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A684B8" w14:textId="77777777" w:rsidR="00470B5F" w:rsidRPr="00CE5927" w:rsidRDefault="00470B5F" w:rsidP="00470B5F">
      <w:pPr>
        <w:jc w:val="right"/>
        <w:outlineLvl w:val="0"/>
        <w:rPr>
          <w:rFonts w:ascii="Tahoma" w:hAnsi="Tahoma" w:cs="Tahoma"/>
          <w:sz w:val="22"/>
          <w:szCs w:val="22"/>
        </w:rPr>
      </w:pPr>
      <w:bookmarkStart w:id="0" w:name="_Toc191284447"/>
      <w:r>
        <w:rPr>
          <w:rFonts w:ascii="Tahoma" w:hAnsi="Tahoma" w:cs="Tahoma"/>
          <w:noProof/>
          <w:sz w:val="22"/>
          <w:szCs w:val="22"/>
        </w:rPr>
        <w:drawing>
          <wp:inline distT="0" distB="0" distL="0" distR="0" wp14:anchorId="1C95AF00" wp14:editId="35676426">
            <wp:extent cx="6391275" cy="9033277"/>
            <wp:effectExtent l="0" t="0" r="0" b="0"/>
            <wp:docPr id="4" name="Рисунок 4" descr="C:\Users\Volkov_sa\Desktop\книга тарифов-2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olkov_sa\Desktop\книга тарифов-202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91275" cy="9033277"/>
                    </a:xfrm>
                    <a:prstGeom prst="rect">
                      <a:avLst/>
                    </a:prstGeom>
                    <a:noFill/>
                    <a:ln>
                      <a:noFill/>
                    </a:ln>
                  </pic:spPr>
                </pic:pic>
              </a:graphicData>
            </a:graphic>
          </wp:inline>
        </w:drawing>
      </w:r>
      <w:bookmarkEnd w:id="0"/>
    </w:p>
    <w:p w14:paraId="023E51A0" w14:textId="77777777" w:rsidR="00470B5F" w:rsidRPr="00CE5927" w:rsidRDefault="00470B5F" w:rsidP="00470B5F">
      <w:pPr>
        <w:jc w:val="right"/>
        <w:outlineLvl w:val="0"/>
        <w:rPr>
          <w:rFonts w:ascii="Tahoma" w:hAnsi="Tahoma" w:cs="Tahoma"/>
          <w:sz w:val="22"/>
          <w:szCs w:val="22"/>
        </w:rPr>
      </w:pPr>
    </w:p>
    <w:p w14:paraId="2BCE253E" w14:textId="77777777" w:rsidR="00470B5F" w:rsidRDefault="00470B5F" w:rsidP="00470B5F">
      <w:pPr>
        <w:jc w:val="right"/>
        <w:outlineLvl w:val="0"/>
        <w:rPr>
          <w:rFonts w:ascii="Tahoma" w:hAnsi="Tahoma" w:cs="Tahoma"/>
          <w:sz w:val="22"/>
          <w:szCs w:val="22"/>
          <w:lang w:val="en-US"/>
        </w:rPr>
      </w:pPr>
    </w:p>
    <w:p w14:paraId="1E778542" w14:textId="77777777" w:rsidR="00470B5F" w:rsidRDefault="00470B5F" w:rsidP="00470B5F">
      <w:pPr>
        <w:jc w:val="right"/>
        <w:outlineLvl w:val="0"/>
        <w:rPr>
          <w:rFonts w:ascii="Tahoma" w:hAnsi="Tahoma" w:cs="Tahoma"/>
          <w:sz w:val="22"/>
          <w:szCs w:val="22"/>
          <w:lang w:val="en-US"/>
        </w:rPr>
      </w:pPr>
    </w:p>
    <w:p w14:paraId="6A3FF543" w14:textId="77777777" w:rsidR="00470B5F" w:rsidRDefault="00470B5F" w:rsidP="00470B5F">
      <w:pPr>
        <w:jc w:val="right"/>
        <w:outlineLvl w:val="0"/>
        <w:rPr>
          <w:rFonts w:ascii="Tahoma" w:hAnsi="Tahoma" w:cs="Tahoma"/>
          <w:sz w:val="22"/>
          <w:szCs w:val="22"/>
          <w:lang w:val="en-US"/>
        </w:rPr>
      </w:pPr>
    </w:p>
    <w:p w14:paraId="32B105B3" w14:textId="25C31AAD" w:rsidR="00470B5F" w:rsidRPr="00D0365E" w:rsidRDefault="00470B5F" w:rsidP="00470B5F">
      <w:pPr>
        <w:jc w:val="right"/>
        <w:outlineLvl w:val="0"/>
        <w:rPr>
          <w:rFonts w:ascii="Tahoma" w:hAnsi="Tahoma" w:cs="Tahoma"/>
          <w:sz w:val="22"/>
          <w:szCs w:val="22"/>
        </w:rPr>
      </w:pPr>
    </w:p>
    <w:p w14:paraId="4C346F41" w14:textId="77777777" w:rsidR="00470B5F" w:rsidRDefault="00470B5F" w:rsidP="00470B5F">
      <w:pPr>
        <w:jc w:val="right"/>
        <w:outlineLvl w:val="0"/>
        <w:rPr>
          <w:rFonts w:ascii="Tahoma" w:hAnsi="Tahoma" w:cs="Tahoma"/>
          <w:sz w:val="22"/>
          <w:szCs w:val="22"/>
          <w:lang w:val="en-US"/>
        </w:rPr>
      </w:pPr>
    </w:p>
    <w:p w14:paraId="129CF88B" w14:textId="77777777" w:rsidR="00470B5F" w:rsidRDefault="00470B5F" w:rsidP="00470B5F">
      <w:pPr>
        <w:jc w:val="right"/>
        <w:outlineLvl w:val="0"/>
        <w:rPr>
          <w:rFonts w:ascii="Tahoma" w:hAnsi="Tahoma" w:cs="Tahoma"/>
          <w:sz w:val="22"/>
          <w:szCs w:val="22"/>
          <w:lang w:val="en-US"/>
        </w:rPr>
      </w:pPr>
    </w:p>
    <w:p w14:paraId="2AF79D80" w14:textId="77777777" w:rsidR="00470B5F" w:rsidRDefault="00470B5F" w:rsidP="00470B5F">
      <w:pPr>
        <w:jc w:val="right"/>
        <w:outlineLvl w:val="0"/>
        <w:rPr>
          <w:rFonts w:ascii="Tahoma" w:hAnsi="Tahoma" w:cs="Tahoma"/>
          <w:sz w:val="22"/>
          <w:szCs w:val="22"/>
          <w:lang w:val="en-US"/>
        </w:rPr>
      </w:pPr>
    </w:p>
    <w:p w14:paraId="78620965" w14:textId="77777777" w:rsidR="00470B5F" w:rsidRPr="00C6598F" w:rsidRDefault="00470B5F" w:rsidP="00470B5F">
      <w:pPr>
        <w:jc w:val="center"/>
        <w:outlineLvl w:val="0"/>
        <w:rPr>
          <w:rFonts w:ascii="Tahoma" w:hAnsi="Tahoma" w:cs="Tahoma"/>
          <w:b/>
          <w:sz w:val="20"/>
          <w:szCs w:val="22"/>
        </w:rPr>
      </w:pPr>
      <w:bookmarkStart w:id="1" w:name="_Toc191284448"/>
      <w:r w:rsidRPr="00C6598F">
        <w:rPr>
          <w:rFonts w:ascii="Tahoma" w:hAnsi="Tahoma" w:cs="Tahoma"/>
          <w:b/>
          <w:sz w:val="20"/>
          <w:szCs w:val="22"/>
        </w:rPr>
        <w:lastRenderedPageBreak/>
        <w:t>СОДЕРЖАНИЕ</w:t>
      </w:r>
      <w:bookmarkEnd w:id="1"/>
    </w:p>
    <w:p w14:paraId="640F55FC" w14:textId="77777777" w:rsidR="00470B5F" w:rsidRPr="00667881" w:rsidRDefault="00470B5F" w:rsidP="00470B5F">
      <w:pPr>
        <w:outlineLvl w:val="0"/>
        <w:rPr>
          <w:rFonts w:ascii="Tahoma" w:hAnsi="Tahoma" w:cs="Tahoma"/>
          <w:b/>
          <w:sz w:val="20"/>
          <w:szCs w:val="20"/>
        </w:rPr>
      </w:pPr>
    </w:p>
    <w:p w14:paraId="3B628CC6" w14:textId="360F3564" w:rsidR="00470B5F" w:rsidRPr="00C6598F" w:rsidRDefault="00470B5F" w:rsidP="00470B5F">
      <w:pPr>
        <w:tabs>
          <w:tab w:val="left" w:pos="9923"/>
        </w:tabs>
        <w:outlineLvl w:val="0"/>
        <w:rPr>
          <w:rFonts w:ascii="Tahoma" w:hAnsi="Tahoma" w:cs="Tahoma"/>
          <w:b/>
          <w:sz w:val="20"/>
          <w:szCs w:val="20"/>
        </w:rPr>
      </w:pPr>
      <w:bookmarkStart w:id="2" w:name="_Toc191284449"/>
      <w:r w:rsidRPr="00C6598F">
        <w:rPr>
          <w:rFonts w:ascii="Tahoma" w:hAnsi="Tahoma" w:cs="Tahoma"/>
          <w:b/>
          <w:sz w:val="20"/>
          <w:szCs w:val="20"/>
        </w:rPr>
        <w:t>1.РАСЧЕТНО – КАССОВ</w:t>
      </w:r>
      <w:r w:rsidR="00E15E93">
        <w:rPr>
          <w:rFonts w:ascii="Tahoma" w:hAnsi="Tahoma" w:cs="Tahoma"/>
          <w:b/>
          <w:sz w:val="20"/>
          <w:szCs w:val="20"/>
        </w:rPr>
        <w:t>ОЕ ОБСЛУЖИВАНИЕ ФИЗИЧЕСКИХ ЛИЦ</w:t>
      </w:r>
      <w:r w:rsidR="00E15E93">
        <w:rPr>
          <w:rFonts w:ascii="Tahoma" w:hAnsi="Tahoma" w:cs="Tahoma"/>
          <w:b/>
          <w:sz w:val="20"/>
          <w:szCs w:val="20"/>
        </w:rPr>
        <w:tab/>
        <w:t>5</w:t>
      </w:r>
      <w:bookmarkEnd w:id="2"/>
    </w:p>
    <w:p w14:paraId="4EBF54CE" w14:textId="39E13412" w:rsidR="00470B5F" w:rsidRPr="00C6598F" w:rsidRDefault="00470B5F" w:rsidP="00470B5F">
      <w:pPr>
        <w:tabs>
          <w:tab w:val="left" w:pos="9923"/>
        </w:tabs>
        <w:outlineLvl w:val="0"/>
        <w:rPr>
          <w:rFonts w:ascii="Tahoma" w:hAnsi="Tahoma" w:cs="Tahoma"/>
          <w:b/>
          <w:sz w:val="20"/>
          <w:szCs w:val="20"/>
        </w:rPr>
      </w:pPr>
      <w:bookmarkStart w:id="3" w:name="_Toc191284450"/>
      <w:r w:rsidRPr="00C6598F">
        <w:rPr>
          <w:rFonts w:ascii="Tahoma" w:hAnsi="Tahoma" w:cs="Tahoma"/>
          <w:b/>
          <w:sz w:val="20"/>
          <w:szCs w:val="20"/>
        </w:rPr>
        <w:t>1.1.ТАРИФЫ ПО РАСЧЕТНО-КАССОВОМУ ОБСЛУЖИВАНИЮ КЛИЕНТОВ-ФИЗИЧЕСКИХ ЛИЦ</w:t>
      </w:r>
      <w:r w:rsidR="00E15E93">
        <w:rPr>
          <w:rFonts w:ascii="Tahoma" w:hAnsi="Tahoma" w:cs="Tahoma"/>
          <w:b/>
          <w:sz w:val="20"/>
          <w:szCs w:val="20"/>
        </w:rPr>
        <w:t xml:space="preserve"> В РУБЛЯХ И ИНОСТРАННОЙ ВАЛЮТЕ</w:t>
      </w:r>
      <w:r w:rsidR="00E15E93">
        <w:rPr>
          <w:rFonts w:ascii="Tahoma" w:hAnsi="Tahoma" w:cs="Tahoma"/>
          <w:b/>
          <w:sz w:val="20"/>
          <w:szCs w:val="20"/>
        </w:rPr>
        <w:tab/>
        <w:t>5</w:t>
      </w:r>
      <w:bookmarkEnd w:id="3"/>
    </w:p>
    <w:p w14:paraId="1D254A9D" w14:textId="09A2856C" w:rsidR="00470B5F" w:rsidRPr="00C6598F" w:rsidRDefault="00470B5F" w:rsidP="003317FE">
      <w:pPr>
        <w:tabs>
          <w:tab w:val="left" w:pos="9781"/>
        </w:tabs>
        <w:outlineLvl w:val="0"/>
        <w:rPr>
          <w:rFonts w:ascii="Tahoma" w:hAnsi="Tahoma" w:cs="Tahoma"/>
          <w:b/>
          <w:sz w:val="20"/>
          <w:szCs w:val="20"/>
        </w:rPr>
      </w:pPr>
      <w:bookmarkStart w:id="4" w:name="_Toc191284451"/>
      <w:r w:rsidRPr="00C6598F">
        <w:rPr>
          <w:rFonts w:ascii="Tahoma" w:hAnsi="Tahoma" w:cs="Tahoma"/>
          <w:b/>
          <w:sz w:val="20"/>
          <w:szCs w:val="20"/>
        </w:rPr>
        <w:t>1.2. ПРЕДОСТАВЛЕНИЕ В АРЕНДУ ИНДИВИДУАЛЬНЫХ СЕЙФОВ И СЕЙФОВЫХ ЯЧЕЕК ДЛЯ Х</w:t>
      </w:r>
      <w:r w:rsidR="003317FE">
        <w:rPr>
          <w:rFonts w:ascii="Tahoma" w:hAnsi="Tahoma" w:cs="Tahoma"/>
          <w:b/>
          <w:sz w:val="20"/>
          <w:szCs w:val="20"/>
        </w:rPr>
        <w:t>РАНЕНИЯ</w:t>
      </w:r>
      <w:r w:rsidR="00263C73">
        <w:rPr>
          <w:rFonts w:ascii="Tahoma" w:hAnsi="Tahoma" w:cs="Tahoma"/>
          <w:b/>
          <w:sz w:val="20"/>
          <w:szCs w:val="20"/>
        </w:rPr>
        <w:t xml:space="preserve"> ДОКУМЕНТОВ И ЦЕННОСТЕЙ</w:t>
      </w:r>
      <w:r w:rsidR="00263C73">
        <w:rPr>
          <w:rFonts w:ascii="Tahoma" w:hAnsi="Tahoma" w:cs="Tahoma"/>
          <w:b/>
          <w:sz w:val="20"/>
          <w:szCs w:val="20"/>
        </w:rPr>
        <w:tab/>
        <w:t>12</w:t>
      </w:r>
      <w:bookmarkEnd w:id="4"/>
    </w:p>
    <w:p w14:paraId="3AAC3277" w14:textId="755E2E7D" w:rsidR="00470B5F" w:rsidRPr="00C6598F" w:rsidRDefault="00470B5F" w:rsidP="00470B5F">
      <w:pPr>
        <w:tabs>
          <w:tab w:val="left" w:pos="9781"/>
        </w:tabs>
        <w:outlineLvl w:val="0"/>
        <w:rPr>
          <w:rFonts w:ascii="Tahoma" w:hAnsi="Tahoma" w:cs="Tahoma"/>
          <w:b/>
          <w:sz w:val="20"/>
          <w:szCs w:val="20"/>
        </w:rPr>
      </w:pPr>
      <w:bookmarkStart w:id="5" w:name="_Toc191284452"/>
      <w:r w:rsidRPr="00C6598F">
        <w:rPr>
          <w:rFonts w:ascii="Tahoma" w:hAnsi="Tahoma" w:cs="Tahoma"/>
          <w:b/>
          <w:sz w:val="20"/>
          <w:szCs w:val="20"/>
        </w:rPr>
        <w:t>1.3 ТАРИФЫ РАСЧЕТНО-КАССОВОГО ОБСЛУЖИВАНИЯ ФИЗИЧЕСКИХ ЛИЦ И ИНДИВИДУАЛЬНЫХ ПРЕДПРИНИМАТЕЛЕЙ В ВАЛЮТЕ РФ В РАМКАХ ПРОГРАММ ИПОТЕЧНОГО КРЕДИТОВАНИЯ ПО СТАНДАРТАМ АО "КО</w:t>
      </w:r>
      <w:r w:rsidR="00DC46F5">
        <w:rPr>
          <w:rFonts w:ascii="Tahoma" w:hAnsi="Tahoma" w:cs="Tahoma"/>
          <w:b/>
          <w:sz w:val="20"/>
          <w:szCs w:val="20"/>
        </w:rPr>
        <w:t>ММЕРЧЕСКИЙ БАНК ДЕЛЬТАКРЕДИТ"</w:t>
      </w:r>
      <w:r w:rsidR="00DC46F5">
        <w:rPr>
          <w:rFonts w:ascii="Tahoma" w:hAnsi="Tahoma" w:cs="Tahoma"/>
          <w:b/>
          <w:sz w:val="20"/>
          <w:szCs w:val="20"/>
        </w:rPr>
        <w:tab/>
        <w:t>14</w:t>
      </w:r>
      <w:bookmarkEnd w:id="5"/>
    </w:p>
    <w:p w14:paraId="7B18D95E" w14:textId="51224484" w:rsidR="00470B5F" w:rsidRPr="00C6598F" w:rsidRDefault="00470B5F" w:rsidP="00470B5F">
      <w:pPr>
        <w:tabs>
          <w:tab w:val="left" w:pos="9781"/>
        </w:tabs>
        <w:outlineLvl w:val="0"/>
        <w:rPr>
          <w:rFonts w:ascii="Tahoma" w:hAnsi="Tahoma" w:cs="Tahoma"/>
          <w:b/>
          <w:sz w:val="20"/>
          <w:szCs w:val="20"/>
        </w:rPr>
      </w:pPr>
      <w:bookmarkStart w:id="6" w:name="_Toc191284453"/>
      <w:r w:rsidRPr="00C6598F">
        <w:rPr>
          <w:rFonts w:ascii="Tahoma" w:hAnsi="Tahoma" w:cs="Tahoma"/>
          <w:b/>
          <w:sz w:val="20"/>
          <w:szCs w:val="20"/>
        </w:rPr>
        <w:t>1.4. ТАРИФЫ РАСЧЕТНО-КАССОВОГО ОБСЛУЖИВАНИЯ ПО ТАРИФНОМ</w:t>
      </w:r>
      <w:r w:rsidR="00663971">
        <w:rPr>
          <w:rFonts w:ascii="Tahoma" w:hAnsi="Tahoma" w:cs="Tahoma"/>
          <w:b/>
          <w:sz w:val="20"/>
          <w:szCs w:val="20"/>
        </w:rPr>
        <w:t>У ПЛАНУ «МАТЕРИНСКИЙ КАПИТАЛ»</w:t>
      </w:r>
      <w:r w:rsidR="00663971">
        <w:rPr>
          <w:rFonts w:ascii="Tahoma" w:hAnsi="Tahoma" w:cs="Tahoma"/>
          <w:b/>
          <w:sz w:val="20"/>
          <w:szCs w:val="20"/>
        </w:rPr>
        <w:tab/>
        <w:t>15</w:t>
      </w:r>
      <w:bookmarkEnd w:id="6"/>
    </w:p>
    <w:p w14:paraId="0357D8B3" w14:textId="0637C344" w:rsidR="00470B5F" w:rsidRDefault="00470B5F" w:rsidP="00470B5F">
      <w:pPr>
        <w:tabs>
          <w:tab w:val="left" w:pos="9781"/>
        </w:tabs>
        <w:outlineLvl w:val="0"/>
        <w:rPr>
          <w:rFonts w:ascii="Tahoma" w:hAnsi="Tahoma" w:cs="Tahoma"/>
          <w:b/>
          <w:sz w:val="20"/>
          <w:szCs w:val="20"/>
        </w:rPr>
      </w:pPr>
      <w:bookmarkStart w:id="7" w:name="_Toc191284454"/>
      <w:r w:rsidRPr="00C6598F">
        <w:rPr>
          <w:rFonts w:ascii="Tahoma" w:hAnsi="Tahoma" w:cs="Tahoma"/>
          <w:b/>
          <w:sz w:val="20"/>
          <w:szCs w:val="20"/>
        </w:rPr>
        <w:t>1.5.ОПЕРАЦИИ С ПАМЯТНЫ</w:t>
      </w:r>
      <w:r w:rsidR="00DC46F5">
        <w:rPr>
          <w:rFonts w:ascii="Tahoma" w:hAnsi="Tahoma" w:cs="Tahoma"/>
          <w:b/>
          <w:sz w:val="20"/>
          <w:szCs w:val="20"/>
        </w:rPr>
        <w:t>МИ И ИНВЕСТИЦИОННЫМИ МОНЕТАМИ</w:t>
      </w:r>
      <w:r w:rsidR="00DC46F5">
        <w:rPr>
          <w:rFonts w:ascii="Tahoma" w:hAnsi="Tahoma" w:cs="Tahoma"/>
          <w:b/>
          <w:sz w:val="20"/>
          <w:szCs w:val="20"/>
        </w:rPr>
        <w:tab/>
        <w:t>16</w:t>
      </w:r>
      <w:bookmarkEnd w:id="7"/>
    </w:p>
    <w:p w14:paraId="15975B0B" w14:textId="0EF37F8E" w:rsidR="00E762B2" w:rsidRPr="00C6598F" w:rsidRDefault="00E762B2" w:rsidP="00470B5F">
      <w:pPr>
        <w:tabs>
          <w:tab w:val="left" w:pos="9781"/>
        </w:tabs>
        <w:outlineLvl w:val="0"/>
        <w:rPr>
          <w:rFonts w:ascii="Tahoma" w:hAnsi="Tahoma" w:cs="Tahoma"/>
          <w:b/>
          <w:sz w:val="20"/>
          <w:szCs w:val="20"/>
        </w:rPr>
      </w:pPr>
      <w:bookmarkStart w:id="8" w:name="_Toc191284455"/>
      <w:r w:rsidRPr="00E762B2">
        <w:rPr>
          <w:rFonts w:ascii="Tahoma" w:hAnsi="Tahoma" w:cs="Tahoma"/>
          <w:b/>
          <w:sz w:val="20"/>
          <w:szCs w:val="20"/>
        </w:rPr>
        <w:t>1.6.ОПЕРАЦИИ С МЕРНЫМИ СЛИТКАМИ ИЗ ДРАГОЦЕННЫХ МЕТАЛЛОВ</w:t>
      </w:r>
      <w:r w:rsidR="00663971">
        <w:rPr>
          <w:rFonts w:ascii="Tahoma" w:hAnsi="Tahoma" w:cs="Tahoma"/>
          <w:b/>
          <w:sz w:val="20"/>
          <w:szCs w:val="20"/>
        </w:rPr>
        <w:tab/>
        <w:t>17</w:t>
      </w:r>
      <w:bookmarkEnd w:id="8"/>
    </w:p>
    <w:p w14:paraId="5C20EDB8" w14:textId="1EFA1AA5" w:rsidR="00470B5F" w:rsidRPr="00C6598F" w:rsidRDefault="00470B5F" w:rsidP="00470B5F">
      <w:pPr>
        <w:tabs>
          <w:tab w:val="left" w:pos="9781"/>
        </w:tabs>
        <w:outlineLvl w:val="0"/>
        <w:rPr>
          <w:rFonts w:ascii="Tahoma" w:hAnsi="Tahoma" w:cs="Tahoma"/>
          <w:b/>
          <w:sz w:val="20"/>
          <w:szCs w:val="20"/>
        </w:rPr>
      </w:pPr>
      <w:bookmarkStart w:id="9" w:name="_Toc191284456"/>
      <w:r w:rsidRPr="00C6598F">
        <w:rPr>
          <w:rFonts w:ascii="Tahoma" w:hAnsi="Tahoma" w:cs="Tahoma"/>
          <w:b/>
          <w:sz w:val="20"/>
          <w:szCs w:val="20"/>
        </w:rPr>
        <w:t>2. ТАРИФЫ ПО КРЕДИТИВАНИЮ ФИЗИЧЕСКИХ ЛИЦ</w:t>
      </w:r>
      <w:r w:rsidRPr="00C6598F">
        <w:rPr>
          <w:rFonts w:ascii="Tahoma" w:hAnsi="Tahoma" w:cs="Tahoma"/>
          <w:b/>
          <w:sz w:val="20"/>
          <w:szCs w:val="20"/>
        </w:rPr>
        <w:tab/>
        <w:t>1</w:t>
      </w:r>
      <w:r w:rsidR="00663971">
        <w:rPr>
          <w:rFonts w:ascii="Tahoma" w:hAnsi="Tahoma" w:cs="Tahoma"/>
          <w:b/>
          <w:sz w:val="20"/>
          <w:szCs w:val="20"/>
        </w:rPr>
        <w:t>9</w:t>
      </w:r>
      <w:bookmarkEnd w:id="9"/>
    </w:p>
    <w:p w14:paraId="764C8980" w14:textId="36BDC0B5" w:rsidR="00470B5F" w:rsidRPr="00C6598F" w:rsidRDefault="00470B5F" w:rsidP="00470B5F">
      <w:pPr>
        <w:tabs>
          <w:tab w:val="left" w:pos="9781"/>
        </w:tabs>
        <w:outlineLvl w:val="0"/>
        <w:rPr>
          <w:rFonts w:ascii="Tahoma" w:hAnsi="Tahoma" w:cs="Tahoma"/>
          <w:b/>
          <w:sz w:val="20"/>
          <w:szCs w:val="20"/>
        </w:rPr>
      </w:pPr>
      <w:bookmarkStart w:id="10" w:name="_Toc191284457"/>
      <w:r w:rsidRPr="00C6598F">
        <w:rPr>
          <w:rFonts w:ascii="Tahoma" w:hAnsi="Tahoma" w:cs="Tahoma"/>
          <w:b/>
          <w:sz w:val="20"/>
          <w:szCs w:val="20"/>
        </w:rPr>
        <w:t>2.1. КРЕДИ</w:t>
      </w:r>
      <w:r w:rsidR="00867785">
        <w:rPr>
          <w:rFonts w:ascii="Tahoma" w:hAnsi="Tahoma" w:cs="Tahoma"/>
          <w:b/>
          <w:sz w:val="20"/>
          <w:szCs w:val="20"/>
        </w:rPr>
        <w:t xml:space="preserve">ТОВАНИЕ СОБСТВЕННИКОВ </w:t>
      </w:r>
      <w:r w:rsidR="00DC46F5">
        <w:rPr>
          <w:rFonts w:ascii="Tahoma" w:hAnsi="Tahoma" w:cs="Tahoma"/>
          <w:b/>
          <w:sz w:val="20"/>
          <w:szCs w:val="20"/>
        </w:rPr>
        <w:t>БИЗНЕСА</w:t>
      </w:r>
      <w:r w:rsidR="00DC46F5">
        <w:rPr>
          <w:rFonts w:ascii="Tahoma" w:hAnsi="Tahoma" w:cs="Tahoma"/>
          <w:b/>
          <w:sz w:val="20"/>
          <w:szCs w:val="20"/>
        </w:rPr>
        <w:tab/>
      </w:r>
      <w:r w:rsidR="00663971">
        <w:rPr>
          <w:rFonts w:ascii="Tahoma" w:hAnsi="Tahoma" w:cs="Tahoma"/>
          <w:b/>
          <w:sz w:val="20"/>
          <w:szCs w:val="20"/>
        </w:rPr>
        <w:t>19</w:t>
      </w:r>
      <w:bookmarkEnd w:id="10"/>
    </w:p>
    <w:p w14:paraId="7143F5A6" w14:textId="6A92164C" w:rsidR="00470B5F" w:rsidRPr="00C6598F" w:rsidRDefault="00470B5F" w:rsidP="00470B5F">
      <w:pPr>
        <w:tabs>
          <w:tab w:val="left" w:pos="9781"/>
        </w:tabs>
        <w:outlineLvl w:val="0"/>
        <w:rPr>
          <w:rFonts w:ascii="Tahoma" w:hAnsi="Tahoma" w:cs="Tahoma"/>
          <w:b/>
          <w:sz w:val="20"/>
          <w:szCs w:val="20"/>
        </w:rPr>
      </w:pPr>
      <w:bookmarkStart w:id="11" w:name="_Toc191284458"/>
      <w:r w:rsidRPr="00C6598F">
        <w:rPr>
          <w:rFonts w:ascii="Tahoma" w:hAnsi="Tahoma" w:cs="Tahoma"/>
          <w:b/>
          <w:sz w:val="20"/>
          <w:szCs w:val="20"/>
        </w:rPr>
        <w:t>2.1</w:t>
      </w:r>
      <w:r w:rsidR="00663971">
        <w:rPr>
          <w:rFonts w:ascii="Tahoma" w:hAnsi="Tahoma" w:cs="Tahoma"/>
          <w:b/>
          <w:sz w:val="20"/>
          <w:szCs w:val="20"/>
        </w:rPr>
        <w:t>.1.ТАРИФНЫЙ ПЛАН «МИКРО-ЛАЙТ»</w:t>
      </w:r>
      <w:r w:rsidR="00663971">
        <w:rPr>
          <w:rFonts w:ascii="Tahoma" w:hAnsi="Tahoma" w:cs="Tahoma"/>
          <w:b/>
          <w:sz w:val="20"/>
          <w:szCs w:val="20"/>
        </w:rPr>
        <w:tab/>
        <w:t>19</w:t>
      </w:r>
      <w:bookmarkEnd w:id="11"/>
    </w:p>
    <w:p w14:paraId="5733CEC6" w14:textId="5C74E137" w:rsidR="00470B5F" w:rsidRPr="00665083" w:rsidRDefault="00470B5F" w:rsidP="00470B5F">
      <w:pPr>
        <w:tabs>
          <w:tab w:val="left" w:pos="9781"/>
        </w:tabs>
        <w:outlineLvl w:val="0"/>
        <w:rPr>
          <w:rFonts w:ascii="Tahoma" w:hAnsi="Tahoma" w:cs="Tahoma"/>
          <w:b/>
          <w:sz w:val="20"/>
          <w:szCs w:val="20"/>
        </w:rPr>
      </w:pPr>
      <w:bookmarkStart w:id="12" w:name="_Toc191284459"/>
      <w:r w:rsidRPr="00C6598F">
        <w:rPr>
          <w:rFonts w:ascii="Tahoma" w:hAnsi="Tahoma" w:cs="Tahoma"/>
          <w:b/>
          <w:sz w:val="20"/>
          <w:szCs w:val="20"/>
        </w:rPr>
        <w:t>2.1</w:t>
      </w:r>
      <w:r w:rsidRPr="00665083">
        <w:rPr>
          <w:rFonts w:ascii="Tahoma" w:hAnsi="Tahoma" w:cs="Tahoma"/>
          <w:b/>
          <w:sz w:val="20"/>
          <w:szCs w:val="20"/>
        </w:rPr>
        <w:t>.2. ТАРИФН</w:t>
      </w:r>
      <w:r w:rsidR="00DD28DB">
        <w:rPr>
          <w:rFonts w:ascii="Tahoma" w:hAnsi="Tahoma" w:cs="Tahoma"/>
          <w:b/>
          <w:sz w:val="20"/>
          <w:szCs w:val="20"/>
        </w:rPr>
        <w:t>ЫЙ ПЛАН</w:t>
      </w:r>
      <w:r w:rsidR="00663971">
        <w:rPr>
          <w:rFonts w:ascii="Tahoma" w:hAnsi="Tahoma" w:cs="Tahoma"/>
          <w:b/>
          <w:sz w:val="20"/>
          <w:szCs w:val="20"/>
        </w:rPr>
        <w:t xml:space="preserve"> «МИКРО-ЛАЙТ. ДОВЕРИЕ»</w:t>
      </w:r>
      <w:r w:rsidR="00663971">
        <w:rPr>
          <w:rFonts w:ascii="Tahoma" w:hAnsi="Tahoma" w:cs="Tahoma"/>
          <w:b/>
          <w:sz w:val="20"/>
          <w:szCs w:val="20"/>
        </w:rPr>
        <w:tab/>
        <w:t>28</w:t>
      </w:r>
      <w:bookmarkEnd w:id="12"/>
    </w:p>
    <w:p w14:paraId="79906A4D" w14:textId="54ECAF9D" w:rsidR="00470B5F" w:rsidRPr="00665083" w:rsidRDefault="00470B5F" w:rsidP="00470B5F">
      <w:pPr>
        <w:tabs>
          <w:tab w:val="left" w:pos="9781"/>
        </w:tabs>
        <w:outlineLvl w:val="0"/>
        <w:rPr>
          <w:rFonts w:ascii="Tahoma" w:hAnsi="Tahoma" w:cs="Tahoma"/>
          <w:b/>
          <w:sz w:val="20"/>
          <w:szCs w:val="20"/>
        </w:rPr>
      </w:pPr>
      <w:bookmarkStart w:id="13" w:name="_Toc191284460"/>
      <w:r w:rsidRPr="00665083">
        <w:rPr>
          <w:rFonts w:ascii="Tahoma" w:hAnsi="Tahoma" w:cs="Tahoma"/>
          <w:b/>
          <w:sz w:val="20"/>
          <w:szCs w:val="20"/>
        </w:rPr>
        <w:t xml:space="preserve">2.1.3. </w:t>
      </w:r>
      <w:r w:rsidR="00867785">
        <w:rPr>
          <w:rFonts w:ascii="Tahoma" w:hAnsi="Tahoma" w:cs="Tahoma"/>
          <w:b/>
          <w:sz w:val="20"/>
          <w:szCs w:val="20"/>
        </w:rPr>
        <w:t>Т</w:t>
      </w:r>
      <w:r w:rsidR="00663971">
        <w:rPr>
          <w:rFonts w:ascii="Tahoma" w:hAnsi="Tahoma" w:cs="Tahoma"/>
          <w:b/>
          <w:sz w:val="20"/>
          <w:szCs w:val="20"/>
        </w:rPr>
        <w:t>АРИФНЫЙ ПЛАН «БИЗНЕС ИПОТЕКА»</w:t>
      </w:r>
      <w:r w:rsidR="00663971">
        <w:rPr>
          <w:rFonts w:ascii="Tahoma" w:hAnsi="Tahoma" w:cs="Tahoma"/>
          <w:b/>
          <w:sz w:val="20"/>
          <w:szCs w:val="20"/>
        </w:rPr>
        <w:tab/>
        <w:t>31</w:t>
      </w:r>
      <w:bookmarkEnd w:id="13"/>
    </w:p>
    <w:p w14:paraId="344B0D26" w14:textId="78298F22" w:rsidR="00470B5F" w:rsidRPr="00665083" w:rsidRDefault="00470B5F" w:rsidP="00470B5F">
      <w:pPr>
        <w:tabs>
          <w:tab w:val="left" w:pos="9781"/>
        </w:tabs>
        <w:outlineLvl w:val="0"/>
        <w:rPr>
          <w:rFonts w:ascii="Tahoma" w:hAnsi="Tahoma" w:cs="Tahoma"/>
          <w:b/>
          <w:sz w:val="20"/>
          <w:szCs w:val="20"/>
        </w:rPr>
      </w:pPr>
      <w:bookmarkStart w:id="14" w:name="_Toc191284461"/>
      <w:r w:rsidRPr="00665083">
        <w:rPr>
          <w:rFonts w:ascii="Tahoma" w:hAnsi="Tahoma" w:cs="Tahoma"/>
          <w:b/>
          <w:sz w:val="20"/>
          <w:szCs w:val="20"/>
        </w:rPr>
        <w:t>2.1.4. ТАРИФНЫЙ ПЛА</w:t>
      </w:r>
      <w:r w:rsidR="00663971">
        <w:rPr>
          <w:rFonts w:ascii="Tahoma" w:hAnsi="Tahoma" w:cs="Tahoma"/>
          <w:b/>
          <w:sz w:val="20"/>
          <w:szCs w:val="20"/>
        </w:rPr>
        <w:t>Н «МИКРО-ЛАЙТ ИНДИВИДУАЛЬНЫЙ»</w:t>
      </w:r>
      <w:r w:rsidR="00663971">
        <w:rPr>
          <w:rFonts w:ascii="Tahoma" w:hAnsi="Tahoma" w:cs="Tahoma"/>
          <w:b/>
          <w:sz w:val="20"/>
          <w:szCs w:val="20"/>
        </w:rPr>
        <w:tab/>
        <w:t>42</w:t>
      </w:r>
      <w:bookmarkEnd w:id="14"/>
    </w:p>
    <w:p w14:paraId="3E444A57" w14:textId="54968CA4" w:rsidR="00470B5F" w:rsidRDefault="00470B5F" w:rsidP="00470B5F">
      <w:pPr>
        <w:tabs>
          <w:tab w:val="left" w:pos="9781"/>
        </w:tabs>
        <w:outlineLvl w:val="0"/>
        <w:rPr>
          <w:rFonts w:ascii="Tahoma" w:hAnsi="Tahoma" w:cs="Tahoma"/>
          <w:b/>
          <w:sz w:val="20"/>
          <w:szCs w:val="20"/>
        </w:rPr>
      </w:pPr>
      <w:bookmarkStart w:id="15" w:name="_Toc191284462"/>
      <w:r w:rsidRPr="00665083">
        <w:rPr>
          <w:rFonts w:ascii="Tahoma" w:hAnsi="Tahoma" w:cs="Tahoma"/>
          <w:b/>
          <w:sz w:val="20"/>
          <w:szCs w:val="20"/>
        </w:rPr>
        <w:t>2.2. ТАРИФНЫЕ ПЛАНЫ ПО КРЕДИТОВАНИЮ ФИЗИЧЕСКИХ ЛИЦ НА ТЕРРИТОРИИ ОБСЛУЖИВАНИЯ «АЗИА</w:t>
      </w:r>
      <w:r w:rsidR="00C977E4">
        <w:rPr>
          <w:rFonts w:ascii="Tahoma" w:hAnsi="Tahoma" w:cs="Tahoma"/>
          <w:b/>
          <w:sz w:val="20"/>
          <w:szCs w:val="20"/>
        </w:rPr>
        <w:t>ТСКО-ТИХООКЕАНСКИЙ БАНК» (АО)</w:t>
      </w:r>
      <w:r w:rsidR="00C977E4">
        <w:rPr>
          <w:rFonts w:ascii="Tahoma" w:hAnsi="Tahoma" w:cs="Tahoma"/>
          <w:b/>
          <w:sz w:val="20"/>
          <w:szCs w:val="20"/>
        </w:rPr>
        <w:tab/>
        <w:t>48</w:t>
      </w:r>
      <w:bookmarkEnd w:id="15"/>
    </w:p>
    <w:p w14:paraId="0D7713E0" w14:textId="1FC1F43E" w:rsidR="00C977E4" w:rsidRPr="00665083" w:rsidRDefault="00C977E4" w:rsidP="00470B5F">
      <w:pPr>
        <w:tabs>
          <w:tab w:val="left" w:pos="9781"/>
        </w:tabs>
        <w:outlineLvl w:val="0"/>
        <w:rPr>
          <w:rFonts w:ascii="Tahoma" w:hAnsi="Tahoma" w:cs="Tahoma"/>
          <w:b/>
          <w:sz w:val="20"/>
          <w:szCs w:val="20"/>
        </w:rPr>
      </w:pPr>
      <w:bookmarkStart w:id="16" w:name="_Toc191284463"/>
      <w:r w:rsidRPr="00C977E4">
        <w:rPr>
          <w:rFonts w:ascii="Tahoma" w:hAnsi="Tahoma" w:cs="Tahoma"/>
          <w:b/>
          <w:sz w:val="20"/>
          <w:szCs w:val="20"/>
        </w:rPr>
        <w:t xml:space="preserve">2.2.1. </w:t>
      </w:r>
      <w:r w:rsidR="00F14C49" w:rsidRPr="00665083">
        <w:rPr>
          <w:rFonts w:ascii="Tahoma" w:hAnsi="Tahoma" w:cs="Tahoma"/>
          <w:b/>
          <w:sz w:val="20"/>
          <w:szCs w:val="20"/>
        </w:rPr>
        <w:t>ТАРИ</w:t>
      </w:r>
      <w:r w:rsidR="00F14C49">
        <w:rPr>
          <w:rFonts w:ascii="Tahoma" w:hAnsi="Tahoma" w:cs="Tahoma"/>
          <w:b/>
          <w:sz w:val="20"/>
          <w:szCs w:val="20"/>
        </w:rPr>
        <w:t>ФНЫЙ ПЛАН «КРЕДИТ НАЛИЧНЫМИ»</w:t>
      </w:r>
      <w:r>
        <w:rPr>
          <w:rFonts w:ascii="Tahoma" w:hAnsi="Tahoma" w:cs="Tahoma"/>
          <w:b/>
          <w:sz w:val="20"/>
          <w:szCs w:val="20"/>
        </w:rPr>
        <w:tab/>
        <w:t>48</w:t>
      </w:r>
      <w:bookmarkEnd w:id="16"/>
    </w:p>
    <w:p w14:paraId="2DCA4A3C" w14:textId="5CEB4FF3" w:rsidR="00470B5F" w:rsidRDefault="00463523" w:rsidP="00470B5F">
      <w:pPr>
        <w:tabs>
          <w:tab w:val="left" w:pos="9781"/>
        </w:tabs>
        <w:outlineLvl w:val="0"/>
        <w:rPr>
          <w:rFonts w:ascii="Tahoma" w:hAnsi="Tahoma" w:cs="Tahoma"/>
          <w:b/>
          <w:sz w:val="20"/>
          <w:szCs w:val="20"/>
        </w:rPr>
      </w:pPr>
      <w:bookmarkStart w:id="17" w:name="_Toc191284464"/>
      <w:r>
        <w:rPr>
          <w:rFonts w:ascii="Tahoma" w:hAnsi="Tahoma" w:cs="Tahoma"/>
          <w:b/>
          <w:sz w:val="20"/>
          <w:szCs w:val="20"/>
        </w:rPr>
        <w:t>2.2.</w:t>
      </w:r>
      <w:r w:rsidR="00C977E4">
        <w:rPr>
          <w:rFonts w:ascii="Tahoma" w:hAnsi="Tahoma" w:cs="Tahoma"/>
          <w:b/>
          <w:sz w:val="20"/>
          <w:szCs w:val="20"/>
        </w:rPr>
        <w:t>2</w:t>
      </w:r>
      <w:r w:rsidR="00470B5F" w:rsidRPr="00665083">
        <w:rPr>
          <w:rFonts w:ascii="Tahoma" w:hAnsi="Tahoma" w:cs="Tahoma"/>
          <w:b/>
          <w:sz w:val="20"/>
          <w:szCs w:val="20"/>
        </w:rPr>
        <w:t xml:space="preserve">. </w:t>
      </w:r>
      <w:r w:rsidR="00F14C49" w:rsidRPr="00BE002F">
        <w:rPr>
          <w:rFonts w:ascii="Tahoma" w:hAnsi="Tahoma" w:cs="Tahoma"/>
          <w:b/>
          <w:sz w:val="20"/>
          <w:szCs w:val="20"/>
        </w:rPr>
        <w:t>ТАРИФНЫЙ ПЛАН «ЛИДЕР»</w:t>
      </w:r>
      <w:r w:rsidR="00663971">
        <w:rPr>
          <w:rFonts w:ascii="Tahoma" w:hAnsi="Tahoma" w:cs="Tahoma"/>
          <w:b/>
          <w:sz w:val="20"/>
          <w:szCs w:val="20"/>
        </w:rPr>
        <w:tab/>
        <w:t>55</w:t>
      </w:r>
      <w:bookmarkEnd w:id="17"/>
    </w:p>
    <w:p w14:paraId="764EA8BA" w14:textId="58036877" w:rsidR="00BE002F" w:rsidRDefault="00BE002F" w:rsidP="00470B5F">
      <w:pPr>
        <w:tabs>
          <w:tab w:val="left" w:pos="9781"/>
        </w:tabs>
        <w:outlineLvl w:val="0"/>
        <w:rPr>
          <w:rFonts w:ascii="Tahoma" w:hAnsi="Tahoma" w:cs="Tahoma"/>
          <w:b/>
          <w:sz w:val="20"/>
          <w:szCs w:val="20"/>
        </w:rPr>
      </w:pPr>
      <w:bookmarkStart w:id="18" w:name="_Toc191284465"/>
      <w:r w:rsidRPr="00BE002F">
        <w:rPr>
          <w:rFonts w:ascii="Tahoma" w:hAnsi="Tahoma" w:cs="Tahoma"/>
          <w:b/>
          <w:sz w:val="20"/>
          <w:szCs w:val="20"/>
        </w:rPr>
        <w:t xml:space="preserve">2.2.3. </w:t>
      </w:r>
      <w:r w:rsidR="00F14C49" w:rsidRPr="003160C0">
        <w:rPr>
          <w:rFonts w:ascii="Tahoma" w:hAnsi="Tahoma" w:cs="Tahoma"/>
          <w:b/>
          <w:sz w:val="20"/>
          <w:szCs w:val="20"/>
        </w:rPr>
        <w:t>ТАРИФНЫЙ ПЛАН «ЛОЯЛЬНЫЙ»</w:t>
      </w:r>
      <w:r w:rsidR="00A45D47">
        <w:rPr>
          <w:rFonts w:ascii="Tahoma" w:hAnsi="Tahoma" w:cs="Tahoma"/>
          <w:b/>
          <w:sz w:val="20"/>
          <w:szCs w:val="20"/>
        </w:rPr>
        <w:tab/>
        <w:t>61</w:t>
      </w:r>
      <w:bookmarkEnd w:id="18"/>
    </w:p>
    <w:p w14:paraId="07A2726A" w14:textId="3343F50E" w:rsidR="003160C0" w:rsidRDefault="003160C0" w:rsidP="00470B5F">
      <w:pPr>
        <w:tabs>
          <w:tab w:val="left" w:pos="9781"/>
        </w:tabs>
        <w:outlineLvl w:val="0"/>
        <w:rPr>
          <w:rFonts w:ascii="Tahoma" w:hAnsi="Tahoma" w:cs="Tahoma"/>
          <w:b/>
          <w:sz w:val="20"/>
          <w:szCs w:val="20"/>
        </w:rPr>
      </w:pPr>
      <w:bookmarkStart w:id="19" w:name="_Toc191284466"/>
      <w:r w:rsidRPr="003160C0">
        <w:rPr>
          <w:rFonts w:ascii="Tahoma" w:hAnsi="Tahoma" w:cs="Tahoma"/>
          <w:b/>
          <w:sz w:val="20"/>
          <w:szCs w:val="20"/>
        </w:rPr>
        <w:t xml:space="preserve">2.2.4. </w:t>
      </w:r>
      <w:r w:rsidR="00F14C49" w:rsidRPr="00665083">
        <w:rPr>
          <w:rFonts w:ascii="Tahoma" w:hAnsi="Tahoma" w:cs="Tahoma"/>
          <w:b/>
          <w:sz w:val="20"/>
          <w:szCs w:val="20"/>
        </w:rPr>
        <w:t xml:space="preserve">ТАРИФНЫЙ ПЛАН «ИЗМЕНЕНИЕ УСЛОВИЙ КРЕДИТНОГО ДОГОВОРА ПО ВОЛЕИЗЪЯВЛЕНИЮ </w:t>
      </w:r>
      <w:r w:rsidR="00F14C49">
        <w:rPr>
          <w:rFonts w:ascii="Tahoma" w:hAnsi="Tahoma" w:cs="Tahoma"/>
          <w:b/>
          <w:sz w:val="20"/>
          <w:szCs w:val="20"/>
        </w:rPr>
        <w:t>ЗАЕМЩИКА»*</w:t>
      </w:r>
      <w:r w:rsidR="00A45D47">
        <w:rPr>
          <w:rFonts w:ascii="Tahoma" w:hAnsi="Tahoma" w:cs="Tahoma"/>
          <w:b/>
          <w:sz w:val="20"/>
          <w:szCs w:val="20"/>
        </w:rPr>
        <w:tab/>
        <w:t>68</w:t>
      </w:r>
      <w:bookmarkEnd w:id="19"/>
    </w:p>
    <w:p w14:paraId="56A7D262" w14:textId="716BFFE5" w:rsidR="00470B5F" w:rsidRPr="00665083" w:rsidRDefault="003160C0" w:rsidP="00470B5F">
      <w:pPr>
        <w:tabs>
          <w:tab w:val="left" w:pos="9781"/>
        </w:tabs>
        <w:outlineLvl w:val="0"/>
        <w:rPr>
          <w:rFonts w:ascii="Tahoma" w:hAnsi="Tahoma" w:cs="Tahoma"/>
          <w:b/>
          <w:sz w:val="20"/>
          <w:szCs w:val="20"/>
        </w:rPr>
      </w:pPr>
      <w:bookmarkStart w:id="20" w:name="_Toc191284467"/>
      <w:r>
        <w:rPr>
          <w:rFonts w:ascii="Tahoma" w:hAnsi="Tahoma" w:cs="Tahoma"/>
          <w:b/>
          <w:sz w:val="20"/>
          <w:szCs w:val="20"/>
        </w:rPr>
        <w:t>2.2.5</w:t>
      </w:r>
      <w:r w:rsidR="00470B5F" w:rsidRPr="00665083">
        <w:rPr>
          <w:rFonts w:ascii="Tahoma" w:hAnsi="Tahoma" w:cs="Tahoma"/>
          <w:b/>
          <w:sz w:val="20"/>
          <w:szCs w:val="20"/>
        </w:rPr>
        <w:t xml:space="preserve">. </w:t>
      </w:r>
      <w:r w:rsidR="00F14C49" w:rsidRPr="00665083">
        <w:rPr>
          <w:rFonts w:ascii="Tahoma" w:hAnsi="Tahoma" w:cs="Tahoma"/>
          <w:b/>
          <w:sz w:val="20"/>
          <w:szCs w:val="20"/>
        </w:rPr>
        <w:t>ТАРИФНЫЙ ПЛАН «ИЗМЕНЕНИЕ УСЛОВИЙ КРЕДИТНОГО ДОГОВОРА ПО ВОЛЕИЗЪЯВЛЕНИЮ ЗАЕМЩИКА, ПО ИПОТЕЧНЫМ ДОГОВОРАМ» *,**,***</w:t>
      </w:r>
      <w:r w:rsidR="00F14C49">
        <w:rPr>
          <w:rFonts w:ascii="Tahoma" w:hAnsi="Tahoma" w:cs="Tahoma"/>
          <w:b/>
          <w:sz w:val="20"/>
          <w:szCs w:val="20"/>
        </w:rPr>
        <w:t>,****</w:t>
      </w:r>
      <w:r>
        <w:rPr>
          <w:rFonts w:ascii="Tahoma" w:hAnsi="Tahoma" w:cs="Tahoma"/>
          <w:b/>
          <w:sz w:val="20"/>
          <w:szCs w:val="20"/>
        </w:rPr>
        <w:tab/>
        <w:t>7</w:t>
      </w:r>
      <w:r w:rsidR="002D435A">
        <w:rPr>
          <w:rFonts w:ascii="Tahoma" w:hAnsi="Tahoma" w:cs="Tahoma"/>
          <w:b/>
          <w:sz w:val="20"/>
          <w:szCs w:val="20"/>
        </w:rPr>
        <w:t>0</w:t>
      </w:r>
      <w:bookmarkEnd w:id="20"/>
    </w:p>
    <w:p w14:paraId="7F3EEF63" w14:textId="138062F8" w:rsidR="00470B5F" w:rsidRPr="00665083" w:rsidRDefault="003160C0" w:rsidP="00470B5F">
      <w:pPr>
        <w:tabs>
          <w:tab w:val="left" w:pos="9781"/>
        </w:tabs>
        <w:outlineLvl w:val="0"/>
        <w:rPr>
          <w:rFonts w:ascii="Tahoma" w:hAnsi="Tahoma" w:cs="Tahoma"/>
          <w:b/>
          <w:sz w:val="20"/>
          <w:szCs w:val="20"/>
        </w:rPr>
      </w:pPr>
      <w:bookmarkStart w:id="21" w:name="_Toc191284468"/>
      <w:r>
        <w:rPr>
          <w:rFonts w:ascii="Tahoma" w:hAnsi="Tahoma" w:cs="Tahoma"/>
          <w:b/>
          <w:sz w:val="20"/>
          <w:szCs w:val="20"/>
        </w:rPr>
        <w:t>2.2.6</w:t>
      </w:r>
      <w:r w:rsidR="00470B5F" w:rsidRPr="00665083">
        <w:rPr>
          <w:rFonts w:ascii="Tahoma" w:hAnsi="Tahoma" w:cs="Tahoma"/>
          <w:b/>
          <w:sz w:val="20"/>
          <w:szCs w:val="20"/>
        </w:rPr>
        <w:t xml:space="preserve">. </w:t>
      </w:r>
      <w:r w:rsidR="00F14C49" w:rsidRPr="00665083">
        <w:rPr>
          <w:rFonts w:ascii="Tahoma" w:hAnsi="Tahoma" w:cs="Tahoma"/>
          <w:b/>
          <w:sz w:val="20"/>
          <w:szCs w:val="20"/>
        </w:rPr>
        <w:t>ТАРИФНЫЙ ПЛАН «РЕСТРУКТУРИЗАЦИЯ «ТЕХПОМОЩЬ+»»*,**,****</w:t>
      </w:r>
      <w:r w:rsidR="002D435A">
        <w:rPr>
          <w:rFonts w:ascii="Tahoma" w:hAnsi="Tahoma" w:cs="Tahoma"/>
          <w:b/>
          <w:sz w:val="20"/>
          <w:szCs w:val="20"/>
        </w:rPr>
        <w:tab/>
        <w:t>71</w:t>
      </w:r>
      <w:bookmarkEnd w:id="21"/>
    </w:p>
    <w:p w14:paraId="2C72977C" w14:textId="77390D15" w:rsidR="00470B5F" w:rsidRDefault="003160C0" w:rsidP="00D96338">
      <w:pPr>
        <w:tabs>
          <w:tab w:val="left" w:pos="9781"/>
        </w:tabs>
        <w:outlineLvl w:val="0"/>
        <w:rPr>
          <w:rFonts w:ascii="Tahoma" w:hAnsi="Tahoma" w:cs="Tahoma"/>
          <w:b/>
          <w:sz w:val="20"/>
          <w:szCs w:val="20"/>
        </w:rPr>
      </w:pPr>
      <w:bookmarkStart w:id="22" w:name="_Toc191284469"/>
      <w:r>
        <w:rPr>
          <w:rFonts w:ascii="Tahoma" w:hAnsi="Tahoma" w:cs="Tahoma"/>
          <w:b/>
          <w:sz w:val="20"/>
          <w:szCs w:val="20"/>
        </w:rPr>
        <w:t>2.2.7</w:t>
      </w:r>
      <w:r w:rsidR="00470B5F" w:rsidRPr="00665083">
        <w:rPr>
          <w:rFonts w:ascii="Tahoma" w:hAnsi="Tahoma" w:cs="Tahoma"/>
          <w:b/>
          <w:sz w:val="20"/>
          <w:szCs w:val="20"/>
        </w:rPr>
        <w:t xml:space="preserve">. </w:t>
      </w:r>
      <w:r w:rsidR="00F14C49">
        <w:rPr>
          <w:rFonts w:ascii="Tahoma" w:hAnsi="Tahoma" w:cs="Tahoma"/>
          <w:b/>
          <w:sz w:val="20"/>
          <w:szCs w:val="20"/>
        </w:rPr>
        <w:t>ТАРИФНЫЙ ПЛАН «ДОВЕРИЕ +»</w:t>
      </w:r>
      <w:r w:rsidR="002D435A">
        <w:rPr>
          <w:rFonts w:ascii="Tahoma" w:hAnsi="Tahoma" w:cs="Tahoma"/>
          <w:b/>
          <w:sz w:val="20"/>
          <w:szCs w:val="20"/>
        </w:rPr>
        <w:tab/>
        <w:t>75</w:t>
      </w:r>
      <w:bookmarkEnd w:id="22"/>
    </w:p>
    <w:p w14:paraId="432A46E4" w14:textId="460A3E3F" w:rsidR="00470B5F" w:rsidRPr="0005581E" w:rsidRDefault="00470B5F" w:rsidP="00D96338">
      <w:pPr>
        <w:tabs>
          <w:tab w:val="left" w:pos="9781"/>
        </w:tabs>
        <w:outlineLvl w:val="0"/>
        <w:rPr>
          <w:rFonts w:ascii="Tahoma" w:hAnsi="Tahoma" w:cs="Tahoma"/>
          <w:b/>
          <w:sz w:val="20"/>
          <w:szCs w:val="20"/>
        </w:rPr>
      </w:pPr>
      <w:bookmarkStart w:id="23" w:name="_Toc191284470"/>
      <w:r w:rsidRPr="00665083">
        <w:rPr>
          <w:rFonts w:ascii="Tahoma" w:hAnsi="Tahoma" w:cs="Tahoma"/>
          <w:b/>
          <w:sz w:val="20"/>
          <w:szCs w:val="20"/>
        </w:rPr>
        <w:t>2.3. ИПОТЕЧНОЕ КРЕДИТОВАНИЕ</w:t>
      </w:r>
      <w:r w:rsidR="002D435A">
        <w:rPr>
          <w:rFonts w:ascii="Tahoma" w:hAnsi="Tahoma" w:cs="Tahoma"/>
          <w:b/>
          <w:sz w:val="20"/>
          <w:szCs w:val="20"/>
        </w:rPr>
        <w:tab/>
        <w:t>80</w:t>
      </w:r>
      <w:bookmarkEnd w:id="23"/>
    </w:p>
    <w:p w14:paraId="47EE604F" w14:textId="6A629E2A" w:rsidR="00470B5F" w:rsidRPr="00ED3AA8" w:rsidRDefault="00470B5F" w:rsidP="00D96338">
      <w:pPr>
        <w:tabs>
          <w:tab w:val="left" w:pos="9781"/>
        </w:tabs>
        <w:outlineLvl w:val="0"/>
        <w:rPr>
          <w:rFonts w:ascii="Tahoma" w:hAnsi="Tahoma" w:cs="Tahoma"/>
          <w:b/>
          <w:sz w:val="20"/>
          <w:szCs w:val="20"/>
        </w:rPr>
      </w:pPr>
      <w:bookmarkStart w:id="24" w:name="_Toc191284471"/>
      <w:r w:rsidRPr="00C6598F">
        <w:rPr>
          <w:rFonts w:ascii="Tahoma" w:hAnsi="Tahoma" w:cs="Tahoma"/>
          <w:b/>
          <w:sz w:val="20"/>
          <w:szCs w:val="20"/>
        </w:rPr>
        <w:t>2.3.1. ИНФОРМАЦИЯ ОБ УСЛОВИЯХ ПРЕДОСТАВЛЕНИЯ, ИСПОЛЬЗОВАНИЯ И ВОЗВРАТА ИПОТЕ</w:t>
      </w:r>
      <w:r>
        <w:rPr>
          <w:rFonts w:ascii="Tahoma" w:hAnsi="Tahoma" w:cs="Tahoma"/>
          <w:b/>
          <w:sz w:val="20"/>
          <w:szCs w:val="20"/>
        </w:rPr>
        <w:t>Ч</w:t>
      </w:r>
      <w:r w:rsidR="002D435A">
        <w:rPr>
          <w:rFonts w:ascii="Tahoma" w:hAnsi="Tahoma" w:cs="Tahoma"/>
          <w:b/>
          <w:sz w:val="20"/>
          <w:szCs w:val="20"/>
        </w:rPr>
        <w:t>НОГО КРЕДИТА «ГОТОВОЕ ЖИЛЬЕ»</w:t>
      </w:r>
      <w:r w:rsidR="002D435A">
        <w:rPr>
          <w:rFonts w:ascii="Tahoma" w:hAnsi="Tahoma" w:cs="Tahoma"/>
          <w:b/>
          <w:sz w:val="20"/>
          <w:szCs w:val="20"/>
        </w:rPr>
        <w:tab/>
        <w:t>80</w:t>
      </w:r>
      <w:bookmarkEnd w:id="24"/>
    </w:p>
    <w:p w14:paraId="1EF19B7B" w14:textId="69A499F3" w:rsidR="00470B5F" w:rsidRPr="00ED3AA8" w:rsidRDefault="00470B5F" w:rsidP="008438D5">
      <w:pPr>
        <w:tabs>
          <w:tab w:val="left" w:pos="9639"/>
        </w:tabs>
        <w:outlineLvl w:val="0"/>
        <w:rPr>
          <w:rFonts w:ascii="Tahoma" w:hAnsi="Tahoma" w:cs="Tahoma"/>
          <w:b/>
          <w:sz w:val="20"/>
          <w:szCs w:val="20"/>
        </w:rPr>
      </w:pPr>
      <w:bookmarkStart w:id="25" w:name="_Toc191284472"/>
      <w:r w:rsidRPr="00C6598F">
        <w:rPr>
          <w:rFonts w:ascii="Tahoma" w:hAnsi="Tahoma" w:cs="Tahoma"/>
          <w:b/>
          <w:sz w:val="20"/>
          <w:szCs w:val="20"/>
        </w:rPr>
        <w:t>2.3.2. ИНФОРМАЦИЯ ОБ УСЛОВИЯХ ПРЕДОСТАВЛЕНИЯ, ИСПОЛЬЗОВАНИЯ И ВОЗВРАТА ИПОТЕЧНОГО КРЕДИТА ПО ТАРИФН</w:t>
      </w:r>
      <w:r w:rsidR="008438D5">
        <w:rPr>
          <w:rFonts w:ascii="Tahoma" w:hAnsi="Tahoma" w:cs="Tahoma"/>
          <w:b/>
          <w:sz w:val="20"/>
          <w:szCs w:val="20"/>
        </w:rPr>
        <w:t>ОМУ ПЛАНУ «СТРОЯЩЕЕСЯ ЖИЛЬЕ»</w:t>
      </w:r>
      <w:r w:rsidR="008438D5">
        <w:rPr>
          <w:rFonts w:ascii="Tahoma" w:hAnsi="Tahoma" w:cs="Tahoma"/>
          <w:b/>
          <w:sz w:val="20"/>
          <w:szCs w:val="20"/>
        </w:rPr>
        <w:tab/>
      </w:r>
      <w:r w:rsidR="00C43F02">
        <w:rPr>
          <w:rFonts w:ascii="Tahoma" w:hAnsi="Tahoma" w:cs="Tahoma"/>
          <w:b/>
          <w:sz w:val="20"/>
          <w:szCs w:val="20"/>
        </w:rPr>
        <w:t>104</w:t>
      </w:r>
      <w:bookmarkEnd w:id="25"/>
    </w:p>
    <w:p w14:paraId="35E67CED" w14:textId="0814D689" w:rsidR="00470B5F" w:rsidRPr="00ED3AA8" w:rsidRDefault="00470B5F" w:rsidP="00276E72">
      <w:pPr>
        <w:tabs>
          <w:tab w:val="left" w:pos="9639"/>
        </w:tabs>
        <w:outlineLvl w:val="0"/>
        <w:rPr>
          <w:rFonts w:ascii="Tahoma" w:hAnsi="Tahoma" w:cs="Tahoma"/>
          <w:b/>
          <w:sz w:val="20"/>
          <w:szCs w:val="20"/>
        </w:rPr>
      </w:pPr>
      <w:bookmarkStart w:id="26" w:name="_Toc191284473"/>
      <w:r w:rsidRPr="00C6598F">
        <w:rPr>
          <w:rFonts w:ascii="Tahoma" w:hAnsi="Tahoma" w:cs="Tahoma"/>
          <w:b/>
          <w:sz w:val="20"/>
          <w:szCs w:val="20"/>
        </w:rPr>
        <w:t>2.3.3. ИНФОРМАЦИЯ ОБ УСЛОВИЯХ ПРЕДОСТАВЛЕНИЯ, ИСПОЛЬЗОВАНИЯ И ВОЗВРАТА ИПОТЕЧНОГО КРЕДИТА ПО ТАРИФН</w:t>
      </w:r>
      <w:r w:rsidR="00C43F02">
        <w:rPr>
          <w:rFonts w:ascii="Tahoma" w:hAnsi="Tahoma" w:cs="Tahoma"/>
          <w:b/>
          <w:sz w:val="20"/>
          <w:szCs w:val="20"/>
        </w:rPr>
        <w:t>ОМУ ПЛАНУ «РЕФИНАНСИРОВАНИЕ»</w:t>
      </w:r>
      <w:r w:rsidR="00C43F02">
        <w:rPr>
          <w:rFonts w:ascii="Tahoma" w:hAnsi="Tahoma" w:cs="Tahoma"/>
          <w:b/>
          <w:sz w:val="20"/>
          <w:szCs w:val="20"/>
        </w:rPr>
        <w:tab/>
        <w:t>116</w:t>
      </w:r>
      <w:bookmarkEnd w:id="26"/>
    </w:p>
    <w:p w14:paraId="66534F43" w14:textId="00CD96A1" w:rsidR="00470B5F" w:rsidRPr="00ED3AA8" w:rsidRDefault="00470B5F" w:rsidP="00470B5F">
      <w:pPr>
        <w:tabs>
          <w:tab w:val="left" w:pos="9639"/>
        </w:tabs>
        <w:outlineLvl w:val="0"/>
        <w:rPr>
          <w:rFonts w:ascii="Tahoma" w:hAnsi="Tahoma" w:cs="Tahoma"/>
          <w:b/>
          <w:sz w:val="20"/>
          <w:szCs w:val="20"/>
        </w:rPr>
      </w:pPr>
      <w:bookmarkStart w:id="27" w:name="_Toc191284474"/>
      <w:r w:rsidRPr="00C6598F">
        <w:rPr>
          <w:rFonts w:ascii="Tahoma" w:hAnsi="Tahoma" w:cs="Tahoma"/>
          <w:b/>
          <w:sz w:val="20"/>
          <w:szCs w:val="20"/>
        </w:rPr>
        <w:t>2.3.4. ИНФОРМАЦИЯ ОБ УСЛОВИЯХ ПРЕДОСТАВЛЕНИЯ, ИСПОЛЬЗОВАНИЯ И ВОЗВРАТА ИПОТЕЧНОГО КРЕДИТА «</w:t>
      </w:r>
      <w:r w:rsidR="00087ABB">
        <w:rPr>
          <w:rFonts w:ascii="Tahoma" w:hAnsi="Tahoma" w:cs="Tahoma"/>
          <w:b/>
          <w:sz w:val="20"/>
          <w:szCs w:val="20"/>
        </w:rPr>
        <w:t xml:space="preserve">ДАЛЬНЕВОСТОЧНАЯ </w:t>
      </w:r>
      <w:r w:rsidR="00082383">
        <w:rPr>
          <w:rFonts w:ascii="Tahoma" w:hAnsi="Tahoma" w:cs="Tahoma"/>
          <w:b/>
          <w:sz w:val="20"/>
          <w:szCs w:val="20"/>
        </w:rPr>
        <w:t xml:space="preserve">И АРКТИЧЕСКАЯ </w:t>
      </w:r>
      <w:r w:rsidR="00087ABB">
        <w:rPr>
          <w:rFonts w:ascii="Tahoma" w:hAnsi="Tahoma" w:cs="Tahoma"/>
          <w:b/>
          <w:sz w:val="20"/>
          <w:szCs w:val="20"/>
        </w:rPr>
        <w:t>ИПОТЕКА</w:t>
      </w:r>
      <w:r w:rsidR="00C43F02">
        <w:rPr>
          <w:rFonts w:ascii="Tahoma" w:hAnsi="Tahoma" w:cs="Tahoma"/>
          <w:b/>
          <w:sz w:val="20"/>
          <w:szCs w:val="20"/>
        </w:rPr>
        <w:t>»</w:t>
      </w:r>
      <w:r w:rsidR="00C43F02">
        <w:rPr>
          <w:rFonts w:ascii="Tahoma" w:hAnsi="Tahoma" w:cs="Tahoma"/>
          <w:b/>
          <w:sz w:val="20"/>
          <w:szCs w:val="20"/>
        </w:rPr>
        <w:tab/>
        <w:t>135</w:t>
      </w:r>
      <w:bookmarkEnd w:id="27"/>
    </w:p>
    <w:p w14:paraId="3237EFBB" w14:textId="0DA3C2D8" w:rsidR="00B240D6" w:rsidRPr="00ED3AA8" w:rsidRDefault="0007160F" w:rsidP="00470B5F">
      <w:pPr>
        <w:tabs>
          <w:tab w:val="left" w:pos="9639"/>
        </w:tabs>
        <w:outlineLvl w:val="0"/>
        <w:rPr>
          <w:rFonts w:ascii="Tahoma" w:hAnsi="Tahoma" w:cs="Tahoma"/>
          <w:b/>
          <w:sz w:val="20"/>
          <w:szCs w:val="20"/>
        </w:rPr>
      </w:pPr>
      <w:bookmarkStart w:id="28" w:name="_Toc191284475"/>
      <w:r>
        <w:rPr>
          <w:rFonts w:ascii="Tahoma" w:hAnsi="Tahoma" w:cs="Tahoma"/>
          <w:b/>
          <w:sz w:val="20"/>
          <w:szCs w:val="20"/>
        </w:rPr>
        <w:t>2.3.5</w:t>
      </w:r>
      <w:r w:rsidR="00B240D6">
        <w:rPr>
          <w:rFonts w:ascii="Tahoma" w:hAnsi="Tahoma" w:cs="Tahoma"/>
          <w:b/>
          <w:sz w:val="20"/>
          <w:szCs w:val="20"/>
        </w:rPr>
        <w:t>.</w:t>
      </w:r>
      <w:r w:rsidR="00B240D6" w:rsidRPr="00B240D6">
        <w:t xml:space="preserve"> </w:t>
      </w:r>
      <w:r w:rsidR="00B240D6" w:rsidRPr="00C6598F">
        <w:rPr>
          <w:rFonts w:ascii="Tahoma" w:hAnsi="Tahoma" w:cs="Tahoma"/>
          <w:b/>
          <w:sz w:val="20"/>
          <w:szCs w:val="20"/>
        </w:rPr>
        <w:t xml:space="preserve">ИНФОРМАЦИЯ ОБ УСЛОВИЯХ ПРЕДОСТАВЛЕНИЯ, ИСПОЛЬЗОВАНИЯ И ВОЗВРАТА ИПОТЕЧНОГО КРЕДИТА ПО </w:t>
      </w:r>
      <w:r w:rsidR="00B240D6">
        <w:rPr>
          <w:rFonts w:ascii="Tahoma" w:hAnsi="Tahoma" w:cs="Tahoma"/>
          <w:b/>
          <w:sz w:val="20"/>
          <w:szCs w:val="20"/>
        </w:rPr>
        <w:t>ТАРИФНОМУ</w:t>
      </w:r>
      <w:r w:rsidR="00B240D6" w:rsidRPr="00B240D6">
        <w:rPr>
          <w:rFonts w:ascii="Tahoma" w:hAnsi="Tahoma" w:cs="Tahoma"/>
          <w:b/>
          <w:sz w:val="20"/>
          <w:szCs w:val="20"/>
        </w:rPr>
        <w:t xml:space="preserve"> ПЛАН</w:t>
      </w:r>
      <w:r w:rsidR="00B240D6">
        <w:rPr>
          <w:rFonts w:ascii="Tahoma" w:hAnsi="Tahoma" w:cs="Tahoma"/>
          <w:b/>
          <w:sz w:val="20"/>
          <w:szCs w:val="20"/>
        </w:rPr>
        <w:t>У</w:t>
      </w:r>
      <w:r w:rsidR="00B240D6" w:rsidRPr="00B240D6">
        <w:rPr>
          <w:rFonts w:ascii="Tahoma" w:hAnsi="Tahoma" w:cs="Tahoma"/>
          <w:b/>
          <w:sz w:val="20"/>
          <w:szCs w:val="20"/>
        </w:rPr>
        <w:t xml:space="preserve"> «СЕМЕЙНАЯ ИПОТЕКА»</w:t>
      </w:r>
      <w:r w:rsidR="00C43F02">
        <w:rPr>
          <w:rFonts w:ascii="Tahoma" w:hAnsi="Tahoma" w:cs="Tahoma"/>
          <w:b/>
          <w:sz w:val="20"/>
          <w:szCs w:val="20"/>
        </w:rPr>
        <w:tab/>
        <w:t>159</w:t>
      </w:r>
      <w:bookmarkEnd w:id="28"/>
    </w:p>
    <w:p w14:paraId="22ADA93D" w14:textId="5FD1E2EF" w:rsidR="00470B5F" w:rsidRDefault="0007160F" w:rsidP="00470B5F">
      <w:pPr>
        <w:tabs>
          <w:tab w:val="left" w:pos="9639"/>
        </w:tabs>
        <w:outlineLvl w:val="0"/>
        <w:rPr>
          <w:rFonts w:ascii="Tahoma" w:hAnsi="Tahoma" w:cs="Tahoma"/>
          <w:b/>
          <w:sz w:val="20"/>
          <w:szCs w:val="20"/>
        </w:rPr>
      </w:pPr>
      <w:bookmarkStart w:id="29" w:name="_Toc191284476"/>
      <w:r>
        <w:rPr>
          <w:rFonts w:ascii="Tahoma" w:hAnsi="Tahoma" w:cs="Tahoma"/>
          <w:b/>
          <w:sz w:val="20"/>
          <w:szCs w:val="20"/>
        </w:rPr>
        <w:t>2.3.6</w:t>
      </w:r>
      <w:r w:rsidR="00470B5F" w:rsidRPr="00C6598F">
        <w:rPr>
          <w:rFonts w:ascii="Tahoma" w:hAnsi="Tahoma" w:cs="Tahoma"/>
          <w:b/>
          <w:sz w:val="20"/>
          <w:szCs w:val="20"/>
        </w:rPr>
        <w:t>. ИНФОРМАЦИЯ ОБ УСЛОВИЯХ КЛИЕНТСКОГО ПРЕДЛОЖЕНИЯ «ПРОСТАЯ ИПОТЕКА» ПО ТАРИФНЫМ ПЛАНАМ «ГОТОВОЕ ЖИЛЬЕ», «СТРОЯЩЕЕСЯ ЖИЛЬЕ», «РЕФИНАНСИРОВАНИ</w:t>
      </w:r>
      <w:r w:rsidR="00470B5F">
        <w:rPr>
          <w:rFonts w:ascii="Tahoma" w:hAnsi="Tahoma" w:cs="Tahoma"/>
          <w:b/>
          <w:sz w:val="20"/>
          <w:szCs w:val="20"/>
        </w:rPr>
        <w:t xml:space="preserve">Е», «ИПОТЕКА С ГОСПОДДЕРЖКОЙ </w:t>
      </w:r>
      <w:r w:rsidR="00087ABB">
        <w:rPr>
          <w:rFonts w:ascii="Tahoma" w:hAnsi="Tahoma" w:cs="Tahoma"/>
          <w:b/>
          <w:sz w:val="20"/>
          <w:szCs w:val="20"/>
        </w:rPr>
        <w:t xml:space="preserve">ПОД </w:t>
      </w:r>
      <w:r w:rsidR="00470B5F">
        <w:rPr>
          <w:rFonts w:ascii="Tahoma" w:hAnsi="Tahoma" w:cs="Tahoma"/>
          <w:b/>
          <w:sz w:val="20"/>
          <w:szCs w:val="20"/>
        </w:rPr>
        <w:t>7</w:t>
      </w:r>
      <w:r w:rsidR="00470B5F" w:rsidRPr="00C6598F">
        <w:rPr>
          <w:rFonts w:ascii="Tahoma" w:hAnsi="Tahoma" w:cs="Tahoma"/>
          <w:b/>
          <w:sz w:val="20"/>
          <w:szCs w:val="20"/>
        </w:rPr>
        <w:t>%» И «</w:t>
      </w:r>
      <w:r w:rsidR="00087ABB">
        <w:rPr>
          <w:rFonts w:ascii="Tahoma" w:hAnsi="Tahoma" w:cs="Tahoma"/>
          <w:b/>
          <w:sz w:val="20"/>
          <w:szCs w:val="20"/>
        </w:rPr>
        <w:t>ДАЛЬНЕВОСТОЧНАЯ ИПОТЕКА</w:t>
      </w:r>
      <w:r w:rsidR="00C43F02">
        <w:rPr>
          <w:rFonts w:ascii="Tahoma" w:hAnsi="Tahoma" w:cs="Tahoma"/>
          <w:b/>
          <w:sz w:val="20"/>
          <w:szCs w:val="20"/>
        </w:rPr>
        <w:t>»</w:t>
      </w:r>
      <w:r w:rsidR="00C43F02">
        <w:rPr>
          <w:rFonts w:ascii="Tahoma" w:hAnsi="Tahoma" w:cs="Tahoma"/>
          <w:b/>
          <w:sz w:val="20"/>
          <w:szCs w:val="20"/>
        </w:rPr>
        <w:tab/>
        <w:t>189</w:t>
      </w:r>
      <w:bookmarkEnd w:id="29"/>
    </w:p>
    <w:p w14:paraId="7B424519" w14:textId="41C5269C" w:rsidR="00470B5F" w:rsidRPr="00ED3AA8" w:rsidRDefault="00470B5F" w:rsidP="00470B5F">
      <w:pPr>
        <w:tabs>
          <w:tab w:val="left" w:pos="9639"/>
        </w:tabs>
        <w:outlineLvl w:val="0"/>
        <w:rPr>
          <w:rFonts w:ascii="Tahoma" w:hAnsi="Tahoma" w:cs="Tahoma"/>
          <w:b/>
          <w:sz w:val="20"/>
          <w:szCs w:val="20"/>
        </w:rPr>
      </w:pPr>
      <w:bookmarkStart w:id="30" w:name="_Toc191284477"/>
      <w:r>
        <w:rPr>
          <w:rFonts w:ascii="Tahoma" w:hAnsi="Tahoma" w:cs="Tahoma"/>
          <w:b/>
          <w:sz w:val="20"/>
          <w:szCs w:val="20"/>
        </w:rPr>
        <w:t>2.3.</w:t>
      </w:r>
      <w:r w:rsidR="0007160F">
        <w:rPr>
          <w:rFonts w:ascii="Tahoma" w:hAnsi="Tahoma" w:cs="Tahoma"/>
          <w:b/>
          <w:sz w:val="20"/>
          <w:szCs w:val="20"/>
        </w:rPr>
        <w:t>7</w:t>
      </w:r>
      <w:r w:rsidR="00276E72">
        <w:rPr>
          <w:rFonts w:ascii="Tahoma" w:hAnsi="Tahoma" w:cs="Tahoma"/>
          <w:b/>
          <w:sz w:val="20"/>
          <w:szCs w:val="20"/>
        </w:rPr>
        <w:t>.</w:t>
      </w:r>
      <w:r w:rsidR="00C43F02">
        <w:rPr>
          <w:rFonts w:ascii="Tahoma" w:hAnsi="Tahoma" w:cs="Tahoma"/>
          <w:b/>
          <w:sz w:val="20"/>
          <w:szCs w:val="20"/>
        </w:rPr>
        <w:t xml:space="preserve"> ТАРИФНЫЙ ПЛАН «НЕЦЕЛЕВОЙ»</w:t>
      </w:r>
      <w:r w:rsidR="00C43F02">
        <w:rPr>
          <w:rFonts w:ascii="Tahoma" w:hAnsi="Tahoma" w:cs="Tahoma"/>
          <w:b/>
          <w:sz w:val="20"/>
          <w:szCs w:val="20"/>
        </w:rPr>
        <w:tab/>
        <w:t>192</w:t>
      </w:r>
      <w:bookmarkEnd w:id="30"/>
    </w:p>
    <w:p w14:paraId="3861DC46" w14:textId="4E88CB03" w:rsidR="00470B5F" w:rsidRDefault="0007160F" w:rsidP="00470B5F">
      <w:pPr>
        <w:tabs>
          <w:tab w:val="left" w:pos="9639"/>
        </w:tabs>
        <w:outlineLvl w:val="0"/>
        <w:rPr>
          <w:rFonts w:ascii="Tahoma" w:hAnsi="Tahoma" w:cs="Tahoma"/>
          <w:b/>
          <w:sz w:val="20"/>
          <w:szCs w:val="20"/>
        </w:rPr>
      </w:pPr>
      <w:bookmarkStart w:id="31" w:name="_Toc191284478"/>
      <w:r>
        <w:rPr>
          <w:rFonts w:ascii="Tahoma" w:hAnsi="Tahoma" w:cs="Tahoma"/>
          <w:b/>
          <w:sz w:val="20"/>
          <w:szCs w:val="20"/>
        </w:rPr>
        <w:t>2.3.8</w:t>
      </w:r>
      <w:r w:rsidR="00470B5F">
        <w:rPr>
          <w:rFonts w:ascii="Tahoma" w:hAnsi="Tahoma" w:cs="Tahoma"/>
          <w:b/>
          <w:sz w:val="20"/>
          <w:szCs w:val="20"/>
        </w:rPr>
        <w:t>.</w:t>
      </w:r>
      <w:r w:rsidR="00470B5F" w:rsidRPr="00C6598F">
        <w:rPr>
          <w:rFonts w:ascii="Tahoma" w:hAnsi="Tahoma" w:cs="Tahoma"/>
          <w:b/>
          <w:sz w:val="20"/>
          <w:szCs w:val="20"/>
        </w:rPr>
        <w:t xml:space="preserve"> ТАРИФНЫ</w:t>
      </w:r>
      <w:r w:rsidR="00A33CE1">
        <w:rPr>
          <w:rFonts w:ascii="Tahoma" w:hAnsi="Tahoma" w:cs="Tahoma"/>
          <w:b/>
          <w:sz w:val="20"/>
          <w:szCs w:val="20"/>
        </w:rPr>
        <w:t>Й ПЛАН «МАТЕРИНСКИЙ КАПИТАЛ»</w:t>
      </w:r>
      <w:r w:rsidR="00A33CE1">
        <w:rPr>
          <w:rFonts w:ascii="Tahoma" w:hAnsi="Tahoma" w:cs="Tahoma"/>
          <w:b/>
          <w:sz w:val="20"/>
          <w:szCs w:val="20"/>
        </w:rPr>
        <w:tab/>
      </w:r>
      <w:r w:rsidR="00C43F02">
        <w:rPr>
          <w:rFonts w:ascii="Tahoma" w:hAnsi="Tahoma" w:cs="Tahoma"/>
          <w:b/>
          <w:sz w:val="20"/>
          <w:szCs w:val="20"/>
        </w:rPr>
        <w:t>214</w:t>
      </w:r>
      <w:bookmarkEnd w:id="31"/>
    </w:p>
    <w:p w14:paraId="38A54D9E" w14:textId="7771D34B" w:rsidR="007F28E4" w:rsidRPr="007F28E4" w:rsidRDefault="007F28E4" w:rsidP="007F28E4">
      <w:pPr>
        <w:tabs>
          <w:tab w:val="left" w:pos="9639"/>
        </w:tabs>
        <w:outlineLvl w:val="0"/>
        <w:rPr>
          <w:rFonts w:ascii="Tahoma" w:hAnsi="Tahoma" w:cs="Tahoma"/>
          <w:b/>
          <w:sz w:val="20"/>
          <w:szCs w:val="20"/>
        </w:rPr>
      </w:pPr>
      <w:bookmarkStart w:id="32" w:name="_Toc191284479"/>
      <w:r w:rsidRPr="007F28E4">
        <w:rPr>
          <w:rFonts w:ascii="Tahoma" w:hAnsi="Tahoma" w:cs="Tahoma"/>
          <w:b/>
          <w:sz w:val="20"/>
          <w:szCs w:val="20"/>
        </w:rPr>
        <w:t>2.4. ТАРИФНЫЕ ПЛАНЫ ПО КРЕДИТОВАНИЮ ФИЗИЧЕСКИХ ЛИЦ ПОД ЗАЛОГ ТРАНСПОРТНОГО СРЕДСТВА</w:t>
      </w:r>
      <w:r w:rsidR="00760680">
        <w:rPr>
          <w:rFonts w:ascii="Tahoma" w:hAnsi="Tahoma" w:cs="Tahoma"/>
          <w:b/>
          <w:sz w:val="20"/>
          <w:szCs w:val="20"/>
        </w:rPr>
        <w:tab/>
        <w:t>217</w:t>
      </w:r>
      <w:bookmarkEnd w:id="32"/>
    </w:p>
    <w:p w14:paraId="505D095B" w14:textId="7FDE53A2" w:rsidR="007F28E4" w:rsidRDefault="009152A5" w:rsidP="007F28E4">
      <w:pPr>
        <w:tabs>
          <w:tab w:val="left" w:pos="9639"/>
        </w:tabs>
        <w:outlineLvl w:val="0"/>
        <w:rPr>
          <w:rFonts w:ascii="Tahoma" w:hAnsi="Tahoma" w:cs="Tahoma"/>
          <w:b/>
          <w:sz w:val="20"/>
          <w:szCs w:val="20"/>
        </w:rPr>
      </w:pPr>
      <w:bookmarkStart w:id="33" w:name="_Toc191284480"/>
      <w:r>
        <w:rPr>
          <w:rFonts w:ascii="Tahoma" w:hAnsi="Tahoma" w:cs="Tahoma"/>
          <w:b/>
          <w:sz w:val="20"/>
          <w:szCs w:val="20"/>
        </w:rPr>
        <w:t>2.4.1</w:t>
      </w:r>
      <w:r w:rsidR="007F28E4" w:rsidRPr="007F28E4">
        <w:rPr>
          <w:rFonts w:ascii="Tahoma" w:hAnsi="Tahoma" w:cs="Tahoma"/>
          <w:b/>
          <w:sz w:val="20"/>
          <w:szCs w:val="20"/>
        </w:rPr>
        <w:t>.ТАРИФНЫЙ ПЛАН «ЛЁГКИЙ СТАРТ»</w:t>
      </w:r>
      <w:r w:rsidR="0007160F">
        <w:rPr>
          <w:rFonts w:ascii="Tahoma" w:hAnsi="Tahoma" w:cs="Tahoma"/>
          <w:b/>
          <w:sz w:val="20"/>
          <w:szCs w:val="20"/>
        </w:rPr>
        <w:tab/>
        <w:t>21</w:t>
      </w:r>
      <w:r w:rsidR="00760680">
        <w:rPr>
          <w:rFonts w:ascii="Tahoma" w:hAnsi="Tahoma" w:cs="Tahoma"/>
          <w:b/>
          <w:sz w:val="20"/>
          <w:szCs w:val="20"/>
        </w:rPr>
        <w:t>7</w:t>
      </w:r>
      <w:bookmarkEnd w:id="33"/>
    </w:p>
    <w:p w14:paraId="32184D44" w14:textId="00D70D41" w:rsidR="003E0C65" w:rsidRDefault="009152A5" w:rsidP="007F28E4">
      <w:pPr>
        <w:tabs>
          <w:tab w:val="left" w:pos="9639"/>
        </w:tabs>
        <w:outlineLvl w:val="0"/>
        <w:rPr>
          <w:rFonts w:ascii="Tahoma" w:hAnsi="Tahoma" w:cs="Tahoma"/>
          <w:b/>
          <w:sz w:val="20"/>
          <w:szCs w:val="20"/>
        </w:rPr>
      </w:pPr>
      <w:bookmarkStart w:id="34" w:name="_Toc191284481"/>
      <w:r>
        <w:rPr>
          <w:rFonts w:ascii="Tahoma" w:hAnsi="Tahoma" w:cs="Tahoma"/>
          <w:b/>
          <w:sz w:val="20"/>
          <w:szCs w:val="20"/>
        </w:rPr>
        <w:t>2.4.2</w:t>
      </w:r>
      <w:r w:rsidR="003E0C65" w:rsidRPr="003E0C65">
        <w:rPr>
          <w:rFonts w:ascii="Tahoma" w:hAnsi="Tahoma" w:cs="Tahoma"/>
          <w:b/>
          <w:sz w:val="20"/>
          <w:szCs w:val="20"/>
        </w:rPr>
        <w:t>.ТАРИФНЫЙ ПЛАН «ЛЁГКИЙ ДРАЙВ»</w:t>
      </w:r>
      <w:r w:rsidR="00760680">
        <w:rPr>
          <w:rFonts w:ascii="Tahoma" w:hAnsi="Tahoma" w:cs="Tahoma"/>
          <w:b/>
          <w:sz w:val="20"/>
          <w:szCs w:val="20"/>
        </w:rPr>
        <w:tab/>
        <w:t>225</w:t>
      </w:r>
      <w:bookmarkEnd w:id="34"/>
    </w:p>
    <w:p w14:paraId="6BB7BE12" w14:textId="5F9686D4" w:rsidR="003E0C65" w:rsidRDefault="009152A5" w:rsidP="007F28E4">
      <w:pPr>
        <w:tabs>
          <w:tab w:val="left" w:pos="9639"/>
        </w:tabs>
        <w:outlineLvl w:val="0"/>
        <w:rPr>
          <w:rFonts w:ascii="Tahoma" w:hAnsi="Tahoma" w:cs="Tahoma"/>
          <w:b/>
          <w:sz w:val="20"/>
          <w:szCs w:val="20"/>
        </w:rPr>
      </w:pPr>
      <w:bookmarkStart w:id="35" w:name="_Toc191284482"/>
      <w:r>
        <w:rPr>
          <w:rFonts w:ascii="Tahoma" w:hAnsi="Tahoma" w:cs="Tahoma"/>
          <w:b/>
          <w:sz w:val="20"/>
          <w:szCs w:val="20"/>
        </w:rPr>
        <w:t>2.4.3</w:t>
      </w:r>
      <w:r w:rsidR="003E0C65" w:rsidRPr="003E0C65">
        <w:rPr>
          <w:rFonts w:ascii="Tahoma" w:hAnsi="Tahoma" w:cs="Tahoma"/>
          <w:b/>
          <w:sz w:val="20"/>
          <w:szCs w:val="20"/>
        </w:rPr>
        <w:t>.ТАРИФНЫЙ ПЛАН «ЛЁГКИЙ ВЫБОР»</w:t>
      </w:r>
      <w:r w:rsidR="00760680">
        <w:rPr>
          <w:rFonts w:ascii="Tahoma" w:hAnsi="Tahoma" w:cs="Tahoma"/>
          <w:b/>
          <w:sz w:val="20"/>
          <w:szCs w:val="20"/>
        </w:rPr>
        <w:tab/>
        <w:t>233</w:t>
      </w:r>
      <w:bookmarkEnd w:id="35"/>
    </w:p>
    <w:p w14:paraId="552DCB0A" w14:textId="610DF737" w:rsidR="008D3DF3" w:rsidRDefault="009152A5" w:rsidP="007F28E4">
      <w:pPr>
        <w:tabs>
          <w:tab w:val="left" w:pos="9639"/>
        </w:tabs>
        <w:outlineLvl w:val="0"/>
        <w:rPr>
          <w:rFonts w:ascii="Tahoma" w:hAnsi="Tahoma" w:cs="Tahoma"/>
          <w:b/>
          <w:sz w:val="20"/>
          <w:szCs w:val="20"/>
        </w:rPr>
      </w:pPr>
      <w:bookmarkStart w:id="36" w:name="_Toc191284483"/>
      <w:r>
        <w:rPr>
          <w:rFonts w:ascii="Tahoma" w:hAnsi="Tahoma" w:cs="Tahoma"/>
          <w:b/>
          <w:sz w:val="20"/>
          <w:szCs w:val="20"/>
        </w:rPr>
        <w:t>2.4.4</w:t>
      </w:r>
      <w:r w:rsidR="008D3DF3">
        <w:rPr>
          <w:rFonts w:ascii="Tahoma" w:hAnsi="Tahoma" w:cs="Tahoma"/>
          <w:b/>
          <w:sz w:val="20"/>
          <w:szCs w:val="20"/>
        </w:rPr>
        <w:t>.</w:t>
      </w:r>
      <w:r w:rsidR="00A65008" w:rsidRPr="00A65008">
        <w:rPr>
          <w:rFonts w:ascii="Tahoma" w:hAnsi="Tahoma" w:cs="Tahoma"/>
          <w:b/>
          <w:sz w:val="20"/>
          <w:szCs w:val="20"/>
        </w:rPr>
        <w:t>ТАРИФНЫЙ ПЛАН</w:t>
      </w:r>
      <w:r w:rsidR="006D7D38">
        <w:rPr>
          <w:rFonts w:ascii="Tahoma" w:hAnsi="Tahoma" w:cs="Tahoma"/>
          <w:b/>
          <w:sz w:val="20"/>
          <w:szCs w:val="20"/>
        </w:rPr>
        <w:t xml:space="preserve"> «НОВЫЕ_ОД»</w:t>
      </w:r>
      <w:r w:rsidR="00760680">
        <w:rPr>
          <w:rFonts w:ascii="Tahoma" w:hAnsi="Tahoma" w:cs="Tahoma"/>
          <w:b/>
          <w:sz w:val="20"/>
          <w:szCs w:val="20"/>
        </w:rPr>
        <w:tab/>
        <w:t>241</w:t>
      </w:r>
      <w:bookmarkEnd w:id="36"/>
    </w:p>
    <w:p w14:paraId="43181687" w14:textId="23D9EBAB" w:rsidR="006D7D38" w:rsidRDefault="006D7D38" w:rsidP="007F28E4">
      <w:pPr>
        <w:tabs>
          <w:tab w:val="left" w:pos="9639"/>
        </w:tabs>
        <w:outlineLvl w:val="0"/>
        <w:rPr>
          <w:rFonts w:ascii="Tahoma" w:hAnsi="Tahoma" w:cs="Tahoma"/>
          <w:b/>
          <w:sz w:val="20"/>
          <w:szCs w:val="20"/>
        </w:rPr>
      </w:pPr>
      <w:bookmarkStart w:id="37" w:name="_Toc191284484"/>
      <w:r>
        <w:rPr>
          <w:rFonts w:ascii="Tahoma" w:hAnsi="Tahoma" w:cs="Tahoma"/>
          <w:b/>
          <w:sz w:val="20"/>
          <w:szCs w:val="20"/>
        </w:rPr>
        <w:t>2</w:t>
      </w:r>
      <w:r w:rsidR="00760680">
        <w:rPr>
          <w:rFonts w:ascii="Tahoma" w:hAnsi="Tahoma" w:cs="Tahoma"/>
          <w:b/>
          <w:sz w:val="20"/>
          <w:szCs w:val="20"/>
        </w:rPr>
        <w:t>.4.5. ТАРИФНЫЙ ПЛАН «АСП_ОД»</w:t>
      </w:r>
      <w:r w:rsidR="00760680">
        <w:rPr>
          <w:rFonts w:ascii="Tahoma" w:hAnsi="Tahoma" w:cs="Tahoma"/>
          <w:b/>
          <w:sz w:val="20"/>
          <w:szCs w:val="20"/>
        </w:rPr>
        <w:tab/>
        <w:t>249</w:t>
      </w:r>
      <w:bookmarkEnd w:id="37"/>
    </w:p>
    <w:p w14:paraId="54127570" w14:textId="2A4CEE1F" w:rsidR="006F47A1" w:rsidRDefault="00B622F2" w:rsidP="007F28E4">
      <w:pPr>
        <w:tabs>
          <w:tab w:val="left" w:pos="9639"/>
        </w:tabs>
        <w:outlineLvl w:val="0"/>
        <w:rPr>
          <w:rFonts w:ascii="Tahoma" w:hAnsi="Tahoma" w:cs="Tahoma"/>
          <w:b/>
          <w:sz w:val="20"/>
          <w:szCs w:val="20"/>
        </w:rPr>
      </w:pPr>
      <w:bookmarkStart w:id="38" w:name="_Toc191284485"/>
      <w:r>
        <w:rPr>
          <w:rFonts w:ascii="Tahoma" w:hAnsi="Tahoma" w:cs="Tahoma"/>
          <w:b/>
          <w:sz w:val="20"/>
          <w:szCs w:val="20"/>
        </w:rPr>
        <w:t>2.4.6</w:t>
      </w:r>
      <w:r w:rsidR="006F47A1">
        <w:rPr>
          <w:rFonts w:ascii="Tahoma" w:hAnsi="Tahoma" w:cs="Tahoma"/>
          <w:b/>
          <w:sz w:val="20"/>
          <w:szCs w:val="20"/>
        </w:rPr>
        <w:t>.</w:t>
      </w:r>
      <w:r w:rsidR="006F47A1" w:rsidRPr="00A65008">
        <w:rPr>
          <w:rFonts w:ascii="Tahoma" w:hAnsi="Tahoma" w:cs="Tahoma"/>
          <w:b/>
          <w:sz w:val="20"/>
          <w:szCs w:val="20"/>
        </w:rPr>
        <w:t>ТАРИФНЫЙ ПЛАН</w:t>
      </w:r>
      <w:r w:rsidR="00760680">
        <w:rPr>
          <w:rFonts w:ascii="Tahoma" w:hAnsi="Tahoma" w:cs="Tahoma"/>
          <w:b/>
          <w:sz w:val="20"/>
          <w:szCs w:val="20"/>
        </w:rPr>
        <w:t xml:space="preserve"> «ХОНДА»</w:t>
      </w:r>
      <w:r w:rsidR="00760680">
        <w:rPr>
          <w:rFonts w:ascii="Tahoma" w:hAnsi="Tahoma" w:cs="Tahoma"/>
          <w:b/>
          <w:sz w:val="20"/>
          <w:szCs w:val="20"/>
        </w:rPr>
        <w:tab/>
        <w:t>257</w:t>
      </w:r>
      <w:bookmarkEnd w:id="38"/>
    </w:p>
    <w:p w14:paraId="5E1D1F97" w14:textId="73F266F7" w:rsidR="009E605E" w:rsidRDefault="00B622F2" w:rsidP="007F28E4">
      <w:pPr>
        <w:tabs>
          <w:tab w:val="left" w:pos="9639"/>
        </w:tabs>
        <w:outlineLvl w:val="0"/>
        <w:rPr>
          <w:rFonts w:ascii="Tahoma" w:hAnsi="Tahoma" w:cs="Tahoma"/>
          <w:b/>
          <w:sz w:val="20"/>
          <w:szCs w:val="20"/>
        </w:rPr>
      </w:pPr>
      <w:bookmarkStart w:id="39" w:name="_Toc191284486"/>
      <w:r>
        <w:rPr>
          <w:rFonts w:ascii="Tahoma" w:hAnsi="Tahoma" w:cs="Tahoma"/>
          <w:b/>
          <w:sz w:val="20"/>
          <w:szCs w:val="20"/>
        </w:rPr>
        <w:t>2.4.7</w:t>
      </w:r>
      <w:r w:rsidR="009E605E" w:rsidRPr="009E605E">
        <w:rPr>
          <w:rFonts w:ascii="Tahoma" w:hAnsi="Tahoma" w:cs="Tahoma"/>
          <w:b/>
          <w:sz w:val="20"/>
          <w:szCs w:val="20"/>
        </w:rPr>
        <w:t>.ТАРИФНЫЙ ПЛАН «VGV»</w:t>
      </w:r>
      <w:r w:rsidR="00760680">
        <w:rPr>
          <w:rFonts w:ascii="Tahoma" w:hAnsi="Tahoma" w:cs="Tahoma"/>
          <w:b/>
          <w:sz w:val="20"/>
          <w:szCs w:val="20"/>
        </w:rPr>
        <w:tab/>
        <w:t>265</w:t>
      </w:r>
      <w:bookmarkEnd w:id="39"/>
    </w:p>
    <w:p w14:paraId="1D6541DE" w14:textId="7FCD20BB" w:rsidR="00B622F2" w:rsidRDefault="00B622F2" w:rsidP="00B622F2">
      <w:pPr>
        <w:tabs>
          <w:tab w:val="left" w:pos="9639"/>
        </w:tabs>
        <w:outlineLvl w:val="0"/>
        <w:rPr>
          <w:rFonts w:ascii="Tahoma" w:hAnsi="Tahoma" w:cs="Tahoma"/>
          <w:b/>
          <w:sz w:val="20"/>
          <w:szCs w:val="20"/>
        </w:rPr>
      </w:pPr>
      <w:bookmarkStart w:id="40" w:name="_Toc191284487"/>
      <w:r>
        <w:rPr>
          <w:rFonts w:ascii="Tahoma" w:hAnsi="Tahoma" w:cs="Tahoma"/>
          <w:b/>
          <w:sz w:val="20"/>
          <w:szCs w:val="20"/>
        </w:rPr>
        <w:t xml:space="preserve">2.4.8. ТАРИФНЫЙ ПЛАН </w:t>
      </w:r>
      <w:r w:rsidRPr="00A65008">
        <w:rPr>
          <w:rFonts w:ascii="Tahoma" w:hAnsi="Tahoma" w:cs="Tahoma"/>
          <w:b/>
          <w:sz w:val="20"/>
          <w:szCs w:val="20"/>
        </w:rPr>
        <w:t>«АВТОРЕШЕНИЕ»</w:t>
      </w:r>
      <w:r w:rsidR="00760680">
        <w:rPr>
          <w:rFonts w:ascii="Tahoma" w:hAnsi="Tahoma" w:cs="Tahoma"/>
          <w:b/>
          <w:sz w:val="20"/>
          <w:szCs w:val="20"/>
        </w:rPr>
        <w:tab/>
        <w:t>276</w:t>
      </w:r>
      <w:bookmarkEnd w:id="40"/>
    </w:p>
    <w:p w14:paraId="7B6DB5DE" w14:textId="4CE23C56" w:rsidR="004D0457" w:rsidRDefault="004D0457" w:rsidP="00B622F2">
      <w:pPr>
        <w:tabs>
          <w:tab w:val="left" w:pos="9639"/>
        </w:tabs>
        <w:outlineLvl w:val="0"/>
        <w:rPr>
          <w:rFonts w:ascii="Tahoma" w:hAnsi="Tahoma" w:cs="Tahoma"/>
          <w:b/>
          <w:sz w:val="20"/>
          <w:szCs w:val="20"/>
        </w:rPr>
      </w:pPr>
      <w:bookmarkStart w:id="41" w:name="_Toc191284488"/>
      <w:r w:rsidRPr="004D0457">
        <w:rPr>
          <w:rFonts w:ascii="Tahoma" w:hAnsi="Tahoma" w:cs="Tahoma"/>
          <w:b/>
          <w:sz w:val="20"/>
          <w:szCs w:val="20"/>
        </w:rPr>
        <w:t>2.4.9.ТАРИФНЫЙ ПЛАН «НОВЫЕ_ОНЛАЙН»</w:t>
      </w:r>
      <w:r>
        <w:rPr>
          <w:rFonts w:ascii="Tahoma" w:hAnsi="Tahoma" w:cs="Tahoma"/>
          <w:b/>
          <w:sz w:val="20"/>
          <w:szCs w:val="20"/>
        </w:rPr>
        <w:tab/>
      </w:r>
      <w:r w:rsidR="00324C59">
        <w:rPr>
          <w:rFonts w:ascii="Tahoma" w:hAnsi="Tahoma" w:cs="Tahoma"/>
          <w:b/>
          <w:sz w:val="20"/>
          <w:szCs w:val="20"/>
        </w:rPr>
        <w:t>279</w:t>
      </w:r>
      <w:bookmarkEnd w:id="41"/>
    </w:p>
    <w:p w14:paraId="3BBA4F0D" w14:textId="35624443" w:rsidR="004D0457" w:rsidRDefault="004D0457" w:rsidP="00B622F2">
      <w:pPr>
        <w:tabs>
          <w:tab w:val="left" w:pos="9639"/>
        </w:tabs>
        <w:outlineLvl w:val="0"/>
        <w:rPr>
          <w:rFonts w:ascii="Tahoma" w:hAnsi="Tahoma" w:cs="Tahoma"/>
          <w:b/>
          <w:sz w:val="20"/>
          <w:szCs w:val="20"/>
        </w:rPr>
      </w:pPr>
      <w:bookmarkStart w:id="42" w:name="_Toc191284489"/>
      <w:r w:rsidRPr="004D0457">
        <w:rPr>
          <w:rFonts w:ascii="Tahoma" w:hAnsi="Tahoma" w:cs="Tahoma"/>
          <w:b/>
          <w:sz w:val="20"/>
          <w:szCs w:val="20"/>
        </w:rPr>
        <w:t>2.4.10.ТАРИФНЫЙ ПЛАН «АСП_ОНЛАЙН»</w:t>
      </w:r>
      <w:r>
        <w:rPr>
          <w:rFonts w:ascii="Tahoma" w:hAnsi="Tahoma" w:cs="Tahoma"/>
          <w:b/>
          <w:sz w:val="20"/>
          <w:szCs w:val="20"/>
        </w:rPr>
        <w:tab/>
      </w:r>
      <w:r w:rsidR="00324C59">
        <w:rPr>
          <w:rFonts w:ascii="Tahoma" w:hAnsi="Tahoma" w:cs="Tahoma"/>
          <w:b/>
          <w:sz w:val="20"/>
          <w:szCs w:val="20"/>
        </w:rPr>
        <w:t>282</w:t>
      </w:r>
      <w:bookmarkEnd w:id="42"/>
    </w:p>
    <w:p w14:paraId="1D4C3D94" w14:textId="374F8C09" w:rsidR="00470B5F" w:rsidRPr="00ED3AA8" w:rsidRDefault="0007160F" w:rsidP="00470B5F">
      <w:pPr>
        <w:tabs>
          <w:tab w:val="left" w:pos="9639"/>
        </w:tabs>
        <w:outlineLvl w:val="0"/>
        <w:rPr>
          <w:rFonts w:ascii="Tahoma" w:hAnsi="Tahoma" w:cs="Tahoma"/>
          <w:b/>
          <w:sz w:val="20"/>
          <w:szCs w:val="20"/>
        </w:rPr>
      </w:pPr>
      <w:bookmarkStart w:id="43" w:name="_Toc191284490"/>
      <w:r>
        <w:rPr>
          <w:rFonts w:ascii="Tahoma" w:hAnsi="Tahoma" w:cs="Tahoma"/>
          <w:b/>
          <w:sz w:val="20"/>
          <w:szCs w:val="20"/>
        </w:rPr>
        <w:t>3. ВКЛАДЫ ФИЗИЧЕСКИХ ЛИ</w:t>
      </w:r>
      <w:r w:rsidR="0092521F">
        <w:rPr>
          <w:rFonts w:ascii="Tahoma" w:hAnsi="Tahoma" w:cs="Tahoma"/>
          <w:b/>
          <w:sz w:val="20"/>
          <w:szCs w:val="20"/>
        </w:rPr>
        <w:t>Ц</w:t>
      </w:r>
      <w:r w:rsidR="0092521F">
        <w:rPr>
          <w:rFonts w:ascii="Tahoma" w:hAnsi="Tahoma" w:cs="Tahoma"/>
          <w:b/>
          <w:sz w:val="20"/>
          <w:szCs w:val="20"/>
        </w:rPr>
        <w:tab/>
        <w:t>284</w:t>
      </w:r>
      <w:bookmarkEnd w:id="43"/>
    </w:p>
    <w:p w14:paraId="10E30992" w14:textId="4012FDC2" w:rsidR="00470B5F" w:rsidRPr="00ED3AA8" w:rsidRDefault="00470B5F" w:rsidP="00470B5F">
      <w:pPr>
        <w:tabs>
          <w:tab w:val="left" w:pos="9639"/>
        </w:tabs>
        <w:outlineLvl w:val="0"/>
        <w:rPr>
          <w:rFonts w:ascii="Tahoma" w:hAnsi="Tahoma" w:cs="Tahoma"/>
          <w:b/>
          <w:sz w:val="20"/>
          <w:szCs w:val="20"/>
        </w:rPr>
      </w:pPr>
      <w:bookmarkStart w:id="44" w:name="_Toc191284491"/>
      <w:r w:rsidRPr="00C6598F">
        <w:rPr>
          <w:rFonts w:ascii="Tahoma" w:hAnsi="Tahoma" w:cs="Tahoma"/>
          <w:b/>
          <w:sz w:val="20"/>
          <w:szCs w:val="20"/>
        </w:rPr>
        <w:t>3.1.</w:t>
      </w:r>
      <w:r>
        <w:rPr>
          <w:rFonts w:ascii="Tahoma" w:hAnsi="Tahoma" w:cs="Tahoma"/>
          <w:b/>
          <w:sz w:val="20"/>
          <w:szCs w:val="20"/>
        </w:rPr>
        <w:t xml:space="preserve"> </w:t>
      </w:r>
      <w:r w:rsidRPr="00C6598F">
        <w:rPr>
          <w:rFonts w:ascii="Tahoma" w:hAnsi="Tahoma" w:cs="Tahoma"/>
          <w:b/>
          <w:sz w:val="20"/>
          <w:szCs w:val="20"/>
        </w:rPr>
        <w:t>ВКЛАД «ЛИЧНЫЙ СЧЕТ» (ДО ВОСТРЕБ</w:t>
      </w:r>
      <w:r w:rsidR="0092521F">
        <w:rPr>
          <w:rFonts w:ascii="Tahoma" w:hAnsi="Tahoma" w:cs="Tahoma"/>
          <w:b/>
          <w:sz w:val="20"/>
          <w:szCs w:val="20"/>
        </w:rPr>
        <w:t>ОВАНИЯ)</w:t>
      </w:r>
      <w:r w:rsidR="0092521F">
        <w:rPr>
          <w:rFonts w:ascii="Tahoma" w:hAnsi="Tahoma" w:cs="Tahoma"/>
          <w:b/>
          <w:sz w:val="20"/>
          <w:szCs w:val="20"/>
        </w:rPr>
        <w:tab/>
        <w:t>284</w:t>
      </w:r>
      <w:bookmarkEnd w:id="44"/>
    </w:p>
    <w:p w14:paraId="70F2DF5B" w14:textId="341EDF2B" w:rsidR="00470B5F" w:rsidRPr="00ED3AA8" w:rsidRDefault="00470B5F" w:rsidP="00470B5F">
      <w:pPr>
        <w:tabs>
          <w:tab w:val="left" w:pos="9639"/>
        </w:tabs>
        <w:outlineLvl w:val="0"/>
        <w:rPr>
          <w:rFonts w:ascii="Tahoma" w:hAnsi="Tahoma" w:cs="Tahoma"/>
          <w:b/>
          <w:sz w:val="20"/>
          <w:szCs w:val="20"/>
        </w:rPr>
      </w:pPr>
      <w:bookmarkStart w:id="45" w:name="_Toc191284492"/>
      <w:r w:rsidRPr="00C6598F">
        <w:rPr>
          <w:rFonts w:ascii="Tahoma" w:hAnsi="Tahoma" w:cs="Tahoma"/>
          <w:b/>
          <w:sz w:val="20"/>
          <w:szCs w:val="20"/>
        </w:rPr>
        <w:t>3.2.</w:t>
      </w:r>
      <w:r>
        <w:rPr>
          <w:rFonts w:ascii="Tahoma" w:hAnsi="Tahoma" w:cs="Tahoma"/>
          <w:b/>
          <w:sz w:val="20"/>
          <w:szCs w:val="20"/>
        </w:rPr>
        <w:t xml:space="preserve"> </w:t>
      </w:r>
      <w:r w:rsidRPr="00C6598F">
        <w:rPr>
          <w:rFonts w:ascii="Tahoma" w:hAnsi="Tahoma" w:cs="Tahoma"/>
          <w:b/>
          <w:sz w:val="20"/>
          <w:szCs w:val="20"/>
        </w:rPr>
        <w:t xml:space="preserve">ВКЛАД «ПЕНСИОННАЯ </w:t>
      </w:r>
      <w:r w:rsidR="0092521F">
        <w:rPr>
          <w:rFonts w:ascii="Tahoma" w:hAnsi="Tahoma" w:cs="Tahoma"/>
          <w:b/>
          <w:sz w:val="20"/>
          <w:szCs w:val="20"/>
        </w:rPr>
        <w:t>СБЕРКНИЖКА ДО ВОСТРЕБОВАНИЯ»</w:t>
      </w:r>
      <w:r w:rsidR="0092521F">
        <w:rPr>
          <w:rFonts w:ascii="Tahoma" w:hAnsi="Tahoma" w:cs="Tahoma"/>
          <w:b/>
          <w:sz w:val="20"/>
          <w:szCs w:val="20"/>
        </w:rPr>
        <w:tab/>
        <w:t>284</w:t>
      </w:r>
      <w:bookmarkEnd w:id="45"/>
    </w:p>
    <w:p w14:paraId="3578CA37" w14:textId="4217054D" w:rsidR="00050221" w:rsidRDefault="00E15E93" w:rsidP="00470B5F">
      <w:pPr>
        <w:tabs>
          <w:tab w:val="left" w:pos="9639"/>
        </w:tabs>
        <w:outlineLvl w:val="0"/>
        <w:rPr>
          <w:rFonts w:ascii="Tahoma" w:hAnsi="Tahoma" w:cs="Tahoma"/>
          <w:b/>
          <w:sz w:val="20"/>
          <w:szCs w:val="20"/>
        </w:rPr>
      </w:pPr>
      <w:bookmarkStart w:id="46" w:name="_Toc191284493"/>
      <w:r>
        <w:rPr>
          <w:rFonts w:ascii="Tahoma" w:hAnsi="Tahoma" w:cs="Tahoma"/>
          <w:b/>
          <w:sz w:val="20"/>
          <w:szCs w:val="20"/>
        </w:rPr>
        <w:t xml:space="preserve">3.3. </w:t>
      </w:r>
      <w:r w:rsidR="00161841" w:rsidRPr="00161841">
        <w:rPr>
          <w:rFonts w:ascii="Tahoma" w:hAnsi="Tahoma" w:cs="Tahoma"/>
          <w:b/>
          <w:bCs/>
          <w:sz w:val="20"/>
          <w:szCs w:val="20"/>
        </w:rPr>
        <w:t>ВКЛАД «АТБ. ВКЛАД» (БЕЗ ПОПОЛНЕНИЯ И СНЯТИЯ)</w:t>
      </w:r>
      <w:r w:rsidR="0092521F">
        <w:rPr>
          <w:rFonts w:ascii="Tahoma" w:hAnsi="Tahoma" w:cs="Tahoma"/>
          <w:b/>
          <w:sz w:val="20"/>
          <w:szCs w:val="20"/>
        </w:rPr>
        <w:tab/>
        <w:t>285</w:t>
      </w:r>
      <w:bookmarkEnd w:id="46"/>
    </w:p>
    <w:p w14:paraId="52285C26" w14:textId="5B8B8C59" w:rsidR="00050221" w:rsidRDefault="00050221" w:rsidP="00470B5F">
      <w:pPr>
        <w:tabs>
          <w:tab w:val="left" w:pos="9639"/>
        </w:tabs>
        <w:outlineLvl w:val="0"/>
        <w:rPr>
          <w:rFonts w:ascii="Tahoma" w:hAnsi="Tahoma" w:cs="Tahoma"/>
          <w:b/>
          <w:sz w:val="20"/>
          <w:szCs w:val="20"/>
        </w:rPr>
      </w:pPr>
      <w:bookmarkStart w:id="47" w:name="_Toc191284494"/>
      <w:r>
        <w:rPr>
          <w:rFonts w:ascii="Tahoma" w:hAnsi="Tahoma" w:cs="Tahoma"/>
          <w:b/>
          <w:sz w:val="20"/>
          <w:szCs w:val="20"/>
        </w:rPr>
        <w:t>3.</w:t>
      </w:r>
      <w:r w:rsidR="00276E72">
        <w:rPr>
          <w:rFonts w:ascii="Tahoma" w:hAnsi="Tahoma" w:cs="Tahoma"/>
          <w:b/>
          <w:sz w:val="20"/>
          <w:szCs w:val="20"/>
        </w:rPr>
        <w:t xml:space="preserve">4. </w:t>
      </w:r>
      <w:r w:rsidR="00161841" w:rsidRPr="00161841">
        <w:rPr>
          <w:rFonts w:ascii="Tahoma" w:hAnsi="Tahoma" w:cs="Tahoma"/>
          <w:b/>
          <w:bCs/>
          <w:sz w:val="20"/>
          <w:szCs w:val="20"/>
        </w:rPr>
        <w:t>ВКЛАД «АТБ. ВКЛАД» (С ПОПОЛНЕНИЕМ)</w:t>
      </w:r>
      <w:r w:rsidR="0092521F">
        <w:rPr>
          <w:rFonts w:ascii="Tahoma" w:hAnsi="Tahoma" w:cs="Tahoma"/>
          <w:b/>
          <w:sz w:val="20"/>
          <w:szCs w:val="20"/>
        </w:rPr>
        <w:tab/>
        <w:t>286</w:t>
      </w:r>
      <w:bookmarkEnd w:id="47"/>
    </w:p>
    <w:p w14:paraId="306FA48A" w14:textId="6771F2E3" w:rsidR="00470B5F" w:rsidRPr="00ED3AA8" w:rsidRDefault="00050221" w:rsidP="00470B5F">
      <w:pPr>
        <w:tabs>
          <w:tab w:val="left" w:pos="9639"/>
        </w:tabs>
        <w:outlineLvl w:val="0"/>
        <w:rPr>
          <w:rFonts w:ascii="Tahoma" w:hAnsi="Tahoma" w:cs="Tahoma"/>
          <w:b/>
          <w:sz w:val="20"/>
          <w:szCs w:val="20"/>
        </w:rPr>
      </w:pPr>
      <w:bookmarkStart w:id="48" w:name="_Toc191284495"/>
      <w:r>
        <w:rPr>
          <w:rFonts w:ascii="Tahoma" w:hAnsi="Tahoma" w:cs="Tahoma"/>
          <w:b/>
          <w:sz w:val="20"/>
          <w:szCs w:val="20"/>
        </w:rPr>
        <w:lastRenderedPageBreak/>
        <w:t>3.5</w:t>
      </w:r>
      <w:r w:rsidR="00470B5F" w:rsidRPr="00C6598F">
        <w:rPr>
          <w:rFonts w:ascii="Tahoma" w:hAnsi="Tahoma" w:cs="Tahoma"/>
          <w:b/>
          <w:sz w:val="20"/>
          <w:szCs w:val="20"/>
        </w:rPr>
        <w:t>.</w:t>
      </w:r>
      <w:r w:rsidR="00D96338">
        <w:rPr>
          <w:rFonts w:ascii="Tahoma" w:hAnsi="Tahoma" w:cs="Tahoma"/>
          <w:b/>
          <w:sz w:val="20"/>
          <w:szCs w:val="20"/>
        </w:rPr>
        <w:t xml:space="preserve"> </w:t>
      </w:r>
      <w:r w:rsidR="00161841" w:rsidRPr="00161841">
        <w:rPr>
          <w:rFonts w:ascii="Tahoma" w:hAnsi="Tahoma" w:cs="Tahoma"/>
          <w:b/>
          <w:bCs/>
          <w:sz w:val="20"/>
          <w:szCs w:val="20"/>
        </w:rPr>
        <w:t>ВКЛАД «АТБ. ВКЛАД ОНЛАЙН» (БЕЗ ПОПОЛНЕНИЯ И СНЯТИЯ) (</w:t>
      </w:r>
      <w:r w:rsidR="00161841" w:rsidRPr="00161841">
        <w:rPr>
          <w:rFonts w:ascii="Tahoma" w:hAnsi="Tahoma" w:cs="Tahoma"/>
          <w:b/>
          <w:bCs/>
          <w:iCs/>
          <w:sz w:val="20"/>
          <w:szCs w:val="20"/>
        </w:rPr>
        <w:t>ОТКРЫВАЕТСЯ ТОЛЬКО ЧЕРЕЗ КАНАЛЫ ДБО)</w:t>
      </w:r>
      <w:r w:rsidR="0092521F">
        <w:rPr>
          <w:rFonts w:ascii="Tahoma" w:hAnsi="Tahoma" w:cs="Tahoma"/>
          <w:b/>
          <w:sz w:val="20"/>
          <w:szCs w:val="20"/>
        </w:rPr>
        <w:tab/>
        <w:t>287</w:t>
      </w:r>
      <w:bookmarkEnd w:id="48"/>
    </w:p>
    <w:p w14:paraId="46080CFC" w14:textId="58D0CDAB" w:rsidR="00470B5F" w:rsidRPr="00ED3AA8" w:rsidRDefault="00050221" w:rsidP="00470B5F">
      <w:pPr>
        <w:tabs>
          <w:tab w:val="left" w:pos="9639"/>
        </w:tabs>
        <w:outlineLvl w:val="0"/>
        <w:rPr>
          <w:rFonts w:ascii="Tahoma" w:hAnsi="Tahoma" w:cs="Tahoma"/>
          <w:b/>
          <w:sz w:val="20"/>
          <w:szCs w:val="20"/>
        </w:rPr>
      </w:pPr>
      <w:bookmarkStart w:id="49" w:name="_Toc191284496"/>
      <w:r>
        <w:rPr>
          <w:rFonts w:ascii="Tahoma" w:hAnsi="Tahoma" w:cs="Tahoma"/>
          <w:b/>
          <w:sz w:val="20"/>
          <w:szCs w:val="20"/>
        </w:rPr>
        <w:t>3.6</w:t>
      </w:r>
      <w:r w:rsidR="00470B5F" w:rsidRPr="00C6598F">
        <w:rPr>
          <w:rFonts w:ascii="Tahoma" w:hAnsi="Tahoma" w:cs="Tahoma"/>
          <w:b/>
          <w:sz w:val="20"/>
          <w:szCs w:val="20"/>
        </w:rPr>
        <w:t>.</w:t>
      </w:r>
      <w:r w:rsidR="00470B5F">
        <w:rPr>
          <w:rFonts w:ascii="Tahoma" w:hAnsi="Tahoma" w:cs="Tahoma"/>
          <w:b/>
          <w:sz w:val="20"/>
          <w:szCs w:val="20"/>
        </w:rPr>
        <w:t xml:space="preserve"> </w:t>
      </w:r>
      <w:r w:rsidR="00161841" w:rsidRPr="00161841">
        <w:rPr>
          <w:rFonts w:ascii="Tahoma" w:hAnsi="Tahoma" w:cs="Tahoma"/>
          <w:b/>
          <w:bCs/>
          <w:sz w:val="20"/>
          <w:szCs w:val="20"/>
        </w:rPr>
        <w:t>ВКЛАД «АТБ. ВКЛАД ОНЛАЙН» (С ПОПОЛНЕНИЕМ) (</w:t>
      </w:r>
      <w:r w:rsidR="00161841" w:rsidRPr="00161841">
        <w:rPr>
          <w:rFonts w:ascii="Tahoma" w:hAnsi="Tahoma" w:cs="Tahoma"/>
          <w:b/>
          <w:bCs/>
          <w:iCs/>
          <w:sz w:val="20"/>
          <w:szCs w:val="20"/>
        </w:rPr>
        <w:t>ОТКРЫВАЕТСЯ ТОЛЬКО ЧЕРЕЗ КАНАЛЫ ДБО)</w:t>
      </w:r>
      <w:r w:rsidR="003E719A">
        <w:rPr>
          <w:rFonts w:ascii="Tahoma" w:hAnsi="Tahoma" w:cs="Tahoma"/>
          <w:b/>
          <w:sz w:val="20"/>
          <w:szCs w:val="20"/>
        </w:rPr>
        <w:tab/>
      </w:r>
      <w:r w:rsidR="0092521F">
        <w:rPr>
          <w:rFonts w:ascii="Tahoma" w:hAnsi="Tahoma" w:cs="Tahoma"/>
          <w:b/>
          <w:sz w:val="20"/>
          <w:szCs w:val="20"/>
        </w:rPr>
        <w:t>287</w:t>
      </w:r>
      <w:bookmarkEnd w:id="49"/>
    </w:p>
    <w:p w14:paraId="2B809369" w14:textId="67C5C178" w:rsidR="00A3475B" w:rsidRDefault="008A4EA0" w:rsidP="00470B5F">
      <w:pPr>
        <w:tabs>
          <w:tab w:val="left" w:pos="9639"/>
        </w:tabs>
        <w:outlineLvl w:val="0"/>
        <w:rPr>
          <w:rFonts w:ascii="Tahoma" w:hAnsi="Tahoma" w:cs="Tahoma"/>
          <w:b/>
          <w:sz w:val="20"/>
          <w:szCs w:val="20"/>
        </w:rPr>
      </w:pPr>
      <w:bookmarkStart w:id="50" w:name="_Toc191284497"/>
      <w:r>
        <w:rPr>
          <w:rFonts w:ascii="Tahoma" w:hAnsi="Tahoma" w:cs="Tahoma"/>
          <w:b/>
          <w:sz w:val="20"/>
          <w:szCs w:val="20"/>
        </w:rPr>
        <w:t>3.7</w:t>
      </w:r>
      <w:r w:rsidR="006F47A1">
        <w:rPr>
          <w:rFonts w:ascii="Tahoma" w:hAnsi="Tahoma" w:cs="Tahoma"/>
          <w:b/>
          <w:sz w:val="20"/>
          <w:szCs w:val="20"/>
        </w:rPr>
        <w:t xml:space="preserve">. ВКЛАД «ДОБРО </w:t>
      </w:r>
      <w:r w:rsidR="00393771">
        <w:rPr>
          <w:rFonts w:ascii="Tahoma" w:hAnsi="Tahoma" w:cs="Tahoma"/>
          <w:b/>
          <w:sz w:val="20"/>
          <w:szCs w:val="20"/>
        </w:rPr>
        <w:t>ПОЖАЛОВ</w:t>
      </w:r>
      <w:r w:rsidR="0092521F">
        <w:rPr>
          <w:rFonts w:ascii="Tahoma" w:hAnsi="Tahoma" w:cs="Tahoma"/>
          <w:b/>
          <w:sz w:val="20"/>
          <w:szCs w:val="20"/>
        </w:rPr>
        <w:t>АТЬ»</w:t>
      </w:r>
      <w:r w:rsidR="0092521F">
        <w:rPr>
          <w:rFonts w:ascii="Tahoma" w:hAnsi="Tahoma" w:cs="Tahoma"/>
          <w:b/>
          <w:sz w:val="20"/>
          <w:szCs w:val="20"/>
        </w:rPr>
        <w:tab/>
        <w:t>288</w:t>
      </w:r>
      <w:bookmarkEnd w:id="50"/>
    </w:p>
    <w:p w14:paraId="29F04A3E" w14:textId="4AE5A92F" w:rsidR="00C41428" w:rsidRDefault="001C3C02" w:rsidP="00470B5F">
      <w:pPr>
        <w:tabs>
          <w:tab w:val="left" w:pos="9639"/>
        </w:tabs>
        <w:outlineLvl w:val="0"/>
        <w:rPr>
          <w:rFonts w:ascii="Tahoma" w:hAnsi="Tahoma" w:cs="Tahoma"/>
          <w:b/>
          <w:sz w:val="20"/>
          <w:szCs w:val="20"/>
        </w:rPr>
      </w:pPr>
      <w:bookmarkStart w:id="51" w:name="_Toc191284498"/>
      <w:r>
        <w:rPr>
          <w:rFonts w:ascii="Tahoma" w:hAnsi="Tahoma" w:cs="Tahoma"/>
          <w:b/>
          <w:sz w:val="20"/>
          <w:szCs w:val="20"/>
        </w:rPr>
        <w:t xml:space="preserve">3.8. </w:t>
      </w:r>
      <w:r w:rsidRPr="00C41428">
        <w:rPr>
          <w:rFonts w:ascii="Tahoma" w:hAnsi="Tahoma" w:cs="Tahoma"/>
          <w:b/>
          <w:sz w:val="20"/>
          <w:szCs w:val="20"/>
        </w:rPr>
        <w:t>ВКЛАД «АТБ.ВИП. ВКЛАД» (БЕЗ ПОПОЛНЕНИЯ И СНЯТИЯ)</w:t>
      </w:r>
      <w:r w:rsidR="0092521F">
        <w:rPr>
          <w:rFonts w:ascii="Tahoma" w:hAnsi="Tahoma" w:cs="Tahoma"/>
          <w:b/>
          <w:sz w:val="20"/>
          <w:szCs w:val="20"/>
        </w:rPr>
        <w:tab/>
        <w:t>289</w:t>
      </w:r>
      <w:bookmarkEnd w:id="51"/>
    </w:p>
    <w:p w14:paraId="79142F69" w14:textId="49D97BB5" w:rsidR="00C41428" w:rsidRDefault="001C3C02" w:rsidP="00470B5F">
      <w:pPr>
        <w:tabs>
          <w:tab w:val="left" w:pos="9639"/>
        </w:tabs>
        <w:outlineLvl w:val="0"/>
        <w:rPr>
          <w:rFonts w:ascii="Tahoma" w:hAnsi="Tahoma" w:cs="Tahoma"/>
          <w:b/>
          <w:sz w:val="20"/>
          <w:szCs w:val="20"/>
        </w:rPr>
      </w:pPr>
      <w:bookmarkStart w:id="52" w:name="_Toc191284499"/>
      <w:r>
        <w:rPr>
          <w:rFonts w:ascii="Tahoma" w:hAnsi="Tahoma" w:cs="Tahoma"/>
          <w:b/>
          <w:sz w:val="20"/>
          <w:szCs w:val="20"/>
        </w:rPr>
        <w:t>3.9.</w:t>
      </w:r>
      <w:r w:rsidRPr="00C41428">
        <w:rPr>
          <w:rFonts w:ascii="Tahoma" w:hAnsi="Tahoma" w:cs="Tahoma"/>
          <w:b/>
          <w:sz w:val="20"/>
          <w:szCs w:val="20"/>
        </w:rPr>
        <w:t>ВКЛАД «АТБ.ВИП. ВКЛАД» (С ПОПОЛНЕНИЕМ)</w:t>
      </w:r>
      <w:r w:rsidR="0092521F">
        <w:rPr>
          <w:rFonts w:ascii="Tahoma" w:hAnsi="Tahoma" w:cs="Tahoma"/>
          <w:b/>
          <w:sz w:val="20"/>
          <w:szCs w:val="20"/>
        </w:rPr>
        <w:tab/>
        <w:t>289</w:t>
      </w:r>
      <w:bookmarkEnd w:id="52"/>
    </w:p>
    <w:p w14:paraId="7530BAB0" w14:textId="47BB838F" w:rsidR="002B7E85" w:rsidRDefault="002B7E85" w:rsidP="00470B5F">
      <w:pPr>
        <w:tabs>
          <w:tab w:val="left" w:pos="9639"/>
        </w:tabs>
        <w:outlineLvl w:val="0"/>
        <w:rPr>
          <w:rFonts w:ascii="Tahoma" w:hAnsi="Tahoma" w:cs="Tahoma"/>
          <w:b/>
          <w:sz w:val="20"/>
          <w:szCs w:val="20"/>
        </w:rPr>
      </w:pPr>
      <w:bookmarkStart w:id="53" w:name="_Toc191284500"/>
      <w:r w:rsidRPr="002B7E85">
        <w:rPr>
          <w:rFonts w:ascii="Tahoma" w:hAnsi="Tahoma" w:cs="Tahoma"/>
          <w:b/>
          <w:sz w:val="20"/>
          <w:szCs w:val="20"/>
        </w:rPr>
        <w:t>3.10. ВКЛАД «АТБ.ВИП. ВКЛАД» (С ПОПОЛНЕНИЕМ И СНЯТИЕМ)</w:t>
      </w:r>
      <w:r w:rsidR="0092521F">
        <w:rPr>
          <w:rFonts w:ascii="Tahoma" w:hAnsi="Tahoma" w:cs="Tahoma"/>
          <w:b/>
          <w:sz w:val="20"/>
          <w:szCs w:val="20"/>
        </w:rPr>
        <w:tab/>
        <w:t>289</w:t>
      </w:r>
      <w:bookmarkEnd w:id="53"/>
    </w:p>
    <w:p w14:paraId="57AAB21C" w14:textId="20411197" w:rsidR="00585781" w:rsidRDefault="00585781" w:rsidP="00470B5F">
      <w:pPr>
        <w:tabs>
          <w:tab w:val="left" w:pos="9639"/>
        </w:tabs>
        <w:outlineLvl w:val="0"/>
        <w:rPr>
          <w:rFonts w:ascii="Tahoma" w:hAnsi="Tahoma" w:cs="Tahoma"/>
          <w:b/>
          <w:sz w:val="20"/>
          <w:szCs w:val="20"/>
        </w:rPr>
      </w:pPr>
      <w:bookmarkStart w:id="54" w:name="_Toc191284501"/>
      <w:r>
        <w:rPr>
          <w:rFonts w:ascii="Tahoma" w:hAnsi="Tahoma" w:cs="Tahoma"/>
          <w:b/>
          <w:sz w:val="20"/>
          <w:szCs w:val="20"/>
        </w:rPr>
        <w:t>3.11.</w:t>
      </w:r>
      <w:r w:rsidR="00B13F08">
        <w:rPr>
          <w:rFonts w:ascii="Tahoma" w:hAnsi="Tahoma" w:cs="Tahoma"/>
          <w:b/>
          <w:sz w:val="20"/>
          <w:szCs w:val="20"/>
        </w:rPr>
        <w:t>1</w:t>
      </w:r>
      <w:r>
        <w:rPr>
          <w:rFonts w:ascii="Tahoma" w:hAnsi="Tahoma" w:cs="Tahoma"/>
          <w:b/>
          <w:sz w:val="20"/>
          <w:szCs w:val="20"/>
        </w:rPr>
        <w:t xml:space="preserve"> ВКЛАД «КЛЮЧЕВОЙ» (С ПОПОЛНЕНИЕМ)</w:t>
      </w:r>
      <w:r w:rsidR="00B13F08">
        <w:rPr>
          <w:rFonts w:ascii="Tahoma" w:hAnsi="Tahoma" w:cs="Tahoma"/>
          <w:b/>
          <w:sz w:val="20"/>
          <w:szCs w:val="20"/>
        </w:rPr>
        <w:t xml:space="preserve"> </w:t>
      </w:r>
      <w:r w:rsidR="00B13F08" w:rsidRPr="00B13F08">
        <w:rPr>
          <w:rFonts w:ascii="Tahoma" w:hAnsi="Tahoma" w:cs="Tahoma"/>
          <w:b/>
          <w:sz w:val="20"/>
          <w:szCs w:val="20"/>
        </w:rPr>
        <w:t>(для вкладов, открытых по 03.10.2024)</w:t>
      </w:r>
      <w:r w:rsidR="0092521F">
        <w:rPr>
          <w:rFonts w:ascii="Tahoma" w:hAnsi="Tahoma" w:cs="Tahoma"/>
          <w:b/>
          <w:sz w:val="20"/>
          <w:szCs w:val="20"/>
        </w:rPr>
        <w:tab/>
        <w:t>291</w:t>
      </w:r>
      <w:bookmarkEnd w:id="54"/>
    </w:p>
    <w:p w14:paraId="10F70EE4" w14:textId="624B81D9" w:rsidR="00B13F08" w:rsidRDefault="00B13F08" w:rsidP="00470B5F">
      <w:pPr>
        <w:tabs>
          <w:tab w:val="left" w:pos="9639"/>
        </w:tabs>
        <w:outlineLvl w:val="0"/>
        <w:rPr>
          <w:rFonts w:ascii="Tahoma" w:hAnsi="Tahoma" w:cs="Tahoma"/>
          <w:b/>
          <w:sz w:val="20"/>
          <w:szCs w:val="20"/>
        </w:rPr>
      </w:pPr>
      <w:bookmarkStart w:id="55" w:name="_Toc191284502"/>
      <w:r w:rsidRPr="00B13F08">
        <w:rPr>
          <w:rFonts w:ascii="Tahoma" w:hAnsi="Tahoma" w:cs="Tahoma"/>
          <w:b/>
          <w:sz w:val="20"/>
          <w:szCs w:val="20"/>
        </w:rPr>
        <w:t>3.11.2. Вклад «Ключевой» (с пополнением) (для вкладов, открытых с 04.10.2024)</w:t>
      </w:r>
      <w:r w:rsidR="0092521F">
        <w:rPr>
          <w:rFonts w:ascii="Tahoma" w:hAnsi="Tahoma" w:cs="Tahoma"/>
          <w:b/>
          <w:sz w:val="20"/>
          <w:szCs w:val="20"/>
        </w:rPr>
        <w:tab/>
        <w:t>293</w:t>
      </w:r>
      <w:bookmarkEnd w:id="55"/>
    </w:p>
    <w:p w14:paraId="53C2713C" w14:textId="57314A0B" w:rsidR="00470B5F" w:rsidRPr="0005581E" w:rsidRDefault="00585781" w:rsidP="00470B5F">
      <w:pPr>
        <w:tabs>
          <w:tab w:val="left" w:pos="9639"/>
        </w:tabs>
        <w:outlineLvl w:val="0"/>
        <w:rPr>
          <w:rFonts w:ascii="Tahoma" w:hAnsi="Tahoma" w:cs="Tahoma"/>
          <w:b/>
          <w:sz w:val="20"/>
          <w:szCs w:val="20"/>
        </w:rPr>
      </w:pPr>
      <w:bookmarkStart w:id="56" w:name="_Toc191284503"/>
      <w:r>
        <w:rPr>
          <w:rFonts w:ascii="Tahoma" w:hAnsi="Tahoma" w:cs="Tahoma"/>
          <w:b/>
          <w:sz w:val="20"/>
          <w:szCs w:val="20"/>
        </w:rPr>
        <w:t>3.12</w:t>
      </w:r>
      <w:r w:rsidR="00470B5F" w:rsidRPr="00C6598F">
        <w:rPr>
          <w:rFonts w:ascii="Tahoma" w:hAnsi="Tahoma" w:cs="Tahoma"/>
          <w:b/>
          <w:sz w:val="20"/>
          <w:szCs w:val="20"/>
        </w:rPr>
        <w:t xml:space="preserve">. </w:t>
      </w:r>
      <w:r w:rsidR="00AC6FE9" w:rsidRPr="00AC6FE9">
        <w:rPr>
          <w:rFonts w:ascii="Tahoma" w:hAnsi="Tahoma" w:cs="Tahoma"/>
          <w:b/>
          <w:sz w:val="20"/>
          <w:szCs w:val="20"/>
        </w:rPr>
        <w:t>БАНКОВСКИЕ СЧЕТА В ДРАГОЦЕННЫХ МЕТАЛЛАХ</w:t>
      </w:r>
      <w:r w:rsidR="0092521F">
        <w:rPr>
          <w:rFonts w:ascii="Tahoma" w:hAnsi="Tahoma" w:cs="Tahoma"/>
          <w:b/>
          <w:sz w:val="20"/>
          <w:szCs w:val="20"/>
        </w:rPr>
        <w:tab/>
        <w:t>295</w:t>
      </w:r>
      <w:bookmarkEnd w:id="56"/>
    </w:p>
    <w:p w14:paraId="657EF4AB" w14:textId="7A0473BC" w:rsidR="00470B5F" w:rsidRDefault="00470B5F" w:rsidP="00470B5F">
      <w:pPr>
        <w:tabs>
          <w:tab w:val="left" w:pos="9639"/>
        </w:tabs>
        <w:outlineLvl w:val="0"/>
        <w:rPr>
          <w:rFonts w:ascii="Tahoma" w:hAnsi="Tahoma" w:cs="Tahoma"/>
          <w:b/>
          <w:sz w:val="20"/>
          <w:szCs w:val="20"/>
        </w:rPr>
      </w:pPr>
      <w:bookmarkStart w:id="57" w:name="_Toc191284504"/>
      <w:r w:rsidRPr="00C6598F">
        <w:rPr>
          <w:rFonts w:ascii="Tahoma" w:hAnsi="Tahoma" w:cs="Tahoma"/>
          <w:b/>
          <w:sz w:val="20"/>
          <w:szCs w:val="20"/>
        </w:rPr>
        <w:t>3.</w:t>
      </w:r>
      <w:r w:rsidR="00585781">
        <w:rPr>
          <w:rFonts w:ascii="Tahoma" w:hAnsi="Tahoma" w:cs="Tahoma"/>
          <w:b/>
          <w:sz w:val="20"/>
          <w:szCs w:val="20"/>
        </w:rPr>
        <w:t>13</w:t>
      </w:r>
      <w:r w:rsidRPr="00C6598F">
        <w:rPr>
          <w:rFonts w:ascii="Tahoma" w:hAnsi="Tahoma" w:cs="Tahoma"/>
          <w:b/>
          <w:sz w:val="20"/>
          <w:szCs w:val="20"/>
        </w:rPr>
        <w:t>. СПЕЦИАЛЬНЫЙ БАН</w:t>
      </w:r>
      <w:r>
        <w:rPr>
          <w:rFonts w:ascii="Tahoma" w:hAnsi="Tahoma" w:cs="Tahoma"/>
          <w:b/>
          <w:sz w:val="20"/>
          <w:szCs w:val="20"/>
        </w:rPr>
        <w:t>КОВ</w:t>
      </w:r>
      <w:r w:rsidR="00A3475B">
        <w:rPr>
          <w:rFonts w:ascii="Tahoma" w:hAnsi="Tahoma" w:cs="Tahoma"/>
          <w:b/>
          <w:sz w:val="20"/>
          <w:szCs w:val="20"/>
        </w:rPr>
        <w:t>СКИЙ СЧЕТ «НОМИНА</w:t>
      </w:r>
      <w:r w:rsidR="0092521F">
        <w:rPr>
          <w:rFonts w:ascii="Tahoma" w:hAnsi="Tahoma" w:cs="Tahoma"/>
          <w:b/>
          <w:sz w:val="20"/>
          <w:szCs w:val="20"/>
        </w:rPr>
        <w:t>ЛЬНЫЙ СЧЕТ»</w:t>
      </w:r>
      <w:r w:rsidR="0092521F">
        <w:rPr>
          <w:rFonts w:ascii="Tahoma" w:hAnsi="Tahoma" w:cs="Tahoma"/>
          <w:b/>
          <w:sz w:val="20"/>
          <w:szCs w:val="20"/>
        </w:rPr>
        <w:tab/>
        <w:t>295</w:t>
      </w:r>
      <w:bookmarkEnd w:id="57"/>
    </w:p>
    <w:p w14:paraId="4E76A466" w14:textId="5C14418D" w:rsidR="00310CD9" w:rsidRPr="00310CD9" w:rsidRDefault="00585781" w:rsidP="00310CD9">
      <w:pPr>
        <w:tabs>
          <w:tab w:val="left" w:pos="9639"/>
        </w:tabs>
        <w:outlineLvl w:val="0"/>
        <w:rPr>
          <w:rFonts w:ascii="Tahoma" w:hAnsi="Tahoma" w:cs="Tahoma"/>
          <w:b/>
          <w:bCs/>
          <w:sz w:val="20"/>
          <w:szCs w:val="20"/>
        </w:rPr>
      </w:pPr>
      <w:bookmarkStart w:id="58" w:name="_Toc191284505"/>
      <w:r>
        <w:rPr>
          <w:rFonts w:ascii="Tahoma" w:hAnsi="Tahoma" w:cs="Tahoma"/>
          <w:b/>
          <w:sz w:val="20"/>
          <w:szCs w:val="20"/>
        </w:rPr>
        <w:t>3.14</w:t>
      </w:r>
      <w:r w:rsidR="00AF396F">
        <w:rPr>
          <w:rFonts w:ascii="Tahoma" w:hAnsi="Tahoma" w:cs="Tahoma"/>
          <w:b/>
          <w:sz w:val="20"/>
          <w:szCs w:val="20"/>
        </w:rPr>
        <w:t xml:space="preserve">. </w:t>
      </w:r>
      <w:r w:rsidR="00AF396F" w:rsidRPr="00051E1B">
        <w:rPr>
          <w:rFonts w:ascii="Tahoma" w:hAnsi="Tahoma" w:cs="Tahoma"/>
          <w:b/>
          <w:bCs/>
          <w:sz w:val="20"/>
          <w:szCs w:val="20"/>
        </w:rPr>
        <w:t>УСЛОВИЯ НАКОПИТЕЛЬНОГО СЧЕТА «АТБ. СЧЕТ»ДЛЯ СЧЕТОВ, ОТКРЫТЫХ С 07.06</w:t>
      </w:r>
      <w:r w:rsidR="00AF396F">
        <w:rPr>
          <w:rFonts w:ascii="Tahoma" w:hAnsi="Tahoma" w:cs="Tahoma"/>
          <w:b/>
          <w:bCs/>
          <w:sz w:val="20"/>
          <w:szCs w:val="20"/>
        </w:rPr>
        <w:t>.20</w:t>
      </w:r>
      <w:r w:rsidR="00663971">
        <w:rPr>
          <w:rFonts w:ascii="Tahoma" w:hAnsi="Tahoma" w:cs="Tahoma"/>
          <w:b/>
          <w:bCs/>
          <w:sz w:val="20"/>
          <w:szCs w:val="20"/>
        </w:rPr>
        <w:t xml:space="preserve">22 (ДЕЙСТВУЮТ ПО </w:t>
      </w:r>
      <w:r w:rsidR="0092521F">
        <w:rPr>
          <w:rFonts w:ascii="Tahoma" w:hAnsi="Tahoma" w:cs="Tahoma"/>
          <w:b/>
          <w:bCs/>
          <w:sz w:val="20"/>
          <w:szCs w:val="20"/>
        </w:rPr>
        <w:t>20.06.2022)</w:t>
      </w:r>
      <w:r w:rsidR="0092521F">
        <w:rPr>
          <w:rFonts w:ascii="Tahoma" w:hAnsi="Tahoma" w:cs="Tahoma"/>
          <w:b/>
          <w:bCs/>
          <w:sz w:val="20"/>
          <w:szCs w:val="20"/>
        </w:rPr>
        <w:tab/>
        <w:t>295</w:t>
      </w:r>
      <w:bookmarkEnd w:id="58"/>
    </w:p>
    <w:p w14:paraId="5F5A97E9" w14:textId="6AD05E98" w:rsidR="00310CD9" w:rsidRDefault="00585781" w:rsidP="00470B5F">
      <w:pPr>
        <w:tabs>
          <w:tab w:val="left" w:pos="9639"/>
        </w:tabs>
        <w:outlineLvl w:val="0"/>
        <w:rPr>
          <w:rFonts w:ascii="Tahoma" w:hAnsi="Tahoma" w:cs="Tahoma"/>
          <w:b/>
          <w:sz w:val="20"/>
          <w:szCs w:val="20"/>
        </w:rPr>
      </w:pPr>
      <w:bookmarkStart w:id="59" w:name="_Toc191284506"/>
      <w:r>
        <w:rPr>
          <w:rFonts w:ascii="Tahoma" w:hAnsi="Tahoma" w:cs="Tahoma"/>
          <w:b/>
          <w:sz w:val="20"/>
          <w:szCs w:val="20"/>
        </w:rPr>
        <w:t>3.15</w:t>
      </w:r>
      <w:r w:rsidR="00AF396F">
        <w:rPr>
          <w:rFonts w:ascii="Tahoma" w:hAnsi="Tahoma" w:cs="Tahoma"/>
          <w:b/>
          <w:sz w:val="20"/>
          <w:szCs w:val="20"/>
        </w:rPr>
        <w:t>.</w:t>
      </w:r>
      <w:r w:rsidR="00AF396F" w:rsidRPr="00051E1B">
        <w:t xml:space="preserve"> </w:t>
      </w:r>
      <w:r w:rsidR="00AF396F" w:rsidRPr="00051E1B">
        <w:rPr>
          <w:rFonts w:ascii="Tahoma" w:hAnsi="Tahoma" w:cs="Tahoma"/>
          <w:b/>
          <w:sz w:val="20"/>
          <w:szCs w:val="20"/>
        </w:rPr>
        <w:t>УСЛОВИЯ НАКОПИТЕЛЬНОГО СЧЕТА «АТБ. СЧЕТ» ДЛЯ СЧЕТОВ, ОТКРЫТЫХ С 07.06.2022 (ДЕЙСТВУЮТ С 21.06.2022</w:t>
      </w:r>
      <w:r w:rsidR="00AF396F" w:rsidRPr="009F095C">
        <w:t xml:space="preserve"> </w:t>
      </w:r>
      <w:r w:rsidR="00AF396F" w:rsidRPr="009F095C">
        <w:rPr>
          <w:rFonts w:ascii="Tahoma" w:hAnsi="Tahoma" w:cs="Tahoma"/>
          <w:b/>
          <w:sz w:val="20"/>
          <w:szCs w:val="20"/>
        </w:rPr>
        <w:t>ПО 04.08.2022</w:t>
      </w:r>
      <w:r w:rsidR="0092521F">
        <w:rPr>
          <w:rFonts w:ascii="Tahoma" w:hAnsi="Tahoma" w:cs="Tahoma"/>
          <w:b/>
          <w:sz w:val="20"/>
          <w:szCs w:val="20"/>
        </w:rPr>
        <w:t>)</w:t>
      </w:r>
      <w:r w:rsidR="0092521F">
        <w:rPr>
          <w:rFonts w:ascii="Tahoma" w:hAnsi="Tahoma" w:cs="Tahoma"/>
          <w:b/>
          <w:sz w:val="20"/>
          <w:szCs w:val="20"/>
        </w:rPr>
        <w:tab/>
        <w:t>296</w:t>
      </w:r>
      <w:bookmarkEnd w:id="59"/>
    </w:p>
    <w:p w14:paraId="3C0AE2DE" w14:textId="6A14A62C" w:rsidR="009F095C" w:rsidRDefault="00585781" w:rsidP="00470B5F">
      <w:pPr>
        <w:tabs>
          <w:tab w:val="left" w:pos="9639"/>
        </w:tabs>
        <w:outlineLvl w:val="0"/>
        <w:rPr>
          <w:rFonts w:ascii="Tahoma" w:hAnsi="Tahoma" w:cs="Tahoma"/>
          <w:b/>
          <w:sz w:val="20"/>
          <w:szCs w:val="20"/>
        </w:rPr>
      </w:pPr>
      <w:bookmarkStart w:id="60" w:name="_Toc191284507"/>
      <w:r>
        <w:rPr>
          <w:rFonts w:ascii="Tahoma" w:hAnsi="Tahoma" w:cs="Tahoma"/>
          <w:b/>
          <w:sz w:val="20"/>
          <w:szCs w:val="20"/>
        </w:rPr>
        <w:t>3.16</w:t>
      </w:r>
      <w:r w:rsidR="00AF396F">
        <w:rPr>
          <w:rFonts w:ascii="Tahoma" w:hAnsi="Tahoma" w:cs="Tahoma"/>
          <w:b/>
          <w:sz w:val="20"/>
          <w:szCs w:val="20"/>
        </w:rPr>
        <w:t>.</w:t>
      </w:r>
      <w:r w:rsidR="00AF396F" w:rsidRPr="009F095C">
        <w:rPr>
          <w:rFonts w:ascii="Tahoma" w:hAnsi="Tahoma" w:cs="Tahoma"/>
          <w:b/>
          <w:sz w:val="20"/>
          <w:szCs w:val="20"/>
        </w:rPr>
        <w:t xml:space="preserve"> </w:t>
      </w:r>
      <w:r w:rsidR="00AF396F">
        <w:rPr>
          <w:rFonts w:ascii="Tahoma" w:hAnsi="Tahoma" w:cs="Tahoma"/>
          <w:b/>
          <w:sz w:val="20"/>
          <w:szCs w:val="20"/>
        </w:rPr>
        <w:t>УСЛОВИЯ</w:t>
      </w:r>
      <w:r w:rsidR="00AF396F" w:rsidRPr="00CA3A23">
        <w:rPr>
          <w:rFonts w:ascii="Tahoma" w:hAnsi="Tahoma" w:cs="Tahoma"/>
          <w:b/>
          <w:sz w:val="20"/>
          <w:szCs w:val="20"/>
        </w:rPr>
        <w:t xml:space="preserve"> </w:t>
      </w:r>
      <w:r w:rsidR="00AF396F" w:rsidRPr="00051E1B">
        <w:rPr>
          <w:rFonts w:ascii="Tahoma" w:hAnsi="Tahoma" w:cs="Tahoma"/>
          <w:b/>
          <w:sz w:val="20"/>
          <w:szCs w:val="20"/>
        </w:rPr>
        <w:t xml:space="preserve">НАКОПИТЕЛЬНОГО СЧЕТА «АТБ. СЧЕТ» </w:t>
      </w:r>
      <w:r w:rsidR="00AF396F" w:rsidRPr="00CA3A23">
        <w:rPr>
          <w:rFonts w:ascii="Tahoma" w:hAnsi="Tahoma" w:cs="Tahoma"/>
          <w:b/>
          <w:sz w:val="20"/>
          <w:szCs w:val="20"/>
        </w:rPr>
        <w:t xml:space="preserve">ДЛЯ СЧЕТОВ, ОТКРЫТЫХ </w:t>
      </w:r>
      <w:r w:rsidR="00AF396F">
        <w:rPr>
          <w:rFonts w:ascii="Tahoma" w:hAnsi="Tahoma" w:cs="Tahoma"/>
          <w:b/>
          <w:sz w:val="20"/>
          <w:szCs w:val="20"/>
        </w:rPr>
        <w:t xml:space="preserve">С </w:t>
      </w:r>
      <w:r w:rsidR="00AF396F" w:rsidRPr="009F095C">
        <w:rPr>
          <w:rFonts w:ascii="Tahoma" w:hAnsi="Tahoma" w:cs="Tahoma"/>
          <w:b/>
          <w:sz w:val="20"/>
          <w:szCs w:val="20"/>
        </w:rPr>
        <w:t xml:space="preserve">07.06.2022 (ДЕЙСТВУЮТ </w:t>
      </w:r>
      <w:r w:rsidR="00AF396F" w:rsidRPr="0017061F">
        <w:rPr>
          <w:rFonts w:ascii="Tahoma" w:hAnsi="Tahoma" w:cs="Tahoma"/>
          <w:b/>
          <w:sz w:val="20"/>
          <w:szCs w:val="20"/>
        </w:rPr>
        <w:t>С 05.08.2022</w:t>
      </w:r>
      <w:r w:rsidR="00AF396F">
        <w:rPr>
          <w:rFonts w:ascii="Tahoma" w:hAnsi="Tahoma" w:cs="Tahoma"/>
          <w:b/>
          <w:bCs/>
          <w:sz w:val="20"/>
          <w:szCs w:val="20"/>
        </w:rPr>
        <w:t xml:space="preserve"> ПО 11.09.2022)</w:t>
      </w:r>
      <w:r w:rsidR="0092521F">
        <w:rPr>
          <w:rFonts w:ascii="Tahoma" w:hAnsi="Tahoma" w:cs="Tahoma"/>
          <w:b/>
          <w:sz w:val="20"/>
          <w:szCs w:val="20"/>
        </w:rPr>
        <w:tab/>
        <w:t>297</w:t>
      </w:r>
      <w:bookmarkEnd w:id="60"/>
    </w:p>
    <w:p w14:paraId="0FEEA1EB" w14:textId="7F1FF715" w:rsidR="0017061F" w:rsidRDefault="00585781" w:rsidP="00F17858">
      <w:pPr>
        <w:pStyle w:val="afff0"/>
        <w:tabs>
          <w:tab w:val="left" w:pos="9639"/>
        </w:tabs>
        <w:jc w:val="both"/>
        <w:rPr>
          <w:rFonts w:ascii="Tahoma" w:hAnsi="Tahoma" w:cs="Tahoma"/>
          <w:b/>
          <w:bCs/>
          <w:sz w:val="20"/>
        </w:rPr>
      </w:pPr>
      <w:r>
        <w:rPr>
          <w:rFonts w:ascii="Tahoma" w:hAnsi="Tahoma" w:cs="Tahoma"/>
          <w:b/>
          <w:bCs/>
          <w:sz w:val="20"/>
        </w:rPr>
        <w:t>3.17</w:t>
      </w:r>
      <w:r w:rsidR="00AF396F" w:rsidRPr="0017061F">
        <w:rPr>
          <w:rFonts w:ascii="Tahoma" w:hAnsi="Tahoma" w:cs="Tahoma"/>
          <w:b/>
          <w:bCs/>
          <w:sz w:val="20"/>
        </w:rPr>
        <w:t>.</w:t>
      </w:r>
      <w:r w:rsidR="00090437">
        <w:rPr>
          <w:rFonts w:ascii="Tahoma" w:hAnsi="Tahoma" w:cs="Tahoma"/>
          <w:b/>
          <w:bCs/>
          <w:sz w:val="20"/>
        </w:rPr>
        <w:t xml:space="preserve"> </w:t>
      </w:r>
      <w:r w:rsidR="00AF396F" w:rsidRPr="0017061F">
        <w:rPr>
          <w:rFonts w:ascii="Tahoma" w:hAnsi="Tahoma" w:cs="Tahoma"/>
          <w:b/>
          <w:bCs/>
          <w:sz w:val="20"/>
        </w:rPr>
        <w:t xml:space="preserve">УСЛОВИЯ НАКОПИТЕЛЬНОГО СЧЕТА «АТБ. СЧЕТ» ДЛЯ СЧЕТОВ, ОТКРЫТЫХ С 07.06.2022 (ДЕЙСТВУЮТ С </w:t>
      </w:r>
      <w:r w:rsidR="00AF396F">
        <w:rPr>
          <w:rFonts w:ascii="Tahoma" w:hAnsi="Tahoma" w:cs="Tahoma"/>
          <w:b/>
          <w:bCs/>
          <w:sz w:val="20"/>
        </w:rPr>
        <w:t>12.09.2022</w:t>
      </w:r>
      <w:r w:rsidR="00AF396F" w:rsidRPr="00F17858">
        <w:t xml:space="preserve"> </w:t>
      </w:r>
      <w:r w:rsidR="00263C73">
        <w:rPr>
          <w:rFonts w:ascii="Tahoma" w:hAnsi="Tahoma" w:cs="Tahoma"/>
          <w:b/>
          <w:bCs/>
          <w:sz w:val="20"/>
        </w:rPr>
        <w:t>ПО 19</w:t>
      </w:r>
      <w:r w:rsidR="0092521F">
        <w:rPr>
          <w:rFonts w:ascii="Tahoma" w:hAnsi="Tahoma" w:cs="Tahoma"/>
          <w:b/>
          <w:bCs/>
          <w:sz w:val="20"/>
        </w:rPr>
        <w:t>.10.2022)</w:t>
      </w:r>
      <w:r w:rsidR="0092521F">
        <w:rPr>
          <w:rFonts w:ascii="Tahoma" w:hAnsi="Tahoma" w:cs="Tahoma"/>
          <w:b/>
          <w:bCs/>
          <w:sz w:val="20"/>
        </w:rPr>
        <w:tab/>
        <w:t>297</w:t>
      </w:r>
    </w:p>
    <w:p w14:paraId="2F5A961D" w14:textId="78BC2562" w:rsidR="00F044CF" w:rsidRDefault="002B7E85" w:rsidP="00F17858">
      <w:pPr>
        <w:pStyle w:val="afff0"/>
        <w:tabs>
          <w:tab w:val="left" w:pos="9639"/>
        </w:tabs>
        <w:jc w:val="both"/>
        <w:rPr>
          <w:rFonts w:ascii="Tahoma" w:hAnsi="Tahoma" w:cs="Tahoma"/>
          <w:b/>
          <w:bCs/>
          <w:sz w:val="20"/>
        </w:rPr>
      </w:pPr>
      <w:r>
        <w:rPr>
          <w:rFonts w:ascii="Tahoma" w:hAnsi="Tahoma" w:cs="Tahoma"/>
          <w:b/>
          <w:bCs/>
          <w:sz w:val="20"/>
        </w:rPr>
        <w:t>3.1</w:t>
      </w:r>
      <w:r w:rsidR="00585781">
        <w:rPr>
          <w:rFonts w:ascii="Tahoma" w:hAnsi="Tahoma" w:cs="Tahoma"/>
          <w:b/>
          <w:bCs/>
          <w:sz w:val="20"/>
        </w:rPr>
        <w:t>8</w:t>
      </w:r>
      <w:r w:rsidR="00AF396F">
        <w:rPr>
          <w:rFonts w:ascii="Tahoma" w:hAnsi="Tahoma" w:cs="Tahoma"/>
          <w:b/>
          <w:bCs/>
          <w:sz w:val="20"/>
        </w:rPr>
        <w:t>.</w:t>
      </w:r>
      <w:r w:rsidR="00AF396F">
        <w:t xml:space="preserve"> </w:t>
      </w:r>
      <w:r w:rsidR="00AF396F" w:rsidRPr="00F044CF">
        <w:rPr>
          <w:rFonts w:ascii="Tahoma" w:hAnsi="Tahoma" w:cs="Tahoma"/>
          <w:b/>
          <w:bCs/>
          <w:sz w:val="20"/>
        </w:rPr>
        <w:t>УСЛОВИЯ НАКОПИТЕЛЬНОГО СЧЕТА «АТБ. СЧЕТ» ДЛЯ СЧЕТОВ, ОТКРЫТЫХ С 07.06.2022 (ДЕЙСТВ</w:t>
      </w:r>
      <w:r w:rsidR="00AF396F">
        <w:rPr>
          <w:rFonts w:ascii="Tahoma" w:hAnsi="Tahoma" w:cs="Tahoma"/>
          <w:b/>
          <w:bCs/>
          <w:sz w:val="20"/>
        </w:rPr>
        <w:t>УЮТ</w:t>
      </w:r>
      <w:r w:rsidR="00B240D6">
        <w:rPr>
          <w:rFonts w:ascii="Tahoma" w:hAnsi="Tahoma" w:cs="Tahoma"/>
          <w:b/>
          <w:bCs/>
          <w:sz w:val="20"/>
        </w:rPr>
        <w:t xml:space="preserve"> С 20.10.</w:t>
      </w:r>
      <w:r w:rsidR="0092521F">
        <w:rPr>
          <w:rFonts w:ascii="Tahoma" w:hAnsi="Tahoma" w:cs="Tahoma"/>
          <w:b/>
          <w:bCs/>
          <w:sz w:val="20"/>
        </w:rPr>
        <w:t>2022 ПО 20.02.2023)</w:t>
      </w:r>
      <w:r w:rsidR="0092521F">
        <w:rPr>
          <w:rFonts w:ascii="Tahoma" w:hAnsi="Tahoma" w:cs="Tahoma"/>
          <w:b/>
          <w:bCs/>
          <w:sz w:val="20"/>
        </w:rPr>
        <w:tab/>
        <w:t>298</w:t>
      </w:r>
    </w:p>
    <w:p w14:paraId="1731BC88" w14:textId="1FB52DB0" w:rsidR="00F17858" w:rsidRDefault="00AF396F" w:rsidP="00F17858">
      <w:pPr>
        <w:pStyle w:val="afff0"/>
        <w:tabs>
          <w:tab w:val="left" w:pos="9639"/>
        </w:tabs>
        <w:jc w:val="both"/>
        <w:rPr>
          <w:rFonts w:ascii="Tahoma" w:hAnsi="Tahoma" w:cs="Tahoma"/>
          <w:b/>
          <w:bCs/>
          <w:sz w:val="20"/>
        </w:rPr>
      </w:pPr>
      <w:r w:rsidRPr="00F17858">
        <w:rPr>
          <w:rFonts w:ascii="Tahoma" w:hAnsi="Tahoma" w:cs="Tahoma"/>
          <w:b/>
          <w:bCs/>
          <w:sz w:val="20"/>
        </w:rPr>
        <w:t>3.1</w:t>
      </w:r>
      <w:r w:rsidR="00585781">
        <w:rPr>
          <w:rFonts w:ascii="Tahoma" w:hAnsi="Tahoma" w:cs="Tahoma"/>
          <w:b/>
          <w:bCs/>
          <w:sz w:val="20"/>
        </w:rPr>
        <w:t>9</w:t>
      </w:r>
      <w:r w:rsidRPr="00F17858">
        <w:rPr>
          <w:rFonts w:ascii="Tahoma" w:hAnsi="Tahoma" w:cs="Tahoma"/>
          <w:b/>
          <w:bCs/>
          <w:sz w:val="20"/>
        </w:rPr>
        <w:t>.</w:t>
      </w:r>
      <w:r w:rsidR="00090437">
        <w:rPr>
          <w:rFonts w:ascii="Tahoma" w:hAnsi="Tahoma" w:cs="Tahoma"/>
          <w:b/>
          <w:bCs/>
          <w:sz w:val="20"/>
        </w:rPr>
        <w:t xml:space="preserve"> </w:t>
      </w:r>
      <w:r w:rsidRPr="00F17858">
        <w:rPr>
          <w:rFonts w:ascii="Tahoma" w:hAnsi="Tahoma" w:cs="Tahoma"/>
          <w:b/>
          <w:bCs/>
          <w:sz w:val="20"/>
        </w:rPr>
        <w:t xml:space="preserve">УСЛОВИЯ НАКОПИТЕЛЬНОГО СЧЕТА «АТБ. СЧЕТ» ДЛЯ СЧЕТОВ, ОТКРЫТЫХ С 07.06.2022 </w:t>
      </w:r>
      <w:r>
        <w:rPr>
          <w:rFonts w:ascii="Tahoma" w:hAnsi="Tahoma" w:cs="Tahoma"/>
          <w:b/>
          <w:bCs/>
          <w:sz w:val="20"/>
        </w:rPr>
        <w:t>(ДЕЙСТВ</w:t>
      </w:r>
      <w:r w:rsidR="00090437">
        <w:rPr>
          <w:rFonts w:ascii="Tahoma" w:hAnsi="Tahoma" w:cs="Tahoma"/>
          <w:b/>
          <w:bCs/>
          <w:sz w:val="20"/>
        </w:rPr>
        <w:t>УЮТ С 21.02</w:t>
      </w:r>
      <w:r w:rsidR="00C977E4">
        <w:rPr>
          <w:rFonts w:ascii="Tahoma" w:hAnsi="Tahoma" w:cs="Tahoma"/>
          <w:b/>
          <w:bCs/>
          <w:sz w:val="20"/>
        </w:rPr>
        <w:t>.202</w:t>
      </w:r>
      <w:r w:rsidR="00090437">
        <w:rPr>
          <w:rFonts w:ascii="Tahoma" w:hAnsi="Tahoma" w:cs="Tahoma"/>
          <w:b/>
          <w:bCs/>
          <w:sz w:val="20"/>
        </w:rPr>
        <w:t>3 по 27.08.2023</w:t>
      </w:r>
      <w:r w:rsidR="0092521F">
        <w:rPr>
          <w:rFonts w:ascii="Tahoma" w:hAnsi="Tahoma" w:cs="Tahoma"/>
          <w:b/>
          <w:bCs/>
          <w:sz w:val="20"/>
        </w:rPr>
        <w:t>)</w:t>
      </w:r>
      <w:r w:rsidR="0092521F">
        <w:rPr>
          <w:rFonts w:ascii="Tahoma" w:hAnsi="Tahoma" w:cs="Tahoma"/>
          <w:b/>
          <w:bCs/>
          <w:sz w:val="20"/>
        </w:rPr>
        <w:tab/>
        <w:t>298</w:t>
      </w:r>
    </w:p>
    <w:p w14:paraId="05DCB090" w14:textId="695D7CB5" w:rsidR="00090437" w:rsidRDefault="00585781" w:rsidP="00F17858">
      <w:pPr>
        <w:pStyle w:val="afff0"/>
        <w:tabs>
          <w:tab w:val="left" w:pos="9639"/>
        </w:tabs>
        <w:jc w:val="both"/>
        <w:rPr>
          <w:rFonts w:ascii="Tahoma" w:hAnsi="Tahoma" w:cs="Tahoma"/>
          <w:b/>
          <w:bCs/>
          <w:sz w:val="20"/>
        </w:rPr>
      </w:pPr>
      <w:r>
        <w:rPr>
          <w:rFonts w:ascii="Tahoma" w:hAnsi="Tahoma" w:cs="Tahoma"/>
          <w:b/>
          <w:bCs/>
          <w:sz w:val="20"/>
        </w:rPr>
        <w:t>3.20</w:t>
      </w:r>
      <w:r w:rsidR="00090437">
        <w:rPr>
          <w:rFonts w:ascii="Tahoma" w:hAnsi="Tahoma" w:cs="Tahoma"/>
          <w:b/>
          <w:bCs/>
          <w:sz w:val="20"/>
        </w:rPr>
        <w:t xml:space="preserve">. </w:t>
      </w:r>
      <w:r w:rsidR="00090437" w:rsidRPr="00090437">
        <w:rPr>
          <w:rFonts w:ascii="Tahoma" w:hAnsi="Tahoma" w:cs="Tahoma"/>
          <w:b/>
          <w:bCs/>
          <w:sz w:val="20"/>
        </w:rPr>
        <w:t>УСЛОВИЯ НАКОПИТЕЛЬНОГО СЧЕТА «АТБ. СЧЕТ» ДЛЯ СЧЕТОВ, ОТКРЫТЫХ С 07.06.2022 (ДЕЙСТВУЮТ С 2</w:t>
      </w:r>
      <w:r w:rsidR="00090437">
        <w:rPr>
          <w:rFonts w:ascii="Tahoma" w:hAnsi="Tahoma" w:cs="Tahoma"/>
          <w:b/>
          <w:bCs/>
          <w:sz w:val="20"/>
        </w:rPr>
        <w:t>8.08</w:t>
      </w:r>
      <w:r w:rsidR="00090437" w:rsidRPr="00090437">
        <w:rPr>
          <w:rFonts w:ascii="Tahoma" w:hAnsi="Tahoma" w:cs="Tahoma"/>
          <w:b/>
          <w:bCs/>
          <w:sz w:val="20"/>
        </w:rPr>
        <w:t>.2023</w:t>
      </w:r>
      <w:r w:rsidR="002438AF" w:rsidRPr="002438AF">
        <w:rPr>
          <w:rFonts w:ascii="Tahoma" w:hAnsi="Tahoma" w:cs="Tahoma"/>
          <w:b/>
          <w:bCs/>
          <w:color w:val="F79646" w:themeColor="accent6"/>
        </w:rPr>
        <w:t xml:space="preserve"> </w:t>
      </w:r>
      <w:r w:rsidR="002438AF" w:rsidRPr="002438AF">
        <w:rPr>
          <w:rFonts w:ascii="Tahoma" w:hAnsi="Tahoma" w:cs="Tahoma"/>
          <w:b/>
          <w:bCs/>
          <w:sz w:val="20"/>
        </w:rPr>
        <w:t>по 01.11.2023</w:t>
      </w:r>
      <w:r w:rsidR="00090437" w:rsidRPr="00090437">
        <w:rPr>
          <w:rFonts w:ascii="Tahoma" w:hAnsi="Tahoma" w:cs="Tahoma"/>
          <w:b/>
          <w:bCs/>
          <w:sz w:val="20"/>
        </w:rPr>
        <w:t>)</w:t>
      </w:r>
      <w:r w:rsidR="0092521F">
        <w:rPr>
          <w:rFonts w:ascii="Tahoma" w:hAnsi="Tahoma" w:cs="Tahoma"/>
          <w:b/>
          <w:bCs/>
          <w:sz w:val="20"/>
        </w:rPr>
        <w:tab/>
        <w:t>29</w:t>
      </w:r>
      <w:r w:rsidR="006D7D38">
        <w:rPr>
          <w:rFonts w:ascii="Tahoma" w:hAnsi="Tahoma" w:cs="Tahoma"/>
          <w:b/>
          <w:bCs/>
          <w:sz w:val="20"/>
        </w:rPr>
        <w:t>9</w:t>
      </w:r>
    </w:p>
    <w:p w14:paraId="7F54B436" w14:textId="29923006" w:rsidR="002438AF" w:rsidRDefault="002B7E85" w:rsidP="002438AF">
      <w:pPr>
        <w:pStyle w:val="afff0"/>
        <w:tabs>
          <w:tab w:val="left" w:pos="9639"/>
        </w:tabs>
        <w:rPr>
          <w:rFonts w:ascii="Tahoma" w:hAnsi="Tahoma" w:cs="Tahoma"/>
          <w:b/>
          <w:bCs/>
          <w:sz w:val="20"/>
        </w:rPr>
      </w:pPr>
      <w:r>
        <w:rPr>
          <w:rFonts w:ascii="Tahoma" w:hAnsi="Tahoma" w:cs="Tahoma"/>
          <w:b/>
          <w:bCs/>
          <w:sz w:val="20"/>
        </w:rPr>
        <w:t>3.2</w:t>
      </w:r>
      <w:r w:rsidR="00585781">
        <w:rPr>
          <w:rFonts w:ascii="Tahoma" w:hAnsi="Tahoma" w:cs="Tahoma"/>
          <w:b/>
          <w:bCs/>
          <w:sz w:val="20"/>
        </w:rPr>
        <w:t>1</w:t>
      </w:r>
      <w:r w:rsidR="002438AF" w:rsidRPr="002438AF">
        <w:rPr>
          <w:rFonts w:ascii="Tahoma" w:hAnsi="Tahoma" w:cs="Tahoma"/>
          <w:b/>
          <w:bCs/>
          <w:sz w:val="20"/>
        </w:rPr>
        <w:t xml:space="preserve">. УСЛОВИЯ НАКОПИТЕЛЬНОГО СЧЕТА «АТБ. СЧЕТ» ДЛЯ СЧЕТОВ, ОТКРЫТЫХ С 07.06.2022 </w:t>
      </w:r>
      <w:r w:rsidR="00F41C52" w:rsidRPr="00F41C52">
        <w:rPr>
          <w:rFonts w:ascii="Tahoma" w:hAnsi="Tahoma" w:cs="Tahoma"/>
          <w:b/>
          <w:bCs/>
          <w:sz w:val="20"/>
        </w:rPr>
        <w:t xml:space="preserve">ПО 19.02.2024 </w:t>
      </w:r>
      <w:r w:rsidR="002438AF" w:rsidRPr="002438AF">
        <w:rPr>
          <w:rFonts w:ascii="Tahoma" w:hAnsi="Tahoma" w:cs="Tahoma"/>
          <w:b/>
          <w:bCs/>
          <w:sz w:val="20"/>
        </w:rPr>
        <w:t xml:space="preserve">(ДЕЙСТВУЮТ С 02.11.2023 </w:t>
      </w:r>
      <w:r w:rsidR="0092521F">
        <w:rPr>
          <w:rFonts w:ascii="Tahoma" w:hAnsi="Tahoma" w:cs="Tahoma"/>
          <w:b/>
          <w:bCs/>
          <w:sz w:val="20"/>
        </w:rPr>
        <w:t>)</w:t>
      </w:r>
      <w:r w:rsidR="0092521F">
        <w:rPr>
          <w:rFonts w:ascii="Tahoma" w:hAnsi="Tahoma" w:cs="Tahoma"/>
          <w:b/>
          <w:bCs/>
          <w:sz w:val="20"/>
        </w:rPr>
        <w:tab/>
        <w:t>300</w:t>
      </w:r>
    </w:p>
    <w:p w14:paraId="786B8987" w14:textId="028207F5" w:rsidR="00F41C52" w:rsidRDefault="00F41C52" w:rsidP="002438AF">
      <w:pPr>
        <w:pStyle w:val="afff0"/>
        <w:tabs>
          <w:tab w:val="left" w:pos="9639"/>
        </w:tabs>
        <w:rPr>
          <w:rFonts w:ascii="Tahoma" w:hAnsi="Tahoma" w:cs="Tahoma"/>
          <w:b/>
          <w:bCs/>
          <w:sz w:val="20"/>
        </w:rPr>
      </w:pPr>
      <w:r>
        <w:rPr>
          <w:rFonts w:ascii="Tahoma" w:hAnsi="Tahoma" w:cs="Tahoma"/>
          <w:b/>
          <w:bCs/>
          <w:sz w:val="20"/>
        </w:rPr>
        <w:t>3.2</w:t>
      </w:r>
      <w:r w:rsidR="00585781">
        <w:rPr>
          <w:rFonts w:ascii="Tahoma" w:hAnsi="Tahoma" w:cs="Tahoma"/>
          <w:b/>
          <w:bCs/>
          <w:sz w:val="20"/>
        </w:rPr>
        <w:t>2</w:t>
      </w:r>
      <w:r w:rsidRPr="00F41C52">
        <w:rPr>
          <w:rFonts w:ascii="Tahoma" w:hAnsi="Tahoma" w:cs="Tahoma"/>
          <w:b/>
          <w:bCs/>
          <w:sz w:val="20"/>
        </w:rPr>
        <w:t>. УСЛОВИЯ НАКОПИТЕЛЬНОГО СЧЕТА «АТБ. СЧЕТ» ДЛЯ СЧЕТОВ, ОТКРЫТЫХ С 20.0</w:t>
      </w:r>
      <w:r>
        <w:rPr>
          <w:rFonts w:ascii="Tahoma" w:hAnsi="Tahoma" w:cs="Tahoma"/>
          <w:b/>
          <w:bCs/>
          <w:sz w:val="20"/>
        </w:rPr>
        <w:t>2.2</w:t>
      </w:r>
      <w:r w:rsidR="00945B48">
        <w:rPr>
          <w:rFonts w:ascii="Tahoma" w:hAnsi="Tahoma" w:cs="Tahoma"/>
          <w:b/>
          <w:bCs/>
          <w:sz w:val="20"/>
        </w:rPr>
        <w:t xml:space="preserve">024 (ДЕЙСТВУЮТ С </w:t>
      </w:r>
      <w:r w:rsidR="00907CE3" w:rsidRPr="00907CE3">
        <w:rPr>
          <w:rFonts w:ascii="Tahoma" w:hAnsi="Tahoma" w:cs="Tahoma"/>
          <w:b/>
          <w:bCs/>
          <w:sz w:val="20"/>
        </w:rPr>
        <w:t>19.03.2024 ПО 05.06.2024</w:t>
      </w:r>
      <w:r w:rsidR="0092521F">
        <w:rPr>
          <w:rFonts w:ascii="Tahoma" w:hAnsi="Tahoma" w:cs="Tahoma"/>
          <w:b/>
          <w:bCs/>
          <w:sz w:val="20"/>
        </w:rPr>
        <w:t>)</w:t>
      </w:r>
      <w:r w:rsidR="0092521F">
        <w:rPr>
          <w:rFonts w:ascii="Tahoma" w:hAnsi="Tahoma" w:cs="Tahoma"/>
          <w:b/>
          <w:bCs/>
          <w:sz w:val="20"/>
        </w:rPr>
        <w:tab/>
        <w:t>300</w:t>
      </w:r>
    </w:p>
    <w:p w14:paraId="4A54A559" w14:textId="395FBFC4" w:rsidR="00907CE3" w:rsidRDefault="00907CE3" w:rsidP="002438AF">
      <w:pPr>
        <w:pStyle w:val="afff0"/>
        <w:tabs>
          <w:tab w:val="left" w:pos="9639"/>
        </w:tabs>
        <w:rPr>
          <w:rFonts w:ascii="Tahoma" w:hAnsi="Tahoma" w:cs="Tahoma"/>
          <w:b/>
          <w:bCs/>
          <w:sz w:val="20"/>
        </w:rPr>
      </w:pPr>
      <w:r>
        <w:rPr>
          <w:rFonts w:ascii="Tahoma" w:hAnsi="Tahoma" w:cs="Tahoma"/>
          <w:b/>
          <w:bCs/>
          <w:sz w:val="20"/>
        </w:rPr>
        <w:t>3.2</w:t>
      </w:r>
      <w:r w:rsidR="00585781">
        <w:rPr>
          <w:rFonts w:ascii="Tahoma" w:hAnsi="Tahoma" w:cs="Tahoma"/>
          <w:b/>
          <w:bCs/>
          <w:sz w:val="20"/>
        </w:rPr>
        <w:t>3</w:t>
      </w:r>
      <w:r>
        <w:rPr>
          <w:rFonts w:ascii="Tahoma" w:hAnsi="Tahoma" w:cs="Tahoma"/>
          <w:b/>
          <w:bCs/>
          <w:sz w:val="20"/>
        </w:rPr>
        <w:t xml:space="preserve">. </w:t>
      </w:r>
      <w:r w:rsidRPr="00907CE3">
        <w:rPr>
          <w:rFonts w:ascii="Tahoma" w:hAnsi="Tahoma" w:cs="Tahoma"/>
          <w:b/>
          <w:bCs/>
          <w:sz w:val="20"/>
        </w:rPr>
        <w:t>УСЛОВИЯ НАКОПИТЕЛЬНОГО СЧЕТА «АТБ. СЧЕТ» ДЛЯ СЧЕТОВ, ОТКРЫТЫХ С 20.02</w:t>
      </w:r>
      <w:r>
        <w:rPr>
          <w:rFonts w:ascii="Tahoma" w:hAnsi="Tahoma" w:cs="Tahoma"/>
          <w:b/>
          <w:bCs/>
          <w:sz w:val="20"/>
        </w:rPr>
        <w:t xml:space="preserve">.2024 </w:t>
      </w:r>
      <w:r w:rsidR="00C816D8">
        <w:rPr>
          <w:rFonts w:ascii="Tahoma" w:hAnsi="Tahoma" w:cs="Tahoma"/>
          <w:b/>
          <w:bCs/>
          <w:sz w:val="20"/>
        </w:rPr>
        <w:t xml:space="preserve">(ДЕЙСТВУЮТ С 06.06.2024 </w:t>
      </w:r>
      <w:r w:rsidR="00C816D8" w:rsidRPr="00C816D8">
        <w:rPr>
          <w:rFonts w:ascii="Tahoma" w:hAnsi="Tahoma" w:cs="Tahoma"/>
          <w:b/>
          <w:bCs/>
          <w:sz w:val="20"/>
        </w:rPr>
        <w:t>ПО 07.06.2024</w:t>
      </w:r>
      <w:r w:rsidR="0092521F">
        <w:rPr>
          <w:rFonts w:ascii="Tahoma" w:hAnsi="Tahoma" w:cs="Tahoma"/>
          <w:b/>
          <w:bCs/>
          <w:sz w:val="20"/>
        </w:rPr>
        <w:t>)</w:t>
      </w:r>
      <w:r w:rsidR="0092521F">
        <w:rPr>
          <w:rFonts w:ascii="Tahoma" w:hAnsi="Tahoma" w:cs="Tahoma"/>
          <w:b/>
          <w:bCs/>
          <w:sz w:val="20"/>
        </w:rPr>
        <w:tab/>
        <w:t>30</w:t>
      </w:r>
      <w:r w:rsidR="006D7D38">
        <w:rPr>
          <w:rFonts w:ascii="Tahoma" w:hAnsi="Tahoma" w:cs="Tahoma"/>
          <w:b/>
          <w:bCs/>
          <w:sz w:val="20"/>
        </w:rPr>
        <w:t>1</w:t>
      </w:r>
    </w:p>
    <w:p w14:paraId="1765CB23" w14:textId="38D1B90E" w:rsidR="00C816D8" w:rsidRDefault="00C816D8" w:rsidP="002438AF">
      <w:pPr>
        <w:pStyle w:val="afff0"/>
        <w:tabs>
          <w:tab w:val="left" w:pos="9639"/>
        </w:tabs>
        <w:rPr>
          <w:rFonts w:ascii="Tahoma" w:hAnsi="Tahoma" w:cs="Tahoma"/>
          <w:b/>
          <w:bCs/>
          <w:sz w:val="20"/>
        </w:rPr>
      </w:pPr>
      <w:r>
        <w:rPr>
          <w:rFonts w:ascii="Tahoma" w:hAnsi="Tahoma" w:cs="Tahoma"/>
          <w:b/>
          <w:bCs/>
          <w:sz w:val="20"/>
        </w:rPr>
        <w:t>3.2</w:t>
      </w:r>
      <w:r w:rsidR="00585781">
        <w:rPr>
          <w:rFonts w:ascii="Tahoma" w:hAnsi="Tahoma" w:cs="Tahoma"/>
          <w:b/>
          <w:bCs/>
          <w:sz w:val="20"/>
        </w:rPr>
        <w:t>4</w:t>
      </w:r>
      <w:r>
        <w:rPr>
          <w:rFonts w:ascii="Tahoma" w:hAnsi="Tahoma" w:cs="Tahoma"/>
          <w:b/>
          <w:bCs/>
          <w:sz w:val="20"/>
        </w:rPr>
        <w:t xml:space="preserve">. </w:t>
      </w:r>
      <w:r w:rsidR="00E44846" w:rsidRPr="00E44846">
        <w:rPr>
          <w:rFonts w:ascii="Tahoma" w:hAnsi="Tahoma" w:cs="Tahoma"/>
          <w:b/>
          <w:bCs/>
          <w:sz w:val="20"/>
        </w:rPr>
        <w:t>УСЛОВИЯ НАКОПИТЕЛЬНОГО СЧЕТА «АТБ. СЧЕТ» ДЛЯ СЧЕТОВ, ОТКРЫТЫХ С 20.02.2024 ПО 20.0</w:t>
      </w:r>
      <w:r w:rsidR="00DD449F">
        <w:rPr>
          <w:rFonts w:ascii="Tahoma" w:hAnsi="Tahoma" w:cs="Tahoma"/>
          <w:b/>
          <w:bCs/>
          <w:sz w:val="20"/>
        </w:rPr>
        <w:t>8.2024 (ДЕЙСТВУЮТ С 01.11</w:t>
      </w:r>
      <w:r w:rsidR="00E44846">
        <w:rPr>
          <w:rFonts w:ascii="Tahoma" w:hAnsi="Tahoma" w:cs="Tahoma"/>
          <w:b/>
          <w:bCs/>
          <w:sz w:val="20"/>
        </w:rPr>
        <w:t>.2024)</w:t>
      </w:r>
      <w:r w:rsidR="0092521F">
        <w:rPr>
          <w:rFonts w:ascii="Tahoma" w:hAnsi="Tahoma" w:cs="Tahoma"/>
          <w:b/>
          <w:bCs/>
          <w:sz w:val="20"/>
        </w:rPr>
        <w:tab/>
        <w:t>302</w:t>
      </w:r>
    </w:p>
    <w:p w14:paraId="1FEDB096" w14:textId="1F6C1AE7" w:rsidR="0033066F" w:rsidRDefault="0033066F" w:rsidP="002438AF">
      <w:pPr>
        <w:pStyle w:val="afff0"/>
        <w:tabs>
          <w:tab w:val="left" w:pos="9639"/>
        </w:tabs>
        <w:rPr>
          <w:rFonts w:ascii="Tahoma" w:hAnsi="Tahoma" w:cs="Tahoma"/>
          <w:b/>
          <w:bCs/>
          <w:sz w:val="20"/>
        </w:rPr>
      </w:pPr>
      <w:r>
        <w:rPr>
          <w:rFonts w:ascii="Tahoma" w:hAnsi="Tahoma" w:cs="Tahoma"/>
          <w:b/>
          <w:bCs/>
          <w:sz w:val="20"/>
        </w:rPr>
        <w:t>3.2</w:t>
      </w:r>
      <w:r w:rsidR="00585781">
        <w:rPr>
          <w:rFonts w:ascii="Tahoma" w:hAnsi="Tahoma" w:cs="Tahoma"/>
          <w:b/>
          <w:bCs/>
          <w:sz w:val="20"/>
        </w:rPr>
        <w:t>5</w:t>
      </w:r>
      <w:r>
        <w:rPr>
          <w:rFonts w:ascii="Tahoma" w:hAnsi="Tahoma" w:cs="Tahoma"/>
          <w:b/>
          <w:bCs/>
          <w:sz w:val="20"/>
        </w:rPr>
        <w:t xml:space="preserve">. </w:t>
      </w:r>
      <w:r w:rsidR="00E44846" w:rsidRPr="00E44846">
        <w:rPr>
          <w:rFonts w:ascii="Tahoma" w:hAnsi="Tahoma" w:cs="Tahoma"/>
          <w:b/>
          <w:bCs/>
          <w:sz w:val="20"/>
        </w:rPr>
        <w:t xml:space="preserve">УСЛОВИЯ НАКОПИТЕЛЬНОГО СЧЕТА «АТБ. СЧЕТ» ДЛЯ СЧЕТОВ, ОТКРЫТЫХ С 21.08.2024 </w:t>
      </w:r>
      <w:r w:rsidR="00DD449F">
        <w:rPr>
          <w:rFonts w:ascii="Tahoma" w:hAnsi="Tahoma" w:cs="Tahoma"/>
          <w:b/>
          <w:bCs/>
          <w:sz w:val="20"/>
        </w:rPr>
        <w:t>ПО 10.09.2024 (ДЕЙСТВУЮТ С 01.11</w:t>
      </w:r>
      <w:r w:rsidR="00E44846" w:rsidRPr="00E44846">
        <w:rPr>
          <w:rFonts w:ascii="Tahoma" w:hAnsi="Tahoma" w:cs="Tahoma"/>
          <w:b/>
          <w:bCs/>
          <w:sz w:val="20"/>
        </w:rPr>
        <w:t>.20</w:t>
      </w:r>
      <w:r w:rsidR="00E44846">
        <w:rPr>
          <w:rFonts w:ascii="Tahoma" w:hAnsi="Tahoma" w:cs="Tahoma"/>
          <w:b/>
          <w:bCs/>
          <w:sz w:val="20"/>
        </w:rPr>
        <w:t>24)</w:t>
      </w:r>
      <w:r w:rsidR="0092521F">
        <w:rPr>
          <w:rFonts w:ascii="Tahoma" w:hAnsi="Tahoma" w:cs="Tahoma"/>
          <w:b/>
          <w:bCs/>
          <w:sz w:val="20"/>
        </w:rPr>
        <w:tab/>
        <w:t>303</w:t>
      </w:r>
    </w:p>
    <w:p w14:paraId="410E7ABA" w14:textId="0EA2C763" w:rsidR="00E44846" w:rsidRPr="002438AF" w:rsidRDefault="00E44846" w:rsidP="002438AF">
      <w:pPr>
        <w:pStyle w:val="afff0"/>
        <w:tabs>
          <w:tab w:val="left" w:pos="9639"/>
        </w:tabs>
        <w:rPr>
          <w:rFonts w:ascii="Tahoma" w:hAnsi="Tahoma" w:cs="Tahoma"/>
          <w:b/>
          <w:bCs/>
          <w:sz w:val="20"/>
        </w:rPr>
      </w:pPr>
      <w:r>
        <w:rPr>
          <w:rFonts w:ascii="Tahoma" w:hAnsi="Tahoma" w:cs="Tahoma"/>
          <w:b/>
          <w:bCs/>
          <w:sz w:val="20"/>
        </w:rPr>
        <w:t xml:space="preserve">3.26. </w:t>
      </w:r>
      <w:r w:rsidRPr="00E44846">
        <w:rPr>
          <w:rFonts w:ascii="Tahoma" w:hAnsi="Tahoma" w:cs="Tahoma"/>
          <w:b/>
          <w:bCs/>
          <w:sz w:val="20"/>
        </w:rPr>
        <w:t xml:space="preserve">УСЛОВИЯ НАКОПИТЕЛЬНОГО СЧЕТА «АТБ. СЧЕТ+» ДЛЯ СЧЕТОВ, ОТКРЫТЫХ С 11.09.2024 (ДЕЙСТВУЮТ </w:t>
      </w:r>
      <w:r w:rsidR="00DD449F">
        <w:rPr>
          <w:rFonts w:ascii="Tahoma" w:hAnsi="Tahoma" w:cs="Tahoma"/>
          <w:b/>
          <w:bCs/>
          <w:sz w:val="20"/>
        </w:rPr>
        <w:t>С 01.11</w:t>
      </w:r>
      <w:r w:rsidR="0092521F">
        <w:rPr>
          <w:rFonts w:ascii="Tahoma" w:hAnsi="Tahoma" w:cs="Tahoma"/>
          <w:b/>
          <w:bCs/>
          <w:sz w:val="20"/>
        </w:rPr>
        <w:t>.2024)</w:t>
      </w:r>
      <w:r w:rsidR="0092521F">
        <w:rPr>
          <w:rFonts w:ascii="Tahoma" w:hAnsi="Tahoma" w:cs="Tahoma"/>
          <w:b/>
          <w:bCs/>
          <w:sz w:val="20"/>
        </w:rPr>
        <w:tab/>
        <w:t>303</w:t>
      </w:r>
    </w:p>
    <w:p w14:paraId="3B045FC3" w14:textId="728958FF" w:rsidR="00CA3A23" w:rsidRDefault="00907CE3" w:rsidP="00470B5F">
      <w:pPr>
        <w:tabs>
          <w:tab w:val="left" w:pos="9639"/>
        </w:tabs>
        <w:outlineLvl w:val="0"/>
        <w:rPr>
          <w:rFonts w:ascii="Tahoma" w:hAnsi="Tahoma" w:cs="Tahoma"/>
          <w:b/>
          <w:sz w:val="20"/>
          <w:szCs w:val="20"/>
        </w:rPr>
      </w:pPr>
      <w:bookmarkStart w:id="61" w:name="_Toc191284508"/>
      <w:r>
        <w:rPr>
          <w:rFonts w:ascii="Tahoma" w:hAnsi="Tahoma" w:cs="Tahoma"/>
          <w:b/>
          <w:sz w:val="20"/>
          <w:szCs w:val="20"/>
        </w:rPr>
        <w:t>3.2</w:t>
      </w:r>
      <w:r w:rsidR="00E44846">
        <w:rPr>
          <w:rFonts w:ascii="Tahoma" w:hAnsi="Tahoma" w:cs="Tahoma"/>
          <w:b/>
          <w:sz w:val="20"/>
          <w:szCs w:val="20"/>
        </w:rPr>
        <w:t>7</w:t>
      </w:r>
      <w:r w:rsidR="00AF396F">
        <w:rPr>
          <w:rFonts w:ascii="Tahoma" w:hAnsi="Tahoma" w:cs="Tahoma"/>
          <w:b/>
          <w:sz w:val="20"/>
          <w:szCs w:val="20"/>
        </w:rPr>
        <w:t>. УСЛОВИЯ</w:t>
      </w:r>
      <w:r w:rsidR="00AF396F" w:rsidRPr="00CA3A23">
        <w:rPr>
          <w:rFonts w:ascii="Tahoma" w:hAnsi="Tahoma" w:cs="Tahoma"/>
          <w:b/>
          <w:sz w:val="20"/>
          <w:szCs w:val="20"/>
        </w:rPr>
        <w:t xml:space="preserve"> ТЕКУЩЕГО БАНКОВСКОГО СЧЕТА «НАКОПИТЕЛЬНЫЙ СЧЕТ СУПЕР КОПИЛКА» ДЛЯ СЧЕТОВ, ОТКРЫТЫХ ДО 01.02.2022</w:t>
      </w:r>
      <w:r w:rsidR="0092521F">
        <w:rPr>
          <w:rFonts w:ascii="Tahoma" w:hAnsi="Tahoma" w:cs="Tahoma"/>
          <w:b/>
          <w:sz w:val="20"/>
          <w:szCs w:val="20"/>
        </w:rPr>
        <w:tab/>
        <w:t>306</w:t>
      </w:r>
      <w:bookmarkEnd w:id="61"/>
    </w:p>
    <w:p w14:paraId="5C38904E" w14:textId="65731062" w:rsidR="00CA3A23" w:rsidRDefault="002B7E85" w:rsidP="00470B5F">
      <w:pPr>
        <w:tabs>
          <w:tab w:val="left" w:pos="9639"/>
        </w:tabs>
        <w:outlineLvl w:val="0"/>
        <w:rPr>
          <w:rFonts w:ascii="Tahoma" w:hAnsi="Tahoma" w:cs="Tahoma"/>
          <w:b/>
          <w:sz w:val="20"/>
          <w:szCs w:val="20"/>
        </w:rPr>
      </w:pPr>
      <w:bookmarkStart w:id="62" w:name="_Toc191284509"/>
      <w:r>
        <w:rPr>
          <w:rFonts w:ascii="Tahoma" w:hAnsi="Tahoma" w:cs="Tahoma"/>
          <w:b/>
          <w:sz w:val="20"/>
          <w:szCs w:val="20"/>
        </w:rPr>
        <w:t>3.</w:t>
      </w:r>
      <w:r w:rsidR="0033066F">
        <w:rPr>
          <w:rFonts w:ascii="Tahoma" w:hAnsi="Tahoma" w:cs="Tahoma"/>
          <w:b/>
          <w:sz w:val="20"/>
          <w:szCs w:val="20"/>
        </w:rPr>
        <w:t>2</w:t>
      </w:r>
      <w:r w:rsidR="00E44846">
        <w:rPr>
          <w:rFonts w:ascii="Tahoma" w:hAnsi="Tahoma" w:cs="Tahoma"/>
          <w:b/>
          <w:sz w:val="20"/>
          <w:szCs w:val="20"/>
        </w:rPr>
        <w:t>8</w:t>
      </w:r>
      <w:r w:rsidR="00AF396F">
        <w:rPr>
          <w:rFonts w:ascii="Tahoma" w:hAnsi="Tahoma" w:cs="Tahoma"/>
          <w:b/>
          <w:sz w:val="20"/>
          <w:szCs w:val="20"/>
        </w:rPr>
        <w:t>. УСЛОВИЯ</w:t>
      </w:r>
      <w:r w:rsidR="00AF396F" w:rsidRPr="00CA3A23">
        <w:rPr>
          <w:rFonts w:ascii="Tahoma" w:hAnsi="Tahoma" w:cs="Tahoma"/>
          <w:b/>
          <w:sz w:val="20"/>
          <w:szCs w:val="20"/>
        </w:rPr>
        <w:t xml:space="preserve"> ТЕКУЩЕГО БАНКОВСКОГО СЧЕТА «НАКОПИТЕЛЬНЫЙ СЧЕТ СУПЕР КОПИЛКА» ДЛ</w:t>
      </w:r>
      <w:r w:rsidR="00AF396F">
        <w:rPr>
          <w:rFonts w:ascii="Tahoma" w:hAnsi="Tahoma" w:cs="Tahoma"/>
          <w:b/>
          <w:sz w:val="20"/>
          <w:szCs w:val="20"/>
        </w:rPr>
        <w:t>Я СЧЕТОВ, ОТКРЫТЫХ С 01.02.2022 ПО 03.03.</w:t>
      </w:r>
      <w:r w:rsidR="0092521F">
        <w:rPr>
          <w:rFonts w:ascii="Tahoma" w:hAnsi="Tahoma" w:cs="Tahoma"/>
          <w:b/>
          <w:sz w:val="20"/>
          <w:szCs w:val="20"/>
        </w:rPr>
        <w:t>2022</w:t>
      </w:r>
      <w:r w:rsidR="0092521F">
        <w:rPr>
          <w:rFonts w:ascii="Tahoma" w:hAnsi="Tahoma" w:cs="Tahoma"/>
          <w:b/>
          <w:sz w:val="20"/>
          <w:szCs w:val="20"/>
        </w:rPr>
        <w:tab/>
        <w:t>307</w:t>
      </w:r>
      <w:bookmarkEnd w:id="62"/>
    </w:p>
    <w:p w14:paraId="7606AB7A" w14:textId="1A92E5AC" w:rsidR="002E45C7" w:rsidRDefault="0033066F" w:rsidP="00470B5F">
      <w:pPr>
        <w:tabs>
          <w:tab w:val="left" w:pos="9639"/>
        </w:tabs>
        <w:outlineLvl w:val="0"/>
        <w:rPr>
          <w:rFonts w:ascii="Tahoma" w:hAnsi="Tahoma" w:cs="Tahoma"/>
          <w:b/>
          <w:sz w:val="20"/>
          <w:szCs w:val="20"/>
        </w:rPr>
      </w:pPr>
      <w:bookmarkStart w:id="63" w:name="_Toc191284510"/>
      <w:r>
        <w:rPr>
          <w:rFonts w:ascii="Tahoma" w:hAnsi="Tahoma" w:cs="Tahoma"/>
          <w:b/>
          <w:sz w:val="20"/>
          <w:szCs w:val="20"/>
        </w:rPr>
        <w:t>3.2</w:t>
      </w:r>
      <w:r w:rsidR="00E44846">
        <w:rPr>
          <w:rFonts w:ascii="Tahoma" w:hAnsi="Tahoma" w:cs="Tahoma"/>
          <w:b/>
          <w:sz w:val="20"/>
          <w:szCs w:val="20"/>
        </w:rPr>
        <w:t>9</w:t>
      </w:r>
      <w:r w:rsidR="00AF396F">
        <w:rPr>
          <w:rFonts w:ascii="Tahoma" w:hAnsi="Tahoma" w:cs="Tahoma"/>
          <w:b/>
          <w:sz w:val="20"/>
          <w:szCs w:val="20"/>
        </w:rPr>
        <w:t>. УСЛОВИЯ</w:t>
      </w:r>
      <w:r w:rsidR="00AF396F" w:rsidRPr="00CA3A23">
        <w:rPr>
          <w:rFonts w:ascii="Tahoma" w:hAnsi="Tahoma" w:cs="Tahoma"/>
          <w:b/>
          <w:sz w:val="20"/>
          <w:szCs w:val="20"/>
        </w:rPr>
        <w:t xml:space="preserve"> ТЕКУЩЕГО БАНКОВСКОГО СЧЕТА «НАКОПИТЕЛЬНЫЙ СЧЕТ СУПЕР КОПИЛКА» ДЛ</w:t>
      </w:r>
      <w:r w:rsidR="00AF396F">
        <w:rPr>
          <w:rFonts w:ascii="Tahoma" w:hAnsi="Tahoma" w:cs="Tahoma"/>
          <w:b/>
          <w:sz w:val="20"/>
          <w:szCs w:val="20"/>
        </w:rPr>
        <w:t xml:space="preserve">Я СЧЕТОВ, ОТКРЫТЫХ С 04.03.2022 </w:t>
      </w:r>
      <w:r w:rsidR="00AF396F">
        <w:rPr>
          <w:rFonts w:ascii="Tahoma" w:hAnsi="Tahoma" w:cs="Tahoma"/>
          <w:b/>
          <w:bCs/>
          <w:sz w:val="20"/>
          <w:szCs w:val="20"/>
        </w:rPr>
        <w:t>(ДЕЙСТВУЮТ ПО 20.06.2022)</w:t>
      </w:r>
      <w:r w:rsidR="0092521F">
        <w:rPr>
          <w:rFonts w:ascii="Tahoma" w:hAnsi="Tahoma" w:cs="Tahoma"/>
          <w:b/>
          <w:sz w:val="20"/>
          <w:szCs w:val="20"/>
        </w:rPr>
        <w:tab/>
        <w:t>308</w:t>
      </w:r>
      <w:bookmarkEnd w:id="63"/>
    </w:p>
    <w:p w14:paraId="2EC23075" w14:textId="6643B0C8" w:rsidR="005E78A1" w:rsidRDefault="00280172" w:rsidP="00470B5F">
      <w:pPr>
        <w:tabs>
          <w:tab w:val="left" w:pos="9639"/>
        </w:tabs>
        <w:outlineLvl w:val="0"/>
        <w:rPr>
          <w:rFonts w:ascii="Tahoma" w:hAnsi="Tahoma" w:cs="Tahoma"/>
          <w:b/>
          <w:sz w:val="20"/>
          <w:szCs w:val="20"/>
        </w:rPr>
      </w:pPr>
      <w:bookmarkStart w:id="64" w:name="_Toc191284511"/>
      <w:r>
        <w:rPr>
          <w:rFonts w:ascii="Tahoma" w:hAnsi="Tahoma" w:cs="Tahoma"/>
          <w:b/>
          <w:sz w:val="20"/>
          <w:szCs w:val="20"/>
        </w:rPr>
        <w:t>3</w:t>
      </w:r>
      <w:r w:rsidR="00E44846">
        <w:rPr>
          <w:rFonts w:ascii="Tahoma" w:hAnsi="Tahoma" w:cs="Tahoma"/>
          <w:b/>
          <w:sz w:val="20"/>
          <w:szCs w:val="20"/>
        </w:rPr>
        <w:t>.30</w:t>
      </w:r>
      <w:r w:rsidR="00AF396F">
        <w:rPr>
          <w:rFonts w:ascii="Tahoma" w:hAnsi="Tahoma" w:cs="Tahoma"/>
          <w:b/>
          <w:sz w:val="20"/>
          <w:szCs w:val="20"/>
        </w:rPr>
        <w:t>. УСЛОВИЯ</w:t>
      </w:r>
      <w:r w:rsidR="00AF396F" w:rsidRPr="00CA3A23">
        <w:rPr>
          <w:rFonts w:ascii="Tahoma" w:hAnsi="Tahoma" w:cs="Tahoma"/>
          <w:b/>
          <w:sz w:val="20"/>
          <w:szCs w:val="20"/>
        </w:rPr>
        <w:t xml:space="preserve"> ТЕКУЩЕГО БАНКОВСКОГО СЧЕТА «НАКОПИТЕЛЬНЫЙ СЧЕТ СУПЕР КОПИЛКА» ДЛ</w:t>
      </w:r>
      <w:r w:rsidR="00AF396F">
        <w:rPr>
          <w:rFonts w:ascii="Tahoma" w:hAnsi="Tahoma" w:cs="Tahoma"/>
          <w:b/>
          <w:sz w:val="20"/>
          <w:szCs w:val="20"/>
        </w:rPr>
        <w:t>Я СЧЕТОВ, ОТКРЫТЫХ С</w:t>
      </w:r>
      <w:r w:rsidR="00AF396F">
        <w:rPr>
          <w:rFonts w:ascii="Tahoma" w:hAnsi="Tahoma" w:cs="Tahoma"/>
          <w:b/>
          <w:bCs/>
          <w:sz w:val="20"/>
          <w:szCs w:val="20"/>
        </w:rPr>
        <w:t xml:space="preserve"> 04.03.2022 (ДЕЙСТВУЮТ С 21</w:t>
      </w:r>
      <w:r w:rsidR="00AF396F" w:rsidRPr="001E6D90">
        <w:rPr>
          <w:rFonts w:ascii="Tahoma" w:hAnsi="Tahoma" w:cs="Tahoma"/>
          <w:b/>
          <w:bCs/>
          <w:sz w:val="20"/>
          <w:szCs w:val="20"/>
        </w:rPr>
        <w:t>.06.2022</w:t>
      </w:r>
      <w:r w:rsidR="00AF396F">
        <w:rPr>
          <w:rFonts w:ascii="Tahoma" w:hAnsi="Tahoma" w:cs="Tahoma"/>
          <w:b/>
          <w:bCs/>
          <w:sz w:val="20"/>
          <w:szCs w:val="20"/>
        </w:rPr>
        <w:t xml:space="preserve"> </w:t>
      </w:r>
      <w:r w:rsidR="00AF396F" w:rsidRPr="006C38A6">
        <w:rPr>
          <w:rFonts w:ascii="Tahoma" w:hAnsi="Tahoma" w:cs="Tahoma"/>
          <w:b/>
          <w:bCs/>
          <w:sz w:val="20"/>
          <w:szCs w:val="20"/>
        </w:rPr>
        <w:t>ПО 04.08.2022</w:t>
      </w:r>
      <w:r w:rsidR="00AF396F">
        <w:rPr>
          <w:rFonts w:ascii="Tahoma" w:hAnsi="Tahoma" w:cs="Tahoma"/>
          <w:b/>
          <w:bCs/>
          <w:sz w:val="20"/>
          <w:szCs w:val="20"/>
        </w:rPr>
        <w:t>)</w:t>
      </w:r>
      <w:r w:rsidR="0092521F">
        <w:rPr>
          <w:rFonts w:ascii="Tahoma" w:hAnsi="Tahoma" w:cs="Tahoma"/>
          <w:b/>
          <w:sz w:val="20"/>
          <w:szCs w:val="20"/>
        </w:rPr>
        <w:tab/>
        <w:t>308</w:t>
      </w:r>
      <w:bookmarkEnd w:id="64"/>
    </w:p>
    <w:p w14:paraId="2FD52918" w14:textId="28209327" w:rsidR="006C38A6" w:rsidRDefault="0033066F" w:rsidP="00470B5F">
      <w:pPr>
        <w:tabs>
          <w:tab w:val="left" w:pos="9639"/>
        </w:tabs>
        <w:outlineLvl w:val="0"/>
        <w:rPr>
          <w:rFonts w:ascii="Tahoma" w:hAnsi="Tahoma" w:cs="Tahoma"/>
          <w:b/>
          <w:sz w:val="20"/>
          <w:szCs w:val="20"/>
        </w:rPr>
      </w:pPr>
      <w:bookmarkStart w:id="65" w:name="_Toc191284512"/>
      <w:r>
        <w:rPr>
          <w:rFonts w:ascii="Tahoma" w:hAnsi="Tahoma" w:cs="Tahoma"/>
          <w:b/>
          <w:sz w:val="20"/>
          <w:szCs w:val="20"/>
        </w:rPr>
        <w:t>3.</w:t>
      </w:r>
      <w:r w:rsidR="00E44846">
        <w:rPr>
          <w:rFonts w:ascii="Tahoma" w:hAnsi="Tahoma" w:cs="Tahoma"/>
          <w:b/>
          <w:sz w:val="20"/>
          <w:szCs w:val="20"/>
        </w:rPr>
        <w:t>31</w:t>
      </w:r>
      <w:r w:rsidR="00AF396F">
        <w:rPr>
          <w:rFonts w:ascii="Tahoma" w:hAnsi="Tahoma" w:cs="Tahoma"/>
          <w:b/>
          <w:sz w:val="20"/>
          <w:szCs w:val="20"/>
        </w:rPr>
        <w:t xml:space="preserve">. </w:t>
      </w:r>
      <w:r w:rsidR="00AF396F" w:rsidRPr="006C38A6">
        <w:rPr>
          <w:rFonts w:ascii="Tahoma" w:hAnsi="Tahoma" w:cs="Tahoma"/>
          <w:b/>
          <w:sz w:val="20"/>
          <w:szCs w:val="20"/>
        </w:rPr>
        <w:t>УСЛОВИЯ ТЕКУЩЕГО БАНКОВСКОГО СЧЕТА «НАКОПИТЕЛЬНЫЙ СЧЕТ СУПЕР КОПИЛКА» ДЛЯ СЧЕТОВ, ОТКРЫТЫХ С</w:t>
      </w:r>
      <w:r w:rsidR="00AF396F">
        <w:rPr>
          <w:rFonts w:ascii="Tahoma" w:hAnsi="Tahoma" w:cs="Tahoma"/>
          <w:b/>
          <w:sz w:val="20"/>
          <w:szCs w:val="20"/>
        </w:rPr>
        <w:t xml:space="preserve"> </w:t>
      </w:r>
      <w:r w:rsidR="00AF396F" w:rsidRPr="006C38A6">
        <w:rPr>
          <w:rFonts w:ascii="Tahoma" w:hAnsi="Tahoma" w:cs="Tahoma"/>
          <w:b/>
          <w:sz w:val="20"/>
          <w:szCs w:val="20"/>
        </w:rPr>
        <w:t>04.03.2022 (ДЕЙСТВУЮТ С 05.08.</w:t>
      </w:r>
      <w:r w:rsidR="00AF396F" w:rsidRPr="00147079">
        <w:rPr>
          <w:rFonts w:ascii="Tahoma" w:hAnsi="Tahoma" w:cs="Tahoma"/>
          <w:b/>
          <w:sz w:val="20"/>
          <w:szCs w:val="20"/>
        </w:rPr>
        <w:t>2022</w:t>
      </w:r>
      <w:r w:rsidR="00AF396F" w:rsidRPr="00147079">
        <w:rPr>
          <w:rFonts w:ascii="Tahoma" w:hAnsi="Tahoma" w:cs="Tahoma"/>
          <w:b/>
          <w:bCs/>
          <w:sz w:val="20"/>
          <w:szCs w:val="20"/>
        </w:rPr>
        <w:t xml:space="preserve"> ПО 11.09.2022</w:t>
      </w:r>
      <w:r w:rsidR="00AF396F">
        <w:rPr>
          <w:rFonts w:ascii="Tahoma" w:hAnsi="Tahoma" w:cs="Tahoma"/>
          <w:b/>
          <w:bCs/>
          <w:sz w:val="20"/>
          <w:szCs w:val="20"/>
        </w:rPr>
        <w:t>)</w:t>
      </w:r>
      <w:r w:rsidR="0092521F">
        <w:rPr>
          <w:rFonts w:ascii="Tahoma" w:hAnsi="Tahoma" w:cs="Tahoma"/>
          <w:b/>
          <w:sz w:val="20"/>
          <w:szCs w:val="20"/>
        </w:rPr>
        <w:tab/>
        <w:t>309</w:t>
      </w:r>
      <w:bookmarkEnd w:id="65"/>
    </w:p>
    <w:p w14:paraId="33642157" w14:textId="55CFBD15" w:rsidR="00147079" w:rsidRDefault="0033066F" w:rsidP="00F17858">
      <w:pPr>
        <w:pStyle w:val="afff0"/>
        <w:tabs>
          <w:tab w:val="left" w:pos="9639"/>
        </w:tabs>
        <w:jc w:val="both"/>
        <w:rPr>
          <w:rFonts w:ascii="Tahoma" w:hAnsi="Tahoma" w:cs="Tahoma"/>
          <w:b/>
          <w:bCs/>
          <w:sz w:val="20"/>
        </w:rPr>
      </w:pPr>
      <w:r>
        <w:rPr>
          <w:rFonts w:ascii="Tahoma" w:hAnsi="Tahoma" w:cs="Tahoma"/>
          <w:b/>
          <w:bCs/>
          <w:sz w:val="20"/>
        </w:rPr>
        <w:t>3.3</w:t>
      </w:r>
      <w:r w:rsidR="00E44846">
        <w:rPr>
          <w:rFonts w:ascii="Tahoma" w:hAnsi="Tahoma" w:cs="Tahoma"/>
          <w:b/>
          <w:bCs/>
          <w:sz w:val="20"/>
        </w:rPr>
        <w:t>2</w:t>
      </w:r>
      <w:r w:rsidR="00AF396F" w:rsidRPr="00147079">
        <w:rPr>
          <w:rFonts w:ascii="Tahoma" w:hAnsi="Tahoma" w:cs="Tahoma"/>
          <w:b/>
          <w:bCs/>
          <w:sz w:val="20"/>
        </w:rPr>
        <w:t>. УСЛОВИЯ ТЕКУЩЕГО БАНКОВСКОГО СЧЕТА «НАКОПИТЕЛЬНЫЙ СЧЕТ СУПЕР КОПИЛКА» ДЛЯ СЧЕТОВ ОТКРЫТЫХ С 04.0</w:t>
      </w:r>
      <w:r w:rsidR="00AF396F">
        <w:rPr>
          <w:rFonts w:ascii="Tahoma" w:hAnsi="Tahoma" w:cs="Tahoma"/>
          <w:b/>
          <w:bCs/>
          <w:sz w:val="20"/>
        </w:rPr>
        <w:t>3.2022 (ДЕЙСТВУЮТ С 12.09.2022</w:t>
      </w:r>
      <w:r w:rsidR="00AF396F" w:rsidRPr="00F17858">
        <w:t xml:space="preserve"> </w:t>
      </w:r>
      <w:r w:rsidR="00C977E4">
        <w:rPr>
          <w:rFonts w:ascii="Tahoma" w:hAnsi="Tahoma" w:cs="Tahoma"/>
          <w:b/>
          <w:bCs/>
          <w:sz w:val="20"/>
        </w:rPr>
        <w:t>ПО 19.10.2</w:t>
      </w:r>
      <w:r w:rsidR="006D7D38">
        <w:rPr>
          <w:rFonts w:ascii="Tahoma" w:hAnsi="Tahoma" w:cs="Tahoma"/>
          <w:b/>
          <w:bCs/>
          <w:sz w:val="20"/>
        </w:rPr>
        <w:t>02</w:t>
      </w:r>
      <w:r w:rsidR="0092521F">
        <w:rPr>
          <w:rFonts w:ascii="Tahoma" w:hAnsi="Tahoma" w:cs="Tahoma"/>
          <w:b/>
          <w:bCs/>
          <w:sz w:val="20"/>
        </w:rPr>
        <w:t>2)</w:t>
      </w:r>
      <w:r w:rsidR="0092521F">
        <w:rPr>
          <w:rFonts w:ascii="Tahoma" w:hAnsi="Tahoma" w:cs="Tahoma"/>
          <w:b/>
          <w:bCs/>
          <w:sz w:val="20"/>
        </w:rPr>
        <w:tab/>
        <w:t>310</w:t>
      </w:r>
    </w:p>
    <w:p w14:paraId="16E8AD8B" w14:textId="0B671801" w:rsidR="00F17858" w:rsidRDefault="0033066F" w:rsidP="00F17858">
      <w:pPr>
        <w:pStyle w:val="afff0"/>
        <w:tabs>
          <w:tab w:val="left" w:pos="9639"/>
        </w:tabs>
        <w:jc w:val="both"/>
        <w:rPr>
          <w:rFonts w:ascii="Tahoma" w:hAnsi="Tahoma" w:cs="Tahoma"/>
          <w:b/>
          <w:bCs/>
          <w:sz w:val="20"/>
        </w:rPr>
      </w:pPr>
      <w:r>
        <w:rPr>
          <w:rFonts w:ascii="Tahoma" w:hAnsi="Tahoma" w:cs="Tahoma"/>
          <w:b/>
          <w:bCs/>
          <w:sz w:val="20"/>
        </w:rPr>
        <w:t>3.3</w:t>
      </w:r>
      <w:r w:rsidR="00E44846">
        <w:rPr>
          <w:rFonts w:ascii="Tahoma" w:hAnsi="Tahoma" w:cs="Tahoma"/>
          <w:b/>
          <w:bCs/>
          <w:sz w:val="20"/>
        </w:rPr>
        <w:t>3</w:t>
      </w:r>
      <w:r w:rsidR="00AF396F" w:rsidRPr="00F17858">
        <w:rPr>
          <w:rFonts w:ascii="Tahoma" w:hAnsi="Tahoma" w:cs="Tahoma"/>
          <w:b/>
          <w:bCs/>
          <w:sz w:val="20"/>
        </w:rPr>
        <w:t xml:space="preserve">. УСЛОВИЯ ТЕКУЩЕГО БАНКОВСКОГО СЧЕТА «НАКОПИТЕЛЬНЫЙ СЧЕТ СУПЕР КОПИЛКА» ДЛЯ СЧЕТОВ ОТКРЫТЫХ С </w:t>
      </w:r>
      <w:r w:rsidR="00AF396F" w:rsidRPr="00AF396F">
        <w:rPr>
          <w:rFonts w:ascii="Tahoma" w:hAnsi="Tahoma" w:cs="Tahoma"/>
          <w:b/>
          <w:bCs/>
          <w:sz w:val="20"/>
        </w:rPr>
        <w:t>04.03.2022 (ДЕЙСТВУЮТ С 20.10.2022 ПО 20.02.2023</w:t>
      </w:r>
      <w:r w:rsidR="0092521F">
        <w:rPr>
          <w:rFonts w:ascii="Tahoma" w:hAnsi="Tahoma" w:cs="Tahoma"/>
          <w:b/>
          <w:bCs/>
          <w:sz w:val="20"/>
        </w:rPr>
        <w:t>)</w:t>
      </w:r>
      <w:r w:rsidR="0092521F">
        <w:rPr>
          <w:rFonts w:ascii="Tahoma" w:hAnsi="Tahoma" w:cs="Tahoma"/>
          <w:b/>
          <w:bCs/>
          <w:sz w:val="20"/>
        </w:rPr>
        <w:tab/>
        <w:t>310</w:t>
      </w:r>
    </w:p>
    <w:p w14:paraId="730FDCC5" w14:textId="7F1CDDAF" w:rsidR="00AF396F" w:rsidRDefault="0033066F" w:rsidP="00F17858">
      <w:pPr>
        <w:pStyle w:val="afff0"/>
        <w:tabs>
          <w:tab w:val="left" w:pos="9639"/>
        </w:tabs>
        <w:jc w:val="both"/>
        <w:rPr>
          <w:rFonts w:ascii="Tahoma" w:hAnsi="Tahoma" w:cs="Tahoma"/>
          <w:b/>
          <w:bCs/>
          <w:sz w:val="20"/>
        </w:rPr>
      </w:pPr>
      <w:r>
        <w:rPr>
          <w:rFonts w:ascii="Tahoma" w:hAnsi="Tahoma" w:cs="Tahoma"/>
          <w:b/>
          <w:bCs/>
          <w:sz w:val="20"/>
        </w:rPr>
        <w:t>3.3</w:t>
      </w:r>
      <w:r w:rsidR="00E44846">
        <w:rPr>
          <w:rFonts w:ascii="Tahoma" w:hAnsi="Tahoma" w:cs="Tahoma"/>
          <w:b/>
          <w:bCs/>
          <w:sz w:val="20"/>
        </w:rPr>
        <w:t>4</w:t>
      </w:r>
      <w:r w:rsidR="00AF396F" w:rsidRPr="00AF396F">
        <w:rPr>
          <w:rFonts w:ascii="Tahoma" w:hAnsi="Tahoma" w:cs="Tahoma"/>
          <w:b/>
          <w:bCs/>
          <w:sz w:val="20"/>
        </w:rPr>
        <w:t>. УСЛОВИЯ ТЕКУЩЕГО БАНКОВСКОГО СЧЕТА «НАКОПИТЕЛЬНЫЙ СЧЕТ СУПЕР КОПИЛКА» ДЛЯ СЧЕТОВ ОТКРЫТЫХ С 04.0</w:t>
      </w:r>
      <w:r w:rsidR="00AF396F">
        <w:rPr>
          <w:rFonts w:ascii="Tahoma" w:hAnsi="Tahoma" w:cs="Tahoma"/>
          <w:b/>
          <w:bCs/>
          <w:sz w:val="20"/>
        </w:rPr>
        <w:t>3.2022</w:t>
      </w:r>
      <w:r w:rsidR="00C977E4">
        <w:rPr>
          <w:rFonts w:ascii="Tahoma" w:hAnsi="Tahoma" w:cs="Tahoma"/>
          <w:b/>
          <w:bCs/>
          <w:sz w:val="20"/>
        </w:rPr>
        <w:t xml:space="preserve"> (ДЕЙСТВУЮТ С 21.02.2023</w:t>
      </w:r>
      <w:r w:rsidR="00090437">
        <w:rPr>
          <w:rFonts w:ascii="Tahoma" w:hAnsi="Tahoma" w:cs="Tahoma"/>
          <w:b/>
          <w:bCs/>
          <w:sz w:val="20"/>
        </w:rPr>
        <w:t xml:space="preserve"> по 27.08.2023</w:t>
      </w:r>
      <w:r w:rsidR="0092521F">
        <w:rPr>
          <w:rFonts w:ascii="Tahoma" w:hAnsi="Tahoma" w:cs="Tahoma"/>
          <w:b/>
          <w:bCs/>
          <w:sz w:val="20"/>
        </w:rPr>
        <w:t>)</w:t>
      </w:r>
      <w:r w:rsidR="0092521F">
        <w:rPr>
          <w:rFonts w:ascii="Tahoma" w:hAnsi="Tahoma" w:cs="Tahoma"/>
          <w:b/>
          <w:bCs/>
          <w:sz w:val="20"/>
        </w:rPr>
        <w:tab/>
        <w:t>311</w:t>
      </w:r>
    </w:p>
    <w:p w14:paraId="6B47A981" w14:textId="25790314" w:rsidR="002438AF" w:rsidRPr="002438AF" w:rsidRDefault="0033066F" w:rsidP="002438AF">
      <w:pPr>
        <w:pStyle w:val="afff0"/>
        <w:tabs>
          <w:tab w:val="left" w:pos="9639"/>
        </w:tabs>
        <w:rPr>
          <w:rFonts w:ascii="Tahoma" w:hAnsi="Tahoma" w:cs="Tahoma"/>
          <w:b/>
          <w:bCs/>
          <w:sz w:val="20"/>
        </w:rPr>
      </w:pPr>
      <w:r>
        <w:rPr>
          <w:rFonts w:ascii="Tahoma" w:hAnsi="Tahoma" w:cs="Tahoma"/>
          <w:b/>
          <w:bCs/>
          <w:sz w:val="20"/>
        </w:rPr>
        <w:t>3.3</w:t>
      </w:r>
      <w:r w:rsidR="00E44846">
        <w:rPr>
          <w:rFonts w:ascii="Tahoma" w:hAnsi="Tahoma" w:cs="Tahoma"/>
          <w:b/>
          <w:bCs/>
          <w:sz w:val="20"/>
        </w:rPr>
        <w:t>5</w:t>
      </w:r>
      <w:r w:rsidR="002438AF" w:rsidRPr="002438AF">
        <w:rPr>
          <w:rFonts w:ascii="Tahoma" w:hAnsi="Tahoma" w:cs="Tahoma"/>
          <w:b/>
          <w:bCs/>
          <w:sz w:val="20"/>
        </w:rPr>
        <w:t>. УСЛОВИЯ ТЕКУЩЕГО БАНКОВСКОГО СЧЕТА «НАКОПИТЕЛЬНЫЙ СЧЕТ СУПЕР КОПИЛКА» ДЛЯ СЧЕТОВ ОТКРЫТЫХ С 04.03.2022 (ДЕЙСТВУЮТ С 28.08.2023 ПО 01.11.2023</w:t>
      </w:r>
      <w:r w:rsidR="0092521F">
        <w:rPr>
          <w:rFonts w:ascii="Tahoma" w:hAnsi="Tahoma" w:cs="Tahoma"/>
          <w:b/>
          <w:bCs/>
          <w:sz w:val="20"/>
        </w:rPr>
        <w:t>)</w:t>
      </w:r>
      <w:r w:rsidR="0092521F">
        <w:rPr>
          <w:rFonts w:ascii="Tahoma" w:hAnsi="Tahoma" w:cs="Tahoma"/>
          <w:b/>
          <w:bCs/>
          <w:sz w:val="20"/>
        </w:rPr>
        <w:tab/>
        <w:t>312</w:t>
      </w:r>
    </w:p>
    <w:p w14:paraId="5417AD7E" w14:textId="6CB3E63C" w:rsidR="00090437" w:rsidRPr="00147079" w:rsidRDefault="0033066F" w:rsidP="00F17858">
      <w:pPr>
        <w:pStyle w:val="afff0"/>
        <w:tabs>
          <w:tab w:val="left" w:pos="9639"/>
        </w:tabs>
        <w:jc w:val="both"/>
        <w:rPr>
          <w:rFonts w:ascii="Tahoma" w:hAnsi="Tahoma" w:cs="Tahoma"/>
          <w:b/>
          <w:bCs/>
          <w:sz w:val="20"/>
        </w:rPr>
      </w:pPr>
      <w:r>
        <w:rPr>
          <w:rFonts w:ascii="Tahoma" w:hAnsi="Tahoma" w:cs="Tahoma"/>
          <w:b/>
          <w:bCs/>
          <w:sz w:val="20"/>
        </w:rPr>
        <w:t>3.3</w:t>
      </w:r>
      <w:r w:rsidR="00E44846">
        <w:rPr>
          <w:rFonts w:ascii="Tahoma" w:hAnsi="Tahoma" w:cs="Tahoma"/>
          <w:b/>
          <w:bCs/>
          <w:sz w:val="20"/>
        </w:rPr>
        <w:t>6</w:t>
      </w:r>
      <w:r w:rsidR="00090437" w:rsidRPr="00090437">
        <w:rPr>
          <w:rFonts w:ascii="Tahoma" w:hAnsi="Tahoma" w:cs="Tahoma"/>
          <w:b/>
          <w:bCs/>
          <w:sz w:val="20"/>
        </w:rPr>
        <w:t>. УСЛОВИЯ ТЕКУЩЕГО БАНКОВСКОГО СЧЕТА «НАКОПИТЕЛЬНЫЙ СЧЕТ СУПЕР КОПИЛКА» ДЛЯ СЧЕТОВ ОТКР</w:t>
      </w:r>
      <w:r w:rsidR="002438AF">
        <w:rPr>
          <w:rFonts w:ascii="Tahoma" w:hAnsi="Tahoma" w:cs="Tahoma"/>
          <w:b/>
          <w:bCs/>
          <w:sz w:val="20"/>
        </w:rPr>
        <w:t>ЫТЫХ С 04.03.2022 (ДЕЙСТВУЮТ С 02.11</w:t>
      </w:r>
      <w:r w:rsidR="00090437" w:rsidRPr="00090437">
        <w:rPr>
          <w:rFonts w:ascii="Tahoma" w:hAnsi="Tahoma" w:cs="Tahoma"/>
          <w:b/>
          <w:bCs/>
          <w:sz w:val="20"/>
        </w:rPr>
        <w:t>.2023)</w:t>
      </w:r>
      <w:r w:rsidR="00090437">
        <w:rPr>
          <w:rFonts w:ascii="Tahoma" w:hAnsi="Tahoma" w:cs="Tahoma"/>
          <w:b/>
          <w:bCs/>
          <w:sz w:val="20"/>
        </w:rPr>
        <w:tab/>
      </w:r>
      <w:r w:rsidR="0092521F">
        <w:rPr>
          <w:rFonts w:ascii="Tahoma" w:hAnsi="Tahoma" w:cs="Tahoma"/>
          <w:b/>
          <w:bCs/>
          <w:sz w:val="20"/>
        </w:rPr>
        <w:t>313</w:t>
      </w:r>
    </w:p>
    <w:p w14:paraId="60FBE776" w14:textId="3AB0F963" w:rsidR="00A3475B" w:rsidRDefault="0033066F" w:rsidP="00470B5F">
      <w:pPr>
        <w:tabs>
          <w:tab w:val="left" w:pos="9639"/>
        </w:tabs>
        <w:outlineLvl w:val="0"/>
        <w:rPr>
          <w:rFonts w:ascii="Tahoma" w:hAnsi="Tahoma" w:cs="Tahoma"/>
          <w:b/>
          <w:sz w:val="20"/>
          <w:szCs w:val="20"/>
        </w:rPr>
      </w:pPr>
      <w:bookmarkStart w:id="66" w:name="_Toc191284513"/>
      <w:r>
        <w:rPr>
          <w:rFonts w:ascii="Tahoma" w:hAnsi="Tahoma" w:cs="Tahoma"/>
          <w:b/>
          <w:sz w:val="20"/>
          <w:szCs w:val="20"/>
        </w:rPr>
        <w:t>3.3</w:t>
      </w:r>
      <w:r w:rsidR="00E44846">
        <w:rPr>
          <w:rFonts w:ascii="Tahoma" w:hAnsi="Tahoma" w:cs="Tahoma"/>
          <w:b/>
          <w:sz w:val="20"/>
          <w:szCs w:val="20"/>
        </w:rPr>
        <w:t>7</w:t>
      </w:r>
      <w:r w:rsidR="00A3475B">
        <w:rPr>
          <w:rFonts w:ascii="Tahoma" w:hAnsi="Tahoma" w:cs="Tahoma"/>
          <w:b/>
          <w:sz w:val="20"/>
          <w:szCs w:val="20"/>
        </w:rPr>
        <w:t xml:space="preserve">. ВКЛАД «СОХРАНИ» </w:t>
      </w:r>
      <w:r w:rsidR="00A3475B" w:rsidRPr="00A3475B">
        <w:rPr>
          <w:rFonts w:ascii="Tahoma" w:hAnsi="Tahoma" w:cs="Tahoma"/>
          <w:b/>
          <w:sz w:val="20"/>
          <w:szCs w:val="20"/>
        </w:rPr>
        <w:t>(УСЛОВИЯ ДЛЯ ПРОЛОНГИРУЕМЫХ ВКЛАДОВ)</w:t>
      </w:r>
      <w:r w:rsidR="0092521F">
        <w:rPr>
          <w:rFonts w:ascii="Tahoma" w:hAnsi="Tahoma" w:cs="Tahoma"/>
          <w:b/>
          <w:sz w:val="20"/>
          <w:szCs w:val="20"/>
        </w:rPr>
        <w:tab/>
        <w:t>313</w:t>
      </w:r>
      <w:bookmarkEnd w:id="66"/>
    </w:p>
    <w:p w14:paraId="3AEB82FE" w14:textId="1036E4D8" w:rsidR="00A3475B" w:rsidRDefault="00E44846" w:rsidP="00470B5F">
      <w:pPr>
        <w:tabs>
          <w:tab w:val="left" w:pos="9639"/>
        </w:tabs>
        <w:outlineLvl w:val="0"/>
        <w:rPr>
          <w:rFonts w:ascii="Tahoma" w:hAnsi="Tahoma" w:cs="Tahoma"/>
          <w:b/>
          <w:sz w:val="20"/>
          <w:szCs w:val="20"/>
        </w:rPr>
      </w:pPr>
      <w:bookmarkStart w:id="67" w:name="_Toc191284514"/>
      <w:r>
        <w:rPr>
          <w:rFonts w:ascii="Tahoma" w:hAnsi="Tahoma" w:cs="Tahoma"/>
          <w:b/>
          <w:sz w:val="20"/>
          <w:szCs w:val="20"/>
        </w:rPr>
        <w:t>3.38</w:t>
      </w:r>
      <w:r w:rsidR="00A3475B">
        <w:rPr>
          <w:rFonts w:ascii="Tahoma" w:hAnsi="Tahoma" w:cs="Tahoma"/>
          <w:b/>
          <w:sz w:val="20"/>
          <w:szCs w:val="20"/>
        </w:rPr>
        <w:t xml:space="preserve">. ВКЛАД «НАКОПИ» </w:t>
      </w:r>
      <w:r w:rsidR="00A3475B" w:rsidRPr="00C6598F">
        <w:rPr>
          <w:rFonts w:ascii="Tahoma" w:hAnsi="Tahoma" w:cs="Tahoma"/>
          <w:b/>
          <w:sz w:val="20"/>
          <w:szCs w:val="20"/>
        </w:rPr>
        <w:t>(УСЛОВИЯ</w:t>
      </w:r>
      <w:r w:rsidR="003E719A">
        <w:rPr>
          <w:rFonts w:ascii="Tahoma" w:hAnsi="Tahoma" w:cs="Tahoma"/>
          <w:b/>
          <w:sz w:val="20"/>
          <w:szCs w:val="20"/>
        </w:rPr>
        <w:t xml:space="preserve"> ДЛЯ ПРОЛОНГИРУЕМЫХ ВКЛАДОВ)</w:t>
      </w:r>
      <w:r w:rsidR="003E719A">
        <w:rPr>
          <w:rFonts w:ascii="Tahoma" w:hAnsi="Tahoma" w:cs="Tahoma"/>
          <w:b/>
          <w:sz w:val="20"/>
          <w:szCs w:val="20"/>
        </w:rPr>
        <w:tab/>
      </w:r>
      <w:r w:rsidR="0092521F">
        <w:rPr>
          <w:rFonts w:ascii="Tahoma" w:hAnsi="Tahoma" w:cs="Tahoma"/>
          <w:b/>
          <w:sz w:val="20"/>
          <w:szCs w:val="20"/>
        </w:rPr>
        <w:t>314</w:t>
      </w:r>
      <w:bookmarkEnd w:id="67"/>
    </w:p>
    <w:p w14:paraId="412F945D" w14:textId="15706260" w:rsidR="00A3475B" w:rsidRDefault="00E44846" w:rsidP="00470B5F">
      <w:pPr>
        <w:tabs>
          <w:tab w:val="left" w:pos="9639"/>
        </w:tabs>
        <w:outlineLvl w:val="0"/>
        <w:rPr>
          <w:rFonts w:ascii="Tahoma" w:hAnsi="Tahoma" w:cs="Tahoma"/>
          <w:b/>
          <w:sz w:val="20"/>
          <w:szCs w:val="20"/>
        </w:rPr>
      </w:pPr>
      <w:bookmarkStart w:id="68" w:name="_Toc191284515"/>
      <w:r>
        <w:rPr>
          <w:rFonts w:ascii="Tahoma" w:hAnsi="Tahoma" w:cs="Tahoma"/>
          <w:b/>
          <w:sz w:val="20"/>
          <w:szCs w:val="20"/>
        </w:rPr>
        <w:t>3.39</w:t>
      </w:r>
      <w:r w:rsidR="00A3475B">
        <w:rPr>
          <w:rFonts w:ascii="Tahoma" w:hAnsi="Tahoma" w:cs="Tahoma"/>
          <w:b/>
          <w:sz w:val="20"/>
          <w:szCs w:val="20"/>
        </w:rPr>
        <w:t>. ВКЛАД «СОХРАНИ ОНЛАЙН»</w:t>
      </w:r>
      <w:r w:rsidR="008B4CB0">
        <w:rPr>
          <w:rFonts w:ascii="Tahoma" w:hAnsi="Tahoma" w:cs="Tahoma"/>
          <w:b/>
          <w:sz w:val="20"/>
          <w:szCs w:val="20"/>
        </w:rPr>
        <w:t xml:space="preserve"> </w:t>
      </w:r>
      <w:r w:rsidR="008B4CB0" w:rsidRPr="00E077B1">
        <w:rPr>
          <w:rFonts w:ascii="Tahoma" w:hAnsi="Tahoma" w:cs="Tahoma"/>
          <w:b/>
          <w:sz w:val="20"/>
          <w:szCs w:val="20"/>
        </w:rPr>
        <w:t>(УСЛОВИЯ ДЛЯ ПРОЛОНГИРУЕМЫХ ВКЛАДОВ)</w:t>
      </w:r>
      <w:r w:rsidR="0092521F">
        <w:rPr>
          <w:rFonts w:ascii="Tahoma" w:hAnsi="Tahoma" w:cs="Tahoma"/>
          <w:b/>
          <w:sz w:val="20"/>
          <w:szCs w:val="20"/>
        </w:rPr>
        <w:tab/>
        <w:t>315</w:t>
      </w:r>
      <w:bookmarkEnd w:id="68"/>
    </w:p>
    <w:p w14:paraId="46AC17F1" w14:textId="18EC78A0" w:rsidR="00A3475B" w:rsidRDefault="00E44846" w:rsidP="00470B5F">
      <w:pPr>
        <w:tabs>
          <w:tab w:val="left" w:pos="9639"/>
        </w:tabs>
        <w:outlineLvl w:val="0"/>
        <w:rPr>
          <w:rFonts w:ascii="Tahoma" w:hAnsi="Tahoma" w:cs="Tahoma"/>
          <w:b/>
          <w:sz w:val="20"/>
          <w:szCs w:val="20"/>
        </w:rPr>
      </w:pPr>
      <w:bookmarkStart w:id="69" w:name="_Toc191284516"/>
      <w:r>
        <w:rPr>
          <w:rFonts w:ascii="Tahoma" w:hAnsi="Tahoma" w:cs="Tahoma"/>
          <w:b/>
          <w:sz w:val="20"/>
          <w:szCs w:val="20"/>
        </w:rPr>
        <w:t>3.40</w:t>
      </w:r>
      <w:r w:rsidR="00A3475B">
        <w:rPr>
          <w:rFonts w:ascii="Tahoma" w:hAnsi="Tahoma" w:cs="Tahoma"/>
          <w:b/>
          <w:sz w:val="20"/>
          <w:szCs w:val="20"/>
        </w:rPr>
        <w:t>. ВКЛАД «НАКОПИ ОНЛАЙН»</w:t>
      </w:r>
      <w:r w:rsidR="008B4CB0">
        <w:rPr>
          <w:rFonts w:ascii="Tahoma" w:hAnsi="Tahoma" w:cs="Tahoma"/>
          <w:b/>
          <w:sz w:val="20"/>
          <w:szCs w:val="20"/>
        </w:rPr>
        <w:t xml:space="preserve"> </w:t>
      </w:r>
      <w:r w:rsidR="008B4CB0" w:rsidRPr="00E077B1">
        <w:rPr>
          <w:rFonts w:ascii="Tahoma" w:hAnsi="Tahoma" w:cs="Tahoma"/>
          <w:b/>
          <w:sz w:val="20"/>
          <w:szCs w:val="20"/>
        </w:rPr>
        <w:t>(УСЛОВИЯ ДЛЯ ПРОЛОНГИРУЕМЫХ ВКЛАДОВ)</w:t>
      </w:r>
      <w:r w:rsidR="0092521F">
        <w:rPr>
          <w:rFonts w:ascii="Tahoma" w:hAnsi="Tahoma" w:cs="Tahoma"/>
          <w:b/>
          <w:sz w:val="20"/>
          <w:szCs w:val="20"/>
        </w:rPr>
        <w:tab/>
        <w:t>316</w:t>
      </w:r>
      <w:bookmarkEnd w:id="69"/>
    </w:p>
    <w:p w14:paraId="433E95BD" w14:textId="5DAA8316" w:rsidR="00470B5F" w:rsidRPr="00ED3AA8" w:rsidRDefault="00E44846" w:rsidP="00470B5F">
      <w:pPr>
        <w:tabs>
          <w:tab w:val="left" w:pos="9639"/>
        </w:tabs>
        <w:outlineLvl w:val="0"/>
        <w:rPr>
          <w:rFonts w:ascii="Tahoma" w:hAnsi="Tahoma" w:cs="Tahoma"/>
          <w:b/>
          <w:sz w:val="20"/>
          <w:szCs w:val="20"/>
        </w:rPr>
      </w:pPr>
      <w:bookmarkStart w:id="70" w:name="_Toc191284517"/>
      <w:r>
        <w:rPr>
          <w:rFonts w:ascii="Tahoma" w:hAnsi="Tahoma" w:cs="Tahoma"/>
          <w:b/>
          <w:sz w:val="20"/>
          <w:szCs w:val="20"/>
        </w:rPr>
        <w:t>3.41</w:t>
      </w:r>
      <w:r w:rsidR="00470B5F" w:rsidRPr="00C6598F">
        <w:rPr>
          <w:rFonts w:ascii="Tahoma" w:hAnsi="Tahoma" w:cs="Tahoma"/>
          <w:b/>
          <w:sz w:val="20"/>
          <w:szCs w:val="20"/>
        </w:rPr>
        <w:t>. ВКЛАД «ЛЕТО» (УСЛОВИЯ</w:t>
      </w:r>
      <w:r w:rsidR="00C977E4">
        <w:rPr>
          <w:rFonts w:ascii="Tahoma" w:hAnsi="Tahoma" w:cs="Tahoma"/>
          <w:b/>
          <w:sz w:val="20"/>
          <w:szCs w:val="20"/>
        </w:rPr>
        <w:t xml:space="preserve"> ДЛЯ ПРОЛОНГИРУЕМЫХ ВКЛАДО</w:t>
      </w:r>
      <w:r w:rsidR="0092521F">
        <w:rPr>
          <w:rFonts w:ascii="Tahoma" w:hAnsi="Tahoma" w:cs="Tahoma"/>
          <w:b/>
          <w:sz w:val="20"/>
          <w:szCs w:val="20"/>
        </w:rPr>
        <w:t>В)</w:t>
      </w:r>
      <w:r w:rsidR="0092521F">
        <w:rPr>
          <w:rFonts w:ascii="Tahoma" w:hAnsi="Tahoma" w:cs="Tahoma"/>
          <w:b/>
          <w:sz w:val="20"/>
          <w:szCs w:val="20"/>
        </w:rPr>
        <w:tab/>
        <w:t>316</w:t>
      </w:r>
      <w:bookmarkEnd w:id="70"/>
    </w:p>
    <w:p w14:paraId="530341E2" w14:textId="700F0211" w:rsidR="00470B5F" w:rsidRPr="00ED3AA8" w:rsidRDefault="0033066F" w:rsidP="00470B5F">
      <w:pPr>
        <w:tabs>
          <w:tab w:val="left" w:pos="9639"/>
        </w:tabs>
        <w:outlineLvl w:val="0"/>
        <w:rPr>
          <w:rFonts w:ascii="Tahoma" w:hAnsi="Tahoma" w:cs="Tahoma"/>
          <w:b/>
          <w:sz w:val="20"/>
          <w:szCs w:val="20"/>
        </w:rPr>
      </w:pPr>
      <w:bookmarkStart w:id="71" w:name="_Toc191284518"/>
      <w:r>
        <w:rPr>
          <w:rFonts w:ascii="Tahoma" w:hAnsi="Tahoma" w:cs="Tahoma"/>
          <w:b/>
          <w:sz w:val="20"/>
          <w:szCs w:val="20"/>
        </w:rPr>
        <w:t>3.4</w:t>
      </w:r>
      <w:r w:rsidR="00E44846">
        <w:rPr>
          <w:rFonts w:ascii="Tahoma" w:hAnsi="Tahoma" w:cs="Tahoma"/>
          <w:b/>
          <w:sz w:val="20"/>
          <w:szCs w:val="20"/>
        </w:rPr>
        <w:t>2</w:t>
      </w:r>
      <w:r w:rsidR="00470B5F" w:rsidRPr="00C6598F">
        <w:rPr>
          <w:rFonts w:ascii="Tahoma" w:hAnsi="Tahoma" w:cs="Tahoma"/>
          <w:b/>
          <w:sz w:val="20"/>
          <w:szCs w:val="20"/>
        </w:rPr>
        <w:t>. ВКЛАД «ЛЕТО 5,5» (УСЛОВИЯ ДЛЯ ПРОЛОНГИРУ</w:t>
      </w:r>
      <w:r w:rsidR="003E719A">
        <w:rPr>
          <w:rFonts w:ascii="Tahoma" w:hAnsi="Tahoma" w:cs="Tahoma"/>
          <w:b/>
          <w:sz w:val="20"/>
          <w:szCs w:val="20"/>
        </w:rPr>
        <w:t xml:space="preserve">ЕМЫХ </w:t>
      </w:r>
      <w:r w:rsidR="00EF7AE5">
        <w:rPr>
          <w:rFonts w:ascii="Tahoma" w:hAnsi="Tahoma" w:cs="Tahoma"/>
          <w:b/>
          <w:sz w:val="20"/>
          <w:szCs w:val="20"/>
        </w:rPr>
        <w:t>ВКЛАДОВ)</w:t>
      </w:r>
      <w:r w:rsidR="0092521F">
        <w:rPr>
          <w:rFonts w:ascii="Tahoma" w:hAnsi="Tahoma" w:cs="Tahoma"/>
          <w:b/>
          <w:sz w:val="20"/>
          <w:szCs w:val="20"/>
        </w:rPr>
        <w:tab/>
        <w:t>317</w:t>
      </w:r>
      <w:bookmarkEnd w:id="71"/>
    </w:p>
    <w:p w14:paraId="3F036D38" w14:textId="54A3202B" w:rsidR="00470B5F" w:rsidRPr="00ED3AA8" w:rsidRDefault="00E44846" w:rsidP="00470B5F">
      <w:pPr>
        <w:tabs>
          <w:tab w:val="left" w:pos="9639"/>
        </w:tabs>
        <w:outlineLvl w:val="0"/>
        <w:rPr>
          <w:rFonts w:ascii="Tahoma" w:hAnsi="Tahoma" w:cs="Tahoma"/>
          <w:b/>
          <w:sz w:val="20"/>
          <w:szCs w:val="20"/>
        </w:rPr>
      </w:pPr>
      <w:bookmarkStart w:id="72" w:name="_Toc191284519"/>
      <w:r>
        <w:rPr>
          <w:rFonts w:ascii="Tahoma" w:hAnsi="Tahoma" w:cs="Tahoma"/>
          <w:b/>
          <w:sz w:val="20"/>
          <w:szCs w:val="20"/>
        </w:rPr>
        <w:t>3.43</w:t>
      </w:r>
      <w:r w:rsidR="00470B5F" w:rsidRPr="00C6598F">
        <w:rPr>
          <w:rFonts w:ascii="Tahoma" w:hAnsi="Tahoma" w:cs="Tahoma"/>
          <w:b/>
          <w:sz w:val="20"/>
          <w:szCs w:val="20"/>
        </w:rPr>
        <w:t>. ВКЛАД «ЛЕТО ОНЛАЙН» (УСЛОВИ</w:t>
      </w:r>
      <w:r w:rsidR="00470B5F">
        <w:rPr>
          <w:rFonts w:ascii="Tahoma" w:hAnsi="Tahoma" w:cs="Tahoma"/>
          <w:b/>
          <w:sz w:val="20"/>
          <w:szCs w:val="20"/>
        </w:rPr>
        <w:t>Я</w:t>
      </w:r>
      <w:r w:rsidR="006D7D38">
        <w:rPr>
          <w:rFonts w:ascii="Tahoma" w:hAnsi="Tahoma" w:cs="Tahoma"/>
          <w:b/>
          <w:sz w:val="20"/>
          <w:szCs w:val="20"/>
        </w:rPr>
        <w:t xml:space="preserve"> </w:t>
      </w:r>
      <w:r w:rsidR="0092521F">
        <w:rPr>
          <w:rFonts w:ascii="Tahoma" w:hAnsi="Tahoma" w:cs="Tahoma"/>
          <w:b/>
          <w:sz w:val="20"/>
          <w:szCs w:val="20"/>
        </w:rPr>
        <w:t>ДЛЯ ПРОЛОНГИРУЕМЫХ ВКЛАДОВ)</w:t>
      </w:r>
      <w:r w:rsidR="0092521F">
        <w:rPr>
          <w:rFonts w:ascii="Tahoma" w:hAnsi="Tahoma" w:cs="Tahoma"/>
          <w:b/>
          <w:sz w:val="20"/>
          <w:szCs w:val="20"/>
        </w:rPr>
        <w:tab/>
        <w:t>317</w:t>
      </w:r>
      <w:bookmarkEnd w:id="72"/>
    </w:p>
    <w:p w14:paraId="0181C953" w14:textId="1EC57C13" w:rsidR="00470B5F" w:rsidRPr="00ED3AA8" w:rsidRDefault="00E44846" w:rsidP="00470B5F">
      <w:pPr>
        <w:tabs>
          <w:tab w:val="left" w:pos="9639"/>
        </w:tabs>
        <w:outlineLvl w:val="0"/>
        <w:rPr>
          <w:rFonts w:ascii="Tahoma" w:hAnsi="Tahoma" w:cs="Tahoma"/>
          <w:b/>
          <w:sz w:val="20"/>
          <w:szCs w:val="20"/>
        </w:rPr>
      </w:pPr>
      <w:bookmarkStart w:id="73" w:name="_Toc191284520"/>
      <w:r>
        <w:rPr>
          <w:rFonts w:ascii="Tahoma" w:hAnsi="Tahoma" w:cs="Tahoma"/>
          <w:b/>
          <w:sz w:val="20"/>
          <w:szCs w:val="20"/>
        </w:rPr>
        <w:lastRenderedPageBreak/>
        <w:t>3.44</w:t>
      </w:r>
      <w:r w:rsidR="00470B5F">
        <w:rPr>
          <w:rFonts w:ascii="Tahoma" w:hAnsi="Tahoma" w:cs="Tahoma"/>
          <w:b/>
          <w:sz w:val="20"/>
          <w:szCs w:val="20"/>
        </w:rPr>
        <w:t xml:space="preserve">. ВКЛАД «МОРОШКА» </w:t>
      </w:r>
      <w:r w:rsidR="00470B5F" w:rsidRPr="00E077B1">
        <w:rPr>
          <w:rFonts w:ascii="Tahoma" w:hAnsi="Tahoma" w:cs="Tahoma"/>
          <w:b/>
          <w:sz w:val="20"/>
          <w:szCs w:val="20"/>
        </w:rPr>
        <w:t>(УСЛОВИЯ ДЛЯ ПРОЛОНГИРУЕМЫХ ВКЛАДОВ)</w:t>
      </w:r>
      <w:r w:rsidR="0092521F">
        <w:rPr>
          <w:rFonts w:ascii="Tahoma" w:hAnsi="Tahoma" w:cs="Tahoma"/>
          <w:b/>
          <w:sz w:val="20"/>
          <w:szCs w:val="20"/>
        </w:rPr>
        <w:tab/>
        <w:t>318</w:t>
      </w:r>
      <w:bookmarkEnd w:id="73"/>
    </w:p>
    <w:p w14:paraId="6B152FAB" w14:textId="5EFAD3F6" w:rsidR="00470B5F" w:rsidRPr="0005581E" w:rsidRDefault="00470B5F" w:rsidP="00470B5F">
      <w:pPr>
        <w:tabs>
          <w:tab w:val="left" w:pos="9639"/>
        </w:tabs>
        <w:outlineLvl w:val="0"/>
        <w:rPr>
          <w:rFonts w:ascii="Tahoma" w:hAnsi="Tahoma" w:cs="Tahoma"/>
          <w:b/>
          <w:sz w:val="20"/>
          <w:szCs w:val="20"/>
        </w:rPr>
      </w:pPr>
      <w:bookmarkStart w:id="74" w:name="_Toc191284521"/>
      <w:r>
        <w:rPr>
          <w:rFonts w:ascii="Tahoma" w:hAnsi="Tahoma" w:cs="Tahoma"/>
          <w:b/>
          <w:sz w:val="20"/>
          <w:szCs w:val="20"/>
        </w:rPr>
        <w:t>3.</w:t>
      </w:r>
      <w:r w:rsidR="00E44846">
        <w:rPr>
          <w:rFonts w:ascii="Tahoma" w:hAnsi="Tahoma" w:cs="Tahoma"/>
          <w:b/>
          <w:sz w:val="20"/>
          <w:szCs w:val="20"/>
        </w:rPr>
        <w:t>45</w:t>
      </w:r>
      <w:r w:rsidRPr="00C6598F">
        <w:rPr>
          <w:rFonts w:ascii="Tahoma" w:hAnsi="Tahoma" w:cs="Tahoma"/>
          <w:b/>
          <w:sz w:val="20"/>
          <w:szCs w:val="20"/>
        </w:rPr>
        <w:t>.</w:t>
      </w:r>
      <w:r>
        <w:rPr>
          <w:rFonts w:ascii="Tahoma" w:hAnsi="Tahoma" w:cs="Tahoma"/>
          <w:b/>
          <w:sz w:val="20"/>
          <w:szCs w:val="20"/>
        </w:rPr>
        <w:t xml:space="preserve"> </w:t>
      </w:r>
      <w:r w:rsidRPr="00C6598F">
        <w:rPr>
          <w:rFonts w:ascii="Tahoma" w:hAnsi="Tahoma" w:cs="Tahoma"/>
          <w:b/>
          <w:sz w:val="20"/>
          <w:szCs w:val="20"/>
        </w:rPr>
        <w:t>ВКЛАД «</w:t>
      </w:r>
      <w:r w:rsidR="00CA3A23">
        <w:rPr>
          <w:rFonts w:ascii="Tahoma" w:hAnsi="Tahoma" w:cs="Tahoma"/>
          <w:b/>
          <w:sz w:val="20"/>
          <w:szCs w:val="20"/>
        </w:rPr>
        <w:t>МАСЛЕНИЦА»</w:t>
      </w:r>
      <w:r w:rsidR="008B4CB0">
        <w:rPr>
          <w:rFonts w:ascii="Tahoma" w:hAnsi="Tahoma" w:cs="Tahoma"/>
          <w:b/>
          <w:sz w:val="20"/>
          <w:szCs w:val="20"/>
        </w:rPr>
        <w:t xml:space="preserve"> </w:t>
      </w:r>
      <w:r w:rsidR="008B4CB0" w:rsidRPr="00E077B1">
        <w:rPr>
          <w:rFonts w:ascii="Tahoma" w:hAnsi="Tahoma" w:cs="Tahoma"/>
          <w:b/>
          <w:sz w:val="20"/>
          <w:szCs w:val="20"/>
        </w:rPr>
        <w:t>(УСЛОВИЯ ДЛЯ ПРОЛОНГИРУЕМЫХ ВКЛАДОВ)</w:t>
      </w:r>
      <w:r w:rsidR="0092521F">
        <w:rPr>
          <w:rFonts w:ascii="Tahoma" w:hAnsi="Tahoma" w:cs="Tahoma"/>
          <w:b/>
          <w:sz w:val="20"/>
          <w:szCs w:val="20"/>
        </w:rPr>
        <w:tab/>
        <w:t>318</w:t>
      </w:r>
      <w:bookmarkEnd w:id="74"/>
    </w:p>
    <w:p w14:paraId="26D2AE02" w14:textId="799EDD03" w:rsidR="00470B5F" w:rsidRDefault="00470B5F" w:rsidP="00470B5F">
      <w:pPr>
        <w:tabs>
          <w:tab w:val="left" w:pos="9639"/>
        </w:tabs>
        <w:outlineLvl w:val="0"/>
        <w:rPr>
          <w:rFonts w:ascii="Tahoma" w:hAnsi="Tahoma" w:cs="Tahoma"/>
          <w:b/>
          <w:sz w:val="20"/>
          <w:szCs w:val="20"/>
        </w:rPr>
      </w:pPr>
      <w:bookmarkStart w:id="75" w:name="_Toc191284522"/>
      <w:r>
        <w:rPr>
          <w:rFonts w:ascii="Tahoma" w:hAnsi="Tahoma" w:cs="Tahoma"/>
          <w:b/>
          <w:sz w:val="20"/>
          <w:szCs w:val="20"/>
        </w:rPr>
        <w:t>3.</w:t>
      </w:r>
      <w:r w:rsidR="00E44846">
        <w:rPr>
          <w:rFonts w:ascii="Tahoma" w:hAnsi="Tahoma" w:cs="Tahoma"/>
          <w:b/>
          <w:sz w:val="20"/>
          <w:szCs w:val="20"/>
        </w:rPr>
        <w:t>46</w:t>
      </w:r>
      <w:r w:rsidR="00CA3A23">
        <w:rPr>
          <w:rFonts w:ascii="Tahoma" w:hAnsi="Tahoma" w:cs="Tahoma"/>
          <w:b/>
          <w:sz w:val="20"/>
          <w:szCs w:val="20"/>
        </w:rPr>
        <w:t>. ВКЛАД «МАСЛЕНИЦА ОНЛАЙН»</w:t>
      </w:r>
      <w:r w:rsidR="008B4CB0">
        <w:rPr>
          <w:rFonts w:ascii="Tahoma" w:hAnsi="Tahoma" w:cs="Tahoma"/>
          <w:b/>
          <w:sz w:val="20"/>
          <w:szCs w:val="20"/>
        </w:rPr>
        <w:t xml:space="preserve"> </w:t>
      </w:r>
      <w:r w:rsidR="008B4CB0" w:rsidRPr="00E077B1">
        <w:rPr>
          <w:rFonts w:ascii="Tahoma" w:hAnsi="Tahoma" w:cs="Tahoma"/>
          <w:b/>
          <w:sz w:val="20"/>
          <w:szCs w:val="20"/>
        </w:rPr>
        <w:t>(УСЛОВИЯ ДЛЯ ПРОЛОНГИРУЕМЫХ ВКЛАДОВ)</w:t>
      </w:r>
      <w:r w:rsidR="0092521F">
        <w:rPr>
          <w:rFonts w:ascii="Tahoma" w:hAnsi="Tahoma" w:cs="Tahoma"/>
          <w:b/>
          <w:sz w:val="20"/>
          <w:szCs w:val="20"/>
        </w:rPr>
        <w:tab/>
        <w:t>319</w:t>
      </w:r>
      <w:bookmarkEnd w:id="75"/>
    </w:p>
    <w:p w14:paraId="62CBA699" w14:textId="02092048" w:rsidR="00FD2D1E" w:rsidRPr="0005581E" w:rsidRDefault="00E44846" w:rsidP="00470B5F">
      <w:pPr>
        <w:tabs>
          <w:tab w:val="left" w:pos="9639"/>
        </w:tabs>
        <w:outlineLvl w:val="0"/>
        <w:rPr>
          <w:rFonts w:ascii="Tahoma" w:hAnsi="Tahoma" w:cs="Tahoma"/>
          <w:b/>
          <w:sz w:val="20"/>
          <w:szCs w:val="20"/>
        </w:rPr>
      </w:pPr>
      <w:bookmarkStart w:id="76" w:name="_Toc191284523"/>
      <w:r>
        <w:rPr>
          <w:rFonts w:ascii="Tahoma" w:hAnsi="Tahoma" w:cs="Tahoma"/>
          <w:b/>
          <w:sz w:val="20"/>
          <w:szCs w:val="20"/>
        </w:rPr>
        <w:t>3.47</w:t>
      </w:r>
      <w:r w:rsidR="00FD2D1E">
        <w:rPr>
          <w:rFonts w:ascii="Tahoma" w:hAnsi="Tahoma" w:cs="Tahoma"/>
          <w:b/>
          <w:sz w:val="20"/>
          <w:szCs w:val="20"/>
        </w:rPr>
        <w:t xml:space="preserve">. ВКЛАД «МЕД» </w:t>
      </w:r>
      <w:r w:rsidR="00FD2D1E" w:rsidRPr="00E077B1">
        <w:rPr>
          <w:rFonts w:ascii="Tahoma" w:hAnsi="Tahoma" w:cs="Tahoma"/>
          <w:b/>
          <w:sz w:val="20"/>
          <w:szCs w:val="20"/>
        </w:rPr>
        <w:t>(УСЛОВИЯ ДЛЯ ПРОЛОНГИРУЕМЫХ ВКЛАДОВ)</w:t>
      </w:r>
      <w:r w:rsidR="0092521F">
        <w:rPr>
          <w:rFonts w:ascii="Tahoma" w:hAnsi="Tahoma" w:cs="Tahoma"/>
          <w:b/>
          <w:sz w:val="20"/>
          <w:szCs w:val="20"/>
        </w:rPr>
        <w:tab/>
        <w:t>319</w:t>
      </w:r>
      <w:bookmarkEnd w:id="76"/>
    </w:p>
    <w:p w14:paraId="1AB4FC2D" w14:textId="7E8B208A" w:rsidR="00A3475B" w:rsidRDefault="00E44846" w:rsidP="00470B5F">
      <w:pPr>
        <w:tabs>
          <w:tab w:val="left" w:pos="9639"/>
        </w:tabs>
        <w:outlineLvl w:val="0"/>
        <w:rPr>
          <w:rFonts w:ascii="Tahoma" w:hAnsi="Tahoma" w:cs="Tahoma"/>
          <w:b/>
          <w:sz w:val="20"/>
          <w:szCs w:val="20"/>
        </w:rPr>
      </w:pPr>
      <w:bookmarkStart w:id="77" w:name="_Toc191284524"/>
      <w:r>
        <w:rPr>
          <w:rFonts w:ascii="Tahoma" w:hAnsi="Tahoma" w:cs="Tahoma"/>
          <w:b/>
          <w:sz w:val="20"/>
          <w:szCs w:val="20"/>
        </w:rPr>
        <w:t>3.48</w:t>
      </w:r>
      <w:r w:rsidR="00A3475B">
        <w:rPr>
          <w:rFonts w:ascii="Tahoma" w:hAnsi="Tahoma" w:cs="Tahoma"/>
          <w:b/>
          <w:sz w:val="20"/>
          <w:szCs w:val="20"/>
        </w:rPr>
        <w:t>. ВКЛАД «ПАРА ПАНДАРИНОВ»</w:t>
      </w:r>
      <w:r w:rsidR="008B4CB0">
        <w:rPr>
          <w:rFonts w:ascii="Tahoma" w:hAnsi="Tahoma" w:cs="Tahoma"/>
          <w:b/>
          <w:sz w:val="20"/>
          <w:szCs w:val="20"/>
        </w:rPr>
        <w:t xml:space="preserve"> </w:t>
      </w:r>
      <w:r w:rsidR="008B4CB0" w:rsidRPr="00E077B1">
        <w:rPr>
          <w:rFonts w:ascii="Tahoma" w:hAnsi="Tahoma" w:cs="Tahoma"/>
          <w:b/>
          <w:sz w:val="20"/>
          <w:szCs w:val="20"/>
        </w:rPr>
        <w:t>(УСЛОВИЯ ДЛЯ ПРОЛОНГИРУЕМЫХ ВКЛАДОВ)</w:t>
      </w:r>
      <w:r w:rsidR="0092521F">
        <w:rPr>
          <w:rFonts w:ascii="Tahoma" w:hAnsi="Tahoma" w:cs="Tahoma"/>
          <w:b/>
          <w:sz w:val="20"/>
          <w:szCs w:val="20"/>
        </w:rPr>
        <w:tab/>
        <w:t>320</w:t>
      </w:r>
      <w:bookmarkEnd w:id="77"/>
    </w:p>
    <w:p w14:paraId="65083A72" w14:textId="78EB5A35" w:rsidR="00A15E51" w:rsidRPr="00A15E51" w:rsidRDefault="0033066F" w:rsidP="00A15E51">
      <w:pPr>
        <w:tabs>
          <w:tab w:val="left" w:pos="9639"/>
        </w:tabs>
        <w:outlineLvl w:val="0"/>
        <w:rPr>
          <w:rFonts w:ascii="Tahoma" w:hAnsi="Tahoma" w:cs="Tahoma"/>
          <w:b/>
          <w:bCs/>
          <w:iCs/>
          <w:sz w:val="20"/>
          <w:szCs w:val="20"/>
        </w:rPr>
      </w:pPr>
      <w:bookmarkStart w:id="78" w:name="_Toc191284525"/>
      <w:r>
        <w:rPr>
          <w:rFonts w:ascii="Tahoma" w:hAnsi="Tahoma" w:cs="Tahoma"/>
          <w:b/>
          <w:bCs/>
          <w:iCs/>
          <w:sz w:val="20"/>
          <w:szCs w:val="20"/>
        </w:rPr>
        <w:t>3.4</w:t>
      </w:r>
      <w:r w:rsidR="00E44846">
        <w:rPr>
          <w:rFonts w:ascii="Tahoma" w:hAnsi="Tahoma" w:cs="Tahoma"/>
          <w:b/>
          <w:bCs/>
          <w:iCs/>
          <w:sz w:val="20"/>
          <w:szCs w:val="20"/>
        </w:rPr>
        <w:t>9</w:t>
      </w:r>
      <w:r w:rsidR="00310CD9">
        <w:rPr>
          <w:rFonts w:ascii="Tahoma" w:hAnsi="Tahoma" w:cs="Tahoma"/>
          <w:b/>
          <w:bCs/>
          <w:iCs/>
          <w:sz w:val="20"/>
          <w:szCs w:val="20"/>
        </w:rPr>
        <w:t>.</w:t>
      </w:r>
      <w:r w:rsidR="008F34FC">
        <w:rPr>
          <w:rFonts w:ascii="Tahoma" w:hAnsi="Tahoma" w:cs="Tahoma"/>
          <w:b/>
          <w:bCs/>
          <w:iCs/>
          <w:sz w:val="20"/>
          <w:szCs w:val="20"/>
        </w:rPr>
        <w:t xml:space="preserve"> </w:t>
      </w:r>
      <w:r w:rsidR="008F34FC" w:rsidRPr="00A15E51">
        <w:rPr>
          <w:rFonts w:ascii="Tahoma" w:hAnsi="Tahoma" w:cs="Tahoma"/>
          <w:b/>
          <w:bCs/>
          <w:iCs/>
          <w:sz w:val="20"/>
          <w:szCs w:val="20"/>
        </w:rPr>
        <w:t>ВКЛАД «СОХРАНИ+» (УСЛОВИЯ ДЛЯ ПРОЛОНГИРУЕМЫХ ВКЛАДОВ)</w:t>
      </w:r>
      <w:r w:rsidR="0092521F">
        <w:rPr>
          <w:rFonts w:ascii="Tahoma" w:hAnsi="Tahoma" w:cs="Tahoma"/>
          <w:b/>
          <w:bCs/>
          <w:iCs/>
          <w:sz w:val="20"/>
          <w:szCs w:val="20"/>
        </w:rPr>
        <w:tab/>
        <w:t>321</w:t>
      </w:r>
      <w:bookmarkEnd w:id="78"/>
    </w:p>
    <w:p w14:paraId="06DDFAD6" w14:textId="6CBCE132" w:rsidR="00A15E51" w:rsidRDefault="00E44846" w:rsidP="00470B5F">
      <w:pPr>
        <w:tabs>
          <w:tab w:val="left" w:pos="9639"/>
        </w:tabs>
        <w:outlineLvl w:val="0"/>
        <w:rPr>
          <w:rFonts w:ascii="Tahoma" w:hAnsi="Tahoma" w:cs="Tahoma"/>
          <w:b/>
          <w:bCs/>
          <w:iCs/>
          <w:sz w:val="20"/>
          <w:szCs w:val="20"/>
        </w:rPr>
      </w:pPr>
      <w:bookmarkStart w:id="79" w:name="_Toc191284526"/>
      <w:r>
        <w:rPr>
          <w:rFonts w:ascii="Tahoma" w:hAnsi="Tahoma" w:cs="Tahoma"/>
          <w:b/>
          <w:bCs/>
          <w:iCs/>
          <w:sz w:val="20"/>
          <w:szCs w:val="20"/>
        </w:rPr>
        <w:t>3.50</w:t>
      </w:r>
      <w:r w:rsidR="00DA260C">
        <w:rPr>
          <w:rFonts w:ascii="Tahoma" w:hAnsi="Tahoma" w:cs="Tahoma"/>
          <w:b/>
          <w:bCs/>
          <w:iCs/>
          <w:sz w:val="20"/>
          <w:szCs w:val="20"/>
        </w:rPr>
        <w:t>.</w:t>
      </w:r>
      <w:r w:rsidR="008F34FC">
        <w:rPr>
          <w:rFonts w:ascii="Tahoma" w:hAnsi="Tahoma" w:cs="Tahoma"/>
          <w:b/>
          <w:bCs/>
          <w:iCs/>
          <w:sz w:val="20"/>
          <w:szCs w:val="20"/>
        </w:rPr>
        <w:t xml:space="preserve"> </w:t>
      </w:r>
      <w:r w:rsidR="008F34FC" w:rsidRPr="00A15E51">
        <w:rPr>
          <w:rFonts w:ascii="Tahoma" w:hAnsi="Tahoma" w:cs="Tahoma"/>
          <w:b/>
          <w:bCs/>
          <w:iCs/>
          <w:sz w:val="20"/>
          <w:szCs w:val="20"/>
        </w:rPr>
        <w:t>ВКЛАД</w:t>
      </w:r>
      <w:r w:rsidR="00A15E51" w:rsidRPr="00A15E51">
        <w:rPr>
          <w:rFonts w:ascii="Tahoma" w:hAnsi="Tahoma" w:cs="Tahoma"/>
          <w:b/>
          <w:bCs/>
          <w:iCs/>
          <w:sz w:val="20"/>
          <w:szCs w:val="20"/>
        </w:rPr>
        <w:t xml:space="preserve"> </w:t>
      </w:r>
      <w:r w:rsidR="008F34FC" w:rsidRPr="00A15E51">
        <w:rPr>
          <w:rFonts w:ascii="Tahoma" w:hAnsi="Tahoma" w:cs="Tahoma"/>
          <w:b/>
          <w:bCs/>
          <w:iCs/>
          <w:sz w:val="20"/>
          <w:szCs w:val="20"/>
        </w:rPr>
        <w:t>«УПРАВЛЯЙ» (УСЛОВИЯ ДЛЯ ПРОЛОНГИРУЕМЫХ ВКАДОВ)</w:t>
      </w:r>
      <w:r w:rsidR="0092521F">
        <w:rPr>
          <w:rFonts w:ascii="Tahoma" w:hAnsi="Tahoma" w:cs="Tahoma"/>
          <w:b/>
          <w:bCs/>
          <w:iCs/>
          <w:sz w:val="20"/>
          <w:szCs w:val="20"/>
        </w:rPr>
        <w:tab/>
        <w:t>321</w:t>
      </w:r>
      <w:bookmarkEnd w:id="79"/>
    </w:p>
    <w:p w14:paraId="68D9B0CF" w14:textId="297DF58A" w:rsidR="00CE039A" w:rsidRDefault="00E44846" w:rsidP="00470B5F">
      <w:pPr>
        <w:tabs>
          <w:tab w:val="left" w:pos="9639"/>
        </w:tabs>
        <w:outlineLvl w:val="0"/>
        <w:rPr>
          <w:rFonts w:ascii="Tahoma" w:hAnsi="Tahoma" w:cs="Tahoma"/>
          <w:b/>
          <w:bCs/>
          <w:iCs/>
          <w:sz w:val="20"/>
          <w:szCs w:val="20"/>
        </w:rPr>
      </w:pPr>
      <w:bookmarkStart w:id="80" w:name="_Toc191284527"/>
      <w:r>
        <w:rPr>
          <w:rFonts w:ascii="Tahoma" w:hAnsi="Tahoma" w:cs="Tahoma"/>
          <w:b/>
          <w:bCs/>
          <w:iCs/>
          <w:sz w:val="20"/>
          <w:szCs w:val="20"/>
        </w:rPr>
        <w:t>3.51</w:t>
      </w:r>
      <w:r w:rsidR="00CE039A" w:rsidRPr="00CE039A">
        <w:rPr>
          <w:rFonts w:ascii="Tahoma" w:hAnsi="Tahoma" w:cs="Tahoma"/>
          <w:b/>
          <w:bCs/>
          <w:iCs/>
          <w:sz w:val="20"/>
          <w:szCs w:val="20"/>
        </w:rPr>
        <w:t>.</w:t>
      </w:r>
      <w:r w:rsidR="00CE039A">
        <w:rPr>
          <w:rFonts w:ascii="Tahoma" w:hAnsi="Tahoma" w:cs="Tahoma"/>
          <w:b/>
          <w:bCs/>
          <w:iCs/>
          <w:sz w:val="20"/>
          <w:szCs w:val="20"/>
        </w:rPr>
        <w:t xml:space="preserve"> </w:t>
      </w:r>
      <w:r w:rsidR="00CE039A" w:rsidRPr="00CE039A">
        <w:rPr>
          <w:rFonts w:ascii="Tahoma" w:hAnsi="Tahoma" w:cs="Tahoma"/>
          <w:b/>
          <w:bCs/>
          <w:iCs/>
          <w:sz w:val="20"/>
          <w:szCs w:val="20"/>
        </w:rPr>
        <w:t>ВКЛАД «СОХРАНИ+</w:t>
      </w:r>
      <w:r w:rsidR="00907CE3">
        <w:rPr>
          <w:rFonts w:ascii="Tahoma" w:hAnsi="Tahoma" w:cs="Tahoma"/>
          <w:b/>
          <w:bCs/>
          <w:iCs/>
          <w:sz w:val="20"/>
          <w:szCs w:val="20"/>
        </w:rPr>
        <w:t>»</w:t>
      </w:r>
      <w:r w:rsidR="00CE039A" w:rsidRPr="00CE039A">
        <w:rPr>
          <w:rFonts w:ascii="Tahoma" w:hAnsi="Tahoma" w:cs="Tahoma"/>
          <w:b/>
          <w:bCs/>
          <w:iCs/>
          <w:sz w:val="20"/>
          <w:szCs w:val="20"/>
        </w:rPr>
        <w:t xml:space="preserve"> ОНЛАЙН» (УСЛОВИЯ ДЛЯ ПРОЛОНГИРУЕМЫХ ВКАДОВ)</w:t>
      </w:r>
      <w:r w:rsidR="0092521F">
        <w:rPr>
          <w:rFonts w:ascii="Tahoma" w:hAnsi="Tahoma" w:cs="Tahoma"/>
          <w:b/>
          <w:bCs/>
          <w:iCs/>
          <w:sz w:val="20"/>
          <w:szCs w:val="20"/>
        </w:rPr>
        <w:tab/>
        <w:t>322</w:t>
      </w:r>
      <w:bookmarkEnd w:id="80"/>
    </w:p>
    <w:p w14:paraId="4BCFB33A" w14:textId="1ED7BEB3" w:rsidR="00CE039A" w:rsidRDefault="00E44846" w:rsidP="00470B5F">
      <w:pPr>
        <w:tabs>
          <w:tab w:val="left" w:pos="9639"/>
        </w:tabs>
        <w:outlineLvl w:val="0"/>
        <w:rPr>
          <w:rFonts w:ascii="Tahoma" w:hAnsi="Tahoma" w:cs="Tahoma"/>
          <w:b/>
          <w:bCs/>
          <w:iCs/>
          <w:sz w:val="20"/>
          <w:szCs w:val="20"/>
        </w:rPr>
      </w:pPr>
      <w:bookmarkStart w:id="81" w:name="_Toc191284528"/>
      <w:r>
        <w:rPr>
          <w:rFonts w:ascii="Tahoma" w:hAnsi="Tahoma" w:cs="Tahoma"/>
          <w:b/>
          <w:bCs/>
          <w:iCs/>
          <w:sz w:val="20"/>
          <w:szCs w:val="20"/>
        </w:rPr>
        <w:t>3.52</w:t>
      </w:r>
      <w:r w:rsidR="00CE039A">
        <w:rPr>
          <w:rFonts w:ascii="Tahoma" w:hAnsi="Tahoma" w:cs="Tahoma"/>
          <w:b/>
          <w:bCs/>
          <w:iCs/>
          <w:sz w:val="20"/>
          <w:szCs w:val="20"/>
        </w:rPr>
        <w:t xml:space="preserve">. </w:t>
      </w:r>
      <w:r w:rsidR="00CE039A" w:rsidRPr="00CE039A">
        <w:rPr>
          <w:rFonts w:ascii="Tahoma" w:hAnsi="Tahoma" w:cs="Tahoma"/>
          <w:b/>
          <w:bCs/>
          <w:iCs/>
          <w:sz w:val="20"/>
          <w:szCs w:val="20"/>
        </w:rPr>
        <w:t>ВКЛАД «УПРАВЛЯЙ ОНЛАЙН» (УСЛОВИЯ ДЛЯ ПРОЛОНГИРУЕМЫХ ВКАДОВ)</w:t>
      </w:r>
      <w:r w:rsidR="0092521F">
        <w:rPr>
          <w:rFonts w:ascii="Tahoma" w:hAnsi="Tahoma" w:cs="Tahoma"/>
          <w:b/>
          <w:bCs/>
          <w:iCs/>
          <w:sz w:val="20"/>
          <w:szCs w:val="20"/>
        </w:rPr>
        <w:tab/>
        <w:t>323</w:t>
      </w:r>
      <w:bookmarkEnd w:id="81"/>
    </w:p>
    <w:p w14:paraId="1D1CF968" w14:textId="170E6591" w:rsidR="004E30AD" w:rsidRPr="004E5F5B" w:rsidRDefault="00AC33FB" w:rsidP="004E30AD">
      <w:pPr>
        <w:tabs>
          <w:tab w:val="left" w:pos="9639"/>
        </w:tabs>
        <w:outlineLvl w:val="0"/>
        <w:rPr>
          <w:rFonts w:ascii="Tahoma" w:hAnsi="Tahoma" w:cs="Tahoma"/>
          <w:b/>
          <w:sz w:val="20"/>
          <w:szCs w:val="20"/>
        </w:rPr>
      </w:pPr>
      <w:bookmarkStart w:id="82" w:name="_Toc191284529"/>
      <w:r>
        <w:rPr>
          <w:rFonts w:ascii="Tahoma" w:hAnsi="Tahoma" w:cs="Tahoma"/>
          <w:b/>
          <w:sz w:val="20"/>
          <w:szCs w:val="20"/>
        </w:rPr>
        <w:t xml:space="preserve">4. БАНКОВСКИЕ </w:t>
      </w:r>
      <w:r w:rsidR="0092521F">
        <w:rPr>
          <w:rFonts w:ascii="Tahoma" w:hAnsi="Tahoma" w:cs="Tahoma"/>
          <w:b/>
          <w:sz w:val="20"/>
          <w:szCs w:val="20"/>
        </w:rPr>
        <w:t>КАРТЫ</w:t>
      </w:r>
      <w:r w:rsidR="0092521F">
        <w:rPr>
          <w:rFonts w:ascii="Tahoma" w:hAnsi="Tahoma" w:cs="Tahoma"/>
          <w:b/>
          <w:sz w:val="20"/>
          <w:szCs w:val="20"/>
        </w:rPr>
        <w:tab/>
        <w:t>324</w:t>
      </w:r>
      <w:bookmarkEnd w:id="82"/>
    </w:p>
    <w:p w14:paraId="309EFAEE" w14:textId="2FC324E2" w:rsidR="004E30AD" w:rsidRDefault="004E30AD" w:rsidP="004E30AD">
      <w:pPr>
        <w:tabs>
          <w:tab w:val="left" w:pos="9639"/>
        </w:tabs>
        <w:outlineLvl w:val="0"/>
        <w:rPr>
          <w:rFonts w:ascii="Tahoma" w:hAnsi="Tahoma" w:cs="Tahoma"/>
          <w:b/>
          <w:sz w:val="20"/>
          <w:szCs w:val="20"/>
        </w:rPr>
      </w:pPr>
      <w:bookmarkStart w:id="83" w:name="_Toc191284530"/>
      <w:r w:rsidRPr="00C6598F">
        <w:rPr>
          <w:rFonts w:ascii="Tahoma" w:hAnsi="Tahoma" w:cs="Tahoma"/>
          <w:b/>
          <w:sz w:val="20"/>
          <w:szCs w:val="20"/>
        </w:rPr>
        <w:t>4.</w:t>
      </w:r>
      <w:r w:rsidR="00C725A7">
        <w:rPr>
          <w:rFonts w:ascii="Tahoma" w:hAnsi="Tahoma" w:cs="Tahoma"/>
          <w:b/>
          <w:sz w:val="20"/>
          <w:szCs w:val="20"/>
        </w:rPr>
        <w:t>1</w:t>
      </w:r>
      <w:r w:rsidRPr="00C6598F">
        <w:rPr>
          <w:rFonts w:ascii="Tahoma" w:hAnsi="Tahoma" w:cs="Tahoma"/>
          <w:b/>
          <w:sz w:val="20"/>
          <w:szCs w:val="20"/>
        </w:rPr>
        <w:t>. Т</w:t>
      </w:r>
      <w:r>
        <w:rPr>
          <w:rFonts w:ascii="Tahoma" w:hAnsi="Tahoma" w:cs="Tahoma"/>
          <w:b/>
          <w:sz w:val="20"/>
          <w:szCs w:val="20"/>
        </w:rPr>
        <w:t xml:space="preserve">АРИФНЫЙ ПЛАН </w:t>
      </w:r>
      <w:r w:rsidRPr="00AD7716">
        <w:rPr>
          <w:rFonts w:ascii="Tahoma" w:hAnsi="Tahoma" w:cs="Tahoma"/>
          <w:b/>
          <w:sz w:val="20"/>
          <w:szCs w:val="20"/>
        </w:rPr>
        <w:t>«</w:t>
      </w:r>
      <w:r w:rsidR="00C725A7" w:rsidRPr="00C725A7">
        <w:rPr>
          <w:rFonts w:ascii="Tahoma" w:hAnsi="Tahoma" w:cs="Tahoma"/>
          <w:b/>
          <w:bCs/>
          <w:iCs/>
          <w:sz w:val="20"/>
          <w:szCs w:val="20"/>
        </w:rPr>
        <w:t>АТБ КАРТА</w:t>
      </w:r>
      <w:r w:rsidR="00C725A7">
        <w:rPr>
          <w:rFonts w:ascii="Tahoma" w:hAnsi="Tahoma" w:cs="Tahoma"/>
          <w:b/>
          <w:bCs/>
          <w:iCs/>
          <w:sz w:val="20"/>
          <w:szCs w:val="20"/>
        </w:rPr>
        <w:t>»</w:t>
      </w:r>
      <w:r w:rsidR="0092521F">
        <w:rPr>
          <w:rFonts w:ascii="Tahoma" w:hAnsi="Tahoma" w:cs="Tahoma"/>
          <w:b/>
          <w:sz w:val="20"/>
          <w:szCs w:val="20"/>
        </w:rPr>
        <w:tab/>
        <w:t>324</w:t>
      </w:r>
      <w:bookmarkEnd w:id="83"/>
    </w:p>
    <w:p w14:paraId="0B6B8BF9" w14:textId="396A783A" w:rsidR="00C725A7" w:rsidRDefault="00C725A7" w:rsidP="00C725A7">
      <w:pPr>
        <w:tabs>
          <w:tab w:val="left" w:pos="9639"/>
        </w:tabs>
        <w:outlineLvl w:val="0"/>
        <w:rPr>
          <w:rFonts w:ascii="Tahoma" w:hAnsi="Tahoma" w:cs="Tahoma"/>
          <w:b/>
          <w:bCs/>
          <w:iCs/>
          <w:sz w:val="20"/>
          <w:szCs w:val="20"/>
        </w:rPr>
      </w:pPr>
      <w:bookmarkStart w:id="84" w:name="_Toc191284531"/>
      <w:r w:rsidRPr="00C725A7">
        <w:rPr>
          <w:rFonts w:ascii="Tahoma" w:hAnsi="Tahoma" w:cs="Tahoma"/>
          <w:b/>
          <w:bCs/>
          <w:iCs/>
          <w:sz w:val="20"/>
          <w:szCs w:val="20"/>
        </w:rPr>
        <w:t>4.1.1. ТАРИФНЫЙ ПЛАН «АТБ КАРТА (СПЕЦИАЛЬНАЯ)»</w:t>
      </w:r>
      <w:r>
        <w:rPr>
          <w:rFonts w:ascii="Tahoma" w:hAnsi="Tahoma" w:cs="Tahoma"/>
          <w:b/>
          <w:bCs/>
          <w:iCs/>
          <w:sz w:val="20"/>
          <w:szCs w:val="20"/>
        </w:rPr>
        <w:tab/>
      </w:r>
      <w:r w:rsidR="0092521F">
        <w:rPr>
          <w:rFonts w:ascii="Tahoma" w:hAnsi="Tahoma" w:cs="Tahoma"/>
          <w:b/>
          <w:bCs/>
          <w:iCs/>
          <w:sz w:val="20"/>
          <w:szCs w:val="20"/>
        </w:rPr>
        <w:t>330</w:t>
      </w:r>
      <w:bookmarkEnd w:id="84"/>
    </w:p>
    <w:p w14:paraId="251FA84B" w14:textId="143B065B" w:rsidR="00641B14" w:rsidRPr="00641B14" w:rsidRDefault="00641B14" w:rsidP="00C725A7">
      <w:pPr>
        <w:tabs>
          <w:tab w:val="left" w:pos="9639"/>
        </w:tabs>
        <w:outlineLvl w:val="0"/>
        <w:rPr>
          <w:rFonts w:ascii="Tahoma" w:hAnsi="Tahoma" w:cs="Tahoma"/>
          <w:b/>
          <w:bCs/>
          <w:iCs/>
          <w:sz w:val="20"/>
          <w:szCs w:val="20"/>
        </w:rPr>
      </w:pPr>
      <w:bookmarkStart w:id="85" w:name="_Toc191284532"/>
      <w:r w:rsidRPr="00641B14">
        <w:rPr>
          <w:rFonts w:ascii="Tahoma" w:hAnsi="Tahoma" w:cs="Tahoma"/>
          <w:b/>
          <w:bCs/>
          <w:iCs/>
          <w:sz w:val="20"/>
          <w:szCs w:val="20"/>
        </w:rPr>
        <w:t>4.1.2. ТАРИФНЫЙ ПЛАН «АТБ КАРТА ЗАРПЛАТНАЯ»</w:t>
      </w:r>
      <w:r w:rsidRPr="00641B14">
        <w:rPr>
          <w:rFonts w:ascii="Tahoma" w:hAnsi="Tahoma" w:cs="Tahoma"/>
          <w:b/>
          <w:bCs/>
          <w:iCs/>
          <w:sz w:val="20"/>
          <w:szCs w:val="20"/>
          <w:vertAlign w:val="superscript"/>
        </w:rPr>
        <w:t>1, 16</w:t>
      </w:r>
      <w:r>
        <w:rPr>
          <w:rFonts w:ascii="Tahoma" w:hAnsi="Tahoma" w:cs="Tahoma"/>
          <w:b/>
          <w:bCs/>
          <w:iCs/>
          <w:sz w:val="20"/>
          <w:szCs w:val="20"/>
          <w:vertAlign w:val="superscript"/>
        </w:rPr>
        <w:tab/>
      </w:r>
      <w:r w:rsidR="0092521F">
        <w:rPr>
          <w:rFonts w:ascii="Tahoma" w:hAnsi="Tahoma" w:cs="Tahoma"/>
          <w:b/>
          <w:bCs/>
          <w:iCs/>
          <w:sz w:val="20"/>
          <w:szCs w:val="20"/>
        </w:rPr>
        <w:t>336</w:t>
      </w:r>
      <w:bookmarkEnd w:id="85"/>
    </w:p>
    <w:p w14:paraId="00635CC7" w14:textId="04568A20" w:rsidR="00641B14" w:rsidRDefault="00641B14" w:rsidP="00C725A7">
      <w:pPr>
        <w:tabs>
          <w:tab w:val="left" w:pos="9639"/>
        </w:tabs>
        <w:outlineLvl w:val="0"/>
        <w:rPr>
          <w:rFonts w:ascii="Tahoma" w:hAnsi="Tahoma" w:cs="Tahoma"/>
          <w:b/>
          <w:bCs/>
          <w:iCs/>
          <w:sz w:val="20"/>
          <w:szCs w:val="20"/>
        </w:rPr>
      </w:pPr>
      <w:bookmarkStart w:id="86" w:name="_Toc191284533"/>
      <w:r w:rsidRPr="00641B14">
        <w:rPr>
          <w:rFonts w:ascii="Tahoma" w:hAnsi="Tahoma" w:cs="Tahoma"/>
          <w:b/>
          <w:bCs/>
          <w:iCs/>
          <w:sz w:val="20"/>
          <w:szCs w:val="20"/>
        </w:rPr>
        <w:t>4.1.3. ТАРИФНЫЙ ПЛАН «АТБ КАРТА (ЕДИНАЯ КАРТА САХАЛИНЦА)»</w:t>
      </w:r>
      <w:r w:rsidRPr="00641B14">
        <w:rPr>
          <w:rFonts w:ascii="Tahoma" w:hAnsi="Tahoma" w:cs="Tahoma"/>
          <w:b/>
          <w:bCs/>
          <w:iCs/>
          <w:sz w:val="20"/>
          <w:szCs w:val="20"/>
          <w:vertAlign w:val="superscript"/>
        </w:rPr>
        <w:t>17</w:t>
      </w:r>
      <w:r w:rsidR="0092521F">
        <w:rPr>
          <w:rFonts w:ascii="Tahoma" w:hAnsi="Tahoma" w:cs="Tahoma"/>
          <w:b/>
          <w:bCs/>
          <w:iCs/>
          <w:sz w:val="20"/>
          <w:szCs w:val="20"/>
        </w:rPr>
        <w:tab/>
        <w:t>343</w:t>
      </w:r>
      <w:bookmarkEnd w:id="86"/>
    </w:p>
    <w:p w14:paraId="1B89C6DF" w14:textId="58CB44DB" w:rsidR="00641B14" w:rsidRPr="00C725A7" w:rsidRDefault="00641B14" w:rsidP="00C725A7">
      <w:pPr>
        <w:tabs>
          <w:tab w:val="left" w:pos="9639"/>
        </w:tabs>
        <w:outlineLvl w:val="0"/>
        <w:rPr>
          <w:rFonts w:ascii="Tahoma" w:hAnsi="Tahoma" w:cs="Tahoma"/>
          <w:b/>
          <w:bCs/>
          <w:iCs/>
          <w:sz w:val="20"/>
          <w:szCs w:val="20"/>
        </w:rPr>
      </w:pPr>
      <w:bookmarkStart w:id="87" w:name="_Toc191284534"/>
      <w:r w:rsidRPr="00641B14">
        <w:rPr>
          <w:rFonts w:ascii="Tahoma" w:hAnsi="Tahoma" w:cs="Tahoma"/>
          <w:b/>
          <w:bCs/>
          <w:iCs/>
          <w:sz w:val="20"/>
          <w:szCs w:val="20"/>
        </w:rPr>
        <w:t>4.1.4.ТАРИФНЫЙ ПЛАН «АТБ КАРТА (СОЦИАЛЬНАЯ КАРТА АМУРСКОЙ ОБЛАСТИ)»</w:t>
      </w:r>
      <w:r w:rsidRPr="00641B14">
        <w:rPr>
          <w:rFonts w:ascii="Tahoma" w:hAnsi="Tahoma" w:cs="Tahoma"/>
          <w:b/>
          <w:bCs/>
          <w:iCs/>
          <w:sz w:val="20"/>
          <w:szCs w:val="20"/>
          <w:vertAlign w:val="superscript"/>
        </w:rPr>
        <w:t>17</w:t>
      </w:r>
      <w:r w:rsidR="0092521F">
        <w:rPr>
          <w:rFonts w:ascii="Tahoma" w:hAnsi="Tahoma" w:cs="Tahoma"/>
          <w:b/>
          <w:bCs/>
          <w:iCs/>
          <w:sz w:val="20"/>
          <w:szCs w:val="20"/>
        </w:rPr>
        <w:tab/>
        <w:t>350</w:t>
      </w:r>
      <w:bookmarkEnd w:id="87"/>
    </w:p>
    <w:p w14:paraId="5E0D4F1B" w14:textId="67927C0C" w:rsidR="004E30AD" w:rsidRPr="00ED3AA8" w:rsidRDefault="004E30AD" w:rsidP="004E30AD">
      <w:pPr>
        <w:tabs>
          <w:tab w:val="left" w:pos="9639"/>
        </w:tabs>
        <w:outlineLvl w:val="0"/>
        <w:rPr>
          <w:rFonts w:ascii="Tahoma" w:hAnsi="Tahoma" w:cs="Tahoma"/>
          <w:b/>
          <w:sz w:val="20"/>
          <w:szCs w:val="20"/>
        </w:rPr>
      </w:pPr>
      <w:bookmarkStart w:id="88" w:name="_Toc191284535"/>
      <w:r w:rsidRPr="00C6598F">
        <w:rPr>
          <w:rFonts w:ascii="Tahoma" w:hAnsi="Tahoma" w:cs="Tahoma"/>
          <w:b/>
          <w:sz w:val="20"/>
          <w:szCs w:val="20"/>
        </w:rPr>
        <w:t>4</w:t>
      </w:r>
      <w:r w:rsidR="00C725A7">
        <w:rPr>
          <w:rFonts w:ascii="Tahoma" w:hAnsi="Tahoma" w:cs="Tahoma"/>
          <w:b/>
          <w:sz w:val="20"/>
          <w:szCs w:val="20"/>
        </w:rPr>
        <w:t>.2</w:t>
      </w:r>
      <w:r w:rsidR="00E15E93">
        <w:rPr>
          <w:rFonts w:ascii="Tahoma" w:hAnsi="Tahoma" w:cs="Tahoma"/>
          <w:b/>
          <w:sz w:val="20"/>
          <w:szCs w:val="20"/>
        </w:rPr>
        <w:t>. ТАРИФНЫЙ ПЛАН «ПР</w:t>
      </w:r>
      <w:r w:rsidR="008D3DF3">
        <w:rPr>
          <w:rFonts w:ascii="Tahoma" w:hAnsi="Tahoma" w:cs="Tahoma"/>
          <w:b/>
          <w:sz w:val="20"/>
          <w:szCs w:val="20"/>
        </w:rPr>
        <w:t>ИМОР</w:t>
      </w:r>
      <w:r w:rsidR="00830B1B">
        <w:rPr>
          <w:rFonts w:ascii="Tahoma" w:hAnsi="Tahoma" w:cs="Tahoma"/>
          <w:b/>
          <w:sz w:val="20"/>
          <w:szCs w:val="20"/>
        </w:rPr>
        <w:t>ЕЦ»</w:t>
      </w:r>
      <w:r w:rsidR="00830B1B">
        <w:rPr>
          <w:rFonts w:ascii="Tahoma" w:hAnsi="Tahoma" w:cs="Tahoma"/>
          <w:b/>
          <w:sz w:val="20"/>
          <w:szCs w:val="20"/>
        </w:rPr>
        <w:tab/>
      </w:r>
      <w:r w:rsidR="0092521F">
        <w:rPr>
          <w:rFonts w:ascii="Tahoma" w:hAnsi="Tahoma" w:cs="Tahoma"/>
          <w:b/>
          <w:sz w:val="20"/>
          <w:szCs w:val="20"/>
        </w:rPr>
        <w:t>355</w:t>
      </w:r>
      <w:bookmarkEnd w:id="88"/>
    </w:p>
    <w:p w14:paraId="09BA430B" w14:textId="3FDEAC55" w:rsidR="006826C4" w:rsidRDefault="00C725A7" w:rsidP="006826C4">
      <w:pPr>
        <w:tabs>
          <w:tab w:val="left" w:pos="9639"/>
        </w:tabs>
        <w:outlineLvl w:val="0"/>
        <w:rPr>
          <w:rFonts w:ascii="Tahoma" w:hAnsi="Tahoma" w:cs="Tahoma"/>
          <w:b/>
          <w:sz w:val="20"/>
          <w:szCs w:val="20"/>
        </w:rPr>
      </w:pPr>
      <w:bookmarkStart w:id="89" w:name="_Toc191284536"/>
      <w:r>
        <w:rPr>
          <w:rFonts w:ascii="Tahoma" w:hAnsi="Tahoma" w:cs="Tahoma"/>
          <w:b/>
          <w:sz w:val="20"/>
          <w:szCs w:val="20"/>
        </w:rPr>
        <w:t>4.</w:t>
      </w:r>
      <w:r w:rsidR="00F80B44">
        <w:rPr>
          <w:rFonts w:ascii="Tahoma" w:hAnsi="Tahoma" w:cs="Tahoma"/>
          <w:b/>
          <w:sz w:val="20"/>
          <w:szCs w:val="20"/>
        </w:rPr>
        <w:t>3</w:t>
      </w:r>
      <w:r w:rsidR="006826C4" w:rsidRPr="00C6598F">
        <w:rPr>
          <w:rFonts w:ascii="Tahoma" w:hAnsi="Tahoma" w:cs="Tahoma"/>
          <w:b/>
          <w:sz w:val="20"/>
          <w:szCs w:val="20"/>
        </w:rPr>
        <w:t>. ТАРИФНЫЙ ПЛАН ПРОГРАМ</w:t>
      </w:r>
      <w:r w:rsidR="00197B92">
        <w:rPr>
          <w:rFonts w:ascii="Tahoma" w:hAnsi="Tahoma" w:cs="Tahoma"/>
          <w:b/>
          <w:sz w:val="20"/>
          <w:szCs w:val="20"/>
        </w:rPr>
        <w:t xml:space="preserve">МА БАНКОВСКИХ УСЛУГ </w:t>
      </w:r>
      <w:r w:rsidR="0092521F">
        <w:rPr>
          <w:rFonts w:ascii="Tahoma" w:hAnsi="Tahoma" w:cs="Tahoma"/>
          <w:b/>
          <w:sz w:val="20"/>
          <w:szCs w:val="20"/>
        </w:rPr>
        <w:t>«СТАТУС»</w:t>
      </w:r>
      <w:r w:rsidR="0092521F">
        <w:rPr>
          <w:rFonts w:ascii="Tahoma" w:hAnsi="Tahoma" w:cs="Tahoma"/>
          <w:b/>
          <w:sz w:val="20"/>
          <w:szCs w:val="20"/>
        </w:rPr>
        <w:tab/>
        <w:t>360</w:t>
      </w:r>
      <w:bookmarkEnd w:id="89"/>
    </w:p>
    <w:p w14:paraId="49AAA48F" w14:textId="0B33DD03" w:rsidR="006826C4" w:rsidRDefault="00F80B44" w:rsidP="006826C4">
      <w:pPr>
        <w:tabs>
          <w:tab w:val="left" w:pos="9639"/>
        </w:tabs>
        <w:outlineLvl w:val="0"/>
        <w:rPr>
          <w:rFonts w:ascii="Tahoma" w:hAnsi="Tahoma" w:cs="Tahoma"/>
          <w:b/>
          <w:sz w:val="20"/>
          <w:szCs w:val="20"/>
        </w:rPr>
      </w:pPr>
      <w:bookmarkStart w:id="90" w:name="_Toc191284537"/>
      <w:r>
        <w:rPr>
          <w:rFonts w:ascii="Tahoma" w:hAnsi="Tahoma" w:cs="Tahoma"/>
          <w:b/>
          <w:sz w:val="20"/>
          <w:szCs w:val="20"/>
        </w:rPr>
        <w:t>4.3</w:t>
      </w:r>
      <w:r w:rsidR="006826C4" w:rsidRPr="00BB119D">
        <w:rPr>
          <w:rFonts w:ascii="Tahoma" w:hAnsi="Tahoma" w:cs="Tahoma"/>
          <w:b/>
          <w:sz w:val="20"/>
          <w:szCs w:val="20"/>
        </w:rPr>
        <w:t>.1.ПРОГРАММА БАНКОВСКИХ УСЛУГ «СТАТУС» (ТАРИФ БАНКА), ДЛЯ КЛИЕНТОВ VIP ПРЕМЬЕР, ОФОРМЛЯЮЩИХ НАСТОЯЩУЮ ПРОГРАММУ С 01.06.2021Г.</w:t>
      </w:r>
      <w:r w:rsidR="0092521F">
        <w:rPr>
          <w:rFonts w:ascii="Tahoma" w:hAnsi="Tahoma" w:cs="Tahoma"/>
          <w:b/>
          <w:sz w:val="20"/>
          <w:szCs w:val="20"/>
        </w:rPr>
        <w:tab/>
        <w:t>360</w:t>
      </w:r>
      <w:bookmarkEnd w:id="90"/>
    </w:p>
    <w:p w14:paraId="3277D831" w14:textId="0A7D80E7" w:rsidR="006826C4" w:rsidRPr="00ED3AA8" w:rsidRDefault="00F80B44" w:rsidP="006826C4">
      <w:pPr>
        <w:tabs>
          <w:tab w:val="left" w:pos="9639"/>
        </w:tabs>
        <w:outlineLvl w:val="0"/>
        <w:rPr>
          <w:rFonts w:ascii="Tahoma" w:hAnsi="Tahoma" w:cs="Tahoma"/>
          <w:b/>
          <w:sz w:val="20"/>
          <w:szCs w:val="20"/>
        </w:rPr>
      </w:pPr>
      <w:bookmarkStart w:id="91" w:name="_Toc191284538"/>
      <w:r>
        <w:rPr>
          <w:rFonts w:ascii="Tahoma" w:hAnsi="Tahoma" w:cs="Tahoma"/>
          <w:b/>
          <w:sz w:val="20"/>
          <w:szCs w:val="20"/>
        </w:rPr>
        <w:t>4.3</w:t>
      </w:r>
      <w:r w:rsidR="006826C4" w:rsidRPr="00BB119D">
        <w:rPr>
          <w:rFonts w:ascii="Tahoma" w:hAnsi="Tahoma" w:cs="Tahoma"/>
          <w:b/>
          <w:sz w:val="20"/>
          <w:szCs w:val="20"/>
        </w:rPr>
        <w:t>.2.ПРОГРАММА БАНКОВСКИХ УСЛУГ «СТАТУС» (ТАРИФ БАНКА), ДЛЯ КЛИЕНТОВ VIP ПРЕМЬЕР+, ОФОРМЛЯЮЩИХ НАСТОЯЩУЮ ПРОГРАММУ С 01.06.2021Г.</w:t>
      </w:r>
      <w:r w:rsidR="0092521F">
        <w:rPr>
          <w:rFonts w:ascii="Tahoma" w:hAnsi="Tahoma" w:cs="Tahoma"/>
          <w:b/>
          <w:sz w:val="20"/>
          <w:szCs w:val="20"/>
        </w:rPr>
        <w:tab/>
        <w:t>369</w:t>
      </w:r>
      <w:bookmarkEnd w:id="91"/>
    </w:p>
    <w:p w14:paraId="72BFFB22" w14:textId="1C2CBAA6" w:rsidR="004E30AD" w:rsidRDefault="00F80B44" w:rsidP="004E30AD">
      <w:pPr>
        <w:tabs>
          <w:tab w:val="left" w:pos="9639"/>
        </w:tabs>
        <w:outlineLvl w:val="0"/>
        <w:rPr>
          <w:rFonts w:ascii="Tahoma" w:hAnsi="Tahoma" w:cs="Tahoma"/>
          <w:b/>
          <w:sz w:val="20"/>
          <w:szCs w:val="20"/>
        </w:rPr>
      </w:pPr>
      <w:bookmarkStart w:id="92" w:name="_Toc191284539"/>
      <w:r>
        <w:rPr>
          <w:rFonts w:ascii="Tahoma" w:hAnsi="Tahoma" w:cs="Tahoma"/>
          <w:b/>
          <w:sz w:val="20"/>
          <w:szCs w:val="20"/>
        </w:rPr>
        <w:t>4.4</w:t>
      </w:r>
      <w:r w:rsidR="006F0C98" w:rsidRPr="00C6598F">
        <w:rPr>
          <w:rFonts w:ascii="Tahoma" w:hAnsi="Tahoma" w:cs="Tahoma"/>
          <w:b/>
          <w:sz w:val="20"/>
          <w:szCs w:val="20"/>
        </w:rPr>
        <w:t>.</w:t>
      </w:r>
      <w:r w:rsidR="006F0C98">
        <w:rPr>
          <w:rFonts w:ascii="Tahoma" w:hAnsi="Tahoma" w:cs="Tahoma"/>
          <w:b/>
          <w:sz w:val="20"/>
          <w:szCs w:val="20"/>
        </w:rPr>
        <w:t xml:space="preserve"> </w:t>
      </w:r>
      <w:r w:rsidR="006F0C98" w:rsidRPr="00C6598F">
        <w:rPr>
          <w:rFonts w:ascii="Tahoma" w:hAnsi="Tahoma" w:cs="Tahoma"/>
          <w:b/>
          <w:sz w:val="20"/>
          <w:szCs w:val="20"/>
        </w:rPr>
        <w:t xml:space="preserve">ТАРИФНЫЙ ПЛАН «УНИВЕРСАЛЬНАЯ </w:t>
      </w:r>
      <w:r w:rsidR="006F0C98">
        <w:rPr>
          <w:rFonts w:ascii="Tahoma" w:hAnsi="Tahoma" w:cs="Tahoma"/>
          <w:b/>
          <w:sz w:val="20"/>
          <w:szCs w:val="20"/>
        </w:rPr>
        <w:t>КАРТА»</w:t>
      </w:r>
      <w:r w:rsidR="0092521F">
        <w:rPr>
          <w:rFonts w:ascii="Tahoma" w:hAnsi="Tahoma" w:cs="Tahoma"/>
          <w:b/>
          <w:sz w:val="20"/>
          <w:szCs w:val="20"/>
        </w:rPr>
        <w:tab/>
        <w:t>377</w:t>
      </w:r>
      <w:bookmarkEnd w:id="92"/>
    </w:p>
    <w:p w14:paraId="33F87FF1" w14:textId="060D18D3" w:rsidR="004526F8" w:rsidRDefault="00F80B44" w:rsidP="004B7307">
      <w:pPr>
        <w:tabs>
          <w:tab w:val="left" w:pos="9639"/>
        </w:tabs>
        <w:outlineLvl w:val="0"/>
        <w:rPr>
          <w:rFonts w:ascii="Tahoma" w:hAnsi="Tahoma" w:cs="Tahoma"/>
          <w:b/>
          <w:bCs/>
          <w:iCs/>
          <w:sz w:val="20"/>
          <w:szCs w:val="20"/>
        </w:rPr>
      </w:pPr>
      <w:bookmarkStart w:id="93" w:name="_Toc191284540"/>
      <w:r>
        <w:rPr>
          <w:rFonts w:ascii="Tahoma" w:hAnsi="Tahoma" w:cs="Tahoma"/>
          <w:b/>
          <w:bCs/>
          <w:iCs/>
          <w:sz w:val="20"/>
          <w:szCs w:val="20"/>
        </w:rPr>
        <w:t>4.5</w:t>
      </w:r>
      <w:r w:rsidR="004B7307">
        <w:rPr>
          <w:rFonts w:ascii="Tahoma" w:hAnsi="Tahoma" w:cs="Tahoma"/>
          <w:b/>
          <w:bCs/>
          <w:iCs/>
          <w:sz w:val="20"/>
          <w:szCs w:val="20"/>
        </w:rPr>
        <w:t xml:space="preserve">. </w:t>
      </w:r>
      <w:r w:rsidR="004B7307" w:rsidRPr="004B7307">
        <w:rPr>
          <w:rFonts w:ascii="Tahoma" w:hAnsi="Tahoma" w:cs="Tahoma"/>
          <w:b/>
          <w:bCs/>
          <w:iCs/>
          <w:sz w:val="20"/>
          <w:szCs w:val="20"/>
        </w:rPr>
        <w:t>ТАРИФНЫЙ ПЛАН «ЛАЙТ»</w:t>
      </w:r>
      <w:r w:rsidR="0092521F">
        <w:rPr>
          <w:rFonts w:ascii="Tahoma" w:hAnsi="Tahoma" w:cs="Tahoma"/>
          <w:b/>
          <w:bCs/>
          <w:iCs/>
          <w:sz w:val="20"/>
          <w:szCs w:val="20"/>
        </w:rPr>
        <w:tab/>
        <w:t>390</w:t>
      </w:r>
      <w:bookmarkEnd w:id="93"/>
    </w:p>
    <w:p w14:paraId="4A124F45" w14:textId="4827131D" w:rsidR="004E30AD" w:rsidRDefault="00F80B44" w:rsidP="00B62B04">
      <w:pPr>
        <w:tabs>
          <w:tab w:val="left" w:pos="9639"/>
        </w:tabs>
        <w:outlineLvl w:val="0"/>
        <w:rPr>
          <w:rFonts w:ascii="Tahoma" w:hAnsi="Tahoma" w:cs="Tahoma"/>
          <w:b/>
          <w:sz w:val="20"/>
          <w:szCs w:val="20"/>
        </w:rPr>
      </w:pPr>
      <w:bookmarkStart w:id="94" w:name="_Toc191284541"/>
      <w:r>
        <w:rPr>
          <w:rFonts w:ascii="Tahoma" w:hAnsi="Tahoma" w:cs="Tahoma"/>
          <w:b/>
          <w:sz w:val="20"/>
          <w:szCs w:val="20"/>
        </w:rPr>
        <w:t>4.6</w:t>
      </w:r>
      <w:r w:rsidR="004E30AD" w:rsidRPr="00C6598F">
        <w:rPr>
          <w:rFonts w:ascii="Tahoma" w:hAnsi="Tahoma" w:cs="Tahoma"/>
          <w:b/>
          <w:sz w:val="20"/>
          <w:szCs w:val="20"/>
        </w:rPr>
        <w:t>.</w:t>
      </w:r>
      <w:r w:rsidR="00B86BDE">
        <w:rPr>
          <w:rFonts w:ascii="Tahoma" w:hAnsi="Tahoma" w:cs="Tahoma"/>
          <w:b/>
          <w:sz w:val="20"/>
          <w:szCs w:val="20"/>
        </w:rPr>
        <w:t>.</w:t>
      </w:r>
      <w:r w:rsidR="004E30AD" w:rsidRPr="00C6598F">
        <w:rPr>
          <w:rFonts w:ascii="Tahoma" w:hAnsi="Tahoma" w:cs="Tahoma"/>
          <w:b/>
          <w:sz w:val="20"/>
          <w:szCs w:val="20"/>
        </w:rPr>
        <w:t xml:space="preserve"> </w:t>
      </w:r>
      <w:r w:rsidR="00B86BDE" w:rsidRPr="00B86BDE">
        <w:rPr>
          <w:rFonts w:ascii="Tahoma" w:hAnsi="Tahoma" w:cs="Tahoma"/>
          <w:b/>
          <w:bCs/>
          <w:iCs/>
          <w:sz w:val="20"/>
          <w:szCs w:val="20"/>
        </w:rPr>
        <w:t>ТАРИФНЫЙ ПЛАН ПРОГРАММА БАНКОВСКИХ УСЛУГ «СТАТУС», ОФОРМЛЕННАЯ С 01.06.2021Г. ПО 06.10.2024Г.</w:t>
      </w:r>
      <w:r w:rsidR="00B62B04">
        <w:rPr>
          <w:rFonts w:ascii="Tahoma" w:hAnsi="Tahoma" w:cs="Tahoma"/>
          <w:b/>
          <w:sz w:val="20"/>
          <w:szCs w:val="20"/>
        </w:rPr>
        <w:tab/>
      </w:r>
      <w:r w:rsidR="0092521F">
        <w:rPr>
          <w:rFonts w:ascii="Tahoma" w:hAnsi="Tahoma" w:cs="Tahoma"/>
          <w:b/>
          <w:sz w:val="20"/>
          <w:szCs w:val="20"/>
        </w:rPr>
        <w:t>402</w:t>
      </w:r>
      <w:bookmarkEnd w:id="94"/>
    </w:p>
    <w:p w14:paraId="014D141A" w14:textId="7177AD70" w:rsidR="00B86BDE" w:rsidRDefault="0082026C" w:rsidP="00B62B04">
      <w:pPr>
        <w:tabs>
          <w:tab w:val="left" w:pos="9639"/>
        </w:tabs>
        <w:outlineLvl w:val="0"/>
        <w:rPr>
          <w:rFonts w:ascii="Tahoma" w:hAnsi="Tahoma" w:cs="Tahoma"/>
          <w:b/>
          <w:sz w:val="20"/>
          <w:szCs w:val="20"/>
        </w:rPr>
      </w:pPr>
      <w:bookmarkStart w:id="95" w:name="_Toc191284542"/>
      <w:r w:rsidRPr="00B86BDE">
        <w:rPr>
          <w:rFonts w:ascii="Tahoma" w:hAnsi="Tahoma" w:cs="Tahoma"/>
          <w:b/>
          <w:sz w:val="20"/>
          <w:szCs w:val="20"/>
        </w:rPr>
        <w:t>4.6.1.ПРОГРАММА БАНКОВСКИХ УСЛУГ «СТАТУС» (ТАРИФ БАНКА), ДЛЯ КЛИЕНТОВ VIP ПРЕМЬЕР, ОФОРМИВШИХ НАСТОЯЩУЮ ПРОГРАММУ С 01.06.2021Г. ПО 06.10.2024Г.</w:t>
      </w:r>
      <w:r w:rsidR="0092521F">
        <w:rPr>
          <w:rFonts w:ascii="Tahoma" w:hAnsi="Tahoma" w:cs="Tahoma"/>
          <w:b/>
          <w:sz w:val="20"/>
          <w:szCs w:val="20"/>
        </w:rPr>
        <w:tab/>
        <w:t>402</w:t>
      </w:r>
      <w:bookmarkEnd w:id="95"/>
    </w:p>
    <w:p w14:paraId="6CA51B21" w14:textId="038AA24F" w:rsidR="00B86BDE" w:rsidRDefault="0082026C" w:rsidP="00B62B04">
      <w:pPr>
        <w:tabs>
          <w:tab w:val="left" w:pos="9639"/>
        </w:tabs>
        <w:outlineLvl w:val="0"/>
        <w:rPr>
          <w:rFonts w:ascii="Tahoma" w:hAnsi="Tahoma" w:cs="Tahoma"/>
          <w:b/>
          <w:sz w:val="20"/>
          <w:szCs w:val="20"/>
        </w:rPr>
      </w:pPr>
      <w:bookmarkStart w:id="96" w:name="_Toc191284543"/>
      <w:r w:rsidRPr="00B86BDE">
        <w:rPr>
          <w:rFonts w:ascii="Tahoma" w:hAnsi="Tahoma" w:cs="Tahoma"/>
          <w:b/>
          <w:sz w:val="20"/>
          <w:szCs w:val="20"/>
        </w:rPr>
        <w:t>4.6.2.ПРОГРАММА БАНКОВСКИХ УСЛУГ «СТАТУС» (ТАРИФ БАНКА), ДЛЯ КЛИЕНТОВ VIP ПРЕМЬЕР+, ОФОРМИВШИХ НАСТОЯЩУЮ ПРОГРАММУ С 01.06.2021Г. ПО 06.10.2024Г.</w:t>
      </w:r>
      <w:r w:rsidR="0092521F">
        <w:rPr>
          <w:rFonts w:ascii="Tahoma" w:hAnsi="Tahoma" w:cs="Tahoma"/>
          <w:b/>
          <w:sz w:val="20"/>
          <w:szCs w:val="20"/>
        </w:rPr>
        <w:tab/>
        <w:t>411</w:t>
      </w:r>
      <w:bookmarkEnd w:id="96"/>
    </w:p>
    <w:p w14:paraId="0A4A546D" w14:textId="32E28959" w:rsidR="00C12855" w:rsidRDefault="00C12855" w:rsidP="00B62B04">
      <w:pPr>
        <w:tabs>
          <w:tab w:val="left" w:pos="9639"/>
        </w:tabs>
        <w:outlineLvl w:val="0"/>
        <w:rPr>
          <w:rFonts w:ascii="Tahoma" w:hAnsi="Tahoma" w:cs="Tahoma"/>
          <w:b/>
          <w:sz w:val="20"/>
          <w:szCs w:val="20"/>
        </w:rPr>
      </w:pPr>
      <w:bookmarkStart w:id="97" w:name="_Toc191284544"/>
      <w:r w:rsidRPr="00C12855">
        <w:rPr>
          <w:rFonts w:ascii="Tahoma" w:hAnsi="Tahoma" w:cs="Tahoma"/>
          <w:b/>
          <w:sz w:val="20"/>
          <w:szCs w:val="20"/>
        </w:rPr>
        <w:t>4.7.</w:t>
      </w:r>
      <w:r>
        <w:rPr>
          <w:rFonts w:ascii="Tahoma" w:hAnsi="Tahoma" w:cs="Tahoma"/>
          <w:b/>
          <w:sz w:val="20"/>
          <w:szCs w:val="20"/>
        </w:rPr>
        <w:t xml:space="preserve"> </w:t>
      </w:r>
      <w:r w:rsidRPr="00C12855">
        <w:rPr>
          <w:rFonts w:ascii="Tahoma" w:hAnsi="Tahoma" w:cs="Tahoma"/>
          <w:b/>
          <w:sz w:val="20"/>
          <w:szCs w:val="20"/>
        </w:rPr>
        <w:t>ТАРИФНЫЕ ПЛАНЫ П</w:t>
      </w:r>
      <w:r w:rsidR="0082026C">
        <w:rPr>
          <w:rFonts w:ascii="Tahoma" w:hAnsi="Tahoma" w:cs="Tahoma"/>
          <w:b/>
          <w:sz w:val="20"/>
          <w:szCs w:val="20"/>
        </w:rPr>
        <w:t>РЕМИАЛЬНОГО ОБСЛУЖИВАНИЯ С 07</w:t>
      </w:r>
      <w:r w:rsidRPr="00C12855">
        <w:rPr>
          <w:rFonts w:ascii="Tahoma" w:hAnsi="Tahoma" w:cs="Tahoma"/>
          <w:b/>
          <w:sz w:val="20"/>
          <w:szCs w:val="20"/>
        </w:rPr>
        <w:t>.10.2024Г.</w:t>
      </w:r>
      <w:r>
        <w:rPr>
          <w:rFonts w:ascii="Tahoma" w:hAnsi="Tahoma" w:cs="Tahoma"/>
          <w:b/>
          <w:sz w:val="20"/>
          <w:szCs w:val="20"/>
        </w:rPr>
        <w:tab/>
      </w:r>
      <w:r w:rsidR="0092521F">
        <w:rPr>
          <w:rFonts w:ascii="Tahoma" w:hAnsi="Tahoma" w:cs="Tahoma"/>
          <w:b/>
          <w:sz w:val="20"/>
          <w:szCs w:val="20"/>
        </w:rPr>
        <w:t>419</w:t>
      </w:r>
      <w:bookmarkEnd w:id="97"/>
    </w:p>
    <w:p w14:paraId="13DDA327" w14:textId="049D4344" w:rsidR="00C12855" w:rsidRDefault="00C12855" w:rsidP="00B62B04">
      <w:pPr>
        <w:tabs>
          <w:tab w:val="left" w:pos="9639"/>
        </w:tabs>
        <w:outlineLvl w:val="0"/>
        <w:rPr>
          <w:rFonts w:ascii="Tahoma" w:hAnsi="Tahoma" w:cs="Tahoma"/>
          <w:b/>
          <w:sz w:val="20"/>
          <w:szCs w:val="20"/>
        </w:rPr>
      </w:pPr>
      <w:bookmarkStart w:id="98" w:name="_Toc191284545"/>
      <w:r w:rsidRPr="00C12855">
        <w:rPr>
          <w:rFonts w:ascii="Tahoma" w:hAnsi="Tahoma" w:cs="Tahoma"/>
          <w:b/>
          <w:sz w:val="20"/>
          <w:szCs w:val="20"/>
        </w:rPr>
        <w:t>4.7.1.</w:t>
      </w:r>
      <w:r>
        <w:rPr>
          <w:rFonts w:ascii="Tahoma" w:hAnsi="Tahoma" w:cs="Tahoma"/>
          <w:b/>
          <w:sz w:val="20"/>
          <w:szCs w:val="20"/>
        </w:rPr>
        <w:t xml:space="preserve"> </w:t>
      </w:r>
      <w:r w:rsidRPr="00C12855">
        <w:rPr>
          <w:rFonts w:ascii="Tahoma" w:hAnsi="Tahoma" w:cs="Tahoma"/>
          <w:b/>
          <w:sz w:val="20"/>
          <w:szCs w:val="20"/>
        </w:rPr>
        <w:t>ТАРИФНЫЙ ПЛАН «ПРОГРАМ</w:t>
      </w:r>
      <w:r w:rsidR="0082026C">
        <w:rPr>
          <w:rFonts w:ascii="Tahoma" w:hAnsi="Tahoma" w:cs="Tahoma"/>
          <w:b/>
          <w:sz w:val="20"/>
          <w:szCs w:val="20"/>
        </w:rPr>
        <w:t>МА БАНКОВСКИХ УСЛУГ СТАТУС» С 07</w:t>
      </w:r>
      <w:r w:rsidRPr="00C12855">
        <w:rPr>
          <w:rFonts w:ascii="Tahoma" w:hAnsi="Tahoma" w:cs="Tahoma"/>
          <w:b/>
          <w:sz w:val="20"/>
          <w:szCs w:val="20"/>
        </w:rPr>
        <w:t>.10.2024Г.</w:t>
      </w:r>
      <w:r w:rsidR="0092521F">
        <w:rPr>
          <w:rFonts w:ascii="Tahoma" w:hAnsi="Tahoma" w:cs="Tahoma"/>
          <w:b/>
          <w:sz w:val="20"/>
          <w:szCs w:val="20"/>
        </w:rPr>
        <w:tab/>
        <w:t>419</w:t>
      </w:r>
      <w:bookmarkEnd w:id="98"/>
    </w:p>
    <w:p w14:paraId="7E2AE017" w14:textId="4C879947" w:rsidR="00C12855" w:rsidRDefault="00C12855" w:rsidP="00B62B04">
      <w:pPr>
        <w:tabs>
          <w:tab w:val="left" w:pos="9639"/>
        </w:tabs>
        <w:outlineLvl w:val="0"/>
        <w:rPr>
          <w:rFonts w:ascii="Tahoma" w:hAnsi="Tahoma" w:cs="Tahoma"/>
          <w:b/>
          <w:sz w:val="20"/>
          <w:szCs w:val="20"/>
        </w:rPr>
      </w:pPr>
      <w:bookmarkStart w:id="99" w:name="_Toc191284546"/>
      <w:r w:rsidRPr="00C12855">
        <w:rPr>
          <w:rFonts w:ascii="Tahoma" w:hAnsi="Tahoma" w:cs="Tahoma"/>
          <w:b/>
          <w:sz w:val="20"/>
          <w:szCs w:val="20"/>
        </w:rPr>
        <w:t>4.7.2.</w:t>
      </w:r>
      <w:r>
        <w:rPr>
          <w:rFonts w:ascii="Tahoma" w:hAnsi="Tahoma" w:cs="Tahoma"/>
          <w:b/>
          <w:sz w:val="20"/>
          <w:szCs w:val="20"/>
        </w:rPr>
        <w:t xml:space="preserve"> </w:t>
      </w:r>
      <w:r w:rsidRPr="00C12855">
        <w:rPr>
          <w:rFonts w:ascii="Tahoma" w:hAnsi="Tahoma" w:cs="Tahoma"/>
          <w:b/>
          <w:sz w:val="20"/>
          <w:szCs w:val="20"/>
        </w:rPr>
        <w:t>ТАРИФНЫЙ ПЛАН «ПРОГРАММА БАНКОВСКИХ УСЛУГ СТАТУС» С 0</w:t>
      </w:r>
      <w:r w:rsidR="0082026C">
        <w:rPr>
          <w:rFonts w:ascii="Tahoma" w:hAnsi="Tahoma" w:cs="Tahoma"/>
          <w:b/>
          <w:sz w:val="20"/>
          <w:szCs w:val="20"/>
        </w:rPr>
        <w:t>7</w:t>
      </w:r>
      <w:r w:rsidRPr="00C12855">
        <w:rPr>
          <w:rFonts w:ascii="Tahoma" w:hAnsi="Tahoma" w:cs="Tahoma"/>
          <w:b/>
          <w:sz w:val="20"/>
          <w:szCs w:val="20"/>
        </w:rPr>
        <w:t>.10.2024Г.</w:t>
      </w:r>
      <w:r>
        <w:rPr>
          <w:rFonts w:ascii="Tahoma" w:hAnsi="Tahoma" w:cs="Tahoma"/>
          <w:b/>
          <w:sz w:val="20"/>
          <w:szCs w:val="20"/>
        </w:rPr>
        <w:tab/>
      </w:r>
      <w:r w:rsidR="0092521F">
        <w:rPr>
          <w:rFonts w:ascii="Tahoma" w:hAnsi="Tahoma" w:cs="Tahoma"/>
          <w:b/>
          <w:sz w:val="20"/>
          <w:szCs w:val="20"/>
        </w:rPr>
        <w:t>426</w:t>
      </w:r>
      <w:bookmarkEnd w:id="99"/>
    </w:p>
    <w:p w14:paraId="5A7156B8" w14:textId="5FFED6AA" w:rsidR="00C12855" w:rsidRDefault="00C12855" w:rsidP="00B62B04">
      <w:pPr>
        <w:tabs>
          <w:tab w:val="left" w:pos="9639"/>
        </w:tabs>
        <w:outlineLvl w:val="0"/>
        <w:rPr>
          <w:rFonts w:ascii="Tahoma" w:hAnsi="Tahoma" w:cs="Tahoma"/>
          <w:b/>
          <w:sz w:val="20"/>
          <w:szCs w:val="20"/>
        </w:rPr>
      </w:pPr>
      <w:bookmarkStart w:id="100" w:name="_Toc191284547"/>
      <w:r w:rsidRPr="00C12855">
        <w:rPr>
          <w:rFonts w:ascii="Tahoma" w:hAnsi="Tahoma" w:cs="Tahoma"/>
          <w:b/>
          <w:sz w:val="20"/>
          <w:szCs w:val="20"/>
        </w:rPr>
        <w:t>4.7.3.</w:t>
      </w:r>
      <w:r>
        <w:rPr>
          <w:rFonts w:ascii="Tahoma" w:hAnsi="Tahoma" w:cs="Tahoma"/>
          <w:b/>
          <w:sz w:val="20"/>
          <w:szCs w:val="20"/>
        </w:rPr>
        <w:t xml:space="preserve"> </w:t>
      </w:r>
      <w:r w:rsidRPr="00C12855">
        <w:rPr>
          <w:rFonts w:ascii="Tahoma" w:hAnsi="Tahoma" w:cs="Tahoma"/>
          <w:b/>
          <w:sz w:val="20"/>
          <w:szCs w:val="20"/>
        </w:rPr>
        <w:t>ТАРИФ «НАКОПИТЕЛЬНЫЙ СЧЕТ СТАТУС» С 0</w:t>
      </w:r>
      <w:r w:rsidR="0082026C">
        <w:rPr>
          <w:rFonts w:ascii="Tahoma" w:hAnsi="Tahoma" w:cs="Tahoma"/>
          <w:b/>
          <w:sz w:val="20"/>
          <w:szCs w:val="20"/>
        </w:rPr>
        <w:t>7</w:t>
      </w:r>
      <w:r w:rsidRPr="00C12855">
        <w:rPr>
          <w:rFonts w:ascii="Tahoma" w:hAnsi="Tahoma" w:cs="Tahoma"/>
          <w:b/>
          <w:sz w:val="20"/>
          <w:szCs w:val="20"/>
        </w:rPr>
        <w:t>.10.2024Г.</w:t>
      </w:r>
      <w:r w:rsidR="0092521F">
        <w:rPr>
          <w:rFonts w:ascii="Tahoma" w:hAnsi="Tahoma" w:cs="Tahoma"/>
          <w:b/>
          <w:sz w:val="20"/>
          <w:szCs w:val="20"/>
        </w:rPr>
        <w:tab/>
        <w:t>434</w:t>
      </w:r>
      <w:bookmarkEnd w:id="100"/>
    </w:p>
    <w:p w14:paraId="76350EC4" w14:textId="76EE333B" w:rsidR="00C12855" w:rsidRPr="00ED3AA8" w:rsidRDefault="00C12855" w:rsidP="00B62B04">
      <w:pPr>
        <w:tabs>
          <w:tab w:val="left" w:pos="9639"/>
        </w:tabs>
        <w:outlineLvl w:val="0"/>
        <w:rPr>
          <w:rFonts w:ascii="Tahoma" w:hAnsi="Tahoma" w:cs="Tahoma"/>
          <w:b/>
          <w:sz w:val="20"/>
          <w:szCs w:val="20"/>
        </w:rPr>
      </w:pPr>
      <w:bookmarkStart w:id="101" w:name="_Toc191284548"/>
      <w:r w:rsidRPr="00C12855">
        <w:rPr>
          <w:rFonts w:ascii="Tahoma" w:hAnsi="Tahoma" w:cs="Tahoma"/>
          <w:b/>
          <w:sz w:val="20"/>
          <w:szCs w:val="20"/>
        </w:rPr>
        <w:t>4.7.4.</w:t>
      </w:r>
      <w:r>
        <w:rPr>
          <w:rFonts w:ascii="Tahoma" w:hAnsi="Tahoma" w:cs="Tahoma"/>
          <w:b/>
          <w:sz w:val="20"/>
          <w:szCs w:val="20"/>
        </w:rPr>
        <w:t xml:space="preserve"> </w:t>
      </w:r>
      <w:r w:rsidRPr="00C12855">
        <w:rPr>
          <w:rFonts w:ascii="Tahoma" w:hAnsi="Tahoma" w:cs="Tahoma"/>
          <w:b/>
          <w:sz w:val="20"/>
          <w:szCs w:val="20"/>
        </w:rPr>
        <w:t>ТАРИФ «НАКОПИТЕЛЬНЫЙ СЧЕТ СТАТУС ПЛЮС» С 0</w:t>
      </w:r>
      <w:r w:rsidR="0082026C">
        <w:rPr>
          <w:rFonts w:ascii="Tahoma" w:hAnsi="Tahoma" w:cs="Tahoma"/>
          <w:b/>
          <w:sz w:val="20"/>
          <w:szCs w:val="20"/>
        </w:rPr>
        <w:t>7</w:t>
      </w:r>
      <w:r w:rsidRPr="00C12855">
        <w:rPr>
          <w:rFonts w:ascii="Tahoma" w:hAnsi="Tahoma" w:cs="Tahoma"/>
          <w:b/>
          <w:sz w:val="20"/>
          <w:szCs w:val="20"/>
        </w:rPr>
        <w:t>.10.2024Г.</w:t>
      </w:r>
      <w:r>
        <w:rPr>
          <w:rFonts w:ascii="Tahoma" w:hAnsi="Tahoma" w:cs="Tahoma"/>
          <w:b/>
          <w:sz w:val="20"/>
          <w:szCs w:val="20"/>
        </w:rPr>
        <w:tab/>
      </w:r>
      <w:r w:rsidR="0092521F">
        <w:rPr>
          <w:rFonts w:ascii="Tahoma" w:hAnsi="Tahoma" w:cs="Tahoma"/>
          <w:b/>
          <w:sz w:val="20"/>
          <w:szCs w:val="20"/>
        </w:rPr>
        <w:t>437</w:t>
      </w:r>
      <w:bookmarkEnd w:id="101"/>
    </w:p>
    <w:p w14:paraId="044EEBDA" w14:textId="443603C3" w:rsidR="004E30AD" w:rsidRPr="00ED3AA8" w:rsidRDefault="003516C8" w:rsidP="004E30AD">
      <w:pPr>
        <w:tabs>
          <w:tab w:val="left" w:pos="9639"/>
        </w:tabs>
        <w:outlineLvl w:val="0"/>
        <w:rPr>
          <w:rFonts w:ascii="Tahoma" w:hAnsi="Tahoma" w:cs="Tahoma"/>
          <w:b/>
          <w:sz w:val="20"/>
          <w:szCs w:val="20"/>
        </w:rPr>
      </w:pPr>
      <w:bookmarkStart w:id="102" w:name="_Toc191284549"/>
      <w:r>
        <w:rPr>
          <w:rFonts w:ascii="Tahoma" w:hAnsi="Tahoma" w:cs="Tahoma"/>
          <w:b/>
          <w:sz w:val="20"/>
          <w:szCs w:val="20"/>
        </w:rPr>
        <w:t>4.</w:t>
      </w:r>
      <w:r w:rsidR="00C12855">
        <w:rPr>
          <w:rFonts w:ascii="Tahoma" w:hAnsi="Tahoma" w:cs="Tahoma"/>
          <w:b/>
          <w:sz w:val="20"/>
          <w:szCs w:val="20"/>
        </w:rPr>
        <w:t>8</w:t>
      </w:r>
      <w:r w:rsidR="004E30AD" w:rsidRPr="00C6598F">
        <w:rPr>
          <w:rFonts w:ascii="Tahoma" w:hAnsi="Tahoma" w:cs="Tahoma"/>
          <w:b/>
          <w:sz w:val="20"/>
          <w:szCs w:val="20"/>
        </w:rPr>
        <w:t>. ОБСЛУЖИВАНИЕ КАРТ, ЭМИТИРОВАННЫМИ СТОРОНН</w:t>
      </w:r>
      <w:r w:rsidR="00E15E93">
        <w:rPr>
          <w:rFonts w:ascii="Tahoma" w:hAnsi="Tahoma" w:cs="Tahoma"/>
          <w:b/>
          <w:sz w:val="20"/>
          <w:szCs w:val="20"/>
        </w:rPr>
        <w:t>ИМИ КРЕД</w:t>
      </w:r>
      <w:r w:rsidR="0092521F">
        <w:rPr>
          <w:rFonts w:ascii="Tahoma" w:hAnsi="Tahoma" w:cs="Tahoma"/>
          <w:b/>
          <w:sz w:val="20"/>
          <w:szCs w:val="20"/>
        </w:rPr>
        <w:t>ИТНЫМИ ОРГАНИЗАЦИЯМИ</w:t>
      </w:r>
      <w:r w:rsidR="0092521F">
        <w:rPr>
          <w:rFonts w:ascii="Tahoma" w:hAnsi="Tahoma" w:cs="Tahoma"/>
          <w:b/>
          <w:sz w:val="20"/>
          <w:szCs w:val="20"/>
        </w:rPr>
        <w:tab/>
        <w:t>441</w:t>
      </w:r>
      <w:bookmarkEnd w:id="102"/>
    </w:p>
    <w:p w14:paraId="62BAAA0A" w14:textId="014D02C4" w:rsidR="004E30AD" w:rsidRPr="00ED3AA8" w:rsidRDefault="00C12855" w:rsidP="004E30AD">
      <w:pPr>
        <w:tabs>
          <w:tab w:val="left" w:pos="9639"/>
        </w:tabs>
        <w:outlineLvl w:val="0"/>
        <w:rPr>
          <w:rFonts w:ascii="Tahoma" w:hAnsi="Tahoma" w:cs="Tahoma"/>
          <w:b/>
          <w:sz w:val="20"/>
          <w:szCs w:val="20"/>
        </w:rPr>
      </w:pPr>
      <w:bookmarkStart w:id="103" w:name="_Toc191284550"/>
      <w:r>
        <w:rPr>
          <w:rFonts w:ascii="Tahoma" w:hAnsi="Tahoma" w:cs="Tahoma"/>
          <w:b/>
          <w:sz w:val="20"/>
          <w:szCs w:val="20"/>
        </w:rPr>
        <w:t>4.9</w:t>
      </w:r>
      <w:r w:rsidR="004E30AD" w:rsidRPr="00C6598F">
        <w:rPr>
          <w:rFonts w:ascii="Tahoma" w:hAnsi="Tahoma" w:cs="Tahoma"/>
          <w:b/>
          <w:sz w:val="20"/>
          <w:szCs w:val="20"/>
        </w:rPr>
        <w:t xml:space="preserve">. ТАРИФЫ ЗА СОВЕРШЕНИЕ ПЛАТЕЖЕЙ ПО КАРТАМ </w:t>
      </w:r>
      <w:r w:rsidR="004E30AD" w:rsidRPr="00C6598F">
        <w:rPr>
          <w:rFonts w:ascii="Tahoma" w:hAnsi="Tahoma" w:cs="Tahoma"/>
          <w:b/>
          <w:sz w:val="20"/>
          <w:szCs w:val="20"/>
          <w:lang w:val="en-US"/>
        </w:rPr>
        <w:t>VISA</w:t>
      </w:r>
      <w:r w:rsidR="004E30AD" w:rsidRPr="00C6598F">
        <w:rPr>
          <w:rFonts w:ascii="Tahoma" w:hAnsi="Tahoma" w:cs="Tahoma"/>
          <w:b/>
          <w:sz w:val="20"/>
          <w:szCs w:val="20"/>
        </w:rPr>
        <w:t xml:space="preserve">, </w:t>
      </w:r>
      <w:r w:rsidR="004E30AD" w:rsidRPr="00C6598F">
        <w:rPr>
          <w:rFonts w:ascii="Tahoma" w:hAnsi="Tahoma" w:cs="Tahoma"/>
          <w:b/>
          <w:sz w:val="20"/>
          <w:szCs w:val="20"/>
          <w:lang w:val="en-US"/>
        </w:rPr>
        <w:t>MASTERCARD</w:t>
      </w:r>
      <w:r w:rsidR="004E30AD" w:rsidRPr="00C6598F">
        <w:rPr>
          <w:rFonts w:ascii="Tahoma" w:hAnsi="Tahoma" w:cs="Tahoma"/>
          <w:b/>
          <w:sz w:val="20"/>
          <w:szCs w:val="20"/>
        </w:rPr>
        <w:t xml:space="preserve">, МИР АТБ </w:t>
      </w:r>
      <w:r w:rsidR="004E30AD">
        <w:rPr>
          <w:rFonts w:ascii="Tahoma" w:hAnsi="Tahoma" w:cs="Tahoma"/>
          <w:b/>
          <w:sz w:val="20"/>
          <w:szCs w:val="20"/>
        </w:rPr>
        <w:t>(АО)</w:t>
      </w:r>
      <w:r w:rsidR="004E30AD" w:rsidRPr="00C6598F">
        <w:rPr>
          <w:rFonts w:ascii="Tahoma" w:hAnsi="Tahoma" w:cs="Tahoma"/>
          <w:b/>
          <w:sz w:val="20"/>
          <w:szCs w:val="20"/>
        </w:rPr>
        <w:t xml:space="preserve"> В БАНКОМАТАХ АТБ </w:t>
      </w:r>
      <w:r w:rsidR="0092521F">
        <w:rPr>
          <w:rFonts w:ascii="Tahoma" w:hAnsi="Tahoma" w:cs="Tahoma"/>
          <w:b/>
          <w:sz w:val="20"/>
          <w:szCs w:val="20"/>
        </w:rPr>
        <w:t>(АО)</w:t>
      </w:r>
      <w:r w:rsidR="0092521F">
        <w:rPr>
          <w:rFonts w:ascii="Tahoma" w:hAnsi="Tahoma" w:cs="Tahoma"/>
          <w:b/>
          <w:sz w:val="20"/>
          <w:szCs w:val="20"/>
        </w:rPr>
        <w:tab/>
        <w:t>441</w:t>
      </w:r>
      <w:bookmarkEnd w:id="103"/>
    </w:p>
    <w:p w14:paraId="2E1A230A" w14:textId="3B998C05" w:rsidR="004E30AD" w:rsidRPr="00ED3AA8" w:rsidRDefault="00C12855" w:rsidP="004E30AD">
      <w:pPr>
        <w:tabs>
          <w:tab w:val="left" w:pos="9639"/>
        </w:tabs>
        <w:outlineLvl w:val="0"/>
        <w:rPr>
          <w:rFonts w:ascii="Tahoma" w:hAnsi="Tahoma" w:cs="Tahoma"/>
          <w:b/>
          <w:sz w:val="20"/>
          <w:szCs w:val="20"/>
        </w:rPr>
      </w:pPr>
      <w:bookmarkStart w:id="104" w:name="_Toc191284551"/>
      <w:r>
        <w:rPr>
          <w:rFonts w:ascii="Tahoma" w:hAnsi="Tahoma" w:cs="Tahoma"/>
          <w:b/>
          <w:sz w:val="20"/>
          <w:szCs w:val="20"/>
        </w:rPr>
        <w:t>4.10</w:t>
      </w:r>
      <w:r w:rsidR="004E30AD" w:rsidRPr="00C6598F">
        <w:rPr>
          <w:rFonts w:ascii="Tahoma" w:hAnsi="Tahoma" w:cs="Tahoma"/>
          <w:b/>
          <w:sz w:val="20"/>
          <w:szCs w:val="20"/>
        </w:rPr>
        <w:t xml:space="preserve">. ТАРИФ ПО ПЕРЕВОДУ НА БАНКОВСКИЕ КАРТЫ </w:t>
      </w:r>
      <w:r w:rsidR="004E30AD" w:rsidRPr="00C6598F">
        <w:rPr>
          <w:rFonts w:ascii="Tahoma" w:hAnsi="Tahoma" w:cs="Tahoma"/>
          <w:b/>
          <w:sz w:val="20"/>
          <w:szCs w:val="20"/>
          <w:lang w:val="en-US"/>
        </w:rPr>
        <w:t>VISA</w:t>
      </w:r>
      <w:r w:rsidR="004E30AD" w:rsidRPr="00C6598F">
        <w:rPr>
          <w:rFonts w:ascii="Tahoma" w:hAnsi="Tahoma" w:cs="Tahoma"/>
          <w:b/>
          <w:sz w:val="20"/>
          <w:szCs w:val="20"/>
        </w:rPr>
        <w:t>/</w:t>
      </w:r>
      <w:r w:rsidR="004E30AD" w:rsidRPr="00C6598F">
        <w:rPr>
          <w:rFonts w:ascii="Tahoma" w:hAnsi="Tahoma" w:cs="Tahoma"/>
          <w:b/>
          <w:sz w:val="20"/>
          <w:szCs w:val="20"/>
          <w:lang w:val="en-US"/>
        </w:rPr>
        <w:t>MAST</w:t>
      </w:r>
      <w:r w:rsidR="004E30AD" w:rsidRPr="00C6598F">
        <w:rPr>
          <w:rFonts w:ascii="Tahoma" w:hAnsi="Tahoma" w:cs="Tahoma"/>
          <w:b/>
          <w:sz w:val="20"/>
          <w:szCs w:val="20"/>
        </w:rPr>
        <w:t>Е</w:t>
      </w:r>
      <w:r w:rsidR="004E30AD" w:rsidRPr="00C6598F">
        <w:rPr>
          <w:rFonts w:ascii="Tahoma" w:hAnsi="Tahoma" w:cs="Tahoma"/>
          <w:b/>
          <w:sz w:val="20"/>
          <w:szCs w:val="20"/>
          <w:lang w:val="en-US"/>
        </w:rPr>
        <w:t>R</w:t>
      </w:r>
      <w:r w:rsidR="004E30AD" w:rsidRPr="00C6598F">
        <w:rPr>
          <w:rFonts w:ascii="Tahoma" w:hAnsi="Tahoma" w:cs="Tahoma"/>
          <w:b/>
          <w:sz w:val="20"/>
          <w:szCs w:val="20"/>
        </w:rPr>
        <w:t>С</w:t>
      </w:r>
      <w:r w:rsidR="004E30AD" w:rsidRPr="00C6598F">
        <w:rPr>
          <w:rFonts w:ascii="Tahoma" w:hAnsi="Tahoma" w:cs="Tahoma"/>
          <w:b/>
          <w:sz w:val="20"/>
          <w:szCs w:val="20"/>
          <w:lang w:val="en-US"/>
        </w:rPr>
        <w:t>ARD</w:t>
      </w:r>
      <w:r w:rsidR="004E30AD" w:rsidRPr="00C6598F">
        <w:rPr>
          <w:rFonts w:ascii="Tahoma" w:hAnsi="Tahoma" w:cs="Tahoma"/>
          <w:b/>
          <w:sz w:val="20"/>
          <w:szCs w:val="20"/>
        </w:rPr>
        <w:t xml:space="preserve">, ЭМИТИРОВАННЫЕ «АЗИАТСКО-ТИХООКЕАНСКИЙ БАНК» </w:t>
      </w:r>
      <w:r w:rsidR="004E30AD">
        <w:rPr>
          <w:rFonts w:ascii="Tahoma" w:hAnsi="Tahoma" w:cs="Tahoma"/>
          <w:b/>
          <w:sz w:val="20"/>
          <w:szCs w:val="20"/>
        </w:rPr>
        <w:t>(АО)</w:t>
      </w:r>
      <w:r w:rsidR="004E30AD" w:rsidRPr="00C6598F">
        <w:rPr>
          <w:rFonts w:ascii="Tahoma" w:hAnsi="Tahoma" w:cs="Tahoma"/>
          <w:b/>
          <w:sz w:val="20"/>
          <w:szCs w:val="20"/>
        </w:rPr>
        <w:t xml:space="preserve"> С БАНКОВСКИХ КАРТ, ЭМИТИРОВАННЫХ СТОРОННИМИ БАНКАМИ, ОСУЩЕСТВЛЯЕМЫЙ В УСТРОЙСТВАХ ДРУГИХ КРЕДИТНЫХ УЧРЕЖДЕНИЙ, ВКЛЮЧАЯ ЗАРУБЕЖНЫЕ (ПЕРЕВОДЫ В СИСТЕМЕ </w:t>
      </w:r>
      <w:r w:rsidR="004E30AD" w:rsidRPr="00C6598F">
        <w:rPr>
          <w:rFonts w:ascii="Tahoma" w:hAnsi="Tahoma" w:cs="Tahoma"/>
          <w:b/>
          <w:sz w:val="20"/>
          <w:szCs w:val="20"/>
          <w:lang w:val="en-US"/>
        </w:rPr>
        <w:t>VISA</w:t>
      </w:r>
      <w:r w:rsidR="004E30AD" w:rsidRPr="00C6598F">
        <w:rPr>
          <w:rFonts w:ascii="Tahoma" w:hAnsi="Tahoma" w:cs="Tahoma"/>
          <w:b/>
          <w:sz w:val="20"/>
          <w:szCs w:val="20"/>
        </w:rPr>
        <w:t xml:space="preserve"> </w:t>
      </w:r>
      <w:r w:rsidR="004E30AD" w:rsidRPr="00C6598F">
        <w:rPr>
          <w:rFonts w:ascii="Tahoma" w:hAnsi="Tahoma" w:cs="Tahoma"/>
          <w:b/>
          <w:sz w:val="20"/>
          <w:szCs w:val="20"/>
          <w:lang w:val="en-US"/>
        </w:rPr>
        <w:t>MONEY</w:t>
      </w:r>
      <w:r w:rsidR="004E30AD" w:rsidRPr="00C6598F">
        <w:rPr>
          <w:rFonts w:ascii="Tahoma" w:hAnsi="Tahoma" w:cs="Tahoma"/>
          <w:b/>
          <w:sz w:val="20"/>
          <w:szCs w:val="20"/>
        </w:rPr>
        <w:t xml:space="preserve"> </w:t>
      </w:r>
      <w:r w:rsidR="004E30AD" w:rsidRPr="00C6598F">
        <w:rPr>
          <w:rFonts w:ascii="Tahoma" w:hAnsi="Tahoma" w:cs="Tahoma"/>
          <w:b/>
          <w:sz w:val="20"/>
          <w:szCs w:val="20"/>
          <w:lang w:val="en-US"/>
        </w:rPr>
        <w:t>TRANSFER</w:t>
      </w:r>
      <w:r w:rsidR="004E30AD" w:rsidRPr="00C6598F">
        <w:rPr>
          <w:rFonts w:ascii="Tahoma" w:hAnsi="Tahoma" w:cs="Tahoma"/>
          <w:b/>
          <w:sz w:val="20"/>
          <w:szCs w:val="20"/>
        </w:rPr>
        <w:t xml:space="preserve">, </w:t>
      </w:r>
      <w:r w:rsidR="004E30AD" w:rsidRPr="00C6598F">
        <w:rPr>
          <w:rFonts w:ascii="Tahoma" w:hAnsi="Tahoma" w:cs="Tahoma"/>
          <w:b/>
          <w:sz w:val="20"/>
          <w:szCs w:val="20"/>
          <w:lang w:val="en-US"/>
        </w:rPr>
        <w:t>MASTERCARD</w:t>
      </w:r>
      <w:r w:rsidR="004E30AD" w:rsidRPr="00C6598F">
        <w:rPr>
          <w:rFonts w:ascii="Tahoma" w:hAnsi="Tahoma" w:cs="Tahoma"/>
          <w:b/>
          <w:sz w:val="20"/>
          <w:szCs w:val="20"/>
        </w:rPr>
        <w:t xml:space="preserve"> </w:t>
      </w:r>
      <w:r w:rsidR="004E30AD" w:rsidRPr="00C6598F">
        <w:rPr>
          <w:rFonts w:ascii="Tahoma" w:hAnsi="Tahoma" w:cs="Tahoma"/>
          <w:b/>
          <w:sz w:val="20"/>
          <w:szCs w:val="20"/>
          <w:lang w:val="en-US"/>
        </w:rPr>
        <w:t>MONEYSEND</w:t>
      </w:r>
      <w:r w:rsidR="0092521F">
        <w:rPr>
          <w:rFonts w:ascii="Tahoma" w:hAnsi="Tahoma" w:cs="Tahoma"/>
          <w:b/>
          <w:sz w:val="20"/>
          <w:szCs w:val="20"/>
        </w:rPr>
        <w:t>)</w:t>
      </w:r>
      <w:r w:rsidR="0092521F">
        <w:rPr>
          <w:rFonts w:ascii="Tahoma" w:hAnsi="Tahoma" w:cs="Tahoma"/>
          <w:b/>
          <w:sz w:val="20"/>
          <w:szCs w:val="20"/>
        </w:rPr>
        <w:tab/>
        <w:t>441</w:t>
      </w:r>
      <w:bookmarkEnd w:id="104"/>
    </w:p>
    <w:p w14:paraId="3BBF1591" w14:textId="5E9B90FC" w:rsidR="004E30AD" w:rsidRPr="00ED3AA8" w:rsidRDefault="004B7307" w:rsidP="004E30AD">
      <w:pPr>
        <w:tabs>
          <w:tab w:val="left" w:pos="9639"/>
        </w:tabs>
        <w:outlineLvl w:val="0"/>
        <w:rPr>
          <w:rFonts w:ascii="Tahoma" w:hAnsi="Tahoma" w:cs="Tahoma"/>
          <w:b/>
          <w:sz w:val="20"/>
          <w:szCs w:val="20"/>
        </w:rPr>
      </w:pPr>
      <w:bookmarkStart w:id="105" w:name="_Toc191284552"/>
      <w:r>
        <w:rPr>
          <w:rFonts w:ascii="Tahoma" w:hAnsi="Tahoma" w:cs="Tahoma"/>
          <w:b/>
          <w:sz w:val="20"/>
          <w:szCs w:val="20"/>
        </w:rPr>
        <w:t>4.1</w:t>
      </w:r>
      <w:r w:rsidR="00C12855">
        <w:rPr>
          <w:rFonts w:ascii="Tahoma" w:hAnsi="Tahoma" w:cs="Tahoma"/>
          <w:b/>
          <w:sz w:val="20"/>
          <w:szCs w:val="20"/>
        </w:rPr>
        <w:t>1</w:t>
      </w:r>
      <w:r w:rsidR="004E30AD" w:rsidRPr="00C6598F">
        <w:rPr>
          <w:rFonts w:ascii="Tahoma" w:hAnsi="Tahoma" w:cs="Tahoma"/>
          <w:b/>
          <w:sz w:val="20"/>
          <w:szCs w:val="20"/>
        </w:rPr>
        <w:t>. КОНВЕРСИОННЫЕ ОПЕРАЦИИ ПО БАНКОВСКИМ КАРТАМ «АЗИ</w:t>
      </w:r>
      <w:r w:rsidR="004E30AD">
        <w:rPr>
          <w:rFonts w:ascii="Tahoma" w:hAnsi="Tahoma" w:cs="Tahoma"/>
          <w:b/>
          <w:sz w:val="20"/>
          <w:szCs w:val="20"/>
        </w:rPr>
        <w:t>АТСК</w:t>
      </w:r>
      <w:r w:rsidR="00E15E93">
        <w:rPr>
          <w:rFonts w:ascii="Tahoma" w:hAnsi="Tahoma" w:cs="Tahoma"/>
          <w:b/>
          <w:sz w:val="20"/>
          <w:szCs w:val="20"/>
        </w:rPr>
        <w:t>О-ТИХООКЕАНСКИЙ БАН</w:t>
      </w:r>
      <w:r w:rsidR="0092521F">
        <w:rPr>
          <w:rFonts w:ascii="Tahoma" w:hAnsi="Tahoma" w:cs="Tahoma"/>
          <w:b/>
          <w:sz w:val="20"/>
          <w:szCs w:val="20"/>
        </w:rPr>
        <w:t>К» (АО)</w:t>
      </w:r>
      <w:r w:rsidR="0092521F">
        <w:rPr>
          <w:rFonts w:ascii="Tahoma" w:hAnsi="Tahoma" w:cs="Tahoma"/>
          <w:b/>
          <w:sz w:val="20"/>
          <w:szCs w:val="20"/>
        </w:rPr>
        <w:tab/>
        <w:t>442</w:t>
      </w:r>
      <w:bookmarkEnd w:id="105"/>
    </w:p>
    <w:p w14:paraId="2CAB3AD6" w14:textId="5BB2ED00" w:rsidR="004E30AD" w:rsidRDefault="00C12855" w:rsidP="004E30AD">
      <w:pPr>
        <w:tabs>
          <w:tab w:val="left" w:pos="9639"/>
        </w:tabs>
        <w:outlineLvl w:val="0"/>
        <w:rPr>
          <w:rFonts w:ascii="Tahoma" w:hAnsi="Tahoma" w:cs="Tahoma"/>
          <w:b/>
          <w:sz w:val="20"/>
          <w:szCs w:val="20"/>
        </w:rPr>
      </w:pPr>
      <w:bookmarkStart w:id="106" w:name="_Toc191284553"/>
      <w:r>
        <w:rPr>
          <w:rFonts w:ascii="Tahoma" w:hAnsi="Tahoma" w:cs="Tahoma"/>
          <w:b/>
          <w:sz w:val="20"/>
          <w:szCs w:val="20"/>
        </w:rPr>
        <w:t>4.12</w:t>
      </w:r>
      <w:r w:rsidR="004E30AD">
        <w:rPr>
          <w:rFonts w:ascii="Tahoma" w:hAnsi="Tahoma" w:cs="Tahoma"/>
          <w:b/>
          <w:sz w:val="20"/>
          <w:szCs w:val="20"/>
        </w:rPr>
        <w:t>. БОНУСН</w:t>
      </w:r>
      <w:r w:rsidR="008D3DF3">
        <w:rPr>
          <w:rFonts w:ascii="Tahoma" w:hAnsi="Tahoma" w:cs="Tahoma"/>
          <w:b/>
          <w:sz w:val="20"/>
          <w:szCs w:val="20"/>
        </w:rPr>
        <w:t xml:space="preserve">АЯ </w:t>
      </w:r>
      <w:r w:rsidR="00AA4E19">
        <w:rPr>
          <w:rFonts w:ascii="Tahoma" w:hAnsi="Tahoma" w:cs="Tahoma"/>
          <w:b/>
          <w:sz w:val="20"/>
          <w:szCs w:val="20"/>
        </w:rPr>
        <w:t>ПРОГРАММА СТАНДАРТ-Д</w:t>
      </w:r>
      <w:r w:rsidR="0092521F">
        <w:rPr>
          <w:rFonts w:ascii="Tahoma" w:hAnsi="Tahoma" w:cs="Tahoma"/>
          <w:b/>
          <w:sz w:val="20"/>
          <w:szCs w:val="20"/>
        </w:rPr>
        <w:t>ИРЕКТ</w:t>
      </w:r>
      <w:r w:rsidR="0092521F">
        <w:rPr>
          <w:rFonts w:ascii="Tahoma" w:hAnsi="Tahoma" w:cs="Tahoma"/>
          <w:b/>
          <w:sz w:val="20"/>
          <w:szCs w:val="20"/>
        </w:rPr>
        <w:tab/>
        <w:t>443</w:t>
      </w:r>
      <w:bookmarkEnd w:id="106"/>
    </w:p>
    <w:p w14:paraId="568F0394" w14:textId="19CA4AD1" w:rsidR="006826C4" w:rsidRDefault="00C12855" w:rsidP="006826C4">
      <w:pPr>
        <w:tabs>
          <w:tab w:val="left" w:pos="9639"/>
        </w:tabs>
        <w:outlineLvl w:val="0"/>
        <w:rPr>
          <w:rFonts w:ascii="Tahoma" w:hAnsi="Tahoma" w:cs="Tahoma"/>
          <w:b/>
          <w:sz w:val="20"/>
          <w:szCs w:val="20"/>
        </w:rPr>
      </w:pPr>
      <w:bookmarkStart w:id="107" w:name="_Toc191284554"/>
      <w:r>
        <w:rPr>
          <w:rFonts w:ascii="Tahoma" w:hAnsi="Tahoma" w:cs="Tahoma"/>
          <w:b/>
          <w:sz w:val="20"/>
          <w:szCs w:val="20"/>
        </w:rPr>
        <w:t>4.13</w:t>
      </w:r>
      <w:r w:rsidR="006826C4">
        <w:rPr>
          <w:rFonts w:ascii="Tahoma" w:hAnsi="Tahoma" w:cs="Tahoma"/>
          <w:b/>
          <w:sz w:val="20"/>
          <w:szCs w:val="20"/>
        </w:rPr>
        <w:t>.</w:t>
      </w:r>
      <w:r w:rsidR="006826C4" w:rsidRPr="00A53599">
        <w:rPr>
          <w:rFonts w:ascii="Tahoma" w:hAnsi="Tahoma" w:cs="Tahoma"/>
          <w:b/>
          <w:sz w:val="20"/>
          <w:szCs w:val="20"/>
        </w:rPr>
        <w:t xml:space="preserve"> </w:t>
      </w:r>
      <w:r w:rsidR="006826C4">
        <w:rPr>
          <w:rFonts w:ascii="Tahoma" w:hAnsi="Tahoma" w:cs="Tahoma"/>
          <w:b/>
          <w:sz w:val="20"/>
          <w:szCs w:val="20"/>
        </w:rPr>
        <w:t>БОНУС</w:t>
      </w:r>
      <w:r w:rsidR="003C6451">
        <w:rPr>
          <w:rFonts w:ascii="Tahoma" w:hAnsi="Tahoma" w:cs="Tahoma"/>
          <w:b/>
          <w:sz w:val="20"/>
          <w:szCs w:val="20"/>
        </w:rPr>
        <w:t>НАЯ ПРОГРАММА СТАНДАРТ-БОНУС</w:t>
      </w:r>
      <w:r w:rsidR="003C6451">
        <w:rPr>
          <w:rFonts w:ascii="Tahoma" w:hAnsi="Tahoma" w:cs="Tahoma"/>
          <w:b/>
          <w:sz w:val="20"/>
          <w:szCs w:val="20"/>
        </w:rPr>
        <w:tab/>
      </w:r>
      <w:r w:rsidR="0092521F">
        <w:rPr>
          <w:rFonts w:ascii="Tahoma" w:hAnsi="Tahoma" w:cs="Tahoma"/>
          <w:b/>
          <w:sz w:val="20"/>
          <w:szCs w:val="20"/>
        </w:rPr>
        <w:t>445</w:t>
      </w:r>
      <w:bookmarkEnd w:id="107"/>
    </w:p>
    <w:p w14:paraId="47893263" w14:textId="0F1D7BEE" w:rsidR="006826C4" w:rsidRDefault="00C12855" w:rsidP="006826C4">
      <w:pPr>
        <w:tabs>
          <w:tab w:val="left" w:pos="9639"/>
        </w:tabs>
        <w:outlineLvl w:val="0"/>
        <w:rPr>
          <w:rFonts w:ascii="Tahoma" w:hAnsi="Tahoma" w:cs="Tahoma"/>
          <w:b/>
          <w:sz w:val="20"/>
          <w:szCs w:val="20"/>
        </w:rPr>
      </w:pPr>
      <w:bookmarkStart w:id="108" w:name="_Toc191284555"/>
      <w:r>
        <w:rPr>
          <w:rFonts w:ascii="Tahoma" w:hAnsi="Tahoma" w:cs="Tahoma"/>
          <w:b/>
          <w:sz w:val="20"/>
          <w:szCs w:val="20"/>
        </w:rPr>
        <w:t>4.13</w:t>
      </w:r>
      <w:r w:rsidR="006826C4" w:rsidRPr="00D94A55">
        <w:rPr>
          <w:rFonts w:ascii="Tahoma" w:hAnsi="Tahoma" w:cs="Tahoma"/>
          <w:b/>
          <w:sz w:val="20"/>
          <w:szCs w:val="20"/>
        </w:rPr>
        <w:t>.1.БОНУСНАЯ ПРОГРАММА «СТАНДАРТ-БОНУС»</w:t>
      </w:r>
      <w:r w:rsidR="0092521F">
        <w:rPr>
          <w:rFonts w:ascii="Tahoma" w:hAnsi="Tahoma" w:cs="Tahoma"/>
          <w:b/>
          <w:sz w:val="20"/>
          <w:szCs w:val="20"/>
        </w:rPr>
        <w:tab/>
        <w:t>445</w:t>
      </w:r>
      <w:bookmarkEnd w:id="108"/>
    </w:p>
    <w:p w14:paraId="68CEFD90" w14:textId="3C0E9B70" w:rsidR="00C725A7" w:rsidRDefault="00C12855" w:rsidP="006826C4">
      <w:pPr>
        <w:tabs>
          <w:tab w:val="left" w:pos="9639"/>
        </w:tabs>
        <w:outlineLvl w:val="0"/>
        <w:rPr>
          <w:rFonts w:ascii="Tahoma" w:hAnsi="Tahoma" w:cs="Tahoma"/>
          <w:b/>
          <w:sz w:val="20"/>
          <w:szCs w:val="20"/>
        </w:rPr>
      </w:pPr>
      <w:bookmarkStart w:id="109" w:name="_Toc191284556"/>
      <w:r>
        <w:rPr>
          <w:rFonts w:ascii="Tahoma" w:hAnsi="Tahoma" w:cs="Tahoma"/>
          <w:b/>
          <w:sz w:val="20"/>
          <w:szCs w:val="20"/>
        </w:rPr>
        <w:t>4.14</w:t>
      </w:r>
      <w:r w:rsidR="00C725A7">
        <w:rPr>
          <w:rFonts w:ascii="Tahoma" w:hAnsi="Tahoma" w:cs="Tahoma"/>
          <w:b/>
          <w:sz w:val="20"/>
          <w:szCs w:val="20"/>
        </w:rPr>
        <w:t>.</w:t>
      </w:r>
      <w:r w:rsidR="00C725A7" w:rsidRPr="00C725A7">
        <w:rPr>
          <w:rFonts w:ascii="Tahoma" w:hAnsi="Tahoma" w:cs="Tahoma"/>
          <w:b/>
          <w:sz w:val="20"/>
          <w:szCs w:val="20"/>
        </w:rPr>
        <w:t>БОНУСНАЯ ПРОГРАММА «ПРЕМИУМ-БОНУС» ДЛЯ ДЕРЖАТЕЛЕЙ ПРОГРАММЫ БАНКОВСКИХ УСЛУГ «СТАТУС»</w:t>
      </w:r>
      <w:r w:rsidR="0092521F">
        <w:rPr>
          <w:rFonts w:ascii="Tahoma" w:hAnsi="Tahoma" w:cs="Tahoma"/>
          <w:b/>
          <w:sz w:val="20"/>
          <w:szCs w:val="20"/>
        </w:rPr>
        <w:tab/>
        <w:t>450</w:t>
      </w:r>
      <w:bookmarkEnd w:id="109"/>
    </w:p>
    <w:p w14:paraId="74E70C4C" w14:textId="4BC7D8B2" w:rsidR="009D50B5" w:rsidRDefault="00C12855" w:rsidP="004E30AD">
      <w:pPr>
        <w:tabs>
          <w:tab w:val="left" w:pos="9639"/>
        </w:tabs>
        <w:outlineLvl w:val="0"/>
        <w:rPr>
          <w:rFonts w:ascii="Tahoma" w:hAnsi="Tahoma" w:cs="Tahoma"/>
          <w:b/>
          <w:sz w:val="20"/>
          <w:szCs w:val="20"/>
        </w:rPr>
      </w:pPr>
      <w:bookmarkStart w:id="110" w:name="_Toc191284557"/>
      <w:r>
        <w:rPr>
          <w:rFonts w:ascii="Tahoma" w:hAnsi="Tahoma" w:cs="Tahoma"/>
          <w:b/>
          <w:sz w:val="20"/>
          <w:szCs w:val="20"/>
        </w:rPr>
        <w:t>4.15</w:t>
      </w:r>
      <w:r w:rsidR="009D50B5">
        <w:rPr>
          <w:rFonts w:ascii="Tahoma" w:hAnsi="Tahoma" w:cs="Tahoma"/>
          <w:b/>
          <w:sz w:val="20"/>
          <w:szCs w:val="20"/>
        </w:rPr>
        <w:t xml:space="preserve">. </w:t>
      </w:r>
      <w:r w:rsidR="009D50B5" w:rsidRPr="009D50B5">
        <w:rPr>
          <w:rFonts w:ascii="Tahoma" w:hAnsi="Tahoma" w:cs="Tahoma"/>
          <w:b/>
          <w:sz w:val="20"/>
          <w:szCs w:val="20"/>
        </w:rPr>
        <w:t>БОНУСНАЯ ПРОГРАММА «СТАНДАРТ-БОНУС ЛАЙТ»</w:t>
      </w:r>
      <w:r w:rsidR="0092521F">
        <w:rPr>
          <w:rFonts w:ascii="Tahoma" w:hAnsi="Tahoma" w:cs="Tahoma"/>
          <w:b/>
          <w:sz w:val="20"/>
          <w:szCs w:val="20"/>
        </w:rPr>
        <w:tab/>
        <w:t>455</w:t>
      </w:r>
      <w:bookmarkEnd w:id="110"/>
    </w:p>
    <w:p w14:paraId="30C07E42" w14:textId="170CB462" w:rsidR="004F04D0" w:rsidRDefault="00C12855" w:rsidP="004E30AD">
      <w:pPr>
        <w:tabs>
          <w:tab w:val="left" w:pos="9639"/>
        </w:tabs>
        <w:outlineLvl w:val="0"/>
        <w:rPr>
          <w:rFonts w:ascii="Tahoma" w:hAnsi="Tahoma" w:cs="Tahoma"/>
          <w:b/>
          <w:sz w:val="20"/>
          <w:szCs w:val="20"/>
        </w:rPr>
      </w:pPr>
      <w:bookmarkStart w:id="111" w:name="_Toc191284558"/>
      <w:r>
        <w:rPr>
          <w:rFonts w:ascii="Tahoma" w:hAnsi="Tahoma" w:cs="Tahoma"/>
          <w:b/>
          <w:sz w:val="20"/>
          <w:szCs w:val="20"/>
        </w:rPr>
        <w:t>4.16</w:t>
      </w:r>
      <w:r w:rsidR="004F04D0" w:rsidRPr="004F04D0">
        <w:rPr>
          <w:rFonts w:ascii="Tahoma" w:hAnsi="Tahoma" w:cs="Tahoma"/>
          <w:b/>
          <w:sz w:val="20"/>
          <w:szCs w:val="20"/>
        </w:rPr>
        <w:t>. БОНУСНАЯ ПРОГРАММА «</w:t>
      </w:r>
      <w:r w:rsidR="00EC1CEE" w:rsidRPr="00EC1CEE">
        <w:rPr>
          <w:rFonts w:ascii="Tahoma" w:hAnsi="Tahoma" w:cs="Tahoma"/>
          <w:b/>
          <w:sz w:val="20"/>
          <w:szCs w:val="20"/>
        </w:rPr>
        <w:t>КРЕДИТ - БОНУС</w:t>
      </w:r>
      <w:r w:rsidR="004F04D0" w:rsidRPr="004F04D0">
        <w:rPr>
          <w:rFonts w:ascii="Tahoma" w:hAnsi="Tahoma" w:cs="Tahoma"/>
          <w:b/>
          <w:sz w:val="20"/>
          <w:szCs w:val="20"/>
        </w:rPr>
        <w:t>»</w:t>
      </w:r>
      <w:r w:rsidR="0092521F">
        <w:rPr>
          <w:rFonts w:ascii="Tahoma" w:hAnsi="Tahoma" w:cs="Tahoma"/>
          <w:b/>
          <w:sz w:val="20"/>
          <w:szCs w:val="20"/>
        </w:rPr>
        <w:tab/>
        <w:t>460</w:t>
      </w:r>
      <w:bookmarkEnd w:id="111"/>
    </w:p>
    <w:p w14:paraId="2D4AA593" w14:textId="089561EC" w:rsidR="004E30AD" w:rsidRPr="00ED3AA8" w:rsidRDefault="004E30AD" w:rsidP="004E30AD">
      <w:pPr>
        <w:tabs>
          <w:tab w:val="left" w:pos="9639"/>
        </w:tabs>
        <w:outlineLvl w:val="0"/>
        <w:rPr>
          <w:rFonts w:ascii="Tahoma" w:hAnsi="Tahoma" w:cs="Tahoma"/>
          <w:b/>
          <w:sz w:val="20"/>
          <w:szCs w:val="20"/>
        </w:rPr>
      </w:pPr>
      <w:bookmarkStart w:id="112" w:name="_Toc191284559"/>
      <w:r w:rsidRPr="00C6598F">
        <w:rPr>
          <w:rFonts w:ascii="Tahoma" w:hAnsi="Tahoma" w:cs="Tahoma"/>
          <w:b/>
          <w:sz w:val="20"/>
          <w:szCs w:val="20"/>
        </w:rPr>
        <w:t>5. Д</w:t>
      </w:r>
      <w:r>
        <w:rPr>
          <w:rFonts w:ascii="Tahoma" w:hAnsi="Tahoma" w:cs="Tahoma"/>
          <w:b/>
          <w:sz w:val="20"/>
          <w:szCs w:val="20"/>
        </w:rPr>
        <w:t>ИС</w:t>
      </w:r>
      <w:r w:rsidR="00AC33FB">
        <w:rPr>
          <w:rFonts w:ascii="Tahoma" w:hAnsi="Tahoma" w:cs="Tahoma"/>
          <w:b/>
          <w:sz w:val="20"/>
          <w:szCs w:val="20"/>
        </w:rPr>
        <w:t>Т</w:t>
      </w:r>
      <w:r w:rsidR="004526F8">
        <w:rPr>
          <w:rFonts w:ascii="Tahoma" w:hAnsi="Tahoma" w:cs="Tahoma"/>
          <w:b/>
          <w:sz w:val="20"/>
          <w:szCs w:val="20"/>
        </w:rPr>
        <w:t>АНЦИОННЫЕ БАНКОВСКИЕ СЕРВИСЫ</w:t>
      </w:r>
      <w:r w:rsidR="0092521F">
        <w:rPr>
          <w:rFonts w:ascii="Tahoma" w:hAnsi="Tahoma" w:cs="Tahoma"/>
          <w:b/>
          <w:sz w:val="20"/>
          <w:szCs w:val="20"/>
        </w:rPr>
        <w:tab/>
        <w:t>463</w:t>
      </w:r>
      <w:bookmarkEnd w:id="112"/>
    </w:p>
    <w:p w14:paraId="23BED6AA" w14:textId="7EFE897A" w:rsidR="004E30AD" w:rsidRPr="00ED3AA8" w:rsidRDefault="004E30AD" w:rsidP="004E30AD">
      <w:pPr>
        <w:tabs>
          <w:tab w:val="left" w:pos="9639"/>
        </w:tabs>
        <w:outlineLvl w:val="0"/>
        <w:rPr>
          <w:rFonts w:ascii="Tahoma" w:hAnsi="Tahoma" w:cs="Tahoma"/>
          <w:b/>
          <w:sz w:val="20"/>
          <w:szCs w:val="20"/>
        </w:rPr>
      </w:pPr>
      <w:bookmarkStart w:id="113" w:name="_Toc191284560"/>
      <w:r w:rsidRPr="00C6598F">
        <w:rPr>
          <w:rFonts w:ascii="Tahoma" w:hAnsi="Tahoma" w:cs="Tahoma"/>
          <w:b/>
          <w:sz w:val="20"/>
          <w:szCs w:val="20"/>
        </w:rPr>
        <w:t>5.</w:t>
      </w:r>
      <w:r w:rsidR="00853755">
        <w:rPr>
          <w:rFonts w:ascii="Tahoma" w:hAnsi="Tahoma" w:cs="Tahoma"/>
          <w:b/>
          <w:sz w:val="20"/>
          <w:szCs w:val="20"/>
        </w:rPr>
        <w:t xml:space="preserve">1. УСЛУГА </w:t>
      </w:r>
      <w:r w:rsidR="00C720A8">
        <w:rPr>
          <w:rFonts w:ascii="Tahoma" w:hAnsi="Tahoma" w:cs="Tahoma"/>
          <w:b/>
          <w:sz w:val="20"/>
          <w:szCs w:val="20"/>
        </w:rPr>
        <w:t>СМ</w:t>
      </w:r>
      <w:r w:rsidR="0092521F">
        <w:rPr>
          <w:rFonts w:ascii="Tahoma" w:hAnsi="Tahoma" w:cs="Tahoma"/>
          <w:b/>
          <w:sz w:val="20"/>
          <w:szCs w:val="20"/>
        </w:rPr>
        <w:t>С-ИНФОРМИРОВАНИЕ</w:t>
      </w:r>
      <w:r w:rsidR="0092521F">
        <w:rPr>
          <w:rFonts w:ascii="Tahoma" w:hAnsi="Tahoma" w:cs="Tahoma"/>
          <w:b/>
          <w:sz w:val="20"/>
          <w:szCs w:val="20"/>
        </w:rPr>
        <w:tab/>
        <w:t>463</w:t>
      </w:r>
      <w:bookmarkEnd w:id="113"/>
    </w:p>
    <w:p w14:paraId="6B3DFE90" w14:textId="2472638D" w:rsidR="004E30AD" w:rsidRPr="00ED3AA8" w:rsidRDefault="004E30AD" w:rsidP="004E30AD">
      <w:pPr>
        <w:tabs>
          <w:tab w:val="left" w:pos="9639"/>
        </w:tabs>
        <w:outlineLvl w:val="0"/>
        <w:rPr>
          <w:rFonts w:ascii="Tahoma" w:hAnsi="Tahoma" w:cs="Tahoma"/>
          <w:b/>
          <w:sz w:val="20"/>
          <w:szCs w:val="20"/>
        </w:rPr>
      </w:pPr>
      <w:bookmarkStart w:id="114" w:name="_Toc191284561"/>
      <w:r w:rsidRPr="00C6598F">
        <w:rPr>
          <w:rFonts w:ascii="Tahoma" w:hAnsi="Tahoma" w:cs="Tahoma"/>
          <w:b/>
          <w:sz w:val="20"/>
          <w:szCs w:val="20"/>
        </w:rPr>
        <w:t>5.2. СИСТЕМА ДИСТАНЦИОННОГО БАНКОВСКОГО ОБСЛУЖИВ</w:t>
      </w:r>
      <w:r>
        <w:rPr>
          <w:rFonts w:ascii="Tahoma" w:hAnsi="Tahoma" w:cs="Tahoma"/>
          <w:b/>
          <w:sz w:val="20"/>
          <w:szCs w:val="20"/>
        </w:rPr>
        <w:t>АНИ</w:t>
      </w:r>
      <w:r w:rsidR="00F11CBA">
        <w:rPr>
          <w:rFonts w:ascii="Tahoma" w:hAnsi="Tahoma" w:cs="Tahoma"/>
          <w:b/>
          <w:sz w:val="20"/>
          <w:szCs w:val="20"/>
        </w:rPr>
        <w:t>Я «АТБ-ОНЛАЙН»/ «АТБ-МОБАЙЛ»</w:t>
      </w:r>
      <w:r w:rsidR="00F11CBA">
        <w:rPr>
          <w:rFonts w:ascii="Tahoma" w:hAnsi="Tahoma" w:cs="Tahoma"/>
          <w:b/>
          <w:sz w:val="20"/>
          <w:szCs w:val="20"/>
        </w:rPr>
        <w:tab/>
      </w:r>
      <w:r w:rsidR="0092521F">
        <w:rPr>
          <w:rFonts w:ascii="Tahoma" w:hAnsi="Tahoma" w:cs="Tahoma"/>
          <w:b/>
          <w:sz w:val="20"/>
          <w:szCs w:val="20"/>
        </w:rPr>
        <w:t>464</w:t>
      </w:r>
      <w:bookmarkEnd w:id="114"/>
    </w:p>
    <w:p w14:paraId="445BCD1A" w14:textId="1FAB563B" w:rsidR="004E30AD" w:rsidRPr="00ED3AA8" w:rsidRDefault="00914F38" w:rsidP="004E30AD">
      <w:pPr>
        <w:tabs>
          <w:tab w:val="left" w:pos="9639"/>
        </w:tabs>
        <w:outlineLvl w:val="0"/>
        <w:rPr>
          <w:rFonts w:ascii="Tahoma" w:hAnsi="Tahoma" w:cs="Tahoma"/>
          <w:b/>
          <w:sz w:val="20"/>
          <w:szCs w:val="20"/>
        </w:rPr>
      </w:pPr>
      <w:bookmarkStart w:id="115" w:name="_Toc191284562"/>
      <w:r>
        <w:rPr>
          <w:rFonts w:ascii="Tahoma" w:hAnsi="Tahoma" w:cs="Tahoma"/>
          <w:b/>
          <w:sz w:val="20"/>
          <w:szCs w:val="20"/>
        </w:rPr>
        <w:t>5.3 ЛИМИТ</w:t>
      </w:r>
      <w:r w:rsidR="0092521F">
        <w:rPr>
          <w:rFonts w:ascii="Tahoma" w:hAnsi="Tahoma" w:cs="Tahoma"/>
          <w:b/>
          <w:sz w:val="20"/>
          <w:szCs w:val="20"/>
        </w:rPr>
        <w:t>Ы В ДБО</w:t>
      </w:r>
      <w:r w:rsidR="0092521F">
        <w:rPr>
          <w:rFonts w:ascii="Tahoma" w:hAnsi="Tahoma" w:cs="Tahoma"/>
          <w:b/>
          <w:sz w:val="20"/>
          <w:szCs w:val="20"/>
        </w:rPr>
        <w:tab/>
        <w:t>467</w:t>
      </w:r>
      <w:bookmarkEnd w:id="115"/>
    </w:p>
    <w:p w14:paraId="53868816" w14:textId="25DA515D" w:rsidR="004E30AD" w:rsidRPr="00ED3AA8" w:rsidRDefault="004E30AD" w:rsidP="004E30AD">
      <w:pPr>
        <w:tabs>
          <w:tab w:val="left" w:pos="9639"/>
        </w:tabs>
        <w:outlineLvl w:val="0"/>
        <w:rPr>
          <w:rFonts w:ascii="Tahoma" w:hAnsi="Tahoma" w:cs="Tahoma"/>
          <w:b/>
          <w:sz w:val="20"/>
          <w:szCs w:val="20"/>
        </w:rPr>
      </w:pPr>
      <w:bookmarkStart w:id="116" w:name="_Toc191284563"/>
      <w:r w:rsidRPr="00C6598F">
        <w:rPr>
          <w:rFonts w:ascii="Tahoma" w:hAnsi="Tahoma" w:cs="Tahoma"/>
          <w:b/>
          <w:sz w:val="20"/>
          <w:szCs w:val="20"/>
        </w:rPr>
        <w:t>6</w:t>
      </w:r>
      <w:r w:rsidR="00D72686">
        <w:rPr>
          <w:rFonts w:ascii="Tahoma" w:hAnsi="Tahoma" w:cs="Tahoma"/>
          <w:b/>
          <w:sz w:val="20"/>
          <w:szCs w:val="20"/>
        </w:rPr>
        <w:t xml:space="preserve">. ТЕРМИНАЛЫ </w:t>
      </w:r>
      <w:r w:rsidR="008E0614">
        <w:rPr>
          <w:rFonts w:ascii="Tahoma" w:hAnsi="Tahoma" w:cs="Tahoma"/>
          <w:b/>
          <w:sz w:val="20"/>
          <w:szCs w:val="20"/>
        </w:rPr>
        <w:t>САМООБСЛУЖИВАНИЯ</w:t>
      </w:r>
      <w:r w:rsidR="008E0614">
        <w:rPr>
          <w:rFonts w:ascii="Tahoma" w:hAnsi="Tahoma" w:cs="Tahoma"/>
          <w:b/>
          <w:sz w:val="20"/>
          <w:szCs w:val="20"/>
        </w:rPr>
        <w:tab/>
        <w:t>469</w:t>
      </w:r>
      <w:bookmarkEnd w:id="116"/>
    </w:p>
    <w:p w14:paraId="6B1F8BE1" w14:textId="17D28870" w:rsidR="004E30AD" w:rsidRPr="00ED3AA8" w:rsidRDefault="004E30AD" w:rsidP="004E30AD">
      <w:pPr>
        <w:tabs>
          <w:tab w:val="left" w:pos="9639"/>
        </w:tabs>
        <w:outlineLvl w:val="0"/>
        <w:rPr>
          <w:rFonts w:ascii="Tahoma" w:hAnsi="Tahoma" w:cs="Tahoma"/>
          <w:b/>
          <w:sz w:val="20"/>
          <w:szCs w:val="20"/>
        </w:rPr>
      </w:pPr>
      <w:bookmarkStart w:id="117" w:name="_Toc191284564"/>
      <w:r w:rsidRPr="00C6598F">
        <w:rPr>
          <w:rFonts w:ascii="Tahoma" w:hAnsi="Tahoma" w:cs="Tahoma"/>
          <w:b/>
          <w:sz w:val="20"/>
          <w:szCs w:val="20"/>
        </w:rPr>
        <w:t xml:space="preserve">6.1. ОБСЛУЖИВАНИЕ КЛИЕНТОВ В УСТРОЙСТВАХ САМООБСЛУЖИВАНИЯ  (ТСО) АТБ </w:t>
      </w:r>
      <w:r w:rsidR="008E0614">
        <w:rPr>
          <w:rFonts w:ascii="Tahoma" w:hAnsi="Tahoma" w:cs="Tahoma"/>
          <w:b/>
          <w:sz w:val="20"/>
          <w:szCs w:val="20"/>
        </w:rPr>
        <w:t>(АО)</w:t>
      </w:r>
      <w:r w:rsidR="008E0614">
        <w:rPr>
          <w:rFonts w:ascii="Tahoma" w:hAnsi="Tahoma" w:cs="Tahoma"/>
          <w:b/>
          <w:sz w:val="20"/>
          <w:szCs w:val="20"/>
        </w:rPr>
        <w:tab/>
        <w:t>469</w:t>
      </w:r>
      <w:bookmarkEnd w:id="117"/>
    </w:p>
    <w:p w14:paraId="3446396A" w14:textId="5BDA6310" w:rsidR="004E30AD" w:rsidRPr="00ED3AA8" w:rsidRDefault="004E30AD" w:rsidP="004E30AD">
      <w:pPr>
        <w:tabs>
          <w:tab w:val="left" w:pos="9639"/>
        </w:tabs>
        <w:outlineLvl w:val="0"/>
        <w:rPr>
          <w:rFonts w:ascii="Tahoma" w:hAnsi="Tahoma" w:cs="Tahoma"/>
          <w:b/>
          <w:sz w:val="20"/>
          <w:szCs w:val="20"/>
        </w:rPr>
      </w:pPr>
      <w:bookmarkStart w:id="118" w:name="_Toc191284565"/>
      <w:r>
        <w:rPr>
          <w:rFonts w:ascii="Tahoma" w:hAnsi="Tahoma" w:cs="Tahoma"/>
          <w:b/>
          <w:sz w:val="20"/>
          <w:szCs w:val="20"/>
        </w:rPr>
        <w:t xml:space="preserve">7. </w:t>
      </w:r>
      <w:r w:rsidRPr="00C6598F">
        <w:rPr>
          <w:rFonts w:ascii="Tahoma" w:hAnsi="Tahoma" w:cs="Tahoma"/>
          <w:b/>
          <w:sz w:val="20"/>
          <w:szCs w:val="20"/>
        </w:rPr>
        <w:t>РАСЧЕТНО-КАССОВОЕ ОБСЛУЖИВАНИЕ ЮРИДИЧЕСКИХ ЛИЦ И ИНДИВИДУАЛЬНЫХ ПРЕДПРИНИМАТЕЛЕЙ В ВАЛЮТЕ РФ И ИНОСТРАННОЙ</w:t>
      </w:r>
      <w:r w:rsidR="00AA4E19">
        <w:rPr>
          <w:rFonts w:ascii="Tahoma" w:hAnsi="Tahoma" w:cs="Tahoma"/>
          <w:b/>
          <w:sz w:val="20"/>
          <w:szCs w:val="20"/>
        </w:rPr>
        <w:t xml:space="preserve"> ВАЛЮТЕ ДЛЯ АМУРСКОЙ ОБ</w:t>
      </w:r>
      <w:r w:rsidR="008E0614">
        <w:rPr>
          <w:rFonts w:ascii="Tahoma" w:hAnsi="Tahoma" w:cs="Tahoma"/>
          <w:b/>
          <w:sz w:val="20"/>
          <w:szCs w:val="20"/>
        </w:rPr>
        <w:t>ЛАСТИ</w:t>
      </w:r>
      <w:r w:rsidR="008E0614">
        <w:rPr>
          <w:rFonts w:ascii="Tahoma" w:hAnsi="Tahoma" w:cs="Tahoma"/>
          <w:b/>
          <w:sz w:val="20"/>
          <w:szCs w:val="20"/>
        </w:rPr>
        <w:tab/>
        <w:t>469</w:t>
      </w:r>
      <w:bookmarkEnd w:id="118"/>
    </w:p>
    <w:p w14:paraId="051568F5" w14:textId="6EC496B2" w:rsidR="004E30AD" w:rsidRPr="00ED3AA8" w:rsidRDefault="004E30AD" w:rsidP="004E30AD">
      <w:pPr>
        <w:tabs>
          <w:tab w:val="left" w:pos="9639"/>
        </w:tabs>
        <w:outlineLvl w:val="0"/>
        <w:rPr>
          <w:rFonts w:ascii="Tahoma" w:hAnsi="Tahoma" w:cs="Tahoma"/>
          <w:b/>
          <w:sz w:val="20"/>
          <w:szCs w:val="20"/>
        </w:rPr>
      </w:pPr>
      <w:bookmarkStart w:id="119" w:name="_Toc191284566"/>
      <w:r>
        <w:rPr>
          <w:rFonts w:ascii="Tahoma" w:hAnsi="Tahoma" w:cs="Tahoma"/>
          <w:b/>
          <w:sz w:val="20"/>
          <w:szCs w:val="20"/>
        </w:rPr>
        <w:t xml:space="preserve">8. </w:t>
      </w:r>
      <w:r w:rsidRPr="00C6598F">
        <w:rPr>
          <w:rFonts w:ascii="Tahoma" w:hAnsi="Tahoma" w:cs="Tahoma"/>
          <w:b/>
          <w:sz w:val="20"/>
          <w:szCs w:val="20"/>
        </w:rPr>
        <w:t>РАСЧЕТНО-КАССОВОЕ ОБСЛУЖИВАНИЕ ЮРИДИЧЕСКИХ ЛИЦ И ИНДИВИДУАЛЬНЫХ ПРЕДПРИНИМАТЕЛЕЙ В ВАЛЮТЕ РФ И ИНОСТРА</w:t>
      </w:r>
      <w:r w:rsidR="00A66D13">
        <w:rPr>
          <w:rFonts w:ascii="Tahoma" w:hAnsi="Tahoma" w:cs="Tahoma"/>
          <w:b/>
          <w:sz w:val="20"/>
          <w:szCs w:val="20"/>
        </w:rPr>
        <w:t>ННОЙ ВАЛЮТЕ ДЛЯ ФИЛИАЛО</w:t>
      </w:r>
      <w:r w:rsidR="00451737">
        <w:rPr>
          <w:rFonts w:ascii="Tahoma" w:hAnsi="Tahoma" w:cs="Tahoma"/>
          <w:b/>
          <w:sz w:val="20"/>
          <w:szCs w:val="20"/>
        </w:rPr>
        <w:t>В/ О</w:t>
      </w:r>
      <w:r w:rsidR="008E0614">
        <w:rPr>
          <w:rFonts w:ascii="Tahoma" w:hAnsi="Tahoma" w:cs="Tahoma"/>
          <w:b/>
          <w:sz w:val="20"/>
          <w:szCs w:val="20"/>
        </w:rPr>
        <w:t>О</w:t>
      </w:r>
      <w:r w:rsidR="008E0614">
        <w:rPr>
          <w:rFonts w:ascii="Tahoma" w:hAnsi="Tahoma" w:cs="Tahoma"/>
          <w:b/>
          <w:sz w:val="20"/>
          <w:szCs w:val="20"/>
        </w:rPr>
        <w:tab/>
        <w:t>470</w:t>
      </w:r>
      <w:bookmarkEnd w:id="119"/>
    </w:p>
    <w:p w14:paraId="2168437E" w14:textId="2931367A" w:rsidR="004E30AD" w:rsidRPr="00ED3AA8" w:rsidRDefault="004E30AD" w:rsidP="004E30AD">
      <w:pPr>
        <w:tabs>
          <w:tab w:val="left" w:pos="9639"/>
        </w:tabs>
        <w:outlineLvl w:val="0"/>
        <w:rPr>
          <w:rFonts w:ascii="Tahoma" w:hAnsi="Tahoma" w:cs="Tahoma"/>
          <w:b/>
          <w:sz w:val="20"/>
          <w:szCs w:val="20"/>
        </w:rPr>
      </w:pPr>
      <w:bookmarkStart w:id="120" w:name="_Toc191284567"/>
      <w:r>
        <w:rPr>
          <w:rFonts w:ascii="Tahoma" w:hAnsi="Tahoma" w:cs="Tahoma"/>
          <w:b/>
          <w:sz w:val="20"/>
          <w:szCs w:val="20"/>
        </w:rPr>
        <w:t xml:space="preserve">9. </w:t>
      </w:r>
      <w:r w:rsidRPr="00C6598F">
        <w:rPr>
          <w:rFonts w:ascii="Tahoma" w:hAnsi="Tahoma" w:cs="Tahoma"/>
          <w:b/>
          <w:sz w:val="20"/>
          <w:szCs w:val="20"/>
        </w:rPr>
        <w:t xml:space="preserve">ТАРИФЫ ПО КРЕДИТОВАНИЮ ЮРИДИЧЕСКИХ ЛИЦ И </w:t>
      </w:r>
      <w:r>
        <w:rPr>
          <w:rFonts w:ascii="Tahoma" w:hAnsi="Tahoma" w:cs="Tahoma"/>
          <w:b/>
          <w:sz w:val="20"/>
          <w:szCs w:val="20"/>
        </w:rPr>
        <w:t xml:space="preserve">ИНДИВИДУАЛЬНЫХ ПРЕДПРИНИМАТЕЛЕй. </w:t>
      </w:r>
      <w:r w:rsidRPr="00F80A86">
        <w:rPr>
          <w:rFonts w:ascii="Tahoma" w:hAnsi="Tahoma" w:cs="Tahoma"/>
          <w:b/>
          <w:sz w:val="20"/>
          <w:szCs w:val="20"/>
        </w:rPr>
        <w:t>КОМИССИ</w:t>
      </w:r>
      <w:r>
        <w:rPr>
          <w:rFonts w:ascii="Tahoma" w:hAnsi="Tahoma" w:cs="Tahoma"/>
          <w:b/>
          <w:sz w:val="20"/>
          <w:szCs w:val="20"/>
        </w:rPr>
        <w:t>Я ЗА ИЗМЕНЕНИЕ УСЛОВИЙ ДОГОВОРА</w:t>
      </w:r>
      <w:r w:rsidRPr="00C6598F">
        <w:rPr>
          <w:rFonts w:ascii="Tahoma" w:hAnsi="Tahoma" w:cs="Tahoma"/>
          <w:b/>
          <w:sz w:val="20"/>
          <w:szCs w:val="20"/>
        </w:rPr>
        <w:tab/>
      </w:r>
      <w:r w:rsidR="008E0614">
        <w:rPr>
          <w:rFonts w:ascii="Tahoma" w:hAnsi="Tahoma" w:cs="Tahoma"/>
          <w:b/>
          <w:sz w:val="20"/>
          <w:szCs w:val="20"/>
        </w:rPr>
        <w:t>470</w:t>
      </w:r>
      <w:bookmarkEnd w:id="120"/>
    </w:p>
    <w:p w14:paraId="37F1ED00" w14:textId="55138D61" w:rsidR="004E30AD" w:rsidRPr="00ED3AA8" w:rsidRDefault="004E30AD" w:rsidP="004E30AD">
      <w:pPr>
        <w:tabs>
          <w:tab w:val="left" w:pos="9639"/>
        </w:tabs>
        <w:outlineLvl w:val="0"/>
        <w:rPr>
          <w:rFonts w:ascii="Tahoma" w:hAnsi="Tahoma" w:cs="Tahoma"/>
          <w:b/>
          <w:sz w:val="20"/>
          <w:szCs w:val="20"/>
        </w:rPr>
      </w:pPr>
      <w:bookmarkStart w:id="121" w:name="_Toc191284568"/>
      <w:r>
        <w:rPr>
          <w:rFonts w:ascii="Tahoma" w:hAnsi="Tahoma" w:cs="Tahoma"/>
          <w:b/>
          <w:sz w:val="20"/>
          <w:szCs w:val="20"/>
        </w:rPr>
        <w:lastRenderedPageBreak/>
        <w:t>10</w:t>
      </w:r>
      <w:r w:rsidR="008E0614">
        <w:rPr>
          <w:rFonts w:ascii="Tahoma" w:hAnsi="Tahoma" w:cs="Tahoma"/>
          <w:b/>
          <w:sz w:val="20"/>
          <w:szCs w:val="20"/>
        </w:rPr>
        <w:t>. ЭЛЕКТРОННОЕ ВЗАИМОДЕЙСТВИЕ</w:t>
      </w:r>
      <w:r w:rsidR="008E0614">
        <w:rPr>
          <w:rFonts w:ascii="Tahoma" w:hAnsi="Tahoma" w:cs="Tahoma"/>
          <w:b/>
          <w:sz w:val="20"/>
          <w:szCs w:val="20"/>
        </w:rPr>
        <w:tab/>
        <w:t>470</w:t>
      </w:r>
      <w:bookmarkEnd w:id="121"/>
    </w:p>
    <w:p w14:paraId="4CECB7B1" w14:textId="77777777" w:rsidR="00ED147F" w:rsidRPr="00ED3AA8" w:rsidRDefault="00470B5F" w:rsidP="00470B5F">
      <w:pPr>
        <w:outlineLvl w:val="0"/>
        <w:rPr>
          <w:rFonts w:ascii="Tahoma" w:hAnsi="Tahoma" w:cs="Tahoma"/>
          <w:sz w:val="22"/>
          <w:szCs w:val="22"/>
        </w:rPr>
      </w:pPr>
      <w:r w:rsidRPr="00ED3AA8">
        <w:rPr>
          <w:rFonts w:ascii="Tahoma" w:hAnsi="Tahoma" w:cs="Tahoma"/>
          <w:sz w:val="22"/>
          <w:szCs w:val="22"/>
        </w:rPr>
        <w:br w:type="page"/>
      </w:r>
    </w:p>
    <w:sdt>
      <w:sdtPr>
        <w:rPr>
          <w:rFonts w:ascii="Times New Roman" w:hAnsi="Times New Roman"/>
          <w:b w:val="0"/>
          <w:bCs w:val="0"/>
          <w:kern w:val="0"/>
          <w:sz w:val="24"/>
          <w:szCs w:val="24"/>
        </w:rPr>
        <w:id w:val="-1198385207"/>
        <w:docPartObj>
          <w:docPartGallery w:val="Table of Contents"/>
          <w:docPartUnique/>
        </w:docPartObj>
      </w:sdtPr>
      <w:sdtContent>
        <w:p w14:paraId="304FD9A4" w14:textId="64C7B3CC" w:rsidR="00ED147F" w:rsidRDefault="00ED147F">
          <w:pPr>
            <w:pStyle w:val="afff9"/>
          </w:pPr>
          <w:r>
            <w:t>Оглавление</w:t>
          </w:r>
        </w:p>
        <w:p w14:paraId="32B6A221" w14:textId="35F9CA50" w:rsidR="00ED147F" w:rsidRDefault="00ED147F">
          <w:pPr>
            <w:tabs>
              <w:tab w:val="right" w:leader="dot" w:pos="10055"/>
            </w:tabs>
            <w:rPr>
              <w:rFonts w:asciiTheme="minorHAnsi" w:eastAsiaTheme="minorEastAsia" w:hAnsiTheme="minorHAnsi" w:cstheme="minorBidi"/>
              <w:b/>
              <w:bCs/>
              <w:caps/>
              <w:noProof/>
              <w:kern w:val="2"/>
              <w14:ligatures w14:val="standardContextual"/>
            </w:rPr>
          </w:pPr>
          <w:r>
            <w:fldChar w:fldCharType="begin"/>
          </w:r>
          <w:r>
            <w:instrText xml:space="preserve"> TOC \o "1-3" \h \z \u </w:instrText>
          </w:r>
          <w:r>
            <w:fldChar w:fldCharType="separate"/>
          </w:r>
          <w:hyperlink w:anchor="_Toc191284447" w:history="1">
            <w:r w:rsidRPr="00517C62">
              <w:rPr>
                <w:rFonts w:ascii="Tahoma" w:hAnsi="Tahoma" w:cs="Tahoma"/>
                <w:noProof/>
                <w:sz w:val="22"/>
                <w:szCs w:val="22"/>
              </w:rPr>
              <w:drawing>
                <wp:inline distT="0" distB="0" distL="0" distR="0" wp14:anchorId="248B09A3" wp14:editId="04FD6818">
                  <wp:extent cx="6391275" cy="9033277"/>
                  <wp:effectExtent l="0" t="0" r="0" b="0"/>
                  <wp:docPr id="453474060" name="Рисунок 453474060" descr="C:\Users\Volkov_sa\Desktop\книга тарифов-2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olkov_sa\Desktop\книга тарифов-202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91275" cy="9033277"/>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_Toc191284447 \h </w:instrText>
            </w:r>
            <w:r>
              <w:rPr>
                <w:noProof/>
                <w:webHidden/>
              </w:rPr>
            </w:r>
            <w:r>
              <w:rPr>
                <w:noProof/>
                <w:webHidden/>
              </w:rPr>
              <w:fldChar w:fldCharType="separate"/>
            </w:r>
            <w:r>
              <w:rPr>
                <w:noProof/>
                <w:webHidden/>
              </w:rPr>
              <w:t>1</w:t>
            </w:r>
            <w:r>
              <w:rPr>
                <w:noProof/>
                <w:webHidden/>
              </w:rPr>
              <w:fldChar w:fldCharType="end"/>
            </w:r>
          </w:hyperlink>
        </w:p>
        <w:p w14:paraId="23768BE7" w14:textId="202FF626" w:rsidR="00ED147F" w:rsidRDefault="00ED147F">
          <w:pPr>
            <w:tabs>
              <w:tab w:val="right" w:leader="dot" w:pos="10055"/>
            </w:tabs>
            <w:rPr>
              <w:rFonts w:asciiTheme="minorHAnsi" w:eastAsiaTheme="minorEastAsia" w:hAnsiTheme="minorHAnsi" w:cstheme="minorBidi"/>
              <w:b/>
              <w:bCs/>
              <w:caps/>
              <w:noProof/>
              <w:kern w:val="2"/>
              <w14:ligatures w14:val="standardContextual"/>
            </w:rPr>
          </w:pPr>
          <w:hyperlink w:anchor="_Toc191284448" w:history="1">
            <w:r w:rsidRPr="00517C62">
              <w:rPr>
                <w:rFonts w:ascii="Tahoma" w:hAnsi="Tahoma" w:cs="Tahoma"/>
                <w:b/>
                <w:noProof/>
              </w:rPr>
              <w:t>СОДЕРЖАНИЕ</w:t>
            </w:r>
            <w:r>
              <w:rPr>
                <w:noProof/>
                <w:webHidden/>
              </w:rPr>
              <w:tab/>
            </w:r>
            <w:r>
              <w:rPr>
                <w:noProof/>
                <w:webHidden/>
              </w:rPr>
              <w:fldChar w:fldCharType="begin"/>
            </w:r>
            <w:r>
              <w:rPr>
                <w:noProof/>
                <w:webHidden/>
              </w:rPr>
              <w:instrText xml:space="preserve"> PAGEREF _Toc191284448 \h </w:instrText>
            </w:r>
            <w:r>
              <w:rPr>
                <w:noProof/>
                <w:webHidden/>
              </w:rPr>
            </w:r>
            <w:r>
              <w:rPr>
                <w:noProof/>
                <w:webHidden/>
              </w:rPr>
              <w:fldChar w:fldCharType="separate"/>
            </w:r>
            <w:r>
              <w:rPr>
                <w:noProof/>
                <w:webHidden/>
              </w:rPr>
              <w:t>2</w:t>
            </w:r>
            <w:r>
              <w:rPr>
                <w:noProof/>
                <w:webHidden/>
              </w:rPr>
              <w:fldChar w:fldCharType="end"/>
            </w:r>
          </w:hyperlink>
        </w:p>
        <w:p w14:paraId="15E1F470" w14:textId="67D6071D" w:rsidR="00ED147F" w:rsidRDefault="00ED147F">
          <w:pPr>
            <w:tabs>
              <w:tab w:val="left" w:pos="6754"/>
              <w:tab w:val="right" w:leader="dot" w:pos="10055"/>
            </w:tabs>
            <w:rPr>
              <w:rFonts w:asciiTheme="minorHAnsi" w:eastAsiaTheme="minorEastAsia" w:hAnsiTheme="minorHAnsi" w:cstheme="minorBidi"/>
              <w:b/>
              <w:bCs/>
              <w:caps/>
              <w:noProof/>
              <w:kern w:val="2"/>
              <w14:ligatures w14:val="standardContextual"/>
            </w:rPr>
          </w:pPr>
          <w:hyperlink w:anchor="_Toc191284449" w:history="1">
            <w:r w:rsidRPr="00517C62">
              <w:rPr>
                <w:rFonts w:ascii="Tahoma" w:hAnsi="Tahoma" w:cs="Tahoma"/>
                <w:b/>
                <w:noProof/>
              </w:rPr>
              <w:t>1.РАСЧЕТНО – КАССОВОЕ ОБСЛУЖИВАНИЕ ФИЗИЧЕСКИХ ЛИЦ</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5</w:t>
            </w:r>
            <w:r>
              <w:rPr>
                <w:noProof/>
                <w:webHidden/>
              </w:rPr>
              <w:tab/>
            </w:r>
            <w:r>
              <w:rPr>
                <w:noProof/>
                <w:webHidden/>
              </w:rPr>
              <w:fldChar w:fldCharType="begin"/>
            </w:r>
            <w:r>
              <w:rPr>
                <w:noProof/>
                <w:webHidden/>
              </w:rPr>
              <w:instrText xml:space="preserve"> PAGEREF _Toc191284449 \h </w:instrText>
            </w:r>
            <w:r>
              <w:rPr>
                <w:noProof/>
                <w:webHidden/>
              </w:rPr>
            </w:r>
            <w:r>
              <w:rPr>
                <w:noProof/>
                <w:webHidden/>
              </w:rPr>
              <w:fldChar w:fldCharType="separate"/>
            </w:r>
            <w:r>
              <w:rPr>
                <w:noProof/>
                <w:webHidden/>
              </w:rPr>
              <w:t>2</w:t>
            </w:r>
            <w:r>
              <w:rPr>
                <w:noProof/>
                <w:webHidden/>
              </w:rPr>
              <w:fldChar w:fldCharType="end"/>
            </w:r>
          </w:hyperlink>
        </w:p>
        <w:p w14:paraId="186B2629" w14:textId="44E5308B" w:rsidR="00ED147F" w:rsidRDefault="00ED147F">
          <w:pPr>
            <w:tabs>
              <w:tab w:val="left" w:pos="9175"/>
              <w:tab w:val="right" w:leader="dot" w:pos="10055"/>
            </w:tabs>
            <w:rPr>
              <w:rFonts w:asciiTheme="minorHAnsi" w:eastAsiaTheme="minorEastAsia" w:hAnsiTheme="minorHAnsi" w:cstheme="minorBidi"/>
              <w:b/>
              <w:bCs/>
              <w:caps/>
              <w:noProof/>
              <w:kern w:val="2"/>
              <w14:ligatures w14:val="standardContextual"/>
            </w:rPr>
          </w:pPr>
          <w:hyperlink w:anchor="_Toc191284450" w:history="1">
            <w:r w:rsidRPr="00517C62">
              <w:rPr>
                <w:rFonts w:ascii="Tahoma" w:hAnsi="Tahoma" w:cs="Tahoma"/>
                <w:b/>
                <w:noProof/>
              </w:rPr>
              <w:t>1.1.ТАРИФЫ ПО РАСЧЕТНО-КАССОВОМУ ОБСЛУЖИВАНИЮ КЛИЕНТОВ-ФИЗИЧЕСКИХ ЛИЦ В РУБЛЯХ И ИНОСТРАННОЙ ВАЛЮТЕ</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5</w:t>
            </w:r>
            <w:r>
              <w:rPr>
                <w:noProof/>
                <w:webHidden/>
              </w:rPr>
              <w:tab/>
            </w:r>
            <w:r>
              <w:rPr>
                <w:noProof/>
                <w:webHidden/>
              </w:rPr>
              <w:fldChar w:fldCharType="begin"/>
            </w:r>
            <w:r>
              <w:rPr>
                <w:noProof/>
                <w:webHidden/>
              </w:rPr>
              <w:instrText xml:space="preserve"> PAGEREF _Toc191284450 \h </w:instrText>
            </w:r>
            <w:r>
              <w:rPr>
                <w:noProof/>
                <w:webHidden/>
              </w:rPr>
            </w:r>
            <w:r>
              <w:rPr>
                <w:noProof/>
                <w:webHidden/>
              </w:rPr>
              <w:fldChar w:fldCharType="separate"/>
            </w:r>
            <w:r>
              <w:rPr>
                <w:noProof/>
                <w:webHidden/>
              </w:rPr>
              <w:t>2</w:t>
            </w:r>
            <w:r>
              <w:rPr>
                <w:noProof/>
                <w:webHidden/>
              </w:rPr>
              <w:fldChar w:fldCharType="end"/>
            </w:r>
          </w:hyperlink>
        </w:p>
        <w:p w14:paraId="61A3B295" w14:textId="1047F50B" w:rsidR="00ED147F" w:rsidRDefault="00ED147F">
          <w:pPr>
            <w:tabs>
              <w:tab w:val="left" w:pos="9089"/>
              <w:tab w:val="right" w:leader="dot" w:pos="10055"/>
            </w:tabs>
            <w:rPr>
              <w:rFonts w:asciiTheme="minorHAnsi" w:eastAsiaTheme="minorEastAsia" w:hAnsiTheme="minorHAnsi" w:cstheme="minorBidi"/>
              <w:b/>
              <w:bCs/>
              <w:caps/>
              <w:noProof/>
              <w:kern w:val="2"/>
              <w14:ligatures w14:val="standardContextual"/>
            </w:rPr>
          </w:pPr>
          <w:hyperlink w:anchor="_Toc191284451" w:history="1">
            <w:r w:rsidRPr="00517C62">
              <w:rPr>
                <w:rFonts w:ascii="Tahoma" w:hAnsi="Tahoma" w:cs="Tahoma"/>
                <w:b/>
                <w:noProof/>
              </w:rPr>
              <w:t>1.2. ПРЕДОСТАВЛЕНИЕ В АРЕНДУ ИНДИВИДУАЛЬНЫХ СЕЙФОВ И СЕЙФОВЫХ ЯЧЕЕК ДЛЯ ХРАНЕНИЯ ДОКУМЕНТОВ И ЦЕННОСТЕЙ</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12</w:t>
            </w:r>
            <w:r>
              <w:rPr>
                <w:noProof/>
                <w:webHidden/>
              </w:rPr>
              <w:tab/>
            </w:r>
            <w:r>
              <w:rPr>
                <w:noProof/>
                <w:webHidden/>
              </w:rPr>
              <w:fldChar w:fldCharType="begin"/>
            </w:r>
            <w:r>
              <w:rPr>
                <w:noProof/>
                <w:webHidden/>
              </w:rPr>
              <w:instrText xml:space="preserve"> PAGEREF _Toc191284451 \h </w:instrText>
            </w:r>
            <w:r>
              <w:rPr>
                <w:noProof/>
                <w:webHidden/>
              </w:rPr>
            </w:r>
            <w:r>
              <w:rPr>
                <w:noProof/>
                <w:webHidden/>
              </w:rPr>
              <w:fldChar w:fldCharType="separate"/>
            </w:r>
            <w:r>
              <w:rPr>
                <w:noProof/>
                <w:webHidden/>
              </w:rPr>
              <w:t>2</w:t>
            </w:r>
            <w:r>
              <w:rPr>
                <w:noProof/>
                <w:webHidden/>
              </w:rPr>
              <w:fldChar w:fldCharType="end"/>
            </w:r>
          </w:hyperlink>
        </w:p>
        <w:p w14:paraId="6006E71A" w14:textId="421FBA52" w:rsidR="00ED147F" w:rsidRDefault="00ED147F">
          <w:pPr>
            <w:tabs>
              <w:tab w:val="left" w:pos="8190"/>
              <w:tab w:val="right" w:leader="dot" w:pos="10055"/>
            </w:tabs>
            <w:rPr>
              <w:rFonts w:asciiTheme="minorHAnsi" w:eastAsiaTheme="minorEastAsia" w:hAnsiTheme="minorHAnsi" w:cstheme="minorBidi"/>
              <w:b/>
              <w:bCs/>
              <w:caps/>
              <w:noProof/>
              <w:kern w:val="2"/>
              <w14:ligatures w14:val="standardContextual"/>
            </w:rPr>
          </w:pPr>
          <w:hyperlink w:anchor="_Toc191284452" w:history="1">
            <w:r w:rsidRPr="00517C62">
              <w:rPr>
                <w:rFonts w:ascii="Tahoma" w:hAnsi="Tahoma" w:cs="Tahoma"/>
                <w:b/>
                <w:noProof/>
              </w:rPr>
              <w:t>1.3 ТАРИФЫ РАСЧЕТНО-КАССОВОГО ОБСЛУЖИВАНИЯ ФИЗИЧЕСКИХ ЛИЦ И ИНДИВИДУАЛЬНЫХ ПРЕДПРИНИМАТЕЛЕЙ В ВАЛЮТЕ РФ В РАМКАХ ПРОГРАММ ИПОТЕЧНОГО КРЕДИТОВАНИЯ ПО СТАНДАРТАМ АО "КОММЕРЧЕСКИЙ БАНК ДЕЛЬТАКРЕДИТ"</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14</w:t>
            </w:r>
            <w:r>
              <w:rPr>
                <w:noProof/>
                <w:webHidden/>
              </w:rPr>
              <w:tab/>
            </w:r>
            <w:r>
              <w:rPr>
                <w:noProof/>
                <w:webHidden/>
              </w:rPr>
              <w:fldChar w:fldCharType="begin"/>
            </w:r>
            <w:r>
              <w:rPr>
                <w:noProof/>
                <w:webHidden/>
              </w:rPr>
              <w:instrText xml:space="preserve"> PAGEREF _Toc191284452 \h </w:instrText>
            </w:r>
            <w:r>
              <w:rPr>
                <w:noProof/>
                <w:webHidden/>
              </w:rPr>
            </w:r>
            <w:r>
              <w:rPr>
                <w:noProof/>
                <w:webHidden/>
              </w:rPr>
              <w:fldChar w:fldCharType="separate"/>
            </w:r>
            <w:r>
              <w:rPr>
                <w:noProof/>
                <w:webHidden/>
              </w:rPr>
              <w:t>2</w:t>
            </w:r>
            <w:r>
              <w:rPr>
                <w:noProof/>
                <w:webHidden/>
              </w:rPr>
              <w:fldChar w:fldCharType="end"/>
            </w:r>
          </w:hyperlink>
        </w:p>
        <w:p w14:paraId="03DCBCA5" w14:textId="4CB66785" w:rsidR="00ED147F" w:rsidRDefault="00ED147F">
          <w:pPr>
            <w:tabs>
              <w:tab w:val="left" w:pos="8566"/>
              <w:tab w:val="right" w:leader="dot" w:pos="10055"/>
            </w:tabs>
            <w:rPr>
              <w:rFonts w:asciiTheme="minorHAnsi" w:eastAsiaTheme="minorEastAsia" w:hAnsiTheme="minorHAnsi" w:cstheme="minorBidi"/>
              <w:b/>
              <w:bCs/>
              <w:caps/>
              <w:noProof/>
              <w:kern w:val="2"/>
              <w14:ligatures w14:val="standardContextual"/>
            </w:rPr>
          </w:pPr>
          <w:hyperlink w:anchor="_Toc191284453" w:history="1">
            <w:r w:rsidRPr="00517C62">
              <w:rPr>
                <w:rFonts w:ascii="Tahoma" w:hAnsi="Tahoma" w:cs="Tahoma"/>
                <w:b/>
                <w:noProof/>
              </w:rPr>
              <w:t>1.4. ТАРИФЫ РАСЧЕТНО-КАССОВОГО ОБСЛУЖИВАНИЯ ПО ТАРИФНОМУ ПЛАНУ «МАТЕРИНСКИЙ КАПИТАЛ»</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15</w:t>
            </w:r>
            <w:r>
              <w:rPr>
                <w:noProof/>
                <w:webHidden/>
              </w:rPr>
              <w:tab/>
            </w:r>
            <w:r>
              <w:rPr>
                <w:noProof/>
                <w:webHidden/>
              </w:rPr>
              <w:fldChar w:fldCharType="begin"/>
            </w:r>
            <w:r>
              <w:rPr>
                <w:noProof/>
                <w:webHidden/>
              </w:rPr>
              <w:instrText xml:space="preserve"> PAGEREF _Toc191284453 \h </w:instrText>
            </w:r>
            <w:r>
              <w:rPr>
                <w:noProof/>
                <w:webHidden/>
              </w:rPr>
            </w:r>
            <w:r>
              <w:rPr>
                <w:noProof/>
                <w:webHidden/>
              </w:rPr>
              <w:fldChar w:fldCharType="separate"/>
            </w:r>
            <w:r>
              <w:rPr>
                <w:noProof/>
                <w:webHidden/>
              </w:rPr>
              <w:t>2</w:t>
            </w:r>
            <w:r>
              <w:rPr>
                <w:noProof/>
                <w:webHidden/>
              </w:rPr>
              <w:fldChar w:fldCharType="end"/>
            </w:r>
          </w:hyperlink>
        </w:p>
        <w:p w14:paraId="463DC482" w14:textId="13C4C1FF" w:rsidR="00ED147F" w:rsidRDefault="00ED147F">
          <w:pPr>
            <w:tabs>
              <w:tab w:val="left" w:pos="7254"/>
              <w:tab w:val="right" w:leader="dot" w:pos="10055"/>
            </w:tabs>
            <w:rPr>
              <w:rFonts w:asciiTheme="minorHAnsi" w:eastAsiaTheme="minorEastAsia" w:hAnsiTheme="minorHAnsi" w:cstheme="minorBidi"/>
              <w:b/>
              <w:bCs/>
              <w:caps/>
              <w:noProof/>
              <w:kern w:val="2"/>
              <w14:ligatures w14:val="standardContextual"/>
            </w:rPr>
          </w:pPr>
          <w:hyperlink w:anchor="_Toc191284454" w:history="1">
            <w:r w:rsidRPr="00517C62">
              <w:rPr>
                <w:rFonts w:ascii="Tahoma" w:hAnsi="Tahoma" w:cs="Tahoma"/>
                <w:b/>
                <w:noProof/>
              </w:rPr>
              <w:t>1.5.ОПЕРАЦИИ С ПАМЯТНЫМИ И ИНВЕСТИЦИОННЫМИ МОНЕТАМИ</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16</w:t>
            </w:r>
            <w:r>
              <w:rPr>
                <w:noProof/>
                <w:webHidden/>
              </w:rPr>
              <w:tab/>
            </w:r>
            <w:r>
              <w:rPr>
                <w:noProof/>
                <w:webHidden/>
              </w:rPr>
              <w:fldChar w:fldCharType="begin"/>
            </w:r>
            <w:r>
              <w:rPr>
                <w:noProof/>
                <w:webHidden/>
              </w:rPr>
              <w:instrText xml:space="preserve"> PAGEREF _Toc191284454 \h </w:instrText>
            </w:r>
            <w:r>
              <w:rPr>
                <w:noProof/>
                <w:webHidden/>
              </w:rPr>
            </w:r>
            <w:r>
              <w:rPr>
                <w:noProof/>
                <w:webHidden/>
              </w:rPr>
              <w:fldChar w:fldCharType="separate"/>
            </w:r>
            <w:r>
              <w:rPr>
                <w:noProof/>
                <w:webHidden/>
              </w:rPr>
              <w:t>2</w:t>
            </w:r>
            <w:r>
              <w:rPr>
                <w:noProof/>
                <w:webHidden/>
              </w:rPr>
              <w:fldChar w:fldCharType="end"/>
            </w:r>
          </w:hyperlink>
        </w:p>
        <w:p w14:paraId="4AA87C67" w14:textId="5466DCA2" w:rsidR="00ED147F" w:rsidRDefault="00ED147F">
          <w:pPr>
            <w:tabs>
              <w:tab w:val="left" w:pos="7604"/>
              <w:tab w:val="right" w:leader="dot" w:pos="10055"/>
            </w:tabs>
            <w:rPr>
              <w:rFonts w:asciiTheme="minorHAnsi" w:eastAsiaTheme="minorEastAsia" w:hAnsiTheme="minorHAnsi" w:cstheme="minorBidi"/>
              <w:b/>
              <w:bCs/>
              <w:caps/>
              <w:noProof/>
              <w:kern w:val="2"/>
              <w14:ligatures w14:val="standardContextual"/>
            </w:rPr>
          </w:pPr>
          <w:hyperlink w:anchor="_Toc191284455" w:history="1">
            <w:r w:rsidRPr="00517C62">
              <w:rPr>
                <w:rFonts w:ascii="Tahoma" w:hAnsi="Tahoma" w:cs="Tahoma"/>
                <w:b/>
                <w:noProof/>
              </w:rPr>
              <w:t>1.6.ОПЕРАЦИИ С МЕРНЫМИ СЛИТКАМИ ИЗ ДРАГОЦЕННЫХ МЕТАЛЛОВ</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17</w:t>
            </w:r>
            <w:r>
              <w:rPr>
                <w:noProof/>
                <w:webHidden/>
              </w:rPr>
              <w:tab/>
            </w:r>
            <w:r>
              <w:rPr>
                <w:noProof/>
                <w:webHidden/>
              </w:rPr>
              <w:fldChar w:fldCharType="begin"/>
            </w:r>
            <w:r>
              <w:rPr>
                <w:noProof/>
                <w:webHidden/>
              </w:rPr>
              <w:instrText xml:space="preserve"> PAGEREF _Toc191284455 \h </w:instrText>
            </w:r>
            <w:r>
              <w:rPr>
                <w:noProof/>
                <w:webHidden/>
              </w:rPr>
            </w:r>
            <w:r>
              <w:rPr>
                <w:noProof/>
                <w:webHidden/>
              </w:rPr>
              <w:fldChar w:fldCharType="separate"/>
            </w:r>
            <w:r>
              <w:rPr>
                <w:noProof/>
                <w:webHidden/>
              </w:rPr>
              <w:t>2</w:t>
            </w:r>
            <w:r>
              <w:rPr>
                <w:noProof/>
                <w:webHidden/>
              </w:rPr>
              <w:fldChar w:fldCharType="end"/>
            </w:r>
          </w:hyperlink>
        </w:p>
        <w:p w14:paraId="3CB958B4" w14:textId="56E58DB1" w:rsidR="00ED147F" w:rsidRDefault="00ED147F">
          <w:pPr>
            <w:tabs>
              <w:tab w:val="left" w:pos="5642"/>
              <w:tab w:val="right" w:leader="dot" w:pos="10055"/>
            </w:tabs>
            <w:rPr>
              <w:rFonts w:asciiTheme="minorHAnsi" w:eastAsiaTheme="minorEastAsia" w:hAnsiTheme="minorHAnsi" w:cstheme="minorBidi"/>
              <w:b/>
              <w:bCs/>
              <w:caps/>
              <w:noProof/>
              <w:kern w:val="2"/>
              <w14:ligatures w14:val="standardContextual"/>
            </w:rPr>
          </w:pPr>
          <w:hyperlink w:anchor="_Toc191284456" w:history="1">
            <w:r w:rsidRPr="00517C62">
              <w:rPr>
                <w:rFonts w:ascii="Tahoma" w:hAnsi="Tahoma" w:cs="Tahoma"/>
                <w:b/>
                <w:noProof/>
              </w:rPr>
              <w:t>2. ТАРИФЫ ПО КРЕДИТИВАНИЮ ФИЗИЧЕСКИХ ЛИЦ</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19</w:t>
            </w:r>
            <w:r>
              <w:rPr>
                <w:noProof/>
                <w:webHidden/>
              </w:rPr>
              <w:tab/>
            </w:r>
            <w:r>
              <w:rPr>
                <w:noProof/>
                <w:webHidden/>
              </w:rPr>
              <w:fldChar w:fldCharType="begin"/>
            </w:r>
            <w:r>
              <w:rPr>
                <w:noProof/>
                <w:webHidden/>
              </w:rPr>
              <w:instrText xml:space="preserve"> PAGEREF _Toc191284456 \h </w:instrText>
            </w:r>
            <w:r>
              <w:rPr>
                <w:noProof/>
                <w:webHidden/>
              </w:rPr>
            </w:r>
            <w:r>
              <w:rPr>
                <w:noProof/>
                <w:webHidden/>
              </w:rPr>
              <w:fldChar w:fldCharType="separate"/>
            </w:r>
            <w:r>
              <w:rPr>
                <w:noProof/>
                <w:webHidden/>
              </w:rPr>
              <w:t>2</w:t>
            </w:r>
            <w:r>
              <w:rPr>
                <w:noProof/>
                <w:webHidden/>
              </w:rPr>
              <w:fldChar w:fldCharType="end"/>
            </w:r>
          </w:hyperlink>
        </w:p>
        <w:p w14:paraId="2D8CD0B3" w14:textId="380E7F14" w:rsidR="00ED147F" w:rsidRDefault="00ED147F">
          <w:pPr>
            <w:tabs>
              <w:tab w:val="left" w:pos="5279"/>
              <w:tab w:val="right" w:leader="dot" w:pos="10055"/>
            </w:tabs>
            <w:rPr>
              <w:rFonts w:asciiTheme="minorHAnsi" w:eastAsiaTheme="minorEastAsia" w:hAnsiTheme="minorHAnsi" w:cstheme="minorBidi"/>
              <w:b/>
              <w:bCs/>
              <w:caps/>
              <w:noProof/>
              <w:kern w:val="2"/>
              <w14:ligatures w14:val="standardContextual"/>
            </w:rPr>
          </w:pPr>
          <w:hyperlink w:anchor="_Toc191284457" w:history="1">
            <w:r w:rsidRPr="00517C62">
              <w:rPr>
                <w:rFonts w:ascii="Tahoma" w:hAnsi="Tahoma" w:cs="Tahoma"/>
                <w:b/>
                <w:noProof/>
              </w:rPr>
              <w:t>2.1. КРЕДИТОВАНИЕ СОБСТВЕННИКОВ БИЗНЕСА</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19</w:t>
            </w:r>
            <w:r>
              <w:rPr>
                <w:noProof/>
                <w:webHidden/>
              </w:rPr>
              <w:tab/>
            </w:r>
            <w:r>
              <w:rPr>
                <w:noProof/>
                <w:webHidden/>
              </w:rPr>
              <w:fldChar w:fldCharType="begin"/>
            </w:r>
            <w:r>
              <w:rPr>
                <w:noProof/>
                <w:webHidden/>
              </w:rPr>
              <w:instrText xml:space="preserve"> PAGEREF _Toc191284457 \h </w:instrText>
            </w:r>
            <w:r>
              <w:rPr>
                <w:noProof/>
                <w:webHidden/>
              </w:rPr>
            </w:r>
            <w:r>
              <w:rPr>
                <w:noProof/>
                <w:webHidden/>
              </w:rPr>
              <w:fldChar w:fldCharType="separate"/>
            </w:r>
            <w:r>
              <w:rPr>
                <w:noProof/>
                <w:webHidden/>
              </w:rPr>
              <w:t>2</w:t>
            </w:r>
            <w:r>
              <w:rPr>
                <w:noProof/>
                <w:webHidden/>
              </w:rPr>
              <w:fldChar w:fldCharType="end"/>
            </w:r>
          </w:hyperlink>
        </w:p>
        <w:p w14:paraId="0E2F3EAB" w14:textId="3F140D2D" w:rsidR="00ED147F" w:rsidRDefault="00ED147F">
          <w:pPr>
            <w:tabs>
              <w:tab w:val="left" w:pos="4442"/>
              <w:tab w:val="right" w:leader="dot" w:pos="10055"/>
            </w:tabs>
            <w:rPr>
              <w:rFonts w:asciiTheme="minorHAnsi" w:eastAsiaTheme="minorEastAsia" w:hAnsiTheme="minorHAnsi" w:cstheme="minorBidi"/>
              <w:b/>
              <w:bCs/>
              <w:caps/>
              <w:noProof/>
              <w:kern w:val="2"/>
              <w14:ligatures w14:val="standardContextual"/>
            </w:rPr>
          </w:pPr>
          <w:hyperlink w:anchor="_Toc191284458" w:history="1">
            <w:r w:rsidRPr="00517C62">
              <w:rPr>
                <w:rFonts w:ascii="Tahoma" w:hAnsi="Tahoma" w:cs="Tahoma"/>
                <w:b/>
                <w:noProof/>
              </w:rPr>
              <w:t>2.1.1.ТАРИФНЫЙ ПЛАН «МИКРО-ЛАЙТ»</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19</w:t>
            </w:r>
            <w:r>
              <w:rPr>
                <w:noProof/>
                <w:webHidden/>
              </w:rPr>
              <w:tab/>
            </w:r>
            <w:r>
              <w:rPr>
                <w:noProof/>
                <w:webHidden/>
              </w:rPr>
              <w:fldChar w:fldCharType="begin"/>
            </w:r>
            <w:r>
              <w:rPr>
                <w:noProof/>
                <w:webHidden/>
              </w:rPr>
              <w:instrText xml:space="preserve"> PAGEREF _Toc191284458 \h </w:instrText>
            </w:r>
            <w:r>
              <w:rPr>
                <w:noProof/>
                <w:webHidden/>
              </w:rPr>
            </w:r>
            <w:r>
              <w:rPr>
                <w:noProof/>
                <w:webHidden/>
              </w:rPr>
              <w:fldChar w:fldCharType="separate"/>
            </w:r>
            <w:r>
              <w:rPr>
                <w:noProof/>
                <w:webHidden/>
              </w:rPr>
              <w:t>2</w:t>
            </w:r>
            <w:r>
              <w:rPr>
                <w:noProof/>
                <w:webHidden/>
              </w:rPr>
              <w:fldChar w:fldCharType="end"/>
            </w:r>
          </w:hyperlink>
        </w:p>
        <w:p w14:paraId="4583DF37" w14:textId="5F02C82A" w:rsidR="00ED147F" w:rsidRDefault="00ED147F">
          <w:pPr>
            <w:tabs>
              <w:tab w:val="left" w:pos="5599"/>
              <w:tab w:val="right" w:leader="dot" w:pos="10055"/>
            </w:tabs>
            <w:rPr>
              <w:rFonts w:asciiTheme="minorHAnsi" w:eastAsiaTheme="minorEastAsia" w:hAnsiTheme="minorHAnsi" w:cstheme="minorBidi"/>
              <w:b/>
              <w:bCs/>
              <w:caps/>
              <w:noProof/>
              <w:kern w:val="2"/>
              <w14:ligatures w14:val="standardContextual"/>
            </w:rPr>
          </w:pPr>
          <w:hyperlink w:anchor="_Toc191284459" w:history="1">
            <w:r w:rsidRPr="00517C62">
              <w:rPr>
                <w:rFonts w:ascii="Tahoma" w:hAnsi="Tahoma" w:cs="Tahoma"/>
                <w:b/>
                <w:noProof/>
              </w:rPr>
              <w:t>2.1.2. ТАРИФНЫЙ ПЛАН «МИКРО-ЛАЙТ. ДОВЕРИЕ»</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28</w:t>
            </w:r>
            <w:r>
              <w:rPr>
                <w:noProof/>
                <w:webHidden/>
              </w:rPr>
              <w:tab/>
            </w:r>
            <w:r>
              <w:rPr>
                <w:noProof/>
                <w:webHidden/>
              </w:rPr>
              <w:fldChar w:fldCharType="begin"/>
            </w:r>
            <w:r>
              <w:rPr>
                <w:noProof/>
                <w:webHidden/>
              </w:rPr>
              <w:instrText xml:space="preserve"> PAGEREF _Toc191284459 \h </w:instrText>
            </w:r>
            <w:r>
              <w:rPr>
                <w:noProof/>
                <w:webHidden/>
              </w:rPr>
            </w:r>
            <w:r>
              <w:rPr>
                <w:noProof/>
                <w:webHidden/>
              </w:rPr>
              <w:fldChar w:fldCharType="separate"/>
            </w:r>
            <w:r>
              <w:rPr>
                <w:noProof/>
                <w:webHidden/>
              </w:rPr>
              <w:t>2</w:t>
            </w:r>
            <w:r>
              <w:rPr>
                <w:noProof/>
                <w:webHidden/>
              </w:rPr>
              <w:fldChar w:fldCharType="end"/>
            </w:r>
          </w:hyperlink>
        </w:p>
        <w:p w14:paraId="6F172A8D" w14:textId="272C0BD3" w:rsidR="00ED147F" w:rsidRDefault="00ED147F">
          <w:pPr>
            <w:tabs>
              <w:tab w:val="left" w:pos="4957"/>
              <w:tab w:val="right" w:leader="dot" w:pos="10055"/>
            </w:tabs>
            <w:rPr>
              <w:rFonts w:asciiTheme="minorHAnsi" w:eastAsiaTheme="minorEastAsia" w:hAnsiTheme="minorHAnsi" w:cstheme="minorBidi"/>
              <w:b/>
              <w:bCs/>
              <w:caps/>
              <w:noProof/>
              <w:kern w:val="2"/>
              <w14:ligatures w14:val="standardContextual"/>
            </w:rPr>
          </w:pPr>
          <w:hyperlink w:anchor="_Toc191284460" w:history="1">
            <w:r w:rsidRPr="00517C62">
              <w:rPr>
                <w:rFonts w:ascii="Tahoma" w:hAnsi="Tahoma" w:cs="Tahoma"/>
                <w:b/>
                <w:noProof/>
              </w:rPr>
              <w:t>2.1.3. ТАРИФНЫЙ ПЛАН «БИЗНЕС ИПОТЕКА»</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31</w:t>
            </w:r>
            <w:r>
              <w:rPr>
                <w:noProof/>
                <w:webHidden/>
              </w:rPr>
              <w:tab/>
            </w:r>
            <w:r>
              <w:rPr>
                <w:noProof/>
                <w:webHidden/>
              </w:rPr>
              <w:fldChar w:fldCharType="begin"/>
            </w:r>
            <w:r>
              <w:rPr>
                <w:noProof/>
                <w:webHidden/>
              </w:rPr>
              <w:instrText xml:space="preserve"> PAGEREF _Toc191284460 \h </w:instrText>
            </w:r>
            <w:r>
              <w:rPr>
                <w:noProof/>
                <w:webHidden/>
              </w:rPr>
            </w:r>
            <w:r>
              <w:rPr>
                <w:noProof/>
                <w:webHidden/>
              </w:rPr>
              <w:fldChar w:fldCharType="separate"/>
            </w:r>
            <w:r>
              <w:rPr>
                <w:noProof/>
                <w:webHidden/>
              </w:rPr>
              <w:t>2</w:t>
            </w:r>
            <w:r>
              <w:rPr>
                <w:noProof/>
                <w:webHidden/>
              </w:rPr>
              <w:fldChar w:fldCharType="end"/>
            </w:r>
          </w:hyperlink>
        </w:p>
        <w:p w14:paraId="66C860CD" w14:textId="0D1BC1D9" w:rsidR="00ED147F" w:rsidRDefault="00ED147F">
          <w:pPr>
            <w:tabs>
              <w:tab w:val="left" w:pos="6683"/>
              <w:tab w:val="right" w:leader="dot" w:pos="10055"/>
            </w:tabs>
            <w:rPr>
              <w:rFonts w:asciiTheme="minorHAnsi" w:eastAsiaTheme="minorEastAsia" w:hAnsiTheme="minorHAnsi" w:cstheme="minorBidi"/>
              <w:b/>
              <w:bCs/>
              <w:caps/>
              <w:noProof/>
              <w:kern w:val="2"/>
              <w14:ligatures w14:val="standardContextual"/>
            </w:rPr>
          </w:pPr>
          <w:hyperlink w:anchor="_Toc191284461" w:history="1">
            <w:r w:rsidRPr="00517C62">
              <w:rPr>
                <w:rFonts w:ascii="Tahoma" w:hAnsi="Tahoma" w:cs="Tahoma"/>
                <w:b/>
                <w:noProof/>
              </w:rPr>
              <w:t>2.1.4. ТАРИФНЫЙ ПЛАН «МИКРО-ЛАЙТ ИНДИВИДУАЛЬНЫЙ»</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42</w:t>
            </w:r>
            <w:r>
              <w:rPr>
                <w:noProof/>
                <w:webHidden/>
              </w:rPr>
              <w:tab/>
            </w:r>
            <w:r>
              <w:rPr>
                <w:noProof/>
                <w:webHidden/>
              </w:rPr>
              <w:fldChar w:fldCharType="begin"/>
            </w:r>
            <w:r>
              <w:rPr>
                <w:noProof/>
                <w:webHidden/>
              </w:rPr>
              <w:instrText xml:space="preserve"> PAGEREF _Toc191284461 \h </w:instrText>
            </w:r>
            <w:r>
              <w:rPr>
                <w:noProof/>
                <w:webHidden/>
              </w:rPr>
            </w:r>
            <w:r>
              <w:rPr>
                <w:noProof/>
                <w:webHidden/>
              </w:rPr>
              <w:fldChar w:fldCharType="separate"/>
            </w:r>
            <w:r>
              <w:rPr>
                <w:noProof/>
                <w:webHidden/>
              </w:rPr>
              <w:t>2</w:t>
            </w:r>
            <w:r>
              <w:rPr>
                <w:noProof/>
                <w:webHidden/>
              </w:rPr>
              <w:fldChar w:fldCharType="end"/>
            </w:r>
          </w:hyperlink>
        </w:p>
        <w:p w14:paraId="303682CC" w14:textId="78B302A5" w:rsidR="00ED147F" w:rsidRDefault="00ED147F">
          <w:pPr>
            <w:tabs>
              <w:tab w:val="left" w:pos="8802"/>
              <w:tab w:val="right" w:leader="dot" w:pos="10055"/>
            </w:tabs>
            <w:rPr>
              <w:rFonts w:asciiTheme="minorHAnsi" w:eastAsiaTheme="minorEastAsia" w:hAnsiTheme="minorHAnsi" w:cstheme="minorBidi"/>
              <w:b/>
              <w:bCs/>
              <w:caps/>
              <w:noProof/>
              <w:kern w:val="2"/>
              <w14:ligatures w14:val="standardContextual"/>
            </w:rPr>
          </w:pPr>
          <w:hyperlink w:anchor="_Toc191284462" w:history="1">
            <w:r w:rsidRPr="00517C62">
              <w:rPr>
                <w:rFonts w:ascii="Tahoma" w:hAnsi="Tahoma" w:cs="Tahoma"/>
                <w:b/>
                <w:noProof/>
              </w:rPr>
              <w:t>2.2. ТАРИФНЫЕ ПЛАНЫ ПО КРЕДИТОВАНИЮ ФИЗИЧЕСКИХ ЛИЦ НА ТЕРРИТОРИИ ОБСЛУЖИВАНИЯ «АЗИАТСКО-ТИХООКЕАНСКИЙ БАНК» (АО)</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48</w:t>
            </w:r>
            <w:r>
              <w:rPr>
                <w:noProof/>
                <w:webHidden/>
              </w:rPr>
              <w:tab/>
            </w:r>
            <w:r>
              <w:rPr>
                <w:noProof/>
                <w:webHidden/>
              </w:rPr>
              <w:fldChar w:fldCharType="begin"/>
            </w:r>
            <w:r>
              <w:rPr>
                <w:noProof/>
                <w:webHidden/>
              </w:rPr>
              <w:instrText xml:space="preserve"> PAGEREF _Toc191284462 \h </w:instrText>
            </w:r>
            <w:r>
              <w:rPr>
                <w:noProof/>
                <w:webHidden/>
              </w:rPr>
            </w:r>
            <w:r>
              <w:rPr>
                <w:noProof/>
                <w:webHidden/>
              </w:rPr>
              <w:fldChar w:fldCharType="separate"/>
            </w:r>
            <w:r>
              <w:rPr>
                <w:noProof/>
                <w:webHidden/>
              </w:rPr>
              <w:t>2</w:t>
            </w:r>
            <w:r>
              <w:rPr>
                <w:noProof/>
                <w:webHidden/>
              </w:rPr>
              <w:fldChar w:fldCharType="end"/>
            </w:r>
          </w:hyperlink>
        </w:p>
        <w:p w14:paraId="36449C49" w14:textId="78FFA880" w:rsidR="00ED147F" w:rsidRDefault="00ED147F">
          <w:pPr>
            <w:tabs>
              <w:tab w:val="left" w:pos="5392"/>
              <w:tab w:val="right" w:leader="dot" w:pos="10055"/>
            </w:tabs>
            <w:rPr>
              <w:rFonts w:asciiTheme="minorHAnsi" w:eastAsiaTheme="minorEastAsia" w:hAnsiTheme="minorHAnsi" w:cstheme="minorBidi"/>
              <w:b/>
              <w:bCs/>
              <w:caps/>
              <w:noProof/>
              <w:kern w:val="2"/>
              <w14:ligatures w14:val="standardContextual"/>
            </w:rPr>
          </w:pPr>
          <w:hyperlink w:anchor="_Toc191284463" w:history="1">
            <w:r w:rsidRPr="00517C62">
              <w:rPr>
                <w:rFonts w:ascii="Tahoma" w:hAnsi="Tahoma" w:cs="Tahoma"/>
                <w:b/>
                <w:noProof/>
              </w:rPr>
              <w:t>2.2.1. ТАРИФНЫЙ ПЛАН «КРЕДИТ НАЛИЧНЫМИ»</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48</w:t>
            </w:r>
            <w:r>
              <w:rPr>
                <w:noProof/>
                <w:webHidden/>
              </w:rPr>
              <w:tab/>
            </w:r>
            <w:r>
              <w:rPr>
                <w:noProof/>
                <w:webHidden/>
              </w:rPr>
              <w:fldChar w:fldCharType="begin"/>
            </w:r>
            <w:r>
              <w:rPr>
                <w:noProof/>
                <w:webHidden/>
              </w:rPr>
              <w:instrText xml:space="preserve"> PAGEREF _Toc191284463 \h </w:instrText>
            </w:r>
            <w:r>
              <w:rPr>
                <w:noProof/>
                <w:webHidden/>
              </w:rPr>
            </w:r>
            <w:r>
              <w:rPr>
                <w:noProof/>
                <w:webHidden/>
              </w:rPr>
              <w:fldChar w:fldCharType="separate"/>
            </w:r>
            <w:r>
              <w:rPr>
                <w:noProof/>
                <w:webHidden/>
              </w:rPr>
              <w:t>2</w:t>
            </w:r>
            <w:r>
              <w:rPr>
                <w:noProof/>
                <w:webHidden/>
              </w:rPr>
              <w:fldChar w:fldCharType="end"/>
            </w:r>
          </w:hyperlink>
        </w:p>
        <w:p w14:paraId="012C5DA3" w14:textId="536F94B9" w:rsidR="00ED147F" w:rsidRDefault="00ED147F">
          <w:pPr>
            <w:tabs>
              <w:tab w:val="left" w:pos="3804"/>
              <w:tab w:val="right" w:leader="dot" w:pos="10055"/>
            </w:tabs>
            <w:rPr>
              <w:rFonts w:asciiTheme="minorHAnsi" w:eastAsiaTheme="minorEastAsia" w:hAnsiTheme="minorHAnsi" w:cstheme="minorBidi"/>
              <w:b/>
              <w:bCs/>
              <w:caps/>
              <w:noProof/>
              <w:kern w:val="2"/>
              <w14:ligatures w14:val="standardContextual"/>
            </w:rPr>
          </w:pPr>
          <w:hyperlink w:anchor="_Toc191284464" w:history="1">
            <w:r w:rsidRPr="00517C62">
              <w:rPr>
                <w:rFonts w:ascii="Tahoma" w:hAnsi="Tahoma" w:cs="Tahoma"/>
                <w:b/>
                <w:noProof/>
              </w:rPr>
              <w:t>2.2.2. ТАРИФНЫЙ ПЛАН «ЛИДЕР»</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55</w:t>
            </w:r>
            <w:r>
              <w:rPr>
                <w:noProof/>
                <w:webHidden/>
              </w:rPr>
              <w:tab/>
            </w:r>
            <w:r>
              <w:rPr>
                <w:noProof/>
                <w:webHidden/>
              </w:rPr>
              <w:fldChar w:fldCharType="begin"/>
            </w:r>
            <w:r>
              <w:rPr>
                <w:noProof/>
                <w:webHidden/>
              </w:rPr>
              <w:instrText xml:space="preserve"> PAGEREF _Toc191284464 \h </w:instrText>
            </w:r>
            <w:r>
              <w:rPr>
                <w:noProof/>
                <w:webHidden/>
              </w:rPr>
            </w:r>
            <w:r>
              <w:rPr>
                <w:noProof/>
                <w:webHidden/>
              </w:rPr>
              <w:fldChar w:fldCharType="separate"/>
            </w:r>
            <w:r>
              <w:rPr>
                <w:noProof/>
                <w:webHidden/>
              </w:rPr>
              <w:t>2</w:t>
            </w:r>
            <w:r>
              <w:rPr>
                <w:noProof/>
                <w:webHidden/>
              </w:rPr>
              <w:fldChar w:fldCharType="end"/>
            </w:r>
          </w:hyperlink>
        </w:p>
        <w:p w14:paraId="1E10E3C6" w14:textId="4CFBF5DA" w:rsidR="00ED147F" w:rsidRDefault="00ED147F">
          <w:pPr>
            <w:tabs>
              <w:tab w:val="left" w:pos="4329"/>
              <w:tab w:val="right" w:leader="dot" w:pos="10055"/>
            </w:tabs>
            <w:rPr>
              <w:rFonts w:asciiTheme="minorHAnsi" w:eastAsiaTheme="minorEastAsia" w:hAnsiTheme="minorHAnsi" w:cstheme="minorBidi"/>
              <w:b/>
              <w:bCs/>
              <w:caps/>
              <w:noProof/>
              <w:kern w:val="2"/>
              <w14:ligatures w14:val="standardContextual"/>
            </w:rPr>
          </w:pPr>
          <w:hyperlink w:anchor="_Toc191284465" w:history="1">
            <w:r w:rsidRPr="00517C62">
              <w:rPr>
                <w:rFonts w:ascii="Tahoma" w:hAnsi="Tahoma" w:cs="Tahoma"/>
                <w:b/>
                <w:noProof/>
              </w:rPr>
              <w:t>2.2.3. ТАРИФНЫЙ ПЛАН «ЛОЯЛЬНЫЙ»</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61</w:t>
            </w:r>
            <w:r>
              <w:rPr>
                <w:noProof/>
                <w:webHidden/>
              </w:rPr>
              <w:tab/>
            </w:r>
            <w:r>
              <w:rPr>
                <w:noProof/>
                <w:webHidden/>
              </w:rPr>
              <w:fldChar w:fldCharType="begin"/>
            </w:r>
            <w:r>
              <w:rPr>
                <w:noProof/>
                <w:webHidden/>
              </w:rPr>
              <w:instrText xml:space="preserve"> PAGEREF _Toc191284465 \h </w:instrText>
            </w:r>
            <w:r>
              <w:rPr>
                <w:noProof/>
                <w:webHidden/>
              </w:rPr>
            </w:r>
            <w:r>
              <w:rPr>
                <w:noProof/>
                <w:webHidden/>
              </w:rPr>
              <w:fldChar w:fldCharType="separate"/>
            </w:r>
            <w:r>
              <w:rPr>
                <w:noProof/>
                <w:webHidden/>
              </w:rPr>
              <w:t>2</w:t>
            </w:r>
            <w:r>
              <w:rPr>
                <w:noProof/>
                <w:webHidden/>
              </w:rPr>
              <w:fldChar w:fldCharType="end"/>
            </w:r>
          </w:hyperlink>
        </w:p>
        <w:p w14:paraId="08FEE732" w14:textId="00683226" w:rsidR="00ED147F" w:rsidRDefault="00ED147F">
          <w:pPr>
            <w:tabs>
              <w:tab w:val="left" w:pos="8393"/>
              <w:tab w:val="right" w:leader="dot" w:pos="10055"/>
            </w:tabs>
            <w:rPr>
              <w:rFonts w:asciiTheme="minorHAnsi" w:eastAsiaTheme="minorEastAsia" w:hAnsiTheme="minorHAnsi" w:cstheme="minorBidi"/>
              <w:b/>
              <w:bCs/>
              <w:caps/>
              <w:noProof/>
              <w:kern w:val="2"/>
              <w14:ligatures w14:val="standardContextual"/>
            </w:rPr>
          </w:pPr>
          <w:hyperlink w:anchor="_Toc191284466" w:history="1">
            <w:r w:rsidRPr="00517C62">
              <w:rPr>
                <w:rFonts w:ascii="Tahoma" w:hAnsi="Tahoma" w:cs="Tahoma"/>
                <w:b/>
                <w:noProof/>
              </w:rPr>
              <w:t>2.2.4. ТАРИФНЫЙ ПЛАН «ИЗМЕНЕНИЕ УСЛОВИЙ КРЕДИТНОГО ДОГОВОРА ПО ВОЛЕИЗЪЯВЛЕНИЮ ЗАЕМЩИКА»*</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68</w:t>
            </w:r>
            <w:r>
              <w:rPr>
                <w:noProof/>
                <w:webHidden/>
              </w:rPr>
              <w:tab/>
            </w:r>
            <w:r>
              <w:rPr>
                <w:noProof/>
                <w:webHidden/>
              </w:rPr>
              <w:fldChar w:fldCharType="begin"/>
            </w:r>
            <w:r>
              <w:rPr>
                <w:noProof/>
                <w:webHidden/>
              </w:rPr>
              <w:instrText xml:space="preserve"> PAGEREF _Toc191284466 \h </w:instrText>
            </w:r>
            <w:r>
              <w:rPr>
                <w:noProof/>
                <w:webHidden/>
              </w:rPr>
            </w:r>
            <w:r>
              <w:rPr>
                <w:noProof/>
                <w:webHidden/>
              </w:rPr>
              <w:fldChar w:fldCharType="separate"/>
            </w:r>
            <w:r>
              <w:rPr>
                <w:noProof/>
                <w:webHidden/>
              </w:rPr>
              <w:t>2</w:t>
            </w:r>
            <w:r>
              <w:rPr>
                <w:noProof/>
                <w:webHidden/>
              </w:rPr>
              <w:fldChar w:fldCharType="end"/>
            </w:r>
          </w:hyperlink>
        </w:p>
        <w:p w14:paraId="35F813FD" w14:textId="37249E59" w:rsidR="00ED147F" w:rsidRDefault="00ED147F">
          <w:pPr>
            <w:tabs>
              <w:tab w:val="left" w:pos="8393"/>
              <w:tab w:val="right" w:leader="dot" w:pos="10055"/>
            </w:tabs>
            <w:rPr>
              <w:rFonts w:asciiTheme="minorHAnsi" w:eastAsiaTheme="minorEastAsia" w:hAnsiTheme="minorHAnsi" w:cstheme="minorBidi"/>
              <w:b/>
              <w:bCs/>
              <w:caps/>
              <w:noProof/>
              <w:kern w:val="2"/>
              <w14:ligatures w14:val="standardContextual"/>
            </w:rPr>
          </w:pPr>
          <w:hyperlink w:anchor="_Toc191284467" w:history="1">
            <w:r w:rsidRPr="00517C62">
              <w:rPr>
                <w:rFonts w:ascii="Tahoma" w:hAnsi="Tahoma" w:cs="Tahoma"/>
                <w:b/>
                <w:noProof/>
              </w:rPr>
              <w:t>2.2.5. ТАРИФНЫЙ ПЛАН «ИЗМЕНЕНИЕ УСЛОВИЙ КРЕДИТНОГО ДОГОВОРА ПО ВОЛЕИЗЪЯВЛЕНИЮ ЗАЕМЩИКА, ПО ИПОТЕЧНЫМ ДОГОВОРАМ» *,**,***,****</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70</w:t>
            </w:r>
            <w:r>
              <w:rPr>
                <w:noProof/>
                <w:webHidden/>
              </w:rPr>
              <w:tab/>
            </w:r>
            <w:r>
              <w:rPr>
                <w:noProof/>
                <w:webHidden/>
              </w:rPr>
              <w:fldChar w:fldCharType="begin"/>
            </w:r>
            <w:r>
              <w:rPr>
                <w:noProof/>
                <w:webHidden/>
              </w:rPr>
              <w:instrText xml:space="preserve"> PAGEREF _Toc191284467 \h </w:instrText>
            </w:r>
            <w:r>
              <w:rPr>
                <w:noProof/>
                <w:webHidden/>
              </w:rPr>
            </w:r>
            <w:r>
              <w:rPr>
                <w:noProof/>
                <w:webHidden/>
              </w:rPr>
              <w:fldChar w:fldCharType="separate"/>
            </w:r>
            <w:r>
              <w:rPr>
                <w:noProof/>
                <w:webHidden/>
              </w:rPr>
              <w:t>2</w:t>
            </w:r>
            <w:r>
              <w:rPr>
                <w:noProof/>
                <w:webHidden/>
              </w:rPr>
              <w:fldChar w:fldCharType="end"/>
            </w:r>
          </w:hyperlink>
        </w:p>
        <w:p w14:paraId="09239031" w14:textId="0E9296D9" w:rsidR="00ED147F" w:rsidRDefault="00ED147F">
          <w:pPr>
            <w:tabs>
              <w:tab w:val="left" w:pos="8160"/>
              <w:tab w:val="right" w:leader="dot" w:pos="10055"/>
            </w:tabs>
            <w:rPr>
              <w:rFonts w:asciiTheme="minorHAnsi" w:eastAsiaTheme="minorEastAsia" w:hAnsiTheme="minorHAnsi" w:cstheme="minorBidi"/>
              <w:b/>
              <w:bCs/>
              <w:caps/>
              <w:noProof/>
              <w:kern w:val="2"/>
              <w14:ligatures w14:val="standardContextual"/>
            </w:rPr>
          </w:pPr>
          <w:hyperlink w:anchor="_Toc191284468" w:history="1">
            <w:r w:rsidRPr="00517C62">
              <w:rPr>
                <w:rFonts w:ascii="Tahoma" w:hAnsi="Tahoma" w:cs="Tahoma"/>
                <w:b/>
                <w:noProof/>
              </w:rPr>
              <w:t>2.2.6. ТАРИФНЫЙ ПЛАН «РЕСТРУКТУРИЗАЦИЯ «ТЕХПОМОЩЬ+»»*,**,****</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71</w:t>
            </w:r>
            <w:r>
              <w:rPr>
                <w:noProof/>
                <w:webHidden/>
              </w:rPr>
              <w:tab/>
            </w:r>
            <w:r>
              <w:rPr>
                <w:noProof/>
                <w:webHidden/>
              </w:rPr>
              <w:fldChar w:fldCharType="begin"/>
            </w:r>
            <w:r>
              <w:rPr>
                <w:noProof/>
                <w:webHidden/>
              </w:rPr>
              <w:instrText xml:space="preserve"> PAGEREF _Toc191284468 \h </w:instrText>
            </w:r>
            <w:r>
              <w:rPr>
                <w:noProof/>
                <w:webHidden/>
              </w:rPr>
            </w:r>
            <w:r>
              <w:rPr>
                <w:noProof/>
                <w:webHidden/>
              </w:rPr>
              <w:fldChar w:fldCharType="separate"/>
            </w:r>
            <w:r>
              <w:rPr>
                <w:noProof/>
                <w:webHidden/>
              </w:rPr>
              <w:t>2</w:t>
            </w:r>
            <w:r>
              <w:rPr>
                <w:noProof/>
                <w:webHidden/>
              </w:rPr>
              <w:fldChar w:fldCharType="end"/>
            </w:r>
          </w:hyperlink>
        </w:p>
        <w:p w14:paraId="345F574E" w14:textId="44CE44D2" w:rsidR="00ED147F" w:rsidRDefault="00ED147F">
          <w:pPr>
            <w:tabs>
              <w:tab w:val="left" w:pos="4285"/>
              <w:tab w:val="right" w:leader="dot" w:pos="10055"/>
            </w:tabs>
            <w:rPr>
              <w:rFonts w:asciiTheme="minorHAnsi" w:eastAsiaTheme="minorEastAsia" w:hAnsiTheme="minorHAnsi" w:cstheme="minorBidi"/>
              <w:b/>
              <w:bCs/>
              <w:caps/>
              <w:noProof/>
              <w:kern w:val="2"/>
              <w14:ligatures w14:val="standardContextual"/>
            </w:rPr>
          </w:pPr>
          <w:hyperlink w:anchor="_Toc191284469" w:history="1">
            <w:r w:rsidRPr="00517C62">
              <w:rPr>
                <w:rFonts w:ascii="Tahoma" w:hAnsi="Tahoma" w:cs="Tahoma"/>
                <w:b/>
                <w:noProof/>
              </w:rPr>
              <w:t>2.2.7. ТАРИФНЫЙ ПЛАН «ДОВЕРИЕ +»</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75</w:t>
            </w:r>
            <w:r>
              <w:rPr>
                <w:noProof/>
                <w:webHidden/>
              </w:rPr>
              <w:tab/>
            </w:r>
            <w:r>
              <w:rPr>
                <w:noProof/>
                <w:webHidden/>
              </w:rPr>
              <w:fldChar w:fldCharType="begin"/>
            </w:r>
            <w:r>
              <w:rPr>
                <w:noProof/>
                <w:webHidden/>
              </w:rPr>
              <w:instrText xml:space="preserve"> PAGEREF _Toc191284469 \h </w:instrText>
            </w:r>
            <w:r>
              <w:rPr>
                <w:noProof/>
                <w:webHidden/>
              </w:rPr>
            </w:r>
            <w:r>
              <w:rPr>
                <w:noProof/>
                <w:webHidden/>
              </w:rPr>
              <w:fldChar w:fldCharType="separate"/>
            </w:r>
            <w:r>
              <w:rPr>
                <w:noProof/>
                <w:webHidden/>
              </w:rPr>
              <w:t>2</w:t>
            </w:r>
            <w:r>
              <w:rPr>
                <w:noProof/>
                <w:webHidden/>
              </w:rPr>
              <w:fldChar w:fldCharType="end"/>
            </w:r>
          </w:hyperlink>
        </w:p>
        <w:p w14:paraId="48A52B52" w14:textId="16C44594" w:rsidR="00ED147F" w:rsidRDefault="00ED147F">
          <w:pPr>
            <w:tabs>
              <w:tab w:val="left" w:pos="3703"/>
              <w:tab w:val="right" w:leader="dot" w:pos="10055"/>
            </w:tabs>
            <w:rPr>
              <w:rFonts w:asciiTheme="minorHAnsi" w:eastAsiaTheme="minorEastAsia" w:hAnsiTheme="minorHAnsi" w:cstheme="minorBidi"/>
              <w:b/>
              <w:bCs/>
              <w:caps/>
              <w:noProof/>
              <w:kern w:val="2"/>
              <w14:ligatures w14:val="standardContextual"/>
            </w:rPr>
          </w:pPr>
          <w:hyperlink w:anchor="_Toc191284470" w:history="1">
            <w:r w:rsidRPr="00517C62">
              <w:rPr>
                <w:rFonts w:ascii="Tahoma" w:hAnsi="Tahoma" w:cs="Tahoma"/>
                <w:b/>
                <w:noProof/>
              </w:rPr>
              <w:t>2.3. ИПОТЕЧНОЕ КРЕДИТОВАНИЕ</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80</w:t>
            </w:r>
            <w:r>
              <w:rPr>
                <w:noProof/>
                <w:webHidden/>
              </w:rPr>
              <w:tab/>
            </w:r>
            <w:r>
              <w:rPr>
                <w:noProof/>
                <w:webHidden/>
              </w:rPr>
              <w:fldChar w:fldCharType="begin"/>
            </w:r>
            <w:r>
              <w:rPr>
                <w:noProof/>
                <w:webHidden/>
              </w:rPr>
              <w:instrText xml:space="preserve"> PAGEREF _Toc191284470 \h </w:instrText>
            </w:r>
            <w:r>
              <w:rPr>
                <w:noProof/>
                <w:webHidden/>
              </w:rPr>
            </w:r>
            <w:r>
              <w:rPr>
                <w:noProof/>
                <w:webHidden/>
              </w:rPr>
              <w:fldChar w:fldCharType="separate"/>
            </w:r>
            <w:r>
              <w:rPr>
                <w:noProof/>
                <w:webHidden/>
              </w:rPr>
              <w:t>2</w:t>
            </w:r>
            <w:r>
              <w:rPr>
                <w:noProof/>
                <w:webHidden/>
              </w:rPr>
              <w:fldChar w:fldCharType="end"/>
            </w:r>
          </w:hyperlink>
        </w:p>
        <w:p w14:paraId="037BB66B" w14:textId="6940E304" w:rsidR="00ED147F" w:rsidRDefault="00ED147F">
          <w:pPr>
            <w:tabs>
              <w:tab w:val="left" w:pos="8282"/>
              <w:tab w:val="right" w:leader="dot" w:pos="10055"/>
            </w:tabs>
            <w:rPr>
              <w:rFonts w:asciiTheme="minorHAnsi" w:eastAsiaTheme="minorEastAsia" w:hAnsiTheme="minorHAnsi" w:cstheme="minorBidi"/>
              <w:b/>
              <w:bCs/>
              <w:caps/>
              <w:noProof/>
              <w:kern w:val="2"/>
              <w14:ligatures w14:val="standardContextual"/>
            </w:rPr>
          </w:pPr>
          <w:hyperlink w:anchor="_Toc191284471" w:history="1">
            <w:r w:rsidRPr="00517C62">
              <w:rPr>
                <w:rFonts w:ascii="Tahoma" w:hAnsi="Tahoma" w:cs="Tahoma"/>
                <w:b/>
                <w:noProof/>
              </w:rPr>
              <w:t>2.3.1. ИНФОРМАЦИЯ ОБ УСЛОВИЯХ ПРЕДОСТАВЛЕНИЯ, ИСПОЛЬЗОВАНИЯ И ВОЗВРАТА ИПОТЕЧНОГО КРЕДИТА «ГОТОВОЕ ЖИЛЬЕ»</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80</w:t>
            </w:r>
            <w:r>
              <w:rPr>
                <w:noProof/>
                <w:webHidden/>
              </w:rPr>
              <w:tab/>
            </w:r>
            <w:r>
              <w:rPr>
                <w:noProof/>
                <w:webHidden/>
              </w:rPr>
              <w:fldChar w:fldCharType="begin"/>
            </w:r>
            <w:r>
              <w:rPr>
                <w:noProof/>
                <w:webHidden/>
              </w:rPr>
              <w:instrText xml:space="preserve"> PAGEREF _Toc191284471 \h </w:instrText>
            </w:r>
            <w:r>
              <w:rPr>
                <w:noProof/>
                <w:webHidden/>
              </w:rPr>
            </w:r>
            <w:r>
              <w:rPr>
                <w:noProof/>
                <w:webHidden/>
              </w:rPr>
              <w:fldChar w:fldCharType="separate"/>
            </w:r>
            <w:r>
              <w:rPr>
                <w:noProof/>
                <w:webHidden/>
              </w:rPr>
              <w:t>2</w:t>
            </w:r>
            <w:r>
              <w:rPr>
                <w:noProof/>
                <w:webHidden/>
              </w:rPr>
              <w:fldChar w:fldCharType="end"/>
            </w:r>
          </w:hyperlink>
        </w:p>
        <w:p w14:paraId="3C11E13E" w14:textId="5B02B4F7" w:rsidR="00ED147F" w:rsidRDefault="00ED147F">
          <w:pPr>
            <w:tabs>
              <w:tab w:val="left" w:pos="8282"/>
              <w:tab w:val="right" w:leader="dot" w:pos="10055"/>
            </w:tabs>
            <w:rPr>
              <w:rFonts w:asciiTheme="minorHAnsi" w:eastAsiaTheme="minorEastAsia" w:hAnsiTheme="minorHAnsi" w:cstheme="minorBidi"/>
              <w:b/>
              <w:bCs/>
              <w:caps/>
              <w:noProof/>
              <w:kern w:val="2"/>
              <w14:ligatures w14:val="standardContextual"/>
            </w:rPr>
          </w:pPr>
          <w:hyperlink w:anchor="_Toc191284472" w:history="1">
            <w:r w:rsidRPr="00517C62">
              <w:rPr>
                <w:rFonts w:ascii="Tahoma" w:hAnsi="Tahoma" w:cs="Tahoma"/>
                <w:b/>
                <w:noProof/>
              </w:rPr>
              <w:t>2.3.2. ИНФОРМАЦИЯ ОБ УСЛОВИЯХ ПРЕДОСТАВЛЕНИЯ, ИСПОЛЬЗОВАНИЯ И ВОЗВРАТА ИПОТЕЧНОГО КРЕДИТА ПО ТАРИФНОМУ ПЛАНУ «СТРОЯЩЕЕСЯ ЖИЛЬЕ»</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104</w:t>
            </w:r>
            <w:r>
              <w:rPr>
                <w:noProof/>
                <w:webHidden/>
              </w:rPr>
              <w:tab/>
            </w:r>
            <w:r>
              <w:rPr>
                <w:noProof/>
                <w:webHidden/>
              </w:rPr>
              <w:fldChar w:fldCharType="begin"/>
            </w:r>
            <w:r>
              <w:rPr>
                <w:noProof/>
                <w:webHidden/>
              </w:rPr>
              <w:instrText xml:space="preserve"> PAGEREF _Toc191284472 \h </w:instrText>
            </w:r>
            <w:r>
              <w:rPr>
                <w:noProof/>
                <w:webHidden/>
              </w:rPr>
            </w:r>
            <w:r>
              <w:rPr>
                <w:noProof/>
                <w:webHidden/>
              </w:rPr>
              <w:fldChar w:fldCharType="separate"/>
            </w:r>
            <w:r>
              <w:rPr>
                <w:noProof/>
                <w:webHidden/>
              </w:rPr>
              <w:t>2</w:t>
            </w:r>
            <w:r>
              <w:rPr>
                <w:noProof/>
                <w:webHidden/>
              </w:rPr>
              <w:fldChar w:fldCharType="end"/>
            </w:r>
          </w:hyperlink>
        </w:p>
        <w:p w14:paraId="14FACE1C" w14:textId="2589B343" w:rsidR="00ED147F" w:rsidRDefault="00ED147F">
          <w:pPr>
            <w:tabs>
              <w:tab w:val="left" w:pos="8282"/>
              <w:tab w:val="right" w:leader="dot" w:pos="10055"/>
            </w:tabs>
            <w:rPr>
              <w:rFonts w:asciiTheme="minorHAnsi" w:eastAsiaTheme="minorEastAsia" w:hAnsiTheme="minorHAnsi" w:cstheme="minorBidi"/>
              <w:b/>
              <w:bCs/>
              <w:caps/>
              <w:noProof/>
              <w:kern w:val="2"/>
              <w14:ligatures w14:val="standardContextual"/>
            </w:rPr>
          </w:pPr>
          <w:hyperlink w:anchor="_Toc191284473" w:history="1">
            <w:r w:rsidRPr="00517C62">
              <w:rPr>
                <w:rFonts w:ascii="Tahoma" w:hAnsi="Tahoma" w:cs="Tahoma"/>
                <w:b/>
                <w:noProof/>
              </w:rPr>
              <w:t>2.3.3. ИНФОРМАЦИЯ ОБ УСЛОВИЯХ ПРЕДОСТАВЛЕНИЯ, ИСПОЛЬЗОВАНИЯ И ВОЗВРАТА ИПОТЕЧНОГО КРЕДИТА ПО ТАРИФНОМУ ПЛАНУ «РЕФИНАНСИРОВАНИЕ»</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116</w:t>
            </w:r>
            <w:r>
              <w:rPr>
                <w:noProof/>
                <w:webHidden/>
              </w:rPr>
              <w:tab/>
            </w:r>
            <w:r>
              <w:rPr>
                <w:noProof/>
                <w:webHidden/>
              </w:rPr>
              <w:fldChar w:fldCharType="begin"/>
            </w:r>
            <w:r>
              <w:rPr>
                <w:noProof/>
                <w:webHidden/>
              </w:rPr>
              <w:instrText xml:space="preserve"> PAGEREF _Toc191284473 \h </w:instrText>
            </w:r>
            <w:r>
              <w:rPr>
                <w:noProof/>
                <w:webHidden/>
              </w:rPr>
            </w:r>
            <w:r>
              <w:rPr>
                <w:noProof/>
                <w:webHidden/>
              </w:rPr>
              <w:fldChar w:fldCharType="separate"/>
            </w:r>
            <w:r>
              <w:rPr>
                <w:noProof/>
                <w:webHidden/>
              </w:rPr>
              <w:t>2</w:t>
            </w:r>
            <w:r>
              <w:rPr>
                <w:noProof/>
                <w:webHidden/>
              </w:rPr>
              <w:fldChar w:fldCharType="end"/>
            </w:r>
          </w:hyperlink>
        </w:p>
        <w:p w14:paraId="74C1BFB1" w14:textId="03CC8010" w:rsidR="00ED147F" w:rsidRDefault="00ED147F">
          <w:pPr>
            <w:tabs>
              <w:tab w:val="left" w:pos="8282"/>
              <w:tab w:val="right" w:leader="dot" w:pos="10055"/>
            </w:tabs>
            <w:rPr>
              <w:rFonts w:asciiTheme="minorHAnsi" w:eastAsiaTheme="minorEastAsia" w:hAnsiTheme="minorHAnsi" w:cstheme="minorBidi"/>
              <w:b/>
              <w:bCs/>
              <w:caps/>
              <w:noProof/>
              <w:kern w:val="2"/>
              <w14:ligatures w14:val="standardContextual"/>
            </w:rPr>
          </w:pPr>
          <w:hyperlink w:anchor="_Toc191284474" w:history="1">
            <w:r w:rsidRPr="00517C62">
              <w:rPr>
                <w:rFonts w:ascii="Tahoma" w:hAnsi="Tahoma" w:cs="Tahoma"/>
                <w:b/>
                <w:noProof/>
              </w:rPr>
              <w:t>2.3.4. ИНФОРМАЦИЯ ОБ УСЛОВИЯХ ПРЕДОСТАВЛЕНИЯ, ИСПОЛЬЗОВАНИЯ И ВОЗВРАТА ИПОТЕЧНОГО КРЕДИТА «ДАЛЬНЕВОСТОЧНАЯ И АРКТИЧЕСКАЯ ИПОТЕКА»</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135</w:t>
            </w:r>
            <w:r>
              <w:rPr>
                <w:noProof/>
                <w:webHidden/>
              </w:rPr>
              <w:tab/>
            </w:r>
            <w:r>
              <w:rPr>
                <w:noProof/>
                <w:webHidden/>
              </w:rPr>
              <w:fldChar w:fldCharType="begin"/>
            </w:r>
            <w:r>
              <w:rPr>
                <w:noProof/>
                <w:webHidden/>
              </w:rPr>
              <w:instrText xml:space="preserve"> PAGEREF _Toc191284474 \h </w:instrText>
            </w:r>
            <w:r>
              <w:rPr>
                <w:noProof/>
                <w:webHidden/>
              </w:rPr>
            </w:r>
            <w:r>
              <w:rPr>
                <w:noProof/>
                <w:webHidden/>
              </w:rPr>
              <w:fldChar w:fldCharType="separate"/>
            </w:r>
            <w:r>
              <w:rPr>
                <w:noProof/>
                <w:webHidden/>
              </w:rPr>
              <w:t>2</w:t>
            </w:r>
            <w:r>
              <w:rPr>
                <w:noProof/>
                <w:webHidden/>
              </w:rPr>
              <w:fldChar w:fldCharType="end"/>
            </w:r>
          </w:hyperlink>
        </w:p>
        <w:p w14:paraId="47E3D9FE" w14:textId="25DE6096" w:rsidR="00ED147F" w:rsidRDefault="00ED147F">
          <w:pPr>
            <w:tabs>
              <w:tab w:val="left" w:pos="8279"/>
              <w:tab w:val="right" w:leader="dot" w:pos="10055"/>
            </w:tabs>
            <w:rPr>
              <w:rFonts w:asciiTheme="minorHAnsi" w:eastAsiaTheme="minorEastAsia" w:hAnsiTheme="minorHAnsi" w:cstheme="minorBidi"/>
              <w:b/>
              <w:bCs/>
              <w:caps/>
              <w:noProof/>
              <w:kern w:val="2"/>
              <w14:ligatures w14:val="standardContextual"/>
            </w:rPr>
          </w:pPr>
          <w:hyperlink w:anchor="_Toc191284475" w:history="1">
            <w:r w:rsidRPr="00517C62">
              <w:rPr>
                <w:rFonts w:ascii="Tahoma" w:hAnsi="Tahoma" w:cs="Tahoma"/>
                <w:b/>
                <w:noProof/>
              </w:rPr>
              <w:t>2.3.5.</w:t>
            </w:r>
            <w:r w:rsidRPr="00517C62">
              <w:rPr>
                <w:noProof/>
              </w:rPr>
              <w:t xml:space="preserve"> </w:t>
            </w:r>
            <w:r w:rsidRPr="00517C62">
              <w:rPr>
                <w:rFonts w:ascii="Tahoma" w:hAnsi="Tahoma" w:cs="Tahoma"/>
                <w:b/>
                <w:noProof/>
              </w:rPr>
              <w:t>ИНФОРМАЦИЯ ОБ УСЛОВИЯХ ПРЕДОСТАВЛЕНИЯ, ИСПОЛЬЗОВАНИЯ И ВОЗВРАТА ИПОТЕЧНОГО КРЕДИТА ПО ТАРИФНОМУ ПЛАНУ «СЕМЕЙНАЯ ИПОТЕКА»</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159</w:t>
            </w:r>
            <w:r>
              <w:rPr>
                <w:noProof/>
                <w:webHidden/>
              </w:rPr>
              <w:tab/>
            </w:r>
            <w:r>
              <w:rPr>
                <w:noProof/>
                <w:webHidden/>
              </w:rPr>
              <w:fldChar w:fldCharType="begin"/>
            </w:r>
            <w:r>
              <w:rPr>
                <w:noProof/>
                <w:webHidden/>
              </w:rPr>
              <w:instrText xml:space="preserve"> PAGEREF _Toc191284475 \h </w:instrText>
            </w:r>
            <w:r>
              <w:rPr>
                <w:noProof/>
                <w:webHidden/>
              </w:rPr>
            </w:r>
            <w:r>
              <w:rPr>
                <w:noProof/>
                <w:webHidden/>
              </w:rPr>
              <w:fldChar w:fldCharType="separate"/>
            </w:r>
            <w:r>
              <w:rPr>
                <w:noProof/>
                <w:webHidden/>
              </w:rPr>
              <w:t>2</w:t>
            </w:r>
            <w:r>
              <w:rPr>
                <w:noProof/>
                <w:webHidden/>
              </w:rPr>
              <w:fldChar w:fldCharType="end"/>
            </w:r>
          </w:hyperlink>
        </w:p>
        <w:p w14:paraId="0B2EC64F" w14:textId="3D733777" w:rsidR="00ED147F" w:rsidRDefault="00ED147F">
          <w:pPr>
            <w:tabs>
              <w:tab w:val="left" w:pos="8509"/>
              <w:tab w:val="right" w:leader="dot" w:pos="10055"/>
            </w:tabs>
            <w:rPr>
              <w:rFonts w:asciiTheme="minorHAnsi" w:eastAsiaTheme="minorEastAsia" w:hAnsiTheme="minorHAnsi" w:cstheme="minorBidi"/>
              <w:b/>
              <w:bCs/>
              <w:caps/>
              <w:noProof/>
              <w:kern w:val="2"/>
              <w14:ligatures w14:val="standardContextual"/>
            </w:rPr>
          </w:pPr>
          <w:hyperlink w:anchor="_Toc191284476" w:history="1">
            <w:r w:rsidRPr="00517C62">
              <w:rPr>
                <w:rFonts w:ascii="Tahoma" w:hAnsi="Tahoma" w:cs="Tahoma"/>
                <w:b/>
                <w:noProof/>
              </w:rPr>
              <w:t>2.3.6. ИНФОРМАЦИЯ ОБ УСЛОВИЯХ КЛИЕНТСКОГО ПРЕДЛОЖЕНИЯ «ПРОСТАЯ ИПОТЕКА» ПО ТАРИФНЫМ ПЛАНАМ «ГОТОВОЕ ЖИЛЬЕ», «СТРОЯЩЕЕСЯ ЖИЛЬЕ», «РЕФИНАНСИРОВАНИЕ», «ИПОТЕКА С ГОСПОДДЕРЖКОЙ ПОД 7%» И «ДАЛЬНЕВОСТОЧНАЯ ИПОТЕКА»</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189</w:t>
            </w:r>
            <w:r>
              <w:rPr>
                <w:noProof/>
                <w:webHidden/>
              </w:rPr>
              <w:tab/>
            </w:r>
            <w:r>
              <w:rPr>
                <w:noProof/>
                <w:webHidden/>
              </w:rPr>
              <w:fldChar w:fldCharType="begin"/>
            </w:r>
            <w:r>
              <w:rPr>
                <w:noProof/>
                <w:webHidden/>
              </w:rPr>
              <w:instrText xml:space="preserve"> PAGEREF _Toc191284476 \h </w:instrText>
            </w:r>
            <w:r>
              <w:rPr>
                <w:noProof/>
                <w:webHidden/>
              </w:rPr>
            </w:r>
            <w:r>
              <w:rPr>
                <w:noProof/>
                <w:webHidden/>
              </w:rPr>
              <w:fldChar w:fldCharType="separate"/>
            </w:r>
            <w:r>
              <w:rPr>
                <w:noProof/>
                <w:webHidden/>
              </w:rPr>
              <w:t>2</w:t>
            </w:r>
            <w:r>
              <w:rPr>
                <w:noProof/>
                <w:webHidden/>
              </w:rPr>
              <w:fldChar w:fldCharType="end"/>
            </w:r>
          </w:hyperlink>
        </w:p>
        <w:p w14:paraId="1C7A80CB" w14:textId="5BA7C18E" w:rsidR="00ED147F" w:rsidRDefault="00ED147F">
          <w:pPr>
            <w:tabs>
              <w:tab w:val="left" w:pos="4365"/>
              <w:tab w:val="right" w:leader="dot" w:pos="10055"/>
            </w:tabs>
            <w:rPr>
              <w:rFonts w:asciiTheme="minorHAnsi" w:eastAsiaTheme="minorEastAsia" w:hAnsiTheme="minorHAnsi" w:cstheme="minorBidi"/>
              <w:b/>
              <w:bCs/>
              <w:caps/>
              <w:noProof/>
              <w:kern w:val="2"/>
              <w14:ligatures w14:val="standardContextual"/>
            </w:rPr>
          </w:pPr>
          <w:hyperlink w:anchor="_Toc191284477" w:history="1">
            <w:r w:rsidRPr="00517C62">
              <w:rPr>
                <w:rFonts w:ascii="Tahoma" w:hAnsi="Tahoma" w:cs="Tahoma"/>
                <w:b/>
                <w:noProof/>
              </w:rPr>
              <w:t>2.3.7. ТАРИФНЫЙ ПЛАН «НЕЦЕЛЕВОЙ»</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192</w:t>
            </w:r>
            <w:r>
              <w:rPr>
                <w:noProof/>
                <w:webHidden/>
              </w:rPr>
              <w:tab/>
            </w:r>
            <w:r>
              <w:rPr>
                <w:noProof/>
                <w:webHidden/>
              </w:rPr>
              <w:fldChar w:fldCharType="begin"/>
            </w:r>
            <w:r>
              <w:rPr>
                <w:noProof/>
                <w:webHidden/>
              </w:rPr>
              <w:instrText xml:space="preserve"> PAGEREF _Toc191284477 \h </w:instrText>
            </w:r>
            <w:r>
              <w:rPr>
                <w:noProof/>
                <w:webHidden/>
              </w:rPr>
            </w:r>
            <w:r>
              <w:rPr>
                <w:noProof/>
                <w:webHidden/>
              </w:rPr>
              <w:fldChar w:fldCharType="separate"/>
            </w:r>
            <w:r>
              <w:rPr>
                <w:noProof/>
                <w:webHidden/>
              </w:rPr>
              <w:t>2</w:t>
            </w:r>
            <w:r>
              <w:rPr>
                <w:noProof/>
                <w:webHidden/>
              </w:rPr>
              <w:fldChar w:fldCharType="end"/>
            </w:r>
          </w:hyperlink>
        </w:p>
        <w:p w14:paraId="22ABB926" w14:textId="574EE540" w:rsidR="00ED147F" w:rsidRDefault="00ED147F">
          <w:pPr>
            <w:tabs>
              <w:tab w:val="left" w:pos="5728"/>
              <w:tab w:val="right" w:leader="dot" w:pos="10055"/>
            </w:tabs>
            <w:rPr>
              <w:rFonts w:asciiTheme="minorHAnsi" w:eastAsiaTheme="minorEastAsia" w:hAnsiTheme="minorHAnsi" w:cstheme="minorBidi"/>
              <w:b/>
              <w:bCs/>
              <w:caps/>
              <w:noProof/>
              <w:kern w:val="2"/>
              <w14:ligatures w14:val="standardContextual"/>
            </w:rPr>
          </w:pPr>
          <w:hyperlink w:anchor="_Toc191284478" w:history="1">
            <w:r w:rsidRPr="00517C62">
              <w:rPr>
                <w:rFonts w:ascii="Tahoma" w:hAnsi="Tahoma" w:cs="Tahoma"/>
                <w:b/>
                <w:noProof/>
              </w:rPr>
              <w:t>2.3.8. ТАРИФНЫЙ ПЛАН «МАТЕРИНСКИЙ КАПИТАЛ»</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214</w:t>
            </w:r>
            <w:r>
              <w:rPr>
                <w:noProof/>
                <w:webHidden/>
              </w:rPr>
              <w:tab/>
            </w:r>
            <w:r>
              <w:rPr>
                <w:noProof/>
                <w:webHidden/>
              </w:rPr>
              <w:fldChar w:fldCharType="begin"/>
            </w:r>
            <w:r>
              <w:rPr>
                <w:noProof/>
                <w:webHidden/>
              </w:rPr>
              <w:instrText xml:space="preserve"> PAGEREF _Toc191284478 \h </w:instrText>
            </w:r>
            <w:r>
              <w:rPr>
                <w:noProof/>
                <w:webHidden/>
              </w:rPr>
            </w:r>
            <w:r>
              <w:rPr>
                <w:noProof/>
                <w:webHidden/>
              </w:rPr>
              <w:fldChar w:fldCharType="separate"/>
            </w:r>
            <w:r>
              <w:rPr>
                <w:noProof/>
                <w:webHidden/>
              </w:rPr>
              <w:t>2</w:t>
            </w:r>
            <w:r>
              <w:rPr>
                <w:noProof/>
                <w:webHidden/>
              </w:rPr>
              <w:fldChar w:fldCharType="end"/>
            </w:r>
          </w:hyperlink>
        </w:p>
        <w:p w14:paraId="30EAB2A2" w14:textId="6FE3084C" w:rsidR="00ED147F" w:rsidRDefault="00ED147F">
          <w:pPr>
            <w:tabs>
              <w:tab w:val="left" w:pos="8277"/>
              <w:tab w:val="right" w:leader="dot" w:pos="10055"/>
            </w:tabs>
            <w:rPr>
              <w:rFonts w:asciiTheme="minorHAnsi" w:eastAsiaTheme="minorEastAsia" w:hAnsiTheme="minorHAnsi" w:cstheme="minorBidi"/>
              <w:b/>
              <w:bCs/>
              <w:caps/>
              <w:noProof/>
              <w:kern w:val="2"/>
              <w14:ligatures w14:val="standardContextual"/>
            </w:rPr>
          </w:pPr>
          <w:hyperlink w:anchor="_Toc191284479" w:history="1">
            <w:r w:rsidRPr="00517C62">
              <w:rPr>
                <w:rFonts w:ascii="Tahoma" w:hAnsi="Tahoma" w:cs="Tahoma"/>
                <w:b/>
                <w:noProof/>
              </w:rPr>
              <w:t>2.4. ТАРИФНЫЕ ПЛАНЫ ПО КРЕДИТОВАНИЮ ФИЗИЧЕСКИХ ЛИЦ ПОД ЗАЛОГ ТРАНСПОРТНОГО СРЕДСТВА</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217</w:t>
            </w:r>
            <w:r>
              <w:rPr>
                <w:noProof/>
                <w:webHidden/>
              </w:rPr>
              <w:tab/>
            </w:r>
            <w:r>
              <w:rPr>
                <w:noProof/>
                <w:webHidden/>
              </w:rPr>
              <w:fldChar w:fldCharType="begin"/>
            </w:r>
            <w:r>
              <w:rPr>
                <w:noProof/>
                <w:webHidden/>
              </w:rPr>
              <w:instrText xml:space="preserve"> PAGEREF _Toc191284479 \h </w:instrText>
            </w:r>
            <w:r>
              <w:rPr>
                <w:noProof/>
                <w:webHidden/>
              </w:rPr>
            </w:r>
            <w:r>
              <w:rPr>
                <w:noProof/>
                <w:webHidden/>
              </w:rPr>
              <w:fldChar w:fldCharType="separate"/>
            </w:r>
            <w:r>
              <w:rPr>
                <w:noProof/>
                <w:webHidden/>
              </w:rPr>
              <w:t>2</w:t>
            </w:r>
            <w:r>
              <w:rPr>
                <w:noProof/>
                <w:webHidden/>
              </w:rPr>
              <w:fldChar w:fldCharType="end"/>
            </w:r>
          </w:hyperlink>
        </w:p>
        <w:p w14:paraId="36D3C3CC" w14:textId="7F8D002F" w:rsidR="00ED147F" w:rsidRDefault="00ED147F">
          <w:pPr>
            <w:tabs>
              <w:tab w:val="left" w:pos="4574"/>
              <w:tab w:val="right" w:leader="dot" w:pos="10055"/>
            </w:tabs>
            <w:rPr>
              <w:rFonts w:asciiTheme="minorHAnsi" w:eastAsiaTheme="minorEastAsia" w:hAnsiTheme="minorHAnsi" w:cstheme="minorBidi"/>
              <w:b/>
              <w:bCs/>
              <w:caps/>
              <w:noProof/>
              <w:kern w:val="2"/>
              <w14:ligatures w14:val="standardContextual"/>
            </w:rPr>
          </w:pPr>
          <w:hyperlink w:anchor="_Toc191284480" w:history="1">
            <w:r w:rsidRPr="00517C62">
              <w:rPr>
                <w:rFonts w:ascii="Tahoma" w:hAnsi="Tahoma" w:cs="Tahoma"/>
                <w:b/>
                <w:noProof/>
              </w:rPr>
              <w:t>2.4.1.ТАРИФНЫЙ ПЛАН «ЛЁГКИЙ СТАРТ»</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217</w:t>
            </w:r>
            <w:r>
              <w:rPr>
                <w:noProof/>
                <w:webHidden/>
              </w:rPr>
              <w:tab/>
            </w:r>
            <w:r>
              <w:rPr>
                <w:noProof/>
                <w:webHidden/>
              </w:rPr>
              <w:fldChar w:fldCharType="begin"/>
            </w:r>
            <w:r>
              <w:rPr>
                <w:noProof/>
                <w:webHidden/>
              </w:rPr>
              <w:instrText xml:space="preserve"> PAGEREF _Toc191284480 \h </w:instrText>
            </w:r>
            <w:r>
              <w:rPr>
                <w:noProof/>
                <w:webHidden/>
              </w:rPr>
            </w:r>
            <w:r>
              <w:rPr>
                <w:noProof/>
                <w:webHidden/>
              </w:rPr>
              <w:fldChar w:fldCharType="separate"/>
            </w:r>
            <w:r>
              <w:rPr>
                <w:noProof/>
                <w:webHidden/>
              </w:rPr>
              <w:t>2</w:t>
            </w:r>
            <w:r>
              <w:rPr>
                <w:noProof/>
                <w:webHidden/>
              </w:rPr>
              <w:fldChar w:fldCharType="end"/>
            </w:r>
          </w:hyperlink>
        </w:p>
        <w:p w14:paraId="750B45DE" w14:textId="2BFB1A6B" w:rsidR="00ED147F" w:rsidRDefault="00ED147F">
          <w:pPr>
            <w:tabs>
              <w:tab w:val="left" w:pos="4641"/>
              <w:tab w:val="right" w:leader="dot" w:pos="10055"/>
            </w:tabs>
            <w:rPr>
              <w:rFonts w:asciiTheme="minorHAnsi" w:eastAsiaTheme="minorEastAsia" w:hAnsiTheme="minorHAnsi" w:cstheme="minorBidi"/>
              <w:b/>
              <w:bCs/>
              <w:caps/>
              <w:noProof/>
              <w:kern w:val="2"/>
              <w14:ligatures w14:val="standardContextual"/>
            </w:rPr>
          </w:pPr>
          <w:hyperlink w:anchor="_Toc191284481" w:history="1">
            <w:r w:rsidRPr="00517C62">
              <w:rPr>
                <w:rFonts w:ascii="Tahoma" w:hAnsi="Tahoma" w:cs="Tahoma"/>
                <w:b/>
                <w:noProof/>
              </w:rPr>
              <w:t>2.4.2.ТАРИФНЫЙ ПЛАН «ЛЁГКИЙ ДРАЙВ»</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225</w:t>
            </w:r>
            <w:r>
              <w:rPr>
                <w:noProof/>
                <w:webHidden/>
              </w:rPr>
              <w:tab/>
            </w:r>
            <w:r>
              <w:rPr>
                <w:noProof/>
                <w:webHidden/>
              </w:rPr>
              <w:fldChar w:fldCharType="begin"/>
            </w:r>
            <w:r>
              <w:rPr>
                <w:noProof/>
                <w:webHidden/>
              </w:rPr>
              <w:instrText xml:space="preserve"> PAGEREF _Toc191284481 \h </w:instrText>
            </w:r>
            <w:r>
              <w:rPr>
                <w:noProof/>
                <w:webHidden/>
              </w:rPr>
            </w:r>
            <w:r>
              <w:rPr>
                <w:noProof/>
                <w:webHidden/>
              </w:rPr>
              <w:fldChar w:fldCharType="separate"/>
            </w:r>
            <w:r>
              <w:rPr>
                <w:noProof/>
                <w:webHidden/>
              </w:rPr>
              <w:t>2</w:t>
            </w:r>
            <w:r>
              <w:rPr>
                <w:noProof/>
                <w:webHidden/>
              </w:rPr>
              <w:fldChar w:fldCharType="end"/>
            </w:r>
          </w:hyperlink>
        </w:p>
        <w:p w14:paraId="4C8450E8" w14:textId="0B809ED7" w:rsidR="00ED147F" w:rsidRDefault="00ED147F">
          <w:pPr>
            <w:tabs>
              <w:tab w:val="left" w:pos="4679"/>
              <w:tab w:val="right" w:leader="dot" w:pos="10055"/>
            </w:tabs>
            <w:rPr>
              <w:rFonts w:asciiTheme="minorHAnsi" w:eastAsiaTheme="minorEastAsia" w:hAnsiTheme="minorHAnsi" w:cstheme="minorBidi"/>
              <w:b/>
              <w:bCs/>
              <w:caps/>
              <w:noProof/>
              <w:kern w:val="2"/>
              <w14:ligatures w14:val="standardContextual"/>
            </w:rPr>
          </w:pPr>
          <w:hyperlink w:anchor="_Toc191284482" w:history="1">
            <w:r w:rsidRPr="00517C62">
              <w:rPr>
                <w:rFonts w:ascii="Tahoma" w:hAnsi="Tahoma" w:cs="Tahoma"/>
                <w:b/>
                <w:noProof/>
              </w:rPr>
              <w:t>2.4.3.ТАРИФНЫЙ ПЛАН «ЛЁГКИЙ ВЫБОР»</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233</w:t>
            </w:r>
            <w:r>
              <w:rPr>
                <w:noProof/>
                <w:webHidden/>
              </w:rPr>
              <w:tab/>
            </w:r>
            <w:r>
              <w:rPr>
                <w:noProof/>
                <w:webHidden/>
              </w:rPr>
              <w:fldChar w:fldCharType="begin"/>
            </w:r>
            <w:r>
              <w:rPr>
                <w:noProof/>
                <w:webHidden/>
              </w:rPr>
              <w:instrText xml:space="preserve"> PAGEREF _Toc191284482 \h </w:instrText>
            </w:r>
            <w:r>
              <w:rPr>
                <w:noProof/>
                <w:webHidden/>
              </w:rPr>
            </w:r>
            <w:r>
              <w:rPr>
                <w:noProof/>
                <w:webHidden/>
              </w:rPr>
              <w:fldChar w:fldCharType="separate"/>
            </w:r>
            <w:r>
              <w:rPr>
                <w:noProof/>
                <w:webHidden/>
              </w:rPr>
              <w:t>2</w:t>
            </w:r>
            <w:r>
              <w:rPr>
                <w:noProof/>
                <w:webHidden/>
              </w:rPr>
              <w:fldChar w:fldCharType="end"/>
            </w:r>
          </w:hyperlink>
        </w:p>
        <w:p w14:paraId="0B20A67B" w14:textId="048B2C36" w:rsidR="00ED147F" w:rsidRDefault="00ED147F">
          <w:pPr>
            <w:tabs>
              <w:tab w:val="left" w:pos="4221"/>
              <w:tab w:val="right" w:leader="dot" w:pos="10055"/>
            </w:tabs>
            <w:rPr>
              <w:rFonts w:asciiTheme="minorHAnsi" w:eastAsiaTheme="minorEastAsia" w:hAnsiTheme="minorHAnsi" w:cstheme="minorBidi"/>
              <w:b/>
              <w:bCs/>
              <w:caps/>
              <w:noProof/>
              <w:kern w:val="2"/>
              <w14:ligatures w14:val="standardContextual"/>
            </w:rPr>
          </w:pPr>
          <w:hyperlink w:anchor="_Toc191284483" w:history="1">
            <w:r w:rsidRPr="00517C62">
              <w:rPr>
                <w:rFonts w:ascii="Tahoma" w:hAnsi="Tahoma" w:cs="Tahoma"/>
                <w:b/>
                <w:noProof/>
              </w:rPr>
              <w:t>2.4.4.ТАРИФНЫЙ ПЛАН «НОВЫЕ_ОД»</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241</w:t>
            </w:r>
            <w:r>
              <w:rPr>
                <w:noProof/>
                <w:webHidden/>
              </w:rPr>
              <w:tab/>
            </w:r>
            <w:r>
              <w:rPr>
                <w:noProof/>
                <w:webHidden/>
              </w:rPr>
              <w:fldChar w:fldCharType="begin"/>
            </w:r>
            <w:r>
              <w:rPr>
                <w:noProof/>
                <w:webHidden/>
              </w:rPr>
              <w:instrText xml:space="preserve"> PAGEREF _Toc191284483 \h </w:instrText>
            </w:r>
            <w:r>
              <w:rPr>
                <w:noProof/>
                <w:webHidden/>
              </w:rPr>
            </w:r>
            <w:r>
              <w:rPr>
                <w:noProof/>
                <w:webHidden/>
              </w:rPr>
              <w:fldChar w:fldCharType="separate"/>
            </w:r>
            <w:r>
              <w:rPr>
                <w:noProof/>
                <w:webHidden/>
              </w:rPr>
              <w:t>2</w:t>
            </w:r>
            <w:r>
              <w:rPr>
                <w:noProof/>
                <w:webHidden/>
              </w:rPr>
              <w:fldChar w:fldCharType="end"/>
            </w:r>
          </w:hyperlink>
        </w:p>
        <w:p w14:paraId="7E9F7A1F" w14:textId="29B035DA" w:rsidR="00ED147F" w:rsidRDefault="00ED147F">
          <w:pPr>
            <w:tabs>
              <w:tab w:val="left" w:pos="3944"/>
              <w:tab w:val="right" w:leader="dot" w:pos="10055"/>
            </w:tabs>
            <w:rPr>
              <w:rFonts w:asciiTheme="minorHAnsi" w:eastAsiaTheme="minorEastAsia" w:hAnsiTheme="minorHAnsi" w:cstheme="minorBidi"/>
              <w:b/>
              <w:bCs/>
              <w:caps/>
              <w:noProof/>
              <w:kern w:val="2"/>
              <w14:ligatures w14:val="standardContextual"/>
            </w:rPr>
          </w:pPr>
          <w:hyperlink w:anchor="_Toc191284484" w:history="1">
            <w:r w:rsidRPr="00517C62">
              <w:rPr>
                <w:rFonts w:ascii="Tahoma" w:hAnsi="Tahoma" w:cs="Tahoma"/>
                <w:b/>
                <w:noProof/>
              </w:rPr>
              <w:t>2.4.5. ТАРИФНЫЙ ПЛАН «АСП_ОД»</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249</w:t>
            </w:r>
            <w:r>
              <w:rPr>
                <w:noProof/>
                <w:webHidden/>
              </w:rPr>
              <w:tab/>
            </w:r>
            <w:r>
              <w:rPr>
                <w:noProof/>
                <w:webHidden/>
              </w:rPr>
              <w:fldChar w:fldCharType="begin"/>
            </w:r>
            <w:r>
              <w:rPr>
                <w:noProof/>
                <w:webHidden/>
              </w:rPr>
              <w:instrText xml:space="preserve"> PAGEREF _Toc191284484 \h </w:instrText>
            </w:r>
            <w:r>
              <w:rPr>
                <w:noProof/>
                <w:webHidden/>
              </w:rPr>
            </w:r>
            <w:r>
              <w:rPr>
                <w:noProof/>
                <w:webHidden/>
              </w:rPr>
              <w:fldChar w:fldCharType="separate"/>
            </w:r>
            <w:r>
              <w:rPr>
                <w:noProof/>
                <w:webHidden/>
              </w:rPr>
              <w:t>2</w:t>
            </w:r>
            <w:r>
              <w:rPr>
                <w:noProof/>
                <w:webHidden/>
              </w:rPr>
              <w:fldChar w:fldCharType="end"/>
            </w:r>
          </w:hyperlink>
        </w:p>
        <w:p w14:paraId="471CF55E" w14:textId="19883C2D" w:rsidR="00ED147F" w:rsidRDefault="00ED147F">
          <w:pPr>
            <w:tabs>
              <w:tab w:val="left" w:pos="3761"/>
              <w:tab w:val="right" w:leader="dot" w:pos="10055"/>
            </w:tabs>
            <w:rPr>
              <w:rFonts w:asciiTheme="minorHAnsi" w:eastAsiaTheme="minorEastAsia" w:hAnsiTheme="minorHAnsi" w:cstheme="minorBidi"/>
              <w:b/>
              <w:bCs/>
              <w:caps/>
              <w:noProof/>
              <w:kern w:val="2"/>
              <w14:ligatures w14:val="standardContextual"/>
            </w:rPr>
          </w:pPr>
          <w:hyperlink w:anchor="_Toc191284485" w:history="1">
            <w:r w:rsidRPr="00517C62">
              <w:rPr>
                <w:rFonts w:ascii="Tahoma" w:hAnsi="Tahoma" w:cs="Tahoma"/>
                <w:b/>
                <w:noProof/>
              </w:rPr>
              <w:t>2.4.6.ТАРИФНЫЙ ПЛАН «ХОНДА»</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257</w:t>
            </w:r>
            <w:r>
              <w:rPr>
                <w:noProof/>
                <w:webHidden/>
              </w:rPr>
              <w:tab/>
            </w:r>
            <w:r>
              <w:rPr>
                <w:noProof/>
                <w:webHidden/>
              </w:rPr>
              <w:fldChar w:fldCharType="begin"/>
            </w:r>
            <w:r>
              <w:rPr>
                <w:noProof/>
                <w:webHidden/>
              </w:rPr>
              <w:instrText xml:space="preserve"> PAGEREF _Toc191284485 \h </w:instrText>
            </w:r>
            <w:r>
              <w:rPr>
                <w:noProof/>
                <w:webHidden/>
              </w:rPr>
            </w:r>
            <w:r>
              <w:rPr>
                <w:noProof/>
                <w:webHidden/>
              </w:rPr>
              <w:fldChar w:fldCharType="separate"/>
            </w:r>
            <w:r>
              <w:rPr>
                <w:noProof/>
                <w:webHidden/>
              </w:rPr>
              <w:t>2</w:t>
            </w:r>
            <w:r>
              <w:rPr>
                <w:noProof/>
                <w:webHidden/>
              </w:rPr>
              <w:fldChar w:fldCharType="end"/>
            </w:r>
          </w:hyperlink>
        </w:p>
        <w:p w14:paraId="3CFDE599" w14:textId="3C254CB5" w:rsidR="00ED147F" w:rsidRDefault="00ED147F">
          <w:pPr>
            <w:tabs>
              <w:tab w:val="left" w:pos="3446"/>
              <w:tab w:val="right" w:leader="dot" w:pos="10055"/>
            </w:tabs>
            <w:rPr>
              <w:rFonts w:asciiTheme="minorHAnsi" w:eastAsiaTheme="minorEastAsia" w:hAnsiTheme="minorHAnsi" w:cstheme="minorBidi"/>
              <w:b/>
              <w:bCs/>
              <w:caps/>
              <w:noProof/>
              <w:kern w:val="2"/>
              <w14:ligatures w14:val="standardContextual"/>
            </w:rPr>
          </w:pPr>
          <w:hyperlink w:anchor="_Toc191284486" w:history="1">
            <w:r w:rsidRPr="00517C62">
              <w:rPr>
                <w:rFonts w:ascii="Tahoma" w:hAnsi="Tahoma" w:cs="Tahoma"/>
                <w:b/>
                <w:noProof/>
              </w:rPr>
              <w:t>2.4.7.ТАРИФНЫЙ ПЛАН «VGV»</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265</w:t>
            </w:r>
            <w:r>
              <w:rPr>
                <w:noProof/>
                <w:webHidden/>
              </w:rPr>
              <w:tab/>
            </w:r>
            <w:r>
              <w:rPr>
                <w:noProof/>
                <w:webHidden/>
              </w:rPr>
              <w:fldChar w:fldCharType="begin"/>
            </w:r>
            <w:r>
              <w:rPr>
                <w:noProof/>
                <w:webHidden/>
              </w:rPr>
              <w:instrText xml:space="preserve"> PAGEREF _Toc191284486 \h </w:instrText>
            </w:r>
            <w:r>
              <w:rPr>
                <w:noProof/>
                <w:webHidden/>
              </w:rPr>
            </w:r>
            <w:r>
              <w:rPr>
                <w:noProof/>
                <w:webHidden/>
              </w:rPr>
              <w:fldChar w:fldCharType="separate"/>
            </w:r>
            <w:r>
              <w:rPr>
                <w:noProof/>
                <w:webHidden/>
              </w:rPr>
              <w:t>2</w:t>
            </w:r>
            <w:r>
              <w:rPr>
                <w:noProof/>
                <w:webHidden/>
              </w:rPr>
              <w:fldChar w:fldCharType="end"/>
            </w:r>
          </w:hyperlink>
        </w:p>
        <w:p w14:paraId="735DFF3D" w14:textId="5D995EAD" w:rsidR="00ED147F" w:rsidRDefault="00ED147F">
          <w:pPr>
            <w:tabs>
              <w:tab w:val="left" w:pos="4663"/>
              <w:tab w:val="right" w:leader="dot" w:pos="10055"/>
            </w:tabs>
            <w:rPr>
              <w:rFonts w:asciiTheme="minorHAnsi" w:eastAsiaTheme="minorEastAsia" w:hAnsiTheme="minorHAnsi" w:cstheme="minorBidi"/>
              <w:b/>
              <w:bCs/>
              <w:caps/>
              <w:noProof/>
              <w:kern w:val="2"/>
              <w14:ligatures w14:val="standardContextual"/>
            </w:rPr>
          </w:pPr>
          <w:hyperlink w:anchor="_Toc191284487" w:history="1">
            <w:r w:rsidRPr="00517C62">
              <w:rPr>
                <w:rFonts w:ascii="Tahoma" w:hAnsi="Tahoma" w:cs="Tahoma"/>
                <w:b/>
                <w:noProof/>
              </w:rPr>
              <w:t>2.4.8. ТАРИФНЫЙ ПЛАН «АВТОРЕШЕНИЕ»</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276</w:t>
            </w:r>
            <w:r>
              <w:rPr>
                <w:noProof/>
                <w:webHidden/>
              </w:rPr>
              <w:tab/>
            </w:r>
            <w:r>
              <w:rPr>
                <w:noProof/>
                <w:webHidden/>
              </w:rPr>
              <w:fldChar w:fldCharType="begin"/>
            </w:r>
            <w:r>
              <w:rPr>
                <w:noProof/>
                <w:webHidden/>
              </w:rPr>
              <w:instrText xml:space="preserve"> PAGEREF _Toc191284487 \h </w:instrText>
            </w:r>
            <w:r>
              <w:rPr>
                <w:noProof/>
                <w:webHidden/>
              </w:rPr>
            </w:r>
            <w:r>
              <w:rPr>
                <w:noProof/>
                <w:webHidden/>
              </w:rPr>
              <w:fldChar w:fldCharType="separate"/>
            </w:r>
            <w:r>
              <w:rPr>
                <w:noProof/>
                <w:webHidden/>
              </w:rPr>
              <w:t>2</w:t>
            </w:r>
            <w:r>
              <w:rPr>
                <w:noProof/>
                <w:webHidden/>
              </w:rPr>
              <w:fldChar w:fldCharType="end"/>
            </w:r>
          </w:hyperlink>
        </w:p>
        <w:p w14:paraId="7815AD22" w14:textId="133E2FF1" w:rsidR="00ED147F" w:rsidRDefault="00ED147F">
          <w:pPr>
            <w:tabs>
              <w:tab w:val="left" w:pos="4821"/>
              <w:tab w:val="right" w:leader="dot" w:pos="10055"/>
            </w:tabs>
            <w:rPr>
              <w:rFonts w:asciiTheme="minorHAnsi" w:eastAsiaTheme="minorEastAsia" w:hAnsiTheme="minorHAnsi" w:cstheme="minorBidi"/>
              <w:b/>
              <w:bCs/>
              <w:caps/>
              <w:noProof/>
              <w:kern w:val="2"/>
              <w14:ligatures w14:val="standardContextual"/>
            </w:rPr>
          </w:pPr>
          <w:hyperlink w:anchor="_Toc191284488" w:history="1">
            <w:r w:rsidRPr="00517C62">
              <w:rPr>
                <w:rFonts w:ascii="Tahoma" w:hAnsi="Tahoma" w:cs="Tahoma"/>
                <w:b/>
                <w:noProof/>
              </w:rPr>
              <w:t>2.4.9.ТАРИФНЫЙ ПЛАН «НОВЫЕ_ОНЛАЙН»</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279</w:t>
            </w:r>
            <w:r>
              <w:rPr>
                <w:noProof/>
                <w:webHidden/>
              </w:rPr>
              <w:tab/>
            </w:r>
            <w:r>
              <w:rPr>
                <w:noProof/>
                <w:webHidden/>
              </w:rPr>
              <w:fldChar w:fldCharType="begin"/>
            </w:r>
            <w:r>
              <w:rPr>
                <w:noProof/>
                <w:webHidden/>
              </w:rPr>
              <w:instrText xml:space="preserve"> PAGEREF _Toc191284488 \h </w:instrText>
            </w:r>
            <w:r>
              <w:rPr>
                <w:noProof/>
                <w:webHidden/>
              </w:rPr>
            </w:r>
            <w:r>
              <w:rPr>
                <w:noProof/>
                <w:webHidden/>
              </w:rPr>
              <w:fldChar w:fldCharType="separate"/>
            </w:r>
            <w:r>
              <w:rPr>
                <w:noProof/>
                <w:webHidden/>
              </w:rPr>
              <w:t>2</w:t>
            </w:r>
            <w:r>
              <w:rPr>
                <w:noProof/>
                <w:webHidden/>
              </w:rPr>
              <w:fldChar w:fldCharType="end"/>
            </w:r>
          </w:hyperlink>
        </w:p>
        <w:p w14:paraId="729FF9CB" w14:textId="4FE2B763" w:rsidR="00ED147F" w:rsidRDefault="00ED147F">
          <w:pPr>
            <w:tabs>
              <w:tab w:val="left" w:pos="4612"/>
              <w:tab w:val="right" w:leader="dot" w:pos="10055"/>
            </w:tabs>
            <w:rPr>
              <w:rFonts w:asciiTheme="minorHAnsi" w:eastAsiaTheme="minorEastAsia" w:hAnsiTheme="minorHAnsi" w:cstheme="minorBidi"/>
              <w:b/>
              <w:bCs/>
              <w:caps/>
              <w:noProof/>
              <w:kern w:val="2"/>
              <w14:ligatures w14:val="standardContextual"/>
            </w:rPr>
          </w:pPr>
          <w:hyperlink w:anchor="_Toc191284489" w:history="1">
            <w:r w:rsidRPr="00517C62">
              <w:rPr>
                <w:rFonts w:ascii="Tahoma" w:hAnsi="Tahoma" w:cs="Tahoma"/>
                <w:b/>
                <w:noProof/>
              </w:rPr>
              <w:t>2.4.10.ТАРИФНЫЙ ПЛАН «АСП_ОНЛАЙН»</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282</w:t>
            </w:r>
            <w:r>
              <w:rPr>
                <w:noProof/>
                <w:webHidden/>
              </w:rPr>
              <w:tab/>
            </w:r>
            <w:r>
              <w:rPr>
                <w:noProof/>
                <w:webHidden/>
              </w:rPr>
              <w:fldChar w:fldCharType="begin"/>
            </w:r>
            <w:r>
              <w:rPr>
                <w:noProof/>
                <w:webHidden/>
              </w:rPr>
              <w:instrText xml:space="preserve"> PAGEREF _Toc191284489 \h </w:instrText>
            </w:r>
            <w:r>
              <w:rPr>
                <w:noProof/>
                <w:webHidden/>
              </w:rPr>
            </w:r>
            <w:r>
              <w:rPr>
                <w:noProof/>
                <w:webHidden/>
              </w:rPr>
              <w:fldChar w:fldCharType="separate"/>
            </w:r>
            <w:r>
              <w:rPr>
                <w:noProof/>
                <w:webHidden/>
              </w:rPr>
              <w:t>2</w:t>
            </w:r>
            <w:r>
              <w:rPr>
                <w:noProof/>
                <w:webHidden/>
              </w:rPr>
              <w:fldChar w:fldCharType="end"/>
            </w:r>
          </w:hyperlink>
        </w:p>
        <w:p w14:paraId="7E3ED81A" w14:textId="34F49FA1" w:rsidR="00ED147F" w:rsidRDefault="00ED147F">
          <w:pPr>
            <w:tabs>
              <w:tab w:val="left" w:pos="3431"/>
              <w:tab w:val="right" w:leader="dot" w:pos="10055"/>
            </w:tabs>
            <w:rPr>
              <w:rFonts w:asciiTheme="minorHAnsi" w:eastAsiaTheme="minorEastAsia" w:hAnsiTheme="minorHAnsi" w:cstheme="minorBidi"/>
              <w:b/>
              <w:bCs/>
              <w:caps/>
              <w:noProof/>
              <w:kern w:val="2"/>
              <w14:ligatures w14:val="standardContextual"/>
            </w:rPr>
          </w:pPr>
          <w:hyperlink w:anchor="_Toc191284490" w:history="1">
            <w:r w:rsidRPr="00517C62">
              <w:rPr>
                <w:rFonts w:ascii="Tahoma" w:hAnsi="Tahoma" w:cs="Tahoma"/>
                <w:b/>
                <w:noProof/>
              </w:rPr>
              <w:t>3. ВКЛАДЫ ФИЗИЧЕСКИХ ЛИЦ</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284</w:t>
            </w:r>
            <w:r>
              <w:rPr>
                <w:noProof/>
                <w:webHidden/>
              </w:rPr>
              <w:tab/>
            </w:r>
            <w:r>
              <w:rPr>
                <w:noProof/>
                <w:webHidden/>
              </w:rPr>
              <w:fldChar w:fldCharType="begin"/>
            </w:r>
            <w:r>
              <w:rPr>
                <w:noProof/>
                <w:webHidden/>
              </w:rPr>
              <w:instrText xml:space="preserve"> PAGEREF _Toc191284490 \h </w:instrText>
            </w:r>
            <w:r>
              <w:rPr>
                <w:noProof/>
                <w:webHidden/>
              </w:rPr>
            </w:r>
            <w:r>
              <w:rPr>
                <w:noProof/>
                <w:webHidden/>
              </w:rPr>
              <w:fldChar w:fldCharType="separate"/>
            </w:r>
            <w:r>
              <w:rPr>
                <w:noProof/>
                <w:webHidden/>
              </w:rPr>
              <w:t>2</w:t>
            </w:r>
            <w:r>
              <w:rPr>
                <w:noProof/>
                <w:webHidden/>
              </w:rPr>
              <w:fldChar w:fldCharType="end"/>
            </w:r>
          </w:hyperlink>
        </w:p>
        <w:p w14:paraId="4BF56B49" w14:textId="3F18BF3A" w:rsidR="00ED147F" w:rsidRDefault="00ED147F">
          <w:pPr>
            <w:tabs>
              <w:tab w:val="left" w:pos="5701"/>
              <w:tab w:val="right" w:leader="dot" w:pos="10055"/>
            </w:tabs>
            <w:rPr>
              <w:rFonts w:asciiTheme="minorHAnsi" w:eastAsiaTheme="minorEastAsia" w:hAnsiTheme="minorHAnsi" w:cstheme="minorBidi"/>
              <w:b/>
              <w:bCs/>
              <w:caps/>
              <w:noProof/>
              <w:kern w:val="2"/>
              <w14:ligatures w14:val="standardContextual"/>
            </w:rPr>
          </w:pPr>
          <w:hyperlink w:anchor="_Toc191284491" w:history="1">
            <w:r w:rsidRPr="00517C62">
              <w:rPr>
                <w:rFonts w:ascii="Tahoma" w:hAnsi="Tahoma" w:cs="Tahoma"/>
                <w:b/>
                <w:noProof/>
              </w:rPr>
              <w:t>3.1. ВКЛАД «ЛИЧНЫЙ СЧЕТ» (ДО ВОСТРЕБОВАНИЯ)</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284</w:t>
            </w:r>
            <w:r>
              <w:rPr>
                <w:noProof/>
                <w:webHidden/>
              </w:rPr>
              <w:tab/>
            </w:r>
            <w:r>
              <w:rPr>
                <w:noProof/>
                <w:webHidden/>
              </w:rPr>
              <w:fldChar w:fldCharType="begin"/>
            </w:r>
            <w:r>
              <w:rPr>
                <w:noProof/>
                <w:webHidden/>
              </w:rPr>
              <w:instrText xml:space="preserve"> PAGEREF _Toc191284491 \h </w:instrText>
            </w:r>
            <w:r>
              <w:rPr>
                <w:noProof/>
                <w:webHidden/>
              </w:rPr>
            </w:r>
            <w:r>
              <w:rPr>
                <w:noProof/>
                <w:webHidden/>
              </w:rPr>
              <w:fldChar w:fldCharType="separate"/>
            </w:r>
            <w:r>
              <w:rPr>
                <w:noProof/>
                <w:webHidden/>
              </w:rPr>
              <w:t>2</w:t>
            </w:r>
            <w:r>
              <w:rPr>
                <w:noProof/>
                <w:webHidden/>
              </w:rPr>
              <w:fldChar w:fldCharType="end"/>
            </w:r>
          </w:hyperlink>
        </w:p>
        <w:p w14:paraId="2121A384" w14:textId="7643060E" w:rsidR="00ED147F" w:rsidRDefault="00ED147F">
          <w:pPr>
            <w:tabs>
              <w:tab w:val="left" w:pos="6958"/>
              <w:tab w:val="right" w:leader="dot" w:pos="10055"/>
            </w:tabs>
            <w:rPr>
              <w:rFonts w:asciiTheme="minorHAnsi" w:eastAsiaTheme="minorEastAsia" w:hAnsiTheme="minorHAnsi" w:cstheme="minorBidi"/>
              <w:b/>
              <w:bCs/>
              <w:caps/>
              <w:noProof/>
              <w:kern w:val="2"/>
              <w14:ligatures w14:val="standardContextual"/>
            </w:rPr>
          </w:pPr>
          <w:hyperlink w:anchor="_Toc191284492" w:history="1">
            <w:r w:rsidRPr="00517C62">
              <w:rPr>
                <w:rFonts w:ascii="Tahoma" w:hAnsi="Tahoma" w:cs="Tahoma"/>
                <w:b/>
                <w:noProof/>
              </w:rPr>
              <w:t>3.2. ВКЛАД «ПЕНСИОННАЯ СБЕРКНИЖКА ДО ВОСТРЕБОВАНИЯ»</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284</w:t>
            </w:r>
            <w:r>
              <w:rPr>
                <w:noProof/>
                <w:webHidden/>
              </w:rPr>
              <w:tab/>
            </w:r>
            <w:r>
              <w:rPr>
                <w:noProof/>
                <w:webHidden/>
              </w:rPr>
              <w:fldChar w:fldCharType="begin"/>
            </w:r>
            <w:r>
              <w:rPr>
                <w:noProof/>
                <w:webHidden/>
              </w:rPr>
              <w:instrText xml:space="preserve"> PAGEREF _Toc191284492 \h </w:instrText>
            </w:r>
            <w:r>
              <w:rPr>
                <w:noProof/>
                <w:webHidden/>
              </w:rPr>
            </w:r>
            <w:r>
              <w:rPr>
                <w:noProof/>
                <w:webHidden/>
              </w:rPr>
              <w:fldChar w:fldCharType="separate"/>
            </w:r>
            <w:r>
              <w:rPr>
                <w:noProof/>
                <w:webHidden/>
              </w:rPr>
              <w:t>2</w:t>
            </w:r>
            <w:r>
              <w:rPr>
                <w:noProof/>
                <w:webHidden/>
              </w:rPr>
              <w:fldChar w:fldCharType="end"/>
            </w:r>
          </w:hyperlink>
        </w:p>
        <w:p w14:paraId="228ACA2F" w14:textId="7963E126" w:rsidR="00ED147F" w:rsidRDefault="00ED147F">
          <w:pPr>
            <w:tabs>
              <w:tab w:val="left" w:pos="6286"/>
              <w:tab w:val="right" w:leader="dot" w:pos="10055"/>
            </w:tabs>
            <w:rPr>
              <w:rFonts w:asciiTheme="minorHAnsi" w:eastAsiaTheme="minorEastAsia" w:hAnsiTheme="minorHAnsi" w:cstheme="minorBidi"/>
              <w:b/>
              <w:bCs/>
              <w:caps/>
              <w:noProof/>
              <w:kern w:val="2"/>
              <w14:ligatures w14:val="standardContextual"/>
            </w:rPr>
          </w:pPr>
          <w:hyperlink w:anchor="_Toc191284493" w:history="1">
            <w:r w:rsidRPr="00517C62">
              <w:rPr>
                <w:rFonts w:ascii="Tahoma" w:hAnsi="Tahoma" w:cs="Tahoma"/>
                <w:b/>
                <w:noProof/>
              </w:rPr>
              <w:t xml:space="preserve">3.3. </w:t>
            </w:r>
            <w:r w:rsidRPr="00517C62">
              <w:rPr>
                <w:rFonts w:ascii="Tahoma" w:hAnsi="Tahoma" w:cs="Tahoma"/>
                <w:b/>
                <w:bCs/>
                <w:noProof/>
              </w:rPr>
              <w:t>ВКЛАД «АТБ. ВКЛАД» (БЕЗ ПОПОЛНЕНИЯ И СНЯТИЯ)</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285</w:t>
            </w:r>
            <w:r>
              <w:rPr>
                <w:noProof/>
                <w:webHidden/>
              </w:rPr>
              <w:tab/>
            </w:r>
            <w:r>
              <w:rPr>
                <w:noProof/>
                <w:webHidden/>
              </w:rPr>
              <w:fldChar w:fldCharType="begin"/>
            </w:r>
            <w:r>
              <w:rPr>
                <w:noProof/>
                <w:webHidden/>
              </w:rPr>
              <w:instrText xml:space="preserve"> PAGEREF _Toc191284493 \h </w:instrText>
            </w:r>
            <w:r>
              <w:rPr>
                <w:noProof/>
                <w:webHidden/>
              </w:rPr>
            </w:r>
            <w:r>
              <w:rPr>
                <w:noProof/>
                <w:webHidden/>
              </w:rPr>
              <w:fldChar w:fldCharType="separate"/>
            </w:r>
            <w:r>
              <w:rPr>
                <w:noProof/>
                <w:webHidden/>
              </w:rPr>
              <w:t>2</w:t>
            </w:r>
            <w:r>
              <w:rPr>
                <w:noProof/>
                <w:webHidden/>
              </w:rPr>
              <w:fldChar w:fldCharType="end"/>
            </w:r>
          </w:hyperlink>
        </w:p>
        <w:p w14:paraId="417B2EA3" w14:textId="22B292B7" w:rsidR="00ED147F" w:rsidRDefault="00ED147F">
          <w:pPr>
            <w:tabs>
              <w:tab w:val="left" w:pos="5068"/>
              <w:tab w:val="right" w:leader="dot" w:pos="10055"/>
            </w:tabs>
            <w:rPr>
              <w:rFonts w:asciiTheme="minorHAnsi" w:eastAsiaTheme="minorEastAsia" w:hAnsiTheme="minorHAnsi" w:cstheme="minorBidi"/>
              <w:b/>
              <w:bCs/>
              <w:caps/>
              <w:noProof/>
              <w:kern w:val="2"/>
              <w14:ligatures w14:val="standardContextual"/>
            </w:rPr>
          </w:pPr>
          <w:hyperlink w:anchor="_Toc191284494" w:history="1">
            <w:r w:rsidRPr="00517C62">
              <w:rPr>
                <w:rFonts w:ascii="Tahoma" w:hAnsi="Tahoma" w:cs="Tahoma"/>
                <w:b/>
                <w:noProof/>
              </w:rPr>
              <w:t xml:space="preserve">3.4. </w:t>
            </w:r>
            <w:r w:rsidRPr="00517C62">
              <w:rPr>
                <w:rFonts w:ascii="Tahoma" w:hAnsi="Tahoma" w:cs="Tahoma"/>
                <w:b/>
                <w:bCs/>
                <w:noProof/>
              </w:rPr>
              <w:t>ВКЛАД «АТБ. ВКЛАД» (С ПОПОЛНЕНИЕМ)</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286</w:t>
            </w:r>
            <w:r>
              <w:rPr>
                <w:noProof/>
                <w:webHidden/>
              </w:rPr>
              <w:tab/>
            </w:r>
            <w:r>
              <w:rPr>
                <w:noProof/>
                <w:webHidden/>
              </w:rPr>
              <w:fldChar w:fldCharType="begin"/>
            </w:r>
            <w:r>
              <w:rPr>
                <w:noProof/>
                <w:webHidden/>
              </w:rPr>
              <w:instrText xml:space="preserve"> PAGEREF _Toc191284494 \h </w:instrText>
            </w:r>
            <w:r>
              <w:rPr>
                <w:noProof/>
                <w:webHidden/>
              </w:rPr>
            </w:r>
            <w:r>
              <w:rPr>
                <w:noProof/>
                <w:webHidden/>
              </w:rPr>
              <w:fldChar w:fldCharType="separate"/>
            </w:r>
            <w:r>
              <w:rPr>
                <w:noProof/>
                <w:webHidden/>
              </w:rPr>
              <w:t>2</w:t>
            </w:r>
            <w:r>
              <w:rPr>
                <w:noProof/>
                <w:webHidden/>
              </w:rPr>
              <w:fldChar w:fldCharType="end"/>
            </w:r>
          </w:hyperlink>
        </w:p>
        <w:p w14:paraId="2DB8FA95" w14:textId="7131F898" w:rsidR="00ED147F" w:rsidRDefault="00ED147F">
          <w:pPr>
            <w:tabs>
              <w:tab w:val="left" w:pos="8996"/>
              <w:tab w:val="right" w:leader="dot" w:pos="10055"/>
            </w:tabs>
            <w:rPr>
              <w:rFonts w:asciiTheme="minorHAnsi" w:eastAsiaTheme="minorEastAsia" w:hAnsiTheme="minorHAnsi" w:cstheme="minorBidi"/>
              <w:b/>
              <w:bCs/>
              <w:caps/>
              <w:noProof/>
              <w:kern w:val="2"/>
              <w14:ligatures w14:val="standardContextual"/>
            </w:rPr>
          </w:pPr>
          <w:hyperlink w:anchor="_Toc191284495" w:history="1">
            <w:r w:rsidRPr="00517C62">
              <w:rPr>
                <w:rFonts w:ascii="Tahoma" w:hAnsi="Tahoma" w:cs="Tahoma"/>
                <w:b/>
                <w:noProof/>
              </w:rPr>
              <w:t xml:space="preserve">3.5. </w:t>
            </w:r>
            <w:r w:rsidRPr="00517C62">
              <w:rPr>
                <w:rFonts w:ascii="Tahoma" w:hAnsi="Tahoma" w:cs="Tahoma"/>
                <w:b/>
                <w:bCs/>
                <w:noProof/>
              </w:rPr>
              <w:t>ВКЛАД «АТБ. ВКЛАД ОНЛАЙН» (БЕЗ ПОПОЛНЕНИЯ И СНЯТИЯ) (</w:t>
            </w:r>
            <w:r w:rsidRPr="00517C62">
              <w:rPr>
                <w:rFonts w:ascii="Tahoma" w:hAnsi="Tahoma" w:cs="Tahoma"/>
                <w:b/>
                <w:bCs/>
                <w:iCs/>
                <w:noProof/>
              </w:rPr>
              <w:t>ОТКРЫВАЕТСЯ ТОЛЬКО ЧЕРЕЗ КАНАЛЫ ДБО)</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287</w:t>
            </w:r>
            <w:r>
              <w:rPr>
                <w:noProof/>
                <w:webHidden/>
              </w:rPr>
              <w:tab/>
            </w:r>
            <w:r>
              <w:rPr>
                <w:noProof/>
                <w:webHidden/>
              </w:rPr>
              <w:fldChar w:fldCharType="begin"/>
            </w:r>
            <w:r>
              <w:rPr>
                <w:noProof/>
                <w:webHidden/>
              </w:rPr>
              <w:instrText xml:space="preserve"> PAGEREF _Toc191284495 \h </w:instrText>
            </w:r>
            <w:r>
              <w:rPr>
                <w:noProof/>
                <w:webHidden/>
              </w:rPr>
            </w:r>
            <w:r>
              <w:rPr>
                <w:noProof/>
                <w:webHidden/>
              </w:rPr>
              <w:fldChar w:fldCharType="separate"/>
            </w:r>
            <w:r>
              <w:rPr>
                <w:noProof/>
                <w:webHidden/>
              </w:rPr>
              <w:t>3</w:t>
            </w:r>
            <w:r>
              <w:rPr>
                <w:noProof/>
                <w:webHidden/>
              </w:rPr>
              <w:fldChar w:fldCharType="end"/>
            </w:r>
          </w:hyperlink>
        </w:p>
        <w:p w14:paraId="2C71F807" w14:textId="0FFA8671" w:rsidR="00ED147F" w:rsidRDefault="00ED147F">
          <w:pPr>
            <w:tabs>
              <w:tab w:val="left" w:pos="8698"/>
              <w:tab w:val="right" w:leader="dot" w:pos="10055"/>
            </w:tabs>
            <w:rPr>
              <w:rFonts w:asciiTheme="minorHAnsi" w:eastAsiaTheme="minorEastAsia" w:hAnsiTheme="minorHAnsi" w:cstheme="minorBidi"/>
              <w:b/>
              <w:bCs/>
              <w:caps/>
              <w:noProof/>
              <w:kern w:val="2"/>
              <w14:ligatures w14:val="standardContextual"/>
            </w:rPr>
          </w:pPr>
          <w:hyperlink w:anchor="_Toc191284496" w:history="1">
            <w:r w:rsidRPr="00517C62">
              <w:rPr>
                <w:rFonts w:ascii="Tahoma" w:hAnsi="Tahoma" w:cs="Tahoma"/>
                <w:b/>
                <w:noProof/>
              </w:rPr>
              <w:t xml:space="preserve">3.6. </w:t>
            </w:r>
            <w:r w:rsidRPr="00517C62">
              <w:rPr>
                <w:rFonts w:ascii="Tahoma" w:hAnsi="Tahoma" w:cs="Tahoma"/>
                <w:b/>
                <w:bCs/>
                <w:noProof/>
              </w:rPr>
              <w:t>ВКЛАД «АТБ. ВКЛАД ОНЛАЙН» (С ПОПОЛНЕНИЕМ) (</w:t>
            </w:r>
            <w:r w:rsidRPr="00517C62">
              <w:rPr>
                <w:rFonts w:ascii="Tahoma" w:hAnsi="Tahoma" w:cs="Tahoma"/>
                <w:b/>
                <w:bCs/>
                <w:iCs/>
                <w:noProof/>
              </w:rPr>
              <w:t>ОТКРЫВАЕТСЯ ТОЛЬКО ЧЕРЕЗ КАНАЛЫ ДБО)</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287</w:t>
            </w:r>
            <w:r>
              <w:rPr>
                <w:noProof/>
                <w:webHidden/>
              </w:rPr>
              <w:tab/>
            </w:r>
            <w:r>
              <w:rPr>
                <w:noProof/>
                <w:webHidden/>
              </w:rPr>
              <w:fldChar w:fldCharType="begin"/>
            </w:r>
            <w:r>
              <w:rPr>
                <w:noProof/>
                <w:webHidden/>
              </w:rPr>
              <w:instrText xml:space="preserve"> PAGEREF _Toc191284496 \h </w:instrText>
            </w:r>
            <w:r>
              <w:rPr>
                <w:noProof/>
                <w:webHidden/>
              </w:rPr>
            </w:r>
            <w:r>
              <w:rPr>
                <w:noProof/>
                <w:webHidden/>
              </w:rPr>
              <w:fldChar w:fldCharType="separate"/>
            </w:r>
            <w:r>
              <w:rPr>
                <w:noProof/>
                <w:webHidden/>
              </w:rPr>
              <w:t>3</w:t>
            </w:r>
            <w:r>
              <w:rPr>
                <w:noProof/>
                <w:webHidden/>
              </w:rPr>
              <w:fldChar w:fldCharType="end"/>
            </w:r>
          </w:hyperlink>
        </w:p>
        <w:p w14:paraId="2B44EC7A" w14:textId="53AC5292" w:rsidR="00ED147F" w:rsidRDefault="00ED147F">
          <w:pPr>
            <w:tabs>
              <w:tab w:val="left" w:pos="4023"/>
              <w:tab w:val="right" w:leader="dot" w:pos="10055"/>
            </w:tabs>
            <w:rPr>
              <w:rFonts w:asciiTheme="minorHAnsi" w:eastAsiaTheme="minorEastAsia" w:hAnsiTheme="minorHAnsi" w:cstheme="minorBidi"/>
              <w:b/>
              <w:bCs/>
              <w:caps/>
              <w:noProof/>
              <w:kern w:val="2"/>
              <w14:ligatures w14:val="standardContextual"/>
            </w:rPr>
          </w:pPr>
          <w:hyperlink w:anchor="_Toc191284497" w:history="1">
            <w:r w:rsidRPr="00517C62">
              <w:rPr>
                <w:rFonts w:ascii="Tahoma" w:hAnsi="Tahoma" w:cs="Tahoma"/>
                <w:b/>
                <w:noProof/>
              </w:rPr>
              <w:t>3.7. ВКЛАД «ДОБРО ПОЖАЛОВАТЬ»</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288</w:t>
            </w:r>
            <w:r>
              <w:rPr>
                <w:noProof/>
                <w:webHidden/>
              </w:rPr>
              <w:tab/>
            </w:r>
            <w:r>
              <w:rPr>
                <w:noProof/>
                <w:webHidden/>
              </w:rPr>
              <w:fldChar w:fldCharType="begin"/>
            </w:r>
            <w:r>
              <w:rPr>
                <w:noProof/>
                <w:webHidden/>
              </w:rPr>
              <w:instrText xml:space="preserve"> PAGEREF _Toc191284497 \h </w:instrText>
            </w:r>
            <w:r>
              <w:rPr>
                <w:noProof/>
                <w:webHidden/>
              </w:rPr>
            </w:r>
            <w:r>
              <w:rPr>
                <w:noProof/>
                <w:webHidden/>
              </w:rPr>
              <w:fldChar w:fldCharType="separate"/>
            </w:r>
            <w:r>
              <w:rPr>
                <w:noProof/>
                <w:webHidden/>
              </w:rPr>
              <w:t>3</w:t>
            </w:r>
            <w:r>
              <w:rPr>
                <w:noProof/>
                <w:webHidden/>
              </w:rPr>
              <w:fldChar w:fldCharType="end"/>
            </w:r>
          </w:hyperlink>
        </w:p>
        <w:p w14:paraId="0E30C630" w14:textId="381053F8" w:rsidR="00ED147F" w:rsidRDefault="00ED147F">
          <w:pPr>
            <w:tabs>
              <w:tab w:val="left" w:pos="6794"/>
              <w:tab w:val="right" w:leader="dot" w:pos="10055"/>
            </w:tabs>
            <w:rPr>
              <w:rFonts w:asciiTheme="minorHAnsi" w:eastAsiaTheme="minorEastAsia" w:hAnsiTheme="minorHAnsi" w:cstheme="minorBidi"/>
              <w:b/>
              <w:bCs/>
              <w:caps/>
              <w:noProof/>
              <w:kern w:val="2"/>
              <w14:ligatures w14:val="standardContextual"/>
            </w:rPr>
          </w:pPr>
          <w:hyperlink w:anchor="_Toc191284498" w:history="1">
            <w:r w:rsidRPr="00517C62">
              <w:rPr>
                <w:rFonts w:ascii="Tahoma" w:hAnsi="Tahoma" w:cs="Tahoma"/>
                <w:b/>
                <w:noProof/>
              </w:rPr>
              <w:t>3.8. ВКЛАД «АТБ.ВИП. ВКЛАД» (БЕЗ ПОПОЛНЕНИЯ И СНЯТИЯ)</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289</w:t>
            </w:r>
            <w:r>
              <w:rPr>
                <w:noProof/>
                <w:webHidden/>
              </w:rPr>
              <w:tab/>
            </w:r>
            <w:r>
              <w:rPr>
                <w:noProof/>
                <w:webHidden/>
              </w:rPr>
              <w:fldChar w:fldCharType="begin"/>
            </w:r>
            <w:r>
              <w:rPr>
                <w:noProof/>
                <w:webHidden/>
              </w:rPr>
              <w:instrText xml:space="preserve"> PAGEREF _Toc191284498 \h </w:instrText>
            </w:r>
            <w:r>
              <w:rPr>
                <w:noProof/>
                <w:webHidden/>
              </w:rPr>
            </w:r>
            <w:r>
              <w:rPr>
                <w:noProof/>
                <w:webHidden/>
              </w:rPr>
              <w:fldChar w:fldCharType="separate"/>
            </w:r>
            <w:r>
              <w:rPr>
                <w:noProof/>
                <w:webHidden/>
              </w:rPr>
              <w:t>3</w:t>
            </w:r>
            <w:r>
              <w:rPr>
                <w:noProof/>
                <w:webHidden/>
              </w:rPr>
              <w:fldChar w:fldCharType="end"/>
            </w:r>
          </w:hyperlink>
        </w:p>
        <w:p w14:paraId="002FC5F4" w14:textId="68BD7ACB" w:rsidR="00ED147F" w:rsidRDefault="00ED147F">
          <w:pPr>
            <w:tabs>
              <w:tab w:val="left" w:pos="5517"/>
              <w:tab w:val="right" w:leader="dot" w:pos="10055"/>
            </w:tabs>
            <w:rPr>
              <w:rFonts w:asciiTheme="minorHAnsi" w:eastAsiaTheme="minorEastAsia" w:hAnsiTheme="minorHAnsi" w:cstheme="minorBidi"/>
              <w:b/>
              <w:bCs/>
              <w:caps/>
              <w:noProof/>
              <w:kern w:val="2"/>
              <w14:ligatures w14:val="standardContextual"/>
            </w:rPr>
          </w:pPr>
          <w:hyperlink w:anchor="_Toc191284499" w:history="1">
            <w:r w:rsidRPr="00517C62">
              <w:rPr>
                <w:rFonts w:ascii="Tahoma" w:hAnsi="Tahoma" w:cs="Tahoma"/>
                <w:b/>
                <w:noProof/>
              </w:rPr>
              <w:t>3.9.ВКЛАД «АТБ.ВИП. ВКЛАД» (С ПОПОЛНЕНИЕМ)</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289</w:t>
            </w:r>
            <w:r>
              <w:rPr>
                <w:noProof/>
                <w:webHidden/>
              </w:rPr>
              <w:tab/>
            </w:r>
            <w:r>
              <w:rPr>
                <w:noProof/>
                <w:webHidden/>
              </w:rPr>
              <w:fldChar w:fldCharType="begin"/>
            </w:r>
            <w:r>
              <w:rPr>
                <w:noProof/>
                <w:webHidden/>
              </w:rPr>
              <w:instrText xml:space="preserve"> PAGEREF _Toc191284499 \h </w:instrText>
            </w:r>
            <w:r>
              <w:rPr>
                <w:noProof/>
                <w:webHidden/>
              </w:rPr>
            </w:r>
            <w:r>
              <w:rPr>
                <w:noProof/>
                <w:webHidden/>
              </w:rPr>
              <w:fldChar w:fldCharType="separate"/>
            </w:r>
            <w:r>
              <w:rPr>
                <w:noProof/>
                <w:webHidden/>
              </w:rPr>
              <w:t>3</w:t>
            </w:r>
            <w:r>
              <w:rPr>
                <w:noProof/>
                <w:webHidden/>
              </w:rPr>
              <w:fldChar w:fldCharType="end"/>
            </w:r>
          </w:hyperlink>
        </w:p>
        <w:p w14:paraId="43C9E30E" w14:textId="114B497B" w:rsidR="00ED147F" w:rsidRDefault="00ED147F">
          <w:pPr>
            <w:tabs>
              <w:tab w:val="left" w:pos="6984"/>
              <w:tab w:val="right" w:leader="dot" w:pos="10055"/>
            </w:tabs>
            <w:rPr>
              <w:rFonts w:asciiTheme="minorHAnsi" w:eastAsiaTheme="minorEastAsia" w:hAnsiTheme="minorHAnsi" w:cstheme="minorBidi"/>
              <w:b/>
              <w:bCs/>
              <w:caps/>
              <w:noProof/>
              <w:kern w:val="2"/>
              <w14:ligatures w14:val="standardContextual"/>
            </w:rPr>
          </w:pPr>
          <w:hyperlink w:anchor="_Toc191284500" w:history="1">
            <w:r w:rsidRPr="00517C62">
              <w:rPr>
                <w:rFonts w:ascii="Tahoma" w:hAnsi="Tahoma" w:cs="Tahoma"/>
                <w:b/>
                <w:noProof/>
              </w:rPr>
              <w:t>3.10. ВКЛАД «АТБ.ВИП. ВКЛАД» (С ПОПОЛНЕНИЕМ И СНЯТИЕМ)</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289</w:t>
            </w:r>
            <w:r>
              <w:rPr>
                <w:noProof/>
                <w:webHidden/>
              </w:rPr>
              <w:tab/>
            </w:r>
            <w:r>
              <w:rPr>
                <w:noProof/>
                <w:webHidden/>
              </w:rPr>
              <w:fldChar w:fldCharType="begin"/>
            </w:r>
            <w:r>
              <w:rPr>
                <w:noProof/>
                <w:webHidden/>
              </w:rPr>
              <w:instrText xml:space="preserve"> PAGEREF _Toc191284500 \h </w:instrText>
            </w:r>
            <w:r>
              <w:rPr>
                <w:noProof/>
                <w:webHidden/>
              </w:rPr>
            </w:r>
            <w:r>
              <w:rPr>
                <w:noProof/>
                <w:webHidden/>
              </w:rPr>
              <w:fldChar w:fldCharType="separate"/>
            </w:r>
            <w:r>
              <w:rPr>
                <w:noProof/>
                <w:webHidden/>
              </w:rPr>
              <w:t>3</w:t>
            </w:r>
            <w:r>
              <w:rPr>
                <w:noProof/>
                <w:webHidden/>
              </w:rPr>
              <w:fldChar w:fldCharType="end"/>
            </w:r>
          </w:hyperlink>
        </w:p>
        <w:p w14:paraId="33185985" w14:textId="32FCD240" w:rsidR="00ED147F" w:rsidRDefault="00ED147F">
          <w:pPr>
            <w:tabs>
              <w:tab w:val="left" w:pos="8727"/>
              <w:tab w:val="right" w:leader="dot" w:pos="10055"/>
            </w:tabs>
            <w:rPr>
              <w:rFonts w:asciiTheme="minorHAnsi" w:eastAsiaTheme="minorEastAsia" w:hAnsiTheme="minorHAnsi" w:cstheme="minorBidi"/>
              <w:b/>
              <w:bCs/>
              <w:caps/>
              <w:noProof/>
              <w:kern w:val="2"/>
              <w14:ligatures w14:val="standardContextual"/>
            </w:rPr>
          </w:pPr>
          <w:hyperlink w:anchor="_Toc191284501" w:history="1">
            <w:r w:rsidRPr="00517C62">
              <w:rPr>
                <w:rFonts w:ascii="Tahoma" w:hAnsi="Tahoma" w:cs="Tahoma"/>
                <w:b/>
                <w:noProof/>
              </w:rPr>
              <w:t>3.11.1 ВКЛАД «КЛЮЧЕВОЙ» (С ПОПОЛНЕНИЕМ) (для вкладов, открытых по 03.10.2024)</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291</w:t>
            </w:r>
            <w:r>
              <w:rPr>
                <w:noProof/>
                <w:webHidden/>
              </w:rPr>
              <w:tab/>
            </w:r>
            <w:r>
              <w:rPr>
                <w:noProof/>
                <w:webHidden/>
              </w:rPr>
              <w:fldChar w:fldCharType="begin"/>
            </w:r>
            <w:r>
              <w:rPr>
                <w:noProof/>
                <w:webHidden/>
              </w:rPr>
              <w:instrText xml:space="preserve"> PAGEREF _Toc191284501 \h </w:instrText>
            </w:r>
            <w:r>
              <w:rPr>
                <w:noProof/>
                <w:webHidden/>
              </w:rPr>
            </w:r>
            <w:r>
              <w:rPr>
                <w:noProof/>
                <w:webHidden/>
              </w:rPr>
              <w:fldChar w:fldCharType="separate"/>
            </w:r>
            <w:r>
              <w:rPr>
                <w:noProof/>
                <w:webHidden/>
              </w:rPr>
              <w:t>3</w:t>
            </w:r>
            <w:r>
              <w:rPr>
                <w:noProof/>
                <w:webHidden/>
              </w:rPr>
              <w:fldChar w:fldCharType="end"/>
            </w:r>
          </w:hyperlink>
        </w:p>
        <w:p w14:paraId="482F057A" w14:textId="23A51D3F" w:rsidR="00ED147F" w:rsidRDefault="00ED147F">
          <w:pPr>
            <w:tabs>
              <w:tab w:val="left" w:pos="8616"/>
              <w:tab w:val="right" w:leader="dot" w:pos="10055"/>
            </w:tabs>
            <w:rPr>
              <w:rFonts w:asciiTheme="minorHAnsi" w:eastAsiaTheme="minorEastAsia" w:hAnsiTheme="minorHAnsi" w:cstheme="minorBidi"/>
              <w:b/>
              <w:bCs/>
              <w:caps/>
              <w:noProof/>
              <w:kern w:val="2"/>
              <w14:ligatures w14:val="standardContextual"/>
            </w:rPr>
          </w:pPr>
          <w:hyperlink w:anchor="_Toc191284502" w:history="1">
            <w:r w:rsidRPr="00517C62">
              <w:rPr>
                <w:rFonts w:ascii="Tahoma" w:hAnsi="Tahoma" w:cs="Tahoma"/>
                <w:b/>
                <w:noProof/>
              </w:rPr>
              <w:t>3.11.2. Вклад «Ключевой» (с пополнением) (для вкладов, открытых с 04.10.2024)</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293</w:t>
            </w:r>
            <w:r>
              <w:rPr>
                <w:noProof/>
                <w:webHidden/>
              </w:rPr>
              <w:tab/>
            </w:r>
            <w:r>
              <w:rPr>
                <w:noProof/>
                <w:webHidden/>
              </w:rPr>
              <w:fldChar w:fldCharType="begin"/>
            </w:r>
            <w:r>
              <w:rPr>
                <w:noProof/>
                <w:webHidden/>
              </w:rPr>
              <w:instrText xml:space="preserve"> PAGEREF _Toc191284502 \h </w:instrText>
            </w:r>
            <w:r>
              <w:rPr>
                <w:noProof/>
                <w:webHidden/>
              </w:rPr>
            </w:r>
            <w:r>
              <w:rPr>
                <w:noProof/>
                <w:webHidden/>
              </w:rPr>
              <w:fldChar w:fldCharType="separate"/>
            </w:r>
            <w:r>
              <w:rPr>
                <w:noProof/>
                <w:webHidden/>
              </w:rPr>
              <w:t>3</w:t>
            </w:r>
            <w:r>
              <w:rPr>
                <w:noProof/>
                <w:webHidden/>
              </w:rPr>
              <w:fldChar w:fldCharType="end"/>
            </w:r>
          </w:hyperlink>
        </w:p>
        <w:p w14:paraId="4EF20212" w14:textId="44451B08" w:rsidR="00ED147F" w:rsidRDefault="00ED147F">
          <w:pPr>
            <w:tabs>
              <w:tab w:val="left" w:pos="5994"/>
              <w:tab w:val="right" w:leader="dot" w:pos="10055"/>
            </w:tabs>
            <w:rPr>
              <w:rFonts w:asciiTheme="minorHAnsi" w:eastAsiaTheme="minorEastAsia" w:hAnsiTheme="minorHAnsi" w:cstheme="minorBidi"/>
              <w:b/>
              <w:bCs/>
              <w:caps/>
              <w:noProof/>
              <w:kern w:val="2"/>
              <w14:ligatures w14:val="standardContextual"/>
            </w:rPr>
          </w:pPr>
          <w:hyperlink w:anchor="_Toc191284503" w:history="1">
            <w:r w:rsidRPr="00517C62">
              <w:rPr>
                <w:rFonts w:ascii="Tahoma" w:hAnsi="Tahoma" w:cs="Tahoma"/>
                <w:b/>
                <w:noProof/>
              </w:rPr>
              <w:t>3.12. БАНКОВСКИЕ СЧЕТА В ДРАГОЦЕННЫХ МЕТАЛЛАХ</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295</w:t>
            </w:r>
            <w:r>
              <w:rPr>
                <w:noProof/>
                <w:webHidden/>
              </w:rPr>
              <w:tab/>
            </w:r>
            <w:r>
              <w:rPr>
                <w:noProof/>
                <w:webHidden/>
              </w:rPr>
              <w:fldChar w:fldCharType="begin"/>
            </w:r>
            <w:r>
              <w:rPr>
                <w:noProof/>
                <w:webHidden/>
              </w:rPr>
              <w:instrText xml:space="preserve"> PAGEREF _Toc191284503 \h </w:instrText>
            </w:r>
            <w:r>
              <w:rPr>
                <w:noProof/>
                <w:webHidden/>
              </w:rPr>
            </w:r>
            <w:r>
              <w:rPr>
                <w:noProof/>
                <w:webHidden/>
              </w:rPr>
              <w:fldChar w:fldCharType="separate"/>
            </w:r>
            <w:r>
              <w:rPr>
                <w:noProof/>
                <w:webHidden/>
              </w:rPr>
              <w:t>3</w:t>
            </w:r>
            <w:r>
              <w:rPr>
                <w:noProof/>
                <w:webHidden/>
              </w:rPr>
              <w:fldChar w:fldCharType="end"/>
            </w:r>
          </w:hyperlink>
        </w:p>
        <w:p w14:paraId="354643D5" w14:textId="489367B0" w:rsidR="00ED147F" w:rsidRDefault="00ED147F">
          <w:pPr>
            <w:tabs>
              <w:tab w:val="left" w:pos="7177"/>
              <w:tab w:val="right" w:leader="dot" w:pos="10055"/>
            </w:tabs>
            <w:rPr>
              <w:rFonts w:asciiTheme="minorHAnsi" w:eastAsiaTheme="minorEastAsia" w:hAnsiTheme="minorHAnsi" w:cstheme="minorBidi"/>
              <w:b/>
              <w:bCs/>
              <w:caps/>
              <w:noProof/>
              <w:kern w:val="2"/>
              <w14:ligatures w14:val="standardContextual"/>
            </w:rPr>
          </w:pPr>
          <w:hyperlink w:anchor="_Toc191284504" w:history="1">
            <w:r w:rsidRPr="00517C62">
              <w:rPr>
                <w:rFonts w:ascii="Tahoma" w:hAnsi="Tahoma" w:cs="Tahoma"/>
                <w:b/>
                <w:noProof/>
              </w:rPr>
              <w:t>3.13. СПЕЦИАЛЬНЫЙ БАНКОВСКИЙ СЧЕТ «НОМИНАЛЬНЫЙ СЧЕТ»</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295</w:t>
            </w:r>
            <w:r>
              <w:rPr>
                <w:noProof/>
                <w:webHidden/>
              </w:rPr>
              <w:tab/>
            </w:r>
            <w:r>
              <w:rPr>
                <w:noProof/>
                <w:webHidden/>
              </w:rPr>
              <w:fldChar w:fldCharType="begin"/>
            </w:r>
            <w:r>
              <w:rPr>
                <w:noProof/>
                <w:webHidden/>
              </w:rPr>
              <w:instrText xml:space="preserve"> PAGEREF _Toc191284504 \h </w:instrText>
            </w:r>
            <w:r>
              <w:rPr>
                <w:noProof/>
                <w:webHidden/>
              </w:rPr>
            </w:r>
            <w:r>
              <w:rPr>
                <w:noProof/>
                <w:webHidden/>
              </w:rPr>
              <w:fldChar w:fldCharType="separate"/>
            </w:r>
            <w:r>
              <w:rPr>
                <w:noProof/>
                <w:webHidden/>
              </w:rPr>
              <w:t>3</w:t>
            </w:r>
            <w:r>
              <w:rPr>
                <w:noProof/>
                <w:webHidden/>
              </w:rPr>
              <w:fldChar w:fldCharType="end"/>
            </w:r>
          </w:hyperlink>
        </w:p>
        <w:p w14:paraId="63A50D4E" w14:textId="7487425D" w:rsidR="00ED147F" w:rsidRDefault="00ED147F">
          <w:pPr>
            <w:tabs>
              <w:tab w:val="left" w:pos="8864"/>
              <w:tab w:val="right" w:leader="dot" w:pos="10055"/>
            </w:tabs>
            <w:rPr>
              <w:rFonts w:asciiTheme="minorHAnsi" w:eastAsiaTheme="minorEastAsia" w:hAnsiTheme="minorHAnsi" w:cstheme="minorBidi"/>
              <w:b/>
              <w:bCs/>
              <w:caps/>
              <w:noProof/>
              <w:kern w:val="2"/>
              <w14:ligatures w14:val="standardContextual"/>
            </w:rPr>
          </w:pPr>
          <w:hyperlink w:anchor="_Toc191284505" w:history="1">
            <w:r w:rsidRPr="00517C62">
              <w:rPr>
                <w:rFonts w:ascii="Tahoma" w:hAnsi="Tahoma" w:cs="Tahoma"/>
                <w:b/>
                <w:noProof/>
              </w:rPr>
              <w:t xml:space="preserve">3.14. </w:t>
            </w:r>
            <w:r w:rsidRPr="00517C62">
              <w:rPr>
                <w:rFonts w:ascii="Tahoma" w:hAnsi="Tahoma" w:cs="Tahoma"/>
                <w:b/>
                <w:bCs/>
                <w:noProof/>
              </w:rPr>
              <w:t>УСЛОВИЯ НАКОПИТЕЛЬНОГО СЧЕТА «АТБ. СЧЕТ»ДЛЯ СЧЕТОВ, ОТКРЫТЫХ С 07.06.2022 (ДЕЙСТВУЮТ ПО 20.06.2022)</w:t>
            </w:r>
            <w:r>
              <w:rPr>
                <w:rFonts w:asciiTheme="minorHAnsi" w:eastAsiaTheme="minorEastAsia" w:hAnsiTheme="minorHAnsi" w:cstheme="minorBidi"/>
                <w:b/>
                <w:bCs/>
                <w:caps/>
                <w:noProof/>
                <w:kern w:val="2"/>
                <w14:ligatures w14:val="standardContextual"/>
              </w:rPr>
              <w:tab/>
            </w:r>
            <w:r w:rsidRPr="00517C62">
              <w:rPr>
                <w:rFonts w:ascii="Tahoma" w:hAnsi="Tahoma" w:cs="Tahoma"/>
                <w:b/>
                <w:bCs/>
                <w:noProof/>
              </w:rPr>
              <w:t>295</w:t>
            </w:r>
            <w:r>
              <w:rPr>
                <w:noProof/>
                <w:webHidden/>
              </w:rPr>
              <w:tab/>
            </w:r>
            <w:r>
              <w:rPr>
                <w:noProof/>
                <w:webHidden/>
              </w:rPr>
              <w:fldChar w:fldCharType="begin"/>
            </w:r>
            <w:r>
              <w:rPr>
                <w:noProof/>
                <w:webHidden/>
              </w:rPr>
              <w:instrText xml:space="preserve"> PAGEREF _Toc191284505 \h </w:instrText>
            </w:r>
            <w:r>
              <w:rPr>
                <w:noProof/>
                <w:webHidden/>
              </w:rPr>
            </w:r>
            <w:r>
              <w:rPr>
                <w:noProof/>
                <w:webHidden/>
              </w:rPr>
              <w:fldChar w:fldCharType="separate"/>
            </w:r>
            <w:r>
              <w:rPr>
                <w:noProof/>
                <w:webHidden/>
              </w:rPr>
              <w:t>3</w:t>
            </w:r>
            <w:r>
              <w:rPr>
                <w:noProof/>
                <w:webHidden/>
              </w:rPr>
              <w:fldChar w:fldCharType="end"/>
            </w:r>
          </w:hyperlink>
        </w:p>
        <w:p w14:paraId="4DFC5BC0" w14:textId="0BAA3D5A" w:rsidR="00ED147F" w:rsidRDefault="00ED147F">
          <w:pPr>
            <w:tabs>
              <w:tab w:val="left" w:pos="8920"/>
              <w:tab w:val="right" w:leader="dot" w:pos="10055"/>
            </w:tabs>
            <w:rPr>
              <w:rFonts w:asciiTheme="minorHAnsi" w:eastAsiaTheme="minorEastAsia" w:hAnsiTheme="minorHAnsi" w:cstheme="minorBidi"/>
              <w:b/>
              <w:bCs/>
              <w:caps/>
              <w:noProof/>
              <w:kern w:val="2"/>
              <w14:ligatures w14:val="standardContextual"/>
            </w:rPr>
          </w:pPr>
          <w:hyperlink w:anchor="_Toc191284506" w:history="1">
            <w:r w:rsidRPr="00517C62">
              <w:rPr>
                <w:rFonts w:ascii="Tahoma" w:hAnsi="Tahoma" w:cs="Tahoma"/>
                <w:b/>
                <w:noProof/>
              </w:rPr>
              <w:t>3.15.</w:t>
            </w:r>
            <w:r w:rsidRPr="00517C62">
              <w:rPr>
                <w:noProof/>
              </w:rPr>
              <w:t xml:space="preserve"> </w:t>
            </w:r>
            <w:r w:rsidRPr="00517C62">
              <w:rPr>
                <w:rFonts w:ascii="Tahoma" w:hAnsi="Tahoma" w:cs="Tahoma"/>
                <w:b/>
                <w:noProof/>
              </w:rPr>
              <w:t>УСЛОВИЯ НАКОПИТЕЛЬНОГО СЧЕТА «АТБ. СЧЕТ» ДЛЯ СЧЕТОВ, ОТКРЫТЫХ С 07.06.2022 (ДЕЙСТВУЮТ С 21.06.2022</w:t>
            </w:r>
            <w:r w:rsidRPr="00517C62">
              <w:rPr>
                <w:noProof/>
              </w:rPr>
              <w:t xml:space="preserve"> </w:t>
            </w:r>
            <w:r w:rsidRPr="00517C62">
              <w:rPr>
                <w:rFonts w:ascii="Tahoma" w:hAnsi="Tahoma" w:cs="Tahoma"/>
                <w:b/>
                <w:noProof/>
              </w:rPr>
              <w:t>ПО 04.08.2022)</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296</w:t>
            </w:r>
            <w:r>
              <w:rPr>
                <w:noProof/>
                <w:webHidden/>
              </w:rPr>
              <w:tab/>
            </w:r>
            <w:r>
              <w:rPr>
                <w:noProof/>
                <w:webHidden/>
              </w:rPr>
              <w:fldChar w:fldCharType="begin"/>
            </w:r>
            <w:r>
              <w:rPr>
                <w:noProof/>
                <w:webHidden/>
              </w:rPr>
              <w:instrText xml:space="preserve"> PAGEREF _Toc191284506 \h </w:instrText>
            </w:r>
            <w:r>
              <w:rPr>
                <w:noProof/>
                <w:webHidden/>
              </w:rPr>
            </w:r>
            <w:r>
              <w:rPr>
                <w:noProof/>
                <w:webHidden/>
              </w:rPr>
              <w:fldChar w:fldCharType="separate"/>
            </w:r>
            <w:r>
              <w:rPr>
                <w:noProof/>
                <w:webHidden/>
              </w:rPr>
              <w:t>3</w:t>
            </w:r>
            <w:r>
              <w:rPr>
                <w:noProof/>
                <w:webHidden/>
              </w:rPr>
              <w:fldChar w:fldCharType="end"/>
            </w:r>
          </w:hyperlink>
        </w:p>
        <w:p w14:paraId="6558BC99" w14:textId="33274A9D" w:rsidR="00ED147F" w:rsidRDefault="00ED147F">
          <w:pPr>
            <w:tabs>
              <w:tab w:val="left" w:pos="8923"/>
              <w:tab w:val="right" w:leader="dot" w:pos="10055"/>
            </w:tabs>
            <w:rPr>
              <w:rFonts w:asciiTheme="minorHAnsi" w:eastAsiaTheme="minorEastAsia" w:hAnsiTheme="minorHAnsi" w:cstheme="minorBidi"/>
              <w:b/>
              <w:bCs/>
              <w:caps/>
              <w:noProof/>
              <w:kern w:val="2"/>
              <w14:ligatures w14:val="standardContextual"/>
            </w:rPr>
          </w:pPr>
          <w:hyperlink w:anchor="_Toc191284507" w:history="1">
            <w:r w:rsidRPr="00517C62">
              <w:rPr>
                <w:rFonts w:ascii="Tahoma" w:hAnsi="Tahoma" w:cs="Tahoma"/>
                <w:b/>
                <w:noProof/>
              </w:rPr>
              <w:t>3.16. УСЛОВИЯ НАКОПИТЕЛЬНОГО СЧЕТА «АТБ. СЧЕТ» ДЛЯ СЧЕТОВ, ОТКРЫТЫХ С 07.06.2022 (ДЕЙСТВУЮТ С 05.08.2022</w:t>
            </w:r>
            <w:r w:rsidRPr="00517C62">
              <w:rPr>
                <w:rFonts w:ascii="Tahoma" w:hAnsi="Tahoma" w:cs="Tahoma"/>
                <w:b/>
                <w:bCs/>
                <w:noProof/>
              </w:rPr>
              <w:t xml:space="preserve"> ПО 11.09.2022)</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297</w:t>
            </w:r>
            <w:r>
              <w:rPr>
                <w:noProof/>
                <w:webHidden/>
              </w:rPr>
              <w:tab/>
            </w:r>
            <w:r>
              <w:rPr>
                <w:noProof/>
                <w:webHidden/>
              </w:rPr>
              <w:fldChar w:fldCharType="begin"/>
            </w:r>
            <w:r>
              <w:rPr>
                <w:noProof/>
                <w:webHidden/>
              </w:rPr>
              <w:instrText xml:space="preserve"> PAGEREF _Toc191284507 \h </w:instrText>
            </w:r>
            <w:r>
              <w:rPr>
                <w:noProof/>
                <w:webHidden/>
              </w:rPr>
            </w:r>
            <w:r>
              <w:rPr>
                <w:noProof/>
                <w:webHidden/>
              </w:rPr>
              <w:fldChar w:fldCharType="separate"/>
            </w:r>
            <w:r>
              <w:rPr>
                <w:noProof/>
                <w:webHidden/>
              </w:rPr>
              <w:t>3</w:t>
            </w:r>
            <w:r>
              <w:rPr>
                <w:noProof/>
                <w:webHidden/>
              </w:rPr>
              <w:fldChar w:fldCharType="end"/>
            </w:r>
          </w:hyperlink>
        </w:p>
        <w:p w14:paraId="18483059" w14:textId="3B51E8E4" w:rsidR="00ED147F" w:rsidRDefault="00ED147F">
          <w:pPr>
            <w:tabs>
              <w:tab w:val="left" w:pos="8836"/>
              <w:tab w:val="right" w:leader="dot" w:pos="10055"/>
            </w:tabs>
            <w:rPr>
              <w:rFonts w:asciiTheme="minorHAnsi" w:eastAsiaTheme="minorEastAsia" w:hAnsiTheme="minorHAnsi" w:cstheme="minorBidi"/>
              <w:b/>
              <w:bCs/>
              <w:caps/>
              <w:noProof/>
              <w:kern w:val="2"/>
              <w14:ligatures w14:val="standardContextual"/>
            </w:rPr>
          </w:pPr>
          <w:hyperlink w:anchor="_Toc191284508" w:history="1">
            <w:r w:rsidRPr="00517C62">
              <w:rPr>
                <w:rFonts w:ascii="Tahoma" w:hAnsi="Tahoma" w:cs="Tahoma"/>
                <w:b/>
                <w:noProof/>
              </w:rPr>
              <w:t>3.27. УСЛОВИЯ ТЕКУЩЕГО БАНКОВСКОГО СЧЕТА «НАКОПИТЕЛЬНЫЙ СЧЕТ СУПЕР КОПИЛКА» ДЛЯ СЧЕТОВ, ОТКРЫТЫХ ДО 01.02.2022</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306</w:t>
            </w:r>
            <w:r>
              <w:rPr>
                <w:noProof/>
                <w:webHidden/>
              </w:rPr>
              <w:tab/>
            </w:r>
            <w:r>
              <w:rPr>
                <w:noProof/>
                <w:webHidden/>
              </w:rPr>
              <w:fldChar w:fldCharType="begin"/>
            </w:r>
            <w:r>
              <w:rPr>
                <w:noProof/>
                <w:webHidden/>
              </w:rPr>
              <w:instrText xml:space="preserve"> PAGEREF _Toc191284508 \h </w:instrText>
            </w:r>
            <w:r>
              <w:rPr>
                <w:noProof/>
                <w:webHidden/>
              </w:rPr>
            </w:r>
            <w:r>
              <w:rPr>
                <w:noProof/>
                <w:webHidden/>
              </w:rPr>
              <w:fldChar w:fldCharType="separate"/>
            </w:r>
            <w:r>
              <w:rPr>
                <w:noProof/>
                <w:webHidden/>
              </w:rPr>
              <w:t>3</w:t>
            </w:r>
            <w:r>
              <w:rPr>
                <w:noProof/>
                <w:webHidden/>
              </w:rPr>
              <w:fldChar w:fldCharType="end"/>
            </w:r>
          </w:hyperlink>
        </w:p>
        <w:p w14:paraId="247375FD" w14:textId="15FD553D" w:rsidR="00ED147F" w:rsidRDefault="00ED147F">
          <w:pPr>
            <w:tabs>
              <w:tab w:val="left" w:pos="8836"/>
              <w:tab w:val="right" w:leader="dot" w:pos="10055"/>
            </w:tabs>
            <w:rPr>
              <w:rFonts w:asciiTheme="minorHAnsi" w:eastAsiaTheme="minorEastAsia" w:hAnsiTheme="minorHAnsi" w:cstheme="minorBidi"/>
              <w:b/>
              <w:bCs/>
              <w:caps/>
              <w:noProof/>
              <w:kern w:val="2"/>
              <w14:ligatures w14:val="standardContextual"/>
            </w:rPr>
          </w:pPr>
          <w:hyperlink w:anchor="_Toc191284509" w:history="1">
            <w:r w:rsidRPr="00517C62">
              <w:rPr>
                <w:rFonts w:ascii="Tahoma" w:hAnsi="Tahoma" w:cs="Tahoma"/>
                <w:b/>
                <w:noProof/>
              </w:rPr>
              <w:t>3.28. УСЛОВИЯ ТЕКУЩЕГО БАНКОВСКОГО СЧЕТА «НАКОПИТЕЛЬНЫЙ СЧЕТ СУПЕР КОПИЛКА» ДЛЯ СЧЕТОВ, ОТКРЫТЫХ С 01.02.2022 ПО 03.03.2022</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307</w:t>
            </w:r>
            <w:r>
              <w:rPr>
                <w:noProof/>
                <w:webHidden/>
              </w:rPr>
              <w:tab/>
            </w:r>
            <w:r>
              <w:rPr>
                <w:noProof/>
                <w:webHidden/>
              </w:rPr>
              <w:fldChar w:fldCharType="begin"/>
            </w:r>
            <w:r>
              <w:rPr>
                <w:noProof/>
                <w:webHidden/>
              </w:rPr>
              <w:instrText xml:space="preserve"> PAGEREF _Toc191284509 \h </w:instrText>
            </w:r>
            <w:r>
              <w:rPr>
                <w:noProof/>
                <w:webHidden/>
              </w:rPr>
            </w:r>
            <w:r>
              <w:rPr>
                <w:noProof/>
                <w:webHidden/>
              </w:rPr>
              <w:fldChar w:fldCharType="separate"/>
            </w:r>
            <w:r>
              <w:rPr>
                <w:noProof/>
                <w:webHidden/>
              </w:rPr>
              <w:t>3</w:t>
            </w:r>
            <w:r>
              <w:rPr>
                <w:noProof/>
                <w:webHidden/>
              </w:rPr>
              <w:fldChar w:fldCharType="end"/>
            </w:r>
          </w:hyperlink>
        </w:p>
        <w:p w14:paraId="7C823277" w14:textId="6AF9C518" w:rsidR="00ED147F" w:rsidRDefault="00ED147F">
          <w:pPr>
            <w:tabs>
              <w:tab w:val="left" w:pos="8836"/>
              <w:tab w:val="right" w:leader="dot" w:pos="10055"/>
            </w:tabs>
            <w:rPr>
              <w:rFonts w:asciiTheme="minorHAnsi" w:eastAsiaTheme="minorEastAsia" w:hAnsiTheme="minorHAnsi" w:cstheme="minorBidi"/>
              <w:b/>
              <w:bCs/>
              <w:caps/>
              <w:noProof/>
              <w:kern w:val="2"/>
              <w14:ligatures w14:val="standardContextual"/>
            </w:rPr>
          </w:pPr>
          <w:hyperlink w:anchor="_Toc191284510" w:history="1">
            <w:r w:rsidRPr="00517C62">
              <w:rPr>
                <w:rFonts w:ascii="Tahoma" w:hAnsi="Tahoma" w:cs="Tahoma"/>
                <w:b/>
                <w:noProof/>
              </w:rPr>
              <w:t xml:space="preserve">3.29. УСЛОВИЯ ТЕКУЩЕГО БАНКОВСКОГО СЧЕТА «НАКОПИТЕЛЬНЫЙ СЧЕТ СУПЕР КОПИЛКА» ДЛЯ СЧЕТОВ, ОТКРЫТЫХ С 04.03.2022 </w:t>
            </w:r>
            <w:r w:rsidRPr="00517C62">
              <w:rPr>
                <w:rFonts w:ascii="Tahoma" w:hAnsi="Tahoma" w:cs="Tahoma"/>
                <w:b/>
                <w:bCs/>
                <w:noProof/>
              </w:rPr>
              <w:t>(ДЕЙСТВУЮТ ПО 20.06.2022)</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308</w:t>
            </w:r>
            <w:r>
              <w:rPr>
                <w:noProof/>
                <w:webHidden/>
              </w:rPr>
              <w:tab/>
            </w:r>
            <w:r>
              <w:rPr>
                <w:noProof/>
                <w:webHidden/>
              </w:rPr>
              <w:fldChar w:fldCharType="begin"/>
            </w:r>
            <w:r>
              <w:rPr>
                <w:noProof/>
                <w:webHidden/>
              </w:rPr>
              <w:instrText xml:space="preserve"> PAGEREF _Toc191284510 \h </w:instrText>
            </w:r>
            <w:r>
              <w:rPr>
                <w:noProof/>
                <w:webHidden/>
              </w:rPr>
            </w:r>
            <w:r>
              <w:rPr>
                <w:noProof/>
                <w:webHidden/>
              </w:rPr>
              <w:fldChar w:fldCharType="separate"/>
            </w:r>
            <w:r>
              <w:rPr>
                <w:noProof/>
                <w:webHidden/>
              </w:rPr>
              <w:t>3</w:t>
            </w:r>
            <w:r>
              <w:rPr>
                <w:noProof/>
                <w:webHidden/>
              </w:rPr>
              <w:fldChar w:fldCharType="end"/>
            </w:r>
          </w:hyperlink>
        </w:p>
        <w:p w14:paraId="29D6EAFB" w14:textId="4434CD00" w:rsidR="00ED147F" w:rsidRDefault="00ED147F">
          <w:pPr>
            <w:tabs>
              <w:tab w:val="left" w:pos="8836"/>
              <w:tab w:val="right" w:leader="dot" w:pos="10055"/>
            </w:tabs>
            <w:rPr>
              <w:rFonts w:asciiTheme="minorHAnsi" w:eastAsiaTheme="minorEastAsia" w:hAnsiTheme="minorHAnsi" w:cstheme="minorBidi"/>
              <w:b/>
              <w:bCs/>
              <w:caps/>
              <w:noProof/>
              <w:kern w:val="2"/>
              <w14:ligatures w14:val="standardContextual"/>
            </w:rPr>
          </w:pPr>
          <w:hyperlink w:anchor="_Toc191284511" w:history="1">
            <w:r w:rsidRPr="00517C62">
              <w:rPr>
                <w:rFonts w:ascii="Tahoma" w:hAnsi="Tahoma" w:cs="Tahoma"/>
                <w:b/>
                <w:noProof/>
              </w:rPr>
              <w:t>3.30. УСЛОВИЯ ТЕКУЩЕГО БАНКОВСКОГО СЧЕТА «НАКОПИТЕЛЬНЫЙ СЧЕТ СУПЕР КОПИЛКА» ДЛЯ СЧЕТОВ, ОТКРЫТЫХ С</w:t>
            </w:r>
            <w:r w:rsidRPr="00517C62">
              <w:rPr>
                <w:rFonts w:ascii="Tahoma" w:hAnsi="Tahoma" w:cs="Tahoma"/>
                <w:b/>
                <w:bCs/>
                <w:noProof/>
              </w:rPr>
              <w:t xml:space="preserve"> 04.03.2022 (ДЕЙСТВУЮТ С 21.06.2022 ПО 04.08.2022)</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308</w:t>
            </w:r>
            <w:r>
              <w:rPr>
                <w:noProof/>
                <w:webHidden/>
              </w:rPr>
              <w:tab/>
            </w:r>
            <w:r>
              <w:rPr>
                <w:noProof/>
                <w:webHidden/>
              </w:rPr>
              <w:fldChar w:fldCharType="begin"/>
            </w:r>
            <w:r>
              <w:rPr>
                <w:noProof/>
                <w:webHidden/>
              </w:rPr>
              <w:instrText xml:space="preserve"> PAGEREF _Toc191284511 \h </w:instrText>
            </w:r>
            <w:r>
              <w:rPr>
                <w:noProof/>
                <w:webHidden/>
              </w:rPr>
            </w:r>
            <w:r>
              <w:rPr>
                <w:noProof/>
                <w:webHidden/>
              </w:rPr>
              <w:fldChar w:fldCharType="separate"/>
            </w:r>
            <w:r>
              <w:rPr>
                <w:noProof/>
                <w:webHidden/>
              </w:rPr>
              <w:t>3</w:t>
            </w:r>
            <w:r>
              <w:rPr>
                <w:noProof/>
                <w:webHidden/>
              </w:rPr>
              <w:fldChar w:fldCharType="end"/>
            </w:r>
          </w:hyperlink>
        </w:p>
        <w:p w14:paraId="35015A74" w14:textId="50DF0AAB" w:rsidR="00ED147F" w:rsidRDefault="00ED147F">
          <w:pPr>
            <w:tabs>
              <w:tab w:val="left" w:pos="8836"/>
              <w:tab w:val="right" w:leader="dot" w:pos="10055"/>
            </w:tabs>
            <w:rPr>
              <w:rFonts w:asciiTheme="minorHAnsi" w:eastAsiaTheme="minorEastAsia" w:hAnsiTheme="minorHAnsi" w:cstheme="minorBidi"/>
              <w:b/>
              <w:bCs/>
              <w:caps/>
              <w:noProof/>
              <w:kern w:val="2"/>
              <w14:ligatures w14:val="standardContextual"/>
            </w:rPr>
          </w:pPr>
          <w:hyperlink w:anchor="_Toc191284512" w:history="1">
            <w:r w:rsidRPr="00517C62">
              <w:rPr>
                <w:rFonts w:ascii="Tahoma" w:hAnsi="Tahoma" w:cs="Tahoma"/>
                <w:b/>
                <w:noProof/>
              </w:rPr>
              <w:t>3.31. УСЛОВИЯ ТЕКУЩЕГО БАНКОВСКОГО СЧЕТА «НАКОПИТЕЛЬНЫЙ СЧЕТ СУПЕР КОПИЛКА» ДЛЯ СЧЕТОВ, ОТКРЫТЫХ С 04.03.2022 (ДЕЙСТВУЮТ С 05.08.2022</w:t>
            </w:r>
            <w:r w:rsidRPr="00517C62">
              <w:rPr>
                <w:rFonts w:ascii="Tahoma" w:hAnsi="Tahoma" w:cs="Tahoma"/>
                <w:b/>
                <w:bCs/>
                <w:noProof/>
              </w:rPr>
              <w:t xml:space="preserve"> ПО 11.09.2022)</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309</w:t>
            </w:r>
            <w:r>
              <w:rPr>
                <w:noProof/>
                <w:webHidden/>
              </w:rPr>
              <w:tab/>
            </w:r>
            <w:r>
              <w:rPr>
                <w:noProof/>
                <w:webHidden/>
              </w:rPr>
              <w:fldChar w:fldCharType="begin"/>
            </w:r>
            <w:r>
              <w:rPr>
                <w:noProof/>
                <w:webHidden/>
              </w:rPr>
              <w:instrText xml:space="preserve"> PAGEREF _Toc191284512 \h </w:instrText>
            </w:r>
            <w:r>
              <w:rPr>
                <w:noProof/>
                <w:webHidden/>
              </w:rPr>
            </w:r>
            <w:r>
              <w:rPr>
                <w:noProof/>
                <w:webHidden/>
              </w:rPr>
              <w:fldChar w:fldCharType="separate"/>
            </w:r>
            <w:r>
              <w:rPr>
                <w:noProof/>
                <w:webHidden/>
              </w:rPr>
              <w:t>3</w:t>
            </w:r>
            <w:r>
              <w:rPr>
                <w:noProof/>
                <w:webHidden/>
              </w:rPr>
              <w:fldChar w:fldCharType="end"/>
            </w:r>
          </w:hyperlink>
        </w:p>
        <w:p w14:paraId="0FF7E19F" w14:textId="4DA55DE9" w:rsidR="00ED147F" w:rsidRDefault="00ED147F">
          <w:pPr>
            <w:tabs>
              <w:tab w:val="left" w:pos="7828"/>
              <w:tab w:val="right" w:leader="dot" w:pos="10055"/>
            </w:tabs>
            <w:rPr>
              <w:rFonts w:asciiTheme="minorHAnsi" w:eastAsiaTheme="minorEastAsia" w:hAnsiTheme="minorHAnsi" w:cstheme="minorBidi"/>
              <w:b/>
              <w:bCs/>
              <w:caps/>
              <w:noProof/>
              <w:kern w:val="2"/>
              <w14:ligatures w14:val="standardContextual"/>
            </w:rPr>
          </w:pPr>
          <w:hyperlink w:anchor="_Toc191284513" w:history="1">
            <w:r w:rsidRPr="00517C62">
              <w:rPr>
                <w:rFonts w:ascii="Tahoma" w:hAnsi="Tahoma" w:cs="Tahoma"/>
                <w:b/>
                <w:noProof/>
              </w:rPr>
              <w:t>3.37. ВКЛАД «СОХРАНИ» (УСЛОВИЯ ДЛЯ ПРОЛОНГИРУЕМЫХ ВКЛАДОВ)</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313</w:t>
            </w:r>
            <w:r>
              <w:rPr>
                <w:noProof/>
                <w:webHidden/>
              </w:rPr>
              <w:tab/>
            </w:r>
            <w:r>
              <w:rPr>
                <w:noProof/>
                <w:webHidden/>
              </w:rPr>
              <w:fldChar w:fldCharType="begin"/>
            </w:r>
            <w:r>
              <w:rPr>
                <w:noProof/>
                <w:webHidden/>
              </w:rPr>
              <w:instrText xml:space="preserve"> PAGEREF _Toc191284513 \h </w:instrText>
            </w:r>
            <w:r>
              <w:rPr>
                <w:noProof/>
                <w:webHidden/>
              </w:rPr>
            </w:r>
            <w:r>
              <w:rPr>
                <w:noProof/>
                <w:webHidden/>
              </w:rPr>
              <w:fldChar w:fldCharType="separate"/>
            </w:r>
            <w:r>
              <w:rPr>
                <w:noProof/>
                <w:webHidden/>
              </w:rPr>
              <w:t>3</w:t>
            </w:r>
            <w:r>
              <w:rPr>
                <w:noProof/>
                <w:webHidden/>
              </w:rPr>
              <w:fldChar w:fldCharType="end"/>
            </w:r>
          </w:hyperlink>
        </w:p>
        <w:p w14:paraId="33973D32" w14:textId="0161479D" w:rsidR="00ED147F" w:rsidRDefault="00ED147F">
          <w:pPr>
            <w:tabs>
              <w:tab w:val="left" w:pos="7719"/>
              <w:tab w:val="right" w:leader="dot" w:pos="10055"/>
            </w:tabs>
            <w:rPr>
              <w:rFonts w:asciiTheme="minorHAnsi" w:eastAsiaTheme="minorEastAsia" w:hAnsiTheme="minorHAnsi" w:cstheme="minorBidi"/>
              <w:b/>
              <w:bCs/>
              <w:caps/>
              <w:noProof/>
              <w:kern w:val="2"/>
              <w14:ligatures w14:val="standardContextual"/>
            </w:rPr>
          </w:pPr>
          <w:hyperlink w:anchor="_Toc191284514" w:history="1">
            <w:r w:rsidRPr="00517C62">
              <w:rPr>
                <w:rFonts w:ascii="Tahoma" w:hAnsi="Tahoma" w:cs="Tahoma"/>
                <w:b/>
                <w:noProof/>
              </w:rPr>
              <w:t>3.38. ВКЛАД «НАКОПИ» (УСЛОВИЯ ДЛЯ ПРОЛОНГИРУЕМЫХ ВКЛАДОВ)</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314</w:t>
            </w:r>
            <w:r>
              <w:rPr>
                <w:noProof/>
                <w:webHidden/>
              </w:rPr>
              <w:tab/>
            </w:r>
            <w:r>
              <w:rPr>
                <w:noProof/>
                <w:webHidden/>
              </w:rPr>
              <w:fldChar w:fldCharType="begin"/>
            </w:r>
            <w:r>
              <w:rPr>
                <w:noProof/>
                <w:webHidden/>
              </w:rPr>
              <w:instrText xml:space="preserve"> PAGEREF _Toc191284514 \h </w:instrText>
            </w:r>
            <w:r>
              <w:rPr>
                <w:noProof/>
                <w:webHidden/>
              </w:rPr>
            </w:r>
            <w:r>
              <w:rPr>
                <w:noProof/>
                <w:webHidden/>
              </w:rPr>
              <w:fldChar w:fldCharType="separate"/>
            </w:r>
            <w:r>
              <w:rPr>
                <w:noProof/>
                <w:webHidden/>
              </w:rPr>
              <w:t>3</w:t>
            </w:r>
            <w:r>
              <w:rPr>
                <w:noProof/>
                <w:webHidden/>
              </w:rPr>
              <w:fldChar w:fldCharType="end"/>
            </w:r>
          </w:hyperlink>
        </w:p>
        <w:p w14:paraId="4C1375FD" w14:textId="350DC2A8" w:rsidR="00ED147F" w:rsidRDefault="00ED147F">
          <w:pPr>
            <w:tabs>
              <w:tab w:val="left" w:pos="8793"/>
              <w:tab w:val="right" w:leader="dot" w:pos="10055"/>
            </w:tabs>
            <w:rPr>
              <w:rFonts w:asciiTheme="minorHAnsi" w:eastAsiaTheme="minorEastAsia" w:hAnsiTheme="minorHAnsi" w:cstheme="minorBidi"/>
              <w:b/>
              <w:bCs/>
              <w:caps/>
              <w:noProof/>
              <w:kern w:val="2"/>
              <w14:ligatures w14:val="standardContextual"/>
            </w:rPr>
          </w:pPr>
          <w:hyperlink w:anchor="_Toc191284515" w:history="1">
            <w:r w:rsidRPr="00517C62">
              <w:rPr>
                <w:rFonts w:ascii="Tahoma" w:hAnsi="Tahoma" w:cs="Tahoma"/>
                <w:b/>
                <w:noProof/>
              </w:rPr>
              <w:t>3.39. ВКЛАД «СОХРАНИ ОНЛАЙН» (УСЛОВИЯ ДЛЯ ПРОЛОНГИРУЕМЫХ ВКЛАДОВ)</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315</w:t>
            </w:r>
            <w:r>
              <w:rPr>
                <w:noProof/>
                <w:webHidden/>
              </w:rPr>
              <w:tab/>
            </w:r>
            <w:r>
              <w:rPr>
                <w:noProof/>
                <w:webHidden/>
              </w:rPr>
              <w:fldChar w:fldCharType="begin"/>
            </w:r>
            <w:r>
              <w:rPr>
                <w:noProof/>
                <w:webHidden/>
              </w:rPr>
              <w:instrText xml:space="preserve"> PAGEREF _Toc191284515 \h </w:instrText>
            </w:r>
            <w:r>
              <w:rPr>
                <w:noProof/>
                <w:webHidden/>
              </w:rPr>
            </w:r>
            <w:r>
              <w:rPr>
                <w:noProof/>
                <w:webHidden/>
              </w:rPr>
              <w:fldChar w:fldCharType="separate"/>
            </w:r>
            <w:r>
              <w:rPr>
                <w:noProof/>
                <w:webHidden/>
              </w:rPr>
              <w:t>3</w:t>
            </w:r>
            <w:r>
              <w:rPr>
                <w:noProof/>
                <w:webHidden/>
              </w:rPr>
              <w:fldChar w:fldCharType="end"/>
            </w:r>
          </w:hyperlink>
        </w:p>
        <w:p w14:paraId="21A2480C" w14:textId="28394BA9" w:rsidR="00ED147F" w:rsidRDefault="00ED147F">
          <w:pPr>
            <w:tabs>
              <w:tab w:val="left" w:pos="8684"/>
              <w:tab w:val="right" w:leader="dot" w:pos="10055"/>
            </w:tabs>
            <w:rPr>
              <w:rFonts w:asciiTheme="minorHAnsi" w:eastAsiaTheme="minorEastAsia" w:hAnsiTheme="minorHAnsi" w:cstheme="minorBidi"/>
              <w:b/>
              <w:bCs/>
              <w:caps/>
              <w:noProof/>
              <w:kern w:val="2"/>
              <w14:ligatures w14:val="standardContextual"/>
            </w:rPr>
          </w:pPr>
          <w:hyperlink w:anchor="_Toc191284516" w:history="1">
            <w:r w:rsidRPr="00517C62">
              <w:rPr>
                <w:rFonts w:ascii="Tahoma" w:hAnsi="Tahoma" w:cs="Tahoma"/>
                <w:b/>
                <w:noProof/>
              </w:rPr>
              <w:t>3.40. ВКЛАД «НАКОПИ ОНЛАЙН» (УСЛОВИЯ ДЛЯ ПРОЛОНГИРУЕМЫХ ВКЛАДОВ)</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316</w:t>
            </w:r>
            <w:r>
              <w:rPr>
                <w:noProof/>
                <w:webHidden/>
              </w:rPr>
              <w:tab/>
            </w:r>
            <w:r>
              <w:rPr>
                <w:noProof/>
                <w:webHidden/>
              </w:rPr>
              <w:fldChar w:fldCharType="begin"/>
            </w:r>
            <w:r>
              <w:rPr>
                <w:noProof/>
                <w:webHidden/>
              </w:rPr>
              <w:instrText xml:space="preserve"> PAGEREF _Toc191284516 \h </w:instrText>
            </w:r>
            <w:r>
              <w:rPr>
                <w:noProof/>
                <w:webHidden/>
              </w:rPr>
            </w:r>
            <w:r>
              <w:rPr>
                <w:noProof/>
                <w:webHidden/>
              </w:rPr>
              <w:fldChar w:fldCharType="separate"/>
            </w:r>
            <w:r>
              <w:rPr>
                <w:noProof/>
                <w:webHidden/>
              </w:rPr>
              <w:t>3</w:t>
            </w:r>
            <w:r>
              <w:rPr>
                <w:noProof/>
                <w:webHidden/>
              </w:rPr>
              <w:fldChar w:fldCharType="end"/>
            </w:r>
          </w:hyperlink>
        </w:p>
        <w:p w14:paraId="69B2C5BB" w14:textId="747F3F32" w:rsidR="00ED147F" w:rsidRDefault="00ED147F">
          <w:pPr>
            <w:tabs>
              <w:tab w:val="left" w:pos="7382"/>
              <w:tab w:val="right" w:leader="dot" w:pos="10055"/>
            </w:tabs>
            <w:rPr>
              <w:rFonts w:asciiTheme="minorHAnsi" w:eastAsiaTheme="minorEastAsia" w:hAnsiTheme="minorHAnsi" w:cstheme="minorBidi"/>
              <w:b/>
              <w:bCs/>
              <w:caps/>
              <w:noProof/>
              <w:kern w:val="2"/>
              <w14:ligatures w14:val="standardContextual"/>
            </w:rPr>
          </w:pPr>
          <w:hyperlink w:anchor="_Toc191284517" w:history="1">
            <w:r w:rsidRPr="00517C62">
              <w:rPr>
                <w:rFonts w:ascii="Tahoma" w:hAnsi="Tahoma" w:cs="Tahoma"/>
                <w:b/>
                <w:noProof/>
              </w:rPr>
              <w:t>3.41. ВКЛАД «ЛЕТО» (УСЛОВИЯ ДЛЯ ПРОЛОНГИРУЕМЫХ ВКЛАДОВ)</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316</w:t>
            </w:r>
            <w:r>
              <w:rPr>
                <w:noProof/>
                <w:webHidden/>
              </w:rPr>
              <w:tab/>
            </w:r>
            <w:r>
              <w:rPr>
                <w:noProof/>
                <w:webHidden/>
              </w:rPr>
              <w:fldChar w:fldCharType="begin"/>
            </w:r>
            <w:r>
              <w:rPr>
                <w:noProof/>
                <w:webHidden/>
              </w:rPr>
              <w:instrText xml:space="preserve"> PAGEREF _Toc191284517 \h </w:instrText>
            </w:r>
            <w:r>
              <w:rPr>
                <w:noProof/>
                <w:webHidden/>
              </w:rPr>
            </w:r>
            <w:r>
              <w:rPr>
                <w:noProof/>
                <w:webHidden/>
              </w:rPr>
              <w:fldChar w:fldCharType="separate"/>
            </w:r>
            <w:r>
              <w:rPr>
                <w:noProof/>
                <w:webHidden/>
              </w:rPr>
              <w:t>3</w:t>
            </w:r>
            <w:r>
              <w:rPr>
                <w:noProof/>
                <w:webHidden/>
              </w:rPr>
              <w:fldChar w:fldCharType="end"/>
            </w:r>
          </w:hyperlink>
        </w:p>
        <w:p w14:paraId="0A587AD1" w14:textId="666CE7BD" w:rsidR="00ED147F" w:rsidRDefault="00ED147F">
          <w:pPr>
            <w:tabs>
              <w:tab w:val="left" w:pos="7757"/>
              <w:tab w:val="right" w:leader="dot" w:pos="10055"/>
            </w:tabs>
            <w:rPr>
              <w:rFonts w:asciiTheme="minorHAnsi" w:eastAsiaTheme="minorEastAsia" w:hAnsiTheme="minorHAnsi" w:cstheme="minorBidi"/>
              <w:b/>
              <w:bCs/>
              <w:caps/>
              <w:noProof/>
              <w:kern w:val="2"/>
              <w14:ligatures w14:val="standardContextual"/>
            </w:rPr>
          </w:pPr>
          <w:hyperlink w:anchor="_Toc191284518" w:history="1">
            <w:r w:rsidRPr="00517C62">
              <w:rPr>
                <w:rFonts w:ascii="Tahoma" w:hAnsi="Tahoma" w:cs="Tahoma"/>
                <w:b/>
                <w:noProof/>
              </w:rPr>
              <w:t>3.42. ВКЛАД «ЛЕТО 5,5» (УСЛОВИЯ ДЛЯ ПРОЛОНГИРУЕМЫХ ВКЛАДОВ)</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317</w:t>
            </w:r>
            <w:r>
              <w:rPr>
                <w:noProof/>
                <w:webHidden/>
              </w:rPr>
              <w:tab/>
            </w:r>
            <w:r>
              <w:rPr>
                <w:noProof/>
                <w:webHidden/>
              </w:rPr>
              <w:fldChar w:fldCharType="begin"/>
            </w:r>
            <w:r>
              <w:rPr>
                <w:noProof/>
                <w:webHidden/>
              </w:rPr>
              <w:instrText xml:space="preserve"> PAGEREF _Toc191284518 \h </w:instrText>
            </w:r>
            <w:r>
              <w:rPr>
                <w:noProof/>
                <w:webHidden/>
              </w:rPr>
            </w:r>
            <w:r>
              <w:rPr>
                <w:noProof/>
                <w:webHidden/>
              </w:rPr>
              <w:fldChar w:fldCharType="separate"/>
            </w:r>
            <w:r>
              <w:rPr>
                <w:noProof/>
                <w:webHidden/>
              </w:rPr>
              <w:t>3</w:t>
            </w:r>
            <w:r>
              <w:rPr>
                <w:noProof/>
                <w:webHidden/>
              </w:rPr>
              <w:fldChar w:fldCharType="end"/>
            </w:r>
          </w:hyperlink>
        </w:p>
        <w:p w14:paraId="7F6C5C45" w14:textId="43BA17DE" w:rsidR="00ED147F" w:rsidRDefault="00ED147F">
          <w:pPr>
            <w:tabs>
              <w:tab w:val="left" w:pos="8347"/>
              <w:tab w:val="right" w:leader="dot" w:pos="10055"/>
            </w:tabs>
            <w:rPr>
              <w:rFonts w:asciiTheme="minorHAnsi" w:eastAsiaTheme="minorEastAsia" w:hAnsiTheme="minorHAnsi" w:cstheme="minorBidi"/>
              <w:b/>
              <w:bCs/>
              <w:caps/>
              <w:noProof/>
              <w:kern w:val="2"/>
              <w14:ligatures w14:val="standardContextual"/>
            </w:rPr>
          </w:pPr>
          <w:hyperlink w:anchor="_Toc191284519" w:history="1">
            <w:r w:rsidRPr="00517C62">
              <w:rPr>
                <w:rFonts w:ascii="Tahoma" w:hAnsi="Tahoma" w:cs="Tahoma"/>
                <w:b/>
                <w:noProof/>
              </w:rPr>
              <w:t>3.43. ВКЛАД «ЛЕТО ОНЛАЙН» (УСЛОВИЯ ДЛЯ ПРОЛОНГИРУЕМЫХ ВКЛАДОВ)</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317</w:t>
            </w:r>
            <w:r>
              <w:rPr>
                <w:noProof/>
                <w:webHidden/>
              </w:rPr>
              <w:tab/>
            </w:r>
            <w:r>
              <w:rPr>
                <w:noProof/>
                <w:webHidden/>
              </w:rPr>
              <w:fldChar w:fldCharType="begin"/>
            </w:r>
            <w:r>
              <w:rPr>
                <w:noProof/>
                <w:webHidden/>
              </w:rPr>
              <w:instrText xml:space="preserve"> PAGEREF _Toc191284519 \h </w:instrText>
            </w:r>
            <w:r>
              <w:rPr>
                <w:noProof/>
                <w:webHidden/>
              </w:rPr>
            </w:r>
            <w:r>
              <w:rPr>
                <w:noProof/>
                <w:webHidden/>
              </w:rPr>
              <w:fldChar w:fldCharType="separate"/>
            </w:r>
            <w:r>
              <w:rPr>
                <w:noProof/>
                <w:webHidden/>
              </w:rPr>
              <w:t>3</w:t>
            </w:r>
            <w:r>
              <w:rPr>
                <w:noProof/>
                <w:webHidden/>
              </w:rPr>
              <w:fldChar w:fldCharType="end"/>
            </w:r>
          </w:hyperlink>
        </w:p>
        <w:p w14:paraId="7B1CB3AE" w14:textId="0A7D1854" w:rsidR="00ED147F" w:rsidRDefault="00ED147F">
          <w:pPr>
            <w:tabs>
              <w:tab w:val="left" w:pos="7940"/>
              <w:tab w:val="right" w:leader="dot" w:pos="10055"/>
            </w:tabs>
            <w:rPr>
              <w:rFonts w:asciiTheme="minorHAnsi" w:eastAsiaTheme="minorEastAsia" w:hAnsiTheme="minorHAnsi" w:cstheme="minorBidi"/>
              <w:b/>
              <w:bCs/>
              <w:caps/>
              <w:noProof/>
              <w:kern w:val="2"/>
              <w14:ligatures w14:val="standardContextual"/>
            </w:rPr>
          </w:pPr>
          <w:hyperlink w:anchor="_Toc191284520" w:history="1">
            <w:r w:rsidRPr="00517C62">
              <w:rPr>
                <w:rFonts w:ascii="Tahoma" w:hAnsi="Tahoma" w:cs="Tahoma"/>
                <w:b/>
                <w:noProof/>
              </w:rPr>
              <w:t>3.44. ВКЛАД «МОРОШКА» (УСЛОВИЯ ДЛЯ ПРОЛОНГИРУЕМЫХ ВКЛАДОВ)</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318</w:t>
            </w:r>
            <w:r>
              <w:rPr>
                <w:noProof/>
                <w:webHidden/>
              </w:rPr>
              <w:tab/>
            </w:r>
            <w:r>
              <w:rPr>
                <w:noProof/>
                <w:webHidden/>
              </w:rPr>
              <w:fldChar w:fldCharType="begin"/>
            </w:r>
            <w:r>
              <w:rPr>
                <w:noProof/>
                <w:webHidden/>
              </w:rPr>
              <w:instrText xml:space="preserve"> PAGEREF _Toc191284520 \h </w:instrText>
            </w:r>
            <w:r>
              <w:rPr>
                <w:noProof/>
                <w:webHidden/>
              </w:rPr>
            </w:r>
            <w:r>
              <w:rPr>
                <w:noProof/>
                <w:webHidden/>
              </w:rPr>
              <w:fldChar w:fldCharType="separate"/>
            </w:r>
            <w:r>
              <w:rPr>
                <w:noProof/>
                <w:webHidden/>
              </w:rPr>
              <w:t>4</w:t>
            </w:r>
            <w:r>
              <w:rPr>
                <w:noProof/>
                <w:webHidden/>
              </w:rPr>
              <w:fldChar w:fldCharType="end"/>
            </w:r>
          </w:hyperlink>
        </w:p>
        <w:p w14:paraId="17261AB7" w14:textId="35D4602B" w:rsidR="00ED147F" w:rsidRDefault="00ED147F">
          <w:pPr>
            <w:tabs>
              <w:tab w:val="left" w:pos="8154"/>
              <w:tab w:val="right" w:leader="dot" w:pos="10055"/>
            </w:tabs>
            <w:rPr>
              <w:rFonts w:asciiTheme="minorHAnsi" w:eastAsiaTheme="minorEastAsia" w:hAnsiTheme="minorHAnsi" w:cstheme="minorBidi"/>
              <w:b/>
              <w:bCs/>
              <w:caps/>
              <w:noProof/>
              <w:kern w:val="2"/>
              <w14:ligatures w14:val="standardContextual"/>
            </w:rPr>
          </w:pPr>
          <w:hyperlink w:anchor="_Toc191284521" w:history="1">
            <w:r w:rsidRPr="00517C62">
              <w:rPr>
                <w:rFonts w:ascii="Tahoma" w:hAnsi="Tahoma" w:cs="Tahoma"/>
                <w:b/>
                <w:noProof/>
              </w:rPr>
              <w:t>3.45. ВКЛАД «МАСЛЕНИЦА» (УСЛОВИЯ ДЛЯ ПРОЛОНГИРУЕМЫХ ВКЛАДОВ)</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318</w:t>
            </w:r>
            <w:r>
              <w:rPr>
                <w:noProof/>
                <w:webHidden/>
              </w:rPr>
              <w:tab/>
            </w:r>
            <w:r>
              <w:rPr>
                <w:noProof/>
                <w:webHidden/>
              </w:rPr>
              <w:fldChar w:fldCharType="begin"/>
            </w:r>
            <w:r>
              <w:rPr>
                <w:noProof/>
                <w:webHidden/>
              </w:rPr>
              <w:instrText xml:space="preserve"> PAGEREF _Toc191284521 \h </w:instrText>
            </w:r>
            <w:r>
              <w:rPr>
                <w:noProof/>
                <w:webHidden/>
              </w:rPr>
            </w:r>
            <w:r>
              <w:rPr>
                <w:noProof/>
                <w:webHidden/>
              </w:rPr>
              <w:fldChar w:fldCharType="separate"/>
            </w:r>
            <w:r>
              <w:rPr>
                <w:noProof/>
                <w:webHidden/>
              </w:rPr>
              <w:t>4</w:t>
            </w:r>
            <w:r>
              <w:rPr>
                <w:noProof/>
                <w:webHidden/>
              </w:rPr>
              <w:fldChar w:fldCharType="end"/>
            </w:r>
          </w:hyperlink>
        </w:p>
        <w:p w14:paraId="2BDBA5BD" w14:textId="798F45D1" w:rsidR="00ED147F" w:rsidRDefault="00ED147F">
          <w:pPr>
            <w:tabs>
              <w:tab w:val="left" w:pos="8015"/>
              <w:tab w:val="right" w:leader="dot" w:pos="10055"/>
            </w:tabs>
            <w:rPr>
              <w:rFonts w:asciiTheme="minorHAnsi" w:eastAsiaTheme="minorEastAsia" w:hAnsiTheme="minorHAnsi" w:cstheme="minorBidi"/>
              <w:b/>
              <w:bCs/>
              <w:caps/>
              <w:noProof/>
              <w:kern w:val="2"/>
              <w14:ligatures w14:val="standardContextual"/>
            </w:rPr>
          </w:pPr>
          <w:hyperlink w:anchor="_Toc191284522" w:history="1">
            <w:r w:rsidRPr="00517C62">
              <w:rPr>
                <w:rFonts w:ascii="Tahoma" w:hAnsi="Tahoma" w:cs="Tahoma"/>
                <w:b/>
                <w:noProof/>
              </w:rPr>
              <w:t>3.46. ВКЛАД «МАСЛЕНИЦА ОНЛАЙН» (УСЛОВИЯ ДЛЯ ПРОЛОНГИРУЕМЫХ ВКЛАДОВ)</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319</w:t>
            </w:r>
            <w:r>
              <w:rPr>
                <w:noProof/>
                <w:webHidden/>
              </w:rPr>
              <w:tab/>
            </w:r>
            <w:r>
              <w:rPr>
                <w:noProof/>
                <w:webHidden/>
              </w:rPr>
              <w:fldChar w:fldCharType="begin"/>
            </w:r>
            <w:r>
              <w:rPr>
                <w:noProof/>
                <w:webHidden/>
              </w:rPr>
              <w:instrText xml:space="preserve"> PAGEREF _Toc191284522 \h </w:instrText>
            </w:r>
            <w:r>
              <w:rPr>
                <w:noProof/>
                <w:webHidden/>
              </w:rPr>
            </w:r>
            <w:r>
              <w:rPr>
                <w:noProof/>
                <w:webHidden/>
              </w:rPr>
              <w:fldChar w:fldCharType="separate"/>
            </w:r>
            <w:r>
              <w:rPr>
                <w:noProof/>
                <w:webHidden/>
              </w:rPr>
              <w:t>4</w:t>
            </w:r>
            <w:r>
              <w:rPr>
                <w:noProof/>
                <w:webHidden/>
              </w:rPr>
              <w:fldChar w:fldCharType="end"/>
            </w:r>
          </w:hyperlink>
        </w:p>
        <w:p w14:paraId="24721389" w14:textId="3F8988F6" w:rsidR="00ED147F" w:rsidRDefault="00ED147F">
          <w:pPr>
            <w:tabs>
              <w:tab w:val="left" w:pos="7282"/>
              <w:tab w:val="right" w:leader="dot" w:pos="10055"/>
            </w:tabs>
            <w:rPr>
              <w:rFonts w:asciiTheme="minorHAnsi" w:eastAsiaTheme="minorEastAsia" w:hAnsiTheme="minorHAnsi" w:cstheme="minorBidi"/>
              <w:b/>
              <w:bCs/>
              <w:caps/>
              <w:noProof/>
              <w:kern w:val="2"/>
              <w14:ligatures w14:val="standardContextual"/>
            </w:rPr>
          </w:pPr>
          <w:hyperlink w:anchor="_Toc191284523" w:history="1">
            <w:r w:rsidRPr="00517C62">
              <w:rPr>
                <w:rFonts w:ascii="Tahoma" w:hAnsi="Tahoma" w:cs="Tahoma"/>
                <w:b/>
                <w:noProof/>
              </w:rPr>
              <w:t>3.47. ВКЛАД «МЕД» (УСЛОВИЯ ДЛЯ ПРОЛОНГИРУЕМЫХ ВКЛАДОВ)</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319</w:t>
            </w:r>
            <w:r>
              <w:rPr>
                <w:noProof/>
                <w:webHidden/>
              </w:rPr>
              <w:tab/>
            </w:r>
            <w:r>
              <w:rPr>
                <w:noProof/>
                <w:webHidden/>
              </w:rPr>
              <w:fldChar w:fldCharType="begin"/>
            </w:r>
            <w:r>
              <w:rPr>
                <w:noProof/>
                <w:webHidden/>
              </w:rPr>
              <w:instrText xml:space="preserve"> PAGEREF _Toc191284523 \h </w:instrText>
            </w:r>
            <w:r>
              <w:rPr>
                <w:noProof/>
                <w:webHidden/>
              </w:rPr>
            </w:r>
            <w:r>
              <w:rPr>
                <w:noProof/>
                <w:webHidden/>
              </w:rPr>
              <w:fldChar w:fldCharType="separate"/>
            </w:r>
            <w:r>
              <w:rPr>
                <w:noProof/>
                <w:webHidden/>
              </w:rPr>
              <w:t>4</w:t>
            </w:r>
            <w:r>
              <w:rPr>
                <w:noProof/>
                <w:webHidden/>
              </w:rPr>
              <w:fldChar w:fldCharType="end"/>
            </w:r>
          </w:hyperlink>
        </w:p>
        <w:p w14:paraId="47643A5F" w14:textId="419DE6D5" w:rsidR="00ED147F" w:rsidRDefault="00ED147F">
          <w:pPr>
            <w:tabs>
              <w:tab w:val="left" w:pos="7802"/>
              <w:tab w:val="right" w:leader="dot" w:pos="10055"/>
            </w:tabs>
            <w:rPr>
              <w:rFonts w:asciiTheme="minorHAnsi" w:eastAsiaTheme="minorEastAsia" w:hAnsiTheme="minorHAnsi" w:cstheme="minorBidi"/>
              <w:b/>
              <w:bCs/>
              <w:caps/>
              <w:noProof/>
              <w:kern w:val="2"/>
              <w14:ligatures w14:val="standardContextual"/>
            </w:rPr>
          </w:pPr>
          <w:hyperlink w:anchor="_Toc191284524" w:history="1">
            <w:r w:rsidRPr="00517C62">
              <w:rPr>
                <w:rFonts w:ascii="Tahoma" w:hAnsi="Tahoma" w:cs="Tahoma"/>
                <w:b/>
                <w:noProof/>
              </w:rPr>
              <w:t>3.48. ВКЛАД «ПАРА ПАНДАРИНОВ» (УСЛОВИЯ ДЛЯ ПРОЛОНГИРУЕМЫХ ВКЛАДОВ)</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320</w:t>
            </w:r>
            <w:r>
              <w:rPr>
                <w:noProof/>
                <w:webHidden/>
              </w:rPr>
              <w:tab/>
            </w:r>
            <w:r>
              <w:rPr>
                <w:noProof/>
                <w:webHidden/>
              </w:rPr>
              <w:fldChar w:fldCharType="begin"/>
            </w:r>
            <w:r>
              <w:rPr>
                <w:noProof/>
                <w:webHidden/>
              </w:rPr>
              <w:instrText xml:space="preserve"> PAGEREF _Toc191284524 \h </w:instrText>
            </w:r>
            <w:r>
              <w:rPr>
                <w:noProof/>
                <w:webHidden/>
              </w:rPr>
            </w:r>
            <w:r>
              <w:rPr>
                <w:noProof/>
                <w:webHidden/>
              </w:rPr>
              <w:fldChar w:fldCharType="separate"/>
            </w:r>
            <w:r>
              <w:rPr>
                <w:noProof/>
                <w:webHidden/>
              </w:rPr>
              <w:t>4</w:t>
            </w:r>
            <w:r>
              <w:rPr>
                <w:noProof/>
                <w:webHidden/>
              </w:rPr>
              <w:fldChar w:fldCharType="end"/>
            </w:r>
          </w:hyperlink>
        </w:p>
        <w:p w14:paraId="6B2032EA" w14:textId="4FE00E37" w:rsidR="00ED147F" w:rsidRDefault="00ED147F">
          <w:pPr>
            <w:tabs>
              <w:tab w:val="left" w:pos="7991"/>
              <w:tab w:val="right" w:leader="dot" w:pos="10055"/>
            </w:tabs>
            <w:rPr>
              <w:rFonts w:asciiTheme="minorHAnsi" w:eastAsiaTheme="minorEastAsia" w:hAnsiTheme="minorHAnsi" w:cstheme="minorBidi"/>
              <w:b/>
              <w:bCs/>
              <w:caps/>
              <w:noProof/>
              <w:kern w:val="2"/>
              <w14:ligatures w14:val="standardContextual"/>
            </w:rPr>
          </w:pPr>
          <w:hyperlink w:anchor="_Toc191284525" w:history="1">
            <w:r w:rsidRPr="00517C62">
              <w:rPr>
                <w:rFonts w:ascii="Tahoma" w:hAnsi="Tahoma" w:cs="Tahoma"/>
                <w:b/>
                <w:bCs/>
                <w:iCs/>
                <w:noProof/>
              </w:rPr>
              <w:t>3.49. ВКЛАД «СОХРАНИ+» (УСЛОВИЯ ДЛЯ ПРОЛОНГИРУЕМЫХ ВКЛАДОВ)</w:t>
            </w:r>
            <w:r>
              <w:rPr>
                <w:rFonts w:asciiTheme="minorHAnsi" w:eastAsiaTheme="minorEastAsia" w:hAnsiTheme="minorHAnsi" w:cstheme="minorBidi"/>
                <w:b/>
                <w:bCs/>
                <w:caps/>
                <w:noProof/>
                <w:kern w:val="2"/>
                <w14:ligatures w14:val="standardContextual"/>
              </w:rPr>
              <w:tab/>
            </w:r>
            <w:r w:rsidRPr="00517C62">
              <w:rPr>
                <w:rFonts w:ascii="Tahoma" w:hAnsi="Tahoma" w:cs="Tahoma"/>
                <w:b/>
                <w:bCs/>
                <w:iCs/>
                <w:noProof/>
              </w:rPr>
              <w:t>321</w:t>
            </w:r>
            <w:r>
              <w:rPr>
                <w:noProof/>
                <w:webHidden/>
              </w:rPr>
              <w:tab/>
            </w:r>
            <w:r>
              <w:rPr>
                <w:noProof/>
                <w:webHidden/>
              </w:rPr>
              <w:fldChar w:fldCharType="begin"/>
            </w:r>
            <w:r>
              <w:rPr>
                <w:noProof/>
                <w:webHidden/>
              </w:rPr>
              <w:instrText xml:space="preserve"> PAGEREF _Toc191284525 \h </w:instrText>
            </w:r>
            <w:r>
              <w:rPr>
                <w:noProof/>
                <w:webHidden/>
              </w:rPr>
            </w:r>
            <w:r>
              <w:rPr>
                <w:noProof/>
                <w:webHidden/>
              </w:rPr>
              <w:fldChar w:fldCharType="separate"/>
            </w:r>
            <w:r>
              <w:rPr>
                <w:noProof/>
                <w:webHidden/>
              </w:rPr>
              <w:t>4</w:t>
            </w:r>
            <w:r>
              <w:rPr>
                <w:noProof/>
                <w:webHidden/>
              </w:rPr>
              <w:fldChar w:fldCharType="end"/>
            </w:r>
          </w:hyperlink>
        </w:p>
        <w:p w14:paraId="4D4E2422" w14:textId="2815F0BA" w:rsidR="00ED147F" w:rsidRDefault="00ED147F">
          <w:pPr>
            <w:tabs>
              <w:tab w:val="left" w:pos="7817"/>
              <w:tab w:val="right" w:leader="dot" w:pos="10055"/>
            </w:tabs>
            <w:rPr>
              <w:rFonts w:asciiTheme="minorHAnsi" w:eastAsiaTheme="minorEastAsia" w:hAnsiTheme="minorHAnsi" w:cstheme="minorBidi"/>
              <w:b/>
              <w:bCs/>
              <w:caps/>
              <w:noProof/>
              <w:kern w:val="2"/>
              <w14:ligatures w14:val="standardContextual"/>
            </w:rPr>
          </w:pPr>
          <w:hyperlink w:anchor="_Toc191284526" w:history="1">
            <w:r w:rsidRPr="00517C62">
              <w:rPr>
                <w:rFonts w:ascii="Tahoma" w:hAnsi="Tahoma" w:cs="Tahoma"/>
                <w:b/>
                <w:bCs/>
                <w:iCs/>
                <w:noProof/>
              </w:rPr>
              <w:t>3.50. ВКЛАД «УПРАВЛЯЙ» (УСЛОВИЯ ДЛЯ ПРОЛОНГИРУЕМЫХ ВКАДОВ)</w:t>
            </w:r>
            <w:r>
              <w:rPr>
                <w:rFonts w:asciiTheme="minorHAnsi" w:eastAsiaTheme="minorEastAsia" w:hAnsiTheme="minorHAnsi" w:cstheme="minorBidi"/>
                <w:b/>
                <w:bCs/>
                <w:caps/>
                <w:noProof/>
                <w:kern w:val="2"/>
                <w14:ligatures w14:val="standardContextual"/>
              </w:rPr>
              <w:tab/>
            </w:r>
            <w:r w:rsidRPr="00517C62">
              <w:rPr>
                <w:rFonts w:ascii="Tahoma" w:hAnsi="Tahoma" w:cs="Tahoma"/>
                <w:b/>
                <w:bCs/>
                <w:iCs/>
                <w:noProof/>
              </w:rPr>
              <w:t>321</w:t>
            </w:r>
            <w:r>
              <w:rPr>
                <w:noProof/>
                <w:webHidden/>
              </w:rPr>
              <w:tab/>
            </w:r>
            <w:r>
              <w:rPr>
                <w:noProof/>
                <w:webHidden/>
              </w:rPr>
              <w:fldChar w:fldCharType="begin"/>
            </w:r>
            <w:r>
              <w:rPr>
                <w:noProof/>
                <w:webHidden/>
              </w:rPr>
              <w:instrText xml:space="preserve"> PAGEREF _Toc191284526 \h </w:instrText>
            </w:r>
            <w:r>
              <w:rPr>
                <w:noProof/>
                <w:webHidden/>
              </w:rPr>
            </w:r>
            <w:r>
              <w:rPr>
                <w:noProof/>
                <w:webHidden/>
              </w:rPr>
              <w:fldChar w:fldCharType="separate"/>
            </w:r>
            <w:r>
              <w:rPr>
                <w:noProof/>
                <w:webHidden/>
              </w:rPr>
              <w:t>4</w:t>
            </w:r>
            <w:r>
              <w:rPr>
                <w:noProof/>
                <w:webHidden/>
              </w:rPr>
              <w:fldChar w:fldCharType="end"/>
            </w:r>
          </w:hyperlink>
        </w:p>
        <w:p w14:paraId="49CD0032" w14:textId="3EDE5D4B" w:rsidR="00ED147F" w:rsidRDefault="00ED147F">
          <w:pPr>
            <w:tabs>
              <w:tab w:val="left" w:pos="7993"/>
              <w:tab w:val="right" w:leader="dot" w:pos="10055"/>
            </w:tabs>
            <w:rPr>
              <w:rFonts w:asciiTheme="minorHAnsi" w:eastAsiaTheme="minorEastAsia" w:hAnsiTheme="minorHAnsi" w:cstheme="minorBidi"/>
              <w:b/>
              <w:bCs/>
              <w:caps/>
              <w:noProof/>
              <w:kern w:val="2"/>
              <w14:ligatures w14:val="standardContextual"/>
            </w:rPr>
          </w:pPr>
          <w:hyperlink w:anchor="_Toc191284527" w:history="1">
            <w:r w:rsidRPr="00517C62">
              <w:rPr>
                <w:rFonts w:ascii="Tahoma" w:hAnsi="Tahoma" w:cs="Tahoma"/>
                <w:b/>
                <w:bCs/>
                <w:iCs/>
                <w:noProof/>
              </w:rPr>
              <w:t>3.51. ВКЛАД «СОХРАНИ+» ОНЛАЙН» (УСЛОВИЯ ДЛЯ ПРОЛОНГИРУЕМЫХ ВКАДОВ)</w:t>
            </w:r>
            <w:r>
              <w:rPr>
                <w:rFonts w:asciiTheme="minorHAnsi" w:eastAsiaTheme="minorEastAsia" w:hAnsiTheme="minorHAnsi" w:cstheme="minorBidi"/>
                <w:b/>
                <w:bCs/>
                <w:caps/>
                <w:noProof/>
                <w:kern w:val="2"/>
                <w14:ligatures w14:val="standardContextual"/>
              </w:rPr>
              <w:tab/>
            </w:r>
            <w:r w:rsidRPr="00517C62">
              <w:rPr>
                <w:rFonts w:ascii="Tahoma" w:hAnsi="Tahoma" w:cs="Tahoma"/>
                <w:b/>
                <w:bCs/>
                <w:iCs/>
                <w:noProof/>
              </w:rPr>
              <w:t>322</w:t>
            </w:r>
            <w:r>
              <w:rPr>
                <w:noProof/>
                <w:webHidden/>
              </w:rPr>
              <w:tab/>
            </w:r>
            <w:r>
              <w:rPr>
                <w:noProof/>
                <w:webHidden/>
              </w:rPr>
              <w:fldChar w:fldCharType="begin"/>
            </w:r>
            <w:r>
              <w:rPr>
                <w:noProof/>
                <w:webHidden/>
              </w:rPr>
              <w:instrText xml:space="preserve"> PAGEREF _Toc191284527 \h </w:instrText>
            </w:r>
            <w:r>
              <w:rPr>
                <w:noProof/>
                <w:webHidden/>
              </w:rPr>
            </w:r>
            <w:r>
              <w:rPr>
                <w:noProof/>
                <w:webHidden/>
              </w:rPr>
              <w:fldChar w:fldCharType="separate"/>
            </w:r>
            <w:r>
              <w:rPr>
                <w:noProof/>
                <w:webHidden/>
              </w:rPr>
              <w:t>4</w:t>
            </w:r>
            <w:r>
              <w:rPr>
                <w:noProof/>
                <w:webHidden/>
              </w:rPr>
              <w:fldChar w:fldCharType="end"/>
            </w:r>
          </w:hyperlink>
        </w:p>
        <w:p w14:paraId="588D61D1" w14:textId="6EB45218" w:rsidR="00ED147F" w:rsidRDefault="00ED147F">
          <w:pPr>
            <w:tabs>
              <w:tab w:val="left" w:pos="8783"/>
              <w:tab w:val="right" w:leader="dot" w:pos="10055"/>
            </w:tabs>
            <w:rPr>
              <w:rFonts w:asciiTheme="minorHAnsi" w:eastAsiaTheme="minorEastAsia" w:hAnsiTheme="minorHAnsi" w:cstheme="minorBidi"/>
              <w:b/>
              <w:bCs/>
              <w:caps/>
              <w:noProof/>
              <w:kern w:val="2"/>
              <w14:ligatures w14:val="standardContextual"/>
            </w:rPr>
          </w:pPr>
          <w:hyperlink w:anchor="_Toc191284528" w:history="1">
            <w:r w:rsidRPr="00517C62">
              <w:rPr>
                <w:rFonts w:ascii="Tahoma" w:hAnsi="Tahoma" w:cs="Tahoma"/>
                <w:b/>
                <w:bCs/>
                <w:iCs/>
                <w:noProof/>
              </w:rPr>
              <w:t>3.52. ВКЛАД «УПРАВЛЯЙ ОНЛАЙН» (УСЛОВИЯ ДЛЯ ПРОЛОНГИРУЕМЫХ ВКАДОВ)</w:t>
            </w:r>
            <w:r>
              <w:rPr>
                <w:rFonts w:asciiTheme="minorHAnsi" w:eastAsiaTheme="minorEastAsia" w:hAnsiTheme="minorHAnsi" w:cstheme="minorBidi"/>
                <w:b/>
                <w:bCs/>
                <w:caps/>
                <w:noProof/>
                <w:kern w:val="2"/>
                <w14:ligatures w14:val="standardContextual"/>
              </w:rPr>
              <w:tab/>
            </w:r>
            <w:r w:rsidRPr="00517C62">
              <w:rPr>
                <w:rFonts w:ascii="Tahoma" w:hAnsi="Tahoma" w:cs="Tahoma"/>
                <w:b/>
                <w:bCs/>
                <w:iCs/>
                <w:noProof/>
              </w:rPr>
              <w:t>323</w:t>
            </w:r>
            <w:r>
              <w:rPr>
                <w:noProof/>
                <w:webHidden/>
              </w:rPr>
              <w:tab/>
            </w:r>
            <w:r>
              <w:rPr>
                <w:noProof/>
                <w:webHidden/>
              </w:rPr>
              <w:fldChar w:fldCharType="begin"/>
            </w:r>
            <w:r>
              <w:rPr>
                <w:noProof/>
                <w:webHidden/>
              </w:rPr>
              <w:instrText xml:space="preserve"> PAGEREF _Toc191284528 \h </w:instrText>
            </w:r>
            <w:r>
              <w:rPr>
                <w:noProof/>
                <w:webHidden/>
              </w:rPr>
            </w:r>
            <w:r>
              <w:rPr>
                <w:noProof/>
                <w:webHidden/>
              </w:rPr>
              <w:fldChar w:fldCharType="separate"/>
            </w:r>
            <w:r>
              <w:rPr>
                <w:noProof/>
                <w:webHidden/>
              </w:rPr>
              <w:t>4</w:t>
            </w:r>
            <w:r>
              <w:rPr>
                <w:noProof/>
                <w:webHidden/>
              </w:rPr>
              <w:fldChar w:fldCharType="end"/>
            </w:r>
          </w:hyperlink>
        </w:p>
        <w:p w14:paraId="42EE7F18" w14:textId="20AC4C12" w:rsidR="00ED147F" w:rsidRDefault="00ED147F">
          <w:pPr>
            <w:tabs>
              <w:tab w:val="left" w:pos="2680"/>
              <w:tab w:val="right" w:leader="dot" w:pos="10055"/>
            </w:tabs>
            <w:rPr>
              <w:rFonts w:asciiTheme="minorHAnsi" w:eastAsiaTheme="minorEastAsia" w:hAnsiTheme="minorHAnsi" w:cstheme="minorBidi"/>
              <w:b/>
              <w:bCs/>
              <w:caps/>
              <w:noProof/>
              <w:kern w:val="2"/>
              <w14:ligatures w14:val="standardContextual"/>
            </w:rPr>
          </w:pPr>
          <w:hyperlink w:anchor="_Toc191284529" w:history="1">
            <w:r w:rsidRPr="00517C62">
              <w:rPr>
                <w:rFonts w:ascii="Tahoma" w:hAnsi="Tahoma" w:cs="Tahoma"/>
                <w:b/>
                <w:noProof/>
              </w:rPr>
              <w:t>4. БАНКОВСКИЕ КАРТЫ</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324</w:t>
            </w:r>
            <w:r>
              <w:rPr>
                <w:noProof/>
                <w:webHidden/>
              </w:rPr>
              <w:tab/>
            </w:r>
            <w:r>
              <w:rPr>
                <w:noProof/>
                <w:webHidden/>
              </w:rPr>
              <w:fldChar w:fldCharType="begin"/>
            </w:r>
            <w:r>
              <w:rPr>
                <w:noProof/>
                <w:webHidden/>
              </w:rPr>
              <w:instrText xml:space="preserve"> PAGEREF _Toc191284529 \h </w:instrText>
            </w:r>
            <w:r>
              <w:rPr>
                <w:noProof/>
                <w:webHidden/>
              </w:rPr>
            </w:r>
            <w:r>
              <w:rPr>
                <w:noProof/>
                <w:webHidden/>
              </w:rPr>
              <w:fldChar w:fldCharType="separate"/>
            </w:r>
            <w:r>
              <w:rPr>
                <w:noProof/>
                <w:webHidden/>
              </w:rPr>
              <w:t>4</w:t>
            </w:r>
            <w:r>
              <w:rPr>
                <w:noProof/>
                <w:webHidden/>
              </w:rPr>
              <w:fldChar w:fldCharType="end"/>
            </w:r>
          </w:hyperlink>
        </w:p>
        <w:p w14:paraId="528E9256" w14:textId="4A01B00B" w:rsidR="00ED147F" w:rsidRDefault="00ED147F">
          <w:pPr>
            <w:tabs>
              <w:tab w:val="left" w:pos="4019"/>
              <w:tab w:val="right" w:leader="dot" w:pos="10055"/>
            </w:tabs>
            <w:rPr>
              <w:rFonts w:asciiTheme="minorHAnsi" w:eastAsiaTheme="minorEastAsia" w:hAnsiTheme="minorHAnsi" w:cstheme="minorBidi"/>
              <w:b/>
              <w:bCs/>
              <w:caps/>
              <w:noProof/>
              <w:kern w:val="2"/>
              <w14:ligatures w14:val="standardContextual"/>
            </w:rPr>
          </w:pPr>
          <w:hyperlink w:anchor="_Toc191284530" w:history="1">
            <w:r w:rsidRPr="00517C62">
              <w:rPr>
                <w:rFonts w:ascii="Tahoma" w:hAnsi="Tahoma" w:cs="Tahoma"/>
                <w:b/>
                <w:noProof/>
              </w:rPr>
              <w:t>4.1. ТАРИФНЫЙ ПЛАН «</w:t>
            </w:r>
            <w:r w:rsidRPr="00517C62">
              <w:rPr>
                <w:rFonts w:ascii="Tahoma" w:hAnsi="Tahoma" w:cs="Tahoma"/>
                <w:b/>
                <w:bCs/>
                <w:iCs/>
                <w:noProof/>
              </w:rPr>
              <w:t>АТБ КАРТА»</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324</w:t>
            </w:r>
            <w:r>
              <w:rPr>
                <w:noProof/>
                <w:webHidden/>
              </w:rPr>
              <w:tab/>
            </w:r>
            <w:r>
              <w:rPr>
                <w:noProof/>
                <w:webHidden/>
              </w:rPr>
              <w:fldChar w:fldCharType="begin"/>
            </w:r>
            <w:r>
              <w:rPr>
                <w:noProof/>
                <w:webHidden/>
              </w:rPr>
              <w:instrText xml:space="preserve"> PAGEREF _Toc191284530 \h </w:instrText>
            </w:r>
            <w:r>
              <w:rPr>
                <w:noProof/>
                <w:webHidden/>
              </w:rPr>
            </w:r>
            <w:r>
              <w:rPr>
                <w:noProof/>
                <w:webHidden/>
              </w:rPr>
              <w:fldChar w:fldCharType="separate"/>
            </w:r>
            <w:r>
              <w:rPr>
                <w:noProof/>
                <w:webHidden/>
              </w:rPr>
              <w:t>4</w:t>
            </w:r>
            <w:r>
              <w:rPr>
                <w:noProof/>
                <w:webHidden/>
              </w:rPr>
              <w:fldChar w:fldCharType="end"/>
            </w:r>
          </w:hyperlink>
        </w:p>
        <w:p w14:paraId="4290C62F" w14:textId="434E76BB" w:rsidR="00ED147F" w:rsidRDefault="00ED147F">
          <w:pPr>
            <w:tabs>
              <w:tab w:val="left" w:pos="6029"/>
              <w:tab w:val="right" w:leader="dot" w:pos="10055"/>
            </w:tabs>
            <w:rPr>
              <w:rFonts w:asciiTheme="minorHAnsi" w:eastAsiaTheme="minorEastAsia" w:hAnsiTheme="minorHAnsi" w:cstheme="minorBidi"/>
              <w:b/>
              <w:bCs/>
              <w:caps/>
              <w:noProof/>
              <w:kern w:val="2"/>
              <w14:ligatures w14:val="standardContextual"/>
            </w:rPr>
          </w:pPr>
          <w:hyperlink w:anchor="_Toc191284531" w:history="1">
            <w:r w:rsidRPr="00517C62">
              <w:rPr>
                <w:rFonts w:ascii="Tahoma" w:hAnsi="Tahoma" w:cs="Tahoma"/>
                <w:b/>
                <w:bCs/>
                <w:iCs/>
                <w:noProof/>
              </w:rPr>
              <w:t>4.1.1. ТАРИФНЫЙ ПЛАН «АТБ КАРТА (СПЕЦИАЛЬНАЯ)»</w:t>
            </w:r>
            <w:r>
              <w:rPr>
                <w:rFonts w:asciiTheme="minorHAnsi" w:eastAsiaTheme="minorEastAsia" w:hAnsiTheme="minorHAnsi" w:cstheme="minorBidi"/>
                <w:b/>
                <w:bCs/>
                <w:caps/>
                <w:noProof/>
                <w:kern w:val="2"/>
                <w14:ligatures w14:val="standardContextual"/>
              </w:rPr>
              <w:tab/>
            </w:r>
            <w:r w:rsidRPr="00517C62">
              <w:rPr>
                <w:rFonts w:ascii="Tahoma" w:hAnsi="Tahoma" w:cs="Tahoma"/>
                <w:b/>
                <w:bCs/>
                <w:iCs/>
                <w:noProof/>
              </w:rPr>
              <w:t>330</w:t>
            </w:r>
            <w:r>
              <w:rPr>
                <w:noProof/>
                <w:webHidden/>
              </w:rPr>
              <w:tab/>
            </w:r>
            <w:r>
              <w:rPr>
                <w:noProof/>
                <w:webHidden/>
              </w:rPr>
              <w:fldChar w:fldCharType="begin"/>
            </w:r>
            <w:r>
              <w:rPr>
                <w:noProof/>
                <w:webHidden/>
              </w:rPr>
              <w:instrText xml:space="preserve"> PAGEREF _Toc191284531 \h </w:instrText>
            </w:r>
            <w:r>
              <w:rPr>
                <w:noProof/>
                <w:webHidden/>
              </w:rPr>
            </w:r>
            <w:r>
              <w:rPr>
                <w:noProof/>
                <w:webHidden/>
              </w:rPr>
              <w:fldChar w:fldCharType="separate"/>
            </w:r>
            <w:r>
              <w:rPr>
                <w:noProof/>
                <w:webHidden/>
              </w:rPr>
              <w:t>4</w:t>
            </w:r>
            <w:r>
              <w:rPr>
                <w:noProof/>
                <w:webHidden/>
              </w:rPr>
              <w:fldChar w:fldCharType="end"/>
            </w:r>
          </w:hyperlink>
        </w:p>
        <w:p w14:paraId="470FC3DA" w14:textId="57F05C75" w:rsidR="00ED147F" w:rsidRDefault="00ED147F">
          <w:pPr>
            <w:tabs>
              <w:tab w:val="left" w:pos="5990"/>
              <w:tab w:val="right" w:leader="dot" w:pos="10055"/>
            </w:tabs>
            <w:rPr>
              <w:rFonts w:asciiTheme="minorHAnsi" w:eastAsiaTheme="minorEastAsia" w:hAnsiTheme="minorHAnsi" w:cstheme="minorBidi"/>
              <w:b/>
              <w:bCs/>
              <w:caps/>
              <w:noProof/>
              <w:kern w:val="2"/>
              <w14:ligatures w14:val="standardContextual"/>
            </w:rPr>
          </w:pPr>
          <w:hyperlink w:anchor="_Toc191284532" w:history="1">
            <w:r w:rsidRPr="00517C62">
              <w:rPr>
                <w:rFonts w:ascii="Tahoma" w:hAnsi="Tahoma" w:cs="Tahoma"/>
                <w:b/>
                <w:bCs/>
                <w:iCs/>
                <w:noProof/>
              </w:rPr>
              <w:t>4.1.2. ТАРИФНЫЙ ПЛАН «АТБ КАРТА ЗАРПЛАТНАЯ»</w:t>
            </w:r>
            <w:r w:rsidRPr="00517C62">
              <w:rPr>
                <w:rFonts w:ascii="Tahoma" w:hAnsi="Tahoma" w:cs="Tahoma"/>
                <w:b/>
                <w:bCs/>
                <w:iCs/>
                <w:noProof/>
                <w:vertAlign w:val="superscript"/>
              </w:rPr>
              <w:t>1, 16</w:t>
            </w:r>
            <w:r>
              <w:rPr>
                <w:rFonts w:asciiTheme="minorHAnsi" w:eastAsiaTheme="minorEastAsia" w:hAnsiTheme="minorHAnsi" w:cstheme="minorBidi"/>
                <w:b/>
                <w:bCs/>
                <w:caps/>
                <w:noProof/>
                <w:kern w:val="2"/>
                <w14:ligatures w14:val="standardContextual"/>
              </w:rPr>
              <w:tab/>
            </w:r>
            <w:r w:rsidRPr="00517C62">
              <w:rPr>
                <w:rFonts w:ascii="Tahoma" w:hAnsi="Tahoma" w:cs="Tahoma"/>
                <w:b/>
                <w:bCs/>
                <w:iCs/>
                <w:noProof/>
              </w:rPr>
              <w:t>336</w:t>
            </w:r>
            <w:r>
              <w:rPr>
                <w:noProof/>
                <w:webHidden/>
              </w:rPr>
              <w:tab/>
            </w:r>
            <w:r>
              <w:rPr>
                <w:noProof/>
                <w:webHidden/>
              </w:rPr>
              <w:fldChar w:fldCharType="begin"/>
            </w:r>
            <w:r>
              <w:rPr>
                <w:noProof/>
                <w:webHidden/>
              </w:rPr>
              <w:instrText xml:space="preserve"> PAGEREF _Toc191284532 \h </w:instrText>
            </w:r>
            <w:r>
              <w:rPr>
                <w:noProof/>
                <w:webHidden/>
              </w:rPr>
            </w:r>
            <w:r>
              <w:rPr>
                <w:noProof/>
                <w:webHidden/>
              </w:rPr>
              <w:fldChar w:fldCharType="separate"/>
            </w:r>
            <w:r>
              <w:rPr>
                <w:noProof/>
                <w:webHidden/>
              </w:rPr>
              <w:t>4</w:t>
            </w:r>
            <w:r>
              <w:rPr>
                <w:noProof/>
                <w:webHidden/>
              </w:rPr>
              <w:fldChar w:fldCharType="end"/>
            </w:r>
          </w:hyperlink>
        </w:p>
        <w:p w14:paraId="42D966AD" w14:textId="1C25AE34" w:rsidR="00ED147F" w:rsidRDefault="00ED147F">
          <w:pPr>
            <w:tabs>
              <w:tab w:val="left" w:pos="7564"/>
              <w:tab w:val="right" w:leader="dot" w:pos="10055"/>
            </w:tabs>
            <w:rPr>
              <w:rFonts w:asciiTheme="minorHAnsi" w:eastAsiaTheme="minorEastAsia" w:hAnsiTheme="minorHAnsi" w:cstheme="minorBidi"/>
              <w:b/>
              <w:bCs/>
              <w:caps/>
              <w:noProof/>
              <w:kern w:val="2"/>
              <w14:ligatures w14:val="standardContextual"/>
            </w:rPr>
          </w:pPr>
          <w:hyperlink w:anchor="_Toc191284533" w:history="1">
            <w:r w:rsidRPr="00517C62">
              <w:rPr>
                <w:rFonts w:ascii="Tahoma" w:hAnsi="Tahoma" w:cs="Tahoma"/>
                <w:b/>
                <w:bCs/>
                <w:iCs/>
                <w:noProof/>
              </w:rPr>
              <w:t>4.1.3. ТАРИФНЫЙ ПЛАН «АТБ КАРТА (ЕДИНАЯ КАРТА САХАЛИНЦА)»</w:t>
            </w:r>
            <w:r w:rsidRPr="00517C62">
              <w:rPr>
                <w:rFonts w:ascii="Tahoma" w:hAnsi="Tahoma" w:cs="Tahoma"/>
                <w:b/>
                <w:bCs/>
                <w:iCs/>
                <w:noProof/>
                <w:vertAlign w:val="superscript"/>
              </w:rPr>
              <w:t>17</w:t>
            </w:r>
            <w:r>
              <w:rPr>
                <w:rFonts w:asciiTheme="minorHAnsi" w:eastAsiaTheme="minorEastAsia" w:hAnsiTheme="minorHAnsi" w:cstheme="minorBidi"/>
                <w:b/>
                <w:bCs/>
                <w:caps/>
                <w:noProof/>
                <w:kern w:val="2"/>
                <w14:ligatures w14:val="standardContextual"/>
              </w:rPr>
              <w:tab/>
            </w:r>
            <w:r w:rsidRPr="00517C62">
              <w:rPr>
                <w:rFonts w:ascii="Tahoma" w:hAnsi="Tahoma" w:cs="Tahoma"/>
                <w:b/>
                <w:bCs/>
                <w:iCs/>
                <w:noProof/>
              </w:rPr>
              <w:t>343</w:t>
            </w:r>
            <w:r>
              <w:rPr>
                <w:noProof/>
                <w:webHidden/>
              </w:rPr>
              <w:tab/>
            </w:r>
            <w:r>
              <w:rPr>
                <w:noProof/>
                <w:webHidden/>
              </w:rPr>
              <w:fldChar w:fldCharType="begin"/>
            </w:r>
            <w:r>
              <w:rPr>
                <w:noProof/>
                <w:webHidden/>
              </w:rPr>
              <w:instrText xml:space="preserve"> PAGEREF _Toc191284533 \h </w:instrText>
            </w:r>
            <w:r>
              <w:rPr>
                <w:noProof/>
                <w:webHidden/>
              </w:rPr>
            </w:r>
            <w:r>
              <w:rPr>
                <w:noProof/>
                <w:webHidden/>
              </w:rPr>
              <w:fldChar w:fldCharType="separate"/>
            </w:r>
            <w:r>
              <w:rPr>
                <w:noProof/>
                <w:webHidden/>
              </w:rPr>
              <w:t>4</w:t>
            </w:r>
            <w:r>
              <w:rPr>
                <w:noProof/>
                <w:webHidden/>
              </w:rPr>
              <w:fldChar w:fldCharType="end"/>
            </w:r>
          </w:hyperlink>
        </w:p>
        <w:p w14:paraId="2944C494" w14:textId="3A23E21F" w:rsidR="00ED147F" w:rsidRDefault="00ED147F">
          <w:pPr>
            <w:tabs>
              <w:tab w:val="left" w:pos="7624"/>
              <w:tab w:val="right" w:leader="dot" w:pos="10055"/>
            </w:tabs>
            <w:rPr>
              <w:rFonts w:asciiTheme="minorHAnsi" w:eastAsiaTheme="minorEastAsia" w:hAnsiTheme="minorHAnsi" w:cstheme="minorBidi"/>
              <w:b/>
              <w:bCs/>
              <w:caps/>
              <w:noProof/>
              <w:kern w:val="2"/>
              <w14:ligatures w14:val="standardContextual"/>
            </w:rPr>
          </w:pPr>
          <w:hyperlink w:anchor="_Toc191284534" w:history="1">
            <w:r w:rsidRPr="00517C62">
              <w:rPr>
                <w:rFonts w:ascii="Tahoma" w:hAnsi="Tahoma" w:cs="Tahoma"/>
                <w:b/>
                <w:bCs/>
                <w:iCs/>
                <w:noProof/>
              </w:rPr>
              <w:t>4.1.4.ТАРИФНЫЙ ПЛАН «АТБ КАРТА (СОЦИАЛЬНАЯ КАРТА АМУРСКОЙ ОБЛАСТИ)»</w:t>
            </w:r>
            <w:r w:rsidRPr="00517C62">
              <w:rPr>
                <w:rFonts w:ascii="Tahoma" w:hAnsi="Tahoma" w:cs="Tahoma"/>
                <w:b/>
                <w:bCs/>
                <w:iCs/>
                <w:noProof/>
                <w:vertAlign w:val="superscript"/>
              </w:rPr>
              <w:t>17</w:t>
            </w:r>
            <w:r>
              <w:rPr>
                <w:rFonts w:asciiTheme="minorHAnsi" w:eastAsiaTheme="minorEastAsia" w:hAnsiTheme="minorHAnsi" w:cstheme="minorBidi"/>
                <w:b/>
                <w:bCs/>
                <w:caps/>
                <w:noProof/>
                <w:kern w:val="2"/>
                <w14:ligatures w14:val="standardContextual"/>
              </w:rPr>
              <w:tab/>
            </w:r>
            <w:r w:rsidRPr="00517C62">
              <w:rPr>
                <w:rFonts w:ascii="Tahoma" w:hAnsi="Tahoma" w:cs="Tahoma"/>
                <w:b/>
                <w:bCs/>
                <w:iCs/>
                <w:noProof/>
              </w:rPr>
              <w:t>350</w:t>
            </w:r>
            <w:r>
              <w:rPr>
                <w:noProof/>
                <w:webHidden/>
              </w:rPr>
              <w:tab/>
            </w:r>
            <w:r>
              <w:rPr>
                <w:noProof/>
                <w:webHidden/>
              </w:rPr>
              <w:fldChar w:fldCharType="begin"/>
            </w:r>
            <w:r>
              <w:rPr>
                <w:noProof/>
                <w:webHidden/>
              </w:rPr>
              <w:instrText xml:space="preserve"> PAGEREF _Toc191284534 \h </w:instrText>
            </w:r>
            <w:r>
              <w:rPr>
                <w:noProof/>
                <w:webHidden/>
              </w:rPr>
            </w:r>
            <w:r>
              <w:rPr>
                <w:noProof/>
                <w:webHidden/>
              </w:rPr>
              <w:fldChar w:fldCharType="separate"/>
            </w:r>
            <w:r>
              <w:rPr>
                <w:noProof/>
                <w:webHidden/>
              </w:rPr>
              <w:t>4</w:t>
            </w:r>
            <w:r>
              <w:rPr>
                <w:noProof/>
                <w:webHidden/>
              </w:rPr>
              <w:fldChar w:fldCharType="end"/>
            </w:r>
          </w:hyperlink>
        </w:p>
        <w:p w14:paraId="4E36316A" w14:textId="4AEA9084" w:rsidR="00ED147F" w:rsidRDefault="00ED147F">
          <w:pPr>
            <w:tabs>
              <w:tab w:val="left" w:pos="4078"/>
              <w:tab w:val="right" w:leader="dot" w:pos="10055"/>
            </w:tabs>
            <w:rPr>
              <w:rFonts w:asciiTheme="minorHAnsi" w:eastAsiaTheme="minorEastAsia" w:hAnsiTheme="minorHAnsi" w:cstheme="minorBidi"/>
              <w:b/>
              <w:bCs/>
              <w:caps/>
              <w:noProof/>
              <w:kern w:val="2"/>
              <w14:ligatures w14:val="standardContextual"/>
            </w:rPr>
          </w:pPr>
          <w:hyperlink w:anchor="_Toc191284535" w:history="1">
            <w:r w:rsidRPr="00517C62">
              <w:rPr>
                <w:rFonts w:ascii="Tahoma" w:hAnsi="Tahoma" w:cs="Tahoma"/>
                <w:b/>
                <w:noProof/>
              </w:rPr>
              <w:t>4.2. ТАРИФНЫЙ ПЛАН «ПРИМОРЕЦ»</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355</w:t>
            </w:r>
            <w:r>
              <w:rPr>
                <w:noProof/>
                <w:webHidden/>
              </w:rPr>
              <w:tab/>
            </w:r>
            <w:r>
              <w:rPr>
                <w:noProof/>
                <w:webHidden/>
              </w:rPr>
              <w:fldChar w:fldCharType="begin"/>
            </w:r>
            <w:r>
              <w:rPr>
                <w:noProof/>
                <w:webHidden/>
              </w:rPr>
              <w:instrText xml:space="preserve"> PAGEREF _Toc191284535 \h </w:instrText>
            </w:r>
            <w:r>
              <w:rPr>
                <w:noProof/>
                <w:webHidden/>
              </w:rPr>
            </w:r>
            <w:r>
              <w:rPr>
                <w:noProof/>
                <w:webHidden/>
              </w:rPr>
              <w:fldChar w:fldCharType="separate"/>
            </w:r>
            <w:r>
              <w:rPr>
                <w:noProof/>
                <w:webHidden/>
              </w:rPr>
              <w:t>4</w:t>
            </w:r>
            <w:r>
              <w:rPr>
                <w:noProof/>
                <w:webHidden/>
              </w:rPr>
              <w:fldChar w:fldCharType="end"/>
            </w:r>
          </w:hyperlink>
        </w:p>
        <w:p w14:paraId="10128C92" w14:textId="3A55E237" w:rsidR="00ED147F" w:rsidRDefault="00ED147F">
          <w:pPr>
            <w:tabs>
              <w:tab w:val="left" w:pos="7261"/>
              <w:tab w:val="right" w:leader="dot" w:pos="10055"/>
            </w:tabs>
            <w:rPr>
              <w:rFonts w:asciiTheme="minorHAnsi" w:eastAsiaTheme="minorEastAsia" w:hAnsiTheme="minorHAnsi" w:cstheme="minorBidi"/>
              <w:b/>
              <w:bCs/>
              <w:caps/>
              <w:noProof/>
              <w:kern w:val="2"/>
              <w14:ligatures w14:val="standardContextual"/>
            </w:rPr>
          </w:pPr>
          <w:hyperlink w:anchor="_Toc191284536" w:history="1">
            <w:r w:rsidRPr="00517C62">
              <w:rPr>
                <w:rFonts w:ascii="Tahoma" w:hAnsi="Tahoma" w:cs="Tahoma"/>
                <w:b/>
                <w:noProof/>
              </w:rPr>
              <w:t>4.3. ТАРИФНЫЙ ПЛАН ПРОГРАММА БАНКОВСКИХ УСЛУГ «СТАТУС»</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360</w:t>
            </w:r>
            <w:r>
              <w:rPr>
                <w:noProof/>
                <w:webHidden/>
              </w:rPr>
              <w:tab/>
            </w:r>
            <w:r>
              <w:rPr>
                <w:noProof/>
                <w:webHidden/>
              </w:rPr>
              <w:fldChar w:fldCharType="begin"/>
            </w:r>
            <w:r>
              <w:rPr>
                <w:noProof/>
                <w:webHidden/>
              </w:rPr>
              <w:instrText xml:space="preserve"> PAGEREF _Toc191284536 \h </w:instrText>
            </w:r>
            <w:r>
              <w:rPr>
                <w:noProof/>
                <w:webHidden/>
              </w:rPr>
            </w:r>
            <w:r>
              <w:rPr>
                <w:noProof/>
                <w:webHidden/>
              </w:rPr>
              <w:fldChar w:fldCharType="separate"/>
            </w:r>
            <w:r>
              <w:rPr>
                <w:noProof/>
                <w:webHidden/>
              </w:rPr>
              <w:t>4</w:t>
            </w:r>
            <w:r>
              <w:rPr>
                <w:noProof/>
                <w:webHidden/>
              </w:rPr>
              <w:fldChar w:fldCharType="end"/>
            </w:r>
          </w:hyperlink>
        </w:p>
        <w:p w14:paraId="32A78772" w14:textId="651DE741" w:rsidR="00ED147F" w:rsidRDefault="00ED147F">
          <w:pPr>
            <w:tabs>
              <w:tab w:val="left" w:pos="9010"/>
              <w:tab w:val="right" w:leader="dot" w:pos="10055"/>
            </w:tabs>
            <w:rPr>
              <w:rFonts w:asciiTheme="minorHAnsi" w:eastAsiaTheme="minorEastAsia" w:hAnsiTheme="minorHAnsi" w:cstheme="minorBidi"/>
              <w:b/>
              <w:bCs/>
              <w:caps/>
              <w:noProof/>
              <w:kern w:val="2"/>
              <w14:ligatures w14:val="standardContextual"/>
            </w:rPr>
          </w:pPr>
          <w:hyperlink w:anchor="_Toc191284537" w:history="1">
            <w:r w:rsidRPr="00517C62">
              <w:rPr>
                <w:rFonts w:ascii="Tahoma" w:hAnsi="Tahoma" w:cs="Tahoma"/>
                <w:b/>
                <w:noProof/>
              </w:rPr>
              <w:t>4.3.1.ПРОГРАММА БАНКОВСКИХ УСЛУГ «СТАТУС» (ТАРИФ БАНКА), ДЛЯ КЛИЕНТОВ VIP ПРЕМЬЕР, ОФОРМЛЯЮЩИХ НАСТОЯЩУЮ ПРОГРАММУ С 01.06.2021Г.</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360</w:t>
            </w:r>
            <w:r>
              <w:rPr>
                <w:noProof/>
                <w:webHidden/>
              </w:rPr>
              <w:tab/>
            </w:r>
            <w:r>
              <w:rPr>
                <w:noProof/>
                <w:webHidden/>
              </w:rPr>
              <w:fldChar w:fldCharType="begin"/>
            </w:r>
            <w:r>
              <w:rPr>
                <w:noProof/>
                <w:webHidden/>
              </w:rPr>
              <w:instrText xml:space="preserve"> PAGEREF _Toc191284537 \h </w:instrText>
            </w:r>
            <w:r>
              <w:rPr>
                <w:noProof/>
                <w:webHidden/>
              </w:rPr>
            </w:r>
            <w:r>
              <w:rPr>
                <w:noProof/>
                <w:webHidden/>
              </w:rPr>
              <w:fldChar w:fldCharType="separate"/>
            </w:r>
            <w:r>
              <w:rPr>
                <w:noProof/>
                <w:webHidden/>
              </w:rPr>
              <w:t>4</w:t>
            </w:r>
            <w:r>
              <w:rPr>
                <w:noProof/>
                <w:webHidden/>
              </w:rPr>
              <w:fldChar w:fldCharType="end"/>
            </w:r>
          </w:hyperlink>
        </w:p>
        <w:p w14:paraId="6003E20D" w14:textId="20C4CB28" w:rsidR="00ED147F" w:rsidRDefault="00ED147F">
          <w:pPr>
            <w:tabs>
              <w:tab w:val="left" w:pos="9010"/>
              <w:tab w:val="right" w:leader="dot" w:pos="10055"/>
            </w:tabs>
            <w:rPr>
              <w:rFonts w:asciiTheme="minorHAnsi" w:eastAsiaTheme="minorEastAsia" w:hAnsiTheme="minorHAnsi" w:cstheme="minorBidi"/>
              <w:b/>
              <w:bCs/>
              <w:caps/>
              <w:noProof/>
              <w:kern w:val="2"/>
              <w14:ligatures w14:val="standardContextual"/>
            </w:rPr>
          </w:pPr>
          <w:hyperlink w:anchor="_Toc191284538" w:history="1">
            <w:r w:rsidRPr="00517C62">
              <w:rPr>
                <w:rFonts w:ascii="Tahoma" w:hAnsi="Tahoma" w:cs="Tahoma"/>
                <w:b/>
                <w:noProof/>
              </w:rPr>
              <w:t>4.3.2.ПРОГРАММА БАНКОВСКИХ УСЛУГ «СТАТУС» (ТАРИФ БАНКА), ДЛЯ КЛИЕНТОВ VIP ПРЕМЬЕР+, ОФОРМЛЯЮЩИХ НАСТОЯЩУЮ ПРОГРАММУ С 01.06.2021Г.</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369</w:t>
            </w:r>
            <w:r>
              <w:rPr>
                <w:noProof/>
                <w:webHidden/>
              </w:rPr>
              <w:tab/>
            </w:r>
            <w:r>
              <w:rPr>
                <w:noProof/>
                <w:webHidden/>
              </w:rPr>
              <w:fldChar w:fldCharType="begin"/>
            </w:r>
            <w:r>
              <w:rPr>
                <w:noProof/>
                <w:webHidden/>
              </w:rPr>
              <w:instrText xml:space="preserve"> PAGEREF _Toc191284538 \h </w:instrText>
            </w:r>
            <w:r>
              <w:rPr>
                <w:noProof/>
                <w:webHidden/>
              </w:rPr>
            </w:r>
            <w:r>
              <w:rPr>
                <w:noProof/>
                <w:webHidden/>
              </w:rPr>
              <w:fldChar w:fldCharType="separate"/>
            </w:r>
            <w:r>
              <w:rPr>
                <w:noProof/>
                <w:webHidden/>
              </w:rPr>
              <w:t>4</w:t>
            </w:r>
            <w:r>
              <w:rPr>
                <w:noProof/>
                <w:webHidden/>
              </w:rPr>
              <w:fldChar w:fldCharType="end"/>
            </w:r>
          </w:hyperlink>
        </w:p>
        <w:p w14:paraId="1003EB10" w14:textId="31CB5E35" w:rsidR="00ED147F" w:rsidRDefault="00ED147F">
          <w:pPr>
            <w:tabs>
              <w:tab w:val="left" w:pos="5450"/>
              <w:tab w:val="right" w:leader="dot" w:pos="10055"/>
            </w:tabs>
            <w:rPr>
              <w:rFonts w:asciiTheme="minorHAnsi" w:eastAsiaTheme="minorEastAsia" w:hAnsiTheme="minorHAnsi" w:cstheme="minorBidi"/>
              <w:b/>
              <w:bCs/>
              <w:caps/>
              <w:noProof/>
              <w:kern w:val="2"/>
              <w14:ligatures w14:val="standardContextual"/>
            </w:rPr>
          </w:pPr>
          <w:hyperlink w:anchor="_Toc191284539" w:history="1">
            <w:r w:rsidRPr="00517C62">
              <w:rPr>
                <w:rFonts w:ascii="Tahoma" w:hAnsi="Tahoma" w:cs="Tahoma"/>
                <w:b/>
                <w:noProof/>
              </w:rPr>
              <w:t>4.4. ТАРИФНЫЙ ПЛАН «УНИВЕРСАЛЬНАЯ КАРТА»</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377</w:t>
            </w:r>
            <w:r>
              <w:rPr>
                <w:noProof/>
                <w:webHidden/>
              </w:rPr>
              <w:tab/>
            </w:r>
            <w:r>
              <w:rPr>
                <w:noProof/>
                <w:webHidden/>
              </w:rPr>
              <w:fldChar w:fldCharType="begin"/>
            </w:r>
            <w:r>
              <w:rPr>
                <w:noProof/>
                <w:webHidden/>
              </w:rPr>
              <w:instrText xml:space="preserve"> PAGEREF _Toc191284539 \h </w:instrText>
            </w:r>
            <w:r>
              <w:rPr>
                <w:noProof/>
                <w:webHidden/>
              </w:rPr>
            </w:r>
            <w:r>
              <w:rPr>
                <w:noProof/>
                <w:webHidden/>
              </w:rPr>
              <w:fldChar w:fldCharType="separate"/>
            </w:r>
            <w:r>
              <w:rPr>
                <w:noProof/>
                <w:webHidden/>
              </w:rPr>
              <w:t>4</w:t>
            </w:r>
            <w:r>
              <w:rPr>
                <w:noProof/>
                <w:webHidden/>
              </w:rPr>
              <w:fldChar w:fldCharType="end"/>
            </w:r>
          </w:hyperlink>
        </w:p>
        <w:p w14:paraId="015D6C3B" w14:textId="6700F552" w:rsidR="00ED147F" w:rsidRDefault="00ED147F">
          <w:pPr>
            <w:tabs>
              <w:tab w:val="left" w:pos="3466"/>
              <w:tab w:val="right" w:leader="dot" w:pos="10055"/>
            </w:tabs>
            <w:rPr>
              <w:rFonts w:asciiTheme="minorHAnsi" w:eastAsiaTheme="minorEastAsia" w:hAnsiTheme="minorHAnsi" w:cstheme="minorBidi"/>
              <w:b/>
              <w:bCs/>
              <w:caps/>
              <w:noProof/>
              <w:kern w:val="2"/>
              <w14:ligatures w14:val="standardContextual"/>
            </w:rPr>
          </w:pPr>
          <w:hyperlink w:anchor="_Toc191284540" w:history="1">
            <w:r w:rsidRPr="00517C62">
              <w:rPr>
                <w:rFonts w:ascii="Tahoma" w:hAnsi="Tahoma" w:cs="Tahoma"/>
                <w:b/>
                <w:bCs/>
                <w:iCs/>
                <w:noProof/>
              </w:rPr>
              <w:t>4.5. ТАРИФНЫЙ ПЛАН «ЛАЙТ»</w:t>
            </w:r>
            <w:r>
              <w:rPr>
                <w:rFonts w:asciiTheme="minorHAnsi" w:eastAsiaTheme="minorEastAsia" w:hAnsiTheme="minorHAnsi" w:cstheme="minorBidi"/>
                <w:b/>
                <w:bCs/>
                <w:caps/>
                <w:noProof/>
                <w:kern w:val="2"/>
                <w14:ligatures w14:val="standardContextual"/>
              </w:rPr>
              <w:tab/>
            </w:r>
            <w:r w:rsidRPr="00517C62">
              <w:rPr>
                <w:rFonts w:ascii="Tahoma" w:hAnsi="Tahoma" w:cs="Tahoma"/>
                <w:b/>
                <w:bCs/>
                <w:iCs/>
                <w:noProof/>
              </w:rPr>
              <w:t>390</w:t>
            </w:r>
            <w:r>
              <w:rPr>
                <w:noProof/>
                <w:webHidden/>
              </w:rPr>
              <w:tab/>
            </w:r>
            <w:r>
              <w:rPr>
                <w:noProof/>
                <w:webHidden/>
              </w:rPr>
              <w:fldChar w:fldCharType="begin"/>
            </w:r>
            <w:r>
              <w:rPr>
                <w:noProof/>
                <w:webHidden/>
              </w:rPr>
              <w:instrText xml:space="preserve"> PAGEREF _Toc191284540 \h </w:instrText>
            </w:r>
            <w:r>
              <w:rPr>
                <w:noProof/>
                <w:webHidden/>
              </w:rPr>
            </w:r>
            <w:r>
              <w:rPr>
                <w:noProof/>
                <w:webHidden/>
              </w:rPr>
              <w:fldChar w:fldCharType="separate"/>
            </w:r>
            <w:r>
              <w:rPr>
                <w:noProof/>
                <w:webHidden/>
              </w:rPr>
              <w:t>4</w:t>
            </w:r>
            <w:r>
              <w:rPr>
                <w:noProof/>
                <w:webHidden/>
              </w:rPr>
              <w:fldChar w:fldCharType="end"/>
            </w:r>
          </w:hyperlink>
        </w:p>
        <w:p w14:paraId="780DB55F" w14:textId="0FA6B451" w:rsidR="00ED147F" w:rsidRDefault="00ED147F">
          <w:pPr>
            <w:tabs>
              <w:tab w:val="left" w:pos="9161"/>
              <w:tab w:val="right" w:leader="dot" w:pos="10055"/>
            </w:tabs>
            <w:rPr>
              <w:rFonts w:asciiTheme="minorHAnsi" w:eastAsiaTheme="minorEastAsia" w:hAnsiTheme="minorHAnsi" w:cstheme="minorBidi"/>
              <w:b/>
              <w:bCs/>
              <w:caps/>
              <w:noProof/>
              <w:kern w:val="2"/>
              <w14:ligatures w14:val="standardContextual"/>
            </w:rPr>
          </w:pPr>
          <w:hyperlink w:anchor="_Toc191284541" w:history="1">
            <w:r w:rsidRPr="00517C62">
              <w:rPr>
                <w:rFonts w:ascii="Tahoma" w:hAnsi="Tahoma" w:cs="Tahoma"/>
                <w:b/>
                <w:noProof/>
              </w:rPr>
              <w:t xml:space="preserve">4.6.. </w:t>
            </w:r>
            <w:r w:rsidRPr="00517C62">
              <w:rPr>
                <w:rFonts w:ascii="Tahoma" w:hAnsi="Tahoma" w:cs="Tahoma"/>
                <w:b/>
                <w:bCs/>
                <w:iCs/>
                <w:noProof/>
              </w:rPr>
              <w:t>ТАРИФНЫЙ ПЛАН ПРОГРАММА БАНКОВСКИХ УСЛУГ «СТАТУС», ОФОРМЛЕННАЯ С 01.06.2021Г. ПО 06.10.2024Г.</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402</w:t>
            </w:r>
            <w:r>
              <w:rPr>
                <w:noProof/>
                <w:webHidden/>
              </w:rPr>
              <w:tab/>
            </w:r>
            <w:r>
              <w:rPr>
                <w:noProof/>
                <w:webHidden/>
              </w:rPr>
              <w:fldChar w:fldCharType="begin"/>
            </w:r>
            <w:r>
              <w:rPr>
                <w:noProof/>
                <w:webHidden/>
              </w:rPr>
              <w:instrText xml:space="preserve"> PAGEREF _Toc191284541 \h </w:instrText>
            </w:r>
            <w:r>
              <w:rPr>
                <w:noProof/>
                <w:webHidden/>
              </w:rPr>
            </w:r>
            <w:r>
              <w:rPr>
                <w:noProof/>
                <w:webHidden/>
              </w:rPr>
              <w:fldChar w:fldCharType="separate"/>
            </w:r>
            <w:r>
              <w:rPr>
                <w:noProof/>
                <w:webHidden/>
              </w:rPr>
              <w:t>4</w:t>
            </w:r>
            <w:r>
              <w:rPr>
                <w:noProof/>
                <w:webHidden/>
              </w:rPr>
              <w:fldChar w:fldCharType="end"/>
            </w:r>
          </w:hyperlink>
        </w:p>
        <w:p w14:paraId="40F40894" w14:textId="4CB1F6BA" w:rsidR="00ED147F" w:rsidRDefault="00ED147F">
          <w:pPr>
            <w:tabs>
              <w:tab w:val="left" w:pos="9010"/>
              <w:tab w:val="right" w:leader="dot" w:pos="10055"/>
            </w:tabs>
            <w:rPr>
              <w:rFonts w:asciiTheme="minorHAnsi" w:eastAsiaTheme="minorEastAsia" w:hAnsiTheme="minorHAnsi" w:cstheme="minorBidi"/>
              <w:b/>
              <w:bCs/>
              <w:caps/>
              <w:noProof/>
              <w:kern w:val="2"/>
              <w14:ligatures w14:val="standardContextual"/>
            </w:rPr>
          </w:pPr>
          <w:hyperlink w:anchor="_Toc191284542" w:history="1">
            <w:r w:rsidRPr="00517C62">
              <w:rPr>
                <w:rFonts w:ascii="Tahoma" w:hAnsi="Tahoma" w:cs="Tahoma"/>
                <w:b/>
                <w:noProof/>
              </w:rPr>
              <w:t>4.6.1.ПРОГРАММА БАНКОВСКИХ УСЛУГ «СТАТУС» (ТАРИФ БАНКА), ДЛЯ КЛИЕНТОВ VIP ПРЕМЬЕР, ОФОРМИВШИХ НАСТОЯЩУЮ ПРОГРАММУ С 01.06.2021Г. ПО 06.10.2024Г.</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402</w:t>
            </w:r>
            <w:r>
              <w:rPr>
                <w:noProof/>
                <w:webHidden/>
              </w:rPr>
              <w:tab/>
            </w:r>
            <w:r>
              <w:rPr>
                <w:noProof/>
                <w:webHidden/>
              </w:rPr>
              <w:fldChar w:fldCharType="begin"/>
            </w:r>
            <w:r>
              <w:rPr>
                <w:noProof/>
                <w:webHidden/>
              </w:rPr>
              <w:instrText xml:space="preserve"> PAGEREF _Toc191284542 \h </w:instrText>
            </w:r>
            <w:r>
              <w:rPr>
                <w:noProof/>
                <w:webHidden/>
              </w:rPr>
            </w:r>
            <w:r>
              <w:rPr>
                <w:noProof/>
                <w:webHidden/>
              </w:rPr>
              <w:fldChar w:fldCharType="separate"/>
            </w:r>
            <w:r>
              <w:rPr>
                <w:noProof/>
                <w:webHidden/>
              </w:rPr>
              <w:t>4</w:t>
            </w:r>
            <w:r>
              <w:rPr>
                <w:noProof/>
                <w:webHidden/>
              </w:rPr>
              <w:fldChar w:fldCharType="end"/>
            </w:r>
          </w:hyperlink>
        </w:p>
        <w:p w14:paraId="6CF9FFF0" w14:textId="28822B25" w:rsidR="00ED147F" w:rsidRDefault="00ED147F">
          <w:pPr>
            <w:tabs>
              <w:tab w:val="left" w:pos="9010"/>
              <w:tab w:val="right" w:leader="dot" w:pos="10055"/>
            </w:tabs>
            <w:rPr>
              <w:rFonts w:asciiTheme="minorHAnsi" w:eastAsiaTheme="minorEastAsia" w:hAnsiTheme="minorHAnsi" w:cstheme="minorBidi"/>
              <w:b/>
              <w:bCs/>
              <w:caps/>
              <w:noProof/>
              <w:kern w:val="2"/>
              <w14:ligatures w14:val="standardContextual"/>
            </w:rPr>
          </w:pPr>
          <w:hyperlink w:anchor="_Toc191284543" w:history="1">
            <w:r w:rsidRPr="00517C62">
              <w:rPr>
                <w:rFonts w:ascii="Tahoma" w:hAnsi="Tahoma" w:cs="Tahoma"/>
                <w:b/>
                <w:noProof/>
              </w:rPr>
              <w:t>4.6.2.ПРОГРАММА БАНКОВСКИХ УСЛУГ «СТАТУС» (ТАРИФ БАНКА), ДЛЯ КЛИЕНТОВ VIP ПРЕМЬЕР+, ОФОРМИВШИХ НАСТОЯЩУЮ ПРОГРАММУ С 01.06.2021Г. ПО 06.10.2024Г.</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411</w:t>
            </w:r>
            <w:r>
              <w:rPr>
                <w:noProof/>
                <w:webHidden/>
              </w:rPr>
              <w:tab/>
            </w:r>
            <w:r>
              <w:rPr>
                <w:noProof/>
                <w:webHidden/>
              </w:rPr>
              <w:fldChar w:fldCharType="begin"/>
            </w:r>
            <w:r>
              <w:rPr>
                <w:noProof/>
                <w:webHidden/>
              </w:rPr>
              <w:instrText xml:space="preserve"> PAGEREF _Toc191284543 \h </w:instrText>
            </w:r>
            <w:r>
              <w:rPr>
                <w:noProof/>
                <w:webHidden/>
              </w:rPr>
            </w:r>
            <w:r>
              <w:rPr>
                <w:noProof/>
                <w:webHidden/>
              </w:rPr>
              <w:fldChar w:fldCharType="separate"/>
            </w:r>
            <w:r>
              <w:rPr>
                <w:noProof/>
                <w:webHidden/>
              </w:rPr>
              <w:t>4</w:t>
            </w:r>
            <w:r>
              <w:rPr>
                <w:noProof/>
                <w:webHidden/>
              </w:rPr>
              <w:fldChar w:fldCharType="end"/>
            </w:r>
          </w:hyperlink>
        </w:p>
        <w:p w14:paraId="4DDC82C9" w14:textId="28441501" w:rsidR="00ED147F" w:rsidRDefault="00ED147F">
          <w:pPr>
            <w:tabs>
              <w:tab w:val="left" w:pos="7949"/>
              <w:tab w:val="right" w:leader="dot" w:pos="10055"/>
            </w:tabs>
            <w:rPr>
              <w:rFonts w:asciiTheme="minorHAnsi" w:eastAsiaTheme="minorEastAsia" w:hAnsiTheme="minorHAnsi" w:cstheme="minorBidi"/>
              <w:b/>
              <w:bCs/>
              <w:caps/>
              <w:noProof/>
              <w:kern w:val="2"/>
              <w14:ligatures w14:val="standardContextual"/>
            </w:rPr>
          </w:pPr>
          <w:hyperlink w:anchor="_Toc191284544" w:history="1">
            <w:r w:rsidRPr="00517C62">
              <w:rPr>
                <w:rFonts w:ascii="Tahoma" w:hAnsi="Tahoma" w:cs="Tahoma"/>
                <w:b/>
                <w:noProof/>
              </w:rPr>
              <w:t>4.7. ТАРИФНЫЕ ПЛАНЫ ПРЕМИАЛЬНОГО ОБСЛУЖИВАНИЯ С 07.10.2024Г.</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419</w:t>
            </w:r>
            <w:r>
              <w:rPr>
                <w:noProof/>
                <w:webHidden/>
              </w:rPr>
              <w:tab/>
            </w:r>
            <w:r>
              <w:rPr>
                <w:noProof/>
                <w:webHidden/>
              </w:rPr>
              <w:fldChar w:fldCharType="begin"/>
            </w:r>
            <w:r>
              <w:rPr>
                <w:noProof/>
                <w:webHidden/>
              </w:rPr>
              <w:instrText xml:space="preserve"> PAGEREF _Toc191284544 \h </w:instrText>
            </w:r>
            <w:r>
              <w:rPr>
                <w:noProof/>
                <w:webHidden/>
              </w:rPr>
            </w:r>
            <w:r>
              <w:rPr>
                <w:noProof/>
                <w:webHidden/>
              </w:rPr>
              <w:fldChar w:fldCharType="separate"/>
            </w:r>
            <w:r>
              <w:rPr>
                <w:noProof/>
                <w:webHidden/>
              </w:rPr>
              <w:t>4</w:t>
            </w:r>
            <w:r>
              <w:rPr>
                <w:noProof/>
                <w:webHidden/>
              </w:rPr>
              <w:fldChar w:fldCharType="end"/>
            </w:r>
          </w:hyperlink>
        </w:p>
        <w:p w14:paraId="1F9248BD" w14:textId="64A708E5" w:rsidR="00ED147F" w:rsidRDefault="00ED147F">
          <w:pPr>
            <w:tabs>
              <w:tab w:val="left" w:pos="7702"/>
              <w:tab w:val="right" w:leader="dot" w:pos="10055"/>
            </w:tabs>
            <w:rPr>
              <w:rFonts w:asciiTheme="minorHAnsi" w:eastAsiaTheme="minorEastAsia" w:hAnsiTheme="minorHAnsi" w:cstheme="minorBidi"/>
              <w:b/>
              <w:bCs/>
              <w:caps/>
              <w:noProof/>
              <w:kern w:val="2"/>
              <w14:ligatures w14:val="standardContextual"/>
            </w:rPr>
          </w:pPr>
          <w:hyperlink w:anchor="_Toc191284545" w:history="1">
            <w:r w:rsidRPr="00517C62">
              <w:rPr>
                <w:rFonts w:ascii="Tahoma" w:hAnsi="Tahoma" w:cs="Tahoma"/>
                <w:b/>
                <w:noProof/>
              </w:rPr>
              <w:t>4.7.1. ТАРИФНЫЙ ПЛАН «ПРОГРАММА БАНКОВСКИХ УСЛУГ СТАТУС» С 07.10.2024Г.</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419</w:t>
            </w:r>
            <w:r>
              <w:rPr>
                <w:noProof/>
                <w:webHidden/>
              </w:rPr>
              <w:tab/>
            </w:r>
            <w:r>
              <w:rPr>
                <w:noProof/>
                <w:webHidden/>
              </w:rPr>
              <w:fldChar w:fldCharType="begin"/>
            </w:r>
            <w:r>
              <w:rPr>
                <w:noProof/>
                <w:webHidden/>
              </w:rPr>
              <w:instrText xml:space="preserve"> PAGEREF _Toc191284545 \h </w:instrText>
            </w:r>
            <w:r>
              <w:rPr>
                <w:noProof/>
                <w:webHidden/>
              </w:rPr>
            </w:r>
            <w:r>
              <w:rPr>
                <w:noProof/>
                <w:webHidden/>
              </w:rPr>
              <w:fldChar w:fldCharType="separate"/>
            </w:r>
            <w:r>
              <w:rPr>
                <w:noProof/>
                <w:webHidden/>
              </w:rPr>
              <w:t>4</w:t>
            </w:r>
            <w:r>
              <w:rPr>
                <w:noProof/>
                <w:webHidden/>
              </w:rPr>
              <w:fldChar w:fldCharType="end"/>
            </w:r>
          </w:hyperlink>
        </w:p>
        <w:p w14:paraId="49FD4DD5" w14:textId="4D605767" w:rsidR="00ED147F" w:rsidRDefault="00ED147F">
          <w:pPr>
            <w:tabs>
              <w:tab w:val="left" w:pos="7702"/>
              <w:tab w:val="right" w:leader="dot" w:pos="10055"/>
            </w:tabs>
            <w:rPr>
              <w:rFonts w:asciiTheme="minorHAnsi" w:eastAsiaTheme="minorEastAsia" w:hAnsiTheme="minorHAnsi" w:cstheme="minorBidi"/>
              <w:b/>
              <w:bCs/>
              <w:caps/>
              <w:noProof/>
              <w:kern w:val="2"/>
              <w14:ligatures w14:val="standardContextual"/>
            </w:rPr>
          </w:pPr>
          <w:hyperlink w:anchor="_Toc191284546" w:history="1">
            <w:r w:rsidRPr="00517C62">
              <w:rPr>
                <w:rFonts w:ascii="Tahoma" w:hAnsi="Tahoma" w:cs="Tahoma"/>
                <w:b/>
                <w:noProof/>
              </w:rPr>
              <w:t>4.7.2. ТАРИФНЫЙ ПЛАН «ПРОГРАММА БАНКОВСКИХ УСЛУГ СТАТУС» С 07.10.2024Г.</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426</w:t>
            </w:r>
            <w:r>
              <w:rPr>
                <w:noProof/>
                <w:webHidden/>
              </w:rPr>
              <w:tab/>
            </w:r>
            <w:r>
              <w:rPr>
                <w:noProof/>
                <w:webHidden/>
              </w:rPr>
              <w:fldChar w:fldCharType="begin"/>
            </w:r>
            <w:r>
              <w:rPr>
                <w:noProof/>
                <w:webHidden/>
              </w:rPr>
              <w:instrText xml:space="preserve"> PAGEREF _Toc191284546 \h </w:instrText>
            </w:r>
            <w:r>
              <w:rPr>
                <w:noProof/>
                <w:webHidden/>
              </w:rPr>
            </w:r>
            <w:r>
              <w:rPr>
                <w:noProof/>
                <w:webHidden/>
              </w:rPr>
              <w:fldChar w:fldCharType="separate"/>
            </w:r>
            <w:r>
              <w:rPr>
                <w:noProof/>
                <w:webHidden/>
              </w:rPr>
              <w:t>4</w:t>
            </w:r>
            <w:r>
              <w:rPr>
                <w:noProof/>
                <w:webHidden/>
              </w:rPr>
              <w:fldChar w:fldCharType="end"/>
            </w:r>
          </w:hyperlink>
        </w:p>
        <w:p w14:paraId="159FAFAF" w14:textId="726B7A20" w:rsidR="00ED147F" w:rsidRDefault="00ED147F">
          <w:pPr>
            <w:tabs>
              <w:tab w:val="left" w:pos="6850"/>
              <w:tab w:val="right" w:leader="dot" w:pos="10055"/>
            </w:tabs>
            <w:rPr>
              <w:rFonts w:asciiTheme="minorHAnsi" w:eastAsiaTheme="minorEastAsia" w:hAnsiTheme="minorHAnsi" w:cstheme="minorBidi"/>
              <w:b/>
              <w:bCs/>
              <w:caps/>
              <w:noProof/>
              <w:kern w:val="2"/>
              <w14:ligatures w14:val="standardContextual"/>
            </w:rPr>
          </w:pPr>
          <w:hyperlink w:anchor="_Toc191284547" w:history="1">
            <w:r w:rsidRPr="00517C62">
              <w:rPr>
                <w:rFonts w:ascii="Tahoma" w:hAnsi="Tahoma" w:cs="Tahoma"/>
                <w:b/>
                <w:noProof/>
              </w:rPr>
              <w:t>4.7.3. ТАРИФ «НАКОПИТЕЛЬНЫЙ СЧЕТ СТАТУС» С 07.10.2024Г.</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434</w:t>
            </w:r>
            <w:r>
              <w:rPr>
                <w:noProof/>
                <w:webHidden/>
              </w:rPr>
              <w:tab/>
            </w:r>
            <w:r>
              <w:rPr>
                <w:noProof/>
                <w:webHidden/>
              </w:rPr>
              <w:fldChar w:fldCharType="begin"/>
            </w:r>
            <w:r>
              <w:rPr>
                <w:noProof/>
                <w:webHidden/>
              </w:rPr>
              <w:instrText xml:space="preserve"> PAGEREF _Toc191284547 \h </w:instrText>
            </w:r>
            <w:r>
              <w:rPr>
                <w:noProof/>
                <w:webHidden/>
              </w:rPr>
            </w:r>
            <w:r>
              <w:rPr>
                <w:noProof/>
                <w:webHidden/>
              </w:rPr>
              <w:fldChar w:fldCharType="separate"/>
            </w:r>
            <w:r>
              <w:rPr>
                <w:noProof/>
                <w:webHidden/>
              </w:rPr>
              <w:t>4</w:t>
            </w:r>
            <w:r>
              <w:rPr>
                <w:noProof/>
                <w:webHidden/>
              </w:rPr>
              <w:fldChar w:fldCharType="end"/>
            </w:r>
          </w:hyperlink>
        </w:p>
        <w:p w14:paraId="2A23951B" w14:textId="4AC9D94C" w:rsidR="00ED147F" w:rsidRDefault="00ED147F">
          <w:pPr>
            <w:tabs>
              <w:tab w:val="left" w:pos="7575"/>
              <w:tab w:val="right" w:leader="dot" w:pos="10055"/>
            </w:tabs>
            <w:rPr>
              <w:rFonts w:asciiTheme="minorHAnsi" w:eastAsiaTheme="minorEastAsia" w:hAnsiTheme="minorHAnsi" w:cstheme="minorBidi"/>
              <w:b/>
              <w:bCs/>
              <w:caps/>
              <w:noProof/>
              <w:kern w:val="2"/>
              <w14:ligatures w14:val="standardContextual"/>
            </w:rPr>
          </w:pPr>
          <w:hyperlink w:anchor="_Toc191284548" w:history="1">
            <w:r w:rsidRPr="00517C62">
              <w:rPr>
                <w:rFonts w:ascii="Tahoma" w:hAnsi="Tahoma" w:cs="Tahoma"/>
                <w:b/>
                <w:noProof/>
              </w:rPr>
              <w:t>4.7.4. ТАРИФ «НАКОПИТЕЛЬНЫЙ СЧЕТ СТАТУС ПЛЮС» С 07.10.2024Г.</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437</w:t>
            </w:r>
            <w:r>
              <w:rPr>
                <w:noProof/>
                <w:webHidden/>
              </w:rPr>
              <w:tab/>
            </w:r>
            <w:r>
              <w:rPr>
                <w:noProof/>
                <w:webHidden/>
              </w:rPr>
              <w:fldChar w:fldCharType="begin"/>
            </w:r>
            <w:r>
              <w:rPr>
                <w:noProof/>
                <w:webHidden/>
              </w:rPr>
              <w:instrText xml:space="preserve"> PAGEREF _Toc191284548 \h </w:instrText>
            </w:r>
            <w:r>
              <w:rPr>
                <w:noProof/>
                <w:webHidden/>
              </w:rPr>
            </w:r>
            <w:r>
              <w:rPr>
                <w:noProof/>
                <w:webHidden/>
              </w:rPr>
              <w:fldChar w:fldCharType="separate"/>
            </w:r>
            <w:r>
              <w:rPr>
                <w:noProof/>
                <w:webHidden/>
              </w:rPr>
              <w:t>4</w:t>
            </w:r>
            <w:r>
              <w:rPr>
                <w:noProof/>
                <w:webHidden/>
              </w:rPr>
              <w:fldChar w:fldCharType="end"/>
            </w:r>
          </w:hyperlink>
        </w:p>
        <w:p w14:paraId="321C000E" w14:textId="2F8284C5" w:rsidR="00ED147F" w:rsidRDefault="00ED147F">
          <w:pPr>
            <w:tabs>
              <w:tab w:val="left" w:pos="8477"/>
              <w:tab w:val="right" w:leader="dot" w:pos="10055"/>
            </w:tabs>
            <w:rPr>
              <w:rFonts w:asciiTheme="minorHAnsi" w:eastAsiaTheme="minorEastAsia" w:hAnsiTheme="minorHAnsi" w:cstheme="minorBidi"/>
              <w:b/>
              <w:bCs/>
              <w:caps/>
              <w:noProof/>
              <w:kern w:val="2"/>
              <w14:ligatures w14:val="standardContextual"/>
            </w:rPr>
          </w:pPr>
          <w:hyperlink w:anchor="_Toc191284549" w:history="1">
            <w:r w:rsidRPr="00517C62">
              <w:rPr>
                <w:rFonts w:ascii="Tahoma" w:hAnsi="Tahoma" w:cs="Tahoma"/>
                <w:b/>
                <w:noProof/>
              </w:rPr>
              <w:t>4.8. ОБСЛУЖИВАНИЕ КАРТ, ЭМИТИРОВАННЫМИ СТОРОННИМИ КРЕДИТНЫМИ ОРГАНИЗАЦИЯМИ</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441</w:t>
            </w:r>
            <w:r>
              <w:rPr>
                <w:noProof/>
                <w:webHidden/>
              </w:rPr>
              <w:tab/>
            </w:r>
            <w:r>
              <w:rPr>
                <w:noProof/>
                <w:webHidden/>
              </w:rPr>
              <w:fldChar w:fldCharType="begin"/>
            </w:r>
            <w:r>
              <w:rPr>
                <w:noProof/>
                <w:webHidden/>
              </w:rPr>
              <w:instrText xml:space="preserve"> PAGEREF _Toc191284549 \h </w:instrText>
            </w:r>
            <w:r>
              <w:rPr>
                <w:noProof/>
                <w:webHidden/>
              </w:rPr>
            </w:r>
            <w:r>
              <w:rPr>
                <w:noProof/>
                <w:webHidden/>
              </w:rPr>
              <w:fldChar w:fldCharType="separate"/>
            </w:r>
            <w:r>
              <w:rPr>
                <w:noProof/>
                <w:webHidden/>
              </w:rPr>
              <w:t>4</w:t>
            </w:r>
            <w:r>
              <w:rPr>
                <w:noProof/>
                <w:webHidden/>
              </w:rPr>
              <w:fldChar w:fldCharType="end"/>
            </w:r>
          </w:hyperlink>
        </w:p>
        <w:p w14:paraId="773AEB5B" w14:textId="68D62AF6" w:rsidR="00ED147F" w:rsidRDefault="00ED147F">
          <w:pPr>
            <w:tabs>
              <w:tab w:val="left" w:pos="9105"/>
              <w:tab w:val="right" w:leader="dot" w:pos="10055"/>
            </w:tabs>
            <w:rPr>
              <w:rFonts w:asciiTheme="minorHAnsi" w:eastAsiaTheme="minorEastAsia" w:hAnsiTheme="minorHAnsi" w:cstheme="minorBidi"/>
              <w:b/>
              <w:bCs/>
              <w:caps/>
              <w:noProof/>
              <w:kern w:val="2"/>
              <w14:ligatures w14:val="standardContextual"/>
            </w:rPr>
          </w:pPr>
          <w:hyperlink w:anchor="_Toc191284550" w:history="1">
            <w:r w:rsidRPr="00517C62">
              <w:rPr>
                <w:rFonts w:ascii="Tahoma" w:hAnsi="Tahoma" w:cs="Tahoma"/>
                <w:b/>
                <w:noProof/>
              </w:rPr>
              <w:t xml:space="preserve">4.9. ТАРИФЫ ЗА СОВЕРШЕНИЕ ПЛАТЕЖЕЙ ПО КАРТАМ </w:t>
            </w:r>
            <w:r w:rsidRPr="00517C62">
              <w:rPr>
                <w:rFonts w:ascii="Tahoma" w:hAnsi="Tahoma" w:cs="Tahoma"/>
                <w:b/>
                <w:noProof/>
                <w:lang w:val="en-US"/>
              </w:rPr>
              <w:t>VISA</w:t>
            </w:r>
            <w:r w:rsidRPr="00517C62">
              <w:rPr>
                <w:rFonts w:ascii="Tahoma" w:hAnsi="Tahoma" w:cs="Tahoma"/>
                <w:b/>
                <w:noProof/>
              </w:rPr>
              <w:t xml:space="preserve">, </w:t>
            </w:r>
            <w:r w:rsidRPr="00517C62">
              <w:rPr>
                <w:rFonts w:ascii="Tahoma" w:hAnsi="Tahoma" w:cs="Tahoma"/>
                <w:b/>
                <w:noProof/>
                <w:lang w:val="en-US"/>
              </w:rPr>
              <w:t>MASTERCARD</w:t>
            </w:r>
            <w:r w:rsidRPr="00517C62">
              <w:rPr>
                <w:rFonts w:ascii="Tahoma" w:hAnsi="Tahoma" w:cs="Tahoma"/>
                <w:b/>
                <w:noProof/>
              </w:rPr>
              <w:t>, МИР АТБ (АО) В БАНКОМАТАХ АТБ (АО)</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441</w:t>
            </w:r>
            <w:r>
              <w:rPr>
                <w:noProof/>
                <w:webHidden/>
              </w:rPr>
              <w:tab/>
            </w:r>
            <w:r>
              <w:rPr>
                <w:noProof/>
                <w:webHidden/>
              </w:rPr>
              <w:fldChar w:fldCharType="begin"/>
            </w:r>
            <w:r>
              <w:rPr>
                <w:noProof/>
                <w:webHidden/>
              </w:rPr>
              <w:instrText xml:space="preserve"> PAGEREF _Toc191284550 \h </w:instrText>
            </w:r>
            <w:r>
              <w:rPr>
                <w:noProof/>
                <w:webHidden/>
              </w:rPr>
            </w:r>
            <w:r>
              <w:rPr>
                <w:noProof/>
                <w:webHidden/>
              </w:rPr>
              <w:fldChar w:fldCharType="separate"/>
            </w:r>
            <w:r>
              <w:rPr>
                <w:noProof/>
                <w:webHidden/>
              </w:rPr>
              <w:t>4</w:t>
            </w:r>
            <w:r>
              <w:rPr>
                <w:noProof/>
                <w:webHidden/>
              </w:rPr>
              <w:fldChar w:fldCharType="end"/>
            </w:r>
          </w:hyperlink>
        </w:p>
        <w:p w14:paraId="2A63ECD5" w14:textId="20F8921C" w:rsidR="00ED147F" w:rsidRDefault="00ED147F">
          <w:pPr>
            <w:tabs>
              <w:tab w:val="left" w:pos="7848"/>
              <w:tab w:val="right" w:leader="dot" w:pos="10055"/>
            </w:tabs>
            <w:rPr>
              <w:rFonts w:asciiTheme="minorHAnsi" w:eastAsiaTheme="minorEastAsia" w:hAnsiTheme="minorHAnsi" w:cstheme="minorBidi"/>
              <w:b/>
              <w:bCs/>
              <w:caps/>
              <w:noProof/>
              <w:kern w:val="2"/>
              <w14:ligatures w14:val="standardContextual"/>
            </w:rPr>
          </w:pPr>
          <w:hyperlink w:anchor="_Toc191284551" w:history="1">
            <w:r w:rsidRPr="00517C62">
              <w:rPr>
                <w:rFonts w:ascii="Tahoma" w:hAnsi="Tahoma" w:cs="Tahoma"/>
                <w:b/>
                <w:noProof/>
              </w:rPr>
              <w:t xml:space="preserve">4.10. ТАРИФ ПО ПЕРЕВОДУ НА БАНКОВСКИЕ КАРТЫ </w:t>
            </w:r>
            <w:r w:rsidRPr="00517C62">
              <w:rPr>
                <w:rFonts w:ascii="Tahoma" w:hAnsi="Tahoma" w:cs="Tahoma"/>
                <w:b/>
                <w:noProof/>
                <w:lang w:val="en-US"/>
              </w:rPr>
              <w:t>VISA</w:t>
            </w:r>
            <w:r w:rsidRPr="00517C62">
              <w:rPr>
                <w:rFonts w:ascii="Tahoma" w:hAnsi="Tahoma" w:cs="Tahoma"/>
                <w:b/>
                <w:noProof/>
              </w:rPr>
              <w:t>/</w:t>
            </w:r>
            <w:r w:rsidRPr="00517C62">
              <w:rPr>
                <w:rFonts w:ascii="Tahoma" w:hAnsi="Tahoma" w:cs="Tahoma"/>
                <w:b/>
                <w:noProof/>
                <w:lang w:val="en-US"/>
              </w:rPr>
              <w:t>MAST</w:t>
            </w:r>
            <w:r w:rsidRPr="00517C62">
              <w:rPr>
                <w:rFonts w:ascii="Tahoma" w:hAnsi="Tahoma" w:cs="Tahoma"/>
                <w:b/>
                <w:noProof/>
              </w:rPr>
              <w:t>Е</w:t>
            </w:r>
            <w:r w:rsidRPr="00517C62">
              <w:rPr>
                <w:rFonts w:ascii="Tahoma" w:hAnsi="Tahoma" w:cs="Tahoma"/>
                <w:b/>
                <w:noProof/>
                <w:lang w:val="en-US"/>
              </w:rPr>
              <w:t>R</w:t>
            </w:r>
            <w:r w:rsidRPr="00517C62">
              <w:rPr>
                <w:rFonts w:ascii="Tahoma" w:hAnsi="Tahoma" w:cs="Tahoma"/>
                <w:b/>
                <w:noProof/>
              </w:rPr>
              <w:t>С</w:t>
            </w:r>
            <w:r w:rsidRPr="00517C62">
              <w:rPr>
                <w:rFonts w:ascii="Tahoma" w:hAnsi="Tahoma" w:cs="Tahoma"/>
                <w:b/>
                <w:noProof/>
                <w:lang w:val="en-US"/>
              </w:rPr>
              <w:t>ARD</w:t>
            </w:r>
            <w:r w:rsidRPr="00517C62">
              <w:rPr>
                <w:rFonts w:ascii="Tahoma" w:hAnsi="Tahoma" w:cs="Tahoma"/>
                <w:b/>
                <w:noProof/>
              </w:rPr>
              <w:t xml:space="preserve">, ЭМИТИРОВАННЫЕ «АЗИАТСКО-ТИХООКЕАНСКИЙ БАНК» (АО) С БАНКОВСКИХ КАРТ, ЭМИТИРОВАННЫХ СТОРОННИМИ БАНКАМИ, ОСУЩЕСТВЛЯЕМЫЙ В УСТРОЙСТВАХ ДРУГИХ КРЕДИТНЫХ УЧРЕЖДЕНИЙ, ВКЛЮЧАЯ ЗАРУБЕЖНЫЕ (ПЕРЕВОДЫ В СИСТЕМЕ </w:t>
            </w:r>
            <w:r w:rsidRPr="00517C62">
              <w:rPr>
                <w:rFonts w:ascii="Tahoma" w:hAnsi="Tahoma" w:cs="Tahoma"/>
                <w:b/>
                <w:noProof/>
                <w:lang w:val="en-US"/>
              </w:rPr>
              <w:t>VISA</w:t>
            </w:r>
            <w:r w:rsidRPr="00517C62">
              <w:rPr>
                <w:rFonts w:ascii="Tahoma" w:hAnsi="Tahoma" w:cs="Tahoma"/>
                <w:b/>
                <w:noProof/>
              </w:rPr>
              <w:t xml:space="preserve"> </w:t>
            </w:r>
            <w:r w:rsidRPr="00517C62">
              <w:rPr>
                <w:rFonts w:ascii="Tahoma" w:hAnsi="Tahoma" w:cs="Tahoma"/>
                <w:b/>
                <w:noProof/>
                <w:lang w:val="en-US"/>
              </w:rPr>
              <w:t>MONEY</w:t>
            </w:r>
            <w:r w:rsidRPr="00517C62">
              <w:rPr>
                <w:rFonts w:ascii="Tahoma" w:hAnsi="Tahoma" w:cs="Tahoma"/>
                <w:b/>
                <w:noProof/>
              </w:rPr>
              <w:t xml:space="preserve"> </w:t>
            </w:r>
            <w:r w:rsidRPr="00517C62">
              <w:rPr>
                <w:rFonts w:ascii="Tahoma" w:hAnsi="Tahoma" w:cs="Tahoma"/>
                <w:b/>
                <w:noProof/>
                <w:lang w:val="en-US"/>
              </w:rPr>
              <w:t>TRANSFER</w:t>
            </w:r>
            <w:r w:rsidRPr="00517C62">
              <w:rPr>
                <w:rFonts w:ascii="Tahoma" w:hAnsi="Tahoma" w:cs="Tahoma"/>
                <w:b/>
                <w:noProof/>
              </w:rPr>
              <w:t xml:space="preserve">, </w:t>
            </w:r>
            <w:r w:rsidRPr="00517C62">
              <w:rPr>
                <w:rFonts w:ascii="Tahoma" w:hAnsi="Tahoma" w:cs="Tahoma"/>
                <w:b/>
                <w:noProof/>
                <w:lang w:val="en-US"/>
              </w:rPr>
              <w:t>MASTERCARD</w:t>
            </w:r>
            <w:r w:rsidRPr="00517C62">
              <w:rPr>
                <w:rFonts w:ascii="Tahoma" w:hAnsi="Tahoma" w:cs="Tahoma"/>
                <w:b/>
                <w:noProof/>
              </w:rPr>
              <w:t xml:space="preserve"> </w:t>
            </w:r>
            <w:r w:rsidRPr="00517C62">
              <w:rPr>
                <w:rFonts w:ascii="Tahoma" w:hAnsi="Tahoma" w:cs="Tahoma"/>
                <w:b/>
                <w:noProof/>
                <w:lang w:val="en-US"/>
              </w:rPr>
              <w:t>MONEYSEND</w:t>
            </w:r>
            <w:r w:rsidRPr="00517C62">
              <w:rPr>
                <w:rFonts w:ascii="Tahoma" w:hAnsi="Tahoma" w:cs="Tahoma"/>
                <w:b/>
                <w:noProof/>
              </w:rPr>
              <w:t>)</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441</w:t>
            </w:r>
            <w:r>
              <w:rPr>
                <w:noProof/>
                <w:webHidden/>
              </w:rPr>
              <w:tab/>
            </w:r>
            <w:r>
              <w:rPr>
                <w:noProof/>
                <w:webHidden/>
              </w:rPr>
              <w:fldChar w:fldCharType="begin"/>
            </w:r>
            <w:r>
              <w:rPr>
                <w:noProof/>
                <w:webHidden/>
              </w:rPr>
              <w:instrText xml:space="preserve"> PAGEREF _Toc191284551 \h </w:instrText>
            </w:r>
            <w:r>
              <w:rPr>
                <w:noProof/>
                <w:webHidden/>
              </w:rPr>
            </w:r>
            <w:r>
              <w:rPr>
                <w:noProof/>
                <w:webHidden/>
              </w:rPr>
              <w:fldChar w:fldCharType="separate"/>
            </w:r>
            <w:r>
              <w:rPr>
                <w:noProof/>
                <w:webHidden/>
              </w:rPr>
              <w:t>4</w:t>
            </w:r>
            <w:r>
              <w:rPr>
                <w:noProof/>
                <w:webHidden/>
              </w:rPr>
              <w:fldChar w:fldCharType="end"/>
            </w:r>
          </w:hyperlink>
        </w:p>
        <w:p w14:paraId="56817B13" w14:textId="48217AA1" w:rsidR="00ED147F" w:rsidRDefault="00ED147F">
          <w:pPr>
            <w:tabs>
              <w:tab w:val="left" w:pos="8116"/>
              <w:tab w:val="right" w:leader="dot" w:pos="10055"/>
            </w:tabs>
            <w:rPr>
              <w:rFonts w:asciiTheme="minorHAnsi" w:eastAsiaTheme="minorEastAsia" w:hAnsiTheme="minorHAnsi" w:cstheme="minorBidi"/>
              <w:b/>
              <w:bCs/>
              <w:caps/>
              <w:noProof/>
              <w:kern w:val="2"/>
              <w14:ligatures w14:val="standardContextual"/>
            </w:rPr>
          </w:pPr>
          <w:hyperlink w:anchor="_Toc191284552" w:history="1">
            <w:r w:rsidRPr="00517C62">
              <w:rPr>
                <w:rFonts w:ascii="Tahoma" w:hAnsi="Tahoma" w:cs="Tahoma"/>
                <w:b/>
                <w:noProof/>
              </w:rPr>
              <w:t>4.11. КОНВЕРСИОННЫЕ ОПЕРАЦИИ ПО БАНКОВСКИМ КАРТАМ «АЗИАТСКО-ТИХООКЕАНСКИЙ БАНК» (АО)</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442</w:t>
            </w:r>
            <w:r>
              <w:rPr>
                <w:noProof/>
                <w:webHidden/>
              </w:rPr>
              <w:tab/>
            </w:r>
            <w:r>
              <w:rPr>
                <w:noProof/>
                <w:webHidden/>
              </w:rPr>
              <w:fldChar w:fldCharType="begin"/>
            </w:r>
            <w:r>
              <w:rPr>
                <w:noProof/>
                <w:webHidden/>
              </w:rPr>
              <w:instrText xml:space="preserve"> PAGEREF _Toc191284552 \h </w:instrText>
            </w:r>
            <w:r>
              <w:rPr>
                <w:noProof/>
                <w:webHidden/>
              </w:rPr>
            </w:r>
            <w:r>
              <w:rPr>
                <w:noProof/>
                <w:webHidden/>
              </w:rPr>
              <w:fldChar w:fldCharType="separate"/>
            </w:r>
            <w:r>
              <w:rPr>
                <w:noProof/>
                <w:webHidden/>
              </w:rPr>
              <w:t>4</w:t>
            </w:r>
            <w:r>
              <w:rPr>
                <w:noProof/>
                <w:webHidden/>
              </w:rPr>
              <w:fldChar w:fldCharType="end"/>
            </w:r>
          </w:hyperlink>
        </w:p>
        <w:p w14:paraId="405B5D9F" w14:textId="564969CE" w:rsidR="00ED147F" w:rsidRDefault="00ED147F">
          <w:pPr>
            <w:tabs>
              <w:tab w:val="left" w:pos="5383"/>
              <w:tab w:val="right" w:leader="dot" w:pos="10055"/>
            </w:tabs>
            <w:rPr>
              <w:rFonts w:asciiTheme="minorHAnsi" w:eastAsiaTheme="minorEastAsia" w:hAnsiTheme="minorHAnsi" w:cstheme="minorBidi"/>
              <w:b/>
              <w:bCs/>
              <w:caps/>
              <w:noProof/>
              <w:kern w:val="2"/>
              <w14:ligatures w14:val="standardContextual"/>
            </w:rPr>
          </w:pPr>
          <w:hyperlink w:anchor="_Toc191284553" w:history="1">
            <w:r w:rsidRPr="00517C62">
              <w:rPr>
                <w:rFonts w:ascii="Tahoma" w:hAnsi="Tahoma" w:cs="Tahoma"/>
                <w:b/>
                <w:noProof/>
              </w:rPr>
              <w:t>4.12. БОНУСНАЯ ПРОГРАММА СТАНДАРТ-ДИРЕКТ</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443</w:t>
            </w:r>
            <w:r>
              <w:rPr>
                <w:noProof/>
                <w:webHidden/>
              </w:rPr>
              <w:tab/>
            </w:r>
            <w:r>
              <w:rPr>
                <w:noProof/>
                <w:webHidden/>
              </w:rPr>
              <w:fldChar w:fldCharType="begin"/>
            </w:r>
            <w:r>
              <w:rPr>
                <w:noProof/>
                <w:webHidden/>
              </w:rPr>
              <w:instrText xml:space="preserve"> PAGEREF _Toc191284553 \h </w:instrText>
            </w:r>
            <w:r>
              <w:rPr>
                <w:noProof/>
                <w:webHidden/>
              </w:rPr>
            </w:r>
            <w:r>
              <w:rPr>
                <w:noProof/>
                <w:webHidden/>
              </w:rPr>
              <w:fldChar w:fldCharType="separate"/>
            </w:r>
            <w:r>
              <w:rPr>
                <w:noProof/>
                <w:webHidden/>
              </w:rPr>
              <w:t>4</w:t>
            </w:r>
            <w:r>
              <w:rPr>
                <w:noProof/>
                <w:webHidden/>
              </w:rPr>
              <w:fldChar w:fldCharType="end"/>
            </w:r>
          </w:hyperlink>
        </w:p>
        <w:p w14:paraId="0C236ED0" w14:textId="40EE429B" w:rsidR="00ED147F" w:rsidRDefault="00ED147F">
          <w:pPr>
            <w:tabs>
              <w:tab w:val="left" w:pos="5269"/>
              <w:tab w:val="right" w:leader="dot" w:pos="10055"/>
            </w:tabs>
            <w:rPr>
              <w:rFonts w:asciiTheme="minorHAnsi" w:eastAsiaTheme="minorEastAsia" w:hAnsiTheme="minorHAnsi" w:cstheme="minorBidi"/>
              <w:b/>
              <w:bCs/>
              <w:caps/>
              <w:noProof/>
              <w:kern w:val="2"/>
              <w14:ligatures w14:val="standardContextual"/>
            </w:rPr>
          </w:pPr>
          <w:hyperlink w:anchor="_Toc191284554" w:history="1">
            <w:r w:rsidRPr="00517C62">
              <w:rPr>
                <w:rFonts w:ascii="Tahoma" w:hAnsi="Tahoma" w:cs="Tahoma"/>
                <w:b/>
                <w:noProof/>
              </w:rPr>
              <w:t>4.13. БОНУСНАЯ ПРОГРАММА СТАНДАРТ-БОНУС</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445</w:t>
            </w:r>
            <w:r>
              <w:rPr>
                <w:noProof/>
                <w:webHidden/>
              </w:rPr>
              <w:tab/>
            </w:r>
            <w:r>
              <w:rPr>
                <w:noProof/>
                <w:webHidden/>
              </w:rPr>
              <w:fldChar w:fldCharType="begin"/>
            </w:r>
            <w:r>
              <w:rPr>
                <w:noProof/>
                <w:webHidden/>
              </w:rPr>
              <w:instrText xml:space="preserve"> PAGEREF _Toc191284554 \h </w:instrText>
            </w:r>
            <w:r>
              <w:rPr>
                <w:noProof/>
                <w:webHidden/>
              </w:rPr>
            </w:r>
            <w:r>
              <w:rPr>
                <w:noProof/>
                <w:webHidden/>
              </w:rPr>
              <w:fldChar w:fldCharType="separate"/>
            </w:r>
            <w:r>
              <w:rPr>
                <w:noProof/>
                <w:webHidden/>
              </w:rPr>
              <w:t>4</w:t>
            </w:r>
            <w:r>
              <w:rPr>
                <w:noProof/>
                <w:webHidden/>
              </w:rPr>
              <w:fldChar w:fldCharType="end"/>
            </w:r>
          </w:hyperlink>
        </w:p>
        <w:p w14:paraId="465ED111" w14:textId="71679FAE" w:rsidR="00ED147F" w:rsidRDefault="00ED147F">
          <w:pPr>
            <w:tabs>
              <w:tab w:val="left" w:pos="5681"/>
              <w:tab w:val="right" w:leader="dot" w:pos="10055"/>
            </w:tabs>
            <w:rPr>
              <w:rFonts w:asciiTheme="minorHAnsi" w:eastAsiaTheme="minorEastAsia" w:hAnsiTheme="minorHAnsi" w:cstheme="minorBidi"/>
              <w:b/>
              <w:bCs/>
              <w:caps/>
              <w:noProof/>
              <w:kern w:val="2"/>
              <w14:ligatures w14:val="standardContextual"/>
            </w:rPr>
          </w:pPr>
          <w:hyperlink w:anchor="_Toc191284555" w:history="1">
            <w:r w:rsidRPr="00517C62">
              <w:rPr>
                <w:rFonts w:ascii="Tahoma" w:hAnsi="Tahoma" w:cs="Tahoma"/>
                <w:b/>
                <w:noProof/>
              </w:rPr>
              <w:t>4.13.1.БОНУСНАЯ ПРОГРАММА «СТАНДАРТ-БОНУС»</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445</w:t>
            </w:r>
            <w:r>
              <w:rPr>
                <w:noProof/>
                <w:webHidden/>
              </w:rPr>
              <w:tab/>
            </w:r>
            <w:r>
              <w:rPr>
                <w:noProof/>
                <w:webHidden/>
              </w:rPr>
              <w:fldChar w:fldCharType="begin"/>
            </w:r>
            <w:r>
              <w:rPr>
                <w:noProof/>
                <w:webHidden/>
              </w:rPr>
              <w:instrText xml:space="preserve"> PAGEREF _Toc191284555 \h </w:instrText>
            </w:r>
            <w:r>
              <w:rPr>
                <w:noProof/>
                <w:webHidden/>
              </w:rPr>
            </w:r>
            <w:r>
              <w:rPr>
                <w:noProof/>
                <w:webHidden/>
              </w:rPr>
              <w:fldChar w:fldCharType="separate"/>
            </w:r>
            <w:r>
              <w:rPr>
                <w:noProof/>
                <w:webHidden/>
              </w:rPr>
              <w:t>4</w:t>
            </w:r>
            <w:r>
              <w:rPr>
                <w:noProof/>
                <w:webHidden/>
              </w:rPr>
              <w:fldChar w:fldCharType="end"/>
            </w:r>
          </w:hyperlink>
        </w:p>
        <w:p w14:paraId="3E875929" w14:textId="71B428AF" w:rsidR="00ED147F" w:rsidRDefault="00ED147F">
          <w:pPr>
            <w:tabs>
              <w:tab w:val="left" w:pos="8943"/>
              <w:tab w:val="right" w:leader="dot" w:pos="10055"/>
            </w:tabs>
            <w:rPr>
              <w:rFonts w:asciiTheme="minorHAnsi" w:eastAsiaTheme="minorEastAsia" w:hAnsiTheme="minorHAnsi" w:cstheme="minorBidi"/>
              <w:b/>
              <w:bCs/>
              <w:caps/>
              <w:noProof/>
              <w:kern w:val="2"/>
              <w14:ligatures w14:val="standardContextual"/>
            </w:rPr>
          </w:pPr>
          <w:hyperlink w:anchor="_Toc191284556" w:history="1">
            <w:r w:rsidRPr="00517C62">
              <w:rPr>
                <w:rFonts w:ascii="Tahoma" w:hAnsi="Tahoma" w:cs="Tahoma"/>
                <w:b/>
                <w:noProof/>
              </w:rPr>
              <w:t>4.14.БОНУСНАЯ ПРОГРАММА «ПРЕМИУМ-БОНУС» ДЛЯ ДЕРЖАТЕЛЕЙ ПРОГРАММЫ БАНКОВСКИХ УСЛУГ «СТАТУС»</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450</w:t>
            </w:r>
            <w:r>
              <w:rPr>
                <w:noProof/>
                <w:webHidden/>
              </w:rPr>
              <w:tab/>
            </w:r>
            <w:r>
              <w:rPr>
                <w:noProof/>
                <w:webHidden/>
              </w:rPr>
              <w:fldChar w:fldCharType="begin"/>
            </w:r>
            <w:r>
              <w:rPr>
                <w:noProof/>
                <w:webHidden/>
              </w:rPr>
              <w:instrText xml:space="preserve"> PAGEREF _Toc191284556 \h </w:instrText>
            </w:r>
            <w:r>
              <w:rPr>
                <w:noProof/>
                <w:webHidden/>
              </w:rPr>
            </w:r>
            <w:r>
              <w:rPr>
                <w:noProof/>
                <w:webHidden/>
              </w:rPr>
              <w:fldChar w:fldCharType="separate"/>
            </w:r>
            <w:r>
              <w:rPr>
                <w:noProof/>
                <w:webHidden/>
              </w:rPr>
              <w:t>4</w:t>
            </w:r>
            <w:r>
              <w:rPr>
                <w:noProof/>
                <w:webHidden/>
              </w:rPr>
              <w:fldChar w:fldCharType="end"/>
            </w:r>
          </w:hyperlink>
        </w:p>
        <w:p w14:paraId="69744785" w14:textId="6660D490" w:rsidR="00ED147F" w:rsidRDefault="00ED147F">
          <w:pPr>
            <w:tabs>
              <w:tab w:val="left" w:pos="6178"/>
              <w:tab w:val="right" w:leader="dot" w:pos="10055"/>
            </w:tabs>
            <w:rPr>
              <w:rFonts w:asciiTheme="minorHAnsi" w:eastAsiaTheme="minorEastAsia" w:hAnsiTheme="minorHAnsi" w:cstheme="minorBidi"/>
              <w:b/>
              <w:bCs/>
              <w:caps/>
              <w:noProof/>
              <w:kern w:val="2"/>
              <w14:ligatures w14:val="standardContextual"/>
            </w:rPr>
          </w:pPr>
          <w:hyperlink w:anchor="_Toc191284557" w:history="1">
            <w:r w:rsidRPr="00517C62">
              <w:rPr>
                <w:rFonts w:ascii="Tahoma" w:hAnsi="Tahoma" w:cs="Tahoma"/>
                <w:b/>
                <w:noProof/>
              </w:rPr>
              <w:t>4.15. БОНУСНАЯ ПРОГРАММА «СТАНДАРТ-БОНУС ЛАЙТ»</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455</w:t>
            </w:r>
            <w:r>
              <w:rPr>
                <w:noProof/>
                <w:webHidden/>
              </w:rPr>
              <w:tab/>
            </w:r>
            <w:r>
              <w:rPr>
                <w:noProof/>
                <w:webHidden/>
              </w:rPr>
              <w:fldChar w:fldCharType="begin"/>
            </w:r>
            <w:r>
              <w:rPr>
                <w:noProof/>
                <w:webHidden/>
              </w:rPr>
              <w:instrText xml:space="preserve"> PAGEREF _Toc191284557 \h </w:instrText>
            </w:r>
            <w:r>
              <w:rPr>
                <w:noProof/>
                <w:webHidden/>
              </w:rPr>
            </w:r>
            <w:r>
              <w:rPr>
                <w:noProof/>
                <w:webHidden/>
              </w:rPr>
              <w:fldChar w:fldCharType="separate"/>
            </w:r>
            <w:r>
              <w:rPr>
                <w:noProof/>
                <w:webHidden/>
              </w:rPr>
              <w:t>4</w:t>
            </w:r>
            <w:r>
              <w:rPr>
                <w:noProof/>
                <w:webHidden/>
              </w:rPr>
              <w:fldChar w:fldCharType="end"/>
            </w:r>
          </w:hyperlink>
        </w:p>
        <w:p w14:paraId="2CE89A0D" w14:textId="22557B96" w:rsidR="00ED147F" w:rsidRDefault="00ED147F">
          <w:pPr>
            <w:tabs>
              <w:tab w:val="left" w:pos="5403"/>
              <w:tab w:val="right" w:leader="dot" w:pos="10055"/>
            </w:tabs>
            <w:rPr>
              <w:rFonts w:asciiTheme="minorHAnsi" w:eastAsiaTheme="minorEastAsia" w:hAnsiTheme="minorHAnsi" w:cstheme="minorBidi"/>
              <w:b/>
              <w:bCs/>
              <w:caps/>
              <w:noProof/>
              <w:kern w:val="2"/>
              <w14:ligatures w14:val="standardContextual"/>
            </w:rPr>
          </w:pPr>
          <w:hyperlink w:anchor="_Toc191284558" w:history="1">
            <w:r w:rsidRPr="00517C62">
              <w:rPr>
                <w:rFonts w:ascii="Tahoma" w:hAnsi="Tahoma" w:cs="Tahoma"/>
                <w:b/>
                <w:noProof/>
              </w:rPr>
              <w:t>4.16. БОНУСНАЯ ПРОГРАММА «КРЕДИТ - БОНУС»</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460</w:t>
            </w:r>
            <w:r>
              <w:rPr>
                <w:noProof/>
                <w:webHidden/>
              </w:rPr>
              <w:tab/>
            </w:r>
            <w:r>
              <w:rPr>
                <w:noProof/>
                <w:webHidden/>
              </w:rPr>
              <w:fldChar w:fldCharType="begin"/>
            </w:r>
            <w:r>
              <w:rPr>
                <w:noProof/>
                <w:webHidden/>
              </w:rPr>
              <w:instrText xml:space="preserve"> PAGEREF _Toc191284558 \h </w:instrText>
            </w:r>
            <w:r>
              <w:rPr>
                <w:noProof/>
                <w:webHidden/>
              </w:rPr>
            </w:r>
            <w:r>
              <w:rPr>
                <w:noProof/>
                <w:webHidden/>
              </w:rPr>
              <w:fldChar w:fldCharType="separate"/>
            </w:r>
            <w:r>
              <w:rPr>
                <w:noProof/>
                <w:webHidden/>
              </w:rPr>
              <w:t>4</w:t>
            </w:r>
            <w:r>
              <w:rPr>
                <w:noProof/>
                <w:webHidden/>
              </w:rPr>
              <w:fldChar w:fldCharType="end"/>
            </w:r>
          </w:hyperlink>
        </w:p>
        <w:p w14:paraId="726AAB4D" w14:textId="07123692" w:rsidR="00ED147F" w:rsidRDefault="00ED147F">
          <w:pPr>
            <w:tabs>
              <w:tab w:val="left" w:pos="4961"/>
              <w:tab w:val="right" w:leader="dot" w:pos="10055"/>
            </w:tabs>
            <w:rPr>
              <w:rFonts w:asciiTheme="minorHAnsi" w:eastAsiaTheme="minorEastAsia" w:hAnsiTheme="minorHAnsi" w:cstheme="minorBidi"/>
              <w:b/>
              <w:bCs/>
              <w:caps/>
              <w:noProof/>
              <w:kern w:val="2"/>
              <w14:ligatures w14:val="standardContextual"/>
            </w:rPr>
          </w:pPr>
          <w:hyperlink w:anchor="_Toc191284559" w:history="1">
            <w:r w:rsidRPr="00517C62">
              <w:rPr>
                <w:rFonts w:ascii="Tahoma" w:hAnsi="Tahoma" w:cs="Tahoma"/>
                <w:b/>
                <w:noProof/>
              </w:rPr>
              <w:t>5. ДИСТАНЦИОННЫЕ БАНКОВСКИЕ СЕРВИСЫ</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463</w:t>
            </w:r>
            <w:r>
              <w:rPr>
                <w:noProof/>
                <w:webHidden/>
              </w:rPr>
              <w:tab/>
            </w:r>
            <w:r>
              <w:rPr>
                <w:noProof/>
                <w:webHidden/>
              </w:rPr>
              <w:fldChar w:fldCharType="begin"/>
            </w:r>
            <w:r>
              <w:rPr>
                <w:noProof/>
                <w:webHidden/>
              </w:rPr>
              <w:instrText xml:space="preserve"> PAGEREF _Toc191284559 \h </w:instrText>
            </w:r>
            <w:r>
              <w:rPr>
                <w:noProof/>
                <w:webHidden/>
              </w:rPr>
            </w:r>
            <w:r>
              <w:rPr>
                <w:noProof/>
                <w:webHidden/>
              </w:rPr>
              <w:fldChar w:fldCharType="separate"/>
            </w:r>
            <w:r>
              <w:rPr>
                <w:noProof/>
                <w:webHidden/>
              </w:rPr>
              <w:t>4</w:t>
            </w:r>
            <w:r>
              <w:rPr>
                <w:noProof/>
                <w:webHidden/>
              </w:rPr>
              <w:fldChar w:fldCharType="end"/>
            </w:r>
          </w:hyperlink>
        </w:p>
        <w:p w14:paraId="013AAD3A" w14:textId="601AF769" w:rsidR="00ED147F" w:rsidRDefault="00ED147F">
          <w:pPr>
            <w:tabs>
              <w:tab w:val="left" w:pos="4168"/>
              <w:tab w:val="right" w:leader="dot" w:pos="10055"/>
            </w:tabs>
            <w:rPr>
              <w:rFonts w:asciiTheme="minorHAnsi" w:eastAsiaTheme="minorEastAsia" w:hAnsiTheme="minorHAnsi" w:cstheme="minorBidi"/>
              <w:b/>
              <w:bCs/>
              <w:caps/>
              <w:noProof/>
              <w:kern w:val="2"/>
              <w14:ligatures w14:val="standardContextual"/>
            </w:rPr>
          </w:pPr>
          <w:hyperlink w:anchor="_Toc191284560" w:history="1">
            <w:r w:rsidRPr="00517C62">
              <w:rPr>
                <w:rFonts w:ascii="Tahoma" w:hAnsi="Tahoma" w:cs="Tahoma"/>
                <w:b/>
                <w:noProof/>
              </w:rPr>
              <w:t>5.1. УСЛУГА СМС-ИНФОРМИРОВАНИЕ</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463</w:t>
            </w:r>
            <w:r>
              <w:rPr>
                <w:noProof/>
                <w:webHidden/>
              </w:rPr>
              <w:tab/>
            </w:r>
            <w:r>
              <w:rPr>
                <w:noProof/>
                <w:webHidden/>
              </w:rPr>
              <w:fldChar w:fldCharType="begin"/>
            </w:r>
            <w:r>
              <w:rPr>
                <w:noProof/>
                <w:webHidden/>
              </w:rPr>
              <w:instrText xml:space="preserve"> PAGEREF _Toc191284560 \h </w:instrText>
            </w:r>
            <w:r>
              <w:rPr>
                <w:noProof/>
                <w:webHidden/>
              </w:rPr>
            </w:r>
            <w:r>
              <w:rPr>
                <w:noProof/>
                <w:webHidden/>
              </w:rPr>
              <w:fldChar w:fldCharType="separate"/>
            </w:r>
            <w:r>
              <w:rPr>
                <w:noProof/>
                <w:webHidden/>
              </w:rPr>
              <w:t>4</w:t>
            </w:r>
            <w:r>
              <w:rPr>
                <w:noProof/>
                <w:webHidden/>
              </w:rPr>
              <w:fldChar w:fldCharType="end"/>
            </w:r>
          </w:hyperlink>
        </w:p>
        <w:p w14:paraId="43142E1C" w14:textId="5BA96927" w:rsidR="00ED147F" w:rsidRDefault="00ED147F">
          <w:pPr>
            <w:tabs>
              <w:tab w:val="left" w:pos="9142"/>
              <w:tab w:val="right" w:leader="dot" w:pos="10055"/>
            </w:tabs>
            <w:rPr>
              <w:rFonts w:asciiTheme="minorHAnsi" w:eastAsiaTheme="minorEastAsia" w:hAnsiTheme="minorHAnsi" w:cstheme="minorBidi"/>
              <w:b/>
              <w:bCs/>
              <w:caps/>
              <w:noProof/>
              <w:kern w:val="2"/>
              <w14:ligatures w14:val="standardContextual"/>
            </w:rPr>
          </w:pPr>
          <w:hyperlink w:anchor="_Toc191284561" w:history="1">
            <w:r w:rsidRPr="00517C62">
              <w:rPr>
                <w:rFonts w:ascii="Tahoma" w:hAnsi="Tahoma" w:cs="Tahoma"/>
                <w:b/>
                <w:noProof/>
              </w:rPr>
              <w:t>5.2. СИСТЕМА ДИСТАНЦИОННОГО БАНКОВСКОГО ОБСЛУЖИВАНИЯ «АТБ-ОНЛАЙН»/ «АТБ-МОБАЙЛ»</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464</w:t>
            </w:r>
            <w:r>
              <w:rPr>
                <w:noProof/>
                <w:webHidden/>
              </w:rPr>
              <w:tab/>
            </w:r>
            <w:r>
              <w:rPr>
                <w:noProof/>
                <w:webHidden/>
              </w:rPr>
              <w:fldChar w:fldCharType="begin"/>
            </w:r>
            <w:r>
              <w:rPr>
                <w:noProof/>
                <w:webHidden/>
              </w:rPr>
              <w:instrText xml:space="preserve"> PAGEREF _Toc191284561 \h </w:instrText>
            </w:r>
            <w:r>
              <w:rPr>
                <w:noProof/>
                <w:webHidden/>
              </w:rPr>
            </w:r>
            <w:r>
              <w:rPr>
                <w:noProof/>
                <w:webHidden/>
              </w:rPr>
              <w:fldChar w:fldCharType="separate"/>
            </w:r>
            <w:r>
              <w:rPr>
                <w:noProof/>
                <w:webHidden/>
              </w:rPr>
              <w:t>4</w:t>
            </w:r>
            <w:r>
              <w:rPr>
                <w:noProof/>
                <w:webHidden/>
              </w:rPr>
              <w:fldChar w:fldCharType="end"/>
            </w:r>
          </w:hyperlink>
        </w:p>
        <w:p w14:paraId="7839D02C" w14:textId="1CB1AC86" w:rsidR="00ED147F" w:rsidRDefault="00ED147F">
          <w:pPr>
            <w:tabs>
              <w:tab w:val="left" w:pos="2273"/>
              <w:tab w:val="right" w:leader="dot" w:pos="10055"/>
            </w:tabs>
            <w:rPr>
              <w:rFonts w:asciiTheme="minorHAnsi" w:eastAsiaTheme="minorEastAsia" w:hAnsiTheme="minorHAnsi" w:cstheme="minorBidi"/>
              <w:b/>
              <w:bCs/>
              <w:caps/>
              <w:noProof/>
              <w:kern w:val="2"/>
              <w14:ligatures w14:val="standardContextual"/>
            </w:rPr>
          </w:pPr>
          <w:hyperlink w:anchor="_Toc191284562" w:history="1">
            <w:r w:rsidRPr="00517C62">
              <w:rPr>
                <w:rFonts w:ascii="Tahoma" w:hAnsi="Tahoma" w:cs="Tahoma"/>
                <w:b/>
                <w:noProof/>
              </w:rPr>
              <w:t>5.3 ЛИМИТЫ В ДБО</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467</w:t>
            </w:r>
            <w:r>
              <w:rPr>
                <w:noProof/>
                <w:webHidden/>
              </w:rPr>
              <w:tab/>
            </w:r>
            <w:r>
              <w:rPr>
                <w:noProof/>
                <w:webHidden/>
              </w:rPr>
              <w:fldChar w:fldCharType="begin"/>
            </w:r>
            <w:r>
              <w:rPr>
                <w:noProof/>
                <w:webHidden/>
              </w:rPr>
              <w:instrText xml:space="preserve"> PAGEREF _Toc191284562 \h </w:instrText>
            </w:r>
            <w:r>
              <w:rPr>
                <w:noProof/>
                <w:webHidden/>
              </w:rPr>
            </w:r>
            <w:r>
              <w:rPr>
                <w:noProof/>
                <w:webHidden/>
              </w:rPr>
              <w:fldChar w:fldCharType="separate"/>
            </w:r>
            <w:r>
              <w:rPr>
                <w:noProof/>
                <w:webHidden/>
              </w:rPr>
              <w:t>4</w:t>
            </w:r>
            <w:r>
              <w:rPr>
                <w:noProof/>
                <w:webHidden/>
              </w:rPr>
              <w:fldChar w:fldCharType="end"/>
            </w:r>
          </w:hyperlink>
        </w:p>
        <w:p w14:paraId="5CF411C8" w14:textId="5F40B4FF" w:rsidR="00ED147F" w:rsidRDefault="00ED147F">
          <w:pPr>
            <w:tabs>
              <w:tab w:val="left" w:pos="4301"/>
              <w:tab w:val="right" w:leader="dot" w:pos="10055"/>
            </w:tabs>
            <w:rPr>
              <w:rFonts w:asciiTheme="minorHAnsi" w:eastAsiaTheme="minorEastAsia" w:hAnsiTheme="minorHAnsi" w:cstheme="minorBidi"/>
              <w:b/>
              <w:bCs/>
              <w:caps/>
              <w:noProof/>
              <w:kern w:val="2"/>
              <w14:ligatures w14:val="standardContextual"/>
            </w:rPr>
          </w:pPr>
          <w:hyperlink w:anchor="_Toc191284563" w:history="1">
            <w:r w:rsidRPr="00517C62">
              <w:rPr>
                <w:rFonts w:ascii="Tahoma" w:hAnsi="Tahoma" w:cs="Tahoma"/>
                <w:b/>
                <w:noProof/>
              </w:rPr>
              <w:t>6. ТЕРМИНАЛЫ САМООБСЛУЖИВАНИЯ</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469</w:t>
            </w:r>
            <w:r>
              <w:rPr>
                <w:noProof/>
                <w:webHidden/>
              </w:rPr>
              <w:tab/>
            </w:r>
            <w:r>
              <w:rPr>
                <w:noProof/>
                <w:webHidden/>
              </w:rPr>
              <w:fldChar w:fldCharType="begin"/>
            </w:r>
            <w:r>
              <w:rPr>
                <w:noProof/>
                <w:webHidden/>
              </w:rPr>
              <w:instrText xml:space="preserve"> PAGEREF _Toc191284563 \h </w:instrText>
            </w:r>
            <w:r>
              <w:rPr>
                <w:noProof/>
                <w:webHidden/>
              </w:rPr>
            </w:r>
            <w:r>
              <w:rPr>
                <w:noProof/>
                <w:webHidden/>
              </w:rPr>
              <w:fldChar w:fldCharType="separate"/>
            </w:r>
            <w:r>
              <w:rPr>
                <w:noProof/>
                <w:webHidden/>
              </w:rPr>
              <w:t>4</w:t>
            </w:r>
            <w:r>
              <w:rPr>
                <w:noProof/>
                <w:webHidden/>
              </w:rPr>
              <w:fldChar w:fldCharType="end"/>
            </w:r>
          </w:hyperlink>
        </w:p>
        <w:p w14:paraId="1A5B11C8" w14:textId="70382A63" w:rsidR="00ED147F" w:rsidRDefault="00ED147F">
          <w:pPr>
            <w:tabs>
              <w:tab w:val="left" w:pos="9098"/>
              <w:tab w:val="right" w:leader="dot" w:pos="10055"/>
            </w:tabs>
            <w:rPr>
              <w:rFonts w:asciiTheme="minorHAnsi" w:eastAsiaTheme="minorEastAsia" w:hAnsiTheme="minorHAnsi" w:cstheme="minorBidi"/>
              <w:b/>
              <w:bCs/>
              <w:caps/>
              <w:noProof/>
              <w:kern w:val="2"/>
              <w14:ligatures w14:val="standardContextual"/>
            </w:rPr>
          </w:pPr>
          <w:hyperlink w:anchor="_Toc191284564" w:history="1">
            <w:r w:rsidRPr="00517C62">
              <w:rPr>
                <w:rFonts w:ascii="Tahoma" w:hAnsi="Tahoma" w:cs="Tahoma"/>
                <w:b/>
                <w:noProof/>
              </w:rPr>
              <w:t>6.1. ОБСЛУЖИВАНИЕ КЛИЕНТОВ В УСТРОЙСТВАХ САМООБСЛУЖИВАНИЯ  (ТСО) АТБ (АО)</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469</w:t>
            </w:r>
            <w:r>
              <w:rPr>
                <w:noProof/>
                <w:webHidden/>
              </w:rPr>
              <w:tab/>
            </w:r>
            <w:r>
              <w:rPr>
                <w:noProof/>
                <w:webHidden/>
              </w:rPr>
              <w:fldChar w:fldCharType="begin"/>
            </w:r>
            <w:r>
              <w:rPr>
                <w:noProof/>
                <w:webHidden/>
              </w:rPr>
              <w:instrText xml:space="preserve"> PAGEREF _Toc191284564 \h </w:instrText>
            </w:r>
            <w:r>
              <w:rPr>
                <w:noProof/>
                <w:webHidden/>
              </w:rPr>
            </w:r>
            <w:r>
              <w:rPr>
                <w:noProof/>
                <w:webHidden/>
              </w:rPr>
              <w:fldChar w:fldCharType="separate"/>
            </w:r>
            <w:r>
              <w:rPr>
                <w:noProof/>
                <w:webHidden/>
              </w:rPr>
              <w:t>4</w:t>
            </w:r>
            <w:r>
              <w:rPr>
                <w:noProof/>
                <w:webHidden/>
              </w:rPr>
              <w:fldChar w:fldCharType="end"/>
            </w:r>
          </w:hyperlink>
        </w:p>
        <w:p w14:paraId="32C5DD41" w14:textId="7FC9D2E2" w:rsidR="00ED147F" w:rsidRDefault="00ED147F">
          <w:pPr>
            <w:tabs>
              <w:tab w:val="left" w:pos="9298"/>
              <w:tab w:val="right" w:leader="dot" w:pos="10055"/>
            </w:tabs>
            <w:rPr>
              <w:rFonts w:asciiTheme="minorHAnsi" w:eastAsiaTheme="minorEastAsia" w:hAnsiTheme="minorHAnsi" w:cstheme="minorBidi"/>
              <w:b/>
              <w:bCs/>
              <w:caps/>
              <w:noProof/>
              <w:kern w:val="2"/>
              <w14:ligatures w14:val="standardContextual"/>
            </w:rPr>
          </w:pPr>
          <w:hyperlink w:anchor="_Toc191284565" w:history="1">
            <w:r w:rsidRPr="00517C62">
              <w:rPr>
                <w:rFonts w:ascii="Tahoma" w:hAnsi="Tahoma" w:cs="Tahoma"/>
                <w:b/>
                <w:noProof/>
              </w:rPr>
              <w:t>7. РАСЧЕТНО-КАССОВОЕ ОБСЛУЖИВАНИЕ ЮРИДИЧЕСКИХ ЛИЦ И ИНДИВИДУАЛЬНЫХ ПРЕДПРИНИМАТЕЛЕЙ В ВАЛЮТЕ РФ И ИНОСТРАННОЙ ВАЛЮТЕ ДЛЯ АМУРСКОЙ ОБЛАСТИ</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469</w:t>
            </w:r>
            <w:r>
              <w:rPr>
                <w:noProof/>
                <w:webHidden/>
              </w:rPr>
              <w:tab/>
            </w:r>
            <w:r>
              <w:rPr>
                <w:noProof/>
                <w:webHidden/>
              </w:rPr>
              <w:fldChar w:fldCharType="begin"/>
            </w:r>
            <w:r>
              <w:rPr>
                <w:noProof/>
                <w:webHidden/>
              </w:rPr>
              <w:instrText xml:space="preserve"> PAGEREF _Toc191284565 \h </w:instrText>
            </w:r>
            <w:r>
              <w:rPr>
                <w:noProof/>
                <w:webHidden/>
              </w:rPr>
            </w:r>
            <w:r>
              <w:rPr>
                <w:noProof/>
                <w:webHidden/>
              </w:rPr>
              <w:fldChar w:fldCharType="separate"/>
            </w:r>
            <w:r>
              <w:rPr>
                <w:noProof/>
                <w:webHidden/>
              </w:rPr>
              <w:t>4</w:t>
            </w:r>
            <w:r>
              <w:rPr>
                <w:noProof/>
                <w:webHidden/>
              </w:rPr>
              <w:fldChar w:fldCharType="end"/>
            </w:r>
          </w:hyperlink>
        </w:p>
        <w:p w14:paraId="6BC5D7E8" w14:textId="739BA9C4" w:rsidR="00ED147F" w:rsidRDefault="00ED147F">
          <w:pPr>
            <w:tabs>
              <w:tab w:val="left" w:pos="9298"/>
              <w:tab w:val="right" w:leader="dot" w:pos="10055"/>
            </w:tabs>
            <w:rPr>
              <w:rFonts w:asciiTheme="minorHAnsi" w:eastAsiaTheme="minorEastAsia" w:hAnsiTheme="minorHAnsi" w:cstheme="minorBidi"/>
              <w:b/>
              <w:bCs/>
              <w:caps/>
              <w:noProof/>
              <w:kern w:val="2"/>
              <w14:ligatures w14:val="standardContextual"/>
            </w:rPr>
          </w:pPr>
          <w:hyperlink w:anchor="_Toc191284566" w:history="1">
            <w:r w:rsidRPr="00517C62">
              <w:rPr>
                <w:rFonts w:ascii="Tahoma" w:hAnsi="Tahoma" w:cs="Tahoma"/>
                <w:b/>
                <w:noProof/>
              </w:rPr>
              <w:t>8. РАСЧЕТНО-КАССОВОЕ ОБСЛУЖИВАНИЕ ЮРИДИЧЕСКИХ ЛИЦ И ИНДИВИДУАЛЬНЫХ ПРЕДПРИНИМАТЕЛЕЙ В ВАЛЮТЕ РФ И ИНОСТРАННОЙ ВАЛЮТЕ ДЛЯ ФИЛИАЛОВ/ ОО</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470</w:t>
            </w:r>
            <w:r>
              <w:rPr>
                <w:noProof/>
                <w:webHidden/>
              </w:rPr>
              <w:tab/>
            </w:r>
            <w:r>
              <w:rPr>
                <w:noProof/>
                <w:webHidden/>
              </w:rPr>
              <w:fldChar w:fldCharType="begin"/>
            </w:r>
            <w:r>
              <w:rPr>
                <w:noProof/>
                <w:webHidden/>
              </w:rPr>
              <w:instrText xml:space="preserve"> PAGEREF _Toc191284566 \h </w:instrText>
            </w:r>
            <w:r>
              <w:rPr>
                <w:noProof/>
                <w:webHidden/>
              </w:rPr>
            </w:r>
            <w:r>
              <w:rPr>
                <w:noProof/>
                <w:webHidden/>
              </w:rPr>
              <w:fldChar w:fldCharType="separate"/>
            </w:r>
            <w:r>
              <w:rPr>
                <w:noProof/>
                <w:webHidden/>
              </w:rPr>
              <w:t>4</w:t>
            </w:r>
            <w:r>
              <w:rPr>
                <w:noProof/>
                <w:webHidden/>
              </w:rPr>
              <w:fldChar w:fldCharType="end"/>
            </w:r>
          </w:hyperlink>
        </w:p>
        <w:p w14:paraId="1FF8E28F" w14:textId="0BC59976" w:rsidR="00ED147F" w:rsidRDefault="00ED147F">
          <w:pPr>
            <w:tabs>
              <w:tab w:val="left" w:pos="8285"/>
              <w:tab w:val="right" w:leader="dot" w:pos="10055"/>
            </w:tabs>
            <w:rPr>
              <w:rFonts w:asciiTheme="minorHAnsi" w:eastAsiaTheme="minorEastAsia" w:hAnsiTheme="minorHAnsi" w:cstheme="minorBidi"/>
              <w:b/>
              <w:bCs/>
              <w:caps/>
              <w:noProof/>
              <w:kern w:val="2"/>
              <w14:ligatures w14:val="standardContextual"/>
            </w:rPr>
          </w:pPr>
          <w:hyperlink w:anchor="_Toc191284567" w:history="1">
            <w:r w:rsidRPr="00517C62">
              <w:rPr>
                <w:rFonts w:ascii="Tahoma" w:hAnsi="Tahoma" w:cs="Tahoma"/>
                <w:b/>
                <w:noProof/>
              </w:rPr>
              <w:t>9. ТАРИФЫ ПО КРЕДИТОВАНИЮ ЮРИДИЧЕСКИХ ЛИЦ И ИНДИВИДУАЛЬНЫХ ПРЕДПРИНИМАТЕЛЕй. КОМИССИЯ ЗА ИЗМЕНЕНИЕ УСЛОВИЙ ДОГОВОРА</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470</w:t>
            </w:r>
            <w:r>
              <w:rPr>
                <w:noProof/>
                <w:webHidden/>
              </w:rPr>
              <w:tab/>
            </w:r>
            <w:r>
              <w:rPr>
                <w:noProof/>
                <w:webHidden/>
              </w:rPr>
              <w:fldChar w:fldCharType="begin"/>
            </w:r>
            <w:r>
              <w:rPr>
                <w:noProof/>
                <w:webHidden/>
              </w:rPr>
              <w:instrText xml:space="preserve"> PAGEREF _Toc191284567 \h </w:instrText>
            </w:r>
            <w:r>
              <w:rPr>
                <w:noProof/>
                <w:webHidden/>
              </w:rPr>
            </w:r>
            <w:r>
              <w:rPr>
                <w:noProof/>
                <w:webHidden/>
              </w:rPr>
              <w:fldChar w:fldCharType="separate"/>
            </w:r>
            <w:r>
              <w:rPr>
                <w:noProof/>
                <w:webHidden/>
              </w:rPr>
              <w:t>4</w:t>
            </w:r>
            <w:r>
              <w:rPr>
                <w:noProof/>
                <w:webHidden/>
              </w:rPr>
              <w:fldChar w:fldCharType="end"/>
            </w:r>
          </w:hyperlink>
        </w:p>
        <w:p w14:paraId="2A18446B" w14:textId="4161BEC4" w:rsidR="00ED147F" w:rsidRDefault="00ED147F">
          <w:pPr>
            <w:tabs>
              <w:tab w:val="left" w:pos="4209"/>
              <w:tab w:val="right" w:leader="dot" w:pos="10055"/>
            </w:tabs>
            <w:rPr>
              <w:rFonts w:asciiTheme="minorHAnsi" w:eastAsiaTheme="minorEastAsia" w:hAnsiTheme="minorHAnsi" w:cstheme="minorBidi"/>
              <w:b/>
              <w:bCs/>
              <w:caps/>
              <w:noProof/>
              <w:kern w:val="2"/>
              <w14:ligatures w14:val="standardContextual"/>
            </w:rPr>
          </w:pPr>
          <w:hyperlink w:anchor="_Toc191284568" w:history="1">
            <w:r w:rsidRPr="00517C62">
              <w:rPr>
                <w:rFonts w:ascii="Tahoma" w:hAnsi="Tahoma" w:cs="Tahoma"/>
                <w:b/>
                <w:noProof/>
              </w:rPr>
              <w:t>10. ЭЛЕКТРОННОЕ ВЗАИМОДЕЙСТВИЕ</w:t>
            </w:r>
            <w:r>
              <w:rPr>
                <w:rFonts w:asciiTheme="minorHAnsi" w:eastAsiaTheme="minorEastAsia" w:hAnsiTheme="minorHAnsi" w:cstheme="minorBidi"/>
                <w:b/>
                <w:bCs/>
                <w:caps/>
                <w:noProof/>
                <w:kern w:val="2"/>
                <w14:ligatures w14:val="standardContextual"/>
              </w:rPr>
              <w:tab/>
            </w:r>
            <w:r w:rsidRPr="00517C62">
              <w:rPr>
                <w:rFonts w:ascii="Tahoma" w:hAnsi="Tahoma" w:cs="Tahoma"/>
                <w:b/>
                <w:noProof/>
              </w:rPr>
              <w:t>470</w:t>
            </w:r>
            <w:r>
              <w:rPr>
                <w:noProof/>
                <w:webHidden/>
              </w:rPr>
              <w:tab/>
            </w:r>
            <w:r>
              <w:rPr>
                <w:noProof/>
                <w:webHidden/>
              </w:rPr>
              <w:fldChar w:fldCharType="begin"/>
            </w:r>
            <w:r>
              <w:rPr>
                <w:noProof/>
                <w:webHidden/>
              </w:rPr>
              <w:instrText xml:space="preserve"> PAGEREF _Toc191284568 \h </w:instrText>
            </w:r>
            <w:r>
              <w:rPr>
                <w:noProof/>
                <w:webHidden/>
              </w:rPr>
            </w:r>
            <w:r>
              <w:rPr>
                <w:noProof/>
                <w:webHidden/>
              </w:rPr>
              <w:fldChar w:fldCharType="separate"/>
            </w:r>
            <w:r>
              <w:rPr>
                <w:noProof/>
                <w:webHidden/>
              </w:rPr>
              <w:t>5</w:t>
            </w:r>
            <w:r>
              <w:rPr>
                <w:noProof/>
                <w:webHidden/>
              </w:rPr>
              <w:fldChar w:fldCharType="end"/>
            </w:r>
          </w:hyperlink>
        </w:p>
        <w:p w14:paraId="000586C1" w14:textId="7FDF2F28" w:rsidR="00ED147F" w:rsidRDefault="00ED147F">
          <w:pPr>
            <w:tabs>
              <w:tab w:val="right" w:leader="dot" w:pos="10055"/>
            </w:tabs>
            <w:rPr>
              <w:rFonts w:asciiTheme="minorHAnsi" w:eastAsiaTheme="minorEastAsia" w:hAnsiTheme="minorHAnsi" w:cstheme="minorBidi"/>
              <w:b/>
              <w:bCs/>
              <w:caps/>
              <w:noProof/>
              <w:kern w:val="2"/>
              <w14:ligatures w14:val="standardContextual"/>
            </w:rPr>
          </w:pPr>
          <w:hyperlink w:anchor="_Toc191284569" w:history="1">
            <w:r w:rsidRPr="00517C62">
              <w:rPr>
                <w:rFonts w:ascii="Tahoma" w:hAnsi="Tahoma" w:cs="Tahoma"/>
                <w:noProof/>
              </w:rPr>
              <w:t>см. Сборник тарифов на сайте Банка</w:t>
            </w:r>
            <w:r>
              <w:rPr>
                <w:noProof/>
                <w:webHidden/>
              </w:rPr>
              <w:tab/>
            </w:r>
            <w:r>
              <w:rPr>
                <w:noProof/>
                <w:webHidden/>
              </w:rPr>
              <w:fldChar w:fldCharType="begin"/>
            </w:r>
            <w:r>
              <w:rPr>
                <w:noProof/>
                <w:webHidden/>
              </w:rPr>
              <w:instrText xml:space="preserve"> PAGEREF _Toc191284569 \h </w:instrText>
            </w:r>
            <w:r>
              <w:rPr>
                <w:noProof/>
                <w:webHidden/>
              </w:rPr>
            </w:r>
            <w:r>
              <w:rPr>
                <w:noProof/>
                <w:webHidden/>
              </w:rPr>
              <w:fldChar w:fldCharType="separate"/>
            </w:r>
            <w:r>
              <w:rPr>
                <w:noProof/>
                <w:webHidden/>
              </w:rPr>
              <w:t>493</w:t>
            </w:r>
            <w:r>
              <w:rPr>
                <w:noProof/>
                <w:webHidden/>
              </w:rPr>
              <w:fldChar w:fldCharType="end"/>
            </w:r>
          </w:hyperlink>
        </w:p>
        <w:p w14:paraId="6F0F5155" w14:textId="7C67F102" w:rsidR="00ED147F" w:rsidRDefault="00ED147F">
          <w:pPr>
            <w:tabs>
              <w:tab w:val="right" w:leader="dot" w:pos="10055"/>
            </w:tabs>
            <w:rPr>
              <w:rFonts w:asciiTheme="minorHAnsi" w:eastAsiaTheme="minorEastAsia" w:hAnsiTheme="minorHAnsi" w:cstheme="minorBidi"/>
              <w:b/>
              <w:bCs/>
              <w:caps/>
              <w:noProof/>
              <w:kern w:val="2"/>
              <w14:ligatures w14:val="standardContextual"/>
            </w:rPr>
          </w:pPr>
          <w:hyperlink w:anchor="_Toc191284570" w:history="1">
            <w:r w:rsidRPr="00517C62">
              <w:rPr>
                <w:rFonts w:ascii="Tahoma" w:hAnsi="Tahoma" w:cs="Tahoma"/>
                <w:noProof/>
              </w:rPr>
              <w:t>см. Сборник тарифов на сайте Банка</w:t>
            </w:r>
            <w:r>
              <w:rPr>
                <w:noProof/>
                <w:webHidden/>
              </w:rPr>
              <w:tab/>
            </w:r>
            <w:r>
              <w:rPr>
                <w:noProof/>
                <w:webHidden/>
              </w:rPr>
              <w:fldChar w:fldCharType="begin"/>
            </w:r>
            <w:r>
              <w:rPr>
                <w:noProof/>
                <w:webHidden/>
              </w:rPr>
              <w:instrText xml:space="preserve"> PAGEREF _Toc191284570 \h </w:instrText>
            </w:r>
            <w:r>
              <w:rPr>
                <w:noProof/>
                <w:webHidden/>
              </w:rPr>
            </w:r>
            <w:r>
              <w:rPr>
                <w:noProof/>
                <w:webHidden/>
              </w:rPr>
              <w:fldChar w:fldCharType="separate"/>
            </w:r>
            <w:r>
              <w:rPr>
                <w:noProof/>
                <w:webHidden/>
              </w:rPr>
              <w:t>493</w:t>
            </w:r>
            <w:r>
              <w:rPr>
                <w:noProof/>
                <w:webHidden/>
              </w:rPr>
              <w:fldChar w:fldCharType="end"/>
            </w:r>
          </w:hyperlink>
        </w:p>
        <w:p w14:paraId="39B02510" w14:textId="20D67CCB" w:rsidR="00ED147F" w:rsidRDefault="00ED147F">
          <w:pPr>
            <w:tabs>
              <w:tab w:val="right" w:leader="dot" w:pos="10055"/>
            </w:tabs>
            <w:rPr>
              <w:rFonts w:asciiTheme="minorHAnsi" w:eastAsiaTheme="minorEastAsia" w:hAnsiTheme="minorHAnsi" w:cstheme="minorBidi"/>
              <w:b/>
              <w:bCs/>
              <w:caps/>
              <w:noProof/>
              <w:kern w:val="2"/>
              <w14:ligatures w14:val="standardContextual"/>
            </w:rPr>
          </w:pPr>
          <w:hyperlink w:anchor="_Toc191284571" w:history="1">
            <w:r w:rsidRPr="00517C62">
              <w:rPr>
                <w:rFonts w:ascii="Tahoma" w:hAnsi="Tahoma" w:cs="Tahoma"/>
                <w:noProof/>
              </w:rPr>
              <w:t>см. тарифы на сайте Банка</w:t>
            </w:r>
            <w:r>
              <w:rPr>
                <w:noProof/>
                <w:webHidden/>
              </w:rPr>
              <w:tab/>
            </w:r>
            <w:r>
              <w:rPr>
                <w:noProof/>
                <w:webHidden/>
              </w:rPr>
              <w:fldChar w:fldCharType="begin"/>
            </w:r>
            <w:r>
              <w:rPr>
                <w:noProof/>
                <w:webHidden/>
              </w:rPr>
              <w:instrText xml:space="preserve"> PAGEREF _Toc191284571 \h </w:instrText>
            </w:r>
            <w:r>
              <w:rPr>
                <w:noProof/>
                <w:webHidden/>
              </w:rPr>
            </w:r>
            <w:r>
              <w:rPr>
                <w:noProof/>
                <w:webHidden/>
              </w:rPr>
              <w:fldChar w:fldCharType="separate"/>
            </w:r>
            <w:r>
              <w:rPr>
                <w:noProof/>
                <w:webHidden/>
              </w:rPr>
              <w:t>493</w:t>
            </w:r>
            <w:r>
              <w:rPr>
                <w:noProof/>
                <w:webHidden/>
              </w:rPr>
              <w:fldChar w:fldCharType="end"/>
            </w:r>
          </w:hyperlink>
        </w:p>
        <w:p w14:paraId="025D4857" w14:textId="3F636FE0" w:rsidR="00ED147F" w:rsidRDefault="00ED147F">
          <w:r>
            <w:rPr>
              <w:b/>
              <w:bCs/>
            </w:rPr>
            <w:fldChar w:fldCharType="end"/>
          </w:r>
        </w:p>
      </w:sdtContent>
    </w:sdt>
    <w:p w14:paraId="11FE5732" w14:textId="61F346B7" w:rsidR="00470B5F" w:rsidRPr="00ED3AA8" w:rsidRDefault="00470B5F" w:rsidP="00470B5F">
      <w:pPr>
        <w:outlineLvl w:val="0"/>
        <w:rPr>
          <w:rFonts w:ascii="Tahoma" w:hAnsi="Tahoma" w:cs="Tahoma"/>
          <w:sz w:val="22"/>
          <w:szCs w:val="22"/>
        </w:rPr>
      </w:pPr>
    </w:p>
    <w:p w14:paraId="6563D195" w14:textId="77777777" w:rsidR="00470B5F" w:rsidRDefault="00470B5F" w:rsidP="00470B5F">
      <w:pPr>
        <w:pStyle w:val="a7"/>
        <w:tabs>
          <w:tab w:val="left" w:pos="3240"/>
        </w:tabs>
        <w:spacing w:line="240" w:lineRule="auto"/>
        <w:ind w:left="-567" w:firstLine="0"/>
        <w:jc w:val="left"/>
        <w:rPr>
          <w:rFonts w:ascii="Tahoma" w:hAnsi="Tahoma" w:cs="Tahoma"/>
          <w:b/>
          <w:sz w:val="22"/>
          <w:szCs w:val="22"/>
          <w:lang w:val="ru-RU"/>
        </w:rPr>
      </w:pPr>
      <w:r w:rsidRPr="00CE5927">
        <w:rPr>
          <w:rFonts w:ascii="Tahoma" w:hAnsi="Tahoma" w:cs="Tahoma"/>
          <w:b/>
          <w:noProof/>
          <w:sz w:val="22"/>
          <w:szCs w:val="22"/>
          <w:lang w:val="ru-RU" w:eastAsia="ru-RU"/>
        </w:rPr>
        <w:lastRenderedPageBreak/>
        <w:drawing>
          <wp:inline distT="0" distB="0" distL="0" distR="0" wp14:anchorId="5A79D4C7" wp14:editId="0EE4C15E">
            <wp:extent cx="6973570" cy="779145"/>
            <wp:effectExtent l="0" t="0" r="0" b="0"/>
            <wp:docPr id="9" name="Рисунок 1" descr="Описание: вверх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вверх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73570" cy="779145"/>
                    </a:xfrm>
                    <a:prstGeom prst="rect">
                      <a:avLst/>
                    </a:prstGeom>
                    <a:noFill/>
                    <a:ln>
                      <a:noFill/>
                    </a:ln>
                  </pic:spPr>
                </pic:pic>
              </a:graphicData>
            </a:graphic>
          </wp:inline>
        </w:drawing>
      </w:r>
    </w:p>
    <w:p w14:paraId="60B20F67" w14:textId="6A1F0B90" w:rsidR="003C489F" w:rsidRPr="00FF1532" w:rsidRDefault="003C489F" w:rsidP="00FF1532">
      <w:pPr>
        <w:pStyle w:val="a5"/>
      </w:pPr>
      <w:r w:rsidRPr="00FF1532">
        <w:t>1.  Расчетно-кассовое обслуживание физических лиц</w:t>
      </w:r>
    </w:p>
    <w:p w14:paraId="416C38B7" w14:textId="77777777" w:rsidR="00470B5F" w:rsidRPr="000B3718" w:rsidRDefault="00470B5F" w:rsidP="00470B5F">
      <w:pPr>
        <w:pStyle w:val="a7"/>
        <w:tabs>
          <w:tab w:val="left" w:pos="3240"/>
        </w:tabs>
        <w:spacing w:line="240" w:lineRule="auto"/>
        <w:ind w:left="-567" w:firstLine="0"/>
        <w:jc w:val="left"/>
        <w:rPr>
          <w:rFonts w:ascii="Tahoma" w:hAnsi="Tahoma" w:cs="Tahoma"/>
          <w:b/>
          <w:sz w:val="22"/>
          <w:szCs w:val="22"/>
          <w:lang w:val="ru-RU"/>
        </w:rPr>
      </w:pPr>
    </w:p>
    <w:p w14:paraId="3F731916" w14:textId="77777777" w:rsidR="00DF74D7" w:rsidRPr="002D4ACF" w:rsidRDefault="00DF74D7" w:rsidP="000B3718">
      <w:pPr>
        <w:pStyle w:val="a5"/>
      </w:pPr>
      <w:r w:rsidRPr="002D4ACF">
        <w:t>1.1. Тарифы по расчетно-кассовому обслуживанию клиентов-физических лиц в рублях и иностранной валюте</w:t>
      </w:r>
    </w:p>
    <w:tbl>
      <w:tblPr>
        <w:tblStyle w:val="111142"/>
        <w:tblW w:w="11198" w:type="dxa"/>
        <w:tblInd w:w="-459" w:type="dxa"/>
        <w:tblLayout w:type="fixed"/>
        <w:tblLook w:val="04A0" w:firstRow="1" w:lastRow="0" w:firstColumn="1" w:lastColumn="0" w:noHBand="0" w:noVBand="1"/>
      </w:tblPr>
      <w:tblGrid>
        <w:gridCol w:w="1064"/>
        <w:gridCol w:w="1063"/>
        <w:gridCol w:w="15"/>
        <w:gridCol w:w="12"/>
        <w:gridCol w:w="5217"/>
        <w:gridCol w:w="1277"/>
        <w:gridCol w:w="28"/>
        <w:gridCol w:w="254"/>
        <w:gridCol w:w="880"/>
        <w:gridCol w:w="254"/>
        <w:gridCol w:w="1134"/>
      </w:tblGrid>
      <w:tr w:rsidR="00DF74D7" w:rsidRPr="002D4ACF" w14:paraId="0314A05B" w14:textId="77777777" w:rsidTr="00DD2371">
        <w:trPr>
          <w:cnfStyle w:val="100000000000" w:firstRow="1" w:lastRow="0" w:firstColumn="0" w:lastColumn="0" w:oddVBand="0" w:evenVBand="0" w:oddHBand="0" w:evenHBand="0" w:firstRowFirstColumn="0" w:firstRowLastColumn="0" w:lastRowFirstColumn="0" w:lastRowLastColumn="0"/>
          <w:trHeight w:val="122"/>
        </w:trPr>
        <w:tc>
          <w:tcPr>
            <w:tcW w:w="2127" w:type="dxa"/>
            <w:gridSpan w:val="2"/>
            <w:noWrap/>
          </w:tcPr>
          <w:p w14:paraId="3D9625A1" w14:textId="77777777" w:rsidR="00DF74D7" w:rsidRPr="002D4ACF" w:rsidRDefault="00DF74D7" w:rsidP="00DD2371">
            <w:pPr>
              <w:jc w:val="center"/>
              <w:rPr>
                <w:rFonts w:ascii="Tahoma" w:hAnsi="Tahoma" w:cs="Tahoma"/>
                <w:b/>
                <w:bCs/>
                <w:iCs/>
                <w:sz w:val="16"/>
                <w:szCs w:val="18"/>
              </w:rPr>
            </w:pPr>
          </w:p>
          <w:p w14:paraId="442E53A6" w14:textId="77777777" w:rsidR="00DF74D7" w:rsidRPr="002D4ACF" w:rsidRDefault="00DF74D7" w:rsidP="00DD2371">
            <w:pPr>
              <w:jc w:val="center"/>
              <w:rPr>
                <w:rFonts w:ascii="Tahoma" w:hAnsi="Tahoma" w:cs="Tahoma"/>
                <w:b/>
                <w:bCs/>
                <w:iCs/>
                <w:sz w:val="16"/>
                <w:szCs w:val="18"/>
              </w:rPr>
            </w:pPr>
            <w:r w:rsidRPr="002D4ACF">
              <w:rPr>
                <w:rFonts w:ascii="Tahoma" w:hAnsi="Tahoma" w:cs="Tahoma"/>
                <w:b/>
                <w:bCs/>
                <w:iCs/>
                <w:sz w:val="16"/>
                <w:szCs w:val="18"/>
              </w:rPr>
              <w:t>№№</w:t>
            </w:r>
          </w:p>
        </w:tc>
        <w:tc>
          <w:tcPr>
            <w:tcW w:w="5244" w:type="dxa"/>
            <w:gridSpan w:val="3"/>
          </w:tcPr>
          <w:p w14:paraId="404BF00E" w14:textId="77777777" w:rsidR="00DF74D7" w:rsidRPr="002D4ACF" w:rsidRDefault="00DF74D7" w:rsidP="00DD2371">
            <w:pPr>
              <w:jc w:val="center"/>
              <w:rPr>
                <w:rFonts w:ascii="Tahoma" w:hAnsi="Tahoma" w:cs="Tahoma"/>
                <w:b/>
                <w:bCs/>
                <w:iCs/>
                <w:sz w:val="16"/>
                <w:szCs w:val="18"/>
              </w:rPr>
            </w:pPr>
          </w:p>
          <w:p w14:paraId="3C452061" w14:textId="77777777" w:rsidR="00DF74D7" w:rsidRPr="002D4ACF" w:rsidRDefault="00DF74D7" w:rsidP="00DD2371">
            <w:pPr>
              <w:jc w:val="center"/>
              <w:rPr>
                <w:rFonts w:ascii="Tahoma" w:hAnsi="Tahoma" w:cs="Tahoma"/>
                <w:b/>
                <w:bCs/>
                <w:iCs/>
                <w:sz w:val="16"/>
                <w:szCs w:val="18"/>
              </w:rPr>
            </w:pPr>
            <w:r w:rsidRPr="002D4ACF">
              <w:rPr>
                <w:rFonts w:ascii="Tahoma" w:hAnsi="Tahoma" w:cs="Tahoma"/>
                <w:b/>
                <w:bCs/>
                <w:iCs/>
                <w:sz w:val="16"/>
                <w:szCs w:val="18"/>
              </w:rPr>
              <w:t>Наименование услуги</w:t>
            </w:r>
          </w:p>
        </w:tc>
        <w:tc>
          <w:tcPr>
            <w:tcW w:w="1559" w:type="dxa"/>
            <w:gridSpan w:val="3"/>
            <w:noWrap/>
          </w:tcPr>
          <w:p w14:paraId="42F7F42B" w14:textId="77777777" w:rsidR="00DF74D7" w:rsidRPr="002D4ACF" w:rsidRDefault="00DF74D7" w:rsidP="00DD2371">
            <w:pPr>
              <w:jc w:val="center"/>
              <w:rPr>
                <w:rFonts w:ascii="Tahoma" w:hAnsi="Tahoma" w:cs="Tahoma"/>
                <w:b/>
                <w:bCs/>
                <w:iCs/>
                <w:sz w:val="16"/>
                <w:szCs w:val="18"/>
              </w:rPr>
            </w:pPr>
          </w:p>
          <w:p w14:paraId="3D5EE1AC" w14:textId="77777777" w:rsidR="00DF74D7" w:rsidRPr="002D4ACF" w:rsidRDefault="00DF74D7" w:rsidP="00DD2371">
            <w:pPr>
              <w:jc w:val="center"/>
              <w:rPr>
                <w:rFonts w:ascii="Tahoma" w:hAnsi="Tahoma" w:cs="Tahoma"/>
                <w:b/>
                <w:bCs/>
                <w:iCs/>
                <w:sz w:val="16"/>
                <w:szCs w:val="18"/>
              </w:rPr>
            </w:pPr>
            <w:r w:rsidRPr="002D4ACF">
              <w:rPr>
                <w:rFonts w:ascii="Tahoma" w:hAnsi="Tahoma" w:cs="Tahoma"/>
                <w:b/>
                <w:bCs/>
                <w:iCs/>
                <w:sz w:val="16"/>
                <w:szCs w:val="18"/>
              </w:rPr>
              <w:t>Тариф</w:t>
            </w:r>
          </w:p>
        </w:tc>
        <w:tc>
          <w:tcPr>
            <w:tcW w:w="1134" w:type="dxa"/>
            <w:gridSpan w:val="2"/>
            <w:noWrap/>
          </w:tcPr>
          <w:p w14:paraId="7C046B55" w14:textId="77777777" w:rsidR="00DF74D7" w:rsidRPr="002D4ACF" w:rsidRDefault="00DF74D7" w:rsidP="00DD2371">
            <w:pPr>
              <w:jc w:val="center"/>
              <w:rPr>
                <w:rFonts w:ascii="Tahoma" w:hAnsi="Tahoma" w:cs="Tahoma"/>
                <w:b/>
                <w:bCs/>
                <w:iCs/>
                <w:sz w:val="16"/>
                <w:szCs w:val="18"/>
              </w:rPr>
            </w:pPr>
          </w:p>
          <w:p w14:paraId="509692A4" w14:textId="77777777" w:rsidR="00DF74D7" w:rsidRPr="002D4ACF" w:rsidRDefault="00DF74D7" w:rsidP="00DD2371">
            <w:pPr>
              <w:jc w:val="center"/>
              <w:rPr>
                <w:rFonts w:ascii="Tahoma" w:hAnsi="Tahoma" w:cs="Tahoma"/>
                <w:b/>
                <w:bCs/>
                <w:iCs/>
                <w:sz w:val="16"/>
                <w:szCs w:val="18"/>
              </w:rPr>
            </w:pPr>
            <w:r w:rsidRPr="002D4ACF">
              <w:rPr>
                <w:rFonts w:ascii="Tahoma" w:hAnsi="Tahoma" w:cs="Tahoma"/>
                <w:b/>
                <w:bCs/>
                <w:iCs/>
                <w:sz w:val="16"/>
                <w:szCs w:val="18"/>
              </w:rPr>
              <w:t>Минимум</w:t>
            </w:r>
          </w:p>
        </w:tc>
        <w:tc>
          <w:tcPr>
            <w:tcW w:w="1134" w:type="dxa"/>
            <w:noWrap/>
          </w:tcPr>
          <w:p w14:paraId="3B8473AC" w14:textId="77777777" w:rsidR="00DF74D7" w:rsidRPr="002D4ACF" w:rsidRDefault="00DF74D7" w:rsidP="00DD2371">
            <w:pPr>
              <w:jc w:val="center"/>
              <w:rPr>
                <w:rFonts w:ascii="Tahoma" w:hAnsi="Tahoma" w:cs="Tahoma"/>
                <w:b/>
                <w:bCs/>
                <w:iCs/>
                <w:sz w:val="16"/>
                <w:szCs w:val="18"/>
              </w:rPr>
            </w:pPr>
          </w:p>
          <w:p w14:paraId="63565C02" w14:textId="77777777" w:rsidR="00DF74D7" w:rsidRPr="002D4ACF" w:rsidRDefault="00DF74D7" w:rsidP="00DD2371">
            <w:pPr>
              <w:ind w:left="-93"/>
              <w:jc w:val="center"/>
              <w:rPr>
                <w:rFonts w:ascii="Tahoma" w:hAnsi="Tahoma" w:cs="Tahoma"/>
                <w:b/>
                <w:bCs/>
                <w:iCs/>
                <w:sz w:val="16"/>
                <w:szCs w:val="18"/>
              </w:rPr>
            </w:pPr>
            <w:r w:rsidRPr="002D4ACF">
              <w:rPr>
                <w:rFonts w:ascii="Tahoma" w:hAnsi="Tahoma" w:cs="Tahoma"/>
                <w:b/>
                <w:bCs/>
                <w:iCs/>
                <w:sz w:val="16"/>
                <w:szCs w:val="18"/>
              </w:rPr>
              <w:t>Максимум</w:t>
            </w:r>
          </w:p>
        </w:tc>
      </w:tr>
      <w:tr w:rsidR="00DF74D7" w:rsidRPr="002D4ACF" w14:paraId="70721CBE" w14:textId="77777777" w:rsidTr="00DD2371">
        <w:trPr>
          <w:trHeight w:val="65"/>
        </w:trPr>
        <w:tc>
          <w:tcPr>
            <w:tcW w:w="11198" w:type="dxa"/>
            <w:gridSpan w:val="11"/>
          </w:tcPr>
          <w:p w14:paraId="49587E8D" w14:textId="77777777" w:rsidR="00DF74D7" w:rsidRPr="002D4ACF" w:rsidRDefault="00DF74D7" w:rsidP="00DD2371">
            <w:pPr>
              <w:rPr>
                <w:rFonts w:ascii="Tahoma" w:hAnsi="Tahoma" w:cs="Tahoma"/>
                <w:b/>
                <w:bCs/>
                <w:iCs/>
                <w:sz w:val="18"/>
                <w:szCs w:val="18"/>
              </w:rPr>
            </w:pPr>
          </w:p>
          <w:p w14:paraId="62FBC99B"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 xml:space="preserve">Открытие и обслуживание счета </w:t>
            </w:r>
          </w:p>
        </w:tc>
      </w:tr>
      <w:tr w:rsidR="00DF74D7" w:rsidRPr="002D4ACF" w14:paraId="15CBE9A6" w14:textId="77777777" w:rsidTr="00DD2371">
        <w:trPr>
          <w:trHeight w:val="390"/>
        </w:trPr>
        <w:tc>
          <w:tcPr>
            <w:tcW w:w="1064" w:type="dxa"/>
            <w:noWrap/>
            <w:hideMark/>
          </w:tcPr>
          <w:p w14:paraId="64C59244"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1.1.1.</w:t>
            </w:r>
          </w:p>
        </w:tc>
        <w:tc>
          <w:tcPr>
            <w:tcW w:w="1063" w:type="dxa"/>
            <w:noWrap/>
            <w:hideMark/>
          </w:tcPr>
          <w:p w14:paraId="0A89349D"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 </w:t>
            </w:r>
          </w:p>
        </w:tc>
        <w:tc>
          <w:tcPr>
            <w:tcW w:w="5244" w:type="dxa"/>
            <w:gridSpan w:val="3"/>
            <w:hideMark/>
          </w:tcPr>
          <w:p w14:paraId="4CB432D1" w14:textId="77777777" w:rsidR="00DF74D7" w:rsidRPr="002D4ACF" w:rsidRDefault="00DF74D7" w:rsidP="00DD2371">
            <w:pPr>
              <w:ind w:left="32" w:right="34"/>
              <w:rPr>
                <w:rFonts w:ascii="Tahoma" w:hAnsi="Tahoma" w:cs="Tahoma"/>
                <w:b/>
                <w:bCs/>
                <w:iCs/>
                <w:sz w:val="18"/>
                <w:szCs w:val="18"/>
              </w:rPr>
            </w:pPr>
            <w:r w:rsidRPr="002D4ACF">
              <w:rPr>
                <w:rFonts w:ascii="Tahoma" w:hAnsi="Tahoma" w:cs="Tahoma"/>
                <w:b/>
                <w:bCs/>
                <w:iCs/>
                <w:sz w:val="18"/>
                <w:szCs w:val="18"/>
              </w:rPr>
              <w:t>Открытие счета резидента и нерезидента в рублях и иностранной валюте*:</w:t>
            </w:r>
          </w:p>
        </w:tc>
        <w:tc>
          <w:tcPr>
            <w:tcW w:w="1559" w:type="dxa"/>
            <w:gridSpan w:val="3"/>
            <w:noWrap/>
            <w:hideMark/>
          </w:tcPr>
          <w:p w14:paraId="380E5637" w14:textId="77777777" w:rsidR="00DF74D7" w:rsidRPr="002D4ACF" w:rsidRDefault="00DF74D7" w:rsidP="00DD2371">
            <w:pPr>
              <w:ind w:right="34"/>
              <w:rPr>
                <w:rFonts w:ascii="Tahoma" w:hAnsi="Tahoma" w:cs="Tahoma"/>
                <w:iCs/>
                <w:sz w:val="18"/>
                <w:szCs w:val="18"/>
              </w:rPr>
            </w:pPr>
            <w:r w:rsidRPr="002D4ACF">
              <w:rPr>
                <w:rFonts w:ascii="Tahoma" w:hAnsi="Tahoma" w:cs="Tahoma"/>
                <w:iCs/>
                <w:sz w:val="18"/>
                <w:szCs w:val="18"/>
              </w:rPr>
              <w:t> </w:t>
            </w:r>
          </w:p>
        </w:tc>
        <w:tc>
          <w:tcPr>
            <w:tcW w:w="1134" w:type="dxa"/>
            <w:gridSpan w:val="2"/>
            <w:noWrap/>
            <w:hideMark/>
          </w:tcPr>
          <w:p w14:paraId="190E511A"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 </w:t>
            </w:r>
          </w:p>
        </w:tc>
        <w:tc>
          <w:tcPr>
            <w:tcW w:w="1134" w:type="dxa"/>
            <w:noWrap/>
            <w:hideMark/>
          </w:tcPr>
          <w:p w14:paraId="554A131C"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 </w:t>
            </w:r>
          </w:p>
        </w:tc>
      </w:tr>
      <w:tr w:rsidR="00DF74D7" w:rsidRPr="002D4ACF" w14:paraId="460E6E0C" w14:textId="77777777" w:rsidTr="00DD2371">
        <w:trPr>
          <w:trHeight w:val="330"/>
        </w:trPr>
        <w:tc>
          <w:tcPr>
            <w:tcW w:w="1064" w:type="dxa"/>
            <w:noWrap/>
            <w:hideMark/>
          </w:tcPr>
          <w:p w14:paraId="4ACF3BED"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 </w:t>
            </w:r>
          </w:p>
        </w:tc>
        <w:tc>
          <w:tcPr>
            <w:tcW w:w="1063" w:type="dxa"/>
            <w:noWrap/>
            <w:hideMark/>
          </w:tcPr>
          <w:p w14:paraId="0B3ADCE6"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1.1.1.1.</w:t>
            </w:r>
          </w:p>
        </w:tc>
        <w:tc>
          <w:tcPr>
            <w:tcW w:w="5244" w:type="dxa"/>
            <w:gridSpan w:val="3"/>
            <w:noWrap/>
            <w:hideMark/>
          </w:tcPr>
          <w:p w14:paraId="6C392950" w14:textId="77777777" w:rsidR="00DF74D7" w:rsidRPr="002D4ACF" w:rsidRDefault="00DF74D7" w:rsidP="00DD2371">
            <w:pPr>
              <w:ind w:left="32" w:right="34"/>
              <w:jc w:val="both"/>
              <w:rPr>
                <w:rFonts w:ascii="Tahoma" w:hAnsi="Tahoma" w:cs="Tahoma"/>
                <w:iCs/>
                <w:sz w:val="18"/>
                <w:szCs w:val="18"/>
              </w:rPr>
            </w:pPr>
            <w:r w:rsidRPr="002D4ACF">
              <w:rPr>
                <w:rFonts w:ascii="Tahoma" w:hAnsi="Tahoma" w:cs="Tahoma"/>
                <w:iCs/>
                <w:sz w:val="18"/>
                <w:szCs w:val="18"/>
              </w:rPr>
              <w:t>Текущий банковский счет в рублях</w:t>
            </w:r>
            <w:r w:rsidRPr="002D4ACF">
              <w:rPr>
                <w:rFonts w:ascii="Tahoma" w:hAnsi="Tahoma" w:cs="Tahoma"/>
                <w:iCs/>
                <w:sz w:val="18"/>
                <w:szCs w:val="18"/>
                <w:vertAlign w:val="superscript"/>
              </w:rPr>
              <w:t>1</w:t>
            </w:r>
            <w:r w:rsidRPr="002D4ACF">
              <w:rPr>
                <w:rFonts w:ascii="Tahoma" w:hAnsi="Tahoma" w:cs="Tahoma"/>
                <w:iCs/>
                <w:sz w:val="18"/>
                <w:szCs w:val="18"/>
              </w:rPr>
              <w:t>, Номинальный счет в рублях, Срочный вклад, Вклад до востребования</w:t>
            </w:r>
            <w:r w:rsidRPr="002D4ACF">
              <w:rPr>
                <w:rFonts w:ascii="Tahoma" w:hAnsi="Tahoma" w:cs="Tahoma"/>
                <w:iCs/>
                <w:sz w:val="18"/>
                <w:szCs w:val="18"/>
                <w:vertAlign w:val="superscript"/>
              </w:rPr>
              <w:t xml:space="preserve">2 </w:t>
            </w:r>
            <w:r w:rsidRPr="002D4ACF">
              <w:rPr>
                <w:rFonts w:ascii="Tahoma" w:hAnsi="Tahoma" w:cs="Tahoma"/>
                <w:iCs/>
                <w:sz w:val="18"/>
                <w:szCs w:val="18"/>
              </w:rPr>
              <w:t>(в т.ч. Пенсионный</w:t>
            </w:r>
            <w:r w:rsidRPr="002D4ACF">
              <w:rPr>
                <w:rFonts w:ascii="Tahoma" w:hAnsi="Tahoma" w:cs="Tahoma"/>
                <w:iCs/>
                <w:sz w:val="18"/>
                <w:szCs w:val="18"/>
                <w:vertAlign w:val="superscript"/>
              </w:rPr>
              <w:t>3</w:t>
            </w:r>
            <w:r w:rsidRPr="002D4ACF">
              <w:rPr>
                <w:rFonts w:ascii="Tahoma" w:hAnsi="Tahoma" w:cs="Tahoma"/>
                <w:iCs/>
                <w:sz w:val="18"/>
                <w:szCs w:val="18"/>
              </w:rPr>
              <w:t>), Счет банковской карты в рублях и иностранной валюте счет эскроу, открытый для расчетов по договору участия в долевом строительстве в отношении многоквартирного дома и (или) иного объекта недвижимости</w:t>
            </w:r>
          </w:p>
        </w:tc>
        <w:tc>
          <w:tcPr>
            <w:tcW w:w="1559" w:type="dxa"/>
            <w:gridSpan w:val="3"/>
            <w:hideMark/>
          </w:tcPr>
          <w:p w14:paraId="67F2C005" w14:textId="77777777" w:rsidR="00DF74D7" w:rsidRPr="002D4ACF" w:rsidRDefault="00DF74D7" w:rsidP="00DD2371">
            <w:pPr>
              <w:ind w:right="34"/>
              <w:jc w:val="center"/>
              <w:rPr>
                <w:rFonts w:ascii="Tahoma" w:hAnsi="Tahoma" w:cs="Tahoma"/>
                <w:iCs/>
                <w:sz w:val="18"/>
                <w:szCs w:val="18"/>
              </w:rPr>
            </w:pPr>
            <w:r w:rsidRPr="002D4ACF">
              <w:rPr>
                <w:rFonts w:ascii="Tahoma" w:hAnsi="Tahoma" w:cs="Tahoma"/>
                <w:iCs/>
                <w:sz w:val="18"/>
                <w:szCs w:val="18"/>
              </w:rPr>
              <w:t>БЕСПЛАТНО</w:t>
            </w:r>
          </w:p>
        </w:tc>
        <w:tc>
          <w:tcPr>
            <w:tcW w:w="1134" w:type="dxa"/>
            <w:gridSpan w:val="2"/>
            <w:noWrap/>
            <w:hideMark/>
          </w:tcPr>
          <w:p w14:paraId="66BD77A0" w14:textId="77777777" w:rsidR="00DF74D7" w:rsidRPr="002D4ACF" w:rsidRDefault="00DF74D7" w:rsidP="00DD2371">
            <w:pPr>
              <w:rPr>
                <w:rFonts w:ascii="Tahoma" w:hAnsi="Tahoma" w:cs="Tahoma"/>
                <w:sz w:val="20"/>
                <w:szCs w:val="20"/>
                <w:lang w:eastAsia="zh-CN"/>
              </w:rPr>
            </w:pPr>
          </w:p>
        </w:tc>
        <w:tc>
          <w:tcPr>
            <w:tcW w:w="1134" w:type="dxa"/>
            <w:noWrap/>
            <w:hideMark/>
          </w:tcPr>
          <w:p w14:paraId="0DA31FFA" w14:textId="77777777" w:rsidR="00DF74D7" w:rsidRPr="002D4ACF" w:rsidRDefault="00DF74D7" w:rsidP="00DD2371">
            <w:pPr>
              <w:rPr>
                <w:rFonts w:ascii="Tahoma" w:hAnsi="Tahoma" w:cs="Tahoma"/>
                <w:sz w:val="20"/>
                <w:szCs w:val="20"/>
                <w:lang w:eastAsia="zh-CN"/>
              </w:rPr>
            </w:pPr>
          </w:p>
        </w:tc>
      </w:tr>
      <w:tr w:rsidR="00DF74D7" w:rsidRPr="002D4ACF" w14:paraId="4D7659DF" w14:textId="77777777" w:rsidTr="00DD2371">
        <w:trPr>
          <w:trHeight w:val="65"/>
        </w:trPr>
        <w:tc>
          <w:tcPr>
            <w:tcW w:w="1064" w:type="dxa"/>
            <w:noWrap/>
            <w:hideMark/>
          </w:tcPr>
          <w:p w14:paraId="32A08CFD" w14:textId="77777777" w:rsidR="00DF74D7" w:rsidRPr="002D4ACF" w:rsidRDefault="00DF74D7" w:rsidP="00DD2371">
            <w:pPr>
              <w:ind w:right="284"/>
              <w:rPr>
                <w:rFonts w:ascii="Tahoma" w:hAnsi="Tahoma" w:cs="Tahoma"/>
                <w:b/>
                <w:bCs/>
                <w:iCs/>
                <w:sz w:val="18"/>
                <w:szCs w:val="18"/>
              </w:rPr>
            </w:pPr>
            <w:r w:rsidRPr="002D4ACF">
              <w:rPr>
                <w:rFonts w:ascii="Tahoma" w:hAnsi="Tahoma" w:cs="Tahoma"/>
                <w:b/>
                <w:bCs/>
                <w:iCs/>
                <w:sz w:val="18"/>
                <w:szCs w:val="18"/>
              </w:rPr>
              <w:t> </w:t>
            </w:r>
          </w:p>
        </w:tc>
        <w:tc>
          <w:tcPr>
            <w:tcW w:w="1063" w:type="dxa"/>
            <w:noWrap/>
            <w:hideMark/>
          </w:tcPr>
          <w:p w14:paraId="544D9C74"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1.1.1.2.</w:t>
            </w:r>
          </w:p>
        </w:tc>
        <w:tc>
          <w:tcPr>
            <w:tcW w:w="5244" w:type="dxa"/>
            <w:gridSpan w:val="3"/>
            <w:hideMark/>
          </w:tcPr>
          <w:p w14:paraId="4077E01D" w14:textId="77777777" w:rsidR="00DF74D7" w:rsidRPr="002D4ACF" w:rsidRDefault="00DF74D7" w:rsidP="00DD2371">
            <w:pPr>
              <w:ind w:left="32" w:right="34"/>
              <w:jc w:val="both"/>
              <w:rPr>
                <w:rFonts w:ascii="Tahoma" w:hAnsi="Tahoma" w:cs="Tahoma"/>
                <w:iCs/>
                <w:sz w:val="18"/>
                <w:szCs w:val="18"/>
              </w:rPr>
            </w:pPr>
            <w:r w:rsidRPr="002D4ACF">
              <w:rPr>
                <w:rFonts w:ascii="Tahoma" w:hAnsi="Tahoma" w:cs="Tahoma"/>
                <w:iCs/>
                <w:sz w:val="18"/>
                <w:szCs w:val="18"/>
              </w:rPr>
              <w:t>Текущий банковский счет в иностранной валюте</w:t>
            </w:r>
            <w:r w:rsidRPr="002D4ACF">
              <w:rPr>
                <w:rFonts w:ascii="Tahoma" w:hAnsi="Tahoma" w:cs="Tahoma"/>
                <w:iCs/>
                <w:sz w:val="18"/>
                <w:szCs w:val="18"/>
                <w:vertAlign w:val="superscript"/>
              </w:rPr>
              <w:t>4</w:t>
            </w:r>
          </w:p>
        </w:tc>
        <w:tc>
          <w:tcPr>
            <w:tcW w:w="1559" w:type="dxa"/>
            <w:gridSpan w:val="3"/>
            <w:noWrap/>
            <w:hideMark/>
          </w:tcPr>
          <w:p w14:paraId="51DD876F" w14:textId="77777777" w:rsidR="00DF74D7" w:rsidRPr="002D4ACF" w:rsidRDefault="00DF74D7" w:rsidP="00DD2371">
            <w:pPr>
              <w:ind w:right="34"/>
              <w:jc w:val="center"/>
              <w:rPr>
                <w:rFonts w:ascii="Tahoma" w:hAnsi="Tahoma" w:cs="Tahoma"/>
                <w:iCs/>
                <w:sz w:val="18"/>
                <w:szCs w:val="18"/>
              </w:rPr>
            </w:pPr>
            <w:r w:rsidRPr="002D4ACF">
              <w:rPr>
                <w:rFonts w:ascii="Tahoma" w:hAnsi="Tahoma" w:cs="Tahoma"/>
                <w:iCs/>
                <w:sz w:val="18"/>
                <w:szCs w:val="18"/>
              </w:rPr>
              <w:t>50 руб.</w:t>
            </w:r>
          </w:p>
        </w:tc>
        <w:tc>
          <w:tcPr>
            <w:tcW w:w="1134" w:type="dxa"/>
            <w:gridSpan w:val="2"/>
            <w:noWrap/>
            <w:hideMark/>
          </w:tcPr>
          <w:p w14:paraId="3AA1916E" w14:textId="77777777" w:rsidR="00DF74D7" w:rsidRPr="002D4ACF" w:rsidRDefault="00DF74D7" w:rsidP="00DD2371">
            <w:pPr>
              <w:rPr>
                <w:rFonts w:ascii="Tahoma" w:hAnsi="Tahoma" w:cs="Tahoma"/>
                <w:sz w:val="20"/>
                <w:szCs w:val="20"/>
                <w:lang w:eastAsia="zh-CN"/>
              </w:rPr>
            </w:pPr>
          </w:p>
        </w:tc>
        <w:tc>
          <w:tcPr>
            <w:tcW w:w="1134" w:type="dxa"/>
            <w:noWrap/>
            <w:hideMark/>
          </w:tcPr>
          <w:p w14:paraId="6354F636" w14:textId="77777777" w:rsidR="00DF74D7" w:rsidRPr="002D4ACF" w:rsidRDefault="00DF74D7" w:rsidP="00DD2371">
            <w:pPr>
              <w:rPr>
                <w:rFonts w:ascii="Tahoma" w:hAnsi="Tahoma" w:cs="Tahoma"/>
                <w:sz w:val="20"/>
                <w:szCs w:val="20"/>
                <w:lang w:eastAsia="zh-CN"/>
              </w:rPr>
            </w:pPr>
          </w:p>
        </w:tc>
      </w:tr>
      <w:tr w:rsidR="00DF74D7" w:rsidRPr="002D4ACF" w14:paraId="71E8CF89" w14:textId="77777777" w:rsidTr="00DD2371">
        <w:trPr>
          <w:trHeight w:val="65"/>
        </w:trPr>
        <w:tc>
          <w:tcPr>
            <w:tcW w:w="11198" w:type="dxa"/>
            <w:gridSpan w:val="11"/>
            <w:noWrap/>
          </w:tcPr>
          <w:p w14:paraId="50629B33" w14:textId="77777777" w:rsidR="00DF74D7" w:rsidRPr="002D4ACF" w:rsidRDefault="00DF74D7" w:rsidP="00DD2371">
            <w:pPr>
              <w:rPr>
                <w:rFonts w:ascii="Tahoma" w:hAnsi="Tahoma" w:cs="Tahoma"/>
                <w:sz w:val="20"/>
                <w:szCs w:val="20"/>
                <w:lang w:eastAsia="zh-CN"/>
              </w:rPr>
            </w:pPr>
            <w:r w:rsidRPr="002D4ACF">
              <w:rPr>
                <w:rFonts w:ascii="Tahoma" w:hAnsi="Tahoma" w:cs="Tahoma"/>
                <w:iCs/>
                <w:sz w:val="14"/>
                <w:szCs w:val="16"/>
              </w:rPr>
              <w:t xml:space="preserve">*Перечень иностранных валют, доступных  для открытия текущих банковских счетов, размещается на официальном сайте Банка в разделе «Платежи и переводы» по адресу </w:t>
            </w:r>
            <w:hyperlink r:id="rId15" w:history="1">
              <w:r w:rsidRPr="002D4ACF">
                <w:rPr>
                  <w:rFonts w:ascii="Tahoma" w:hAnsi="Tahoma" w:cs="Tahoma"/>
                  <w:iCs/>
                  <w:sz w:val="14"/>
                  <w:szCs w:val="16"/>
                </w:rPr>
                <w:t>https://www.atb.su/services/transfer/transfer-bank/</w:t>
              </w:r>
            </w:hyperlink>
            <w:r w:rsidRPr="002D4ACF">
              <w:rPr>
                <w:rFonts w:ascii="Tahoma" w:hAnsi="Tahoma" w:cs="Tahoma"/>
                <w:iCs/>
                <w:sz w:val="14"/>
                <w:szCs w:val="16"/>
              </w:rPr>
              <w:t>. Текущие банковские счета в Долларах США открываются только для осуществления операций по переводу денежных средств в пользу физических и юридических лиц за пределы РФ в другие банки/иные организации, имеющие право на осуществление переводов денежных средств (далее по тексту Раздела 1 банки/иные организации, имеющие право на осуществление переводов денежных средств указаны как «другие банки»).</w:t>
            </w:r>
          </w:p>
        </w:tc>
      </w:tr>
      <w:tr w:rsidR="00DF74D7" w:rsidRPr="002D4ACF" w14:paraId="7DDC4BAE" w14:textId="77777777" w:rsidTr="00DD2371">
        <w:trPr>
          <w:trHeight w:val="65"/>
        </w:trPr>
        <w:tc>
          <w:tcPr>
            <w:tcW w:w="1064" w:type="dxa"/>
            <w:noWrap/>
            <w:hideMark/>
          </w:tcPr>
          <w:p w14:paraId="0B6EBD13"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1.1.2.</w:t>
            </w:r>
          </w:p>
        </w:tc>
        <w:tc>
          <w:tcPr>
            <w:tcW w:w="1063" w:type="dxa"/>
            <w:noWrap/>
            <w:hideMark/>
          </w:tcPr>
          <w:p w14:paraId="32583095"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 </w:t>
            </w:r>
          </w:p>
        </w:tc>
        <w:tc>
          <w:tcPr>
            <w:tcW w:w="5244" w:type="dxa"/>
            <w:gridSpan w:val="3"/>
            <w:hideMark/>
          </w:tcPr>
          <w:p w14:paraId="7C4CA42F" w14:textId="77777777" w:rsidR="00DF74D7" w:rsidRPr="002D4ACF" w:rsidRDefault="00DF74D7" w:rsidP="00DD2371">
            <w:pPr>
              <w:ind w:left="32" w:right="34"/>
              <w:jc w:val="both"/>
              <w:rPr>
                <w:rFonts w:ascii="Tahoma" w:hAnsi="Tahoma" w:cs="Tahoma"/>
                <w:iCs/>
                <w:sz w:val="18"/>
                <w:szCs w:val="18"/>
              </w:rPr>
            </w:pPr>
            <w:r w:rsidRPr="002D4ACF">
              <w:rPr>
                <w:rFonts w:ascii="Tahoma" w:hAnsi="Tahoma" w:cs="Tahoma"/>
                <w:iCs/>
                <w:sz w:val="18"/>
                <w:szCs w:val="18"/>
              </w:rPr>
              <w:t>Обслуживание счета*:</w:t>
            </w:r>
          </w:p>
        </w:tc>
        <w:tc>
          <w:tcPr>
            <w:tcW w:w="1559" w:type="dxa"/>
            <w:gridSpan w:val="3"/>
          </w:tcPr>
          <w:p w14:paraId="23439A09" w14:textId="77777777" w:rsidR="00DF74D7" w:rsidRPr="002D4ACF" w:rsidRDefault="00DF74D7" w:rsidP="00DD2371">
            <w:pPr>
              <w:ind w:right="34"/>
              <w:jc w:val="center"/>
              <w:rPr>
                <w:rFonts w:ascii="Tahoma" w:hAnsi="Tahoma" w:cs="Tahoma"/>
                <w:iCs/>
                <w:sz w:val="18"/>
                <w:szCs w:val="18"/>
              </w:rPr>
            </w:pPr>
          </w:p>
        </w:tc>
        <w:tc>
          <w:tcPr>
            <w:tcW w:w="1134" w:type="dxa"/>
            <w:gridSpan w:val="2"/>
            <w:noWrap/>
            <w:hideMark/>
          </w:tcPr>
          <w:p w14:paraId="73790197" w14:textId="77777777" w:rsidR="00DF74D7" w:rsidRPr="002D4ACF" w:rsidRDefault="00DF74D7" w:rsidP="00DD2371">
            <w:pPr>
              <w:rPr>
                <w:rFonts w:ascii="Tahoma" w:hAnsi="Tahoma" w:cs="Tahoma"/>
                <w:sz w:val="20"/>
                <w:szCs w:val="20"/>
                <w:lang w:eastAsia="zh-CN"/>
              </w:rPr>
            </w:pPr>
          </w:p>
        </w:tc>
        <w:tc>
          <w:tcPr>
            <w:tcW w:w="1134" w:type="dxa"/>
            <w:noWrap/>
            <w:hideMark/>
          </w:tcPr>
          <w:p w14:paraId="043EF226" w14:textId="77777777" w:rsidR="00DF74D7" w:rsidRPr="002D4ACF" w:rsidRDefault="00DF74D7" w:rsidP="00DD2371">
            <w:pPr>
              <w:rPr>
                <w:rFonts w:ascii="Tahoma" w:hAnsi="Tahoma" w:cs="Tahoma"/>
                <w:sz w:val="20"/>
                <w:szCs w:val="20"/>
                <w:lang w:eastAsia="zh-CN"/>
              </w:rPr>
            </w:pPr>
          </w:p>
        </w:tc>
      </w:tr>
      <w:tr w:rsidR="00DF74D7" w:rsidRPr="002D4ACF" w14:paraId="5355FFD1" w14:textId="77777777" w:rsidTr="00DD2371">
        <w:trPr>
          <w:trHeight w:val="65"/>
        </w:trPr>
        <w:tc>
          <w:tcPr>
            <w:tcW w:w="1064" w:type="dxa"/>
            <w:noWrap/>
          </w:tcPr>
          <w:p w14:paraId="0750550A" w14:textId="77777777" w:rsidR="00DF74D7" w:rsidRPr="002D4ACF" w:rsidRDefault="00DF74D7" w:rsidP="00DD2371">
            <w:pPr>
              <w:rPr>
                <w:rFonts w:ascii="Tahoma" w:hAnsi="Tahoma" w:cs="Tahoma"/>
                <w:b/>
                <w:bCs/>
                <w:iCs/>
                <w:sz w:val="18"/>
                <w:szCs w:val="18"/>
              </w:rPr>
            </w:pPr>
          </w:p>
        </w:tc>
        <w:tc>
          <w:tcPr>
            <w:tcW w:w="1063" w:type="dxa"/>
            <w:noWrap/>
          </w:tcPr>
          <w:p w14:paraId="2FDB19CE" w14:textId="77777777" w:rsidR="00DF74D7" w:rsidRPr="002D4ACF" w:rsidRDefault="00DF74D7" w:rsidP="00DD2371">
            <w:pPr>
              <w:rPr>
                <w:rFonts w:ascii="Tahoma" w:hAnsi="Tahoma" w:cs="Tahoma"/>
                <w:iCs/>
                <w:sz w:val="18"/>
                <w:szCs w:val="18"/>
              </w:rPr>
            </w:pPr>
            <w:r w:rsidRPr="002D4ACF">
              <w:rPr>
                <w:rFonts w:ascii="Tahoma" w:hAnsi="Tahoma" w:cs="Tahoma"/>
                <w:sz w:val="18"/>
                <w:szCs w:val="18"/>
              </w:rPr>
              <w:t>1.1.2.1</w:t>
            </w:r>
          </w:p>
        </w:tc>
        <w:tc>
          <w:tcPr>
            <w:tcW w:w="5244" w:type="dxa"/>
            <w:gridSpan w:val="3"/>
          </w:tcPr>
          <w:p w14:paraId="0379BE05" w14:textId="77777777" w:rsidR="00DF74D7" w:rsidRPr="002D4ACF" w:rsidRDefault="00DF74D7" w:rsidP="00DD2371">
            <w:pPr>
              <w:ind w:left="32" w:right="34"/>
              <w:jc w:val="both"/>
              <w:rPr>
                <w:rFonts w:ascii="Tahoma" w:hAnsi="Tahoma" w:cs="Tahoma"/>
                <w:iCs/>
                <w:sz w:val="18"/>
                <w:szCs w:val="18"/>
              </w:rPr>
            </w:pPr>
            <w:r w:rsidRPr="002D4ACF">
              <w:rPr>
                <w:rFonts w:ascii="Tahoma" w:hAnsi="Tahoma" w:cs="Tahoma"/>
                <w:iCs/>
                <w:sz w:val="18"/>
                <w:szCs w:val="18"/>
              </w:rPr>
              <w:t>в рублях и иностранной валюте, отличной от валюты: доллары США, евро</w:t>
            </w:r>
          </w:p>
        </w:tc>
        <w:tc>
          <w:tcPr>
            <w:tcW w:w="1559" w:type="dxa"/>
            <w:gridSpan w:val="3"/>
          </w:tcPr>
          <w:p w14:paraId="707B728C" w14:textId="77777777" w:rsidR="00DF74D7" w:rsidRPr="002D4ACF" w:rsidRDefault="00DF74D7" w:rsidP="00DD2371">
            <w:pPr>
              <w:ind w:right="34"/>
              <w:jc w:val="center"/>
              <w:rPr>
                <w:rFonts w:ascii="Tahoma" w:hAnsi="Tahoma" w:cs="Tahoma"/>
                <w:iCs/>
                <w:sz w:val="18"/>
                <w:szCs w:val="18"/>
              </w:rPr>
            </w:pPr>
            <w:r w:rsidRPr="002D4ACF">
              <w:rPr>
                <w:rFonts w:ascii="Tahoma" w:hAnsi="Tahoma" w:cs="Tahoma"/>
                <w:iCs/>
                <w:sz w:val="18"/>
                <w:szCs w:val="18"/>
              </w:rPr>
              <w:t>БЕСПЛАТНО</w:t>
            </w:r>
          </w:p>
        </w:tc>
        <w:tc>
          <w:tcPr>
            <w:tcW w:w="1134" w:type="dxa"/>
            <w:gridSpan w:val="2"/>
            <w:noWrap/>
          </w:tcPr>
          <w:p w14:paraId="4AE64F8F" w14:textId="77777777" w:rsidR="00DF74D7" w:rsidRPr="002D4ACF" w:rsidRDefault="00DF74D7" w:rsidP="00DD2371">
            <w:pPr>
              <w:rPr>
                <w:rFonts w:ascii="Tahoma" w:hAnsi="Tahoma" w:cs="Tahoma"/>
                <w:sz w:val="20"/>
                <w:szCs w:val="20"/>
                <w:lang w:eastAsia="zh-CN"/>
              </w:rPr>
            </w:pPr>
          </w:p>
        </w:tc>
        <w:tc>
          <w:tcPr>
            <w:tcW w:w="1134" w:type="dxa"/>
            <w:noWrap/>
          </w:tcPr>
          <w:p w14:paraId="0086ED9B" w14:textId="77777777" w:rsidR="00DF74D7" w:rsidRPr="002D4ACF" w:rsidRDefault="00DF74D7" w:rsidP="00DD2371">
            <w:pPr>
              <w:rPr>
                <w:rFonts w:ascii="Tahoma" w:hAnsi="Tahoma" w:cs="Tahoma"/>
                <w:sz w:val="20"/>
                <w:szCs w:val="20"/>
                <w:lang w:eastAsia="zh-CN"/>
              </w:rPr>
            </w:pPr>
          </w:p>
        </w:tc>
      </w:tr>
      <w:tr w:rsidR="00DF74D7" w:rsidRPr="002D4ACF" w14:paraId="58B36479" w14:textId="77777777" w:rsidTr="00DD2371">
        <w:trPr>
          <w:trHeight w:val="65"/>
        </w:trPr>
        <w:tc>
          <w:tcPr>
            <w:tcW w:w="1064" w:type="dxa"/>
            <w:noWrap/>
          </w:tcPr>
          <w:p w14:paraId="2543CAB9" w14:textId="77777777" w:rsidR="00DF74D7" w:rsidRPr="002D4ACF" w:rsidRDefault="00DF74D7" w:rsidP="00DD2371">
            <w:pPr>
              <w:rPr>
                <w:rFonts w:ascii="Tahoma" w:hAnsi="Tahoma" w:cs="Tahoma"/>
                <w:b/>
                <w:bCs/>
                <w:iCs/>
                <w:sz w:val="18"/>
                <w:szCs w:val="18"/>
              </w:rPr>
            </w:pPr>
          </w:p>
        </w:tc>
        <w:tc>
          <w:tcPr>
            <w:tcW w:w="1063" w:type="dxa"/>
            <w:noWrap/>
          </w:tcPr>
          <w:p w14:paraId="34C4D953" w14:textId="77777777" w:rsidR="00DF74D7" w:rsidRPr="002D4ACF" w:rsidRDefault="00DF74D7" w:rsidP="00DD2371">
            <w:pPr>
              <w:rPr>
                <w:rFonts w:ascii="Tahoma" w:hAnsi="Tahoma" w:cs="Tahoma"/>
                <w:iCs/>
                <w:sz w:val="18"/>
                <w:szCs w:val="18"/>
              </w:rPr>
            </w:pPr>
            <w:r w:rsidRPr="002D4ACF">
              <w:rPr>
                <w:rFonts w:ascii="Tahoma" w:hAnsi="Tahoma" w:cs="Tahoma"/>
                <w:sz w:val="18"/>
                <w:szCs w:val="18"/>
              </w:rPr>
              <w:t>1.1.2.2</w:t>
            </w:r>
          </w:p>
        </w:tc>
        <w:tc>
          <w:tcPr>
            <w:tcW w:w="5244" w:type="dxa"/>
            <w:gridSpan w:val="3"/>
          </w:tcPr>
          <w:p w14:paraId="7ED20EE1" w14:textId="77777777" w:rsidR="00DF74D7" w:rsidRPr="002D4ACF" w:rsidRDefault="00DF74D7" w:rsidP="00DD2371">
            <w:pPr>
              <w:ind w:left="32" w:right="34"/>
              <w:jc w:val="both"/>
              <w:rPr>
                <w:rFonts w:ascii="Tahoma" w:hAnsi="Tahoma" w:cs="Tahoma"/>
                <w:iCs/>
                <w:sz w:val="18"/>
                <w:szCs w:val="18"/>
              </w:rPr>
            </w:pPr>
            <w:r w:rsidRPr="002D4ACF">
              <w:rPr>
                <w:rFonts w:ascii="Tahoma" w:hAnsi="Tahoma" w:cs="Tahoma"/>
                <w:iCs/>
                <w:sz w:val="18"/>
                <w:szCs w:val="18"/>
              </w:rPr>
              <w:t>в  иностранной валюте: доллары США, евро, при остатке средств на счете</w:t>
            </w:r>
          </w:p>
          <w:p w14:paraId="5B91C3C0" w14:textId="77777777" w:rsidR="00DF74D7" w:rsidRPr="002D4ACF" w:rsidRDefault="00DF74D7" w:rsidP="00DD2371">
            <w:pPr>
              <w:ind w:left="32" w:right="34"/>
              <w:jc w:val="both"/>
              <w:rPr>
                <w:rFonts w:ascii="Tahoma" w:hAnsi="Tahoma" w:cs="Tahoma"/>
                <w:iCs/>
                <w:sz w:val="18"/>
                <w:szCs w:val="18"/>
              </w:rPr>
            </w:pPr>
            <w:r w:rsidRPr="002D4ACF">
              <w:rPr>
                <w:rFonts w:ascii="Tahoma" w:hAnsi="Tahoma" w:cs="Tahoma"/>
                <w:iCs/>
                <w:sz w:val="18"/>
                <w:szCs w:val="18"/>
              </w:rPr>
              <w:t>до 10 000, 00 долларов США/евро (включительно)</w:t>
            </w:r>
          </w:p>
        </w:tc>
        <w:tc>
          <w:tcPr>
            <w:tcW w:w="1559" w:type="dxa"/>
            <w:gridSpan w:val="3"/>
          </w:tcPr>
          <w:p w14:paraId="020F79E4" w14:textId="77777777" w:rsidR="00DF74D7" w:rsidRPr="002D4ACF" w:rsidRDefault="00DF74D7" w:rsidP="00DD2371">
            <w:pPr>
              <w:ind w:right="34"/>
              <w:jc w:val="center"/>
              <w:rPr>
                <w:rFonts w:ascii="Tahoma" w:hAnsi="Tahoma" w:cs="Tahoma"/>
                <w:iCs/>
                <w:sz w:val="18"/>
                <w:szCs w:val="18"/>
              </w:rPr>
            </w:pPr>
            <w:r w:rsidRPr="002D4ACF">
              <w:rPr>
                <w:rFonts w:ascii="Tahoma" w:hAnsi="Tahoma" w:cs="Tahoma"/>
                <w:iCs/>
                <w:sz w:val="18"/>
                <w:szCs w:val="18"/>
              </w:rPr>
              <w:t>0,5% от суммы остатка на 1-е число каждого месяца</w:t>
            </w:r>
          </w:p>
        </w:tc>
        <w:tc>
          <w:tcPr>
            <w:tcW w:w="1134" w:type="dxa"/>
            <w:gridSpan w:val="2"/>
            <w:noWrap/>
          </w:tcPr>
          <w:p w14:paraId="26C3CAD7" w14:textId="77777777" w:rsidR="00DF74D7" w:rsidRPr="002D4ACF" w:rsidRDefault="00DF74D7" w:rsidP="00DD2371">
            <w:pPr>
              <w:rPr>
                <w:rFonts w:ascii="Tahoma" w:hAnsi="Tahoma" w:cs="Tahoma"/>
                <w:sz w:val="20"/>
                <w:szCs w:val="20"/>
                <w:lang w:eastAsia="zh-CN"/>
              </w:rPr>
            </w:pPr>
          </w:p>
        </w:tc>
        <w:tc>
          <w:tcPr>
            <w:tcW w:w="1134" w:type="dxa"/>
            <w:noWrap/>
          </w:tcPr>
          <w:p w14:paraId="404957A0" w14:textId="77777777" w:rsidR="00DF74D7" w:rsidRPr="002D4ACF" w:rsidRDefault="00DF74D7" w:rsidP="00DD2371">
            <w:pPr>
              <w:rPr>
                <w:rFonts w:ascii="Tahoma" w:hAnsi="Tahoma" w:cs="Tahoma"/>
                <w:sz w:val="20"/>
                <w:szCs w:val="20"/>
                <w:lang w:eastAsia="zh-CN"/>
              </w:rPr>
            </w:pPr>
          </w:p>
        </w:tc>
      </w:tr>
      <w:tr w:rsidR="00DF74D7" w:rsidRPr="002D4ACF" w14:paraId="0EFB8CFA" w14:textId="77777777" w:rsidTr="00DD2371">
        <w:trPr>
          <w:trHeight w:val="65"/>
        </w:trPr>
        <w:tc>
          <w:tcPr>
            <w:tcW w:w="1064" w:type="dxa"/>
            <w:noWrap/>
          </w:tcPr>
          <w:p w14:paraId="75225D81" w14:textId="77777777" w:rsidR="00DF74D7" w:rsidRPr="002D4ACF" w:rsidRDefault="00DF74D7" w:rsidP="00DD2371">
            <w:pPr>
              <w:rPr>
                <w:rFonts w:ascii="Tahoma" w:hAnsi="Tahoma" w:cs="Tahoma"/>
                <w:b/>
                <w:bCs/>
                <w:iCs/>
                <w:sz w:val="18"/>
                <w:szCs w:val="18"/>
              </w:rPr>
            </w:pPr>
          </w:p>
        </w:tc>
        <w:tc>
          <w:tcPr>
            <w:tcW w:w="1063" w:type="dxa"/>
            <w:noWrap/>
          </w:tcPr>
          <w:p w14:paraId="426A1F1D" w14:textId="77777777" w:rsidR="00DF74D7" w:rsidRPr="002D4ACF" w:rsidRDefault="00DF74D7" w:rsidP="00DD2371">
            <w:pPr>
              <w:rPr>
                <w:rFonts w:ascii="Tahoma" w:hAnsi="Tahoma" w:cs="Tahoma"/>
                <w:iCs/>
                <w:sz w:val="18"/>
                <w:szCs w:val="18"/>
              </w:rPr>
            </w:pPr>
            <w:r w:rsidRPr="002D4ACF">
              <w:rPr>
                <w:rFonts w:ascii="Tahoma" w:hAnsi="Tahoma" w:cs="Tahoma"/>
                <w:sz w:val="18"/>
                <w:szCs w:val="18"/>
              </w:rPr>
              <w:t>1.1.2.3</w:t>
            </w:r>
          </w:p>
        </w:tc>
        <w:tc>
          <w:tcPr>
            <w:tcW w:w="5244" w:type="dxa"/>
            <w:gridSpan w:val="3"/>
          </w:tcPr>
          <w:p w14:paraId="7C38821C" w14:textId="77777777" w:rsidR="00DF74D7" w:rsidRPr="002D4ACF" w:rsidRDefault="00DF74D7" w:rsidP="00DD2371">
            <w:pPr>
              <w:ind w:left="32" w:right="34"/>
              <w:jc w:val="both"/>
              <w:rPr>
                <w:rFonts w:ascii="Tahoma" w:hAnsi="Tahoma" w:cs="Tahoma"/>
                <w:iCs/>
                <w:sz w:val="18"/>
                <w:szCs w:val="18"/>
              </w:rPr>
            </w:pPr>
            <w:r w:rsidRPr="002D4ACF">
              <w:rPr>
                <w:rFonts w:ascii="Tahoma" w:hAnsi="Tahoma" w:cs="Tahoma"/>
                <w:iCs/>
                <w:sz w:val="18"/>
                <w:szCs w:val="18"/>
              </w:rPr>
              <w:t>в  иностранной валюте: доллары США, евро, при остатке средств на счете</w:t>
            </w:r>
          </w:p>
          <w:p w14:paraId="1EE45F90" w14:textId="77777777" w:rsidR="00DF74D7" w:rsidRPr="002D4ACF" w:rsidRDefault="00DF74D7" w:rsidP="00DD2371">
            <w:pPr>
              <w:ind w:left="32" w:right="34"/>
              <w:jc w:val="both"/>
              <w:rPr>
                <w:rFonts w:ascii="Tahoma" w:hAnsi="Tahoma" w:cs="Tahoma"/>
                <w:iCs/>
                <w:sz w:val="18"/>
                <w:szCs w:val="18"/>
              </w:rPr>
            </w:pPr>
            <w:r w:rsidRPr="002D4ACF">
              <w:rPr>
                <w:rFonts w:ascii="Tahoma" w:hAnsi="Tahoma" w:cs="Tahoma"/>
                <w:iCs/>
                <w:sz w:val="18"/>
                <w:szCs w:val="18"/>
              </w:rPr>
              <w:t xml:space="preserve">от 10 000, 01 долларов США/евро </w:t>
            </w:r>
          </w:p>
        </w:tc>
        <w:tc>
          <w:tcPr>
            <w:tcW w:w="1559" w:type="dxa"/>
            <w:gridSpan w:val="3"/>
          </w:tcPr>
          <w:p w14:paraId="3A32E6AA" w14:textId="77777777" w:rsidR="00DF74D7" w:rsidRPr="002D4ACF" w:rsidRDefault="00DF74D7" w:rsidP="00DD2371">
            <w:pPr>
              <w:ind w:right="34"/>
              <w:jc w:val="center"/>
              <w:rPr>
                <w:rFonts w:ascii="Tahoma" w:hAnsi="Tahoma" w:cs="Tahoma"/>
                <w:iCs/>
                <w:sz w:val="18"/>
                <w:szCs w:val="18"/>
              </w:rPr>
            </w:pPr>
            <w:r w:rsidRPr="002D4ACF">
              <w:rPr>
                <w:rFonts w:ascii="Tahoma" w:hAnsi="Tahoma" w:cs="Tahoma"/>
                <w:iCs/>
                <w:sz w:val="18"/>
                <w:szCs w:val="18"/>
              </w:rPr>
              <w:t>1% от суммы остатка на 1-е число каждого месяца</w:t>
            </w:r>
          </w:p>
        </w:tc>
        <w:tc>
          <w:tcPr>
            <w:tcW w:w="1134" w:type="dxa"/>
            <w:gridSpan w:val="2"/>
            <w:noWrap/>
          </w:tcPr>
          <w:p w14:paraId="4DC7C8F2" w14:textId="77777777" w:rsidR="00DF74D7" w:rsidRPr="002D4ACF" w:rsidRDefault="00DF74D7" w:rsidP="00DD2371">
            <w:pPr>
              <w:rPr>
                <w:rFonts w:ascii="Tahoma" w:hAnsi="Tahoma" w:cs="Tahoma"/>
                <w:sz w:val="20"/>
                <w:szCs w:val="20"/>
                <w:lang w:eastAsia="zh-CN"/>
              </w:rPr>
            </w:pPr>
          </w:p>
        </w:tc>
        <w:tc>
          <w:tcPr>
            <w:tcW w:w="1134" w:type="dxa"/>
            <w:noWrap/>
          </w:tcPr>
          <w:p w14:paraId="0474C6CE" w14:textId="77777777" w:rsidR="00DF74D7" w:rsidRPr="002D4ACF" w:rsidRDefault="00DF74D7" w:rsidP="00DD2371">
            <w:pPr>
              <w:rPr>
                <w:rFonts w:ascii="Tahoma" w:hAnsi="Tahoma" w:cs="Tahoma"/>
                <w:sz w:val="20"/>
                <w:szCs w:val="20"/>
                <w:lang w:eastAsia="zh-CN"/>
              </w:rPr>
            </w:pPr>
          </w:p>
        </w:tc>
      </w:tr>
      <w:tr w:rsidR="00DF74D7" w:rsidRPr="002D4ACF" w14:paraId="0EA57816" w14:textId="77777777" w:rsidTr="00DD2371">
        <w:trPr>
          <w:trHeight w:val="870"/>
        </w:trPr>
        <w:tc>
          <w:tcPr>
            <w:tcW w:w="1064" w:type="dxa"/>
            <w:noWrap/>
            <w:hideMark/>
          </w:tcPr>
          <w:p w14:paraId="635C18E0"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1.1.3.</w:t>
            </w:r>
          </w:p>
        </w:tc>
        <w:tc>
          <w:tcPr>
            <w:tcW w:w="1063" w:type="dxa"/>
            <w:noWrap/>
            <w:hideMark/>
          </w:tcPr>
          <w:p w14:paraId="5F334335"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 </w:t>
            </w:r>
          </w:p>
        </w:tc>
        <w:tc>
          <w:tcPr>
            <w:tcW w:w="5244" w:type="dxa"/>
            <w:gridSpan w:val="3"/>
            <w:hideMark/>
          </w:tcPr>
          <w:p w14:paraId="4CA62F6E" w14:textId="77777777" w:rsidR="00DF74D7" w:rsidRPr="002D4ACF" w:rsidRDefault="00DF74D7" w:rsidP="00DD2371">
            <w:pPr>
              <w:ind w:left="32" w:right="34"/>
              <w:jc w:val="both"/>
              <w:rPr>
                <w:rFonts w:ascii="Tahoma" w:hAnsi="Tahoma" w:cs="Tahoma"/>
                <w:iCs/>
                <w:sz w:val="18"/>
                <w:szCs w:val="18"/>
              </w:rPr>
            </w:pPr>
            <w:r w:rsidRPr="002D4ACF">
              <w:rPr>
                <w:rFonts w:ascii="Tahoma" w:hAnsi="Tahoma" w:cs="Tahoma"/>
                <w:iCs/>
                <w:sz w:val="18"/>
                <w:szCs w:val="18"/>
              </w:rPr>
              <w:t>Отсутствие оборотов по счету (Текущий банковский счет, Счет банковской карты), в случае отсутствия операций (за исключением начисления процентов и комиссии "Азиатско-Тихоокеанский Банк" (АО)) в течение 2-х лет с даты совершения последней операции</w:t>
            </w:r>
          </w:p>
        </w:tc>
        <w:tc>
          <w:tcPr>
            <w:tcW w:w="1559" w:type="dxa"/>
            <w:gridSpan w:val="3"/>
            <w:noWrap/>
            <w:hideMark/>
          </w:tcPr>
          <w:p w14:paraId="1E766D5F" w14:textId="77777777" w:rsidR="00DF74D7" w:rsidRPr="002D4ACF" w:rsidRDefault="00DF74D7" w:rsidP="00DD2371">
            <w:pPr>
              <w:ind w:right="34"/>
              <w:jc w:val="center"/>
              <w:rPr>
                <w:rFonts w:ascii="Tahoma" w:hAnsi="Tahoma" w:cs="Tahoma"/>
                <w:iCs/>
                <w:sz w:val="18"/>
                <w:szCs w:val="18"/>
              </w:rPr>
            </w:pPr>
            <w:r w:rsidRPr="002D4ACF">
              <w:rPr>
                <w:rFonts w:ascii="Tahoma" w:hAnsi="Tahoma" w:cs="Tahoma"/>
                <w:iCs/>
                <w:sz w:val="18"/>
                <w:szCs w:val="18"/>
              </w:rPr>
              <w:t>3000 руб.</w:t>
            </w:r>
          </w:p>
          <w:p w14:paraId="404EAA42" w14:textId="77777777" w:rsidR="00DF74D7" w:rsidRPr="002D4ACF" w:rsidRDefault="00DF74D7" w:rsidP="00DD2371">
            <w:pPr>
              <w:ind w:right="34"/>
              <w:jc w:val="center"/>
              <w:rPr>
                <w:rFonts w:ascii="Tahoma" w:hAnsi="Tahoma" w:cs="Tahoma"/>
                <w:sz w:val="18"/>
                <w:szCs w:val="18"/>
              </w:rPr>
            </w:pPr>
            <w:r w:rsidRPr="002D4ACF">
              <w:rPr>
                <w:rFonts w:ascii="Tahoma" w:hAnsi="Tahoma" w:cs="Tahoma"/>
                <w:sz w:val="18"/>
                <w:szCs w:val="18"/>
              </w:rPr>
              <w:t xml:space="preserve">ежемесячно, </w:t>
            </w:r>
          </w:p>
          <w:p w14:paraId="24E66A2A" w14:textId="77777777" w:rsidR="00DF74D7" w:rsidRPr="002D4ACF" w:rsidRDefault="00DF74D7" w:rsidP="00DD2371">
            <w:pPr>
              <w:ind w:right="34"/>
              <w:jc w:val="center"/>
              <w:rPr>
                <w:rFonts w:ascii="Tahoma" w:hAnsi="Tahoma" w:cs="Tahoma"/>
                <w:iCs/>
                <w:sz w:val="18"/>
                <w:szCs w:val="18"/>
              </w:rPr>
            </w:pPr>
            <w:r w:rsidRPr="002D4ACF">
              <w:rPr>
                <w:rFonts w:ascii="Tahoma" w:hAnsi="Tahoma" w:cs="Tahoma"/>
                <w:sz w:val="18"/>
                <w:szCs w:val="18"/>
              </w:rPr>
              <w:t>но не более остатка по счету</w:t>
            </w:r>
          </w:p>
        </w:tc>
        <w:tc>
          <w:tcPr>
            <w:tcW w:w="1134" w:type="dxa"/>
            <w:gridSpan w:val="2"/>
            <w:noWrap/>
            <w:hideMark/>
          </w:tcPr>
          <w:p w14:paraId="36838BF9" w14:textId="77777777" w:rsidR="00DF74D7" w:rsidRPr="002D4ACF" w:rsidRDefault="00DF74D7" w:rsidP="00DD2371">
            <w:pPr>
              <w:rPr>
                <w:rFonts w:ascii="Tahoma" w:hAnsi="Tahoma" w:cs="Tahoma"/>
                <w:sz w:val="20"/>
                <w:szCs w:val="20"/>
                <w:lang w:eastAsia="zh-CN"/>
              </w:rPr>
            </w:pPr>
          </w:p>
        </w:tc>
        <w:tc>
          <w:tcPr>
            <w:tcW w:w="1134" w:type="dxa"/>
            <w:noWrap/>
            <w:hideMark/>
          </w:tcPr>
          <w:p w14:paraId="6F9DAA91" w14:textId="77777777" w:rsidR="00DF74D7" w:rsidRPr="002D4ACF" w:rsidRDefault="00DF74D7" w:rsidP="00DD2371">
            <w:pPr>
              <w:rPr>
                <w:rFonts w:ascii="Tahoma" w:hAnsi="Tahoma" w:cs="Tahoma"/>
                <w:sz w:val="20"/>
                <w:szCs w:val="20"/>
                <w:lang w:eastAsia="zh-CN"/>
              </w:rPr>
            </w:pPr>
          </w:p>
        </w:tc>
      </w:tr>
      <w:tr w:rsidR="00DF74D7" w:rsidRPr="002D4ACF" w14:paraId="2A6A01B9" w14:textId="77777777" w:rsidTr="00DD2371">
        <w:trPr>
          <w:trHeight w:val="781"/>
        </w:trPr>
        <w:tc>
          <w:tcPr>
            <w:tcW w:w="11198" w:type="dxa"/>
            <w:gridSpan w:val="11"/>
            <w:hideMark/>
          </w:tcPr>
          <w:p w14:paraId="7CFC9DC2" w14:textId="77777777" w:rsidR="00DF74D7" w:rsidRPr="002D4ACF" w:rsidRDefault="00DF74D7" w:rsidP="00DD2371">
            <w:pPr>
              <w:ind w:left="32" w:right="34"/>
              <w:rPr>
                <w:rFonts w:ascii="Tahoma" w:hAnsi="Tahoma" w:cs="Tahoma"/>
                <w:iCs/>
                <w:sz w:val="14"/>
                <w:szCs w:val="16"/>
              </w:rPr>
            </w:pPr>
            <w:r w:rsidRPr="002D4ACF">
              <w:rPr>
                <w:rFonts w:ascii="Tahoma" w:hAnsi="Tahoma" w:cs="Tahoma"/>
                <w:iCs/>
                <w:sz w:val="14"/>
                <w:szCs w:val="16"/>
                <w:vertAlign w:val="superscript"/>
              </w:rPr>
              <w:t>1</w:t>
            </w:r>
            <w:r w:rsidRPr="002D4ACF">
              <w:rPr>
                <w:rFonts w:ascii="Tahoma" w:hAnsi="Tahoma" w:cs="Tahoma"/>
                <w:iCs/>
                <w:sz w:val="14"/>
                <w:szCs w:val="16"/>
              </w:rPr>
              <w:t xml:space="preserve"> Для открытия Текущего банковского счета в рублях нерезиденту РФ применяется Тариф в размере 50 руб.</w:t>
            </w:r>
            <w:r w:rsidRPr="002D4ACF">
              <w:rPr>
                <w:rFonts w:ascii="Tahoma" w:hAnsi="Tahoma" w:cs="Tahoma"/>
                <w:iCs/>
                <w:sz w:val="14"/>
                <w:szCs w:val="16"/>
              </w:rPr>
              <w:br/>
            </w:r>
            <w:r w:rsidRPr="002D4ACF">
              <w:rPr>
                <w:rFonts w:ascii="Tahoma" w:hAnsi="Tahoma" w:cs="Tahoma"/>
                <w:iCs/>
                <w:sz w:val="14"/>
                <w:szCs w:val="16"/>
                <w:vertAlign w:val="superscript"/>
              </w:rPr>
              <w:t>2</w:t>
            </w:r>
            <w:r w:rsidRPr="002D4ACF">
              <w:rPr>
                <w:rFonts w:ascii="Tahoma" w:hAnsi="Tahoma" w:cs="Tahoma"/>
                <w:iCs/>
                <w:sz w:val="14"/>
                <w:szCs w:val="16"/>
              </w:rPr>
              <w:t xml:space="preserve"> Для открытия Вклада до востребования в рублях нерезиденту РФ Тариф "Бесплатно" распространяется только на счета, используемые для перечисления процентов и основной суммы срочного вклада по окончанию срока его действия, операции по которым производятся Бесплатно. В остальных случаях применяется Тариф в размере 50 руб. Для открытия Вклада до востребования резиденту и нерезиденту РФ в иностранной валюте применяется Тариф 50 руб.</w:t>
            </w:r>
            <w:r w:rsidRPr="002D4ACF">
              <w:rPr>
                <w:rFonts w:ascii="Tahoma" w:hAnsi="Tahoma" w:cs="Tahoma"/>
                <w:iCs/>
                <w:sz w:val="14"/>
                <w:szCs w:val="16"/>
              </w:rPr>
              <w:br/>
            </w:r>
            <w:r w:rsidRPr="002D4ACF">
              <w:rPr>
                <w:rFonts w:ascii="Tahoma" w:hAnsi="Tahoma" w:cs="Tahoma"/>
                <w:iCs/>
                <w:sz w:val="14"/>
                <w:szCs w:val="16"/>
                <w:vertAlign w:val="superscript"/>
              </w:rPr>
              <w:t>3</w:t>
            </w:r>
            <w:r w:rsidRPr="002D4ACF">
              <w:rPr>
                <w:rFonts w:ascii="Tahoma" w:hAnsi="Tahoma" w:cs="Tahoma"/>
                <w:iCs/>
                <w:sz w:val="14"/>
                <w:szCs w:val="16"/>
              </w:rPr>
              <w:t xml:space="preserve"> Только для резидентов РФ.</w:t>
            </w:r>
          </w:p>
          <w:p w14:paraId="023D1D68" w14:textId="77777777" w:rsidR="00DF74D7" w:rsidRPr="002D4ACF" w:rsidRDefault="00DF74D7" w:rsidP="00DD2371">
            <w:pPr>
              <w:ind w:left="32" w:right="34"/>
              <w:rPr>
                <w:rFonts w:ascii="Tahoma" w:hAnsi="Tahoma" w:cs="Tahoma"/>
                <w:iCs/>
                <w:sz w:val="14"/>
                <w:szCs w:val="16"/>
              </w:rPr>
            </w:pPr>
            <w:r w:rsidRPr="002D4ACF">
              <w:rPr>
                <w:rFonts w:ascii="Tahoma" w:hAnsi="Tahoma" w:cs="Tahoma"/>
                <w:iCs/>
                <w:sz w:val="14"/>
                <w:szCs w:val="16"/>
                <w:vertAlign w:val="superscript"/>
              </w:rPr>
              <w:t xml:space="preserve">4 </w:t>
            </w:r>
            <w:r w:rsidRPr="002D4ACF">
              <w:rPr>
                <w:rFonts w:ascii="Tahoma" w:hAnsi="Tahoma" w:cs="Tahoma"/>
                <w:iCs/>
                <w:sz w:val="14"/>
                <w:szCs w:val="16"/>
              </w:rPr>
              <w:t>Сумма комиссии конвертируется в валюту Договора по курсу ЦБ РФ на дату совершения операции и округляется в большую сторону.</w:t>
            </w:r>
          </w:p>
          <w:p w14:paraId="7D9DD10E" w14:textId="77777777" w:rsidR="00DF74D7" w:rsidRPr="002D4ACF" w:rsidRDefault="00DF74D7" w:rsidP="00DD2371">
            <w:r w:rsidRPr="002D4ACF">
              <w:rPr>
                <w:rFonts w:ascii="Tahoma" w:hAnsi="Tahoma" w:cs="Tahoma"/>
                <w:iCs/>
                <w:sz w:val="14"/>
                <w:szCs w:val="16"/>
              </w:rPr>
              <w:t>*пункты 1.1.2.2. и 1.1.2.3 распространяются на Вклад до востребования (в т.ч. Пенсионный)</w:t>
            </w:r>
          </w:p>
        </w:tc>
      </w:tr>
      <w:tr w:rsidR="00DF74D7" w:rsidRPr="002D4ACF" w14:paraId="09AF7501" w14:textId="77777777" w:rsidTr="00DD2371">
        <w:trPr>
          <w:trHeight w:val="65"/>
        </w:trPr>
        <w:tc>
          <w:tcPr>
            <w:tcW w:w="11198" w:type="dxa"/>
            <w:gridSpan w:val="11"/>
          </w:tcPr>
          <w:p w14:paraId="3FD0D586" w14:textId="77777777" w:rsidR="00DF74D7" w:rsidRPr="002D4ACF" w:rsidRDefault="00DF74D7" w:rsidP="00DD2371">
            <w:pPr>
              <w:ind w:left="32" w:right="34"/>
              <w:rPr>
                <w:rFonts w:ascii="Tahoma" w:hAnsi="Tahoma" w:cs="Tahoma"/>
                <w:b/>
                <w:bCs/>
                <w:iCs/>
                <w:sz w:val="18"/>
                <w:szCs w:val="18"/>
              </w:rPr>
            </w:pPr>
          </w:p>
          <w:p w14:paraId="499C3BD0" w14:textId="77777777" w:rsidR="00DF74D7" w:rsidRPr="002D4ACF" w:rsidRDefault="00DF74D7" w:rsidP="00DD2371">
            <w:pPr>
              <w:ind w:left="32" w:right="34"/>
              <w:rPr>
                <w:rFonts w:ascii="Tahoma" w:hAnsi="Tahoma" w:cs="Tahoma"/>
                <w:b/>
                <w:bCs/>
                <w:iCs/>
                <w:sz w:val="18"/>
                <w:szCs w:val="18"/>
              </w:rPr>
            </w:pPr>
            <w:r w:rsidRPr="002D4ACF">
              <w:rPr>
                <w:rFonts w:ascii="Tahoma" w:hAnsi="Tahoma" w:cs="Tahoma"/>
                <w:b/>
                <w:bCs/>
                <w:iCs/>
                <w:sz w:val="18"/>
                <w:szCs w:val="18"/>
              </w:rPr>
              <w:t>Кассовое обслуживание</w:t>
            </w:r>
          </w:p>
        </w:tc>
      </w:tr>
      <w:tr w:rsidR="00A24985" w:rsidRPr="002D4ACF" w14:paraId="43845421" w14:textId="77777777" w:rsidTr="00DD2371">
        <w:trPr>
          <w:trHeight w:val="585"/>
        </w:trPr>
        <w:tc>
          <w:tcPr>
            <w:tcW w:w="1064" w:type="dxa"/>
            <w:noWrap/>
            <w:hideMark/>
          </w:tcPr>
          <w:p w14:paraId="2B28640F" w14:textId="5FF8981E" w:rsidR="00A24985" w:rsidRPr="002D4ACF" w:rsidRDefault="00A24985" w:rsidP="00A24985">
            <w:pPr>
              <w:ind w:right="34"/>
              <w:rPr>
                <w:rFonts w:ascii="Tahoma" w:hAnsi="Tahoma" w:cs="Tahoma"/>
                <w:b/>
                <w:bCs/>
                <w:iCs/>
                <w:sz w:val="18"/>
                <w:szCs w:val="18"/>
              </w:rPr>
            </w:pPr>
            <w:r w:rsidRPr="00441A75">
              <w:rPr>
                <w:rFonts w:ascii="Tahoma" w:hAnsi="Tahoma" w:cs="Tahoma"/>
                <w:b/>
                <w:bCs/>
                <w:iCs/>
                <w:sz w:val="18"/>
                <w:szCs w:val="18"/>
              </w:rPr>
              <w:t>1.1.4.</w:t>
            </w:r>
          </w:p>
        </w:tc>
        <w:tc>
          <w:tcPr>
            <w:tcW w:w="1063" w:type="dxa"/>
            <w:noWrap/>
            <w:hideMark/>
          </w:tcPr>
          <w:p w14:paraId="47934BDF" w14:textId="4F8B61B5" w:rsidR="00A24985" w:rsidRPr="002D4ACF" w:rsidRDefault="00A24985" w:rsidP="00A24985">
            <w:pPr>
              <w:ind w:right="284"/>
              <w:rPr>
                <w:rFonts w:ascii="Tahoma" w:hAnsi="Tahoma" w:cs="Tahoma"/>
                <w:iCs/>
                <w:sz w:val="18"/>
                <w:szCs w:val="18"/>
              </w:rPr>
            </w:pPr>
            <w:r w:rsidRPr="00441A75">
              <w:rPr>
                <w:rFonts w:ascii="Tahoma" w:hAnsi="Tahoma" w:cs="Tahoma"/>
                <w:iCs/>
                <w:sz w:val="18"/>
                <w:szCs w:val="18"/>
              </w:rPr>
              <w:t> </w:t>
            </w:r>
          </w:p>
        </w:tc>
        <w:tc>
          <w:tcPr>
            <w:tcW w:w="5244" w:type="dxa"/>
            <w:gridSpan w:val="3"/>
            <w:hideMark/>
          </w:tcPr>
          <w:p w14:paraId="78D27B3B" w14:textId="24A7D47E" w:rsidR="00A24985" w:rsidRPr="002D4ACF" w:rsidRDefault="00A24985" w:rsidP="00A24985">
            <w:pPr>
              <w:ind w:left="32" w:right="34"/>
              <w:jc w:val="both"/>
              <w:rPr>
                <w:rFonts w:ascii="Tahoma" w:hAnsi="Tahoma" w:cs="Tahoma"/>
                <w:b/>
                <w:bCs/>
                <w:iCs/>
                <w:sz w:val="18"/>
                <w:szCs w:val="18"/>
              </w:rPr>
            </w:pPr>
            <w:r w:rsidRPr="00441A75">
              <w:rPr>
                <w:rFonts w:ascii="Tahoma" w:hAnsi="Tahoma" w:cs="Tahoma"/>
                <w:b/>
                <w:bCs/>
                <w:iCs/>
                <w:sz w:val="18"/>
                <w:szCs w:val="18"/>
              </w:rPr>
              <w:t>Выдача денежных средств со счета в рублях и иностранной валюте, внесенных на счет наличным путем:</w:t>
            </w:r>
          </w:p>
        </w:tc>
        <w:tc>
          <w:tcPr>
            <w:tcW w:w="1305" w:type="dxa"/>
            <w:gridSpan w:val="2"/>
            <w:noWrap/>
            <w:hideMark/>
          </w:tcPr>
          <w:p w14:paraId="3DCE82BD" w14:textId="03586282" w:rsidR="00A24985" w:rsidRPr="002D4ACF" w:rsidRDefault="00A24985" w:rsidP="00A24985">
            <w:pPr>
              <w:ind w:right="34"/>
              <w:rPr>
                <w:rFonts w:ascii="Tahoma" w:hAnsi="Tahoma" w:cs="Tahoma"/>
                <w:iCs/>
                <w:sz w:val="18"/>
                <w:szCs w:val="18"/>
              </w:rPr>
            </w:pPr>
            <w:r w:rsidRPr="00441A75">
              <w:rPr>
                <w:rFonts w:ascii="Tahoma" w:hAnsi="Tahoma" w:cs="Tahoma"/>
                <w:iCs/>
                <w:sz w:val="18"/>
                <w:szCs w:val="18"/>
              </w:rPr>
              <w:t> </w:t>
            </w:r>
          </w:p>
        </w:tc>
        <w:tc>
          <w:tcPr>
            <w:tcW w:w="1134" w:type="dxa"/>
            <w:gridSpan w:val="2"/>
            <w:noWrap/>
            <w:hideMark/>
          </w:tcPr>
          <w:p w14:paraId="367A73B0" w14:textId="3CA7A4D6" w:rsidR="00A24985" w:rsidRPr="002D4ACF" w:rsidRDefault="00A24985" w:rsidP="00A24985">
            <w:pPr>
              <w:ind w:right="34"/>
              <w:rPr>
                <w:rFonts w:ascii="Tahoma" w:hAnsi="Tahoma" w:cs="Tahoma"/>
                <w:iCs/>
                <w:sz w:val="18"/>
                <w:szCs w:val="18"/>
              </w:rPr>
            </w:pPr>
            <w:r w:rsidRPr="002D4ACF">
              <w:rPr>
                <w:rFonts w:ascii="Tahoma" w:hAnsi="Tahoma" w:cs="Tahoma"/>
                <w:iCs/>
                <w:sz w:val="18"/>
                <w:szCs w:val="18"/>
              </w:rPr>
              <w:t> </w:t>
            </w:r>
          </w:p>
        </w:tc>
        <w:tc>
          <w:tcPr>
            <w:tcW w:w="1388" w:type="dxa"/>
            <w:gridSpan w:val="2"/>
            <w:noWrap/>
            <w:hideMark/>
          </w:tcPr>
          <w:p w14:paraId="12B4F76A" w14:textId="66073D6B" w:rsidR="00A24985" w:rsidRPr="002D4ACF" w:rsidRDefault="00A24985" w:rsidP="00A24985">
            <w:pPr>
              <w:rPr>
                <w:rFonts w:ascii="Tahoma" w:hAnsi="Tahoma" w:cs="Tahoma"/>
                <w:iCs/>
                <w:sz w:val="18"/>
                <w:szCs w:val="18"/>
              </w:rPr>
            </w:pPr>
            <w:r w:rsidRPr="002D4ACF">
              <w:rPr>
                <w:rFonts w:ascii="Tahoma" w:hAnsi="Tahoma" w:cs="Tahoma"/>
                <w:iCs/>
                <w:sz w:val="18"/>
                <w:szCs w:val="18"/>
              </w:rPr>
              <w:t> </w:t>
            </w:r>
          </w:p>
        </w:tc>
      </w:tr>
      <w:tr w:rsidR="00A24985" w:rsidRPr="002D4ACF" w14:paraId="69F39554" w14:textId="77777777" w:rsidTr="00DD2371">
        <w:trPr>
          <w:trHeight w:val="200"/>
        </w:trPr>
        <w:tc>
          <w:tcPr>
            <w:tcW w:w="1064" w:type="dxa"/>
            <w:noWrap/>
            <w:hideMark/>
          </w:tcPr>
          <w:p w14:paraId="469C5FC9" w14:textId="37FDB35B" w:rsidR="00A24985" w:rsidRPr="002D4ACF" w:rsidRDefault="00A24985" w:rsidP="00A24985">
            <w:pPr>
              <w:ind w:right="34"/>
              <w:rPr>
                <w:rFonts w:ascii="Tahoma" w:hAnsi="Tahoma" w:cs="Tahoma"/>
                <w:b/>
                <w:bCs/>
                <w:iCs/>
                <w:sz w:val="18"/>
                <w:szCs w:val="18"/>
              </w:rPr>
            </w:pPr>
            <w:r w:rsidRPr="00441A75">
              <w:rPr>
                <w:rFonts w:ascii="Tahoma" w:hAnsi="Tahoma" w:cs="Tahoma"/>
                <w:b/>
                <w:bCs/>
                <w:iCs/>
                <w:sz w:val="18"/>
                <w:szCs w:val="18"/>
              </w:rPr>
              <w:t> </w:t>
            </w:r>
          </w:p>
        </w:tc>
        <w:tc>
          <w:tcPr>
            <w:tcW w:w="1063" w:type="dxa"/>
            <w:noWrap/>
            <w:hideMark/>
          </w:tcPr>
          <w:p w14:paraId="78138E23" w14:textId="2FFF7DB7" w:rsidR="00A24985" w:rsidRPr="002D4ACF" w:rsidRDefault="00A24985" w:rsidP="00A24985">
            <w:pPr>
              <w:rPr>
                <w:rFonts w:ascii="Tahoma" w:hAnsi="Tahoma" w:cs="Tahoma"/>
                <w:iCs/>
                <w:sz w:val="18"/>
                <w:szCs w:val="18"/>
              </w:rPr>
            </w:pPr>
            <w:r w:rsidRPr="00441A75">
              <w:rPr>
                <w:rFonts w:ascii="Tahoma" w:hAnsi="Tahoma" w:cs="Tahoma"/>
                <w:iCs/>
                <w:sz w:val="18"/>
                <w:szCs w:val="18"/>
              </w:rPr>
              <w:t>1.1.4.1.</w:t>
            </w:r>
          </w:p>
        </w:tc>
        <w:tc>
          <w:tcPr>
            <w:tcW w:w="5244" w:type="dxa"/>
            <w:gridSpan w:val="3"/>
            <w:noWrap/>
            <w:hideMark/>
          </w:tcPr>
          <w:p w14:paraId="2140D90A" w14:textId="020410DE" w:rsidR="00A24985" w:rsidRPr="002D4ACF" w:rsidRDefault="00A24985" w:rsidP="00A24985">
            <w:pPr>
              <w:ind w:left="32" w:right="34"/>
              <w:jc w:val="both"/>
              <w:rPr>
                <w:rFonts w:ascii="Tahoma" w:hAnsi="Tahoma" w:cs="Tahoma"/>
                <w:iCs/>
                <w:sz w:val="18"/>
                <w:szCs w:val="18"/>
              </w:rPr>
            </w:pPr>
            <w:r w:rsidRPr="00441A75">
              <w:rPr>
                <w:rFonts w:ascii="Tahoma" w:hAnsi="Tahoma" w:cs="Tahoma"/>
                <w:iCs/>
                <w:sz w:val="18"/>
                <w:szCs w:val="18"/>
              </w:rPr>
              <w:t>С Текущего Банковского счета в рублях, Номинального счета в рублях, Срочного вклада, Вклада до востребования (в т.ч. Пенсионного)*</w:t>
            </w:r>
          </w:p>
        </w:tc>
        <w:tc>
          <w:tcPr>
            <w:tcW w:w="1305" w:type="dxa"/>
            <w:gridSpan w:val="2"/>
            <w:hideMark/>
          </w:tcPr>
          <w:p w14:paraId="4FD32614" w14:textId="50116244" w:rsidR="00A24985" w:rsidRPr="002D4ACF" w:rsidRDefault="00A24985" w:rsidP="00A24985">
            <w:pPr>
              <w:ind w:right="34"/>
              <w:jc w:val="center"/>
              <w:rPr>
                <w:rFonts w:ascii="Tahoma" w:hAnsi="Tahoma" w:cs="Tahoma"/>
                <w:iCs/>
                <w:sz w:val="18"/>
                <w:szCs w:val="18"/>
              </w:rPr>
            </w:pPr>
            <w:r w:rsidRPr="00441A75">
              <w:rPr>
                <w:rFonts w:ascii="Tahoma" w:hAnsi="Tahoma" w:cs="Tahoma"/>
                <w:iCs/>
                <w:sz w:val="18"/>
                <w:szCs w:val="18"/>
              </w:rPr>
              <w:t>БЕСПЛАТНО</w:t>
            </w:r>
          </w:p>
        </w:tc>
        <w:tc>
          <w:tcPr>
            <w:tcW w:w="1134" w:type="dxa"/>
            <w:gridSpan w:val="2"/>
            <w:noWrap/>
            <w:hideMark/>
          </w:tcPr>
          <w:p w14:paraId="7268B81C" w14:textId="77777777" w:rsidR="00A24985" w:rsidRPr="002D4ACF" w:rsidRDefault="00A24985" w:rsidP="00A24985">
            <w:pPr>
              <w:ind w:right="34"/>
              <w:rPr>
                <w:rFonts w:ascii="Tahoma" w:hAnsi="Tahoma" w:cs="Tahoma"/>
                <w:sz w:val="20"/>
                <w:szCs w:val="20"/>
                <w:lang w:eastAsia="zh-CN"/>
              </w:rPr>
            </w:pPr>
          </w:p>
        </w:tc>
        <w:tc>
          <w:tcPr>
            <w:tcW w:w="1388" w:type="dxa"/>
            <w:gridSpan w:val="2"/>
            <w:noWrap/>
            <w:hideMark/>
          </w:tcPr>
          <w:p w14:paraId="366C0B20" w14:textId="77777777" w:rsidR="00A24985" w:rsidRPr="002D4ACF" w:rsidRDefault="00A24985" w:rsidP="00A24985">
            <w:pPr>
              <w:rPr>
                <w:rFonts w:ascii="Tahoma" w:hAnsi="Tahoma" w:cs="Tahoma"/>
                <w:sz w:val="20"/>
                <w:szCs w:val="20"/>
                <w:lang w:eastAsia="zh-CN"/>
              </w:rPr>
            </w:pPr>
          </w:p>
        </w:tc>
      </w:tr>
      <w:tr w:rsidR="00A24985" w:rsidRPr="002D4ACF" w14:paraId="5167921B" w14:textId="77777777" w:rsidTr="00DD2371">
        <w:trPr>
          <w:trHeight w:val="660"/>
        </w:trPr>
        <w:tc>
          <w:tcPr>
            <w:tcW w:w="1064" w:type="dxa"/>
            <w:noWrap/>
            <w:hideMark/>
          </w:tcPr>
          <w:p w14:paraId="40B49507" w14:textId="32BC4EF9" w:rsidR="00A24985" w:rsidRPr="002D4ACF" w:rsidRDefault="00A24985" w:rsidP="00A24985">
            <w:pPr>
              <w:ind w:right="34"/>
              <w:rPr>
                <w:rFonts w:ascii="Tahoma" w:hAnsi="Tahoma" w:cs="Tahoma"/>
                <w:b/>
                <w:bCs/>
                <w:iCs/>
                <w:sz w:val="18"/>
                <w:szCs w:val="18"/>
              </w:rPr>
            </w:pPr>
            <w:r w:rsidRPr="00441A75">
              <w:rPr>
                <w:rFonts w:ascii="Tahoma" w:hAnsi="Tahoma" w:cs="Tahoma"/>
                <w:b/>
                <w:bCs/>
                <w:iCs/>
                <w:sz w:val="18"/>
                <w:szCs w:val="18"/>
              </w:rPr>
              <w:t> </w:t>
            </w:r>
          </w:p>
        </w:tc>
        <w:tc>
          <w:tcPr>
            <w:tcW w:w="1063" w:type="dxa"/>
            <w:noWrap/>
            <w:hideMark/>
          </w:tcPr>
          <w:p w14:paraId="6AC5FB64" w14:textId="7C9DAE09" w:rsidR="00A24985" w:rsidRPr="002D4ACF" w:rsidRDefault="00A24985" w:rsidP="00A24985">
            <w:pPr>
              <w:rPr>
                <w:rFonts w:ascii="Tahoma" w:hAnsi="Tahoma" w:cs="Tahoma"/>
                <w:iCs/>
                <w:sz w:val="18"/>
                <w:szCs w:val="18"/>
              </w:rPr>
            </w:pPr>
            <w:r w:rsidRPr="00441A75">
              <w:rPr>
                <w:rFonts w:ascii="Tahoma" w:hAnsi="Tahoma" w:cs="Tahoma"/>
                <w:iCs/>
                <w:sz w:val="18"/>
                <w:szCs w:val="18"/>
              </w:rPr>
              <w:t>1.1.4.2.</w:t>
            </w:r>
          </w:p>
        </w:tc>
        <w:tc>
          <w:tcPr>
            <w:tcW w:w="5244" w:type="dxa"/>
            <w:gridSpan w:val="3"/>
            <w:hideMark/>
          </w:tcPr>
          <w:p w14:paraId="484A20F7" w14:textId="23AC6842" w:rsidR="00A24985" w:rsidRPr="002D4ACF" w:rsidRDefault="00A24985" w:rsidP="00A24985">
            <w:pPr>
              <w:ind w:left="32" w:right="34"/>
              <w:jc w:val="both"/>
              <w:rPr>
                <w:rFonts w:ascii="Tahoma" w:hAnsi="Tahoma" w:cs="Tahoma"/>
                <w:iCs/>
                <w:sz w:val="18"/>
                <w:szCs w:val="18"/>
              </w:rPr>
            </w:pPr>
            <w:r w:rsidRPr="00441A75">
              <w:rPr>
                <w:rFonts w:ascii="Tahoma" w:hAnsi="Tahoma" w:cs="Tahoma"/>
                <w:iCs/>
                <w:sz w:val="18"/>
                <w:szCs w:val="18"/>
              </w:rPr>
              <w:t>С Текущего Банковского счета в иностранной валюте</w:t>
            </w:r>
          </w:p>
        </w:tc>
        <w:tc>
          <w:tcPr>
            <w:tcW w:w="1305" w:type="dxa"/>
            <w:gridSpan w:val="2"/>
            <w:hideMark/>
          </w:tcPr>
          <w:p w14:paraId="5EDF8476" w14:textId="3286386C" w:rsidR="00A24985" w:rsidRPr="002D4ACF" w:rsidRDefault="00A24985" w:rsidP="00A24985">
            <w:pPr>
              <w:ind w:right="34"/>
              <w:jc w:val="center"/>
              <w:rPr>
                <w:rFonts w:ascii="Tahoma" w:hAnsi="Tahoma" w:cs="Tahoma"/>
                <w:iCs/>
                <w:sz w:val="18"/>
                <w:szCs w:val="18"/>
                <w:lang w:val="en-US"/>
              </w:rPr>
            </w:pPr>
            <w:r w:rsidRPr="00441A75">
              <w:rPr>
                <w:rFonts w:ascii="Tahoma" w:hAnsi="Tahoma" w:cs="Tahoma"/>
                <w:iCs/>
                <w:sz w:val="18"/>
                <w:szCs w:val="18"/>
              </w:rPr>
              <w:t>БЕСПЛАТНО</w:t>
            </w:r>
          </w:p>
        </w:tc>
        <w:tc>
          <w:tcPr>
            <w:tcW w:w="1134" w:type="dxa"/>
            <w:gridSpan w:val="2"/>
            <w:noWrap/>
            <w:hideMark/>
          </w:tcPr>
          <w:p w14:paraId="3FE98FD0" w14:textId="77777777" w:rsidR="00A24985" w:rsidRPr="002D4ACF" w:rsidRDefault="00A24985" w:rsidP="00A24985">
            <w:pPr>
              <w:ind w:right="34"/>
              <w:rPr>
                <w:rFonts w:ascii="Tahoma" w:hAnsi="Tahoma" w:cs="Tahoma"/>
                <w:sz w:val="20"/>
                <w:szCs w:val="20"/>
                <w:lang w:eastAsia="zh-CN"/>
              </w:rPr>
            </w:pPr>
          </w:p>
        </w:tc>
        <w:tc>
          <w:tcPr>
            <w:tcW w:w="1388" w:type="dxa"/>
            <w:gridSpan w:val="2"/>
            <w:noWrap/>
            <w:hideMark/>
          </w:tcPr>
          <w:p w14:paraId="7E3EFC72" w14:textId="77777777" w:rsidR="00A24985" w:rsidRPr="002D4ACF" w:rsidRDefault="00A24985" w:rsidP="00A24985">
            <w:pPr>
              <w:rPr>
                <w:rFonts w:ascii="Tahoma" w:hAnsi="Tahoma" w:cs="Tahoma"/>
                <w:sz w:val="20"/>
                <w:szCs w:val="20"/>
                <w:lang w:eastAsia="zh-CN"/>
              </w:rPr>
            </w:pPr>
          </w:p>
        </w:tc>
      </w:tr>
      <w:tr w:rsidR="00A24985" w:rsidRPr="002D4ACF" w14:paraId="6DA35E48" w14:textId="77777777" w:rsidTr="00DD2371">
        <w:trPr>
          <w:trHeight w:val="525"/>
        </w:trPr>
        <w:tc>
          <w:tcPr>
            <w:tcW w:w="1064" w:type="dxa"/>
            <w:noWrap/>
            <w:hideMark/>
          </w:tcPr>
          <w:p w14:paraId="0D5CF6D8" w14:textId="4D335884" w:rsidR="00A24985" w:rsidRPr="002D4ACF" w:rsidRDefault="00A24985" w:rsidP="00A24985">
            <w:pPr>
              <w:ind w:right="34"/>
              <w:rPr>
                <w:rFonts w:ascii="Tahoma" w:hAnsi="Tahoma" w:cs="Tahoma"/>
                <w:b/>
                <w:bCs/>
                <w:iCs/>
                <w:sz w:val="18"/>
                <w:szCs w:val="18"/>
              </w:rPr>
            </w:pPr>
            <w:r w:rsidRPr="00441A75">
              <w:rPr>
                <w:rFonts w:ascii="Tahoma" w:hAnsi="Tahoma" w:cs="Tahoma"/>
                <w:b/>
                <w:bCs/>
                <w:iCs/>
                <w:sz w:val="18"/>
                <w:szCs w:val="18"/>
              </w:rPr>
              <w:t>1.1.5.</w:t>
            </w:r>
          </w:p>
        </w:tc>
        <w:tc>
          <w:tcPr>
            <w:tcW w:w="1063" w:type="dxa"/>
            <w:noWrap/>
            <w:hideMark/>
          </w:tcPr>
          <w:p w14:paraId="42767890" w14:textId="77777777" w:rsidR="00A24985" w:rsidRPr="002D4ACF" w:rsidRDefault="00A24985" w:rsidP="00A24985">
            <w:pPr>
              <w:ind w:right="284"/>
              <w:rPr>
                <w:rFonts w:ascii="Tahoma" w:hAnsi="Tahoma" w:cs="Tahoma"/>
                <w:iCs/>
                <w:sz w:val="18"/>
                <w:szCs w:val="18"/>
              </w:rPr>
            </w:pPr>
          </w:p>
        </w:tc>
        <w:tc>
          <w:tcPr>
            <w:tcW w:w="5244" w:type="dxa"/>
            <w:gridSpan w:val="3"/>
            <w:hideMark/>
          </w:tcPr>
          <w:p w14:paraId="55FBF9B6" w14:textId="7B8CEE68" w:rsidR="00A24985" w:rsidRPr="002D4ACF" w:rsidRDefault="00A24985" w:rsidP="00A24985">
            <w:pPr>
              <w:ind w:left="32" w:right="34"/>
              <w:jc w:val="both"/>
              <w:rPr>
                <w:rFonts w:ascii="Tahoma" w:hAnsi="Tahoma" w:cs="Tahoma"/>
                <w:b/>
                <w:bCs/>
                <w:iCs/>
                <w:sz w:val="18"/>
                <w:szCs w:val="18"/>
              </w:rPr>
            </w:pPr>
            <w:r w:rsidRPr="00441A75">
              <w:rPr>
                <w:rFonts w:ascii="Tahoma" w:hAnsi="Tahoma" w:cs="Tahoma"/>
                <w:b/>
                <w:bCs/>
                <w:sz w:val="18"/>
                <w:szCs w:val="18"/>
              </w:rPr>
              <w:t>Выдача наличных денежных средств со счета физического лица в рублях и иностранной валюте, поступивших безналичным путем от юридических лиц и индивидуальных предпринимателей*:</w:t>
            </w:r>
          </w:p>
        </w:tc>
        <w:tc>
          <w:tcPr>
            <w:tcW w:w="1305" w:type="dxa"/>
            <w:gridSpan w:val="2"/>
            <w:hideMark/>
          </w:tcPr>
          <w:p w14:paraId="3EA7AD4F" w14:textId="50188ADA" w:rsidR="00A24985" w:rsidRPr="002D4ACF" w:rsidRDefault="00A24985" w:rsidP="00A24985">
            <w:pPr>
              <w:ind w:right="34"/>
              <w:rPr>
                <w:rFonts w:ascii="Tahoma" w:hAnsi="Tahoma" w:cs="Tahoma"/>
                <w:sz w:val="20"/>
                <w:szCs w:val="20"/>
                <w:lang w:eastAsia="zh-CN"/>
              </w:rPr>
            </w:pPr>
            <w:r w:rsidRPr="00441A75">
              <w:rPr>
                <w:rFonts w:ascii="Tahoma" w:hAnsi="Tahoma" w:cs="Tahoma"/>
                <w:sz w:val="18"/>
                <w:szCs w:val="18"/>
              </w:rPr>
              <w:t> </w:t>
            </w:r>
          </w:p>
        </w:tc>
        <w:tc>
          <w:tcPr>
            <w:tcW w:w="1134" w:type="dxa"/>
            <w:gridSpan w:val="2"/>
            <w:noWrap/>
            <w:hideMark/>
          </w:tcPr>
          <w:p w14:paraId="41B082A5" w14:textId="77777777" w:rsidR="00A24985" w:rsidRPr="002D4ACF" w:rsidRDefault="00A24985" w:rsidP="00A24985">
            <w:pPr>
              <w:ind w:right="34"/>
              <w:rPr>
                <w:rFonts w:ascii="Tahoma" w:hAnsi="Tahoma" w:cs="Tahoma"/>
                <w:sz w:val="20"/>
                <w:szCs w:val="20"/>
                <w:lang w:eastAsia="zh-CN"/>
              </w:rPr>
            </w:pPr>
          </w:p>
        </w:tc>
        <w:tc>
          <w:tcPr>
            <w:tcW w:w="1388" w:type="dxa"/>
            <w:gridSpan w:val="2"/>
            <w:noWrap/>
            <w:hideMark/>
          </w:tcPr>
          <w:p w14:paraId="2B90D0B4" w14:textId="77777777" w:rsidR="00A24985" w:rsidRPr="002D4ACF" w:rsidRDefault="00A24985" w:rsidP="00A24985">
            <w:pPr>
              <w:rPr>
                <w:rFonts w:ascii="Tahoma" w:hAnsi="Tahoma" w:cs="Tahoma"/>
                <w:sz w:val="20"/>
                <w:szCs w:val="20"/>
                <w:lang w:eastAsia="zh-CN"/>
              </w:rPr>
            </w:pPr>
          </w:p>
        </w:tc>
      </w:tr>
      <w:tr w:rsidR="00A24985" w:rsidRPr="002D4ACF" w14:paraId="7A6BF151" w14:textId="77777777" w:rsidTr="00DD2371">
        <w:trPr>
          <w:trHeight w:val="65"/>
        </w:trPr>
        <w:tc>
          <w:tcPr>
            <w:tcW w:w="1064" w:type="dxa"/>
            <w:noWrap/>
          </w:tcPr>
          <w:p w14:paraId="2F64E8A4" w14:textId="77777777" w:rsidR="00A24985" w:rsidRPr="002D4ACF" w:rsidRDefault="00A24985" w:rsidP="00A24985">
            <w:pPr>
              <w:ind w:right="34"/>
              <w:rPr>
                <w:rFonts w:ascii="Tahoma" w:hAnsi="Tahoma" w:cs="Tahoma"/>
                <w:b/>
                <w:bCs/>
                <w:iCs/>
                <w:sz w:val="18"/>
                <w:szCs w:val="18"/>
              </w:rPr>
            </w:pPr>
          </w:p>
        </w:tc>
        <w:tc>
          <w:tcPr>
            <w:tcW w:w="1063" w:type="dxa"/>
            <w:noWrap/>
            <w:hideMark/>
          </w:tcPr>
          <w:p w14:paraId="4D3DB86A" w14:textId="3242840A" w:rsidR="00A24985" w:rsidRPr="002D4ACF" w:rsidRDefault="00A24985" w:rsidP="00A24985">
            <w:pPr>
              <w:rPr>
                <w:rFonts w:ascii="Tahoma" w:hAnsi="Tahoma" w:cs="Tahoma"/>
                <w:iCs/>
                <w:sz w:val="18"/>
                <w:szCs w:val="18"/>
              </w:rPr>
            </w:pPr>
            <w:r w:rsidRPr="00441A75">
              <w:rPr>
                <w:rFonts w:ascii="Tahoma" w:hAnsi="Tahoma" w:cs="Tahoma"/>
                <w:sz w:val="18"/>
                <w:szCs w:val="18"/>
              </w:rPr>
              <w:t>1.1.5.1.</w:t>
            </w:r>
          </w:p>
        </w:tc>
        <w:tc>
          <w:tcPr>
            <w:tcW w:w="5244" w:type="dxa"/>
            <w:gridSpan w:val="3"/>
            <w:hideMark/>
          </w:tcPr>
          <w:p w14:paraId="53D8965E" w14:textId="1C7B60AD" w:rsidR="00A24985" w:rsidRPr="002D4ACF" w:rsidRDefault="00A24985" w:rsidP="00A24985">
            <w:pPr>
              <w:ind w:left="34" w:right="34"/>
              <w:jc w:val="both"/>
              <w:rPr>
                <w:rFonts w:ascii="Tahoma" w:eastAsia="Calibri" w:hAnsi="Tahoma" w:cs="Tahoma"/>
                <w:sz w:val="18"/>
                <w:szCs w:val="18"/>
                <w:lang w:eastAsia="en-US"/>
              </w:rPr>
            </w:pPr>
            <w:r w:rsidRPr="00441A75">
              <w:rPr>
                <w:rFonts w:ascii="Tahoma" w:hAnsi="Tahoma" w:cs="Tahoma"/>
                <w:sz w:val="18"/>
                <w:szCs w:val="18"/>
              </w:rPr>
              <w:t>С Номинального счета</w:t>
            </w:r>
          </w:p>
        </w:tc>
        <w:tc>
          <w:tcPr>
            <w:tcW w:w="1305" w:type="dxa"/>
            <w:gridSpan w:val="2"/>
            <w:hideMark/>
          </w:tcPr>
          <w:p w14:paraId="370D8883" w14:textId="4A4BB789" w:rsidR="00A24985" w:rsidRPr="002D4ACF" w:rsidRDefault="00A24985" w:rsidP="00A24985">
            <w:pPr>
              <w:ind w:right="34"/>
              <w:rPr>
                <w:rFonts w:ascii="Tahoma" w:hAnsi="Tahoma" w:cs="Tahoma"/>
                <w:iCs/>
                <w:sz w:val="18"/>
                <w:szCs w:val="18"/>
              </w:rPr>
            </w:pPr>
            <w:r w:rsidRPr="00441A75">
              <w:rPr>
                <w:rFonts w:ascii="Tahoma" w:hAnsi="Tahoma" w:cs="Tahoma"/>
                <w:sz w:val="18"/>
                <w:szCs w:val="18"/>
              </w:rPr>
              <w:t>БЕСПЛАТНО</w:t>
            </w:r>
          </w:p>
        </w:tc>
        <w:tc>
          <w:tcPr>
            <w:tcW w:w="1134" w:type="dxa"/>
            <w:gridSpan w:val="2"/>
            <w:noWrap/>
          </w:tcPr>
          <w:p w14:paraId="1D3AE6CE" w14:textId="77777777" w:rsidR="00A24985" w:rsidRPr="002D4ACF" w:rsidRDefault="00A24985" w:rsidP="00A24985">
            <w:pPr>
              <w:ind w:right="34"/>
              <w:jc w:val="center"/>
              <w:rPr>
                <w:rFonts w:ascii="Tahoma" w:hAnsi="Tahoma" w:cs="Tahoma"/>
                <w:iCs/>
                <w:sz w:val="18"/>
                <w:szCs w:val="18"/>
              </w:rPr>
            </w:pPr>
          </w:p>
        </w:tc>
        <w:tc>
          <w:tcPr>
            <w:tcW w:w="1388" w:type="dxa"/>
            <w:gridSpan w:val="2"/>
            <w:noWrap/>
          </w:tcPr>
          <w:p w14:paraId="77B51ECF" w14:textId="77777777" w:rsidR="00A24985" w:rsidRPr="002D4ACF" w:rsidRDefault="00A24985" w:rsidP="00A24985">
            <w:pPr>
              <w:jc w:val="center"/>
              <w:rPr>
                <w:rFonts w:ascii="Tahoma" w:hAnsi="Tahoma" w:cs="Tahoma"/>
                <w:iCs/>
                <w:sz w:val="18"/>
                <w:szCs w:val="18"/>
              </w:rPr>
            </w:pPr>
          </w:p>
        </w:tc>
      </w:tr>
      <w:tr w:rsidR="00A24985" w:rsidRPr="002D4ACF" w14:paraId="4D5565FF" w14:textId="77777777" w:rsidTr="00DD2371">
        <w:trPr>
          <w:trHeight w:val="345"/>
        </w:trPr>
        <w:tc>
          <w:tcPr>
            <w:tcW w:w="1064" w:type="dxa"/>
            <w:noWrap/>
            <w:hideMark/>
          </w:tcPr>
          <w:p w14:paraId="1A15B607" w14:textId="77777777" w:rsidR="00A24985" w:rsidRPr="002D4ACF" w:rsidRDefault="00A24985" w:rsidP="00A24985">
            <w:pPr>
              <w:ind w:right="34"/>
              <w:rPr>
                <w:rFonts w:ascii="Tahoma" w:hAnsi="Tahoma" w:cs="Tahoma"/>
                <w:b/>
                <w:bCs/>
                <w:iCs/>
                <w:sz w:val="18"/>
                <w:szCs w:val="18"/>
              </w:rPr>
            </w:pPr>
          </w:p>
        </w:tc>
        <w:tc>
          <w:tcPr>
            <w:tcW w:w="1063" w:type="dxa"/>
            <w:noWrap/>
            <w:hideMark/>
          </w:tcPr>
          <w:p w14:paraId="4DF4D8EC" w14:textId="2E6C0787" w:rsidR="00A24985" w:rsidRPr="002D4ACF" w:rsidRDefault="00A24985" w:rsidP="00A24985">
            <w:pPr>
              <w:rPr>
                <w:rFonts w:ascii="Tahoma" w:hAnsi="Tahoma" w:cs="Tahoma"/>
                <w:iCs/>
                <w:sz w:val="18"/>
                <w:szCs w:val="18"/>
              </w:rPr>
            </w:pPr>
            <w:r w:rsidRPr="00441A75">
              <w:rPr>
                <w:rFonts w:ascii="Tahoma" w:hAnsi="Tahoma" w:cs="Tahoma"/>
                <w:sz w:val="18"/>
                <w:szCs w:val="18"/>
              </w:rPr>
              <w:t>1.1.5.2.</w:t>
            </w:r>
          </w:p>
        </w:tc>
        <w:tc>
          <w:tcPr>
            <w:tcW w:w="5244" w:type="dxa"/>
            <w:gridSpan w:val="3"/>
            <w:hideMark/>
          </w:tcPr>
          <w:p w14:paraId="4532C048" w14:textId="49F12C40" w:rsidR="00A24985" w:rsidRPr="002D4ACF" w:rsidRDefault="00A24985" w:rsidP="00A24985">
            <w:pPr>
              <w:ind w:left="32" w:right="34"/>
              <w:jc w:val="both"/>
              <w:rPr>
                <w:rFonts w:ascii="Tahoma" w:hAnsi="Tahoma" w:cs="Tahoma"/>
                <w:iCs/>
                <w:sz w:val="18"/>
                <w:szCs w:val="18"/>
              </w:rPr>
            </w:pPr>
            <w:r w:rsidRPr="00441A75">
              <w:rPr>
                <w:rFonts w:ascii="Tahoma" w:hAnsi="Tahoma" w:cs="Tahoma"/>
                <w:sz w:val="18"/>
                <w:szCs w:val="18"/>
              </w:rPr>
              <w:t xml:space="preserve">В рублях со Срочного вклада, Текущего банковского счета, Вклада до востребования, Пенсионного вклада до востребования, со Счета Карты без использования Карты:  </w:t>
            </w:r>
          </w:p>
        </w:tc>
        <w:tc>
          <w:tcPr>
            <w:tcW w:w="1305" w:type="dxa"/>
            <w:gridSpan w:val="2"/>
            <w:hideMark/>
          </w:tcPr>
          <w:p w14:paraId="47076F3C" w14:textId="37B23E89" w:rsidR="00A24985" w:rsidRPr="002D4ACF" w:rsidRDefault="00A24985" w:rsidP="00A24985">
            <w:pPr>
              <w:ind w:right="34"/>
              <w:jc w:val="center"/>
              <w:rPr>
                <w:rFonts w:ascii="Tahoma" w:hAnsi="Tahoma" w:cs="Tahoma"/>
                <w:iCs/>
                <w:sz w:val="18"/>
                <w:szCs w:val="18"/>
              </w:rPr>
            </w:pPr>
            <w:r w:rsidRPr="00441A75">
              <w:rPr>
                <w:rFonts w:ascii="Tahoma" w:hAnsi="Tahoma" w:cs="Tahoma"/>
                <w:sz w:val="18"/>
                <w:szCs w:val="18"/>
              </w:rPr>
              <w:t> </w:t>
            </w:r>
          </w:p>
        </w:tc>
        <w:tc>
          <w:tcPr>
            <w:tcW w:w="1134" w:type="dxa"/>
            <w:gridSpan w:val="2"/>
            <w:noWrap/>
            <w:hideMark/>
          </w:tcPr>
          <w:p w14:paraId="03432BEA" w14:textId="77777777" w:rsidR="00A24985" w:rsidRPr="002D4ACF" w:rsidRDefault="00A24985" w:rsidP="00A24985">
            <w:pPr>
              <w:ind w:right="34"/>
              <w:rPr>
                <w:rFonts w:ascii="Tahoma" w:hAnsi="Tahoma" w:cs="Tahoma"/>
                <w:sz w:val="20"/>
                <w:szCs w:val="20"/>
                <w:lang w:eastAsia="zh-CN"/>
              </w:rPr>
            </w:pPr>
          </w:p>
        </w:tc>
        <w:tc>
          <w:tcPr>
            <w:tcW w:w="1388" w:type="dxa"/>
            <w:gridSpan w:val="2"/>
            <w:noWrap/>
            <w:hideMark/>
          </w:tcPr>
          <w:p w14:paraId="42F85EB0" w14:textId="77777777" w:rsidR="00A24985" w:rsidRPr="002D4ACF" w:rsidRDefault="00A24985" w:rsidP="00A24985">
            <w:pPr>
              <w:rPr>
                <w:rFonts w:ascii="Tahoma" w:hAnsi="Tahoma" w:cs="Tahoma"/>
                <w:sz w:val="20"/>
                <w:szCs w:val="20"/>
                <w:lang w:eastAsia="zh-CN"/>
              </w:rPr>
            </w:pPr>
          </w:p>
        </w:tc>
      </w:tr>
      <w:tr w:rsidR="00A24985" w:rsidRPr="002D4ACF" w14:paraId="3CF6F1C4" w14:textId="77777777" w:rsidTr="00DD2371">
        <w:trPr>
          <w:trHeight w:val="345"/>
        </w:trPr>
        <w:tc>
          <w:tcPr>
            <w:tcW w:w="1064" w:type="dxa"/>
            <w:noWrap/>
          </w:tcPr>
          <w:p w14:paraId="6036D33B" w14:textId="77777777" w:rsidR="00A24985" w:rsidRPr="002D4ACF" w:rsidRDefault="00A24985" w:rsidP="00A24985">
            <w:pPr>
              <w:ind w:right="34"/>
              <w:rPr>
                <w:rFonts w:ascii="Tahoma" w:hAnsi="Tahoma" w:cs="Tahoma"/>
                <w:b/>
                <w:bCs/>
                <w:iCs/>
                <w:sz w:val="18"/>
                <w:szCs w:val="18"/>
              </w:rPr>
            </w:pPr>
          </w:p>
        </w:tc>
        <w:tc>
          <w:tcPr>
            <w:tcW w:w="1063" w:type="dxa"/>
            <w:noWrap/>
          </w:tcPr>
          <w:p w14:paraId="32527858" w14:textId="77777777" w:rsidR="00A24985" w:rsidRPr="002D4ACF" w:rsidRDefault="00A24985" w:rsidP="00A24985">
            <w:pPr>
              <w:rPr>
                <w:rFonts w:ascii="Tahoma" w:hAnsi="Tahoma" w:cs="Tahoma"/>
                <w:sz w:val="20"/>
                <w:szCs w:val="20"/>
              </w:rPr>
            </w:pPr>
          </w:p>
        </w:tc>
        <w:tc>
          <w:tcPr>
            <w:tcW w:w="5244" w:type="dxa"/>
            <w:gridSpan w:val="3"/>
          </w:tcPr>
          <w:p w14:paraId="20DF8FC1" w14:textId="7C8EBDEE" w:rsidR="00A24985" w:rsidRPr="002D4ACF" w:rsidRDefault="00A24985" w:rsidP="00A24985">
            <w:pPr>
              <w:ind w:left="32" w:right="34"/>
              <w:jc w:val="both"/>
              <w:rPr>
                <w:rFonts w:ascii="Tahoma" w:hAnsi="Tahoma" w:cs="Tahoma"/>
                <w:iCs/>
                <w:sz w:val="18"/>
                <w:szCs w:val="18"/>
              </w:rPr>
            </w:pPr>
            <w:r w:rsidRPr="00441A75">
              <w:rPr>
                <w:rFonts w:ascii="Tahoma" w:hAnsi="Tahoma" w:cs="Tahoma"/>
                <w:sz w:val="18"/>
                <w:szCs w:val="18"/>
              </w:rPr>
              <w:t>при условии снятия наличных денежных средств в срок более 30 календарных дней с даты поступления денежных средств на счет физического лица (Клиента):</w:t>
            </w:r>
          </w:p>
        </w:tc>
        <w:tc>
          <w:tcPr>
            <w:tcW w:w="1305" w:type="dxa"/>
            <w:gridSpan w:val="2"/>
          </w:tcPr>
          <w:p w14:paraId="3B9A930A" w14:textId="6601AE9F" w:rsidR="00A24985" w:rsidRPr="002D4ACF" w:rsidRDefault="00A24985" w:rsidP="00A24985">
            <w:pPr>
              <w:ind w:right="34"/>
              <w:jc w:val="center"/>
              <w:rPr>
                <w:rFonts w:ascii="Tahoma" w:hAnsi="Tahoma" w:cs="Tahoma"/>
                <w:iCs/>
                <w:sz w:val="18"/>
                <w:szCs w:val="18"/>
              </w:rPr>
            </w:pPr>
            <w:r w:rsidRPr="00441A75">
              <w:rPr>
                <w:rFonts w:ascii="Tahoma" w:hAnsi="Tahoma" w:cs="Tahoma"/>
                <w:sz w:val="18"/>
                <w:szCs w:val="18"/>
              </w:rPr>
              <w:t>1% от суммы операции</w:t>
            </w:r>
            <w:r w:rsidRPr="00441A75">
              <w:rPr>
                <w:rFonts w:ascii="Tahoma" w:hAnsi="Tahoma" w:cs="Tahoma"/>
                <w:sz w:val="18"/>
                <w:szCs w:val="18"/>
                <w:vertAlign w:val="superscript"/>
              </w:rPr>
              <w:t>6</w:t>
            </w:r>
          </w:p>
        </w:tc>
        <w:tc>
          <w:tcPr>
            <w:tcW w:w="1134" w:type="dxa"/>
            <w:gridSpan w:val="2"/>
            <w:noWrap/>
          </w:tcPr>
          <w:p w14:paraId="3407BBC1" w14:textId="77777777" w:rsidR="00A24985" w:rsidRPr="002D4ACF" w:rsidRDefault="00A24985" w:rsidP="00A24985">
            <w:pPr>
              <w:ind w:right="34"/>
              <w:rPr>
                <w:rFonts w:ascii="Tahoma" w:hAnsi="Tahoma" w:cs="Tahoma"/>
                <w:sz w:val="20"/>
                <w:szCs w:val="20"/>
                <w:lang w:eastAsia="zh-CN"/>
              </w:rPr>
            </w:pPr>
          </w:p>
        </w:tc>
        <w:tc>
          <w:tcPr>
            <w:tcW w:w="1388" w:type="dxa"/>
            <w:gridSpan w:val="2"/>
            <w:noWrap/>
          </w:tcPr>
          <w:p w14:paraId="27BA9BC7" w14:textId="77777777" w:rsidR="00A24985" w:rsidRPr="002D4ACF" w:rsidRDefault="00A24985" w:rsidP="00A24985">
            <w:pPr>
              <w:rPr>
                <w:rFonts w:ascii="Tahoma" w:hAnsi="Tahoma" w:cs="Tahoma"/>
                <w:sz w:val="20"/>
                <w:szCs w:val="20"/>
                <w:lang w:eastAsia="zh-CN"/>
              </w:rPr>
            </w:pPr>
          </w:p>
        </w:tc>
      </w:tr>
      <w:tr w:rsidR="00A24985" w:rsidRPr="002D4ACF" w14:paraId="4A97A997" w14:textId="77777777" w:rsidTr="00DD2371">
        <w:trPr>
          <w:trHeight w:val="345"/>
        </w:trPr>
        <w:tc>
          <w:tcPr>
            <w:tcW w:w="1064" w:type="dxa"/>
            <w:noWrap/>
          </w:tcPr>
          <w:p w14:paraId="68A5C930" w14:textId="77777777" w:rsidR="00A24985" w:rsidRPr="002D4ACF" w:rsidRDefault="00A24985" w:rsidP="00A24985">
            <w:pPr>
              <w:ind w:right="34"/>
              <w:rPr>
                <w:rFonts w:ascii="Tahoma" w:hAnsi="Tahoma" w:cs="Tahoma"/>
                <w:b/>
                <w:bCs/>
                <w:iCs/>
                <w:sz w:val="18"/>
                <w:szCs w:val="18"/>
              </w:rPr>
            </w:pPr>
          </w:p>
        </w:tc>
        <w:tc>
          <w:tcPr>
            <w:tcW w:w="1063" w:type="dxa"/>
            <w:noWrap/>
          </w:tcPr>
          <w:p w14:paraId="3B24203D" w14:textId="77777777" w:rsidR="00A24985" w:rsidRPr="002D4ACF" w:rsidRDefault="00A24985" w:rsidP="00A24985">
            <w:pPr>
              <w:rPr>
                <w:rFonts w:ascii="Tahoma" w:hAnsi="Tahoma" w:cs="Tahoma"/>
                <w:sz w:val="20"/>
                <w:szCs w:val="20"/>
              </w:rPr>
            </w:pPr>
          </w:p>
        </w:tc>
        <w:tc>
          <w:tcPr>
            <w:tcW w:w="5244" w:type="dxa"/>
            <w:gridSpan w:val="3"/>
          </w:tcPr>
          <w:p w14:paraId="73F589EA" w14:textId="155E7DE6" w:rsidR="00A24985" w:rsidRPr="002D4ACF" w:rsidRDefault="00A24985" w:rsidP="00A24985">
            <w:pPr>
              <w:ind w:left="32" w:right="34"/>
              <w:jc w:val="both"/>
              <w:rPr>
                <w:rFonts w:ascii="Tahoma" w:hAnsi="Tahoma" w:cs="Tahoma"/>
                <w:iCs/>
                <w:sz w:val="18"/>
                <w:szCs w:val="18"/>
              </w:rPr>
            </w:pPr>
            <w:r w:rsidRPr="00441A75">
              <w:rPr>
                <w:rFonts w:ascii="Tahoma" w:hAnsi="Tahoma" w:cs="Tahoma"/>
                <w:sz w:val="18"/>
                <w:szCs w:val="18"/>
              </w:rPr>
              <w:t>при условии снятия наличных денежных средств в срок менее 30 календарных дней с даты поступления денежных средств на счет физического лица (Клиента)</w:t>
            </w:r>
            <w:r w:rsidRPr="00441A75">
              <w:rPr>
                <w:sz w:val="18"/>
                <w:szCs w:val="18"/>
              </w:rPr>
              <w:t xml:space="preserve"> </w:t>
            </w:r>
            <w:r w:rsidRPr="00441A75">
              <w:rPr>
                <w:rFonts w:ascii="Tahoma" w:hAnsi="Tahoma" w:cs="Tahoma"/>
                <w:sz w:val="18"/>
                <w:szCs w:val="18"/>
                <w:vertAlign w:val="superscript"/>
              </w:rPr>
              <w:t xml:space="preserve">5 </w:t>
            </w:r>
            <w:r w:rsidRPr="00441A75">
              <w:rPr>
                <w:rFonts w:ascii="Tahoma" w:hAnsi="Tahoma" w:cs="Tahoma"/>
                <w:sz w:val="18"/>
                <w:szCs w:val="18"/>
              </w:rPr>
              <w:t>:</w:t>
            </w:r>
          </w:p>
        </w:tc>
        <w:tc>
          <w:tcPr>
            <w:tcW w:w="1305" w:type="dxa"/>
            <w:gridSpan w:val="2"/>
          </w:tcPr>
          <w:p w14:paraId="2DB8DA55" w14:textId="4767EFF3" w:rsidR="00A24985" w:rsidRPr="002D4ACF" w:rsidRDefault="00A24985" w:rsidP="00A24985">
            <w:pPr>
              <w:ind w:right="34"/>
              <w:jc w:val="center"/>
              <w:rPr>
                <w:rFonts w:ascii="Tahoma" w:hAnsi="Tahoma" w:cs="Tahoma"/>
                <w:iCs/>
                <w:sz w:val="18"/>
                <w:szCs w:val="18"/>
              </w:rPr>
            </w:pPr>
            <w:r w:rsidRPr="00441A75">
              <w:rPr>
                <w:rFonts w:ascii="Tahoma" w:hAnsi="Tahoma" w:cs="Tahoma"/>
                <w:sz w:val="18"/>
                <w:szCs w:val="18"/>
              </w:rPr>
              <w:t> </w:t>
            </w:r>
          </w:p>
        </w:tc>
        <w:tc>
          <w:tcPr>
            <w:tcW w:w="1134" w:type="dxa"/>
            <w:gridSpan w:val="2"/>
            <w:noWrap/>
          </w:tcPr>
          <w:p w14:paraId="279CC054" w14:textId="77777777" w:rsidR="00A24985" w:rsidRPr="002D4ACF" w:rsidRDefault="00A24985" w:rsidP="00A24985">
            <w:pPr>
              <w:ind w:right="34"/>
              <w:rPr>
                <w:rFonts w:ascii="Tahoma" w:hAnsi="Tahoma" w:cs="Tahoma"/>
                <w:sz w:val="20"/>
                <w:szCs w:val="20"/>
                <w:lang w:eastAsia="zh-CN"/>
              </w:rPr>
            </w:pPr>
          </w:p>
        </w:tc>
        <w:tc>
          <w:tcPr>
            <w:tcW w:w="1388" w:type="dxa"/>
            <w:gridSpan w:val="2"/>
            <w:noWrap/>
          </w:tcPr>
          <w:p w14:paraId="438B1B00" w14:textId="77777777" w:rsidR="00A24985" w:rsidRPr="002D4ACF" w:rsidRDefault="00A24985" w:rsidP="00A24985">
            <w:pPr>
              <w:rPr>
                <w:rFonts w:ascii="Tahoma" w:hAnsi="Tahoma" w:cs="Tahoma"/>
                <w:sz w:val="20"/>
                <w:szCs w:val="20"/>
                <w:lang w:eastAsia="zh-CN"/>
              </w:rPr>
            </w:pPr>
          </w:p>
        </w:tc>
      </w:tr>
      <w:tr w:rsidR="00A24985" w:rsidRPr="002D4ACF" w14:paraId="0E98215A" w14:textId="77777777" w:rsidTr="00DD2371">
        <w:trPr>
          <w:trHeight w:val="345"/>
        </w:trPr>
        <w:tc>
          <w:tcPr>
            <w:tcW w:w="1064" w:type="dxa"/>
            <w:noWrap/>
          </w:tcPr>
          <w:p w14:paraId="3751D07C" w14:textId="77777777" w:rsidR="00A24985" w:rsidRPr="002D4ACF" w:rsidRDefault="00A24985" w:rsidP="00A24985">
            <w:pPr>
              <w:ind w:right="34"/>
              <w:rPr>
                <w:rFonts w:ascii="Tahoma" w:hAnsi="Tahoma" w:cs="Tahoma"/>
                <w:b/>
                <w:bCs/>
                <w:iCs/>
                <w:sz w:val="18"/>
                <w:szCs w:val="18"/>
              </w:rPr>
            </w:pPr>
          </w:p>
        </w:tc>
        <w:tc>
          <w:tcPr>
            <w:tcW w:w="1063" w:type="dxa"/>
            <w:noWrap/>
          </w:tcPr>
          <w:p w14:paraId="58B7FB96" w14:textId="77777777" w:rsidR="00A24985" w:rsidRPr="002D4ACF" w:rsidRDefault="00A24985" w:rsidP="00A24985">
            <w:pPr>
              <w:rPr>
                <w:rFonts w:ascii="Tahoma" w:hAnsi="Tahoma" w:cs="Tahoma"/>
                <w:sz w:val="20"/>
                <w:szCs w:val="20"/>
              </w:rPr>
            </w:pPr>
          </w:p>
        </w:tc>
        <w:tc>
          <w:tcPr>
            <w:tcW w:w="5244" w:type="dxa"/>
            <w:gridSpan w:val="3"/>
          </w:tcPr>
          <w:p w14:paraId="253BA1D4" w14:textId="69C08432" w:rsidR="00A24985" w:rsidRPr="002D4ACF" w:rsidRDefault="00A24985" w:rsidP="00A24985">
            <w:pPr>
              <w:ind w:left="32" w:right="34"/>
              <w:jc w:val="both"/>
              <w:rPr>
                <w:rFonts w:ascii="Tahoma" w:hAnsi="Tahoma" w:cs="Tahoma"/>
                <w:iCs/>
                <w:sz w:val="18"/>
                <w:szCs w:val="18"/>
              </w:rPr>
            </w:pPr>
            <w:r w:rsidRPr="00441A75">
              <w:rPr>
                <w:rFonts w:ascii="Tahoma" w:hAnsi="Tahoma" w:cs="Tahoma"/>
                <w:sz w:val="18"/>
                <w:szCs w:val="18"/>
              </w:rPr>
              <w:t xml:space="preserve"> - в сумме до 1 000 000 рублей включительно</w:t>
            </w:r>
          </w:p>
        </w:tc>
        <w:tc>
          <w:tcPr>
            <w:tcW w:w="1305" w:type="dxa"/>
            <w:gridSpan w:val="2"/>
          </w:tcPr>
          <w:p w14:paraId="7BBC10E9" w14:textId="2118DA9E" w:rsidR="00A24985" w:rsidRPr="002D4ACF" w:rsidRDefault="00A24985" w:rsidP="00A24985">
            <w:pPr>
              <w:ind w:right="34"/>
              <w:jc w:val="center"/>
              <w:rPr>
                <w:rFonts w:ascii="Tahoma" w:hAnsi="Tahoma" w:cs="Tahoma"/>
                <w:iCs/>
                <w:sz w:val="18"/>
                <w:szCs w:val="18"/>
              </w:rPr>
            </w:pPr>
            <w:r w:rsidRPr="00441A75">
              <w:rPr>
                <w:rFonts w:ascii="Tahoma" w:hAnsi="Tahoma" w:cs="Tahoma"/>
                <w:sz w:val="18"/>
                <w:szCs w:val="18"/>
              </w:rPr>
              <w:t>1% от суммы операции</w:t>
            </w:r>
            <w:r w:rsidRPr="00441A75">
              <w:rPr>
                <w:rFonts w:ascii="Tahoma" w:hAnsi="Tahoma" w:cs="Tahoma"/>
                <w:sz w:val="18"/>
                <w:szCs w:val="18"/>
                <w:vertAlign w:val="superscript"/>
              </w:rPr>
              <w:t>6</w:t>
            </w:r>
          </w:p>
        </w:tc>
        <w:tc>
          <w:tcPr>
            <w:tcW w:w="1134" w:type="dxa"/>
            <w:gridSpan w:val="2"/>
            <w:noWrap/>
          </w:tcPr>
          <w:p w14:paraId="78E1C51C" w14:textId="77777777" w:rsidR="00A24985" w:rsidRPr="002D4ACF" w:rsidRDefault="00A24985" w:rsidP="00A24985">
            <w:pPr>
              <w:ind w:right="34"/>
              <w:rPr>
                <w:rFonts w:ascii="Tahoma" w:hAnsi="Tahoma" w:cs="Tahoma"/>
                <w:sz w:val="20"/>
                <w:szCs w:val="20"/>
                <w:lang w:eastAsia="zh-CN"/>
              </w:rPr>
            </w:pPr>
          </w:p>
        </w:tc>
        <w:tc>
          <w:tcPr>
            <w:tcW w:w="1388" w:type="dxa"/>
            <w:gridSpan w:val="2"/>
            <w:noWrap/>
          </w:tcPr>
          <w:p w14:paraId="0853B6CA" w14:textId="77777777" w:rsidR="00A24985" w:rsidRPr="002D4ACF" w:rsidRDefault="00A24985" w:rsidP="00A24985">
            <w:pPr>
              <w:rPr>
                <w:rFonts w:ascii="Tahoma" w:hAnsi="Tahoma" w:cs="Tahoma"/>
                <w:sz w:val="20"/>
                <w:szCs w:val="20"/>
                <w:lang w:eastAsia="zh-CN"/>
              </w:rPr>
            </w:pPr>
          </w:p>
        </w:tc>
      </w:tr>
      <w:tr w:rsidR="00A24985" w:rsidRPr="002D4ACF" w14:paraId="38AB5A35" w14:textId="77777777" w:rsidTr="00DD2371">
        <w:trPr>
          <w:trHeight w:val="345"/>
        </w:trPr>
        <w:tc>
          <w:tcPr>
            <w:tcW w:w="1064" w:type="dxa"/>
            <w:noWrap/>
          </w:tcPr>
          <w:p w14:paraId="7D44357C" w14:textId="77777777" w:rsidR="00A24985" w:rsidRPr="002D4ACF" w:rsidRDefault="00A24985" w:rsidP="00A24985">
            <w:pPr>
              <w:ind w:right="34"/>
              <w:rPr>
                <w:rFonts w:ascii="Tahoma" w:hAnsi="Tahoma" w:cs="Tahoma"/>
                <w:b/>
                <w:bCs/>
                <w:iCs/>
                <w:sz w:val="18"/>
                <w:szCs w:val="18"/>
              </w:rPr>
            </w:pPr>
          </w:p>
        </w:tc>
        <w:tc>
          <w:tcPr>
            <w:tcW w:w="1063" w:type="dxa"/>
            <w:noWrap/>
          </w:tcPr>
          <w:p w14:paraId="3CC4D44D" w14:textId="77777777" w:rsidR="00A24985" w:rsidRPr="002D4ACF" w:rsidRDefault="00A24985" w:rsidP="00A24985">
            <w:pPr>
              <w:rPr>
                <w:rFonts w:ascii="Tahoma" w:hAnsi="Tahoma" w:cs="Tahoma"/>
                <w:sz w:val="20"/>
                <w:szCs w:val="20"/>
              </w:rPr>
            </w:pPr>
          </w:p>
        </w:tc>
        <w:tc>
          <w:tcPr>
            <w:tcW w:w="5244" w:type="dxa"/>
            <w:gridSpan w:val="3"/>
          </w:tcPr>
          <w:p w14:paraId="66116A5B" w14:textId="5AC999A6" w:rsidR="00A24985" w:rsidRPr="002D4ACF" w:rsidRDefault="00A24985" w:rsidP="00A24985">
            <w:pPr>
              <w:ind w:left="32" w:right="34"/>
              <w:jc w:val="both"/>
              <w:rPr>
                <w:rFonts w:ascii="Tahoma" w:hAnsi="Tahoma" w:cs="Tahoma"/>
                <w:iCs/>
                <w:sz w:val="18"/>
                <w:szCs w:val="18"/>
              </w:rPr>
            </w:pPr>
            <w:r w:rsidRPr="00441A75">
              <w:rPr>
                <w:rFonts w:ascii="Tahoma" w:hAnsi="Tahoma" w:cs="Tahoma"/>
                <w:sz w:val="18"/>
                <w:szCs w:val="18"/>
              </w:rPr>
              <w:t xml:space="preserve"> - в сумме свыше 1 000 000 рублей до 3 000 000 рублей включительно</w:t>
            </w:r>
          </w:p>
        </w:tc>
        <w:tc>
          <w:tcPr>
            <w:tcW w:w="1305" w:type="dxa"/>
            <w:gridSpan w:val="2"/>
          </w:tcPr>
          <w:p w14:paraId="452A23D6" w14:textId="55E91864" w:rsidR="00A24985" w:rsidRPr="002D4ACF" w:rsidRDefault="00A24985" w:rsidP="00A24985">
            <w:pPr>
              <w:ind w:right="34"/>
              <w:jc w:val="center"/>
              <w:rPr>
                <w:rFonts w:ascii="Tahoma" w:hAnsi="Tahoma" w:cs="Tahoma"/>
                <w:iCs/>
                <w:sz w:val="18"/>
                <w:szCs w:val="18"/>
              </w:rPr>
            </w:pPr>
            <w:r w:rsidRPr="00441A75">
              <w:rPr>
                <w:rFonts w:ascii="Tahoma" w:hAnsi="Tahoma" w:cs="Tahoma"/>
                <w:sz w:val="18"/>
                <w:szCs w:val="18"/>
              </w:rPr>
              <w:t>5% от суммы операции</w:t>
            </w:r>
            <w:r w:rsidRPr="00441A75">
              <w:rPr>
                <w:rFonts w:ascii="Tahoma" w:hAnsi="Tahoma" w:cs="Tahoma"/>
                <w:sz w:val="18"/>
                <w:szCs w:val="18"/>
                <w:vertAlign w:val="superscript"/>
              </w:rPr>
              <w:t>6</w:t>
            </w:r>
          </w:p>
        </w:tc>
        <w:tc>
          <w:tcPr>
            <w:tcW w:w="1134" w:type="dxa"/>
            <w:gridSpan w:val="2"/>
            <w:noWrap/>
          </w:tcPr>
          <w:p w14:paraId="7CADAF77" w14:textId="77777777" w:rsidR="00A24985" w:rsidRPr="002D4ACF" w:rsidRDefault="00A24985" w:rsidP="00A24985">
            <w:pPr>
              <w:ind w:right="34"/>
              <w:rPr>
                <w:rFonts w:ascii="Tahoma" w:hAnsi="Tahoma" w:cs="Tahoma"/>
                <w:sz w:val="20"/>
                <w:szCs w:val="20"/>
                <w:lang w:eastAsia="zh-CN"/>
              </w:rPr>
            </w:pPr>
          </w:p>
        </w:tc>
        <w:tc>
          <w:tcPr>
            <w:tcW w:w="1388" w:type="dxa"/>
            <w:gridSpan w:val="2"/>
            <w:noWrap/>
          </w:tcPr>
          <w:p w14:paraId="2E31698F" w14:textId="77777777" w:rsidR="00A24985" w:rsidRPr="002D4ACF" w:rsidRDefault="00A24985" w:rsidP="00A24985">
            <w:pPr>
              <w:rPr>
                <w:rFonts w:ascii="Tahoma" w:hAnsi="Tahoma" w:cs="Tahoma"/>
                <w:sz w:val="20"/>
                <w:szCs w:val="20"/>
                <w:lang w:eastAsia="zh-CN"/>
              </w:rPr>
            </w:pPr>
          </w:p>
        </w:tc>
      </w:tr>
      <w:tr w:rsidR="00A24985" w:rsidRPr="002D4ACF" w14:paraId="6E62EB0B" w14:textId="77777777" w:rsidTr="00DD2371">
        <w:trPr>
          <w:trHeight w:val="345"/>
        </w:trPr>
        <w:tc>
          <w:tcPr>
            <w:tcW w:w="1064" w:type="dxa"/>
            <w:noWrap/>
          </w:tcPr>
          <w:p w14:paraId="20B07321" w14:textId="77777777" w:rsidR="00A24985" w:rsidRPr="002D4ACF" w:rsidRDefault="00A24985" w:rsidP="00A24985">
            <w:pPr>
              <w:ind w:right="34"/>
              <w:rPr>
                <w:rFonts w:ascii="Tahoma" w:hAnsi="Tahoma" w:cs="Tahoma"/>
                <w:b/>
                <w:bCs/>
                <w:iCs/>
                <w:sz w:val="18"/>
                <w:szCs w:val="18"/>
              </w:rPr>
            </w:pPr>
          </w:p>
        </w:tc>
        <w:tc>
          <w:tcPr>
            <w:tcW w:w="1063" w:type="dxa"/>
            <w:noWrap/>
          </w:tcPr>
          <w:p w14:paraId="2C3D8498" w14:textId="77777777" w:rsidR="00A24985" w:rsidRPr="002D4ACF" w:rsidRDefault="00A24985" w:rsidP="00A24985">
            <w:pPr>
              <w:rPr>
                <w:rFonts w:ascii="Tahoma" w:hAnsi="Tahoma" w:cs="Tahoma"/>
                <w:sz w:val="20"/>
                <w:szCs w:val="20"/>
              </w:rPr>
            </w:pPr>
          </w:p>
        </w:tc>
        <w:tc>
          <w:tcPr>
            <w:tcW w:w="5244" w:type="dxa"/>
            <w:gridSpan w:val="3"/>
          </w:tcPr>
          <w:p w14:paraId="4F147942" w14:textId="07E6B95A" w:rsidR="00A24985" w:rsidRPr="002D4ACF" w:rsidRDefault="00A24985" w:rsidP="00A24985">
            <w:pPr>
              <w:ind w:left="32" w:right="34"/>
              <w:jc w:val="both"/>
              <w:rPr>
                <w:rFonts w:ascii="Tahoma" w:hAnsi="Tahoma" w:cs="Tahoma"/>
                <w:iCs/>
                <w:sz w:val="18"/>
                <w:szCs w:val="18"/>
              </w:rPr>
            </w:pPr>
            <w:r w:rsidRPr="00441A75">
              <w:rPr>
                <w:rFonts w:ascii="Tahoma" w:hAnsi="Tahoma" w:cs="Tahoma"/>
                <w:sz w:val="18"/>
                <w:szCs w:val="18"/>
              </w:rPr>
              <w:t xml:space="preserve"> - в сумме свыше 3 000 000 рублей </w:t>
            </w:r>
          </w:p>
        </w:tc>
        <w:tc>
          <w:tcPr>
            <w:tcW w:w="1305" w:type="dxa"/>
            <w:gridSpan w:val="2"/>
          </w:tcPr>
          <w:p w14:paraId="5F7CC219" w14:textId="6A02A8AD" w:rsidR="00A24985" w:rsidRPr="002D4ACF" w:rsidRDefault="00A24985" w:rsidP="00A24985">
            <w:pPr>
              <w:ind w:right="34"/>
              <w:jc w:val="center"/>
              <w:rPr>
                <w:rFonts w:ascii="Tahoma" w:hAnsi="Tahoma" w:cs="Tahoma"/>
                <w:iCs/>
                <w:sz w:val="18"/>
                <w:szCs w:val="18"/>
              </w:rPr>
            </w:pPr>
            <w:r w:rsidRPr="00441A75">
              <w:rPr>
                <w:rFonts w:ascii="Tahoma" w:hAnsi="Tahoma" w:cs="Tahoma"/>
                <w:sz w:val="18"/>
                <w:szCs w:val="18"/>
              </w:rPr>
              <w:t>15% от суммы операции</w:t>
            </w:r>
            <w:r w:rsidRPr="00441A75">
              <w:rPr>
                <w:rFonts w:ascii="Tahoma" w:hAnsi="Tahoma" w:cs="Tahoma"/>
                <w:sz w:val="18"/>
                <w:szCs w:val="18"/>
                <w:vertAlign w:val="superscript"/>
              </w:rPr>
              <w:t>6</w:t>
            </w:r>
          </w:p>
        </w:tc>
        <w:tc>
          <w:tcPr>
            <w:tcW w:w="1134" w:type="dxa"/>
            <w:gridSpan w:val="2"/>
            <w:noWrap/>
          </w:tcPr>
          <w:p w14:paraId="502F3337" w14:textId="77777777" w:rsidR="00A24985" w:rsidRPr="002D4ACF" w:rsidRDefault="00A24985" w:rsidP="00A24985">
            <w:pPr>
              <w:ind w:right="34"/>
              <w:rPr>
                <w:rFonts w:ascii="Tahoma" w:hAnsi="Tahoma" w:cs="Tahoma"/>
                <w:sz w:val="20"/>
                <w:szCs w:val="20"/>
                <w:lang w:eastAsia="zh-CN"/>
              </w:rPr>
            </w:pPr>
          </w:p>
        </w:tc>
        <w:tc>
          <w:tcPr>
            <w:tcW w:w="1388" w:type="dxa"/>
            <w:gridSpan w:val="2"/>
            <w:noWrap/>
          </w:tcPr>
          <w:p w14:paraId="3DCCA1AB" w14:textId="77777777" w:rsidR="00A24985" w:rsidRPr="002D4ACF" w:rsidRDefault="00A24985" w:rsidP="00A24985">
            <w:pPr>
              <w:rPr>
                <w:rFonts w:ascii="Tahoma" w:hAnsi="Tahoma" w:cs="Tahoma"/>
                <w:sz w:val="20"/>
                <w:szCs w:val="20"/>
                <w:lang w:eastAsia="zh-CN"/>
              </w:rPr>
            </w:pPr>
          </w:p>
        </w:tc>
      </w:tr>
      <w:tr w:rsidR="00A24985" w:rsidRPr="002D4ACF" w14:paraId="7CEE35B7" w14:textId="77777777" w:rsidTr="00DD2371">
        <w:trPr>
          <w:trHeight w:val="345"/>
        </w:trPr>
        <w:tc>
          <w:tcPr>
            <w:tcW w:w="1064" w:type="dxa"/>
            <w:noWrap/>
          </w:tcPr>
          <w:p w14:paraId="63E0019A" w14:textId="77777777" w:rsidR="00A24985" w:rsidRPr="00FF68DA" w:rsidRDefault="00A24985" w:rsidP="00A24985">
            <w:pPr>
              <w:ind w:right="34"/>
              <w:rPr>
                <w:rFonts w:ascii="Tahoma" w:hAnsi="Tahoma" w:cs="Tahoma"/>
                <w:b/>
                <w:bCs/>
                <w:iCs/>
                <w:sz w:val="18"/>
                <w:szCs w:val="18"/>
              </w:rPr>
            </w:pPr>
          </w:p>
        </w:tc>
        <w:tc>
          <w:tcPr>
            <w:tcW w:w="1063" w:type="dxa"/>
            <w:noWrap/>
          </w:tcPr>
          <w:p w14:paraId="23AA4D7C" w14:textId="49D221A5" w:rsidR="00A24985" w:rsidRPr="00FF68DA" w:rsidRDefault="00A24985" w:rsidP="00A24985">
            <w:pPr>
              <w:rPr>
                <w:rFonts w:ascii="Tahoma" w:hAnsi="Tahoma" w:cs="Tahoma"/>
                <w:sz w:val="20"/>
                <w:szCs w:val="20"/>
              </w:rPr>
            </w:pPr>
            <w:r w:rsidRPr="00FF68DA">
              <w:rPr>
                <w:rFonts w:ascii="Tahoma" w:hAnsi="Tahoma" w:cs="Tahoma"/>
                <w:sz w:val="18"/>
                <w:szCs w:val="18"/>
              </w:rPr>
              <w:t>1.1.5.3.</w:t>
            </w:r>
          </w:p>
        </w:tc>
        <w:tc>
          <w:tcPr>
            <w:tcW w:w="5244" w:type="dxa"/>
            <w:gridSpan w:val="3"/>
          </w:tcPr>
          <w:p w14:paraId="576B4E09" w14:textId="424159BD" w:rsidR="00A24985" w:rsidRPr="00FF68DA" w:rsidRDefault="00A24985" w:rsidP="00A24985">
            <w:pPr>
              <w:ind w:left="32" w:right="34"/>
              <w:jc w:val="both"/>
              <w:rPr>
                <w:rFonts w:ascii="Tahoma" w:hAnsi="Tahoma" w:cs="Tahoma"/>
                <w:sz w:val="18"/>
                <w:szCs w:val="18"/>
              </w:rPr>
            </w:pPr>
            <w:r w:rsidRPr="00FF68DA">
              <w:rPr>
                <w:rFonts w:ascii="Tahoma" w:hAnsi="Tahoma" w:cs="Tahoma"/>
                <w:sz w:val="18"/>
                <w:szCs w:val="18"/>
              </w:rPr>
              <w:t xml:space="preserve">В иностранной валюте со Срочного вклада, Текущего банковского счета, Вклада до востребования, Пенсионного вклада до востребования, со Счета Карты без использования Карты (с учетом ограничений, </w:t>
            </w:r>
            <w:r w:rsidRPr="00FF68DA">
              <w:rPr>
                <w:rFonts w:ascii="Tahoma" w:hAnsi="Tahoma" w:cs="Tahoma"/>
                <w:iCs/>
                <w:sz w:val="14"/>
                <w:szCs w:val="16"/>
              </w:rPr>
              <w:t xml:space="preserve"> </w:t>
            </w:r>
            <w:r w:rsidRPr="00FF68DA">
              <w:rPr>
                <w:rFonts w:ascii="Tahoma" w:hAnsi="Tahoma" w:cs="Tahoma"/>
                <w:sz w:val="18"/>
                <w:szCs w:val="18"/>
              </w:rPr>
              <w:t>установленных федеральными законами и иными нормативными правовыми актами)</w:t>
            </w:r>
          </w:p>
        </w:tc>
        <w:tc>
          <w:tcPr>
            <w:tcW w:w="1305" w:type="dxa"/>
            <w:gridSpan w:val="2"/>
          </w:tcPr>
          <w:p w14:paraId="4A9D8DC1" w14:textId="3F19EEC3" w:rsidR="00A24985" w:rsidRPr="00FF68DA" w:rsidRDefault="00A24985" w:rsidP="00A24985">
            <w:pPr>
              <w:ind w:right="34"/>
              <w:jc w:val="center"/>
              <w:rPr>
                <w:rFonts w:ascii="Tahoma" w:hAnsi="Tahoma" w:cs="Tahoma"/>
                <w:b/>
                <w:sz w:val="18"/>
                <w:szCs w:val="18"/>
              </w:rPr>
            </w:pPr>
            <w:r w:rsidRPr="00FF68DA">
              <w:rPr>
                <w:rFonts w:ascii="Tahoma" w:hAnsi="Tahoma" w:cs="Tahoma"/>
                <w:sz w:val="18"/>
                <w:szCs w:val="18"/>
              </w:rPr>
              <w:t>БЕСПЛАТНО</w:t>
            </w:r>
          </w:p>
        </w:tc>
        <w:tc>
          <w:tcPr>
            <w:tcW w:w="1134" w:type="dxa"/>
            <w:gridSpan w:val="2"/>
            <w:noWrap/>
          </w:tcPr>
          <w:p w14:paraId="195400D4" w14:textId="77777777" w:rsidR="00A24985" w:rsidRPr="002D4ACF" w:rsidRDefault="00A24985" w:rsidP="00A24985">
            <w:pPr>
              <w:ind w:right="34"/>
              <w:rPr>
                <w:rFonts w:ascii="Tahoma" w:hAnsi="Tahoma" w:cs="Tahoma"/>
                <w:sz w:val="20"/>
                <w:szCs w:val="20"/>
                <w:lang w:eastAsia="zh-CN"/>
              </w:rPr>
            </w:pPr>
          </w:p>
        </w:tc>
        <w:tc>
          <w:tcPr>
            <w:tcW w:w="1388" w:type="dxa"/>
            <w:gridSpan w:val="2"/>
            <w:noWrap/>
          </w:tcPr>
          <w:p w14:paraId="46B08514" w14:textId="77777777" w:rsidR="00A24985" w:rsidRPr="002D4ACF" w:rsidRDefault="00A24985" w:rsidP="00A24985">
            <w:pPr>
              <w:rPr>
                <w:rFonts w:ascii="Tahoma" w:hAnsi="Tahoma" w:cs="Tahoma"/>
                <w:sz w:val="20"/>
                <w:szCs w:val="20"/>
                <w:lang w:eastAsia="zh-CN"/>
              </w:rPr>
            </w:pPr>
          </w:p>
        </w:tc>
      </w:tr>
      <w:tr w:rsidR="00A24985" w:rsidRPr="002D4ACF" w14:paraId="30F0B277" w14:textId="77777777" w:rsidTr="00DD2371">
        <w:trPr>
          <w:trHeight w:val="345"/>
        </w:trPr>
        <w:tc>
          <w:tcPr>
            <w:tcW w:w="1064" w:type="dxa"/>
            <w:noWrap/>
          </w:tcPr>
          <w:p w14:paraId="0C3A61B1" w14:textId="77777777" w:rsidR="00A24985" w:rsidRPr="00FF68DA" w:rsidRDefault="00A24985" w:rsidP="00A24985">
            <w:pPr>
              <w:ind w:right="34"/>
              <w:rPr>
                <w:rFonts w:ascii="Tahoma" w:hAnsi="Tahoma" w:cs="Tahoma"/>
                <w:b/>
                <w:bCs/>
                <w:iCs/>
                <w:sz w:val="18"/>
                <w:szCs w:val="18"/>
              </w:rPr>
            </w:pPr>
          </w:p>
        </w:tc>
        <w:tc>
          <w:tcPr>
            <w:tcW w:w="1063" w:type="dxa"/>
            <w:noWrap/>
          </w:tcPr>
          <w:p w14:paraId="36C26DC9" w14:textId="1BAAE56D" w:rsidR="00A24985" w:rsidRPr="00FF68DA" w:rsidRDefault="00A24985" w:rsidP="00A24985">
            <w:pPr>
              <w:rPr>
                <w:rFonts w:ascii="Tahoma" w:hAnsi="Tahoma" w:cs="Tahoma"/>
                <w:sz w:val="18"/>
                <w:szCs w:val="18"/>
              </w:rPr>
            </w:pPr>
            <w:r w:rsidRPr="00FF68DA">
              <w:rPr>
                <w:rFonts w:ascii="Tahoma" w:hAnsi="Tahoma" w:cs="Tahoma"/>
                <w:sz w:val="18"/>
                <w:szCs w:val="18"/>
              </w:rPr>
              <w:t>1.1.5.4.</w:t>
            </w:r>
          </w:p>
        </w:tc>
        <w:tc>
          <w:tcPr>
            <w:tcW w:w="5244" w:type="dxa"/>
            <w:gridSpan w:val="3"/>
          </w:tcPr>
          <w:p w14:paraId="5BFA917C" w14:textId="06305401" w:rsidR="00A24985" w:rsidRPr="00FF68DA" w:rsidRDefault="00A24985" w:rsidP="00A24985">
            <w:pPr>
              <w:ind w:left="32" w:right="34"/>
              <w:jc w:val="both"/>
              <w:rPr>
                <w:rFonts w:ascii="Tahoma" w:hAnsi="Tahoma" w:cs="Tahoma"/>
                <w:sz w:val="18"/>
                <w:szCs w:val="18"/>
              </w:rPr>
            </w:pPr>
            <w:r w:rsidRPr="00FF68DA">
              <w:rPr>
                <w:rFonts w:ascii="Tahoma" w:hAnsi="Tahoma" w:cs="Tahoma"/>
                <w:sz w:val="18"/>
                <w:szCs w:val="18"/>
              </w:rPr>
              <w:t>В рублях со Срочного вклада, Текущего банковского счета, Вклада до востребования, Пенсионного вклада до востребования, со Счета Карты без использования Карты  в случае конвертации иностранной валюты для целей получения остатка средств в рублях</w:t>
            </w:r>
          </w:p>
        </w:tc>
        <w:tc>
          <w:tcPr>
            <w:tcW w:w="1305" w:type="dxa"/>
            <w:gridSpan w:val="2"/>
          </w:tcPr>
          <w:p w14:paraId="36AC173E" w14:textId="07134FD5" w:rsidR="00A24985" w:rsidRPr="00FF68DA" w:rsidRDefault="00A24985" w:rsidP="00A24985">
            <w:pPr>
              <w:ind w:right="34"/>
              <w:jc w:val="center"/>
              <w:rPr>
                <w:rFonts w:ascii="Tahoma" w:hAnsi="Tahoma" w:cs="Tahoma"/>
                <w:sz w:val="18"/>
                <w:szCs w:val="18"/>
              </w:rPr>
            </w:pPr>
            <w:r w:rsidRPr="00FF68DA">
              <w:rPr>
                <w:rFonts w:ascii="Tahoma" w:hAnsi="Tahoma" w:cs="Tahoma"/>
                <w:sz w:val="18"/>
                <w:szCs w:val="18"/>
              </w:rPr>
              <w:t>БЕСПЛАТНО</w:t>
            </w:r>
          </w:p>
        </w:tc>
        <w:tc>
          <w:tcPr>
            <w:tcW w:w="1134" w:type="dxa"/>
            <w:gridSpan w:val="2"/>
            <w:noWrap/>
          </w:tcPr>
          <w:p w14:paraId="03046D29" w14:textId="77777777" w:rsidR="00A24985" w:rsidRPr="002D4ACF" w:rsidRDefault="00A24985" w:rsidP="00A24985">
            <w:pPr>
              <w:ind w:right="34"/>
              <w:rPr>
                <w:rFonts w:ascii="Tahoma" w:hAnsi="Tahoma" w:cs="Tahoma"/>
                <w:sz w:val="20"/>
                <w:szCs w:val="20"/>
                <w:lang w:eastAsia="zh-CN"/>
              </w:rPr>
            </w:pPr>
          </w:p>
        </w:tc>
        <w:tc>
          <w:tcPr>
            <w:tcW w:w="1388" w:type="dxa"/>
            <w:gridSpan w:val="2"/>
            <w:noWrap/>
          </w:tcPr>
          <w:p w14:paraId="5BDC63E2" w14:textId="77777777" w:rsidR="00A24985" w:rsidRPr="002D4ACF" w:rsidRDefault="00A24985" w:rsidP="00A24985">
            <w:pPr>
              <w:rPr>
                <w:rFonts w:ascii="Tahoma" w:hAnsi="Tahoma" w:cs="Tahoma"/>
                <w:sz w:val="20"/>
                <w:szCs w:val="20"/>
                <w:lang w:eastAsia="zh-CN"/>
              </w:rPr>
            </w:pPr>
          </w:p>
        </w:tc>
      </w:tr>
      <w:tr w:rsidR="00DF74D7" w:rsidRPr="002D4ACF" w14:paraId="33DBEC9C" w14:textId="77777777" w:rsidTr="00DD2371">
        <w:trPr>
          <w:trHeight w:val="345"/>
        </w:trPr>
        <w:tc>
          <w:tcPr>
            <w:tcW w:w="11198" w:type="dxa"/>
            <w:gridSpan w:val="11"/>
            <w:noWrap/>
          </w:tcPr>
          <w:p w14:paraId="25DF49B9" w14:textId="77777777" w:rsidR="00A24985" w:rsidRPr="002D4ACF" w:rsidRDefault="00A24985" w:rsidP="00A24985">
            <w:pPr>
              <w:rPr>
                <w:rFonts w:ascii="Tahoma" w:hAnsi="Tahoma" w:cs="Tahoma"/>
                <w:sz w:val="14"/>
                <w:szCs w:val="14"/>
              </w:rPr>
            </w:pPr>
            <w:r w:rsidRPr="002D4ACF">
              <w:rPr>
                <w:rFonts w:ascii="Tahoma" w:hAnsi="Tahoma" w:cs="Tahoma"/>
                <w:sz w:val="14"/>
                <w:szCs w:val="14"/>
              </w:rPr>
              <w:t>*С 01.03.2023 комиссия не взимается при совершении операции следующими категориями клиентов:</w:t>
            </w:r>
          </w:p>
          <w:p w14:paraId="021BF7FB" w14:textId="77777777" w:rsidR="00A24985" w:rsidRPr="008B0BB5" w:rsidRDefault="00A24985" w:rsidP="00A24985">
            <w:pPr>
              <w:autoSpaceDE w:val="0"/>
              <w:autoSpaceDN w:val="0"/>
              <w:adjustRightInd w:val="0"/>
              <w:jc w:val="both"/>
              <w:rPr>
                <w:rFonts w:ascii="Tahoma" w:hAnsi="Tahoma"/>
                <w:color w:val="FF0000"/>
                <w:sz w:val="14"/>
              </w:rPr>
            </w:pPr>
            <w:r w:rsidRPr="002D4ACF">
              <w:rPr>
                <w:rFonts w:ascii="Tahoma" w:hAnsi="Tahoma" w:cs="Tahoma"/>
                <w:sz w:val="14"/>
                <w:szCs w:val="14"/>
              </w:rPr>
              <w:t>1) лицо (в том числе индивидуальный предприниматель), призванное на военную службу по мобилизации в Вооруженные Силы Российской Федерации</w:t>
            </w:r>
            <w:r>
              <w:rPr>
                <w:rFonts w:ascii="Tahoma" w:hAnsi="Tahoma" w:cs="Tahoma"/>
                <w:sz w:val="14"/>
                <w:szCs w:val="14"/>
              </w:rPr>
              <w:t>,</w:t>
            </w:r>
            <w:r>
              <w:rPr>
                <w:rFonts w:ascii="Arial" w:eastAsiaTheme="minorHAnsi" w:hAnsi="Arial" w:cs="Arial"/>
                <w:sz w:val="20"/>
                <w:szCs w:val="20"/>
                <w:lang w:eastAsia="en-US"/>
              </w:rPr>
              <w:t xml:space="preserve"> </w:t>
            </w:r>
            <w:r w:rsidRPr="008B0BB5">
              <w:rPr>
                <w:rFonts w:ascii="Tahoma" w:hAnsi="Tahoma" w:cs="Tahoma"/>
                <w:color w:val="FF0000"/>
                <w:sz w:val="14"/>
                <w:szCs w:val="14"/>
              </w:rPr>
              <w:t>или лицо (в том числе индивидуальный предприниматель), направленное для прохождения службы в войска национальной гвардии Российской Федерации на должностях, по которым предусмотрено присвоение специальных званий полиции, по мобилизации;</w:t>
            </w:r>
            <w:r w:rsidRPr="008B0BB5">
              <w:rPr>
                <w:rFonts w:ascii="Tahoma" w:hAnsi="Tahoma"/>
                <w:color w:val="FF0000"/>
                <w:sz w:val="14"/>
              </w:rPr>
              <w:t xml:space="preserve"> </w:t>
            </w:r>
          </w:p>
          <w:p w14:paraId="06050D63" w14:textId="77777777" w:rsidR="00A24985" w:rsidRPr="002D4ACF" w:rsidRDefault="00A24985" w:rsidP="00A24985">
            <w:pPr>
              <w:rPr>
                <w:rFonts w:ascii="Tahoma" w:hAnsi="Tahoma" w:cs="Tahoma"/>
                <w:sz w:val="14"/>
                <w:szCs w:val="14"/>
              </w:rPr>
            </w:pPr>
            <w:r w:rsidRPr="002D4ACF">
              <w:rPr>
                <w:rFonts w:ascii="Tahoma" w:hAnsi="Tahoma" w:cs="Tahoma"/>
                <w:sz w:val="14"/>
                <w:szCs w:val="14"/>
              </w:rPr>
              <w:t>2) лицо, проходящее военную службу в Вооруженных Силах Российской Федерации по контракту, или лицо, находящееся на военной службе в войсках национальной гвардии Российской Федерации, в воинских формированиях и органах, указанных в пункте 6 статьи 1 Федерального закона от 31 мая 1996 года № 61-ФЗ «Об обороне», при условии его участия в специальной военной операции;</w:t>
            </w:r>
          </w:p>
          <w:p w14:paraId="0ADF4119" w14:textId="77777777" w:rsidR="00A24985" w:rsidRPr="005E3BDF" w:rsidRDefault="00A24985" w:rsidP="00A24985">
            <w:pPr>
              <w:autoSpaceDE w:val="0"/>
              <w:autoSpaceDN w:val="0"/>
              <w:adjustRightInd w:val="0"/>
              <w:jc w:val="both"/>
              <w:rPr>
                <w:rFonts w:ascii="Tahoma" w:hAnsi="Tahoma" w:cs="Tahoma"/>
                <w:sz w:val="14"/>
                <w:szCs w:val="14"/>
              </w:rPr>
            </w:pPr>
            <w:r w:rsidRPr="002D4ACF">
              <w:rPr>
                <w:rFonts w:ascii="Tahoma" w:hAnsi="Tahoma" w:cs="Tahoma"/>
                <w:sz w:val="14"/>
                <w:szCs w:val="14"/>
              </w:rPr>
              <w:t>3) лицо (в том числе индивидуальный предприниматель), заключившее контракт о добровольном содействии в выполнении задач, возложенных на Вооруженные Силы Российской Федерации</w:t>
            </w:r>
            <w:r>
              <w:rPr>
                <w:rFonts w:ascii="Tahoma" w:hAnsi="Tahoma" w:cs="Tahoma"/>
                <w:sz w:val="14"/>
                <w:szCs w:val="14"/>
              </w:rPr>
              <w:t xml:space="preserve"> </w:t>
            </w:r>
            <w:r w:rsidRPr="005E3BDF">
              <w:rPr>
                <w:rFonts w:ascii="Tahoma" w:hAnsi="Tahoma" w:cs="Tahoma"/>
                <w:color w:val="FF0000"/>
                <w:sz w:val="14"/>
                <w:szCs w:val="14"/>
              </w:rPr>
              <w:t>или войска национальной гвардии Российской Федерации</w:t>
            </w:r>
            <w:r w:rsidRPr="002D4ACF">
              <w:rPr>
                <w:rFonts w:ascii="Tahoma" w:hAnsi="Tahoma" w:cs="Tahoma"/>
                <w:sz w:val="14"/>
                <w:szCs w:val="14"/>
              </w:rPr>
              <w:t xml:space="preserve">; </w:t>
            </w:r>
          </w:p>
          <w:p w14:paraId="31D1140C" w14:textId="77777777" w:rsidR="00A24985" w:rsidRPr="002D4ACF" w:rsidRDefault="00A24985" w:rsidP="00A24985">
            <w:pPr>
              <w:rPr>
                <w:rFonts w:ascii="Tahoma" w:hAnsi="Tahoma" w:cs="Tahoma"/>
                <w:sz w:val="14"/>
                <w:szCs w:val="14"/>
              </w:rPr>
            </w:pPr>
            <w:r w:rsidRPr="002D4ACF">
              <w:rPr>
                <w:rFonts w:ascii="Tahoma" w:hAnsi="Tahoma" w:cs="Tahoma"/>
                <w:sz w:val="14"/>
                <w:szCs w:val="14"/>
              </w:rPr>
              <w:t xml:space="preserve">4) лицо, проходящее службу в управлениях (отделах, службах, отрядах) федерального органа исполнительной власти в области обеспечения безопасности по пограничной службе (в пограничных органах) на территории Российской Федерации, обеспечивающее проведение специальной военной операции; </w:t>
            </w:r>
          </w:p>
          <w:p w14:paraId="51834431" w14:textId="3CFACEE1" w:rsidR="00DF74D7" w:rsidRPr="002D4ACF" w:rsidRDefault="00A24985" w:rsidP="00A24985">
            <w:pPr>
              <w:rPr>
                <w:rFonts w:ascii="Tahoma" w:hAnsi="Tahoma" w:cs="Tahoma"/>
                <w:sz w:val="20"/>
                <w:szCs w:val="20"/>
                <w:lang w:eastAsia="zh-CN"/>
              </w:rPr>
            </w:pPr>
            <w:r w:rsidRPr="002D4ACF">
              <w:rPr>
                <w:rFonts w:ascii="Tahoma" w:hAnsi="Tahoma" w:cs="Tahoma"/>
                <w:sz w:val="14"/>
                <w:szCs w:val="14"/>
              </w:rPr>
              <w:t>5) члены семьи лиц, указанных в подпунктах 1–4 настоящего пункта, определенные в соответствии с пунктом 5 статьи 2 Федерального закона от 27 мая 1998 года № 76-ФЗ «О статусе военнослужащих».</w:t>
            </w:r>
          </w:p>
        </w:tc>
      </w:tr>
      <w:tr w:rsidR="00A24985" w:rsidRPr="002D4ACF" w14:paraId="54D5C1E9" w14:textId="77777777" w:rsidTr="00DD2371">
        <w:trPr>
          <w:trHeight w:val="345"/>
        </w:trPr>
        <w:tc>
          <w:tcPr>
            <w:tcW w:w="1064" w:type="dxa"/>
            <w:noWrap/>
          </w:tcPr>
          <w:p w14:paraId="1710EA3A" w14:textId="6D1779C9" w:rsidR="00A24985" w:rsidRPr="002D4ACF" w:rsidRDefault="00A24985" w:rsidP="00A24985">
            <w:pPr>
              <w:ind w:right="34"/>
              <w:rPr>
                <w:rFonts w:ascii="Tahoma" w:hAnsi="Tahoma" w:cs="Tahoma"/>
                <w:b/>
                <w:bCs/>
                <w:iCs/>
                <w:sz w:val="18"/>
                <w:szCs w:val="18"/>
              </w:rPr>
            </w:pPr>
            <w:r w:rsidRPr="00441A75">
              <w:rPr>
                <w:rFonts w:ascii="Tahoma" w:hAnsi="Tahoma" w:cs="Tahoma"/>
                <w:b/>
                <w:bCs/>
                <w:iCs/>
                <w:sz w:val="18"/>
                <w:szCs w:val="18"/>
              </w:rPr>
              <w:t> 1.1.6.</w:t>
            </w:r>
          </w:p>
        </w:tc>
        <w:tc>
          <w:tcPr>
            <w:tcW w:w="1063" w:type="dxa"/>
            <w:noWrap/>
          </w:tcPr>
          <w:p w14:paraId="7EF66678" w14:textId="1FA7484A" w:rsidR="00A24985" w:rsidRPr="002D4ACF" w:rsidRDefault="00A24985" w:rsidP="00A24985">
            <w:pPr>
              <w:rPr>
                <w:rFonts w:ascii="Tahoma" w:hAnsi="Tahoma" w:cs="Tahoma"/>
                <w:iCs/>
                <w:sz w:val="18"/>
                <w:szCs w:val="18"/>
              </w:rPr>
            </w:pPr>
            <w:r w:rsidRPr="00441A75">
              <w:rPr>
                <w:rFonts w:ascii="Tahoma" w:hAnsi="Tahoma" w:cs="Tahoma"/>
                <w:sz w:val="18"/>
                <w:szCs w:val="18"/>
              </w:rPr>
              <w:t> </w:t>
            </w:r>
          </w:p>
        </w:tc>
        <w:tc>
          <w:tcPr>
            <w:tcW w:w="5244" w:type="dxa"/>
            <w:gridSpan w:val="3"/>
          </w:tcPr>
          <w:p w14:paraId="4DC5FAA9" w14:textId="0EB31428" w:rsidR="00A24985" w:rsidRPr="002D4ACF" w:rsidRDefault="00A24985" w:rsidP="00A24985">
            <w:pPr>
              <w:ind w:left="32" w:right="34"/>
              <w:jc w:val="both"/>
              <w:rPr>
                <w:rFonts w:ascii="Tahoma" w:hAnsi="Tahoma" w:cs="Tahoma"/>
                <w:sz w:val="18"/>
                <w:szCs w:val="18"/>
              </w:rPr>
            </w:pPr>
            <w:r w:rsidRPr="00441A75">
              <w:rPr>
                <w:rFonts w:ascii="Tahoma" w:hAnsi="Tahoma" w:cs="Tahoma"/>
                <w:b/>
                <w:bCs/>
                <w:sz w:val="18"/>
                <w:szCs w:val="18"/>
              </w:rPr>
              <w:t>Выдача денежных средств со счета физического лица в рублях и иностранной валюте, поступивших безналичным путем от физических лиц со счетов, открытых в АТБ (АО) и со счетов, открытых в других банках**:</w:t>
            </w:r>
          </w:p>
        </w:tc>
        <w:tc>
          <w:tcPr>
            <w:tcW w:w="1305" w:type="dxa"/>
            <w:gridSpan w:val="2"/>
            <w:noWrap/>
          </w:tcPr>
          <w:p w14:paraId="3F2E02FB" w14:textId="6329C1D4" w:rsidR="00A24985" w:rsidRPr="002D4ACF" w:rsidRDefault="00A24985" w:rsidP="00A24985">
            <w:pPr>
              <w:ind w:right="34"/>
              <w:jc w:val="center"/>
              <w:rPr>
                <w:rFonts w:ascii="Tahoma" w:hAnsi="Tahoma" w:cs="Tahoma"/>
                <w:sz w:val="18"/>
                <w:szCs w:val="18"/>
              </w:rPr>
            </w:pPr>
            <w:r w:rsidRPr="00441A75">
              <w:rPr>
                <w:rFonts w:ascii="Tahoma" w:hAnsi="Tahoma" w:cs="Tahoma"/>
                <w:sz w:val="18"/>
                <w:szCs w:val="18"/>
              </w:rPr>
              <w:t> </w:t>
            </w:r>
          </w:p>
        </w:tc>
        <w:tc>
          <w:tcPr>
            <w:tcW w:w="1134" w:type="dxa"/>
            <w:gridSpan w:val="2"/>
            <w:noWrap/>
          </w:tcPr>
          <w:p w14:paraId="63352C00" w14:textId="77777777" w:rsidR="00A24985" w:rsidRPr="002D4ACF" w:rsidRDefault="00A24985" w:rsidP="00A24985">
            <w:pPr>
              <w:ind w:right="34"/>
              <w:rPr>
                <w:rFonts w:ascii="Tahoma" w:hAnsi="Tahoma" w:cs="Tahoma"/>
                <w:sz w:val="20"/>
                <w:szCs w:val="20"/>
                <w:lang w:eastAsia="zh-CN"/>
              </w:rPr>
            </w:pPr>
          </w:p>
        </w:tc>
        <w:tc>
          <w:tcPr>
            <w:tcW w:w="1388" w:type="dxa"/>
            <w:gridSpan w:val="2"/>
            <w:noWrap/>
          </w:tcPr>
          <w:p w14:paraId="09E5ED85" w14:textId="77777777" w:rsidR="00A24985" w:rsidRPr="002D4ACF" w:rsidRDefault="00A24985" w:rsidP="00A24985">
            <w:pPr>
              <w:rPr>
                <w:rFonts w:ascii="Tahoma" w:hAnsi="Tahoma" w:cs="Tahoma"/>
                <w:sz w:val="20"/>
                <w:szCs w:val="20"/>
                <w:lang w:eastAsia="zh-CN"/>
              </w:rPr>
            </w:pPr>
          </w:p>
        </w:tc>
      </w:tr>
      <w:tr w:rsidR="00A24985" w:rsidRPr="002D4ACF" w14:paraId="0ABAA0F6" w14:textId="77777777" w:rsidTr="00DD2371">
        <w:trPr>
          <w:trHeight w:val="345"/>
        </w:trPr>
        <w:tc>
          <w:tcPr>
            <w:tcW w:w="1064" w:type="dxa"/>
            <w:noWrap/>
          </w:tcPr>
          <w:p w14:paraId="277CE322" w14:textId="4AFC711F" w:rsidR="00A24985" w:rsidRPr="002D4ACF" w:rsidRDefault="00A24985" w:rsidP="00A24985">
            <w:pPr>
              <w:ind w:right="34"/>
              <w:rPr>
                <w:rFonts w:ascii="Tahoma" w:hAnsi="Tahoma" w:cs="Tahoma"/>
                <w:b/>
                <w:bCs/>
                <w:iCs/>
                <w:sz w:val="18"/>
                <w:szCs w:val="18"/>
              </w:rPr>
            </w:pPr>
            <w:r w:rsidRPr="00441A75">
              <w:rPr>
                <w:rFonts w:ascii="Tahoma" w:hAnsi="Tahoma" w:cs="Tahoma"/>
                <w:b/>
                <w:bCs/>
                <w:iCs/>
                <w:sz w:val="18"/>
                <w:szCs w:val="18"/>
              </w:rPr>
              <w:t> </w:t>
            </w:r>
          </w:p>
        </w:tc>
        <w:tc>
          <w:tcPr>
            <w:tcW w:w="1063" w:type="dxa"/>
            <w:noWrap/>
          </w:tcPr>
          <w:p w14:paraId="7D2260DF" w14:textId="1AB632CA" w:rsidR="00A24985" w:rsidRPr="00FF68DA" w:rsidRDefault="00A24985" w:rsidP="00A24985">
            <w:pPr>
              <w:rPr>
                <w:rFonts w:ascii="Tahoma" w:hAnsi="Tahoma" w:cs="Tahoma"/>
                <w:iCs/>
                <w:sz w:val="18"/>
                <w:szCs w:val="18"/>
              </w:rPr>
            </w:pPr>
            <w:r w:rsidRPr="00FF68DA">
              <w:rPr>
                <w:rFonts w:ascii="Tahoma" w:hAnsi="Tahoma" w:cs="Tahoma"/>
                <w:sz w:val="18"/>
                <w:szCs w:val="18"/>
              </w:rPr>
              <w:t>1.1.6.1.</w:t>
            </w:r>
          </w:p>
        </w:tc>
        <w:tc>
          <w:tcPr>
            <w:tcW w:w="5244" w:type="dxa"/>
            <w:gridSpan w:val="3"/>
          </w:tcPr>
          <w:p w14:paraId="2AEB3CD4" w14:textId="25549ACD" w:rsidR="00A24985" w:rsidRPr="00FF68DA" w:rsidRDefault="00A24985" w:rsidP="00A24985">
            <w:pPr>
              <w:ind w:left="32" w:right="34"/>
              <w:jc w:val="both"/>
              <w:rPr>
                <w:rFonts w:ascii="Tahoma" w:hAnsi="Tahoma" w:cs="Tahoma"/>
                <w:sz w:val="18"/>
                <w:szCs w:val="18"/>
              </w:rPr>
            </w:pPr>
            <w:r w:rsidRPr="00FF68DA">
              <w:rPr>
                <w:rFonts w:ascii="Tahoma" w:hAnsi="Tahoma" w:cs="Tahoma"/>
                <w:sz w:val="18"/>
                <w:szCs w:val="18"/>
              </w:rPr>
              <w:t>В рублях со Срочного вклада,</w:t>
            </w:r>
            <w:r w:rsidRPr="00FF68DA">
              <w:rPr>
                <w:rFonts w:ascii="Tahoma" w:hAnsi="Tahoma"/>
                <w:sz w:val="18"/>
              </w:rPr>
              <w:t xml:space="preserve"> Текущего банковского счета</w:t>
            </w:r>
            <w:r w:rsidRPr="00FF68DA">
              <w:rPr>
                <w:rFonts w:ascii="Tahoma" w:hAnsi="Tahoma" w:cs="Tahoma"/>
                <w:sz w:val="18"/>
                <w:szCs w:val="18"/>
              </w:rPr>
              <w:t>, Вклада до востребования, Пенсионного вклада до востребования, со Счета Карты без использования Карты  в случае</w:t>
            </w:r>
            <w:r w:rsidRPr="00FF68DA">
              <w:rPr>
                <w:rFonts w:ascii="Tahoma" w:hAnsi="Tahoma"/>
                <w:sz w:val="18"/>
              </w:rPr>
              <w:t xml:space="preserve"> конвертации </w:t>
            </w:r>
            <w:r w:rsidRPr="00FF68DA">
              <w:rPr>
                <w:rFonts w:ascii="Tahoma" w:hAnsi="Tahoma" w:cs="Tahoma"/>
                <w:sz w:val="18"/>
                <w:szCs w:val="18"/>
              </w:rPr>
              <w:t xml:space="preserve">иностранной </w:t>
            </w:r>
            <w:r w:rsidRPr="00FF68DA">
              <w:rPr>
                <w:rFonts w:ascii="Tahoma" w:hAnsi="Tahoma"/>
                <w:sz w:val="18"/>
              </w:rPr>
              <w:t>валюты</w:t>
            </w:r>
            <w:r w:rsidRPr="00FF68DA">
              <w:rPr>
                <w:rFonts w:ascii="Tahoma" w:hAnsi="Tahoma" w:cs="Tahoma"/>
                <w:sz w:val="18"/>
                <w:szCs w:val="18"/>
              </w:rPr>
              <w:t xml:space="preserve"> для целей получения остатка средств в рублях</w:t>
            </w:r>
          </w:p>
        </w:tc>
        <w:tc>
          <w:tcPr>
            <w:tcW w:w="1305" w:type="dxa"/>
            <w:gridSpan w:val="2"/>
            <w:noWrap/>
          </w:tcPr>
          <w:p w14:paraId="1D89678F" w14:textId="1AE617B0" w:rsidR="00A24985" w:rsidRPr="00FF68DA" w:rsidRDefault="00A24985" w:rsidP="00A24985">
            <w:pPr>
              <w:ind w:right="34"/>
              <w:jc w:val="center"/>
              <w:rPr>
                <w:rFonts w:ascii="Tahoma" w:hAnsi="Tahoma" w:cs="Tahoma"/>
                <w:sz w:val="18"/>
                <w:szCs w:val="18"/>
              </w:rPr>
            </w:pPr>
            <w:r w:rsidRPr="00FF68DA">
              <w:rPr>
                <w:rFonts w:ascii="Tahoma" w:hAnsi="Tahoma" w:cs="Tahoma"/>
                <w:sz w:val="18"/>
                <w:szCs w:val="18"/>
              </w:rPr>
              <w:t>БЕСПЛАТНО</w:t>
            </w:r>
          </w:p>
        </w:tc>
        <w:tc>
          <w:tcPr>
            <w:tcW w:w="1134" w:type="dxa"/>
            <w:gridSpan w:val="2"/>
            <w:noWrap/>
          </w:tcPr>
          <w:p w14:paraId="3B56AAEC" w14:textId="77777777" w:rsidR="00A24985" w:rsidRPr="002D4ACF" w:rsidRDefault="00A24985" w:rsidP="00A24985">
            <w:pPr>
              <w:ind w:right="34"/>
              <w:rPr>
                <w:rFonts w:ascii="Tahoma" w:hAnsi="Tahoma" w:cs="Tahoma"/>
                <w:sz w:val="20"/>
                <w:szCs w:val="20"/>
                <w:lang w:eastAsia="zh-CN"/>
              </w:rPr>
            </w:pPr>
          </w:p>
        </w:tc>
        <w:tc>
          <w:tcPr>
            <w:tcW w:w="1388" w:type="dxa"/>
            <w:gridSpan w:val="2"/>
            <w:noWrap/>
          </w:tcPr>
          <w:p w14:paraId="06E7EEA3" w14:textId="77777777" w:rsidR="00A24985" w:rsidRPr="002D4ACF" w:rsidRDefault="00A24985" w:rsidP="00A24985">
            <w:pPr>
              <w:rPr>
                <w:rFonts w:ascii="Tahoma" w:hAnsi="Tahoma" w:cs="Tahoma"/>
                <w:sz w:val="20"/>
                <w:szCs w:val="20"/>
                <w:lang w:eastAsia="zh-CN"/>
              </w:rPr>
            </w:pPr>
          </w:p>
        </w:tc>
      </w:tr>
      <w:tr w:rsidR="00A24985" w:rsidRPr="002D4ACF" w14:paraId="2CA2B38B" w14:textId="77777777" w:rsidTr="00DD2371">
        <w:trPr>
          <w:trHeight w:val="65"/>
        </w:trPr>
        <w:tc>
          <w:tcPr>
            <w:tcW w:w="1064" w:type="dxa"/>
            <w:noWrap/>
          </w:tcPr>
          <w:p w14:paraId="34BDA442" w14:textId="77777777" w:rsidR="00A24985" w:rsidRPr="002D4ACF" w:rsidRDefault="00A24985" w:rsidP="00A24985">
            <w:pPr>
              <w:ind w:right="34"/>
              <w:rPr>
                <w:rFonts w:ascii="Tahoma" w:hAnsi="Tahoma" w:cs="Tahoma"/>
                <w:b/>
                <w:bCs/>
                <w:iCs/>
                <w:sz w:val="18"/>
                <w:szCs w:val="18"/>
              </w:rPr>
            </w:pPr>
          </w:p>
        </w:tc>
        <w:tc>
          <w:tcPr>
            <w:tcW w:w="1063" w:type="dxa"/>
            <w:noWrap/>
          </w:tcPr>
          <w:p w14:paraId="6A5335DD" w14:textId="6E029050" w:rsidR="00A24985" w:rsidRPr="00FF68DA" w:rsidRDefault="00A24985" w:rsidP="00A24985">
            <w:pPr>
              <w:rPr>
                <w:rFonts w:ascii="Tahoma" w:hAnsi="Tahoma" w:cs="Tahoma"/>
                <w:iCs/>
                <w:sz w:val="18"/>
                <w:szCs w:val="18"/>
              </w:rPr>
            </w:pPr>
            <w:r w:rsidRPr="00FF68DA">
              <w:rPr>
                <w:rFonts w:ascii="Tahoma" w:hAnsi="Tahoma" w:cs="Tahoma"/>
                <w:sz w:val="18"/>
                <w:szCs w:val="18"/>
              </w:rPr>
              <w:t>1.1.6.2.</w:t>
            </w:r>
          </w:p>
        </w:tc>
        <w:tc>
          <w:tcPr>
            <w:tcW w:w="5244" w:type="dxa"/>
            <w:gridSpan w:val="3"/>
          </w:tcPr>
          <w:p w14:paraId="154660D7" w14:textId="5A31DC4C" w:rsidR="00A24985" w:rsidRPr="00FF68DA" w:rsidRDefault="00A24985" w:rsidP="00A24985">
            <w:pPr>
              <w:ind w:left="32" w:right="34"/>
              <w:jc w:val="both"/>
              <w:rPr>
                <w:rFonts w:ascii="Tahoma" w:hAnsi="Tahoma" w:cs="Tahoma"/>
                <w:sz w:val="18"/>
                <w:szCs w:val="18"/>
              </w:rPr>
            </w:pPr>
            <w:r w:rsidRPr="00FF68DA">
              <w:rPr>
                <w:rFonts w:ascii="Tahoma" w:hAnsi="Tahoma" w:cs="Tahoma"/>
                <w:sz w:val="18"/>
                <w:szCs w:val="18"/>
              </w:rPr>
              <w:t xml:space="preserve">С Номинального счета </w:t>
            </w:r>
          </w:p>
        </w:tc>
        <w:tc>
          <w:tcPr>
            <w:tcW w:w="1305" w:type="dxa"/>
            <w:gridSpan w:val="2"/>
            <w:noWrap/>
          </w:tcPr>
          <w:p w14:paraId="47FDCDC1" w14:textId="532C9430" w:rsidR="00A24985" w:rsidRPr="00FF68DA" w:rsidRDefault="00A24985" w:rsidP="00A24985">
            <w:pPr>
              <w:ind w:right="34"/>
              <w:jc w:val="center"/>
              <w:rPr>
                <w:rFonts w:ascii="Tahoma" w:hAnsi="Tahoma" w:cs="Tahoma"/>
                <w:sz w:val="18"/>
                <w:szCs w:val="18"/>
              </w:rPr>
            </w:pPr>
            <w:r w:rsidRPr="00FF68DA">
              <w:rPr>
                <w:rFonts w:ascii="Tahoma" w:hAnsi="Tahoma" w:cs="Tahoma"/>
                <w:sz w:val="18"/>
                <w:szCs w:val="18"/>
              </w:rPr>
              <w:t>БЕСПЛАТНО</w:t>
            </w:r>
          </w:p>
        </w:tc>
        <w:tc>
          <w:tcPr>
            <w:tcW w:w="1134" w:type="dxa"/>
            <w:gridSpan w:val="2"/>
            <w:noWrap/>
          </w:tcPr>
          <w:p w14:paraId="6ECB410C" w14:textId="77777777" w:rsidR="00A24985" w:rsidRPr="002D4ACF" w:rsidRDefault="00A24985" w:rsidP="00A24985">
            <w:pPr>
              <w:ind w:right="34"/>
              <w:rPr>
                <w:rFonts w:ascii="Tahoma" w:hAnsi="Tahoma" w:cs="Tahoma"/>
                <w:sz w:val="20"/>
                <w:szCs w:val="20"/>
                <w:lang w:eastAsia="zh-CN"/>
              </w:rPr>
            </w:pPr>
          </w:p>
        </w:tc>
        <w:tc>
          <w:tcPr>
            <w:tcW w:w="1388" w:type="dxa"/>
            <w:gridSpan w:val="2"/>
            <w:noWrap/>
          </w:tcPr>
          <w:p w14:paraId="068B64B2" w14:textId="77777777" w:rsidR="00A24985" w:rsidRPr="002D4ACF" w:rsidRDefault="00A24985" w:rsidP="00A24985">
            <w:pPr>
              <w:rPr>
                <w:rFonts w:ascii="Tahoma" w:hAnsi="Tahoma" w:cs="Tahoma"/>
                <w:sz w:val="20"/>
                <w:szCs w:val="20"/>
                <w:lang w:eastAsia="zh-CN"/>
              </w:rPr>
            </w:pPr>
          </w:p>
        </w:tc>
      </w:tr>
      <w:tr w:rsidR="00A24985" w:rsidRPr="002D4ACF" w14:paraId="4A654354" w14:textId="77777777" w:rsidTr="00DD2371">
        <w:trPr>
          <w:trHeight w:val="345"/>
        </w:trPr>
        <w:tc>
          <w:tcPr>
            <w:tcW w:w="1064" w:type="dxa"/>
            <w:noWrap/>
          </w:tcPr>
          <w:p w14:paraId="78CE9BC8" w14:textId="77777777" w:rsidR="00A24985" w:rsidRPr="002D4ACF" w:rsidRDefault="00A24985" w:rsidP="00A24985">
            <w:pPr>
              <w:ind w:right="34"/>
              <w:rPr>
                <w:rFonts w:ascii="Tahoma" w:hAnsi="Tahoma" w:cs="Tahoma"/>
                <w:b/>
                <w:bCs/>
                <w:iCs/>
                <w:sz w:val="20"/>
                <w:szCs w:val="20"/>
              </w:rPr>
            </w:pPr>
          </w:p>
        </w:tc>
        <w:tc>
          <w:tcPr>
            <w:tcW w:w="1063" w:type="dxa"/>
            <w:noWrap/>
          </w:tcPr>
          <w:p w14:paraId="293B4204" w14:textId="0D6B324C" w:rsidR="00A24985" w:rsidRPr="00FF68DA" w:rsidRDefault="00A24985" w:rsidP="00A24985">
            <w:pPr>
              <w:rPr>
                <w:rFonts w:ascii="Tahoma" w:hAnsi="Tahoma" w:cs="Tahoma"/>
                <w:iCs/>
                <w:sz w:val="18"/>
                <w:szCs w:val="18"/>
              </w:rPr>
            </w:pPr>
            <w:r w:rsidRPr="00FF68DA">
              <w:rPr>
                <w:rFonts w:ascii="Tahoma" w:hAnsi="Tahoma" w:cs="Tahoma"/>
                <w:sz w:val="18"/>
                <w:szCs w:val="18"/>
              </w:rPr>
              <w:t>1.1.6.3.</w:t>
            </w:r>
          </w:p>
        </w:tc>
        <w:tc>
          <w:tcPr>
            <w:tcW w:w="5244" w:type="dxa"/>
            <w:gridSpan w:val="3"/>
          </w:tcPr>
          <w:p w14:paraId="0234B052" w14:textId="77777777" w:rsidR="00A24985" w:rsidRPr="00FF68DA" w:rsidRDefault="00A24985" w:rsidP="00A24985">
            <w:pPr>
              <w:ind w:left="32" w:right="34"/>
              <w:jc w:val="both"/>
              <w:rPr>
                <w:rFonts w:ascii="Tahoma" w:eastAsia="Calibri" w:hAnsi="Tahoma" w:cs="Tahoma"/>
                <w:sz w:val="18"/>
                <w:szCs w:val="18"/>
                <w:lang w:eastAsia="en-US"/>
              </w:rPr>
            </w:pPr>
            <w:r w:rsidRPr="00FF68DA">
              <w:rPr>
                <w:rFonts w:ascii="Tahoma" w:hAnsi="Tahoma" w:cs="Tahoma"/>
                <w:sz w:val="18"/>
                <w:szCs w:val="18"/>
              </w:rPr>
              <w:t xml:space="preserve">В рублях </w:t>
            </w:r>
            <w:r w:rsidRPr="00FF68DA">
              <w:rPr>
                <w:rFonts w:ascii="Tahoma" w:hAnsi="Tahoma" w:cs="Tahoma"/>
                <w:sz w:val="18"/>
                <w:szCs w:val="18"/>
                <w:lang w:val="en-US"/>
              </w:rPr>
              <w:t>c</w:t>
            </w:r>
            <w:r w:rsidRPr="00FF68DA">
              <w:rPr>
                <w:rFonts w:ascii="Tahoma" w:eastAsia="Calibri" w:hAnsi="Tahoma" w:cs="Tahoma"/>
                <w:sz w:val="18"/>
                <w:szCs w:val="18"/>
                <w:lang w:eastAsia="en-US"/>
              </w:rPr>
              <w:t xml:space="preserve">о Срочного вклада, Текущего банковского счета, Вклада до востребования, Пенсионного вклада до востребования, со Счета Карты </w:t>
            </w:r>
          </w:p>
          <w:p w14:paraId="49200102" w14:textId="3A5CFC67" w:rsidR="00A24985" w:rsidRPr="00FF68DA" w:rsidRDefault="00A24985" w:rsidP="00A24985">
            <w:pPr>
              <w:ind w:left="32" w:right="34"/>
              <w:jc w:val="both"/>
              <w:rPr>
                <w:rFonts w:ascii="Tahoma" w:hAnsi="Tahoma" w:cs="Tahoma"/>
                <w:sz w:val="18"/>
                <w:szCs w:val="18"/>
              </w:rPr>
            </w:pPr>
            <w:r w:rsidRPr="00FF68DA">
              <w:rPr>
                <w:rFonts w:ascii="Tahoma" w:hAnsi="Tahoma" w:cs="Tahoma"/>
                <w:sz w:val="18"/>
                <w:szCs w:val="18"/>
              </w:rPr>
              <w:t xml:space="preserve">*комиссия не взимается, в случае уплаты комиссий за открытие/ раскрытие аккредитива в рамках одной ипотечной сделки. </w:t>
            </w:r>
          </w:p>
        </w:tc>
        <w:tc>
          <w:tcPr>
            <w:tcW w:w="1305" w:type="dxa"/>
            <w:gridSpan w:val="2"/>
            <w:noWrap/>
          </w:tcPr>
          <w:p w14:paraId="6BD37CF8" w14:textId="2141B02F" w:rsidR="00A24985" w:rsidRPr="00FF68DA" w:rsidRDefault="00A24985" w:rsidP="00A24985">
            <w:pPr>
              <w:ind w:right="34"/>
              <w:jc w:val="center"/>
              <w:rPr>
                <w:rFonts w:ascii="Tahoma" w:hAnsi="Tahoma" w:cs="Tahoma"/>
                <w:sz w:val="18"/>
                <w:szCs w:val="18"/>
              </w:rPr>
            </w:pPr>
            <w:r w:rsidRPr="00FF68DA">
              <w:rPr>
                <w:rFonts w:ascii="Tahoma" w:hAnsi="Tahoma" w:cs="Tahoma"/>
                <w:sz w:val="18"/>
                <w:szCs w:val="18"/>
              </w:rPr>
              <w:t>1 % от суммы операции</w:t>
            </w:r>
            <w:r w:rsidRPr="00FF68DA">
              <w:rPr>
                <w:rFonts w:ascii="Tahoma" w:hAnsi="Tahoma" w:cs="Tahoma"/>
                <w:sz w:val="18"/>
                <w:szCs w:val="18"/>
                <w:vertAlign w:val="superscript"/>
              </w:rPr>
              <w:t>6</w:t>
            </w:r>
          </w:p>
        </w:tc>
        <w:tc>
          <w:tcPr>
            <w:tcW w:w="1134" w:type="dxa"/>
            <w:gridSpan w:val="2"/>
            <w:noWrap/>
          </w:tcPr>
          <w:p w14:paraId="2B6E2EBB" w14:textId="77777777" w:rsidR="00A24985" w:rsidRPr="002D4ACF" w:rsidRDefault="00A24985" w:rsidP="00A24985">
            <w:pPr>
              <w:ind w:right="34"/>
              <w:rPr>
                <w:rFonts w:ascii="Tahoma" w:hAnsi="Tahoma" w:cs="Tahoma"/>
                <w:sz w:val="20"/>
                <w:szCs w:val="20"/>
                <w:lang w:eastAsia="zh-CN"/>
              </w:rPr>
            </w:pPr>
          </w:p>
        </w:tc>
        <w:tc>
          <w:tcPr>
            <w:tcW w:w="1388" w:type="dxa"/>
            <w:gridSpan w:val="2"/>
            <w:noWrap/>
          </w:tcPr>
          <w:p w14:paraId="3D03807E" w14:textId="77777777" w:rsidR="00A24985" w:rsidRPr="002D4ACF" w:rsidRDefault="00A24985" w:rsidP="00A24985">
            <w:pPr>
              <w:rPr>
                <w:rFonts w:ascii="Tahoma" w:hAnsi="Tahoma" w:cs="Tahoma"/>
                <w:sz w:val="20"/>
                <w:szCs w:val="20"/>
                <w:lang w:eastAsia="zh-CN"/>
              </w:rPr>
            </w:pPr>
          </w:p>
        </w:tc>
      </w:tr>
      <w:tr w:rsidR="00A24985" w:rsidRPr="002D4ACF" w14:paraId="2BF72F57" w14:textId="77777777" w:rsidTr="00DD2371">
        <w:trPr>
          <w:trHeight w:val="345"/>
        </w:trPr>
        <w:tc>
          <w:tcPr>
            <w:tcW w:w="1064" w:type="dxa"/>
            <w:noWrap/>
          </w:tcPr>
          <w:p w14:paraId="29D4DA63" w14:textId="77777777" w:rsidR="00A24985" w:rsidRPr="002D4ACF" w:rsidRDefault="00A24985" w:rsidP="00A24985">
            <w:pPr>
              <w:ind w:right="34"/>
              <w:rPr>
                <w:rFonts w:ascii="Tahoma" w:hAnsi="Tahoma" w:cs="Tahoma"/>
                <w:b/>
                <w:bCs/>
                <w:iCs/>
                <w:sz w:val="20"/>
                <w:szCs w:val="22"/>
              </w:rPr>
            </w:pPr>
          </w:p>
        </w:tc>
        <w:tc>
          <w:tcPr>
            <w:tcW w:w="1063" w:type="dxa"/>
            <w:noWrap/>
          </w:tcPr>
          <w:p w14:paraId="65CADEE1" w14:textId="4D834C2F" w:rsidR="00A24985" w:rsidRPr="00FF68DA" w:rsidRDefault="00A24985" w:rsidP="00A24985">
            <w:pPr>
              <w:rPr>
                <w:rFonts w:ascii="Tahoma" w:hAnsi="Tahoma" w:cs="Tahoma"/>
                <w:sz w:val="20"/>
                <w:szCs w:val="22"/>
              </w:rPr>
            </w:pPr>
            <w:r w:rsidRPr="00FF68DA">
              <w:rPr>
                <w:rFonts w:ascii="Tahoma" w:hAnsi="Tahoma" w:cs="Tahoma"/>
                <w:sz w:val="18"/>
                <w:szCs w:val="18"/>
              </w:rPr>
              <w:t>1.1.6.4.</w:t>
            </w:r>
          </w:p>
        </w:tc>
        <w:tc>
          <w:tcPr>
            <w:tcW w:w="5244" w:type="dxa"/>
            <w:gridSpan w:val="3"/>
          </w:tcPr>
          <w:p w14:paraId="6543595E" w14:textId="77777777" w:rsidR="00A24985" w:rsidRPr="00FF68DA" w:rsidRDefault="00A24985" w:rsidP="00A24985">
            <w:pPr>
              <w:autoSpaceDE w:val="0"/>
              <w:autoSpaceDN w:val="0"/>
              <w:adjustRightInd w:val="0"/>
              <w:spacing w:line="276" w:lineRule="auto"/>
              <w:jc w:val="both"/>
              <w:rPr>
                <w:rFonts w:ascii="Tahoma" w:eastAsia="Calibri" w:hAnsi="Tahoma" w:cs="Tahoma"/>
                <w:sz w:val="18"/>
                <w:szCs w:val="18"/>
                <w:lang w:eastAsia="en-US"/>
              </w:rPr>
            </w:pPr>
            <w:r w:rsidRPr="00FF68DA">
              <w:rPr>
                <w:rFonts w:ascii="Tahoma" w:hAnsi="Tahoma" w:cs="Tahoma"/>
                <w:sz w:val="18"/>
                <w:szCs w:val="18"/>
              </w:rPr>
              <w:t xml:space="preserve">В рублях </w:t>
            </w:r>
            <w:r w:rsidRPr="00FF68DA">
              <w:rPr>
                <w:rFonts w:ascii="Tahoma" w:eastAsia="Calibri" w:hAnsi="Tahoma" w:cs="Tahoma"/>
                <w:sz w:val="18"/>
                <w:szCs w:val="18"/>
                <w:lang w:val="en-US" w:eastAsia="en-US"/>
              </w:rPr>
              <w:t>c</w:t>
            </w:r>
            <w:r w:rsidRPr="00FF68DA">
              <w:rPr>
                <w:rFonts w:ascii="Tahoma" w:eastAsia="Calibri" w:hAnsi="Tahoma" w:cs="Tahoma"/>
                <w:sz w:val="18"/>
                <w:szCs w:val="18"/>
                <w:lang w:eastAsia="en-US"/>
              </w:rPr>
              <w:t>о Срочного вклада, Текущего банковского счета, Вклада до востребования, Пенсионного вклада до востребования, со Счета Карты Продавца недвижимости по ипотечной сделке, в случае уплаты им (Продавцом недвижимости по ипотечной сделке), комиссий за открытие/ раскрытие аккредитива в рамках одной ипотечной сделки.</w:t>
            </w:r>
          </w:p>
          <w:p w14:paraId="3CCCCBE1" w14:textId="63C84EBA" w:rsidR="00A24985" w:rsidRPr="00FF68DA" w:rsidRDefault="00A24985" w:rsidP="00A24985">
            <w:pPr>
              <w:ind w:left="32" w:right="34"/>
              <w:jc w:val="both"/>
              <w:rPr>
                <w:rFonts w:ascii="Tahoma" w:hAnsi="Tahoma" w:cs="Tahoma"/>
                <w:sz w:val="20"/>
                <w:szCs w:val="22"/>
              </w:rPr>
            </w:pPr>
            <w:r w:rsidRPr="00FF68DA">
              <w:rPr>
                <w:rFonts w:ascii="Tahoma" w:hAnsi="Tahoma" w:cs="Tahoma"/>
                <w:sz w:val="18"/>
                <w:szCs w:val="18"/>
              </w:rPr>
              <w:t>*комиссия взимается единовременно</w:t>
            </w:r>
          </w:p>
        </w:tc>
        <w:tc>
          <w:tcPr>
            <w:tcW w:w="1305" w:type="dxa"/>
            <w:gridSpan w:val="2"/>
            <w:noWrap/>
          </w:tcPr>
          <w:p w14:paraId="17B65CB8" w14:textId="7286464D" w:rsidR="00A24985" w:rsidRPr="00FF68DA" w:rsidRDefault="00A24985" w:rsidP="00A24985">
            <w:pPr>
              <w:ind w:right="34"/>
              <w:jc w:val="center"/>
              <w:rPr>
                <w:rFonts w:ascii="Tahoma" w:hAnsi="Tahoma" w:cs="Tahoma"/>
                <w:sz w:val="18"/>
                <w:szCs w:val="18"/>
              </w:rPr>
            </w:pPr>
            <w:r w:rsidRPr="00FF68DA">
              <w:rPr>
                <w:rFonts w:ascii="Tahoma" w:eastAsiaTheme="minorHAnsi" w:hAnsi="Tahoma" w:cs="Tahoma"/>
                <w:sz w:val="18"/>
                <w:szCs w:val="18"/>
                <w:lang w:eastAsia="en-US"/>
              </w:rPr>
              <w:t>1000 рублей</w:t>
            </w:r>
          </w:p>
        </w:tc>
        <w:tc>
          <w:tcPr>
            <w:tcW w:w="1134" w:type="dxa"/>
            <w:gridSpan w:val="2"/>
            <w:noWrap/>
          </w:tcPr>
          <w:p w14:paraId="4A0FBA7D" w14:textId="77777777" w:rsidR="00A24985" w:rsidRPr="002D4ACF" w:rsidRDefault="00A24985" w:rsidP="00A24985">
            <w:pPr>
              <w:ind w:right="34"/>
              <w:rPr>
                <w:rFonts w:ascii="Tahoma" w:hAnsi="Tahoma" w:cs="Tahoma"/>
                <w:sz w:val="20"/>
                <w:szCs w:val="22"/>
                <w:lang w:eastAsia="zh-CN"/>
              </w:rPr>
            </w:pPr>
          </w:p>
        </w:tc>
        <w:tc>
          <w:tcPr>
            <w:tcW w:w="1388" w:type="dxa"/>
            <w:gridSpan w:val="2"/>
            <w:noWrap/>
          </w:tcPr>
          <w:p w14:paraId="5872175D" w14:textId="77777777" w:rsidR="00A24985" w:rsidRPr="002D4ACF" w:rsidRDefault="00A24985" w:rsidP="00A24985">
            <w:pPr>
              <w:rPr>
                <w:rFonts w:ascii="Tahoma" w:hAnsi="Tahoma" w:cs="Tahoma"/>
                <w:sz w:val="20"/>
                <w:szCs w:val="22"/>
                <w:lang w:eastAsia="zh-CN"/>
              </w:rPr>
            </w:pPr>
          </w:p>
        </w:tc>
      </w:tr>
      <w:tr w:rsidR="00A24985" w:rsidRPr="002D4ACF" w14:paraId="52E42A23" w14:textId="77777777" w:rsidTr="00DD2371">
        <w:trPr>
          <w:trHeight w:val="345"/>
        </w:trPr>
        <w:tc>
          <w:tcPr>
            <w:tcW w:w="1064" w:type="dxa"/>
            <w:noWrap/>
          </w:tcPr>
          <w:p w14:paraId="44DFED4E" w14:textId="77777777" w:rsidR="00A24985" w:rsidRPr="002D4ACF" w:rsidRDefault="00A24985" w:rsidP="00A24985">
            <w:pPr>
              <w:ind w:right="34"/>
              <w:rPr>
                <w:rFonts w:ascii="Tahoma" w:hAnsi="Tahoma" w:cs="Tahoma"/>
                <w:b/>
                <w:bCs/>
                <w:iCs/>
                <w:sz w:val="20"/>
                <w:szCs w:val="22"/>
              </w:rPr>
            </w:pPr>
          </w:p>
        </w:tc>
        <w:tc>
          <w:tcPr>
            <w:tcW w:w="1063" w:type="dxa"/>
            <w:noWrap/>
          </w:tcPr>
          <w:p w14:paraId="5D9F94DD" w14:textId="5E63CA5E" w:rsidR="00A24985" w:rsidRPr="00FF68DA" w:rsidRDefault="00A24985" w:rsidP="00A24985">
            <w:pPr>
              <w:rPr>
                <w:rFonts w:ascii="Tahoma" w:hAnsi="Tahoma" w:cs="Tahoma"/>
              </w:rPr>
            </w:pPr>
            <w:r w:rsidRPr="00FF68DA">
              <w:rPr>
                <w:rFonts w:ascii="Tahoma" w:hAnsi="Tahoma" w:cs="Tahoma"/>
                <w:sz w:val="18"/>
                <w:szCs w:val="18"/>
              </w:rPr>
              <w:t>1.1.6.5.</w:t>
            </w:r>
          </w:p>
        </w:tc>
        <w:tc>
          <w:tcPr>
            <w:tcW w:w="5244" w:type="dxa"/>
            <w:gridSpan w:val="3"/>
          </w:tcPr>
          <w:p w14:paraId="0CADE318" w14:textId="72F6BCD0" w:rsidR="00A24985" w:rsidRPr="00FF68DA" w:rsidRDefault="00A24985" w:rsidP="00A24985">
            <w:pPr>
              <w:ind w:left="32" w:right="34"/>
              <w:jc w:val="both"/>
              <w:rPr>
                <w:rFonts w:ascii="Tahoma" w:hAnsi="Tahoma" w:cs="Tahoma"/>
                <w:sz w:val="18"/>
                <w:szCs w:val="18"/>
              </w:rPr>
            </w:pPr>
            <w:r w:rsidRPr="00FF68DA">
              <w:rPr>
                <w:rFonts w:ascii="Tahoma" w:hAnsi="Tahoma" w:cs="Tahoma"/>
                <w:sz w:val="18"/>
                <w:szCs w:val="18"/>
              </w:rPr>
              <w:t xml:space="preserve">В иностранной валюте со Срочного вклада, Текущего банковского счета, Вклада до востребования, Пенсионного вклада до востребования, со Счета Карты  (с учетом ограничений, </w:t>
            </w:r>
            <w:r w:rsidRPr="00FF68DA">
              <w:rPr>
                <w:rFonts w:ascii="Tahoma" w:hAnsi="Tahoma" w:cs="Tahoma"/>
                <w:iCs/>
                <w:sz w:val="14"/>
                <w:szCs w:val="16"/>
              </w:rPr>
              <w:t xml:space="preserve"> </w:t>
            </w:r>
            <w:r w:rsidRPr="00FF68DA">
              <w:rPr>
                <w:rFonts w:ascii="Tahoma" w:hAnsi="Tahoma" w:cs="Tahoma"/>
                <w:sz w:val="18"/>
                <w:szCs w:val="18"/>
              </w:rPr>
              <w:t>установленных федеральными законами и иными нормативными правовыми актами)</w:t>
            </w:r>
          </w:p>
        </w:tc>
        <w:tc>
          <w:tcPr>
            <w:tcW w:w="1305" w:type="dxa"/>
            <w:gridSpan w:val="2"/>
            <w:noWrap/>
          </w:tcPr>
          <w:p w14:paraId="05EDBCC1" w14:textId="3496FFFF" w:rsidR="00A24985" w:rsidRPr="00FF68DA" w:rsidRDefault="00A24985" w:rsidP="00A24985">
            <w:pPr>
              <w:ind w:right="34"/>
              <w:jc w:val="center"/>
              <w:rPr>
                <w:rFonts w:ascii="Tahoma" w:hAnsi="Tahoma" w:cs="Tahoma"/>
                <w:b/>
              </w:rPr>
            </w:pPr>
            <w:r w:rsidRPr="00FF68DA">
              <w:rPr>
                <w:rFonts w:ascii="Tahoma" w:hAnsi="Tahoma" w:cs="Tahoma"/>
                <w:sz w:val="18"/>
                <w:szCs w:val="18"/>
              </w:rPr>
              <w:t>БЕСПЛАТНО</w:t>
            </w:r>
          </w:p>
        </w:tc>
        <w:tc>
          <w:tcPr>
            <w:tcW w:w="1134" w:type="dxa"/>
            <w:gridSpan w:val="2"/>
            <w:noWrap/>
          </w:tcPr>
          <w:p w14:paraId="0C6EF1F6" w14:textId="77777777" w:rsidR="00A24985" w:rsidRPr="002D4ACF" w:rsidRDefault="00A24985" w:rsidP="00A24985">
            <w:pPr>
              <w:ind w:right="34"/>
              <w:rPr>
                <w:rFonts w:ascii="Tahoma" w:hAnsi="Tahoma" w:cs="Tahoma"/>
                <w:sz w:val="20"/>
                <w:szCs w:val="22"/>
                <w:lang w:eastAsia="zh-CN"/>
              </w:rPr>
            </w:pPr>
          </w:p>
        </w:tc>
        <w:tc>
          <w:tcPr>
            <w:tcW w:w="1388" w:type="dxa"/>
            <w:gridSpan w:val="2"/>
            <w:noWrap/>
          </w:tcPr>
          <w:p w14:paraId="1745268A" w14:textId="77777777" w:rsidR="00A24985" w:rsidRPr="002D4ACF" w:rsidRDefault="00A24985" w:rsidP="00A24985">
            <w:pPr>
              <w:rPr>
                <w:rFonts w:ascii="Tahoma" w:hAnsi="Tahoma" w:cs="Tahoma"/>
                <w:sz w:val="20"/>
                <w:szCs w:val="22"/>
                <w:lang w:eastAsia="zh-CN"/>
              </w:rPr>
            </w:pPr>
          </w:p>
        </w:tc>
      </w:tr>
      <w:tr w:rsidR="00DF74D7" w:rsidRPr="002D4ACF" w14:paraId="5BF63316" w14:textId="77777777" w:rsidTr="00DD2371">
        <w:trPr>
          <w:trHeight w:val="465"/>
        </w:trPr>
        <w:tc>
          <w:tcPr>
            <w:tcW w:w="11198" w:type="dxa"/>
            <w:gridSpan w:val="11"/>
            <w:noWrap/>
          </w:tcPr>
          <w:p w14:paraId="4C696844" w14:textId="77777777" w:rsidR="00A24985" w:rsidRPr="002D4ACF" w:rsidRDefault="00A24985" w:rsidP="00A24985">
            <w:pPr>
              <w:rPr>
                <w:rFonts w:ascii="Tahoma" w:hAnsi="Tahoma" w:cs="Tahoma"/>
                <w:sz w:val="14"/>
                <w:szCs w:val="14"/>
              </w:rPr>
            </w:pPr>
            <w:r w:rsidRPr="002D4ACF">
              <w:rPr>
                <w:rFonts w:ascii="Tahoma" w:hAnsi="Tahoma" w:cs="Tahoma"/>
                <w:sz w:val="14"/>
                <w:szCs w:val="14"/>
              </w:rPr>
              <w:t>**С 01.03.2023 комиссия не взимается при совершении операции в рублях следующими категориями клиентов:</w:t>
            </w:r>
          </w:p>
          <w:p w14:paraId="02D1E32E" w14:textId="77777777" w:rsidR="00A24985" w:rsidRPr="00622848" w:rsidRDefault="00A24985" w:rsidP="00A24985">
            <w:pPr>
              <w:autoSpaceDE w:val="0"/>
              <w:autoSpaceDN w:val="0"/>
              <w:adjustRightInd w:val="0"/>
              <w:jc w:val="both"/>
              <w:rPr>
                <w:rFonts w:ascii="Tahoma" w:hAnsi="Tahoma"/>
                <w:color w:val="FF0000"/>
                <w:sz w:val="14"/>
              </w:rPr>
            </w:pPr>
            <w:r w:rsidRPr="002D4ACF">
              <w:rPr>
                <w:rFonts w:ascii="Tahoma" w:hAnsi="Tahoma" w:cs="Tahoma"/>
                <w:sz w:val="14"/>
                <w:szCs w:val="14"/>
              </w:rPr>
              <w:t>1) лицо (в том числе индивидуальный предприниматель), призванное на военную службу по мобилизации в Вооруженные Силы Российской Федерации</w:t>
            </w:r>
            <w:r>
              <w:rPr>
                <w:rFonts w:ascii="Tahoma" w:hAnsi="Tahoma" w:cs="Tahoma"/>
                <w:sz w:val="14"/>
                <w:szCs w:val="14"/>
              </w:rPr>
              <w:t xml:space="preserve"> </w:t>
            </w:r>
            <w:r w:rsidRPr="005E3BDF">
              <w:rPr>
                <w:rFonts w:ascii="Tahoma" w:hAnsi="Tahoma" w:cs="Tahoma"/>
                <w:color w:val="FF0000"/>
                <w:sz w:val="14"/>
                <w:szCs w:val="14"/>
              </w:rPr>
              <w:t>на должностях, по которым предусмотрено присвоение специальных званий полиции, по мобилизации</w:t>
            </w:r>
            <w:r w:rsidRPr="002D4ACF">
              <w:rPr>
                <w:rFonts w:ascii="Tahoma" w:hAnsi="Tahoma" w:cs="Tahoma"/>
                <w:sz w:val="14"/>
                <w:szCs w:val="14"/>
              </w:rPr>
              <w:t xml:space="preserve">; </w:t>
            </w:r>
          </w:p>
          <w:p w14:paraId="49051375" w14:textId="77777777" w:rsidR="00A24985" w:rsidRPr="002D4ACF" w:rsidRDefault="00A24985" w:rsidP="00A24985">
            <w:pPr>
              <w:rPr>
                <w:rFonts w:ascii="Tahoma" w:hAnsi="Tahoma" w:cs="Tahoma"/>
                <w:sz w:val="14"/>
                <w:szCs w:val="14"/>
              </w:rPr>
            </w:pPr>
            <w:r w:rsidRPr="002D4ACF">
              <w:rPr>
                <w:rFonts w:ascii="Tahoma" w:hAnsi="Tahoma" w:cs="Tahoma"/>
                <w:sz w:val="14"/>
                <w:szCs w:val="14"/>
              </w:rPr>
              <w:t>2) лицо, проходящее военную службу в Вооруженных Силах Российской Федерации по контракту, или лицо, находящееся на военной службе в войсках национальной гвардии Российской Федерации, в воинских формированиях и органах, указанных в пункте 6 статьи 1 Федерального закона от 31 мая 1996 года № 61-ФЗ «Об обороне», при условии его участия в специальной военной операции;</w:t>
            </w:r>
          </w:p>
          <w:p w14:paraId="62C84EBD" w14:textId="77777777" w:rsidR="00A24985" w:rsidRPr="002D4ACF" w:rsidRDefault="00A24985" w:rsidP="00A24985">
            <w:pPr>
              <w:rPr>
                <w:rFonts w:ascii="Tahoma" w:hAnsi="Tahoma" w:cs="Tahoma"/>
                <w:sz w:val="14"/>
                <w:szCs w:val="14"/>
              </w:rPr>
            </w:pPr>
            <w:r w:rsidRPr="002D4ACF">
              <w:rPr>
                <w:rFonts w:ascii="Tahoma" w:hAnsi="Tahoma" w:cs="Tahoma"/>
                <w:sz w:val="14"/>
                <w:szCs w:val="14"/>
              </w:rPr>
              <w:lastRenderedPageBreak/>
              <w:t>3) лицо (в том числе индивидуальный предприниматель), заключившее контракт о добровольном содействии в выполнении задач, возложенных на Вооруженные Силы Российской Федерации</w:t>
            </w:r>
            <w:r>
              <w:rPr>
                <w:rFonts w:ascii="Tahoma" w:hAnsi="Tahoma" w:cs="Tahoma"/>
                <w:sz w:val="14"/>
                <w:szCs w:val="14"/>
              </w:rPr>
              <w:t xml:space="preserve"> </w:t>
            </w:r>
            <w:r w:rsidRPr="005E3BDF">
              <w:rPr>
                <w:rFonts w:ascii="Tahoma" w:hAnsi="Tahoma" w:cs="Tahoma"/>
                <w:color w:val="FF0000"/>
                <w:sz w:val="14"/>
                <w:szCs w:val="14"/>
              </w:rPr>
              <w:t>или войска национальной гвардии Российской Федерации</w:t>
            </w:r>
            <w:r w:rsidRPr="002D4ACF">
              <w:rPr>
                <w:rFonts w:ascii="Tahoma" w:hAnsi="Tahoma" w:cs="Tahoma"/>
                <w:sz w:val="14"/>
                <w:szCs w:val="14"/>
              </w:rPr>
              <w:t xml:space="preserve">; </w:t>
            </w:r>
          </w:p>
          <w:p w14:paraId="39819455" w14:textId="77777777" w:rsidR="00A24985" w:rsidRPr="002D4ACF" w:rsidRDefault="00A24985" w:rsidP="00A24985">
            <w:pPr>
              <w:rPr>
                <w:rFonts w:ascii="Tahoma" w:hAnsi="Tahoma" w:cs="Tahoma"/>
                <w:sz w:val="14"/>
                <w:szCs w:val="14"/>
              </w:rPr>
            </w:pPr>
            <w:r w:rsidRPr="002D4ACF">
              <w:rPr>
                <w:rFonts w:ascii="Tahoma" w:hAnsi="Tahoma" w:cs="Tahoma"/>
                <w:sz w:val="14"/>
                <w:szCs w:val="14"/>
              </w:rPr>
              <w:t xml:space="preserve">4) лицо, проходящее службу в управлениях (отделах, службах, отрядах) федерального органа исполнительной власти в области обеспечения безопасности по пограничной службе (в пограничных органах) на территории Российской Федерации, обеспечивающее проведение специальной военной операции; </w:t>
            </w:r>
          </w:p>
          <w:p w14:paraId="1FA36F6C" w14:textId="3B245B65" w:rsidR="00DF74D7" w:rsidRPr="002D4ACF" w:rsidRDefault="00A24985" w:rsidP="00A24985">
            <w:pPr>
              <w:tabs>
                <w:tab w:val="left" w:pos="2415"/>
              </w:tabs>
              <w:rPr>
                <w:rFonts w:ascii="Tahoma" w:hAnsi="Tahoma" w:cs="Tahoma"/>
                <w:sz w:val="18"/>
                <w:szCs w:val="18"/>
              </w:rPr>
            </w:pPr>
            <w:r w:rsidRPr="002D4ACF">
              <w:rPr>
                <w:rFonts w:ascii="Tahoma" w:hAnsi="Tahoma" w:cs="Tahoma"/>
                <w:sz w:val="14"/>
                <w:szCs w:val="14"/>
              </w:rPr>
              <w:t>5) члены семьи лиц, указанных в подпунктах 1–4 настоящего пункта, определенные в соответствии с пунктом 5 статьи 2 Федерального закона от 27 мая 1998 года № 76-ФЗ «О статусе военнослужащих».</w:t>
            </w:r>
          </w:p>
        </w:tc>
      </w:tr>
      <w:tr w:rsidR="00DF74D7" w:rsidRPr="002D4ACF" w14:paraId="0EB85410" w14:textId="77777777" w:rsidTr="00DD2371">
        <w:trPr>
          <w:trHeight w:val="465"/>
        </w:trPr>
        <w:tc>
          <w:tcPr>
            <w:tcW w:w="1064" w:type="dxa"/>
            <w:noWrap/>
            <w:hideMark/>
          </w:tcPr>
          <w:p w14:paraId="0F12C8D2" w14:textId="77777777" w:rsidR="00DF74D7" w:rsidRPr="002D4ACF" w:rsidRDefault="00DF74D7" w:rsidP="00DD2371">
            <w:pPr>
              <w:ind w:right="34"/>
              <w:rPr>
                <w:rFonts w:ascii="Tahoma" w:hAnsi="Tahoma" w:cs="Tahoma"/>
                <w:b/>
                <w:bCs/>
                <w:iCs/>
                <w:sz w:val="18"/>
                <w:szCs w:val="18"/>
              </w:rPr>
            </w:pPr>
            <w:r w:rsidRPr="002D4ACF">
              <w:rPr>
                <w:rFonts w:ascii="Tahoma" w:hAnsi="Tahoma" w:cs="Tahoma"/>
                <w:b/>
                <w:bCs/>
                <w:iCs/>
                <w:sz w:val="18"/>
                <w:szCs w:val="18"/>
              </w:rPr>
              <w:lastRenderedPageBreak/>
              <w:t>1.1.7.</w:t>
            </w:r>
          </w:p>
        </w:tc>
        <w:tc>
          <w:tcPr>
            <w:tcW w:w="1063" w:type="dxa"/>
            <w:noWrap/>
            <w:hideMark/>
          </w:tcPr>
          <w:p w14:paraId="5EAED8C9"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 </w:t>
            </w:r>
          </w:p>
        </w:tc>
        <w:tc>
          <w:tcPr>
            <w:tcW w:w="5244" w:type="dxa"/>
            <w:gridSpan w:val="3"/>
            <w:hideMark/>
          </w:tcPr>
          <w:p w14:paraId="74BF6F35" w14:textId="77777777" w:rsidR="00DF74D7" w:rsidRPr="002D4ACF" w:rsidRDefault="00DF74D7" w:rsidP="00DD2371">
            <w:pPr>
              <w:ind w:left="32" w:right="34"/>
              <w:jc w:val="both"/>
              <w:rPr>
                <w:rFonts w:ascii="Tahoma" w:hAnsi="Tahoma" w:cs="Tahoma"/>
                <w:b/>
                <w:bCs/>
                <w:iCs/>
                <w:sz w:val="18"/>
                <w:szCs w:val="18"/>
              </w:rPr>
            </w:pPr>
            <w:r w:rsidRPr="002D4ACF">
              <w:rPr>
                <w:rFonts w:ascii="Tahoma" w:hAnsi="Tahoma" w:cs="Tahoma"/>
                <w:b/>
                <w:bCs/>
                <w:iCs/>
                <w:sz w:val="18"/>
                <w:szCs w:val="18"/>
              </w:rPr>
              <w:t>Внесение денежных средств на счет в рублях и иностранной валюте:</w:t>
            </w:r>
          </w:p>
        </w:tc>
        <w:tc>
          <w:tcPr>
            <w:tcW w:w="1305" w:type="dxa"/>
            <w:gridSpan w:val="2"/>
            <w:noWrap/>
            <w:hideMark/>
          </w:tcPr>
          <w:p w14:paraId="6F1A3C70" w14:textId="77777777" w:rsidR="00DF74D7" w:rsidRPr="002D4ACF" w:rsidRDefault="00DF74D7" w:rsidP="00DD2371">
            <w:pPr>
              <w:ind w:left="-108" w:right="34"/>
              <w:rPr>
                <w:rFonts w:ascii="Tahoma" w:hAnsi="Tahoma" w:cs="Tahoma"/>
                <w:iCs/>
                <w:sz w:val="18"/>
                <w:szCs w:val="18"/>
              </w:rPr>
            </w:pPr>
            <w:r w:rsidRPr="002D4ACF">
              <w:rPr>
                <w:rFonts w:ascii="Tahoma" w:hAnsi="Tahoma" w:cs="Tahoma"/>
                <w:iCs/>
                <w:sz w:val="18"/>
                <w:szCs w:val="18"/>
              </w:rPr>
              <w:t> </w:t>
            </w:r>
          </w:p>
        </w:tc>
        <w:tc>
          <w:tcPr>
            <w:tcW w:w="1134" w:type="dxa"/>
            <w:gridSpan w:val="2"/>
            <w:noWrap/>
            <w:hideMark/>
          </w:tcPr>
          <w:p w14:paraId="5C8D7C03" w14:textId="77777777" w:rsidR="00DF74D7" w:rsidRPr="002D4ACF" w:rsidRDefault="00DF74D7" w:rsidP="00DD2371">
            <w:pPr>
              <w:ind w:left="-108" w:right="34"/>
              <w:rPr>
                <w:rFonts w:ascii="Tahoma" w:hAnsi="Tahoma" w:cs="Tahoma"/>
                <w:iCs/>
                <w:sz w:val="18"/>
                <w:szCs w:val="18"/>
              </w:rPr>
            </w:pPr>
            <w:r w:rsidRPr="002D4ACF">
              <w:rPr>
                <w:rFonts w:ascii="Tahoma" w:hAnsi="Tahoma" w:cs="Tahoma"/>
                <w:iCs/>
                <w:sz w:val="18"/>
                <w:szCs w:val="18"/>
              </w:rPr>
              <w:t> </w:t>
            </w:r>
          </w:p>
        </w:tc>
        <w:tc>
          <w:tcPr>
            <w:tcW w:w="1388" w:type="dxa"/>
            <w:gridSpan w:val="2"/>
            <w:noWrap/>
            <w:hideMark/>
          </w:tcPr>
          <w:p w14:paraId="3ADB6B83" w14:textId="77777777" w:rsidR="00DF74D7" w:rsidRPr="002D4ACF" w:rsidRDefault="00DF74D7" w:rsidP="00DD2371">
            <w:pPr>
              <w:ind w:left="-108"/>
              <w:rPr>
                <w:rFonts w:ascii="Tahoma" w:hAnsi="Tahoma" w:cs="Tahoma"/>
                <w:iCs/>
                <w:sz w:val="18"/>
                <w:szCs w:val="18"/>
              </w:rPr>
            </w:pPr>
            <w:r w:rsidRPr="002D4ACF">
              <w:rPr>
                <w:rFonts w:ascii="Tahoma" w:hAnsi="Tahoma" w:cs="Tahoma"/>
                <w:iCs/>
                <w:sz w:val="18"/>
                <w:szCs w:val="18"/>
              </w:rPr>
              <w:t> </w:t>
            </w:r>
          </w:p>
        </w:tc>
      </w:tr>
      <w:tr w:rsidR="00DF74D7" w:rsidRPr="002D4ACF" w14:paraId="41D547F0" w14:textId="77777777" w:rsidTr="00DD2371">
        <w:trPr>
          <w:trHeight w:val="420"/>
        </w:trPr>
        <w:tc>
          <w:tcPr>
            <w:tcW w:w="1064" w:type="dxa"/>
            <w:noWrap/>
            <w:hideMark/>
          </w:tcPr>
          <w:p w14:paraId="507DAAA0" w14:textId="77777777" w:rsidR="00DF74D7" w:rsidRPr="002D4ACF" w:rsidRDefault="00DF74D7" w:rsidP="00DD2371">
            <w:pPr>
              <w:ind w:left="170" w:firstLine="11"/>
              <w:rPr>
                <w:rFonts w:ascii="Tahoma" w:hAnsi="Tahoma" w:cs="Tahoma"/>
                <w:b/>
                <w:bCs/>
                <w:iCs/>
                <w:sz w:val="18"/>
                <w:szCs w:val="18"/>
              </w:rPr>
            </w:pPr>
            <w:r w:rsidRPr="002D4ACF">
              <w:rPr>
                <w:rFonts w:ascii="Tahoma" w:hAnsi="Tahoma" w:cs="Tahoma"/>
                <w:b/>
                <w:bCs/>
                <w:iCs/>
                <w:sz w:val="18"/>
                <w:szCs w:val="18"/>
              </w:rPr>
              <w:t> </w:t>
            </w:r>
          </w:p>
        </w:tc>
        <w:tc>
          <w:tcPr>
            <w:tcW w:w="1063" w:type="dxa"/>
            <w:noWrap/>
            <w:hideMark/>
          </w:tcPr>
          <w:p w14:paraId="00079A8A"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1.1.7.1.</w:t>
            </w:r>
          </w:p>
        </w:tc>
        <w:tc>
          <w:tcPr>
            <w:tcW w:w="5244" w:type="dxa"/>
            <w:gridSpan w:val="3"/>
            <w:hideMark/>
          </w:tcPr>
          <w:p w14:paraId="3EC04E84" w14:textId="77777777" w:rsidR="00DF74D7" w:rsidRPr="002D4ACF" w:rsidRDefault="00DF74D7" w:rsidP="00DD2371">
            <w:pPr>
              <w:ind w:left="32" w:right="34"/>
              <w:rPr>
                <w:rFonts w:ascii="Tahoma" w:hAnsi="Tahoma" w:cs="Tahoma"/>
                <w:iCs/>
                <w:sz w:val="18"/>
                <w:szCs w:val="18"/>
              </w:rPr>
            </w:pPr>
            <w:r w:rsidRPr="002D4ACF">
              <w:rPr>
                <w:rFonts w:ascii="Tahoma" w:hAnsi="Tahoma" w:cs="Tahoma"/>
                <w:iCs/>
                <w:sz w:val="18"/>
                <w:szCs w:val="18"/>
              </w:rPr>
              <w:t>Через кассы Банка для пополнения ТБС/СКС (за исключением внесения средств на Номинальный счет, Срочный вклад, Вклад «До востребования» (в т.ч. Пенсионный))*:</w:t>
            </w:r>
          </w:p>
        </w:tc>
        <w:tc>
          <w:tcPr>
            <w:tcW w:w="1305" w:type="dxa"/>
            <w:gridSpan w:val="2"/>
            <w:hideMark/>
          </w:tcPr>
          <w:p w14:paraId="7290E223" w14:textId="77777777" w:rsidR="00DF74D7" w:rsidRPr="002D4ACF" w:rsidRDefault="00DF74D7" w:rsidP="00DD2371">
            <w:pPr>
              <w:ind w:left="-108" w:right="34"/>
              <w:jc w:val="center"/>
              <w:rPr>
                <w:rFonts w:ascii="Tahoma" w:hAnsi="Tahoma" w:cs="Tahoma"/>
                <w:iCs/>
                <w:sz w:val="18"/>
                <w:szCs w:val="18"/>
              </w:rPr>
            </w:pPr>
          </w:p>
        </w:tc>
        <w:tc>
          <w:tcPr>
            <w:tcW w:w="1134" w:type="dxa"/>
            <w:gridSpan w:val="2"/>
            <w:noWrap/>
            <w:hideMark/>
          </w:tcPr>
          <w:p w14:paraId="3B404B6E" w14:textId="77777777" w:rsidR="00DF74D7" w:rsidRPr="002D4ACF" w:rsidRDefault="00DF74D7" w:rsidP="00DD2371">
            <w:pPr>
              <w:ind w:left="-108" w:right="34"/>
              <w:rPr>
                <w:rFonts w:ascii="Tahoma" w:hAnsi="Tahoma" w:cs="Tahoma"/>
                <w:sz w:val="20"/>
                <w:szCs w:val="20"/>
                <w:lang w:eastAsia="zh-CN"/>
              </w:rPr>
            </w:pPr>
          </w:p>
        </w:tc>
        <w:tc>
          <w:tcPr>
            <w:tcW w:w="1388" w:type="dxa"/>
            <w:gridSpan w:val="2"/>
            <w:noWrap/>
            <w:hideMark/>
          </w:tcPr>
          <w:p w14:paraId="2C9A9866" w14:textId="77777777" w:rsidR="00DF74D7" w:rsidRPr="002D4ACF" w:rsidRDefault="00DF74D7" w:rsidP="00DD2371">
            <w:pPr>
              <w:ind w:left="-108"/>
              <w:rPr>
                <w:rFonts w:ascii="Tahoma" w:hAnsi="Tahoma" w:cs="Tahoma"/>
                <w:sz w:val="20"/>
                <w:szCs w:val="20"/>
                <w:lang w:eastAsia="zh-CN"/>
              </w:rPr>
            </w:pPr>
          </w:p>
        </w:tc>
      </w:tr>
      <w:tr w:rsidR="00DF74D7" w:rsidRPr="002D4ACF" w14:paraId="08824785" w14:textId="77777777" w:rsidTr="00DD2371">
        <w:trPr>
          <w:trHeight w:val="65"/>
        </w:trPr>
        <w:tc>
          <w:tcPr>
            <w:tcW w:w="1064" w:type="dxa"/>
            <w:noWrap/>
            <w:hideMark/>
          </w:tcPr>
          <w:p w14:paraId="2E359596" w14:textId="77777777" w:rsidR="00DF74D7" w:rsidRPr="002D4ACF" w:rsidRDefault="00DF74D7" w:rsidP="00DD2371">
            <w:pPr>
              <w:ind w:left="-108"/>
              <w:rPr>
                <w:rFonts w:ascii="Tahoma" w:hAnsi="Tahoma" w:cs="Tahoma"/>
                <w:iCs/>
                <w:sz w:val="18"/>
                <w:szCs w:val="18"/>
              </w:rPr>
            </w:pPr>
            <w:r w:rsidRPr="002D4ACF">
              <w:rPr>
                <w:rFonts w:ascii="Tahoma" w:hAnsi="Tahoma" w:cs="Tahoma"/>
                <w:iCs/>
                <w:sz w:val="18"/>
                <w:szCs w:val="18"/>
              </w:rPr>
              <w:t> </w:t>
            </w:r>
          </w:p>
        </w:tc>
        <w:tc>
          <w:tcPr>
            <w:tcW w:w="1063" w:type="dxa"/>
            <w:noWrap/>
          </w:tcPr>
          <w:p w14:paraId="58B85556"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1.1.7.1.1.</w:t>
            </w:r>
          </w:p>
        </w:tc>
        <w:tc>
          <w:tcPr>
            <w:tcW w:w="5244" w:type="dxa"/>
            <w:gridSpan w:val="3"/>
          </w:tcPr>
          <w:p w14:paraId="32AEA6C6" w14:textId="77777777" w:rsidR="00DF74D7" w:rsidRPr="002D4ACF" w:rsidRDefault="00DF74D7" w:rsidP="00DD2371">
            <w:pPr>
              <w:ind w:left="32" w:right="34"/>
              <w:jc w:val="both"/>
              <w:rPr>
                <w:rFonts w:ascii="Tahoma" w:hAnsi="Tahoma" w:cs="Tahoma"/>
                <w:iCs/>
                <w:sz w:val="18"/>
                <w:szCs w:val="18"/>
                <w:lang w:val="en-US"/>
              </w:rPr>
            </w:pPr>
            <w:r w:rsidRPr="002D4ACF">
              <w:rPr>
                <w:rFonts w:ascii="Tahoma" w:hAnsi="Tahoma" w:cs="Tahoma"/>
                <w:sz w:val="18"/>
                <w:szCs w:val="18"/>
              </w:rPr>
              <w:t>- в сумме до 30 000 рублей**</w:t>
            </w:r>
          </w:p>
        </w:tc>
        <w:tc>
          <w:tcPr>
            <w:tcW w:w="1305" w:type="dxa"/>
            <w:gridSpan w:val="2"/>
            <w:noWrap/>
          </w:tcPr>
          <w:p w14:paraId="7140CE4C" w14:textId="77777777" w:rsidR="00DF74D7" w:rsidRPr="002D4ACF" w:rsidRDefault="00DF74D7" w:rsidP="00DD2371">
            <w:pPr>
              <w:ind w:left="-108" w:right="34"/>
              <w:jc w:val="center"/>
              <w:rPr>
                <w:rFonts w:ascii="Tahoma" w:hAnsi="Tahoma" w:cs="Tahoma"/>
                <w:iCs/>
                <w:sz w:val="18"/>
                <w:szCs w:val="18"/>
              </w:rPr>
            </w:pPr>
            <w:r w:rsidRPr="002D4ACF">
              <w:rPr>
                <w:rFonts w:ascii="Tahoma" w:hAnsi="Tahoma" w:cs="Tahoma"/>
                <w:iCs/>
                <w:sz w:val="18"/>
                <w:szCs w:val="18"/>
              </w:rPr>
              <w:t>150 руб.</w:t>
            </w:r>
          </w:p>
        </w:tc>
        <w:tc>
          <w:tcPr>
            <w:tcW w:w="1134" w:type="dxa"/>
            <w:gridSpan w:val="2"/>
            <w:noWrap/>
            <w:hideMark/>
          </w:tcPr>
          <w:p w14:paraId="5E3727AD" w14:textId="77777777" w:rsidR="00DF74D7" w:rsidRPr="002D4ACF" w:rsidRDefault="00DF74D7" w:rsidP="00DD2371">
            <w:pPr>
              <w:ind w:left="-108" w:right="34"/>
              <w:rPr>
                <w:rFonts w:ascii="Tahoma" w:hAnsi="Tahoma" w:cs="Tahoma"/>
                <w:sz w:val="20"/>
                <w:szCs w:val="20"/>
                <w:lang w:eastAsia="zh-CN"/>
              </w:rPr>
            </w:pPr>
          </w:p>
        </w:tc>
        <w:tc>
          <w:tcPr>
            <w:tcW w:w="1388" w:type="dxa"/>
            <w:gridSpan w:val="2"/>
            <w:noWrap/>
            <w:hideMark/>
          </w:tcPr>
          <w:p w14:paraId="04FA119C" w14:textId="77777777" w:rsidR="00DF74D7" w:rsidRPr="002D4ACF" w:rsidRDefault="00DF74D7" w:rsidP="00DD2371">
            <w:pPr>
              <w:ind w:left="-108"/>
              <w:rPr>
                <w:rFonts w:ascii="Tahoma" w:hAnsi="Tahoma" w:cs="Tahoma"/>
                <w:sz w:val="20"/>
                <w:szCs w:val="20"/>
                <w:lang w:eastAsia="zh-CN"/>
              </w:rPr>
            </w:pPr>
          </w:p>
        </w:tc>
      </w:tr>
      <w:tr w:rsidR="00DF74D7" w:rsidRPr="002D4ACF" w14:paraId="53F189DB" w14:textId="77777777" w:rsidTr="00DD2371">
        <w:trPr>
          <w:trHeight w:val="65"/>
        </w:trPr>
        <w:tc>
          <w:tcPr>
            <w:tcW w:w="1064" w:type="dxa"/>
            <w:noWrap/>
          </w:tcPr>
          <w:p w14:paraId="08FE757D" w14:textId="77777777" w:rsidR="00DF74D7" w:rsidRPr="002D4ACF" w:rsidRDefault="00DF74D7" w:rsidP="00DD2371">
            <w:pPr>
              <w:ind w:left="-108"/>
              <w:rPr>
                <w:rFonts w:ascii="Tahoma" w:hAnsi="Tahoma" w:cs="Tahoma"/>
                <w:iCs/>
                <w:sz w:val="18"/>
                <w:szCs w:val="18"/>
              </w:rPr>
            </w:pPr>
          </w:p>
        </w:tc>
        <w:tc>
          <w:tcPr>
            <w:tcW w:w="1063" w:type="dxa"/>
            <w:noWrap/>
          </w:tcPr>
          <w:p w14:paraId="24EDEA6B"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1.1.7.1.2.</w:t>
            </w:r>
          </w:p>
        </w:tc>
        <w:tc>
          <w:tcPr>
            <w:tcW w:w="5244" w:type="dxa"/>
            <w:gridSpan w:val="3"/>
          </w:tcPr>
          <w:p w14:paraId="5646D294" w14:textId="77777777" w:rsidR="00DF74D7" w:rsidRPr="002D4ACF" w:rsidRDefault="00DF74D7" w:rsidP="00DD2371">
            <w:pPr>
              <w:ind w:left="32" w:right="34"/>
              <w:jc w:val="both"/>
              <w:rPr>
                <w:rFonts w:ascii="Tahoma" w:hAnsi="Tahoma" w:cs="Tahoma"/>
                <w:iCs/>
                <w:sz w:val="18"/>
                <w:szCs w:val="18"/>
              </w:rPr>
            </w:pPr>
            <w:r w:rsidRPr="002D4ACF">
              <w:rPr>
                <w:rFonts w:ascii="Tahoma" w:hAnsi="Tahoma" w:cs="Tahoma"/>
                <w:sz w:val="18"/>
                <w:szCs w:val="18"/>
              </w:rPr>
              <w:t>- в сумме от 30 000 рублей</w:t>
            </w:r>
          </w:p>
        </w:tc>
        <w:tc>
          <w:tcPr>
            <w:tcW w:w="1305" w:type="dxa"/>
            <w:gridSpan w:val="2"/>
            <w:noWrap/>
          </w:tcPr>
          <w:p w14:paraId="76094B15" w14:textId="77777777" w:rsidR="00DF74D7" w:rsidRPr="002D4ACF" w:rsidRDefault="00DF74D7" w:rsidP="00DD2371">
            <w:pPr>
              <w:ind w:left="-108" w:right="34"/>
              <w:jc w:val="center"/>
              <w:rPr>
                <w:rFonts w:ascii="Tahoma" w:hAnsi="Tahoma" w:cs="Tahoma"/>
                <w:iCs/>
                <w:sz w:val="18"/>
                <w:szCs w:val="18"/>
                <w:lang w:val="en-US"/>
              </w:rPr>
            </w:pPr>
            <w:r w:rsidRPr="002D4ACF">
              <w:rPr>
                <w:rFonts w:ascii="Tahoma" w:hAnsi="Tahoma" w:cs="Tahoma"/>
                <w:iCs/>
                <w:sz w:val="18"/>
                <w:szCs w:val="16"/>
              </w:rPr>
              <w:t>БЕСПЛАТНО</w:t>
            </w:r>
          </w:p>
        </w:tc>
        <w:tc>
          <w:tcPr>
            <w:tcW w:w="1134" w:type="dxa"/>
            <w:gridSpan w:val="2"/>
            <w:noWrap/>
          </w:tcPr>
          <w:p w14:paraId="5D92643B" w14:textId="77777777" w:rsidR="00DF74D7" w:rsidRPr="002D4ACF" w:rsidRDefault="00DF74D7" w:rsidP="00DD2371">
            <w:pPr>
              <w:ind w:left="-108" w:right="34"/>
              <w:rPr>
                <w:rFonts w:ascii="Tahoma" w:hAnsi="Tahoma" w:cs="Tahoma"/>
                <w:sz w:val="20"/>
                <w:szCs w:val="20"/>
                <w:lang w:eastAsia="zh-CN"/>
              </w:rPr>
            </w:pPr>
          </w:p>
        </w:tc>
        <w:tc>
          <w:tcPr>
            <w:tcW w:w="1388" w:type="dxa"/>
            <w:gridSpan w:val="2"/>
            <w:noWrap/>
          </w:tcPr>
          <w:p w14:paraId="541C1229" w14:textId="77777777" w:rsidR="00DF74D7" w:rsidRPr="002D4ACF" w:rsidRDefault="00DF74D7" w:rsidP="00DD2371">
            <w:pPr>
              <w:ind w:left="-108"/>
              <w:rPr>
                <w:rFonts w:ascii="Tahoma" w:hAnsi="Tahoma" w:cs="Tahoma"/>
                <w:sz w:val="20"/>
                <w:szCs w:val="20"/>
                <w:lang w:eastAsia="zh-CN"/>
              </w:rPr>
            </w:pPr>
          </w:p>
        </w:tc>
      </w:tr>
      <w:tr w:rsidR="00DF74D7" w:rsidRPr="002D4ACF" w14:paraId="61247A50" w14:textId="77777777" w:rsidTr="00DD2371">
        <w:trPr>
          <w:trHeight w:val="645"/>
        </w:trPr>
        <w:tc>
          <w:tcPr>
            <w:tcW w:w="11198" w:type="dxa"/>
            <w:gridSpan w:val="11"/>
            <w:noWrap/>
          </w:tcPr>
          <w:p w14:paraId="74428407" w14:textId="77777777" w:rsidR="00DF74D7" w:rsidRPr="002D4ACF" w:rsidRDefault="00DF74D7" w:rsidP="00DD2371">
            <w:pPr>
              <w:ind w:left="-108"/>
              <w:jc w:val="both"/>
              <w:rPr>
                <w:rFonts w:ascii="Tahoma" w:hAnsi="Tahoma" w:cs="Tahoma"/>
                <w:sz w:val="14"/>
                <w:szCs w:val="14"/>
              </w:rPr>
            </w:pPr>
            <w:r w:rsidRPr="002D4ACF">
              <w:rPr>
                <w:rFonts w:ascii="Tahoma" w:hAnsi="Tahoma" w:cs="Tahoma"/>
                <w:sz w:val="14"/>
                <w:szCs w:val="14"/>
              </w:rPr>
              <w:t>*За внесение средств для пополнения ТБС/СКС через терминалы самообслуживания и банкоматы с функцией приема наличных денежных средств «Азиатско-Тихоокеанский Банк» (АО) комиссия не взимается не зависимо от суммы внесения. За внесение средств в иностранной валюте комиссия не взимается.</w:t>
            </w:r>
          </w:p>
          <w:p w14:paraId="36CFE8D8" w14:textId="77777777" w:rsidR="00DF74D7" w:rsidRPr="002D4ACF" w:rsidRDefault="00DF74D7" w:rsidP="00DD2371">
            <w:pPr>
              <w:ind w:left="-108"/>
              <w:jc w:val="both"/>
              <w:rPr>
                <w:rFonts w:ascii="Tahoma" w:hAnsi="Tahoma" w:cs="Tahoma"/>
                <w:sz w:val="14"/>
                <w:szCs w:val="14"/>
              </w:rPr>
            </w:pPr>
            <w:r w:rsidRPr="002D4ACF">
              <w:rPr>
                <w:rFonts w:ascii="Tahoma" w:hAnsi="Tahoma" w:cs="Tahoma"/>
                <w:sz w:val="14"/>
                <w:szCs w:val="14"/>
              </w:rPr>
              <w:t xml:space="preserve">** За внесение средств для пополнения ТБС/СКС через кассы Банка </w:t>
            </w:r>
            <w:r w:rsidRPr="002D4ACF">
              <w:rPr>
                <w:rFonts w:ascii="Tahoma" w:hAnsi="Tahoma" w:cs="Tahoma"/>
                <w:iCs/>
                <w:sz w:val="14"/>
                <w:szCs w:val="16"/>
              </w:rPr>
              <w:t>в подразделениях «Азиатско-Тихоокеанский Банк» (АО) в г. Омск, г. Тюмень, г. Новосибирск и г. Санкт-Петербург комиссия не взимается независимо от суммы внесения.</w:t>
            </w:r>
          </w:p>
        </w:tc>
      </w:tr>
      <w:tr w:rsidR="00DF74D7" w:rsidRPr="002D4ACF" w14:paraId="6F210B09" w14:textId="77777777" w:rsidTr="00DD2371">
        <w:trPr>
          <w:trHeight w:val="825"/>
        </w:trPr>
        <w:tc>
          <w:tcPr>
            <w:tcW w:w="1064" w:type="dxa"/>
            <w:noWrap/>
            <w:hideMark/>
          </w:tcPr>
          <w:p w14:paraId="4F7532B7" w14:textId="77777777" w:rsidR="00DF74D7" w:rsidRPr="002D4ACF" w:rsidRDefault="00DF74D7" w:rsidP="00DD2371">
            <w:pPr>
              <w:ind w:left="-108"/>
              <w:rPr>
                <w:rFonts w:ascii="Tahoma" w:hAnsi="Tahoma" w:cs="Tahoma"/>
                <w:b/>
                <w:bCs/>
                <w:iCs/>
                <w:sz w:val="18"/>
                <w:szCs w:val="18"/>
              </w:rPr>
            </w:pPr>
            <w:r w:rsidRPr="002D4ACF">
              <w:rPr>
                <w:rFonts w:ascii="Tahoma" w:hAnsi="Tahoma" w:cs="Tahoma"/>
                <w:b/>
                <w:bCs/>
                <w:iCs/>
                <w:sz w:val="18"/>
                <w:szCs w:val="18"/>
              </w:rPr>
              <w:t> </w:t>
            </w:r>
          </w:p>
        </w:tc>
        <w:tc>
          <w:tcPr>
            <w:tcW w:w="1063" w:type="dxa"/>
            <w:noWrap/>
            <w:hideMark/>
          </w:tcPr>
          <w:p w14:paraId="5E2786A6"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1.1.7.2.</w:t>
            </w:r>
          </w:p>
        </w:tc>
        <w:tc>
          <w:tcPr>
            <w:tcW w:w="5244" w:type="dxa"/>
            <w:gridSpan w:val="3"/>
            <w:hideMark/>
          </w:tcPr>
          <w:p w14:paraId="2D6564EC" w14:textId="77777777" w:rsidR="00DF74D7" w:rsidRPr="002D4ACF" w:rsidRDefault="00DF74D7" w:rsidP="00DD2371">
            <w:pPr>
              <w:ind w:left="32" w:right="34"/>
              <w:jc w:val="both"/>
              <w:rPr>
                <w:rFonts w:ascii="Tahoma" w:hAnsi="Tahoma" w:cs="Tahoma"/>
                <w:iCs/>
                <w:sz w:val="18"/>
                <w:szCs w:val="18"/>
              </w:rPr>
            </w:pPr>
            <w:r w:rsidRPr="002D4ACF">
              <w:rPr>
                <w:rFonts w:ascii="Tahoma" w:hAnsi="Tahoma" w:cs="Tahoma"/>
                <w:iCs/>
                <w:sz w:val="18"/>
                <w:szCs w:val="18"/>
              </w:rPr>
              <w:t>Платеж за зачисление суммы первоначального взноса на Текущий банковский счет/Счет банковской карты Заемщика для перечисления денежных средств в пользу Продавца недвижимости по ипотечной сделке, проводимой с участием Акционерное общество «ДВИЦ Ипотечный центр» (АО «ДВИЦ»)</w:t>
            </w:r>
          </w:p>
        </w:tc>
        <w:tc>
          <w:tcPr>
            <w:tcW w:w="1305" w:type="dxa"/>
            <w:gridSpan w:val="2"/>
            <w:noWrap/>
            <w:hideMark/>
          </w:tcPr>
          <w:p w14:paraId="25DD8AAD" w14:textId="77777777" w:rsidR="00DF74D7" w:rsidRPr="002D4ACF" w:rsidRDefault="00DF74D7" w:rsidP="00DD2371">
            <w:pPr>
              <w:ind w:left="-108" w:right="34"/>
              <w:jc w:val="center"/>
              <w:rPr>
                <w:rFonts w:ascii="Tahoma" w:hAnsi="Tahoma" w:cs="Tahoma"/>
                <w:iCs/>
                <w:sz w:val="18"/>
                <w:szCs w:val="18"/>
              </w:rPr>
            </w:pPr>
            <w:r w:rsidRPr="002D4ACF">
              <w:rPr>
                <w:rFonts w:ascii="Tahoma" w:hAnsi="Tahoma" w:cs="Tahoma"/>
                <w:iCs/>
                <w:sz w:val="18"/>
                <w:szCs w:val="18"/>
              </w:rPr>
              <w:t>500 руб.</w:t>
            </w:r>
          </w:p>
        </w:tc>
        <w:tc>
          <w:tcPr>
            <w:tcW w:w="1134" w:type="dxa"/>
            <w:gridSpan w:val="2"/>
            <w:noWrap/>
            <w:hideMark/>
          </w:tcPr>
          <w:p w14:paraId="3F1DD9A0" w14:textId="77777777" w:rsidR="00DF74D7" w:rsidRPr="002D4ACF" w:rsidRDefault="00DF74D7" w:rsidP="00DD2371">
            <w:pPr>
              <w:ind w:left="-108" w:right="34"/>
              <w:rPr>
                <w:rFonts w:ascii="Tahoma" w:hAnsi="Tahoma" w:cs="Tahoma"/>
                <w:sz w:val="20"/>
                <w:szCs w:val="20"/>
                <w:lang w:eastAsia="zh-CN"/>
              </w:rPr>
            </w:pPr>
          </w:p>
        </w:tc>
        <w:tc>
          <w:tcPr>
            <w:tcW w:w="1388" w:type="dxa"/>
            <w:gridSpan w:val="2"/>
            <w:noWrap/>
            <w:hideMark/>
          </w:tcPr>
          <w:p w14:paraId="7732B39A" w14:textId="77777777" w:rsidR="00DF74D7" w:rsidRPr="002D4ACF" w:rsidRDefault="00DF74D7" w:rsidP="00DD2371">
            <w:pPr>
              <w:ind w:left="-108"/>
              <w:rPr>
                <w:rFonts w:ascii="Tahoma" w:hAnsi="Tahoma" w:cs="Tahoma"/>
                <w:sz w:val="20"/>
                <w:szCs w:val="20"/>
                <w:lang w:eastAsia="zh-CN"/>
              </w:rPr>
            </w:pPr>
          </w:p>
        </w:tc>
      </w:tr>
      <w:tr w:rsidR="00DF74D7" w:rsidRPr="002D4ACF" w14:paraId="164429F7" w14:textId="77777777" w:rsidTr="00DD2371">
        <w:trPr>
          <w:trHeight w:val="65"/>
        </w:trPr>
        <w:tc>
          <w:tcPr>
            <w:tcW w:w="1064" w:type="dxa"/>
            <w:noWrap/>
            <w:hideMark/>
          </w:tcPr>
          <w:p w14:paraId="61B14E48" w14:textId="77777777" w:rsidR="00DF74D7" w:rsidRPr="002D4ACF" w:rsidRDefault="00DF74D7" w:rsidP="00DD2371">
            <w:pPr>
              <w:ind w:left="-108"/>
              <w:rPr>
                <w:rFonts w:ascii="Tahoma" w:hAnsi="Tahoma" w:cs="Tahoma"/>
                <w:b/>
                <w:bCs/>
                <w:iCs/>
                <w:sz w:val="18"/>
                <w:szCs w:val="18"/>
              </w:rPr>
            </w:pPr>
            <w:r w:rsidRPr="002D4ACF">
              <w:rPr>
                <w:rFonts w:ascii="Tahoma" w:hAnsi="Tahoma" w:cs="Tahoma"/>
                <w:b/>
                <w:bCs/>
                <w:iCs/>
                <w:sz w:val="18"/>
                <w:szCs w:val="18"/>
              </w:rPr>
              <w:t>1.1.8.</w:t>
            </w:r>
          </w:p>
        </w:tc>
        <w:tc>
          <w:tcPr>
            <w:tcW w:w="1063" w:type="dxa"/>
            <w:noWrap/>
            <w:hideMark/>
          </w:tcPr>
          <w:p w14:paraId="6A14FD4A" w14:textId="77777777" w:rsidR="00DF74D7" w:rsidRPr="002D4ACF" w:rsidRDefault="00DF74D7" w:rsidP="00DD2371">
            <w:pPr>
              <w:ind w:left="-108"/>
              <w:rPr>
                <w:rFonts w:ascii="Tahoma" w:hAnsi="Tahoma" w:cs="Tahoma"/>
                <w:iCs/>
                <w:sz w:val="18"/>
                <w:szCs w:val="18"/>
              </w:rPr>
            </w:pPr>
            <w:r w:rsidRPr="002D4ACF">
              <w:rPr>
                <w:rFonts w:ascii="Tahoma" w:hAnsi="Tahoma" w:cs="Tahoma"/>
                <w:iCs/>
                <w:sz w:val="18"/>
                <w:szCs w:val="18"/>
              </w:rPr>
              <w:t> </w:t>
            </w:r>
          </w:p>
        </w:tc>
        <w:tc>
          <w:tcPr>
            <w:tcW w:w="5244" w:type="dxa"/>
            <w:gridSpan w:val="3"/>
            <w:hideMark/>
          </w:tcPr>
          <w:p w14:paraId="4245F79E" w14:textId="77777777" w:rsidR="00DF74D7" w:rsidRPr="002D4ACF" w:rsidRDefault="00DF74D7" w:rsidP="00DD2371">
            <w:pPr>
              <w:ind w:left="32" w:right="34"/>
              <w:jc w:val="both"/>
              <w:rPr>
                <w:rFonts w:ascii="Tahoma" w:hAnsi="Tahoma" w:cs="Tahoma"/>
                <w:b/>
                <w:bCs/>
                <w:iCs/>
                <w:sz w:val="18"/>
                <w:szCs w:val="18"/>
              </w:rPr>
            </w:pPr>
            <w:r w:rsidRPr="002D4ACF">
              <w:rPr>
                <w:rFonts w:ascii="Tahoma" w:hAnsi="Tahoma" w:cs="Tahoma"/>
                <w:b/>
                <w:bCs/>
                <w:iCs/>
                <w:sz w:val="18"/>
                <w:szCs w:val="18"/>
              </w:rPr>
              <w:t>Операции с наличной валютой:</w:t>
            </w:r>
          </w:p>
        </w:tc>
        <w:tc>
          <w:tcPr>
            <w:tcW w:w="1305" w:type="dxa"/>
            <w:gridSpan w:val="2"/>
            <w:noWrap/>
            <w:hideMark/>
          </w:tcPr>
          <w:p w14:paraId="11394C48" w14:textId="77777777" w:rsidR="00DF74D7" w:rsidRPr="002D4ACF" w:rsidRDefault="00DF74D7" w:rsidP="00DD2371">
            <w:pPr>
              <w:ind w:left="-108" w:right="34"/>
              <w:rPr>
                <w:rFonts w:ascii="Tahoma" w:hAnsi="Tahoma" w:cs="Tahoma"/>
                <w:sz w:val="20"/>
                <w:szCs w:val="20"/>
                <w:lang w:eastAsia="zh-CN"/>
              </w:rPr>
            </w:pPr>
          </w:p>
        </w:tc>
        <w:tc>
          <w:tcPr>
            <w:tcW w:w="1134" w:type="dxa"/>
            <w:gridSpan w:val="2"/>
            <w:noWrap/>
            <w:hideMark/>
          </w:tcPr>
          <w:p w14:paraId="5E301E80" w14:textId="77777777" w:rsidR="00DF74D7" w:rsidRPr="002D4ACF" w:rsidRDefault="00DF74D7" w:rsidP="00DD2371">
            <w:pPr>
              <w:ind w:left="-108" w:right="34"/>
              <w:rPr>
                <w:rFonts w:ascii="Tahoma" w:hAnsi="Tahoma" w:cs="Tahoma"/>
                <w:sz w:val="20"/>
                <w:szCs w:val="20"/>
                <w:lang w:eastAsia="zh-CN"/>
              </w:rPr>
            </w:pPr>
          </w:p>
        </w:tc>
        <w:tc>
          <w:tcPr>
            <w:tcW w:w="1388" w:type="dxa"/>
            <w:gridSpan w:val="2"/>
            <w:noWrap/>
            <w:hideMark/>
          </w:tcPr>
          <w:p w14:paraId="770F051D" w14:textId="77777777" w:rsidR="00DF74D7" w:rsidRPr="002D4ACF" w:rsidRDefault="00DF74D7" w:rsidP="00DD2371">
            <w:pPr>
              <w:ind w:left="-108"/>
              <w:rPr>
                <w:rFonts w:ascii="Tahoma" w:hAnsi="Tahoma" w:cs="Tahoma"/>
                <w:sz w:val="20"/>
                <w:szCs w:val="20"/>
                <w:lang w:eastAsia="zh-CN"/>
              </w:rPr>
            </w:pPr>
          </w:p>
        </w:tc>
      </w:tr>
      <w:tr w:rsidR="00DF74D7" w:rsidRPr="002D4ACF" w14:paraId="314173FD" w14:textId="77777777" w:rsidTr="00DD2371">
        <w:trPr>
          <w:trHeight w:val="345"/>
        </w:trPr>
        <w:tc>
          <w:tcPr>
            <w:tcW w:w="1064" w:type="dxa"/>
            <w:noWrap/>
            <w:hideMark/>
          </w:tcPr>
          <w:p w14:paraId="500AA918" w14:textId="77777777" w:rsidR="00DF74D7" w:rsidRPr="002D4ACF" w:rsidRDefault="00DF74D7" w:rsidP="00DD2371">
            <w:pPr>
              <w:ind w:left="-108"/>
              <w:rPr>
                <w:rFonts w:ascii="Tahoma" w:hAnsi="Tahoma" w:cs="Tahoma"/>
                <w:b/>
                <w:bCs/>
                <w:iCs/>
                <w:sz w:val="18"/>
                <w:szCs w:val="18"/>
              </w:rPr>
            </w:pPr>
            <w:r w:rsidRPr="002D4ACF">
              <w:rPr>
                <w:rFonts w:ascii="Tahoma" w:hAnsi="Tahoma" w:cs="Tahoma"/>
                <w:b/>
                <w:bCs/>
                <w:iCs/>
                <w:sz w:val="18"/>
                <w:szCs w:val="18"/>
              </w:rPr>
              <w:t> </w:t>
            </w:r>
          </w:p>
        </w:tc>
        <w:tc>
          <w:tcPr>
            <w:tcW w:w="1063" w:type="dxa"/>
            <w:noWrap/>
            <w:hideMark/>
          </w:tcPr>
          <w:p w14:paraId="4405D8AF" w14:textId="77777777" w:rsidR="00DF74D7" w:rsidRPr="002D4ACF" w:rsidRDefault="00DF74D7" w:rsidP="00DD2371">
            <w:pPr>
              <w:ind w:left="-108"/>
              <w:rPr>
                <w:rFonts w:ascii="Tahoma" w:hAnsi="Tahoma" w:cs="Tahoma"/>
                <w:iCs/>
                <w:sz w:val="18"/>
                <w:szCs w:val="18"/>
              </w:rPr>
            </w:pPr>
            <w:r w:rsidRPr="002D4ACF">
              <w:rPr>
                <w:rFonts w:ascii="Tahoma" w:hAnsi="Tahoma" w:cs="Tahoma"/>
                <w:iCs/>
                <w:sz w:val="18"/>
                <w:szCs w:val="16"/>
              </w:rPr>
              <w:t>1.1.8.1.</w:t>
            </w:r>
          </w:p>
        </w:tc>
        <w:tc>
          <w:tcPr>
            <w:tcW w:w="5244" w:type="dxa"/>
            <w:gridSpan w:val="3"/>
            <w:hideMark/>
          </w:tcPr>
          <w:p w14:paraId="2F5678AF" w14:textId="77777777" w:rsidR="00DF74D7" w:rsidRPr="002D4ACF" w:rsidRDefault="00DF74D7" w:rsidP="00DD2371">
            <w:pPr>
              <w:ind w:left="32" w:right="34"/>
              <w:jc w:val="both"/>
              <w:rPr>
                <w:rFonts w:ascii="Tahoma" w:hAnsi="Tahoma" w:cs="Tahoma"/>
                <w:iCs/>
                <w:sz w:val="18"/>
                <w:szCs w:val="18"/>
              </w:rPr>
            </w:pPr>
            <w:r w:rsidRPr="002D4ACF">
              <w:rPr>
                <w:rFonts w:ascii="Tahoma" w:hAnsi="Tahoma" w:cs="Tahoma"/>
                <w:iCs/>
                <w:sz w:val="18"/>
                <w:szCs w:val="16"/>
              </w:rPr>
              <w:t xml:space="preserve">Покупка/продажа наличной иностранной валюты за наличные рубли РФ </w:t>
            </w:r>
          </w:p>
        </w:tc>
        <w:tc>
          <w:tcPr>
            <w:tcW w:w="1305" w:type="dxa"/>
            <w:gridSpan w:val="2"/>
            <w:noWrap/>
            <w:hideMark/>
          </w:tcPr>
          <w:p w14:paraId="23609383" w14:textId="77777777" w:rsidR="00DF74D7" w:rsidRPr="002D4ACF" w:rsidRDefault="00DF74D7" w:rsidP="00DD2371">
            <w:pPr>
              <w:ind w:left="-108" w:right="34"/>
              <w:jc w:val="center"/>
              <w:rPr>
                <w:rFonts w:ascii="Tahoma" w:hAnsi="Tahoma" w:cs="Tahoma"/>
                <w:iCs/>
                <w:sz w:val="18"/>
                <w:szCs w:val="18"/>
              </w:rPr>
            </w:pPr>
            <w:r w:rsidRPr="002D4ACF">
              <w:rPr>
                <w:rFonts w:ascii="Tahoma" w:hAnsi="Tahoma" w:cs="Tahoma"/>
                <w:iCs/>
                <w:sz w:val="18"/>
                <w:szCs w:val="16"/>
              </w:rPr>
              <w:t>По курсу Банка</w:t>
            </w:r>
          </w:p>
        </w:tc>
        <w:tc>
          <w:tcPr>
            <w:tcW w:w="1134" w:type="dxa"/>
            <w:gridSpan w:val="2"/>
            <w:noWrap/>
            <w:hideMark/>
          </w:tcPr>
          <w:p w14:paraId="4B07DC6F" w14:textId="77777777" w:rsidR="00DF74D7" w:rsidRPr="002D4ACF" w:rsidRDefault="00DF74D7" w:rsidP="00DD2371">
            <w:pPr>
              <w:ind w:left="-108" w:right="34"/>
              <w:rPr>
                <w:rFonts w:ascii="Tahoma" w:hAnsi="Tahoma" w:cs="Tahoma"/>
                <w:sz w:val="18"/>
                <w:szCs w:val="20"/>
                <w:lang w:eastAsia="zh-CN"/>
              </w:rPr>
            </w:pPr>
          </w:p>
        </w:tc>
        <w:tc>
          <w:tcPr>
            <w:tcW w:w="1388" w:type="dxa"/>
            <w:gridSpan w:val="2"/>
            <w:noWrap/>
            <w:hideMark/>
          </w:tcPr>
          <w:p w14:paraId="07A071FC" w14:textId="77777777" w:rsidR="00DF74D7" w:rsidRPr="002D4ACF" w:rsidRDefault="00DF74D7" w:rsidP="00DD2371">
            <w:pPr>
              <w:ind w:left="-108"/>
              <w:rPr>
                <w:rFonts w:ascii="Tahoma" w:hAnsi="Tahoma" w:cs="Tahoma"/>
                <w:sz w:val="18"/>
                <w:szCs w:val="20"/>
                <w:lang w:eastAsia="zh-CN"/>
              </w:rPr>
            </w:pPr>
          </w:p>
        </w:tc>
      </w:tr>
      <w:tr w:rsidR="00DF74D7" w:rsidRPr="002D4ACF" w14:paraId="55F34E5A" w14:textId="77777777" w:rsidTr="00DD2371">
        <w:trPr>
          <w:trHeight w:val="345"/>
        </w:trPr>
        <w:tc>
          <w:tcPr>
            <w:tcW w:w="1064" w:type="dxa"/>
            <w:noWrap/>
            <w:hideMark/>
          </w:tcPr>
          <w:p w14:paraId="370B8787" w14:textId="77777777" w:rsidR="00DF74D7" w:rsidRPr="002D4ACF" w:rsidRDefault="00DF74D7" w:rsidP="00DD2371">
            <w:pPr>
              <w:ind w:left="-108"/>
              <w:rPr>
                <w:rFonts w:ascii="Tahoma" w:hAnsi="Tahoma" w:cs="Tahoma"/>
                <w:b/>
                <w:bCs/>
                <w:iCs/>
                <w:sz w:val="18"/>
                <w:szCs w:val="18"/>
              </w:rPr>
            </w:pPr>
            <w:r w:rsidRPr="002D4ACF">
              <w:rPr>
                <w:rFonts w:ascii="Tahoma" w:hAnsi="Tahoma" w:cs="Tahoma"/>
                <w:b/>
                <w:bCs/>
                <w:iCs/>
                <w:sz w:val="18"/>
                <w:szCs w:val="18"/>
              </w:rPr>
              <w:t> </w:t>
            </w:r>
          </w:p>
        </w:tc>
        <w:tc>
          <w:tcPr>
            <w:tcW w:w="1063" w:type="dxa"/>
            <w:noWrap/>
            <w:hideMark/>
          </w:tcPr>
          <w:p w14:paraId="505B1EFB" w14:textId="77777777" w:rsidR="00DF74D7" w:rsidRPr="002D4ACF" w:rsidRDefault="00DF74D7" w:rsidP="00DD2371">
            <w:pPr>
              <w:ind w:left="-108"/>
              <w:rPr>
                <w:rFonts w:ascii="Tahoma" w:hAnsi="Tahoma" w:cs="Tahoma"/>
                <w:iCs/>
                <w:sz w:val="18"/>
                <w:szCs w:val="18"/>
              </w:rPr>
            </w:pPr>
            <w:r w:rsidRPr="002D4ACF">
              <w:rPr>
                <w:rFonts w:ascii="Tahoma" w:hAnsi="Tahoma" w:cs="Tahoma"/>
                <w:iCs/>
                <w:sz w:val="18"/>
                <w:szCs w:val="16"/>
              </w:rPr>
              <w:t>1.1.8.2.</w:t>
            </w:r>
          </w:p>
        </w:tc>
        <w:tc>
          <w:tcPr>
            <w:tcW w:w="5244" w:type="dxa"/>
            <w:gridSpan w:val="3"/>
            <w:hideMark/>
          </w:tcPr>
          <w:p w14:paraId="52C07453" w14:textId="77777777" w:rsidR="00DF74D7" w:rsidRPr="002D4ACF" w:rsidRDefault="00DF74D7" w:rsidP="00DD2371">
            <w:pPr>
              <w:ind w:left="32" w:right="34"/>
              <w:jc w:val="both"/>
              <w:rPr>
                <w:rFonts w:ascii="Tahoma" w:hAnsi="Tahoma" w:cs="Tahoma"/>
                <w:iCs/>
                <w:sz w:val="18"/>
                <w:szCs w:val="18"/>
              </w:rPr>
            </w:pPr>
            <w:r w:rsidRPr="002D4ACF">
              <w:rPr>
                <w:rFonts w:ascii="Tahoma" w:hAnsi="Tahoma" w:cs="Tahoma"/>
                <w:iCs/>
                <w:sz w:val="18"/>
                <w:szCs w:val="16"/>
              </w:rPr>
              <w:t>Замена ветхих/дефектных банкнот и монет Банка России, прием денежных знаков для направления на экспертизу</w:t>
            </w:r>
          </w:p>
        </w:tc>
        <w:tc>
          <w:tcPr>
            <w:tcW w:w="1305" w:type="dxa"/>
            <w:gridSpan w:val="2"/>
            <w:hideMark/>
          </w:tcPr>
          <w:p w14:paraId="3C3B78A2" w14:textId="77777777" w:rsidR="00DF74D7" w:rsidRPr="002D4ACF" w:rsidRDefault="00DF74D7" w:rsidP="00DD2371">
            <w:pPr>
              <w:ind w:left="-108" w:right="34"/>
              <w:jc w:val="center"/>
              <w:rPr>
                <w:rFonts w:ascii="Tahoma" w:hAnsi="Tahoma" w:cs="Tahoma"/>
                <w:iCs/>
                <w:sz w:val="18"/>
                <w:szCs w:val="18"/>
              </w:rPr>
            </w:pPr>
            <w:r w:rsidRPr="002D4ACF">
              <w:rPr>
                <w:rFonts w:ascii="Tahoma" w:hAnsi="Tahoma" w:cs="Tahoma"/>
                <w:iCs/>
                <w:sz w:val="18"/>
                <w:szCs w:val="16"/>
              </w:rPr>
              <w:t>БЕСПЛАТНО</w:t>
            </w:r>
          </w:p>
        </w:tc>
        <w:tc>
          <w:tcPr>
            <w:tcW w:w="1134" w:type="dxa"/>
            <w:gridSpan w:val="2"/>
            <w:noWrap/>
            <w:hideMark/>
          </w:tcPr>
          <w:p w14:paraId="508FA895" w14:textId="77777777" w:rsidR="00DF74D7" w:rsidRPr="002D4ACF" w:rsidRDefault="00DF74D7" w:rsidP="00DD2371">
            <w:pPr>
              <w:ind w:left="-108" w:right="34"/>
              <w:rPr>
                <w:rFonts w:ascii="Tahoma" w:hAnsi="Tahoma" w:cs="Tahoma"/>
                <w:sz w:val="18"/>
                <w:szCs w:val="20"/>
                <w:lang w:eastAsia="zh-CN"/>
              </w:rPr>
            </w:pPr>
          </w:p>
        </w:tc>
        <w:tc>
          <w:tcPr>
            <w:tcW w:w="1388" w:type="dxa"/>
            <w:gridSpan w:val="2"/>
            <w:noWrap/>
            <w:hideMark/>
          </w:tcPr>
          <w:p w14:paraId="32432BC7" w14:textId="77777777" w:rsidR="00DF74D7" w:rsidRPr="002D4ACF" w:rsidRDefault="00DF74D7" w:rsidP="00DD2371">
            <w:pPr>
              <w:ind w:left="-108"/>
              <w:rPr>
                <w:rFonts w:ascii="Tahoma" w:hAnsi="Tahoma" w:cs="Tahoma"/>
                <w:sz w:val="18"/>
                <w:szCs w:val="20"/>
                <w:lang w:eastAsia="zh-CN"/>
              </w:rPr>
            </w:pPr>
          </w:p>
        </w:tc>
      </w:tr>
      <w:tr w:rsidR="00DF74D7" w:rsidRPr="002D4ACF" w14:paraId="19B9C0D6" w14:textId="77777777" w:rsidTr="00DD2371">
        <w:trPr>
          <w:trHeight w:val="765"/>
        </w:trPr>
        <w:tc>
          <w:tcPr>
            <w:tcW w:w="1064" w:type="dxa"/>
            <w:noWrap/>
            <w:hideMark/>
          </w:tcPr>
          <w:p w14:paraId="7211C376" w14:textId="77777777" w:rsidR="00DF74D7" w:rsidRPr="002D4ACF" w:rsidRDefault="00DF74D7" w:rsidP="00DD2371">
            <w:pPr>
              <w:ind w:left="-108"/>
              <w:rPr>
                <w:rFonts w:ascii="Tahoma" w:hAnsi="Tahoma" w:cs="Tahoma"/>
                <w:b/>
                <w:bCs/>
                <w:iCs/>
                <w:sz w:val="18"/>
                <w:szCs w:val="18"/>
              </w:rPr>
            </w:pPr>
            <w:r w:rsidRPr="002D4ACF">
              <w:rPr>
                <w:rFonts w:ascii="Tahoma" w:hAnsi="Tahoma" w:cs="Tahoma"/>
                <w:b/>
                <w:bCs/>
                <w:iCs/>
                <w:sz w:val="18"/>
                <w:szCs w:val="18"/>
              </w:rPr>
              <w:t> </w:t>
            </w:r>
          </w:p>
        </w:tc>
        <w:tc>
          <w:tcPr>
            <w:tcW w:w="1063" w:type="dxa"/>
            <w:noWrap/>
            <w:hideMark/>
          </w:tcPr>
          <w:p w14:paraId="2E846DDE" w14:textId="77777777" w:rsidR="00DF74D7" w:rsidRPr="002D4ACF" w:rsidRDefault="00DF74D7" w:rsidP="00DD2371">
            <w:pPr>
              <w:ind w:left="-108"/>
              <w:rPr>
                <w:rFonts w:ascii="Tahoma" w:hAnsi="Tahoma" w:cs="Tahoma"/>
                <w:iCs/>
                <w:sz w:val="18"/>
                <w:szCs w:val="18"/>
              </w:rPr>
            </w:pPr>
            <w:r w:rsidRPr="002D4ACF">
              <w:rPr>
                <w:rFonts w:ascii="Tahoma" w:hAnsi="Tahoma" w:cs="Tahoma"/>
                <w:iCs/>
                <w:sz w:val="18"/>
                <w:szCs w:val="16"/>
              </w:rPr>
              <w:t>1.1.8.3.</w:t>
            </w:r>
          </w:p>
        </w:tc>
        <w:tc>
          <w:tcPr>
            <w:tcW w:w="5244" w:type="dxa"/>
            <w:gridSpan w:val="3"/>
            <w:hideMark/>
          </w:tcPr>
          <w:p w14:paraId="2977BBFC" w14:textId="77777777" w:rsidR="00DF74D7" w:rsidRPr="002D4ACF" w:rsidRDefault="00DF74D7" w:rsidP="00DD2371">
            <w:pPr>
              <w:ind w:left="32" w:right="34"/>
              <w:jc w:val="both"/>
              <w:rPr>
                <w:rFonts w:ascii="Tahoma" w:hAnsi="Tahoma" w:cs="Tahoma"/>
                <w:iCs/>
                <w:sz w:val="18"/>
                <w:szCs w:val="18"/>
              </w:rPr>
            </w:pPr>
            <w:r w:rsidRPr="002D4ACF">
              <w:rPr>
                <w:rFonts w:ascii="Tahoma" w:hAnsi="Tahoma" w:cs="Tahoma"/>
                <w:sz w:val="18"/>
                <w:szCs w:val="16"/>
              </w:rPr>
              <w:t>Пересчет/проверка подлинности денежных знаков Банка России/иностранного государства (группы государств) по запросу клиента (за исключением п. 1.1.8.4.), размен денежных знаков Банка России</w:t>
            </w:r>
          </w:p>
        </w:tc>
        <w:tc>
          <w:tcPr>
            <w:tcW w:w="1305" w:type="dxa"/>
            <w:gridSpan w:val="2"/>
            <w:hideMark/>
          </w:tcPr>
          <w:p w14:paraId="71738052" w14:textId="77777777" w:rsidR="00DF74D7" w:rsidRPr="002D4ACF" w:rsidRDefault="00DF74D7" w:rsidP="00DD2371">
            <w:pPr>
              <w:ind w:left="-108" w:right="34"/>
              <w:jc w:val="center"/>
              <w:rPr>
                <w:rFonts w:ascii="Tahoma" w:hAnsi="Tahoma" w:cs="Tahoma"/>
                <w:iCs/>
                <w:sz w:val="18"/>
                <w:szCs w:val="18"/>
              </w:rPr>
            </w:pPr>
            <w:r w:rsidRPr="002D4ACF">
              <w:rPr>
                <w:rFonts w:ascii="Tahoma" w:hAnsi="Tahoma" w:cs="Tahoma"/>
                <w:iCs/>
                <w:sz w:val="18"/>
                <w:szCs w:val="16"/>
              </w:rPr>
              <w:t>1% от номинальной стоимости</w:t>
            </w:r>
          </w:p>
        </w:tc>
        <w:tc>
          <w:tcPr>
            <w:tcW w:w="1134" w:type="dxa"/>
            <w:gridSpan w:val="2"/>
            <w:hideMark/>
          </w:tcPr>
          <w:p w14:paraId="770EB875" w14:textId="77777777" w:rsidR="00DF74D7" w:rsidRPr="002D4ACF" w:rsidRDefault="00DF74D7" w:rsidP="00DD2371">
            <w:pPr>
              <w:ind w:left="-108" w:right="34"/>
              <w:jc w:val="center"/>
              <w:rPr>
                <w:rFonts w:ascii="Tahoma" w:hAnsi="Tahoma" w:cs="Tahoma"/>
                <w:iCs/>
                <w:sz w:val="18"/>
                <w:szCs w:val="18"/>
              </w:rPr>
            </w:pPr>
            <w:r w:rsidRPr="002D4ACF">
              <w:rPr>
                <w:rFonts w:ascii="Tahoma" w:hAnsi="Tahoma" w:cs="Tahoma"/>
                <w:iCs/>
                <w:sz w:val="18"/>
                <w:szCs w:val="16"/>
              </w:rPr>
              <w:t>5 единиц ин. Валюты, но не менее 30 руб. по курсу ЦБ</w:t>
            </w:r>
          </w:p>
        </w:tc>
        <w:tc>
          <w:tcPr>
            <w:tcW w:w="1388" w:type="dxa"/>
            <w:gridSpan w:val="2"/>
            <w:noWrap/>
            <w:hideMark/>
          </w:tcPr>
          <w:p w14:paraId="0AC74549" w14:textId="77777777" w:rsidR="00DF74D7" w:rsidRPr="002D4ACF" w:rsidRDefault="00DF74D7" w:rsidP="00DD2371">
            <w:pPr>
              <w:ind w:left="-108" w:right="33"/>
              <w:rPr>
                <w:rFonts w:ascii="Tahoma" w:hAnsi="Tahoma" w:cs="Tahoma"/>
                <w:sz w:val="18"/>
                <w:szCs w:val="20"/>
                <w:lang w:eastAsia="zh-CN"/>
              </w:rPr>
            </w:pPr>
          </w:p>
        </w:tc>
      </w:tr>
      <w:tr w:rsidR="00DF74D7" w:rsidRPr="002D4ACF" w14:paraId="6F33712D" w14:textId="77777777" w:rsidTr="00DD2371">
        <w:trPr>
          <w:trHeight w:val="480"/>
        </w:trPr>
        <w:tc>
          <w:tcPr>
            <w:tcW w:w="1064" w:type="dxa"/>
            <w:noWrap/>
            <w:hideMark/>
          </w:tcPr>
          <w:p w14:paraId="062797E1" w14:textId="77777777" w:rsidR="00DF74D7" w:rsidRPr="002D4ACF" w:rsidRDefault="00DF74D7" w:rsidP="00DD2371">
            <w:pPr>
              <w:ind w:left="-108"/>
              <w:rPr>
                <w:rFonts w:ascii="Tahoma" w:hAnsi="Tahoma" w:cs="Tahoma"/>
                <w:b/>
                <w:bCs/>
                <w:iCs/>
                <w:sz w:val="18"/>
                <w:szCs w:val="18"/>
              </w:rPr>
            </w:pPr>
          </w:p>
        </w:tc>
        <w:tc>
          <w:tcPr>
            <w:tcW w:w="1063" w:type="dxa"/>
            <w:noWrap/>
            <w:hideMark/>
          </w:tcPr>
          <w:p w14:paraId="37FA46D0" w14:textId="77777777" w:rsidR="00DF74D7" w:rsidRPr="002D4ACF" w:rsidRDefault="00DF74D7" w:rsidP="00DD2371">
            <w:pPr>
              <w:ind w:left="-108"/>
              <w:rPr>
                <w:rFonts w:ascii="Tahoma" w:hAnsi="Tahoma" w:cs="Tahoma"/>
                <w:iCs/>
                <w:sz w:val="18"/>
                <w:szCs w:val="18"/>
              </w:rPr>
            </w:pPr>
            <w:r w:rsidRPr="002D4ACF">
              <w:rPr>
                <w:rFonts w:ascii="Tahoma" w:hAnsi="Tahoma" w:cs="Tahoma"/>
                <w:iCs/>
                <w:sz w:val="18"/>
                <w:szCs w:val="16"/>
              </w:rPr>
              <w:t>1.1.8.4.</w:t>
            </w:r>
          </w:p>
        </w:tc>
        <w:tc>
          <w:tcPr>
            <w:tcW w:w="5244" w:type="dxa"/>
            <w:gridSpan w:val="3"/>
            <w:hideMark/>
          </w:tcPr>
          <w:p w14:paraId="177B7C9F" w14:textId="77777777" w:rsidR="00DF74D7" w:rsidRPr="002D4ACF" w:rsidRDefault="00DF74D7" w:rsidP="00DD2371">
            <w:pPr>
              <w:ind w:left="32" w:right="34"/>
              <w:jc w:val="both"/>
              <w:rPr>
                <w:rFonts w:ascii="Tahoma" w:hAnsi="Tahoma" w:cs="Tahoma"/>
                <w:iCs/>
                <w:sz w:val="18"/>
                <w:szCs w:val="18"/>
              </w:rPr>
            </w:pPr>
            <w:r w:rsidRPr="002D4ACF">
              <w:rPr>
                <w:rFonts w:ascii="Tahoma" w:hAnsi="Tahoma" w:cs="Tahoma"/>
                <w:iCs/>
                <w:sz w:val="18"/>
                <w:szCs w:val="16"/>
              </w:rPr>
              <w:t>Размен монет Банка России на монеты Банка России любых номиналов</w:t>
            </w:r>
            <w:r w:rsidRPr="002D4ACF">
              <w:rPr>
                <w:rFonts w:ascii="Tahoma" w:hAnsi="Tahoma" w:cs="Tahoma"/>
                <w:iCs/>
                <w:sz w:val="18"/>
                <w:szCs w:val="16"/>
                <w:vertAlign w:val="superscript"/>
              </w:rPr>
              <w:t>7</w:t>
            </w:r>
          </w:p>
        </w:tc>
        <w:tc>
          <w:tcPr>
            <w:tcW w:w="1305" w:type="dxa"/>
            <w:gridSpan w:val="2"/>
            <w:hideMark/>
          </w:tcPr>
          <w:p w14:paraId="7768982E" w14:textId="77777777" w:rsidR="00DF74D7" w:rsidRPr="002D4ACF" w:rsidRDefault="00DF74D7" w:rsidP="00DD2371">
            <w:pPr>
              <w:ind w:left="-108" w:right="34"/>
              <w:jc w:val="center"/>
              <w:rPr>
                <w:rFonts w:ascii="Tahoma" w:hAnsi="Tahoma" w:cs="Tahoma"/>
                <w:iCs/>
                <w:sz w:val="18"/>
                <w:szCs w:val="18"/>
              </w:rPr>
            </w:pPr>
            <w:r w:rsidRPr="002D4ACF">
              <w:rPr>
                <w:rFonts w:ascii="Tahoma" w:hAnsi="Tahoma" w:cs="Tahoma"/>
                <w:iCs/>
                <w:sz w:val="18"/>
                <w:szCs w:val="16"/>
              </w:rPr>
              <w:t>БЕСПЛАТНО</w:t>
            </w:r>
          </w:p>
        </w:tc>
        <w:tc>
          <w:tcPr>
            <w:tcW w:w="1134" w:type="dxa"/>
            <w:gridSpan w:val="2"/>
            <w:noWrap/>
            <w:hideMark/>
          </w:tcPr>
          <w:p w14:paraId="02A3144D" w14:textId="77777777" w:rsidR="00DF74D7" w:rsidRPr="002D4ACF" w:rsidRDefault="00DF74D7" w:rsidP="00DD2371">
            <w:pPr>
              <w:ind w:left="-108" w:right="34"/>
              <w:jc w:val="center"/>
              <w:rPr>
                <w:rFonts w:ascii="Tahoma" w:hAnsi="Tahoma" w:cs="Tahoma"/>
                <w:iCs/>
                <w:sz w:val="18"/>
                <w:szCs w:val="18"/>
              </w:rPr>
            </w:pPr>
          </w:p>
        </w:tc>
        <w:tc>
          <w:tcPr>
            <w:tcW w:w="1388" w:type="dxa"/>
            <w:gridSpan w:val="2"/>
            <w:noWrap/>
            <w:hideMark/>
          </w:tcPr>
          <w:p w14:paraId="454E7D8D" w14:textId="77777777" w:rsidR="00DF74D7" w:rsidRPr="002D4ACF" w:rsidRDefault="00DF74D7" w:rsidP="00DD2371">
            <w:pPr>
              <w:ind w:left="-108" w:right="33"/>
              <w:rPr>
                <w:rFonts w:ascii="Tahoma" w:hAnsi="Tahoma" w:cs="Tahoma"/>
                <w:sz w:val="18"/>
                <w:szCs w:val="20"/>
                <w:lang w:eastAsia="zh-CN"/>
              </w:rPr>
            </w:pPr>
          </w:p>
        </w:tc>
      </w:tr>
      <w:tr w:rsidR="00DF74D7" w:rsidRPr="002D4ACF" w14:paraId="5D3A9815" w14:textId="77777777" w:rsidTr="00DD2371">
        <w:trPr>
          <w:trHeight w:val="405"/>
        </w:trPr>
        <w:tc>
          <w:tcPr>
            <w:tcW w:w="1064" w:type="dxa"/>
            <w:noWrap/>
          </w:tcPr>
          <w:p w14:paraId="2389ABDB" w14:textId="77777777" w:rsidR="00DF74D7" w:rsidRPr="002D4ACF" w:rsidRDefault="00DF74D7" w:rsidP="00DD2371">
            <w:pPr>
              <w:ind w:left="-108"/>
              <w:rPr>
                <w:rFonts w:ascii="Tahoma" w:hAnsi="Tahoma" w:cs="Tahoma"/>
                <w:b/>
                <w:bCs/>
                <w:iCs/>
                <w:sz w:val="18"/>
                <w:szCs w:val="18"/>
              </w:rPr>
            </w:pPr>
          </w:p>
        </w:tc>
        <w:tc>
          <w:tcPr>
            <w:tcW w:w="1063" w:type="dxa"/>
            <w:noWrap/>
          </w:tcPr>
          <w:p w14:paraId="7392C899" w14:textId="77777777" w:rsidR="00DF74D7" w:rsidRPr="002D4ACF" w:rsidRDefault="00DF74D7" w:rsidP="00DD2371">
            <w:pPr>
              <w:ind w:left="-108"/>
              <w:rPr>
                <w:rFonts w:ascii="Tahoma" w:hAnsi="Tahoma" w:cs="Tahoma"/>
                <w:iCs/>
                <w:sz w:val="18"/>
                <w:szCs w:val="18"/>
              </w:rPr>
            </w:pPr>
            <w:r w:rsidRPr="002D4ACF">
              <w:rPr>
                <w:rFonts w:ascii="Tahoma" w:hAnsi="Tahoma" w:cs="Tahoma"/>
                <w:iCs/>
                <w:sz w:val="18"/>
                <w:szCs w:val="16"/>
              </w:rPr>
              <w:t>1.1.8.</w:t>
            </w:r>
            <w:r>
              <w:rPr>
                <w:rFonts w:ascii="Tahoma" w:hAnsi="Tahoma" w:cs="Tahoma"/>
                <w:iCs/>
                <w:sz w:val="18"/>
                <w:szCs w:val="16"/>
              </w:rPr>
              <w:t>5</w:t>
            </w:r>
            <w:r w:rsidRPr="002D4ACF">
              <w:rPr>
                <w:rFonts w:ascii="Tahoma" w:hAnsi="Tahoma" w:cs="Tahoma"/>
                <w:iCs/>
                <w:sz w:val="18"/>
                <w:szCs w:val="16"/>
              </w:rPr>
              <w:t>.</w:t>
            </w:r>
          </w:p>
        </w:tc>
        <w:tc>
          <w:tcPr>
            <w:tcW w:w="5244" w:type="dxa"/>
            <w:gridSpan w:val="3"/>
          </w:tcPr>
          <w:p w14:paraId="61267FD4" w14:textId="77777777" w:rsidR="00DF74D7" w:rsidRPr="002D4ACF" w:rsidRDefault="00DF74D7" w:rsidP="00DD2371">
            <w:pPr>
              <w:ind w:left="32" w:right="34"/>
              <w:jc w:val="both"/>
              <w:rPr>
                <w:rFonts w:ascii="Tahoma" w:hAnsi="Tahoma" w:cs="Tahoma"/>
                <w:iCs/>
                <w:sz w:val="18"/>
                <w:szCs w:val="18"/>
              </w:rPr>
            </w:pPr>
            <w:r w:rsidRPr="002D4ACF">
              <w:rPr>
                <w:rFonts w:ascii="Tahoma" w:hAnsi="Tahoma" w:cs="Tahoma"/>
                <w:sz w:val="18"/>
                <w:szCs w:val="16"/>
              </w:rPr>
              <w:t>Прием/покупка банкнот долларов США образца 2006 года и ранее указанного года</w:t>
            </w:r>
          </w:p>
        </w:tc>
        <w:tc>
          <w:tcPr>
            <w:tcW w:w="1305" w:type="dxa"/>
            <w:gridSpan w:val="2"/>
            <w:noWrap/>
          </w:tcPr>
          <w:p w14:paraId="1D02D7BC" w14:textId="77777777" w:rsidR="00DF74D7" w:rsidRPr="002D4ACF" w:rsidRDefault="00DF74D7" w:rsidP="00DD2371">
            <w:pPr>
              <w:ind w:left="-108" w:right="34"/>
              <w:rPr>
                <w:rFonts w:ascii="Tahoma" w:hAnsi="Tahoma" w:cs="Tahoma"/>
                <w:iCs/>
                <w:sz w:val="18"/>
                <w:szCs w:val="18"/>
              </w:rPr>
            </w:pPr>
            <w:r w:rsidRPr="002D4ACF">
              <w:rPr>
                <w:rFonts w:ascii="Tahoma" w:hAnsi="Tahoma" w:cs="Tahoma"/>
                <w:iCs/>
                <w:sz w:val="18"/>
                <w:szCs w:val="16"/>
              </w:rPr>
              <w:t>10% от номинальной стоимости</w:t>
            </w:r>
          </w:p>
        </w:tc>
        <w:tc>
          <w:tcPr>
            <w:tcW w:w="1134" w:type="dxa"/>
            <w:gridSpan w:val="2"/>
            <w:noWrap/>
          </w:tcPr>
          <w:p w14:paraId="111B1A78" w14:textId="77777777" w:rsidR="00DF74D7" w:rsidRPr="002D4ACF" w:rsidRDefault="00DF74D7" w:rsidP="00DD2371">
            <w:pPr>
              <w:ind w:left="-108" w:right="34"/>
              <w:rPr>
                <w:rFonts w:ascii="Tahoma" w:hAnsi="Tahoma" w:cs="Tahoma"/>
                <w:iCs/>
                <w:sz w:val="18"/>
                <w:szCs w:val="18"/>
              </w:rPr>
            </w:pPr>
          </w:p>
        </w:tc>
        <w:tc>
          <w:tcPr>
            <w:tcW w:w="1388" w:type="dxa"/>
            <w:gridSpan w:val="2"/>
            <w:noWrap/>
          </w:tcPr>
          <w:p w14:paraId="57D338E5" w14:textId="77777777" w:rsidR="00DF74D7" w:rsidRPr="002D4ACF" w:rsidRDefault="00DF74D7" w:rsidP="00DD2371">
            <w:pPr>
              <w:ind w:left="-108" w:right="33"/>
              <w:rPr>
                <w:rFonts w:ascii="Tahoma" w:hAnsi="Tahoma" w:cs="Tahoma"/>
                <w:sz w:val="18"/>
                <w:szCs w:val="20"/>
                <w:lang w:eastAsia="zh-CN"/>
              </w:rPr>
            </w:pPr>
          </w:p>
        </w:tc>
      </w:tr>
      <w:tr w:rsidR="00DF74D7" w:rsidRPr="002D4ACF" w14:paraId="322629A6" w14:textId="77777777" w:rsidTr="00DD2371">
        <w:trPr>
          <w:trHeight w:val="405"/>
        </w:trPr>
        <w:tc>
          <w:tcPr>
            <w:tcW w:w="1064" w:type="dxa"/>
            <w:noWrap/>
          </w:tcPr>
          <w:p w14:paraId="2BE9573D" w14:textId="77777777" w:rsidR="00DF74D7" w:rsidRPr="002D4ACF" w:rsidRDefault="00DF74D7" w:rsidP="00DD2371">
            <w:pPr>
              <w:ind w:left="-108"/>
              <w:rPr>
                <w:rFonts w:ascii="Tahoma" w:hAnsi="Tahoma" w:cs="Tahoma"/>
                <w:b/>
                <w:bCs/>
                <w:iCs/>
                <w:sz w:val="18"/>
                <w:szCs w:val="18"/>
              </w:rPr>
            </w:pPr>
          </w:p>
        </w:tc>
        <w:tc>
          <w:tcPr>
            <w:tcW w:w="1063" w:type="dxa"/>
            <w:noWrap/>
          </w:tcPr>
          <w:p w14:paraId="31C4916F" w14:textId="77777777" w:rsidR="00DF74D7" w:rsidRPr="002D4ACF" w:rsidRDefault="00DF74D7" w:rsidP="00DD2371">
            <w:pPr>
              <w:ind w:left="-108"/>
              <w:rPr>
                <w:rFonts w:ascii="Tahoma" w:hAnsi="Tahoma" w:cs="Tahoma"/>
                <w:iCs/>
                <w:sz w:val="18"/>
                <w:szCs w:val="18"/>
              </w:rPr>
            </w:pPr>
            <w:r w:rsidRPr="002D4ACF">
              <w:rPr>
                <w:rFonts w:ascii="Tahoma" w:hAnsi="Tahoma" w:cs="Tahoma"/>
                <w:sz w:val="18"/>
                <w:szCs w:val="18"/>
              </w:rPr>
              <w:t>1.1.8.</w:t>
            </w:r>
            <w:r>
              <w:rPr>
                <w:rFonts w:ascii="Tahoma" w:hAnsi="Tahoma" w:cs="Tahoma"/>
                <w:sz w:val="18"/>
                <w:szCs w:val="18"/>
              </w:rPr>
              <w:t>6</w:t>
            </w:r>
          </w:p>
        </w:tc>
        <w:tc>
          <w:tcPr>
            <w:tcW w:w="5244" w:type="dxa"/>
            <w:gridSpan w:val="3"/>
          </w:tcPr>
          <w:p w14:paraId="5D0C13BB" w14:textId="77777777" w:rsidR="00DF74D7" w:rsidRPr="002D4ACF" w:rsidRDefault="00DF74D7" w:rsidP="00DD2371">
            <w:pPr>
              <w:ind w:left="32" w:right="34"/>
              <w:rPr>
                <w:rFonts w:ascii="Tahoma" w:hAnsi="Tahoma" w:cs="Tahoma"/>
                <w:color w:val="000000" w:themeColor="text1"/>
                <w:sz w:val="18"/>
                <w:szCs w:val="18"/>
              </w:rPr>
            </w:pPr>
            <w:r w:rsidRPr="002D4ACF">
              <w:rPr>
                <w:rFonts w:ascii="Tahoma" w:hAnsi="Tahoma" w:cs="Tahoma"/>
                <w:sz w:val="18"/>
                <w:szCs w:val="18"/>
              </w:rPr>
              <w:t xml:space="preserve">Прием </w:t>
            </w:r>
            <w:r w:rsidRPr="002D4ACF">
              <w:rPr>
                <w:rFonts w:ascii="Tahoma" w:hAnsi="Tahoma" w:cs="Tahoma"/>
                <w:color w:val="000000" w:themeColor="text1"/>
                <w:sz w:val="18"/>
                <w:szCs w:val="18"/>
              </w:rPr>
              <w:t>банкнот наличной валюты Японская йена/Доллары США/ Евро для зачисления средств на валютные банковские счета, открытые  в Японских йенах/Долларах США/Евро</w:t>
            </w:r>
            <w:r w:rsidRPr="002D4ACF">
              <w:rPr>
                <w:rFonts w:ascii="Tahoma" w:hAnsi="Tahoma" w:cs="Tahoma"/>
                <w:color w:val="000000" w:themeColor="text1"/>
              </w:rPr>
              <w:t xml:space="preserve"> </w:t>
            </w:r>
            <w:r w:rsidRPr="002D4ACF">
              <w:rPr>
                <w:rFonts w:ascii="Tahoma" w:hAnsi="Tahoma" w:cs="Tahoma"/>
                <w:color w:val="000000" w:themeColor="text1"/>
                <w:sz w:val="18"/>
                <w:szCs w:val="18"/>
              </w:rPr>
              <w:t>или для безналичного платежа*</w:t>
            </w:r>
          </w:p>
          <w:p w14:paraId="335DE6EB" w14:textId="77777777" w:rsidR="00DF74D7" w:rsidRPr="002D4ACF" w:rsidRDefault="00DF74D7" w:rsidP="00DD2371">
            <w:pPr>
              <w:ind w:left="32" w:right="34"/>
              <w:jc w:val="both"/>
              <w:rPr>
                <w:rFonts w:ascii="Tahoma" w:hAnsi="Tahoma" w:cs="Tahoma"/>
                <w:sz w:val="18"/>
                <w:szCs w:val="18"/>
              </w:rPr>
            </w:pPr>
            <w:r w:rsidRPr="002D4ACF">
              <w:rPr>
                <w:rFonts w:ascii="Tahoma" w:hAnsi="Tahoma" w:cs="Tahoma"/>
                <w:color w:val="000000" w:themeColor="text1"/>
                <w:sz w:val="18"/>
                <w:szCs w:val="18"/>
              </w:rPr>
              <w:t xml:space="preserve">*исключение  </w:t>
            </w:r>
            <w:r w:rsidRPr="002D4ACF">
              <w:rPr>
                <w:rFonts w:ascii="Tahoma" w:hAnsi="Tahoma" w:cs="Tahoma"/>
                <w:iCs/>
                <w:sz w:val="18"/>
                <w:szCs w:val="18"/>
              </w:rPr>
              <w:t xml:space="preserve">Срочный вклад, Вклад до востребования, </w:t>
            </w:r>
            <w:r w:rsidRPr="002D4ACF">
              <w:rPr>
                <w:rFonts w:ascii="Tahoma" w:hAnsi="Tahoma" w:cs="Tahoma"/>
                <w:sz w:val="18"/>
                <w:szCs w:val="18"/>
              </w:rPr>
              <w:t>Пенсионный  вклад до востребования</w:t>
            </w:r>
          </w:p>
        </w:tc>
        <w:tc>
          <w:tcPr>
            <w:tcW w:w="1305" w:type="dxa"/>
            <w:gridSpan w:val="2"/>
            <w:noWrap/>
          </w:tcPr>
          <w:p w14:paraId="3470941F" w14:textId="77777777" w:rsidR="00DF74D7" w:rsidRPr="002D4ACF" w:rsidRDefault="00DF74D7" w:rsidP="00DD2371">
            <w:pPr>
              <w:ind w:left="-108" w:right="34"/>
              <w:rPr>
                <w:rFonts w:ascii="Tahoma" w:hAnsi="Tahoma" w:cs="Tahoma"/>
                <w:iCs/>
                <w:sz w:val="18"/>
                <w:szCs w:val="18"/>
              </w:rPr>
            </w:pPr>
            <w:r w:rsidRPr="002D4ACF">
              <w:rPr>
                <w:rFonts w:ascii="Tahoma" w:hAnsi="Tahoma" w:cs="Tahoma"/>
                <w:sz w:val="18"/>
                <w:szCs w:val="18"/>
              </w:rPr>
              <w:t>3 % от номинальной стоимости</w:t>
            </w:r>
          </w:p>
        </w:tc>
        <w:tc>
          <w:tcPr>
            <w:tcW w:w="1134" w:type="dxa"/>
            <w:gridSpan w:val="2"/>
            <w:noWrap/>
          </w:tcPr>
          <w:p w14:paraId="5DEF3F6E" w14:textId="77777777" w:rsidR="00DF74D7" w:rsidRPr="002D4ACF" w:rsidRDefault="00DF74D7" w:rsidP="00DD2371">
            <w:pPr>
              <w:ind w:left="-108" w:right="34"/>
              <w:rPr>
                <w:rFonts w:ascii="Tahoma" w:hAnsi="Tahoma" w:cs="Tahoma"/>
                <w:iCs/>
                <w:sz w:val="18"/>
                <w:szCs w:val="18"/>
              </w:rPr>
            </w:pPr>
          </w:p>
        </w:tc>
        <w:tc>
          <w:tcPr>
            <w:tcW w:w="1388" w:type="dxa"/>
            <w:gridSpan w:val="2"/>
            <w:noWrap/>
          </w:tcPr>
          <w:p w14:paraId="3E613474" w14:textId="77777777" w:rsidR="00DF74D7" w:rsidRPr="002D4ACF" w:rsidRDefault="00DF74D7" w:rsidP="00DD2371">
            <w:pPr>
              <w:ind w:left="-108" w:right="33"/>
              <w:rPr>
                <w:rFonts w:ascii="Tahoma" w:hAnsi="Tahoma" w:cs="Tahoma"/>
                <w:sz w:val="18"/>
                <w:szCs w:val="18"/>
                <w:lang w:eastAsia="zh-CN"/>
              </w:rPr>
            </w:pPr>
          </w:p>
        </w:tc>
      </w:tr>
      <w:tr w:rsidR="00DF74D7" w:rsidRPr="002D4ACF" w14:paraId="5D5FBFA8" w14:textId="77777777" w:rsidTr="00DD2371">
        <w:trPr>
          <w:trHeight w:val="269"/>
        </w:trPr>
        <w:tc>
          <w:tcPr>
            <w:tcW w:w="11198" w:type="dxa"/>
            <w:gridSpan w:val="11"/>
            <w:hideMark/>
          </w:tcPr>
          <w:p w14:paraId="7D18812B" w14:textId="77777777" w:rsidR="00DF74D7" w:rsidRPr="002D4ACF" w:rsidRDefault="00DF74D7" w:rsidP="00DD2371">
            <w:pPr>
              <w:jc w:val="both"/>
              <w:rPr>
                <w:rFonts w:ascii="Tahoma" w:eastAsia="Calibri" w:hAnsi="Tahoma" w:cs="Tahoma"/>
                <w:sz w:val="16"/>
                <w:szCs w:val="16"/>
                <w:vertAlign w:val="superscript"/>
                <w:lang w:eastAsia="en-US"/>
              </w:rPr>
            </w:pPr>
            <w:r w:rsidRPr="002D4ACF">
              <w:rPr>
                <w:rFonts w:ascii="Tahoma" w:eastAsia="Calibri" w:hAnsi="Tahoma" w:cs="Tahoma"/>
                <w:sz w:val="16"/>
                <w:szCs w:val="16"/>
                <w:lang w:eastAsia="en-US"/>
              </w:rPr>
              <w:t>* За исключением долларов США образца 2006 года и ранее указанного года.</w:t>
            </w:r>
          </w:p>
          <w:p w14:paraId="302053D8" w14:textId="77777777" w:rsidR="00DF74D7" w:rsidRPr="002D4ACF" w:rsidRDefault="00DF74D7" w:rsidP="00DD2371">
            <w:pPr>
              <w:ind w:left="-108" w:right="33"/>
              <w:jc w:val="both"/>
              <w:rPr>
                <w:rFonts w:ascii="Tahoma" w:eastAsia="Calibri" w:hAnsi="Tahoma" w:cs="Tahoma"/>
                <w:sz w:val="16"/>
                <w:szCs w:val="16"/>
                <w:lang w:eastAsia="en-US"/>
              </w:rPr>
            </w:pPr>
            <w:r w:rsidRPr="002D4ACF">
              <w:rPr>
                <w:rFonts w:ascii="Tahoma" w:eastAsia="Calibri" w:hAnsi="Tahoma" w:cs="Tahoma"/>
                <w:sz w:val="16"/>
                <w:szCs w:val="16"/>
                <w:vertAlign w:val="superscript"/>
                <w:lang w:eastAsia="en-US"/>
              </w:rPr>
              <w:t>5</w:t>
            </w:r>
            <w:r w:rsidRPr="002D4ACF">
              <w:rPr>
                <w:rFonts w:ascii="Tahoma" w:eastAsia="Calibri" w:hAnsi="Tahoma" w:cs="Tahoma"/>
                <w:sz w:val="16"/>
                <w:szCs w:val="16"/>
                <w:lang w:eastAsia="en-US"/>
              </w:rPr>
              <w:t xml:space="preserve"> Тариф установлен от общей суммы, заявленной Клиентом к выдаче в течение 30 календарных дней с даты поступления денежных средств на счет физического лица (Клиента).</w:t>
            </w:r>
          </w:p>
          <w:p w14:paraId="633D5DCF" w14:textId="77777777" w:rsidR="00DF74D7" w:rsidRPr="002D4ACF" w:rsidRDefault="00DF74D7" w:rsidP="00DD2371">
            <w:pPr>
              <w:ind w:left="-108" w:right="33"/>
              <w:jc w:val="both"/>
              <w:rPr>
                <w:rFonts w:ascii="Tahoma" w:eastAsia="Calibri" w:hAnsi="Tahoma" w:cs="Tahoma"/>
                <w:sz w:val="16"/>
                <w:szCs w:val="16"/>
                <w:lang w:eastAsia="en-US"/>
              </w:rPr>
            </w:pPr>
            <w:r w:rsidRPr="002D4ACF">
              <w:rPr>
                <w:rFonts w:ascii="Tahoma" w:eastAsia="Calibri" w:hAnsi="Tahoma" w:cs="Tahoma"/>
                <w:sz w:val="16"/>
                <w:szCs w:val="16"/>
                <w:vertAlign w:val="superscript"/>
                <w:lang w:eastAsia="en-US"/>
              </w:rPr>
              <w:t>6</w:t>
            </w:r>
            <w:r w:rsidRPr="002D4ACF">
              <w:rPr>
                <w:rFonts w:ascii="Tahoma" w:eastAsia="Calibri" w:hAnsi="Tahoma" w:cs="Tahoma"/>
                <w:sz w:val="16"/>
                <w:szCs w:val="16"/>
                <w:lang w:eastAsia="en-US"/>
              </w:rPr>
              <w:t>За исключением денежных средств поступивших на счета:</w:t>
            </w:r>
          </w:p>
          <w:p w14:paraId="4444ADF5" w14:textId="77777777" w:rsidR="00DF74D7" w:rsidRPr="002D4ACF" w:rsidRDefault="00DF74D7" w:rsidP="00DD2371">
            <w:pPr>
              <w:ind w:left="-108" w:right="33"/>
              <w:jc w:val="both"/>
              <w:rPr>
                <w:rFonts w:ascii="Tahoma" w:eastAsia="Calibri" w:hAnsi="Tahoma" w:cs="Tahoma"/>
                <w:sz w:val="16"/>
                <w:szCs w:val="16"/>
                <w:lang w:eastAsia="en-US"/>
              </w:rPr>
            </w:pPr>
            <w:r w:rsidRPr="002D4ACF">
              <w:rPr>
                <w:rFonts w:ascii="Tahoma" w:eastAsia="Calibri" w:hAnsi="Tahoma" w:cs="Tahoma"/>
                <w:sz w:val="16"/>
                <w:szCs w:val="16"/>
                <w:lang w:eastAsia="en-US"/>
              </w:rPr>
              <w:t>" - для получения пенсий, субсидий, выплаты заработной платы на основании договора о перечислении заработной платы на счета, открытые в «Азиатско-Тихоокеанский Банк» (АО);</w:t>
            </w:r>
          </w:p>
          <w:p w14:paraId="19D26F17" w14:textId="77777777" w:rsidR="00DF74D7" w:rsidRPr="002D4ACF" w:rsidRDefault="00DF74D7" w:rsidP="00DD2371">
            <w:pPr>
              <w:ind w:left="-108" w:right="33"/>
              <w:jc w:val="both"/>
              <w:rPr>
                <w:rFonts w:ascii="Tahoma" w:eastAsia="Calibri" w:hAnsi="Tahoma" w:cs="Tahoma"/>
                <w:sz w:val="16"/>
                <w:szCs w:val="16"/>
                <w:lang w:eastAsia="en-US"/>
              </w:rPr>
            </w:pPr>
            <w:r w:rsidRPr="002D4ACF">
              <w:rPr>
                <w:rFonts w:ascii="Tahoma" w:eastAsia="Calibri" w:hAnsi="Tahoma" w:cs="Tahoma"/>
                <w:sz w:val="16"/>
                <w:szCs w:val="16"/>
                <w:lang w:eastAsia="en-US"/>
              </w:rPr>
              <w:t>- для выплаты процентов и основной суммы срочного вклада по окончанию срока его действия;</w:t>
            </w:r>
          </w:p>
          <w:p w14:paraId="38FC8C17" w14:textId="77777777" w:rsidR="00DF74D7" w:rsidRPr="002D4ACF" w:rsidRDefault="00DF74D7" w:rsidP="00DD2371">
            <w:pPr>
              <w:ind w:left="-108" w:right="33"/>
              <w:jc w:val="both"/>
              <w:rPr>
                <w:rFonts w:ascii="Tahoma" w:eastAsia="Calibri" w:hAnsi="Tahoma" w:cs="Tahoma"/>
                <w:sz w:val="16"/>
                <w:szCs w:val="16"/>
                <w:lang w:eastAsia="en-US"/>
              </w:rPr>
            </w:pPr>
            <w:r w:rsidRPr="002D4ACF">
              <w:rPr>
                <w:rFonts w:ascii="Tahoma" w:eastAsia="Calibri" w:hAnsi="Tahoma" w:cs="Tahoma"/>
                <w:sz w:val="16"/>
                <w:szCs w:val="16"/>
                <w:lang w:eastAsia="en-US"/>
              </w:rPr>
              <w:t>- для единовременной выдачи денежных средств, поступивших безналичным путем от Клиента (заемщика) Акционерное общество «ДВИЦ Ипотечный центр» (АО «ДВИЦ»);</w:t>
            </w:r>
          </w:p>
          <w:p w14:paraId="4B9713D0" w14:textId="77777777" w:rsidR="00DF74D7" w:rsidRPr="002D4ACF" w:rsidRDefault="00DF74D7" w:rsidP="00DD2371">
            <w:pPr>
              <w:ind w:left="-108" w:right="33"/>
              <w:jc w:val="both"/>
              <w:rPr>
                <w:rFonts w:ascii="Tahoma" w:eastAsia="Calibri" w:hAnsi="Tahoma" w:cs="Tahoma"/>
                <w:sz w:val="16"/>
                <w:szCs w:val="16"/>
                <w:lang w:eastAsia="en-US"/>
              </w:rPr>
            </w:pPr>
            <w:r w:rsidRPr="002D4ACF">
              <w:rPr>
                <w:rFonts w:ascii="Tahoma" w:eastAsia="Calibri" w:hAnsi="Tahoma" w:cs="Tahoma"/>
                <w:sz w:val="16"/>
                <w:szCs w:val="16"/>
                <w:lang w:eastAsia="en-US"/>
              </w:rPr>
              <w:t>- из АО ""Райффайзенбанк"";</w:t>
            </w:r>
          </w:p>
          <w:p w14:paraId="7DDFFB02" w14:textId="77777777" w:rsidR="00DF74D7" w:rsidRPr="002D4ACF" w:rsidRDefault="00DF74D7" w:rsidP="00DD2371">
            <w:pPr>
              <w:ind w:left="-108" w:right="33"/>
              <w:jc w:val="both"/>
              <w:rPr>
                <w:rFonts w:ascii="Tahoma" w:eastAsia="Calibri" w:hAnsi="Tahoma" w:cs="Tahoma"/>
                <w:sz w:val="16"/>
                <w:szCs w:val="16"/>
                <w:lang w:eastAsia="en-US"/>
              </w:rPr>
            </w:pPr>
            <w:r w:rsidRPr="002D4ACF">
              <w:rPr>
                <w:rFonts w:ascii="Tahoma" w:eastAsia="Calibri" w:hAnsi="Tahoma" w:cs="Tahoma"/>
                <w:sz w:val="16"/>
                <w:szCs w:val="16"/>
                <w:lang w:eastAsia="en-US"/>
              </w:rPr>
              <w:t>- от погашения векселей ООО ""Финансово-Торговая компания"", от программ инвестиционного страхования жизни/накопительного страхования жизни ООО «АльфаСтрахование-Жизнь»/ «ООО Страховая компания «Росгосстрах Жизнь»/ ООО СК «Альянс-Жизнь»/ ООО СК «МАКС страхование жизни»/ ООО СК «Росгосстрах Жизнь», ООО «СК«Ренессанс Жизнь»</w:t>
            </w:r>
          </w:p>
          <w:p w14:paraId="14AD83E0" w14:textId="77777777" w:rsidR="00DF74D7" w:rsidRPr="002D4ACF" w:rsidRDefault="00DF74D7" w:rsidP="00DD2371">
            <w:pPr>
              <w:ind w:left="-108" w:right="33"/>
              <w:jc w:val="both"/>
              <w:rPr>
                <w:rFonts w:ascii="Tahoma" w:eastAsia="Calibri" w:hAnsi="Tahoma" w:cs="Tahoma"/>
                <w:sz w:val="16"/>
                <w:szCs w:val="16"/>
                <w:lang w:eastAsia="en-US"/>
              </w:rPr>
            </w:pPr>
            <w:r w:rsidRPr="002D4ACF">
              <w:rPr>
                <w:rFonts w:ascii="Tahoma" w:eastAsia="Calibri" w:hAnsi="Tahoma" w:cs="Tahoma"/>
                <w:sz w:val="16"/>
                <w:szCs w:val="16"/>
                <w:lang w:eastAsia="en-US"/>
              </w:rPr>
              <w:t>- денежных средств поступивших с брокерских счетов, открытых в «Азиатско-Тихоокеанский Банк» (АО), а также средств, поступивших с корреспондентских счетов открытых «Азиатско-Тихоокеанский Банк» (АО) для выполнения его функций в качестве доверительного управляющего (счета 30601, 30602);</w:t>
            </w:r>
          </w:p>
          <w:p w14:paraId="5FA8DD7F" w14:textId="77777777" w:rsidR="00DF74D7" w:rsidRPr="002D4ACF" w:rsidRDefault="00DF74D7" w:rsidP="00DD2371">
            <w:pPr>
              <w:ind w:left="-108" w:right="33"/>
              <w:jc w:val="both"/>
              <w:rPr>
                <w:rFonts w:ascii="Tahoma" w:eastAsia="Calibri" w:hAnsi="Tahoma" w:cs="Tahoma"/>
                <w:sz w:val="16"/>
                <w:szCs w:val="16"/>
                <w:lang w:eastAsia="en-US"/>
              </w:rPr>
            </w:pPr>
            <w:r w:rsidRPr="002D4ACF">
              <w:rPr>
                <w:rFonts w:ascii="Tahoma" w:eastAsia="Calibri" w:hAnsi="Tahoma" w:cs="Tahoma"/>
                <w:sz w:val="16"/>
                <w:szCs w:val="16"/>
                <w:lang w:eastAsia="en-US"/>
              </w:rPr>
              <w:t>- Вкладов до востребования, открытых до 22.07.2012, для которых применяется Тариф в размере 0,5% от суммы операции;</w:t>
            </w:r>
          </w:p>
          <w:p w14:paraId="6C464905" w14:textId="77777777" w:rsidR="00DF74D7" w:rsidRPr="002D4ACF" w:rsidRDefault="00DF74D7" w:rsidP="00DD2371">
            <w:pPr>
              <w:ind w:left="-108" w:right="33"/>
              <w:jc w:val="both"/>
              <w:rPr>
                <w:rFonts w:ascii="Tahoma" w:eastAsia="Calibri" w:hAnsi="Tahoma" w:cs="Tahoma"/>
                <w:sz w:val="16"/>
                <w:szCs w:val="16"/>
                <w:lang w:eastAsia="en-US"/>
              </w:rPr>
            </w:pPr>
            <w:r w:rsidRPr="002D4ACF">
              <w:rPr>
                <w:rFonts w:ascii="Tahoma" w:eastAsia="Calibri" w:hAnsi="Tahoma" w:cs="Tahoma"/>
                <w:sz w:val="16"/>
                <w:szCs w:val="16"/>
                <w:lang w:eastAsia="en-US"/>
              </w:rPr>
              <w:t>- из ОАО «Ипотечное агентство жилищного строительства Республики Хакасия», для которого применяется Тариф в размере 0,1% от суммы операции;</w:t>
            </w:r>
          </w:p>
          <w:p w14:paraId="5F6C36A2" w14:textId="77777777" w:rsidR="00DF74D7" w:rsidRPr="002D4ACF" w:rsidRDefault="00DF74D7" w:rsidP="00DD2371">
            <w:pPr>
              <w:ind w:left="-108" w:right="33"/>
              <w:jc w:val="both"/>
              <w:rPr>
                <w:rFonts w:ascii="Tahoma" w:eastAsia="Calibri" w:hAnsi="Tahoma" w:cs="Tahoma"/>
                <w:sz w:val="16"/>
                <w:szCs w:val="16"/>
                <w:lang w:eastAsia="en-US"/>
              </w:rPr>
            </w:pPr>
            <w:r w:rsidRPr="002D4ACF">
              <w:rPr>
                <w:rFonts w:ascii="Tahoma" w:eastAsia="Calibri" w:hAnsi="Tahoma" w:cs="Tahoma"/>
                <w:sz w:val="16"/>
                <w:szCs w:val="16"/>
                <w:lang w:eastAsia="en-US"/>
              </w:rPr>
              <w:t>- из НО КПКГ «Содействие» на территории Республики Хакасия, для которого применяется Тариф в размере 0,8% от суммы операции;                                                                                                                                                                                        - открытые в рамках программы «Статус», операции по которым производятся согласно установленным тарифам по программе «Статус».</w:t>
            </w:r>
          </w:p>
          <w:p w14:paraId="5578BB65" w14:textId="77777777" w:rsidR="00DF74D7" w:rsidRPr="002D4ACF" w:rsidRDefault="00DF74D7" w:rsidP="00DD2371">
            <w:pPr>
              <w:ind w:left="-108" w:right="33"/>
              <w:jc w:val="both"/>
              <w:rPr>
                <w:rFonts w:ascii="Tahoma" w:eastAsia="Calibri" w:hAnsi="Tahoma" w:cs="Tahoma"/>
                <w:sz w:val="16"/>
                <w:szCs w:val="16"/>
                <w:lang w:eastAsia="en-US"/>
              </w:rPr>
            </w:pPr>
            <w:r w:rsidRPr="002D4ACF">
              <w:rPr>
                <w:rFonts w:ascii="Tahoma" w:eastAsia="Calibri" w:hAnsi="Tahoma" w:cs="Tahoma"/>
                <w:sz w:val="16"/>
                <w:szCs w:val="16"/>
                <w:lang w:eastAsia="en-US"/>
              </w:rPr>
              <w:t>- по сделкам купли-продажи транспортного средства в рамках Тарифного плана «Потребительский кредит под залог транспортного средства».</w:t>
            </w:r>
          </w:p>
          <w:p w14:paraId="13B9E3AA" w14:textId="77777777" w:rsidR="00DF74D7" w:rsidRPr="002D4ACF" w:rsidRDefault="00DF74D7" w:rsidP="00DD2371">
            <w:pPr>
              <w:ind w:left="-108" w:right="33"/>
              <w:jc w:val="both"/>
              <w:rPr>
                <w:rFonts w:ascii="Tahoma" w:hAnsi="Tahoma" w:cs="Tahoma"/>
                <w:iCs/>
                <w:sz w:val="14"/>
                <w:szCs w:val="16"/>
              </w:rPr>
            </w:pPr>
            <w:r w:rsidRPr="002D4ACF">
              <w:rPr>
                <w:rFonts w:ascii="Tahoma" w:eastAsia="Calibri" w:hAnsi="Tahoma" w:cs="Tahoma"/>
                <w:iCs/>
                <w:sz w:val="16"/>
                <w:szCs w:val="16"/>
                <w:vertAlign w:val="superscript"/>
                <w:lang w:eastAsia="en-US"/>
              </w:rPr>
              <w:t>7</w:t>
            </w:r>
            <w:r w:rsidRPr="002D4ACF">
              <w:rPr>
                <w:rFonts w:ascii="Tahoma" w:eastAsia="Calibri" w:hAnsi="Tahoma" w:cs="Tahoma"/>
                <w:iCs/>
                <w:sz w:val="16"/>
                <w:szCs w:val="16"/>
                <w:lang w:eastAsia="en-US"/>
              </w:rPr>
              <w:t xml:space="preserve"> Тариф применяется только в подразделениях «Азиатско-Тихоокеанский Банк» (АО), в которых Банком проводятся стимулирующие мероприятия (акции, конкурсы и др.) по размену монет Банка России на монеты Банка России любых номиналов.</w:t>
            </w:r>
          </w:p>
        </w:tc>
      </w:tr>
      <w:tr w:rsidR="00DF74D7" w:rsidRPr="002D4ACF" w14:paraId="45E8FAFC" w14:textId="77777777" w:rsidTr="00DD2371">
        <w:trPr>
          <w:trHeight w:val="65"/>
        </w:trPr>
        <w:tc>
          <w:tcPr>
            <w:tcW w:w="11198" w:type="dxa"/>
            <w:gridSpan w:val="11"/>
          </w:tcPr>
          <w:p w14:paraId="3D487423" w14:textId="77777777" w:rsidR="00DF74D7" w:rsidRPr="002D4ACF" w:rsidRDefault="00DF74D7" w:rsidP="00DD2371">
            <w:pPr>
              <w:jc w:val="both"/>
              <w:rPr>
                <w:rFonts w:ascii="Tahoma" w:hAnsi="Tahoma" w:cs="Tahoma"/>
                <w:b/>
                <w:bCs/>
                <w:iCs/>
                <w:sz w:val="18"/>
                <w:szCs w:val="18"/>
              </w:rPr>
            </w:pPr>
          </w:p>
          <w:p w14:paraId="1F9C2FF8" w14:textId="77777777" w:rsidR="00DF74D7" w:rsidRPr="002D4ACF" w:rsidRDefault="00DF74D7" w:rsidP="00DD2371">
            <w:pPr>
              <w:jc w:val="both"/>
              <w:rPr>
                <w:rFonts w:ascii="Tahoma" w:hAnsi="Tahoma" w:cs="Tahoma"/>
                <w:b/>
                <w:bCs/>
                <w:iCs/>
                <w:sz w:val="18"/>
                <w:szCs w:val="18"/>
              </w:rPr>
            </w:pPr>
            <w:r w:rsidRPr="002D4ACF">
              <w:rPr>
                <w:rFonts w:ascii="Tahoma" w:hAnsi="Tahoma" w:cs="Tahoma"/>
                <w:b/>
                <w:bCs/>
                <w:iCs/>
                <w:sz w:val="18"/>
                <w:szCs w:val="18"/>
              </w:rPr>
              <w:t>Расчетное обслуживание</w:t>
            </w:r>
          </w:p>
        </w:tc>
      </w:tr>
      <w:tr w:rsidR="00DF74D7" w:rsidRPr="002D4ACF" w14:paraId="1A718AA4" w14:textId="77777777" w:rsidTr="00DD2371">
        <w:trPr>
          <w:trHeight w:val="65"/>
        </w:trPr>
        <w:tc>
          <w:tcPr>
            <w:tcW w:w="1064" w:type="dxa"/>
            <w:noWrap/>
            <w:hideMark/>
          </w:tcPr>
          <w:p w14:paraId="15F170BD"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1.1.9.</w:t>
            </w:r>
          </w:p>
        </w:tc>
        <w:tc>
          <w:tcPr>
            <w:tcW w:w="10134" w:type="dxa"/>
            <w:gridSpan w:val="10"/>
            <w:hideMark/>
          </w:tcPr>
          <w:p w14:paraId="6A7EB84E" w14:textId="77777777" w:rsidR="00DF74D7" w:rsidRPr="002D4ACF" w:rsidRDefault="00DF74D7" w:rsidP="00DD2371">
            <w:pPr>
              <w:jc w:val="both"/>
              <w:rPr>
                <w:rFonts w:ascii="Tahoma" w:hAnsi="Tahoma" w:cs="Tahoma"/>
                <w:b/>
                <w:bCs/>
                <w:iCs/>
                <w:sz w:val="18"/>
                <w:szCs w:val="18"/>
              </w:rPr>
            </w:pPr>
            <w:r w:rsidRPr="002D4ACF">
              <w:rPr>
                <w:rFonts w:ascii="Tahoma" w:hAnsi="Tahoma" w:cs="Tahoma"/>
                <w:b/>
                <w:bCs/>
                <w:iCs/>
                <w:sz w:val="18"/>
                <w:szCs w:val="18"/>
              </w:rPr>
              <w:t>Расчетное обслуживание физических лиц в рублях</w:t>
            </w:r>
          </w:p>
        </w:tc>
      </w:tr>
      <w:tr w:rsidR="00DF74D7" w:rsidRPr="002D4ACF" w14:paraId="11604A9E" w14:textId="77777777" w:rsidTr="00DD2371">
        <w:trPr>
          <w:trHeight w:val="615"/>
        </w:trPr>
        <w:tc>
          <w:tcPr>
            <w:tcW w:w="1064" w:type="dxa"/>
            <w:noWrap/>
            <w:hideMark/>
          </w:tcPr>
          <w:p w14:paraId="10E06430" w14:textId="77777777" w:rsidR="00DF74D7" w:rsidRPr="002D4ACF" w:rsidRDefault="00DF74D7" w:rsidP="00DD2371">
            <w:pPr>
              <w:rPr>
                <w:rFonts w:ascii="Tahoma" w:hAnsi="Tahoma" w:cs="Tahoma"/>
                <w:b/>
                <w:bCs/>
                <w:iCs/>
                <w:sz w:val="20"/>
                <w:szCs w:val="18"/>
              </w:rPr>
            </w:pPr>
          </w:p>
        </w:tc>
        <w:tc>
          <w:tcPr>
            <w:tcW w:w="1090" w:type="dxa"/>
            <w:gridSpan w:val="3"/>
            <w:noWrap/>
            <w:hideMark/>
          </w:tcPr>
          <w:p w14:paraId="0B70382B" w14:textId="77777777" w:rsidR="00DF74D7" w:rsidRPr="002D4ACF" w:rsidRDefault="00DF74D7" w:rsidP="00DD2371">
            <w:pPr>
              <w:jc w:val="both"/>
              <w:rPr>
                <w:rFonts w:ascii="Tahoma" w:hAnsi="Tahoma" w:cs="Tahoma"/>
                <w:iCs/>
                <w:sz w:val="20"/>
                <w:szCs w:val="18"/>
              </w:rPr>
            </w:pPr>
            <w:r w:rsidRPr="002D4ACF">
              <w:rPr>
                <w:rFonts w:ascii="Tahoma" w:hAnsi="Tahoma" w:cs="Tahoma"/>
                <w:sz w:val="20"/>
                <w:szCs w:val="18"/>
              </w:rPr>
              <w:t xml:space="preserve">1.1.9.1. </w:t>
            </w:r>
          </w:p>
        </w:tc>
        <w:tc>
          <w:tcPr>
            <w:tcW w:w="5217" w:type="dxa"/>
            <w:hideMark/>
          </w:tcPr>
          <w:p w14:paraId="6B277BF8" w14:textId="77777777" w:rsidR="00DF74D7" w:rsidRPr="002D4ACF" w:rsidRDefault="00DF74D7" w:rsidP="00DD2371">
            <w:pPr>
              <w:jc w:val="both"/>
              <w:rPr>
                <w:rFonts w:ascii="Tahoma" w:hAnsi="Tahoma" w:cs="Tahoma"/>
                <w:b/>
                <w:bCs/>
                <w:iCs/>
                <w:sz w:val="18"/>
                <w:szCs w:val="18"/>
              </w:rPr>
            </w:pPr>
            <w:r w:rsidRPr="002D4ACF">
              <w:rPr>
                <w:rFonts w:ascii="Tahoma" w:hAnsi="Tahoma" w:cs="Tahoma"/>
                <w:b/>
                <w:bCs/>
                <w:sz w:val="18"/>
                <w:szCs w:val="18"/>
              </w:rPr>
              <w:t xml:space="preserve">Перевод денежных средств без открытия счета и со счета физического лица* (Текущий банковский счет, </w:t>
            </w:r>
            <w:r w:rsidRPr="002D4ACF">
              <w:rPr>
                <w:rFonts w:ascii="Tahoma" w:hAnsi="Tahoma" w:cs="Tahoma"/>
                <w:b/>
                <w:bCs/>
                <w:sz w:val="18"/>
                <w:szCs w:val="18"/>
              </w:rPr>
              <w:lastRenderedPageBreak/>
              <w:t xml:space="preserve">Номинальный счет, Срочный вклад, Вклад до востребования (в т.ч. Пенсионный), Счет банковской карты) </w:t>
            </w:r>
          </w:p>
        </w:tc>
        <w:tc>
          <w:tcPr>
            <w:tcW w:w="1305" w:type="dxa"/>
            <w:gridSpan w:val="2"/>
            <w:noWrap/>
            <w:hideMark/>
          </w:tcPr>
          <w:p w14:paraId="64CBDBB1" w14:textId="77777777" w:rsidR="00DF74D7" w:rsidRPr="002D4ACF" w:rsidRDefault="00DF74D7" w:rsidP="00DD2371">
            <w:pPr>
              <w:rPr>
                <w:rFonts w:ascii="Tahoma" w:hAnsi="Tahoma" w:cs="Tahoma"/>
                <w:iCs/>
                <w:sz w:val="20"/>
                <w:szCs w:val="18"/>
              </w:rPr>
            </w:pPr>
            <w:r w:rsidRPr="002D4ACF">
              <w:rPr>
                <w:rFonts w:ascii="Tahoma" w:hAnsi="Tahoma" w:cs="Tahoma"/>
                <w:b/>
                <w:bCs/>
                <w:sz w:val="20"/>
                <w:szCs w:val="18"/>
              </w:rPr>
              <w:lastRenderedPageBreak/>
              <w:t xml:space="preserve">Тариф </w:t>
            </w:r>
          </w:p>
        </w:tc>
        <w:tc>
          <w:tcPr>
            <w:tcW w:w="1134" w:type="dxa"/>
            <w:gridSpan w:val="2"/>
            <w:noWrap/>
            <w:hideMark/>
          </w:tcPr>
          <w:p w14:paraId="7BB80637" w14:textId="77777777" w:rsidR="00DF74D7" w:rsidRPr="002D4ACF" w:rsidRDefault="00DF74D7" w:rsidP="00DD2371">
            <w:pPr>
              <w:rPr>
                <w:rFonts w:ascii="Tahoma" w:hAnsi="Tahoma" w:cs="Tahoma"/>
                <w:iCs/>
                <w:sz w:val="20"/>
                <w:szCs w:val="18"/>
              </w:rPr>
            </w:pPr>
            <w:r w:rsidRPr="002D4ACF">
              <w:rPr>
                <w:rFonts w:ascii="Tahoma" w:hAnsi="Tahoma" w:cs="Tahoma"/>
                <w:b/>
                <w:bCs/>
                <w:sz w:val="20"/>
                <w:szCs w:val="18"/>
              </w:rPr>
              <w:t xml:space="preserve">Мин. </w:t>
            </w:r>
          </w:p>
        </w:tc>
        <w:tc>
          <w:tcPr>
            <w:tcW w:w="1388" w:type="dxa"/>
            <w:gridSpan w:val="2"/>
            <w:noWrap/>
            <w:hideMark/>
          </w:tcPr>
          <w:p w14:paraId="5DD361EB" w14:textId="77777777" w:rsidR="00DF74D7" w:rsidRPr="002D4ACF" w:rsidRDefault="00DF74D7" w:rsidP="00DD2371">
            <w:pPr>
              <w:rPr>
                <w:rFonts w:ascii="Tahoma" w:hAnsi="Tahoma" w:cs="Tahoma"/>
                <w:iCs/>
                <w:sz w:val="20"/>
                <w:szCs w:val="18"/>
              </w:rPr>
            </w:pPr>
            <w:r w:rsidRPr="002D4ACF">
              <w:rPr>
                <w:rFonts w:ascii="Tahoma" w:hAnsi="Tahoma" w:cs="Tahoma"/>
                <w:b/>
                <w:bCs/>
                <w:sz w:val="20"/>
                <w:szCs w:val="18"/>
              </w:rPr>
              <w:t xml:space="preserve">Макс. </w:t>
            </w:r>
          </w:p>
        </w:tc>
      </w:tr>
      <w:tr w:rsidR="00DF74D7" w:rsidRPr="002D4ACF" w14:paraId="2D08D59A" w14:textId="77777777" w:rsidTr="00DD2371">
        <w:trPr>
          <w:trHeight w:val="360"/>
        </w:trPr>
        <w:tc>
          <w:tcPr>
            <w:tcW w:w="1064" w:type="dxa"/>
            <w:noWrap/>
            <w:hideMark/>
          </w:tcPr>
          <w:p w14:paraId="361B457F"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 </w:t>
            </w:r>
          </w:p>
        </w:tc>
        <w:tc>
          <w:tcPr>
            <w:tcW w:w="1090" w:type="dxa"/>
            <w:gridSpan w:val="3"/>
            <w:noWrap/>
            <w:hideMark/>
          </w:tcPr>
          <w:p w14:paraId="4F45F885"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1.1.9.1.1.</w:t>
            </w:r>
          </w:p>
        </w:tc>
        <w:tc>
          <w:tcPr>
            <w:tcW w:w="5217" w:type="dxa"/>
            <w:hideMark/>
          </w:tcPr>
          <w:p w14:paraId="4A5BE8EC" w14:textId="77777777" w:rsidR="00DF74D7" w:rsidRPr="002D4ACF" w:rsidRDefault="00DF74D7" w:rsidP="00DD2371">
            <w:pPr>
              <w:jc w:val="both"/>
              <w:rPr>
                <w:rFonts w:ascii="Tahoma" w:hAnsi="Tahoma" w:cs="Tahoma"/>
                <w:iCs/>
                <w:sz w:val="18"/>
                <w:szCs w:val="18"/>
              </w:rPr>
            </w:pPr>
            <w:r w:rsidRPr="002D4ACF">
              <w:rPr>
                <w:rFonts w:ascii="Tahoma" w:hAnsi="Tahoma" w:cs="Tahoma"/>
                <w:sz w:val="18"/>
                <w:szCs w:val="18"/>
              </w:rPr>
              <w:t>Между счетами одного клиента- физического лица, открытыми в Банке/Филиалах «Азиатско-Тихоокеанский Банк» (АО) (в том числе с использованием счетов 30601, 30602 для учета расчетов по брокерским операциям с ценными бумагами и другими финансовыми активами). А также при перечислении денежных средств на счета, открытые «Азиатско-Тихоокеанский Банк» (АО) для расчетов по договорам доверительного управления, заключенными между клиентами-физическими лицами и «Азиатско-Тихоокеанский Банк» (АО) в НКО АО НРД.</w:t>
            </w:r>
          </w:p>
        </w:tc>
        <w:tc>
          <w:tcPr>
            <w:tcW w:w="1305" w:type="dxa"/>
            <w:gridSpan w:val="2"/>
            <w:hideMark/>
          </w:tcPr>
          <w:p w14:paraId="43038112"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БЕСПЛАТНО</w:t>
            </w:r>
          </w:p>
        </w:tc>
        <w:tc>
          <w:tcPr>
            <w:tcW w:w="1134" w:type="dxa"/>
            <w:gridSpan w:val="2"/>
            <w:noWrap/>
            <w:hideMark/>
          </w:tcPr>
          <w:p w14:paraId="787B797C" w14:textId="77777777" w:rsidR="00DF74D7" w:rsidRPr="002D4ACF" w:rsidRDefault="00DF74D7" w:rsidP="00DD2371">
            <w:pPr>
              <w:rPr>
                <w:rFonts w:ascii="Tahoma" w:hAnsi="Tahoma" w:cs="Tahoma"/>
                <w:sz w:val="20"/>
                <w:szCs w:val="20"/>
                <w:lang w:eastAsia="zh-CN"/>
              </w:rPr>
            </w:pPr>
          </w:p>
        </w:tc>
        <w:tc>
          <w:tcPr>
            <w:tcW w:w="1388" w:type="dxa"/>
            <w:gridSpan w:val="2"/>
            <w:noWrap/>
            <w:hideMark/>
          </w:tcPr>
          <w:p w14:paraId="33F0841B" w14:textId="77777777" w:rsidR="00DF74D7" w:rsidRPr="002D4ACF" w:rsidRDefault="00DF74D7" w:rsidP="00DD2371">
            <w:pPr>
              <w:rPr>
                <w:rFonts w:ascii="Tahoma" w:hAnsi="Tahoma" w:cs="Tahoma"/>
                <w:sz w:val="20"/>
                <w:szCs w:val="20"/>
                <w:lang w:eastAsia="zh-CN"/>
              </w:rPr>
            </w:pPr>
          </w:p>
        </w:tc>
      </w:tr>
      <w:tr w:rsidR="00DF74D7" w:rsidRPr="002D4ACF" w14:paraId="5A85C82D" w14:textId="77777777" w:rsidTr="00DD2371">
        <w:trPr>
          <w:trHeight w:val="615"/>
        </w:trPr>
        <w:tc>
          <w:tcPr>
            <w:tcW w:w="1064" w:type="dxa"/>
            <w:noWrap/>
            <w:hideMark/>
          </w:tcPr>
          <w:p w14:paraId="46F74DF6"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 </w:t>
            </w:r>
          </w:p>
        </w:tc>
        <w:tc>
          <w:tcPr>
            <w:tcW w:w="1090" w:type="dxa"/>
            <w:gridSpan w:val="3"/>
            <w:noWrap/>
            <w:hideMark/>
          </w:tcPr>
          <w:p w14:paraId="1876A81E"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1.1.9.1.2.</w:t>
            </w:r>
          </w:p>
        </w:tc>
        <w:tc>
          <w:tcPr>
            <w:tcW w:w="5217" w:type="dxa"/>
            <w:hideMark/>
          </w:tcPr>
          <w:p w14:paraId="1B1C40E5" w14:textId="77777777" w:rsidR="00DF74D7" w:rsidRPr="002D4ACF" w:rsidRDefault="00DF74D7" w:rsidP="00DD2371">
            <w:pPr>
              <w:jc w:val="both"/>
              <w:rPr>
                <w:rFonts w:ascii="Tahoma" w:hAnsi="Tahoma" w:cs="Tahoma"/>
                <w:iCs/>
                <w:sz w:val="18"/>
                <w:szCs w:val="18"/>
              </w:rPr>
            </w:pPr>
            <w:r w:rsidRPr="002D4ACF">
              <w:rPr>
                <w:rFonts w:ascii="Tahoma" w:eastAsiaTheme="minorHAnsi" w:hAnsi="Tahoma" w:cs="Tahoma"/>
                <w:sz w:val="18"/>
                <w:szCs w:val="18"/>
                <w:lang w:eastAsia="en-US"/>
              </w:rPr>
              <w:t>В пользу физических лиц</w:t>
            </w:r>
            <w:r w:rsidRPr="002D4ACF">
              <w:rPr>
                <w:rFonts w:ascii="Tahoma" w:hAnsi="Tahoma" w:cs="Tahoma"/>
                <w:iCs/>
                <w:sz w:val="18"/>
                <w:szCs w:val="18"/>
                <w:vertAlign w:val="superscript"/>
              </w:rPr>
              <w:t>8</w:t>
            </w:r>
            <w:r w:rsidRPr="002D4ACF">
              <w:rPr>
                <w:rFonts w:ascii="Tahoma" w:eastAsiaTheme="minorHAnsi" w:hAnsi="Tahoma" w:cs="Tahoma"/>
                <w:sz w:val="18"/>
                <w:szCs w:val="18"/>
                <w:lang w:eastAsia="en-US"/>
              </w:rPr>
              <w:t>, юридических лиц и индивидуальных предпринимателей, имеющих открытые счета в Банке/Филиалах «Азиатско-Тихоокеанский Банк» (АО)</w:t>
            </w:r>
            <w:r w:rsidRPr="002D4ACF">
              <w:rPr>
                <w:rFonts w:ascii="Tahoma" w:hAnsi="Tahoma" w:cs="Tahoma"/>
                <w:iCs/>
                <w:sz w:val="18"/>
                <w:szCs w:val="18"/>
                <w:vertAlign w:val="superscript"/>
              </w:rPr>
              <w:t>9,10</w:t>
            </w:r>
            <w:r w:rsidRPr="002D4ACF">
              <w:rPr>
                <w:rFonts w:ascii="Tahoma" w:eastAsiaTheme="minorHAnsi" w:hAnsi="Tahoma" w:cs="Tahoma"/>
                <w:sz w:val="18"/>
                <w:szCs w:val="18"/>
                <w:lang w:eastAsia="en-US"/>
              </w:rPr>
              <w:t xml:space="preserve"> </w:t>
            </w:r>
          </w:p>
        </w:tc>
        <w:tc>
          <w:tcPr>
            <w:tcW w:w="1305" w:type="dxa"/>
            <w:gridSpan w:val="2"/>
            <w:noWrap/>
            <w:hideMark/>
          </w:tcPr>
          <w:p w14:paraId="25F25B4C"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1,5% от суммы перевода</w:t>
            </w:r>
          </w:p>
        </w:tc>
        <w:tc>
          <w:tcPr>
            <w:tcW w:w="1134" w:type="dxa"/>
            <w:gridSpan w:val="2"/>
            <w:noWrap/>
            <w:hideMark/>
          </w:tcPr>
          <w:p w14:paraId="5DA53EBC"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100 руб.</w:t>
            </w:r>
          </w:p>
        </w:tc>
        <w:tc>
          <w:tcPr>
            <w:tcW w:w="1388" w:type="dxa"/>
            <w:gridSpan w:val="2"/>
            <w:noWrap/>
            <w:hideMark/>
          </w:tcPr>
          <w:p w14:paraId="2764A11E"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1000 руб.</w:t>
            </w:r>
          </w:p>
        </w:tc>
      </w:tr>
      <w:tr w:rsidR="00DF74D7" w:rsidRPr="002D4ACF" w14:paraId="254DA5B3" w14:textId="77777777" w:rsidTr="00DD2371">
        <w:trPr>
          <w:trHeight w:val="375"/>
        </w:trPr>
        <w:tc>
          <w:tcPr>
            <w:tcW w:w="1064" w:type="dxa"/>
            <w:noWrap/>
            <w:hideMark/>
          </w:tcPr>
          <w:p w14:paraId="595D3CBD"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 </w:t>
            </w:r>
          </w:p>
        </w:tc>
        <w:tc>
          <w:tcPr>
            <w:tcW w:w="1090" w:type="dxa"/>
            <w:gridSpan w:val="3"/>
            <w:noWrap/>
            <w:hideMark/>
          </w:tcPr>
          <w:p w14:paraId="68F0090E"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1.1.9.1.3.</w:t>
            </w:r>
          </w:p>
        </w:tc>
        <w:tc>
          <w:tcPr>
            <w:tcW w:w="5217" w:type="dxa"/>
            <w:hideMark/>
          </w:tcPr>
          <w:p w14:paraId="5B985B97"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 xml:space="preserve"> В пользу физических и юридических лиц в другие банки</w:t>
            </w:r>
            <w:r w:rsidRPr="002D4ACF">
              <w:rPr>
                <w:rFonts w:ascii="Tahoma" w:hAnsi="Tahoma" w:cs="Tahoma"/>
                <w:iCs/>
                <w:sz w:val="18"/>
                <w:szCs w:val="18"/>
                <w:vertAlign w:val="superscript"/>
              </w:rPr>
              <w:t>11,12</w:t>
            </w:r>
          </w:p>
        </w:tc>
        <w:tc>
          <w:tcPr>
            <w:tcW w:w="1305" w:type="dxa"/>
            <w:gridSpan w:val="2"/>
            <w:noWrap/>
            <w:hideMark/>
          </w:tcPr>
          <w:p w14:paraId="7EFE9335"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2% от суммы перевода</w:t>
            </w:r>
          </w:p>
        </w:tc>
        <w:tc>
          <w:tcPr>
            <w:tcW w:w="1134" w:type="dxa"/>
            <w:gridSpan w:val="2"/>
            <w:noWrap/>
            <w:hideMark/>
          </w:tcPr>
          <w:p w14:paraId="076252EA"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lang w:val="en-US"/>
              </w:rPr>
              <w:t>120</w:t>
            </w:r>
            <w:r w:rsidRPr="002D4ACF">
              <w:rPr>
                <w:rFonts w:ascii="Tahoma" w:hAnsi="Tahoma" w:cs="Tahoma"/>
                <w:iCs/>
                <w:sz w:val="18"/>
                <w:szCs w:val="18"/>
              </w:rPr>
              <w:t xml:space="preserve"> руб.</w:t>
            </w:r>
          </w:p>
        </w:tc>
        <w:tc>
          <w:tcPr>
            <w:tcW w:w="1388" w:type="dxa"/>
            <w:gridSpan w:val="2"/>
            <w:noWrap/>
            <w:hideMark/>
          </w:tcPr>
          <w:p w14:paraId="62139BD2"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lang w:val="en-US"/>
              </w:rPr>
              <w:t>3000</w:t>
            </w:r>
            <w:r w:rsidRPr="002D4ACF">
              <w:rPr>
                <w:rFonts w:ascii="Tahoma" w:hAnsi="Tahoma" w:cs="Tahoma"/>
                <w:iCs/>
                <w:sz w:val="18"/>
                <w:szCs w:val="18"/>
              </w:rPr>
              <w:t xml:space="preserve"> руб.</w:t>
            </w:r>
          </w:p>
        </w:tc>
      </w:tr>
      <w:tr w:rsidR="00DF74D7" w:rsidRPr="002D4ACF" w14:paraId="1A43C86D" w14:textId="77777777" w:rsidTr="00DD2371">
        <w:trPr>
          <w:trHeight w:val="615"/>
        </w:trPr>
        <w:tc>
          <w:tcPr>
            <w:tcW w:w="1064" w:type="dxa"/>
            <w:noWrap/>
            <w:hideMark/>
          </w:tcPr>
          <w:p w14:paraId="2EDA98C6"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 </w:t>
            </w:r>
          </w:p>
        </w:tc>
        <w:tc>
          <w:tcPr>
            <w:tcW w:w="1090" w:type="dxa"/>
            <w:gridSpan w:val="3"/>
            <w:noWrap/>
            <w:hideMark/>
          </w:tcPr>
          <w:p w14:paraId="1323A81E"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1.1.9.1.4.</w:t>
            </w:r>
          </w:p>
        </w:tc>
        <w:tc>
          <w:tcPr>
            <w:tcW w:w="5217" w:type="dxa"/>
            <w:hideMark/>
          </w:tcPr>
          <w:p w14:paraId="59F5459D"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В пользу бюджетной системы РФ по распоряжению клиента/налогового органа налога, сбора, пени, штрафов, предусмотренных Налоговым кодексом РФ, перевод средств материнского капитала в пользу Пенсионного фонда РФ</w:t>
            </w:r>
          </w:p>
        </w:tc>
        <w:tc>
          <w:tcPr>
            <w:tcW w:w="1305" w:type="dxa"/>
            <w:gridSpan w:val="2"/>
            <w:hideMark/>
          </w:tcPr>
          <w:p w14:paraId="317C7326"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БЕСПЛАТНО</w:t>
            </w:r>
          </w:p>
        </w:tc>
        <w:tc>
          <w:tcPr>
            <w:tcW w:w="1134" w:type="dxa"/>
            <w:gridSpan w:val="2"/>
            <w:noWrap/>
            <w:hideMark/>
          </w:tcPr>
          <w:p w14:paraId="0E5A4DDA" w14:textId="77777777" w:rsidR="00DF74D7" w:rsidRPr="002D4ACF" w:rsidRDefault="00DF74D7" w:rsidP="00DD2371">
            <w:pPr>
              <w:rPr>
                <w:rFonts w:ascii="Tahoma" w:hAnsi="Tahoma" w:cs="Tahoma"/>
                <w:sz w:val="20"/>
                <w:szCs w:val="20"/>
                <w:lang w:eastAsia="zh-CN"/>
              </w:rPr>
            </w:pPr>
          </w:p>
        </w:tc>
        <w:tc>
          <w:tcPr>
            <w:tcW w:w="1388" w:type="dxa"/>
            <w:gridSpan w:val="2"/>
            <w:noWrap/>
            <w:hideMark/>
          </w:tcPr>
          <w:p w14:paraId="39695DE4" w14:textId="77777777" w:rsidR="00DF74D7" w:rsidRPr="002D4ACF" w:rsidRDefault="00DF74D7" w:rsidP="00DD2371">
            <w:pPr>
              <w:rPr>
                <w:rFonts w:ascii="Tahoma" w:hAnsi="Tahoma" w:cs="Tahoma"/>
                <w:sz w:val="20"/>
                <w:szCs w:val="20"/>
                <w:lang w:eastAsia="zh-CN"/>
              </w:rPr>
            </w:pPr>
          </w:p>
        </w:tc>
      </w:tr>
      <w:tr w:rsidR="00DF74D7" w:rsidRPr="002D4ACF" w14:paraId="0E74F2B6" w14:textId="77777777" w:rsidTr="00DD2371">
        <w:trPr>
          <w:trHeight w:val="795"/>
        </w:trPr>
        <w:tc>
          <w:tcPr>
            <w:tcW w:w="1064" w:type="dxa"/>
            <w:noWrap/>
            <w:hideMark/>
          </w:tcPr>
          <w:p w14:paraId="356CB3D9"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 </w:t>
            </w:r>
          </w:p>
        </w:tc>
        <w:tc>
          <w:tcPr>
            <w:tcW w:w="1090" w:type="dxa"/>
            <w:gridSpan w:val="3"/>
            <w:noWrap/>
            <w:hideMark/>
          </w:tcPr>
          <w:p w14:paraId="263C52CB"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1.1.9.1.5.</w:t>
            </w:r>
          </w:p>
        </w:tc>
        <w:tc>
          <w:tcPr>
            <w:tcW w:w="5217" w:type="dxa"/>
            <w:hideMark/>
          </w:tcPr>
          <w:p w14:paraId="7340E9BE"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В пользу юридических лиц – поставщиков услуг, с кем у "Азиатско-Тихоокеанский Банк" (АО) заключен договор «Об информационном взаимодействии при осуществлении в пользу поставщика услуг переводов денежных средств физических лиц без открытия банковских счетов», в т.ч. через Систему сбора и обработки платежей «Город» (за исключением тех юридических лиц - поставщиков, с которых Банком взимается вознаграждение в рамках указанного договора)</w:t>
            </w:r>
          </w:p>
        </w:tc>
        <w:tc>
          <w:tcPr>
            <w:tcW w:w="1305" w:type="dxa"/>
            <w:gridSpan w:val="2"/>
            <w:noWrap/>
            <w:hideMark/>
          </w:tcPr>
          <w:p w14:paraId="1C54207A"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70 руб.</w:t>
            </w:r>
          </w:p>
        </w:tc>
        <w:tc>
          <w:tcPr>
            <w:tcW w:w="1134" w:type="dxa"/>
            <w:gridSpan w:val="2"/>
            <w:noWrap/>
            <w:hideMark/>
          </w:tcPr>
          <w:p w14:paraId="626EA4EF" w14:textId="77777777" w:rsidR="00DF74D7" w:rsidRPr="002D4ACF" w:rsidRDefault="00DF74D7" w:rsidP="00DD2371">
            <w:pPr>
              <w:rPr>
                <w:rFonts w:ascii="Tahoma" w:hAnsi="Tahoma" w:cs="Tahoma"/>
                <w:sz w:val="20"/>
                <w:szCs w:val="20"/>
                <w:lang w:eastAsia="zh-CN"/>
              </w:rPr>
            </w:pPr>
          </w:p>
        </w:tc>
        <w:tc>
          <w:tcPr>
            <w:tcW w:w="1388" w:type="dxa"/>
            <w:gridSpan w:val="2"/>
            <w:noWrap/>
            <w:hideMark/>
          </w:tcPr>
          <w:p w14:paraId="49BA6301" w14:textId="77777777" w:rsidR="00DF74D7" w:rsidRPr="002D4ACF" w:rsidRDefault="00DF74D7" w:rsidP="00DD2371">
            <w:pPr>
              <w:rPr>
                <w:rFonts w:ascii="Tahoma" w:hAnsi="Tahoma" w:cs="Tahoma"/>
                <w:sz w:val="20"/>
                <w:szCs w:val="20"/>
                <w:lang w:eastAsia="zh-CN"/>
              </w:rPr>
            </w:pPr>
          </w:p>
        </w:tc>
      </w:tr>
      <w:tr w:rsidR="00DF74D7" w:rsidRPr="002D4ACF" w14:paraId="7824F948" w14:textId="77777777" w:rsidTr="00DD2371">
        <w:trPr>
          <w:trHeight w:val="1365"/>
        </w:trPr>
        <w:tc>
          <w:tcPr>
            <w:tcW w:w="1064" w:type="dxa"/>
            <w:noWrap/>
            <w:hideMark/>
          </w:tcPr>
          <w:p w14:paraId="378FDF53"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 </w:t>
            </w:r>
          </w:p>
        </w:tc>
        <w:tc>
          <w:tcPr>
            <w:tcW w:w="1090" w:type="dxa"/>
            <w:gridSpan w:val="3"/>
            <w:noWrap/>
            <w:hideMark/>
          </w:tcPr>
          <w:p w14:paraId="25773744"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1.1.9.1.6.</w:t>
            </w:r>
          </w:p>
        </w:tc>
        <w:tc>
          <w:tcPr>
            <w:tcW w:w="5217" w:type="dxa"/>
            <w:hideMark/>
          </w:tcPr>
          <w:p w14:paraId="698FE373"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В пользу ОАО «Республиканское ипотечное агентство», ОАО «Саха ипотечное агентство», «Иркутское региональное ипотечное агентство», ОАО «Региональный оператор Еврейской автономной области», ОАО «Наш дом - Приморье», ОАО «Магаданская ипотечная компания», ОАО «Ипотечное агентство жилищного строительства Республики Хакасия», ОАО «Агентство по ипотечному жилищному кредитованию» в рамках программ по ипотечному кредитованию</w:t>
            </w:r>
          </w:p>
        </w:tc>
        <w:tc>
          <w:tcPr>
            <w:tcW w:w="1305" w:type="dxa"/>
            <w:gridSpan w:val="2"/>
            <w:noWrap/>
            <w:hideMark/>
          </w:tcPr>
          <w:p w14:paraId="50159203"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0,1% от суммы перевода</w:t>
            </w:r>
          </w:p>
        </w:tc>
        <w:tc>
          <w:tcPr>
            <w:tcW w:w="1134" w:type="dxa"/>
            <w:gridSpan w:val="2"/>
            <w:noWrap/>
            <w:hideMark/>
          </w:tcPr>
          <w:p w14:paraId="668F51C2"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110 руб.</w:t>
            </w:r>
          </w:p>
        </w:tc>
        <w:tc>
          <w:tcPr>
            <w:tcW w:w="1388" w:type="dxa"/>
            <w:gridSpan w:val="2"/>
            <w:noWrap/>
            <w:hideMark/>
          </w:tcPr>
          <w:p w14:paraId="2340630F"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1500 руб.</w:t>
            </w:r>
          </w:p>
        </w:tc>
      </w:tr>
      <w:tr w:rsidR="00DF74D7" w:rsidRPr="002D4ACF" w14:paraId="689B3CFD" w14:textId="77777777" w:rsidTr="00DD2371">
        <w:trPr>
          <w:trHeight w:val="345"/>
        </w:trPr>
        <w:tc>
          <w:tcPr>
            <w:tcW w:w="1064" w:type="dxa"/>
            <w:noWrap/>
            <w:hideMark/>
          </w:tcPr>
          <w:p w14:paraId="3D7C4042"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 </w:t>
            </w:r>
          </w:p>
        </w:tc>
        <w:tc>
          <w:tcPr>
            <w:tcW w:w="1090" w:type="dxa"/>
            <w:gridSpan w:val="3"/>
            <w:noWrap/>
            <w:hideMark/>
          </w:tcPr>
          <w:p w14:paraId="62B9FC9D"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1.1.9.1.7.</w:t>
            </w:r>
          </w:p>
        </w:tc>
        <w:tc>
          <w:tcPr>
            <w:tcW w:w="5217" w:type="dxa"/>
            <w:hideMark/>
          </w:tcPr>
          <w:p w14:paraId="141D0EAB"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В пользу Акционерное общество «ДВИЦ Ипотечный центр» (АО «ДВИЦ») в целях погашения ипотечного займа</w:t>
            </w:r>
          </w:p>
        </w:tc>
        <w:tc>
          <w:tcPr>
            <w:tcW w:w="1305" w:type="dxa"/>
            <w:gridSpan w:val="2"/>
            <w:noWrap/>
            <w:hideMark/>
          </w:tcPr>
          <w:p w14:paraId="39C884B9"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0,3% от суммы перевода</w:t>
            </w:r>
          </w:p>
        </w:tc>
        <w:tc>
          <w:tcPr>
            <w:tcW w:w="1134" w:type="dxa"/>
            <w:gridSpan w:val="2"/>
            <w:noWrap/>
            <w:hideMark/>
          </w:tcPr>
          <w:p w14:paraId="5C987570"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50 руб.</w:t>
            </w:r>
          </w:p>
        </w:tc>
        <w:tc>
          <w:tcPr>
            <w:tcW w:w="1388" w:type="dxa"/>
            <w:gridSpan w:val="2"/>
            <w:noWrap/>
            <w:hideMark/>
          </w:tcPr>
          <w:p w14:paraId="5FDE276C" w14:textId="77777777" w:rsidR="00DF74D7" w:rsidRPr="002D4ACF" w:rsidRDefault="00DF74D7" w:rsidP="00DD2371">
            <w:pPr>
              <w:rPr>
                <w:rFonts w:ascii="Tahoma" w:hAnsi="Tahoma" w:cs="Tahoma"/>
                <w:sz w:val="20"/>
                <w:szCs w:val="20"/>
                <w:lang w:eastAsia="zh-CN"/>
              </w:rPr>
            </w:pPr>
          </w:p>
        </w:tc>
      </w:tr>
      <w:tr w:rsidR="00DF74D7" w:rsidRPr="002D4ACF" w14:paraId="29138599" w14:textId="77777777" w:rsidTr="00DD2371">
        <w:trPr>
          <w:trHeight w:val="345"/>
        </w:trPr>
        <w:tc>
          <w:tcPr>
            <w:tcW w:w="1064" w:type="dxa"/>
            <w:noWrap/>
            <w:hideMark/>
          </w:tcPr>
          <w:p w14:paraId="267F9F30"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 </w:t>
            </w:r>
          </w:p>
        </w:tc>
        <w:tc>
          <w:tcPr>
            <w:tcW w:w="1090" w:type="dxa"/>
            <w:gridSpan w:val="3"/>
            <w:noWrap/>
            <w:hideMark/>
          </w:tcPr>
          <w:p w14:paraId="090AAFC9"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1.1.9.1.8.</w:t>
            </w:r>
          </w:p>
        </w:tc>
        <w:tc>
          <w:tcPr>
            <w:tcW w:w="5217" w:type="dxa"/>
            <w:hideMark/>
          </w:tcPr>
          <w:p w14:paraId="7A066019"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В пользу образовательных учреждений</w:t>
            </w:r>
            <w:r w:rsidRPr="002D4ACF">
              <w:rPr>
                <w:rFonts w:ascii="Tahoma" w:hAnsi="Tahoma" w:cs="Tahoma"/>
                <w:iCs/>
                <w:sz w:val="18"/>
                <w:szCs w:val="18"/>
                <w:vertAlign w:val="superscript"/>
              </w:rPr>
              <w:t>13</w:t>
            </w:r>
          </w:p>
        </w:tc>
        <w:tc>
          <w:tcPr>
            <w:tcW w:w="1305" w:type="dxa"/>
            <w:gridSpan w:val="2"/>
            <w:noWrap/>
            <w:hideMark/>
          </w:tcPr>
          <w:p w14:paraId="61A1941E"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0,8% от суммы перевода</w:t>
            </w:r>
          </w:p>
        </w:tc>
        <w:tc>
          <w:tcPr>
            <w:tcW w:w="1134" w:type="dxa"/>
            <w:gridSpan w:val="2"/>
            <w:noWrap/>
            <w:hideMark/>
          </w:tcPr>
          <w:p w14:paraId="0EBC389D"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100 руб.</w:t>
            </w:r>
          </w:p>
        </w:tc>
        <w:tc>
          <w:tcPr>
            <w:tcW w:w="1388" w:type="dxa"/>
            <w:gridSpan w:val="2"/>
            <w:noWrap/>
            <w:hideMark/>
          </w:tcPr>
          <w:p w14:paraId="65D4A039"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1000 руб.</w:t>
            </w:r>
          </w:p>
        </w:tc>
      </w:tr>
      <w:tr w:rsidR="00DF74D7" w:rsidRPr="002D4ACF" w14:paraId="11ED8D30" w14:textId="77777777" w:rsidTr="00DD2371">
        <w:trPr>
          <w:trHeight w:val="345"/>
        </w:trPr>
        <w:tc>
          <w:tcPr>
            <w:tcW w:w="1064" w:type="dxa"/>
            <w:noWrap/>
            <w:hideMark/>
          </w:tcPr>
          <w:p w14:paraId="6CF8FEB8"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 </w:t>
            </w:r>
          </w:p>
        </w:tc>
        <w:tc>
          <w:tcPr>
            <w:tcW w:w="1090" w:type="dxa"/>
            <w:gridSpan w:val="3"/>
            <w:noWrap/>
            <w:hideMark/>
          </w:tcPr>
          <w:p w14:paraId="2750C544"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1.1.9.1.9.</w:t>
            </w:r>
          </w:p>
        </w:tc>
        <w:tc>
          <w:tcPr>
            <w:tcW w:w="5217" w:type="dxa"/>
            <w:hideMark/>
          </w:tcPr>
          <w:p w14:paraId="60AC953F"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В пользу ООО «Капитал Надзор», "Столичное коллекторское агентство" в рамках договора цессии</w:t>
            </w:r>
          </w:p>
        </w:tc>
        <w:tc>
          <w:tcPr>
            <w:tcW w:w="1305" w:type="dxa"/>
            <w:gridSpan w:val="2"/>
            <w:noWrap/>
            <w:hideMark/>
          </w:tcPr>
          <w:p w14:paraId="57E68008"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1,5% от суммы перевода</w:t>
            </w:r>
          </w:p>
        </w:tc>
        <w:tc>
          <w:tcPr>
            <w:tcW w:w="1134" w:type="dxa"/>
            <w:gridSpan w:val="2"/>
            <w:noWrap/>
            <w:hideMark/>
          </w:tcPr>
          <w:p w14:paraId="40CA8D32"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50 руб.</w:t>
            </w:r>
          </w:p>
        </w:tc>
        <w:tc>
          <w:tcPr>
            <w:tcW w:w="1388" w:type="dxa"/>
            <w:gridSpan w:val="2"/>
            <w:noWrap/>
            <w:hideMark/>
          </w:tcPr>
          <w:p w14:paraId="35978C49" w14:textId="77777777" w:rsidR="00DF74D7" w:rsidRPr="002D4ACF" w:rsidRDefault="00DF74D7" w:rsidP="00DD2371">
            <w:pPr>
              <w:rPr>
                <w:rFonts w:ascii="Tahoma" w:hAnsi="Tahoma" w:cs="Tahoma"/>
                <w:sz w:val="20"/>
                <w:szCs w:val="20"/>
                <w:lang w:eastAsia="zh-CN"/>
              </w:rPr>
            </w:pPr>
          </w:p>
        </w:tc>
      </w:tr>
      <w:tr w:rsidR="00DF74D7" w:rsidRPr="002D4ACF" w14:paraId="3C38B86B" w14:textId="77777777" w:rsidTr="00DD2371">
        <w:trPr>
          <w:trHeight w:val="345"/>
        </w:trPr>
        <w:tc>
          <w:tcPr>
            <w:tcW w:w="1064" w:type="dxa"/>
            <w:noWrap/>
          </w:tcPr>
          <w:p w14:paraId="614E148C" w14:textId="77777777" w:rsidR="00DF74D7" w:rsidRPr="002D4ACF" w:rsidRDefault="00DF74D7" w:rsidP="00DD2371">
            <w:pPr>
              <w:rPr>
                <w:rFonts w:ascii="Tahoma" w:hAnsi="Tahoma" w:cs="Tahoma"/>
                <w:b/>
                <w:bCs/>
                <w:iCs/>
                <w:sz w:val="20"/>
                <w:szCs w:val="18"/>
              </w:rPr>
            </w:pPr>
          </w:p>
        </w:tc>
        <w:tc>
          <w:tcPr>
            <w:tcW w:w="1090" w:type="dxa"/>
            <w:gridSpan w:val="3"/>
            <w:noWrap/>
          </w:tcPr>
          <w:p w14:paraId="0B771BD9" w14:textId="77777777" w:rsidR="00DF74D7" w:rsidRPr="002D4ACF" w:rsidRDefault="00DF74D7" w:rsidP="00DD2371">
            <w:pPr>
              <w:jc w:val="both"/>
              <w:rPr>
                <w:rFonts w:ascii="Tahoma" w:hAnsi="Tahoma" w:cs="Tahoma"/>
                <w:iCs/>
                <w:sz w:val="18"/>
                <w:szCs w:val="18"/>
              </w:rPr>
            </w:pPr>
            <w:r w:rsidRPr="002D4ACF">
              <w:rPr>
                <w:rFonts w:ascii="Tahoma" w:hAnsi="Tahoma" w:cs="Tahoma"/>
                <w:sz w:val="18"/>
                <w:szCs w:val="18"/>
              </w:rPr>
              <w:t>1.1.9.1.10.</w:t>
            </w:r>
          </w:p>
        </w:tc>
        <w:tc>
          <w:tcPr>
            <w:tcW w:w="5217" w:type="dxa"/>
          </w:tcPr>
          <w:p w14:paraId="73741744" w14:textId="77777777" w:rsidR="00DF74D7" w:rsidRPr="002D4ACF" w:rsidRDefault="00DF74D7" w:rsidP="00DD2371">
            <w:pPr>
              <w:autoSpaceDE w:val="0"/>
              <w:autoSpaceDN w:val="0"/>
              <w:adjustRightInd w:val="0"/>
              <w:rPr>
                <w:rFonts w:ascii="Tahoma" w:eastAsia="Calibri" w:hAnsi="Tahoma" w:cs="Tahoma"/>
                <w:sz w:val="18"/>
                <w:szCs w:val="18"/>
              </w:rPr>
            </w:pPr>
            <w:r w:rsidRPr="002D4ACF">
              <w:rPr>
                <w:rFonts w:ascii="Tahoma" w:eastAsia="Calibri" w:hAnsi="Tahoma" w:cs="Tahoma"/>
                <w:sz w:val="18"/>
                <w:szCs w:val="18"/>
              </w:rPr>
              <w:t xml:space="preserve">Перевод денежных средств на текущий банковский счет заемщика, открытый в АО «Коммерческий банк Дельта Кредит» в счет обслуживания обязательств по уплате платежей заемщиком по кредиту, оформленному в вышеуказанном банке после «01» апреля 2019 года. </w:t>
            </w:r>
          </w:p>
          <w:p w14:paraId="47AD77D3" w14:textId="77777777" w:rsidR="00DF74D7" w:rsidRPr="002D4ACF" w:rsidRDefault="00DF74D7" w:rsidP="00DD2371">
            <w:pPr>
              <w:jc w:val="both"/>
              <w:rPr>
                <w:rFonts w:ascii="Tahoma" w:hAnsi="Tahoma" w:cs="Tahoma"/>
                <w:iCs/>
                <w:sz w:val="18"/>
                <w:szCs w:val="18"/>
              </w:rPr>
            </w:pPr>
            <w:r w:rsidRPr="002D4ACF">
              <w:rPr>
                <w:rFonts w:ascii="Tahoma" w:hAnsi="Tahoma" w:cs="Tahoma"/>
                <w:sz w:val="18"/>
                <w:szCs w:val="18"/>
              </w:rPr>
              <w:t>Перевод денежных средств на текущий банковский счет заемщика, открытый в АО «Банк ДОМ.РФ.» в счет обслуживания обязательств по уплате платежей заемщиком по кредиту, оформленному в вышеуказанном банке (без привязки к дате выдачи).</w:t>
            </w:r>
          </w:p>
        </w:tc>
        <w:tc>
          <w:tcPr>
            <w:tcW w:w="1305" w:type="dxa"/>
            <w:gridSpan w:val="2"/>
            <w:noWrap/>
          </w:tcPr>
          <w:p w14:paraId="64DAB7AF" w14:textId="77777777" w:rsidR="00DF74D7" w:rsidRPr="002D4ACF" w:rsidRDefault="00DF74D7" w:rsidP="00DD2371">
            <w:pPr>
              <w:jc w:val="center"/>
              <w:rPr>
                <w:rFonts w:ascii="Tahoma" w:hAnsi="Tahoma" w:cs="Tahoma"/>
                <w:iCs/>
                <w:sz w:val="18"/>
                <w:szCs w:val="18"/>
              </w:rPr>
            </w:pPr>
            <w:r w:rsidRPr="002D4ACF">
              <w:rPr>
                <w:rFonts w:ascii="Tahoma" w:hAnsi="Tahoma" w:cs="Tahoma"/>
                <w:sz w:val="18"/>
                <w:szCs w:val="18"/>
              </w:rPr>
              <w:t>110 рублей</w:t>
            </w:r>
          </w:p>
        </w:tc>
        <w:tc>
          <w:tcPr>
            <w:tcW w:w="1134" w:type="dxa"/>
            <w:gridSpan w:val="2"/>
            <w:noWrap/>
          </w:tcPr>
          <w:p w14:paraId="35C5B334" w14:textId="77777777" w:rsidR="00DF74D7" w:rsidRPr="002D4ACF" w:rsidRDefault="00DF74D7" w:rsidP="00DD2371">
            <w:pPr>
              <w:jc w:val="center"/>
              <w:rPr>
                <w:rFonts w:ascii="Tahoma" w:hAnsi="Tahoma" w:cs="Tahoma"/>
                <w:iCs/>
                <w:sz w:val="20"/>
                <w:szCs w:val="18"/>
              </w:rPr>
            </w:pPr>
          </w:p>
        </w:tc>
        <w:tc>
          <w:tcPr>
            <w:tcW w:w="1388" w:type="dxa"/>
            <w:gridSpan w:val="2"/>
            <w:noWrap/>
          </w:tcPr>
          <w:p w14:paraId="7C78AAAD" w14:textId="77777777" w:rsidR="00DF74D7" w:rsidRPr="002D4ACF" w:rsidRDefault="00DF74D7" w:rsidP="00DD2371">
            <w:pPr>
              <w:rPr>
                <w:rFonts w:ascii="Tahoma" w:hAnsi="Tahoma" w:cs="Tahoma"/>
                <w:sz w:val="20"/>
                <w:szCs w:val="20"/>
                <w:lang w:eastAsia="zh-CN"/>
              </w:rPr>
            </w:pPr>
          </w:p>
        </w:tc>
      </w:tr>
      <w:tr w:rsidR="00DF74D7" w:rsidRPr="002D4ACF" w14:paraId="0AC5DBBC" w14:textId="77777777" w:rsidTr="00DD2371">
        <w:trPr>
          <w:trHeight w:val="345"/>
        </w:trPr>
        <w:tc>
          <w:tcPr>
            <w:tcW w:w="1064" w:type="dxa"/>
            <w:noWrap/>
          </w:tcPr>
          <w:p w14:paraId="6707A73A" w14:textId="77777777" w:rsidR="00DF74D7" w:rsidRPr="002D4ACF" w:rsidRDefault="00DF74D7" w:rsidP="00DD2371">
            <w:pPr>
              <w:rPr>
                <w:rFonts w:ascii="Tahoma" w:hAnsi="Tahoma" w:cs="Tahoma"/>
                <w:b/>
                <w:bCs/>
                <w:iCs/>
                <w:sz w:val="20"/>
                <w:szCs w:val="18"/>
              </w:rPr>
            </w:pPr>
          </w:p>
        </w:tc>
        <w:tc>
          <w:tcPr>
            <w:tcW w:w="1090" w:type="dxa"/>
            <w:gridSpan w:val="3"/>
            <w:noWrap/>
          </w:tcPr>
          <w:p w14:paraId="2BA74B6A" w14:textId="77777777" w:rsidR="00DF74D7" w:rsidRPr="002D4ACF" w:rsidRDefault="00DF74D7" w:rsidP="00DD2371">
            <w:pPr>
              <w:jc w:val="both"/>
              <w:rPr>
                <w:rFonts w:ascii="Tahoma" w:hAnsi="Tahoma" w:cs="Tahoma"/>
                <w:sz w:val="20"/>
                <w:szCs w:val="18"/>
              </w:rPr>
            </w:pPr>
            <w:r w:rsidRPr="002D4ACF">
              <w:rPr>
                <w:rFonts w:ascii="Tahoma" w:hAnsi="Tahoma" w:cs="Tahoma"/>
                <w:sz w:val="18"/>
                <w:szCs w:val="18"/>
              </w:rPr>
              <w:t xml:space="preserve">1.1.9.1.11. </w:t>
            </w:r>
          </w:p>
        </w:tc>
        <w:tc>
          <w:tcPr>
            <w:tcW w:w="5217" w:type="dxa"/>
          </w:tcPr>
          <w:p w14:paraId="4C04F833" w14:textId="77777777" w:rsidR="00DF74D7" w:rsidRPr="002D4ACF" w:rsidRDefault="00DF74D7" w:rsidP="00DD2371">
            <w:pPr>
              <w:autoSpaceDE w:val="0"/>
              <w:autoSpaceDN w:val="0"/>
              <w:adjustRightInd w:val="0"/>
              <w:rPr>
                <w:rFonts w:ascii="Tahoma" w:eastAsia="Calibri" w:hAnsi="Tahoma" w:cs="Tahoma"/>
                <w:sz w:val="20"/>
                <w:szCs w:val="18"/>
                <w:lang w:eastAsia="en-US"/>
              </w:rPr>
            </w:pPr>
            <w:r w:rsidRPr="002D4ACF">
              <w:rPr>
                <w:rFonts w:ascii="Tahoma" w:eastAsia="Calibri" w:hAnsi="Tahoma" w:cs="Tahoma"/>
                <w:sz w:val="18"/>
                <w:szCs w:val="18"/>
              </w:rPr>
              <w:t>На счет эскроу, открытый в Банке/ Филиалах «Азиатско-Тихоокеанский Банк» (АО) для расчетов по договору участия в долевом строительстве в отношении многоквартирного дома и (или) иного объекта недвижимости</w:t>
            </w:r>
          </w:p>
        </w:tc>
        <w:tc>
          <w:tcPr>
            <w:tcW w:w="1305" w:type="dxa"/>
            <w:gridSpan w:val="2"/>
            <w:noWrap/>
          </w:tcPr>
          <w:p w14:paraId="75B29C6F" w14:textId="77777777" w:rsidR="00DF74D7" w:rsidRPr="002D4ACF" w:rsidRDefault="00DF74D7" w:rsidP="00DD2371">
            <w:pPr>
              <w:jc w:val="center"/>
              <w:rPr>
                <w:rFonts w:ascii="Tahoma" w:hAnsi="Tahoma" w:cs="Tahoma"/>
                <w:sz w:val="20"/>
                <w:szCs w:val="18"/>
              </w:rPr>
            </w:pPr>
            <w:r w:rsidRPr="002D4ACF">
              <w:rPr>
                <w:rFonts w:ascii="Tahoma" w:hAnsi="Tahoma" w:cs="Tahoma"/>
                <w:sz w:val="18"/>
                <w:szCs w:val="18"/>
              </w:rPr>
              <w:t>БЕСПЛАТНО</w:t>
            </w:r>
          </w:p>
        </w:tc>
        <w:tc>
          <w:tcPr>
            <w:tcW w:w="1134" w:type="dxa"/>
            <w:gridSpan w:val="2"/>
            <w:noWrap/>
          </w:tcPr>
          <w:p w14:paraId="60283B58" w14:textId="77777777" w:rsidR="00DF74D7" w:rsidRPr="002D4ACF" w:rsidRDefault="00DF74D7" w:rsidP="00DD2371">
            <w:pPr>
              <w:jc w:val="center"/>
              <w:rPr>
                <w:rFonts w:ascii="Tahoma" w:hAnsi="Tahoma" w:cs="Tahoma"/>
                <w:iCs/>
                <w:sz w:val="20"/>
                <w:szCs w:val="18"/>
              </w:rPr>
            </w:pPr>
          </w:p>
        </w:tc>
        <w:tc>
          <w:tcPr>
            <w:tcW w:w="1388" w:type="dxa"/>
            <w:gridSpan w:val="2"/>
            <w:noWrap/>
          </w:tcPr>
          <w:p w14:paraId="027983E7" w14:textId="77777777" w:rsidR="00DF74D7" w:rsidRPr="002D4ACF" w:rsidRDefault="00DF74D7" w:rsidP="00DD2371">
            <w:pPr>
              <w:rPr>
                <w:rFonts w:ascii="Tahoma" w:hAnsi="Tahoma" w:cs="Tahoma"/>
                <w:sz w:val="20"/>
                <w:szCs w:val="20"/>
                <w:lang w:eastAsia="zh-CN"/>
              </w:rPr>
            </w:pPr>
          </w:p>
        </w:tc>
      </w:tr>
      <w:tr w:rsidR="00DF74D7" w:rsidRPr="002D4ACF" w14:paraId="2EBC0452" w14:textId="77777777" w:rsidTr="00DD2371">
        <w:trPr>
          <w:trHeight w:val="345"/>
        </w:trPr>
        <w:tc>
          <w:tcPr>
            <w:tcW w:w="1064" w:type="dxa"/>
            <w:noWrap/>
          </w:tcPr>
          <w:p w14:paraId="638B7238" w14:textId="77777777" w:rsidR="00DF74D7" w:rsidRPr="002D4ACF" w:rsidRDefault="00DF74D7" w:rsidP="00DD2371">
            <w:pPr>
              <w:rPr>
                <w:rFonts w:ascii="Tahoma" w:hAnsi="Tahoma" w:cs="Tahoma"/>
                <w:b/>
                <w:bCs/>
                <w:iCs/>
                <w:sz w:val="20"/>
                <w:szCs w:val="18"/>
              </w:rPr>
            </w:pPr>
            <w:r w:rsidRPr="002D4ACF">
              <w:rPr>
                <w:rFonts w:ascii="Tahoma" w:hAnsi="Tahoma" w:cs="Tahoma"/>
                <w:b/>
                <w:bCs/>
                <w:iCs/>
                <w:sz w:val="18"/>
                <w:szCs w:val="18"/>
              </w:rPr>
              <w:t> </w:t>
            </w:r>
          </w:p>
        </w:tc>
        <w:tc>
          <w:tcPr>
            <w:tcW w:w="1090" w:type="dxa"/>
            <w:gridSpan w:val="3"/>
            <w:noWrap/>
          </w:tcPr>
          <w:p w14:paraId="77A9C4A5" w14:textId="77777777" w:rsidR="00DF74D7" w:rsidRPr="002D4ACF" w:rsidRDefault="00DF74D7" w:rsidP="00DD2371">
            <w:pPr>
              <w:jc w:val="both"/>
              <w:rPr>
                <w:rFonts w:ascii="Tahoma" w:hAnsi="Tahoma" w:cs="Tahoma"/>
                <w:sz w:val="18"/>
                <w:szCs w:val="18"/>
              </w:rPr>
            </w:pPr>
            <w:r w:rsidRPr="002D4ACF">
              <w:rPr>
                <w:rFonts w:ascii="Tahoma" w:hAnsi="Tahoma" w:cs="Tahoma"/>
                <w:iCs/>
                <w:sz w:val="18"/>
                <w:szCs w:val="18"/>
              </w:rPr>
              <w:t>1.1.9.1.12.</w:t>
            </w:r>
          </w:p>
        </w:tc>
        <w:tc>
          <w:tcPr>
            <w:tcW w:w="5217" w:type="dxa"/>
          </w:tcPr>
          <w:p w14:paraId="46E9D797" w14:textId="77777777" w:rsidR="00DF74D7" w:rsidRPr="002D4ACF" w:rsidRDefault="00DF74D7" w:rsidP="00DD2371">
            <w:pPr>
              <w:autoSpaceDE w:val="0"/>
              <w:autoSpaceDN w:val="0"/>
              <w:adjustRightInd w:val="0"/>
              <w:rPr>
                <w:rFonts w:ascii="Tahoma" w:eastAsia="Calibri" w:hAnsi="Tahoma" w:cs="Tahoma"/>
                <w:sz w:val="18"/>
                <w:szCs w:val="18"/>
                <w:lang w:eastAsia="en-US"/>
              </w:rPr>
            </w:pPr>
            <w:r w:rsidRPr="002D4ACF">
              <w:rPr>
                <w:rFonts w:ascii="Tahoma" w:eastAsia="Calibri" w:hAnsi="Tahoma" w:cs="Tahoma"/>
                <w:iCs/>
                <w:sz w:val="18"/>
                <w:szCs w:val="18"/>
              </w:rPr>
              <w:t xml:space="preserve"> В пользу физических и юридических лиц в другие банки</w:t>
            </w:r>
            <w:r w:rsidRPr="002D4ACF">
              <w:rPr>
                <w:rFonts w:ascii="Tahoma" w:eastAsia="Calibri" w:hAnsi="Tahoma" w:cs="Tahoma"/>
                <w:iCs/>
                <w:sz w:val="18"/>
                <w:szCs w:val="18"/>
                <w:vertAlign w:val="superscript"/>
              </w:rPr>
              <w:t xml:space="preserve"> </w:t>
            </w:r>
            <w:r w:rsidRPr="002D4ACF">
              <w:rPr>
                <w:rFonts w:ascii="Tahoma" w:eastAsia="Calibri" w:hAnsi="Tahoma" w:cs="Tahoma"/>
                <w:iCs/>
                <w:sz w:val="18"/>
                <w:szCs w:val="18"/>
              </w:rPr>
              <w:t>в рамках ТП «Рефинансирование» (ипотека), для г. Москвы, Московской области (Регион нахождения предмета ипотеки):</w:t>
            </w:r>
          </w:p>
        </w:tc>
        <w:tc>
          <w:tcPr>
            <w:tcW w:w="1305" w:type="dxa"/>
            <w:gridSpan w:val="2"/>
            <w:noWrap/>
          </w:tcPr>
          <w:p w14:paraId="14009A31" w14:textId="77777777" w:rsidR="00DF74D7" w:rsidRPr="002D4ACF" w:rsidRDefault="00DF74D7" w:rsidP="00DD2371">
            <w:pPr>
              <w:jc w:val="center"/>
              <w:rPr>
                <w:rFonts w:ascii="Tahoma" w:hAnsi="Tahoma" w:cs="Tahoma"/>
                <w:sz w:val="18"/>
                <w:szCs w:val="18"/>
              </w:rPr>
            </w:pPr>
            <w:r w:rsidRPr="002D4ACF">
              <w:rPr>
                <w:rFonts w:ascii="Tahoma" w:hAnsi="Tahoma" w:cs="Tahoma"/>
                <w:iCs/>
                <w:sz w:val="18"/>
                <w:szCs w:val="18"/>
              </w:rPr>
              <w:t>2% от суммы перевода</w:t>
            </w:r>
          </w:p>
        </w:tc>
        <w:tc>
          <w:tcPr>
            <w:tcW w:w="1134" w:type="dxa"/>
            <w:gridSpan w:val="2"/>
            <w:noWrap/>
          </w:tcPr>
          <w:p w14:paraId="76281793" w14:textId="77777777" w:rsidR="00DF74D7" w:rsidRPr="002D4ACF" w:rsidRDefault="00DF74D7" w:rsidP="00DD2371">
            <w:pPr>
              <w:jc w:val="center"/>
              <w:rPr>
                <w:rFonts w:ascii="Tahoma" w:hAnsi="Tahoma" w:cs="Tahoma"/>
                <w:iCs/>
                <w:sz w:val="20"/>
                <w:szCs w:val="18"/>
              </w:rPr>
            </w:pPr>
            <w:r w:rsidRPr="002D4ACF">
              <w:rPr>
                <w:rFonts w:ascii="Tahoma" w:hAnsi="Tahoma" w:cs="Tahoma"/>
                <w:iCs/>
                <w:sz w:val="18"/>
                <w:szCs w:val="18"/>
              </w:rPr>
              <w:t>100 руб.</w:t>
            </w:r>
          </w:p>
        </w:tc>
        <w:tc>
          <w:tcPr>
            <w:tcW w:w="1388" w:type="dxa"/>
            <w:gridSpan w:val="2"/>
            <w:noWrap/>
          </w:tcPr>
          <w:p w14:paraId="7B1D5111" w14:textId="77777777" w:rsidR="00DF74D7" w:rsidRPr="002D4ACF" w:rsidRDefault="00DF74D7" w:rsidP="00DD2371">
            <w:pPr>
              <w:rPr>
                <w:rFonts w:ascii="Tahoma" w:hAnsi="Tahoma" w:cs="Tahoma"/>
                <w:sz w:val="20"/>
                <w:szCs w:val="20"/>
                <w:lang w:eastAsia="zh-CN"/>
              </w:rPr>
            </w:pPr>
            <w:r w:rsidRPr="002D4ACF">
              <w:rPr>
                <w:rFonts w:ascii="Tahoma" w:hAnsi="Tahoma" w:cs="Tahoma"/>
                <w:iCs/>
                <w:sz w:val="18"/>
                <w:szCs w:val="18"/>
              </w:rPr>
              <w:t>2000 руб.</w:t>
            </w:r>
          </w:p>
        </w:tc>
      </w:tr>
      <w:tr w:rsidR="00DF74D7" w:rsidRPr="002D4ACF" w14:paraId="368F2C71" w14:textId="77777777" w:rsidTr="00DD2371">
        <w:trPr>
          <w:trHeight w:val="345"/>
        </w:trPr>
        <w:tc>
          <w:tcPr>
            <w:tcW w:w="1064" w:type="dxa"/>
            <w:noWrap/>
          </w:tcPr>
          <w:p w14:paraId="7DFE7D1A" w14:textId="77777777" w:rsidR="00DF74D7" w:rsidRPr="002D4ACF" w:rsidRDefault="00DF74D7" w:rsidP="00DD2371">
            <w:pPr>
              <w:rPr>
                <w:rFonts w:ascii="Tahoma" w:hAnsi="Tahoma" w:cs="Tahoma"/>
                <w:b/>
                <w:bCs/>
                <w:iCs/>
                <w:sz w:val="20"/>
                <w:szCs w:val="18"/>
              </w:rPr>
            </w:pPr>
            <w:r w:rsidRPr="002D4ACF">
              <w:rPr>
                <w:rFonts w:ascii="Tahoma" w:hAnsi="Tahoma" w:cs="Tahoma"/>
                <w:b/>
                <w:bCs/>
                <w:iCs/>
                <w:sz w:val="18"/>
                <w:szCs w:val="18"/>
              </w:rPr>
              <w:lastRenderedPageBreak/>
              <w:t> </w:t>
            </w:r>
          </w:p>
        </w:tc>
        <w:tc>
          <w:tcPr>
            <w:tcW w:w="1090" w:type="dxa"/>
            <w:gridSpan w:val="3"/>
            <w:noWrap/>
          </w:tcPr>
          <w:p w14:paraId="27123AF1" w14:textId="77777777" w:rsidR="00DF74D7" w:rsidRPr="002D4ACF" w:rsidRDefault="00DF74D7" w:rsidP="00DD2371">
            <w:pPr>
              <w:jc w:val="both"/>
              <w:rPr>
                <w:rFonts w:ascii="Tahoma" w:hAnsi="Tahoma" w:cs="Tahoma"/>
                <w:sz w:val="18"/>
                <w:szCs w:val="18"/>
              </w:rPr>
            </w:pPr>
            <w:r w:rsidRPr="002D4ACF">
              <w:rPr>
                <w:rFonts w:ascii="Tahoma" w:hAnsi="Tahoma" w:cs="Tahoma"/>
                <w:iCs/>
                <w:sz w:val="18"/>
                <w:szCs w:val="18"/>
              </w:rPr>
              <w:t>1.1.9.1.13.</w:t>
            </w:r>
          </w:p>
        </w:tc>
        <w:tc>
          <w:tcPr>
            <w:tcW w:w="5217" w:type="dxa"/>
          </w:tcPr>
          <w:p w14:paraId="016C09FE" w14:textId="77777777" w:rsidR="00DF74D7" w:rsidRPr="002D4ACF" w:rsidRDefault="00DF74D7" w:rsidP="00DD2371">
            <w:pPr>
              <w:autoSpaceDE w:val="0"/>
              <w:autoSpaceDN w:val="0"/>
              <w:adjustRightInd w:val="0"/>
              <w:rPr>
                <w:rFonts w:ascii="Tahoma" w:eastAsia="Calibri" w:hAnsi="Tahoma" w:cs="Tahoma"/>
                <w:sz w:val="18"/>
                <w:szCs w:val="18"/>
                <w:lang w:eastAsia="en-US"/>
              </w:rPr>
            </w:pPr>
            <w:r w:rsidRPr="002D4ACF">
              <w:rPr>
                <w:rFonts w:ascii="Tahoma" w:eastAsia="Calibri" w:hAnsi="Tahoma" w:cs="Tahoma"/>
                <w:iCs/>
                <w:sz w:val="18"/>
                <w:szCs w:val="18"/>
              </w:rPr>
              <w:t>В пользу физических и юридических лиц в другие банки в рамках ТП «Рефинансирование» (ипотека), для иных субъектов Российской Федерации (Регион нахождения предмета ипотеки):</w:t>
            </w:r>
          </w:p>
        </w:tc>
        <w:tc>
          <w:tcPr>
            <w:tcW w:w="1305" w:type="dxa"/>
            <w:gridSpan w:val="2"/>
            <w:noWrap/>
          </w:tcPr>
          <w:p w14:paraId="28C811F8" w14:textId="77777777" w:rsidR="00DF74D7" w:rsidRPr="002D4ACF" w:rsidRDefault="00DF74D7" w:rsidP="00DD2371">
            <w:pPr>
              <w:jc w:val="center"/>
              <w:rPr>
                <w:rFonts w:ascii="Tahoma" w:hAnsi="Tahoma" w:cs="Tahoma"/>
                <w:sz w:val="18"/>
                <w:szCs w:val="18"/>
              </w:rPr>
            </w:pPr>
            <w:r w:rsidRPr="002D4ACF">
              <w:rPr>
                <w:rFonts w:ascii="Tahoma" w:hAnsi="Tahoma" w:cs="Tahoma"/>
                <w:iCs/>
                <w:sz w:val="18"/>
                <w:szCs w:val="18"/>
              </w:rPr>
              <w:t>500 руб.</w:t>
            </w:r>
          </w:p>
        </w:tc>
        <w:tc>
          <w:tcPr>
            <w:tcW w:w="1134" w:type="dxa"/>
            <w:gridSpan w:val="2"/>
            <w:noWrap/>
          </w:tcPr>
          <w:p w14:paraId="1E660F85" w14:textId="77777777" w:rsidR="00DF74D7" w:rsidRPr="002D4ACF" w:rsidRDefault="00DF74D7" w:rsidP="00DD2371">
            <w:pPr>
              <w:jc w:val="center"/>
              <w:rPr>
                <w:rFonts w:ascii="Tahoma" w:hAnsi="Tahoma" w:cs="Tahoma"/>
                <w:iCs/>
                <w:sz w:val="20"/>
                <w:szCs w:val="18"/>
              </w:rPr>
            </w:pPr>
          </w:p>
        </w:tc>
        <w:tc>
          <w:tcPr>
            <w:tcW w:w="1388" w:type="dxa"/>
            <w:gridSpan w:val="2"/>
            <w:noWrap/>
          </w:tcPr>
          <w:p w14:paraId="4C6E17AD" w14:textId="77777777" w:rsidR="00DF74D7" w:rsidRPr="002D4ACF" w:rsidRDefault="00DF74D7" w:rsidP="00DD2371">
            <w:pPr>
              <w:rPr>
                <w:rFonts w:ascii="Tahoma" w:hAnsi="Tahoma" w:cs="Tahoma"/>
                <w:sz w:val="20"/>
                <w:szCs w:val="20"/>
                <w:lang w:eastAsia="zh-CN"/>
              </w:rPr>
            </w:pPr>
          </w:p>
        </w:tc>
      </w:tr>
      <w:tr w:rsidR="00DF74D7" w:rsidRPr="002D4ACF" w14:paraId="17E70F63" w14:textId="77777777" w:rsidTr="00DD2371">
        <w:trPr>
          <w:trHeight w:val="345"/>
        </w:trPr>
        <w:tc>
          <w:tcPr>
            <w:tcW w:w="1064" w:type="dxa"/>
            <w:noWrap/>
          </w:tcPr>
          <w:p w14:paraId="2DA8AC17" w14:textId="77777777" w:rsidR="00DF74D7" w:rsidRPr="002D4ACF" w:rsidRDefault="00DF74D7" w:rsidP="00DD2371">
            <w:pPr>
              <w:rPr>
                <w:rFonts w:ascii="Tahoma" w:hAnsi="Tahoma" w:cs="Tahoma"/>
                <w:b/>
                <w:bCs/>
                <w:iCs/>
                <w:sz w:val="18"/>
                <w:szCs w:val="18"/>
              </w:rPr>
            </w:pPr>
          </w:p>
        </w:tc>
        <w:tc>
          <w:tcPr>
            <w:tcW w:w="1090" w:type="dxa"/>
            <w:gridSpan w:val="3"/>
            <w:noWrap/>
          </w:tcPr>
          <w:p w14:paraId="3ADEBB4F"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1.1.9.1.14.</w:t>
            </w:r>
          </w:p>
        </w:tc>
        <w:tc>
          <w:tcPr>
            <w:tcW w:w="5217" w:type="dxa"/>
          </w:tcPr>
          <w:p w14:paraId="0DC48E15" w14:textId="77777777" w:rsidR="00DF74D7" w:rsidRPr="002D4ACF" w:rsidRDefault="00DF74D7" w:rsidP="00DD2371">
            <w:pPr>
              <w:autoSpaceDE w:val="0"/>
              <w:autoSpaceDN w:val="0"/>
              <w:adjustRightInd w:val="0"/>
              <w:rPr>
                <w:rFonts w:ascii="Tahoma" w:eastAsia="Calibri" w:hAnsi="Tahoma" w:cs="Tahoma"/>
                <w:iCs/>
                <w:sz w:val="18"/>
                <w:szCs w:val="18"/>
              </w:rPr>
            </w:pPr>
            <w:r w:rsidRPr="002D4ACF">
              <w:rPr>
                <w:rFonts w:ascii="Tahoma" w:eastAsia="Calibri" w:hAnsi="Tahoma" w:cs="Tahoma"/>
                <w:iCs/>
                <w:sz w:val="18"/>
                <w:szCs w:val="18"/>
              </w:rPr>
              <w:t>В пользу физических лиц, юридических лиц и индивидуальных предпринимателей, на счета, открытые в Банке/Филиалах «Азиатско-Тихоокеанский Банк» (АО) и в другие банки в рамках Тарифного плана «Потребительский кредит под залог транспортного средства»</w:t>
            </w:r>
          </w:p>
        </w:tc>
        <w:tc>
          <w:tcPr>
            <w:tcW w:w="1305" w:type="dxa"/>
            <w:gridSpan w:val="2"/>
            <w:noWrap/>
          </w:tcPr>
          <w:p w14:paraId="488B80F0" w14:textId="77777777" w:rsidR="00DF74D7" w:rsidRPr="002D4ACF" w:rsidRDefault="00DF74D7" w:rsidP="00DD2371">
            <w:pPr>
              <w:jc w:val="center"/>
              <w:rPr>
                <w:rFonts w:ascii="Tahoma" w:hAnsi="Tahoma" w:cs="Tahoma"/>
                <w:iCs/>
                <w:sz w:val="18"/>
                <w:szCs w:val="18"/>
              </w:rPr>
            </w:pPr>
            <w:r w:rsidRPr="002D4ACF">
              <w:rPr>
                <w:rFonts w:ascii="Tahoma" w:hAnsi="Tahoma" w:cs="Tahoma"/>
                <w:sz w:val="18"/>
                <w:szCs w:val="18"/>
              </w:rPr>
              <w:t>БЕСПЛАТНО</w:t>
            </w:r>
          </w:p>
        </w:tc>
        <w:tc>
          <w:tcPr>
            <w:tcW w:w="1134" w:type="dxa"/>
            <w:gridSpan w:val="2"/>
            <w:noWrap/>
          </w:tcPr>
          <w:p w14:paraId="2ADE51B4" w14:textId="77777777" w:rsidR="00DF74D7" w:rsidRPr="002D4ACF" w:rsidRDefault="00DF74D7" w:rsidP="00DD2371">
            <w:pPr>
              <w:jc w:val="center"/>
              <w:rPr>
                <w:rFonts w:ascii="Tahoma" w:hAnsi="Tahoma" w:cs="Tahoma"/>
                <w:iCs/>
                <w:sz w:val="20"/>
                <w:szCs w:val="18"/>
              </w:rPr>
            </w:pPr>
          </w:p>
        </w:tc>
        <w:tc>
          <w:tcPr>
            <w:tcW w:w="1388" w:type="dxa"/>
            <w:gridSpan w:val="2"/>
            <w:noWrap/>
          </w:tcPr>
          <w:p w14:paraId="2DF12A0D" w14:textId="77777777" w:rsidR="00DF74D7" w:rsidRPr="002D4ACF" w:rsidRDefault="00DF74D7" w:rsidP="00DD2371">
            <w:pPr>
              <w:rPr>
                <w:rFonts w:ascii="Tahoma" w:hAnsi="Tahoma" w:cs="Tahoma"/>
                <w:sz w:val="20"/>
                <w:szCs w:val="20"/>
                <w:lang w:eastAsia="zh-CN"/>
              </w:rPr>
            </w:pPr>
          </w:p>
        </w:tc>
      </w:tr>
      <w:tr w:rsidR="00DF74D7" w:rsidRPr="002D4ACF" w14:paraId="2F121D3F" w14:textId="77777777" w:rsidTr="00DD2371">
        <w:trPr>
          <w:trHeight w:val="345"/>
        </w:trPr>
        <w:tc>
          <w:tcPr>
            <w:tcW w:w="1064" w:type="dxa"/>
            <w:noWrap/>
          </w:tcPr>
          <w:p w14:paraId="16461A91" w14:textId="77777777" w:rsidR="00DF74D7" w:rsidRPr="002D4ACF" w:rsidRDefault="00DF74D7" w:rsidP="00DD2371">
            <w:pPr>
              <w:rPr>
                <w:rFonts w:ascii="Tahoma" w:hAnsi="Tahoma" w:cs="Tahoma"/>
                <w:b/>
                <w:bCs/>
                <w:iCs/>
                <w:sz w:val="18"/>
                <w:szCs w:val="18"/>
              </w:rPr>
            </w:pPr>
          </w:p>
        </w:tc>
        <w:tc>
          <w:tcPr>
            <w:tcW w:w="1090" w:type="dxa"/>
            <w:gridSpan w:val="3"/>
            <w:noWrap/>
          </w:tcPr>
          <w:p w14:paraId="1A75D8BC"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1.1.9.1.15.</w:t>
            </w:r>
          </w:p>
        </w:tc>
        <w:tc>
          <w:tcPr>
            <w:tcW w:w="5217" w:type="dxa"/>
          </w:tcPr>
          <w:p w14:paraId="360876A5" w14:textId="77777777" w:rsidR="00DF74D7" w:rsidRPr="002D4ACF" w:rsidRDefault="00DF74D7" w:rsidP="00DD2371">
            <w:pPr>
              <w:autoSpaceDE w:val="0"/>
              <w:autoSpaceDN w:val="0"/>
              <w:adjustRightInd w:val="0"/>
              <w:rPr>
                <w:rFonts w:ascii="Tahoma" w:eastAsia="Calibri" w:hAnsi="Tahoma" w:cs="Tahoma"/>
                <w:iCs/>
                <w:sz w:val="18"/>
                <w:szCs w:val="18"/>
              </w:rPr>
            </w:pPr>
            <w:r w:rsidRPr="002D4ACF">
              <w:rPr>
                <w:rFonts w:ascii="Tahoma" w:eastAsia="Calibri" w:hAnsi="Tahoma" w:cs="Tahoma"/>
                <w:iCs/>
                <w:sz w:val="18"/>
                <w:szCs w:val="18"/>
              </w:rPr>
              <w:t>В пользу юридических лиц, включенных в реестр социально ориентированных некоммерческих организаций (Реестр формируется в соответствии с постановлением Правительства РФ от 30.07.2021 № 1290 «О реестре социально ориентированных некоммерческих организаций»)</w:t>
            </w:r>
          </w:p>
        </w:tc>
        <w:tc>
          <w:tcPr>
            <w:tcW w:w="1305" w:type="dxa"/>
            <w:gridSpan w:val="2"/>
            <w:noWrap/>
          </w:tcPr>
          <w:p w14:paraId="7DBC6351" w14:textId="77777777" w:rsidR="00DF74D7" w:rsidRPr="002D4ACF" w:rsidRDefault="00DF74D7" w:rsidP="00DD2371">
            <w:pPr>
              <w:jc w:val="center"/>
              <w:rPr>
                <w:rFonts w:ascii="Tahoma" w:hAnsi="Tahoma" w:cs="Tahoma"/>
                <w:sz w:val="18"/>
                <w:szCs w:val="18"/>
              </w:rPr>
            </w:pPr>
            <w:r w:rsidRPr="002D4ACF">
              <w:rPr>
                <w:rFonts w:ascii="Tahoma" w:hAnsi="Tahoma" w:cs="Tahoma"/>
                <w:iCs/>
                <w:sz w:val="18"/>
                <w:szCs w:val="18"/>
              </w:rPr>
              <w:t>1% от суммы перевода</w:t>
            </w:r>
          </w:p>
        </w:tc>
        <w:tc>
          <w:tcPr>
            <w:tcW w:w="1134" w:type="dxa"/>
            <w:gridSpan w:val="2"/>
            <w:noWrap/>
          </w:tcPr>
          <w:p w14:paraId="3F3B104A" w14:textId="77777777" w:rsidR="00DF74D7" w:rsidRPr="002D4ACF" w:rsidRDefault="00DF74D7" w:rsidP="00DD2371">
            <w:pPr>
              <w:jc w:val="center"/>
              <w:rPr>
                <w:rFonts w:ascii="Tahoma" w:hAnsi="Tahoma" w:cs="Tahoma"/>
                <w:iCs/>
                <w:sz w:val="20"/>
                <w:szCs w:val="18"/>
              </w:rPr>
            </w:pPr>
            <w:r w:rsidRPr="002D4ACF">
              <w:rPr>
                <w:rFonts w:ascii="Tahoma" w:hAnsi="Tahoma" w:cs="Tahoma"/>
                <w:iCs/>
                <w:sz w:val="18"/>
                <w:szCs w:val="18"/>
              </w:rPr>
              <w:t>6</w:t>
            </w:r>
            <w:r w:rsidRPr="002D4ACF">
              <w:rPr>
                <w:rFonts w:ascii="Tahoma" w:hAnsi="Tahoma" w:cs="Tahoma"/>
                <w:iCs/>
                <w:sz w:val="18"/>
                <w:szCs w:val="18"/>
                <w:lang w:val="en-US"/>
              </w:rPr>
              <w:t>0</w:t>
            </w:r>
            <w:r w:rsidRPr="002D4ACF">
              <w:rPr>
                <w:rFonts w:ascii="Tahoma" w:hAnsi="Tahoma" w:cs="Tahoma"/>
                <w:iCs/>
                <w:sz w:val="18"/>
                <w:szCs w:val="18"/>
              </w:rPr>
              <w:t xml:space="preserve"> руб.</w:t>
            </w:r>
          </w:p>
        </w:tc>
        <w:tc>
          <w:tcPr>
            <w:tcW w:w="1388" w:type="dxa"/>
            <w:gridSpan w:val="2"/>
            <w:noWrap/>
          </w:tcPr>
          <w:p w14:paraId="57ECB615" w14:textId="77777777" w:rsidR="00DF74D7" w:rsidRPr="002D4ACF" w:rsidRDefault="00DF74D7" w:rsidP="00DD2371">
            <w:pPr>
              <w:rPr>
                <w:rFonts w:ascii="Tahoma" w:hAnsi="Tahoma" w:cs="Tahoma"/>
                <w:sz w:val="20"/>
                <w:szCs w:val="20"/>
                <w:lang w:eastAsia="zh-CN"/>
              </w:rPr>
            </w:pPr>
            <w:r w:rsidRPr="002D4ACF">
              <w:rPr>
                <w:rFonts w:ascii="Tahoma" w:hAnsi="Tahoma" w:cs="Tahoma"/>
                <w:iCs/>
                <w:sz w:val="18"/>
                <w:szCs w:val="18"/>
              </w:rPr>
              <w:t>1 5</w:t>
            </w:r>
            <w:r w:rsidRPr="002D4ACF">
              <w:rPr>
                <w:rFonts w:ascii="Tahoma" w:hAnsi="Tahoma" w:cs="Tahoma"/>
                <w:iCs/>
                <w:sz w:val="18"/>
                <w:szCs w:val="18"/>
                <w:lang w:val="en-US"/>
              </w:rPr>
              <w:t>00</w:t>
            </w:r>
            <w:r w:rsidRPr="002D4ACF">
              <w:rPr>
                <w:rFonts w:ascii="Tahoma" w:hAnsi="Tahoma" w:cs="Tahoma"/>
                <w:iCs/>
                <w:sz w:val="18"/>
                <w:szCs w:val="18"/>
              </w:rPr>
              <w:t xml:space="preserve"> руб.</w:t>
            </w:r>
          </w:p>
        </w:tc>
      </w:tr>
      <w:tr w:rsidR="002A45C6" w:rsidRPr="002D4ACF" w14:paraId="403D630C" w14:textId="77777777" w:rsidTr="00DD2371">
        <w:trPr>
          <w:trHeight w:val="345"/>
        </w:trPr>
        <w:tc>
          <w:tcPr>
            <w:tcW w:w="1064" w:type="dxa"/>
            <w:noWrap/>
          </w:tcPr>
          <w:p w14:paraId="03E95436" w14:textId="77777777" w:rsidR="002A45C6" w:rsidRPr="002D4ACF" w:rsidRDefault="002A45C6" w:rsidP="002A45C6">
            <w:pPr>
              <w:rPr>
                <w:rFonts w:ascii="Tahoma" w:hAnsi="Tahoma" w:cs="Tahoma"/>
                <w:b/>
                <w:bCs/>
                <w:iCs/>
                <w:sz w:val="18"/>
                <w:szCs w:val="18"/>
              </w:rPr>
            </w:pPr>
          </w:p>
        </w:tc>
        <w:tc>
          <w:tcPr>
            <w:tcW w:w="1090" w:type="dxa"/>
            <w:gridSpan w:val="3"/>
            <w:noWrap/>
          </w:tcPr>
          <w:p w14:paraId="2950595C" w14:textId="6E856F14" w:rsidR="002A45C6" w:rsidRPr="002D4ACF" w:rsidRDefault="002A45C6" w:rsidP="002A45C6">
            <w:pPr>
              <w:jc w:val="both"/>
              <w:rPr>
                <w:rFonts w:ascii="Tahoma" w:hAnsi="Tahoma" w:cs="Tahoma"/>
                <w:iCs/>
                <w:sz w:val="18"/>
                <w:szCs w:val="18"/>
              </w:rPr>
            </w:pPr>
            <w:r>
              <w:rPr>
                <w:rFonts w:ascii="Tahoma" w:hAnsi="Tahoma" w:cs="Tahoma"/>
                <w:iCs/>
                <w:sz w:val="18"/>
                <w:szCs w:val="18"/>
              </w:rPr>
              <w:t>1.1.9.1.16</w:t>
            </w:r>
            <w:r w:rsidRPr="002D4ACF">
              <w:rPr>
                <w:rFonts w:ascii="Tahoma" w:hAnsi="Tahoma" w:cs="Tahoma"/>
                <w:iCs/>
                <w:sz w:val="18"/>
                <w:szCs w:val="18"/>
              </w:rPr>
              <w:t>.</w:t>
            </w:r>
          </w:p>
        </w:tc>
        <w:tc>
          <w:tcPr>
            <w:tcW w:w="5217" w:type="dxa"/>
          </w:tcPr>
          <w:p w14:paraId="0A80F72C" w14:textId="1003334D" w:rsidR="002A45C6" w:rsidRPr="002D4ACF" w:rsidRDefault="002A45C6" w:rsidP="002A45C6">
            <w:pPr>
              <w:autoSpaceDE w:val="0"/>
              <w:autoSpaceDN w:val="0"/>
              <w:adjustRightInd w:val="0"/>
              <w:rPr>
                <w:rFonts w:ascii="Tahoma" w:eastAsia="Calibri" w:hAnsi="Tahoma" w:cs="Tahoma"/>
                <w:iCs/>
                <w:sz w:val="18"/>
                <w:szCs w:val="18"/>
              </w:rPr>
            </w:pPr>
            <w:r>
              <w:rPr>
                <w:rFonts w:ascii="Tahoma" w:eastAsia="Calibri" w:hAnsi="Tahoma" w:cs="Tahoma"/>
                <w:iCs/>
                <w:sz w:val="18"/>
                <w:szCs w:val="18"/>
              </w:rPr>
              <w:t>На счета получателей, обслуживаемые иностранным Банком, через корреспондентский счет, открытый иностранным Банком в Банке/Филиалах «Азиатско-Тихоокеанский Банк» (АО) или в другой кредитной организации**</w:t>
            </w:r>
          </w:p>
        </w:tc>
        <w:tc>
          <w:tcPr>
            <w:tcW w:w="1305" w:type="dxa"/>
            <w:gridSpan w:val="2"/>
            <w:noWrap/>
          </w:tcPr>
          <w:p w14:paraId="109717E2" w14:textId="65D3CD23" w:rsidR="002A45C6" w:rsidRPr="002D4ACF" w:rsidRDefault="002A45C6" w:rsidP="002A45C6">
            <w:pPr>
              <w:jc w:val="center"/>
              <w:rPr>
                <w:rFonts w:ascii="Tahoma" w:hAnsi="Tahoma" w:cs="Tahoma"/>
                <w:iCs/>
                <w:sz w:val="18"/>
                <w:szCs w:val="18"/>
              </w:rPr>
            </w:pPr>
            <w:r>
              <w:rPr>
                <w:rFonts w:ascii="Tahoma" w:hAnsi="Tahoma" w:cs="Tahoma"/>
                <w:iCs/>
                <w:sz w:val="18"/>
                <w:szCs w:val="18"/>
              </w:rPr>
              <w:t>0,5</w:t>
            </w:r>
            <w:r w:rsidRPr="002D4ACF">
              <w:rPr>
                <w:rFonts w:ascii="Tahoma" w:hAnsi="Tahoma" w:cs="Tahoma"/>
                <w:iCs/>
                <w:sz w:val="18"/>
                <w:szCs w:val="18"/>
              </w:rPr>
              <w:t>% от суммы перевода</w:t>
            </w:r>
          </w:p>
        </w:tc>
        <w:tc>
          <w:tcPr>
            <w:tcW w:w="1134" w:type="dxa"/>
            <w:gridSpan w:val="2"/>
            <w:noWrap/>
          </w:tcPr>
          <w:p w14:paraId="0F7C0079" w14:textId="0971B273" w:rsidR="002A45C6" w:rsidRPr="002D4ACF" w:rsidRDefault="002A45C6" w:rsidP="002A45C6">
            <w:pPr>
              <w:jc w:val="center"/>
              <w:rPr>
                <w:rFonts w:ascii="Tahoma" w:hAnsi="Tahoma" w:cs="Tahoma"/>
                <w:iCs/>
                <w:sz w:val="18"/>
                <w:szCs w:val="18"/>
              </w:rPr>
            </w:pPr>
            <w:r>
              <w:rPr>
                <w:rFonts w:ascii="Tahoma" w:hAnsi="Tahoma" w:cs="Tahoma"/>
                <w:caps/>
                <w:sz w:val="18"/>
                <w:szCs w:val="18"/>
                <w:lang w:val="en-US"/>
              </w:rPr>
              <w:t xml:space="preserve">3 000 </w:t>
            </w:r>
            <w:r>
              <w:rPr>
                <w:rFonts w:ascii="Tahoma" w:hAnsi="Tahoma" w:cs="Tahoma"/>
                <w:caps/>
                <w:sz w:val="18"/>
                <w:szCs w:val="18"/>
              </w:rPr>
              <w:t>руб.</w:t>
            </w:r>
          </w:p>
        </w:tc>
        <w:tc>
          <w:tcPr>
            <w:tcW w:w="1388" w:type="dxa"/>
            <w:gridSpan w:val="2"/>
            <w:noWrap/>
          </w:tcPr>
          <w:p w14:paraId="232AE91B" w14:textId="77777777" w:rsidR="002A45C6" w:rsidRPr="002D4ACF" w:rsidRDefault="002A45C6" w:rsidP="002A45C6">
            <w:pPr>
              <w:rPr>
                <w:rFonts w:ascii="Tahoma" w:hAnsi="Tahoma" w:cs="Tahoma"/>
                <w:iCs/>
                <w:sz w:val="18"/>
                <w:szCs w:val="18"/>
              </w:rPr>
            </w:pPr>
          </w:p>
        </w:tc>
      </w:tr>
      <w:tr w:rsidR="002A45C6" w:rsidRPr="002D4ACF" w14:paraId="3FB717FB" w14:textId="77777777" w:rsidTr="00DD2371">
        <w:trPr>
          <w:trHeight w:val="345"/>
        </w:trPr>
        <w:tc>
          <w:tcPr>
            <w:tcW w:w="1064" w:type="dxa"/>
            <w:noWrap/>
          </w:tcPr>
          <w:p w14:paraId="11F9BDF5" w14:textId="77777777" w:rsidR="002A45C6" w:rsidRPr="002D4ACF" w:rsidRDefault="002A45C6" w:rsidP="002A45C6">
            <w:pPr>
              <w:rPr>
                <w:rFonts w:ascii="Tahoma" w:hAnsi="Tahoma" w:cs="Tahoma"/>
                <w:b/>
                <w:bCs/>
                <w:iCs/>
                <w:sz w:val="18"/>
                <w:szCs w:val="18"/>
              </w:rPr>
            </w:pPr>
          </w:p>
        </w:tc>
        <w:tc>
          <w:tcPr>
            <w:tcW w:w="1090" w:type="dxa"/>
            <w:gridSpan w:val="3"/>
            <w:noWrap/>
          </w:tcPr>
          <w:p w14:paraId="34F90B63" w14:textId="69D7AD7B" w:rsidR="002A45C6" w:rsidRPr="002D4ACF" w:rsidRDefault="002A45C6" w:rsidP="002A45C6">
            <w:pPr>
              <w:jc w:val="both"/>
              <w:rPr>
                <w:rFonts w:ascii="Tahoma" w:hAnsi="Tahoma" w:cs="Tahoma"/>
                <w:iCs/>
                <w:sz w:val="18"/>
                <w:szCs w:val="18"/>
              </w:rPr>
            </w:pPr>
            <w:r>
              <w:rPr>
                <w:rFonts w:ascii="Tahoma" w:hAnsi="Tahoma" w:cs="Tahoma"/>
                <w:iCs/>
                <w:sz w:val="18"/>
                <w:szCs w:val="18"/>
              </w:rPr>
              <w:t>1.1.9.1.17</w:t>
            </w:r>
            <w:r w:rsidRPr="002D4ACF">
              <w:rPr>
                <w:rFonts w:ascii="Tahoma" w:hAnsi="Tahoma" w:cs="Tahoma"/>
                <w:iCs/>
                <w:sz w:val="18"/>
                <w:szCs w:val="18"/>
              </w:rPr>
              <w:t>.</w:t>
            </w:r>
          </w:p>
        </w:tc>
        <w:tc>
          <w:tcPr>
            <w:tcW w:w="5217" w:type="dxa"/>
          </w:tcPr>
          <w:p w14:paraId="5136B552" w14:textId="1227415F" w:rsidR="002A45C6" w:rsidRPr="002D4ACF" w:rsidRDefault="002A45C6" w:rsidP="002A45C6">
            <w:pPr>
              <w:autoSpaceDE w:val="0"/>
              <w:autoSpaceDN w:val="0"/>
              <w:adjustRightInd w:val="0"/>
              <w:rPr>
                <w:rFonts w:ascii="Tahoma" w:eastAsia="Calibri" w:hAnsi="Tahoma" w:cs="Tahoma"/>
                <w:iCs/>
                <w:sz w:val="18"/>
                <w:szCs w:val="18"/>
              </w:rPr>
            </w:pPr>
            <w:r w:rsidRPr="007A5AC6">
              <w:rPr>
                <w:rFonts w:ascii="Tahoma" w:hAnsi="Tahoma" w:cs="Tahoma"/>
                <w:sz w:val="18"/>
                <w:szCs w:val="18"/>
              </w:rPr>
              <w:t>С целью перечисления платы за жилое помещение, коммунальные услуги, пеней за несвоевременное и (или) неполное внесение платы за жилое помещение и коммунальные услуги</w:t>
            </w:r>
            <w:r>
              <w:rPr>
                <w:rFonts w:ascii="Tahoma" w:hAnsi="Tahoma" w:cs="Tahoma"/>
                <w:sz w:val="18"/>
                <w:szCs w:val="18"/>
              </w:rPr>
              <w:t>***</w:t>
            </w:r>
          </w:p>
        </w:tc>
        <w:tc>
          <w:tcPr>
            <w:tcW w:w="1305" w:type="dxa"/>
            <w:gridSpan w:val="2"/>
            <w:noWrap/>
          </w:tcPr>
          <w:p w14:paraId="3AD6FB42" w14:textId="07038C64" w:rsidR="002A45C6" w:rsidRPr="002D4ACF" w:rsidRDefault="002A45C6" w:rsidP="002A45C6">
            <w:pPr>
              <w:jc w:val="center"/>
              <w:rPr>
                <w:rFonts w:ascii="Tahoma" w:hAnsi="Tahoma" w:cs="Tahoma"/>
                <w:iCs/>
                <w:sz w:val="18"/>
                <w:szCs w:val="18"/>
              </w:rPr>
            </w:pPr>
            <w:r w:rsidRPr="002D4ACF">
              <w:rPr>
                <w:rFonts w:ascii="Tahoma" w:hAnsi="Tahoma" w:cs="Tahoma"/>
                <w:sz w:val="18"/>
                <w:szCs w:val="18"/>
              </w:rPr>
              <w:t>БЕСПЛАТНО</w:t>
            </w:r>
          </w:p>
        </w:tc>
        <w:tc>
          <w:tcPr>
            <w:tcW w:w="1134" w:type="dxa"/>
            <w:gridSpan w:val="2"/>
            <w:noWrap/>
          </w:tcPr>
          <w:p w14:paraId="6471DF1A" w14:textId="77777777" w:rsidR="002A45C6" w:rsidRPr="002D4ACF" w:rsidRDefault="002A45C6" w:rsidP="002A45C6">
            <w:pPr>
              <w:jc w:val="center"/>
              <w:rPr>
                <w:rFonts w:ascii="Tahoma" w:hAnsi="Tahoma" w:cs="Tahoma"/>
                <w:iCs/>
                <w:sz w:val="18"/>
                <w:szCs w:val="18"/>
              </w:rPr>
            </w:pPr>
          </w:p>
        </w:tc>
        <w:tc>
          <w:tcPr>
            <w:tcW w:w="1388" w:type="dxa"/>
            <w:gridSpan w:val="2"/>
            <w:noWrap/>
          </w:tcPr>
          <w:p w14:paraId="7F88D743" w14:textId="77777777" w:rsidR="002A45C6" w:rsidRPr="002D4ACF" w:rsidRDefault="002A45C6" w:rsidP="002A45C6">
            <w:pPr>
              <w:rPr>
                <w:rFonts w:ascii="Tahoma" w:hAnsi="Tahoma" w:cs="Tahoma"/>
                <w:iCs/>
                <w:sz w:val="18"/>
                <w:szCs w:val="18"/>
              </w:rPr>
            </w:pPr>
          </w:p>
        </w:tc>
      </w:tr>
      <w:tr w:rsidR="00DF74D7" w:rsidRPr="002D4ACF" w14:paraId="60587959" w14:textId="77777777" w:rsidTr="00DD2371">
        <w:trPr>
          <w:trHeight w:val="157"/>
        </w:trPr>
        <w:tc>
          <w:tcPr>
            <w:tcW w:w="11198" w:type="dxa"/>
            <w:gridSpan w:val="11"/>
          </w:tcPr>
          <w:p w14:paraId="64F8B6A7" w14:textId="77777777" w:rsidR="00DF74D7" w:rsidRPr="002D4ACF" w:rsidRDefault="00DF74D7" w:rsidP="00DD2371">
            <w:pPr>
              <w:jc w:val="both"/>
              <w:rPr>
                <w:rFonts w:ascii="Tahoma" w:hAnsi="Tahoma" w:cs="Tahoma"/>
                <w:sz w:val="14"/>
                <w:szCs w:val="14"/>
              </w:rPr>
            </w:pPr>
            <w:r w:rsidRPr="002D4ACF">
              <w:rPr>
                <w:rFonts w:ascii="Tahoma" w:hAnsi="Tahoma" w:cs="Tahoma"/>
                <w:sz w:val="14"/>
                <w:szCs w:val="14"/>
              </w:rPr>
              <w:t>*С 01.03.2023 комиссия не взимается при совершении перевода денежных средств со счета физического лица, открытому военнослужащему, на счет физического лица, открытому члену семьи военнослужащего. Под военнослужащими и членами их семей понимаются следующие категории клиентов:</w:t>
            </w:r>
          </w:p>
          <w:p w14:paraId="34840A6C" w14:textId="77777777" w:rsidR="00DF74D7" w:rsidRPr="002D4ACF" w:rsidRDefault="00DF74D7" w:rsidP="00DD2371">
            <w:pPr>
              <w:jc w:val="both"/>
              <w:rPr>
                <w:rFonts w:ascii="Tahoma" w:hAnsi="Tahoma" w:cs="Tahoma"/>
                <w:sz w:val="14"/>
                <w:szCs w:val="14"/>
              </w:rPr>
            </w:pPr>
            <w:r w:rsidRPr="002D4ACF">
              <w:rPr>
                <w:rFonts w:ascii="Tahoma" w:hAnsi="Tahoma" w:cs="Tahoma"/>
                <w:sz w:val="14"/>
                <w:szCs w:val="14"/>
              </w:rPr>
              <w:t xml:space="preserve">1) лицо (в том числе индивидуальный предприниматель), призванное на военную службу по мобилизации в Вооруженные Силы Российской Федерации; </w:t>
            </w:r>
          </w:p>
          <w:p w14:paraId="48909E56" w14:textId="77777777" w:rsidR="00DF74D7" w:rsidRPr="002D4ACF" w:rsidRDefault="00DF74D7" w:rsidP="00DD2371">
            <w:pPr>
              <w:jc w:val="both"/>
              <w:rPr>
                <w:rFonts w:ascii="Tahoma" w:hAnsi="Tahoma" w:cs="Tahoma"/>
                <w:sz w:val="14"/>
                <w:szCs w:val="14"/>
              </w:rPr>
            </w:pPr>
            <w:r w:rsidRPr="002D4ACF">
              <w:rPr>
                <w:rFonts w:ascii="Tahoma" w:hAnsi="Tahoma" w:cs="Tahoma"/>
                <w:sz w:val="14"/>
                <w:szCs w:val="14"/>
              </w:rPr>
              <w:t>2) лицо, проходящее военную службу в Вооруженных Силах Российской Федерации по контракту, или лицо, находящееся на военной службе в войсках национальной гвардии Российской Федерации, в воинских формированиях и органах, указанных в пункте 6 статьи 1 Федерального закона от 31 мая 1996 года № 61-ФЗ «Об обороне», при условии его участия в специальной военной операции;</w:t>
            </w:r>
          </w:p>
          <w:p w14:paraId="6F171F8F" w14:textId="77777777" w:rsidR="00DF74D7" w:rsidRPr="002D4ACF" w:rsidRDefault="00DF74D7" w:rsidP="00DD2371">
            <w:pPr>
              <w:jc w:val="both"/>
              <w:rPr>
                <w:rFonts w:ascii="Tahoma" w:hAnsi="Tahoma" w:cs="Tahoma"/>
                <w:sz w:val="14"/>
                <w:szCs w:val="14"/>
              </w:rPr>
            </w:pPr>
            <w:r w:rsidRPr="002D4ACF">
              <w:rPr>
                <w:rFonts w:ascii="Tahoma" w:hAnsi="Tahoma" w:cs="Tahoma"/>
                <w:sz w:val="14"/>
                <w:szCs w:val="14"/>
              </w:rPr>
              <w:t xml:space="preserve">3) лицо (в том числе индивидуальный предприниматель), заключившее контракт о добровольном содействии в выполнении задач, возложенных на Вооруженные Силы Российской Федерации; </w:t>
            </w:r>
          </w:p>
          <w:p w14:paraId="65229461" w14:textId="77777777" w:rsidR="00DF74D7" w:rsidRPr="002D4ACF" w:rsidRDefault="00DF74D7" w:rsidP="00DD2371">
            <w:pPr>
              <w:jc w:val="both"/>
              <w:rPr>
                <w:rFonts w:ascii="Tahoma" w:hAnsi="Tahoma" w:cs="Tahoma"/>
                <w:sz w:val="14"/>
                <w:szCs w:val="14"/>
              </w:rPr>
            </w:pPr>
            <w:r w:rsidRPr="002D4ACF">
              <w:rPr>
                <w:rFonts w:ascii="Tahoma" w:hAnsi="Tahoma" w:cs="Tahoma"/>
                <w:sz w:val="14"/>
                <w:szCs w:val="14"/>
              </w:rPr>
              <w:t xml:space="preserve">4) лицо, проходящее службу в управлениях (отделах, службах, отрядах) федерального органа исполнительной власти в области обеспечения безопасности по пограничной службе (в пограничных органах) на территории Российской Федерации, обеспечивающее проведение специальной военной операции; </w:t>
            </w:r>
          </w:p>
          <w:p w14:paraId="66C06045" w14:textId="77777777" w:rsidR="00DF74D7" w:rsidRDefault="00DF74D7" w:rsidP="00DD2371">
            <w:pPr>
              <w:jc w:val="both"/>
              <w:rPr>
                <w:rFonts w:ascii="Tahoma" w:hAnsi="Tahoma" w:cs="Tahoma"/>
                <w:sz w:val="14"/>
                <w:szCs w:val="14"/>
              </w:rPr>
            </w:pPr>
            <w:r w:rsidRPr="002D4ACF">
              <w:rPr>
                <w:rFonts w:ascii="Tahoma" w:hAnsi="Tahoma" w:cs="Tahoma"/>
                <w:sz w:val="14"/>
                <w:szCs w:val="14"/>
              </w:rPr>
              <w:t>5) члены семьи лиц, указанных в подпунктах 1–4 настоящего пункта, определенные в соответствии с пунктом 5 статьи 2 Федерального закона от 27 мая 1998 года № 76-ФЗ «О статусе военнослужащих».</w:t>
            </w:r>
          </w:p>
          <w:p w14:paraId="09639911" w14:textId="77777777" w:rsidR="0034355C" w:rsidRDefault="0034355C" w:rsidP="0034355C">
            <w:pPr>
              <w:jc w:val="both"/>
              <w:rPr>
                <w:rFonts w:ascii="Tahoma" w:hAnsi="Tahoma" w:cs="Tahoma"/>
                <w:sz w:val="14"/>
                <w:szCs w:val="14"/>
              </w:rPr>
            </w:pPr>
            <w:r>
              <w:rPr>
                <w:rFonts w:ascii="Tahoma" w:hAnsi="Tahoma" w:cs="Tahoma"/>
                <w:sz w:val="14"/>
                <w:szCs w:val="14"/>
              </w:rPr>
              <w:t xml:space="preserve">**Комиссия распространяется в т.ч. на клиентов </w:t>
            </w:r>
            <w:r w:rsidRPr="00F33449">
              <w:rPr>
                <w:rFonts w:ascii="Tahoma" w:hAnsi="Tahoma" w:cs="Tahoma"/>
                <w:sz w:val="14"/>
                <w:szCs w:val="14"/>
              </w:rPr>
              <w:t>с наличием подключенной программы Банка «Статус».</w:t>
            </w:r>
          </w:p>
          <w:p w14:paraId="7AA32893" w14:textId="4CF3D95F" w:rsidR="0034355C" w:rsidRPr="002D4ACF" w:rsidRDefault="0034355C" w:rsidP="0034355C">
            <w:pPr>
              <w:jc w:val="both"/>
              <w:rPr>
                <w:rFonts w:ascii="Tahoma" w:hAnsi="Tahoma" w:cs="Tahoma"/>
                <w:b/>
                <w:bCs/>
                <w:iCs/>
                <w:sz w:val="18"/>
                <w:szCs w:val="18"/>
              </w:rPr>
            </w:pPr>
            <w:r w:rsidRPr="00A46EE4">
              <w:rPr>
                <w:rFonts w:ascii="Tahoma" w:hAnsi="Tahoma" w:cs="Tahoma"/>
                <w:sz w:val="14"/>
                <w:szCs w:val="14"/>
              </w:rPr>
              <w:t>*** Тариф распространяется только на категорию клиентов нуждающихся в социальной поддержке и перечень категорий которых, установлен Распоряжением Правительства РФ № 1059-р</w:t>
            </w:r>
            <w:r>
              <w:rPr>
                <w:rFonts w:ascii="Tahoma" w:hAnsi="Tahoma" w:cs="Tahoma"/>
                <w:sz w:val="14"/>
                <w:szCs w:val="14"/>
              </w:rPr>
              <w:t>.</w:t>
            </w:r>
          </w:p>
        </w:tc>
      </w:tr>
      <w:tr w:rsidR="00DF74D7" w:rsidRPr="002D4ACF" w14:paraId="11DDE931" w14:textId="77777777" w:rsidTr="00DD2371">
        <w:trPr>
          <w:trHeight w:val="157"/>
        </w:trPr>
        <w:tc>
          <w:tcPr>
            <w:tcW w:w="1064" w:type="dxa"/>
            <w:hideMark/>
          </w:tcPr>
          <w:p w14:paraId="3D34458A"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1.1.10.</w:t>
            </w:r>
          </w:p>
        </w:tc>
        <w:tc>
          <w:tcPr>
            <w:tcW w:w="10134" w:type="dxa"/>
            <w:gridSpan w:val="10"/>
            <w:hideMark/>
          </w:tcPr>
          <w:p w14:paraId="195CA2CA" w14:textId="77777777" w:rsidR="00DF74D7" w:rsidRPr="002D4ACF" w:rsidRDefault="00DF74D7" w:rsidP="00DD2371">
            <w:pPr>
              <w:jc w:val="both"/>
              <w:rPr>
                <w:rFonts w:ascii="Tahoma" w:hAnsi="Tahoma" w:cs="Tahoma"/>
                <w:b/>
                <w:bCs/>
                <w:iCs/>
                <w:sz w:val="18"/>
                <w:szCs w:val="18"/>
              </w:rPr>
            </w:pPr>
            <w:r w:rsidRPr="002D4ACF">
              <w:rPr>
                <w:rFonts w:ascii="Tahoma" w:hAnsi="Tahoma" w:cs="Tahoma"/>
                <w:b/>
                <w:bCs/>
                <w:iCs/>
                <w:sz w:val="18"/>
                <w:szCs w:val="18"/>
              </w:rPr>
              <w:t>Расчетное обслуживание физических лиц в иностранной валюте</w:t>
            </w:r>
          </w:p>
        </w:tc>
      </w:tr>
      <w:tr w:rsidR="00DF74D7" w:rsidRPr="002D4ACF" w14:paraId="3DBA126E" w14:textId="77777777" w:rsidTr="00DD2371">
        <w:trPr>
          <w:trHeight w:val="585"/>
        </w:trPr>
        <w:tc>
          <w:tcPr>
            <w:tcW w:w="1064" w:type="dxa"/>
            <w:noWrap/>
            <w:hideMark/>
          </w:tcPr>
          <w:p w14:paraId="0947AD0F"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 </w:t>
            </w:r>
          </w:p>
        </w:tc>
        <w:tc>
          <w:tcPr>
            <w:tcW w:w="1090" w:type="dxa"/>
            <w:gridSpan w:val="3"/>
            <w:noWrap/>
            <w:hideMark/>
          </w:tcPr>
          <w:p w14:paraId="1DC6CB07"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1.1.10.1.</w:t>
            </w:r>
          </w:p>
        </w:tc>
        <w:tc>
          <w:tcPr>
            <w:tcW w:w="5217" w:type="dxa"/>
            <w:hideMark/>
          </w:tcPr>
          <w:p w14:paraId="6E679652" w14:textId="77777777" w:rsidR="00DF74D7" w:rsidRPr="002D4ACF" w:rsidRDefault="00DF74D7" w:rsidP="00DD2371">
            <w:pPr>
              <w:jc w:val="both"/>
              <w:rPr>
                <w:rFonts w:ascii="Tahoma" w:hAnsi="Tahoma" w:cs="Tahoma"/>
                <w:b/>
                <w:bCs/>
                <w:iCs/>
                <w:sz w:val="18"/>
                <w:szCs w:val="18"/>
              </w:rPr>
            </w:pPr>
            <w:r w:rsidRPr="002D4ACF">
              <w:rPr>
                <w:rFonts w:ascii="Tahoma" w:hAnsi="Tahoma" w:cs="Tahoma"/>
                <w:b/>
                <w:bCs/>
                <w:iCs/>
                <w:sz w:val="18"/>
                <w:szCs w:val="18"/>
              </w:rPr>
              <w:t>Перевод денежных средств со счета физического лица* (Срочный вклад (в т.ч. Пенсионный), Вклад до востребования, Текущий банковский счет, Счет банковской карты)</w:t>
            </w:r>
            <w:r w:rsidRPr="002D4ACF">
              <w:rPr>
                <w:rFonts w:ascii="Tahoma" w:hAnsi="Tahoma" w:cs="Tahoma"/>
                <w:b/>
                <w:bCs/>
                <w:iCs/>
                <w:sz w:val="18"/>
                <w:szCs w:val="18"/>
                <w:vertAlign w:val="superscript"/>
              </w:rPr>
              <w:t>14,15</w:t>
            </w:r>
            <w:r w:rsidRPr="002D4ACF">
              <w:rPr>
                <w:rFonts w:ascii="Tahoma" w:hAnsi="Tahoma" w:cs="Tahoma"/>
                <w:b/>
                <w:bCs/>
                <w:iCs/>
                <w:sz w:val="18"/>
                <w:szCs w:val="18"/>
              </w:rPr>
              <w:t>:</w:t>
            </w:r>
          </w:p>
        </w:tc>
        <w:tc>
          <w:tcPr>
            <w:tcW w:w="1277" w:type="dxa"/>
            <w:noWrap/>
            <w:hideMark/>
          </w:tcPr>
          <w:p w14:paraId="16FEAC45"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 </w:t>
            </w:r>
          </w:p>
        </w:tc>
        <w:tc>
          <w:tcPr>
            <w:tcW w:w="1162" w:type="dxa"/>
            <w:gridSpan w:val="3"/>
            <w:noWrap/>
            <w:hideMark/>
          </w:tcPr>
          <w:p w14:paraId="43239CDF"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 </w:t>
            </w:r>
          </w:p>
        </w:tc>
        <w:tc>
          <w:tcPr>
            <w:tcW w:w="1388" w:type="dxa"/>
            <w:gridSpan w:val="2"/>
            <w:noWrap/>
            <w:hideMark/>
          </w:tcPr>
          <w:p w14:paraId="4845EDA1"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 </w:t>
            </w:r>
          </w:p>
        </w:tc>
      </w:tr>
      <w:tr w:rsidR="00DF74D7" w:rsidRPr="002D4ACF" w14:paraId="003906AF" w14:textId="77777777" w:rsidTr="00DD2371">
        <w:trPr>
          <w:trHeight w:val="585"/>
        </w:trPr>
        <w:tc>
          <w:tcPr>
            <w:tcW w:w="1064" w:type="dxa"/>
            <w:noWrap/>
          </w:tcPr>
          <w:p w14:paraId="2661D0BE" w14:textId="77777777" w:rsidR="00DF74D7" w:rsidRPr="002D4ACF" w:rsidRDefault="00DF74D7" w:rsidP="00DD2371">
            <w:pPr>
              <w:rPr>
                <w:rFonts w:ascii="Tahoma" w:hAnsi="Tahoma" w:cs="Tahoma"/>
                <w:b/>
                <w:bCs/>
                <w:iCs/>
                <w:sz w:val="18"/>
                <w:szCs w:val="18"/>
              </w:rPr>
            </w:pPr>
          </w:p>
        </w:tc>
        <w:tc>
          <w:tcPr>
            <w:tcW w:w="1090" w:type="dxa"/>
            <w:gridSpan w:val="3"/>
            <w:noWrap/>
          </w:tcPr>
          <w:p w14:paraId="1191C724"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1.1.10.1.1.</w:t>
            </w:r>
          </w:p>
        </w:tc>
        <w:tc>
          <w:tcPr>
            <w:tcW w:w="5217" w:type="dxa"/>
          </w:tcPr>
          <w:p w14:paraId="209179CF" w14:textId="77777777" w:rsidR="00DF74D7" w:rsidRPr="002D4ACF" w:rsidRDefault="00DF74D7" w:rsidP="00DD2371">
            <w:pPr>
              <w:jc w:val="both"/>
              <w:rPr>
                <w:rFonts w:ascii="Tahoma" w:hAnsi="Tahoma" w:cs="Tahoma"/>
                <w:b/>
                <w:bCs/>
                <w:iCs/>
                <w:sz w:val="18"/>
                <w:szCs w:val="18"/>
              </w:rPr>
            </w:pPr>
            <w:r w:rsidRPr="002D4ACF">
              <w:rPr>
                <w:rFonts w:ascii="Tahoma" w:hAnsi="Tahoma" w:cs="Tahoma"/>
                <w:iCs/>
                <w:sz w:val="18"/>
                <w:szCs w:val="18"/>
              </w:rPr>
              <w:t xml:space="preserve">В пользу физических и юридических лиц в другие банки по РФ и за пределы РФ в Долларах США*  </w:t>
            </w:r>
          </w:p>
        </w:tc>
        <w:tc>
          <w:tcPr>
            <w:tcW w:w="1277" w:type="dxa"/>
            <w:noWrap/>
          </w:tcPr>
          <w:p w14:paraId="07FAC9DA"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lang w:val="en-US"/>
              </w:rPr>
              <w:t>3</w:t>
            </w:r>
            <w:r w:rsidRPr="002D4ACF">
              <w:rPr>
                <w:rFonts w:ascii="Tahoma" w:hAnsi="Tahoma" w:cs="Tahoma"/>
                <w:iCs/>
                <w:sz w:val="18"/>
                <w:szCs w:val="18"/>
              </w:rPr>
              <w:t>%</w:t>
            </w:r>
          </w:p>
          <w:p w14:paraId="3B1E66E5"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от суммы перевода</w:t>
            </w:r>
          </w:p>
        </w:tc>
        <w:tc>
          <w:tcPr>
            <w:tcW w:w="1162" w:type="dxa"/>
            <w:gridSpan w:val="3"/>
            <w:noWrap/>
          </w:tcPr>
          <w:p w14:paraId="185E2999"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40 Долларов США</w:t>
            </w:r>
          </w:p>
        </w:tc>
        <w:tc>
          <w:tcPr>
            <w:tcW w:w="1388" w:type="dxa"/>
            <w:gridSpan w:val="2"/>
            <w:noWrap/>
          </w:tcPr>
          <w:p w14:paraId="6F6E9437"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lang w:val="en-US"/>
              </w:rPr>
              <w:t>10</w:t>
            </w:r>
            <w:r w:rsidRPr="002D4ACF">
              <w:rPr>
                <w:rFonts w:ascii="Tahoma" w:hAnsi="Tahoma" w:cs="Tahoma"/>
                <w:iCs/>
                <w:sz w:val="18"/>
                <w:szCs w:val="18"/>
              </w:rPr>
              <w:t>00 Долларов США</w:t>
            </w:r>
          </w:p>
        </w:tc>
      </w:tr>
      <w:tr w:rsidR="00DF74D7" w:rsidRPr="002D4ACF" w14:paraId="2378FADB" w14:textId="77777777" w:rsidTr="00DD2371">
        <w:trPr>
          <w:trHeight w:val="1050"/>
        </w:trPr>
        <w:tc>
          <w:tcPr>
            <w:tcW w:w="1064" w:type="dxa"/>
            <w:noWrap/>
            <w:hideMark/>
          </w:tcPr>
          <w:p w14:paraId="26C20F10"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 </w:t>
            </w:r>
          </w:p>
        </w:tc>
        <w:tc>
          <w:tcPr>
            <w:tcW w:w="1090" w:type="dxa"/>
            <w:gridSpan w:val="3"/>
            <w:noWrap/>
            <w:hideMark/>
          </w:tcPr>
          <w:p w14:paraId="7DC8A816"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1.1.10.1.</w:t>
            </w:r>
            <w:r w:rsidRPr="002D4ACF">
              <w:rPr>
                <w:rFonts w:ascii="Tahoma" w:hAnsi="Tahoma" w:cs="Tahoma"/>
                <w:iCs/>
                <w:sz w:val="18"/>
                <w:szCs w:val="18"/>
                <w:lang w:val="en-US"/>
              </w:rPr>
              <w:t>2</w:t>
            </w:r>
            <w:r w:rsidRPr="002D4ACF">
              <w:rPr>
                <w:rFonts w:ascii="Tahoma" w:hAnsi="Tahoma" w:cs="Tahoma"/>
                <w:iCs/>
                <w:sz w:val="18"/>
                <w:szCs w:val="18"/>
              </w:rPr>
              <w:t>.</w:t>
            </w:r>
          </w:p>
        </w:tc>
        <w:tc>
          <w:tcPr>
            <w:tcW w:w="5217" w:type="dxa"/>
            <w:hideMark/>
          </w:tcPr>
          <w:p w14:paraId="15E542F7" w14:textId="77777777" w:rsidR="00DF74D7" w:rsidRPr="002D4ACF" w:rsidRDefault="00DF74D7" w:rsidP="00DD2371">
            <w:pPr>
              <w:jc w:val="both"/>
              <w:rPr>
                <w:rFonts w:ascii="Tahoma" w:hAnsi="Tahoma" w:cs="Tahoma"/>
                <w:iCs/>
                <w:sz w:val="18"/>
                <w:szCs w:val="18"/>
              </w:rPr>
            </w:pPr>
            <w:r w:rsidRPr="002D4ACF">
              <w:rPr>
                <w:rFonts w:ascii="Tahoma" w:hAnsi="Tahoma" w:cs="Tahoma"/>
                <w:bCs/>
                <w:sz w:val="18"/>
                <w:szCs w:val="18"/>
              </w:rPr>
              <w:t>В пользу физических и юридических лиц в другие банки по РФ и за пределы РФ в Японских йенах</w:t>
            </w:r>
            <w:r w:rsidRPr="002D4ACF">
              <w:rPr>
                <w:rFonts w:ascii="Tahoma" w:hAnsi="Tahoma" w:cs="Tahoma"/>
                <w:bCs/>
                <w:sz w:val="18"/>
                <w:szCs w:val="18"/>
                <w:vertAlign w:val="superscript"/>
              </w:rPr>
              <w:t>16,18</w:t>
            </w:r>
          </w:p>
        </w:tc>
        <w:tc>
          <w:tcPr>
            <w:tcW w:w="1277" w:type="dxa"/>
            <w:hideMark/>
          </w:tcPr>
          <w:p w14:paraId="1746B1A9" w14:textId="77777777" w:rsidR="00DF74D7" w:rsidRPr="002D4ACF" w:rsidRDefault="00DF74D7" w:rsidP="00DD2371">
            <w:pPr>
              <w:jc w:val="center"/>
              <w:rPr>
                <w:rFonts w:ascii="Tahoma" w:hAnsi="Tahoma" w:cs="Tahoma"/>
                <w:iCs/>
                <w:sz w:val="18"/>
                <w:szCs w:val="18"/>
              </w:rPr>
            </w:pPr>
            <w:r w:rsidRPr="002D4ACF">
              <w:rPr>
                <w:rFonts w:ascii="Tahoma" w:hAnsi="Tahoma" w:cs="Tahoma"/>
                <w:bCs/>
                <w:sz w:val="18"/>
                <w:szCs w:val="18"/>
              </w:rPr>
              <w:t xml:space="preserve">0,8% от суммы </w:t>
            </w:r>
            <w:r w:rsidRPr="002D4ACF">
              <w:rPr>
                <w:rFonts w:ascii="Tahoma" w:hAnsi="Tahoma" w:cs="Tahoma"/>
                <w:iCs/>
                <w:sz w:val="18"/>
                <w:szCs w:val="18"/>
              </w:rPr>
              <w:t>перевода</w:t>
            </w:r>
            <w:r w:rsidRPr="002D4ACF">
              <w:rPr>
                <w:rFonts w:ascii="Tahoma" w:hAnsi="Tahoma" w:cs="Tahoma"/>
                <w:bCs/>
                <w:sz w:val="18"/>
                <w:szCs w:val="18"/>
              </w:rPr>
              <w:t xml:space="preserve"> </w:t>
            </w:r>
            <w:r>
              <w:rPr>
                <w:rFonts w:ascii="Tahoma" w:hAnsi="Tahoma" w:cs="Tahoma"/>
                <w:bCs/>
                <w:sz w:val="18"/>
                <w:szCs w:val="18"/>
              </w:rPr>
              <w:t xml:space="preserve">(минимум 7 500) </w:t>
            </w:r>
            <w:r w:rsidRPr="002D4ACF">
              <w:rPr>
                <w:rFonts w:ascii="Tahoma" w:hAnsi="Tahoma" w:cs="Tahoma"/>
                <w:bCs/>
                <w:sz w:val="18"/>
                <w:szCs w:val="18"/>
              </w:rPr>
              <w:t xml:space="preserve">+ 4500 Японских йен  </w:t>
            </w:r>
          </w:p>
        </w:tc>
        <w:tc>
          <w:tcPr>
            <w:tcW w:w="1162" w:type="dxa"/>
            <w:gridSpan w:val="3"/>
            <w:hideMark/>
          </w:tcPr>
          <w:p w14:paraId="0E1A4F27" w14:textId="77777777" w:rsidR="00DF74D7" w:rsidRPr="002D4ACF" w:rsidRDefault="00DF74D7" w:rsidP="00DD2371">
            <w:pPr>
              <w:jc w:val="center"/>
              <w:rPr>
                <w:rFonts w:ascii="Tahoma" w:hAnsi="Tahoma" w:cs="Tahoma"/>
                <w:iCs/>
                <w:sz w:val="18"/>
                <w:szCs w:val="18"/>
              </w:rPr>
            </w:pPr>
            <w:r w:rsidRPr="002D4ACF">
              <w:rPr>
                <w:rFonts w:ascii="Tahoma" w:hAnsi="Tahoma" w:cs="Tahoma"/>
                <w:bCs/>
                <w:sz w:val="18"/>
                <w:szCs w:val="18"/>
              </w:rPr>
              <w:t>7 500 Японских йен</w:t>
            </w:r>
          </w:p>
        </w:tc>
        <w:tc>
          <w:tcPr>
            <w:tcW w:w="1388" w:type="dxa"/>
            <w:gridSpan w:val="2"/>
            <w:hideMark/>
          </w:tcPr>
          <w:p w14:paraId="225B4BD5" w14:textId="77777777" w:rsidR="00DF74D7" w:rsidRPr="002D4ACF" w:rsidRDefault="00DF74D7" w:rsidP="00DD2371">
            <w:pPr>
              <w:jc w:val="center"/>
              <w:rPr>
                <w:sz w:val="20"/>
                <w:szCs w:val="20"/>
              </w:rPr>
            </w:pPr>
          </w:p>
        </w:tc>
      </w:tr>
      <w:tr w:rsidR="00DF74D7" w:rsidRPr="002D4ACF" w14:paraId="15FF2211" w14:textId="77777777" w:rsidTr="00DD2371">
        <w:trPr>
          <w:trHeight w:val="134"/>
        </w:trPr>
        <w:tc>
          <w:tcPr>
            <w:tcW w:w="1064" w:type="dxa"/>
            <w:noWrap/>
          </w:tcPr>
          <w:p w14:paraId="733C5A2E" w14:textId="77777777" w:rsidR="00DF74D7" w:rsidRPr="002D4ACF" w:rsidRDefault="00DF74D7" w:rsidP="00DD2371">
            <w:pPr>
              <w:rPr>
                <w:rFonts w:ascii="Tahoma" w:hAnsi="Tahoma" w:cs="Tahoma"/>
                <w:b/>
                <w:bCs/>
                <w:iCs/>
                <w:sz w:val="18"/>
                <w:szCs w:val="18"/>
              </w:rPr>
            </w:pPr>
          </w:p>
        </w:tc>
        <w:tc>
          <w:tcPr>
            <w:tcW w:w="1090" w:type="dxa"/>
            <w:gridSpan w:val="3"/>
            <w:noWrap/>
          </w:tcPr>
          <w:p w14:paraId="6D5C8082"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1.1.10.1.</w:t>
            </w:r>
            <w:r w:rsidRPr="002D4ACF">
              <w:rPr>
                <w:rFonts w:ascii="Tahoma" w:hAnsi="Tahoma" w:cs="Tahoma"/>
                <w:iCs/>
                <w:sz w:val="18"/>
                <w:szCs w:val="18"/>
                <w:lang w:val="en-US"/>
              </w:rPr>
              <w:t>3</w:t>
            </w:r>
            <w:r w:rsidRPr="002D4ACF">
              <w:rPr>
                <w:rFonts w:ascii="Tahoma" w:hAnsi="Tahoma" w:cs="Tahoma"/>
                <w:iCs/>
                <w:sz w:val="18"/>
                <w:szCs w:val="18"/>
              </w:rPr>
              <w:t>.</w:t>
            </w:r>
          </w:p>
        </w:tc>
        <w:tc>
          <w:tcPr>
            <w:tcW w:w="5217" w:type="dxa"/>
          </w:tcPr>
          <w:p w14:paraId="10BAE75A" w14:textId="77777777" w:rsidR="00DF74D7" w:rsidRPr="002D4ACF" w:rsidRDefault="00DF74D7" w:rsidP="00DD2371">
            <w:pPr>
              <w:jc w:val="both"/>
              <w:rPr>
                <w:rFonts w:ascii="Tahoma" w:hAnsi="Tahoma" w:cs="Tahoma"/>
                <w:bCs/>
                <w:sz w:val="18"/>
                <w:szCs w:val="18"/>
              </w:rPr>
            </w:pPr>
            <w:r w:rsidRPr="002D4ACF">
              <w:rPr>
                <w:rFonts w:ascii="Tahoma" w:hAnsi="Tahoma" w:cs="Tahoma"/>
                <w:bCs/>
                <w:sz w:val="18"/>
                <w:szCs w:val="18"/>
              </w:rPr>
              <w:t>В пользу физических и юридических лиц в другие банки по РФ и за пределы РФ в Китайских юанях</w:t>
            </w:r>
            <w:r w:rsidRPr="002D4ACF">
              <w:rPr>
                <w:rFonts w:ascii="Tahoma" w:hAnsi="Tahoma" w:cs="Tahoma"/>
                <w:bCs/>
                <w:sz w:val="18"/>
                <w:szCs w:val="18"/>
                <w:vertAlign w:val="superscript"/>
              </w:rPr>
              <w:t>17,19</w:t>
            </w:r>
          </w:p>
        </w:tc>
        <w:tc>
          <w:tcPr>
            <w:tcW w:w="1277" w:type="dxa"/>
          </w:tcPr>
          <w:p w14:paraId="6D4A1F5D" w14:textId="77777777" w:rsidR="00DF74D7" w:rsidRPr="002D4ACF" w:rsidRDefault="00DF74D7" w:rsidP="00DD2371">
            <w:pPr>
              <w:jc w:val="center"/>
              <w:rPr>
                <w:rFonts w:ascii="Tahoma" w:hAnsi="Tahoma" w:cs="Tahoma"/>
                <w:bCs/>
                <w:sz w:val="18"/>
                <w:szCs w:val="18"/>
              </w:rPr>
            </w:pPr>
            <w:r w:rsidRPr="002D4ACF">
              <w:rPr>
                <w:rFonts w:ascii="Tahoma" w:hAnsi="Tahoma" w:cs="Tahoma"/>
                <w:bCs/>
                <w:sz w:val="18"/>
                <w:szCs w:val="18"/>
              </w:rPr>
              <w:t xml:space="preserve">1,5% </w:t>
            </w:r>
          </w:p>
          <w:p w14:paraId="4FA2316A" w14:textId="77777777" w:rsidR="00DF74D7" w:rsidRPr="002D4ACF" w:rsidRDefault="00DF74D7" w:rsidP="00DD2371">
            <w:pPr>
              <w:jc w:val="center"/>
              <w:rPr>
                <w:rFonts w:ascii="Tahoma" w:hAnsi="Tahoma" w:cs="Tahoma"/>
                <w:iCs/>
                <w:sz w:val="18"/>
                <w:szCs w:val="18"/>
              </w:rPr>
            </w:pPr>
            <w:r w:rsidRPr="002D4ACF">
              <w:rPr>
                <w:rFonts w:ascii="Tahoma" w:hAnsi="Tahoma" w:cs="Tahoma"/>
                <w:bCs/>
                <w:sz w:val="18"/>
                <w:szCs w:val="18"/>
              </w:rPr>
              <w:t xml:space="preserve">от суммы </w:t>
            </w:r>
            <w:r w:rsidRPr="002D4ACF">
              <w:rPr>
                <w:rFonts w:ascii="Tahoma" w:hAnsi="Tahoma" w:cs="Tahoma"/>
                <w:iCs/>
                <w:sz w:val="18"/>
                <w:szCs w:val="18"/>
              </w:rPr>
              <w:t>перевода</w:t>
            </w:r>
          </w:p>
        </w:tc>
        <w:tc>
          <w:tcPr>
            <w:tcW w:w="1162" w:type="dxa"/>
            <w:gridSpan w:val="3"/>
          </w:tcPr>
          <w:p w14:paraId="1C4E8873" w14:textId="77777777" w:rsidR="00DF74D7" w:rsidRPr="002D4ACF" w:rsidRDefault="00DF74D7" w:rsidP="00DD2371">
            <w:pPr>
              <w:jc w:val="center"/>
              <w:rPr>
                <w:rFonts w:ascii="Tahoma" w:hAnsi="Tahoma" w:cs="Tahoma"/>
                <w:iCs/>
                <w:sz w:val="18"/>
                <w:szCs w:val="18"/>
              </w:rPr>
            </w:pPr>
            <w:r w:rsidRPr="002D4ACF">
              <w:rPr>
                <w:rFonts w:ascii="Tahoma" w:hAnsi="Tahoma" w:cs="Tahoma"/>
                <w:bCs/>
                <w:sz w:val="18"/>
                <w:szCs w:val="18"/>
              </w:rPr>
              <w:t>170 Китайских юаней</w:t>
            </w:r>
          </w:p>
        </w:tc>
        <w:tc>
          <w:tcPr>
            <w:tcW w:w="1388" w:type="dxa"/>
            <w:gridSpan w:val="2"/>
          </w:tcPr>
          <w:p w14:paraId="0BD56E8F" w14:textId="77777777" w:rsidR="00DF74D7" w:rsidRPr="002D4ACF" w:rsidRDefault="00DF74D7" w:rsidP="00DD2371">
            <w:pPr>
              <w:jc w:val="center"/>
              <w:rPr>
                <w:rFonts w:ascii="Tahoma" w:hAnsi="Tahoma" w:cs="Tahoma"/>
                <w:iCs/>
                <w:sz w:val="18"/>
                <w:szCs w:val="18"/>
              </w:rPr>
            </w:pPr>
            <w:r w:rsidRPr="002D4ACF">
              <w:rPr>
                <w:rFonts w:ascii="Tahoma" w:hAnsi="Tahoma" w:cs="Tahoma"/>
                <w:bCs/>
                <w:sz w:val="18"/>
                <w:szCs w:val="18"/>
              </w:rPr>
              <w:t>1 700 Китайских юаней</w:t>
            </w:r>
          </w:p>
        </w:tc>
      </w:tr>
      <w:tr w:rsidR="00DF74D7" w:rsidRPr="002D4ACF" w14:paraId="230F322D" w14:textId="77777777" w:rsidTr="00DD2371">
        <w:trPr>
          <w:trHeight w:val="333"/>
        </w:trPr>
        <w:tc>
          <w:tcPr>
            <w:tcW w:w="1064" w:type="dxa"/>
            <w:noWrap/>
          </w:tcPr>
          <w:p w14:paraId="77CAAFE7" w14:textId="77777777" w:rsidR="00DF74D7" w:rsidRPr="002D4ACF" w:rsidRDefault="00DF74D7" w:rsidP="00DD2371">
            <w:pPr>
              <w:rPr>
                <w:rFonts w:ascii="Tahoma" w:hAnsi="Tahoma" w:cs="Tahoma"/>
                <w:b/>
                <w:bCs/>
                <w:iCs/>
                <w:sz w:val="18"/>
                <w:szCs w:val="18"/>
              </w:rPr>
            </w:pPr>
          </w:p>
        </w:tc>
        <w:tc>
          <w:tcPr>
            <w:tcW w:w="1090" w:type="dxa"/>
            <w:gridSpan w:val="3"/>
            <w:noWrap/>
          </w:tcPr>
          <w:p w14:paraId="35CB26EE"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1.1.10.1.</w:t>
            </w:r>
            <w:r w:rsidRPr="002D4ACF">
              <w:rPr>
                <w:rFonts w:ascii="Tahoma" w:hAnsi="Tahoma" w:cs="Tahoma"/>
                <w:iCs/>
                <w:sz w:val="18"/>
                <w:szCs w:val="18"/>
                <w:lang w:val="en-US"/>
              </w:rPr>
              <w:t>4</w:t>
            </w:r>
            <w:r w:rsidRPr="002D4ACF">
              <w:rPr>
                <w:rFonts w:ascii="Tahoma" w:hAnsi="Tahoma" w:cs="Tahoma"/>
                <w:iCs/>
                <w:sz w:val="18"/>
                <w:szCs w:val="18"/>
              </w:rPr>
              <w:t>.</w:t>
            </w:r>
          </w:p>
        </w:tc>
        <w:tc>
          <w:tcPr>
            <w:tcW w:w="5217" w:type="dxa"/>
          </w:tcPr>
          <w:p w14:paraId="4DA15599" w14:textId="77777777" w:rsidR="00DF74D7" w:rsidRPr="002D4ACF" w:rsidRDefault="00DF74D7" w:rsidP="00DD2371">
            <w:pPr>
              <w:jc w:val="both"/>
              <w:rPr>
                <w:rFonts w:ascii="Tahoma" w:hAnsi="Tahoma" w:cs="Tahoma"/>
                <w:bCs/>
                <w:sz w:val="18"/>
                <w:szCs w:val="18"/>
              </w:rPr>
            </w:pPr>
            <w:r w:rsidRPr="002D4ACF">
              <w:rPr>
                <w:rFonts w:ascii="Tahoma" w:hAnsi="Tahoma" w:cs="Tahoma"/>
                <w:bCs/>
                <w:sz w:val="18"/>
                <w:szCs w:val="18"/>
              </w:rPr>
              <w:t>В пользу физических и юридических лиц в другие банки по РФ и за пределы РФ в Казахстанских тенге</w:t>
            </w:r>
          </w:p>
        </w:tc>
        <w:tc>
          <w:tcPr>
            <w:tcW w:w="1277" w:type="dxa"/>
          </w:tcPr>
          <w:p w14:paraId="415D9FF4" w14:textId="77777777" w:rsidR="00DF74D7" w:rsidRPr="002D4ACF" w:rsidRDefault="00DF74D7" w:rsidP="00DD2371">
            <w:pPr>
              <w:jc w:val="center"/>
              <w:rPr>
                <w:rFonts w:ascii="Tahoma" w:hAnsi="Tahoma" w:cs="Tahoma"/>
                <w:bCs/>
                <w:sz w:val="18"/>
                <w:szCs w:val="18"/>
              </w:rPr>
            </w:pPr>
            <w:r w:rsidRPr="002D4ACF">
              <w:rPr>
                <w:rFonts w:ascii="Tahoma" w:hAnsi="Tahoma" w:cs="Tahoma"/>
                <w:bCs/>
                <w:sz w:val="18"/>
                <w:szCs w:val="18"/>
              </w:rPr>
              <w:t xml:space="preserve">1% </w:t>
            </w:r>
          </w:p>
          <w:p w14:paraId="3FCE3785" w14:textId="77777777" w:rsidR="00DF74D7" w:rsidRPr="002D4ACF" w:rsidRDefault="00DF74D7" w:rsidP="00DD2371">
            <w:pPr>
              <w:jc w:val="center"/>
              <w:rPr>
                <w:rFonts w:ascii="Tahoma" w:hAnsi="Tahoma" w:cs="Tahoma"/>
                <w:bCs/>
                <w:sz w:val="18"/>
                <w:szCs w:val="18"/>
              </w:rPr>
            </w:pPr>
            <w:r w:rsidRPr="002D4ACF">
              <w:rPr>
                <w:rFonts w:ascii="Tahoma" w:hAnsi="Tahoma" w:cs="Tahoma"/>
                <w:bCs/>
                <w:sz w:val="18"/>
                <w:szCs w:val="18"/>
              </w:rPr>
              <w:t xml:space="preserve">от суммы </w:t>
            </w:r>
            <w:r w:rsidRPr="002D4ACF">
              <w:rPr>
                <w:rFonts w:ascii="Tahoma" w:hAnsi="Tahoma" w:cs="Tahoma"/>
                <w:iCs/>
                <w:sz w:val="18"/>
                <w:szCs w:val="18"/>
              </w:rPr>
              <w:t>перевода</w:t>
            </w:r>
          </w:p>
        </w:tc>
        <w:tc>
          <w:tcPr>
            <w:tcW w:w="1162" w:type="dxa"/>
            <w:gridSpan w:val="3"/>
          </w:tcPr>
          <w:p w14:paraId="6534C806" w14:textId="77777777" w:rsidR="00DF74D7" w:rsidRPr="002D4ACF" w:rsidRDefault="00DF74D7" w:rsidP="00DD2371">
            <w:pPr>
              <w:jc w:val="center"/>
              <w:rPr>
                <w:rFonts w:ascii="Tahoma" w:hAnsi="Tahoma" w:cs="Tahoma"/>
                <w:bCs/>
                <w:sz w:val="18"/>
                <w:szCs w:val="18"/>
              </w:rPr>
            </w:pPr>
            <w:r w:rsidRPr="002D4ACF">
              <w:rPr>
                <w:rFonts w:ascii="Tahoma" w:hAnsi="Tahoma" w:cs="Tahoma"/>
                <w:bCs/>
                <w:sz w:val="18"/>
                <w:szCs w:val="18"/>
              </w:rPr>
              <w:t>3 000 Казахстанских тенге</w:t>
            </w:r>
          </w:p>
        </w:tc>
        <w:tc>
          <w:tcPr>
            <w:tcW w:w="1388" w:type="dxa"/>
            <w:gridSpan w:val="2"/>
          </w:tcPr>
          <w:p w14:paraId="34EA7ECC" w14:textId="77777777" w:rsidR="00DF74D7" w:rsidRPr="002D4ACF" w:rsidRDefault="00DF74D7" w:rsidP="00DD2371">
            <w:pPr>
              <w:jc w:val="center"/>
              <w:rPr>
                <w:rFonts w:ascii="Tahoma" w:hAnsi="Tahoma" w:cs="Tahoma"/>
                <w:bCs/>
                <w:sz w:val="18"/>
                <w:szCs w:val="18"/>
              </w:rPr>
            </w:pPr>
            <w:r w:rsidRPr="002D4ACF">
              <w:rPr>
                <w:rFonts w:ascii="Tahoma" w:hAnsi="Tahoma" w:cs="Tahoma"/>
                <w:bCs/>
                <w:sz w:val="18"/>
                <w:szCs w:val="18"/>
              </w:rPr>
              <w:t>10 000 Казахстанских тенге</w:t>
            </w:r>
          </w:p>
        </w:tc>
      </w:tr>
      <w:tr w:rsidR="00DF74D7" w:rsidRPr="002D4ACF" w14:paraId="0CD7FDD7" w14:textId="77777777" w:rsidTr="00DD2371">
        <w:trPr>
          <w:trHeight w:val="333"/>
        </w:trPr>
        <w:tc>
          <w:tcPr>
            <w:tcW w:w="1064" w:type="dxa"/>
            <w:noWrap/>
          </w:tcPr>
          <w:p w14:paraId="1904A890" w14:textId="77777777" w:rsidR="00DF74D7" w:rsidRPr="002D4ACF" w:rsidRDefault="00DF74D7" w:rsidP="00DD2371">
            <w:pPr>
              <w:rPr>
                <w:rFonts w:ascii="Tahoma" w:hAnsi="Tahoma" w:cs="Tahoma"/>
                <w:b/>
                <w:bCs/>
                <w:iCs/>
                <w:sz w:val="18"/>
                <w:szCs w:val="18"/>
              </w:rPr>
            </w:pPr>
          </w:p>
        </w:tc>
        <w:tc>
          <w:tcPr>
            <w:tcW w:w="1090" w:type="dxa"/>
            <w:gridSpan w:val="3"/>
            <w:noWrap/>
          </w:tcPr>
          <w:p w14:paraId="62C36956"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1.1.10.1.</w:t>
            </w:r>
            <w:r w:rsidRPr="002D4ACF">
              <w:rPr>
                <w:rFonts w:ascii="Tahoma" w:hAnsi="Tahoma" w:cs="Tahoma"/>
                <w:iCs/>
                <w:sz w:val="18"/>
                <w:szCs w:val="18"/>
                <w:lang w:val="en-US"/>
              </w:rPr>
              <w:t>5</w:t>
            </w:r>
            <w:r w:rsidRPr="002D4ACF">
              <w:rPr>
                <w:rFonts w:ascii="Tahoma" w:hAnsi="Tahoma" w:cs="Tahoma"/>
                <w:iCs/>
                <w:sz w:val="18"/>
                <w:szCs w:val="18"/>
              </w:rPr>
              <w:t>.</w:t>
            </w:r>
          </w:p>
        </w:tc>
        <w:tc>
          <w:tcPr>
            <w:tcW w:w="5217" w:type="dxa"/>
          </w:tcPr>
          <w:p w14:paraId="7DACFDF3" w14:textId="77777777" w:rsidR="00DF74D7" w:rsidRPr="002D4ACF" w:rsidRDefault="00DF74D7" w:rsidP="00DD2371">
            <w:pPr>
              <w:jc w:val="both"/>
              <w:rPr>
                <w:rFonts w:ascii="Tahoma" w:hAnsi="Tahoma" w:cs="Tahoma"/>
                <w:bCs/>
                <w:sz w:val="18"/>
                <w:szCs w:val="18"/>
              </w:rPr>
            </w:pPr>
            <w:r w:rsidRPr="002D4ACF">
              <w:rPr>
                <w:rFonts w:ascii="Tahoma" w:hAnsi="Tahoma" w:cs="Tahoma"/>
                <w:bCs/>
                <w:sz w:val="18"/>
                <w:szCs w:val="18"/>
              </w:rPr>
              <w:t xml:space="preserve">В пользу физических и юридических лиц в банки Армении в Армянских драмах </w:t>
            </w:r>
          </w:p>
        </w:tc>
        <w:tc>
          <w:tcPr>
            <w:tcW w:w="1277" w:type="dxa"/>
          </w:tcPr>
          <w:p w14:paraId="70976130" w14:textId="77777777" w:rsidR="00DF74D7" w:rsidRPr="002D4ACF" w:rsidRDefault="00DF74D7" w:rsidP="00DD2371">
            <w:pPr>
              <w:jc w:val="center"/>
              <w:rPr>
                <w:rFonts w:ascii="Tahoma" w:hAnsi="Tahoma" w:cs="Tahoma"/>
                <w:bCs/>
                <w:sz w:val="18"/>
                <w:szCs w:val="18"/>
              </w:rPr>
            </w:pPr>
            <w:r w:rsidRPr="002D4ACF">
              <w:rPr>
                <w:rFonts w:ascii="Tahoma" w:hAnsi="Tahoma" w:cs="Tahoma"/>
                <w:bCs/>
                <w:sz w:val="18"/>
                <w:szCs w:val="18"/>
              </w:rPr>
              <w:t>1% от суммы перевода</w:t>
            </w:r>
          </w:p>
        </w:tc>
        <w:tc>
          <w:tcPr>
            <w:tcW w:w="1162" w:type="dxa"/>
            <w:gridSpan w:val="3"/>
          </w:tcPr>
          <w:p w14:paraId="7A786FD6" w14:textId="77777777" w:rsidR="00DF74D7" w:rsidRPr="002D4ACF" w:rsidRDefault="00DF74D7" w:rsidP="00DD2371">
            <w:pPr>
              <w:jc w:val="center"/>
              <w:rPr>
                <w:rFonts w:ascii="Tahoma" w:hAnsi="Tahoma" w:cs="Tahoma"/>
                <w:bCs/>
                <w:sz w:val="18"/>
                <w:szCs w:val="18"/>
              </w:rPr>
            </w:pPr>
            <w:r w:rsidRPr="002D4ACF">
              <w:rPr>
                <w:rFonts w:ascii="Tahoma" w:hAnsi="Tahoma" w:cs="Tahoma"/>
                <w:bCs/>
                <w:sz w:val="18"/>
                <w:szCs w:val="18"/>
              </w:rPr>
              <w:t>1500 Армянских драм</w:t>
            </w:r>
          </w:p>
        </w:tc>
        <w:tc>
          <w:tcPr>
            <w:tcW w:w="1388" w:type="dxa"/>
            <w:gridSpan w:val="2"/>
          </w:tcPr>
          <w:p w14:paraId="79675941" w14:textId="77777777" w:rsidR="00DF74D7" w:rsidRPr="002D4ACF" w:rsidRDefault="00DF74D7" w:rsidP="00DD2371">
            <w:pPr>
              <w:jc w:val="center"/>
              <w:rPr>
                <w:rFonts w:ascii="Tahoma" w:hAnsi="Tahoma" w:cs="Tahoma"/>
                <w:bCs/>
                <w:sz w:val="18"/>
                <w:szCs w:val="18"/>
              </w:rPr>
            </w:pPr>
            <w:r w:rsidRPr="002D4ACF">
              <w:rPr>
                <w:rFonts w:ascii="Tahoma" w:hAnsi="Tahoma" w:cs="Tahoma"/>
                <w:bCs/>
                <w:sz w:val="18"/>
                <w:szCs w:val="18"/>
              </w:rPr>
              <w:t>20 000 Армянских драм</w:t>
            </w:r>
          </w:p>
        </w:tc>
      </w:tr>
      <w:tr w:rsidR="00DF74D7" w:rsidRPr="002D4ACF" w14:paraId="5C342570" w14:textId="77777777" w:rsidTr="00DD2371">
        <w:trPr>
          <w:trHeight w:val="333"/>
        </w:trPr>
        <w:tc>
          <w:tcPr>
            <w:tcW w:w="1064" w:type="dxa"/>
            <w:noWrap/>
          </w:tcPr>
          <w:p w14:paraId="5531D1E2" w14:textId="77777777" w:rsidR="00DF74D7" w:rsidRPr="002D4ACF" w:rsidRDefault="00DF74D7" w:rsidP="00DD2371">
            <w:pPr>
              <w:rPr>
                <w:rFonts w:ascii="Tahoma" w:hAnsi="Tahoma" w:cs="Tahoma"/>
                <w:b/>
                <w:bCs/>
                <w:iCs/>
                <w:sz w:val="18"/>
                <w:szCs w:val="18"/>
              </w:rPr>
            </w:pPr>
          </w:p>
        </w:tc>
        <w:tc>
          <w:tcPr>
            <w:tcW w:w="1090" w:type="dxa"/>
            <w:gridSpan w:val="3"/>
            <w:noWrap/>
          </w:tcPr>
          <w:p w14:paraId="734DAE74"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1.1.10.1.</w:t>
            </w:r>
            <w:r w:rsidRPr="002D4ACF">
              <w:rPr>
                <w:rFonts w:ascii="Tahoma" w:hAnsi="Tahoma" w:cs="Tahoma"/>
                <w:iCs/>
                <w:sz w:val="18"/>
                <w:szCs w:val="18"/>
                <w:lang w:val="en-US"/>
              </w:rPr>
              <w:t>6</w:t>
            </w:r>
            <w:r w:rsidRPr="002D4ACF">
              <w:rPr>
                <w:rFonts w:ascii="Tahoma" w:hAnsi="Tahoma" w:cs="Tahoma"/>
                <w:iCs/>
                <w:sz w:val="18"/>
                <w:szCs w:val="18"/>
              </w:rPr>
              <w:t>.</w:t>
            </w:r>
          </w:p>
        </w:tc>
        <w:tc>
          <w:tcPr>
            <w:tcW w:w="5217" w:type="dxa"/>
          </w:tcPr>
          <w:p w14:paraId="062A92CD" w14:textId="77777777" w:rsidR="00DF74D7" w:rsidRPr="002D4ACF" w:rsidRDefault="00DF74D7" w:rsidP="00DD2371">
            <w:pPr>
              <w:jc w:val="both"/>
              <w:rPr>
                <w:rFonts w:ascii="Tahoma" w:hAnsi="Tahoma" w:cs="Tahoma"/>
                <w:bCs/>
                <w:sz w:val="18"/>
                <w:szCs w:val="18"/>
              </w:rPr>
            </w:pPr>
            <w:r w:rsidRPr="002D4ACF">
              <w:rPr>
                <w:rFonts w:ascii="Tahoma" w:hAnsi="Tahoma" w:cs="Tahoma"/>
                <w:bCs/>
                <w:sz w:val="18"/>
                <w:szCs w:val="18"/>
              </w:rPr>
              <w:t xml:space="preserve">В пользу физических и юридических лиц в банки Турции в Турецких лирах </w:t>
            </w:r>
          </w:p>
        </w:tc>
        <w:tc>
          <w:tcPr>
            <w:tcW w:w="1277" w:type="dxa"/>
          </w:tcPr>
          <w:p w14:paraId="2A4E834A" w14:textId="77777777" w:rsidR="00DF74D7" w:rsidRPr="002D4ACF" w:rsidRDefault="00DF74D7" w:rsidP="00DD2371">
            <w:pPr>
              <w:jc w:val="center"/>
              <w:rPr>
                <w:rFonts w:ascii="Tahoma" w:hAnsi="Tahoma" w:cs="Tahoma"/>
                <w:bCs/>
                <w:sz w:val="18"/>
                <w:szCs w:val="18"/>
              </w:rPr>
            </w:pPr>
            <w:r w:rsidRPr="002D4ACF">
              <w:rPr>
                <w:rFonts w:ascii="Tahoma" w:hAnsi="Tahoma" w:cs="Tahoma"/>
                <w:bCs/>
                <w:sz w:val="18"/>
                <w:szCs w:val="18"/>
              </w:rPr>
              <w:t>1% от суммы перевода</w:t>
            </w:r>
          </w:p>
        </w:tc>
        <w:tc>
          <w:tcPr>
            <w:tcW w:w="1162" w:type="dxa"/>
            <w:gridSpan w:val="3"/>
          </w:tcPr>
          <w:p w14:paraId="210F65EE" w14:textId="77777777" w:rsidR="00DF74D7" w:rsidRPr="002D4ACF" w:rsidRDefault="00DF74D7" w:rsidP="00DD2371">
            <w:pPr>
              <w:jc w:val="center"/>
              <w:rPr>
                <w:rFonts w:ascii="Tahoma" w:hAnsi="Tahoma" w:cs="Tahoma"/>
                <w:bCs/>
                <w:sz w:val="18"/>
                <w:szCs w:val="18"/>
              </w:rPr>
            </w:pPr>
            <w:r w:rsidRPr="002D4ACF">
              <w:rPr>
                <w:rFonts w:ascii="Tahoma" w:hAnsi="Tahoma" w:cs="Tahoma"/>
                <w:bCs/>
                <w:sz w:val="18"/>
                <w:szCs w:val="18"/>
              </w:rPr>
              <w:t>3 000 Турецких лир</w:t>
            </w:r>
          </w:p>
        </w:tc>
        <w:tc>
          <w:tcPr>
            <w:tcW w:w="1388" w:type="dxa"/>
            <w:gridSpan w:val="2"/>
          </w:tcPr>
          <w:p w14:paraId="66C63034" w14:textId="77777777" w:rsidR="00DF74D7" w:rsidRPr="002D4ACF" w:rsidRDefault="00DF74D7" w:rsidP="00DD2371">
            <w:pPr>
              <w:jc w:val="center"/>
              <w:rPr>
                <w:rFonts w:ascii="Tahoma" w:hAnsi="Tahoma" w:cs="Tahoma"/>
                <w:bCs/>
                <w:sz w:val="18"/>
                <w:szCs w:val="18"/>
              </w:rPr>
            </w:pPr>
            <w:r w:rsidRPr="002D4ACF">
              <w:rPr>
                <w:rFonts w:ascii="Tahoma" w:hAnsi="Tahoma" w:cs="Tahoma"/>
                <w:bCs/>
                <w:sz w:val="18"/>
                <w:szCs w:val="18"/>
              </w:rPr>
              <w:t>7 500 Турецких лир</w:t>
            </w:r>
          </w:p>
        </w:tc>
      </w:tr>
      <w:tr w:rsidR="00DF74D7" w:rsidRPr="002D4ACF" w14:paraId="2FC33799" w14:textId="77777777" w:rsidTr="00DD2371">
        <w:trPr>
          <w:trHeight w:val="440"/>
        </w:trPr>
        <w:tc>
          <w:tcPr>
            <w:tcW w:w="1064" w:type="dxa"/>
            <w:noWrap/>
          </w:tcPr>
          <w:p w14:paraId="578D1EC4" w14:textId="77777777" w:rsidR="00DF74D7" w:rsidRPr="002D4ACF" w:rsidRDefault="00DF74D7" w:rsidP="00DD2371">
            <w:pPr>
              <w:rPr>
                <w:rFonts w:ascii="Tahoma" w:hAnsi="Tahoma" w:cs="Tahoma"/>
                <w:b/>
                <w:bCs/>
                <w:iCs/>
                <w:sz w:val="18"/>
                <w:szCs w:val="18"/>
              </w:rPr>
            </w:pPr>
          </w:p>
        </w:tc>
        <w:tc>
          <w:tcPr>
            <w:tcW w:w="1090" w:type="dxa"/>
            <w:gridSpan w:val="3"/>
            <w:noWrap/>
            <w:hideMark/>
          </w:tcPr>
          <w:p w14:paraId="5BE22051"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1.1.10.1.7.</w:t>
            </w:r>
          </w:p>
        </w:tc>
        <w:tc>
          <w:tcPr>
            <w:tcW w:w="5217" w:type="dxa"/>
            <w:hideMark/>
          </w:tcPr>
          <w:p w14:paraId="0CFE9879"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В пользу физических и юридических лиц в другие банки по РФ и за пределы РФ (комиссия за счет получателя - опция BEN)</w:t>
            </w:r>
          </w:p>
        </w:tc>
        <w:tc>
          <w:tcPr>
            <w:tcW w:w="1277" w:type="dxa"/>
            <w:hideMark/>
          </w:tcPr>
          <w:p w14:paraId="1E2C13A7"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10 Долларов США/Евро</w:t>
            </w:r>
          </w:p>
        </w:tc>
        <w:tc>
          <w:tcPr>
            <w:tcW w:w="1162" w:type="dxa"/>
            <w:gridSpan w:val="3"/>
          </w:tcPr>
          <w:p w14:paraId="1BFAC244" w14:textId="77777777" w:rsidR="00DF74D7" w:rsidRPr="002D4ACF" w:rsidRDefault="00DF74D7" w:rsidP="00DD2371">
            <w:pPr>
              <w:jc w:val="center"/>
              <w:rPr>
                <w:rFonts w:ascii="Tahoma" w:hAnsi="Tahoma" w:cs="Tahoma"/>
                <w:iCs/>
                <w:sz w:val="18"/>
                <w:szCs w:val="18"/>
              </w:rPr>
            </w:pPr>
          </w:p>
        </w:tc>
        <w:tc>
          <w:tcPr>
            <w:tcW w:w="1388" w:type="dxa"/>
            <w:gridSpan w:val="2"/>
          </w:tcPr>
          <w:p w14:paraId="7DFB60F3" w14:textId="77777777" w:rsidR="00DF74D7" w:rsidRPr="002D4ACF" w:rsidRDefault="00DF74D7" w:rsidP="00DD2371">
            <w:pPr>
              <w:jc w:val="center"/>
              <w:rPr>
                <w:rFonts w:ascii="Tahoma" w:hAnsi="Tahoma" w:cs="Tahoma"/>
                <w:iCs/>
                <w:sz w:val="18"/>
                <w:szCs w:val="18"/>
              </w:rPr>
            </w:pPr>
          </w:p>
        </w:tc>
      </w:tr>
      <w:tr w:rsidR="00DF74D7" w:rsidRPr="002D4ACF" w14:paraId="6F9E79DE" w14:textId="77777777" w:rsidTr="00DD2371">
        <w:trPr>
          <w:trHeight w:val="290"/>
        </w:trPr>
        <w:tc>
          <w:tcPr>
            <w:tcW w:w="11198" w:type="dxa"/>
            <w:gridSpan w:val="11"/>
            <w:noWrap/>
          </w:tcPr>
          <w:p w14:paraId="6F38C305" w14:textId="77777777" w:rsidR="00DF74D7" w:rsidRPr="002D4ACF" w:rsidRDefault="00DF74D7" w:rsidP="00DD2371">
            <w:pPr>
              <w:rPr>
                <w:rFonts w:ascii="Tahoma" w:hAnsi="Tahoma" w:cs="Tahoma"/>
                <w:iCs/>
                <w:sz w:val="18"/>
                <w:szCs w:val="18"/>
              </w:rPr>
            </w:pPr>
            <w:r w:rsidRPr="002D4ACF">
              <w:rPr>
                <w:rFonts w:ascii="Tahoma" w:hAnsi="Tahoma" w:cs="Tahoma"/>
                <w:iCs/>
                <w:sz w:val="14"/>
                <w:szCs w:val="16"/>
              </w:rPr>
              <w:t xml:space="preserve">*Переводы с Текущих банковских счетов физических лиц в пользу физических и юридических лиц в другие банки за пределы РФ в Долларах США осуществляются по направлениям, поддерживаемым банками корреспондентами. Перечень направлений размещен на официальном сайте Банка в разделе «Платежи и переводы» по адресу </w:t>
            </w:r>
            <w:hyperlink r:id="rId16" w:history="1">
              <w:r w:rsidRPr="002D4ACF">
                <w:rPr>
                  <w:rFonts w:ascii="Tahoma" w:hAnsi="Tahoma" w:cs="Tahoma"/>
                  <w:iCs/>
                  <w:sz w:val="14"/>
                  <w:szCs w:val="16"/>
                </w:rPr>
                <w:t>https://www.atb.su/services/transfer/transfer-bank/</w:t>
              </w:r>
            </w:hyperlink>
          </w:p>
        </w:tc>
      </w:tr>
      <w:tr w:rsidR="00DF74D7" w:rsidRPr="002D4ACF" w14:paraId="601185D5" w14:textId="77777777" w:rsidTr="00DD2371">
        <w:trPr>
          <w:trHeight w:val="615"/>
        </w:trPr>
        <w:tc>
          <w:tcPr>
            <w:tcW w:w="1064" w:type="dxa"/>
            <w:noWrap/>
            <w:hideMark/>
          </w:tcPr>
          <w:p w14:paraId="2DB63EF3"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lastRenderedPageBreak/>
              <w:t> </w:t>
            </w:r>
          </w:p>
        </w:tc>
        <w:tc>
          <w:tcPr>
            <w:tcW w:w="1090" w:type="dxa"/>
            <w:gridSpan w:val="3"/>
            <w:noWrap/>
            <w:hideMark/>
          </w:tcPr>
          <w:p w14:paraId="4399A926"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1.1.10.2.</w:t>
            </w:r>
          </w:p>
        </w:tc>
        <w:tc>
          <w:tcPr>
            <w:tcW w:w="5217" w:type="dxa"/>
            <w:hideMark/>
          </w:tcPr>
          <w:p w14:paraId="78FAEB78" w14:textId="77777777" w:rsidR="00DF74D7" w:rsidRPr="002D4ACF" w:rsidRDefault="00DF74D7" w:rsidP="00DD2371">
            <w:pPr>
              <w:jc w:val="both"/>
              <w:rPr>
                <w:rFonts w:ascii="Tahoma" w:hAnsi="Tahoma" w:cs="Tahoma"/>
                <w:b/>
                <w:bCs/>
                <w:iCs/>
                <w:sz w:val="18"/>
                <w:szCs w:val="18"/>
              </w:rPr>
            </w:pPr>
            <w:r w:rsidRPr="002D4ACF">
              <w:rPr>
                <w:rFonts w:ascii="Tahoma" w:hAnsi="Tahoma" w:cs="Tahoma"/>
                <w:b/>
                <w:bCs/>
                <w:iCs/>
                <w:sz w:val="18"/>
                <w:szCs w:val="18"/>
              </w:rPr>
              <w:t>Перевод денежных средств без открытия счета в пользу физических и юридических лиц за пределы РФ</w:t>
            </w:r>
            <w:r w:rsidRPr="002D4ACF">
              <w:rPr>
                <w:rFonts w:ascii="Tahoma" w:hAnsi="Tahoma" w:cs="Tahoma"/>
                <w:b/>
                <w:bCs/>
                <w:iCs/>
                <w:sz w:val="18"/>
                <w:szCs w:val="18"/>
                <w:vertAlign w:val="superscript"/>
              </w:rPr>
              <w:t>14,15</w:t>
            </w:r>
            <w:r w:rsidRPr="002D4ACF">
              <w:rPr>
                <w:rFonts w:ascii="Tahoma" w:hAnsi="Tahoma" w:cs="Tahoma"/>
                <w:b/>
                <w:bCs/>
                <w:iCs/>
                <w:sz w:val="18"/>
                <w:szCs w:val="18"/>
              </w:rPr>
              <w:t>:</w:t>
            </w:r>
          </w:p>
        </w:tc>
        <w:tc>
          <w:tcPr>
            <w:tcW w:w="1277" w:type="dxa"/>
            <w:noWrap/>
            <w:hideMark/>
          </w:tcPr>
          <w:p w14:paraId="4D286489"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 </w:t>
            </w:r>
          </w:p>
        </w:tc>
        <w:tc>
          <w:tcPr>
            <w:tcW w:w="1162" w:type="dxa"/>
            <w:gridSpan w:val="3"/>
            <w:noWrap/>
            <w:hideMark/>
          </w:tcPr>
          <w:p w14:paraId="21A5C50C" w14:textId="77777777" w:rsidR="00DF74D7" w:rsidRPr="002D4ACF" w:rsidRDefault="00DF74D7" w:rsidP="00DD2371">
            <w:pPr>
              <w:jc w:val="center"/>
              <w:rPr>
                <w:rFonts w:ascii="Tahoma" w:hAnsi="Tahoma" w:cs="Tahoma"/>
                <w:iCs/>
                <w:sz w:val="18"/>
                <w:szCs w:val="18"/>
              </w:rPr>
            </w:pPr>
          </w:p>
        </w:tc>
        <w:tc>
          <w:tcPr>
            <w:tcW w:w="1388" w:type="dxa"/>
            <w:gridSpan w:val="2"/>
            <w:noWrap/>
            <w:hideMark/>
          </w:tcPr>
          <w:p w14:paraId="6F8518B3" w14:textId="77777777" w:rsidR="00DF74D7" w:rsidRPr="002D4ACF" w:rsidRDefault="00DF74D7" w:rsidP="00DD2371">
            <w:pPr>
              <w:jc w:val="center"/>
              <w:rPr>
                <w:rFonts w:ascii="Tahoma" w:hAnsi="Tahoma" w:cs="Tahoma"/>
                <w:iCs/>
                <w:sz w:val="18"/>
                <w:szCs w:val="18"/>
              </w:rPr>
            </w:pPr>
          </w:p>
        </w:tc>
      </w:tr>
      <w:tr w:rsidR="00DF74D7" w:rsidRPr="002D4ACF" w14:paraId="2404E7C1" w14:textId="77777777" w:rsidTr="00DD2371">
        <w:trPr>
          <w:trHeight w:val="525"/>
        </w:trPr>
        <w:tc>
          <w:tcPr>
            <w:tcW w:w="1064" w:type="dxa"/>
            <w:noWrap/>
            <w:hideMark/>
          </w:tcPr>
          <w:p w14:paraId="1B48317F"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 </w:t>
            </w:r>
          </w:p>
        </w:tc>
        <w:tc>
          <w:tcPr>
            <w:tcW w:w="1090" w:type="dxa"/>
            <w:gridSpan w:val="3"/>
            <w:noWrap/>
            <w:hideMark/>
          </w:tcPr>
          <w:p w14:paraId="3B9F84F1"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1.1.10.2.1.</w:t>
            </w:r>
          </w:p>
        </w:tc>
        <w:tc>
          <w:tcPr>
            <w:tcW w:w="5217" w:type="dxa"/>
            <w:hideMark/>
          </w:tcPr>
          <w:p w14:paraId="71BBE70B" w14:textId="77777777" w:rsidR="00DF74D7" w:rsidRPr="002D4ACF" w:rsidRDefault="00DF74D7" w:rsidP="00DD2371">
            <w:pPr>
              <w:jc w:val="both"/>
              <w:rPr>
                <w:rFonts w:ascii="Tahoma" w:hAnsi="Tahoma" w:cs="Tahoma"/>
                <w:iCs/>
                <w:sz w:val="18"/>
                <w:szCs w:val="18"/>
                <w:vertAlign w:val="superscript"/>
              </w:rPr>
            </w:pPr>
            <w:r w:rsidRPr="002D4ACF">
              <w:rPr>
                <w:rFonts w:ascii="Tahoma" w:hAnsi="Tahoma" w:cs="Tahoma"/>
                <w:iCs/>
                <w:sz w:val="18"/>
                <w:szCs w:val="18"/>
              </w:rPr>
              <w:t xml:space="preserve">В Долларах США </w:t>
            </w:r>
          </w:p>
        </w:tc>
        <w:tc>
          <w:tcPr>
            <w:tcW w:w="1277" w:type="dxa"/>
            <w:hideMark/>
          </w:tcPr>
          <w:p w14:paraId="509B7480" w14:textId="77777777" w:rsidR="00DF74D7" w:rsidRPr="002D4ACF" w:rsidRDefault="00DF74D7" w:rsidP="00DD2371">
            <w:pPr>
              <w:jc w:val="center"/>
              <w:rPr>
                <w:rFonts w:ascii="Tahoma" w:hAnsi="Tahoma" w:cs="Tahoma"/>
                <w:bCs/>
                <w:sz w:val="18"/>
                <w:szCs w:val="18"/>
              </w:rPr>
            </w:pPr>
            <w:r w:rsidRPr="002D4ACF">
              <w:rPr>
                <w:rFonts w:ascii="Tahoma" w:hAnsi="Tahoma" w:cs="Tahoma"/>
                <w:bCs/>
                <w:sz w:val="18"/>
                <w:szCs w:val="18"/>
                <w:lang w:val="en-US"/>
              </w:rPr>
              <w:t>3</w:t>
            </w:r>
            <w:r w:rsidRPr="002D4ACF">
              <w:rPr>
                <w:rFonts w:ascii="Tahoma" w:hAnsi="Tahoma" w:cs="Tahoma"/>
                <w:bCs/>
                <w:sz w:val="18"/>
                <w:szCs w:val="18"/>
              </w:rPr>
              <w:t xml:space="preserve">% </w:t>
            </w:r>
          </w:p>
          <w:p w14:paraId="76D134BA" w14:textId="77777777" w:rsidR="00DF74D7" w:rsidRPr="002D4ACF" w:rsidRDefault="00DF74D7" w:rsidP="00DD2371">
            <w:pPr>
              <w:jc w:val="center"/>
              <w:rPr>
                <w:rFonts w:ascii="Tahoma" w:hAnsi="Tahoma" w:cs="Tahoma"/>
                <w:iCs/>
                <w:sz w:val="18"/>
                <w:szCs w:val="18"/>
              </w:rPr>
            </w:pPr>
            <w:r w:rsidRPr="002D4ACF">
              <w:rPr>
                <w:rFonts w:ascii="Tahoma" w:hAnsi="Tahoma" w:cs="Tahoma"/>
                <w:bCs/>
                <w:sz w:val="18"/>
                <w:szCs w:val="18"/>
              </w:rPr>
              <w:t xml:space="preserve">суммы </w:t>
            </w:r>
            <w:r w:rsidRPr="002D4ACF">
              <w:rPr>
                <w:rFonts w:ascii="Tahoma" w:hAnsi="Tahoma" w:cs="Tahoma"/>
                <w:iCs/>
                <w:sz w:val="18"/>
                <w:szCs w:val="18"/>
              </w:rPr>
              <w:t>перевода</w:t>
            </w:r>
          </w:p>
        </w:tc>
        <w:tc>
          <w:tcPr>
            <w:tcW w:w="1162" w:type="dxa"/>
            <w:gridSpan w:val="3"/>
            <w:noWrap/>
            <w:hideMark/>
          </w:tcPr>
          <w:p w14:paraId="52E0C8CB" w14:textId="77777777" w:rsidR="00DF74D7" w:rsidRPr="002D4ACF" w:rsidRDefault="00DF74D7" w:rsidP="00DD2371">
            <w:pPr>
              <w:jc w:val="center"/>
              <w:rPr>
                <w:rFonts w:ascii="Tahoma" w:hAnsi="Tahoma" w:cs="Tahoma"/>
                <w:sz w:val="20"/>
                <w:szCs w:val="20"/>
                <w:lang w:eastAsia="zh-CN"/>
              </w:rPr>
            </w:pPr>
            <w:r w:rsidRPr="002D4ACF">
              <w:rPr>
                <w:rFonts w:ascii="Tahoma" w:hAnsi="Tahoma" w:cs="Tahoma"/>
                <w:iCs/>
                <w:sz w:val="18"/>
                <w:szCs w:val="18"/>
              </w:rPr>
              <w:t>40 Долларов США</w:t>
            </w:r>
          </w:p>
        </w:tc>
        <w:tc>
          <w:tcPr>
            <w:tcW w:w="1388" w:type="dxa"/>
            <w:gridSpan w:val="2"/>
            <w:noWrap/>
            <w:hideMark/>
          </w:tcPr>
          <w:p w14:paraId="1483EC17" w14:textId="77777777" w:rsidR="00DF74D7" w:rsidRPr="002D4ACF" w:rsidRDefault="00DF74D7" w:rsidP="00DD2371">
            <w:pPr>
              <w:jc w:val="center"/>
              <w:rPr>
                <w:rFonts w:ascii="Tahoma" w:hAnsi="Tahoma" w:cs="Tahoma"/>
                <w:sz w:val="20"/>
                <w:szCs w:val="20"/>
                <w:lang w:eastAsia="zh-CN"/>
              </w:rPr>
            </w:pPr>
            <w:r w:rsidRPr="002D4ACF">
              <w:rPr>
                <w:rFonts w:ascii="Tahoma" w:hAnsi="Tahoma" w:cs="Tahoma"/>
                <w:iCs/>
                <w:sz w:val="18"/>
                <w:szCs w:val="18"/>
                <w:lang w:val="en-US"/>
              </w:rPr>
              <w:t>10</w:t>
            </w:r>
            <w:r w:rsidRPr="002D4ACF">
              <w:rPr>
                <w:rFonts w:ascii="Tahoma" w:hAnsi="Tahoma" w:cs="Tahoma"/>
                <w:iCs/>
                <w:sz w:val="18"/>
                <w:szCs w:val="18"/>
              </w:rPr>
              <w:t>00 Долларов США</w:t>
            </w:r>
          </w:p>
        </w:tc>
      </w:tr>
      <w:tr w:rsidR="00DF74D7" w:rsidRPr="002D4ACF" w14:paraId="5DEA9F95" w14:textId="77777777" w:rsidTr="00DD2371">
        <w:trPr>
          <w:trHeight w:val="525"/>
        </w:trPr>
        <w:tc>
          <w:tcPr>
            <w:tcW w:w="1064" w:type="dxa"/>
            <w:noWrap/>
          </w:tcPr>
          <w:p w14:paraId="6B3B8FD5" w14:textId="77777777" w:rsidR="00DF74D7" w:rsidRPr="002D4ACF" w:rsidRDefault="00DF74D7" w:rsidP="00DD2371">
            <w:pPr>
              <w:rPr>
                <w:rFonts w:ascii="Tahoma" w:hAnsi="Tahoma" w:cs="Tahoma"/>
                <w:b/>
                <w:bCs/>
                <w:iCs/>
                <w:sz w:val="18"/>
                <w:szCs w:val="18"/>
              </w:rPr>
            </w:pPr>
          </w:p>
        </w:tc>
        <w:tc>
          <w:tcPr>
            <w:tcW w:w="1090" w:type="dxa"/>
            <w:gridSpan w:val="3"/>
            <w:noWrap/>
          </w:tcPr>
          <w:p w14:paraId="6709CB79"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1.1.10.2.</w:t>
            </w:r>
            <w:r w:rsidRPr="002D4ACF">
              <w:rPr>
                <w:rFonts w:ascii="Tahoma" w:hAnsi="Tahoma" w:cs="Tahoma"/>
                <w:iCs/>
                <w:sz w:val="18"/>
                <w:szCs w:val="18"/>
                <w:lang w:val="en-US"/>
              </w:rPr>
              <w:t>2</w:t>
            </w:r>
            <w:r w:rsidRPr="002D4ACF">
              <w:rPr>
                <w:rFonts w:ascii="Tahoma" w:hAnsi="Tahoma" w:cs="Tahoma"/>
                <w:iCs/>
                <w:sz w:val="18"/>
                <w:szCs w:val="18"/>
              </w:rPr>
              <w:t>.</w:t>
            </w:r>
          </w:p>
        </w:tc>
        <w:tc>
          <w:tcPr>
            <w:tcW w:w="5217" w:type="dxa"/>
          </w:tcPr>
          <w:p w14:paraId="7DCFCCC7" w14:textId="77777777" w:rsidR="00DF74D7" w:rsidRPr="002D4ACF" w:rsidRDefault="00DF74D7" w:rsidP="00DD2371">
            <w:pPr>
              <w:rPr>
                <w:rFonts w:ascii="Tahoma" w:hAnsi="Tahoma" w:cs="Tahoma"/>
                <w:iCs/>
                <w:sz w:val="18"/>
                <w:szCs w:val="18"/>
                <w:lang w:val="en-US"/>
              </w:rPr>
            </w:pPr>
            <w:r w:rsidRPr="002D4ACF">
              <w:rPr>
                <w:rFonts w:ascii="Tahoma" w:hAnsi="Tahoma" w:cs="Tahoma"/>
                <w:bCs/>
                <w:sz w:val="18"/>
                <w:szCs w:val="18"/>
              </w:rPr>
              <w:t>В Японских йенах</w:t>
            </w:r>
            <w:r w:rsidRPr="002D4ACF">
              <w:rPr>
                <w:rFonts w:ascii="Tahoma" w:hAnsi="Tahoma" w:cs="Tahoma"/>
                <w:bCs/>
                <w:sz w:val="18"/>
                <w:szCs w:val="18"/>
                <w:vertAlign w:val="superscript"/>
              </w:rPr>
              <w:t>16,18</w:t>
            </w:r>
          </w:p>
        </w:tc>
        <w:tc>
          <w:tcPr>
            <w:tcW w:w="1277" w:type="dxa"/>
          </w:tcPr>
          <w:p w14:paraId="27EFD6BF" w14:textId="77777777" w:rsidR="00DF74D7" w:rsidRPr="002D4ACF" w:rsidRDefault="00DF74D7" w:rsidP="00DD2371">
            <w:pPr>
              <w:jc w:val="center"/>
              <w:rPr>
                <w:rFonts w:ascii="Tahoma" w:hAnsi="Tahoma" w:cs="Tahoma"/>
                <w:iCs/>
                <w:sz w:val="18"/>
                <w:szCs w:val="18"/>
              </w:rPr>
            </w:pPr>
            <w:r w:rsidRPr="002D4ACF">
              <w:rPr>
                <w:rFonts w:ascii="Tahoma" w:hAnsi="Tahoma" w:cs="Tahoma"/>
                <w:bCs/>
                <w:sz w:val="18"/>
                <w:szCs w:val="18"/>
              </w:rPr>
              <w:t xml:space="preserve">0,8% от суммы </w:t>
            </w:r>
            <w:r w:rsidRPr="002D4ACF">
              <w:rPr>
                <w:rFonts w:ascii="Tahoma" w:hAnsi="Tahoma" w:cs="Tahoma"/>
                <w:iCs/>
                <w:sz w:val="18"/>
                <w:szCs w:val="18"/>
              </w:rPr>
              <w:t>перевода</w:t>
            </w:r>
            <w:r w:rsidRPr="002D4ACF">
              <w:rPr>
                <w:rFonts w:ascii="Tahoma" w:hAnsi="Tahoma" w:cs="Tahoma"/>
                <w:bCs/>
                <w:sz w:val="18"/>
                <w:szCs w:val="18"/>
              </w:rPr>
              <w:t xml:space="preserve"> </w:t>
            </w:r>
            <w:r>
              <w:rPr>
                <w:rFonts w:ascii="Tahoma" w:hAnsi="Tahoma" w:cs="Tahoma"/>
                <w:bCs/>
                <w:sz w:val="18"/>
                <w:szCs w:val="18"/>
              </w:rPr>
              <w:t xml:space="preserve">(минимум 7 500) </w:t>
            </w:r>
            <w:r w:rsidRPr="002D4ACF">
              <w:rPr>
                <w:rFonts w:ascii="Tahoma" w:hAnsi="Tahoma" w:cs="Tahoma"/>
                <w:bCs/>
                <w:sz w:val="18"/>
                <w:szCs w:val="18"/>
              </w:rPr>
              <w:t xml:space="preserve">+ 4500 Японских йен </w:t>
            </w:r>
          </w:p>
        </w:tc>
        <w:tc>
          <w:tcPr>
            <w:tcW w:w="1162" w:type="dxa"/>
            <w:gridSpan w:val="3"/>
            <w:noWrap/>
          </w:tcPr>
          <w:p w14:paraId="370E18F5" w14:textId="77777777" w:rsidR="00DF74D7" w:rsidRPr="002D4ACF" w:rsidRDefault="00DF74D7" w:rsidP="00DD2371">
            <w:pPr>
              <w:jc w:val="center"/>
              <w:rPr>
                <w:rFonts w:ascii="Tahoma" w:hAnsi="Tahoma" w:cs="Tahoma"/>
                <w:sz w:val="20"/>
                <w:szCs w:val="20"/>
                <w:lang w:eastAsia="zh-CN"/>
              </w:rPr>
            </w:pPr>
            <w:r w:rsidRPr="002D4ACF">
              <w:rPr>
                <w:rFonts w:ascii="Tahoma" w:hAnsi="Tahoma" w:cs="Tahoma"/>
                <w:bCs/>
                <w:sz w:val="18"/>
                <w:szCs w:val="18"/>
              </w:rPr>
              <w:t>7 500 Японских йен</w:t>
            </w:r>
          </w:p>
        </w:tc>
        <w:tc>
          <w:tcPr>
            <w:tcW w:w="1388" w:type="dxa"/>
            <w:gridSpan w:val="2"/>
            <w:noWrap/>
          </w:tcPr>
          <w:p w14:paraId="32E031FE" w14:textId="77777777" w:rsidR="00DF74D7" w:rsidRPr="002D4ACF" w:rsidRDefault="00DF74D7" w:rsidP="00DD2371">
            <w:pPr>
              <w:jc w:val="center"/>
              <w:rPr>
                <w:rFonts w:ascii="Tahoma" w:hAnsi="Tahoma" w:cs="Tahoma"/>
                <w:sz w:val="20"/>
                <w:szCs w:val="20"/>
                <w:lang w:eastAsia="zh-CN"/>
              </w:rPr>
            </w:pPr>
          </w:p>
        </w:tc>
      </w:tr>
      <w:tr w:rsidR="00DF74D7" w:rsidRPr="002D4ACF" w14:paraId="534B8925" w14:textId="77777777" w:rsidTr="00DD2371">
        <w:trPr>
          <w:trHeight w:val="525"/>
        </w:trPr>
        <w:tc>
          <w:tcPr>
            <w:tcW w:w="1064" w:type="dxa"/>
            <w:noWrap/>
          </w:tcPr>
          <w:p w14:paraId="0CF90DD2" w14:textId="77777777" w:rsidR="00DF74D7" w:rsidRPr="002D4ACF" w:rsidRDefault="00DF74D7" w:rsidP="00DD2371">
            <w:pPr>
              <w:rPr>
                <w:rFonts w:ascii="Tahoma" w:hAnsi="Tahoma" w:cs="Tahoma"/>
                <w:b/>
                <w:bCs/>
                <w:iCs/>
                <w:sz w:val="18"/>
                <w:szCs w:val="18"/>
              </w:rPr>
            </w:pPr>
          </w:p>
        </w:tc>
        <w:tc>
          <w:tcPr>
            <w:tcW w:w="1090" w:type="dxa"/>
            <w:gridSpan w:val="3"/>
            <w:noWrap/>
          </w:tcPr>
          <w:p w14:paraId="4993D9FA"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1.1.10.2.3.</w:t>
            </w:r>
          </w:p>
        </w:tc>
        <w:tc>
          <w:tcPr>
            <w:tcW w:w="5217" w:type="dxa"/>
          </w:tcPr>
          <w:p w14:paraId="481E177F" w14:textId="77777777" w:rsidR="00DF74D7" w:rsidRPr="002D4ACF" w:rsidRDefault="00DF74D7" w:rsidP="00DD2371">
            <w:pPr>
              <w:rPr>
                <w:rFonts w:ascii="Tahoma" w:hAnsi="Tahoma" w:cs="Tahoma"/>
                <w:bCs/>
                <w:sz w:val="18"/>
                <w:szCs w:val="18"/>
              </w:rPr>
            </w:pPr>
            <w:r w:rsidRPr="002D4ACF">
              <w:rPr>
                <w:rFonts w:ascii="Tahoma" w:hAnsi="Tahoma" w:cs="Tahoma"/>
                <w:bCs/>
                <w:sz w:val="18"/>
                <w:szCs w:val="18"/>
              </w:rPr>
              <w:t>В Китайских юанях</w:t>
            </w:r>
            <w:r w:rsidRPr="002D4ACF">
              <w:rPr>
                <w:rFonts w:ascii="Tahoma" w:hAnsi="Tahoma" w:cs="Tahoma"/>
                <w:bCs/>
                <w:sz w:val="18"/>
                <w:szCs w:val="18"/>
                <w:vertAlign w:val="superscript"/>
              </w:rPr>
              <w:t>17,19</w:t>
            </w:r>
          </w:p>
        </w:tc>
        <w:tc>
          <w:tcPr>
            <w:tcW w:w="1277" w:type="dxa"/>
          </w:tcPr>
          <w:p w14:paraId="45784E82" w14:textId="77777777" w:rsidR="00DF74D7" w:rsidRPr="002D4ACF" w:rsidRDefault="00DF74D7" w:rsidP="00DD2371">
            <w:pPr>
              <w:jc w:val="center"/>
              <w:rPr>
                <w:rFonts w:ascii="Tahoma" w:hAnsi="Tahoma" w:cs="Tahoma"/>
                <w:bCs/>
                <w:sz w:val="18"/>
                <w:szCs w:val="18"/>
              </w:rPr>
            </w:pPr>
            <w:r w:rsidRPr="002D4ACF">
              <w:rPr>
                <w:rFonts w:ascii="Tahoma" w:hAnsi="Tahoma" w:cs="Tahoma"/>
                <w:bCs/>
                <w:sz w:val="18"/>
                <w:szCs w:val="18"/>
              </w:rPr>
              <w:t xml:space="preserve">1,5% </w:t>
            </w:r>
          </w:p>
          <w:p w14:paraId="3368B63B" w14:textId="77777777" w:rsidR="00DF74D7" w:rsidRPr="002D4ACF" w:rsidRDefault="00DF74D7" w:rsidP="00DD2371">
            <w:pPr>
              <w:jc w:val="center"/>
              <w:rPr>
                <w:rFonts w:ascii="Tahoma" w:hAnsi="Tahoma" w:cs="Tahoma"/>
                <w:iCs/>
                <w:sz w:val="18"/>
                <w:szCs w:val="18"/>
              </w:rPr>
            </w:pPr>
            <w:r w:rsidRPr="002D4ACF">
              <w:rPr>
                <w:rFonts w:ascii="Tahoma" w:hAnsi="Tahoma" w:cs="Tahoma"/>
                <w:bCs/>
                <w:sz w:val="18"/>
                <w:szCs w:val="18"/>
              </w:rPr>
              <w:t xml:space="preserve">от суммы </w:t>
            </w:r>
            <w:r w:rsidRPr="002D4ACF">
              <w:rPr>
                <w:rFonts w:ascii="Tahoma" w:hAnsi="Tahoma" w:cs="Tahoma"/>
                <w:iCs/>
                <w:sz w:val="18"/>
                <w:szCs w:val="18"/>
              </w:rPr>
              <w:t>перевода</w:t>
            </w:r>
          </w:p>
        </w:tc>
        <w:tc>
          <w:tcPr>
            <w:tcW w:w="1162" w:type="dxa"/>
            <w:gridSpan w:val="3"/>
            <w:noWrap/>
          </w:tcPr>
          <w:p w14:paraId="5323C994" w14:textId="77777777" w:rsidR="00DF74D7" w:rsidRPr="002D4ACF" w:rsidRDefault="00DF74D7" w:rsidP="00DD2371">
            <w:pPr>
              <w:jc w:val="center"/>
              <w:rPr>
                <w:rFonts w:ascii="Tahoma" w:hAnsi="Tahoma" w:cs="Tahoma"/>
                <w:sz w:val="20"/>
                <w:szCs w:val="20"/>
                <w:lang w:eastAsia="zh-CN"/>
              </w:rPr>
            </w:pPr>
            <w:r w:rsidRPr="002D4ACF">
              <w:rPr>
                <w:rFonts w:ascii="Tahoma" w:hAnsi="Tahoma" w:cs="Tahoma"/>
                <w:bCs/>
                <w:sz w:val="18"/>
                <w:szCs w:val="18"/>
              </w:rPr>
              <w:t>170 Китайских юаней</w:t>
            </w:r>
          </w:p>
        </w:tc>
        <w:tc>
          <w:tcPr>
            <w:tcW w:w="1388" w:type="dxa"/>
            <w:gridSpan w:val="2"/>
            <w:noWrap/>
          </w:tcPr>
          <w:p w14:paraId="1EF90BEF" w14:textId="77777777" w:rsidR="00DF74D7" w:rsidRPr="002D4ACF" w:rsidRDefault="00DF74D7" w:rsidP="00DD2371">
            <w:pPr>
              <w:jc w:val="center"/>
              <w:rPr>
                <w:rFonts w:ascii="Tahoma" w:hAnsi="Tahoma" w:cs="Tahoma"/>
                <w:sz w:val="20"/>
                <w:szCs w:val="20"/>
                <w:lang w:eastAsia="zh-CN"/>
              </w:rPr>
            </w:pPr>
            <w:r w:rsidRPr="002D4ACF">
              <w:rPr>
                <w:rFonts w:ascii="Tahoma" w:hAnsi="Tahoma" w:cs="Tahoma"/>
                <w:bCs/>
                <w:sz w:val="18"/>
                <w:szCs w:val="18"/>
              </w:rPr>
              <w:t>1 700 Китайских юаней</w:t>
            </w:r>
          </w:p>
        </w:tc>
      </w:tr>
      <w:tr w:rsidR="00DF74D7" w:rsidRPr="002D4ACF" w14:paraId="6C645414" w14:textId="77777777" w:rsidTr="00DD2371">
        <w:trPr>
          <w:trHeight w:val="525"/>
        </w:trPr>
        <w:tc>
          <w:tcPr>
            <w:tcW w:w="1064" w:type="dxa"/>
            <w:noWrap/>
          </w:tcPr>
          <w:p w14:paraId="13D9288F" w14:textId="77777777" w:rsidR="00DF74D7" w:rsidRPr="002D4ACF" w:rsidRDefault="00DF74D7" w:rsidP="00DD2371">
            <w:pPr>
              <w:rPr>
                <w:rFonts w:ascii="Tahoma" w:hAnsi="Tahoma" w:cs="Tahoma"/>
                <w:b/>
                <w:bCs/>
                <w:iCs/>
                <w:sz w:val="18"/>
                <w:szCs w:val="18"/>
              </w:rPr>
            </w:pPr>
          </w:p>
        </w:tc>
        <w:tc>
          <w:tcPr>
            <w:tcW w:w="1090" w:type="dxa"/>
            <w:gridSpan w:val="3"/>
            <w:noWrap/>
          </w:tcPr>
          <w:p w14:paraId="0CF5C0CE"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1.1.10.2.4.</w:t>
            </w:r>
          </w:p>
        </w:tc>
        <w:tc>
          <w:tcPr>
            <w:tcW w:w="5217" w:type="dxa"/>
          </w:tcPr>
          <w:p w14:paraId="4AF263EB" w14:textId="77777777" w:rsidR="00DF74D7" w:rsidRPr="002D4ACF" w:rsidRDefault="00DF74D7" w:rsidP="00DD2371">
            <w:pPr>
              <w:rPr>
                <w:rFonts w:ascii="Tahoma" w:hAnsi="Tahoma" w:cs="Tahoma"/>
                <w:bCs/>
                <w:sz w:val="18"/>
                <w:szCs w:val="18"/>
              </w:rPr>
            </w:pPr>
            <w:r w:rsidRPr="002D4ACF">
              <w:rPr>
                <w:rFonts w:ascii="Tahoma" w:hAnsi="Tahoma" w:cs="Tahoma"/>
                <w:bCs/>
                <w:sz w:val="18"/>
                <w:szCs w:val="18"/>
              </w:rPr>
              <w:t>В Казахстанских тенге</w:t>
            </w:r>
          </w:p>
        </w:tc>
        <w:tc>
          <w:tcPr>
            <w:tcW w:w="1277" w:type="dxa"/>
          </w:tcPr>
          <w:p w14:paraId="4FF01A58" w14:textId="77777777" w:rsidR="00DF74D7" w:rsidRPr="002D4ACF" w:rsidRDefault="00DF74D7" w:rsidP="00DD2371">
            <w:pPr>
              <w:jc w:val="center"/>
              <w:rPr>
                <w:rFonts w:ascii="Tahoma" w:hAnsi="Tahoma" w:cs="Tahoma"/>
                <w:bCs/>
                <w:sz w:val="18"/>
                <w:szCs w:val="18"/>
              </w:rPr>
            </w:pPr>
            <w:r w:rsidRPr="002D4ACF">
              <w:rPr>
                <w:rFonts w:ascii="Tahoma" w:hAnsi="Tahoma" w:cs="Tahoma"/>
                <w:bCs/>
                <w:sz w:val="18"/>
                <w:szCs w:val="18"/>
              </w:rPr>
              <w:t xml:space="preserve">1% </w:t>
            </w:r>
          </w:p>
          <w:p w14:paraId="492F71FE" w14:textId="77777777" w:rsidR="00DF74D7" w:rsidRPr="002D4ACF" w:rsidRDefault="00DF74D7" w:rsidP="00DD2371">
            <w:pPr>
              <w:jc w:val="center"/>
              <w:rPr>
                <w:rFonts w:ascii="Tahoma" w:hAnsi="Tahoma" w:cs="Tahoma"/>
                <w:bCs/>
                <w:sz w:val="18"/>
                <w:szCs w:val="18"/>
              </w:rPr>
            </w:pPr>
            <w:r w:rsidRPr="002D4ACF">
              <w:rPr>
                <w:rFonts w:ascii="Tahoma" w:hAnsi="Tahoma" w:cs="Tahoma"/>
                <w:bCs/>
                <w:sz w:val="18"/>
                <w:szCs w:val="18"/>
              </w:rPr>
              <w:t xml:space="preserve">от суммы </w:t>
            </w:r>
            <w:r w:rsidRPr="002D4ACF">
              <w:rPr>
                <w:rFonts w:ascii="Tahoma" w:hAnsi="Tahoma" w:cs="Tahoma"/>
                <w:iCs/>
                <w:sz w:val="18"/>
                <w:szCs w:val="18"/>
              </w:rPr>
              <w:t>перевода</w:t>
            </w:r>
          </w:p>
        </w:tc>
        <w:tc>
          <w:tcPr>
            <w:tcW w:w="1162" w:type="dxa"/>
            <w:gridSpan w:val="3"/>
            <w:noWrap/>
          </w:tcPr>
          <w:p w14:paraId="3C34F6D0" w14:textId="77777777" w:rsidR="00DF74D7" w:rsidRPr="002D4ACF" w:rsidRDefault="00DF74D7" w:rsidP="00DD2371">
            <w:pPr>
              <w:jc w:val="center"/>
              <w:rPr>
                <w:rFonts w:ascii="Tahoma" w:hAnsi="Tahoma" w:cs="Tahoma"/>
                <w:bCs/>
                <w:sz w:val="18"/>
                <w:szCs w:val="18"/>
              </w:rPr>
            </w:pPr>
            <w:r w:rsidRPr="002D4ACF">
              <w:rPr>
                <w:rFonts w:ascii="Tahoma" w:hAnsi="Tahoma" w:cs="Tahoma"/>
                <w:bCs/>
                <w:sz w:val="18"/>
                <w:szCs w:val="18"/>
              </w:rPr>
              <w:t>3 000 Казахстанских тенге</w:t>
            </w:r>
          </w:p>
        </w:tc>
        <w:tc>
          <w:tcPr>
            <w:tcW w:w="1388" w:type="dxa"/>
            <w:gridSpan w:val="2"/>
            <w:noWrap/>
          </w:tcPr>
          <w:p w14:paraId="56ED65B9" w14:textId="77777777" w:rsidR="00DF74D7" w:rsidRPr="002D4ACF" w:rsidRDefault="00DF74D7" w:rsidP="00DD2371">
            <w:pPr>
              <w:jc w:val="center"/>
              <w:rPr>
                <w:rFonts w:ascii="Tahoma" w:hAnsi="Tahoma" w:cs="Tahoma"/>
                <w:bCs/>
                <w:sz w:val="18"/>
                <w:szCs w:val="18"/>
              </w:rPr>
            </w:pPr>
            <w:r w:rsidRPr="002D4ACF">
              <w:rPr>
                <w:rFonts w:ascii="Tahoma" w:hAnsi="Tahoma" w:cs="Tahoma"/>
                <w:bCs/>
                <w:sz w:val="18"/>
                <w:szCs w:val="18"/>
              </w:rPr>
              <w:t>10 000 Казахстанских тенге</w:t>
            </w:r>
          </w:p>
        </w:tc>
      </w:tr>
      <w:tr w:rsidR="00DF74D7" w:rsidRPr="002D4ACF" w14:paraId="604403EF" w14:textId="77777777" w:rsidTr="00DD2371">
        <w:trPr>
          <w:trHeight w:val="525"/>
        </w:trPr>
        <w:tc>
          <w:tcPr>
            <w:tcW w:w="1064" w:type="dxa"/>
            <w:noWrap/>
          </w:tcPr>
          <w:p w14:paraId="5FFA765B" w14:textId="77777777" w:rsidR="00DF74D7" w:rsidRPr="002D4ACF" w:rsidRDefault="00DF74D7" w:rsidP="00DD2371">
            <w:pPr>
              <w:rPr>
                <w:rFonts w:ascii="Tahoma" w:hAnsi="Tahoma" w:cs="Tahoma"/>
                <w:b/>
                <w:bCs/>
                <w:iCs/>
                <w:sz w:val="18"/>
                <w:szCs w:val="18"/>
              </w:rPr>
            </w:pPr>
          </w:p>
        </w:tc>
        <w:tc>
          <w:tcPr>
            <w:tcW w:w="1090" w:type="dxa"/>
            <w:gridSpan w:val="3"/>
            <w:noWrap/>
          </w:tcPr>
          <w:p w14:paraId="269B5AE6"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1.1.10.2.5.</w:t>
            </w:r>
          </w:p>
        </w:tc>
        <w:tc>
          <w:tcPr>
            <w:tcW w:w="5217" w:type="dxa"/>
          </w:tcPr>
          <w:p w14:paraId="30FAFB3A" w14:textId="77777777" w:rsidR="00DF74D7" w:rsidRPr="002D4ACF" w:rsidRDefault="00DF74D7" w:rsidP="00DD2371">
            <w:pPr>
              <w:rPr>
                <w:rFonts w:ascii="Tahoma" w:hAnsi="Tahoma" w:cs="Tahoma"/>
                <w:bCs/>
                <w:sz w:val="18"/>
                <w:szCs w:val="18"/>
              </w:rPr>
            </w:pPr>
            <w:r w:rsidRPr="002D4ACF">
              <w:rPr>
                <w:rFonts w:ascii="Tahoma" w:hAnsi="Tahoma" w:cs="Tahoma"/>
                <w:bCs/>
                <w:sz w:val="18"/>
                <w:szCs w:val="18"/>
              </w:rPr>
              <w:t xml:space="preserve">В банки Армении в Армянских драмах </w:t>
            </w:r>
          </w:p>
        </w:tc>
        <w:tc>
          <w:tcPr>
            <w:tcW w:w="1277" w:type="dxa"/>
          </w:tcPr>
          <w:p w14:paraId="2784B976" w14:textId="77777777" w:rsidR="00DF74D7" w:rsidRPr="002D4ACF" w:rsidRDefault="00DF74D7" w:rsidP="00DD2371">
            <w:pPr>
              <w:jc w:val="center"/>
              <w:rPr>
                <w:rFonts w:ascii="Tahoma" w:hAnsi="Tahoma" w:cs="Tahoma"/>
                <w:bCs/>
                <w:sz w:val="18"/>
                <w:szCs w:val="18"/>
              </w:rPr>
            </w:pPr>
            <w:r w:rsidRPr="002D4ACF">
              <w:rPr>
                <w:rFonts w:ascii="Tahoma" w:hAnsi="Tahoma" w:cs="Tahoma"/>
                <w:bCs/>
                <w:sz w:val="18"/>
                <w:szCs w:val="18"/>
              </w:rPr>
              <w:t>1% от суммы перевода</w:t>
            </w:r>
          </w:p>
        </w:tc>
        <w:tc>
          <w:tcPr>
            <w:tcW w:w="1162" w:type="dxa"/>
            <w:gridSpan w:val="3"/>
            <w:noWrap/>
          </w:tcPr>
          <w:p w14:paraId="29CBB218" w14:textId="77777777" w:rsidR="00DF74D7" w:rsidRPr="002D4ACF" w:rsidRDefault="00DF74D7" w:rsidP="00DD2371">
            <w:pPr>
              <w:jc w:val="center"/>
              <w:rPr>
                <w:rFonts w:ascii="Tahoma" w:hAnsi="Tahoma" w:cs="Tahoma"/>
                <w:bCs/>
                <w:sz w:val="18"/>
                <w:szCs w:val="18"/>
              </w:rPr>
            </w:pPr>
            <w:r w:rsidRPr="002D4ACF">
              <w:rPr>
                <w:rFonts w:ascii="Tahoma" w:hAnsi="Tahoma" w:cs="Tahoma"/>
                <w:bCs/>
                <w:sz w:val="18"/>
                <w:szCs w:val="18"/>
              </w:rPr>
              <w:t>1500 Армянских драм</w:t>
            </w:r>
          </w:p>
        </w:tc>
        <w:tc>
          <w:tcPr>
            <w:tcW w:w="1388" w:type="dxa"/>
            <w:gridSpan w:val="2"/>
            <w:noWrap/>
          </w:tcPr>
          <w:p w14:paraId="067C0E7A" w14:textId="77777777" w:rsidR="00DF74D7" w:rsidRPr="002D4ACF" w:rsidRDefault="00DF74D7" w:rsidP="00DD2371">
            <w:pPr>
              <w:jc w:val="center"/>
              <w:rPr>
                <w:rFonts w:ascii="Tahoma" w:hAnsi="Tahoma" w:cs="Tahoma"/>
                <w:bCs/>
                <w:sz w:val="18"/>
                <w:szCs w:val="18"/>
              </w:rPr>
            </w:pPr>
            <w:r w:rsidRPr="002D4ACF">
              <w:rPr>
                <w:rFonts w:ascii="Tahoma" w:hAnsi="Tahoma" w:cs="Tahoma"/>
                <w:bCs/>
                <w:sz w:val="18"/>
                <w:szCs w:val="18"/>
              </w:rPr>
              <w:t>20 000 Армянских драм</w:t>
            </w:r>
          </w:p>
        </w:tc>
      </w:tr>
      <w:tr w:rsidR="00DF74D7" w:rsidRPr="002D4ACF" w14:paraId="14AFA05E" w14:textId="77777777" w:rsidTr="00DD2371">
        <w:trPr>
          <w:trHeight w:val="525"/>
        </w:trPr>
        <w:tc>
          <w:tcPr>
            <w:tcW w:w="1064" w:type="dxa"/>
            <w:noWrap/>
          </w:tcPr>
          <w:p w14:paraId="2C57C8B5" w14:textId="77777777" w:rsidR="00DF74D7" w:rsidRPr="002D4ACF" w:rsidRDefault="00DF74D7" w:rsidP="00DD2371">
            <w:pPr>
              <w:rPr>
                <w:rFonts w:ascii="Tahoma" w:hAnsi="Tahoma" w:cs="Tahoma"/>
                <w:b/>
                <w:bCs/>
                <w:iCs/>
                <w:sz w:val="18"/>
                <w:szCs w:val="18"/>
              </w:rPr>
            </w:pPr>
          </w:p>
        </w:tc>
        <w:tc>
          <w:tcPr>
            <w:tcW w:w="1090" w:type="dxa"/>
            <w:gridSpan w:val="3"/>
            <w:noWrap/>
          </w:tcPr>
          <w:p w14:paraId="3EBB9C46"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1.1.10.2.6.</w:t>
            </w:r>
          </w:p>
        </w:tc>
        <w:tc>
          <w:tcPr>
            <w:tcW w:w="5217" w:type="dxa"/>
          </w:tcPr>
          <w:p w14:paraId="3E66FF13" w14:textId="77777777" w:rsidR="00DF74D7" w:rsidRPr="002D4ACF" w:rsidRDefault="00DF74D7" w:rsidP="00DD2371">
            <w:pPr>
              <w:rPr>
                <w:rFonts w:ascii="Tahoma" w:hAnsi="Tahoma" w:cs="Tahoma"/>
                <w:bCs/>
                <w:sz w:val="18"/>
                <w:szCs w:val="18"/>
              </w:rPr>
            </w:pPr>
            <w:r w:rsidRPr="002D4ACF">
              <w:rPr>
                <w:rFonts w:ascii="Tahoma" w:hAnsi="Tahoma" w:cs="Tahoma"/>
                <w:bCs/>
                <w:sz w:val="18"/>
                <w:szCs w:val="18"/>
              </w:rPr>
              <w:t xml:space="preserve">В пользу физических и юридических лиц в банки Турции в Турецких лирах </w:t>
            </w:r>
          </w:p>
        </w:tc>
        <w:tc>
          <w:tcPr>
            <w:tcW w:w="1277" w:type="dxa"/>
          </w:tcPr>
          <w:p w14:paraId="105446FC" w14:textId="77777777" w:rsidR="00DF74D7" w:rsidRPr="002D4ACF" w:rsidRDefault="00DF74D7" w:rsidP="00DD2371">
            <w:pPr>
              <w:jc w:val="center"/>
              <w:rPr>
                <w:rFonts w:ascii="Tahoma" w:hAnsi="Tahoma" w:cs="Tahoma"/>
                <w:bCs/>
                <w:sz w:val="18"/>
                <w:szCs w:val="18"/>
              </w:rPr>
            </w:pPr>
            <w:r w:rsidRPr="002D4ACF">
              <w:rPr>
                <w:rFonts w:ascii="Tahoma" w:hAnsi="Tahoma" w:cs="Tahoma"/>
                <w:bCs/>
                <w:sz w:val="18"/>
                <w:szCs w:val="18"/>
              </w:rPr>
              <w:t>1% от суммы перевода</w:t>
            </w:r>
          </w:p>
        </w:tc>
        <w:tc>
          <w:tcPr>
            <w:tcW w:w="1162" w:type="dxa"/>
            <w:gridSpan w:val="3"/>
            <w:noWrap/>
          </w:tcPr>
          <w:p w14:paraId="0C33E52D" w14:textId="77777777" w:rsidR="00DF74D7" w:rsidRPr="002D4ACF" w:rsidRDefault="00DF74D7" w:rsidP="00DD2371">
            <w:pPr>
              <w:jc w:val="center"/>
              <w:rPr>
                <w:rFonts w:ascii="Tahoma" w:hAnsi="Tahoma" w:cs="Tahoma"/>
                <w:bCs/>
                <w:sz w:val="18"/>
                <w:szCs w:val="18"/>
              </w:rPr>
            </w:pPr>
            <w:r w:rsidRPr="002D4ACF">
              <w:rPr>
                <w:rFonts w:ascii="Tahoma" w:hAnsi="Tahoma" w:cs="Tahoma"/>
                <w:bCs/>
                <w:sz w:val="18"/>
                <w:szCs w:val="18"/>
              </w:rPr>
              <w:t>3 000 Турецких лир</w:t>
            </w:r>
          </w:p>
        </w:tc>
        <w:tc>
          <w:tcPr>
            <w:tcW w:w="1388" w:type="dxa"/>
            <w:gridSpan w:val="2"/>
            <w:noWrap/>
          </w:tcPr>
          <w:p w14:paraId="3DEBA898" w14:textId="77777777" w:rsidR="00DF74D7" w:rsidRPr="002D4ACF" w:rsidRDefault="00DF74D7" w:rsidP="00DD2371">
            <w:pPr>
              <w:jc w:val="center"/>
              <w:rPr>
                <w:rFonts w:ascii="Tahoma" w:hAnsi="Tahoma" w:cs="Tahoma"/>
                <w:bCs/>
                <w:sz w:val="18"/>
                <w:szCs w:val="18"/>
              </w:rPr>
            </w:pPr>
            <w:r w:rsidRPr="002D4ACF">
              <w:rPr>
                <w:rFonts w:ascii="Tahoma" w:hAnsi="Tahoma" w:cs="Tahoma"/>
                <w:bCs/>
                <w:sz w:val="18"/>
                <w:szCs w:val="18"/>
              </w:rPr>
              <w:t>7 500 Турецких лир</w:t>
            </w:r>
          </w:p>
        </w:tc>
      </w:tr>
      <w:tr w:rsidR="00DF74D7" w:rsidRPr="002D4ACF" w14:paraId="2CEA51A2" w14:textId="77777777" w:rsidTr="00DD2371">
        <w:trPr>
          <w:trHeight w:val="510"/>
        </w:trPr>
        <w:tc>
          <w:tcPr>
            <w:tcW w:w="1064" w:type="dxa"/>
            <w:noWrap/>
            <w:hideMark/>
          </w:tcPr>
          <w:p w14:paraId="30A80520"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1.1.11.</w:t>
            </w:r>
          </w:p>
        </w:tc>
        <w:tc>
          <w:tcPr>
            <w:tcW w:w="1090" w:type="dxa"/>
            <w:gridSpan w:val="3"/>
            <w:noWrap/>
            <w:hideMark/>
          </w:tcPr>
          <w:p w14:paraId="38D96156"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 </w:t>
            </w:r>
          </w:p>
        </w:tc>
        <w:tc>
          <w:tcPr>
            <w:tcW w:w="5217" w:type="dxa"/>
            <w:hideMark/>
          </w:tcPr>
          <w:p w14:paraId="0677E960"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Оформление длительного поручения на перечисление денежных средств в рублях (в т.ч. для перечисления субсидий и иных социальных денежных компенсаций)**</w:t>
            </w:r>
          </w:p>
        </w:tc>
        <w:tc>
          <w:tcPr>
            <w:tcW w:w="1277" w:type="dxa"/>
            <w:noWrap/>
            <w:hideMark/>
          </w:tcPr>
          <w:p w14:paraId="4140C624"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БЕСПЛАТНО</w:t>
            </w:r>
          </w:p>
        </w:tc>
        <w:tc>
          <w:tcPr>
            <w:tcW w:w="1162" w:type="dxa"/>
            <w:gridSpan w:val="3"/>
            <w:noWrap/>
            <w:hideMark/>
          </w:tcPr>
          <w:p w14:paraId="6CFE2ABE" w14:textId="77777777" w:rsidR="00DF74D7" w:rsidRPr="002D4ACF" w:rsidRDefault="00DF74D7" w:rsidP="00DD2371">
            <w:pPr>
              <w:rPr>
                <w:rFonts w:ascii="Tahoma" w:hAnsi="Tahoma" w:cs="Tahoma"/>
                <w:sz w:val="20"/>
                <w:szCs w:val="20"/>
                <w:lang w:eastAsia="zh-CN"/>
              </w:rPr>
            </w:pPr>
          </w:p>
        </w:tc>
        <w:tc>
          <w:tcPr>
            <w:tcW w:w="1388" w:type="dxa"/>
            <w:gridSpan w:val="2"/>
            <w:noWrap/>
            <w:hideMark/>
          </w:tcPr>
          <w:p w14:paraId="6DBAA8CA" w14:textId="77777777" w:rsidR="00DF74D7" w:rsidRPr="002D4ACF" w:rsidRDefault="00DF74D7" w:rsidP="00DD2371">
            <w:pPr>
              <w:rPr>
                <w:rFonts w:ascii="Tahoma" w:hAnsi="Tahoma" w:cs="Tahoma"/>
                <w:sz w:val="20"/>
                <w:szCs w:val="20"/>
                <w:lang w:eastAsia="zh-CN"/>
              </w:rPr>
            </w:pPr>
          </w:p>
        </w:tc>
      </w:tr>
      <w:tr w:rsidR="00DF74D7" w:rsidRPr="002D4ACF" w14:paraId="787D0EB6" w14:textId="77777777" w:rsidTr="00DD2371">
        <w:trPr>
          <w:trHeight w:val="885"/>
        </w:trPr>
        <w:tc>
          <w:tcPr>
            <w:tcW w:w="1064" w:type="dxa"/>
            <w:noWrap/>
            <w:hideMark/>
          </w:tcPr>
          <w:p w14:paraId="344A7E42"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1.1.12.</w:t>
            </w:r>
          </w:p>
        </w:tc>
        <w:tc>
          <w:tcPr>
            <w:tcW w:w="1090" w:type="dxa"/>
            <w:gridSpan w:val="3"/>
            <w:noWrap/>
            <w:hideMark/>
          </w:tcPr>
          <w:p w14:paraId="28DA6B9E"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 </w:t>
            </w:r>
          </w:p>
        </w:tc>
        <w:tc>
          <w:tcPr>
            <w:tcW w:w="5217" w:type="dxa"/>
            <w:hideMark/>
          </w:tcPr>
          <w:p w14:paraId="5E5F445E"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Оформление платежного поручения на перечисление денежных средств (для перечисления в бюджетную систему РФ налога, сбора, пени, штрафов, предусмотренных Налоговым кодексом РФ, за исключением перечисления средств материнского капитала в Пенсионный фонд РФ)</w:t>
            </w:r>
          </w:p>
        </w:tc>
        <w:tc>
          <w:tcPr>
            <w:tcW w:w="1277" w:type="dxa"/>
            <w:hideMark/>
          </w:tcPr>
          <w:p w14:paraId="07CEBE4B"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61,00 руб. за одно поручение (в т.ч. НДС 10,17 руб)</w:t>
            </w:r>
          </w:p>
        </w:tc>
        <w:tc>
          <w:tcPr>
            <w:tcW w:w="1162" w:type="dxa"/>
            <w:gridSpan w:val="3"/>
            <w:noWrap/>
            <w:hideMark/>
          </w:tcPr>
          <w:p w14:paraId="2166E531" w14:textId="77777777" w:rsidR="00DF74D7" w:rsidRPr="002D4ACF" w:rsidRDefault="00DF74D7" w:rsidP="00DD2371">
            <w:pPr>
              <w:rPr>
                <w:rFonts w:ascii="Tahoma" w:hAnsi="Tahoma" w:cs="Tahoma"/>
                <w:sz w:val="20"/>
                <w:szCs w:val="20"/>
                <w:lang w:eastAsia="zh-CN"/>
              </w:rPr>
            </w:pPr>
          </w:p>
        </w:tc>
        <w:tc>
          <w:tcPr>
            <w:tcW w:w="1388" w:type="dxa"/>
            <w:gridSpan w:val="2"/>
            <w:noWrap/>
            <w:hideMark/>
          </w:tcPr>
          <w:p w14:paraId="03734725" w14:textId="77777777" w:rsidR="00DF74D7" w:rsidRPr="002D4ACF" w:rsidRDefault="00DF74D7" w:rsidP="00DD2371">
            <w:pPr>
              <w:rPr>
                <w:rFonts w:ascii="Tahoma" w:hAnsi="Tahoma" w:cs="Tahoma"/>
                <w:sz w:val="20"/>
                <w:szCs w:val="20"/>
                <w:lang w:eastAsia="zh-CN"/>
              </w:rPr>
            </w:pPr>
          </w:p>
        </w:tc>
      </w:tr>
      <w:tr w:rsidR="00DF74D7" w:rsidRPr="002D4ACF" w14:paraId="461A1AF2" w14:textId="77777777" w:rsidTr="00DD2371">
        <w:trPr>
          <w:trHeight w:val="645"/>
        </w:trPr>
        <w:tc>
          <w:tcPr>
            <w:tcW w:w="1064" w:type="dxa"/>
            <w:noWrap/>
            <w:hideMark/>
          </w:tcPr>
          <w:p w14:paraId="70AA45C3"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1.1.13.</w:t>
            </w:r>
          </w:p>
        </w:tc>
        <w:tc>
          <w:tcPr>
            <w:tcW w:w="1090" w:type="dxa"/>
            <w:gridSpan w:val="3"/>
            <w:noWrap/>
            <w:hideMark/>
          </w:tcPr>
          <w:p w14:paraId="4F434E8A"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 </w:t>
            </w:r>
          </w:p>
        </w:tc>
        <w:tc>
          <w:tcPr>
            <w:tcW w:w="5217" w:type="dxa"/>
            <w:hideMark/>
          </w:tcPr>
          <w:p w14:paraId="6428D1FB"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Перевод денежных средств по системе "Золотая корона",  «</w:t>
            </w:r>
            <w:r w:rsidRPr="002D4ACF">
              <w:rPr>
                <w:rFonts w:ascii="Tahoma" w:hAnsi="Tahoma" w:cs="Tahoma"/>
                <w:iCs/>
                <w:sz w:val="18"/>
                <w:szCs w:val="18"/>
                <w:lang w:val="en-US"/>
              </w:rPr>
              <w:t>CONTACT</w:t>
            </w:r>
            <w:r w:rsidRPr="002D4ACF">
              <w:rPr>
                <w:rFonts w:ascii="Tahoma" w:hAnsi="Tahoma" w:cs="Tahoma"/>
                <w:iCs/>
                <w:sz w:val="18"/>
                <w:szCs w:val="18"/>
              </w:rPr>
              <w:t>»</w:t>
            </w:r>
          </w:p>
        </w:tc>
        <w:tc>
          <w:tcPr>
            <w:tcW w:w="1277" w:type="dxa"/>
            <w:hideMark/>
          </w:tcPr>
          <w:p w14:paraId="0D0C7FD3"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В соответствии с тарифами платежной системы</w:t>
            </w:r>
          </w:p>
        </w:tc>
        <w:tc>
          <w:tcPr>
            <w:tcW w:w="1162" w:type="dxa"/>
            <w:gridSpan w:val="3"/>
            <w:noWrap/>
            <w:hideMark/>
          </w:tcPr>
          <w:p w14:paraId="33907BDF" w14:textId="77777777" w:rsidR="00DF74D7" w:rsidRPr="002D4ACF" w:rsidRDefault="00DF74D7" w:rsidP="00DD2371">
            <w:pPr>
              <w:rPr>
                <w:rFonts w:ascii="Tahoma" w:hAnsi="Tahoma" w:cs="Tahoma"/>
                <w:sz w:val="20"/>
                <w:szCs w:val="20"/>
                <w:lang w:eastAsia="zh-CN"/>
              </w:rPr>
            </w:pPr>
          </w:p>
        </w:tc>
        <w:tc>
          <w:tcPr>
            <w:tcW w:w="1388" w:type="dxa"/>
            <w:gridSpan w:val="2"/>
            <w:noWrap/>
            <w:hideMark/>
          </w:tcPr>
          <w:p w14:paraId="48ECF905" w14:textId="77777777" w:rsidR="00DF74D7" w:rsidRPr="002D4ACF" w:rsidRDefault="00DF74D7" w:rsidP="00DD2371">
            <w:pPr>
              <w:rPr>
                <w:rFonts w:ascii="Tahoma" w:hAnsi="Tahoma" w:cs="Tahoma"/>
                <w:sz w:val="20"/>
                <w:szCs w:val="20"/>
                <w:lang w:eastAsia="zh-CN"/>
              </w:rPr>
            </w:pPr>
          </w:p>
        </w:tc>
      </w:tr>
      <w:tr w:rsidR="00DF74D7" w:rsidRPr="002D4ACF" w14:paraId="2512FD7B" w14:textId="77777777" w:rsidTr="00DD2371">
        <w:trPr>
          <w:trHeight w:val="645"/>
        </w:trPr>
        <w:tc>
          <w:tcPr>
            <w:tcW w:w="1064" w:type="dxa"/>
            <w:noWrap/>
          </w:tcPr>
          <w:p w14:paraId="72887F7E"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1.1.14.</w:t>
            </w:r>
          </w:p>
        </w:tc>
        <w:tc>
          <w:tcPr>
            <w:tcW w:w="1090" w:type="dxa"/>
            <w:gridSpan w:val="3"/>
            <w:noWrap/>
          </w:tcPr>
          <w:p w14:paraId="798FECD8" w14:textId="77777777" w:rsidR="00DF74D7" w:rsidRPr="002D4ACF" w:rsidRDefault="00DF74D7" w:rsidP="00DD2371">
            <w:pPr>
              <w:jc w:val="both"/>
              <w:rPr>
                <w:rFonts w:ascii="Tahoma" w:hAnsi="Tahoma" w:cs="Tahoma"/>
                <w:iCs/>
                <w:sz w:val="18"/>
                <w:szCs w:val="18"/>
              </w:rPr>
            </w:pPr>
          </w:p>
        </w:tc>
        <w:tc>
          <w:tcPr>
            <w:tcW w:w="5217" w:type="dxa"/>
          </w:tcPr>
          <w:p w14:paraId="217E2636" w14:textId="77777777" w:rsidR="00DF74D7" w:rsidRPr="002D4ACF" w:rsidRDefault="00DF74D7" w:rsidP="00DD2371">
            <w:pPr>
              <w:ind w:left="32" w:right="34"/>
              <w:jc w:val="both"/>
              <w:rPr>
                <w:rFonts w:ascii="Tahoma" w:hAnsi="Tahoma" w:cs="Tahoma"/>
                <w:sz w:val="18"/>
                <w:szCs w:val="18"/>
              </w:rPr>
            </w:pPr>
            <w:r w:rsidRPr="002D4ACF">
              <w:rPr>
                <w:rFonts w:ascii="Tahoma" w:hAnsi="Tahoma" w:cs="Tahoma"/>
                <w:sz w:val="18"/>
                <w:szCs w:val="18"/>
              </w:rPr>
              <w:t>Комиссия за зачисление денежных средств на Текущий банковский счет в долларах США (входящий перевод), поступивших из-за Рубежа*</w:t>
            </w:r>
          </w:p>
          <w:p w14:paraId="7F8CB650" w14:textId="77777777" w:rsidR="00DF74D7" w:rsidRDefault="00DF74D7" w:rsidP="00DD2371">
            <w:pPr>
              <w:jc w:val="both"/>
              <w:rPr>
                <w:rFonts w:ascii="Tahoma" w:hAnsi="Tahoma" w:cs="Tahoma"/>
                <w:sz w:val="18"/>
                <w:szCs w:val="18"/>
              </w:rPr>
            </w:pPr>
            <w:r w:rsidRPr="002D4ACF">
              <w:rPr>
                <w:rFonts w:ascii="Tahoma" w:hAnsi="Tahoma" w:cs="Tahoma"/>
                <w:sz w:val="18"/>
                <w:szCs w:val="18"/>
              </w:rPr>
              <w:t>*За исключением сотрудников Генеральных консульств</w:t>
            </w:r>
          </w:p>
          <w:p w14:paraId="543B0CF4" w14:textId="77777777" w:rsidR="00DF74D7" w:rsidRPr="002D4ACF" w:rsidRDefault="00DF74D7" w:rsidP="00DD2371">
            <w:pPr>
              <w:jc w:val="both"/>
              <w:rPr>
                <w:rFonts w:ascii="Tahoma" w:hAnsi="Tahoma" w:cs="Tahoma"/>
                <w:iCs/>
                <w:sz w:val="18"/>
                <w:szCs w:val="18"/>
              </w:rPr>
            </w:pPr>
            <w:r>
              <w:rPr>
                <w:rFonts w:ascii="Tahoma" w:hAnsi="Tahoma" w:cs="Tahoma"/>
                <w:sz w:val="18"/>
                <w:szCs w:val="18"/>
              </w:rPr>
              <w:t>**За исключнием возвратов по ранее отправленным переводам</w:t>
            </w:r>
          </w:p>
        </w:tc>
        <w:tc>
          <w:tcPr>
            <w:tcW w:w="1277" w:type="dxa"/>
          </w:tcPr>
          <w:p w14:paraId="786CCA13" w14:textId="77777777" w:rsidR="00DF74D7" w:rsidRPr="002D4ACF" w:rsidRDefault="00DF74D7" w:rsidP="00DD2371">
            <w:pPr>
              <w:jc w:val="center"/>
              <w:rPr>
                <w:rFonts w:ascii="Tahoma" w:hAnsi="Tahoma" w:cs="Tahoma"/>
                <w:iCs/>
                <w:sz w:val="18"/>
                <w:szCs w:val="18"/>
              </w:rPr>
            </w:pPr>
            <w:r w:rsidRPr="002D4ACF">
              <w:rPr>
                <w:rFonts w:ascii="Tahoma" w:hAnsi="Tahoma" w:cs="Tahoma"/>
                <w:sz w:val="18"/>
                <w:szCs w:val="18"/>
              </w:rPr>
              <w:t>20% от суммы входящего перевода</w:t>
            </w:r>
          </w:p>
        </w:tc>
        <w:tc>
          <w:tcPr>
            <w:tcW w:w="1162" w:type="dxa"/>
            <w:gridSpan w:val="3"/>
            <w:noWrap/>
          </w:tcPr>
          <w:p w14:paraId="00912827" w14:textId="77777777" w:rsidR="00DF74D7" w:rsidRPr="002D4ACF" w:rsidRDefault="00DF74D7" w:rsidP="00DD2371">
            <w:pPr>
              <w:rPr>
                <w:rFonts w:ascii="Tahoma" w:hAnsi="Tahoma" w:cs="Tahoma"/>
                <w:sz w:val="18"/>
                <w:szCs w:val="18"/>
                <w:lang w:eastAsia="zh-CN"/>
              </w:rPr>
            </w:pPr>
          </w:p>
        </w:tc>
        <w:tc>
          <w:tcPr>
            <w:tcW w:w="1388" w:type="dxa"/>
            <w:gridSpan w:val="2"/>
            <w:noWrap/>
          </w:tcPr>
          <w:p w14:paraId="5BBE0D59" w14:textId="77777777" w:rsidR="00DF74D7" w:rsidRPr="002D4ACF" w:rsidRDefault="00DF74D7" w:rsidP="00DD2371">
            <w:pPr>
              <w:rPr>
                <w:rFonts w:ascii="Tahoma" w:hAnsi="Tahoma" w:cs="Tahoma"/>
                <w:sz w:val="18"/>
                <w:szCs w:val="18"/>
                <w:lang w:eastAsia="zh-CN"/>
              </w:rPr>
            </w:pPr>
          </w:p>
        </w:tc>
      </w:tr>
      <w:tr w:rsidR="00DF74D7" w:rsidRPr="002D4ACF" w14:paraId="25155BC6" w14:textId="77777777" w:rsidTr="00DD2371">
        <w:trPr>
          <w:trHeight w:val="1269"/>
        </w:trPr>
        <w:tc>
          <w:tcPr>
            <w:tcW w:w="11198" w:type="dxa"/>
            <w:gridSpan w:val="11"/>
            <w:hideMark/>
          </w:tcPr>
          <w:p w14:paraId="64931712" w14:textId="77777777" w:rsidR="00DF74D7" w:rsidRPr="002D4ACF" w:rsidRDefault="00DF74D7" w:rsidP="00DD2371">
            <w:pPr>
              <w:rPr>
                <w:rFonts w:ascii="Tahoma" w:hAnsi="Tahoma" w:cs="Tahoma"/>
                <w:iCs/>
                <w:sz w:val="14"/>
                <w:szCs w:val="16"/>
              </w:rPr>
            </w:pPr>
            <w:r w:rsidRPr="002D4ACF">
              <w:rPr>
                <w:rFonts w:ascii="Tahoma" w:hAnsi="Tahoma" w:cs="Tahoma"/>
                <w:iCs/>
                <w:sz w:val="14"/>
                <w:szCs w:val="16"/>
                <w:vertAlign w:val="superscript"/>
              </w:rPr>
              <w:t>8</w:t>
            </w:r>
            <w:r w:rsidRPr="002D4ACF">
              <w:rPr>
                <w:rFonts w:ascii="Tahoma" w:hAnsi="Tahoma" w:cs="Tahoma"/>
                <w:iCs/>
                <w:sz w:val="14"/>
                <w:szCs w:val="16"/>
              </w:rPr>
              <w:t xml:space="preserve"> За исключением единовременного перечисления денежных средств с Текущего банковского счета, поступивших безналичным путем из Акционерное общество «ДВИЦ Ипотечный центр» (АО «ДВИЦ»), на счет продавца, открытый в «Азиатско-Тихоокеанский Банк» (АО) при условии назначения платежа «Оплата по договору купли-продажи квартиры от _________ », а также за исключением переводов в рамках кредитования физических лиц по тарифному плану "Доверие АТБ", операции по которым производятся Бесплатно.</w:t>
            </w:r>
            <w:r w:rsidRPr="002D4ACF">
              <w:rPr>
                <w:rFonts w:ascii="Tahoma" w:hAnsi="Tahoma" w:cs="Tahoma"/>
                <w:iCs/>
                <w:sz w:val="14"/>
                <w:szCs w:val="16"/>
              </w:rPr>
              <w:br/>
            </w:r>
            <w:r w:rsidRPr="002D4ACF">
              <w:rPr>
                <w:rFonts w:ascii="Tahoma" w:hAnsi="Tahoma" w:cs="Tahoma"/>
                <w:iCs/>
                <w:sz w:val="14"/>
                <w:szCs w:val="16"/>
                <w:vertAlign w:val="superscript"/>
              </w:rPr>
              <w:t xml:space="preserve">9 </w:t>
            </w:r>
            <w:r w:rsidRPr="002D4ACF">
              <w:rPr>
                <w:rFonts w:ascii="Tahoma" w:hAnsi="Tahoma" w:cs="Tahoma"/>
                <w:iCs/>
                <w:sz w:val="14"/>
                <w:szCs w:val="16"/>
              </w:rPr>
              <w:t>Для Красноярского края, Приморского края, Еврейской автономной области, Сахалинской области, Республики Хакасия, Республики Саха (Якутия), г.Екатеринбург применяется Тариф в размере 2% от суммы операции (минимум 50 руб., максимум 1000 руб.)</w:t>
            </w:r>
          </w:p>
          <w:p w14:paraId="79E90100" w14:textId="77777777" w:rsidR="00DF74D7" w:rsidRPr="002D4ACF" w:rsidRDefault="00DF74D7" w:rsidP="00DD2371">
            <w:pPr>
              <w:ind w:right="186"/>
              <w:rPr>
                <w:rFonts w:ascii="Tahoma" w:hAnsi="Tahoma" w:cs="Tahoma"/>
                <w:iCs/>
                <w:sz w:val="14"/>
                <w:szCs w:val="16"/>
              </w:rPr>
            </w:pPr>
            <w:r w:rsidRPr="002D4ACF">
              <w:rPr>
                <w:rFonts w:ascii="Tahoma" w:hAnsi="Tahoma" w:cs="Tahoma"/>
                <w:iCs/>
                <w:sz w:val="14"/>
                <w:szCs w:val="16"/>
                <w:vertAlign w:val="superscript"/>
              </w:rPr>
              <w:t>10</w:t>
            </w:r>
            <w:r w:rsidRPr="002D4ACF">
              <w:rPr>
                <w:rFonts w:ascii="Tahoma" w:hAnsi="Tahoma" w:cs="Tahoma"/>
                <w:iCs/>
                <w:sz w:val="14"/>
                <w:szCs w:val="16"/>
              </w:rPr>
              <w:t xml:space="preserve"> Комиссия не взимается за перевод денежных средств без открытия счета и со счета физического лица (Текущий банковский счет, Номинальный счет, Срочный вклад, Вклад до востребования (в т.ч. Пенсионный), Счет банковской карты) на счета ООО «АльфаСтрахование-Жизнь» (ИНН 7715228310), АО «Группа Ренессанс Страхование» (ИНН 7725497022), АО «МАКС» (ИНН 7709031643), ООО «ПОНИМАЮ» (ИНН 7703418637), САО «ВСК» (ИНН 7710026574), ООО «Макс-Жизнь» (ИНН 7724510200), ООО «Медилог» (ИНН 7706459582), ООО СК «Росгосстрах Жизнь» (ИНН 7743504307), ООО СК «Альянс Жизнь» (ИНН 7702073683), ООО «Европейская Юридическая Служба» (ИНН 7703722933), АО «АльфаСтрахование» (ИНН 7713056834), АО «НПФ ГАЗФОНД пенсионные накопления» (ИНН 7726486023), </w:t>
            </w:r>
            <w:r w:rsidRPr="002D4ACF">
              <w:rPr>
                <w:rFonts w:ascii="Tahoma" w:hAnsi="Tahoma" w:cs="Tahoma"/>
                <w:iCs/>
                <w:sz w:val="14"/>
                <w:szCs w:val="14"/>
              </w:rPr>
              <w:t>ООО "Теледоктор 24" (ИНН 7731571690), ООО "МК Доктор Рядом" (ИНН 7736253130), ООО "Юридические решения" (ИНН 9718083320), ООО "СК "Ренессанс Жизнь" (7725520440), ООО СК "СБЕРБАНК СТРАХОВАНИЕ" (ИНН 7706810747), ООО «ВетЭксперт» (ИНН 9721023843), ООО «Д.С. Дистрибьютор» (ИНН 7797746316635)</w:t>
            </w:r>
            <w:r w:rsidRPr="002D4ACF">
              <w:rPr>
                <w:rFonts w:ascii="Tahoma" w:hAnsi="Tahoma" w:cs="Tahoma"/>
                <w:iCs/>
                <w:sz w:val="14"/>
                <w:szCs w:val="16"/>
              </w:rPr>
              <w:t xml:space="preserve"> открытые в Банке/Филиалах «Азиатско-Тихоокеанский Банк» (АО).</w:t>
            </w:r>
            <w:r w:rsidRPr="002D4ACF">
              <w:rPr>
                <w:rFonts w:ascii="Tahoma" w:hAnsi="Tahoma" w:cs="Tahoma"/>
                <w:iCs/>
                <w:sz w:val="14"/>
                <w:szCs w:val="16"/>
              </w:rPr>
              <w:br/>
            </w:r>
            <w:r w:rsidRPr="002D4ACF">
              <w:rPr>
                <w:rFonts w:ascii="Tahoma" w:hAnsi="Tahoma" w:cs="Tahoma"/>
                <w:iCs/>
                <w:sz w:val="14"/>
                <w:szCs w:val="16"/>
                <w:vertAlign w:val="superscript"/>
              </w:rPr>
              <w:t>11</w:t>
            </w:r>
            <w:r w:rsidRPr="002D4ACF">
              <w:rPr>
                <w:rFonts w:ascii="Tahoma" w:hAnsi="Tahoma" w:cs="Tahoma"/>
                <w:iCs/>
                <w:sz w:val="14"/>
                <w:szCs w:val="16"/>
              </w:rPr>
              <w:t>За исключением перевода денежных средств без открытия счета в счет погашения кредитов в рамках тарифного плана «Рефинансирование», за исключением перевода денежных средств без открытия счета в счет погашения кредитов КБ "Юниаструм Банк" (ООО) в подразделениях ОО №75 в г. Хабаровск "Азиатско-Тихоокеанский Банк" (АО), ОО № 18 в г. Владивосток "Азиатско-Тихоокеанский Банк" (АО), ОО № 100 в г. Магадан «Азиатско-Тихоокеанский Банк» (АО), за исключением перевода денежных средств в счет погашения кредитов АО "Райффайзенбанк" в подразделениях «Азиатско-Тихоокеанский Банк» (АО) г. Читы, г. Ангарска, г. Братска, г. Барнаула, г. Владивостока, г. Петропавловска-Камчатского, г. Благовещенска, г. Магадана, г. Якутска, г. Хабаровска, а также перевода денежных средств без открытия счета в счет погашения кредитов ПАО "МДМ Банк" в подразделениях «Азиатско-Тихоокеанский Банк» (АО) в г. Братске и в г. Вихоревке Иркутской области, за исключением перевода денежных средств в счет погашения кредитов Хабаровского филиала ОАО АКБ «Банк Москвы» в подразделениях «Азиатско-Тихоокеанский Банк» (АО) в г. Благовещенске и г. Комсомольске-на-Амуре, за исключением денежных средств для перевода в пользу ПАО М2М Прайвет Банк, операции по которым производятся Бесплатно; За исключением перевода денежных средств в счет погашения кредитов ОАО «Банк Российский кредит» в подразделениях «Азиатско-Тихоокеанский Банк» (АО) на территории Республики Хакасия, в г. Минусинске и в п. Шушенское Красноярского края, для которых применяется Тариф в размере 1,5% от суммы операции, минимум 100 рублей, максимум 2000 рублей;</w:t>
            </w:r>
          </w:p>
          <w:p w14:paraId="7AD859AD" w14:textId="77777777" w:rsidR="00DF74D7" w:rsidRPr="002D4ACF" w:rsidRDefault="00DF74D7" w:rsidP="00DD2371">
            <w:pPr>
              <w:rPr>
                <w:rFonts w:ascii="Tahoma" w:hAnsi="Tahoma" w:cs="Tahoma"/>
                <w:iCs/>
                <w:sz w:val="14"/>
                <w:szCs w:val="16"/>
              </w:rPr>
            </w:pPr>
            <w:r w:rsidRPr="002D4ACF">
              <w:rPr>
                <w:rFonts w:ascii="Tahoma" w:hAnsi="Tahoma" w:cs="Tahoma"/>
                <w:iCs/>
                <w:sz w:val="14"/>
                <w:szCs w:val="16"/>
                <w:vertAlign w:val="superscript"/>
              </w:rPr>
              <w:t xml:space="preserve">12 </w:t>
            </w:r>
            <w:r w:rsidRPr="002D4ACF">
              <w:rPr>
                <w:rFonts w:ascii="Tahoma" w:hAnsi="Tahoma" w:cs="Tahoma"/>
                <w:iCs/>
                <w:sz w:val="14"/>
                <w:szCs w:val="16"/>
              </w:rPr>
              <w:t>Комиссия не взимается за перевод денежных средств без открытия счета и со счета физического лица (Текущий банковский счет, Номинальный счет, Срочный вклад, Вклад до востребования (в т.ч. Пенсионный), Счет банковской карты) на счета ООО «ЮниСейф» (ИНН 7725806312), ООО «Понимаю» (ИНН 7703418637),</w:t>
            </w:r>
            <w:r w:rsidRPr="002D4ACF">
              <w:t xml:space="preserve"> </w:t>
            </w:r>
            <w:r w:rsidRPr="002D4ACF">
              <w:rPr>
                <w:rFonts w:ascii="Tahoma" w:hAnsi="Tahoma" w:cs="Tahoma"/>
                <w:iCs/>
                <w:sz w:val="14"/>
                <w:szCs w:val="16"/>
              </w:rPr>
              <w:t xml:space="preserve">ООО «Медилог» (ИНН 7706459582), ООО СК «Росгосстрах Жизнь» (ИНН 7743504307), </w:t>
            </w:r>
            <w:r w:rsidRPr="002D4ACF">
              <w:rPr>
                <w:rFonts w:ascii="Tahoma" w:hAnsi="Tahoma" w:cs="Tahoma"/>
                <w:iCs/>
                <w:sz w:val="14"/>
                <w:szCs w:val="14"/>
              </w:rPr>
              <w:t xml:space="preserve">АО «НПФ ГАЗФОНД пенсионные накопления» </w:t>
            </w:r>
            <w:r w:rsidRPr="002D4ACF">
              <w:rPr>
                <w:rFonts w:ascii="Tahoma" w:hAnsi="Tahoma" w:cs="Tahoma"/>
                <w:iCs/>
                <w:sz w:val="14"/>
                <w:szCs w:val="16"/>
              </w:rPr>
              <w:t>(ИНН 7726486023)</w:t>
            </w:r>
            <w:r w:rsidRPr="002D4ACF">
              <w:rPr>
                <w:rFonts w:ascii="Tahoma" w:hAnsi="Tahoma" w:cs="Tahoma"/>
                <w:iCs/>
                <w:sz w:val="14"/>
                <w:szCs w:val="14"/>
              </w:rPr>
              <w:t>, ООО "Теледоктор 24" (ИНН 7731571690), ООО "МК Доктор Рядом" (ИНН 7736253130), ООО "Юридические решения" (ИНН 9718083320), ООО "СК "Ренессанс Жизнь" (7725520440), ООО СК "СБЕРБАНК СТРАХОВАНИЕ" (ИНН 7706810747), ООО «ВетЭксперт» (ИНН 9721023843), ООО «Д.С. Дистрибьютор» (ИНН 7797746316635)</w:t>
            </w:r>
            <w:r w:rsidRPr="002D4ACF">
              <w:rPr>
                <w:rFonts w:ascii="Tahoma" w:hAnsi="Tahoma" w:cs="Tahoma"/>
                <w:iCs/>
                <w:sz w:val="14"/>
                <w:szCs w:val="16"/>
              </w:rPr>
              <w:t xml:space="preserve"> </w:t>
            </w:r>
            <w:r w:rsidRPr="002D4ACF">
              <w:rPr>
                <w:rFonts w:ascii="Tahoma" w:hAnsi="Tahoma" w:cs="Tahoma"/>
                <w:iCs/>
                <w:sz w:val="14"/>
                <w:szCs w:val="14"/>
              </w:rPr>
              <w:t>открытые в других банках</w:t>
            </w:r>
            <w:r w:rsidRPr="002D4ACF">
              <w:rPr>
                <w:rFonts w:ascii="Tahoma" w:hAnsi="Tahoma" w:cs="Tahoma"/>
                <w:iCs/>
                <w:sz w:val="14"/>
                <w:szCs w:val="16"/>
              </w:rPr>
              <w:t>.</w:t>
            </w:r>
          </w:p>
          <w:p w14:paraId="58F54BA4" w14:textId="77777777" w:rsidR="00DF74D7" w:rsidRPr="002D4ACF" w:rsidRDefault="00DF74D7" w:rsidP="00DD2371">
            <w:pPr>
              <w:rPr>
                <w:rFonts w:ascii="Tahoma" w:hAnsi="Tahoma" w:cs="Tahoma"/>
                <w:iCs/>
                <w:sz w:val="14"/>
                <w:szCs w:val="16"/>
              </w:rPr>
            </w:pPr>
            <w:r w:rsidRPr="002D4ACF">
              <w:rPr>
                <w:rFonts w:ascii="Tahoma" w:hAnsi="Tahoma" w:cs="Tahoma"/>
                <w:iCs/>
                <w:sz w:val="14"/>
                <w:szCs w:val="16"/>
                <w:vertAlign w:val="superscript"/>
              </w:rPr>
              <w:t>13</w:t>
            </w:r>
            <w:r w:rsidRPr="002D4ACF">
              <w:rPr>
                <w:rFonts w:ascii="Tahoma" w:hAnsi="Tahoma" w:cs="Tahoma"/>
                <w:iCs/>
                <w:sz w:val="14"/>
                <w:szCs w:val="16"/>
              </w:rPr>
              <w:t xml:space="preserve"> В пользу дошкольных, общеобразовательных, профессиональных, высших образовательных учреждений, учреждений дополнительного (профессионального) образования.</w:t>
            </w:r>
            <w:r w:rsidRPr="002D4ACF">
              <w:rPr>
                <w:rFonts w:ascii="Tahoma" w:hAnsi="Tahoma" w:cs="Tahoma"/>
                <w:iCs/>
                <w:sz w:val="14"/>
                <w:szCs w:val="16"/>
              </w:rPr>
              <w:br/>
            </w:r>
            <w:r w:rsidRPr="002D4ACF">
              <w:rPr>
                <w:rFonts w:ascii="Tahoma" w:hAnsi="Tahoma" w:cs="Tahoma"/>
                <w:iCs/>
                <w:sz w:val="14"/>
                <w:szCs w:val="16"/>
                <w:vertAlign w:val="superscript"/>
              </w:rPr>
              <w:t>14</w:t>
            </w:r>
            <w:r w:rsidRPr="002D4ACF">
              <w:rPr>
                <w:rFonts w:ascii="Tahoma" w:hAnsi="Tahoma" w:cs="Tahoma"/>
                <w:iCs/>
                <w:sz w:val="14"/>
                <w:szCs w:val="16"/>
              </w:rPr>
              <w:t xml:space="preserve"> При осуществлении переводов в иностранной валюте комиссии банков-корреспондентов не взимаются.</w:t>
            </w:r>
            <w:r w:rsidRPr="002D4ACF">
              <w:rPr>
                <w:rFonts w:ascii="Tahoma" w:hAnsi="Tahoma" w:cs="Tahoma"/>
                <w:iCs/>
                <w:sz w:val="14"/>
                <w:szCs w:val="16"/>
              </w:rPr>
              <w:br/>
            </w:r>
            <w:r w:rsidRPr="002D4ACF">
              <w:rPr>
                <w:rFonts w:ascii="Tahoma" w:hAnsi="Tahoma" w:cs="Tahoma"/>
                <w:iCs/>
                <w:sz w:val="14"/>
                <w:szCs w:val="16"/>
                <w:vertAlign w:val="superscript"/>
              </w:rPr>
              <w:lastRenderedPageBreak/>
              <w:t>15</w:t>
            </w:r>
            <w:r w:rsidRPr="002D4ACF">
              <w:rPr>
                <w:rFonts w:ascii="Tahoma" w:hAnsi="Tahoma" w:cs="Tahoma"/>
                <w:iCs/>
                <w:sz w:val="14"/>
                <w:szCs w:val="16"/>
              </w:rPr>
              <w:t xml:space="preserve"> Переводы осуществляются в соответствии с требованиями Федерального закона 173-ФЗ от 10.12.2003 г. (с учетом ограничений на переводы в иностранной валюте, установленные федеральными законами и иными нормативными правовыми актами).</w:t>
            </w:r>
          </w:p>
          <w:p w14:paraId="5563ADEA" w14:textId="77777777" w:rsidR="00DF74D7" w:rsidRPr="002D4ACF" w:rsidRDefault="00DF74D7" w:rsidP="00DD2371">
            <w:pPr>
              <w:rPr>
                <w:rFonts w:ascii="Tahoma" w:hAnsi="Tahoma" w:cs="Tahoma"/>
                <w:iCs/>
                <w:sz w:val="14"/>
                <w:szCs w:val="16"/>
              </w:rPr>
            </w:pPr>
            <w:r w:rsidRPr="002D4ACF">
              <w:rPr>
                <w:rFonts w:ascii="Tahoma" w:hAnsi="Tahoma" w:cs="Tahoma"/>
                <w:iCs/>
                <w:sz w:val="14"/>
                <w:szCs w:val="16"/>
                <w:vertAlign w:val="superscript"/>
              </w:rPr>
              <w:t>16</w:t>
            </w:r>
            <w:r w:rsidRPr="002D4ACF">
              <w:rPr>
                <w:rFonts w:ascii="Tahoma" w:hAnsi="Tahoma" w:cs="Tahoma"/>
                <w:iCs/>
                <w:sz w:val="14"/>
                <w:szCs w:val="16"/>
              </w:rPr>
              <w:t>Для подразделений Банка, находящихся на территории Приморского края, Иркутской области, Хабаровского края и Сахалинской области применяется комиссия за перевод денежных средств* в размере:</w:t>
            </w:r>
          </w:p>
          <w:p w14:paraId="6C13D3F4" w14:textId="77777777" w:rsidR="00DF74D7" w:rsidRPr="002D4ACF" w:rsidRDefault="00DF74D7" w:rsidP="00DD2371">
            <w:pPr>
              <w:rPr>
                <w:rFonts w:ascii="Tahoma" w:hAnsi="Tahoma" w:cs="Tahoma"/>
                <w:iCs/>
                <w:sz w:val="14"/>
                <w:szCs w:val="16"/>
              </w:rPr>
            </w:pPr>
            <w:r w:rsidRPr="002D4ACF">
              <w:rPr>
                <w:rFonts w:ascii="Tahoma" w:hAnsi="Tahoma" w:cs="Tahoma"/>
                <w:iCs/>
                <w:sz w:val="14"/>
                <w:szCs w:val="16"/>
              </w:rPr>
              <w:t>- при сумме перевода до 1 500 000 Японских йен: 8 000 Японских йен за перевод</w:t>
            </w:r>
          </w:p>
          <w:p w14:paraId="4FB731B3" w14:textId="77777777" w:rsidR="00DF74D7" w:rsidRPr="002D4ACF" w:rsidRDefault="00DF74D7" w:rsidP="00DD2371">
            <w:pPr>
              <w:rPr>
                <w:rFonts w:ascii="Tahoma" w:hAnsi="Tahoma" w:cs="Tahoma"/>
                <w:iCs/>
                <w:sz w:val="14"/>
                <w:szCs w:val="16"/>
              </w:rPr>
            </w:pPr>
            <w:r w:rsidRPr="002D4ACF">
              <w:rPr>
                <w:rFonts w:ascii="Tahoma" w:hAnsi="Tahoma" w:cs="Tahoma"/>
                <w:iCs/>
                <w:sz w:val="14"/>
                <w:szCs w:val="16"/>
              </w:rPr>
              <w:t>- при сумме перевода от 1 500 001 до 3 000 000 Японских йен: 9 500 Японских йен за перевод</w:t>
            </w:r>
          </w:p>
          <w:p w14:paraId="41FA75D2" w14:textId="77777777" w:rsidR="00DF74D7" w:rsidRPr="002D4ACF" w:rsidRDefault="00DF74D7" w:rsidP="00DD2371">
            <w:pPr>
              <w:rPr>
                <w:rFonts w:ascii="Tahoma" w:hAnsi="Tahoma" w:cs="Tahoma"/>
                <w:iCs/>
                <w:sz w:val="14"/>
                <w:szCs w:val="16"/>
              </w:rPr>
            </w:pPr>
            <w:r w:rsidRPr="002D4ACF">
              <w:rPr>
                <w:rFonts w:ascii="Tahoma" w:hAnsi="Tahoma" w:cs="Tahoma"/>
                <w:iCs/>
                <w:sz w:val="14"/>
                <w:szCs w:val="16"/>
              </w:rPr>
              <w:t>- при сумме перевода от 3 000 001 Японских йен: 11 000 Японских йен за перевод</w:t>
            </w:r>
          </w:p>
          <w:p w14:paraId="4086D24E" w14:textId="77777777" w:rsidR="00DF74D7" w:rsidRPr="002D4ACF" w:rsidRDefault="00DF74D7" w:rsidP="00DD2371">
            <w:pPr>
              <w:rPr>
                <w:rFonts w:ascii="Tahoma" w:hAnsi="Tahoma" w:cs="Tahoma"/>
                <w:iCs/>
                <w:sz w:val="14"/>
                <w:szCs w:val="16"/>
              </w:rPr>
            </w:pPr>
            <w:r w:rsidRPr="002D4ACF">
              <w:rPr>
                <w:rFonts w:ascii="Tahoma" w:hAnsi="Tahoma" w:cs="Tahoma"/>
                <w:iCs/>
                <w:sz w:val="14"/>
                <w:szCs w:val="16"/>
                <w:vertAlign w:val="superscript"/>
              </w:rPr>
              <w:t>17</w:t>
            </w:r>
            <w:r w:rsidRPr="002D4ACF">
              <w:rPr>
                <w:rFonts w:ascii="Tahoma" w:hAnsi="Tahoma" w:cs="Tahoma"/>
                <w:iCs/>
                <w:sz w:val="14"/>
                <w:szCs w:val="16"/>
              </w:rPr>
              <w:t>Для подразделений Банка, находящихс</w:t>
            </w:r>
            <w:r w:rsidRPr="002D4ACF">
              <w:rPr>
                <w:rFonts w:ascii="Tahoma" w:hAnsi="Tahoma" w:cs="Tahoma"/>
                <w:iCs/>
                <w:sz w:val="14"/>
                <w:szCs w:val="14"/>
              </w:rPr>
              <w:t xml:space="preserve">я на территории Приморского края, Хабаровского края, </w:t>
            </w:r>
            <w:r w:rsidRPr="002D4ACF">
              <w:rPr>
                <w:rFonts w:ascii="Tahoma" w:hAnsi="Tahoma" w:cs="Tahoma"/>
                <w:sz w:val="14"/>
                <w:szCs w:val="14"/>
              </w:rPr>
              <w:t xml:space="preserve">Амурской области, Камчатского края, Сахалинской области, г. Москва, Забайкальского края </w:t>
            </w:r>
            <w:r w:rsidRPr="002D4ACF">
              <w:rPr>
                <w:rFonts w:ascii="Tahoma" w:hAnsi="Tahoma" w:cs="Tahoma"/>
                <w:iCs/>
                <w:sz w:val="14"/>
                <w:szCs w:val="14"/>
              </w:rPr>
              <w:t>применяется</w:t>
            </w:r>
            <w:r w:rsidRPr="002D4ACF">
              <w:rPr>
                <w:rFonts w:ascii="Tahoma" w:hAnsi="Tahoma" w:cs="Tahoma"/>
                <w:iCs/>
                <w:sz w:val="14"/>
                <w:szCs w:val="16"/>
              </w:rPr>
              <w:t xml:space="preserve"> комиссия за перевод денежных средств в размере:</w:t>
            </w:r>
          </w:p>
          <w:p w14:paraId="0F3ECC16" w14:textId="77777777" w:rsidR="00DF74D7" w:rsidRPr="002D4ACF" w:rsidRDefault="00DF74D7" w:rsidP="00DD2371">
            <w:pPr>
              <w:rPr>
                <w:rFonts w:ascii="Tahoma" w:hAnsi="Tahoma" w:cs="Tahoma"/>
                <w:bCs/>
                <w:sz w:val="14"/>
                <w:szCs w:val="14"/>
              </w:rPr>
            </w:pPr>
            <w:r w:rsidRPr="002D4ACF">
              <w:rPr>
                <w:rFonts w:ascii="Tahoma" w:hAnsi="Tahoma" w:cs="Tahoma"/>
                <w:bCs/>
                <w:sz w:val="14"/>
                <w:szCs w:val="14"/>
              </w:rPr>
              <w:t>1,5% от суммы перевода минимум -170 Китайских юаней максимум - 1 100 Китайских юаней.</w:t>
            </w:r>
          </w:p>
          <w:p w14:paraId="772821FC" w14:textId="77777777" w:rsidR="00DF74D7" w:rsidRPr="002D4ACF" w:rsidRDefault="00DF74D7" w:rsidP="00DD2371">
            <w:pPr>
              <w:rPr>
                <w:rFonts w:ascii="Tahoma" w:hAnsi="Tahoma" w:cs="Tahoma"/>
                <w:iCs/>
                <w:sz w:val="14"/>
                <w:szCs w:val="14"/>
              </w:rPr>
            </w:pPr>
            <w:r w:rsidRPr="002D4ACF">
              <w:rPr>
                <w:rFonts w:ascii="Tahoma" w:hAnsi="Tahoma" w:cs="Tahoma"/>
                <w:iCs/>
                <w:sz w:val="14"/>
                <w:szCs w:val="16"/>
                <w:vertAlign w:val="superscript"/>
              </w:rPr>
              <w:t>18</w:t>
            </w:r>
            <w:r w:rsidRPr="002D4ACF">
              <w:rPr>
                <w:rFonts w:ascii="Tahoma" w:hAnsi="Tahoma" w:cs="Tahoma"/>
                <w:iCs/>
                <w:sz w:val="14"/>
                <w:szCs w:val="16"/>
              </w:rPr>
              <w:t>Для подразделений Банка, находящихс</w:t>
            </w:r>
            <w:r w:rsidRPr="002D4ACF">
              <w:rPr>
                <w:rFonts w:ascii="Tahoma" w:hAnsi="Tahoma" w:cs="Tahoma"/>
                <w:iCs/>
                <w:sz w:val="14"/>
                <w:szCs w:val="14"/>
              </w:rPr>
              <w:t>я на территории Республики Бурятия применяется комиссия за перевод денежных средств в размере:</w:t>
            </w:r>
          </w:p>
          <w:p w14:paraId="59ACB103" w14:textId="77777777" w:rsidR="00DF74D7" w:rsidRPr="002D4ACF" w:rsidRDefault="00DF74D7" w:rsidP="00DD2371">
            <w:pPr>
              <w:rPr>
                <w:rFonts w:ascii="Tahoma" w:hAnsi="Tahoma" w:cs="Tahoma"/>
                <w:iCs/>
                <w:sz w:val="14"/>
                <w:szCs w:val="14"/>
              </w:rPr>
            </w:pPr>
            <w:r w:rsidRPr="002D4ACF">
              <w:rPr>
                <w:rFonts w:ascii="Tahoma" w:hAnsi="Tahoma" w:cs="Tahoma"/>
                <w:iCs/>
                <w:sz w:val="14"/>
                <w:szCs w:val="14"/>
              </w:rPr>
              <w:t>1% от суммы перевода, минимум 9 500 Японских йен + 4 500 Японских йен.</w:t>
            </w:r>
          </w:p>
          <w:p w14:paraId="510FB2A8" w14:textId="77777777" w:rsidR="00DF74D7" w:rsidRPr="002D4ACF" w:rsidRDefault="00DF74D7" w:rsidP="00DD2371">
            <w:pPr>
              <w:rPr>
                <w:rFonts w:ascii="Tahoma" w:hAnsi="Tahoma" w:cs="Tahoma"/>
                <w:iCs/>
                <w:sz w:val="14"/>
                <w:szCs w:val="14"/>
              </w:rPr>
            </w:pPr>
            <w:r w:rsidRPr="002D4ACF">
              <w:rPr>
                <w:rFonts w:ascii="Tahoma" w:hAnsi="Tahoma" w:cs="Tahoma"/>
                <w:iCs/>
                <w:sz w:val="14"/>
                <w:szCs w:val="16"/>
                <w:vertAlign w:val="superscript"/>
              </w:rPr>
              <w:t>19</w:t>
            </w:r>
            <w:r w:rsidRPr="002D4ACF">
              <w:rPr>
                <w:rFonts w:ascii="Tahoma" w:hAnsi="Tahoma" w:cs="Tahoma"/>
                <w:iCs/>
                <w:sz w:val="14"/>
                <w:szCs w:val="16"/>
              </w:rPr>
              <w:t>Для подразделений Банка, находящихс</w:t>
            </w:r>
            <w:r w:rsidRPr="002D4ACF">
              <w:rPr>
                <w:rFonts w:ascii="Tahoma" w:hAnsi="Tahoma" w:cs="Tahoma"/>
                <w:iCs/>
                <w:sz w:val="14"/>
                <w:szCs w:val="14"/>
              </w:rPr>
              <w:t>я на территории Республики Бурятия применяется комиссия за перевод денежных средств в размере:</w:t>
            </w:r>
          </w:p>
          <w:p w14:paraId="6245A674" w14:textId="77777777" w:rsidR="00DF74D7" w:rsidRPr="002D4ACF" w:rsidRDefault="00DF74D7" w:rsidP="00DD2371">
            <w:pPr>
              <w:rPr>
                <w:rFonts w:ascii="Tahoma" w:hAnsi="Tahoma" w:cs="Tahoma"/>
                <w:iCs/>
                <w:sz w:val="14"/>
                <w:szCs w:val="14"/>
              </w:rPr>
            </w:pPr>
            <w:r w:rsidRPr="002D4ACF">
              <w:rPr>
                <w:rFonts w:ascii="Tahoma" w:hAnsi="Tahoma" w:cs="Tahoma"/>
                <w:bCs/>
                <w:sz w:val="14"/>
                <w:szCs w:val="14"/>
              </w:rPr>
              <w:t>1,5% от суммы перевода минимум -170 Китайских юаней максимум – 2 700 Китайских юаней.</w:t>
            </w:r>
          </w:p>
          <w:p w14:paraId="250F9EA9" w14:textId="77777777" w:rsidR="00DF74D7" w:rsidRPr="002D4ACF" w:rsidRDefault="00DF74D7" w:rsidP="00DD2371">
            <w:pPr>
              <w:rPr>
                <w:rFonts w:ascii="Tahoma" w:hAnsi="Tahoma" w:cs="Tahoma"/>
                <w:iCs/>
                <w:sz w:val="14"/>
                <w:szCs w:val="16"/>
              </w:rPr>
            </w:pPr>
            <w:r w:rsidRPr="002D4ACF">
              <w:rPr>
                <w:rFonts w:ascii="Tahoma" w:hAnsi="Tahoma" w:cs="Tahoma"/>
                <w:iCs/>
                <w:sz w:val="14"/>
                <w:szCs w:val="16"/>
              </w:rPr>
              <w:t>*</w:t>
            </w:r>
            <w:r w:rsidRPr="002D4ACF">
              <w:t xml:space="preserve"> </w:t>
            </w:r>
            <w:r w:rsidRPr="002D4ACF">
              <w:rPr>
                <w:rFonts w:ascii="Tahoma" w:hAnsi="Tahoma" w:cs="Tahoma"/>
                <w:iCs/>
                <w:sz w:val="14"/>
                <w:szCs w:val="16"/>
              </w:rPr>
              <w:t>уплачивается Банку отправителем перевода денежных средств до осуществления перевода.</w:t>
            </w:r>
          </w:p>
          <w:p w14:paraId="63469029" w14:textId="77777777" w:rsidR="00DF74D7" w:rsidRPr="002D4ACF" w:rsidRDefault="00DF74D7" w:rsidP="00DD2371">
            <w:pPr>
              <w:rPr>
                <w:rFonts w:ascii="Tahoma" w:hAnsi="Tahoma" w:cs="Tahoma"/>
                <w:iCs/>
                <w:sz w:val="14"/>
                <w:szCs w:val="16"/>
              </w:rPr>
            </w:pPr>
            <w:r w:rsidRPr="002D4ACF">
              <w:rPr>
                <w:rFonts w:ascii="Tahoma" w:hAnsi="Tahoma" w:cs="Tahoma"/>
                <w:iCs/>
                <w:sz w:val="14"/>
                <w:szCs w:val="16"/>
              </w:rPr>
              <w:t>**Оформление длительного поручения на перечисление денежных средств в иностранной валюте не осуществляется</w:t>
            </w:r>
          </w:p>
        </w:tc>
      </w:tr>
      <w:tr w:rsidR="00DF74D7" w:rsidRPr="002D4ACF" w14:paraId="27ED288E" w14:textId="77777777" w:rsidTr="00DD2371">
        <w:trPr>
          <w:trHeight w:val="88"/>
        </w:trPr>
        <w:tc>
          <w:tcPr>
            <w:tcW w:w="11198" w:type="dxa"/>
            <w:gridSpan w:val="11"/>
          </w:tcPr>
          <w:p w14:paraId="3F6E7D77" w14:textId="77777777" w:rsidR="00DF74D7" w:rsidRPr="002D4ACF" w:rsidRDefault="00DF74D7" w:rsidP="00DD2371">
            <w:pPr>
              <w:rPr>
                <w:rFonts w:ascii="Tahoma" w:hAnsi="Tahoma" w:cs="Tahoma"/>
                <w:b/>
                <w:bCs/>
                <w:iCs/>
                <w:sz w:val="18"/>
                <w:szCs w:val="18"/>
              </w:rPr>
            </w:pPr>
          </w:p>
          <w:p w14:paraId="0CD02376"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Аккредитивные операции</w:t>
            </w:r>
          </w:p>
        </w:tc>
      </w:tr>
      <w:tr w:rsidR="00DF74D7" w:rsidRPr="002D4ACF" w14:paraId="71333CBD" w14:textId="77777777" w:rsidTr="00DD2371">
        <w:trPr>
          <w:trHeight w:val="390"/>
        </w:trPr>
        <w:tc>
          <w:tcPr>
            <w:tcW w:w="1064" w:type="dxa"/>
            <w:noWrap/>
            <w:hideMark/>
          </w:tcPr>
          <w:p w14:paraId="50399C63"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1.1.15.</w:t>
            </w:r>
          </w:p>
        </w:tc>
        <w:tc>
          <w:tcPr>
            <w:tcW w:w="1090" w:type="dxa"/>
            <w:gridSpan w:val="3"/>
            <w:noWrap/>
            <w:hideMark/>
          </w:tcPr>
          <w:p w14:paraId="4D3162C6"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1.1.15.1.</w:t>
            </w:r>
          </w:p>
        </w:tc>
        <w:tc>
          <w:tcPr>
            <w:tcW w:w="5217" w:type="dxa"/>
            <w:hideMark/>
          </w:tcPr>
          <w:p w14:paraId="7AA7137A"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Открытие аккредитива</w:t>
            </w:r>
          </w:p>
        </w:tc>
        <w:tc>
          <w:tcPr>
            <w:tcW w:w="1305" w:type="dxa"/>
            <w:gridSpan w:val="2"/>
            <w:noWrap/>
            <w:hideMark/>
          </w:tcPr>
          <w:p w14:paraId="76A32F72"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0,1% от суммы аккредитива</w:t>
            </w:r>
          </w:p>
        </w:tc>
        <w:tc>
          <w:tcPr>
            <w:tcW w:w="1134" w:type="dxa"/>
            <w:gridSpan w:val="2"/>
            <w:noWrap/>
            <w:hideMark/>
          </w:tcPr>
          <w:p w14:paraId="6D6019A1"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1000 руб.</w:t>
            </w:r>
          </w:p>
        </w:tc>
        <w:tc>
          <w:tcPr>
            <w:tcW w:w="1388" w:type="dxa"/>
            <w:gridSpan w:val="2"/>
            <w:noWrap/>
            <w:hideMark/>
          </w:tcPr>
          <w:p w14:paraId="1AC42103"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10000 руб.</w:t>
            </w:r>
          </w:p>
        </w:tc>
      </w:tr>
      <w:tr w:rsidR="00DF74D7" w:rsidRPr="002D4ACF" w14:paraId="7041C8A1" w14:textId="77777777" w:rsidTr="00DD2371">
        <w:trPr>
          <w:trHeight w:val="390"/>
        </w:trPr>
        <w:tc>
          <w:tcPr>
            <w:tcW w:w="1064" w:type="dxa"/>
            <w:noWrap/>
          </w:tcPr>
          <w:p w14:paraId="55AE17E5" w14:textId="77777777" w:rsidR="00DF74D7" w:rsidRPr="002D4ACF" w:rsidRDefault="00DF74D7" w:rsidP="00DD2371">
            <w:pPr>
              <w:rPr>
                <w:rFonts w:ascii="Tahoma" w:hAnsi="Tahoma" w:cs="Tahoma"/>
                <w:b/>
                <w:bCs/>
                <w:iCs/>
                <w:sz w:val="18"/>
                <w:szCs w:val="18"/>
              </w:rPr>
            </w:pPr>
          </w:p>
        </w:tc>
        <w:tc>
          <w:tcPr>
            <w:tcW w:w="1090" w:type="dxa"/>
            <w:gridSpan w:val="3"/>
            <w:noWrap/>
          </w:tcPr>
          <w:p w14:paraId="12D78223" w14:textId="77777777" w:rsidR="00DF74D7" w:rsidRPr="002D4ACF" w:rsidRDefault="00DF74D7" w:rsidP="00DD2371">
            <w:pPr>
              <w:rPr>
                <w:rFonts w:ascii="Tahoma" w:hAnsi="Tahoma" w:cs="Tahoma"/>
                <w:iCs/>
                <w:sz w:val="18"/>
                <w:szCs w:val="18"/>
              </w:rPr>
            </w:pPr>
            <w:r w:rsidRPr="002D4ACF">
              <w:rPr>
                <w:rFonts w:ascii="Tahoma" w:hAnsi="Tahoma" w:cs="Tahoma"/>
                <w:sz w:val="18"/>
                <w:szCs w:val="18"/>
              </w:rPr>
              <w:t>1.1.15.2.</w:t>
            </w:r>
          </w:p>
        </w:tc>
        <w:tc>
          <w:tcPr>
            <w:tcW w:w="5217" w:type="dxa"/>
          </w:tcPr>
          <w:p w14:paraId="70A8394D" w14:textId="77777777" w:rsidR="00DF74D7" w:rsidRPr="002D4ACF" w:rsidRDefault="00DF74D7" w:rsidP="00DD2371">
            <w:pPr>
              <w:rPr>
                <w:rFonts w:ascii="Tahoma" w:hAnsi="Tahoma" w:cs="Tahoma"/>
                <w:iCs/>
                <w:sz w:val="18"/>
                <w:szCs w:val="18"/>
              </w:rPr>
            </w:pPr>
            <w:r w:rsidRPr="002D4ACF">
              <w:rPr>
                <w:rFonts w:ascii="Tahoma" w:hAnsi="Tahoma" w:cs="Tahoma"/>
                <w:sz w:val="18"/>
                <w:szCs w:val="18"/>
              </w:rPr>
              <w:t>Прием, проверка и отправка документов по аккредитиву</w:t>
            </w:r>
          </w:p>
        </w:tc>
        <w:tc>
          <w:tcPr>
            <w:tcW w:w="1305" w:type="dxa"/>
            <w:gridSpan w:val="2"/>
            <w:noWrap/>
          </w:tcPr>
          <w:p w14:paraId="00AB2ED8" w14:textId="77777777" w:rsidR="00DF74D7" w:rsidRPr="002D4ACF" w:rsidRDefault="00DF74D7" w:rsidP="00DD2371">
            <w:pPr>
              <w:jc w:val="center"/>
              <w:rPr>
                <w:rFonts w:ascii="Tahoma" w:hAnsi="Tahoma" w:cs="Tahoma"/>
                <w:iCs/>
                <w:sz w:val="18"/>
                <w:szCs w:val="18"/>
              </w:rPr>
            </w:pPr>
            <w:r w:rsidRPr="002D4ACF">
              <w:rPr>
                <w:rFonts w:ascii="Tahoma" w:hAnsi="Tahoma" w:cs="Tahoma"/>
                <w:sz w:val="18"/>
                <w:szCs w:val="18"/>
              </w:rPr>
              <w:t>0,1% от суммы аккредитива</w:t>
            </w:r>
          </w:p>
        </w:tc>
        <w:tc>
          <w:tcPr>
            <w:tcW w:w="1134" w:type="dxa"/>
            <w:gridSpan w:val="2"/>
            <w:noWrap/>
          </w:tcPr>
          <w:p w14:paraId="4230CF4A" w14:textId="77777777" w:rsidR="00DF74D7" w:rsidRPr="002D4ACF" w:rsidRDefault="00DF74D7" w:rsidP="00DD2371">
            <w:pPr>
              <w:rPr>
                <w:rFonts w:ascii="Tahoma" w:hAnsi="Tahoma" w:cs="Tahoma"/>
                <w:sz w:val="20"/>
                <w:szCs w:val="20"/>
                <w:lang w:eastAsia="zh-CN"/>
              </w:rPr>
            </w:pPr>
            <w:r w:rsidRPr="002D4ACF">
              <w:rPr>
                <w:rFonts w:ascii="Tahoma" w:hAnsi="Tahoma" w:cs="Tahoma"/>
                <w:sz w:val="18"/>
                <w:szCs w:val="18"/>
              </w:rPr>
              <w:t>1000 руб.</w:t>
            </w:r>
          </w:p>
        </w:tc>
        <w:tc>
          <w:tcPr>
            <w:tcW w:w="1388" w:type="dxa"/>
            <w:gridSpan w:val="2"/>
            <w:noWrap/>
          </w:tcPr>
          <w:p w14:paraId="658D13E9" w14:textId="77777777" w:rsidR="00DF74D7" w:rsidRPr="002D4ACF" w:rsidRDefault="00DF74D7" w:rsidP="00DD2371">
            <w:pPr>
              <w:jc w:val="center"/>
              <w:rPr>
                <w:rFonts w:ascii="Tahoma" w:hAnsi="Tahoma" w:cs="Tahoma"/>
                <w:sz w:val="20"/>
                <w:szCs w:val="20"/>
                <w:lang w:eastAsia="zh-CN"/>
              </w:rPr>
            </w:pPr>
            <w:r w:rsidRPr="002D4ACF">
              <w:rPr>
                <w:rFonts w:ascii="Tahoma" w:hAnsi="Tahoma" w:cs="Tahoma"/>
                <w:sz w:val="18"/>
                <w:szCs w:val="18"/>
              </w:rPr>
              <w:t>10000 руб.</w:t>
            </w:r>
          </w:p>
        </w:tc>
      </w:tr>
      <w:tr w:rsidR="00DF74D7" w:rsidRPr="002D4ACF" w14:paraId="32BD00D5" w14:textId="77777777" w:rsidTr="00DD2371">
        <w:trPr>
          <w:trHeight w:val="65"/>
        </w:trPr>
        <w:tc>
          <w:tcPr>
            <w:tcW w:w="1064" w:type="dxa"/>
            <w:noWrap/>
            <w:hideMark/>
          </w:tcPr>
          <w:p w14:paraId="26BAB36A"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 </w:t>
            </w:r>
          </w:p>
        </w:tc>
        <w:tc>
          <w:tcPr>
            <w:tcW w:w="1090" w:type="dxa"/>
            <w:gridSpan w:val="3"/>
            <w:noWrap/>
            <w:hideMark/>
          </w:tcPr>
          <w:p w14:paraId="6381A4C6"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1.1.15.3.</w:t>
            </w:r>
          </w:p>
        </w:tc>
        <w:tc>
          <w:tcPr>
            <w:tcW w:w="5217" w:type="dxa"/>
            <w:hideMark/>
          </w:tcPr>
          <w:p w14:paraId="7F9B33C4"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Изменение условий аккредитива по заявлению клиента</w:t>
            </w:r>
          </w:p>
        </w:tc>
        <w:tc>
          <w:tcPr>
            <w:tcW w:w="1305" w:type="dxa"/>
            <w:gridSpan w:val="2"/>
            <w:noWrap/>
            <w:hideMark/>
          </w:tcPr>
          <w:p w14:paraId="001DDF5E"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500 руб.</w:t>
            </w:r>
          </w:p>
        </w:tc>
        <w:tc>
          <w:tcPr>
            <w:tcW w:w="1134" w:type="dxa"/>
            <w:gridSpan w:val="2"/>
            <w:noWrap/>
            <w:hideMark/>
          </w:tcPr>
          <w:p w14:paraId="150EC1B0" w14:textId="77777777" w:rsidR="00DF74D7" w:rsidRPr="002D4ACF" w:rsidRDefault="00DF74D7" w:rsidP="00DD2371">
            <w:pPr>
              <w:rPr>
                <w:rFonts w:ascii="Tahoma" w:hAnsi="Tahoma" w:cs="Tahoma"/>
                <w:sz w:val="20"/>
                <w:szCs w:val="20"/>
                <w:lang w:eastAsia="zh-CN"/>
              </w:rPr>
            </w:pPr>
          </w:p>
        </w:tc>
        <w:tc>
          <w:tcPr>
            <w:tcW w:w="1388" w:type="dxa"/>
            <w:gridSpan w:val="2"/>
            <w:noWrap/>
            <w:hideMark/>
          </w:tcPr>
          <w:p w14:paraId="72293AAD" w14:textId="77777777" w:rsidR="00DF74D7" w:rsidRPr="002D4ACF" w:rsidRDefault="00DF74D7" w:rsidP="00DD2371">
            <w:pPr>
              <w:rPr>
                <w:rFonts w:ascii="Tahoma" w:hAnsi="Tahoma" w:cs="Tahoma"/>
                <w:sz w:val="20"/>
                <w:szCs w:val="20"/>
                <w:lang w:eastAsia="zh-CN"/>
              </w:rPr>
            </w:pPr>
          </w:p>
        </w:tc>
      </w:tr>
      <w:tr w:rsidR="00DF74D7" w:rsidRPr="002D4ACF" w14:paraId="2A6BE7A4" w14:textId="77777777" w:rsidTr="00DD2371">
        <w:trPr>
          <w:trHeight w:val="390"/>
        </w:trPr>
        <w:tc>
          <w:tcPr>
            <w:tcW w:w="1064" w:type="dxa"/>
            <w:noWrap/>
            <w:hideMark/>
          </w:tcPr>
          <w:p w14:paraId="17D5AC58"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 </w:t>
            </w:r>
          </w:p>
        </w:tc>
        <w:tc>
          <w:tcPr>
            <w:tcW w:w="1090" w:type="dxa"/>
            <w:gridSpan w:val="3"/>
            <w:noWrap/>
            <w:hideMark/>
          </w:tcPr>
          <w:p w14:paraId="7B4171F3"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1.1.15.4.</w:t>
            </w:r>
          </w:p>
        </w:tc>
        <w:tc>
          <w:tcPr>
            <w:tcW w:w="5217" w:type="dxa"/>
            <w:hideMark/>
          </w:tcPr>
          <w:p w14:paraId="18BD6A25"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Отзыв или аннулирование аккредитива по окончанию срока</w:t>
            </w:r>
          </w:p>
        </w:tc>
        <w:tc>
          <w:tcPr>
            <w:tcW w:w="1305" w:type="dxa"/>
            <w:gridSpan w:val="2"/>
            <w:noWrap/>
            <w:hideMark/>
          </w:tcPr>
          <w:p w14:paraId="359DD274"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1000 руб.</w:t>
            </w:r>
          </w:p>
        </w:tc>
        <w:tc>
          <w:tcPr>
            <w:tcW w:w="1134" w:type="dxa"/>
            <w:gridSpan w:val="2"/>
            <w:noWrap/>
            <w:hideMark/>
          </w:tcPr>
          <w:p w14:paraId="029F6AC9" w14:textId="77777777" w:rsidR="00DF74D7" w:rsidRPr="002D4ACF" w:rsidRDefault="00DF74D7" w:rsidP="00DD2371">
            <w:pPr>
              <w:rPr>
                <w:rFonts w:ascii="Tahoma" w:hAnsi="Tahoma" w:cs="Tahoma"/>
                <w:sz w:val="20"/>
                <w:szCs w:val="20"/>
                <w:lang w:eastAsia="zh-CN"/>
              </w:rPr>
            </w:pPr>
          </w:p>
        </w:tc>
        <w:tc>
          <w:tcPr>
            <w:tcW w:w="1388" w:type="dxa"/>
            <w:gridSpan w:val="2"/>
            <w:noWrap/>
            <w:hideMark/>
          </w:tcPr>
          <w:p w14:paraId="38D04ECD" w14:textId="77777777" w:rsidR="00DF74D7" w:rsidRPr="002D4ACF" w:rsidRDefault="00DF74D7" w:rsidP="00DD2371">
            <w:pPr>
              <w:rPr>
                <w:rFonts w:ascii="Tahoma" w:hAnsi="Tahoma" w:cs="Tahoma"/>
                <w:sz w:val="20"/>
                <w:szCs w:val="20"/>
                <w:lang w:eastAsia="zh-CN"/>
              </w:rPr>
            </w:pPr>
          </w:p>
        </w:tc>
      </w:tr>
      <w:tr w:rsidR="00DF74D7" w:rsidRPr="002D4ACF" w14:paraId="52796FC5" w14:textId="77777777" w:rsidTr="00DD2371">
        <w:trPr>
          <w:trHeight w:val="65"/>
        </w:trPr>
        <w:tc>
          <w:tcPr>
            <w:tcW w:w="11198" w:type="dxa"/>
            <w:gridSpan w:val="11"/>
          </w:tcPr>
          <w:p w14:paraId="08A24EE8" w14:textId="77777777" w:rsidR="00DF74D7" w:rsidRPr="002D4ACF" w:rsidRDefault="00DF74D7" w:rsidP="00DD2371">
            <w:pPr>
              <w:rPr>
                <w:rFonts w:ascii="Tahoma" w:hAnsi="Tahoma" w:cs="Tahoma"/>
                <w:b/>
                <w:bCs/>
                <w:iCs/>
                <w:sz w:val="18"/>
                <w:szCs w:val="18"/>
              </w:rPr>
            </w:pPr>
          </w:p>
          <w:p w14:paraId="55B9C2F7"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Прочие услуги</w:t>
            </w:r>
          </w:p>
        </w:tc>
      </w:tr>
      <w:tr w:rsidR="00DF74D7" w:rsidRPr="002D4ACF" w14:paraId="614452A3" w14:textId="77777777" w:rsidTr="00DD2371">
        <w:trPr>
          <w:trHeight w:val="600"/>
        </w:trPr>
        <w:tc>
          <w:tcPr>
            <w:tcW w:w="1064" w:type="dxa"/>
            <w:noWrap/>
            <w:hideMark/>
          </w:tcPr>
          <w:p w14:paraId="17C1C3F1"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1.1.16.</w:t>
            </w:r>
          </w:p>
        </w:tc>
        <w:tc>
          <w:tcPr>
            <w:tcW w:w="1090" w:type="dxa"/>
            <w:gridSpan w:val="3"/>
            <w:noWrap/>
            <w:hideMark/>
          </w:tcPr>
          <w:p w14:paraId="7F86B330"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1.1.16.1.</w:t>
            </w:r>
          </w:p>
        </w:tc>
        <w:tc>
          <w:tcPr>
            <w:tcW w:w="5217" w:type="dxa"/>
            <w:hideMark/>
          </w:tcPr>
          <w:p w14:paraId="6D9532F1"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Оформление доверенности, завещательного распоряжения по счету (Срочный вклад, Вклад до востребования (в т.ч. Пенсионный), Текущий банковский счет, Счет банковской карты)</w:t>
            </w:r>
          </w:p>
        </w:tc>
        <w:tc>
          <w:tcPr>
            <w:tcW w:w="1305" w:type="dxa"/>
            <w:gridSpan w:val="2"/>
            <w:hideMark/>
          </w:tcPr>
          <w:p w14:paraId="0FD04728"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БЕСПЛАТНО</w:t>
            </w:r>
          </w:p>
        </w:tc>
        <w:tc>
          <w:tcPr>
            <w:tcW w:w="1134" w:type="dxa"/>
            <w:gridSpan w:val="2"/>
            <w:noWrap/>
            <w:hideMark/>
          </w:tcPr>
          <w:p w14:paraId="444689E5" w14:textId="77777777" w:rsidR="00DF74D7" w:rsidRPr="002D4ACF" w:rsidRDefault="00DF74D7" w:rsidP="00DD2371">
            <w:pPr>
              <w:rPr>
                <w:rFonts w:ascii="Tahoma" w:hAnsi="Tahoma" w:cs="Tahoma"/>
                <w:sz w:val="20"/>
                <w:szCs w:val="20"/>
                <w:lang w:eastAsia="zh-CN"/>
              </w:rPr>
            </w:pPr>
          </w:p>
        </w:tc>
        <w:tc>
          <w:tcPr>
            <w:tcW w:w="1388" w:type="dxa"/>
            <w:gridSpan w:val="2"/>
            <w:noWrap/>
            <w:hideMark/>
          </w:tcPr>
          <w:p w14:paraId="6124F127" w14:textId="77777777" w:rsidR="00DF74D7" w:rsidRPr="002D4ACF" w:rsidRDefault="00DF74D7" w:rsidP="00DD2371">
            <w:pPr>
              <w:rPr>
                <w:rFonts w:ascii="Tahoma" w:hAnsi="Tahoma" w:cs="Tahoma"/>
                <w:sz w:val="20"/>
                <w:szCs w:val="20"/>
                <w:lang w:eastAsia="zh-CN"/>
              </w:rPr>
            </w:pPr>
          </w:p>
        </w:tc>
      </w:tr>
      <w:tr w:rsidR="00DF74D7" w:rsidRPr="002D4ACF" w14:paraId="7DE4FADE" w14:textId="77777777" w:rsidTr="00DD2371">
        <w:trPr>
          <w:trHeight w:val="435"/>
        </w:trPr>
        <w:tc>
          <w:tcPr>
            <w:tcW w:w="1064" w:type="dxa"/>
            <w:noWrap/>
            <w:hideMark/>
          </w:tcPr>
          <w:p w14:paraId="15231F85"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 </w:t>
            </w:r>
          </w:p>
        </w:tc>
        <w:tc>
          <w:tcPr>
            <w:tcW w:w="1090" w:type="dxa"/>
            <w:gridSpan w:val="3"/>
            <w:noWrap/>
            <w:hideMark/>
          </w:tcPr>
          <w:p w14:paraId="7F7CDECB"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1.1.16.2.</w:t>
            </w:r>
          </w:p>
        </w:tc>
        <w:tc>
          <w:tcPr>
            <w:tcW w:w="5217" w:type="dxa"/>
            <w:hideMark/>
          </w:tcPr>
          <w:p w14:paraId="747C1BC3"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Оформление дубликата вкладной книжки взамен утерянной</w:t>
            </w:r>
          </w:p>
        </w:tc>
        <w:tc>
          <w:tcPr>
            <w:tcW w:w="1305" w:type="dxa"/>
            <w:gridSpan w:val="2"/>
            <w:noWrap/>
            <w:hideMark/>
          </w:tcPr>
          <w:p w14:paraId="5841F828"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100 руб.</w:t>
            </w:r>
          </w:p>
        </w:tc>
        <w:tc>
          <w:tcPr>
            <w:tcW w:w="1134" w:type="dxa"/>
            <w:gridSpan w:val="2"/>
            <w:noWrap/>
            <w:hideMark/>
          </w:tcPr>
          <w:p w14:paraId="75D9FB28" w14:textId="77777777" w:rsidR="00DF74D7" w:rsidRPr="002D4ACF" w:rsidRDefault="00DF74D7" w:rsidP="00DD2371">
            <w:pPr>
              <w:rPr>
                <w:rFonts w:ascii="Tahoma" w:hAnsi="Tahoma" w:cs="Tahoma"/>
                <w:sz w:val="20"/>
                <w:szCs w:val="20"/>
                <w:lang w:eastAsia="zh-CN"/>
              </w:rPr>
            </w:pPr>
          </w:p>
        </w:tc>
        <w:tc>
          <w:tcPr>
            <w:tcW w:w="1388" w:type="dxa"/>
            <w:gridSpan w:val="2"/>
            <w:noWrap/>
            <w:hideMark/>
          </w:tcPr>
          <w:p w14:paraId="46852B90" w14:textId="77777777" w:rsidR="00DF74D7" w:rsidRPr="002D4ACF" w:rsidRDefault="00DF74D7" w:rsidP="00DD2371">
            <w:pPr>
              <w:rPr>
                <w:rFonts w:ascii="Tahoma" w:hAnsi="Tahoma" w:cs="Tahoma"/>
                <w:sz w:val="20"/>
                <w:szCs w:val="20"/>
                <w:lang w:eastAsia="zh-CN"/>
              </w:rPr>
            </w:pPr>
          </w:p>
        </w:tc>
      </w:tr>
      <w:tr w:rsidR="00DF74D7" w:rsidRPr="002D4ACF" w14:paraId="67614B75" w14:textId="77777777" w:rsidTr="00DD2371">
        <w:trPr>
          <w:trHeight w:val="1382"/>
        </w:trPr>
        <w:tc>
          <w:tcPr>
            <w:tcW w:w="1064" w:type="dxa"/>
            <w:noWrap/>
          </w:tcPr>
          <w:p w14:paraId="54790265" w14:textId="77777777" w:rsidR="00DF74D7" w:rsidRPr="002D4ACF" w:rsidRDefault="00DF74D7" w:rsidP="00DD2371">
            <w:pPr>
              <w:rPr>
                <w:rFonts w:ascii="Tahoma" w:hAnsi="Tahoma" w:cs="Tahoma"/>
                <w:b/>
                <w:bCs/>
                <w:iCs/>
                <w:sz w:val="18"/>
                <w:szCs w:val="18"/>
              </w:rPr>
            </w:pPr>
          </w:p>
        </w:tc>
        <w:tc>
          <w:tcPr>
            <w:tcW w:w="1090" w:type="dxa"/>
            <w:gridSpan w:val="3"/>
            <w:noWrap/>
          </w:tcPr>
          <w:p w14:paraId="415DBE53"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1.1.16.3.</w:t>
            </w:r>
          </w:p>
          <w:p w14:paraId="445B43A1" w14:textId="77777777" w:rsidR="00DF74D7" w:rsidRPr="002D4ACF" w:rsidRDefault="00DF74D7" w:rsidP="00DD2371">
            <w:pPr>
              <w:rPr>
                <w:rFonts w:ascii="Tahoma" w:hAnsi="Tahoma" w:cs="Tahoma"/>
                <w:iCs/>
                <w:sz w:val="18"/>
                <w:szCs w:val="18"/>
              </w:rPr>
            </w:pPr>
          </w:p>
        </w:tc>
        <w:tc>
          <w:tcPr>
            <w:tcW w:w="5217" w:type="dxa"/>
          </w:tcPr>
          <w:p w14:paraId="7C3E4A48"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Проведение расследования по поручению клиента по операциям перевода денежных средств, в т.ч. ведение переписки по востребованию сумм, принадлежащих клиенту, задержанных банком-отправителем; направление запросов в банк-получателя о подтверждении факта зачисления денежных средств на счет получателя; розыск суммы перевода; изменение условий перевода; аннулирование/возврат перевода (комиссия установлена для проведения операции по одному переводу):</w:t>
            </w:r>
          </w:p>
        </w:tc>
        <w:tc>
          <w:tcPr>
            <w:tcW w:w="1305" w:type="dxa"/>
            <w:gridSpan w:val="2"/>
            <w:noWrap/>
          </w:tcPr>
          <w:p w14:paraId="7CB4A157" w14:textId="77777777" w:rsidR="00DF74D7" w:rsidRPr="002D4ACF" w:rsidRDefault="00DF74D7" w:rsidP="00DD2371">
            <w:pPr>
              <w:jc w:val="center"/>
              <w:rPr>
                <w:rFonts w:ascii="Tahoma" w:hAnsi="Tahoma" w:cs="Tahoma"/>
                <w:iCs/>
                <w:sz w:val="18"/>
                <w:szCs w:val="18"/>
              </w:rPr>
            </w:pPr>
          </w:p>
        </w:tc>
        <w:tc>
          <w:tcPr>
            <w:tcW w:w="1134" w:type="dxa"/>
            <w:gridSpan w:val="2"/>
            <w:noWrap/>
          </w:tcPr>
          <w:p w14:paraId="389E8A1B" w14:textId="77777777" w:rsidR="00DF74D7" w:rsidRPr="002D4ACF" w:rsidRDefault="00DF74D7" w:rsidP="00DD2371">
            <w:pPr>
              <w:jc w:val="center"/>
              <w:rPr>
                <w:rFonts w:ascii="Tahoma" w:hAnsi="Tahoma" w:cs="Tahoma"/>
                <w:iCs/>
                <w:sz w:val="18"/>
                <w:szCs w:val="18"/>
              </w:rPr>
            </w:pPr>
          </w:p>
        </w:tc>
        <w:tc>
          <w:tcPr>
            <w:tcW w:w="1388" w:type="dxa"/>
            <w:gridSpan w:val="2"/>
            <w:noWrap/>
          </w:tcPr>
          <w:p w14:paraId="3524FF42" w14:textId="77777777" w:rsidR="00DF74D7" w:rsidRPr="002D4ACF" w:rsidRDefault="00DF74D7" w:rsidP="00DD2371">
            <w:pPr>
              <w:jc w:val="center"/>
              <w:rPr>
                <w:rFonts w:ascii="Tahoma" w:hAnsi="Tahoma" w:cs="Tahoma"/>
                <w:iCs/>
                <w:sz w:val="18"/>
                <w:szCs w:val="18"/>
              </w:rPr>
            </w:pPr>
          </w:p>
        </w:tc>
      </w:tr>
      <w:tr w:rsidR="00DF74D7" w:rsidRPr="002D4ACF" w14:paraId="362C2A69" w14:textId="77777777" w:rsidTr="00DD2371">
        <w:trPr>
          <w:trHeight w:val="65"/>
        </w:trPr>
        <w:tc>
          <w:tcPr>
            <w:tcW w:w="1064" w:type="dxa"/>
            <w:noWrap/>
          </w:tcPr>
          <w:p w14:paraId="1A98C875" w14:textId="77777777" w:rsidR="00DF74D7" w:rsidRPr="002D4ACF" w:rsidRDefault="00DF74D7" w:rsidP="00DD2371">
            <w:pPr>
              <w:rPr>
                <w:rFonts w:ascii="Tahoma" w:hAnsi="Tahoma" w:cs="Tahoma"/>
                <w:b/>
                <w:bCs/>
                <w:iCs/>
                <w:sz w:val="18"/>
                <w:szCs w:val="18"/>
              </w:rPr>
            </w:pPr>
          </w:p>
        </w:tc>
        <w:tc>
          <w:tcPr>
            <w:tcW w:w="1090" w:type="dxa"/>
            <w:gridSpan w:val="3"/>
            <w:noWrap/>
            <w:hideMark/>
          </w:tcPr>
          <w:p w14:paraId="724EFB21"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1.1.16.3.1.</w:t>
            </w:r>
          </w:p>
        </w:tc>
        <w:tc>
          <w:tcPr>
            <w:tcW w:w="5217" w:type="dxa"/>
            <w:hideMark/>
          </w:tcPr>
          <w:p w14:paraId="5B051DE4"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Перевод в рублях</w:t>
            </w:r>
          </w:p>
        </w:tc>
        <w:tc>
          <w:tcPr>
            <w:tcW w:w="1305" w:type="dxa"/>
            <w:gridSpan w:val="2"/>
            <w:noWrap/>
            <w:hideMark/>
          </w:tcPr>
          <w:p w14:paraId="6E58AC3C"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300 руб.</w:t>
            </w:r>
          </w:p>
        </w:tc>
        <w:tc>
          <w:tcPr>
            <w:tcW w:w="1134" w:type="dxa"/>
            <w:gridSpan w:val="2"/>
            <w:noWrap/>
          </w:tcPr>
          <w:p w14:paraId="5AD47607" w14:textId="77777777" w:rsidR="00DF74D7" w:rsidRPr="002D4ACF" w:rsidRDefault="00DF74D7" w:rsidP="00DD2371">
            <w:pPr>
              <w:jc w:val="center"/>
              <w:rPr>
                <w:rFonts w:ascii="Tahoma" w:hAnsi="Tahoma" w:cs="Tahoma"/>
                <w:iCs/>
                <w:sz w:val="18"/>
                <w:szCs w:val="18"/>
              </w:rPr>
            </w:pPr>
          </w:p>
        </w:tc>
        <w:tc>
          <w:tcPr>
            <w:tcW w:w="1388" w:type="dxa"/>
            <w:gridSpan w:val="2"/>
            <w:noWrap/>
          </w:tcPr>
          <w:p w14:paraId="23C0CAAE" w14:textId="77777777" w:rsidR="00DF74D7" w:rsidRPr="002D4ACF" w:rsidRDefault="00DF74D7" w:rsidP="00DD2371">
            <w:pPr>
              <w:jc w:val="center"/>
              <w:rPr>
                <w:rFonts w:ascii="Tahoma" w:hAnsi="Tahoma" w:cs="Tahoma"/>
                <w:iCs/>
                <w:sz w:val="18"/>
                <w:szCs w:val="18"/>
              </w:rPr>
            </w:pPr>
          </w:p>
        </w:tc>
      </w:tr>
      <w:tr w:rsidR="00DF74D7" w:rsidRPr="002D4ACF" w14:paraId="6E4620DD" w14:textId="77777777" w:rsidTr="00DD2371">
        <w:trPr>
          <w:trHeight w:val="435"/>
        </w:trPr>
        <w:tc>
          <w:tcPr>
            <w:tcW w:w="1064" w:type="dxa"/>
            <w:noWrap/>
          </w:tcPr>
          <w:p w14:paraId="5763D6A2" w14:textId="77777777" w:rsidR="00DF74D7" w:rsidRPr="002D4ACF" w:rsidRDefault="00DF74D7" w:rsidP="00DD2371">
            <w:pPr>
              <w:rPr>
                <w:rFonts w:ascii="Tahoma" w:hAnsi="Tahoma" w:cs="Tahoma"/>
                <w:b/>
                <w:bCs/>
                <w:iCs/>
                <w:sz w:val="18"/>
                <w:szCs w:val="18"/>
              </w:rPr>
            </w:pPr>
          </w:p>
        </w:tc>
        <w:tc>
          <w:tcPr>
            <w:tcW w:w="1090" w:type="dxa"/>
            <w:gridSpan w:val="3"/>
            <w:noWrap/>
          </w:tcPr>
          <w:p w14:paraId="2C2DF28C"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1.1.16.3.2.</w:t>
            </w:r>
          </w:p>
        </w:tc>
        <w:tc>
          <w:tcPr>
            <w:tcW w:w="5217" w:type="dxa"/>
          </w:tcPr>
          <w:p w14:paraId="79BEBBB3"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Перевод в иностранной валюте</w:t>
            </w:r>
          </w:p>
          <w:p w14:paraId="2533AFE0" w14:textId="77777777" w:rsidR="00DF74D7" w:rsidRPr="002D4ACF" w:rsidRDefault="00DF74D7" w:rsidP="00DD2371">
            <w:pPr>
              <w:rPr>
                <w:rFonts w:ascii="Tahoma" w:hAnsi="Tahoma" w:cs="Tahoma"/>
                <w:iCs/>
                <w:sz w:val="18"/>
                <w:szCs w:val="18"/>
              </w:rPr>
            </w:pPr>
          </w:p>
        </w:tc>
        <w:tc>
          <w:tcPr>
            <w:tcW w:w="1305" w:type="dxa"/>
            <w:gridSpan w:val="2"/>
            <w:noWrap/>
            <w:hideMark/>
          </w:tcPr>
          <w:p w14:paraId="4AEEE2F1"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60 долларов США</w:t>
            </w:r>
          </w:p>
        </w:tc>
        <w:tc>
          <w:tcPr>
            <w:tcW w:w="1134" w:type="dxa"/>
            <w:gridSpan w:val="2"/>
            <w:noWrap/>
          </w:tcPr>
          <w:p w14:paraId="498504BA" w14:textId="77777777" w:rsidR="00DF74D7" w:rsidRPr="002D4ACF" w:rsidRDefault="00DF74D7" w:rsidP="00DD2371">
            <w:pPr>
              <w:jc w:val="center"/>
              <w:rPr>
                <w:rFonts w:ascii="Tahoma" w:hAnsi="Tahoma" w:cs="Tahoma"/>
                <w:iCs/>
                <w:sz w:val="18"/>
                <w:szCs w:val="18"/>
              </w:rPr>
            </w:pPr>
          </w:p>
        </w:tc>
        <w:tc>
          <w:tcPr>
            <w:tcW w:w="1388" w:type="dxa"/>
            <w:gridSpan w:val="2"/>
            <w:noWrap/>
          </w:tcPr>
          <w:p w14:paraId="0F1330DC" w14:textId="77777777" w:rsidR="00DF74D7" w:rsidRPr="002D4ACF" w:rsidRDefault="00DF74D7" w:rsidP="00DD2371">
            <w:pPr>
              <w:jc w:val="center"/>
              <w:rPr>
                <w:rFonts w:ascii="Tahoma" w:hAnsi="Tahoma" w:cs="Tahoma"/>
                <w:iCs/>
                <w:sz w:val="18"/>
                <w:szCs w:val="18"/>
              </w:rPr>
            </w:pPr>
          </w:p>
        </w:tc>
      </w:tr>
      <w:tr w:rsidR="00DF74D7" w:rsidRPr="002D4ACF" w14:paraId="1B3D411C" w14:textId="77777777" w:rsidTr="00DD2371">
        <w:trPr>
          <w:trHeight w:val="1612"/>
        </w:trPr>
        <w:tc>
          <w:tcPr>
            <w:tcW w:w="1064" w:type="dxa"/>
            <w:noWrap/>
          </w:tcPr>
          <w:p w14:paraId="1367C04A" w14:textId="77777777" w:rsidR="00DF74D7" w:rsidRPr="002D4ACF" w:rsidRDefault="00DF74D7" w:rsidP="00DD2371">
            <w:pPr>
              <w:rPr>
                <w:rFonts w:ascii="Tahoma" w:hAnsi="Tahoma" w:cs="Tahoma"/>
                <w:b/>
                <w:bCs/>
                <w:iCs/>
                <w:sz w:val="18"/>
                <w:szCs w:val="18"/>
              </w:rPr>
            </w:pPr>
          </w:p>
        </w:tc>
        <w:tc>
          <w:tcPr>
            <w:tcW w:w="1090" w:type="dxa"/>
            <w:gridSpan w:val="3"/>
            <w:noWrap/>
          </w:tcPr>
          <w:p w14:paraId="0E48900E"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1.1.16.4.</w:t>
            </w:r>
          </w:p>
          <w:p w14:paraId="10CB3345" w14:textId="77777777" w:rsidR="00DF74D7" w:rsidRPr="002D4ACF" w:rsidRDefault="00DF74D7" w:rsidP="00DD2371">
            <w:pPr>
              <w:rPr>
                <w:rFonts w:ascii="Tahoma" w:hAnsi="Tahoma" w:cs="Tahoma"/>
                <w:iCs/>
                <w:sz w:val="18"/>
                <w:szCs w:val="18"/>
              </w:rPr>
            </w:pPr>
          </w:p>
        </w:tc>
        <w:tc>
          <w:tcPr>
            <w:tcW w:w="5217" w:type="dxa"/>
          </w:tcPr>
          <w:p w14:paraId="5E7A8ACC"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Оформление и выдача справки по заявлению клиента по счету (Срочный вклад, Вклад до востребования (в т.ч. Пенсионный), Текущий банковский счет, Счет банковской карты):</w:t>
            </w:r>
            <w:r w:rsidRPr="002D4ACF">
              <w:rPr>
                <w:rFonts w:ascii="Tahoma" w:hAnsi="Tahoma" w:cs="Tahoma"/>
                <w:iCs/>
                <w:sz w:val="18"/>
                <w:szCs w:val="18"/>
              </w:rPr>
              <w:br/>
              <w:t>- о наличии/открытии/закрытии счета;</w:t>
            </w:r>
            <w:r w:rsidRPr="002D4ACF">
              <w:rPr>
                <w:rFonts w:ascii="Tahoma" w:hAnsi="Tahoma" w:cs="Tahoma"/>
                <w:iCs/>
                <w:sz w:val="18"/>
                <w:szCs w:val="18"/>
              </w:rPr>
              <w:br/>
              <w:t>- по оборотам/остатку по счету;</w:t>
            </w:r>
            <w:r w:rsidRPr="002D4ACF">
              <w:rPr>
                <w:rFonts w:ascii="Tahoma" w:hAnsi="Tahoma" w:cs="Tahoma"/>
                <w:iCs/>
                <w:sz w:val="18"/>
                <w:szCs w:val="18"/>
              </w:rPr>
              <w:br/>
              <w:t>- о начисленных/выплаченных процентах по вкладу;</w:t>
            </w:r>
            <w:r w:rsidRPr="002D4ACF">
              <w:rPr>
                <w:rFonts w:ascii="Tahoma" w:hAnsi="Tahoma" w:cs="Tahoma"/>
                <w:iCs/>
                <w:sz w:val="18"/>
                <w:szCs w:val="18"/>
              </w:rPr>
              <w:br/>
              <w:t>- предоставление дополнительной копии платежного документа;</w:t>
            </w:r>
            <w:r w:rsidRPr="002D4ACF">
              <w:rPr>
                <w:rFonts w:ascii="Tahoma" w:hAnsi="Tahoma" w:cs="Tahoma"/>
                <w:iCs/>
                <w:sz w:val="18"/>
                <w:szCs w:val="18"/>
              </w:rPr>
              <w:br/>
              <w:t>- предоставление данных о платежах клиента в формате МТ 103 (SWIFT)</w:t>
            </w:r>
          </w:p>
        </w:tc>
        <w:tc>
          <w:tcPr>
            <w:tcW w:w="1305" w:type="dxa"/>
            <w:gridSpan w:val="2"/>
            <w:noWrap/>
          </w:tcPr>
          <w:p w14:paraId="1E2B9ECF"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200 руб. за справку</w:t>
            </w:r>
          </w:p>
          <w:p w14:paraId="0A7837DB" w14:textId="77777777" w:rsidR="00DF74D7" w:rsidRPr="002D4ACF" w:rsidRDefault="00DF74D7" w:rsidP="00DD2371">
            <w:pPr>
              <w:jc w:val="center"/>
              <w:rPr>
                <w:rFonts w:ascii="Tahoma" w:hAnsi="Tahoma" w:cs="Tahoma"/>
                <w:iCs/>
                <w:sz w:val="18"/>
                <w:szCs w:val="18"/>
              </w:rPr>
            </w:pPr>
          </w:p>
        </w:tc>
        <w:tc>
          <w:tcPr>
            <w:tcW w:w="1134" w:type="dxa"/>
            <w:gridSpan w:val="2"/>
            <w:noWrap/>
          </w:tcPr>
          <w:p w14:paraId="41037911" w14:textId="77777777" w:rsidR="00DF74D7" w:rsidRPr="002D4ACF" w:rsidRDefault="00DF74D7" w:rsidP="00DD2371">
            <w:pPr>
              <w:jc w:val="center"/>
              <w:rPr>
                <w:rFonts w:ascii="Tahoma" w:hAnsi="Tahoma" w:cs="Tahoma"/>
                <w:iCs/>
                <w:sz w:val="18"/>
                <w:szCs w:val="18"/>
              </w:rPr>
            </w:pPr>
          </w:p>
        </w:tc>
        <w:tc>
          <w:tcPr>
            <w:tcW w:w="1388" w:type="dxa"/>
            <w:gridSpan w:val="2"/>
            <w:noWrap/>
          </w:tcPr>
          <w:p w14:paraId="3D4856F8" w14:textId="77777777" w:rsidR="00DF74D7" w:rsidRPr="002D4ACF" w:rsidRDefault="00DF74D7" w:rsidP="00DD2371">
            <w:pPr>
              <w:jc w:val="center"/>
              <w:rPr>
                <w:rFonts w:ascii="Tahoma" w:hAnsi="Tahoma" w:cs="Tahoma"/>
                <w:iCs/>
                <w:sz w:val="18"/>
                <w:szCs w:val="18"/>
              </w:rPr>
            </w:pPr>
          </w:p>
        </w:tc>
      </w:tr>
      <w:tr w:rsidR="00DF74D7" w:rsidRPr="002D4ACF" w14:paraId="2BCD78EE" w14:textId="77777777" w:rsidTr="00DD2371">
        <w:trPr>
          <w:trHeight w:val="1000"/>
        </w:trPr>
        <w:tc>
          <w:tcPr>
            <w:tcW w:w="1064" w:type="dxa"/>
            <w:noWrap/>
          </w:tcPr>
          <w:p w14:paraId="17F7A0EC" w14:textId="77777777" w:rsidR="00DF74D7" w:rsidRPr="002D4ACF" w:rsidRDefault="00DF74D7" w:rsidP="00DD2371">
            <w:pPr>
              <w:rPr>
                <w:rFonts w:ascii="Tahoma" w:hAnsi="Tahoma" w:cs="Tahoma"/>
                <w:b/>
                <w:bCs/>
                <w:iCs/>
                <w:sz w:val="18"/>
                <w:szCs w:val="18"/>
              </w:rPr>
            </w:pPr>
          </w:p>
        </w:tc>
        <w:tc>
          <w:tcPr>
            <w:tcW w:w="1090" w:type="dxa"/>
            <w:gridSpan w:val="3"/>
            <w:noWrap/>
          </w:tcPr>
          <w:p w14:paraId="11E537BB"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1.1.16.4.1.</w:t>
            </w:r>
          </w:p>
        </w:tc>
        <w:tc>
          <w:tcPr>
            <w:tcW w:w="5217" w:type="dxa"/>
          </w:tcPr>
          <w:p w14:paraId="2197CB0A"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Оформление и выдача справки по заявлению клиента по счету (Срочный вклад, Вклад до востребования (в т.ч. Пенсионный), Текущий банковский счет, Счет банковской карты) на английском языке:</w:t>
            </w:r>
          </w:p>
          <w:p w14:paraId="57550AC2"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 о наличии счета;</w:t>
            </w:r>
          </w:p>
          <w:p w14:paraId="748AA34B"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 по оборотам/остатку по счету.</w:t>
            </w:r>
          </w:p>
        </w:tc>
        <w:tc>
          <w:tcPr>
            <w:tcW w:w="1305" w:type="dxa"/>
            <w:gridSpan w:val="2"/>
            <w:noWrap/>
          </w:tcPr>
          <w:p w14:paraId="05A766E4"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500 руб. за справку</w:t>
            </w:r>
          </w:p>
        </w:tc>
        <w:tc>
          <w:tcPr>
            <w:tcW w:w="1134" w:type="dxa"/>
            <w:gridSpan w:val="2"/>
            <w:noWrap/>
          </w:tcPr>
          <w:p w14:paraId="0222E903" w14:textId="77777777" w:rsidR="00DF74D7" w:rsidRPr="002D4ACF" w:rsidRDefault="00DF74D7" w:rsidP="00DD2371">
            <w:pPr>
              <w:jc w:val="center"/>
              <w:rPr>
                <w:rFonts w:ascii="Tahoma" w:hAnsi="Tahoma" w:cs="Tahoma"/>
                <w:iCs/>
                <w:sz w:val="18"/>
                <w:szCs w:val="18"/>
              </w:rPr>
            </w:pPr>
          </w:p>
        </w:tc>
        <w:tc>
          <w:tcPr>
            <w:tcW w:w="1388" w:type="dxa"/>
            <w:gridSpan w:val="2"/>
            <w:noWrap/>
          </w:tcPr>
          <w:p w14:paraId="1051C3B4" w14:textId="77777777" w:rsidR="00DF74D7" w:rsidRPr="002D4ACF" w:rsidRDefault="00DF74D7" w:rsidP="00DD2371">
            <w:pPr>
              <w:jc w:val="center"/>
              <w:rPr>
                <w:rFonts w:ascii="Tahoma" w:hAnsi="Tahoma" w:cs="Tahoma"/>
                <w:iCs/>
                <w:sz w:val="18"/>
                <w:szCs w:val="18"/>
              </w:rPr>
            </w:pPr>
          </w:p>
        </w:tc>
      </w:tr>
      <w:tr w:rsidR="00DF74D7" w:rsidRPr="002D4ACF" w14:paraId="25723136" w14:textId="77777777" w:rsidTr="00DD2371">
        <w:trPr>
          <w:trHeight w:val="360"/>
        </w:trPr>
        <w:tc>
          <w:tcPr>
            <w:tcW w:w="1064" w:type="dxa"/>
            <w:noWrap/>
          </w:tcPr>
          <w:p w14:paraId="04A51735" w14:textId="77777777" w:rsidR="00DF74D7" w:rsidRPr="002D4ACF" w:rsidRDefault="00DF74D7" w:rsidP="00DD2371">
            <w:pPr>
              <w:rPr>
                <w:rFonts w:ascii="Tahoma" w:hAnsi="Tahoma" w:cs="Tahoma"/>
                <w:b/>
                <w:bCs/>
                <w:iCs/>
                <w:sz w:val="18"/>
                <w:szCs w:val="18"/>
              </w:rPr>
            </w:pPr>
          </w:p>
        </w:tc>
        <w:tc>
          <w:tcPr>
            <w:tcW w:w="1090" w:type="dxa"/>
            <w:gridSpan w:val="3"/>
            <w:noWrap/>
          </w:tcPr>
          <w:p w14:paraId="4C781070"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1.1.16.5.</w:t>
            </w:r>
          </w:p>
        </w:tc>
        <w:tc>
          <w:tcPr>
            <w:tcW w:w="5217" w:type="dxa"/>
          </w:tcPr>
          <w:p w14:paraId="351B7DC4"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Предоставление справок/подтверждений в рамках кредитных договоров</w:t>
            </w:r>
            <w:r w:rsidRPr="002D4ACF">
              <w:rPr>
                <w:rFonts w:ascii="Tahoma" w:hAnsi="Tahoma" w:cs="Tahoma"/>
                <w:iCs/>
                <w:sz w:val="18"/>
                <w:szCs w:val="18"/>
                <w:vertAlign w:val="superscript"/>
              </w:rPr>
              <w:t>17</w:t>
            </w:r>
            <w:r w:rsidRPr="002D4ACF">
              <w:rPr>
                <w:rFonts w:ascii="Tahoma" w:hAnsi="Tahoma" w:cs="Tahoma"/>
                <w:iCs/>
                <w:sz w:val="18"/>
                <w:szCs w:val="18"/>
              </w:rPr>
              <w:t xml:space="preserve"> по заявлению клиента:</w:t>
            </w:r>
          </w:p>
        </w:tc>
        <w:tc>
          <w:tcPr>
            <w:tcW w:w="1305" w:type="dxa"/>
            <w:gridSpan w:val="2"/>
            <w:noWrap/>
          </w:tcPr>
          <w:p w14:paraId="7AB4A350" w14:textId="77777777" w:rsidR="00DF74D7" w:rsidRPr="002D4ACF" w:rsidRDefault="00DF74D7" w:rsidP="00DD2371">
            <w:pPr>
              <w:jc w:val="center"/>
              <w:rPr>
                <w:rFonts w:ascii="Tahoma" w:hAnsi="Tahoma" w:cs="Tahoma"/>
                <w:iCs/>
                <w:sz w:val="18"/>
                <w:szCs w:val="18"/>
              </w:rPr>
            </w:pPr>
          </w:p>
        </w:tc>
        <w:tc>
          <w:tcPr>
            <w:tcW w:w="1134" w:type="dxa"/>
            <w:gridSpan w:val="2"/>
            <w:noWrap/>
          </w:tcPr>
          <w:p w14:paraId="7EEA2F77" w14:textId="77777777" w:rsidR="00DF74D7" w:rsidRPr="002D4ACF" w:rsidRDefault="00DF74D7" w:rsidP="00DD2371">
            <w:pPr>
              <w:jc w:val="center"/>
              <w:rPr>
                <w:rFonts w:ascii="Tahoma" w:hAnsi="Tahoma" w:cs="Tahoma"/>
                <w:iCs/>
                <w:sz w:val="18"/>
                <w:szCs w:val="18"/>
              </w:rPr>
            </w:pPr>
          </w:p>
        </w:tc>
        <w:tc>
          <w:tcPr>
            <w:tcW w:w="1388" w:type="dxa"/>
            <w:gridSpan w:val="2"/>
            <w:noWrap/>
          </w:tcPr>
          <w:p w14:paraId="792BEEB9" w14:textId="77777777" w:rsidR="00DF74D7" w:rsidRPr="002D4ACF" w:rsidRDefault="00DF74D7" w:rsidP="00DD2371">
            <w:pPr>
              <w:jc w:val="center"/>
              <w:rPr>
                <w:rFonts w:ascii="Tahoma" w:hAnsi="Tahoma" w:cs="Tahoma"/>
                <w:iCs/>
                <w:sz w:val="18"/>
                <w:szCs w:val="18"/>
              </w:rPr>
            </w:pPr>
          </w:p>
        </w:tc>
      </w:tr>
      <w:tr w:rsidR="00DF74D7" w:rsidRPr="002D4ACF" w14:paraId="2AA2B56F" w14:textId="77777777" w:rsidTr="00DD2371">
        <w:trPr>
          <w:trHeight w:val="1612"/>
        </w:trPr>
        <w:tc>
          <w:tcPr>
            <w:tcW w:w="1064" w:type="dxa"/>
            <w:noWrap/>
          </w:tcPr>
          <w:p w14:paraId="28D69DCA" w14:textId="77777777" w:rsidR="00DF74D7" w:rsidRPr="002D4ACF" w:rsidRDefault="00DF74D7" w:rsidP="00DD2371">
            <w:pPr>
              <w:rPr>
                <w:rFonts w:ascii="Tahoma" w:hAnsi="Tahoma" w:cs="Tahoma"/>
                <w:b/>
                <w:bCs/>
                <w:iCs/>
                <w:sz w:val="18"/>
                <w:szCs w:val="18"/>
              </w:rPr>
            </w:pPr>
          </w:p>
        </w:tc>
        <w:tc>
          <w:tcPr>
            <w:tcW w:w="1090" w:type="dxa"/>
            <w:gridSpan w:val="3"/>
            <w:noWrap/>
          </w:tcPr>
          <w:p w14:paraId="4C701890"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1.1.16.5.1.</w:t>
            </w:r>
          </w:p>
        </w:tc>
        <w:tc>
          <w:tcPr>
            <w:tcW w:w="5217" w:type="dxa"/>
          </w:tcPr>
          <w:p w14:paraId="036B1F69"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Справка, оформляемая в рамках одного кредитного договора (срок изготовления в течение 28-и календарных дней после запроса):</w:t>
            </w:r>
          </w:p>
          <w:p w14:paraId="3FA0C37B"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 о наличии/отсутствии и состоянии ссудной/просроченной задолженности по кредиту;</w:t>
            </w:r>
          </w:p>
          <w:p w14:paraId="15781257"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 о датах и размерах произведенных и предстоящих платежей по кредиту;</w:t>
            </w:r>
          </w:p>
          <w:p w14:paraId="3A64401D"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 об уплаченных процентах по кредиту;</w:t>
            </w:r>
          </w:p>
          <w:p w14:paraId="32FC6E54"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 иная информация по кредиту в рамках договора.</w:t>
            </w:r>
          </w:p>
        </w:tc>
        <w:tc>
          <w:tcPr>
            <w:tcW w:w="1305" w:type="dxa"/>
            <w:gridSpan w:val="2"/>
            <w:noWrap/>
          </w:tcPr>
          <w:p w14:paraId="19216588" w14:textId="77777777" w:rsidR="00DF74D7" w:rsidRPr="002D4ACF" w:rsidRDefault="00DF74D7" w:rsidP="00DD2371">
            <w:pPr>
              <w:jc w:val="center"/>
              <w:rPr>
                <w:rFonts w:ascii="Tahoma" w:hAnsi="Tahoma" w:cs="Tahoma"/>
                <w:iCs/>
                <w:sz w:val="18"/>
                <w:szCs w:val="18"/>
              </w:rPr>
            </w:pPr>
          </w:p>
          <w:p w14:paraId="3140E427" w14:textId="77777777" w:rsidR="00DF74D7" w:rsidRPr="002D4ACF" w:rsidRDefault="00DF74D7" w:rsidP="00DD2371">
            <w:pPr>
              <w:jc w:val="center"/>
              <w:rPr>
                <w:rFonts w:ascii="Tahoma" w:hAnsi="Tahoma" w:cs="Tahoma"/>
                <w:iCs/>
                <w:sz w:val="18"/>
                <w:szCs w:val="18"/>
              </w:rPr>
            </w:pPr>
          </w:p>
          <w:p w14:paraId="217D8C87" w14:textId="77777777" w:rsidR="00DF74D7" w:rsidRPr="002D4ACF" w:rsidRDefault="00DF74D7" w:rsidP="00DD2371">
            <w:pPr>
              <w:jc w:val="center"/>
              <w:rPr>
                <w:rFonts w:ascii="Tahoma" w:hAnsi="Tahoma" w:cs="Tahoma"/>
                <w:iCs/>
                <w:sz w:val="18"/>
                <w:szCs w:val="18"/>
              </w:rPr>
            </w:pPr>
          </w:p>
          <w:p w14:paraId="6884E125"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БЕСПЛАТНО</w:t>
            </w:r>
          </w:p>
        </w:tc>
        <w:tc>
          <w:tcPr>
            <w:tcW w:w="1134" w:type="dxa"/>
            <w:gridSpan w:val="2"/>
            <w:noWrap/>
          </w:tcPr>
          <w:p w14:paraId="4CBE3AEE" w14:textId="77777777" w:rsidR="00DF74D7" w:rsidRPr="002D4ACF" w:rsidRDefault="00DF74D7" w:rsidP="00DD2371">
            <w:pPr>
              <w:jc w:val="center"/>
              <w:rPr>
                <w:rFonts w:ascii="Tahoma" w:hAnsi="Tahoma" w:cs="Tahoma"/>
                <w:iCs/>
                <w:sz w:val="18"/>
                <w:szCs w:val="18"/>
              </w:rPr>
            </w:pPr>
          </w:p>
        </w:tc>
        <w:tc>
          <w:tcPr>
            <w:tcW w:w="1388" w:type="dxa"/>
            <w:gridSpan w:val="2"/>
            <w:noWrap/>
          </w:tcPr>
          <w:p w14:paraId="38E7AB48" w14:textId="77777777" w:rsidR="00DF74D7" w:rsidRPr="002D4ACF" w:rsidRDefault="00DF74D7" w:rsidP="00DD2371">
            <w:pPr>
              <w:jc w:val="center"/>
              <w:rPr>
                <w:rFonts w:ascii="Tahoma" w:hAnsi="Tahoma" w:cs="Tahoma"/>
                <w:iCs/>
                <w:sz w:val="18"/>
                <w:szCs w:val="18"/>
              </w:rPr>
            </w:pPr>
          </w:p>
        </w:tc>
      </w:tr>
      <w:tr w:rsidR="00DF74D7" w:rsidRPr="002D4ACF" w14:paraId="5B2E0172" w14:textId="77777777" w:rsidTr="00DD2371">
        <w:trPr>
          <w:trHeight w:val="70"/>
        </w:trPr>
        <w:tc>
          <w:tcPr>
            <w:tcW w:w="1064" w:type="dxa"/>
            <w:noWrap/>
          </w:tcPr>
          <w:p w14:paraId="3F1739B8" w14:textId="77777777" w:rsidR="00DF74D7" w:rsidRPr="002D4ACF" w:rsidRDefault="00DF74D7" w:rsidP="00DD2371">
            <w:pPr>
              <w:rPr>
                <w:rFonts w:ascii="Tahoma" w:hAnsi="Tahoma" w:cs="Tahoma"/>
                <w:b/>
                <w:bCs/>
                <w:iCs/>
                <w:sz w:val="18"/>
                <w:szCs w:val="18"/>
              </w:rPr>
            </w:pPr>
          </w:p>
        </w:tc>
        <w:tc>
          <w:tcPr>
            <w:tcW w:w="1090" w:type="dxa"/>
            <w:gridSpan w:val="3"/>
            <w:noWrap/>
          </w:tcPr>
          <w:p w14:paraId="790E0BE0"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1.1.16.5.2.</w:t>
            </w:r>
          </w:p>
        </w:tc>
        <w:tc>
          <w:tcPr>
            <w:tcW w:w="5217" w:type="dxa"/>
          </w:tcPr>
          <w:p w14:paraId="2AEA8DE2"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Стоимость изготовления копий документов</w:t>
            </w:r>
          </w:p>
        </w:tc>
        <w:tc>
          <w:tcPr>
            <w:tcW w:w="1305" w:type="dxa"/>
            <w:gridSpan w:val="2"/>
            <w:noWrap/>
          </w:tcPr>
          <w:p w14:paraId="0351D42C"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13,00 руб. (в т.ч. НДС 2,17 руб) за один лист</w:t>
            </w:r>
          </w:p>
        </w:tc>
        <w:tc>
          <w:tcPr>
            <w:tcW w:w="1134" w:type="dxa"/>
            <w:gridSpan w:val="2"/>
            <w:noWrap/>
          </w:tcPr>
          <w:p w14:paraId="754550E1" w14:textId="77777777" w:rsidR="00DF74D7" w:rsidRPr="002D4ACF" w:rsidRDefault="00DF74D7" w:rsidP="00DD2371">
            <w:pPr>
              <w:jc w:val="center"/>
              <w:rPr>
                <w:rFonts w:ascii="Tahoma" w:hAnsi="Tahoma" w:cs="Tahoma"/>
                <w:iCs/>
                <w:sz w:val="18"/>
                <w:szCs w:val="18"/>
              </w:rPr>
            </w:pPr>
          </w:p>
        </w:tc>
        <w:tc>
          <w:tcPr>
            <w:tcW w:w="1388" w:type="dxa"/>
            <w:gridSpan w:val="2"/>
            <w:noWrap/>
          </w:tcPr>
          <w:p w14:paraId="7F3CD115" w14:textId="77777777" w:rsidR="00DF74D7" w:rsidRPr="002D4ACF" w:rsidRDefault="00DF74D7" w:rsidP="00DD2371">
            <w:pPr>
              <w:jc w:val="center"/>
              <w:rPr>
                <w:rFonts w:ascii="Tahoma" w:hAnsi="Tahoma" w:cs="Tahoma"/>
                <w:iCs/>
                <w:sz w:val="18"/>
                <w:szCs w:val="18"/>
              </w:rPr>
            </w:pPr>
          </w:p>
        </w:tc>
      </w:tr>
      <w:tr w:rsidR="00DF74D7" w:rsidRPr="002D4ACF" w14:paraId="08E77DE0" w14:textId="77777777" w:rsidTr="00DD2371">
        <w:trPr>
          <w:trHeight w:val="70"/>
        </w:trPr>
        <w:tc>
          <w:tcPr>
            <w:tcW w:w="1064" w:type="dxa"/>
            <w:noWrap/>
          </w:tcPr>
          <w:p w14:paraId="0EFA6522"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1.1.17.</w:t>
            </w:r>
          </w:p>
        </w:tc>
        <w:tc>
          <w:tcPr>
            <w:tcW w:w="1090" w:type="dxa"/>
            <w:gridSpan w:val="3"/>
            <w:noWrap/>
          </w:tcPr>
          <w:p w14:paraId="3706805A" w14:textId="77777777" w:rsidR="00DF74D7" w:rsidRPr="002D4ACF" w:rsidRDefault="00DF74D7" w:rsidP="00DD2371">
            <w:pPr>
              <w:rPr>
                <w:rFonts w:ascii="Tahoma" w:hAnsi="Tahoma" w:cs="Tahoma"/>
                <w:iCs/>
                <w:sz w:val="18"/>
                <w:szCs w:val="18"/>
              </w:rPr>
            </w:pPr>
          </w:p>
        </w:tc>
        <w:tc>
          <w:tcPr>
            <w:tcW w:w="5217" w:type="dxa"/>
          </w:tcPr>
          <w:p w14:paraId="0F76BC9D"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Консультационные услуги об исполнении кредитных обязательств</w:t>
            </w:r>
          </w:p>
        </w:tc>
        <w:tc>
          <w:tcPr>
            <w:tcW w:w="1305" w:type="dxa"/>
            <w:gridSpan w:val="2"/>
            <w:noWrap/>
          </w:tcPr>
          <w:p w14:paraId="592E8430"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867 руб. (в т.ч. НДС 144,5 руб)</w:t>
            </w:r>
          </w:p>
        </w:tc>
        <w:tc>
          <w:tcPr>
            <w:tcW w:w="1134" w:type="dxa"/>
            <w:gridSpan w:val="2"/>
            <w:noWrap/>
          </w:tcPr>
          <w:p w14:paraId="68920545" w14:textId="77777777" w:rsidR="00DF74D7" w:rsidRPr="002D4ACF" w:rsidRDefault="00DF74D7" w:rsidP="00DD2371">
            <w:pPr>
              <w:jc w:val="center"/>
              <w:rPr>
                <w:rFonts w:ascii="Tahoma" w:hAnsi="Tahoma" w:cs="Tahoma"/>
                <w:iCs/>
                <w:sz w:val="18"/>
                <w:szCs w:val="18"/>
              </w:rPr>
            </w:pPr>
          </w:p>
        </w:tc>
        <w:tc>
          <w:tcPr>
            <w:tcW w:w="1388" w:type="dxa"/>
            <w:gridSpan w:val="2"/>
            <w:noWrap/>
          </w:tcPr>
          <w:p w14:paraId="44E10E1E" w14:textId="77777777" w:rsidR="00DF74D7" w:rsidRPr="002D4ACF" w:rsidRDefault="00DF74D7" w:rsidP="00DD2371">
            <w:pPr>
              <w:jc w:val="center"/>
              <w:rPr>
                <w:rFonts w:ascii="Tahoma" w:hAnsi="Tahoma" w:cs="Tahoma"/>
                <w:iCs/>
                <w:sz w:val="18"/>
                <w:szCs w:val="18"/>
              </w:rPr>
            </w:pPr>
          </w:p>
        </w:tc>
      </w:tr>
      <w:tr w:rsidR="00DF74D7" w:rsidRPr="002D4ACF" w14:paraId="5DF70873" w14:textId="77777777" w:rsidTr="00DD2371">
        <w:trPr>
          <w:trHeight w:val="70"/>
        </w:trPr>
        <w:tc>
          <w:tcPr>
            <w:tcW w:w="1064" w:type="dxa"/>
            <w:noWrap/>
          </w:tcPr>
          <w:p w14:paraId="33D4C036"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1.1.18.</w:t>
            </w:r>
          </w:p>
        </w:tc>
        <w:tc>
          <w:tcPr>
            <w:tcW w:w="1090" w:type="dxa"/>
            <w:gridSpan w:val="3"/>
            <w:noWrap/>
          </w:tcPr>
          <w:p w14:paraId="03DE9630"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1.1.18.1.</w:t>
            </w:r>
          </w:p>
        </w:tc>
        <w:tc>
          <w:tcPr>
            <w:tcW w:w="5217" w:type="dxa"/>
          </w:tcPr>
          <w:p w14:paraId="0D345641"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Обработка запроса в целях получения информации из ЦККИ</w:t>
            </w:r>
          </w:p>
        </w:tc>
        <w:tc>
          <w:tcPr>
            <w:tcW w:w="1305" w:type="dxa"/>
            <w:gridSpan w:val="2"/>
            <w:noWrap/>
          </w:tcPr>
          <w:p w14:paraId="2BDDB28A"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1020 (в т.ч. НДС 170,00 руб)</w:t>
            </w:r>
          </w:p>
        </w:tc>
        <w:tc>
          <w:tcPr>
            <w:tcW w:w="1134" w:type="dxa"/>
            <w:gridSpan w:val="2"/>
            <w:noWrap/>
          </w:tcPr>
          <w:p w14:paraId="73171113" w14:textId="77777777" w:rsidR="00DF74D7" w:rsidRPr="002D4ACF" w:rsidRDefault="00DF74D7" w:rsidP="00DD2371">
            <w:pPr>
              <w:jc w:val="center"/>
              <w:rPr>
                <w:rFonts w:ascii="Tahoma" w:hAnsi="Tahoma" w:cs="Tahoma"/>
                <w:iCs/>
                <w:sz w:val="18"/>
                <w:szCs w:val="18"/>
              </w:rPr>
            </w:pPr>
          </w:p>
        </w:tc>
        <w:tc>
          <w:tcPr>
            <w:tcW w:w="1388" w:type="dxa"/>
            <w:gridSpan w:val="2"/>
            <w:noWrap/>
          </w:tcPr>
          <w:p w14:paraId="56F707E7" w14:textId="77777777" w:rsidR="00DF74D7" w:rsidRPr="002D4ACF" w:rsidRDefault="00DF74D7" w:rsidP="00DD2371">
            <w:pPr>
              <w:jc w:val="center"/>
              <w:rPr>
                <w:rFonts w:ascii="Tahoma" w:hAnsi="Tahoma" w:cs="Tahoma"/>
                <w:iCs/>
                <w:sz w:val="18"/>
                <w:szCs w:val="18"/>
              </w:rPr>
            </w:pPr>
          </w:p>
        </w:tc>
      </w:tr>
      <w:tr w:rsidR="00DF74D7" w:rsidRPr="002D4ACF" w14:paraId="72FB055D" w14:textId="77777777" w:rsidTr="00DD2371">
        <w:trPr>
          <w:trHeight w:val="582"/>
        </w:trPr>
        <w:tc>
          <w:tcPr>
            <w:tcW w:w="1064" w:type="dxa"/>
            <w:noWrap/>
          </w:tcPr>
          <w:p w14:paraId="690C1451"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1.1.19.</w:t>
            </w:r>
          </w:p>
        </w:tc>
        <w:tc>
          <w:tcPr>
            <w:tcW w:w="1090" w:type="dxa"/>
            <w:gridSpan w:val="3"/>
            <w:noWrap/>
          </w:tcPr>
          <w:p w14:paraId="0F7460E3" w14:textId="77777777" w:rsidR="00DF74D7" w:rsidRPr="002D4ACF" w:rsidRDefault="00DF74D7" w:rsidP="00DD2371">
            <w:pPr>
              <w:rPr>
                <w:rFonts w:ascii="Tahoma" w:hAnsi="Tahoma" w:cs="Tahoma"/>
                <w:iCs/>
                <w:sz w:val="18"/>
                <w:szCs w:val="18"/>
              </w:rPr>
            </w:pPr>
          </w:p>
        </w:tc>
        <w:tc>
          <w:tcPr>
            <w:tcW w:w="5217" w:type="dxa"/>
          </w:tcPr>
          <w:p w14:paraId="7EB5A8CC"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Платеж за осуществление осмотра движимого и недвижимого имущества, передаваемого в залог в рамках потребительского кредитования</w:t>
            </w:r>
          </w:p>
        </w:tc>
        <w:tc>
          <w:tcPr>
            <w:tcW w:w="1305" w:type="dxa"/>
            <w:gridSpan w:val="2"/>
            <w:noWrap/>
          </w:tcPr>
          <w:p w14:paraId="1A198D20"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2500 (в т.ч. НДС 416,67 руб.)</w:t>
            </w:r>
          </w:p>
        </w:tc>
        <w:tc>
          <w:tcPr>
            <w:tcW w:w="1134" w:type="dxa"/>
            <w:gridSpan w:val="2"/>
            <w:noWrap/>
          </w:tcPr>
          <w:p w14:paraId="6147D792" w14:textId="77777777" w:rsidR="00DF74D7" w:rsidRPr="002D4ACF" w:rsidRDefault="00DF74D7" w:rsidP="00DD2371">
            <w:pPr>
              <w:jc w:val="center"/>
              <w:rPr>
                <w:rFonts w:ascii="Tahoma" w:hAnsi="Tahoma" w:cs="Tahoma"/>
                <w:iCs/>
                <w:sz w:val="18"/>
                <w:szCs w:val="18"/>
              </w:rPr>
            </w:pPr>
          </w:p>
        </w:tc>
        <w:tc>
          <w:tcPr>
            <w:tcW w:w="1388" w:type="dxa"/>
            <w:gridSpan w:val="2"/>
            <w:noWrap/>
          </w:tcPr>
          <w:p w14:paraId="1C25D8CE" w14:textId="77777777" w:rsidR="00DF74D7" w:rsidRPr="002D4ACF" w:rsidRDefault="00DF74D7" w:rsidP="00DD2371">
            <w:pPr>
              <w:jc w:val="center"/>
              <w:rPr>
                <w:rFonts w:ascii="Tahoma" w:hAnsi="Tahoma" w:cs="Tahoma"/>
                <w:iCs/>
                <w:sz w:val="18"/>
                <w:szCs w:val="18"/>
              </w:rPr>
            </w:pPr>
          </w:p>
        </w:tc>
      </w:tr>
      <w:tr w:rsidR="00DF74D7" w:rsidRPr="002D4ACF" w14:paraId="3CF663A8" w14:textId="77777777" w:rsidTr="00DD2371">
        <w:trPr>
          <w:trHeight w:val="318"/>
        </w:trPr>
        <w:tc>
          <w:tcPr>
            <w:tcW w:w="1064" w:type="dxa"/>
            <w:noWrap/>
          </w:tcPr>
          <w:p w14:paraId="2309B946" w14:textId="77777777" w:rsidR="00DF74D7" w:rsidRPr="002D4ACF" w:rsidRDefault="00DF74D7" w:rsidP="00DD2371">
            <w:pPr>
              <w:jc w:val="center"/>
              <w:rPr>
                <w:rFonts w:ascii="Tahoma" w:hAnsi="Tahoma" w:cs="Tahoma"/>
                <w:iCs/>
                <w:sz w:val="18"/>
                <w:szCs w:val="18"/>
              </w:rPr>
            </w:pPr>
          </w:p>
        </w:tc>
        <w:tc>
          <w:tcPr>
            <w:tcW w:w="1078" w:type="dxa"/>
            <w:gridSpan w:val="2"/>
          </w:tcPr>
          <w:p w14:paraId="471568E7" w14:textId="77777777" w:rsidR="00DF74D7" w:rsidRPr="002D4ACF" w:rsidRDefault="00DF74D7" w:rsidP="00DD2371">
            <w:pPr>
              <w:jc w:val="center"/>
              <w:rPr>
                <w:rFonts w:ascii="Tahoma" w:hAnsi="Tahoma" w:cs="Tahoma"/>
                <w:iCs/>
                <w:sz w:val="18"/>
                <w:szCs w:val="18"/>
              </w:rPr>
            </w:pPr>
          </w:p>
        </w:tc>
        <w:tc>
          <w:tcPr>
            <w:tcW w:w="9056" w:type="dxa"/>
            <w:gridSpan w:val="8"/>
          </w:tcPr>
          <w:p w14:paraId="1B6641C8"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 при наличии действующего отчета профессионального оценщика об оценке предмета залога у Заемщика платеж не взимается</w:t>
            </w:r>
          </w:p>
        </w:tc>
      </w:tr>
      <w:tr w:rsidR="00DF74D7" w:rsidRPr="002D4ACF" w14:paraId="2962C9FA" w14:textId="77777777" w:rsidTr="00DD2371">
        <w:trPr>
          <w:trHeight w:val="65"/>
        </w:trPr>
        <w:tc>
          <w:tcPr>
            <w:tcW w:w="1064" w:type="dxa"/>
            <w:noWrap/>
          </w:tcPr>
          <w:p w14:paraId="535A013E"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1.1.20.</w:t>
            </w:r>
          </w:p>
        </w:tc>
        <w:tc>
          <w:tcPr>
            <w:tcW w:w="1090" w:type="dxa"/>
            <w:gridSpan w:val="3"/>
            <w:noWrap/>
          </w:tcPr>
          <w:p w14:paraId="3EEE7FDD" w14:textId="77777777" w:rsidR="00DF74D7" w:rsidRPr="002D4ACF" w:rsidRDefault="00DF74D7" w:rsidP="00DD2371">
            <w:pPr>
              <w:rPr>
                <w:rFonts w:ascii="Tahoma" w:hAnsi="Tahoma" w:cs="Tahoma"/>
                <w:iCs/>
                <w:sz w:val="18"/>
                <w:szCs w:val="18"/>
              </w:rPr>
            </w:pPr>
          </w:p>
        </w:tc>
        <w:tc>
          <w:tcPr>
            <w:tcW w:w="5217" w:type="dxa"/>
          </w:tcPr>
          <w:p w14:paraId="5EAC210B"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Перевод документов клиента по заявлению клиента на иностранный язык:</w:t>
            </w:r>
          </w:p>
        </w:tc>
        <w:tc>
          <w:tcPr>
            <w:tcW w:w="1305" w:type="dxa"/>
            <w:gridSpan w:val="2"/>
            <w:noWrap/>
          </w:tcPr>
          <w:p w14:paraId="0C7C8215" w14:textId="77777777" w:rsidR="00DF74D7" w:rsidRPr="002D4ACF" w:rsidRDefault="00DF74D7" w:rsidP="00DD2371">
            <w:pPr>
              <w:jc w:val="center"/>
              <w:rPr>
                <w:rFonts w:ascii="Tahoma" w:hAnsi="Tahoma" w:cs="Tahoma"/>
                <w:iCs/>
                <w:sz w:val="18"/>
                <w:szCs w:val="18"/>
              </w:rPr>
            </w:pPr>
          </w:p>
        </w:tc>
        <w:tc>
          <w:tcPr>
            <w:tcW w:w="1134" w:type="dxa"/>
            <w:gridSpan w:val="2"/>
            <w:noWrap/>
          </w:tcPr>
          <w:p w14:paraId="1F97265D" w14:textId="77777777" w:rsidR="00DF74D7" w:rsidRPr="002D4ACF" w:rsidRDefault="00DF74D7" w:rsidP="00DD2371">
            <w:pPr>
              <w:jc w:val="center"/>
              <w:rPr>
                <w:rFonts w:ascii="Tahoma" w:hAnsi="Tahoma" w:cs="Tahoma"/>
                <w:iCs/>
                <w:sz w:val="18"/>
                <w:szCs w:val="18"/>
              </w:rPr>
            </w:pPr>
          </w:p>
        </w:tc>
        <w:tc>
          <w:tcPr>
            <w:tcW w:w="1388" w:type="dxa"/>
            <w:gridSpan w:val="2"/>
            <w:noWrap/>
          </w:tcPr>
          <w:p w14:paraId="04A7833F" w14:textId="77777777" w:rsidR="00DF74D7" w:rsidRPr="002D4ACF" w:rsidRDefault="00DF74D7" w:rsidP="00DD2371">
            <w:pPr>
              <w:jc w:val="center"/>
              <w:rPr>
                <w:rFonts w:ascii="Tahoma" w:hAnsi="Tahoma" w:cs="Tahoma"/>
                <w:iCs/>
                <w:sz w:val="18"/>
                <w:szCs w:val="18"/>
              </w:rPr>
            </w:pPr>
          </w:p>
        </w:tc>
      </w:tr>
      <w:tr w:rsidR="00DF74D7" w:rsidRPr="002D4ACF" w14:paraId="774C0E0A" w14:textId="77777777" w:rsidTr="00DD2371">
        <w:trPr>
          <w:trHeight w:val="582"/>
        </w:trPr>
        <w:tc>
          <w:tcPr>
            <w:tcW w:w="1064" w:type="dxa"/>
            <w:noWrap/>
          </w:tcPr>
          <w:p w14:paraId="4DEB373D" w14:textId="77777777" w:rsidR="00DF74D7" w:rsidRPr="002D4ACF" w:rsidRDefault="00DF74D7" w:rsidP="00DD2371">
            <w:pPr>
              <w:rPr>
                <w:rFonts w:ascii="Tahoma" w:hAnsi="Tahoma" w:cs="Tahoma"/>
                <w:b/>
                <w:bCs/>
                <w:iCs/>
                <w:sz w:val="18"/>
                <w:szCs w:val="18"/>
              </w:rPr>
            </w:pPr>
          </w:p>
        </w:tc>
        <w:tc>
          <w:tcPr>
            <w:tcW w:w="1090" w:type="dxa"/>
            <w:gridSpan w:val="3"/>
            <w:noWrap/>
          </w:tcPr>
          <w:p w14:paraId="53B2FA92" w14:textId="77777777" w:rsidR="00DF74D7" w:rsidRPr="002D4ACF" w:rsidRDefault="00DF74D7" w:rsidP="00DD2371">
            <w:pPr>
              <w:rPr>
                <w:rFonts w:ascii="Tahoma" w:hAnsi="Tahoma" w:cs="Tahoma"/>
                <w:b/>
                <w:iCs/>
                <w:sz w:val="18"/>
                <w:szCs w:val="18"/>
              </w:rPr>
            </w:pPr>
            <w:r w:rsidRPr="002D4ACF">
              <w:rPr>
                <w:rFonts w:ascii="Tahoma" w:hAnsi="Tahoma" w:cs="Tahoma"/>
                <w:b/>
                <w:iCs/>
                <w:sz w:val="18"/>
                <w:szCs w:val="18"/>
              </w:rPr>
              <w:t>1.1.20.1.</w:t>
            </w:r>
          </w:p>
        </w:tc>
        <w:tc>
          <w:tcPr>
            <w:tcW w:w="5217" w:type="dxa"/>
          </w:tcPr>
          <w:p w14:paraId="1443A3F6"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с/на европейские языки (немецкий, английский, французский, итальянский, испанский)</w:t>
            </w:r>
          </w:p>
        </w:tc>
        <w:tc>
          <w:tcPr>
            <w:tcW w:w="1305" w:type="dxa"/>
            <w:gridSpan w:val="2"/>
            <w:noWrap/>
          </w:tcPr>
          <w:p w14:paraId="01F5BD95" w14:textId="77777777" w:rsidR="00DF74D7" w:rsidRPr="002D4ACF" w:rsidRDefault="00DF74D7" w:rsidP="00DD2371">
            <w:pPr>
              <w:spacing w:line="276" w:lineRule="auto"/>
              <w:jc w:val="center"/>
              <w:rPr>
                <w:rFonts w:ascii="Tahoma" w:hAnsi="Tahoma" w:cs="Tahoma"/>
                <w:iCs/>
                <w:sz w:val="18"/>
                <w:szCs w:val="18"/>
                <w:lang w:val="x-none" w:eastAsia="x-none"/>
              </w:rPr>
            </w:pPr>
            <w:r w:rsidRPr="002D4ACF">
              <w:rPr>
                <w:rFonts w:ascii="Tahoma" w:hAnsi="Tahoma" w:cs="Tahoma"/>
                <w:iCs/>
                <w:sz w:val="18"/>
                <w:szCs w:val="18"/>
                <w:lang w:val="x-none" w:eastAsia="x-none"/>
              </w:rPr>
              <w:t>500 руб. (в т.ч. НДС 83,33 руб.) за страницу*.</w:t>
            </w:r>
          </w:p>
        </w:tc>
        <w:tc>
          <w:tcPr>
            <w:tcW w:w="1134" w:type="dxa"/>
            <w:gridSpan w:val="2"/>
            <w:noWrap/>
          </w:tcPr>
          <w:p w14:paraId="4B76ACDC" w14:textId="77777777" w:rsidR="00DF74D7" w:rsidRPr="002D4ACF" w:rsidRDefault="00DF74D7" w:rsidP="00DD2371">
            <w:pPr>
              <w:jc w:val="center"/>
              <w:rPr>
                <w:rFonts w:ascii="Tahoma" w:hAnsi="Tahoma" w:cs="Tahoma"/>
                <w:iCs/>
                <w:sz w:val="18"/>
                <w:szCs w:val="18"/>
              </w:rPr>
            </w:pPr>
          </w:p>
        </w:tc>
        <w:tc>
          <w:tcPr>
            <w:tcW w:w="1388" w:type="dxa"/>
            <w:gridSpan w:val="2"/>
            <w:noWrap/>
          </w:tcPr>
          <w:p w14:paraId="22D24274" w14:textId="77777777" w:rsidR="00DF74D7" w:rsidRPr="002D4ACF" w:rsidRDefault="00DF74D7" w:rsidP="00DD2371">
            <w:pPr>
              <w:jc w:val="center"/>
              <w:rPr>
                <w:rFonts w:ascii="Tahoma" w:hAnsi="Tahoma" w:cs="Tahoma"/>
                <w:iCs/>
                <w:sz w:val="18"/>
                <w:szCs w:val="18"/>
              </w:rPr>
            </w:pPr>
          </w:p>
        </w:tc>
      </w:tr>
      <w:tr w:rsidR="00DF74D7" w:rsidRPr="002D4ACF" w14:paraId="591C4AF6" w14:textId="77777777" w:rsidTr="00DD2371">
        <w:trPr>
          <w:trHeight w:val="582"/>
        </w:trPr>
        <w:tc>
          <w:tcPr>
            <w:tcW w:w="1064" w:type="dxa"/>
            <w:noWrap/>
          </w:tcPr>
          <w:p w14:paraId="3BC394C9" w14:textId="77777777" w:rsidR="00DF74D7" w:rsidRPr="002D4ACF" w:rsidRDefault="00DF74D7" w:rsidP="00DD2371">
            <w:pPr>
              <w:rPr>
                <w:rFonts w:ascii="Tahoma" w:hAnsi="Tahoma" w:cs="Tahoma"/>
                <w:b/>
                <w:bCs/>
                <w:iCs/>
                <w:sz w:val="18"/>
                <w:szCs w:val="18"/>
              </w:rPr>
            </w:pPr>
          </w:p>
        </w:tc>
        <w:tc>
          <w:tcPr>
            <w:tcW w:w="1090" w:type="dxa"/>
            <w:gridSpan w:val="3"/>
            <w:noWrap/>
          </w:tcPr>
          <w:p w14:paraId="592FC64C" w14:textId="77777777" w:rsidR="00DF74D7" w:rsidRPr="002D4ACF" w:rsidRDefault="00DF74D7" w:rsidP="00DD2371">
            <w:pPr>
              <w:rPr>
                <w:rFonts w:ascii="Tahoma" w:hAnsi="Tahoma" w:cs="Tahoma"/>
                <w:iCs/>
                <w:sz w:val="18"/>
                <w:szCs w:val="18"/>
              </w:rPr>
            </w:pPr>
            <w:r w:rsidRPr="002D4ACF">
              <w:rPr>
                <w:rFonts w:ascii="Tahoma" w:hAnsi="Tahoma" w:cs="Tahoma"/>
                <w:b/>
                <w:iCs/>
                <w:sz w:val="18"/>
                <w:szCs w:val="18"/>
              </w:rPr>
              <w:t>1.1.20.2.</w:t>
            </w:r>
          </w:p>
        </w:tc>
        <w:tc>
          <w:tcPr>
            <w:tcW w:w="5217" w:type="dxa"/>
          </w:tcPr>
          <w:p w14:paraId="18D7454D"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с/на восточные языки (китайский, японский)</w:t>
            </w:r>
          </w:p>
        </w:tc>
        <w:tc>
          <w:tcPr>
            <w:tcW w:w="1305" w:type="dxa"/>
            <w:gridSpan w:val="2"/>
            <w:noWrap/>
          </w:tcPr>
          <w:p w14:paraId="158A5FD6" w14:textId="77777777" w:rsidR="00DF74D7" w:rsidRPr="002D4ACF" w:rsidRDefault="00DF74D7" w:rsidP="00DD2371">
            <w:pPr>
              <w:spacing w:line="276" w:lineRule="auto"/>
              <w:jc w:val="center"/>
              <w:rPr>
                <w:rFonts w:ascii="Tahoma" w:hAnsi="Tahoma" w:cs="Tahoma"/>
                <w:iCs/>
                <w:sz w:val="18"/>
                <w:szCs w:val="18"/>
                <w:lang w:val="x-none" w:eastAsia="x-none"/>
              </w:rPr>
            </w:pPr>
            <w:r w:rsidRPr="002D4ACF">
              <w:rPr>
                <w:rFonts w:ascii="Tahoma" w:hAnsi="Tahoma" w:cs="Tahoma"/>
                <w:iCs/>
                <w:sz w:val="18"/>
                <w:szCs w:val="18"/>
                <w:lang w:val="x-none" w:eastAsia="x-none"/>
              </w:rPr>
              <w:t>1200 руб. (в т.ч. НДС 200 руб.) за страницу*.</w:t>
            </w:r>
          </w:p>
        </w:tc>
        <w:tc>
          <w:tcPr>
            <w:tcW w:w="1134" w:type="dxa"/>
            <w:gridSpan w:val="2"/>
            <w:noWrap/>
          </w:tcPr>
          <w:p w14:paraId="788B4571" w14:textId="77777777" w:rsidR="00DF74D7" w:rsidRPr="002D4ACF" w:rsidRDefault="00DF74D7" w:rsidP="00DD2371">
            <w:pPr>
              <w:jc w:val="center"/>
              <w:rPr>
                <w:rFonts w:ascii="Tahoma" w:hAnsi="Tahoma" w:cs="Tahoma"/>
                <w:iCs/>
                <w:sz w:val="18"/>
                <w:szCs w:val="18"/>
              </w:rPr>
            </w:pPr>
          </w:p>
        </w:tc>
        <w:tc>
          <w:tcPr>
            <w:tcW w:w="1388" w:type="dxa"/>
            <w:gridSpan w:val="2"/>
            <w:noWrap/>
          </w:tcPr>
          <w:p w14:paraId="11F402CE" w14:textId="77777777" w:rsidR="00DF74D7" w:rsidRPr="002D4ACF" w:rsidRDefault="00DF74D7" w:rsidP="00DD2371">
            <w:pPr>
              <w:jc w:val="center"/>
              <w:rPr>
                <w:rFonts w:ascii="Tahoma" w:hAnsi="Tahoma" w:cs="Tahoma"/>
                <w:iCs/>
                <w:sz w:val="18"/>
                <w:szCs w:val="18"/>
              </w:rPr>
            </w:pPr>
          </w:p>
        </w:tc>
      </w:tr>
      <w:tr w:rsidR="00DF74D7" w:rsidRPr="002D4ACF" w14:paraId="1C535780" w14:textId="77777777" w:rsidTr="00DD2371">
        <w:trPr>
          <w:trHeight w:val="582"/>
        </w:trPr>
        <w:tc>
          <w:tcPr>
            <w:tcW w:w="1064" w:type="dxa"/>
            <w:noWrap/>
          </w:tcPr>
          <w:p w14:paraId="2D74AD10" w14:textId="77777777" w:rsidR="00DF74D7" w:rsidRPr="002D4ACF" w:rsidRDefault="00DF74D7" w:rsidP="00DD2371">
            <w:pPr>
              <w:rPr>
                <w:rFonts w:ascii="Tahoma" w:hAnsi="Tahoma" w:cs="Tahoma"/>
                <w:b/>
                <w:bCs/>
                <w:iCs/>
                <w:sz w:val="18"/>
                <w:szCs w:val="18"/>
              </w:rPr>
            </w:pPr>
          </w:p>
        </w:tc>
        <w:tc>
          <w:tcPr>
            <w:tcW w:w="1090" w:type="dxa"/>
            <w:gridSpan w:val="3"/>
            <w:noWrap/>
          </w:tcPr>
          <w:p w14:paraId="702015A7" w14:textId="77777777" w:rsidR="00DF74D7" w:rsidRPr="002D4ACF" w:rsidRDefault="00DF74D7" w:rsidP="00DD2371">
            <w:pPr>
              <w:rPr>
                <w:rFonts w:ascii="Tahoma" w:hAnsi="Tahoma" w:cs="Tahoma"/>
                <w:iCs/>
                <w:sz w:val="18"/>
                <w:szCs w:val="18"/>
              </w:rPr>
            </w:pPr>
            <w:r w:rsidRPr="002D4ACF">
              <w:rPr>
                <w:rFonts w:ascii="Tahoma" w:hAnsi="Tahoma" w:cs="Tahoma"/>
                <w:b/>
                <w:iCs/>
                <w:sz w:val="18"/>
                <w:szCs w:val="18"/>
              </w:rPr>
              <w:t>1.1.20.3.</w:t>
            </w:r>
          </w:p>
        </w:tc>
        <w:tc>
          <w:tcPr>
            <w:tcW w:w="5217" w:type="dxa"/>
          </w:tcPr>
          <w:p w14:paraId="19EB9584"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с/на иностранные языки, не указанные в пп. 1.1.20.1. и пп. 1.1.20.2.  настоящих тарифов</w:t>
            </w:r>
          </w:p>
        </w:tc>
        <w:tc>
          <w:tcPr>
            <w:tcW w:w="1305" w:type="dxa"/>
            <w:gridSpan w:val="2"/>
            <w:noWrap/>
          </w:tcPr>
          <w:p w14:paraId="7DD3A784" w14:textId="77777777" w:rsidR="00DF74D7" w:rsidRPr="002D4ACF" w:rsidRDefault="00DF74D7" w:rsidP="00DD2371">
            <w:pPr>
              <w:spacing w:line="276" w:lineRule="auto"/>
              <w:jc w:val="center"/>
              <w:rPr>
                <w:rFonts w:ascii="Tahoma" w:hAnsi="Tahoma" w:cs="Tahoma"/>
                <w:iCs/>
                <w:sz w:val="18"/>
                <w:szCs w:val="18"/>
                <w:lang w:val="x-none" w:eastAsia="x-none"/>
              </w:rPr>
            </w:pPr>
            <w:r w:rsidRPr="002D4ACF">
              <w:rPr>
                <w:rFonts w:ascii="Tahoma" w:hAnsi="Tahoma" w:cs="Tahoma"/>
                <w:iCs/>
                <w:sz w:val="18"/>
                <w:szCs w:val="18"/>
                <w:lang w:val="x-none" w:eastAsia="x-none"/>
              </w:rPr>
              <w:t>1500 руб. (в т.ч. НДС 250 руб.) за страницу*.</w:t>
            </w:r>
          </w:p>
        </w:tc>
        <w:tc>
          <w:tcPr>
            <w:tcW w:w="1134" w:type="dxa"/>
            <w:gridSpan w:val="2"/>
            <w:noWrap/>
          </w:tcPr>
          <w:p w14:paraId="3BCE667E" w14:textId="77777777" w:rsidR="00DF74D7" w:rsidRPr="002D4ACF" w:rsidRDefault="00DF74D7" w:rsidP="00DD2371">
            <w:pPr>
              <w:jc w:val="center"/>
              <w:rPr>
                <w:rFonts w:ascii="Tahoma" w:hAnsi="Tahoma" w:cs="Tahoma"/>
                <w:iCs/>
                <w:sz w:val="18"/>
                <w:szCs w:val="18"/>
              </w:rPr>
            </w:pPr>
          </w:p>
        </w:tc>
        <w:tc>
          <w:tcPr>
            <w:tcW w:w="1388" w:type="dxa"/>
            <w:gridSpan w:val="2"/>
            <w:noWrap/>
          </w:tcPr>
          <w:p w14:paraId="783ECD35" w14:textId="77777777" w:rsidR="00DF74D7" w:rsidRPr="002D4ACF" w:rsidRDefault="00DF74D7" w:rsidP="00DD2371">
            <w:pPr>
              <w:jc w:val="center"/>
              <w:rPr>
                <w:rFonts w:ascii="Tahoma" w:hAnsi="Tahoma" w:cs="Tahoma"/>
                <w:iCs/>
                <w:sz w:val="18"/>
                <w:szCs w:val="18"/>
              </w:rPr>
            </w:pPr>
          </w:p>
        </w:tc>
      </w:tr>
      <w:tr w:rsidR="00DF74D7" w:rsidRPr="002D4ACF" w14:paraId="4B071344" w14:textId="77777777" w:rsidTr="00DD2371">
        <w:trPr>
          <w:trHeight w:val="65"/>
        </w:trPr>
        <w:tc>
          <w:tcPr>
            <w:tcW w:w="1064" w:type="dxa"/>
            <w:noWrap/>
          </w:tcPr>
          <w:p w14:paraId="44509D0C" w14:textId="77777777" w:rsidR="00DF74D7" w:rsidRPr="002D4ACF" w:rsidRDefault="00DF74D7" w:rsidP="00DD2371">
            <w:pPr>
              <w:rPr>
                <w:rFonts w:ascii="Arial Narrow" w:hAnsi="Arial Narrow" w:cs="Arial"/>
                <w:b/>
                <w:bCs/>
                <w:iCs/>
                <w:sz w:val="18"/>
                <w:szCs w:val="18"/>
              </w:rPr>
            </w:pPr>
          </w:p>
        </w:tc>
        <w:tc>
          <w:tcPr>
            <w:tcW w:w="1090" w:type="dxa"/>
            <w:gridSpan w:val="3"/>
            <w:noWrap/>
          </w:tcPr>
          <w:p w14:paraId="63A59D24" w14:textId="77777777" w:rsidR="00DF74D7" w:rsidRPr="002D4ACF" w:rsidRDefault="00DF74D7" w:rsidP="00DD2371">
            <w:pPr>
              <w:rPr>
                <w:rFonts w:ascii="Tahoma" w:hAnsi="Tahoma" w:cs="Tahoma"/>
                <w:iCs/>
                <w:sz w:val="18"/>
                <w:szCs w:val="18"/>
              </w:rPr>
            </w:pPr>
          </w:p>
        </w:tc>
        <w:tc>
          <w:tcPr>
            <w:tcW w:w="9044" w:type="dxa"/>
            <w:gridSpan w:val="7"/>
          </w:tcPr>
          <w:p w14:paraId="638A485D" w14:textId="77777777" w:rsidR="00DF74D7" w:rsidRPr="002D4ACF" w:rsidRDefault="00DF74D7" w:rsidP="00DD2371">
            <w:pPr>
              <w:rPr>
                <w:rFonts w:ascii="Tahoma" w:hAnsi="Tahoma" w:cs="Tahoma"/>
                <w:iCs/>
                <w:sz w:val="18"/>
                <w:szCs w:val="18"/>
              </w:rPr>
            </w:pPr>
            <w:r w:rsidRPr="002D4ACF">
              <w:rPr>
                <w:rFonts w:ascii="Tahoma" w:hAnsi="Tahoma" w:cs="Tahoma"/>
                <w:iCs/>
                <w:sz w:val="18"/>
                <w:szCs w:val="18"/>
              </w:rPr>
              <w:t>* Под страницей понимается страница перевода, объем которой составляет  1800 символов с пробелами.</w:t>
            </w:r>
          </w:p>
        </w:tc>
      </w:tr>
      <w:tr w:rsidR="00DF74D7" w:rsidRPr="002D4ACF" w14:paraId="2E8B1C68" w14:textId="77777777" w:rsidTr="00DD2371">
        <w:tc>
          <w:tcPr>
            <w:tcW w:w="11198" w:type="dxa"/>
            <w:gridSpan w:val="11"/>
          </w:tcPr>
          <w:p w14:paraId="697AFEBA" w14:textId="77777777" w:rsidR="00DF74D7" w:rsidRPr="002D4ACF" w:rsidRDefault="00DF74D7" w:rsidP="00DD2371">
            <w:pPr>
              <w:rPr>
                <w:rFonts w:ascii="Tahoma" w:hAnsi="Tahoma" w:cs="Tahoma"/>
                <w:sz w:val="14"/>
                <w:szCs w:val="18"/>
                <w:lang w:eastAsia="en-US"/>
              </w:rPr>
            </w:pPr>
            <w:r w:rsidRPr="002D4ACF">
              <w:rPr>
                <w:rFonts w:ascii="Tahoma" w:hAnsi="Tahoma" w:cs="Tahoma"/>
                <w:sz w:val="14"/>
                <w:szCs w:val="20"/>
                <w:vertAlign w:val="superscript"/>
                <w:lang w:eastAsia="en-US"/>
              </w:rPr>
              <w:t>17</w:t>
            </w:r>
            <w:r w:rsidRPr="002D4ACF">
              <w:rPr>
                <w:rFonts w:ascii="Tahoma" w:hAnsi="Tahoma" w:cs="Tahoma"/>
                <w:sz w:val="14"/>
                <w:szCs w:val="20"/>
                <w:lang w:eastAsia="en-US"/>
              </w:rPr>
              <w:t xml:space="preserve"> </w:t>
            </w:r>
            <w:r w:rsidRPr="002D4ACF">
              <w:rPr>
                <w:rFonts w:ascii="Tahoma" w:hAnsi="Tahoma" w:cs="Tahoma"/>
                <w:sz w:val="14"/>
                <w:szCs w:val="18"/>
                <w:lang w:eastAsia="en-US"/>
              </w:rPr>
              <w:t>Распространяется на кредитные договоры, оформленные в «Азиатско-Тихоокеанский Банк» (АО) с 01.07.2014 г. Справки, подтверждения по кредитным договорам, оформленным в «Азиатско-Тихоокеанский Банк» (АО) до 01.07.2014 г. предоставляются в соответствии с условиями кредитного договора.</w:t>
            </w:r>
          </w:p>
        </w:tc>
      </w:tr>
    </w:tbl>
    <w:p w14:paraId="29CD9EC5" w14:textId="77777777" w:rsidR="00DF74D7" w:rsidRPr="002D4ACF" w:rsidRDefault="00DF74D7" w:rsidP="00DF74D7">
      <w:pPr>
        <w:jc w:val="both"/>
        <w:rPr>
          <w:rFonts w:ascii="Tahoma" w:hAnsi="Tahoma" w:cs="Tahoma"/>
          <w:b/>
          <w:bCs/>
          <w:i/>
          <w:iCs/>
          <w:sz w:val="22"/>
          <w:szCs w:val="22"/>
        </w:rPr>
      </w:pPr>
    </w:p>
    <w:p w14:paraId="5050AF00" w14:textId="77777777" w:rsidR="00DF74D7" w:rsidRPr="0062263F" w:rsidRDefault="00DF74D7" w:rsidP="000B3718">
      <w:pPr>
        <w:pStyle w:val="a5"/>
        <w:rPr>
          <w:vertAlign w:val="superscript"/>
        </w:rPr>
      </w:pPr>
      <w:r w:rsidRPr="0062263F">
        <w:t>1.2. Предоставление в аренду индивидуальных сейфов и сейфовых ячеек для хранения документов и ценностей</w:t>
      </w:r>
      <w:r w:rsidRPr="0062263F">
        <w:rPr>
          <w:vertAlign w:val="superscript"/>
        </w:rPr>
        <w:t>1</w:t>
      </w:r>
    </w:p>
    <w:p w14:paraId="42567F1F" w14:textId="77777777" w:rsidR="00DF74D7" w:rsidRPr="0062263F" w:rsidRDefault="00DF74D7" w:rsidP="00DF74D7">
      <w:pPr>
        <w:rPr>
          <w:rFonts w:ascii="Tahoma" w:hAnsi="Tahoma" w:cs="Tahoma"/>
          <w:i/>
          <w:iCs/>
          <w:sz w:val="20"/>
          <w:vertAlign w:val="superscript"/>
        </w:rPr>
      </w:pPr>
    </w:p>
    <w:tbl>
      <w:tblPr>
        <w:tblStyle w:val="1011112"/>
        <w:tblpPr w:leftFromText="180" w:rightFromText="180" w:vertAnchor="text" w:tblpY="1"/>
        <w:tblOverlap w:val="never"/>
        <w:tblW w:w="9776" w:type="dxa"/>
        <w:tblLook w:val="04A0" w:firstRow="1" w:lastRow="0" w:firstColumn="1" w:lastColumn="0" w:noHBand="0" w:noVBand="1"/>
      </w:tblPr>
      <w:tblGrid>
        <w:gridCol w:w="895"/>
        <w:gridCol w:w="3073"/>
        <w:gridCol w:w="1718"/>
        <w:gridCol w:w="7"/>
        <w:gridCol w:w="4083"/>
      </w:tblGrid>
      <w:tr w:rsidR="00DF74D7" w:rsidRPr="0062263F" w14:paraId="0E5AF143" w14:textId="77777777" w:rsidTr="00DD2371">
        <w:tc>
          <w:tcPr>
            <w:tcW w:w="895" w:type="dxa"/>
            <w:shd w:val="clear" w:color="auto" w:fill="D9D9D9" w:themeFill="background1" w:themeFillShade="D9"/>
          </w:tcPr>
          <w:p w14:paraId="0B57A63A" w14:textId="77777777" w:rsidR="00DF74D7" w:rsidRPr="0062263F" w:rsidRDefault="00DF74D7" w:rsidP="00DD2371">
            <w:pPr>
              <w:jc w:val="center"/>
              <w:rPr>
                <w:rFonts w:ascii="Tahoma" w:hAnsi="Tahoma" w:cs="Tahoma"/>
              </w:rPr>
            </w:pPr>
            <w:r w:rsidRPr="0062263F">
              <w:rPr>
                <w:rFonts w:ascii="Tahoma" w:hAnsi="Tahoma" w:cs="Tahoma"/>
                <w:b/>
                <w:bCs/>
                <w:iCs/>
                <w:sz w:val="18"/>
                <w:szCs w:val="18"/>
              </w:rPr>
              <w:t>№</w:t>
            </w:r>
          </w:p>
        </w:tc>
        <w:tc>
          <w:tcPr>
            <w:tcW w:w="3073" w:type="dxa"/>
            <w:shd w:val="clear" w:color="auto" w:fill="D9D9D9" w:themeFill="background1" w:themeFillShade="D9"/>
          </w:tcPr>
          <w:p w14:paraId="3C90AA01" w14:textId="77777777" w:rsidR="00DF74D7" w:rsidRPr="0062263F" w:rsidRDefault="00DF74D7" w:rsidP="00DD2371">
            <w:pPr>
              <w:jc w:val="center"/>
              <w:rPr>
                <w:rFonts w:ascii="Tahoma" w:hAnsi="Tahoma" w:cs="Tahoma"/>
              </w:rPr>
            </w:pPr>
            <w:r w:rsidRPr="0062263F">
              <w:rPr>
                <w:rFonts w:ascii="Tahoma" w:hAnsi="Tahoma" w:cs="Tahoma"/>
                <w:b/>
                <w:bCs/>
                <w:iCs/>
                <w:sz w:val="18"/>
                <w:szCs w:val="18"/>
              </w:rPr>
              <w:t>Наименование услуги</w:t>
            </w:r>
          </w:p>
        </w:tc>
        <w:tc>
          <w:tcPr>
            <w:tcW w:w="5808" w:type="dxa"/>
            <w:gridSpan w:val="3"/>
            <w:shd w:val="clear" w:color="auto" w:fill="D9D9D9" w:themeFill="background1" w:themeFillShade="D9"/>
          </w:tcPr>
          <w:p w14:paraId="14D6C547" w14:textId="77777777" w:rsidR="00DF74D7" w:rsidRPr="0062263F" w:rsidRDefault="00DF74D7" w:rsidP="00DD2371">
            <w:pPr>
              <w:jc w:val="center"/>
              <w:rPr>
                <w:rFonts w:ascii="Tahoma" w:hAnsi="Tahoma" w:cs="Tahoma"/>
              </w:rPr>
            </w:pPr>
            <w:r w:rsidRPr="0062263F">
              <w:rPr>
                <w:rFonts w:ascii="Tahoma" w:hAnsi="Tahoma" w:cs="Tahoma"/>
                <w:b/>
                <w:bCs/>
                <w:iCs/>
                <w:sz w:val="18"/>
                <w:szCs w:val="18"/>
              </w:rPr>
              <w:t>Тариф</w:t>
            </w:r>
            <w:r w:rsidRPr="00DB777B">
              <w:rPr>
                <w:rFonts w:ascii="Tahoma" w:hAnsi="Tahoma" w:cs="Tahoma"/>
                <w:b/>
                <w:bCs/>
                <w:iCs/>
                <w:sz w:val="18"/>
                <w:szCs w:val="18"/>
                <w:vertAlign w:val="superscript"/>
              </w:rPr>
              <w:t>2</w:t>
            </w:r>
          </w:p>
        </w:tc>
      </w:tr>
      <w:tr w:rsidR="00DF74D7" w:rsidRPr="0062263F" w14:paraId="3DED05A8" w14:textId="77777777" w:rsidTr="00DD2371">
        <w:tc>
          <w:tcPr>
            <w:tcW w:w="895" w:type="dxa"/>
          </w:tcPr>
          <w:p w14:paraId="51E66138" w14:textId="77777777" w:rsidR="00DF74D7" w:rsidRPr="0062263F" w:rsidRDefault="00DF74D7" w:rsidP="00DD2371">
            <w:pPr>
              <w:rPr>
                <w:rFonts w:ascii="Tahoma" w:hAnsi="Tahoma" w:cs="Tahoma"/>
                <w:sz w:val="20"/>
                <w:szCs w:val="20"/>
              </w:rPr>
            </w:pPr>
          </w:p>
        </w:tc>
        <w:tc>
          <w:tcPr>
            <w:tcW w:w="3073" w:type="dxa"/>
          </w:tcPr>
          <w:p w14:paraId="0E2C7EEF" w14:textId="77777777" w:rsidR="00DF74D7" w:rsidRPr="0062263F" w:rsidRDefault="00DF74D7" w:rsidP="00DD2371">
            <w:pPr>
              <w:jc w:val="center"/>
              <w:rPr>
                <w:rFonts w:ascii="Tahoma" w:hAnsi="Tahoma" w:cs="Tahoma"/>
                <w:b/>
                <w:sz w:val="20"/>
                <w:szCs w:val="20"/>
              </w:rPr>
            </w:pPr>
            <w:r w:rsidRPr="0062263F">
              <w:rPr>
                <w:rFonts w:ascii="Tahoma" w:hAnsi="Tahoma" w:cs="Tahoma"/>
                <w:b/>
                <w:sz w:val="20"/>
                <w:szCs w:val="20"/>
              </w:rPr>
              <w:t>Размер ячейки</w:t>
            </w:r>
          </w:p>
        </w:tc>
        <w:tc>
          <w:tcPr>
            <w:tcW w:w="1725" w:type="dxa"/>
            <w:gridSpan w:val="2"/>
          </w:tcPr>
          <w:p w14:paraId="5C0E4547" w14:textId="77777777" w:rsidR="00DF74D7" w:rsidRPr="0062263F" w:rsidRDefault="00DF74D7" w:rsidP="00DD2371">
            <w:pPr>
              <w:jc w:val="center"/>
              <w:rPr>
                <w:rFonts w:ascii="Tahoma" w:hAnsi="Tahoma" w:cs="Tahoma"/>
                <w:b/>
                <w:sz w:val="20"/>
                <w:szCs w:val="20"/>
              </w:rPr>
            </w:pPr>
            <w:r w:rsidRPr="0062263F">
              <w:rPr>
                <w:rFonts w:ascii="Tahoma" w:hAnsi="Tahoma" w:cs="Tahoma"/>
                <w:b/>
                <w:sz w:val="20"/>
                <w:szCs w:val="20"/>
              </w:rPr>
              <w:t>Срок аренды</w:t>
            </w:r>
          </w:p>
        </w:tc>
        <w:tc>
          <w:tcPr>
            <w:tcW w:w="4083" w:type="dxa"/>
          </w:tcPr>
          <w:p w14:paraId="2A84A650" w14:textId="77777777" w:rsidR="00DF74D7" w:rsidRPr="0062263F" w:rsidRDefault="00DF74D7" w:rsidP="00DD2371">
            <w:pPr>
              <w:jc w:val="center"/>
              <w:rPr>
                <w:rFonts w:ascii="Tahoma" w:hAnsi="Tahoma" w:cs="Tahoma"/>
                <w:b/>
                <w:sz w:val="20"/>
                <w:szCs w:val="20"/>
              </w:rPr>
            </w:pPr>
            <w:r w:rsidRPr="0062263F">
              <w:rPr>
                <w:rFonts w:ascii="Tahoma" w:hAnsi="Tahoma" w:cs="Tahoma"/>
                <w:b/>
                <w:sz w:val="20"/>
                <w:szCs w:val="20"/>
              </w:rPr>
              <w:t>Стоимость, руб. в день</w:t>
            </w:r>
          </w:p>
        </w:tc>
      </w:tr>
      <w:tr w:rsidR="00DF74D7" w:rsidRPr="0062263F" w14:paraId="2FB9C78F" w14:textId="77777777" w:rsidTr="00DD2371">
        <w:tc>
          <w:tcPr>
            <w:tcW w:w="895" w:type="dxa"/>
          </w:tcPr>
          <w:p w14:paraId="48FED985" w14:textId="77777777" w:rsidR="00DF74D7" w:rsidRPr="0062263F" w:rsidRDefault="00DF74D7" w:rsidP="00DD2371">
            <w:pPr>
              <w:rPr>
                <w:rFonts w:ascii="Tahoma" w:hAnsi="Tahoma" w:cs="Tahoma"/>
                <w:sz w:val="20"/>
                <w:szCs w:val="20"/>
              </w:rPr>
            </w:pPr>
            <w:r w:rsidRPr="0062263F">
              <w:rPr>
                <w:rFonts w:ascii="Tahoma" w:hAnsi="Tahoma" w:cs="Tahoma"/>
                <w:sz w:val="20"/>
                <w:szCs w:val="20"/>
              </w:rPr>
              <w:t>1.2.1.</w:t>
            </w:r>
            <w:r>
              <w:rPr>
                <w:rFonts w:ascii="Tahoma" w:hAnsi="Tahoma" w:cs="Tahoma"/>
                <w:sz w:val="20"/>
                <w:szCs w:val="20"/>
                <w:vertAlign w:val="superscript"/>
              </w:rPr>
              <w:t>3</w:t>
            </w:r>
          </w:p>
        </w:tc>
        <w:tc>
          <w:tcPr>
            <w:tcW w:w="8881" w:type="dxa"/>
            <w:gridSpan w:val="4"/>
          </w:tcPr>
          <w:p w14:paraId="73EB94D6" w14:textId="77777777" w:rsidR="00DF74D7" w:rsidRPr="0062263F" w:rsidRDefault="00DF74D7" w:rsidP="00DD2371">
            <w:pPr>
              <w:jc w:val="center"/>
              <w:rPr>
                <w:rFonts w:ascii="Tahoma" w:hAnsi="Tahoma" w:cs="Tahoma"/>
                <w:b/>
                <w:sz w:val="20"/>
                <w:szCs w:val="20"/>
              </w:rPr>
            </w:pPr>
            <w:r w:rsidRPr="0062263F">
              <w:rPr>
                <w:rFonts w:ascii="Tahoma" w:hAnsi="Tahoma" w:cs="Tahoma"/>
                <w:b/>
                <w:sz w:val="20"/>
                <w:szCs w:val="20"/>
              </w:rPr>
              <w:t>Для всех подразделений "Азиатско-Тихоокеанский Банк" (АО)</w:t>
            </w:r>
            <w:r w:rsidRPr="0062263F">
              <w:rPr>
                <w:rFonts w:ascii="Tahoma" w:eastAsia="Calibri" w:hAnsi="Tahoma" w:cs="Tahoma"/>
                <w:sz w:val="16"/>
                <w:szCs w:val="16"/>
                <w:vertAlign w:val="superscript"/>
              </w:rPr>
              <w:t xml:space="preserve"> </w:t>
            </w:r>
            <w:r w:rsidRPr="00DF7BE5">
              <w:rPr>
                <w:rFonts w:ascii="Tahoma" w:eastAsia="Calibri" w:hAnsi="Tahoma" w:cs="Tahoma"/>
                <w:sz w:val="16"/>
                <w:szCs w:val="16"/>
                <w:vertAlign w:val="superscript"/>
              </w:rPr>
              <w:t>1</w:t>
            </w:r>
            <w:r w:rsidRPr="0062263F">
              <w:rPr>
                <w:rFonts w:ascii="Tahoma" w:hAnsi="Tahoma" w:cs="Tahoma"/>
                <w:b/>
                <w:sz w:val="20"/>
                <w:szCs w:val="20"/>
              </w:rPr>
              <w:t>, за исключением Дополнительного офиса № 5 Филиала "Азиатско-Тихоокеанский Банк" (АО) в г. Москва</w:t>
            </w:r>
          </w:p>
        </w:tc>
      </w:tr>
      <w:tr w:rsidR="00DF74D7" w:rsidRPr="0062263F" w14:paraId="1BEF6761" w14:textId="77777777" w:rsidTr="00DD2371">
        <w:tc>
          <w:tcPr>
            <w:tcW w:w="895" w:type="dxa"/>
            <w:vMerge w:val="restart"/>
          </w:tcPr>
          <w:p w14:paraId="05298F7F" w14:textId="77777777" w:rsidR="00DF74D7" w:rsidRPr="0062263F" w:rsidRDefault="00DF74D7" w:rsidP="00DD2371">
            <w:pPr>
              <w:rPr>
                <w:rFonts w:ascii="Tahoma" w:hAnsi="Tahoma" w:cs="Tahoma"/>
                <w:sz w:val="20"/>
                <w:szCs w:val="20"/>
              </w:rPr>
            </w:pPr>
          </w:p>
        </w:tc>
        <w:tc>
          <w:tcPr>
            <w:tcW w:w="3073" w:type="dxa"/>
            <w:vMerge w:val="restart"/>
          </w:tcPr>
          <w:p w14:paraId="2672A6BF" w14:textId="77777777" w:rsidR="00DF74D7" w:rsidRPr="0062263F" w:rsidRDefault="00DF74D7" w:rsidP="00DD2371">
            <w:pPr>
              <w:jc w:val="center"/>
              <w:rPr>
                <w:rFonts w:ascii="Tahoma" w:hAnsi="Tahoma" w:cs="Tahoma"/>
                <w:sz w:val="20"/>
                <w:szCs w:val="20"/>
              </w:rPr>
            </w:pPr>
            <w:r w:rsidRPr="0062263F">
              <w:rPr>
                <w:rFonts w:ascii="Tahoma" w:hAnsi="Tahoma" w:cs="Tahoma"/>
                <w:sz w:val="20"/>
                <w:szCs w:val="20"/>
              </w:rPr>
              <w:t>23*6*32</w:t>
            </w:r>
          </w:p>
        </w:tc>
        <w:tc>
          <w:tcPr>
            <w:tcW w:w="1725" w:type="dxa"/>
            <w:gridSpan w:val="2"/>
          </w:tcPr>
          <w:p w14:paraId="1773BC4A" w14:textId="77777777" w:rsidR="00DF74D7" w:rsidRPr="0062263F" w:rsidRDefault="00DF74D7" w:rsidP="00DD2371">
            <w:pPr>
              <w:rPr>
                <w:rFonts w:ascii="Tahoma" w:hAnsi="Tahoma" w:cs="Tahoma"/>
                <w:sz w:val="20"/>
                <w:szCs w:val="20"/>
              </w:rPr>
            </w:pPr>
            <w:r w:rsidRPr="0062263F">
              <w:rPr>
                <w:rFonts w:ascii="Tahoma" w:hAnsi="Tahoma" w:cs="Tahoma"/>
                <w:sz w:val="20"/>
                <w:szCs w:val="20"/>
              </w:rPr>
              <w:t>1-30 дней</w:t>
            </w:r>
          </w:p>
        </w:tc>
        <w:tc>
          <w:tcPr>
            <w:tcW w:w="4083" w:type="dxa"/>
          </w:tcPr>
          <w:p w14:paraId="4E0B20A0" w14:textId="77777777" w:rsidR="00DF74D7" w:rsidRPr="0062263F" w:rsidRDefault="00DF74D7" w:rsidP="00DD2371">
            <w:pPr>
              <w:rPr>
                <w:rFonts w:ascii="Tahoma" w:hAnsi="Tahoma" w:cs="Tahoma"/>
                <w:sz w:val="20"/>
                <w:szCs w:val="20"/>
              </w:rPr>
            </w:pPr>
            <w:r w:rsidRPr="0062263F">
              <w:rPr>
                <w:rFonts w:ascii="Tahoma" w:hAnsi="Tahoma" w:cs="Tahoma"/>
                <w:sz w:val="20"/>
                <w:szCs w:val="20"/>
              </w:rPr>
              <w:t>35,00 руб. (в том числе НДС 5,83 руб.)</w:t>
            </w:r>
          </w:p>
        </w:tc>
      </w:tr>
      <w:tr w:rsidR="00DF74D7" w:rsidRPr="0062263F" w14:paraId="18F9CC78" w14:textId="77777777" w:rsidTr="00DD2371">
        <w:tc>
          <w:tcPr>
            <w:tcW w:w="895" w:type="dxa"/>
            <w:vMerge/>
          </w:tcPr>
          <w:p w14:paraId="4A5DB221" w14:textId="77777777" w:rsidR="00DF74D7" w:rsidRPr="0062263F" w:rsidRDefault="00DF74D7" w:rsidP="00DD2371">
            <w:pPr>
              <w:rPr>
                <w:rFonts w:ascii="Tahoma" w:hAnsi="Tahoma" w:cs="Tahoma"/>
                <w:sz w:val="20"/>
                <w:szCs w:val="20"/>
              </w:rPr>
            </w:pPr>
          </w:p>
        </w:tc>
        <w:tc>
          <w:tcPr>
            <w:tcW w:w="3073" w:type="dxa"/>
            <w:vMerge/>
          </w:tcPr>
          <w:p w14:paraId="0787772E" w14:textId="77777777" w:rsidR="00DF74D7" w:rsidRPr="0062263F" w:rsidRDefault="00DF74D7" w:rsidP="00DD2371">
            <w:pPr>
              <w:jc w:val="center"/>
              <w:rPr>
                <w:rFonts w:ascii="Tahoma" w:hAnsi="Tahoma" w:cs="Tahoma"/>
                <w:sz w:val="20"/>
                <w:szCs w:val="20"/>
              </w:rPr>
            </w:pPr>
          </w:p>
        </w:tc>
        <w:tc>
          <w:tcPr>
            <w:tcW w:w="1725" w:type="dxa"/>
            <w:gridSpan w:val="2"/>
          </w:tcPr>
          <w:p w14:paraId="72F3D55B" w14:textId="77777777" w:rsidR="00DF74D7" w:rsidRPr="0062263F" w:rsidRDefault="00DF74D7" w:rsidP="00DD2371">
            <w:pPr>
              <w:rPr>
                <w:rFonts w:ascii="Tahoma" w:hAnsi="Tahoma" w:cs="Tahoma"/>
                <w:sz w:val="20"/>
                <w:szCs w:val="20"/>
              </w:rPr>
            </w:pPr>
            <w:r>
              <w:rPr>
                <w:rFonts w:ascii="Tahoma" w:hAnsi="Tahoma" w:cs="Tahoma"/>
                <w:sz w:val="20"/>
                <w:szCs w:val="20"/>
              </w:rPr>
              <w:t>31</w:t>
            </w:r>
            <w:r w:rsidRPr="0062263F">
              <w:rPr>
                <w:rFonts w:ascii="Tahoma" w:hAnsi="Tahoma" w:cs="Tahoma"/>
                <w:sz w:val="20"/>
                <w:szCs w:val="20"/>
              </w:rPr>
              <w:t>-365 дней</w:t>
            </w:r>
          </w:p>
        </w:tc>
        <w:tc>
          <w:tcPr>
            <w:tcW w:w="4083" w:type="dxa"/>
          </w:tcPr>
          <w:p w14:paraId="0F4D065D" w14:textId="77777777" w:rsidR="00DF74D7" w:rsidRPr="0062263F" w:rsidRDefault="00DF74D7" w:rsidP="00DD2371">
            <w:pPr>
              <w:rPr>
                <w:rFonts w:ascii="Tahoma" w:hAnsi="Tahoma" w:cs="Tahoma"/>
                <w:sz w:val="20"/>
                <w:szCs w:val="20"/>
              </w:rPr>
            </w:pPr>
            <w:r w:rsidRPr="0062263F">
              <w:rPr>
                <w:rFonts w:ascii="Tahoma" w:hAnsi="Tahoma" w:cs="Tahoma"/>
                <w:sz w:val="20"/>
                <w:szCs w:val="20"/>
              </w:rPr>
              <w:t>17,00 руб. (в том числе НДС 2,83 руб.)</w:t>
            </w:r>
          </w:p>
        </w:tc>
      </w:tr>
      <w:tr w:rsidR="00DF74D7" w:rsidRPr="0062263F" w14:paraId="17492A06" w14:textId="77777777" w:rsidTr="00DD2371">
        <w:tc>
          <w:tcPr>
            <w:tcW w:w="895" w:type="dxa"/>
            <w:vMerge/>
          </w:tcPr>
          <w:p w14:paraId="4225D14A" w14:textId="77777777" w:rsidR="00DF74D7" w:rsidRPr="0062263F" w:rsidRDefault="00DF74D7" w:rsidP="00DD2371">
            <w:pPr>
              <w:rPr>
                <w:rFonts w:ascii="Tahoma" w:hAnsi="Tahoma" w:cs="Tahoma"/>
                <w:sz w:val="20"/>
                <w:szCs w:val="20"/>
              </w:rPr>
            </w:pPr>
          </w:p>
        </w:tc>
        <w:tc>
          <w:tcPr>
            <w:tcW w:w="3073" w:type="dxa"/>
            <w:vMerge w:val="restart"/>
          </w:tcPr>
          <w:p w14:paraId="3FDAD87A" w14:textId="77777777" w:rsidR="00DF74D7" w:rsidRPr="0062263F" w:rsidRDefault="00DF74D7" w:rsidP="00DD2371">
            <w:pPr>
              <w:jc w:val="center"/>
              <w:rPr>
                <w:rFonts w:ascii="Tahoma" w:hAnsi="Tahoma" w:cs="Tahoma"/>
                <w:sz w:val="20"/>
                <w:szCs w:val="20"/>
              </w:rPr>
            </w:pPr>
            <w:r w:rsidRPr="0062263F">
              <w:rPr>
                <w:rFonts w:ascii="Tahoma" w:hAnsi="Tahoma" w:cs="Tahoma"/>
                <w:sz w:val="20"/>
                <w:szCs w:val="20"/>
              </w:rPr>
              <w:t>61*7,6*12,7</w:t>
            </w:r>
          </w:p>
        </w:tc>
        <w:tc>
          <w:tcPr>
            <w:tcW w:w="1725" w:type="dxa"/>
            <w:gridSpan w:val="2"/>
          </w:tcPr>
          <w:p w14:paraId="49AF9CEE" w14:textId="77777777" w:rsidR="00DF74D7" w:rsidRPr="0062263F" w:rsidRDefault="00DF74D7" w:rsidP="00DD2371">
            <w:pPr>
              <w:rPr>
                <w:rFonts w:ascii="Tahoma" w:hAnsi="Tahoma" w:cs="Tahoma"/>
                <w:sz w:val="20"/>
                <w:szCs w:val="20"/>
              </w:rPr>
            </w:pPr>
            <w:r w:rsidRPr="0062263F">
              <w:rPr>
                <w:rFonts w:ascii="Tahoma" w:hAnsi="Tahoma" w:cs="Tahoma"/>
                <w:sz w:val="20"/>
                <w:szCs w:val="20"/>
              </w:rPr>
              <w:t>1-30 дней</w:t>
            </w:r>
          </w:p>
        </w:tc>
        <w:tc>
          <w:tcPr>
            <w:tcW w:w="4083" w:type="dxa"/>
          </w:tcPr>
          <w:p w14:paraId="712443C7" w14:textId="77777777" w:rsidR="00DF74D7" w:rsidRPr="0062263F" w:rsidRDefault="00DF74D7" w:rsidP="00DD2371">
            <w:pPr>
              <w:rPr>
                <w:rFonts w:ascii="Tahoma" w:hAnsi="Tahoma" w:cs="Tahoma"/>
                <w:sz w:val="20"/>
                <w:szCs w:val="20"/>
              </w:rPr>
            </w:pPr>
            <w:r w:rsidRPr="0062263F">
              <w:rPr>
                <w:rFonts w:ascii="Tahoma" w:hAnsi="Tahoma" w:cs="Tahoma"/>
                <w:sz w:val="20"/>
                <w:szCs w:val="20"/>
              </w:rPr>
              <w:t>37,00 руб. (в том числе НДС 6,17 руб.)</w:t>
            </w:r>
          </w:p>
        </w:tc>
      </w:tr>
      <w:tr w:rsidR="00DF74D7" w:rsidRPr="0062263F" w14:paraId="7E7CFA71" w14:textId="77777777" w:rsidTr="00DD2371">
        <w:tc>
          <w:tcPr>
            <w:tcW w:w="895" w:type="dxa"/>
            <w:vMerge/>
          </w:tcPr>
          <w:p w14:paraId="6CDDDE0D" w14:textId="77777777" w:rsidR="00DF74D7" w:rsidRPr="0062263F" w:rsidRDefault="00DF74D7" w:rsidP="00DD2371">
            <w:pPr>
              <w:rPr>
                <w:rFonts w:ascii="Tahoma" w:hAnsi="Tahoma" w:cs="Tahoma"/>
                <w:sz w:val="20"/>
                <w:szCs w:val="20"/>
              </w:rPr>
            </w:pPr>
          </w:p>
        </w:tc>
        <w:tc>
          <w:tcPr>
            <w:tcW w:w="3073" w:type="dxa"/>
            <w:vMerge/>
          </w:tcPr>
          <w:p w14:paraId="169C8991" w14:textId="77777777" w:rsidR="00DF74D7" w:rsidRPr="0062263F" w:rsidRDefault="00DF74D7" w:rsidP="00DD2371">
            <w:pPr>
              <w:jc w:val="center"/>
              <w:rPr>
                <w:rFonts w:ascii="Tahoma" w:hAnsi="Tahoma" w:cs="Tahoma"/>
                <w:sz w:val="20"/>
                <w:szCs w:val="20"/>
              </w:rPr>
            </w:pPr>
          </w:p>
        </w:tc>
        <w:tc>
          <w:tcPr>
            <w:tcW w:w="1725" w:type="dxa"/>
            <w:gridSpan w:val="2"/>
          </w:tcPr>
          <w:p w14:paraId="0E56486F" w14:textId="77777777" w:rsidR="00DF74D7" w:rsidRPr="0062263F" w:rsidRDefault="00DF74D7" w:rsidP="00DD2371">
            <w:pPr>
              <w:rPr>
                <w:rFonts w:ascii="Tahoma" w:hAnsi="Tahoma" w:cs="Tahoma"/>
                <w:sz w:val="20"/>
                <w:szCs w:val="20"/>
              </w:rPr>
            </w:pPr>
            <w:r>
              <w:rPr>
                <w:rFonts w:ascii="Tahoma" w:hAnsi="Tahoma" w:cs="Tahoma"/>
                <w:sz w:val="20"/>
                <w:szCs w:val="20"/>
              </w:rPr>
              <w:t>31</w:t>
            </w:r>
            <w:r w:rsidRPr="0062263F">
              <w:rPr>
                <w:rFonts w:ascii="Tahoma" w:hAnsi="Tahoma" w:cs="Tahoma"/>
                <w:sz w:val="20"/>
                <w:szCs w:val="20"/>
              </w:rPr>
              <w:t>-365 дней</w:t>
            </w:r>
          </w:p>
        </w:tc>
        <w:tc>
          <w:tcPr>
            <w:tcW w:w="4083" w:type="dxa"/>
          </w:tcPr>
          <w:p w14:paraId="1F258C1D" w14:textId="77777777" w:rsidR="00DF74D7" w:rsidRPr="0062263F" w:rsidRDefault="00DF74D7" w:rsidP="00DD2371">
            <w:pPr>
              <w:rPr>
                <w:rFonts w:ascii="Tahoma" w:hAnsi="Tahoma" w:cs="Tahoma"/>
                <w:sz w:val="20"/>
                <w:szCs w:val="20"/>
              </w:rPr>
            </w:pPr>
            <w:r w:rsidRPr="0062263F">
              <w:rPr>
                <w:rFonts w:ascii="Tahoma" w:hAnsi="Tahoma" w:cs="Tahoma"/>
                <w:sz w:val="20"/>
                <w:szCs w:val="20"/>
              </w:rPr>
              <w:t>18,00 руб. (в том числе НДС 3,00 руб.)</w:t>
            </w:r>
          </w:p>
        </w:tc>
      </w:tr>
      <w:tr w:rsidR="00DF74D7" w:rsidRPr="0062263F" w14:paraId="38B4FE95" w14:textId="77777777" w:rsidTr="00DD2371">
        <w:tc>
          <w:tcPr>
            <w:tcW w:w="895" w:type="dxa"/>
            <w:vMerge/>
          </w:tcPr>
          <w:p w14:paraId="1BA0ACF3" w14:textId="77777777" w:rsidR="00DF74D7" w:rsidRPr="0062263F" w:rsidRDefault="00DF74D7" w:rsidP="00DD2371">
            <w:pPr>
              <w:rPr>
                <w:rFonts w:ascii="Tahoma" w:hAnsi="Tahoma" w:cs="Tahoma"/>
                <w:sz w:val="20"/>
                <w:szCs w:val="20"/>
              </w:rPr>
            </w:pPr>
          </w:p>
        </w:tc>
        <w:tc>
          <w:tcPr>
            <w:tcW w:w="3073" w:type="dxa"/>
            <w:vMerge w:val="restart"/>
          </w:tcPr>
          <w:p w14:paraId="7E17AF54" w14:textId="77777777" w:rsidR="00DF74D7" w:rsidRPr="0062263F" w:rsidRDefault="00DF74D7" w:rsidP="00DD2371">
            <w:pPr>
              <w:jc w:val="center"/>
              <w:rPr>
                <w:rFonts w:ascii="Tahoma" w:hAnsi="Tahoma" w:cs="Tahoma"/>
                <w:sz w:val="20"/>
                <w:szCs w:val="20"/>
              </w:rPr>
            </w:pPr>
            <w:r w:rsidRPr="0062263F">
              <w:rPr>
                <w:rFonts w:ascii="Tahoma" w:hAnsi="Tahoma" w:cs="Tahoma"/>
                <w:sz w:val="20"/>
                <w:szCs w:val="20"/>
              </w:rPr>
              <w:t>61*12,7*12,7</w:t>
            </w:r>
          </w:p>
        </w:tc>
        <w:tc>
          <w:tcPr>
            <w:tcW w:w="1725" w:type="dxa"/>
            <w:gridSpan w:val="2"/>
          </w:tcPr>
          <w:p w14:paraId="6DAE2D89" w14:textId="77777777" w:rsidR="00DF74D7" w:rsidRPr="0062263F" w:rsidRDefault="00DF74D7" w:rsidP="00DD2371">
            <w:pPr>
              <w:rPr>
                <w:rFonts w:ascii="Tahoma" w:hAnsi="Tahoma" w:cs="Tahoma"/>
                <w:sz w:val="20"/>
                <w:szCs w:val="20"/>
              </w:rPr>
            </w:pPr>
            <w:r w:rsidRPr="0062263F">
              <w:rPr>
                <w:rFonts w:ascii="Tahoma" w:hAnsi="Tahoma" w:cs="Tahoma"/>
                <w:sz w:val="20"/>
                <w:szCs w:val="20"/>
              </w:rPr>
              <w:t>1-30 дней</w:t>
            </w:r>
          </w:p>
        </w:tc>
        <w:tc>
          <w:tcPr>
            <w:tcW w:w="4083" w:type="dxa"/>
          </w:tcPr>
          <w:p w14:paraId="4E15E312" w14:textId="77777777" w:rsidR="00DF74D7" w:rsidRPr="0062263F" w:rsidRDefault="00DF74D7" w:rsidP="00DD2371">
            <w:pPr>
              <w:rPr>
                <w:rFonts w:ascii="Tahoma" w:hAnsi="Tahoma" w:cs="Tahoma"/>
                <w:sz w:val="20"/>
                <w:szCs w:val="20"/>
              </w:rPr>
            </w:pPr>
            <w:r w:rsidRPr="0062263F">
              <w:rPr>
                <w:rFonts w:ascii="Tahoma" w:hAnsi="Tahoma" w:cs="Tahoma"/>
                <w:sz w:val="20"/>
                <w:szCs w:val="20"/>
              </w:rPr>
              <w:t>40,00 руб. (в том числе НДС 6,67 руб.)</w:t>
            </w:r>
          </w:p>
        </w:tc>
      </w:tr>
      <w:tr w:rsidR="00DF74D7" w:rsidRPr="0062263F" w14:paraId="1EC897CC" w14:textId="77777777" w:rsidTr="00DD2371">
        <w:tc>
          <w:tcPr>
            <w:tcW w:w="895" w:type="dxa"/>
            <w:vMerge/>
          </w:tcPr>
          <w:p w14:paraId="12977A31" w14:textId="77777777" w:rsidR="00DF74D7" w:rsidRPr="0062263F" w:rsidRDefault="00DF74D7" w:rsidP="00DD2371">
            <w:pPr>
              <w:rPr>
                <w:rFonts w:ascii="Tahoma" w:hAnsi="Tahoma" w:cs="Tahoma"/>
                <w:sz w:val="20"/>
                <w:szCs w:val="20"/>
              </w:rPr>
            </w:pPr>
          </w:p>
        </w:tc>
        <w:tc>
          <w:tcPr>
            <w:tcW w:w="3073" w:type="dxa"/>
            <w:vMerge/>
          </w:tcPr>
          <w:p w14:paraId="58375808" w14:textId="77777777" w:rsidR="00DF74D7" w:rsidRPr="0062263F" w:rsidRDefault="00DF74D7" w:rsidP="00DD2371">
            <w:pPr>
              <w:jc w:val="center"/>
              <w:rPr>
                <w:rFonts w:ascii="Tahoma" w:hAnsi="Tahoma" w:cs="Tahoma"/>
                <w:sz w:val="20"/>
                <w:szCs w:val="20"/>
              </w:rPr>
            </w:pPr>
          </w:p>
        </w:tc>
        <w:tc>
          <w:tcPr>
            <w:tcW w:w="1725" w:type="dxa"/>
            <w:gridSpan w:val="2"/>
          </w:tcPr>
          <w:p w14:paraId="5E390784" w14:textId="77777777" w:rsidR="00DF74D7" w:rsidRPr="0062263F" w:rsidRDefault="00DF74D7" w:rsidP="00DD2371">
            <w:pPr>
              <w:rPr>
                <w:rFonts w:ascii="Tahoma" w:hAnsi="Tahoma" w:cs="Tahoma"/>
                <w:sz w:val="20"/>
                <w:szCs w:val="20"/>
              </w:rPr>
            </w:pPr>
            <w:r>
              <w:rPr>
                <w:rFonts w:ascii="Tahoma" w:hAnsi="Tahoma" w:cs="Tahoma"/>
                <w:sz w:val="20"/>
                <w:szCs w:val="20"/>
              </w:rPr>
              <w:t>3</w:t>
            </w:r>
            <w:r w:rsidRPr="0062263F">
              <w:rPr>
                <w:rFonts w:ascii="Tahoma" w:hAnsi="Tahoma" w:cs="Tahoma"/>
                <w:sz w:val="20"/>
                <w:szCs w:val="20"/>
              </w:rPr>
              <w:t>1-365 дней</w:t>
            </w:r>
          </w:p>
        </w:tc>
        <w:tc>
          <w:tcPr>
            <w:tcW w:w="4083" w:type="dxa"/>
          </w:tcPr>
          <w:p w14:paraId="4CE24046" w14:textId="77777777" w:rsidR="00DF74D7" w:rsidRPr="0062263F" w:rsidRDefault="00DF74D7" w:rsidP="00DD2371">
            <w:pPr>
              <w:rPr>
                <w:rFonts w:ascii="Tahoma" w:hAnsi="Tahoma" w:cs="Tahoma"/>
                <w:sz w:val="20"/>
                <w:szCs w:val="20"/>
              </w:rPr>
            </w:pPr>
            <w:r w:rsidRPr="0062263F">
              <w:rPr>
                <w:rFonts w:ascii="Tahoma" w:hAnsi="Tahoma" w:cs="Tahoma"/>
                <w:sz w:val="20"/>
                <w:szCs w:val="20"/>
              </w:rPr>
              <w:t>21,00 руб. (в том числе НДС 3,50 руб.)</w:t>
            </w:r>
          </w:p>
        </w:tc>
      </w:tr>
      <w:tr w:rsidR="00DF74D7" w:rsidRPr="0062263F" w14:paraId="7CD8803A" w14:textId="77777777" w:rsidTr="00DD2371">
        <w:tc>
          <w:tcPr>
            <w:tcW w:w="895" w:type="dxa"/>
            <w:vMerge/>
          </w:tcPr>
          <w:p w14:paraId="107422D6" w14:textId="77777777" w:rsidR="00DF74D7" w:rsidRPr="0062263F" w:rsidRDefault="00DF74D7" w:rsidP="00DD2371">
            <w:pPr>
              <w:rPr>
                <w:rFonts w:ascii="Tahoma" w:hAnsi="Tahoma" w:cs="Tahoma"/>
                <w:sz w:val="20"/>
                <w:szCs w:val="20"/>
              </w:rPr>
            </w:pPr>
          </w:p>
        </w:tc>
        <w:tc>
          <w:tcPr>
            <w:tcW w:w="3073" w:type="dxa"/>
            <w:vMerge w:val="restart"/>
          </w:tcPr>
          <w:p w14:paraId="52692849" w14:textId="77777777" w:rsidR="00DF74D7" w:rsidRPr="0062263F" w:rsidRDefault="00DF74D7" w:rsidP="00DD2371">
            <w:pPr>
              <w:jc w:val="center"/>
              <w:rPr>
                <w:rFonts w:ascii="Tahoma" w:hAnsi="Tahoma" w:cs="Tahoma"/>
                <w:sz w:val="20"/>
                <w:szCs w:val="20"/>
              </w:rPr>
            </w:pPr>
            <w:r w:rsidRPr="0062263F">
              <w:rPr>
                <w:rFonts w:ascii="Tahoma" w:hAnsi="Tahoma" w:cs="Tahoma"/>
                <w:sz w:val="20"/>
                <w:szCs w:val="20"/>
              </w:rPr>
              <w:t>61*7,6*26,1</w:t>
            </w:r>
          </w:p>
        </w:tc>
        <w:tc>
          <w:tcPr>
            <w:tcW w:w="1725" w:type="dxa"/>
            <w:gridSpan w:val="2"/>
          </w:tcPr>
          <w:p w14:paraId="273B495E" w14:textId="77777777" w:rsidR="00DF74D7" w:rsidRPr="0062263F" w:rsidRDefault="00DF74D7" w:rsidP="00DD2371">
            <w:pPr>
              <w:rPr>
                <w:rFonts w:ascii="Tahoma" w:hAnsi="Tahoma" w:cs="Tahoma"/>
                <w:sz w:val="20"/>
                <w:szCs w:val="20"/>
              </w:rPr>
            </w:pPr>
            <w:r w:rsidRPr="0062263F">
              <w:rPr>
                <w:rFonts w:ascii="Tahoma" w:hAnsi="Tahoma" w:cs="Tahoma"/>
                <w:sz w:val="20"/>
                <w:szCs w:val="20"/>
              </w:rPr>
              <w:t>1-30 дней</w:t>
            </w:r>
          </w:p>
        </w:tc>
        <w:tc>
          <w:tcPr>
            <w:tcW w:w="4083" w:type="dxa"/>
          </w:tcPr>
          <w:p w14:paraId="287A749D" w14:textId="77777777" w:rsidR="00DF74D7" w:rsidRPr="0062263F" w:rsidRDefault="00DF74D7" w:rsidP="00DD2371">
            <w:pPr>
              <w:rPr>
                <w:rFonts w:ascii="Tahoma" w:hAnsi="Tahoma" w:cs="Tahoma"/>
                <w:sz w:val="20"/>
                <w:szCs w:val="20"/>
              </w:rPr>
            </w:pPr>
            <w:r w:rsidRPr="0062263F">
              <w:rPr>
                <w:rFonts w:ascii="Tahoma" w:hAnsi="Tahoma" w:cs="Tahoma"/>
                <w:sz w:val="20"/>
                <w:szCs w:val="20"/>
              </w:rPr>
              <w:t>46,00 руб. (в том числе НДС 7,67 руб.)</w:t>
            </w:r>
          </w:p>
        </w:tc>
      </w:tr>
      <w:tr w:rsidR="00DF74D7" w:rsidRPr="0062263F" w14:paraId="1ADF442F" w14:textId="77777777" w:rsidTr="00DD2371">
        <w:tc>
          <w:tcPr>
            <w:tcW w:w="895" w:type="dxa"/>
            <w:vMerge/>
          </w:tcPr>
          <w:p w14:paraId="18BC1F11" w14:textId="77777777" w:rsidR="00DF74D7" w:rsidRPr="0062263F" w:rsidRDefault="00DF74D7" w:rsidP="00DD2371">
            <w:pPr>
              <w:rPr>
                <w:rFonts w:ascii="Tahoma" w:hAnsi="Tahoma" w:cs="Tahoma"/>
                <w:sz w:val="20"/>
                <w:szCs w:val="20"/>
              </w:rPr>
            </w:pPr>
          </w:p>
        </w:tc>
        <w:tc>
          <w:tcPr>
            <w:tcW w:w="3073" w:type="dxa"/>
            <w:vMerge/>
          </w:tcPr>
          <w:p w14:paraId="04009B88" w14:textId="77777777" w:rsidR="00DF74D7" w:rsidRPr="0062263F" w:rsidRDefault="00DF74D7" w:rsidP="00DD2371">
            <w:pPr>
              <w:jc w:val="center"/>
              <w:rPr>
                <w:rFonts w:ascii="Tahoma" w:hAnsi="Tahoma" w:cs="Tahoma"/>
                <w:sz w:val="20"/>
                <w:szCs w:val="20"/>
              </w:rPr>
            </w:pPr>
          </w:p>
        </w:tc>
        <w:tc>
          <w:tcPr>
            <w:tcW w:w="1725" w:type="dxa"/>
            <w:gridSpan w:val="2"/>
          </w:tcPr>
          <w:p w14:paraId="265B6768" w14:textId="77777777" w:rsidR="00DF74D7" w:rsidRPr="0062263F" w:rsidRDefault="00DF74D7" w:rsidP="00DD2371">
            <w:pPr>
              <w:rPr>
                <w:rFonts w:ascii="Tahoma" w:hAnsi="Tahoma" w:cs="Tahoma"/>
                <w:sz w:val="20"/>
                <w:szCs w:val="20"/>
              </w:rPr>
            </w:pPr>
            <w:r>
              <w:rPr>
                <w:rFonts w:ascii="Tahoma" w:hAnsi="Tahoma" w:cs="Tahoma"/>
                <w:sz w:val="20"/>
                <w:szCs w:val="20"/>
              </w:rPr>
              <w:t>3</w:t>
            </w:r>
            <w:r w:rsidRPr="0062263F">
              <w:rPr>
                <w:rFonts w:ascii="Tahoma" w:hAnsi="Tahoma" w:cs="Tahoma"/>
                <w:sz w:val="20"/>
                <w:szCs w:val="20"/>
              </w:rPr>
              <w:t>1-365 дней</w:t>
            </w:r>
          </w:p>
        </w:tc>
        <w:tc>
          <w:tcPr>
            <w:tcW w:w="4083" w:type="dxa"/>
          </w:tcPr>
          <w:p w14:paraId="1B9AC0B3" w14:textId="77777777" w:rsidR="00DF74D7" w:rsidRPr="0062263F" w:rsidRDefault="00DF74D7" w:rsidP="00DD2371">
            <w:pPr>
              <w:rPr>
                <w:rFonts w:ascii="Tahoma" w:hAnsi="Tahoma" w:cs="Tahoma"/>
                <w:sz w:val="20"/>
                <w:szCs w:val="20"/>
              </w:rPr>
            </w:pPr>
            <w:r w:rsidRPr="0062263F">
              <w:rPr>
                <w:rFonts w:ascii="Tahoma" w:hAnsi="Tahoma" w:cs="Tahoma"/>
                <w:sz w:val="20"/>
                <w:szCs w:val="20"/>
              </w:rPr>
              <w:t>25,00 руб. (в том числе НДС 4,17 руб.)</w:t>
            </w:r>
          </w:p>
        </w:tc>
      </w:tr>
      <w:tr w:rsidR="00DF74D7" w:rsidRPr="0062263F" w14:paraId="2194F8A8" w14:textId="77777777" w:rsidTr="00DD2371">
        <w:tc>
          <w:tcPr>
            <w:tcW w:w="895" w:type="dxa"/>
            <w:vMerge/>
          </w:tcPr>
          <w:p w14:paraId="0247788C" w14:textId="77777777" w:rsidR="00DF74D7" w:rsidRPr="0062263F" w:rsidRDefault="00DF74D7" w:rsidP="00DD2371">
            <w:pPr>
              <w:rPr>
                <w:rFonts w:ascii="Tahoma" w:hAnsi="Tahoma" w:cs="Tahoma"/>
                <w:sz w:val="20"/>
                <w:szCs w:val="20"/>
              </w:rPr>
            </w:pPr>
          </w:p>
        </w:tc>
        <w:tc>
          <w:tcPr>
            <w:tcW w:w="3073" w:type="dxa"/>
            <w:vMerge w:val="restart"/>
          </w:tcPr>
          <w:p w14:paraId="0AE8528D" w14:textId="77777777" w:rsidR="00DF74D7" w:rsidRPr="0062263F" w:rsidRDefault="00DF74D7" w:rsidP="00DD2371">
            <w:pPr>
              <w:jc w:val="center"/>
              <w:rPr>
                <w:rFonts w:ascii="Tahoma" w:hAnsi="Tahoma" w:cs="Tahoma"/>
                <w:sz w:val="20"/>
                <w:szCs w:val="20"/>
              </w:rPr>
            </w:pPr>
            <w:r w:rsidRPr="0062263F">
              <w:rPr>
                <w:rFonts w:ascii="Tahoma" w:hAnsi="Tahoma" w:cs="Tahoma"/>
                <w:sz w:val="20"/>
                <w:szCs w:val="20"/>
              </w:rPr>
              <w:t>27*12*38</w:t>
            </w:r>
          </w:p>
        </w:tc>
        <w:tc>
          <w:tcPr>
            <w:tcW w:w="1725" w:type="dxa"/>
            <w:gridSpan w:val="2"/>
          </w:tcPr>
          <w:p w14:paraId="0DB3ADD7" w14:textId="77777777" w:rsidR="00DF74D7" w:rsidRPr="0062263F" w:rsidRDefault="00DF74D7" w:rsidP="00DD2371">
            <w:pPr>
              <w:rPr>
                <w:rFonts w:ascii="Tahoma" w:hAnsi="Tahoma" w:cs="Tahoma"/>
                <w:sz w:val="20"/>
                <w:szCs w:val="20"/>
              </w:rPr>
            </w:pPr>
            <w:r w:rsidRPr="0062263F">
              <w:rPr>
                <w:rFonts w:ascii="Tahoma" w:hAnsi="Tahoma" w:cs="Tahoma"/>
                <w:sz w:val="20"/>
                <w:szCs w:val="20"/>
              </w:rPr>
              <w:t>1-30 дней</w:t>
            </w:r>
          </w:p>
        </w:tc>
        <w:tc>
          <w:tcPr>
            <w:tcW w:w="4083" w:type="dxa"/>
          </w:tcPr>
          <w:p w14:paraId="4120C792" w14:textId="77777777" w:rsidR="00DF74D7" w:rsidRPr="0062263F" w:rsidRDefault="00DF74D7" w:rsidP="00DD2371">
            <w:pPr>
              <w:rPr>
                <w:rFonts w:ascii="Tahoma" w:hAnsi="Tahoma" w:cs="Tahoma"/>
                <w:sz w:val="20"/>
                <w:szCs w:val="20"/>
              </w:rPr>
            </w:pPr>
            <w:r w:rsidRPr="0062263F">
              <w:rPr>
                <w:rFonts w:ascii="Tahoma" w:hAnsi="Tahoma" w:cs="Tahoma"/>
                <w:sz w:val="20"/>
                <w:szCs w:val="20"/>
              </w:rPr>
              <w:t>46,00 руб. (в том числе НДС 7,67 руб.)</w:t>
            </w:r>
          </w:p>
        </w:tc>
      </w:tr>
      <w:tr w:rsidR="00DF74D7" w:rsidRPr="0062263F" w14:paraId="0BAA36C5" w14:textId="77777777" w:rsidTr="00DD2371">
        <w:tc>
          <w:tcPr>
            <w:tcW w:w="895" w:type="dxa"/>
            <w:vMerge/>
          </w:tcPr>
          <w:p w14:paraId="6B140145" w14:textId="77777777" w:rsidR="00DF74D7" w:rsidRPr="0062263F" w:rsidRDefault="00DF74D7" w:rsidP="00DD2371">
            <w:pPr>
              <w:rPr>
                <w:rFonts w:ascii="Tahoma" w:hAnsi="Tahoma" w:cs="Tahoma"/>
                <w:sz w:val="20"/>
                <w:szCs w:val="20"/>
              </w:rPr>
            </w:pPr>
          </w:p>
        </w:tc>
        <w:tc>
          <w:tcPr>
            <w:tcW w:w="3073" w:type="dxa"/>
            <w:vMerge/>
          </w:tcPr>
          <w:p w14:paraId="7981B5C4" w14:textId="77777777" w:rsidR="00DF74D7" w:rsidRPr="0062263F" w:rsidRDefault="00DF74D7" w:rsidP="00DD2371">
            <w:pPr>
              <w:jc w:val="center"/>
              <w:rPr>
                <w:rFonts w:ascii="Tahoma" w:hAnsi="Tahoma" w:cs="Tahoma"/>
                <w:sz w:val="20"/>
                <w:szCs w:val="20"/>
              </w:rPr>
            </w:pPr>
          </w:p>
        </w:tc>
        <w:tc>
          <w:tcPr>
            <w:tcW w:w="1725" w:type="dxa"/>
            <w:gridSpan w:val="2"/>
          </w:tcPr>
          <w:p w14:paraId="00270A3B" w14:textId="77777777" w:rsidR="00DF74D7" w:rsidRPr="0062263F" w:rsidRDefault="00DF74D7" w:rsidP="00DD2371">
            <w:pPr>
              <w:rPr>
                <w:rFonts w:ascii="Tahoma" w:hAnsi="Tahoma" w:cs="Tahoma"/>
                <w:sz w:val="20"/>
                <w:szCs w:val="20"/>
              </w:rPr>
            </w:pPr>
            <w:r>
              <w:rPr>
                <w:rFonts w:ascii="Tahoma" w:hAnsi="Tahoma" w:cs="Tahoma"/>
                <w:sz w:val="20"/>
                <w:szCs w:val="20"/>
              </w:rPr>
              <w:t>3</w:t>
            </w:r>
            <w:r w:rsidRPr="0062263F">
              <w:rPr>
                <w:rFonts w:ascii="Tahoma" w:hAnsi="Tahoma" w:cs="Tahoma"/>
                <w:sz w:val="20"/>
                <w:szCs w:val="20"/>
              </w:rPr>
              <w:t>1-365 дней</w:t>
            </w:r>
          </w:p>
        </w:tc>
        <w:tc>
          <w:tcPr>
            <w:tcW w:w="4083" w:type="dxa"/>
          </w:tcPr>
          <w:p w14:paraId="74C02DCE" w14:textId="77777777" w:rsidR="00DF74D7" w:rsidRPr="0062263F" w:rsidRDefault="00DF74D7" w:rsidP="00DD2371">
            <w:pPr>
              <w:rPr>
                <w:rFonts w:ascii="Tahoma" w:hAnsi="Tahoma" w:cs="Tahoma"/>
                <w:sz w:val="20"/>
                <w:szCs w:val="20"/>
              </w:rPr>
            </w:pPr>
            <w:r w:rsidRPr="0062263F">
              <w:rPr>
                <w:rFonts w:ascii="Tahoma" w:hAnsi="Tahoma" w:cs="Tahoma"/>
                <w:sz w:val="20"/>
                <w:szCs w:val="20"/>
              </w:rPr>
              <w:t>25,00 руб. (в том числе НДС 4,17 руб.)</w:t>
            </w:r>
          </w:p>
        </w:tc>
      </w:tr>
      <w:tr w:rsidR="00DF74D7" w:rsidRPr="0062263F" w14:paraId="75BC43B2" w14:textId="77777777" w:rsidTr="00DD2371">
        <w:tc>
          <w:tcPr>
            <w:tcW w:w="895" w:type="dxa"/>
            <w:vMerge/>
          </w:tcPr>
          <w:p w14:paraId="1C03D9E4" w14:textId="77777777" w:rsidR="00DF74D7" w:rsidRPr="0062263F" w:rsidRDefault="00DF74D7" w:rsidP="00DD2371">
            <w:pPr>
              <w:rPr>
                <w:rFonts w:ascii="Tahoma" w:hAnsi="Tahoma" w:cs="Tahoma"/>
                <w:sz w:val="20"/>
                <w:szCs w:val="20"/>
              </w:rPr>
            </w:pPr>
          </w:p>
        </w:tc>
        <w:tc>
          <w:tcPr>
            <w:tcW w:w="3073" w:type="dxa"/>
            <w:vMerge w:val="restart"/>
          </w:tcPr>
          <w:p w14:paraId="5ACACDC1" w14:textId="77777777" w:rsidR="00DF74D7" w:rsidRPr="0062263F" w:rsidRDefault="00DF74D7" w:rsidP="00DD2371">
            <w:pPr>
              <w:jc w:val="center"/>
              <w:rPr>
                <w:rFonts w:ascii="Tahoma" w:hAnsi="Tahoma" w:cs="Tahoma"/>
                <w:sz w:val="20"/>
                <w:szCs w:val="20"/>
              </w:rPr>
            </w:pPr>
            <w:r w:rsidRPr="0062263F">
              <w:rPr>
                <w:rFonts w:ascii="Tahoma" w:hAnsi="Tahoma" w:cs="Tahoma"/>
                <w:sz w:val="20"/>
                <w:szCs w:val="20"/>
              </w:rPr>
              <w:t>30,8*10*50</w:t>
            </w:r>
          </w:p>
        </w:tc>
        <w:tc>
          <w:tcPr>
            <w:tcW w:w="1725" w:type="dxa"/>
            <w:gridSpan w:val="2"/>
          </w:tcPr>
          <w:p w14:paraId="31443B5B" w14:textId="77777777" w:rsidR="00DF74D7" w:rsidRPr="0062263F" w:rsidRDefault="00DF74D7" w:rsidP="00DD2371">
            <w:pPr>
              <w:rPr>
                <w:rFonts w:ascii="Tahoma" w:hAnsi="Tahoma" w:cs="Tahoma"/>
                <w:sz w:val="20"/>
                <w:szCs w:val="20"/>
              </w:rPr>
            </w:pPr>
            <w:r w:rsidRPr="0062263F">
              <w:rPr>
                <w:rFonts w:ascii="Tahoma" w:hAnsi="Tahoma" w:cs="Tahoma"/>
                <w:sz w:val="20"/>
                <w:szCs w:val="20"/>
              </w:rPr>
              <w:t>1-30 дней</w:t>
            </w:r>
          </w:p>
        </w:tc>
        <w:tc>
          <w:tcPr>
            <w:tcW w:w="4083" w:type="dxa"/>
          </w:tcPr>
          <w:p w14:paraId="21A5EE86" w14:textId="77777777" w:rsidR="00DF74D7" w:rsidRPr="0062263F" w:rsidRDefault="00DF74D7" w:rsidP="00DD2371">
            <w:pPr>
              <w:rPr>
                <w:rFonts w:ascii="Tahoma" w:hAnsi="Tahoma" w:cs="Tahoma"/>
                <w:sz w:val="20"/>
                <w:szCs w:val="20"/>
              </w:rPr>
            </w:pPr>
            <w:r w:rsidRPr="0062263F">
              <w:rPr>
                <w:rFonts w:ascii="Tahoma" w:hAnsi="Tahoma" w:cs="Tahoma"/>
                <w:sz w:val="20"/>
                <w:szCs w:val="20"/>
              </w:rPr>
              <w:t>50,00 руб. (в том числе НДС 8,33 руб.)</w:t>
            </w:r>
          </w:p>
        </w:tc>
      </w:tr>
      <w:tr w:rsidR="00DF74D7" w:rsidRPr="0062263F" w14:paraId="6F06371C" w14:textId="77777777" w:rsidTr="00DD2371">
        <w:tc>
          <w:tcPr>
            <w:tcW w:w="895" w:type="dxa"/>
            <w:vMerge/>
          </w:tcPr>
          <w:p w14:paraId="527E0CA2" w14:textId="77777777" w:rsidR="00DF74D7" w:rsidRPr="0062263F" w:rsidRDefault="00DF74D7" w:rsidP="00DD2371">
            <w:pPr>
              <w:rPr>
                <w:rFonts w:ascii="Tahoma" w:hAnsi="Tahoma" w:cs="Tahoma"/>
                <w:sz w:val="20"/>
                <w:szCs w:val="20"/>
              </w:rPr>
            </w:pPr>
          </w:p>
        </w:tc>
        <w:tc>
          <w:tcPr>
            <w:tcW w:w="3073" w:type="dxa"/>
            <w:vMerge/>
          </w:tcPr>
          <w:p w14:paraId="48B77E30" w14:textId="77777777" w:rsidR="00DF74D7" w:rsidRPr="0062263F" w:rsidRDefault="00DF74D7" w:rsidP="00DD2371">
            <w:pPr>
              <w:jc w:val="center"/>
              <w:rPr>
                <w:rFonts w:ascii="Tahoma" w:hAnsi="Tahoma" w:cs="Tahoma"/>
                <w:sz w:val="20"/>
                <w:szCs w:val="20"/>
              </w:rPr>
            </w:pPr>
          </w:p>
        </w:tc>
        <w:tc>
          <w:tcPr>
            <w:tcW w:w="1725" w:type="dxa"/>
            <w:gridSpan w:val="2"/>
          </w:tcPr>
          <w:p w14:paraId="4270E163" w14:textId="77777777" w:rsidR="00DF74D7" w:rsidRPr="0062263F" w:rsidRDefault="00DF74D7" w:rsidP="00DD2371">
            <w:pPr>
              <w:rPr>
                <w:rFonts w:ascii="Tahoma" w:hAnsi="Tahoma" w:cs="Tahoma"/>
                <w:sz w:val="20"/>
                <w:szCs w:val="20"/>
              </w:rPr>
            </w:pPr>
            <w:r>
              <w:rPr>
                <w:rFonts w:ascii="Tahoma" w:hAnsi="Tahoma" w:cs="Tahoma"/>
                <w:sz w:val="20"/>
                <w:szCs w:val="20"/>
              </w:rPr>
              <w:t>3</w:t>
            </w:r>
            <w:r w:rsidRPr="0062263F">
              <w:rPr>
                <w:rFonts w:ascii="Tahoma" w:hAnsi="Tahoma" w:cs="Tahoma"/>
                <w:sz w:val="20"/>
                <w:szCs w:val="20"/>
              </w:rPr>
              <w:t>1-365 дней</w:t>
            </w:r>
          </w:p>
        </w:tc>
        <w:tc>
          <w:tcPr>
            <w:tcW w:w="4083" w:type="dxa"/>
          </w:tcPr>
          <w:p w14:paraId="7F8366A8" w14:textId="77777777" w:rsidR="00DF74D7" w:rsidRPr="0062263F" w:rsidRDefault="00DF74D7" w:rsidP="00DD2371">
            <w:pPr>
              <w:rPr>
                <w:rFonts w:ascii="Tahoma" w:hAnsi="Tahoma" w:cs="Tahoma"/>
                <w:sz w:val="20"/>
                <w:szCs w:val="20"/>
              </w:rPr>
            </w:pPr>
            <w:r w:rsidRPr="0062263F">
              <w:rPr>
                <w:rFonts w:ascii="Tahoma" w:hAnsi="Tahoma" w:cs="Tahoma"/>
                <w:sz w:val="20"/>
                <w:szCs w:val="20"/>
              </w:rPr>
              <w:t>27,00 руб. (в том числе НДС 4,50 руб.)</w:t>
            </w:r>
          </w:p>
        </w:tc>
      </w:tr>
      <w:tr w:rsidR="00DF74D7" w:rsidRPr="0062263F" w14:paraId="2DBCCBE7" w14:textId="77777777" w:rsidTr="00DD2371">
        <w:tc>
          <w:tcPr>
            <w:tcW w:w="895" w:type="dxa"/>
            <w:vMerge/>
          </w:tcPr>
          <w:p w14:paraId="5C7D2595" w14:textId="77777777" w:rsidR="00DF74D7" w:rsidRPr="0062263F" w:rsidRDefault="00DF74D7" w:rsidP="00DD2371">
            <w:pPr>
              <w:rPr>
                <w:rFonts w:ascii="Tahoma" w:hAnsi="Tahoma" w:cs="Tahoma"/>
                <w:sz w:val="20"/>
                <w:szCs w:val="20"/>
              </w:rPr>
            </w:pPr>
          </w:p>
        </w:tc>
        <w:tc>
          <w:tcPr>
            <w:tcW w:w="3073" w:type="dxa"/>
            <w:vMerge w:val="restart"/>
          </w:tcPr>
          <w:p w14:paraId="48179B12" w14:textId="77777777" w:rsidR="00DF74D7" w:rsidRPr="0062263F" w:rsidRDefault="00DF74D7" w:rsidP="00DD2371">
            <w:pPr>
              <w:jc w:val="center"/>
              <w:rPr>
                <w:rFonts w:ascii="Tahoma" w:hAnsi="Tahoma" w:cs="Tahoma"/>
                <w:sz w:val="20"/>
                <w:szCs w:val="20"/>
              </w:rPr>
            </w:pPr>
            <w:r w:rsidRPr="0062263F">
              <w:rPr>
                <w:rFonts w:ascii="Tahoma" w:hAnsi="Tahoma" w:cs="Tahoma"/>
                <w:sz w:val="20"/>
                <w:szCs w:val="20"/>
              </w:rPr>
              <w:t>30*15*40</w:t>
            </w:r>
          </w:p>
        </w:tc>
        <w:tc>
          <w:tcPr>
            <w:tcW w:w="1725" w:type="dxa"/>
            <w:gridSpan w:val="2"/>
          </w:tcPr>
          <w:p w14:paraId="4CA4E87D" w14:textId="77777777" w:rsidR="00DF74D7" w:rsidRPr="0062263F" w:rsidRDefault="00DF74D7" w:rsidP="00DD2371">
            <w:pPr>
              <w:rPr>
                <w:rFonts w:ascii="Tahoma" w:hAnsi="Tahoma" w:cs="Tahoma"/>
                <w:sz w:val="20"/>
                <w:szCs w:val="20"/>
              </w:rPr>
            </w:pPr>
            <w:r w:rsidRPr="0062263F">
              <w:rPr>
                <w:rFonts w:ascii="Tahoma" w:hAnsi="Tahoma" w:cs="Tahoma"/>
                <w:sz w:val="20"/>
                <w:szCs w:val="20"/>
              </w:rPr>
              <w:t>1-30 дней</w:t>
            </w:r>
          </w:p>
        </w:tc>
        <w:tc>
          <w:tcPr>
            <w:tcW w:w="4083" w:type="dxa"/>
          </w:tcPr>
          <w:p w14:paraId="6D77F347" w14:textId="77777777" w:rsidR="00DF74D7" w:rsidRPr="0062263F" w:rsidRDefault="00DF74D7" w:rsidP="00DD2371">
            <w:pPr>
              <w:rPr>
                <w:rFonts w:ascii="Tahoma" w:hAnsi="Tahoma" w:cs="Tahoma"/>
                <w:sz w:val="20"/>
                <w:szCs w:val="20"/>
              </w:rPr>
            </w:pPr>
            <w:r w:rsidRPr="0062263F">
              <w:rPr>
                <w:rFonts w:ascii="Tahoma" w:hAnsi="Tahoma" w:cs="Tahoma"/>
                <w:sz w:val="20"/>
                <w:szCs w:val="20"/>
              </w:rPr>
              <w:t>53,00 руб. (в том числе НДС 8,83 руб.)</w:t>
            </w:r>
          </w:p>
        </w:tc>
      </w:tr>
      <w:tr w:rsidR="00DF74D7" w:rsidRPr="0062263F" w14:paraId="0C6050E9" w14:textId="77777777" w:rsidTr="00DD2371">
        <w:tc>
          <w:tcPr>
            <w:tcW w:w="895" w:type="dxa"/>
            <w:vMerge/>
          </w:tcPr>
          <w:p w14:paraId="3EE71FFB" w14:textId="77777777" w:rsidR="00DF74D7" w:rsidRPr="0062263F" w:rsidRDefault="00DF74D7" w:rsidP="00DD2371">
            <w:pPr>
              <w:rPr>
                <w:rFonts w:ascii="Tahoma" w:hAnsi="Tahoma" w:cs="Tahoma"/>
                <w:sz w:val="20"/>
                <w:szCs w:val="20"/>
              </w:rPr>
            </w:pPr>
          </w:p>
        </w:tc>
        <w:tc>
          <w:tcPr>
            <w:tcW w:w="3073" w:type="dxa"/>
            <w:vMerge/>
          </w:tcPr>
          <w:p w14:paraId="43C2A977" w14:textId="77777777" w:rsidR="00DF74D7" w:rsidRPr="0062263F" w:rsidRDefault="00DF74D7" w:rsidP="00DD2371">
            <w:pPr>
              <w:jc w:val="center"/>
              <w:rPr>
                <w:rFonts w:ascii="Tahoma" w:hAnsi="Tahoma" w:cs="Tahoma"/>
                <w:sz w:val="20"/>
                <w:szCs w:val="20"/>
              </w:rPr>
            </w:pPr>
          </w:p>
        </w:tc>
        <w:tc>
          <w:tcPr>
            <w:tcW w:w="1725" w:type="dxa"/>
            <w:gridSpan w:val="2"/>
          </w:tcPr>
          <w:p w14:paraId="1DEC066F" w14:textId="77777777" w:rsidR="00DF74D7" w:rsidRPr="0062263F" w:rsidRDefault="00DF74D7" w:rsidP="00DD2371">
            <w:pPr>
              <w:rPr>
                <w:rFonts w:ascii="Tahoma" w:hAnsi="Tahoma" w:cs="Tahoma"/>
                <w:sz w:val="20"/>
                <w:szCs w:val="20"/>
              </w:rPr>
            </w:pPr>
            <w:r>
              <w:rPr>
                <w:rFonts w:ascii="Tahoma" w:hAnsi="Tahoma" w:cs="Tahoma"/>
                <w:sz w:val="20"/>
                <w:szCs w:val="20"/>
              </w:rPr>
              <w:t>3</w:t>
            </w:r>
            <w:r w:rsidRPr="0062263F">
              <w:rPr>
                <w:rFonts w:ascii="Tahoma" w:hAnsi="Tahoma" w:cs="Tahoma"/>
                <w:sz w:val="20"/>
                <w:szCs w:val="20"/>
              </w:rPr>
              <w:t>1-365 дней</w:t>
            </w:r>
          </w:p>
        </w:tc>
        <w:tc>
          <w:tcPr>
            <w:tcW w:w="4083" w:type="dxa"/>
          </w:tcPr>
          <w:p w14:paraId="02BF9FC1" w14:textId="77777777" w:rsidR="00DF74D7" w:rsidRPr="0062263F" w:rsidRDefault="00DF74D7" w:rsidP="00DD2371">
            <w:pPr>
              <w:rPr>
                <w:rFonts w:ascii="Tahoma" w:hAnsi="Tahoma" w:cs="Tahoma"/>
                <w:sz w:val="20"/>
                <w:szCs w:val="20"/>
              </w:rPr>
            </w:pPr>
            <w:r w:rsidRPr="0062263F">
              <w:rPr>
                <w:rFonts w:ascii="Tahoma" w:hAnsi="Tahoma" w:cs="Tahoma"/>
                <w:sz w:val="20"/>
                <w:szCs w:val="20"/>
              </w:rPr>
              <w:t>29,00 руб. (в том числе НДС 4,83 руб.)</w:t>
            </w:r>
          </w:p>
        </w:tc>
      </w:tr>
      <w:tr w:rsidR="00DF74D7" w:rsidRPr="0062263F" w14:paraId="311AAD65" w14:textId="77777777" w:rsidTr="00DD2371">
        <w:tc>
          <w:tcPr>
            <w:tcW w:w="895" w:type="dxa"/>
            <w:vMerge/>
          </w:tcPr>
          <w:p w14:paraId="660CAB0C" w14:textId="77777777" w:rsidR="00DF74D7" w:rsidRPr="0062263F" w:rsidRDefault="00DF74D7" w:rsidP="00DD2371">
            <w:pPr>
              <w:rPr>
                <w:rFonts w:ascii="Tahoma" w:hAnsi="Tahoma" w:cs="Tahoma"/>
                <w:sz w:val="20"/>
                <w:szCs w:val="20"/>
              </w:rPr>
            </w:pPr>
          </w:p>
        </w:tc>
        <w:tc>
          <w:tcPr>
            <w:tcW w:w="3073" w:type="dxa"/>
            <w:vMerge w:val="restart"/>
          </w:tcPr>
          <w:p w14:paraId="0F0AE93C" w14:textId="77777777" w:rsidR="00DF74D7" w:rsidRPr="0062263F" w:rsidRDefault="00DF74D7" w:rsidP="00DD2371">
            <w:pPr>
              <w:jc w:val="center"/>
              <w:rPr>
                <w:rFonts w:ascii="Tahoma" w:hAnsi="Tahoma" w:cs="Tahoma"/>
                <w:sz w:val="20"/>
                <w:szCs w:val="20"/>
              </w:rPr>
            </w:pPr>
            <w:r w:rsidRPr="0062263F">
              <w:rPr>
                <w:rFonts w:ascii="Tahoma" w:hAnsi="Tahoma" w:cs="Tahoma"/>
                <w:sz w:val="20"/>
                <w:szCs w:val="20"/>
              </w:rPr>
              <w:t>61*12,5*26</w:t>
            </w:r>
          </w:p>
        </w:tc>
        <w:tc>
          <w:tcPr>
            <w:tcW w:w="1725" w:type="dxa"/>
            <w:gridSpan w:val="2"/>
          </w:tcPr>
          <w:p w14:paraId="30A24CFC" w14:textId="77777777" w:rsidR="00DF74D7" w:rsidRPr="0062263F" w:rsidRDefault="00DF74D7" w:rsidP="00DD2371">
            <w:pPr>
              <w:rPr>
                <w:rFonts w:ascii="Tahoma" w:hAnsi="Tahoma" w:cs="Tahoma"/>
                <w:sz w:val="20"/>
                <w:szCs w:val="20"/>
              </w:rPr>
            </w:pPr>
            <w:r w:rsidRPr="0062263F">
              <w:rPr>
                <w:rFonts w:ascii="Tahoma" w:hAnsi="Tahoma" w:cs="Tahoma"/>
                <w:sz w:val="20"/>
                <w:szCs w:val="20"/>
              </w:rPr>
              <w:t>1-30 дней</w:t>
            </w:r>
          </w:p>
        </w:tc>
        <w:tc>
          <w:tcPr>
            <w:tcW w:w="4083" w:type="dxa"/>
          </w:tcPr>
          <w:p w14:paraId="5D701D23" w14:textId="77777777" w:rsidR="00DF74D7" w:rsidRPr="0062263F" w:rsidRDefault="00DF74D7" w:rsidP="00DD2371">
            <w:pPr>
              <w:rPr>
                <w:rFonts w:ascii="Tahoma" w:hAnsi="Tahoma" w:cs="Tahoma"/>
                <w:sz w:val="20"/>
                <w:szCs w:val="20"/>
              </w:rPr>
            </w:pPr>
            <w:r w:rsidRPr="0062263F">
              <w:rPr>
                <w:rFonts w:ascii="Tahoma" w:hAnsi="Tahoma" w:cs="Tahoma"/>
                <w:sz w:val="20"/>
                <w:szCs w:val="20"/>
              </w:rPr>
              <w:t>53,00 руб. (в том числе НДС 8,83 руб.)</w:t>
            </w:r>
          </w:p>
        </w:tc>
      </w:tr>
      <w:tr w:rsidR="00DF74D7" w:rsidRPr="0062263F" w14:paraId="6D4ED87F" w14:textId="77777777" w:rsidTr="00DD2371">
        <w:tc>
          <w:tcPr>
            <w:tcW w:w="895" w:type="dxa"/>
            <w:vMerge/>
          </w:tcPr>
          <w:p w14:paraId="677AC1D2" w14:textId="77777777" w:rsidR="00DF74D7" w:rsidRPr="0062263F" w:rsidRDefault="00DF74D7" w:rsidP="00DD2371">
            <w:pPr>
              <w:rPr>
                <w:rFonts w:ascii="Tahoma" w:hAnsi="Tahoma" w:cs="Tahoma"/>
                <w:sz w:val="20"/>
                <w:szCs w:val="20"/>
              </w:rPr>
            </w:pPr>
          </w:p>
        </w:tc>
        <w:tc>
          <w:tcPr>
            <w:tcW w:w="3073" w:type="dxa"/>
            <w:vMerge/>
          </w:tcPr>
          <w:p w14:paraId="6B6A9617" w14:textId="77777777" w:rsidR="00DF74D7" w:rsidRPr="0062263F" w:rsidRDefault="00DF74D7" w:rsidP="00DD2371">
            <w:pPr>
              <w:rPr>
                <w:rFonts w:ascii="Tahoma" w:hAnsi="Tahoma" w:cs="Tahoma"/>
                <w:sz w:val="20"/>
                <w:szCs w:val="20"/>
              </w:rPr>
            </w:pPr>
          </w:p>
        </w:tc>
        <w:tc>
          <w:tcPr>
            <w:tcW w:w="1725" w:type="dxa"/>
            <w:gridSpan w:val="2"/>
          </w:tcPr>
          <w:p w14:paraId="730CD368" w14:textId="77777777" w:rsidR="00DF74D7" w:rsidRPr="0062263F" w:rsidRDefault="00DF74D7" w:rsidP="00DD2371">
            <w:pPr>
              <w:rPr>
                <w:rFonts w:ascii="Tahoma" w:hAnsi="Tahoma" w:cs="Tahoma"/>
                <w:sz w:val="20"/>
                <w:szCs w:val="20"/>
              </w:rPr>
            </w:pPr>
            <w:r>
              <w:rPr>
                <w:rFonts w:ascii="Tahoma" w:hAnsi="Tahoma" w:cs="Tahoma"/>
                <w:sz w:val="20"/>
                <w:szCs w:val="20"/>
              </w:rPr>
              <w:t>3</w:t>
            </w:r>
            <w:r w:rsidRPr="0062263F">
              <w:rPr>
                <w:rFonts w:ascii="Tahoma" w:hAnsi="Tahoma" w:cs="Tahoma"/>
                <w:sz w:val="20"/>
                <w:szCs w:val="20"/>
              </w:rPr>
              <w:t>1-365 дней</w:t>
            </w:r>
          </w:p>
        </w:tc>
        <w:tc>
          <w:tcPr>
            <w:tcW w:w="4083" w:type="dxa"/>
          </w:tcPr>
          <w:p w14:paraId="4E174214" w14:textId="77777777" w:rsidR="00DF74D7" w:rsidRPr="0062263F" w:rsidRDefault="00DF74D7" w:rsidP="00DD2371">
            <w:pPr>
              <w:rPr>
                <w:rFonts w:ascii="Tahoma" w:hAnsi="Tahoma" w:cs="Tahoma"/>
                <w:sz w:val="20"/>
                <w:szCs w:val="20"/>
              </w:rPr>
            </w:pPr>
            <w:r w:rsidRPr="0062263F">
              <w:rPr>
                <w:rFonts w:ascii="Tahoma" w:hAnsi="Tahoma" w:cs="Tahoma"/>
                <w:sz w:val="20"/>
                <w:szCs w:val="20"/>
              </w:rPr>
              <w:t>28,00 руб. (в том числе НДС 4,67 руб.)</w:t>
            </w:r>
          </w:p>
        </w:tc>
      </w:tr>
      <w:tr w:rsidR="00DF74D7" w:rsidRPr="0062263F" w14:paraId="2D12AAAC" w14:textId="77777777" w:rsidTr="00DD2371">
        <w:tc>
          <w:tcPr>
            <w:tcW w:w="895" w:type="dxa"/>
            <w:vMerge/>
          </w:tcPr>
          <w:p w14:paraId="04D47B2C" w14:textId="77777777" w:rsidR="00DF74D7" w:rsidRPr="0062263F" w:rsidRDefault="00DF74D7" w:rsidP="00DD2371">
            <w:pPr>
              <w:rPr>
                <w:rFonts w:ascii="Tahoma" w:hAnsi="Tahoma" w:cs="Tahoma"/>
                <w:sz w:val="20"/>
                <w:szCs w:val="20"/>
              </w:rPr>
            </w:pPr>
          </w:p>
        </w:tc>
        <w:tc>
          <w:tcPr>
            <w:tcW w:w="3073" w:type="dxa"/>
            <w:vMerge w:val="restart"/>
          </w:tcPr>
          <w:p w14:paraId="66860459" w14:textId="77777777" w:rsidR="00DF74D7" w:rsidRPr="0062263F" w:rsidRDefault="00DF74D7" w:rsidP="00DD2371">
            <w:pPr>
              <w:jc w:val="center"/>
              <w:rPr>
                <w:rFonts w:ascii="Tahoma" w:hAnsi="Tahoma" w:cs="Tahoma"/>
                <w:sz w:val="20"/>
                <w:szCs w:val="20"/>
              </w:rPr>
            </w:pPr>
            <w:r w:rsidRPr="0062263F">
              <w:rPr>
                <w:rFonts w:ascii="Tahoma" w:hAnsi="Tahoma" w:cs="Tahoma"/>
                <w:sz w:val="20"/>
                <w:szCs w:val="20"/>
              </w:rPr>
              <w:t>61*13,5*26</w:t>
            </w:r>
          </w:p>
        </w:tc>
        <w:tc>
          <w:tcPr>
            <w:tcW w:w="1725" w:type="dxa"/>
            <w:gridSpan w:val="2"/>
          </w:tcPr>
          <w:p w14:paraId="3E61C178" w14:textId="77777777" w:rsidR="00DF74D7" w:rsidRPr="0062263F" w:rsidRDefault="00DF74D7" w:rsidP="00DD2371">
            <w:pPr>
              <w:rPr>
                <w:rFonts w:ascii="Tahoma" w:hAnsi="Tahoma" w:cs="Tahoma"/>
                <w:sz w:val="20"/>
                <w:szCs w:val="20"/>
              </w:rPr>
            </w:pPr>
            <w:r w:rsidRPr="0062263F">
              <w:rPr>
                <w:rFonts w:ascii="Tahoma" w:hAnsi="Tahoma" w:cs="Tahoma"/>
                <w:sz w:val="20"/>
                <w:szCs w:val="20"/>
              </w:rPr>
              <w:t>1-30 дней</w:t>
            </w:r>
          </w:p>
        </w:tc>
        <w:tc>
          <w:tcPr>
            <w:tcW w:w="4083" w:type="dxa"/>
          </w:tcPr>
          <w:p w14:paraId="4747EB17" w14:textId="77777777" w:rsidR="00DF74D7" w:rsidRPr="0062263F" w:rsidRDefault="00DF74D7" w:rsidP="00DD2371">
            <w:pPr>
              <w:rPr>
                <w:rFonts w:ascii="Tahoma" w:hAnsi="Tahoma" w:cs="Tahoma"/>
                <w:sz w:val="20"/>
                <w:szCs w:val="20"/>
              </w:rPr>
            </w:pPr>
            <w:r w:rsidRPr="0062263F">
              <w:rPr>
                <w:rFonts w:ascii="Tahoma" w:hAnsi="Tahoma" w:cs="Tahoma"/>
                <w:sz w:val="20"/>
                <w:szCs w:val="20"/>
              </w:rPr>
              <w:t>57,00 руб. (в том числе НДС 9,50 руб.)</w:t>
            </w:r>
          </w:p>
        </w:tc>
      </w:tr>
      <w:tr w:rsidR="00DF74D7" w:rsidRPr="0062263F" w14:paraId="608D55F2" w14:textId="77777777" w:rsidTr="00DD2371">
        <w:tc>
          <w:tcPr>
            <w:tcW w:w="895" w:type="dxa"/>
            <w:vMerge/>
          </w:tcPr>
          <w:p w14:paraId="402A4FBE" w14:textId="77777777" w:rsidR="00DF74D7" w:rsidRPr="0062263F" w:rsidRDefault="00DF74D7" w:rsidP="00DD2371">
            <w:pPr>
              <w:rPr>
                <w:rFonts w:ascii="Tahoma" w:hAnsi="Tahoma" w:cs="Tahoma"/>
                <w:sz w:val="20"/>
                <w:szCs w:val="20"/>
              </w:rPr>
            </w:pPr>
          </w:p>
        </w:tc>
        <w:tc>
          <w:tcPr>
            <w:tcW w:w="3073" w:type="dxa"/>
            <w:vMerge/>
          </w:tcPr>
          <w:p w14:paraId="3241FBE6" w14:textId="77777777" w:rsidR="00DF74D7" w:rsidRPr="0062263F" w:rsidRDefault="00DF74D7" w:rsidP="00DD2371">
            <w:pPr>
              <w:jc w:val="center"/>
              <w:rPr>
                <w:rFonts w:ascii="Tahoma" w:hAnsi="Tahoma" w:cs="Tahoma"/>
                <w:sz w:val="20"/>
                <w:szCs w:val="20"/>
              </w:rPr>
            </w:pPr>
          </w:p>
        </w:tc>
        <w:tc>
          <w:tcPr>
            <w:tcW w:w="1725" w:type="dxa"/>
            <w:gridSpan w:val="2"/>
          </w:tcPr>
          <w:p w14:paraId="28697229" w14:textId="77777777" w:rsidR="00DF74D7" w:rsidRPr="0062263F" w:rsidRDefault="00DF74D7" w:rsidP="00DD2371">
            <w:pPr>
              <w:rPr>
                <w:rFonts w:ascii="Tahoma" w:hAnsi="Tahoma" w:cs="Tahoma"/>
                <w:sz w:val="20"/>
                <w:szCs w:val="20"/>
              </w:rPr>
            </w:pPr>
            <w:r>
              <w:rPr>
                <w:rFonts w:ascii="Tahoma" w:hAnsi="Tahoma" w:cs="Tahoma"/>
                <w:sz w:val="20"/>
                <w:szCs w:val="20"/>
              </w:rPr>
              <w:t>3</w:t>
            </w:r>
            <w:r w:rsidRPr="0062263F">
              <w:rPr>
                <w:rFonts w:ascii="Tahoma" w:hAnsi="Tahoma" w:cs="Tahoma"/>
                <w:sz w:val="20"/>
                <w:szCs w:val="20"/>
              </w:rPr>
              <w:t>1-365 дней</w:t>
            </w:r>
          </w:p>
        </w:tc>
        <w:tc>
          <w:tcPr>
            <w:tcW w:w="4083" w:type="dxa"/>
          </w:tcPr>
          <w:p w14:paraId="704D4CEF" w14:textId="77777777" w:rsidR="00DF74D7" w:rsidRPr="0062263F" w:rsidRDefault="00DF74D7" w:rsidP="00DD2371">
            <w:pPr>
              <w:rPr>
                <w:rFonts w:ascii="Tahoma" w:hAnsi="Tahoma" w:cs="Tahoma"/>
                <w:sz w:val="20"/>
                <w:szCs w:val="20"/>
              </w:rPr>
            </w:pPr>
            <w:r w:rsidRPr="0062263F">
              <w:rPr>
                <w:rFonts w:ascii="Tahoma" w:hAnsi="Tahoma" w:cs="Tahoma"/>
                <w:sz w:val="20"/>
                <w:szCs w:val="20"/>
              </w:rPr>
              <w:t>29,00 руб. (в том числе НДС 4,83 руб.)</w:t>
            </w:r>
          </w:p>
        </w:tc>
      </w:tr>
      <w:tr w:rsidR="00DF74D7" w:rsidRPr="0062263F" w14:paraId="69B560AB" w14:textId="77777777" w:rsidTr="00DD2371">
        <w:tc>
          <w:tcPr>
            <w:tcW w:w="895" w:type="dxa"/>
            <w:vMerge/>
          </w:tcPr>
          <w:p w14:paraId="29271F20" w14:textId="77777777" w:rsidR="00DF74D7" w:rsidRPr="0062263F" w:rsidRDefault="00DF74D7" w:rsidP="00DD2371">
            <w:pPr>
              <w:rPr>
                <w:rFonts w:ascii="Tahoma" w:hAnsi="Tahoma" w:cs="Tahoma"/>
                <w:sz w:val="20"/>
                <w:szCs w:val="20"/>
              </w:rPr>
            </w:pPr>
          </w:p>
        </w:tc>
        <w:tc>
          <w:tcPr>
            <w:tcW w:w="3073" w:type="dxa"/>
            <w:vMerge w:val="restart"/>
          </w:tcPr>
          <w:p w14:paraId="5CE1CBEA" w14:textId="77777777" w:rsidR="00DF74D7" w:rsidRPr="0062263F" w:rsidRDefault="00DF74D7" w:rsidP="00DD2371">
            <w:pPr>
              <w:jc w:val="center"/>
              <w:rPr>
                <w:rFonts w:ascii="Tahoma" w:hAnsi="Tahoma" w:cs="Tahoma"/>
                <w:sz w:val="20"/>
                <w:szCs w:val="20"/>
              </w:rPr>
            </w:pPr>
            <w:r w:rsidRPr="0062263F">
              <w:rPr>
                <w:rFonts w:ascii="Tahoma" w:hAnsi="Tahoma" w:cs="Tahoma"/>
                <w:sz w:val="20"/>
                <w:szCs w:val="20"/>
              </w:rPr>
              <w:t>27*26*38</w:t>
            </w:r>
          </w:p>
        </w:tc>
        <w:tc>
          <w:tcPr>
            <w:tcW w:w="1725" w:type="dxa"/>
            <w:gridSpan w:val="2"/>
          </w:tcPr>
          <w:p w14:paraId="5D58C02D" w14:textId="77777777" w:rsidR="00DF74D7" w:rsidRPr="0062263F" w:rsidRDefault="00DF74D7" w:rsidP="00DD2371">
            <w:pPr>
              <w:rPr>
                <w:rFonts w:ascii="Tahoma" w:hAnsi="Tahoma" w:cs="Tahoma"/>
                <w:sz w:val="20"/>
                <w:szCs w:val="20"/>
              </w:rPr>
            </w:pPr>
            <w:r w:rsidRPr="0062263F">
              <w:rPr>
                <w:rFonts w:ascii="Tahoma" w:hAnsi="Tahoma" w:cs="Tahoma"/>
                <w:sz w:val="20"/>
                <w:szCs w:val="20"/>
              </w:rPr>
              <w:t>1-30 дней</w:t>
            </w:r>
          </w:p>
        </w:tc>
        <w:tc>
          <w:tcPr>
            <w:tcW w:w="4083" w:type="dxa"/>
          </w:tcPr>
          <w:p w14:paraId="30D154F7" w14:textId="77777777" w:rsidR="00DF74D7" w:rsidRPr="0062263F" w:rsidRDefault="00DF74D7" w:rsidP="00DD2371">
            <w:pPr>
              <w:rPr>
                <w:rFonts w:ascii="Tahoma" w:hAnsi="Tahoma" w:cs="Tahoma"/>
                <w:sz w:val="20"/>
                <w:szCs w:val="20"/>
              </w:rPr>
            </w:pPr>
            <w:r w:rsidRPr="0062263F">
              <w:rPr>
                <w:rFonts w:ascii="Tahoma" w:hAnsi="Tahoma" w:cs="Tahoma"/>
                <w:sz w:val="20"/>
                <w:szCs w:val="20"/>
              </w:rPr>
              <w:t>60,00 руб. (в том числе НДС 10,00 руб.)</w:t>
            </w:r>
          </w:p>
        </w:tc>
      </w:tr>
      <w:tr w:rsidR="00DF74D7" w:rsidRPr="0062263F" w14:paraId="5AA5C82E" w14:textId="77777777" w:rsidTr="00DD2371">
        <w:tc>
          <w:tcPr>
            <w:tcW w:w="895" w:type="dxa"/>
            <w:vMerge/>
          </w:tcPr>
          <w:p w14:paraId="6E4A7143" w14:textId="77777777" w:rsidR="00DF74D7" w:rsidRPr="0062263F" w:rsidRDefault="00DF74D7" w:rsidP="00DD2371">
            <w:pPr>
              <w:rPr>
                <w:rFonts w:ascii="Tahoma" w:hAnsi="Tahoma" w:cs="Tahoma"/>
                <w:sz w:val="20"/>
                <w:szCs w:val="20"/>
              </w:rPr>
            </w:pPr>
          </w:p>
        </w:tc>
        <w:tc>
          <w:tcPr>
            <w:tcW w:w="3073" w:type="dxa"/>
            <w:vMerge/>
          </w:tcPr>
          <w:p w14:paraId="38E7FBD2" w14:textId="77777777" w:rsidR="00DF74D7" w:rsidRPr="0062263F" w:rsidRDefault="00DF74D7" w:rsidP="00DD2371">
            <w:pPr>
              <w:jc w:val="center"/>
              <w:rPr>
                <w:rFonts w:ascii="Tahoma" w:hAnsi="Tahoma" w:cs="Tahoma"/>
                <w:sz w:val="20"/>
                <w:szCs w:val="20"/>
              </w:rPr>
            </w:pPr>
          </w:p>
        </w:tc>
        <w:tc>
          <w:tcPr>
            <w:tcW w:w="1725" w:type="dxa"/>
            <w:gridSpan w:val="2"/>
          </w:tcPr>
          <w:p w14:paraId="36B47118" w14:textId="77777777" w:rsidR="00DF74D7" w:rsidRPr="0062263F" w:rsidRDefault="00DF74D7" w:rsidP="00DD2371">
            <w:pPr>
              <w:rPr>
                <w:rFonts w:ascii="Tahoma" w:hAnsi="Tahoma" w:cs="Tahoma"/>
                <w:sz w:val="20"/>
                <w:szCs w:val="20"/>
              </w:rPr>
            </w:pPr>
            <w:r>
              <w:rPr>
                <w:rFonts w:ascii="Tahoma" w:hAnsi="Tahoma" w:cs="Tahoma"/>
                <w:sz w:val="20"/>
                <w:szCs w:val="20"/>
              </w:rPr>
              <w:t>3</w:t>
            </w:r>
            <w:r w:rsidRPr="0062263F">
              <w:rPr>
                <w:rFonts w:ascii="Tahoma" w:hAnsi="Tahoma" w:cs="Tahoma"/>
                <w:sz w:val="20"/>
                <w:szCs w:val="20"/>
              </w:rPr>
              <w:t>1-365 дней</w:t>
            </w:r>
          </w:p>
        </w:tc>
        <w:tc>
          <w:tcPr>
            <w:tcW w:w="4083" w:type="dxa"/>
          </w:tcPr>
          <w:p w14:paraId="43637C56" w14:textId="77777777" w:rsidR="00DF74D7" w:rsidRPr="0062263F" w:rsidRDefault="00DF74D7" w:rsidP="00DD2371">
            <w:pPr>
              <w:rPr>
                <w:rFonts w:ascii="Tahoma" w:hAnsi="Tahoma" w:cs="Tahoma"/>
                <w:sz w:val="20"/>
                <w:szCs w:val="20"/>
              </w:rPr>
            </w:pPr>
            <w:r w:rsidRPr="0062263F">
              <w:rPr>
                <w:rFonts w:ascii="Tahoma" w:hAnsi="Tahoma" w:cs="Tahoma"/>
                <w:sz w:val="20"/>
                <w:szCs w:val="20"/>
              </w:rPr>
              <w:t>32,00 руб. (в том числе НДС 5,33 руб.)</w:t>
            </w:r>
          </w:p>
        </w:tc>
      </w:tr>
      <w:tr w:rsidR="00DF74D7" w:rsidRPr="0062263F" w14:paraId="24FD6692" w14:textId="77777777" w:rsidTr="00DD2371">
        <w:tc>
          <w:tcPr>
            <w:tcW w:w="895" w:type="dxa"/>
            <w:vMerge/>
          </w:tcPr>
          <w:p w14:paraId="24FD7DDB" w14:textId="77777777" w:rsidR="00DF74D7" w:rsidRPr="0062263F" w:rsidRDefault="00DF74D7" w:rsidP="00DD2371">
            <w:pPr>
              <w:rPr>
                <w:rFonts w:ascii="Tahoma" w:hAnsi="Tahoma" w:cs="Tahoma"/>
                <w:sz w:val="20"/>
                <w:szCs w:val="20"/>
              </w:rPr>
            </w:pPr>
          </w:p>
        </w:tc>
        <w:tc>
          <w:tcPr>
            <w:tcW w:w="3073" w:type="dxa"/>
            <w:vMerge w:val="restart"/>
          </w:tcPr>
          <w:p w14:paraId="2BD1F8AD" w14:textId="77777777" w:rsidR="00DF74D7" w:rsidRPr="0062263F" w:rsidRDefault="00DF74D7" w:rsidP="00DD2371">
            <w:pPr>
              <w:jc w:val="center"/>
              <w:rPr>
                <w:rFonts w:ascii="Tahoma" w:hAnsi="Tahoma" w:cs="Tahoma"/>
                <w:sz w:val="20"/>
                <w:szCs w:val="20"/>
              </w:rPr>
            </w:pPr>
            <w:r w:rsidRPr="0062263F">
              <w:rPr>
                <w:rFonts w:ascii="Tahoma" w:hAnsi="Tahoma" w:cs="Tahoma"/>
                <w:sz w:val="20"/>
                <w:szCs w:val="20"/>
              </w:rPr>
              <w:t>30,4*20*51,6</w:t>
            </w:r>
          </w:p>
        </w:tc>
        <w:tc>
          <w:tcPr>
            <w:tcW w:w="1725" w:type="dxa"/>
            <w:gridSpan w:val="2"/>
          </w:tcPr>
          <w:p w14:paraId="313DCE94" w14:textId="77777777" w:rsidR="00DF74D7" w:rsidRPr="0062263F" w:rsidRDefault="00DF74D7" w:rsidP="00DD2371">
            <w:pPr>
              <w:rPr>
                <w:rFonts w:ascii="Tahoma" w:hAnsi="Tahoma" w:cs="Tahoma"/>
                <w:sz w:val="20"/>
                <w:szCs w:val="20"/>
              </w:rPr>
            </w:pPr>
            <w:r w:rsidRPr="0062263F">
              <w:rPr>
                <w:rFonts w:ascii="Tahoma" w:hAnsi="Tahoma" w:cs="Tahoma"/>
                <w:sz w:val="20"/>
                <w:szCs w:val="20"/>
              </w:rPr>
              <w:t>1-30 дней</w:t>
            </w:r>
          </w:p>
        </w:tc>
        <w:tc>
          <w:tcPr>
            <w:tcW w:w="4083" w:type="dxa"/>
          </w:tcPr>
          <w:p w14:paraId="2B2AD36A" w14:textId="77777777" w:rsidR="00DF74D7" w:rsidRPr="0062263F" w:rsidRDefault="00DF74D7" w:rsidP="00DD2371">
            <w:pPr>
              <w:rPr>
                <w:rFonts w:ascii="Tahoma" w:hAnsi="Tahoma" w:cs="Tahoma"/>
                <w:sz w:val="20"/>
                <w:szCs w:val="20"/>
              </w:rPr>
            </w:pPr>
            <w:r w:rsidRPr="0062263F">
              <w:rPr>
                <w:rFonts w:ascii="Tahoma" w:hAnsi="Tahoma" w:cs="Tahoma"/>
                <w:sz w:val="20"/>
                <w:szCs w:val="20"/>
              </w:rPr>
              <w:t>66,00 руб. (в том числе НДС 11,00 руб.)</w:t>
            </w:r>
          </w:p>
        </w:tc>
      </w:tr>
      <w:tr w:rsidR="00DF74D7" w:rsidRPr="0062263F" w14:paraId="7991875F" w14:textId="77777777" w:rsidTr="00DD2371">
        <w:tc>
          <w:tcPr>
            <w:tcW w:w="895" w:type="dxa"/>
            <w:vMerge/>
          </w:tcPr>
          <w:p w14:paraId="2854B972" w14:textId="77777777" w:rsidR="00DF74D7" w:rsidRPr="0062263F" w:rsidRDefault="00DF74D7" w:rsidP="00DD2371">
            <w:pPr>
              <w:rPr>
                <w:rFonts w:ascii="Tahoma" w:hAnsi="Tahoma" w:cs="Tahoma"/>
                <w:sz w:val="20"/>
                <w:szCs w:val="20"/>
              </w:rPr>
            </w:pPr>
          </w:p>
        </w:tc>
        <w:tc>
          <w:tcPr>
            <w:tcW w:w="3073" w:type="dxa"/>
            <w:vMerge/>
          </w:tcPr>
          <w:p w14:paraId="555B0C0D" w14:textId="77777777" w:rsidR="00DF74D7" w:rsidRPr="0062263F" w:rsidRDefault="00DF74D7" w:rsidP="00DD2371">
            <w:pPr>
              <w:jc w:val="center"/>
              <w:rPr>
                <w:rFonts w:ascii="Tahoma" w:hAnsi="Tahoma" w:cs="Tahoma"/>
                <w:sz w:val="20"/>
                <w:szCs w:val="20"/>
              </w:rPr>
            </w:pPr>
          </w:p>
        </w:tc>
        <w:tc>
          <w:tcPr>
            <w:tcW w:w="1725" w:type="dxa"/>
            <w:gridSpan w:val="2"/>
          </w:tcPr>
          <w:p w14:paraId="20EA2D0F" w14:textId="77777777" w:rsidR="00DF74D7" w:rsidRPr="0062263F" w:rsidRDefault="00DF74D7" w:rsidP="00DD2371">
            <w:pPr>
              <w:rPr>
                <w:rFonts w:ascii="Tahoma" w:hAnsi="Tahoma" w:cs="Tahoma"/>
                <w:sz w:val="20"/>
                <w:szCs w:val="20"/>
              </w:rPr>
            </w:pPr>
            <w:r>
              <w:rPr>
                <w:rFonts w:ascii="Tahoma" w:hAnsi="Tahoma" w:cs="Tahoma"/>
                <w:sz w:val="20"/>
                <w:szCs w:val="20"/>
              </w:rPr>
              <w:t>3</w:t>
            </w:r>
            <w:r w:rsidRPr="0062263F">
              <w:rPr>
                <w:rFonts w:ascii="Tahoma" w:hAnsi="Tahoma" w:cs="Tahoma"/>
                <w:sz w:val="20"/>
                <w:szCs w:val="20"/>
              </w:rPr>
              <w:t>1-365 дней</w:t>
            </w:r>
          </w:p>
        </w:tc>
        <w:tc>
          <w:tcPr>
            <w:tcW w:w="4083" w:type="dxa"/>
          </w:tcPr>
          <w:p w14:paraId="52CF6639" w14:textId="77777777" w:rsidR="00DF74D7" w:rsidRPr="0062263F" w:rsidRDefault="00DF74D7" w:rsidP="00DD2371">
            <w:pPr>
              <w:rPr>
                <w:rFonts w:ascii="Tahoma" w:hAnsi="Tahoma" w:cs="Tahoma"/>
                <w:sz w:val="20"/>
                <w:szCs w:val="20"/>
              </w:rPr>
            </w:pPr>
            <w:r w:rsidRPr="0062263F">
              <w:rPr>
                <w:rFonts w:ascii="Tahoma" w:hAnsi="Tahoma" w:cs="Tahoma"/>
                <w:sz w:val="20"/>
                <w:szCs w:val="20"/>
              </w:rPr>
              <w:t>35,00 руб. (в том числе НДС 5,83 руб.)</w:t>
            </w:r>
          </w:p>
        </w:tc>
      </w:tr>
      <w:tr w:rsidR="00DF74D7" w:rsidRPr="0062263F" w14:paraId="3F56789B" w14:textId="77777777" w:rsidTr="00DD2371">
        <w:tc>
          <w:tcPr>
            <w:tcW w:w="895" w:type="dxa"/>
            <w:vMerge/>
          </w:tcPr>
          <w:p w14:paraId="5F035294" w14:textId="77777777" w:rsidR="00DF74D7" w:rsidRPr="0062263F" w:rsidRDefault="00DF74D7" w:rsidP="00DD2371">
            <w:pPr>
              <w:rPr>
                <w:rFonts w:ascii="Tahoma" w:hAnsi="Tahoma" w:cs="Tahoma"/>
                <w:sz w:val="20"/>
                <w:szCs w:val="20"/>
              </w:rPr>
            </w:pPr>
          </w:p>
        </w:tc>
        <w:tc>
          <w:tcPr>
            <w:tcW w:w="3073" w:type="dxa"/>
            <w:vMerge w:val="restart"/>
          </w:tcPr>
          <w:p w14:paraId="1D83D667" w14:textId="77777777" w:rsidR="00DF74D7" w:rsidRPr="0062263F" w:rsidRDefault="00DF74D7" w:rsidP="00DD2371">
            <w:pPr>
              <w:jc w:val="center"/>
              <w:rPr>
                <w:rFonts w:ascii="Tahoma" w:hAnsi="Tahoma" w:cs="Tahoma"/>
                <w:sz w:val="20"/>
                <w:szCs w:val="20"/>
              </w:rPr>
            </w:pPr>
            <w:r w:rsidRPr="0062263F">
              <w:rPr>
                <w:rFonts w:ascii="Tahoma" w:hAnsi="Tahoma" w:cs="Tahoma"/>
                <w:sz w:val="20"/>
                <w:szCs w:val="20"/>
              </w:rPr>
              <w:t>30*30*40</w:t>
            </w:r>
          </w:p>
        </w:tc>
        <w:tc>
          <w:tcPr>
            <w:tcW w:w="1725" w:type="dxa"/>
            <w:gridSpan w:val="2"/>
          </w:tcPr>
          <w:p w14:paraId="65C4F0B4" w14:textId="77777777" w:rsidR="00DF74D7" w:rsidRPr="0062263F" w:rsidRDefault="00DF74D7" w:rsidP="00DD2371">
            <w:pPr>
              <w:rPr>
                <w:rFonts w:ascii="Tahoma" w:hAnsi="Tahoma" w:cs="Tahoma"/>
                <w:sz w:val="20"/>
                <w:szCs w:val="20"/>
              </w:rPr>
            </w:pPr>
            <w:r w:rsidRPr="0062263F">
              <w:rPr>
                <w:rFonts w:ascii="Tahoma" w:hAnsi="Tahoma" w:cs="Tahoma"/>
                <w:sz w:val="20"/>
                <w:szCs w:val="20"/>
              </w:rPr>
              <w:t>1-30 дней</w:t>
            </w:r>
          </w:p>
        </w:tc>
        <w:tc>
          <w:tcPr>
            <w:tcW w:w="4083" w:type="dxa"/>
          </w:tcPr>
          <w:p w14:paraId="4F530793" w14:textId="77777777" w:rsidR="00DF74D7" w:rsidRPr="0062263F" w:rsidRDefault="00DF74D7" w:rsidP="00DD2371">
            <w:pPr>
              <w:rPr>
                <w:rFonts w:ascii="Tahoma" w:hAnsi="Tahoma" w:cs="Tahoma"/>
                <w:sz w:val="20"/>
                <w:szCs w:val="20"/>
              </w:rPr>
            </w:pPr>
            <w:r w:rsidRPr="0062263F">
              <w:rPr>
                <w:rFonts w:ascii="Tahoma" w:hAnsi="Tahoma" w:cs="Tahoma"/>
                <w:sz w:val="20"/>
                <w:szCs w:val="20"/>
              </w:rPr>
              <w:t>69,00 руб. (в том числе НДС 11,50 руб.)</w:t>
            </w:r>
          </w:p>
        </w:tc>
      </w:tr>
      <w:tr w:rsidR="00DF74D7" w:rsidRPr="0062263F" w14:paraId="4E75A5BF" w14:textId="77777777" w:rsidTr="00DD2371">
        <w:tc>
          <w:tcPr>
            <w:tcW w:w="895" w:type="dxa"/>
            <w:vMerge/>
          </w:tcPr>
          <w:p w14:paraId="735DA2DB" w14:textId="77777777" w:rsidR="00DF74D7" w:rsidRPr="0062263F" w:rsidRDefault="00DF74D7" w:rsidP="00DD2371">
            <w:pPr>
              <w:rPr>
                <w:rFonts w:ascii="Tahoma" w:hAnsi="Tahoma" w:cs="Tahoma"/>
                <w:sz w:val="20"/>
                <w:szCs w:val="20"/>
              </w:rPr>
            </w:pPr>
          </w:p>
        </w:tc>
        <w:tc>
          <w:tcPr>
            <w:tcW w:w="3073" w:type="dxa"/>
            <w:vMerge/>
          </w:tcPr>
          <w:p w14:paraId="6A3D8F83" w14:textId="77777777" w:rsidR="00DF74D7" w:rsidRPr="0062263F" w:rsidRDefault="00DF74D7" w:rsidP="00DD2371">
            <w:pPr>
              <w:jc w:val="center"/>
              <w:rPr>
                <w:rFonts w:ascii="Tahoma" w:hAnsi="Tahoma" w:cs="Tahoma"/>
                <w:sz w:val="20"/>
                <w:szCs w:val="20"/>
              </w:rPr>
            </w:pPr>
          </w:p>
        </w:tc>
        <w:tc>
          <w:tcPr>
            <w:tcW w:w="1725" w:type="dxa"/>
            <w:gridSpan w:val="2"/>
          </w:tcPr>
          <w:p w14:paraId="56B77A6B" w14:textId="77777777" w:rsidR="00DF74D7" w:rsidRPr="0062263F" w:rsidRDefault="00DF74D7" w:rsidP="00DD2371">
            <w:pPr>
              <w:rPr>
                <w:rFonts w:ascii="Tahoma" w:hAnsi="Tahoma" w:cs="Tahoma"/>
                <w:sz w:val="20"/>
                <w:szCs w:val="20"/>
              </w:rPr>
            </w:pPr>
            <w:r>
              <w:rPr>
                <w:rFonts w:ascii="Tahoma" w:hAnsi="Tahoma" w:cs="Tahoma"/>
                <w:sz w:val="20"/>
                <w:szCs w:val="20"/>
              </w:rPr>
              <w:t>3</w:t>
            </w:r>
            <w:r w:rsidRPr="0062263F">
              <w:rPr>
                <w:rFonts w:ascii="Tahoma" w:hAnsi="Tahoma" w:cs="Tahoma"/>
                <w:sz w:val="20"/>
                <w:szCs w:val="20"/>
              </w:rPr>
              <w:t>1-365 дней</w:t>
            </w:r>
          </w:p>
        </w:tc>
        <w:tc>
          <w:tcPr>
            <w:tcW w:w="4083" w:type="dxa"/>
          </w:tcPr>
          <w:p w14:paraId="57E02EF1" w14:textId="77777777" w:rsidR="00DF74D7" w:rsidRPr="0062263F" w:rsidRDefault="00DF74D7" w:rsidP="00DD2371">
            <w:pPr>
              <w:rPr>
                <w:rFonts w:ascii="Tahoma" w:hAnsi="Tahoma" w:cs="Tahoma"/>
                <w:sz w:val="20"/>
                <w:szCs w:val="20"/>
              </w:rPr>
            </w:pPr>
            <w:r w:rsidRPr="0062263F">
              <w:rPr>
                <w:rFonts w:ascii="Tahoma" w:hAnsi="Tahoma" w:cs="Tahoma"/>
                <w:sz w:val="20"/>
                <w:szCs w:val="20"/>
              </w:rPr>
              <w:t>38,00 руб. (в том числе НДС 6,33 руб.)</w:t>
            </w:r>
          </w:p>
        </w:tc>
      </w:tr>
      <w:tr w:rsidR="00DF74D7" w:rsidRPr="0062263F" w14:paraId="50DC4220" w14:textId="77777777" w:rsidTr="00DD2371">
        <w:tc>
          <w:tcPr>
            <w:tcW w:w="895" w:type="dxa"/>
            <w:vMerge/>
          </w:tcPr>
          <w:p w14:paraId="12647432" w14:textId="77777777" w:rsidR="00DF74D7" w:rsidRPr="0062263F" w:rsidRDefault="00DF74D7" w:rsidP="00DD2371">
            <w:pPr>
              <w:rPr>
                <w:rFonts w:ascii="Tahoma" w:hAnsi="Tahoma" w:cs="Tahoma"/>
                <w:sz w:val="20"/>
                <w:szCs w:val="20"/>
              </w:rPr>
            </w:pPr>
          </w:p>
        </w:tc>
        <w:tc>
          <w:tcPr>
            <w:tcW w:w="3073" w:type="dxa"/>
            <w:vMerge w:val="restart"/>
          </w:tcPr>
          <w:p w14:paraId="32CA538B" w14:textId="77777777" w:rsidR="00DF74D7" w:rsidRPr="0062263F" w:rsidRDefault="00DF74D7" w:rsidP="00DD2371">
            <w:pPr>
              <w:jc w:val="center"/>
              <w:rPr>
                <w:rFonts w:ascii="Tahoma" w:hAnsi="Tahoma" w:cs="Tahoma"/>
                <w:sz w:val="20"/>
                <w:szCs w:val="20"/>
              </w:rPr>
            </w:pPr>
            <w:r w:rsidRPr="0062263F">
              <w:rPr>
                <w:rFonts w:ascii="Tahoma" w:hAnsi="Tahoma" w:cs="Tahoma"/>
                <w:sz w:val="20"/>
                <w:szCs w:val="20"/>
              </w:rPr>
              <w:t>27*39*38</w:t>
            </w:r>
          </w:p>
        </w:tc>
        <w:tc>
          <w:tcPr>
            <w:tcW w:w="1725" w:type="dxa"/>
            <w:gridSpan w:val="2"/>
          </w:tcPr>
          <w:p w14:paraId="16F3C9E0" w14:textId="77777777" w:rsidR="00DF74D7" w:rsidRPr="0062263F" w:rsidRDefault="00DF74D7" w:rsidP="00DD2371">
            <w:pPr>
              <w:rPr>
                <w:rFonts w:ascii="Tahoma" w:hAnsi="Tahoma" w:cs="Tahoma"/>
                <w:sz w:val="20"/>
                <w:szCs w:val="20"/>
              </w:rPr>
            </w:pPr>
            <w:r w:rsidRPr="0062263F">
              <w:rPr>
                <w:rFonts w:ascii="Tahoma" w:hAnsi="Tahoma" w:cs="Tahoma"/>
                <w:sz w:val="20"/>
                <w:szCs w:val="20"/>
              </w:rPr>
              <w:t>1-30 дней</w:t>
            </w:r>
          </w:p>
        </w:tc>
        <w:tc>
          <w:tcPr>
            <w:tcW w:w="4083" w:type="dxa"/>
          </w:tcPr>
          <w:p w14:paraId="219449B4" w14:textId="77777777" w:rsidR="00DF74D7" w:rsidRPr="0062263F" w:rsidRDefault="00DF74D7" w:rsidP="00DD2371">
            <w:pPr>
              <w:rPr>
                <w:rFonts w:ascii="Tahoma" w:hAnsi="Tahoma" w:cs="Tahoma"/>
                <w:sz w:val="20"/>
                <w:szCs w:val="20"/>
              </w:rPr>
            </w:pPr>
            <w:r w:rsidRPr="0062263F">
              <w:rPr>
                <w:rFonts w:ascii="Tahoma" w:hAnsi="Tahoma" w:cs="Tahoma"/>
                <w:sz w:val="20"/>
                <w:szCs w:val="20"/>
              </w:rPr>
              <w:t>71,00 руб. (в том числе НДС 11,83 руб.)</w:t>
            </w:r>
          </w:p>
        </w:tc>
      </w:tr>
      <w:tr w:rsidR="00DF74D7" w:rsidRPr="0062263F" w14:paraId="0F67DE3B" w14:textId="77777777" w:rsidTr="00DD2371">
        <w:tc>
          <w:tcPr>
            <w:tcW w:w="895" w:type="dxa"/>
            <w:vMerge/>
          </w:tcPr>
          <w:p w14:paraId="2CE1A742" w14:textId="77777777" w:rsidR="00DF74D7" w:rsidRPr="0062263F" w:rsidRDefault="00DF74D7" w:rsidP="00DD2371">
            <w:pPr>
              <w:rPr>
                <w:rFonts w:ascii="Tahoma" w:hAnsi="Tahoma" w:cs="Tahoma"/>
                <w:sz w:val="20"/>
                <w:szCs w:val="20"/>
              </w:rPr>
            </w:pPr>
          </w:p>
        </w:tc>
        <w:tc>
          <w:tcPr>
            <w:tcW w:w="3073" w:type="dxa"/>
            <w:vMerge/>
          </w:tcPr>
          <w:p w14:paraId="67DA5C73" w14:textId="77777777" w:rsidR="00DF74D7" w:rsidRPr="0062263F" w:rsidRDefault="00DF74D7" w:rsidP="00DD2371">
            <w:pPr>
              <w:jc w:val="center"/>
              <w:rPr>
                <w:rFonts w:ascii="Tahoma" w:hAnsi="Tahoma" w:cs="Tahoma"/>
                <w:sz w:val="20"/>
                <w:szCs w:val="20"/>
              </w:rPr>
            </w:pPr>
          </w:p>
        </w:tc>
        <w:tc>
          <w:tcPr>
            <w:tcW w:w="1725" w:type="dxa"/>
            <w:gridSpan w:val="2"/>
          </w:tcPr>
          <w:p w14:paraId="3F19A0F0" w14:textId="77777777" w:rsidR="00DF74D7" w:rsidRPr="0062263F" w:rsidRDefault="00DF74D7" w:rsidP="00DD2371">
            <w:pPr>
              <w:rPr>
                <w:rFonts w:ascii="Tahoma" w:hAnsi="Tahoma" w:cs="Tahoma"/>
                <w:sz w:val="20"/>
                <w:szCs w:val="20"/>
              </w:rPr>
            </w:pPr>
            <w:r>
              <w:rPr>
                <w:rFonts w:ascii="Tahoma" w:hAnsi="Tahoma" w:cs="Tahoma"/>
                <w:sz w:val="20"/>
                <w:szCs w:val="20"/>
              </w:rPr>
              <w:t>3</w:t>
            </w:r>
            <w:r w:rsidRPr="0062263F">
              <w:rPr>
                <w:rFonts w:ascii="Tahoma" w:hAnsi="Tahoma" w:cs="Tahoma"/>
                <w:sz w:val="20"/>
                <w:szCs w:val="20"/>
              </w:rPr>
              <w:t>1-365 дней</w:t>
            </w:r>
          </w:p>
        </w:tc>
        <w:tc>
          <w:tcPr>
            <w:tcW w:w="4083" w:type="dxa"/>
          </w:tcPr>
          <w:p w14:paraId="553FE603" w14:textId="77777777" w:rsidR="00DF74D7" w:rsidRPr="0062263F" w:rsidRDefault="00DF74D7" w:rsidP="00DD2371">
            <w:pPr>
              <w:rPr>
                <w:rFonts w:ascii="Tahoma" w:hAnsi="Tahoma" w:cs="Tahoma"/>
                <w:sz w:val="20"/>
                <w:szCs w:val="20"/>
              </w:rPr>
            </w:pPr>
            <w:r w:rsidRPr="0062263F">
              <w:rPr>
                <w:rFonts w:ascii="Tahoma" w:hAnsi="Tahoma" w:cs="Tahoma"/>
                <w:sz w:val="20"/>
                <w:szCs w:val="20"/>
              </w:rPr>
              <w:t>42,00 руб. (в том числе НДС 7,00 руб.)</w:t>
            </w:r>
          </w:p>
        </w:tc>
      </w:tr>
      <w:tr w:rsidR="00DF74D7" w:rsidRPr="0062263F" w14:paraId="129FEB4D" w14:textId="77777777" w:rsidTr="00DD2371">
        <w:trPr>
          <w:trHeight w:val="70"/>
        </w:trPr>
        <w:tc>
          <w:tcPr>
            <w:tcW w:w="895" w:type="dxa"/>
            <w:vMerge/>
          </w:tcPr>
          <w:p w14:paraId="1EC52872" w14:textId="77777777" w:rsidR="00DF74D7" w:rsidRPr="0062263F" w:rsidRDefault="00DF74D7" w:rsidP="00DD2371">
            <w:pPr>
              <w:rPr>
                <w:rFonts w:ascii="Tahoma" w:hAnsi="Tahoma" w:cs="Tahoma"/>
                <w:sz w:val="20"/>
                <w:szCs w:val="20"/>
              </w:rPr>
            </w:pPr>
          </w:p>
        </w:tc>
        <w:tc>
          <w:tcPr>
            <w:tcW w:w="3073" w:type="dxa"/>
            <w:vMerge w:val="restart"/>
          </w:tcPr>
          <w:p w14:paraId="0CAD5AEF" w14:textId="77777777" w:rsidR="00DF74D7" w:rsidRPr="0062263F" w:rsidRDefault="00DF74D7" w:rsidP="00DD2371">
            <w:pPr>
              <w:jc w:val="center"/>
              <w:rPr>
                <w:rFonts w:ascii="Tahoma" w:hAnsi="Tahoma" w:cs="Tahoma"/>
                <w:sz w:val="20"/>
                <w:szCs w:val="20"/>
              </w:rPr>
            </w:pPr>
            <w:r w:rsidRPr="0062263F">
              <w:rPr>
                <w:rFonts w:ascii="Tahoma" w:hAnsi="Tahoma" w:cs="Tahoma"/>
                <w:sz w:val="20"/>
                <w:szCs w:val="20"/>
              </w:rPr>
              <w:t>30,4*40*51,6</w:t>
            </w:r>
          </w:p>
        </w:tc>
        <w:tc>
          <w:tcPr>
            <w:tcW w:w="1725" w:type="dxa"/>
            <w:gridSpan w:val="2"/>
          </w:tcPr>
          <w:p w14:paraId="71863B2B" w14:textId="77777777" w:rsidR="00DF74D7" w:rsidRPr="0062263F" w:rsidRDefault="00DF74D7" w:rsidP="00DD2371">
            <w:pPr>
              <w:rPr>
                <w:rFonts w:ascii="Tahoma" w:hAnsi="Tahoma" w:cs="Tahoma"/>
                <w:sz w:val="20"/>
                <w:szCs w:val="20"/>
              </w:rPr>
            </w:pPr>
            <w:r w:rsidRPr="0062263F">
              <w:rPr>
                <w:rFonts w:ascii="Tahoma" w:hAnsi="Tahoma" w:cs="Tahoma"/>
                <w:sz w:val="20"/>
                <w:szCs w:val="20"/>
              </w:rPr>
              <w:t>1-30 дней</w:t>
            </w:r>
          </w:p>
        </w:tc>
        <w:tc>
          <w:tcPr>
            <w:tcW w:w="4083" w:type="dxa"/>
          </w:tcPr>
          <w:p w14:paraId="4598D13D" w14:textId="77777777" w:rsidR="00DF74D7" w:rsidRPr="0062263F" w:rsidRDefault="00DF74D7" w:rsidP="00DD2371">
            <w:pPr>
              <w:rPr>
                <w:rFonts w:ascii="Tahoma" w:hAnsi="Tahoma" w:cs="Tahoma"/>
                <w:sz w:val="20"/>
                <w:szCs w:val="20"/>
              </w:rPr>
            </w:pPr>
            <w:r w:rsidRPr="0062263F">
              <w:rPr>
                <w:rFonts w:ascii="Tahoma" w:hAnsi="Tahoma" w:cs="Tahoma"/>
                <w:sz w:val="20"/>
                <w:szCs w:val="20"/>
              </w:rPr>
              <w:t>88,00 руб. (в том числе НДС 14,67 руб.)</w:t>
            </w:r>
          </w:p>
        </w:tc>
      </w:tr>
      <w:tr w:rsidR="00DF74D7" w:rsidRPr="0062263F" w14:paraId="67958FA1" w14:textId="77777777" w:rsidTr="00DD2371">
        <w:tc>
          <w:tcPr>
            <w:tcW w:w="895" w:type="dxa"/>
            <w:vMerge/>
          </w:tcPr>
          <w:p w14:paraId="1C12B028" w14:textId="77777777" w:rsidR="00DF74D7" w:rsidRPr="0062263F" w:rsidRDefault="00DF74D7" w:rsidP="00DD2371">
            <w:pPr>
              <w:rPr>
                <w:rFonts w:ascii="Tahoma" w:hAnsi="Tahoma" w:cs="Tahoma"/>
                <w:sz w:val="20"/>
                <w:szCs w:val="20"/>
              </w:rPr>
            </w:pPr>
          </w:p>
        </w:tc>
        <w:tc>
          <w:tcPr>
            <w:tcW w:w="3073" w:type="dxa"/>
            <w:vMerge/>
          </w:tcPr>
          <w:p w14:paraId="13FCB771" w14:textId="77777777" w:rsidR="00DF74D7" w:rsidRPr="0062263F" w:rsidRDefault="00DF74D7" w:rsidP="00DD2371">
            <w:pPr>
              <w:jc w:val="center"/>
              <w:rPr>
                <w:rFonts w:ascii="Tahoma" w:hAnsi="Tahoma" w:cs="Tahoma"/>
                <w:sz w:val="20"/>
                <w:szCs w:val="20"/>
              </w:rPr>
            </w:pPr>
          </w:p>
        </w:tc>
        <w:tc>
          <w:tcPr>
            <w:tcW w:w="1725" w:type="dxa"/>
            <w:gridSpan w:val="2"/>
          </w:tcPr>
          <w:p w14:paraId="61161369" w14:textId="77777777" w:rsidR="00DF74D7" w:rsidRPr="0062263F" w:rsidRDefault="00DF74D7" w:rsidP="00DD2371">
            <w:pPr>
              <w:rPr>
                <w:rFonts w:ascii="Tahoma" w:hAnsi="Tahoma" w:cs="Tahoma"/>
                <w:sz w:val="20"/>
                <w:szCs w:val="20"/>
              </w:rPr>
            </w:pPr>
            <w:r>
              <w:rPr>
                <w:rFonts w:ascii="Tahoma" w:hAnsi="Tahoma" w:cs="Tahoma"/>
                <w:sz w:val="20"/>
                <w:szCs w:val="20"/>
              </w:rPr>
              <w:t>3</w:t>
            </w:r>
            <w:r w:rsidRPr="0062263F">
              <w:rPr>
                <w:rFonts w:ascii="Tahoma" w:hAnsi="Tahoma" w:cs="Tahoma"/>
                <w:sz w:val="20"/>
                <w:szCs w:val="20"/>
              </w:rPr>
              <w:t>1-365 дней</w:t>
            </w:r>
          </w:p>
        </w:tc>
        <w:tc>
          <w:tcPr>
            <w:tcW w:w="4083" w:type="dxa"/>
          </w:tcPr>
          <w:p w14:paraId="26F3872D" w14:textId="77777777" w:rsidR="00DF74D7" w:rsidRPr="0062263F" w:rsidRDefault="00DF74D7" w:rsidP="00DD2371">
            <w:pPr>
              <w:rPr>
                <w:rFonts w:ascii="Tahoma" w:hAnsi="Tahoma" w:cs="Tahoma"/>
                <w:sz w:val="20"/>
                <w:szCs w:val="20"/>
              </w:rPr>
            </w:pPr>
            <w:r w:rsidRPr="0062263F">
              <w:rPr>
                <w:rFonts w:ascii="Tahoma" w:hAnsi="Tahoma" w:cs="Tahoma"/>
                <w:sz w:val="20"/>
                <w:szCs w:val="20"/>
              </w:rPr>
              <w:t>46,00 руб. (в том числе НДС 7,67 руб.)</w:t>
            </w:r>
          </w:p>
        </w:tc>
      </w:tr>
      <w:tr w:rsidR="00DF74D7" w:rsidRPr="0062263F" w14:paraId="711911DC" w14:textId="77777777" w:rsidTr="00DD2371">
        <w:tc>
          <w:tcPr>
            <w:tcW w:w="895" w:type="dxa"/>
            <w:vMerge/>
          </w:tcPr>
          <w:p w14:paraId="6FB3FBDC" w14:textId="77777777" w:rsidR="00DF74D7" w:rsidRPr="0062263F" w:rsidRDefault="00DF74D7" w:rsidP="00DD2371">
            <w:pPr>
              <w:rPr>
                <w:rFonts w:ascii="Tahoma" w:hAnsi="Tahoma" w:cs="Tahoma"/>
                <w:sz w:val="20"/>
                <w:szCs w:val="20"/>
              </w:rPr>
            </w:pPr>
          </w:p>
        </w:tc>
        <w:tc>
          <w:tcPr>
            <w:tcW w:w="3073" w:type="dxa"/>
            <w:vMerge w:val="restart"/>
          </w:tcPr>
          <w:p w14:paraId="66D22819" w14:textId="77777777" w:rsidR="00DF74D7" w:rsidRPr="0062263F" w:rsidRDefault="00DF74D7" w:rsidP="00DD2371">
            <w:pPr>
              <w:jc w:val="center"/>
              <w:rPr>
                <w:rFonts w:ascii="Tahoma" w:hAnsi="Tahoma" w:cs="Tahoma"/>
                <w:sz w:val="20"/>
                <w:szCs w:val="20"/>
              </w:rPr>
            </w:pPr>
            <w:r w:rsidRPr="0062263F">
              <w:rPr>
                <w:rFonts w:ascii="Tahoma" w:hAnsi="Tahoma" w:cs="Tahoma"/>
                <w:sz w:val="20"/>
                <w:szCs w:val="20"/>
              </w:rPr>
              <w:t>61*41*26</w:t>
            </w:r>
          </w:p>
        </w:tc>
        <w:tc>
          <w:tcPr>
            <w:tcW w:w="1725" w:type="dxa"/>
            <w:gridSpan w:val="2"/>
          </w:tcPr>
          <w:p w14:paraId="2759269E" w14:textId="77777777" w:rsidR="00DF74D7" w:rsidRPr="0062263F" w:rsidRDefault="00DF74D7" w:rsidP="00DD2371">
            <w:pPr>
              <w:rPr>
                <w:rFonts w:ascii="Tahoma" w:hAnsi="Tahoma" w:cs="Tahoma"/>
                <w:sz w:val="20"/>
                <w:szCs w:val="20"/>
              </w:rPr>
            </w:pPr>
            <w:r w:rsidRPr="0062263F">
              <w:rPr>
                <w:rFonts w:ascii="Tahoma" w:hAnsi="Tahoma" w:cs="Tahoma"/>
                <w:sz w:val="20"/>
                <w:szCs w:val="20"/>
              </w:rPr>
              <w:t>1-30 дней</w:t>
            </w:r>
          </w:p>
        </w:tc>
        <w:tc>
          <w:tcPr>
            <w:tcW w:w="4083" w:type="dxa"/>
          </w:tcPr>
          <w:p w14:paraId="222B4594" w14:textId="77777777" w:rsidR="00DF74D7" w:rsidRPr="0062263F" w:rsidRDefault="00DF74D7" w:rsidP="00DD2371">
            <w:pPr>
              <w:rPr>
                <w:rFonts w:ascii="Tahoma" w:hAnsi="Tahoma" w:cs="Tahoma"/>
                <w:sz w:val="20"/>
                <w:szCs w:val="20"/>
              </w:rPr>
            </w:pPr>
            <w:r w:rsidRPr="0062263F">
              <w:rPr>
                <w:rFonts w:ascii="Tahoma" w:hAnsi="Tahoma" w:cs="Tahoma"/>
                <w:sz w:val="20"/>
                <w:szCs w:val="20"/>
              </w:rPr>
              <w:t>89,00 руб. (в том числе НДС 14,83 руб.)</w:t>
            </w:r>
          </w:p>
        </w:tc>
      </w:tr>
      <w:tr w:rsidR="00DF74D7" w:rsidRPr="0062263F" w14:paraId="20100AEC" w14:textId="77777777" w:rsidTr="00DD2371">
        <w:tc>
          <w:tcPr>
            <w:tcW w:w="895" w:type="dxa"/>
            <w:vMerge/>
          </w:tcPr>
          <w:p w14:paraId="69CF0F9E" w14:textId="77777777" w:rsidR="00DF74D7" w:rsidRPr="0062263F" w:rsidRDefault="00DF74D7" w:rsidP="00DD2371">
            <w:pPr>
              <w:rPr>
                <w:rFonts w:ascii="Tahoma" w:hAnsi="Tahoma" w:cs="Tahoma"/>
                <w:sz w:val="20"/>
                <w:szCs w:val="20"/>
              </w:rPr>
            </w:pPr>
          </w:p>
        </w:tc>
        <w:tc>
          <w:tcPr>
            <w:tcW w:w="3073" w:type="dxa"/>
            <w:vMerge/>
          </w:tcPr>
          <w:p w14:paraId="4797136A" w14:textId="77777777" w:rsidR="00DF74D7" w:rsidRPr="0062263F" w:rsidRDefault="00DF74D7" w:rsidP="00DD2371">
            <w:pPr>
              <w:rPr>
                <w:rFonts w:ascii="Tahoma" w:hAnsi="Tahoma" w:cs="Tahoma"/>
                <w:sz w:val="20"/>
                <w:szCs w:val="20"/>
              </w:rPr>
            </w:pPr>
          </w:p>
        </w:tc>
        <w:tc>
          <w:tcPr>
            <w:tcW w:w="1725" w:type="dxa"/>
            <w:gridSpan w:val="2"/>
          </w:tcPr>
          <w:p w14:paraId="09D09C62" w14:textId="77777777" w:rsidR="00DF74D7" w:rsidRPr="0062263F" w:rsidRDefault="00DF74D7" w:rsidP="00DD2371">
            <w:pPr>
              <w:rPr>
                <w:rFonts w:ascii="Tahoma" w:hAnsi="Tahoma" w:cs="Tahoma"/>
                <w:sz w:val="20"/>
                <w:szCs w:val="20"/>
              </w:rPr>
            </w:pPr>
            <w:r>
              <w:rPr>
                <w:rFonts w:ascii="Tahoma" w:hAnsi="Tahoma" w:cs="Tahoma"/>
                <w:sz w:val="20"/>
                <w:szCs w:val="20"/>
              </w:rPr>
              <w:t>3</w:t>
            </w:r>
            <w:r w:rsidRPr="0062263F">
              <w:rPr>
                <w:rFonts w:ascii="Tahoma" w:hAnsi="Tahoma" w:cs="Tahoma"/>
                <w:sz w:val="20"/>
                <w:szCs w:val="20"/>
              </w:rPr>
              <w:t>1-365 дней</w:t>
            </w:r>
          </w:p>
        </w:tc>
        <w:tc>
          <w:tcPr>
            <w:tcW w:w="4083" w:type="dxa"/>
          </w:tcPr>
          <w:p w14:paraId="230C0B09" w14:textId="77777777" w:rsidR="00DF74D7" w:rsidRPr="0062263F" w:rsidRDefault="00DF74D7" w:rsidP="00DD2371">
            <w:pPr>
              <w:rPr>
                <w:rFonts w:ascii="Tahoma" w:hAnsi="Tahoma" w:cs="Tahoma"/>
                <w:sz w:val="20"/>
                <w:szCs w:val="20"/>
              </w:rPr>
            </w:pPr>
            <w:r w:rsidRPr="0062263F">
              <w:rPr>
                <w:rFonts w:ascii="Tahoma" w:hAnsi="Tahoma" w:cs="Tahoma"/>
                <w:sz w:val="20"/>
                <w:szCs w:val="20"/>
              </w:rPr>
              <w:t>47,00 руб. (в том числе НДС 7,83 руб.)</w:t>
            </w:r>
          </w:p>
        </w:tc>
      </w:tr>
      <w:tr w:rsidR="00DF74D7" w:rsidRPr="0062263F" w14:paraId="334438DC" w14:textId="77777777" w:rsidTr="00DD2371">
        <w:tc>
          <w:tcPr>
            <w:tcW w:w="895" w:type="dxa"/>
            <w:vMerge w:val="restart"/>
          </w:tcPr>
          <w:p w14:paraId="227FD17C" w14:textId="77777777" w:rsidR="00DF74D7" w:rsidRPr="0062263F" w:rsidRDefault="00DF74D7" w:rsidP="00DD2371">
            <w:pPr>
              <w:rPr>
                <w:rFonts w:ascii="Tahoma" w:hAnsi="Tahoma" w:cs="Tahoma"/>
                <w:sz w:val="20"/>
                <w:szCs w:val="20"/>
              </w:rPr>
            </w:pPr>
          </w:p>
        </w:tc>
        <w:tc>
          <w:tcPr>
            <w:tcW w:w="3073" w:type="dxa"/>
            <w:vMerge w:val="restart"/>
          </w:tcPr>
          <w:p w14:paraId="1C943C0B" w14:textId="77777777" w:rsidR="00DF74D7" w:rsidRPr="0062263F" w:rsidRDefault="00DF74D7" w:rsidP="00DD2371">
            <w:pPr>
              <w:jc w:val="center"/>
              <w:rPr>
                <w:rFonts w:ascii="Tahoma" w:hAnsi="Tahoma" w:cs="Tahoma"/>
                <w:sz w:val="20"/>
                <w:szCs w:val="20"/>
              </w:rPr>
            </w:pPr>
            <w:r w:rsidRPr="0062263F">
              <w:rPr>
                <w:rFonts w:ascii="Tahoma" w:hAnsi="Tahoma" w:cs="Tahoma"/>
                <w:sz w:val="20"/>
                <w:szCs w:val="20"/>
              </w:rPr>
              <w:t>27*16*60</w:t>
            </w:r>
          </w:p>
        </w:tc>
        <w:tc>
          <w:tcPr>
            <w:tcW w:w="1725" w:type="dxa"/>
            <w:gridSpan w:val="2"/>
          </w:tcPr>
          <w:p w14:paraId="7DD03C19" w14:textId="77777777" w:rsidR="00DF74D7" w:rsidRPr="0062263F" w:rsidRDefault="00DF74D7" w:rsidP="00DD2371">
            <w:pPr>
              <w:rPr>
                <w:rFonts w:ascii="Tahoma" w:hAnsi="Tahoma" w:cs="Tahoma"/>
                <w:sz w:val="20"/>
                <w:szCs w:val="20"/>
              </w:rPr>
            </w:pPr>
            <w:r w:rsidRPr="0062263F">
              <w:rPr>
                <w:rFonts w:ascii="Tahoma" w:hAnsi="Tahoma" w:cs="Tahoma"/>
                <w:sz w:val="20"/>
                <w:szCs w:val="20"/>
              </w:rPr>
              <w:t>1-30 дней</w:t>
            </w:r>
          </w:p>
        </w:tc>
        <w:tc>
          <w:tcPr>
            <w:tcW w:w="4083" w:type="dxa"/>
          </w:tcPr>
          <w:p w14:paraId="389E7D93" w14:textId="77777777" w:rsidR="00DF74D7" w:rsidRPr="0062263F" w:rsidRDefault="00DF74D7" w:rsidP="00DD2371">
            <w:pPr>
              <w:rPr>
                <w:rFonts w:ascii="Tahoma" w:hAnsi="Tahoma" w:cs="Tahoma"/>
                <w:sz w:val="20"/>
                <w:szCs w:val="20"/>
              </w:rPr>
            </w:pPr>
            <w:r w:rsidRPr="0062263F">
              <w:rPr>
                <w:rFonts w:ascii="Tahoma" w:hAnsi="Tahoma" w:cs="Tahoma"/>
                <w:sz w:val="20"/>
                <w:szCs w:val="20"/>
              </w:rPr>
              <w:t>60,00 руб. (в том числе НДС 10,00 руб.)</w:t>
            </w:r>
          </w:p>
        </w:tc>
      </w:tr>
      <w:tr w:rsidR="00DF74D7" w:rsidRPr="0062263F" w14:paraId="1191961D" w14:textId="77777777" w:rsidTr="00DD2371">
        <w:tc>
          <w:tcPr>
            <w:tcW w:w="895" w:type="dxa"/>
            <w:vMerge/>
          </w:tcPr>
          <w:p w14:paraId="5B461C33" w14:textId="77777777" w:rsidR="00DF74D7" w:rsidRPr="0062263F" w:rsidRDefault="00DF74D7" w:rsidP="00DD2371">
            <w:pPr>
              <w:rPr>
                <w:rFonts w:ascii="Tahoma" w:hAnsi="Tahoma" w:cs="Tahoma"/>
                <w:sz w:val="20"/>
                <w:szCs w:val="20"/>
              </w:rPr>
            </w:pPr>
          </w:p>
        </w:tc>
        <w:tc>
          <w:tcPr>
            <w:tcW w:w="3073" w:type="dxa"/>
            <w:vMerge/>
          </w:tcPr>
          <w:p w14:paraId="2BB4A6EC" w14:textId="77777777" w:rsidR="00DF74D7" w:rsidRPr="0062263F" w:rsidRDefault="00DF74D7" w:rsidP="00DD2371">
            <w:pPr>
              <w:rPr>
                <w:rFonts w:ascii="Tahoma" w:hAnsi="Tahoma" w:cs="Tahoma"/>
                <w:sz w:val="20"/>
                <w:szCs w:val="20"/>
              </w:rPr>
            </w:pPr>
          </w:p>
        </w:tc>
        <w:tc>
          <w:tcPr>
            <w:tcW w:w="1725" w:type="dxa"/>
            <w:gridSpan w:val="2"/>
          </w:tcPr>
          <w:p w14:paraId="4C746FC5" w14:textId="77777777" w:rsidR="00DF74D7" w:rsidRPr="0062263F" w:rsidRDefault="00DF74D7" w:rsidP="00DD2371">
            <w:pPr>
              <w:rPr>
                <w:rFonts w:ascii="Tahoma" w:hAnsi="Tahoma" w:cs="Tahoma"/>
                <w:sz w:val="20"/>
                <w:szCs w:val="20"/>
              </w:rPr>
            </w:pPr>
            <w:r>
              <w:rPr>
                <w:rFonts w:ascii="Tahoma" w:hAnsi="Tahoma" w:cs="Tahoma"/>
                <w:sz w:val="20"/>
                <w:szCs w:val="20"/>
              </w:rPr>
              <w:t>3</w:t>
            </w:r>
            <w:r w:rsidRPr="0062263F">
              <w:rPr>
                <w:rFonts w:ascii="Tahoma" w:hAnsi="Tahoma" w:cs="Tahoma"/>
                <w:sz w:val="20"/>
                <w:szCs w:val="20"/>
              </w:rPr>
              <w:t>1-365 дней</w:t>
            </w:r>
          </w:p>
        </w:tc>
        <w:tc>
          <w:tcPr>
            <w:tcW w:w="4083" w:type="dxa"/>
          </w:tcPr>
          <w:p w14:paraId="29F0AFB6" w14:textId="77777777" w:rsidR="00DF74D7" w:rsidRPr="0062263F" w:rsidRDefault="00DF74D7" w:rsidP="00DD2371">
            <w:pPr>
              <w:rPr>
                <w:rFonts w:ascii="Tahoma" w:hAnsi="Tahoma" w:cs="Tahoma"/>
                <w:sz w:val="20"/>
                <w:szCs w:val="20"/>
              </w:rPr>
            </w:pPr>
            <w:r w:rsidRPr="0062263F">
              <w:rPr>
                <w:rFonts w:ascii="Tahoma" w:hAnsi="Tahoma" w:cs="Tahoma"/>
                <w:sz w:val="20"/>
                <w:szCs w:val="20"/>
              </w:rPr>
              <w:t>32,00 руб. (в том числе НДС 5,33 руб.)</w:t>
            </w:r>
          </w:p>
        </w:tc>
      </w:tr>
      <w:tr w:rsidR="00DF74D7" w:rsidRPr="0062263F" w14:paraId="1665EED8" w14:textId="77777777" w:rsidTr="00DD2371">
        <w:tc>
          <w:tcPr>
            <w:tcW w:w="895" w:type="dxa"/>
            <w:vMerge/>
          </w:tcPr>
          <w:p w14:paraId="19388478" w14:textId="77777777" w:rsidR="00DF74D7" w:rsidRPr="0062263F" w:rsidRDefault="00DF74D7" w:rsidP="00DD2371">
            <w:pPr>
              <w:rPr>
                <w:rFonts w:ascii="Tahoma" w:hAnsi="Tahoma" w:cs="Tahoma"/>
                <w:sz w:val="20"/>
                <w:szCs w:val="20"/>
              </w:rPr>
            </w:pPr>
          </w:p>
        </w:tc>
        <w:tc>
          <w:tcPr>
            <w:tcW w:w="3073" w:type="dxa"/>
            <w:vMerge w:val="restart"/>
          </w:tcPr>
          <w:p w14:paraId="283EB055" w14:textId="77777777" w:rsidR="00DF74D7" w:rsidRPr="0062263F" w:rsidRDefault="00DF74D7" w:rsidP="00DD2371">
            <w:pPr>
              <w:jc w:val="center"/>
              <w:rPr>
                <w:rFonts w:ascii="Tahoma" w:hAnsi="Tahoma" w:cs="Tahoma"/>
                <w:sz w:val="20"/>
                <w:szCs w:val="20"/>
              </w:rPr>
            </w:pPr>
            <w:r w:rsidRPr="0062263F">
              <w:rPr>
                <w:rFonts w:ascii="Tahoma" w:hAnsi="Tahoma" w:cs="Tahoma"/>
                <w:sz w:val="20"/>
                <w:szCs w:val="20"/>
              </w:rPr>
              <w:t>34*26*12</w:t>
            </w:r>
          </w:p>
        </w:tc>
        <w:tc>
          <w:tcPr>
            <w:tcW w:w="1725" w:type="dxa"/>
            <w:gridSpan w:val="2"/>
          </w:tcPr>
          <w:p w14:paraId="07FF8453" w14:textId="77777777" w:rsidR="00DF74D7" w:rsidRPr="0062263F" w:rsidRDefault="00DF74D7" w:rsidP="00DD2371">
            <w:pPr>
              <w:rPr>
                <w:rFonts w:ascii="Tahoma" w:hAnsi="Tahoma" w:cs="Tahoma"/>
                <w:sz w:val="20"/>
                <w:szCs w:val="20"/>
              </w:rPr>
            </w:pPr>
            <w:r w:rsidRPr="0062263F">
              <w:rPr>
                <w:rFonts w:ascii="Tahoma" w:hAnsi="Tahoma" w:cs="Tahoma"/>
                <w:sz w:val="20"/>
                <w:szCs w:val="20"/>
              </w:rPr>
              <w:t>1-30 дней</w:t>
            </w:r>
          </w:p>
        </w:tc>
        <w:tc>
          <w:tcPr>
            <w:tcW w:w="4083" w:type="dxa"/>
          </w:tcPr>
          <w:p w14:paraId="708416A7" w14:textId="77777777" w:rsidR="00DF74D7" w:rsidRPr="0062263F" w:rsidRDefault="00DF74D7" w:rsidP="00DD2371">
            <w:pPr>
              <w:rPr>
                <w:rFonts w:ascii="Tahoma" w:hAnsi="Tahoma" w:cs="Tahoma"/>
                <w:sz w:val="20"/>
                <w:szCs w:val="20"/>
              </w:rPr>
            </w:pPr>
            <w:r w:rsidRPr="0062263F">
              <w:rPr>
                <w:rFonts w:ascii="Tahoma" w:hAnsi="Tahoma" w:cs="Tahoma"/>
                <w:sz w:val="20"/>
                <w:szCs w:val="20"/>
              </w:rPr>
              <w:t>40,00 руб. (в том числе НДС 6,67 руб.)</w:t>
            </w:r>
          </w:p>
        </w:tc>
      </w:tr>
      <w:tr w:rsidR="00DF74D7" w:rsidRPr="0062263F" w14:paraId="55243C54" w14:textId="77777777" w:rsidTr="00DD2371">
        <w:tc>
          <w:tcPr>
            <w:tcW w:w="895" w:type="dxa"/>
            <w:vMerge/>
          </w:tcPr>
          <w:p w14:paraId="5F8896C7" w14:textId="77777777" w:rsidR="00DF74D7" w:rsidRPr="0062263F" w:rsidRDefault="00DF74D7" w:rsidP="00DD2371">
            <w:pPr>
              <w:rPr>
                <w:rFonts w:ascii="Tahoma" w:hAnsi="Tahoma" w:cs="Tahoma"/>
                <w:sz w:val="20"/>
                <w:szCs w:val="20"/>
              </w:rPr>
            </w:pPr>
          </w:p>
        </w:tc>
        <w:tc>
          <w:tcPr>
            <w:tcW w:w="3073" w:type="dxa"/>
            <w:vMerge/>
          </w:tcPr>
          <w:p w14:paraId="160D46FB" w14:textId="77777777" w:rsidR="00DF74D7" w:rsidRPr="0062263F" w:rsidRDefault="00DF74D7" w:rsidP="00DD2371">
            <w:pPr>
              <w:rPr>
                <w:rFonts w:ascii="Tahoma" w:hAnsi="Tahoma" w:cs="Tahoma"/>
                <w:sz w:val="20"/>
                <w:szCs w:val="20"/>
              </w:rPr>
            </w:pPr>
          </w:p>
        </w:tc>
        <w:tc>
          <w:tcPr>
            <w:tcW w:w="1725" w:type="dxa"/>
            <w:gridSpan w:val="2"/>
          </w:tcPr>
          <w:p w14:paraId="1668DA3C" w14:textId="77777777" w:rsidR="00DF74D7" w:rsidRPr="0062263F" w:rsidRDefault="00DF74D7" w:rsidP="00DD2371">
            <w:pPr>
              <w:rPr>
                <w:rFonts w:ascii="Tahoma" w:hAnsi="Tahoma" w:cs="Tahoma"/>
                <w:sz w:val="20"/>
                <w:szCs w:val="20"/>
              </w:rPr>
            </w:pPr>
            <w:r>
              <w:rPr>
                <w:rFonts w:ascii="Tahoma" w:hAnsi="Tahoma" w:cs="Tahoma"/>
                <w:sz w:val="20"/>
                <w:szCs w:val="20"/>
              </w:rPr>
              <w:t>3</w:t>
            </w:r>
            <w:r w:rsidRPr="0062263F">
              <w:rPr>
                <w:rFonts w:ascii="Tahoma" w:hAnsi="Tahoma" w:cs="Tahoma"/>
                <w:sz w:val="20"/>
                <w:szCs w:val="20"/>
              </w:rPr>
              <w:t>1-365 дней</w:t>
            </w:r>
          </w:p>
        </w:tc>
        <w:tc>
          <w:tcPr>
            <w:tcW w:w="4083" w:type="dxa"/>
          </w:tcPr>
          <w:p w14:paraId="4F88FB79" w14:textId="77777777" w:rsidR="00DF74D7" w:rsidRPr="0062263F" w:rsidRDefault="00DF74D7" w:rsidP="00DD2371">
            <w:pPr>
              <w:rPr>
                <w:rFonts w:ascii="Tahoma" w:hAnsi="Tahoma" w:cs="Tahoma"/>
                <w:sz w:val="20"/>
                <w:szCs w:val="20"/>
              </w:rPr>
            </w:pPr>
            <w:r w:rsidRPr="0062263F">
              <w:rPr>
                <w:rFonts w:ascii="Tahoma" w:hAnsi="Tahoma" w:cs="Tahoma"/>
                <w:sz w:val="20"/>
                <w:szCs w:val="20"/>
              </w:rPr>
              <w:t>21,00 руб. (в том числе НДС 3,50 руб.)</w:t>
            </w:r>
          </w:p>
        </w:tc>
      </w:tr>
      <w:tr w:rsidR="00DF74D7" w:rsidRPr="0062263F" w14:paraId="4F668BF8" w14:textId="77777777" w:rsidTr="00DD2371">
        <w:tc>
          <w:tcPr>
            <w:tcW w:w="895" w:type="dxa"/>
            <w:vMerge/>
          </w:tcPr>
          <w:p w14:paraId="6A2B4784" w14:textId="77777777" w:rsidR="00DF74D7" w:rsidRPr="0062263F" w:rsidRDefault="00DF74D7" w:rsidP="00DD2371">
            <w:pPr>
              <w:rPr>
                <w:rFonts w:ascii="Tahoma" w:hAnsi="Tahoma" w:cs="Tahoma"/>
                <w:sz w:val="20"/>
                <w:szCs w:val="20"/>
              </w:rPr>
            </w:pPr>
          </w:p>
        </w:tc>
        <w:tc>
          <w:tcPr>
            <w:tcW w:w="3073" w:type="dxa"/>
            <w:vMerge w:val="restart"/>
          </w:tcPr>
          <w:p w14:paraId="19638D77" w14:textId="77777777" w:rsidR="00DF74D7" w:rsidRPr="0062263F" w:rsidRDefault="00DF74D7" w:rsidP="00DD2371">
            <w:pPr>
              <w:jc w:val="center"/>
              <w:rPr>
                <w:rFonts w:ascii="Tahoma" w:hAnsi="Tahoma" w:cs="Tahoma"/>
                <w:sz w:val="20"/>
                <w:szCs w:val="20"/>
              </w:rPr>
            </w:pPr>
            <w:r w:rsidRPr="0062263F">
              <w:rPr>
                <w:rFonts w:ascii="Tahoma" w:hAnsi="Tahoma" w:cs="Tahoma"/>
                <w:sz w:val="20"/>
                <w:szCs w:val="20"/>
              </w:rPr>
              <w:t>54*16*60</w:t>
            </w:r>
          </w:p>
        </w:tc>
        <w:tc>
          <w:tcPr>
            <w:tcW w:w="1725" w:type="dxa"/>
            <w:gridSpan w:val="2"/>
          </w:tcPr>
          <w:p w14:paraId="1B36C109" w14:textId="77777777" w:rsidR="00DF74D7" w:rsidRPr="0062263F" w:rsidRDefault="00DF74D7" w:rsidP="00DD2371">
            <w:pPr>
              <w:rPr>
                <w:rFonts w:ascii="Tahoma" w:hAnsi="Tahoma" w:cs="Tahoma"/>
                <w:sz w:val="20"/>
                <w:szCs w:val="20"/>
              </w:rPr>
            </w:pPr>
            <w:r w:rsidRPr="0062263F">
              <w:rPr>
                <w:rFonts w:ascii="Tahoma" w:hAnsi="Tahoma" w:cs="Tahoma"/>
                <w:sz w:val="20"/>
                <w:szCs w:val="20"/>
              </w:rPr>
              <w:t>1-30 дней</w:t>
            </w:r>
          </w:p>
        </w:tc>
        <w:tc>
          <w:tcPr>
            <w:tcW w:w="4083" w:type="dxa"/>
          </w:tcPr>
          <w:p w14:paraId="1E982F98" w14:textId="77777777" w:rsidR="00DF74D7" w:rsidRPr="0062263F" w:rsidRDefault="00DF74D7" w:rsidP="00DD2371">
            <w:pPr>
              <w:rPr>
                <w:rFonts w:ascii="Tahoma" w:hAnsi="Tahoma" w:cs="Tahoma"/>
                <w:sz w:val="20"/>
                <w:szCs w:val="20"/>
              </w:rPr>
            </w:pPr>
            <w:r w:rsidRPr="0062263F">
              <w:rPr>
                <w:rFonts w:ascii="Tahoma" w:hAnsi="Tahoma" w:cs="Tahoma"/>
                <w:sz w:val="20"/>
                <w:szCs w:val="20"/>
              </w:rPr>
              <w:t>71,00 руб. (в том числе НДС 11,83 руб.)</w:t>
            </w:r>
          </w:p>
        </w:tc>
      </w:tr>
      <w:tr w:rsidR="00DF74D7" w:rsidRPr="0062263F" w14:paraId="2F27D7F2" w14:textId="77777777" w:rsidTr="00DD2371">
        <w:tc>
          <w:tcPr>
            <w:tcW w:w="895" w:type="dxa"/>
            <w:vMerge/>
          </w:tcPr>
          <w:p w14:paraId="2C149A50" w14:textId="77777777" w:rsidR="00DF74D7" w:rsidRPr="0062263F" w:rsidRDefault="00DF74D7" w:rsidP="00DD2371">
            <w:pPr>
              <w:rPr>
                <w:rFonts w:ascii="Tahoma" w:hAnsi="Tahoma" w:cs="Tahoma"/>
                <w:sz w:val="20"/>
                <w:szCs w:val="20"/>
              </w:rPr>
            </w:pPr>
          </w:p>
        </w:tc>
        <w:tc>
          <w:tcPr>
            <w:tcW w:w="3073" w:type="dxa"/>
            <w:vMerge/>
          </w:tcPr>
          <w:p w14:paraId="2D70B426" w14:textId="77777777" w:rsidR="00DF74D7" w:rsidRPr="0062263F" w:rsidRDefault="00DF74D7" w:rsidP="00DD2371">
            <w:pPr>
              <w:rPr>
                <w:rFonts w:ascii="Tahoma" w:hAnsi="Tahoma" w:cs="Tahoma"/>
                <w:sz w:val="20"/>
                <w:szCs w:val="20"/>
              </w:rPr>
            </w:pPr>
          </w:p>
        </w:tc>
        <w:tc>
          <w:tcPr>
            <w:tcW w:w="1725" w:type="dxa"/>
            <w:gridSpan w:val="2"/>
          </w:tcPr>
          <w:p w14:paraId="57BBDB69" w14:textId="77777777" w:rsidR="00DF74D7" w:rsidRPr="0062263F" w:rsidRDefault="00DF74D7" w:rsidP="00DD2371">
            <w:pPr>
              <w:rPr>
                <w:rFonts w:ascii="Tahoma" w:hAnsi="Tahoma" w:cs="Tahoma"/>
                <w:sz w:val="20"/>
                <w:szCs w:val="20"/>
              </w:rPr>
            </w:pPr>
            <w:r>
              <w:rPr>
                <w:rFonts w:ascii="Tahoma" w:hAnsi="Tahoma" w:cs="Tahoma"/>
                <w:sz w:val="20"/>
                <w:szCs w:val="20"/>
              </w:rPr>
              <w:t>3</w:t>
            </w:r>
            <w:r w:rsidRPr="0062263F">
              <w:rPr>
                <w:rFonts w:ascii="Tahoma" w:hAnsi="Tahoma" w:cs="Tahoma"/>
                <w:sz w:val="20"/>
                <w:szCs w:val="20"/>
              </w:rPr>
              <w:t>1-365 дней</w:t>
            </w:r>
          </w:p>
        </w:tc>
        <w:tc>
          <w:tcPr>
            <w:tcW w:w="4083" w:type="dxa"/>
          </w:tcPr>
          <w:p w14:paraId="5CDD4188" w14:textId="77777777" w:rsidR="00DF74D7" w:rsidRPr="0062263F" w:rsidRDefault="00DF74D7" w:rsidP="00DD2371">
            <w:pPr>
              <w:rPr>
                <w:rFonts w:ascii="Tahoma" w:hAnsi="Tahoma" w:cs="Tahoma"/>
                <w:sz w:val="20"/>
                <w:szCs w:val="20"/>
              </w:rPr>
            </w:pPr>
            <w:r w:rsidRPr="0062263F">
              <w:rPr>
                <w:rFonts w:ascii="Tahoma" w:hAnsi="Tahoma" w:cs="Tahoma"/>
                <w:sz w:val="20"/>
                <w:szCs w:val="20"/>
              </w:rPr>
              <w:t>42,00 руб. (в том числе НДС 7,00 руб.)</w:t>
            </w:r>
          </w:p>
        </w:tc>
      </w:tr>
      <w:tr w:rsidR="00DF74D7" w:rsidRPr="0062263F" w14:paraId="20465FB5" w14:textId="77777777" w:rsidTr="00DD2371">
        <w:tc>
          <w:tcPr>
            <w:tcW w:w="895" w:type="dxa"/>
            <w:vMerge/>
          </w:tcPr>
          <w:p w14:paraId="26943B14" w14:textId="77777777" w:rsidR="00DF74D7" w:rsidRPr="0062263F" w:rsidRDefault="00DF74D7" w:rsidP="00DD2371">
            <w:pPr>
              <w:rPr>
                <w:rFonts w:ascii="Tahoma" w:hAnsi="Tahoma" w:cs="Tahoma"/>
                <w:sz w:val="20"/>
                <w:szCs w:val="20"/>
              </w:rPr>
            </w:pPr>
          </w:p>
        </w:tc>
        <w:tc>
          <w:tcPr>
            <w:tcW w:w="3073" w:type="dxa"/>
            <w:vMerge w:val="restart"/>
          </w:tcPr>
          <w:p w14:paraId="1FAB31C7" w14:textId="77777777" w:rsidR="00DF74D7" w:rsidRPr="0062263F" w:rsidRDefault="00DF74D7" w:rsidP="00DD2371">
            <w:pPr>
              <w:jc w:val="center"/>
              <w:rPr>
                <w:rFonts w:ascii="Tahoma" w:hAnsi="Tahoma" w:cs="Tahoma"/>
                <w:sz w:val="20"/>
                <w:szCs w:val="20"/>
              </w:rPr>
            </w:pPr>
            <w:r w:rsidRPr="0062263F">
              <w:rPr>
                <w:rFonts w:ascii="Tahoma" w:hAnsi="Tahoma" w:cs="Tahoma"/>
                <w:sz w:val="20"/>
                <w:szCs w:val="20"/>
              </w:rPr>
              <w:t>11*11*38</w:t>
            </w:r>
          </w:p>
        </w:tc>
        <w:tc>
          <w:tcPr>
            <w:tcW w:w="1725" w:type="dxa"/>
            <w:gridSpan w:val="2"/>
          </w:tcPr>
          <w:p w14:paraId="05A16C06" w14:textId="77777777" w:rsidR="00DF74D7" w:rsidRPr="0062263F" w:rsidRDefault="00DF74D7" w:rsidP="00DD2371">
            <w:pPr>
              <w:rPr>
                <w:rFonts w:ascii="Tahoma" w:hAnsi="Tahoma" w:cs="Tahoma"/>
                <w:sz w:val="20"/>
                <w:szCs w:val="20"/>
              </w:rPr>
            </w:pPr>
            <w:r w:rsidRPr="0062263F">
              <w:rPr>
                <w:rFonts w:ascii="Tahoma" w:hAnsi="Tahoma" w:cs="Tahoma"/>
                <w:sz w:val="20"/>
                <w:szCs w:val="20"/>
              </w:rPr>
              <w:t>1-30 дней</w:t>
            </w:r>
          </w:p>
        </w:tc>
        <w:tc>
          <w:tcPr>
            <w:tcW w:w="4083" w:type="dxa"/>
          </w:tcPr>
          <w:p w14:paraId="1CB9D5A8" w14:textId="77777777" w:rsidR="00DF74D7" w:rsidRPr="0062263F" w:rsidRDefault="00DF74D7" w:rsidP="00DD2371">
            <w:pPr>
              <w:rPr>
                <w:rFonts w:ascii="Tahoma" w:hAnsi="Tahoma" w:cs="Tahoma"/>
                <w:sz w:val="20"/>
                <w:szCs w:val="20"/>
              </w:rPr>
            </w:pPr>
            <w:r w:rsidRPr="0062263F">
              <w:rPr>
                <w:rFonts w:ascii="Tahoma" w:hAnsi="Tahoma" w:cs="Tahoma"/>
                <w:sz w:val="20"/>
                <w:szCs w:val="20"/>
              </w:rPr>
              <w:t>35,00 руб. (в том числе НДС 5,83 руб.)</w:t>
            </w:r>
          </w:p>
        </w:tc>
      </w:tr>
      <w:tr w:rsidR="00DF74D7" w:rsidRPr="0062263F" w14:paraId="57D965A7" w14:textId="77777777" w:rsidTr="00DD2371">
        <w:tc>
          <w:tcPr>
            <w:tcW w:w="895" w:type="dxa"/>
            <w:vMerge/>
          </w:tcPr>
          <w:p w14:paraId="46D255C8" w14:textId="77777777" w:rsidR="00DF74D7" w:rsidRPr="0062263F" w:rsidRDefault="00DF74D7" w:rsidP="00DD2371">
            <w:pPr>
              <w:rPr>
                <w:rFonts w:ascii="Tahoma" w:hAnsi="Tahoma" w:cs="Tahoma"/>
                <w:sz w:val="20"/>
                <w:szCs w:val="20"/>
              </w:rPr>
            </w:pPr>
          </w:p>
        </w:tc>
        <w:tc>
          <w:tcPr>
            <w:tcW w:w="3073" w:type="dxa"/>
            <w:vMerge/>
          </w:tcPr>
          <w:p w14:paraId="0E31A7E2" w14:textId="77777777" w:rsidR="00DF74D7" w:rsidRPr="0062263F" w:rsidRDefault="00DF74D7" w:rsidP="00DD2371">
            <w:pPr>
              <w:rPr>
                <w:rFonts w:ascii="Tahoma" w:hAnsi="Tahoma" w:cs="Tahoma"/>
                <w:sz w:val="20"/>
                <w:szCs w:val="20"/>
              </w:rPr>
            </w:pPr>
          </w:p>
        </w:tc>
        <w:tc>
          <w:tcPr>
            <w:tcW w:w="1725" w:type="dxa"/>
            <w:gridSpan w:val="2"/>
          </w:tcPr>
          <w:p w14:paraId="220254DB" w14:textId="77777777" w:rsidR="00DF74D7" w:rsidRPr="0062263F" w:rsidRDefault="00DF74D7" w:rsidP="00DD2371">
            <w:pPr>
              <w:rPr>
                <w:rFonts w:ascii="Tahoma" w:hAnsi="Tahoma" w:cs="Tahoma"/>
                <w:sz w:val="20"/>
                <w:szCs w:val="20"/>
              </w:rPr>
            </w:pPr>
            <w:r>
              <w:rPr>
                <w:rFonts w:ascii="Tahoma" w:hAnsi="Tahoma" w:cs="Tahoma"/>
                <w:sz w:val="20"/>
                <w:szCs w:val="20"/>
              </w:rPr>
              <w:t>3</w:t>
            </w:r>
            <w:r w:rsidRPr="0062263F">
              <w:rPr>
                <w:rFonts w:ascii="Tahoma" w:hAnsi="Tahoma" w:cs="Tahoma"/>
                <w:sz w:val="20"/>
                <w:szCs w:val="20"/>
              </w:rPr>
              <w:t>1-365 дней</w:t>
            </w:r>
          </w:p>
        </w:tc>
        <w:tc>
          <w:tcPr>
            <w:tcW w:w="4083" w:type="dxa"/>
          </w:tcPr>
          <w:p w14:paraId="4E7E2189" w14:textId="77777777" w:rsidR="00DF74D7" w:rsidRPr="0062263F" w:rsidRDefault="00DF74D7" w:rsidP="00DD2371">
            <w:pPr>
              <w:rPr>
                <w:rFonts w:ascii="Tahoma" w:hAnsi="Tahoma" w:cs="Tahoma"/>
                <w:sz w:val="20"/>
                <w:szCs w:val="20"/>
              </w:rPr>
            </w:pPr>
            <w:r w:rsidRPr="0062263F">
              <w:rPr>
                <w:rFonts w:ascii="Tahoma" w:hAnsi="Tahoma" w:cs="Tahoma"/>
                <w:sz w:val="20"/>
                <w:szCs w:val="20"/>
              </w:rPr>
              <w:t>17,00 руб. (в том числе НДС 2,83 руб.)</w:t>
            </w:r>
          </w:p>
        </w:tc>
      </w:tr>
      <w:tr w:rsidR="00DF74D7" w:rsidRPr="0062263F" w14:paraId="52A7ACA2" w14:textId="77777777" w:rsidTr="00DD2371">
        <w:tc>
          <w:tcPr>
            <w:tcW w:w="895" w:type="dxa"/>
            <w:vMerge/>
          </w:tcPr>
          <w:p w14:paraId="4A1D8C30" w14:textId="77777777" w:rsidR="00DF74D7" w:rsidRPr="0062263F" w:rsidRDefault="00DF74D7" w:rsidP="00DD2371">
            <w:pPr>
              <w:rPr>
                <w:rFonts w:ascii="Tahoma" w:hAnsi="Tahoma" w:cs="Tahoma"/>
                <w:sz w:val="20"/>
                <w:szCs w:val="20"/>
              </w:rPr>
            </w:pPr>
          </w:p>
        </w:tc>
        <w:tc>
          <w:tcPr>
            <w:tcW w:w="3073" w:type="dxa"/>
            <w:vMerge w:val="restart"/>
          </w:tcPr>
          <w:p w14:paraId="6A97E314" w14:textId="77777777" w:rsidR="00DF74D7" w:rsidRPr="0062263F" w:rsidRDefault="00DF74D7" w:rsidP="00DD2371">
            <w:pPr>
              <w:jc w:val="center"/>
              <w:rPr>
                <w:rFonts w:ascii="Tahoma" w:hAnsi="Tahoma" w:cs="Tahoma"/>
                <w:sz w:val="20"/>
                <w:szCs w:val="20"/>
              </w:rPr>
            </w:pPr>
            <w:r w:rsidRPr="0062263F">
              <w:rPr>
                <w:rFonts w:ascii="Tahoma" w:hAnsi="Tahoma" w:cs="Tahoma"/>
                <w:sz w:val="20"/>
                <w:szCs w:val="20"/>
              </w:rPr>
              <w:t>11*25*38</w:t>
            </w:r>
          </w:p>
        </w:tc>
        <w:tc>
          <w:tcPr>
            <w:tcW w:w="1725" w:type="dxa"/>
            <w:gridSpan w:val="2"/>
          </w:tcPr>
          <w:p w14:paraId="5FEF67B5" w14:textId="77777777" w:rsidR="00DF74D7" w:rsidRPr="0062263F" w:rsidRDefault="00DF74D7" w:rsidP="00DD2371">
            <w:pPr>
              <w:rPr>
                <w:rFonts w:ascii="Tahoma" w:hAnsi="Tahoma" w:cs="Tahoma"/>
                <w:sz w:val="20"/>
                <w:szCs w:val="20"/>
              </w:rPr>
            </w:pPr>
            <w:r w:rsidRPr="0062263F">
              <w:rPr>
                <w:rFonts w:ascii="Tahoma" w:hAnsi="Tahoma" w:cs="Tahoma"/>
                <w:sz w:val="20"/>
                <w:szCs w:val="20"/>
              </w:rPr>
              <w:t>1-30 дней</w:t>
            </w:r>
          </w:p>
        </w:tc>
        <w:tc>
          <w:tcPr>
            <w:tcW w:w="4083" w:type="dxa"/>
          </w:tcPr>
          <w:p w14:paraId="7E6A64BD" w14:textId="77777777" w:rsidR="00DF74D7" w:rsidRPr="0062263F" w:rsidRDefault="00DF74D7" w:rsidP="00DD2371">
            <w:pPr>
              <w:rPr>
                <w:rFonts w:ascii="Tahoma" w:hAnsi="Tahoma" w:cs="Tahoma"/>
                <w:sz w:val="20"/>
                <w:szCs w:val="20"/>
              </w:rPr>
            </w:pPr>
            <w:r w:rsidRPr="0062263F">
              <w:rPr>
                <w:rFonts w:ascii="Tahoma" w:hAnsi="Tahoma" w:cs="Tahoma"/>
                <w:sz w:val="20"/>
                <w:szCs w:val="20"/>
              </w:rPr>
              <w:t>40,00 руб. (в том числе НДС 6,67 руб.)</w:t>
            </w:r>
          </w:p>
        </w:tc>
      </w:tr>
      <w:tr w:rsidR="00DF74D7" w:rsidRPr="0062263F" w14:paraId="4F16BB45" w14:textId="77777777" w:rsidTr="00DD2371">
        <w:tc>
          <w:tcPr>
            <w:tcW w:w="895" w:type="dxa"/>
            <w:vMerge/>
          </w:tcPr>
          <w:p w14:paraId="05969401" w14:textId="77777777" w:rsidR="00DF74D7" w:rsidRPr="0062263F" w:rsidRDefault="00DF74D7" w:rsidP="00DD2371">
            <w:pPr>
              <w:rPr>
                <w:rFonts w:ascii="Tahoma" w:hAnsi="Tahoma" w:cs="Tahoma"/>
                <w:sz w:val="20"/>
                <w:szCs w:val="20"/>
              </w:rPr>
            </w:pPr>
          </w:p>
        </w:tc>
        <w:tc>
          <w:tcPr>
            <w:tcW w:w="3073" w:type="dxa"/>
            <w:vMerge/>
          </w:tcPr>
          <w:p w14:paraId="7CB892F9" w14:textId="77777777" w:rsidR="00DF74D7" w:rsidRPr="0062263F" w:rsidRDefault="00DF74D7" w:rsidP="00DD2371">
            <w:pPr>
              <w:rPr>
                <w:rFonts w:ascii="Tahoma" w:hAnsi="Tahoma" w:cs="Tahoma"/>
                <w:sz w:val="20"/>
                <w:szCs w:val="20"/>
              </w:rPr>
            </w:pPr>
          </w:p>
        </w:tc>
        <w:tc>
          <w:tcPr>
            <w:tcW w:w="1725" w:type="dxa"/>
            <w:gridSpan w:val="2"/>
          </w:tcPr>
          <w:p w14:paraId="4FEB4587" w14:textId="77777777" w:rsidR="00DF74D7" w:rsidRPr="0062263F" w:rsidRDefault="00DF74D7" w:rsidP="00DD2371">
            <w:pPr>
              <w:rPr>
                <w:rFonts w:ascii="Tahoma" w:hAnsi="Tahoma" w:cs="Tahoma"/>
                <w:sz w:val="20"/>
                <w:szCs w:val="20"/>
              </w:rPr>
            </w:pPr>
            <w:r>
              <w:rPr>
                <w:rFonts w:ascii="Tahoma" w:hAnsi="Tahoma" w:cs="Tahoma"/>
                <w:sz w:val="20"/>
                <w:szCs w:val="20"/>
              </w:rPr>
              <w:t>3</w:t>
            </w:r>
            <w:r w:rsidRPr="0062263F">
              <w:rPr>
                <w:rFonts w:ascii="Tahoma" w:hAnsi="Tahoma" w:cs="Tahoma"/>
                <w:sz w:val="20"/>
                <w:szCs w:val="20"/>
              </w:rPr>
              <w:t>1-365 дней</w:t>
            </w:r>
          </w:p>
        </w:tc>
        <w:tc>
          <w:tcPr>
            <w:tcW w:w="4083" w:type="dxa"/>
          </w:tcPr>
          <w:p w14:paraId="0FD73B9D" w14:textId="77777777" w:rsidR="00DF74D7" w:rsidRPr="0062263F" w:rsidRDefault="00DF74D7" w:rsidP="00DD2371">
            <w:pPr>
              <w:rPr>
                <w:rFonts w:ascii="Tahoma" w:hAnsi="Tahoma" w:cs="Tahoma"/>
                <w:sz w:val="20"/>
                <w:szCs w:val="20"/>
              </w:rPr>
            </w:pPr>
            <w:r w:rsidRPr="0062263F">
              <w:rPr>
                <w:rFonts w:ascii="Tahoma" w:hAnsi="Tahoma" w:cs="Tahoma"/>
                <w:sz w:val="20"/>
                <w:szCs w:val="20"/>
              </w:rPr>
              <w:t>21,00 руб. (в том числе НДС 3,50 руб.)</w:t>
            </w:r>
          </w:p>
        </w:tc>
      </w:tr>
      <w:tr w:rsidR="00DF74D7" w:rsidRPr="0062263F" w14:paraId="3A89081C" w14:textId="77777777" w:rsidTr="00DD2371">
        <w:tc>
          <w:tcPr>
            <w:tcW w:w="895" w:type="dxa"/>
            <w:vMerge/>
          </w:tcPr>
          <w:p w14:paraId="361B199D" w14:textId="77777777" w:rsidR="00DF74D7" w:rsidRPr="0062263F" w:rsidRDefault="00DF74D7" w:rsidP="00DD2371">
            <w:pPr>
              <w:rPr>
                <w:rFonts w:ascii="Tahoma" w:hAnsi="Tahoma" w:cs="Tahoma"/>
                <w:sz w:val="20"/>
                <w:szCs w:val="20"/>
              </w:rPr>
            </w:pPr>
          </w:p>
        </w:tc>
        <w:tc>
          <w:tcPr>
            <w:tcW w:w="3073" w:type="dxa"/>
            <w:vMerge w:val="restart"/>
          </w:tcPr>
          <w:p w14:paraId="48B263D1" w14:textId="77777777" w:rsidR="00DF74D7" w:rsidRPr="0062263F" w:rsidRDefault="00DF74D7" w:rsidP="00DD2371">
            <w:pPr>
              <w:jc w:val="center"/>
              <w:rPr>
                <w:rFonts w:ascii="Tahoma" w:hAnsi="Tahoma" w:cs="Tahoma"/>
                <w:sz w:val="20"/>
                <w:szCs w:val="20"/>
              </w:rPr>
            </w:pPr>
            <w:r w:rsidRPr="0062263F">
              <w:rPr>
                <w:rFonts w:ascii="Tahoma" w:hAnsi="Tahoma" w:cs="Tahoma"/>
                <w:sz w:val="20"/>
                <w:szCs w:val="20"/>
              </w:rPr>
              <w:t>24*25*38</w:t>
            </w:r>
          </w:p>
        </w:tc>
        <w:tc>
          <w:tcPr>
            <w:tcW w:w="1725" w:type="dxa"/>
            <w:gridSpan w:val="2"/>
          </w:tcPr>
          <w:p w14:paraId="7EAC2336" w14:textId="77777777" w:rsidR="00DF74D7" w:rsidRPr="0062263F" w:rsidRDefault="00DF74D7" w:rsidP="00DD2371">
            <w:pPr>
              <w:rPr>
                <w:rFonts w:ascii="Tahoma" w:hAnsi="Tahoma" w:cs="Tahoma"/>
                <w:sz w:val="20"/>
                <w:szCs w:val="20"/>
              </w:rPr>
            </w:pPr>
            <w:r w:rsidRPr="0062263F">
              <w:rPr>
                <w:rFonts w:ascii="Tahoma" w:hAnsi="Tahoma" w:cs="Tahoma"/>
                <w:sz w:val="20"/>
                <w:szCs w:val="20"/>
              </w:rPr>
              <w:t>1-30 дней</w:t>
            </w:r>
          </w:p>
        </w:tc>
        <w:tc>
          <w:tcPr>
            <w:tcW w:w="4083" w:type="dxa"/>
          </w:tcPr>
          <w:p w14:paraId="2CCFCA1A" w14:textId="77777777" w:rsidR="00DF74D7" w:rsidRPr="0062263F" w:rsidRDefault="00DF74D7" w:rsidP="00DD2371">
            <w:pPr>
              <w:rPr>
                <w:rFonts w:ascii="Tahoma" w:hAnsi="Tahoma" w:cs="Tahoma"/>
                <w:sz w:val="20"/>
                <w:szCs w:val="20"/>
              </w:rPr>
            </w:pPr>
            <w:r w:rsidRPr="0062263F">
              <w:rPr>
                <w:rFonts w:ascii="Tahoma" w:hAnsi="Tahoma" w:cs="Tahoma"/>
                <w:sz w:val="20"/>
                <w:szCs w:val="20"/>
              </w:rPr>
              <w:t>57,00 руб. (в том числе НДС 9,50 руб.)</w:t>
            </w:r>
          </w:p>
        </w:tc>
      </w:tr>
      <w:tr w:rsidR="00DF74D7" w:rsidRPr="0062263F" w14:paraId="65279105" w14:textId="77777777" w:rsidTr="00DD2371">
        <w:tc>
          <w:tcPr>
            <w:tcW w:w="895" w:type="dxa"/>
            <w:vMerge/>
          </w:tcPr>
          <w:p w14:paraId="3608EAA5" w14:textId="77777777" w:rsidR="00DF74D7" w:rsidRPr="0062263F" w:rsidRDefault="00DF74D7" w:rsidP="00DD2371">
            <w:pPr>
              <w:rPr>
                <w:rFonts w:ascii="Tahoma" w:hAnsi="Tahoma" w:cs="Tahoma"/>
                <w:sz w:val="20"/>
                <w:szCs w:val="20"/>
              </w:rPr>
            </w:pPr>
          </w:p>
        </w:tc>
        <w:tc>
          <w:tcPr>
            <w:tcW w:w="3073" w:type="dxa"/>
            <w:vMerge/>
          </w:tcPr>
          <w:p w14:paraId="0F1E98EE" w14:textId="77777777" w:rsidR="00DF74D7" w:rsidRPr="0062263F" w:rsidRDefault="00DF74D7" w:rsidP="00DD2371">
            <w:pPr>
              <w:rPr>
                <w:rFonts w:ascii="Tahoma" w:hAnsi="Tahoma" w:cs="Tahoma"/>
                <w:sz w:val="20"/>
                <w:szCs w:val="20"/>
              </w:rPr>
            </w:pPr>
          </w:p>
        </w:tc>
        <w:tc>
          <w:tcPr>
            <w:tcW w:w="1725" w:type="dxa"/>
            <w:gridSpan w:val="2"/>
          </w:tcPr>
          <w:p w14:paraId="23DDA5E6" w14:textId="77777777" w:rsidR="00DF74D7" w:rsidRPr="0062263F" w:rsidRDefault="00DF74D7" w:rsidP="00DD2371">
            <w:pPr>
              <w:rPr>
                <w:rFonts w:ascii="Tahoma" w:hAnsi="Tahoma" w:cs="Tahoma"/>
                <w:sz w:val="20"/>
                <w:szCs w:val="20"/>
              </w:rPr>
            </w:pPr>
            <w:r>
              <w:rPr>
                <w:rFonts w:ascii="Tahoma" w:hAnsi="Tahoma" w:cs="Tahoma"/>
                <w:sz w:val="20"/>
                <w:szCs w:val="20"/>
              </w:rPr>
              <w:t>3</w:t>
            </w:r>
            <w:r w:rsidRPr="0062263F">
              <w:rPr>
                <w:rFonts w:ascii="Tahoma" w:hAnsi="Tahoma" w:cs="Tahoma"/>
                <w:sz w:val="20"/>
                <w:szCs w:val="20"/>
              </w:rPr>
              <w:t>1-365 дней</w:t>
            </w:r>
          </w:p>
        </w:tc>
        <w:tc>
          <w:tcPr>
            <w:tcW w:w="4083" w:type="dxa"/>
          </w:tcPr>
          <w:p w14:paraId="09322E51" w14:textId="77777777" w:rsidR="00DF74D7" w:rsidRPr="0062263F" w:rsidRDefault="00DF74D7" w:rsidP="00DD2371">
            <w:pPr>
              <w:rPr>
                <w:rFonts w:ascii="Tahoma" w:hAnsi="Tahoma" w:cs="Tahoma"/>
                <w:sz w:val="20"/>
                <w:szCs w:val="20"/>
              </w:rPr>
            </w:pPr>
            <w:r w:rsidRPr="0062263F">
              <w:rPr>
                <w:rFonts w:ascii="Tahoma" w:hAnsi="Tahoma" w:cs="Tahoma"/>
                <w:sz w:val="20"/>
                <w:szCs w:val="20"/>
              </w:rPr>
              <w:t>29,00 руб. (в том числе НДС 4,83 руб.)</w:t>
            </w:r>
          </w:p>
        </w:tc>
      </w:tr>
      <w:tr w:rsidR="00DF74D7" w:rsidRPr="0062263F" w14:paraId="086D6AB8" w14:textId="77777777" w:rsidTr="00DD2371">
        <w:tc>
          <w:tcPr>
            <w:tcW w:w="895" w:type="dxa"/>
            <w:vMerge/>
          </w:tcPr>
          <w:p w14:paraId="39F3647A" w14:textId="77777777" w:rsidR="00DF74D7" w:rsidRPr="0062263F" w:rsidRDefault="00DF74D7" w:rsidP="00DD2371">
            <w:pPr>
              <w:rPr>
                <w:rFonts w:ascii="Tahoma" w:hAnsi="Tahoma" w:cs="Tahoma"/>
                <w:sz w:val="20"/>
                <w:szCs w:val="20"/>
              </w:rPr>
            </w:pPr>
          </w:p>
        </w:tc>
        <w:tc>
          <w:tcPr>
            <w:tcW w:w="3073" w:type="dxa"/>
            <w:vMerge w:val="restart"/>
          </w:tcPr>
          <w:p w14:paraId="4962793B" w14:textId="77777777" w:rsidR="00DF74D7" w:rsidRPr="0062263F" w:rsidRDefault="00DF74D7" w:rsidP="00DD2371">
            <w:pPr>
              <w:jc w:val="center"/>
              <w:rPr>
                <w:rFonts w:ascii="Tahoma" w:hAnsi="Tahoma" w:cs="Tahoma"/>
                <w:sz w:val="20"/>
                <w:szCs w:val="20"/>
              </w:rPr>
            </w:pPr>
            <w:r w:rsidRPr="0062263F">
              <w:rPr>
                <w:rFonts w:ascii="Tahoma" w:hAnsi="Tahoma" w:cs="Tahoma"/>
                <w:sz w:val="20"/>
                <w:szCs w:val="20"/>
              </w:rPr>
              <w:t>60*25*38</w:t>
            </w:r>
          </w:p>
        </w:tc>
        <w:tc>
          <w:tcPr>
            <w:tcW w:w="1725" w:type="dxa"/>
            <w:gridSpan w:val="2"/>
          </w:tcPr>
          <w:p w14:paraId="61D1AF43" w14:textId="77777777" w:rsidR="00DF74D7" w:rsidRPr="0062263F" w:rsidRDefault="00DF74D7" w:rsidP="00DD2371">
            <w:pPr>
              <w:rPr>
                <w:rFonts w:ascii="Tahoma" w:hAnsi="Tahoma" w:cs="Tahoma"/>
                <w:sz w:val="20"/>
                <w:szCs w:val="20"/>
              </w:rPr>
            </w:pPr>
            <w:r w:rsidRPr="0062263F">
              <w:rPr>
                <w:rFonts w:ascii="Tahoma" w:hAnsi="Tahoma" w:cs="Tahoma"/>
                <w:sz w:val="20"/>
                <w:szCs w:val="20"/>
              </w:rPr>
              <w:t>1-30 дней</w:t>
            </w:r>
          </w:p>
        </w:tc>
        <w:tc>
          <w:tcPr>
            <w:tcW w:w="4083" w:type="dxa"/>
          </w:tcPr>
          <w:p w14:paraId="443D8D95" w14:textId="77777777" w:rsidR="00DF74D7" w:rsidRPr="0062263F" w:rsidRDefault="00DF74D7" w:rsidP="00DD2371">
            <w:pPr>
              <w:rPr>
                <w:rFonts w:ascii="Tahoma" w:hAnsi="Tahoma" w:cs="Tahoma"/>
                <w:sz w:val="20"/>
                <w:szCs w:val="20"/>
              </w:rPr>
            </w:pPr>
            <w:r w:rsidRPr="0062263F">
              <w:rPr>
                <w:rFonts w:ascii="Tahoma" w:hAnsi="Tahoma" w:cs="Tahoma"/>
                <w:sz w:val="20"/>
                <w:szCs w:val="20"/>
              </w:rPr>
              <w:t>71,00 руб. (в том числе НДС 11,83 руб.)</w:t>
            </w:r>
          </w:p>
        </w:tc>
      </w:tr>
      <w:tr w:rsidR="00DF74D7" w:rsidRPr="0062263F" w14:paraId="1AD139AA" w14:textId="77777777" w:rsidTr="00DD2371">
        <w:tc>
          <w:tcPr>
            <w:tcW w:w="895" w:type="dxa"/>
            <w:vMerge/>
          </w:tcPr>
          <w:p w14:paraId="68A3C34C" w14:textId="77777777" w:rsidR="00DF74D7" w:rsidRPr="0062263F" w:rsidRDefault="00DF74D7" w:rsidP="00DD2371">
            <w:pPr>
              <w:rPr>
                <w:rFonts w:ascii="Tahoma" w:hAnsi="Tahoma" w:cs="Tahoma"/>
                <w:sz w:val="20"/>
                <w:szCs w:val="20"/>
              </w:rPr>
            </w:pPr>
          </w:p>
        </w:tc>
        <w:tc>
          <w:tcPr>
            <w:tcW w:w="3073" w:type="dxa"/>
            <w:vMerge/>
          </w:tcPr>
          <w:p w14:paraId="6D882C20" w14:textId="77777777" w:rsidR="00DF74D7" w:rsidRPr="0062263F" w:rsidRDefault="00DF74D7" w:rsidP="00DD2371">
            <w:pPr>
              <w:rPr>
                <w:rFonts w:ascii="Tahoma" w:hAnsi="Tahoma" w:cs="Tahoma"/>
                <w:sz w:val="20"/>
                <w:szCs w:val="20"/>
              </w:rPr>
            </w:pPr>
          </w:p>
        </w:tc>
        <w:tc>
          <w:tcPr>
            <w:tcW w:w="1725" w:type="dxa"/>
            <w:gridSpan w:val="2"/>
          </w:tcPr>
          <w:p w14:paraId="1C11A896" w14:textId="77777777" w:rsidR="00DF74D7" w:rsidRPr="0062263F" w:rsidRDefault="00DF74D7" w:rsidP="00DD2371">
            <w:pPr>
              <w:rPr>
                <w:rFonts w:ascii="Tahoma" w:hAnsi="Tahoma" w:cs="Tahoma"/>
                <w:sz w:val="20"/>
                <w:szCs w:val="20"/>
              </w:rPr>
            </w:pPr>
            <w:r>
              <w:rPr>
                <w:rFonts w:ascii="Tahoma" w:hAnsi="Tahoma" w:cs="Tahoma"/>
                <w:sz w:val="20"/>
                <w:szCs w:val="20"/>
              </w:rPr>
              <w:t>3</w:t>
            </w:r>
            <w:r w:rsidRPr="0062263F">
              <w:rPr>
                <w:rFonts w:ascii="Tahoma" w:hAnsi="Tahoma" w:cs="Tahoma"/>
                <w:sz w:val="20"/>
                <w:szCs w:val="20"/>
              </w:rPr>
              <w:t>1-365 дней</w:t>
            </w:r>
          </w:p>
        </w:tc>
        <w:tc>
          <w:tcPr>
            <w:tcW w:w="4083" w:type="dxa"/>
          </w:tcPr>
          <w:p w14:paraId="6C7D37C4" w14:textId="77777777" w:rsidR="00DF74D7" w:rsidRPr="0062263F" w:rsidRDefault="00DF74D7" w:rsidP="00DD2371">
            <w:pPr>
              <w:rPr>
                <w:rFonts w:ascii="Tahoma" w:hAnsi="Tahoma" w:cs="Tahoma"/>
                <w:sz w:val="20"/>
                <w:szCs w:val="20"/>
              </w:rPr>
            </w:pPr>
            <w:r w:rsidRPr="0062263F">
              <w:rPr>
                <w:rFonts w:ascii="Tahoma" w:hAnsi="Tahoma" w:cs="Tahoma"/>
                <w:sz w:val="20"/>
                <w:szCs w:val="20"/>
              </w:rPr>
              <w:t>42,00 руб. (в том числе НДС 7,00 руб.)</w:t>
            </w:r>
          </w:p>
        </w:tc>
      </w:tr>
      <w:tr w:rsidR="00DF74D7" w:rsidRPr="0062263F" w14:paraId="40F27FE9" w14:textId="77777777" w:rsidTr="00DD2371">
        <w:tc>
          <w:tcPr>
            <w:tcW w:w="895" w:type="dxa"/>
            <w:vMerge/>
          </w:tcPr>
          <w:p w14:paraId="679DF21E" w14:textId="77777777" w:rsidR="00DF74D7" w:rsidRPr="0062263F" w:rsidRDefault="00DF74D7" w:rsidP="00DD2371">
            <w:pPr>
              <w:rPr>
                <w:rFonts w:ascii="Tahoma" w:hAnsi="Tahoma" w:cs="Tahoma"/>
                <w:sz w:val="20"/>
                <w:szCs w:val="20"/>
              </w:rPr>
            </w:pPr>
          </w:p>
        </w:tc>
        <w:tc>
          <w:tcPr>
            <w:tcW w:w="3073" w:type="dxa"/>
            <w:vMerge w:val="restart"/>
          </w:tcPr>
          <w:p w14:paraId="315E4E0E" w14:textId="77777777" w:rsidR="00DF74D7" w:rsidRPr="0062263F" w:rsidRDefault="00DF74D7" w:rsidP="00DD2371">
            <w:pPr>
              <w:jc w:val="center"/>
              <w:rPr>
                <w:rFonts w:ascii="Tahoma" w:hAnsi="Tahoma" w:cs="Tahoma"/>
                <w:sz w:val="20"/>
                <w:szCs w:val="20"/>
              </w:rPr>
            </w:pPr>
            <w:r w:rsidRPr="0062263F">
              <w:rPr>
                <w:rFonts w:ascii="Tahoma" w:hAnsi="Tahoma" w:cs="Tahoma"/>
                <w:sz w:val="20"/>
                <w:szCs w:val="20"/>
              </w:rPr>
              <w:t>12,5*14,5*37</w:t>
            </w:r>
          </w:p>
        </w:tc>
        <w:tc>
          <w:tcPr>
            <w:tcW w:w="1725" w:type="dxa"/>
            <w:gridSpan w:val="2"/>
          </w:tcPr>
          <w:p w14:paraId="09E52ACF" w14:textId="77777777" w:rsidR="00DF74D7" w:rsidRPr="0062263F" w:rsidRDefault="00DF74D7" w:rsidP="00DD2371">
            <w:pPr>
              <w:rPr>
                <w:rFonts w:ascii="Tahoma" w:hAnsi="Tahoma" w:cs="Tahoma"/>
                <w:sz w:val="20"/>
                <w:szCs w:val="20"/>
              </w:rPr>
            </w:pPr>
            <w:r w:rsidRPr="0062263F">
              <w:rPr>
                <w:rFonts w:ascii="Tahoma" w:hAnsi="Tahoma" w:cs="Tahoma"/>
                <w:sz w:val="20"/>
                <w:szCs w:val="20"/>
              </w:rPr>
              <w:t>1-30 дней</w:t>
            </w:r>
          </w:p>
        </w:tc>
        <w:tc>
          <w:tcPr>
            <w:tcW w:w="4083" w:type="dxa"/>
          </w:tcPr>
          <w:p w14:paraId="37A7F1C2" w14:textId="77777777" w:rsidR="00DF74D7" w:rsidRPr="0062263F" w:rsidRDefault="00DF74D7" w:rsidP="00DD2371">
            <w:pPr>
              <w:rPr>
                <w:rFonts w:ascii="Tahoma" w:hAnsi="Tahoma" w:cs="Tahoma"/>
                <w:sz w:val="20"/>
                <w:szCs w:val="20"/>
              </w:rPr>
            </w:pPr>
            <w:r w:rsidRPr="0062263F">
              <w:rPr>
                <w:rFonts w:ascii="Tahoma" w:hAnsi="Tahoma" w:cs="Tahoma"/>
                <w:sz w:val="20"/>
                <w:szCs w:val="20"/>
              </w:rPr>
              <w:t>37,00 руб. (в том числе НДС 6,17 руб.)</w:t>
            </w:r>
          </w:p>
        </w:tc>
      </w:tr>
      <w:tr w:rsidR="00DF74D7" w:rsidRPr="0062263F" w14:paraId="7822C0D5" w14:textId="77777777" w:rsidTr="00DD2371">
        <w:tc>
          <w:tcPr>
            <w:tcW w:w="895" w:type="dxa"/>
            <w:vMerge/>
          </w:tcPr>
          <w:p w14:paraId="3221DEB8" w14:textId="77777777" w:rsidR="00DF74D7" w:rsidRPr="0062263F" w:rsidRDefault="00DF74D7" w:rsidP="00DD2371">
            <w:pPr>
              <w:rPr>
                <w:rFonts w:ascii="Tahoma" w:hAnsi="Tahoma" w:cs="Tahoma"/>
                <w:sz w:val="20"/>
                <w:szCs w:val="20"/>
              </w:rPr>
            </w:pPr>
          </w:p>
        </w:tc>
        <w:tc>
          <w:tcPr>
            <w:tcW w:w="3073" w:type="dxa"/>
            <w:vMerge/>
          </w:tcPr>
          <w:p w14:paraId="586A00D9" w14:textId="77777777" w:rsidR="00DF74D7" w:rsidRPr="0062263F" w:rsidRDefault="00DF74D7" w:rsidP="00DD2371">
            <w:pPr>
              <w:rPr>
                <w:rFonts w:ascii="Tahoma" w:hAnsi="Tahoma" w:cs="Tahoma"/>
                <w:sz w:val="20"/>
                <w:szCs w:val="20"/>
              </w:rPr>
            </w:pPr>
          </w:p>
        </w:tc>
        <w:tc>
          <w:tcPr>
            <w:tcW w:w="1725" w:type="dxa"/>
            <w:gridSpan w:val="2"/>
          </w:tcPr>
          <w:p w14:paraId="75AF7406" w14:textId="77777777" w:rsidR="00DF74D7" w:rsidRPr="0062263F" w:rsidRDefault="00DF74D7" w:rsidP="00DD2371">
            <w:pPr>
              <w:rPr>
                <w:rFonts w:ascii="Tahoma" w:hAnsi="Tahoma" w:cs="Tahoma"/>
                <w:sz w:val="20"/>
                <w:szCs w:val="20"/>
              </w:rPr>
            </w:pPr>
            <w:r>
              <w:rPr>
                <w:rFonts w:ascii="Tahoma" w:hAnsi="Tahoma" w:cs="Tahoma"/>
                <w:sz w:val="20"/>
                <w:szCs w:val="20"/>
              </w:rPr>
              <w:t>3</w:t>
            </w:r>
            <w:r w:rsidRPr="0062263F">
              <w:rPr>
                <w:rFonts w:ascii="Tahoma" w:hAnsi="Tahoma" w:cs="Tahoma"/>
                <w:sz w:val="20"/>
                <w:szCs w:val="20"/>
              </w:rPr>
              <w:t>1-365 дней</w:t>
            </w:r>
          </w:p>
        </w:tc>
        <w:tc>
          <w:tcPr>
            <w:tcW w:w="4083" w:type="dxa"/>
          </w:tcPr>
          <w:p w14:paraId="6702F94C" w14:textId="77777777" w:rsidR="00DF74D7" w:rsidRPr="0062263F" w:rsidRDefault="00DF74D7" w:rsidP="00DD2371">
            <w:pPr>
              <w:rPr>
                <w:rFonts w:ascii="Tahoma" w:hAnsi="Tahoma" w:cs="Tahoma"/>
                <w:sz w:val="20"/>
                <w:szCs w:val="20"/>
              </w:rPr>
            </w:pPr>
            <w:r w:rsidRPr="0062263F">
              <w:rPr>
                <w:rFonts w:ascii="Tahoma" w:hAnsi="Tahoma" w:cs="Tahoma"/>
                <w:sz w:val="20"/>
                <w:szCs w:val="20"/>
              </w:rPr>
              <w:t>18,00 руб. (в том числе НДС 3,00 руб.)</w:t>
            </w:r>
          </w:p>
        </w:tc>
      </w:tr>
      <w:tr w:rsidR="00DF74D7" w:rsidRPr="0062263F" w14:paraId="60FC6BE9" w14:textId="77777777" w:rsidTr="00DD2371">
        <w:tc>
          <w:tcPr>
            <w:tcW w:w="895" w:type="dxa"/>
            <w:vMerge/>
          </w:tcPr>
          <w:p w14:paraId="684C9E9E" w14:textId="77777777" w:rsidR="00DF74D7" w:rsidRPr="0062263F" w:rsidRDefault="00DF74D7" w:rsidP="00DD2371">
            <w:pPr>
              <w:rPr>
                <w:rFonts w:ascii="Tahoma" w:hAnsi="Tahoma" w:cs="Tahoma"/>
                <w:sz w:val="20"/>
                <w:szCs w:val="20"/>
              </w:rPr>
            </w:pPr>
          </w:p>
        </w:tc>
        <w:tc>
          <w:tcPr>
            <w:tcW w:w="3073" w:type="dxa"/>
            <w:vMerge w:val="restart"/>
          </w:tcPr>
          <w:p w14:paraId="5E6DFB53" w14:textId="77777777" w:rsidR="00DF74D7" w:rsidRPr="0062263F" w:rsidRDefault="00DF74D7" w:rsidP="00DD2371">
            <w:pPr>
              <w:jc w:val="center"/>
              <w:rPr>
                <w:rFonts w:ascii="Tahoma" w:hAnsi="Tahoma" w:cs="Tahoma"/>
                <w:sz w:val="20"/>
                <w:szCs w:val="20"/>
              </w:rPr>
            </w:pPr>
            <w:r w:rsidRPr="0062263F">
              <w:rPr>
                <w:rFonts w:ascii="Tahoma" w:hAnsi="Tahoma" w:cs="Tahoma"/>
                <w:sz w:val="20"/>
                <w:szCs w:val="20"/>
              </w:rPr>
              <w:t>12,5*29,2*37</w:t>
            </w:r>
          </w:p>
        </w:tc>
        <w:tc>
          <w:tcPr>
            <w:tcW w:w="1725" w:type="dxa"/>
            <w:gridSpan w:val="2"/>
          </w:tcPr>
          <w:p w14:paraId="3C4F7685" w14:textId="77777777" w:rsidR="00DF74D7" w:rsidRPr="0062263F" w:rsidRDefault="00DF74D7" w:rsidP="00DD2371">
            <w:pPr>
              <w:rPr>
                <w:rFonts w:ascii="Tahoma" w:hAnsi="Tahoma" w:cs="Tahoma"/>
                <w:sz w:val="20"/>
                <w:szCs w:val="20"/>
              </w:rPr>
            </w:pPr>
            <w:r w:rsidRPr="0062263F">
              <w:rPr>
                <w:rFonts w:ascii="Tahoma" w:hAnsi="Tahoma" w:cs="Tahoma"/>
                <w:sz w:val="20"/>
                <w:szCs w:val="20"/>
              </w:rPr>
              <w:t>1-30 дней</w:t>
            </w:r>
          </w:p>
        </w:tc>
        <w:tc>
          <w:tcPr>
            <w:tcW w:w="4083" w:type="dxa"/>
          </w:tcPr>
          <w:p w14:paraId="4F829E36" w14:textId="77777777" w:rsidR="00DF74D7" w:rsidRPr="0062263F" w:rsidRDefault="00DF74D7" w:rsidP="00DD2371">
            <w:pPr>
              <w:rPr>
                <w:rFonts w:ascii="Tahoma" w:hAnsi="Tahoma" w:cs="Tahoma"/>
                <w:sz w:val="20"/>
                <w:szCs w:val="20"/>
              </w:rPr>
            </w:pPr>
            <w:r w:rsidRPr="0062263F">
              <w:rPr>
                <w:rFonts w:ascii="Tahoma" w:hAnsi="Tahoma" w:cs="Tahoma"/>
                <w:sz w:val="20"/>
                <w:szCs w:val="20"/>
              </w:rPr>
              <w:t>46,00 руб. (в том числе НДС 7,67 руб.)</w:t>
            </w:r>
          </w:p>
        </w:tc>
      </w:tr>
      <w:tr w:rsidR="00DF74D7" w:rsidRPr="0062263F" w14:paraId="52C911B9" w14:textId="77777777" w:rsidTr="00DD2371">
        <w:tc>
          <w:tcPr>
            <w:tcW w:w="895" w:type="dxa"/>
            <w:vMerge/>
          </w:tcPr>
          <w:p w14:paraId="4EC4B1DF" w14:textId="77777777" w:rsidR="00DF74D7" w:rsidRPr="0062263F" w:rsidRDefault="00DF74D7" w:rsidP="00DD2371">
            <w:pPr>
              <w:rPr>
                <w:rFonts w:ascii="Tahoma" w:hAnsi="Tahoma" w:cs="Tahoma"/>
                <w:sz w:val="20"/>
                <w:szCs w:val="20"/>
              </w:rPr>
            </w:pPr>
          </w:p>
        </w:tc>
        <w:tc>
          <w:tcPr>
            <w:tcW w:w="3073" w:type="dxa"/>
            <w:vMerge/>
          </w:tcPr>
          <w:p w14:paraId="6AE884E3" w14:textId="77777777" w:rsidR="00DF74D7" w:rsidRPr="0062263F" w:rsidRDefault="00DF74D7" w:rsidP="00DD2371">
            <w:pPr>
              <w:rPr>
                <w:rFonts w:ascii="Tahoma" w:hAnsi="Tahoma" w:cs="Tahoma"/>
                <w:sz w:val="20"/>
                <w:szCs w:val="20"/>
              </w:rPr>
            </w:pPr>
          </w:p>
        </w:tc>
        <w:tc>
          <w:tcPr>
            <w:tcW w:w="1725" w:type="dxa"/>
            <w:gridSpan w:val="2"/>
          </w:tcPr>
          <w:p w14:paraId="753EE03D" w14:textId="77777777" w:rsidR="00DF74D7" w:rsidRPr="0062263F" w:rsidRDefault="00DF74D7" w:rsidP="00DD2371">
            <w:pPr>
              <w:rPr>
                <w:rFonts w:ascii="Tahoma" w:hAnsi="Tahoma" w:cs="Tahoma"/>
                <w:sz w:val="20"/>
                <w:szCs w:val="20"/>
              </w:rPr>
            </w:pPr>
            <w:r>
              <w:rPr>
                <w:rFonts w:ascii="Tahoma" w:hAnsi="Tahoma" w:cs="Tahoma"/>
                <w:sz w:val="20"/>
                <w:szCs w:val="20"/>
              </w:rPr>
              <w:t>3</w:t>
            </w:r>
            <w:r w:rsidRPr="0062263F">
              <w:rPr>
                <w:rFonts w:ascii="Tahoma" w:hAnsi="Tahoma" w:cs="Tahoma"/>
                <w:sz w:val="20"/>
                <w:szCs w:val="20"/>
              </w:rPr>
              <w:t>1-365 дней</w:t>
            </w:r>
          </w:p>
        </w:tc>
        <w:tc>
          <w:tcPr>
            <w:tcW w:w="4083" w:type="dxa"/>
          </w:tcPr>
          <w:p w14:paraId="082D7408" w14:textId="77777777" w:rsidR="00DF74D7" w:rsidRPr="0062263F" w:rsidRDefault="00DF74D7" w:rsidP="00DD2371">
            <w:pPr>
              <w:rPr>
                <w:rFonts w:ascii="Tahoma" w:hAnsi="Tahoma" w:cs="Tahoma"/>
                <w:sz w:val="20"/>
                <w:szCs w:val="20"/>
              </w:rPr>
            </w:pPr>
            <w:r w:rsidRPr="0062263F">
              <w:rPr>
                <w:rFonts w:ascii="Tahoma" w:hAnsi="Tahoma" w:cs="Tahoma"/>
                <w:sz w:val="20"/>
                <w:szCs w:val="20"/>
              </w:rPr>
              <w:t>25,00 руб. (в том числе НДС 4,17 руб.)</w:t>
            </w:r>
          </w:p>
        </w:tc>
      </w:tr>
      <w:tr w:rsidR="00DF74D7" w:rsidRPr="0062263F" w14:paraId="4CDC26A3" w14:textId="77777777" w:rsidTr="00DD2371">
        <w:tc>
          <w:tcPr>
            <w:tcW w:w="895" w:type="dxa"/>
            <w:vMerge/>
          </w:tcPr>
          <w:p w14:paraId="06B9D69A" w14:textId="77777777" w:rsidR="00DF74D7" w:rsidRPr="0062263F" w:rsidRDefault="00DF74D7" w:rsidP="00DD2371">
            <w:pPr>
              <w:rPr>
                <w:rFonts w:ascii="Tahoma" w:hAnsi="Tahoma" w:cs="Tahoma"/>
                <w:sz w:val="20"/>
                <w:szCs w:val="20"/>
              </w:rPr>
            </w:pPr>
          </w:p>
        </w:tc>
        <w:tc>
          <w:tcPr>
            <w:tcW w:w="3073" w:type="dxa"/>
            <w:vMerge w:val="restart"/>
          </w:tcPr>
          <w:p w14:paraId="226A971B" w14:textId="77777777" w:rsidR="00DF74D7" w:rsidRPr="0062263F" w:rsidRDefault="00DF74D7" w:rsidP="00DD2371">
            <w:pPr>
              <w:jc w:val="center"/>
              <w:rPr>
                <w:rFonts w:ascii="Tahoma" w:hAnsi="Tahoma" w:cs="Tahoma"/>
                <w:sz w:val="20"/>
                <w:szCs w:val="20"/>
              </w:rPr>
            </w:pPr>
            <w:r w:rsidRPr="0062263F">
              <w:rPr>
                <w:rFonts w:ascii="Tahoma" w:hAnsi="Tahoma" w:cs="Tahoma"/>
                <w:sz w:val="20"/>
                <w:szCs w:val="20"/>
              </w:rPr>
              <w:t>25*29,2*37</w:t>
            </w:r>
          </w:p>
        </w:tc>
        <w:tc>
          <w:tcPr>
            <w:tcW w:w="1725" w:type="dxa"/>
            <w:gridSpan w:val="2"/>
          </w:tcPr>
          <w:p w14:paraId="6E33B362" w14:textId="77777777" w:rsidR="00DF74D7" w:rsidRPr="0062263F" w:rsidRDefault="00DF74D7" w:rsidP="00DD2371">
            <w:pPr>
              <w:rPr>
                <w:rFonts w:ascii="Tahoma" w:hAnsi="Tahoma" w:cs="Tahoma"/>
                <w:sz w:val="20"/>
                <w:szCs w:val="20"/>
              </w:rPr>
            </w:pPr>
            <w:r w:rsidRPr="0062263F">
              <w:rPr>
                <w:rFonts w:ascii="Tahoma" w:hAnsi="Tahoma" w:cs="Tahoma"/>
                <w:sz w:val="20"/>
                <w:szCs w:val="20"/>
              </w:rPr>
              <w:t>1-30 дней</w:t>
            </w:r>
          </w:p>
        </w:tc>
        <w:tc>
          <w:tcPr>
            <w:tcW w:w="4083" w:type="dxa"/>
          </w:tcPr>
          <w:p w14:paraId="5075A8DE" w14:textId="77777777" w:rsidR="00DF74D7" w:rsidRPr="0062263F" w:rsidRDefault="00DF74D7" w:rsidP="00DD2371">
            <w:pPr>
              <w:rPr>
                <w:rFonts w:ascii="Tahoma" w:hAnsi="Tahoma" w:cs="Tahoma"/>
                <w:sz w:val="20"/>
                <w:szCs w:val="20"/>
              </w:rPr>
            </w:pPr>
            <w:r w:rsidRPr="0062263F">
              <w:rPr>
                <w:rFonts w:ascii="Tahoma" w:hAnsi="Tahoma" w:cs="Tahoma"/>
                <w:sz w:val="20"/>
                <w:szCs w:val="20"/>
              </w:rPr>
              <w:t>60,00 руб. (в том числе НДС 10,00 руб.)</w:t>
            </w:r>
          </w:p>
        </w:tc>
      </w:tr>
      <w:tr w:rsidR="00DF74D7" w:rsidRPr="0062263F" w14:paraId="2831E89E" w14:textId="77777777" w:rsidTr="00DD2371">
        <w:tc>
          <w:tcPr>
            <w:tcW w:w="895" w:type="dxa"/>
            <w:vMerge/>
          </w:tcPr>
          <w:p w14:paraId="34C31AD3" w14:textId="77777777" w:rsidR="00DF74D7" w:rsidRPr="0062263F" w:rsidRDefault="00DF74D7" w:rsidP="00DD2371">
            <w:pPr>
              <w:rPr>
                <w:rFonts w:ascii="Tahoma" w:hAnsi="Tahoma" w:cs="Tahoma"/>
                <w:sz w:val="20"/>
                <w:szCs w:val="20"/>
              </w:rPr>
            </w:pPr>
          </w:p>
        </w:tc>
        <w:tc>
          <w:tcPr>
            <w:tcW w:w="3073" w:type="dxa"/>
            <w:vMerge/>
          </w:tcPr>
          <w:p w14:paraId="3BE8E1CD" w14:textId="77777777" w:rsidR="00DF74D7" w:rsidRPr="0062263F" w:rsidRDefault="00DF74D7" w:rsidP="00DD2371">
            <w:pPr>
              <w:rPr>
                <w:rFonts w:ascii="Tahoma" w:hAnsi="Tahoma" w:cs="Tahoma"/>
                <w:sz w:val="20"/>
                <w:szCs w:val="20"/>
              </w:rPr>
            </w:pPr>
          </w:p>
        </w:tc>
        <w:tc>
          <w:tcPr>
            <w:tcW w:w="1725" w:type="dxa"/>
            <w:gridSpan w:val="2"/>
          </w:tcPr>
          <w:p w14:paraId="702B4472" w14:textId="77777777" w:rsidR="00DF74D7" w:rsidRPr="0062263F" w:rsidRDefault="00DF74D7" w:rsidP="00DD2371">
            <w:pPr>
              <w:rPr>
                <w:rFonts w:ascii="Tahoma" w:hAnsi="Tahoma" w:cs="Tahoma"/>
                <w:sz w:val="20"/>
                <w:szCs w:val="20"/>
              </w:rPr>
            </w:pPr>
            <w:r>
              <w:rPr>
                <w:rFonts w:ascii="Tahoma" w:hAnsi="Tahoma" w:cs="Tahoma"/>
                <w:sz w:val="20"/>
                <w:szCs w:val="20"/>
              </w:rPr>
              <w:t>3</w:t>
            </w:r>
            <w:r w:rsidRPr="0062263F">
              <w:rPr>
                <w:rFonts w:ascii="Tahoma" w:hAnsi="Tahoma" w:cs="Tahoma"/>
                <w:sz w:val="20"/>
                <w:szCs w:val="20"/>
              </w:rPr>
              <w:t>1-365 дней</w:t>
            </w:r>
          </w:p>
        </w:tc>
        <w:tc>
          <w:tcPr>
            <w:tcW w:w="4083" w:type="dxa"/>
          </w:tcPr>
          <w:p w14:paraId="46EDB47D" w14:textId="77777777" w:rsidR="00DF74D7" w:rsidRPr="0062263F" w:rsidRDefault="00DF74D7" w:rsidP="00DD2371">
            <w:pPr>
              <w:rPr>
                <w:rFonts w:ascii="Tahoma" w:hAnsi="Tahoma" w:cs="Tahoma"/>
                <w:sz w:val="20"/>
                <w:szCs w:val="20"/>
              </w:rPr>
            </w:pPr>
            <w:r w:rsidRPr="0062263F">
              <w:rPr>
                <w:rFonts w:ascii="Tahoma" w:hAnsi="Tahoma" w:cs="Tahoma"/>
                <w:sz w:val="20"/>
                <w:szCs w:val="20"/>
              </w:rPr>
              <w:t>32,00 руб. (в том числе НДС 5,33 руб.)</w:t>
            </w:r>
          </w:p>
        </w:tc>
      </w:tr>
      <w:tr w:rsidR="00DF74D7" w:rsidRPr="0062263F" w14:paraId="277CB007" w14:textId="77777777" w:rsidTr="00DD2371">
        <w:tc>
          <w:tcPr>
            <w:tcW w:w="895" w:type="dxa"/>
            <w:vMerge/>
          </w:tcPr>
          <w:p w14:paraId="1DB5BAA2" w14:textId="77777777" w:rsidR="00DF74D7" w:rsidRPr="0062263F" w:rsidRDefault="00DF74D7" w:rsidP="00DD2371">
            <w:pPr>
              <w:rPr>
                <w:rFonts w:ascii="Tahoma" w:hAnsi="Tahoma" w:cs="Tahoma"/>
                <w:sz w:val="20"/>
                <w:szCs w:val="20"/>
              </w:rPr>
            </w:pPr>
          </w:p>
        </w:tc>
        <w:tc>
          <w:tcPr>
            <w:tcW w:w="3073" w:type="dxa"/>
            <w:vMerge w:val="restart"/>
          </w:tcPr>
          <w:p w14:paraId="5FC5AC65" w14:textId="77777777" w:rsidR="00DF74D7" w:rsidRPr="0062263F" w:rsidRDefault="00DF74D7" w:rsidP="00DD2371">
            <w:pPr>
              <w:jc w:val="center"/>
              <w:rPr>
                <w:rFonts w:ascii="Tahoma" w:hAnsi="Tahoma" w:cs="Tahoma"/>
                <w:sz w:val="20"/>
                <w:szCs w:val="20"/>
              </w:rPr>
            </w:pPr>
            <w:r w:rsidRPr="0062263F">
              <w:rPr>
                <w:rFonts w:ascii="Tahoma" w:hAnsi="Tahoma" w:cs="Tahoma"/>
                <w:sz w:val="20"/>
                <w:szCs w:val="20"/>
              </w:rPr>
              <w:t>36,5*29,2*37</w:t>
            </w:r>
          </w:p>
        </w:tc>
        <w:tc>
          <w:tcPr>
            <w:tcW w:w="1725" w:type="dxa"/>
            <w:gridSpan w:val="2"/>
          </w:tcPr>
          <w:p w14:paraId="3D738CD6" w14:textId="77777777" w:rsidR="00DF74D7" w:rsidRPr="0062263F" w:rsidRDefault="00DF74D7" w:rsidP="00DD2371">
            <w:pPr>
              <w:rPr>
                <w:rFonts w:ascii="Tahoma" w:hAnsi="Tahoma" w:cs="Tahoma"/>
                <w:sz w:val="20"/>
                <w:szCs w:val="20"/>
              </w:rPr>
            </w:pPr>
            <w:r w:rsidRPr="0062263F">
              <w:rPr>
                <w:rFonts w:ascii="Tahoma" w:hAnsi="Tahoma" w:cs="Tahoma"/>
                <w:sz w:val="20"/>
                <w:szCs w:val="20"/>
              </w:rPr>
              <w:t>1-30 дней</w:t>
            </w:r>
          </w:p>
        </w:tc>
        <w:tc>
          <w:tcPr>
            <w:tcW w:w="4083" w:type="dxa"/>
          </w:tcPr>
          <w:p w14:paraId="14EEC809" w14:textId="77777777" w:rsidR="00DF74D7" w:rsidRPr="0062263F" w:rsidRDefault="00DF74D7" w:rsidP="00DD2371">
            <w:pPr>
              <w:rPr>
                <w:rFonts w:ascii="Tahoma" w:hAnsi="Tahoma" w:cs="Tahoma"/>
                <w:sz w:val="20"/>
                <w:szCs w:val="20"/>
              </w:rPr>
            </w:pPr>
            <w:r w:rsidRPr="0062263F">
              <w:rPr>
                <w:rFonts w:ascii="Tahoma" w:hAnsi="Tahoma" w:cs="Tahoma"/>
                <w:sz w:val="20"/>
                <w:szCs w:val="20"/>
              </w:rPr>
              <w:t>71,00 руб. (в том числе НДС 11,83 руб.)</w:t>
            </w:r>
          </w:p>
        </w:tc>
      </w:tr>
      <w:tr w:rsidR="00DF74D7" w:rsidRPr="0062263F" w14:paraId="64BFEA81" w14:textId="77777777" w:rsidTr="00DD2371">
        <w:tc>
          <w:tcPr>
            <w:tcW w:w="895" w:type="dxa"/>
            <w:vMerge/>
          </w:tcPr>
          <w:p w14:paraId="7579BD34" w14:textId="77777777" w:rsidR="00DF74D7" w:rsidRPr="0062263F" w:rsidRDefault="00DF74D7" w:rsidP="00DD2371">
            <w:pPr>
              <w:rPr>
                <w:rFonts w:ascii="Tahoma" w:hAnsi="Tahoma" w:cs="Tahoma"/>
                <w:sz w:val="20"/>
                <w:szCs w:val="20"/>
              </w:rPr>
            </w:pPr>
          </w:p>
        </w:tc>
        <w:tc>
          <w:tcPr>
            <w:tcW w:w="3073" w:type="dxa"/>
            <w:vMerge/>
          </w:tcPr>
          <w:p w14:paraId="5A5C6ABA" w14:textId="77777777" w:rsidR="00DF74D7" w:rsidRPr="0062263F" w:rsidRDefault="00DF74D7" w:rsidP="00DD2371">
            <w:pPr>
              <w:rPr>
                <w:rFonts w:ascii="Tahoma" w:hAnsi="Tahoma" w:cs="Tahoma"/>
                <w:sz w:val="20"/>
                <w:szCs w:val="20"/>
              </w:rPr>
            </w:pPr>
          </w:p>
        </w:tc>
        <w:tc>
          <w:tcPr>
            <w:tcW w:w="1725" w:type="dxa"/>
            <w:gridSpan w:val="2"/>
          </w:tcPr>
          <w:p w14:paraId="26773EB5" w14:textId="77777777" w:rsidR="00DF74D7" w:rsidRPr="0062263F" w:rsidRDefault="00DF74D7" w:rsidP="00DD2371">
            <w:pPr>
              <w:rPr>
                <w:rFonts w:ascii="Tahoma" w:hAnsi="Tahoma" w:cs="Tahoma"/>
                <w:sz w:val="20"/>
                <w:szCs w:val="20"/>
              </w:rPr>
            </w:pPr>
            <w:r>
              <w:rPr>
                <w:rFonts w:ascii="Tahoma" w:hAnsi="Tahoma" w:cs="Tahoma"/>
                <w:sz w:val="20"/>
                <w:szCs w:val="20"/>
              </w:rPr>
              <w:t>3</w:t>
            </w:r>
            <w:r w:rsidRPr="0062263F">
              <w:rPr>
                <w:rFonts w:ascii="Tahoma" w:hAnsi="Tahoma" w:cs="Tahoma"/>
                <w:sz w:val="20"/>
                <w:szCs w:val="20"/>
              </w:rPr>
              <w:t>1-365 дней</w:t>
            </w:r>
          </w:p>
        </w:tc>
        <w:tc>
          <w:tcPr>
            <w:tcW w:w="4083" w:type="dxa"/>
          </w:tcPr>
          <w:p w14:paraId="47AD7720" w14:textId="77777777" w:rsidR="00DF74D7" w:rsidRPr="0062263F" w:rsidRDefault="00DF74D7" w:rsidP="00DD2371">
            <w:pPr>
              <w:rPr>
                <w:rFonts w:ascii="Tahoma" w:hAnsi="Tahoma" w:cs="Tahoma"/>
                <w:sz w:val="20"/>
                <w:szCs w:val="20"/>
              </w:rPr>
            </w:pPr>
            <w:r w:rsidRPr="0062263F">
              <w:rPr>
                <w:rFonts w:ascii="Tahoma" w:hAnsi="Tahoma" w:cs="Tahoma"/>
                <w:sz w:val="20"/>
                <w:szCs w:val="20"/>
              </w:rPr>
              <w:t>42,00 руб. (в том числе НДС 7,00 руб.)</w:t>
            </w:r>
          </w:p>
        </w:tc>
      </w:tr>
      <w:tr w:rsidR="00DF74D7" w:rsidRPr="0062263F" w14:paraId="05509119" w14:textId="77777777" w:rsidTr="00DD2371">
        <w:tc>
          <w:tcPr>
            <w:tcW w:w="895" w:type="dxa"/>
            <w:vMerge w:val="restart"/>
          </w:tcPr>
          <w:p w14:paraId="31943593" w14:textId="77777777" w:rsidR="00DF74D7" w:rsidRPr="0062263F" w:rsidRDefault="00DF74D7" w:rsidP="00DD2371">
            <w:pPr>
              <w:rPr>
                <w:rFonts w:ascii="Tahoma" w:hAnsi="Tahoma" w:cs="Tahoma"/>
                <w:sz w:val="20"/>
                <w:szCs w:val="20"/>
              </w:rPr>
            </w:pPr>
            <w:r w:rsidRPr="0062263F">
              <w:rPr>
                <w:rFonts w:ascii="Tahoma" w:hAnsi="Tahoma" w:cs="Tahoma"/>
                <w:sz w:val="20"/>
                <w:szCs w:val="20"/>
              </w:rPr>
              <w:t>1.2.2.</w:t>
            </w:r>
            <w:r>
              <w:rPr>
                <w:rFonts w:ascii="Tahoma" w:hAnsi="Tahoma" w:cs="Tahoma"/>
                <w:sz w:val="20"/>
                <w:szCs w:val="20"/>
                <w:vertAlign w:val="superscript"/>
              </w:rPr>
              <w:t>3</w:t>
            </w:r>
          </w:p>
        </w:tc>
        <w:tc>
          <w:tcPr>
            <w:tcW w:w="8881" w:type="dxa"/>
            <w:gridSpan w:val="4"/>
          </w:tcPr>
          <w:p w14:paraId="1DD812A9" w14:textId="77777777" w:rsidR="00DF74D7" w:rsidRPr="0062263F" w:rsidRDefault="00DF74D7" w:rsidP="00DD2371">
            <w:pPr>
              <w:jc w:val="center"/>
              <w:rPr>
                <w:rFonts w:ascii="Tahoma" w:hAnsi="Tahoma" w:cs="Tahoma"/>
                <w:sz w:val="20"/>
                <w:szCs w:val="20"/>
              </w:rPr>
            </w:pPr>
            <w:r w:rsidRPr="0062263F">
              <w:rPr>
                <w:rFonts w:ascii="Tahoma" w:hAnsi="Tahoma" w:cs="Tahoma"/>
                <w:b/>
                <w:sz w:val="20"/>
                <w:szCs w:val="20"/>
              </w:rPr>
              <w:t>Для Дополнительного офиса № 5 Филиала "Азиатско-Тихоокеанский Банк" (АО) в г. Москва</w:t>
            </w:r>
          </w:p>
        </w:tc>
      </w:tr>
      <w:tr w:rsidR="00DF74D7" w:rsidRPr="0062263F" w14:paraId="631AA02C" w14:textId="77777777" w:rsidTr="00DD2371">
        <w:tc>
          <w:tcPr>
            <w:tcW w:w="895" w:type="dxa"/>
            <w:vMerge/>
          </w:tcPr>
          <w:p w14:paraId="7EDB2C4B" w14:textId="77777777" w:rsidR="00DF74D7" w:rsidRPr="0062263F" w:rsidRDefault="00DF74D7" w:rsidP="00DD2371">
            <w:pPr>
              <w:rPr>
                <w:rFonts w:ascii="Tahoma" w:hAnsi="Tahoma" w:cs="Tahoma"/>
                <w:sz w:val="20"/>
                <w:szCs w:val="20"/>
              </w:rPr>
            </w:pPr>
          </w:p>
        </w:tc>
        <w:tc>
          <w:tcPr>
            <w:tcW w:w="3073" w:type="dxa"/>
            <w:vMerge w:val="restart"/>
          </w:tcPr>
          <w:p w14:paraId="393F2CA3" w14:textId="77777777" w:rsidR="00DF74D7" w:rsidRPr="0062263F" w:rsidRDefault="00DF74D7" w:rsidP="00DD2371">
            <w:pPr>
              <w:jc w:val="center"/>
              <w:rPr>
                <w:rFonts w:ascii="Tahoma" w:hAnsi="Tahoma" w:cs="Tahoma"/>
                <w:sz w:val="20"/>
              </w:rPr>
            </w:pPr>
            <w:r w:rsidRPr="0062263F">
              <w:rPr>
                <w:rFonts w:ascii="Tahoma" w:hAnsi="Tahoma" w:cs="Tahoma"/>
                <w:sz w:val="20"/>
                <w:szCs w:val="20"/>
              </w:rPr>
              <w:t>38*7,5*30</w:t>
            </w:r>
          </w:p>
        </w:tc>
        <w:tc>
          <w:tcPr>
            <w:tcW w:w="1718" w:type="dxa"/>
          </w:tcPr>
          <w:p w14:paraId="47A03890" w14:textId="77777777" w:rsidR="00DF74D7" w:rsidRPr="0062263F" w:rsidRDefault="00DF74D7" w:rsidP="00DD2371">
            <w:pPr>
              <w:rPr>
                <w:rFonts w:ascii="Tahoma" w:hAnsi="Tahoma" w:cs="Tahoma"/>
                <w:sz w:val="20"/>
              </w:rPr>
            </w:pPr>
            <w:r w:rsidRPr="0062263F">
              <w:rPr>
                <w:rFonts w:ascii="Tahoma" w:hAnsi="Tahoma" w:cs="Tahoma"/>
                <w:sz w:val="20"/>
              </w:rPr>
              <w:t>1-30 дней</w:t>
            </w:r>
          </w:p>
        </w:tc>
        <w:tc>
          <w:tcPr>
            <w:tcW w:w="4090" w:type="dxa"/>
            <w:gridSpan w:val="2"/>
          </w:tcPr>
          <w:p w14:paraId="68A6D3DC" w14:textId="77777777" w:rsidR="00DF74D7" w:rsidRPr="0062263F" w:rsidRDefault="00DF74D7" w:rsidP="00DD2371">
            <w:pPr>
              <w:rPr>
                <w:rFonts w:ascii="Tahoma" w:hAnsi="Tahoma" w:cs="Tahoma"/>
                <w:sz w:val="20"/>
              </w:rPr>
            </w:pPr>
            <w:r w:rsidRPr="0062263F">
              <w:rPr>
                <w:rFonts w:ascii="Tahoma" w:hAnsi="Tahoma" w:cs="Tahoma"/>
                <w:sz w:val="20"/>
              </w:rPr>
              <w:t xml:space="preserve">110,00 руб. </w:t>
            </w:r>
            <w:r w:rsidRPr="0062263F">
              <w:rPr>
                <w:rFonts w:ascii="Tahoma" w:hAnsi="Tahoma" w:cs="Tahoma"/>
                <w:sz w:val="20"/>
                <w:szCs w:val="20"/>
              </w:rPr>
              <w:t xml:space="preserve">(в том числе НДС </w:t>
            </w:r>
            <w:r w:rsidRPr="0062263F">
              <w:rPr>
                <w:rFonts w:ascii="Tahoma" w:hAnsi="Tahoma" w:cs="Tahoma"/>
                <w:sz w:val="20"/>
              </w:rPr>
              <w:t xml:space="preserve">18,33 </w:t>
            </w:r>
            <w:r w:rsidRPr="0062263F">
              <w:rPr>
                <w:rFonts w:ascii="Tahoma" w:hAnsi="Tahoma" w:cs="Tahoma"/>
                <w:sz w:val="20"/>
                <w:szCs w:val="20"/>
              </w:rPr>
              <w:t>руб.)</w:t>
            </w:r>
          </w:p>
        </w:tc>
      </w:tr>
      <w:tr w:rsidR="00DF74D7" w:rsidRPr="0062263F" w14:paraId="67346E51" w14:textId="77777777" w:rsidTr="00DD2371">
        <w:tc>
          <w:tcPr>
            <w:tcW w:w="895" w:type="dxa"/>
            <w:vMerge/>
          </w:tcPr>
          <w:p w14:paraId="0F7F9E7D" w14:textId="77777777" w:rsidR="00DF74D7" w:rsidRPr="0062263F" w:rsidRDefault="00DF74D7" w:rsidP="00DD2371">
            <w:pPr>
              <w:rPr>
                <w:rFonts w:ascii="Tahoma" w:hAnsi="Tahoma" w:cs="Tahoma"/>
                <w:sz w:val="20"/>
                <w:szCs w:val="20"/>
              </w:rPr>
            </w:pPr>
          </w:p>
        </w:tc>
        <w:tc>
          <w:tcPr>
            <w:tcW w:w="3073" w:type="dxa"/>
            <w:vMerge/>
          </w:tcPr>
          <w:p w14:paraId="2DEFE778" w14:textId="77777777" w:rsidR="00DF74D7" w:rsidRPr="0062263F" w:rsidRDefault="00DF74D7" w:rsidP="00DD2371">
            <w:pPr>
              <w:jc w:val="center"/>
              <w:rPr>
                <w:rFonts w:ascii="Tahoma" w:hAnsi="Tahoma" w:cs="Tahoma"/>
                <w:sz w:val="20"/>
                <w:szCs w:val="20"/>
              </w:rPr>
            </w:pPr>
          </w:p>
        </w:tc>
        <w:tc>
          <w:tcPr>
            <w:tcW w:w="1718" w:type="dxa"/>
          </w:tcPr>
          <w:p w14:paraId="678FBA10" w14:textId="77777777" w:rsidR="00DF74D7" w:rsidRPr="0062263F" w:rsidRDefault="00DF74D7" w:rsidP="00DD2371">
            <w:pPr>
              <w:rPr>
                <w:rFonts w:ascii="Tahoma" w:hAnsi="Tahoma" w:cs="Tahoma"/>
                <w:sz w:val="20"/>
                <w:szCs w:val="20"/>
              </w:rPr>
            </w:pPr>
            <w:r>
              <w:rPr>
                <w:rFonts w:ascii="Tahoma" w:hAnsi="Tahoma" w:cs="Tahoma"/>
                <w:sz w:val="20"/>
              </w:rPr>
              <w:t>3</w:t>
            </w:r>
            <w:r w:rsidRPr="0062263F">
              <w:rPr>
                <w:rFonts w:ascii="Tahoma" w:hAnsi="Tahoma" w:cs="Tahoma"/>
                <w:sz w:val="20"/>
              </w:rPr>
              <w:t>1-365 дней</w:t>
            </w:r>
          </w:p>
        </w:tc>
        <w:tc>
          <w:tcPr>
            <w:tcW w:w="4090" w:type="dxa"/>
            <w:gridSpan w:val="2"/>
          </w:tcPr>
          <w:p w14:paraId="0FE1DEFE" w14:textId="77777777" w:rsidR="00DF74D7" w:rsidRPr="0062263F" w:rsidRDefault="00DF74D7" w:rsidP="00DD2371">
            <w:pPr>
              <w:rPr>
                <w:rFonts w:ascii="Tahoma" w:hAnsi="Tahoma" w:cs="Tahoma"/>
                <w:sz w:val="20"/>
                <w:szCs w:val="20"/>
              </w:rPr>
            </w:pPr>
            <w:r w:rsidRPr="0062263F">
              <w:rPr>
                <w:rFonts w:ascii="Tahoma" w:hAnsi="Tahoma" w:cs="Tahoma"/>
                <w:sz w:val="20"/>
              </w:rPr>
              <w:t xml:space="preserve">35,00 руб. </w:t>
            </w:r>
            <w:r w:rsidRPr="0062263F">
              <w:rPr>
                <w:rFonts w:ascii="Tahoma" w:hAnsi="Tahoma" w:cs="Tahoma"/>
                <w:sz w:val="20"/>
                <w:szCs w:val="20"/>
              </w:rPr>
              <w:t>(в том числе НДС 5</w:t>
            </w:r>
            <w:r w:rsidRPr="0062263F">
              <w:rPr>
                <w:rFonts w:ascii="Tahoma" w:hAnsi="Tahoma" w:cs="Tahoma"/>
                <w:sz w:val="20"/>
              </w:rPr>
              <w:t xml:space="preserve">,83 </w:t>
            </w:r>
            <w:r w:rsidRPr="0062263F">
              <w:rPr>
                <w:rFonts w:ascii="Tahoma" w:hAnsi="Tahoma" w:cs="Tahoma"/>
                <w:sz w:val="20"/>
                <w:szCs w:val="20"/>
              </w:rPr>
              <w:t>руб.)</w:t>
            </w:r>
          </w:p>
        </w:tc>
      </w:tr>
      <w:tr w:rsidR="00DF74D7" w:rsidRPr="0062263F" w14:paraId="08D58F50" w14:textId="77777777" w:rsidTr="00DD2371">
        <w:tc>
          <w:tcPr>
            <w:tcW w:w="895" w:type="dxa"/>
            <w:vMerge/>
          </w:tcPr>
          <w:p w14:paraId="61791488" w14:textId="77777777" w:rsidR="00DF74D7" w:rsidRPr="0062263F" w:rsidRDefault="00DF74D7" w:rsidP="00DD2371">
            <w:pPr>
              <w:rPr>
                <w:rFonts w:ascii="Tahoma" w:hAnsi="Tahoma" w:cs="Tahoma"/>
                <w:sz w:val="20"/>
                <w:szCs w:val="20"/>
              </w:rPr>
            </w:pPr>
          </w:p>
        </w:tc>
        <w:tc>
          <w:tcPr>
            <w:tcW w:w="3073" w:type="dxa"/>
            <w:vMerge w:val="restart"/>
          </w:tcPr>
          <w:p w14:paraId="7D158FF3" w14:textId="77777777" w:rsidR="00DF74D7" w:rsidRPr="0062263F" w:rsidRDefault="00DF74D7" w:rsidP="00DD2371">
            <w:pPr>
              <w:jc w:val="center"/>
              <w:rPr>
                <w:rFonts w:ascii="Tahoma" w:hAnsi="Tahoma" w:cs="Tahoma"/>
                <w:sz w:val="20"/>
              </w:rPr>
            </w:pPr>
            <w:r w:rsidRPr="0062263F">
              <w:rPr>
                <w:rFonts w:ascii="Tahoma" w:hAnsi="Tahoma" w:cs="Tahoma"/>
                <w:sz w:val="20"/>
              </w:rPr>
              <w:t>38*12,5*30</w:t>
            </w:r>
          </w:p>
          <w:p w14:paraId="3F4068B8" w14:textId="77777777" w:rsidR="00DF74D7" w:rsidRPr="0062263F" w:rsidRDefault="00DF74D7" w:rsidP="00DD2371">
            <w:pPr>
              <w:jc w:val="center"/>
              <w:rPr>
                <w:rFonts w:ascii="Tahoma" w:hAnsi="Tahoma" w:cs="Tahoma"/>
                <w:sz w:val="20"/>
              </w:rPr>
            </w:pPr>
          </w:p>
        </w:tc>
        <w:tc>
          <w:tcPr>
            <w:tcW w:w="1718" w:type="dxa"/>
          </w:tcPr>
          <w:p w14:paraId="24FE3609" w14:textId="77777777" w:rsidR="00DF74D7" w:rsidRPr="0062263F" w:rsidRDefault="00DF74D7" w:rsidP="00DD2371">
            <w:pPr>
              <w:rPr>
                <w:rFonts w:ascii="Tahoma" w:hAnsi="Tahoma" w:cs="Tahoma"/>
                <w:sz w:val="20"/>
              </w:rPr>
            </w:pPr>
            <w:r w:rsidRPr="0062263F">
              <w:rPr>
                <w:rFonts w:ascii="Tahoma" w:hAnsi="Tahoma" w:cs="Tahoma"/>
                <w:sz w:val="20"/>
              </w:rPr>
              <w:t>1-30 дней</w:t>
            </w:r>
          </w:p>
        </w:tc>
        <w:tc>
          <w:tcPr>
            <w:tcW w:w="4090" w:type="dxa"/>
            <w:gridSpan w:val="2"/>
          </w:tcPr>
          <w:p w14:paraId="476BACEB" w14:textId="77777777" w:rsidR="00DF74D7" w:rsidRPr="0062263F" w:rsidRDefault="00DF74D7" w:rsidP="00DD2371">
            <w:pPr>
              <w:rPr>
                <w:rFonts w:ascii="Tahoma" w:hAnsi="Tahoma" w:cs="Tahoma"/>
                <w:sz w:val="20"/>
              </w:rPr>
            </w:pPr>
            <w:r w:rsidRPr="0062263F">
              <w:rPr>
                <w:rFonts w:ascii="Tahoma" w:hAnsi="Tahoma" w:cs="Tahoma"/>
                <w:sz w:val="20"/>
              </w:rPr>
              <w:t>130,00 руб.</w:t>
            </w:r>
            <w:r w:rsidRPr="0062263F">
              <w:rPr>
                <w:rFonts w:ascii="Tahoma" w:hAnsi="Tahoma" w:cs="Tahoma"/>
                <w:sz w:val="20"/>
                <w:szCs w:val="20"/>
              </w:rPr>
              <w:t xml:space="preserve"> (в том числе НДС </w:t>
            </w:r>
            <w:r w:rsidRPr="0062263F">
              <w:rPr>
                <w:rFonts w:ascii="Tahoma" w:hAnsi="Tahoma" w:cs="Tahoma"/>
                <w:sz w:val="20"/>
              </w:rPr>
              <w:t xml:space="preserve">21,67 </w:t>
            </w:r>
            <w:r w:rsidRPr="0062263F">
              <w:rPr>
                <w:rFonts w:ascii="Tahoma" w:hAnsi="Tahoma" w:cs="Tahoma"/>
                <w:sz w:val="20"/>
                <w:szCs w:val="20"/>
              </w:rPr>
              <w:t>руб.)</w:t>
            </w:r>
          </w:p>
        </w:tc>
      </w:tr>
      <w:tr w:rsidR="00DF74D7" w:rsidRPr="0062263F" w14:paraId="7AA6A960" w14:textId="77777777" w:rsidTr="00DD2371">
        <w:tc>
          <w:tcPr>
            <w:tcW w:w="895" w:type="dxa"/>
            <w:vMerge/>
          </w:tcPr>
          <w:p w14:paraId="03E79EAC" w14:textId="77777777" w:rsidR="00DF74D7" w:rsidRPr="0062263F" w:rsidRDefault="00DF74D7" w:rsidP="00DD2371">
            <w:pPr>
              <w:rPr>
                <w:rFonts w:ascii="Tahoma" w:hAnsi="Tahoma" w:cs="Tahoma"/>
                <w:sz w:val="20"/>
                <w:szCs w:val="20"/>
              </w:rPr>
            </w:pPr>
          </w:p>
        </w:tc>
        <w:tc>
          <w:tcPr>
            <w:tcW w:w="3073" w:type="dxa"/>
            <w:vMerge/>
          </w:tcPr>
          <w:p w14:paraId="67BEDF35" w14:textId="77777777" w:rsidR="00DF74D7" w:rsidRPr="0062263F" w:rsidRDefault="00DF74D7" w:rsidP="00DD2371">
            <w:pPr>
              <w:jc w:val="center"/>
              <w:rPr>
                <w:rFonts w:ascii="Tahoma" w:hAnsi="Tahoma" w:cs="Tahoma"/>
                <w:sz w:val="20"/>
                <w:szCs w:val="20"/>
              </w:rPr>
            </w:pPr>
          </w:p>
        </w:tc>
        <w:tc>
          <w:tcPr>
            <w:tcW w:w="1718" w:type="dxa"/>
          </w:tcPr>
          <w:p w14:paraId="2085F356" w14:textId="77777777" w:rsidR="00DF74D7" w:rsidRPr="0062263F" w:rsidRDefault="00DF74D7" w:rsidP="00DD2371">
            <w:pPr>
              <w:rPr>
                <w:rFonts w:ascii="Tahoma" w:hAnsi="Tahoma" w:cs="Tahoma"/>
                <w:sz w:val="20"/>
                <w:szCs w:val="20"/>
              </w:rPr>
            </w:pPr>
            <w:r>
              <w:rPr>
                <w:rFonts w:ascii="Tahoma" w:hAnsi="Tahoma" w:cs="Tahoma"/>
                <w:sz w:val="20"/>
              </w:rPr>
              <w:t>3</w:t>
            </w:r>
            <w:r w:rsidRPr="0062263F">
              <w:rPr>
                <w:rFonts w:ascii="Tahoma" w:hAnsi="Tahoma" w:cs="Tahoma"/>
                <w:sz w:val="20"/>
              </w:rPr>
              <w:t>1-365 дней</w:t>
            </w:r>
          </w:p>
        </w:tc>
        <w:tc>
          <w:tcPr>
            <w:tcW w:w="4090" w:type="dxa"/>
            <w:gridSpan w:val="2"/>
          </w:tcPr>
          <w:p w14:paraId="4DD4E01D" w14:textId="77777777" w:rsidR="00DF74D7" w:rsidRPr="0062263F" w:rsidRDefault="00DF74D7" w:rsidP="00DD2371">
            <w:pPr>
              <w:rPr>
                <w:rFonts w:ascii="Tahoma" w:hAnsi="Tahoma" w:cs="Tahoma"/>
                <w:sz w:val="20"/>
                <w:szCs w:val="20"/>
              </w:rPr>
            </w:pPr>
            <w:r w:rsidRPr="0062263F">
              <w:rPr>
                <w:rFonts w:ascii="Tahoma" w:hAnsi="Tahoma" w:cs="Tahoma"/>
                <w:sz w:val="20"/>
              </w:rPr>
              <w:t xml:space="preserve">40,00 руб. </w:t>
            </w:r>
            <w:r w:rsidRPr="0062263F">
              <w:rPr>
                <w:rFonts w:ascii="Tahoma" w:hAnsi="Tahoma" w:cs="Tahoma"/>
                <w:sz w:val="20"/>
                <w:szCs w:val="20"/>
              </w:rPr>
              <w:t>(в том числе НДС 6</w:t>
            </w:r>
            <w:r w:rsidRPr="0062263F">
              <w:rPr>
                <w:rFonts w:ascii="Tahoma" w:hAnsi="Tahoma" w:cs="Tahoma"/>
                <w:sz w:val="20"/>
              </w:rPr>
              <w:t xml:space="preserve">,67 </w:t>
            </w:r>
            <w:r w:rsidRPr="0062263F">
              <w:rPr>
                <w:rFonts w:ascii="Tahoma" w:hAnsi="Tahoma" w:cs="Tahoma"/>
                <w:sz w:val="20"/>
                <w:szCs w:val="20"/>
              </w:rPr>
              <w:t>руб.)</w:t>
            </w:r>
          </w:p>
        </w:tc>
      </w:tr>
      <w:tr w:rsidR="00DF74D7" w:rsidRPr="0062263F" w14:paraId="296B7A48" w14:textId="77777777" w:rsidTr="00DD2371">
        <w:tc>
          <w:tcPr>
            <w:tcW w:w="895" w:type="dxa"/>
            <w:vMerge/>
          </w:tcPr>
          <w:p w14:paraId="66BCB6D7" w14:textId="77777777" w:rsidR="00DF74D7" w:rsidRPr="0062263F" w:rsidRDefault="00DF74D7" w:rsidP="00DD2371">
            <w:pPr>
              <w:rPr>
                <w:rFonts w:ascii="Tahoma" w:hAnsi="Tahoma" w:cs="Tahoma"/>
                <w:sz w:val="20"/>
                <w:szCs w:val="20"/>
              </w:rPr>
            </w:pPr>
          </w:p>
        </w:tc>
        <w:tc>
          <w:tcPr>
            <w:tcW w:w="3073" w:type="dxa"/>
            <w:vMerge w:val="restart"/>
          </w:tcPr>
          <w:p w14:paraId="70BF56C1" w14:textId="77777777" w:rsidR="00DF74D7" w:rsidRPr="0062263F" w:rsidRDefault="00DF74D7" w:rsidP="00DD2371">
            <w:pPr>
              <w:jc w:val="center"/>
              <w:rPr>
                <w:rFonts w:ascii="Tahoma" w:hAnsi="Tahoma" w:cs="Tahoma"/>
                <w:sz w:val="20"/>
              </w:rPr>
            </w:pPr>
            <w:r w:rsidRPr="0062263F">
              <w:rPr>
                <w:rFonts w:ascii="Tahoma" w:hAnsi="Tahoma" w:cs="Tahoma"/>
                <w:sz w:val="20"/>
              </w:rPr>
              <w:t>38*25,5*45</w:t>
            </w:r>
          </w:p>
          <w:p w14:paraId="77702598" w14:textId="77777777" w:rsidR="00DF74D7" w:rsidRPr="0062263F" w:rsidRDefault="00DF74D7" w:rsidP="00DD2371">
            <w:pPr>
              <w:jc w:val="center"/>
              <w:rPr>
                <w:rFonts w:ascii="Tahoma" w:hAnsi="Tahoma" w:cs="Tahoma"/>
                <w:sz w:val="20"/>
              </w:rPr>
            </w:pPr>
          </w:p>
        </w:tc>
        <w:tc>
          <w:tcPr>
            <w:tcW w:w="1718" w:type="dxa"/>
          </w:tcPr>
          <w:p w14:paraId="245F1F3F" w14:textId="77777777" w:rsidR="00DF74D7" w:rsidRPr="0062263F" w:rsidRDefault="00DF74D7" w:rsidP="00DD2371">
            <w:pPr>
              <w:rPr>
                <w:rFonts w:ascii="Tahoma" w:hAnsi="Tahoma" w:cs="Tahoma"/>
                <w:sz w:val="20"/>
              </w:rPr>
            </w:pPr>
            <w:r w:rsidRPr="0062263F">
              <w:rPr>
                <w:rFonts w:ascii="Tahoma" w:hAnsi="Tahoma" w:cs="Tahoma"/>
                <w:sz w:val="20"/>
              </w:rPr>
              <w:t>1-30 дней</w:t>
            </w:r>
          </w:p>
        </w:tc>
        <w:tc>
          <w:tcPr>
            <w:tcW w:w="4090" w:type="dxa"/>
            <w:gridSpan w:val="2"/>
          </w:tcPr>
          <w:p w14:paraId="703E846F" w14:textId="77777777" w:rsidR="00DF74D7" w:rsidRPr="0062263F" w:rsidRDefault="00DF74D7" w:rsidP="00DD2371">
            <w:pPr>
              <w:rPr>
                <w:rFonts w:ascii="Tahoma" w:hAnsi="Tahoma" w:cs="Tahoma"/>
                <w:sz w:val="20"/>
              </w:rPr>
            </w:pPr>
            <w:r w:rsidRPr="0062263F">
              <w:rPr>
                <w:rFonts w:ascii="Tahoma" w:hAnsi="Tahoma" w:cs="Tahoma"/>
                <w:sz w:val="20"/>
              </w:rPr>
              <w:t xml:space="preserve">147,00 руб. </w:t>
            </w:r>
            <w:r w:rsidRPr="0062263F">
              <w:rPr>
                <w:rFonts w:ascii="Tahoma" w:hAnsi="Tahoma" w:cs="Tahoma"/>
                <w:sz w:val="20"/>
                <w:szCs w:val="20"/>
              </w:rPr>
              <w:t>(в том числе НДС 24</w:t>
            </w:r>
            <w:r w:rsidRPr="0062263F">
              <w:rPr>
                <w:rFonts w:ascii="Tahoma" w:hAnsi="Tahoma" w:cs="Tahoma"/>
                <w:sz w:val="20"/>
              </w:rPr>
              <w:t xml:space="preserve">,50 </w:t>
            </w:r>
            <w:r w:rsidRPr="0062263F">
              <w:rPr>
                <w:rFonts w:ascii="Tahoma" w:hAnsi="Tahoma" w:cs="Tahoma"/>
                <w:sz w:val="20"/>
                <w:szCs w:val="20"/>
              </w:rPr>
              <w:t>руб.)</w:t>
            </w:r>
          </w:p>
        </w:tc>
      </w:tr>
      <w:tr w:rsidR="00DF74D7" w:rsidRPr="0062263F" w14:paraId="3DEC9AFF" w14:textId="77777777" w:rsidTr="00DD2371">
        <w:tc>
          <w:tcPr>
            <w:tcW w:w="895" w:type="dxa"/>
            <w:vMerge/>
          </w:tcPr>
          <w:p w14:paraId="1B3EDBA0" w14:textId="77777777" w:rsidR="00DF74D7" w:rsidRPr="0062263F" w:rsidRDefault="00DF74D7" w:rsidP="00DD2371">
            <w:pPr>
              <w:rPr>
                <w:rFonts w:ascii="Tahoma" w:hAnsi="Tahoma" w:cs="Tahoma"/>
                <w:sz w:val="20"/>
                <w:szCs w:val="20"/>
              </w:rPr>
            </w:pPr>
          </w:p>
        </w:tc>
        <w:tc>
          <w:tcPr>
            <w:tcW w:w="3073" w:type="dxa"/>
            <w:vMerge/>
          </w:tcPr>
          <w:p w14:paraId="557C36D5" w14:textId="77777777" w:rsidR="00DF74D7" w:rsidRPr="0062263F" w:rsidRDefault="00DF74D7" w:rsidP="00DD2371">
            <w:pPr>
              <w:jc w:val="center"/>
              <w:rPr>
                <w:rFonts w:ascii="Tahoma" w:hAnsi="Tahoma" w:cs="Tahoma"/>
                <w:sz w:val="20"/>
                <w:szCs w:val="20"/>
              </w:rPr>
            </w:pPr>
          </w:p>
        </w:tc>
        <w:tc>
          <w:tcPr>
            <w:tcW w:w="1718" w:type="dxa"/>
          </w:tcPr>
          <w:p w14:paraId="19505B94" w14:textId="77777777" w:rsidR="00DF74D7" w:rsidRPr="0062263F" w:rsidRDefault="00DF74D7" w:rsidP="00DD2371">
            <w:pPr>
              <w:rPr>
                <w:rFonts w:ascii="Tahoma" w:hAnsi="Tahoma" w:cs="Tahoma"/>
                <w:sz w:val="20"/>
                <w:szCs w:val="20"/>
              </w:rPr>
            </w:pPr>
            <w:r>
              <w:rPr>
                <w:rFonts w:ascii="Tahoma" w:hAnsi="Tahoma" w:cs="Tahoma"/>
                <w:sz w:val="20"/>
              </w:rPr>
              <w:t>3</w:t>
            </w:r>
            <w:r w:rsidRPr="0062263F">
              <w:rPr>
                <w:rFonts w:ascii="Tahoma" w:hAnsi="Tahoma" w:cs="Tahoma"/>
                <w:sz w:val="20"/>
              </w:rPr>
              <w:t>1-365 дней</w:t>
            </w:r>
          </w:p>
        </w:tc>
        <w:tc>
          <w:tcPr>
            <w:tcW w:w="4090" w:type="dxa"/>
            <w:gridSpan w:val="2"/>
          </w:tcPr>
          <w:p w14:paraId="3AD5FA35" w14:textId="77777777" w:rsidR="00DF74D7" w:rsidRPr="0062263F" w:rsidRDefault="00DF74D7" w:rsidP="00DD2371">
            <w:pPr>
              <w:rPr>
                <w:rFonts w:ascii="Tahoma" w:hAnsi="Tahoma" w:cs="Tahoma"/>
                <w:sz w:val="20"/>
                <w:szCs w:val="20"/>
              </w:rPr>
            </w:pPr>
            <w:r w:rsidRPr="0062263F">
              <w:rPr>
                <w:rFonts w:ascii="Tahoma" w:hAnsi="Tahoma" w:cs="Tahoma"/>
                <w:sz w:val="20"/>
              </w:rPr>
              <w:t xml:space="preserve">73,00 руб. </w:t>
            </w:r>
            <w:r w:rsidRPr="0062263F">
              <w:rPr>
                <w:rFonts w:ascii="Tahoma" w:hAnsi="Tahoma" w:cs="Tahoma"/>
                <w:sz w:val="20"/>
                <w:szCs w:val="20"/>
              </w:rPr>
              <w:t>(в том числе НДС 12</w:t>
            </w:r>
            <w:r w:rsidRPr="0062263F">
              <w:rPr>
                <w:rFonts w:ascii="Tahoma" w:hAnsi="Tahoma" w:cs="Tahoma"/>
                <w:sz w:val="20"/>
              </w:rPr>
              <w:t xml:space="preserve">,17 </w:t>
            </w:r>
            <w:r w:rsidRPr="0062263F">
              <w:rPr>
                <w:rFonts w:ascii="Tahoma" w:hAnsi="Tahoma" w:cs="Tahoma"/>
                <w:sz w:val="20"/>
                <w:szCs w:val="20"/>
              </w:rPr>
              <w:t>руб.)</w:t>
            </w:r>
          </w:p>
        </w:tc>
      </w:tr>
      <w:tr w:rsidR="00DF74D7" w:rsidRPr="0062263F" w14:paraId="67E7B2D7" w14:textId="77777777" w:rsidTr="00DD2371">
        <w:tc>
          <w:tcPr>
            <w:tcW w:w="895" w:type="dxa"/>
            <w:vMerge/>
          </w:tcPr>
          <w:p w14:paraId="3902F703" w14:textId="77777777" w:rsidR="00DF74D7" w:rsidRPr="0062263F" w:rsidRDefault="00DF74D7" w:rsidP="00DD2371">
            <w:pPr>
              <w:rPr>
                <w:rFonts w:ascii="Tahoma" w:hAnsi="Tahoma" w:cs="Tahoma"/>
                <w:sz w:val="20"/>
                <w:szCs w:val="20"/>
              </w:rPr>
            </w:pPr>
          </w:p>
        </w:tc>
        <w:tc>
          <w:tcPr>
            <w:tcW w:w="3073" w:type="dxa"/>
            <w:vMerge w:val="restart"/>
          </w:tcPr>
          <w:p w14:paraId="41CB07C7" w14:textId="77777777" w:rsidR="00DF74D7" w:rsidRPr="0062263F" w:rsidRDefault="00DF74D7" w:rsidP="00DD2371">
            <w:pPr>
              <w:jc w:val="center"/>
              <w:rPr>
                <w:rFonts w:ascii="Tahoma" w:hAnsi="Tahoma" w:cs="Tahoma"/>
                <w:sz w:val="20"/>
              </w:rPr>
            </w:pPr>
            <w:r w:rsidRPr="0062263F">
              <w:rPr>
                <w:rFonts w:ascii="Tahoma" w:hAnsi="Tahoma" w:cs="Tahoma"/>
                <w:sz w:val="20"/>
              </w:rPr>
              <w:t>38*39*30</w:t>
            </w:r>
          </w:p>
        </w:tc>
        <w:tc>
          <w:tcPr>
            <w:tcW w:w="1718" w:type="dxa"/>
          </w:tcPr>
          <w:p w14:paraId="24F64765" w14:textId="77777777" w:rsidR="00DF74D7" w:rsidRPr="0062263F" w:rsidRDefault="00DF74D7" w:rsidP="00DD2371">
            <w:pPr>
              <w:rPr>
                <w:rFonts w:ascii="Tahoma" w:hAnsi="Tahoma" w:cs="Tahoma"/>
                <w:sz w:val="20"/>
              </w:rPr>
            </w:pPr>
            <w:r w:rsidRPr="0062263F">
              <w:rPr>
                <w:rFonts w:ascii="Tahoma" w:hAnsi="Tahoma" w:cs="Tahoma"/>
                <w:sz w:val="20"/>
              </w:rPr>
              <w:t>1-30 дней</w:t>
            </w:r>
          </w:p>
        </w:tc>
        <w:tc>
          <w:tcPr>
            <w:tcW w:w="4090" w:type="dxa"/>
            <w:gridSpan w:val="2"/>
          </w:tcPr>
          <w:p w14:paraId="171DA8F6" w14:textId="77777777" w:rsidR="00DF74D7" w:rsidRPr="0062263F" w:rsidRDefault="00DF74D7" w:rsidP="00DD2371">
            <w:pPr>
              <w:rPr>
                <w:rFonts w:ascii="Tahoma" w:hAnsi="Tahoma" w:cs="Tahoma"/>
                <w:sz w:val="20"/>
              </w:rPr>
            </w:pPr>
            <w:r w:rsidRPr="0062263F">
              <w:rPr>
                <w:rFonts w:ascii="Tahoma" w:hAnsi="Tahoma" w:cs="Tahoma"/>
                <w:sz w:val="20"/>
              </w:rPr>
              <w:t xml:space="preserve">147,00 руб. </w:t>
            </w:r>
            <w:r w:rsidRPr="0062263F">
              <w:rPr>
                <w:rFonts w:ascii="Tahoma" w:hAnsi="Tahoma" w:cs="Tahoma"/>
                <w:sz w:val="20"/>
                <w:szCs w:val="20"/>
              </w:rPr>
              <w:t>(в том числе НДС 24</w:t>
            </w:r>
            <w:r w:rsidRPr="0062263F">
              <w:rPr>
                <w:rFonts w:ascii="Tahoma" w:hAnsi="Tahoma" w:cs="Tahoma"/>
                <w:sz w:val="20"/>
              </w:rPr>
              <w:t xml:space="preserve">,50 </w:t>
            </w:r>
            <w:r w:rsidRPr="0062263F">
              <w:rPr>
                <w:rFonts w:ascii="Tahoma" w:hAnsi="Tahoma" w:cs="Tahoma"/>
                <w:sz w:val="20"/>
                <w:szCs w:val="20"/>
              </w:rPr>
              <w:t>руб.)</w:t>
            </w:r>
          </w:p>
        </w:tc>
      </w:tr>
      <w:tr w:rsidR="00DF74D7" w:rsidRPr="0062263F" w14:paraId="006FC583" w14:textId="77777777" w:rsidTr="00DD2371">
        <w:tc>
          <w:tcPr>
            <w:tcW w:w="895" w:type="dxa"/>
            <w:vMerge/>
          </w:tcPr>
          <w:p w14:paraId="3EC4DB44" w14:textId="77777777" w:rsidR="00DF74D7" w:rsidRPr="0062263F" w:rsidRDefault="00DF74D7" w:rsidP="00DD2371">
            <w:pPr>
              <w:rPr>
                <w:rFonts w:ascii="Tahoma" w:hAnsi="Tahoma" w:cs="Tahoma"/>
                <w:sz w:val="20"/>
                <w:szCs w:val="20"/>
              </w:rPr>
            </w:pPr>
          </w:p>
        </w:tc>
        <w:tc>
          <w:tcPr>
            <w:tcW w:w="3073" w:type="dxa"/>
            <w:vMerge/>
          </w:tcPr>
          <w:p w14:paraId="211C8E88" w14:textId="77777777" w:rsidR="00DF74D7" w:rsidRPr="0062263F" w:rsidRDefault="00DF74D7" w:rsidP="00DD2371">
            <w:pPr>
              <w:jc w:val="center"/>
              <w:rPr>
                <w:rFonts w:ascii="Tahoma" w:hAnsi="Tahoma" w:cs="Tahoma"/>
                <w:sz w:val="20"/>
                <w:szCs w:val="20"/>
              </w:rPr>
            </w:pPr>
          </w:p>
        </w:tc>
        <w:tc>
          <w:tcPr>
            <w:tcW w:w="1718" w:type="dxa"/>
          </w:tcPr>
          <w:p w14:paraId="5F94AE2D" w14:textId="77777777" w:rsidR="00DF74D7" w:rsidRPr="0062263F" w:rsidRDefault="00DF74D7" w:rsidP="00DD2371">
            <w:pPr>
              <w:rPr>
                <w:rFonts w:ascii="Tahoma" w:hAnsi="Tahoma" w:cs="Tahoma"/>
                <w:sz w:val="20"/>
                <w:szCs w:val="20"/>
              </w:rPr>
            </w:pPr>
            <w:r>
              <w:rPr>
                <w:rFonts w:ascii="Tahoma" w:hAnsi="Tahoma" w:cs="Tahoma"/>
                <w:sz w:val="20"/>
              </w:rPr>
              <w:t>3</w:t>
            </w:r>
            <w:r w:rsidRPr="0062263F">
              <w:rPr>
                <w:rFonts w:ascii="Tahoma" w:hAnsi="Tahoma" w:cs="Tahoma"/>
                <w:sz w:val="20"/>
              </w:rPr>
              <w:t>1-365 дней</w:t>
            </w:r>
          </w:p>
        </w:tc>
        <w:tc>
          <w:tcPr>
            <w:tcW w:w="4090" w:type="dxa"/>
            <w:gridSpan w:val="2"/>
          </w:tcPr>
          <w:p w14:paraId="65EAEC15" w14:textId="77777777" w:rsidR="00DF74D7" w:rsidRPr="0062263F" w:rsidRDefault="00DF74D7" w:rsidP="00DD2371">
            <w:pPr>
              <w:rPr>
                <w:rFonts w:ascii="Tahoma" w:hAnsi="Tahoma" w:cs="Tahoma"/>
                <w:sz w:val="20"/>
                <w:szCs w:val="20"/>
              </w:rPr>
            </w:pPr>
            <w:r w:rsidRPr="0062263F">
              <w:rPr>
                <w:rFonts w:ascii="Tahoma" w:hAnsi="Tahoma" w:cs="Tahoma"/>
                <w:sz w:val="20"/>
              </w:rPr>
              <w:t xml:space="preserve">73,00 руб. </w:t>
            </w:r>
            <w:r w:rsidRPr="0062263F">
              <w:rPr>
                <w:rFonts w:ascii="Tahoma" w:hAnsi="Tahoma" w:cs="Tahoma"/>
                <w:sz w:val="20"/>
                <w:szCs w:val="20"/>
              </w:rPr>
              <w:t>(в том числе НДС 12</w:t>
            </w:r>
            <w:r w:rsidRPr="0062263F">
              <w:rPr>
                <w:rFonts w:ascii="Tahoma" w:hAnsi="Tahoma" w:cs="Tahoma"/>
                <w:sz w:val="20"/>
              </w:rPr>
              <w:t xml:space="preserve">,17 </w:t>
            </w:r>
            <w:r w:rsidRPr="0062263F">
              <w:rPr>
                <w:rFonts w:ascii="Tahoma" w:hAnsi="Tahoma" w:cs="Tahoma"/>
                <w:sz w:val="20"/>
                <w:szCs w:val="20"/>
              </w:rPr>
              <w:t>руб.)</w:t>
            </w:r>
          </w:p>
        </w:tc>
      </w:tr>
      <w:tr w:rsidR="00DF74D7" w:rsidRPr="0062263F" w14:paraId="03A4F1D7" w14:textId="77777777" w:rsidTr="00DD2371">
        <w:tc>
          <w:tcPr>
            <w:tcW w:w="895" w:type="dxa"/>
            <w:vMerge/>
          </w:tcPr>
          <w:p w14:paraId="5AF8EAEF" w14:textId="77777777" w:rsidR="00DF74D7" w:rsidRPr="0062263F" w:rsidRDefault="00DF74D7" w:rsidP="00DD2371">
            <w:pPr>
              <w:rPr>
                <w:rFonts w:ascii="Tahoma" w:hAnsi="Tahoma" w:cs="Tahoma"/>
                <w:sz w:val="20"/>
                <w:szCs w:val="20"/>
              </w:rPr>
            </w:pPr>
          </w:p>
        </w:tc>
        <w:tc>
          <w:tcPr>
            <w:tcW w:w="3073" w:type="dxa"/>
            <w:vMerge w:val="restart"/>
          </w:tcPr>
          <w:p w14:paraId="1A59C372" w14:textId="77777777" w:rsidR="00DF74D7" w:rsidRPr="0062263F" w:rsidRDefault="00DF74D7" w:rsidP="00DD2371">
            <w:pPr>
              <w:jc w:val="center"/>
              <w:rPr>
                <w:rFonts w:ascii="Tahoma" w:hAnsi="Tahoma" w:cs="Tahoma"/>
                <w:sz w:val="20"/>
              </w:rPr>
            </w:pPr>
            <w:r w:rsidRPr="0062263F">
              <w:rPr>
                <w:rFonts w:ascii="Tahoma" w:hAnsi="Tahoma" w:cs="Tahoma"/>
                <w:sz w:val="20"/>
              </w:rPr>
              <w:t>38*51*45</w:t>
            </w:r>
          </w:p>
        </w:tc>
        <w:tc>
          <w:tcPr>
            <w:tcW w:w="1718" w:type="dxa"/>
          </w:tcPr>
          <w:p w14:paraId="00ABAB95" w14:textId="77777777" w:rsidR="00DF74D7" w:rsidRPr="0062263F" w:rsidRDefault="00DF74D7" w:rsidP="00DD2371">
            <w:pPr>
              <w:rPr>
                <w:rFonts w:ascii="Tahoma" w:hAnsi="Tahoma" w:cs="Tahoma"/>
                <w:sz w:val="20"/>
              </w:rPr>
            </w:pPr>
            <w:r w:rsidRPr="0062263F">
              <w:rPr>
                <w:rFonts w:ascii="Tahoma" w:hAnsi="Tahoma" w:cs="Tahoma"/>
                <w:sz w:val="20"/>
              </w:rPr>
              <w:t>1-30 дней</w:t>
            </w:r>
          </w:p>
        </w:tc>
        <w:tc>
          <w:tcPr>
            <w:tcW w:w="4090" w:type="dxa"/>
            <w:gridSpan w:val="2"/>
          </w:tcPr>
          <w:p w14:paraId="54E22B53" w14:textId="77777777" w:rsidR="00DF74D7" w:rsidRPr="0062263F" w:rsidRDefault="00DF74D7" w:rsidP="00DD2371">
            <w:pPr>
              <w:rPr>
                <w:rFonts w:ascii="Tahoma" w:hAnsi="Tahoma" w:cs="Tahoma"/>
                <w:sz w:val="20"/>
              </w:rPr>
            </w:pPr>
            <w:r w:rsidRPr="0062263F">
              <w:rPr>
                <w:rFonts w:ascii="Tahoma" w:hAnsi="Tahoma" w:cs="Tahoma"/>
                <w:sz w:val="20"/>
              </w:rPr>
              <w:t xml:space="preserve">227,00 руб. </w:t>
            </w:r>
            <w:r w:rsidRPr="0062263F">
              <w:rPr>
                <w:rFonts w:ascii="Tahoma" w:hAnsi="Tahoma" w:cs="Tahoma"/>
                <w:sz w:val="20"/>
                <w:szCs w:val="20"/>
              </w:rPr>
              <w:t xml:space="preserve">(в том числе НДС </w:t>
            </w:r>
            <w:r w:rsidRPr="0062263F">
              <w:rPr>
                <w:rFonts w:ascii="Tahoma" w:hAnsi="Tahoma" w:cs="Tahoma"/>
                <w:sz w:val="20"/>
              </w:rPr>
              <w:t xml:space="preserve">37,83 </w:t>
            </w:r>
            <w:r w:rsidRPr="0062263F">
              <w:rPr>
                <w:rFonts w:ascii="Tahoma" w:hAnsi="Tahoma" w:cs="Tahoma"/>
                <w:sz w:val="20"/>
                <w:szCs w:val="20"/>
              </w:rPr>
              <w:t>руб.)</w:t>
            </w:r>
          </w:p>
        </w:tc>
      </w:tr>
      <w:tr w:rsidR="00DF74D7" w:rsidRPr="0062263F" w14:paraId="0809BE93" w14:textId="77777777" w:rsidTr="00DD2371">
        <w:tc>
          <w:tcPr>
            <w:tcW w:w="895" w:type="dxa"/>
            <w:vMerge/>
          </w:tcPr>
          <w:p w14:paraId="69DE6626" w14:textId="77777777" w:rsidR="00DF74D7" w:rsidRPr="0062263F" w:rsidRDefault="00DF74D7" w:rsidP="00DD2371">
            <w:pPr>
              <w:rPr>
                <w:rFonts w:ascii="Tahoma" w:hAnsi="Tahoma" w:cs="Tahoma"/>
                <w:sz w:val="20"/>
                <w:szCs w:val="20"/>
              </w:rPr>
            </w:pPr>
          </w:p>
        </w:tc>
        <w:tc>
          <w:tcPr>
            <w:tcW w:w="3073" w:type="dxa"/>
            <w:vMerge/>
          </w:tcPr>
          <w:p w14:paraId="14019D9E" w14:textId="77777777" w:rsidR="00DF74D7" w:rsidRPr="0062263F" w:rsidRDefault="00DF74D7" w:rsidP="00DD2371">
            <w:pPr>
              <w:rPr>
                <w:rFonts w:ascii="Tahoma" w:hAnsi="Tahoma" w:cs="Tahoma"/>
                <w:sz w:val="20"/>
                <w:szCs w:val="20"/>
              </w:rPr>
            </w:pPr>
          </w:p>
        </w:tc>
        <w:tc>
          <w:tcPr>
            <w:tcW w:w="1718" w:type="dxa"/>
          </w:tcPr>
          <w:p w14:paraId="1D0879C3" w14:textId="77777777" w:rsidR="00DF74D7" w:rsidRPr="0062263F" w:rsidRDefault="00DF74D7" w:rsidP="00DD2371">
            <w:pPr>
              <w:rPr>
                <w:rFonts w:ascii="Tahoma" w:hAnsi="Tahoma" w:cs="Tahoma"/>
                <w:sz w:val="20"/>
                <w:szCs w:val="20"/>
              </w:rPr>
            </w:pPr>
            <w:r>
              <w:rPr>
                <w:rFonts w:ascii="Tahoma" w:hAnsi="Tahoma" w:cs="Tahoma"/>
                <w:sz w:val="20"/>
              </w:rPr>
              <w:t>3</w:t>
            </w:r>
            <w:r w:rsidRPr="0062263F">
              <w:rPr>
                <w:rFonts w:ascii="Tahoma" w:hAnsi="Tahoma" w:cs="Tahoma"/>
                <w:sz w:val="20"/>
              </w:rPr>
              <w:t>1-365 дней</w:t>
            </w:r>
          </w:p>
        </w:tc>
        <w:tc>
          <w:tcPr>
            <w:tcW w:w="4090" w:type="dxa"/>
            <w:gridSpan w:val="2"/>
          </w:tcPr>
          <w:p w14:paraId="6933ECA1" w14:textId="77777777" w:rsidR="00DF74D7" w:rsidRPr="0062263F" w:rsidRDefault="00DF74D7" w:rsidP="00DD2371">
            <w:pPr>
              <w:rPr>
                <w:rFonts w:ascii="Tahoma" w:hAnsi="Tahoma" w:cs="Tahoma"/>
                <w:sz w:val="20"/>
                <w:szCs w:val="20"/>
              </w:rPr>
            </w:pPr>
            <w:r w:rsidRPr="0062263F">
              <w:rPr>
                <w:rFonts w:ascii="Tahoma" w:hAnsi="Tahoma" w:cs="Tahoma"/>
                <w:sz w:val="20"/>
              </w:rPr>
              <w:t xml:space="preserve">113,00 руб. </w:t>
            </w:r>
            <w:r w:rsidRPr="0062263F">
              <w:rPr>
                <w:rFonts w:ascii="Tahoma" w:hAnsi="Tahoma" w:cs="Tahoma"/>
                <w:sz w:val="20"/>
                <w:szCs w:val="20"/>
              </w:rPr>
              <w:t>(в том числе НДС 18</w:t>
            </w:r>
            <w:r w:rsidRPr="0062263F">
              <w:rPr>
                <w:rFonts w:ascii="Tahoma" w:hAnsi="Tahoma" w:cs="Tahoma"/>
                <w:sz w:val="20"/>
              </w:rPr>
              <w:t xml:space="preserve">,83 </w:t>
            </w:r>
            <w:r w:rsidRPr="0062263F">
              <w:rPr>
                <w:rFonts w:ascii="Tahoma" w:hAnsi="Tahoma" w:cs="Tahoma"/>
                <w:sz w:val="20"/>
                <w:szCs w:val="20"/>
              </w:rPr>
              <w:t>руб.)</w:t>
            </w:r>
          </w:p>
        </w:tc>
      </w:tr>
      <w:tr w:rsidR="00DF74D7" w:rsidRPr="0062263F" w14:paraId="463D5FBC" w14:textId="77777777" w:rsidTr="00DD2371">
        <w:tc>
          <w:tcPr>
            <w:tcW w:w="895" w:type="dxa"/>
          </w:tcPr>
          <w:p w14:paraId="78E0B7F5" w14:textId="77777777" w:rsidR="00DF74D7" w:rsidRPr="0062263F" w:rsidRDefault="00DF74D7" w:rsidP="00DD2371">
            <w:pPr>
              <w:rPr>
                <w:rFonts w:ascii="Tahoma" w:hAnsi="Tahoma" w:cs="Tahoma"/>
                <w:sz w:val="20"/>
                <w:szCs w:val="20"/>
              </w:rPr>
            </w:pPr>
            <w:r w:rsidRPr="0062263F">
              <w:rPr>
                <w:rFonts w:ascii="Tahoma" w:hAnsi="Tahoma" w:cs="Tahoma"/>
                <w:sz w:val="20"/>
                <w:szCs w:val="20"/>
              </w:rPr>
              <w:t>1.2.3.</w:t>
            </w:r>
            <w:r>
              <w:rPr>
                <w:rFonts w:ascii="Tahoma" w:hAnsi="Tahoma" w:cs="Tahoma"/>
                <w:sz w:val="20"/>
                <w:szCs w:val="20"/>
                <w:vertAlign w:val="superscript"/>
              </w:rPr>
              <w:t>4</w:t>
            </w:r>
          </w:p>
        </w:tc>
        <w:tc>
          <w:tcPr>
            <w:tcW w:w="3073" w:type="dxa"/>
          </w:tcPr>
          <w:p w14:paraId="5FFE38CC" w14:textId="77777777" w:rsidR="00DF74D7" w:rsidRPr="0062263F" w:rsidRDefault="00DF74D7" w:rsidP="00DD2371">
            <w:pPr>
              <w:rPr>
                <w:rFonts w:ascii="Tahoma" w:hAnsi="Tahoma" w:cs="Tahoma"/>
                <w:sz w:val="20"/>
                <w:szCs w:val="20"/>
              </w:rPr>
            </w:pPr>
            <w:r w:rsidRPr="0062263F">
              <w:rPr>
                <w:rFonts w:ascii="Tahoma" w:hAnsi="Tahoma" w:cs="Tahoma"/>
                <w:iCs/>
                <w:sz w:val="18"/>
                <w:szCs w:val="18"/>
              </w:rPr>
              <w:t>Неустойка за несвоевременную оплату аренды сейфа/сейфовой ячейки</w:t>
            </w:r>
          </w:p>
        </w:tc>
        <w:tc>
          <w:tcPr>
            <w:tcW w:w="5808" w:type="dxa"/>
            <w:gridSpan w:val="3"/>
          </w:tcPr>
          <w:p w14:paraId="36D5E19F" w14:textId="77777777" w:rsidR="00DF74D7" w:rsidRPr="0062263F" w:rsidRDefault="00DF74D7" w:rsidP="00DD2371">
            <w:pPr>
              <w:rPr>
                <w:rFonts w:ascii="Tahoma" w:hAnsi="Tahoma" w:cs="Tahoma"/>
                <w:sz w:val="20"/>
                <w:szCs w:val="20"/>
              </w:rPr>
            </w:pPr>
            <w:r w:rsidRPr="0062263F">
              <w:rPr>
                <w:rFonts w:ascii="Tahoma" w:hAnsi="Tahoma" w:cs="Tahoma"/>
                <w:iCs/>
                <w:sz w:val="18"/>
                <w:szCs w:val="18"/>
              </w:rPr>
              <w:t>125,00 руб. за каждый календарный день просрочки</w:t>
            </w:r>
          </w:p>
        </w:tc>
      </w:tr>
      <w:tr w:rsidR="00DF74D7" w:rsidRPr="0062263F" w14:paraId="7D824FEB" w14:textId="77777777" w:rsidTr="00DD2371">
        <w:tc>
          <w:tcPr>
            <w:tcW w:w="895" w:type="dxa"/>
          </w:tcPr>
          <w:p w14:paraId="3B8E9A5F" w14:textId="77777777" w:rsidR="00DF74D7" w:rsidRPr="0062263F" w:rsidRDefault="00DF74D7" w:rsidP="00DD2371">
            <w:pPr>
              <w:rPr>
                <w:rFonts w:ascii="Tahoma" w:hAnsi="Tahoma" w:cs="Tahoma"/>
                <w:sz w:val="20"/>
                <w:szCs w:val="20"/>
              </w:rPr>
            </w:pPr>
            <w:r w:rsidRPr="0062263F">
              <w:rPr>
                <w:rFonts w:ascii="Tahoma" w:hAnsi="Tahoma" w:cs="Tahoma"/>
                <w:sz w:val="20"/>
                <w:szCs w:val="20"/>
              </w:rPr>
              <w:t>1.2.4.</w:t>
            </w:r>
            <w:r>
              <w:rPr>
                <w:rFonts w:ascii="Tahoma" w:hAnsi="Tahoma" w:cs="Tahoma"/>
                <w:sz w:val="20"/>
                <w:szCs w:val="20"/>
                <w:vertAlign w:val="superscript"/>
              </w:rPr>
              <w:t>5</w:t>
            </w:r>
          </w:p>
        </w:tc>
        <w:tc>
          <w:tcPr>
            <w:tcW w:w="3073" w:type="dxa"/>
          </w:tcPr>
          <w:p w14:paraId="68C4F7A4" w14:textId="77777777" w:rsidR="00DF74D7" w:rsidRPr="0062263F" w:rsidRDefault="00DF74D7" w:rsidP="00DD2371">
            <w:pPr>
              <w:rPr>
                <w:rFonts w:ascii="Tahoma" w:hAnsi="Tahoma" w:cs="Tahoma"/>
                <w:sz w:val="20"/>
                <w:szCs w:val="20"/>
              </w:rPr>
            </w:pPr>
            <w:r w:rsidRPr="0062263F">
              <w:rPr>
                <w:rFonts w:ascii="Tahoma" w:hAnsi="Tahoma" w:cs="Tahoma"/>
                <w:iCs/>
                <w:sz w:val="18"/>
                <w:szCs w:val="18"/>
              </w:rPr>
              <w:t>Обеспечительный платеж</w:t>
            </w:r>
          </w:p>
        </w:tc>
        <w:tc>
          <w:tcPr>
            <w:tcW w:w="5808" w:type="dxa"/>
            <w:gridSpan w:val="3"/>
          </w:tcPr>
          <w:p w14:paraId="675D3334" w14:textId="77777777" w:rsidR="00DF74D7" w:rsidRPr="0062263F" w:rsidRDefault="00DF74D7" w:rsidP="00DD2371">
            <w:pPr>
              <w:rPr>
                <w:rFonts w:ascii="Tahoma" w:hAnsi="Tahoma" w:cs="Tahoma"/>
                <w:sz w:val="20"/>
                <w:szCs w:val="20"/>
              </w:rPr>
            </w:pPr>
            <w:r w:rsidRPr="0062263F">
              <w:rPr>
                <w:rFonts w:ascii="Tahoma" w:hAnsi="Tahoma" w:cs="Tahoma"/>
                <w:iCs/>
                <w:sz w:val="18"/>
                <w:szCs w:val="18"/>
              </w:rPr>
              <w:t xml:space="preserve">3615,00 руб. </w:t>
            </w:r>
          </w:p>
        </w:tc>
      </w:tr>
      <w:tr w:rsidR="00DF74D7" w:rsidRPr="0062263F" w14:paraId="43CF007B" w14:textId="77777777" w:rsidTr="00DD2371">
        <w:tc>
          <w:tcPr>
            <w:tcW w:w="895" w:type="dxa"/>
          </w:tcPr>
          <w:p w14:paraId="0B40D825" w14:textId="77777777" w:rsidR="00DF74D7" w:rsidRPr="0062263F" w:rsidRDefault="00DF74D7" w:rsidP="00DD2371">
            <w:pPr>
              <w:rPr>
                <w:rFonts w:ascii="Tahoma" w:hAnsi="Tahoma" w:cs="Tahoma"/>
                <w:sz w:val="20"/>
                <w:szCs w:val="20"/>
              </w:rPr>
            </w:pPr>
            <w:r w:rsidRPr="0062263F">
              <w:rPr>
                <w:rFonts w:ascii="Tahoma" w:hAnsi="Tahoma" w:cs="Tahoma"/>
                <w:sz w:val="20"/>
                <w:szCs w:val="20"/>
              </w:rPr>
              <w:t>1.2.5.</w:t>
            </w:r>
            <w:r>
              <w:rPr>
                <w:rFonts w:ascii="Tahoma" w:hAnsi="Tahoma" w:cs="Tahoma"/>
                <w:sz w:val="20"/>
                <w:szCs w:val="20"/>
                <w:vertAlign w:val="superscript"/>
              </w:rPr>
              <w:t>6</w:t>
            </w:r>
          </w:p>
        </w:tc>
        <w:tc>
          <w:tcPr>
            <w:tcW w:w="3073" w:type="dxa"/>
          </w:tcPr>
          <w:p w14:paraId="51B0BAF6" w14:textId="77777777" w:rsidR="00DF74D7" w:rsidRPr="0062263F" w:rsidRDefault="00DF74D7" w:rsidP="00DD2371">
            <w:pPr>
              <w:rPr>
                <w:rFonts w:ascii="Tahoma" w:hAnsi="Tahoma" w:cs="Tahoma"/>
                <w:sz w:val="20"/>
                <w:szCs w:val="20"/>
              </w:rPr>
            </w:pPr>
            <w:r w:rsidRPr="0062263F">
              <w:rPr>
                <w:rFonts w:ascii="Tahoma" w:hAnsi="Tahoma" w:cs="Tahoma"/>
                <w:iCs/>
                <w:sz w:val="18"/>
                <w:szCs w:val="18"/>
              </w:rPr>
              <w:t>Неустойка за утрату/порчу ключей, замка, ячейки(ячеек), вскрытие ячейки</w:t>
            </w:r>
          </w:p>
        </w:tc>
        <w:tc>
          <w:tcPr>
            <w:tcW w:w="5808" w:type="dxa"/>
            <w:gridSpan w:val="3"/>
          </w:tcPr>
          <w:p w14:paraId="04016010" w14:textId="77777777" w:rsidR="00DF74D7" w:rsidRPr="0062263F" w:rsidRDefault="00DF74D7" w:rsidP="00DD2371">
            <w:pPr>
              <w:rPr>
                <w:rFonts w:ascii="Tahoma" w:hAnsi="Tahoma" w:cs="Tahoma"/>
                <w:sz w:val="20"/>
                <w:szCs w:val="20"/>
              </w:rPr>
            </w:pPr>
            <w:r w:rsidRPr="0062263F">
              <w:rPr>
                <w:rFonts w:ascii="Tahoma" w:hAnsi="Tahoma" w:cs="Tahoma"/>
                <w:iCs/>
                <w:sz w:val="18"/>
                <w:szCs w:val="18"/>
              </w:rPr>
              <w:t xml:space="preserve">3615,00 руб. </w:t>
            </w:r>
          </w:p>
        </w:tc>
      </w:tr>
      <w:tr w:rsidR="00DF74D7" w:rsidRPr="0062263F" w14:paraId="7D2E3D67" w14:textId="77777777" w:rsidTr="00DD2371">
        <w:tc>
          <w:tcPr>
            <w:tcW w:w="895" w:type="dxa"/>
          </w:tcPr>
          <w:p w14:paraId="77525123" w14:textId="77777777" w:rsidR="00DF74D7" w:rsidRPr="0062263F" w:rsidRDefault="00DF74D7" w:rsidP="00DD2371">
            <w:pPr>
              <w:rPr>
                <w:rFonts w:ascii="Tahoma" w:hAnsi="Tahoma" w:cs="Tahoma"/>
                <w:sz w:val="20"/>
                <w:szCs w:val="20"/>
              </w:rPr>
            </w:pPr>
            <w:r w:rsidRPr="0062263F">
              <w:rPr>
                <w:rFonts w:ascii="Tahoma" w:hAnsi="Tahoma" w:cs="Tahoma"/>
                <w:sz w:val="20"/>
                <w:szCs w:val="20"/>
              </w:rPr>
              <w:t>1.2.6.</w:t>
            </w:r>
            <w:r>
              <w:rPr>
                <w:rFonts w:ascii="Tahoma" w:hAnsi="Tahoma" w:cs="Tahoma"/>
                <w:sz w:val="20"/>
                <w:szCs w:val="20"/>
                <w:vertAlign w:val="superscript"/>
              </w:rPr>
              <w:t>3</w:t>
            </w:r>
          </w:p>
        </w:tc>
        <w:tc>
          <w:tcPr>
            <w:tcW w:w="3073" w:type="dxa"/>
          </w:tcPr>
          <w:p w14:paraId="2BFF9F7B" w14:textId="77777777" w:rsidR="00DF74D7" w:rsidRPr="0062263F" w:rsidRDefault="00DF74D7" w:rsidP="00DD2371">
            <w:pPr>
              <w:rPr>
                <w:rFonts w:ascii="Tahoma" w:hAnsi="Tahoma" w:cs="Tahoma"/>
                <w:sz w:val="20"/>
                <w:szCs w:val="20"/>
              </w:rPr>
            </w:pPr>
            <w:r w:rsidRPr="0062263F">
              <w:rPr>
                <w:rFonts w:ascii="Tahoma" w:hAnsi="Tahoma" w:cs="Tahoma"/>
                <w:iCs/>
                <w:sz w:val="18"/>
                <w:szCs w:val="18"/>
              </w:rPr>
              <w:t>Предоставление в хранилище ценностей Банка в пользование клиенту машинки для пересчета денег и технических средств для проверки подлинности банкнот</w:t>
            </w:r>
          </w:p>
        </w:tc>
        <w:tc>
          <w:tcPr>
            <w:tcW w:w="5808" w:type="dxa"/>
            <w:gridSpan w:val="3"/>
          </w:tcPr>
          <w:p w14:paraId="0895FD97" w14:textId="77777777" w:rsidR="00DF74D7" w:rsidRPr="0062263F" w:rsidRDefault="00DF74D7" w:rsidP="00DD2371">
            <w:pPr>
              <w:rPr>
                <w:rFonts w:ascii="Tahoma" w:hAnsi="Tahoma" w:cs="Tahoma"/>
                <w:sz w:val="20"/>
                <w:szCs w:val="20"/>
              </w:rPr>
            </w:pPr>
            <w:r w:rsidRPr="0062263F">
              <w:rPr>
                <w:rFonts w:ascii="Tahoma" w:hAnsi="Tahoma" w:cs="Tahoma"/>
                <w:iCs/>
                <w:sz w:val="18"/>
                <w:szCs w:val="18"/>
              </w:rPr>
              <w:t>1205,00 руб. (в том числе НДС 200,83 руб.)</w:t>
            </w:r>
          </w:p>
        </w:tc>
      </w:tr>
      <w:tr w:rsidR="00DF74D7" w:rsidRPr="0062263F" w14:paraId="2FCBB539" w14:textId="77777777" w:rsidTr="00DD2371">
        <w:tc>
          <w:tcPr>
            <w:tcW w:w="895" w:type="dxa"/>
          </w:tcPr>
          <w:p w14:paraId="71F6976B" w14:textId="77777777" w:rsidR="00DF74D7" w:rsidRPr="0062263F" w:rsidRDefault="00DF74D7" w:rsidP="00DD2371">
            <w:pPr>
              <w:rPr>
                <w:rFonts w:ascii="Tahoma" w:hAnsi="Tahoma" w:cs="Tahoma"/>
                <w:sz w:val="20"/>
                <w:szCs w:val="20"/>
              </w:rPr>
            </w:pPr>
            <w:r w:rsidRPr="0062263F">
              <w:rPr>
                <w:rFonts w:ascii="Tahoma" w:hAnsi="Tahoma" w:cs="Tahoma"/>
                <w:sz w:val="20"/>
                <w:szCs w:val="20"/>
              </w:rPr>
              <w:t>1.2.7.</w:t>
            </w:r>
            <w:r>
              <w:rPr>
                <w:rFonts w:ascii="Tahoma" w:hAnsi="Tahoma" w:cs="Tahoma"/>
                <w:sz w:val="20"/>
                <w:szCs w:val="20"/>
                <w:vertAlign w:val="superscript"/>
              </w:rPr>
              <w:t>3</w:t>
            </w:r>
          </w:p>
        </w:tc>
        <w:tc>
          <w:tcPr>
            <w:tcW w:w="3073" w:type="dxa"/>
          </w:tcPr>
          <w:p w14:paraId="1C1BDF95" w14:textId="77777777" w:rsidR="00DF74D7" w:rsidRPr="0062263F" w:rsidRDefault="00DF74D7" w:rsidP="00DD2371">
            <w:pPr>
              <w:rPr>
                <w:rFonts w:ascii="Tahoma" w:hAnsi="Tahoma" w:cs="Tahoma"/>
                <w:sz w:val="20"/>
                <w:szCs w:val="20"/>
              </w:rPr>
            </w:pPr>
            <w:r w:rsidRPr="0062263F">
              <w:rPr>
                <w:rFonts w:ascii="Tahoma" w:hAnsi="Tahoma" w:cs="Tahoma"/>
                <w:iCs/>
                <w:sz w:val="18"/>
                <w:szCs w:val="18"/>
              </w:rPr>
              <w:t>Пересчет наличных денежных средств сотрудником "Азиатско-Тихоокеанский Банк" (АО) в присутствии клиента</w:t>
            </w:r>
          </w:p>
        </w:tc>
        <w:tc>
          <w:tcPr>
            <w:tcW w:w="5808" w:type="dxa"/>
            <w:gridSpan w:val="3"/>
          </w:tcPr>
          <w:p w14:paraId="745D0668" w14:textId="77777777" w:rsidR="00DF74D7" w:rsidRPr="0062263F" w:rsidRDefault="00DF74D7" w:rsidP="00DD2371">
            <w:pPr>
              <w:rPr>
                <w:rFonts w:ascii="Tahoma" w:hAnsi="Tahoma" w:cs="Tahoma"/>
                <w:sz w:val="20"/>
                <w:szCs w:val="20"/>
              </w:rPr>
            </w:pPr>
            <w:r w:rsidRPr="0062263F">
              <w:rPr>
                <w:rFonts w:ascii="Tahoma" w:hAnsi="Tahoma" w:cs="Tahoma"/>
                <w:iCs/>
                <w:sz w:val="18"/>
                <w:szCs w:val="18"/>
              </w:rPr>
              <w:t>0,1% (в том числе НДС) от пересчитанной суммы</w:t>
            </w:r>
          </w:p>
        </w:tc>
      </w:tr>
      <w:tr w:rsidR="00DF74D7" w:rsidRPr="0062263F" w14:paraId="21CC0B5C" w14:textId="77777777" w:rsidTr="00DD2371">
        <w:tc>
          <w:tcPr>
            <w:tcW w:w="895" w:type="dxa"/>
          </w:tcPr>
          <w:p w14:paraId="34F425D9" w14:textId="77777777" w:rsidR="00DF74D7" w:rsidRPr="0062263F" w:rsidRDefault="00DF74D7" w:rsidP="00DD2371">
            <w:pPr>
              <w:rPr>
                <w:rFonts w:ascii="Tahoma" w:hAnsi="Tahoma" w:cs="Tahoma"/>
                <w:sz w:val="20"/>
                <w:szCs w:val="20"/>
              </w:rPr>
            </w:pPr>
            <w:r w:rsidRPr="0062263F">
              <w:rPr>
                <w:rFonts w:ascii="Tahoma" w:hAnsi="Tahoma" w:cs="Tahoma"/>
                <w:sz w:val="20"/>
                <w:szCs w:val="20"/>
              </w:rPr>
              <w:t>1.2.8.</w:t>
            </w:r>
          </w:p>
        </w:tc>
        <w:tc>
          <w:tcPr>
            <w:tcW w:w="8881" w:type="dxa"/>
            <w:gridSpan w:val="4"/>
          </w:tcPr>
          <w:p w14:paraId="155CBD04" w14:textId="77777777" w:rsidR="00DF74D7" w:rsidRPr="0062263F" w:rsidRDefault="00DF74D7" w:rsidP="00DD2371">
            <w:pPr>
              <w:rPr>
                <w:rFonts w:ascii="Tahoma" w:hAnsi="Tahoma" w:cs="Tahoma"/>
                <w:iCs/>
                <w:sz w:val="18"/>
                <w:szCs w:val="18"/>
              </w:rPr>
            </w:pPr>
            <w:r w:rsidRPr="0062263F">
              <w:rPr>
                <w:rFonts w:ascii="Tahoma" w:hAnsi="Tahoma" w:cs="Tahoma"/>
                <w:iCs/>
                <w:sz w:val="18"/>
                <w:szCs w:val="18"/>
              </w:rPr>
              <w:t>Обеспечение контроля за допуском к индивидуальной сейфовой ячейке в соответствии с условиями договора аренды сейфовой ячейки при ипотечной сделке</w:t>
            </w:r>
            <w:r>
              <w:rPr>
                <w:rFonts w:ascii="Tahoma" w:eastAsia="Calibri" w:hAnsi="Tahoma" w:cs="Tahoma"/>
                <w:sz w:val="16"/>
                <w:szCs w:val="16"/>
                <w:vertAlign w:val="superscript"/>
              </w:rPr>
              <w:t>7</w:t>
            </w:r>
            <w:r w:rsidRPr="0062263F">
              <w:rPr>
                <w:rFonts w:ascii="Tahoma" w:hAnsi="Tahoma" w:cs="Tahoma"/>
                <w:iCs/>
                <w:sz w:val="18"/>
                <w:szCs w:val="18"/>
              </w:rPr>
              <w:t>.</w:t>
            </w:r>
          </w:p>
        </w:tc>
      </w:tr>
      <w:tr w:rsidR="00DF74D7" w:rsidRPr="0062263F" w14:paraId="343B7389" w14:textId="77777777" w:rsidTr="00DD2371">
        <w:tc>
          <w:tcPr>
            <w:tcW w:w="895" w:type="dxa"/>
          </w:tcPr>
          <w:p w14:paraId="2BDC9826" w14:textId="77777777" w:rsidR="00DF74D7" w:rsidRPr="0062263F" w:rsidRDefault="00DF74D7" w:rsidP="00DD2371">
            <w:pPr>
              <w:rPr>
                <w:rFonts w:ascii="Tahoma" w:hAnsi="Tahoma" w:cs="Tahoma"/>
                <w:sz w:val="20"/>
                <w:szCs w:val="20"/>
              </w:rPr>
            </w:pPr>
            <w:r w:rsidRPr="0062263F">
              <w:rPr>
                <w:rFonts w:ascii="Tahoma" w:hAnsi="Tahoma" w:cs="Tahoma"/>
                <w:sz w:val="20"/>
                <w:szCs w:val="20"/>
              </w:rPr>
              <w:t>1.2.8.1.</w:t>
            </w:r>
          </w:p>
        </w:tc>
        <w:tc>
          <w:tcPr>
            <w:tcW w:w="3073" w:type="dxa"/>
          </w:tcPr>
          <w:p w14:paraId="48C5A778" w14:textId="77777777" w:rsidR="00DF74D7" w:rsidRPr="0062263F" w:rsidRDefault="00DF74D7" w:rsidP="00DD2371">
            <w:pPr>
              <w:rPr>
                <w:rFonts w:ascii="Tahoma" w:hAnsi="Tahoma" w:cs="Tahoma"/>
                <w:iCs/>
                <w:sz w:val="18"/>
                <w:szCs w:val="18"/>
              </w:rPr>
            </w:pPr>
            <w:r w:rsidRPr="0062263F">
              <w:rPr>
                <w:rFonts w:ascii="Tahoma" w:hAnsi="Tahoma" w:cs="Tahoma"/>
                <w:bCs/>
                <w:sz w:val="18"/>
                <w:szCs w:val="18"/>
              </w:rPr>
              <w:t xml:space="preserve">Для всех подразделений "Азиатско-Тихоокеанский Банк" (АО), за исключением </w:t>
            </w:r>
            <w:r w:rsidRPr="0062263F">
              <w:rPr>
                <w:rFonts w:ascii="Tahoma" w:hAnsi="Tahoma" w:cs="Tahoma"/>
                <w:bCs/>
                <w:sz w:val="18"/>
                <w:szCs w:val="18"/>
              </w:rPr>
              <w:lastRenderedPageBreak/>
              <w:t>Дополнительного офиса № 5 Филиала "Азиатско-Тихоокеанский Банк" (АО) в г. Москва</w:t>
            </w:r>
          </w:p>
        </w:tc>
        <w:tc>
          <w:tcPr>
            <w:tcW w:w="5808" w:type="dxa"/>
            <w:gridSpan w:val="3"/>
          </w:tcPr>
          <w:p w14:paraId="61B6933D" w14:textId="77777777" w:rsidR="00DF74D7" w:rsidRPr="0062263F" w:rsidRDefault="00DF74D7" w:rsidP="00DD2371">
            <w:pPr>
              <w:rPr>
                <w:rFonts w:ascii="Tahoma" w:hAnsi="Tahoma" w:cs="Tahoma"/>
                <w:iCs/>
                <w:sz w:val="18"/>
                <w:szCs w:val="18"/>
              </w:rPr>
            </w:pPr>
            <w:r w:rsidRPr="0062263F">
              <w:rPr>
                <w:rFonts w:ascii="Tahoma" w:hAnsi="Tahoma" w:cs="Tahoma"/>
                <w:iCs/>
                <w:sz w:val="18"/>
                <w:szCs w:val="18"/>
              </w:rPr>
              <w:lastRenderedPageBreak/>
              <w:t>3500,00 руб. (в т.ч. НДС)</w:t>
            </w:r>
          </w:p>
        </w:tc>
      </w:tr>
      <w:tr w:rsidR="00DF74D7" w:rsidRPr="0062263F" w14:paraId="5057F948" w14:textId="77777777" w:rsidTr="00DD2371">
        <w:tc>
          <w:tcPr>
            <w:tcW w:w="895" w:type="dxa"/>
          </w:tcPr>
          <w:p w14:paraId="67CC2995" w14:textId="77777777" w:rsidR="00DF74D7" w:rsidRPr="0062263F" w:rsidRDefault="00DF74D7" w:rsidP="00DD2371">
            <w:pPr>
              <w:rPr>
                <w:rFonts w:ascii="Tahoma" w:hAnsi="Tahoma" w:cs="Tahoma"/>
                <w:sz w:val="20"/>
                <w:szCs w:val="20"/>
              </w:rPr>
            </w:pPr>
            <w:r w:rsidRPr="0062263F">
              <w:rPr>
                <w:rFonts w:ascii="Tahoma" w:hAnsi="Tahoma" w:cs="Tahoma"/>
                <w:sz w:val="20"/>
                <w:szCs w:val="20"/>
              </w:rPr>
              <w:t>1.2.8.2.</w:t>
            </w:r>
          </w:p>
        </w:tc>
        <w:tc>
          <w:tcPr>
            <w:tcW w:w="3073" w:type="dxa"/>
          </w:tcPr>
          <w:p w14:paraId="1E6418AA" w14:textId="77777777" w:rsidR="00DF74D7" w:rsidRPr="0062263F" w:rsidRDefault="00DF74D7" w:rsidP="00DD2371">
            <w:pPr>
              <w:rPr>
                <w:rFonts w:ascii="Tahoma" w:hAnsi="Tahoma" w:cs="Tahoma"/>
                <w:iCs/>
                <w:sz w:val="18"/>
                <w:szCs w:val="18"/>
              </w:rPr>
            </w:pPr>
            <w:r w:rsidRPr="0062263F">
              <w:rPr>
                <w:rFonts w:ascii="Tahoma" w:hAnsi="Tahoma" w:cs="Tahoma"/>
                <w:bCs/>
                <w:sz w:val="18"/>
                <w:szCs w:val="18"/>
              </w:rPr>
              <w:t>Для Дополнительного офиса № 5 Филиала "Азиатско-Тихоокеанский Банк" (АО) в г. Москва</w:t>
            </w:r>
          </w:p>
        </w:tc>
        <w:tc>
          <w:tcPr>
            <w:tcW w:w="5808" w:type="dxa"/>
            <w:gridSpan w:val="3"/>
          </w:tcPr>
          <w:p w14:paraId="0112FBF1" w14:textId="77777777" w:rsidR="00DF74D7" w:rsidRPr="0062263F" w:rsidRDefault="00DF74D7" w:rsidP="00DD2371">
            <w:pPr>
              <w:rPr>
                <w:rFonts w:ascii="Tahoma" w:hAnsi="Tahoma" w:cs="Tahoma"/>
                <w:iCs/>
                <w:sz w:val="18"/>
                <w:szCs w:val="18"/>
              </w:rPr>
            </w:pPr>
            <w:r w:rsidRPr="0062263F">
              <w:rPr>
                <w:rFonts w:ascii="Tahoma" w:hAnsi="Tahoma" w:cs="Tahoma"/>
                <w:iCs/>
                <w:sz w:val="18"/>
                <w:szCs w:val="18"/>
              </w:rPr>
              <w:t>5000,00 руб. (в т.ч. НДС)</w:t>
            </w:r>
          </w:p>
        </w:tc>
      </w:tr>
    </w:tbl>
    <w:p w14:paraId="5A0329DB" w14:textId="77777777" w:rsidR="00DF74D7" w:rsidRDefault="00DF74D7" w:rsidP="00DF74D7">
      <w:pPr>
        <w:rPr>
          <w:rFonts w:ascii="Tahoma" w:eastAsia="Calibri" w:hAnsi="Tahoma" w:cs="Tahoma"/>
          <w:iCs/>
          <w:sz w:val="16"/>
          <w:szCs w:val="16"/>
        </w:rPr>
      </w:pPr>
      <w:r w:rsidRPr="0062263F">
        <w:rPr>
          <w:rFonts w:ascii="Tahoma" w:eastAsia="Calibri" w:hAnsi="Tahoma" w:cs="Tahoma"/>
          <w:sz w:val="16"/>
          <w:szCs w:val="16"/>
          <w:vertAlign w:val="superscript"/>
        </w:rPr>
        <w:br w:type="textWrapping" w:clear="all"/>
        <w:t>1</w:t>
      </w:r>
      <w:r w:rsidRPr="0062263F">
        <w:rPr>
          <w:rFonts w:ascii="Tahoma" w:eastAsia="Calibri" w:hAnsi="Tahoma" w:cs="Tahoma"/>
          <w:sz w:val="16"/>
          <w:szCs w:val="16"/>
        </w:rPr>
        <w:t xml:space="preserve"> </w:t>
      </w:r>
      <w:r>
        <w:rPr>
          <w:rFonts w:ascii="Tahoma" w:eastAsia="Calibri" w:hAnsi="Tahoma" w:cs="Tahoma"/>
          <w:sz w:val="16"/>
          <w:szCs w:val="16"/>
        </w:rPr>
        <w:t>–</w:t>
      </w:r>
      <w:r w:rsidRPr="0062263F">
        <w:rPr>
          <w:rFonts w:ascii="Tahoma" w:eastAsia="Calibri" w:hAnsi="Tahoma" w:cs="Tahoma"/>
          <w:sz w:val="16"/>
          <w:szCs w:val="16"/>
        </w:rPr>
        <w:t xml:space="preserve"> </w:t>
      </w:r>
      <w:r w:rsidRPr="0062263F">
        <w:rPr>
          <w:rFonts w:ascii="Tahoma" w:eastAsia="Calibri" w:hAnsi="Tahoma" w:cs="Tahoma"/>
          <w:iCs/>
          <w:sz w:val="16"/>
          <w:szCs w:val="16"/>
        </w:rPr>
        <w:t>Только для отделений "Азиатско-Тихоокеанский Банк" (АО), имеющих в наличии сейфы и сейфовые ячейки</w:t>
      </w:r>
      <w:r>
        <w:rPr>
          <w:rFonts w:ascii="Tahoma" w:eastAsia="Calibri" w:hAnsi="Tahoma" w:cs="Tahoma"/>
          <w:iCs/>
          <w:sz w:val="16"/>
          <w:szCs w:val="16"/>
        </w:rPr>
        <w:t>.</w:t>
      </w:r>
    </w:p>
    <w:p w14:paraId="46698EAD" w14:textId="77777777" w:rsidR="00DF74D7" w:rsidRPr="00DB777B" w:rsidRDefault="00DF74D7" w:rsidP="00DF74D7">
      <w:pPr>
        <w:rPr>
          <w:rFonts w:ascii="Tahoma" w:eastAsia="Calibri" w:hAnsi="Tahoma" w:cs="Tahoma"/>
          <w:iCs/>
          <w:sz w:val="16"/>
          <w:szCs w:val="16"/>
        </w:rPr>
      </w:pPr>
      <w:r w:rsidRPr="00DB777B">
        <w:rPr>
          <w:rFonts w:ascii="Tahoma" w:eastAsia="Calibri" w:hAnsi="Tahoma" w:cs="Tahoma"/>
          <w:sz w:val="16"/>
          <w:szCs w:val="16"/>
          <w:vertAlign w:val="superscript"/>
        </w:rPr>
        <w:t>2</w:t>
      </w:r>
      <w:r>
        <w:rPr>
          <w:rFonts w:ascii="Tahoma" w:eastAsia="Calibri" w:hAnsi="Tahoma" w:cs="Tahoma"/>
          <w:sz w:val="16"/>
          <w:szCs w:val="16"/>
        </w:rPr>
        <w:t xml:space="preserve"> – Д</w:t>
      </w:r>
      <w:r w:rsidRPr="00DB777B">
        <w:rPr>
          <w:rFonts w:ascii="Tahoma" w:eastAsia="Calibri" w:hAnsi="Tahoma" w:cs="Tahoma"/>
          <w:iCs/>
          <w:sz w:val="16"/>
          <w:szCs w:val="16"/>
        </w:rPr>
        <w:t>ля клиентов с наличием подключенной программы Банка «Статус»</w:t>
      </w:r>
      <w:r>
        <w:rPr>
          <w:rFonts w:ascii="Tahoma" w:eastAsia="Calibri" w:hAnsi="Tahoma" w:cs="Tahoma"/>
          <w:iCs/>
          <w:sz w:val="16"/>
          <w:szCs w:val="16"/>
        </w:rPr>
        <w:t xml:space="preserve"> п</w:t>
      </w:r>
      <w:r w:rsidRPr="0015651B">
        <w:rPr>
          <w:rFonts w:ascii="Tahoma" w:eastAsia="Calibri" w:hAnsi="Tahoma" w:cs="Tahoma"/>
          <w:iCs/>
          <w:sz w:val="16"/>
          <w:szCs w:val="16"/>
        </w:rPr>
        <w:t xml:space="preserve">рименяется скидка 20% к </w:t>
      </w:r>
      <w:r w:rsidRPr="00DB777B">
        <w:rPr>
          <w:rFonts w:ascii="Tahoma" w:eastAsia="Calibri" w:hAnsi="Tahoma" w:cs="Tahoma"/>
          <w:iCs/>
          <w:sz w:val="16"/>
          <w:szCs w:val="16"/>
        </w:rPr>
        <w:t>указанному тарифу</w:t>
      </w:r>
      <w:r>
        <w:rPr>
          <w:rFonts w:ascii="Tahoma" w:eastAsia="Calibri" w:hAnsi="Tahoma" w:cs="Tahoma"/>
          <w:iCs/>
          <w:sz w:val="16"/>
          <w:szCs w:val="16"/>
        </w:rPr>
        <w:t>.</w:t>
      </w:r>
    </w:p>
    <w:p w14:paraId="5A934DB3" w14:textId="77777777" w:rsidR="00DF74D7" w:rsidRPr="0062263F" w:rsidRDefault="00DF74D7" w:rsidP="00DF74D7">
      <w:pPr>
        <w:rPr>
          <w:rFonts w:ascii="Tahoma" w:eastAsia="Calibri" w:hAnsi="Tahoma" w:cs="Tahoma"/>
          <w:sz w:val="16"/>
          <w:szCs w:val="16"/>
        </w:rPr>
      </w:pPr>
      <w:r>
        <w:rPr>
          <w:rFonts w:ascii="Tahoma" w:eastAsia="Calibri" w:hAnsi="Tahoma" w:cs="Tahoma"/>
          <w:sz w:val="16"/>
          <w:szCs w:val="16"/>
          <w:vertAlign w:val="superscript"/>
        </w:rPr>
        <w:t>3</w:t>
      </w:r>
      <w:r w:rsidRPr="0062263F">
        <w:rPr>
          <w:rFonts w:ascii="Tahoma" w:eastAsia="Calibri" w:hAnsi="Tahoma" w:cs="Tahoma"/>
          <w:sz w:val="16"/>
          <w:szCs w:val="16"/>
        </w:rPr>
        <w:t xml:space="preserve"> – Взимается до момента предоставления услуги</w:t>
      </w:r>
      <w:r>
        <w:rPr>
          <w:rFonts w:ascii="Tahoma" w:eastAsia="Calibri" w:hAnsi="Tahoma" w:cs="Tahoma"/>
          <w:sz w:val="16"/>
          <w:szCs w:val="16"/>
        </w:rPr>
        <w:t>.</w:t>
      </w:r>
    </w:p>
    <w:p w14:paraId="6018B779" w14:textId="77777777" w:rsidR="00DF74D7" w:rsidRPr="0062263F" w:rsidRDefault="00DF74D7" w:rsidP="00DF74D7">
      <w:pPr>
        <w:rPr>
          <w:rFonts w:ascii="Tahoma" w:eastAsia="Calibri" w:hAnsi="Tahoma" w:cs="Tahoma"/>
          <w:sz w:val="16"/>
          <w:szCs w:val="16"/>
        </w:rPr>
      </w:pPr>
      <w:r>
        <w:rPr>
          <w:rFonts w:ascii="Tahoma" w:eastAsia="Calibri" w:hAnsi="Tahoma" w:cs="Tahoma"/>
          <w:sz w:val="16"/>
          <w:szCs w:val="16"/>
          <w:vertAlign w:val="superscript"/>
        </w:rPr>
        <w:t>4</w:t>
      </w:r>
      <w:r w:rsidRPr="0062263F">
        <w:rPr>
          <w:rFonts w:ascii="Tahoma" w:eastAsia="Calibri" w:hAnsi="Tahoma" w:cs="Tahoma"/>
          <w:sz w:val="16"/>
          <w:szCs w:val="16"/>
          <w:vertAlign w:val="superscript"/>
        </w:rPr>
        <w:t xml:space="preserve"> </w:t>
      </w:r>
      <w:r w:rsidRPr="0062263F">
        <w:rPr>
          <w:rFonts w:ascii="Tahoma" w:eastAsia="Calibri" w:hAnsi="Tahoma" w:cs="Tahoma"/>
          <w:sz w:val="16"/>
          <w:szCs w:val="16"/>
        </w:rPr>
        <w:t>– Взимается путем оплаты через кассу Банка или со счета Клиента, открытого в Банке</w:t>
      </w:r>
      <w:r>
        <w:rPr>
          <w:rFonts w:ascii="Tahoma" w:eastAsia="Calibri" w:hAnsi="Tahoma" w:cs="Tahoma"/>
          <w:sz w:val="16"/>
          <w:szCs w:val="16"/>
        </w:rPr>
        <w:t>.</w:t>
      </w:r>
    </w:p>
    <w:p w14:paraId="2F4388EE" w14:textId="77777777" w:rsidR="00DF74D7" w:rsidRPr="0062263F" w:rsidRDefault="00DF74D7" w:rsidP="00DF74D7">
      <w:pPr>
        <w:jc w:val="both"/>
        <w:rPr>
          <w:rFonts w:ascii="Tahoma" w:eastAsia="Calibri" w:hAnsi="Tahoma" w:cs="Tahoma"/>
          <w:sz w:val="16"/>
          <w:szCs w:val="16"/>
        </w:rPr>
      </w:pPr>
      <w:r>
        <w:rPr>
          <w:rFonts w:ascii="Tahoma" w:eastAsia="Calibri" w:hAnsi="Tahoma" w:cs="Tahoma"/>
          <w:sz w:val="16"/>
          <w:szCs w:val="16"/>
          <w:vertAlign w:val="superscript"/>
        </w:rPr>
        <w:t>5</w:t>
      </w:r>
      <w:r w:rsidRPr="0062263F">
        <w:rPr>
          <w:rFonts w:ascii="Tahoma" w:eastAsia="Calibri" w:hAnsi="Tahoma" w:cs="Tahoma"/>
          <w:sz w:val="16"/>
          <w:szCs w:val="16"/>
        </w:rPr>
        <w:t xml:space="preserve"> – Вносится Клиентом в кассу Банка в день подписания Договора аренды за ключ индивидуальной сейфовой ячейки (обеспечительный платеж). Сумма обеспечительного платежа возвращается Банком Клиенту по окончанию срока аренды индивидуальной сейфовой ячейки и возврате Клиентом Банку сейфовой ячейки и ключа в исправном состоянии</w:t>
      </w:r>
      <w:r>
        <w:rPr>
          <w:rFonts w:ascii="Tahoma" w:eastAsia="Calibri" w:hAnsi="Tahoma" w:cs="Tahoma"/>
          <w:sz w:val="16"/>
          <w:szCs w:val="16"/>
        </w:rPr>
        <w:t>.</w:t>
      </w:r>
    </w:p>
    <w:p w14:paraId="4CE8E27C" w14:textId="77777777" w:rsidR="00DF74D7" w:rsidRPr="0062263F" w:rsidRDefault="00DF74D7" w:rsidP="00DF74D7">
      <w:pPr>
        <w:rPr>
          <w:rFonts w:ascii="Tahoma" w:eastAsia="Calibri" w:hAnsi="Tahoma" w:cs="Tahoma"/>
          <w:sz w:val="16"/>
          <w:szCs w:val="16"/>
        </w:rPr>
      </w:pPr>
      <w:r>
        <w:rPr>
          <w:rFonts w:ascii="Tahoma" w:eastAsia="Calibri" w:hAnsi="Tahoma" w:cs="Tahoma"/>
          <w:sz w:val="16"/>
          <w:szCs w:val="16"/>
          <w:vertAlign w:val="superscript"/>
        </w:rPr>
        <w:t>6</w:t>
      </w:r>
      <w:r w:rsidRPr="0062263F">
        <w:rPr>
          <w:rFonts w:ascii="Tahoma" w:eastAsia="Calibri" w:hAnsi="Tahoma" w:cs="Tahoma"/>
          <w:sz w:val="16"/>
          <w:szCs w:val="16"/>
        </w:rPr>
        <w:t xml:space="preserve"> – Взимается в момент установления факта утраты/порчи ключей, замка, ячейки (ячеек), вскрытия ячейки.</w:t>
      </w:r>
    </w:p>
    <w:p w14:paraId="1D458897" w14:textId="77777777" w:rsidR="00DF74D7" w:rsidRPr="0062263F" w:rsidRDefault="00DF74D7" w:rsidP="00DF74D7">
      <w:pPr>
        <w:rPr>
          <w:rFonts w:ascii="Tahoma" w:eastAsia="Calibri" w:hAnsi="Tahoma" w:cs="Tahoma"/>
          <w:sz w:val="16"/>
          <w:szCs w:val="16"/>
        </w:rPr>
      </w:pPr>
      <w:r>
        <w:rPr>
          <w:rFonts w:ascii="Tahoma" w:eastAsia="Calibri" w:hAnsi="Tahoma" w:cs="Tahoma"/>
          <w:sz w:val="16"/>
          <w:szCs w:val="16"/>
          <w:vertAlign w:val="superscript"/>
        </w:rPr>
        <w:t>7</w:t>
      </w:r>
      <w:r w:rsidRPr="0062263F">
        <w:rPr>
          <w:rFonts w:ascii="Tahoma" w:eastAsia="Calibri" w:hAnsi="Tahoma" w:cs="Tahoma"/>
          <w:sz w:val="16"/>
          <w:szCs w:val="16"/>
        </w:rPr>
        <w:t>– Уплачивается Клиентом в дату заключения договора аренды сейфовой ячейки.</w:t>
      </w:r>
    </w:p>
    <w:p w14:paraId="0F95BEA8" w14:textId="77777777" w:rsidR="00DF74D7" w:rsidRPr="002D4ACF" w:rsidRDefault="00DF74D7" w:rsidP="00DF74D7">
      <w:pPr>
        <w:rPr>
          <w:rFonts w:ascii="Tahoma" w:hAnsi="Tahoma" w:cs="Tahoma"/>
          <w:b/>
          <w:i/>
          <w:iCs/>
          <w:sz w:val="20"/>
        </w:rPr>
      </w:pPr>
    </w:p>
    <w:p w14:paraId="7EBFF68A" w14:textId="77777777" w:rsidR="00DF74D7" w:rsidRPr="002D4ACF" w:rsidRDefault="00DF74D7" w:rsidP="000B3718">
      <w:pPr>
        <w:pStyle w:val="a5"/>
      </w:pPr>
      <w:r w:rsidRPr="002D4ACF">
        <w:t>1.3 Тарифы расчетно-кассового обслуживания физических лиц и индивидуальных предпринимателей в валюте РФ в рамках программ ипотечного кредитования по стандартам АО "Коммерческий банк ДельтаКредит"</w:t>
      </w:r>
    </w:p>
    <w:p w14:paraId="2561FF3A" w14:textId="77777777" w:rsidR="00DF74D7" w:rsidRPr="002D4ACF" w:rsidRDefault="00DF74D7" w:rsidP="00DF74D7">
      <w:pPr>
        <w:rPr>
          <w:rFonts w:ascii="Tahoma" w:hAnsi="Tahoma" w:cs="Tahoma"/>
          <w:b/>
          <w:i/>
          <w:iCs/>
          <w:sz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82"/>
        <w:gridCol w:w="1416"/>
        <w:gridCol w:w="959"/>
        <w:gridCol w:w="1098"/>
      </w:tblGrid>
      <w:tr w:rsidR="00DF74D7" w:rsidRPr="002D4ACF" w14:paraId="34BCCBFF" w14:textId="77777777" w:rsidTr="00DD2371">
        <w:trPr>
          <w:trHeight w:val="158"/>
        </w:trPr>
        <w:tc>
          <w:tcPr>
            <w:tcW w:w="3273" w:type="pct"/>
            <w:tcBorders>
              <w:top w:val="single" w:sz="4" w:space="0" w:color="auto"/>
              <w:left w:val="single" w:sz="4" w:space="0" w:color="auto"/>
              <w:bottom w:val="single" w:sz="4" w:space="0" w:color="auto"/>
              <w:right w:val="single" w:sz="4" w:space="0" w:color="auto"/>
            </w:tcBorders>
          </w:tcPr>
          <w:p w14:paraId="3B89078C" w14:textId="77777777" w:rsidR="00DF74D7" w:rsidRPr="002D4ACF" w:rsidRDefault="00DF74D7" w:rsidP="00DD2371">
            <w:pPr>
              <w:tabs>
                <w:tab w:val="left" w:pos="2792"/>
              </w:tabs>
              <w:jc w:val="both"/>
              <w:rPr>
                <w:rFonts w:ascii="Tahoma" w:hAnsi="Tahoma" w:cs="Tahoma"/>
                <w:b/>
                <w:sz w:val="18"/>
                <w:szCs w:val="18"/>
              </w:rPr>
            </w:pPr>
            <w:r w:rsidRPr="002D4ACF">
              <w:rPr>
                <w:rFonts w:ascii="Tahoma" w:hAnsi="Tahoma" w:cs="Tahoma"/>
                <w:b/>
                <w:sz w:val="18"/>
                <w:szCs w:val="18"/>
              </w:rPr>
              <w:t>Наименование услуги</w:t>
            </w:r>
            <w:r w:rsidRPr="002D4ACF">
              <w:rPr>
                <w:rFonts w:ascii="Tahoma" w:hAnsi="Tahoma" w:cs="Tahoma"/>
                <w:b/>
                <w:sz w:val="18"/>
                <w:szCs w:val="18"/>
              </w:rPr>
              <w:tab/>
            </w:r>
          </w:p>
        </w:tc>
        <w:tc>
          <w:tcPr>
            <w:tcW w:w="704" w:type="pct"/>
            <w:tcBorders>
              <w:top w:val="single" w:sz="4" w:space="0" w:color="auto"/>
              <w:left w:val="single" w:sz="4" w:space="0" w:color="auto"/>
              <w:bottom w:val="single" w:sz="4" w:space="0" w:color="auto"/>
              <w:right w:val="single" w:sz="4" w:space="0" w:color="auto"/>
            </w:tcBorders>
          </w:tcPr>
          <w:p w14:paraId="12F35789" w14:textId="77777777" w:rsidR="00DF74D7" w:rsidRPr="002D4ACF" w:rsidRDefault="00DF74D7" w:rsidP="00DD2371">
            <w:pPr>
              <w:tabs>
                <w:tab w:val="center" w:pos="4153"/>
                <w:tab w:val="right" w:pos="8306"/>
              </w:tabs>
              <w:autoSpaceDE w:val="0"/>
              <w:autoSpaceDN w:val="0"/>
              <w:jc w:val="both"/>
              <w:rPr>
                <w:rFonts w:ascii="Tahoma" w:hAnsi="Tahoma" w:cs="Tahoma"/>
                <w:b/>
                <w:bCs/>
                <w:sz w:val="18"/>
                <w:szCs w:val="18"/>
              </w:rPr>
            </w:pPr>
            <w:r w:rsidRPr="002D4ACF">
              <w:rPr>
                <w:rFonts w:ascii="Tahoma" w:hAnsi="Tahoma" w:cs="Tahoma"/>
                <w:b/>
                <w:bCs/>
                <w:sz w:val="18"/>
                <w:szCs w:val="18"/>
              </w:rPr>
              <w:t>Тариф</w:t>
            </w:r>
          </w:p>
        </w:tc>
        <w:tc>
          <w:tcPr>
            <w:tcW w:w="477" w:type="pct"/>
            <w:tcBorders>
              <w:top w:val="single" w:sz="4" w:space="0" w:color="auto"/>
              <w:left w:val="single" w:sz="4" w:space="0" w:color="auto"/>
              <w:bottom w:val="single" w:sz="4" w:space="0" w:color="auto"/>
              <w:right w:val="single" w:sz="4" w:space="0" w:color="auto"/>
            </w:tcBorders>
          </w:tcPr>
          <w:p w14:paraId="1C71D5CC" w14:textId="77777777" w:rsidR="00DF74D7" w:rsidRPr="002D4ACF" w:rsidRDefault="00DF74D7" w:rsidP="00DD2371">
            <w:pPr>
              <w:tabs>
                <w:tab w:val="center" w:pos="4153"/>
                <w:tab w:val="right" w:pos="8306"/>
              </w:tabs>
              <w:autoSpaceDE w:val="0"/>
              <w:autoSpaceDN w:val="0"/>
              <w:jc w:val="both"/>
              <w:rPr>
                <w:rFonts w:ascii="Tahoma" w:hAnsi="Tahoma" w:cs="Tahoma"/>
                <w:b/>
                <w:bCs/>
                <w:sz w:val="18"/>
                <w:szCs w:val="18"/>
              </w:rPr>
            </w:pPr>
            <w:r w:rsidRPr="002D4ACF">
              <w:rPr>
                <w:rFonts w:ascii="Tahoma" w:hAnsi="Tahoma" w:cs="Tahoma"/>
                <w:b/>
                <w:bCs/>
                <w:sz w:val="18"/>
                <w:szCs w:val="18"/>
              </w:rPr>
              <w:t>Мин.</w:t>
            </w:r>
          </w:p>
        </w:tc>
        <w:tc>
          <w:tcPr>
            <w:tcW w:w="546" w:type="pct"/>
            <w:tcBorders>
              <w:top w:val="single" w:sz="4" w:space="0" w:color="auto"/>
              <w:left w:val="single" w:sz="4" w:space="0" w:color="auto"/>
              <w:bottom w:val="single" w:sz="4" w:space="0" w:color="auto"/>
              <w:right w:val="single" w:sz="4" w:space="0" w:color="auto"/>
            </w:tcBorders>
          </w:tcPr>
          <w:p w14:paraId="5623C155" w14:textId="77777777" w:rsidR="00DF74D7" w:rsidRPr="002D4ACF" w:rsidRDefault="00DF74D7" w:rsidP="00DD2371">
            <w:pPr>
              <w:tabs>
                <w:tab w:val="center" w:pos="4153"/>
                <w:tab w:val="right" w:pos="8306"/>
              </w:tabs>
              <w:autoSpaceDE w:val="0"/>
              <w:autoSpaceDN w:val="0"/>
              <w:jc w:val="both"/>
              <w:rPr>
                <w:rFonts w:ascii="Tahoma" w:hAnsi="Tahoma" w:cs="Tahoma"/>
                <w:b/>
                <w:bCs/>
                <w:sz w:val="18"/>
                <w:szCs w:val="18"/>
              </w:rPr>
            </w:pPr>
            <w:r w:rsidRPr="002D4ACF">
              <w:rPr>
                <w:rFonts w:ascii="Tahoma" w:hAnsi="Tahoma" w:cs="Tahoma"/>
                <w:b/>
                <w:bCs/>
                <w:sz w:val="18"/>
                <w:szCs w:val="18"/>
              </w:rPr>
              <w:t>Макс.</w:t>
            </w:r>
          </w:p>
        </w:tc>
      </w:tr>
      <w:tr w:rsidR="00DF74D7" w:rsidRPr="002D4ACF" w14:paraId="44862409" w14:textId="77777777" w:rsidTr="00DD2371">
        <w:trPr>
          <w:trHeight w:val="231"/>
        </w:trPr>
        <w:tc>
          <w:tcPr>
            <w:tcW w:w="3273" w:type="pct"/>
            <w:tcBorders>
              <w:top w:val="single" w:sz="4" w:space="0" w:color="auto"/>
              <w:left w:val="single" w:sz="4" w:space="0" w:color="auto"/>
              <w:bottom w:val="single" w:sz="4" w:space="0" w:color="auto"/>
              <w:right w:val="single" w:sz="4" w:space="0" w:color="auto"/>
            </w:tcBorders>
            <w:hideMark/>
          </w:tcPr>
          <w:p w14:paraId="49EAC19D" w14:textId="77777777" w:rsidR="00DF74D7" w:rsidRPr="002D4ACF" w:rsidRDefault="00DF74D7" w:rsidP="00DD2371">
            <w:pPr>
              <w:rPr>
                <w:rFonts w:ascii="Tahoma" w:hAnsi="Tahoma" w:cs="Tahoma"/>
                <w:bCs/>
                <w:sz w:val="18"/>
                <w:szCs w:val="18"/>
              </w:rPr>
            </w:pPr>
            <w:r w:rsidRPr="002D4ACF">
              <w:rPr>
                <w:rFonts w:ascii="Tahoma" w:hAnsi="Tahoma" w:cs="Tahoma"/>
                <w:sz w:val="18"/>
                <w:szCs w:val="18"/>
              </w:rPr>
              <w:t>Рассмотрение документов и  принятие решения</w:t>
            </w:r>
          </w:p>
        </w:tc>
        <w:tc>
          <w:tcPr>
            <w:tcW w:w="704" w:type="pct"/>
            <w:tcBorders>
              <w:top w:val="single" w:sz="4" w:space="0" w:color="auto"/>
              <w:left w:val="single" w:sz="4" w:space="0" w:color="auto"/>
              <w:bottom w:val="single" w:sz="4" w:space="0" w:color="auto"/>
              <w:right w:val="single" w:sz="4" w:space="0" w:color="auto"/>
            </w:tcBorders>
          </w:tcPr>
          <w:p w14:paraId="4E1284EB" w14:textId="77777777" w:rsidR="00DF74D7" w:rsidRPr="002D4ACF" w:rsidRDefault="00DF74D7" w:rsidP="00DD2371">
            <w:pPr>
              <w:jc w:val="both"/>
              <w:rPr>
                <w:rFonts w:ascii="Tahoma" w:hAnsi="Tahoma" w:cs="Tahoma"/>
                <w:sz w:val="18"/>
                <w:szCs w:val="18"/>
              </w:rPr>
            </w:pPr>
            <w:r w:rsidRPr="002D4ACF">
              <w:rPr>
                <w:rFonts w:ascii="Tahoma" w:hAnsi="Tahoma" w:cs="Tahoma"/>
                <w:sz w:val="18"/>
                <w:szCs w:val="18"/>
              </w:rPr>
              <w:t>Бесплатно</w:t>
            </w:r>
          </w:p>
        </w:tc>
        <w:tc>
          <w:tcPr>
            <w:tcW w:w="477" w:type="pct"/>
            <w:tcBorders>
              <w:top w:val="single" w:sz="4" w:space="0" w:color="auto"/>
              <w:left w:val="single" w:sz="4" w:space="0" w:color="auto"/>
              <w:bottom w:val="single" w:sz="4" w:space="0" w:color="auto"/>
              <w:right w:val="single" w:sz="4" w:space="0" w:color="auto"/>
            </w:tcBorders>
          </w:tcPr>
          <w:p w14:paraId="3781FFE4" w14:textId="77777777" w:rsidR="00DF74D7" w:rsidRPr="002D4ACF" w:rsidRDefault="00DF74D7" w:rsidP="00DD2371">
            <w:pPr>
              <w:jc w:val="both"/>
              <w:rPr>
                <w:rFonts w:ascii="Tahoma" w:hAnsi="Tahoma" w:cs="Tahoma"/>
                <w:sz w:val="18"/>
                <w:szCs w:val="18"/>
              </w:rPr>
            </w:pPr>
          </w:p>
        </w:tc>
        <w:tc>
          <w:tcPr>
            <w:tcW w:w="546" w:type="pct"/>
            <w:tcBorders>
              <w:top w:val="single" w:sz="4" w:space="0" w:color="auto"/>
              <w:left w:val="single" w:sz="4" w:space="0" w:color="auto"/>
              <w:bottom w:val="single" w:sz="4" w:space="0" w:color="auto"/>
              <w:right w:val="single" w:sz="4" w:space="0" w:color="auto"/>
            </w:tcBorders>
          </w:tcPr>
          <w:p w14:paraId="1142A379" w14:textId="77777777" w:rsidR="00DF74D7" w:rsidRPr="002D4ACF" w:rsidRDefault="00DF74D7" w:rsidP="00DD2371">
            <w:pPr>
              <w:jc w:val="both"/>
              <w:rPr>
                <w:rFonts w:ascii="Tahoma" w:hAnsi="Tahoma" w:cs="Tahoma"/>
                <w:sz w:val="18"/>
                <w:szCs w:val="18"/>
              </w:rPr>
            </w:pPr>
          </w:p>
        </w:tc>
      </w:tr>
      <w:tr w:rsidR="00DF74D7" w:rsidRPr="002D4ACF" w14:paraId="76DD4F4B" w14:textId="77777777" w:rsidTr="00DD2371">
        <w:trPr>
          <w:trHeight w:val="248"/>
        </w:trPr>
        <w:tc>
          <w:tcPr>
            <w:tcW w:w="3273" w:type="pct"/>
            <w:tcBorders>
              <w:top w:val="single" w:sz="4" w:space="0" w:color="auto"/>
              <w:left w:val="single" w:sz="4" w:space="0" w:color="auto"/>
              <w:bottom w:val="single" w:sz="4" w:space="0" w:color="auto"/>
              <w:right w:val="single" w:sz="4" w:space="0" w:color="auto"/>
            </w:tcBorders>
          </w:tcPr>
          <w:p w14:paraId="69214742" w14:textId="77777777" w:rsidR="00DF74D7" w:rsidRPr="002D4ACF" w:rsidRDefault="00DF74D7" w:rsidP="00DD2371">
            <w:pPr>
              <w:jc w:val="both"/>
              <w:rPr>
                <w:rFonts w:ascii="Tahoma" w:hAnsi="Tahoma" w:cs="Tahoma"/>
                <w:sz w:val="18"/>
                <w:szCs w:val="18"/>
              </w:rPr>
            </w:pPr>
            <w:r w:rsidRPr="002D4ACF">
              <w:rPr>
                <w:rFonts w:ascii="Tahoma" w:hAnsi="Tahoma" w:cs="Tahoma"/>
                <w:sz w:val="18"/>
                <w:szCs w:val="18"/>
              </w:rPr>
              <w:t>Открытие счетов участникам сделки</w:t>
            </w:r>
          </w:p>
        </w:tc>
        <w:tc>
          <w:tcPr>
            <w:tcW w:w="704" w:type="pct"/>
            <w:tcBorders>
              <w:top w:val="single" w:sz="4" w:space="0" w:color="auto"/>
              <w:left w:val="single" w:sz="4" w:space="0" w:color="auto"/>
              <w:bottom w:val="single" w:sz="4" w:space="0" w:color="auto"/>
              <w:right w:val="single" w:sz="4" w:space="0" w:color="auto"/>
            </w:tcBorders>
          </w:tcPr>
          <w:p w14:paraId="3CB78E96" w14:textId="77777777" w:rsidR="00DF74D7" w:rsidRPr="002D4ACF" w:rsidRDefault="00DF74D7" w:rsidP="00DD2371">
            <w:pPr>
              <w:jc w:val="both"/>
              <w:rPr>
                <w:rFonts w:ascii="Tahoma" w:hAnsi="Tahoma" w:cs="Tahoma"/>
                <w:sz w:val="18"/>
                <w:szCs w:val="18"/>
              </w:rPr>
            </w:pPr>
            <w:r w:rsidRPr="002D4ACF">
              <w:rPr>
                <w:rFonts w:ascii="Tahoma" w:hAnsi="Tahoma" w:cs="Tahoma"/>
                <w:sz w:val="18"/>
                <w:szCs w:val="18"/>
              </w:rPr>
              <w:t>Бесплатно</w:t>
            </w:r>
          </w:p>
        </w:tc>
        <w:tc>
          <w:tcPr>
            <w:tcW w:w="477" w:type="pct"/>
            <w:tcBorders>
              <w:top w:val="single" w:sz="4" w:space="0" w:color="auto"/>
              <w:left w:val="single" w:sz="4" w:space="0" w:color="auto"/>
              <w:bottom w:val="single" w:sz="4" w:space="0" w:color="auto"/>
              <w:right w:val="single" w:sz="4" w:space="0" w:color="auto"/>
            </w:tcBorders>
          </w:tcPr>
          <w:p w14:paraId="68E5E1A3" w14:textId="77777777" w:rsidR="00DF74D7" w:rsidRPr="002D4ACF" w:rsidRDefault="00DF74D7" w:rsidP="00DD2371">
            <w:pPr>
              <w:jc w:val="both"/>
              <w:rPr>
                <w:rFonts w:ascii="Tahoma" w:hAnsi="Tahoma" w:cs="Tahoma"/>
                <w:sz w:val="18"/>
                <w:szCs w:val="18"/>
              </w:rPr>
            </w:pPr>
          </w:p>
        </w:tc>
        <w:tc>
          <w:tcPr>
            <w:tcW w:w="546" w:type="pct"/>
            <w:tcBorders>
              <w:top w:val="single" w:sz="4" w:space="0" w:color="auto"/>
              <w:left w:val="single" w:sz="4" w:space="0" w:color="auto"/>
              <w:bottom w:val="single" w:sz="4" w:space="0" w:color="auto"/>
              <w:right w:val="single" w:sz="4" w:space="0" w:color="auto"/>
            </w:tcBorders>
          </w:tcPr>
          <w:p w14:paraId="560E1F8D" w14:textId="77777777" w:rsidR="00DF74D7" w:rsidRPr="002D4ACF" w:rsidRDefault="00DF74D7" w:rsidP="00DD2371">
            <w:pPr>
              <w:jc w:val="both"/>
              <w:rPr>
                <w:rFonts w:ascii="Tahoma" w:hAnsi="Tahoma" w:cs="Tahoma"/>
                <w:sz w:val="18"/>
                <w:szCs w:val="18"/>
              </w:rPr>
            </w:pPr>
          </w:p>
        </w:tc>
      </w:tr>
      <w:tr w:rsidR="00DF74D7" w:rsidRPr="002D4ACF" w14:paraId="2C82464D" w14:textId="77777777" w:rsidTr="00DD2371">
        <w:trPr>
          <w:trHeight w:val="281"/>
        </w:trPr>
        <w:tc>
          <w:tcPr>
            <w:tcW w:w="3273" w:type="pct"/>
            <w:tcBorders>
              <w:top w:val="single" w:sz="4" w:space="0" w:color="auto"/>
              <w:left w:val="single" w:sz="4" w:space="0" w:color="auto"/>
              <w:bottom w:val="single" w:sz="4" w:space="0" w:color="auto"/>
              <w:right w:val="single" w:sz="4" w:space="0" w:color="auto"/>
            </w:tcBorders>
          </w:tcPr>
          <w:p w14:paraId="2337DFBE" w14:textId="77777777" w:rsidR="00DF74D7" w:rsidRPr="002D4ACF" w:rsidRDefault="00DF74D7" w:rsidP="00DD2371">
            <w:pPr>
              <w:jc w:val="both"/>
              <w:rPr>
                <w:rFonts w:ascii="Tahoma" w:hAnsi="Tahoma" w:cs="Tahoma"/>
                <w:sz w:val="18"/>
                <w:szCs w:val="18"/>
              </w:rPr>
            </w:pPr>
            <w:r w:rsidRPr="002D4ACF">
              <w:rPr>
                <w:rFonts w:ascii="Tahoma" w:hAnsi="Tahoma" w:cs="Tahoma"/>
                <w:sz w:val="18"/>
                <w:szCs w:val="18"/>
              </w:rPr>
              <w:t>Зачисление кредита на счет</w:t>
            </w:r>
          </w:p>
        </w:tc>
        <w:tc>
          <w:tcPr>
            <w:tcW w:w="704" w:type="pct"/>
            <w:tcBorders>
              <w:top w:val="single" w:sz="4" w:space="0" w:color="auto"/>
              <w:left w:val="single" w:sz="4" w:space="0" w:color="auto"/>
              <w:bottom w:val="single" w:sz="4" w:space="0" w:color="auto"/>
              <w:right w:val="single" w:sz="4" w:space="0" w:color="auto"/>
            </w:tcBorders>
          </w:tcPr>
          <w:p w14:paraId="318F3A4A" w14:textId="77777777" w:rsidR="00DF74D7" w:rsidRPr="002D4ACF" w:rsidRDefault="00DF74D7" w:rsidP="00DD2371">
            <w:pPr>
              <w:jc w:val="both"/>
              <w:rPr>
                <w:rFonts w:ascii="Tahoma" w:hAnsi="Tahoma" w:cs="Tahoma"/>
                <w:sz w:val="18"/>
                <w:szCs w:val="18"/>
              </w:rPr>
            </w:pPr>
            <w:r w:rsidRPr="002D4ACF">
              <w:rPr>
                <w:rFonts w:ascii="Tahoma" w:hAnsi="Tahoma" w:cs="Tahoma"/>
                <w:sz w:val="18"/>
                <w:szCs w:val="18"/>
              </w:rPr>
              <w:t>Бесплатно</w:t>
            </w:r>
          </w:p>
        </w:tc>
        <w:tc>
          <w:tcPr>
            <w:tcW w:w="477" w:type="pct"/>
            <w:tcBorders>
              <w:top w:val="single" w:sz="4" w:space="0" w:color="auto"/>
              <w:left w:val="single" w:sz="4" w:space="0" w:color="auto"/>
              <w:bottom w:val="single" w:sz="4" w:space="0" w:color="auto"/>
              <w:right w:val="single" w:sz="4" w:space="0" w:color="auto"/>
            </w:tcBorders>
          </w:tcPr>
          <w:p w14:paraId="5EBC008C" w14:textId="77777777" w:rsidR="00DF74D7" w:rsidRPr="002D4ACF" w:rsidRDefault="00DF74D7" w:rsidP="00DD2371">
            <w:pPr>
              <w:jc w:val="both"/>
              <w:rPr>
                <w:rFonts w:ascii="Tahoma" w:hAnsi="Tahoma" w:cs="Tahoma"/>
                <w:sz w:val="18"/>
                <w:szCs w:val="18"/>
              </w:rPr>
            </w:pPr>
          </w:p>
        </w:tc>
        <w:tc>
          <w:tcPr>
            <w:tcW w:w="546" w:type="pct"/>
            <w:tcBorders>
              <w:top w:val="single" w:sz="4" w:space="0" w:color="auto"/>
              <w:left w:val="single" w:sz="4" w:space="0" w:color="auto"/>
              <w:bottom w:val="single" w:sz="4" w:space="0" w:color="auto"/>
              <w:right w:val="single" w:sz="4" w:space="0" w:color="auto"/>
            </w:tcBorders>
          </w:tcPr>
          <w:p w14:paraId="6D6DE8A0" w14:textId="77777777" w:rsidR="00DF74D7" w:rsidRPr="002D4ACF" w:rsidRDefault="00DF74D7" w:rsidP="00DD2371">
            <w:pPr>
              <w:jc w:val="both"/>
              <w:rPr>
                <w:rFonts w:ascii="Tahoma" w:hAnsi="Tahoma" w:cs="Tahoma"/>
                <w:sz w:val="18"/>
                <w:szCs w:val="18"/>
              </w:rPr>
            </w:pPr>
          </w:p>
        </w:tc>
      </w:tr>
      <w:tr w:rsidR="00DF74D7" w:rsidRPr="002D4ACF" w14:paraId="20ECE6D0" w14:textId="77777777" w:rsidTr="00DD2371">
        <w:trPr>
          <w:trHeight w:val="695"/>
        </w:trPr>
        <w:tc>
          <w:tcPr>
            <w:tcW w:w="3273" w:type="pct"/>
            <w:tcBorders>
              <w:top w:val="single" w:sz="4" w:space="0" w:color="auto"/>
              <w:left w:val="single" w:sz="4" w:space="0" w:color="auto"/>
              <w:bottom w:val="single" w:sz="4" w:space="0" w:color="auto"/>
              <w:right w:val="single" w:sz="4" w:space="0" w:color="auto"/>
            </w:tcBorders>
          </w:tcPr>
          <w:p w14:paraId="1CCFBB56" w14:textId="77777777" w:rsidR="00DF74D7" w:rsidRPr="002D4ACF" w:rsidRDefault="00DF74D7" w:rsidP="00DD2371">
            <w:pPr>
              <w:jc w:val="both"/>
              <w:rPr>
                <w:rFonts w:ascii="Tahoma" w:hAnsi="Tahoma" w:cs="Tahoma"/>
                <w:sz w:val="18"/>
                <w:szCs w:val="18"/>
              </w:rPr>
            </w:pPr>
            <w:r w:rsidRPr="002D4ACF">
              <w:rPr>
                <w:rFonts w:ascii="Tahoma" w:hAnsi="Tahoma" w:cs="Tahoma"/>
                <w:sz w:val="18"/>
                <w:szCs w:val="18"/>
              </w:rPr>
              <w:t>Открытие аккредитива</w:t>
            </w:r>
          </w:p>
        </w:tc>
        <w:tc>
          <w:tcPr>
            <w:tcW w:w="704" w:type="pct"/>
            <w:tcBorders>
              <w:top w:val="single" w:sz="4" w:space="0" w:color="auto"/>
              <w:left w:val="single" w:sz="4" w:space="0" w:color="auto"/>
              <w:bottom w:val="single" w:sz="4" w:space="0" w:color="auto"/>
              <w:right w:val="single" w:sz="4" w:space="0" w:color="auto"/>
            </w:tcBorders>
          </w:tcPr>
          <w:p w14:paraId="68529108" w14:textId="77777777" w:rsidR="00DF74D7" w:rsidRPr="002D4ACF" w:rsidRDefault="00DF74D7" w:rsidP="00DD2371">
            <w:pPr>
              <w:rPr>
                <w:rFonts w:ascii="Tahoma" w:hAnsi="Tahoma" w:cs="Tahoma"/>
                <w:sz w:val="18"/>
                <w:szCs w:val="18"/>
              </w:rPr>
            </w:pPr>
            <w:r w:rsidRPr="002D4ACF">
              <w:rPr>
                <w:rFonts w:ascii="Tahoma" w:hAnsi="Tahoma" w:cs="Tahoma"/>
                <w:sz w:val="18"/>
                <w:szCs w:val="18"/>
              </w:rPr>
              <w:t xml:space="preserve">0,2% от суммы аккредитива </w:t>
            </w:r>
          </w:p>
        </w:tc>
        <w:tc>
          <w:tcPr>
            <w:tcW w:w="477" w:type="pct"/>
            <w:tcBorders>
              <w:top w:val="single" w:sz="4" w:space="0" w:color="auto"/>
              <w:left w:val="single" w:sz="4" w:space="0" w:color="auto"/>
              <w:bottom w:val="single" w:sz="4" w:space="0" w:color="auto"/>
              <w:right w:val="single" w:sz="4" w:space="0" w:color="auto"/>
            </w:tcBorders>
          </w:tcPr>
          <w:p w14:paraId="4292C1FD" w14:textId="77777777" w:rsidR="00DF74D7" w:rsidRPr="002D4ACF" w:rsidRDefault="00DF74D7" w:rsidP="00DD2371">
            <w:pPr>
              <w:jc w:val="both"/>
              <w:rPr>
                <w:rFonts w:ascii="Tahoma" w:hAnsi="Tahoma" w:cs="Tahoma"/>
                <w:sz w:val="18"/>
                <w:szCs w:val="18"/>
              </w:rPr>
            </w:pPr>
          </w:p>
        </w:tc>
        <w:tc>
          <w:tcPr>
            <w:tcW w:w="546" w:type="pct"/>
            <w:tcBorders>
              <w:top w:val="single" w:sz="4" w:space="0" w:color="auto"/>
              <w:left w:val="single" w:sz="4" w:space="0" w:color="auto"/>
              <w:bottom w:val="single" w:sz="4" w:space="0" w:color="auto"/>
              <w:right w:val="single" w:sz="4" w:space="0" w:color="auto"/>
            </w:tcBorders>
          </w:tcPr>
          <w:p w14:paraId="1328D7D6" w14:textId="77777777" w:rsidR="00DF74D7" w:rsidRPr="002D4ACF" w:rsidRDefault="00DF74D7" w:rsidP="00DD2371">
            <w:pPr>
              <w:jc w:val="both"/>
              <w:rPr>
                <w:rFonts w:ascii="Tahoma" w:hAnsi="Tahoma" w:cs="Tahoma"/>
                <w:sz w:val="18"/>
                <w:szCs w:val="18"/>
              </w:rPr>
            </w:pPr>
            <w:r w:rsidRPr="002D4ACF">
              <w:rPr>
                <w:rFonts w:ascii="Tahoma" w:hAnsi="Tahoma" w:cs="Tahoma"/>
                <w:sz w:val="18"/>
                <w:szCs w:val="18"/>
              </w:rPr>
              <w:t>10 000</w:t>
            </w:r>
            <w:r w:rsidRPr="002D4ACF">
              <w:rPr>
                <w:rFonts w:ascii="Tahoma" w:hAnsi="Tahoma" w:cs="Tahoma"/>
                <w:sz w:val="18"/>
                <w:szCs w:val="18"/>
                <w:lang w:val="en-US"/>
              </w:rPr>
              <w:t xml:space="preserve"> </w:t>
            </w:r>
            <w:r w:rsidRPr="002D4ACF">
              <w:rPr>
                <w:rFonts w:ascii="Tahoma" w:hAnsi="Tahoma" w:cs="Tahoma"/>
                <w:sz w:val="18"/>
                <w:szCs w:val="18"/>
              </w:rPr>
              <w:t>руб.</w:t>
            </w:r>
          </w:p>
        </w:tc>
      </w:tr>
      <w:tr w:rsidR="00DF74D7" w:rsidRPr="002D4ACF" w14:paraId="4E87A89D" w14:textId="77777777" w:rsidTr="00DD2371">
        <w:trPr>
          <w:trHeight w:val="778"/>
        </w:trPr>
        <w:tc>
          <w:tcPr>
            <w:tcW w:w="3273" w:type="pct"/>
            <w:tcBorders>
              <w:top w:val="single" w:sz="4" w:space="0" w:color="auto"/>
              <w:left w:val="single" w:sz="4" w:space="0" w:color="auto"/>
              <w:bottom w:val="single" w:sz="4" w:space="0" w:color="auto"/>
              <w:right w:val="single" w:sz="4" w:space="0" w:color="auto"/>
            </w:tcBorders>
          </w:tcPr>
          <w:p w14:paraId="3B5F8AA3" w14:textId="77777777" w:rsidR="00DF74D7" w:rsidRPr="002D4ACF" w:rsidRDefault="00DF74D7" w:rsidP="00DD2371">
            <w:pPr>
              <w:jc w:val="both"/>
              <w:rPr>
                <w:rFonts w:ascii="Tahoma" w:hAnsi="Tahoma" w:cs="Tahoma"/>
                <w:sz w:val="18"/>
                <w:szCs w:val="18"/>
              </w:rPr>
            </w:pPr>
            <w:r w:rsidRPr="002D4ACF">
              <w:rPr>
                <w:rFonts w:ascii="Tahoma" w:hAnsi="Tahoma" w:cs="Tahoma"/>
                <w:sz w:val="18"/>
                <w:szCs w:val="18"/>
              </w:rPr>
              <w:t>Прием, проверка  документов и исполнение аккредитива</w:t>
            </w:r>
          </w:p>
        </w:tc>
        <w:tc>
          <w:tcPr>
            <w:tcW w:w="704" w:type="pct"/>
            <w:tcBorders>
              <w:top w:val="single" w:sz="4" w:space="0" w:color="auto"/>
              <w:left w:val="single" w:sz="4" w:space="0" w:color="auto"/>
              <w:bottom w:val="single" w:sz="4" w:space="0" w:color="auto"/>
              <w:right w:val="single" w:sz="4" w:space="0" w:color="auto"/>
            </w:tcBorders>
          </w:tcPr>
          <w:p w14:paraId="5B565738" w14:textId="77777777" w:rsidR="00DF74D7" w:rsidRPr="002D4ACF" w:rsidRDefault="00DF74D7" w:rsidP="00DD2371">
            <w:pPr>
              <w:jc w:val="both"/>
              <w:rPr>
                <w:rFonts w:ascii="Tahoma" w:hAnsi="Tahoma" w:cs="Tahoma"/>
                <w:sz w:val="18"/>
                <w:szCs w:val="18"/>
              </w:rPr>
            </w:pPr>
            <w:r w:rsidRPr="002D4ACF">
              <w:rPr>
                <w:rFonts w:ascii="Tahoma" w:hAnsi="Tahoma" w:cs="Tahoma"/>
                <w:sz w:val="18"/>
                <w:szCs w:val="18"/>
              </w:rPr>
              <w:t>0,2% от суммы  суммы аккредитива</w:t>
            </w:r>
          </w:p>
        </w:tc>
        <w:tc>
          <w:tcPr>
            <w:tcW w:w="477" w:type="pct"/>
            <w:tcBorders>
              <w:top w:val="single" w:sz="4" w:space="0" w:color="auto"/>
              <w:left w:val="single" w:sz="4" w:space="0" w:color="auto"/>
              <w:bottom w:val="single" w:sz="4" w:space="0" w:color="auto"/>
              <w:right w:val="single" w:sz="4" w:space="0" w:color="auto"/>
            </w:tcBorders>
          </w:tcPr>
          <w:p w14:paraId="1A5CEE8A" w14:textId="77777777" w:rsidR="00DF74D7" w:rsidRPr="002D4ACF" w:rsidRDefault="00DF74D7" w:rsidP="00DD2371">
            <w:pPr>
              <w:jc w:val="both"/>
              <w:rPr>
                <w:rFonts w:ascii="Tahoma" w:hAnsi="Tahoma" w:cs="Tahoma"/>
                <w:sz w:val="18"/>
                <w:szCs w:val="18"/>
              </w:rPr>
            </w:pPr>
          </w:p>
        </w:tc>
        <w:tc>
          <w:tcPr>
            <w:tcW w:w="546" w:type="pct"/>
            <w:tcBorders>
              <w:top w:val="single" w:sz="4" w:space="0" w:color="auto"/>
              <w:left w:val="single" w:sz="4" w:space="0" w:color="auto"/>
              <w:bottom w:val="single" w:sz="4" w:space="0" w:color="auto"/>
              <w:right w:val="single" w:sz="4" w:space="0" w:color="auto"/>
            </w:tcBorders>
          </w:tcPr>
          <w:p w14:paraId="7A37ECE3" w14:textId="77777777" w:rsidR="00DF74D7" w:rsidRPr="002D4ACF" w:rsidRDefault="00DF74D7" w:rsidP="00DD2371">
            <w:pPr>
              <w:jc w:val="both"/>
              <w:rPr>
                <w:rFonts w:ascii="Tahoma" w:hAnsi="Tahoma" w:cs="Tahoma"/>
                <w:sz w:val="18"/>
                <w:szCs w:val="18"/>
              </w:rPr>
            </w:pPr>
            <w:r w:rsidRPr="002D4ACF">
              <w:rPr>
                <w:rFonts w:ascii="Tahoma" w:hAnsi="Tahoma" w:cs="Tahoma"/>
                <w:sz w:val="18"/>
                <w:szCs w:val="18"/>
              </w:rPr>
              <w:t>10 000руб.</w:t>
            </w:r>
          </w:p>
        </w:tc>
      </w:tr>
      <w:tr w:rsidR="00DF74D7" w:rsidRPr="002D4ACF" w14:paraId="66C8B115" w14:textId="77777777" w:rsidTr="00DD2371">
        <w:trPr>
          <w:trHeight w:val="845"/>
        </w:trPr>
        <w:tc>
          <w:tcPr>
            <w:tcW w:w="3273" w:type="pct"/>
            <w:tcBorders>
              <w:top w:val="single" w:sz="4" w:space="0" w:color="auto"/>
              <w:left w:val="single" w:sz="4" w:space="0" w:color="auto"/>
              <w:bottom w:val="single" w:sz="4" w:space="0" w:color="auto"/>
              <w:right w:val="single" w:sz="4" w:space="0" w:color="auto"/>
            </w:tcBorders>
          </w:tcPr>
          <w:p w14:paraId="455C7B75" w14:textId="77777777" w:rsidR="00DF74D7" w:rsidRPr="002D4ACF" w:rsidRDefault="00DF74D7" w:rsidP="00DD2371">
            <w:pPr>
              <w:jc w:val="both"/>
              <w:rPr>
                <w:rFonts w:ascii="Tahoma" w:hAnsi="Tahoma" w:cs="Tahoma"/>
                <w:sz w:val="18"/>
                <w:szCs w:val="18"/>
              </w:rPr>
            </w:pPr>
            <w:r w:rsidRPr="002D4ACF">
              <w:rPr>
                <w:rFonts w:ascii="Tahoma" w:hAnsi="Tahoma" w:cs="Tahoma"/>
                <w:sz w:val="18"/>
                <w:szCs w:val="18"/>
              </w:rPr>
              <w:t>Составление Банком проекта договора приобретения недвижимости в простой письменной форме, а также проверка предоставленного заемщиком договора приобретения</w:t>
            </w:r>
          </w:p>
        </w:tc>
        <w:tc>
          <w:tcPr>
            <w:tcW w:w="704" w:type="pct"/>
            <w:tcBorders>
              <w:top w:val="single" w:sz="4" w:space="0" w:color="auto"/>
              <w:left w:val="single" w:sz="4" w:space="0" w:color="auto"/>
              <w:bottom w:val="single" w:sz="4" w:space="0" w:color="auto"/>
              <w:right w:val="single" w:sz="4" w:space="0" w:color="auto"/>
            </w:tcBorders>
          </w:tcPr>
          <w:p w14:paraId="07F90AFA" w14:textId="77777777" w:rsidR="00DF74D7" w:rsidRPr="002D4ACF" w:rsidRDefault="00DF74D7" w:rsidP="00DD2371">
            <w:pPr>
              <w:jc w:val="both"/>
              <w:rPr>
                <w:rFonts w:ascii="Tahoma" w:hAnsi="Tahoma" w:cs="Tahoma"/>
                <w:sz w:val="18"/>
                <w:szCs w:val="18"/>
              </w:rPr>
            </w:pPr>
            <w:r w:rsidRPr="002D4ACF">
              <w:rPr>
                <w:rFonts w:ascii="Tahoma" w:hAnsi="Tahoma" w:cs="Tahoma"/>
                <w:sz w:val="18"/>
                <w:szCs w:val="18"/>
              </w:rPr>
              <w:t>3780 рублей (в том числе НДС 630,00 руб)</w:t>
            </w:r>
          </w:p>
        </w:tc>
        <w:tc>
          <w:tcPr>
            <w:tcW w:w="477" w:type="pct"/>
            <w:tcBorders>
              <w:top w:val="single" w:sz="4" w:space="0" w:color="auto"/>
              <w:left w:val="single" w:sz="4" w:space="0" w:color="auto"/>
              <w:bottom w:val="single" w:sz="4" w:space="0" w:color="auto"/>
              <w:right w:val="single" w:sz="4" w:space="0" w:color="auto"/>
            </w:tcBorders>
          </w:tcPr>
          <w:p w14:paraId="7826D9A1" w14:textId="77777777" w:rsidR="00DF74D7" w:rsidRPr="002D4ACF" w:rsidRDefault="00DF74D7" w:rsidP="00DD2371">
            <w:pPr>
              <w:jc w:val="both"/>
              <w:rPr>
                <w:rFonts w:ascii="Tahoma" w:hAnsi="Tahoma" w:cs="Tahoma"/>
                <w:sz w:val="18"/>
                <w:szCs w:val="18"/>
              </w:rPr>
            </w:pPr>
          </w:p>
        </w:tc>
        <w:tc>
          <w:tcPr>
            <w:tcW w:w="546" w:type="pct"/>
            <w:tcBorders>
              <w:top w:val="single" w:sz="4" w:space="0" w:color="auto"/>
              <w:left w:val="single" w:sz="4" w:space="0" w:color="auto"/>
              <w:bottom w:val="single" w:sz="4" w:space="0" w:color="auto"/>
              <w:right w:val="single" w:sz="4" w:space="0" w:color="auto"/>
            </w:tcBorders>
          </w:tcPr>
          <w:p w14:paraId="0577FA44" w14:textId="77777777" w:rsidR="00DF74D7" w:rsidRPr="002D4ACF" w:rsidRDefault="00DF74D7" w:rsidP="00DD2371">
            <w:pPr>
              <w:jc w:val="both"/>
              <w:rPr>
                <w:rFonts w:ascii="Tahoma" w:hAnsi="Tahoma" w:cs="Tahoma"/>
                <w:sz w:val="18"/>
                <w:szCs w:val="18"/>
              </w:rPr>
            </w:pPr>
          </w:p>
        </w:tc>
      </w:tr>
      <w:tr w:rsidR="00DF74D7" w:rsidRPr="002D4ACF" w14:paraId="31109FF4" w14:textId="77777777" w:rsidTr="00DD2371">
        <w:trPr>
          <w:trHeight w:val="830"/>
        </w:trPr>
        <w:tc>
          <w:tcPr>
            <w:tcW w:w="3273" w:type="pct"/>
            <w:tcBorders>
              <w:top w:val="single" w:sz="4" w:space="0" w:color="auto"/>
              <w:left w:val="single" w:sz="4" w:space="0" w:color="auto"/>
              <w:bottom w:val="single" w:sz="4" w:space="0" w:color="auto"/>
              <w:right w:val="single" w:sz="4" w:space="0" w:color="auto"/>
            </w:tcBorders>
          </w:tcPr>
          <w:p w14:paraId="3C3E5D2D" w14:textId="77777777" w:rsidR="00DF74D7" w:rsidRPr="002D4ACF" w:rsidRDefault="00DF74D7" w:rsidP="00DD2371">
            <w:pPr>
              <w:jc w:val="both"/>
              <w:rPr>
                <w:rFonts w:ascii="Tahoma" w:hAnsi="Tahoma" w:cs="Tahoma"/>
                <w:sz w:val="18"/>
                <w:szCs w:val="18"/>
              </w:rPr>
            </w:pPr>
            <w:r w:rsidRPr="002D4ACF">
              <w:rPr>
                <w:rFonts w:ascii="Tahoma" w:hAnsi="Tahoma" w:cs="Tahoma"/>
                <w:sz w:val="18"/>
                <w:szCs w:val="18"/>
              </w:rPr>
              <w:t>Выдача/ перевод денежных средств  зачисленных на текущий банковский счет (далее ТБС) заемщика в рамках программ ипотечного кредитования в целях расчётов по ипотечной сделке</w:t>
            </w:r>
          </w:p>
        </w:tc>
        <w:tc>
          <w:tcPr>
            <w:tcW w:w="704" w:type="pct"/>
            <w:tcBorders>
              <w:top w:val="single" w:sz="4" w:space="0" w:color="auto"/>
              <w:left w:val="single" w:sz="4" w:space="0" w:color="auto"/>
              <w:bottom w:val="single" w:sz="4" w:space="0" w:color="auto"/>
              <w:right w:val="single" w:sz="4" w:space="0" w:color="auto"/>
            </w:tcBorders>
          </w:tcPr>
          <w:p w14:paraId="3F896C6D" w14:textId="77777777" w:rsidR="00DF74D7" w:rsidRPr="002D4ACF" w:rsidRDefault="00DF74D7" w:rsidP="00DD2371">
            <w:pPr>
              <w:jc w:val="both"/>
              <w:rPr>
                <w:rFonts w:ascii="Tahoma" w:hAnsi="Tahoma" w:cs="Tahoma"/>
                <w:sz w:val="18"/>
                <w:szCs w:val="18"/>
              </w:rPr>
            </w:pPr>
            <w:r w:rsidRPr="002D4ACF">
              <w:rPr>
                <w:rFonts w:ascii="Tahoma" w:hAnsi="Tahoma" w:cs="Tahoma"/>
                <w:sz w:val="18"/>
                <w:szCs w:val="18"/>
              </w:rPr>
              <w:t xml:space="preserve">0,5% от суммы кредита </w:t>
            </w:r>
          </w:p>
        </w:tc>
        <w:tc>
          <w:tcPr>
            <w:tcW w:w="477" w:type="pct"/>
            <w:tcBorders>
              <w:top w:val="single" w:sz="4" w:space="0" w:color="auto"/>
              <w:left w:val="single" w:sz="4" w:space="0" w:color="auto"/>
              <w:bottom w:val="single" w:sz="4" w:space="0" w:color="auto"/>
              <w:right w:val="single" w:sz="4" w:space="0" w:color="auto"/>
            </w:tcBorders>
          </w:tcPr>
          <w:p w14:paraId="16116CB7" w14:textId="77777777" w:rsidR="00DF74D7" w:rsidRPr="002D4ACF" w:rsidRDefault="00DF74D7" w:rsidP="00DD2371">
            <w:pPr>
              <w:jc w:val="both"/>
              <w:rPr>
                <w:rFonts w:ascii="Tahoma" w:hAnsi="Tahoma" w:cs="Tahoma"/>
                <w:sz w:val="18"/>
                <w:szCs w:val="18"/>
              </w:rPr>
            </w:pPr>
          </w:p>
        </w:tc>
        <w:tc>
          <w:tcPr>
            <w:tcW w:w="546" w:type="pct"/>
            <w:tcBorders>
              <w:top w:val="single" w:sz="4" w:space="0" w:color="auto"/>
              <w:left w:val="single" w:sz="4" w:space="0" w:color="auto"/>
              <w:bottom w:val="single" w:sz="4" w:space="0" w:color="auto"/>
              <w:right w:val="single" w:sz="4" w:space="0" w:color="auto"/>
            </w:tcBorders>
          </w:tcPr>
          <w:p w14:paraId="35845729" w14:textId="77777777" w:rsidR="00DF74D7" w:rsidRPr="002D4ACF" w:rsidRDefault="00DF74D7" w:rsidP="00DD2371">
            <w:pPr>
              <w:jc w:val="both"/>
              <w:rPr>
                <w:rFonts w:ascii="Tahoma" w:hAnsi="Tahoma" w:cs="Tahoma"/>
                <w:sz w:val="18"/>
                <w:szCs w:val="18"/>
              </w:rPr>
            </w:pPr>
            <w:r w:rsidRPr="002D4ACF">
              <w:rPr>
                <w:rFonts w:ascii="Tahoma" w:hAnsi="Tahoma" w:cs="Tahoma"/>
                <w:sz w:val="18"/>
                <w:szCs w:val="18"/>
              </w:rPr>
              <w:t>20 000руб.</w:t>
            </w:r>
          </w:p>
        </w:tc>
      </w:tr>
      <w:tr w:rsidR="00DF74D7" w:rsidRPr="002D4ACF" w14:paraId="2D90094A" w14:textId="77777777" w:rsidTr="00DD2371">
        <w:trPr>
          <w:trHeight w:val="842"/>
        </w:trPr>
        <w:tc>
          <w:tcPr>
            <w:tcW w:w="3273" w:type="pct"/>
            <w:tcBorders>
              <w:top w:val="single" w:sz="4" w:space="0" w:color="auto"/>
              <w:left w:val="single" w:sz="4" w:space="0" w:color="auto"/>
              <w:bottom w:val="single" w:sz="4" w:space="0" w:color="auto"/>
              <w:right w:val="single" w:sz="4" w:space="0" w:color="auto"/>
            </w:tcBorders>
          </w:tcPr>
          <w:p w14:paraId="65D5283C" w14:textId="77777777" w:rsidR="00DF74D7" w:rsidRPr="002D4ACF" w:rsidRDefault="00DF74D7" w:rsidP="00DD2371">
            <w:pPr>
              <w:jc w:val="both"/>
              <w:rPr>
                <w:rFonts w:ascii="Tahoma" w:hAnsi="Tahoma" w:cs="Tahoma"/>
                <w:sz w:val="18"/>
                <w:szCs w:val="18"/>
              </w:rPr>
            </w:pPr>
            <w:r w:rsidRPr="002D4ACF">
              <w:rPr>
                <w:rFonts w:ascii="Tahoma" w:hAnsi="Tahoma" w:cs="Tahoma"/>
                <w:sz w:val="18"/>
                <w:szCs w:val="18"/>
              </w:rPr>
              <w:t>Перевод денежных средств в адрес Акционерного общества «Коммерческий банк ДельтаКредит» в счет обслуживания обязательств по уплате ежемесячных платежей заемщика по кредиту, оформленному в банке.</w:t>
            </w:r>
          </w:p>
        </w:tc>
        <w:tc>
          <w:tcPr>
            <w:tcW w:w="704" w:type="pct"/>
            <w:tcBorders>
              <w:top w:val="single" w:sz="4" w:space="0" w:color="auto"/>
              <w:left w:val="single" w:sz="4" w:space="0" w:color="auto"/>
              <w:bottom w:val="single" w:sz="4" w:space="0" w:color="auto"/>
              <w:right w:val="single" w:sz="4" w:space="0" w:color="auto"/>
            </w:tcBorders>
          </w:tcPr>
          <w:p w14:paraId="3D756269" w14:textId="77777777" w:rsidR="00DF74D7" w:rsidRPr="002D4ACF" w:rsidRDefault="00DF74D7" w:rsidP="00DD2371">
            <w:pPr>
              <w:jc w:val="both"/>
              <w:rPr>
                <w:rFonts w:ascii="Tahoma" w:hAnsi="Tahoma" w:cs="Tahoma"/>
                <w:sz w:val="18"/>
                <w:szCs w:val="18"/>
              </w:rPr>
            </w:pPr>
            <w:r w:rsidRPr="002D4ACF">
              <w:rPr>
                <w:rFonts w:ascii="Tahoma" w:hAnsi="Tahoma" w:cs="Tahoma"/>
                <w:sz w:val="18"/>
                <w:szCs w:val="18"/>
              </w:rPr>
              <w:t>50 рублей</w:t>
            </w:r>
          </w:p>
        </w:tc>
        <w:tc>
          <w:tcPr>
            <w:tcW w:w="477" w:type="pct"/>
            <w:tcBorders>
              <w:top w:val="single" w:sz="4" w:space="0" w:color="auto"/>
              <w:left w:val="single" w:sz="4" w:space="0" w:color="auto"/>
              <w:bottom w:val="single" w:sz="4" w:space="0" w:color="auto"/>
              <w:right w:val="single" w:sz="4" w:space="0" w:color="auto"/>
            </w:tcBorders>
          </w:tcPr>
          <w:p w14:paraId="5B4D1D1A" w14:textId="77777777" w:rsidR="00DF74D7" w:rsidRPr="002D4ACF" w:rsidRDefault="00DF74D7" w:rsidP="00DD2371">
            <w:pPr>
              <w:jc w:val="both"/>
              <w:rPr>
                <w:rFonts w:ascii="Tahoma" w:hAnsi="Tahoma" w:cs="Tahoma"/>
                <w:sz w:val="18"/>
                <w:szCs w:val="18"/>
              </w:rPr>
            </w:pPr>
          </w:p>
        </w:tc>
        <w:tc>
          <w:tcPr>
            <w:tcW w:w="546" w:type="pct"/>
            <w:tcBorders>
              <w:top w:val="single" w:sz="4" w:space="0" w:color="auto"/>
              <w:left w:val="single" w:sz="4" w:space="0" w:color="auto"/>
              <w:bottom w:val="single" w:sz="4" w:space="0" w:color="auto"/>
              <w:right w:val="single" w:sz="4" w:space="0" w:color="auto"/>
            </w:tcBorders>
          </w:tcPr>
          <w:p w14:paraId="386248CF" w14:textId="77777777" w:rsidR="00DF74D7" w:rsidRPr="002D4ACF" w:rsidRDefault="00DF74D7" w:rsidP="00DD2371">
            <w:pPr>
              <w:jc w:val="both"/>
              <w:rPr>
                <w:rFonts w:ascii="Tahoma" w:hAnsi="Tahoma" w:cs="Tahoma"/>
                <w:sz w:val="18"/>
                <w:szCs w:val="18"/>
              </w:rPr>
            </w:pPr>
          </w:p>
        </w:tc>
      </w:tr>
      <w:tr w:rsidR="00DF74D7" w:rsidRPr="002D4ACF" w14:paraId="1FA5A875" w14:textId="77777777" w:rsidTr="00DD2371">
        <w:trPr>
          <w:trHeight w:val="286"/>
        </w:trPr>
        <w:tc>
          <w:tcPr>
            <w:tcW w:w="3273" w:type="pct"/>
            <w:tcBorders>
              <w:top w:val="single" w:sz="4" w:space="0" w:color="auto"/>
              <w:left w:val="single" w:sz="4" w:space="0" w:color="auto"/>
              <w:bottom w:val="single" w:sz="4" w:space="0" w:color="auto"/>
              <w:right w:val="single" w:sz="4" w:space="0" w:color="auto"/>
            </w:tcBorders>
          </w:tcPr>
          <w:p w14:paraId="09C1186E" w14:textId="77777777" w:rsidR="00DF74D7" w:rsidRPr="002D4ACF" w:rsidRDefault="00DF74D7" w:rsidP="00DD2371">
            <w:pPr>
              <w:jc w:val="both"/>
              <w:rPr>
                <w:rFonts w:ascii="Tahoma" w:hAnsi="Tahoma" w:cs="Tahoma"/>
                <w:sz w:val="18"/>
                <w:szCs w:val="18"/>
              </w:rPr>
            </w:pPr>
            <w:r w:rsidRPr="002D4ACF">
              <w:rPr>
                <w:rFonts w:ascii="Tahoma" w:hAnsi="Tahoma" w:cs="Tahoma"/>
                <w:sz w:val="18"/>
                <w:szCs w:val="18"/>
              </w:rPr>
              <w:t>Платеж за снижение процентной ставки по программе «Назначь свою ставку»:</w:t>
            </w:r>
          </w:p>
        </w:tc>
        <w:tc>
          <w:tcPr>
            <w:tcW w:w="704" w:type="pct"/>
            <w:tcBorders>
              <w:top w:val="single" w:sz="4" w:space="0" w:color="auto"/>
              <w:left w:val="single" w:sz="4" w:space="0" w:color="auto"/>
              <w:bottom w:val="single" w:sz="4" w:space="0" w:color="auto"/>
              <w:right w:val="single" w:sz="4" w:space="0" w:color="auto"/>
            </w:tcBorders>
          </w:tcPr>
          <w:p w14:paraId="4FD2DE72" w14:textId="77777777" w:rsidR="00DF74D7" w:rsidRPr="002D4ACF" w:rsidRDefault="00DF74D7" w:rsidP="00DD2371">
            <w:pPr>
              <w:jc w:val="both"/>
              <w:rPr>
                <w:rFonts w:ascii="Tahoma" w:hAnsi="Tahoma" w:cs="Tahoma"/>
                <w:sz w:val="18"/>
                <w:szCs w:val="18"/>
              </w:rPr>
            </w:pPr>
          </w:p>
        </w:tc>
        <w:tc>
          <w:tcPr>
            <w:tcW w:w="477" w:type="pct"/>
            <w:tcBorders>
              <w:top w:val="single" w:sz="4" w:space="0" w:color="auto"/>
              <w:left w:val="single" w:sz="4" w:space="0" w:color="auto"/>
              <w:bottom w:val="single" w:sz="4" w:space="0" w:color="auto"/>
              <w:right w:val="single" w:sz="4" w:space="0" w:color="auto"/>
            </w:tcBorders>
          </w:tcPr>
          <w:p w14:paraId="67AC94E0" w14:textId="77777777" w:rsidR="00DF74D7" w:rsidRPr="002D4ACF" w:rsidRDefault="00DF74D7" w:rsidP="00DD2371">
            <w:pPr>
              <w:jc w:val="both"/>
              <w:rPr>
                <w:rFonts w:ascii="Tahoma" w:hAnsi="Tahoma" w:cs="Tahoma"/>
                <w:sz w:val="18"/>
                <w:szCs w:val="18"/>
              </w:rPr>
            </w:pPr>
          </w:p>
        </w:tc>
        <w:tc>
          <w:tcPr>
            <w:tcW w:w="546" w:type="pct"/>
            <w:tcBorders>
              <w:top w:val="single" w:sz="4" w:space="0" w:color="auto"/>
              <w:left w:val="single" w:sz="4" w:space="0" w:color="auto"/>
              <w:bottom w:val="single" w:sz="4" w:space="0" w:color="auto"/>
              <w:right w:val="single" w:sz="4" w:space="0" w:color="auto"/>
            </w:tcBorders>
          </w:tcPr>
          <w:p w14:paraId="62D850EE" w14:textId="77777777" w:rsidR="00DF74D7" w:rsidRPr="002D4ACF" w:rsidRDefault="00DF74D7" w:rsidP="00DD2371">
            <w:pPr>
              <w:jc w:val="both"/>
              <w:rPr>
                <w:rFonts w:ascii="Tahoma" w:hAnsi="Tahoma" w:cs="Tahoma"/>
                <w:sz w:val="18"/>
                <w:szCs w:val="18"/>
              </w:rPr>
            </w:pPr>
          </w:p>
        </w:tc>
      </w:tr>
      <w:tr w:rsidR="00DF74D7" w:rsidRPr="002D4ACF" w14:paraId="2F5BF9FF" w14:textId="77777777" w:rsidTr="00DD2371">
        <w:trPr>
          <w:trHeight w:val="286"/>
        </w:trPr>
        <w:tc>
          <w:tcPr>
            <w:tcW w:w="3273" w:type="pct"/>
            <w:tcBorders>
              <w:top w:val="single" w:sz="4" w:space="0" w:color="auto"/>
              <w:left w:val="single" w:sz="4" w:space="0" w:color="auto"/>
              <w:bottom w:val="single" w:sz="4" w:space="0" w:color="auto"/>
              <w:right w:val="single" w:sz="4" w:space="0" w:color="auto"/>
            </w:tcBorders>
            <w:vAlign w:val="center"/>
          </w:tcPr>
          <w:p w14:paraId="313C5CDB" w14:textId="77777777" w:rsidR="00DF74D7" w:rsidRPr="002D4ACF" w:rsidRDefault="00DF74D7" w:rsidP="00DD2371">
            <w:pPr>
              <w:rPr>
                <w:rFonts w:ascii="Tahoma" w:hAnsi="Tahoma" w:cs="Tahoma"/>
                <w:sz w:val="18"/>
                <w:szCs w:val="18"/>
              </w:rPr>
            </w:pPr>
            <w:r w:rsidRPr="002D4ACF">
              <w:rPr>
                <w:rFonts w:ascii="Tahoma" w:hAnsi="Tahoma" w:cs="Tahoma"/>
                <w:sz w:val="18"/>
                <w:szCs w:val="18"/>
              </w:rPr>
              <w:t>Стандарт</w:t>
            </w:r>
          </w:p>
        </w:tc>
        <w:tc>
          <w:tcPr>
            <w:tcW w:w="704" w:type="pct"/>
            <w:tcBorders>
              <w:top w:val="single" w:sz="4" w:space="0" w:color="auto"/>
              <w:left w:val="single" w:sz="4" w:space="0" w:color="auto"/>
              <w:bottom w:val="single" w:sz="4" w:space="0" w:color="auto"/>
              <w:right w:val="single" w:sz="4" w:space="0" w:color="auto"/>
            </w:tcBorders>
          </w:tcPr>
          <w:p w14:paraId="73C31AEB" w14:textId="77777777" w:rsidR="00DF74D7" w:rsidRPr="002D4ACF" w:rsidRDefault="00DF74D7" w:rsidP="00DD2371">
            <w:pPr>
              <w:jc w:val="both"/>
              <w:rPr>
                <w:rFonts w:ascii="Tahoma" w:hAnsi="Tahoma" w:cs="Tahoma"/>
                <w:sz w:val="18"/>
                <w:szCs w:val="18"/>
              </w:rPr>
            </w:pPr>
            <w:r w:rsidRPr="002D4ACF">
              <w:rPr>
                <w:rFonts w:ascii="Tahoma" w:hAnsi="Tahoma" w:cs="Tahoma"/>
                <w:sz w:val="18"/>
                <w:szCs w:val="18"/>
              </w:rPr>
              <w:t>Бесплатно</w:t>
            </w:r>
          </w:p>
        </w:tc>
        <w:tc>
          <w:tcPr>
            <w:tcW w:w="477" w:type="pct"/>
            <w:tcBorders>
              <w:top w:val="single" w:sz="4" w:space="0" w:color="auto"/>
              <w:left w:val="single" w:sz="4" w:space="0" w:color="auto"/>
              <w:bottom w:val="single" w:sz="4" w:space="0" w:color="auto"/>
              <w:right w:val="single" w:sz="4" w:space="0" w:color="auto"/>
            </w:tcBorders>
          </w:tcPr>
          <w:p w14:paraId="1EEC8FA7" w14:textId="77777777" w:rsidR="00DF74D7" w:rsidRPr="002D4ACF" w:rsidRDefault="00DF74D7" w:rsidP="00DD2371">
            <w:pPr>
              <w:jc w:val="both"/>
              <w:rPr>
                <w:rFonts w:ascii="Tahoma" w:hAnsi="Tahoma" w:cs="Tahoma"/>
                <w:sz w:val="18"/>
                <w:szCs w:val="18"/>
              </w:rPr>
            </w:pPr>
          </w:p>
        </w:tc>
        <w:tc>
          <w:tcPr>
            <w:tcW w:w="546" w:type="pct"/>
            <w:tcBorders>
              <w:top w:val="single" w:sz="4" w:space="0" w:color="auto"/>
              <w:left w:val="single" w:sz="4" w:space="0" w:color="auto"/>
              <w:bottom w:val="single" w:sz="4" w:space="0" w:color="auto"/>
              <w:right w:val="single" w:sz="4" w:space="0" w:color="auto"/>
            </w:tcBorders>
          </w:tcPr>
          <w:p w14:paraId="744FAAE5" w14:textId="77777777" w:rsidR="00DF74D7" w:rsidRPr="002D4ACF" w:rsidRDefault="00DF74D7" w:rsidP="00DD2371">
            <w:pPr>
              <w:jc w:val="both"/>
              <w:rPr>
                <w:rFonts w:ascii="Tahoma" w:hAnsi="Tahoma" w:cs="Tahoma"/>
                <w:sz w:val="18"/>
                <w:szCs w:val="18"/>
              </w:rPr>
            </w:pPr>
          </w:p>
        </w:tc>
      </w:tr>
      <w:tr w:rsidR="00DF74D7" w:rsidRPr="002D4ACF" w14:paraId="24A05002" w14:textId="77777777" w:rsidTr="00DD2371">
        <w:trPr>
          <w:trHeight w:val="1009"/>
        </w:trPr>
        <w:tc>
          <w:tcPr>
            <w:tcW w:w="3273" w:type="pct"/>
            <w:tcBorders>
              <w:top w:val="single" w:sz="4" w:space="0" w:color="auto"/>
              <w:left w:val="single" w:sz="4" w:space="0" w:color="auto"/>
              <w:bottom w:val="single" w:sz="4" w:space="0" w:color="auto"/>
              <w:right w:val="single" w:sz="4" w:space="0" w:color="auto"/>
            </w:tcBorders>
            <w:vAlign w:val="center"/>
          </w:tcPr>
          <w:p w14:paraId="76926734" w14:textId="77777777" w:rsidR="00DF74D7" w:rsidRPr="002D4ACF" w:rsidRDefault="00DF74D7" w:rsidP="00DD2371">
            <w:pPr>
              <w:rPr>
                <w:rFonts w:ascii="Tahoma" w:hAnsi="Tahoma" w:cs="Tahoma"/>
                <w:sz w:val="18"/>
                <w:szCs w:val="18"/>
              </w:rPr>
            </w:pPr>
            <w:r w:rsidRPr="002D4ACF">
              <w:rPr>
                <w:rFonts w:ascii="Tahoma" w:hAnsi="Tahoma" w:cs="Tahoma"/>
                <w:sz w:val="18"/>
                <w:szCs w:val="18"/>
              </w:rPr>
              <w:t>Лайт</w:t>
            </w:r>
          </w:p>
        </w:tc>
        <w:tc>
          <w:tcPr>
            <w:tcW w:w="704" w:type="pct"/>
            <w:tcBorders>
              <w:top w:val="single" w:sz="4" w:space="0" w:color="auto"/>
              <w:left w:val="single" w:sz="4" w:space="0" w:color="auto"/>
              <w:bottom w:val="single" w:sz="4" w:space="0" w:color="auto"/>
              <w:right w:val="single" w:sz="4" w:space="0" w:color="auto"/>
            </w:tcBorders>
          </w:tcPr>
          <w:p w14:paraId="698E1F3D" w14:textId="77777777" w:rsidR="00DF74D7" w:rsidRPr="002D4ACF" w:rsidRDefault="00DF74D7" w:rsidP="00DD2371">
            <w:pPr>
              <w:spacing w:after="240"/>
              <w:jc w:val="both"/>
              <w:rPr>
                <w:rFonts w:ascii="Tahoma" w:hAnsi="Tahoma" w:cs="Tahoma"/>
                <w:sz w:val="18"/>
                <w:szCs w:val="18"/>
              </w:rPr>
            </w:pPr>
            <w:r w:rsidRPr="002D4ACF">
              <w:rPr>
                <w:rFonts w:ascii="Tahoma" w:hAnsi="Tahoma" w:cs="Tahoma"/>
                <w:sz w:val="18"/>
                <w:szCs w:val="18"/>
              </w:rPr>
              <w:t>1% от суммы кредита, но не менее 8 000 рублей, за снижение процентной ставки на 0,5п.п</w:t>
            </w:r>
          </w:p>
        </w:tc>
        <w:tc>
          <w:tcPr>
            <w:tcW w:w="477" w:type="pct"/>
            <w:tcBorders>
              <w:top w:val="single" w:sz="4" w:space="0" w:color="auto"/>
              <w:left w:val="single" w:sz="4" w:space="0" w:color="auto"/>
              <w:bottom w:val="single" w:sz="4" w:space="0" w:color="auto"/>
              <w:right w:val="single" w:sz="4" w:space="0" w:color="auto"/>
            </w:tcBorders>
          </w:tcPr>
          <w:p w14:paraId="0C514FFD" w14:textId="77777777" w:rsidR="00DF74D7" w:rsidRPr="002D4ACF" w:rsidRDefault="00DF74D7" w:rsidP="00DD2371">
            <w:pPr>
              <w:jc w:val="both"/>
              <w:rPr>
                <w:rFonts w:ascii="Tahoma" w:hAnsi="Tahoma" w:cs="Tahoma"/>
                <w:sz w:val="18"/>
                <w:szCs w:val="18"/>
              </w:rPr>
            </w:pPr>
          </w:p>
        </w:tc>
        <w:tc>
          <w:tcPr>
            <w:tcW w:w="546" w:type="pct"/>
            <w:tcBorders>
              <w:top w:val="single" w:sz="4" w:space="0" w:color="auto"/>
              <w:left w:val="single" w:sz="4" w:space="0" w:color="auto"/>
              <w:bottom w:val="single" w:sz="4" w:space="0" w:color="auto"/>
              <w:right w:val="single" w:sz="4" w:space="0" w:color="auto"/>
            </w:tcBorders>
          </w:tcPr>
          <w:p w14:paraId="267654CF" w14:textId="77777777" w:rsidR="00DF74D7" w:rsidRPr="002D4ACF" w:rsidRDefault="00DF74D7" w:rsidP="00DD2371">
            <w:pPr>
              <w:jc w:val="both"/>
              <w:rPr>
                <w:rFonts w:ascii="Tahoma" w:hAnsi="Tahoma" w:cs="Tahoma"/>
                <w:sz w:val="18"/>
                <w:szCs w:val="18"/>
              </w:rPr>
            </w:pPr>
          </w:p>
        </w:tc>
      </w:tr>
      <w:tr w:rsidR="00DF74D7" w:rsidRPr="002D4ACF" w14:paraId="5D902CFD" w14:textId="77777777" w:rsidTr="00DD2371">
        <w:trPr>
          <w:trHeight w:val="842"/>
        </w:trPr>
        <w:tc>
          <w:tcPr>
            <w:tcW w:w="3273" w:type="pct"/>
            <w:tcBorders>
              <w:top w:val="single" w:sz="4" w:space="0" w:color="auto"/>
              <w:left w:val="single" w:sz="4" w:space="0" w:color="auto"/>
              <w:bottom w:val="single" w:sz="4" w:space="0" w:color="auto"/>
              <w:right w:val="single" w:sz="4" w:space="0" w:color="auto"/>
            </w:tcBorders>
            <w:vAlign w:val="center"/>
          </w:tcPr>
          <w:p w14:paraId="352A2928" w14:textId="77777777" w:rsidR="00DF74D7" w:rsidRPr="002D4ACF" w:rsidRDefault="00DF74D7" w:rsidP="00DD2371">
            <w:pPr>
              <w:rPr>
                <w:rFonts w:ascii="Tahoma" w:hAnsi="Tahoma" w:cs="Tahoma"/>
                <w:sz w:val="18"/>
                <w:szCs w:val="18"/>
              </w:rPr>
            </w:pPr>
            <w:r w:rsidRPr="002D4ACF">
              <w:rPr>
                <w:rFonts w:ascii="Tahoma" w:hAnsi="Tahoma" w:cs="Tahoma"/>
                <w:sz w:val="18"/>
                <w:szCs w:val="18"/>
              </w:rPr>
              <w:t>Классик</w:t>
            </w:r>
          </w:p>
          <w:p w14:paraId="2D79A180" w14:textId="77777777" w:rsidR="00DF74D7" w:rsidRPr="002D4ACF" w:rsidRDefault="00DF74D7" w:rsidP="00DD2371">
            <w:pPr>
              <w:rPr>
                <w:rFonts w:ascii="Tahoma" w:hAnsi="Tahoma" w:cs="Tahoma"/>
                <w:sz w:val="18"/>
                <w:szCs w:val="18"/>
              </w:rPr>
            </w:pPr>
          </w:p>
        </w:tc>
        <w:tc>
          <w:tcPr>
            <w:tcW w:w="704" w:type="pct"/>
            <w:tcBorders>
              <w:top w:val="single" w:sz="4" w:space="0" w:color="auto"/>
              <w:left w:val="single" w:sz="4" w:space="0" w:color="auto"/>
              <w:bottom w:val="single" w:sz="4" w:space="0" w:color="auto"/>
              <w:right w:val="single" w:sz="4" w:space="0" w:color="auto"/>
            </w:tcBorders>
          </w:tcPr>
          <w:p w14:paraId="2E35674B" w14:textId="77777777" w:rsidR="00DF74D7" w:rsidRPr="002D4ACF" w:rsidRDefault="00DF74D7" w:rsidP="00DD2371">
            <w:pPr>
              <w:jc w:val="both"/>
              <w:rPr>
                <w:rFonts w:ascii="Tahoma" w:hAnsi="Tahoma" w:cs="Tahoma"/>
                <w:sz w:val="18"/>
                <w:szCs w:val="18"/>
              </w:rPr>
            </w:pPr>
            <w:r w:rsidRPr="002D4ACF">
              <w:rPr>
                <w:rFonts w:ascii="Tahoma" w:hAnsi="Tahoma" w:cs="Tahoma"/>
                <w:sz w:val="18"/>
                <w:szCs w:val="18"/>
              </w:rPr>
              <w:t>2,5% от суммы кредита, за снижение процентной ставки на 1п.п</w:t>
            </w:r>
          </w:p>
        </w:tc>
        <w:tc>
          <w:tcPr>
            <w:tcW w:w="477" w:type="pct"/>
            <w:tcBorders>
              <w:top w:val="single" w:sz="4" w:space="0" w:color="auto"/>
              <w:left w:val="single" w:sz="4" w:space="0" w:color="auto"/>
              <w:bottom w:val="single" w:sz="4" w:space="0" w:color="auto"/>
              <w:right w:val="single" w:sz="4" w:space="0" w:color="auto"/>
            </w:tcBorders>
          </w:tcPr>
          <w:p w14:paraId="51C88023" w14:textId="77777777" w:rsidR="00DF74D7" w:rsidRPr="002D4ACF" w:rsidRDefault="00DF74D7" w:rsidP="00DD2371">
            <w:pPr>
              <w:jc w:val="both"/>
              <w:rPr>
                <w:rFonts w:ascii="Tahoma" w:hAnsi="Tahoma" w:cs="Tahoma"/>
                <w:sz w:val="18"/>
                <w:szCs w:val="18"/>
              </w:rPr>
            </w:pPr>
          </w:p>
        </w:tc>
        <w:tc>
          <w:tcPr>
            <w:tcW w:w="546" w:type="pct"/>
            <w:tcBorders>
              <w:top w:val="single" w:sz="4" w:space="0" w:color="auto"/>
              <w:left w:val="single" w:sz="4" w:space="0" w:color="auto"/>
              <w:bottom w:val="single" w:sz="4" w:space="0" w:color="auto"/>
              <w:right w:val="single" w:sz="4" w:space="0" w:color="auto"/>
            </w:tcBorders>
          </w:tcPr>
          <w:p w14:paraId="13E89B08" w14:textId="77777777" w:rsidR="00DF74D7" w:rsidRPr="002D4ACF" w:rsidRDefault="00DF74D7" w:rsidP="00DD2371">
            <w:pPr>
              <w:jc w:val="both"/>
              <w:rPr>
                <w:rFonts w:ascii="Tahoma" w:hAnsi="Tahoma" w:cs="Tahoma"/>
                <w:sz w:val="18"/>
                <w:szCs w:val="18"/>
              </w:rPr>
            </w:pPr>
          </w:p>
        </w:tc>
      </w:tr>
      <w:tr w:rsidR="00DF74D7" w:rsidRPr="002D4ACF" w14:paraId="4F367D1A" w14:textId="77777777" w:rsidTr="00DD2371">
        <w:trPr>
          <w:trHeight w:val="842"/>
        </w:trPr>
        <w:tc>
          <w:tcPr>
            <w:tcW w:w="3273" w:type="pct"/>
            <w:tcBorders>
              <w:top w:val="single" w:sz="4" w:space="0" w:color="auto"/>
              <w:left w:val="single" w:sz="4" w:space="0" w:color="auto"/>
              <w:bottom w:val="single" w:sz="4" w:space="0" w:color="auto"/>
              <w:right w:val="single" w:sz="4" w:space="0" w:color="auto"/>
            </w:tcBorders>
            <w:vAlign w:val="center"/>
          </w:tcPr>
          <w:p w14:paraId="7F1AD0C1" w14:textId="77777777" w:rsidR="00DF74D7" w:rsidRPr="002D4ACF" w:rsidRDefault="00DF74D7" w:rsidP="00DD2371">
            <w:pPr>
              <w:rPr>
                <w:rFonts w:ascii="Tahoma" w:hAnsi="Tahoma" w:cs="Tahoma"/>
                <w:sz w:val="18"/>
                <w:szCs w:val="18"/>
              </w:rPr>
            </w:pPr>
            <w:r w:rsidRPr="002D4ACF">
              <w:rPr>
                <w:rFonts w:ascii="Tahoma" w:hAnsi="Tahoma" w:cs="Tahoma"/>
                <w:sz w:val="18"/>
                <w:szCs w:val="18"/>
              </w:rPr>
              <w:t>Премиум</w:t>
            </w:r>
          </w:p>
        </w:tc>
        <w:tc>
          <w:tcPr>
            <w:tcW w:w="704" w:type="pct"/>
            <w:tcBorders>
              <w:top w:val="single" w:sz="4" w:space="0" w:color="auto"/>
              <w:left w:val="single" w:sz="4" w:space="0" w:color="auto"/>
              <w:bottom w:val="single" w:sz="4" w:space="0" w:color="auto"/>
              <w:right w:val="single" w:sz="4" w:space="0" w:color="auto"/>
            </w:tcBorders>
          </w:tcPr>
          <w:p w14:paraId="42C77D11" w14:textId="77777777" w:rsidR="00DF74D7" w:rsidRPr="002D4ACF" w:rsidRDefault="00DF74D7" w:rsidP="00DD2371">
            <w:pPr>
              <w:jc w:val="both"/>
              <w:rPr>
                <w:rFonts w:ascii="Tahoma" w:hAnsi="Tahoma" w:cs="Tahoma"/>
                <w:sz w:val="18"/>
                <w:szCs w:val="18"/>
              </w:rPr>
            </w:pPr>
            <w:r w:rsidRPr="002D4ACF">
              <w:rPr>
                <w:rFonts w:ascii="Tahoma" w:hAnsi="Tahoma" w:cs="Tahoma"/>
                <w:sz w:val="18"/>
                <w:szCs w:val="18"/>
              </w:rPr>
              <w:t xml:space="preserve">4% от суммы кредита, за снижение процентной </w:t>
            </w:r>
            <w:r w:rsidRPr="002D4ACF">
              <w:rPr>
                <w:rFonts w:ascii="Tahoma" w:hAnsi="Tahoma" w:cs="Tahoma"/>
                <w:sz w:val="18"/>
                <w:szCs w:val="18"/>
              </w:rPr>
              <w:lastRenderedPageBreak/>
              <w:t xml:space="preserve">ставки на 1,5п.п </w:t>
            </w:r>
          </w:p>
        </w:tc>
        <w:tc>
          <w:tcPr>
            <w:tcW w:w="477" w:type="pct"/>
            <w:tcBorders>
              <w:top w:val="single" w:sz="4" w:space="0" w:color="auto"/>
              <w:left w:val="single" w:sz="4" w:space="0" w:color="auto"/>
              <w:bottom w:val="single" w:sz="4" w:space="0" w:color="auto"/>
              <w:right w:val="single" w:sz="4" w:space="0" w:color="auto"/>
            </w:tcBorders>
          </w:tcPr>
          <w:p w14:paraId="7A15BFE0" w14:textId="77777777" w:rsidR="00DF74D7" w:rsidRPr="002D4ACF" w:rsidRDefault="00DF74D7" w:rsidP="00DD2371">
            <w:pPr>
              <w:jc w:val="both"/>
              <w:rPr>
                <w:rFonts w:ascii="Tahoma" w:hAnsi="Tahoma" w:cs="Tahoma"/>
                <w:sz w:val="18"/>
                <w:szCs w:val="18"/>
              </w:rPr>
            </w:pPr>
          </w:p>
        </w:tc>
        <w:tc>
          <w:tcPr>
            <w:tcW w:w="546" w:type="pct"/>
            <w:tcBorders>
              <w:top w:val="single" w:sz="4" w:space="0" w:color="auto"/>
              <w:left w:val="single" w:sz="4" w:space="0" w:color="auto"/>
              <w:bottom w:val="single" w:sz="4" w:space="0" w:color="auto"/>
              <w:right w:val="single" w:sz="4" w:space="0" w:color="auto"/>
            </w:tcBorders>
          </w:tcPr>
          <w:p w14:paraId="2F6EF840" w14:textId="77777777" w:rsidR="00DF74D7" w:rsidRPr="002D4ACF" w:rsidRDefault="00DF74D7" w:rsidP="00DD2371">
            <w:pPr>
              <w:jc w:val="both"/>
              <w:rPr>
                <w:rFonts w:ascii="Tahoma" w:hAnsi="Tahoma" w:cs="Tahoma"/>
                <w:sz w:val="18"/>
                <w:szCs w:val="18"/>
              </w:rPr>
            </w:pPr>
          </w:p>
        </w:tc>
      </w:tr>
    </w:tbl>
    <w:p w14:paraId="786A1DB7" w14:textId="77777777" w:rsidR="00DF74D7" w:rsidRPr="002D4ACF" w:rsidRDefault="00DF74D7" w:rsidP="00DF74D7">
      <w:pPr>
        <w:rPr>
          <w:rFonts w:ascii="Tahoma" w:hAnsi="Tahoma" w:cs="Tahoma"/>
          <w:noProof/>
          <w:sz w:val="18"/>
          <w:szCs w:val="18"/>
        </w:rPr>
      </w:pPr>
    </w:p>
    <w:p w14:paraId="1A02FC6E" w14:textId="77777777" w:rsidR="00DF74D7" w:rsidRPr="002D4ACF" w:rsidRDefault="00DF74D7" w:rsidP="000B3718">
      <w:pPr>
        <w:pStyle w:val="a5"/>
        <w:rPr>
          <w:sz w:val="18"/>
        </w:rPr>
      </w:pPr>
      <w:r w:rsidRPr="002D4ACF">
        <w:t>1.4. Тарифы расчетно-кассового обслуживания по тарифному плану «Материнский капитал»</w:t>
      </w:r>
    </w:p>
    <w:p w14:paraId="7F9AC0AE" w14:textId="77777777" w:rsidR="00DF74D7" w:rsidRPr="002D4ACF" w:rsidRDefault="00DF74D7" w:rsidP="00DF74D7">
      <w:pPr>
        <w:rPr>
          <w:rFonts w:ascii="Tahoma" w:hAnsi="Tahoma" w:cs="Tahoma"/>
          <w:b/>
          <w:i/>
          <w:iCs/>
          <w:sz w:val="18"/>
          <w:szCs w:val="1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2"/>
        <w:gridCol w:w="1723"/>
      </w:tblGrid>
      <w:tr w:rsidR="00DF74D7" w:rsidRPr="002D4ACF" w14:paraId="72845C28" w14:textId="77777777" w:rsidTr="00DD2371">
        <w:trPr>
          <w:trHeight w:val="287"/>
        </w:trPr>
        <w:tc>
          <w:tcPr>
            <w:tcW w:w="5000" w:type="pct"/>
            <w:gridSpan w:val="2"/>
            <w:tcBorders>
              <w:top w:val="single" w:sz="4" w:space="0" w:color="auto"/>
              <w:left w:val="single" w:sz="4" w:space="0" w:color="auto"/>
              <w:bottom w:val="single" w:sz="4" w:space="0" w:color="auto"/>
              <w:right w:val="single" w:sz="4" w:space="0" w:color="auto"/>
            </w:tcBorders>
            <w:shd w:val="clear" w:color="auto" w:fill="E36C0A"/>
            <w:hideMark/>
          </w:tcPr>
          <w:p w14:paraId="6EDEC04E" w14:textId="77777777" w:rsidR="00DF74D7" w:rsidRPr="002D4ACF" w:rsidRDefault="00DF74D7" w:rsidP="00DD2371">
            <w:pPr>
              <w:rPr>
                <w:rFonts w:ascii="Tahoma" w:hAnsi="Tahoma" w:cs="Tahoma"/>
                <w:b/>
                <w:bCs/>
                <w:noProof/>
                <w:sz w:val="18"/>
                <w:szCs w:val="18"/>
              </w:rPr>
            </w:pPr>
            <w:bookmarkStart w:id="122" w:name="_Toc456791523"/>
            <w:r w:rsidRPr="002D4ACF">
              <w:rPr>
                <w:rFonts w:ascii="Tahoma" w:hAnsi="Tahoma" w:cs="Tahoma"/>
                <w:b/>
                <w:bCs/>
                <w:noProof/>
                <w:sz w:val="18"/>
                <w:szCs w:val="18"/>
              </w:rPr>
              <w:t>Тарифы расчетно-кассового обслуживания</w:t>
            </w:r>
            <w:bookmarkEnd w:id="122"/>
            <w:r w:rsidRPr="002D4ACF">
              <w:rPr>
                <w:rFonts w:ascii="Tahoma" w:hAnsi="Tahoma" w:cs="Tahoma"/>
                <w:b/>
                <w:bCs/>
                <w:noProof/>
                <w:sz w:val="18"/>
                <w:szCs w:val="18"/>
              </w:rPr>
              <w:t xml:space="preserve"> по ТП «Материнский капитал»</w:t>
            </w:r>
          </w:p>
        </w:tc>
      </w:tr>
      <w:tr w:rsidR="00DF74D7" w:rsidRPr="002D4ACF" w14:paraId="31A150E8" w14:textId="77777777" w:rsidTr="00DD2371">
        <w:trPr>
          <w:trHeight w:val="287"/>
        </w:trPr>
        <w:tc>
          <w:tcPr>
            <w:tcW w:w="4143" w:type="pct"/>
            <w:tcBorders>
              <w:top w:val="single" w:sz="4" w:space="0" w:color="auto"/>
              <w:left w:val="single" w:sz="4" w:space="0" w:color="auto"/>
              <w:bottom w:val="single" w:sz="4" w:space="0" w:color="auto"/>
              <w:right w:val="single" w:sz="4" w:space="0" w:color="auto"/>
            </w:tcBorders>
            <w:shd w:val="clear" w:color="auto" w:fill="auto"/>
            <w:hideMark/>
          </w:tcPr>
          <w:p w14:paraId="5AD0530E"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Рассмотрение документов и  принятие решения</w:t>
            </w:r>
          </w:p>
        </w:tc>
        <w:tc>
          <w:tcPr>
            <w:tcW w:w="857" w:type="pct"/>
            <w:tcBorders>
              <w:top w:val="single" w:sz="4" w:space="0" w:color="auto"/>
              <w:left w:val="single" w:sz="4" w:space="0" w:color="auto"/>
              <w:bottom w:val="single" w:sz="4" w:space="0" w:color="auto"/>
              <w:right w:val="single" w:sz="4" w:space="0" w:color="auto"/>
            </w:tcBorders>
            <w:shd w:val="clear" w:color="auto" w:fill="auto"/>
            <w:hideMark/>
          </w:tcPr>
          <w:p w14:paraId="050F28EA"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бесплатно</w:t>
            </w:r>
          </w:p>
        </w:tc>
      </w:tr>
      <w:tr w:rsidR="00DF74D7" w:rsidRPr="002D4ACF" w14:paraId="6EDF15FC" w14:textId="77777777" w:rsidTr="00DD2371">
        <w:trPr>
          <w:trHeight w:val="287"/>
        </w:trPr>
        <w:tc>
          <w:tcPr>
            <w:tcW w:w="4143" w:type="pct"/>
            <w:tcBorders>
              <w:top w:val="single" w:sz="4" w:space="0" w:color="auto"/>
              <w:left w:val="single" w:sz="4" w:space="0" w:color="auto"/>
              <w:bottom w:val="single" w:sz="4" w:space="0" w:color="auto"/>
              <w:right w:val="single" w:sz="4" w:space="0" w:color="auto"/>
            </w:tcBorders>
            <w:shd w:val="clear" w:color="auto" w:fill="auto"/>
            <w:hideMark/>
          </w:tcPr>
          <w:p w14:paraId="14A99B17"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Открытие счетов участникам сделки</w:t>
            </w:r>
          </w:p>
        </w:tc>
        <w:tc>
          <w:tcPr>
            <w:tcW w:w="857" w:type="pct"/>
            <w:tcBorders>
              <w:top w:val="single" w:sz="4" w:space="0" w:color="auto"/>
              <w:left w:val="single" w:sz="4" w:space="0" w:color="auto"/>
              <w:bottom w:val="single" w:sz="4" w:space="0" w:color="auto"/>
              <w:right w:val="single" w:sz="4" w:space="0" w:color="auto"/>
            </w:tcBorders>
            <w:shd w:val="clear" w:color="auto" w:fill="auto"/>
            <w:hideMark/>
          </w:tcPr>
          <w:p w14:paraId="49AF8DC8"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бесплатно</w:t>
            </w:r>
          </w:p>
        </w:tc>
      </w:tr>
      <w:tr w:rsidR="00DF74D7" w:rsidRPr="002D4ACF" w14:paraId="7CF24948" w14:textId="77777777" w:rsidTr="00DD2371">
        <w:trPr>
          <w:trHeight w:val="287"/>
        </w:trPr>
        <w:tc>
          <w:tcPr>
            <w:tcW w:w="4143" w:type="pct"/>
            <w:tcBorders>
              <w:top w:val="single" w:sz="4" w:space="0" w:color="auto"/>
              <w:left w:val="single" w:sz="4" w:space="0" w:color="auto"/>
              <w:bottom w:val="single" w:sz="4" w:space="0" w:color="auto"/>
              <w:right w:val="single" w:sz="4" w:space="0" w:color="auto"/>
            </w:tcBorders>
            <w:shd w:val="clear" w:color="auto" w:fill="auto"/>
            <w:hideMark/>
          </w:tcPr>
          <w:p w14:paraId="7F5B46B3"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Зачисление кредита на счет</w:t>
            </w:r>
          </w:p>
        </w:tc>
        <w:tc>
          <w:tcPr>
            <w:tcW w:w="857" w:type="pct"/>
            <w:tcBorders>
              <w:top w:val="single" w:sz="4" w:space="0" w:color="auto"/>
              <w:left w:val="single" w:sz="4" w:space="0" w:color="auto"/>
              <w:bottom w:val="single" w:sz="4" w:space="0" w:color="auto"/>
              <w:right w:val="single" w:sz="4" w:space="0" w:color="auto"/>
            </w:tcBorders>
            <w:shd w:val="clear" w:color="auto" w:fill="auto"/>
            <w:hideMark/>
          </w:tcPr>
          <w:p w14:paraId="6BB43F6E"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бесплатно</w:t>
            </w:r>
          </w:p>
        </w:tc>
      </w:tr>
      <w:tr w:rsidR="00DF74D7" w:rsidRPr="002D4ACF" w14:paraId="341DB60D" w14:textId="77777777" w:rsidTr="00DD2371">
        <w:trPr>
          <w:trHeight w:val="287"/>
        </w:trPr>
        <w:tc>
          <w:tcPr>
            <w:tcW w:w="4143" w:type="pct"/>
            <w:tcBorders>
              <w:top w:val="single" w:sz="4" w:space="0" w:color="auto"/>
              <w:left w:val="single" w:sz="4" w:space="0" w:color="auto"/>
              <w:bottom w:val="single" w:sz="4" w:space="0" w:color="auto"/>
              <w:right w:val="single" w:sz="4" w:space="0" w:color="auto"/>
            </w:tcBorders>
            <w:shd w:val="clear" w:color="auto" w:fill="auto"/>
            <w:hideMark/>
          </w:tcPr>
          <w:p w14:paraId="75F245C4"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Открытие аккредитива</w:t>
            </w:r>
          </w:p>
        </w:tc>
        <w:tc>
          <w:tcPr>
            <w:tcW w:w="857" w:type="pct"/>
            <w:tcBorders>
              <w:top w:val="single" w:sz="4" w:space="0" w:color="auto"/>
              <w:left w:val="single" w:sz="4" w:space="0" w:color="auto"/>
              <w:bottom w:val="single" w:sz="4" w:space="0" w:color="auto"/>
              <w:right w:val="single" w:sz="4" w:space="0" w:color="auto"/>
            </w:tcBorders>
            <w:shd w:val="clear" w:color="auto" w:fill="auto"/>
            <w:hideMark/>
          </w:tcPr>
          <w:p w14:paraId="6A6B5EB8"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10 000 рублей</w:t>
            </w:r>
          </w:p>
        </w:tc>
      </w:tr>
      <w:tr w:rsidR="00DF74D7" w:rsidRPr="002D4ACF" w14:paraId="244AB0CD" w14:textId="77777777" w:rsidTr="00DD2371">
        <w:trPr>
          <w:trHeight w:val="287"/>
        </w:trPr>
        <w:tc>
          <w:tcPr>
            <w:tcW w:w="4143" w:type="pct"/>
            <w:tcBorders>
              <w:top w:val="single" w:sz="4" w:space="0" w:color="auto"/>
              <w:left w:val="single" w:sz="4" w:space="0" w:color="auto"/>
              <w:bottom w:val="single" w:sz="4" w:space="0" w:color="auto"/>
              <w:right w:val="single" w:sz="4" w:space="0" w:color="auto"/>
            </w:tcBorders>
            <w:shd w:val="clear" w:color="auto" w:fill="auto"/>
            <w:hideMark/>
          </w:tcPr>
          <w:p w14:paraId="72DDD834"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Прием, проверка  документов и исполнение аккредитива</w:t>
            </w:r>
          </w:p>
        </w:tc>
        <w:tc>
          <w:tcPr>
            <w:tcW w:w="857" w:type="pct"/>
            <w:tcBorders>
              <w:top w:val="single" w:sz="4" w:space="0" w:color="auto"/>
              <w:left w:val="single" w:sz="4" w:space="0" w:color="auto"/>
              <w:bottom w:val="single" w:sz="4" w:space="0" w:color="auto"/>
              <w:right w:val="single" w:sz="4" w:space="0" w:color="auto"/>
            </w:tcBorders>
            <w:shd w:val="clear" w:color="auto" w:fill="auto"/>
            <w:hideMark/>
          </w:tcPr>
          <w:p w14:paraId="43BC27AB"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10 000 рублей</w:t>
            </w:r>
          </w:p>
        </w:tc>
      </w:tr>
      <w:tr w:rsidR="00DF74D7" w:rsidRPr="002D4ACF" w14:paraId="645E2471" w14:textId="77777777" w:rsidTr="00DD2371">
        <w:trPr>
          <w:trHeight w:val="287"/>
        </w:trPr>
        <w:tc>
          <w:tcPr>
            <w:tcW w:w="4143" w:type="pct"/>
            <w:tcBorders>
              <w:top w:val="single" w:sz="4" w:space="0" w:color="auto"/>
              <w:left w:val="single" w:sz="4" w:space="0" w:color="auto"/>
              <w:bottom w:val="single" w:sz="4" w:space="0" w:color="auto"/>
              <w:right w:val="single" w:sz="4" w:space="0" w:color="auto"/>
            </w:tcBorders>
            <w:shd w:val="clear" w:color="auto" w:fill="auto"/>
            <w:hideMark/>
          </w:tcPr>
          <w:p w14:paraId="606D6E9B"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Перевод кредитных средств Продавцу при условии предоставления Банку заявления на перевод кредитных денежных средств с указанием реквизитов Продавца не позднее 3 (трех) рабочих дней с даты подачи Банку Заявления на получение ипотечного кредита</w:t>
            </w:r>
          </w:p>
        </w:tc>
        <w:tc>
          <w:tcPr>
            <w:tcW w:w="857" w:type="pct"/>
            <w:tcBorders>
              <w:top w:val="single" w:sz="4" w:space="0" w:color="auto"/>
              <w:left w:val="single" w:sz="4" w:space="0" w:color="auto"/>
              <w:bottom w:val="single" w:sz="4" w:space="0" w:color="auto"/>
              <w:right w:val="single" w:sz="4" w:space="0" w:color="auto"/>
            </w:tcBorders>
            <w:shd w:val="clear" w:color="auto" w:fill="auto"/>
            <w:hideMark/>
          </w:tcPr>
          <w:p w14:paraId="61390ABF"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бесплатно</w:t>
            </w:r>
          </w:p>
        </w:tc>
      </w:tr>
      <w:tr w:rsidR="00DF74D7" w:rsidRPr="002D4ACF" w14:paraId="0FC19CAD" w14:textId="77777777" w:rsidTr="00DD2371">
        <w:trPr>
          <w:trHeight w:val="844"/>
        </w:trPr>
        <w:tc>
          <w:tcPr>
            <w:tcW w:w="4143" w:type="pct"/>
            <w:tcBorders>
              <w:top w:val="single" w:sz="4" w:space="0" w:color="auto"/>
              <w:left w:val="single" w:sz="4" w:space="0" w:color="auto"/>
              <w:bottom w:val="single" w:sz="4" w:space="0" w:color="auto"/>
              <w:right w:val="single" w:sz="4" w:space="0" w:color="auto"/>
            </w:tcBorders>
            <w:shd w:val="clear" w:color="auto" w:fill="auto"/>
            <w:hideMark/>
          </w:tcPr>
          <w:p w14:paraId="0AA8E1D7"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 xml:space="preserve">Плата за информацию о размере текущей задолженности Заемщика перед Банком по Договору, о датах и размерах произведенных и предстоящих платежей Заемщика по Договору о размерах предстоящих платежей Заемщика по Кредиту с переменной процентной ставкой, о произведенных платежах, при подготовке справок для субсидий/ в органы социальной защиты населения/ налоговые органы/ выписки по счетам, открытым в рамках Договора, справки о закрытии Кредита. </w:t>
            </w:r>
          </w:p>
        </w:tc>
        <w:tc>
          <w:tcPr>
            <w:tcW w:w="857" w:type="pct"/>
            <w:tcBorders>
              <w:top w:val="single" w:sz="4" w:space="0" w:color="auto"/>
              <w:left w:val="single" w:sz="4" w:space="0" w:color="auto"/>
              <w:bottom w:val="single" w:sz="4" w:space="0" w:color="auto"/>
              <w:right w:val="single" w:sz="4" w:space="0" w:color="auto"/>
            </w:tcBorders>
            <w:shd w:val="clear" w:color="auto" w:fill="auto"/>
            <w:hideMark/>
          </w:tcPr>
          <w:p w14:paraId="0BEC9FF8"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500 рублей при запросе указанной информации более 1 раза в месяц</w:t>
            </w:r>
          </w:p>
        </w:tc>
      </w:tr>
      <w:tr w:rsidR="00DF74D7" w:rsidRPr="002D4ACF" w14:paraId="6F3D23E8" w14:textId="77777777" w:rsidTr="00DD2371">
        <w:trPr>
          <w:trHeight w:val="70"/>
        </w:trPr>
        <w:tc>
          <w:tcPr>
            <w:tcW w:w="4143" w:type="pct"/>
            <w:tcBorders>
              <w:top w:val="single" w:sz="4" w:space="0" w:color="auto"/>
              <w:left w:val="single" w:sz="4" w:space="0" w:color="auto"/>
              <w:bottom w:val="single" w:sz="4" w:space="0" w:color="auto"/>
              <w:right w:val="single" w:sz="4" w:space="0" w:color="auto"/>
            </w:tcBorders>
            <w:shd w:val="clear" w:color="auto" w:fill="auto"/>
            <w:hideMark/>
          </w:tcPr>
          <w:p w14:paraId="11A45970"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 xml:space="preserve">Платеж за выдачу дубликата или восстановление утерянного кредитного Договора, договоров обеспечения </w:t>
            </w:r>
          </w:p>
        </w:tc>
        <w:tc>
          <w:tcPr>
            <w:tcW w:w="8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907E731"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10 000 рублей (за один документ)</w:t>
            </w:r>
          </w:p>
        </w:tc>
      </w:tr>
      <w:tr w:rsidR="00DF74D7" w:rsidRPr="002D4ACF" w14:paraId="4BD82E58" w14:textId="77777777" w:rsidTr="00DD2371">
        <w:trPr>
          <w:trHeight w:val="70"/>
        </w:trPr>
        <w:tc>
          <w:tcPr>
            <w:tcW w:w="4143" w:type="pct"/>
            <w:tcBorders>
              <w:top w:val="single" w:sz="4" w:space="0" w:color="auto"/>
              <w:left w:val="single" w:sz="4" w:space="0" w:color="auto"/>
              <w:bottom w:val="single" w:sz="4" w:space="0" w:color="auto"/>
              <w:right w:val="single" w:sz="4" w:space="0" w:color="auto"/>
            </w:tcBorders>
            <w:shd w:val="clear" w:color="auto" w:fill="auto"/>
            <w:hideMark/>
          </w:tcPr>
          <w:p w14:paraId="179764B5"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Платеж за изменение условий Кредитного договора по инициативе Заемщика (проведение необходимых мероприятий, связанных с заменой Заемщика/ Залогодателя)</w:t>
            </w:r>
          </w:p>
        </w:tc>
        <w:tc>
          <w:tcPr>
            <w:tcW w:w="8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5FF3D1C"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2 360 рублей</w:t>
            </w:r>
          </w:p>
        </w:tc>
      </w:tr>
      <w:tr w:rsidR="00DF74D7" w:rsidRPr="002D4ACF" w14:paraId="6AC1BA9C" w14:textId="77777777" w:rsidTr="00DD2371">
        <w:trPr>
          <w:trHeight w:val="134"/>
        </w:trPr>
        <w:tc>
          <w:tcPr>
            <w:tcW w:w="4143" w:type="pct"/>
            <w:tcBorders>
              <w:top w:val="single" w:sz="4" w:space="0" w:color="auto"/>
              <w:left w:val="single" w:sz="4" w:space="0" w:color="auto"/>
              <w:bottom w:val="single" w:sz="4" w:space="0" w:color="auto"/>
              <w:right w:val="single" w:sz="4" w:space="0" w:color="auto"/>
            </w:tcBorders>
            <w:shd w:val="clear" w:color="auto" w:fill="auto"/>
            <w:hideMark/>
          </w:tcPr>
          <w:p w14:paraId="3F76B146"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Платеж за изменение условий Кредитного договора по инициативе ЗАЕМЩИКА (проведение необходимых мероприятий, связанных с изменением перечня лиц, зарегистрированных по адресу Объекта)</w:t>
            </w:r>
          </w:p>
        </w:tc>
        <w:tc>
          <w:tcPr>
            <w:tcW w:w="8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77B92F6"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1 000 рублей</w:t>
            </w:r>
          </w:p>
        </w:tc>
      </w:tr>
      <w:tr w:rsidR="00DF74D7" w:rsidRPr="002D4ACF" w14:paraId="635AD7CA" w14:textId="77777777" w:rsidTr="00DD2371">
        <w:trPr>
          <w:trHeight w:val="844"/>
        </w:trPr>
        <w:tc>
          <w:tcPr>
            <w:tcW w:w="4143" w:type="pct"/>
            <w:tcBorders>
              <w:top w:val="single" w:sz="4" w:space="0" w:color="auto"/>
              <w:left w:val="single" w:sz="4" w:space="0" w:color="auto"/>
              <w:bottom w:val="single" w:sz="4" w:space="0" w:color="auto"/>
              <w:right w:val="single" w:sz="4" w:space="0" w:color="auto"/>
            </w:tcBorders>
            <w:shd w:val="clear" w:color="auto" w:fill="auto"/>
            <w:hideMark/>
          </w:tcPr>
          <w:p w14:paraId="2520EB4F"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Платеж за изменение условий Кредитного договора по инициативе ЗАЕМЩИКА (проведение необходимых мероприятий, связанных с изменением технических характеристик и параметров Объекта в результате перепланировки/ переустройства)</w:t>
            </w:r>
          </w:p>
        </w:tc>
        <w:tc>
          <w:tcPr>
            <w:tcW w:w="8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AEFFA1B"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2 360 рублей</w:t>
            </w:r>
          </w:p>
        </w:tc>
      </w:tr>
      <w:tr w:rsidR="00DF74D7" w:rsidRPr="002D4ACF" w14:paraId="01C6E1AB" w14:textId="77777777" w:rsidTr="00DD2371">
        <w:trPr>
          <w:trHeight w:val="844"/>
        </w:trPr>
        <w:tc>
          <w:tcPr>
            <w:tcW w:w="4143" w:type="pct"/>
            <w:tcBorders>
              <w:top w:val="single" w:sz="4" w:space="0" w:color="auto"/>
              <w:left w:val="single" w:sz="4" w:space="0" w:color="auto"/>
              <w:bottom w:val="single" w:sz="4" w:space="0" w:color="auto"/>
              <w:right w:val="single" w:sz="4" w:space="0" w:color="auto"/>
            </w:tcBorders>
            <w:shd w:val="clear" w:color="auto" w:fill="auto"/>
            <w:hideMark/>
          </w:tcPr>
          <w:p w14:paraId="2F15557F"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Штрафные санкции за нарушение обязательств, предусмотренных Кредитным договором, а именно:</w:t>
            </w:r>
          </w:p>
          <w:p w14:paraId="607DBF4D"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1. Не уведомление Банка (телеграммой или заказным письмом с уведомлением о вручении):</w:t>
            </w:r>
          </w:p>
          <w:p w14:paraId="5320E8D4"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а) об изменении брачного Договора – в десятидневный срок, считая от даты заключения, изменения или расторжения брачного Договора в силу положений статьи 46 Семейного кодекса РФ и его содержании в части установления правового режима приобретаемой Квартиры, а также признания в установленном порядке брачного Договора недействительным;</w:t>
            </w:r>
          </w:p>
          <w:p w14:paraId="3090F086"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б) об изменении места жительства и состава семьи – в десятидневный срок, считая от даты изменения места жительства, состава семьи, работы (смены работодателя), фамилии и других обстоятельствах, способных повлиять на выполнение обязательств по Кредитному договору.</w:t>
            </w:r>
          </w:p>
          <w:p w14:paraId="4368008C"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2. Не уведомление Банка (телеграммой или заказным письмом с уведомлением о вручении) в десятидневный срок, считая от даты, когда Заемщик, узнал о возбуждении в отношении себя, либо любого из солидарных Заемщиков в соответствии с действующим гражданско-процессуальным законодательством дела особого производства о признании гражданина ограниченно дееспособным и недееспособным, об установлении неправильностей записей в книгах актов гражданского состояния, о возбуждении в отношении себя, либо любого из солидарных Заемщиков других гражданских дел, способных повлиять на исполнение обязательств по Кредитному договору.</w:t>
            </w:r>
          </w:p>
          <w:p w14:paraId="07E9D9B9"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3. Не уведомление Банка (телеграммой или заказным письмом с уведомлением о вручении) в десятидневный срок, считая от даты, когда Заемщик узнал о возбуждении в отношении себя, либо любого из солидарных Заемщиков уголовного дела в соответствии с действующим уголовно-процессуальным законодательством.</w:t>
            </w:r>
          </w:p>
          <w:p w14:paraId="31524009"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4. Не предоставление возможности Банку или его представителям периодически (не менее одного раза в год) производить проверку фактического наличия, состояния и условий содержания Квартиры, а также состава лиц постоянно или временно проживающих в ней и основания для их проживания.</w:t>
            </w:r>
          </w:p>
          <w:p w14:paraId="3B6F6B18"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5. Отчуждение Квартиры, осуществление мер, направленных на её последующую ипотеку, распоряжение ею без предварительного письменного согласия Банка.</w:t>
            </w:r>
          </w:p>
          <w:p w14:paraId="3C6C38AF"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6. Сдача Квартиры в наем, передача в безвозмездное пользование либо иным образом обременение ее правами третьих лиц без предварительного письменного согласия Банка.</w:t>
            </w:r>
          </w:p>
          <w:p w14:paraId="1EC7578F"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7. Осуществление перепланировки/ переустройства Квартиры без предварительного письменного согласия Банка.</w:t>
            </w:r>
          </w:p>
          <w:p w14:paraId="6076D573"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8. Регистрация по адресу Квартиры лиц без предварительного письменного согласования Банка (за исключением лиц согласованных Банком на момент заключения Кредитного договора).</w:t>
            </w:r>
          </w:p>
          <w:p w14:paraId="49E78813"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lastRenderedPageBreak/>
              <w:t>9. Не осуществление действий со стороны Залогодателя, необходимых для сохранения Квартиры, включая текущий и капитальный ремонты.</w:t>
            </w:r>
          </w:p>
          <w:p w14:paraId="525C1EF0"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10. Не информирование Банка о возникновении угрозы утраты или повреждения Квартиры.</w:t>
            </w:r>
          </w:p>
          <w:p w14:paraId="331BB574"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11. Не  предоставление Банку расписки-уведомления (извещения) о регистрации заявления о распоряжении средствами МСК в течение 7 (семи) рабочих дней с даты получения такой расписки-уведомления (извещения) в Пенсионном Фонде РФ.</w:t>
            </w:r>
          </w:p>
          <w:p w14:paraId="490CFBEE" w14:textId="77777777" w:rsidR="00DF74D7" w:rsidRPr="002D4ACF" w:rsidRDefault="00DF74D7" w:rsidP="00DD2371">
            <w:pPr>
              <w:ind w:left="34"/>
              <w:rPr>
                <w:rFonts w:ascii="Tahoma" w:hAnsi="Tahoma" w:cs="Tahoma"/>
                <w:noProof/>
                <w:sz w:val="18"/>
                <w:szCs w:val="18"/>
              </w:rPr>
            </w:pPr>
            <w:r w:rsidRPr="002D4ACF">
              <w:rPr>
                <w:rFonts w:ascii="Tahoma" w:hAnsi="Tahoma" w:cs="Tahoma"/>
                <w:noProof/>
                <w:sz w:val="18"/>
                <w:szCs w:val="18"/>
              </w:rPr>
              <w:t>12. Неустойка, взимаемая за неисполнение следующих обязательств (одного или двух обязательств), предусмотренных Кредитным договором в рамках тарифного плана «Материнский капитал» при приобретении квартиры на этапе строительства, а именно:</w:t>
            </w:r>
          </w:p>
          <w:p w14:paraId="1229BCAB"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 Заемщики обязаны предпринять весь комплекс необходимых мероприятий для государственной регистрации права собственности участников долевого строительства на квартиру, как завершенный строительством объект, в течение 40 календарных дней с даты ввода многоквартирного дома, в котором располагается Квартира, в эксплуатацию.</w:t>
            </w:r>
          </w:p>
        </w:tc>
        <w:tc>
          <w:tcPr>
            <w:tcW w:w="8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37B27A"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lastRenderedPageBreak/>
              <w:t>5 000 рублей</w:t>
            </w:r>
          </w:p>
        </w:tc>
      </w:tr>
      <w:tr w:rsidR="00DF74D7" w:rsidRPr="002D4ACF" w14:paraId="7329665E" w14:textId="77777777" w:rsidTr="00DD2371">
        <w:trPr>
          <w:trHeight w:val="1255"/>
        </w:trPr>
        <w:tc>
          <w:tcPr>
            <w:tcW w:w="4143" w:type="pct"/>
            <w:tcBorders>
              <w:top w:val="single" w:sz="4" w:space="0" w:color="auto"/>
              <w:left w:val="single" w:sz="4" w:space="0" w:color="auto"/>
              <w:bottom w:val="single" w:sz="4" w:space="0" w:color="auto"/>
              <w:right w:val="single" w:sz="4" w:space="0" w:color="auto"/>
            </w:tcBorders>
            <w:shd w:val="clear" w:color="auto" w:fill="auto"/>
            <w:vAlign w:val="center"/>
          </w:tcPr>
          <w:p w14:paraId="45CC0D73"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 xml:space="preserve">Пеня при нарушении сроков возврата  Кредита и/или оплаты процентов. </w:t>
            </w:r>
          </w:p>
          <w:p w14:paraId="402CD4B0" w14:textId="77777777" w:rsidR="00DF74D7" w:rsidRPr="002D4ACF" w:rsidRDefault="00DF74D7" w:rsidP="00DD2371">
            <w:pPr>
              <w:rPr>
                <w:rFonts w:ascii="Tahoma" w:hAnsi="Tahoma" w:cs="Tahoma"/>
                <w:noProof/>
                <w:sz w:val="18"/>
                <w:szCs w:val="18"/>
              </w:rPr>
            </w:pPr>
          </w:p>
        </w:tc>
        <w:tc>
          <w:tcPr>
            <w:tcW w:w="8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2E8419A" w14:textId="77777777" w:rsidR="00DF74D7" w:rsidRPr="002D4ACF" w:rsidRDefault="00DF74D7" w:rsidP="00DD2371">
            <w:pPr>
              <w:rPr>
                <w:rFonts w:ascii="Tahoma" w:hAnsi="Tahoma" w:cs="Tahoma"/>
                <w:noProof/>
                <w:sz w:val="18"/>
                <w:szCs w:val="18"/>
              </w:rPr>
            </w:pPr>
            <w:r w:rsidRPr="002D4ACF">
              <w:rPr>
                <w:rFonts w:ascii="Tahoma" w:hAnsi="Tahoma" w:cs="Tahoma"/>
                <w:noProof/>
                <w:sz w:val="18"/>
                <w:szCs w:val="18"/>
              </w:rPr>
              <w:t>Заемщик обязан уплатить Банку пени в размере ключевой ставки Центрального банка Российской Федерации на день заключения кредитного договора.</w:t>
            </w:r>
          </w:p>
        </w:tc>
      </w:tr>
    </w:tbl>
    <w:p w14:paraId="1649118C" w14:textId="77777777" w:rsidR="00DF74D7" w:rsidRPr="002D4ACF" w:rsidRDefault="00DF74D7" w:rsidP="00DF74D7">
      <w:pPr>
        <w:rPr>
          <w:rFonts w:ascii="Tahoma" w:hAnsi="Tahoma" w:cs="Tahoma"/>
          <w:b/>
          <w:i/>
          <w:iCs/>
          <w:sz w:val="20"/>
          <w:szCs w:val="18"/>
        </w:rPr>
      </w:pPr>
    </w:p>
    <w:p w14:paraId="0C32E2D5" w14:textId="77777777" w:rsidR="00DF74D7" w:rsidRPr="002D4ACF" w:rsidRDefault="00DF74D7" w:rsidP="00DF74D7">
      <w:pPr>
        <w:rPr>
          <w:rFonts w:ascii="Tahoma" w:hAnsi="Tahoma" w:cs="Tahoma"/>
          <w:b/>
          <w:i/>
          <w:iCs/>
          <w:sz w:val="20"/>
          <w:szCs w:val="18"/>
        </w:rPr>
      </w:pPr>
    </w:p>
    <w:p w14:paraId="1734B6FC" w14:textId="459EBD74" w:rsidR="00DF74D7" w:rsidRPr="002D4ACF" w:rsidRDefault="00DF74D7" w:rsidP="000B3718">
      <w:pPr>
        <w:pStyle w:val="a5"/>
      </w:pPr>
      <w:r w:rsidRPr="002D4ACF">
        <w:t>1.5.Операции с памятными и инвестиционными монетами</w:t>
      </w:r>
    </w:p>
    <w:p w14:paraId="5C5C9E76" w14:textId="77777777" w:rsidR="00DF74D7" w:rsidRPr="002D4ACF" w:rsidRDefault="00DF74D7" w:rsidP="00DF74D7">
      <w:pPr>
        <w:rPr>
          <w:rFonts w:ascii="Tahoma" w:hAnsi="Tahoma" w:cs="Tahoma"/>
          <w:b/>
          <w:i/>
          <w:iCs/>
          <w:sz w:val="18"/>
          <w:szCs w:val="1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
        <w:gridCol w:w="831"/>
        <w:gridCol w:w="3216"/>
        <w:gridCol w:w="2256"/>
        <w:gridCol w:w="1854"/>
        <w:gridCol w:w="1271"/>
      </w:tblGrid>
      <w:tr w:rsidR="00DF74D7" w:rsidRPr="002D4ACF" w14:paraId="25D4F532" w14:textId="77777777" w:rsidTr="00DD2371">
        <w:trPr>
          <w:trHeight w:val="504"/>
        </w:trPr>
        <w:tc>
          <w:tcPr>
            <w:tcW w:w="725" w:type="pct"/>
            <w:gridSpan w:val="2"/>
            <w:shd w:val="clear" w:color="auto" w:fill="D9D9D9"/>
            <w:noWrap/>
            <w:hideMark/>
          </w:tcPr>
          <w:p w14:paraId="6838088E" w14:textId="77777777" w:rsidR="00DF74D7" w:rsidRPr="002D4ACF" w:rsidRDefault="00DF74D7" w:rsidP="00DD2371">
            <w:pPr>
              <w:jc w:val="both"/>
              <w:rPr>
                <w:rFonts w:ascii="Tahoma" w:hAnsi="Tahoma" w:cs="Tahoma"/>
                <w:b/>
                <w:bCs/>
                <w:iCs/>
                <w:sz w:val="18"/>
                <w:szCs w:val="18"/>
              </w:rPr>
            </w:pPr>
          </w:p>
          <w:p w14:paraId="48AD1ACF" w14:textId="77777777" w:rsidR="00DF74D7" w:rsidRPr="002D4ACF" w:rsidRDefault="00DF74D7" w:rsidP="00DD2371">
            <w:pPr>
              <w:jc w:val="center"/>
              <w:rPr>
                <w:rFonts w:ascii="Tahoma" w:hAnsi="Tahoma" w:cs="Tahoma"/>
                <w:b/>
                <w:bCs/>
                <w:iCs/>
                <w:sz w:val="18"/>
                <w:szCs w:val="18"/>
              </w:rPr>
            </w:pPr>
            <w:r w:rsidRPr="002D4ACF">
              <w:rPr>
                <w:rFonts w:ascii="Tahoma" w:hAnsi="Tahoma" w:cs="Tahoma"/>
                <w:b/>
                <w:bCs/>
                <w:iCs/>
                <w:sz w:val="18"/>
                <w:szCs w:val="18"/>
              </w:rPr>
              <w:t>№№</w:t>
            </w:r>
          </w:p>
        </w:tc>
        <w:tc>
          <w:tcPr>
            <w:tcW w:w="1599" w:type="pct"/>
            <w:shd w:val="clear" w:color="auto" w:fill="D9D9D9"/>
            <w:hideMark/>
          </w:tcPr>
          <w:p w14:paraId="33EA4E44" w14:textId="77777777" w:rsidR="00DF74D7" w:rsidRPr="002D4ACF" w:rsidRDefault="00DF74D7" w:rsidP="00DD2371">
            <w:pPr>
              <w:jc w:val="center"/>
              <w:rPr>
                <w:rFonts w:ascii="Tahoma" w:hAnsi="Tahoma" w:cs="Tahoma"/>
                <w:b/>
                <w:bCs/>
                <w:iCs/>
                <w:sz w:val="18"/>
                <w:szCs w:val="18"/>
              </w:rPr>
            </w:pPr>
          </w:p>
          <w:p w14:paraId="3EC96317" w14:textId="77777777" w:rsidR="00DF74D7" w:rsidRPr="002D4ACF" w:rsidRDefault="00DF74D7" w:rsidP="00DD2371">
            <w:pPr>
              <w:jc w:val="center"/>
              <w:rPr>
                <w:rFonts w:ascii="Tahoma" w:hAnsi="Tahoma" w:cs="Tahoma"/>
                <w:b/>
                <w:bCs/>
                <w:iCs/>
                <w:sz w:val="18"/>
                <w:szCs w:val="18"/>
              </w:rPr>
            </w:pPr>
            <w:r w:rsidRPr="002D4ACF">
              <w:rPr>
                <w:rFonts w:ascii="Tahoma" w:hAnsi="Tahoma" w:cs="Tahoma"/>
                <w:b/>
                <w:bCs/>
                <w:iCs/>
                <w:sz w:val="18"/>
                <w:szCs w:val="18"/>
              </w:rPr>
              <w:t>Наименование услуги</w:t>
            </w:r>
          </w:p>
        </w:tc>
        <w:tc>
          <w:tcPr>
            <w:tcW w:w="1122" w:type="pct"/>
            <w:shd w:val="clear" w:color="auto" w:fill="D9D9D9"/>
            <w:noWrap/>
            <w:hideMark/>
          </w:tcPr>
          <w:p w14:paraId="4EEB41C5" w14:textId="77777777" w:rsidR="00DF74D7" w:rsidRPr="002D4ACF" w:rsidRDefault="00DF74D7" w:rsidP="00DD2371">
            <w:pPr>
              <w:jc w:val="center"/>
              <w:rPr>
                <w:rFonts w:ascii="Tahoma" w:hAnsi="Tahoma" w:cs="Tahoma"/>
                <w:b/>
                <w:bCs/>
                <w:iCs/>
                <w:sz w:val="18"/>
                <w:szCs w:val="18"/>
              </w:rPr>
            </w:pPr>
          </w:p>
          <w:p w14:paraId="3247094B" w14:textId="77777777" w:rsidR="00DF74D7" w:rsidRPr="002D4ACF" w:rsidRDefault="00DF74D7" w:rsidP="00DD2371">
            <w:pPr>
              <w:jc w:val="center"/>
              <w:rPr>
                <w:rFonts w:ascii="Tahoma" w:hAnsi="Tahoma" w:cs="Tahoma"/>
                <w:b/>
                <w:bCs/>
                <w:iCs/>
                <w:sz w:val="18"/>
                <w:szCs w:val="18"/>
              </w:rPr>
            </w:pPr>
            <w:r w:rsidRPr="002D4ACF">
              <w:rPr>
                <w:rFonts w:ascii="Tahoma" w:hAnsi="Tahoma" w:cs="Tahoma"/>
                <w:b/>
                <w:bCs/>
                <w:iCs/>
                <w:sz w:val="18"/>
                <w:szCs w:val="18"/>
              </w:rPr>
              <w:t>Тариф</w:t>
            </w:r>
          </w:p>
        </w:tc>
        <w:tc>
          <w:tcPr>
            <w:tcW w:w="922" w:type="pct"/>
            <w:shd w:val="clear" w:color="auto" w:fill="D9D9D9"/>
            <w:noWrap/>
            <w:hideMark/>
          </w:tcPr>
          <w:p w14:paraId="6A3C5D35" w14:textId="77777777" w:rsidR="00DF74D7" w:rsidRPr="002D4ACF" w:rsidRDefault="00DF74D7" w:rsidP="00DD2371">
            <w:pPr>
              <w:jc w:val="center"/>
              <w:rPr>
                <w:rFonts w:ascii="Tahoma" w:hAnsi="Tahoma" w:cs="Tahoma"/>
                <w:b/>
                <w:bCs/>
                <w:iCs/>
                <w:sz w:val="18"/>
                <w:szCs w:val="18"/>
              </w:rPr>
            </w:pPr>
          </w:p>
          <w:p w14:paraId="28D0A7BA" w14:textId="77777777" w:rsidR="00DF74D7" w:rsidRPr="002D4ACF" w:rsidRDefault="00DF74D7" w:rsidP="00DD2371">
            <w:pPr>
              <w:jc w:val="center"/>
              <w:rPr>
                <w:rFonts w:ascii="Tahoma" w:hAnsi="Tahoma" w:cs="Tahoma"/>
                <w:b/>
                <w:bCs/>
                <w:iCs/>
                <w:sz w:val="18"/>
                <w:szCs w:val="18"/>
              </w:rPr>
            </w:pPr>
            <w:r w:rsidRPr="002D4ACF">
              <w:rPr>
                <w:rFonts w:ascii="Tahoma" w:hAnsi="Tahoma" w:cs="Tahoma"/>
                <w:b/>
                <w:bCs/>
                <w:iCs/>
                <w:sz w:val="18"/>
                <w:szCs w:val="18"/>
              </w:rPr>
              <w:t>Минимум</w:t>
            </w:r>
          </w:p>
        </w:tc>
        <w:tc>
          <w:tcPr>
            <w:tcW w:w="632" w:type="pct"/>
            <w:shd w:val="clear" w:color="auto" w:fill="D9D9D9"/>
            <w:noWrap/>
            <w:hideMark/>
          </w:tcPr>
          <w:p w14:paraId="67BF4C81" w14:textId="77777777" w:rsidR="00DF74D7" w:rsidRPr="002D4ACF" w:rsidRDefault="00DF74D7" w:rsidP="00DD2371">
            <w:pPr>
              <w:jc w:val="center"/>
              <w:rPr>
                <w:rFonts w:ascii="Tahoma" w:hAnsi="Tahoma" w:cs="Tahoma"/>
                <w:b/>
                <w:bCs/>
                <w:iCs/>
                <w:sz w:val="18"/>
                <w:szCs w:val="18"/>
              </w:rPr>
            </w:pPr>
          </w:p>
          <w:p w14:paraId="30E6EB13" w14:textId="77777777" w:rsidR="00DF74D7" w:rsidRPr="002D4ACF" w:rsidRDefault="00DF74D7" w:rsidP="00DD2371">
            <w:pPr>
              <w:jc w:val="center"/>
              <w:rPr>
                <w:rFonts w:ascii="Tahoma" w:hAnsi="Tahoma" w:cs="Tahoma"/>
                <w:b/>
                <w:bCs/>
                <w:iCs/>
                <w:sz w:val="18"/>
                <w:szCs w:val="18"/>
              </w:rPr>
            </w:pPr>
            <w:r w:rsidRPr="002D4ACF">
              <w:rPr>
                <w:rFonts w:ascii="Tahoma" w:hAnsi="Tahoma" w:cs="Tahoma"/>
                <w:b/>
                <w:bCs/>
                <w:iCs/>
                <w:sz w:val="18"/>
                <w:szCs w:val="18"/>
              </w:rPr>
              <w:t>Максимум</w:t>
            </w:r>
          </w:p>
        </w:tc>
      </w:tr>
      <w:tr w:rsidR="00DF74D7" w:rsidRPr="002D4ACF" w14:paraId="1289DE78" w14:textId="77777777" w:rsidTr="00DD2371">
        <w:trPr>
          <w:trHeight w:val="525"/>
        </w:trPr>
        <w:tc>
          <w:tcPr>
            <w:tcW w:w="312" w:type="pct"/>
            <w:vMerge w:val="restart"/>
            <w:shd w:val="clear" w:color="auto" w:fill="auto"/>
            <w:noWrap/>
            <w:hideMark/>
          </w:tcPr>
          <w:p w14:paraId="75CF48F7" w14:textId="77777777" w:rsidR="00DF74D7" w:rsidRPr="002D4ACF" w:rsidRDefault="00DF74D7" w:rsidP="00DD2371">
            <w:pPr>
              <w:jc w:val="both"/>
              <w:rPr>
                <w:rFonts w:ascii="Tahoma" w:hAnsi="Tahoma" w:cs="Tahoma"/>
                <w:b/>
                <w:bCs/>
                <w:iCs/>
                <w:sz w:val="18"/>
                <w:szCs w:val="18"/>
              </w:rPr>
            </w:pPr>
            <w:r w:rsidRPr="002D4ACF">
              <w:rPr>
                <w:rFonts w:ascii="Tahoma" w:hAnsi="Tahoma" w:cs="Tahoma"/>
                <w:b/>
                <w:bCs/>
                <w:iCs/>
                <w:sz w:val="18"/>
                <w:szCs w:val="18"/>
              </w:rPr>
              <w:t>1.5.</w:t>
            </w:r>
          </w:p>
        </w:tc>
        <w:tc>
          <w:tcPr>
            <w:tcW w:w="413" w:type="pct"/>
            <w:shd w:val="clear" w:color="auto" w:fill="auto"/>
            <w:noWrap/>
            <w:hideMark/>
          </w:tcPr>
          <w:p w14:paraId="2C2F28B6"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1.5.1.</w:t>
            </w:r>
          </w:p>
        </w:tc>
        <w:tc>
          <w:tcPr>
            <w:tcW w:w="1599" w:type="pct"/>
            <w:shd w:val="clear" w:color="auto" w:fill="auto"/>
            <w:hideMark/>
          </w:tcPr>
          <w:p w14:paraId="2839A70F"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Покупка инвестиционных монет из драгоценных металлов, являющихся законным средством наличного платежа Российской Федерации в:</w:t>
            </w:r>
          </w:p>
          <w:p w14:paraId="46CAB53A"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 Филиале «Азиатско-Тихоокеанский Банк» (АО) в г. Москва по адресу: пер. Вознесенский, д. 11, стр. 1;</w:t>
            </w:r>
          </w:p>
          <w:p w14:paraId="6997568C"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w:t>
            </w:r>
            <w:r w:rsidRPr="002D4ACF">
              <w:rPr>
                <w:rFonts w:ascii="Tahoma" w:hAnsi="Tahoma" w:cs="Tahoma"/>
                <w:color w:val="000000"/>
                <w:sz w:val="18"/>
                <w:szCs w:val="18"/>
                <w:bdr w:val="none" w:sz="0" w:space="0" w:color="auto" w:frame="1"/>
              </w:rPr>
              <w:t xml:space="preserve"> </w:t>
            </w:r>
            <w:r w:rsidRPr="002D4ACF">
              <w:rPr>
                <w:rFonts w:ascii="Tahoma" w:hAnsi="Tahoma" w:cs="Tahoma"/>
                <w:b/>
                <w:color w:val="000000"/>
                <w:sz w:val="18"/>
                <w:szCs w:val="18"/>
                <w:bdr w:val="none" w:sz="0" w:space="0" w:color="auto" w:frame="1"/>
              </w:rPr>
              <w:t xml:space="preserve">Центральное отделение Департамента по Амурской области </w:t>
            </w:r>
            <w:r w:rsidRPr="002D4ACF">
              <w:rPr>
                <w:rFonts w:ascii="Tahoma" w:hAnsi="Tahoma" w:cs="Tahoma"/>
                <w:b/>
                <w:bCs/>
                <w:iCs/>
                <w:sz w:val="18"/>
                <w:szCs w:val="18"/>
              </w:rPr>
              <w:t>по адресу: г. Благовещенск, ул. Амурская, д. 225;</w:t>
            </w:r>
          </w:p>
          <w:p w14:paraId="6DE028F3" w14:textId="77777777" w:rsidR="00DF74D7" w:rsidRPr="002D4ACF" w:rsidRDefault="00DF74D7" w:rsidP="00DD2371">
            <w:pPr>
              <w:rPr>
                <w:rFonts w:ascii="Tahoma" w:hAnsi="Tahoma" w:cs="Tahoma"/>
                <w:bCs/>
                <w:iCs/>
                <w:sz w:val="18"/>
                <w:szCs w:val="18"/>
              </w:rPr>
            </w:pPr>
            <w:r w:rsidRPr="002D4ACF">
              <w:rPr>
                <w:rFonts w:ascii="Tahoma" w:hAnsi="Tahoma" w:cs="Tahoma"/>
                <w:b/>
                <w:bCs/>
                <w:iCs/>
                <w:sz w:val="18"/>
                <w:szCs w:val="18"/>
              </w:rPr>
              <w:t>- Операционном офисе № 145 в г. Петропавловск-Камчатский по адресу:</w:t>
            </w:r>
            <w:r w:rsidRPr="002D4ACF">
              <w:rPr>
                <w:rFonts w:ascii="Tahoma" w:hAnsi="Tahoma" w:cs="Tahoma"/>
                <w:b/>
                <w:sz w:val="18"/>
                <w:szCs w:val="18"/>
              </w:rPr>
              <w:t xml:space="preserve"> </w:t>
            </w:r>
            <w:r w:rsidRPr="002D4ACF">
              <w:rPr>
                <w:rFonts w:ascii="Tahoma" w:hAnsi="Tahoma" w:cs="Tahoma"/>
                <w:b/>
                <w:bCs/>
                <w:iCs/>
                <w:sz w:val="18"/>
                <w:szCs w:val="18"/>
              </w:rPr>
              <w:t>Камчатский край, г. Петропавловск-Камчатский, ул. Советская, д. 14.</w:t>
            </w:r>
          </w:p>
        </w:tc>
        <w:tc>
          <w:tcPr>
            <w:tcW w:w="1122" w:type="pct"/>
            <w:shd w:val="clear" w:color="auto" w:fill="auto"/>
            <w:hideMark/>
          </w:tcPr>
          <w:p w14:paraId="4B8FE84A"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По курсу Банка</w:t>
            </w:r>
          </w:p>
        </w:tc>
        <w:tc>
          <w:tcPr>
            <w:tcW w:w="922" w:type="pct"/>
            <w:shd w:val="clear" w:color="auto" w:fill="auto"/>
          </w:tcPr>
          <w:p w14:paraId="6ACF3C04" w14:textId="77777777" w:rsidR="00DF74D7" w:rsidRPr="002D4ACF" w:rsidRDefault="00DF74D7" w:rsidP="00DD2371">
            <w:pPr>
              <w:jc w:val="center"/>
              <w:rPr>
                <w:rFonts w:ascii="Tahoma" w:hAnsi="Tahoma" w:cs="Tahoma"/>
                <w:iCs/>
                <w:sz w:val="18"/>
                <w:szCs w:val="18"/>
              </w:rPr>
            </w:pPr>
          </w:p>
        </w:tc>
        <w:tc>
          <w:tcPr>
            <w:tcW w:w="632" w:type="pct"/>
            <w:shd w:val="clear" w:color="auto" w:fill="auto"/>
          </w:tcPr>
          <w:p w14:paraId="2B3E5D31" w14:textId="77777777" w:rsidR="00DF74D7" w:rsidRPr="002D4ACF" w:rsidRDefault="00DF74D7" w:rsidP="00DD2371">
            <w:pPr>
              <w:jc w:val="center"/>
              <w:rPr>
                <w:rFonts w:ascii="Tahoma" w:hAnsi="Tahoma" w:cs="Tahoma"/>
                <w:iCs/>
                <w:sz w:val="18"/>
                <w:szCs w:val="18"/>
              </w:rPr>
            </w:pPr>
          </w:p>
        </w:tc>
      </w:tr>
      <w:tr w:rsidR="00DF74D7" w:rsidRPr="002D4ACF" w14:paraId="38DAC7AA" w14:textId="77777777" w:rsidTr="00DD2371">
        <w:trPr>
          <w:trHeight w:val="525"/>
        </w:trPr>
        <w:tc>
          <w:tcPr>
            <w:tcW w:w="312" w:type="pct"/>
            <w:vMerge/>
            <w:shd w:val="clear" w:color="auto" w:fill="auto"/>
            <w:noWrap/>
          </w:tcPr>
          <w:p w14:paraId="4E2867E0" w14:textId="77777777" w:rsidR="00DF74D7" w:rsidRPr="002D4ACF" w:rsidRDefault="00DF74D7" w:rsidP="00DD2371">
            <w:pPr>
              <w:jc w:val="both"/>
              <w:rPr>
                <w:rFonts w:ascii="Tahoma" w:hAnsi="Tahoma" w:cs="Tahoma"/>
                <w:b/>
                <w:bCs/>
                <w:iCs/>
                <w:sz w:val="18"/>
                <w:szCs w:val="18"/>
              </w:rPr>
            </w:pPr>
          </w:p>
        </w:tc>
        <w:tc>
          <w:tcPr>
            <w:tcW w:w="413" w:type="pct"/>
            <w:shd w:val="clear" w:color="auto" w:fill="auto"/>
            <w:noWrap/>
          </w:tcPr>
          <w:p w14:paraId="7F25E4BF"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1.5.2.</w:t>
            </w:r>
          </w:p>
        </w:tc>
        <w:tc>
          <w:tcPr>
            <w:tcW w:w="1599" w:type="pct"/>
            <w:shd w:val="clear" w:color="auto" w:fill="auto"/>
          </w:tcPr>
          <w:p w14:paraId="6BC57490" w14:textId="77777777" w:rsidR="00DF74D7" w:rsidRPr="002D4ACF" w:rsidRDefault="00DF74D7" w:rsidP="00DD2371">
            <w:pPr>
              <w:rPr>
                <w:rFonts w:ascii="Tahoma" w:hAnsi="Tahoma" w:cs="Tahoma"/>
                <w:bCs/>
                <w:iCs/>
                <w:sz w:val="18"/>
                <w:szCs w:val="18"/>
              </w:rPr>
            </w:pPr>
            <w:r w:rsidRPr="002D4ACF">
              <w:rPr>
                <w:rFonts w:ascii="Tahoma" w:hAnsi="Tahoma" w:cs="Tahoma"/>
                <w:bCs/>
                <w:iCs/>
                <w:sz w:val="18"/>
                <w:szCs w:val="18"/>
              </w:rPr>
              <w:t>Продажа памятных и инвестиционных монет из драгоценных металлов, являющихся законным средством наличного платежа Российской Федерации</w:t>
            </w:r>
          </w:p>
        </w:tc>
        <w:tc>
          <w:tcPr>
            <w:tcW w:w="1122" w:type="pct"/>
            <w:shd w:val="clear" w:color="auto" w:fill="auto"/>
          </w:tcPr>
          <w:p w14:paraId="111597D9"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По курсу Банка</w:t>
            </w:r>
          </w:p>
        </w:tc>
        <w:tc>
          <w:tcPr>
            <w:tcW w:w="922" w:type="pct"/>
            <w:shd w:val="clear" w:color="auto" w:fill="auto"/>
          </w:tcPr>
          <w:p w14:paraId="046F2A17" w14:textId="77777777" w:rsidR="00DF74D7" w:rsidRPr="002D4ACF" w:rsidRDefault="00DF74D7" w:rsidP="00DD2371">
            <w:pPr>
              <w:jc w:val="center"/>
              <w:rPr>
                <w:rFonts w:ascii="Tahoma" w:hAnsi="Tahoma" w:cs="Tahoma"/>
                <w:iCs/>
                <w:sz w:val="18"/>
                <w:szCs w:val="18"/>
              </w:rPr>
            </w:pPr>
          </w:p>
        </w:tc>
        <w:tc>
          <w:tcPr>
            <w:tcW w:w="632" w:type="pct"/>
            <w:shd w:val="clear" w:color="auto" w:fill="auto"/>
          </w:tcPr>
          <w:p w14:paraId="37AE680F" w14:textId="77777777" w:rsidR="00DF74D7" w:rsidRPr="002D4ACF" w:rsidRDefault="00DF74D7" w:rsidP="00DD2371">
            <w:pPr>
              <w:jc w:val="center"/>
              <w:rPr>
                <w:rFonts w:ascii="Tahoma" w:hAnsi="Tahoma" w:cs="Tahoma"/>
                <w:iCs/>
                <w:sz w:val="18"/>
                <w:szCs w:val="18"/>
              </w:rPr>
            </w:pPr>
          </w:p>
        </w:tc>
      </w:tr>
      <w:tr w:rsidR="00DF74D7" w:rsidRPr="002D4ACF" w14:paraId="47797AD9" w14:textId="77777777" w:rsidTr="00DD2371">
        <w:trPr>
          <w:trHeight w:val="525"/>
        </w:trPr>
        <w:tc>
          <w:tcPr>
            <w:tcW w:w="312" w:type="pct"/>
            <w:vMerge/>
            <w:shd w:val="clear" w:color="auto" w:fill="auto"/>
            <w:noWrap/>
          </w:tcPr>
          <w:p w14:paraId="3C2A91C9" w14:textId="77777777" w:rsidR="00DF74D7" w:rsidRPr="002D4ACF" w:rsidRDefault="00DF74D7" w:rsidP="00DD2371">
            <w:pPr>
              <w:jc w:val="both"/>
              <w:rPr>
                <w:rFonts w:ascii="Tahoma" w:hAnsi="Tahoma" w:cs="Tahoma"/>
                <w:b/>
                <w:bCs/>
                <w:iCs/>
                <w:sz w:val="18"/>
                <w:szCs w:val="18"/>
              </w:rPr>
            </w:pPr>
          </w:p>
        </w:tc>
        <w:tc>
          <w:tcPr>
            <w:tcW w:w="413" w:type="pct"/>
            <w:shd w:val="clear" w:color="auto" w:fill="auto"/>
            <w:noWrap/>
          </w:tcPr>
          <w:p w14:paraId="48279B5E" w14:textId="77777777" w:rsidR="00DF74D7" w:rsidRPr="002D4ACF" w:rsidRDefault="00DF74D7" w:rsidP="00DD2371">
            <w:pPr>
              <w:jc w:val="both"/>
              <w:rPr>
                <w:rFonts w:ascii="Tahoma" w:hAnsi="Tahoma" w:cs="Tahoma"/>
                <w:iCs/>
                <w:sz w:val="18"/>
                <w:szCs w:val="18"/>
              </w:rPr>
            </w:pPr>
            <w:r w:rsidRPr="002D4ACF">
              <w:rPr>
                <w:rFonts w:ascii="Tahoma" w:hAnsi="Tahoma" w:cs="Tahoma"/>
                <w:iCs/>
                <w:sz w:val="18"/>
                <w:szCs w:val="18"/>
              </w:rPr>
              <w:t>1.5.3</w:t>
            </w:r>
          </w:p>
        </w:tc>
        <w:tc>
          <w:tcPr>
            <w:tcW w:w="1599" w:type="pct"/>
            <w:shd w:val="clear" w:color="auto" w:fill="auto"/>
          </w:tcPr>
          <w:p w14:paraId="32804CB3" w14:textId="77777777" w:rsidR="00DF74D7" w:rsidRPr="002D4ACF" w:rsidRDefault="00DF74D7" w:rsidP="00DD2371">
            <w:pPr>
              <w:rPr>
                <w:rFonts w:ascii="Tahoma" w:hAnsi="Tahoma" w:cs="Tahoma"/>
                <w:bCs/>
                <w:iCs/>
                <w:sz w:val="18"/>
                <w:szCs w:val="18"/>
              </w:rPr>
            </w:pPr>
            <w:r w:rsidRPr="002D4ACF">
              <w:rPr>
                <w:rFonts w:ascii="Tahoma" w:hAnsi="Tahoma" w:cs="Tahoma"/>
                <w:bCs/>
                <w:iCs/>
                <w:sz w:val="18"/>
                <w:szCs w:val="18"/>
              </w:rPr>
              <w:t>Продажа памятных и инвестиционных монет из драгоценных металлов, являющихся законным средством наличного платежа иностранного государства (группы иностранных государств)</w:t>
            </w:r>
          </w:p>
        </w:tc>
        <w:tc>
          <w:tcPr>
            <w:tcW w:w="1122" w:type="pct"/>
            <w:shd w:val="clear" w:color="auto" w:fill="auto"/>
          </w:tcPr>
          <w:p w14:paraId="7F0B49E9"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По курсу Банка</w:t>
            </w:r>
          </w:p>
        </w:tc>
        <w:tc>
          <w:tcPr>
            <w:tcW w:w="922" w:type="pct"/>
            <w:shd w:val="clear" w:color="auto" w:fill="auto"/>
          </w:tcPr>
          <w:p w14:paraId="6F1F7C82" w14:textId="77777777" w:rsidR="00DF74D7" w:rsidRPr="002D4ACF" w:rsidRDefault="00DF74D7" w:rsidP="00DD2371">
            <w:pPr>
              <w:jc w:val="center"/>
              <w:rPr>
                <w:rFonts w:ascii="Tahoma" w:hAnsi="Tahoma" w:cs="Tahoma"/>
                <w:iCs/>
                <w:sz w:val="18"/>
                <w:szCs w:val="18"/>
              </w:rPr>
            </w:pPr>
          </w:p>
        </w:tc>
        <w:tc>
          <w:tcPr>
            <w:tcW w:w="632" w:type="pct"/>
            <w:shd w:val="clear" w:color="auto" w:fill="auto"/>
          </w:tcPr>
          <w:p w14:paraId="25F873A6" w14:textId="77777777" w:rsidR="00DF74D7" w:rsidRPr="002D4ACF" w:rsidRDefault="00DF74D7" w:rsidP="00DD2371">
            <w:pPr>
              <w:jc w:val="center"/>
              <w:rPr>
                <w:rFonts w:ascii="Tahoma" w:hAnsi="Tahoma" w:cs="Tahoma"/>
                <w:iCs/>
                <w:sz w:val="18"/>
                <w:szCs w:val="18"/>
              </w:rPr>
            </w:pPr>
          </w:p>
        </w:tc>
      </w:tr>
      <w:tr w:rsidR="00DF74D7" w:rsidRPr="002D4ACF" w14:paraId="141D72E7" w14:textId="77777777" w:rsidTr="00DD2371">
        <w:trPr>
          <w:trHeight w:val="525"/>
        </w:trPr>
        <w:tc>
          <w:tcPr>
            <w:tcW w:w="312" w:type="pct"/>
            <w:vMerge/>
            <w:shd w:val="clear" w:color="auto" w:fill="auto"/>
            <w:noWrap/>
          </w:tcPr>
          <w:p w14:paraId="1A6AC4FB" w14:textId="77777777" w:rsidR="00DF74D7" w:rsidRPr="002D4ACF" w:rsidRDefault="00DF74D7" w:rsidP="00DD2371">
            <w:pPr>
              <w:jc w:val="both"/>
              <w:rPr>
                <w:rFonts w:ascii="Tahoma" w:hAnsi="Tahoma" w:cs="Tahoma"/>
                <w:b/>
                <w:bCs/>
                <w:iCs/>
                <w:sz w:val="18"/>
                <w:szCs w:val="18"/>
              </w:rPr>
            </w:pPr>
          </w:p>
        </w:tc>
        <w:tc>
          <w:tcPr>
            <w:tcW w:w="413" w:type="pct"/>
            <w:shd w:val="clear" w:color="auto" w:fill="auto"/>
            <w:noWrap/>
          </w:tcPr>
          <w:p w14:paraId="0D13851D" w14:textId="77777777" w:rsidR="00DF74D7" w:rsidRPr="002D4ACF" w:rsidRDefault="00DF74D7" w:rsidP="00DD2371">
            <w:pPr>
              <w:jc w:val="both"/>
              <w:rPr>
                <w:rFonts w:ascii="Tahoma" w:hAnsi="Tahoma" w:cs="Tahoma"/>
                <w:b/>
                <w:iCs/>
                <w:sz w:val="18"/>
                <w:szCs w:val="18"/>
              </w:rPr>
            </w:pPr>
            <w:r w:rsidRPr="002D4ACF">
              <w:rPr>
                <w:rFonts w:ascii="Tahoma" w:hAnsi="Tahoma" w:cs="Tahoma"/>
                <w:b/>
                <w:iCs/>
                <w:sz w:val="18"/>
                <w:szCs w:val="18"/>
              </w:rPr>
              <w:t>1.5.4.</w:t>
            </w:r>
          </w:p>
        </w:tc>
        <w:tc>
          <w:tcPr>
            <w:tcW w:w="1599" w:type="pct"/>
            <w:shd w:val="clear" w:color="auto" w:fill="auto"/>
          </w:tcPr>
          <w:p w14:paraId="40E6584A" w14:textId="77777777" w:rsidR="00DF74D7" w:rsidRPr="002D4ACF" w:rsidRDefault="00DF74D7" w:rsidP="00DD2371">
            <w:pPr>
              <w:rPr>
                <w:rFonts w:ascii="Tahoma" w:hAnsi="Tahoma" w:cs="Tahoma"/>
                <w:b/>
                <w:bCs/>
                <w:iCs/>
                <w:sz w:val="18"/>
                <w:szCs w:val="18"/>
              </w:rPr>
            </w:pPr>
            <w:r w:rsidRPr="002D4ACF">
              <w:rPr>
                <w:rFonts w:ascii="Tahoma" w:hAnsi="Tahoma" w:cs="Tahoma"/>
                <w:b/>
                <w:bCs/>
                <w:iCs/>
                <w:sz w:val="18"/>
                <w:szCs w:val="18"/>
              </w:rPr>
              <w:t>Продажа памятных и монет из недрагоценных металлов, являющихся законным средством наличного платежа Российской Федерации</w:t>
            </w:r>
          </w:p>
        </w:tc>
        <w:tc>
          <w:tcPr>
            <w:tcW w:w="1122" w:type="pct"/>
            <w:shd w:val="clear" w:color="auto" w:fill="auto"/>
          </w:tcPr>
          <w:p w14:paraId="5FD5F5E8"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По курсу Банка</w:t>
            </w:r>
          </w:p>
        </w:tc>
        <w:tc>
          <w:tcPr>
            <w:tcW w:w="922" w:type="pct"/>
            <w:shd w:val="clear" w:color="auto" w:fill="auto"/>
          </w:tcPr>
          <w:p w14:paraId="2E47BC1E" w14:textId="77777777" w:rsidR="00DF74D7" w:rsidRPr="002D4ACF" w:rsidRDefault="00DF74D7" w:rsidP="00DD2371">
            <w:pPr>
              <w:jc w:val="center"/>
              <w:rPr>
                <w:rFonts w:ascii="Tahoma" w:hAnsi="Tahoma" w:cs="Tahoma"/>
                <w:iCs/>
                <w:sz w:val="18"/>
                <w:szCs w:val="18"/>
              </w:rPr>
            </w:pPr>
          </w:p>
        </w:tc>
        <w:tc>
          <w:tcPr>
            <w:tcW w:w="632" w:type="pct"/>
            <w:shd w:val="clear" w:color="auto" w:fill="auto"/>
          </w:tcPr>
          <w:p w14:paraId="1108A7E3" w14:textId="77777777" w:rsidR="00DF74D7" w:rsidRPr="002D4ACF" w:rsidRDefault="00DF74D7" w:rsidP="00DD2371">
            <w:pPr>
              <w:jc w:val="center"/>
              <w:rPr>
                <w:rFonts w:ascii="Tahoma" w:hAnsi="Tahoma" w:cs="Tahoma"/>
                <w:iCs/>
                <w:sz w:val="18"/>
                <w:szCs w:val="18"/>
              </w:rPr>
            </w:pPr>
          </w:p>
        </w:tc>
      </w:tr>
    </w:tbl>
    <w:p w14:paraId="48CDCDAD" w14:textId="77777777" w:rsidR="00DF74D7" w:rsidRPr="002D4ACF" w:rsidRDefault="00DF74D7" w:rsidP="00DF74D7">
      <w:pPr>
        <w:rPr>
          <w:rFonts w:ascii="Tahoma" w:hAnsi="Tahoma" w:cs="Tahoma"/>
          <w:noProof/>
          <w:sz w:val="18"/>
          <w:szCs w:val="18"/>
        </w:rPr>
      </w:pPr>
    </w:p>
    <w:p w14:paraId="1A5843CF" w14:textId="7F07F68A" w:rsidR="00DF74D7" w:rsidRPr="002D4ACF" w:rsidRDefault="00DF74D7" w:rsidP="000B3718">
      <w:pPr>
        <w:pStyle w:val="a5"/>
      </w:pPr>
      <w:r w:rsidRPr="002D4ACF">
        <w:t>1.6.Операции с мерными слитками из драгоценных металлов</w:t>
      </w:r>
    </w:p>
    <w:p w14:paraId="472E2D7F" w14:textId="77777777" w:rsidR="00DF74D7" w:rsidRPr="002D4ACF" w:rsidRDefault="00DF74D7" w:rsidP="00DF74D7">
      <w:pPr>
        <w:rPr>
          <w:rFonts w:ascii="Arial Narrow" w:hAnsi="Arial Narrow"/>
        </w:rPr>
      </w:pPr>
    </w:p>
    <w:tbl>
      <w:tblPr>
        <w:tblW w:w="97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1"/>
        <w:gridCol w:w="729"/>
        <w:gridCol w:w="4062"/>
        <w:gridCol w:w="1717"/>
        <w:gridCol w:w="1260"/>
        <w:gridCol w:w="1374"/>
      </w:tblGrid>
      <w:tr w:rsidR="00DF74D7" w:rsidRPr="002D4ACF" w14:paraId="08140AB5" w14:textId="77777777" w:rsidTr="00DD2371">
        <w:trPr>
          <w:trHeight w:val="504"/>
          <w:jc w:val="center"/>
        </w:trPr>
        <w:tc>
          <w:tcPr>
            <w:tcW w:w="1320" w:type="dxa"/>
            <w:gridSpan w:val="2"/>
            <w:tcBorders>
              <w:top w:val="single" w:sz="4" w:space="0" w:color="auto"/>
              <w:left w:val="single" w:sz="4" w:space="0" w:color="auto"/>
              <w:bottom w:val="single" w:sz="4" w:space="0" w:color="auto"/>
              <w:right w:val="single" w:sz="4" w:space="0" w:color="auto"/>
            </w:tcBorders>
            <w:shd w:val="clear" w:color="auto" w:fill="D9D9D9"/>
            <w:noWrap/>
          </w:tcPr>
          <w:p w14:paraId="51943E0C" w14:textId="77777777" w:rsidR="00DF74D7" w:rsidRPr="002D4ACF" w:rsidRDefault="00DF74D7" w:rsidP="00DD2371">
            <w:pPr>
              <w:jc w:val="both"/>
              <w:rPr>
                <w:rFonts w:ascii="Tahoma" w:hAnsi="Tahoma" w:cs="Tahoma"/>
                <w:b/>
                <w:bCs/>
                <w:iCs/>
                <w:sz w:val="18"/>
                <w:szCs w:val="18"/>
              </w:rPr>
            </w:pPr>
          </w:p>
          <w:p w14:paraId="3F1D3531" w14:textId="77777777" w:rsidR="00DF74D7" w:rsidRPr="002D4ACF" w:rsidRDefault="00DF74D7" w:rsidP="00DD2371">
            <w:pPr>
              <w:jc w:val="center"/>
              <w:rPr>
                <w:rFonts w:ascii="Tahoma" w:hAnsi="Tahoma" w:cs="Tahoma"/>
                <w:b/>
                <w:bCs/>
                <w:iCs/>
                <w:sz w:val="18"/>
                <w:szCs w:val="18"/>
              </w:rPr>
            </w:pPr>
            <w:r w:rsidRPr="002D4ACF">
              <w:rPr>
                <w:rFonts w:ascii="Tahoma" w:hAnsi="Tahoma" w:cs="Tahoma"/>
                <w:b/>
                <w:bCs/>
                <w:iCs/>
                <w:sz w:val="18"/>
                <w:szCs w:val="18"/>
              </w:rPr>
              <w:t>№№</w:t>
            </w:r>
          </w:p>
        </w:tc>
        <w:tc>
          <w:tcPr>
            <w:tcW w:w="4062" w:type="dxa"/>
            <w:tcBorders>
              <w:top w:val="single" w:sz="4" w:space="0" w:color="auto"/>
              <w:left w:val="single" w:sz="4" w:space="0" w:color="auto"/>
              <w:bottom w:val="single" w:sz="4" w:space="0" w:color="auto"/>
              <w:right w:val="single" w:sz="4" w:space="0" w:color="auto"/>
            </w:tcBorders>
            <w:shd w:val="clear" w:color="auto" w:fill="D9D9D9"/>
          </w:tcPr>
          <w:p w14:paraId="5E8E62AE" w14:textId="77777777" w:rsidR="00DF74D7" w:rsidRPr="002D4ACF" w:rsidRDefault="00DF74D7" w:rsidP="00DD2371">
            <w:pPr>
              <w:jc w:val="center"/>
              <w:rPr>
                <w:rFonts w:ascii="Tahoma" w:hAnsi="Tahoma" w:cs="Tahoma"/>
                <w:b/>
                <w:bCs/>
                <w:iCs/>
                <w:sz w:val="18"/>
                <w:szCs w:val="18"/>
              </w:rPr>
            </w:pPr>
          </w:p>
          <w:p w14:paraId="176C8ACD" w14:textId="77777777" w:rsidR="00DF74D7" w:rsidRPr="002D4ACF" w:rsidRDefault="00DF74D7" w:rsidP="00DD2371">
            <w:pPr>
              <w:jc w:val="center"/>
              <w:rPr>
                <w:rFonts w:ascii="Tahoma" w:hAnsi="Tahoma" w:cs="Tahoma"/>
                <w:b/>
                <w:bCs/>
                <w:iCs/>
                <w:sz w:val="18"/>
                <w:szCs w:val="18"/>
              </w:rPr>
            </w:pPr>
            <w:r w:rsidRPr="002D4ACF">
              <w:rPr>
                <w:rFonts w:ascii="Tahoma" w:hAnsi="Tahoma" w:cs="Tahoma"/>
                <w:b/>
                <w:bCs/>
                <w:iCs/>
                <w:sz w:val="18"/>
                <w:szCs w:val="18"/>
              </w:rPr>
              <w:t>Наименование услуги</w:t>
            </w:r>
          </w:p>
        </w:tc>
        <w:tc>
          <w:tcPr>
            <w:tcW w:w="1717" w:type="dxa"/>
            <w:tcBorders>
              <w:top w:val="single" w:sz="4" w:space="0" w:color="auto"/>
              <w:left w:val="single" w:sz="4" w:space="0" w:color="auto"/>
              <w:bottom w:val="single" w:sz="4" w:space="0" w:color="auto"/>
              <w:right w:val="single" w:sz="4" w:space="0" w:color="auto"/>
            </w:tcBorders>
            <w:shd w:val="clear" w:color="auto" w:fill="D9D9D9"/>
            <w:noWrap/>
          </w:tcPr>
          <w:p w14:paraId="3A1588EE" w14:textId="77777777" w:rsidR="00DF74D7" w:rsidRPr="002D4ACF" w:rsidRDefault="00DF74D7" w:rsidP="00DD2371">
            <w:pPr>
              <w:jc w:val="center"/>
              <w:rPr>
                <w:rFonts w:ascii="Tahoma" w:hAnsi="Tahoma" w:cs="Tahoma"/>
                <w:b/>
                <w:bCs/>
                <w:iCs/>
                <w:sz w:val="18"/>
                <w:szCs w:val="18"/>
              </w:rPr>
            </w:pPr>
          </w:p>
          <w:p w14:paraId="6732DD9D" w14:textId="77777777" w:rsidR="00DF74D7" w:rsidRPr="002D4ACF" w:rsidRDefault="00DF74D7" w:rsidP="00DD2371">
            <w:pPr>
              <w:jc w:val="center"/>
              <w:rPr>
                <w:rFonts w:ascii="Tahoma" w:hAnsi="Tahoma" w:cs="Tahoma"/>
                <w:b/>
                <w:bCs/>
                <w:iCs/>
                <w:sz w:val="18"/>
                <w:szCs w:val="18"/>
              </w:rPr>
            </w:pPr>
            <w:r w:rsidRPr="002D4ACF">
              <w:rPr>
                <w:rFonts w:ascii="Tahoma" w:hAnsi="Tahoma" w:cs="Tahoma"/>
                <w:b/>
                <w:bCs/>
                <w:iCs/>
                <w:sz w:val="18"/>
                <w:szCs w:val="18"/>
              </w:rPr>
              <w:t>Тариф</w:t>
            </w:r>
          </w:p>
        </w:tc>
        <w:tc>
          <w:tcPr>
            <w:tcW w:w="1260" w:type="dxa"/>
            <w:tcBorders>
              <w:top w:val="single" w:sz="4" w:space="0" w:color="auto"/>
              <w:left w:val="single" w:sz="4" w:space="0" w:color="auto"/>
              <w:bottom w:val="single" w:sz="4" w:space="0" w:color="auto"/>
              <w:right w:val="single" w:sz="4" w:space="0" w:color="auto"/>
            </w:tcBorders>
            <w:shd w:val="clear" w:color="auto" w:fill="D9D9D9"/>
            <w:noWrap/>
          </w:tcPr>
          <w:p w14:paraId="256CB0FF" w14:textId="77777777" w:rsidR="00DF74D7" w:rsidRPr="002D4ACF" w:rsidRDefault="00DF74D7" w:rsidP="00DD2371">
            <w:pPr>
              <w:jc w:val="center"/>
              <w:rPr>
                <w:rFonts w:ascii="Tahoma" w:hAnsi="Tahoma" w:cs="Tahoma"/>
                <w:b/>
                <w:bCs/>
                <w:iCs/>
                <w:sz w:val="18"/>
                <w:szCs w:val="18"/>
              </w:rPr>
            </w:pPr>
          </w:p>
          <w:p w14:paraId="55CEDBC3" w14:textId="77777777" w:rsidR="00DF74D7" w:rsidRPr="002D4ACF" w:rsidRDefault="00DF74D7" w:rsidP="00DD2371">
            <w:pPr>
              <w:jc w:val="center"/>
              <w:rPr>
                <w:rFonts w:ascii="Tahoma" w:hAnsi="Tahoma" w:cs="Tahoma"/>
                <w:b/>
                <w:bCs/>
                <w:iCs/>
                <w:sz w:val="18"/>
                <w:szCs w:val="18"/>
              </w:rPr>
            </w:pPr>
            <w:r w:rsidRPr="002D4ACF">
              <w:rPr>
                <w:rFonts w:ascii="Tahoma" w:hAnsi="Tahoma" w:cs="Tahoma"/>
                <w:b/>
                <w:bCs/>
                <w:iCs/>
                <w:sz w:val="18"/>
                <w:szCs w:val="18"/>
              </w:rPr>
              <w:t>Минимум</w:t>
            </w:r>
          </w:p>
        </w:tc>
        <w:tc>
          <w:tcPr>
            <w:tcW w:w="1374" w:type="dxa"/>
            <w:tcBorders>
              <w:top w:val="single" w:sz="4" w:space="0" w:color="auto"/>
              <w:left w:val="single" w:sz="4" w:space="0" w:color="auto"/>
              <w:bottom w:val="single" w:sz="4" w:space="0" w:color="auto"/>
              <w:right w:val="single" w:sz="4" w:space="0" w:color="auto"/>
            </w:tcBorders>
            <w:shd w:val="clear" w:color="auto" w:fill="D9D9D9"/>
            <w:noWrap/>
          </w:tcPr>
          <w:p w14:paraId="7BD1995C" w14:textId="77777777" w:rsidR="00DF74D7" w:rsidRPr="002D4ACF" w:rsidRDefault="00DF74D7" w:rsidP="00DD2371">
            <w:pPr>
              <w:jc w:val="center"/>
              <w:rPr>
                <w:rFonts w:ascii="Tahoma" w:hAnsi="Tahoma" w:cs="Tahoma"/>
                <w:b/>
                <w:bCs/>
                <w:iCs/>
                <w:sz w:val="18"/>
                <w:szCs w:val="18"/>
              </w:rPr>
            </w:pPr>
          </w:p>
          <w:p w14:paraId="32F5503D" w14:textId="77777777" w:rsidR="00DF74D7" w:rsidRPr="002D4ACF" w:rsidRDefault="00DF74D7" w:rsidP="00DD2371">
            <w:pPr>
              <w:jc w:val="center"/>
              <w:rPr>
                <w:rFonts w:ascii="Tahoma" w:hAnsi="Tahoma" w:cs="Tahoma"/>
                <w:b/>
                <w:bCs/>
                <w:iCs/>
                <w:sz w:val="18"/>
                <w:szCs w:val="18"/>
              </w:rPr>
            </w:pPr>
            <w:r w:rsidRPr="002D4ACF">
              <w:rPr>
                <w:rFonts w:ascii="Tahoma" w:hAnsi="Tahoma" w:cs="Tahoma"/>
                <w:b/>
                <w:bCs/>
                <w:iCs/>
                <w:sz w:val="18"/>
                <w:szCs w:val="18"/>
              </w:rPr>
              <w:t>Максимум</w:t>
            </w:r>
          </w:p>
        </w:tc>
      </w:tr>
      <w:tr w:rsidR="00DF74D7" w:rsidRPr="002D4ACF" w14:paraId="3B44E432" w14:textId="77777777" w:rsidTr="00DD2371">
        <w:trPr>
          <w:trHeight w:val="7220"/>
          <w:jc w:val="center"/>
        </w:trPr>
        <w:tc>
          <w:tcPr>
            <w:tcW w:w="591" w:type="dxa"/>
            <w:vMerge w:val="restart"/>
            <w:tcBorders>
              <w:top w:val="single" w:sz="4" w:space="0" w:color="auto"/>
              <w:left w:val="single" w:sz="4" w:space="0" w:color="auto"/>
              <w:bottom w:val="single" w:sz="4" w:space="0" w:color="auto"/>
              <w:right w:val="single" w:sz="4" w:space="0" w:color="auto"/>
            </w:tcBorders>
            <w:noWrap/>
            <w:hideMark/>
          </w:tcPr>
          <w:p w14:paraId="03EB6D5E" w14:textId="77777777" w:rsidR="00DF74D7" w:rsidRPr="002D4ACF" w:rsidRDefault="00DF74D7" w:rsidP="00DD2371">
            <w:pPr>
              <w:jc w:val="center"/>
              <w:rPr>
                <w:rFonts w:ascii="Tahoma" w:hAnsi="Tahoma" w:cs="Tahoma"/>
                <w:b/>
                <w:iCs/>
                <w:sz w:val="18"/>
                <w:szCs w:val="18"/>
              </w:rPr>
            </w:pPr>
            <w:r w:rsidRPr="002D4ACF">
              <w:rPr>
                <w:rFonts w:ascii="Tahoma" w:hAnsi="Tahoma" w:cs="Tahoma"/>
                <w:b/>
                <w:iCs/>
                <w:sz w:val="18"/>
                <w:szCs w:val="18"/>
              </w:rPr>
              <w:t>1.6.</w:t>
            </w:r>
          </w:p>
        </w:tc>
        <w:tc>
          <w:tcPr>
            <w:tcW w:w="729" w:type="dxa"/>
            <w:tcBorders>
              <w:top w:val="single" w:sz="4" w:space="0" w:color="auto"/>
              <w:left w:val="single" w:sz="4" w:space="0" w:color="auto"/>
              <w:bottom w:val="single" w:sz="4" w:space="0" w:color="auto"/>
              <w:right w:val="single" w:sz="4" w:space="0" w:color="auto"/>
            </w:tcBorders>
            <w:hideMark/>
          </w:tcPr>
          <w:p w14:paraId="79CF57AE" w14:textId="77777777" w:rsidR="00DF74D7" w:rsidRPr="002D4ACF" w:rsidRDefault="00DF74D7" w:rsidP="00DD2371">
            <w:pPr>
              <w:jc w:val="center"/>
              <w:rPr>
                <w:rFonts w:ascii="Tahoma" w:hAnsi="Tahoma" w:cs="Tahoma"/>
                <w:b/>
                <w:iCs/>
                <w:sz w:val="18"/>
                <w:szCs w:val="18"/>
              </w:rPr>
            </w:pPr>
            <w:r w:rsidRPr="002D4ACF">
              <w:rPr>
                <w:rFonts w:ascii="Tahoma" w:hAnsi="Tahoma" w:cs="Tahoma"/>
                <w:b/>
                <w:iCs/>
                <w:sz w:val="18"/>
                <w:szCs w:val="18"/>
              </w:rPr>
              <w:t>1.6.1.</w:t>
            </w:r>
          </w:p>
        </w:tc>
        <w:tc>
          <w:tcPr>
            <w:tcW w:w="4062" w:type="dxa"/>
            <w:tcBorders>
              <w:top w:val="single" w:sz="4" w:space="0" w:color="auto"/>
              <w:left w:val="single" w:sz="4" w:space="0" w:color="auto"/>
              <w:bottom w:val="single" w:sz="4" w:space="0" w:color="auto"/>
              <w:right w:val="single" w:sz="4" w:space="0" w:color="auto"/>
            </w:tcBorders>
            <w:hideMark/>
          </w:tcPr>
          <w:p w14:paraId="2263B8AE" w14:textId="77777777" w:rsidR="00DF74D7" w:rsidRPr="002D4ACF" w:rsidRDefault="00DF74D7" w:rsidP="00DD2371">
            <w:pPr>
              <w:jc w:val="both"/>
              <w:rPr>
                <w:rFonts w:ascii="Tahoma" w:hAnsi="Tahoma" w:cs="Tahoma"/>
                <w:b/>
                <w:bCs/>
                <w:iCs/>
                <w:sz w:val="18"/>
                <w:szCs w:val="18"/>
              </w:rPr>
            </w:pPr>
            <w:r w:rsidRPr="002D4ACF">
              <w:rPr>
                <w:rFonts w:ascii="Tahoma" w:hAnsi="Tahoma" w:cs="Tahoma"/>
                <w:b/>
                <w:bCs/>
                <w:iCs/>
                <w:sz w:val="18"/>
                <w:szCs w:val="18"/>
              </w:rPr>
              <w:t>Продажа мерных слитков из драгоценных металлов в:</w:t>
            </w:r>
          </w:p>
          <w:p w14:paraId="66B0B876" w14:textId="77777777" w:rsidR="00DF74D7" w:rsidRPr="002D4ACF" w:rsidRDefault="00DF74D7" w:rsidP="00DD2371">
            <w:pPr>
              <w:jc w:val="both"/>
              <w:rPr>
                <w:rFonts w:ascii="Tahoma" w:hAnsi="Tahoma" w:cs="Tahoma"/>
                <w:bCs/>
                <w:iCs/>
                <w:sz w:val="18"/>
                <w:szCs w:val="18"/>
              </w:rPr>
            </w:pPr>
            <w:r w:rsidRPr="002D4ACF">
              <w:rPr>
                <w:rFonts w:ascii="Tahoma" w:hAnsi="Tahoma" w:cs="Tahoma"/>
                <w:bCs/>
                <w:iCs/>
                <w:sz w:val="18"/>
                <w:szCs w:val="18"/>
              </w:rPr>
              <w:t>- Филиале «Азиатско-Тихоокеанский Банк» (АО) в г. Москва по адресу: г. Москва, пер. Вознесенский, д. 11, стр. 1;</w:t>
            </w:r>
          </w:p>
          <w:p w14:paraId="24A16B20" w14:textId="77777777" w:rsidR="00DF74D7" w:rsidRPr="002D4ACF" w:rsidRDefault="00DF74D7" w:rsidP="00DD2371">
            <w:pPr>
              <w:jc w:val="both"/>
              <w:rPr>
                <w:rFonts w:ascii="Tahoma" w:hAnsi="Tahoma" w:cs="Tahoma"/>
                <w:bCs/>
                <w:iCs/>
                <w:sz w:val="18"/>
                <w:szCs w:val="18"/>
              </w:rPr>
            </w:pPr>
            <w:r w:rsidRPr="002D4ACF">
              <w:rPr>
                <w:rFonts w:ascii="Tahoma" w:hAnsi="Tahoma" w:cs="Tahoma"/>
                <w:bCs/>
                <w:iCs/>
                <w:sz w:val="18"/>
                <w:szCs w:val="18"/>
              </w:rPr>
              <w:t>- Дополнительном офисе № 5 Филиала "Азиатско-Тихоокеанский Банк" (АО) в г. Москва по адресу: г. Москва, Подсосенский пер., д. 30, стр. 3;</w:t>
            </w:r>
          </w:p>
          <w:p w14:paraId="5F975F73" w14:textId="77777777" w:rsidR="00DF74D7" w:rsidRPr="002D4ACF" w:rsidRDefault="00DF74D7" w:rsidP="00DD2371">
            <w:pPr>
              <w:jc w:val="both"/>
              <w:rPr>
                <w:rFonts w:ascii="Tahoma" w:hAnsi="Tahoma" w:cs="Tahoma"/>
                <w:bCs/>
                <w:iCs/>
                <w:sz w:val="18"/>
                <w:szCs w:val="18"/>
              </w:rPr>
            </w:pPr>
            <w:r w:rsidRPr="002D4ACF">
              <w:rPr>
                <w:rFonts w:ascii="Tahoma" w:hAnsi="Tahoma" w:cs="Tahoma"/>
                <w:bCs/>
                <w:iCs/>
                <w:sz w:val="18"/>
                <w:szCs w:val="18"/>
              </w:rPr>
              <w:t>- Центральном отделении по Амурской области по адресу: Амурская область, г. Благовещенск, ул. Амурская, д. 225;</w:t>
            </w:r>
          </w:p>
          <w:p w14:paraId="4D359ACA" w14:textId="77777777" w:rsidR="00DF74D7" w:rsidRPr="002D4ACF" w:rsidRDefault="00DF74D7" w:rsidP="00DD2371">
            <w:pPr>
              <w:jc w:val="both"/>
              <w:rPr>
                <w:rFonts w:ascii="Tahoma" w:hAnsi="Tahoma" w:cs="Tahoma"/>
                <w:bCs/>
                <w:iCs/>
                <w:sz w:val="18"/>
                <w:szCs w:val="18"/>
              </w:rPr>
            </w:pPr>
            <w:r w:rsidRPr="002D4ACF">
              <w:rPr>
                <w:rFonts w:ascii="Tahoma" w:hAnsi="Tahoma" w:cs="Tahoma"/>
                <w:bCs/>
                <w:iCs/>
                <w:sz w:val="18"/>
                <w:szCs w:val="18"/>
              </w:rPr>
              <w:t>- Дополнительном офисе № 145 в г. Петропавловск-Камчатский по адресу: Камчатский край, г. Петропавловск-Камчатский, ул. Советская, д. 14;</w:t>
            </w:r>
          </w:p>
          <w:p w14:paraId="1C801353" w14:textId="77777777" w:rsidR="00DF74D7" w:rsidRPr="002D4ACF" w:rsidRDefault="00DF74D7" w:rsidP="00DD2371">
            <w:pPr>
              <w:jc w:val="both"/>
              <w:rPr>
                <w:rFonts w:ascii="Tahoma" w:hAnsi="Tahoma" w:cs="Tahoma"/>
                <w:bCs/>
                <w:iCs/>
                <w:sz w:val="18"/>
                <w:szCs w:val="18"/>
              </w:rPr>
            </w:pPr>
            <w:r w:rsidRPr="002D4ACF">
              <w:rPr>
                <w:rFonts w:ascii="Tahoma" w:hAnsi="Tahoma" w:cs="Tahoma"/>
                <w:bCs/>
                <w:iCs/>
                <w:sz w:val="18"/>
                <w:szCs w:val="18"/>
              </w:rPr>
              <w:t>- Дополнительном офисе № 90 в г. Барнаул Филиала "Азиатско-Тихоокеанский Банк" (АО) в г. Улан-Удэ по адресу: Алтайский край, г. Барнаул, ул. Профинтерна, д. 38 а;</w:t>
            </w:r>
          </w:p>
          <w:p w14:paraId="787205C1" w14:textId="77777777" w:rsidR="00DF74D7" w:rsidRPr="002D4ACF" w:rsidRDefault="00DF74D7" w:rsidP="00DD2371">
            <w:pPr>
              <w:jc w:val="both"/>
              <w:rPr>
                <w:rFonts w:ascii="Tahoma" w:hAnsi="Tahoma" w:cs="Tahoma"/>
                <w:bCs/>
                <w:iCs/>
                <w:sz w:val="18"/>
                <w:szCs w:val="18"/>
              </w:rPr>
            </w:pPr>
            <w:r w:rsidRPr="002D4ACF">
              <w:rPr>
                <w:rFonts w:ascii="Tahoma" w:hAnsi="Tahoma" w:cs="Tahoma"/>
                <w:bCs/>
                <w:iCs/>
                <w:sz w:val="18"/>
                <w:szCs w:val="18"/>
              </w:rPr>
              <w:t>- Филиале "Азиатско-Тихоокеанский Банк" (АО) в г. Улан-Удэ по адресу: Республика Бурятия, г. Улан-Удэ, ул. Коммунистическая, д. 49;</w:t>
            </w:r>
          </w:p>
          <w:p w14:paraId="4953BC91" w14:textId="77777777" w:rsidR="00DF74D7" w:rsidRPr="002D4ACF" w:rsidRDefault="00DF74D7" w:rsidP="00DD2371">
            <w:pPr>
              <w:jc w:val="both"/>
              <w:rPr>
                <w:rFonts w:ascii="Tahoma" w:hAnsi="Tahoma" w:cs="Tahoma"/>
                <w:bCs/>
                <w:iCs/>
                <w:sz w:val="18"/>
                <w:szCs w:val="18"/>
              </w:rPr>
            </w:pPr>
            <w:r w:rsidRPr="002D4ACF">
              <w:rPr>
                <w:rFonts w:ascii="Tahoma" w:hAnsi="Tahoma" w:cs="Tahoma"/>
                <w:bCs/>
                <w:iCs/>
                <w:sz w:val="18"/>
                <w:szCs w:val="18"/>
              </w:rPr>
              <w:t>- Дополнительном офисе № 39 в г. Иркутск Филиала "Азиатско-Тихоокеанский Банк" (АО) в г. Улан-Удэ по адресу: Иркутская область, г. Иркутск, Бульвар Гагарина, д. 38;</w:t>
            </w:r>
          </w:p>
          <w:p w14:paraId="2C75DF78" w14:textId="77777777" w:rsidR="00DF74D7" w:rsidRPr="002D4ACF" w:rsidRDefault="00DF74D7" w:rsidP="00DD2371">
            <w:pPr>
              <w:jc w:val="both"/>
              <w:rPr>
                <w:rFonts w:ascii="Tahoma" w:hAnsi="Tahoma" w:cs="Tahoma"/>
                <w:bCs/>
                <w:iCs/>
                <w:sz w:val="18"/>
                <w:szCs w:val="18"/>
              </w:rPr>
            </w:pPr>
            <w:r w:rsidRPr="002D4ACF">
              <w:rPr>
                <w:rFonts w:ascii="Tahoma" w:hAnsi="Tahoma" w:cs="Tahoma"/>
                <w:bCs/>
                <w:iCs/>
                <w:sz w:val="18"/>
                <w:szCs w:val="18"/>
              </w:rPr>
              <w:t>- Дополнительном офисе № 142   в г. Красноярск Филиала "Азиатско-Тихоокеанский Банк" (АО) в г. Улан-Удэ по адресу: Красноярский край, г. Красноярск, ул. Ленина, д. 37;</w:t>
            </w:r>
          </w:p>
          <w:p w14:paraId="410ABB70" w14:textId="77777777" w:rsidR="00DF74D7" w:rsidRPr="002D4ACF" w:rsidRDefault="00DF74D7" w:rsidP="00DD2371">
            <w:pPr>
              <w:jc w:val="both"/>
              <w:rPr>
                <w:rFonts w:ascii="Tahoma" w:hAnsi="Tahoma" w:cs="Tahoma"/>
                <w:bCs/>
                <w:iCs/>
                <w:sz w:val="18"/>
                <w:szCs w:val="18"/>
              </w:rPr>
            </w:pPr>
            <w:r w:rsidRPr="002D4ACF">
              <w:rPr>
                <w:rFonts w:ascii="Tahoma" w:hAnsi="Tahoma" w:cs="Tahoma"/>
                <w:bCs/>
                <w:iCs/>
                <w:sz w:val="18"/>
                <w:szCs w:val="18"/>
              </w:rPr>
              <w:t>- Дополнительном офисе № 85 в г. Кемерово Филиала "АТБ" (АО) в г. Улан-Удэ по адресу: Кемеровская область, г. Кемерово, ул. Николая Островского, д. 23;</w:t>
            </w:r>
          </w:p>
          <w:p w14:paraId="53C57E0B" w14:textId="77777777" w:rsidR="00DF74D7" w:rsidRPr="002D4ACF" w:rsidRDefault="00DF74D7" w:rsidP="00DD2371">
            <w:pPr>
              <w:jc w:val="both"/>
              <w:rPr>
                <w:rFonts w:ascii="Tahoma" w:hAnsi="Tahoma" w:cs="Tahoma"/>
                <w:bCs/>
                <w:iCs/>
                <w:sz w:val="18"/>
                <w:szCs w:val="18"/>
              </w:rPr>
            </w:pPr>
            <w:r w:rsidRPr="002D4ACF">
              <w:rPr>
                <w:rFonts w:ascii="Tahoma" w:hAnsi="Tahoma" w:cs="Tahoma"/>
                <w:bCs/>
                <w:iCs/>
                <w:sz w:val="18"/>
                <w:szCs w:val="18"/>
              </w:rPr>
              <w:t>- Дополнительном офисе № 99 в г. Анадырь «Азиатско-Тихоокеанский Банк» (АО) по адресу: ЧАО, г. Анадырь, ул. Отке, д. 22;</w:t>
            </w:r>
          </w:p>
          <w:p w14:paraId="5A815B57" w14:textId="77777777" w:rsidR="00DF74D7" w:rsidRPr="002D4ACF" w:rsidRDefault="00DF74D7" w:rsidP="00DD2371">
            <w:pPr>
              <w:jc w:val="both"/>
              <w:rPr>
                <w:rFonts w:ascii="Tahoma" w:hAnsi="Tahoma" w:cs="Tahoma"/>
                <w:bCs/>
                <w:iCs/>
                <w:sz w:val="18"/>
                <w:szCs w:val="18"/>
              </w:rPr>
            </w:pPr>
            <w:r w:rsidRPr="002D4ACF">
              <w:rPr>
                <w:rFonts w:ascii="Tahoma" w:hAnsi="Tahoma" w:cs="Tahoma"/>
                <w:bCs/>
                <w:iCs/>
                <w:sz w:val="18"/>
                <w:szCs w:val="18"/>
              </w:rPr>
              <w:t>- Дополнительном офисе № 18 в г. Владивосток "Азиатско-Тихоокеанский Банк" (АО) по адресу: Приморский край, г. Владивосток, ул. Светланская, д. 56;</w:t>
            </w:r>
          </w:p>
          <w:p w14:paraId="2F99EF4D" w14:textId="77777777" w:rsidR="00DF74D7" w:rsidRPr="002D4ACF" w:rsidRDefault="00DF74D7" w:rsidP="00DD2371">
            <w:pPr>
              <w:jc w:val="both"/>
              <w:rPr>
                <w:rFonts w:ascii="Tahoma" w:hAnsi="Tahoma" w:cs="Tahoma"/>
                <w:bCs/>
                <w:iCs/>
                <w:sz w:val="18"/>
                <w:szCs w:val="18"/>
              </w:rPr>
            </w:pPr>
            <w:r w:rsidRPr="002D4ACF">
              <w:rPr>
                <w:rFonts w:ascii="Tahoma" w:hAnsi="Tahoma" w:cs="Tahoma"/>
                <w:bCs/>
                <w:iCs/>
                <w:sz w:val="18"/>
                <w:szCs w:val="18"/>
              </w:rPr>
              <w:t>- Дополнительном офисе № 41 в г. Южно-Сахалинск "Азиатско-Тихоокеанский Банк" (АО) по адресу: Сахалинская область, г. Южно-Сахалинск, ул. Сахалинская, д. 30;</w:t>
            </w:r>
          </w:p>
          <w:p w14:paraId="3F7E1685" w14:textId="77777777" w:rsidR="00DF74D7" w:rsidRPr="002D4ACF" w:rsidRDefault="00DF74D7" w:rsidP="00DD2371">
            <w:pPr>
              <w:jc w:val="both"/>
              <w:rPr>
                <w:rFonts w:ascii="Tahoma" w:hAnsi="Tahoma" w:cs="Tahoma"/>
                <w:bCs/>
                <w:iCs/>
                <w:sz w:val="18"/>
                <w:szCs w:val="18"/>
              </w:rPr>
            </w:pPr>
            <w:r w:rsidRPr="002D4ACF">
              <w:rPr>
                <w:rFonts w:ascii="Tahoma" w:hAnsi="Tahoma" w:cs="Tahoma"/>
                <w:bCs/>
                <w:iCs/>
                <w:sz w:val="18"/>
                <w:szCs w:val="18"/>
              </w:rPr>
              <w:t>- Филиале "Азиатско-Тихоокеанский Банк" (АО) в г. Екатеринбург по адресу: Свердловская область, г. Екатеринбург, ул. Луначарского, д. 57;</w:t>
            </w:r>
          </w:p>
          <w:p w14:paraId="6332B2F9" w14:textId="77777777" w:rsidR="00DF74D7" w:rsidRPr="002D4ACF" w:rsidRDefault="00DF74D7" w:rsidP="00DD2371">
            <w:pPr>
              <w:jc w:val="both"/>
              <w:rPr>
                <w:rFonts w:ascii="Tahoma" w:hAnsi="Tahoma" w:cs="Tahoma"/>
                <w:bCs/>
                <w:iCs/>
                <w:sz w:val="18"/>
                <w:szCs w:val="18"/>
              </w:rPr>
            </w:pPr>
            <w:r w:rsidRPr="002D4ACF">
              <w:rPr>
                <w:rFonts w:ascii="Tahoma" w:hAnsi="Tahoma" w:cs="Tahoma"/>
                <w:bCs/>
                <w:iCs/>
                <w:sz w:val="18"/>
                <w:szCs w:val="18"/>
              </w:rPr>
              <w:t>- Дополнительном офисе № 75 в г. Хабаровск "Азиатско-Тихоокеанский Банк" (АО) по адресу: Хабаровский край, г. Хабаровск, Бульвар Уссурийский, д. 24;</w:t>
            </w:r>
          </w:p>
          <w:p w14:paraId="2B08DF50" w14:textId="77777777" w:rsidR="00DF74D7" w:rsidRPr="002D4ACF" w:rsidRDefault="00DF74D7" w:rsidP="00DD2371">
            <w:pPr>
              <w:jc w:val="both"/>
              <w:rPr>
                <w:rFonts w:ascii="Tahoma" w:hAnsi="Tahoma" w:cs="Tahoma"/>
                <w:bCs/>
                <w:iCs/>
                <w:sz w:val="18"/>
                <w:szCs w:val="18"/>
              </w:rPr>
            </w:pPr>
            <w:r w:rsidRPr="002D4ACF">
              <w:rPr>
                <w:rFonts w:ascii="Tahoma" w:hAnsi="Tahoma" w:cs="Tahoma"/>
                <w:bCs/>
                <w:iCs/>
                <w:sz w:val="18"/>
                <w:szCs w:val="18"/>
              </w:rPr>
              <w:t>- Дополнительном офисе № 31 в г. Абакан Филиала "Азиатско-Тихоокеанский Банк" (АО) в г. Улан-Удэ по адресу: Республика Хакасия, г. Абакан, ул. Карла Маркса, д. 63;</w:t>
            </w:r>
          </w:p>
          <w:p w14:paraId="0E6BC646" w14:textId="77777777" w:rsidR="00DF74D7" w:rsidRPr="002D4ACF" w:rsidRDefault="00DF74D7" w:rsidP="00DD2371">
            <w:pPr>
              <w:jc w:val="both"/>
              <w:rPr>
                <w:rFonts w:ascii="Tahoma" w:hAnsi="Tahoma" w:cs="Tahoma"/>
                <w:bCs/>
                <w:iCs/>
                <w:sz w:val="18"/>
                <w:szCs w:val="18"/>
              </w:rPr>
            </w:pPr>
            <w:r w:rsidRPr="002D4ACF">
              <w:rPr>
                <w:rFonts w:ascii="Tahoma" w:hAnsi="Tahoma" w:cs="Tahoma"/>
                <w:bCs/>
                <w:iCs/>
                <w:sz w:val="18"/>
                <w:szCs w:val="18"/>
              </w:rPr>
              <w:t>- Дополнительном офисе № 50 в г. Чита Филиала "Азиатско-Тихоокеанский Банк" (АО) в г. Улан-Удэ по адресу: Забайкальский край, г. Чита, ул. Красноармейская, д. 68;</w:t>
            </w:r>
          </w:p>
          <w:p w14:paraId="57A22679" w14:textId="77777777" w:rsidR="00DF74D7" w:rsidRPr="002D4ACF" w:rsidRDefault="00DF74D7" w:rsidP="00DD2371">
            <w:pPr>
              <w:jc w:val="both"/>
              <w:rPr>
                <w:rFonts w:ascii="Tahoma" w:hAnsi="Tahoma" w:cs="Tahoma"/>
                <w:bCs/>
                <w:iCs/>
                <w:sz w:val="18"/>
                <w:szCs w:val="18"/>
              </w:rPr>
            </w:pPr>
            <w:r w:rsidRPr="002D4ACF">
              <w:rPr>
                <w:rFonts w:ascii="Tahoma" w:hAnsi="Tahoma" w:cs="Tahoma"/>
                <w:bCs/>
                <w:iCs/>
                <w:sz w:val="18"/>
                <w:szCs w:val="18"/>
              </w:rPr>
              <w:t xml:space="preserve">- Дополнительном офисе № 45 в г. Якутск "Азиатско-Тихоокеанский Банк" (АО) по </w:t>
            </w:r>
            <w:r w:rsidRPr="002D4ACF">
              <w:rPr>
                <w:rFonts w:ascii="Tahoma" w:hAnsi="Tahoma" w:cs="Tahoma"/>
                <w:bCs/>
                <w:iCs/>
                <w:sz w:val="18"/>
                <w:szCs w:val="18"/>
              </w:rPr>
              <w:lastRenderedPageBreak/>
              <w:t>адресу: Республика Саха (Якутия), г. Якутск, проспект Ленина, д. 19;</w:t>
            </w:r>
          </w:p>
          <w:p w14:paraId="02AACEE5" w14:textId="77777777" w:rsidR="00DF74D7" w:rsidRPr="002D4ACF" w:rsidRDefault="00DF74D7" w:rsidP="00DD2371">
            <w:pPr>
              <w:jc w:val="both"/>
              <w:rPr>
                <w:rFonts w:ascii="Tahoma" w:hAnsi="Tahoma" w:cs="Tahoma"/>
                <w:bCs/>
                <w:iCs/>
                <w:sz w:val="18"/>
                <w:szCs w:val="18"/>
              </w:rPr>
            </w:pPr>
            <w:r w:rsidRPr="002D4ACF">
              <w:rPr>
                <w:rFonts w:ascii="Tahoma" w:hAnsi="Tahoma" w:cs="Tahoma"/>
                <w:bCs/>
                <w:iCs/>
                <w:sz w:val="18"/>
                <w:szCs w:val="18"/>
              </w:rPr>
              <w:t>- Дополнительном офисе № 100 в г. Магадан "Азиатско-Тихоокеанский Банк" (АО) по адресу: Магаданская область, г.Магадан, ул. Пролетарская, 17;</w:t>
            </w:r>
          </w:p>
          <w:p w14:paraId="6DCFDFFC" w14:textId="77777777" w:rsidR="00DF74D7" w:rsidRPr="002D4ACF" w:rsidRDefault="00DF74D7" w:rsidP="00DD2371">
            <w:pPr>
              <w:jc w:val="both"/>
              <w:rPr>
                <w:rFonts w:ascii="Tahoma" w:hAnsi="Tahoma" w:cs="Tahoma"/>
                <w:bCs/>
                <w:iCs/>
                <w:sz w:val="18"/>
                <w:szCs w:val="18"/>
              </w:rPr>
            </w:pPr>
            <w:r w:rsidRPr="002D4ACF">
              <w:rPr>
                <w:rFonts w:ascii="Tahoma" w:hAnsi="Tahoma" w:cs="Tahoma"/>
                <w:bCs/>
                <w:iCs/>
                <w:sz w:val="18"/>
                <w:szCs w:val="18"/>
              </w:rPr>
              <w:t>- Дополнительном офисе № 146 в г. Омск «Азиатско-Тихоокеанский Банк» (АО) по адресу: Омская область, г. Омск, пер. Газетный, д. 6;</w:t>
            </w:r>
          </w:p>
          <w:p w14:paraId="5AD0BA9D" w14:textId="77777777" w:rsidR="00DF74D7" w:rsidRPr="002D4ACF" w:rsidRDefault="00DF74D7" w:rsidP="00DD2371">
            <w:pPr>
              <w:jc w:val="both"/>
              <w:rPr>
                <w:rFonts w:ascii="Tahoma" w:hAnsi="Tahoma" w:cs="Tahoma"/>
                <w:bCs/>
                <w:iCs/>
                <w:sz w:val="18"/>
                <w:szCs w:val="18"/>
              </w:rPr>
            </w:pPr>
            <w:r w:rsidRPr="002D4ACF">
              <w:rPr>
                <w:rFonts w:ascii="Tahoma" w:hAnsi="Tahoma" w:cs="Tahoma"/>
                <w:bCs/>
                <w:iCs/>
                <w:sz w:val="18"/>
                <w:szCs w:val="18"/>
              </w:rPr>
              <w:t>- Дополнительном офисе № 40 в г. Новосибирск «Азиатско-Тихоокеанский Банк» (АО) по адресу: Новосибирская область, г. Новосибирск, ул. Кирова, д. 27;</w:t>
            </w:r>
          </w:p>
          <w:p w14:paraId="1493F161" w14:textId="77777777" w:rsidR="00DF74D7" w:rsidRPr="002D4ACF" w:rsidRDefault="00DF74D7" w:rsidP="00DD2371">
            <w:pPr>
              <w:jc w:val="both"/>
              <w:rPr>
                <w:rFonts w:ascii="Tahoma" w:hAnsi="Tahoma" w:cs="Tahoma"/>
                <w:bCs/>
                <w:iCs/>
                <w:sz w:val="18"/>
                <w:szCs w:val="18"/>
              </w:rPr>
            </w:pPr>
            <w:r w:rsidRPr="002D4ACF">
              <w:rPr>
                <w:rFonts w:ascii="Tahoma" w:hAnsi="Tahoma" w:cs="Tahoma"/>
                <w:bCs/>
                <w:iCs/>
                <w:sz w:val="18"/>
                <w:szCs w:val="18"/>
              </w:rPr>
              <w:t>- Дополнительном офисе № 8 в г. Тюмень Филиала «Азиатско-Тихоокеанский Банк» (АО) в г. Москва по адресу: Тюменская область, г. Тюмень, ул. 50 лет Октября, д. 29/1.</w:t>
            </w:r>
          </w:p>
        </w:tc>
        <w:tc>
          <w:tcPr>
            <w:tcW w:w="1717" w:type="dxa"/>
            <w:tcBorders>
              <w:top w:val="single" w:sz="4" w:space="0" w:color="auto"/>
              <w:left w:val="single" w:sz="4" w:space="0" w:color="auto"/>
              <w:bottom w:val="single" w:sz="4" w:space="0" w:color="auto"/>
              <w:right w:val="single" w:sz="4" w:space="0" w:color="auto"/>
            </w:tcBorders>
            <w:hideMark/>
          </w:tcPr>
          <w:p w14:paraId="0A9FCFA3"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lastRenderedPageBreak/>
              <w:t>По курсу Банка</w:t>
            </w:r>
            <w:r w:rsidRPr="002D4ACF">
              <w:rPr>
                <w:rFonts w:ascii="Tahoma" w:hAnsi="Tahoma" w:cs="Tahoma"/>
                <w:iCs/>
                <w:sz w:val="18"/>
                <w:szCs w:val="18"/>
                <w:vertAlign w:val="superscript"/>
              </w:rPr>
              <w:footnoteReference w:id="1"/>
            </w:r>
          </w:p>
        </w:tc>
        <w:tc>
          <w:tcPr>
            <w:tcW w:w="1260" w:type="dxa"/>
            <w:tcBorders>
              <w:top w:val="single" w:sz="4" w:space="0" w:color="auto"/>
              <w:left w:val="single" w:sz="4" w:space="0" w:color="auto"/>
              <w:bottom w:val="single" w:sz="4" w:space="0" w:color="auto"/>
              <w:right w:val="single" w:sz="4" w:space="0" w:color="auto"/>
            </w:tcBorders>
          </w:tcPr>
          <w:p w14:paraId="2FED58F0" w14:textId="77777777" w:rsidR="00DF74D7" w:rsidRPr="002D4ACF" w:rsidRDefault="00DF74D7" w:rsidP="00DD2371">
            <w:pPr>
              <w:jc w:val="center"/>
              <w:rPr>
                <w:rFonts w:ascii="Tahoma" w:hAnsi="Tahoma" w:cs="Tahoma"/>
                <w:b/>
                <w:iCs/>
                <w:sz w:val="18"/>
                <w:szCs w:val="18"/>
              </w:rPr>
            </w:pPr>
          </w:p>
        </w:tc>
        <w:tc>
          <w:tcPr>
            <w:tcW w:w="1374" w:type="dxa"/>
            <w:tcBorders>
              <w:top w:val="single" w:sz="4" w:space="0" w:color="auto"/>
              <w:left w:val="single" w:sz="4" w:space="0" w:color="auto"/>
              <w:bottom w:val="single" w:sz="4" w:space="0" w:color="auto"/>
              <w:right w:val="single" w:sz="4" w:space="0" w:color="auto"/>
            </w:tcBorders>
          </w:tcPr>
          <w:p w14:paraId="3F79B5EC" w14:textId="77777777" w:rsidR="00DF74D7" w:rsidRPr="002D4ACF" w:rsidRDefault="00DF74D7" w:rsidP="00DD2371">
            <w:pPr>
              <w:jc w:val="center"/>
              <w:rPr>
                <w:rFonts w:ascii="Tahoma" w:hAnsi="Tahoma" w:cs="Tahoma"/>
                <w:b/>
                <w:iCs/>
                <w:sz w:val="18"/>
                <w:szCs w:val="18"/>
              </w:rPr>
            </w:pPr>
          </w:p>
        </w:tc>
      </w:tr>
      <w:tr w:rsidR="00DF74D7" w:rsidRPr="002D4ACF" w14:paraId="3B8DF7DE" w14:textId="77777777" w:rsidTr="00DD2371">
        <w:trPr>
          <w:trHeight w:val="9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F31440" w14:textId="77777777" w:rsidR="00DF74D7" w:rsidRPr="002D4ACF" w:rsidRDefault="00DF74D7" w:rsidP="00DD2371">
            <w:pPr>
              <w:rPr>
                <w:rFonts w:ascii="Tahoma" w:hAnsi="Tahoma" w:cs="Tahoma"/>
                <w:b/>
                <w:iCs/>
                <w:sz w:val="18"/>
                <w:szCs w:val="18"/>
                <w:lang w:eastAsia="en-US"/>
              </w:rPr>
            </w:pPr>
          </w:p>
        </w:tc>
        <w:tc>
          <w:tcPr>
            <w:tcW w:w="729" w:type="dxa"/>
            <w:tcBorders>
              <w:top w:val="single" w:sz="4" w:space="0" w:color="auto"/>
              <w:left w:val="single" w:sz="4" w:space="0" w:color="auto"/>
              <w:bottom w:val="single" w:sz="4" w:space="0" w:color="auto"/>
              <w:right w:val="single" w:sz="4" w:space="0" w:color="auto"/>
            </w:tcBorders>
            <w:hideMark/>
          </w:tcPr>
          <w:p w14:paraId="745CBD07" w14:textId="77777777" w:rsidR="00DF74D7" w:rsidRPr="002D4ACF" w:rsidRDefault="00DF74D7" w:rsidP="00DD2371">
            <w:pPr>
              <w:jc w:val="center"/>
              <w:rPr>
                <w:rFonts w:ascii="Tahoma" w:hAnsi="Tahoma" w:cs="Tahoma"/>
                <w:b/>
                <w:iCs/>
                <w:sz w:val="18"/>
                <w:szCs w:val="18"/>
              </w:rPr>
            </w:pPr>
            <w:r w:rsidRPr="002D4ACF">
              <w:rPr>
                <w:rFonts w:ascii="Tahoma" w:hAnsi="Tahoma" w:cs="Tahoma"/>
                <w:b/>
                <w:iCs/>
                <w:sz w:val="18"/>
                <w:szCs w:val="18"/>
              </w:rPr>
              <w:t>1.6.2.</w:t>
            </w:r>
          </w:p>
        </w:tc>
        <w:tc>
          <w:tcPr>
            <w:tcW w:w="4062" w:type="dxa"/>
            <w:tcBorders>
              <w:top w:val="single" w:sz="4" w:space="0" w:color="auto"/>
              <w:left w:val="single" w:sz="4" w:space="0" w:color="auto"/>
              <w:bottom w:val="single" w:sz="4" w:space="0" w:color="auto"/>
              <w:right w:val="single" w:sz="4" w:space="0" w:color="auto"/>
            </w:tcBorders>
            <w:hideMark/>
          </w:tcPr>
          <w:p w14:paraId="24CCB752" w14:textId="77777777" w:rsidR="00DF74D7" w:rsidRPr="002D4ACF" w:rsidRDefault="00DF74D7" w:rsidP="00DD2371">
            <w:pPr>
              <w:jc w:val="both"/>
              <w:rPr>
                <w:rFonts w:ascii="Tahoma" w:hAnsi="Tahoma" w:cs="Tahoma"/>
                <w:b/>
                <w:bCs/>
                <w:iCs/>
                <w:sz w:val="18"/>
                <w:szCs w:val="18"/>
              </w:rPr>
            </w:pPr>
            <w:r w:rsidRPr="002D4ACF">
              <w:rPr>
                <w:rFonts w:ascii="Tahoma" w:hAnsi="Tahoma" w:cs="Tahoma"/>
                <w:b/>
                <w:bCs/>
                <w:iCs/>
                <w:sz w:val="18"/>
                <w:szCs w:val="18"/>
              </w:rPr>
              <w:t>Покупка мерных слитков из драгоценных металлов в:</w:t>
            </w:r>
          </w:p>
          <w:p w14:paraId="5CA18F57" w14:textId="77777777" w:rsidR="00DF74D7" w:rsidRPr="002D4ACF" w:rsidRDefault="00DF74D7" w:rsidP="00DD2371">
            <w:pPr>
              <w:jc w:val="both"/>
              <w:rPr>
                <w:rFonts w:ascii="Tahoma" w:hAnsi="Tahoma" w:cs="Tahoma"/>
                <w:bCs/>
                <w:iCs/>
                <w:sz w:val="18"/>
                <w:szCs w:val="18"/>
              </w:rPr>
            </w:pPr>
            <w:r w:rsidRPr="002D4ACF">
              <w:rPr>
                <w:rFonts w:ascii="Tahoma" w:hAnsi="Tahoma" w:cs="Tahoma"/>
                <w:bCs/>
                <w:iCs/>
                <w:sz w:val="18"/>
                <w:szCs w:val="18"/>
              </w:rPr>
              <w:t>- Филиале «Азиатско-Тихоокеанский Банк» (АО) в г. Москва по адресу: г. Москва, пер. Вознесенский, д. 11, стр. 1.</w:t>
            </w:r>
          </w:p>
        </w:tc>
        <w:tc>
          <w:tcPr>
            <w:tcW w:w="1717" w:type="dxa"/>
            <w:tcBorders>
              <w:top w:val="single" w:sz="4" w:space="0" w:color="auto"/>
              <w:left w:val="single" w:sz="4" w:space="0" w:color="auto"/>
              <w:bottom w:val="single" w:sz="4" w:space="0" w:color="auto"/>
              <w:right w:val="single" w:sz="4" w:space="0" w:color="auto"/>
            </w:tcBorders>
            <w:hideMark/>
          </w:tcPr>
          <w:p w14:paraId="3D04F28B" w14:textId="77777777" w:rsidR="00DF74D7" w:rsidRPr="002D4ACF" w:rsidRDefault="00DF74D7" w:rsidP="00DD2371">
            <w:pPr>
              <w:jc w:val="center"/>
              <w:rPr>
                <w:rFonts w:ascii="Tahoma" w:hAnsi="Tahoma" w:cs="Tahoma"/>
                <w:iCs/>
                <w:sz w:val="18"/>
                <w:szCs w:val="18"/>
              </w:rPr>
            </w:pPr>
            <w:r w:rsidRPr="002D4ACF">
              <w:rPr>
                <w:rFonts w:ascii="Tahoma" w:hAnsi="Tahoma" w:cs="Tahoma"/>
                <w:iCs/>
                <w:sz w:val="18"/>
                <w:szCs w:val="18"/>
              </w:rPr>
              <w:t>По курсу Банка</w:t>
            </w:r>
            <w:r w:rsidRPr="002D4ACF">
              <w:rPr>
                <w:rFonts w:ascii="Tahoma" w:hAnsi="Tahoma" w:cs="Tahoma"/>
                <w:iCs/>
                <w:sz w:val="18"/>
                <w:szCs w:val="18"/>
                <w:vertAlign w:val="superscript"/>
              </w:rPr>
              <w:footnoteReference w:id="2"/>
            </w:r>
          </w:p>
        </w:tc>
        <w:tc>
          <w:tcPr>
            <w:tcW w:w="1260" w:type="dxa"/>
            <w:tcBorders>
              <w:top w:val="single" w:sz="4" w:space="0" w:color="auto"/>
              <w:left w:val="single" w:sz="4" w:space="0" w:color="auto"/>
              <w:bottom w:val="single" w:sz="4" w:space="0" w:color="auto"/>
              <w:right w:val="single" w:sz="4" w:space="0" w:color="auto"/>
            </w:tcBorders>
          </w:tcPr>
          <w:p w14:paraId="01D99498" w14:textId="77777777" w:rsidR="00DF74D7" w:rsidRPr="002D4ACF" w:rsidRDefault="00DF74D7" w:rsidP="00DD2371">
            <w:pPr>
              <w:jc w:val="center"/>
              <w:rPr>
                <w:rFonts w:ascii="Tahoma" w:hAnsi="Tahoma" w:cs="Tahoma"/>
                <w:b/>
                <w:iCs/>
                <w:sz w:val="18"/>
                <w:szCs w:val="18"/>
              </w:rPr>
            </w:pPr>
          </w:p>
        </w:tc>
        <w:tc>
          <w:tcPr>
            <w:tcW w:w="1374" w:type="dxa"/>
            <w:tcBorders>
              <w:top w:val="single" w:sz="4" w:space="0" w:color="auto"/>
              <w:left w:val="single" w:sz="4" w:space="0" w:color="auto"/>
              <w:bottom w:val="single" w:sz="4" w:space="0" w:color="auto"/>
              <w:right w:val="single" w:sz="4" w:space="0" w:color="auto"/>
            </w:tcBorders>
          </w:tcPr>
          <w:p w14:paraId="13263362" w14:textId="77777777" w:rsidR="00DF74D7" w:rsidRPr="002D4ACF" w:rsidRDefault="00DF74D7" w:rsidP="00DD2371">
            <w:pPr>
              <w:jc w:val="center"/>
              <w:rPr>
                <w:rFonts w:ascii="Tahoma" w:hAnsi="Tahoma" w:cs="Tahoma"/>
                <w:b/>
                <w:iCs/>
                <w:sz w:val="18"/>
                <w:szCs w:val="18"/>
              </w:rPr>
            </w:pPr>
          </w:p>
        </w:tc>
      </w:tr>
    </w:tbl>
    <w:p w14:paraId="506AD225" w14:textId="77777777" w:rsidR="00DF74D7" w:rsidRPr="002D4ACF" w:rsidRDefault="00DF74D7" w:rsidP="00DF74D7">
      <w:pPr>
        <w:ind w:firstLine="709"/>
        <w:rPr>
          <w:rFonts w:ascii="Tahoma" w:hAnsi="Tahoma" w:cs="Tahoma"/>
          <w:sz w:val="18"/>
          <w:szCs w:val="18"/>
        </w:rPr>
      </w:pPr>
    </w:p>
    <w:p w14:paraId="4952B94A" w14:textId="77777777" w:rsidR="0062263F" w:rsidRPr="0062263F" w:rsidRDefault="0062263F" w:rsidP="0062263F">
      <w:pPr>
        <w:ind w:firstLine="709"/>
        <w:rPr>
          <w:rFonts w:ascii="Tahoma" w:hAnsi="Tahoma" w:cs="Tahoma"/>
          <w:sz w:val="18"/>
          <w:szCs w:val="18"/>
        </w:rPr>
      </w:pPr>
    </w:p>
    <w:p w14:paraId="059B1CBC" w14:textId="77777777" w:rsidR="0062263F" w:rsidRPr="0062263F" w:rsidRDefault="0062263F" w:rsidP="0062263F">
      <w:pPr>
        <w:ind w:firstLine="709"/>
        <w:rPr>
          <w:rFonts w:ascii="Tahoma" w:hAnsi="Tahoma" w:cs="Tahoma"/>
          <w:sz w:val="18"/>
          <w:szCs w:val="18"/>
        </w:rPr>
      </w:pPr>
    </w:p>
    <w:p w14:paraId="2AAA0B66" w14:textId="77777777" w:rsidR="0062263F" w:rsidRPr="0062263F" w:rsidRDefault="0062263F" w:rsidP="0062263F">
      <w:pPr>
        <w:ind w:firstLine="709"/>
        <w:rPr>
          <w:rFonts w:ascii="Tahoma" w:hAnsi="Tahoma" w:cs="Tahoma"/>
          <w:sz w:val="18"/>
          <w:szCs w:val="18"/>
        </w:rPr>
      </w:pPr>
    </w:p>
    <w:p w14:paraId="58841D3F" w14:textId="77777777" w:rsidR="0062263F" w:rsidRPr="0062263F" w:rsidRDefault="0062263F" w:rsidP="0062263F">
      <w:pPr>
        <w:ind w:firstLine="709"/>
        <w:rPr>
          <w:rFonts w:ascii="Tahoma" w:hAnsi="Tahoma" w:cs="Tahoma"/>
          <w:sz w:val="18"/>
          <w:szCs w:val="18"/>
        </w:rPr>
      </w:pPr>
    </w:p>
    <w:p w14:paraId="1D6F4A05" w14:textId="651E7BBA" w:rsidR="00E762B2" w:rsidRDefault="00E762B2" w:rsidP="00E762B2">
      <w:pPr>
        <w:ind w:firstLine="709"/>
        <w:rPr>
          <w:rFonts w:ascii="Tahoma" w:hAnsi="Tahoma" w:cs="Tahoma"/>
          <w:sz w:val="18"/>
          <w:szCs w:val="18"/>
        </w:rPr>
      </w:pPr>
    </w:p>
    <w:p w14:paraId="5D7D7718" w14:textId="037967CA" w:rsidR="00E762B2" w:rsidRDefault="00E762B2" w:rsidP="00E762B2">
      <w:pPr>
        <w:ind w:firstLine="709"/>
        <w:rPr>
          <w:rFonts w:ascii="Tahoma" w:hAnsi="Tahoma" w:cs="Tahoma"/>
          <w:sz w:val="18"/>
          <w:szCs w:val="18"/>
        </w:rPr>
      </w:pPr>
    </w:p>
    <w:p w14:paraId="638F6C06" w14:textId="77777777" w:rsidR="00E762B2" w:rsidRDefault="00E762B2" w:rsidP="00E762B2">
      <w:pPr>
        <w:ind w:firstLine="709"/>
        <w:rPr>
          <w:rFonts w:ascii="Tahoma" w:hAnsi="Tahoma" w:cs="Tahoma"/>
          <w:sz w:val="18"/>
          <w:szCs w:val="18"/>
        </w:rPr>
      </w:pPr>
    </w:p>
    <w:p w14:paraId="4B43D7D1" w14:textId="24A3D5DE" w:rsidR="00E762B2" w:rsidRDefault="00E762B2" w:rsidP="00E762B2">
      <w:pPr>
        <w:rPr>
          <w:rFonts w:ascii="Tahoma" w:hAnsi="Tahoma" w:cs="Tahoma"/>
          <w:sz w:val="18"/>
          <w:szCs w:val="18"/>
        </w:rPr>
      </w:pPr>
    </w:p>
    <w:p w14:paraId="3C505C59" w14:textId="77777777" w:rsidR="00470B5F" w:rsidRPr="00E762B2" w:rsidRDefault="00470B5F" w:rsidP="00E762B2">
      <w:pPr>
        <w:rPr>
          <w:rFonts w:ascii="Tahoma" w:hAnsi="Tahoma" w:cs="Tahoma"/>
          <w:sz w:val="18"/>
          <w:szCs w:val="18"/>
        </w:rPr>
        <w:sectPr w:rsidR="00470B5F" w:rsidRPr="00E762B2" w:rsidSect="00C24447">
          <w:footerReference w:type="default" r:id="rId17"/>
          <w:pgSz w:w="11906" w:h="16838"/>
          <w:pgMar w:top="426" w:right="707" w:bottom="0" w:left="1134" w:header="0" w:footer="299" w:gutter="0"/>
          <w:cols w:space="720"/>
          <w:titlePg/>
          <w:docGrid w:linePitch="326"/>
        </w:sectPr>
      </w:pPr>
    </w:p>
    <w:p w14:paraId="174F90A0" w14:textId="06C00D61" w:rsidR="00470B5F" w:rsidRPr="00CE5927" w:rsidRDefault="00470B5F" w:rsidP="00470B5F">
      <w:pPr>
        <w:ind w:left="426"/>
        <w:rPr>
          <w:rFonts w:ascii="Tahoma" w:hAnsi="Tahoma" w:cs="Tahoma"/>
          <w:sz w:val="22"/>
          <w:szCs w:val="22"/>
        </w:rPr>
      </w:pPr>
      <w:r w:rsidRPr="00CE5927">
        <w:rPr>
          <w:rFonts w:ascii="Tahoma" w:hAnsi="Tahoma" w:cs="Tahoma"/>
          <w:noProof/>
          <w:sz w:val="22"/>
          <w:szCs w:val="22"/>
        </w:rPr>
        <w:lastRenderedPageBreak/>
        <w:drawing>
          <wp:inline distT="0" distB="0" distL="0" distR="0" wp14:anchorId="78DAFC46" wp14:editId="040D146D">
            <wp:extent cx="6694805" cy="628015"/>
            <wp:effectExtent l="0" t="0" r="0" b="635"/>
            <wp:docPr id="16" name="Рисунок 16" descr="Описание: Описание: вверх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Описание: вверх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94805" cy="628015"/>
                    </a:xfrm>
                    <a:prstGeom prst="rect">
                      <a:avLst/>
                    </a:prstGeom>
                    <a:noFill/>
                    <a:ln>
                      <a:noFill/>
                    </a:ln>
                  </pic:spPr>
                </pic:pic>
              </a:graphicData>
            </a:graphic>
          </wp:inline>
        </w:drawing>
      </w:r>
    </w:p>
    <w:p w14:paraId="626BFF19" w14:textId="62C57C8F" w:rsidR="00470B5F" w:rsidRPr="00CE5927" w:rsidRDefault="00470B5F" w:rsidP="000B3718">
      <w:pPr>
        <w:pStyle w:val="a5"/>
      </w:pPr>
      <w:r w:rsidRPr="00CE5927">
        <w:t>2.1. Кредитование собственников бизнеса</w:t>
      </w:r>
    </w:p>
    <w:p w14:paraId="64264C07" w14:textId="77777777" w:rsidR="00470B5F" w:rsidRPr="00CE5927" w:rsidRDefault="00470B5F" w:rsidP="00470B5F">
      <w:pPr>
        <w:widowControl w:val="0"/>
        <w:tabs>
          <w:tab w:val="left" w:pos="851"/>
        </w:tabs>
        <w:autoSpaceDE w:val="0"/>
        <w:autoSpaceDN w:val="0"/>
        <w:adjustRightInd w:val="0"/>
        <w:ind w:right="-426" w:firstLine="426"/>
        <w:rPr>
          <w:rFonts w:ascii="Tahoma" w:hAnsi="Tahoma" w:cs="Tahoma"/>
          <w:b/>
          <w:i/>
          <w:color w:val="E36C0A"/>
          <w:sz w:val="22"/>
          <w:szCs w:val="22"/>
        </w:rPr>
      </w:pPr>
    </w:p>
    <w:p w14:paraId="2A03723F" w14:textId="77777777" w:rsidR="00267AB0" w:rsidRDefault="00267AB0" w:rsidP="000B3718">
      <w:pPr>
        <w:pStyle w:val="a5"/>
      </w:pPr>
      <w:r w:rsidRPr="00272EE7">
        <w:t>2.1.1.Тарифный план «Микро-лайт»</w:t>
      </w:r>
    </w:p>
    <w:p w14:paraId="61429AA6" w14:textId="77777777" w:rsidR="00267AB0" w:rsidRDefault="00267AB0" w:rsidP="00267AB0">
      <w:pPr>
        <w:widowControl w:val="0"/>
        <w:tabs>
          <w:tab w:val="left" w:pos="0"/>
          <w:tab w:val="left" w:pos="561"/>
          <w:tab w:val="left" w:pos="851"/>
        </w:tabs>
        <w:autoSpaceDE w:val="0"/>
        <w:autoSpaceDN w:val="0"/>
        <w:adjustRightInd w:val="0"/>
        <w:ind w:right="-426"/>
        <w:rPr>
          <w:rFonts w:ascii="Tahoma" w:hAnsi="Tahoma" w:cs="Tahoma"/>
          <w:b/>
          <w:i/>
          <w:color w:val="E36C0A"/>
          <w:sz w:val="20"/>
          <w:szCs w:val="20"/>
        </w:rPr>
      </w:pPr>
    </w:p>
    <w:p w14:paraId="5333C23F" w14:textId="77777777" w:rsidR="00267AB0" w:rsidRDefault="00267AB0" w:rsidP="00267AB0">
      <w:pPr>
        <w:widowControl w:val="0"/>
        <w:tabs>
          <w:tab w:val="left" w:pos="0"/>
          <w:tab w:val="left" w:pos="561"/>
          <w:tab w:val="left" w:pos="851"/>
        </w:tabs>
        <w:autoSpaceDE w:val="0"/>
        <w:autoSpaceDN w:val="0"/>
        <w:adjustRightInd w:val="0"/>
        <w:ind w:left="-567" w:right="-426"/>
        <w:rPr>
          <w:rFonts w:ascii="Tahoma" w:hAnsi="Tahoma" w:cs="Tahoma"/>
          <w:b/>
          <w:i/>
          <w:color w:val="E36C0A"/>
          <w:sz w:val="20"/>
          <w:szCs w:val="20"/>
        </w:rPr>
      </w:pPr>
    </w:p>
    <w:tbl>
      <w:tblPr>
        <w:tblW w:w="15411" w:type="dxa"/>
        <w:tblInd w:w="573" w:type="dxa"/>
        <w:tblLayout w:type="fixed"/>
        <w:tblLook w:val="04A0" w:firstRow="1" w:lastRow="0" w:firstColumn="1" w:lastColumn="0" w:noHBand="0" w:noVBand="1"/>
      </w:tblPr>
      <w:tblGrid>
        <w:gridCol w:w="4355"/>
        <w:gridCol w:w="1042"/>
        <w:gridCol w:w="1843"/>
        <w:gridCol w:w="708"/>
        <w:gridCol w:w="1276"/>
        <w:gridCol w:w="1559"/>
        <w:gridCol w:w="2127"/>
        <w:gridCol w:w="283"/>
        <w:gridCol w:w="2218"/>
      </w:tblGrid>
      <w:tr w:rsidR="00267AB0" w:rsidRPr="00610AD5" w14:paraId="401BEC24" w14:textId="77777777" w:rsidTr="00AA653D">
        <w:trPr>
          <w:trHeight w:val="537"/>
        </w:trPr>
        <w:tc>
          <w:tcPr>
            <w:tcW w:w="4355" w:type="dxa"/>
            <w:tcBorders>
              <w:top w:val="single" w:sz="4" w:space="0" w:color="auto"/>
              <w:left w:val="single" w:sz="8" w:space="0" w:color="auto"/>
              <w:bottom w:val="single" w:sz="4" w:space="0" w:color="auto"/>
              <w:right w:val="single" w:sz="4" w:space="0" w:color="auto"/>
            </w:tcBorders>
            <w:shd w:val="clear" w:color="auto" w:fill="auto"/>
            <w:vAlign w:val="center"/>
          </w:tcPr>
          <w:p w14:paraId="03AFD2F7" w14:textId="77777777" w:rsidR="00267AB0" w:rsidRPr="00610AD5" w:rsidRDefault="00267AB0" w:rsidP="00AA653D">
            <w:pPr>
              <w:rPr>
                <w:rFonts w:ascii="Tahoma" w:hAnsi="Tahoma" w:cs="Tahoma"/>
                <w:b/>
                <w:bCs/>
                <w:sz w:val="20"/>
                <w:szCs w:val="20"/>
              </w:rPr>
            </w:pPr>
            <w:r w:rsidRPr="00610AD5">
              <w:rPr>
                <w:rFonts w:ascii="Tahoma" w:hAnsi="Tahoma" w:cs="Tahoma"/>
                <w:b/>
                <w:bCs/>
                <w:sz w:val="20"/>
                <w:szCs w:val="20"/>
              </w:rPr>
              <w:t>Наименование продукта/</w:t>
            </w:r>
            <w:r>
              <w:rPr>
                <w:rFonts w:ascii="Tahoma" w:hAnsi="Tahoma" w:cs="Tahoma"/>
                <w:b/>
                <w:bCs/>
                <w:sz w:val="20"/>
                <w:szCs w:val="20"/>
              </w:rPr>
              <w:t xml:space="preserve"> </w:t>
            </w:r>
            <w:r w:rsidRPr="00610AD5">
              <w:rPr>
                <w:rFonts w:ascii="Tahoma" w:hAnsi="Tahoma" w:cs="Tahoma"/>
                <w:b/>
                <w:bCs/>
                <w:sz w:val="20"/>
                <w:szCs w:val="20"/>
              </w:rPr>
              <w:t>тарифного плана</w:t>
            </w:r>
          </w:p>
        </w:tc>
        <w:tc>
          <w:tcPr>
            <w:tcW w:w="11056" w:type="dxa"/>
            <w:gridSpan w:val="8"/>
            <w:tcBorders>
              <w:top w:val="single" w:sz="4" w:space="0" w:color="auto"/>
              <w:left w:val="nil"/>
              <w:bottom w:val="single" w:sz="4" w:space="0" w:color="auto"/>
              <w:right w:val="single" w:sz="4" w:space="0" w:color="000000"/>
            </w:tcBorders>
            <w:shd w:val="clear" w:color="000000" w:fill="FFFFFF"/>
            <w:vAlign w:val="center"/>
          </w:tcPr>
          <w:p w14:paraId="0B3D0CAC" w14:textId="77777777" w:rsidR="00267AB0" w:rsidRPr="00610AD5" w:rsidRDefault="00267AB0" w:rsidP="00AA653D">
            <w:pPr>
              <w:jc w:val="center"/>
              <w:rPr>
                <w:rFonts w:ascii="Tahoma" w:hAnsi="Tahoma" w:cs="Tahoma"/>
                <w:sz w:val="20"/>
                <w:szCs w:val="20"/>
              </w:rPr>
            </w:pPr>
            <w:r w:rsidRPr="00610AD5">
              <w:rPr>
                <w:rFonts w:ascii="Tahoma" w:hAnsi="Tahoma" w:cs="Tahoma"/>
                <w:b/>
                <w:bCs/>
                <w:sz w:val="20"/>
                <w:szCs w:val="20"/>
              </w:rPr>
              <w:t>«Микро-лайт»</w:t>
            </w:r>
          </w:p>
        </w:tc>
      </w:tr>
      <w:tr w:rsidR="00267AB0" w:rsidRPr="00610AD5" w14:paraId="07DF556D" w14:textId="77777777" w:rsidTr="00AA653D">
        <w:trPr>
          <w:trHeight w:val="537"/>
        </w:trPr>
        <w:tc>
          <w:tcPr>
            <w:tcW w:w="4355" w:type="dxa"/>
            <w:tcBorders>
              <w:top w:val="single" w:sz="4" w:space="0" w:color="auto"/>
              <w:left w:val="single" w:sz="8" w:space="0" w:color="auto"/>
              <w:bottom w:val="single" w:sz="4" w:space="0" w:color="auto"/>
              <w:right w:val="single" w:sz="4" w:space="0" w:color="auto"/>
            </w:tcBorders>
            <w:shd w:val="clear" w:color="auto" w:fill="auto"/>
            <w:vAlign w:val="center"/>
          </w:tcPr>
          <w:p w14:paraId="0A3EE9C3" w14:textId="77777777" w:rsidR="00267AB0" w:rsidRPr="00610AD5" w:rsidRDefault="00267AB0" w:rsidP="00AA653D">
            <w:pPr>
              <w:rPr>
                <w:rFonts w:ascii="Tahoma" w:hAnsi="Tahoma" w:cs="Tahoma"/>
                <w:b/>
                <w:bCs/>
                <w:sz w:val="20"/>
                <w:szCs w:val="20"/>
              </w:rPr>
            </w:pPr>
            <w:r w:rsidRPr="00610AD5">
              <w:rPr>
                <w:rFonts w:ascii="Tahoma" w:hAnsi="Tahoma" w:cs="Tahoma"/>
                <w:b/>
                <w:bCs/>
                <w:sz w:val="20"/>
                <w:szCs w:val="20"/>
              </w:rPr>
              <w:t>Вид Кредита</w:t>
            </w:r>
          </w:p>
        </w:tc>
        <w:tc>
          <w:tcPr>
            <w:tcW w:w="11056" w:type="dxa"/>
            <w:gridSpan w:val="8"/>
            <w:tcBorders>
              <w:top w:val="single" w:sz="4" w:space="0" w:color="auto"/>
              <w:left w:val="nil"/>
              <w:bottom w:val="single" w:sz="4" w:space="0" w:color="auto"/>
              <w:right w:val="single" w:sz="4" w:space="0" w:color="000000"/>
            </w:tcBorders>
            <w:shd w:val="clear" w:color="000000" w:fill="FFFFFF"/>
            <w:vAlign w:val="center"/>
          </w:tcPr>
          <w:p w14:paraId="2A9A98A9" w14:textId="77777777" w:rsidR="00267AB0" w:rsidRPr="00610AD5" w:rsidRDefault="00267AB0" w:rsidP="00AA653D">
            <w:pPr>
              <w:jc w:val="center"/>
              <w:rPr>
                <w:rFonts w:ascii="Tahoma" w:hAnsi="Tahoma" w:cs="Tahoma"/>
                <w:sz w:val="20"/>
                <w:szCs w:val="20"/>
              </w:rPr>
            </w:pPr>
            <w:r w:rsidRPr="00610AD5">
              <w:rPr>
                <w:rFonts w:ascii="Tahoma" w:hAnsi="Tahoma" w:cs="Tahoma"/>
                <w:sz w:val="20"/>
                <w:szCs w:val="20"/>
              </w:rPr>
              <w:t xml:space="preserve">Потребительский </w:t>
            </w:r>
            <w:r>
              <w:rPr>
                <w:rFonts w:ascii="Tahoma" w:hAnsi="Tahoma" w:cs="Tahoma"/>
                <w:sz w:val="20"/>
                <w:szCs w:val="20"/>
              </w:rPr>
              <w:t>К</w:t>
            </w:r>
            <w:r w:rsidRPr="00610AD5">
              <w:rPr>
                <w:rFonts w:ascii="Tahoma" w:hAnsi="Tahoma" w:cs="Tahoma"/>
                <w:sz w:val="20"/>
                <w:szCs w:val="20"/>
              </w:rPr>
              <w:t>редит</w:t>
            </w:r>
          </w:p>
        </w:tc>
      </w:tr>
      <w:tr w:rsidR="00267AB0" w:rsidRPr="00610AD5" w14:paraId="26D03FE8" w14:textId="77777777" w:rsidTr="00AA653D">
        <w:trPr>
          <w:trHeight w:val="537"/>
        </w:trPr>
        <w:tc>
          <w:tcPr>
            <w:tcW w:w="4355" w:type="dxa"/>
            <w:tcBorders>
              <w:top w:val="single" w:sz="4" w:space="0" w:color="auto"/>
              <w:left w:val="single" w:sz="8" w:space="0" w:color="auto"/>
              <w:bottom w:val="single" w:sz="4" w:space="0" w:color="auto"/>
              <w:right w:val="single" w:sz="4" w:space="0" w:color="auto"/>
            </w:tcBorders>
            <w:shd w:val="clear" w:color="auto" w:fill="auto"/>
            <w:vAlign w:val="center"/>
          </w:tcPr>
          <w:p w14:paraId="1DDCFBC2" w14:textId="77777777" w:rsidR="00267AB0" w:rsidRPr="00610AD5" w:rsidRDefault="00267AB0" w:rsidP="00AA653D">
            <w:pPr>
              <w:rPr>
                <w:rFonts w:ascii="Tahoma" w:hAnsi="Tahoma" w:cs="Tahoma"/>
                <w:b/>
                <w:bCs/>
                <w:sz w:val="20"/>
                <w:szCs w:val="20"/>
              </w:rPr>
            </w:pPr>
            <w:r w:rsidRPr="00610AD5">
              <w:rPr>
                <w:rFonts w:ascii="Tahoma" w:hAnsi="Tahoma" w:cs="Tahoma"/>
                <w:b/>
                <w:bCs/>
                <w:sz w:val="20"/>
                <w:szCs w:val="20"/>
              </w:rPr>
              <w:t>Цель Кредита</w:t>
            </w:r>
          </w:p>
        </w:tc>
        <w:tc>
          <w:tcPr>
            <w:tcW w:w="11056" w:type="dxa"/>
            <w:gridSpan w:val="8"/>
            <w:tcBorders>
              <w:top w:val="single" w:sz="4" w:space="0" w:color="auto"/>
              <w:left w:val="nil"/>
              <w:bottom w:val="single" w:sz="4" w:space="0" w:color="auto"/>
              <w:right w:val="single" w:sz="4" w:space="0" w:color="000000"/>
            </w:tcBorders>
            <w:shd w:val="clear" w:color="000000" w:fill="FFFFFF"/>
            <w:vAlign w:val="center"/>
          </w:tcPr>
          <w:p w14:paraId="41B30E0E" w14:textId="77777777" w:rsidR="00267AB0" w:rsidRPr="00610AD5" w:rsidRDefault="00267AB0" w:rsidP="00AA653D">
            <w:pPr>
              <w:rPr>
                <w:rFonts w:ascii="Tahoma" w:hAnsi="Tahoma" w:cs="Tahoma"/>
                <w:sz w:val="20"/>
                <w:szCs w:val="20"/>
              </w:rPr>
            </w:pPr>
            <w:r w:rsidRPr="00610AD5">
              <w:rPr>
                <w:rFonts w:ascii="Tahoma" w:hAnsi="Tahoma" w:cs="Tahoma"/>
                <w:sz w:val="20"/>
                <w:szCs w:val="20"/>
              </w:rPr>
              <w:t xml:space="preserve">На </w:t>
            </w:r>
            <w:r w:rsidRPr="00610AD5">
              <w:rPr>
                <w:rFonts w:ascii="Tahoma" w:hAnsi="Tahoma" w:cs="Tahoma"/>
                <w:b/>
                <w:sz w:val="20"/>
                <w:szCs w:val="20"/>
                <w:u w:val="single"/>
              </w:rPr>
              <w:t>любые цели</w:t>
            </w:r>
            <w:r w:rsidRPr="00610AD5">
              <w:rPr>
                <w:rFonts w:ascii="Tahoma" w:hAnsi="Tahoma" w:cs="Tahoma"/>
                <w:sz w:val="20"/>
                <w:szCs w:val="20"/>
              </w:rPr>
              <w:t>, кроме использования Заемщиком для:</w:t>
            </w:r>
          </w:p>
          <w:p w14:paraId="0D2EFAFE" w14:textId="77777777" w:rsidR="00267AB0" w:rsidRPr="00610AD5" w:rsidRDefault="00267AB0" w:rsidP="00EB4F4C">
            <w:pPr>
              <w:widowControl w:val="0"/>
              <w:numPr>
                <w:ilvl w:val="0"/>
                <w:numId w:val="60"/>
              </w:numPr>
              <w:tabs>
                <w:tab w:val="left" w:pos="317"/>
              </w:tabs>
              <w:autoSpaceDE w:val="0"/>
              <w:autoSpaceDN w:val="0"/>
              <w:ind w:left="33" w:firstLine="0"/>
              <w:contextualSpacing/>
              <w:jc w:val="both"/>
              <w:rPr>
                <w:rFonts w:ascii="Tahoma" w:hAnsi="Tahoma" w:cs="Tahoma"/>
                <w:snapToGrid w:val="0"/>
                <w:sz w:val="20"/>
                <w:szCs w:val="20"/>
              </w:rPr>
            </w:pPr>
            <w:r w:rsidRPr="00610AD5">
              <w:rPr>
                <w:rFonts w:ascii="Tahoma" w:hAnsi="Tahoma" w:cs="Tahoma"/>
                <w:snapToGrid w:val="0"/>
                <w:sz w:val="20"/>
                <w:szCs w:val="20"/>
              </w:rPr>
              <w:t>оплаты инкассовых поручений взыскателей, являющихся органами, выполняющими контрольные функции и осуществляющими взыскание в соответствии с действующим законодательством;</w:t>
            </w:r>
          </w:p>
          <w:p w14:paraId="5E5F95D3" w14:textId="77777777" w:rsidR="00267AB0" w:rsidRPr="00610AD5" w:rsidRDefault="00267AB0" w:rsidP="00EB4F4C">
            <w:pPr>
              <w:widowControl w:val="0"/>
              <w:numPr>
                <w:ilvl w:val="0"/>
                <w:numId w:val="60"/>
              </w:numPr>
              <w:tabs>
                <w:tab w:val="left" w:pos="317"/>
              </w:tabs>
              <w:autoSpaceDE w:val="0"/>
              <w:autoSpaceDN w:val="0"/>
              <w:ind w:left="33" w:firstLine="0"/>
              <w:contextualSpacing/>
              <w:jc w:val="both"/>
              <w:rPr>
                <w:rFonts w:ascii="Tahoma" w:hAnsi="Tahoma" w:cs="Tahoma"/>
                <w:snapToGrid w:val="0"/>
                <w:sz w:val="20"/>
                <w:szCs w:val="20"/>
              </w:rPr>
            </w:pPr>
            <w:r w:rsidRPr="00610AD5">
              <w:rPr>
                <w:rFonts w:ascii="Tahoma" w:hAnsi="Tahoma" w:cs="Tahoma"/>
                <w:snapToGrid w:val="0"/>
                <w:sz w:val="20"/>
                <w:szCs w:val="20"/>
              </w:rPr>
              <w:t xml:space="preserve">оплаты инкассовых поручений по исполнительным документам; </w:t>
            </w:r>
          </w:p>
          <w:p w14:paraId="1403984C" w14:textId="77777777" w:rsidR="00267AB0" w:rsidRPr="00610AD5" w:rsidRDefault="00267AB0" w:rsidP="00EB4F4C">
            <w:pPr>
              <w:widowControl w:val="0"/>
              <w:numPr>
                <w:ilvl w:val="0"/>
                <w:numId w:val="60"/>
              </w:numPr>
              <w:tabs>
                <w:tab w:val="left" w:pos="317"/>
              </w:tabs>
              <w:autoSpaceDE w:val="0"/>
              <w:autoSpaceDN w:val="0"/>
              <w:ind w:left="33" w:firstLine="0"/>
              <w:contextualSpacing/>
              <w:jc w:val="both"/>
              <w:rPr>
                <w:rFonts w:ascii="Tahoma" w:hAnsi="Tahoma" w:cs="Tahoma"/>
                <w:snapToGrid w:val="0"/>
                <w:sz w:val="20"/>
                <w:szCs w:val="20"/>
              </w:rPr>
            </w:pPr>
            <w:r w:rsidRPr="00610AD5">
              <w:rPr>
                <w:rFonts w:ascii="Tahoma" w:hAnsi="Tahoma" w:cs="Tahoma"/>
                <w:snapToGrid w:val="0"/>
                <w:sz w:val="20"/>
                <w:szCs w:val="20"/>
              </w:rPr>
              <w:t>оплаты иных документов на бесспорное списание денежных средств;</w:t>
            </w:r>
          </w:p>
          <w:p w14:paraId="68F64A83" w14:textId="77777777" w:rsidR="00267AB0" w:rsidRPr="00610AD5" w:rsidRDefault="00267AB0" w:rsidP="00EB4F4C">
            <w:pPr>
              <w:widowControl w:val="0"/>
              <w:numPr>
                <w:ilvl w:val="0"/>
                <w:numId w:val="60"/>
              </w:numPr>
              <w:tabs>
                <w:tab w:val="left" w:pos="317"/>
              </w:tabs>
              <w:autoSpaceDE w:val="0"/>
              <w:autoSpaceDN w:val="0"/>
              <w:ind w:left="33" w:firstLine="0"/>
              <w:contextualSpacing/>
              <w:jc w:val="both"/>
              <w:rPr>
                <w:rFonts w:ascii="Tahoma" w:hAnsi="Tahoma" w:cs="Tahoma"/>
                <w:snapToGrid w:val="0"/>
                <w:sz w:val="20"/>
                <w:szCs w:val="20"/>
              </w:rPr>
            </w:pPr>
            <w:r w:rsidRPr="00610AD5">
              <w:rPr>
                <w:rFonts w:ascii="Tahoma" w:hAnsi="Tahoma" w:cs="Tahoma"/>
                <w:snapToGrid w:val="0"/>
                <w:sz w:val="20"/>
                <w:szCs w:val="20"/>
              </w:rPr>
              <w:t>оплаты собственных векселей;</w:t>
            </w:r>
          </w:p>
          <w:p w14:paraId="4B95788D" w14:textId="77777777" w:rsidR="00267AB0" w:rsidRPr="00610AD5" w:rsidRDefault="00267AB0" w:rsidP="00EB4F4C">
            <w:pPr>
              <w:widowControl w:val="0"/>
              <w:numPr>
                <w:ilvl w:val="0"/>
                <w:numId w:val="60"/>
              </w:numPr>
              <w:tabs>
                <w:tab w:val="left" w:pos="317"/>
              </w:tabs>
              <w:autoSpaceDE w:val="0"/>
              <w:autoSpaceDN w:val="0"/>
              <w:ind w:left="33" w:firstLine="0"/>
              <w:contextualSpacing/>
              <w:jc w:val="both"/>
              <w:rPr>
                <w:rFonts w:ascii="Tahoma" w:hAnsi="Tahoma" w:cs="Tahoma"/>
                <w:snapToGrid w:val="0"/>
                <w:sz w:val="20"/>
                <w:szCs w:val="20"/>
              </w:rPr>
            </w:pPr>
            <w:r w:rsidRPr="00610AD5">
              <w:rPr>
                <w:rFonts w:ascii="Tahoma" w:hAnsi="Tahoma" w:cs="Tahoma"/>
                <w:snapToGrid w:val="0"/>
                <w:sz w:val="20"/>
                <w:szCs w:val="20"/>
              </w:rPr>
              <w:t>покупки векселей сторонних организаций;</w:t>
            </w:r>
          </w:p>
          <w:p w14:paraId="403EA7D1" w14:textId="77777777" w:rsidR="00267AB0" w:rsidRPr="00610AD5" w:rsidRDefault="00267AB0" w:rsidP="00EB4F4C">
            <w:pPr>
              <w:widowControl w:val="0"/>
              <w:numPr>
                <w:ilvl w:val="0"/>
                <w:numId w:val="60"/>
              </w:numPr>
              <w:tabs>
                <w:tab w:val="left" w:pos="317"/>
              </w:tabs>
              <w:autoSpaceDE w:val="0"/>
              <w:autoSpaceDN w:val="0"/>
              <w:ind w:left="33" w:firstLine="0"/>
              <w:contextualSpacing/>
              <w:jc w:val="both"/>
              <w:rPr>
                <w:rFonts w:ascii="Tahoma" w:hAnsi="Tahoma" w:cs="Tahoma"/>
                <w:snapToGrid w:val="0"/>
                <w:sz w:val="20"/>
                <w:szCs w:val="20"/>
              </w:rPr>
            </w:pPr>
            <w:r w:rsidRPr="00610AD5">
              <w:rPr>
                <w:rFonts w:ascii="Tahoma" w:hAnsi="Tahoma" w:cs="Tahoma"/>
                <w:snapToGrid w:val="0"/>
                <w:sz w:val="20"/>
                <w:szCs w:val="20"/>
              </w:rPr>
              <w:t xml:space="preserve">выдачи и погашения </w:t>
            </w:r>
            <w:r>
              <w:rPr>
                <w:rFonts w:ascii="Tahoma" w:hAnsi="Tahoma" w:cs="Tahoma"/>
                <w:snapToGrid w:val="0"/>
                <w:sz w:val="20"/>
                <w:szCs w:val="20"/>
              </w:rPr>
              <w:t>К</w:t>
            </w:r>
            <w:r w:rsidRPr="00610AD5">
              <w:rPr>
                <w:rFonts w:ascii="Tahoma" w:hAnsi="Tahoma" w:cs="Tahoma"/>
                <w:snapToGrid w:val="0"/>
                <w:sz w:val="20"/>
                <w:szCs w:val="20"/>
              </w:rPr>
              <w:t>редитов;</w:t>
            </w:r>
          </w:p>
          <w:p w14:paraId="3EB8DAA9" w14:textId="77777777" w:rsidR="00267AB0" w:rsidRPr="00610AD5" w:rsidRDefault="00267AB0" w:rsidP="00EB4F4C">
            <w:pPr>
              <w:widowControl w:val="0"/>
              <w:numPr>
                <w:ilvl w:val="0"/>
                <w:numId w:val="60"/>
              </w:numPr>
              <w:tabs>
                <w:tab w:val="left" w:pos="317"/>
              </w:tabs>
              <w:autoSpaceDE w:val="0"/>
              <w:autoSpaceDN w:val="0"/>
              <w:ind w:left="33" w:firstLine="0"/>
              <w:contextualSpacing/>
              <w:jc w:val="both"/>
              <w:rPr>
                <w:rFonts w:ascii="Tahoma" w:hAnsi="Tahoma" w:cs="Tahoma"/>
                <w:snapToGrid w:val="0"/>
                <w:sz w:val="20"/>
                <w:szCs w:val="20"/>
              </w:rPr>
            </w:pPr>
            <w:r w:rsidRPr="00610AD5">
              <w:rPr>
                <w:rFonts w:ascii="Tahoma" w:hAnsi="Tahoma" w:cs="Tahoma"/>
                <w:snapToGrid w:val="0"/>
                <w:sz w:val="20"/>
                <w:szCs w:val="20"/>
              </w:rPr>
              <w:t xml:space="preserve">исполнения обязательств других Заемщиков перед Банком; </w:t>
            </w:r>
          </w:p>
          <w:p w14:paraId="54A96826" w14:textId="77777777" w:rsidR="00267AB0" w:rsidRPr="00610AD5" w:rsidRDefault="00267AB0" w:rsidP="00EB4F4C">
            <w:pPr>
              <w:widowControl w:val="0"/>
              <w:numPr>
                <w:ilvl w:val="0"/>
                <w:numId w:val="60"/>
              </w:numPr>
              <w:tabs>
                <w:tab w:val="left" w:pos="317"/>
              </w:tabs>
              <w:autoSpaceDE w:val="0"/>
              <w:autoSpaceDN w:val="0"/>
              <w:ind w:left="33" w:firstLine="0"/>
              <w:contextualSpacing/>
              <w:jc w:val="both"/>
              <w:rPr>
                <w:rFonts w:ascii="Tahoma" w:hAnsi="Tahoma" w:cs="Tahoma"/>
                <w:snapToGrid w:val="0"/>
                <w:sz w:val="20"/>
                <w:szCs w:val="20"/>
              </w:rPr>
            </w:pPr>
            <w:r w:rsidRPr="00610AD5">
              <w:rPr>
                <w:rFonts w:ascii="Tahoma" w:hAnsi="Tahoma" w:cs="Tahoma"/>
                <w:snapToGrid w:val="0"/>
                <w:sz w:val="20"/>
                <w:szCs w:val="20"/>
              </w:rPr>
              <w:t>приобретения у Банка имущества, полученного Банком в результате прекращения обязательств Заемщика по ранее выданным ссудам предоставлением отступного;</w:t>
            </w:r>
          </w:p>
          <w:p w14:paraId="020D6315" w14:textId="77777777" w:rsidR="00267AB0" w:rsidRPr="00610AD5" w:rsidRDefault="00267AB0" w:rsidP="00EB4F4C">
            <w:pPr>
              <w:widowControl w:val="0"/>
              <w:numPr>
                <w:ilvl w:val="0"/>
                <w:numId w:val="60"/>
              </w:numPr>
              <w:tabs>
                <w:tab w:val="left" w:pos="317"/>
              </w:tabs>
              <w:autoSpaceDE w:val="0"/>
              <w:autoSpaceDN w:val="0"/>
              <w:ind w:left="33" w:firstLine="0"/>
              <w:contextualSpacing/>
              <w:jc w:val="both"/>
              <w:rPr>
                <w:rFonts w:ascii="Tahoma" w:hAnsi="Tahoma" w:cs="Tahoma"/>
                <w:snapToGrid w:val="0"/>
                <w:sz w:val="20"/>
                <w:szCs w:val="20"/>
              </w:rPr>
            </w:pPr>
            <w:r w:rsidRPr="00610AD5">
              <w:rPr>
                <w:rFonts w:ascii="Tahoma" w:hAnsi="Tahoma" w:cs="Tahoma"/>
                <w:snapToGrid w:val="0"/>
                <w:sz w:val="20"/>
                <w:szCs w:val="20"/>
              </w:rPr>
              <w:t>приобретения и погашения эмиссионных ценных бумаг;</w:t>
            </w:r>
          </w:p>
          <w:p w14:paraId="569ED7F9" w14:textId="77777777" w:rsidR="00267AB0" w:rsidRPr="00610AD5" w:rsidRDefault="00267AB0" w:rsidP="00EB4F4C">
            <w:pPr>
              <w:widowControl w:val="0"/>
              <w:numPr>
                <w:ilvl w:val="0"/>
                <w:numId w:val="60"/>
              </w:numPr>
              <w:tabs>
                <w:tab w:val="left" w:pos="317"/>
              </w:tabs>
              <w:autoSpaceDE w:val="0"/>
              <w:autoSpaceDN w:val="0"/>
              <w:ind w:left="33" w:firstLine="0"/>
              <w:contextualSpacing/>
              <w:jc w:val="both"/>
              <w:rPr>
                <w:rFonts w:ascii="Tahoma" w:hAnsi="Tahoma" w:cs="Tahoma"/>
                <w:sz w:val="20"/>
                <w:szCs w:val="20"/>
              </w:rPr>
            </w:pPr>
            <w:r w:rsidRPr="00610AD5">
              <w:rPr>
                <w:rFonts w:ascii="Tahoma" w:hAnsi="Tahoma" w:cs="Tahoma"/>
                <w:snapToGrid w:val="0"/>
                <w:sz w:val="20"/>
                <w:szCs w:val="20"/>
              </w:rPr>
              <w:t>осуществления вложений в уставные капиталы других юридических лиц.</w:t>
            </w:r>
          </w:p>
        </w:tc>
      </w:tr>
      <w:tr w:rsidR="00267AB0" w:rsidRPr="00610AD5" w14:paraId="4D0063EB" w14:textId="77777777" w:rsidTr="00AA653D">
        <w:trPr>
          <w:trHeight w:val="537"/>
        </w:trPr>
        <w:tc>
          <w:tcPr>
            <w:tcW w:w="435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E306699" w14:textId="77777777" w:rsidR="00267AB0" w:rsidRPr="00610AD5" w:rsidRDefault="00267AB0" w:rsidP="00AA653D">
            <w:pPr>
              <w:rPr>
                <w:rFonts w:ascii="Tahoma" w:hAnsi="Tahoma" w:cs="Tahoma"/>
                <w:b/>
                <w:bCs/>
                <w:sz w:val="20"/>
                <w:szCs w:val="20"/>
              </w:rPr>
            </w:pPr>
            <w:r w:rsidRPr="00610AD5">
              <w:rPr>
                <w:rFonts w:ascii="Tahoma" w:hAnsi="Tahoma" w:cs="Tahoma"/>
                <w:b/>
                <w:bCs/>
                <w:sz w:val="20"/>
                <w:szCs w:val="20"/>
              </w:rPr>
              <w:t>Подразделения сети/Точки продаж, реализующие кредитный продукт</w:t>
            </w:r>
          </w:p>
        </w:tc>
        <w:tc>
          <w:tcPr>
            <w:tcW w:w="11056" w:type="dxa"/>
            <w:gridSpan w:val="8"/>
            <w:tcBorders>
              <w:top w:val="single" w:sz="4" w:space="0" w:color="auto"/>
              <w:left w:val="nil"/>
              <w:bottom w:val="single" w:sz="4" w:space="0" w:color="auto"/>
              <w:right w:val="single" w:sz="4" w:space="0" w:color="000000"/>
            </w:tcBorders>
            <w:shd w:val="clear" w:color="000000" w:fill="FFFFFF"/>
            <w:vAlign w:val="center"/>
            <w:hideMark/>
          </w:tcPr>
          <w:p w14:paraId="41DCC1B7" w14:textId="77777777" w:rsidR="00267AB0" w:rsidRPr="00610AD5" w:rsidRDefault="00267AB0" w:rsidP="00AA653D">
            <w:pPr>
              <w:rPr>
                <w:rFonts w:ascii="Tahoma" w:hAnsi="Tahoma" w:cs="Tahoma"/>
                <w:sz w:val="20"/>
                <w:szCs w:val="20"/>
              </w:rPr>
            </w:pPr>
            <w:r w:rsidRPr="00610AD5">
              <w:rPr>
                <w:rFonts w:ascii="Tahoma" w:hAnsi="Tahoma" w:cs="Tahoma"/>
                <w:sz w:val="20"/>
                <w:szCs w:val="20"/>
              </w:rPr>
              <w:t>Все подразделения Банка</w:t>
            </w:r>
            <w:r>
              <w:rPr>
                <w:rFonts w:ascii="Tahoma" w:hAnsi="Tahoma" w:cs="Tahoma"/>
                <w:sz w:val="20"/>
                <w:szCs w:val="20"/>
              </w:rPr>
              <w:t>.</w:t>
            </w:r>
            <w:r w:rsidRPr="00610AD5">
              <w:rPr>
                <w:rFonts w:ascii="Tahoma" w:hAnsi="Tahoma" w:cs="Tahoma"/>
                <w:sz w:val="20"/>
                <w:szCs w:val="20"/>
              </w:rPr>
              <w:t xml:space="preserve"> </w:t>
            </w:r>
          </w:p>
        </w:tc>
      </w:tr>
      <w:tr w:rsidR="00267AB0" w:rsidRPr="00610AD5" w14:paraId="73BFBDD2" w14:textId="77777777" w:rsidTr="00AA653D">
        <w:trPr>
          <w:trHeight w:val="886"/>
        </w:trPr>
        <w:tc>
          <w:tcPr>
            <w:tcW w:w="4355" w:type="dxa"/>
            <w:tcBorders>
              <w:top w:val="single" w:sz="4" w:space="0" w:color="auto"/>
              <w:left w:val="single" w:sz="8" w:space="0" w:color="auto"/>
              <w:bottom w:val="single" w:sz="4" w:space="0" w:color="auto"/>
              <w:right w:val="single" w:sz="4" w:space="0" w:color="000000"/>
            </w:tcBorders>
            <w:shd w:val="clear" w:color="auto" w:fill="auto"/>
            <w:vAlign w:val="center"/>
            <w:hideMark/>
          </w:tcPr>
          <w:p w14:paraId="2306116E" w14:textId="77777777" w:rsidR="00267AB0" w:rsidRPr="00610AD5" w:rsidRDefault="00267AB0" w:rsidP="00AA653D">
            <w:pPr>
              <w:rPr>
                <w:rFonts w:ascii="Tahoma" w:hAnsi="Tahoma" w:cs="Tahoma"/>
                <w:b/>
                <w:bCs/>
                <w:sz w:val="20"/>
                <w:szCs w:val="20"/>
              </w:rPr>
            </w:pPr>
            <w:r w:rsidRPr="00610AD5">
              <w:rPr>
                <w:rFonts w:ascii="Tahoma" w:hAnsi="Tahoma" w:cs="Tahoma"/>
                <w:b/>
                <w:bCs/>
                <w:sz w:val="20"/>
                <w:szCs w:val="20"/>
              </w:rPr>
              <w:t>Категория Заемщика</w:t>
            </w:r>
          </w:p>
        </w:tc>
        <w:tc>
          <w:tcPr>
            <w:tcW w:w="11056" w:type="dxa"/>
            <w:gridSpan w:val="8"/>
            <w:tcBorders>
              <w:top w:val="single" w:sz="4" w:space="0" w:color="auto"/>
              <w:left w:val="nil"/>
              <w:bottom w:val="single" w:sz="4" w:space="0" w:color="auto"/>
              <w:right w:val="single" w:sz="4" w:space="0" w:color="000000"/>
            </w:tcBorders>
            <w:shd w:val="clear" w:color="000000" w:fill="FFFFFF"/>
            <w:vAlign w:val="center"/>
            <w:hideMark/>
          </w:tcPr>
          <w:p w14:paraId="3AD76162" w14:textId="77777777" w:rsidR="00267AB0" w:rsidRPr="00610AD5" w:rsidRDefault="00267AB0" w:rsidP="00AA653D">
            <w:pPr>
              <w:jc w:val="both"/>
              <w:rPr>
                <w:rFonts w:ascii="Tahoma" w:hAnsi="Tahoma" w:cs="Tahoma"/>
                <w:sz w:val="20"/>
                <w:szCs w:val="20"/>
              </w:rPr>
            </w:pPr>
            <w:r w:rsidRPr="00610AD5">
              <w:rPr>
                <w:rFonts w:ascii="Tahoma" w:hAnsi="Tahoma" w:cs="Tahoma"/>
                <w:sz w:val="20"/>
                <w:szCs w:val="20"/>
              </w:rPr>
              <w:t>Физическое лицо, получающее прибыль от предпринимательской деятельности/ участник хозяйственного общества, имеющий право на получение части прибыли такого общества, предназначенной для распределения между его участниками, в доле не менее 25 % от объема распределяемой прибыли</w:t>
            </w:r>
            <w:r>
              <w:rPr>
                <w:rFonts w:ascii="Tahoma" w:hAnsi="Tahoma" w:cs="Tahoma"/>
                <w:sz w:val="20"/>
                <w:szCs w:val="20"/>
              </w:rPr>
              <w:t>.</w:t>
            </w:r>
          </w:p>
        </w:tc>
      </w:tr>
      <w:tr w:rsidR="00267AB0" w:rsidRPr="00610AD5" w14:paraId="4BD23C5C" w14:textId="77777777" w:rsidTr="00AA653D">
        <w:trPr>
          <w:trHeight w:val="425"/>
        </w:trPr>
        <w:tc>
          <w:tcPr>
            <w:tcW w:w="4355" w:type="dxa"/>
            <w:tcBorders>
              <w:top w:val="single" w:sz="4" w:space="0" w:color="auto"/>
              <w:left w:val="single" w:sz="8" w:space="0" w:color="auto"/>
              <w:bottom w:val="single" w:sz="4" w:space="0" w:color="auto"/>
              <w:right w:val="single" w:sz="4" w:space="0" w:color="000000"/>
            </w:tcBorders>
            <w:shd w:val="clear" w:color="auto" w:fill="auto"/>
            <w:vAlign w:val="center"/>
          </w:tcPr>
          <w:p w14:paraId="1DE21D99" w14:textId="77777777" w:rsidR="00267AB0" w:rsidRPr="00610AD5" w:rsidRDefault="00267AB0" w:rsidP="00AA653D">
            <w:pPr>
              <w:rPr>
                <w:rFonts w:ascii="Tahoma" w:hAnsi="Tahoma" w:cs="Tahoma"/>
                <w:b/>
                <w:bCs/>
                <w:sz w:val="20"/>
                <w:szCs w:val="20"/>
              </w:rPr>
            </w:pPr>
            <w:r w:rsidRPr="00610AD5">
              <w:rPr>
                <w:rFonts w:ascii="Tahoma" w:hAnsi="Tahoma" w:cs="Tahoma"/>
                <w:b/>
                <w:bCs/>
                <w:sz w:val="20"/>
                <w:szCs w:val="20"/>
              </w:rPr>
              <w:t>Минимальная сумма Кредита</w:t>
            </w:r>
          </w:p>
        </w:tc>
        <w:tc>
          <w:tcPr>
            <w:tcW w:w="11056" w:type="dxa"/>
            <w:gridSpan w:val="8"/>
            <w:tcBorders>
              <w:top w:val="single" w:sz="4" w:space="0" w:color="auto"/>
              <w:left w:val="nil"/>
              <w:bottom w:val="single" w:sz="4" w:space="0" w:color="auto"/>
              <w:right w:val="single" w:sz="4" w:space="0" w:color="000000"/>
            </w:tcBorders>
            <w:shd w:val="clear" w:color="000000" w:fill="FFFFFF"/>
            <w:vAlign w:val="center"/>
          </w:tcPr>
          <w:p w14:paraId="06963740" w14:textId="77777777" w:rsidR="00267AB0" w:rsidRPr="00610AD5" w:rsidRDefault="00267AB0" w:rsidP="00AA653D">
            <w:pPr>
              <w:jc w:val="center"/>
              <w:rPr>
                <w:rFonts w:ascii="Tahoma" w:hAnsi="Tahoma" w:cs="Tahoma"/>
                <w:sz w:val="20"/>
                <w:szCs w:val="20"/>
              </w:rPr>
            </w:pPr>
            <w:r w:rsidRPr="00610AD5">
              <w:rPr>
                <w:rFonts w:ascii="Tahoma" w:hAnsi="Tahoma" w:cs="Tahoma"/>
                <w:sz w:val="20"/>
                <w:szCs w:val="20"/>
              </w:rPr>
              <w:t>500 000 руб.</w:t>
            </w:r>
          </w:p>
        </w:tc>
      </w:tr>
      <w:tr w:rsidR="00267AB0" w:rsidRPr="00610AD5" w14:paraId="2BCCBEE4" w14:textId="77777777" w:rsidTr="00AA653D">
        <w:trPr>
          <w:trHeight w:val="417"/>
        </w:trPr>
        <w:tc>
          <w:tcPr>
            <w:tcW w:w="4355" w:type="dxa"/>
            <w:tcBorders>
              <w:top w:val="single" w:sz="4" w:space="0" w:color="auto"/>
              <w:left w:val="single" w:sz="8" w:space="0" w:color="auto"/>
              <w:bottom w:val="single" w:sz="4" w:space="0" w:color="auto"/>
              <w:right w:val="single" w:sz="4" w:space="0" w:color="000000"/>
            </w:tcBorders>
            <w:shd w:val="clear" w:color="auto" w:fill="auto"/>
            <w:vAlign w:val="center"/>
          </w:tcPr>
          <w:p w14:paraId="5B627268" w14:textId="77777777" w:rsidR="00267AB0" w:rsidRPr="00610AD5" w:rsidRDefault="00267AB0" w:rsidP="00AA653D">
            <w:pPr>
              <w:rPr>
                <w:rFonts w:ascii="Tahoma" w:hAnsi="Tahoma" w:cs="Tahoma"/>
                <w:b/>
                <w:bCs/>
                <w:sz w:val="20"/>
                <w:szCs w:val="20"/>
              </w:rPr>
            </w:pPr>
            <w:r w:rsidRPr="00610AD5">
              <w:rPr>
                <w:rFonts w:ascii="Tahoma" w:hAnsi="Tahoma" w:cs="Tahoma"/>
                <w:b/>
                <w:bCs/>
                <w:sz w:val="20"/>
                <w:szCs w:val="20"/>
              </w:rPr>
              <w:t>Максимальная сумма Кредита</w:t>
            </w:r>
          </w:p>
        </w:tc>
        <w:tc>
          <w:tcPr>
            <w:tcW w:w="11056" w:type="dxa"/>
            <w:gridSpan w:val="8"/>
            <w:tcBorders>
              <w:top w:val="single" w:sz="4" w:space="0" w:color="auto"/>
              <w:left w:val="nil"/>
              <w:bottom w:val="single" w:sz="4" w:space="0" w:color="auto"/>
              <w:right w:val="single" w:sz="4" w:space="0" w:color="000000"/>
            </w:tcBorders>
            <w:shd w:val="clear" w:color="000000" w:fill="FFFFFF"/>
            <w:vAlign w:val="center"/>
          </w:tcPr>
          <w:p w14:paraId="6ACBE994" w14:textId="77777777" w:rsidR="00267AB0" w:rsidRPr="00610AD5" w:rsidRDefault="00267AB0" w:rsidP="00AA653D">
            <w:pPr>
              <w:jc w:val="center"/>
              <w:rPr>
                <w:rFonts w:ascii="Tahoma" w:hAnsi="Tahoma" w:cs="Tahoma"/>
                <w:sz w:val="20"/>
                <w:szCs w:val="20"/>
              </w:rPr>
            </w:pPr>
            <w:r w:rsidRPr="00610AD5">
              <w:rPr>
                <w:rFonts w:ascii="Tahoma" w:hAnsi="Tahoma" w:cs="Tahoma"/>
                <w:sz w:val="20"/>
                <w:szCs w:val="20"/>
              </w:rPr>
              <w:t>5 000 000 руб.</w:t>
            </w:r>
          </w:p>
        </w:tc>
      </w:tr>
      <w:tr w:rsidR="00267AB0" w:rsidRPr="00610AD5" w14:paraId="32C98DFF" w14:textId="77777777" w:rsidTr="00AA653D">
        <w:trPr>
          <w:trHeight w:val="417"/>
        </w:trPr>
        <w:tc>
          <w:tcPr>
            <w:tcW w:w="4355" w:type="dxa"/>
            <w:tcBorders>
              <w:top w:val="single" w:sz="4" w:space="0" w:color="auto"/>
              <w:left w:val="single" w:sz="8" w:space="0" w:color="auto"/>
              <w:bottom w:val="single" w:sz="4" w:space="0" w:color="auto"/>
              <w:right w:val="single" w:sz="4" w:space="0" w:color="000000"/>
            </w:tcBorders>
            <w:shd w:val="clear" w:color="auto" w:fill="auto"/>
            <w:vAlign w:val="center"/>
          </w:tcPr>
          <w:p w14:paraId="68C3E87F" w14:textId="77777777" w:rsidR="00267AB0" w:rsidRPr="00610AD5" w:rsidRDefault="00267AB0" w:rsidP="00AA653D">
            <w:pPr>
              <w:rPr>
                <w:rFonts w:ascii="Tahoma" w:hAnsi="Tahoma" w:cs="Tahoma"/>
                <w:b/>
                <w:bCs/>
                <w:sz w:val="20"/>
                <w:szCs w:val="20"/>
              </w:rPr>
            </w:pPr>
            <w:r w:rsidRPr="00610AD5">
              <w:rPr>
                <w:rFonts w:ascii="Tahoma" w:hAnsi="Tahoma" w:cs="Tahoma"/>
                <w:b/>
                <w:bCs/>
                <w:sz w:val="20"/>
                <w:szCs w:val="20"/>
              </w:rPr>
              <w:t>Валюта Кредита</w:t>
            </w:r>
          </w:p>
        </w:tc>
        <w:tc>
          <w:tcPr>
            <w:tcW w:w="11056" w:type="dxa"/>
            <w:gridSpan w:val="8"/>
            <w:tcBorders>
              <w:top w:val="single" w:sz="4" w:space="0" w:color="auto"/>
              <w:left w:val="nil"/>
              <w:bottom w:val="single" w:sz="4" w:space="0" w:color="auto"/>
              <w:right w:val="single" w:sz="4" w:space="0" w:color="000000"/>
            </w:tcBorders>
            <w:shd w:val="clear" w:color="000000" w:fill="FFFFFF"/>
            <w:vAlign w:val="center"/>
          </w:tcPr>
          <w:p w14:paraId="3EBB4EC4" w14:textId="77777777" w:rsidR="00267AB0" w:rsidRPr="00610AD5" w:rsidRDefault="00267AB0" w:rsidP="00AA653D">
            <w:pPr>
              <w:jc w:val="center"/>
              <w:rPr>
                <w:rFonts w:ascii="Tahoma" w:hAnsi="Tahoma" w:cs="Tahoma"/>
                <w:sz w:val="20"/>
                <w:szCs w:val="20"/>
              </w:rPr>
            </w:pPr>
            <w:r w:rsidRPr="00610AD5">
              <w:rPr>
                <w:rFonts w:ascii="Tahoma" w:hAnsi="Tahoma" w:cs="Tahoma"/>
                <w:sz w:val="20"/>
                <w:szCs w:val="20"/>
              </w:rPr>
              <w:t>Рубли Российской Федерации (далее - рубли)</w:t>
            </w:r>
          </w:p>
        </w:tc>
      </w:tr>
      <w:tr w:rsidR="00267AB0" w:rsidRPr="00610AD5" w14:paraId="07C23C0E" w14:textId="77777777" w:rsidTr="00AA653D">
        <w:trPr>
          <w:trHeight w:val="417"/>
        </w:trPr>
        <w:tc>
          <w:tcPr>
            <w:tcW w:w="4355" w:type="dxa"/>
            <w:tcBorders>
              <w:top w:val="single" w:sz="4" w:space="0" w:color="auto"/>
              <w:left w:val="single" w:sz="8" w:space="0" w:color="auto"/>
              <w:bottom w:val="single" w:sz="4" w:space="0" w:color="auto"/>
              <w:right w:val="single" w:sz="4" w:space="0" w:color="000000"/>
            </w:tcBorders>
            <w:shd w:val="clear" w:color="auto" w:fill="auto"/>
            <w:vAlign w:val="center"/>
          </w:tcPr>
          <w:p w14:paraId="79592C7A" w14:textId="77777777" w:rsidR="00267AB0" w:rsidRPr="00610AD5" w:rsidRDefault="00267AB0" w:rsidP="00AA653D">
            <w:pPr>
              <w:rPr>
                <w:rFonts w:ascii="Tahoma" w:hAnsi="Tahoma" w:cs="Tahoma"/>
                <w:b/>
                <w:bCs/>
                <w:sz w:val="20"/>
                <w:szCs w:val="20"/>
              </w:rPr>
            </w:pPr>
            <w:r w:rsidRPr="00610AD5">
              <w:rPr>
                <w:rFonts w:ascii="Tahoma" w:hAnsi="Tahoma" w:cs="Tahoma"/>
                <w:b/>
                <w:bCs/>
                <w:sz w:val="20"/>
                <w:szCs w:val="20"/>
              </w:rPr>
              <w:lastRenderedPageBreak/>
              <w:t>Диапазон сроков Кредита</w:t>
            </w:r>
          </w:p>
        </w:tc>
        <w:tc>
          <w:tcPr>
            <w:tcW w:w="11056" w:type="dxa"/>
            <w:gridSpan w:val="8"/>
            <w:tcBorders>
              <w:top w:val="single" w:sz="4" w:space="0" w:color="auto"/>
              <w:left w:val="nil"/>
              <w:bottom w:val="single" w:sz="4" w:space="0" w:color="auto"/>
              <w:right w:val="single" w:sz="4" w:space="0" w:color="000000"/>
            </w:tcBorders>
            <w:shd w:val="clear" w:color="000000" w:fill="FFFFFF"/>
            <w:vAlign w:val="center"/>
          </w:tcPr>
          <w:p w14:paraId="6D0C310A" w14:textId="77777777" w:rsidR="00267AB0" w:rsidRPr="00610AD5" w:rsidRDefault="00267AB0" w:rsidP="00AA653D">
            <w:pPr>
              <w:jc w:val="center"/>
              <w:rPr>
                <w:rFonts w:ascii="Tahoma" w:hAnsi="Tahoma" w:cs="Tahoma"/>
                <w:sz w:val="20"/>
                <w:szCs w:val="20"/>
              </w:rPr>
            </w:pPr>
            <w:r w:rsidRPr="00610AD5">
              <w:rPr>
                <w:rFonts w:ascii="Tahoma" w:hAnsi="Tahoma" w:cs="Tahoma"/>
                <w:sz w:val="20"/>
                <w:szCs w:val="20"/>
              </w:rPr>
              <w:t>От 13 (тринадцати) до 60 (шестидесяти) месяцев включительно</w:t>
            </w:r>
          </w:p>
        </w:tc>
      </w:tr>
      <w:tr w:rsidR="00267AB0" w:rsidRPr="00610AD5" w14:paraId="30E22841" w14:textId="77777777" w:rsidTr="00AA653D">
        <w:trPr>
          <w:trHeight w:val="417"/>
        </w:trPr>
        <w:tc>
          <w:tcPr>
            <w:tcW w:w="4355" w:type="dxa"/>
            <w:tcBorders>
              <w:top w:val="single" w:sz="4" w:space="0" w:color="auto"/>
              <w:left w:val="single" w:sz="8" w:space="0" w:color="auto"/>
              <w:bottom w:val="single" w:sz="4" w:space="0" w:color="auto"/>
              <w:right w:val="single" w:sz="4" w:space="0" w:color="000000"/>
            </w:tcBorders>
            <w:shd w:val="clear" w:color="auto" w:fill="auto"/>
            <w:vAlign w:val="center"/>
          </w:tcPr>
          <w:p w14:paraId="41869C75" w14:textId="77777777" w:rsidR="00267AB0" w:rsidRPr="008A1C41" w:rsidRDefault="00267AB0" w:rsidP="00AA653D">
            <w:pPr>
              <w:rPr>
                <w:rFonts w:ascii="Tahoma" w:hAnsi="Tahoma" w:cs="Tahoma"/>
                <w:b/>
                <w:bCs/>
                <w:sz w:val="20"/>
                <w:szCs w:val="20"/>
              </w:rPr>
            </w:pPr>
            <w:r w:rsidRPr="008A1C41">
              <w:rPr>
                <w:rFonts w:ascii="Tahoma" w:hAnsi="Tahoma" w:cs="Tahoma"/>
                <w:b/>
                <w:bCs/>
                <w:sz w:val="20"/>
                <w:szCs w:val="20"/>
              </w:rPr>
              <w:t>Диапазон процентных ставок по Кредиту за использование кредитных средств (в процентах годовых).</w:t>
            </w:r>
          </w:p>
        </w:tc>
        <w:tc>
          <w:tcPr>
            <w:tcW w:w="11056" w:type="dxa"/>
            <w:gridSpan w:val="8"/>
            <w:tcBorders>
              <w:top w:val="single" w:sz="4" w:space="0" w:color="auto"/>
              <w:left w:val="nil"/>
              <w:bottom w:val="single" w:sz="4" w:space="0" w:color="auto"/>
              <w:right w:val="single" w:sz="4" w:space="0" w:color="000000"/>
            </w:tcBorders>
            <w:shd w:val="clear" w:color="000000" w:fill="FFFFFF"/>
            <w:vAlign w:val="center"/>
          </w:tcPr>
          <w:p w14:paraId="642D1742" w14:textId="77777777" w:rsidR="00267AB0" w:rsidRDefault="00267AB0" w:rsidP="00AA653D">
            <w:pPr>
              <w:jc w:val="center"/>
              <w:rPr>
                <w:rFonts w:ascii="Tahoma" w:hAnsi="Tahoma" w:cs="Tahoma"/>
                <w:sz w:val="20"/>
                <w:szCs w:val="20"/>
              </w:rPr>
            </w:pPr>
            <w:r>
              <w:rPr>
                <w:rFonts w:ascii="Tahoma" w:hAnsi="Tahoma" w:cs="Tahoma"/>
                <w:sz w:val="20"/>
                <w:szCs w:val="20"/>
              </w:rPr>
              <w:t>Базовая ставка от 21</w:t>
            </w:r>
            <w:r w:rsidRPr="00917B98">
              <w:rPr>
                <w:rFonts w:ascii="Tahoma" w:hAnsi="Tahoma" w:cs="Tahoma"/>
                <w:sz w:val="20"/>
                <w:szCs w:val="20"/>
              </w:rPr>
              <w:t>,</w:t>
            </w:r>
            <w:r>
              <w:rPr>
                <w:rFonts w:ascii="Tahoma" w:hAnsi="Tahoma" w:cs="Tahoma"/>
                <w:sz w:val="20"/>
                <w:szCs w:val="20"/>
              </w:rPr>
              <w:t>7</w:t>
            </w:r>
            <w:r w:rsidRPr="00917B98">
              <w:rPr>
                <w:rFonts w:ascii="Tahoma" w:hAnsi="Tahoma" w:cs="Tahoma"/>
                <w:sz w:val="20"/>
                <w:szCs w:val="20"/>
              </w:rPr>
              <w:t xml:space="preserve"> до </w:t>
            </w:r>
            <w:r>
              <w:rPr>
                <w:rFonts w:ascii="Tahoma" w:hAnsi="Tahoma" w:cs="Tahoma"/>
                <w:sz w:val="20"/>
                <w:szCs w:val="20"/>
              </w:rPr>
              <w:t>22</w:t>
            </w:r>
            <w:r w:rsidRPr="00917B98">
              <w:rPr>
                <w:rFonts w:ascii="Tahoma" w:hAnsi="Tahoma" w:cs="Tahoma"/>
                <w:sz w:val="20"/>
                <w:szCs w:val="20"/>
              </w:rPr>
              <w:t>,55 процентов годовых, процентная ставка для каждого Заёмщика определяется индивидуально по итогам анализа Заявки.</w:t>
            </w:r>
          </w:p>
        </w:tc>
      </w:tr>
      <w:tr w:rsidR="00267AB0" w:rsidRPr="00610AD5" w14:paraId="55A68987" w14:textId="77777777" w:rsidTr="00AA653D">
        <w:trPr>
          <w:trHeight w:val="417"/>
        </w:trPr>
        <w:tc>
          <w:tcPr>
            <w:tcW w:w="4355" w:type="dxa"/>
            <w:tcBorders>
              <w:top w:val="single" w:sz="4" w:space="0" w:color="auto"/>
              <w:left w:val="single" w:sz="8" w:space="0" w:color="auto"/>
              <w:bottom w:val="single" w:sz="4" w:space="0" w:color="auto"/>
              <w:right w:val="single" w:sz="4" w:space="0" w:color="000000"/>
            </w:tcBorders>
            <w:shd w:val="clear" w:color="auto" w:fill="auto"/>
            <w:vAlign w:val="center"/>
          </w:tcPr>
          <w:p w14:paraId="6F2F00F4" w14:textId="77777777" w:rsidR="00267AB0" w:rsidRPr="008A1C41" w:rsidRDefault="00267AB0" w:rsidP="00AA653D">
            <w:pPr>
              <w:rPr>
                <w:rFonts w:ascii="Tahoma" w:hAnsi="Tahoma" w:cs="Tahoma"/>
                <w:b/>
                <w:bCs/>
                <w:sz w:val="20"/>
                <w:szCs w:val="20"/>
              </w:rPr>
            </w:pPr>
          </w:p>
        </w:tc>
        <w:tc>
          <w:tcPr>
            <w:tcW w:w="11056" w:type="dxa"/>
            <w:gridSpan w:val="8"/>
            <w:tcBorders>
              <w:top w:val="single" w:sz="4" w:space="0" w:color="auto"/>
              <w:left w:val="nil"/>
              <w:bottom w:val="single" w:sz="4" w:space="0" w:color="auto"/>
              <w:right w:val="single" w:sz="4" w:space="0" w:color="000000"/>
            </w:tcBorders>
            <w:shd w:val="clear" w:color="000000" w:fill="FFFFFF"/>
            <w:vAlign w:val="center"/>
          </w:tcPr>
          <w:p w14:paraId="79448B72" w14:textId="77777777" w:rsidR="00267AB0" w:rsidRDefault="00267AB0" w:rsidP="00AA653D">
            <w:pPr>
              <w:jc w:val="center"/>
              <w:rPr>
                <w:rFonts w:ascii="Tahoma" w:hAnsi="Tahoma" w:cs="Tahoma"/>
                <w:sz w:val="20"/>
                <w:szCs w:val="20"/>
              </w:rPr>
            </w:pPr>
          </w:p>
        </w:tc>
      </w:tr>
      <w:tr w:rsidR="00267AB0" w:rsidRPr="00610AD5" w14:paraId="12EB9EB8" w14:textId="77777777" w:rsidTr="00AA653D">
        <w:trPr>
          <w:trHeight w:val="417"/>
        </w:trPr>
        <w:tc>
          <w:tcPr>
            <w:tcW w:w="4355" w:type="dxa"/>
            <w:tcBorders>
              <w:top w:val="single" w:sz="4" w:space="0" w:color="auto"/>
              <w:left w:val="single" w:sz="8" w:space="0" w:color="auto"/>
              <w:bottom w:val="single" w:sz="4" w:space="0" w:color="auto"/>
              <w:right w:val="single" w:sz="4" w:space="0" w:color="000000"/>
            </w:tcBorders>
            <w:shd w:val="clear" w:color="auto" w:fill="auto"/>
            <w:vAlign w:val="center"/>
          </w:tcPr>
          <w:p w14:paraId="70F6D648" w14:textId="77777777" w:rsidR="00267AB0" w:rsidRPr="008A1C41" w:rsidRDefault="00267AB0" w:rsidP="00AA653D">
            <w:pPr>
              <w:rPr>
                <w:rFonts w:ascii="Tahoma" w:hAnsi="Tahoma" w:cs="Tahoma"/>
                <w:b/>
                <w:bCs/>
                <w:sz w:val="20"/>
                <w:szCs w:val="20"/>
              </w:rPr>
            </w:pPr>
            <w:r w:rsidRPr="008A1C41">
              <w:rPr>
                <w:rFonts w:ascii="Tahoma" w:hAnsi="Tahoma" w:cs="Tahoma"/>
                <w:b/>
                <w:bCs/>
                <w:sz w:val="20"/>
                <w:szCs w:val="20"/>
              </w:rPr>
              <w:t>Подтверждение дохода</w:t>
            </w:r>
          </w:p>
        </w:tc>
        <w:tc>
          <w:tcPr>
            <w:tcW w:w="11056" w:type="dxa"/>
            <w:gridSpan w:val="8"/>
            <w:tcBorders>
              <w:top w:val="single" w:sz="4" w:space="0" w:color="auto"/>
              <w:left w:val="nil"/>
              <w:bottom w:val="single" w:sz="4" w:space="0" w:color="auto"/>
              <w:right w:val="single" w:sz="4" w:space="0" w:color="000000"/>
            </w:tcBorders>
            <w:shd w:val="clear" w:color="000000" w:fill="FFFFFF"/>
            <w:vAlign w:val="center"/>
          </w:tcPr>
          <w:p w14:paraId="48878AFB" w14:textId="77777777" w:rsidR="00267AB0" w:rsidRPr="008A1C41" w:rsidRDefault="00267AB0" w:rsidP="00AA653D">
            <w:pPr>
              <w:jc w:val="center"/>
              <w:rPr>
                <w:rFonts w:ascii="Tahoma" w:hAnsi="Tahoma" w:cs="Tahoma"/>
                <w:sz w:val="20"/>
                <w:szCs w:val="20"/>
              </w:rPr>
            </w:pPr>
            <w:r w:rsidRPr="008A1C41">
              <w:rPr>
                <w:rFonts w:ascii="Tahoma" w:hAnsi="Tahoma" w:cs="Tahoma"/>
                <w:sz w:val="20"/>
                <w:szCs w:val="20"/>
              </w:rPr>
              <w:t>Требуется</w:t>
            </w:r>
          </w:p>
        </w:tc>
      </w:tr>
      <w:tr w:rsidR="00267AB0" w:rsidRPr="00610AD5" w14:paraId="26EDB834" w14:textId="77777777" w:rsidTr="00AA653D">
        <w:trPr>
          <w:trHeight w:val="417"/>
        </w:trPr>
        <w:tc>
          <w:tcPr>
            <w:tcW w:w="4355" w:type="dxa"/>
            <w:tcBorders>
              <w:top w:val="single" w:sz="4" w:space="0" w:color="auto"/>
              <w:left w:val="single" w:sz="8" w:space="0" w:color="auto"/>
              <w:bottom w:val="single" w:sz="4" w:space="0" w:color="auto"/>
              <w:right w:val="single" w:sz="4" w:space="0" w:color="000000"/>
            </w:tcBorders>
            <w:shd w:val="clear" w:color="auto" w:fill="auto"/>
            <w:vAlign w:val="center"/>
          </w:tcPr>
          <w:p w14:paraId="7434C305" w14:textId="77777777" w:rsidR="00267AB0" w:rsidRPr="008A1C41" w:rsidRDefault="00267AB0" w:rsidP="00AA653D">
            <w:pPr>
              <w:rPr>
                <w:rFonts w:ascii="Tahoma" w:hAnsi="Tahoma" w:cs="Tahoma"/>
                <w:b/>
                <w:bCs/>
                <w:sz w:val="20"/>
                <w:szCs w:val="20"/>
              </w:rPr>
            </w:pPr>
            <w:r w:rsidRPr="008A1C41">
              <w:rPr>
                <w:rFonts w:ascii="Tahoma" w:hAnsi="Tahoma" w:cs="Tahoma"/>
                <w:b/>
                <w:bCs/>
                <w:sz w:val="20"/>
                <w:szCs w:val="20"/>
              </w:rPr>
              <w:t>Срок рассмотрения оформленного Заемщиком заявления о предоставлении потребительского Кредита и принятия Кредитором решения относительно этого заявления</w:t>
            </w:r>
          </w:p>
        </w:tc>
        <w:tc>
          <w:tcPr>
            <w:tcW w:w="11056" w:type="dxa"/>
            <w:gridSpan w:val="8"/>
            <w:tcBorders>
              <w:top w:val="single" w:sz="4" w:space="0" w:color="auto"/>
              <w:left w:val="nil"/>
              <w:bottom w:val="single" w:sz="4" w:space="0" w:color="auto"/>
              <w:right w:val="single" w:sz="4" w:space="0" w:color="000000"/>
            </w:tcBorders>
            <w:shd w:val="clear" w:color="000000" w:fill="FFFFFF"/>
            <w:vAlign w:val="center"/>
          </w:tcPr>
          <w:p w14:paraId="272A9047" w14:textId="77777777" w:rsidR="00267AB0" w:rsidRPr="008A1C41" w:rsidRDefault="00267AB0" w:rsidP="00AA653D">
            <w:pPr>
              <w:jc w:val="both"/>
              <w:rPr>
                <w:rFonts w:ascii="Tahoma" w:hAnsi="Tahoma" w:cs="Tahoma"/>
                <w:sz w:val="20"/>
                <w:szCs w:val="20"/>
              </w:rPr>
            </w:pPr>
            <w:r w:rsidRPr="008A1C41">
              <w:rPr>
                <w:rFonts w:ascii="Tahoma" w:hAnsi="Tahoma" w:cs="Tahoma"/>
                <w:sz w:val="20"/>
                <w:szCs w:val="20"/>
              </w:rPr>
              <w:t>Решение принимается в течение 2-х рабочих дней при отсутствии залога по Кредиту, в течение 3-х рабочих дней - при наличии залога по Кредиту. Срок рассмотрения исчисляется с момента предоставления Заемщиком полного пакета документов. Срок рассмотрения заявления Заемщика о предоставлении потребительского Кредита может быть увеличен Банком в случае, если Банку требуется получить дополнительную информацию и/или документы, необходимые для принятия решения.</w:t>
            </w:r>
          </w:p>
        </w:tc>
      </w:tr>
      <w:tr w:rsidR="00267AB0" w:rsidRPr="00610AD5" w14:paraId="63C4C26C" w14:textId="77777777" w:rsidTr="00AA653D">
        <w:trPr>
          <w:trHeight w:val="417"/>
        </w:trPr>
        <w:tc>
          <w:tcPr>
            <w:tcW w:w="4355" w:type="dxa"/>
            <w:tcBorders>
              <w:top w:val="single" w:sz="4" w:space="0" w:color="auto"/>
              <w:left w:val="single" w:sz="8" w:space="0" w:color="auto"/>
              <w:bottom w:val="single" w:sz="4" w:space="0" w:color="auto"/>
              <w:right w:val="single" w:sz="4" w:space="0" w:color="000000"/>
            </w:tcBorders>
            <w:shd w:val="clear" w:color="auto" w:fill="auto"/>
            <w:vAlign w:val="center"/>
          </w:tcPr>
          <w:p w14:paraId="08C07684" w14:textId="77777777" w:rsidR="00267AB0" w:rsidRPr="008A1C41" w:rsidRDefault="00267AB0" w:rsidP="00AA653D">
            <w:pPr>
              <w:rPr>
                <w:rFonts w:ascii="Tahoma" w:hAnsi="Tahoma" w:cs="Tahoma"/>
                <w:b/>
                <w:bCs/>
                <w:sz w:val="20"/>
                <w:szCs w:val="20"/>
              </w:rPr>
            </w:pPr>
            <w:r w:rsidRPr="008A1C41">
              <w:rPr>
                <w:rFonts w:ascii="Tahoma" w:hAnsi="Tahoma" w:cs="Tahoma"/>
                <w:b/>
                <w:bCs/>
                <w:sz w:val="20"/>
                <w:szCs w:val="20"/>
              </w:rPr>
              <w:t>Порядок погашения Кредита (периодичность платежей Заемщика при возврате потребительского Кредита, процентов и иных платежей по Кредиту)</w:t>
            </w:r>
          </w:p>
        </w:tc>
        <w:tc>
          <w:tcPr>
            <w:tcW w:w="11056" w:type="dxa"/>
            <w:gridSpan w:val="8"/>
            <w:tcBorders>
              <w:top w:val="single" w:sz="4" w:space="0" w:color="auto"/>
              <w:left w:val="nil"/>
              <w:bottom w:val="single" w:sz="4" w:space="0" w:color="auto"/>
              <w:right w:val="single" w:sz="4" w:space="0" w:color="000000"/>
            </w:tcBorders>
            <w:shd w:val="clear" w:color="000000" w:fill="FFFFFF"/>
            <w:vAlign w:val="center"/>
          </w:tcPr>
          <w:p w14:paraId="5A8F4E57" w14:textId="77777777" w:rsidR="00267AB0" w:rsidRPr="008A1C41" w:rsidRDefault="00267AB0" w:rsidP="00AA653D">
            <w:pPr>
              <w:jc w:val="center"/>
              <w:rPr>
                <w:rFonts w:ascii="Tahoma" w:hAnsi="Tahoma" w:cs="Tahoma"/>
                <w:sz w:val="20"/>
                <w:szCs w:val="20"/>
              </w:rPr>
            </w:pPr>
            <w:r w:rsidRPr="008A1C41">
              <w:rPr>
                <w:rFonts w:ascii="Tahoma" w:hAnsi="Tahoma" w:cs="Tahoma"/>
                <w:sz w:val="20"/>
                <w:szCs w:val="20"/>
              </w:rPr>
              <w:t xml:space="preserve">Ежемесячно аннуитетными платежами (отсрочка платежа не предусмотрена). </w:t>
            </w:r>
          </w:p>
          <w:p w14:paraId="46BD35C6" w14:textId="77777777" w:rsidR="00267AB0" w:rsidRPr="008A1C41" w:rsidRDefault="00267AB0" w:rsidP="00AA653D">
            <w:pPr>
              <w:jc w:val="center"/>
              <w:rPr>
                <w:rFonts w:ascii="Tahoma" w:hAnsi="Tahoma" w:cs="Tahoma"/>
                <w:sz w:val="20"/>
                <w:szCs w:val="20"/>
              </w:rPr>
            </w:pPr>
            <w:r w:rsidRPr="008A1C41">
              <w:rPr>
                <w:rFonts w:ascii="Tahoma" w:hAnsi="Tahoma" w:cs="Tahoma"/>
                <w:sz w:val="20"/>
                <w:szCs w:val="20"/>
              </w:rPr>
              <w:t>Допускается досрочное погашение Кредита, в том числе частичное (в соответствии с порядком, установленным Договором)</w:t>
            </w:r>
          </w:p>
        </w:tc>
      </w:tr>
      <w:tr w:rsidR="00267AB0" w:rsidRPr="00610AD5" w14:paraId="5563D9B0" w14:textId="77777777" w:rsidTr="00AA653D">
        <w:trPr>
          <w:trHeight w:val="468"/>
        </w:trPr>
        <w:tc>
          <w:tcPr>
            <w:tcW w:w="4355" w:type="dxa"/>
            <w:vMerge w:val="restart"/>
            <w:tcBorders>
              <w:left w:val="single" w:sz="8" w:space="0" w:color="auto"/>
              <w:right w:val="single" w:sz="4" w:space="0" w:color="000000"/>
            </w:tcBorders>
            <w:shd w:val="clear" w:color="auto" w:fill="auto"/>
            <w:vAlign w:val="center"/>
          </w:tcPr>
          <w:p w14:paraId="0E638CBE" w14:textId="77777777" w:rsidR="00267AB0" w:rsidRPr="00610AD5" w:rsidRDefault="00267AB0" w:rsidP="00AA653D">
            <w:pPr>
              <w:rPr>
                <w:rFonts w:ascii="Tahoma" w:hAnsi="Tahoma" w:cs="Tahoma"/>
                <w:b/>
                <w:bCs/>
                <w:sz w:val="20"/>
                <w:szCs w:val="20"/>
              </w:rPr>
            </w:pPr>
            <w:r w:rsidRPr="00610AD5">
              <w:rPr>
                <w:rFonts w:ascii="Tahoma" w:hAnsi="Tahoma" w:cs="Tahoma"/>
                <w:b/>
                <w:bCs/>
                <w:sz w:val="20"/>
                <w:szCs w:val="20"/>
              </w:rPr>
              <w:t>Параметры продукта</w:t>
            </w:r>
          </w:p>
        </w:tc>
        <w:tc>
          <w:tcPr>
            <w:tcW w:w="11056" w:type="dxa"/>
            <w:gridSpan w:val="8"/>
            <w:tcBorders>
              <w:top w:val="single" w:sz="4" w:space="0" w:color="auto"/>
              <w:left w:val="nil"/>
              <w:bottom w:val="single" w:sz="4" w:space="0" w:color="auto"/>
              <w:right w:val="single" w:sz="4" w:space="0" w:color="000000"/>
            </w:tcBorders>
            <w:shd w:val="clear" w:color="000000" w:fill="FFFFFF"/>
            <w:vAlign w:val="center"/>
          </w:tcPr>
          <w:p w14:paraId="1C1B10E5" w14:textId="77777777" w:rsidR="00267AB0" w:rsidRPr="00610AD5" w:rsidRDefault="00267AB0" w:rsidP="00AA653D">
            <w:pPr>
              <w:jc w:val="center"/>
              <w:rPr>
                <w:rFonts w:ascii="Tahoma" w:hAnsi="Tahoma" w:cs="Tahoma"/>
                <w:sz w:val="20"/>
                <w:szCs w:val="20"/>
              </w:rPr>
            </w:pPr>
            <w:r w:rsidRPr="00610AD5">
              <w:rPr>
                <w:rFonts w:ascii="Tahoma" w:hAnsi="Tahoma" w:cs="Tahoma"/>
                <w:sz w:val="20"/>
                <w:szCs w:val="20"/>
              </w:rPr>
              <w:t xml:space="preserve">Определяется индивидуально, исходя из наличия/отсутствия положительной кредитной истории (ПКИ), наличия </w:t>
            </w:r>
            <w:r>
              <w:rPr>
                <w:rFonts w:ascii="Tahoma" w:hAnsi="Tahoma" w:cs="Tahoma"/>
                <w:sz w:val="20"/>
                <w:szCs w:val="20"/>
              </w:rPr>
              <w:t xml:space="preserve">поручительства, </w:t>
            </w:r>
            <w:r w:rsidRPr="00610AD5">
              <w:rPr>
                <w:rFonts w:ascii="Tahoma" w:hAnsi="Tahoma" w:cs="Tahoma"/>
                <w:sz w:val="20"/>
                <w:szCs w:val="20"/>
              </w:rPr>
              <w:t>залога.</w:t>
            </w:r>
          </w:p>
        </w:tc>
      </w:tr>
      <w:tr w:rsidR="00267AB0" w:rsidRPr="00610AD5" w14:paraId="68A7C7CA" w14:textId="77777777" w:rsidTr="00AA653D">
        <w:trPr>
          <w:trHeight w:val="467"/>
        </w:trPr>
        <w:tc>
          <w:tcPr>
            <w:tcW w:w="4355" w:type="dxa"/>
            <w:vMerge/>
            <w:tcBorders>
              <w:left w:val="single" w:sz="8" w:space="0" w:color="auto"/>
              <w:right w:val="single" w:sz="4" w:space="0" w:color="000000"/>
            </w:tcBorders>
            <w:shd w:val="clear" w:color="auto" w:fill="auto"/>
            <w:vAlign w:val="center"/>
          </w:tcPr>
          <w:p w14:paraId="72A30D20" w14:textId="77777777" w:rsidR="00267AB0" w:rsidRPr="00610AD5" w:rsidRDefault="00267AB0" w:rsidP="00AA653D">
            <w:pPr>
              <w:rPr>
                <w:rFonts w:ascii="Tahoma" w:hAnsi="Tahoma" w:cs="Tahoma"/>
                <w:b/>
                <w:bCs/>
                <w:sz w:val="20"/>
                <w:szCs w:val="20"/>
              </w:rPr>
            </w:pPr>
          </w:p>
        </w:tc>
        <w:tc>
          <w:tcPr>
            <w:tcW w:w="1042" w:type="dxa"/>
            <w:tcBorders>
              <w:top w:val="single" w:sz="4" w:space="0" w:color="auto"/>
              <w:left w:val="nil"/>
              <w:bottom w:val="single" w:sz="4" w:space="0" w:color="auto"/>
              <w:right w:val="single" w:sz="4" w:space="0" w:color="000000"/>
            </w:tcBorders>
            <w:shd w:val="clear" w:color="000000" w:fill="FFFFFF"/>
          </w:tcPr>
          <w:p w14:paraId="743B7CCF" w14:textId="77777777" w:rsidR="00267AB0" w:rsidRPr="00610AD5" w:rsidRDefault="00267AB0" w:rsidP="00AA653D">
            <w:pPr>
              <w:rPr>
                <w:rFonts w:ascii="Tahoma" w:hAnsi="Tahoma" w:cs="Tahoma"/>
                <w:sz w:val="20"/>
                <w:szCs w:val="20"/>
              </w:rPr>
            </w:pPr>
            <w:r w:rsidRPr="00610AD5">
              <w:rPr>
                <w:rFonts w:ascii="Tahoma" w:hAnsi="Tahoma" w:cs="Tahoma"/>
                <w:sz w:val="20"/>
                <w:szCs w:val="20"/>
              </w:rPr>
              <w:t>Продукт</w:t>
            </w:r>
          </w:p>
        </w:tc>
        <w:tc>
          <w:tcPr>
            <w:tcW w:w="1843" w:type="dxa"/>
            <w:tcBorders>
              <w:top w:val="single" w:sz="4" w:space="0" w:color="auto"/>
              <w:left w:val="nil"/>
              <w:bottom w:val="single" w:sz="4" w:space="0" w:color="auto"/>
              <w:right w:val="single" w:sz="4" w:space="0" w:color="000000"/>
            </w:tcBorders>
            <w:shd w:val="clear" w:color="000000" w:fill="FFFFFF"/>
          </w:tcPr>
          <w:p w14:paraId="292FF887" w14:textId="77777777" w:rsidR="00267AB0" w:rsidRPr="008A1C41" w:rsidRDefault="00267AB0" w:rsidP="00AA653D">
            <w:pPr>
              <w:rPr>
                <w:rFonts w:ascii="Tahoma" w:hAnsi="Tahoma" w:cs="Tahoma"/>
                <w:sz w:val="20"/>
                <w:szCs w:val="20"/>
              </w:rPr>
            </w:pPr>
            <w:r w:rsidRPr="008A1C41">
              <w:rPr>
                <w:rFonts w:ascii="Tahoma" w:hAnsi="Tahoma" w:cs="Tahoma"/>
                <w:sz w:val="20"/>
                <w:szCs w:val="20"/>
              </w:rPr>
              <w:t xml:space="preserve">Максимальная сумма </w:t>
            </w:r>
            <w:r w:rsidRPr="00066D7B">
              <w:rPr>
                <w:rFonts w:ascii="Tahoma" w:hAnsi="Tahoma" w:cs="Tahoma"/>
                <w:sz w:val="20"/>
                <w:szCs w:val="20"/>
                <w:vertAlign w:val="superscript"/>
              </w:rPr>
              <w:t>2</w:t>
            </w:r>
          </w:p>
        </w:tc>
        <w:tc>
          <w:tcPr>
            <w:tcW w:w="1984" w:type="dxa"/>
            <w:gridSpan w:val="2"/>
            <w:tcBorders>
              <w:top w:val="single" w:sz="4" w:space="0" w:color="auto"/>
              <w:left w:val="nil"/>
              <w:bottom w:val="single" w:sz="4" w:space="0" w:color="auto"/>
              <w:right w:val="single" w:sz="4" w:space="0" w:color="000000"/>
            </w:tcBorders>
            <w:shd w:val="clear" w:color="000000" w:fill="FFFFFF"/>
          </w:tcPr>
          <w:p w14:paraId="305E191A" w14:textId="77777777" w:rsidR="00267AB0" w:rsidRPr="008A1C41" w:rsidRDefault="00267AB0" w:rsidP="00AA653D">
            <w:pPr>
              <w:rPr>
                <w:rFonts w:ascii="Tahoma" w:hAnsi="Tahoma" w:cs="Tahoma"/>
                <w:sz w:val="20"/>
                <w:szCs w:val="20"/>
              </w:rPr>
            </w:pPr>
            <w:r w:rsidRPr="008A1C41">
              <w:rPr>
                <w:rFonts w:ascii="Tahoma" w:hAnsi="Tahoma" w:cs="Tahoma"/>
                <w:sz w:val="20"/>
                <w:szCs w:val="20"/>
              </w:rPr>
              <w:t>Базовая процентная ставка (в процентах годовых)</w:t>
            </w:r>
          </w:p>
        </w:tc>
        <w:tc>
          <w:tcPr>
            <w:tcW w:w="1559" w:type="dxa"/>
            <w:tcBorders>
              <w:top w:val="single" w:sz="4" w:space="0" w:color="auto"/>
              <w:left w:val="nil"/>
              <w:bottom w:val="single" w:sz="4" w:space="0" w:color="auto"/>
              <w:right w:val="single" w:sz="4" w:space="0" w:color="000000"/>
            </w:tcBorders>
            <w:shd w:val="clear" w:color="000000" w:fill="FFFFFF"/>
          </w:tcPr>
          <w:p w14:paraId="24F5CDEB" w14:textId="77777777" w:rsidR="00267AB0" w:rsidRPr="008A1C41" w:rsidRDefault="00267AB0" w:rsidP="00AA653D">
            <w:pPr>
              <w:rPr>
                <w:rFonts w:ascii="Tahoma" w:hAnsi="Tahoma" w:cs="Tahoma"/>
                <w:sz w:val="20"/>
                <w:szCs w:val="20"/>
              </w:rPr>
            </w:pPr>
            <w:r w:rsidRPr="008A1C41">
              <w:rPr>
                <w:rFonts w:ascii="Tahoma" w:hAnsi="Tahoma" w:cs="Tahoma"/>
                <w:sz w:val="20"/>
                <w:szCs w:val="20"/>
              </w:rPr>
              <w:t>Срок Кредита</w:t>
            </w:r>
          </w:p>
        </w:tc>
        <w:tc>
          <w:tcPr>
            <w:tcW w:w="2127" w:type="dxa"/>
            <w:tcBorders>
              <w:top w:val="single" w:sz="4" w:space="0" w:color="auto"/>
              <w:left w:val="nil"/>
              <w:bottom w:val="single" w:sz="4" w:space="0" w:color="auto"/>
              <w:right w:val="single" w:sz="4" w:space="0" w:color="000000"/>
            </w:tcBorders>
            <w:shd w:val="clear" w:color="000000" w:fill="FFFFFF"/>
          </w:tcPr>
          <w:p w14:paraId="04E97130" w14:textId="77777777" w:rsidR="00267AB0" w:rsidRPr="008A1C41" w:rsidRDefault="00267AB0" w:rsidP="00AA653D">
            <w:pPr>
              <w:rPr>
                <w:rFonts w:ascii="Tahoma" w:hAnsi="Tahoma" w:cs="Tahoma"/>
                <w:sz w:val="20"/>
                <w:szCs w:val="20"/>
              </w:rPr>
            </w:pPr>
            <w:r w:rsidRPr="008A1C41">
              <w:rPr>
                <w:rFonts w:ascii="Tahoma" w:hAnsi="Tahoma" w:cs="Tahoma"/>
                <w:sz w:val="20"/>
                <w:szCs w:val="20"/>
              </w:rPr>
              <w:t>Залог</w:t>
            </w:r>
          </w:p>
        </w:tc>
        <w:tc>
          <w:tcPr>
            <w:tcW w:w="2501" w:type="dxa"/>
            <w:gridSpan w:val="2"/>
            <w:tcBorders>
              <w:top w:val="single" w:sz="4" w:space="0" w:color="auto"/>
              <w:left w:val="nil"/>
              <w:bottom w:val="single" w:sz="4" w:space="0" w:color="auto"/>
              <w:right w:val="single" w:sz="4" w:space="0" w:color="000000"/>
            </w:tcBorders>
            <w:shd w:val="clear" w:color="000000" w:fill="FFFFFF"/>
          </w:tcPr>
          <w:p w14:paraId="0AA7F67D" w14:textId="77777777" w:rsidR="00267AB0" w:rsidRPr="008A1C41" w:rsidRDefault="00267AB0" w:rsidP="00AA653D">
            <w:pPr>
              <w:rPr>
                <w:rFonts w:ascii="Tahoma" w:hAnsi="Tahoma" w:cs="Tahoma"/>
                <w:sz w:val="20"/>
                <w:szCs w:val="20"/>
              </w:rPr>
            </w:pPr>
            <w:r w:rsidRPr="008A1C41">
              <w:rPr>
                <w:rFonts w:ascii="Tahoma" w:hAnsi="Tahoma" w:cs="Tahoma"/>
                <w:sz w:val="20"/>
                <w:szCs w:val="20"/>
              </w:rPr>
              <w:t>Поручительство</w:t>
            </w:r>
          </w:p>
        </w:tc>
      </w:tr>
      <w:tr w:rsidR="00267AB0" w:rsidRPr="00610AD5" w14:paraId="1C594640" w14:textId="77777777" w:rsidTr="00AA653D">
        <w:trPr>
          <w:trHeight w:val="276"/>
        </w:trPr>
        <w:tc>
          <w:tcPr>
            <w:tcW w:w="4355" w:type="dxa"/>
            <w:vMerge/>
            <w:tcBorders>
              <w:left w:val="single" w:sz="8" w:space="0" w:color="auto"/>
              <w:right w:val="single" w:sz="4" w:space="0" w:color="000000"/>
            </w:tcBorders>
            <w:shd w:val="clear" w:color="auto" w:fill="auto"/>
            <w:vAlign w:val="center"/>
          </w:tcPr>
          <w:p w14:paraId="07A87AEF" w14:textId="77777777" w:rsidR="00267AB0" w:rsidRPr="00610AD5" w:rsidRDefault="00267AB0" w:rsidP="00AA653D">
            <w:pPr>
              <w:rPr>
                <w:rFonts w:ascii="Tahoma" w:hAnsi="Tahoma" w:cs="Tahoma"/>
                <w:b/>
                <w:bCs/>
                <w:sz w:val="20"/>
                <w:szCs w:val="20"/>
              </w:rPr>
            </w:pPr>
          </w:p>
        </w:tc>
        <w:tc>
          <w:tcPr>
            <w:tcW w:w="11056" w:type="dxa"/>
            <w:gridSpan w:val="8"/>
            <w:tcBorders>
              <w:top w:val="single" w:sz="4" w:space="0" w:color="auto"/>
              <w:left w:val="nil"/>
              <w:bottom w:val="single" w:sz="4" w:space="0" w:color="auto"/>
              <w:right w:val="single" w:sz="4" w:space="0" w:color="000000"/>
            </w:tcBorders>
            <w:shd w:val="clear" w:color="000000" w:fill="FFFFFF"/>
            <w:vAlign w:val="center"/>
          </w:tcPr>
          <w:p w14:paraId="6580E18A" w14:textId="77777777" w:rsidR="00267AB0" w:rsidRPr="008A1C41" w:rsidRDefault="00267AB0" w:rsidP="00AA653D">
            <w:pPr>
              <w:rPr>
                <w:rFonts w:ascii="Tahoma" w:hAnsi="Tahoma" w:cs="Tahoma"/>
                <w:sz w:val="20"/>
                <w:szCs w:val="20"/>
              </w:rPr>
            </w:pPr>
            <w:r w:rsidRPr="008A1C41">
              <w:rPr>
                <w:rFonts w:ascii="Tahoma" w:hAnsi="Tahoma" w:cs="Tahoma"/>
                <w:b/>
                <w:sz w:val="20"/>
                <w:szCs w:val="20"/>
              </w:rPr>
              <w:t xml:space="preserve">ПКИ </w:t>
            </w:r>
            <w:r>
              <w:rPr>
                <w:rFonts w:ascii="Tahoma" w:hAnsi="Tahoma" w:cs="Tahoma"/>
                <w:b/>
                <w:sz w:val="20"/>
                <w:szCs w:val="20"/>
              </w:rPr>
              <w:t>от 0 и до</w:t>
            </w:r>
            <w:r w:rsidRPr="008A1C41">
              <w:rPr>
                <w:rFonts w:ascii="Tahoma" w:hAnsi="Tahoma" w:cs="Tahoma"/>
                <w:b/>
                <w:sz w:val="20"/>
                <w:szCs w:val="20"/>
              </w:rPr>
              <w:t xml:space="preserve"> 1 млн. руб.</w:t>
            </w:r>
            <w:r>
              <w:rPr>
                <w:rFonts w:ascii="Tahoma" w:hAnsi="Tahoma" w:cs="Tahoma"/>
                <w:b/>
                <w:sz w:val="20"/>
                <w:szCs w:val="20"/>
              </w:rPr>
              <w:t xml:space="preserve"> (включительно)</w:t>
            </w:r>
          </w:p>
        </w:tc>
      </w:tr>
      <w:tr w:rsidR="00267AB0" w:rsidRPr="00610AD5" w14:paraId="541D7F96" w14:textId="77777777" w:rsidTr="00AA653D">
        <w:trPr>
          <w:trHeight w:val="467"/>
        </w:trPr>
        <w:tc>
          <w:tcPr>
            <w:tcW w:w="4355" w:type="dxa"/>
            <w:vMerge/>
            <w:tcBorders>
              <w:left w:val="single" w:sz="8" w:space="0" w:color="auto"/>
              <w:right w:val="single" w:sz="4" w:space="0" w:color="000000"/>
            </w:tcBorders>
            <w:shd w:val="clear" w:color="auto" w:fill="auto"/>
            <w:vAlign w:val="center"/>
          </w:tcPr>
          <w:p w14:paraId="27E8B3EF" w14:textId="77777777" w:rsidR="00267AB0" w:rsidRPr="00610AD5" w:rsidRDefault="00267AB0" w:rsidP="00AA653D">
            <w:pPr>
              <w:rPr>
                <w:rFonts w:ascii="Tahoma" w:hAnsi="Tahoma" w:cs="Tahoma"/>
                <w:b/>
                <w:bCs/>
                <w:sz w:val="20"/>
                <w:szCs w:val="20"/>
              </w:rPr>
            </w:pPr>
          </w:p>
        </w:tc>
        <w:tc>
          <w:tcPr>
            <w:tcW w:w="1042" w:type="dxa"/>
            <w:tcBorders>
              <w:top w:val="single" w:sz="4" w:space="0" w:color="auto"/>
              <w:left w:val="nil"/>
              <w:bottom w:val="single" w:sz="4" w:space="0" w:color="auto"/>
              <w:right w:val="single" w:sz="4" w:space="0" w:color="000000"/>
            </w:tcBorders>
            <w:shd w:val="clear" w:color="000000" w:fill="FFFFFF"/>
            <w:vAlign w:val="center"/>
          </w:tcPr>
          <w:p w14:paraId="254B9185" w14:textId="77777777" w:rsidR="00267AB0" w:rsidRPr="00610AD5" w:rsidRDefault="00267AB0" w:rsidP="00AA653D">
            <w:pPr>
              <w:jc w:val="center"/>
              <w:rPr>
                <w:rFonts w:ascii="Tahoma" w:hAnsi="Tahoma" w:cs="Tahoma"/>
                <w:sz w:val="20"/>
                <w:szCs w:val="20"/>
              </w:rPr>
            </w:pPr>
            <w:r w:rsidRPr="00610AD5">
              <w:rPr>
                <w:rFonts w:ascii="Tahoma" w:hAnsi="Tahoma" w:cs="Tahoma"/>
                <w:sz w:val="20"/>
                <w:szCs w:val="20"/>
              </w:rPr>
              <w:t>Кредит без залога</w:t>
            </w:r>
          </w:p>
        </w:tc>
        <w:tc>
          <w:tcPr>
            <w:tcW w:w="1843" w:type="dxa"/>
            <w:tcBorders>
              <w:top w:val="single" w:sz="4" w:space="0" w:color="auto"/>
              <w:left w:val="nil"/>
              <w:bottom w:val="single" w:sz="4" w:space="0" w:color="auto"/>
              <w:right w:val="single" w:sz="4" w:space="0" w:color="000000"/>
            </w:tcBorders>
            <w:shd w:val="clear" w:color="000000" w:fill="FFFFFF"/>
            <w:vAlign w:val="center"/>
          </w:tcPr>
          <w:p w14:paraId="5F1A6FE9" w14:textId="77777777" w:rsidR="00267AB0" w:rsidRPr="008A1C41" w:rsidRDefault="00267AB0" w:rsidP="00AA653D">
            <w:pPr>
              <w:jc w:val="center"/>
              <w:rPr>
                <w:rFonts w:ascii="Tahoma" w:hAnsi="Tahoma" w:cs="Tahoma"/>
                <w:sz w:val="20"/>
                <w:szCs w:val="20"/>
              </w:rPr>
            </w:pPr>
            <w:r>
              <w:rPr>
                <w:rFonts w:ascii="Tahoma" w:hAnsi="Tahoma" w:cs="Tahoma"/>
                <w:sz w:val="20"/>
                <w:szCs w:val="20"/>
              </w:rPr>
              <w:t xml:space="preserve">До </w:t>
            </w:r>
            <w:r w:rsidRPr="008A1C41">
              <w:rPr>
                <w:rFonts w:ascii="Tahoma" w:hAnsi="Tahoma" w:cs="Tahoma"/>
                <w:sz w:val="20"/>
                <w:szCs w:val="20"/>
              </w:rPr>
              <w:t xml:space="preserve">1 500 000 </w:t>
            </w:r>
            <w:r w:rsidRPr="008A1C41">
              <w:rPr>
                <w:rFonts w:ascii="Tahoma" w:hAnsi="Tahoma" w:cs="Tahoma"/>
                <w:sz w:val="20"/>
                <w:szCs w:val="20"/>
                <w:vertAlign w:val="superscript"/>
              </w:rPr>
              <w:t>3</w:t>
            </w:r>
            <w:r w:rsidRPr="008A1C41">
              <w:rPr>
                <w:rFonts w:ascii="Tahoma" w:hAnsi="Tahoma" w:cs="Tahoma"/>
                <w:sz w:val="20"/>
                <w:szCs w:val="20"/>
              </w:rPr>
              <w:t xml:space="preserve"> </w:t>
            </w:r>
          </w:p>
        </w:tc>
        <w:tc>
          <w:tcPr>
            <w:tcW w:w="1984" w:type="dxa"/>
            <w:gridSpan w:val="2"/>
            <w:tcBorders>
              <w:top w:val="single" w:sz="4" w:space="0" w:color="auto"/>
              <w:left w:val="nil"/>
              <w:bottom w:val="single" w:sz="4" w:space="0" w:color="auto"/>
              <w:right w:val="single" w:sz="4" w:space="0" w:color="000000"/>
            </w:tcBorders>
            <w:shd w:val="clear" w:color="000000" w:fill="FFFFFF"/>
            <w:vAlign w:val="center"/>
          </w:tcPr>
          <w:p w14:paraId="14441A42" w14:textId="77777777" w:rsidR="00267AB0" w:rsidRDefault="00267AB0" w:rsidP="00AA653D">
            <w:pPr>
              <w:jc w:val="center"/>
              <w:rPr>
                <w:rFonts w:ascii="Tahoma" w:hAnsi="Tahoma" w:cs="Tahoma"/>
                <w:sz w:val="20"/>
                <w:szCs w:val="20"/>
              </w:rPr>
            </w:pPr>
            <w:r>
              <w:rPr>
                <w:rFonts w:ascii="Tahoma" w:hAnsi="Tahoma" w:cs="Tahoma"/>
                <w:sz w:val="20"/>
                <w:szCs w:val="20"/>
              </w:rPr>
              <w:t>24,25%</w:t>
            </w:r>
          </w:p>
        </w:tc>
        <w:tc>
          <w:tcPr>
            <w:tcW w:w="1559" w:type="dxa"/>
            <w:tcBorders>
              <w:top w:val="single" w:sz="4" w:space="0" w:color="auto"/>
              <w:left w:val="nil"/>
              <w:bottom w:val="single" w:sz="4" w:space="0" w:color="auto"/>
              <w:right w:val="single" w:sz="4" w:space="0" w:color="000000"/>
            </w:tcBorders>
            <w:shd w:val="clear" w:color="000000" w:fill="FFFFFF"/>
            <w:vAlign w:val="center"/>
          </w:tcPr>
          <w:p w14:paraId="13B01CF0" w14:textId="77777777" w:rsidR="00267AB0" w:rsidRPr="00365DBD" w:rsidRDefault="00267AB0" w:rsidP="00AA653D">
            <w:pPr>
              <w:jc w:val="center"/>
              <w:rPr>
                <w:rFonts w:ascii="Tahoma" w:hAnsi="Tahoma" w:cs="Tahoma"/>
                <w:sz w:val="20"/>
                <w:szCs w:val="20"/>
              </w:rPr>
            </w:pPr>
            <w:r w:rsidRPr="00365DBD">
              <w:rPr>
                <w:rFonts w:ascii="Tahoma" w:hAnsi="Tahoma" w:cs="Tahoma"/>
                <w:sz w:val="20"/>
                <w:szCs w:val="20"/>
              </w:rPr>
              <w:t>от 13 до 24 месяцев включительно</w:t>
            </w:r>
          </w:p>
        </w:tc>
        <w:tc>
          <w:tcPr>
            <w:tcW w:w="2127" w:type="dxa"/>
            <w:tcBorders>
              <w:top w:val="single" w:sz="4" w:space="0" w:color="auto"/>
              <w:left w:val="nil"/>
              <w:bottom w:val="single" w:sz="4" w:space="0" w:color="auto"/>
              <w:right w:val="single" w:sz="4" w:space="0" w:color="000000"/>
            </w:tcBorders>
            <w:shd w:val="clear" w:color="000000" w:fill="FFFFFF"/>
            <w:vAlign w:val="center"/>
          </w:tcPr>
          <w:p w14:paraId="6652D730" w14:textId="77777777" w:rsidR="00267AB0" w:rsidRPr="008A1C41" w:rsidRDefault="00267AB0" w:rsidP="00AA653D">
            <w:pPr>
              <w:jc w:val="center"/>
              <w:rPr>
                <w:rFonts w:ascii="Tahoma" w:hAnsi="Tahoma" w:cs="Tahoma"/>
                <w:b/>
                <w:sz w:val="20"/>
                <w:szCs w:val="20"/>
              </w:rPr>
            </w:pPr>
            <w:r w:rsidRPr="008A1C41">
              <w:rPr>
                <w:rFonts w:ascii="Tahoma" w:hAnsi="Tahoma" w:cs="Tahoma"/>
                <w:sz w:val="20"/>
                <w:szCs w:val="20"/>
              </w:rPr>
              <w:t>Не требуется</w:t>
            </w:r>
            <w:r w:rsidRPr="008A1C41">
              <w:rPr>
                <w:rFonts w:ascii="Tahoma" w:hAnsi="Tahoma" w:cs="Tahoma"/>
                <w:sz w:val="20"/>
                <w:szCs w:val="20"/>
              </w:rPr>
              <w:br/>
              <w:t xml:space="preserve">(по желанию Заемщика для снижения процентной ставки и/или увеличения суммы Кредита может быть предоставлен </w:t>
            </w:r>
            <w:r>
              <w:rPr>
                <w:rFonts w:ascii="Tahoma" w:hAnsi="Tahoma" w:cs="Tahoma"/>
                <w:sz w:val="20"/>
                <w:szCs w:val="20"/>
              </w:rPr>
              <w:t xml:space="preserve">твердый </w:t>
            </w:r>
            <w:r w:rsidRPr="008A1C41">
              <w:rPr>
                <w:rFonts w:ascii="Tahoma" w:hAnsi="Tahoma" w:cs="Tahoma"/>
                <w:sz w:val="20"/>
                <w:szCs w:val="20"/>
              </w:rPr>
              <w:t>залог)</w:t>
            </w:r>
          </w:p>
        </w:tc>
        <w:tc>
          <w:tcPr>
            <w:tcW w:w="2501" w:type="dxa"/>
            <w:gridSpan w:val="2"/>
            <w:vMerge w:val="restart"/>
            <w:tcBorders>
              <w:top w:val="single" w:sz="4" w:space="0" w:color="auto"/>
              <w:left w:val="nil"/>
              <w:right w:val="single" w:sz="4" w:space="0" w:color="000000"/>
            </w:tcBorders>
            <w:shd w:val="clear" w:color="000000" w:fill="FFFFFF"/>
            <w:vAlign w:val="center"/>
          </w:tcPr>
          <w:p w14:paraId="13162887" w14:textId="77777777" w:rsidR="00267AB0" w:rsidRPr="008A1C41" w:rsidRDefault="00267AB0" w:rsidP="00AA653D">
            <w:pPr>
              <w:jc w:val="center"/>
              <w:rPr>
                <w:rFonts w:ascii="Tahoma" w:hAnsi="Tahoma" w:cs="Tahoma"/>
                <w:sz w:val="20"/>
                <w:szCs w:val="20"/>
              </w:rPr>
            </w:pPr>
            <w:r w:rsidRPr="008A1C41">
              <w:rPr>
                <w:rFonts w:ascii="Tahoma" w:hAnsi="Tahoma" w:cs="Tahoma"/>
                <w:sz w:val="20"/>
                <w:szCs w:val="20"/>
              </w:rPr>
              <w:t xml:space="preserve">Поручительство супруга/супруги Заемщика (при отсутствии официально зарегистрированного супруга/супруги в случае, если Кредит на 100% не обеспечен </w:t>
            </w:r>
            <w:r>
              <w:rPr>
                <w:rFonts w:ascii="Tahoma" w:hAnsi="Tahoma" w:cs="Tahoma"/>
                <w:sz w:val="20"/>
                <w:szCs w:val="20"/>
              </w:rPr>
              <w:t xml:space="preserve">твердым </w:t>
            </w:r>
            <w:r w:rsidRPr="008A1C41">
              <w:rPr>
                <w:rFonts w:ascii="Tahoma" w:hAnsi="Tahoma" w:cs="Tahoma"/>
                <w:sz w:val="20"/>
                <w:szCs w:val="20"/>
              </w:rPr>
              <w:t>залогом, принимается поручительство иного физического/юридического лица)</w:t>
            </w:r>
          </w:p>
        </w:tc>
      </w:tr>
      <w:tr w:rsidR="00267AB0" w:rsidRPr="00610AD5" w14:paraId="03BDE35A" w14:textId="77777777" w:rsidTr="00AA653D">
        <w:trPr>
          <w:trHeight w:val="467"/>
        </w:trPr>
        <w:tc>
          <w:tcPr>
            <w:tcW w:w="4355" w:type="dxa"/>
            <w:vMerge/>
            <w:tcBorders>
              <w:left w:val="single" w:sz="8" w:space="0" w:color="auto"/>
              <w:right w:val="single" w:sz="4" w:space="0" w:color="000000"/>
            </w:tcBorders>
            <w:shd w:val="clear" w:color="auto" w:fill="auto"/>
            <w:vAlign w:val="center"/>
          </w:tcPr>
          <w:p w14:paraId="0AB46E58" w14:textId="77777777" w:rsidR="00267AB0" w:rsidRPr="00610AD5" w:rsidRDefault="00267AB0" w:rsidP="00AA653D">
            <w:pPr>
              <w:rPr>
                <w:rFonts w:ascii="Tahoma" w:hAnsi="Tahoma" w:cs="Tahoma"/>
                <w:b/>
                <w:bCs/>
                <w:sz w:val="20"/>
                <w:szCs w:val="20"/>
              </w:rPr>
            </w:pPr>
          </w:p>
        </w:tc>
        <w:tc>
          <w:tcPr>
            <w:tcW w:w="1042" w:type="dxa"/>
            <w:tcBorders>
              <w:top w:val="single" w:sz="4" w:space="0" w:color="auto"/>
              <w:left w:val="nil"/>
              <w:bottom w:val="single" w:sz="4" w:space="0" w:color="auto"/>
              <w:right w:val="single" w:sz="4" w:space="0" w:color="000000"/>
            </w:tcBorders>
            <w:shd w:val="clear" w:color="000000" w:fill="FFFFFF"/>
            <w:vAlign w:val="center"/>
          </w:tcPr>
          <w:p w14:paraId="46F9D912" w14:textId="77777777" w:rsidR="00267AB0" w:rsidRPr="00610AD5" w:rsidRDefault="00267AB0" w:rsidP="00AA653D">
            <w:pPr>
              <w:jc w:val="center"/>
              <w:rPr>
                <w:rFonts w:ascii="Tahoma" w:hAnsi="Tahoma" w:cs="Tahoma"/>
                <w:sz w:val="20"/>
                <w:szCs w:val="20"/>
              </w:rPr>
            </w:pPr>
            <w:r w:rsidRPr="00610AD5">
              <w:rPr>
                <w:rFonts w:ascii="Tahoma" w:hAnsi="Tahoma" w:cs="Tahoma"/>
                <w:sz w:val="20"/>
                <w:szCs w:val="20"/>
              </w:rPr>
              <w:t>Кредит с залогом</w:t>
            </w:r>
          </w:p>
        </w:tc>
        <w:tc>
          <w:tcPr>
            <w:tcW w:w="1843" w:type="dxa"/>
            <w:tcBorders>
              <w:top w:val="single" w:sz="4" w:space="0" w:color="auto"/>
              <w:left w:val="nil"/>
              <w:bottom w:val="single" w:sz="4" w:space="0" w:color="auto"/>
              <w:right w:val="single" w:sz="4" w:space="0" w:color="000000"/>
            </w:tcBorders>
            <w:shd w:val="clear" w:color="000000" w:fill="FFFFFF"/>
            <w:vAlign w:val="center"/>
          </w:tcPr>
          <w:p w14:paraId="7A095CBB" w14:textId="77777777" w:rsidR="00267AB0" w:rsidRPr="00610AD5" w:rsidRDefault="00267AB0" w:rsidP="00AA653D">
            <w:pPr>
              <w:jc w:val="center"/>
              <w:rPr>
                <w:rFonts w:ascii="Tahoma" w:hAnsi="Tahoma" w:cs="Tahoma"/>
                <w:sz w:val="20"/>
                <w:szCs w:val="20"/>
              </w:rPr>
            </w:pPr>
            <w:r>
              <w:rPr>
                <w:rFonts w:ascii="Tahoma" w:hAnsi="Tahoma" w:cs="Tahoma"/>
                <w:sz w:val="20"/>
                <w:szCs w:val="20"/>
              </w:rPr>
              <w:t xml:space="preserve">До </w:t>
            </w:r>
            <w:r w:rsidRPr="00610AD5">
              <w:rPr>
                <w:rFonts w:ascii="Tahoma" w:hAnsi="Tahoma" w:cs="Tahoma"/>
                <w:sz w:val="20"/>
                <w:szCs w:val="20"/>
              </w:rPr>
              <w:t>5 000 000</w:t>
            </w:r>
          </w:p>
        </w:tc>
        <w:tc>
          <w:tcPr>
            <w:tcW w:w="1984" w:type="dxa"/>
            <w:gridSpan w:val="2"/>
            <w:tcBorders>
              <w:top w:val="single" w:sz="4" w:space="0" w:color="auto"/>
              <w:left w:val="nil"/>
              <w:bottom w:val="single" w:sz="4" w:space="0" w:color="auto"/>
              <w:right w:val="single" w:sz="4" w:space="0" w:color="000000"/>
            </w:tcBorders>
            <w:shd w:val="clear" w:color="000000" w:fill="FFFFFF"/>
            <w:vAlign w:val="center"/>
          </w:tcPr>
          <w:p w14:paraId="54375FED" w14:textId="77777777" w:rsidR="00267AB0" w:rsidRDefault="00267AB0" w:rsidP="00AA653D">
            <w:pPr>
              <w:jc w:val="center"/>
              <w:rPr>
                <w:rFonts w:ascii="Tahoma" w:hAnsi="Tahoma" w:cs="Tahoma"/>
                <w:sz w:val="20"/>
                <w:szCs w:val="20"/>
              </w:rPr>
            </w:pPr>
            <w:r>
              <w:rPr>
                <w:rFonts w:ascii="Tahoma" w:hAnsi="Tahoma" w:cs="Tahoma"/>
                <w:sz w:val="20"/>
                <w:szCs w:val="20"/>
              </w:rPr>
              <w:t>23,85%</w:t>
            </w:r>
          </w:p>
        </w:tc>
        <w:tc>
          <w:tcPr>
            <w:tcW w:w="1559" w:type="dxa"/>
            <w:tcBorders>
              <w:top w:val="single" w:sz="4" w:space="0" w:color="auto"/>
              <w:left w:val="nil"/>
              <w:bottom w:val="single" w:sz="4" w:space="0" w:color="auto"/>
              <w:right w:val="single" w:sz="4" w:space="0" w:color="000000"/>
            </w:tcBorders>
            <w:shd w:val="clear" w:color="000000" w:fill="FFFFFF"/>
            <w:vAlign w:val="center"/>
          </w:tcPr>
          <w:p w14:paraId="6B67F9CF" w14:textId="77777777" w:rsidR="00267AB0" w:rsidRPr="00365DBD" w:rsidRDefault="00267AB0" w:rsidP="00AA653D">
            <w:pPr>
              <w:jc w:val="center"/>
              <w:rPr>
                <w:rFonts w:ascii="Tahoma" w:hAnsi="Tahoma" w:cs="Tahoma"/>
                <w:sz w:val="20"/>
                <w:szCs w:val="20"/>
              </w:rPr>
            </w:pPr>
            <w:r w:rsidRPr="00365DBD">
              <w:rPr>
                <w:rFonts w:ascii="Tahoma" w:hAnsi="Tahoma" w:cs="Tahoma"/>
                <w:sz w:val="20"/>
                <w:szCs w:val="20"/>
              </w:rPr>
              <w:t>от 13 до 36 месяцев включительно</w:t>
            </w:r>
          </w:p>
        </w:tc>
        <w:tc>
          <w:tcPr>
            <w:tcW w:w="2127" w:type="dxa"/>
            <w:tcBorders>
              <w:top w:val="single" w:sz="4" w:space="0" w:color="auto"/>
              <w:left w:val="nil"/>
              <w:bottom w:val="single" w:sz="4" w:space="0" w:color="auto"/>
              <w:right w:val="single" w:sz="4" w:space="0" w:color="000000"/>
            </w:tcBorders>
            <w:shd w:val="clear" w:color="000000" w:fill="FFFFFF"/>
            <w:vAlign w:val="center"/>
          </w:tcPr>
          <w:p w14:paraId="0EE77DED" w14:textId="77777777" w:rsidR="00267AB0" w:rsidRPr="008A1C41" w:rsidRDefault="00267AB0" w:rsidP="00AA653D">
            <w:pPr>
              <w:jc w:val="center"/>
              <w:rPr>
                <w:rFonts w:ascii="Tahoma" w:hAnsi="Tahoma" w:cs="Tahoma"/>
                <w:sz w:val="20"/>
                <w:szCs w:val="20"/>
              </w:rPr>
            </w:pPr>
            <w:r>
              <w:rPr>
                <w:rFonts w:ascii="Tahoma" w:hAnsi="Tahoma" w:cs="Tahoma"/>
                <w:sz w:val="20"/>
                <w:szCs w:val="20"/>
              </w:rPr>
              <w:t>Твердый з</w:t>
            </w:r>
            <w:r w:rsidRPr="008A1C41">
              <w:rPr>
                <w:rFonts w:ascii="Tahoma" w:hAnsi="Tahoma" w:cs="Tahoma"/>
                <w:sz w:val="20"/>
                <w:szCs w:val="20"/>
              </w:rPr>
              <w:t>алог на всю сумму Кредита</w:t>
            </w:r>
          </w:p>
        </w:tc>
        <w:tc>
          <w:tcPr>
            <w:tcW w:w="2501" w:type="dxa"/>
            <w:gridSpan w:val="2"/>
            <w:vMerge/>
            <w:tcBorders>
              <w:left w:val="nil"/>
              <w:bottom w:val="single" w:sz="4" w:space="0" w:color="auto"/>
              <w:right w:val="single" w:sz="4" w:space="0" w:color="000000"/>
            </w:tcBorders>
            <w:shd w:val="clear" w:color="000000" w:fill="FFFFFF"/>
            <w:vAlign w:val="center"/>
          </w:tcPr>
          <w:p w14:paraId="61D6AD29" w14:textId="77777777" w:rsidR="00267AB0" w:rsidRPr="008A1C41" w:rsidRDefault="00267AB0" w:rsidP="00AA653D">
            <w:pPr>
              <w:jc w:val="center"/>
              <w:rPr>
                <w:rFonts w:ascii="Tahoma" w:hAnsi="Tahoma" w:cs="Tahoma"/>
                <w:sz w:val="20"/>
                <w:szCs w:val="20"/>
              </w:rPr>
            </w:pPr>
          </w:p>
        </w:tc>
      </w:tr>
      <w:tr w:rsidR="00267AB0" w:rsidRPr="00610AD5" w14:paraId="5895E1B3" w14:textId="77777777" w:rsidTr="00AA653D">
        <w:trPr>
          <w:trHeight w:val="262"/>
        </w:trPr>
        <w:tc>
          <w:tcPr>
            <w:tcW w:w="4355" w:type="dxa"/>
            <w:vMerge/>
            <w:tcBorders>
              <w:left w:val="single" w:sz="8" w:space="0" w:color="auto"/>
              <w:right w:val="single" w:sz="4" w:space="0" w:color="000000"/>
            </w:tcBorders>
            <w:shd w:val="clear" w:color="auto" w:fill="auto"/>
            <w:vAlign w:val="center"/>
          </w:tcPr>
          <w:p w14:paraId="26C7A4ED" w14:textId="77777777" w:rsidR="00267AB0" w:rsidRPr="00610AD5" w:rsidRDefault="00267AB0" w:rsidP="00AA653D">
            <w:pPr>
              <w:rPr>
                <w:rFonts w:ascii="Tahoma" w:hAnsi="Tahoma" w:cs="Tahoma"/>
                <w:b/>
                <w:bCs/>
                <w:sz w:val="20"/>
                <w:szCs w:val="20"/>
              </w:rPr>
            </w:pPr>
          </w:p>
        </w:tc>
        <w:tc>
          <w:tcPr>
            <w:tcW w:w="11056" w:type="dxa"/>
            <w:gridSpan w:val="8"/>
            <w:tcBorders>
              <w:top w:val="single" w:sz="4" w:space="0" w:color="auto"/>
              <w:left w:val="nil"/>
              <w:bottom w:val="single" w:sz="4" w:space="0" w:color="auto"/>
              <w:right w:val="single" w:sz="4" w:space="0" w:color="000000"/>
            </w:tcBorders>
            <w:shd w:val="clear" w:color="000000" w:fill="FFFFFF"/>
            <w:vAlign w:val="center"/>
          </w:tcPr>
          <w:p w14:paraId="540ED889" w14:textId="77777777" w:rsidR="00267AB0" w:rsidRPr="00AC7EE0" w:rsidRDefault="00267AB0" w:rsidP="00AA653D">
            <w:pPr>
              <w:rPr>
                <w:rFonts w:ascii="Tahoma" w:hAnsi="Tahoma" w:cs="Tahoma"/>
                <w:sz w:val="20"/>
                <w:szCs w:val="20"/>
              </w:rPr>
            </w:pPr>
            <w:r w:rsidRPr="00AC7EE0">
              <w:rPr>
                <w:rFonts w:ascii="Tahoma" w:hAnsi="Tahoma" w:cs="Tahoma"/>
                <w:b/>
                <w:sz w:val="20"/>
                <w:szCs w:val="20"/>
              </w:rPr>
              <w:t>ПКИ более 1 млн. руб.</w:t>
            </w:r>
            <w:r>
              <w:rPr>
                <w:rFonts w:ascii="Tahoma" w:hAnsi="Tahoma" w:cs="Tahoma"/>
                <w:b/>
                <w:sz w:val="20"/>
                <w:szCs w:val="20"/>
              </w:rPr>
              <w:t xml:space="preserve"> и до 3 млн. руб. (включительно)</w:t>
            </w:r>
          </w:p>
        </w:tc>
      </w:tr>
      <w:tr w:rsidR="00267AB0" w:rsidRPr="00610AD5" w14:paraId="353E7CB0" w14:textId="77777777" w:rsidTr="00AA653D">
        <w:trPr>
          <w:trHeight w:val="467"/>
        </w:trPr>
        <w:tc>
          <w:tcPr>
            <w:tcW w:w="4355" w:type="dxa"/>
            <w:vMerge/>
            <w:tcBorders>
              <w:left w:val="single" w:sz="8" w:space="0" w:color="auto"/>
              <w:right w:val="single" w:sz="4" w:space="0" w:color="000000"/>
            </w:tcBorders>
            <w:shd w:val="clear" w:color="auto" w:fill="auto"/>
            <w:vAlign w:val="center"/>
          </w:tcPr>
          <w:p w14:paraId="09007961" w14:textId="77777777" w:rsidR="00267AB0" w:rsidRPr="00610AD5" w:rsidRDefault="00267AB0" w:rsidP="00AA653D">
            <w:pPr>
              <w:rPr>
                <w:rFonts w:ascii="Tahoma" w:hAnsi="Tahoma" w:cs="Tahoma"/>
                <w:b/>
                <w:bCs/>
                <w:sz w:val="20"/>
                <w:szCs w:val="20"/>
              </w:rPr>
            </w:pPr>
          </w:p>
        </w:tc>
        <w:tc>
          <w:tcPr>
            <w:tcW w:w="1042" w:type="dxa"/>
            <w:tcBorders>
              <w:top w:val="single" w:sz="4" w:space="0" w:color="auto"/>
              <w:left w:val="nil"/>
              <w:bottom w:val="single" w:sz="4" w:space="0" w:color="auto"/>
              <w:right w:val="single" w:sz="4" w:space="0" w:color="000000"/>
            </w:tcBorders>
            <w:shd w:val="clear" w:color="000000" w:fill="FFFFFF"/>
            <w:vAlign w:val="center"/>
          </w:tcPr>
          <w:p w14:paraId="723D408C" w14:textId="77777777" w:rsidR="00267AB0" w:rsidRPr="00610AD5" w:rsidRDefault="00267AB0" w:rsidP="00AA653D">
            <w:pPr>
              <w:jc w:val="center"/>
              <w:rPr>
                <w:rFonts w:ascii="Tahoma" w:hAnsi="Tahoma" w:cs="Tahoma"/>
                <w:sz w:val="20"/>
                <w:szCs w:val="20"/>
              </w:rPr>
            </w:pPr>
            <w:r w:rsidRPr="00610AD5">
              <w:rPr>
                <w:rFonts w:ascii="Tahoma" w:hAnsi="Tahoma" w:cs="Tahoma"/>
                <w:sz w:val="20"/>
                <w:szCs w:val="20"/>
              </w:rPr>
              <w:t>Кредит без залога</w:t>
            </w:r>
          </w:p>
        </w:tc>
        <w:tc>
          <w:tcPr>
            <w:tcW w:w="1843" w:type="dxa"/>
            <w:tcBorders>
              <w:top w:val="single" w:sz="4" w:space="0" w:color="auto"/>
              <w:left w:val="nil"/>
              <w:bottom w:val="single" w:sz="4" w:space="0" w:color="auto"/>
              <w:right w:val="single" w:sz="4" w:space="0" w:color="000000"/>
            </w:tcBorders>
            <w:shd w:val="clear" w:color="000000" w:fill="FFFFFF"/>
            <w:vAlign w:val="center"/>
          </w:tcPr>
          <w:p w14:paraId="32E2318C" w14:textId="77777777" w:rsidR="00267AB0" w:rsidRPr="00610AD5" w:rsidRDefault="00267AB0" w:rsidP="00AA653D">
            <w:pPr>
              <w:jc w:val="center"/>
              <w:rPr>
                <w:rFonts w:ascii="Tahoma" w:hAnsi="Tahoma" w:cs="Tahoma"/>
                <w:sz w:val="20"/>
                <w:szCs w:val="20"/>
              </w:rPr>
            </w:pPr>
            <w:r>
              <w:rPr>
                <w:rFonts w:ascii="Tahoma" w:hAnsi="Tahoma" w:cs="Tahoma"/>
                <w:sz w:val="20"/>
                <w:szCs w:val="20"/>
              </w:rPr>
              <w:t xml:space="preserve">До </w:t>
            </w:r>
            <w:r w:rsidRPr="00610AD5">
              <w:rPr>
                <w:rFonts w:ascii="Tahoma" w:hAnsi="Tahoma" w:cs="Tahoma"/>
                <w:sz w:val="20"/>
                <w:szCs w:val="20"/>
              </w:rPr>
              <w:t xml:space="preserve">3 000 </w:t>
            </w:r>
            <w:r w:rsidRPr="008A1C41">
              <w:rPr>
                <w:rFonts w:ascii="Tahoma" w:hAnsi="Tahoma" w:cs="Tahoma"/>
                <w:sz w:val="20"/>
                <w:szCs w:val="20"/>
              </w:rPr>
              <w:t xml:space="preserve">000 </w:t>
            </w:r>
            <w:r w:rsidRPr="008A1C41">
              <w:rPr>
                <w:rFonts w:ascii="Tahoma" w:hAnsi="Tahoma" w:cs="Tahoma"/>
                <w:sz w:val="20"/>
                <w:szCs w:val="20"/>
                <w:vertAlign w:val="superscript"/>
              </w:rPr>
              <w:t>4</w:t>
            </w:r>
            <w:r>
              <w:rPr>
                <w:rFonts w:ascii="Tahoma" w:hAnsi="Tahoma" w:cs="Tahoma"/>
                <w:sz w:val="20"/>
                <w:szCs w:val="20"/>
              </w:rPr>
              <w:t xml:space="preserve"> </w:t>
            </w:r>
          </w:p>
        </w:tc>
        <w:tc>
          <w:tcPr>
            <w:tcW w:w="1984" w:type="dxa"/>
            <w:gridSpan w:val="2"/>
            <w:tcBorders>
              <w:top w:val="single" w:sz="4" w:space="0" w:color="auto"/>
              <w:left w:val="nil"/>
              <w:bottom w:val="single" w:sz="4" w:space="0" w:color="auto"/>
              <w:right w:val="single" w:sz="4" w:space="0" w:color="000000"/>
            </w:tcBorders>
            <w:shd w:val="clear" w:color="000000" w:fill="FFFFFF"/>
            <w:vAlign w:val="center"/>
          </w:tcPr>
          <w:p w14:paraId="2A9396E9" w14:textId="77777777" w:rsidR="00267AB0" w:rsidRDefault="00267AB0" w:rsidP="00AA653D">
            <w:pPr>
              <w:jc w:val="center"/>
              <w:rPr>
                <w:rFonts w:ascii="Tahoma" w:hAnsi="Tahoma" w:cs="Tahoma"/>
                <w:sz w:val="20"/>
                <w:szCs w:val="20"/>
              </w:rPr>
            </w:pPr>
            <w:r>
              <w:rPr>
                <w:rFonts w:ascii="Tahoma" w:hAnsi="Tahoma" w:cs="Tahoma"/>
                <w:sz w:val="20"/>
                <w:szCs w:val="20"/>
              </w:rPr>
              <w:t>24,40%</w:t>
            </w:r>
          </w:p>
        </w:tc>
        <w:tc>
          <w:tcPr>
            <w:tcW w:w="1559" w:type="dxa"/>
            <w:tcBorders>
              <w:top w:val="single" w:sz="4" w:space="0" w:color="auto"/>
              <w:left w:val="nil"/>
              <w:bottom w:val="single" w:sz="4" w:space="0" w:color="auto"/>
              <w:right w:val="single" w:sz="4" w:space="0" w:color="000000"/>
            </w:tcBorders>
            <w:shd w:val="clear" w:color="000000" w:fill="FFFFFF"/>
            <w:vAlign w:val="center"/>
          </w:tcPr>
          <w:p w14:paraId="7B113452" w14:textId="77777777" w:rsidR="00267AB0" w:rsidRDefault="00267AB0" w:rsidP="00AA653D">
            <w:pPr>
              <w:jc w:val="center"/>
              <w:rPr>
                <w:rFonts w:ascii="Tahoma" w:hAnsi="Tahoma" w:cs="Tahoma"/>
                <w:sz w:val="20"/>
                <w:szCs w:val="20"/>
              </w:rPr>
            </w:pPr>
            <w:r w:rsidRPr="00365DBD">
              <w:rPr>
                <w:rFonts w:ascii="Tahoma" w:hAnsi="Tahoma" w:cs="Tahoma"/>
                <w:sz w:val="20"/>
                <w:szCs w:val="20"/>
              </w:rPr>
              <w:t>от 13 до 36 месяцев включительно</w:t>
            </w:r>
          </w:p>
          <w:p w14:paraId="5E111929" w14:textId="77777777" w:rsidR="00267AB0" w:rsidRDefault="00267AB0" w:rsidP="00AA653D">
            <w:pPr>
              <w:rPr>
                <w:rFonts w:ascii="Tahoma" w:hAnsi="Tahoma" w:cs="Tahoma"/>
                <w:sz w:val="20"/>
                <w:szCs w:val="20"/>
              </w:rPr>
            </w:pPr>
          </w:p>
          <w:p w14:paraId="50FF1EF9" w14:textId="77777777" w:rsidR="00267AB0" w:rsidRPr="00E83543" w:rsidRDefault="00267AB0" w:rsidP="00AA653D">
            <w:pPr>
              <w:rPr>
                <w:rFonts w:ascii="Tahoma" w:hAnsi="Tahoma" w:cs="Tahoma"/>
                <w:sz w:val="20"/>
                <w:szCs w:val="20"/>
              </w:rPr>
            </w:pPr>
          </w:p>
        </w:tc>
        <w:tc>
          <w:tcPr>
            <w:tcW w:w="2127" w:type="dxa"/>
            <w:tcBorders>
              <w:top w:val="single" w:sz="4" w:space="0" w:color="auto"/>
              <w:left w:val="nil"/>
              <w:bottom w:val="single" w:sz="4" w:space="0" w:color="auto"/>
              <w:right w:val="single" w:sz="4" w:space="0" w:color="000000"/>
            </w:tcBorders>
            <w:shd w:val="clear" w:color="000000" w:fill="FFFFFF"/>
            <w:vAlign w:val="center"/>
          </w:tcPr>
          <w:p w14:paraId="66541191" w14:textId="77777777" w:rsidR="00267AB0" w:rsidRPr="008A1C41" w:rsidRDefault="00267AB0" w:rsidP="00AA653D">
            <w:pPr>
              <w:jc w:val="center"/>
              <w:rPr>
                <w:rFonts w:ascii="Tahoma" w:hAnsi="Tahoma" w:cs="Tahoma"/>
                <w:sz w:val="20"/>
                <w:szCs w:val="20"/>
              </w:rPr>
            </w:pPr>
            <w:r w:rsidRPr="008A1C41">
              <w:rPr>
                <w:rFonts w:ascii="Tahoma" w:hAnsi="Tahoma" w:cs="Tahoma"/>
                <w:sz w:val="20"/>
                <w:szCs w:val="20"/>
              </w:rPr>
              <w:t>Не требуется</w:t>
            </w:r>
            <w:r w:rsidRPr="008A1C41">
              <w:rPr>
                <w:rFonts w:ascii="Tahoma" w:hAnsi="Tahoma" w:cs="Tahoma"/>
                <w:sz w:val="20"/>
                <w:szCs w:val="20"/>
              </w:rPr>
              <w:br/>
              <w:t xml:space="preserve">(по желанию Заемщика для снижения процентной ставки и/или увеличения суммы Кредита может быть предоставлен </w:t>
            </w:r>
            <w:r>
              <w:rPr>
                <w:rFonts w:ascii="Tahoma" w:hAnsi="Tahoma" w:cs="Tahoma"/>
                <w:sz w:val="20"/>
                <w:szCs w:val="20"/>
              </w:rPr>
              <w:t xml:space="preserve">твердый </w:t>
            </w:r>
            <w:r w:rsidRPr="008A1C41">
              <w:rPr>
                <w:rFonts w:ascii="Tahoma" w:hAnsi="Tahoma" w:cs="Tahoma"/>
                <w:sz w:val="20"/>
                <w:szCs w:val="20"/>
              </w:rPr>
              <w:t>залог)</w:t>
            </w:r>
          </w:p>
        </w:tc>
        <w:tc>
          <w:tcPr>
            <w:tcW w:w="2501" w:type="dxa"/>
            <w:gridSpan w:val="2"/>
            <w:vMerge w:val="restart"/>
            <w:tcBorders>
              <w:top w:val="single" w:sz="4" w:space="0" w:color="auto"/>
              <w:left w:val="nil"/>
              <w:right w:val="single" w:sz="4" w:space="0" w:color="000000"/>
            </w:tcBorders>
            <w:shd w:val="clear" w:color="000000" w:fill="FFFFFF"/>
            <w:vAlign w:val="center"/>
          </w:tcPr>
          <w:p w14:paraId="4232E315" w14:textId="77777777" w:rsidR="00267AB0" w:rsidRPr="008A1C41" w:rsidRDefault="00267AB0" w:rsidP="00AA653D">
            <w:pPr>
              <w:jc w:val="center"/>
              <w:rPr>
                <w:rFonts w:ascii="Tahoma" w:hAnsi="Tahoma" w:cs="Tahoma"/>
                <w:sz w:val="20"/>
                <w:szCs w:val="20"/>
              </w:rPr>
            </w:pPr>
            <w:r w:rsidRPr="008A1C41">
              <w:rPr>
                <w:rFonts w:ascii="Tahoma" w:hAnsi="Tahoma" w:cs="Tahoma"/>
                <w:sz w:val="20"/>
                <w:szCs w:val="20"/>
              </w:rPr>
              <w:t xml:space="preserve">Поручительство супруга/супруги Заемщика (при отсутствии официально зарегистрированного супруга/супруги в случае, если Кредит на 100% не обеспечен </w:t>
            </w:r>
            <w:r>
              <w:rPr>
                <w:rFonts w:ascii="Tahoma" w:hAnsi="Tahoma" w:cs="Tahoma"/>
                <w:sz w:val="20"/>
                <w:szCs w:val="20"/>
              </w:rPr>
              <w:t xml:space="preserve">твердым </w:t>
            </w:r>
            <w:r w:rsidRPr="008A1C41">
              <w:rPr>
                <w:rFonts w:ascii="Tahoma" w:hAnsi="Tahoma" w:cs="Tahoma"/>
                <w:sz w:val="20"/>
                <w:szCs w:val="20"/>
              </w:rPr>
              <w:t>залогом, принимается поручительство иного физического/юридического лица)</w:t>
            </w:r>
          </w:p>
        </w:tc>
      </w:tr>
      <w:tr w:rsidR="00267AB0" w:rsidRPr="00610AD5" w14:paraId="3C1F071D" w14:textId="77777777" w:rsidTr="00AA653D">
        <w:trPr>
          <w:trHeight w:val="467"/>
        </w:trPr>
        <w:tc>
          <w:tcPr>
            <w:tcW w:w="4355" w:type="dxa"/>
            <w:vMerge/>
            <w:tcBorders>
              <w:left w:val="single" w:sz="8" w:space="0" w:color="auto"/>
              <w:right w:val="single" w:sz="4" w:space="0" w:color="000000"/>
            </w:tcBorders>
            <w:shd w:val="clear" w:color="auto" w:fill="auto"/>
            <w:vAlign w:val="center"/>
          </w:tcPr>
          <w:p w14:paraId="39424088" w14:textId="77777777" w:rsidR="00267AB0" w:rsidRPr="00610AD5" w:rsidRDefault="00267AB0" w:rsidP="00AA653D">
            <w:pPr>
              <w:rPr>
                <w:rFonts w:ascii="Tahoma" w:hAnsi="Tahoma" w:cs="Tahoma"/>
                <w:b/>
                <w:bCs/>
                <w:sz w:val="20"/>
                <w:szCs w:val="20"/>
              </w:rPr>
            </w:pPr>
          </w:p>
        </w:tc>
        <w:tc>
          <w:tcPr>
            <w:tcW w:w="1042" w:type="dxa"/>
            <w:tcBorders>
              <w:top w:val="single" w:sz="4" w:space="0" w:color="auto"/>
              <w:left w:val="nil"/>
              <w:bottom w:val="single" w:sz="4" w:space="0" w:color="auto"/>
              <w:right w:val="single" w:sz="4" w:space="0" w:color="000000"/>
            </w:tcBorders>
            <w:shd w:val="clear" w:color="000000" w:fill="FFFFFF"/>
            <w:vAlign w:val="center"/>
          </w:tcPr>
          <w:p w14:paraId="3DB27E05" w14:textId="77777777" w:rsidR="00267AB0" w:rsidRPr="00610AD5" w:rsidRDefault="00267AB0" w:rsidP="00AA653D">
            <w:pPr>
              <w:jc w:val="center"/>
              <w:rPr>
                <w:rFonts w:ascii="Tahoma" w:hAnsi="Tahoma" w:cs="Tahoma"/>
                <w:sz w:val="20"/>
                <w:szCs w:val="20"/>
              </w:rPr>
            </w:pPr>
            <w:r w:rsidRPr="00610AD5">
              <w:rPr>
                <w:rFonts w:ascii="Tahoma" w:hAnsi="Tahoma" w:cs="Tahoma"/>
                <w:sz w:val="20"/>
                <w:szCs w:val="20"/>
              </w:rPr>
              <w:t>Кредит с залогом</w:t>
            </w:r>
          </w:p>
        </w:tc>
        <w:tc>
          <w:tcPr>
            <w:tcW w:w="1843" w:type="dxa"/>
            <w:tcBorders>
              <w:top w:val="single" w:sz="4" w:space="0" w:color="auto"/>
              <w:left w:val="nil"/>
              <w:bottom w:val="single" w:sz="4" w:space="0" w:color="auto"/>
              <w:right w:val="single" w:sz="4" w:space="0" w:color="000000"/>
            </w:tcBorders>
            <w:shd w:val="clear" w:color="000000" w:fill="FFFFFF"/>
            <w:vAlign w:val="center"/>
          </w:tcPr>
          <w:p w14:paraId="03994CC7" w14:textId="77777777" w:rsidR="00267AB0" w:rsidRPr="00610AD5" w:rsidRDefault="00267AB0" w:rsidP="00AA653D">
            <w:pPr>
              <w:jc w:val="center"/>
              <w:rPr>
                <w:rFonts w:ascii="Tahoma" w:hAnsi="Tahoma" w:cs="Tahoma"/>
                <w:sz w:val="20"/>
                <w:szCs w:val="20"/>
              </w:rPr>
            </w:pPr>
            <w:r>
              <w:rPr>
                <w:rFonts w:ascii="Tahoma" w:hAnsi="Tahoma" w:cs="Tahoma"/>
                <w:sz w:val="20"/>
                <w:szCs w:val="20"/>
              </w:rPr>
              <w:t xml:space="preserve">До </w:t>
            </w:r>
            <w:r w:rsidRPr="00610AD5">
              <w:rPr>
                <w:rFonts w:ascii="Tahoma" w:hAnsi="Tahoma" w:cs="Tahoma"/>
                <w:sz w:val="20"/>
                <w:szCs w:val="20"/>
              </w:rPr>
              <w:t>5 000 000</w:t>
            </w:r>
          </w:p>
        </w:tc>
        <w:tc>
          <w:tcPr>
            <w:tcW w:w="1984" w:type="dxa"/>
            <w:gridSpan w:val="2"/>
            <w:tcBorders>
              <w:top w:val="single" w:sz="4" w:space="0" w:color="auto"/>
              <w:left w:val="nil"/>
              <w:bottom w:val="single" w:sz="4" w:space="0" w:color="auto"/>
              <w:right w:val="single" w:sz="4" w:space="0" w:color="000000"/>
            </w:tcBorders>
            <w:shd w:val="clear" w:color="000000" w:fill="FFFFFF"/>
            <w:vAlign w:val="center"/>
          </w:tcPr>
          <w:p w14:paraId="2B23224B" w14:textId="77777777" w:rsidR="00267AB0" w:rsidRDefault="00267AB0" w:rsidP="00AA653D">
            <w:pPr>
              <w:jc w:val="center"/>
              <w:rPr>
                <w:rFonts w:ascii="Tahoma" w:hAnsi="Tahoma" w:cs="Tahoma"/>
                <w:sz w:val="20"/>
                <w:szCs w:val="20"/>
              </w:rPr>
            </w:pPr>
            <w:r>
              <w:rPr>
                <w:rFonts w:ascii="Tahoma" w:hAnsi="Tahoma" w:cs="Tahoma"/>
                <w:sz w:val="20"/>
                <w:szCs w:val="20"/>
              </w:rPr>
              <w:t>23,80%</w:t>
            </w:r>
          </w:p>
        </w:tc>
        <w:tc>
          <w:tcPr>
            <w:tcW w:w="1559" w:type="dxa"/>
            <w:tcBorders>
              <w:top w:val="single" w:sz="4" w:space="0" w:color="auto"/>
              <w:left w:val="nil"/>
              <w:bottom w:val="single" w:sz="4" w:space="0" w:color="auto"/>
              <w:right w:val="single" w:sz="4" w:space="0" w:color="000000"/>
            </w:tcBorders>
            <w:shd w:val="clear" w:color="000000" w:fill="FFFFFF"/>
            <w:vAlign w:val="center"/>
          </w:tcPr>
          <w:p w14:paraId="7DE77354" w14:textId="77777777" w:rsidR="00267AB0" w:rsidRPr="00365DBD" w:rsidRDefault="00267AB0" w:rsidP="00AA653D">
            <w:pPr>
              <w:jc w:val="center"/>
              <w:rPr>
                <w:rFonts w:ascii="Tahoma" w:hAnsi="Tahoma" w:cs="Tahoma"/>
                <w:sz w:val="20"/>
                <w:szCs w:val="20"/>
              </w:rPr>
            </w:pPr>
            <w:r w:rsidRPr="00365DBD">
              <w:rPr>
                <w:rFonts w:ascii="Tahoma" w:hAnsi="Tahoma" w:cs="Tahoma"/>
                <w:sz w:val="20"/>
                <w:szCs w:val="20"/>
              </w:rPr>
              <w:t>от 13 до 36 месяцев включительно</w:t>
            </w:r>
          </w:p>
        </w:tc>
        <w:tc>
          <w:tcPr>
            <w:tcW w:w="2127" w:type="dxa"/>
            <w:tcBorders>
              <w:top w:val="single" w:sz="4" w:space="0" w:color="auto"/>
              <w:left w:val="nil"/>
              <w:bottom w:val="single" w:sz="4" w:space="0" w:color="auto"/>
              <w:right w:val="single" w:sz="4" w:space="0" w:color="000000"/>
            </w:tcBorders>
            <w:shd w:val="clear" w:color="000000" w:fill="FFFFFF"/>
            <w:vAlign w:val="center"/>
          </w:tcPr>
          <w:p w14:paraId="334066C9" w14:textId="77777777" w:rsidR="00267AB0" w:rsidRPr="00610AD5" w:rsidRDefault="00267AB0" w:rsidP="00AA653D">
            <w:pPr>
              <w:jc w:val="center"/>
              <w:rPr>
                <w:rFonts w:ascii="Tahoma" w:hAnsi="Tahoma" w:cs="Tahoma"/>
                <w:sz w:val="20"/>
                <w:szCs w:val="20"/>
              </w:rPr>
            </w:pPr>
            <w:r>
              <w:rPr>
                <w:rFonts w:ascii="Tahoma" w:hAnsi="Tahoma" w:cs="Tahoma"/>
                <w:sz w:val="20"/>
                <w:szCs w:val="20"/>
              </w:rPr>
              <w:t>Твердый з</w:t>
            </w:r>
            <w:r w:rsidRPr="008A1C41">
              <w:rPr>
                <w:rFonts w:ascii="Tahoma" w:hAnsi="Tahoma" w:cs="Tahoma"/>
                <w:sz w:val="20"/>
                <w:szCs w:val="20"/>
              </w:rPr>
              <w:t>алог на всю сумму Кредита</w:t>
            </w:r>
          </w:p>
        </w:tc>
        <w:tc>
          <w:tcPr>
            <w:tcW w:w="2501" w:type="dxa"/>
            <w:gridSpan w:val="2"/>
            <w:vMerge/>
            <w:tcBorders>
              <w:left w:val="nil"/>
              <w:bottom w:val="single" w:sz="4" w:space="0" w:color="auto"/>
              <w:right w:val="single" w:sz="4" w:space="0" w:color="000000"/>
            </w:tcBorders>
            <w:shd w:val="clear" w:color="000000" w:fill="FFFFFF"/>
            <w:vAlign w:val="center"/>
          </w:tcPr>
          <w:p w14:paraId="48B3FDDE" w14:textId="77777777" w:rsidR="00267AB0" w:rsidRPr="00610AD5" w:rsidRDefault="00267AB0" w:rsidP="00AA653D">
            <w:pPr>
              <w:jc w:val="center"/>
              <w:rPr>
                <w:rFonts w:ascii="Tahoma" w:hAnsi="Tahoma" w:cs="Tahoma"/>
                <w:sz w:val="20"/>
                <w:szCs w:val="20"/>
              </w:rPr>
            </w:pPr>
          </w:p>
        </w:tc>
      </w:tr>
      <w:tr w:rsidR="00267AB0" w:rsidRPr="00610AD5" w14:paraId="382B7807" w14:textId="77777777" w:rsidTr="00AA653D">
        <w:trPr>
          <w:trHeight w:val="242"/>
        </w:trPr>
        <w:tc>
          <w:tcPr>
            <w:tcW w:w="4355" w:type="dxa"/>
            <w:vMerge/>
            <w:tcBorders>
              <w:left w:val="single" w:sz="8" w:space="0" w:color="auto"/>
              <w:right w:val="single" w:sz="4" w:space="0" w:color="000000"/>
            </w:tcBorders>
            <w:shd w:val="clear" w:color="auto" w:fill="auto"/>
            <w:vAlign w:val="center"/>
          </w:tcPr>
          <w:p w14:paraId="0D60B8BB" w14:textId="77777777" w:rsidR="00267AB0" w:rsidRPr="00610AD5" w:rsidRDefault="00267AB0" w:rsidP="00AA653D">
            <w:pPr>
              <w:rPr>
                <w:rFonts w:ascii="Tahoma" w:hAnsi="Tahoma" w:cs="Tahoma"/>
                <w:b/>
                <w:bCs/>
                <w:sz w:val="20"/>
                <w:szCs w:val="20"/>
              </w:rPr>
            </w:pPr>
          </w:p>
        </w:tc>
        <w:tc>
          <w:tcPr>
            <w:tcW w:w="11056" w:type="dxa"/>
            <w:gridSpan w:val="8"/>
            <w:tcBorders>
              <w:top w:val="single" w:sz="4" w:space="0" w:color="auto"/>
              <w:left w:val="nil"/>
              <w:bottom w:val="single" w:sz="4" w:space="0" w:color="auto"/>
              <w:right w:val="single" w:sz="4" w:space="0" w:color="000000"/>
            </w:tcBorders>
            <w:shd w:val="clear" w:color="000000" w:fill="FFFFFF"/>
            <w:vAlign w:val="center"/>
          </w:tcPr>
          <w:p w14:paraId="529BA590" w14:textId="77777777" w:rsidR="00267AB0" w:rsidRPr="00922A68" w:rsidRDefault="00267AB0" w:rsidP="00AA653D">
            <w:pPr>
              <w:rPr>
                <w:rFonts w:ascii="Tahoma" w:hAnsi="Tahoma" w:cs="Tahoma"/>
                <w:sz w:val="20"/>
                <w:szCs w:val="20"/>
              </w:rPr>
            </w:pPr>
            <w:r w:rsidRPr="00922A68">
              <w:rPr>
                <w:rFonts w:ascii="Tahoma" w:hAnsi="Tahoma" w:cs="Tahoma"/>
                <w:b/>
                <w:sz w:val="20"/>
                <w:szCs w:val="20"/>
              </w:rPr>
              <w:t>ПКИ более 3 млн. руб.</w:t>
            </w:r>
          </w:p>
        </w:tc>
      </w:tr>
      <w:tr w:rsidR="00267AB0" w:rsidRPr="00610AD5" w14:paraId="0809CBBE" w14:textId="77777777" w:rsidTr="00AA653D">
        <w:trPr>
          <w:trHeight w:val="1084"/>
        </w:trPr>
        <w:tc>
          <w:tcPr>
            <w:tcW w:w="4355" w:type="dxa"/>
            <w:vMerge/>
            <w:tcBorders>
              <w:left w:val="single" w:sz="8" w:space="0" w:color="auto"/>
              <w:right w:val="single" w:sz="4" w:space="0" w:color="000000"/>
            </w:tcBorders>
            <w:shd w:val="clear" w:color="auto" w:fill="auto"/>
            <w:vAlign w:val="center"/>
          </w:tcPr>
          <w:p w14:paraId="76A881E7" w14:textId="77777777" w:rsidR="00267AB0" w:rsidRPr="00610AD5" w:rsidRDefault="00267AB0" w:rsidP="00AA653D">
            <w:pPr>
              <w:rPr>
                <w:rFonts w:ascii="Tahoma" w:hAnsi="Tahoma" w:cs="Tahoma"/>
                <w:b/>
                <w:bCs/>
                <w:sz w:val="20"/>
                <w:szCs w:val="20"/>
              </w:rPr>
            </w:pPr>
          </w:p>
        </w:tc>
        <w:tc>
          <w:tcPr>
            <w:tcW w:w="1042" w:type="dxa"/>
            <w:vMerge w:val="restart"/>
            <w:tcBorders>
              <w:top w:val="single" w:sz="4" w:space="0" w:color="auto"/>
              <w:left w:val="nil"/>
              <w:right w:val="single" w:sz="4" w:space="0" w:color="000000"/>
            </w:tcBorders>
            <w:shd w:val="clear" w:color="000000" w:fill="FFFFFF"/>
            <w:vAlign w:val="center"/>
          </w:tcPr>
          <w:p w14:paraId="398C6132" w14:textId="77777777" w:rsidR="00267AB0" w:rsidRPr="00610AD5" w:rsidRDefault="00267AB0" w:rsidP="00AA653D">
            <w:pPr>
              <w:jc w:val="center"/>
              <w:rPr>
                <w:rFonts w:ascii="Tahoma" w:hAnsi="Tahoma" w:cs="Tahoma"/>
                <w:sz w:val="20"/>
                <w:szCs w:val="20"/>
              </w:rPr>
            </w:pPr>
            <w:r w:rsidRPr="00610AD5">
              <w:rPr>
                <w:rFonts w:ascii="Tahoma" w:hAnsi="Tahoma" w:cs="Tahoma"/>
                <w:sz w:val="20"/>
                <w:szCs w:val="20"/>
              </w:rPr>
              <w:t>Кредит без залога</w:t>
            </w:r>
          </w:p>
        </w:tc>
        <w:tc>
          <w:tcPr>
            <w:tcW w:w="1843" w:type="dxa"/>
            <w:vMerge w:val="restart"/>
            <w:tcBorders>
              <w:top w:val="single" w:sz="4" w:space="0" w:color="auto"/>
              <w:left w:val="nil"/>
              <w:right w:val="single" w:sz="4" w:space="0" w:color="auto"/>
            </w:tcBorders>
            <w:shd w:val="clear" w:color="000000" w:fill="FFFFFF"/>
            <w:vAlign w:val="center"/>
          </w:tcPr>
          <w:p w14:paraId="597992C1" w14:textId="77777777" w:rsidR="00267AB0" w:rsidRPr="00610AD5" w:rsidRDefault="00267AB0" w:rsidP="00AA653D">
            <w:pPr>
              <w:jc w:val="center"/>
              <w:rPr>
                <w:rFonts w:ascii="Tahoma" w:hAnsi="Tahoma" w:cs="Tahoma"/>
                <w:sz w:val="20"/>
                <w:szCs w:val="20"/>
              </w:rPr>
            </w:pPr>
            <w:r>
              <w:rPr>
                <w:rFonts w:ascii="Tahoma" w:hAnsi="Tahoma" w:cs="Tahoma"/>
                <w:sz w:val="20"/>
                <w:szCs w:val="20"/>
              </w:rPr>
              <w:t xml:space="preserve">До </w:t>
            </w:r>
            <w:r w:rsidRPr="00610AD5">
              <w:rPr>
                <w:rFonts w:ascii="Tahoma" w:hAnsi="Tahoma" w:cs="Tahoma"/>
                <w:sz w:val="20"/>
                <w:szCs w:val="20"/>
              </w:rPr>
              <w:t>5 000</w:t>
            </w:r>
            <w:r>
              <w:rPr>
                <w:rFonts w:ascii="Tahoma" w:hAnsi="Tahoma" w:cs="Tahoma"/>
                <w:sz w:val="20"/>
                <w:szCs w:val="20"/>
              </w:rPr>
              <w:t> </w:t>
            </w:r>
            <w:r w:rsidRPr="00610AD5">
              <w:rPr>
                <w:rFonts w:ascii="Tahoma" w:hAnsi="Tahoma" w:cs="Tahoma"/>
                <w:sz w:val="20"/>
                <w:szCs w:val="20"/>
              </w:rPr>
              <w:t>000</w:t>
            </w:r>
            <w:r>
              <w:rPr>
                <w:rFonts w:ascii="Tahoma" w:hAnsi="Tahoma" w:cs="Tahoma"/>
                <w:sz w:val="20"/>
                <w:szCs w:val="20"/>
              </w:rPr>
              <w:t>, но не более суммы ПКИ</w:t>
            </w:r>
          </w:p>
        </w:tc>
        <w:tc>
          <w:tcPr>
            <w:tcW w:w="1984"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14:paraId="27FFDCEB" w14:textId="77777777" w:rsidR="00267AB0" w:rsidRDefault="00267AB0" w:rsidP="00AA653D">
            <w:pPr>
              <w:jc w:val="center"/>
              <w:rPr>
                <w:rFonts w:ascii="Tahoma" w:hAnsi="Tahoma" w:cs="Tahoma"/>
                <w:sz w:val="20"/>
                <w:szCs w:val="20"/>
              </w:rPr>
            </w:pPr>
            <w:r>
              <w:rPr>
                <w:rFonts w:ascii="Tahoma" w:hAnsi="Tahoma" w:cs="Tahoma"/>
                <w:sz w:val="20"/>
                <w:szCs w:val="20"/>
              </w:rPr>
              <w:t>24,35%</w:t>
            </w:r>
          </w:p>
        </w:tc>
        <w:tc>
          <w:tcPr>
            <w:tcW w:w="1559" w:type="dxa"/>
            <w:tcBorders>
              <w:top w:val="single" w:sz="4" w:space="0" w:color="auto"/>
              <w:left w:val="single" w:sz="4" w:space="0" w:color="auto"/>
              <w:bottom w:val="single" w:sz="4" w:space="0" w:color="auto"/>
              <w:right w:val="single" w:sz="4" w:space="0" w:color="auto"/>
            </w:tcBorders>
            <w:shd w:val="clear" w:color="000000" w:fill="FFFFFF"/>
            <w:vAlign w:val="center"/>
          </w:tcPr>
          <w:p w14:paraId="1DCADEF1" w14:textId="77777777" w:rsidR="00267AB0" w:rsidRPr="00542522" w:rsidRDefault="00267AB0" w:rsidP="00AA653D">
            <w:pPr>
              <w:jc w:val="center"/>
              <w:rPr>
                <w:rFonts w:ascii="Tahoma" w:hAnsi="Tahoma" w:cs="Tahoma"/>
                <w:sz w:val="20"/>
                <w:szCs w:val="20"/>
              </w:rPr>
            </w:pPr>
            <w:r w:rsidRPr="00542522">
              <w:rPr>
                <w:rFonts w:ascii="Tahoma" w:hAnsi="Tahoma" w:cs="Tahoma"/>
                <w:sz w:val="20"/>
                <w:szCs w:val="20"/>
              </w:rPr>
              <w:t>от 13 до 36 месяцев включительно</w:t>
            </w:r>
          </w:p>
        </w:tc>
        <w:tc>
          <w:tcPr>
            <w:tcW w:w="2127" w:type="dxa"/>
            <w:vMerge w:val="restart"/>
            <w:tcBorders>
              <w:top w:val="single" w:sz="4" w:space="0" w:color="auto"/>
              <w:left w:val="single" w:sz="4" w:space="0" w:color="auto"/>
              <w:right w:val="single" w:sz="4" w:space="0" w:color="000000"/>
            </w:tcBorders>
            <w:shd w:val="clear" w:color="000000" w:fill="FFFFFF"/>
            <w:vAlign w:val="center"/>
          </w:tcPr>
          <w:p w14:paraId="0AD7868A" w14:textId="77777777" w:rsidR="00267AB0" w:rsidRPr="008A1C41" w:rsidRDefault="00267AB0" w:rsidP="00AA653D">
            <w:pPr>
              <w:jc w:val="center"/>
              <w:rPr>
                <w:rFonts w:ascii="Tahoma" w:hAnsi="Tahoma" w:cs="Tahoma"/>
                <w:sz w:val="20"/>
                <w:szCs w:val="20"/>
              </w:rPr>
            </w:pPr>
            <w:r w:rsidRPr="008A1C41">
              <w:rPr>
                <w:rFonts w:ascii="Tahoma" w:hAnsi="Tahoma" w:cs="Tahoma"/>
                <w:sz w:val="20"/>
                <w:szCs w:val="20"/>
              </w:rPr>
              <w:t>Не требуется</w:t>
            </w:r>
            <w:r w:rsidRPr="008A1C41">
              <w:rPr>
                <w:rFonts w:ascii="Tahoma" w:hAnsi="Tahoma" w:cs="Tahoma"/>
                <w:sz w:val="20"/>
                <w:szCs w:val="20"/>
              </w:rPr>
              <w:br/>
              <w:t xml:space="preserve">(по желанию Заемщика для снижения процентной ставки и/или увеличения суммы Кредита может быть предоставлен </w:t>
            </w:r>
            <w:r>
              <w:rPr>
                <w:rFonts w:ascii="Tahoma" w:hAnsi="Tahoma" w:cs="Tahoma"/>
                <w:sz w:val="20"/>
                <w:szCs w:val="20"/>
              </w:rPr>
              <w:t xml:space="preserve">твердый </w:t>
            </w:r>
            <w:r w:rsidRPr="008A1C41">
              <w:rPr>
                <w:rFonts w:ascii="Tahoma" w:hAnsi="Tahoma" w:cs="Tahoma"/>
                <w:sz w:val="20"/>
                <w:szCs w:val="20"/>
              </w:rPr>
              <w:t>залог)</w:t>
            </w:r>
          </w:p>
        </w:tc>
        <w:tc>
          <w:tcPr>
            <w:tcW w:w="2501" w:type="dxa"/>
            <w:gridSpan w:val="2"/>
            <w:vMerge w:val="restart"/>
            <w:tcBorders>
              <w:top w:val="single" w:sz="4" w:space="0" w:color="auto"/>
              <w:left w:val="nil"/>
              <w:right w:val="single" w:sz="4" w:space="0" w:color="000000"/>
            </w:tcBorders>
            <w:shd w:val="clear" w:color="000000" w:fill="FFFFFF"/>
            <w:vAlign w:val="center"/>
          </w:tcPr>
          <w:p w14:paraId="09511E73" w14:textId="77777777" w:rsidR="00267AB0" w:rsidRPr="00610AD5" w:rsidRDefault="00267AB0" w:rsidP="00AA653D">
            <w:pPr>
              <w:jc w:val="center"/>
              <w:rPr>
                <w:rFonts w:ascii="Tahoma" w:hAnsi="Tahoma" w:cs="Tahoma"/>
                <w:sz w:val="20"/>
                <w:szCs w:val="20"/>
              </w:rPr>
            </w:pPr>
            <w:r w:rsidRPr="00610AD5">
              <w:rPr>
                <w:rFonts w:ascii="Tahoma" w:hAnsi="Tahoma" w:cs="Tahoma"/>
                <w:sz w:val="20"/>
                <w:szCs w:val="20"/>
              </w:rPr>
              <w:t xml:space="preserve">Поручительство супруга/супруги Заемщика (при отсутствии официально зарегистрированного супруга/супруги в случае, если Кредит на 100% не </w:t>
            </w:r>
            <w:r w:rsidRPr="008A1C41">
              <w:rPr>
                <w:rFonts w:ascii="Tahoma" w:hAnsi="Tahoma" w:cs="Tahoma"/>
                <w:sz w:val="20"/>
                <w:szCs w:val="20"/>
              </w:rPr>
              <w:t xml:space="preserve">обеспечен </w:t>
            </w:r>
            <w:r>
              <w:rPr>
                <w:rFonts w:ascii="Tahoma" w:hAnsi="Tahoma" w:cs="Tahoma"/>
                <w:sz w:val="20"/>
                <w:szCs w:val="20"/>
              </w:rPr>
              <w:t xml:space="preserve">твердым </w:t>
            </w:r>
            <w:r w:rsidRPr="008A1C41">
              <w:rPr>
                <w:rFonts w:ascii="Tahoma" w:hAnsi="Tahoma" w:cs="Tahoma"/>
                <w:sz w:val="20"/>
                <w:szCs w:val="20"/>
              </w:rPr>
              <w:t>залогом,</w:t>
            </w:r>
            <w:r w:rsidRPr="00610AD5">
              <w:rPr>
                <w:rFonts w:ascii="Tahoma" w:hAnsi="Tahoma" w:cs="Tahoma"/>
                <w:sz w:val="20"/>
                <w:szCs w:val="20"/>
              </w:rPr>
              <w:t xml:space="preserve"> принимается поручительство иного физического/юридического лица)</w:t>
            </w:r>
          </w:p>
        </w:tc>
      </w:tr>
      <w:tr w:rsidR="00267AB0" w:rsidRPr="00610AD5" w14:paraId="45783FCB" w14:textId="77777777" w:rsidTr="00AA653D">
        <w:trPr>
          <w:trHeight w:val="1284"/>
        </w:trPr>
        <w:tc>
          <w:tcPr>
            <w:tcW w:w="4355" w:type="dxa"/>
            <w:vMerge/>
            <w:tcBorders>
              <w:left w:val="single" w:sz="8" w:space="0" w:color="auto"/>
              <w:right w:val="single" w:sz="4" w:space="0" w:color="000000"/>
            </w:tcBorders>
            <w:shd w:val="clear" w:color="auto" w:fill="auto"/>
            <w:vAlign w:val="center"/>
          </w:tcPr>
          <w:p w14:paraId="7AD9E0B5" w14:textId="77777777" w:rsidR="00267AB0" w:rsidRPr="00610AD5" w:rsidRDefault="00267AB0" w:rsidP="00AA653D">
            <w:pPr>
              <w:rPr>
                <w:rFonts w:ascii="Tahoma" w:hAnsi="Tahoma" w:cs="Tahoma"/>
                <w:b/>
                <w:bCs/>
                <w:sz w:val="20"/>
                <w:szCs w:val="20"/>
              </w:rPr>
            </w:pPr>
          </w:p>
        </w:tc>
        <w:tc>
          <w:tcPr>
            <w:tcW w:w="1042" w:type="dxa"/>
            <w:vMerge/>
            <w:tcBorders>
              <w:left w:val="nil"/>
              <w:bottom w:val="single" w:sz="4" w:space="0" w:color="auto"/>
              <w:right w:val="single" w:sz="4" w:space="0" w:color="000000"/>
            </w:tcBorders>
            <w:shd w:val="clear" w:color="000000" w:fill="FFFFFF"/>
            <w:vAlign w:val="center"/>
          </w:tcPr>
          <w:p w14:paraId="138E71CC" w14:textId="77777777" w:rsidR="00267AB0" w:rsidRPr="00610AD5" w:rsidRDefault="00267AB0" w:rsidP="00AA653D">
            <w:pPr>
              <w:jc w:val="center"/>
              <w:rPr>
                <w:rFonts w:ascii="Tahoma" w:hAnsi="Tahoma" w:cs="Tahoma"/>
                <w:sz w:val="20"/>
                <w:szCs w:val="20"/>
              </w:rPr>
            </w:pPr>
          </w:p>
        </w:tc>
        <w:tc>
          <w:tcPr>
            <w:tcW w:w="1843" w:type="dxa"/>
            <w:vMerge/>
            <w:tcBorders>
              <w:left w:val="nil"/>
              <w:bottom w:val="single" w:sz="4" w:space="0" w:color="auto"/>
              <w:right w:val="single" w:sz="4" w:space="0" w:color="auto"/>
            </w:tcBorders>
            <w:shd w:val="clear" w:color="000000" w:fill="FFFFFF"/>
            <w:vAlign w:val="center"/>
          </w:tcPr>
          <w:p w14:paraId="5AB06444" w14:textId="77777777" w:rsidR="00267AB0" w:rsidRPr="00610AD5" w:rsidRDefault="00267AB0" w:rsidP="00AA653D">
            <w:pPr>
              <w:jc w:val="center"/>
              <w:rPr>
                <w:rFonts w:ascii="Tahoma" w:hAnsi="Tahoma" w:cs="Tahoma"/>
                <w:sz w:val="20"/>
                <w:szCs w:val="20"/>
              </w:rPr>
            </w:pPr>
          </w:p>
        </w:tc>
        <w:tc>
          <w:tcPr>
            <w:tcW w:w="1984"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14:paraId="3C0377A5" w14:textId="77777777" w:rsidR="00267AB0" w:rsidRDefault="00267AB0" w:rsidP="00AA653D">
            <w:pPr>
              <w:jc w:val="center"/>
              <w:rPr>
                <w:rFonts w:ascii="Tahoma" w:hAnsi="Tahoma" w:cs="Tahoma"/>
                <w:sz w:val="20"/>
                <w:szCs w:val="20"/>
              </w:rPr>
            </w:pPr>
            <w:r>
              <w:rPr>
                <w:rFonts w:ascii="Tahoma" w:hAnsi="Tahoma" w:cs="Tahoma"/>
                <w:sz w:val="20"/>
                <w:szCs w:val="20"/>
              </w:rPr>
              <w:t>25,05%</w:t>
            </w:r>
          </w:p>
        </w:tc>
        <w:tc>
          <w:tcPr>
            <w:tcW w:w="1559" w:type="dxa"/>
            <w:tcBorders>
              <w:top w:val="single" w:sz="4" w:space="0" w:color="auto"/>
              <w:left w:val="single" w:sz="4" w:space="0" w:color="auto"/>
              <w:bottom w:val="single" w:sz="4" w:space="0" w:color="auto"/>
              <w:right w:val="single" w:sz="4" w:space="0" w:color="auto"/>
            </w:tcBorders>
            <w:shd w:val="clear" w:color="000000" w:fill="FFFFFF"/>
            <w:vAlign w:val="center"/>
          </w:tcPr>
          <w:p w14:paraId="6C11C0D7" w14:textId="77777777" w:rsidR="00267AB0" w:rsidRPr="00542522" w:rsidRDefault="00267AB0" w:rsidP="00AA653D">
            <w:pPr>
              <w:jc w:val="center"/>
              <w:rPr>
                <w:rFonts w:ascii="Tahoma" w:hAnsi="Tahoma" w:cs="Tahoma"/>
                <w:sz w:val="20"/>
                <w:szCs w:val="20"/>
              </w:rPr>
            </w:pPr>
            <w:r w:rsidRPr="00542522">
              <w:rPr>
                <w:rFonts w:ascii="Tahoma" w:hAnsi="Tahoma" w:cs="Tahoma"/>
                <w:sz w:val="20"/>
                <w:szCs w:val="20"/>
              </w:rPr>
              <w:t>от 13 до 36 месяцев включительно</w:t>
            </w:r>
          </w:p>
        </w:tc>
        <w:tc>
          <w:tcPr>
            <w:tcW w:w="2127" w:type="dxa"/>
            <w:vMerge/>
            <w:tcBorders>
              <w:left w:val="single" w:sz="4" w:space="0" w:color="auto"/>
              <w:bottom w:val="single" w:sz="4" w:space="0" w:color="auto"/>
              <w:right w:val="single" w:sz="4" w:space="0" w:color="000000"/>
            </w:tcBorders>
            <w:shd w:val="clear" w:color="000000" w:fill="FFFFFF"/>
            <w:vAlign w:val="center"/>
          </w:tcPr>
          <w:p w14:paraId="001FF863" w14:textId="77777777" w:rsidR="00267AB0" w:rsidRPr="008A1C41" w:rsidRDefault="00267AB0" w:rsidP="00AA653D">
            <w:pPr>
              <w:jc w:val="center"/>
              <w:rPr>
                <w:rFonts w:ascii="Tahoma" w:hAnsi="Tahoma" w:cs="Tahoma"/>
                <w:sz w:val="20"/>
                <w:szCs w:val="20"/>
              </w:rPr>
            </w:pPr>
          </w:p>
        </w:tc>
        <w:tc>
          <w:tcPr>
            <w:tcW w:w="2501" w:type="dxa"/>
            <w:gridSpan w:val="2"/>
            <w:vMerge/>
            <w:tcBorders>
              <w:left w:val="nil"/>
              <w:right w:val="single" w:sz="4" w:space="0" w:color="000000"/>
            </w:tcBorders>
            <w:shd w:val="clear" w:color="000000" w:fill="FFFFFF"/>
            <w:vAlign w:val="center"/>
          </w:tcPr>
          <w:p w14:paraId="6588A03D" w14:textId="77777777" w:rsidR="00267AB0" w:rsidRPr="00610AD5" w:rsidRDefault="00267AB0" w:rsidP="00AA653D">
            <w:pPr>
              <w:jc w:val="center"/>
              <w:rPr>
                <w:rFonts w:ascii="Tahoma" w:hAnsi="Tahoma" w:cs="Tahoma"/>
                <w:sz w:val="20"/>
                <w:szCs w:val="20"/>
              </w:rPr>
            </w:pPr>
          </w:p>
        </w:tc>
      </w:tr>
      <w:tr w:rsidR="00267AB0" w:rsidRPr="00610AD5" w14:paraId="1D502A7C" w14:textId="77777777" w:rsidTr="00AA653D">
        <w:trPr>
          <w:trHeight w:val="934"/>
        </w:trPr>
        <w:tc>
          <w:tcPr>
            <w:tcW w:w="4355" w:type="dxa"/>
            <w:vMerge/>
            <w:tcBorders>
              <w:left w:val="single" w:sz="8" w:space="0" w:color="auto"/>
              <w:right w:val="single" w:sz="4" w:space="0" w:color="000000"/>
            </w:tcBorders>
            <w:shd w:val="clear" w:color="auto" w:fill="auto"/>
            <w:vAlign w:val="center"/>
          </w:tcPr>
          <w:p w14:paraId="31342BBC" w14:textId="77777777" w:rsidR="00267AB0" w:rsidRPr="00610AD5" w:rsidRDefault="00267AB0" w:rsidP="00AA653D">
            <w:pPr>
              <w:rPr>
                <w:rFonts w:ascii="Tahoma" w:hAnsi="Tahoma" w:cs="Tahoma"/>
                <w:b/>
                <w:bCs/>
                <w:sz w:val="20"/>
                <w:szCs w:val="20"/>
              </w:rPr>
            </w:pPr>
          </w:p>
        </w:tc>
        <w:tc>
          <w:tcPr>
            <w:tcW w:w="1042" w:type="dxa"/>
            <w:vMerge w:val="restart"/>
            <w:tcBorders>
              <w:top w:val="single" w:sz="4" w:space="0" w:color="auto"/>
              <w:left w:val="nil"/>
              <w:right w:val="single" w:sz="4" w:space="0" w:color="000000"/>
            </w:tcBorders>
            <w:shd w:val="clear" w:color="000000" w:fill="FFFFFF"/>
            <w:vAlign w:val="center"/>
          </w:tcPr>
          <w:p w14:paraId="397E8EBC" w14:textId="77777777" w:rsidR="00267AB0" w:rsidRPr="00610AD5" w:rsidRDefault="00267AB0" w:rsidP="00AA653D">
            <w:pPr>
              <w:jc w:val="center"/>
              <w:rPr>
                <w:rFonts w:ascii="Tahoma" w:hAnsi="Tahoma" w:cs="Tahoma"/>
                <w:sz w:val="20"/>
                <w:szCs w:val="20"/>
              </w:rPr>
            </w:pPr>
            <w:r w:rsidRPr="00610AD5">
              <w:rPr>
                <w:rFonts w:ascii="Tahoma" w:hAnsi="Tahoma" w:cs="Tahoma"/>
                <w:sz w:val="20"/>
                <w:szCs w:val="20"/>
              </w:rPr>
              <w:t>Кредит с залогом</w:t>
            </w:r>
          </w:p>
        </w:tc>
        <w:tc>
          <w:tcPr>
            <w:tcW w:w="1843" w:type="dxa"/>
            <w:vMerge w:val="restart"/>
            <w:tcBorders>
              <w:top w:val="single" w:sz="4" w:space="0" w:color="auto"/>
              <w:left w:val="nil"/>
              <w:right w:val="single" w:sz="4" w:space="0" w:color="auto"/>
            </w:tcBorders>
            <w:shd w:val="clear" w:color="000000" w:fill="FFFFFF"/>
            <w:vAlign w:val="center"/>
          </w:tcPr>
          <w:p w14:paraId="4736880E" w14:textId="77777777" w:rsidR="00267AB0" w:rsidRPr="00610AD5" w:rsidRDefault="00267AB0" w:rsidP="00AA653D">
            <w:pPr>
              <w:jc w:val="center"/>
              <w:rPr>
                <w:rFonts w:ascii="Tahoma" w:hAnsi="Tahoma" w:cs="Tahoma"/>
                <w:sz w:val="20"/>
                <w:szCs w:val="20"/>
              </w:rPr>
            </w:pPr>
            <w:r>
              <w:rPr>
                <w:rFonts w:ascii="Tahoma" w:hAnsi="Tahoma" w:cs="Tahoma"/>
                <w:sz w:val="20"/>
                <w:szCs w:val="20"/>
              </w:rPr>
              <w:t xml:space="preserve">До </w:t>
            </w:r>
            <w:r w:rsidRPr="00610AD5">
              <w:rPr>
                <w:rFonts w:ascii="Tahoma" w:hAnsi="Tahoma" w:cs="Tahoma"/>
                <w:sz w:val="20"/>
                <w:szCs w:val="20"/>
              </w:rPr>
              <w:t>5 000 000</w:t>
            </w:r>
          </w:p>
        </w:tc>
        <w:tc>
          <w:tcPr>
            <w:tcW w:w="1984"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14:paraId="120E5F0D" w14:textId="77777777" w:rsidR="00267AB0" w:rsidRDefault="00267AB0" w:rsidP="00AA653D">
            <w:pPr>
              <w:jc w:val="center"/>
              <w:rPr>
                <w:rFonts w:ascii="Tahoma" w:hAnsi="Tahoma" w:cs="Tahoma"/>
                <w:sz w:val="20"/>
                <w:szCs w:val="20"/>
              </w:rPr>
            </w:pPr>
            <w:r>
              <w:rPr>
                <w:rFonts w:ascii="Tahoma" w:hAnsi="Tahoma" w:cs="Tahoma"/>
                <w:sz w:val="20"/>
                <w:szCs w:val="20"/>
              </w:rPr>
              <w:t>23,70%</w:t>
            </w:r>
          </w:p>
        </w:tc>
        <w:tc>
          <w:tcPr>
            <w:tcW w:w="1559" w:type="dxa"/>
            <w:tcBorders>
              <w:top w:val="single" w:sz="4" w:space="0" w:color="auto"/>
              <w:left w:val="single" w:sz="4" w:space="0" w:color="auto"/>
              <w:bottom w:val="single" w:sz="4" w:space="0" w:color="auto"/>
              <w:right w:val="single" w:sz="4" w:space="0" w:color="auto"/>
            </w:tcBorders>
            <w:shd w:val="clear" w:color="000000" w:fill="FFFFFF"/>
            <w:vAlign w:val="center"/>
          </w:tcPr>
          <w:p w14:paraId="4C6120A8" w14:textId="77777777" w:rsidR="00267AB0" w:rsidRPr="00542522" w:rsidRDefault="00267AB0" w:rsidP="00AA653D">
            <w:pPr>
              <w:jc w:val="center"/>
              <w:rPr>
                <w:rFonts w:ascii="Tahoma" w:hAnsi="Tahoma" w:cs="Tahoma"/>
                <w:sz w:val="20"/>
                <w:szCs w:val="20"/>
              </w:rPr>
            </w:pPr>
            <w:r w:rsidRPr="00542522">
              <w:rPr>
                <w:rFonts w:ascii="Tahoma" w:hAnsi="Tahoma" w:cs="Tahoma"/>
                <w:sz w:val="20"/>
                <w:szCs w:val="20"/>
              </w:rPr>
              <w:t>От 13 до 36 месяцев включительно</w:t>
            </w:r>
          </w:p>
        </w:tc>
        <w:tc>
          <w:tcPr>
            <w:tcW w:w="2127" w:type="dxa"/>
            <w:vMerge w:val="restart"/>
            <w:tcBorders>
              <w:top w:val="single" w:sz="4" w:space="0" w:color="auto"/>
              <w:left w:val="single" w:sz="4" w:space="0" w:color="auto"/>
              <w:right w:val="single" w:sz="4" w:space="0" w:color="000000"/>
            </w:tcBorders>
            <w:shd w:val="clear" w:color="000000" w:fill="FFFFFF"/>
            <w:vAlign w:val="center"/>
          </w:tcPr>
          <w:p w14:paraId="452EA9F1" w14:textId="77777777" w:rsidR="00267AB0" w:rsidRPr="008A1C41" w:rsidRDefault="00267AB0" w:rsidP="00AA653D">
            <w:pPr>
              <w:jc w:val="center"/>
              <w:rPr>
                <w:rFonts w:ascii="Tahoma" w:hAnsi="Tahoma" w:cs="Tahoma"/>
                <w:sz w:val="20"/>
                <w:szCs w:val="20"/>
              </w:rPr>
            </w:pPr>
            <w:r>
              <w:rPr>
                <w:rFonts w:ascii="Tahoma" w:hAnsi="Tahoma" w:cs="Tahoma"/>
                <w:sz w:val="20"/>
                <w:szCs w:val="20"/>
              </w:rPr>
              <w:t>Твердый з</w:t>
            </w:r>
            <w:r w:rsidRPr="008A1C41">
              <w:rPr>
                <w:rFonts w:ascii="Tahoma" w:hAnsi="Tahoma" w:cs="Tahoma"/>
                <w:sz w:val="20"/>
                <w:szCs w:val="20"/>
              </w:rPr>
              <w:t>алог на всю сумму Кредита</w:t>
            </w:r>
          </w:p>
        </w:tc>
        <w:tc>
          <w:tcPr>
            <w:tcW w:w="2501" w:type="dxa"/>
            <w:gridSpan w:val="2"/>
            <w:vMerge/>
            <w:tcBorders>
              <w:left w:val="nil"/>
              <w:right w:val="single" w:sz="4" w:space="0" w:color="000000"/>
            </w:tcBorders>
            <w:shd w:val="clear" w:color="000000" w:fill="FFFFFF"/>
            <w:vAlign w:val="center"/>
          </w:tcPr>
          <w:p w14:paraId="2A3A6562" w14:textId="77777777" w:rsidR="00267AB0" w:rsidRPr="00610AD5" w:rsidRDefault="00267AB0" w:rsidP="00AA653D">
            <w:pPr>
              <w:jc w:val="center"/>
              <w:rPr>
                <w:rFonts w:ascii="Tahoma" w:hAnsi="Tahoma" w:cs="Tahoma"/>
                <w:sz w:val="20"/>
                <w:szCs w:val="20"/>
              </w:rPr>
            </w:pPr>
          </w:p>
        </w:tc>
      </w:tr>
      <w:tr w:rsidR="00267AB0" w:rsidRPr="00610AD5" w14:paraId="38131472" w14:textId="77777777" w:rsidTr="00AA653D">
        <w:trPr>
          <w:trHeight w:val="645"/>
        </w:trPr>
        <w:tc>
          <w:tcPr>
            <w:tcW w:w="4355" w:type="dxa"/>
            <w:vMerge/>
            <w:tcBorders>
              <w:left w:val="single" w:sz="8" w:space="0" w:color="auto"/>
              <w:bottom w:val="single" w:sz="4" w:space="0" w:color="auto"/>
              <w:right w:val="single" w:sz="4" w:space="0" w:color="000000"/>
            </w:tcBorders>
            <w:shd w:val="clear" w:color="auto" w:fill="auto"/>
            <w:vAlign w:val="center"/>
          </w:tcPr>
          <w:p w14:paraId="277A8E45" w14:textId="77777777" w:rsidR="00267AB0" w:rsidRPr="00610AD5" w:rsidRDefault="00267AB0" w:rsidP="00AA653D">
            <w:pPr>
              <w:rPr>
                <w:rFonts w:ascii="Tahoma" w:hAnsi="Tahoma" w:cs="Tahoma"/>
                <w:b/>
                <w:bCs/>
                <w:sz w:val="20"/>
                <w:szCs w:val="20"/>
              </w:rPr>
            </w:pPr>
          </w:p>
        </w:tc>
        <w:tc>
          <w:tcPr>
            <w:tcW w:w="1042" w:type="dxa"/>
            <w:vMerge/>
            <w:tcBorders>
              <w:left w:val="nil"/>
              <w:bottom w:val="single" w:sz="4" w:space="0" w:color="auto"/>
              <w:right w:val="single" w:sz="4" w:space="0" w:color="000000"/>
            </w:tcBorders>
            <w:shd w:val="clear" w:color="000000" w:fill="FFFFFF"/>
            <w:vAlign w:val="center"/>
          </w:tcPr>
          <w:p w14:paraId="23B0C1E3" w14:textId="77777777" w:rsidR="00267AB0" w:rsidRPr="00610AD5" w:rsidRDefault="00267AB0" w:rsidP="00AA653D">
            <w:pPr>
              <w:jc w:val="center"/>
              <w:rPr>
                <w:rFonts w:ascii="Tahoma" w:hAnsi="Tahoma" w:cs="Tahoma"/>
                <w:sz w:val="20"/>
                <w:szCs w:val="20"/>
              </w:rPr>
            </w:pPr>
          </w:p>
        </w:tc>
        <w:tc>
          <w:tcPr>
            <w:tcW w:w="1843" w:type="dxa"/>
            <w:vMerge/>
            <w:tcBorders>
              <w:left w:val="nil"/>
              <w:bottom w:val="single" w:sz="4" w:space="0" w:color="auto"/>
              <w:right w:val="single" w:sz="4" w:space="0" w:color="auto"/>
            </w:tcBorders>
            <w:shd w:val="clear" w:color="000000" w:fill="FFFFFF"/>
            <w:vAlign w:val="center"/>
          </w:tcPr>
          <w:p w14:paraId="4F0AEC9E" w14:textId="77777777" w:rsidR="00267AB0" w:rsidRPr="00610AD5" w:rsidRDefault="00267AB0" w:rsidP="00AA653D">
            <w:pPr>
              <w:jc w:val="center"/>
              <w:rPr>
                <w:rFonts w:ascii="Tahoma" w:hAnsi="Tahoma" w:cs="Tahoma"/>
                <w:sz w:val="20"/>
                <w:szCs w:val="20"/>
              </w:rPr>
            </w:pPr>
          </w:p>
        </w:tc>
        <w:tc>
          <w:tcPr>
            <w:tcW w:w="1984"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14:paraId="71244A5A" w14:textId="77777777" w:rsidR="00267AB0" w:rsidRDefault="00267AB0" w:rsidP="00AA653D">
            <w:pPr>
              <w:jc w:val="center"/>
              <w:rPr>
                <w:rFonts w:ascii="Tahoma" w:hAnsi="Tahoma" w:cs="Tahoma"/>
                <w:sz w:val="20"/>
                <w:szCs w:val="20"/>
              </w:rPr>
            </w:pPr>
            <w:r>
              <w:rPr>
                <w:rFonts w:ascii="Tahoma" w:hAnsi="Tahoma" w:cs="Tahoma"/>
                <w:sz w:val="20"/>
                <w:szCs w:val="20"/>
              </w:rPr>
              <w:t>24,15%</w:t>
            </w:r>
          </w:p>
        </w:tc>
        <w:tc>
          <w:tcPr>
            <w:tcW w:w="1559" w:type="dxa"/>
            <w:tcBorders>
              <w:top w:val="single" w:sz="4" w:space="0" w:color="auto"/>
              <w:left w:val="single" w:sz="4" w:space="0" w:color="auto"/>
              <w:bottom w:val="single" w:sz="4" w:space="0" w:color="auto"/>
              <w:right w:val="single" w:sz="4" w:space="0" w:color="auto"/>
            </w:tcBorders>
            <w:shd w:val="clear" w:color="000000" w:fill="FFFFFF"/>
            <w:vAlign w:val="center"/>
          </w:tcPr>
          <w:p w14:paraId="1845608C" w14:textId="77777777" w:rsidR="00267AB0" w:rsidRPr="00542522" w:rsidRDefault="00267AB0" w:rsidP="00AA653D">
            <w:pPr>
              <w:jc w:val="center"/>
              <w:rPr>
                <w:rFonts w:ascii="Tahoma" w:hAnsi="Tahoma" w:cs="Tahoma"/>
                <w:sz w:val="20"/>
                <w:szCs w:val="20"/>
              </w:rPr>
            </w:pPr>
            <w:r w:rsidRPr="00542522">
              <w:rPr>
                <w:rFonts w:ascii="Tahoma" w:hAnsi="Tahoma" w:cs="Tahoma"/>
                <w:sz w:val="20"/>
                <w:szCs w:val="20"/>
              </w:rPr>
              <w:t xml:space="preserve">Свыше 36 до 60 месяцев включительно </w:t>
            </w:r>
          </w:p>
        </w:tc>
        <w:tc>
          <w:tcPr>
            <w:tcW w:w="2127" w:type="dxa"/>
            <w:vMerge/>
            <w:tcBorders>
              <w:left w:val="single" w:sz="4" w:space="0" w:color="auto"/>
              <w:bottom w:val="single" w:sz="4" w:space="0" w:color="auto"/>
              <w:right w:val="single" w:sz="4" w:space="0" w:color="000000"/>
            </w:tcBorders>
            <w:shd w:val="clear" w:color="000000" w:fill="FFFFFF"/>
            <w:vAlign w:val="center"/>
          </w:tcPr>
          <w:p w14:paraId="3895AC75" w14:textId="77777777" w:rsidR="00267AB0" w:rsidRPr="008A1C41" w:rsidRDefault="00267AB0" w:rsidP="00AA653D">
            <w:pPr>
              <w:jc w:val="center"/>
              <w:rPr>
                <w:rFonts w:ascii="Tahoma" w:hAnsi="Tahoma" w:cs="Tahoma"/>
                <w:sz w:val="20"/>
                <w:szCs w:val="20"/>
              </w:rPr>
            </w:pPr>
          </w:p>
        </w:tc>
        <w:tc>
          <w:tcPr>
            <w:tcW w:w="2501" w:type="dxa"/>
            <w:gridSpan w:val="2"/>
            <w:vMerge/>
            <w:tcBorders>
              <w:left w:val="nil"/>
              <w:bottom w:val="single" w:sz="4" w:space="0" w:color="auto"/>
              <w:right w:val="single" w:sz="4" w:space="0" w:color="000000"/>
            </w:tcBorders>
            <w:shd w:val="clear" w:color="000000" w:fill="FFFFFF"/>
            <w:vAlign w:val="center"/>
          </w:tcPr>
          <w:p w14:paraId="6105D6EC" w14:textId="77777777" w:rsidR="00267AB0" w:rsidRPr="00610AD5" w:rsidRDefault="00267AB0" w:rsidP="00AA653D">
            <w:pPr>
              <w:jc w:val="center"/>
              <w:rPr>
                <w:rFonts w:ascii="Tahoma" w:hAnsi="Tahoma" w:cs="Tahoma"/>
                <w:sz w:val="20"/>
                <w:szCs w:val="20"/>
              </w:rPr>
            </w:pPr>
          </w:p>
        </w:tc>
      </w:tr>
      <w:tr w:rsidR="00267AB0" w:rsidRPr="00610AD5" w14:paraId="5BF8B363" w14:textId="77777777" w:rsidTr="00AA653D">
        <w:trPr>
          <w:trHeight w:val="635"/>
        </w:trPr>
        <w:tc>
          <w:tcPr>
            <w:tcW w:w="4355" w:type="dxa"/>
            <w:vMerge w:val="restart"/>
            <w:tcBorders>
              <w:left w:val="single" w:sz="8" w:space="0" w:color="auto"/>
              <w:right w:val="single" w:sz="4" w:space="0" w:color="000000"/>
            </w:tcBorders>
            <w:shd w:val="clear" w:color="auto" w:fill="auto"/>
            <w:vAlign w:val="center"/>
          </w:tcPr>
          <w:p w14:paraId="4F0424CB" w14:textId="77777777" w:rsidR="00267AB0" w:rsidRPr="00610AD5" w:rsidRDefault="00267AB0" w:rsidP="00AA653D">
            <w:pPr>
              <w:rPr>
                <w:rFonts w:ascii="Tahoma" w:hAnsi="Tahoma" w:cs="Tahoma"/>
                <w:b/>
                <w:bCs/>
                <w:sz w:val="20"/>
                <w:szCs w:val="20"/>
              </w:rPr>
            </w:pPr>
            <w:r w:rsidRPr="00610AD5">
              <w:rPr>
                <w:rFonts w:ascii="Tahoma" w:hAnsi="Tahoma" w:cs="Tahoma"/>
                <w:b/>
                <w:bCs/>
                <w:sz w:val="20"/>
                <w:szCs w:val="20"/>
              </w:rPr>
              <w:t>Возможные скидки к базовой процентной ставке (могут суммироваться)</w:t>
            </w:r>
          </w:p>
          <w:p w14:paraId="6D044F3E" w14:textId="77777777" w:rsidR="00267AB0" w:rsidRPr="00610AD5" w:rsidRDefault="00267AB0" w:rsidP="00AA653D">
            <w:pPr>
              <w:rPr>
                <w:rFonts w:ascii="Tahoma" w:hAnsi="Tahoma" w:cs="Tahoma"/>
                <w:b/>
                <w:bCs/>
                <w:sz w:val="20"/>
                <w:szCs w:val="20"/>
              </w:rPr>
            </w:pPr>
          </w:p>
        </w:tc>
        <w:tc>
          <w:tcPr>
            <w:tcW w:w="4869" w:type="dxa"/>
            <w:gridSpan w:val="4"/>
            <w:tcBorders>
              <w:top w:val="single" w:sz="4" w:space="0" w:color="auto"/>
              <w:left w:val="nil"/>
              <w:bottom w:val="single" w:sz="4" w:space="0" w:color="auto"/>
              <w:right w:val="single" w:sz="4" w:space="0" w:color="000000"/>
            </w:tcBorders>
            <w:shd w:val="clear" w:color="000000" w:fill="FFFFFF"/>
          </w:tcPr>
          <w:p w14:paraId="5960F303" w14:textId="77777777" w:rsidR="00267AB0" w:rsidRPr="00610AD5" w:rsidRDefault="00267AB0" w:rsidP="00AA653D">
            <w:pPr>
              <w:rPr>
                <w:rFonts w:ascii="Tahoma" w:hAnsi="Tahoma" w:cs="Tahoma"/>
                <w:sz w:val="20"/>
                <w:szCs w:val="20"/>
              </w:rPr>
            </w:pPr>
            <w:r w:rsidRPr="00610AD5">
              <w:rPr>
                <w:rFonts w:ascii="Tahoma" w:hAnsi="Tahoma" w:cs="Tahoma"/>
                <w:bCs/>
                <w:sz w:val="20"/>
                <w:szCs w:val="20"/>
              </w:rPr>
              <w:t>1.</w:t>
            </w:r>
            <w:r w:rsidRPr="00610AD5">
              <w:rPr>
                <w:rFonts w:ascii="Tahoma" w:hAnsi="Tahoma" w:cs="Tahoma"/>
                <w:sz w:val="20"/>
                <w:szCs w:val="20"/>
              </w:rPr>
              <w:t xml:space="preserve"> </w:t>
            </w:r>
            <w:r w:rsidRPr="00610AD5">
              <w:rPr>
                <w:rFonts w:ascii="Tahoma" w:hAnsi="Tahoma" w:cs="Tahoma"/>
                <w:bCs/>
                <w:sz w:val="20"/>
                <w:szCs w:val="20"/>
              </w:rPr>
              <w:t xml:space="preserve">Наличие </w:t>
            </w:r>
            <w:r w:rsidRPr="008A1C41">
              <w:rPr>
                <w:rFonts w:ascii="Tahoma" w:hAnsi="Tahoma" w:cs="Tahoma"/>
                <w:bCs/>
                <w:sz w:val="20"/>
                <w:szCs w:val="20"/>
              </w:rPr>
              <w:t>обеспечения в виде залога (от 50% суммы Кредита, только для Кредита без залога)</w:t>
            </w:r>
            <w:r>
              <w:rPr>
                <w:rFonts w:ascii="Tahoma" w:hAnsi="Tahoma" w:cs="Tahoma"/>
                <w:bCs/>
                <w:sz w:val="20"/>
                <w:szCs w:val="20"/>
              </w:rPr>
              <w:t xml:space="preserve"> </w:t>
            </w:r>
            <w:r w:rsidRPr="009D4EDC">
              <w:rPr>
                <w:rFonts w:ascii="Tahoma" w:hAnsi="Tahoma" w:cs="Tahoma"/>
                <w:bCs/>
                <w:sz w:val="20"/>
                <w:szCs w:val="20"/>
                <w:vertAlign w:val="superscript"/>
              </w:rPr>
              <w:t>5</w:t>
            </w:r>
            <w:r w:rsidRPr="008A1C41">
              <w:rPr>
                <w:rFonts w:ascii="Tahoma" w:hAnsi="Tahoma" w:cs="Tahoma"/>
                <w:bCs/>
                <w:sz w:val="20"/>
                <w:szCs w:val="20"/>
              </w:rPr>
              <w:t>.</w:t>
            </w:r>
          </w:p>
        </w:tc>
        <w:tc>
          <w:tcPr>
            <w:tcW w:w="6187" w:type="dxa"/>
            <w:gridSpan w:val="4"/>
            <w:tcBorders>
              <w:top w:val="single" w:sz="4" w:space="0" w:color="auto"/>
              <w:left w:val="nil"/>
              <w:bottom w:val="single" w:sz="4" w:space="0" w:color="auto"/>
              <w:right w:val="single" w:sz="4" w:space="0" w:color="000000"/>
            </w:tcBorders>
            <w:shd w:val="clear" w:color="000000" w:fill="FFFFFF"/>
          </w:tcPr>
          <w:p w14:paraId="77578CBC" w14:textId="77777777" w:rsidR="00267AB0" w:rsidRDefault="00267AB0" w:rsidP="00AA653D">
            <w:pPr>
              <w:rPr>
                <w:rFonts w:ascii="Tahoma" w:hAnsi="Tahoma" w:cs="Tahoma"/>
                <w:sz w:val="20"/>
                <w:szCs w:val="20"/>
              </w:rPr>
            </w:pPr>
            <w:r w:rsidRPr="008A1C41">
              <w:rPr>
                <w:rFonts w:ascii="Tahoma" w:hAnsi="Tahoma" w:cs="Tahoma"/>
                <w:sz w:val="20"/>
                <w:szCs w:val="20"/>
              </w:rPr>
              <w:t>Снижение базовой процентной ставки по Кредиту на 0,5 процентных пункта (предоставляется единоразово).</w:t>
            </w:r>
          </w:p>
          <w:p w14:paraId="74BEEF8C" w14:textId="77777777" w:rsidR="00267AB0" w:rsidRPr="008A1C41" w:rsidRDefault="00267AB0" w:rsidP="00AA653D">
            <w:pPr>
              <w:rPr>
                <w:rFonts w:ascii="Tahoma" w:hAnsi="Tahoma" w:cs="Tahoma"/>
                <w:sz w:val="20"/>
                <w:szCs w:val="20"/>
              </w:rPr>
            </w:pPr>
            <w:r w:rsidRPr="005B68F5">
              <w:rPr>
                <w:rFonts w:ascii="Tahoma" w:hAnsi="Tahoma" w:cs="Tahoma"/>
                <w:snapToGrid w:val="0"/>
                <w:sz w:val="20"/>
                <w:szCs w:val="20"/>
              </w:rPr>
              <w:t>Снижение производится от базовой процентной ставки, предусмотренной настоящим тарифным планом, одноразово на момент определения процентной ставки по Кредиту.</w:t>
            </w:r>
          </w:p>
        </w:tc>
      </w:tr>
      <w:tr w:rsidR="00267AB0" w:rsidRPr="00610AD5" w14:paraId="0DE1FA39" w14:textId="77777777" w:rsidTr="00AA653D">
        <w:trPr>
          <w:trHeight w:val="467"/>
        </w:trPr>
        <w:tc>
          <w:tcPr>
            <w:tcW w:w="4355" w:type="dxa"/>
            <w:vMerge/>
            <w:tcBorders>
              <w:left w:val="single" w:sz="8" w:space="0" w:color="auto"/>
              <w:right w:val="single" w:sz="4" w:space="0" w:color="000000"/>
            </w:tcBorders>
            <w:shd w:val="clear" w:color="auto" w:fill="auto"/>
            <w:vAlign w:val="center"/>
          </w:tcPr>
          <w:p w14:paraId="6F06BB99" w14:textId="77777777" w:rsidR="00267AB0" w:rsidRPr="00610AD5" w:rsidRDefault="00267AB0" w:rsidP="00AA653D">
            <w:pPr>
              <w:rPr>
                <w:rFonts w:ascii="Tahoma" w:hAnsi="Tahoma" w:cs="Tahoma"/>
                <w:b/>
                <w:bCs/>
                <w:sz w:val="20"/>
                <w:szCs w:val="20"/>
              </w:rPr>
            </w:pPr>
          </w:p>
        </w:tc>
        <w:tc>
          <w:tcPr>
            <w:tcW w:w="4869" w:type="dxa"/>
            <w:gridSpan w:val="4"/>
            <w:tcBorders>
              <w:top w:val="single" w:sz="4" w:space="0" w:color="auto"/>
              <w:left w:val="nil"/>
              <w:bottom w:val="single" w:sz="4" w:space="0" w:color="auto"/>
              <w:right w:val="single" w:sz="4" w:space="0" w:color="000000"/>
            </w:tcBorders>
            <w:shd w:val="clear" w:color="000000" w:fill="FFFFFF"/>
          </w:tcPr>
          <w:p w14:paraId="7057C63A" w14:textId="77777777" w:rsidR="00267AB0" w:rsidRPr="00610AD5" w:rsidRDefault="00267AB0" w:rsidP="00AA653D">
            <w:pPr>
              <w:rPr>
                <w:rFonts w:ascii="Tahoma" w:hAnsi="Tahoma" w:cs="Tahoma"/>
                <w:bCs/>
                <w:sz w:val="20"/>
                <w:szCs w:val="20"/>
              </w:rPr>
            </w:pPr>
            <w:r w:rsidRPr="00610AD5">
              <w:rPr>
                <w:rFonts w:ascii="Tahoma" w:hAnsi="Tahoma" w:cs="Tahoma"/>
                <w:bCs/>
                <w:sz w:val="20"/>
                <w:szCs w:val="20"/>
              </w:rPr>
              <w:t>2. Предоставление поручительства юридического лица, собственником которого является Заемщик</w:t>
            </w:r>
            <w:r>
              <w:rPr>
                <w:rFonts w:ascii="Tahoma" w:hAnsi="Tahoma" w:cs="Tahoma"/>
                <w:bCs/>
                <w:sz w:val="20"/>
                <w:szCs w:val="20"/>
              </w:rPr>
              <w:t>,</w:t>
            </w:r>
            <w:r w:rsidRPr="00610AD5">
              <w:rPr>
                <w:rFonts w:ascii="Tahoma" w:hAnsi="Tahoma" w:cs="Tahoma"/>
                <w:bCs/>
                <w:sz w:val="20"/>
                <w:szCs w:val="20"/>
              </w:rPr>
              <w:t xml:space="preserve"> либо супруга/супруги Заемщика (при наличии) или иного физического лица при отсутствии </w:t>
            </w:r>
            <w:r>
              <w:rPr>
                <w:rFonts w:ascii="Tahoma" w:hAnsi="Tahoma" w:cs="Tahoma"/>
                <w:bCs/>
                <w:sz w:val="20"/>
                <w:szCs w:val="20"/>
              </w:rPr>
              <w:t xml:space="preserve">супруга/ </w:t>
            </w:r>
            <w:r w:rsidRPr="00610AD5">
              <w:rPr>
                <w:rFonts w:ascii="Tahoma" w:hAnsi="Tahoma" w:cs="Tahoma"/>
                <w:bCs/>
                <w:sz w:val="20"/>
                <w:szCs w:val="20"/>
              </w:rPr>
              <w:t>супруги.</w:t>
            </w:r>
          </w:p>
        </w:tc>
        <w:tc>
          <w:tcPr>
            <w:tcW w:w="6187" w:type="dxa"/>
            <w:gridSpan w:val="4"/>
            <w:tcBorders>
              <w:top w:val="single" w:sz="4" w:space="0" w:color="auto"/>
              <w:left w:val="nil"/>
              <w:bottom w:val="single" w:sz="4" w:space="0" w:color="auto"/>
              <w:right w:val="single" w:sz="4" w:space="0" w:color="000000"/>
            </w:tcBorders>
            <w:shd w:val="clear" w:color="000000" w:fill="FFFFFF"/>
          </w:tcPr>
          <w:p w14:paraId="725CA3C4" w14:textId="77777777" w:rsidR="00267AB0" w:rsidRDefault="00267AB0" w:rsidP="00AA653D">
            <w:pPr>
              <w:rPr>
                <w:rFonts w:ascii="Tahoma" w:hAnsi="Tahoma" w:cs="Tahoma"/>
                <w:sz w:val="20"/>
                <w:szCs w:val="20"/>
              </w:rPr>
            </w:pPr>
            <w:r w:rsidRPr="008A1C41">
              <w:rPr>
                <w:rFonts w:ascii="Tahoma" w:hAnsi="Tahoma" w:cs="Tahoma"/>
                <w:sz w:val="20"/>
                <w:szCs w:val="20"/>
              </w:rPr>
              <w:t>Снижение базовой процентной ставки по Кредиту на 0,5 процентных пункта (предоставляется единоразово).</w:t>
            </w:r>
          </w:p>
          <w:p w14:paraId="67038A6A" w14:textId="77777777" w:rsidR="00267AB0" w:rsidRPr="008A1C41" w:rsidRDefault="00267AB0" w:rsidP="00AA653D">
            <w:pPr>
              <w:rPr>
                <w:rFonts w:ascii="Tahoma" w:hAnsi="Tahoma" w:cs="Tahoma"/>
                <w:sz w:val="20"/>
                <w:szCs w:val="20"/>
              </w:rPr>
            </w:pPr>
            <w:r w:rsidRPr="005B68F5">
              <w:rPr>
                <w:rFonts w:ascii="Tahoma" w:hAnsi="Tahoma" w:cs="Tahoma"/>
                <w:snapToGrid w:val="0"/>
                <w:sz w:val="20"/>
                <w:szCs w:val="20"/>
              </w:rPr>
              <w:t>Снижение производится от базовой процентной ставки, предусмотренной настоящим тарифным планом, одноразово на момент определения процентной ставки по Кредиту.</w:t>
            </w:r>
          </w:p>
        </w:tc>
      </w:tr>
      <w:tr w:rsidR="00267AB0" w:rsidRPr="00610AD5" w14:paraId="04D76299" w14:textId="77777777" w:rsidTr="00AA653D">
        <w:trPr>
          <w:trHeight w:val="467"/>
        </w:trPr>
        <w:tc>
          <w:tcPr>
            <w:tcW w:w="4355" w:type="dxa"/>
            <w:vMerge/>
            <w:tcBorders>
              <w:left w:val="single" w:sz="8" w:space="0" w:color="auto"/>
              <w:bottom w:val="single" w:sz="4" w:space="0" w:color="auto"/>
              <w:right w:val="single" w:sz="4" w:space="0" w:color="000000"/>
            </w:tcBorders>
            <w:shd w:val="clear" w:color="auto" w:fill="auto"/>
            <w:vAlign w:val="center"/>
          </w:tcPr>
          <w:p w14:paraId="31491DE5" w14:textId="77777777" w:rsidR="00267AB0" w:rsidRPr="00610AD5" w:rsidRDefault="00267AB0" w:rsidP="00AA653D">
            <w:pPr>
              <w:rPr>
                <w:rFonts w:ascii="Tahoma" w:hAnsi="Tahoma" w:cs="Tahoma"/>
                <w:b/>
                <w:bCs/>
                <w:sz w:val="20"/>
                <w:szCs w:val="20"/>
              </w:rPr>
            </w:pPr>
          </w:p>
        </w:tc>
        <w:tc>
          <w:tcPr>
            <w:tcW w:w="4869" w:type="dxa"/>
            <w:gridSpan w:val="4"/>
            <w:tcBorders>
              <w:top w:val="single" w:sz="4" w:space="0" w:color="auto"/>
              <w:left w:val="nil"/>
              <w:bottom w:val="single" w:sz="4" w:space="0" w:color="auto"/>
              <w:right w:val="single" w:sz="4" w:space="0" w:color="000000"/>
            </w:tcBorders>
            <w:shd w:val="clear" w:color="000000" w:fill="FFFFFF"/>
          </w:tcPr>
          <w:p w14:paraId="5D0CB514" w14:textId="77777777" w:rsidR="00267AB0" w:rsidRPr="00610AD5" w:rsidRDefault="00267AB0" w:rsidP="00AA653D">
            <w:pPr>
              <w:rPr>
                <w:rFonts w:ascii="Tahoma" w:hAnsi="Tahoma" w:cs="Tahoma"/>
                <w:bCs/>
                <w:sz w:val="20"/>
                <w:szCs w:val="20"/>
              </w:rPr>
            </w:pPr>
            <w:r w:rsidRPr="00610AD5">
              <w:rPr>
                <w:rFonts w:ascii="Tahoma" w:hAnsi="Tahoma" w:cs="Tahoma"/>
                <w:bCs/>
                <w:sz w:val="20"/>
                <w:szCs w:val="20"/>
              </w:rPr>
              <w:t xml:space="preserve">3. </w:t>
            </w:r>
            <w:r w:rsidRPr="005B68F5">
              <w:rPr>
                <w:rFonts w:ascii="Tahoma" w:hAnsi="Tahoma" w:cs="Tahoma"/>
                <w:bCs/>
                <w:sz w:val="20"/>
                <w:szCs w:val="20"/>
              </w:rPr>
              <w:t>Применение цифровых сервисов Банка</w:t>
            </w:r>
            <w:r w:rsidRPr="00066D7B">
              <w:rPr>
                <w:rFonts w:ascii="Tahoma" w:hAnsi="Tahoma" w:cs="Tahoma"/>
                <w:bCs/>
                <w:sz w:val="20"/>
                <w:szCs w:val="20"/>
                <w:vertAlign w:val="superscript"/>
              </w:rPr>
              <w:t>6</w:t>
            </w:r>
          </w:p>
        </w:tc>
        <w:tc>
          <w:tcPr>
            <w:tcW w:w="6187" w:type="dxa"/>
            <w:gridSpan w:val="4"/>
            <w:tcBorders>
              <w:top w:val="single" w:sz="4" w:space="0" w:color="auto"/>
              <w:left w:val="nil"/>
              <w:bottom w:val="single" w:sz="4" w:space="0" w:color="auto"/>
              <w:right w:val="single" w:sz="4" w:space="0" w:color="000000"/>
            </w:tcBorders>
            <w:shd w:val="clear" w:color="000000" w:fill="FFFFFF"/>
          </w:tcPr>
          <w:p w14:paraId="4B8BA6C4" w14:textId="77777777" w:rsidR="00267AB0" w:rsidRDefault="00267AB0" w:rsidP="00AA653D">
            <w:pPr>
              <w:rPr>
                <w:rFonts w:ascii="Tahoma" w:hAnsi="Tahoma" w:cs="Tahoma"/>
                <w:sz w:val="20"/>
                <w:szCs w:val="20"/>
              </w:rPr>
            </w:pPr>
            <w:r w:rsidRPr="008A1C41">
              <w:rPr>
                <w:rFonts w:ascii="Tahoma" w:hAnsi="Tahoma" w:cs="Tahoma"/>
                <w:sz w:val="20"/>
                <w:szCs w:val="20"/>
              </w:rPr>
              <w:t xml:space="preserve">Снижение базовой процентной ставки по Кредиту на </w:t>
            </w:r>
            <w:r>
              <w:rPr>
                <w:rFonts w:ascii="Tahoma" w:hAnsi="Tahoma" w:cs="Tahoma"/>
                <w:sz w:val="20"/>
                <w:szCs w:val="20"/>
              </w:rPr>
              <w:t>0,5</w:t>
            </w:r>
            <w:r w:rsidRPr="008A1C41">
              <w:rPr>
                <w:rFonts w:ascii="Tahoma" w:hAnsi="Tahoma" w:cs="Tahoma"/>
                <w:sz w:val="20"/>
                <w:szCs w:val="20"/>
              </w:rPr>
              <w:t xml:space="preserve"> процентны</w:t>
            </w:r>
            <w:r>
              <w:rPr>
                <w:rFonts w:ascii="Tahoma" w:hAnsi="Tahoma" w:cs="Tahoma"/>
                <w:sz w:val="20"/>
                <w:szCs w:val="20"/>
              </w:rPr>
              <w:t>х</w:t>
            </w:r>
            <w:r w:rsidRPr="008A1C41">
              <w:rPr>
                <w:rFonts w:ascii="Tahoma" w:hAnsi="Tahoma" w:cs="Tahoma"/>
                <w:sz w:val="20"/>
                <w:szCs w:val="20"/>
              </w:rPr>
              <w:t xml:space="preserve"> пункт</w:t>
            </w:r>
            <w:r>
              <w:rPr>
                <w:rFonts w:ascii="Tahoma" w:hAnsi="Tahoma" w:cs="Tahoma"/>
                <w:sz w:val="20"/>
                <w:szCs w:val="20"/>
              </w:rPr>
              <w:t>а</w:t>
            </w:r>
            <w:r w:rsidRPr="008A1C41">
              <w:rPr>
                <w:rFonts w:ascii="Tahoma" w:hAnsi="Tahoma" w:cs="Tahoma"/>
                <w:sz w:val="20"/>
                <w:szCs w:val="20"/>
              </w:rPr>
              <w:t xml:space="preserve"> (предоставляется единоразово).</w:t>
            </w:r>
          </w:p>
          <w:p w14:paraId="478999A0" w14:textId="77777777" w:rsidR="00267AB0" w:rsidRPr="008A1C41" w:rsidRDefault="00267AB0" w:rsidP="00AA653D">
            <w:pPr>
              <w:rPr>
                <w:rFonts w:ascii="Tahoma" w:hAnsi="Tahoma" w:cs="Tahoma"/>
                <w:sz w:val="20"/>
                <w:szCs w:val="20"/>
              </w:rPr>
            </w:pPr>
            <w:r w:rsidRPr="005B68F5">
              <w:rPr>
                <w:rFonts w:ascii="Tahoma" w:hAnsi="Tahoma" w:cs="Tahoma"/>
                <w:snapToGrid w:val="0"/>
                <w:sz w:val="20"/>
                <w:szCs w:val="20"/>
              </w:rPr>
              <w:t>Снижение производится от базовой процентной ставки, предусмотренной настоящим тарифным планом, одноразово на момент определения процентной ставки по Кредиту.</w:t>
            </w:r>
          </w:p>
        </w:tc>
      </w:tr>
      <w:tr w:rsidR="00267AB0" w:rsidRPr="00610AD5" w14:paraId="37A19F31" w14:textId="77777777" w:rsidTr="00AA653D">
        <w:trPr>
          <w:trHeight w:val="399"/>
        </w:trPr>
        <w:tc>
          <w:tcPr>
            <w:tcW w:w="4355" w:type="dxa"/>
            <w:vMerge w:val="restart"/>
            <w:tcBorders>
              <w:left w:val="single" w:sz="8" w:space="0" w:color="auto"/>
              <w:right w:val="single" w:sz="4" w:space="0" w:color="000000"/>
            </w:tcBorders>
            <w:shd w:val="clear" w:color="auto" w:fill="auto"/>
            <w:vAlign w:val="center"/>
          </w:tcPr>
          <w:p w14:paraId="55EE4865" w14:textId="77777777" w:rsidR="00267AB0" w:rsidRPr="00610AD5" w:rsidRDefault="00267AB0" w:rsidP="00AA653D">
            <w:pPr>
              <w:rPr>
                <w:rFonts w:ascii="Tahoma" w:hAnsi="Tahoma" w:cs="Tahoma"/>
                <w:b/>
                <w:bCs/>
                <w:sz w:val="20"/>
                <w:szCs w:val="20"/>
              </w:rPr>
            </w:pPr>
            <w:r w:rsidRPr="00610AD5">
              <w:rPr>
                <w:rFonts w:ascii="Tahoma" w:hAnsi="Tahoma" w:cs="Tahoma"/>
                <w:b/>
                <w:bCs/>
                <w:sz w:val="20"/>
                <w:szCs w:val="20"/>
              </w:rPr>
              <w:t xml:space="preserve">Требования к Заемщику, которые установлены Кредитором, и выполнение </w:t>
            </w:r>
            <w:r w:rsidRPr="008A1C41">
              <w:rPr>
                <w:rFonts w:ascii="Tahoma" w:hAnsi="Tahoma" w:cs="Tahoma"/>
                <w:b/>
                <w:bCs/>
                <w:sz w:val="20"/>
                <w:szCs w:val="20"/>
              </w:rPr>
              <w:t>которых является обязательным для предоставления потребительского Кредита</w:t>
            </w:r>
          </w:p>
        </w:tc>
        <w:tc>
          <w:tcPr>
            <w:tcW w:w="11056" w:type="dxa"/>
            <w:gridSpan w:val="8"/>
            <w:tcBorders>
              <w:top w:val="single" w:sz="4" w:space="0" w:color="auto"/>
              <w:left w:val="nil"/>
              <w:bottom w:val="single" w:sz="4" w:space="0" w:color="auto"/>
              <w:right w:val="single" w:sz="4" w:space="0" w:color="000000"/>
            </w:tcBorders>
            <w:shd w:val="clear" w:color="000000" w:fill="FFFFFF"/>
            <w:vAlign w:val="center"/>
          </w:tcPr>
          <w:p w14:paraId="315C291A" w14:textId="77777777" w:rsidR="00267AB0" w:rsidRPr="00610AD5" w:rsidRDefault="00267AB0" w:rsidP="00AA653D">
            <w:pPr>
              <w:jc w:val="center"/>
              <w:rPr>
                <w:rFonts w:ascii="Tahoma" w:hAnsi="Tahoma" w:cs="Tahoma"/>
                <w:sz w:val="20"/>
                <w:szCs w:val="20"/>
              </w:rPr>
            </w:pPr>
            <w:r w:rsidRPr="00610AD5">
              <w:rPr>
                <w:rFonts w:ascii="Tahoma" w:hAnsi="Tahoma" w:cs="Tahoma"/>
                <w:b/>
                <w:sz w:val="20"/>
                <w:szCs w:val="20"/>
              </w:rPr>
              <w:t>ОСНОВНЫЕ</w:t>
            </w:r>
          </w:p>
        </w:tc>
      </w:tr>
      <w:tr w:rsidR="00267AB0" w:rsidRPr="00610AD5" w14:paraId="574B9834" w14:textId="77777777" w:rsidTr="00AA653D">
        <w:trPr>
          <w:trHeight w:val="307"/>
        </w:trPr>
        <w:tc>
          <w:tcPr>
            <w:tcW w:w="4355" w:type="dxa"/>
            <w:vMerge/>
            <w:tcBorders>
              <w:left w:val="single" w:sz="8" w:space="0" w:color="auto"/>
              <w:right w:val="single" w:sz="4" w:space="0" w:color="000000"/>
            </w:tcBorders>
            <w:shd w:val="clear" w:color="auto" w:fill="auto"/>
            <w:vAlign w:val="center"/>
          </w:tcPr>
          <w:p w14:paraId="4E64DEFC" w14:textId="77777777" w:rsidR="00267AB0" w:rsidRPr="00610AD5" w:rsidRDefault="00267AB0" w:rsidP="00AA653D">
            <w:pPr>
              <w:rPr>
                <w:rFonts w:ascii="Tahoma" w:hAnsi="Tahoma" w:cs="Tahoma"/>
                <w:b/>
                <w:bCs/>
                <w:sz w:val="20"/>
                <w:szCs w:val="20"/>
              </w:rPr>
            </w:pPr>
          </w:p>
        </w:tc>
        <w:tc>
          <w:tcPr>
            <w:tcW w:w="3593" w:type="dxa"/>
            <w:gridSpan w:val="3"/>
            <w:tcBorders>
              <w:top w:val="single" w:sz="4" w:space="0" w:color="auto"/>
              <w:left w:val="nil"/>
              <w:bottom w:val="single" w:sz="4" w:space="0" w:color="auto"/>
              <w:right w:val="single" w:sz="4" w:space="0" w:color="000000"/>
            </w:tcBorders>
            <w:shd w:val="clear" w:color="000000" w:fill="FFFFFF"/>
          </w:tcPr>
          <w:p w14:paraId="0ECB4EA1" w14:textId="77777777" w:rsidR="00267AB0" w:rsidRPr="00610AD5" w:rsidRDefault="00267AB0" w:rsidP="00AA653D">
            <w:pPr>
              <w:widowControl w:val="0"/>
              <w:autoSpaceDE w:val="0"/>
              <w:autoSpaceDN w:val="0"/>
              <w:rPr>
                <w:rFonts w:ascii="Tahoma" w:hAnsi="Tahoma" w:cs="Tahoma"/>
                <w:sz w:val="20"/>
                <w:szCs w:val="20"/>
              </w:rPr>
            </w:pPr>
            <w:r w:rsidRPr="00610AD5">
              <w:rPr>
                <w:rFonts w:ascii="Tahoma" w:hAnsi="Tahoma" w:cs="Tahoma"/>
                <w:sz w:val="20"/>
                <w:szCs w:val="20"/>
              </w:rPr>
              <w:t xml:space="preserve">Гражданство Заемщика </w:t>
            </w:r>
          </w:p>
        </w:tc>
        <w:tc>
          <w:tcPr>
            <w:tcW w:w="7463" w:type="dxa"/>
            <w:gridSpan w:val="5"/>
            <w:tcBorders>
              <w:top w:val="single" w:sz="4" w:space="0" w:color="auto"/>
              <w:left w:val="nil"/>
              <w:bottom w:val="single" w:sz="4" w:space="0" w:color="auto"/>
              <w:right w:val="single" w:sz="4" w:space="0" w:color="000000"/>
            </w:tcBorders>
            <w:shd w:val="clear" w:color="000000" w:fill="FFFFFF"/>
          </w:tcPr>
          <w:p w14:paraId="28942B3D" w14:textId="77777777" w:rsidR="00267AB0" w:rsidRPr="00610AD5" w:rsidRDefault="00267AB0" w:rsidP="00AA653D">
            <w:pPr>
              <w:widowControl w:val="0"/>
              <w:tabs>
                <w:tab w:val="left" w:pos="275"/>
              </w:tabs>
              <w:autoSpaceDE w:val="0"/>
              <w:autoSpaceDN w:val="0"/>
              <w:contextualSpacing/>
              <w:jc w:val="both"/>
              <w:rPr>
                <w:rFonts w:ascii="Tahoma" w:hAnsi="Tahoma" w:cs="Tahoma"/>
                <w:snapToGrid w:val="0"/>
                <w:sz w:val="20"/>
                <w:szCs w:val="20"/>
              </w:rPr>
            </w:pPr>
            <w:r w:rsidRPr="00610AD5">
              <w:rPr>
                <w:rFonts w:ascii="Tahoma" w:hAnsi="Tahoma" w:cs="Tahoma"/>
                <w:snapToGrid w:val="0"/>
                <w:sz w:val="20"/>
                <w:szCs w:val="20"/>
              </w:rPr>
              <w:t>Российская Федерация.</w:t>
            </w:r>
          </w:p>
        </w:tc>
      </w:tr>
      <w:tr w:rsidR="00267AB0" w:rsidRPr="00610AD5" w14:paraId="4904A415" w14:textId="77777777" w:rsidTr="00AA653D">
        <w:trPr>
          <w:trHeight w:val="745"/>
        </w:trPr>
        <w:tc>
          <w:tcPr>
            <w:tcW w:w="4355" w:type="dxa"/>
            <w:vMerge/>
            <w:tcBorders>
              <w:left w:val="single" w:sz="8" w:space="0" w:color="auto"/>
              <w:right w:val="single" w:sz="4" w:space="0" w:color="000000"/>
            </w:tcBorders>
            <w:shd w:val="clear" w:color="auto" w:fill="auto"/>
            <w:vAlign w:val="center"/>
          </w:tcPr>
          <w:p w14:paraId="0A1AE2F4" w14:textId="77777777" w:rsidR="00267AB0" w:rsidRPr="00610AD5" w:rsidRDefault="00267AB0" w:rsidP="00AA653D">
            <w:pPr>
              <w:rPr>
                <w:rFonts w:ascii="Tahoma" w:hAnsi="Tahoma" w:cs="Tahoma"/>
                <w:b/>
                <w:bCs/>
                <w:sz w:val="20"/>
                <w:szCs w:val="20"/>
              </w:rPr>
            </w:pPr>
          </w:p>
        </w:tc>
        <w:tc>
          <w:tcPr>
            <w:tcW w:w="3593" w:type="dxa"/>
            <w:gridSpan w:val="3"/>
            <w:tcBorders>
              <w:top w:val="single" w:sz="4" w:space="0" w:color="auto"/>
              <w:left w:val="nil"/>
              <w:bottom w:val="single" w:sz="4" w:space="0" w:color="auto"/>
              <w:right w:val="single" w:sz="4" w:space="0" w:color="000000"/>
            </w:tcBorders>
            <w:shd w:val="clear" w:color="000000" w:fill="FFFFFF"/>
          </w:tcPr>
          <w:p w14:paraId="448158DF" w14:textId="77777777" w:rsidR="00267AB0" w:rsidRPr="00610AD5" w:rsidRDefault="00267AB0" w:rsidP="00AA653D">
            <w:pPr>
              <w:widowControl w:val="0"/>
              <w:autoSpaceDE w:val="0"/>
              <w:autoSpaceDN w:val="0"/>
              <w:rPr>
                <w:rFonts w:ascii="Tahoma" w:hAnsi="Tahoma" w:cs="Tahoma"/>
                <w:spacing w:val="-1"/>
                <w:kern w:val="65535"/>
                <w:position w:val="-1"/>
                <w:sz w:val="20"/>
                <w:szCs w:val="20"/>
                <w:vertAlign w:val="superscript"/>
              </w:rPr>
            </w:pPr>
            <w:r w:rsidRPr="00610AD5">
              <w:rPr>
                <w:rFonts w:ascii="Tahoma" w:hAnsi="Tahoma" w:cs="Tahoma"/>
                <w:snapToGrid w:val="0"/>
                <w:sz w:val="20"/>
                <w:szCs w:val="20"/>
              </w:rPr>
              <w:t>Регистрация и место жительства Заемщика</w:t>
            </w:r>
          </w:p>
        </w:tc>
        <w:tc>
          <w:tcPr>
            <w:tcW w:w="7463" w:type="dxa"/>
            <w:gridSpan w:val="5"/>
            <w:tcBorders>
              <w:top w:val="single" w:sz="4" w:space="0" w:color="auto"/>
              <w:left w:val="nil"/>
              <w:bottom w:val="single" w:sz="4" w:space="0" w:color="auto"/>
              <w:right w:val="single" w:sz="4" w:space="0" w:color="000000"/>
            </w:tcBorders>
            <w:shd w:val="clear" w:color="000000" w:fill="FFFFFF"/>
          </w:tcPr>
          <w:p w14:paraId="313B3FA0" w14:textId="77777777" w:rsidR="00267AB0" w:rsidRPr="00610AD5" w:rsidRDefault="00267AB0" w:rsidP="00AA653D">
            <w:pPr>
              <w:widowControl w:val="0"/>
              <w:tabs>
                <w:tab w:val="left" w:pos="275"/>
              </w:tabs>
              <w:autoSpaceDE w:val="0"/>
              <w:autoSpaceDN w:val="0"/>
              <w:jc w:val="both"/>
              <w:rPr>
                <w:rFonts w:ascii="Tahoma" w:hAnsi="Tahoma" w:cs="Tahoma"/>
                <w:snapToGrid w:val="0"/>
                <w:spacing w:val="-1"/>
                <w:kern w:val="65535"/>
                <w:position w:val="-1"/>
                <w:sz w:val="20"/>
                <w:szCs w:val="20"/>
                <w:vertAlign w:val="superscript"/>
              </w:rPr>
            </w:pPr>
            <w:r w:rsidRPr="00610AD5">
              <w:rPr>
                <w:rFonts w:ascii="Tahoma" w:hAnsi="Tahoma" w:cs="Tahoma"/>
                <w:snapToGrid w:val="0"/>
                <w:sz w:val="20"/>
                <w:szCs w:val="20"/>
              </w:rPr>
              <w:t>Регистрация и фактическое место жительства на территории обслуживания Банком, утвержденной соответствующим приказом по Банку. Допускается нахождение вне территории обслуживания Банком для Заемщиков, имеющих положительную кредитную историю в Банке.</w:t>
            </w:r>
          </w:p>
        </w:tc>
      </w:tr>
      <w:tr w:rsidR="00267AB0" w:rsidRPr="00610AD5" w14:paraId="3B4EDF40" w14:textId="77777777" w:rsidTr="00AA653D">
        <w:trPr>
          <w:trHeight w:val="745"/>
        </w:trPr>
        <w:tc>
          <w:tcPr>
            <w:tcW w:w="4355" w:type="dxa"/>
            <w:vMerge/>
            <w:tcBorders>
              <w:left w:val="single" w:sz="8" w:space="0" w:color="auto"/>
              <w:right w:val="single" w:sz="4" w:space="0" w:color="000000"/>
            </w:tcBorders>
            <w:shd w:val="clear" w:color="auto" w:fill="auto"/>
            <w:vAlign w:val="center"/>
          </w:tcPr>
          <w:p w14:paraId="521793FE" w14:textId="77777777" w:rsidR="00267AB0" w:rsidRPr="00610AD5" w:rsidRDefault="00267AB0" w:rsidP="00AA653D">
            <w:pPr>
              <w:rPr>
                <w:rFonts w:ascii="Tahoma" w:hAnsi="Tahoma" w:cs="Tahoma"/>
                <w:b/>
                <w:bCs/>
                <w:sz w:val="20"/>
                <w:szCs w:val="20"/>
              </w:rPr>
            </w:pPr>
          </w:p>
        </w:tc>
        <w:tc>
          <w:tcPr>
            <w:tcW w:w="3593" w:type="dxa"/>
            <w:gridSpan w:val="3"/>
            <w:tcBorders>
              <w:top w:val="single" w:sz="4" w:space="0" w:color="auto"/>
              <w:left w:val="nil"/>
              <w:bottom w:val="single" w:sz="4" w:space="0" w:color="auto"/>
              <w:right w:val="single" w:sz="4" w:space="0" w:color="000000"/>
            </w:tcBorders>
            <w:shd w:val="clear" w:color="000000" w:fill="FFFFFF"/>
          </w:tcPr>
          <w:p w14:paraId="6D95535C" w14:textId="77777777" w:rsidR="00267AB0" w:rsidRPr="00610AD5" w:rsidRDefault="00267AB0" w:rsidP="00AA653D">
            <w:pPr>
              <w:widowControl w:val="0"/>
              <w:autoSpaceDE w:val="0"/>
              <w:autoSpaceDN w:val="0"/>
              <w:jc w:val="both"/>
              <w:rPr>
                <w:rFonts w:ascii="Tahoma" w:hAnsi="Tahoma" w:cs="Tahoma"/>
                <w:sz w:val="20"/>
                <w:szCs w:val="20"/>
              </w:rPr>
            </w:pPr>
            <w:r w:rsidRPr="00610AD5">
              <w:rPr>
                <w:rFonts w:ascii="Tahoma" w:hAnsi="Tahoma" w:cs="Tahoma"/>
                <w:sz w:val="20"/>
                <w:szCs w:val="20"/>
              </w:rPr>
              <w:t>Возраст Заемщика</w:t>
            </w:r>
          </w:p>
        </w:tc>
        <w:tc>
          <w:tcPr>
            <w:tcW w:w="7463" w:type="dxa"/>
            <w:gridSpan w:val="5"/>
            <w:tcBorders>
              <w:top w:val="single" w:sz="4" w:space="0" w:color="auto"/>
              <w:left w:val="nil"/>
              <w:bottom w:val="single" w:sz="4" w:space="0" w:color="auto"/>
              <w:right w:val="single" w:sz="4" w:space="0" w:color="000000"/>
            </w:tcBorders>
            <w:shd w:val="clear" w:color="000000" w:fill="FFFFFF"/>
          </w:tcPr>
          <w:p w14:paraId="14ABD355" w14:textId="77777777" w:rsidR="00267AB0" w:rsidRPr="00610AD5" w:rsidRDefault="00267AB0" w:rsidP="00AA653D">
            <w:pPr>
              <w:autoSpaceDN w:val="0"/>
              <w:jc w:val="both"/>
              <w:rPr>
                <w:rFonts w:ascii="Tahoma" w:hAnsi="Tahoma" w:cs="Tahoma"/>
                <w:snapToGrid w:val="0"/>
                <w:sz w:val="20"/>
                <w:szCs w:val="20"/>
              </w:rPr>
            </w:pPr>
            <w:r w:rsidRPr="00610AD5">
              <w:rPr>
                <w:rFonts w:ascii="Tahoma" w:hAnsi="Tahoma" w:cs="Tahoma"/>
                <w:snapToGrid w:val="0"/>
                <w:sz w:val="20"/>
                <w:szCs w:val="20"/>
              </w:rPr>
              <w:t xml:space="preserve">- на момент обращения за </w:t>
            </w:r>
            <w:r>
              <w:rPr>
                <w:rFonts w:ascii="Tahoma" w:hAnsi="Tahoma" w:cs="Tahoma"/>
                <w:snapToGrid w:val="0"/>
                <w:sz w:val="20"/>
                <w:szCs w:val="20"/>
              </w:rPr>
              <w:t>К</w:t>
            </w:r>
            <w:r w:rsidRPr="00610AD5">
              <w:rPr>
                <w:rFonts w:ascii="Tahoma" w:hAnsi="Tahoma" w:cs="Tahoma"/>
                <w:snapToGrid w:val="0"/>
                <w:sz w:val="20"/>
                <w:szCs w:val="20"/>
              </w:rPr>
              <w:t>редитом не менее 25 (двадцати пяти) лет/ не менее 21 (двадцати одного) года при 100% обеспеченности кредита залогом недвижимого имущества;</w:t>
            </w:r>
          </w:p>
          <w:p w14:paraId="1ED70E5E" w14:textId="77777777" w:rsidR="00267AB0" w:rsidRPr="00610AD5" w:rsidRDefault="00267AB0" w:rsidP="00AA653D">
            <w:pPr>
              <w:autoSpaceDN w:val="0"/>
              <w:snapToGrid w:val="0"/>
              <w:jc w:val="both"/>
              <w:rPr>
                <w:rFonts w:ascii="Tahoma" w:hAnsi="Tahoma" w:cs="Tahoma"/>
                <w:sz w:val="20"/>
                <w:szCs w:val="20"/>
              </w:rPr>
            </w:pPr>
            <w:r w:rsidRPr="00610AD5">
              <w:rPr>
                <w:rFonts w:ascii="Tahoma" w:hAnsi="Tahoma" w:cs="Tahoma"/>
                <w:snapToGrid w:val="0"/>
                <w:sz w:val="20"/>
                <w:szCs w:val="20"/>
              </w:rPr>
              <w:t xml:space="preserve">- на момент окончания срока договора возраст не более 65 (шестидесяти пяти) лет/ не более 70 (семидесяти) лет при 100% обеспеченности </w:t>
            </w:r>
            <w:r>
              <w:rPr>
                <w:rFonts w:ascii="Tahoma" w:hAnsi="Tahoma" w:cs="Tahoma"/>
                <w:snapToGrid w:val="0"/>
                <w:sz w:val="20"/>
                <w:szCs w:val="20"/>
              </w:rPr>
              <w:t>К</w:t>
            </w:r>
            <w:r w:rsidRPr="00610AD5">
              <w:rPr>
                <w:rFonts w:ascii="Tahoma" w:hAnsi="Tahoma" w:cs="Tahoma"/>
                <w:snapToGrid w:val="0"/>
                <w:sz w:val="20"/>
                <w:szCs w:val="20"/>
              </w:rPr>
              <w:t>редита залогом недвижимого имущества.</w:t>
            </w:r>
          </w:p>
        </w:tc>
      </w:tr>
      <w:tr w:rsidR="00267AB0" w:rsidRPr="00610AD5" w14:paraId="665E0D77" w14:textId="77777777" w:rsidTr="00AA653D">
        <w:trPr>
          <w:trHeight w:val="745"/>
        </w:trPr>
        <w:tc>
          <w:tcPr>
            <w:tcW w:w="4355" w:type="dxa"/>
            <w:vMerge/>
            <w:tcBorders>
              <w:left w:val="single" w:sz="8" w:space="0" w:color="auto"/>
              <w:right w:val="single" w:sz="4" w:space="0" w:color="000000"/>
            </w:tcBorders>
            <w:shd w:val="clear" w:color="auto" w:fill="auto"/>
            <w:vAlign w:val="center"/>
          </w:tcPr>
          <w:p w14:paraId="5BD76F71" w14:textId="77777777" w:rsidR="00267AB0" w:rsidRPr="00610AD5" w:rsidRDefault="00267AB0" w:rsidP="00AA653D">
            <w:pPr>
              <w:rPr>
                <w:rFonts w:ascii="Tahoma" w:hAnsi="Tahoma" w:cs="Tahoma"/>
                <w:b/>
                <w:bCs/>
                <w:sz w:val="20"/>
                <w:szCs w:val="20"/>
              </w:rPr>
            </w:pPr>
          </w:p>
        </w:tc>
        <w:tc>
          <w:tcPr>
            <w:tcW w:w="3593" w:type="dxa"/>
            <w:gridSpan w:val="3"/>
            <w:tcBorders>
              <w:top w:val="single" w:sz="4" w:space="0" w:color="auto"/>
              <w:left w:val="nil"/>
              <w:bottom w:val="single" w:sz="4" w:space="0" w:color="auto"/>
              <w:right w:val="single" w:sz="4" w:space="0" w:color="000000"/>
            </w:tcBorders>
            <w:shd w:val="clear" w:color="000000" w:fill="FFFFFF"/>
          </w:tcPr>
          <w:p w14:paraId="72DB300B" w14:textId="77777777" w:rsidR="00267AB0" w:rsidRPr="00610AD5" w:rsidRDefault="00267AB0" w:rsidP="00AA653D">
            <w:pPr>
              <w:widowControl w:val="0"/>
              <w:autoSpaceDE w:val="0"/>
              <w:autoSpaceDN w:val="0"/>
              <w:rPr>
                <w:rFonts w:ascii="Tahoma" w:hAnsi="Tahoma" w:cs="Tahoma"/>
                <w:sz w:val="20"/>
                <w:szCs w:val="20"/>
              </w:rPr>
            </w:pPr>
            <w:r w:rsidRPr="00610AD5">
              <w:rPr>
                <w:rFonts w:ascii="Tahoma" w:hAnsi="Tahoma" w:cs="Tahoma"/>
                <w:snapToGrid w:val="0"/>
                <w:sz w:val="20"/>
                <w:szCs w:val="20"/>
              </w:rPr>
              <w:t>Срок существования бизнеса  Заемщика с момента его государственной регистрации</w:t>
            </w:r>
          </w:p>
        </w:tc>
        <w:tc>
          <w:tcPr>
            <w:tcW w:w="7463" w:type="dxa"/>
            <w:gridSpan w:val="5"/>
            <w:tcBorders>
              <w:top w:val="single" w:sz="4" w:space="0" w:color="auto"/>
              <w:left w:val="nil"/>
              <w:bottom w:val="single" w:sz="4" w:space="0" w:color="auto"/>
              <w:right w:val="single" w:sz="4" w:space="0" w:color="000000"/>
            </w:tcBorders>
            <w:shd w:val="clear" w:color="000000" w:fill="FFFFFF"/>
          </w:tcPr>
          <w:p w14:paraId="5DCF08B6" w14:textId="77777777" w:rsidR="00267AB0" w:rsidRPr="00610AD5" w:rsidRDefault="00267AB0" w:rsidP="00AA653D">
            <w:pPr>
              <w:widowControl w:val="0"/>
              <w:tabs>
                <w:tab w:val="left" w:pos="275"/>
              </w:tabs>
              <w:autoSpaceDE w:val="0"/>
              <w:autoSpaceDN w:val="0"/>
              <w:jc w:val="both"/>
              <w:rPr>
                <w:rFonts w:ascii="Tahoma" w:hAnsi="Tahoma" w:cs="Tahoma"/>
                <w:sz w:val="20"/>
                <w:szCs w:val="20"/>
              </w:rPr>
            </w:pPr>
            <w:r w:rsidRPr="00610AD5">
              <w:rPr>
                <w:rFonts w:ascii="Tahoma" w:hAnsi="Tahoma" w:cs="Tahoma"/>
                <w:snapToGrid w:val="0"/>
                <w:sz w:val="20"/>
                <w:szCs w:val="20"/>
              </w:rPr>
              <w:t>Не менее 6 месяцев для индивидуальных предпринимателей;</w:t>
            </w:r>
          </w:p>
          <w:p w14:paraId="6A8E0B8D" w14:textId="77777777" w:rsidR="00267AB0" w:rsidRPr="00610AD5" w:rsidRDefault="00267AB0" w:rsidP="00AA653D">
            <w:pPr>
              <w:widowControl w:val="0"/>
              <w:tabs>
                <w:tab w:val="left" w:pos="275"/>
              </w:tabs>
              <w:autoSpaceDE w:val="0"/>
              <w:autoSpaceDN w:val="0"/>
              <w:jc w:val="both"/>
              <w:rPr>
                <w:rFonts w:ascii="Tahoma" w:hAnsi="Tahoma" w:cs="Tahoma"/>
                <w:sz w:val="20"/>
                <w:szCs w:val="20"/>
              </w:rPr>
            </w:pPr>
            <w:r w:rsidRPr="00610AD5">
              <w:rPr>
                <w:rFonts w:ascii="Tahoma" w:hAnsi="Tahoma" w:cs="Tahoma"/>
                <w:snapToGrid w:val="0"/>
                <w:sz w:val="20"/>
                <w:szCs w:val="20"/>
              </w:rPr>
              <w:t>Не менее 12 месяцев для юридических лиц.</w:t>
            </w:r>
          </w:p>
        </w:tc>
      </w:tr>
      <w:tr w:rsidR="00267AB0" w:rsidRPr="00610AD5" w14:paraId="0163CA56" w14:textId="77777777" w:rsidTr="00AA653D">
        <w:trPr>
          <w:trHeight w:val="745"/>
        </w:trPr>
        <w:tc>
          <w:tcPr>
            <w:tcW w:w="4355" w:type="dxa"/>
            <w:vMerge/>
            <w:tcBorders>
              <w:left w:val="single" w:sz="8" w:space="0" w:color="auto"/>
              <w:right w:val="single" w:sz="4" w:space="0" w:color="000000"/>
            </w:tcBorders>
            <w:shd w:val="clear" w:color="auto" w:fill="auto"/>
            <w:vAlign w:val="center"/>
          </w:tcPr>
          <w:p w14:paraId="413787FD" w14:textId="77777777" w:rsidR="00267AB0" w:rsidRPr="00610AD5" w:rsidRDefault="00267AB0" w:rsidP="00AA653D">
            <w:pPr>
              <w:rPr>
                <w:rFonts w:ascii="Tahoma" w:hAnsi="Tahoma" w:cs="Tahoma"/>
                <w:b/>
                <w:bCs/>
                <w:sz w:val="20"/>
                <w:szCs w:val="20"/>
              </w:rPr>
            </w:pPr>
          </w:p>
        </w:tc>
        <w:tc>
          <w:tcPr>
            <w:tcW w:w="3593" w:type="dxa"/>
            <w:gridSpan w:val="3"/>
            <w:tcBorders>
              <w:top w:val="single" w:sz="4" w:space="0" w:color="auto"/>
              <w:left w:val="nil"/>
              <w:bottom w:val="single" w:sz="4" w:space="0" w:color="auto"/>
              <w:right w:val="single" w:sz="4" w:space="0" w:color="000000"/>
            </w:tcBorders>
            <w:shd w:val="clear" w:color="000000" w:fill="FFFFFF"/>
          </w:tcPr>
          <w:p w14:paraId="0A68D51F" w14:textId="77777777" w:rsidR="00267AB0" w:rsidRPr="00610AD5" w:rsidRDefault="00267AB0" w:rsidP="00AA653D">
            <w:pPr>
              <w:widowControl w:val="0"/>
              <w:autoSpaceDE w:val="0"/>
              <w:autoSpaceDN w:val="0"/>
              <w:rPr>
                <w:rFonts w:ascii="Tahoma" w:hAnsi="Tahoma" w:cs="Tahoma"/>
                <w:snapToGrid w:val="0"/>
                <w:sz w:val="20"/>
                <w:szCs w:val="20"/>
              </w:rPr>
            </w:pPr>
            <w:r w:rsidRPr="00610AD5">
              <w:rPr>
                <w:rFonts w:ascii="Tahoma" w:hAnsi="Tahoma" w:cs="Tahoma"/>
                <w:snapToGrid w:val="0"/>
                <w:sz w:val="20"/>
                <w:szCs w:val="20"/>
              </w:rPr>
              <w:t>Государственная регистрация и фактическое место расположения бизнеса Заемщика</w:t>
            </w:r>
          </w:p>
        </w:tc>
        <w:tc>
          <w:tcPr>
            <w:tcW w:w="7463" w:type="dxa"/>
            <w:gridSpan w:val="5"/>
            <w:tcBorders>
              <w:top w:val="single" w:sz="4" w:space="0" w:color="auto"/>
              <w:left w:val="nil"/>
              <w:bottom w:val="single" w:sz="4" w:space="0" w:color="auto"/>
              <w:right w:val="single" w:sz="4" w:space="0" w:color="000000"/>
            </w:tcBorders>
            <w:shd w:val="clear" w:color="000000" w:fill="FFFFFF"/>
          </w:tcPr>
          <w:p w14:paraId="72C4C26D" w14:textId="77777777" w:rsidR="00267AB0" w:rsidRPr="00610AD5" w:rsidRDefault="00267AB0" w:rsidP="00AA653D">
            <w:pPr>
              <w:widowControl w:val="0"/>
              <w:tabs>
                <w:tab w:val="left" w:pos="275"/>
              </w:tabs>
              <w:autoSpaceDE w:val="0"/>
              <w:autoSpaceDN w:val="0"/>
              <w:jc w:val="both"/>
              <w:rPr>
                <w:rFonts w:ascii="Tahoma" w:hAnsi="Tahoma" w:cs="Tahoma"/>
                <w:snapToGrid w:val="0"/>
                <w:sz w:val="20"/>
                <w:szCs w:val="20"/>
              </w:rPr>
            </w:pPr>
            <w:r w:rsidRPr="00610AD5">
              <w:rPr>
                <w:rFonts w:ascii="Tahoma" w:hAnsi="Tahoma" w:cs="Tahoma"/>
                <w:snapToGrid w:val="0"/>
                <w:sz w:val="20"/>
                <w:szCs w:val="20"/>
              </w:rPr>
              <w:t>Зарегистрирован в соответствии с требованиями действующего законодательства на территории Российской Федерации. Удаленность места ведения бизнеса от населенного пункта, где расположено ближайшее подразделение Банка, не более 200 километров.</w:t>
            </w:r>
          </w:p>
        </w:tc>
      </w:tr>
      <w:tr w:rsidR="00267AB0" w:rsidRPr="00610AD5" w14:paraId="2802529E" w14:textId="77777777" w:rsidTr="00AA653D">
        <w:trPr>
          <w:trHeight w:val="745"/>
        </w:trPr>
        <w:tc>
          <w:tcPr>
            <w:tcW w:w="4355" w:type="dxa"/>
            <w:vMerge/>
            <w:tcBorders>
              <w:left w:val="single" w:sz="8" w:space="0" w:color="auto"/>
              <w:right w:val="single" w:sz="4" w:space="0" w:color="000000"/>
            </w:tcBorders>
            <w:shd w:val="clear" w:color="auto" w:fill="auto"/>
            <w:vAlign w:val="center"/>
          </w:tcPr>
          <w:p w14:paraId="6C55E6BC" w14:textId="77777777" w:rsidR="00267AB0" w:rsidRPr="00610AD5" w:rsidRDefault="00267AB0" w:rsidP="00AA653D">
            <w:pPr>
              <w:rPr>
                <w:rFonts w:ascii="Tahoma" w:hAnsi="Tahoma" w:cs="Tahoma"/>
                <w:b/>
                <w:bCs/>
                <w:sz w:val="20"/>
                <w:szCs w:val="20"/>
              </w:rPr>
            </w:pPr>
          </w:p>
        </w:tc>
        <w:tc>
          <w:tcPr>
            <w:tcW w:w="3593" w:type="dxa"/>
            <w:gridSpan w:val="3"/>
            <w:tcBorders>
              <w:top w:val="single" w:sz="4" w:space="0" w:color="auto"/>
              <w:left w:val="nil"/>
              <w:bottom w:val="single" w:sz="4" w:space="0" w:color="auto"/>
              <w:right w:val="single" w:sz="4" w:space="0" w:color="000000"/>
            </w:tcBorders>
            <w:shd w:val="clear" w:color="000000" w:fill="FFFFFF"/>
          </w:tcPr>
          <w:p w14:paraId="36819B8E" w14:textId="77777777" w:rsidR="00267AB0" w:rsidRPr="00610AD5" w:rsidRDefault="00267AB0" w:rsidP="00AA653D">
            <w:pPr>
              <w:widowControl w:val="0"/>
              <w:autoSpaceDE w:val="0"/>
              <w:autoSpaceDN w:val="0"/>
              <w:rPr>
                <w:rFonts w:ascii="Tahoma" w:hAnsi="Tahoma" w:cs="Tahoma"/>
                <w:strike/>
                <w:snapToGrid w:val="0"/>
                <w:spacing w:val="-1"/>
                <w:kern w:val="65535"/>
                <w:position w:val="-1"/>
                <w:sz w:val="20"/>
                <w:szCs w:val="20"/>
                <w:vertAlign w:val="superscript"/>
              </w:rPr>
            </w:pPr>
            <w:r w:rsidRPr="00610AD5">
              <w:rPr>
                <w:rFonts w:ascii="Tahoma" w:hAnsi="Tahoma" w:cs="Tahoma"/>
                <w:snapToGrid w:val="0"/>
                <w:sz w:val="20"/>
                <w:szCs w:val="20"/>
              </w:rPr>
              <w:t>Положительный финансовый результат деятельности бизнеса Заемщика</w:t>
            </w:r>
          </w:p>
        </w:tc>
        <w:tc>
          <w:tcPr>
            <w:tcW w:w="7463" w:type="dxa"/>
            <w:gridSpan w:val="5"/>
            <w:tcBorders>
              <w:top w:val="single" w:sz="4" w:space="0" w:color="auto"/>
              <w:left w:val="nil"/>
              <w:bottom w:val="single" w:sz="4" w:space="0" w:color="auto"/>
              <w:right w:val="single" w:sz="4" w:space="0" w:color="000000"/>
            </w:tcBorders>
            <w:shd w:val="clear" w:color="000000" w:fill="FFFFFF"/>
          </w:tcPr>
          <w:p w14:paraId="25397320" w14:textId="77777777" w:rsidR="00267AB0" w:rsidRPr="00610AD5" w:rsidRDefault="00267AB0" w:rsidP="00AA653D">
            <w:pPr>
              <w:tabs>
                <w:tab w:val="left" w:pos="275"/>
                <w:tab w:val="left" w:pos="317"/>
              </w:tabs>
              <w:autoSpaceDE w:val="0"/>
              <w:autoSpaceDN w:val="0"/>
              <w:jc w:val="both"/>
              <w:rPr>
                <w:rFonts w:ascii="Tahoma" w:hAnsi="Tahoma" w:cs="Tahoma"/>
                <w:strike/>
                <w:snapToGrid w:val="0"/>
                <w:sz w:val="20"/>
                <w:szCs w:val="20"/>
              </w:rPr>
            </w:pPr>
            <w:r w:rsidRPr="00610AD5">
              <w:rPr>
                <w:rFonts w:ascii="Tahoma" w:hAnsi="Tahoma" w:cs="Tahoma"/>
                <w:snapToGrid w:val="0"/>
                <w:sz w:val="20"/>
                <w:szCs w:val="20"/>
              </w:rPr>
              <w:t xml:space="preserve">В среднем за последние 3 месяца до даты обращения за </w:t>
            </w:r>
            <w:r>
              <w:rPr>
                <w:rFonts w:ascii="Tahoma" w:hAnsi="Tahoma" w:cs="Tahoma"/>
                <w:snapToGrid w:val="0"/>
                <w:sz w:val="20"/>
                <w:szCs w:val="20"/>
              </w:rPr>
              <w:t>К</w:t>
            </w:r>
            <w:r w:rsidRPr="00610AD5">
              <w:rPr>
                <w:rFonts w:ascii="Tahoma" w:hAnsi="Tahoma" w:cs="Tahoma"/>
                <w:snapToGrid w:val="0"/>
                <w:sz w:val="20"/>
                <w:szCs w:val="20"/>
              </w:rPr>
              <w:t>редитом.</w:t>
            </w:r>
          </w:p>
        </w:tc>
      </w:tr>
      <w:tr w:rsidR="00267AB0" w:rsidRPr="00610AD5" w14:paraId="47907E8C" w14:textId="77777777" w:rsidTr="00AA653D">
        <w:trPr>
          <w:trHeight w:val="745"/>
        </w:trPr>
        <w:tc>
          <w:tcPr>
            <w:tcW w:w="4355" w:type="dxa"/>
            <w:vMerge/>
            <w:tcBorders>
              <w:left w:val="single" w:sz="8" w:space="0" w:color="auto"/>
              <w:right w:val="single" w:sz="4" w:space="0" w:color="000000"/>
            </w:tcBorders>
            <w:shd w:val="clear" w:color="auto" w:fill="auto"/>
            <w:vAlign w:val="center"/>
          </w:tcPr>
          <w:p w14:paraId="7C282F84" w14:textId="77777777" w:rsidR="00267AB0" w:rsidRPr="00610AD5" w:rsidRDefault="00267AB0" w:rsidP="00AA653D">
            <w:pPr>
              <w:rPr>
                <w:rFonts w:ascii="Tahoma" w:hAnsi="Tahoma" w:cs="Tahoma"/>
                <w:b/>
                <w:bCs/>
                <w:sz w:val="20"/>
                <w:szCs w:val="20"/>
              </w:rPr>
            </w:pPr>
          </w:p>
        </w:tc>
        <w:tc>
          <w:tcPr>
            <w:tcW w:w="3593" w:type="dxa"/>
            <w:gridSpan w:val="3"/>
            <w:tcBorders>
              <w:top w:val="single" w:sz="4" w:space="0" w:color="auto"/>
              <w:left w:val="nil"/>
              <w:bottom w:val="single" w:sz="4" w:space="0" w:color="auto"/>
              <w:right w:val="single" w:sz="4" w:space="0" w:color="000000"/>
            </w:tcBorders>
            <w:shd w:val="clear" w:color="000000" w:fill="FFFFFF"/>
          </w:tcPr>
          <w:p w14:paraId="2CB3DD08" w14:textId="77777777" w:rsidR="00267AB0" w:rsidRPr="00610AD5" w:rsidRDefault="00267AB0" w:rsidP="00AA653D">
            <w:pPr>
              <w:widowControl w:val="0"/>
              <w:autoSpaceDE w:val="0"/>
              <w:autoSpaceDN w:val="0"/>
              <w:jc w:val="both"/>
              <w:rPr>
                <w:rFonts w:ascii="Tahoma" w:hAnsi="Tahoma" w:cs="Tahoma"/>
                <w:snapToGrid w:val="0"/>
                <w:sz w:val="20"/>
                <w:szCs w:val="20"/>
              </w:rPr>
            </w:pPr>
            <w:r w:rsidRPr="00610AD5">
              <w:rPr>
                <w:rFonts w:ascii="Tahoma" w:hAnsi="Tahoma" w:cs="Tahoma"/>
                <w:snapToGrid w:val="0"/>
                <w:sz w:val="20"/>
                <w:szCs w:val="20"/>
              </w:rPr>
              <w:t>Численность сотрудников, работающих на предприятии Заемщика</w:t>
            </w:r>
          </w:p>
        </w:tc>
        <w:tc>
          <w:tcPr>
            <w:tcW w:w="7463" w:type="dxa"/>
            <w:gridSpan w:val="5"/>
            <w:tcBorders>
              <w:top w:val="single" w:sz="4" w:space="0" w:color="auto"/>
              <w:left w:val="nil"/>
              <w:bottom w:val="single" w:sz="4" w:space="0" w:color="auto"/>
              <w:right w:val="single" w:sz="4" w:space="0" w:color="000000"/>
            </w:tcBorders>
            <w:shd w:val="clear" w:color="000000" w:fill="FFFFFF"/>
          </w:tcPr>
          <w:p w14:paraId="0B333BF9" w14:textId="77777777" w:rsidR="00267AB0" w:rsidRPr="00610AD5" w:rsidRDefault="00267AB0" w:rsidP="00AA653D">
            <w:pPr>
              <w:tabs>
                <w:tab w:val="left" w:pos="275"/>
                <w:tab w:val="left" w:pos="317"/>
              </w:tabs>
              <w:autoSpaceDE w:val="0"/>
              <w:autoSpaceDN w:val="0"/>
              <w:jc w:val="both"/>
              <w:rPr>
                <w:rFonts w:ascii="Tahoma" w:hAnsi="Tahoma" w:cs="Tahoma"/>
                <w:snapToGrid w:val="0"/>
                <w:sz w:val="20"/>
                <w:szCs w:val="20"/>
              </w:rPr>
            </w:pPr>
            <w:r w:rsidRPr="00610AD5">
              <w:rPr>
                <w:rFonts w:ascii="Tahoma" w:hAnsi="Tahoma" w:cs="Tahoma"/>
                <w:snapToGrid w:val="0"/>
                <w:sz w:val="20"/>
                <w:szCs w:val="20"/>
              </w:rPr>
              <w:t>Не менее одного сотрудника, помимо Заемщика.</w:t>
            </w:r>
          </w:p>
        </w:tc>
      </w:tr>
      <w:tr w:rsidR="00267AB0" w:rsidRPr="00610AD5" w14:paraId="6C42B303" w14:textId="77777777" w:rsidTr="00AA653D">
        <w:trPr>
          <w:trHeight w:val="745"/>
        </w:trPr>
        <w:tc>
          <w:tcPr>
            <w:tcW w:w="4355" w:type="dxa"/>
            <w:vMerge/>
            <w:tcBorders>
              <w:left w:val="single" w:sz="8" w:space="0" w:color="auto"/>
              <w:right w:val="single" w:sz="4" w:space="0" w:color="000000"/>
            </w:tcBorders>
            <w:shd w:val="clear" w:color="auto" w:fill="auto"/>
            <w:vAlign w:val="center"/>
          </w:tcPr>
          <w:p w14:paraId="0D539874" w14:textId="77777777" w:rsidR="00267AB0" w:rsidRPr="00610AD5" w:rsidRDefault="00267AB0" w:rsidP="00AA653D">
            <w:pPr>
              <w:rPr>
                <w:rFonts w:ascii="Tahoma" w:hAnsi="Tahoma" w:cs="Tahoma"/>
                <w:b/>
                <w:bCs/>
                <w:sz w:val="20"/>
                <w:szCs w:val="20"/>
              </w:rPr>
            </w:pPr>
          </w:p>
        </w:tc>
        <w:tc>
          <w:tcPr>
            <w:tcW w:w="3593" w:type="dxa"/>
            <w:gridSpan w:val="3"/>
            <w:tcBorders>
              <w:top w:val="single" w:sz="4" w:space="0" w:color="auto"/>
              <w:left w:val="nil"/>
              <w:bottom w:val="single" w:sz="4" w:space="0" w:color="auto"/>
              <w:right w:val="single" w:sz="4" w:space="0" w:color="000000"/>
            </w:tcBorders>
            <w:shd w:val="clear" w:color="000000" w:fill="FFFFFF"/>
          </w:tcPr>
          <w:p w14:paraId="5B0C5A94" w14:textId="77777777" w:rsidR="00267AB0" w:rsidRPr="00610AD5" w:rsidRDefault="00267AB0" w:rsidP="00AA653D">
            <w:pPr>
              <w:widowControl w:val="0"/>
              <w:autoSpaceDE w:val="0"/>
              <w:autoSpaceDN w:val="0"/>
              <w:jc w:val="both"/>
              <w:rPr>
                <w:rFonts w:ascii="Tahoma" w:hAnsi="Tahoma" w:cs="Tahoma"/>
                <w:snapToGrid w:val="0"/>
                <w:sz w:val="20"/>
                <w:szCs w:val="20"/>
              </w:rPr>
            </w:pPr>
            <w:r w:rsidRPr="00610AD5">
              <w:rPr>
                <w:rFonts w:ascii="Tahoma" w:hAnsi="Tahoma" w:cs="Tahoma"/>
                <w:snapToGrid w:val="0"/>
                <w:sz w:val="20"/>
                <w:szCs w:val="20"/>
              </w:rPr>
              <w:t>Сегмент бизнеса, к которому относится предприятие Заемщика</w:t>
            </w:r>
          </w:p>
        </w:tc>
        <w:tc>
          <w:tcPr>
            <w:tcW w:w="7463" w:type="dxa"/>
            <w:gridSpan w:val="5"/>
            <w:tcBorders>
              <w:top w:val="single" w:sz="4" w:space="0" w:color="auto"/>
              <w:left w:val="nil"/>
              <w:bottom w:val="single" w:sz="4" w:space="0" w:color="auto"/>
              <w:right w:val="single" w:sz="4" w:space="0" w:color="000000"/>
            </w:tcBorders>
            <w:shd w:val="clear" w:color="000000" w:fill="FFFFFF"/>
          </w:tcPr>
          <w:p w14:paraId="03FBC1B3" w14:textId="77777777" w:rsidR="00267AB0" w:rsidRPr="00610AD5" w:rsidRDefault="00267AB0" w:rsidP="00AA653D">
            <w:pPr>
              <w:widowControl w:val="0"/>
              <w:tabs>
                <w:tab w:val="left" w:pos="275"/>
                <w:tab w:val="left" w:pos="851"/>
              </w:tabs>
              <w:autoSpaceDE w:val="0"/>
              <w:autoSpaceDN w:val="0"/>
              <w:jc w:val="both"/>
              <w:rPr>
                <w:rFonts w:ascii="Tahoma" w:hAnsi="Tahoma" w:cs="Tahoma"/>
                <w:snapToGrid w:val="0"/>
                <w:sz w:val="20"/>
                <w:szCs w:val="20"/>
              </w:rPr>
            </w:pPr>
            <w:r w:rsidRPr="00610AD5">
              <w:rPr>
                <w:rFonts w:ascii="Tahoma" w:hAnsi="Tahoma" w:cs="Tahoma"/>
                <w:snapToGrid w:val="0"/>
                <w:sz w:val="20"/>
                <w:szCs w:val="20"/>
              </w:rPr>
              <w:t>Микро/</w:t>
            </w:r>
            <w:r>
              <w:rPr>
                <w:rFonts w:ascii="Tahoma" w:hAnsi="Tahoma" w:cs="Tahoma"/>
                <w:snapToGrid w:val="0"/>
                <w:sz w:val="20"/>
                <w:szCs w:val="20"/>
              </w:rPr>
              <w:t>м</w:t>
            </w:r>
            <w:r w:rsidRPr="00610AD5">
              <w:rPr>
                <w:rFonts w:ascii="Tahoma" w:hAnsi="Tahoma" w:cs="Tahoma"/>
                <w:snapToGrid w:val="0"/>
                <w:sz w:val="20"/>
                <w:szCs w:val="20"/>
              </w:rPr>
              <w:t xml:space="preserve">алый бизнес, в соответствии с Методикой сегментации клиентов – юридических лиц и индивидуальных предпринимателей в </w:t>
            </w:r>
            <w:r>
              <w:rPr>
                <w:rFonts w:ascii="Tahoma" w:hAnsi="Tahoma" w:cs="Tahoma"/>
                <w:snapToGrid w:val="0"/>
                <w:sz w:val="20"/>
                <w:szCs w:val="20"/>
              </w:rPr>
              <w:t>«Азиатско-Тихоокеанский Банк» (</w:t>
            </w:r>
            <w:r w:rsidRPr="00610AD5">
              <w:rPr>
                <w:rFonts w:ascii="Tahoma" w:hAnsi="Tahoma" w:cs="Tahoma"/>
                <w:snapToGrid w:val="0"/>
                <w:sz w:val="20"/>
                <w:szCs w:val="20"/>
              </w:rPr>
              <w:t>АО) в действующей редакции.</w:t>
            </w:r>
          </w:p>
        </w:tc>
      </w:tr>
      <w:tr w:rsidR="00267AB0" w:rsidRPr="00610AD5" w14:paraId="65794149" w14:textId="77777777" w:rsidTr="00AA653D">
        <w:trPr>
          <w:trHeight w:val="745"/>
        </w:trPr>
        <w:tc>
          <w:tcPr>
            <w:tcW w:w="4355" w:type="dxa"/>
            <w:vMerge/>
            <w:tcBorders>
              <w:left w:val="single" w:sz="8" w:space="0" w:color="auto"/>
              <w:right w:val="single" w:sz="4" w:space="0" w:color="000000"/>
            </w:tcBorders>
            <w:shd w:val="clear" w:color="auto" w:fill="auto"/>
            <w:vAlign w:val="center"/>
          </w:tcPr>
          <w:p w14:paraId="55DA62C3" w14:textId="77777777" w:rsidR="00267AB0" w:rsidRPr="00610AD5" w:rsidRDefault="00267AB0" w:rsidP="00AA653D">
            <w:pPr>
              <w:rPr>
                <w:rFonts w:ascii="Tahoma" w:hAnsi="Tahoma" w:cs="Tahoma"/>
                <w:b/>
                <w:bCs/>
                <w:sz w:val="20"/>
                <w:szCs w:val="20"/>
              </w:rPr>
            </w:pPr>
          </w:p>
        </w:tc>
        <w:tc>
          <w:tcPr>
            <w:tcW w:w="3593" w:type="dxa"/>
            <w:gridSpan w:val="3"/>
            <w:tcBorders>
              <w:top w:val="single" w:sz="4" w:space="0" w:color="auto"/>
              <w:left w:val="nil"/>
              <w:bottom w:val="single" w:sz="4" w:space="0" w:color="auto"/>
              <w:right w:val="single" w:sz="4" w:space="0" w:color="000000"/>
            </w:tcBorders>
            <w:shd w:val="clear" w:color="000000" w:fill="FFFFFF"/>
          </w:tcPr>
          <w:p w14:paraId="360BC99A" w14:textId="77777777" w:rsidR="00267AB0" w:rsidRPr="008A1C41" w:rsidRDefault="00267AB0" w:rsidP="00AA653D">
            <w:pPr>
              <w:widowControl w:val="0"/>
              <w:autoSpaceDE w:val="0"/>
              <w:autoSpaceDN w:val="0"/>
              <w:jc w:val="both"/>
              <w:rPr>
                <w:rFonts w:ascii="Tahoma" w:hAnsi="Tahoma" w:cs="Tahoma"/>
                <w:snapToGrid w:val="0"/>
                <w:sz w:val="20"/>
                <w:szCs w:val="20"/>
              </w:rPr>
            </w:pPr>
            <w:r w:rsidRPr="008A1C41">
              <w:rPr>
                <w:rFonts w:ascii="Tahoma" w:hAnsi="Tahoma" w:cs="Tahoma"/>
                <w:snapToGrid w:val="0"/>
                <w:sz w:val="20"/>
                <w:szCs w:val="20"/>
              </w:rPr>
              <w:t>Срок нахождения Заемщика в составе участников/акционеров компании, деятельность которой анализируется для оценки платежеспособности Заемщика</w:t>
            </w:r>
          </w:p>
        </w:tc>
        <w:tc>
          <w:tcPr>
            <w:tcW w:w="7463" w:type="dxa"/>
            <w:gridSpan w:val="5"/>
            <w:tcBorders>
              <w:top w:val="single" w:sz="4" w:space="0" w:color="auto"/>
              <w:left w:val="nil"/>
              <w:bottom w:val="single" w:sz="4" w:space="0" w:color="auto"/>
              <w:right w:val="single" w:sz="4" w:space="0" w:color="000000"/>
            </w:tcBorders>
            <w:shd w:val="clear" w:color="000000" w:fill="FFFFFF"/>
          </w:tcPr>
          <w:p w14:paraId="7D41EEF6" w14:textId="77777777" w:rsidR="00267AB0" w:rsidRPr="008A1C41" w:rsidRDefault="00267AB0" w:rsidP="00AA653D">
            <w:pPr>
              <w:widowControl w:val="0"/>
              <w:tabs>
                <w:tab w:val="left" w:pos="275"/>
                <w:tab w:val="left" w:pos="851"/>
              </w:tabs>
              <w:autoSpaceDE w:val="0"/>
              <w:autoSpaceDN w:val="0"/>
              <w:jc w:val="both"/>
              <w:rPr>
                <w:rFonts w:ascii="Tahoma" w:hAnsi="Tahoma" w:cs="Tahoma"/>
                <w:snapToGrid w:val="0"/>
                <w:sz w:val="20"/>
                <w:szCs w:val="20"/>
              </w:rPr>
            </w:pPr>
            <w:r w:rsidRPr="008A1C41">
              <w:rPr>
                <w:rFonts w:ascii="Tahoma" w:hAnsi="Tahoma" w:cs="Tahoma"/>
                <w:snapToGrid w:val="0"/>
                <w:sz w:val="20"/>
                <w:szCs w:val="20"/>
              </w:rPr>
              <w:t>Не менее 12 месяцев</w:t>
            </w:r>
          </w:p>
        </w:tc>
      </w:tr>
      <w:tr w:rsidR="00267AB0" w:rsidRPr="00610AD5" w14:paraId="664610CD" w14:textId="77777777" w:rsidTr="00AA653D">
        <w:trPr>
          <w:trHeight w:val="745"/>
        </w:trPr>
        <w:tc>
          <w:tcPr>
            <w:tcW w:w="4355" w:type="dxa"/>
            <w:vMerge/>
            <w:tcBorders>
              <w:left w:val="single" w:sz="8" w:space="0" w:color="auto"/>
              <w:bottom w:val="single" w:sz="4" w:space="0" w:color="auto"/>
              <w:right w:val="single" w:sz="4" w:space="0" w:color="000000"/>
            </w:tcBorders>
            <w:shd w:val="clear" w:color="auto" w:fill="auto"/>
            <w:vAlign w:val="center"/>
          </w:tcPr>
          <w:p w14:paraId="77CA7957" w14:textId="77777777" w:rsidR="00267AB0" w:rsidRPr="00610AD5" w:rsidRDefault="00267AB0" w:rsidP="00AA653D">
            <w:pPr>
              <w:rPr>
                <w:rFonts w:ascii="Tahoma" w:hAnsi="Tahoma" w:cs="Tahoma"/>
                <w:b/>
                <w:bCs/>
                <w:sz w:val="20"/>
                <w:szCs w:val="20"/>
              </w:rPr>
            </w:pPr>
          </w:p>
        </w:tc>
        <w:tc>
          <w:tcPr>
            <w:tcW w:w="3593" w:type="dxa"/>
            <w:gridSpan w:val="3"/>
            <w:tcBorders>
              <w:top w:val="single" w:sz="4" w:space="0" w:color="auto"/>
              <w:left w:val="nil"/>
              <w:bottom w:val="single" w:sz="4" w:space="0" w:color="auto"/>
              <w:right w:val="single" w:sz="4" w:space="0" w:color="000000"/>
            </w:tcBorders>
            <w:shd w:val="clear" w:color="000000" w:fill="FFFFFF"/>
          </w:tcPr>
          <w:p w14:paraId="2D9DE70F" w14:textId="77777777" w:rsidR="00267AB0" w:rsidRPr="00610AD5" w:rsidRDefault="00267AB0" w:rsidP="00AA653D">
            <w:pPr>
              <w:widowControl w:val="0"/>
              <w:autoSpaceDE w:val="0"/>
              <w:autoSpaceDN w:val="0"/>
              <w:jc w:val="both"/>
              <w:rPr>
                <w:rFonts w:ascii="Tahoma" w:hAnsi="Tahoma" w:cs="Tahoma"/>
                <w:snapToGrid w:val="0"/>
                <w:sz w:val="20"/>
                <w:szCs w:val="20"/>
              </w:rPr>
            </w:pPr>
            <w:r w:rsidRPr="00610AD5">
              <w:rPr>
                <w:rFonts w:ascii="Tahoma" w:hAnsi="Tahoma" w:cs="Tahoma"/>
                <w:snapToGrid w:val="0"/>
                <w:sz w:val="20"/>
                <w:szCs w:val="20"/>
              </w:rPr>
              <w:t>Кредитная история Заемщика/</w:t>
            </w:r>
            <w:r>
              <w:rPr>
                <w:rFonts w:ascii="Tahoma" w:hAnsi="Tahoma" w:cs="Tahoma"/>
                <w:snapToGrid w:val="0"/>
                <w:sz w:val="20"/>
                <w:szCs w:val="20"/>
              </w:rPr>
              <w:t>п</w:t>
            </w:r>
            <w:r w:rsidRPr="00610AD5">
              <w:rPr>
                <w:rFonts w:ascii="Tahoma" w:hAnsi="Tahoma" w:cs="Tahoma"/>
                <w:snapToGrid w:val="0"/>
                <w:sz w:val="20"/>
                <w:szCs w:val="20"/>
              </w:rPr>
              <w:t>редприятия Заемщика</w:t>
            </w:r>
          </w:p>
        </w:tc>
        <w:tc>
          <w:tcPr>
            <w:tcW w:w="7463" w:type="dxa"/>
            <w:gridSpan w:val="5"/>
            <w:tcBorders>
              <w:top w:val="single" w:sz="4" w:space="0" w:color="auto"/>
              <w:left w:val="nil"/>
              <w:bottom w:val="single" w:sz="4" w:space="0" w:color="auto"/>
              <w:right w:val="single" w:sz="4" w:space="0" w:color="000000"/>
            </w:tcBorders>
            <w:shd w:val="clear" w:color="000000" w:fill="FFFFFF"/>
          </w:tcPr>
          <w:p w14:paraId="1DB5E605" w14:textId="77777777" w:rsidR="00267AB0" w:rsidRPr="00610AD5" w:rsidRDefault="00267AB0" w:rsidP="00AA653D">
            <w:pPr>
              <w:widowControl w:val="0"/>
              <w:tabs>
                <w:tab w:val="left" w:pos="275"/>
                <w:tab w:val="left" w:pos="851"/>
              </w:tabs>
              <w:autoSpaceDE w:val="0"/>
              <w:autoSpaceDN w:val="0"/>
              <w:jc w:val="both"/>
              <w:rPr>
                <w:rFonts w:ascii="Tahoma" w:hAnsi="Tahoma" w:cs="Tahoma"/>
                <w:snapToGrid w:val="0"/>
                <w:sz w:val="20"/>
                <w:szCs w:val="20"/>
              </w:rPr>
            </w:pPr>
            <w:r w:rsidRPr="00610AD5">
              <w:rPr>
                <w:rFonts w:ascii="Tahoma" w:hAnsi="Tahoma" w:cs="Tahoma"/>
                <w:snapToGrid w:val="0"/>
                <w:sz w:val="20"/>
                <w:szCs w:val="20"/>
              </w:rPr>
              <w:t xml:space="preserve">Отсутствие у Заемщика/ анализируемой компании/ группы связанных компаний  Заемщика признаков отрицательной кредитной истории в </w:t>
            </w:r>
            <w:r>
              <w:rPr>
                <w:rFonts w:ascii="Tahoma" w:hAnsi="Tahoma" w:cs="Tahoma"/>
                <w:snapToGrid w:val="0"/>
                <w:sz w:val="20"/>
                <w:szCs w:val="20"/>
              </w:rPr>
              <w:t>«Азиатско-Тихоокеанский Банк» (</w:t>
            </w:r>
            <w:r w:rsidRPr="00610AD5">
              <w:rPr>
                <w:rFonts w:ascii="Tahoma" w:hAnsi="Tahoma" w:cs="Tahoma"/>
                <w:snapToGrid w:val="0"/>
                <w:sz w:val="20"/>
                <w:szCs w:val="20"/>
              </w:rPr>
              <w:t xml:space="preserve">АО) и </w:t>
            </w:r>
            <w:r>
              <w:rPr>
                <w:rFonts w:ascii="Tahoma" w:hAnsi="Tahoma" w:cs="Tahoma"/>
                <w:snapToGrid w:val="0"/>
                <w:sz w:val="20"/>
                <w:szCs w:val="20"/>
              </w:rPr>
              <w:t xml:space="preserve">в </w:t>
            </w:r>
            <w:r w:rsidRPr="00610AD5">
              <w:rPr>
                <w:rFonts w:ascii="Tahoma" w:hAnsi="Tahoma" w:cs="Tahoma"/>
                <w:snapToGrid w:val="0"/>
                <w:sz w:val="20"/>
                <w:szCs w:val="20"/>
              </w:rPr>
              <w:t>других кредитных организациях.</w:t>
            </w:r>
          </w:p>
        </w:tc>
      </w:tr>
      <w:tr w:rsidR="00267AB0" w:rsidRPr="00610AD5" w14:paraId="5DFA30AE" w14:textId="77777777" w:rsidTr="00AA653D">
        <w:trPr>
          <w:trHeight w:val="745"/>
        </w:trPr>
        <w:tc>
          <w:tcPr>
            <w:tcW w:w="4355" w:type="dxa"/>
            <w:tcBorders>
              <w:left w:val="single" w:sz="8" w:space="0" w:color="auto"/>
              <w:bottom w:val="single" w:sz="4" w:space="0" w:color="auto"/>
              <w:right w:val="single" w:sz="4" w:space="0" w:color="000000"/>
            </w:tcBorders>
            <w:shd w:val="clear" w:color="auto" w:fill="auto"/>
            <w:vAlign w:val="center"/>
          </w:tcPr>
          <w:p w14:paraId="28FF7126" w14:textId="77777777" w:rsidR="00267AB0" w:rsidRPr="00610AD5" w:rsidRDefault="00267AB0" w:rsidP="00AA653D">
            <w:pPr>
              <w:rPr>
                <w:rFonts w:ascii="Tahoma" w:hAnsi="Tahoma" w:cs="Tahoma"/>
                <w:b/>
                <w:bCs/>
                <w:sz w:val="20"/>
                <w:szCs w:val="20"/>
              </w:rPr>
            </w:pPr>
            <w:r w:rsidRPr="008A1C41">
              <w:rPr>
                <w:rFonts w:ascii="Tahoma" w:hAnsi="Tahoma" w:cs="Tahoma"/>
                <w:b/>
                <w:bCs/>
                <w:sz w:val="20"/>
                <w:szCs w:val="20"/>
              </w:rPr>
              <w:t>Перечень документов, необходимых для рассмотрения заявления о предоставлении потребительского Кредита, в том числе для оценки кредитоспособности Заемщика</w:t>
            </w:r>
          </w:p>
        </w:tc>
        <w:tc>
          <w:tcPr>
            <w:tcW w:w="11056" w:type="dxa"/>
            <w:gridSpan w:val="8"/>
            <w:tcBorders>
              <w:top w:val="single" w:sz="4" w:space="0" w:color="auto"/>
              <w:left w:val="nil"/>
              <w:bottom w:val="single" w:sz="4" w:space="0" w:color="auto"/>
              <w:right w:val="single" w:sz="4" w:space="0" w:color="000000"/>
            </w:tcBorders>
            <w:shd w:val="clear" w:color="000000" w:fill="FFFFFF"/>
            <w:vAlign w:val="center"/>
          </w:tcPr>
          <w:p w14:paraId="6AA48F20" w14:textId="77777777" w:rsidR="00267AB0" w:rsidRPr="00610AD5" w:rsidRDefault="00267AB0" w:rsidP="00AA653D">
            <w:pPr>
              <w:autoSpaceDE w:val="0"/>
              <w:autoSpaceDN w:val="0"/>
              <w:jc w:val="both"/>
              <w:rPr>
                <w:rFonts w:ascii="Tahoma" w:hAnsi="Tahoma" w:cs="Tahoma"/>
                <w:sz w:val="20"/>
                <w:szCs w:val="20"/>
              </w:rPr>
            </w:pPr>
            <w:r w:rsidRPr="00610AD5">
              <w:rPr>
                <w:rFonts w:ascii="Tahoma" w:hAnsi="Tahoma" w:cs="Tahoma"/>
                <w:sz w:val="20"/>
                <w:szCs w:val="20"/>
              </w:rPr>
              <w:t>Для Заемщика:</w:t>
            </w:r>
          </w:p>
          <w:p w14:paraId="4613B40A" w14:textId="77777777" w:rsidR="00267AB0" w:rsidRPr="008A1C41" w:rsidRDefault="00267AB0" w:rsidP="00AA653D">
            <w:pPr>
              <w:autoSpaceDE w:val="0"/>
              <w:autoSpaceDN w:val="0"/>
              <w:jc w:val="both"/>
              <w:rPr>
                <w:rFonts w:ascii="Tahoma" w:hAnsi="Tahoma" w:cs="Tahoma"/>
                <w:sz w:val="20"/>
                <w:szCs w:val="20"/>
              </w:rPr>
            </w:pPr>
            <w:r w:rsidRPr="008A1C41">
              <w:rPr>
                <w:rFonts w:ascii="Tahoma" w:hAnsi="Tahoma" w:cs="Tahoma"/>
                <w:sz w:val="20"/>
                <w:szCs w:val="20"/>
              </w:rPr>
              <w:t>- заявление на предоставление потребительского Кредита (заявление-анкета Заемщика);</w:t>
            </w:r>
          </w:p>
          <w:p w14:paraId="7CEEAF4F" w14:textId="77777777" w:rsidR="00267AB0" w:rsidRDefault="00267AB0" w:rsidP="00AA653D">
            <w:pPr>
              <w:autoSpaceDE w:val="0"/>
              <w:autoSpaceDN w:val="0"/>
              <w:jc w:val="both"/>
              <w:rPr>
                <w:rFonts w:ascii="Tahoma" w:hAnsi="Tahoma" w:cs="Tahoma"/>
                <w:sz w:val="20"/>
                <w:szCs w:val="20"/>
              </w:rPr>
            </w:pPr>
            <w:r w:rsidRPr="008A1C41">
              <w:rPr>
                <w:rFonts w:ascii="Tahoma" w:hAnsi="Tahoma" w:cs="Tahoma"/>
                <w:sz w:val="20"/>
                <w:szCs w:val="20"/>
              </w:rPr>
              <w:t>- паспорт гражданина РФ (все страницы)</w:t>
            </w:r>
          </w:p>
          <w:p w14:paraId="6BC85512" w14:textId="77777777" w:rsidR="00267AB0" w:rsidRPr="008A1C41" w:rsidRDefault="00267AB0" w:rsidP="00AA653D">
            <w:pPr>
              <w:autoSpaceDE w:val="0"/>
              <w:autoSpaceDN w:val="0"/>
              <w:jc w:val="both"/>
              <w:rPr>
                <w:rFonts w:ascii="Tahoma" w:hAnsi="Tahoma" w:cs="Tahoma"/>
                <w:sz w:val="20"/>
                <w:szCs w:val="20"/>
              </w:rPr>
            </w:pPr>
            <w:r w:rsidRPr="00B35CA8">
              <w:rPr>
                <w:rFonts w:ascii="Tahoma" w:hAnsi="Tahoma" w:cs="Tahoma"/>
                <w:sz w:val="20"/>
                <w:szCs w:val="20"/>
              </w:rPr>
              <w:t>При отсутствии в паспорте данных о "Семейном положении" и "Дети" предоставляются документы подтверждающие отсутствие данных (свидетельство о браке, свидетельство о разводе, свидетельство о рождении или письменное подтверждение от Клиента об отсутствии данных документов)</w:t>
            </w:r>
            <w:r w:rsidRPr="008A1C41">
              <w:rPr>
                <w:rFonts w:ascii="Tahoma" w:hAnsi="Tahoma" w:cs="Tahoma"/>
                <w:sz w:val="20"/>
                <w:szCs w:val="20"/>
              </w:rPr>
              <w:t>;</w:t>
            </w:r>
          </w:p>
          <w:p w14:paraId="7F74789D" w14:textId="77777777" w:rsidR="00267AB0" w:rsidRPr="008A1C41" w:rsidRDefault="00267AB0" w:rsidP="00AA653D">
            <w:pPr>
              <w:autoSpaceDE w:val="0"/>
              <w:autoSpaceDN w:val="0"/>
              <w:jc w:val="both"/>
              <w:rPr>
                <w:rFonts w:ascii="Tahoma" w:hAnsi="Tahoma" w:cs="Tahoma"/>
                <w:sz w:val="20"/>
                <w:szCs w:val="20"/>
              </w:rPr>
            </w:pPr>
            <w:r w:rsidRPr="008A1C41">
              <w:rPr>
                <w:rFonts w:ascii="Tahoma" w:hAnsi="Tahoma" w:cs="Tahoma"/>
                <w:sz w:val="20"/>
                <w:szCs w:val="20"/>
              </w:rPr>
              <w:t>- при наличии у Заемщика временной регистрации им предоставляется в Банк справка/свидетельство о регистрации по месту пребывания;</w:t>
            </w:r>
          </w:p>
          <w:p w14:paraId="32442096" w14:textId="77777777" w:rsidR="00267AB0" w:rsidRPr="008A1C41" w:rsidRDefault="00267AB0" w:rsidP="00AA653D">
            <w:pPr>
              <w:autoSpaceDE w:val="0"/>
              <w:autoSpaceDN w:val="0"/>
              <w:jc w:val="both"/>
              <w:rPr>
                <w:rFonts w:ascii="Tahoma" w:hAnsi="Tahoma" w:cs="Tahoma"/>
                <w:sz w:val="20"/>
                <w:szCs w:val="20"/>
              </w:rPr>
            </w:pPr>
            <w:r w:rsidRPr="008A1C41">
              <w:rPr>
                <w:rFonts w:ascii="Tahoma" w:hAnsi="Tahoma" w:cs="Tahoma"/>
                <w:sz w:val="20"/>
                <w:szCs w:val="20"/>
              </w:rPr>
              <w:t>- свидетельство о постановке на налоговый учет (ИНН) (при наличии), СНИЛС</w:t>
            </w:r>
            <w:r>
              <w:rPr>
                <w:rFonts w:ascii="Tahoma" w:hAnsi="Tahoma" w:cs="Tahoma"/>
                <w:sz w:val="20"/>
                <w:szCs w:val="20"/>
              </w:rPr>
              <w:t xml:space="preserve"> (при наличии)</w:t>
            </w:r>
            <w:r w:rsidRPr="008A1C41">
              <w:rPr>
                <w:rFonts w:ascii="Tahoma" w:hAnsi="Tahoma" w:cs="Tahoma"/>
                <w:sz w:val="20"/>
                <w:szCs w:val="20"/>
              </w:rPr>
              <w:t>;</w:t>
            </w:r>
          </w:p>
          <w:p w14:paraId="7AA2F693" w14:textId="77777777" w:rsidR="00267AB0" w:rsidRPr="008A1C41" w:rsidRDefault="00267AB0" w:rsidP="00AA653D">
            <w:pPr>
              <w:autoSpaceDE w:val="0"/>
              <w:autoSpaceDN w:val="0"/>
              <w:jc w:val="both"/>
              <w:rPr>
                <w:rFonts w:ascii="Tahoma" w:hAnsi="Tahoma" w:cs="Tahoma"/>
                <w:sz w:val="20"/>
                <w:szCs w:val="20"/>
              </w:rPr>
            </w:pPr>
            <w:r w:rsidRPr="008A1C41">
              <w:rPr>
                <w:rFonts w:ascii="Tahoma" w:hAnsi="Tahoma" w:cs="Tahoma"/>
                <w:sz w:val="20"/>
                <w:szCs w:val="20"/>
              </w:rPr>
              <w:t>- свидетельство о постановке на учет в качестве индивидуального предпринимателя/ свидетельство о государственной регистрации юридического лица, либо лист записи Единого государственного реестра юридических лиц/лист записи Единого государственного реестра индивидуальных предпринимателей;</w:t>
            </w:r>
          </w:p>
          <w:p w14:paraId="58DA6EAB" w14:textId="77777777" w:rsidR="00267AB0" w:rsidRPr="008A1C41" w:rsidRDefault="00267AB0" w:rsidP="00AA653D">
            <w:pPr>
              <w:autoSpaceDE w:val="0"/>
              <w:autoSpaceDN w:val="0"/>
              <w:jc w:val="both"/>
              <w:rPr>
                <w:rFonts w:ascii="Tahoma" w:hAnsi="Tahoma" w:cs="Tahoma"/>
                <w:sz w:val="20"/>
                <w:szCs w:val="20"/>
              </w:rPr>
            </w:pPr>
            <w:r w:rsidRPr="008A1C41">
              <w:rPr>
                <w:rFonts w:ascii="Tahoma" w:hAnsi="Tahoma" w:cs="Tahoma"/>
                <w:sz w:val="20"/>
                <w:szCs w:val="20"/>
              </w:rPr>
              <w:t>- налоговая декларация, либо патент/ бухгалтерский баланс;</w:t>
            </w:r>
          </w:p>
          <w:p w14:paraId="4ED48D55" w14:textId="77777777" w:rsidR="00267AB0" w:rsidRDefault="00267AB0" w:rsidP="00AA653D">
            <w:pPr>
              <w:autoSpaceDE w:val="0"/>
              <w:autoSpaceDN w:val="0"/>
              <w:jc w:val="both"/>
              <w:rPr>
                <w:rFonts w:ascii="Tahoma" w:hAnsi="Tahoma" w:cs="Tahoma"/>
                <w:sz w:val="20"/>
                <w:szCs w:val="20"/>
              </w:rPr>
            </w:pPr>
            <w:r w:rsidRPr="008A1C41">
              <w:rPr>
                <w:rFonts w:ascii="Tahoma" w:hAnsi="Tahoma" w:cs="Tahoma"/>
                <w:sz w:val="20"/>
                <w:szCs w:val="20"/>
              </w:rPr>
              <w:t>- квитанции по уплате авансовых платежей/ выписки по банковскому счету с указанием уплаты авансовых платежей, либо квитанции об уплате стоимости патента</w:t>
            </w:r>
            <w:r>
              <w:rPr>
                <w:rFonts w:ascii="Tahoma" w:hAnsi="Tahoma" w:cs="Tahoma"/>
                <w:sz w:val="20"/>
                <w:szCs w:val="20"/>
              </w:rPr>
              <w:t>;</w:t>
            </w:r>
          </w:p>
          <w:p w14:paraId="4B3ECF58" w14:textId="77777777" w:rsidR="00267AB0" w:rsidRPr="00610AD5" w:rsidRDefault="00267AB0" w:rsidP="00AA653D">
            <w:pPr>
              <w:autoSpaceDE w:val="0"/>
              <w:autoSpaceDN w:val="0"/>
              <w:spacing w:after="120"/>
              <w:jc w:val="both"/>
              <w:rPr>
                <w:rFonts w:ascii="Tahoma" w:hAnsi="Tahoma" w:cs="Tahoma"/>
                <w:sz w:val="20"/>
                <w:szCs w:val="20"/>
              </w:rPr>
            </w:pPr>
            <w:r w:rsidRPr="00D10145">
              <w:rPr>
                <w:rFonts w:ascii="Tahoma" w:hAnsi="Tahoma" w:cs="Tahoma"/>
                <w:sz w:val="20"/>
                <w:szCs w:val="20"/>
              </w:rPr>
              <w:t>- информация о размере среднемесячной выручки, чистой прибыли за последние 3 месяца.</w:t>
            </w:r>
          </w:p>
          <w:p w14:paraId="43A5382A" w14:textId="77777777" w:rsidR="00267AB0" w:rsidRPr="00610AD5" w:rsidRDefault="00267AB0" w:rsidP="00AA653D">
            <w:pPr>
              <w:autoSpaceDE w:val="0"/>
              <w:autoSpaceDN w:val="0"/>
              <w:snapToGrid w:val="0"/>
              <w:contextualSpacing/>
              <w:jc w:val="both"/>
              <w:rPr>
                <w:rFonts w:ascii="Tahoma" w:hAnsi="Tahoma" w:cs="Tahoma"/>
                <w:sz w:val="20"/>
                <w:szCs w:val="20"/>
              </w:rPr>
            </w:pPr>
            <w:r w:rsidRPr="00610AD5">
              <w:rPr>
                <w:rFonts w:ascii="Tahoma" w:hAnsi="Tahoma" w:cs="Tahoma"/>
                <w:sz w:val="20"/>
                <w:szCs w:val="20"/>
              </w:rPr>
              <w:t>Декларация/ бухгалтерский баланс за предыдущий отчетный период может приниматься до наступления предельной даты предоставления в налоговый орган декларации/ бухгалтерского баланса за последний отчетный период, с расшифровкой дебиторской и кредиторской задолженности для клиентов, находящихся на общей системе налогообложения.</w:t>
            </w:r>
          </w:p>
          <w:p w14:paraId="34686AE4" w14:textId="77777777" w:rsidR="00267AB0" w:rsidRPr="00610AD5" w:rsidRDefault="00267AB0" w:rsidP="00AA653D">
            <w:pPr>
              <w:autoSpaceDE w:val="0"/>
              <w:autoSpaceDN w:val="0"/>
              <w:jc w:val="both"/>
              <w:rPr>
                <w:rFonts w:ascii="Tahoma" w:hAnsi="Tahoma" w:cs="Tahoma"/>
                <w:sz w:val="20"/>
                <w:szCs w:val="20"/>
              </w:rPr>
            </w:pPr>
            <w:r w:rsidRPr="00610AD5">
              <w:rPr>
                <w:rFonts w:ascii="Tahoma" w:hAnsi="Tahoma" w:cs="Tahoma"/>
                <w:sz w:val="20"/>
                <w:szCs w:val="20"/>
              </w:rPr>
              <w:t xml:space="preserve">Патент может приниматься в течение всего периода, на который он выдан, при условии соблюдения </w:t>
            </w:r>
            <w:r>
              <w:rPr>
                <w:rFonts w:ascii="Tahoma" w:hAnsi="Tahoma" w:cs="Tahoma"/>
                <w:sz w:val="20"/>
                <w:szCs w:val="20"/>
              </w:rPr>
              <w:t>индивидуальным п</w:t>
            </w:r>
            <w:r w:rsidRPr="00610AD5">
              <w:rPr>
                <w:rFonts w:ascii="Tahoma" w:hAnsi="Tahoma" w:cs="Tahoma"/>
                <w:sz w:val="20"/>
                <w:szCs w:val="20"/>
              </w:rPr>
              <w:t>редпринимател</w:t>
            </w:r>
            <w:r>
              <w:rPr>
                <w:rFonts w:ascii="Tahoma" w:hAnsi="Tahoma" w:cs="Tahoma"/>
                <w:sz w:val="20"/>
                <w:szCs w:val="20"/>
              </w:rPr>
              <w:t>ем</w:t>
            </w:r>
            <w:r w:rsidRPr="00610AD5">
              <w:rPr>
                <w:rFonts w:ascii="Tahoma" w:hAnsi="Tahoma" w:cs="Tahoma"/>
                <w:sz w:val="20"/>
                <w:szCs w:val="20"/>
              </w:rPr>
              <w:t xml:space="preserve"> сроков оплаты патента.</w:t>
            </w:r>
          </w:p>
          <w:p w14:paraId="24D9792F" w14:textId="77777777" w:rsidR="00267AB0" w:rsidRPr="00610AD5" w:rsidRDefault="00267AB0" w:rsidP="00AA653D">
            <w:pPr>
              <w:autoSpaceDE w:val="0"/>
              <w:autoSpaceDN w:val="0"/>
              <w:spacing w:after="120"/>
              <w:jc w:val="both"/>
              <w:rPr>
                <w:rFonts w:ascii="Tahoma" w:hAnsi="Tahoma" w:cs="Tahoma"/>
                <w:sz w:val="20"/>
                <w:szCs w:val="20"/>
              </w:rPr>
            </w:pPr>
            <w:r w:rsidRPr="00610AD5">
              <w:rPr>
                <w:rFonts w:ascii="Tahoma" w:hAnsi="Tahoma" w:cs="Tahoma"/>
                <w:sz w:val="20"/>
                <w:szCs w:val="20"/>
              </w:rPr>
              <w:t>По требованию Банка могут быть запрошены иные документы.</w:t>
            </w:r>
          </w:p>
          <w:p w14:paraId="460AB712" w14:textId="77777777" w:rsidR="00267AB0" w:rsidRPr="00610AD5" w:rsidRDefault="00267AB0" w:rsidP="00AA653D">
            <w:pPr>
              <w:autoSpaceDE w:val="0"/>
              <w:autoSpaceDN w:val="0"/>
              <w:jc w:val="both"/>
              <w:rPr>
                <w:rFonts w:ascii="Tahoma" w:hAnsi="Tahoma" w:cs="Tahoma"/>
                <w:sz w:val="20"/>
                <w:szCs w:val="20"/>
              </w:rPr>
            </w:pPr>
            <w:r w:rsidRPr="00610AD5">
              <w:rPr>
                <w:rFonts w:ascii="Tahoma" w:hAnsi="Tahoma" w:cs="Tahoma"/>
                <w:sz w:val="20"/>
                <w:szCs w:val="20"/>
              </w:rPr>
              <w:t xml:space="preserve">Для </w:t>
            </w:r>
            <w:r>
              <w:rPr>
                <w:rFonts w:ascii="Tahoma" w:hAnsi="Tahoma" w:cs="Tahoma"/>
                <w:sz w:val="20"/>
                <w:szCs w:val="20"/>
              </w:rPr>
              <w:t>П</w:t>
            </w:r>
            <w:r w:rsidRPr="00610AD5">
              <w:rPr>
                <w:rFonts w:ascii="Tahoma" w:hAnsi="Tahoma" w:cs="Tahoma"/>
                <w:sz w:val="20"/>
                <w:szCs w:val="20"/>
              </w:rPr>
              <w:t>оручителя/</w:t>
            </w:r>
            <w:r>
              <w:rPr>
                <w:rFonts w:ascii="Tahoma" w:hAnsi="Tahoma" w:cs="Tahoma"/>
                <w:sz w:val="20"/>
                <w:szCs w:val="20"/>
              </w:rPr>
              <w:t>З</w:t>
            </w:r>
            <w:r w:rsidRPr="00610AD5">
              <w:rPr>
                <w:rFonts w:ascii="Tahoma" w:hAnsi="Tahoma" w:cs="Tahoma"/>
                <w:sz w:val="20"/>
                <w:szCs w:val="20"/>
              </w:rPr>
              <w:t>алогодателя</w:t>
            </w:r>
            <w:r>
              <w:rPr>
                <w:rFonts w:ascii="Tahoma" w:hAnsi="Tahoma" w:cs="Tahoma"/>
                <w:sz w:val="20"/>
                <w:szCs w:val="20"/>
              </w:rPr>
              <w:t>-</w:t>
            </w:r>
            <w:r w:rsidRPr="00610AD5">
              <w:rPr>
                <w:rFonts w:ascii="Tahoma" w:hAnsi="Tahoma" w:cs="Tahoma"/>
                <w:sz w:val="20"/>
                <w:szCs w:val="20"/>
              </w:rPr>
              <w:t>физического лица:</w:t>
            </w:r>
          </w:p>
          <w:p w14:paraId="241E13D1" w14:textId="77777777" w:rsidR="00267AB0" w:rsidRPr="00610AD5" w:rsidRDefault="00267AB0" w:rsidP="00AA653D">
            <w:pPr>
              <w:autoSpaceDE w:val="0"/>
              <w:autoSpaceDN w:val="0"/>
              <w:jc w:val="both"/>
              <w:rPr>
                <w:rFonts w:ascii="Tahoma" w:hAnsi="Tahoma" w:cs="Tahoma"/>
                <w:sz w:val="20"/>
                <w:szCs w:val="20"/>
              </w:rPr>
            </w:pPr>
            <w:r w:rsidRPr="00610AD5">
              <w:rPr>
                <w:rFonts w:ascii="Tahoma" w:hAnsi="Tahoma" w:cs="Tahoma"/>
                <w:sz w:val="20"/>
                <w:szCs w:val="20"/>
              </w:rPr>
              <w:t xml:space="preserve">- заявление на получение </w:t>
            </w:r>
            <w:r>
              <w:rPr>
                <w:rFonts w:ascii="Tahoma" w:hAnsi="Tahoma" w:cs="Tahoma"/>
                <w:sz w:val="20"/>
                <w:szCs w:val="20"/>
              </w:rPr>
              <w:t>К</w:t>
            </w:r>
            <w:r w:rsidRPr="00610AD5">
              <w:rPr>
                <w:rFonts w:ascii="Tahoma" w:hAnsi="Tahoma" w:cs="Tahoma"/>
                <w:sz w:val="20"/>
                <w:szCs w:val="20"/>
              </w:rPr>
              <w:t>редита (анкета Поручителя/Залогодателя);</w:t>
            </w:r>
          </w:p>
          <w:p w14:paraId="30EB1071" w14:textId="77777777" w:rsidR="00267AB0" w:rsidRDefault="00267AB0" w:rsidP="00AA653D">
            <w:pPr>
              <w:autoSpaceDE w:val="0"/>
              <w:autoSpaceDN w:val="0"/>
              <w:jc w:val="both"/>
              <w:rPr>
                <w:rFonts w:ascii="Tahoma" w:hAnsi="Tahoma" w:cs="Tahoma"/>
                <w:sz w:val="20"/>
                <w:szCs w:val="20"/>
              </w:rPr>
            </w:pPr>
            <w:r w:rsidRPr="00610AD5">
              <w:rPr>
                <w:rFonts w:ascii="Tahoma" w:hAnsi="Tahoma" w:cs="Tahoma"/>
                <w:sz w:val="20"/>
                <w:szCs w:val="20"/>
              </w:rPr>
              <w:t>- паспорт гражданина РФ (все страницы)</w:t>
            </w:r>
          </w:p>
          <w:p w14:paraId="44E29EE2" w14:textId="77777777" w:rsidR="00267AB0" w:rsidRPr="00610AD5" w:rsidRDefault="00267AB0" w:rsidP="00AA653D">
            <w:pPr>
              <w:autoSpaceDE w:val="0"/>
              <w:autoSpaceDN w:val="0"/>
              <w:jc w:val="both"/>
              <w:rPr>
                <w:rFonts w:ascii="Tahoma" w:hAnsi="Tahoma" w:cs="Tahoma"/>
                <w:sz w:val="20"/>
                <w:szCs w:val="20"/>
              </w:rPr>
            </w:pPr>
            <w:r w:rsidRPr="0015422C">
              <w:rPr>
                <w:rFonts w:ascii="Tahoma" w:hAnsi="Tahoma" w:cs="Tahoma"/>
                <w:sz w:val="20"/>
                <w:szCs w:val="20"/>
              </w:rPr>
              <w:t>При отсутствии в паспорте данных о "Семейном положении" и "Дети" предоставляются документы подтверждающие отсутствие данных (свидетельство о браке, свидетельство о разводе, свидетельство о рождении или письменное подтверждение от Клиента об отсутствии данных документов).</w:t>
            </w:r>
          </w:p>
          <w:p w14:paraId="44F62A27" w14:textId="77777777" w:rsidR="00267AB0" w:rsidRPr="00610AD5" w:rsidRDefault="00267AB0" w:rsidP="00AA653D">
            <w:pPr>
              <w:autoSpaceDE w:val="0"/>
              <w:autoSpaceDN w:val="0"/>
              <w:spacing w:after="120"/>
              <w:jc w:val="both"/>
              <w:rPr>
                <w:rFonts w:ascii="Tahoma" w:hAnsi="Tahoma" w:cs="Tahoma"/>
                <w:sz w:val="20"/>
                <w:szCs w:val="20"/>
              </w:rPr>
            </w:pPr>
            <w:r w:rsidRPr="00610AD5">
              <w:rPr>
                <w:rFonts w:ascii="Tahoma" w:hAnsi="Tahoma" w:cs="Tahoma"/>
                <w:sz w:val="20"/>
                <w:szCs w:val="20"/>
              </w:rPr>
              <w:t>- Свидетельство о постановке на налоговый учет (ИНН) (при наличии), СНИЛС</w:t>
            </w:r>
            <w:r>
              <w:rPr>
                <w:rFonts w:ascii="Tahoma" w:hAnsi="Tahoma" w:cs="Tahoma"/>
                <w:sz w:val="20"/>
                <w:szCs w:val="20"/>
              </w:rPr>
              <w:t xml:space="preserve"> (при наличии)</w:t>
            </w:r>
            <w:r w:rsidRPr="00610AD5">
              <w:rPr>
                <w:rFonts w:ascii="Tahoma" w:hAnsi="Tahoma" w:cs="Tahoma"/>
                <w:sz w:val="20"/>
                <w:szCs w:val="20"/>
              </w:rPr>
              <w:t>.</w:t>
            </w:r>
          </w:p>
          <w:p w14:paraId="32BC0325" w14:textId="77777777" w:rsidR="00267AB0" w:rsidRPr="00610AD5" w:rsidRDefault="00267AB0" w:rsidP="00AA653D">
            <w:pPr>
              <w:autoSpaceDE w:val="0"/>
              <w:autoSpaceDN w:val="0"/>
              <w:jc w:val="both"/>
              <w:rPr>
                <w:rFonts w:ascii="Tahoma" w:hAnsi="Tahoma" w:cs="Tahoma"/>
                <w:sz w:val="20"/>
                <w:szCs w:val="20"/>
              </w:rPr>
            </w:pPr>
            <w:r>
              <w:rPr>
                <w:rFonts w:ascii="Tahoma" w:hAnsi="Tahoma" w:cs="Tahoma"/>
                <w:sz w:val="20"/>
                <w:szCs w:val="20"/>
              </w:rPr>
              <w:t>Для поручителя-</w:t>
            </w:r>
            <w:r w:rsidRPr="00610AD5">
              <w:rPr>
                <w:rFonts w:ascii="Tahoma" w:hAnsi="Tahoma" w:cs="Tahoma"/>
                <w:sz w:val="20"/>
                <w:szCs w:val="20"/>
              </w:rPr>
              <w:t>юридического лица:</w:t>
            </w:r>
          </w:p>
          <w:p w14:paraId="71D16846" w14:textId="77777777" w:rsidR="00267AB0" w:rsidRPr="00610AD5" w:rsidRDefault="00267AB0" w:rsidP="00AA653D">
            <w:pPr>
              <w:autoSpaceDE w:val="0"/>
              <w:autoSpaceDN w:val="0"/>
              <w:jc w:val="both"/>
              <w:rPr>
                <w:rFonts w:ascii="Tahoma" w:hAnsi="Tahoma" w:cs="Tahoma"/>
                <w:sz w:val="20"/>
                <w:szCs w:val="20"/>
              </w:rPr>
            </w:pPr>
            <w:r w:rsidRPr="00610AD5">
              <w:rPr>
                <w:rFonts w:ascii="Tahoma" w:hAnsi="Tahoma" w:cs="Tahoma"/>
                <w:sz w:val="20"/>
                <w:szCs w:val="20"/>
              </w:rPr>
              <w:t xml:space="preserve">- анкета </w:t>
            </w:r>
            <w:r>
              <w:rPr>
                <w:rFonts w:ascii="Tahoma" w:hAnsi="Tahoma" w:cs="Tahoma"/>
                <w:sz w:val="20"/>
                <w:szCs w:val="20"/>
              </w:rPr>
              <w:t>П</w:t>
            </w:r>
            <w:r w:rsidRPr="00610AD5">
              <w:rPr>
                <w:rFonts w:ascii="Tahoma" w:hAnsi="Tahoma" w:cs="Tahoma"/>
                <w:sz w:val="20"/>
                <w:szCs w:val="20"/>
              </w:rPr>
              <w:t>оручителя</w:t>
            </w:r>
            <w:r>
              <w:rPr>
                <w:rFonts w:ascii="Tahoma" w:hAnsi="Tahoma" w:cs="Tahoma"/>
                <w:sz w:val="20"/>
                <w:szCs w:val="20"/>
              </w:rPr>
              <w:t>-</w:t>
            </w:r>
            <w:r w:rsidRPr="00610AD5">
              <w:rPr>
                <w:rFonts w:ascii="Tahoma" w:hAnsi="Tahoma" w:cs="Tahoma"/>
                <w:sz w:val="20"/>
                <w:szCs w:val="20"/>
              </w:rPr>
              <w:t>юридического лица;</w:t>
            </w:r>
          </w:p>
          <w:p w14:paraId="099A2A5D" w14:textId="77777777" w:rsidR="00267AB0" w:rsidRPr="00610AD5" w:rsidRDefault="00267AB0" w:rsidP="00AA653D">
            <w:pPr>
              <w:autoSpaceDE w:val="0"/>
              <w:autoSpaceDN w:val="0"/>
              <w:jc w:val="both"/>
              <w:rPr>
                <w:rFonts w:ascii="Tahoma" w:hAnsi="Tahoma" w:cs="Tahoma"/>
                <w:sz w:val="20"/>
                <w:szCs w:val="20"/>
              </w:rPr>
            </w:pPr>
            <w:r w:rsidRPr="00610AD5">
              <w:rPr>
                <w:rFonts w:ascii="Tahoma" w:hAnsi="Tahoma" w:cs="Tahoma"/>
                <w:sz w:val="20"/>
                <w:szCs w:val="20"/>
              </w:rPr>
              <w:t>- ксерокопии всех страниц паспортов руководителя организации, главного бухгалтера (все страницы);</w:t>
            </w:r>
          </w:p>
          <w:p w14:paraId="7A57D8AB" w14:textId="77777777" w:rsidR="00267AB0" w:rsidRPr="00610AD5" w:rsidRDefault="00267AB0" w:rsidP="00AA653D">
            <w:pPr>
              <w:autoSpaceDE w:val="0"/>
              <w:autoSpaceDN w:val="0"/>
              <w:jc w:val="both"/>
              <w:rPr>
                <w:rFonts w:ascii="Tahoma" w:hAnsi="Tahoma" w:cs="Tahoma"/>
                <w:sz w:val="20"/>
                <w:szCs w:val="20"/>
              </w:rPr>
            </w:pPr>
            <w:r w:rsidRPr="00610AD5">
              <w:rPr>
                <w:rFonts w:ascii="Tahoma" w:hAnsi="Tahoma" w:cs="Tahoma"/>
                <w:sz w:val="20"/>
                <w:szCs w:val="20"/>
              </w:rPr>
              <w:t xml:space="preserve">- свидетельство о государственной регистрации юридического лица либо лист записи </w:t>
            </w:r>
            <w:r>
              <w:rPr>
                <w:rFonts w:ascii="Tahoma" w:hAnsi="Tahoma" w:cs="Tahoma"/>
                <w:sz w:val="20"/>
                <w:szCs w:val="20"/>
              </w:rPr>
              <w:t xml:space="preserve">из </w:t>
            </w:r>
            <w:r w:rsidRPr="00610AD5">
              <w:rPr>
                <w:rFonts w:ascii="Tahoma" w:hAnsi="Tahoma" w:cs="Tahoma"/>
                <w:sz w:val="20"/>
                <w:szCs w:val="20"/>
              </w:rPr>
              <w:t>Единого государственного реестра юридических лиц;</w:t>
            </w:r>
          </w:p>
          <w:p w14:paraId="172022BE" w14:textId="77777777" w:rsidR="00267AB0" w:rsidRPr="00610AD5" w:rsidRDefault="00267AB0" w:rsidP="00AA653D">
            <w:pPr>
              <w:autoSpaceDE w:val="0"/>
              <w:autoSpaceDN w:val="0"/>
              <w:jc w:val="both"/>
              <w:rPr>
                <w:rFonts w:ascii="Tahoma" w:hAnsi="Tahoma" w:cs="Tahoma"/>
                <w:sz w:val="20"/>
                <w:szCs w:val="20"/>
              </w:rPr>
            </w:pPr>
            <w:r w:rsidRPr="00610AD5">
              <w:rPr>
                <w:rFonts w:ascii="Tahoma" w:hAnsi="Tahoma" w:cs="Tahoma"/>
                <w:sz w:val="20"/>
                <w:szCs w:val="20"/>
              </w:rPr>
              <w:lastRenderedPageBreak/>
              <w:t>- свидетельство о внесении записи в Единый государственный реестр юридических лиц о юридическом лице, зарегистрированном до 1 июля 2002 года;</w:t>
            </w:r>
          </w:p>
          <w:p w14:paraId="46E187FF" w14:textId="77777777" w:rsidR="00267AB0" w:rsidRPr="00610AD5" w:rsidRDefault="00267AB0" w:rsidP="00AA653D">
            <w:pPr>
              <w:autoSpaceDE w:val="0"/>
              <w:autoSpaceDN w:val="0"/>
              <w:jc w:val="both"/>
              <w:rPr>
                <w:rFonts w:ascii="Tahoma" w:hAnsi="Tahoma" w:cs="Tahoma"/>
                <w:sz w:val="20"/>
                <w:szCs w:val="20"/>
              </w:rPr>
            </w:pPr>
            <w:r w:rsidRPr="00610AD5">
              <w:rPr>
                <w:rFonts w:ascii="Tahoma" w:hAnsi="Tahoma" w:cs="Tahoma"/>
                <w:sz w:val="20"/>
                <w:szCs w:val="20"/>
              </w:rPr>
              <w:t>- свидетельство о постановке на учет в налоговом органе;</w:t>
            </w:r>
          </w:p>
          <w:p w14:paraId="552B2B96" w14:textId="77777777" w:rsidR="00267AB0" w:rsidRPr="00610AD5" w:rsidRDefault="00267AB0" w:rsidP="00AA653D">
            <w:pPr>
              <w:autoSpaceDE w:val="0"/>
              <w:autoSpaceDN w:val="0"/>
              <w:jc w:val="both"/>
              <w:rPr>
                <w:rFonts w:ascii="Tahoma" w:hAnsi="Tahoma" w:cs="Tahoma"/>
                <w:sz w:val="20"/>
                <w:szCs w:val="20"/>
              </w:rPr>
            </w:pPr>
            <w:r w:rsidRPr="00610AD5">
              <w:rPr>
                <w:rFonts w:ascii="Tahoma" w:hAnsi="Tahoma" w:cs="Tahoma"/>
                <w:sz w:val="20"/>
                <w:szCs w:val="20"/>
              </w:rPr>
              <w:t>- действующие учредительные документы юридического лица (Устав и/или Учредительный договор) с изменениями и дополнениями к ним;</w:t>
            </w:r>
          </w:p>
          <w:p w14:paraId="7433ED2F" w14:textId="77777777" w:rsidR="00267AB0" w:rsidRPr="00610AD5" w:rsidRDefault="00267AB0" w:rsidP="00AA653D">
            <w:pPr>
              <w:autoSpaceDE w:val="0"/>
              <w:autoSpaceDN w:val="0"/>
              <w:jc w:val="both"/>
              <w:rPr>
                <w:rFonts w:ascii="Tahoma" w:hAnsi="Tahoma" w:cs="Tahoma"/>
                <w:sz w:val="20"/>
                <w:szCs w:val="20"/>
              </w:rPr>
            </w:pPr>
            <w:r w:rsidRPr="00610AD5">
              <w:rPr>
                <w:rFonts w:ascii="Tahoma" w:hAnsi="Tahoma" w:cs="Tahoma"/>
                <w:sz w:val="20"/>
                <w:szCs w:val="20"/>
              </w:rPr>
              <w:t>- протокол об избрании единоличного исполнительного органа / копии решений / приказов о назначении на должность директора/единоличного исполнительного органа юридического лица;</w:t>
            </w:r>
          </w:p>
          <w:p w14:paraId="071F2029" w14:textId="77777777" w:rsidR="00267AB0" w:rsidRPr="00610AD5" w:rsidRDefault="00267AB0" w:rsidP="00AA653D">
            <w:pPr>
              <w:autoSpaceDE w:val="0"/>
              <w:autoSpaceDN w:val="0"/>
              <w:spacing w:after="120"/>
              <w:jc w:val="both"/>
              <w:rPr>
                <w:rFonts w:ascii="Tahoma" w:hAnsi="Tahoma" w:cs="Tahoma"/>
                <w:sz w:val="20"/>
                <w:szCs w:val="20"/>
              </w:rPr>
            </w:pPr>
            <w:r w:rsidRPr="00610AD5">
              <w:rPr>
                <w:rFonts w:ascii="Tahoma" w:hAnsi="Tahoma" w:cs="Tahoma"/>
                <w:sz w:val="20"/>
                <w:szCs w:val="20"/>
              </w:rPr>
              <w:t>- выписка из ЕГРЮЛ со сроком давности не более 10 календарных дней на момент предоставления Кредита.</w:t>
            </w:r>
          </w:p>
          <w:p w14:paraId="50217094" w14:textId="77777777" w:rsidR="00267AB0" w:rsidRPr="00610AD5" w:rsidRDefault="00267AB0" w:rsidP="00AA653D">
            <w:pPr>
              <w:autoSpaceDE w:val="0"/>
              <w:autoSpaceDN w:val="0"/>
              <w:snapToGrid w:val="0"/>
              <w:contextualSpacing/>
              <w:jc w:val="both"/>
              <w:rPr>
                <w:rFonts w:ascii="Tahoma" w:hAnsi="Tahoma" w:cs="Tahoma"/>
                <w:sz w:val="20"/>
                <w:szCs w:val="20"/>
              </w:rPr>
            </w:pPr>
            <w:r w:rsidRPr="00610AD5">
              <w:rPr>
                <w:rFonts w:ascii="Tahoma" w:hAnsi="Tahoma" w:cs="Tahoma"/>
                <w:sz w:val="20"/>
                <w:szCs w:val="20"/>
              </w:rPr>
              <w:t>Для транспортного средства:</w:t>
            </w:r>
          </w:p>
          <w:p w14:paraId="2DE8B3A3" w14:textId="77777777" w:rsidR="00267AB0" w:rsidRPr="00610AD5" w:rsidRDefault="00267AB0" w:rsidP="00EB4F4C">
            <w:pPr>
              <w:numPr>
                <w:ilvl w:val="0"/>
                <w:numId w:val="61"/>
              </w:numPr>
              <w:tabs>
                <w:tab w:val="clear" w:pos="960"/>
                <w:tab w:val="num" w:pos="176"/>
              </w:tabs>
              <w:autoSpaceDE w:val="0"/>
              <w:autoSpaceDN w:val="0"/>
              <w:snapToGrid w:val="0"/>
              <w:spacing w:after="120"/>
              <w:ind w:left="0" w:firstLine="0"/>
              <w:jc w:val="both"/>
              <w:rPr>
                <w:rFonts w:ascii="Tahoma" w:hAnsi="Tahoma" w:cs="Tahoma"/>
                <w:sz w:val="20"/>
                <w:szCs w:val="20"/>
              </w:rPr>
            </w:pPr>
            <w:r w:rsidRPr="00610AD5">
              <w:rPr>
                <w:rFonts w:ascii="Tahoma" w:hAnsi="Tahoma" w:cs="Tahoma"/>
                <w:sz w:val="20"/>
                <w:szCs w:val="20"/>
              </w:rPr>
              <w:t>копия Документа основных технических характеристик (ДОТХ) (сканированная копия)/ копия ДОТХ заверенная продавцом ТС.</w:t>
            </w:r>
          </w:p>
          <w:p w14:paraId="53402DD5" w14:textId="77777777" w:rsidR="00267AB0" w:rsidRPr="00610AD5" w:rsidRDefault="00267AB0" w:rsidP="00AA653D">
            <w:pPr>
              <w:autoSpaceDE w:val="0"/>
              <w:autoSpaceDN w:val="0"/>
              <w:snapToGrid w:val="0"/>
              <w:contextualSpacing/>
              <w:jc w:val="both"/>
              <w:rPr>
                <w:rFonts w:ascii="Tahoma" w:hAnsi="Tahoma" w:cs="Tahoma"/>
                <w:sz w:val="20"/>
                <w:szCs w:val="20"/>
              </w:rPr>
            </w:pPr>
            <w:r w:rsidRPr="00610AD5">
              <w:rPr>
                <w:rFonts w:ascii="Tahoma" w:hAnsi="Tahoma" w:cs="Tahoma"/>
                <w:sz w:val="20"/>
                <w:szCs w:val="20"/>
              </w:rPr>
              <w:t>Для недвижимого имущества:</w:t>
            </w:r>
          </w:p>
          <w:p w14:paraId="602B385E" w14:textId="77777777" w:rsidR="00267AB0" w:rsidRPr="00610AD5" w:rsidRDefault="00267AB0" w:rsidP="00AA653D">
            <w:pPr>
              <w:autoSpaceDE w:val="0"/>
              <w:autoSpaceDN w:val="0"/>
              <w:jc w:val="both"/>
              <w:rPr>
                <w:rFonts w:ascii="Tahoma" w:hAnsi="Tahoma" w:cs="Tahoma"/>
                <w:sz w:val="20"/>
                <w:szCs w:val="20"/>
              </w:rPr>
            </w:pPr>
            <w:r w:rsidRPr="00610AD5">
              <w:rPr>
                <w:rFonts w:ascii="Tahoma" w:hAnsi="Tahoma" w:cs="Tahoma"/>
                <w:sz w:val="20"/>
                <w:szCs w:val="20"/>
              </w:rPr>
              <w:t>- копия правоустанавливающих документов на недвижимое имущество (договор приватизации, договор купли-продажи, справка ЖСК и т.д.);</w:t>
            </w:r>
          </w:p>
          <w:p w14:paraId="751E4EE1" w14:textId="77777777" w:rsidR="00267AB0" w:rsidRPr="00610AD5" w:rsidRDefault="00267AB0" w:rsidP="00AA653D">
            <w:pPr>
              <w:autoSpaceDE w:val="0"/>
              <w:autoSpaceDN w:val="0"/>
              <w:jc w:val="both"/>
              <w:rPr>
                <w:rFonts w:ascii="Tahoma" w:hAnsi="Tahoma" w:cs="Tahoma"/>
                <w:sz w:val="20"/>
                <w:szCs w:val="20"/>
              </w:rPr>
            </w:pPr>
            <w:r w:rsidRPr="00610AD5">
              <w:rPr>
                <w:rFonts w:ascii="Tahoma" w:hAnsi="Tahoma" w:cs="Tahoma"/>
                <w:sz w:val="20"/>
                <w:szCs w:val="20"/>
              </w:rPr>
              <w:t xml:space="preserve">- копия технического паспорта на объект недвижимости/ </w:t>
            </w:r>
            <w:r>
              <w:rPr>
                <w:rFonts w:ascii="Tahoma" w:hAnsi="Tahoma" w:cs="Tahoma"/>
                <w:sz w:val="20"/>
                <w:szCs w:val="20"/>
              </w:rPr>
              <w:t>к</w:t>
            </w:r>
            <w:r w:rsidRPr="00610AD5">
              <w:rPr>
                <w:rFonts w:ascii="Tahoma" w:hAnsi="Tahoma" w:cs="Tahoma"/>
                <w:sz w:val="20"/>
                <w:szCs w:val="20"/>
              </w:rPr>
              <w:t>опия кадастрового паспорта на объект недвижимости;</w:t>
            </w:r>
          </w:p>
          <w:p w14:paraId="26C4FAB0" w14:textId="77777777" w:rsidR="00267AB0" w:rsidRPr="00610AD5" w:rsidRDefault="00267AB0" w:rsidP="00AA653D">
            <w:pPr>
              <w:autoSpaceDE w:val="0"/>
              <w:autoSpaceDN w:val="0"/>
              <w:jc w:val="both"/>
              <w:rPr>
                <w:rFonts w:ascii="Tahoma" w:hAnsi="Tahoma" w:cs="Tahoma"/>
                <w:sz w:val="20"/>
                <w:szCs w:val="20"/>
              </w:rPr>
            </w:pPr>
            <w:r w:rsidRPr="00610AD5">
              <w:rPr>
                <w:rFonts w:ascii="Tahoma" w:hAnsi="Tahoma" w:cs="Tahoma"/>
                <w:sz w:val="20"/>
                <w:szCs w:val="20"/>
              </w:rPr>
              <w:t>- справка (оригинал) о задолженности по коммунальным платежам по квартире, передаваемой в залог (либо копии квитанций об оплате) – предоставляется, если в финансово-лицевом счете нет отметки об отсутствии таковой задолженности;</w:t>
            </w:r>
          </w:p>
          <w:p w14:paraId="6DD1E99B" w14:textId="77777777" w:rsidR="00267AB0" w:rsidRPr="00610AD5" w:rsidRDefault="00267AB0" w:rsidP="00AA653D">
            <w:pPr>
              <w:autoSpaceDE w:val="0"/>
              <w:autoSpaceDN w:val="0"/>
              <w:jc w:val="both"/>
              <w:rPr>
                <w:rFonts w:ascii="Tahoma" w:hAnsi="Tahoma" w:cs="Tahoma"/>
                <w:sz w:val="20"/>
                <w:szCs w:val="20"/>
              </w:rPr>
            </w:pPr>
            <w:r w:rsidRPr="00610AD5">
              <w:rPr>
                <w:rFonts w:ascii="Tahoma" w:hAnsi="Tahoma" w:cs="Tahoma"/>
                <w:sz w:val="20"/>
                <w:szCs w:val="20"/>
              </w:rPr>
              <w:t>- оригинал отчета об оценке объекта недвижимости, произведенной независимым оценщиком</w:t>
            </w:r>
            <w:r>
              <w:rPr>
                <w:rFonts w:ascii="Tahoma" w:hAnsi="Tahoma" w:cs="Tahoma"/>
                <w:sz w:val="20"/>
                <w:szCs w:val="20"/>
              </w:rPr>
              <w:t xml:space="preserve"> (при наличии)</w:t>
            </w:r>
            <w:r w:rsidRPr="00610AD5">
              <w:rPr>
                <w:rFonts w:ascii="Tahoma" w:hAnsi="Tahoma" w:cs="Tahoma"/>
                <w:sz w:val="20"/>
                <w:szCs w:val="20"/>
              </w:rPr>
              <w:t>;</w:t>
            </w:r>
          </w:p>
          <w:p w14:paraId="28FBDDF0" w14:textId="77777777" w:rsidR="00267AB0" w:rsidRPr="00610AD5" w:rsidRDefault="00267AB0" w:rsidP="00AA653D">
            <w:pPr>
              <w:autoSpaceDE w:val="0"/>
              <w:autoSpaceDN w:val="0"/>
              <w:jc w:val="both"/>
              <w:rPr>
                <w:rFonts w:ascii="Tahoma" w:hAnsi="Tahoma" w:cs="Tahoma"/>
                <w:sz w:val="20"/>
                <w:szCs w:val="20"/>
              </w:rPr>
            </w:pPr>
            <w:r w:rsidRPr="00610AD5">
              <w:rPr>
                <w:rFonts w:ascii="Tahoma" w:hAnsi="Tahoma" w:cs="Tahoma"/>
                <w:sz w:val="20"/>
                <w:szCs w:val="20"/>
              </w:rPr>
              <w:t>- справка о регистрации (выписка из домовой книги) (оригинал) – срок действия 30 дней</w:t>
            </w:r>
            <w:r>
              <w:rPr>
                <w:rFonts w:ascii="Tahoma" w:hAnsi="Tahoma" w:cs="Tahoma"/>
                <w:sz w:val="20"/>
                <w:szCs w:val="20"/>
              </w:rPr>
              <w:t xml:space="preserve"> с даты получения, указанной на справке</w:t>
            </w:r>
            <w:r w:rsidRPr="00610AD5">
              <w:rPr>
                <w:rFonts w:ascii="Tahoma" w:hAnsi="Tahoma" w:cs="Tahoma"/>
                <w:sz w:val="20"/>
                <w:szCs w:val="20"/>
              </w:rPr>
              <w:t>;</w:t>
            </w:r>
          </w:p>
          <w:p w14:paraId="617E1920" w14:textId="77777777" w:rsidR="00267AB0" w:rsidRPr="00610AD5" w:rsidRDefault="00267AB0" w:rsidP="00AA653D">
            <w:pPr>
              <w:autoSpaceDE w:val="0"/>
              <w:autoSpaceDN w:val="0"/>
              <w:jc w:val="both"/>
              <w:rPr>
                <w:rFonts w:ascii="Tahoma" w:hAnsi="Tahoma" w:cs="Tahoma"/>
                <w:sz w:val="20"/>
                <w:szCs w:val="20"/>
              </w:rPr>
            </w:pPr>
            <w:r w:rsidRPr="00610AD5">
              <w:rPr>
                <w:rFonts w:ascii="Tahoma" w:hAnsi="Tahoma" w:cs="Tahoma"/>
                <w:sz w:val="20"/>
                <w:szCs w:val="20"/>
              </w:rPr>
              <w:t xml:space="preserve">- </w:t>
            </w:r>
            <w:r>
              <w:rPr>
                <w:rFonts w:ascii="Tahoma" w:hAnsi="Tahoma" w:cs="Tahoma"/>
                <w:sz w:val="20"/>
                <w:szCs w:val="20"/>
              </w:rPr>
              <w:t>в</w:t>
            </w:r>
            <w:r w:rsidRPr="00610AD5">
              <w:rPr>
                <w:rFonts w:ascii="Tahoma" w:hAnsi="Tahoma" w:cs="Tahoma"/>
                <w:sz w:val="20"/>
                <w:szCs w:val="20"/>
              </w:rPr>
              <w:t xml:space="preserve">ыписка из Единого государственного реестра недвижимости </w:t>
            </w:r>
            <w:r>
              <w:rPr>
                <w:rFonts w:ascii="Tahoma" w:hAnsi="Tahoma" w:cs="Tahoma"/>
                <w:sz w:val="20"/>
                <w:szCs w:val="20"/>
              </w:rPr>
              <w:t xml:space="preserve">(ЕГРН) </w:t>
            </w:r>
            <w:r w:rsidRPr="00610AD5">
              <w:rPr>
                <w:rFonts w:ascii="Tahoma" w:hAnsi="Tahoma" w:cs="Tahoma"/>
                <w:sz w:val="20"/>
                <w:szCs w:val="20"/>
              </w:rPr>
              <w:t>об объекте недвижимости со сроком давности не более 10 календарных дней на момент подачи на регистрацию договора ипотеки;</w:t>
            </w:r>
          </w:p>
          <w:p w14:paraId="3D96D1C4" w14:textId="77777777" w:rsidR="00267AB0" w:rsidRPr="00610AD5" w:rsidRDefault="00267AB0" w:rsidP="00AA653D">
            <w:pPr>
              <w:rPr>
                <w:rFonts w:ascii="Tahoma" w:hAnsi="Tahoma" w:cs="Tahoma"/>
                <w:sz w:val="20"/>
                <w:szCs w:val="20"/>
              </w:rPr>
            </w:pPr>
            <w:r w:rsidRPr="00610AD5">
              <w:rPr>
                <w:rFonts w:ascii="Tahoma" w:hAnsi="Tahoma" w:cs="Tahoma"/>
                <w:sz w:val="20"/>
                <w:szCs w:val="20"/>
              </w:rPr>
              <w:t>- договор долевого участия/ Договор уступки прав (цессии) (при наличии).</w:t>
            </w:r>
          </w:p>
        </w:tc>
      </w:tr>
      <w:tr w:rsidR="00267AB0" w:rsidRPr="00610AD5" w14:paraId="4D2E0E9B" w14:textId="77777777" w:rsidTr="00AA653D">
        <w:trPr>
          <w:trHeight w:val="315"/>
        </w:trPr>
        <w:tc>
          <w:tcPr>
            <w:tcW w:w="4355" w:type="dxa"/>
            <w:tcBorders>
              <w:top w:val="single" w:sz="4" w:space="0" w:color="auto"/>
              <w:left w:val="single" w:sz="8" w:space="0" w:color="auto"/>
              <w:bottom w:val="single" w:sz="4" w:space="0" w:color="000000"/>
              <w:right w:val="single" w:sz="4" w:space="0" w:color="auto"/>
            </w:tcBorders>
            <w:shd w:val="clear" w:color="auto" w:fill="auto"/>
            <w:vAlign w:val="center"/>
          </w:tcPr>
          <w:p w14:paraId="622A734D" w14:textId="77777777" w:rsidR="00267AB0" w:rsidRPr="008A1C41" w:rsidRDefault="00267AB0" w:rsidP="00AA653D">
            <w:pPr>
              <w:rPr>
                <w:rFonts w:ascii="Tahoma" w:hAnsi="Tahoma" w:cs="Tahoma"/>
                <w:b/>
                <w:bCs/>
                <w:sz w:val="20"/>
                <w:szCs w:val="20"/>
              </w:rPr>
            </w:pPr>
            <w:r w:rsidRPr="008A1C41">
              <w:rPr>
                <w:rFonts w:ascii="Tahoma" w:hAnsi="Tahoma" w:cs="Tahoma"/>
                <w:b/>
                <w:bCs/>
                <w:sz w:val="20"/>
                <w:szCs w:val="20"/>
              </w:rPr>
              <w:lastRenderedPageBreak/>
              <w:t>Срок, в течение которого Заёмщик вправе отказаться от получения потребительского Кредита</w:t>
            </w:r>
          </w:p>
        </w:tc>
        <w:tc>
          <w:tcPr>
            <w:tcW w:w="11056" w:type="dxa"/>
            <w:gridSpan w:val="8"/>
            <w:tcBorders>
              <w:top w:val="single" w:sz="4" w:space="0" w:color="auto"/>
              <w:left w:val="single" w:sz="4" w:space="0" w:color="auto"/>
              <w:bottom w:val="single" w:sz="4" w:space="0" w:color="auto"/>
              <w:right w:val="single" w:sz="4" w:space="0" w:color="auto"/>
            </w:tcBorders>
            <w:noWrap/>
            <w:vAlign w:val="center"/>
          </w:tcPr>
          <w:p w14:paraId="119646FD" w14:textId="77777777" w:rsidR="00267AB0" w:rsidRPr="008A1C41" w:rsidRDefault="00267AB0" w:rsidP="00AA653D">
            <w:pPr>
              <w:widowControl w:val="0"/>
              <w:tabs>
                <w:tab w:val="left" w:pos="426"/>
                <w:tab w:val="left" w:pos="851"/>
              </w:tabs>
              <w:rPr>
                <w:rFonts w:ascii="Tahoma" w:hAnsi="Tahoma" w:cs="Tahoma"/>
                <w:color w:val="000000"/>
                <w:sz w:val="20"/>
                <w:szCs w:val="20"/>
              </w:rPr>
            </w:pPr>
            <w:r w:rsidRPr="008A1C41">
              <w:rPr>
                <w:rFonts w:ascii="Tahoma" w:hAnsi="Tahoma" w:cs="Tahoma"/>
                <w:color w:val="000000"/>
                <w:sz w:val="20"/>
                <w:szCs w:val="20"/>
              </w:rPr>
              <w:t>Заемщик вправе отказаться от получения потребительского Кредита полностью или частично, уведомив об этом Банк до истечения установленного Договором срока его предоставления.</w:t>
            </w:r>
          </w:p>
        </w:tc>
      </w:tr>
      <w:tr w:rsidR="00267AB0" w:rsidRPr="00610AD5" w14:paraId="65634540" w14:textId="77777777" w:rsidTr="00AA653D">
        <w:trPr>
          <w:trHeight w:val="315"/>
        </w:trPr>
        <w:tc>
          <w:tcPr>
            <w:tcW w:w="4355" w:type="dxa"/>
            <w:tcBorders>
              <w:top w:val="single" w:sz="4" w:space="0" w:color="auto"/>
              <w:left w:val="single" w:sz="8" w:space="0" w:color="auto"/>
              <w:bottom w:val="single" w:sz="4" w:space="0" w:color="000000"/>
              <w:right w:val="single" w:sz="4" w:space="0" w:color="auto"/>
            </w:tcBorders>
            <w:shd w:val="clear" w:color="auto" w:fill="auto"/>
            <w:vAlign w:val="center"/>
            <w:hideMark/>
          </w:tcPr>
          <w:p w14:paraId="7AF34113" w14:textId="77777777" w:rsidR="00267AB0" w:rsidRPr="008A1C41" w:rsidRDefault="00267AB0" w:rsidP="00AA653D">
            <w:pPr>
              <w:rPr>
                <w:rFonts w:ascii="Tahoma" w:hAnsi="Tahoma" w:cs="Tahoma"/>
                <w:b/>
                <w:bCs/>
                <w:sz w:val="20"/>
                <w:szCs w:val="20"/>
              </w:rPr>
            </w:pPr>
            <w:r w:rsidRPr="008A1C41">
              <w:rPr>
                <w:rFonts w:ascii="Tahoma" w:hAnsi="Tahoma" w:cs="Tahoma"/>
                <w:b/>
                <w:bCs/>
                <w:sz w:val="20"/>
                <w:szCs w:val="20"/>
              </w:rPr>
              <w:t>Срок действия решения о предоставлении потребительского Кредита</w:t>
            </w:r>
          </w:p>
        </w:tc>
        <w:tc>
          <w:tcPr>
            <w:tcW w:w="11056" w:type="dxa"/>
            <w:gridSpan w:val="8"/>
            <w:tcBorders>
              <w:top w:val="single" w:sz="4" w:space="0" w:color="auto"/>
              <w:left w:val="single" w:sz="4" w:space="0" w:color="auto"/>
              <w:bottom w:val="single" w:sz="4" w:space="0" w:color="auto"/>
              <w:right w:val="single" w:sz="4" w:space="0" w:color="auto"/>
            </w:tcBorders>
            <w:noWrap/>
            <w:hideMark/>
          </w:tcPr>
          <w:p w14:paraId="61145DE7" w14:textId="77777777" w:rsidR="00267AB0" w:rsidRPr="008A1C41" w:rsidRDefault="00267AB0" w:rsidP="00AA653D">
            <w:pPr>
              <w:rPr>
                <w:rFonts w:ascii="Tahoma" w:hAnsi="Tahoma" w:cs="Tahoma"/>
                <w:color w:val="000000"/>
                <w:sz w:val="20"/>
                <w:szCs w:val="20"/>
              </w:rPr>
            </w:pPr>
            <w:r w:rsidRPr="008A1C41">
              <w:rPr>
                <w:rFonts w:ascii="Tahoma" w:hAnsi="Tahoma" w:cs="Tahoma"/>
                <w:sz w:val="20"/>
                <w:szCs w:val="20"/>
              </w:rPr>
              <w:t>30 календарных дней, но не более срока действия настоящего тарифного плана.</w:t>
            </w:r>
          </w:p>
        </w:tc>
      </w:tr>
      <w:tr w:rsidR="00267AB0" w:rsidRPr="00610AD5" w14:paraId="197DDB8F" w14:textId="77777777" w:rsidTr="00AA653D">
        <w:trPr>
          <w:trHeight w:val="345"/>
        </w:trPr>
        <w:tc>
          <w:tcPr>
            <w:tcW w:w="4355" w:type="dxa"/>
            <w:tcBorders>
              <w:top w:val="single" w:sz="4" w:space="0" w:color="auto"/>
              <w:left w:val="single" w:sz="8" w:space="0" w:color="auto"/>
              <w:bottom w:val="single" w:sz="4" w:space="0" w:color="auto"/>
              <w:right w:val="single" w:sz="4" w:space="0" w:color="auto"/>
            </w:tcBorders>
            <w:shd w:val="clear" w:color="auto" w:fill="auto"/>
            <w:vAlign w:val="center"/>
          </w:tcPr>
          <w:p w14:paraId="2C649C64" w14:textId="77777777" w:rsidR="00267AB0" w:rsidRPr="008A1C41" w:rsidRDefault="00267AB0" w:rsidP="00AA653D">
            <w:pPr>
              <w:widowControl w:val="0"/>
              <w:tabs>
                <w:tab w:val="left" w:pos="426"/>
                <w:tab w:val="left" w:pos="851"/>
              </w:tabs>
              <w:rPr>
                <w:rFonts w:ascii="Tahoma" w:hAnsi="Tahoma" w:cs="Tahoma"/>
                <w:b/>
                <w:color w:val="000000"/>
                <w:sz w:val="20"/>
                <w:szCs w:val="20"/>
              </w:rPr>
            </w:pPr>
            <w:r w:rsidRPr="008A1C41">
              <w:rPr>
                <w:rFonts w:ascii="Tahoma" w:hAnsi="Tahoma" w:cs="Tahoma"/>
                <w:b/>
                <w:color w:val="000000"/>
                <w:sz w:val="20"/>
                <w:szCs w:val="20"/>
              </w:rPr>
              <w:t xml:space="preserve">Способ предоставления потребительского Кредита </w:t>
            </w:r>
          </w:p>
        </w:tc>
        <w:tc>
          <w:tcPr>
            <w:tcW w:w="11056" w:type="dxa"/>
            <w:gridSpan w:val="8"/>
            <w:tcBorders>
              <w:top w:val="single" w:sz="4" w:space="0" w:color="auto"/>
              <w:left w:val="single" w:sz="4" w:space="0" w:color="auto"/>
              <w:bottom w:val="single" w:sz="4" w:space="0" w:color="auto"/>
              <w:right w:val="single" w:sz="4" w:space="0" w:color="auto"/>
            </w:tcBorders>
            <w:shd w:val="clear" w:color="000000" w:fill="FFFFFF"/>
            <w:vAlign w:val="center"/>
          </w:tcPr>
          <w:p w14:paraId="2AD070A3" w14:textId="77777777" w:rsidR="00267AB0" w:rsidRPr="008A1C41" w:rsidRDefault="00267AB0" w:rsidP="00AA653D">
            <w:pPr>
              <w:widowControl w:val="0"/>
              <w:tabs>
                <w:tab w:val="left" w:pos="426"/>
                <w:tab w:val="left" w:pos="851"/>
              </w:tabs>
              <w:jc w:val="both"/>
              <w:rPr>
                <w:rFonts w:ascii="Tahoma" w:hAnsi="Tahoma" w:cs="Tahoma"/>
                <w:color w:val="000000"/>
                <w:sz w:val="20"/>
                <w:szCs w:val="20"/>
              </w:rPr>
            </w:pPr>
            <w:r w:rsidRPr="008A1C41">
              <w:rPr>
                <w:rFonts w:ascii="Tahoma" w:hAnsi="Tahoma" w:cs="Tahoma"/>
                <w:color w:val="000000"/>
                <w:sz w:val="20"/>
                <w:szCs w:val="20"/>
              </w:rPr>
              <w:t>Зачисление в безналичном порядке на открытый в Банке текущий банковский счет (ТБС) Заемщика.</w:t>
            </w:r>
          </w:p>
        </w:tc>
      </w:tr>
      <w:tr w:rsidR="00267AB0" w:rsidRPr="00610AD5" w14:paraId="4CC90475" w14:textId="77777777" w:rsidTr="00AA653D">
        <w:trPr>
          <w:trHeight w:val="345"/>
        </w:trPr>
        <w:tc>
          <w:tcPr>
            <w:tcW w:w="4355" w:type="dxa"/>
            <w:tcBorders>
              <w:top w:val="single" w:sz="4" w:space="0" w:color="auto"/>
              <w:left w:val="single" w:sz="8" w:space="0" w:color="auto"/>
              <w:bottom w:val="single" w:sz="4" w:space="0" w:color="auto"/>
              <w:right w:val="single" w:sz="4" w:space="0" w:color="auto"/>
            </w:tcBorders>
            <w:shd w:val="clear" w:color="auto" w:fill="auto"/>
            <w:vAlign w:val="center"/>
          </w:tcPr>
          <w:p w14:paraId="0C5CB539" w14:textId="77777777" w:rsidR="00267AB0" w:rsidRPr="00A155BD" w:rsidRDefault="00267AB0" w:rsidP="00AA653D">
            <w:pPr>
              <w:widowControl w:val="0"/>
              <w:tabs>
                <w:tab w:val="left" w:pos="426"/>
                <w:tab w:val="left" w:pos="851"/>
              </w:tabs>
              <w:rPr>
                <w:rFonts w:ascii="Tahoma" w:hAnsi="Tahoma" w:cs="Tahoma"/>
                <w:b/>
                <w:color w:val="000000"/>
                <w:sz w:val="20"/>
                <w:szCs w:val="20"/>
              </w:rPr>
            </w:pPr>
            <w:r w:rsidRPr="00A155BD">
              <w:rPr>
                <w:rFonts w:ascii="Tahoma" w:hAnsi="Tahoma" w:cs="Tahoma"/>
                <w:b/>
                <w:color w:val="000000"/>
                <w:sz w:val="20"/>
                <w:szCs w:val="20"/>
              </w:rPr>
              <w:t xml:space="preserve">Иные договоры, требуемые для заключения или исполнения Договора </w:t>
            </w:r>
          </w:p>
        </w:tc>
        <w:tc>
          <w:tcPr>
            <w:tcW w:w="11056" w:type="dxa"/>
            <w:gridSpan w:val="8"/>
            <w:tcBorders>
              <w:top w:val="single" w:sz="4" w:space="0" w:color="auto"/>
              <w:left w:val="single" w:sz="4" w:space="0" w:color="auto"/>
              <w:bottom w:val="single" w:sz="4" w:space="0" w:color="auto"/>
              <w:right w:val="single" w:sz="4" w:space="0" w:color="auto"/>
            </w:tcBorders>
            <w:shd w:val="clear" w:color="000000" w:fill="FFFFFF"/>
            <w:vAlign w:val="center"/>
          </w:tcPr>
          <w:p w14:paraId="5BA10EFE" w14:textId="77777777" w:rsidR="00267AB0" w:rsidRPr="00610AD5" w:rsidRDefault="00267AB0" w:rsidP="00AA653D">
            <w:pPr>
              <w:widowControl w:val="0"/>
              <w:tabs>
                <w:tab w:val="left" w:pos="426"/>
                <w:tab w:val="left" w:pos="851"/>
              </w:tabs>
              <w:rPr>
                <w:rFonts w:ascii="Tahoma" w:hAnsi="Tahoma" w:cs="Tahoma"/>
                <w:color w:val="000000"/>
                <w:sz w:val="20"/>
                <w:szCs w:val="20"/>
              </w:rPr>
            </w:pPr>
            <w:r w:rsidRPr="00661C28">
              <w:rPr>
                <w:rFonts w:ascii="Tahoma" w:hAnsi="Tahoma" w:cs="Tahoma"/>
                <w:color w:val="000000"/>
                <w:sz w:val="20"/>
                <w:szCs w:val="20"/>
              </w:rPr>
              <w:t>Заключение между Сторонами Договора банковского счета (на основании которого Заемщику Банком открывается ТБС), элементы которого включены в Договор, заключение (путем присоединения) УДБО, содержащего Общие условия.</w:t>
            </w:r>
          </w:p>
        </w:tc>
      </w:tr>
      <w:tr w:rsidR="00267AB0" w:rsidRPr="00610AD5" w14:paraId="11620FEE" w14:textId="77777777" w:rsidTr="00AA653D">
        <w:trPr>
          <w:trHeight w:val="345"/>
        </w:trPr>
        <w:tc>
          <w:tcPr>
            <w:tcW w:w="4355" w:type="dxa"/>
            <w:tcBorders>
              <w:top w:val="single" w:sz="4" w:space="0" w:color="auto"/>
              <w:left w:val="single" w:sz="8" w:space="0" w:color="auto"/>
              <w:bottom w:val="single" w:sz="4" w:space="0" w:color="auto"/>
              <w:right w:val="single" w:sz="4" w:space="0" w:color="auto"/>
            </w:tcBorders>
            <w:shd w:val="clear" w:color="auto" w:fill="auto"/>
            <w:vAlign w:val="center"/>
          </w:tcPr>
          <w:p w14:paraId="56BCE2B4" w14:textId="77777777" w:rsidR="00267AB0" w:rsidRPr="00284784" w:rsidRDefault="00267AB0" w:rsidP="00AA653D">
            <w:pPr>
              <w:ind w:right="-108"/>
              <w:rPr>
                <w:rFonts w:ascii="Tahoma" w:hAnsi="Tahoma" w:cs="Tahoma"/>
                <w:b/>
                <w:bCs/>
                <w:sz w:val="20"/>
                <w:szCs w:val="20"/>
              </w:rPr>
            </w:pPr>
            <w:r w:rsidRPr="00284784">
              <w:rPr>
                <w:rFonts w:ascii="Tahoma" w:hAnsi="Tahoma" w:cs="Tahoma"/>
                <w:b/>
                <w:sz w:val="20"/>
                <w:szCs w:val="20"/>
              </w:rPr>
              <w:t>Дата, начиная с которой начисляются проценты за пользование Кредитом, или порядок ее определения</w:t>
            </w:r>
          </w:p>
        </w:tc>
        <w:tc>
          <w:tcPr>
            <w:tcW w:w="11056" w:type="dxa"/>
            <w:gridSpan w:val="8"/>
            <w:tcBorders>
              <w:top w:val="single" w:sz="4" w:space="0" w:color="auto"/>
              <w:left w:val="single" w:sz="4" w:space="0" w:color="auto"/>
              <w:bottom w:val="single" w:sz="4" w:space="0" w:color="auto"/>
              <w:right w:val="single" w:sz="4" w:space="0" w:color="auto"/>
            </w:tcBorders>
            <w:shd w:val="clear" w:color="000000" w:fill="FFFFFF"/>
            <w:vAlign w:val="center"/>
          </w:tcPr>
          <w:p w14:paraId="27520A4E" w14:textId="77777777" w:rsidR="00267AB0" w:rsidRPr="000E49F4" w:rsidRDefault="00267AB0" w:rsidP="00AA653D">
            <w:pPr>
              <w:rPr>
                <w:rFonts w:ascii="Tahoma" w:hAnsi="Tahoma" w:cs="Tahoma"/>
                <w:sz w:val="20"/>
                <w:szCs w:val="20"/>
              </w:rPr>
            </w:pPr>
            <w:r w:rsidRPr="000E49F4">
              <w:rPr>
                <w:rFonts w:ascii="Tahoma" w:hAnsi="Tahoma" w:cs="Tahoma"/>
                <w:sz w:val="20"/>
                <w:szCs w:val="20"/>
              </w:rPr>
              <w:t xml:space="preserve">Дата, следующая за датой выдачи Заёмщику </w:t>
            </w:r>
            <w:r>
              <w:rPr>
                <w:rFonts w:ascii="Tahoma" w:hAnsi="Tahoma" w:cs="Tahoma"/>
                <w:sz w:val="20"/>
                <w:szCs w:val="20"/>
              </w:rPr>
              <w:t>Кредита.</w:t>
            </w:r>
          </w:p>
        </w:tc>
      </w:tr>
      <w:tr w:rsidR="00267AB0" w:rsidRPr="00610AD5" w14:paraId="0950240A" w14:textId="77777777" w:rsidTr="00AA653D">
        <w:trPr>
          <w:trHeight w:val="345"/>
        </w:trPr>
        <w:tc>
          <w:tcPr>
            <w:tcW w:w="4355" w:type="dxa"/>
            <w:tcBorders>
              <w:top w:val="single" w:sz="4" w:space="0" w:color="auto"/>
              <w:left w:val="single" w:sz="8" w:space="0" w:color="auto"/>
              <w:bottom w:val="single" w:sz="4" w:space="0" w:color="auto"/>
              <w:right w:val="single" w:sz="4" w:space="0" w:color="auto"/>
            </w:tcBorders>
            <w:shd w:val="clear" w:color="auto" w:fill="auto"/>
            <w:vAlign w:val="center"/>
          </w:tcPr>
          <w:p w14:paraId="7A09DCC6" w14:textId="77777777" w:rsidR="00267AB0" w:rsidRPr="00284784" w:rsidRDefault="00267AB0" w:rsidP="00AA653D">
            <w:pPr>
              <w:widowControl w:val="0"/>
              <w:tabs>
                <w:tab w:val="left" w:pos="426"/>
                <w:tab w:val="left" w:pos="851"/>
              </w:tabs>
              <w:rPr>
                <w:rFonts w:ascii="Tahoma" w:hAnsi="Tahoma" w:cs="Tahoma"/>
                <w:b/>
                <w:color w:val="000000"/>
                <w:sz w:val="20"/>
                <w:szCs w:val="20"/>
              </w:rPr>
            </w:pPr>
            <w:r w:rsidRPr="00284784">
              <w:rPr>
                <w:rFonts w:ascii="Tahoma" w:hAnsi="Tahoma" w:cs="Tahoma"/>
                <w:b/>
                <w:color w:val="000000"/>
                <w:sz w:val="20"/>
                <w:szCs w:val="20"/>
              </w:rPr>
              <w:t>Бесплатный способ исполнения Заемщиком обязательств по Договору</w:t>
            </w:r>
          </w:p>
        </w:tc>
        <w:tc>
          <w:tcPr>
            <w:tcW w:w="11056" w:type="dxa"/>
            <w:gridSpan w:val="8"/>
            <w:tcBorders>
              <w:top w:val="single" w:sz="4" w:space="0" w:color="auto"/>
              <w:left w:val="single" w:sz="4" w:space="0" w:color="auto"/>
              <w:bottom w:val="single" w:sz="4" w:space="0" w:color="auto"/>
              <w:right w:val="single" w:sz="4" w:space="0" w:color="auto"/>
            </w:tcBorders>
            <w:shd w:val="clear" w:color="000000" w:fill="FFFFFF"/>
            <w:vAlign w:val="center"/>
          </w:tcPr>
          <w:p w14:paraId="6767846C" w14:textId="77777777" w:rsidR="00267AB0" w:rsidRPr="000E49F4" w:rsidRDefault="00267AB0" w:rsidP="00AA653D">
            <w:pPr>
              <w:widowControl w:val="0"/>
              <w:tabs>
                <w:tab w:val="left" w:pos="426"/>
                <w:tab w:val="left" w:pos="851"/>
              </w:tabs>
              <w:rPr>
                <w:rFonts w:ascii="Tahoma" w:hAnsi="Tahoma" w:cs="Tahoma"/>
                <w:color w:val="000000"/>
                <w:sz w:val="20"/>
                <w:szCs w:val="20"/>
              </w:rPr>
            </w:pPr>
            <w:r w:rsidRPr="000E49F4">
              <w:rPr>
                <w:rFonts w:ascii="Tahoma" w:hAnsi="Tahoma" w:cs="Tahoma"/>
                <w:sz w:val="20"/>
                <w:szCs w:val="20"/>
              </w:rPr>
              <w:t>Внесение денежных средств на ТБС через терминалы самообслуживания Банка, перевод через работодателя Заемщика, перевод со счёта в Банке на ТБС Заемщика.</w:t>
            </w:r>
          </w:p>
        </w:tc>
      </w:tr>
      <w:tr w:rsidR="00267AB0" w:rsidRPr="00610AD5" w14:paraId="33477F6B" w14:textId="77777777" w:rsidTr="00AA653D">
        <w:trPr>
          <w:trHeight w:val="345"/>
        </w:trPr>
        <w:tc>
          <w:tcPr>
            <w:tcW w:w="4355" w:type="dxa"/>
            <w:tcBorders>
              <w:top w:val="single" w:sz="4" w:space="0" w:color="auto"/>
              <w:left w:val="single" w:sz="8" w:space="0" w:color="auto"/>
              <w:bottom w:val="single" w:sz="4" w:space="0" w:color="auto"/>
              <w:right w:val="single" w:sz="4" w:space="0" w:color="auto"/>
            </w:tcBorders>
            <w:shd w:val="clear" w:color="auto" w:fill="auto"/>
            <w:vAlign w:val="center"/>
          </w:tcPr>
          <w:p w14:paraId="62835053" w14:textId="77777777" w:rsidR="00267AB0" w:rsidRPr="008A1C41" w:rsidRDefault="00267AB0" w:rsidP="00AA653D">
            <w:pPr>
              <w:widowControl w:val="0"/>
              <w:tabs>
                <w:tab w:val="left" w:pos="426"/>
                <w:tab w:val="left" w:pos="851"/>
              </w:tabs>
              <w:rPr>
                <w:rFonts w:ascii="Tahoma" w:hAnsi="Tahoma" w:cs="Tahoma"/>
                <w:b/>
                <w:color w:val="000000"/>
                <w:sz w:val="20"/>
                <w:szCs w:val="20"/>
              </w:rPr>
            </w:pPr>
            <w:r w:rsidRPr="008A1C41">
              <w:rPr>
                <w:rFonts w:ascii="Tahoma" w:hAnsi="Tahoma" w:cs="Tahoma"/>
                <w:b/>
                <w:color w:val="000000"/>
                <w:sz w:val="20"/>
                <w:szCs w:val="20"/>
              </w:rPr>
              <w:lastRenderedPageBreak/>
              <w:t>Способы возврата Заемщиком потребительского Кредита, и уплаты процентов по нему</w:t>
            </w:r>
          </w:p>
        </w:tc>
        <w:tc>
          <w:tcPr>
            <w:tcW w:w="11056" w:type="dxa"/>
            <w:gridSpan w:val="8"/>
            <w:tcBorders>
              <w:top w:val="single" w:sz="4" w:space="0" w:color="auto"/>
              <w:left w:val="single" w:sz="4" w:space="0" w:color="auto"/>
              <w:bottom w:val="single" w:sz="4" w:space="0" w:color="auto"/>
              <w:right w:val="single" w:sz="4" w:space="0" w:color="auto"/>
            </w:tcBorders>
            <w:shd w:val="clear" w:color="000000" w:fill="FFFFFF"/>
            <w:vAlign w:val="center"/>
          </w:tcPr>
          <w:p w14:paraId="62AD5EEF" w14:textId="77777777" w:rsidR="00267AB0" w:rsidRPr="008A1C41" w:rsidRDefault="00267AB0" w:rsidP="00AA653D">
            <w:pPr>
              <w:widowControl w:val="0"/>
              <w:tabs>
                <w:tab w:val="left" w:pos="426"/>
                <w:tab w:val="left" w:pos="851"/>
              </w:tabs>
              <w:jc w:val="both"/>
              <w:rPr>
                <w:rFonts w:ascii="Tahoma" w:hAnsi="Tahoma" w:cs="Tahoma"/>
                <w:sz w:val="20"/>
                <w:szCs w:val="20"/>
              </w:rPr>
            </w:pPr>
            <w:r w:rsidRPr="008A1C41">
              <w:rPr>
                <w:rFonts w:ascii="Tahoma" w:hAnsi="Tahoma" w:cs="Tahoma"/>
                <w:sz w:val="20"/>
                <w:szCs w:val="20"/>
              </w:rPr>
              <w:t xml:space="preserve">Погашение Заемщиком обязательств по Договору осуществляется в сумме и сроки, предусмотренные Договором (в том числе при досрочном частичном или полном возврате Кредита) производится любым способом по выбору Заемщика, в том числе: посредством внесения денежных средств в сумме обязательства на ТБС Заемщика через терминалы самообслуживания Банка (при их наличии в населенном пункте по месту получения Заемщиком оферты); кассы Банка, перевод через работодателя Заемщика, перевод со счёта в Банке на ТБС Заемщика, перевод через отделения АО «Почта России», перевод через интернет-системы «АТБ-Онлайн», «АТБ-Мобайл», иные кредитные организации (по предусмотренным тарифам). </w:t>
            </w:r>
          </w:p>
          <w:p w14:paraId="301FEE69" w14:textId="77777777" w:rsidR="00267AB0" w:rsidRPr="008A1C41" w:rsidRDefault="00267AB0" w:rsidP="00AA653D">
            <w:pPr>
              <w:widowControl w:val="0"/>
              <w:tabs>
                <w:tab w:val="left" w:pos="426"/>
                <w:tab w:val="left" w:pos="851"/>
              </w:tabs>
              <w:jc w:val="both"/>
              <w:rPr>
                <w:rFonts w:ascii="Tahoma" w:hAnsi="Tahoma" w:cs="Tahoma"/>
                <w:sz w:val="20"/>
                <w:szCs w:val="20"/>
              </w:rPr>
            </w:pPr>
            <w:r w:rsidRPr="008A1C41">
              <w:rPr>
                <w:rFonts w:ascii="Tahoma" w:hAnsi="Tahoma" w:cs="Tahoma"/>
                <w:sz w:val="20"/>
                <w:szCs w:val="20"/>
              </w:rPr>
              <w:t>Могут использоваться иные, не противоречащие законодательству РФ способы.</w:t>
            </w:r>
          </w:p>
          <w:p w14:paraId="540A0816" w14:textId="77777777" w:rsidR="00267AB0" w:rsidRPr="008A1C41" w:rsidRDefault="00267AB0" w:rsidP="00AA653D">
            <w:pPr>
              <w:widowControl w:val="0"/>
              <w:tabs>
                <w:tab w:val="left" w:pos="426"/>
                <w:tab w:val="left" w:pos="851"/>
              </w:tabs>
              <w:jc w:val="both"/>
              <w:rPr>
                <w:rFonts w:ascii="Tahoma" w:hAnsi="Tahoma" w:cs="Tahoma"/>
                <w:sz w:val="20"/>
                <w:szCs w:val="20"/>
              </w:rPr>
            </w:pPr>
            <w:r w:rsidRPr="008A1C41">
              <w:rPr>
                <w:rFonts w:ascii="Tahoma" w:hAnsi="Tahoma" w:cs="Tahoma"/>
                <w:sz w:val="20"/>
                <w:szCs w:val="20"/>
              </w:rPr>
              <w:t>Обязательства по погашению Заемщиком Кредитной задолженности по Договору считаются Заемщиком исполненными в полном объеме после поступления денежных средств на ТБС Заемщика (списания Банком в свою пользу с ТБС Заемщика денежных средств).</w:t>
            </w:r>
          </w:p>
          <w:p w14:paraId="1FE51AF2" w14:textId="77777777" w:rsidR="00267AB0" w:rsidRPr="008A1C41" w:rsidRDefault="00267AB0" w:rsidP="00AA653D">
            <w:pPr>
              <w:widowControl w:val="0"/>
              <w:tabs>
                <w:tab w:val="left" w:pos="426"/>
                <w:tab w:val="left" w:pos="851"/>
              </w:tabs>
              <w:jc w:val="both"/>
              <w:rPr>
                <w:rFonts w:ascii="Tahoma" w:hAnsi="Tahoma" w:cs="Tahoma"/>
                <w:sz w:val="20"/>
                <w:szCs w:val="20"/>
              </w:rPr>
            </w:pPr>
            <w:r w:rsidRPr="008A1C41">
              <w:rPr>
                <w:rFonts w:ascii="Tahoma" w:hAnsi="Tahoma" w:cs="Tahoma"/>
                <w:sz w:val="20"/>
                <w:szCs w:val="20"/>
              </w:rPr>
              <w:t>Заемщик вносит на ТБС денежные средства любыми из перечисленных выше способов, при этом он обязан учесть время, затрачиваемое на безналичное перечисление денежных средств, выходные и праздничные дни. Если установленный Договором последний день срока платежа отсутствует в календарном месяце, Заемщик обязан внести денежные средства на ТБС не позднее последнего календарного рабочего дня месяца; если последний день срока платежа приходится на выходные/нерабочие, праздничные дни, Заемщик обязан внести денежные средства на ТБС не позднее 1-го рабочего дня, следующего за выходным/нерабочим праздничным днем. Указанная обязанность должна быть исполнена Заемщиком в операционный день Банка.</w:t>
            </w:r>
            <w:r w:rsidRPr="008A1C41">
              <w:rPr>
                <w:rFonts w:ascii="Tahoma" w:hAnsi="Tahoma" w:cs="Tahoma"/>
                <w:sz w:val="20"/>
                <w:szCs w:val="20"/>
              </w:rPr>
              <w:fldChar w:fldCharType="begin"/>
            </w:r>
            <w:r w:rsidRPr="008A1C41">
              <w:rPr>
                <w:rFonts w:ascii="Tahoma" w:hAnsi="Tahoma" w:cs="Tahoma"/>
                <w:sz w:val="20"/>
                <w:szCs w:val="20"/>
              </w:rPr>
              <w:instrText xml:space="preserve"> DOCVARIABLE  DOC_C </w:instrText>
            </w:r>
            <w:r w:rsidRPr="008A1C41">
              <w:rPr>
                <w:rFonts w:ascii="Tahoma" w:hAnsi="Tahoma" w:cs="Tahoma"/>
                <w:sz w:val="20"/>
                <w:szCs w:val="20"/>
              </w:rPr>
              <w:fldChar w:fldCharType="end"/>
            </w:r>
          </w:p>
        </w:tc>
      </w:tr>
      <w:tr w:rsidR="00267AB0" w:rsidRPr="00610AD5" w14:paraId="2BB9AD00" w14:textId="77777777" w:rsidTr="00AA653D">
        <w:trPr>
          <w:trHeight w:val="345"/>
        </w:trPr>
        <w:tc>
          <w:tcPr>
            <w:tcW w:w="4355" w:type="dxa"/>
            <w:tcBorders>
              <w:top w:val="single" w:sz="4" w:space="0" w:color="auto"/>
              <w:left w:val="single" w:sz="8" w:space="0" w:color="auto"/>
              <w:bottom w:val="single" w:sz="4" w:space="0" w:color="auto"/>
              <w:right w:val="single" w:sz="4" w:space="0" w:color="auto"/>
            </w:tcBorders>
            <w:shd w:val="clear" w:color="auto" w:fill="auto"/>
            <w:vAlign w:val="center"/>
          </w:tcPr>
          <w:p w14:paraId="58F00CFA" w14:textId="77777777" w:rsidR="00267AB0" w:rsidRPr="008A1C41" w:rsidRDefault="00267AB0" w:rsidP="00AA653D">
            <w:pPr>
              <w:widowControl w:val="0"/>
              <w:tabs>
                <w:tab w:val="left" w:pos="426"/>
                <w:tab w:val="left" w:pos="851"/>
              </w:tabs>
              <w:rPr>
                <w:rFonts w:ascii="Tahoma" w:hAnsi="Tahoma" w:cs="Tahoma"/>
                <w:b/>
                <w:color w:val="000000"/>
                <w:sz w:val="20"/>
                <w:szCs w:val="20"/>
              </w:rPr>
            </w:pPr>
            <w:r w:rsidRPr="008A1C41">
              <w:rPr>
                <w:rFonts w:ascii="Tahoma" w:hAnsi="Tahoma" w:cs="Tahoma"/>
                <w:b/>
                <w:bCs/>
                <w:sz w:val="20"/>
                <w:szCs w:val="20"/>
              </w:rPr>
              <w:t>Способы обеспечения исполнения обязательств по Договору</w:t>
            </w:r>
          </w:p>
        </w:tc>
        <w:tc>
          <w:tcPr>
            <w:tcW w:w="11056" w:type="dxa"/>
            <w:gridSpan w:val="8"/>
            <w:tcBorders>
              <w:top w:val="single" w:sz="4" w:space="0" w:color="auto"/>
              <w:left w:val="single" w:sz="4" w:space="0" w:color="auto"/>
              <w:bottom w:val="single" w:sz="4" w:space="0" w:color="auto"/>
              <w:right w:val="single" w:sz="4" w:space="0" w:color="auto"/>
            </w:tcBorders>
            <w:shd w:val="clear" w:color="000000" w:fill="FFFFFF"/>
            <w:vAlign w:val="center"/>
          </w:tcPr>
          <w:p w14:paraId="0C2EBC3F" w14:textId="77777777" w:rsidR="00267AB0" w:rsidRPr="008A1C41" w:rsidRDefault="00267AB0" w:rsidP="00AA653D">
            <w:pPr>
              <w:widowControl w:val="0"/>
              <w:tabs>
                <w:tab w:val="left" w:pos="426"/>
                <w:tab w:val="left" w:pos="851"/>
              </w:tabs>
              <w:jc w:val="both"/>
              <w:rPr>
                <w:rFonts w:ascii="Tahoma" w:hAnsi="Tahoma" w:cs="Tahoma"/>
                <w:sz w:val="20"/>
                <w:szCs w:val="20"/>
              </w:rPr>
            </w:pPr>
            <w:r w:rsidRPr="008A1C41">
              <w:rPr>
                <w:rFonts w:ascii="Tahoma" w:hAnsi="Tahoma" w:cs="Tahoma"/>
                <w:sz w:val="20"/>
                <w:szCs w:val="20"/>
              </w:rPr>
              <w:t>Неустойка (штраф, пеня). В случае нарушения обязательств по Договору с Заемщика может быть взыскана неустойка в суммах и порядке, определенных Сторонами в соответствии с законодательством РФ и Индивидуальными условиями Договора. По требованию Банка может быть запрошено обеспечение. Если при расчете платежеспособности участвуют доходы супруга(и) Заёмщика, без которых Заемщик самостоятельно не проходит по платежеспособности, то Банком может быть запрошено оформление данного супруга(и) Заёмщика в качестве созаемщика (второго Заемщика)/поручителя.</w:t>
            </w:r>
          </w:p>
          <w:p w14:paraId="77F8862A" w14:textId="77777777" w:rsidR="00267AB0" w:rsidRPr="008A1C41" w:rsidRDefault="00267AB0" w:rsidP="00AA653D">
            <w:pPr>
              <w:widowControl w:val="0"/>
              <w:tabs>
                <w:tab w:val="left" w:pos="426"/>
                <w:tab w:val="left" w:pos="851"/>
              </w:tabs>
              <w:spacing w:before="60"/>
              <w:jc w:val="both"/>
              <w:rPr>
                <w:rFonts w:ascii="Tahoma" w:hAnsi="Tahoma" w:cs="Tahoma"/>
                <w:b/>
                <w:sz w:val="20"/>
                <w:szCs w:val="20"/>
              </w:rPr>
            </w:pPr>
            <w:r w:rsidRPr="008A1C41">
              <w:rPr>
                <w:rFonts w:ascii="Tahoma" w:hAnsi="Tahoma" w:cs="Tahoma"/>
                <w:b/>
                <w:sz w:val="20"/>
                <w:szCs w:val="20"/>
              </w:rPr>
              <w:t>Для тарифного плана "Микро-лайт" при любой цели кредита под залог имеющегося имущества залогом может выступать:</w:t>
            </w:r>
          </w:p>
          <w:p w14:paraId="143FEBD4" w14:textId="77777777" w:rsidR="00267AB0" w:rsidRPr="008A1C41" w:rsidRDefault="00267AB0" w:rsidP="00AA653D">
            <w:pPr>
              <w:widowControl w:val="0"/>
              <w:tabs>
                <w:tab w:val="left" w:pos="426"/>
                <w:tab w:val="left" w:pos="851"/>
              </w:tabs>
              <w:jc w:val="both"/>
              <w:rPr>
                <w:rFonts w:ascii="Tahoma" w:hAnsi="Tahoma" w:cs="Tahoma"/>
                <w:sz w:val="20"/>
                <w:szCs w:val="20"/>
              </w:rPr>
            </w:pPr>
            <w:r w:rsidRPr="008A1C41">
              <w:rPr>
                <w:rFonts w:ascii="Tahoma" w:hAnsi="Tahoma" w:cs="Tahoma"/>
                <w:sz w:val="20"/>
                <w:szCs w:val="20"/>
              </w:rPr>
              <w:t>• Транспортное средство;</w:t>
            </w:r>
          </w:p>
          <w:p w14:paraId="7346CD26" w14:textId="77777777" w:rsidR="00267AB0" w:rsidRPr="008A1C41" w:rsidRDefault="00267AB0" w:rsidP="00AA653D">
            <w:pPr>
              <w:widowControl w:val="0"/>
              <w:tabs>
                <w:tab w:val="left" w:pos="426"/>
                <w:tab w:val="left" w:pos="851"/>
              </w:tabs>
              <w:jc w:val="both"/>
              <w:rPr>
                <w:rFonts w:ascii="Tahoma" w:hAnsi="Tahoma" w:cs="Tahoma"/>
                <w:sz w:val="20"/>
                <w:szCs w:val="20"/>
              </w:rPr>
            </w:pPr>
            <w:r w:rsidRPr="008A1C41">
              <w:rPr>
                <w:rFonts w:ascii="Tahoma" w:hAnsi="Tahoma" w:cs="Tahoma"/>
                <w:sz w:val="20"/>
                <w:szCs w:val="20"/>
              </w:rPr>
              <w:t>• Коммерческая недвижимость (находящаяся в собственности Залогодателя) – капитальные сооружения производственного, складского, гостиничного и офисного назначения;</w:t>
            </w:r>
          </w:p>
          <w:p w14:paraId="7E39204A" w14:textId="77777777" w:rsidR="00267AB0" w:rsidRPr="008A1C41" w:rsidRDefault="00267AB0" w:rsidP="00AA653D">
            <w:pPr>
              <w:widowControl w:val="0"/>
              <w:tabs>
                <w:tab w:val="left" w:pos="426"/>
                <w:tab w:val="left" w:pos="851"/>
              </w:tabs>
              <w:jc w:val="both"/>
              <w:rPr>
                <w:rFonts w:ascii="Tahoma" w:hAnsi="Tahoma" w:cs="Tahoma"/>
                <w:sz w:val="20"/>
                <w:szCs w:val="20"/>
              </w:rPr>
            </w:pPr>
            <w:r w:rsidRPr="008A1C41">
              <w:rPr>
                <w:rFonts w:ascii="Tahoma" w:hAnsi="Tahoma" w:cs="Tahoma"/>
                <w:sz w:val="20"/>
                <w:szCs w:val="20"/>
              </w:rPr>
              <w:t>• Земельный участок (находящийся в собственности Залогодателя) с расположенными на нём капитальными сооружениями производственного, складского, гостиничного и офисного назначения.</w:t>
            </w:r>
          </w:p>
          <w:p w14:paraId="7098AFE4" w14:textId="77777777" w:rsidR="00267AB0" w:rsidRPr="008A1C41" w:rsidRDefault="00267AB0" w:rsidP="00AA653D">
            <w:pPr>
              <w:widowControl w:val="0"/>
              <w:tabs>
                <w:tab w:val="left" w:pos="426"/>
                <w:tab w:val="left" w:pos="851"/>
              </w:tabs>
              <w:jc w:val="both"/>
              <w:rPr>
                <w:rFonts w:ascii="Tahoma" w:hAnsi="Tahoma" w:cs="Tahoma"/>
                <w:sz w:val="20"/>
                <w:szCs w:val="20"/>
              </w:rPr>
            </w:pPr>
            <w:r w:rsidRPr="008A1C41">
              <w:rPr>
                <w:rFonts w:ascii="Tahoma" w:hAnsi="Tahoma" w:cs="Tahoma"/>
                <w:sz w:val="20"/>
                <w:szCs w:val="20"/>
              </w:rPr>
              <w:t>• Земельный участок (находящийся в собственности Залогодателя) без постройки;</w:t>
            </w:r>
          </w:p>
          <w:p w14:paraId="2CA0A528" w14:textId="77777777" w:rsidR="00267AB0" w:rsidRPr="008A1C41" w:rsidRDefault="00267AB0" w:rsidP="00AA653D">
            <w:pPr>
              <w:widowControl w:val="0"/>
              <w:tabs>
                <w:tab w:val="left" w:pos="426"/>
                <w:tab w:val="left" w:pos="851"/>
              </w:tabs>
              <w:jc w:val="both"/>
              <w:rPr>
                <w:rFonts w:ascii="Tahoma" w:hAnsi="Tahoma" w:cs="Tahoma"/>
                <w:sz w:val="20"/>
                <w:szCs w:val="20"/>
              </w:rPr>
            </w:pPr>
            <w:r w:rsidRPr="008A1C41">
              <w:rPr>
                <w:rFonts w:ascii="Tahoma" w:hAnsi="Tahoma" w:cs="Tahoma"/>
                <w:sz w:val="20"/>
                <w:szCs w:val="20"/>
              </w:rPr>
              <w:t>• Гаражи, стояночные места, ангары;</w:t>
            </w:r>
          </w:p>
          <w:p w14:paraId="29ECB597" w14:textId="77777777" w:rsidR="00267AB0" w:rsidRPr="008A1C41" w:rsidRDefault="00267AB0" w:rsidP="00AA653D">
            <w:pPr>
              <w:widowControl w:val="0"/>
              <w:tabs>
                <w:tab w:val="left" w:pos="426"/>
                <w:tab w:val="left" w:pos="851"/>
              </w:tabs>
              <w:jc w:val="both"/>
              <w:rPr>
                <w:rFonts w:ascii="Tahoma" w:hAnsi="Tahoma" w:cs="Tahoma"/>
                <w:sz w:val="20"/>
                <w:szCs w:val="20"/>
              </w:rPr>
            </w:pPr>
            <w:r w:rsidRPr="008A1C41">
              <w:rPr>
                <w:rFonts w:ascii="Tahoma" w:hAnsi="Tahoma" w:cs="Tahoma"/>
                <w:sz w:val="20"/>
                <w:szCs w:val="20"/>
              </w:rPr>
              <w:t>• Два объекта жилой недвижимости от одного Залогодателя</w:t>
            </w:r>
            <w:r>
              <w:rPr>
                <w:rFonts w:ascii="Tahoma" w:hAnsi="Tahoma" w:cs="Tahoma"/>
                <w:sz w:val="20"/>
                <w:szCs w:val="20"/>
              </w:rPr>
              <w:t xml:space="preserve"> – физического лица</w:t>
            </w:r>
            <w:r w:rsidRPr="008A1C41">
              <w:rPr>
                <w:rFonts w:ascii="Tahoma" w:hAnsi="Tahoma" w:cs="Tahoma"/>
                <w:sz w:val="20"/>
                <w:szCs w:val="20"/>
              </w:rPr>
              <w:t>, при этом залоговой стоимости каждой должно быть достаточно для покрытия всей суммы Кредита;</w:t>
            </w:r>
          </w:p>
          <w:p w14:paraId="78FF3553" w14:textId="77777777" w:rsidR="00267AB0" w:rsidRPr="008A1C41" w:rsidRDefault="00267AB0" w:rsidP="00AA653D">
            <w:pPr>
              <w:widowControl w:val="0"/>
              <w:tabs>
                <w:tab w:val="left" w:pos="426"/>
                <w:tab w:val="left" w:pos="851"/>
              </w:tabs>
              <w:spacing w:after="120"/>
              <w:jc w:val="both"/>
              <w:rPr>
                <w:rFonts w:ascii="Tahoma" w:hAnsi="Tahoma" w:cs="Tahoma"/>
                <w:sz w:val="20"/>
                <w:szCs w:val="20"/>
              </w:rPr>
            </w:pPr>
            <w:r w:rsidRPr="008A1C41">
              <w:rPr>
                <w:rFonts w:ascii="Tahoma" w:hAnsi="Tahoma" w:cs="Tahoma"/>
                <w:sz w:val="20"/>
                <w:szCs w:val="20"/>
              </w:rPr>
              <w:t>• Жилая квартира, принадлежащая на праве собственности Залогодателю - юридическому лицу.</w:t>
            </w:r>
          </w:p>
          <w:p w14:paraId="71AD9853" w14:textId="77777777" w:rsidR="00267AB0" w:rsidRPr="008A1C41" w:rsidRDefault="00267AB0" w:rsidP="00AA653D">
            <w:pPr>
              <w:widowControl w:val="0"/>
              <w:tabs>
                <w:tab w:val="left" w:pos="426"/>
                <w:tab w:val="left" w:pos="851"/>
              </w:tabs>
              <w:jc w:val="both"/>
              <w:rPr>
                <w:rFonts w:ascii="Tahoma" w:hAnsi="Tahoma" w:cs="Tahoma"/>
                <w:sz w:val="20"/>
                <w:szCs w:val="20"/>
              </w:rPr>
            </w:pPr>
            <w:r w:rsidRPr="008A1C41">
              <w:rPr>
                <w:rFonts w:ascii="Tahoma" w:hAnsi="Tahoma" w:cs="Tahoma"/>
                <w:sz w:val="20"/>
                <w:szCs w:val="20"/>
              </w:rPr>
              <w:t>Установление иных требований в отношении залогового обеспечения и/или Залогодателя, не предусмотренных настоящим разделом «Информации об условиях предоставления, использования и возврата потребительского Кредита по тарифному плану «Микро-лайт»», осуществляется в соответствии с решением уполномоченного органа принятия решений Банка.</w:t>
            </w:r>
          </w:p>
        </w:tc>
      </w:tr>
      <w:tr w:rsidR="00267AB0" w:rsidRPr="00610AD5" w14:paraId="481EB0F8" w14:textId="77777777" w:rsidTr="00AA653D">
        <w:trPr>
          <w:trHeight w:val="345"/>
        </w:trPr>
        <w:tc>
          <w:tcPr>
            <w:tcW w:w="4355" w:type="dxa"/>
            <w:tcBorders>
              <w:top w:val="single" w:sz="4" w:space="0" w:color="auto"/>
              <w:left w:val="single" w:sz="8" w:space="0" w:color="auto"/>
              <w:bottom w:val="single" w:sz="4" w:space="0" w:color="auto"/>
              <w:right w:val="single" w:sz="4" w:space="0" w:color="auto"/>
            </w:tcBorders>
            <w:shd w:val="clear" w:color="auto" w:fill="auto"/>
            <w:vAlign w:val="center"/>
          </w:tcPr>
          <w:p w14:paraId="0D2EB4CA" w14:textId="77777777" w:rsidR="00267AB0" w:rsidRPr="00284784" w:rsidRDefault="00267AB0" w:rsidP="00AA653D">
            <w:pPr>
              <w:widowControl w:val="0"/>
              <w:tabs>
                <w:tab w:val="left" w:pos="426"/>
                <w:tab w:val="left" w:pos="851"/>
              </w:tabs>
              <w:rPr>
                <w:rFonts w:ascii="Tahoma" w:hAnsi="Tahoma" w:cs="Tahoma"/>
                <w:b/>
                <w:color w:val="000000"/>
                <w:sz w:val="20"/>
                <w:szCs w:val="20"/>
              </w:rPr>
            </w:pPr>
            <w:r w:rsidRPr="00284784">
              <w:rPr>
                <w:rFonts w:ascii="Tahoma" w:hAnsi="Tahoma" w:cs="Tahoma"/>
                <w:b/>
                <w:color w:val="000000"/>
                <w:sz w:val="20"/>
                <w:szCs w:val="20"/>
              </w:rPr>
              <w:lastRenderedPageBreak/>
              <w:t xml:space="preserve">Ответственность Заемщика за ненадлежащее исполнение Договора </w:t>
            </w:r>
          </w:p>
        </w:tc>
        <w:tc>
          <w:tcPr>
            <w:tcW w:w="11056" w:type="dxa"/>
            <w:gridSpan w:val="8"/>
            <w:tcBorders>
              <w:top w:val="single" w:sz="4" w:space="0" w:color="auto"/>
              <w:left w:val="single" w:sz="4" w:space="0" w:color="auto"/>
              <w:bottom w:val="single" w:sz="4" w:space="0" w:color="auto"/>
              <w:right w:val="single" w:sz="4" w:space="0" w:color="auto"/>
            </w:tcBorders>
            <w:shd w:val="clear" w:color="000000" w:fill="FFFFFF"/>
            <w:vAlign w:val="center"/>
          </w:tcPr>
          <w:p w14:paraId="53DA706A" w14:textId="77777777" w:rsidR="00267AB0" w:rsidRDefault="00267AB0" w:rsidP="00AA653D">
            <w:pPr>
              <w:widowControl w:val="0"/>
              <w:tabs>
                <w:tab w:val="left" w:pos="426"/>
                <w:tab w:val="left" w:pos="851"/>
              </w:tabs>
              <w:jc w:val="both"/>
              <w:rPr>
                <w:rFonts w:ascii="Tahoma" w:hAnsi="Tahoma" w:cs="Tahoma"/>
                <w:sz w:val="20"/>
                <w:szCs w:val="20"/>
              </w:rPr>
            </w:pPr>
            <w:r w:rsidRPr="008A1C41">
              <w:rPr>
                <w:rFonts w:ascii="Tahoma" w:hAnsi="Tahoma" w:cs="Tahoma"/>
                <w:sz w:val="20"/>
                <w:szCs w:val="20"/>
              </w:rPr>
              <w:t xml:space="preserve">Помимо предусмотренных законодательством РФ мер ответственности Банком применяются также следующие: </w:t>
            </w:r>
          </w:p>
          <w:p w14:paraId="7E1773D6" w14:textId="77777777" w:rsidR="00267AB0" w:rsidRDefault="00267AB0" w:rsidP="00AA653D">
            <w:pPr>
              <w:widowControl w:val="0"/>
              <w:tabs>
                <w:tab w:val="left" w:pos="426"/>
                <w:tab w:val="left" w:pos="851"/>
              </w:tabs>
              <w:jc w:val="both"/>
              <w:rPr>
                <w:rFonts w:ascii="Tahoma" w:hAnsi="Tahoma" w:cs="Tahoma"/>
                <w:sz w:val="20"/>
                <w:szCs w:val="20"/>
              </w:rPr>
            </w:pPr>
            <w:r w:rsidRPr="0010538A">
              <w:rPr>
                <w:rFonts w:ascii="Tahoma" w:hAnsi="Tahoma" w:cs="Tahoma"/>
                <w:sz w:val="20"/>
                <w:szCs w:val="20"/>
              </w:rPr>
              <w:t>За неисполнение или ненадлежащее исполнение Заемщиком по Договору обязательств по возврату Кредита и(или) уплате процентов за пользованием Кредита начисляется неустойка за каждый день просрочки в размере 20% годовых от суммы просроченной задолженности, начиная со следующего дня за днем ее образования.</w:t>
            </w:r>
          </w:p>
          <w:p w14:paraId="64C3D712" w14:textId="77777777" w:rsidR="00267AB0" w:rsidRPr="008A1C41" w:rsidRDefault="00267AB0" w:rsidP="00AA653D">
            <w:pPr>
              <w:widowControl w:val="0"/>
              <w:tabs>
                <w:tab w:val="left" w:pos="426"/>
                <w:tab w:val="left" w:pos="851"/>
              </w:tabs>
              <w:jc w:val="both"/>
              <w:rPr>
                <w:rFonts w:ascii="Tahoma" w:hAnsi="Tahoma" w:cs="Tahoma"/>
                <w:sz w:val="20"/>
                <w:szCs w:val="20"/>
              </w:rPr>
            </w:pPr>
            <w:r w:rsidRPr="008A1C41">
              <w:rPr>
                <w:rFonts w:ascii="Tahoma" w:hAnsi="Tahoma" w:cs="Tahoma"/>
                <w:sz w:val="20"/>
                <w:szCs w:val="20"/>
              </w:rPr>
              <w:t>В случае, если обязательства Заемщика по Договору обеспечены ипотекой, за неисполнение и(или) ненадлежащее исполнение Заемщиком по Договору обязательств по возврату Кредита и(или) уплате процентов Заемщик уплачивает Кредитору неустойку в размере ключевой ставки Банка России, установленной на день заключения Договора, с суммы просроченного платежа за период просрочки с даты, следующей за датой наступления исполнения обязательства, установленной Договором, по дату погашения Просроченной кредитной задолженности по Договору (включительно), если по условиям Договора проценты за пользование Кредитом за соответствующий период нарушения исполнения обязательств начисляются.</w:t>
            </w:r>
          </w:p>
        </w:tc>
      </w:tr>
      <w:tr w:rsidR="00267AB0" w:rsidRPr="00610AD5" w14:paraId="6C4D10B3" w14:textId="77777777" w:rsidTr="00AA653D">
        <w:trPr>
          <w:trHeight w:val="345"/>
        </w:trPr>
        <w:tc>
          <w:tcPr>
            <w:tcW w:w="4355" w:type="dxa"/>
            <w:tcBorders>
              <w:top w:val="single" w:sz="4" w:space="0" w:color="auto"/>
              <w:left w:val="single" w:sz="8" w:space="0" w:color="auto"/>
              <w:bottom w:val="single" w:sz="4" w:space="0" w:color="auto"/>
              <w:right w:val="single" w:sz="4" w:space="0" w:color="auto"/>
            </w:tcBorders>
            <w:shd w:val="clear" w:color="auto" w:fill="auto"/>
            <w:vAlign w:val="center"/>
          </w:tcPr>
          <w:p w14:paraId="5C77F55B" w14:textId="77777777" w:rsidR="00267AB0" w:rsidRPr="00284784" w:rsidRDefault="00267AB0" w:rsidP="00AA653D">
            <w:pPr>
              <w:widowControl w:val="0"/>
              <w:tabs>
                <w:tab w:val="left" w:pos="426"/>
                <w:tab w:val="left" w:pos="851"/>
              </w:tabs>
              <w:rPr>
                <w:rFonts w:ascii="Tahoma" w:hAnsi="Tahoma" w:cs="Tahoma"/>
                <w:b/>
                <w:color w:val="000000"/>
                <w:sz w:val="20"/>
                <w:szCs w:val="20"/>
              </w:rPr>
            </w:pPr>
            <w:r w:rsidRPr="00284784">
              <w:rPr>
                <w:rFonts w:ascii="Tahoma" w:hAnsi="Tahoma" w:cs="Tahoma"/>
                <w:b/>
                <w:color w:val="000000"/>
                <w:sz w:val="20"/>
                <w:szCs w:val="20"/>
              </w:rPr>
              <w:t xml:space="preserve">Ответственность </w:t>
            </w:r>
            <w:r>
              <w:rPr>
                <w:rFonts w:ascii="Tahoma" w:hAnsi="Tahoma" w:cs="Tahoma"/>
                <w:b/>
                <w:color w:val="000000"/>
                <w:sz w:val="20"/>
                <w:szCs w:val="20"/>
              </w:rPr>
              <w:t>Залогодателя</w:t>
            </w:r>
            <w:r w:rsidRPr="00284784">
              <w:rPr>
                <w:rFonts w:ascii="Tahoma" w:hAnsi="Tahoma" w:cs="Tahoma"/>
                <w:b/>
                <w:color w:val="000000"/>
                <w:sz w:val="20"/>
                <w:szCs w:val="20"/>
              </w:rPr>
              <w:t xml:space="preserve"> за ненадлежащее исполнение Договора</w:t>
            </w:r>
            <w:r>
              <w:rPr>
                <w:rFonts w:ascii="Tahoma" w:hAnsi="Tahoma" w:cs="Tahoma"/>
                <w:b/>
                <w:color w:val="000000"/>
                <w:sz w:val="20"/>
                <w:szCs w:val="20"/>
              </w:rPr>
              <w:t xml:space="preserve"> ипотеки</w:t>
            </w:r>
          </w:p>
        </w:tc>
        <w:tc>
          <w:tcPr>
            <w:tcW w:w="11056" w:type="dxa"/>
            <w:gridSpan w:val="8"/>
            <w:tcBorders>
              <w:top w:val="single" w:sz="4" w:space="0" w:color="auto"/>
              <w:left w:val="single" w:sz="4" w:space="0" w:color="auto"/>
              <w:bottom w:val="single" w:sz="4" w:space="0" w:color="auto"/>
              <w:right w:val="single" w:sz="4" w:space="0" w:color="auto"/>
            </w:tcBorders>
            <w:shd w:val="clear" w:color="000000" w:fill="FFFFFF"/>
            <w:vAlign w:val="center"/>
          </w:tcPr>
          <w:p w14:paraId="010C870B" w14:textId="77777777" w:rsidR="00267AB0" w:rsidRPr="00776BD7" w:rsidRDefault="00267AB0" w:rsidP="00AA653D">
            <w:pPr>
              <w:widowControl w:val="0"/>
              <w:tabs>
                <w:tab w:val="left" w:pos="426"/>
                <w:tab w:val="left" w:pos="851"/>
              </w:tabs>
              <w:jc w:val="both"/>
              <w:rPr>
                <w:rFonts w:ascii="Tahoma" w:hAnsi="Tahoma" w:cs="Tahoma"/>
                <w:i/>
                <w:sz w:val="20"/>
                <w:szCs w:val="20"/>
              </w:rPr>
            </w:pPr>
            <w:r w:rsidRPr="00776BD7">
              <w:rPr>
                <w:rFonts w:ascii="Tahoma" w:hAnsi="Tahoma" w:cs="Tahoma"/>
                <w:i/>
                <w:sz w:val="20"/>
                <w:szCs w:val="20"/>
              </w:rPr>
              <w:t>При предоставлении Кредита на счет Заемщика после государственной регистрации ипотеки в пользу Банка:</w:t>
            </w:r>
          </w:p>
          <w:p w14:paraId="58A56273" w14:textId="77777777" w:rsidR="00267AB0" w:rsidRPr="00776BD7" w:rsidRDefault="00267AB0" w:rsidP="00AA653D">
            <w:pPr>
              <w:widowControl w:val="0"/>
              <w:tabs>
                <w:tab w:val="left" w:pos="426"/>
                <w:tab w:val="left" w:pos="851"/>
              </w:tabs>
              <w:jc w:val="both"/>
              <w:rPr>
                <w:rFonts w:ascii="Tahoma" w:hAnsi="Tahoma" w:cs="Tahoma"/>
                <w:sz w:val="20"/>
                <w:szCs w:val="20"/>
              </w:rPr>
            </w:pPr>
            <w:r w:rsidRPr="00776BD7">
              <w:rPr>
                <w:rFonts w:ascii="Tahoma" w:hAnsi="Tahoma" w:cs="Tahoma"/>
                <w:sz w:val="20"/>
                <w:szCs w:val="20"/>
              </w:rPr>
              <w:t>В случае непредставления Залогодателем в течение 30 рабочих дней после подачи Договора ипотеки и иных документов для регистрации залога (ипотеки) в Банк документов, подтверждающих регистрацию залога (ипотеки) в пользу Банка, взимается неустойка в размере 0,3% от суммы Кредита за каждый календарный день непредставления Залогодателем подтверждающих регистрацию ипотеки документов.</w:t>
            </w:r>
          </w:p>
          <w:p w14:paraId="5BBEAB1F" w14:textId="77777777" w:rsidR="00267AB0" w:rsidRPr="00776BD7" w:rsidRDefault="00267AB0" w:rsidP="00AA653D">
            <w:pPr>
              <w:widowControl w:val="0"/>
              <w:tabs>
                <w:tab w:val="left" w:pos="426"/>
                <w:tab w:val="left" w:pos="851"/>
              </w:tabs>
              <w:jc w:val="both"/>
              <w:rPr>
                <w:rFonts w:ascii="Tahoma" w:hAnsi="Tahoma" w:cs="Tahoma"/>
                <w:i/>
                <w:sz w:val="20"/>
                <w:szCs w:val="20"/>
              </w:rPr>
            </w:pPr>
            <w:r w:rsidRPr="00776BD7">
              <w:rPr>
                <w:rFonts w:ascii="Tahoma" w:hAnsi="Tahoma" w:cs="Tahoma"/>
                <w:i/>
                <w:sz w:val="20"/>
                <w:szCs w:val="20"/>
              </w:rPr>
              <w:t>При предоставлении Кредита на счет Заемщика до момента государственной регистрации ипотеки в пользу Банка по факту предоставления расписки о принятии документов на регистрацию:</w:t>
            </w:r>
          </w:p>
          <w:p w14:paraId="3CB7A54B" w14:textId="77777777" w:rsidR="00267AB0" w:rsidRPr="008A1C41" w:rsidRDefault="00267AB0" w:rsidP="00AA653D">
            <w:pPr>
              <w:widowControl w:val="0"/>
              <w:tabs>
                <w:tab w:val="left" w:pos="426"/>
                <w:tab w:val="left" w:pos="851"/>
              </w:tabs>
              <w:jc w:val="both"/>
              <w:rPr>
                <w:rFonts w:ascii="Tahoma" w:hAnsi="Tahoma" w:cs="Tahoma"/>
                <w:sz w:val="20"/>
                <w:szCs w:val="20"/>
              </w:rPr>
            </w:pPr>
            <w:r w:rsidRPr="00776BD7">
              <w:rPr>
                <w:rFonts w:ascii="Tahoma" w:hAnsi="Tahoma" w:cs="Tahoma"/>
                <w:sz w:val="20"/>
                <w:szCs w:val="20"/>
              </w:rPr>
              <w:t>В случае непредставления Залогодателем в течение 30 календарных дней с даты фактического предоставления Банком Заемщику Кредита по Кредитному договору в Банк оригиналов документов, подтверждающих регистрацию залога (ипотеки) в пользу Банка, взимается штраф в размере 0,07 % от остатка ссудной задолженности по Кредитному договору за каждый календарный день непредставления Залогодателем подтверждающих регистрацию ипотеки документов.</w:t>
            </w:r>
          </w:p>
        </w:tc>
      </w:tr>
      <w:tr w:rsidR="00267AB0" w:rsidRPr="00610AD5" w14:paraId="4F6C7B38" w14:textId="77777777" w:rsidTr="00AA653D">
        <w:trPr>
          <w:trHeight w:val="345"/>
        </w:trPr>
        <w:tc>
          <w:tcPr>
            <w:tcW w:w="4355" w:type="dxa"/>
            <w:tcBorders>
              <w:top w:val="single" w:sz="4" w:space="0" w:color="auto"/>
              <w:left w:val="single" w:sz="8" w:space="0" w:color="auto"/>
              <w:bottom w:val="single" w:sz="4" w:space="0" w:color="auto"/>
              <w:right w:val="single" w:sz="4" w:space="0" w:color="auto"/>
            </w:tcBorders>
            <w:shd w:val="clear" w:color="auto" w:fill="auto"/>
            <w:vAlign w:val="center"/>
          </w:tcPr>
          <w:p w14:paraId="638696CA" w14:textId="77777777" w:rsidR="00267AB0" w:rsidRPr="00284784" w:rsidRDefault="00267AB0" w:rsidP="00AA653D">
            <w:pPr>
              <w:widowControl w:val="0"/>
              <w:tabs>
                <w:tab w:val="left" w:pos="426"/>
                <w:tab w:val="left" w:pos="851"/>
              </w:tabs>
              <w:rPr>
                <w:rFonts w:ascii="Tahoma" w:hAnsi="Tahoma" w:cs="Tahoma"/>
                <w:b/>
                <w:color w:val="000000"/>
                <w:sz w:val="20"/>
                <w:szCs w:val="20"/>
              </w:rPr>
            </w:pPr>
            <w:r w:rsidRPr="00284784">
              <w:rPr>
                <w:rFonts w:ascii="Tahoma" w:hAnsi="Tahoma" w:cs="Tahoma"/>
                <w:b/>
                <w:color w:val="000000"/>
                <w:sz w:val="20"/>
                <w:szCs w:val="20"/>
              </w:rPr>
              <w:t>Уступка Банком третьим лицам прав (требований) по Договору</w:t>
            </w:r>
          </w:p>
        </w:tc>
        <w:tc>
          <w:tcPr>
            <w:tcW w:w="11056" w:type="dxa"/>
            <w:gridSpan w:val="8"/>
            <w:tcBorders>
              <w:top w:val="single" w:sz="4" w:space="0" w:color="auto"/>
              <w:left w:val="single" w:sz="4" w:space="0" w:color="auto"/>
              <w:bottom w:val="single" w:sz="4" w:space="0" w:color="auto"/>
              <w:right w:val="single" w:sz="4" w:space="0" w:color="auto"/>
            </w:tcBorders>
            <w:shd w:val="clear" w:color="000000" w:fill="FFFFFF"/>
            <w:vAlign w:val="center"/>
          </w:tcPr>
          <w:p w14:paraId="3D53B5A6" w14:textId="77777777" w:rsidR="00267AB0" w:rsidRPr="008A1C41" w:rsidRDefault="00267AB0" w:rsidP="00AA653D">
            <w:pPr>
              <w:widowControl w:val="0"/>
              <w:tabs>
                <w:tab w:val="left" w:pos="426"/>
                <w:tab w:val="left" w:pos="851"/>
              </w:tabs>
              <w:rPr>
                <w:rFonts w:ascii="Tahoma" w:hAnsi="Tahoma" w:cs="Tahoma"/>
                <w:color w:val="000000"/>
                <w:sz w:val="20"/>
                <w:szCs w:val="20"/>
              </w:rPr>
            </w:pPr>
            <w:r w:rsidRPr="008A1C41">
              <w:rPr>
                <w:rFonts w:ascii="Tahoma" w:hAnsi="Tahoma" w:cs="Tahoma"/>
                <w:color w:val="000000"/>
                <w:sz w:val="20"/>
                <w:szCs w:val="20"/>
              </w:rPr>
              <w:t>Заемщик вправе запретить уступку Банком третьим лицам прав (требований) по Договору.</w:t>
            </w:r>
          </w:p>
        </w:tc>
      </w:tr>
      <w:tr w:rsidR="00267AB0" w:rsidRPr="00610AD5" w14:paraId="13319247" w14:textId="77777777" w:rsidTr="00AA653D">
        <w:trPr>
          <w:trHeight w:val="345"/>
        </w:trPr>
        <w:tc>
          <w:tcPr>
            <w:tcW w:w="4355" w:type="dxa"/>
            <w:tcBorders>
              <w:top w:val="single" w:sz="4" w:space="0" w:color="auto"/>
              <w:left w:val="single" w:sz="8" w:space="0" w:color="auto"/>
              <w:bottom w:val="single" w:sz="4" w:space="0" w:color="auto"/>
              <w:right w:val="single" w:sz="4" w:space="0" w:color="auto"/>
            </w:tcBorders>
            <w:shd w:val="clear" w:color="auto" w:fill="auto"/>
            <w:vAlign w:val="center"/>
          </w:tcPr>
          <w:p w14:paraId="0FBFEBFD" w14:textId="77777777" w:rsidR="00267AB0" w:rsidRPr="00284784" w:rsidRDefault="00267AB0" w:rsidP="00AA653D">
            <w:pPr>
              <w:widowControl w:val="0"/>
              <w:tabs>
                <w:tab w:val="left" w:pos="426"/>
                <w:tab w:val="left" w:pos="851"/>
              </w:tabs>
              <w:rPr>
                <w:rFonts w:ascii="Tahoma" w:hAnsi="Tahoma" w:cs="Tahoma"/>
                <w:b/>
                <w:color w:val="000000"/>
                <w:sz w:val="20"/>
                <w:szCs w:val="20"/>
              </w:rPr>
            </w:pPr>
            <w:r w:rsidRPr="00284784">
              <w:rPr>
                <w:rFonts w:ascii="Tahoma" w:hAnsi="Tahoma" w:cs="Tahoma"/>
                <w:b/>
                <w:color w:val="000000"/>
                <w:sz w:val="20"/>
                <w:szCs w:val="20"/>
              </w:rPr>
              <w:t xml:space="preserve">Подсудность споров по искам </w:t>
            </w:r>
            <w:r>
              <w:rPr>
                <w:rFonts w:ascii="Tahoma" w:hAnsi="Tahoma" w:cs="Tahoma"/>
                <w:b/>
                <w:color w:val="000000"/>
                <w:sz w:val="20"/>
                <w:szCs w:val="20"/>
              </w:rPr>
              <w:t>К</w:t>
            </w:r>
            <w:r w:rsidRPr="00284784">
              <w:rPr>
                <w:rFonts w:ascii="Tahoma" w:hAnsi="Tahoma" w:cs="Tahoma"/>
                <w:b/>
                <w:color w:val="000000"/>
                <w:sz w:val="20"/>
                <w:szCs w:val="20"/>
              </w:rPr>
              <w:t xml:space="preserve">редитора к </w:t>
            </w:r>
            <w:r>
              <w:rPr>
                <w:rFonts w:ascii="Tahoma" w:hAnsi="Tahoma" w:cs="Tahoma"/>
                <w:b/>
                <w:color w:val="000000"/>
                <w:sz w:val="20"/>
                <w:szCs w:val="20"/>
              </w:rPr>
              <w:t>З</w:t>
            </w:r>
            <w:r w:rsidRPr="00284784">
              <w:rPr>
                <w:rFonts w:ascii="Tahoma" w:hAnsi="Tahoma" w:cs="Tahoma"/>
                <w:b/>
                <w:color w:val="000000"/>
                <w:sz w:val="20"/>
                <w:szCs w:val="20"/>
              </w:rPr>
              <w:t>аемщику</w:t>
            </w:r>
          </w:p>
        </w:tc>
        <w:tc>
          <w:tcPr>
            <w:tcW w:w="11056" w:type="dxa"/>
            <w:gridSpan w:val="8"/>
            <w:tcBorders>
              <w:top w:val="single" w:sz="4" w:space="0" w:color="auto"/>
              <w:left w:val="single" w:sz="4" w:space="0" w:color="auto"/>
              <w:bottom w:val="single" w:sz="4" w:space="0" w:color="auto"/>
              <w:right w:val="single" w:sz="4" w:space="0" w:color="auto"/>
            </w:tcBorders>
            <w:shd w:val="clear" w:color="000000" w:fill="FFFFFF"/>
            <w:vAlign w:val="center"/>
          </w:tcPr>
          <w:p w14:paraId="50CCF7D1" w14:textId="77777777" w:rsidR="00267AB0" w:rsidRPr="008A1C41" w:rsidRDefault="00267AB0" w:rsidP="00AA653D">
            <w:pPr>
              <w:widowControl w:val="0"/>
              <w:tabs>
                <w:tab w:val="left" w:pos="426"/>
                <w:tab w:val="left" w:pos="851"/>
              </w:tabs>
              <w:jc w:val="both"/>
              <w:rPr>
                <w:rFonts w:ascii="Tahoma" w:hAnsi="Tahoma" w:cs="Tahoma"/>
                <w:color w:val="000000"/>
                <w:sz w:val="20"/>
                <w:szCs w:val="20"/>
              </w:rPr>
            </w:pPr>
            <w:r w:rsidRPr="008A1C41">
              <w:rPr>
                <w:rFonts w:ascii="Tahoma" w:hAnsi="Tahoma" w:cs="Tahoma"/>
                <w:color w:val="000000"/>
                <w:sz w:val="20"/>
                <w:szCs w:val="20"/>
              </w:rPr>
              <w:t>Все споры по Договору по искам Банка к Заемщику рассматриваются в порядке, установленном законодательством РФ.</w:t>
            </w:r>
          </w:p>
          <w:p w14:paraId="624BDB86" w14:textId="77777777" w:rsidR="00267AB0" w:rsidRPr="008A1C41" w:rsidRDefault="00267AB0" w:rsidP="00AA653D">
            <w:pPr>
              <w:widowControl w:val="0"/>
              <w:tabs>
                <w:tab w:val="left" w:pos="426"/>
                <w:tab w:val="left" w:pos="851"/>
              </w:tabs>
              <w:jc w:val="both"/>
              <w:rPr>
                <w:rFonts w:ascii="Tahoma" w:hAnsi="Tahoma" w:cs="Tahoma"/>
                <w:color w:val="000000"/>
                <w:sz w:val="20"/>
                <w:szCs w:val="20"/>
              </w:rPr>
            </w:pPr>
            <w:r w:rsidRPr="008A1C41">
              <w:rPr>
                <w:rFonts w:ascii="Tahoma" w:hAnsi="Tahoma" w:cs="Tahoma"/>
                <w:color w:val="000000"/>
                <w:sz w:val="20"/>
                <w:szCs w:val="20"/>
              </w:rPr>
              <w:t>Взыскание задолженности по Договору может производиться по исполнительной надписи нотариуса, совершаемой на основании заявления Банка.</w:t>
            </w:r>
          </w:p>
        </w:tc>
      </w:tr>
      <w:tr w:rsidR="00267AB0" w:rsidRPr="00610AD5" w14:paraId="42F42501" w14:textId="77777777" w:rsidTr="00AA653D">
        <w:trPr>
          <w:trHeight w:val="345"/>
        </w:trPr>
        <w:tc>
          <w:tcPr>
            <w:tcW w:w="4355" w:type="dxa"/>
            <w:tcBorders>
              <w:top w:val="single" w:sz="4" w:space="0" w:color="auto"/>
              <w:left w:val="single" w:sz="8" w:space="0" w:color="auto"/>
              <w:bottom w:val="single" w:sz="4" w:space="0" w:color="auto"/>
              <w:right w:val="single" w:sz="4" w:space="0" w:color="auto"/>
            </w:tcBorders>
            <w:shd w:val="clear" w:color="auto" w:fill="auto"/>
            <w:vAlign w:val="center"/>
          </w:tcPr>
          <w:p w14:paraId="6FC5652A" w14:textId="77777777" w:rsidR="00267AB0" w:rsidRPr="00284784" w:rsidRDefault="00267AB0" w:rsidP="00AA653D">
            <w:pPr>
              <w:widowControl w:val="0"/>
              <w:tabs>
                <w:tab w:val="left" w:pos="426"/>
                <w:tab w:val="left" w:pos="851"/>
              </w:tabs>
              <w:rPr>
                <w:rFonts w:ascii="Tahoma" w:hAnsi="Tahoma" w:cs="Tahoma"/>
                <w:b/>
                <w:color w:val="000000"/>
                <w:sz w:val="20"/>
                <w:szCs w:val="20"/>
              </w:rPr>
            </w:pPr>
            <w:r w:rsidRPr="00A155BD">
              <w:rPr>
                <w:rFonts w:ascii="Tahoma" w:hAnsi="Tahoma" w:cs="Tahoma"/>
                <w:b/>
                <w:color w:val="000000"/>
                <w:sz w:val="20"/>
                <w:szCs w:val="20"/>
              </w:rPr>
              <w:t>Виды и суммы иных платежей Заемщика по Договору</w:t>
            </w:r>
          </w:p>
        </w:tc>
        <w:tc>
          <w:tcPr>
            <w:tcW w:w="11056" w:type="dxa"/>
            <w:gridSpan w:val="8"/>
            <w:tcBorders>
              <w:top w:val="single" w:sz="4" w:space="0" w:color="auto"/>
              <w:left w:val="single" w:sz="4" w:space="0" w:color="auto"/>
              <w:bottom w:val="single" w:sz="4" w:space="0" w:color="auto"/>
              <w:right w:val="single" w:sz="4" w:space="0" w:color="auto"/>
            </w:tcBorders>
            <w:shd w:val="clear" w:color="000000" w:fill="FFFFFF"/>
            <w:vAlign w:val="center"/>
          </w:tcPr>
          <w:p w14:paraId="02C6DF04" w14:textId="77777777" w:rsidR="00267AB0" w:rsidRPr="008A1C41" w:rsidRDefault="00267AB0" w:rsidP="00AA653D">
            <w:pPr>
              <w:widowControl w:val="0"/>
              <w:tabs>
                <w:tab w:val="left" w:pos="426"/>
                <w:tab w:val="left" w:pos="851"/>
              </w:tabs>
              <w:jc w:val="both"/>
              <w:rPr>
                <w:rFonts w:ascii="Tahoma" w:hAnsi="Tahoma" w:cs="Tahoma"/>
                <w:sz w:val="20"/>
                <w:szCs w:val="20"/>
              </w:rPr>
            </w:pPr>
            <w:r w:rsidRPr="008A1C41">
              <w:rPr>
                <w:rFonts w:ascii="Tahoma" w:hAnsi="Tahoma" w:cs="Tahoma"/>
                <w:sz w:val="20"/>
                <w:szCs w:val="20"/>
              </w:rPr>
              <w:t xml:space="preserve">При наличии соответствующего волеизъявления Заемщика ему могут быть оказаны Банком следующие услуги, не являющиеся обязательными для заключения или исполнения Договора: платеж за выдачу дубликата или восстановление утерянного Договора, договоров обеспечения в размере 10 000 рублей за один Договор; предлагаемый платеж за осуществление Банком мероприятий при составлении дополнительного соглашения к Договору по внесению изменений по инициативе Заемщика в условия Договора потребительского Кредита (уменьшение срока возврата Кредита, продление срока возврата Кредита (пролонгация) и(или) отсрочка платежа по основному долгу в размере 1500 рублей (плата взимается за услугу вне зависимости от количества измененных параметров Договора одновременно), а при изменении даты погашения Кредита 500 рублей (плата взимается за услугу вне зависимости от количества измененных параметров Договора одновременно); Плата за предоставление справок, содержащих информацию о размере текущей задолженности Заемщика перед Банком по Договору, о датах и размерах произведенных и предстоящих платежей Заемщика по Договору, размерах предстоящих платежей Заемщика по Кредиту с переменной процентной ставкой, о произведенных платежах, иные сведения указанные в </w:t>
            </w:r>
            <w:r w:rsidRPr="008A1C41">
              <w:rPr>
                <w:rFonts w:ascii="Tahoma" w:hAnsi="Tahoma" w:cs="Tahoma"/>
                <w:sz w:val="20"/>
                <w:szCs w:val="20"/>
              </w:rPr>
              <w:lastRenderedPageBreak/>
              <w:t xml:space="preserve">Договоре, в размере 500 рублей при запросе указанной информации более одного раза в месяц; предлагаемый платеж за осуществление Банком мероприятий по внесению по инициативе Заемщика изменений в условия Договора: изменение срока исполнения отлагательных условий при составлении дополнительного соглашения к Договору в размере 1000 рублей; предлагаемый платеж за осуществление комплекса необходимых мероприятий, направленных на изменение условий договоров обеспечения при наличии согласия «Азиатско-Тихоокеанский Банк» (АО) (замена залога, вывод имущества из-под залога, замена </w:t>
            </w:r>
            <w:r>
              <w:rPr>
                <w:rFonts w:ascii="Tahoma" w:hAnsi="Tahoma" w:cs="Tahoma"/>
                <w:sz w:val="20"/>
                <w:szCs w:val="20"/>
              </w:rPr>
              <w:t>З</w:t>
            </w:r>
            <w:r w:rsidRPr="008A1C41">
              <w:rPr>
                <w:rFonts w:ascii="Tahoma" w:hAnsi="Tahoma" w:cs="Tahoma"/>
                <w:sz w:val="20"/>
                <w:szCs w:val="20"/>
              </w:rPr>
              <w:t xml:space="preserve">алогодателя, замена </w:t>
            </w:r>
            <w:r>
              <w:rPr>
                <w:rFonts w:ascii="Tahoma" w:hAnsi="Tahoma" w:cs="Tahoma"/>
                <w:sz w:val="20"/>
                <w:szCs w:val="20"/>
              </w:rPr>
              <w:t>П</w:t>
            </w:r>
            <w:r w:rsidRPr="008A1C41">
              <w:rPr>
                <w:rFonts w:ascii="Tahoma" w:hAnsi="Tahoma" w:cs="Tahoma"/>
                <w:sz w:val="20"/>
                <w:szCs w:val="20"/>
              </w:rPr>
              <w:t xml:space="preserve">оручителя,  вывод </w:t>
            </w:r>
            <w:r>
              <w:rPr>
                <w:rFonts w:ascii="Tahoma" w:hAnsi="Tahoma" w:cs="Tahoma"/>
                <w:sz w:val="20"/>
                <w:szCs w:val="20"/>
              </w:rPr>
              <w:t>П</w:t>
            </w:r>
            <w:r w:rsidRPr="008A1C41">
              <w:rPr>
                <w:rFonts w:ascii="Tahoma" w:hAnsi="Tahoma" w:cs="Tahoma"/>
                <w:sz w:val="20"/>
                <w:szCs w:val="20"/>
              </w:rPr>
              <w:t>оручителя) в размере 2360 рублей.</w:t>
            </w:r>
          </w:p>
          <w:p w14:paraId="22665F84" w14:textId="77777777" w:rsidR="00267AB0" w:rsidRPr="008A1C41" w:rsidRDefault="00267AB0" w:rsidP="00AA653D">
            <w:pPr>
              <w:widowControl w:val="0"/>
              <w:tabs>
                <w:tab w:val="left" w:pos="426"/>
                <w:tab w:val="left" w:pos="851"/>
              </w:tabs>
              <w:jc w:val="both"/>
              <w:rPr>
                <w:rFonts w:ascii="Tahoma" w:hAnsi="Tahoma" w:cs="Tahoma"/>
                <w:sz w:val="20"/>
                <w:szCs w:val="20"/>
              </w:rPr>
            </w:pPr>
            <w:r w:rsidRPr="008A1C41">
              <w:rPr>
                <w:rFonts w:ascii="Tahoma" w:hAnsi="Tahoma" w:cs="Tahoma"/>
                <w:sz w:val="20"/>
                <w:szCs w:val="20"/>
              </w:rPr>
              <w:t>Оказание услуги Банком производится в случае выражения Заемщиком волеизъявления на пользование определенной услугой.</w:t>
            </w:r>
          </w:p>
          <w:p w14:paraId="4C6B143C" w14:textId="77777777" w:rsidR="00267AB0" w:rsidRPr="008A1C41" w:rsidRDefault="00267AB0" w:rsidP="00AA653D">
            <w:pPr>
              <w:widowControl w:val="0"/>
              <w:tabs>
                <w:tab w:val="left" w:pos="426"/>
                <w:tab w:val="left" w:pos="851"/>
              </w:tabs>
              <w:jc w:val="both"/>
              <w:rPr>
                <w:rFonts w:ascii="Tahoma" w:hAnsi="Tahoma" w:cs="Tahoma"/>
                <w:sz w:val="20"/>
                <w:szCs w:val="20"/>
              </w:rPr>
            </w:pPr>
            <w:r w:rsidRPr="008A1C41">
              <w:rPr>
                <w:rFonts w:ascii="Tahoma" w:hAnsi="Tahoma" w:cs="Tahoma"/>
                <w:sz w:val="20"/>
                <w:szCs w:val="20"/>
              </w:rPr>
              <w:t>Оплата услуг должна быть произведена до момента оказания Банком услуг.</w:t>
            </w:r>
          </w:p>
        </w:tc>
      </w:tr>
      <w:tr w:rsidR="00267AB0" w:rsidRPr="00610AD5" w14:paraId="4B269CE5" w14:textId="77777777" w:rsidTr="00AA653D">
        <w:trPr>
          <w:trHeight w:val="144"/>
        </w:trPr>
        <w:tc>
          <w:tcPr>
            <w:tcW w:w="4355" w:type="dxa"/>
            <w:vMerge w:val="restart"/>
            <w:tcBorders>
              <w:top w:val="single" w:sz="4" w:space="0" w:color="auto"/>
              <w:left w:val="single" w:sz="8" w:space="0" w:color="auto"/>
              <w:right w:val="single" w:sz="4" w:space="0" w:color="auto"/>
            </w:tcBorders>
            <w:shd w:val="clear" w:color="auto" w:fill="auto"/>
            <w:vAlign w:val="center"/>
          </w:tcPr>
          <w:p w14:paraId="2B3C5DB9" w14:textId="77777777" w:rsidR="00267AB0" w:rsidRPr="00610AD5" w:rsidRDefault="00267AB0" w:rsidP="00AA653D">
            <w:pPr>
              <w:widowControl w:val="0"/>
              <w:tabs>
                <w:tab w:val="left" w:pos="426"/>
                <w:tab w:val="left" w:pos="851"/>
              </w:tabs>
              <w:rPr>
                <w:rFonts w:ascii="Tahoma" w:hAnsi="Tahoma" w:cs="Tahoma"/>
                <w:b/>
                <w:bCs/>
                <w:sz w:val="20"/>
                <w:szCs w:val="20"/>
              </w:rPr>
            </w:pPr>
            <w:r w:rsidRPr="00D162C6">
              <w:rPr>
                <w:rFonts w:ascii="Tahoma" w:hAnsi="Tahoma" w:cs="Tahoma"/>
                <w:b/>
                <w:color w:val="000000"/>
                <w:sz w:val="20"/>
                <w:szCs w:val="20"/>
              </w:rPr>
              <w:lastRenderedPageBreak/>
              <w:t>Перевод денежных средств с ТБС, используемого для выдачи Кредита, в другую кредитную организацию**</w:t>
            </w:r>
          </w:p>
        </w:tc>
        <w:tc>
          <w:tcPr>
            <w:tcW w:w="8838" w:type="dxa"/>
            <w:gridSpan w:val="7"/>
            <w:tcBorders>
              <w:top w:val="single" w:sz="4" w:space="0" w:color="auto"/>
              <w:left w:val="single" w:sz="4" w:space="0" w:color="auto"/>
              <w:bottom w:val="single" w:sz="4" w:space="0" w:color="auto"/>
              <w:right w:val="single" w:sz="4" w:space="0" w:color="auto"/>
            </w:tcBorders>
            <w:shd w:val="clear" w:color="000000" w:fill="FFFFFF"/>
            <w:vAlign w:val="center"/>
          </w:tcPr>
          <w:p w14:paraId="45E44B30" w14:textId="77777777" w:rsidR="00267AB0" w:rsidRPr="000E49F4" w:rsidRDefault="00267AB0" w:rsidP="00AA653D">
            <w:pPr>
              <w:rPr>
                <w:rFonts w:ascii="Tahoma" w:hAnsi="Tahoma" w:cs="Tahoma"/>
                <w:sz w:val="20"/>
                <w:szCs w:val="20"/>
              </w:rPr>
            </w:pPr>
            <w:r w:rsidRPr="000E49F4">
              <w:rPr>
                <w:rFonts w:ascii="Tahoma" w:hAnsi="Tahoma" w:cs="Tahoma"/>
                <w:bCs/>
                <w:sz w:val="20"/>
                <w:szCs w:val="20"/>
              </w:rPr>
              <w:t>в пользу юридического лица в рамках целевого кредитования;</w:t>
            </w:r>
          </w:p>
        </w:tc>
        <w:tc>
          <w:tcPr>
            <w:tcW w:w="2218" w:type="dxa"/>
            <w:vMerge w:val="restart"/>
            <w:tcBorders>
              <w:top w:val="single" w:sz="4" w:space="0" w:color="auto"/>
              <w:left w:val="single" w:sz="4" w:space="0" w:color="auto"/>
              <w:right w:val="single" w:sz="4" w:space="0" w:color="auto"/>
            </w:tcBorders>
            <w:shd w:val="clear" w:color="000000" w:fill="FFFFFF"/>
            <w:vAlign w:val="center"/>
          </w:tcPr>
          <w:p w14:paraId="62254721" w14:textId="77777777" w:rsidR="00267AB0" w:rsidRPr="000E49F4" w:rsidRDefault="00267AB0" w:rsidP="00AA653D">
            <w:pPr>
              <w:widowControl w:val="0"/>
              <w:tabs>
                <w:tab w:val="left" w:pos="426"/>
                <w:tab w:val="left" w:pos="851"/>
              </w:tabs>
              <w:jc w:val="both"/>
              <w:rPr>
                <w:rFonts w:ascii="Tahoma" w:hAnsi="Tahoma" w:cs="Tahoma"/>
                <w:sz w:val="20"/>
                <w:szCs w:val="20"/>
              </w:rPr>
            </w:pPr>
            <w:r w:rsidRPr="000E49F4">
              <w:rPr>
                <w:rFonts w:ascii="Tahoma" w:hAnsi="Tahoma" w:cs="Tahoma"/>
                <w:sz w:val="20"/>
                <w:szCs w:val="20"/>
              </w:rPr>
              <w:t>Не применимо</w:t>
            </w:r>
          </w:p>
        </w:tc>
      </w:tr>
      <w:tr w:rsidR="00267AB0" w:rsidRPr="00610AD5" w14:paraId="3EE8E2AA" w14:textId="77777777" w:rsidTr="00AA653D">
        <w:trPr>
          <w:trHeight w:val="143"/>
        </w:trPr>
        <w:tc>
          <w:tcPr>
            <w:tcW w:w="4355" w:type="dxa"/>
            <w:vMerge/>
            <w:tcBorders>
              <w:left w:val="single" w:sz="8" w:space="0" w:color="auto"/>
              <w:right w:val="single" w:sz="4" w:space="0" w:color="auto"/>
            </w:tcBorders>
            <w:shd w:val="clear" w:color="auto" w:fill="auto"/>
            <w:vAlign w:val="center"/>
          </w:tcPr>
          <w:p w14:paraId="235DEA37" w14:textId="77777777" w:rsidR="00267AB0" w:rsidRPr="00610AD5" w:rsidRDefault="00267AB0" w:rsidP="00AA653D">
            <w:pPr>
              <w:jc w:val="center"/>
              <w:rPr>
                <w:rFonts w:ascii="Tahoma" w:hAnsi="Tahoma" w:cs="Tahoma"/>
                <w:b/>
                <w:bCs/>
                <w:sz w:val="20"/>
                <w:szCs w:val="20"/>
              </w:rPr>
            </w:pPr>
          </w:p>
        </w:tc>
        <w:tc>
          <w:tcPr>
            <w:tcW w:w="8838" w:type="dxa"/>
            <w:gridSpan w:val="7"/>
            <w:tcBorders>
              <w:top w:val="single" w:sz="4" w:space="0" w:color="auto"/>
              <w:left w:val="single" w:sz="4" w:space="0" w:color="auto"/>
              <w:bottom w:val="single" w:sz="4" w:space="0" w:color="auto"/>
              <w:right w:val="single" w:sz="4" w:space="0" w:color="auto"/>
            </w:tcBorders>
            <w:shd w:val="clear" w:color="000000" w:fill="FFFFFF"/>
            <w:vAlign w:val="center"/>
          </w:tcPr>
          <w:p w14:paraId="64EEFE78" w14:textId="77777777" w:rsidR="00267AB0" w:rsidRPr="000E49F4" w:rsidRDefault="00267AB0" w:rsidP="00AA653D">
            <w:pPr>
              <w:rPr>
                <w:rFonts w:ascii="Tahoma" w:hAnsi="Tahoma" w:cs="Tahoma"/>
                <w:sz w:val="20"/>
                <w:szCs w:val="20"/>
              </w:rPr>
            </w:pPr>
            <w:r w:rsidRPr="000E49F4">
              <w:rPr>
                <w:rFonts w:ascii="Tahoma" w:hAnsi="Tahoma" w:cs="Tahoma"/>
                <w:bCs/>
                <w:sz w:val="20"/>
                <w:szCs w:val="20"/>
              </w:rPr>
              <w:t>в пользу физиче</w:t>
            </w:r>
            <w:r>
              <w:rPr>
                <w:rFonts w:ascii="Tahoma" w:hAnsi="Tahoma" w:cs="Tahoma"/>
                <w:bCs/>
                <w:sz w:val="20"/>
                <w:szCs w:val="20"/>
              </w:rPr>
              <w:t>ского лица для получения суммы К</w:t>
            </w:r>
            <w:r w:rsidRPr="000E49F4">
              <w:rPr>
                <w:rFonts w:ascii="Tahoma" w:hAnsi="Tahoma" w:cs="Tahoma"/>
                <w:bCs/>
                <w:sz w:val="20"/>
                <w:szCs w:val="20"/>
              </w:rPr>
              <w:t>редита в населенных пунктах, где отсутствуют подразделения «Азиатско-Тихоокеанский Банк» (АО).</w:t>
            </w:r>
          </w:p>
        </w:tc>
        <w:tc>
          <w:tcPr>
            <w:tcW w:w="2218" w:type="dxa"/>
            <w:vMerge/>
            <w:tcBorders>
              <w:left w:val="single" w:sz="4" w:space="0" w:color="auto"/>
              <w:bottom w:val="single" w:sz="4" w:space="0" w:color="auto"/>
              <w:right w:val="single" w:sz="4" w:space="0" w:color="auto"/>
            </w:tcBorders>
            <w:shd w:val="clear" w:color="000000" w:fill="FFFFFF"/>
            <w:vAlign w:val="center"/>
          </w:tcPr>
          <w:p w14:paraId="3FA52E2A" w14:textId="77777777" w:rsidR="00267AB0" w:rsidRPr="00610AD5" w:rsidRDefault="00267AB0" w:rsidP="00AA653D">
            <w:pPr>
              <w:jc w:val="center"/>
              <w:rPr>
                <w:rFonts w:ascii="Tahoma" w:hAnsi="Tahoma" w:cs="Tahoma"/>
                <w:sz w:val="20"/>
                <w:szCs w:val="20"/>
              </w:rPr>
            </w:pPr>
          </w:p>
        </w:tc>
      </w:tr>
      <w:tr w:rsidR="00267AB0" w:rsidRPr="00610AD5" w14:paraId="0A9BAF92" w14:textId="77777777" w:rsidTr="00AA653D">
        <w:trPr>
          <w:trHeight w:val="143"/>
        </w:trPr>
        <w:tc>
          <w:tcPr>
            <w:tcW w:w="4355" w:type="dxa"/>
            <w:vMerge/>
            <w:tcBorders>
              <w:left w:val="single" w:sz="8" w:space="0" w:color="auto"/>
              <w:bottom w:val="single" w:sz="4" w:space="0" w:color="auto"/>
              <w:right w:val="single" w:sz="4" w:space="0" w:color="auto"/>
            </w:tcBorders>
            <w:shd w:val="clear" w:color="auto" w:fill="auto"/>
            <w:vAlign w:val="center"/>
          </w:tcPr>
          <w:p w14:paraId="074C72B2" w14:textId="77777777" w:rsidR="00267AB0" w:rsidRPr="00610AD5" w:rsidRDefault="00267AB0" w:rsidP="00AA653D">
            <w:pPr>
              <w:jc w:val="center"/>
              <w:rPr>
                <w:rFonts w:ascii="Tahoma" w:hAnsi="Tahoma" w:cs="Tahoma"/>
                <w:b/>
                <w:bCs/>
                <w:sz w:val="20"/>
                <w:szCs w:val="20"/>
              </w:rPr>
            </w:pPr>
          </w:p>
        </w:tc>
        <w:tc>
          <w:tcPr>
            <w:tcW w:w="11056" w:type="dxa"/>
            <w:gridSpan w:val="8"/>
            <w:tcBorders>
              <w:top w:val="single" w:sz="4" w:space="0" w:color="auto"/>
              <w:left w:val="single" w:sz="4" w:space="0" w:color="auto"/>
              <w:bottom w:val="single" w:sz="4" w:space="0" w:color="auto"/>
              <w:right w:val="single" w:sz="4" w:space="0" w:color="auto"/>
            </w:tcBorders>
            <w:shd w:val="clear" w:color="000000" w:fill="FFFFFF"/>
            <w:vAlign w:val="center"/>
          </w:tcPr>
          <w:p w14:paraId="1AD8CF76" w14:textId="77777777" w:rsidR="00267AB0" w:rsidRPr="000E49F4" w:rsidRDefault="00267AB0" w:rsidP="00AA653D">
            <w:pPr>
              <w:widowControl w:val="0"/>
              <w:tabs>
                <w:tab w:val="left" w:pos="426"/>
                <w:tab w:val="left" w:pos="851"/>
              </w:tabs>
              <w:jc w:val="both"/>
              <w:rPr>
                <w:rFonts w:ascii="Tahoma" w:hAnsi="Tahoma" w:cs="Tahoma"/>
                <w:sz w:val="20"/>
                <w:szCs w:val="20"/>
              </w:rPr>
            </w:pPr>
            <w:r w:rsidRPr="000E49F4">
              <w:rPr>
                <w:rFonts w:ascii="Tahoma" w:hAnsi="Tahoma" w:cs="Tahoma"/>
                <w:bCs/>
                <w:sz w:val="20"/>
                <w:szCs w:val="20"/>
              </w:rPr>
              <w:t>*</w:t>
            </w:r>
            <w:r>
              <w:rPr>
                <w:rFonts w:ascii="Tahoma" w:hAnsi="Tahoma" w:cs="Tahoma"/>
                <w:bCs/>
                <w:sz w:val="20"/>
                <w:szCs w:val="20"/>
              </w:rPr>
              <w:t>*</w:t>
            </w:r>
            <w:r w:rsidRPr="000E49F4">
              <w:rPr>
                <w:rFonts w:ascii="Tahoma" w:hAnsi="Tahoma" w:cs="Tahoma"/>
                <w:bCs/>
                <w:sz w:val="20"/>
                <w:szCs w:val="20"/>
              </w:rPr>
              <w:t xml:space="preserve"> в остальных случаях плата за перевод денежных средств взимается по </w:t>
            </w:r>
            <w:r>
              <w:rPr>
                <w:rFonts w:ascii="Tahoma" w:hAnsi="Tahoma" w:cs="Tahoma"/>
                <w:bCs/>
                <w:sz w:val="20"/>
                <w:szCs w:val="20"/>
              </w:rPr>
              <w:t>т</w:t>
            </w:r>
            <w:r w:rsidRPr="000E49F4">
              <w:rPr>
                <w:rFonts w:ascii="Tahoma" w:hAnsi="Tahoma" w:cs="Tahoma"/>
                <w:bCs/>
                <w:sz w:val="20"/>
                <w:szCs w:val="20"/>
              </w:rPr>
              <w:t>арифам, действующим в «Азиатско-Тихоокеанский Банк» (АО) на момент совершения операций.</w:t>
            </w:r>
          </w:p>
        </w:tc>
      </w:tr>
      <w:tr w:rsidR="00267AB0" w:rsidRPr="00610AD5" w14:paraId="51C18D49" w14:textId="77777777" w:rsidTr="00AA653D">
        <w:trPr>
          <w:trHeight w:val="345"/>
        </w:trPr>
        <w:tc>
          <w:tcPr>
            <w:tcW w:w="4355" w:type="dxa"/>
            <w:tcBorders>
              <w:top w:val="single" w:sz="4" w:space="0" w:color="auto"/>
              <w:left w:val="single" w:sz="8" w:space="0" w:color="auto"/>
              <w:bottom w:val="single" w:sz="4" w:space="0" w:color="auto"/>
              <w:right w:val="single" w:sz="4" w:space="0" w:color="auto"/>
            </w:tcBorders>
            <w:shd w:val="clear" w:color="auto" w:fill="auto"/>
            <w:vAlign w:val="center"/>
          </w:tcPr>
          <w:p w14:paraId="11AB3561" w14:textId="77777777" w:rsidR="00267AB0" w:rsidRPr="00284784" w:rsidRDefault="00267AB0" w:rsidP="00AA653D">
            <w:pPr>
              <w:widowControl w:val="0"/>
              <w:tabs>
                <w:tab w:val="left" w:pos="426"/>
                <w:tab w:val="left" w:pos="851"/>
              </w:tabs>
              <w:rPr>
                <w:rFonts w:ascii="Tahoma" w:hAnsi="Tahoma" w:cs="Tahoma"/>
                <w:b/>
                <w:color w:val="000000"/>
                <w:sz w:val="20"/>
                <w:szCs w:val="20"/>
              </w:rPr>
            </w:pPr>
            <w:r w:rsidRPr="00284784">
              <w:rPr>
                <w:rFonts w:ascii="Tahoma" w:hAnsi="Tahoma" w:cs="Tahoma"/>
                <w:b/>
                <w:color w:val="000000"/>
                <w:sz w:val="20"/>
                <w:szCs w:val="20"/>
              </w:rPr>
              <w:t>Курс иностранной валюты в случае, если валюта, в которой осуществляется перевод денежных средств Банком третьему лицу, указанному Заемщиком при предоставлении Кредита, отличается от валюты, в которой предоставлен Кредит</w:t>
            </w:r>
          </w:p>
        </w:tc>
        <w:tc>
          <w:tcPr>
            <w:tcW w:w="11056" w:type="dxa"/>
            <w:gridSpan w:val="8"/>
            <w:tcBorders>
              <w:top w:val="single" w:sz="4" w:space="0" w:color="auto"/>
              <w:left w:val="single" w:sz="4" w:space="0" w:color="auto"/>
              <w:bottom w:val="single" w:sz="4" w:space="0" w:color="auto"/>
              <w:right w:val="single" w:sz="4" w:space="0" w:color="auto"/>
            </w:tcBorders>
            <w:shd w:val="clear" w:color="000000" w:fill="FFFFFF"/>
            <w:vAlign w:val="center"/>
          </w:tcPr>
          <w:p w14:paraId="702B8CB2" w14:textId="77777777" w:rsidR="00267AB0" w:rsidRPr="000E49F4" w:rsidRDefault="00267AB0" w:rsidP="00AA653D">
            <w:pPr>
              <w:widowControl w:val="0"/>
              <w:tabs>
                <w:tab w:val="left" w:pos="426"/>
                <w:tab w:val="left" w:pos="851"/>
              </w:tabs>
              <w:rPr>
                <w:rFonts w:ascii="Tahoma" w:hAnsi="Tahoma" w:cs="Tahoma"/>
                <w:color w:val="000000"/>
                <w:sz w:val="20"/>
                <w:szCs w:val="20"/>
              </w:rPr>
            </w:pPr>
            <w:r w:rsidRPr="00A10CD0">
              <w:rPr>
                <w:rFonts w:ascii="Tahoma" w:hAnsi="Tahoma" w:cs="Tahoma"/>
                <w:color w:val="000000"/>
                <w:sz w:val="20"/>
                <w:szCs w:val="20"/>
              </w:rPr>
              <w:t xml:space="preserve">При переводе денежных средств Банком третьему лицу, указанному </w:t>
            </w:r>
            <w:r>
              <w:rPr>
                <w:rFonts w:ascii="Tahoma" w:hAnsi="Tahoma" w:cs="Tahoma"/>
                <w:color w:val="000000"/>
                <w:sz w:val="20"/>
                <w:szCs w:val="20"/>
              </w:rPr>
              <w:t>З</w:t>
            </w:r>
            <w:r w:rsidRPr="00A10CD0">
              <w:rPr>
                <w:rFonts w:ascii="Tahoma" w:hAnsi="Tahoma" w:cs="Tahoma"/>
                <w:color w:val="000000"/>
                <w:sz w:val="20"/>
                <w:szCs w:val="20"/>
              </w:rPr>
              <w:t xml:space="preserve">аемщиком, конвертация валюты </w:t>
            </w:r>
            <w:r>
              <w:rPr>
                <w:rFonts w:ascii="Tahoma" w:hAnsi="Tahoma" w:cs="Tahoma"/>
                <w:color w:val="000000"/>
                <w:sz w:val="20"/>
                <w:szCs w:val="20"/>
              </w:rPr>
              <w:t>К</w:t>
            </w:r>
            <w:r w:rsidRPr="00A10CD0">
              <w:rPr>
                <w:rFonts w:ascii="Tahoma" w:hAnsi="Tahoma" w:cs="Tahoma"/>
                <w:color w:val="000000"/>
                <w:sz w:val="20"/>
                <w:szCs w:val="20"/>
              </w:rPr>
              <w:t>редита в валюту перевода осуществляется по курсу, установленному Банком на день выполнения операции</w:t>
            </w:r>
            <w:r>
              <w:rPr>
                <w:rFonts w:ascii="Tahoma" w:hAnsi="Tahoma" w:cs="Tahoma"/>
                <w:color w:val="000000"/>
                <w:sz w:val="20"/>
                <w:szCs w:val="20"/>
              </w:rPr>
              <w:t>.</w:t>
            </w:r>
          </w:p>
        </w:tc>
      </w:tr>
      <w:tr w:rsidR="00267AB0" w:rsidRPr="00610AD5" w14:paraId="77FFA7AD" w14:textId="77777777" w:rsidTr="00AA653D">
        <w:trPr>
          <w:trHeight w:val="345"/>
        </w:trPr>
        <w:tc>
          <w:tcPr>
            <w:tcW w:w="4355" w:type="dxa"/>
            <w:tcBorders>
              <w:top w:val="single" w:sz="4" w:space="0" w:color="auto"/>
              <w:left w:val="single" w:sz="8" w:space="0" w:color="auto"/>
              <w:bottom w:val="single" w:sz="4" w:space="0" w:color="auto"/>
              <w:right w:val="single" w:sz="4" w:space="0" w:color="auto"/>
            </w:tcBorders>
            <w:shd w:val="clear" w:color="auto" w:fill="auto"/>
            <w:vAlign w:val="center"/>
          </w:tcPr>
          <w:p w14:paraId="095616D8" w14:textId="77777777" w:rsidR="00267AB0" w:rsidRPr="00284784" w:rsidRDefault="00267AB0" w:rsidP="00AA653D">
            <w:pPr>
              <w:widowControl w:val="0"/>
              <w:tabs>
                <w:tab w:val="left" w:pos="426"/>
                <w:tab w:val="left" w:pos="851"/>
              </w:tabs>
              <w:rPr>
                <w:rFonts w:ascii="Tahoma" w:hAnsi="Tahoma" w:cs="Tahoma"/>
                <w:b/>
                <w:color w:val="000000"/>
                <w:sz w:val="20"/>
                <w:szCs w:val="20"/>
              </w:rPr>
            </w:pPr>
            <w:r w:rsidRPr="00284784">
              <w:rPr>
                <w:rFonts w:ascii="Tahoma" w:hAnsi="Tahoma" w:cs="Tahoma"/>
                <w:b/>
                <w:color w:val="000000"/>
                <w:sz w:val="20"/>
                <w:szCs w:val="20"/>
              </w:rPr>
              <w:t>Информация о возможном увеличении суммы расходов За</w:t>
            </w:r>
            <w:r>
              <w:rPr>
                <w:rFonts w:ascii="Tahoma" w:hAnsi="Tahoma" w:cs="Tahoma"/>
                <w:b/>
                <w:color w:val="000000"/>
                <w:sz w:val="20"/>
                <w:szCs w:val="20"/>
              </w:rPr>
              <w:t>ё</w:t>
            </w:r>
            <w:r w:rsidRPr="00284784">
              <w:rPr>
                <w:rFonts w:ascii="Tahoma" w:hAnsi="Tahoma" w:cs="Tahoma"/>
                <w:b/>
                <w:color w:val="000000"/>
                <w:sz w:val="20"/>
                <w:szCs w:val="20"/>
              </w:rPr>
              <w:t>мщика по сравнению с ожидаемой суммой расходов в рублях, в том числе при применении переменной процентной ставки, а также информация о том, что изменение курса иностранной валюты в прошлом не свидетельствует об изменении ее курса в будущем, и информация о повышенных рисках Заемщика, получающего доходы в валюте, отличной от валюты Кредита</w:t>
            </w:r>
          </w:p>
        </w:tc>
        <w:tc>
          <w:tcPr>
            <w:tcW w:w="11056" w:type="dxa"/>
            <w:gridSpan w:val="8"/>
            <w:tcBorders>
              <w:top w:val="single" w:sz="4" w:space="0" w:color="auto"/>
              <w:left w:val="single" w:sz="4" w:space="0" w:color="auto"/>
              <w:bottom w:val="single" w:sz="4" w:space="0" w:color="auto"/>
              <w:right w:val="single" w:sz="4" w:space="0" w:color="auto"/>
            </w:tcBorders>
            <w:shd w:val="clear" w:color="000000" w:fill="FFFFFF"/>
            <w:vAlign w:val="center"/>
          </w:tcPr>
          <w:p w14:paraId="46B71078" w14:textId="77777777" w:rsidR="00267AB0" w:rsidRPr="000E49F4" w:rsidRDefault="00267AB0" w:rsidP="00AA653D">
            <w:pPr>
              <w:widowControl w:val="0"/>
              <w:tabs>
                <w:tab w:val="left" w:pos="426"/>
                <w:tab w:val="left" w:pos="851"/>
              </w:tabs>
              <w:rPr>
                <w:rFonts w:ascii="Tahoma" w:hAnsi="Tahoma" w:cs="Tahoma"/>
                <w:color w:val="000000"/>
                <w:sz w:val="20"/>
                <w:szCs w:val="20"/>
              </w:rPr>
            </w:pPr>
            <w:r w:rsidRPr="000E49F4">
              <w:rPr>
                <w:rFonts w:ascii="Tahoma" w:hAnsi="Tahoma" w:cs="Tahoma"/>
                <w:color w:val="000000"/>
                <w:sz w:val="20"/>
                <w:szCs w:val="20"/>
              </w:rPr>
              <w:t>Возможно увеличение суммы расходов Заемщика по сравнению с ожидаемой суммой расходов в рублях, в том числе при применении переменной процентной ставки. Изменение курса иностранной валюты в прошлом не свидетельствует об изменении ее курса в будущем. Имеются повышенные риски Заемщика, получающего доходы в валюте,</w:t>
            </w:r>
            <w:r>
              <w:rPr>
                <w:rFonts w:ascii="Tahoma" w:hAnsi="Tahoma" w:cs="Tahoma"/>
                <w:color w:val="000000"/>
                <w:sz w:val="20"/>
                <w:szCs w:val="20"/>
              </w:rPr>
              <w:t xml:space="preserve"> отличной от валюты К</w:t>
            </w:r>
            <w:r w:rsidRPr="000E49F4">
              <w:rPr>
                <w:rFonts w:ascii="Tahoma" w:hAnsi="Tahoma" w:cs="Tahoma"/>
                <w:color w:val="000000"/>
                <w:sz w:val="20"/>
                <w:szCs w:val="20"/>
              </w:rPr>
              <w:t>редита.</w:t>
            </w:r>
          </w:p>
        </w:tc>
      </w:tr>
      <w:tr w:rsidR="00267AB0" w:rsidRPr="00610AD5" w14:paraId="58D894DA" w14:textId="77777777" w:rsidTr="00AA653D">
        <w:trPr>
          <w:trHeight w:val="345"/>
        </w:trPr>
        <w:tc>
          <w:tcPr>
            <w:tcW w:w="4355" w:type="dxa"/>
            <w:tcBorders>
              <w:top w:val="single" w:sz="4" w:space="0" w:color="auto"/>
              <w:left w:val="single" w:sz="8" w:space="0" w:color="auto"/>
              <w:bottom w:val="single" w:sz="4" w:space="0" w:color="auto"/>
              <w:right w:val="single" w:sz="4" w:space="0" w:color="auto"/>
            </w:tcBorders>
            <w:shd w:val="clear" w:color="auto" w:fill="auto"/>
            <w:vAlign w:val="center"/>
          </w:tcPr>
          <w:p w14:paraId="25D0A11E" w14:textId="77777777" w:rsidR="00267AB0" w:rsidRPr="008A1C41" w:rsidRDefault="00267AB0" w:rsidP="00AA653D">
            <w:pPr>
              <w:widowControl w:val="0"/>
              <w:tabs>
                <w:tab w:val="left" w:pos="426"/>
                <w:tab w:val="left" w:pos="851"/>
              </w:tabs>
              <w:rPr>
                <w:rFonts w:ascii="Tahoma" w:hAnsi="Tahoma" w:cs="Tahoma"/>
                <w:b/>
                <w:color w:val="000000"/>
                <w:sz w:val="20"/>
                <w:szCs w:val="20"/>
              </w:rPr>
            </w:pPr>
            <w:r w:rsidRPr="008A1C41">
              <w:rPr>
                <w:rFonts w:ascii="Tahoma" w:hAnsi="Tahoma" w:cs="Tahoma"/>
                <w:b/>
                <w:color w:val="000000"/>
                <w:sz w:val="20"/>
                <w:szCs w:val="20"/>
              </w:rPr>
              <w:t xml:space="preserve">Формуляры или иные стандартные формы, в которых определены общие условия Договора «потребительский Кредит» </w:t>
            </w:r>
          </w:p>
        </w:tc>
        <w:tc>
          <w:tcPr>
            <w:tcW w:w="11056" w:type="dxa"/>
            <w:gridSpan w:val="8"/>
            <w:tcBorders>
              <w:top w:val="single" w:sz="4" w:space="0" w:color="auto"/>
              <w:left w:val="single" w:sz="4" w:space="0" w:color="auto"/>
              <w:bottom w:val="single" w:sz="4" w:space="0" w:color="auto"/>
              <w:right w:val="single" w:sz="4" w:space="0" w:color="auto"/>
            </w:tcBorders>
            <w:shd w:val="clear" w:color="000000" w:fill="FFFFFF"/>
            <w:vAlign w:val="center"/>
          </w:tcPr>
          <w:p w14:paraId="4FC1CCBF" w14:textId="77777777" w:rsidR="00267AB0" w:rsidRPr="008A1C41" w:rsidRDefault="00267AB0" w:rsidP="00AA653D">
            <w:pPr>
              <w:widowControl w:val="0"/>
              <w:tabs>
                <w:tab w:val="left" w:pos="426"/>
                <w:tab w:val="left" w:pos="851"/>
              </w:tabs>
              <w:rPr>
                <w:rFonts w:ascii="Tahoma" w:hAnsi="Tahoma" w:cs="Tahoma"/>
                <w:sz w:val="20"/>
                <w:szCs w:val="20"/>
              </w:rPr>
            </w:pPr>
            <w:r w:rsidRPr="008A1C41">
              <w:rPr>
                <w:rFonts w:ascii="Tahoma" w:hAnsi="Tahoma" w:cs="Tahoma"/>
                <w:sz w:val="20"/>
                <w:szCs w:val="20"/>
              </w:rPr>
              <w:t>Общие условия Договора «потребительский Кредит»  закреплены в «Общих условиях потребительского кредитования в «Азиатско-Тихоокеанский Банк» (АО), являющихся Приложением 3 к Универсальному договору банковского обслуживания в «Азиатско-Тихоокеанский Банк» (АО), размещённых в местах приема заявлений на предоставление потребительского Кредита (в отделениях Банка и иных местах приема заявлений на предоставление потребительского Кредита), на сайте Банка в сети Интернет по адресу www.atb.su и могут быть предоставлены Заемщику по его требованию на бумажном носителе.</w:t>
            </w:r>
          </w:p>
        </w:tc>
      </w:tr>
      <w:tr w:rsidR="00267AB0" w:rsidRPr="00610AD5" w14:paraId="4775E903" w14:textId="77777777" w:rsidTr="00AA653D">
        <w:trPr>
          <w:trHeight w:val="345"/>
        </w:trPr>
        <w:tc>
          <w:tcPr>
            <w:tcW w:w="4355" w:type="dxa"/>
            <w:tcBorders>
              <w:top w:val="single" w:sz="4" w:space="0" w:color="auto"/>
              <w:left w:val="single" w:sz="8" w:space="0" w:color="auto"/>
              <w:bottom w:val="single" w:sz="4" w:space="0" w:color="auto"/>
              <w:right w:val="single" w:sz="4" w:space="0" w:color="auto"/>
            </w:tcBorders>
            <w:shd w:val="clear" w:color="auto" w:fill="auto"/>
            <w:vAlign w:val="center"/>
          </w:tcPr>
          <w:p w14:paraId="07D34464" w14:textId="77777777" w:rsidR="00267AB0" w:rsidRPr="008A1C41" w:rsidRDefault="00267AB0" w:rsidP="00AA653D">
            <w:pPr>
              <w:widowControl w:val="0"/>
              <w:tabs>
                <w:tab w:val="left" w:pos="426"/>
                <w:tab w:val="left" w:pos="851"/>
              </w:tabs>
              <w:rPr>
                <w:rFonts w:ascii="Tahoma" w:hAnsi="Tahoma" w:cs="Tahoma"/>
                <w:b/>
                <w:color w:val="000000"/>
                <w:sz w:val="20"/>
                <w:szCs w:val="20"/>
              </w:rPr>
            </w:pPr>
            <w:r w:rsidRPr="008A1C41">
              <w:rPr>
                <w:rFonts w:ascii="Tahoma" w:hAnsi="Tahoma" w:cs="Tahoma"/>
                <w:b/>
                <w:color w:val="000000"/>
                <w:sz w:val="20"/>
                <w:szCs w:val="20"/>
              </w:rPr>
              <w:lastRenderedPageBreak/>
              <w:t>Примечания:</w:t>
            </w:r>
          </w:p>
        </w:tc>
        <w:tc>
          <w:tcPr>
            <w:tcW w:w="11056" w:type="dxa"/>
            <w:gridSpan w:val="8"/>
            <w:tcBorders>
              <w:top w:val="single" w:sz="4" w:space="0" w:color="auto"/>
              <w:left w:val="single" w:sz="4" w:space="0" w:color="auto"/>
              <w:bottom w:val="single" w:sz="4" w:space="0" w:color="auto"/>
              <w:right w:val="single" w:sz="4" w:space="0" w:color="auto"/>
            </w:tcBorders>
            <w:shd w:val="clear" w:color="000000" w:fill="FFFFFF"/>
            <w:vAlign w:val="center"/>
          </w:tcPr>
          <w:p w14:paraId="4EF377F6" w14:textId="77777777" w:rsidR="00267AB0" w:rsidRPr="00066D7B" w:rsidRDefault="00267AB0" w:rsidP="00AA653D">
            <w:pPr>
              <w:widowControl w:val="0"/>
              <w:tabs>
                <w:tab w:val="left" w:pos="426"/>
                <w:tab w:val="left" w:pos="851"/>
              </w:tabs>
              <w:jc w:val="both"/>
              <w:rPr>
                <w:rFonts w:ascii="Tahoma" w:hAnsi="Tahoma" w:cs="Tahoma"/>
                <w:sz w:val="20"/>
                <w:szCs w:val="20"/>
              </w:rPr>
            </w:pPr>
            <w:r w:rsidRPr="00066D7B">
              <w:rPr>
                <w:rFonts w:ascii="Tahoma" w:hAnsi="Tahoma" w:cs="Tahoma"/>
                <w:sz w:val="20"/>
                <w:szCs w:val="20"/>
                <w:vertAlign w:val="superscript"/>
              </w:rPr>
              <w:t xml:space="preserve">1 </w:t>
            </w:r>
            <w:r w:rsidRPr="00066D7B">
              <w:rPr>
                <w:rFonts w:ascii="Tahoma" w:hAnsi="Tahoma" w:cs="Tahoma"/>
                <w:sz w:val="20"/>
                <w:szCs w:val="20"/>
              </w:rPr>
              <w:t>О ПСК в денежном выражении Заемщик информируется любым из способов: посредством запроса через сайт Банка, в подразделениях Банка, по бесплатному телефону Единой информационной службы Банка 8-800-775-88-88, с помощью электронной почты.</w:t>
            </w:r>
          </w:p>
          <w:p w14:paraId="6D4DE4B7" w14:textId="77777777" w:rsidR="00267AB0" w:rsidRPr="00066D7B" w:rsidRDefault="00267AB0" w:rsidP="00AA653D">
            <w:pPr>
              <w:widowControl w:val="0"/>
              <w:tabs>
                <w:tab w:val="left" w:pos="426"/>
                <w:tab w:val="left" w:pos="851"/>
              </w:tabs>
              <w:jc w:val="both"/>
              <w:rPr>
                <w:rFonts w:ascii="Tahoma" w:eastAsia="Calibri" w:hAnsi="Tahoma" w:cs="Tahoma"/>
                <w:sz w:val="20"/>
                <w:szCs w:val="20"/>
              </w:rPr>
            </w:pPr>
            <w:r w:rsidRPr="00066D7B">
              <w:rPr>
                <w:rFonts w:ascii="Tahoma" w:hAnsi="Tahoma" w:cs="Tahoma"/>
                <w:sz w:val="20"/>
                <w:szCs w:val="20"/>
                <w:vertAlign w:val="superscript"/>
              </w:rPr>
              <w:t xml:space="preserve">2 </w:t>
            </w:r>
            <w:r w:rsidRPr="00066D7B">
              <w:rPr>
                <w:rFonts w:ascii="Tahoma" w:eastAsia="Calibri" w:hAnsi="Tahoma" w:cs="Tahoma"/>
                <w:sz w:val="20"/>
                <w:szCs w:val="20"/>
              </w:rPr>
              <w:t>При определении максимальной суммы Кредита учитывается совокупная задолженность Заемщика по Кредиту по данному тарифному плану. Максимальная сумма Кредита по данному тарифному плану определяется как разница между максимальной суммой Кредита по настоящему тарифному плану и величиной совокупной задолженности по данному тарифному плану на момент обращения Заемщика.</w:t>
            </w:r>
          </w:p>
          <w:p w14:paraId="604C4434" w14:textId="77777777" w:rsidR="00267AB0" w:rsidRPr="005B68F5" w:rsidRDefault="00267AB0" w:rsidP="00AA653D">
            <w:pPr>
              <w:widowControl w:val="0"/>
              <w:tabs>
                <w:tab w:val="left" w:pos="426"/>
                <w:tab w:val="left" w:pos="851"/>
              </w:tabs>
              <w:jc w:val="both"/>
              <w:rPr>
                <w:rFonts w:ascii="Tahoma" w:eastAsia="Calibri" w:hAnsi="Tahoma" w:cs="Tahoma"/>
                <w:sz w:val="20"/>
                <w:szCs w:val="20"/>
              </w:rPr>
            </w:pPr>
            <w:r w:rsidRPr="003C4808">
              <w:rPr>
                <w:rFonts w:ascii="Tahoma" w:eastAsia="Calibri" w:hAnsi="Tahoma" w:cs="Tahoma"/>
                <w:sz w:val="20"/>
                <w:szCs w:val="20"/>
              </w:rPr>
              <w:t xml:space="preserve">Совокупный лимит на одного заемщика (группу связанных лиц) по кредитам, реализуемым в рамках линейки Микро-лайт (ТП </w:t>
            </w:r>
            <w:r>
              <w:rPr>
                <w:rFonts w:ascii="Tahoma" w:eastAsia="Calibri" w:hAnsi="Tahoma" w:cs="Tahoma"/>
                <w:sz w:val="20"/>
                <w:szCs w:val="20"/>
              </w:rPr>
              <w:t>«</w:t>
            </w:r>
            <w:r w:rsidRPr="003C4808">
              <w:rPr>
                <w:rFonts w:ascii="Tahoma" w:eastAsia="Calibri" w:hAnsi="Tahoma" w:cs="Tahoma"/>
                <w:sz w:val="20"/>
                <w:szCs w:val="20"/>
              </w:rPr>
              <w:t>Микро-лай</w:t>
            </w:r>
            <w:r>
              <w:rPr>
                <w:rFonts w:ascii="Tahoma" w:eastAsia="Calibri" w:hAnsi="Tahoma" w:cs="Tahoma"/>
                <w:sz w:val="20"/>
                <w:szCs w:val="20"/>
              </w:rPr>
              <w:t>»</w:t>
            </w:r>
            <w:r w:rsidRPr="003C4808">
              <w:rPr>
                <w:rFonts w:ascii="Tahoma" w:eastAsia="Calibri" w:hAnsi="Tahoma" w:cs="Tahoma"/>
                <w:sz w:val="20"/>
                <w:szCs w:val="20"/>
              </w:rPr>
              <w:t xml:space="preserve">т, ТП </w:t>
            </w:r>
            <w:r>
              <w:rPr>
                <w:rFonts w:ascii="Tahoma" w:eastAsia="Calibri" w:hAnsi="Tahoma" w:cs="Tahoma"/>
                <w:sz w:val="20"/>
                <w:szCs w:val="20"/>
              </w:rPr>
              <w:t>«</w:t>
            </w:r>
            <w:r w:rsidRPr="003C4808">
              <w:rPr>
                <w:rFonts w:ascii="Tahoma" w:eastAsia="Calibri" w:hAnsi="Tahoma" w:cs="Tahoma"/>
                <w:sz w:val="20"/>
                <w:szCs w:val="20"/>
              </w:rPr>
              <w:t>Бизнес Ипотека</w:t>
            </w:r>
            <w:r>
              <w:rPr>
                <w:rFonts w:ascii="Tahoma" w:eastAsia="Calibri" w:hAnsi="Tahoma" w:cs="Tahoma"/>
                <w:sz w:val="20"/>
                <w:szCs w:val="20"/>
              </w:rPr>
              <w:t>»</w:t>
            </w:r>
            <w:r w:rsidRPr="003C4808">
              <w:rPr>
                <w:rFonts w:ascii="Tahoma" w:eastAsia="Calibri" w:hAnsi="Tahoma" w:cs="Tahoma"/>
                <w:sz w:val="20"/>
                <w:szCs w:val="20"/>
              </w:rPr>
              <w:t xml:space="preserve">, </w:t>
            </w:r>
            <w:r>
              <w:rPr>
                <w:rFonts w:ascii="Tahoma" w:eastAsia="Calibri" w:hAnsi="Tahoma" w:cs="Tahoma"/>
                <w:sz w:val="20"/>
                <w:szCs w:val="20"/>
              </w:rPr>
              <w:t>«</w:t>
            </w:r>
            <w:r w:rsidRPr="003C4808">
              <w:rPr>
                <w:rFonts w:ascii="Tahoma" w:eastAsia="Calibri" w:hAnsi="Tahoma" w:cs="Tahoma"/>
                <w:sz w:val="20"/>
                <w:szCs w:val="20"/>
              </w:rPr>
              <w:t>Микро-лайт</w:t>
            </w:r>
            <w:r>
              <w:rPr>
                <w:rFonts w:ascii="Tahoma" w:eastAsia="Calibri" w:hAnsi="Tahoma" w:cs="Tahoma"/>
                <w:sz w:val="20"/>
                <w:szCs w:val="20"/>
              </w:rPr>
              <w:t>»</w:t>
            </w:r>
            <w:r w:rsidRPr="003C4808">
              <w:rPr>
                <w:rFonts w:ascii="Tahoma" w:eastAsia="Calibri" w:hAnsi="Tahoma" w:cs="Tahoma"/>
                <w:sz w:val="20"/>
                <w:szCs w:val="20"/>
              </w:rPr>
              <w:t xml:space="preserve"> по схеме «Экспресс») не может превышать 20 млн. рублей.</w:t>
            </w:r>
          </w:p>
          <w:p w14:paraId="68E16551" w14:textId="77777777" w:rsidR="00267AB0" w:rsidRPr="005B68F5" w:rsidRDefault="00267AB0" w:rsidP="00AA653D">
            <w:pPr>
              <w:jc w:val="both"/>
              <w:rPr>
                <w:rFonts w:ascii="Tahoma" w:eastAsia="Calibri" w:hAnsi="Tahoma" w:cs="Tahoma"/>
                <w:sz w:val="20"/>
                <w:szCs w:val="20"/>
                <w:vertAlign w:val="superscript"/>
              </w:rPr>
            </w:pPr>
            <w:r w:rsidRPr="005B68F5">
              <w:rPr>
                <w:rFonts w:ascii="Tahoma" w:eastAsia="Calibri" w:hAnsi="Tahoma" w:cs="Tahoma"/>
                <w:sz w:val="20"/>
                <w:szCs w:val="20"/>
                <w:vertAlign w:val="superscript"/>
              </w:rPr>
              <w:t xml:space="preserve">3 </w:t>
            </w:r>
            <w:r w:rsidRPr="005B68F5">
              <w:rPr>
                <w:rFonts w:ascii="Tahoma" w:eastAsia="Calibri" w:hAnsi="Tahoma" w:cs="Tahoma"/>
                <w:sz w:val="20"/>
                <w:szCs w:val="20"/>
              </w:rPr>
              <w:t>Сумма Кредита может быть увеличена при соблюдении следующих условий:</w:t>
            </w:r>
          </w:p>
          <w:p w14:paraId="29F8B9E1" w14:textId="77777777" w:rsidR="00267AB0" w:rsidRPr="005B68F5" w:rsidRDefault="00267AB0" w:rsidP="00EB4F4C">
            <w:pPr>
              <w:pStyle w:val="affe"/>
              <w:numPr>
                <w:ilvl w:val="0"/>
                <w:numId w:val="62"/>
              </w:numPr>
              <w:tabs>
                <w:tab w:val="left" w:pos="142"/>
                <w:tab w:val="left" w:pos="426"/>
              </w:tabs>
              <w:autoSpaceDN w:val="0"/>
              <w:ind w:left="0" w:firstLine="0"/>
              <w:contextualSpacing/>
              <w:jc w:val="both"/>
              <w:rPr>
                <w:rFonts w:ascii="Tahoma" w:hAnsi="Tahoma" w:cs="Tahoma"/>
                <w:sz w:val="20"/>
                <w:szCs w:val="20"/>
              </w:rPr>
            </w:pPr>
            <w:r w:rsidRPr="005B68F5">
              <w:rPr>
                <w:rFonts w:ascii="Tahoma" w:hAnsi="Tahoma" w:cs="Tahoma"/>
                <w:sz w:val="20"/>
                <w:szCs w:val="20"/>
              </w:rPr>
              <w:t xml:space="preserve">Совокупная задолженность Заемщика по всем Кредитам «Микро-лайт» с учетом выдаваемого не превышает 2 млн. руб. </w:t>
            </w:r>
          </w:p>
          <w:p w14:paraId="45FFC454" w14:textId="77777777" w:rsidR="00267AB0" w:rsidRPr="007747EC" w:rsidRDefault="00267AB0" w:rsidP="00EB4F4C">
            <w:pPr>
              <w:pStyle w:val="affe"/>
              <w:numPr>
                <w:ilvl w:val="0"/>
                <w:numId w:val="62"/>
              </w:numPr>
              <w:tabs>
                <w:tab w:val="left" w:pos="142"/>
                <w:tab w:val="left" w:pos="426"/>
              </w:tabs>
              <w:autoSpaceDN w:val="0"/>
              <w:ind w:left="0" w:firstLine="0"/>
              <w:contextualSpacing/>
              <w:jc w:val="both"/>
            </w:pPr>
            <w:r w:rsidRPr="007747EC">
              <w:rPr>
                <w:rFonts w:ascii="Tahoma" w:hAnsi="Tahoma" w:cs="Tahoma"/>
                <w:sz w:val="20"/>
                <w:szCs w:val="20"/>
              </w:rPr>
              <w:t xml:space="preserve">Необеспеченная залогом задолженность Заемщика по всем Кредитам «Микро-лайт» с учетом выдаваемого не превышает 1,5 млн. руб. </w:t>
            </w:r>
          </w:p>
          <w:p w14:paraId="001BB152" w14:textId="77777777" w:rsidR="00267AB0" w:rsidRPr="005B68F5" w:rsidRDefault="00267AB0" w:rsidP="00AA653D">
            <w:pPr>
              <w:jc w:val="both"/>
              <w:rPr>
                <w:rFonts w:ascii="Tahoma" w:eastAsia="Calibri" w:hAnsi="Tahoma" w:cs="Tahoma"/>
                <w:sz w:val="20"/>
                <w:szCs w:val="20"/>
                <w:vertAlign w:val="superscript"/>
              </w:rPr>
            </w:pPr>
            <w:r w:rsidRPr="005B68F5">
              <w:rPr>
                <w:rFonts w:ascii="Tahoma" w:hAnsi="Tahoma" w:cs="Tahoma"/>
                <w:sz w:val="20"/>
                <w:szCs w:val="20"/>
                <w:vertAlign w:val="superscript"/>
              </w:rPr>
              <w:t>4</w:t>
            </w:r>
            <w:r w:rsidRPr="005B68F5">
              <w:rPr>
                <w:sz w:val="20"/>
                <w:szCs w:val="20"/>
                <w:vertAlign w:val="superscript"/>
              </w:rPr>
              <w:t xml:space="preserve"> </w:t>
            </w:r>
            <w:r w:rsidRPr="005B68F5">
              <w:rPr>
                <w:rFonts w:ascii="Tahoma" w:eastAsia="Calibri" w:hAnsi="Tahoma" w:cs="Tahoma"/>
                <w:sz w:val="20"/>
                <w:szCs w:val="20"/>
              </w:rPr>
              <w:t>Сумма Кредита может быть увеличена при соблюдении следующих условий:</w:t>
            </w:r>
          </w:p>
          <w:p w14:paraId="416E525B" w14:textId="77777777" w:rsidR="00267AB0" w:rsidRPr="005B68F5" w:rsidRDefault="00267AB0" w:rsidP="00EB4F4C">
            <w:pPr>
              <w:pStyle w:val="affe"/>
              <w:numPr>
                <w:ilvl w:val="0"/>
                <w:numId w:val="62"/>
              </w:numPr>
              <w:tabs>
                <w:tab w:val="left" w:pos="142"/>
                <w:tab w:val="left" w:pos="426"/>
              </w:tabs>
              <w:autoSpaceDN w:val="0"/>
              <w:ind w:left="0" w:firstLine="0"/>
              <w:contextualSpacing/>
              <w:jc w:val="both"/>
              <w:rPr>
                <w:rFonts w:ascii="Tahoma" w:hAnsi="Tahoma" w:cs="Tahoma"/>
                <w:sz w:val="20"/>
                <w:szCs w:val="20"/>
              </w:rPr>
            </w:pPr>
            <w:r w:rsidRPr="005B68F5">
              <w:rPr>
                <w:rFonts w:ascii="Tahoma" w:hAnsi="Tahoma" w:cs="Tahoma"/>
                <w:sz w:val="20"/>
                <w:szCs w:val="20"/>
              </w:rPr>
              <w:t xml:space="preserve">Совокупная задолженность Заемщика по всем Кредитам «Микро-лайт» с учетом выдаваемого не превышает 5 млн. руб. </w:t>
            </w:r>
          </w:p>
          <w:p w14:paraId="405A5669" w14:textId="77777777" w:rsidR="00267AB0" w:rsidRPr="005B68F5" w:rsidRDefault="00267AB0" w:rsidP="00EB4F4C">
            <w:pPr>
              <w:pStyle w:val="affe"/>
              <w:numPr>
                <w:ilvl w:val="0"/>
                <w:numId w:val="62"/>
              </w:numPr>
              <w:tabs>
                <w:tab w:val="left" w:pos="142"/>
                <w:tab w:val="left" w:pos="426"/>
              </w:tabs>
              <w:autoSpaceDN w:val="0"/>
              <w:ind w:left="0" w:firstLine="0"/>
              <w:contextualSpacing/>
              <w:jc w:val="both"/>
              <w:rPr>
                <w:rFonts w:ascii="Tahoma" w:hAnsi="Tahoma" w:cs="Tahoma"/>
                <w:sz w:val="20"/>
                <w:szCs w:val="20"/>
              </w:rPr>
            </w:pPr>
            <w:r w:rsidRPr="005B68F5">
              <w:rPr>
                <w:rFonts w:ascii="Tahoma" w:hAnsi="Tahoma" w:cs="Tahoma"/>
                <w:sz w:val="20"/>
                <w:szCs w:val="20"/>
              </w:rPr>
              <w:t>Необеспеченная залогом задолженность Заемщика по всем Кредитам «Микро-лайт» с учетом выдаваемого не превышает 3 млн. руб.</w:t>
            </w:r>
          </w:p>
          <w:p w14:paraId="64B1CAD7" w14:textId="77777777" w:rsidR="00267AB0" w:rsidRDefault="00267AB0" w:rsidP="00AA653D">
            <w:pPr>
              <w:pStyle w:val="affe"/>
              <w:tabs>
                <w:tab w:val="left" w:pos="142"/>
                <w:tab w:val="left" w:pos="426"/>
              </w:tabs>
              <w:autoSpaceDN w:val="0"/>
              <w:ind w:left="0"/>
              <w:jc w:val="both"/>
              <w:rPr>
                <w:rFonts w:ascii="Tahoma" w:hAnsi="Tahoma" w:cs="Tahoma"/>
                <w:snapToGrid w:val="0"/>
                <w:sz w:val="20"/>
                <w:szCs w:val="20"/>
              </w:rPr>
            </w:pPr>
            <w:r w:rsidRPr="005B68F5">
              <w:rPr>
                <w:rFonts w:ascii="Tahoma" w:hAnsi="Tahoma" w:cs="Tahoma"/>
                <w:sz w:val="20"/>
                <w:szCs w:val="20"/>
                <w:vertAlign w:val="superscript"/>
              </w:rPr>
              <w:t xml:space="preserve">5 </w:t>
            </w:r>
            <w:r w:rsidRPr="005B68F5">
              <w:rPr>
                <w:rFonts w:ascii="Tahoma" w:hAnsi="Tahoma" w:cs="Tahoma"/>
                <w:snapToGrid w:val="0"/>
                <w:sz w:val="20"/>
                <w:szCs w:val="20"/>
              </w:rPr>
              <w:t>Для целей применения скидки к базовой процентной ставке, Банком определяется залоговая стоимость имущества. Под залоговой стоимостью имущества понимается стоимость, определенная Банком самостоятельно и/или с учетом Отчета оценщика/оценочной организации. Исходя из определенной Банком залоговой стоимости, формируется мнение об обеспеченности кредита.</w:t>
            </w:r>
          </w:p>
          <w:p w14:paraId="13BF8C00" w14:textId="77777777" w:rsidR="00267AB0" w:rsidRPr="005B68F5" w:rsidRDefault="00267AB0" w:rsidP="00AA653D">
            <w:pPr>
              <w:pStyle w:val="affe"/>
              <w:tabs>
                <w:tab w:val="left" w:pos="142"/>
                <w:tab w:val="left" w:pos="426"/>
              </w:tabs>
              <w:autoSpaceDN w:val="0"/>
              <w:ind w:left="0"/>
              <w:jc w:val="both"/>
              <w:rPr>
                <w:rFonts w:ascii="Tahoma" w:hAnsi="Tahoma" w:cs="Tahoma"/>
                <w:snapToGrid w:val="0"/>
                <w:sz w:val="20"/>
                <w:szCs w:val="20"/>
              </w:rPr>
            </w:pPr>
            <w:r w:rsidRPr="00066D7B">
              <w:rPr>
                <w:rFonts w:ascii="Tahoma" w:hAnsi="Tahoma" w:cs="Tahoma"/>
                <w:snapToGrid w:val="0"/>
                <w:sz w:val="20"/>
                <w:szCs w:val="20"/>
                <w:vertAlign w:val="superscript"/>
              </w:rPr>
              <w:t>6</w:t>
            </w:r>
            <w:r>
              <w:rPr>
                <w:rFonts w:ascii="Tahoma" w:hAnsi="Tahoma" w:cs="Tahoma"/>
                <w:snapToGrid w:val="0"/>
                <w:sz w:val="20"/>
                <w:szCs w:val="20"/>
              </w:rPr>
              <w:t xml:space="preserve"> </w:t>
            </w:r>
            <w:r w:rsidRPr="005B68F5">
              <w:rPr>
                <w:rFonts w:ascii="Tahoma" w:hAnsi="Tahoma" w:cs="Tahoma"/>
                <w:snapToGrid w:val="0"/>
                <w:sz w:val="20"/>
                <w:szCs w:val="20"/>
              </w:rPr>
              <w:t>Предусматривают использование одного из следующих цифровых сервисов (при наличии в условиях кредитования возможности применения данных сервисов):</w:t>
            </w:r>
          </w:p>
          <w:p w14:paraId="366A9313" w14:textId="77777777" w:rsidR="00267AB0" w:rsidRPr="005B68F5" w:rsidRDefault="00267AB0" w:rsidP="00AA653D">
            <w:pPr>
              <w:pStyle w:val="affe"/>
              <w:tabs>
                <w:tab w:val="left" w:pos="142"/>
                <w:tab w:val="left" w:pos="426"/>
              </w:tabs>
              <w:autoSpaceDN w:val="0"/>
              <w:ind w:left="0"/>
              <w:jc w:val="both"/>
              <w:rPr>
                <w:rFonts w:ascii="Tahoma" w:hAnsi="Tahoma" w:cs="Tahoma"/>
                <w:snapToGrid w:val="0"/>
                <w:sz w:val="20"/>
                <w:szCs w:val="20"/>
              </w:rPr>
            </w:pPr>
            <w:r w:rsidRPr="005B68F5">
              <w:rPr>
                <w:rFonts w:ascii="Tahoma" w:hAnsi="Tahoma" w:cs="Tahoma"/>
                <w:snapToGrid w:val="0"/>
                <w:sz w:val="20"/>
                <w:szCs w:val="20"/>
              </w:rPr>
              <w:t>- «Мобильный оценщик»;</w:t>
            </w:r>
          </w:p>
          <w:p w14:paraId="319906C9" w14:textId="77777777" w:rsidR="00267AB0" w:rsidRPr="005B68F5" w:rsidRDefault="00267AB0" w:rsidP="00AA653D">
            <w:pPr>
              <w:pStyle w:val="affe"/>
              <w:tabs>
                <w:tab w:val="left" w:pos="142"/>
                <w:tab w:val="left" w:pos="426"/>
              </w:tabs>
              <w:autoSpaceDN w:val="0"/>
              <w:ind w:left="0"/>
              <w:jc w:val="both"/>
              <w:rPr>
                <w:rFonts w:ascii="Tahoma" w:hAnsi="Tahoma" w:cs="Tahoma"/>
                <w:snapToGrid w:val="0"/>
                <w:sz w:val="20"/>
                <w:szCs w:val="20"/>
              </w:rPr>
            </w:pPr>
            <w:r w:rsidRPr="005B68F5">
              <w:rPr>
                <w:rFonts w:ascii="Tahoma" w:hAnsi="Tahoma" w:cs="Tahoma"/>
                <w:snapToGrid w:val="0"/>
                <w:sz w:val="20"/>
                <w:szCs w:val="20"/>
              </w:rPr>
              <w:t>- ПО «СБИС» - система электронного документооборота «СБИС»;</w:t>
            </w:r>
          </w:p>
          <w:p w14:paraId="56A6206A" w14:textId="77777777" w:rsidR="00267AB0" w:rsidRPr="005B68F5" w:rsidRDefault="00267AB0" w:rsidP="00AA653D">
            <w:pPr>
              <w:pStyle w:val="affe"/>
              <w:tabs>
                <w:tab w:val="left" w:pos="142"/>
                <w:tab w:val="left" w:pos="426"/>
              </w:tabs>
              <w:autoSpaceDN w:val="0"/>
              <w:ind w:left="0"/>
              <w:jc w:val="both"/>
              <w:rPr>
                <w:rFonts w:ascii="Tahoma" w:hAnsi="Tahoma" w:cs="Tahoma"/>
                <w:snapToGrid w:val="0"/>
                <w:sz w:val="20"/>
                <w:szCs w:val="20"/>
              </w:rPr>
            </w:pPr>
            <w:r w:rsidRPr="005B68F5">
              <w:rPr>
                <w:rFonts w:ascii="Tahoma" w:hAnsi="Tahoma" w:cs="Tahoma"/>
                <w:snapToGrid w:val="0"/>
                <w:sz w:val="20"/>
                <w:szCs w:val="20"/>
              </w:rPr>
              <w:t>- ПО «SmartDeal» - веб-сервис для совершения регистрационных действий в Росреестре.</w:t>
            </w:r>
          </w:p>
          <w:p w14:paraId="3E3662B7" w14:textId="77777777" w:rsidR="00267AB0" w:rsidRPr="005B68F5" w:rsidRDefault="00267AB0" w:rsidP="00AA653D">
            <w:pPr>
              <w:pStyle w:val="affe"/>
              <w:tabs>
                <w:tab w:val="left" w:pos="142"/>
                <w:tab w:val="left" w:pos="426"/>
              </w:tabs>
              <w:autoSpaceDN w:val="0"/>
              <w:ind w:left="0"/>
              <w:jc w:val="both"/>
              <w:rPr>
                <w:rFonts w:ascii="Tahoma" w:hAnsi="Tahoma" w:cs="Tahoma"/>
                <w:sz w:val="20"/>
                <w:szCs w:val="20"/>
                <w:vertAlign w:val="superscript"/>
              </w:rPr>
            </w:pPr>
            <w:r w:rsidRPr="005B68F5">
              <w:rPr>
                <w:rFonts w:ascii="Tahoma" w:hAnsi="Tahoma" w:cs="Tahoma"/>
                <w:snapToGrid w:val="0"/>
                <w:sz w:val="20"/>
                <w:szCs w:val="20"/>
              </w:rPr>
              <w:t xml:space="preserve">Решением </w:t>
            </w:r>
            <w:r w:rsidRPr="008A1C41">
              <w:rPr>
                <w:rFonts w:ascii="Tahoma" w:hAnsi="Tahoma" w:cs="Tahoma"/>
                <w:sz w:val="20"/>
                <w:szCs w:val="20"/>
              </w:rPr>
              <w:t>уполномоченного органа принятия решений Банка</w:t>
            </w:r>
            <w:r w:rsidRPr="005B68F5">
              <w:rPr>
                <w:rFonts w:ascii="Tahoma" w:hAnsi="Tahoma" w:cs="Tahoma"/>
                <w:snapToGrid w:val="0"/>
                <w:sz w:val="20"/>
                <w:szCs w:val="20"/>
              </w:rPr>
              <w:t xml:space="preserve"> возможно снизить базовую процентную ставку при условии аргументированного обоснования технической невозможности предоставления Клиенту услуг с использованием данных сервисов.</w:t>
            </w:r>
          </w:p>
        </w:tc>
      </w:tr>
    </w:tbl>
    <w:p w14:paraId="0A343D8F" w14:textId="77777777" w:rsidR="003678D8" w:rsidRDefault="003678D8" w:rsidP="003678D8">
      <w:pPr>
        <w:tabs>
          <w:tab w:val="left" w:pos="851"/>
        </w:tabs>
        <w:ind w:left="426"/>
        <w:jc w:val="both"/>
        <w:rPr>
          <w:rFonts w:ascii="Tahoma" w:hAnsi="Tahoma" w:cs="Tahoma"/>
          <w:sz w:val="20"/>
          <w:szCs w:val="20"/>
        </w:rPr>
      </w:pPr>
    </w:p>
    <w:p w14:paraId="1D7927E4" w14:textId="77777777" w:rsidR="00470B5F" w:rsidRPr="002166D3" w:rsidRDefault="00470B5F" w:rsidP="00470B5F">
      <w:pPr>
        <w:tabs>
          <w:tab w:val="left" w:pos="851"/>
        </w:tabs>
        <w:ind w:left="426"/>
        <w:jc w:val="both"/>
        <w:rPr>
          <w:rFonts w:ascii="Tahoma" w:hAnsi="Tahoma" w:cs="Tahoma"/>
        </w:rPr>
      </w:pPr>
    </w:p>
    <w:p w14:paraId="4BFC20AE" w14:textId="77777777" w:rsidR="00470B5F" w:rsidRPr="00CE5927" w:rsidRDefault="00470B5F" w:rsidP="000B3718">
      <w:pPr>
        <w:pStyle w:val="a5"/>
      </w:pPr>
      <w:r w:rsidRPr="00CE5927">
        <w:t>2.1.2. Тарифный план «Микро-лайт. Доверие»</w:t>
      </w:r>
    </w:p>
    <w:p w14:paraId="227E9EA9" w14:textId="77777777" w:rsidR="00470B5F" w:rsidRPr="00CE5927" w:rsidRDefault="00470B5F" w:rsidP="00470B5F">
      <w:pPr>
        <w:ind w:left="426"/>
        <w:rPr>
          <w:rFonts w:ascii="Tahoma" w:hAnsi="Tahoma" w:cs="Tahoma"/>
          <w:b/>
          <w:i/>
          <w:color w:val="E36C0A"/>
          <w:sz w:val="22"/>
          <w:szCs w:val="22"/>
        </w:rPr>
      </w:pPr>
    </w:p>
    <w:p w14:paraId="6E997F00" w14:textId="77777777" w:rsidR="00470B5F" w:rsidRPr="00CE5927" w:rsidRDefault="00470B5F" w:rsidP="00470B5F">
      <w:pPr>
        <w:tabs>
          <w:tab w:val="left" w:pos="851"/>
        </w:tabs>
        <w:ind w:left="426" w:firstLine="426"/>
        <w:rPr>
          <w:rFonts w:ascii="Tahoma" w:hAnsi="Tahoma" w:cs="Tahoma"/>
          <w:b/>
          <w:sz w:val="20"/>
          <w:szCs w:val="20"/>
        </w:rPr>
      </w:pPr>
      <w:r w:rsidRPr="00CE5927">
        <w:rPr>
          <w:rFonts w:ascii="Tahoma" w:hAnsi="Tahoma" w:cs="Tahoma"/>
          <w:b/>
          <w:sz w:val="20"/>
          <w:szCs w:val="20"/>
        </w:rPr>
        <w:t>Тарифный план «Микро-лайт Доверие»</w:t>
      </w:r>
    </w:p>
    <w:p w14:paraId="11AA1964" w14:textId="77777777" w:rsidR="00470B5F" w:rsidRPr="00CE5927" w:rsidRDefault="00470B5F" w:rsidP="00470B5F">
      <w:pPr>
        <w:ind w:left="426" w:firstLine="567"/>
        <w:jc w:val="both"/>
        <w:rPr>
          <w:rFonts w:ascii="Tahoma" w:hAnsi="Tahoma" w:cs="Tahoma"/>
          <w:sz w:val="20"/>
          <w:szCs w:val="20"/>
        </w:rPr>
      </w:pPr>
    </w:p>
    <w:tbl>
      <w:tblPr>
        <w:tblW w:w="4433" w:type="pct"/>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48"/>
        <w:gridCol w:w="4136"/>
        <w:gridCol w:w="7358"/>
      </w:tblGrid>
      <w:tr w:rsidR="00470B5F" w:rsidRPr="00CE5927" w14:paraId="5DCF810D" w14:textId="77777777" w:rsidTr="00AD7716">
        <w:tc>
          <w:tcPr>
            <w:tcW w:w="1048" w:type="pct"/>
            <w:tcBorders>
              <w:top w:val="single" w:sz="4" w:space="0" w:color="000000"/>
              <w:left w:val="single" w:sz="4" w:space="0" w:color="000000"/>
              <w:bottom w:val="single" w:sz="4" w:space="0" w:color="000000"/>
              <w:right w:val="single" w:sz="4" w:space="0" w:color="000000"/>
            </w:tcBorders>
            <w:hideMark/>
          </w:tcPr>
          <w:p w14:paraId="459CC481" w14:textId="77777777" w:rsidR="00470B5F" w:rsidRPr="00CE5927" w:rsidRDefault="00470B5F" w:rsidP="00AD7716">
            <w:pPr>
              <w:ind w:left="426"/>
              <w:jc w:val="both"/>
              <w:rPr>
                <w:rFonts w:ascii="Tahoma" w:hAnsi="Tahoma" w:cs="Tahoma"/>
                <w:color w:val="000000"/>
                <w:sz w:val="20"/>
                <w:szCs w:val="20"/>
              </w:rPr>
            </w:pPr>
            <w:r w:rsidRPr="00CE5927">
              <w:rPr>
                <w:rFonts w:ascii="Tahoma" w:hAnsi="Tahoma" w:cs="Tahoma"/>
                <w:color w:val="000000"/>
                <w:sz w:val="20"/>
                <w:szCs w:val="20"/>
              </w:rPr>
              <w:t>Категория заемщика</w:t>
            </w:r>
          </w:p>
        </w:tc>
        <w:tc>
          <w:tcPr>
            <w:tcW w:w="3952" w:type="pct"/>
            <w:gridSpan w:val="2"/>
            <w:tcBorders>
              <w:top w:val="single" w:sz="4" w:space="0" w:color="000000"/>
              <w:left w:val="single" w:sz="4" w:space="0" w:color="000000"/>
              <w:bottom w:val="single" w:sz="4" w:space="0" w:color="000000"/>
              <w:right w:val="single" w:sz="4" w:space="0" w:color="000000"/>
            </w:tcBorders>
          </w:tcPr>
          <w:p w14:paraId="2A2B6507" w14:textId="77777777" w:rsidR="00470B5F" w:rsidRPr="00CE5927" w:rsidRDefault="00470B5F" w:rsidP="00AD7716">
            <w:pPr>
              <w:ind w:left="426"/>
              <w:jc w:val="both"/>
              <w:rPr>
                <w:rFonts w:ascii="Tahoma" w:hAnsi="Tahoma" w:cs="Tahoma"/>
                <w:color w:val="000000"/>
                <w:sz w:val="20"/>
                <w:szCs w:val="20"/>
              </w:rPr>
            </w:pPr>
            <w:r w:rsidRPr="00CE5927">
              <w:rPr>
                <w:rFonts w:ascii="Tahoma" w:hAnsi="Tahoma" w:cs="Tahoma"/>
                <w:color w:val="000000"/>
                <w:sz w:val="20"/>
                <w:szCs w:val="20"/>
              </w:rPr>
              <w:t>Физическое лицо, имеющее задолженность по тарифным планам линейки «Микро-лайт»</w:t>
            </w:r>
          </w:p>
        </w:tc>
      </w:tr>
      <w:tr w:rsidR="00470B5F" w:rsidRPr="00CE5927" w14:paraId="6070642A" w14:textId="77777777" w:rsidTr="00AD7716">
        <w:tc>
          <w:tcPr>
            <w:tcW w:w="1048" w:type="pct"/>
            <w:tcBorders>
              <w:top w:val="single" w:sz="4" w:space="0" w:color="000000"/>
              <w:left w:val="single" w:sz="4" w:space="0" w:color="000000"/>
              <w:bottom w:val="single" w:sz="4" w:space="0" w:color="000000"/>
              <w:right w:val="single" w:sz="4" w:space="0" w:color="000000"/>
            </w:tcBorders>
            <w:hideMark/>
          </w:tcPr>
          <w:p w14:paraId="7C96C2CF" w14:textId="77777777" w:rsidR="00470B5F" w:rsidRPr="00CE5927" w:rsidRDefault="00470B5F" w:rsidP="00AD7716">
            <w:pPr>
              <w:ind w:left="426"/>
              <w:jc w:val="both"/>
              <w:rPr>
                <w:rFonts w:ascii="Tahoma" w:hAnsi="Tahoma" w:cs="Tahoma"/>
                <w:color w:val="000000"/>
                <w:sz w:val="20"/>
                <w:szCs w:val="20"/>
              </w:rPr>
            </w:pPr>
            <w:r w:rsidRPr="00CE5927">
              <w:rPr>
                <w:rFonts w:ascii="Tahoma" w:hAnsi="Tahoma" w:cs="Tahoma"/>
                <w:color w:val="000000"/>
                <w:sz w:val="20"/>
                <w:szCs w:val="20"/>
              </w:rPr>
              <w:t>Валюта кредита</w:t>
            </w:r>
          </w:p>
        </w:tc>
        <w:tc>
          <w:tcPr>
            <w:tcW w:w="3952" w:type="pct"/>
            <w:gridSpan w:val="2"/>
            <w:tcBorders>
              <w:top w:val="single" w:sz="4" w:space="0" w:color="000000"/>
              <w:left w:val="single" w:sz="4" w:space="0" w:color="000000"/>
              <w:bottom w:val="single" w:sz="4" w:space="0" w:color="000000"/>
              <w:right w:val="single" w:sz="4" w:space="0" w:color="000000"/>
            </w:tcBorders>
          </w:tcPr>
          <w:p w14:paraId="3EBC7F67" w14:textId="77777777" w:rsidR="00470B5F" w:rsidRPr="00CE5927" w:rsidRDefault="00470B5F" w:rsidP="00AD7716">
            <w:pPr>
              <w:ind w:left="426"/>
              <w:jc w:val="both"/>
              <w:rPr>
                <w:rFonts w:ascii="Tahoma" w:hAnsi="Tahoma" w:cs="Tahoma"/>
                <w:color w:val="000000"/>
                <w:sz w:val="20"/>
                <w:szCs w:val="20"/>
              </w:rPr>
            </w:pPr>
            <w:r w:rsidRPr="00CE5927">
              <w:rPr>
                <w:rFonts w:ascii="Tahoma" w:hAnsi="Tahoma" w:cs="Tahoma"/>
                <w:color w:val="000000"/>
                <w:sz w:val="20"/>
                <w:szCs w:val="20"/>
              </w:rPr>
              <w:t>Российские рубли</w:t>
            </w:r>
          </w:p>
        </w:tc>
      </w:tr>
      <w:tr w:rsidR="00470B5F" w:rsidRPr="00CE5927" w14:paraId="7B2712FD" w14:textId="77777777" w:rsidTr="00AD7716">
        <w:trPr>
          <w:trHeight w:val="297"/>
        </w:trPr>
        <w:tc>
          <w:tcPr>
            <w:tcW w:w="1048" w:type="pct"/>
            <w:tcBorders>
              <w:top w:val="single" w:sz="4" w:space="0" w:color="000000"/>
              <w:left w:val="single" w:sz="4" w:space="0" w:color="000000"/>
              <w:bottom w:val="single" w:sz="4" w:space="0" w:color="000000"/>
              <w:right w:val="single" w:sz="4" w:space="0" w:color="000000"/>
            </w:tcBorders>
            <w:hideMark/>
          </w:tcPr>
          <w:p w14:paraId="52BF7F9D" w14:textId="77777777" w:rsidR="00470B5F" w:rsidRPr="00CE5927" w:rsidRDefault="00470B5F" w:rsidP="00AD7716">
            <w:pPr>
              <w:ind w:left="426"/>
              <w:jc w:val="both"/>
              <w:rPr>
                <w:rFonts w:ascii="Tahoma" w:hAnsi="Tahoma" w:cs="Tahoma"/>
                <w:color w:val="000000"/>
                <w:sz w:val="20"/>
                <w:szCs w:val="20"/>
              </w:rPr>
            </w:pPr>
            <w:r w:rsidRPr="00CE5927">
              <w:rPr>
                <w:rFonts w:ascii="Tahoma" w:hAnsi="Tahoma" w:cs="Tahoma"/>
                <w:color w:val="000000"/>
                <w:sz w:val="20"/>
                <w:szCs w:val="20"/>
              </w:rPr>
              <w:lastRenderedPageBreak/>
              <w:t>Минимальная сумма кредита</w:t>
            </w:r>
          </w:p>
        </w:tc>
        <w:tc>
          <w:tcPr>
            <w:tcW w:w="3952" w:type="pct"/>
            <w:gridSpan w:val="2"/>
            <w:tcBorders>
              <w:top w:val="single" w:sz="4" w:space="0" w:color="000000"/>
              <w:left w:val="single" w:sz="4" w:space="0" w:color="000000"/>
              <w:bottom w:val="single" w:sz="4" w:space="0" w:color="000000"/>
              <w:right w:val="single" w:sz="4" w:space="0" w:color="000000"/>
            </w:tcBorders>
          </w:tcPr>
          <w:p w14:paraId="178F9A81" w14:textId="77777777" w:rsidR="00470B5F" w:rsidRPr="00CE5927" w:rsidRDefault="00470B5F" w:rsidP="00AD7716">
            <w:pPr>
              <w:ind w:left="426"/>
              <w:jc w:val="both"/>
              <w:rPr>
                <w:rFonts w:ascii="Tahoma" w:hAnsi="Tahoma" w:cs="Tahoma"/>
                <w:sz w:val="20"/>
                <w:szCs w:val="20"/>
              </w:rPr>
            </w:pPr>
            <w:r w:rsidRPr="00CE5927">
              <w:rPr>
                <w:rFonts w:ascii="Tahoma" w:hAnsi="Tahoma" w:cs="Tahoma"/>
                <w:sz w:val="20"/>
                <w:szCs w:val="20"/>
              </w:rPr>
              <w:t>10 000 рублей</w:t>
            </w:r>
          </w:p>
        </w:tc>
      </w:tr>
      <w:tr w:rsidR="00470B5F" w:rsidRPr="00CE5927" w14:paraId="584F09E1" w14:textId="77777777" w:rsidTr="00AD7716">
        <w:trPr>
          <w:trHeight w:val="321"/>
        </w:trPr>
        <w:tc>
          <w:tcPr>
            <w:tcW w:w="1048" w:type="pct"/>
            <w:tcBorders>
              <w:top w:val="single" w:sz="4" w:space="0" w:color="000000"/>
              <w:left w:val="single" w:sz="4" w:space="0" w:color="000000"/>
              <w:bottom w:val="single" w:sz="4" w:space="0" w:color="000000"/>
              <w:right w:val="single" w:sz="4" w:space="0" w:color="000000"/>
            </w:tcBorders>
            <w:hideMark/>
          </w:tcPr>
          <w:p w14:paraId="251062BB" w14:textId="77777777" w:rsidR="00470B5F" w:rsidRPr="00CE5927" w:rsidRDefault="00470B5F" w:rsidP="00AD7716">
            <w:pPr>
              <w:ind w:left="426"/>
              <w:jc w:val="both"/>
              <w:rPr>
                <w:rFonts w:ascii="Tahoma" w:hAnsi="Tahoma" w:cs="Tahoma"/>
                <w:color w:val="000000"/>
                <w:sz w:val="20"/>
                <w:szCs w:val="20"/>
              </w:rPr>
            </w:pPr>
            <w:r w:rsidRPr="00CE5927">
              <w:rPr>
                <w:rFonts w:ascii="Tahoma" w:hAnsi="Tahoma" w:cs="Tahoma"/>
                <w:color w:val="000000"/>
                <w:sz w:val="20"/>
                <w:szCs w:val="20"/>
              </w:rPr>
              <w:t>Максимальная сумма кредита</w:t>
            </w:r>
          </w:p>
        </w:tc>
        <w:tc>
          <w:tcPr>
            <w:tcW w:w="3952" w:type="pct"/>
            <w:gridSpan w:val="2"/>
            <w:tcBorders>
              <w:top w:val="single" w:sz="4" w:space="0" w:color="000000"/>
              <w:left w:val="single" w:sz="4" w:space="0" w:color="000000"/>
              <w:bottom w:val="single" w:sz="4" w:space="0" w:color="000000"/>
              <w:right w:val="single" w:sz="4" w:space="0" w:color="000000"/>
            </w:tcBorders>
          </w:tcPr>
          <w:p w14:paraId="00A86C4A" w14:textId="77777777" w:rsidR="00470B5F" w:rsidRPr="00CE5927" w:rsidRDefault="00470B5F" w:rsidP="00AD7716">
            <w:pPr>
              <w:ind w:left="426"/>
              <w:jc w:val="both"/>
              <w:rPr>
                <w:rFonts w:ascii="Tahoma" w:hAnsi="Tahoma" w:cs="Tahoma"/>
                <w:color w:val="000000"/>
                <w:sz w:val="20"/>
                <w:szCs w:val="20"/>
              </w:rPr>
            </w:pPr>
            <w:r w:rsidRPr="00CE5927">
              <w:rPr>
                <w:rFonts w:ascii="Tahoma" w:hAnsi="Tahoma" w:cs="Tahoma"/>
                <w:color w:val="000000"/>
                <w:sz w:val="20"/>
                <w:szCs w:val="20"/>
              </w:rPr>
              <w:t>Сумма задолженности рефинансируемого кредита (возможно включение штрафов, пеней, неустоек).</w:t>
            </w:r>
          </w:p>
        </w:tc>
      </w:tr>
      <w:tr w:rsidR="00470B5F" w:rsidRPr="00CE5927" w14:paraId="773EC136" w14:textId="77777777" w:rsidTr="00AD7716">
        <w:tc>
          <w:tcPr>
            <w:tcW w:w="1048" w:type="pct"/>
            <w:tcBorders>
              <w:top w:val="single" w:sz="4" w:space="0" w:color="000000"/>
              <w:left w:val="single" w:sz="4" w:space="0" w:color="000000"/>
              <w:bottom w:val="single" w:sz="4" w:space="0" w:color="000000"/>
              <w:right w:val="single" w:sz="4" w:space="0" w:color="000000"/>
            </w:tcBorders>
            <w:hideMark/>
          </w:tcPr>
          <w:p w14:paraId="6B3AE304" w14:textId="77777777" w:rsidR="00470B5F" w:rsidRPr="00CE5927" w:rsidRDefault="00470B5F" w:rsidP="00AD7716">
            <w:pPr>
              <w:ind w:left="426"/>
              <w:jc w:val="both"/>
              <w:rPr>
                <w:rFonts w:ascii="Tahoma" w:hAnsi="Tahoma" w:cs="Tahoma"/>
                <w:color w:val="000000"/>
                <w:sz w:val="20"/>
                <w:szCs w:val="20"/>
              </w:rPr>
            </w:pPr>
            <w:r w:rsidRPr="00CE5927">
              <w:rPr>
                <w:rFonts w:ascii="Tahoma" w:hAnsi="Tahoma" w:cs="Tahoma"/>
                <w:color w:val="000000"/>
                <w:sz w:val="20"/>
                <w:szCs w:val="20"/>
              </w:rPr>
              <w:t>Процентная ставка, % в год</w:t>
            </w:r>
          </w:p>
        </w:tc>
        <w:tc>
          <w:tcPr>
            <w:tcW w:w="3952" w:type="pct"/>
            <w:gridSpan w:val="2"/>
            <w:tcBorders>
              <w:top w:val="single" w:sz="4" w:space="0" w:color="000000"/>
              <w:left w:val="single" w:sz="4" w:space="0" w:color="000000"/>
              <w:bottom w:val="single" w:sz="4" w:space="0" w:color="000000"/>
              <w:right w:val="single" w:sz="4" w:space="0" w:color="000000"/>
            </w:tcBorders>
          </w:tcPr>
          <w:p w14:paraId="4D23F36F" w14:textId="77777777" w:rsidR="00470B5F" w:rsidRPr="00CE5927" w:rsidRDefault="00470B5F" w:rsidP="00AD7716">
            <w:pPr>
              <w:ind w:left="426"/>
              <w:jc w:val="both"/>
              <w:rPr>
                <w:rFonts w:ascii="Tahoma" w:hAnsi="Tahoma" w:cs="Tahoma"/>
                <w:color w:val="000000"/>
                <w:sz w:val="20"/>
                <w:szCs w:val="20"/>
              </w:rPr>
            </w:pPr>
            <w:r w:rsidRPr="00CE5927">
              <w:rPr>
                <w:rFonts w:ascii="Tahoma" w:hAnsi="Tahoma" w:cs="Tahoma"/>
                <w:color w:val="000000"/>
                <w:sz w:val="20"/>
                <w:szCs w:val="20"/>
              </w:rPr>
              <w:t>В соответсвии с закрываемым договором*</w:t>
            </w:r>
          </w:p>
        </w:tc>
      </w:tr>
      <w:tr w:rsidR="00470B5F" w:rsidRPr="00CE5927" w14:paraId="30BDB626" w14:textId="77777777" w:rsidTr="00AD7716">
        <w:tc>
          <w:tcPr>
            <w:tcW w:w="1048" w:type="pct"/>
            <w:tcBorders>
              <w:top w:val="single" w:sz="4" w:space="0" w:color="000000"/>
              <w:left w:val="single" w:sz="4" w:space="0" w:color="000000"/>
              <w:bottom w:val="single" w:sz="4" w:space="0" w:color="000000"/>
              <w:right w:val="single" w:sz="4" w:space="0" w:color="000000"/>
            </w:tcBorders>
            <w:hideMark/>
          </w:tcPr>
          <w:p w14:paraId="3D87374B" w14:textId="77777777" w:rsidR="00470B5F" w:rsidRPr="00CE5927" w:rsidRDefault="00470B5F" w:rsidP="00AD7716">
            <w:pPr>
              <w:ind w:left="426"/>
              <w:jc w:val="both"/>
              <w:rPr>
                <w:rFonts w:ascii="Tahoma" w:hAnsi="Tahoma" w:cs="Tahoma"/>
                <w:color w:val="000000"/>
                <w:sz w:val="20"/>
                <w:szCs w:val="20"/>
              </w:rPr>
            </w:pPr>
            <w:r w:rsidRPr="00CE5927">
              <w:rPr>
                <w:rFonts w:ascii="Tahoma" w:hAnsi="Tahoma" w:cs="Tahoma"/>
                <w:color w:val="000000"/>
                <w:sz w:val="20"/>
                <w:szCs w:val="20"/>
              </w:rPr>
              <w:t xml:space="preserve">Скидки по процентной ставке </w:t>
            </w:r>
          </w:p>
        </w:tc>
        <w:tc>
          <w:tcPr>
            <w:tcW w:w="3952" w:type="pct"/>
            <w:gridSpan w:val="2"/>
            <w:tcBorders>
              <w:top w:val="single" w:sz="4" w:space="0" w:color="000000"/>
              <w:left w:val="single" w:sz="4" w:space="0" w:color="000000"/>
              <w:bottom w:val="single" w:sz="4" w:space="0" w:color="000000"/>
              <w:right w:val="single" w:sz="4" w:space="0" w:color="000000"/>
            </w:tcBorders>
          </w:tcPr>
          <w:p w14:paraId="076109B2" w14:textId="77777777" w:rsidR="00470B5F" w:rsidRPr="00CE5927" w:rsidRDefault="00470B5F" w:rsidP="00AD7716">
            <w:pPr>
              <w:ind w:left="426"/>
              <w:jc w:val="both"/>
              <w:rPr>
                <w:rFonts w:ascii="Tahoma" w:hAnsi="Tahoma" w:cs="Tahoma"/>
                <w:color w:val="000000"/>
                <w:sz w:val="20"/>
                <w:szCs w:val="20"/>
              </w:rPr>
            </w:pPr>
            <w:r w:rsidRPr="00CE5927">
              <w:rPr>
                <w:rFonts w:ascii="Tahoma" w:hAnsi="Tahoma" w:cs="Tahoma"/>
                <w:color w:val="000000"/>
                <w:sz w:val="20"/>
                <w:szCs w:val="20"/>
              </w:rPr>
              <w:t>Нет</w:t>
            </w:r>
          </w:p>
        </w:tc>
      </w:tr>
      <w:tr w:rsidR="00470B5F" w:rsidRPr="00CE5927" w14:paraId="2C3CB355" w14:textId="77777777" w:rsidTr="00AD7716">
        <w:tc>
          <w:tcPr>
            <w:tcW w:w="1048" w:type="pct"/>
            <w:tcBorders>
              <w:top w:val="single" w:sz="4" w:space="0" w:color="000000"/>
              <w:left w:val="single" w:sz="4" w:space="0" w:color="000000"/>
              <w:bottom w:val="single" w:sz="4" w:space="0" w:color="000000"/>
              <w:right w:val="single" w:sz="4" w:space="0" w:color="000000"/>
            </w:tcBorders>
            <w:hideMark/>
          </w:tcPr>
          <w:p w14:paraId="7901AA64" w14:textId="77777777" w:rsidR="00470B5F" w:rsidRPr="00CE5927" w:rsidRDefault="00470B5F" w:rsidP="00AD7716">
            <w:pPr>
              <w:ind w:left="426"/>
              <w:jc w:val="both"/>
              <w:rPr>
                <w:rFonts w:ascii="Tahoma" w:hAnsi="Tahoma" w:cs="Tahoma"/>
                <w:color w:val="000000"/>
                <w:sz w:val="20"/>
                <w:szCs w:val="20"/>
              </w:rPr>
            </w:pPr>
            <w:r w:rsidRPr="00CE5927">
              <w:rPr>
                <w:rFonts w:ascii="Tahoma" w:hAnsi="Tahoma" w:cs="Tahoma"/>
                <w:color w:val="000000"/>
                <w:sz w:val="20"/>
                <w:szCs w:val="20"/>
              </w:rPr>
              <w:t>Срок кредита, мес.</w:t>
            </w:r>
          </w:p>
        </w:tc>
        <w:tc>
          <w:tcPr>
            <w:tcW w:w="3952" w:type="pct"/>
            <w:gridSpan w:val="2"/>
            <w:tcBorders>
              <w:top w:val="single" w:sz="4" w:space="0" w:color="000000"/>
              <w:left w:val="single" w:sz="4" w:space="0" w:color="000000"/>
              <w:bottom w:val="single" w:sz="4" w:space="0" w:color="000000"/>
              <w:right w:val="single" w:sz="4" w:space="0" w:color="000000"/>
            </w:tcBorders>
          </w:tcPr>
          <w:p w14:paraId="4FF2AF52" w14:textId="77777777" w:rsidR="00470B5F" w:rsidRPr="00CE5927" w:rsidRDefault="00470B5F" w:rsidP="00AD7716">
            <w:pPr>
              <w:ind w:left="426"/>
              <w:jc w:val="both"/>
              <w:rPr>
                <w:rFonts w:ascii="Tahoma" w:hAnsi="Tahoma" w:cs="Tahoma"/>
                <w:color w:val="000000"/>
                <w:sz w:val="20"/>
                <w:szCs w:val="20"/>
              </w:rPr>
            </w:pPr>
            <w:r w:rsidRPr="00CE5927">
              <w:rPr>
                <w:rFonts w:ascii="Tahoma" w:hAnsi="Tahoma" w:cs="Tahoma"/>
                <w:color w:val="000000"/>
                <w:sz w:val="20"/>
                <w:szCs w:val="20"/>
              </w:rPr>
              <w:t xml:space="preserve">1- 84** </w:t>
            </w:r>
          </w:p>
        </w:tc>
      </w:tr>
      <w:tr w:rsidR="00470B5F" w:rsidRPr="00CE5927" w14:paraId="7889C42B" w14:textId="77777777" w:rsidTr="00AD7716">
        <w:tc>
          <w:tcPr>
            <w:tcW w:w="1048" w:type="pct"/>
            <w:vMerge w:val="restart"/>
            <w:tcBorders>
              <w:top w:val="single" w:sz="4" w:space="0" w:color="000000"/>
              <w:left w:val="single" w:sz="4" w:space="0" w:color="000000"/>
              <w:right w:val="single" w:sz="4" w:space="0" w:color="000000"/>
            </w:tcBorders>
            <w:vAlign w:val="center"/>
            <w:hideMark/>
          </w:tcPr>
          <w:p w14:paraId="2FB895DA" w14:textId="77777777" w:rsidR="00470B5F" w:rsidRPr="00CE5927" w:rsidRDefault="00470B5F" w:rsidP="00AD7716">
            <w:pPr>
              <w:tabs>
                <w:tab w:val="left" w:pos="330"/>
              </w:tabs>
              <w:ind w:left="426"/>
              <w:rPr>
                <w:rFonts w:ascii="Tahoma" w:hAnsi="Tahoma" w:cs="Tahoma"/>
                <w:color w:val="000000"/>
                <w:sz w:val="20"/>
                <w:szCs w:val="20"/>
              </w:rPr>
            </w:pPr>
            <w:r w:rsidRPr="00CE5927">
              <w:rPr>
                <w:rFonts w:ascii="Tahoma" w:hAnsi="Tahoma" w:cs="Tahoma"/>
                <w:color w:val="000000"/>
                <w:sz w:val="20"/>
                <w:szCs w:val="20"/>
              </w:rPr>
              <w:t>Размер ответственности</w:t>
            </w:r>
          </w:p>
          <w:p w14:paraId="57599B18" w14:textId="77777777" w:rsidR="00470B5F" w:rsidRPr="00CE5927" w:rsidRDefault="00470B5F" w:rsidP="00AD7716">
            <w:pPr>
              <w:tabs>
                <w:tab w:val="left" w:pos="330"/>
              </w:tabs>
              <w:ind w:left="426"/>
              <w:rPr>
                <w:rFonts w:ascii="Tahoma" w:hAnsi="Tahoma" w:cs="Tahoma"/>
                <w:color w:val="000000"/>
                <w:sz w:val="20"/>
                <w:szCs w:val="20"/>
              </w:rPr>
            </w:pPr>
            <w:r w:rsidRPr="00CE5927">
              <w:rPr>
                <w:rFonts w:ascii="Tahoma" w:hAnsi="Tahoma" w:cs="Tahoma"/>
                <w:color w:val="000000"/>
                <w:sz w:val="20"/>
                <w:szCs w:val="20"/>
              </w:rPr>
              <w:t>заемщика</w:t>
            </w:r>
          </w:p>
        </w:tc>
        <w:tc>
          <w:tcPr>
            <w:tcW w:w="1422" w:type="pct"/>
            <w:tcBorders>
              <w:top w:val="single" w:sz="4" w:space="0" w:color="000000"/>
              <w:left w:val="single" w:sz="4" w:space="0" w:color="000000"/>
              <w:bottom w:val="single" w:sz="4" w:space="0" w:color="000000"/>
              <w:right w:val="single" w:sz="4" w:space="0" w:color="000000"/>
            </w:tcBorders>
          </w:tcPr>
          <w:p w14:paraId="239FCBD3" w14:textId="77777777" w:rsidR="00470B5F" w:rsidRPr="00CE5927" w:rsidRDefault="00470B5F" w:rsidP="00AD7716">
            <w:pPr>
              <w:tabs>
                <w:tab w:val="left" w:pos="330"/>
              </w:tabs>
              <w:ind w:left="426"/>
              <w:jc w:val="both"/>
              <w:rPr>
                <w:rFonts w:ascii="Tahoma" w:hAnsi="Tahoma" w:cs="Tahoma"/>
                <w:color w:val="000000"/>
                <w:sz w:val="20"/>
                <w:szCs w:val="20"/>
              </w:rPr>
            </w:pPr>
            <w:r w:rsidRPr="00CE5927">
              <w:rPr>
                <w:rFonts w:ascii="Tahoma" w:hAnsi="Tahoma" w:cs="Tahoma"/>
                <w:sz w:val="20"/>
                <w:szCs w:val="20"/>
              </w:rPr>
              <w:t>Пеня</w:t>
            </w:r>
          </w:p>
        </w:tc>
        <w:tc>
          <w:tcPr>
            <w:tcW w:w="2530" w:type="pct"/>
            <w:tcBorders>
              <w:top w:val="single" w:sz="4" w:space="0" w:color="000000"/>
              <w:left w:val="single" w:sz="4" w:space="0" w:color="000000"/>
              <w:bottom w:val="single" w:sz="4" w:space="0" w:color="000000"/>
              <w:right w:val="single" w:sz="4" w:space="0" w:color="000000"/>
            </w:tcBorders>
            <w:hideMark/>
          </w:tcPr>
          <w:p w14:paraId="445B2AE7" w14:textId="77777777" w:rsidR="00470B5F" w:rsidRPr="00CE5927" w:rsidRDefault="00470B5F" w:rsidP="00AD7716">
            <w:pPr>
              <w:tabs>
                <w:tab w:val="left" w:pos="330"/>
              </w:tabs>
              <w:ind w:left="426"/>
              <w:jc w:val="both"/>
              <w:rPr>
                <w:rFonts w:ascii="Tahoma" w:hAnsi="Tahoma" w:cs="Tahoma"/>
                <w:sz w:val="20"/>
                <w:szCs w:val="20"/>
              </w:rPr>
            </w:pPr>
            <w:r w:rsidRPr="00CE5927">
              <w:rPr>
                <w:rFonts w:ascii="Tahoma" w:hAnsi="Tahoma" w:cs="Tahoma"/>
                <w:sz w:val="20"/>
                <w:szCs w:val="20"/>
              </w:rPr>
              <w:t>За неисполнение или ненадлежащее исполнение Заемщиком по Договору обязательств по возврату Кредита и(или) уплате процентов на сумму Кредита взимается пеня в размере 3 % от суммы просроченного платежа за каждый день просрочки</w:t>
            </w:r>
          </w:p>
        </w:tc>
      </w:tr>
      <w:tr w:rsidR="00470B5F" w:rsidRPr="00CE5927" w14:paraId="435D5E43" w14:textId="77777777" w:rsidTr="00AD7716">
        <w:tc>
          <w:tcPr>
            <w:tcW w:w="1048" w:type="pct"/>
            <w:vMerge/>
            <w:tcBorders>
              <w:left w:val="single" w:sz="4" w:space="0" w:color="000000"/>
              <w:right w:val="single" w:sz="4" w:space="0" w:color="000000"/>
            </w:tcBorders>
          </w:tcPr>
          <w:p w14:paraId="5837A72C" w14:textId="77777777" w:rsidR="00470B5F" w:rsidRPr="00CE5927" w:rsidRDefault="00470B5F" w:rsidP="00AD7716">
            <w:pPr>
              <w:tabs>
                <w:tab w:val="left" w:pos="330"/>
              </w:tabs>
              <w:ind w:left="426"/>
              <w:rPr>
                <w:rFonts w:ascii="Tahoma" w:hAnsi="Tahoma" w:cs="Tahoma"/>
                <w:color w:val="000000"/>
                <w:sz w:val="20"/>
                <w:szCs w:val="20"/>
              </w:rPr>
            </w:pPr>
          </w:p>
        </w:tc>
        <w:tc>
          <w:tcPr>
            <w:tcW w:w="1422" w:type="pct"/>
            <w:tcBorders>
              <w:top w:val="single" w:sz="4" w:space="0" w:color="000000"/>
              <w:left w:val="single" w:sz="4" w:space="0" w:color="000000"/>
              <w:bottom w:val="single" w:sz="4" w:space="0" w:color="000000"/>
              <w:right w:val="single" w:sz="4" w:space="0" w:color="000000"/>
            </w:tcBorders>
          </w:tcPr>
          <w:p w14:paraId="6A151F12" w14:textId="77777777" w:rsidR="00470B5F" w:rsidRPr="00CE5927" w:rsidRDefault="00470B5F" w:rsidP="00AD7716">
            <w:pPr>
              <w:tabs>
                <w:tab w:val="left" w:pos="330"/>
              </w:tabs>
              <w:ind w:left="426"/>
              <w:jc w:val="both"/>
              <w:rPr>
                <w:rFonts w:ascii="Tahoma" w:hAnsi="Tahoma" w:cs="Tahoma"/>
                <w:color w:val="000000"/>
                <w:sz w:val="20"/>
                <w:szCs w:val="20"/>
              </w:rPr>
            </w:pPr>
            <w:r w:rsidRPr="00CE5927">
              <w:rPr>
                <w:rFonts w:ascii="Tahoma" w:hAnsi="Tahoma" w:cs="Tahoma"/>
                <w:sz w:val="20"/>
                <w:szCs w:val="20"/>
              </w:rPr>
              <w:t>Штраф</w:t>
            </w:r>
          </w:p>
        </w:tc>
        <w:tc>
          <w:tcPr>
            <w:tcW w:w="2530" w:type="pct"/>
            <w:tcBorders>
              <w:top w:val="single" w:sz="4" w:space="0" w:color="000000"/>
              <w:left w:val="single" w:sz="4" w:space="0" w:color="000000"/>
              <w:bottom w:val="single" w:sz="4" w:space="0" w:color="000000"/>
              <w:right w:val="single" w:sz="4" w:space="0" w:color="000000"/>
            </w:tcBorders>
          </w:tcPr>
          <w:p w14:paraId="4755D872" w14:textId="77777777" w:rsidR="00470B5F" w:rsidRPr="00CE5927" w:rsidRDefault="00470B5F" w:rsidP="00AD7716">
            <w:pPr>
              <w:tabs>
                <w:tab w:val="left" w:pos="330"/>
              </w:tabs>
              <w:ind w:left="426"/>
              <w:jc w:val="both"/>
              <w:rPr>
                <w:rFonts w:ascii="Tahoma" w:hAnsi="Tahoma" w:cs="Tahoma"/>
                <w:sz w:val="20"/>
                <w:szCs w:val="20"/>
              </w:rPr>
            </w:pPr>
            <w:r w:rsidRPr="00CE5927">
              <w:rPr>
                <w:rFonts w:ascii="Tahoma" w:hAnsi="Tahoma" w:cs="Tahoma"/>
                <w:sz w:val="20"/>
                <w:szCs w:val="20"/>
              </w:rPr>
              <w:t>За неисполнение или ненадлежащее исполнение Заемщиком по Договору обязательств по возврату Кредита и(или) уплате процентов на сумму Кредита взимается штраф в размере 700 рублей единовременно при образовании просроченной задолженности.</w:t>
            </w:r>
          </w:p>
        </w:tc>
      </w:tr>
      <w:tr w:rsidR="00470B5F" w:rsidRPr="00CE5927" w14:paraId="395EAD5B" w14:textId="77777777" w:rsidTr="00AD7716">
        <w:tc>
          <w:tcPr>
            <w:tcW w:w="1048" w:type="pct"/>
            <w:vMerge/>
            <w:tcBorders>
              <w:left w:val="single" w:sz="4" w:space="0" w:color="000000"/>
              <w:right w:val="single" w:sz="4" w:space="0" w:color="000000"/>
            </w:tcBorders>
            <w:vAlign w:val="center"/>
          </w:tcPr>
          <w:p w14:paraId="6FF609CD" w14:textId="77777777" w:rsidR="00470B5F" w:rsidRPr="00CE5927" w:rsidRDefault="00470B5F" w:rsidP="00AD7716">
            <w:pPr>
              <w:tabs>
                <w:tab w:val="left" w:pos="330"/>
              </w:tabs>
              <w:ind w:left="426"/>
              <w:rPr>
                <w:rFonts w:ascii="Tahoma" w:hAnsi="Tahoma" w:cs="Tahoma"/>
                <w:color w:val="000000"/>
                <w:sz w:val="20"/>
                <w:szCs w:val="20"/>
              </w:rPr>
            </w:pPr>
          </w:p>
        </w:tc>
        <w:tc>
          <w:tcPr>
            <w:tcW w:w="1422" w:type="pct"/>
            <w:tcBorders>
              <w:top w:val="single" w:sz="4" w:space="0" w:color="000000"/>
              <w:left w:val="single" w:sz="4" w:space="0" w:color="000000"/>
              <w:bottom w:val="single" w:sz="4" w:space="0" w:color="000000"/>
              <w:right w:val="single" w:sz="4" w:space="0" w:color="000000"/>
            </w:tcBorders>
          </w:tcPr>
          <w:p w14:paraId="4CE2F907" w14:textId="77777777" w:rsidR="00470B5F" w:rsidRPr="00CE5927" w:rsidRDefault="00470B5F" w:rsidP="00AD7716">
            <w:pPr>
              <w:tabs>
                <w:tab w:val="left" w:pos="330"/>
              </w:tabs>
              <w:ind w:left="426"/>
              <w:jc w:val="both"/>
              <w:rPr>
                <w:rFonts w:ascii="Tahoma" w:hAnsi="Tahoma" w:cs="Tahoma"/>
                <w:color w:val="000000"/>
                <w:sz w:val="20"/>
                <w:szCs w:val="20"/>
              </w:rPr>
            </w:pPr>
            <w:r w:rsidRPr="00CE5927">
              <w:rPr>
                <w:rFonts w:ascii="Tahoma" w:hAnsi="Tahoma" w:cs="Tahoma"/>
                <w:sz w:val="20"/>
                <w:szCs w:val="20"/>
              </w:rPr>
              <w:t>Ограничения по пене, штрафу</w:t>
            </w:r>
          </w:p>
        </w:tc>
        <w:tc>
          <w:tcPr>
            <w:tcW w:w="2530" w:type="pct"/>
            <w:tcBorders>
              <w:top w:val="single" w:sz="4" w:space="0" w:color="000000"/>
              <w:left w:val="single" w:sz="4" w:space="0" w:color="000000"/>
              <w:bottom w:val="single" w:sz="4" w:space="0" w:color="000000"/>
              <w:right w:val="single" w:sz="4" w:space="0" w:color="000000"/>
            </w:tcBorders>
          </w:tcPr>
          <w:p w14:paraId="3A786F9D" w14:textId="77777777" w:rsidR="00470B5F" w:rsidRPr="00CE5927" w:rsidRDefault="00470B5F" w:rsidP="00AD7716">
            <w:pPr>
              <w:tabs>
                <w:tab w:val="left" w:pos="330"/>
              </w:tabs>
              <w:ind w:left="426"/>
              <w:jc w:val="both"/>
              <w:rPr>
                <w:rFonts w:ascii="Tahoma" w:hAnsi="Tahoma" w:cs="Tahoma"/>
                <w:sz w:val="20"/>
                <w:szCs w:val="20"/>
              </w:rPr>
            </w:pPr>
            <w:r w:rsidRPr="00CE5927">
              <w:rPr>
                <w:rFonts w:ascii="Tahoma" w:hAnsi="Tahoma" w:cs="Tahoma"/>
                <w:sz w:val="20"/>
                <w:szCs w:val="20"/>
              </w:rPr>
              <w:t>Размер неустойки (штрафа, пени) за неисполнение или ненадлежащее исполнение заемщиком обязательств по возврату потребительского кредита (займа) и (или) уплате процентов на сумму потребительского кредита (займа) не может превышать двадцать процентов годовых, если по условиям Договора на сумму кредита проценты за соответствующий период нарушения обязательств начисляются.</w:t>
            </w:r>
          </w:p>
        </w:tc>
      </w:tr>
      <w:tr w:rsidR="00470B5F" w:rsidRPr="00CE5927" w14:paraId="3C5B25DB" w14:textId="77777777" w:rsidTr="00AD7716">
        <w:tc>
          <w:tcPr>
            <w:tcW w:w="1048" w:type="pct"/>
            <w:vMerge/>
            <w:tcBorders>
              <w:left w:val="single" w:sz="4" w:space="0" w:color="000000"/>
              <w:bottom w:val="single" w:sz="4" w:space="0" w:color="000000"/>
              <w:right w:val="single" w:sz="4" w:space="0" w:color="000000"/>
            </w:tcBorders>
          </w:tcPr>
          <w:p w14:paraId="002D554D" w14:textId="77777777" w:rsidR="00470B5F" w:rsidRPr="00CE5927" w:rsidRDefault="00470B5F" w:rsidP="00AD7716">
            <w:pPr>
              <w:tabs>
                <w:tab w:val="left" w:pos="330"/>
              </w:tabs>
              <w:ind w:left="426"/>
              <w:jc w:val="both"/>
              <w:rPr>
                <w:rFonts w:ascii="Tahoma" w:hAnsi="Tahoma" w:cs="Tahoma"/>
                <w:color w:val="000000"/>
                <w:sz w:val="20"/>
                <w:szCs w:val="20"/>
              </w:rPr>
            </w:pPr>
          </w:p>
        </w:tc>
        <w:tc>
          <w:tcPr>
            <w:tcW w:w="1422" w:type="pct"/>
            <w:tcBorders>
              <w:top w:val="single" w:sz="4" w:space="0" w:color="000000"/>
              <w:left w:val="single" w:sz="4" w:space="0" w:color="000000"/>
              <w:bottom w:val="single" w:sz="4" w:space="0" w:color="000000"/>
              <w:right w:val="single" w:sz="4" w:space="0" w:color="000000"/>
            </w:tcBorders>
          </w:tcPr>
          <w:p w14:paraId="662E2B42" w14:textId="77777777" w:rsidR="00470B5F" w:rsidRPr="00CE5927" w:rsidRDefault="00470B5F" w:rsidP="00AD7716">
            <w:pPr>
              <w:tabs>
                <w:tab w:val="left" w:pos="330"/>
              </w:tabs>
              <w:ind w:left="426"/>
              <w:jc w:val="both"/>
              <w:rPr>
                <w:rFonts w:ascii="Tahoma" w:hAnsi="Tahoma" w:cs="Tahoma"/>
                <w:color w:val="000000"/>
                <w:sz w:val="20"/>
                <w:szCs w:val="20"/>
              </w:rPr>
            </w:pPr>
            <w:r w:rsidRPr="00CE5927">
              <w:rPr>
                <w:rFonts w:ascii="Tahoma" w:hAnsi="Tahoma" w:cs="Tahoma"/>
                <w:sz w:val="20"/>
                <w:szCs w:val="20"/>
              </w:rPr>
              <w:t>Иное</w:t>
            </w:r>
          </w:p>
        </w:tc>
        <w:tc>
          <w:tcPr>
            <w:tcW w:w="2530" w:type="pct"/>
            <w:tcBorders>
              <w:top w:val="single" w:sz="4" w:space="0" w:color="000000"/>
              <w:left w:val="single" w:sz="4" w:space="0" w:color="000000"/>
              <w:bottom w:val="single" w:sz="4" w:space="0" w:color="000000"/>
              <w:right w:val="single" w:sz="4" w:space="0" w:color="000000"/>
            </w:tcBorders>
          </w:tcPr>
          <w:p w14:paraId="143E7D57" w14:textId="77777777" w:rsidR="00470B5F" w:rsidRPr="00CE5927" w:rsidRDefault="00470B5F" w:rsidP="00AD7716">
            <w:pPr>
              <w:tabs>
                <w:tab w:val="left" w:pos="330"/>
              </w:tabs>
              <w:ind w:left="426"/>
              <w:jc w:val="both"/>
              <w:rPr>
                <w:rFonts w:ascii="Tahoma" w:hAnsi="Tahoma" w:cs="Tahoma"/>
                <w:sz w:val="20"/>
                <w:szCs w:val="20"/>
              </w:rPr>
            </w:pPr>
            <w:r w:rsidRPr="00CE5927">
              <w:rPr>
                <w:rFonts w:ascii="Tahoma" w:hAnsi="Tahoma" w:cs="Tahoma"/>
                <w:sz w:val="20"/>
                <w:szCs w:val="20"/>
              </w:rPr>
              <w:t>Помимо предусмотренных  законодательством РФ мер ответственности Банк применяет также следующие: в случае нарушения Заемщиком 2-х и более раз сроков  возврата очередной части кредита, уплаты процентов Банк вправе потребовать произвести досрочное погашение кредитной задолженности.</w:t>
            </w:r>
          </w:p>
        </w:tc>
      </w:tr>
      <w:tr w:rsidR="00470B5F" w:rsidRPr="00CE5927" w14:paraId="33558FD6" w14:textId="77777777" w:rsidTr="00AD7716">
        <w:tc>
          <w:tcPr>
            <w:tcW w:w="1048" w:type="pct"/>
            <w:vMerge w:val="restart"/>
            <w:tcBorders>
              <w:top w:val="single" w:sz="4" w:space="0" w:color="000000"/>
              <w:left w:val="single" w:sz="4" w:space="0" w:color="000000"/>
              <w:right w:val="single" w:sz="4" w:space="0" w:color="000000"/>
            </w:tcBorders>
          </w:tcPr>
          <w:p w14:paraId="0FC825B1" w14:textId="77777777" w:rsidR="00470B5F" w:rsidRPr="00CE5927" w:rsidRDefault="00470B5F" w:rsidP="00AD7716">
            <w:pPr>
              <w:tabs>
                <w:tab w:val="left" w:pos="330"/>
              </w:tabs>
              <w:ind w:left="426"/>
              <w:rPr>
                <w:rFonts w:ascii="Tahoma" w:hAnsi="Tahoma" w:cs="Tahoma"/>
                <w:color w:val="000000"/>
                <w:sz w:val="20"/>
                <w:szCs w:val="20"/>
              </w:rPr>
            </w:pPr>
            <w:r w:rsidRPr="00CE5927">
              <w:rPr>
                <w:rFonts w:ascii="Tahoma" w:hAnsi="Tahoma" w:cs="Tahoma"/>
                <w:color w:val="000000"/>
                <w:sz w:val="20"/>
                <w:szCs w:val="20"/>
              </w:rPr>
              <w:t>Размер ответственности</w:t>
            </w:r>
          </w:p>
          <w:p w14:paraId="0C5AB6B2" w14:textId="77777777" w:rsidR="00470B5F" w:rsidRPr="00CE5927" w:rsidRDefault="00470B5F" w:rsidP="00AD7716">
            <w:pPr>
              <w:tabs>
                <w:tab w:val="left" w:pos="330"/>
              </w:tabs>
              <w:ind w:left="426"/>
              <w:rPr>
                <w:rFonts w:ascii="Tahoma" w:hAnsi="Tahoma" w:cs="Tahoma"/>
                <w:color w:val="000000"/>
                <w:sz w:val="20"/>
                <w:szCs w:val="20"/>
              </w:rPr>
            </w:pPr>
            <w:r w:rsidRPr="00CE5927">
              <w:rPr>
                <w:rFonts w:ascii="Tahoma" w:hAnsi="Tahoma" w:cs="Tahoma"/>
                <w:color w:val="000000"/>
                <w:sz w:val="20"/>
                <w:szCs w:val="20"/>
              </w:rPr>
              <w:t>Заемщика</w:t>
            </w:r>
          </w:p>
          <w:p w14:paraId="0F1F7168" w14:textId="77777777" w:rsidR="00470B5F" w:rsidRPr="00CE5927" w:rsidRDefault="00470B5F" w:rsidP="00AD7716">
            <w:pPr>
              <w:tabs>
                <w:tab w:val="left" w:pos="330"/>
              </w:tabs>
              <w:ind w:left="426"/>
              <w:rPr>
                <w:rFonts w:ascii="Tahoma" w:hAnsi="Tahoma" w:cs="Tahoma"/>
                <w:color w:val="000000"/>
                <w:sz w:val="20"/>
                <w:szCs w:val="20"/>
              </w:rPr>
            </w:pPr>
            <w:r w:rsidRPr="00CE5927">
              <w:rPr>
                <w:rFonts w:ascii="Tahoma" w:hAnsi="Tahoma" w:cs="Tahoma"/>
                <w:color w:val="000000"/>
                <w:sz w:val="20"/>
                <w:szCs w:val="20"/>
              </w:rPr>
              <w:t>(при схеме кредитования под залог недвижимости)</w:t>
            </w:r>
          </w:p>
        </w:tc>
        <w:tc>
          <w:tcPr>
            <w:tcW w:w="1422" w:type="pct"/>
            <w:tcBorders>
              <w:top w:val="single" w:sz="4" w:space="0" w:color="000000"/>
              <w:left w:val="single" w:sz="4" w:space="0" w:color="000000"/>
              <w:bottom w:val="single" w:sz="4" w:space="0" w:color="000000"/>
              <w:right w:val="single" w:sz="4" w:space="0" w:color="000000"/>
            </w:tcBorders>
          </w:tcPr>
          <w:p w14:paraId="444E52BC" w14:textId="77777777" w:rsidR="00470B5F" w:rsidRPr="00CE5927" w:rsidRDefault="00470B5F" w:rsidP="00AD7716">
            <w:pPr>
              <w:tabs>
                <w:tab w:val="left" w:pos="330"/>
              </w:tabs>
              <w:ind w:left="426"/>
              <w:jc w:val="both"/>
              <w:rPr>
                <w:rFonts w:ascii="Tahoma" w:hAnsi="Tahoma" w:cs="Tahoma"/>
                <w:sz w:val="20"/>
                <w:szCs w:val="20"/>
              </w:rPr>
            </w:pPr>
            <w:r w:rsidRPr="00CE5927">
              <w:rPr>
                <w:rFonts w:ascii="Tahoma" w:hAnsi="Tahoma" w:cs="Tahoma"/>
                <w:sz w:val="20"/>
                <w:szCs w:val="20"/>
              </w:rPr>
              <w:t>Пеня</w:t>
            </w:r>
          </w:p>
        </w:tc>
        <w:tc>
          <w:tcPr>
            <w:tcW w:w="2530" w:type="pct"/>
            <w:tcBorders>
              <w:top w:val="single" w:sz="4" w:space="0" w:color="000000"/>
              <w:left w:val="single" w:sz="4" w:space="0" w:color="000000"/>
              <w:bottom w:val="single" w:sz="4" w:space="0" w:color="000000"/>
              <w:right w:val="single" w:sz="4" w:space="0" w:color="000000"/>
            </w:tcBorders>
          </w:tcPr>
          <w:p w14:paraId="0BC8D9BB" w14:textId="77777777" w:rsidR="00470B5F" w:rsidRPr="00CE5927" w:rsidRDefault="00470B5F" w:rsidP="00AD7716">
            <w:pPr>
              <w:tabs>
                <w:tab w:val="left" w:pos="330"/>
              </w:tabs>
              <w:ind w:left="426"/>
              <w:jc w:val="both"/>
              <w:rPr>
                <w:rFonts w:ascii="Tahoma" w:hAnsi="Tahoma" w:cs="Tahoma"/>
                <w:sz w:val="20"/>
                <w:szCs w:val="20"/>
              </w:rPr>
            </w:pPr>
            <w:r w:rsidRPr="00CE5927">
              <w:rPr>
                <w:rFonts w:ascii="Tahoma" w:hAnsi="Tahoma" w:cs="Tahoma"/>
                <w:sz w:val="20"/>
                <w:szCs w:val="20"/>
              </w:rPr>
              <w:t>За неисполнение или ненадлежащее исполнение обязательств по возврату кредита и (или) по уплате процентов за пользование кредитом  по Кредитному договору, обязательства заемщика по которому обеспечены ипотекой, взимается неустойка в размере ключевой ставки Центрального банка РФ, установленной на день заключения Кредитного договора.</w:t>
            </w:r>
          </w:p>
        </w:tc>
      </w:tr>
      <w:tr w:rsidR="00470B5F" w:rsidRPr="00CE5927" w14:paraId="4D09CD6E" w14:textId="77777777" w:rsidTr="00AD7716">
        <w:tc>
          <w:tcPr>
            <w:tcW w:w="1048" w:type="pct"/>
            <w:vMerge/>
            <w:tcBorders>
              <w:left w:val="single" w:sz="4" w:space="0" w:color="000000"/>
              <w:bottom w:val="single" w:sz="4" w:space="0" w:color="000000"/>
              <w:right w:val="single" w:sz="4" w:space="0" w:color="000000"/>
            </w:tcBorders>
          </w:tcPr>
          <w:p w14:paraId="747BC15B" w14:textId="77777777" w:rsidR="00470B5F" w:rsidRPr="00CE5927" w:rsidRDefault="00470B5F" w:rsidP="00AD7716">
            <w:pPr>
              <w:tabs>
                <w:tab w:val="left" w:pos="330"/>
              </w:tabs>
              <w:ind w:left="426"/>
              <w:rPr>
                <w:rFonts w:ascii="Tahoma" w:hAnsi="Tahoma" w:cs="Tahoma"/>
                <w:color w:val="000000"/>
                <w:sz w:val="20"/>
                <w:szCs w:val="20"/>
              </w:rPr>
            </w:pPr>
          </w:p>
        </w:tc>
        <w:tc>
          <w:tcPr>
            <w:tcW w:w="1422" w:type="pct"/>
            <w:tcBorders>
              <w:top w:val="single" w:sz="4" w:space="0" w:color="000000"/>
              <w:left w:val="single" w:sz="4" w:space="0" w:color="000000"/>
              <w:bottom w:val="single" w:sz="4" w:space="0" w:color="000000"/>
              <w:right w:val="single" w:sz="4" w:space="0" w:color="000000"/>
            </w:tcBorders>
          </w:tcPr>
          <w:p w14:paraId="4AB5BE3D" w14:textId="77777777" w:rsidR="00470B5F" w:rsidRPr="00CE5927" w:rsidRDefault="00470B5F" w:rsidP="00AD7716">
            <w:pPr>
              <w:tabs>
                <w:tab w:val="left" w:pos="330"/>
              </w:tabs>
              <w:ind w:left="426"/>
              <w:jc w:val="both"/>
              <w:rPr>
                <w:rFonts w:ascii="Tahoma" w:hAnsi="Tahoma" w:cs="Tahoma"/>
                <w:sz w:val="20"/>
                <w:szCs w:val="20"/>
              </w:rPr>
            </w:pPr>
            <w:r w:rsidRPr="00CE5927">
              <w:rPr>
                <w:rFonts w:ascii="Tahoma" w:hAnsi="Tahoma" w:cs="Tahoma"/>
                <w:sz w:val="20"/>
                <w:szCs w:val="20"/>
              </w:rPr>
              <w:t>Иное</w:t>
            </w:r>
          </w:p>
        </w:tc>
        <w:tc>
          <w:tcPr>
            <w:tcW w:w="2530" w:type="pct"/>
            <w:tcBorders>
              <w:top w:val="single" w:sz="4" w:space="0" w:color="000000"/>
              <w:left w:val="single" w:sz="4" w:space="0" w:color="000000"/>
              <w:bottom w:val="single" w:sz="4" w:space="0" w:color="000000"/>
              <w:right w:val="single" w:sz="4" w:space="0" w:color="000000"/>
            </w:tcBorders>
          </w:tcPr>
          <w:p w14:paraId="394FFF81" w14:textId="77777777" w:rsidR="00470B5F" w:rsidRPr="00CE5927" w:rsidRDefault="00470B5F" w:rsidP="00AD7716">
            <w:pPr>
              <w:tabs>
                <w:tab w:val="left" w:pos="330"/>
              </w:tabs>
              <w:ind w:left="426"/>
              <w:jc w:val="both"/>
              <w:rPr>
                <w:rFonts w:ascii="Tahoma" w:hAnsi="Tahoma" w:cs="Tahoma"/>
                <w:sz w:val="20"/>
                <w:szCs w:val="20"/>
              </w:rPr>
            </w:pPr>
            <w:r w:rsidRPr="00CE5927">
              <w:rPr>
                <w:rFonts w:ascii="Tahoma" w:hAnsi="Tahoma" w:cs="Tahoma"/>
                <w:sz w:val="20"/>
                <w:szCs w:val="20"/>
              </w:rPr>
              <w:t>Помимо предусмотренных  законодательством РФ мер ответственности Банк применяет также следующие: в случае нарушения Заемщиком 2-х и более раз сроков  возврата очередной части кредита, уплаты процентов Банк вправе потребовать произвести досрочное погашение кредитной задолженности.</w:t>
            </w:r>
          </w:p>
        </w:tc>
      </w:tr>
      <w:tr w:rsidR="00470B5F" w:rsidRPr="00CE5927" w14:paraId="6F67FAB1" w14:textId="77777777" w:rsidTr="00AD7716">
        <w:tc>
          <w:tcPr>
            <w:tcW w:w="1048" w:type="pct"/>
            <w:tcBorders>
              <w:top w:val="single" w:sz="4" w:space="0" w:color="000000"/>
              <w:left w:val="single" w:sz="4" w:space="0" w:color="000000"/>
              <w:bottom w:val="single" w:sz="4" w:space="0" w:color="000000"/>
              <w:right w:val="single" w:sz="4" w:space="0" w:color="000000"/>
            </w:tcBorders>
            <w:hideMark/>
          </w:tcPr>
          <w:p w14:paraId="0C1ADF70" w14:textId="77777777" w:rsidR="00470B5F" w:rsidRPr="00CE5927" w:rsidRDefault="00470B5F" w:rsidP="00AD7716">
            <w:pPr>
              <w:ind w:left="426"/>
              <w:jc w:val="both"/>
              <w:rPr>
                <w:rFonts w:ascii="Tahoma" w:hAnsi="Tahoma" w:cs="Tahoma"/>
                <w:color w:val="000000"/>
                <w:sz w:val="20"/>
                <w:szCs w:val="20"/>
              </w:rPr>
            </w:pPr>
            <w:r w:rsidRPr="00CE5927">
              <w:rPr>
                <w:rFonts w:ascii="Tahoma" w:hAnsi="Tahoma" w:cs="Tahoma"/>
                <w:color w:val="000000"/>
                <w:sz w:val="20"/>
                <w:szCs w:val="20"/>
              </w:rPr>
              <w:t>Способ предоставления</w:t>
            </w:r>
          </w:p>
        </w:tc>
        <w:tc>
          <w:tcPr>
            <w:tcW w:w="1422" w:type="pct"/>
            <w:tcBorders>
              <w:top w:val="single" w:sz="4" w:space="0" w:color="000000"/>
              <w:left w:val="single" w:sz="4" w:space="0" w:color="000000"/>
              <w:bottom w:val="single" w:sz="4" w:space="0" w:color="000000"/>
              <w:right w:val="single" w:sz="4" w:space="0" w:color="000000"/>
            </w:tcBorders>
          </w:tcPr>
          <w:p w14:paraId="7DFA836E" w14:textId="77777777" w:rsidR="00470B5F" w:rsidRPr="00CE5927" w:rsidRDefault="00470B5F" w:rsidP="00AD7716">
            <w:pPr>
              <w:ind w:left="426"/>
              <w:jc w:val="both"/>
              <w:rPr>
                <w:rFonts w:ascii="Tahoma" w:hAnsi="Tahoma" w:cs="Tahoma"/>
                <w:sz w:val="20"/>
                <w:szCs w:val="20"/>
              </w:rPr>
            </w:pPr>
          </w:p>
        </w:tc>
        <w:tc>
          <w:tcPr>
            <w:tcW w:w="2530" w:type="pct"/>
            <w:tcBorders>
              <w:top w:val="single" w:sz="4" w:space="0" w:color="000000"/>
              <w:left w:val="single" w:sz="4" w:space="0" w:color="000000"/>
              <w:bottom w:val="single" w:sz="4" w:space="0" w:color="000000"/>
              <w:right w:val="single" w:sz="4" w:space="0" w:color="000000"/>
            </w:tcBorders>
            <w:hideMark/>
          </w:tcPr>
          <w:p w14:paraId="0E911890" w14:textId="77777777" w:rsidR="00470B5F" w:rsidRPr="00CE5927" w:rsidRDefault="00470B5F" w:rsidP="00AD7716">
            <w:pPr>
              <w:ind w:left="426"/>
              <w:jc w:val="both"/>
              <w:rPr>
                <w:rFonts w:ascii="Tahoma" w:hAnsi="Tahoma" w:cs="Tahoma"/>
                <w:color w:val="000000"/>
                <w:sz w:val="20"/>
                <w:szCs w:val="20"/>
              </w:rPr>
            </w:pPr>
            <w:r w:rsidRPr="00CE5927">
              <w:rPr>
                <w:rFonts w:ascii="Tahoma" w:hAnsi="Tahoma" w:cs="Tahoma"/>
                <w:sz w:val="20"/>
                <w:szCs w:val="20"/>
              </w:rPr>
              <w:t>Перечислением в безналичном порядке на счет просроченного/проблемного кредита.</w:t>
            </w:r>
          </w:p>
        </w:tc>
      </w:tr>
      <w:tr w:rsidR="00470B5F" w:rsidRPr="00CE5927" w14:paraId="543A1E4E" w14:textId="77777777" w:rsidTr="00AD7716">
        <w:tc>
          <w:tcPr>
            <w:tcW w:w="1048" w:type="pct"/>
            <w:tcBorders>
              <w:top w:val="single" w:sz="4" w:space="0" w:color="000000"/>
              <w:left w:val="single" w:sz="4" w:space="0" w:color="000000"/>
              <w:bottom w:val="single" w:sz="4" w:space="0" w:color="000000"/>
              <w:right w:val="single" w:sz="4" w:space="0" w:color="000000"/>
            </w:tcBorders>
            <w:hideMark/>
          </w:tcPr>
          <w:p w14:paraId="030942DA" w14:textId="77777777" w:rsidR="00470B5F" w:rsidRPr="00CE5927" w:rsidRDefault="00470B5F" w:rsidP="00AD7716">
            <w:pPr>
              <w:ind w:left="426"/>
              <w:jc w:val="both"/>
              <w:rPr>
                <w:rFonts w:ascii="Tahoma" w:hAnsi="Tahoma" w:cs="Tahoma"/>
                <w:color w:val="000000"/>
                <w:sz w:val="20"/>
                <w:szCs w:val="20"/>
              </w:rPr>
            </w:pPr>
            <w:r w:rsidRPr="00CE5927">
              <w:rPr>
                <w:rFonts w:ascii="Tahoma" w:hAnsi="Tahoma" w:cs="Tahoma"/>
                <w:color w:val="000000"/>
                <w:sz w:val="20"/>
                <w:szCs w:val="20"/>
              </w:rPr>
              <w:lastRenderedPageBreak/>
              <w:t>Обеспечение по кредиту</w:t>
            </w:r>
          </w:p>
        </w:tc>
        <w:tc>
          <w:tcPr>
            <w:tcW w:w="1422" w:type="pct"/>
            <w:tcBorders>
              <w:top w:val="single" w:sz="4" w:space="0" w:color="000000"/>
              <w:left w:val="single" w:sz="4" w:space="0" w:color="000000"/>
              <w:bottom w:val="single" w:sz="4" w:space="0" w:color="000000"/>
              <w:right w:val="single" w:sz="4" w:space="0" w:color="000000"/>
            </w:tcBorders>
          </w:tcPr>
          <w:p w14:paraId="15566410" w14:textId="77777777" w:rsidR="00470B5F" w:rsidRPr="00CE5927" w:rsidRDefault="00470B5F" w:rsidP="00AD7716">
            <w:pPr>
              <w:ind w:left="426"/>
              <w:jc w:val="both"/>
              <w:rPr>
                <w:rFonts w:ascii="Tahoma" w:hAnsi="Tahoma" w:cs="Tahoma"/>
                <w:sz w:val="20"/>
                <w:szCs w:val="20"/>
              </w:rPr>
            </w:pPr>
          </w:p>
        </w:tc>
        <w:tc>
          <w:tcPr>
            <w:tcW w:w="2530" w:type="pct"/>
            <w:tcBorders>
              <w:top w:val="single" w:sz="4" w:space="0" w:color="000000"/>
              <w:left w:val="single" w:sz="4" w:space="0" w:color="000000"/>
              <w:bottom w:val="single" w:sz="4" w:space="0" w:color="000000"/>
              <w:right w:val="single" w:sz="4" w:space="0" w:color="000000"/>
            </w:tcBorders>
            <w:hideMark/>
          </w:tcPr>
          <w:p w14:paraId="2E497C81" w14:textId="77777777" w:rsidR="00470B5F" w:rsidRPr="00CE5927" w:rsidRDefault="00470B5F" w:rsidP="00AD7716">
            <w:pPr>
              <w:ind w:left="426"/>
              <w:jc w:val="both"/>
              <w:rPr>
                <w:rFonts w:ascii="Tahoma" w:hAnsi="Tahoma" w:cs="Tahoma"/>
                <w:sz w:val="20"/>
                <w:szCs w:val="20"/>
              </w:rPr>
            </w:pPr>
            <w:r w:rsidRPr="00CE5927">
              <w:rPr>
                <w:rFonts w:ascii="Tahoma" w:hAnsi="Tahoma" w:cs="Tahoma"/>
                <w:sz w:val="20"/>
                <w:szCs w:val="20"/>
              </w:rPr>
              <w:t>Согласно нормативному документу «Инструкция по предоставлению «Микро-лайт кредитов» физическим лицам в «Азиатско-Тихоокеанский Банк» (ОАО)»/«Инструкция выдачи кредитов на приобретение коммерческой недвижимости физическим лицам владельцам бизнеса в «Азиатско-Тихоокеанский Банк» (ОАО). В случае превышения суммы выдаваемого кредита по тарифному плану «Микро-лайт. Доверие» над первоначально оформленной по тарифному плану «Микро-лайт»/«Микро-лайт Авто»/«Бизнес ипотека», дополнительно поручительство платежеспособного лица или залог ликвидного имущества на сумму обеспечения не менее разницы суммы кредитов.</w:t>
            </w:r>
          </w:p>
        </w:tc>
      </w:tr>
    </w:tbl>
    <w:p w14:paraId="54A96E13" w14:textId="77777777" w:rsidR="00470B5F" w:rsidRPr="00CE5927" w:rsidRDefault="00470B5F" w:rsidP="00470B5F">
      <w:pPr>
        <w:pBdr>
          <w:bottom w:val="single" w:sz="12" w:space="1" w:color="auto"/>
        </w:pBdr>
        <w:ind w:left="426" w:hanging="142"/>
        <w:jc w:val="both"/>
        <w:rPr>
          <w:rFonts w:ascii="Tahoma" w:hAnsi="Tahoma" w:cs="Tahoma"/>
          <w:sz w:val="20"/>
          <w:szCs w:val="20"/>
        </w:rPr>
      </w:pPr>
    </w:p>
    <w:p w14:paraId="02F0C3A5" w14:textId="77777777" w:rsidR="00470B5F" w:rsidRPr="00CE5927" w:rsidRDefault="00470B5F" w:rsidP="00470B5F">
      <w:pPr>
        <w:ind w:left="426" w:hanging="142"/>
        <w:jc w:val="both"/>
        <w:rPr>
          <w:rFonts w:ascii="Tahoma" w:hAnsi="Tahoma" w:cs="Tahoma"/>
          <w:sz w:val="20"/>
          <w:szCs w:val="20"/>
        </w:rPr>
      </w:pPr>
    </w:p>
    <w:p w14:paraId="698E4444" w14:textId="77777777" w:rsidR="00470B5F" w:rsidRPr="00CE5927" w:rsidRDefault="00470B5F" w:rsidP="00470B5F">
      <w:pPr>
        <w:ind w:left="426"/>
        <w:jc w:val="both"/>
        <w:rPr>
          <w:rFonts w:ascii="Tahoma" w:hAnsi="Tahoma" w:cs="Tahoma"/>
          <w:color w:val="000000"/>
          <w:sz w:val="20"/>
          <w:szCs w:val="20"/>
        </w:rPr>
      </w:pPr>
      <w:r w:rsidRPr="00CE5927">
        <w:rPr>
          <w:rFonts w:ascii="Tahoma" w:hAnsi="Tahoma" w:cs="Tahoma"/>
          <w:sz w:val="20"/>
          <w:szCs w:val="20"/>
        </w:rPr>
        <w:t>*</w:t>
      </w:r>
      <w:r w:rsidRPr="00CE5927">
        <w:rPr>
          <w:rFonts w:ascii="Tahoma" w:hAnsi="Tahoma" w:cs="Tahoma"/>
          <w:color w:val="000000"/>
          <w:sz w:val="20"/>
          <w:szCs w:val="20"/>
        </w:rPr>
        <w:t xml:space="preserve"> При  закрытии нескольких просроченных договоров по ТП линейки Микро-лайт процентная ставка принимается по максимальной</w:t>
      </w:r>
    </w:p>
    <w:p w14:paraId="11DDCECF" w14:textId="77777777" w:rsidR="00470B5F" w:rsidRPr="00CE5927" w:rsidRDefault="00470B5F" w:rsidP="00470B5F">
      <w:pPr>
        <w:ind w:left="426"/>
        <w:jc w:val="both"/>
        <w:rPr>
          <w:rFonts w:ascii="Tahoma" w:hAnsi="Tahoma" w:cs="Tahoma"/>
          <w:sz w:val="20"/>
          <w:szCs w:val="20"/>
        </w:rPr>
      </w:pPr>
      <w:r w:rsidRPr="00CE5927">
        <w:rPr>
          <w:rFonts w:ascii="Tahoma" w:hAnsi="Tahoma" w:cs="Tahoma"/>
          <w:sz w:val="20"/>
          <w:szCs w:val="20"/>
        </w:rPr>
        <w:t>** Устанавливается из определения  посильного ежемесячного платежа клиенту</w:t>
      </w:r>
    </w:p>
    <w:p w14:paraId="0553871C" w14:textId="77777777" w:rsidR="00470B5F" w:rsidRPr="00CE5927" w:rsidRDefault="00470B5F" w:rsidP="00470B5F">
      <w:pPr>
        <w:ind w:left="426"/>
        <w:jc w:val="both"/>
        <w:rPr>
          <w:rFonts w:ascii="Tahoma" w:hAnsi="Tahoma" w:cs="Tahoma"/>
          <w:sz w:val="20"/>
          <w:szCs w:val="20"/>
        </w:rPr>
      </w:pPr>
    </w:p>
    <w:p w14:paraId="70730194" w14:textId="77777777" w:rsidR="00470B5F" w:rsidRPr="00CE5927" w:rsidRDefault="00470B5F" w:rsidP="00470B5F">
      <w:pPr>
        <w:tabs>
          <w:tab w:val="left" w:pos="851"/>
        </w:tabs>
        <w:ind w:left="426"/>
        <w:jc w:val="center"/>
        <w:rPr>
          <w:rFonts w:ascii="Tahoma" w:hAnsi="Tahoma" w:cs="Tahoma"/>
          <w:b/>
          <w:sz w:val="22"/>
          <w:szCs w:val="22"/>
        </w:rPr>
      </w:pPr>
      <w:r w:rsidRPr="00CE5927">
        <w:rPr>
          <w:rFonts w:ascii="Tahoma" w:hAnsi="Tahoma" w:cs="Tahoma"/>
          <w:b/>
          <w:sz w:val="22"/>
          <w:szCs w:val="22"/>
        </w:rPr>
        <w:t>Прочие услуги, не являющиеся обязательными для заключения или исполнения Договора</w:t>
      </w:r>
    </w:p>
    <w:p w14:paraId="071084C1" w14:textId="77777777" w:rsidR="00470B5F" w:rsidRPr="00CE5927" w:rsidRDefault="00470B5F" w:rsidP="00470B5F">
      <w:pPr>
        <w:tabs>
          <w:tab w:val="left" w:pos="851"/>
        </w:tabs>
        <w:ind w:left="426"/>
        <w:jc w:val="center"/>
        <w:rPr>
          <w:rFonts w:ascii="Tahoma" w:hAnsi="Tahoma" w:cs="Tahoma"/>
          <w:b/>
          <w:sz w:val="22"/>
          <w:szCs w:val="22"/>
        </w:rPr>
      </w:pPr>
    </w:p>
    <w:tbl>
      <w:tblPr>
        <w:tblW w:w="1074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9"/>
        <w:gridCol w:w="3261"/>
      </w:tblGrid>
      <w:tr w:rsidR="00470B5F" w:rsidRPr="00CE5927" w14:paraId="7EBBB19C" w14:textId="77777777" w:rsidTr="00AD7716">
        <w:tc>
          <w:tcPr>
            <w:tcW w:w="7479" w:type="dxa"/>
            <w:shd w:val="clear" w:color="auto" w:fill="auto"/>
          </w:tcPr>
          <w:p w14:paraId="1FC18880" w14:textId="77777777" w:rsidR="00470B5F" w:rsidRPr="00CE5927" w:rsidRDefault="00470B5F" w:rsidP="00AD7716">
            <w:pPr>
              <w:ind w:left="426"/>
              <w:rPr>
                <w:rFonts w:ascii="Tahoma" w:eastAsia="Calibri" w:hAnsi="Tahoma" w:cs="Tahoma"/>
                <w:sz w:val="20"/>
                <w:szCs w:val="20"/>
                <w:lang w:eastAsia="en-US"/>
              </w:rPr>
            </w:pPr>
            <w:r w:rsidRPr="00CE5927">
              <w:rPr>
                <w:rFonts w:ascii="Tahoma" w:eastAsia="Calibri" w:hAnsi="Tahoma" w:cs="Tahoma"/>
                <w:sz w:val="20"/>
                <w:szCs w:val="20"/>
                <w:lang w:eastAsia="en-US"/>
              </w:rPr>
              <w:t>Перевод денежных средств с ТБС, используемого для выдачи кредита, в другую кредитную организацию*:</w:t>
            </w:r>
          </w:p>
        </w:tc>
        <w:tc>
          <w:tcPr>
            <w:tcW w:w="3261" w:type="dxa"/>
            <w:vMerge w:val="restart"/>
            <w:shd w:val="clear" w:color="auto" w:fill="auto"/>
          </w:tcPr>
          <w:p w14:paraId="5E9E6CAA" w14:textId="77777777" w:rsidR="00470B5F" w:rsidRPr="00CE5927" w:rsidRDefault="00470B5F" w:rsidP="00AD7716">
            <w:pPr>
              <w:ind w:left="426"/>
              <w:rPr>
                <w:rFonts w:ascii="Tahoma" w:eastAsia="Calibri" w:hAnsi="Tahoma" w:cs="Tahoma"/>
                <w:sz w:val="20"/>
                <w:szCs w:val="20"/>
                <w:lang w:eastAsia="en-US"/>
              </w:rPr>
            </w:pPr>
            <w:r w:rsidRPr="00CE5927">
              <w:rPr>
                <w:rFonts w:ascii="Tahoma" w:eastAsia="Calibri" w:hAnsi="Tahoma" w:cs="Tahoma"/>
                <w:sz w:val="20"/>
                <w:szCs w:val="20"/>
                <w:lang w:eastAsia="en-US"/>
              </w:rPr>
              <w:t>Не предлагается</w:t>
            </w:r>
          </w:p>
        </w:tc>
      </w:tr>
      <w:tr w:rsidR="00470B5F" w:rsidRPr="00CE5927" w14:paraId="3877CDA5" w14:textId="77777777" w:rsidTr="00AD7716">
        <w:tc>
          <w:tcPr>
            <w:tcW w:w="7479" w:type="dxa"/>
            <w:shd w:val="clear" w:color="auto" w:fill="auto"/>
          </w:tcPr>
          <w:p w14:paraId="0199B78B" w14:textId="77777777" w:rsidR="00470B5F" w:rsidRPr="00CE5927" w:rsidRDefault="00470B5F" w:rsidP="00AD7716">
            <w:pPr>
              <w:ind w:left="426"/>
              <w:rPr>
                <w:rFonts w:ascii="Tahoma" w:eastAsia="Calibri" w:hAnsi="Tahoma" w:cs="Tahoma"/>
                <w:sz w:val="20"/>
                <w:szCs w:val="20"/>
                <w:lang w:eastAsia="en-US"/>
              </w:rPr>
            </w:pPr>
            <w:r w:rsidRPr="00CE5927">
              <w:rPr>
                <w:rFonts w:ascii="Tahoma" w:eastAsia="Calibri" w:hAnsi="Tahoma" w:cs="Tahoma"/>
                <w:sz w:val="20"/>
                <w:szCs w:val="20"/>
                <w:lang w:eastAsia="en-US"/>
              </w:rPr>
              <w:t>- в пользу юридического лица в рамках целевого кредитования;</w:t>
            </w:r>
          </w:p>
        </w:tc>
        <w:tc>
          <w:tcPr>
            <w:tcW w:w="3261" w:type="dxa"/>
            <w:vMerge/>
            <w:shd w:val="clear" w:color="auto" w:fill="auto"/>
          </w:tcPr>
          <w:p w14:paraId="01230B5E" w14:textId="77777777" w:rsidR="00470B5F" w:rsidRPr="00CE5927" w:rsidRDefault="00470B5F" w:rsidP="00AD7716">
            <w:pPr>
              <w:ind w:left="426"/>
              <w:rPr>
                <w:rFonts w:ascii="Tahoma" w:eastAsia="Calibri" w:hAnsi="Tahoma" w:cs="Tahoma"/>
                <w:sz w:val="20"/>
                <w:szCs w:val="20"/>
                <w:lang w:eastAsia="en-US"/>
              </w:rPr>
            </w:pPr>
          </w:p>
        </w:tc>
      </w:tr>
      <w:tr w:rsidR="00470B5F" w:rsidRPr="00CE5927" w14:paraId="59E19A2A" w14:textId="77777777" w:rsidTr="00AD7716">
        <w:tc>
          <w:tcPr>
            <w:tcW w:w="7479" w:type="dxa"/>
            <w:shd w:val="clear" w:color="auto" w:fill="auto"/>
          </w:tcPr>
          <w:p w14:paraId="671916A1" w14:textId="77777777" w:rsidR="00470B5F" w:rsidRPr="00CE5927" w:rsidRDefault="00470B5F" w:rsidP="00AD7716">
            <w:pPr>
              <w:ind w:left="426"/>
              <w:rPr>
                <w:rFonts w:ascii="Tahoma" w:eastAsia="Calibri" w:hAnsi="Tahoma" w:cs="Tahoma"/>
                <w:sz w:val="20"/>
                <w:szCs w:val="20"/>
                <w:lang w:eastAsia="en-US"/>
              </w:rPr>
            </w:pPr>
            <w:r w:rsidRPr="00CE5927">
              <w:rPr>
                <w:rFonts w:ascii="Tahoma" w:eastAsia="Calibri" w:hAnsi="Tahoma" w:cs="Tahoma"/>
                <w:sz w:val="20"/>
                <w:szCs w:val="20"/>
                <w:lang w:eastAsia="en-US"/>
              </w:rPr>
              <w:t xml:space="preserve"> - в пользу физического лица для получения суммы кредита в населенных пунктах, где отсутствуют подразделения «Азиатско-Тихоокеанский Банк» </w:t>
            </w:r>
            <w:r>
              <w:rPr>
                <w:rFonts w:ascii="Tahoma" w:eastAsia="Calibri" w:hAnsi="Tahoma" w:cs="Tahoma"/>
                <w:sz w:val="20"/>
                <w:szCs w:val="20"/>
                <w:lang w:eastAsia="en-US"/>
              </w:rPr>
              <w:t>(АО)</w:t>
            </w:r>
            <w:r w:rsidRPr="00CE5927">
              <w:rPr>
                <w:rFonts w:ascii="Tahoma" w:eastAsia="Calibri" w:hAnsi="Tahoma" w:cs="Tahoma"/>
                <w:sz w:val="20"/>
                <w:szCs w:val="20"/>
                <w:lang w:eastAsia="en-US"/>
              </w:rPr>
              <w:t>.</w:t>
            </w:r>
          </w:p>
        </w:tc>
        <w:tc>
          <w:tcPr>
            <w:tcW w:w="3261" w:type="dxa"/>
            <w:vMerge/>
            <w:shd w:val="clear" w:color="auto" w:fill="auto"/>
          </w:tcPr>
          <w:p w14:paraId="48860E5B" w14:textId="77777777" w:rsidR="00470B5F" w:rsidRPr="00CE5927" w:rsidRDefault="00470B5F" w:rsidP="00AD7716">
            <w:pPr>
              <w:ind w:left="426"/>
              <w:rPr>
                <w:rFonts w:ascii="Tahoma" w:eastAsia="Calibri" w:hAnsi="Tahoma" w:cs="Tahoma"/>
                <w:sz w:val="20"/>
                <w:szCs w:val="20"/>
                <w:lang w:eastAsia="en-US"/>
              </w:rPr>
            </w:pPr>
          </w:p>
        </w:tc>
      </w:tr>
      <w:tr w:rsidR="00470B5F" w:rsidRPr="00CE5927" w14:paraId="6DD52DC2" w14:textId="77777777" w:rsidTr="00AD7716">
        <w:tc>
          <w:tcPr>
            <w:tcW w:w="7479" w:type="dxa"/>
            <w:shd w:val="clear" w:color="auto" w:fill="auto"/>
          </w:tcPr>
          <w:p w14:paraId="3EE426AF" w14:textId="77777777" w:rsidR="00470B5F" w:rsidRPr="00CE5927" w:rsidRDefault="00470B5F" w:rsidP="00AD7716">
            <w:pPr>
              <w:ind w:left="426"/>
              <w:rPr>
                <w:rFonts w:ascii="Tahoma" w:eastAsia="Calibri" w:hAnsi="Tahoma" w:cs="Tahoma"/>
                <w:sz w:val="20"/>
                <w:szCs w:val="20"/>
                <w:lang w:eastAsia="en-US"/>
              </w:rPr>
            </w:pPr>
            <w:r w:rsidRPr="00CE5927">
              <w:rPr>
                <w:rFonts w:ascii="Tahoma" w:eastAsia="Calibri" w:hAnsi="Tahoma" w:cs="Tahoma"/>
                <w:sz w:val="20"/>
                <w:szCs w:val="20"/>
                <w:lang w:eastAsia="en-US"/>
              </w:rPr>
              <w:t xml:space="preserve">* в остальных случаях плата за перевод денежных средств взимается по тарифам, действующим в «Азиатско-Тихоокеанский Банк» </w:t>
            </w:r>
            <w:r>
              <w:rPr>
                <w:rFonts w:ascii="Tahoma" w:eastAsia="Calibri" w:hAnsi="Tahoma" w:cs="Tahoma"/>
                <w:sz w:val="20"/>
                <w:szCs w:val="20"/>
                <w:lang w:eastAsia="en-US"/>
              </w:rPr>
              <w:t>(АО)</w:t>
            </w:r>
            <w:r w:rsidRPr="00CE5927">
              <w:rPr>
                <w:rFonts w:ascii="Tahoma" w:eastAsia="Calibri" w:hAnsi="Tahoma" w:cs="Tahoma"/>
                <w:sz w:val="20"/>
                <w:szCs w:val="20"/>
                <w:lang w:eastAsia="en-US"/>
              </w:rPr>
              <w:t xml:space="preserve"> на момент совершения операций.</w:t>
            </w:r>
          </w:p>
        </w:tc>
        <w:tc>
          <w:tcPr>
            <w:tcW w:w="3261" w:type="dxa"/>
            <w:vMerge/>
            <w:shd w:val="clear" w:color="auto" w:fill="auto"/>
          </w:tcPr>
          <w:p w14:paraId="51ACD0DA" w14:textId="77777777" w:rsidR="00470B5F" w:rsidRPr="00CE5927" w:rsidRDefault="00470B5F" w:rsidP="00AD7716">
            <w:pPr>
              <w:ind w:left="426"/>
              <w:rPr>
                <w:rFonts w:ascii="Tahoma" w:eastAsia="Calibri" w:hAnsi="Tahoma" w:cs="Tahoma"/>
                <w:sz w:val="20"/>
                <w:szCs w:val="20"/>
                <w:lang w:eastAsia="en-US"/>
              </w:rPr>
            </w:pPr>
          </w:p>
        </w:tc>
      </w:tr>
      <w:tr w:rsidR="00470B5F" w:rsidRPr="00CE5927" w14:paraId="76900FB0" w14:textId="77777777" w:rsidTr="00AD7716">
        <w:tc>
          <w:tcPr>
            <w:tcW w:w="7479" w:type="dxa"/>
            <w:shd w:val="clear" w:color="auto" w:fill="auto"/>
          </w:tcPr>
          <w:p w14:paraId="26496144" w14:textId="77777777" w:rsidR="00470B5F" w:rsidRPr="00CE5927" w:rsidRDefault="00470B5F" w:rsidP="00AD7716">
            <w:pPr>
              <w:ind w:left="426"/>
              <w:rPr>
                <w:rFonts w:ascii="Tahoma" w:eastAsia="Calibri" w:hAnsi="Tahoma" w:cs="Tahoma"/>
                <w:sz w:val="20"/>
                <w:szCs w:val="20"/>
                <w:lang w:eastAsia="en-US"/>
              </w:rPr>
            </w:pPr>
            <w:r w:rsidRPr="00CE5927">
              <w:rPr>
                <w:rFonts w:ascii="Tahoma" w:eastAsia="Calibri" w:hAnsi="Tahoma" w:cs="Tahoma"/>
                <w:sz w:val="20"/>
                <w:szCs w:val="20"/>
                <w:lang w:eastAsia="en-US"/>
              </w:rPr>
              <w:t>Предлагаемый платеж за осуществление Банком мероприятий по внесению по инициативе Заемщика изменений в условия Договора (изменение размера аннуитетного платежа, уменьшение срока возврата Кредита, продление срока возврата Кредита(пролонгация) и(или) отсрочка платежа по основному долгу и(или) изменение даты погашения Кредита) при составлении дополнительного соглашения к Договору</w:t>
            </w:r>
          </w:p>
        </w:tc>
        <w:tc>
          <w:tcPr>
            <w:tcW w:w="3261" w:type="dxa"/>
            <w:shd w:val="clear" w:color="auto" w:fill="auto"/>
          </w:tcPr>
          <w:p w14:paraId="682535DB" w14:textId="77777777" w:rsidR="00470B5F" w:rsidRPr="00CE5927" w:rsidRDefault="00470B5F" w:rsidP="00AD7716">
            <w:pPr>
              <w:ind w:left="426"/>
              <w:rPr>
                <w:rFonts w:ascii="Tahoma" w:eastAsia="Calibri" w:hAnsi="Tahoma" w:cs="Tahoma"/>
                <w:sz w:val="20"/>
                <w:szCs w:val="20"/>
                <w:lang w:eastAsia="en-US"/>
              </w:rPr>
            </w:pPr>
            <w:r w:rsidRPr="00CE5927">
              <w:rPr>
                <w:rFonts w:ascii="Tahoma" w:eastAsia="Calibri" w:hAnsi="Tahoma" w:cs="Tahoma"/>
                <w:sz w:val="20"/>
                <w:szCs w:val="20"/>
                <w:lang w:eastAsia="en-US"/>
              </w:rPr>
              <w:t>500 рублей (плата взимается за услугу вне зависимости от количества измененных параметров Договора одновременно)</w:t>
            </w:r>
          </w:p>
        </w:tc>
      </w:tr>
      <w:tr w:rsidR="00470B5F" w:rsidRPr="00CE5927" w14:paraId="4928F8F7" w14:textId="77777777" w:rsidTr="00AD7716">
        <w:tc>
          <w:tcPr>
            <w:tcW w:w="7479" w:type="dxa"/>
            <w:shd w:val="clear" w:color="auto" w:fill="auto"/>
          </w:tcPr>
          <w:p w14:paraId="0FB6B9D1" w14:textId="77777777" w:rsidR="00470B5F" w:rsidRPr="00CE5927" w:rsidRDefault="00470B5F" w:rsidP="00AD7716">
            <w:pPr>
              <w:ind w:left="426"/>
              <w:rPr>
                <w:rFonts w:ascii="Tahoma" w:eastAsia="Calibri" w:hAnsi="Tahoma" w:cs="Tahoma"/>
                <w:sz w:val="20"/>
                <w:szCs w:val="20"/>
                <w:lang w:eastAsia="en-US"/>
              </w:rPr>
            </w:pPr>
            <w:r w:rsidRPr="00CE5927">
              <w:rPr>
                <w:rFonts w:ascii="Tahoma" w:eastAsia="Calibri" w:hAnsi="Tahoma" w:cs="Tahoma"/>
                <w:sz w:val="20"/>
                <w:szCs w:val="20"/>
                <w:lang w:eastAsia="en-US"/>
              </w:rPr>
              <w:t xml:space="preserve">Плата за информацию о размере текущей задолженности Заемщика перед Банком по Договору, о датах и размерах произведенных и предстоящих платежей Заемщика по Договору (размерах предстоящих платежей Заемщика по Кредиту с переменной процентной ставкой, о произведенных платежах, при подготовке справок для субсидий/ в органы социальной защиты населения/налоговые органы/ пенсионный </w:t>
            </w:r>
            <w:r w:rsidRPr="00CE5927">
              <w:rPr>
                <w:rFonts w:ascii="Tahoma" w:eastAsia="Calibri" w:hAnsi="Tahoma" w:cs="Tahoma"/>
                <w:sz w:val="20"/>
                <w:szCs w:val="20"/>
                <w:lang w:eastAsia="en-US"/>
              </w:rPr>
              <w:lastRenderedPageBreak/>
              <w:t xml:space="preserve">фонд, выписки по счетам, открытым в рамках Договора, справки о закрытии кредита </w:t>
            </w:r>
          </w:p>
        </w:tc>
        <w:tc>
          <w:tcPr>
            <w:tcW w:w="3261" w:type="dxa"/>
            <w:shd w:val="clear" w:color="auto" w:fill="auto"/>
          </w:tcPr>
          <w:p w14:paraId="70034989" w14:textId="77777777" w:rsidR="00470B5F" w:rsidRPr="00CE5927" w:rsidRDefault="00470B5F" w:rsidP="00AD7716">
            <w:pPr>
              <w:ind w:left="426"/>
              <w:rPr>
                <w:rFonts w:ascii="Tahoma" w:eastAsia="Calibri" w:hAnsi="Tahoma" w:cs="Tahoma"/>
                <w:sz w:val="20"/>
                <w:szCs w:val="20"/>
                <w:lang w:eastAsia="en-US"/>
              </w:rPr>
            </w:pPr>
            <w:r w:rsidRPr="00CE5927">
              <w:rPr>
                <w:rFonts w:ascii="Tahoma" w:eastAsia="Calibri" w:hAnsi="Tahoma" w:cs="Tahoma"/>
                <w:sz w:val="20"/>
                <w:szCs w:val="20"/>
                <w:lang w:eastAsia="en-US"/>
              </w:rPr>
              <w:lastRenderedPageBreak/>
              <w:t>500 рублей - при условии запроса информации более 1 раза в месяц </w:t>
            </w:r>
          </w:p>
        </w:tc>
      </w:tr>
      <w:tr w:rsidR="00470B5F" w:rsidRPr="00CE5927" w14:paraId="42C05E53" w14:textId="77777777" w:rsidTr="00AD7716">
        <w:tc>
          <w:tcPr>
            <w:tcW w:w="7479" w:type="dxa"/>
            <w:shd w:val="clear" w:color="auto" w:fill="auto"/>
          </w:tcPr>
          <w:p w14:paraId="43E400A9" w14:textId="77777777" w:rsidR="00470B5F" w:rsidRPr="00CE5927" w:rsidRDefault="00470B5F" w:rsidP="00AD7716">
            <w:pPr>
              <w:ind w:left="426"/>
              <w:rPr>
                <w:rFonts w:ascii="Tahoma" w:eastAsia="Calibri" w:hAnsi="Tahoma" w:cs="Tahoma"/>
                <w:sz w:val="20"/>
                <w:szCs w:val="20"/>
                <w:lang w:eastAsia="en-US"/>
              </w:rPr>
            </w:pPr>
            <w:r w:rsidRPr="00CE5927">
              <w:rPr>
                <w:rFonts w:ascii="Tahoma" w:eastAsia="Calibri" w:hAnsi="Tahoma" w:cs="Tahoma"/>
                <w:sz w:val="20"/>
                <w:szCs w:val="20"/>
                <w:lang w:eastAsia="en-US"/>
              </w:rPr>
              <w:t>Платеж за внесение денежных средств на ТБС/СКС через терминалы самообслуживания Банка</w:t>
            </w:r>
          </w:p>
        </w:tc>
        <w:tc>
          <w:tcPr>
            <w:tcW w:w="3261" w:type="dxa"/>
            <w:shd w:val="clear" w:color="auto" w:fill="auto"/>
          </w:tcPr>
          <w:p w14:paraId="1CFA2093" w14:textId="77777777" w:rsidR="00470B5F" w:rsidRPr="00CE5927" w:rsidRDefault="00470B5F" w:rsidP="00AD7716">
            <w:pPr>
              <w:ind w:left="426"/>
              <w:rPr>
                <w:rFonts w:ascii="Tahoma" w:eastAsia="Calibri" w:hAnsi="Tahoma" w:cs="Tahoma"/>
                <w:sz w:val="20"/>
                <w:szCs w:val="20"/>
                <w:lang w:eastAsia="en-US"/>
              </w:rPr>
            </w:pPr>
            <w:r w:rsidRPr="00CE5927">
              <w:rPr>
                <w:rFonts w:ascii="Tahoma" w:eastAsia="Calibri" w:hAnsi="Tahoma" w:cs="Tahoma"/>
                <w:sz w:val="20"/>
                <w:szCs w:val="20"/>
                <w:lang w:eastAsia="en-US"/>
              </w:rPr>
              <w:t>Бесплатно</w:t>
            </w:r>
          </w:p>
        </w:tc>
      </w:tr>
      <w:tr w:rsidR="00470B5F" w:rsidRPr="00CE5927" w14:paraId="76183352" w14:textId="77777777" w:rsidTr="00AD7716">
        <w:tc>
          <w:tcPr>
            <w:tcW w:w="7479" w:type="dxa"/>
            <w:shd w:val="clear" w:color="auto" w:fill="auto"/>
          </w:tcPr>
          <w:p w14:paraId="68EF7575" w14:textId="77777777" w:rsidR="00470B5F" w:rsidRPr="00CE5927" w:rsidRDefault="00470B5F" w:rsidP="00AD7716">
            <w:pPr>
              <w:ind w:left="426"/>
              <w:rPr>
                <w:rFonts w:ascii="Tahoma" w:eastAsia="Calibri" w:hAnsi="Tahoma" w:cs="Tahoma"/>
                <w:sz w:val="20"/>
                <w:szCs w:val="20"/>
                <w:lang w:eastAsia="en-US"/>
              </w:rPr>
            </w:pPr>
            <w:r w:rsidRPr="00CE5927">
              <w:rPr>
                <w:rFonts w:ascii="Tahoma" w:eastAsia="Calibri" w:hAnsi="Tahoma" w:cs="Tahoma"/>
                <w:sz w:val="20"/>
                <w:szCs w:val="20"/>
                <w:lang w:eastAsia="en-US"/>
              </w:rPr>
              <w:t>Плата за пополнение ТБС/СКС Заемщика денежными средствами через кассу Банка</w:t>
            </w:r>
          </w:p>
        </w:tc>
        <w:tc>
          <w:tcPr>
            <w:tcW w:w="3261" w:type="dxa"/>
            <w:shd w:val="clear" w:color="auto" w:fill="auto"/>
          </w:tcPr>
          <w:p w14:paraId="457A0B81" w14:textId="77777777" w:rsidR="00470B5F" w:rsidRPr="00CE5927" w:rsidRDefault="00470B5F" w:rsidP="00AD7716">
            <w:pPr>
              <w:ind w:left="426"/>
              <w:rPr>
                <w:rFonts w:ascii="Tahoma" w:eastAsia="Calibri" w:hAnsi="Tahoma" w:cs="Tahoma"/>
                <w:sz w:val="20"/>
                <w:szCs w:val="20"/>
                <w:lang w:eastAsia="en-US"/>
              </w:rPr>
            </w:pPr>
            <w:r w:rsidRPr="00CE5927">
              <w:rPr>
                <w:rFonts w:ascii="Tahoma" w:eastAsia="Calibri" w:hAnsi="Tahoma" w:cs="Tahoma"/>
                <w:sz w:val="20"/>
                <w:szCs w:val="20"/>
                <w:lang w:eastAsia="en-US"/>
              </w:rPr>
              <w:t>150 рублей</w:t>
            </w:r>
          </w:p>
        </w:tc>
      </w:tr>
      <w:tr w:rsidR="00470B5F" w:rsidRPr="00CE5927" w14:paraId="1B151F32" w14:textId="77777777" w:rsidTr="00AD7716">
        <w:tc>
          <w:tcPr>
            <w:tcW w:w="7479" w:type="dxa"/>
            <w:shd w:val="clear" w:color="auto" w:fill="auto"/>
          </w:tcPr>
          <w:p w14:paraId="1975BA5E" w14:textId="77777777" w:rsidR="00470B5F" w:rsidRPr="00CE5927" w:rsidRDefault="00470B5F" w:rsidP="00AD7716">
            <w:pPr>
              <w:ind w:left="426"/>
              <w:rPr>
                <w:rFonts w:ascii="Tahoma" w:eastAsia="Calibri" w:hAnsi="Tahoma" w:cs="Tahoma"/>
                <w:sz w:val="20"/>
                <w:szCs w:val="20"/>
                <w:lang w:eastAsia="en-US"/>
              </w:rPr>
            </w:pPr>
            <w:r w:rsidRPr="00CE5927">
              <w:rPr>
                <w:rFonts w:ascii="Tahoma" w:eastAsia="Calibri" w:hAnsi="Tahoma" w:cs="Tahoma"/>
                <w:sz w:val="20"/>
                <w:szCs w:val="20"/>
                <w:lang w:eastAsia="en-US"/>
              </w:rPr>
              <w:t>Платеж за закрытие ТБС при наличии денежных средств на счете после выполнения клиентом обязательств по договору.</w:t>
            </w:r>
          </w:p>
        </w:tc>
        <w:tc>
          <w:tcPr>
            <w:tcW w:w="3261" w:type="dxa"/>
            <w:shd w:val="clear" w:color="auto" w:fill="auto"/>
          </w:tcPr>
          <w:p w14:paraId="547B5913" w14:textId="77777777" w:rsidR="00470B5F" w:rsidRPr="00CE5927" w:rsidRDefault="00470B5F" w:rsidP="00AD7716">
            <w:pPr>
              <w:ind w:left="426"/>
              <w:rPr>
                <w:rFonts w:ascii="Tahoma" w:eastAsia="Calibri" w:hAnsi="Tahoma" w:cs="Tahoma"/>
                <w:sz w:val="20"/>
                <w:szCs w:val="20"/>
                <w:lang w:eastAsia="en-US"/>
              </w:rPr>
            </w:pPr>
            <w:r w:rsidRPr="00CE5927">
              <w:rPr>
                <w:rFonts w:ascii="Tahoma" w:eastAsia="Calibri" w:hAnsi="Tahoma" w:cs="Tahoma"/>
                <w:sz w:val="20"/>
                <w:szCs w:val="20"/>
                <w:lang w:eastAsia="en-US"/>
              </w:rPr>
              <w:t>По условиям договора (индивидуально)</w:t>
            </w:r>
          </w:p>
        </w:tc>
      </w:tr>
      <w:tr w:rsidR="00470B5F" w:rsidRPr="00CE5927" w14:paraId="1D8AE1C8" w14:textId="77777777" w:rsidTr="00AD7716">
        <w:tc>
          <w:tcPr>
            <w:tcW w:w="7479" w:type="dxa"/>
            <w:shd w:val="clear" w:color="auto" w:fill="auto"/>
          </w:tcPr>
          <w:p w14:paraId="145A8D38" w14:textId="77777777" w:rsidR="00470B5F" w:rsidRPr="00CE5927" w:rsidRDefault="00470B5F" w:rsidP="00AD7716">
            <w:pPr>
              <w:ind w:left="426"/>
              <w:rPr>
                <w:rFonts w:ascii="Tahoma" w:eastAsia="Calibri" w:hAnsi="Tahoma" w:cs="Tahoma"/>
                <w:sz w:val="20"/>
                <w:szCs w:val="20"/>
                <w:lang w:eastAsia="en-US"/>
              </w:rPr>
            </w:pPr>
            <w:r w:rsidRPr="00CE5927">
              <w:rPr>
                <w:rFonts w:ascii="Tahoma" w:eastAsia="Calibri" w:hAnsi="Tahoma" w:cs="Tahoma"/>
                <w:sz w:val="20"/>
                <w:szCs w:val="20"/>
                <w:lang w:eastAsia="en-US"/>
              </w:rPr>
              <w:t>Выдача дубликата или восстановление утерянного кредитного договора, договоров обеспечения.</w:t>
            </w:r>
          </w:p>
        </w:tc>
        <w:tc>
          <w:tcPr>
            <w:tcW w:w="3261" w:type="dxa"/>
            <w:shd w:val="clear" w:color="auto" w:fill="auto"/>
          </w:tcPr>
          <w:p w14:paraId="70E85ED4" w14:textId="77777777" w:rsidR="00470B5F" w:rsidRPr="00CE5927" w:rsidRDefault="00470B5F" w:rsidP="00AD7716">
            <w:pPr>
              <w:ind w:left="426"/>
              <w:rPr>
                <w:rFonts w:ascii="Tahoma" w:eastAsia="Calibri" w:hAnsi="Tahoma" w:cs="Tahoma"/>
                <w:sz w:val="20"/>
                <w:szCs w:val="20"/>
                <w:lang w:eastAsia="en-US"/>
              </w:rPr>
            </w:pPr>
            <w:r w:rsidRPr="00CE5927">
              <w:rPr>
                <w:rFonts w:ascii="Tahoma" w:eastAsia="Calibri" w:hAnsi="Tahoma" w:cs="Tahoma"/>
                <w:sz w:val="20"/>
                <w:szCs w:val="20"/>
                <w:lang w:eastAsia="en-US"/>
              </w:rPr>
              <w:t>10 000 руб. за 1 договор</w:t>
            </w:r>
          </w:p>
        </w:tc>
      </w:tr>
      <w:tr w:rsidR="00470B5F" w:rsidRPr="00CE5927" w14:paraId="3F868409" w14:textId="77777777" w:rsidTr="00AD7716">
        <w:trPr>
          <w:trHeight w:val="1233"/>
        </w:trPr>
        <w:tc>
          <w:tcPr>
            <w:tcW w:w="7479" w:type="dxa"/>
            <w:shd w:val="clear" w:color="auto" w:fill="auto"/>
          </w:tcPr>
          <w:p w14:paraId="74046562" w14:textId="77777777" w:rsidR="00470B5F" w:rsidRPr="00CE5927" w:rsidRDefault="00470B5F" w:rsidP="00AD7716">
            <w:pPr>
              <w:ind w:left="426"/>
              <w:rPr>
                <w:rFonts w:ascii="Tahoma" w:eastAsia="Calibri" w:hAnsi="Tahoma" w:cs="Tahoma"/>
                <w:sz w:val="20"/>
                <w:szCs w:val="20"/>
                <w:lang w:eastAsia="en-US"/>
              </w:rPr>
            </w:pPr>
            <w:r w:rsidRPr="00CE5927">
              <w:rPr>
                <w:rFonts w:ascii="Tahoma" w:eastAsia="Calibri" w:hAnsi="Tahoma" w:cs="Tahoma"/>
                <w:sz w:val="20"/>
                <w:szCs w:val="20"/>
                <w:lang w:eastAsia="en-US"/>
              </w:rPr>
              <w:t xml:space="preserve">Осуществление комплекса необходимых мероприятий, направленных на изменение условий договоров обеспечения при наличии согласия «Азиатско-Тихоокеанский Банк» </w:t>
            </w:r>
            <w:r>
              <w:rPr>
                <w:rFonts w:ascii="Tahoma" w:eastAsia="Calibri" w:hAnsi="Tahoma" w:cs="Tahoma"/>
                <w:sz w:val="20"/>
                <w:szCs w:val="20"/>
                <w:lang w:eastAsia="en-US"/>
              </w:rPr>
              <w:t>(АО)</w:t>
            </w:r>
            <w:r w:rsidRPr="00CE5927">
              <w:rPr>
                <w:rFonts w:ascii="Tahoma" w:eastAsia="Calibri" w:hAnsi="Tahoma" w:cs="Tahoma"/>
                <w:sz w:val="20"/>
                <w:szCs w:val="20"/>
                <w:lang w:eastAsia="en-US"/>
              </w:rPr>
              <w:t xml:space="preserve"> (замена залога, вывод имущества из-под залога, замена залогодателя, замена поручителя,  вывод поручителя)</w:t>
            </w:r>
          </w:p>
        </w:tc>
        <w:tc>
          <w:tcPr>
            <w:tcW w:w="3261" w:type="dxa"/>
            <w:shd w:val="clear" w:color="auto" w:fill="auto"/>
          </w:tcPr>
          <w:p w14:paraId="67B2557D" w14:textId="77777777" w:rsidR="00470B5F" w:rsidRPr="00CE5927" w:rsidRDefault="00470B5F" w:rsidP="00AD7716">
            <w:pPr>
              <w:ind w:left="426"/>
              <w:rPr>
                <w:rFonts w:ascii="Tahoma" w:eastAsia="Calibri" w:hAnsi="Tahoma" w:cs="Tahoma"/>
                <w:sz w:val="20"/>
                <w:szCs w:val="20"/>
                <w:lang w:eastAsia="en-US"/>
              </w:rPr>
            </w:pPr>
            <w:r w:rsidRPr="00CE5927">
              <w:rPr>
                <w:rFonts w:ascii="Tahoma" w:eastAsia="Calibri" w:hAnsi="Tahoma" w:cs="Tahoma"/>
                <w:sz w:val="20"/>
                <w:szCs w:val="20"/>
                <w:lang w:eastAsia="en-US"/>
              </w:rPr>
              <w:t>2360 руб.</w:t>
            </w:r>
          </w:p>
        </w:tc>
      </w:tr>
      <w:tr w:rsidR="00470B5F" w:rsidRPr="00CE5927" w14:paraId="75C93028" w14:textId="77777777" w:rsidTr="00AD7716">
        <w:tc>
          <w:tcPr>
            <w:tcW w:w="7479" w:type="dxa"/>
            <w:shd w:val="clear" w:color="auto" w:fill="auto"/>
          </w:tcPr>
          <w:p w14:paraId="26842F21" w14:textId="77777777" w:rsidR="00470B5F" w:rsidRPr="00CE5927" w:rsidRDefault="00470B5F" w:rsidP="00AD7716">
            <w:pPr>
              <w:ind w:left="426"/>
              <w:rPr>
                <w:rFonts w:ascii="Tahoma" w:eastAsia="Calibri" w:hAnsi="Tahoma" w:cs="Tahoma"/>
                <w:sz w:val="20"/>
                <w:szCs w:val="20"/>
                <w:lang w:eastAsia="en-US"/>
              </w:rPr>
            </w:pPr>
            <w:r w:rsidRPr="00CE5927">
              <w:rPr>
                <w:rFonts w:ascii="Tahoma" w:eastAsia="Calibri" w:hAnsi="Tahoma" w:cs="Tahoma"/>
                <w:sz w:val="20"/>
                <w:szCs w:val="20"/>
                <w:lang w:eastAsia="en-US"/>
              </w:rPr>
              <w:t>Штраф за не предоставление в установленный кредитным договором срок документов, подтверждающих целевое использование кредитных средств, в рамках ипотечного кредитования и автокредитования (в т.ч. предоставление документов, подтверждающих целевое использование кредитных средств, при этом оформленных на третье лицо (за исключением документов, оформленных на супруга/у))</w:t>
            </w:r>
          </w:p>
        </w:tc>
        <w:tc>
          <w:tcPr>
            <w:tcW w:w="3261" w:type="dxa"/>
            <w:shd w:val="clear" w:color="auto" w:fill="auto"/>
          </w:tcPr>
          <w:p w14:paraId="3810C102" w14:textId="77777777" w:rsidR="00470B5F" w:rsidRPr="00CE5927" w:rsidRDefault="00470B5F" w:rsidP="00AD7716">
            <w:pPr>
              <w:ind w:left="426"/>
              <w:rPr>
                <w:rFonts w:ascii="Tahoma" w:eastAsia="Calibri" w:hAnsi="Tahoma" w:cs="Tahoma"/>
                <w:sz w:val="20"/>
                <w:szCs w:val="20"/>
                <w:lang w:eastAsia="en-US"/>
              </w:rPr>
            </w:pPr>
            <w:r w:rsidRPr="00CE5927">
              <w:rPr>
                <w:rFonts w:ascii="Tahoma" w:eastAsia="Calibri" w:hAnsi="Tahoma" w:cs="Tahoma"/>
                <w:sz w:val="20"/>
                <w:szCs w:val="20"/>
                <w:lang w:eastAsia="en-US"/>
              </w:rPr>
              <w:t>5000 рублей</w:t>
            </w:r>
          </w:p>
        </w:tc>
      </w:tr>
      <w:tr w:rsidR="00470B5F" w:rsidRPr="00CE5927" w14:paraId="063590CA" w14:textId="77777777" w:rsidTr="00AD7716">
        <w:tc>
          <w:tcPr>
            <w:tcW w:w="7479" w:type="dxa"/>
            <w:shd w:val="clear" w:color="auto" w:fill="auto"/>
          </w:tcPr>
          <w:p w14:paraId="424964D8" w14:textId="77777777" w:rsidR="00470B5F" w:rsidRPr="00CE5927" w:rsidRDefault="00470B5F" w:rsidP="00AD7716">
            <w:pPr>
              <w:ind w:left="426"/>
              <w:rPr>
                <w:rFonts w:ascii="Tahoma" w:eastAsia="Calibri" w:hAnsi="Tahoma" w:cs="Tahoma"/>
                <w:sz w:val="20"/>
                <w:szCs w:val="20"/>
                <w:lang w:eastAsia="en-US"/>
              </w:rPr>
            </w:pPr>
            <w:r w:rsidRPr="00CE5927">
              <w:rPr>
                <w:rFonts w:ascii="Tahoma" w:eastAsia="Calibri" w:hAnsi="Tahoma" w:cs="Tahoma"/>
                <w:sz w:val="20"/>
                <w:szCs w:val="20"/>
                <w:lang w:eastAsia="en-US"/>
              </w:rPr>
              <w:t>Предлагаемый платеж за рассмотрение Банком по инициативе Заемщика возможности снижения кредитной нагрузки заемщика по Кредитному договору</w:t>
            </w:r>
          </w:p>
        </w:tc>
        <w:tc>
          <w:tcPr>
            <w:tcW w:w="3261" w:type="dxa"/>
            <w:shd w:val="clear" w:color="auto" w:fill="auto"/>
          </w:tcPr>
          <w:p w14:paraId="14AE851E" w14:textId="77777777" w:rsidR="00470B5F" w:rsidRPr="00CE5927" w:rsidRDefault="00470B5F" w:rsidP="00AD7716">
            <w:pPr>
              <w:ind w:left="426"/>
              <w:rPr>
                <w:rFonts w:ascii="Tahoma" w:eastAsia="Calibri" w:hAnsi="Tahoma" w:cs="Tahoma"/>
                <w:sz w:val="20"/>
                <w:szCs w:val="20"/>
                <w:lang w:eastAsia="en-US"/>
              </w:rPr>
            </w:pPr>
            <w:r w:rsidRPr="00CE5927">
              <w:rPr>
                <w:rFonts w:ascii="Tahoma" w:eastAsia="Calibri" w:hAnsi="Tahoma" w:cs="Tahoma"/>
                <w:sz w:val="20"/>
                <w:szCs w:val="20"/>
                <w:lang w:eastAsia="en-US"/>
              </w:rPr>
              <w:t>1499 рублей</w:t>
            </w:r>
          </w:p>
        </w:tc>
      </w:tr>
    </w:tbl>
    <w:p w14:paraId="50005466" w14:textId="77777777" w:rsidR="00470B5F" w:rsidRDefault="00470B5F" w:rsidP="00470B5F">
      <w:pPr>
        <w:ind w:left="426"/>
        <w:jc w:val="both"/>
        <w:rPr>
          <w:rFonts w:ascii="Tahoma" w:hAnsi="Tahoma" w:cs="Tahoma"/>
          <w:color w:val="000000"/>
          <w:sz w:val="20"/>
          <w:szCs w:val="20"/>
          <w:lang w:val="en-US"/>
        </w:rPr>
      </w:pPr>
    </w:p>
    <w:p w14:paraId="37B29DAE" w14:textId="77777777" w:rsidR="00470B5F" w:rsidRDefault="00470B5F" w:rsidP="00470B5F">
      <w:pPr>
        <w:ind w:left="426"/>
        <w:jc w:val="both"/>
        <w:rPr>
          <w:rFonts w:ascii="Tahoma" w:hAnsi="Tahoma" w:cs="Tahoma"/>
          <w:color w:val="000000"/>
          <w:sz w:val="20"/>
          <w:szCs w:val="20"/>
          <w:lang w:val="en-US"/>
        </w:rPr>
      </w:pPr>
    </w:p>
    <w:p w14:paraId="5A57E0C5" w14:textId="77777777" w:rsidR="00470B5F" w:rsidRDefault="00470B5F" w:rsidP="00470B5F">
      <w:pPr>
        <w:ind w:left="426"/>
        <w:jc w:val="both"/>
        <w:rPr>
          <w:rFonts w:ascii="Tahoma" w:hAnsi="Tahoma" w:cs="Tahoma"/>
          <w:color w:val="000000"/>
          <w:sz w:val="20"/>
          <w:szCs w:val="20"/>
          <w:lang w:val="en-US"/>
        </w:rPr>
      </w:pPr>
    </w:p>
    <w:p w14:paraId="074FC544" w14:textId="77777777" w:rsidR="00267AB0" w:rsidRPr="00272EE7" w:rsidRDefault="00267AB0" w:rsidP="000B3718">
      <w:pPr>
        <w:pStyle w:val="a5"/>
      </w:pPr>
      <w:r w:rsidRPr="00272EE7">
        <w:t xml:space="preserve">2.1.3. Тарифный план «Бизнес </w:t>
      </w:r>
      <w:r>
        <w:t>И</w:t>
      </w:r>
      <w:r w:rsidRPr="00272EE7">
        <w:t>потека»</w:t>
      </w:r>
    </w:p>
    <w:p w14:paraId="1A4F7A94" w14:textId="77777777" w:rsidR="00267AB0" w:rsidRDefault="00267AB0" w:rsidP="00267AB0">
      <w:pPr>
        <w:widowControl w:val="0"/>
        <w:tabs>
          <w:tab w:val="left" w:pos="0"/>
          <w:tab w:val="left" w:pos="561"/>
          <w:tab w:val="left" w:pos="851"/>
        </w:tabs>
        <w:autoSpaceDE w:val="0"/>
        <w:autoSpaceDN w:val="0"/>
        <w:adjustRightInd w:val="0"/>
        <w:ind w:right="-426"/>
        <w:rPr>
          <w:rFonts w:ascii="Tahoma" w:hAnsi="Tahoma" w:cs="Tahoma"/>
          <w:b/>
          <w:i/>
          <w:color w:val="E36C0A"/>
          <w:sz w:val="20"/>
          <w:szCs w:val="20"/>
        </w:rPr>
      </w:pPr>
    </w:p>
    <w:p w14:paraId="761E2E11" w14:textId="77777777" w:rsidR="00267AB0" w:rsidRDefault="00267AB0" w:rsidP="00267AB0">
      <w:pPr>
        <w:widowControl w:val="0"/>
        <w:tabs>
          <w:tab w:val="left" w:pos="0"/>
          <w:tab w:val="left" w:pos="561"/>
          <w:tab w:val="left" w:pos="851"/>
        </w:tabs>
        <w:autoSpaceDE w:val="0"/>
        <w:autoSpaceDN w:val="0"/>
        <w:adjustRightInd w:val="0"/>
        <w:ind w:right="-426"/>
        <w:rPr>
          <w:rFonts w:ascii="Tahoma" w:hAnsi="Tahoma" w:cs="Tahoma"/>
          <w:b/>
          <w:i/>
          <w:color w:val="E36C0A"/>
          <w:sz w:val="20"/>
          <w:szCs w:val="20"/>
        </w:rPr>
      </w:pPr>
    </w:p>
    <w:tbl>
      <w:tblPr>
        <w:tblStyle w:val="aff0"/>
        <w:tblW w:w="0" w:type="auto"/>
        <w:tblInd w:w="567" w:type="dxa"/>
        <w:tblLook w:val="04A0" w:firstRow="1" w:lastRow="0" w:firstColumn="1" w:lastColumn="0" w:noHBand="0" w:noVBand="1"/>
      </w:tblPr>
      <w:tblGrid>
        <w:gridCol w:w="4361"/>
        <w:gridCol w:w="1537"/>
        <w:gridCol w:w="2050"/>
        <w:gridCol w:w="677"/>
        <w:gridCol w:w="1259"/>
        <w:gridCol w:w="146"/>
        <w:gridCol w:w="1790"/>
        <w:gridCol w:w="1847"/>
        <w:gridCol w:w="194"/>
        <w:gridCol w:w="1914"/>
      </w:tblGrid>
      <w:tr w:rsidR="00267AB0" w:rsidRPr="00C82025" w14:paraId="7D57EDC3" w14:textId="77777777" w:rsidTr="00AA653D">
        <w:tc>
          <w:tcPr>
            <w:tcW w:w="4361" w:type="dxa"/>
            <w:vAlign w:val="center"/>
          </w:tcPr>
          <w:p w14:paraId="7EDA4C1E" w14:textId="77777777" w:rsidR="00267AB0" w:rsidRPr="00C82025" w:rsidRDefault="00267AB0" w:rsidP="00AA653D">
            <w:pPr>
              <w:rPr>
                <w:rFonts w:ascii="Tahoma" w:hAnsi="Tahoma" w:cs="Tahoma"/>
                <w:b/>
                <w:bCs/>
                <w:sz w:val="20"/>
                <w:szCs w:val="20"/>
              </w:rPr>
            </w:pPr>
            <w:r w:rsidRPr="00C82025">
              <w:rPr>
                <w:rFonts w:ascii="Tahoma" w:hAnsi="Tahoma" w:cs="Tahoma"/>
                <w:b/>
                <w:bCs/>
                <w:sz w:val="20"/>
                <w:szCs w:val="20"/>
              </w:rPr>
              <w:t>Наименование продукта/ тарифного плана</w:t>
            </w:r>
          </w:p>
        </w:tc>
        <w:tc>
          <w:tcPr>
            <w:tcW w:w="11414" w:type="dxa"/>
            <w:gridSpan w:val="9"/>
            <w:vAlign w:val="center"/>
          </w:tcPr>
          <w:p w14:paraId="17A7042D" w14:textId="77777777" w:rsidR="00267AB0" w:rsidRPr="00C82025" w:rsidRDefault="00267AB0" w:rsidP="00AA653D">
            <w:pPr>
              <w:jc w:val="center"/>
              <w:rPr>
                <w:rFonts w:ascii="Tahoma" w:hAnsi="Tahoma" w:cs="Tahoma"/>
                <w:b/>
                <w:bCs/>
                <w:sz w:val="20"/>
                <w:szCs w:val="20"/>
              </w:rPr>
            </w:pPr>
            <w:r w:rsidRPr="00C82025">
              <w:rPr>
                <w:rFonts w:ascii="Tahoma" w:hAnsi="Tahoma" w:cs="Tahoma"/>
                <w:b/>
                <w:bCs/>
                <w:sz w:val="20"/>
                <w:szCs w:val="20"/>
              </w:rPr>
              <w:t>«Бизнес Ипотека»</w:t>
            </w:r>
          </w:p>
        </w:tc>
      </w:tr>
      <w:tr w:rsidR="00267AB0" w:rsidRPr="00860EF1" w14:paraId="22F3C637" w14:textId="77777777" w:rsidTr="00AA653D">
        <w:tc>
          <w:tcPr>
            <w:tcW w:w="4361" w:type="dxa"/>
          </w:tcPr>
          <w:p w14:paraId="3149539E" w14:textId="77777777" w:rsidR="00267AB0" w:rsidRPr="00860EF1" w:rsidRDefault="00267AB0" w:rsidP="00AA653D">
            <w:pPr>
              <w:rPr>
                <w:rFonts w:ascii="Tahoma" w:hAnsi="Tahoma" w:cs="Tahoma"/>
                <w:b/>
                <w:bCs/>
                <w:sz w:val="20"/>
                <w:szCs w:val="20"/>
              </w:rPr>
            </w:pPr>
            <w:r w:rsidRPr="00860EF1">
              <w:rPr>
                <w:rFonts w:ascii="Tahoma" w:hAnsi="Tahoma" w:cs="Tahoma"/>
                <w:b/>
                <w:bCs/>
                <w:sz w:val="20"/>
                <w:szCs w:val="20"/>
              </w:rPr>
              <w:t>Вид Кредита</w:t>
            </w:r>
          </w:p>
        </w:tc>
        <w:tc>
          <w:tcPr>
            <w:tcW w:w="11414" w:type="dxa"/>
            <w:gridSpan w:val="9"/>
          </w:tcPr>
          <w:p w14:paraId="65199EF3" w14:textId="77777777" w:rsidR="00267AB0" w:rsidRPr="00860EF1" w:rsidRDefault="00267AB0" w:rsidP="00AA653D">
            <w:pPr>
              <w:jc w:val="both"/>
              <w:rPr>
                <w:rFonts w:ascii="Tahoma" w:hAnsi="Tahoma" w:cs="Tahoma"/>
                <w:sz w:val="20"/>
                <w:szCs w:val="20"/>
              </w:rPr>
            </w:pPr>
            <w:r w:rsidRPr="00860EF1">
              <w:rPr>
                <w:rFonts w:ascii="Tahoma" w:hAnsi="Tahoma" w:cs="Tahoma"/>
                <w:sz w:val="20"/>
                <w:szCs w:val="20"/>
              </w:rPr>
              <w:t>Кредитный договор, обязательства по которому обеспечены ипотекой /потребительский Кредит, обязательства по которому обеспечены ипотекой.</w:t>
            </w:r>
          </w:p>
        </w:tc>
      </w:tr>
      <w:tr w:rsidR="00267AB0" w:rsidRPr="00860EF1" w14:paraId="555A7A39" w14:textId="77777777" w:rsidTr="00AA653D">
        <w:tc>
          <w:tcPr>
            <w:tcW w:w="4361" w:type="dxa"/>
            <w:vAlign w:val="center"/>
          </w:tcPr>
          <w:p w14:paraId="7D080212" w14:textId="77777777" w:rsidR="00267AB0" w:rsidRPr="00860EF1" w:rsidRDefault="00267AB0" w:rsidP="00AA653D">
            <w:pPr>
              <w:rPr>
                <w:rFonts w:ascii="Tahoma" w:hAnsi="Tahoma" w:cs="Tahoma"/>
                <w:b/>
                <w:bCs/>
              </w:rPr>
            </w:pPr>
            <w:r w:rsidRPr="00860EF1">
              <w:rPr>
                <w:rFonts w:ascii="Tahoma" w:hAnsi="Tahoma" w:cs="Tahoma"/>
                <w:b/>
                <w:bCs/>
                <w:sz w:val="20"/>
                <w:szCs w:val="20"/>
              </w:rPr>
              <w:t>Цель Кредита</w:t>
            </w:r>
          </w:p>
        </w:tc>
        <w:tc>
          <w:tcPr>
            <w:tcW w:w="11414" w:type="dxa"/>
            <w:gridSpan w:val="9"/>
            <w:vAlign w:val="center"/>
          </w:tcPr>
          <w:p w14:paraId="3744616E" w14:textId="77777777" w:rsidR="00267AB0" w:rsidRPr="00860EF1" w:rsidRDefault="00267AB0" w:rsidP="00AA653D">
            <w:pPr>
              <w:jc w:val="both"/>
              <w:rPr>
                <w:rFonts w:ascii="Tahoma" w:hAnsi="Tahoma" w:cs="Tahoma"/>
                <w:sz w:val="20"/>
                <w:szCs w:val="20"/>
              </w:rPr>
            </w:pPr>
            <w:r w:rsidRPr="00860EF1">
              <w:rPr>
                <w:rFonts w:ascii="Tahoma" w:hAnsi="Tahoma" w:cs="Tahoma"/>
                <w:sz w:val="20"/>
                <w:szCs w:val="20"/>
              </w:rPr>
              <w:t>Приобретение объектов недвижимости для использования в личных и коммерческих целях, а также на любые цели под залог имеющейся коммерческой/</w:t>
            </w:r>
            <w:r w:rsidRPr="00A0716F">
              <w:rPr>
                <w:rFonts w:ascii="Tahoma" w:hAnsi="Tahoma" w:cs="Tahoma"/>
                <w:sz w:val="20"/>
                <w:szCs w:val="20"/>
              </w:rPr>
              <w:t>жилой</w:t>
            </w:r>
            <w:r w:rsidRPr="00A0716F">
              <w:rPr>
                <w:rFonts w:ascii="Tahoma" w:hAnsi="Tahoma" w:cs="Tahoma"/>
                <w:sz w:val="20"/>
                <w:szCs w:val="20"/>
                <w:vertAlign w:val="superscript"/>
              </w:rPr>
              <w:t>1</w:t>
            </w:r>
            <w:r w:rsidRPr="00A0716F">
              <w:rPr>
                <w:rFonts w:ascii="Tahoma" w:hAnsi="Tahoma" w:cs="Tahoma"/>
                <w:sz w:val="20"/>
                <w:szCs w:val="20"/>
              </w:rPr>
              <w:t xml:space="preserve"> недвижимости</w:t>
            </w:r>
            <w:r w:rsidRPr="00860EF1">
              <w:rPr>
                <w:rFonts w:ascii="Tahoma" w:hAnsi="Tahoma" w:cs="Tahoma"/>
                <w:sz w:val="20"/>
                <w:szCs w:val="20"/>
              </w:rPr>
              <w:t>.</w:t>
            </w:r>
          </w:p>
        </w:tc>
      </w:tr>
      <w:tr w:rsidR="00267AB0" w:rsidRPr="00860EF1" w14:paraId="24D27F19" w14:textId="77777777" w:rsidTr="00AA653D">
        <w:tc>
          <w:tcPr>
            <w:tcW w:w="4361" w:type="dxa"/>
            <w:vAlign w:val="center"/>
          </w:tcPr>
          <w:p w14:paraId="0B0FBE91" w14:textId="77777777" w:rsidR="00267AB0" w:rsidRPr="00860EF1" w:rsidRDefault="00267AB0" w:rsidP="00AA653D">
            <w:pPr>
              <w:jc w:val="both"/>
              <w:rPr>
                <w:rFonts w:ascii="Tahoma" w:hAnsi="Tahoma" w:cs="Tahoma"/>
                <w:b/>
                <w:bCs/>
                <w:sz w:val="20"/>
                <w:szCs w:val="20"/>
              </w:rPr>
            </w:pPr>
            <w:r w:rsidRPr="00860EF1">
              <w:rPr>
                <w:rFonts w:ascii="Tahoma" w:hAnsi="Tahoma" w:cs="Tahoma"/>
                <w:b/>
                <w:bCs/>
                <w:sz w:val="20"/>
                <w:szCs w:val="20"/>
              </w:rPr>
              <w:t>Подразделения сети/Точки продаж, реализующие кредитный продукт</w:t>
            </w:r>
          </w:p>
        </w:tc>
        <w:tc>
          <w:tcPr>
            <w:tcW w:w="11414" w:type="dxa"/>
            <w:gridSpan w:val="9"/>
            <w:vAlign w:val="center"/>
          </w:tcPr>
          <w:p w14:paraId="760E7CB1" w14:textId="77777777" w:rsidR="00267AB0" w:rsidRPr="00860EF1" w:rsidRDefault="00267AB0" w:rsidP="00AA653D">
            <w:pPr>
              <w:jc w:val="both"/>
              <w:rPr>
                <w:rFonts w:ascii="Tahoma" w:hAnsi="Tahoma" w:cs="Tahoma"/>
                <w:sz w:val="20"/>
                <w:szCs w:val="20"/>
              </w:rPr>
            </w:pPr>
            <w:r w:rsidRPr="00860EF1">
              <w:rPr>
                <w:rFonts w:ascii="Tahoma" w:hAnsi="Tahoma" w:cs="Tahoma"/>
                <w:sz w:val="20"/>
                <w:szCs w:val="20"/>
              </w:rPr>
              <w:t xml:space="preserve">Все подразделения Банка. </w:t>
            </w:r>
          </w:p>
        </w:tc>
      </w:tr>
      <w:tr w:rsidR="00267AB0" w:rsidRPr="00860EF1" w14:paraId="06DCBB9B" w14:textId="77777777" w:rsidTr="00AA653D">
        <w:tc>
          <w:tcPr>
            <w:tcW w:w="4361" w:type="dxa"/>
          </w:tcPr>
          <w:p w14:paraId="3A62B208" w14:textId="77777777" w:rsidR="00267AB0" w:rsidRPr="00860EF1" w:rsidRDefault="00267AB0" w:rsidP="00AA653D">
            <w:pPr>
              <w:rPr>
                <w:rFonts w:ascii="Tahoma" w:hAnsi="Tahoma" w:cs="Tahoma"/>
                <w:b/>
                <w:bCs/>
                <w:sz w:val="20"/>
                <w:szCs w:val="20"/>
              </w:rPr>
            </w:pPr>
            <w:r w:rsidRPr="00860EF1">
              <w:rPr>
                <w:rFonts w:ascii="Tahoma" w:hAnsi="Tahoma" w:cs="Tahoma"/>
                <w:b/>
                <w:bCs/>
                <w:sz w:val="20"/>
                <w:szCs w:val="20"/>
              </w:rPr>
              <w:lastRenderedPageBreak/>
              <w:t>Категория Заемщика</w:t>
            </w:r>
          </w:p>
        </w:tc>
        <w:tc>
          <w:tcPr>
            <w:tcW w:w="11414" w:type="dxa"/>
            <w:gridSpan w:val="9"/>
            <w:vAlign w:val="center"/>
          </w:tcPr>
          <w:p w14:paraId="7754AF79" w14:textId="77777777" w:rsidR="00267AB0" w:rsidRPr="00860EF1" w:rsidRDefault="00267AB0" w:rsidP="00AA653D">
            <w:pPr>
              <w:jc w:val="both"/>
              <w:rPr>
                <w:rFonts w:ascii="Tahoma" w:hAnsi="Tahoma" w:cs="Tahoma"/>
                <w:sz w:val="20"/>
                <w:szCs w:val="20"/>
              </w:rPr>
            </w:pPr>
            <w:r w:rsidRPr="00860EF1">
              <w:rPr>
                <w:rFonts w:ascii="Tahoma" w:hAnsi="Tahoma" w:cs="Tahoma"/>
                <w:sz w:val="20"/>
                <w:szCs w:val="20"/>
              </w:rPr>
              <w:t>Физическое лицо, получающее прибыль от предпринимательской деятельности/ участник хозяйственного общества, имеющий право на получение части прибыли такого общества, предназначенной для распределения между его участниками, в доле не менее 25 % от объема распределяемой прибыли.</w:t>
            </w:r>
          </w:p>
        </w:tc>
      </w:tr>
      <w:tr w:rsidR="00267AB0" w:rsidRPr="00860EF1" w14:paraId="2CB928BB" w14:textId="77777777" w:rsidTr="00AA653D">
        <w:tc>
          <w:tcPr>
            <w:tcW w:w="4361" w:type="dxa"/>
            <w:vAlign w:val="center"/>
          </w:tcPr>
          <w:p w14:paraId="5D15EC85" w14:textId="77777777" w:rsidR="00267AB0" w:rsidRPr="00860EF1" w:rsidRDefault="00267AB0" w:rsidP="00AA653D">
            <w:pPr>
              <w:rPr>
                <w:rFonts w:ascii="Tahoma" w:hAnsi="Tahoma" w:cs="Tahoma"/>
                <w:b/>
                <w:bCs/>
                <w:sz w:val="20"/>
                <w:szCs w:val="20"/>
              </w:rPr>
            </w:pPr>
            <w:r w:rsidRPr="00860EF1">
              <w:rPr>
                <w:rFonts w:ascii="Tahoma" w:hAnsi="Tahoma" w:cs="Tahoma"/>
                <w:b/>
                <w:bCs/>
                <w:sz w:val="20"/>
                <w:szCs w:val="20"/>
              </w:rPr>
              <w:t>Минимальная сумма Кредита</w:t>
            </w:r>
          </w:p>
        </w:tc>
        <w:tc>
          <w:tcPr>
            <w:tcW w:w="11414" w:type="dxa"/>
            <w:gridSpan w:val="9"/>
            <w:vAlign w:val="center"/>
          </w:tcPr>
          <w:p w14:paraId="2D1F8189" w14:textId="77777777" w:rsidR="00267AB0" w:rsidRPr="00860EF1" w:rsidRDefault="00267AB0" w:rsidP="00AA653D">
            <w:pPr>
              <w:jc w:val="center"/>
              <w:rPr>
                <w:rFonts w:ascii="Tahoma" w:hAnsi="Tahoma" w:cs="Tahoma"/>
                <w:sz w:val="20"/>
                <w:szCs w:val="20"/>
              </w:rPr>
            </w:pPr>
            <w:r w:rsidRPr="00860EF1">
              <w:rPr>
                <w:rFonts w:ascii="Tahoma" w:hAnsi="Tahoma" w:cs="Tahoma"/>
                <w:sz w:val="20"/>
                <w:szCs w:val="20"/>
              </w:rPr>
              <w:t>500 000 руб.</w:t>
            </w:r>
          </w:p>
        </w:tc>
      </w:tr>
      <w:tr w:rsidR="00267AB0" w:rsidRPr="00860EF1" w14:paraId="163DD971" w14:textId="77777777" w:rsidTr="00AA653D">
        <w:tc>
          <w:tcPr>
            <w:tcW w:w="4361" w:type="dxa"/>
            <w:vAlign w:val="center"/>
          </w:tcPr>
          <w:p w14:paraId="565C5E1B" w14:textId="77777777" w:rsidR="00267AB0" w:rsidRPr="00860EF1" w:rsidRDefault="00267AB0" w:rsidP="00AA653D">
            <w:pPr>
              <w:rPr>
                <w:rFonts w:ascii="Tahoma" w:hAnsi="Tahoma" w:cs="Tahoma"/>
                <w:b/>
                <w:bCs/>
                <w:sz w:val="20"/>
                <w:szCs w:val="20"/>
              </w:rPr>
            </w:pPr>
            <w:r w:rsidRPr="00860EF1">
              <w:rPr>
                <w:rFonts w:ascii="Tahoma" w:hAnsi="Tahoma" w:cs="Tahoma"/>
                <w:b/>
                <w:bCs/>
                <w:sz w:val="20"/>
                <w:szCs w:val="20"/>
              </w:rPr>
              <w:t xml:space="preserve">Максимальная сумма Кредита </w:t>
            </w:r>
            <w:r w:rsidRPr="00860EF1">
              <w:rPr>
                <w:rFonts w:ascii="Tahoma" w:hAnsi="Tahoma" w:cs="Tahoma"/>
                <w:b/>
                <w:bCs/>
                <w:sz w:val="20"/>
                <w:szCs w:val="20"/>
                <w:vertAlign w:val="superscript"/>
              </w:rPr>
              <w:t>2</w:t>
            </w:r>
          </w:p>
        </w:tc>
        <w:tc>
          <w:tcPr>
            <w:tcW w:w="11414" w:type="dxa"/>
            <w:gridSpan w:val="9"/>
            <w:vAlign w:val="center"/>
          </w:tcPr>
          <w:p w14:paraId="30931949" w14:textId="77777777" w:rsidR="00267AB0" w:rsidRPr="00860EF1" w:rsidRDefault="00267AB0" w:rsidP="00AA653D">
            <w:pPr>
              <w:jc w:val="center"/>
              <w:rPr>
                <w:rFonts w:ascii="Tahoma" w:hAnsi="Tahoma" w:cs="Tahoma"/>
                <w:sz w:val="20"/>
                <w:szCs w:val="20"/>
              </w:rPr>
            </w:pPr>
            <w:r w:rsidRPr="00860EF1">
              <w:rPr>
                <w:rFonts w:ascii="Tahoma" w:hAnsi="Tahoma" w:cs="Tahoma"/>
                <w:sz w:val="20"/>
                <w:szCs w:val="20"/>
              </w:rPr>
              <w:t xml:space="preserve">20 000 000 руб. </w:t>
            </w:r>
            <w:r w:rsidRPr="00860EF1">
              <w:rPr>
                <w:rFonts w:ascii="Tahoma" w:hAnsi="Tahoma" w:cs="Tahoma"/>
                <w:sz w:val="20"/>
                <w:szCs w:val="20"/>
                <w:vertAlign w:val="superscript"/>
              </w:rPr>
              <w:t>3</w:t>
            </w:r>
          </w:p>
        </w:tc>
      </w:tr>
      <w:tr w:rsidR="00267AB0" w:rsidRPr="00860EF1" w14:paraId="0029B862" w14:textId="77777777" w:rsidTr="00AA653D">
        <w:tc>
          <w:tcPr>
            <w:tcW w:w="4361" w:type="dxa"/>
            <w:vAlign w:val="center"/>
          </w:tcPr>
          <w:p w14:paraId="5DCB884F" w14:textId="77777777" w:rsidR="00267AB0" w:rsidRPr="00860EF1" w:rsidRDefault="00267AB0" w:rsidP="00AA653D">
            <w:pPr>
              <w:rPr>
                <w:rFonts w:ascii="Tahoma" w:hAnsi="Tahoma" w:cs="Tahoma"/>
                <w:b/>
                <w:bCs/>
                <w:sz w:val="20"/>
                <w:szCs w:val="20"/>
              </w:rPr>
            </w:pPr>
            <w:r w:rsidRPr="00860EF1">
              <w:rPr>
                <w:rFonts w:ascii="Tahoma" w:hAnsi="Tahoma" w:cs="Tahoma"/>
                <w:b/>
                <w:bCs/>
                <w:sz w:val="20"/>
                <w:szCs w:val="20"/>
              </w:rPr>
              <w:t>Валюта Кредита</w:t>
            </w:r>
          </w:p>
        </w:tc>
        <w:tc>
          <w:tcPr>
            <w:tcW w:w="11414" w:type="dxa"/>
            <w:gridSpan w:val="9"/>
            <w:vAlign w:val="center"/>
          </w:tcPr>
          <w:p w14:paraId="64392ABE" w14:textId="77777777" w:rsidR="00267AB0" w:rsidRPr="00860EF1" w:rsidRDefault="00267AB0" w:rsidP="00AA653D">
            <w:pPr>
              <w:jc w:val="center"/>
              <w:rPr>
                <w:rFonts w:ascii="Tahoma" w:hAnsi="Tahoma" w:cs="Tahoma"/>
                <w:sz w:val="20"/>
                <w:szCs w:val="20"/>
              </w:rPr>
            </w:pPr>
            <w:r w:rsidRPr="00860EF1">
              <w:rPr>
                <w:rFonts w:ascii="Tahoma" w:hAnsi="Tahoma" w:cs="Tahoma"/>
                <w:sz w:val="20"/>
                <w:szCs w:val="20"/>
              </w:rPr>
              <w:t>Рубли Российской Федерации (далее - рубли)</w:t>
            </w:r>
          </w:p>
        </w:tc>
      </w:tr>
      <w:tr w:rsidR="00267AB0" w:rsidRPr="00860EF1" w14:paraId="7CBD5A69" w14:textId="77777777" w:rsidTr="00AA653D">
        <w:tc>
          <w:tcPr>
            <w:tcW w:w="4361" w:type="dxa"/>
            <w:vAlign w:val="center"/>
          </w:tcPr>
          <w:p w14:paraId="5B9336A8" w14:textId="77777777" w:rsidR="00267AB0" w:rsidRPr="00860EF1" w:rsidRDefault="00267AB0" w:rsidP="00AA653D">
            <w:pPr>
              <w:rPr>
                <w:rFonts w:ascii="Tahoma" w:hAnsi="Tahoma" w:cs="Tahoma"/>
                <w:b/>
                <w:bCs/>
              </w:rPr>
            </w:pPr>
            <w:r w:rsidRPr="00860EF1">
              <w:rPr>
                <w:rFonts w:ascii="Tahoma" w:hAnsi="Tahoma" w:cs="Tahoma"/>
                <w:b/>
                <w:bCs/>
                <w:sz w:val="20"/>
                <w:szCs w:val="20"/>
              </w:rPr>
              <w:t>Диапазон сроков Кредита</w:t>
            </w:r>
          </w:p>
        </w:tc>
        <w:tc>
          <w:tcPr>
            <w:tcW w:w="11414" w:type="dxa"/>
            <w:gridSpan w:val="9"/>
            <w:vAlign w:val="center"/>
          </w:tcPr>
          <w:p w14:paraId="39A4A792" w14:textId="77777777" w:rsidR="00267AB0" w:rsidRPr="00860EF1" w:rsidRDefault="00267AB0" w:rsidP="00AA653D">
            <w:pPr>
              <w:jc w:val="center"/>
              <w:rPr>
                <w:rFonts w:ascii="Tahoma" w:hAnsi="Tahoma" w:cs="Tahoma"/>
                <w:sz w:val="20"/>
                <w:szCs w:val="20"/>
              </w:rPr>
            </w:pPr>
            <w:r w:rsidRPr="00860EF1">
              <w:rPr>
                <w:rFonts w:ascii="Tahoma" w:hAnsi="Tahoma" w:cs="Tahoma"/>
                <w:sz w:val="20"/>
                <w:szCs w:val="20"/>
              </w:rPr>
              <w:t>От 13 (тринадцати) до 120</w:t>
            </w:r>
            <w:r w:rsidRPr="00860EF1">
              <w:rPr>
                <w:rFonts w:ascii="Tahoma" w:hAnsi="Tahoma" w:cs="Tahoma"/>
                <w:sz w:val="20"/>
                <w:szCs w:val="20"/>
                <w:vertAlign w:val="superscript"/>
              </w:rPr>
              <w:t xml:space="preserve"> </w:t>
            </w:r>
            <w:r w:rsidRPr="00860EF1">
              <w:rPr>
                <w:rFonts w:ascii="Tahoma" w:hAnsi="Tahoma" w:cs="Tahoma"/>
                <w:sz w:val="20"/>
                <w:szCs w:val="20"/>
              </w:rPr>
              <w:t>(ста двадцати) месяцев включительно</w:t>
            </w:r>
          </w:p>
        </w:tc>
      </w:tr>
      <w:tr w:rsidR="00267AB0" w14:paraId="4951F1D8" w14:textId="77777777" w:rsidTr="00AA653D">
        <w:tc>
          <w:tcPr>
            <w:tcW w:w="4361" w:type="dxa"/>
            <w:vAlign w:val="center"/>
          </w:tcPr>
          <w:p w14:paraId="07426E33" w14:textId="77777777" w:rsidR="00267AB0" w:rsidRPr="00860EF1" w:rsidRDefault="00267AB0" w:rsidP="00AA653D">
            <w:pPr>
              <w:rPr>
                <w:rFonts w:ascii="Tahoma" w:hAnsi="Tahoma" w:cs="Tahoma"/>
                <w:b/>
                <w:bCs/>
                <w:sz w:val="20"/>
                <w:szCs w:val="20"/>
              </w:rPr>
            </w:pPr>
            <w:r w:rsidRPr="00860EF1">
              <w:rPr>
                <w:rFonts w:ascii="Tahoma" w:hAnsi="Tahoma" w:cs="Tahoma"/>
                <w:b/>
                <w:bCs/>
                <w:sz w:val="20"/>
                <w:szCs w:val="20"/>
              </w:rPr>
              <w:t>Диапазон процентных ставок по Кредиту за использование кредитных средств (в процентах годовых).</w:t>
            </w:r>
          </w:p>
        </w:tc>
        <w:tc>
          <w:tcPr>
            <w:tcW w:w="11414" w:type="dxa"/>
            <w:gridSpan w:val="9"/>
            <w:vAlign w:val="center"/>
          </w:tcPr>
          <w:p w14:paraId="1A8A5E57" w14:textId="77777777" w:rsidR="00267AB0" w:rsidRDefault="00267AB0" w:rsidP="00AA653D">
            <w:pPr>
              <w:rPr>
                <w:rFonts w:ascii="Tahoma" w:hAnsi="Tahoma" w:cs="Tahoma"/>
                <w:sz w:val="20"/>
                <w:szCs w:val="20"/>
              </w:rPr>
            </w:pPr>
            <w:r>
              <w:rPr>
                <w:rFonts w:ascii="Tahoma" w:hAnsi="Tahoma" w:cs="Tahoma"/>
                <w:sz w:val="20"/>
                <w:szCs w:val="20"/>
              </w:rPr>
              <w:t xml:space="preserve">Базовая процентная ставка от </w:t>
            </w:r>
            <w:r w:rsidRPr="002D467F">
              <w:rPr>
                <w:rFonts w:ascii="Tahoma" w:hAnsi="Tahoma" w:cs="Tahoma"/>
                <w:sz w:val="20"/>
                <w:szCs w:val="20"/>
              </w:rPr>
              <w:t>1</w:t>
            </w:r>
            <w:r>
              <w:rPr>
                <w:rFonts w:ascii="Tahoma" w:hAnsi="Tahoma" w:cs="Tahoma"/>
                <w:sz w:val="20"/>
                <w:szCs w:val="20"/>
              </w:rPr>
              <w:t>9,40 до 21,25 процентов годовых, процентная ставка для каждого Заёмщика определяется индивидуально по итогам анализа заявления Заемщика о предоставлении потребительского Кредита.</w:t>
            </w:r>
          </w:p>
        </w:tc>
      </w:tr>
      <w:tr w:rsidR="00267AB0" w14:paraId="6E37CAF4" w14:textId="77777777" w:rsidTr="00AA653D">
        <w:tc>
          <w:tcPr>
            <w:tcW w:w="4361" w:type="dxa"/>
            <w:vAlign w:val="center"/>
          </w:tcPr>
          <w:p w14:paraId="67B7B4D2" w14:textId="77777777" w:rsidR="00267AB0" w:rsidRPr="00860EF1" w:rsidRDefault="00267AB0" w:rsidP="00AA653D">
            <w:pPr>
              <w:rPr>
                <w:rFonts w:ascii="Tahoma" w:hAnsi="Tahoma" w:cs="Tahoma"/>
                <w:b/>
                <w:bCs/>
                <w:sz w:val="20"/>
                <w:szCs w:val="20"/>
              </w:rPr>
            </w:pPr>
          </w:p>
        </w:tc>
        <w:tc>
          <w:tcPr>
            <w:tcW w:w="11414" w:type="dxa"/>
            <w:gridSpan w:val="9"/>
            <w:vAlign w:val="center"/>
          </w:tcPr>
          <w:p w14:paraId="0DA0D5D3" w14:textId="77777777" w:rsidR="00267AB0" w:rsidRDefault="00267AB0" w:rsidP="00AA653D">
            <w:pPr>
              <w:jc w:val="center"/>
              <w:rPr>
                <w:rFonts w:ascii="Tahoma" w:hAnsi="Tahoma" w:cs="Tahoma"/>
                <w:sz w:val="20"/>
                <w:szCs w:val="20"/>
              </w:rPr>
            </w:pPr>
          </w:p>
        </w:tc>
      </w:tr>
      <w:tr w:rsidR="00267AB0" w:rsidRPr="00860EF1" w14:paraId="4A3423CD" w14:textId="77777777" w:rsidTr="00AA653D">
        <w:tc>
          <w:tcPr>
            <w:tcW w:w="4361" w:type="dxa"/>
            <w:vAlign w:val="center"/>
          </w:tcPr>
          <w:p w14:paraId="6D71E188" w14:textId="77777777" w:rsidR="00267AB0" w:rsidRPr="00860EF1" w:rsidRDefault="00267AB0" w:rsidP="00AA653D">
            <w:pPr>
              <w:rPr>
                <w:rFonts w:ascii="Tahoma" w:hAnsi="Tahoma" w:cs="Tahoma"/>
                <w:b/>
                <w:bCs/>
                <w:sz w:val="20"/>
                <w:szCs w:val="20"/>
              </w:rPr>
            </w:pPr>
            <w:r w:rsidRPr="00860EF1">
              <w:rPr>
                <w:rFonts w:ascii="Tahoma" w:hAnsi="Tahoma" w:cs="Tahoma"/>
                <w:b/>
                <w:bCs/>
                <w:sz w:val="20"/>
                <w:szCs w:val="20"/>
              </w:rPr>
              <w:t>Подтверждение дохода</w:t>
            </w:r>
          </w:p>
        </w:tc>
        <w:tc>
          <w:tcPr>
            <w:tcW w:w="11414" w:type="dxa"/>
            <w:gridSpan w:val="9"/>
            <w:vAlign w:val="center"/>
          </w:tcPr>
          <w:p w14:paraId="44E61804" w14:textId="77777777" w:rsidR="00267AB0" w:rsidRPr="00860EF1" w:rsidRDefault="00267AB0" w:rsidP="00AA653D">
            <w:pPr>
              <w:jc w:val="center"/>
              <w:rPr>
                <w:rFonts w:ascii="Tahoma" w:hAnsi="Tahoma" w:cs="Tahoma"/>
                <w:sz w:val="20"/>
                <w:szCs w:val="20"/>
              </w:rPr>
            </w:pPr>
            <w:r w:rsidRPr="00860EF1">
              <w:rPr>
                <w:rFonts w:ascii="Tahoma" w:hAnsi="Tahoma" w:cs="Tahoma"/>
                <w:sz w:val="20"/>
                <w:szCs w:val="20"/>
              </w:rPr>
              <w:t>Требуется</w:t>
            </w:r>
          </w:p>
        </w:tc>
      </w:tr>
      <w:tr w:rsidR="00267AB0" w:rsidRPr="00860EF1" w14:paraId="740657C9" w14:textId="77777777" w:rsidTr="00AA653D">
        <w:tc>
          <w:tcPr>
            <w:tcW w:w="4361" w:type="dxa"/>
            <w:vAlign w:val="center"/>
          </w:tcPr>
          <w:p w14:paraId="4D4E3ADA" w14:textId="77777777" w:rsidR="00267AB0" w:rsidRPr="00860EF1" w:rsidRDefault="00267AB0" w:rsidP="00AA653D">
            <w:pPr>
              <w:rPr>
                <w:rFonts w:ascii="Tahoma" w:hAnsi="Tahoma" w:cs="Tahoma"/>
                <w:b/>
                <w:bCs/>
                <w:sz w:val="20"/>
                <w:szCs w:val="20"/>
              </w:rPr>
            </w:pPr>
            <w:r w:rsidRPr="00860EF1">
              <w:rPr>
                <w:rFonts w:ascii="Tahoma" w:hAnsi="Tahoma" w:cs="Tahoma"/>
                <w:b/>
                <w:bCs/>
                <w:sz w:val="20"/>
                <w:szCs w:val="20"/>
              </w:rPr>
              <w:t>Срок рассмотрения оформленного Заемщиком заявления о предоставлении Кредита и принятия Кредитором решения относительно этого заявления</w:t>
            </w:r>
          </w:p>
        </w:tc>
        <w:tc>
          <w:tcPr>
            <w:tcW w:w="11414" w:type="dxa"/>
            <w:gridSpan w:val="9"/>
            <w:vAlign w:val="center"/>
          </w:tcPr>
          <w:p w14:paraId="4D348CB2" w14:textId="77777777" w:rsidR="00267AB0" w:rsidRPr="00860EF1" w:rsidRDefault="00267AB0" w:rsidP="00AA653D">
            <w:pPr>
              <w:widowControl w:val="0"/>
              <w:tabs>
                <w:tab w:val="left" w:pos="426"/>
                <w:tab w:val="left" w:pos="851"/>
              </w:tabs>
              <w:jc w:val="both"/>
              <w:rPr>
                <w:rFonts w:ascii="Tahoma" w:hAnsi="Tahoma" w:cs="Tahoma"/>
                <w:sz w:val="20"/>
                <w:szCs w:val="20"/>
              </w:rPr>
            </w:pPr>
            <w:r w:rsidRPr="00860EF1">
              <w:rPr>
                <w:rFonts w:ascii="Tahoma" w:hAnsi="Tahoma" w:cs="Tahoma"/>
                <w:sz w:val="20"/>
                <w:szCs w:val="20"/>
              </w:rPr>
              <w:t xml:space="preserve">Решение принимается в течение 3-х рабочих дней. Срок рассмотрения исчисляется с момента предоставления Заемщиком в Банк полного пакета документов. Срок рассмотрения заявления Заемщика о предоставлении Кредита может быть увеличен Банком в случае, если Банку требуется получить дополнительную информацию и/или документы, необходимые для принятия решения. </w:t>
            </w:r>
            <w:r w:rsidRPr="00860EF1">
              <w:rPr>
                <w:rFonts w:ascii="Tahoma" w:hAnsi="Tahoma" w:cs="Tahoma"/>
                <w:sz w:val="20"/>
                <w:szCs w:val="20"/>
              </w:rPr>
              <w:fldChar w:fldCharType="begin"/>
            </w:r>
            <w:r w:rsidRPr="00860EF1">
              <w:rPr>
                <w:rFonts w:ascii="Tahoma" w:hAnsi="Tahoma" w:cs="Tahoma"/>
                <w:sz w:val="20"/>
                <w:szCs w:val="20"/>
              </w:rPr>
              <w:instrText xml:space="preserve"> DOCVARIABLE  WAS_BORN_DMY </w:instrText>
            </w:r>
            <w:r w:rsidRPr="00860EF1">
              <w:rPr>
                <w:rFonts w:ascii="Tahoma" w:hAnsi="Tahoma" w:cs="Tahoma"/>
                <w:sz w:val="20"/>
                <w:szCs w:val="20"/>
              </w:rPr>
              <w:fldChar w:fldCharType="end"/>
            </w:r>
          </w:p>
        </w:tc>
      </w:tr>
      <w:tr w:rsidR="00267AB0" w:rsidRPr="00860EF1" w14:paraId="4E3ABD23" w14:textId="77777777" w:rsidTr="00AA653D">
        <w:tc>
          <w:tcPr>
            <w:tcW w:w="4361" w:type="dxa"/>
            <w:vAlign w:val="center"/>
          </w:tcPr>
          <w:p w14:paraId="3262B308" w14:textId="77777777" w:rsidR="00267AB0" w:rsidRPr="00860EF1" w:rsidRDefault="00267AB0" w:rsidP="00AA653D">
            <w:pPr>
              <w:rPr>
                <w:rFonts w:ascii="Tahoma" w:hAnsi="Tahoma" w:cs="Tahoma"/>
                <w:b/>
                <w:bCs/>
                <w:sz w:val="20"/>
                <w:szCs w:val="20"/>
              </w:rPr>
            </w:pPr>
            <w:r w:rsidRPr="00860EF1">
              <w:rPr>
                <w:rFonts w:ascii="Tahoma" w:hAnsi="Tahoma" w:cs="Tahoma"/>
                <w:b/>
                <w:bCs/>
                <w:sz w:val="20"/>
                <w:szCs w:val="20"/>
              </w:rPr>
              <w:t>Порядок погашения Кредита (периодичность платежей Заемщика при возврате потребительского Кредита, процентов и иных платежей по Кредиту)</w:t>
            </w:r>
          </w:p>
        </w:tc>
        <w:tc>
          <w:tcPr>
            <w:tcW w:w="11414" w:type="dxa"/>
            <w:gridSpan w:val="9"/>
            <w:vAlign w:val="center"/>
          </w:tcPr>
          <w:p w14:paraId="0F7AFADF" w14:textId="77777777" w:rsidR="00267AB0" w:rsidRPr="00860EF1" w:rsidRDefault="00267AB0" w:rsidP="00AA653D">
            <w:pPr>
              <w:jc w:val="both"/>
              <w:rPr>
                <w:rFonts w:ascii="Tahoma" w:hAnsi="Tahoma" w:cs="Tahoma"/>
                <w:sz w:val="20"/>
                <w:szCs w:val="20"/>
              </w:rPr>
            </w:pPr>
            <w:r w:rsidRPr="00860EF1">
              <w:rPr>
                <w:rFonts w:ascii="Tahoma" w:hAnsi="Tahoma" w:cs="Tahoma"/>
                <w:sz w:val="20"/>
                <w:szCs w:val="20"/>
              </w:rPr>
              <w:t xml:space="preserve">Ежемесячно аннуитетными платежами (отсрочка платежа не предусмотрена). </w:t>
            </w:r>
          </w:p>
          <w:p w14:paraId="7BF702FE" w14:textId="77777777" w:rsidR="00267AB0" w:rsidRPr="00860EF1" w:rsidRDefault="00267AB0" w:rsidP="00AA653D">
            <w:pPr>
              <w:jc w:val="both"/>
              <w:rPr>
                <w:rFonts w:ascii="Tahoma" w:hAnsi="Tahoma" w:cs="Tahoma"/>
              </w:rPr>
            </w:pPr>
            <w:r w:rsidRPr="00860EF1">
              <w:rPr>
                <w:rFonts w:ascii="Tahoma" w:hAnsi="Tahoma" w:cs="Tahoma"/>
                <w:sz w:val="20"/>
                <w:szCs w:val="20"/>
              </w:rPr>
              <w:t>Допускается досрочное погашение Кредита, в том числе частичное (в соответствии с порядком, установленным Договором).</w:t>
            </w:r>
          </w:p>
        </w:tc>
      </w:tr>
      <w:tr w:rsidR="00267AB0" w:rsidRPr="00F24C27" w14:paraId="475DC76E" w14:textId="77777777" w:rsidTr="00AA653D">
        <w:tc>
          <w:tcPr>
            <w:tcW w:w="4361" w:type="dxa"/>
            <w:vMerge w:val="restart"/>
            <w:vAlign w:val="center"/>
          </w:tcPr>
          <w:p w14:paraId="3E76D316" w14:textId="77777777" w:rsidR="00267AB0" w:rsidRPr="00F24C27" w:rsidRDefault="00267AB0" w:rsidP="00AA653D">
            <w:pPr>
              <w:rPr>
                <w:rFonts w:ascii="Tahoma" w:hAnsi="Tahoma" w:cs="Tahoma"/>
                <w:b/>
                <w:bCs/>
                <w:sz w:val="20"/>
                <w:szCs w:val="20"/>
              </w:rPr>
            </w:pPr>
            <w:r w:rsidRPr="00F24C27">
              <w:rPr>
                <w:rFonts w:ascii="Tahoma" w:hAnsi="Tahoma" w:cs="Tahoma"/>
                <w:b/>
                <w:bCs/>
                <w:sz w:val="20"/>
                <w:szCs w:val="20"/>
              </w:rPr>
              <w:t>Параметры продукта</w:t>
            </w:r>
          </w:p>
        </w:tc>
        <w:tc>
          <w:tcPr>
            <w:tcW w:w="1537" w:type="dxa"/>
          </w:tcPr>
          <w:p w14:paraId="6F8CD7FE" w14:textId="77777777" w:rsidR="00267AB0" w:rsidRPr="00F24C27" w:rsidRDefault="00267AB0" w:rsidP="00AA653D">
            <w:pPr>
              <w:jc w:val="center"/>
              <w:rPr>
                <w:rFonts w:ascii="Tahoma" w:hAnsi="Tahoma" w:cs="Tahoma"/>
                <w:b/>
                <w:sz w:val="20"/>
                <w:szCs w:val="20"/>
              </w:rPr>
            </w:pPr>
            <w:r>
              <w:rPr>
                <w:rFonts w:ascii="Tahoma" w:hAnsi="Tahoma" w:cs="Tahoma"/>
                <w:b/>
                <w:sz w:val="20"/>
                <w:szCs w:val="20"/>
              </w:rPr>
              <w:t>Срок кредита</w:t>
            </w:r>
          </w:p>
        </w:tc>
        <w:tc>
          <w:tcPr>
            <w:tcW w:w="2050" w:type="dxa"/>
          </w:tcPr>
          <w:p w14:paraId="094725C9" w14:textId="77777777" w:rsidR="00267AB0" w:rsidRPr="00F24C27" w:rsidRDefault="00267AB0" w:rsidP="00AA653D">
            <w:pPr>
              <w:jc w:val="center"/>
              <w:rPr>
                <w:rFonts w:ascii="Tahoma" w:hAnsi="Tahoma" w:cs="Tahoma"/>
                <w:b/>
                <w:sz w:val="20"/>
                <w:szCs w:val="20"/>
              </w:rPr>
            </w:pPr>
            <w:r w:rsidRPr="00F24C27">
              <w:rPr>
                <w:rFonts w:ascii="Tahoma" w:hAnsi="Tahoma" w:cs="Tahoma"/>
                <w:b/>
                <w:sz w:val="20"/>
                <w:szCs w:val="20"/>
              </w:rPr>
              <w:t>Сумма первоначального взноса</w:t>
            </w:r>
          </w:p>
        </w:tc>
        <w:tc>
          <w:tcPr>
            <w:tcW w:w="1936" w:type="dxa"/>
            <w:gridSpan w:val="2"/>
          </w:tcPr>
          <w:p w14:paraId="098142E6" w14:textId="77777777" w:rsidR="00267AB0" w:rsidRPr="00F24C27" w:rsidRDefault="00267AB0" w:rsidP="00AA653D">
            <w:pPr>
              <w:jc w:val="center"/>
              <w:rPr>
                <w:rFonts w:ascii="Tahoma" w:hAnsi="Tahoma" w:cs="Tahoma"/>
                <w:b/>
                <w:sz w:val="20"/>
                <w:szCs w:val="20"/>
              </w:rPr>
            </w:pPr>
            <w:r w:rsidRPr="00F24C27">
              <w:rPr>
                <w:rFonts w:ascii="Tahoma" w:hAnsi="Tahoma" w:cs="Tahoma"/>
                <w:b/>
                <w:sz w:val="20"/>
                <w:szCs w:val="20"/>
              </w:rPr>
              <w:t>Базовая процентная ставка по Кредиту под залог приоб</w:t>
            </w:r>
            <w:r>
              <w:rPr>
                <w:rFonts w:ascii="Tahoma" w:hAnsi="Tahoma" w:cs="Tahoma"/>
                <w:b/>
                <w:sz w:val="20"/>
                <w:szCs w:val="20"/>
              </w:rPr>
              <w:t xml:space="preserve">ретаемого недвижимого имущества </w:t>
            </w:r>
            <w:r w:rsidRPr="00D65BA2">
              <w:rPr>
                <w:rFonts w:ascii="Tahoma" w:hAnsi="Tahoma" w:cs="Tahoma"/>
                <w:b/>
                <w:sz w:val="20"/>
                <w:szCs w:val="20"/>
              </w:rPr>
              <w:t>(земельный участок)</w:t>
            </w:r>
          </w:p>
        </w:tc>
        <w:tc>
          <w:tcPr>
            <w:tcW w:w="1936" w:type="dxa"/>
            <w:gridSpan w:val="2"/>
          </w:tcPr>
          <w:p w14:paraId="3EF031D8" w14:textId="77777777" w:rsidR="00267AB0" w:rsidRPr="00F24C27" w:rsidRDefault="00267AB0" w:rsidP="00AA653D">
            <w:pPr>
              <w:jc w:val="center"/>
              <w:rPr>
                <w:rFonts w:ascii="Tahoma" w:hAnsi="Tahoma" w:cs="Tahoma"/>
                <w:b/>
                <w:sz w:val="20"/>
                <w:szCs w:val="20"/>
              </w:rPr>
            </w:pPr>
            <w:r w:rsidRPr="00F24C27">
              <w:rPr>
                <w:rFonts w:ascii="Tahoma" w:hAnsi="Tahoma" w:cs="Tahoma"/>
                <w:b/>
                <w:sz w:val="20"/>
                <w:szCs w:val="20"/>
              </w:rPr>
              <w:t>Базовая процентная ставка по Кредиту под залог приоб</w:t>
            </w:r>
            <w:r>
              <w:rPr>
                <w:rFonts w:ascii="Tahoma" w:hAnsi="Tahoma" w:cs="Tahoma"/>
                <w:b/>
                <w:sz w:val="20"/>
                <w:szCs w:val="20"/>
              </w:rPr>
              <w:t>ретаемого недвижимого имущества</w:t>
            </w:r>
          </w:p>
        </w:tc>
        <w:tc>
          <w:tcPr>
            <w:tcW w:w="2041" w:type="dxa"/>
            <w:gridSpan w:val="2"/>
          </w:tcPr>
          <w:p w14:paraId="1FB4FF77" w14:textId="77777777" w:rsidR="00267AB0" w:rsidRPr="00F24C27" w:rsidRDefault="00267AB0" w:rsidP="00AA653D">
            <w:pPr>
              <w:jc w:val="center"/>
              <w:rPr>
                <w:rFonts w:ascii="Tahoma" w:hAnsi="Tahoma" w:cs="Tahoma"/>
                <w:b/>
                <w:sz w:val="20"/>
                <w:szCs w:val="20"/>
              </w:rPr>
            </w:pPr>
            <w:r w:rsidRPr="00F24C27">
              <w:rPr>
                <w:rFonts w:ascii="Tahoma" w:hAnsi="Tahoma" w:cs="Tahoma"/>
                <w:b/>
                <w:sz w:val="20"/>
                <w:szCs w:val="20"/>
              </w:rPr>
              <w:t>Сумма залоговой стоимости передаваемого в залог объекта недвижимости (в % от суммы Кредита)</w:t>
            </w:r>
          </w:p>
        </w:tc>
        <w:tc>
          <w:tcPr>
            <w:tcW w:w="1914" w:type="dxa"/>
          </w:tcPr>
          <w:p w14:paraId="7DB94374" w14:textId="77777777" w:rsidR="00267AB0" w:rsidRPr="00F24C27" w:rsidRDefault="00267AB0" w:rsidP="00AA653D">
            <w:pPr>
              <w:jc w:val="center"/>
              <w:rPr>
                <w:rFonts w:ascii="Tahoma" w:hAnsi="Tahoma" w:cs="Tahoma"/>
                <w:b/>
                <w:sz w:val="20"/>
                <w:szCs w:val="20"/>
              </w:rPr>
            </w:pPr>
            <w:r w:rsidRPr="00F24C27">
              <w:rPr>
                <w:rFonts w:ascii="Tahoma" w:hAnsi="Tahoma" w:cs="Tahoma"/>
                <w:b/>
                <w:sz w:val="20"/>
                <w:szCs w:val="20"/>
              </w:rPr>
              <w:t>Базовая процентная ставка по Кредиту на любые цели под залог и</w:t>
            </w:r>
            <w:r>
              <w:rPr>
                <w:rFonts w:ascii="Tahoma" w:hAnsi="Tahoma" w:cs="Tahoma"/>
                <w:b/>
                <w:sz w:val="20"/>
                <w:szCs w:val="20"/>
              </w:rPr>
              <w:t>меющегося недвижимого имущества</w:t>
            </w:r>
          </w:p>
        </w:tc>
      </w:tr>
      <w:tr w:rsidR="00267AB0" w:rsidRPr="00FA4FDC" w14:paraId="3C0B897F" w14:textId="77777777" w:rsidTr="00AA653D">
        <w:trPr>
          <w:trHeight w:val="150"/>
        </w:trPr>
        <w:tc>
          <w:tcPr>
            <w:tcW w:w="4361" w:type="dxa"/>
            <w:vMerge/>
            <w:vAlign w:val="center"/>
          </w:tcPr>
          <w:p w14:paraId="73B89E66" w14:textId="77777777" w:rsidR="00267AB0" w:rsidRDefault="00267AB0" w:rsidP="00AA653D">
            <w:pPr>
              <w:rPr>
                <w:rFonts w:ascii="Tahoma" w:hAnsi="Tahoma" w:cs="Tahoma"/>
                <w:b/>
                <w:bCs/>
              </w:rPr>
            </w:pPr>
          </w:p>
        </w:tc>
        <w:tc>
          <w:tcPr>
            <w:tcW w:w="1537" w:type="dxa"/>
          </w:tcPr>
          <w:p w14:paraId="0CA1AE49" w14:textId="77777777" w:rsidR="00267AB0" w:rsidRPr="002E4106" w:rsidRDefault="00267AB0" w:rsidP="00AA653D">
            <w:pPr>
              <w:jc w:val="center"/>
              <w:rPr>
                <w:rFonts w:ascii="Tahoma" w:hAnsi="Tahoma" w:cs="Tahoma"/>
                <w:bCs/>
                <w:sz w:val="20"/>
                <w:szCs w:val="20"/>
              </w:rPr>
            </w:pPr>
            <w:r w:rsidRPr="005E6CFF">
              <w:rPr>
                <w:rFonts w:ascii="Tahoma" w:hAnsi="Tahoma" w:cs="Tahoma"/>
                <w:sz w:val="20"/>
                <w:szCs w:val="20"/>
              </w:rPr>
              <w:t xml:space="preserve">От 13 до </w:t>
            </w:r>
            <w:r>
              <w:rPr>
                <w:rFonts w:ascii="Tahoma" w:hAnsi="Tahoma" w:cs="Tahoma"/>
                <w:sz w:val="20"/>
                <w:szCs w:val="20"/>
              </w:rPr>
              <w:t>36</w:t>
            </w:r>
            <w:r w:rsidRPr="005E6CFF">
              <w:rPr>
                <w:rFonts w:ascii="Tahoma" w:hAnsi="Tahoma" w:cs="Tahoma"/>
                <w:sz w:val="20"/>
                <w:szCs w:val="20"/>
              </w:rPr>
              <w:t xml:space="preserve"> месяцев включительно</w:t>
            </w:r>
          </w:p>
        </w:tc>
        <w:tc>
          <w:tcPr>
            <w:tcW w:w="2050" w:type="dxa"/>
            <w:vMerge w:val="restart"/>
            <w:vAlign w:val="center"/>
          </w:tcPr>
          <w:p w14:paraId="31A7EA7B" w14:textId="77777777" w:rsidR="00267AB0" w:rsidRPr="00F24C27" w:rsidRDefault="00267AB0" w:rsidP="00AA653D">
            <w:pPr>
              <w:jc w:val="center"/>
              <w:rPr>
                <w:rFonts w:ascii="Tahoma" w:hAnsi="Tahoma" w:cs="Tahoma"/>
                <w:sz w:val="20"/>
                <w:szCs w:val="20"/>
              </w:rPr>
            </w:pPr>
            <w:r w:rsidRPr="00F24C27">
              <w:rPr>
                <w:rFonts w:ascii="Tahoma" w:hAnsi="Tahoma" w:cs="Tahoma"/>
                <w:sz w:val="20"/>
                <w:szCs w:val="20"/>
              </w:rPr>
              <w:t>От 10 до 20 % (включительно)</w:t>
            </w:r>
          </w:p>
        </w:tc>
        <w:tc>
          <w:tcPr>
            <w:tcW w:w="1936"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14:paraId="11DB40DC" w14:textId="77777777" w:rsidR="00267AB0" w:rsidRDefault="00267AB0" w:rsidP="00AA653D">
            <w:pPr>
              <w:jc w:val="center"/>
              <w:rPr>
                <w:rFonts w:ascii="Tahoma" w:hAnsi="Tahoma" w:cs="Tahoma"/>
                <w:sz w:val="20"/>
                <w:szCs w:val="20"/>
              </w:rPr>
            </w:pPr>
            <w:r>
              <w:rPr>
                <w:rFonts w:ascii="Tahoma" w:hAnsi="Tahoma" w:cs="Tahoma"/>
                <w:sz w:val="20"/>
                <w:szCs w:val="20"/>
              </w:rPr>
              <w:t>21,55%</w:t>
            </w:r>
          </w:p>
        </w:tc>
        <w:tc>
          <w:tcPr>
            <w:tcW w:w="1936"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14:paraId="2353F909" w14:textId="77777777" w:rsidR="00267AB0" w:rsidRDefault="00267AB0" w:rsidP="00AA653D">
            <w:pPr>
              <w:jc w:val="center"/>
              <w:rPr>
                <w:rFonts w:ascii="Tahoma" w:hAnsi="Tahoma" w:cs="Tahoma"/>
                <w:sz w:val="20"/>
                <w:szCs w:val="20"/>
              </w:rPr>
            </w:pPr>
            <w:r>
              <w:rPr>
                <w:rFonts w:ascii="Tahoma" w:hAnsi="Tahoma" w:cs="Tahoma"/>
                <w:sz w:val="20"/>
                <w:szCs w:val="20"/>
              </w:rPr>
              <w:t>21,80%</w:t>
            </w:r>
          </w:p>
        </w:tc>
        <w:tc>
          <w:tcPr>
            <w:tcW w:w="2041" w:type="dxa"/>
            <w:gridSpan w:val="2"/>
            <w:vMerge w:val="restart"/>
            <w:vAlign w:val="center"/>
          </w:tcPr>
          <w:p w14:paraId="6785A230" w14:textId="77777777" w:rsidR="00267AB0" w:rsidRPr="00F24C27" w:rsidRDefault="00267AB0" w:rsidP="00AA653D">
            <w:pPr>
              <w:jc w:val="center"/>
              <w:rPr>
                <w:rFonts w:ascii="Tahoma" w:hAnsi="Tahoma" w:cs="Tahoma"/>
                <w:sz w:val="20"/>
                <w:szCs w:val="20"/>
              </w:rPr>
            </w:pPr>
            <w:r w:rsidRPr="00F24C27">
              <w:rPr>
                <w:rFonts w:ascii="Tahoma" w:hAnsi="Tahoma" w:cs="Tahoma"/>
                <w:sz w:val="20"/>
                <w:szCs w:val="20"/>
              </w:rPr>
              <w:t>От 80 до 100% (включительно)</w:t>
            </w:r>
          </w:p>
        </w:tc>
        <w:tc>
          <w:tcPr>
            <w:tcW w:w="1914" w:type="dxa"/>
            <w:tcBorders>
              <w:top w:val="single" w:sz="4" w:space="0" w:color="auto"/>
              <w:left w:val="single" w:sz="4" w:space="0" w:color="auto"/>
              <w:bottom w:val="single" w:sz="4" w:space="0" w:color="auto"/>
              <w:right w:val="single" w:sz="4" w:space="0" w:color="auto"/>
            </w:tcBorders>
            <w:shd w:val="clear" w:color="000000" w:fill="FFFFFF"/>
            <w:vAlign w:val="center"/>
          </w:tcPr>
          <w:p w14:paraId="0CABF610" w14:textId="77777777" w:rsidR="00267AB0" w:rsidRDefault="00267AB0" w:rsidP="00AA653D">
            <w:pPr>
              <w:jc w:val="center"/>
              <w:rPr>
                <w:rFonts w:ascii="Tahoma" w:hAnsi="Tahoma" w:cs="Tahoma"/>
                <w:sz w:val="20"/>
                <w:szCs w:val="20"/>
              </w:rPr>
            </w:pPr>
            <w:r>
              <w:rPr>
                <w:rFonts w:ascii="Tahoma" w:hAnsi="Tahoma" w:cs="Tahoma"/>
                <w:sz w:val="20"/>
                <w:szCs w:val="20"/>
              </w:rPr>
              <w:t>23,00%</w:t>
            </w:r>
          </w:p>
        </w:tc>
      </w:tr>
      <w:tr w:rsidR="00267AB0" w:rsidRPr="00FA4FDC" w14:paraId="6CCF5AD5" w14:textId="77777777" w:rsidTr="00AA653D">
        <w:trPr>
          <w:trHeight w:val="149"/>
        </w:trPr>
        <w:tc>
          <w:tcPr>
            <w:tcW w:w="4361" w:type="dxa"/>
            <w:vMerge/>
            <w:vAlign w:val="center"/>
          </w:tcPr>
          <w:p w14:paraId="21A6A421" w14:textId="77777777" w:rsidR="00267AB0" w:rsidRDefault="00267AB0" w:rsidP="00AA653D">
            <w:pPr>
              <w:rPr>
                <w:rFonts w:ascii="Tahoma" w:hAnsi="Tahoma" w:cs="Tahoma"/>
                <w:b/>
                <w:bCs/>
              </w:rPr>
            </w:pPr>
          </w:p>
        </w:tc>
        <w:tc>
          <w:tcPr>
            <w:tcW w:w="1537" w:type="dxa"/>
          </w:tcPr>
          <w:p w14:paraId="10F35B69" w14:textId="77777777" w:rsidR="00267AB0" w:rsidRPr="00F24C27" w:rsidRDefault="00267AB0" w:rsidP="00AA653D">
            <w:pPr>
              <w:jc w:val="center"/>
              <w:rPr>
                <w:rFonts w:ascii="Tahoma" w:hAnsi="Tahoma" w:cs="Tahoma"/>
                <w:sz w:val="20"/>
                <w:szCs w:val="20"/>
              </w:rPr>
            </w:pPr>
            <w:r>
              <w:rPr>
                <w:rFonts w:ascii="Tahoma" w:hAnsi="Tahoma" w:cs="Tahoma"/>
                <w:sz w:val="20"/>
                <w:szCs w:val="20"/>
              </w:rPr>
              <w:t xml:space="preserve">Свыше 36 до 120 </w:t>
            </w:r>
            <w:r w:rsidRPr="005E6CFF">
              <w:rPr>
                <w:rFonts w:ascii="Tahoma" w:hAnsi="Tahoma" w:cs="Tahoma"/>
                <w:sz w:val="20"/>
                <w:szCs w:val="20"/>
              </w:rPr>
              <w:t>месяцев включительно</w:t>
            </w:r>
          </w:p>
        </w:tc>
        <w:tc>
          <w:tcPr>
            <w:tcW w:w="2050" w:type="dxa"/>
            <w:vMerge/>
            <w:vAlign w:val="center"/>
          </w:tcPr>
          <w:p w14:paraId="63068151" w14:textId="77777777" w:rsidR="00267AB0" w:rsidRPr="00F24C27" w:rsidRDefault="00267AB0" w:rsidP="00AA653D">
            <w:pPr>
              <w:jc w:val="center"/>
              <w:rPr>
                <w:rFonts w:ascii="Tahoma" w:hAnsi="Tahoma" w:cs="Tahoma"/>
                <w:sz w:val="20"/>
                <w:szCs w:val="20"/>
              </w:rPr>
            </w:pPr>
          </w:p>
        </w:tc>
        <w:tc>
          <w:tcPr>
            <w:tcW w:w="1936" w:type="dxa"/>
            <w:gridSpan w:val="2"/>
            <w:tcBorders>
              <w:top w:val="nil"/>
              <w:left w:val="single" w:sz="4" w:space="0" w:color="auto"/>
              <w:bottom w:val="single" w:sz="4" w:space="0" w:color="auto"/>
              <w:right w:val="single" w:sz="4" w:space="0" w:color="auto"/>
            </w:tcBorders>
            <w:shd w:val="clear" w:color="000000" w:fill="FFFFFF"/>
            <w:vAlign w:val="center"/>
          </w:tcPr>
          <w:p w14:paraId="0B9BE6C8" w14:textId="77777777" w:rsidR="00267AB0" w:rsidRDefault="00267AB0" w:rsidP="00AA653D">
            <w:pPr>
              <w:jc w:val="center"/>
              <w:rPr>
                <w:rFonts w:ascii="Tahoma" w:hAnsi="Tahoma" w:cs="Tahoma"/>
                <w:sz w:val="20"/>
                <w:szCs w:val="20"/>
              </w:rPr>
            </w:pPr>
            <w:r>
              <w:rPr>
                <w:rFonts w:ascii="Tahoma" w:hAnsi="Tahoma" w:cs="Tahoma"/>
                <w:sz w:val="20"/>
                <w:szCs w:val="20"/>
              </w:rPr>
              <w:t>21,75%</w:t>
            </w:r>
          </w:p>
        </w:tc>
        <w:tc>
          <w:tcPr>
            <w:tcW w:w="1936" w:type="dxa"/>
            <w:gridSpan w:val="2"/>
            <w:tcBorders>
              <w:top w:val="nil"/>
              <w:left w:val="single" w:sz="4" w:space="0" w:color="auto"/>
              <w:bottom w:val="single" w:sz="4" w:space="0" w:color="auto"/>
              <w:right w:val="single" w:sz="4" w:space="0" w:color="auto"/>
            </w:tcBorders>
            <w:shd w:val="clear" w:color="000000" w:fill="FFFFFF"/>
            <w:vAlign w:val="center"/>
          </w:tcPr>
          <w:p w14:paraId="76F13EC6" w14:textId="77777777" w:rsidR="00267AB0" w:rsidRDefault="00267AB0" w:rsidP="00AA653D">
            <w:pPr>
              <w:jc w:val="center"/>
              <w:rPr>
                <w:rFonts w:ascii="Tahoma" w:hAnsi="Tahoma" w:cs="Tahoma"/>
                <w:sz w:val="20"/>
                <w:szCs w:val="20"/>
              </w:rPr>
            </w:pPr>
            <w:r>
              <w:rPr>
                <w:rFonts w:ascii="Tahoma" w:hAnsi="Tahoma" w:cs="Tahoma"/>
                <w:sz w:val="20"/>
                <w:szCs w:val="20"/>
              </w:rPr>
              <w:t>22,05%</w:t>
            </w:r>
          </w:p>
        </w:tc>
        <w:tc>
          <w:tcPr>
            <w:tcW w:w="2041" w:type="dxa"/>
            <w:gridSpan w:val="2"/>
            <w:vMerge/>
            <w:vAlign w:val="center"/>
          </w:tcPr>
          <w:p w14:paraId="20023402" w14:textId="77777777" w:rsidR="00267AB0" w:rsidRPr="00F24C27" w:rsidRDefault="00267AB0" w:rsidP="00AA653D">
            <w:pPr>
              <w:jc w:val="center"/>
              <w:rPr>
                <w:rFonts w:ascii="Tahoma" w:hAnsi="Tahoma" w:cs="Tahoma"/>
                <w:sz w:val="20"/>
                <w:szCs w:val="20"/>
              </w:rPr>
            </w:pPr>
          </w:p>
        </w:tc>
        <w:tc>
          <w:tcPr>
            <w:tcW w:w="1914" w:type="dxa"/>
            <w:tcBorders>
              <w:top w:val="nil"/>
              <w:left w:val="single" w:sz="4" w:space="0" w:color="auto"/>
              <w:bottom w:val="single" w:sz="4" w:space="0" w:color="auto"/>
              <w:right w:val="single" w:sz="4" w:space="0" w:color="auto"/>
            </w:tcBorders>
            <w:shd w:val="clear" w:color="000000" w:fill="FFFFFF"/>
            <w:vAlign w:val="center"/>
          </w:tcPr>
          <w:p w14:paraId="0F91F0CB" w14:textId="77777777" w:rsidR="00267AB0" w:rsidRDefault="00267AB0" w:rsidP="00AA653D">
            <w:pPr>
              <w:jc w:val="center"/>
              <w:rPr>
                <w:rFonts w:ascii="Tahoma" w:hAnsi="Tahoma" w:cs="Tahoma"/>
                <w:sz w:val="20"/>
                <w:szCs w:val="20"/>
              </w:rPr>
            </w:pPr>
            <w:r>
              <w:rPr>
                <w:rFonts w:ascii="Tahoma" w:hAnsi="Tahoma" w:cs="Tahoma"/>
                <w:sz w:val="20"/>
                <w:szCs w:val="20"/>
              </w:rPr>
              <w:t>23,25%</w:t>
            </w:r>
          </w:p>
        </w:tc>
      </w:tr>
      <w:tr w:rsidR="00267AB0" w:rsidRPr="00FA4FDC" w14:paraId="7468A917" w14:textId="77777777" w:rsidTr="00AA653D">
        <w:trPr>
          <w:trHeight w:val="150"/>
        </w:trPr>
        <w:tc>
          <w:tcPr>
            <w:tcW w:w="4361" w:type="dxa"/>
            <w:vMerge/>
            <w:vAlign w:val="center"/>
          </w:tcPr>
          <w:p w14:paraId="69DC9B55" w14:textId="77777777" w:rsidR="00267AB0" w:rsidRDefault="00267AB0" w:rsidP="00AA653D">
            <w:pPr>
              <w:rPr>
                <w:rFonts w:ascii="Tahoma" w:hAnsi="Tahoma" w:cs="Tahoma"/>
                <w:b/>
                <w:bCs/>
              </w:rPr>
            </w:pPr>
          </w:p>
        </w:tc>
        <w:tc>
          <w:tcPr>
            <w:tcW w:w="1537" w:type="dxa"/>
          </w:tcPr>
          <w:p w14:paraId="4F3FF2C1" w14:textId="77777777" w:rsidR="00267AB0" w:rsidRPr="002E4106" w:rsidRDefault="00267AB0" w:rsidP="00AA653D">
            <w:pPr>
              <w:jc w:val="center"/>
              <w:rPr>
                <w:rFonts w:ascii="Tahoma" w:hAnsi="Tahoma" w:cs="Tahoma"/>
                <w:bCs/>
                <w:sz w:val="20"/>
                <w:szCs w:val="20"/>
              </w:rPr>
            </w:pPr>
            <w:r w:rsidRPr="005E6CFF">
              <w:rPr>
                <w:rFonts w:ascii="Tahoma" w:hAnsi="Tahoma" w:cs="Tahoma"/>
                <w:sz w:val="20"/>
                <w:szCs w:val="20"/>
              </w:rPr>
              <w:t xml:space="preserve">От 13 до </w:t>
            </w:r>
            <w:r>
              <w:rPr>
                <w:rFonts w:ascii="Tahoma" w:hAnsi="Tahoma" w:cs="Tahoma"/>
                <w:sz w:val="20"/>
                <w:szCs w:val="20"/>
              </w:rPr>
              <w:t>36</w:t>
            </w:r>
            <w:r w:rsidRPr="005E6CFF">
              <w:rPr>
                <w:rFonts w:ascii="Tahoma" w:hAnsi="Tahoma" w:cs="Tahoma"/>
                <w:sz w:val="20"/>
                <w:szCs w:val="20"/>
              </w:rPr>
              <w:t xml:space="preserve"> месяцев включительно</w:t>
            </w:r>
          </w:p>
        </w:tc>
        <w:tc>
          <w:tcPr>
            <w:tcW w:w="2050" w:type="dxa"/>
            <w:vMerge w:val="restart"/>
            <w:vAlign w:val="center"/>
          </w:tcPr>
          <w:p w14:paraId="6350BF03" w14:textId="77777777" w:rsidR="00267AB0" w:rsidRPr="00F24C27" w:rsidRDefault="00267AB0" w:rsidP="00AA653D">
            <w:pPr>
              <w:jc w:val="center"/>
              <w:rPr>
                <w:rFonts w:ascii="Tahoma" w:hAnsi="Tahoma" w:cs="Tahoma"/>
                <w:sz w:val="20"/>
                <w:szCs w:val="20"/>
              </w:rPr>
            </w:pPr>
            <w:r w:rsidRPr="00F24C27">
              <w:rPr>
                <w:rFonts w:ascii="Tahoma" w:hAnsi="Tahoma" w:cs="Tahoma"/>
                <w:sz w:val="20"/>
                <w:szCs w:val="20"/>
              </w:rPr>
              <w:t>От 21 до 30 % (включительно)</w:t>
            </w:r>
          </w:p>
        </w:tc>
        <w:tc>
          <w:tcPr>
            <w:tcW w:w="1936" w:type="dxa"/>
            <w:gridSpan w:val="2"/>
            <w:tcBorders>
              <w:top w:val="nil"/>
              <w:left w:val="single" w:sz="4" w:space="0" w:color="auto"/>
              <w:bottom w:val="single" w:sz="4" w:space="0" w:color="auto"/>
              <w:right w:val="single" w:sz="4" w:space="0" w:color="auto"/>
            </w:tcBorders>
            <w:shd w:val="clear" w:color="000000" w:fill="FFFFFF"/>
            <w:vAlign w:val="center"/>
          </w:tcPr>
          <w:p w14:paraId="2BBCBB52" w14:textId="77777777" w:rsidR="00267AB0" w:rsidRDefault="00267AB0" w:rsidP="00AA653D">
            <w:pPr>
              <w:jc w:val="center"/>
              <w:rPr>
                <w:rFonts w:ascii="Tahoma" w:hAnsi="Tahoma" w:cs="Tahoma"/>
                <w:sz w:val="20"/>
                <w:szCs w:val="20"/>
              </w:rPr>
            </w:pPr>
            <w:r>
              <w:rPr>
                <w:rFonts w:ascii="Tahoma" w:hAnsi="Tahoma" w:cs="Tahoma"/>
                <w:sz w:val="20"/>
                <w:szCs w:val="20"/>
              </w:rPr>
              <w:t>21,50%</w:t>
            </w:r>
          </w:p>
        </w:tc>
        <w:tc>
          <w:tcPr>
            <w:tcW w:w="1936" w:type="dxa"/>
            <w:gridSpan w:val="2"/>
            <w:tcBorders>
              <w:top w:val="nil"/>
              <w:left w:val="single" w:sz="4" w:space="0" w:color="auto"/>
              <w:bottom w:val="single" w:sz="4" w:space="0" w:color="auto"/>
              <w:right w:val="single" w:sz="4" w:space="0" w:color="auto"/>
            </w:tcBorders>
            <w:shd w:val="clear" w:color="000000" w:fill="FFFFFF"/>
            <w:vAlign w:val="center"/>
          </w:tcPr>
          <w:p w14:paraId="026AFB7B" w14:textId="77777777" w:rsidR="00267AB0" w:rsidRDefault="00267AB0" w:rsidP="00AA653D">
            <w:pPr>
              <w:jc w:val="center"/>
              <w:rPr>
                <w:rFonts w:ascii="Tahoma" w:hAnsi="Tahoma" w:cs="Tahoma"/>
                <w:sz w:val="20"/>
                <w:szCs w:val="20"/>
              </w:rPr>
            </w:pPr>
            <w:r>
              <w:rPr>
                <w:rFonts w:ascii="Tahoma" w:hAnsi="Tahoma" w:cs="Tahoma"/>
                <w:sz w:val="20"/>
                <w:szCs w:val="20"/>
              </w:rPr>
              <w:t>21,75%</w:t>
            </w:r>
          </w:p>
        </w:tc>
        <w:tc>
          <w:tcPr>
            <w:tcW w:w="2041" w:type="dxa"/>
            <w:gridSpan w:val="2"/>
            <w:vMerge w:val="restart"/>
            <w:vAlign w:val="center"/>
          </w:tcPr>
          <w:p w14:paraId="5D3E441F" w14:textId="77777777" w:rsidR="00267AB0" w:rsidRPr="00F24C27" w:rsidRDefault="00267AB0" w:rsidP="00AA653D">
            <w:pPr>
              <w:jc w:val="center"/>
              <w:rPr>
                <w:rFonts w:ascii="Tahoma" w:hAnsi="Tahoma" w:cs="Tahoma"/>
                <w:sz w:val="20"/>
                <w:szCs w:val="20"/>
              </w:rPr>
            </w:pPr>
            <w:r w:rsidRPr="00F24C27">
              <w:rPr>
                <w:rFonts w:ascii="Tahoma" w:hAnsi="Tahoma" w:cs="Tahoma"/>
                <w:sz w:val="20"/>
                <w:szCs w:val="20"/>
              </w:rPr>
              <w:t>От 101 до 110 % (включительно)</w:t>
            </w:r>
          </w:p>
        </w:tc>
        <w:tc>
          <w:tcPr>
            <w:tcW w:w="1914" w:type="dxa"/>
            <w:tcBorders>
              <w:top w:val="nil"/>
              <w:left w:val="single" w:sz="4" w:space="0" w:color="auto"/>
              <w:bottom w:val="single" w:sz="4" w:space="0" w:color="auto"/>
              <w:right w:val="single" w:sz="4" w:space="0" w:color="auto"/>
            </w:tcBorders>
            <w:shd w:val="clear" w:color="000000" w:fill="FFFFFF"/>
            <w:vAlign w:val="center"/>
          </w:tcPr>
          <w:p w14:paraId="38C83A12" w14:textId="77777777" w:rsidR="00267AB0" w:rsidRDefault="00267AB0" w:rsidP="00AA653D">
            <w:pPr>
              <w:jc w:val="center"/>
              <w:rPr>
                <w:rFonts w:ascii="Tahoma" w:hAnsi="Tahoma" w:cs="Tahoma"/>
                <w:sz w:val="20"/>
                <w:szCs w:val="20"/>
              </w:rPr>
            </w:pPr>
            <w:r>
              <w:rPr>
                <w:rFonts w:ascii="Tahoma" w:hAnsi="Tahoma" w:cs="Tahoma"/>
                <w:sz w:val="20"/>
                <w:szCs w:val="20"/>
              </w:rPr>
              <w:t>22,95%</w:t>
            </w:r>
          </w:p>
        </w:tc>
      </w:tr>
      <w:tr w:rsidR="00267AB0" w:rsidRPr="00FA4FDC" w14:paraId="05D70179" w14:textId="77777777" w:rsidTr="00AA653D">
        <w:trPr>
          <w:trHeight w:val="149"/>
        </w:trPr>
        <w:tc>
          <w:tcPr>
            <w:tcW w:w="4361" w:type="dxa"/>
            <w:vMerge/>
            <w:vAlign w:val="center"/>
          </w:tcPr>
          <w:p w14:paraId="6E2BCE6A" w14:textId="77777777" w:rsidR="00267AB0" w:rsidRDefault="00267AB0" w:rsidP="00AA653D">
            <w:pPr>
              <w:rPr>
                <w:rFonts w:ascii="Tahoma" w:hAnsi="Tahoma" w:cs="Tahoma"/>
                <w:b/>
                <w:bCs/>
              </w:rPr>
            </w:pPr>
          </w:p>
        </w:tc>
        <w:tc>
          <w:tcPr>
            <w:tcW w:w="1537" w:type="dxa"/>
          </w:tcPr>
          <w:p w14:paraId="219AAA7A" w14:textId="77777777" w:rsidR="00267AB0" w:rsidRPr="00F24C27" w:rsidRDefault="00267AB0" w:rsidP="00AA653D">
            <w:pPr>
              <w:jc w:val="center"/>
              <w:rPr>
                <w:rFonts w:ascii="Tahoma" w:hAnsi="Tahoma" w:cs="Tahoma"/>
                <w:sz w:val="20"/>
                <w:szCs w:val="20"/>
              </w:rPr>
            </w:pPr>
            <w:r>
              <w:rPr>
                <w:rFonts w:ascii="Tahoma" w:hAnsi="Tahoma" w:cs="Tahoma"/>
                <w:sz w:val="20"/>
                <w:szCs w:val="20"/>
              </w:rPr>
              <w:t xml:space="preserve">Свыше 36 до 120 </w:t>
            </w:r>
            <w:r w:rsidRPr="005E6CFF">
              <w:rPr>
                <w:rFonts w:ascii="Tahoma" w:hAnsi="Tahoma" w:cs="Tahoma"/>
                <w:sz w:val="20"/>
                <w:szCs w:val="20"/>
              </w:rPr>
              <w:t>месяцев включительно</w:t>
            </w:r>
          </w:p>
        </w:tc>
        <w:tc>
          <w:tcPr>
            <w:tcW w:w="2050" w:type="dxa"/>
            <w:vMerge/>
            <w:vAlign w:val="center"/>
          </w:tcPr>
          <w:p w14:paraId="458AC870" w14:textId="77777777" w:rsidR="00267AB0" w:rsidRPr="00F24C27" w:rsidRDefault="00267AB0" w:rsidP="00AA653D">
            <w:pPr>
              <w:jc w:val="center"/>
              <w:rPr>
                <w:rFonts w:ascii="Tahoma" w:hAnsi="Tahoma" w:cs="Tahoma"/>
                <w:sz w:val="20"/>
                <w:szCs w:val="20"/>
              </w:rPr>
            </w:pPr>
          </w:p>
        </w:tc>
        <w:tc>
          <w:tcPr>
            <w:tcW w:w="1936" w:type="dxa"/>
            <w:gridSpan w:val="2"/>
            <w:tcBorders>
              <w:top w:val="nil"/>
              <w:left w:val="single" w:sz="4" w:space="0" w:color="auto"/>
              <w:bottom w:val="single" w:sz="4" w:space="0" w:color="auto"/>
              <w:right w:val="single" w:sz="4" w:space="0" w:color="auto"/>
            </w:tcBorders>
            <w:shd w:val="clear" w:color="000000" w:fill="FFFFFF"/>
            <w:vAlign w:val="center"/>
          </w:tcPr>
          <w:p w14:paraId="78383A6A" w14:textId="77777777" w:rsidR="00267AB0" w:rsidRDefault="00267AB0" w:rsidP="00AA653D">
            <w:pPr>
              <w:jc w:val="center"/>
              <w:rPr>
                <w:rFonts w:ascii="Tahoma" w:hAnsi="Tahoma" w:cs="Tahoma"/>
                <w:sz w:val="20"/>
                <w:szCs w:val="20"/>
              </w:rPr>
            </w:pPr>
            <w:r>
              <w:rPr>
                <w:rFonts w:ascii="Tahoma" w:hAnsi="Tahoma" w:cs="Tahoma"/>
                <w:sz w:val="20"/>
                <w:szCs w:val="20"/>
              </w:rPr>
              <w:t>21,70%</w:t>
            </w:r>
          </w:p>
        </w:tc>
        <w:tc>
          <w:tcPr>
            <w:tcW w:w="1936" w:type="dxa"/>
            <w:gridSpan w:val="2"/>
            <w:tcBorders>
              <w:top w:val="nil"/>
              <w:left w:val="single" w:sz="4" w:space="0" w:color="auto"/>
              <w:bottom w:val="single" w:sz="4" w:space="0" w:color="auto"/>
              <w:right w:val="single" w:sz="4" w:space="0" w:color="auto"/>
            </w:tcBorders>
            <w:shd w:val="clear" w:color="000000" w:fill="FFFFFF"/>
            <w:vAlign w:val="center"/>
          </w:tcPr>
          <w:p w14:paraId="2025EA86" w14:textId="77777777" w:rsidR="00267AB0" w:rsidRDefault="00267AB0" w:rsidP="00AA653D">
            <w:pPr>
              <w:jc w:val="center"/>
              <w:rPr>
                <w:rFonts w:ascii="Tahoma" w:hAnsi="Tahoma" w:cs="Tahoma"/>
                <w:sz w:val="20"/>
                <w:szCs w:val="20"/>
              </w:rPr>
            </w:pPr>
            <w:r>
              <w:rPr>
                <w:rFonts w:ascii="Tahoma" w:hAnsi="Tahoma" w:cs="Tahoma"/>
                <w:sz w:val="20"/>
                <w:szCs w:val="20"/>
              </w:rPr>
              <w:t>22,00%</w:t>
            </w:r>
          </w:p>
        </w:tc>
        <w:tc>
          <w:tcPr>
            <w:tcW w:w="2041" w:type="dxa"/>
            <w:gridSpan w:val="2"/>
            <w:vMerge/>
            <w:vAlign w:val="center"/>
          </w:tcPr>
          <w:p w14:paraId="69A2CD73" w14:textId="77777777" w:rsidR="00267AB0" w:rsidRPr="00F24C27" w:rsidRDefault="00267AB0" w:rsidP="00AA653D">
            <w:pPr>
              <w:jc w:val="center"/>
              <w:rPr>
                <w:rFonts w:ascii="Tahoma" w:hAnsi="Tahoma" w:cs="Tahoma"/>
                <w:sz w:val="20"/>
                <w:szCs w:val="20"/>
              </w:rPr>
            </w:pPr>
          </w:p>
        </w:tc>
        <w:tc>
          <w:tcPr>
            <w:tcW w:w="1914" w:type="dxa"/>
            <w:tcBorders>
              <w:top w:val="nil"/>
              <w:left w:val="single" w:sz="4" w:space="0" w:color="auto"/>
              <w:bottom w:val="single" w:sz="4" w:space="0" w:color="auto"/>
              <w:right w:val="single" w:sz="4" w:space="0" w:color="auto"/>
            </w:tcBorders>
            <w:shd w:val="clear" w:color="000000" w:fill="FFFFFF"/>
            <w:vAlign w:val="center"/>
          </w:tcPr>
          <w:p w14:paraId="25B0AC84" w14:textId="77777777" w:rsidR="00267AB0" w:rsidRDefault="00267AB0" w:rsidP="00AA653D">
            <w:pPr>
              <w:jc w:val="center"/>
              <w:rPr>
                <w:rFonts w:ascii="Tahoma" w:hAnsi="Tahoma" w:cs="Tahoma"/>
                <w:sz w:val="20"/>
                <w:szCs w:val="20"/>
              </w:rPr>
            </w:pPr>
            <w:r>
              <w:rPr>
                <w:rFonts w:ascii="Tahoma" w:hAnsi="Tahoma" w:cs="Tahoma"/>
                <w:sz w:val="20"/>
                <w:szCs w:val="20"/>
              </w:rPr>
              <w:t>23,15%</w:t>
            </w:r>
          </w:p>
        </w:tc>
      </w:tr>
      <w:tr w:rsidR="00267AB0" w:rsidRPr="00FA4FDC" w14:paraId="12DF7984" w14:textId="77777777" w:rsidTr="00AA653D">
        <w:trPr>
          <w:trHeight w:val="150"/>
        </w:trPr>
        <w:tc>
          <w:tcPr>
            <w:tcW w:w="4361" w:type="dxa"/>
            <w:vMerge/>
            <w:vAlign w:val="center"/>
          </w:tcPr>
          <w:p w14:paraId="2460374E" w14:textId="77777777" w:rsidR="00267AB0" w:rsidRDefault="00267AB0" w:rsidP="00AA653D">
            <w:pPr>
              <w:rPr>
                <w:rFonts w:ascii="Tahoma" w:hAnsi="Tahoma" w:cs="Tahoma"/>
                <w:b/>
                <w:bCs/>
              </w:rPr>
            </w:pPr>
          </w:p>
        </w:tc>
        <w:tc>
          <w:tcPr>
            <w:tcW w:w="1537" w:type="dxa"/>
          </w:tcPr>
          <w:p w14:paraId="1A367598" w14:textId="77777777" w:rsidR="00267AB0" w:rsidRPr="002E4106" w:rsidRDefault="00267AB0" w:rsidP="00AA653D">
            <w:pPr>
              <w:jc w:val="center"/>
              <w:rPr>
                <w:rFonts w:ascii="Tahoma" w:hAnsi="Tahoma" w:cs="Tahoma"/>
                <w:bCs/>
                <w:sz w:val="20"/>
                <w:szCs w:val="20"/>
              </w:rPr>
            </w:pPr>
            <w:r w:rsidRPr="005E6CFF">
              <w:rPr>
                <w:rFonts w:ascii="Tahoma" w:hAnsi="Tahoma" w:cs="Tahoma"/>
                <w:sz w:val="20"/>
                <w:szCs w:val="20"/>
              </w:rPr>
              <w:t xml:space="preserve">От 13 до </w:t>
            </w:r>
            <w:r>
              <w:rPr>
                <w:rFonts w:ascii="Tahoma" w:hAnsi="Tahoma" w:cs="Tahoma"/>
                <w:sz w:val="20"/>
                <w:szCs w:val="20"/>
              </w:rPr>
              <w:t>36</w:t>
            </w:r>
            <w:r w:rsidRPr="005E6CFF">
              <w:rPr>
                <w:rFonts w:ascii="Tahoma" w:hAnsi="Tahoma" w:cs="Tahoma"/>
                <w:sz w:val="20"/>
                <w:szCs w:val="20"/>
              </w:rPr>
              <w:t xml:space="preserve"> месяцев включительно</w:t>
            </w:r>
          </w:p>
        </w:tc>
        <w:tc>
          <w:tcPr>
            <w:tcW w:w="2050" w:type="dxa"/>
            <w:vMerge w:val="restart"/>
            <w:vAlign w:val="center"/>
          </w:tcPr>
          <w:p w14:paraId="3649FBEC" w14:textId="77777777" w:rsidR="00267AB0" w:rsidRPr="00F24C27" w:rsidRDefault="00267AB0" w:rsidP="00AA653D">
            <w:pPr>
              <w:jc w:val="center"/>
              <w:rPr>
                <w:rFonts w:ascii="Tahoma" w:hAnsi="Tahoma" w:cs="Tahoma"/>
                <w:sz w:val="20"/>
                <w:szCs w:val="20"/>
              </w:rPr>
            </w:pPr>
            <w:r w:rsidRPr="00F24C27">
              <w:rPr>
                <w:rFonts w:ascii="Tahoma" w:hAnsi="Tahoma" w:cs="Tahoma"/>
                <w:sz w:val="20"/>
                <w:szCs w:val="20"/>
              </w:rPr>
              <w:t>От 31 до 40 % (включительно)</w:t>
            </w:r>
          </w:p>
        </w:tc>
        <w:tc>
          <w:tcPr>
            <w:tcW w:w="1936" w:type="dxa"/>
            <w:gridSpan w:val="2"/>
            <w:tcBorders>
              <w:top w:val="nil"/>
              <w:left w:val="single" w:sz="4" w:space="0" w:color="auto"/>
              <w:bottom w:val="single" w:sz="4" w:space="0" w:color="auto"/>
              <w:right w:val="single" w:sz="4" w:space="0" w:color="auto"/>
            </w:tcBorders>
            <w:shd w:val="clear" w:color="000000" w:fill="FFFFFF"/>
            <w:vAlign w:val="center"/>
          </w:tcPr>
          <w:p w14:paraId="4F524CF3" w14:textId="77777777" w:rsidR="00267AB0" w:rsidRDefault="00267AB0" w:rsidP="00AA653D">
            <w:pPr>
              <w:jc w:val="center"/>
              <w:rPr>
                <w:rFonts w:ascii="Tahoma" w:hAnsi="Tahoma" w:cs="Tahoma"/>
                <w:sz w:val="20"/>
                <w:szCs w:val="20"/>
              </w:rPr>
            </w:pPr>
            <w:r>
              <w:rPr>
                <w:rFonts w:ascii="Tahoma" w:hAnsi="Tahoma" w:cs="Tahoma"/>
                <w:sz w:val="20"/>
                <w:szCs w:val="20"/>
              </w:rPr>
              <w:t>21,45%</w:t>
            </w:r>
          </w:p>
        </w:tc>
        <w:tc>
          <w:tcPr>
            <w:tcW w:w="1936" w:type="dxa"/>
            <w:gridSpan w:val="2"/>
            <w:tcBorders>
              <w:top w:val="nil"/>
              <w:left w:val="single" w:sz="4" w:space="0" w:color="auto"/>
              <w:bottom w:val="single" w:sz="4" w:space="0" w:color="auto"/>
              <w:right w:val="single" w:sz="4" w:space="0" w:color="auto"/>
            </w:tcBorders>
            <w:shd w:val="clear" w:color="000000" w:fill="FFFFFF"/>
            <w:vAlign w:val="center"/>
          </w:tcPr>
          <w:p w14:paraId="235ED34E" w14:textId="77777777" w:rsidR="00267AB0" w:rsidRDefault="00267AB0" w:rsidP="00AA653D">
            <w:pPr>
              <w:jc w:val="center"/>
              <w:rPr>
                <w:rFonts w:ascii="Tahoma" w:hAnsi="Tahoma" w:cs="Tahoma"/>
                <w:sz w:val="20"/>
                <w:szCs w:val="20"/>
              </w:rPr>
            </w:pPr>
            <w:r>
              <w:rPr>
                <w:rFonts w:ascii="Tahoma" w:hAnsi="Tahoma" w:cs="Tahoma"/>
                <w:sz w:val="20"/>
                <w:szCs w:val="20"/>
              </w:rPr>
              <w:t>21,70%</w:t>
            </w:r>
          </w:p>
        </w:tc>
        <w:tc>
          <w:tcPr>
            <w:tcW w:w="2041" w:type="dxa"/>
            <w:gridSpan w:val="2"/>
            <w:vMerge w:val="restart"/>
            <w:vAlign w:val="center"/>
          </w:tcPr>
          <w:p w14:paraId="07DD26B0" w14:textId="77777777" w:rsidR="00267AB0" w:rsidRPr="00F24C27" w:rsidRDefault="00267AB0" w:rsidP="00AA653D">
            <w:pPr>
              <w:jc w:val="center"/>
              <w:rPr>
                <w:rFonts w:ascii="Tahoma" w:hAnsi="Tahoma" w:cs="Tahoma"/>
                <w:sz w:val="20"/>
                <w:szCs w:val="20"/>
              </w:rPr>
            </w:pPr>
            <w:r w:rsidRPr="00F24C27">
              <w:rPr>
                <w:rFonts w:ascii="Tahoma" w:hAnsi="Tahoma" w:cs="Tahoma"/>
                <w:sz w:val="20"/>
                <w:szCs w:val="20"/>
              </w:rPr>
              <w:t>От 111 до 120 % (включительно)</w:t>
            </w:r>
          </w:p>
        </w:tc>
        <w:tc>
          <w:tcPr>
            <w:tcW w:w="1914" w:type="dxa"/>
            <w:tcBorders>
              <w:top w:val="nil"/>
              <w:left w:val="single" w:sz="4" w:space="0" w:color="auto"/>
              <w:bottom w:val="single" w:sz="4" w:space="0" w:color="auto"/>
              <w:right w:val="single" w:sz="4" w:space="0" w:color="auto"/>
            </w:tcBorders>
            <w:shd w:val="clear" w:color="000000" w:fill="FFFFFF"/>
            <w:vAlign w:val="center"/>
          </w:tcPr>
          <w:p w14:paraId="4A21EF20" w14:textId="77777777" w:rsidR="00267AB0" w:rsidRDefault="00267AB0" w:rsidP="00AA653D">
            <w:pPr>
              <w:jc w:val="center"/>
              <w:rPr>
                <w:rFonts w:ascii="Tahoma" w:hAnsi="Tahoma" w:cs="Tahoma"/>
                <w:sz w:val="20"/>
                <w:szCs w:val="20"/>
              </w:rPr>
            </w:pPr>
            <w:r>
              <w:rPr>
                <w:rFonts w:ascii="Tahoma" w:hAnsi="Tahoma" w:cs="Tahoma"/>
                <w:sz w:val="20"/>
                <w:szCs w:val="20"/>
              </w:rPr>
              <w:t>22,90%</w:t>
            </w:r>
          </w:p>
        </w:tc>
      </w:tr>
      <w:tr w:rsidR="00267AB0" w:rsidRPr="00FA4FDC" w14:paraId="79AD8ED1" w14:textId="77777777" w:rsidTr="00AA653D">
        <w:trPr>
          <w:trHeight w:val="149"/>
        </w:trPr>
        <w:tc>
          <w:tcPr>
            <w:tcW w:w="4361" w:type="dxa"/>
            <w:vMerge/>
            <w:vAlign w:val="center"/>
          </w:tcPr>
          <w:p w14:paraId="22457D18" w14:textId="77777777" w:rsidR="00267AB0" w:rsidRDefault="00267AB0" w:rsidP="00AA653D">
            <w:pPr>
              <w:rPr>
                <w:rFonts w:ascii="Tahoma" w:hAnsi="Tahoma" w:cs="Tahoma"/>
                <w:b/>
                <w:bCs/>
              </w:rPr>
            </w:pPr>
          </w:p>
        </w:tc>
        <w:tc>
          <w:tcPr>
            <w:tcW w:w="1537" w:type="dxa"/>
          </w:tcPr>
          <w:p w14:paraId="5EDCC7C6" w14:textId="77777777" w:rsidR="00267AB0" w:rsidRPr="00F24C27" w:rsidRDefault="00267AB0" w:rsidP="00AA653D">
            <w:pPr>
              <w:jc w:val="center"/>
              <w:rPr>
                <w:rFonts w:ascii="Tahoma" w:hAnsi="Tahoma" w:cs="Tahoma"/>
                <w:sz w:val="20"/>
                <w:szCs w:val="20"/>
              </w:rPr>
            </w:pPr>
            <w:r>
              <w:rPr>
                <w:rFonts w:ascii="Tahoma" w:hAnsi="Tahoma" w:cs="Tahoma"/>
                <w:sz w:val="20"/>
                <w:szCs w:val="20"/>
              </w:rPr>
              <w:t xml:space="preserve">Свыше 36 до 120 </w:t>
            </w:r>
            <w:r w:rsidRPr="005E6CFF">
              <w:rPr>
                <w:rFonts w:ascii="Tahoma" w:hAnsi="Tahoma" w:cs="Tahoma"/>
                <w:sz w:val="20"/>
                <w:szCs w:val="20"/>
              </w:rPr>
              <w:t>месяцев включительно</w:t>
            </w:r>
          </w:p>
        </w:tc>
        <w:tc>
          <w:tcPr>
            <w:tcW w:w="2050" w:type="dxa"/>
            <w:vMerge/>
            <w:vAlign w:val="center"/>
          </w:tcPr>
          <w:p w14:paraId="56E8F0C3" w14:textId="77777777" w:rsidR="00267AB0" w:rsidRPr="00F24C27" w:rsidRDefault="00267AB0" w:rsidP="00AA653D">
            <w:pPr>
              <w:jc w:val="center"/>
              <w:rPr>
                <w:rFonts w:ascii="Tahoma" w:hAnsi="Tahoma" w:cs="Tahoma"/>
                <w:sz w:val="20"/>
                <w:szCs w:val="20"/>
              </w:rPr>
            </w:pPr>
          </w:p>
        </w:tc>
        <w:tc>
          <w:tcPr>
            <w:tcW w:w="1936" w:type="dxa"/>
            <w:gridSpan w:val="2"/>
            <w:tcBorders>
              <w:top w:val="nil"/>
              <w:left w:val="single" w:sz="4" w:space="0" w:color="auto"/>
              <w:bottom w:val="single" w:sz="4" w:space="0" w:color="auto"/>
              <w:right w:val="single" w:sz="4" w:space="0" w:color="auto"/>
            </w:tcBorders>
            <w:shd w:val="clear" w:color="000000" w:fill="FFFFFF"/>
            <w:vAlign w:val="center"/>
          </w:tcPr>
          <w:p w14:paraId="41695004" w14:textId="77777777" w:rsidR="00267AB0" w:rsidRDefault="00267AB0" w:rsidP="00AA653D">
            <w:pPr>
              <w:jc w:val="center"/>
              <w:rPr>
                <w:rFonts w:ascii="Tahoma" w:hAnsi="Tahoma" w:cs="Tahoma"/>
                <w:sz w:val="20"/>
                <w:szCs w:val="20"/>
              </w:rPr>
            </w:pPr>
            <w:r>
              <w:rPr>
                <w:rFonts w:ascii="Tahoma" w:hAnsi="Tahoma" w:cs="Tahoma"/>
                <w:sz w:val="20"/>
                <w:szCs w:val="20"/>
              </w:rPr>
              <w:t>21,65%</w:t>
            </w:r>
          </w:p>
        </w:tc>
        <w:tc>
          <w:tcPr>
            <w:tcW w:w="1936" w:type="dxa"/>
            <w:gridSpan w:val="2"/>
            <w:tcBorders>
              <w:top w:val="nil"/>
              <w:left w:val="single" w:sz="4" w:space="0" w:color="auto"/>
              <w:bottom w:val="single" w:sz="4" w:space="0" w:color="auto"/>
              <w:right w:val="single" w:sz="4" w:space="0" w:color="auto"/>
            </w:tcBorders>
            <w:shd w:val="clear" w:color="000000" w:fill="FFFFFF"/>
            <w:vAlign w:val="center"/>
          </w:tcPr>
          <w:p w14:paraId="002F87DE" w14:textId="77777777" w:rsidR="00267AB0" w:rsidRDefault="00267AB0" w:rsidP="00AA653D">
            <w:pPr>
              <w:jc w:val="center"/>
              <w:rPr>
                <w:rFonts w:ascii="Tahoma" w:hAnsi="Tahoma" w:cs="Tahoma"/>
                <w:sz w:val="20"/>
                <w:szCs w:val="20"/>
              </w:rPr>
            </w:pPr>
            <w:r>
              <w:rPr>
                <w:rFonts w:ascii="Tahoma" w:hAnsi="Tahoma" w:cs="Tahoma"/>
                <w:sz w:val="20"/>
                <w:szCs w:val="20"/>
              </w:rPr>
              <w:t>21,95%</w:t>
            </w:r>
          </w:p>
        </w:tc>
        <w:tc>
          <w:tcPr>
            <w:tcW w:w="2041" w:type="dxa"/>
            <w:gridSpan w:val="2"/>
            <w:vMerge/>
            <w:vAlign w:val="center"/>
          </w:tcPr>
          <w:p w14:paraId="3A7BFE08" w14:textId="77777777" w:rsidR="00267AB0" w:rsidRPr="00F24C27" w:rsidRDefault="00267AB0" w:rsidP="00AA653D">
            <w:pPr>
              <w:jc w:val="center"/>
              <w:rPr>
                <w:rFonts w:ascii="Tahoma" w:hAnsi="Tahoma" w:cs="Tahoma"/>
                <w:sz w:val="20"/>
                <w:szCs w:val="20"/>
              </w:rPr>
            </w:pPr>
          </w:p>
        </w:tc>
        <w:tc>
          <w:tcPr>
            <w:tcW w:w="1914" w:type="dxa"/>
            <w:tcBorders>
              <w:top w:val="nil"/>
              <w:left w:val="single" w:sz="4" w:space="0" w:color="auto"/>
              <w:bottom w:val="single" w:sz="4" w:space="0" w:color="auto"/>
              <w:right w:val="single" w:sz="4" w:space="0" w:color="auto"/>
            </w:tcBorders>
            <w:shd w:val="clear" w:color="000000" w:fill="FFFFFF"/>
            <w:vAlign w:val="center"/>
          </w:tcPr>
          <w:p w14:paraId="41CD3D18" w14:textId="77777777" w:rsidR="00267AB0" w:rsidRDefault="00267AB0" w:rsidP="00AA653D">
            <w:pPr>
              <w:jc w:val="center"/>
              <w:rPr>
                <w:rFonts w:ascii="Tahoma" w:hAnsi="Tahoma" w:cs="Tahoma"/>
                <w:sz w:val="20"/>
                <w:szCs w:val="20"/>
              </w:rPr>
            </w:pPr>
            <w:r>
              <w:rPr>
                <w:rFonts w:ascii="Tahoma" w:hAnsi="Tahoma" w:cs="Tahoma"/>
                <w:sz w:val="20"/>
                <w:szCs w:val="20"/>
              </w:rPr>
              <w:t>21,05%</w:t>
            </w:r>
          </w:p>
        </w:tc>
      </w:tr>
      <w:tr w:rsidR="00267AB0" w:rsidRPr="00FA4FDC" w14:paraId="27838799" w14:textId="77777777" w:rsidTr="00AA653D">
        <w:trPr>
          <w:trHeight w:val="150"/>
        </w:trPr>
        <w:tc>
          <w:tcPr>
            <w:tcW w:w="4361" w:type="dxa"/>
            <w:vMerge/>
            <w:vAlign w:val="center"/>
          </w:tcPr>
          <w:p w14:paraId="124CE49C" w14:textId="77777777" w:rsidR="00267AB0" w:rsidRDefault="00267AB0" w:rsidP="00AA653D">
            <w:pPr>
              <w:rPr>
                <w:rFonts w:ascii="Tahoma" w:hAnsi="Tahoma" w:cs="Tahoma"/>
                <w:b/>
                <w:bCs/>
              </w:rPr>
            </w:pPr>
          </w:p>
        </w:tc>
        <w:tc>
          <w:tcPr>
            <w:tcW w:w="1537" w:type="dxa"/>
          </w:tcPr>
          <w:p w14:paraId="2AEAF1BD" w14:textId="77777777" w:rsidR="00267AB0" w:rsidRPr="002E4106" w:rsidRDefault="00267AB0" w:rsidP="00AA653D">
            <w:pPr>
              <w:jc w:val="center"/>
              <w:rPr>
                <w:rFonts w:ascii="Tahoma" w:hAnsi="Tahoma" w:cs="Tahoma"/>
                <w:bCs/>
                <w:sz w:val="20"/>
                <w:szCs w:val="20"/>
              </w:rPr>
            </w:pPr>
            <w:r w:rsidRPr="005E6CFF">
              <w:rPr>
                <w:rFonts w:ascii="Tahoma" w:hAnsi="Tahoma" w:cs="Tahoma"/>
                <w:sz w:val="20"/>
                <w:szCs w:val="20"/>
              </w:rPr>
              <w:t xml:space="preserve">От 13 до </w:t>
            </w:r>
            <w:r>
              <w:rPr>
                <w:rFonts w:ascii="Tahoma" w:hAnsi="Tahoma" w:cs="Tahoma"/>
                <w:sz w:val="20"/>
                <w:szCs w:val="20"/>
              </w:rPr>
              <w:t>36</w:t>
            </w:r>
            <w:r w:rsidRPr="005E6CFF">
              <w:rPr>
                <w:rFonts w:ascii="Tahoma" w:hAnsi="Tahoma" w:cs="Tahoma"/>
                <w:sz w:val="20"/>
                <w:szCs w:val="20"/>
              </w:rPr>
              <w:t xml:space="preserve"> месяцев включительно</w:t>
            </w:r>
          </w:p>
        </w:tc>
        <w:tc>
          <w:tcPr>
            <w:tcW w:w="2050" w:type="dxa"/>
            <w:vMerge w:val="restart"/>
            <w:vAlign w:val="center"/>
          </w:tcPr>
          <w:p w14:paraId="1248BAED" w14:textId="77777777" w:rsidR="00267AB0" w:rsidRPr="00F24C27" w:rsidRDefault="00267AB0" w:rsidP="00AA653D">
            <w:pPr>
              <w:jc w:val="center"/>
              <w:rPr>
                <w:rFonts w:ascii="Tahoma" w:hAnsi="Tahoma" w:cs="Tahoma"/>
                <w:sz w:val="20"/>
                <w:szCs w:val="20"/>
              </w:rPr>
            </w:pPr>
            <w:r w:rsidRPr="00F24C27">
              <w:rPr>
                <w:rFonts w:ascii="Tahoma" w:hAnsi="Tahoma" w:cs="Tahoma"/>
                <w:sz w:val="20"/>
                <w:szCs w:val="20"/>
              </w:rPr>
              <w:t>От 41 % и более</w:t>
            </w:r>
          </w:p>
        </w:tc>
        <w:tc>
          <w:tcPr>
            <w:tcW w:w="1936" w:type="dxa"/>
            <w:gridSpan w:val="2"/>
            <w:tcBorders>
              <w:top w:val="nil"/>
              <w:left w:val="single" w:sz="4" w:space="0" w:color="auto"/>
              <w:bottom w:val="single" w:sz="4" w:space="0" w:color="auto"/>
              <w:right w:val="single" w:sz="4" w:space="0" w:color="auto"/>
            </w:tcBorders>
            <w:shd w:val="clear" w:color="000000" w:fill="FFFFFF"/>
            <w:vAlign w:val="center"/>
          </w:tcPr>
          <w:p w14:paraId="0B37D2B8" w14:textId="77777777" w:rsidR="00267AB0" w:rsidRDefault="00267AB0" w:rsidP="00AA653D">
            <w:pPr>
              <w:jc w:val="center"/>
              <w:rPr>
                <w:rFonts w:ascii="Tahoma" w:hAnsi="Tahoma" w:cs="Tahoma"/>
                <w:sz w:val="20"/>
                <w:szCs w:val="20"/>
              </w:rPr>
            </w:pPr>
            <w:r>
              <w:rPr>
                <w:rFonts w:ascii="Tahoma" w:hAnsi="Tahoma" w:cs="Tahoma"/>
                <w:sz w:val="20"/>
                <w:szCs w:val="20"/>
              </w:rPr>
              <w:t>21,40%</w:t>
            </w:r>
          </w:p>
        </w:tc>
        <w:tc>
          <w:tcPr>
            <w:tcW w:w="1936" w:type="dxa"/>
            <w:gridSpan w:val="2"/>
            <w:tcBorders>
              <w:top w:val="nil"/>
              <w:left w:val="single" w:sz="4" w:space="0" w:color="auto"/>
              <w:bottom w:val="single" w:sz="4" w:space="0" w:color="auto"/>
              <w:right w:val="single" w:sz="4" w:space="0" w:color="auto"/>
            </w:tcBorders>
            <w:shd w:val="clear" w:color="000000" w:fill="FFFFFF"/>
            <w:vAlign w:val="center"/>
          </w:tcPr>
          <w:p w14:paraId="779B8E4B" w14:textId="77777777" w:rsidR="00267AB0" w:rsidRDefault="00267AB0" w:rsidP="00AA653D">
            <w:pPr>
              <w:jc w:val="center"/>
              <w:rPr>
                <w:rFonts w:ascii="Tahoma" w:hAnsi="Tahoma" w:cs="Tahoma"/>
                <w:sz w:val="20"/>
                <w:szCs w:val="20"/>
              </w:rPr>
            </w:pPr>
            <w:r>
              <w:rPr>
                <w:rFonts w:ascii="Tahoma" w:hAnsi="Tahoma" w:cs="Tahoma"/>
                <w:sz w:val="20"/>
                <w:szCs w:val="20"/>
              </w:rPr>
              <w:t>21,60%</w:t>
            </w:r>
          </w:p>
        </w:tc>
        <w:tc>
          <w:tcPr>
            <w:tcW w:w="2041" w:type="dxa"/>
            <w:gridSpan w:val="2"/>
            <w:vMerge w:val="restart"/>
            <w:vAlign w:val="center"/>
          </w:tcPr>
          <w:p w14:paraId="25AECEF4" w14:textId="77777777" w:rsidR="00267AB0" w:rsidRPr="00F24C27" w:rsidRDefault="00267AB0" w:rsidP="00AA653D">
            <w:pPr>
              <w:jc w:val="center"/>
              <w:rPr>
                <w:rFonts w:ascii="Tahoma" w:hAnsi="Tahoma" w:cs="Tahoma"/>
                <w:sz w:val="20"/>
                <w:szCs w:val="20"/>
              </w:rPr>
            </w:pPr>
            <w:r w:rsidRPr="00F24C27">
              <w:rPr>
                <w:rFonts w:ascii="Tahoma" w:hAnsi="Tahoma" w:cs="Tahoma"/>
                <w:sz w:val="20"/>
                <w:szCs w:val="20"/>
              </w:rPr>
              <w:t>От 121 % и более</w:t>
            </w:r>
          </w:p>
        </w:tc>
        <w:tc>
          <w:tcPr>
            <w:tcW w:w="1914" w:type="dxa"/>
            <w:tcBorders>
              <w:top w:val="nil"/>
              <w:left w:val="single" w:sz="4" w:space="0" w:color="auto"/>
              <w:bottom w:val="single" w:sz="4" w:space="0" w:color="auto"/>
              <w:right w:val="single" w:sz="4" w:space="0" w:color="auto"/>
            </w:tcBorders>
            <w:shd w:val="clear" w:color="000000" w:fill="FFFFFF"/>
            <w:vAlign w:val="center"/>
          </w:tcPr>
          <w:p w14:paraId="3E463C49" w14:textId="77777777" w:rsidR="00267AB0" w:rsidRDefault="00267AB0" w:rsidP="00AA653D">
            <w:pPr>
              <w:jc w:val="center"/>
              <w:rPr>
                <w:rFonts w:ascii="Tahoma" w:hAnsi="Tahoma" w:cs="Tahoma"/>
                <w:sz w:val="20"/>
                <w:szCs w:val="20"/>
              </w:rPr>
            </w:pPr>
            <w:r>
              <w:rPr>
                <w:rFonts w:ascii="Tahoma" w:hAnsi="Tahoma" w:cs="Tahoma"/>
                <w:sz w:val="20"/>
                <w:szCs w:val="20"/>
              </w:rPr>
              <w:t>22,85%</w:t>
            </w:r>
          </w:p>
        </w:tc>
      </w:tr>
      <w:tr w:rsidR="00267AB0" w:rsidRPr="00FA4FDC" w14:paraId="79291E1C" w14:textId="77777777" w:rsidTr="00AA653D">
        <w:trPr>
          <w:trHeight w:val="149"/>
        </w:trPr>
        <w:tc>
          <w:tcPr>
            <w:tcW w:w="4361" w:type="dxa"/>
            <w:vMerge/>
            <w:vAlign w:val="center"/>
          </w:tcPr>
          <w:p w14:paraId="7BF5D291" w14:textId="77777777" w:rsidR="00267AB0" w:rsidRDefault="00267AB0" w:rsidP="00AA653D">
            <w:pPr>
              <w:rPr>
                <w:rFonts w:ascii="Tahoma" w:hAnsi="Tahoma" w:cs="Tahoma"/>
                <w:b/>
                <w:bCs/>
              </w:rPr>
            </w:pPr>
          </w:p>
        </w:tc>
        <w:tc>
          <w:tcPr>
            <w:tcW w:w="1537" w:type="dxa"/>
          </w:tcPr>
          <w:p w14:paraId="209C0AA6" w14:textId="77777777" w:rsidR="00267AB0" w:rsidRPr="00F24C27" w:rsidRDefault="00267AB0" w:rsidP="00AA653D">
            <w:pPr>
              <w:jc w:val="center"/>
              <w:rPr>
                <w:rFonts w:ascii="Tahoma" w:hAnsi="Tahoma" w:cs="Tahoma"/>
                <w:sz w:val="20"/>
                <w:szCs w:val="20"/>
              </w:rPr>
            </w:pPr>
            <w:r>
              <w:rPr>
                <w:rFonts w:ascii="Tahoma" w:hAnsi="Tahoma" w:cs="Tahoma"/>
                <w:sz w:val="20"/>
                <w:szCs w:val="20"/>
              </w:rPr>
              <w:t xml:space="preserve">Свыше 36 до 120 </w:t>
            </w:r>
            <w:r w:rsidRPr="005E6CFF">
              <w:rPr>
                <w:rFonts w:ascii="Tahoma" w:hAnsi="Tahoma" w:cs="Tahoma"/>
                <w:sz w:val="20"/>
                <w:szCs w:val="20"/>
              </w:rPr>
              <w:t>месяцев включительно</w:t>
            </w:r>
          </w:p>
        </w:tc>
        <w:tc>
          <w:tcPr>
            <w:tcW w:w="2050" w:type="dxa"/>
            <w:vMerge/>
            <w:vAlign w:val="center"/>
          </w:tcPr>
          <w:p w14:paraId="1D515374" w14:textId="77777777" w:rsidR="00267AB0" w:rsidRPr="00F24C27" w:rsidRDefault="00267AB0" w:rsidP="00AA653D">
            <w:pPr>
              <w:jc w:val="center"/>
              <w:rPr>
                <w:rFonts w:ascii="Tahoma" w:hAnsi="Tahoma" w:cs="Tahoma"/>
                <w:sz w:val="20"/>
                <w:szCs w:val="20"/>
              </w:rPr>
            </w:pPr>
          </w:p>
        </w:tc>
        <w:tc>
          <w:tcPr>
            <w:tcW w:w="1936" w:type="dxa"/>
            <w:gridSpan w:val="2"/>
            <w:tcBorders>
              <w:top w:val="nil"/>
              <w:left w:val="single" w:sz="4" w:space="0" w:color="auto"/>
              <w:bottom w:val="single" w:sz="4" w:space="0" w:color="auto"/>
              <w:right w:val="single" w:sz="4" w:space="0" w:color="auto"/>
            </w:tcBorders>
            <w:shd w:val="clear" w:color="000000" w:fill="FFFFFF"/>
            <w:vAlign w:val="center"/>
          </w:tcPr>
          <w:p w14:paraId="53FB581D" w14:textId="77777777" w:rsidR="00267AB0" w:rsidRDefault="00267AB0" w:rsidP="00AA653D">
            <w:pPr>
              <w:jc w:val="center"/>
              <w:rPr>
                <w:rFonts w:ascii="Tahoma" w:hAnsi="Tahoma" w:cs="Tahoma"/>
                <w:sz w:val="20"/>
                <w:szCs w:val="20"/>
              </w:rPr>
            </w:pPr>
            <w:r>
              <w:rPr>
                <w:rFonts w:ascii="Tahoma" w:hAnsi="Tahoma" w:cs="Tahoma"/>
                <w:sz w:val="20"/>
                <w:szCs w:val="20"/>
              </w:rPr>
              <w:t>21,60%</w:t>
            </w:r>
          </w:p>
        </w:tc>
        <w:tc>
          <w:tcPr>
            <w:tcW w:w="1936" w:type="dxa"/>
            <w:gridSpan w:val="2"/>
            <w:tcBorders>
              <w:top w:val="nil"/>
              <w:left w:val="single" w:sz="4" w:space="0" w:color="auto"/>
              <w:bottom w:val="single" w:sz="4" w:space="0" w:color="auto"/>
              <w:right w:val="single" w:sz="4" w:space="0" w:color="auto"/>
            </w:tcBorders>
            <w:shd w:val="clear" w:color="000000" w:fill="FFFFFF"/>
            <w:vAlign w:val="center"/>
          </w:tcPr>
          <w:p w14:paraId="6C703B9B" w14:textId="77777777" w:rsidR="00267AB0" w:rsidRDefault="00267AB0" w:rsidP="00AA653D">
            <w:pPr>
              <w:jc w:val="center"/>
              <w:rPr>
                <w:rFonts w:ascii="Tahoma" w:hAnsi="Tahoma" w:cs="Tahoma"/>
                <w:sz w:val="20"/>
                <w:szCs w:val="20"/>
              </w:rPr>
            </w:pPr>
            <w:r>
              <w:rPr>
                <w:rFonts w:ascii="Tahoma" w:hAnsi="Tahoma" w:cs="Tahoma"/>
                <w:sz w:val="20"/>
                <w:szCs w:val="20"/>
              </w:rPr>
              <w:t>21,90%</w:t>
            </w:r>
          </w:p>
        </w:tc>
        <w:tc>
          <w:tcPr>
            <w:tcW w:w="2041" w:type="dxa"/>
            <w:gridSpan w:val="2"/>
            <w:vMerge/>
            <w:vAlign w:val="center"/>
          </w:tcPr>
          <w:p w14:paraId="28AB98CE" w14:textId="77777777" w:rsidR="00267AB0" w:rsidRPr="00F24C27" w:rsidRDefault="00267AB0" w:rsidP="00AA653D">
            <w:pPr>
              <w:jc w:val="center"/>
              <w:rPr>
                <w:rFonts w:ascii="Tahoma" w:hAnsi="Tahoma" w:cs="Tahoma"/>
                <w:sz w:val="20"/>
                <w:szCs w:val="20"/>
              </w:rPr>
            </w:pPr>
          </w:p>
        </w:tc>
        <w:tc>
          <w:tcPr>
            <w:tcW w:w="1914" w:type="dxa"/>
            <w:tcBorders>
              <w:top w:val="nil"/>
              <w:left w:val="single" w:sz="4" w:space="0" w:color="auto"/>
              <w:bottom w:val="single" w:sz="4" w:space="0" w:color="auto"/>
              <w:right w:val="single" w:sz="4" w:space="0" w:color="auto"/>
            </w:tcBorders>
            <w:shd w:val="clear" w:color="000000" w:fill="FFFFFF"/>
            <w:vAlign w:val="center"/>
          </w:tcPr>
          <w:p w14:paraId="5A11D51A" w14:textId="77777777" w:rsidR="00267AB0" w:rsidRDefault="00267AB0" w:rsidP="00AA653D">
            <w:pPr>
              <w:jc w:val="center"/>
              <w:rPr>
                <w:rFonts w:ascii="Tahoma" w:hAnsi="Tahoma" w:cs="Tahoma"/>
                <w:sz w:val="20"/>
                <w:szCs w:val="20"/>
              </w:rPr>
            </w:pPr>
            <w:r>
              <w:rPr>
                <w:rFonts w:ascii="Tahoma" w:hAnsi="Tahoma" w:cs="Tahoma"/>
                <w:sz w:val="20"/>
                <w:szCs w:val="20"/>
              </w:rPr>
              <w:t>23,00%</w:t>
            </w:r>
          </w:p>
        </w:tc>
      </w:tr>
      <w:tr w:rsidR="00267AB0" w:rsidRPr="00B746D0" w14:paraId="4A930D7C" w14:textId="77777777" w:rsidTr="00AA653D">
        <w:tc>
          <w:tcPr>
            <w:tcW w:w="4361" w:type="dxa"/>
            <w:vAlign w:val="center"/>
          </w:tcPr>
          <w:p w14:paraId="397505F1" w14:textId="77777777" w:rsidR="00267AB0" w:rsidRPr="00B746D0" w:rsidRDefault="00267AB0" w:rsidP="00AA653D">
            <w:pPr>
              <w:rPr>
                <w:rFonts w:ascii="Tahoma" w:hAnsi="Tahoma" w:cs="Tahoma"/>
                <w:b/>
                <w:bCs/>
                <w:sz w:val="20"/>
                <w:szCs w:val="20"/>
              </w:rPr>
            </w:pPr>
            <w:r w:rsidRPr="00B746D0">
              <w:rPr>
                <w:rFonts w:ascii="Tahoma" w:hAnsi="Tahoma" w:cs="Tahoma"/>
                <w:b/>
                <w:bCs/>
                <w:sz w:val="20"/>
                <w:szCs w:val="20"/>
              </w:rPr>
              <w:t>Сумма Кредита</w:t>
            </w:r>
          </w:p>
        </w:tc>
        <w:tc>
          <w:tcPr>
            <w:tcW w:w="5669" w:type="dxa"/>
            <w:gridSpan w:val="5"/>
            <w:vAlign w:val="center"/>
          </w:tcPr>
          <w:p w14:paraId="5971CC6F" w14:textId="77777777" w:rsidR="00267AB0" w:rsidRPr="00B746D0" w:rsidRDefault="00267AB0" w:rsidP="00AA653D">
            <w:pPr>
              <w:jc w:val="both"/>
              <w:rPr>
                <w:rFonts w:ascii="Tahoma" w:hAnsi="Tahoma" w:cs="Tahoma"/>
                <w:sz w:val="20"/>
                <w:szCs w:val="20"/>
              </w:rPr>
            </w:pPr>
            <w:r w:rsidRPr="00B746D0">
              <w:rPr>
                <w:rFonts w:ascii="Tahoma" w:hAnsi="Tahoma" w:cs="Tahoma"/>
                <w:sz w:val="20"/>
                <w:szCs w:val="20"/>
              </w:rPr>
              <w:t>До 0,1% от собственного капитала Банка, рассчитанного на последнюю отчетную дату.</w:t>
            </w:r>
          </w:p>
        </w:tc>
        <w:tc>
          <w:tcPr>
            <w:tcW w:w="5745" w:type="dxa"/>
            <w:gridSpan w:val="4"/>
            <w:vAlign w:val="center"/>
          </w:tcPr>
          <w:p w14:paraId="7DBCAF03" w14:textId="77777777" w:rsidR="00267AB0" w:rsidRPr="00B746D0" w:rsidRDefault="00267AB0" w:rsidP="00AA653D">
            <w:pPr>
              <w:jc w:val="both"/>
              <w:rPr>
                <w:rFonts w:ascii="Tahoma" w:hAnsi="Tahoma" w:cs="Tahoma"/>
                <w:sz w:val="20"/>
                <w:szCs w:val="20"/>
              </w:rPr>
            </w:pPr>
            <w:r w:rsidRPr="00B746D0">
              <w:rPr>
                <w:rFonts w:ascii="Tahoma" w:hAnsi="Tahoma" w:cs="Tahoma"/>
                <w:sz w:val="20"/>
                <w:szCs w:val="20"/>
              </w:rPr>
              <w:t>Свыше 0,1% от собственного капитала Банка, рассчитанного на последнюю отчетную дату.</w:t>
            </w:r>
          </w:p>
        </w:tc>
      </w:tr>
      <w:tr w:rsidR="00267AB0" w:rsidRPr="00B746D0" w14:paraId="346D561A" w14:textId="77777777" w:rsidTr="00AA653D">
        <w:tc>
          <w:tcPr>
            <w:tcW w:w="4361" w:type="dxa"/>
            <w:vMerge w:val="restart"/>
            <w:vAlign w:val="center"/>
          </w:tcPr>
          <w:p w14:paraId="06793095" w14:textId="77777777" w:rsidR="00267AB0" w:rsidRPr="00B746D0" w:rsidRDefault="00267AB0" w:rsidP="00AA653D">
            <w:pPr>
              <w:rPr>
                <w:rFonts w:ascii="Tahoma" w:hAnsi="Tahoma" w:cs="Tahoma"/>
                <w:b/>
                <w:bCs/>
                <w:sz w:val="20"/>
                <w:szCs w:val="20"/>
              </w:rPr>
            </w:pPr>
            <w:r w:rsidRPr="00B746D0">
              <w:rPr>
                <w:rFonts w:ascii="Tahoma" w:hAnsi="Tahoma" w:cs="Tahoma"/>
                <w:b/>
                <w:bCs/>
                <w:sz w:val="20"/>
                <w:szCs w:val="20"/>
              </w:rPr>
              <w:t>Целевое использование Кредита, контроль</w:t>
            </w:r>
          </w:p>
        </w:tc>
        <w:tc>
          <w:tcPr>
            <w:tcW w:w="11414" w:type="dxa"/>
            <w:gridSpan w:val="9"/>
            <w:vAlign w:val="center"/>
          </w:tcPr>
          <w:p w14:paraId="72497222" w14:textId="77777777" w:rsidR="00267AB0" w:rsidRPr="00A445DF" w:rsidRDefault="00267AB0" w:rsidP="00AA653D">
            <w:pPr>
              <w:jc w:val="both"/>
              <w:rPr>
                <w:rFonts w:ascii="Tahoma" w:hAnsi="Tahoma" w:cs="Tahoma"/>
                <w:sz w:val="20"/>
                <w:szCs w:val="20"/>
              </w:rPr>
            </w:pPr>
            <w:r w:rsidRPr="00A445DF">
              <w:rPr>
                <w:rFonts w:ascii="Tahoma" w:hAnsi="Tahoma" w:cs="Tahoma"/>
                <w:sz w:val="20"/>
                <w:szCs w:val="20"/>
              </w:rPr>
              <w:t>Приобретение объектов недвижимости, для использования в личных и коммерческих целях, а также на любые цели под залог имеющейся коммерческой/жилой недвижимости, кроме использования Заемщиком для:</w:t>
            </w:r>
          </w:p>
          <w:p w14:paraId="06AC706D" w14:textId="77777777" w:rsidR="00267AB0" w:rsidRPr="00A445DF" w:rsidRDefault="00267AB0" w:rsidP="00AA653D">
            <w:pPr>
              <w:jc w:val="both"/>
              <w:rPr>
                <w:rFonts w:ascii="Tahoma" w:hAnsi="Tahoma" w:cs="Tahoma"/>
                <w:sz w:val="20"/>
                <w:szCs w:val="20"/>
              </w:rPr>
            </w:pPr>
            <w:r w:rsidRPr="00A445DF">
              <w:rPr>
                <w:rFonts w:ascii="Tahoma" w:hAnsi="Tahoma" w:cs="Tahoma"/>
                <w:sz w:val="20"/>
                <w:szCs w:val="20"/>
              </w:rPr>
              <w:t>- оплаты инкассовых поручений взыскателей, являющихся органами, выполняющими контрольные функции и осуществляющими взыскание в соответствии с действующим законодательством;</w:t>
            </w:r>
          </w:p>
          <w:p w14:paraId="2061B2A2" w14:textId="77777777" w:rsidR="00267AB0" w:rsidRPr="00A445DF" w:rsidRDefault="00267AB0" w:rsidP="00AA653D">
            <w:pPr>
              <w:jc w:val="both"/>
              <w:rPr>
                <w:rFonts w:ascii="Tahoma" w:hAnsi="Tahoma" w:cs="Tahoma"/>
                <w:sz w:val="20"/>
                <w:szCs w:val="20"/>
              </w:rPr>
            </w:pPr>
            <w:r w:rsidRPr="00A445DF">
              <w:rPr>
                <w:rFonts w:ascii="Tahoma" w:hAnsi="Tahoma" w:cs="Tahoma"/>
                <w:sz w:val="20"/>
                <w:szCs w:val="20"/>
              </w:rPr>
              <w:t xml:space="preserve">- оплаты инкассовых поручений по исполнительным документам; </w:t>
            </w:r>
          </w:p>
          <w:p w14:paraId="5F0EAAB2" w14:textId="77777777" w:rsidR="00267AB0" w:rsidRPr="00A445DF" w:rsidRDefault="00267AB0" w:rsidP="00AA653D">
            <w:pPr>
              <w:jc w:val="both"/>
              <w:rPr>
                <w:rFonts w:ascii="Tahoma" w:hAnsi="Tahoma" w:cs="Tahoma"/>
                <w:sz w:val="20"/>
                <w:szCs w:val="20"/>
              </w:rPr>
            </w:pPr>
            <w:r w:rsidRPr="00A445DF">
              <w:rPr>
                <w:rFonts w:ascii="Tahoma" w:hAnsi="Tahoma" w:cs="Tahoma"/>
                <w:sz w:val="20"/>
                <w:szCs w:val="20"/>
              </w:rPr>
              <w:t>- оплаты иных документов на бесспорное списание денежных средств;</w:t>
            </w:r>
          </w:p>
          <w:p w14:paraId="50B75132" w14:textId="77777777" w:rsidR="00267AB0" w:rsidRPr="00A445DF" w:rsidRDefault="00267AB0" w:rsidP="00AA653D">
            <w:pPr>
              <w:jc w:val="both"/>
              <w:rPr>
                <w:rFonts w:ascii="Tahoma" w:hAnsi="Tahoma" w:cs="Tahoma"/>
                <w:sz w:val="20"/>
                <w:szCs w:val="20"/>
              </w:rPr>
            </w:pPr>
            <w:r w:rsidRPr="00A445DF">
              <w:rPr>
                <w:rFonts w:ascii="Tahoma" w:hAnsi="Tahoma" w:cs="Tahoma"/>
                <w:sz w:val="20"/>
                <w:szCs w:val="20"/>
              </w:rPr>
              <w:t>- оплаты собственных векселей;</w:t>
            </w:r>
          </w:p>
          <w:p w14:paraId="23B2BF89" w14:textId="77777777" w:rsidR="00267AB0" w:rsidRPr="00A445DF" w:rsidRDefault="00267AB0" w:rsidP="00AA653D">
            <w:pPr>
              <w:jc w:val="both"/>
              <w:rPr>
                <w:rFonts w:ascii="Tahoma" w:hAnsi="Tahoma" w:cs="Tahoma"/>
                <w:sz w:val="20"/>
                <w:szCs w:val="20"/>
              </w:rPr>
            </w:pPr>
            <w:r w:rsidRPr="00A445DF">
              <w:rPr>
                <w:rFonts w:ascii="Tahoma" w:hAnsi="Tahoma" w:cs="Tahoma"/>
                <w:sz w:val="20"/>
                <w:szCs w:val="20"/>
              </w:rPr>
              <w:t>- покупки векселей сторонних организаций;</w:t>
            </w:r>
          </w:p>
          <w:p w14:paraId="1B6AB27A" w14:textId="77777777" w:rsidR="00267AB0" w:rsidRPr="00A445DF" w:rsidRDefault="00267AB0" w:rsidP="00AA653D">
            <w:pPr>
              <w:jc w:val="both"/>
              <w:rPr>
                <w:rFonts w:ascii="Tahoma" w:hAnsi="Tahoma" w:cs="Tahoma"/>
                <w:sz w:val="20"/>
                <w:szCs w:val="20"/>
              </w:rPr>
            </w:pPr>
            <w:r w:rsidRPr="00A445DF">
              <w:rPr>
                <w:rFonts w:ascii="Tahoma" w:hAnsi="Tahoma" w:cs="Tahoma"/>
                <w:sz w:val="20"/>
                <w:szCs w:val="20"/>
              </w:rPr>
              <w:t>- выдачи и погашения займов;</w:t>
            </w:r>
          </w:p>
          <w:p w14:paraId="674DC5A3" w14:textId="77777777" w:rsidR="00267AB0" w:rsidRPr="00A445DF" w:rsidRDefault="00267AB0" w:rsidP="00AA653D">
            <w:pPr>
              <w:jc w:val="both"/>
              <w:rPr>
                <w:rFonts w:ascii="Tahoma" w:hAnsi="Tahoma" w:cs="Tahoma"/>
                <w:sz w:val="20"/>
                <w:szCs w:val="20"/>
              </w:rPr>
            </w:pPr>
            <w:r w:rsidRPr="00A445DF">
              <w:rPr>
                <w:rFonts w:ascii="Tahoma" w:hAnsi="Tahoma" w:cs="Tahoma"/>
                <w:sz w:val="20"/>
                <w:szCs w:val="20"/>
              </w:rPr>
              <w:t xml:space="preserve">- исполнения обязательств других Заемщиков перед Банком; </w:t>
            </w:r>
          </w:p>
          <w:p w14:paraId="2DA3FDD2" w14:textId="77777777" w:rsidR="00267AB0" w:rsidRPr="00A445DF" w:rsidRDefault="00267AB0" w:rsidP="00AA653D">
            <w:pPr>
              <w:jc w:val="both"/>
              <w:rPr>
                <w:rFonts w:ascii="Tahoma" w:hAnsi="Tahoma" w:cs="Tahoma"/>
                <w:sz w:val="20"/>
                <w:szCs w:val="20"/>
              </w:rPr>
            </w:pPr>
            <w:r w:rsidRPr="00A445DF">
              <w:rPr>
                <w:rFonts w:ascii="Tahoma" w:hAnsi="Tahoma" w:cs="Tahoma"/>
                <w:sz w:val="20"/>
                <w:szCs w:val="20"/>
              </w:rPr>
              <w:t>- приобретения у Банка имущества, полученного Банком в результате прекращения обязательств Заемщика по ранее выданным ссудам предоставлением отступного;</w:t>
            </w:r>
          </w:p>
          <w:p w14:paraId="074D2195" w14:textId="77777777" w:rsidR="00267AB0" w:rsidRPr="00A445DF" w:rsidRDefault="00267AB0" w:rsidP="00AA653D">
            <w:pPr>
              <w:jc w:val="both"/>
              <w:rPr>
                <w:rFonts w:ascii="Tahoma" w:hAnsi="Tahoma" w:cs="Tahoma"/>
                <w:sz w:val="20"/>
                <w:szCs w:val="20"/>
              </w:rPr>
            </w:pPr>
            <w:r w:rsidRPr="00A445DF">
              <w:rPr>
                <w:rFonts w:ascii="Tahoma" w:hAnsi="Tahoma" w:cs="Tahoma"/>
                <w:sz w:val="20"/>
                <w:szCs w:val="20"/>
              </w:rPr>
              <w:t>- приобретения и погашения эмиссионных ценных бумаг;</w:t>
            </w:r>
          </w:p>
          <w:p w14:paraId="350DFEC3" w14:textId="77777777" w:rsidR="00267AB0" w:rsidRPr="00A445DF" w:rsidRDefault="00267AB0" w:rsidP="00AA653D">
            <w:pPr>
              <w:jc w:val="both"/>
              <w:rPr>
                <w:rFonts w:ascii="Tahoma" w:hAnsi="Tahoma" w:cs="Tahoma"/>
                <w:sz w:val="20"/>
                <w:szCs w:val="20"/>
              </w:rPr>
            </w:pPr>
            <w:r w:rsidRPr="00A445DF">
              <w:rPr>
                <w:rFonts w:ascii="Tahoma" w:hAnsi="Tahoma" w:cs="Tahoma"/>
                <w:sz w:val="20"/>
                <w:szCs w:val="20"/>
              </w:rPr>
              <w:t>- осуществления вложений в уставные капиталы других юридических лиц.</w:t>
            </w:r>
          </w:p>
          <w:p w14:paraId="74F34A11" w14:textId="77777777" w:rsidR="00267AB0" w:rsidRPr="00B746D0" w:rsidRDefault="00267AB0" w:rsidP="00AA653D">
            <w:pPr>
              <w:jc w:val="both"/>
              <w:rPr>
                <w:rFonts w:ascii="Tahoma" w:hAnsi="Tahoma" w:cs="Tahoma"/>
                <w:sz w:val="20"/>
                <w:szCs w:val="20"/>
              </w:rPr>
            </w:pPr>
            <w:r w:rsidRPr="00A445DF">
              <w:rPr>
                <w:rFonts w:ascii="Tahoma" w:hAnsi="Tahoma" w:cs="Tahoma"/>
                <w:sz w:val="20"/>
                <w:szCs w:val="20"/>
              </w:rPr>
              <w:t>Банк осуществляет проверку целевого использования Кредита путем получения от Заемщика документов, подтверждающих право собственности Заемщика на приобретенный им с использованием кредитных средств объект недвижимости (при целевом кредитовании).</w:t>
            </w:r>
          </w:p>
        </w:tc>
      </w:tr>
      <w:tr w:rsidR="00267AB0" w:rsidRPr="00B746D0" w14:paraId="29702F9D" w14:textId="77777777" w:rsidTr="00AA653D">
        <w:tc>
          <w:tcPr>
            <w:tcW w:w="4361" w:type="dxa"/>
            <w:vMerge/>
            <w:vAlign w:val="center"/>
          </w:tcPr>
          <w:p w14:paraId="618CFAE3" w14:textId="77777777" w:rsidR="00267AB0" w:rsidRPr="00B746D0" w:rsidRDefault="00267AB0" w:rsidP="00AA653D">
            <w:pPr>
              <w:jc w:val="center"/>
              <w:rPr>
                <w:rFonts w:ascii="Tahoma" w:hAnsi="Tahoma" w:cs="Tahoma"/>
                <w:b/>
                <w:bCs/>
                <w:sz w:val="20"/>
                <w:szCs w:val="20"/>
              </w:rPr>
            </w:pPr>
          </w:p>
        </w:tc>
        <w:tc>
          <w:tcPr>
            <w:tcW w:w="5669" w:type="dxa"/>
            <w:gridSpan w:val="5"/>
            <w:vAlign w:val="center"/>
          </w:tcPr>
          <w:p w14:paraId="7881AF54" w14:textId="77777777" w:rsidR="00267AB0" w:rsidRPr="00B746D0" w:rsidRDefault="00267AB0" w:rsidP="00AA653D">
            <w:pPr>
              <w:jc w:val="both"/>
              <w:rPr>
                <w:rFonts w:ascii="Tahoma" w:hAnsi="Tahoma" w:cs="Tahoma"/>
                <w:sz w:val="20"/>
                <w:szCs w:val="20"/>
              </w:rPr>
            </w:pPr>
            <w:r w:rsidRPr="00B746D0">
              <w:rPr>
                <w:rFonts w:ascii="Tahoma" w:hAnsi="Tahoma" w:cs="Tahoma"/>
                <w:sz w:val="20"/>
                <w:szCs w:val="20"/>
              </w:rPr>
              <w:t>Не подтверждается/подтверждается на основании решения уполномоченного органа Банка, принимающего решение о выдаче Кредита с отражением в Индивидуальных условиях Договора.</w:t>
            </w:r>
          </w:p>
        </w:tc>
        <w:tc>
          <w:tcPr>
            <w:tcW w:w="5745" w:type="dxa"/>
            <w:gridSpan w:val="4"/>
            <w:vAlign w:val="center"/>
          </w:tcPr>
          <w:p w14:paraId="223013B1" w14:textId="77777777" w:rsidR="00267AB0" w:rsidRPr="00B746D0" w:rsidRDefault="00267AB0" w:rsidP="00AA653D">
            <w:pPr>
              <w:jc w:val="both"/>
              <w:rPr>
                <w:rFonts w:ascii="Tahoma" w:hAnsi="Tahoma" w:cs="Tahoma"/>
                <w:sz w:val="20"/>
                <w:szCs w:val="20"/>
              </w:rPr>
            </w:pPr>
            <w:r w:rsidRPr="00B746D0">
              <w:rPr>
                <w:rFonts w:ascii="Tahoma" w:hAnsi="Tahoma" w:cs="Tahoma"/>
                <w:sz w:val="20"/>
                <w:szCs w:val="20"/>
              </w:rPr>
              <w:t>Требуется подтверждение целевого использования Кредита. Форма и срок подтверждения целевого использования Кредита определяется уполномоченным органом Банка, принимающим решение о выдаче Кредита с отражением в Индивидуальных условиях Договора.</w:t>
            </w:r>
          </w:p>
        </w:tc>
      </w:tr>
      <w:tr w:rsidR="00267AB0" w:rsidRPr="00B746D0" w14:paraId="56D5B539" w14:textId="77777777" w:rsidTr="00AA653D">
        <w:tc>
          <w:tcPr>
            <w:tcW w:w="4361" w:type="dxa"/>
            <w:vAlign w:val="center"/>
          </w:tcPr>
          <w:p w14:paraId="4FDF6A5C" w14:textId="77777777" w:rsidR="00267AB0" w:rsidRPr="00B746D0" w:rsidRDefault="00267AB0" w:rsidP="00AA653D">
            <w:pPr>
              <w:rPr>
                <w:rFonts w:ascii="Tahoma" w:hAnsi="Tahoma" w:cs="Tahoma"/>
                <w:b/>
                <w:bCs/>
                <w:sz w:val="20"/>
                <w:szCs w:val="20"/>
              </w:rPr>
            </w:pPr>
            <w:r w:rsidRPr="00B746D0">
              <w:rPr>
                <w:rFonts w:ascii="Tahoma" w:hAnsi="Tahoma" w:cs="Tahoma"/>
                <w:b/>
                <w:bCs/>
                <w:sz w:val="20"/>
                <w:szCs w:val="20"/>
              </w:rPr>
              <w:lastRenderedPageBreak/>
              <w:t>Поручительство юридического лица, собственником которого является Заемщик</w:t>
            </w:r>
            <w:r w:rsidRPr="00B746D0">
              <w:rPr>
                <w:rFonts w:ascii="Tahoma" w:hAnsi="Tahoma" w:cs="Tahoma"/>
                <w:bCs/>
                <w:sz w:val="20"/>
                <w:szCs w:val="20"/>
              </w:rPr>
              <w:t>.</w:t>
            </w:r>
            <w:r w:rsidRPr="00860EF1">
              <w:rPr>
                <w:rFonts w:ascii="Tahoma" w:hAnsi="Tahoma" w:cs="Tahoma"/>
                <w:b/>
                <w:bCs/>
                <w:sz w:val="20"/>
                <w:szCs w:val="20"/>
                <w:vertAlign w:val="superscript"/>
              </w:rPr>
              <w:t xml:space="preserve"> </w:t>
            </w:r>
            <w:r>
              <w:rPr>
                <w:rFonts w:ascii="Tahoma" w:hAnsi="Tahoma" w:cs="Tahoma"/>
                <w:b/>
                <w:bCs/>
                <w:sz w:val="20"/>
                <w:szCs w:val="20"/>
                <w:vertAlign w:val="superscript"/>
              </w:rPr>
              <w:t>5</w:t>
            </w:r>
          </w:p>
        </w:tc>
        <w:tc>
          <w:tcPr>
            <w:tcW w:w="5669" w:type="dxa"/>
            <w:gridSpan w:val="5"/>
            <w:vAlign w:val="center"/>
          </w:tcPr>
          <w:p w14:paraId="49001A79" w14:textId="77777777" w:rsidR="00267AB0" w:rsidRPr="00B746D0" w:rsidRDefault="00267AB0" w:rsidP="00AA653D">
            <w:pPr>
              <w:jc w:val="both"/>
              <w:rPr>
                <w:rFonts w:ascii="Tahoma" w:hAnsi="Tahoma" w:cs="Tahoma"/>
                <w:sz w:val="20"/>
                <w:szCs w:val="20"/>
              </w:rPr>
            </w:pPr>
            <w:r w:rsidRPr="00B746D0">
              <w:rPr>
                <w:rFonts w:ascii="Tahoma" w:hAnsi="Tahoma" w:cs="Tahoma"/>
                <w:bCs/>
                <w:sz w:val="20"/>
                <w:szCs w:val="20"/>
              </w:rPr>
              <w:t>Поручительство юридического лица, собственником которого является Заемщик, осуществляется по решению уполномоченного органа Банка.</w:t>
            </w:r>
          </w:p>
        </w:tc>
        <w:tc>
          <w:tcPr>
            <w:tcW w:w="5745" w:type="dxa"/>
            <w:gridSpan w:val="4"/>
            <w:vAlign w:val="center"/>
          </w:tcPr>
          <w:p w14:paraId="24045FA3" w14:textId="77777777" w:rsidR="00267AB0" w:rsidRPr="00B746D0" w:rsidRDefault="00267AB0" w:rsidP="00AA653D">
            <w:pPr>
              <w:jc w:val="both"/>
              <w:rPr>
                <w:rFonts w:ascii="Tahoma" w:hAnsi="Tahoma" w:cs="Tahoma"/>
                <w:sz w:val="20"/>
                <w:szCs w:val="20"/>
              </w:rPr>
            </w:pPr>
            <w:r w:rsidRPr="00B746D0">
              <w:rPr>
                <w:rFonts w:ascii="Tahoma" w:hAnsi="Tahoma" w:cs="Tahoma"/>
                <w:bCs/>
                <w:sz w:val="20"/>
                <w:szCs w:val="20"/>
              </w:rPr>
              <w:t>Поручительство юридического лица, собственником которого является Заемщик, осуществляется в обязательном порядке</w:t>
            </w:r>
          </w:p>
        </w:tc>
      </w:tr>
      <w:tr w:rsidR="00267AB0" w:rsidRPr="004B72BD" w14:paraId="2AE00582" w14:textId="77777777" w:rsidTr="00AA653D">
        <w:tc>
          <w:tcPr>
            <w:tcW w:w="4361" w:type="dxa"/>
            <w:vMerge w:val="restart"/>
            <w:vAlign w:val="center"/>
          </w:tcPr>
          <w:p w14:paraId="5F9630B5" w14:textId="77777777" w:rsidR="00267AB0" w:rsidRPr="004B72BD" w:rsidRDefault="00267AB0" w:rsidP="00AA653D">
            <w:pPr>
              <w:rPr>
                <w:rFonts w:ascii="Tahoma" w:hAnsi="Tahoma" w:cs="Tahoma"/>
                <w:b/>
                <w:bCs/>
                <w:sz w:val="20"/>
                <w:szCs w:val="20"/>
              </w:rPr>
            </w:pPr>
            <w:r w:rsidRPr="004B72BD">
              <w:rPr>
                <w:rFonts w:ascii="Tahoma" w:hAnsi="Tahoma" w:cs="Tahoma"/>
                <w:b/>
                <w:bCs/>
                <w:sz w:val="20"/>
                <w:szCs w:val="20"/>
              </w:rPr>
              <w:t>Требования к Заемщику, которые установлены Кредитором, и выполнение которых является обязательным для предоставления Кредита</w:t>
            </w:r>
          </w:p>
        </w:tc>
        <w:tc>
          <w:tcPr>
            <w:tcW w:w="11414" w:type="dxa"/>
            <w:gridSpan w:val="9"/>
          </w:tcPr>
          <w:p w14:paraId="1FD78A44" w14:textId="77777777" w:rsidR="00267AB0" w:rsidRPr="004B72BD" w:rsidRDefault="00267AB0" w:rsidP="00AA653D">
            <w:pPr>
              <w:jc w:val="center"/>
              <w:rPr>
                <w:rFonts w:ascii="Tahoma" w:hAnsi="Tahoma" w:cs="Tahoma"/>
                <w:sz w:val="20"/>
                <w:szCs w:val="20"/>
              </w:rPr>
            </w:pPr>
            <w:r w:rsidRPr="004B72BD">
              <w:rPr>
                <w:rFonts w:ascii="Tahoma" w:hAnsi="Tahoma" w:cs="Tahoma"/>
                <w:b/>
                <w:sz w:val="20"/>
                <w:szCs w:val="20"/>
              </w:rPr>
              <w:t>ОСНОВНЫЕ</w:t>
            </w:r>
          </w:p>
        </w:tc>
      </w:tr>
      <w:tr w:rsidR="00267AB0" w:rsidRPr="004B72BD" w14:paraId="68F71B6E" w14:textId="77777777" w:rsidTr="00AA653D">
        <w:tc>
          <w:tcPr>
            <w:tcW w:w="4361" w:type="dxa"/>
            <w:vMerge/>
            <w:vAlign w:val="center"/>
          </w:tcPr>
          <w:p w14:paraId="6F40058B" w14:textId="77777777" w:rsidR="00267AB0" w:rsidRPr="004B72BD" w:rsidRDefault="00267AB0" w:rsidP="00AA653D">
            <w:pPr>
              <w:rPr>
                <w:rFonts w:ascii="Tahoma" w:hAnsi="Tahoma" w:cs="Tahoma"/>
                <w:b/>
                <w:bCs/>
                <w:sz w:val="20"/>
                <w:szCs w:val="20"/>
              </w:rPr>
            </w:pPr>
          </w:p>
        </w:tc>
        <w:tc>
          <w:tcPr>
            <w:tcW w:w="4264" w:type="dxa"/>
            <w:gridSpan w:val="3"/>
          </w:tcPr>
          <w:p w14:paraId="0621A3FB" w14:textId="77777777" w:rsidR="00267AB0" w:rsidRPr="004B72BD" w:rsidRDefault="00267AB0" w:rsidP="00AA653D">
            <w:pPr>
              <w:widowControl w:val="0"/>
              <w:autoSpaceDE w:val="0"/>
              <w:autoSpaceDN w:val="0"/>
              <w:rPr>
                <w:rFonts w:ascii="Tahoma" w:hAnsi="Tahoma" w:cs="Tahoma"/>
                <w:sz w:val="20"/>
                <w:szCs w:val="20"/>
              </w:rPr>
            </w:pPr>
            <w:r w:rsidRPr="004B72BD">
              <w:rPr>
                <w:rFonts w:ascii="Tahoma" w:hAnsi="Tahoma" w:cs="Tahoma"/>
                <w:sz w:val="20"/>
                <w:szCs w:val="20"/>
              </w:rPr>
              <w:t xml:space="preserve">Гражданство Заемщика </w:t>
            </w:r>
          </w:p>
        </w:tc>
        <w:tc>
          <w:tcPr>
            <w:tcW w:w="7150" w:type="dxa"/>
            <w:gridSpan w:val="6"/>
          </w:tcPr>
          <w:p w14:paraId="539C78AC" w14:textId="77777777" w:rsidR="00267AB0" w:rsidRPr="004B72BD" w:rsidRDefault="00267AB0" w:rsidP="00AA653D">
            <w:pPr>
              <w:widowControl w:val="0"/>
              <w:tabs>
                <w:tab w:val="left" w:pos="275"/>
              </w:tabs>
              <w:autoSpaceDE w:val="0"/>
              <w:autoSpaceDN w:val="0"/>
              <w:contextualSpacing/>
              <w:jc w:val="both"/>
              <w:rPr>
                <w:rFonts w:ascii="Tahoma" w:hAnsi="Tahoma" w:cs="Tahoma"/>
                <w:snapToGrid w:val="0"/>
                <w:sz w:val="20"/>
                <w:szCs w:val="20"/>
              </w:rPr>
            </w:pPr>
            <w:r w:rsidRPr="004B72BD">
              <w:rPr>
                <w:rFonts w:ascii="Tahoma" w:hAnsi="Tahoma" w:cs="Tahoma"/>
                <w:snapToGrid w:val="0"/>
                <w:sz w:val="20"/>
                <w:szCs w:val="20"/>
              </w:rPr>
              <w:t>Российская Федерация.</w:t>
            </w:r>
          </w:p>
          <w:p w14:paraId="34CE49EF" w14:textId="77777777" w:rsidR="00267AB0" w:rsidRPr="004B72BD" w:rsidRDefault="00267AB0" w:rsidP="00AA653D">
            <w:pPr>
              <w:widowControl w:val="0"/>
              <w:tabs>
                <w:tab w:val="left" w:pos="275"/>
              </w:tabs>
              <w:autoSpaceDE w:val="0"/>
              <w:autoSpaceDN w:val="0"/>
              <w:contextualSpacing/>
              <w:jc w:val="both"/>
              <w:rPr>
                <w:rFonts w:ascii="Tahoma" w:hAnsi="Tahoma" w:cs="Tahoma"/>
                <w:sz w:val="20"/>
                <w:szCs w:val="20"/>
              </w:rPr>
            </w:pPr>
          </w:p>
        </w:tc>
      </w:tr>
      <w:tr w:rsidR="00267AB0" w:rsidRPr="004B72BD" w14:paraId="02EF58BC" w14:textId="77777777" w:rsidTr="00AA653D">
        <w:tc>
          <w:tcPr>
            <w:tcW w:w="4361" w:type="dxa"/>
            <w:vMerge/>
            <w:vAlign w:val="center"/>
          </w:tcPr>
          <w:p w14:paraId="6AE44158" w14:textId="77777777" w:rsidR="00267AB0" w:rsidRPr="004B72BD" w:rsidRDefault="00267AB0" w:rsidP="00AA653D">
            <w:pPr>
              <w:rPr>
                <w:rFonts w:ascii="Tahoma" w:hAnsi="Tahoma" w:cs="Tahoma"/>
                <w:b/>
                <w:bCs/>
                <w:sz w:val="20"/>
                <w:szCs w:val="20"/>
              </w:rPr>
            </w:pPr>
          </w:p>
        </w:tc>
        <w:tc>
          <w:tcPr>
            <w:tcW w:w="4264" w:type="dxa"/>
            <w:gridSpan w:val="3"/>
          </w:tcPr>
          <w:p w14:paraId="51ABCCDF" w14:textId="77777777" w:rsidR="00267AB0" w:rsidRPr="004B72BD" w:rsidRDefault="00267AB0" w:rsidP="00AA653D">
            <w:pPr>
              <w:widowControl w:val="0"/>
              <w:autoSpaceDE w:val="0"/>
              <w:autoSpaceDN w:val="0"/>
              <w:rPr>
                <w:rFonts w:ascii="Tahoma" w:hAnsi="Tahoma" w:cs="Tahoma"/>
                <w:spacing w:val="-1"/>
                <w:kern w:val="65535"/>
                <w:position w:val="-1"/>
                <w:sz w:val="20"/>
                <w:szCs w:val="20"/>
                <w:vertAlign w:val="superscript"/>
              </w:rPr>
            </w:pPr>
            <w:r w:rsidRPr="004B72BD">
              <w:rPr>
                <w:rFonts w:ascii="Tahoma" w:hAnsi="Tahoma" w:cs="Tahoma"/>
                <w:snapToGrid w:val="0"/>
                <w:sz w:val="20"/>
                <w:szCs w:val="20"/>
              </w:rPr>
              <w:t>Регистрация и место жительства Заемщика</w:t>
            </w:r>
          </w:p>
        </w:tc>
        <w:tc>
          <w:tcPr>
            <w:tcW w:w="7150" w:type="dxa"/>
            <w:gridSpan w:val="6"/>
          </w:tcPr>
          <w:p w14:paraId="46DF6340" w14:textId="77777777" w:rsidR="00267AB0" w:rsidRPr="004B72BD" w:rsidRDefault="00267AB0" w:rsidP="00AA653D">
            <w:pPr>
              <w:widowControl w:val="0"/>
              <w:tabs>
                <w:tab w:val="left" w:pos="275"/>
              </w:tabs>
              <w:autoSpaceDE w:val="0"/>
              <w:autoSpaceDN w:val="0"/>
              <w:jc w:val="both"/>
              <w:rPr>
                <w:rFonts w:ascii="Tahoma" w:hAnsi="Tahoma" w:cs="Tahoma"/>
                <w:snapToGrid w:val="0"/>
                <w:spacing w:val="-1"/>
                <w:kern w:val="65535"/>
                <w:position w:val="-1"/>
                <w:sz w:val="20"/>
                <w:szCs w:val="20"/>
                <w:vertAlign w:val="superscript"/>
              </w:rPr>
            </w:pPr>
            <w:r w:rsidRPr="004B72BD">
              <w:rPr>
                <w:rFonts w:ascii="Tahoma" w:hAnsi="Tahoma" w:cs="Tahoma"/>
                <w:snapToGrid w:val="0"/>
                <w:sz w:val="20"/>
                <w:szCs w:val="20"/>
              </w:rPr>
              <w:t>Регистрация и фактическое место жительства на территории обслуживания Банком, утвержденной соответствующим приказом по Банку. Допускается нахождение вне территории обслуживания Банком для Заемщиков, имеющих положительную кредитную историю в Банке.</w:t>
            </w:r>
          </w:p>
        </w:tc>
      </w:tr>
      <w:tr w:rsidR="00267AB0" w:rsidRPr="004B72BD" w14:paraId="409F9EE9" w14:textId="77777777" w:rsidTr="00AA653D">
        <w:tc>
          <w:tcPr>
            <w:tcW w:w="4361" w:type="dxa"/>
            <w:vMerge/>
            <w:vAlign w:val="center"/>
          </w:tcPr>
          <w:p w14:paraId="332BC68A" w14:textId="77777777" w:rsidR="00267AB0" w:rsidRPr="004B72BD" w:rsidRDefault="00267AB0" w:rsidP="00AA653D">
            <w:pPr>
              <w:rPr>
                <w:rFonts w:ascii="Tahoma" w:hAnsi="Tahoma" w:cs="Tahoma"/>
                <w:b/>
                <w:bCs/>
                <w:sz w:val="20"/>
                <w:szCs w:val="20"/>
              </w:rPr>
            </w:pPr>
          </w:p>
        </w:tc>
        <w:tc>
          <w:tcPr>
            <w:tcW w:w="4264" w:type="dxa"/>
            <w:gridSpan w:val="3"/>
          </w:tcPr>
          <w:p w14:paraId="316C765A" w14:textId="77777777" w:rsidR="00267AB0" w:rsidRPr="004B72BD" w:rsidRDefault="00267AB0" w:rsidP="00AA653D">
            <w:pPr>
              <w:widowControl w:val="0"/>
              <w:autoSpaceDE w:val="0"/>
              <w:autoSpaceDN w:val="0"/>
              <w:jc w:val="both"/>
              <w:rPr>
                <w:rFonts w:ascii="Tahoma" w:hAnsi="Tahoma" w:cs="Tahoma"/>
                <w:sz w:val="20"/>
                <w:szCs w:val="20"/>
              </w:rPr>
            </w:pPr>
            <w:r w:rsidRPr="004B72BD">
              <w:rPr>
                <w:rFonts w:ascii="Tahoma" w:hAnsi="Tahoma" w:cs="Tahoma"/>
                <w:sz w:val="20"/>
                <w:szCs w:val="20"/>
              </w:rPr>
              <w:t>Возраст Заемщика</w:t>
            </w:r>
          </w:p>
        </w:tc>
        <w:tc>
          <w:tcPr>
            <w:tcW w:w="7150" w:type="dxa"/>
            <w:gridSpan w:val="6"/>
          </w:tcPr>
          <w:p w14:paraId="2905197D" w14:textId="77777777" w:rsidR="00267AB0" w:rsidRPr="004B72BD" w:rsidRDefault="00267AB0" w:rsidP="00AA653D">
            <w:pPr>
              <w:tabs>
                <w:tab w:val="left" w:pos="219"/>
              </w:tabs>
              <w:autoSpaceDN w:val="0"/>
              <w:jc w:val="both"/>
              <w:rPr>
                <w:rFonts w:ascii="Tahoma" w:hAnsi="Tahoma" w:cs="Tahoma"/>
                <w:snapToGrid w:val="0"/>
                <w:sz w:val="20"/>
                <w:szCs w:val="20"/>
              </w:rPr>
            </w:pPr>
            <w:r w:rsidRPr="004B72BD">
              <w:rPr>
                <w:rFonts w:ascii="Tahoma" w:hAnsi="Tahoma" w:cs="Tahoma"/>
                <w:snapToGrid w:val="0"/>
                <w:sz w:val="20"/>
                <w:szCs w:val="20"/>
              </w:rPr>
              <w:t>- на момент обращения за кредитом не менее 25 (двадцати пяти) лет/ не менее 21 (двадцати одного) года при 100% обеспеченности Кредита залогом недвижимого имущества;</w:t>
            </w:r>
          </w:p>
          <w:p w14:paraId="43AF8C21" w14:textId="77777777" w:rsidR="00267AB0" w:rsidRPr="004B72BD" w:rsidRDefault="00267AB0" w:rsidP="00AA653D">
            <w:pPr>
              <w:tabs>
                <w:tab w:val="left" w:pos="219"/>
              </w:tabs>
              <w:autoSpaceDN w:val="0"/>
              <w:snapToGrid w:val="0"/>
              <w:jc w:val="both"/>
              <w:rPr>
                <w:rFonts w:ascii="Tahoma" w:hAnsi="Tahoma" w:cs="Tahoma"/>
                <w:sz w:val="20"/>
                <w:szCs w:val="20"/>
              </w:rPr>
            </w:pPr>
            <w:r w:rsidRPr="004B72BD">
              <w:rPr>
                <w:rFonts w:ascii="Tahoma" w:hAnsi="Tahoma" w:cs="Tahoma"/>
                <w:snapToGrid w:val="0"/>
                <w:sz w:val="20"/>
                <w:szCs w:val="20"/>
              </w:rPr>
              <w:t>- на момент окончания срока Договора возраст не более 65 (шестидесяти пяти) лет/не более 70 (семидесяти) лет при 100% обеспеченности Кредита залогом недвижимого имущества.</w:t>
            </w:r>
          </w:p>
        </w:tc>
      </w:tr>
      <w:tr w:rsidR="00267AB0" w:rsidRPr="004B72BD" w14:paraId="2EF8EA68" w14:textId="77777777" w:rsidTr="00AA653D">
        <w:tc>
          <w:tcPr>
            <w:tcW w:w="4361" w:type="dxa"/>
            <w:vMerge/>
            <w:vAlign w:val="center"/>
          </w:tcPr>
          <w:p w14:paraId="46A03114" w14:textId="77777777" w:rsidR="00267AB0" w:rsidRPr="004B72BD" w:rsidRDefault="00267AB0" w:rsidP="00AA653D">
            <w:pPr>
              <w:rPr>
                <w:rFonts w:ascii="Tahoma" w:hAnsi="Tahoma" w:cs="Tahoma"/>
                <w:b/>
                <w:bCs/>
                <w:sz w:val="20"/>
                <w:szCs w:val="20"/>
              </w:rPr>
            </w:pPr>
          </w:p>
        </w:tc>
        <w:tc>
          <w:tcPr>
            <w:tcW w:w="4264" w:type="dxa"/>
            <w:gridSpan w:val="3"/>
          </w:tcPr>
          <w:p w14:paraId="0A879D57" w14:textId="77777777" w:rsidR="00267AB0" w:rsidRPr="004B72BD" w:rsidRDefault="00267AB0" w:rsidP="00AA653D">
            <w:pPr>
              <w:widowControl w:val="0"/>
              <w:autoSpaceDE w:val="0"/>
              <w:autoSpaceDN w:val="0"/>
              <w:rPr>
                <w:rFonts w:ascii="Tahoma" w:hAnsi="Tahoma" w:cs="Tahoma"/>
                <w:sz w:val="20"/>
                <w:szCs w:val="20"/>
              </w:rPr>
            </w:pPr>
            <w:r w:rsidRPr="004B72BD">
              <w:rPr>
                <w:rFonts w:ascii="Tahoma" w:hAnsi="Tahoma" w:cs="Tahoma"/>
                <w:snapToGrid w:val="0"/>
                <w:sz w:val="20"/>
                <w:szCs w:val="20"/>
              </w:rPr>
              <w:t>Срок существования бизнеса Заемщика с момента его государственной регистрации</w:t>
            </w:r>
          </w:p>
        </w:tc>
        <w:tc>
          <w:tcPr>
            <w:tcW w:w="7150" w:type="dxa"/>
            <w:gridSpan w:val="6"/>
          </w:tcPr>
          <w:p w14:paraId="0FABDA9D" w14:textId="77777777" w:rsidR="00267AB0" w:rsidRPr="004B72BD" w:rsidRDefault="00267AB0" w:rsidP="00AA653D">
            <w:pPr>
              <w:widowControl w:val="0"/>
              <w:tabs>
                <w:tab w:val="left" w:pos="275"/>
              </w:tabs>
              <w:autoSpaceDE w:val="0"/>
              <w:autoSpaceDN w:val="0"/>
              <w:jc w:val="both"/>
              <w:rPr>
                <w:rFonts w:ascii="Tahoma" w:hAnsi="Tahoma" w:cs="Tahoma"/>
                <w:sz w:val="20"/>
                <w:szCs w:val="20"/>
              </w:rPr>
            </w:pPr>
            <w:r w:rsidRPr="004B72BD">
              <w:rPr>
                <w:rFonts w:ascii="Tahoma" w:hAnsi="Tahoma" w:cs="Tahoma"/>
                <w:snapToGrid w:val="0"/>
                <w:sz w:val="20"/>
                <w:szCs w:val="20"/>
              </w:rPr>
              <w:t>Не менее 6 месяцев - для индивидуальных предпринимателей;</w:t>
            </w:r>
          </w:p>
          <w:p w14:paraId="4EEE81DD" w14:textId="77777777" w:rsidR="00267AB0" w:rsidRPr="004B72BD" w:rsidRDefault="00267AB0" w:rsidP="00AA653D">
            <w:pPr>
              <w:widowControl w:val="0"/>
              <w:tabs>
                <w:tab w:val="left" w:pos="275"/>
              </w:tabs>
              <w:autoSpaceDE w:val="0"/>
              <w:autoSpaceDN w:val="0"/>
              <w:jc w:val="both"/>
              <w:rPr>
                <w:rFonts w:ascii="Tahoma" w:hAnsi="Tahoma" w:cs="Tahoma"/>
                <w:sz w:val="20"/>
                <w:szCs w:val="20"/>
              </w:rPr>
            </w:pPr>
            <w:r w:rsidRPr="004B72BD">
              <w:rPr>
                <w:rFonts w:ascii="Tahoma" w:hAnsi="Tahoma" w:cs="Tahoma"/>
                <w:snapToGrid w:val="0"/>
                <w:sz w:val="20"/>
                <w:szCs w:val="20"/>
              </w:rPr>
              <w:t>не менее 12 месяцев - для юридических лиц.</w:t>
            </w:r>
          </w:p>
        </w:tc>
      </w:tr>
      <w:tr w:rsidR="00267AB0" w:rsidRPr="004B72BD" w14:paraId="61C8C915" w14:textId="77777777" w:rsidTr="00AA653D">
        <w:tc>
          <w:tcPr>
            <w:tcW w:w="4361" w:type="dxa"/>
            <w:vMerge/>
            <w:vAlign w:val="center"/>
          </w:tcPr>
          <w:p w14:paraId="1E455992" w14:textId="77777777" w:rsidR="00267AB0" w:rsidRPr="004B72BD" w:rsidRDefault="00267AB0" w:rsidP="00AA653D">
            <w:pPr>
              <w:rPr>
                <w:rFonts w:ascii="Tahoma" w:hAnsi="Tahoma" w:cs="Tahoma"/>
                <w:b/>
                <w:bCs/>
                <w:sz w:val="20"/>
                <w:szCs w:val="20"/>
              </w:rPr>
            </w:pPr>
          </w:p>
        </w:tc>
        <w:tc>
          <w:tcPr>
            <w:tcW w:w="4264" w:type="dxa"/>
            <w:gridSpan w:val="3"/>
          </w:tcPr>
          <w:p w14:paraId="6589FBF2" w14:textId="77777777" w:rsidR="00267AB0" w:rsidRPr="004B72BD" w:rsidRDefault="00267AB0" w:rsidP="00AA653D">
            <w:pPr>
              <w:widowControl w:val="0"/>
              <w:autoSpaceDE w:val="0"/>
              <w:autoSpaceDN w:val="0"/>
              <w:rPr>
                <w:rFonts w:ascii="Tahoma" w:hAnsi="Tahoma" w:cs="Tahoma"/>
                <w:snapToGrid w:val="0"/>
                <w:sz w:val="20"/>
                <w:szCs w:val="20"/>
              </w:rPr>
            </w:pPr>
            <w:r w:rsidRPr="004B72BD">
              <w:rPr>
                <w:rFonts w:ascii="Tahoma" w:hAnsi="Tahoma" w:cs="Tahoma"/>
                <w:snapToGrid w:val="0"/>
                <w:sz w:val="20"/>
                <w:szCs w:val="20"/>
              </w:rPr>
              <w:t>Государственная регистрация и фактическое место расположения бизнеса Заемщика</w:t>
            </w:r>
          </w:p>
        </w:tc>
        <w:tc>
          <w:tcPr>
            <w:tcW w:w="7150" w:type="dxa"/>
            <w:gridSpan w:val="6"/>
          </w:tcPr>
          <w:p w14:paraId="79935ECF" w14:textId="77777777" w:rsidR="00267AB0" w:rsidRDefault="00267AB0" w:rsidP="00AA653D">
            <w:pPr>
              <w:widowControl w:val="0"/>
              <w:tabs>
                <w:tab w:val="left" w:pos="239"/>
              </w:tabs>
              <w:autoSpaceDE w:val="0"/>
              <w:autoSpaceDN w:val="0"/>
              <w:jc w:val="both"/>
              <w:rPr>
                <w:rFonts w:ascii="Tahoma" w:hAnsi="Tahoma" w:cs="Tahoma"/>
                <w:snapToGrid w:val="0"/>
                <w:sz w:val="20"/>
                <w:szCs w:val="20"/>
              </w:rPr>
            </w:pPr>
            <w:r w:rsidRPr="004B72BD">
              <w:rPr>
                <w:rFonts w:ascii="Tahoma" w:hAnsi="Tahoma" w:cs="Tahoma"/>
                <w:snapToGrid w:val="0"/>
                <w:sz w:val="20"/>
                <w:szCs w:val="20"/>
              </w:rPr>
              <w:t>Зарегистрирован в соответствии с требованиями действующего законодательства на территории Российской Федерации. Удаленность места ведения бизнеса от населенного пункта, где расположено ближайшее подразделение Банка, не более 200 километров.</w:t>
            </w:r>
          </w:p>
          <w:p w14:paraId="25A91A9F" w14:textId="77777777" w:rsidR="00267AB0" w:rsidRDefault="00267AB0" w:rsidP="00AA653D">
            <w:pPr>
              <w:widowControl w:val="0"/>
              <w:tabs>
                <w:tab w:val="left" w:pos="239"/>
              </w:tabs>
              <w:autoSpaceDE w:val="0"/>
              <w:autoSpaceDN w:val="0"/>
              <w:jc w:val="both"/>
              <w:rPr>
                <w:rFonts w:ascii="Tahoma" w:hAnsi="Tahoma" w:cs="Tahoma"/>
                <w:snapToGrid w:val="0"/>
                <w:sz w:val="20"/>
                <w:szCs w:val="20"/>
              </w:rPr>
            </w:pPr>
            <w:r w:rsidRPr="004B72BD">
              <w:rPr>
                <w:rFonts w:ascii="Tahoma" w:hAnsi="Tahoma" w:cs="Tahoma"/>
                <w:snapToGrid w:val="0"/>
                <w:sz w:val="20"/>
                <w:szCs w:val="20"/>
              </w:rPr>
              <w:t>Допускается удаленность места ведения бизнеса не более 300 километров от населенного пункта, в котором расположено подразделение Банка, при одновременном выполнении следующих требований:</w:t>
            </w:r>
          </w:p>
          <w:p w14:paraId="636EFD22" w14:textId="77777777" w:rsidR="00267AB0" w:rsidRDefault="00267AB0" w:rsidP="00AA653D">
            <w:pPr>
              <w:widowControl w:val="0"/>
              <w:tabs>
                <w:tab w:val="left" w:pos="239"/>
              </w:tabs>
              <w:autoSpaceDE w:val="0"/>
              <w:autoSpaceDN w:val="0"/>
              <w:jc w:val="both"/>
              <w:rPr>
                <w:rFonts w:ascii="Tahoma" w:hAnsi="Tahoma" w:cs="Tahoma"/>
                <w:snapToGrid w:val="0"/>
                <w:sz w:val="20"/>
                <w:szCs w:val="20"/>
              </w:rPr>
            </w:pPr>
            <w:r w:rsidRPr="004B72BD">
              <w:rPr>
                <w:rFonts w:ascii="Tahoma" w:hAnsi="Tahoma" w:cs="Tahoma"/>
                <w:snapToGrid w:val="0"/>
                <w:sz w:val="20"/>
                <w:szCs w:val="20"/>
              </w:rPr>
              <w:t>- сумма Кредита более 10 (Десяти) млн руб. (включительно)</w:t>
            </w:r>
          </w:p>
          <w:p w14:paraId="33F1E41C" w14:textId="77777777" w:rsidR="00267AB0" w:rsidRPr="004B72BD" w:rsidRDefault="00267AB0" w:rsidP="00AA653D">
            <w:pPr>
              <w:widowControl w:val="0"/>
              <w:tabs>
                <w:tab w:val="left" w:pos="239"/>
              </w:tabs>
              <w:autoSpaceDE w:val="0"/>
              <w:autoSpaceDN w:val="0"/>
              <w:jc w:val="both"/>
              <w:rPr>
                <w:rFonts w:ascii="Tahoma" w:hAnsi="Tahoma" w:cs="Tahoma"/>
                <w:snapToGrid w:val="0"/>
                <w:sz w:val="20"/>
                <w:szCs w:val="20"/>
              </w:rPr>
            </w:pPr>
            <w:r w:rsidRPr="004B72BD">
              <w:rPr>
                <w:rFonts w:ascii="Tahoma" w:hAnsi="Tahoma" w:cs="Tahoma"/>
                <w:snapToGrid w:val="0"/>
                <w:sz w:val="20"/>
                <w:szCs w:val="20"/>
              </w:rPr>
              <w:t>- Кредит в полном объеме (100% от суммы кредита) обеспечен недвижимым имуществом.</w:t>
            </w:r>
          </w:p>
        </w:tc>
      </w:tr>
      <w:tr w:rsidR="00267AB0" w:rsidRPr="004B72BD" w14:paraId="2515D71B" w14:textId="77777777" w:rsidTr="00AA653D">
        <w:tc>
          <w:tcPr>
            <w:tcW w:w="4361" w:type="dxa"/>
            <w:vMerge/>
            <w:vAlign w:val="center"/>
          </w:tcPr>
          <w:p w14:paraId="6ED70C55" w14:textId="77777777" w:rsidR="00267AB0" w:rsidRPr="00BF35FA" w:rsidRDefault="00267AB0" w:rsidP="00AA653D">
            <w:pPr>
              <w:rPr>
                <w:rFonts w:ascii="Tahoma" w:hAnsi="Tahoma" w:cs="Tahoma"/>
                <w:b/>
                <w:bCs/>
              </w:rPr>
            </w:pPr>
          </w:p>
        </w:tc>
        <w:tc>
          <w:tcPr>
            <w:tcW w:w="4264" w:type="dxa"/>
            <w:gridSpan w:val="3"/>
          </w:tcPr>
          <w:p w14:paraId="4B0113B0" w14:textId="77777777" w:rsidR="00267AB0" w:rsidRPr="004B72BD" w:rsidRDefault="00267AB0" w:rsidP="00AA653D">
            <w:pPr>
              <w:widowControl w:val="0"/>
              <w:autoSpaceDE w:val="0"/>
              <w:autoSpaceDN w:val="0"/>
              <w:rPr>
                <w:rFonts w:ascii="Tahoma" w:hAnsi="Tahoma" w:cs="Tahoma"/>
                <w:strike/>
                <w:snapToGrid w:val="0"/>
                <w:spacing w:val="-1"/>
                <w:kern w:val="65535"/>
                <w:position w:val="-1"/>
                <w:sz w:val="20"/>
                <w:szCs w:val="20"/>
                <w:vertAlign w:val="superscript"/>
              </w:rPr>
            </w:pPr>
            <w:r w:rsidRPr="004B72BD">
              <w:rPr>
                <w:rFonts w:ascii="Tahoma" w:hAnsi="Tahoma" w:cs="Tahoma"/>
                <w:snapToGrid w:val="0"/>
                <w:sz w:val="20"/>
                <w:szCs w:val="20"/>
              </w:rPr>
              <w:t>Положительный финансовый результат деятельности бизнеса Заемщика</w:t>
            </w:r>
          </w:p>
        </w:tc>
        <w:tc>
          <w:tcPr>
            <w:tcW w:w="7150" w:type="dxa"/>
            <w:gridSpan w:val="6"/>
          </w:tcPr>
          <w:p w14:paraId="035D15B1" w14:textId="77777777" w:rsidR="00267AB0" w:rsidRPr="004B72BD" w:rsidRDefault="00267AB0" w:rsidP="00AA653D">
            <w:pPr>
              <w:tabs>
                <w:tab w:val="left" w:pos="275"/>
                <w:tab w:val="left" w:pos="317"/>
              </w:tabs>
              <w:autoSpaceDE w:val="0"/>
              <w:autoSpaceDN w:val="0"/>
              <w:jc w:val="both"/>
              <w:rPr>
                <w:rFonts w:ascii="Tahoma" w:hAnsi="Tahoma" w:cs="Tahoma"/>
                <w:strike/>
                <w:snapToGrid w:val="0"/>
                <w:sz w:val="20"/>
                <w:szCs w:val="20"/>
              </w:rPr>
            </w:pPr>
            <w:r w:rsidRPr="004B72BD">
              <w:rPr>
                <w:rFonts w:ascii="Tahoma" w:hAnsi="Tahoma" w:cs="Tahoma"/>
                <w:snapToGrid w:val="0"/>
                <w:sz w:val="20"/>
                <w:szCs w:val="20"/>
              </w:rPr>
              <w:t>В среднем за последние 3 месяца до даты обращения за кредитом.</w:t>
            </w:r>
          </w:p>
        </w:tc>
      </w:tr>
      <w:tr w:rsidR="00267AB0" w:rsidRPr="00860EF1" w14:paraId="51C8C315" w14:textId="77777777" w:rsidTr="00AA653D">
        <w:tc>
          <w:tcPr>
            <w:tcW w:w="4361" w:type="dxa"/>
            <w:vMerge/>
            <w:vAlign w:val="center"/>
          </w:tcPr>
          <w:p w14:paraId="51E9FC4D" w14:textId="77777777" w:rsidR="00267AB0" w:rsidRPr="00BF35FA" w:rsidRDefault="00267AB0" w:rsidP="00AA653D">
            <w:pPr>
              <w:rPr>
                <w:rFonts w:ascii="Tahoma" w:hAnsi="Tahoma" w:cs="Tahoma"/>
                <w:b/>
                <w:bCs/>
              </w:rPr>
            </w:pPr>
          </w:p>
        </w:tc>
        <w:tc>
          <w:tcPr>
            <w:tcW w:w="4264" w:type="dxa"/>
            <w:gridSpan w:val="3"/>
          </w:tcPr>
          <w:p w14:paraId="1880F97B" w14:textId="77777777" w:rsidR="00267AB0" w:rsidRPr="00860EF1" w:rsidRDefault="00267AB0" w:rsidP="00AA653D">
            <w:pPr>
              <w:widowControl w:val="0"/>
              <w:autoSpaceDE w:val="0"/>
              <w:autoSpaceDN w:val="0"/>
              <w:jc w:val="both"/>
              <w:rPr>
                <w:rFonts w:ascii="Tahoma" w:hAnsi="Tahoma" w:cs="Tahoma"/>
                <w:snapToGrid w:val="0"/>
                <w:sz w:val="20"/>
                <w:szCs w:val="20"/>
              </w:rPr>
            </w:pPr>
            <w:r w:rsidRPr="00860EF1">
              <w:rPr>
                <w:rFonts w:ascii="Tahoma" w:hAnsi="Tahoma" w:cs="Tahoma"/>
                <w:snapToGrid w:val="0"/>
                <w:sz w:val="20"/>
                <w:szCs w:val="20"/>
              </w:rPr>
              <w:t>Численность сотрудников, работающих на предприятии Заемщика</w:t>
            </w:r>
          </w:p>
        </w:tc>
        <w:tc>
          <w:tcPr>
            <w:tcW w:w="7150" w:type="dxa"/>
            <w:gridSpan w:val="6"/>
          </w:tcPr>
          <w:p w14:paraId="26EF9F8E" w14:textId="77777777" w:rsidR="00267AB0" w:rsidRPr="00860EF1" w:rsidRDefault="00267AB0" w:rsidP="00AA653D">
            <w:pPr>
              <w:tabs>
                <w:tab w:val="left" w:pos="275"/>
                <w:tab w:val="left" w:pos="317"/>
              </w:tabs>
              <w:autoSpaceDE w:val="0"/>
              <w:autoSpaceDN w:val="0"/>
              <w:jc w:val="both"/>
              <w:rPr>
                <w:rFonts w:ascii="Tahoma" w:hAnsi="Tahoma" w:cs="Tahoma"/>
                <w:snapToGrid w:val="0"/>
                <w:sz w:val="20"/>
                <w:szCs w:val="20"/>
              </w:rPr>
            </w:pPr>
            <w:r w:rsidRPr="00860EF1">
              <w:rPr>
                <w:rFonts w:ascii="Tahoma" w:hAnsi="Tahoma" w:cs="Tahoma"/>
                <w:snapToGrid w:val="0"/>
                <w:sz w:val="20"/>
                <w:szCs w:val="20"/>
              </w:rPr>
              <w:t>Не менее одного сотрудника, помимо Заемщика.</w:t>
            </w:r>
          </w:p>
        </w:tc>
      </w:tr>
      <w:tr w:rsidR="00267AB0" w:rsidRPr="00860EF1" w14:paraId="2FC8477C" w14:textId="77777777" w:rsidTr="00AA653D">
        <w:tc>
          <w:tcPr>
            <w:tcW w:w="4361" w:type="dxa"/>
            <w:vMerge/>
            <w:vAlign w:val="center"/>
          </w:tcPr>
          <w:p w14:paraId="1DF0D4D2" w14:textId="77777777" w:rsidR="00267AB0" w:rsidRPr="00BF35FA" w:rsidRDefault="00267AB0" w:rsidP="00AA653D">
            <w:pPr>
              <w:rPr>
                <w:rFonts w:ascii="Tahoma" w:hAnsi="Tahoma" w:cs="Tahoma"/>
                <w:b/>
                <w:bCs/>
              </w:rPr>
            </w:pPr>
          </w:p>
        </w:tc>
        <w:tc>
          <w:tcPr>
            <w:tcW w:w="4264" w:type="dxa"/>
            <w:gridSpan w:val="3"/>
          </w:tcPr>
          <w:p w14:paraId="3B214E1D" w14:textId="77777777" w:rsidR="00267AB0" w:rsidRPr="00860EF1" w:rsidRDefault="00267AB0" w:rsidP="00AA653D">
            <w:pPr>
              <w:widowControl w:val="0"/>
              <w:autoSpaceDE w:val="0"/>
              <w:autoSpaceDN w:val="0"/>
              <w:jc w:val="both"/>
              <w:rPr>
                <w:rFonts w:ascii="Tahoma" w:hAnsi="Tahoma" w:cs="Tahoma"/>
                <w:snapToGrid w:val="0"/>
                <w:sz w:val="20"/>
                <w:szCs w:val="20"/>
              </w:rPr>
            </w:pPr>
          </w:p>
        </w:tc>
        <w:tc>
          <w:tcPr>
            <w:tcW w:w="7150" w:type="dxa"/>
            <w:gridSpan w:val="6"/>
          </w:tcPr>
          <w:p w14:paraId="07BE6F80" w14:textId="77777777" w:rsidR="00267AB0" w:rsidRPr="00860EF1" w:rsidRDefault="00267AB0" w:rsidP="00AA653D">
            <w:pPr>
              <w:widowControl w:val="0"/>
              <w:tabs>
                <w:tab w:val="left" w:pos="275"/>
                <w:tab w:val="left" w:pos="851"/>
              </w:tabs>
              <w:autoSpaceDE w:val="0"/>
              <w:autoSpaceDN w:val="0"/>
              <w:contextualSpacing/>
              <w:jc w:val="both"/>
              <w:rPr>
                <w:rFonts w:ascii="Tahoma" w:hAnsi="Tahoma" w:cs="Tahoma"/>
                <w:snapToGrid w:val="0"/>
                <w:sz w:val="20"/>
                <w:szCs w:val="20"/>
              </w:rPr>
            </w:pPr>
          </w:p>
        </w:tc>
      </w:tr>
      <w:tr w:rsidR="00267AB0" w:rsidRPr="00860EF1" w14:paraId="2187F105" w14:textId="77777777" w:rsidTr="00AA653D">
        <w:tc>
          <w:tcPr>
            <w:tcW w:w="4361" w:type="dxa"/>
            <w:vMerge/>
            <w:vAlign w:val="center"/>
          </w:tcPr>
          <w:p w14:paraId="316B2C8D" w14:textId="77777777" w:rsidR="00267AB0" w:rsidRPr="00BF35FA" w:rsidRDefault="00267AB0" w:rsidP="00AA653D">
            <w:pPr>
              <w:rPr>
                <w:rFonts w:ascii="Tahoma" w:hAnsi="Tahoma" w:cs="Tahoma"/>
                <w:b/>
                <w:bCs/>
              </w:rPr>
            </w:pPr>
          </w:p>
        </w:tc>
        <w:tc>
          <w:tcPr>
            <w:tcW w:w="4264" w:type="dxa"/>
            <w:gridSpan w:val="3"/>
          </w:tcPr>
          <w:p w14:paraId="7798E227" w14:textId="77777777" w:rsidR="00267AB0" w:rsidRPr="00860EF1" w:rsidRDefault="00267AB0" w:rsidP="00AA653D">
            <w:pPr>
              <w:widowControl w:val="0"/>
              <w:autoSpaceDE w:val="0"/>
              <w:autoSpaceDN w:val="0"/>
              <w:jc w:val="both"/>
              <w:rPr>
                <w:rFonts w:ascii="Tahoma" w:hAnsi="Tahoma" w:cs="Tahoma"/>
                <w:snapToGrid w:val="0"/>
                <w:sz w:val="20"/>
                <w:szCs w:val="20"/>
              </w:rPr>
            </w:pPr>
            <w:r w:rsidRPr="00860EF1">
              <w:rPr>
                <w:rFonts w:ascii="Tahoma" w:hAnsi="Tahoma" w:cs="Tahoma"/>
                <w:snapToGrid w:val="0"/>
                <w:sz w:val="20"/>
                <w:szCs w:val="20"/>
              </w:rPr>
              <w:t>Сегмент бизнеса, к которому относится предприятие Заемщика</w:t>
            </w:r>
          </w:p>
        </w:tc>
        <w:tc>
          <w:tcPr>
            <w:tcW w:w="7150" w:type="dxa"/>
            <w:gridSpan w:val="6"/>
          </w:tcPr>
          <w:p w14:paraId="3F28F691" w14:textId="77777777" w:rsidR="00267AB0" w:rsidRPr="00860EF1" w:rsidRDefault="00267AB0" w:rsidP="00AA653D">
            <w:pPr>
              <w:widowControl w:val="0"/>
              <w:tabs>
                <w:tab w:val="left" w:pos="275"/>
                <w:tab w:val="left" w:pos="851"/>
              </w:tabs>
              <w:autoSpaceDE w:val="0"/>
              <w:autoSpaceDN w:val="0"/>
              <w:jc w:val="both"/>
              <w:rPr>
                <w:rFonts w:ascii="Tahoma" w:hAnsi="Tahoma" w:cs="Tahoma"/>
                <w:snapToGrid w:val="0"/>
                <w:sz w:val="20"/>
                <w:szCs w:val="20"/>
              </w:rPr>
            </w:pPr>
            <w:r w:rsidRPr="00860EF1">
              <w:rPr>
                <w:rFonts w:ascii="Tahoma" w:hAnsi="Tahoma" w:cs="Tahoma"/>
                <w:snapToGrid w:val="0"/>
                <w:sz w:val="20"/>
                <w:szCs w:val="20"/>
              </w:rPr>
              <w:t>Микро/малый бизнес, в соответствии с Методикой сегментации клиентов – юридических лиц и индивидуальных предпринимателей в «Азиатско-Тихоокеанский Банк» (АО) в действующей редакции.</w:t>
            </w:r>
          </w:p>
        </w:tc>
      </w:tr>
      <w:tr w:rsidR="00267AB0" w:rsidRPr="00860EF1" w14:paraId="20D67508" w14:textId="77777777" w:rsidTr="00AA653D">
        <w:tc>
          <w:tcPr>
            <w:tcW w:w="4361" w:type="dxa"/>
            <w:vMerge/>
            <w:vAlign w:val="center"/>
          </w:tcPr>
          <w:p w14:paraId="77360635" w14:textId="77777777" w:rsidR="00267AB0" w:rsidRPr="00BF35FA" w:rsidRDefault="00267AB0" w:rsidP="00AA653D">
            <w:pPr>
              <w:rPr>
                <w:rFonts w:ascii="Tahoma" w:hAnsi="Tahoma" w:cs="Tahoma"/>
                <w:b/>
                <w:bCs/>
              </w:rPr>
            </w:pPr>
          </w:p>
        </w:tc>
        <w:tc>
          <w:tcPr>
            <w:tcW w:w="4264" w:type="dxa"/>
            <w:gridSpan w:val="3"/>
          </w:tcPr>
          <w:p w14:paraId="6E9924B3" w14:textId="77777777" w:rsidR="00267AB0" w:rsidRPr="00860EF1" w:rsidRDefault="00267AB0" w:rsidP="00AA653D">
            <w:pPr>
              <w:widowControl w:val="0"/>
              <w:autoSpaceDE w:val="0"/>
              <w:autoSpaceDN w:val="0"/>
              <w:jc w:val="both"/>
              <w:rPr>
                <w:rFonts w:ascii="Tahoma" w:hAnsi="Tahoma" w:cs="Tahoma"/>
                <w:snapToGrid w:val="0"/>
                <w:sz w:val="20"/>
                <w:szCs w:val="20"/>
              </w:rPr>
            </w:pPr>
            <w:r w:rsidRPr="00860EF1">
              <w:rPr>
                <w:rFonts w:ascii="Tahoma" w:hAnsi="Tahoma" w:cs="Tahoma"/>
                <w:snapToGrid w:val="0"/>
                <w:sz w:val="20"/>
                <w:szCs w:val="20"/>
              </w:rPr>
              <w:t>Срок нахождения Заемщика в составе участников/акционеров компании, деятельность которой анализируется для оценки платежеспособности Заемщика</w:t>
            </w:r>
          </w:p>
        </w:tc>
        <w:tc>
          <w:tcPr>
            <w:tcW w:w="7150" w:type="dxa"/>
            <w:gridSpan w:val="6"/>
          </w:tcPr>
          <w:p w14:paraId="0421D434" w14:textId="77777777" w:rsidR="00267AB0" w:rsidRPr="00860EF1" w:rsidRDefault="00267AB0" w:rsidP="00AA653D">
            <w:pPr>
              <w:widowControl w:val="0"/>
              <w:tabs>
                <w:tab w:val="left" w:pos="275"/>
                <w:tab w:val="left" w:pos="851"/>
              </w:tabs>
              <w:autoSpaceDE w:val="0"/>
              <w:autoSpaceDN w:val="0"/>
              <w:jc w:val="both"/>
              <w:rPr>
                <w:rFonts w:ascii="Tahoma" w:hAnsi="Tahoma" w:cs="Tahoma"/>
                <w:snapToGrid w:val="0"/>
                <w:sz w:val="20"/>
                <w:szCs w:val="20"/>
              </w:rPr>
            </w:pPr>
            <w:r w:rsidRPr="00860EF1">
              <w:rPr>
                <w:rFonts w:ascii="Tahoma" w:hAnsi="Tahoma" w:cs="Tahoma"/>
                <w:snapToGrid w:val="0"/>
                <w:sz w:val="20"/>
                <w:szCs w:val="20"/>
              </w:rPr>
              <w:t>Не менее 12 месяцев</w:t>
            </w:r>
          </w:p>
        </w:tc>
      </w:tr>
      <w:tr w:rsidR="00267AB0" w:rsidRPr="00860EF1" w14:paraId="6CD2CFC2" w14:textId="77777777" w:rsidTr="00AA653D">
        <w:tc>
          <w:tcPr>
            <w:tcW w:w="4361" w:type="dxa"/>
            <w:vMerge/>
            <w:vAlign w:val="center"/>
          </w:tcPr>
          <w:p w14:paraId="5E5478D7" w14:textId="77777777" w:rsidR="00267AB0" w:rsidRPr="00BF35FA" w:rsidRDefault="00267AB0" w:rsidP="00AA653D">
            <w:pPr>
              <w:rPr>
                <w:rFonts w:ascii="Tahoma" w:hAnsi="Tahoma" w:cs="Tahoma"/>
                <w:b/>
                <w:bCs/>
              </w:rPr>
            </w:pPr>
          </w:p>
        </w:tc>
        <w:tc>
          <w:tcPr>
            <w:tcW w:w="4264" w:type="dxa"/>
            <w:gridSpan w:val="3"/>
          </w:tcPr>
          <w:p w14:paraId="69ACAE23" w14:textId="77777777" w:rsidR="00267AB0" w:rsidRPr="00860EF1" w:rsidRDefault="00267AB0" w:rsidP="00AA653D">
            <w:pPr>
              <w:widowControl w:val="0"/>
              <w:autoSpaceDE w:val="0"/>
              <w:autoSpaceDN w:val="0"/>
              <w:jc w:val="both"/>
              <w:rPr>
                <w:rFonts w:ascii="Tahoma" w:hAnsi="Tahoma" w:cs="Tahoma"/>
                <w:snapToGrid w:val="0"/>
                <w:sz w:val="20"/>
                <w:szCs w:val="20"/>
              </w:rPr>
            </w:pPr>
            <w:r w:rsidRPr="00860EF1">
              <w:rPr>
                <w:rFonts w:ascii="Tahoma" w:hAnsi="Tahoma" w:cs="Tahoma"/>
                <w:snapToGrid w:val="0"/>
                <w:sz w:val="20"/>
                <w:szCs w:val="20"/>
              </w:rPr>
              <w:t xml:space="preserve">Кредитная история Заемщика/предприятия </w:t>
            </w:r>
            <w:r w:rsidRPr="00860EF1">
              <w:rPr>
                <w:rFonts w:ascii="Tahoma" w:hAnsi="Tahoma" w:cs="Tahoma"/>
                <w:snapToGrid w:val="0"/>
                <w:sz w:val="20"/>
                <w:szCs w:val="20"/>
              </w:rPr>
              <w:lastRenderedPageBreak/>
              <w:t>Заемщика</w:t>
            </w:r>
          </w:p>
        </w:tc>
        <w:tc>
          <w:tcPr>
            <w:tcW w:w="7150" w:type="dxa"/>
            <w:gridSpan w:val="6"/>
          </w:tcPr>
          <w:p w14:paraId="20A17359" w14:textId="77777777" w:rsidR="00267AB0" w:rsidRPr="00860EF1" w:rsidRDefault="00267AB0" w:rsidP="00AA653D">
            <w:pPr>
              <w:widowControl w:val="0"/>
              <w:tabs>
                <w:tab w:val="left" w:pos="275"/>
                <w:tab w:val="left" w:pos="851"/>
              </w:tabs>
              <w:autoSpaceDE w:val="0"/>
              <w:autoSpaceDN w:val="0"/>
              <w:jc w:val="both"/>
              <w:rPr>
                <w:rFonts w:ascii="Tahoma" w:hAnsi="Tahoma" w:cs="Tahoma"/>
                <w:snapToGrid w:val="0"/>
                <w:sz w:val="20"/>
                <w:szCs w:val="20"/>
              </w:rPr>
            </w:pPr>
            <w:r w:rsidRPr="00860EF1">
              <w:rPr>
                <w:rFonts w:ascii="Tahoma" w:hAnsi="Tahoma" w:cs="Tahoma"/>
                <w:snapToGrid w:val="0"/>
                <w:sz w:val="20"/>
                <w:szCs w:val="20"/>
              </w:rPr>
              <w:lastRenderedPageBreak/>
              <w:t xml:space="preserve">Отсутствие у Заемщика/анализируемой компании/группы связанных </w:t>
            </w:r>
            <w:r w:rsidRPr="00860EF1">
              <w:rPr>
                <w:rFonts w:ascii="Tahoma" w:hAnsi="Tahoma" w:cs="Tahoma"/>
                <w:snapToGrid w:val="0"/>
                <w:sz w:val="20"/>
                <w:szCs w:val="20"/>
              </w:rPr>
              <w:lastRenderedPageBreak/>
              <w:t>компаний Заемщика признаков отрицательной кредитной истории в «Азиатско-Тихоокеанский Банк» (АО) и в других кредитных организациях.</w:t>
            </w:r>
          </w:p>
        </w:tc>
      </w:tr>
      <w:tr w:rsidR="00267AB0" w:rsidRPr="004B72BD" w14:paraId="5581D956" w14:textId="77777777" w:rsidTr="00AA653D">
        <w:tc>
          <w:tcPr>
            <w:tcW w:w="4361" w:type="dxa"/>
            <w:vAlign w:val="center"/>
          </w:tcPr>
          <w:p w14:paraId="6E7928AE" w14:textId="77777777" w:rsidR="00267AB0" w:rsidRPr="004B72BD" w:rsidRDefault="00267AB0" w:rsidP="00AA653D">
            <w:pPr>
              <w:rPr>
                <w:rFonts w:ascii="Tahoma" w:hAnsi="Tahoma" w:cs="Tahoma"/>
                <w:b/>
                <w:sz w:val="20"/>
                <w:szCs w:val="20"/>
              </w:rPr>
            </w:pPr>
            <w:r w:rsidRPr="004B72BD">
              <w:rPr>
                <w:rFonts w:ascii="Tahoma" w:hAnsi="Tahoma" w:cs="Tahoma"/>
                <w:b/>
                <w:sz w:val="20"/>
                <w:szCs w:val="20"/>
              </w:rPr>
              <w:lastRenderedPageBreak/>
              <w:t>Перечень документов, необходимых для рассмотрения заявления о предоставлении Кредита, в том числе для оценки кредитоспособности Заемщика</w:t>
            </w:r>
          </w:p>
        </w:tc>
        <w:tc>
          <w:tcPr>
            <w:tcW w:w="11414" w:type="dxa"/>
            <w:gridSpan w:val="9"/>
            <w:vAlign w:val="center"/>
          </w:tcPr>
          <w:p w14:paraId="391A87EF" w14:textId="77777777" w:rsidR="00267AB0" w:rsidRPr="004B72BD" w:rsidRDefault="00267AB0" w:rsidP="00AA653D">
            <w:pPr>
              <w:autoSpaceDE w:val="0"/>
              <w:autoSpaceDN w:val="0"/>
              <w:jc w:val="both"/>
              <w:rPr>
                <w:rFonts w:ascii="Tahoma" w:hAnsi="Tahoma" w:cs="Tahoma"/>
                <w:sz w:val="20"/>
                <w:szCs w:val="20"/>
              </w:rPr>
            </w:pPr>
            <w:r w:rsidRPr="004B72BD">
              <w:rPr>
                <w:rFonts w:ascii="Tahoma" w:hAnsi="Tahoma" w:cs="Tahoma"/>
                <w:sz w:val="20"/>
                <w:szCs w:val="20"/>
              </w:rPr>
              <w:t>Для Заемщика:</w:t>
            </w:r>
          </w:p>
          <w:p w14:paraId="49DDA4E1" w14:textId="77777777" w:rsidR="00267AB0" w:rsidRPr="004B72BD" w:rsidRDefault="00267AB0" w:rsidP="00AA653D">
            <w:pPr>
              <w:autoSpaceDE w:val="0"/>
              <w:autoSpaceDN w:val="0"/>
              <w:jc w:val="both"/>
              <w:rPr>
                <w:rFonts w:ascii="Tahoma" w:hAnsi="Tahoma" w:cs="Tahoma"/>
                <w:sz w:val="20"/>
                <w:szCs w:val="20"/>
              </w:rPr>
            </w:pPr>
            <w:r w:rsidRPr="004B72BD">
              <w:rPr>
                <w:rFonts w:ascii="Tahoma" w:hAnsi="Tahoma" w:cs="Tahoma"/>
                <w:sz w:val="20"/>
                <w:szCs w:val="20"/>
              </w:rPr>
              <w:t>- заявление на предоставление Кредита (заявление-анкета Заемщика);</w:t>
            </w:r>
          </w:p>
          <w:p w14:paraId="570B2966" w14:textId="77777777" w:rsidR="00267AB0" w:rsidRDefault="00267AB0" w:rsidP="00AA653D">
            <w:pPr>
              <w:autoSpaceDE w:val="0"/>
              <w:autoSpaceDN w:val="0"/>
              <w:jc w:val="both"/>
              <w:rPr>
                <w:rFonts w:ascii="Tahoma" w:hAnsi="Tahoma" w:cs="Tahoma"/>
                <w:sz w:val="20"/>
                <w:szCs w:val="20"/>
              </w:rPr>
            </w:pPr>
            <w:r w:rsidRPr="004B72BD">
              <w:rPr>
                <w:rFonts w:ascii="Tahoma" w:hAnsi="Tahoma" w:cs="Tahoma"/>
                <w:sz w:val="20"/>
                <w:szCs w:val="20"/>
              </w:rPr>
              <w:t>- паспорт гражданина РФ (все страницы)</w:t>
            </w:r>
          </w:p>
          <w:p w14:paraId="624009D7" w14:textId="77777777" w:rsidR="00267AB0" w:rsidRPr="004B72BD" w:rsidRDefault="00267AB0" w:rsidP="00AA653D">
            <w:pPr>
              <w:autoSpaceDE w:val="0"/>
              <w:autoSpaceDN w:val="0"/>
              <w:jc w:val="both"/>
              <w:rPr>
                <w:rFonts w:ascii="Tahoma" w:hAnsi="Tahoma" w:cs="Tahoma"/>
                <w:sz w:val="20"/>
                <w:szCs w:val="20"/>
              </w:rPr>
            </w:pPr>
            <w:r w:rsidRPr="00A0716F">
              <w:rPr>
                <w:rFonts w:ascii="Tahoma" w:hAnsi="Tahoma" w:cs="Tahoma"/>
                <w:sz w:val="20"/>
                <w:szCs w:val="20"/>
              </w:rPr>
              <w:t>При отсутствии в паспорте данных о "Семейном положении" и "Дети" предоставляются документы подтверждающие отсутствие данных (свидетельство о браке, свидетельство о разводе, свидетельство о рождении или письменное подтверждение от Клиента об отсутствии данных документов)</w:t>
            </w:r>
            <w:r w:rsidRPr="004B72BD">
              <w:rPr>
                <w:rFonts w:ascii="Tahoma" w:hAnsi="Tahoma" w:cs="Tahoma"/>
                <w:sz w:val="20"/>
                <w:szCs w:val="20"/>
              </w:rPr>
              <w:t>;</w:t>
            </w:r>
          </w:p>
          <w:p w14:paraId="4DC66A80" w14:textId="77777777" w:rsidR="00267AB0" w:rsidRPr="004B72BD" w:rsidRDefault="00267AB0" w:rsidP="00AA653D">
            <w:pPr>
              <w:autoSpaceDE w:val="0"/>
              <w:autoSpaceDN w:val="0"/>
              <w:jc w:val="both"/>
              <w:rPr>
                <w:rFonts w:ascii="Tahoma" w:hAnsi="Tahoma" w:cs="Tahoma"/>
                <w:sz w:val="20"/>
                <w:szCs w:val="20"/>
              </w:rPr>
            </w:pPr>
            <w:r w:rsidRPr="004B72BD">
              <w:rPr>
                <w:rFonts w:ascii="Tahoma" w:hAnsi="Tahoma" w:cs="Tahoma"/>
                <w:sz w:val="20"/>
                <w:szCs w:val="20"/>
              </w:rPr>
              <w:t>- при наличии у Заемщика временной регистрации им предоставляется в Банк справка/свидетельство о регистрации по месту пребывания;</w:t>
            </w:r>
          </w:p>
          <w:p w14:paraId="4FF091D5" w14:textId="77777777" w:rsidR="00267AB0" w:rsidRPr="004B72BD" w:rsidRDefault="00267AB0" w:rsidP="00AA653D">
            <w:pPr>
              <w:autoSpaceDE w:val="0"/>
              <w:autoSpaceDN w:val="0"/>
              <w:jc w:val="both"/>
              <w:rPr>
                <w:rFonts w:ascii="Tahoma" w:hAnsi="Tahoma" w:cs="Tahoma"/>
                <w:sz w:val="20"/>
                <w:szCs w:val="20"/>
              </w:rPr>
            </w:pPr>
            <w:r w:rsidRPr="004B72BD">
              <w:rPr>
                <w:rFonts w:ascii="Tahoma" w:hAnsi="Tahoma" w:cs="Tahoma"/>
                <w:sz w:val="20"/>
                <w:szCs w:val="20"/>
              </w:rPr>
              <w:t>- свидетельство о постановке на налоговый учет ИНН, СНИЛС</w:t>
            </w:r>
            <w:r>
              <w:rPr>
                <w:rFonts w:ascii="Tahoma" w:hAnsi="Tahoma" w:cs="Tahoma"/>
                <w:sz w:val="20"/>
                <w:szCs w:val="20"/>
              </w:rPr>
              <w:t xml:space="preserve"> (при наличии)</w:t>
            </w:r>
            <w:r w:rsidRPr="004B72BD">
              <w:rPr>
                <w:rFonts w:ascii="Tahoma" w:hAnsi="Tahoma" w:cs="Tahoma"/>
                <w:sz w:val="20"/>
                <w:szCs w:val="20"/>
              </w:rPr>
              <w:t>;</w:t>
            </w:r>
          </w:p>
          <w:p w14:paraId="5B177058" w14:textId="77777777" w:rsidR="00267AB0" w:rsidRPr="004B72BD" w:rsidRDefault="00267AB0" w:rsidP="00AA653D">
            <w:pPr>
              <w:autoSpaceDE w:val="0"/>
              <w:autoSpaceDN w:val="0"/>
              <w:jc w:val="both"/>
              <w:rPr>
                <w:rFonts w:ascii="Tahoma" w:hAnsi="Tahoma" w:cs="Tahoma"/>
                <w:sz w:val="20"/>
                <w:szCs w:val="20"/>
              </w:rPr>
            </w:pPr>
            <w:r w:rsidRPr="004B72BD">
              <w:rPr>
                <w:rFonts w:ascii="Tahoma" w:hAnsi="Tahoma" w:cs="Tahoma"/>
                <w:sz w:val="20"/>
                <w:szCs w:val="20"/>
              </w:rPr>
              <w:t>- свидетельство о постановке на учет в качестве индивидуального предпринимателя/ свидетельство о государственной регистрации юридического лица либо лист записи Единого государственного реестра юридических лиц/Лист записи из Единого государственного реестра индивидуальных предпринимателей;</w:t>
            </w:r>
          </w:p>
          <w:p w14:paraId="2D3DC340" w14:textId="77777777" w:rsidR="00267AB0" w:rsidRPr="004B72BD" w:rsidRDefault="00267AB0" w:rsidP="00AA653D">
            <w:pPr>
              <w:autoSpaceDE w:val="0"/>
              <w:autoSpaceDN w:val="0"/>
              <w:jc w:val="both"/>
              <w:rPr>
                <w:rFonts w:ascii="Tahoma" w:hAnsi="Tahoma" w:cs="Tahoma"/>
                <w:sz w:val="20"/>
                <w:szCs w:val="20"/>
              </w:rPr>
            </w:pPr>
            <w:r w:rsidRPr="004B72BD">
              <w:rPr>
                <w:rFonts w:ascii="Tahoma" w:hAnsi="Tahoma" w:cs="Tahoma"/>
                <w:sz w:val="20"/>
                <w:szCs w:val="20"/>
              </w:rPr>
              <w:t>- налоговая декларация, либо патент/ бухгалтерский баланс;</w:t>
            </w:r>
          </w:p>
          <w:p w14:paraId="35783B94" w14:textId="77777777" w:rsidR="00267AB0" w:rsidRDefault="00267AB0" w:rsidP="00AA653D">
            <w:pPr>
              <w:autoSpaceDE w:val="0"/>
              <w:autoSpaceDN w:val="0"/>
              <w:jc w:val="both"/>
              <w:rPr>
                <w:rFonts w:ascii="Tahoma" w:hAnsi="Tahoma" w:cs="Tahoma"/>
                <w:sz w:val="20"/>
                <w:szCs w:val="20"/>
              </w:rPr>
            </w:pPr>
            <w:r w:rsidRPr="004B72BD">
              <w:rPr>
                <w:rFonts w:ascii="Tahoma" w:hAnsi="Tahoma" w:cs="Tahoma"/>
                <w:sz w:val="20"/>
                <w:szCs w:val="20"/>
              </w:rPr>
              <w:t>- квитанции по уплате авансовых платежей/ выписки банковскому по счету с указанием уплаты авансовых платежей, либо квитанции об уплате стоимости патента</w:t>
            </w:r>
            <w:r>
              <w:rPr>
                <w:rFonts w:ascii="Tahoma" w:hAnsi="Tahoma" w:cs="Tahoma"/>
                <w:sz w:val="20"/>
                <w:szCs w:val="20"/>
              </w:rPr>
              <w:t>;</w:t>
            </w:r>
          </w:p>
          <w:p w14:paraId="609261A0" w14:textId="77777777" w:rsidR="00267AB0" w:rsidRPr="004B72BD" w:rsidRDefault="00267AB0" w:rsidP="00AA653D">
            <w:pPr>
              <w:autoSpaceDE w:val="0"/>
              <w:autoSpaceDN w:val="0"/>
              <w:spacing w:after="120"/>
              <w:jc w:val="both"/>
              <w:rPr>
                <w:rFonts w:ascii="Tahoma" w:hAnsi="Tahoma" w:cs="Tahoma"/>
                <w:sz w:val="20"/>
                <w:szCs w:val="20"/>
              </w:rPr>
            </w:pPr>
            <w:r>
              <w:rPr>
                <w:rFonts w:ascii="Tahoma" w:hAnsi="Tahoma" w:cs="Tahoma"/>
                <w:sz w:val="20"/>
                <w:szCs w:val="20"/>
              </w:rPr>
              <w:t xml:space="preserve">- </w:t>
            </w:r>
            <w:r w:rsidRPr="00D10145">
              <w:rPr>
                <w:rFonts w:ascii="Tahoma" w:hAnsi="Tahoma" w:cs="Tahoma"/>
                <w:sz w:val="20"/>
                <w:szCs w:val="20"/>
              </w:rPr>
              <w:t>информация о размере среднемесячной выручки, чистой прибыли за последние 3 месяца</w:t>
            </w:r>
            <w:r w:rsidRPr="004B72BD">
              <w:rPr>
                <w:rFonts w:ascii="Tahoma" w:hAnsi="Tahoma" w:cs="Tahoma"/>
                <w:sz w:val="20"/>
                <w:szCs w:val="20"/>
              </w:rPr>
              <w:t>.</w:t>
            </w:r>
          </w:p>
          <w:p w14:paraId="6AB80E30" w14:textId="77777777" w:rsidR="00267AB0" w:rsidRPr="004B72BD" w:rsidRDefault="00267AB0" w:rsidP="00AA653D">
            <w:pPr>
              <w:autoSpaceDE w:val="0"/>
              <w:autoSpaceDN w:val="0"/>
              <w:snapToGrid w:val="0"/>
              <w:contextualSpacing/>
              <w:jc w:val="both"/>
              <w:rPr>
                <w:rFonts w:ascii="Tahoma" w:hAnsi="Tahoma" w:cs="Tahoma"/>
                <w:sz w:val="20"/>
                <w:szCs w:val="20"/>
              </w:rPr>
            </w:pPr>
            <w:r w:rsidRPr="004B72BD">
              <w:rPr>
                <w:rFonts w:ascii="Tahoma" w:hAnsi="Tahoma" w:cs="Tahoma"/>
                <w:sz w:val="20"/>
                <w:szCs w:val="20"/>
              </w:rPr>
              <w:t>Декларация/ бухгалтерский баланс за предыдущий отчетный период может приниматься до наступления предельной даты предоставления в налоговый орган декларации/ бухгалтерского баланса за последний отчетный период, с расшифровкой дебиторской и кредиторской задолженности для Клиентов, находящихся на общей системе налогообложения.</w:t>
            </w:r>
          </w:p>
          <w:p w14:paraId="32054A30" w14:textId="77777777" w:rsidR="00267AB0" w:rsidRPr="004B72BD" w:rsidRDefault="00267AB0" w:rsidP="00AA653D">
            <w:pPr>
              <w:autoSpaceDE w:val="0"/>
              <w:autoSpaceDN w:val="0"/>
              <w:jc w:val="both"/>
              <w:rPr>
                <w:rFonts w:ascii="Tahoma" w:hAnsi="Tahoma" w:cs="Tahoma"/>
                <w:sz w:val="20"/>
                <w:szCs w:val="20"/>
              </w:rPr>
            </w:pPr>
            <w:r w:rsidRPr="004B72BD">
              <w:rPr>
                <w:rFonts w:ascii="Tahoma" w:hAnsi="Tahoma" w:cs="Tahoma"/>
                <w:sz w:val="20"/>
                <w:szCs w:val="20"/>
              </w:rPr>
              <w:t>Патент может приниматься в течение всего периода, на который он выдан, при условии соблюдения индивидуальным предпринимателем сроков оплаты патента.</w:t>
            </w:r>
          </w:p>
          <w:p w14:paraId="0FFBEBDB" w14:textId="77777777" w:rsidR="00267AB0" w:rsidRPr="004B72BD" w:rsidRDefault="00267AB0" w:rsidP="00AA653D">
            <w:pPr>
              <w:autoSpaceDE w:val="0"/>
              <w:autoSpaceDN w:val="0"/>
              <w:spacing w:after="120"/>
              <w:jc w:val="both"/>
              <w:rPr>
                <w:rFonts w:ascii="Tahoma" w:hAnsi="Tahoma" w:cs="Tahoma"/>
                <w:sz w:val="20"/>
                <w:szCs w:val="20"/>
              </w:rPr>
            </w:pPr>
            <w:r w:rsidRPr="004B72BD">
              <w:rPr>
                <w:rFonts w:ascii="Tahoma" w:hAnsi="Tahoma" w:cs="Tahoma"/>
                <w:iCs/>
                <w:sz w:val="20"/>
                <w:szCs w:val="20"/>
              </w:rPr>
              <w:t>По требованию Банка могут быть запрошены иные документы</w:t>
            </w:r>
            <w:r w:rsidRPr="004B72BD">
              <w:rPr>
                <w:rFonts w:ascii="Tahoma" w:hAnsi="Tahoma" w:cs="Tahoma"/>
                <w:sz w:val="20"/>
                <w:szCs w:val="20"/>
              </w:rPr>
              <w:t>.</w:t>
            </w:r>
          </w:p>
          <w:p w14:paraId="4E93F0EC" w14:textId="77777777" w:rsidR="00267AB0" w:rsidRPr="004B72BD" w:rsidRDefault="00267AB0" w:rsidP="00AA653D">
            <w:pPr>
              <w:autoSpaceDE w:val="0"/>
              <w:autoSpaceDN w:val="0"/>
              <w:jc w:val="both"/>
              <w:rPr>
                <w:rFonts w:ascii="Tahoma" w:hAnsi="Tahoma" w:cs="Tahoma"/>
                <w:sz w:val="20"/>
                <w:szCs w:val="20"/>
              </w:rPr>
            </w:pPr>
            <w:r w:rsidRPr="004B72BD">
              <w:rPr>
                <w:rFonts w:ascii="Tahoma" w:hAnsi="Tahoma" w:cs="Tahoma"/>
                <w:sz w:val="20"/>
                <w:szCs w:val="20"/>
              </w:rPr>
              <w:t>Для Поручителя/Залогодателя-физического лица:</w:t>
            </w:r>
          </w:p>
          <w:p w14:paraId="1C8E68B3" w14:textId="77777777" w:rsidR="00267AB0" w:rsidRPr="004B72BD" w:rsidRDefault="00267AB0" w:rsidP="00AA653D">
            <w:pPr>
              <w:autoSpaceDE w:val="0"/>
              <w:autoSpaceDN w:val="0"/>
              <w:jc w:val="both"/>
              <w:rPr>
                <w:rFonts w:ascii="Tahoma" w:hAnsi="Tahoma" w:cs="Tahoma"/>
                <w:sz w:val="20"/>
                <w:szCs w:val="20"/>
              </w:rPr>
            </w:pPr>
            <w:r w:rsidRPr="004B72BD">
              <w:rPr>
                <w:rFonts w:ascii="Tahoma" w:hAnsi="Tahoma" w:cs="Tahoma"/>
                <w:sz w:val="20"/>
                <w:szCs w:val="20"/>
              </w:rPr>
              <w:t>- заявление на получение Кредита (анкета Поручителя/Залогодателя);</w:t>
            </w:r>
          </w:p>
          <w:p w14:paraId="1E536223" w14:textId="77777777" w:rsidR="00267AB0" w:rsidRDefault="00267AB0" w:rsidP="00AA653D">
            <w:pPr>
              <w:autoSpaceDE w:val="0"/>
              <w:autoSpaceDN w:val="0"/>
              <w:jc w:val="both"/>
              <w:rPr>
                <w:rFonts w:ascii="Tahoma" w:hAnsi="Tahoma" w:cs="Tahoma"/>
                <w:sz w:val="20"/>
                <w:szCs w:val="20"/>
              </w:rPr>
            </w:pPr>
            <w:r w:rsidRPr="004B72BD">
              <w:rPr>
                <w:rFonts w:ascii="Tahoma" w:hAnsi="Tahoma" w:cs="Tahoma"/>
                <w:sz w:val="20"/>
                <w:szCs w:val="20"/>
              </w:rPr>
              <w:t>- копия паспорта (все страницы)</w:t>
            </w:r>
          </w:p>
          <w:p w14:paraId="7FE89AA6" w14:textId="77777777" w:rsidR="00267AB0" w:rsidRPr="004B72BD" w:rsidRDefault="00267AB0" w:rsidP="00AA653D">
            <w:pPr>
              <w:autoSpaceDE w:val="0"/>
              <w:autoSpaceDN w:val="0"/>
              <w:jc w:val="both"/>
              <w:rPr>
                <w:rFonts w:ascii="Tahoma" w:hAnsi="Tahoma" w:cs="Tahoma"/>
                <w:sz w:val="20"/>
                <w:szCs w:val="20"/>
              </w:rPr>
            </w:pPr>
            <w:r w:rsidRPr="00A0716F">
              <w:rPr>
                <w:rFonts w:ascii="Tahoma" w:hAnsi="Tahoma" w:cs="Tahoma"/>
                <w:sz w:val="20"/>
                <w:szCs w:val="20"/>
              </w:rPr>
              <w:t>При отсутствии в паспорте данных о "Семейном положении" и "Дети" предоставляются документы подтверждающие отсутствие данных (свидетельство о браке, свидетельство о разводе, свидетельство о рождении или письменное подтверждение от Клиента об отсутствии данных документов)</w:t>
            </w:r>
            <w:r w:rsidRPr="004B72BD">
              <w:rPr>
                <w:rFonts w:ascii="Tahoma" w:hAnsi="Tahoma" w:cs="Tahoma"/>
                <w:sz w:val="20"/>
                <w:szCs w:val="20"/>
              </w:rPr>
              <w:t>;</w:t>
            </w:r>
          </w:p>
          <w:p w14:paraId="1981CC84" w14:textId="77777777" w:rsidR="00267AB0" w:rsidRPr="004B72BD" w:rsidRDefault="00267AB0" w:rsidP="00AA653D">
            <w:pPr>
              <w:autoSpaceDE w:val="0"/>
              <w:autoSpaceDN w:val="0"/>
              <w:spacing w:after="120"/>
              <w:jc w:val="both"/>
              <w:rPr>
                <w:rFonts w:ascii="Tahoma" w:hAnsi="Tahoma" w:cs="Tahoma"/>
                <w:sz w:val="20"/>
                <w:szCs w:val="20"/>
              </w:rPr>
            </w:pPr>
            <w:r w:rsidRPr="004B72BD">
              <w:rPr>
                <w:rFonts w:ascii="Tahoma" w:hAnsi="Tahoma" w:cs="Tahoma"/>
                <w:sz w:val="20"/>
                <w:szCs w:val="20"/>
              </w:rPr>
              <w:t>- свидетельство о постановке на налоговый учет (ИНН, СНИЛС) (при наличии).</w:t>
            </w:r>
          </w:p>
          <w:p w14:paraId="238FA152" w14:textId="77777777" w:rsidR="00267AB0" w:rsidRPr="004B72BD" w:rsidRDefault="00267AB0" w:rsidP="00AA653D">
            <w:pPr>
              <w:autoSpaceDE w:val="0"/>
              <w:autoSpaceDN w:val="0"/>
              <w:jc w:val="both"/>
              <w:rPr>
                <w:rFonts w:ascii="Tahoma" w:hAnsi="Tahoma" w:cs="Tahoma"/>
                <w:sz w:val="20"/>
                <w:szCs w:val="20"/>
              </w:rPr>
            </w:pPr>
            <w:r w:rsidRPr="004B72BD">
              <w:rPr>
                <w:rFonts w:ascii="Tahoma" w:hAnsi="Tahoma" w:cs="Tahoma"/>
                <w:sz w:val="20"/>
                <w:szCs w:val="20"/>
              </w:rPr>
              <w:t>Для Поручителя-юридического лица:</w:t>
            </w:r>
          </w:p>
          <w:p w14:paraId="582C9790" w14:textId="77777777" w:rsidR="00267AB0" w:rsidRPr="004B72BD" w:rsidRDefault="00267AB0" w:rsidP="00AA653D">
            <w:pPr>
              <w:autoSpaceDE w:val="0"/>
              <w:autoSpaceDN w:val="0"/>
              <w:jc w:val="both"/>
              <w:rPr>
                <w:rFonts w:ascii="Tahoma" w:hAnsi="Tahoma" w:cs="Tahoma"/>
                <w:sz w:val="20"/>
                <w:szCs w:val="20"/>
              </w:rPr>
            </w:pPr>
            <w:r w:rsidRPr="004B72BD">
              <w:rPr>
                <w:rFonts w:ascii="Tahoma" w:hAnsi="Tahoma" w:cs="Tahoma"/>
                <w:sz w:val="20"/>
                <w:szCs w:val="20"/>
              </w:rPr>
              <w:t>- анкета Поручителя-юридического лица;</w:t>
            </w:r>
          </w:p>
          <w:p w14:paraId="41BF41CF" w14:textId="77777777" w:rsidR="00267AB0" w:rsidRPr="004B72BD" w:rsidRDefault="00267AB0" w:rsidP="00AA653D">
            <w:pPr>
              <w:autoSpaceDE w:val="0"/>
              <w:autoSpaceDN w:val="0"/>
              <w:jc w:val="both"/>
              <w:rPr>
                <w:rFonts w:ascii="Tahoma" w:hAnsi="Tahoma" w:cs="Tahoma"/>
                <w:sz w:val="20"/>
                <w:szCs w:val="20"/>
              </w:rPr>
            </w:pPr>
            <w:r w:rsidRPr="004B72BD">
              <w:rPr>
                <w:rFonts w:ascii="Tahoma" w:hAnsi="Tahoma" w:cs="Tahoma"/>
                <w:sz w:val="20"/>
                <w:szCs w:val="20"/>
              </w:rPr>
              <w:t>- ксерокопии паспортов руководителя организации, главного бухгалтера (все страницы);</w:t>
            </w:r>
          </w:p>
          <w:p w14:paraId="614C7B83" w14:textId="77777777" w:rsidR="00267AB0" w:rsidRPr="004B72BD" w:rsidRDefault="00267AB0" w:rsidP="00AA653D">
            <w:pPr>
              <w:autoSpaceDE w:val="0"/>
              <w:autoSpaceDN w:val="0"/>
              <w:jc w:val="both"/>
              <w:rPr>
                <w:rFonts w:ascii="Tahoma" w:hAnsi="Tahoma" w:cs="Tahoma"/>
                <w:sz w:val="20"/>
                <w:szCs w:val="20"/>
              </w:rPr>
            </w:pPr>
            <w:r w:rsidRPr="004B72BD">
              <w:rPr>
                <w:rFonts w:ascii="Tahoma" w:hAnsi="Tahoma" w:cs="Tahoma"/>
                <w:sz w:val="20"/>
                <w:szCs w:val="20"/>
              </w:rPr>
              <w:t>- свидетельство о государственной регистрации юридического лица либо Лист записи из Единого государственного реестра юридических лиц;</w:t>
            </w:r>
          </w:p>
          <w:p w14:paraId="4E2B3E36" w14:textId="77777777" w:rsidR="00267AB0" w:rsidRPr="004B72BD" w:rsidRDefault="00267AB0" w:rsidP="00AA653D">
            <w:pPr>
              <w:autoSpaceDE w:val="0"/>
              <w:autoSpaceDN w:val="0"/>
              <w:jc w:val="both"/>
              <w:rPr>
                <w:rFonts w:ascii="Tahoma" w:hAnsi="Tahoma" w:cs="Tahoma"/>
                <w:sz w:val="20"/>
                <w:szCs w:val="20"/>
              </w:rPr>
            </w:pPr>
            <w:r w:rsidRPr="004B72BD">
              <w:rPr>
                <w:rFonts w:ascii="Tahoma" w:hAnsi="Tahoma" w:cs="Tahoma"/>
                <w:sz w:val="20"/>
                <w:szCs w:val="20"/>
              </w:rPr>
              <w:t>- свидетельство о внесении записи в Единый государственный реестр юридических лиц о юридическом лице, зарегистрированном до 1 июля 2002 года;</w:t>
            </w:r>
          </w:p>
          <w:p w14:paraId="6BFE6D7D" w14:textId="77777777" w:rsidR="00267AB0" w:rsidRPr="004B72BD" w:rsidRDefault="00267AB0" w:rsidP="00AA653D">
            <w:pPr>
              <w:autoSpaceDE w:val="0"/>
              <w:autoSpaceDN w:val="0"/>
              <w:jc w:val="both"/>
              <w:rPr>
                <w:rFonts w:ascii="Tahoma" w:hAnsi="Tahoma" w:cs="Tahoma"/>
                <w:sz w:val="20"/>
                <w:szCs w:val="20"/>
              </w:rPr>
            </w:pPr>
            <w:r w:rsidRPr="004B72BD">
              <w:rPr>
                <w:rFonts w:ascii="Tahoma" w:hAnsi="Tahoma" w:cs="Tahoma"/>
                <w:sz w:val="20"/>
                <w:szCs w:val="20"/>
              </w:rPr>
              <w:t>- свидетельство о постановке на учет в налоговом органе;</w:t>
            </w:r>
          </w:p>
          <w:p w14:paraId="1ABB4661" w14:textId="77777777" w:rsidR="00267AB0" w:rsidRPr="004B72BD" w:rsidRDefault="00267AB0" w:rsidP="00AA653D">
            <w:pPr>
              <w:autoSpaceDE w:val="0"/>
              <w:autoSpaceDN w:val="0"/>
              <w:jc w:val="both"/>
              <w:rPr>
                <w:rFonts w:ascii="Tahoma" w:hAnsi="Tahoma" w:cs="Tahoma"/>
                <w:sz w:val="20"/>
                <w:szCs w:val="20"/>
              </w:rPr>
            </w:pPr>
            <w:r w:rsidRPr="004B72BD">
              <w:rPr>
                <w:rFonts w:ascii="Tahoma" w:hAnsi="Tahoma" w:cs="Tahoma"/>
                <w:sz w:val="20"/>
                <w:szCs w:val="20"/>
              </w:rPr>
              <w:lastRenderedPageBreak/>
              <w:t>- действующие учредительные документы юридического лица (Устав и/или Учредительный договор) с изменениями и дополнениями к ним;</w:t>
            </w:r>
          </w:p>
          <w:p w14:paraId="1D87B55B" w14:textId="77777777" w:rsidR="00267AB0" w:rsidRPr="004B72BD" w:rsidRDefault="00267AB0" w:rsidP="00AA653D">
            <w:pPr>
              <w:autoSpaceDE w:val="0"/>
              <w:autoSpaceDN w:val="0"/>
              <w:jc w:val="both"/>
              <w:rPr>
                <w:rFonts w:ascii="Tahoma" w:hAnsi="Tahoma" w:cs="Tahoma"/>
                <w:sz w:val="20"/>
                <w:szCs w:val="20"/>
              </w:rPr>
            </w:pPr>
            <w:r w:rsidRPr="004B72BD">
              <w:rPr>
                <w:rFonts w:ascii="Tahoma" w:hAnsi="Tahoma" w:cs="Tahoma"/>
                <w:sz w:val="20"/>
                <w:szCs w:val="20"/>
              </w:rPr>
              <w:t>- протокол об избрании единоличного исполнительного органа/копии решений/приказов о назначении на должность директора/единоличного исполнительного органа;</w:t>
            </w:r>
          </w:p>
          <w:p w14:paraId="7A452DC9" w14:textId="77777777" w:rsidR="00267AB0" w:rsidRPr="004B72BD" w:rsidRDefault="00267AB0" w:rsidP="00AA653D">
            <w:pPr>
              <w:autoSpaceDE w:val="0"/>
              <w:autoSpaceDN w:val="0"/>
              <w:spacing w:after="120"/>
              <w:jc w:val="both"/>
              <w:rPr>
                <w:rFonts w:ascii="Tahoma" w:hAnsi="Tahoma" w:cs="Tahoma"/>
                <w:sz w:val="20"/>
                <w:szCs w:val="20"/>
              </w:rPr>
            </w:pPr>
            <w:r w:rsidRPr="004B72BD">
              <w:rPr>
                <w:rFonts w:ascii="Tahoma" w:hAnsi="Tahoma" w:cs="Tahoma"/>
                <w:sz w:val="20"/>
                <w:szCs w:val="20"/>
              </w:rPr>
              <w:t>- выписка из ЕГРЮЛ со сроком давности не более 10 календарных дней на момент предоставления денежных средств.</w:t>
            </w:r>
          </w:p>
          <w:p w14:paraId="4AFA6E08" w14:textId="77777777" w:rsidR="00267AB0" w:rsidRPr="004B72BD" w:rsidRDefault="00267AB0" w:rsidP="00AA653D">
            <w:pPr>
              <w:autoSpaceDE w:val="0"/>
              <w:autoSpaceDN w:val="0"/>
              <w:snapToGrid w:val="0"/>
              <w:contextualSpacing/>
              <w:jc w:val="both"/>
              <w:rPr>
                <w:rFonts w:ascii="Tahoma" w:hAnsi="Tahoma" w:cs="Tahoma"/>
                <w:sz w:val="20"/>
                <w:szCs w:val="20"/>
              </w:rPr>
            </w:pPr>
            <w:r w:rsidRPr="004B72BD">
              <w:rPr>
                <w:rFonts w:ascii="Tahoma" w:hAnsi="Tahoma" w:cs="Tahoma"/>
                <w:sz w:val="20"/>
                <w:szCs w:val="20"/>
              </w:rPr>
              <w:t>Для транспортного средства:</w:t>
            </w:r>
          </w:p>
          <w:p w14:paraId="045C060C" w14:textId="77777777" w:rsidR="00267AB0" w:rsidRPr="004B72BD" w:rsidRDefault="00267AB0" w:rsidP="00EB4F4C">
            <w:pPr>
              <w:numPr>
                <w:ilvl w:val="0"/>
                <w:numId w:val="61"/>
              </w:numPr>
              <w:tabs>
                <w:tab w:val="clear" w:pos="960"/>
                <w:tab w:val="num" w:pos="318"/>
              </w:tabs>
              <w:autoSpaceDE w:val="0"/>
              <w:autoSpaceDN w:val="0"/>
              <w:snapToGrid w:val="0"/>
              <w:spacing w:after="120"/>
              <w:ind w:left="0" w:firstLine="0"/>
              <w:jc w:val="both"/>
              <w:rPr>
                <w:rFonts w:ascii="Tahoma" w:hAnsi="Tahoma" w:cs="Tahoma"/>
                <w:sz w:val="20"/>
                <w:szCs w:val="20"/>
              </w:rPr>
            </w:pPr>
            <w:r w:rsidRPr="004B72BD">
              <w:rPr>
                <w:rFonts w:ascii="Tahoma" w:hAnsi="Tahoma" w:cs="Tahoma"/>
                <w:sz w:val="20"/>
                <w:szCs w:val="20"/>
              </w:rPr>
              <w:t>копия Документа основных технических характеристик ДОТХ (сканированная копия)/ копия ДОТХ заверенная продавцом ТС.</w:t>
            </w:r>
          </w:p>
          <w:p w14:paraId="5960A55E" w14:textId="77777777" w:rsidR="00267AB0" w:rsidRPr="004B72BD" w:rsidRDefault="00267AB0" w:rsidP="00AA653D">
            <w:pPr>
              <w:autoSpaceDE w:val="0"/>
              <w:autoSpaceDN w:val="0"/>
              <w:snapToGrid w:val="0"/>
              <w:contextualSpacing/>
              <w:jc w:val="both"/>
              <w:rPr>
                <w:rFonts w:ascii="Tahoma" w:hAnsi="Tahoma" w:cs="Tahoma"/>
                <w:sz w:val="20"/>
                <w:szCs w:val="20"/>
              </w:rPr>
            </w:pPr>
            <w:r w:rsidRPr="004B72BD">
              <w:rPr>
                <w:rFonts w:ascii="Tahoma" w:hAnsi="Tahoma" w:cs="Tahoma"/>
                <w:sz w:val="20"/>
                <w:szCs w:val="20"/>
              </w:rPr>
              <w:t>Для недвижимого имущества:</w:t>
            </w:r>
          </w:p>
          <w:p w14:paraId="6BB4EB07" w14:textId="77777777" w:rsidR="00267AB0" w:rsidRPr="004B72BD" w:rsidRDefault="00267AB0" w:rsidP="00AA653D">
            <w:pPr>
              <w:autoSpaceDE w:val="0"/>
              <w:autoSpaceDN w:val="0"/>
              <w:jc w:val="both"/>
              <w:rPr>
                <w:rFonts w:ascii="Tahoma" w:hAnsi="Tahoma" w:cs="Tahoma"/>
                <w:sz w:val="20"/>
                <w:szCs w:val="20"/>
              </w:rPr>
            </w:pPr>
            <w:r w:rsidRPr="004B72BD">
              <w:rPr>
                <w:rFonts w:ascii="Tahoma" w:hAnsi="Tahoma" w:cs="Tahoma"/>
                <w:sz w:val="20"/>
                <w:szCs w:val="20"/>
              </w:rPr>
              <w:t>- копия правоустанавливающих документов на недвижимое имущество (договор приватизации, договор купли-продажи, справка ЖСК и т.д.);</w:t>
            </w:r>
          </w:p>
          <w:p w14:paraId="16A94A41" w14:textId="77777777" w:rsidR="00267AB0" w:rsidRPr="004B72BD" w:rsidRDefault="00267AB0" w:rsidP="00AA653D">
            <w:pPr>
              <w:autoSpaceDE w:val="0"/>
              <w:autoSpaceDN w:val="0"/>
              <w:jc w:val="both"/>
              <w:rPr>
                <w:rFonts w:ascii="Tahoma" w:hAnsi="Tahoma" w:cs="Tahoma"/>
                <w:sz w:val="20"/>
                <w:szCs w:val="20"/>
              </w:rPr>
            </w:pPr>
            <w:r w:rsidRPr="004B72BD">
              <w:rPr>
                <w:rFonts w:ascii="Tahoma" w:hAnsi="Tahoma" w:cs="Tahoma"/>
                <w:sz w:val="20"/>
                <w:szCs w:val="20"/>
              </w:rPr>
              <w:t>- копия технического паспорта на объект недвижимости/ Копия кадастрового паспорта на объект недвижимости;</w:t>
            </w:r>
          </w:p>
          <w:p w14:paraId="779269DD" w14:textId="77777777" w:rsidR="00267AB0" w:rsidRPr="004B72BD" w:rsidRDefault="00267AB0" w:rsidP="00AA653D">
            <w:pPr>
              <w:autoSpaceDE w:val="0"/>
              <w:autoSpaceDN w:val="0"/>
              <w:jc w:val="both"/>
              <w:rPr>
                <w:rFonts w:ascii="Tahoma" w:hAnsi="Tahoma" w:cs="Tahoma"/>
                <w:sz w:val="20"/>
                <w:szCs w:val="20"/>
              </w:rPr>
            </w:pPr>
            <w:r w:rsidRPr="004B72BD">
              <w:rPr>
                <w:rFonts w:ascii="Tahoma" w:hAnsi="Tahoma" w:cs="Tahoma"/>
                <w:sz w:val="20"/>
                <w:szCs w:val="20"/>
              </w:rPr>
              <w:t>- справка (оригинал) о задолженности по коммунальным платежам по квартире, передаваемой в залог (либо копии квитанций об оплате) – предоставляется, если в финансово-лицевом счете нет отметки об отсутствии таковой задолженности;</w:t>
            </w:r>
          </w:p>
          <w:p w14:paraId="46F443B6" w14:textId="77777777" w:rsidR="00267AB0" w:rsidRPr="004B72BD" w:rsidRDefault="00267AB0" w:rsidP="00AA653D">
            <w:pPr>
              <w:autoSpaceDE w:val="0"/>
              <w:autoSpaceDN w:val="0"/>
              <w:jc w:val="both"/>
              <w:rPr>
                <w:rFonts w:ascii="Tahoma" w:hAnsi="Tahoma" w:cs="Tahoma"/>
                <w:sz w:val="20"/>
                <w:szCs w:val="20"/>
              </w:rPr>
            </w:pPr>
            <w:r w:rsidRPr="004B72BD">
              <w:rPr>
                <w:rFonts w:ascii="Tahoma" w:hAnsi="Tahoma" w:cs="Tahoma"/>
                <w:sz w:val="20"/>
                <w:szCs w:val="20"/>
              </w:rPr>
              <w:t>- оригинал отчета об оценке объекта недвижимости, произведенной независимым оценщиком</w:t>
            </w:r>
            <w:r>
              <w:rPr>
                <w:rFonts w:ascii="Tahoma" w:hAnsi="Tahoma" w:cs="Tahoma"/>
                <w:sz w:val="20"/>
                <w:szCs w:val="20"/>
              </w:rPr>
              <w:t xml:space="preserve"> (при наличии)</w:t>
            </w:r>
            <w:r w:rsidRPr="004B72BD">
              <w:rPr>
                <w:rFonts w:ascii="Tahoma" w:hAnsi="Tahoma" w:cs="Tahoma"/>
                <w:sz w:val="20"/>
                <w:szCs w:val="20"/>
              </w:rPr>
              <w:t>;</w:t>
            </w:r>
          </w:p>
          <w:p w14:paraId="23D683D9" w14:textId="77777777" w:rsidR="00267AB0" w:rsidRPr="004B72BD" w:rsidRDefault="00267AB0" w:rsidP="00AA653D">
            <w:pPr>
              <w:autoSpaceDE w:val="0"/>
              <w:autoSpaceDN w:val="0"/>
              <w:jc w:val="both"/>
              <w:rPr>
                <w:rFonts w:ascii="Tahoma" w:hAnsi="Tahoma" w:cs="Tahoma"/>
                <w:sz w:val="20"/>
                <w:szCs w:val="20"/>
              </w:rPr>
            </w:pPr>
            <w:r w:rsidRPr="004B72BD">
              <w:rPr>
                <w:rFonts w:ascii="Tahoma" w:hAnsi="Tahoma" w:cs="Tahoma"/>
                <w:sz w:val="20"/>
                <w:szCs w:val="20"/>
              </w:rPr>
              <w:t>- справка о регистрации (выписка из домовой книги) (оригинал) – срок действия 30 дней с даты получения, указанной на справке;</w:t>
            </w:r>
          </w:p>
          <w:p w14:paraId="778CD06E" w14:textId="77777777" w:rsidR="00267AB0" w:rsidRPr="004B72BD" w:rsidRDefault="00267AB0" w:rsidP="00AA653D">
            <w:pPr>
              <w:autoSpaceDE w:val="0"/>
              <w:autoSpaceDN w:val="0"/>
              <w:jc w:val="both"/>
              <w:rPr>
                <w:rFonts w:ascii="Tahoma" w:hAnsi="Tahoma" w:cs="Tahoma"/>
                <w:sz w:val="20"/>
                <w:szCs w:val="20"/>
              </w:rPr>
            </w:pPr>
            <w:r w:rsidRPr="004B72BD">
              <w:rPr>
                <w:rFonts w:ascii="Tahoma" w:hAnsi="Tahoma" w:cs="Tahoma"/>
                <w:sz w:val="20"/>
                <w:szCs w:val="20"/>
              </w:rPr>
              <w:t>- Выписка из Единого государственного реестра недвижимости об объекте недвижимости (ЕГРН) со сроком давности не более 10 календарных дней на момент подачи на регистрацию договора ипотеки;</w:t>
            </w:r>
          </w:p>
          <w:p w14:paraId="7024F96E" w14:textId="77777777" w:rsidR="00267AB0" w:rsidRPr="004B72BD" w:rsidRDefault="00267AB0" w:rsidP="00AA653D">
            <w:pPr>
              <w:rPr>
                <w:rFonts w:ascii="Tahoma" w:hAnsi="Tahoma" w:cs="Tahoma"/>
                <w:sz w:val="20"/>
                <w:szCs w:val="20"/>
              </w:rPr>
            </w:pPr>
            <w:r w:rsidRPr="004B72BD">
              <w:rPr>
                <w:rFonts w:ascii="Tahoma" w:hAnsi="Tahoma" w:cs="Tahoma"/>
                <w:sz w:val="20"/>
                <w:szCs w:val="20"/>
              </w:rPr>
              <w:t xml:space="preserve">- договор долевого участия/ Договор уступки прав (цессии) (при наличии). </w:t>
            </w:r>
            <w:r w:rsidRPr="004B72BD">
              <w:rPr>
                <w:rFonts w:ascii="Tahoma" w:hAnsi="Tahoma" w:cs="Tahoma"/>
                <w:b/>
                <w:sz w:val="20"/>
                <w:szCs w:val="20"/>
              </w:rPr>
              <w:fldChar w:fldCharType="begin"/>
            </w:r>
            <w:r w:rsidRPr="004B72BD">
              <w:rPr>
                <w:rFonts w:ascii="Tahoma" w:hAnsi="Tahoma" w:cs="Tahoma"/>
                <w:b/>
                <w:sz w:val="20"/>
                <w:szCs w:val="20"/>
              </w:rPr>
              <w:instrText xml:space="preserve"> DOCVARIABLE  ATB_ADDRESS_REG </w:instrText>
            </w:r>
            <w:r w:rsidRPr="004B72BD">
              <w:rPr>
                <w:rFonts w:ascii="Tahoma" w:hAnsi="Tahoma" w:cs="Tahoma"/>
                <w:b/>
                <w:sz w:val="20"/>
                <w:szCs w:val="20"/>
              </w:rPr>
              <w:fldChar w:fldCharType="end"/>
            </w:r>
          </w:p>
        </w:tc>
      </w:tr>
      <w:tr w:rsidR="00267AB0" w:rsidRPr="004B72BD" w14:paraId="19388AD6" w14:textId="77777777" w:rsidTr="00AA653D">
        <w:tc>
          <w:tcPr>
            <w:tcW w:w="4361" w:type="dxa"/>
            <w:vAlign w:val="center"/>
          </w:tcPr>
          <w:p w14:paraId="717B9321" w14:textId="77777777" w:rsidR="00267AB0" w:rsidRPr="004B72BD" w:rsidRDefault="00267AB0" w:rsidP="00AA653D">
            <w:pPr>
              <w:rPr>
                <w:rFonts w:ascii="Tahoma" w:hAnsi="Tahoma" w:cs="Tahoma"/>
                <w:b/>
                <w:bCs/>
                <w:sz w:val="20"/>
                <w:szCs w:val="20"/>
              </w:rPr>
            </w:pPr>
            <w:r w:rsidRPr="004B72BD">
              <w:rPr>
                <w:rFonts w:ascii="Tahoma" w:hAnsi="Tahoma" w:cs="Tahoma"/>
                <w:b/>
                <w:bCs/>
                <w:sz w:val="20"/>
                <w:szCs w:val="20"/>
              </w:rPr>
              <w:lastRenderedPageBreak/>
              <w:t>Срок, в течение которого Заемщик вправе отказаться от получения Кредита</w:t>
            </w:r>
          </w:p>
        </w:tc>
        <w:tc>
          <w:tcPr>
            <w:tcW w:w="11414" w:type="dxa"/>
            <w:gridSpan w:val="9"/>
            <w:vAlign w:val="center"/>
          </w:tcPr>
          <w:p w14:paraId="2CC83F7E" w14:textId="77777777" w:rsidR="00267AB0" w:rsidRPr="004B72BD" w:rsidRDefault="00267AB0" w:rsidP="00AA653D">
            <w:pPr>
              <w:autoSpaceDE w:val="0"/>
              <w:autoSpaceDN w:val="0"/>
              <w:adjustRightInd w:val="0"/>
              <w:jc w:val="both"/>
              <w:rPr>
                <w:rFonts w:ascii="Tahoma" w:hAnsi="Tahoma" w:cs="Tahoma"/>
                <w:sz w:val="20"/>
                <w:szCs w:val="20"/>
              </w:rPr>
            </w:pPr>
            <w:r w:rsidRPr="004B72BD">
              <w:rPr>
                <w:rFonts w:ascii="Tahoma" w:hAnsi="Tahoma" w:cs="Tahoma"/>
                <w:sz w:val="20"/>
                <w:szCs w:val="20"/>
              </w:rPr>
              <w:t>Заемщик вправе отказаться от получения Кредита полностью или частично, уведомив об этом Банк до истечения установленного Договором срока его предоставления.</w:t>
            </w:r>
          </w:p>
        </w:tc>
      </w:tr>
      <w:tr w:rsidR="00267AB0" w:rsidRPr="004B72BD" w14:paraId="40E74723" w14:textId="77777777" w:rsidTr="00AA653D">
        <w:tc>
          <w:tcPr>
            <w:tcW w:w="4361" w:type="dxa"/>
            <w:vAlign w:val="center"/>
          </w:tcPr>
          <w:p w14:paraId="2932E0DA" w14:textId="77777777" w:rsidR="00267AB0" w:rsidRPr="004B72BD" w:rsidRDefault="00267AB0" w:rsidP="00AA653D">
            <w:pPr>
              <w:rPr>
                <w:rFonts w:ascii="Tahoma" w:hAnsi="Tahoma" w:cs="Tahoma"/>
                <w:b/>
                <w:bCs/>
                <w:sz w:val="20"/>
                <w:szCs w:val="20"/>
              </w:rPr>
            </w:pPr>
            <w:r w:rsidRPr="004B72BD">
              <w:rPr>
                <w:rFonts w:ascii="Tahoma" w:hAnsi="Tahoma" w:cs="Tahoma"/>
                <w:b/>
                <w:bCs/>
                <w:sz w:val="20"/>
                <w:szCs w:val="20"/>
              </w:rPr>
              <w:t>Срок действия решения о предоставлении Кредита</w:t>
            </w:r>
          </w:p>
        </w:tc>
        <w:tc>
          <w:tcPr>
            <w:tcW w:w="11414" w:type="dxa"/>
            <w:gridSpan w:val="9"/>
          </w:tcPr>
          <w:p w14:paraId="1FE8CC03" w14:textId="77777777" w:rsidR="00267AB0" w:rsidRPr="004B72BD" w:rsidRDefault="00267AB0" w:rsidP="00AA653D">
            <w:pPr>
              <w:jc w:val="both"/>
              <w:rPr>
                <w:rFonts w:ascii="Tahoma" w:hAnsi="Tahoma" w:cs="Tahoma"/>
                <w:color w:val="000000"/>
                <w:sz w:val="20"/>
                <w:szCs w:val="20"/>
              </w:rPr>
            </w:pPr>
            <w:r w:rsidRPr="004B72BD">
              <w:rPr>
                <w:rFonts w:ascii="Tahoma" w:hAnsi="Tahoma" w:cs="Tahoma"/>
                <w:sz w:val="20"/>
                <w:szCs w:val="20"/>
              </w:rPr>
              <w:t>30 календарных дней, но не более срока действия настоящего тарифного плана.</w:t>
            </w:r>
          </w:p>
        </w:tc>
      </w:tr>
      <w:tr w:rsidR="00267AB0" w:rsidRPr="00860EF1" w14:paraId="3964ECCD" w14:textId="77777777" w:rsidTr="00AA653D">
        <w:tc>
          <w:tcPr>
            <w:tcW w:w="4361" w:type="dxa"/>
            <w:vAlign w:val="center"/>
          </w:tcPr>
          <w:p w14:paraId="03A0DE76" w14:textId="77777777" w:rsidR="00267AB0" w:rsidRPr="00860EF1" w:rsidRDefault="00267AB0" w:rsidP="00AA653D">
            <w:pPr>
              <w:rPr>
                <w:rFonts w:ascii="Tahoma" w:hAnsi="Tahoma" w:cs="Tahoma"/>
                <w:b/>
                <w:bCs/>
                <w:sz w:val="20"/>
                <w:szCs w:val="20"/>
              </w:rPr>
            </w:pPr>
            <w:r w:rsidRPr="00860EF1">
              <w:rPr>
                <w:rFonts w:ascii="Tahoma" w:hAnsi="Tahoma" w:cs="Tahoma"/>
                <w:b/>
                <w:bCs/>
                <w:sz w:val="20"/>
                <w:szCs w:val="20"/>
              </w:rPr>
              <w:t>Способ предоставления Кредита</w:t>
            </w:r>
          </w:p>
        </w:tc>
        <w:tc>
          <w:tcPr>
            <w:tcW w:w="11414" w:type="dxa"/>
            <w:gridSpan w:val="9"/>
            <w:vAlign w:val="center"/>
          </w:tcPr>
          <w:p w14:paraId="4D83190D" w14:textId="77777777" w:rsidR="00267AB0" w:rsidRPr="00860EF1" w:rsidRDefault="00267AB0" w:rsidP="00AA653D">
            <w:pPr>
              <w:rPr>
                <w:rFonts w:ascii="Tahoma" w:hAnsi="Tahoma" w:cs="Tahoma"/>
                <w:sz w:val="20"/>
                <w:szCs w:val="20"/>
              </w:rPr>
            </w:pPr>
            <w:r w:rsidRPr="00860EF1">
              <w:rPr>
                <w:rFonts w:ascii="Tahoma" w:hAnsi="Tahoma" w:cs="Tahoma"/>
                <w:color w:val="000000"/>
                <w:sz w:val="20"/>
                <w:szCs w:val="20"/>
              </w:rPr>
              <w:t>Зачисление в безналичном порядке на открытый в Банке текущий банковский счет (ТБС) Заемщика.</w:t>
            </w:r>
          </w:p>
        </w:tc>
      </w:tr>
      <w:tr w:rsidR="00267AB0" w:rsidRPr="00860EF1" w14:paraId="6EB2767A" w14:textId="77777777" w:rsidTr="00AA653D">
        <w:tc>
          <w:tcPr>
            <w:tcW w:w="4361" w:type="dxa"/>
            <w:vAlign w:val="center"/>
          </w:tcPr>
          <w:p w14:paraId="6FDD4F95" w14:textId="77777777" w:rsidR="00267AB0" w:rsidRPr="00860EF1" w:rsidRDefault="00267AB0" w:rsidP="00AA653D">
            <w:pPr>
              <w:rPr>
                <w:rFonts w:ascii="Tahoma" w:hAnsi="Tahoma" w:cs="Tahoma"/>
                <w:b/>
                <w:bCs/>
                <w:sz w:val="20"/>
                <w:szCs w:val="20"/>
              </w:rPr>
            </w:pPr>
            <w:r w:rsidRPr="00860EF1">
              <w:rPr>
                <w:rFonts w:ascii="Tahoma" w:hAnsi="Tahoma" w:cs="Tahoma"/>
                <w:b/>
                <w:bCs/>
                <w:sz w:val="20"/>
                <w:szCs w:val="20"/>
              </w:rPr>
              <w:t xml:space="preserve">Иные договоры, требуемые для заключения или исполнения Договора </w:t>
            </w:r>
          </w:p>
        </w:tc>
        <w:tc>
          <w:tcPr>
            <w:tcW w:w="11414" w:type="dxa"/>
            <w:gridSpan w:val="9"/>
            <w:vAlign w:val="center"/>
          </w:tcPr>
          <w:p w14:paraId="1843028A" w14:textId="77777777" w:rsidR="00267AB0" w:rsidRPr="00860EF1" w:rsidRDefault="00267AB0" w:rsidP="00AA653D">
            <w:pPr>
              <w:jc w:val="both"/>
              <w:rPr>
                <w:rFonts w:ascii="Tahoma" w:hAnsi="Tahoma" w:cs="Tahoma"/>
                <w:sz w:val="20"/>
                <w:szCs w:val="20"/>
              </w:rPr>
            </w:pPr>
            <w:r w:rsidRPr="00860EF1">
              <w:rPr>
                <w:rFonts w:ascii="Tahoma" w:hAnsi="Tahoma" w:cs="Tahoma"/>
                <w:sz w:val="20"/>
                <w:szCs w:val="20"/>
              </w:rPr>
              <w:t>Заключение между Сторонами договора банковского счета (на основании которого Заемщику Банком открывается ТБС), элементы которого содержатся в Договоре, что делает Договор смешанным, содержащим элементы договора банковского счета и договора Кредита.</w:t>
            </w:r>
          </w:p>
          <w:p w14:paraId="5DC521E7" w14:textId="77777777" w:rsidR="00267AB0" w:rsidRPr="00860EF1" w:rsidRDefault="00267AB0" w:rsidP="00AA653D">
            <w:pPr>
              <w:jc w:val="both"/>
              <w:rPr>
                <w:rFonts w:ascii="Tahoma" w:hAnsi="Tahoma" w:cs="Tahoma"/>
                <w:sz w:val="20"/>
                <w:szCs w:val="20"/>
              </w:rPr>
            </w:pPr>
            <w:r w:rsidRPr="00860EF1">
              <w:rPr>
                <w:rFonts w:ascii="Tahoma" w:hAnsi="Tahoma" w:cs="Tahoma"/>
                <w:sz w:val="20"/>
                <w:szCs w:val="20"/>
              </w:rPr>
              <w:t>Договор поручительства, договор залога движимого/недвижимого имущества, договор страхования Предмета залога от рисков утраты и повреждения.</w:t>
            </w:r>
          </w:p>
        </w:tc>
      </w:tr>
      <w:tr w:rsidR="00267AB0" w:rsidRPr="00860EF1" w14:paraId="0AA527ED" w14:textId="77777777" w:rsidTr="00AA653D">
        <w:tc>
          <w:tcPr>
            <w:tcW w:w="4361" w:type="dxa"/>
            <w:vAlign w:val="center"/>
          </w:tcPr>
          <w:p w14:paraId="4F78252C" w14:textId="77777777" w:rsidR="00267AB0" w:rsidRPr="00860EF1" w:rsidRDefault="00267AB0" w:rsidP="00AA653D">
            <w:pPr>
              <w:jc w:val="both"/>
              <w:rPr>
                <w:rFonts w:ascii="Tahoma" w:hAnsi="Tahoma" w:cs="Tahoma"/>
                <w:b/>
                <w:bCs/>
                <w:sz w:val="20"/>
                <w:szCs w:val="20"/>
              </w:rPr>
            </w:pPr>
            <w:r w:rsidRPr="00860EF1">
              <w:rPr>
                <w:rFonts w:ascii="Tahoma" w:hAnsi="Tahoma" w:cs="Tahoma"/>
                <w:b/>
                <w:bCs/>
                <w:sz w:val="20"/>
                <w:szCs w:val="20"/>
              </w:rPr>
              <w:t>Дата, начиная с которой начисляются проценты за пользование Кредитом, или порядок ее определения</w:t>
            </w:r>
          </w:p>
        </w:tc>
        <w:tc>
          <w:tcPr>
            <w:tcW w:w="11414" w:type="dxa"/>
            <w:gridSpan w:val="9"/>
            <w:vAlign w:val="center"/>
          </w:tcPr>
          <w:p w14:paraId="4F36F6C1" w14:textId="77777777" w:rsidR="00267AB0" w:rsidRPr="00860EF1" w:rsidRDefault="00267AB0" w:rsidP="00AA653D">
            <w:pPr>
              <w:jc w:val="both"/>
              <w:rPr>
                <w:rFonts w:ascii="Tahoma" w:hAnsi="Tahoma" w:cs="Tahoma"/>
                <w:sz w:val="20"/>
                <w:szCs w:val="20"/>
              </w:rPr>
            </w:pPr>
            <w:r w:rsidRPr="00860EF1">
              <w:rPr>
                <w:rFonts w:ascii="Tahoma" w:eastAsia="Calibri" w:hAnsi="Tahoma" w:cs="Tahoma"/>
                <w:bCs/>
                <w:sz w:val="20"/>
                <w:szCs w:val="20"/>
              </w:rPr>
              <w:t>Дата, следующая за датой выдачи Заёмщику Кредита.</w:t>
            </w:r>
          </w:p>
        </w:tc>
      </w:tr>
      <w:tr w:rsidR="00267AB0" w:rsidRPr="00860EF1" w14:paraId="50662A43" w14:textId="77777777" w:rsidTr="00AA653D">
        <w:tc>
          <w:tcPr>
            <w:tcW w:w="4361" w:type="dxa"/>
            <w:vAlign w:val="center"/>
          </w:tcPr>
          <w:p w14:paraId="7CF97274" w14:textId="77777777" w:rsidR="00267AB0" w:rsidRPr="00860EF1" w:rsidRDefault="00267AB0" w:rsidP="00AA653D">
            <w:pPr>
              <w:rPr>
                <w:rFonts w:ascii="Tahoma" w:hAnsi="Tahoma" w:cs="Tahoma"/>
                <w:b/>
                <w:bCs/>
                <w:sz w:val="20"/>
                <w:szCs w:val="20"/>
              </w:rPr>
            </w:pPr>
            <w:r w:rsidRPr="00860EF1">
              <w:rPr>
                <w:rFonts w:ascii="Tahoma" w:hAnsi="Tahoma" w:cs="Tahoma"/>
                <w:b/>
                <w:bCs/>
                <w:sz w:val="20"/>
                <w:szCs w:val="20"/>
              </w:rPr>
              <w:t>Бесплатный способ исполнения Заемщиком обязательств по Кредитному договору</w:t>
            </w:r>
          </w:p>
        </w:tc>
        <w:tc>
          <w:tcPr>
            <w:tcW w:w="11414" w:type="dxa"/>
            <w:gridSpan w:val="9"/>
            <w:vAlign w:val="center"/>
          </w:tcPr>
          <w:p w14:paraId="08A8D7A9" w14:textId="77777777" w:rsidR="00267AB0" w:rsidRPr="00860EF1" w:rsidRDefault="00267AB0" w:rsidP="00AA653D">
            <w:pPr>
              <w:jc w:val="both"/>
              <w:rPr>
                <w:rFonts w:ascii="Tahoma" w:hAnsi="Tahoma" w:cs="Tahoma"/>
                <w:sz w:val="20"/>
                <w:szCs w:val="20"/>
              </w:rPr>
            </w:pPr>
            <w:r w:rsidRPr="00860EF1">
              <w:rPr>
                <w:rFonts w:ascii="Tahoma" w:hAnsi="Tahoma" w:cs="Tahoma"/>
                <w:sz w:val="20"/>
                <w:szCs w:val="20"/>
              </w:rPr>
              <w:t>Внесение денежных средств на ТБС через терминалы самообслуживания Банка, перевод через работодателя Заемщика, перевод со счёта в Банке на ТБС Заемщика.</w:t>
            </w:r>
          </w:p>
        </w:tc>
      </w:tr>
      <w:tr w:rsidR="00267AB0" w:rsidRPr="00860EF1" w14:paraId="2A8CFF88" w14:textId="77777777" w:rsidTr="00AA653D">
        <w:tc>
          <w:tcPr>
            <w:tcW w:w="4361" w:type="dxa"/>
            <w:vAlign w:val="center"/>
          </w:tcPr>
          <w:p w14:paraId="7A702B32" w14:textId="77777777" w:rsidR="00267AB0" w:rsidRPr="00860EF1" w:rsidRDefault="00267AB0" w:rsidP="00AA653D">
            <w:pPr>
              <w:rPr>
                <w:rFonts w:ascii="Tahoma" w:hAnsi="Tahoma" w:cs="Tahoma"/>
                <w:b/>
                <w:bCs/>
                <w:sz w:val="20"/>
                <w:szCs w:val="20"/>
              </w:rPr>
            </w:pPr>
            <w:r w:rsidRPr="00860EF1">
              <w:rPr>
                <w:rFonts w:ascii="Tahoma" w:hAnsi="Tahoma" w:cs="Tahoma"/>
                <w:b/>
                <w:bCs/>
                <w:sz w:val="20"/>
                <w:szCs w:val="20"/>
              </w:rPr>
              <w:t>Способы возврата Заемщиком Кредита, и уплаты процентов по нему</w:t>
            </w:r>
          </w:p>
        </w:tc>
        <w:tc>
          <w:tcPr>
            <w:tcW w:w="11414" w:type="dxa"/>
            <w:gridSpan w:val="9"/>
            <w:vAlign w:val="center"/>
          </w:tcPr>
          <w:p w14:paraId="3C361BB8" w14:textId="77777777" w:rsidR="00267AB0" w:rsidRPr="00860EF1" w:rsidRDefault="00267AB0" w:rsidP="00AA653D">
            <w:pPr>
              <w:widowControl w:val="0"/>
              <w:tabs>
                <w:tab w:val="left" w:pos="426"/>
                <w:tab w:val="left" w:pos="851"/>
              </w:tabs>
              <w:jc w:val="both"/>
              <w:rPr>
                <w:rFonts w:ascii="Tahoma" w:hAnsi="Tahoma" w:cs="Tahoma"/>
                <w:sz w:val="20"/>
                <w:szCs w:val="20"/>
              </w:rPr>
            </w:pPr>
            <w:r w:rsidRPr="00860EF1">
              <w:rPr>
                <w:rFonts w:ascii="Tahoma" w:hAnsi="Tahoma" w:cs="Tahoma"/>
                <w:sz w:val="20"/>
                <w:szCs w:val="20"/>
              </w:rPr>
              <w:t xml:space="preserve">Погашение Заемщиком обязательств по Договору осуществляется в сумме и сроки, предусмотренные Договором (в том числе при досрочном частичном или полном возврате Кредита) производится любым способом по выбору Заемщика, в </w:t>
            </w:r>
            <w:r w:rsidRPr="00860EF1">
              <w:rPr>
                <w:rFonts w:ascii="Tahoma" w:hAnsi="Tahoma" w:cs="Tahoma"/>
                <w:sz w:val="20"/>
                <w:szCs w:val="20"/>
              </w:rPr>
              <w:lastRenderedPageBreak/>
              <w:t xml:space="preserve">том числе: посредством внесения денежных средств в сумме обязательства на ТБС Заемщика через терминалы самообслуживания Банка (при их наличии в населенном пункте по месту получения Заемщиком оферты); кассы Банка, перевод через работодателя Заемщика, перевод со счёта в Банке на ТБС Заемщика, перевод через отделения АО «Почта России», перевод через интернет-системы «АТБ-Онлайн», «АТБ-Мобайл», иные кредитные организации (по предусмотренным тарифам). </w:t>
            </w:r>
          </w:p>
          <w:p w14:paraId="02D233BF" w14:textId="77777777" w:rsidR="00267AB0" w:rsidRPr="00860EF1" w:rsidRDefault="00267AB0" w:rsidP="00AA653D">
            <w:pPr>
              <w:widowControl w:val="0"/>
              <w:tabs>
                <w:tab w:val="left" w:pos="426"/>
                <w:tab w:val="left" w:pos="851"/>
              </w:tabs>
              <w:jc w:val="both"/>
              <w:rPr>
                <w:rFonts w:ascii="Tahoma" w:hAnsi="Tahoma" w:cs="Tahoma"/>
                <w:sz w:val="20"/>
                <w:szCs w:val="20"/>
              </w:rPr>
            </w:pPr>
            <w:r w:rsidRPr="00860EF1">
              <w:rPr>
                <w:rFonts w:ascii="Tahoma" w:hAnsi="Tahoma" w:cs="Tahoma"/>
                <w:sz w:val="20"/>
                <w:szCs w:val="20"/>
              </w:rPr>
              <w:t>Могут использоваться иные, не противоречащие законодательству РФ способы.</w:t>
            </w:r>
          </w:p>
          <w:p w14:paraId="5517C7F4" w14:textId="77777777" w:rsidR="00267AB0" w:rsidRPr="00860EF1" w:rsidRDefault="00267AB0" w:rsidP="00AA653D">
            <w:pPr>
              <w:widowControl w:val="0"/>
              <w:tabs>
                <w:tab w:val="left" w:pos="426"/>
                <w:tab w:val="left" w:pos="851"/>
              </w:tabs>
              <w:jc w:val="both"/>
              <w:rPr>
                <w:rFonts w:ascii="Tahoma" w:hAnsi="Tahoma" w:cs="Tahoma"/>
                <w:sz w:val="20"/>
                <w:szCs w:val="20"/>
              </w:rPr>
            </w:pPr>
            <w:r w:rsidRPr="00860EF1">
              <w:rPr>
                <w:rFonts w:ascii="Tahoma" w:hAnsi="Tahoma" w:cs="Tahoma"/>
                <w:sz w:val="20"/>
                <w:szCs w:val="20"/>
              </w:rPr>
              <w:t>Обязательства по погашению Заемщиком Кредитной задолженности по Договору считаются Заемщиком исполненными в полном объеме после поступления денежных средств на ТБС Заемщика (списания Банком в свою пользу с ТБС Заемщика денежных средств).</w:t>
            </w:r>
          </w:p>
          <w:p w14:paraId="0C5EC3DF" w14:textId="77777777" w:rsidR="00267AB0" w:rsidRPr="00860EF1" w:rsidRDefault="00267AB0" w:rsidP="00AA653D">
            <w:pPr>
              <w:widowControl w:val="0"/>
              <w:tabs>
                <w:tab w:val="left" w:pos="426"/>
                <w:tab w:val="left" w:pos="851"/>
              </w:tabs>
              <w:jc w:val="both"/>
              <w:rPr>
                <w:rFonts w:ascii="Tahoma" w:hAnsi="Tahoma" w:cs="Tahoma"/>
                <w:sz w:val="20"/>
                <w:szCs w:val="20"/>
              </w:rPr>
            </w:pPr>
            <w:r w:rsidRPr="00860EF1">
              <w:rPr>
                <w:rFonts w:ascii="Tahoma" w:hAnsi="Tahoma" w:cs="Tahoma"/>
                <w:sz w:val="20"/>
                <w:szCs w:val="20"/>
              </w:rPr>
              <w:t>Заемщик вносит на ТБС денежные средства любыми из перечисленных выше способов, при этом он обязан учесть время, затрачиваемое на безналичное перечисление денежных средств, выходные и праздничные дни. Если установленный Договором последний день срока платежа отсутствует в календарном месяце, Заемщик обязан внести денежные средства на ТБС не позднее последнего календарного рабочего дня месяца; если последний день срока платежа приходится на выходные/нерабочие, праздничные дни, Заемщик обязан внести денежные средства на ТБС не позднее 1-го рабочего дня, следующего за выходным/нерабочим праздничным днем. Указанная обязанность должна быть исполнена Заемщиком в операционный день Банка.</w:t>
            </w:r>
          </w:p>
        </w:tc>
      </w:tr>
      <w:tr w:rsidR="00267AB0" w:rsidRPr="00AC2D1E" w14:paraId="5B92E387" w14:textId="77777777" w:rsidTr="00AA653D">
        <w:tc>
          <w:tcPr>
            <w:tcW w:w="4361" w:type="dxa"/>
            <w:vAlign w:val="center"/>
          </w:tcPr>
          <w:p w14:paraId="7E33BCC0" w14:textId="77777777" w:rsidR="00267AB0" w:rsidRPr="00860EF1" w:rsidRDefault="00267AB0" w:rsidP="00AA653D">
            <w:pPr>
              <w:rPr>
                <w:rFonts w:ascii="Tahoma" w:hAnsi="Tahoma" w:cs="Tahoma"/>
                <w:b/>
                <w:bCs/>
                <w:sz w:val="20"/>
                <w:szCs w:val="20"/>
              </w:rPr>
            </w:pPr>
            <w:r w:rsidRPr="00860EF1">
              <w:rPr>
                <w:rFonts w:ascii="Tahoma" w:hAnsi="Tahoma" w:cs="Tahoma"/>
                <w:b/>
                <w:bCs/>
                <w:sz w:val="20"/>
                <w:szCs w:val="20"/>
              </w:rPr>
              <w:lastRenderedPageBreak/>
              <w:t>Способы обеспечения исполнения обязательств по Договору (залоговое обеспечение/поручительство)</w:t>
            </w:r>
          </w:p>
        </w:tc>
        <w:tc>
          <w:tcPr>
            <w:tcW w:w="11414" w:type="dxa"/>
            <w:gridSpan w:val="9"/>
            <w:vAlign w:val="bottom"/>
          </w:tcPr>
          <w:p w14:paraId="21DD025F" w14:textId="77777777" w:rsidR="00267AB0" w:rsidRPr="00860EF1" w:rsidRDefault="00267AB0" w:rsidP="00AA653D">
            <w:pPr>
              <w:widowControl w:val="0"/>
              <w:tabs>
                <w:tab w:val="left" w:pos="426"/>
                <w:tab w:val="left" w:pos="851"/>
              </w:tabs>
              <w:jc w:val="both"/>
              <w:rPr>
                <w:rFonts w:ascii="Tahoma" w:hAnsi="Tahoma" w:cs="Tahoma"/>
                <w:sz w:val="20"/>
                <w:szCs w:val="20"/>
              </w:rPr>
            </w:pPr>
            <w:r w:rsidRPr="00860EF1">
              <w:rPr>
                <w:rFonts w:ascii="Tahoma" w:hAnsi="Tahoma" w:cs="Tahoma"/>
                <w:sz w:val="20"/>
                <w:szCs w:val="20"/>
              </w:rPr>
              <w:t xml:space="preserve">Неустойка (штраф, пеня). В случае нарушения обязательств по Договору с Заемщика может быть взыскана неустойка в суммах и порядке, определенных Сторонами в соответствии с законодательством РФ и Индивидуальными условиями Договора. </w:t>
            </w:r>
          </w:p>
          <w:p w14:paraId="36B0AA4A" w14:textId="77777777" w:rsidR="00267AB0" w:rsidRPr="00860EF1" w:rsidRDefault="00267AB0" w:rsidP="00AA653D">
            <w:pPr>
              <w:keepLines/>
              <w:tabs>
                <w:tab w:val="right" w:pos="10206"/>
              </w:tabs>
              <w:jc w:val="both"/>
              <w:rPr>
                <w:rFonts w:ascii="Tahoma" w:eastAsia="Calibri" w:hAnsi="Tahoma" w:cs="Tahoma"/>
                <w:bCs/>
                <w:sz w:val="20"/>
                <w:szCs w:val="20"/>
              </w:rPr>
            </w:pPr>
            <w:r w:rsidRPr="00860EF1">
              <w:rPr>
                <w:rFonts w:ascii="Tahoma" w:eastAsia="Calibri" w:hAnsi="Tahoma" w:cs="Tahoma"/>
                <w:bCs/>
                <w:sz w:val="20"/>
                <w:szCs w:val="20"/>
              </w:rPr>
              <w:t>Обязательным условием предоставления Кредита является поручительство супруга/супруги Заемщика. По решению единоличного органа принятия решения/кредитного комитета супруг/супруга может быть оформлен Созаемщиком.</w:t>
            </w:r>
          </w:p>
          <w:p w14:paraId="3281A011" w14:textId="77777777" w:rsidR="00267AB0" w:rsidRPr="00860EF1" w:rsidRDefault="00267AB0" w:rsidP="00AA653D">
            <w:pPr>
              <w:widowControl w:val="0"/>
              <w:tabs>
                <w:tab w:val="left" w:pos="426"/>
                <w:tab w:val="left" w:pos="851"/>
              </w:tabs>
              <w:jc w:val="both"/>
              <w:rPr>
                <w:rFonts w:ascii="Tahoma" w:eastAsia="Calibri" w:hAnsi="Tahoma" w:cs="Tahoma"/>
                <w:bCs/>
                <w:sz w:val="20"/>
                <w:szCs w:val="20"/>
              </w:rPr>
            </w:pPr>
            <w:r w:rsidRPr="00860EF1">
              <w:rPr>
                <w:rFonts w:ascii="Tahoma" w:eastAsia="Calibri" w:hAnsi="Tahoma" w:cs="Tahoma"/>
                <w:bCs/>
                <w:sz w:val="20"/>
                <w:szCs w:val="20"/>
              </w:rPr>
              <w:t xml:space="preserve">Залог имеющейся/приобретаемой недвижимости. </w:t>
            </w:r>
          </w:p>
          <w:p w14:paraId="31E67515" w14:textId="77777777" w:rsidR="00267AB0" w:rsidRPr="00860EF1" w:rsidRDefault="00267AB0" w:rsidP="00AA653D">
            <w:pPr>
              <w:widowControl w:val="0"/>
              <w:tabs>
                <w:tab w:val="left" w:pos="426"/>
                <w:tab w:val="left" w:pos="851"/>
              </w:tabs>
              <w:spacing w:before="60"/>
              <w:jc w:val="both"/>
              <w:rPr>
                <w:rFonts w:ascii="Tahoma" w:hAnsi="Tahoma" w:cs="Tahoma"/>
                <w:b/>
                <w:sz w:val="20"/>
                <w:szCs w:val="20"/>
              </w:rPr>
            </w:pPr>
            <w:r w:rsidRPr="00860EF1">
              <w:rPr>
                <w:rFonts w:ascii="Tahoma" w:hAnsi="Tahoma" w:cs="Tahoma"/>
                <w:b/>
                <w:sz w:val="20"/>
                <w:szCs w:val="20"/>
              </w:rPr>
              <w:t xml:space="preserve">Для тарифного плана "Бизнес </w:t>
            </w:r>
            <w:r>
              <w:rPr>
                <w:rFonts w:ascii="Tahoma" w:hAnsi="Tahoma" w:cs="Tahoma"/>
                <w:b/>
                <w:sz w:val="20"/>
                <w:szCs w:val="20"/>
              </w:rPr>
              <w:t>И</w:t>
            </w:r>
            <w:r w:rsidRPr="00860EF1">
              <w:rPr>
                <w:rFonts w:ascii="Tahoma" w:hAnsi="Tahoma" w:cs="Tahoma"/>
                <w:b/>
                <w:sz w:val="20"/>
                <w:szCs w:val="20"/>
              </w:rPr>
              <w:t>потека" при любой цели кредита под залог имеющегося имущества залогом может выступать:</w:t>
            </w:r>
          </w:p>
          <w:p w14:paraId="7126765A" w14:textId="77777777" w:rsidR="00267AB0" w:rsidRPr="00860EF1" w:rsidRDefault="00267AB0" w:rsidP="00AA653D">
            <w:pPr>
              <w:widowControl w:val="0"/>
              <w:tabs>
                <w:tab w:val="left" w:pos="426"/>
                <w:tab w:val="left" w:pos="851"/>
              </w:tabs>
              <w:jc w:val="both"/>
              <w:rPr>
                <w:rFonts w:ascii="Tahoma" w:hAnsi="Tahoma" w:cs="Tahoma"/>
                <w:sz w:val="20"/>
                <w:szCs w:val="20"/>
              </w:rPr>
            </w:pPr>
            <w:r w:rsidRPr="00860EF1">
              <w:rPr>
                <w:rFonts w:ascii="Tahoma" w:hAnsi="Tahoma" w:cs="Tahoma"/>
                <w:sz w:val="20"/>
                <w:szCs w:val="20"/>
              </w:rPr>
              <w:t xml:space="preserve">• Коммерческая недвижимость (находящаяся в собственности </w:t>
            </w:r>
            <w:r>
              <w:rPr>
                <w:rFonts w:ascii="Tahoma" w:hAnsi="Tahoma" w:cs="Tahoma"/>
                <w:sz w:val="20"/>
                <w:szCs w:val="20"/>
              </w:rPr>
              <w:t>З</w:t>
            </w:r>
            <w:r w:rsidRPr="00860EF1">
              <w:rPr>
                <w:rFonts w:ascii="Tahoma" w:hAnsi="Tahoma" w:cs="Tahoma"/>
                <w:sz w:val="20"/>
                <w:szCs w:val="20"/>
              </w:rPr>
              <w:t>алогодателя) – капитальные сооружения производственного, складского, гостиничного и офисного назначения;</w:t>
            </w:r>
          </w:p>
          <w:p w14:paraId="6B973EB9" w14:textId="77777777" w:rsidR="00267AB0" w:rsidRPr="00860EF1" w:rsidRDefault="00267AB0" w:rsidP="00AA653D">
            <w:pPr>
              <w:widowControl w:val="0"/>
              <w:tabs>
                <w:tab w:val="left" w:pos="426"/>
                <w:tab w:val="left" w:pos="851"/>
              </w:tabs>
              <w:jc w:val="both"/>
              <w:rPr>
                <w:rFonts w:ascii="Tahoma" w:hAnsi="Tahoma" w:cs="Tahoma"/>
                <w:sz w:val="20"/>
                <w:szCs w:val="20"/>
              </w:rPr>
            </w:pPr>
            <w:r w:rsidRPr="00860EF1">
              <w:rPr>
                <w:rFonts w:ascii="Tahoma" w:hAnsi="Tahoma" w:cs="Tahoma"/>
                <w:sz w:val="20"/>
                <w:szCs w:val="20"/>
              </w:rPr>
              <w:t>• Земельный участок (находящийся в собственности Залогодателя) с расположенным на нём капитальными сооружениями производственного, складского, гостиничного и офисного назначения;</w:t>
            </w:r>
          </w:p>
          <w:p w14:paraId="244E2BEE" w14:textId="77777777" w:rsidR="00267AB0" w:rsidRPr="00860EF1" w:rsidRDefault="00267AB0" w:rsidP="00AA653D">
            <w:pPr>
              <w:widowControl w:val="0"/>
              <w:tabs>
                <w:tab w:val="left" w:pos="426"/>
                <w:tab w:val="left" w:pos="851"/>
              </w:tabs>
              <w:jc w:val="both"/>
              <w:rPr>
                <w:rFonts w:ascii="Tahoma" w:hAnsi="Tahoma" w:cs="Tahoma"/>
                <w:sz w:val="20"/>
                <w:szCs w:val="20"/>
              </w:rPr>
            </w:pPr>
            <w:r w:rsidRPr="00860EF1">
              <w:rPr>
                <w:rFonts w:ascii="Tahoma" w:hAnsi="Tahoma" w:cs="Tahoma"/>
                <w:sz w:val="20"/>
                <w:szCs w:val="20"/>
              </w:rPr>
              <w:t>• Земельный участок (находящийся в собственности Залогодателя) без постройки;</w:t>
            </w:r>
          </w:p>
          <w:p w14:paraId="65F81284" w14:textId="77777777" w:rsidR="00267AB0" w:rsidRPr="00860EF1" w:rsidRDefault="00267AB0" w:rsidP="00AA653D">
            <w:pPr>
              <w:widowControl w:val="0"/>
              <w:tabs>
                <w:tab w:val="left" w:pos="426"/>
                <w:tab w:val="left" w:pos="851"/>
              </w:tabs>
              <w:jc w:val="both"/>
              <w:rPr>
                <w:rFonts w:ascii="Tahoma" w:hAnsi="Tahoma" w:cs="Tahoma"/>
                <w:sz w:val="20"/>
                <w:szCs w:val="20"/>
              </w:rPr>
            </w:pPr>
            <w:r w:rsidRPr="00860EF1">
              <w:rPr>
                <w:rFonts w:ascii="Tahoma" w:hAnsi="Tahoma" w:cs="Tahoma"/>
                <w:sz w:val="20"/>
                <w:szCs w:val="20"/>
              </w:rPr>
              <w:t>• Гаражи, стояночные места, ангары;</w:t>
            </w:r>
          </w:p>
          <w:p w14:paraId="78EB2F9C" w14:textId="77777777" w:rsidR="00267AB0" w:rsidRPr="00860EF1" w:rsidRDefault="00267AB0" w:rsidP="00AA653D">
            <w:pPr>
              <w:widowControl w:val="0"/>
              <w:tabs>
                <w:tab w:val="left" w:pos="426"/>
                <w:tab w:val="left" w:pos="851"/>
              </w:tabs>
              <w:jc w:val="both"/>
              <w:rPr>
                <w:rFonts w:ascii="Tahoma" w:hAnsi="Tahoma" w:cs="Tahoma"/>
                <w:sz w:val="20"/>
                <w:szCs w:val="20"/>
              </w:rPr>
            </w:pPr>
            <w:r w:rsidRPr="00860EF1">
              <w:rPr>
                <w:rFonts w:ascii="Tahoma" w:hAnsi="Tahoma" w:cs="Tahoma"/>
                <w:sz w:val="20"/>
                <w:szCs w:val="20"/>
              </w:rPr>
              <w:t xml:space="preserve">• Два объекта жилой недвижимости от одного </w:t>
            </w:r>
            <w:r>
              <w:rPr>
                <w:rFonts w:ascii="Tahoma" w:hAnsi="Tahoma" w:cs="Tahoma"/>
                <w:sz w:val="20"/>
                <w:szCs w:val="20"/>
              </w:rPr>
              <w:t>З</w:t>
            </w:r>
            <w:r w:rsidRPr="00860EF1">
              <w:rPr>
                <w:rFonts w:ascii="Tahoma" w:hAnsi="Tahoma" w:cs="Tahoma"/>
                <w:sz w:val="20"/>
                <w:szCs w:val="20"/>
              </w:rPr>
              <w:t>алогодателя</w:t>
            </w:r>
            <w:r>
              <w:rPr>
                <w:rFonts w:ascii="Tahoma" w:hAnsi="Tahoma" w:cs="Tahoma"/>
                <w:sz w:val="20"/>
                <w:szCs w:val="20"/>
              </w:rPr>
              <w:t xml:space="preserve"> – физического лица</w:t>
            </w:r>
            <w:r w:rsidRPr="00860EF1">
              <w:rPr>
                <w:rFonts w:ascii="Tahoma" w:hAnsi="Tahoma" w:cs="Tahoma"/>
                <w:sz w:val="20"/>
                <w:szCs w:val="20"/>
              </w:rPr>
              <w:t>, при этом залоговой стоимости каждой должно быть достаточно для покрытия всей суммы кредита;</w:t>
            </w:r>
          </w:p>
          <w:p w14:paraId="718E75D2" w14:textId="77777777" w:rsidR="00267AB0" w:rsidRPr="00860EF1" w:rsidRDefault="00267AB0" w:rsidP="00AA653D">
            <w:pPr>
              <w:widowControl w:val="0"/>
              <w:tabs>
                <w:tab w:val="left" w:pos="426"/>
                <w:tab w:val="left" w:pos="851"/>
              </w:tabs>
              <w:jc w:val="both"/>
              <w:rPr>
                <w:rFonts w:ascii="Tahoma" w:hAnsi="Tahoma" w:cs="Tahoma"/>
                <w:sz w:val="20"/>
                <w:szCs w:val="20"/>
              </w:rPr>
            </w:pPr>
            <w:r w:rsidRPr="00860EF1">
              <w:rPr>
                <w:rFonts w:ascii="Tahoma" w:hAnsi="Tahoma" w:cs="Tahoma"/>
                <w:sz w:val="20"/>
                <w:szCs w:val="20"/>
              </w:rPr>
              <w:t xml:space="preserve">• Жилая квартира, принадлежащая на праве собственности </w:t>
            </w:r>
            <w:r>
              <w:rPr>
                <w:rFonts w:ascii="Tahoma" w:hAnsi="Tahoma" w:cs="Tahoma"/>
                <w:sz w:val="20"/>
                <w:szCs w:val="20"/>
              </w:rPr>
              <w:t xml:space="preserve">Залогодателю - </w:t>
            </w:r>
            <w:r w:rsidRPr="00860EF1">
              <w:rPr>
                <w:rFonts w:ascii="Tahoma" w:hAnsi="Tahoma" w:cs="Tahoma"/>
                <w:sz w:val="20"/>
                <w:szCs w:val="20"/>
              </w:rPr>
              <w:t>юридическому лицу.</w:t>
            </w:r>
          </w:p>
          <w:p w14:paraId="014AE6C3" w14:textId="77777777" w:rsidR="00267AB0" w:rsidRPr="00860EF1" w:rsidRDefault="00267AB0" w:rsidP="00AA653D">
            <w:pPr>
              <w:widowControl w:val="0"/>
              <w:tabs>
                <w:tab w:val="left" w:pos="426"/>
                <w:tab w:val="left" w:pos="851"/>
              </w:tabs>
              <w:spacing w:before="60"/>
              <w:jc w:val="both"/>
              <w:rPr>
                <w:rFonts w:ascii="Tahoma" w:hAnsi="Tahoma" w:cs="Tahoma"/>
                <w:b/>
                <w:sz w:val="20"/>
                <w:szCs w:val="20"/>
              </w:rPr>
            </w:pPr>
            <w:r w:rsidRPr="00860EF1">
              <w:rPr>
                <w:rFonts w:ascii="Tahoma" w:hAnsi="Tahoma" w:cs="Tahoma"/>
                <w:b/>
                <w:sz w:val="20"/>
                <w:szCs w:val="20"/>
              </w:rPr>
              <w:t xml:space="preserve">Для тарифного плана "Бизнес </w:t>
            </w:r>
            <w:r>
              <w:rPr>
                <w:rFonts w:ascii="Tahoma" w:hAnsi="Tahoma" w:cs="Tahoma"/>
                <w:b/>
                <w:sz w:val="20"/>
                <w:szCs w:val="20"/>
              </w:rPr>
              <w:t>И</w:t>
            </w:r>
            <w:r w:rsidRPr="00860EF1">
              <w:rPr>
                <w:rFonts w:ascii="Tahoma" w:hAnsi="Tahoma" w:cs="Tahoma"/>
                <w:b/>
                <w:sz w:val="20"/>
                <w:szCs w:val="20"/>
              </w:rPr>
              <w:t>потека" для целей приобретения недвижимого имущества залогом может выступать:</w:t>
            </w:r>
          </w:p>
          <w:p w14:paraId="318388DA" w14:textId="77777777" w:rsidR="00267AB0" w:rsidRPr="00860EF1" w:rsidRDefault="00267AB0" w:rsidP="00AA653D">
            <w:pPr>
              <w:widowControl w:val="0"/>
              <w:tabs>
                <w:tab w:val="left" w:pos="426"/>
                <w:tab w:val="left" w:pos="851"/>
              </w:tabs>
              <w:jc w:val="both"/>
              <w:rPr>
                <w:rFonts w:ascii="Tahoma" w:hAnsi="Tahoma" w:cs="Tahoma"/>
                <w:sz w:val="20"/>
                <w:szCs w:val="20"/>
              </w:rPr>
            </w:pPr>
            <w:r w:rsidRPr="00860EF1">
              <w:rPr>
                <w:rFonts w:ascii="Tahoma" w:hAnsi="Tahoma" w:cs="Tahoma"/>
                <w:sz w:val="20"/>
                <w:szCs w:val="20"/>
              </w:rPr>
              <w:t>• Приобретаемое здание/помещение/квартира в многоквартирном доме на вторичном рынке жилья;</w:t>
            </w:r>
          </w:p>
          <w:p w14:paraId="1E25EE03" w14:textId="77777777" w:rsidR="00267AB0" w:rsidRPr="00860EF1" w:rsidRDefault="00267AB0" w:rsidP="00AA653D">
            <w:pPr>
              <w:widowControl w:val="0"/>
              <w:tabs>
                <w:tab w:val="left" w:pos="426"/>
                <w:tab w:val="left" w:pos="851"/>
              </w:tabs>
              <w:jc w:val="both"/>
              <w:rPr>
                <w:rFonts w:ascii="Tahoma" w:hAnsi="Tahoma" w:cs="Tahoma"/>
                <w:sz w:val="20"/>
                <w:szCs w:val="20"/>
              </w:rPr>
            </w:pPr>
            <w:r w:rsidRPr="00860EF1">
              <w:rPr>
                <w:rFonts w:ascii="Tahoma" w:hAnsi="Tahoma" w:cs="Tahoma"/>
                <w:sz w:val="20"/>
                <w:szCs w:val="20"/>
              </w:rPr>
              <w:t>• Приобретаемое здание/помещение/квартира на первичном рынке только в сданных в эксплуатацию домах;</w:t>
            </w:r>
          </w:p>
          <w:p w14:paraId="3028ADC3" w14:textId="77777777" w:rsidR="00267AB0" w:rsidRPr="00860EF1" w:rsidRDefault="00267AB0" w:rsidP="00AA653D">
            <w:pPr>
              <w:widowControl w:val="0"/>
              <w:tabs>
                <w:tab w:val="left" w:pos="426"/>
                <w:tab w:val="left" w:pos="851"/>
              </w:tabs>
              <w:jc w:val="both"/>
              <w:rPr>
                <w:rFonts w:ascii="Tahoma" w:hAnsi="Tahoma" w:cs="Tahoma"/>
                <w:sz w:val="20"/>
                <w:szCs w:val="20"/>
              </w:rPr>
            </w:pPr>
            <w:r w:rsidRPr="00860EF1">
              <w:rPr>
                <w:rFonts w:ascii="Tahoma" w:hAnsi="Tahoma" w:cs="Tahoma"/>
                <w:sz w:val="20"/>
                <w:szCs w:val="20"/>
              </w:rPr>
              <w:t>• Приобретаемый земельный участок с расположенным на нём индивидуальным жилым домом/ капитальными сооружениями производственного, складского, гостиничного и офисного назначения;</w:t>
            </w:r>
          </w:p>
          <w:p w14:paraId="239EEAAB" w14:textId="77777777" w:rsidR="00267AB0" w:rsidRPr="00860EF1" w:rsidRDefault="00267AB0" w:rsidP="00AA653D">
            <w:pPr>
              <w:widowControl w:val="0"/>
              <w:tabs>
                <w:tab w:val="left" w:pos="426"/>
                <w:tab w:val="left" w:pos="851"/>
              </w:tabs>
              <w:jc w:val="both"/>
              <w:rPr>
                <w:rFonts w:ascii="Tahoma" w:hAnsi="Tahoma" w:cs="Tahoma"/>
                <w:sz w:val="20"/>
                <w:szCs w:val="20"/>
              </w:rPr>
            </w:pPr>
            <w:r w:rsidRPr="00860EF1">
              <w:rPr>
                <w:rFonts w:ascii="Tahoma" w:hAnsi="Tahoma" w:cs="Tahoma"/>
                <w:sz w:val="20"/>
                <w:szCs w:val="20"/>
              </w:rPr>
              <w:t>• Приобретаемый земельный участок без постройки;</w:t>
            </w:r>
          </w:p>
          <w:p w14:paraId="229D75A1" w14:textId="77777777" w:rsidR="00267AB0" w:rsidRPr="00860EF1" w:rsidRDefault="00267AB0" w:rsidP="00AA653D">
            <w:pPr>
              <w:widowControl w:val="0"/>
              <w:tabs>
                <w:tab w:val="left" w:pos="426"/>
                <w:tab w:val="left" w:pos="851"/>
              </w:tabs>
              <w:jc w:val="both"/>
              <w:rPr>
                <w:rFonts w:ascii="Tahoma" w:hAnsi="Tahoma" w:cs="Tahoma"/>
                <w:sz w:val="20"/>
                <w:szCs w:val="20"/>
              </w:rPr>
            </w:pPr>
            <w:r w:rsidRPr="00860EF1">
              <w:rPr>
                <w:rFonts w:ascii="Tahoma" w:hAnsi="Tahoma" w:cs="Tahoma"/>
                <w:sz w:val="20"/>
                <w:szCs w:val="20"/>
              </w:rPr>
              <w:t xml:space="preserve">• Приобретаемая коммерческая недвижимость – капитальные сооружения производственного, складского, гостиничного </w:t>
            </w:r>
            <w:r w:rsidRPr="00860EF1">
              <w:rPr>
                <w:rFonts w:ascii="Tahoma" w:hAnsi="Tahoma" w:cs="Tahoma"/>
                <w:sz w:val="20"/>
                <w:szCs w:val="20"/>
              </w:rPr>
              <w:lastRenderedPageBreak/>
              <w:t>и офисного назначения;</w:t>
            </w:r>
          </w:p>
          <w:p w14:paraId="0DB678F8" w14:textId="77777777" w:rsidR="00267AB0" w:rsidRPr="00860EF1" w:rsidRDefault="00267AB0" w:rsidP="00AA653D">
            <w:pPr>
              <w:jc w:val="both"/>
              <w:rPr>
                <w:rFonts w:ascii="Tahoma" w:hAnsi="Tahoma" w:cs="Tahoma"/>
                <w:sz w:val="20"/>
                <w:szCs w:val="20"/>
              </w:rPr>
            </w:pPr>
            <w:r w:rsidRPr="00860EF1">
              <w:rPr>
                <w:rFonts w:ascii="Tahoma" w:hAnsi="Tahoma" w:cs="Tahoma"/>
                <w:sz w:val="20"/>
                <w:szCs w:val="20"/>
              </w:rPr>
              <w:t>• Гаражи, стояночные места, ангары.</w:t>
            </w:r>
          </w:p>
          <w:p w14:paraId="2C4B8B43" w14:textId="77777777" w:rsidR="00267AB0" w:rsidRDefault="00267AB0" w:rsidP="00AA653D">
            <w:pPr>
              <w:widowControl w:val="0"/>
              <w:jc w:val="both"/>
              <w:rPr>
                <w:rFonts w:ascii="Tahoma" w:hAnsi="Tahoma" w:cs="Tahoma"/>
                <w:sz w:val="20"/>
                <w:szCs w:val="20"/>
              </w:rPr>
            </w:pPr>
            <w:r w:rsidRPr="00860EF1">
              <w:rPr>
                <w:rFonts w:ascii="Tahoma" w:hAnsi="Tahoma" w:cs="Tahoma"/>
                <w:sz w:val="20"/>
                <w:szCs w:val="20"/>
              </w:rPr>
              <w:t>Установление иных требований в отношении залогового обеспечения и/или Залогодателя, не предусмотренных настоящим разделом «Информации об условиях предоставления, использования и возврата потребительского Кредита по тарифному плану «Бизнес Ипотека»», осуществляется в соответствии с решением уполномоченного органа принятия решений Банка.</w:t>
            </w:r>
          </w:p>
          <w:p w14:paraId="692A5E45" w14:textId="77777777" w:rsidR="00267AB0" w:rsidRPr="00A470BC" w:rsidRDefault="00267AB0" w:rsidP="00AA653D">
            <w:pPr>
              <w:jc w:val="both"/>
              <w:rPr>
                <w:rFonts w:ascii="Tahoma" w:hAnsi="Tahoma" w:cs="Tahoma"/>
                <w:sz w:val="20"/>
                <w:szCs w:val="20"/>
              </w:rPr>
            </w:pPr>
            <w:r w:rsidRPr="00A470BC">
              <w:rPr>
                <w:rFonts w:ascii="Tahoma" w:hAnsi="Tahoma" w:cs="Tahoma"/>
                <w:sz w:val="20"/>
                <w:szCs w:val="20"/>
              </w:rPr>
              <w:t>Предусматривается обязательное использование следующих цифровых сервисов:</w:t>
            </w:r>
          </w:p>
          <w:p w14:paraId="196F65DB" w14:textId="77777777" w:rsidR="00267AB0" w:rsidRPr="00A470BC" w:rsidRDefault="00267AB0" w:rsidP="00AA653D">
            <w:pPr>
              <w:jc w:val="both"/>
              <w:rPr>
                <w:rFonts w:ascii="Tahoma" w:hAnsi="Tahoma" w:cs="Tahoma"/>
                <w:sz w:val="20"/>
                <w:szCs w:val="20"/>
              </w:rPr>
            </w:pPr>
            <w:r w:rsidRPr="00A470BC">
              <w:rPr>
                <w:rFonts w:ascii="Tahoma" w:hAnsi="Tahoma" w:cs="Tahoma"/>
                <w:sz w:val="20"/>
                <w:szCs w:val="20"/>
              </w:rPr>
              <w:t>- «Мобильный оценщик»;</w:t>
            </w:r>
          </w:p>
          <w:p w14:paraId="61A34A30" w14:textId="77777777" w:rsidR="00267AB0" w:rsidRPr="00A470BC" w:rsidRDefault="00267AB0" w:rsidP="00AA653D">
            <w:pPr>
              <w:jc w:val="both"/>
              <w:rPr>
                <w:rFonts w:ascii="Tahoma" w:hAnsi="Tahoma" w:cs="Tahoma"/>
                <w:sz w:val="20"/>
                <w:szCs w:val="20"/>
              </w:rPr>
            </w:pPr>
            <w:r w:rsidRPr="00A470BC">
              <w:rPr>
                <w:rFonts w:ascii="Tahoma" w:hAnsi="Tahoma" w:cs="Tahoma"/>
                <w:sz w:val="20"/>
                <w:szCs w:val="20"/>
              </w:rPr>
              <w:t>- ПО «SmartDeal» - веб-сервис для совершения регистрационных действий в Росреестре.</w:t>
            </w:r>
          </w:p>
          <w:p w14:paraId="50620627" w14:textId="77777777" w:rsidR="00267AB0" w:rsidRPr="00AC2D1E" w:rsidRDefault="00267AB0" w:rsidP="00AA653D">
            <w:pPr>
              <w:jc w:val="both"/>
              <w:rPr>
                <w:rFonts w:ascii="Tahoma" w:hAnsi="Tahoma" w:cs="Tahoma"/>
                <w:sz w:val="20"/>
                <w:szCs w:val="20"/>
              </w:rPr>
            </w:pPr>
            <w:r w:rsidRPr="00A470BC">
              <w:rPr>
                <w:rFonts w:ascii="Tahoma" w:hAnsi="Tahoma" w:cs="Tahoma"/>
                <w:sz w:val="20"/>
                <w:szCs w:val="20"/>
              </w:rPr>
              <w:t>Решением уполномоченного органа принятия решений Банка возможно согласование неиспользования указанных сервисов при условии наличия аргументированного обоснования.</w:t>
            </w:r>
          </w:p>
        </w:tc>
      </w:tr>
      <w:tr w:rsidR="00267AB0" w:rsidRPr="00860EF1" w14:paraId="0A2B862F" w14:textId="77777777" w:rsidTr="00AA653D">
        <w:tc>
          <w:tcPr>
            <w:tcW w:w="4361" w:type="dxa"/>
            <w:vAlign w:val="center"/>
          </w:tcPr>
          <w:p w14:paraId="2D2F9852" w14:textId="77777777" w:rsidR="00267AB0" w:rsidRPr="00860EF1" w:rsidRDefault="00267AB0" w:rsidP="00AA653D">
            <w:pPr>
              <w:rPr>
                <w:rFonts w:ascii="Tahoma" w:hAnsi="Tahoma" w:cs="Tahoma"/>
                <w:b/>
                <w:bCs/>
                <w:sz w:val="20"/>
                <w:szCs w:val="20"/>
              </w:rPr>
            </w:pPr>
            <w:r w:rsidRPr="00860EF1">
              <w:rPr>
                <w:rFonts w:ascii="Tahoma" w:hAnsi="Tahoma" w:cs="Tahoma"/>
                <w:b/>
                <w:bCs/>
                <w:sz w:val="20"/>
                <w:szCs w:val="20"/>
              </w:rPr>
              <w:lastRenderedPageBreak/>
              <w:t>Ответственность Заемщика за ненадлежащее исполнение условий Кредитного договора, обеспеченного ипотекой, размер неустойки (штрафа, пени) или порядок их определения</w:t>
            </w:r>
          </w:p>
        </w:tc>
        <w:tc>
          <w:tcPr>
            <w:tcW w:w="11414" w:type="dxa"/>
            <w:gridSpan w:val="9"/>
          </w:tcPr>
          <w:p w14:paraId="15F3594F" w14:textId="77777777" w:rsidR="00267AB0" w:rsidRPr="00860EF1" w:rsidRDefault="00267AB0" w:rsidP="00AA653D">
            <w:pPr>
              <w:jc w:val="both"/>
              <w:rPr>
                <w:rFonts w:ascii="Tahoma" w:hAnsi="Tahoma" w:cs="Tahoma"/>
                <w:sz w:val="20"/>
                <w:szCs w:val="20"/>
              </w:rPr>
            </w:pPr>
            <w:r w:rsidRPr="00860EF1">
              <w:rPr>
                <w:rFonts w:ascii="Tahoma" w:hAnsi="Tahoma" w:cs="Tahoma"/>
                <w:sz w:val="20"/>
                <w:szCs w:val="20"/>
              </w:rPr>
              <w:t>При ненадлежащем исполнении Кредитного договора (в соответствии с условиями Кредитного договора и законодательством РФ) Банк вправе:</w:t>
            </w:r>
          </w:p>
          <w:p w14:paraId="33B5E52C" w14:textId="77777777" w:rsidR="00267AB0" w:rsidRPr="00860EF1" w:rsidRDefault="00267AB0" w:rsidP="00AA653D">
            <w:pPr>
              <w:jc w:val="both"/>
              <w:rPr>
                <w:rFonts w:ascii="Tahoma" w:hAnsi="Tahoma" w:cs="Tahoma"/>
                <w:sz w:val="20"/>
                <w:szCs w:val="20"/>
              </w:rPr>
            </w:pPr>
            <w:r w:rsidRPr="00860EF1">
              <w:rPr>
                <w:rFonts w:ascii="Tahoma" w:hAnsi="Tahoma" w:cs="Tahoma"/>
                <w:sz w:val="20"/>
                <w:szCs w:val="20"/>
              </w:rPr>
              <w:t>- потребовать от Заемщика полного досрочного исполнения обязательств по Кредитному договору (возврата суммы кредитных средств, процентов за пользование Кредитом и суммы неустойки (пени);</w:t>
            </w:r>
          </w:p>
          <w:p w14:paraId="642588AC" w14:textId="77777777" w:rsidR="00267AB0" w:rsidRPr="00860EF1" w:rsidRDefault="00267AB0" w:rsidP="00AA653D">
            <w:pPr>
              <w:jc w:val="both"/>
              <w:rPr>
                <w:rFonts w:ascii="Tahoma" w:hAnsi="Tahoma" w:cs="Tahoma"/>
                <w:sz w:val="20"/>
                <w:szCs w:val="20"/>
              </w:rPr>
            </w:pPr>
            <w:r w:rsidRPr="00860EF1">
              <w:rPr>
                <w:rFonts w:ascii="Tahoma" w:hAnsi="Tahoma" w:cs="Tahoma"/>
                <w:sz w:val="20"/>
                <w:szCs w:val="20"/>
              </w:rPr>
              <w:t>- обратить взыскание на Предмет залога.</w:t>
            </w:r>
          </w:p>
          <w:p w14:paraId="0EF91776" w14:textId="77777777" w:rsidR="00267AB0" w:rsidRPr="00860EF1" w:rsidRDefault="00267AB0" w:rsidP="00AA653D">
            <w:pPr>
              <w:jc w:val="both"/>
              <w:rPr>
                <w:rFonts w:ascii="Tahoma" w:hAnsi="Tahoma" w:cs="Tahoma"/>
                <w:sz w:val="20"/>
                <w:szCs w:val="20"/>
              </w:rPr>
            </w:pPr>
          </w:p>
          <w:p w14:paraId="0505CFB4" w14:textId="77777777" w:rsidR="00267AB0" w:rsidRDefault="00267AB0" w:rsidP="00AA653D">
            <w:pPr>
              <w:jc w:val="both"/>
              <w:rPr>
                <w:rFonts w:ascii="Tahoma" w:hAnsi="Tahoma" w:cs="Tahoma"/>
                <w:sz w:val="20"/>
                <w:szCs w:val="20"/>
              </w:rPr>
            </w:pPr>
            <w:r w:rsidRPr="00860EF1">
              <w:rPr>
                <w:rFonts w:ascii="Tahoma" w:hAnsi="Tahoma" w:cs="Tahoma"/>
                <w:sz w:val="20"/>
                <w:szCs w:val="20"/>
              </w:rPr>
              <w:t>За неисполнение и(или) ненадлежащее исполнение Заемщиком по Договору обязательств по возврату Кредита и(или) уплате процентов Заемщик уплачивает Банку неустойку в размере ключевой ставки Банка России, установленной на день заключения Договора, с суммы просроченного платежа за период просрочки с даты, следующей за датой наступления исполнения обязательства, установленной Договором, по дату погашения Просроченной кредитной задолженности по Договору (включительно), если по условиям Договора проценты за пользование Кредитом за соответствующий период нарушения исполнения обязательств начисляются. Заемщик несет ответственность за полноту и правильность внесения в платежные документы всей необходимой для идентификации платежа информации, в том числе указанной Банком.</w:t>
            </w:r>
          </w:p>
          <w:p w14:paraId="4AFDEAF5" w14:textId="77777777" w:rsidR="00267AB0" w:rsidRPr="00860EF1" w:rsidRDefault="00267AB0" w:rsidP="00AA653D">
            <w:pPr>
              <w:jc w:val="both"/>
              <w:rPr>
                <w:rFonts w:ascii="Tahoma" w:hAnsi="Tahoma" w:cs="Tahoma"/>
                <w:sz w:val="20"/>
                <w:szCs w:val="20"/>
              </w:rPr>
            </w:pPr>
            <w:r w:rsidRPr="00860EF1">
              <w:rPr>
                <w:rFonts w:ascii="Tahoma" w:hAnsi="Tahoma" w:cs="Tahoma"/>
                <w:sz w:val="20"/>
                <w:szCs w:val="20"/>
              </w:rPr>
              <w:t xml:space="preserve">Штраф за нарушение Заемщиком обязанностей, предусмотренных пунктами </w:t>
            </w:r>
            <w:r w:rsidRPr="00A445DF">
              <w:rPr>
                <w:rFonts w:ascii="Tahoma" w:hAnsi="Tahoma" w:cs="Tahoma"/>
                <w:sz w:val="20"/>
                <w:szCs w:val="20"/>
              </w:rPr>
              <w:t xml:space="preserve">24.1.6., 24.1.14 – 24.1.16, 24.1.20-24.1.26 </w:t>
            </w:r>
            <w:r>
              <w:rPr>
                <w:rFonts w:ascii="Tahoma" w:hAnsi="Tahoma" w:cs="Tahoma"/>
                <w:sz w:val="20"/>
                <w:szCs w:val="20"/>
              </w:rPr>
              <w:t>Кредитного д</w:t>
            </w:r>
            <w:r w:rsidRPr="00A445DF">
              <w:rPr>
                <w:rFonts w:ascii="Tahoma" w:hAnsi="Tahoma" w:cs="Tahoma"/>
                <w:sz w:val="20"/>
                <w:szCs w:val="20"/>
              </w:rPr>
              <w:t>оговора</w:t>
            </w:r>
            <w:r w:rsidRPr="00860EF1">
              <w:rPr>
                <w:rFonts w:ascii="Tahoma" w:hAnsi="Tahoma" w:cs="Tahoma"/>
                <w:sz w:val="20"/>
                <w:szCs w:val="20"/>
              </w:rPr>
              <w:t xml:space="preserve"> - 5000 рублей.</w:t>
            </w:r>
          </w:p>
        </w:tc>
      </w:tr>
      <w:tr w:rsidR="00267AB0" w:rsidRPr="00860EF1" w14:paraId="292F6F21" w14:textId="77777777" w:rsidTr="00AA653D">
        <w:tc>
          <w:tcPr>
            <w:tcW w:w="4361" w:type="dxa"/>
            <w:vAlign w:val="center"/>
          </w:tcPr>
          <w:p w14:paraId="42C76FFF" w14:textId="77777777" w:rsidR="00267AB0" w:rsidRPr="00860EF1" w:rsidRDefault="00267AB0" w:rsidP="00AA653D">
            <w:pPr>
              <w:rPr>
                <w:rFonts w:ascii="Tahoma" w:hAnsi="Tahoma" w:cs="Tahoma"/>
                <w:b/>
                <w:bCs/>
                <w:sz w:val="20"/>
                <w:szCs w:val="20"/>
              </w:rPr>
            </w:pPr>
            <w:r w:rsidRPr="00284784">
              <w:rPr>
                <w:rFonts w:ascii="Tahoma" w:hAnsi="Tahoma" w:cs="Tahoma"/>
                <w:b/>
                <w:color w:val="000000"/>
                <w:sz w:val="20"/>
                <w:szCs w:val="20"/>
              </w:rPr>
              <w:t xml:space="preserve">Ответственность </w:t>
            </w:r>
            <w:r>
              <w:rPr>
                <w:rFonts w:ascii="Tahoma" w:hAnsi="Tahoma" w:cs="Tahoma"/>
                <w:b/>
                <w:color w:val="000000"/>
                <w:sz w:val="20"/>
                <w:szCs w:val="20"/>
              </w:rPr>
              <w:t>Залогодателя</w:t>
            </w:r>
            <w:r w:rsidRPr="00284784">
              <w:rPr>
                <w:rFonts w:ascii="Tahoma" w:hAnsi="Tahoma" w:cs="Tahoma"/>
                <w:b/>
                <w:color w:val="000000"/>
                <w:sz w:val="20"/>
                <w:szCs w:val="20"/>
              </w:rPr>
              <w:t xml:space="preserve"> за ненадлежащее исполнение Договора</w:t>
            </w:r>
            <w:r>
              <w:rPr>
                <w:rFonts w:ascii="Tahoma" w:hAnsi="Tahoma" w:cs="Tahoma"/>
                <w:b/>
                <w:color w:val="000000"/>
                <w:sz w:val="20"/>
                <w:szCs w:val="20"/>
              </w:rPr>
              <w:t xml:space="preserve"> ипотеки</w:t>
            </w:r>
          </w:p>
        </w:tc>
        <w:tc>
          <w:tcPr>
            <w:tcW w:w="11414" w:type="dxa"/>
            <w:gridSpan w:val="9"/>
          </w:tcPr>
          <w:p w14:paraId="782068F1" w14:textId="77777777" w:rsidR="00267AB0" w:rsidRPr="00776BD7" w:rsidRDefault="00267AB0" w:rsidP="00AA653D">
            <w:pPr>
              <w:widowControl w:val="0"/>
              <w:tabs>
                <w:tab w:val="left" w:pos="426"/>
                <w:tab w:val="left" w:pos="851"/>
              </w:tabs>
              <w:jc w:val="both"/>
              <w:rPr>
                <w:rFonts w:ascii="Tahoma" w:hAnsi="Tahoma" w:cs="Tahoma"/>
                <w:i/>
                <w:sz w:val="20"/>
                <w:szCs w:val="20"/>
              </w:rPr>
            </w:pPr>
            <w:r w:rsidRPr="00776BD7">
              <w:rPr>
                <w:rFonts w:ascii="Tahoma" w:hAnsi="Tahoma" w:cs="Tahoma"/>
                <w:i/>
                <w:sz w:val="20"/>
                <w:szCs w:val="20"/>
              </w:rPr>
              <w:t>При предоставлении Кредита на счет Заемщика после государственной регистрации ипотеки в пользу Банка:</w:t>
            </w:r>
          </w:p>
          <w:p w14:paraId="0E66E78E" w14:textId="77777777" w:rsidR="00267AB0" w:rsidRPr="00776BD7" w:rsidRDefault="00267AB0" w:rsidP="00AA653D">
            <w:pPr>
              <w:widowControl w:val="0"/>
              <w:tabs>
                <w:tab w:val="left" w:pos="426"/>
                <w:tab w:val="left" w:pos="851"/>
              </w:tabs>
              <w:jc w:val="both"/>
              <w:rPr>
                <w:rFonts w:ascii="Tahoma" w:hAnsi="Tahoma" w:cs="Tahoma"/>
                <w:sz w:val="20"/>
                <w:szCs w:val="20"/>
              </w:rPr>
            </w:pPr>
            <w:r w:rsidRPr="00776BD7">
              <w:rPr>
                <w:rFonts w:ascii="Tahoma" w:hAnsi="Tahoma" w:cs="Tahoma"/>
                <w:sz w:val="20"/>
                <w:szCs w:val="20"/>
              </w:rPr>
              <w:t>В случае непредставления Залогодателем в течение 30 рабочих дней после подачи Договора ипотеки и иных документов для регистрации залога (ипотеки) в Банк документов, подтверждающих регистрацию залога (ипотеки) в пользу Банка, взимается неустойка в размере 0,3% от суммы Кредита за каждый календарный день непредставления Залогодателем подтверждающих регистрацию ипотеки документов.</w:t>
            </w:r>
          </w:p>
          <w:p w14:paraId="1CCDEBC2" w14:textId="77777777" w:rsidR="00267AB0" w:rsidRPr="00776BD7" w:rsidRDefault="00267AB0" w:rsidP="00AA653D">
            <w:pPr>
              <w:widowControl w:val="0"/>
              <w:tabs>
                <w:tab w:val="left" w:pos="426"/>
                <w:tab w:val="left" w:pos="851"/>
              </w:tabs>
              <w:jc w:val="both"/>
              <w:rPr>
                <w:rFonts w:ascii="Tahoma" w:hAnsi="Tahoma" w:cs="Tahoma"/>
                <w:i/>
                <w:sz w:val="20"/>
                <w:szCs w:val="20"/>
              </w:rPr>
            </w:pPr>
            <w:r w:rsidRPr="00776BD7">
              <w:rPr>
                <w:rFonts w:ascii="Tahoma" w:hAnsi="Tahoma" w:cs="Tahoma"/>
                <w:i/>
                <w:sz w:val="20"/>
                <w:szCs w:val="20"/>
              </w:rPr>
              <w:t>При предоставлении Кредита на счет Заемщика до момента государственной регистрации ипотеки в пользу Банка по факту предоставления расписки о принятии документов на регистрацию:</w:t>
            </w:r>
          </w:p>
          <w:p w14:paraId="22DA3BA8" w14:textId="77777777" w:rsidR="00267AB0" w:rsidRPr="00860EF1" w:rsidRDefault="00267AB0" w:rsidP="00AA653D">
            <w:pPr>
              <w:jc w:val="both"/>
              <w:rPr>
                <w:rFonts w:ascii="Tahoma" w:hAnsi="Tahoma" w:cs="Tahoma"/>
                <w:sz w:val="20"/>
                <w:szCs w:val="20"/>
              </w:rPr>
            </w:pPr>
            <w:r w:rsidRPr="00776BD7">
              <w:rPr>
                <w:rFonts w:ascii="Tahoma" w:hAnsi="Tahoma" w:cs="Tahoma"/>
                <w:sz w:val="20"/>
                <w:szCs w:val="20"/>
              </w:rPr>
              <w:t>В случае непредставления Залогодателем в течение 30 календарных дней с даты фактического предоставления Банком Заемщику Кредита по Кредитному договору в Банк оригиналов документов, подтверждающих регистрацию залога (ипотеки) в пользу Банка, взимается штраф в размере 0,07 % от остатка ссудной задолженности по Кредитному договору за каждый календарный день непредставления Залогодателем подтверждающих регистрацию ипотеки документов.</w:t>
            </w:r>
          </w:p>
        </w:tc>
      </w:tr>
      <w:tr w:rsidR="00267AB0" w:rsidRPr="0039278B" w14:paraId="2A298EB5" w14:textId="77777777" w:rsidTr="00AA653D">
        <w:tc>
          <w:tcPr>
            <w:tcW w:w="4361" w:type="dxa"/>
            <w:vAlign w:val="center"/>
          </w:tcPr>
          <w:p w14:paraId="1BC70953" w14:textId="77777777" w:rsidR="00267AB0" w:rsidRPr="0039278B" w:rsidRDefault="00267AB0" w:rsidP="00AA653D">
            <w:pPr>
              <w:rPr>
                <w:rFonts w:ascii="Tahoma" w:hAnsi="Tahoma" w:cs="Tahoma"/>
                <w:b/>
                <w:bCs/>
                <w:sz w:val="20"/>
                <w:szCs w:val="20"/>
              </w:rPr>
            </w:pPr>
            <w:r w:rsidRPr="0039278B">
              <w:rPr>
                <w:rFonts w:ascii="Tahoma" w:hAnsi="Tahoma" w:cs="Tahoma"/>
                <w:b/>
                <w:bCs/>
                <w:sz w:val="20"/>
                <w:szCs w:val="20"/>
              </w:rPr>
              <w:t>Уступка Банком третьим лицам прав (требований) по Договору</w:t>
            </w:r>
          </w:p>
        </w:tc>
        <w:tc>
          <w:tcPr>
            <w:tcW w:w="11414" w:type="dxa"/>
            <w:gridSpan w:val="9"/>
            <w:vAlign w:val="center"/>
          </w:tcPr>
          <w:p w14:paraId="3DBD81CE" w14:textId="77777777" w:rsidR="00267AB0" w:rsidRPr="0039278B" w:rsidRDefault="00267AB0" w:rsidP="00AA653D">
            <w:pPr>
              <w:widowControl w:val="0"/>
              <w:tabs>
                <w:tab w:val="left" w:pos="426"/>
                <w:tab w:val="left" w:pos="851"/>
              </w:tabs>
              <w:rPr>
                <w:rFonts w:ascii="Tahoma" w:hAnsi="Tahoma" w:cs="Tahoma"/>
                <w:color w:val="000000"/>
                <w:sz w:val="20"/>
                <w:szCs w:val="20"/>
              </w:rPr>
            </w:pPr>
            <w:r w:rsidRPr="0039278B">
              <w:rPr>
                <w:rFonts w:ascii="Tahoma" w:hAnsi="Tahoma" w:cs="Tahoma"/>
                <w:color w:val="000000"/>
                <w:sz w:val="20"/>
                <w:szCs w:val="20"/>
              </w:rPr>
              <w:t>Заемщик вправе запретить уступку Банком третьим лицам прав (требований) по Кредитному договору.</w:t>
            </w:r>
          </w:p>
        </w:tc>
      </w:tr>
      <w:tr w:rsidR="00267AB0" w:rsidRPr="00860EF1" w14:paraId="2331DE9F" w14:textId="77777777" w:rsidTr="00AA653D">
        <w:tc>
          <w:tcPr>
            <w:tcW w:w="4361" w:type="dxa"/>
            <w:vAlign w:val="center"/>
          </w:tcPr>
          <w:p w14:paraId="17548B8D" w14:textId="77777777" w:rsidR="00267AB0" w:rsidRPr="00860EF1" w:rsidRDefault="00267AB0" w:rsidP="00AA653D">
            <w:pPr>
              <w:rPr>
                <w:rFonts w:ascii="Tahoma" w:hAnsi="Tahoma" w:cs="Tahoma"/>
                <w:b/>
                <w:bCs/>
                <w:sz w:val="20"/>
                <w:szCs w:val="20"/>
              </w:rPr>
            </w:pPr>
            <w:r w:rsidRPr="00860EF1">
              <w:rPr>
                <w:rFonts w:ascii="Tahoma" w:hAnsi="Tahoma" w:cs="Tahoma"/>
                <w:b/>
                <w:bCs/>
                <w:sz w:val="20"/>
                <w:szCs w:val="20"/>
              </w:rPr>
              <w:lastRenderedPageBreak/>
              <w:t>Подсудность споров по искам Кредитора к Заемщику</w:t>
            </w:r>
          </w:p>
        </w:tc>
        <w:tc>
          <w:tcPr>
            <w:tcW w:w="11414" w:type="dxa"/>
            <w:gridSpan w:val="9"/>
            <w:vAlign w:val="center"/>
          </w:tcPr>
          <w:p w14:paraId="217A52E0" w14:textId="77777777" w:rsidR="00267AB0" w:rsidRPr="00860EF1" w:rsidRDefault="00267AB0" w:rsidP="00AA653D">
            <w:pPr>
              <w:widowControl w:val="0"/>
              <w:tabs>
                <w:tab w:val="left" w:pos="426"/>
                <w:tab w:val="left" w:pos="851"/>
              </w:tabs>
              <w:jc w:val="both"/>
              <w:rPr>
                <w:rFonts w:ascii="Tahoma" w:hAnsi="Tahoma" w:cs="Tahoma"/>
                <w:color w:val="000000"/>
                <w:sz w:val="20"/>
                <w:szCs w:val="20"/>
              </w:rPr>
            </w:pPr>
            <w:r w:rsidRPr="00860EF1">
              <w:rPr>
                <w:rFonts w:ascii="Tahoma" w:hAnsi="Tahoma" w:cs="Tahoma"/>
                <w:color w:val="000000"/>
                <w:sz w:val="20"/>
                <w:szCs w:val="20"/>
              </w:rPr>
              <w:t>Все споры по Договору по искам Банка к Заемщику рассматриваются в порядке, установленном законодательством РФ.</w:t>
            </w:r>
          </w:p>
          <w:p w14:paraId="6CCA2D1F" w14:textId="77777777" w:rsidR="00267AB0" w:rsidRPr="00860EF1" w:rsidRDefault="00267AB0" w:rsidP="00AA653D">
            <w:pPr>
              <w:widowControl w:val="0"/>
              <w:tabs>
                <w:tab w:val="left" w:pos="426"/>
                <w:tab w:val="left" w:pos="851"/>
              </w:tabs>
              <w:jc w:val="both"/>
              <w:rPr>
                <w:rFonts w:ascii="Tahoma" w:hAnsi="Tahoma" w:cs="Tahoma"/>
                <w:sz w:val="20"/>
                <w:szCs w:val="20"/>
              </w:rPr>
            </w:pPr>
            <w:r w:rsidRPr="00860EF1">
              <w:rPr>
                <w:rFonts w:ascii="Tahoma" w:hAnsi="Tahoma" w:cs="Tahoma"/>
                <w:color w:val="000000"/>
                <w:sz w:val="20"/>
                <w:szCs w:val="20"/>
              </w:rPr>
              <w:t>Взыскание задолженности по Договору может производиться по исполнительной надписи нотариуса, совершаемой на основании заявления Банка.</w:t>
            </w:r>
          </w:p>
        </w:tc>
      </w:tr>
      <w:tr w:rsidR="00267AB0" w:rsidRPr="00860EF1" w14:paraId="30E5688C" w14:textId="77777777" w:rsidTr="00AA653D">
        <w:tc>
          <w:tcPr>
            <w:tcW w:w="4361" w:type="dxa"/>
            <w:vAlign w:val="center"/>
          </w:tcPr>
          <w:p w14:paraId="4B364404" w14:textId="77777777" w:rsidR="00267AB0" w:rsidRPr="00860EF1" w:rsidRDefault="00267AB0" w:rsidP="00AA653D">
            <w:pPr>
              <w:rPr>
                <w:rFonts w:ascii="Tahoma" w:hAnsi="Tahoma" w:cs="Tahoma"/>
                <w:b/>
                <w:bCs/>
                <w:sz w:val="20"/>
                <w:szCs w:val="20"/>
              </w:rPr>
            </w:pPr>
            <w:r w:rsidRPr="00860EF1">
              <w:rPr>
                <w:rFonts w:ascii="Tahoma" w:hAnsi="Tahoma" w:cs="Tahoma"/>
                <w:b/>
                <w:bCs/>
                <w:sz w:val="20"/>
                <w:szCs w:val="20"/>
              </w:rPr>
              <w:t>Виды и суммы иных платежей Заемщика по Договору</w:t>
            </w:r>
          </w:p>
        </w:tc>
        <w:tc>
          <w:tcPr>
            <w:tcW w:w="11414" w:type="dxa"/>
            <w:gridSpan w:val="9"/>
            <w:vAlign w:val="center"/>
          </w:tcPr>
          <w:p w14:paraId="7BDC2783" w14:textId="77777777" w:rsidR="00267AB0" w:rsidRPr="00860EF1" w:rsidRDefault="00267AB0" w:rsidP="00AA653D">
            <w:pPr>
              <w:jc w:val="both"/>
              <w:rPr>
                <w:rFonts w:ascii="Tahoma" w:hAnsi="Tahoma" w:cs="Tahoma"/>
                <w:sz w:val="20"/>
                <w:szCs w:val="20"/>
              </w:rPr>
            </w:pPr>
            <w:r w:rsidRPr="00860EF1">
              <w:rPr>
                <w:rFonts w:ascii="Tahoma" w:hAnsi="Tahoma" w:cs="Tahoma"/>
                <w:sz w:val="20"/>
                <w:szCs w:val="20"/>
              </w:rPr>
              <w:t>При наличии соответствующего волеизъявления Заемщика ему могут быть оказаны Банком следующие услуги, не являющиеся обязательными для заключения или исполнения Договора:</w:t>
            </w:r>
          </w:p>
          <w:p w14:paraId="47E4D988" w14:textId="77777777" w:rsidR="00267AB0" w:rsidRPr="00860EF1" w:rsidRDefault="00267AB0" w:rsidP="00AA653D">
            <w:pPr>
              <w:widowControl w:val="0"/>
              <w:tabs>
                <w:tab w:val="left" w:pos="426"/>
                <w:tab w:val="left" w:pos="851"/>
              </w:tabs>
              <w:jc w:val="both"/>
              <w:rPr>
                <w:rFonts w:ascii="Tahoma" w:hAnsi="Tahoma" w:cs="Tahoma"/>
                <w:sz w:val="20"/>
                <w:szCs w:val="20"/>
              </w:rPr>
            </w:pPr>
            <w:r w:rsidRPr="00860EF1">
              <w:rPr>
                <w:rFonts w:ascii="Tahoma" w:hAnsi="Tahoma" w:cs="Tahoma"/>
                <w:sz w:val="20"/>
                <w:szCs w:val="20"/>
              </w:rPr>
              <w:t>Открытие аккредитива 0,1% от суммы аккредитива (макс. 10 000 рублей); прием, проверка документов и исполнение аккредитива 0,1% от суммы аккредитива (макс. 10 000 рублей); платеж за выдачу дубликата или восстановление утерянного Договора 10 000 рублей за один Договор; предлагаемый платеж за осуществление Банком мероприятий при составлении дополнительного соглашения к Договору по внесению изменений по инициативе Заемщика в условия Договора потребительского Кредита (уменьшение срока возврата Кредита, продление срока возврата Кредита (пролонгация) и</w:t>
            </w:r>
            <w:r>
              <w:rPr>
                <w:rFonts w:ascii="Tahoma" w:hAnsi="Tahoma" w:cs="Tahoma"/>
                <w:sz w:val="20"/>
                <w:szCs w:val="20"/>
              </w:rPr>
              <w:t xml:space="preserve"> </w:t>
            </w:r>
            <w:r w:rsidRPr="00860EF1">
              <w:rPr>
                <w:rFonts w:ascii="Tahoma" w:hAnsi="Tahoma" w:cs="Tahoma"/>
                <w:sz w:val="20"/>
                <w:szCs w:val="20"/>
              </w:rPr>
              <w:t>(или) отсрочка платежа по основному долгу в размере 1500 рублей (плата взимается за услугу вне зависимости от количества измененных параметров Договора одновременно), а при изменении даты погашения Кредита 500 рублей (плата взимается за услугу вне зависимости от количества измененных параметров Договора одновременно); Плата за предоставление справок, содержащих информацию о размере текущей задолженности Заемщика перед Банком по Договору, о датах и размерах произведенных и предстоящих платежей Заемщика по Договору, размерах предстоящих платежей Заемщика по Кредиту с переменной процентной ставкой, о произведенных платежах, иные сведения указанные в Договоре, в размере 500 рублей при запросе указанной информации более одного раза в месяц; предлагаемый платеж за осуществление Банком мероприятий по внесению по инициативе Заемщика изменений в условия Договора: изменение срока исполнения отлагательных условий при составлении дополнительного соглашения к Договору в размере 1000 рублей; предлагаемый платеж за осуществление комплекса необходимых мероприятий, направленных на изменение условий договоров обеспечения при наличии согласия «Азиатско-Тихоокеанский Банк» (АО) (замена залога, вывод имущества из-под залога, замена залогодателя, замена поручителя,  вывод поручителя) в размере 2360 рублей.</w:t>
            </w:r>
          </w:p>
          <w:p w14:paraId="317A0382" w14:textId="77777777" w:rsidR="00267AB0" w:rsidRPr="00860EF1" w:rsidRDefault="00267AB0" w:rsidP="00AA653D">
            <w:pPr>
              <w:widowControl w:val="0"/>
              <w:tabs>
                <w:tab w:val="left" w:pos="426"/>
                <w:tab w:val="left" w:pos="851"/>
              </w:tabs>
              <w:jc w:val="both"/>
              <w:rPr>
                <w:rFonts w:ascii="Tahoma" w:hAnsi="Tahoma" w:cs="Tahoma"/>
                <w:sz w:val="20"/>
                <w:szCs w:val="20"/>
              </w:rPr>
            </w:pPr>
            <w:r w:rsidRPr="00860EF1">
              <w:rPr>
                <w:rFonts w:ascii="Tahoma" w:hAnsi="Tahoma" w:cs="Tahoma"/>
                <w:sz w:val="20"/>
                <w:szCs w:val="20"/>
              </w:rPr>
              <w:t>Оказание услуги Банком производится в случае выражения Заемщиком волеизъявления на пользование определенной услугой. Оплата услуг должна быть произведена до момента оказания Банком услуг.</w:t>
            </w:r>
          </w:p>
        </w:tc>
      </w:tr>
      <w:tr w:rsidR="00267AB0" w:rsidRPr="000E49F4" w14:paraId="453A94FA" w14:textId="77777777" w:rsidTr="00AA653D">
        <w:trPr>
          <w:trHeight w:val="101"/>
        </w:trPr>
        <w:tc>
          <w:tcPr>
            <w:tcW w:w="4361" w:type="dxa"/>
            <w:vMerge w:val="restart"/>
            <w:vAlign w:val="center"/>
          </w:tcPr>
          <w:p w14:paraId="6BE87FEC" w14:textId="77777777" w:rsidR="00267AB0" w:rsidRPr="00610AD5" w:rsidRDefault="00267AB0" w:rsidP="00AA653D">
            <w:pPr>
              <w:widowControl w:val="0"/>
              <w:tabs>
                <w:tab w:val="left" w:pos="426"/>
                <w:tab w:val="left" w:pos="851"/>
              </w:tabs>
              <w:rPr>
                <w:rFonts w:ascii="Tahoma" w:hAnsi="Tahoma" w:cs="Tahoma"/>
                <w:b/>
                <w:bCs/>
                <w:sz w:val="20"/>
                <w:szCs w:val="20"/>
              </w:rPr>
            </w:pPr>
            <w:r w:rsidRPr="00D162C6">
              <w:rPr>
                <w:rFonts w:ascii="Tahoma" w:hAnsi="Tahoma" w:cs="Tahoma"/>
                <w:b/>
                <w:color w:val="000000"/>
                <w:sz w:val="20"/>
                <w:szCs w:val="20"/>
              </w:rPr>
              <w:t>Перевод денежных средств с ТБС, используемого для выдачи Кредита, в другую кредитную организацию**</w:t>
            </w:r>
          </w:p>
        </w:tc>
        <w:tc>
          <w:tcPr>
            <w:tcW w:w="9306" w:type="dxa"/>
            <w:gridSpan w:val="7"/>
            <w:vAlign w:val="center"/>
          </w:tcPr>
          <w:p w14:paraId="5180825C" w14:textId="77777777" w:rsidR="00267AB0" w:rsidRPr="000E49F4" w:rsidRDefault="00267AB0" w:rsidP="00AA653D">
            <w:pPr>
              <w:rPr>
                <w:rFonts w:ascii="Tahoma" w:hAnsi="Tahoma" w:cs="Tahoma"/>
                <w:sz w:val="20"/>
                <w:szCs w:val="20"/>
              </w:rPr>
            </w:pPr>
            <w:r w:rsidRPr="000E49F4">
              <w:rPr>
                <w:rFonts w:ascii="Tahoma" w:hAnsi="Tahoma" w:cs="Tahoma"/>
                <w:bCs/>
                <w:sz w:val="20"/>
                <w:szCs w:val="20"/>
              </w:rPr>
              <w:t>в пользу юридического лица в рамках целевого кредитования;</w:t>
            </w:r>
          </w:p>
        </w:tc>
        <w:tc>
          <w:tcPr>
            <w:tcW w:w="2108" w:type="dxa"/>
            <w:gridSpan w:val="2"/>
            <w:vMerge w:val="restart"/>
            <w:vAlign w:val="center"/>
          </w:tcPr>
          <w:p w14:paraId="4A15E68D" w14:textId="77777777" w:rsidR="00267AB0" w:rsidRPr="000E49F4" w:rsidRDefault="00267AB0" w:rsidP="00AA653D">
            <w:pPr>
              <w:widowControl w:val="0"/>
              <w:tabs>
                <w:tab w:val="left" w:pos="426"/>
                <w:tab w:val="left" w:pos="851"/>
              </w:tabs>
              <w:jc w:val="both"/>
              <w:rPr>
                <w:rFonts w:ascii="Tahoma" w:hAnsi="Tahoma" w:cs="Tahoma"/>
                <w:sz w:val="20"/>
                <w:szCs w:val="20"/>
              </w:rPr>
            </w:pPr>
            <w:r w:rsidRPr="000E49F4">
              <w:rPr>
                <w:rFonts w:ascii="Tahoma" w:hAnsi="Tahoma" w:cs="Tahoma"/>
                <w:sz w:val="20"/>
                <w:szCs w:val="20"/>
              </w:rPr>
              <w:t>Не применимо</w:t>
            </w:r>
          </w:p>
        </w:tc>
      </w:tr>
      <w:tr w:rsidR="00267AB0" w:rsidRPr="00B746D0" w14:paraId="7A296881" w14:textId="77777777" w:rsidTr="00AA653D">
        <w:trPr>
          <w:trHeight w:val="99"/>
        </w:trPr>
        <w:tc>
          <w:tcPr>
            <w:tcW w:w="4361" w:type="dxa"/>
            <w:vMerge/>
            <w:vAlign w:val="center"/>
          </w:tcPr>
          <w:p w14:paraId="737207EB" w14:textId="77777777" w:rsidR="00267AB0" w:rsidRPr="00B746D0" w:rsidRDefault="00267AB0" w:rsidP="00AA653D">
            <w:pPr>
              <w:rPr>
                <w:rFonts w:ascii="Tahoma" w:hAnsi="Tahoma" w:cs="Tahoma"/>
                <w:b/>
                <w:bCs/>
                <w:sz w:val="20"/>
                <w:szCs w:val="20"/>
              </w:rPr>
            </w:pPr>
          </w:p>
        </w:tc>
        <w:tc>
          <w:tcPr>
            <w:tcW w:w="9306" w:type="dxa"/>
            <w:gridSpan w:val="7"/>
            <w:vAlign w:val="center"/>
          </w:tcPr>
          <w:p w14:paraId="78A6BF0C" w14:textId="77777777" w:rsidR="00267AB0" w:rsidRPr="00B746D0" w:rsidRDefault="00267AB0" w:rsidP="00AA653D">
            <w:pPr>
              <w:widowControl w:val="0"/>
              <w:tabs>
                <w:tab w:val="left" w:pos="426"/>
                <w:tab w:val="left" w:pos="851"/>
              </w:tabs>
              <w:jc w:val="both"/>
              <w:rPr>
                <w:rFonts w:ascii="Tahoma" w:hAnsi="Tahoma" w:cs="Tahoma"/>
                <w:sz w:val="20"/>
                <w:szCs w:val="20"/>
              </w:rPr>
            </w:pPr>
            <w:r w:rsidRPr="000E49F4">
              <w:rPr>
                <w:rFonts w:ascii="Tahoma" w:hAnsi="Tahoma" w:cs="Tahoma"/>
                <w:bCs/>
                <w:sz w:val="20"/>
                <w:szCs w:val="20"/>
              </w:rPr>
              <w:t>в пользу физиче</w:t>
            </w:r>
            <w:r>
              <w:rPr>
                <w:rFonts w:ascii="Tahoma" w:hAnsi="Tahoma" w:cs="Tahoma"/>
                <w:bCs/>
                <w:sz w:val="20"/>
                <w:szCs w:val="20"/>
              </w:rPr>
              <w:t>ского лица для получения суммы К</w:t>
            </w:r>
            <w:r w:rsidRPr="000E49F4">
              <w:rPr>
                <w:rFonts w:ascii="Tahoma" w:hAnsi="Tahoma" w:cs="Tahoma"/>
                <w:bCs/>
                <w:sz w:val="20"/>
                <w:szCs w:val="20"/>
              </w:rPr>
              <w:t>редита в населенных пунктах, где отсутствуют подразделения «Азиатско-Тихоокеанский Банк» (АО).</w:t>
            </w:r>
          </w:p>
        </w:tc>
        <w:tc>
          <w:tcPr>
            <w:tcW w:w="2108" w:type="dxa"/>
            <w:gridSpan w:val="2"/>
            <w:vMerge/>
            <w:vAlign w:val="center"/>
          </w:tcPr>
          <w:p w14:paraId="2FFC3927" w14:textId="77777777" w:rsidR="00267AB0" w:rsidRPr="00B746D0" w:rsidRDefault="00267AB0" w:rsidP="00AA653D">
            <w:pPr>
              <w:widowControl w:val="0"/>
              <w:tabs>
                <w:tab w:val="left" w:pos="426"/>
                <w:tab w:val="left" w:pos="851"/>
              </w:tabs>
              <w:jc w:val="both"/>
              <w:rPr>
                <w:rFonts w:ascii="Tahoma" w:hAnsi="Tahoma" w:cs="Tahoma"/>
                <w:sz w:val="20"/>
                <w:szCs w:val="20"/>
              </w:rPr>
            </w:pPr>
          </w:p>
        </w:tc>
      </w:tr>
      <w:tr w:rsidR="00267AB0" w:rsidRPr="00B746D0" w14:paraId="5217D26F" w14:textId="77777777" w:rsidTr="00AA653D">
        <w:trPr>
          <w:trHeight w:val="99"/>
        </w:trPr>
        <w:tc>
          <w:tcPr>
            <w:tcW w:w="4361" w:type="dxa"/>
            <w:vMerge/>
            <w:vAlign w:val="center"/>
          </w:tcPr>
          <w:p w14:paraId="219B06D0" w14:textId="77777777" w:rsidR="00267AB0" w:rsidRPr="00B746D0" w:rsidRDefault="00267AB0" w:rsidP="00AA653D">
            <w:pPr>
              <w:rPr>
                <w:rFonts w:ascii="Tahoma" w:hAnsi="Tahoma" w:cs="Tahoma"/>
                <w:b/>
                <w:bCs/>
                <w:sz w:val="20"/>
                <w:szCs w:val="20"/>
              </w:rPr>
            </w:pPr>
          </w:p>
        </w:tc>
        <w:tc>
          <w:tcPr>
            <w:tcW w:w="11414" w:type="dxa"/>
            <w:gridSpan w:val="9"/>
            <w:vAlign w:val="center"/>
          </w:tcPr>
          <w:p w14:paraId="53612D68" w14:textId="77777777" w:rsidR="00267AB0" w:rsidRPr="00B746D0" w:rsidRDefault="00267AB0" w:rsidP="00AA653D">
            <w:pPr>
              <w:widowControl w:val="0"/>
              <w:tabs>
                <w:tab w:val="left" w:pos="426"/>
                <w:tab w:val="left" w:pos="851"/>
              </w:tabs>
              <w:jc w:val="both"/>
              <w:rPr>
                <w:rFonts w:ascii="Tahoma" w:hAnsi="Tahoma" w:cs="Tahoma"/>
                <w:sz w:val="20"/>
                <w:szCs w:val="20"/>
              </w:rPr>
            </w:pPr>
            <w:r w:rsidRPr="000E49F4">
              <w:rPr>
                <w:rFonts w:ascii="Tahoma" w:hAnsi="Tahoma" w:cs="Tahoma"/>
                <w:bCs/>
                <w:sz w:val="20"/>
                <w:szCs w:val="20"/>
              </w:rPr>
              <w:t>*</w:t>
            </w:r>
            <w:r>
              <w:rPr>
                <w:rFonts w:ascii="Tahoma" w:hAnsi="Tahoma" w:cs="Tahoma"/>
                <w:bCs/>
                <w:sz w:val="20"/>
                <w:szCs w:val="20"/>
              </w:rPr>
              <w:t>*</w:t>
            </w:r>
            <w:r w:rsidRPr="000E49F4">
              <w:rPr>
                <w:rFonts w:ascii="Tahoma" w:hAnsi="Tahoma" w:cs="Tahoma"/>
                <w:bCs/>
                <w:sz w:val="20"/>
                <w:szCs w:val="20"/>
              </w:rPr>
              <w:t xml:space="preserve"> в остальных случаях плата за перевод денежных средств взимается по </w:t>
            </w:r>
            <w:r>
              <w:rPr>
                <w:rFonts w:ascii="Tahoma" w:hAnsi="Tahoma" w:cs="Tahoma"/>
                <w:bCs/>
                <w:sz w:val="20"/>
                <w:szCs w:val="20"/>
              </w:rPr>
              <w:t>т</w:t>
            </w:r>
            <w:r w:rsidRPr="000E49F4">
              <w:rPr>
                <w:rFonts w:ascii="Tahoma" w:hAnsi="Tahoma" w:cs="Tahoma"/>
                <w:bCs/>
                <w:sz w:val="20"/>
                <w:szCs w:val="20"/>
              </w:rPr>
              <w:t>арифам, действующим в «Азиатско-Тихоокеанский Банк» (АО) на момент совершения операций.</w:t>
            </w:r>
          </w:p>
        </w:tc>
      </w:tr>
      <w:tr w:rsidR="00267AB0" w:rsidRPr="00B746D0" w14:paraId="047A6946" w14:textId="77777777" w:rsidTr="00AA653D">
        <w:tc>
          <w:tcPr>
            <w:tcW w:w="4361" w:type="dxa"/>
          </w:tcPr>
          <w:p w14:paraId="76F0DC7D" w14:textId="77777777" w:rsidR="00267AB0" w:rsidRPr="00B746D0" w:rsidRDefault="00267AB0" w:rsidP="00AA653D">
            <w:pPr>
              <w:rPr>
                <w:rFonts w:ascii="Tahoma" w:hAnsi="Tahoma" w:cs="Tahoma"/>
                <w:b/>
                <w:bCs/>
                <w:sz w:val="20"/>
                <w:szCs w:val="20"/>
              </w:rPr>
            </w:pPr>
            <w:r w:rsidRPr="00B746D0">
              <w:rPr>
                <w:rFonts w:ascii="Tahoma" w:hAnsi="Tahoma" w:cs="Tahoma"/>
                <w:b/>
                <w:bCs/>
                <w:sz w:val="20"/>
                <w:szCs w:val="20"/>
              </w:rPr>
              <w:t>Курс иностранной валюты в случае, если валюта, в которой осуществляется перевод денежных средств Банком третьему лицу, указанному Заемщиком при предоставлении Кредита, отличается от валюты, в которой предоставлен Кредит</w:t>
            </w:r>
          </w:p>
        </w:tc>
        <w:tc>
          <w:tcPr>
            <w:tcW w:w="11414" w:type="dxa"/>
            <w:gridSpan w:val="9"/>
            <w:vAlign w:val="center"/>
          </w:tcPr>
          <w:p w14:paraId="1147A465" w14:textId="77777777" w:rsidR="00267AB0" w:rsidRPr="00B746D0" w:rsidRDefault="00267AB0" w:rsidP="00AA653D">
            <w:pPr>
              <w:widowControl w:val="0"/>
              <w:tabs>
                <w:tab w:val="left" w:pos="426"/>
                <w:tab w:val="left" w:pos="851"/>
              </w:tabs>
              <w:jc w:val="both"/>
              <w:rPr>
                <w:rFonts w:ascii="Tahoma" w:hAnsi="Tahoma" w:cs="Tahoma"/>
                <w:sz w:val="20"/>
                <w:szCs w:val="20"/>
              </w:rPr>
            </w:pPr>
            <w:r w:rsidRPr="00B746D0">
              <w:rPr>
                <w:rFonts w:ascii="Tahoma" w:hAnsi="Tahoma" w:cs="Tahoma"/>
                <w:sz w:val="20"/>
                <w:szCs w:val="20"/>
              </w:rPr>
              <w:t>При переводе денежных средств Банком третьему лицу, указанному Заемщиком, конвертация валюты Кредита в валюту перевода осуществляется по курсу, установленному Банком на день выполнения операции.</w:t>
            </w:r>
          </w:p>
        </w:tc>
      </w:tr>
      <w:tr w:rsidR="00267AB0" w:rsidRPr="00B746D0" w14:paraId="6D602401" w14:textId="77777777" w:rsidTr="00AA653D">
        <w:tc>
          <w:tcPr>
            <w:tcW w:w="4361" w:type="dxa"/>
          </w:tcPr>
          <w:p w14:paraId="672546D8" w14:textId="77777777" w:rsidR="00267AB0" w:rsidRPr="00B746D0" w:rsidRDefault="00267AB0" w:rsidP="00AA653D">
            <w:pPr>
              <w:rPr>
                <w:rFonts w:ascii="Tahoma" w:hAnsi="Tahoma" w:cs="Tahoma"/>
                <w:b/>
                <w:bCs/>
                <w:sz w:val="20"/>
                <w:szCs w:val="20"/>
              </w:rPr>
            </w:pPr>
            <w:r w:rsidRPr="00B746D0">
              <w:rPr>
                <w:rFonts w:ascii="Tahoma" w:hAnsi="Tahoma" w:cs="Tahoma"/>
                <w:b/>
                <w:bCs/>
                <w:sz w:val="20"/>
                <w:szCs w:val="20"/>
              </w:rPr>
              <w:t xml:space="preserve">Информация о возможном увеличении суммы расходов Заемщика по сравнению с ожидаемой суммой </w:t>
            </w:r>
            <w:r w:rsidRPr="00B746D0">
              <w:rPr>
                <w:rFonts w:ascii="Tahoma" w:hAnsi="Tahoma" w:cs="Tahoma"/>
                <w:b/>
                <w:bCs/>
                <w:sz w:val="20"/>
                <w:szCs w:val="20"/>
              </w:rPr>
              <w:lastRenderedPageBreak/>
              <w:t>расходов в рублях, в том числе при применении переменной процентной ставки, а также информация о том, что изменение курса иностранной валюты в прошлом не свидетельствует об изменении ее курса в будущем (и информация о повышенных рисках Заемщика, получающего доходы в валюте, отличной от валюты Кредита)</w:t>
            </w:r>
          </w:p>
        </w:tc>
        <w:tc>
          <w:tcPr>
            <w:tcW w:w="11414" w:type="dxa"/>
            <w:gridSpan w:val="9"/>
          </w:tcPr>
          <w:p w14:paraId="1C1BB0F3" w14:textId="77777777" w:rsidR="00267AB0" w:rsidRPr="00B746D0" w:rsidRDefault="00267AB0" w:rsidP="00AA653D">
            <w:pPr>
              <w:rPr>
                <w:rFonts w:ascii="Tahoma" w:hAnsi="Tahoma" w:cs="Tahoma"/>
                <w:sz w:val="20"/>
                <w:szCs w:val="20"/>
              </w:rPr>
            </w:pPr>
            <w:r w:rsidRPr="00B746D0">
              <w:rPr>
                <w:rFonts w:ascii="Tahoma" w:hAnsi="Tahoma" w:cs="Tahoma"/>
                <w:sz w:val="20"/>
                <w:szCs w:val="20"/>
              </w:rPr>
              <w:lastRenderedPageBreak/>
              <w:t xml:space="preserve">Возможно увеличение суммы расходов Заемщика по сравнению с ожидаемой суммой расходов в рублях, в том числе при применении переменной процентной ставки. Изменение курса иностранной валюты в прошлом не свидетельствует </w:t>
            </w:r>
            <w:r w:rsidRPr="00B746D0">
              <w:rPr>
                <w:rFonts w:ascii="Tahoma" w:hAnsi="Tahoma" w:cs="Tahoma"/>
                <w:sz w:val="20"/>
                <w:szCs w:val="20"/>
              </w:rPr>
              <w:lastRenderedPageBreak/>
              <w:t>об изменении ее курса в будущем. Имеются повышенные риски Заемщика, получающего доходы в валюте, отличной от валюты Кредита.</w:t>
            </w:r>
          </w:p>
        </w:tc>
      </w:tr>
      <w:tr w:rsidR="00267AB0" w:rsidRPr="00860EF1" w14:paraId="05805C1A" w14:textId="77777777" w:rsidTr="00AA653D">
        <w:tc>
          <w:tcPr>
            <w:tcW w:w="4361" w:type="dxa"/>
            <w:vAlign w:val="center"/>
          </w:tcPr>
          <w:p w14:paraId="1C523061" w14:textId="77777777" w:rsidR="00267AB0" w:rsidRPr="00860EF1" w:rsidRDefault="00267AB0" w:rsidP="00AA653D">
            <w:pPr>
              <w:rPr>
                <w:rFonts w:ascii="Tahoma" w:hAnsi="Tahoma" w:cs="Tahoma"/>
                <w:b/>
                <w:bCs/>
                <w:sz w:val="20"/>
                <w:szCs w:val="20"/>
              </w:rPr>
            </w:pPr>
            <w:r w:rsidRPr="00860EF1">
              <w:rPr>
                <w:rFonts w:ascii="Tahoma" w:hAnsi="Tahoma" w:cs="Tahoma"/>
                <w:b/>
                <w:bCs/>
                <w:sz w:val="20"/>
                <w:szCs w:val="20"/>
              </w:rPr>
              <w:lastRenderedPageBreak/>
              <w:t>Формуляры или иные стандартные формы, в которых определены общие условия Кредитного договора</w:t>
            </w:r>
          </w:p>
        </w:tc>
        <w:tc>
          <w:tcPr>
            <w:tcW w:w="11414" w:type="dxa"/>
            <w:gridSpan w:val="9"/>
            <w:vAlign w:val="center"/>
          </w:tcPr>
          <w:p w14:paraId="1816B003" w14:textId="77777777" w:rsidR="00267AB0" w:rsidRDefault="00267AB0" w:rsidP="00AA653D">
            <w:pPr>
              <w:widowControl w:val="0"/>
              <w:tabs>
                <w:tab w:val="left" w:pos="426"/>
                <w:tab w:val="left" w:pos="851"/>
              </w:tabs>
              <w:jc w:val="both"/>
              <w:rPr>
                <w:rFonts w:ascii="Tahoma" w:hAnsi="Tahoma" w:cs="Tahoma"/>
                <w:sz w:val="20"/>
                <w:szCs w:val="20"/>
              </w:rPr>
            </w:pPr>
            <w:r w:rsidRPr="00860EF1">
              <w:rPr>
                <w:rFonts w:ascii="Tahoma" w:hAnsi="Tahoma" w:cs="Tahoma"/>
                <w:sz w:val="20"/>
                <w:szCs w:val="20"/>
              </w:rPr>
              <w:t>Кредитный договор. Общие условия Договора «потребительского Кредита» закреплены в «Общих условиях потребительского кредитования в «Азиатско-Тихоокеанский Банк» (АО), являющихся Приложением 3 к Универсальному договору банковского обслуживания в «Азиатско-Тихоокеанский Банк» (АО), размещённых в местах приема заявлений на предоставление потребительского Кредита (в отделениях Банка и иных местах приема заявлений на предоставление потребительского Кредита), на сайте Банка в сети Интернет по адресу www.atb.su и могут быть предоставлены Заемщику по его требованию на бумажном носителе.</w:t>
            </w:r>
          </w:p>
          <w:p w14:paraId="396B3476" w14:textId="77777777" w:rsidR="00267AB0" w:rsidRPr="00FF0CBA" w:rsidRDefault="00267AB0" w:rsidP="00AA653D">
            <w:pPr>
              <w:widowControl w:val="0"/>
              <w:tabs>
                <w:tab w:val="left" w:pos="426"/>
                <w:tab w:val="left" w:pos="851"/>
              </w:tabs>
              <w:jc w:val="both"/>
              <w:rPr>
                <w:rFonts w:ascii="Tahoma" w:hAnsi="Tahoma" w:cs="Tahoma"/>
                <w:sz w:val="20"/>
                <w:szCs w:val="20"/>
              </w:rPr>
            </w:pPr>
            <w:r w:rsidRPr="00FF0CBA">
              <w:rPr>
                <w:rFonts w:ascii="Tahoma" w:hAnsi="Tahoma" w:cs="Tahoma"/>
                <w:sz w:val="20"/>
                <w:szCs w:val="20"/>
              </w:rPr>
              <w:t>Предусматривается обязательное использование цифрового сервиса ПО «СБИС» - система электронного документооборота «СБИС»</w:t>
            </w:r>
          </w:p>
          <w:p w14:paraId="60C876BF" w14:textId="77777777" w:rsidR="00267AB0" w:rsidRPr="00860EF1" w:rsidRDefault="00267AB0" w:rsidP="00AA653D">
            <w:pPr>
              <w:widowControl w:val="0"/>
              <w:tabs>
                <w:tab w:val="left" w:pos="426"/>
                <w:tab w:val="left" w:pos="851"/>
              </w:tabs>
              <w:jc w:val="both"/>
              <w:rPr>
                <w:rFonts w:ascii="Tahoma" w:hAnsi="Tahoma" w:cs="Tahoma"/>
                <w:sz w:val="20"/>
                <w:szCs w:val="20"/>
              </w:rPr>
            </w:pPr>
            <w:r w:rsidRPr="00FF0CBA">
              <w:rPr>
                <w:rFonts w:ascii="Tahoma" w:hAnsi="Tahoma" w:cs="Tahoma"/>
                <w:sz w:val="20"/>
                <w:szCs w:val="20"/>
              </w:rPr>
              <w:t>Решением уполномоченного органа принятия решений Банка возможно согласование неиспользования указанного сервиса при условии наличия аргументированного обоснования.</w:t>
            </w:r>
          </w:p>
        </w:tc>
      </w:tr>
      <w:tr w:rsidR="00267AB0" w:rsidRPr="00860EF1" w14:paraId="629E3B77" w14:textId="77777777" w:rsidTr="00AA653D">
        <w:tc>
          <w:tcPr>
            <w:tcW w:w="4361" w:type="dxa"/>
            <w:vAlign w:val="center"/>
          </w:tcPr>
          <w:p w14:paraId="2859F556" w14:textId="77777777" w:rsidR="00267AB0" w:rsidRPr="00860EF1" w:rsidRDefault="00267AB0" w:rsidP="00AA653D">
            <w:pPr>
              <w:rPr>
                <w:rFonts w:ascii="Tahoma" w:hAnsi="Tahoma" w:cs="Tahoma"/>
                <w:b/>
                <w:bCs/>
                <w:sz w:val="20"/>
                <w:szCs w:val="20"/>
              </w:rPr>
            </w:pPr>
            <w:r w:rsidRPr="00860EF1">
              <w:rPr>
                <w:rFonts w:ascii="Tahoma" w:hAnsi="Tahoma" w:cs="Tahoma"/>
                <w:b/>
                <w:sz w:val="20"/>
                <w:szCs w:val="20"/>
              </w:rPr>
              <w:t>Требования к Предмету ипотеки</w:t>
            </w:r>
          </w:p>
        </w:tc>
        <w:tc>
          <w:tcPr>
            <w:tcW w:w="11414" w:type="dxa"/>
            <w:gridSpan w:val="9"/>
            <w:vAlign w:val="center"/>
          </w:tcPr>
          <w:p w14:paraId="1E25BE4F" w14:textId="77777777" w:rsidR="00267AB0" w:rsidRPr="00860EF1" w:rsidRDefault="00267AB0" w:rsidP="00AA653D">
            <w:pPr>
              <w:tabs>
                <w:tab w:val="left" w:pos="851"/>
              </w:tabs>
              <w:contextualSpacing/>
              <w:jc w:val="both"/>
              <w:rPr>
                <w:rFonts w:ascii="Tahoma" w:hAnsi="Tahoma" w:cs="Tahoma"/>
                <w:sz w:val="20"/>
                <w:szCs w:val="20"/>
              </w:rPr>
            </w:pPr>
            <w:r w:rsidRPr="00860EF1">
              <w:rPr>
                <w:rFonts w:ascii="Tahoma" w:hAnsi="Tahoma" w:cs="Tahoma"/>
                <w:sz w:val="20"/>
                <w:szCs w:val="20"/>
              </w:rPr>
              <w:t>Предметом залога может выступать Недвижимое имущество, а именно:</w:t>
            </w:r>
          </w:p>
          <w:p w14:paraId="29029CEA" w14:textId="77777777" w:rsidR="00267AB0" w:rsidRPr="00860EF1" w:rsidRDefault="00267AB0" w:rsidP="00AA653D">
            <w:pPr>
              <w:tabs>
                <w:tab w:val="left" w:pos="315"/>
              </w:tabs>
              <w:contextualSpacing/>
              <w:jc w:val="both"/>
              <w:rPr>
                <w:rFonts w:ascii="Tahoma" w:hAnsi="Tahoma" w:cs="Tahoma"/>
                <w:sz w:val="20"/>
                <w:szCs w:val="20"/>
              </w:rPr>
            </w:pPr>
            <w:r w:rsidRPr="00860EF1">
              <w:rPr>
                <w:rFonts w:ascii="Tahoma" w:hAnsi="Tahoma" w:cs="Tahoma"/>
                <w:sz w:val="20"/>
                <w:szCs w:val="20"/>
              </w:rPr>
              <w:t>•</w:t>
            </w:r>
            <w:r w:rsidRPr="00860EF1">
              <w:rPr>
                <w:rFonts w:ascii="Tahoma" w:hAnsi="Tahoma" w:cs="Tahoma"/>
                <w:sz w:val="20"/>
                <w:szCs w:val="20"/>
              </w:rPr>
              <w:tab/>
              <w:t>жилой дом/ нежилое здание с земельным участком, на котором расположен такой жилой дом/ нежилое здание.</w:t>
            </w:r>
          </w:p>
          <w:p w14:paraId="644A8A08" w14:textId="77777777" w:rsidR="00267AB0" w:rsidRPr="00860EF1" w:rsidRDefault="00267AB0" w:rsidP="00AA653D">
            <w:pPr>
              <w:tabs>
                <w:tab w:val="left" w:pos="851"/>
              </w:tabs>
              <w:contextualSpacing/>
              <w:jc w:val="both"/>
              <w:rPr>
                <w:rFonts w:ascii="Tahoma" w:hAnsi="Tahoma" w:cs="Tahoma"/>
                <w:sz w:val="20"/>
                <w:szCs w:val="20"/>
              </w:rPr>
            </w:pPr>
            <w:r w:rsidRPr="00860EF1">
              <w:rPr>
                <w:rFonts w:ascii="Tahoma" w:hAnsi="Tahoma" w:cs="Tahoma"/>
                <w:sz w:val="20"/>
                <w:szCs w:val="20"/>
              </w:rPr>
              <w:t>Земельный участок должен:</w:t>
            </w:r>
          </w:p>
          <w:p w14:paraId="1A9E4A9F" w14:textId="77777777" w:rsidR="00267AB0" w:rsidRPr="00860EF1" w:rsidRDefault="00267AB0" w:rsidP="00AA653D">
            <w:pPr>
              <w:tabs>
                <w:tab w:val="left" w:pos="174"/>
              </w:tabs>
              <w:contextualSpacing/>
              <w:jc w:val="both"/>
              <w:rPr>
                <w:rFonts w:ascii="Tahoma" w:hAnsi="Tahoma" w:cs="Tahoma"/>
                <w:sz w:val="20"/>
                <w:szCs w:val="20"/>
              </w:rPr>
            </w:pPr>
            <w:r w:rsidRPr="00860EF1">
              <w:rPr>
                <w:rFonts w:ascii="Tahoma" w:hAnsi="Tahoma" w:cs="Tahoma"/>
                <w:sz w:val="20"/>
                <w:szCs w:val="20"/>
              </w:rPr>
              <w:t></w:t>
            </w:r>
            <w:r w:rsidRPr="00860EF1">
              <w:rPr>
                <w:rFonts w:ascii="Tahoma" w:hAnsi="Tahoma" w:cs="Tahoma"/>
                <w:sz w:val="20"/>
                <w:szCs w:val="20"/>
              </w:rPr>
              <w:tab/>
              <w:t>принадлежать на праве собственности Залогодателю;</w:t>
            </w:r>
          </w:p>
          <w:p w14:paraId="45A176F3" w14:textId="77777777" w:rsidR="00267AB0" w:rsidRPr="00860EF1" w:rsidRDefault="00267AB0" w:rsidP="00AA653D">
            <w:pPr>
              <w:tabs>
                <w:tab w:val="left" w:pos="174"/>
              </w:tabs>
              <w:contextualSpacing/>
              <w:jc w:val="both"/>
              <w:rPr>
                <w:rFonts w:ascii="Tahoma" w:hAnsi="Tahoma" w:cs="Tahoma"/>
                <w:sz w:val="20"/>
                <w:szCs w:val="20"/>
              </w:rPr>
            </w:pPr>
            <w:r w:rsidRPr="00860EF1">
              <w:rPr>
                <w:rFonts w:ascii="Tahoma" w:hAnsi="Tahoma" w:cs="Tahoma"/>
                <w:sz w:val="20"/>
                <w:szCs w:val="20"/>
              </w:rPr>
              <w:t></w:t>
            </w:r>
            <w:r w:rsidRPr="00860EF1">
              <w:rPr>
                <w:rFonts w:ascii="Tahoma" w:hAnsi="Tahoma" w:cs="Tahoma"/>
                <w:sz w:val="20"/>
                <w:szCs w:val="20"/>
              </w:rPr>
              <w:tab/>
              <w:t>относиться к категории земель населенных пунктов (не включая земли сельскохозяйственного назначения);</w:t>
            </w:r>
          </w:p>
          <w:p w14:paraId="5E5D232A" w14:textId="77777777" w:rsidR="00267AB0" w:rsidRPr="00860EF1" w:rsidRDefault="00267AB0" w:rsidP="00AA653D">
            <w:pPr>
              <w:tabs>
                <w:tab w:val="left" w:pos="174"/>
              </w:tabs>
              <w:contextualSpacing/>
              <w:jc w:val="both"/>
              <w:rPr>
                <w:rFonts w:ascii="Tahoma" w:hAnsi="Tahoma" w:cs="Tahoma"/>
                <w:sz w:val="20"/>
                <w:szCs w:val="20"/>
              </w:rPr>
            </w:pPr>
            <w:r w:rsidRPr="00860EF1">
              <w:rPr>
                <w:rFonts w:ascii="Tahoma" w:hAnsi="Tahoma" w:cs="Tahoma"/>
                <w:sz w:val="20"/>
                <w:szCs w:val="20"/>
              </w:rPr>
              <w:t></w:t>
            </w:r>
            <w:r w:rsidRPr="00860EF1">
              <w:rPr>
                <w:rFonts w:ascii="Tahoma" w:hAnsi="Tahoma" w:cs="Tahoma"/>
                <w:sz w:val="20"/>
                <w:szCs w:val="20"/>
              </w:rPr>
              <w:tab/>
              <w:t>иметь границы (описание местоположения границ, координаты характерных точек границ), установленные в соответствии с требованиями земельного законодательства;</w:t>
            </w:r>
          </w:p>
          <w:p w14:paraId="361AE8C3" w14:textId="77777777" w:rsidR="00267AB0" w:rsidRPr="00860EF1" w:rsidRDefault="00267AB0" w:rsidP="00AA653D">
            <w:pPr>
              <w:tabs>
                <w:tab w:val="left" w:pos="315"/>
              </w:tabs>
              <w:contextualSpacing/>
              <w:jc w:val="both"/>
              <w:rPr>
                <w:rFonts w:ascii="Tahoma" w:hAnsi="Tahoma" w:cs="Tahoma"/>
                <w:sz w:val="20"/>
                <w:szCs w:val="20"/>
              </w:rPr>
            </w:pPr>
            <w:r w:rsidRPr="00860EF1">
              <w:rPr>
                <w:rFonts w:ascii="Tahoma" w:hAnsi="Tahoma" w:cs="Tahoma"/>
                <w:sz w:val="20"/>
                <w:szCs w:val="20"/>
              </w:rPr>
              <w:t>•</w:t>
            </w:r>
            <w:r w:rsidRPr="00860EF1">
              <w:rPr>
                <w:rFonts w:ascii="Tahoma" w:hAnsi="Tahoma" w:cs="Tahoma"/>
                <w:sz w:val="20"/>
                <w:szCs w:val="20"/>
              </w:rPr>
              <w:tab/>
              <w:t>квартира;</w:t>
            </w:r>
          </w:p>
          <w:p w14:paraId="416046E6" w14:textId="77777777" w:rsidR="00267AB0" w:rsidRPr="00860EF1" w:rsidRDefault="00267AB0" w:rsidP="00AA653D">
            <w:pPr>
              <w:tabs>
                <w:tab w:val="left" w:pos="315"/>
              </w:tabs>
              <w:contextualSpacing/>
              <w:jc w:val="both"/>
              <w:rPr>
                <w:rFonts w:ascii="Tahoma" w:hAnsi="Tahoma" w:cs="Tahoma"/>
                <w:sz w:val="20"/>
                <w:szCs w:val="20"/>
              </w:rPr>
            </w:pPr>
            <w:r w:rsidRPr="00860EF1">
              <w:rPr>
                <w:rFonts w:ascii="Tahoma" w:hAnsi="Tahoma" w:cs="Tahoma"/>
                <w:sz w:val="20"/>
                <w:szCs w:val="20"/>
              </w:rPr>
              <w:t>•</w:t>
            </w:r>
            <w:r w:rsidRPr="00860EF1">
              <w:rPr>
                <w:rFonts w:ascii="Tahoma" w:hAnsi="Tahoma" w:cs="Tahoma"/>
                <w:sz w:val="20"/>
                <w:szCs w:val="20"/>
              </w:rPr>
              <w:tab/>
              <w:t>квартиры гостиничного типа;</w:t>
            </w:r>
          </w:p>
          <w:p w14:paraId="258CB907" w14:textId="77777777" w:rsidR="00267AB0" w:rsidRPr="00860EF1" w:rsidRDefault="00267AB0" w:rsidP="00AA653D">
            <w:pPr>
              <w:tabs>
                <w:tab w:val="left" w:pos="315"/>
              </w:tabs>
              <w:contextualSpacing/>
              <w:jc w:val="both"/>
              <w:rPr>
                <w:rFonts w:ascii="Tahoma" w:hAnsi="Tahoma" w:cs="Tahoma"/>
                <w:sz w:val="20"/>
                <w:szCs w:val="20"/>
              </w:rPr>
            </w:pPr>
            <w:r w:rsidRPr="00860EF1">
              <w:rPr>
                <w:rFonts w:ascii="Tahoma" w:hAnsi="Tahoma" w:cs="Tahoma"/>
                <w:sz w:val="20"/>
                <w:szCs w:val="20"/>
              </w:rPr>
              <w:t>•</w:t>
            </w:r>
            <w:r w:rsidRPr="00860EF1">
              <w:rPr>
                <w:rFonts w:ascii="Tahoma" w:hAnsi="Tahoma" w:cs="Tahoma"/>
                <w:sz w:val="20"/>
                <w:szCs w:val="20"/>
              </w:rPr>
              <w:tab/>
              <w:t>помещения и т.п.;</w:t>
            </w:r>
          </w:p>
          <w:p w14:paraId="22A3025C" w14:textId="77777777" w:rsidR="00267AB0" w:rsidRPr="00860EF1" w:rsidRDefault="00267AB0" w:rsidP="00AA653D">
            <w:pPr>
              <w:tabs>
                <w:tab w:val="left" w:pos="851"/>
              </w:tabs>
              <w:contextualSpacing/>
              <w:jc w:val="both"/>
              <w:rPr>
                <w:rFonts w:ascii="Tahoma" w:hAnsi="Tahoma" w:cs="Tahoma"/>
                <w:sz w:val="20"/>
                <w:szCs w:val="20"/>
              </w:rPr>
            </w:pPr>
            <w:r w:rsidRPr="00860EF1">
              <w:rPr>
                <w:rFonts w:ascii="Tahoma" w:hAnsi="Tahoma" w:cs="Tahoma"/>
                <w:sz w:val="20"/>
                <w:szCs w:val="20"/>
              </w:rPr>
              <w:t>Комнаты в коммунальной квартире не могут являться Предметом залога.</w:t>
            </w:r>
          </w:p>
        </w:tc>
      </w:tr>
      <w:tr w:rsidR="00267AB0" w:rsidRPr="00860EF1" w14:paraId="2EE91A9D" w14:textId="77777777" w:rsidTr="00AA653D">
        <w:tc>
          <w:tcPr>
            <w:tcW w:w="4361" w:type="dxa"/>
          </w:tcPr>
          <w:p w14:paraId="6B5C3F56" w14:textId="77777777" w:rsidR="00267AB0" w:rsidRPr="00860EF1" w:rsidRDefault="00267AB0" w:rsidP="00AA653D">
            <w:pPr>
              <w:rPr>
                <w:rFonts w:ascii="Tahoma" w:hAnsi="Tahoma" w:cs="Tahoma"/>
                <w:b/>
                <w:bCs/>
                <w:sz w:val="20"/>
                <w:szCs w:val="20"/>
              </w:rPr>
            </w:pPr>
            <w:r w:rsidRPr="00860EF1">
              <w:rPr>
                <w:rFonts w:ascii="Tahoma" w:hAnsi="Tahoma" w:cs="Tahoma"/>
                <w:b/>
                <w:bCs/>
                <w:sz w:val="20"/>
                <w:szCs w:val="20"/>
              </w:rPr>
              <w:t xml:space="preserve">Порядок подтверждения целевого использования Кредита </w:t>
            </w:r>
          </w:p>
        </w:tc>
        <w:tc>
          <w:tcPr>
            <w:tcW w:w="11414" w:type="dxa"/>
            <w:gridSpan w:val="9"/>
          </w:tcPr>
          <w:p w14:paraId="4CF6B0CA" w14:textId="77777777" w:rsidR="00267AB0" w:rsidRPr="00860EF1" w:rsidRDefault="00267AB0" w:rsidP="00AA653D">
            <w:pPr>
              <w:jc w:val="both"/>
              <w:rPr>
                <w:rFonts w:ascii="Tahoma" w:hAnsi="Tahoma" w:cs="Tahoma"/>
                <w:sz w:val="20"/>
                <w:szCs w:val="20"/>
              </w:rPr>
            </w:pPr>
            <w:r w:rsidRPr="00860EF1">
              <w:rPr>
                <w:rFonts w:ascii="Tahoma" w:hAnsi="Tahoma" w:cs="Tahoma"/>
                <w:sz w:val="20"/>
                <w:szCs w:val="20"/>
              </w:rPr>
              <w:t>Банк осуществляет проверку целевого использования Кредита путем получения от Заемщика документов, подтверждающих право собственности Заемщика на приобретенный им с использованием кредитных средств объект недвижимости (при целевом кредитовании).</w:t>
            </w:r>
          </w:p>
        </w:tc>
      </w:tr>
      <w:tr w:rsidR="00267AB0" w:rsidRPr="00860EF1" w14:paraId="01E9AE8A" w14:textId="77777777" w:rsidTr="00AA653D">
        <w:tc>
          <w:tcPr>
            <w:tcW w:w="4361" w:type="dxa"/>
            <w:vAlign w:val="center"/>
          </w:tcPr>
          <w:p w14:paraId="3FAEBBB9" w14:textId="77777777" w:rsidR="00267AB0" w:rsidRPr="00860EF1" w:rsidRDefault="00267AB0" w:rsidP="00AA653D">
            <w:pPr>
              <w:rPr>
                <w:rFonts w:ascii="Tahoma" w:hAnsi="Tahoma" w:cs="Tahoma"/>
                <w:b/>
                <w:bCs/>
                <w:sz w:val="20"/>
                <w:szCs w:val="20"/>
              </w:rPr>
            </w:pPr>
            <w:r w:rsidRPr="00860EF1">
              <w:rPr>
                <w:rFonts w:ascii="Tahoma" w:hAnsi="Tahoma" w:cs="Tahoma"/>
                <w:b/>
                <w:bCs/>
                <w:sz w:val="20"/>
                <w:szCs w:val="20"/>
              </w:rPr>
              <w:t>Порядок предоставления Заемщиком информации об использовании ипотечного Кредита</w:t>
            </w:r>
          </w:p>
        </w:tc>
        <w:tc>
          <w:tcPr>
            <w:tcW w:w="11414" w:type="dxa"/>
            <w:gridSpan w:val="9"/>
            <w:vAlign w:val="center"/>
          </w:tcPr>
          <w:p w14:paraId="2D647503" w14:textId="77777777" w:rsidR="00267AB0" w:rsidRPr="00860EF1" w:rsidRDefault="00267AB0" w:rsidP="00AA653D">
            <w:pPr>
              <w:widowControl w:val="0"/>
              <w:tabs>
                <w:tab w:val="left" w:pos="426"/>
                <w:tab w:val="left" w:pos="851"/>
              </w:tabs>
              <w:jc w:val="both"/>
              <w:rPr>
                <w:rFonts w:ascii="Tahoma" w:hAnsi="Tahoma" w:cs="Tahoma"/>
                <w:color w:val="000000"/>
                <w:sz w:val="20"/>
                <w:szCs w:val="20"/>
              </w:rPr>
            </w:pPr>
            <w:r w:rsidRPr="00860EF1">
              <w:rPr>
                <w:rFonts w:ascii="Tahoma" w:hAnsi="Tahoma" w:cs="Tahoma"/>
                <w:color w:val="000000"/>
                <w:sz w:val="20"/>
                <w:szCs w:val="20"/>
              </w:rPr>
              <w:t xml:space="preserve">Заемщик обязан в сроки, установленные Кредитным договором, предоставить в Банк документы, подтверждающие целевое использование Кредита. </w:t>
            </w:r>
          </w:p>
        </w:tc>
      </w:tr>
      <w:tr w:rsidR="00267AB0" w:rsidRPr="000533B5" w14:paraId="518BB194" w14:textId="77777777" w:rsidTr="00AA653D">
        <w:tc>
          <w:tcPr>
            <w:tcW w:w="4361" w:type="dxa"/>
            <w:vAlign w:val="center"/>
          </w:tcPr>
          <w:p w14:paraId="7CD98B51" w14:textId="77777777" w:rsidR="00267AB0" w:rsidRPr="00860EF1" w:rsidRDefault="00267AB0" w:rsidP="00AA653D">
            <w:pPr>
              <w:rPr>
                <w:rFonts w:ascii="Tahoma" w:hAnsi="Tahoma" w:cs="Tahoma"/>
                <w:b/>
                <w:bCs/>
                <w:sz w:val="20"/>
                <w:szCs w:val="20"/>
              </w:rPr>
            </w:pPr>
            <w:r w:rsidRPr="00860EF1">
              <w:rPr>
                <w:rFonts w:ascii="Tahoma" w:hAnsi="Tahoma" w:cs="Tahoma"/>
                <w:b/>
                <w:bCs/>
                <w:sz w:val="20"/>
                <w:szCs w:val="20"/>
              </w:rPr>
              <w:t>Примечания:</w:t>
            </w:r>
          </w:p>
        </w:tc>
        <w:tc>
          <w:tcPr>
            <w:tcW w:w="11414" w:type="dxa"/>
            <w:gridSpan w:val="9"/>
            <w:vAlign w:val="center"/>
          </w:tcPr>
          <w:p w14:paraId="40C2A28E" w14:textId="77777777" w:rsidR="00267AB0" w:rsidRPr="000533B5" w:rsidRDefault="00267AB0" w:rsidP="00AA653D">
            <w:pPr>
              <w:widowControl w:val="0"/>
              <w:jc w:val="both"/>
              <w:rPr>
                <w:rFonts w:ascii="Tahoma" w:hAnsi="Tahoma" w:cs="Tahoma"/>
                <w:snapToGrid w:val="0"/>
                <w:sz w:val="20"/>
                <w:szCs w:val="20"/>
              </w:rPr>
            </w:pPr>
            <w:r w:rsidRPr="000533B5">
              <w:rPr>
                <w:rFonts w:ascii="Tahoma" w:hAnsi="Tahoma" w:cs="Tahoma"/>
                <w:snapToGrid w:val="0"/>
                <w:sz w:val="20"/>
                <w:szCs w:val="20"/>
                <w:vertAlign w:val="superscript"/>
              </w:rPr>
              <w:t xml:space="preserve">1 </w:t>
            </w:r>
            <w:r w:rsidRPr="000533B5">
              <w:rPr>
                <w:rFonts w:ascii="Tahoma" w:hAnsi="Tahoma" w:cs="Tahoma"/>
                <w:snapToGrid w:val="0"/>
                <w:sz w:val="20"/>
                <w:szCs w:val="20"/>
              </w:rPr>
              <w:t>При предоставлении в залог жилой недвижимости должно выполняться следующее условие:</w:t>
            </w:r>
          </w:p>
          <w:p w14:paraId="05E3035F" w14:textId="77777777" w:rsidR="00267AB0" w:rsidRPr="000533B5" w:rsidRDefault="00267AB0" w:rsidP="00AA653D">
            <w:pPr>
              <w:widowControl w:val="0"/>
              <w:jc w:val="both"/>
              <w:rPr>
                <w:rFonts w:ascii="Tahoma" w:hAnsi="Tahoma" w:cs="Tahoma"/>
                <w:snapToGrid w:val="0"/>
                <w:sz w:val="20"/>
                <w:szCs w:val="20"/>
              </w:rPr>
            </w:pPr>
            <w:r w:rsidRPr="000533B5">
              <w:rPr>
                <w:rFonts w:ascii="Tahoma" w:hAnsi="Tahoma" w:cs="Tahoma"/>
                <w:snapToGrid w:val="0"/>
                <w:sz w:val="20"/>
                <w:szCs w:val="20"/>
              </w:rPr>
              <w:t>В залог принимается два объекта жилой недвижимости от одного Залогодателя – физического лица, при этом залоговой стоимости каждого из объектов недвижимости должно быть достаточно для покрытия всей суммы Кредита.</w:t>
            </w:r>
          </w:p>
          <w:p w14:paraId="7105088F" w14:textId="77777777" w:rsidR="00267AB0" w:rsidRPr="000533B5" w:rsidRDefault="00267AB0" w:rsidP="00AA653D">
            <w:pPr>
              <w:widowControl w:val="0"/>
              <w:jc w:val="both"/>
              <w:rPr>
                <w:rFonts w:ascii="Tahoma" w:hAnsi="Tahoma" w:cs="Tahoma"/>
                <w:snapToGrid w:val="0"/>
                <w:sz w:val="20"/>
                <w:szCs w:val="20"/>
              </w:rPr>
            </w:pPr>
            <w:r w:rsidRPr="000533B5">
              <w:rPr>
                <w:rFonts w:ascii="Tahoma" w:hAnsi="Tahoma" w:cs="Tahoma"/>
                <w:sz w:val="20"/>
                <w:szCs w:val="20"/>
              </w:rPr>
              <w:t xml:space="preserve">Установление иных требований в отношении залогового обеспечения и/или Залогодателя, не предусмотренных настоящим разделом «Информации об условиях предоставления, использования и возврата потребительского Кредита </w:t>
            </w:r>
            <w:r w:rsidRPr="000533B5">
              <w:rPr>
                <w:rFonts w:ascii="Tahoma" w:hAnsi="Tahoma" w:cs="Tahoma"/>
                <w:sz w:val="20"/>
                <w:szCs w:val="20"/>
              </w:rPr>
              <w:lastRenderedPageBreak/>
              <w:t>по тарифному плану «Бизнес Ипотека»», осуществляется в соответствии с решением уполномоченного органа принятия решений Банка.</w:t>
            </w:r>
          </w:p>
          <w:p w14:paraId="692646DD" w14:textId="77777777" w:rsidR="00267AB0" w:rsidRDefault="00267AB0" w:rsidP="00AA653D">
            <w:pPr>
              <w:widowControl w:val="0"/>
              <w:spacing w:before="60"/>
              <w:jc w:val="both"/>
              <w:rPr>
                <w:rFonts w:ascii="Tahoma" w:hAnsi="Tahoma" w:cs="Tahoma"/>
                <w:snapToGrid w:val="0"/>
                <w:sz w:val="20"/>
                <w:szCs w:val="20"/>
              </w:rPr>
            </w:pPr>
            <w:r w:rsidRPr="000533B5">
              <w:rPr>
                <w:rFonts w:ascii="Tahoma" w:hAnsi="Tahoma" w:cs="Tahoma"/>
                <w:snapToGrid w:val="0"/>
                <w:sz w:val="20"/>
                <w:szCs w:val="20"/>
                <w:vertAlign w:val="superscript"/>
              </w:rPr>
              <w:t xml:space="preserve">2 </w:t>
            </w:r>
            <w:r w:rsidRPr="000533B5">
              <w:rPr>
                <w:rFonts w:ascii="Tahoma" w:hAnsi="Tahoma" w:cs="Tahoma"/>
                <w:snapToGrid w:val="0"/>
                <w:sz w:val="20"/>
                <w:szCs w:val="20"/>
              </w:rPr>
              <w:t>При определении максимальной суммы Кредита учитывается совокупная задолженность Заемщика по данному тарифному плану. Максимальная сумма Кредита по данному тарифному плану определяется как разница между максимальной суммой Кредита по тарифному плану и величиной совокупной задолженности по данному тарифному плану на момент обращения Заемщика.</w:t>
            </w:r>
          </w:p>
          <w:p w14:paraId="7C79824B" w14:textId="77777777" w:rsidR="00267AB0" w:rsidRPr="000533B5" w:rsidRDefault="00267AB0" w:rsidP="00AA653D">
            <w:pPr>
              <w:widowControl w:val="0"/>
              <w:tabs>
                <w:tab w:val="left" w:pos="426"/>
                <w:tab w:val="left" w:pos="851"/>
              </w:tabs>
              <w:jc w:val="both"/>
              <w:rPr>
                <w:rFonts w:ascii="Tahoma" w:hAnsi="Tahoma" w:cs="Tahoma"/>
                <w:snapToGrid w:val="0"/>
                <w:sz w:val="20"/>
                <w:szCs w:val="20"/>
              </w:rPr>
            </w:pPr>
            <w:r w:rsidRPr="003C4808">
              <w:rPr>
                <w:rFonts w:ascii="Tahoma" w:eastAsia="Calibri" w:hAnsi="Tahoma" w:cs="Tahoma"/>
                <w:sz w:val="20"/>
                <w:szCs w:val="20"/>
              </w:rPr>
              <w:t xml:space="preserve">Совокупный лимит на одного заемщика (группу связанных лиц) по кредитам, реализуемым в рамках линейки Микро-лайт (ТП </w:t>
            </w:r>
            <w:r>
              <w:rPr>
                <w:rFonts w:ascii="Tahoma" w:eastAsia="Calibri" w:hAnsi="Tahoma" w:cs="Tahoma"/>
                <w:sz w:val="20"/>
                <w:szCs w:val="20"/>
              </w:rPr>
              <w:t>«</w:t>
            </w:r>
            <w:r w:rsidRPr="003C4808">
              <w:rPr>
                <w:rFonts w:ascii="Tahoma" w:eastAsia="Calibri" w:hAnsi="Tahoma" w:cs="Tahoma"/>
                <w:sz w:val="20"/>
                <w:szCs w:val="20"/>
              </w:rPr>
              <w:t>Микро-лайт</w:t>
            </w:r>
            <w:r>
              <w:rPr>
                <w:rFonts w:ascii="Tahoma" w:eastAsia="Calibri" w:hAnsi="Tahoma" w:cs="Tahoma"/>
                <w:sz w:val="20"/>
                <w:szCs w:val="20"/>
              </w:rPr>
              <w:t>»</w:t>
            </w:r>
            <w:r w:rsidRPr="003C4808">
              <w:rPr>
                <w:rFonts w:ascii="Tahoma" w:eastAsia="Calibri" w:hAnsi="Tahoma" w:cs="Tahoma"/>
                <w:sz w:val="20"/>
                <w:szCs w:val="20"/>
              </w:rPr>
              <w:t xml:space="preserve">, ТП </w:t>
            </w:r>
            <w:r>
              <w:rPr>
                <w:rFonts w:ascii="Tahoma" w:eastAsia="Calibri" w:hAnsi="Tahoma" w:cs="Tahoma"/>
                <w:sz w:val="20"/>
                <w:szCs w:val="20"/>
              </w:rPr>
              <w:t>«</w:t>
            </w:r>
            <w:r w:rsidRPr="003C4808">
              <w:rPr>
                <w:rFonts w:ascii="Tahoma" w:eastAsia="Calibri" w:hAnsi="Tahoma" w:cs="Tahoma"/>
                <w:sz w:val="20"/>
                <w:szCs w:val="20"/>
              </w:rPr>
              <w:t>Бизнес Ипотека</w:t>
            </w:r>
            <w:r>
              <w:rPr>
                <w:rFonts w:ascii="Tahoma" w:eastAsia="Calibri" w:hAnsi="Tahoma" w:cs="Tahoma"/>
                <w:sz w:val="20"/>
                <w:szCs w:val="20"/>
              </w:rPr>
              <w:t>»</w:t>
            </w:r>
            <w:r w:rsidRPr="003C4808">
              <w:rPr>
                <w:rFonts w:ascii="Tahoma" w:eastAsia="Calibri" w:hAnsi="Tahoma" w:cs="Tahoma"/>
                <w:sz w:val="20"/>
                <w:szCs w:val="20"/>
              </w:rPr>
              <w:t xml:space="preserve">, </w:t>
            </w:r>
            <w:r>
              <w:rPr>
                <w:rFonts w:ascii="Tahoma" w:eastAsia="Calibri" w:hAnsi="Tahoma" w:cs="Tahoma"/>
                <w:sz w:val="20"/>
                <w:szCs w:val="20"/>
              </w:rPr>
              <w:t>«</w:t>
            </w:r>
            <w:r w:rsidRPr="003C4808">
              <w:rPr>
                <w:rFonts w:ascii="Tahoma" w:eastAsia="Calibri" w:hAnsi="Tahoma" w:cs="Tahoma"/>
                <w:sz w:val="20"/>
                <w:szCs w:val="20"/>
              </w:rPr>
              <w:t>Микро-лайт</w:t>
            </w:r>
            <w:r>
              <w:rPr>
                <w:rFonts w:ascii="Tahoma" w:eastAsia="Calibri" w:hAnsi="Tahoma" w:cs="Tahoma"/>
                <w:sz w:val="20"/>
                <w:szCs w:val="20"/>
              </w:rPr>
              <w:t>»</w:t>
            </w:r>
            <w:r w:rsidRPr="003C4808">
              <w:rPr>
                <w:rFonts w:ascii="Tahoma" w:eastAsia="Calibri" w:hAnsi="Tahoma" w:cs="Tahoma"/>
                <w:sz w:val="20"/>
                <w:szCs w:val="20"/>
              </w:rPr>
              <w:t xml:space="preserve"> по схеме «Экспресс») не может превышать 20 млн. рублей.</w:t>
            </w:r>
          </w:p>
          <w:p w14:paraId="5C887AAB" w14:textId="77777777" w:rsidR="00267AB0" w:rsidRPr="000533B5" w:rsidRDefault="00267AB0" w:rsidP="00AA653D">
            <w:pPr>
              <w:widowControl w:val="0"/>
              <w:spacing w:before="60"/>
              <w:jc w:val="both"/>
              <w:rPr>
                <w:rFonts w:ascii="Tahoma" w:hAnsi="Tahoma" w:cs="Tahoma"/>
                <w:snapToGrid w:val="0"/>
                <w:sz w:val="20"/>
                <w:szCs w:val="20"/>
              </w:rPr>
            </w:pPr>
            <w:r w:rsidRPr="000533B5">
              <w:rPr>
                <w:rFonts w:ascii="Tahoma" w:hAnsi="Tahoma" w:cs="Tahoma"/>
                <w:snapToGrid w:val="0"/>
                <w:sz w:val="20"/>
                <w:szCs w:val="20"/>
                <w:vertAlign w:val="superscript"/>
              </w:rPr>
              <w:t xml:space="preserve">3 </w:t>
            </w:r>
            <w:r w:rsidRPr="000533B5">
              <w:rPr>
                <w:rFonts w:ascii="Tahoma" w:hAnsi="Tahoma" w:cs="Tahoma"/>
                <w:snapToGrid w:val="0"/>
                <w:sz w:val="20"/>
                <w:szCs w:val="20"/>
              </w:rPr>
              <w:t>При предоставлении Кредита в сумме от 10 000 000 рублей (включительно) обязательно выполнение следующих условий:</w:t>
            </w:r>
          </w:p>
          <w:p w14:paraId="7AD6E309" w14:textId="77777777" w:rsidR="00267AB0" w:rsidRPr="000533B5" w:rsidRDefault="00267AB0" w:rsidP="00EB4F4C">
            <w:pPr>
              <w:widowControl w:val="0"/>
              <w:numPr>
                <w:ilvl w:val="0"/>
                <w:numId w:val="63"/>
              </w:numPr>
              <w:ind w:left="0" w:firstLine="0"/>
              <w:jc w:val="both"/>
              <w:rPr>
                <w:rFonts w:ascii="Tahoma" w:hAnsi="Tahoma" w:cs="Tahoma"/>
                <w:snapToGrid w:val="0"/>
                <w:sz w:val="20"/>
                <w:szCs w:val="20"/>
              </w:rPr>
            </w:pPr>
            <w:r w:rsidRPr="000533B5">
              <w:rPr>
                <w:rFonts w:ascii="Tahoma" w:hAnsi="Tahoma" w:cs="Tahoma"/>
                <w:snapToGrid w:val="0"/>
                <w:sz w:val="20"/>
                <w:szCs w:val="20"/>
              </w:rPr>
              <w:t>Документы, подтверждающие доход организации Заемщика, заверенные УФНС (налоговые декларации, иная бухгалтерская, налоговая отчетность)/управленческая отчетность, подтверждающая доходы и расходы организации Заемщика (кассовая книга, книга доходов и расходов, выписки по счетам б/у, выписки с расчетных счетов (с указанием назначения платежа) и пр.) / иные документы по требованию уполномоченного органа Банка, принимающего решение о выдаче Кредита.</w:t>
            </w:r>
          </w:p>
          <w:p w14:paraId="20D0C635" w14:textId="77777777" w:rsidR="00267AB0" w:rsidRPr="000533B5" w:rsidRDefault="00267AB0" w:rsidP="00EB4F4C">
            <w:pPr>
              <w:widowControl w:val="0"/>
              <w:numPr>
                <w:ilvl w:val="0"/>
                <w:numId w:val="63"/>
              </w:numPr>
              <w:ind w:left="0" w:firstLine="0"/>
              <w:jc w:val="both"/>
              <w:rPr>
                <w:rFonts w:ascii="Tahoma" w:hAnsi="Tahoma" w:cs="Tahoma"/>
                <w:snapToGrid w:val="0"/>
                <w:sz w:val="20"/>
                <w:szCs w:val="20"/>
              </w:rPr>
            </w:pPr>
            <w:r w:rsidRPr="000533B5">
              <w:rPr>
                <w:rFonts w:ascii="Tahoma" w:hAnsi="Tahoma" w:cs="Tahoma"/>
                <w:snapToGrid w:val="0"/>
                <w:sz w:val="20"/>
                <w:szCs w:val="20"/>
              </w:rPr>
              <w:t>Поручительство анализируемого юридического лица.</w:t>
            </w:r>
          </w:p>
          <w:p w14:paraId="0450B580" w14:textId="77777777" w:rsidR="00267AB0" w:rsidRPr="000533B5" w:rsidRDefault="00267AB0" w:rsidP="00AA653D">
            <w:pPr>
              <w:tabs>
                <w:tab w:val="left" w:pos="851"/>
              </w:tabs>
              <w:spacing w:before="60"/>
              <w:jc w:val="both"/>
              <w:rPr>
                <w:rFonts w:ascii="Tahoma" w:eastAsia="Calibri" w:hAnsi="Tahoma" w:cs="Tahoma"/>
                <w:sz w:val="20"/>
                <w:szCs w:val="20"/>
              </w:rPr>
            </w:pPr>
            <w:r w:rsidRPr="000533B5">
              <w:rPr>
                <w:rFonts w:ascii="Tahoma" w:hAnsi="Tahoma" w:cs="Tahoma"/>
                <w:snapToGrid w:val="0"/>
                <w:sz w:val="20"/>
                <w:szCs w:val="20"/>
                <w:vertAlign w:val="superscript"/>
              </w:rPr>
              <w:t xml:space="preserve">4 </w:t>
            </w:r>
            <w:r w:rsidRPr="000533B5">
              <w:rPr>
                <w:rFonts w:ascii="Tahoma" w:eastAsia="Calibri" w:hAnsi="Tahoma" w:cs="Tahoma"/>
                <w:sz w:val="20"/>
                <w:szCs w:val="20"/>
              </w:rPr>
              <w:t>О ПСК в денежном выражении Заемщик информируется любым из способов: посредством запроса через сайт Банка, в подразделениях Банка, по бесплатному телефону Единой информационной службы Банка 8-800-775-88-88, с помощью электронной почты.</w:t>
            </w:r>
          </w:p>
          <w:p w14:paraId="274FA59A" w14:textId="77777777" w:rsidR="00267AB0" w:rsidRPr="00873C2F" w:rsidRDefault="00267AB0" w:rsidP="00AA653D">
            <w:pPr>
              <w:tabs>
                <w:tab w:val="left" w:pos="851"/>
              </w:tabs>
              <w:spacing w:before="60"/>
              <w:jc w:val="both"/>
              <w:rPr>
                <w:rFonts w:ascii="Tahoma" w:hAnsi="Tahoma" w:cs="Tahoma"/>
                <w:snapToGrid w:val="0"/>
                <w:sz w:val="20"/>
                <w:szCs w:val="20"/>
              </w:rPr>
            </w:pPr>
            <w:r>
              <w:rPr>
                <w:rFonts w:ascii="Tahoma" w:hAnsi="Tahoma" w:cs="Tahoma"/>
                <w:snapToGrid w:val="0"/>
                <w:sz w:val="20"/>
                <w:szCs w:val="20"/>
                <w:vertAlign w:val="superscript"/>
              </w:rPr>
              <w:t>5</w:t>
            </w:r>
            <w:r w:rsidRPr="000533B5">
              <w:rPr>
                <w:rFonts w:ascii="Tahoma" w:hAnsi="Tahoma" w:cs="Tahoma"/>
                <w:snapToGrid w:val="0"/>
                <w:sz w:val="20"/>
                <w:szCs w:val="20"/>
              </w:rPr>
              <w:t xml:space="preserve"> </w:t>
            </w:r>
            <w:r w:rsidRPr="00AC2D1E">
              <w:rPr>
                <w:rFonts w:ascii="Tahoma" w:eastAsia="Calibri" w:hAnsi="Tahoma" w:cs="Tahoma"/>
                <w:sz w:val="20"/>
                <w:szCs w:val="20"/>
              </w:rPr>
              <w:t xml:space="preserve">Дополнительные требования к Поручителю </w:t>
            </w:r>
            <w:r>
              <w:rPr>
                <w:rFonts w:ascii="Tahoma" w:eastAsia="Calibri" w:hAnsi="Tahoma" w:cs="Tahoma"/>
                <w:sz w:val="20"/>
                <w:szCs w:val="20"/>
              </w:rPr>
              <w:t>- юридическому лицу</w:t>
            </w:r>
            <w:r w:rsidRPr="00AC2D1E">
              <w:rPr>
                <w:rFonts w:ascii="Tahoma" w:eastAsia="Calibri" w:hAnsi="Tahoma" w:cs="Tahoma"/>
                <w:sz w:val="20"/>
                <w:szCs w:val="20"/>
              </w:rPr>
              <w:t>:</w:t>
            </w:r>
          </w:p>
          <w:p w14:paraId="3590BDF7" w14:textId="77777777" w:rsidR="00267AB0" w:rsidRPr="00873C2F" w:rsidRDefault="00267AB0" w:rsidP="00AA653D">
            <w:pPr>
              <w:tabs>
                <w:tab w:val="left" w:pos="851"/>
              </w:tabs>
              <w:spacing w:before="60"/>
              <w:jc w:val="both"/>
              <w:rPr>
                <w:rFonts w:ascii="Tahoma" w:hAnsi="Tahoma" w:cs="Tahoma"/>
                <w:snapToGrid w:val="0"/>
                <w:sz w:val="20"/>
                <w:szCs w:val="20"/>
              </w:rPr>
            </w:pPr>
            <w:r w:rsidRPr="00873C2F">
              <w:rPr>
                <w:rFonts w:ascii="Tahoma" w:hAnsi="Tahoma" w:cs="Tahoma"/>
                <w:snapToGrid w:val="0"/>
                <w:sz w:val="20"/>
                <w:szCs w:val="20"/>
              </w:rPr>
              <w:t>• оформление Пакета услуг с подключением Тарифного плана «Все включено 30»;</w:t>
            </w:r>
          </w:p>
          <w:p w14:paraId="0CD48F57" w14:textId="77777777" w:rsidR="00267AB0" w:rsidRPr="000533B5" w:rsidRDefault="00267AB0" w:rsidP="00AA653D">
            <w:pPr>
              <w:tabs>
                <w:tab w:val="left" w:pos="851"/>
              </w:tabs>
              <w:spacing w:before="60"/>
              <w:jc w:val="both"/>
              <w:rPr>
                <w:color w:val="000000"/>
              </w:rPr>
            </w:pPr>
            <w:r w:rsidRPr="00873C2F">
              <w:rPr>
                <w:rFonts w:ascii="Tahoma" w:hAnsi="Tahoma" w:cs="Tahoma"/>
                <w:snapToGrid w:val="0"/>
                <w:sz w:val="20"/>
                <w:szCs w:val="20"/>
              </w:rPr>
              <w:t>• оформление 2 (двух) Корпоративных карт Visa Business Platinum "Премиальный".</w:t>
            </w:r>
          </w:p>
        </w:tc>
      </w:tr>
    </w:tbl>
    <w:p w14:paraId="7CB0E6C2" w14:textId="77777777" w:rsidR="00470B5F" w:rsidRPr="00CE5927" w:rsidRDefault="00470B5F" w:rsidP="00470B5F">
      <w:pPr>
        <w:rPr>
          <w:rFonts w:ascii="Tahoma" w:hAnsi="Tahoma" w:cs="Tahoma"/>
          <w:b/>
          <w:i/>
          <w:color w:val="E36C0A"/>
          <w:sz w:val="22"/>
          <w:szCs w:val="22"/>
        </w:rPr>
        <w:sectPr w:rsidR="00470B5F" w:rsidRPr="00CE5927" w:rsidSect="000A37D8">
          <w:pgSz w:w="16838" w:h="11906" w:orient="landscape"/>
          <w:pgMar w:top="1134" w:right="426" w:bottom="707" w:left="0" w:header="0" w:footer="299" w:gutter="0"/>
          <w:cols w:space="720"/>
          <w:titlePg/>
          <w:docGrid w:linePitch="326"/>
        </w:sectPr>
      </w:pPr>
    </w:p>
    <w:p w14:paraId="2991A03B" w14:textId="77777777" w:rsidR="00470B5F" w:rsidRPr="00CE5927" w:rsidRDefault="00470B5F" w:rsidP="000B3718">
      <w:pPr>
        <w:pStyle w:val="a5"/>
      </w:pPr>
      <w:r w:rsidRPr="00CE5927">
        <w:lastRenderedPageBreak/>
        <w:t>2.1.4. Тарифный план «Микро-лайт Индивидуальный»</w:t>
      </w:r>
    </w:p>
    <w:tbl>
      <w:tblPr>
        <w:tblW w:w="15876" w:type="dxa"/>
        <w:tblInd w:w="534" w:type="dxa"/>
        <w:tblLook w:val="04A0" w:firstRow="1" w:lastRow="0" w:firstColumn="1" w:lastColumn="0" w:noHBand="0" w:noVBand="1"/>
      </w:tblPr>
      <w:tblGrid>
        <w:gridCol w:w="2852"/>
        <w:gridCol w:w="4403"/>
        <w:gridCol w:w="5419"/>
        <w:gridCol w:w="3202"/>
      </w:tblGrid>
      <w:tr w:rsidR="00470B5F" w:rsidRPr="00CE5927" w14:paraId="4025C2BE" w14:textId="77777777" w:rsidTr="00AD7716">
        <w:trPr>
          <w:trHeight w:val="765"/>
        </w:trPr>
        <w:tc>
          <w:tcPr>
            <w:tcW w:w="0" w:type="auto"/>
            <w:vMerge w:val="restart"/>
            <w:tcBorders>
              <w:top w:val="single" w:sz="8" w:space="0" w:color="auto"/>
              <w:left w:val="single" w:sz="8" w:space="0" w:color="auto"/>
              <w:bottom w:val="single" w:sz="4" w:space="0" w:color="auto"/>
              <w:right w:val="single" w:sz="4" w:space="0" w:color="auto"/>
            </w:tcBorders>
            <w:shd w:val="clear" w:color="000000" w:fill="FFFF99"/>
            <w:vAlign w:val="center"/>
            <w:hideMark/>
          </w:tcPr>
          <w:p w14:paraId="52BCC5BC" w14:textId="77777777" w:rsidR="00470B5F" w:rsidRPr="00CE5927" w:rsidRDefault="00470B5F" w:rsidP="00AD7716">
            <w:pPr>
              <w:ind w:left="616"/>
              <w:rPr>
                <w:rFonts w:ascii="Tahoma" w:hAnsi="Tahoma" w:cs="Tahoma"/>
                <w:b/>
                <w:bCs/>
                <w:sz w:val="20"/>
                <w:szCs w:val="20"/>
              </w:rPr>
            </w:pPr>
            <w:r w:rsidRPr="00CE5927">
              <w:rPr>
                <w:rFonts w:ascii="Tahoma" w:hAnsi="Tahoma" w:cs="Tahoma"/>
                <w:b/>
                <w:bCs/>
                <w:sz w:val="20"/>
                <w:szCs w:val="20"/>
              </w:rPr>
              <w:t>Кредитный продукт</w:t>
            </w:r>
          </w:p>
        </w:tc>
        <w:tc>
          <w:tcPr>
            <w:tcW w:w="0" w:type="auto"/>
            <w:tcBorders>
              <w:top w:val="single" w:sz="8" w:space="0" w:color="auto"/>
              <w:left w:val="nil"/>
              <w:bottom w:val="single" w:sz="4" w:space="0" w:color="auto"/>
              <w:right w:val="single" w:sz="4" w:space="0" w:color="auto"/>
            </w:tcBorders>
            <w:shd w:val="clear" w:color="000000" w:fill="FFFF99"/>
            <w:vAlign w:val="center"/>
            <w:hideMark/>
          </w:tcPr>
          <w:p w14:paraId="2EFA9005" w14:textId="77777777" w:rsidR="00470B5F" w:rsidRPr="00CE5927" w:rsidRDefault="00470B5F" w:rsidP="00AD7716">
            <w:pPr>
              <w:jc w:val="center"/>
              <w:rPr>
                <w:rFonts w:ascii="Tahoma" w:hAnsi="Tahoma" w:cs="Tahoma"/>
                <w:b/>
                <w:bCs/>
                <w:sz w:val="20"/>
                <w:szCs w:val="20"/>
              </w:rPr>
            </w:pPr>
            <w:r w:rsidRPr="00CE5927">
              <w:rPr>
                <w:rFonts w:ascii="Tahoma" w:hAnsi="Tahoma" w:cs="Tahoma"/>
                <w:b/>
                <w:bCs/>
                <w:sz w:val="20"/>
                <w:szCs w:val="20"/>
              </w:rPr>
              <w:t>Наименование продукта/модификации/тарифного плана/программы кредитования</w:t>
            </w:r>
          </w:p>
        </w:tc>
        <w:tc>
          <w:tcPr>
            <w:tcW w:w="8621" w:type="dxa"/>
            <w:gridSpan w:val="2"/>
            <w:tcBorders>
              <w:top w:val="single" w:sz="8" w:space="0" w:color="auto"/>
              <w:left w:val="nil"/>
              <w:bottom w:val="single" w:sz="4" w:space="0" w:color="auto"/>
              <w:right w:val="single" w:sz="4" w:space="0" w:color="auto"/>
            </w:tcBorders>
            <w:shd w:val="clear" w:color="000000" w:fill="FFFFFF"/>
            <w:vAlign w:val="center"/>
            <w:hideMark/>
          </w:tcPr>
          <w:p w14:paraId="5D73D7AC" w14:textId="77777777" w:rsidR="00470B5F" w:rsidRPr="00CE5927" w:rsidRDefault="00470B5F" w:rsidP="00AD7716">
            <w:pPr>
              <w:jc w:val="center"/>
              <w:rPr>
                <w:rFonts w:ascii="Tahoma" w:hAnsi="Tahoma" w:cs="Tahoma"/>
                <w:b/>
                <w:bCs/>
                <w:sz w:val="20"/>
                <w:szCs w:val="20"/>
              </w:rPr>
            </w:pPr>
            <w:r w:rsidRPr="00CE5927">
              <w:rPr>
                <w:rFonts w:ascii="Tahoma" w:hAnsi="Tahoma" w:cs="Tahoma"/>
                <w:b/>
                <w:bCs/>
                <w:sz w:val="20"/>
                <w:szCs w:val="20"/>
              </w:rPr>
              <w:t>Микро-лайт Индивидуальный</w:t>
            </w:r>
          </w:p>
        </w:tc>
      </w:tr>
      <w:tr w:rsidR="00470B5F" w:rsidRPr="00CE5927" w14:paraId="1993EBFE" w14:textId="77777777" w:rsidTr="00AD7716">
        <w:trPr>
          <w:trHeight w:val="630"/>
        </w:trPr>
        <w:tc>
          <w:tcPr>
            <w:tcW w:w="0" w:type="auto"/>
            <w:vMerge/>
            <w:tcBorders>
              <w:top w:val="single" w:sz="8" w:space="0" w:color="auto"/>
              <w:left w:val="single" w:sz="8" w:space="0" w:color="auto"/>
              <w:bottom w:val="single" w:sz="4" w:space="0" w:color="auto"/>
              <w:right w:val="single" w:sz="4" w:space="0" w:color="auto"/>
            </w:tcBorders>
            <w:vAlign w:val="center"/>
            <w:hideMark/>
          </w:tcPr>
          <w:p w14:paraId="03ACC406" w14:textId="77777777" w:rsidR="00470B5F" w:rsidRPr="00CE5927" w:rsidRDefault="00470B5F" w:rsidP="00AD7716">
            <w:pPr>
              <w:ind w:left="616"/>
              <w:rPr>
                <w:rFonts w:ascii="Tahoma" w:hAnsi="Tahoma" w:cs="Tahoma"/>
                <w:b/>
                <w:bCs/>
                <w:sz w:val="20"/>
                <w:szCs w:val="20"/>
              </w:rPr>
            </w:pPr>
          </w:p>
        </w:tc>
        <w:tc>
          <w:tcPr>
            <w:tcW w:w="0" w:type="auto"/>
            <w:tcBorders>
              <w:top w:val="nil"/>
              <w:left w:val="nil"/>
              <w:bottom w:val="single" w:sz="4" w:space="0" w:color="auto"/>
              <w:right w:val="single" w:sz="4" w:space="0" w:color="auto"/>
            </w:tcBorders>
            <w:shd w:val="clear" w:color="000000" w:fill="FFFF99"/>
            <w:vAlign w:val="center"/>
            <w:hideMark/>
          </w:tcPr>
          <w:p w14:paraId="15E8DB38" w14:textId="77777777" w:rsidR="00470B5F" w:rsidRPr="00CE5927" w:rsidRDefault="00470B5F" w:rsidP="00AD7716">
            <w:pPr>
              <w:jc w:val="center"/>
              <w:rPr>
                <w:rFonts w:ascii="Tahoma" w:hAnsi="Tahoma" w:cs="Tahoma"/>
                <w:b/>
                <w:bCs/>
                <w:sz w:val="20"/>
                <w:szCs w:val="20"/>
              </w:rPr>
            </w:pPr>
            <w:r w:rsidRPr="00CE5927">
              <w:rPr>
                <w:rFonts w:ascii="Tahoma" w:hAnsi="Tahoma" w:cs="Tahoma"/>
                <w:b/>
                <w:bCs/>
                <w:sz w:val="20"/>
                <w:szCs w:val="20"/>
              </w:rPr>
              <w:t>Общее описание, особенности</w:t>
            </w:r>
          </w:p>
        </w:tc>
        <w:tc>
          <w:tcPr>
            <w:tcW w:w="8621" w:type="dxa"/>
            <w:gridSpan w:val="2"/>
            <w:tcBorders>
              <w:top w:val="single" w:sz="4" w:space="0" w:color="auto"/>
              <w:left w:val="nil"/>
              <w:bottom w:val="single" w:sz="4" w:space="0" w:color="auto"/>
              <w:right w:val="single" w:sz="4" w:space="0" w:color="auto"/>
            </w:tcBorders>
            <w:shd w:val="clear" w:color="000000" w:fill="FFFFFF"/>
            <w:vAlign w:val="center"/>
            <w:hideMark/>
          </w:tcPr>
          <w:p w14:paraId="212EC04C" w14:textId="77777777" w:rsidR="00470B5F" w:rsidRPr="00CE5927" w:rsidRDefault="00470B5F" w:rsidP="00AD7716">
            <w:pPr>
              <w:jc w:val="center"/>
              <w:rPr>
                <w:rFonts w:ascii="Tahoma" w:hAnsi="Tahoma" w:cs="Tahoma"/>
                <w:sz w:val="20"/>
                <w:szCs w:val="20"/>
              </w:rPr>
            </w:pPr>
            <w:r w:rsidRPr="00CE5927">
              <w:rPr>
                <w:rFonts w:ascii="Tahoma" w:hAnsi="Tahoma" w:cs="Tahoma"/>
                <w:sz w:val="20"/>
                <w:szCs w:val="20"/>
              </w:rPr>
              <w:t>Кредит</w:t>
            </w:r>
          </w:p>
        </w:tc>
      </w:tr>
      <w:tr w:rsidR="00470B5F" w:rsidRPr="00CE5927" w14:paraId="349B799C" w14:textId="77777777" w:rsidTr="00AD7716">
        <w:trPr>
          <w:trHeight w:val="735"/>
        </w:trPr>
        <w:tc>
          <w:tcPr>
            <w:tcW w:w="0" w:type="auto"/>
            <w:vMerge/>
            <w:tcBorders>
              <w:top w:val="single" w:sz="8" w:space="0" w:color="auto"/>
              <w:left w:val="single" w:sz="8" w:space="0" w:color="auto"/>
              <w:bottom w:val="single" w:sz="4" w:space="0" w:color="auto"/>
              <w:right w:val="single" w:sz="4" w:space="0" w:color="auto"/>
            </w:tcBorders>
            <w:vAlign w:val="center"/>
            <w:hideMark/>
          </w:tcPr>
          <w:p w14:paraId="5AD13495" w14:textId="77777777" w:rsidR="00470B5F" w:rsidRPr="00CE5927" w:rsidRDefault="00470B5F" w:rsidP="00AD7716">
            <w:pPr>
              <w:ind w:left="616"/>
              <w:rPr>
                <w:rFonts w:ascii="Tahoma" w:hAnsi="Tahoma" w:cs="Tahoma"/>
                <w:b/>
                <w:bCs/>
                <w:sz w:val="20"/>
                <w:szCs w:val="20"/>
              </w:rPr>
            </w:pPr>
          </w:p>
        </w:tc>
        <w:tc>
          <w:tcPr>
            <w:tcW w:w="0" w:type="auto"/>
            <w:tcBorders>
              <w:top w:val="nil"/>
              <w:left w:val="nil"/>
              <w:bottom w:val="single" w:sz="4" w:space="0" w:color="auto"/>
              <w:right w:val="single" w:sz="4" w:space="0" w:color="auto"/>
            </w:tcBorders>
            <w:shd w:val="clear" w:color="000000" w:fill="FFFF99"/>
            <w:vAlign w:val="center"/>
            <w:hideMark/>
          </w:tcPr>
          <w:p w14:paraId="26DB12A5" w14:textId="77777777" w:rsidR="00470B5F" w:rsidRPr="00CE5927" w:rsidRDefault="00470B5F" w:rsidP="00AD7716">
            <w:pPr>
              <w:jc w:val="center"/>
              <w:rPr>
                <w:rFonts w:ascii="Tahoma" w:hAnsi="Tahoma" w:cs="Tahoma"/>
                <w:b/>
                <w:bCs/>
                <w:sz w:val="20"/>
                <w:szCs w:val="20"/>
              </w:rPr>
            </w:pPr>
            <w:r w:rsidRPr="00CE5927">
              <w:rPr>
                <w:rFonts w:ascii="Tahoma" w:hAnsi="Tahoma" w:cs="Tahoma"/>
                <w:b/>
                <w:bCs/>
                <w:sz w:val="20"/>
                <w:szCs w:val="20"/>
              </w:rPr>
              <w:t>Подразделения сети/Точки продаж, реализующие кредитный продукт</w:t>
            </w:r>
          </w:p>
        </w:tc>
        <w:tc>
          <w:tcPr>
            <w:tcW w:w="8621" w:type="dxa"/>
            <w:gridSpan w:val="2"/>
            <w:tcBorders>
              <w:top w:val="single" w:sz="4" w:space="0" w:color="auto"/>
              <w:left w:val="nil"/>
              <w:bottom w:val="single" w:sz="4" w:space="0" w:color="auto"/>
              <w:right w:val="single" w:sz="4" w:space="0" w:color="auto"/>
            </w:tcBorders>
            <w:shd w:val="clear" w:color="000000" w:fill="FFFFFF"/>
            <w:vAlign w:val="center"/>
            <w:hideMark/>
          </w:tcPr>
          <w:p w14:paraId="3D67079A" w14:textId="77777777" w:rsidR="00470B5F" w:rsidRPr="00CE5927" w:rsidRDefault="00470B5F" w:rsidP="00AD7716">
            <w:pPr>
              <w:jc w:val="center"/>
              <w:rPr>
                <w:rFonts w:ascii="Tahoma" w:hAnsi="Tahoma" w:cs="Tahoma"/>
                <w:sz w:val="20"/>
                <w:szCs w:val="20"/>
              </w:rPr>
            </w:pPr>
            <w:r w:rsidRPr="00CE5927">
              <w:rPr>
                <w:rFonts w:ascii="Tahoma" w:hAnsi="Tahoma" w:cs="Tahoma"/>
                <w:sz w:val="20"/>
                <w:szCs w:val="20"/>
              </w:rPr>
              <w:t>Все подразделения Банка (Филиалы, ВСП, в т.ч. ДАО)</w:t>
            </w:r>
          </w:p>
        </w:tc>
      </w:tr>
      <w:tr w:rsidR="00470B5F" w:rsidRPr="00CE5927" w14:paraId="718611C1" w14:textId="77777777" w:rsidTr="00AD7716">
        <w:trPr>
          <w:trHeight w:val="825"/>
        </w:trPr>
        <w:tc>
          <w:tcPr>
            <w:tcW w:w="0" w:type="auto"/>
            <w:gridSpan w:val="2"/>
            <w:tcBorders>
              <w:top w:val="single" w:sz="4" w:space="0" w:color="auto"/>
              <w:left w:val="single" w:sz="8" w:space="0" w:color="auto"/>
              <w:bottom w:val="single" w:sz="4" w:space="0" w:color="auto"/>
              <w:right w:val="single" w:sz="4" w:space="0" w:color="auto"/>
            </w:tcBorders>
            <w:shd w:val="clear" w:color="000000" w:fill="FFFF99"/>
            <w:vAlign w:val="center"/>
            <w:hideMark/>
          </w:tcPr>
          <w:p w14:paraId="4B952745" w14:textId="77777777" w:rsidR="00470B5F" w:rsidRPr="00CE5927" w:rsidRDefault="00470B5F" w:rsidP="00AD7716">
            <w:pPr>
              <w:ind w:left="616"/>
              <w:rPr>
                <w:rFonts w:ascii="Tahoma" w:hAnsi="Tahoma" w:cs="Tahoma"/>
                <w:b/>
                <w:bCs/>
                <w:sz w:val="20"/>
                <w:szCs w:val="20"/>
              </w:rPr>
            </w:pPr>
            <w:r w:rsidRPr="00CE5927">
              <w:rPr>
                <w:rFonts w:ascii="Tahoma" w:hAnsi="Tahoma" w:cs="Tahoma"/>
                <w:b/>
                <w:bCs/>
                <w:sz w:val="20"/>
                <w:szCs w:val="20"/>
              </w:rPr>
              <w:t>Вид заемщика</w:t>
            </w:r>
          </w:p>
        </w:tc>
        <w:tc>
          <w:tcPr>
            <w:tcW w:w="8621" w:type="dxa"/>
            <w:gridSpan w:val="2"/>
            <w:tcBorders>
              <w:top w:val="single" w:sz="4" w:space="0" w:color="auto"/>
              <w:left w:val="nil"/>
              <w:bottom w:val="single" w:sz="4" w:space="0" w:color="auto"/>
              <w:right w:val="single" w:sz="4" w:space="0" w:color="auto"/>
            </w:tcBorders>
            <w:shd w:val="clear" w:color="000000" w:fill="FFFFFF"/>
            <w:vAlign w:val="center"/>
            <w:hideMark/>
          </w:tcPr>
          <w:p w14:paraId="3410547D" w14:textId="77777777" w:rsidR="00470B5F" w:rsidRPr="00CE5927" w:rsidRDefault="00470B5F" w:rsidP="00AD7716">
            <w:pPr>
              <w:jc w:val="center"/>
              <w:rPr>
                <w:rFonts w:ascii="Tahoma" w:hAnsi="Tahoma" w:cs="Tahoma"/>
                <w:sz w:val="20"/>
                <w:szCs w:val="20"/>
              </w:rPr>
            </w:pPr>
            <w:r w:rsidRPr="00CE5927">
              <w:rPr>
                <w:rFonts w:ascii="Tahoma" w:hAnsi="Tahoma" w:cs="Tahoma"/>
                <w:sz w:val="20"/>
                <w:szCs w:val="20"/>
              </w:rPr>
              <w:t>Физическое лицо, получающее прибыль от предпринимательской деятельности / участник хозяйственного общества, имеющий право на получение части прибыли такого общества</w:t>
            </w:r>
          </w:p>
        </w:tc>
      </w:tr>
      <w:tr w:rsidR="00470B5F" w:rsidRPr="00CE5927" w14:paraId="50B05EFB" w14:textId="77777777" w:rsidTr="00AD7716">
        <w:trPr>
          <w:trHeight w:val="555"/>
        </w:trPr>
        <w:tc>
          <w:tcPr>
            <w:tcW w:w="0" w:type="auto"/>
            <w:gridSpan w:val="2"/>
            <w:tcBorders>
              <w:top w:val="single" w:sz="4" w:space="0" w:color="auto"/>
              <w:left w:val="single" w:sz="8" w:space="0" w:color="auto"/>
              <w:bottom w:val="single" w:sz="4" w:space="0" w:color="auto"/>
              <w:right w:val="single" w:sz="4" w:space="0" w:color="auto"/>
            </w:tcBorders>
            <w:shd w:val="clear" w:color="000000" w:fill="FFFF99"/>
            <w:vAlign w:val="center"/>
            <w:hideMark/>
          </w:tcPr>
          <w:p w14:paraId="3F640ADB" w14:textId="77777777" w:rsidR="00470B5F" w:rsidRPr="00CE5927" w:rsidRDefault="00470B5F" w:rsidP="00AD7716">
            <w:pPr>
              <w:ind w:left="616"/>
              <w:rPr>
                <w:rFonts w:ascii="Tahoma" w:hAnsi="Tahoma" w:cs="Tahoma"/>
                <w:b/>
                <w:bCs/>
                <w:sz w:val="20"/>
                <w:szCs w:val="20"/>
              </w:rPr>
            </w:pPr>
            <w:r w:rsidRPr="00CE5927">
              <w:rPr>
                <w:rFonts w:ascii="Tahoma" w:hAnsi="Tahoma" w:cs="Tahoma"/>
                <w:b/>
                <w:bCs/>
                <w:sz w:val="20"/>
                <w:szCs w:val="20"/>
              </w:rPr>
              <w:t>Сумма кредита*</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7C014334" w14:textId="77777777" w:rsidR="00470B5F" w:rsidRPr="00CE5927" w:rsidRDefault="00470B5F" w:rsidP="00AD7716">
            <w:pPr>
              <w:jc w:val="center"/>
              <w:rPr>
                <w:rFonts w:ascii="Tahoma" w:hAnsi="Tahoma" w:cs="Tahoma"/>
                <w:sz w:val="20"/>
                <w:szCs w:val="20"/>
              </w:rPr>
            </w:pPr>
            <w:r w:rsidRPr="00CE5927">
              <w:rPr>
                <w:rFonts w:ascii="Tahoma" w:hAnsi="Tahoma" w:cs="Tahoma"/>
                <w:sz w:val="20"/>
                <w:szCs w:val="20"/>
              </w:rPr>
              <w:t>До 0,1% от собственного капитала Банка, рассчитанного на последнюю отчетную дату</w:t>
            </w:r>
          </w:p>
        </w:tc>
        <w:tc>
          <w:tcPr>
            <w:tcW w:w="3202" w:type="dxa"/>
            <w:tcBorders>
              <w:top w:val="single" w:sz="4" w:space="0" w:color="auto"/>
              <w:left w:val="nil"/>
              <w:bottom w:val="single" w:sz="4" w:space="0" w:color="auto"/>
              <w:right w:val="single" w:sz="4" w:space="0" w:color="auto"/>
            </w:tcBorders>
            <w:shd w:val="clear" w:color="000000" w:fill="FFFFFF"/>
            <w:vAlign w:val="center"/>
            <w:hideMark/>
          </w:tcPr>
          <w:p w14:paraId="577C2550" w14:textId="77777777" w:rsidR="00470B5F" w:rsidRPr="00CE5927" w:rsidRDefault="00470B5F" w:rsidP="00AD7716">
            <w:pPr>
              <w:jc w:val="center"/>
              <w:rPr>
                <w:rFonts w:ascii="Tahoma" w:hAnsi="Tahoma" w:cs="Tahoma"/>
                <w:sz w:val="20"/>
                <w:szCs w:val="20"/>
              </w:rPr>
            </w:pPr>
            <w:r w:rsidRPr="00CE5927">
              <w:rPr>
                <w:rFonts w:ascii="Tahoma" w:hAnsi="Tahoma" w:cs="Tahoma"/>
                <w:sz w:val="20"/>
                <w:szCs w:val="20"/>
              </w:rPr>
              <w:t>Свыше 0,1% от собственного капитала Банка, рассчитанного на последнюю отчетную дату</w:t>
            </w:r>
          </w:p>
        </w:tc>
      </w:tr>
      <w:tr w:rsidR="00470B5F" w:rsidRPr="00CE5927" w14:paraId="31009991" w14:textId="77777777" w:rsidTr="00AD7716">
        <w:trPr>
          <w:trHeight w:val="495"/>
        </w:trPr>
        <w:tc>
          <w:tcPr>
            <w:tcW w:w="0" w:type="auto"/>
            <w:gridSpan w:val="2"/>
            <w:vMerge w:val="restart"/>
            <w:tcBorders>
              <w:top w:val="single" w:sz="4" w:space="0" w:color="auto"/>
              <w:left w:val="single" w:sz="8" w:space="0" w:color="auto"/>
              <w:bottom w:val="single" w:sz="4" w:space="0" w:color="000000"/>
              <w:right w:val="single" w:sz="4" w:space="0" w:color="000000"/>
            </w:tcBorders>
            <w:shd w:val="clear" w:color="000000" w:fill="FFFF99"/>
            <w:vAlign w:val="center"/>
            <w:hideMark/>
          </w:tcPr>
          <w:p w14:paraId="193892C3" w14:textId="77777777" w:rsidR="00470B5F" w:rsidRPr="00CE5927" w:rsidRDefault="00470B5F" w:rsidP="00AD7716">
            <w:pPr>
              <w:ind w:left="616"/>
              <w:rPr>
                <w:rFonts w:ascii="Tahoma" w:hAnsi="Tahoma" w:cs="Tahoma"/>
                <w:b/>
                <w:bCs/>
                <w:sz w:val="20"/>
                <w:szCs w:val="20"/>
              </w:rPr>
            </w:pPr>
            <w:r w:rsidRPr="00CE5927">
              <w:rPr>
                <w:rFonts w:ascii="Tahoma" w:hAnsi="Tahoma" w:cs="Tahoma"/>
                <w:b/>
                <w:bCs/>
                <w:sz w:val="20"/>
                <w:szCs w:val="20"/>
              </w:rPr>
              <w:t>Целевое использование, контроль.</w:t>
            </w:r>
          </w:p>
        </w:tc>
        <w:tc>
          <w:tcPr>
            <w:tcW w:w="8621" w:type="dxa"/>
            <w:gridSpan w:val="2"/>
            <w:tcBorders>
              <w:top w:val="single" w:sz="4" w:space="0" w:color="auto"/>
              <w:left w:val="nil"/>
              <w:bottom w:val="single" w:sz="4" w:space="0" w:color="auto"/>
              <w:right w:val="single" w:sz="4" w:space="0" w:color="000000"/>
            </w:tcBorders>
            <w:shd w:val="clear" w:color="000000" w:fill="FFFFFF"/>
            <w:vAlign w:val="bottom"/>
            <w:hideMark/>
          </w:tcPr>
          <w:p w14:paraId="2A62F292" w14:textId="77777777" w:rsidR="00470B5F" w:rsidRPr="00CE5927" w:rsidRDefault="00470B5F" w:rsidP="00AD7716">
            <w:pPr>
              <w:spacing w:after="240"/>
              <w:jc w:val="center"/>
              <w:rPr>
                <w:rFonts w:ascii="Tahoma" w:hAnsi="Tahoma" w:cs="Tahoma"/>
                <w:sz w:val="20"/>
                <w:szCs w:val="20"/>
              </w:rPr>
            </w:pPr>
            <w:r w:rsidRPr="00CE5927">
              <w:rPr>
                <w:rFonts w:ascii="Tahoma" w:hAnsi="Tahoma" w:cs="Tahoma"/>
                <w:sz w:val="20"/>
                <w:szCs w:val="20"/>
              </w:rPr>
              <w:t>Любые цели, в том числе цели связанные с предпринимательской деятельностью</w:t>
            </w:r>
            <w:r w:rsidRPr="00CE5927">
              <w:rPr>
                <w:rFonts w:ascii="Tahoma" w:hAnsi="Tahoma" w:cs="Tahoma"/>
                <w:sz w:val="20"/>
                <w:szCs w:val="20"/>
              </w:rPr>
              <w:br/>
              <w:t xml:space="preserve"> </w:t>
            </w:r>
          </w:p>
        </w:tc>
      </w:tr>
      <w:tr w:rsidR="00470B5F" w:rsidRPr="00CE5927" w14:paraId="1FF8286A" w14:textId="77777777" w:rsidTr="00AD7716">
        <w:trPr>
          <w:trHeight w:val="1095"/>
        </w:trPr>
        <w:tc>
          <w:tcPr>
            <w:tcW w:w="0" w:type="auto"/>
            <w:gridSpan w:val="2"/>
            <w:vMerge/>
            <w:tcBorders>
              <w:top w:val="single" w:sz="4" w:space="0" w:color="auto"/>
              <w:left w:val="single" w:sz="8" w:space="0" w:color="auto"/>
              <w:bottom w:val="single" w:sz="4" w:space="0" w:color="000000"/>
              <w:right w:val="single" w:sz="4" w:space="0" w:color="000000"/>
            </w:tcBorders>
            <w:vAlign w:val="center"/>
            <w:hideMark/>
          </w:tcPr>
          <w:p w14:paraId="7F1010EF" w14:textId="77777777" w:rsidR="00470B5F" w:rsidRPr="00CE5927" w:rsidRDefault="00470B5F" w:rsidP="00AD7716">
            <w:pPr>
              <w:ind w:left="616"/>
              <w:rPr>
                <w:rFonts w:ascii="Tahoma" w:hAnsi="Tahoma" w:cs="Tahoma"/>
                <w:b/>
                <w:bCs/>
                <w:sz w:val="20"/>
                <w:szCs w:val="20"/>
              </w:rPr>
            </w:pP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2666A90C" w14:textId="77777777" w:rsidR="00470B5F" w:rsidRPr="00CE5927" w:rsidRDefault="00470B5F" w:rsidP="00AD7716">
            <w:pPr>
              <w:jc w:val="center"/>
              <w:rPr>
                <w:rFonts w:ascii="Tahoma" w:hAnsi="Tahoma" w:cs="Tahoma"/>
                <w:sz w:val="20"/>
                <w:szCs w:val="20"/>
              </w:rPr>
            </w:pPr>
            <w:r w:rsidRPr="00CE5927">
              <w:rPr>
                <w:rFonts w:ascii="Tahoma" w:hAnsi="Tahoma" w:cs="Tahoma"/>
                <w:sz w:val="20"/>
                <w:szCs w:val="20"/>
              </w:rPr>
              <w:t>Не подтверждается/Подтверждается на основании решения уполномоченного органа Банка, принимающего решение о выдаче кредита с отражением в Индивидуальных условиях договора</w:t>
            </w:r>
          </w:p>
        </w:tc>
        <w:tc>
          <w:tcPr>
            <w:tcW w:w="3202" w:type="dxa"/>
            <w:tcBorders>
              <w:top w:val="single" w:sz="4" w:space="0" w:color="auto"/>
              <w:left w:val="nil"/>
              <w:bottom w:val="single" w:sz="4" w:space="0" w:color="auto"/>
              <w:right w:val="single" w:sz="4" w:space="0" w:color="auto"/>
            </w:tcBorders>
            <w:shd w:val="clear" w:color="auto" w:fill="auto"/>
            <w:vAlign w:val="center"/>
            <w:hideMark/>
          </w:tcPr>
          <w:p w14:paraId="4B6FED87" w14:textId="77777777" w:rsidR="00470B5F" w:rsidRPr="00CE5927" w:rsidRDefault="00470B5F" w:rsidP="00AD7716">
            <w:pPr>
              <w:jc w:val="center"/>
              <w:rPr>
                <w:rFonts w:ascii="Tahoma" w:hAnsi="Tahoma" w:cs="Tahoma"/>
                <w:sz w:val="20"/>
                <w:szCs w:val="20"/>
              </w:rPr>
            </w:pPr>
            <w:r w:rsidRPr="00CE5927">
              <w:rPr>
                <w:rFonts w:ascii="Tahoma" w:hAnsi="Tahoma" w:cs="Tahoma"/>
                <w:sz w:val="20"/>
                <w:szCs w:val="20"/>
              </w:rPr>
              <w:t>Требуется подтверждение целевого использования. Форма и срок подтверждения целевого использования определяется уполномоченным органом Банка, принимающим решение о выдаче кредита с отражением в Индивидуальных условиях договора</w:t>
            </w:r>
          </w:p>
        </w:tc>
      </w:tr>
      <w:tr w:rsidR="00470B5F" w:rsidRPr="00CE5927" w14:paraId="5261D236" w14:textId="77777777" w:rsidTr="00AD7716">
        <w:trPr>
          <w:trHeight w:val="1395"/>
        </w:trPr>
        <w:tc>
          <w:tcPr>
            <w:tcW w:w="0" w:type="auto"/>
            <w:gridSpan w:val="2"/>
            <w:tcBorders>
              <w:top w:val="single" w:sz="4" w:space="0" w:color="auto"/>
              <w:left w:val="single" w:sz="8" w:space="0" w:color="auto"/>
              <w:bottom w:val="single" w:sz="4" w:space="0" w:color="auto"/>
              <w:right w:val="single" w:sz="4" w:space="0" w:color="auto"/>
            </w:tcBorders>
            <w:shd w:val="clear" w:color="000000" w:fill="FFFF99"/>
            <w:vAlign w:val="center"/>
            <w:hideMark/>
          </w:tcPr>
          <w:p w14:paraId="0E333238" w14:textId="77777777" w:rsidR="00470B5F" w:rsidRPr="00CE5927" w:rsidRDefault="00470B5F" w:rsidP="00AD7716">
            <w:pPr>
              <w:ind w:left="616"/>
              <w:rPr>
                <w:rFonts w:ascii="Tahoma" w:hAnsi="Tahoma" w:cs="Tahoma"/>
                <w:b/>
                <w:bCs/>
                <w:sz w:val="20"/>
                <w:szCs w:val="20"/>
              </w:rPr>
            </w:pPr>
            <w:r w:rsidRPr="00CE5927">
              <w:rPr>
                <w:rFonts w:ascii="Tahoma" w:hAnsi="Tahoma" w:cs="Tahoma"/>
                <w:b/>
                <w:bCs/>
                <w:sz w:val="20"/>
                <w:szCs w:val="20"/>
              </w:rPr>
              <w:t>Подтверждение дохода**</w:t>
            </w:r>
          </w:p>
        </w:tc>
        <w:tc>
          <w:tcPr>
            <w:tcW w:w="8621" w:type="dxa"/>
            <w:gridSpan w:val="2"/>
            <w:tcBorders>
              <w:top w:val="single" w:sz="4" w:space="0" w:color="auto"/>
              <w:left w:val="nil"/>
              <w:bottom w:val="single" w:sz="4" w:space="0" w:color="auto"/>
              <w:right w:val="single" w:sz="4" w:space="0" w:color="000000"/>
            </w:tcBorders>
            <w:shd w:val="clear" w:color="000000" w:fill="FFFFFF"/>
            <w:vAlign w:val="center"/>
            <w:hideMark/>
          </w:tcPr>
          <w:p w14:paraId="5D1A3B4D" w14:textId="77777777" w:rsidR="00470B5F" w:rsidRPr="00CE5927" w:rsidRDefault="00470B5F" w:rsidP="00AD7716">
            <w:pPr>
              <w:jc w:val="center"/>
              <w:rPr>
                <w:rFonts w:ascii="Tahoma" w:hAnsi="Tahoma" w:cs="Tahoma"/>
                <w:sz w:val="20"/>
                <w:szCs w:val="20"/>
              </w:rPr>
            </w:pPr>
            <w:r w:rsidRPr="00CE5927">
              <w:rPr>
                <w:rFonts w:ascii="Tahoma" w:hAnsi="Tahoma" w:cs="Tahoma"/>
                <w:sz w:val="20"/>
                <w:szCs w:val="20"/>
              </w:rPr>
              <w:t>Документы подтверждающие доход предприятия заемщика, заверенные УФНС (налоговые декларации, иная бухгалтерская, налоговая отчетность)/  управленческая отчетность , подтверждающая доходы и расходы предприятия заемщика (кассовая книга, книга доходов и расходов, выписки по счетам б/у, выписки с расчетных счетов (с указанием назначения платежа)  и пр.) / иные документы по требованию уполномоченного органа Банка, принимающего решение о выдаче кредита</w:t>
            </w:r>
          </w:p>
        </w:tc>
      </w:tr>
      <w:tr w:rsidR="00470B5F" w:rsidRPr="00CE5927" w14:paraId="4AFC5F8F" w14:textId="77777777" w:rsidTr="00AD7716">
        <w:trPr>
          <w:trHeight w:val="465"/>
        </w:trPr>
        <w:tc>
          <w:tcPr>
            <w:tcW w:w="0" w:type="auto"/>
            <w:vMerge w:val="restart"/>
            <w:tcBorders>
              <w:top w:val="nil"/>
              <w:left w:val="single" w:sz="8" w:space="0" w:color="auto"/>
              <w:bottom w:val="single" w:sz="4" w:space="0" w:color="000000"/>
              <w:right w:val="nil"/>
            </w:tcBorders>
            <w:shd w:val="clear" w:color="000000" w:fill="FFFF99"/>
            <w:vAlign w:val="center"/>
            <w:hideMark/>
          </w:tcPr>
          <w:p w14:paraId="0DCA4846" w14:textId="77777777" w:rsidR="00470B5F" w:rsidRPr="00CE5927" w:rsidRDefault="00470B5F" w:rsidP="00AD7716">
            <w:pPr>
              <w:ind w:left="616"/>
              <w:jc w:val="center"/>
              <w:rPr>
                <w:rFonts w:ascii="Tahoma" w:hAnsi="Tahoma" w:cs="Tahoma"/>
                <w:b/>
                <w:bCs/>
                <w:sz w:val="20"/>
                <w:szCs w:val="20"/>
              </w:rPr>
            </w:pPr>
            <w:r w:rsidRPr="00CE5927">
              <w:rPr>
                <w:rFonts w:ascii="Tahoma" w:hAnsi="Tahoma" w:cs="Tahoma"/>
                <w:b/>
                <w:bCs/>
                <w:sz w:val="20"/>
                <w:szCs w:val="20"/>
              </w:rPr>
              <w:t>Параметры продукта</w:t>
            </w:r>
          </w:p>
        </w:tc>
        <w:tc>
          <w:tcPr>
            <w:tcW w:w="0" w:type="auto"/>
            <w:tcBorders>
              <w:top w:val="nil"/>
              <w:left w:val="single" w:sz="4" w:space="0" w:color="auto"/>
              <w:bottom w:val="single" w:sz="4" w:space="0" w:color="auto"/>
              <w:right w:val="single" w:sz="4" w:space="0" w:color="auto"/>
            </w:tcBorders>
            <w:shd w:val="clear" w:color="000000" w:fill="FFFF99"/>
            <w:vAlign w:val="center"/>
            <w:hideMark/>
          </w:tcPr>
          <w:p w14:paraId="24435310" w14:textId="77777777" w:rsidR="00470B5F" w:rsidRPr="00CE5927" w:rsidRDefault="00470B5F" w:rsidP="00AD7716">
            <w:pPr>
              <w:rPr>
                <w:rFonts w:ascii="Tahoma" w:hAnsi="Tahoma" w:cs="Tahoma"/>
                <w:b/>
                <w:bCs/>
                <w:sz w:val="20"/>
                <w:szCs w:val="20"/>
              </w:rPr>
            </w:pPr>
            <w:r w:rsidRPr="00CE5927">
              <w:rPr>
                <w:rFonts w:ascii="Tahoma" w:hAnsi="Tahoma" w:cs="Tahoma"/>
                <w:b/>
                <w:bCs/>
                <w:sz w:val="20"/>
                <w:szCs w:val="20"/>
              </w:rPr>
              <w:t>Валюта кредита</w:t>
            </w:r>
          </w:p>
        </w:tc>
        <w:tc>
          <w:tcPr>
            <w:tcW w:w="8621" w:type="dxa"/>
            <w:gridSpan w:val="2"/>
            <w:tcBorders>
              <w:top w:val="single" w:sz="4" w:space="0" w:color="auto"/>
              <w:left w:val="nil"/>
              <w:bottom w:val="single" w:sz="4" w:space="0" w:color="auto"/>
              <w:right w:val="single" w:sz="4" w:space="0" w:color="auto"/>
            </w:tcBorders>
            <w:shd w:val="clear" w:color="000000" w:fill="FFFFFF"/>
            <w:vAlign w:val="center"/>
            <w:hideMark/>
          </w:tcPr>
          <w:p w14:paraId="45D6580A" w14:textId="77777777" w:rsidR="00470B5F" w:rsidRPr="00CE5927" w:rsidRDefault="00470B5F" w:rsidP="00AD7716">
            <w:pPr>
              <w:jc w:val="center"/>
              <w:rPr>
                <w:rFonts w:ascii="Tahoma" w:hAnsi="Tahoma" w:cs="Tahoma"/>
                <w:sz w:val="20"/>
                <w:szCs w:val="20"/>
              </w:rPr>
            </w:pPr>
            <w:r w:rsidRPr="00CE5927">
              <w:rPr>
                <w:rFonts w:ascii="Tahoma" w:hAnsi="Tahoma" w:cs="Tahoma"/>
                <w:sz w:val="20"/>
                <w:szCs w:val="20"/>
              </w:rPr>
              <w:t>Рубли</w:t>
            </w:r>
          </w:p>
        </w:tc>
      </w:tr>
      <w:tr w:rsidR="00470B5F" w:rsidRPr="00CE5927" w14:paraId="7ED8AADA" w14:textId="77777777" w:rsidTr="00AD7716">
        <w:trPr>
          <w:trHeight w:val="1260"/>
        </w:trPr>
        <w:tc>
          <w:tcPr>
            <w:tcW w:w="0" w:type="auto"/>
            <w:vMerge/>
            <w:tcBorders>
              <w:top w:val="nil"/>
              <w:left w:val="single" w:sz="8" w:space="0" w:color="auto"/>
              <w:bottom w:val="single" w:sz="4" w:space="0" w:color="000000"/>
              <w:right w:val="nil"/>
            </w:tcBorders>
            <w:vAlign w:val="center"/>
            <w:hideMark/>
          </w:tcPr>
          <w:p w14:paraId="4EEAC851" w14:textId="77777777" w:rsidR="00470B5F" w:rsidRPr="00CE5927" w:rsidRDefault="00470B5F" w:rsidP="00AD7716">
            <w:pPr>
              <w:ind w:left="616"/>
              <w:rPr>
                <w:rFonts w:ascii="Tahoma" w:hAnsi="Tahoma" w:cs="Tahoma"/>
                <w:b/>
                <w:bCs/>
                <w:sz w:val="20"/>
                <w:szCs w:val="20"/>
              </w:rPr>
            </w:pPr>
          </w:p>
        </w:tc>
        <w:tc>
          <w:tcPr>
            <w:tcW w:w="0" w:type="auto"/>
            <w:tcBorders>
              <w:top w:val="nil"/>
              <w:left w:val="single" w:sz="4" w:space="0" w:color="auto"/>
              <w:bottom w:val="single" w:sz="4" w:space="0" w:color="auto"/>
              <w:right w:val="single" w:sz="4" w:space="0" w:color="auto"/>
            </w:tcBorders>
            <w:shd w:val="clear" w:color="000000" w:fill="FFFF99"/>
            <w:vAlign w:val="center"/>
            <w:hideMark/>
          </w:tcPr>
          <w:p w14:paraId="20139D53" w14:textId="77777777" w:rsidR="00470B5F" w:rsidRPr="00CE5927" w:rsidRDefault="00470B5F" w:rsidP="00AD7716">
            <w:pPr>
              <w:rPr>
                <w:rFonts w:ascii="Tahoma" w:hAnsi="Tahoma" w:cs="Tahoma"/>
                <w:b/>
                <w:bCs/>
                <w:sz w:val="20"/>
                <w:szCs w:val="20"/>
              </w:rPr>
            </w:pPr>
            <w:r w:rsidRPr="00CE5927">
              <w:rPr>
                <w:rFonts w:ascii="Tahoma" w:hAnsi="Tahoma" w:cs="Tahoma"/>
                <w:b/>
                <w:bCs/>
                <w:sz w:val="20"/>
                <w:szCs w:val="20"/>
              </w:rPr>
              <w:t>Процентная ставка***</w:t>
            </w:r>
          </w:p>
        </w:tc>
        <w:tc>
          <w:tcPr>
            <w:tcW w:w="8621" w:type="dxa"/>
            <w:gridSpan w:val="2"/>
            <w:tcBorders>
              <w:top w:val="single" w:sz="4" w:space="0" w:color="auto"/>
              <w:left w:val="nil"/>
              <w:bottom w:val="single" w:sz="4" w:space="0" w:color="auto"/>
              <w:right w:val="single" w:sz="4" w:space="0" w:color="auto"/>
            </w:tcBorders>
            <w:shd w:val="clear" w:color="000000" w:fill="FFFFFF"/>
            <w:vAlign w:val="center"/>
            <w:hideMark/>
          </w:tcPr>
          <w:p w14:paraId="2B874116" w14:textId="77777777" w:rsidR="00470B5F" w:rsidRPr="00CE5927" w:rsidRDefault="00470B5F" w:rsidP="00AD7716">
            <w:pPr>
              <w:jc w:val="center"/>
              <w:rPr>
                <w:rFonts w:ascii="Tahoma" w:hAnsi="Tahoma" w:cs="Tahoma"/>
                <w:sz w:val="20"/>
                <w:szCs w:val="20"/>
              </w:rPr>
            </w:pPr>
            <w:r w:rsidRPr="00CE5927">
              <w:rPr>
                <w:rFonts w:ascii="Tahoma" w:hAnsi="Tahoma" w:cs="Tahoma"/>
                <w:sz w:val="20"/>
                <w:szCs w:val="20"/>
              </w:rPr>
              <w:t xml:space="preserve">Определяется решением уполномоченного органа Банка, принимающего решение о выдаче кредита в рамках его полномочий, но при принятии решения о выдаче кредита со стороны: </w:t>
            </w:r>
            <w:r w:rsidRPr="00CE5927">
              <w:rPr>
                <w:rFonts w:ascii="Tahoma" w:hAnsi="Tahoma" w:cs="Tahoma"/>
                <w:sz w:val="20"/>
                <w:szCs w:val="20"/>
              </w:rPr>
              <w:br/>
              <w:t xml:space="preserve"> коллегиальных уполномоченных органов Банка -  не менее 12% и не более 34% в рублях</w:t>
            </w:r>
          </w:p>
        </w:tc>
      </w:tr>
      <w:tr w:rsidR="00470B5F" w:rsidRPr="00CE5927" w14:paraId="364EAF4C" w14:textId="77777777" w:rsidTr="00AD7716">
        <w:trPr>
          <w:trHeight w:val="360"/>
        </w:trPr>
        <w:tc>
          <w:tcPr>
            <w:tcW w:w="0" w:type="auto"/>
            <w:vMerge/>
            <w:tcBorders>
              <w:top w:val="nil"/>
              <w:left w:val="single" w:sz="8" w:space="0" w:color="auto"/>
              <w:bottom w:val="single" w:sz="4" w:space="0" w:color="000000"/>
              <w:right w:val="nil"/>
            </w:tcBorders>
            <w:vAlign w:val="center"/>
            <w:hideMark/>
          </w:tcPr>
          <w:p w14:paraId="591F606F" w14:textId="77777777" w:rsidR="00470B5F" w:rsidRPr="00CE5927" w:rsidRDefault="00470B5F" w:rsidP="00AD7716">
            <w:pPr>
              <w:ind w:left="616"/>
              <w:rPr>
                <w:rFonts w:ascii="Tahoma" w:hAnsi="Tahoma" w:cs="Tahoma"/>
                <w:b/>
                <w:bCs/>
                <w:sz w:val="20"/>
                <w:szCs w:val="20"/>
              </w:rPr>
            </w:pPr>
          </w:p>
        </w:tc>
        <w:tc>
          <w:tcPr>
            <w:tcW w:w="0" w:type="auto"/>
            <w:tcBorders>
              <w:top w:val="nil"/>
              <w:left w:val="single" w:sz="4" w:space="0" w:color="auto"/>
              <w:bottom w:val="single" w:sz="4" w:space="0" w:color="auto"/>
              <w:right w:val="single" w:sz="4" w:space="0" w:color="auto"/>
            </w:tcBorders>
            <w:shd w:val="clear" w:color="000000" w:fill="FFFF99"/>
            <w:vAlign w:val="center"/>
            <w:hideMark/>
          </w:tcPr>
          <w:p w14:paraId="23C36A40" w14:textId="77777777" w:rsidR="00470B5F" w:rsidRPr="00CE5927" w:rsidRDefault="00470B5F" w:rsidP="00AD7716">
            <w:pPr>
              <w:rPr>
                <w:rFonts w:ascii="Tahoma" w:hAnsi="Tahoma" w:cs="Tahoma"/>
                <w:b/>
                <w:bCs/>
                <w:sz w:val="20"/>
                <w:szCs w:val="20"/>
              </w:rPr>
            </w:pPr>
            <w:r w:rsidRPr="00CE5927">
              <w:rPr>
                <w:rFonts w:ascii="Tahoma" w:hAnsi="Tahoma" w:cs="Tahoma"/>
                <w:b/>
                <w:bCs/>
                <w:sz w:val="20"/>
                <w:szCs w:val="20"/>
              </w:rPr>
              <w:t>Срок возврата кредита</w:t>
            </w:r>
          </w:p>
        </w:tc>
        <w:tc>
          <w:tcPr>
            <w:tcW w:w="8621" w:type="dxa"/>
            <w:gridSpan w:val="2"/>
            <w:tcBorders>
              <w:top w:val="single" w:sz="4" w:space="0" w:color="auto"/>
              <w:left w:val="nil"/>
              <w:bottom w:val="single" w:sz="4" w:space="0" w:color="auto"/>
              <w:right w:val="single" w:sz="4" w:space="0" w:color="auto"/>
            </w:tcBorders>
            <w:shd w:val="clear" w:color="000000" w:fill="FFFFFF"/>
            <w:vAlign w:val="center"/>
            <w:hideMark/>
          </w:tcPr>
          <w:p w14:paraId="1ACFF09E" w14:textId="77777777" w:rsidR="00470B5F" w:rsidRPr="00CE5927" w:rsidRDefault="00470B5F" w:rsidP="00AD7716">
            <w:pPr>
              <w:jc w:val="center"/>
              <w:rPr>
                <w:rFonts w:ascii="Tahoma" w:hAnsi="Tahoma" w:cs="Tahoma"/>
                <w:sz w:val="20"/>
                <w:szCs w:val="20"/>
              </w:rPr>
            </w:pPr>
            <w:r w:rsidRPr="00CE5927">
              <w:rPr>
                <w:rFonts w:ascii="Tahoma" w:hAnsi="Tahoma" w:cs="Tahoma"/>
                <w:sz w:val="20"/>
                <w:szCs w:val="20"/>
              </w:rPr>
              <w:t>от 1 (одного) до 84 (восьмидесяти четырех) месяцев с шагом в 1 (один) месяц</w:t>
            </w:r>
          </w:p>
        </w:tc>
      </w:tr>
      <w:tr w:rsidR="00470B5F" w:rsidRPr="00CE5927" w14:paraId="21D84563" w14:textId="77777777" w:rsidTr="00AD7716">
        <w:trPr>
          <w:trHeight w:val="480"/>
        </w:trPr>
        <w:tc>
          <w:tcPr>
            <w:tcW w:w="0" w:type="auto"/>
            <w:vMerge/>
            <w:tcBorders>
              <w:top w:val="nil"/>
              <w:left w:val="single" w:sz="8" w:space="0" w:color="auto"/>
              <w:bottom w:val="single" w:sz="4" w:space="0" w:color="000000"/>
              <w:right w:val="nil"/>
            </w:tcBorders>
            <w:vAlign w:val="center"/>
            <w:hideMark/>
          </w:tcPr>
          <w:p w14:paraId="03A7BE8B" w14:textId="77777777" w:rsidR="00470B5F" w:rsidRPr="00CE5927" w:rsidRDefault="00470B5F" w:rsidP="00AD7716">
            <w:pPr>
              <w:ind w:left="616"/>
              <w:rPr>
                <w:rFonts w:ascii="Tahoma" w:hAnsi="Tahoma" w:cs="Tahoma"/>
                <w:b/>
                <w:bCs/>
                <w:sz w:val="20"/>
                <w:szCs w:val="20"/>
              </w:rPr>
            </w:pPr>
          </w:p>
        </w:tc>
        <w:tc>
          <w:tcPr>
            <w:tcW w:w="0" w:type="auto"/>
            <w:tcBorders>
              <w:top w:val="nil"/>
              <w:left w:val="single" w:sz="4" w:space="0" w:color="auto"/>
              <w:bottom w:val="single" w:sz="4" w:space="0" w:color="auto"/>
              <w:right w:val="single" w:sz="4" w:space="0" w:color="auto"/>
            </w:tcBorders>
            <w:shd w:val="clear" w:color="000000" w:fill="FFFF99"/>
            <w:vAlign w:val="center"/>
            <w:hideMark/>
          </w:tcPr>
          <w:p w14:paraId="55459C5B" w14:textId="77777777" w:rsidR="00470B5F" w:rsidRPr="00CE5927" w:rsidRDefault="00470B5F" w:rsidP="00AD7716">
            <w:pPr>
              <w:rPr>
                <w:rFonts w:ascii="Tahoma" w:hAnsi="Tahoma" w:cs="Tahoma"/>
                <w:b/>
                <w:bCs/>
                <w:sz w:val="20"/>
                <w:szCs w:val="20"/>
              </w:rPr>
            </w:pPr>
            <w:r w:rsidRPr="00CE5927">
              <w:rPr>
                <w:rFonts w:ascii="Tahoma" w:hAnsi="Tahoma" w:cs="Tahoma"/>
                <w:b/>
                <w:bCs/>
                <w:sz w:val="20"/>
                <w:szCs w:val="20"/>
              </w:rPr>
              <w:t>Минимальная сумма кредита</w:t>
            </w:r>
          </w:p>
        </w:tc>
        <w:tc>
          <w:tcPr>
            <w:tcW w:w="8621" w:type="dxa"/>
            <w:gridSpan w:val="2"/>
            <w:tcBorders>
              <w:top w:val="single" w:sz="4" w:space="0" w:color="auto"/>
              <w:left w:val="nil"/>
              <w:bottom w:val="single" w:sz="4" w:space="0" w:color="auto"/>
              <w:right w:val="single" w:sz="4" w:space="0" w:color="auto"/>
            </w:tcBorders>
            <w:shd w:val="clear" w:color="000000" w:fill="FFFFFF"/>
            <w:vAlign w:val="center"/>
            <w:hideMark/>
          </w:tcPr>
          <w:p w14:paraId="6A8C424C" w14:textId="77777777" w:rsidR="00470B5F" w:rsidRPr="00CE5927" w:rsidRDefault="00470B5F" w:rsidP="00AD7716">
            <w:pPr>
              <w:jc w:val="center"/>
              <w:rPr>
                <w:rFonts w:ascii="Tahoma" w:hAnsi="Tahoma" w:cs="Tahoma"/>
                <w:sz w:val="20"/>
                <w:szCs w:val="20"/>
              </w:rPr>
            </w:pPr>
            <w:r w:rsidRPr="00CE5927">
              <w:rPr>
                <w:rFonts w:ascii="Tahoma" w:hAnsi="Tahoma" w:cs="Tahoma"/>
                <w:sz w:val="20"/>
                <w:szCs w:val="20"/>
              </w:rPr>
              <w:t>300 000 рублей</w:t>
            </w:r>
          </w:p>
        </w:tc>
      </w:tr>
      <w:tr w:rsidR="00470B5F" w:rsidRPr="00CE5927" w14:paraId="00E55EB0" w14:textId="77777777" w:rsidTr="00AD7716">
        <w:trPr>
          <w:trHeight w:val="465"/>
        </w:trPr>
        <w:tc>
          <w:tcPr>
            <w:tcW w:w="0" w:type="auto"/>
            <w:vMerge/>
            <w:tcBorders>
              <w:top w:val="nil"/>
              <w:left w:val="single" w:sz="8" w:space="0" w:color="auto"/>
              <w:bottom w:val="single" w:sz="4" w:space="0" w:color="000000"/>
              <w:right w:val="nil"/>
            </w:tcBorders>
            <w:vAlign w:val="center"/>
            <w:hideMark/>
          </w:tcPr>
          <w:p w14:paraId="00EAB066" w14:textId="77777777" w:rsidR="00470B5F" w:rsidRPr="00CE5927" w:rsidRDefault="00470B5F" w:rsidP="00AD7716">
            <w:pPr>
              <w:ind w:left="616"/>
              <w:rPr>
                <w:rFonts w:ascii="Tahoma" w:hAnsi="Tahoma" w:cs="Tahoma"/>
                <w:b/>
                <w:bCs/>
                <w:sz w:val="20"/>
                <w:szCs w:val="20"/>
              </w:rPr>
            </w:pPr>
          </w:p>
        </w:tc>
        <w:tc>
          <w:tcPr>
            <w:tcW w:w="0" w:type="auto"/>
            <w:tcBorders>
              <w:top w:val="nil"/>
              <w:left w:val="single" w:sz="4" w:space="0" w:color="auto"/>
              <w:bottom w:val="single" w:sz="4" w:space="0" w:color="auto"/>
              <w:right w:val="single" w:sz="4" w:space="0" w:color="auto"/>
            </w:tcBorders>
            <w:shd w:val="clear" w:color="000000" w:fill="FFFF99"/>
            <w:vAlign w:val="center"/>
            <w:hideMark/>
          </w:tcPr>
          <w:p w14:paraId="467DECD4" w14:textId="77777777" w:rsidR="00470B5F" w:rsidRPr="00CE5927" w:rsidRDefault="00470B5F" w:rsidP="00AD7716">
            <w:pPr>
              <w:rPr>
                <w:rFonts w:ascii="Tahoma" w:hAnsi="Tahoma" w:cs="Tahoma"/>
                <w:b/>
                <w:bCs/>
                <w:sz w:val="20"/>
                <w:szCs w:val="20"/>
              </w:rPr>
            </w:pPr>
            <w:r w:rsidRPr="00CE5927">
              <w:rPr>
                <w:rFonts w:ascii="Tahoma" w:hAnsi="Tahoma" w:cs="Tahoma"/>
                <w:b/>
                <w:bCs/>
                <w:sz w:val="20"/>
                <w:szCs w:val="20"/>
              </w:rPr>
              <w:t>Максимальная сумма кредита****</w:t>
            </w:r>
          </w:p>
        </w:tc>
        <w:tc>
          <w:tcPr>
            <w:tcW w:w="8621" w:type="dxa"/>
            <w:gridSpan w:val="2"/>
            <w:tcBorders>
              <w:top w:val="single" w:sz="4" w:space="0" w:color="auto"/>
              <w:left w:val="nil"/>
              <w:bottom w:val="single" w:sz="4" w:space="0" w:color="auto"/>
              <w:right w:val="single" w:sz="4" w:space="0" w:color="auto"/>
            </w:tcBorders>
            <w:shd w:val="clear" w:color="000000" w:fill="FFFFFF"/>
            <w:vAlign w:val="center"/>
            <w:hideMark/>
          </w:tcPr>
          <w:p w14:paraId="67F36E8F" w14:textId="77777777" w:rsidR="00470B5F" w:rsidRPr="00CE5927" w:rsidRDefault="00470B5F" w:rsidP="00AD7716">
            <w:pPr>
              <w:jc w:val="center"/>
              <w:rPr>
                <w:rFonts w:ascii="Tahoma" w:hAnsi="Tahoma" w:cs="Tahoma"/>
                <w:sz w:val="20"/>
                <w:szCs w:val="20"/>
              </w:rPr>
            </w:pPr>
            <w:r w:rsidRPr="00CE5927">
              <w:rPr>
                <w:rFonts w:ascii="Tahoma" w:hAnsi="Tahoma" w:cs="Tahoma"/>
                <w:sz w:val="20"/>
                <w:szCs w:val="20"/>
              </w:rPr>
              <w:t xml:space="preserve">не более 5% от собственного капитала, расчитанного на последнюю отчетную дату, предшествующую дате заключения кредитного договора </w:t>
            </w:r>
          </w:p>
        </w:tc>
      </w:tr>
      <w:tr w:rsidR="00470B5F" w:rsidRPr="00CE5927" w14:paraId="052405C3" w14:textId="77777777" w:rsidTr="00AD7716">
        <w:trPr>
          <w:trHeight w:val="615"/>
        </w:trPr>
        <w:tc>
          <w:tcPr>
            <w:tcW w:w="0" w:type="auto"/>
            <w:vMerge/>
            <w:tcBorders>
              <w:top w:val="nil"/>
              <w:left w:val="single" w:sz="8" w:space="0" w:color="auto"/>
              <w:bottom w:val="single" w:sz="4" w:space="0" w:color="000000"/>
              <w:right w:val="nil"/>
            </w:tcBorders>
            <w:vAlign w:val="center"/>
            <w:hideMark/>
          </w:tcPr>
          <w:p w14:paraId="7A6E2747" w14:textId="77777777" w:rsidR="00470B5F" w:rsidRPr="00CE5927" w:rsidRDefault="00470B5F" w:rsidP="00AD7716">
            <w:pPr>
              <w:ind w:left="616"/>
              <w:rPr>
                <w:rFonts w:ascii="Tahoma" w:hAnsi="Tahoma" w:cs="Tahoma"/>
                <w:b/>
                <w:bCs/>
                <w:sz w:val="20"/>
                <w:szCs w:val="20"/>
              </w:rPr>
            </w:pPr>
          </w:p>
        </w:tc>
        <w:tc>
          <w:tcPr>
            <w:tcW w:w="0" w:type="auto"/>
            <w:tcBorders>
              <w:top w:val="nil"/>
              <w:left w:val="single" w:sz="4" w:space="0" w:color="auto"/>
              <w:bottom w:val="single" w:sz="4" w:space="0" w:color="auto"/>
              <w:right w:val="single" w:sz="4" w:space="0" w:color="auto"/>
            </w:tcBorders>
            <w:shd w:val="clear" w:color="000000" w:fill="FFFF99"/>
            <w:vAlign w:val="center"/>
            <w:hideMark/>
          </w:tcPr>
          <w:p w14:paraId="6EE5C87A" w14:textId="77777777" w:rsidR="00470B5F" w:rsidRPr="00CE5927" w:rsidRDefault="00470B5F" w:rsidP="00AD7716">
            <w:pPr>
              <w:rPr>
                <w:rFonts w:ascii="Tahoma" w:hAnsi="Tahoma" w:cs="Tahoma"/>
                <w:b/>
                <w:bCs/>
                <w:sz w:val="20"/>
                <w:szCs w:val="20"/>
              </w:rPr>
            </w:pPr>
            <w:r w:rsidRPr="00CE5927">
              <w:rPr>
                <w:rFonts w:ascii="Tahoma" w:hAnsi="Tahoma" w:cs="Tahoma"/>
                <w:b/>
                <w:bCs/>
                <w:sz w:val="20"/>
                <w:szCs w:val="20"/>
              </w:rPr>
              <w:t>Порядок предоставления кредита</w:t>
            </w:r>
          </w:p>
        </w:tc>
        <w:tc>
          <w:tcPr>
            <w:tcW w:w="8621" w:type="dxa"/>
            <w:gridSpan w:val="2"/>
            <w:tcBorders>
              <w:top w:val="single" w:sz="4" w:space="0" w:color="auto"/>
              <w:left w:val="nil"/>
              <w:bottom w:val="single" w:sz="4" w:space="0" w:color="auto"/>
              <w:right w:val="single" w:sz="4" w:space="0" w:color="auto"/>
            </w:tcBorders>
            <w:shd w:val="clear" w:color="000000" w:fill="FFFFFF"/>
            <w:vAlign w:val="center"/>
            <w:hideMark/>
          </w:tcPr>
          <w:p w14:paraId="0048D51A" w14:textId="77777777" w:rsidR="00470B5F" w:rsidRPr="00CE5927" w:rsidRDefault="00470B5F" w:rsidP="00AD7716">
            <w:pPr>
              <w:jc w:val="center"/>
              <w:rPr>
                <w:rFonts w:ascii="Tahoma" w:hAnsi="Tahoma" w:cs="Tahoma"/>
                <w:sz w:val="20"/>
                <w:szCs w:val="20"/>
              </w:rPr>
            </w:pPr>
            <w:r w:rsidRPr="00CE5927">
              <w:rPr>
                <w:rFonts w:ascii="Tahoma" w:hAnsi="Tahoma" w:cs="Tahoma"/>
                <w:sz w:val="20"/>
                <w:szCs w:val="20"/>
              </w:rPr>
              <w:t>наличными, или перечислением в безналичном порядке на любой счет</w:t>
            </w:r>
          </w:p>
        </w:tc>
      </w:tr>
      <w:tr w:rsidR="00470B5F" w:rsidRPr="00CE5927" w14:paraId="5729B1C4" w14:textId="77777777" w:rsidTr="00AD7716">
        <w:trPr>
          <w:trHeight w:val="945"/>
        </w:trPr>
        <w:tc>
          <w:tcPr>
            <w:tcW w:w="0" w:type="auto"/>
            <w:vMerge/>
            <w:tcBorders>
              <w:top w:val="nil"/>
              <w:left w:val="single" w:sz="8" w:space="0" w:color="auto"/>
              <w:bottom w:val="single" w:sz="4" w:space="0" w:color="000000"/>
              <w:right w:val="nil"/>
            </w:tcBorders>
            <w:vAlign w:val="center"/>
            <w:hideMark/>
          </w:tcPr>
          <w:p w14:paraId="51FDCFF9" w14:textId="77777777" w:rsidR="00470B5F" w:rsidRPr="00CE5927" w:rsidRDefault="00470B5F" w:rsidP="00AD7716">
            <w:pPr>
              <w:ind w:left="616"/>
              <w:rPr>
                <w:rFonts w:ascii="Tahoma" w:hAnsi="Tahoma" w:cs="Tahoma"/>
                <w:b/>
                <w:bCs/>
                <w:sz w:val="20"/>
                <w:szCs w:val="20"/>
              </w:rPr>
            </w:pPr>
          </w:p>
        </w:tc>
        <w:tc>
          <w:tcPr>
            <w:tcW w:w="0" w:type="auto"/>
            <w:tcBorders>
              <w:top w:val="nil"/>
              <w:left w:val="single" w:sz="4" w:space="0" w:color="auto"/>
              <w:bottom w:val="single" w:sz="4" w:space="0" w:color="auto"/>
              <w:right w:val="single" w:sz="4" w:space="0" w:color="auto"/>
            </w:tcBorders>
            <w:shd w:val="clear" w:color="000000" w:fill="FFFF99"/>
            <w:vAlign w:val="center"/>
            <w:hideMark/>
          </w:tcPr>
          <w:p w14:paraId="11206C45" w14:textId="77777777" w:rsidR="00470B5F" w:rsidRPr="00CE5927" w:rsidRDefault="00470B5F" w:rsidP="00AD7716">
            <w:pPr>
              <w:rPr>
                <w:rFonts w:ascii="Tahoma" w:hAnsi="Tahoma" w:cs="Tahoma"/>
                <w:b/>
                <w:bCs/>
                <w:sz w:val="20"/>
                <w:szCs w:val="20"/>
              </w:rPr>
            </w:pPr>
            <w:r w:rsidRPr="00CE5927">
              <w:rPr>
                <w:rFonts w:ascii="Tahoma" w:hAnsi="Tahoma" w:cs="Tahoma"/>
                <w:b/>
                <w:bCs/>
                <w:sz w:val="20"/>
                <w:szCs w:val="20"/>
              </w:rPr>
              <w:t>Порядок погашения кредита</w:t>
            </w:r>
          </w:p>
        </w:tc>
        <w:tc>
          <w:tcPr>
            <w:tcW w:w="8621" w:type="dxa"/>
            <w:gridSpan w:val="2"/>
            <w:tcBorders>
              <w:top w:val="single" w:sz="4" w:space="0" w:color="auto"/>
              <w:left w:val="nil"/>
              <w:bottom w:val="single" w:sz="4" w:space="0" w:color="auto"/>
              <w:right w:val="single" w:sz="4" w:space="0" w:color="auto"/>
            </w:tcBorders>
            <w:shd w:val="clear" w:color="000000" w:fill="FFFFFF"/>
            <w:vAlign w:val="center"/>
            <w:hideMark/>
          </w:tcPr>
          <w:p w14:paraId="23E65A7A" w14:textId="77777777" w:rsidR="00470B5F" w:rsidRPr="00CE5927" w:rsidRDefault="00470B5F" w:rsidP="00AD7716">
            <w:pPr>
              <w:jc w:val="center"/>
              <w:rPr>
                <w:rFonts w:ascii="Tahoma" w:hAnsi="Tahoma" w:cs="Tahoma"/>
                <w:sz w:val="20"/>
                <w:szCs w:val="20"/>
              </w:rPr>
            </w:pPr>
            <w:r w:rsidRPr="00CE5927">
              <w:rPr>
                <w:rFonts w:ascii="Tahoma" w:hAnsi="Tahoma" w:cs="Tahoma"/>
                <w:sz w:val="20"/>
                <w:szCs w:val="20"/>
              </w:rPr>
              <w:t>Согласно Индивидуальных условий договора при потребительском кредитвании в «Азиатско-Тихоокеанский Банк» (ОАО)» , но по решению уполномоченного органа Банка принимающего решение о выдаче и в рамках его полномочий может быть предусмотрен индивидуальный график погашения кредита</w:t>
            </w:r>
          </w:p>
        </w:tc>
      </w:tr>
      <w:tr w:rsidR="00470B5F" w:rsidRPr="00CE5927" w14:paraId="2D1A9C8B" w14:textId="77777777" w:rsidTr="00AD7716">
        <w:trPr>
          <w:trHeight w:val="510"/>
        </w:trPr>
        <w:tc>
          <w:tcPr>
            <w:tcW w:w="0" w:type="auto"/>
            <w:vMerge/>
            <w:tcBorders>
              <w:top w:val="nil"/>
              <w:left w:val="single" w:sz="8" w:space="0" w:color="auto"/>
              <w:bottom w:val="single" w:sz="4" w:space="0" w:color="000000"/>
              <w:right w:val="nil"/>
            </w:tcBorders>
            <w:vAlign w:val="center"/>
            <w:hideMark/>
          </w:tcPr>
          <w:p w14:paraId="759595ED" w14:textId="77777777" w:rsidR="00470B5F" w:rsidRPr="00CE5927" w:rsidRDefault="00470B5F" w:rsidP="00AD7716">
            <w:pPr>
              <w:ind w:left="616"/>
              <w:rPr>
                <w:rFonts w:ascii="Tahoma" w:hAnsi="Tahoma" w:cs="Tahoma"/>
                <w:b/>
                <w:bCs/>
                <w:sz w:val="20"/>
                <w:szCs w:val="20"/>
              </w:rPr>
            </w:pPr>
          </w:p>
        </w:tc>
        <w:tc>
          <w:tcPr>
            <w:tcW w:w="0" w:type="auto"/>
            <w:tcBorders>
              <w:top w:val="nil"/>
              <w:left w:val="single" w:sz="4" w:space="0" w:color="auto"/>
              <w:bottom w:val="single" w:sz="4" w:space="0" w:color="auto"/>
              <w:right w:val="single" w:sz="4" w:space="0" w:color="auto"/>
            </w:tcBorders>
            <w:shd w:val="clear" w:color="000000" w:fill="FFFF99"/>
            <w:vAlign w:val="center"/>
            <w:hideMark/>
          </w:tcPr>
          <w:p w14:paraId="06A58A41" w14:textId="77777777" w:rsidR="00470B5F" w:rsidRPr="00CE5927" w:rsidRDefault="00470B5F" w:rsidP="00AD7716">
            <w:pPr>
              <w:rPr>
                <w:rFonts w:ascii="Tahoma" w:hAnsi="Tahoma" w:cs="Tahoma"/>
                <w:b/>
                <w:bCs/>
                <w:sz w:val="20"/>
                <w:szCs w:val="20"/>
              </w:rPr>
            </w:pPr>
            <w:r w:rsidRPr="00CE5927">
              <w:rPr>
                <w:rFonts w:ascii="Tahoma" w:hAnsi="Tahoma" w:cs="Tahoma"/>
                <w:b/>
                <w:bCs/>
                <w:sz w:val="20"/>
                <w:szCs w:val="20"/>
              </w:rPr>
              <w:t>Возможность и условия досрочного погашения</w:t>
            </w:r>
          </w:p>
        </w:tc>
        <w:tc>
          <w:tcPr>
            <w:tcW w:w="8621" w:type="dxa"/>
            <w:gridSpan w:val="2"/>
            <w:tcBorders>
              <w:top w:val="single" w:sz="4" w:space="0" w:color="auto"/>
              <w:left w:val="nil"/>
              <w:bottom w:val="single" w:sz="4" w:space="0" w:color="auto"/>
              <w:right w:val="single" w:sz="4" w:space="0" w:color="auto"/>
            </w:tcBorders>
            <w:shd w:val="clear" w:color="000000" w:fill="FFFFFF"/>
            <w:vAlign w:val="center"/>
            <w:hideMark/>
          </w:tcPr>
          <w:p w14:paraId="17B59B7C" w14:textId="77777777" w:rsidR="00470B5F" w:rsidRPr="00CE5927" w:rsidRDefault="00470B5F" w:rsidP="00AD7716">
            <w:pPr>
              <w:jc w:val="center"/>
              <w:rPr>
                <w:rFonts w:ascii="Tahoma" w:hAnsi="Tahoma" w:cs="Tahoma"/>
                <w:sz w:val="20"/>
                <w:szCs w:val="20"/>
              </w:rPr>
            </w:pPr>
            <w:r w:rsidRPr="00CE5927">
              <w:rPr>
                <w:rFonts w:ascii="Tahoma" w:hAnsi="Tahoma" w:cs="Tahoma"/>
                <w:sz w:val="20"/>
                <w:szCs w:val="20"/>
              </w:rPr>
              <w:t xml:space="preserve">Согласно индивидуальных условий договора при потребительском кредитвании в «Азиатско-Тихоокеанский Банк» (ОАО)» </w:t>
            </w:r>
          </w:p>
        </w:tc>
      </w:tr>
      <w:tr w:rsidR="00470B5F" w:rsidRPr="00CE5927" w14:paraId="25D94AD2" w14:textId="77777777" w:rsidTr="00AD7716">
        <w:trPr>
          <w:trHeight w:val="510"/>
        </w:trPr>
        <w:tc>
          <w:tcPr>
            <w:tcW w:w="0" w:type="auto"/>
            <w:vMerge/>
            <w:tcBorders>
              <w:top w:val="nil"/>
              <w:left w:val="single" w:sz="8" w:space="0" w:color="auto"/>
              <w:bottom w:val="single" w:sz="4" w:space="0" w:color="000000"/>
              <w:right w:val="nil"/>
            </w:tcBorders>
            <w:vAlign w:val="center"/>
            <w:hideMark/>
          </w:tcPr>
          <w:p w14:paraId="70F458AF" w14:textId="77777777" w:rsidR="00470B5F" w:rsidRPr="00CE5927" w:rsidRDefault="00470B5F" w:rsidP="00AD7716">
            <w:pPr>
              <w:ind w:left="616"/>
              <w:rPr>
                <w:rFonts w:ascii="Tahoma" w:hAnsi="Tahoma" w:cs="Tahoma"/>
                <w:b/>
                <w:bCs/>
                <w:sz w:val="20"/>
                <w:szCs w:val="20"/>
              </w:rPr>
            </w:pPr>
          </w:p>
        </w:tc>
        <w:tc>
          <w:tcPr>
            <w:tcW w:w="0" w:type="auto"/>
            <w:tcBorders>
              <w:top w:val="nil"/>
              <w:left w:val="single" w:sz="4" w:space="0" w:color="auto"/>
              <w:bottom w:val="single" w:sz="4" w:space="0" w:color="auto"/>
              <w:right w:val="single" w:sz="4" w:space="0" w:color="auto"/>
            </w:tcBorders>
            <w:shd w:val="clear" w:color="000000" w:fill="FFFF99"/>
            <w:vAlign w:val="center"/>
            <w:hideMark/>
          </w:tcPr>
          <w:p w14:paraId="68FB29C2" w14:textId="77777777" w:rsidR="00470B5F" w:rsidRPr="00CE5927" w:rsidRDefault="00470B5F" w:rsidP="00AD7716">
            <w:pPr>
              <w:rPr>
                <w:rFonts w:ascii="Tahoma" w:hAnsi="Tahoma" w:cs="Tahoma"/>
                <w:b/>
                <w:bCs/>
                <w:sz w:val="20"/>
                <w:szCs w:val="20"/>
              </w:rPr>
            </w:pPr>
            <w:r w:rsidRPr="00CE5927">
              <w:rPr>
                <w:rFonts w:ascii="Tahoma" w:hAnsi="Tahoma" w:cs="Tahoma"/>
                <w:b/>
                <w:bCs/>
                <w:sz w:val="20"/>
                <w:szCs w:val="20"/>
              </w:rPr>
              <w:t xml:space="preserve">Размер и порядок взимания комиссий и прочих платежей </w:t>
            </w:r>
          </w:p>
        </w:tc>
        <w:tc>
          <w:tcPr>
            <w:tcW w:w="8621" w:type="dxa"/>
            <w:gridSpan w:val="2"/>
            <w:tcBorders>
              <w:top w:val="single" w:sz="4" w:space="0" w:color="auto"/>
              <w:left w:val="nil"/>
              <w:bottom w:val="single" w:sz="4" w:space="0" w:color="auto"/>
              <w:right w:val="single" w:sz="4" w:space="0" w:color="auto"/>
            </w:tcBorders>
            <w:shd w:val="clear" w:color="000000" w:fill="FFFFFF"/>
            <w:vAlign w:val="center"/>
            <w:hideMark/>
          </w:tcPr>
          <w:p w14:paraId="067DDECE" w14:textId="77777777" w:rsidR="00470B5F" w:rsidRPr="00CE5927" w:rsidRDefault="00470B5F" w:rsidP="00AD7716">
            <w:pPr>
              <w:jc w:val="center"/>
              <w:rPr>
                <w:rFonts w:ascii="Tahoma" w:hAnsi="Tahoma" w:cs="Tahoma"/>
                <w:sz w:val="20"/>
                <w:szCs w:val="20"/>
              </w:rPr>
            </w:pPr>
            <w:r w:rsidRPr="00CE5927">
              <w:rPr>
                <w:rFonts w:ascii="Tahoma" w:hAnsi="Tahoma" w:cs="Tahoma"/>
                <w:sz w:val="20"/>
                <w:szCs w:val="20"/>
              </w:rPr>
              <w:t>отсутствуют</w:t>
            </w:r>
          </w:p>
        </w:tc>
      </w:tr>
      <w:tr w:rsidR="00470B5F" w:rsidRPr="00CE5927" w14:paraId="03834428" w14:textId="77777777" w:rsidTr="00AD7716">
        <w:trPr>
          <w:trHeight w:val="1020"/>
        </w:trPr>
        <w:tc>
          <w:tcPr>
            <w:tcW w:w="0" w:type="auto"/>
            <w:vMerge/>
            <w:tcBorders>
              <w:top w:val="nil"/>
              <w:left w:val="single" w:sz="8" w:space="0" w:color="auto"/>
              <w:bottom w:val="single" w:sz="4" w:space="0" w:color="000000"/>
              <w:right w:val="nil"/>
            </w:tcBorders>
            <w:vAlign w:val="center"/>
            <w:hideMark/>
          </w:tcPr>
          <w:p w14:paraId="1C1826CB" w14:textId="77777777" w:rsidR="00470B5F" w:rsidRPr="00CE5927" w:rsidRDefault="00470B5F" w:rsidP="00AD7716">
            <w:pPr>
              <w:ind w:left="616"/>
              <w:rPr>
                <w:rFonts w:ascii="Tahoma" w:hAnsi="Tahoma" w:cs="Tahoma"/>
                <w:b/>
                <w:bCs/>
                <w:sz w:val="20"/>
                <w:szCs w:val="20"/>
              </w:rPr>
            </w:pPr>
          </w:p>
        </w:tc>
        <w:tc>
          <w:tcPr>
            <w:tcW w:w="0" w:type="auto"/>
            <w:tcBorders>
              <w:top w:val="nil"/>
              <w:left w:val="single" w:sz="8" w:space="0" w:color="auto"/>
              <w:bottom w:val="single" w:sz="4" w:space="0" w:color="auto"/>
              <w:right w:val="nil"/>
            </w:tcBorders>
            <w:shd w:val="clear" w:color="000000" w:fill="FFFF99"/>
            <w:vAlign w:val="center"/>
            <w:hideMark/>
          </w:tcPr>
          <w:p w14:paraId="6594FEAE" w14:textId="77777777" w:rsidR="00470B5F" w:rsidRPr="00CE5927" w:rsidRDefault="00470B5F" w:rsidP="00AD7716">
            <w:pPr>
              <w:rPr>
                <w:rFonts w:ascii="Tahoma" w:hAnsi="Tahoma" w:cs="Tahoma"/>
                <w:b/>
                <w:bCs/>
                <w:sz w:val="20"/>
                <w:szCs w:val="20"/>
              </w:rPr>
            </w:pPr>
            <w:r w:rsidRPr="00CE5927">
              <w:rPr>
                <w:rFonts w:ascii="Tahoma" w:hAnsi="Tahoma" w:cs="Tahoma"/>
                <w:b/>
                <w:bCs/>
                <w:sz w:val="20"/>
                <w:szCs w:val="20"/>
              </w:rPr>
              <w:t>Обеспечение по кредиту</w:t>
            </w:r>
          </w:p>
        </w:tc>
        <w:tc>
          <w:tcPr>
            <w:tcW w:w="8621" w:type="dxa"/>
            <w:gridSpan w:val="2"/>
            <w:tcBorders>
              <w:top w:val="single" w:sz="4" w:space="0" w:color="auto"/>
              <w:left w:val="single" w:sz="4" w:space="0" w:color="auto"/>
              <w:bottom w:val="single" w:sz="4" w:space="0" w:color="auto"/>
              <w:right w:val="single" w:sz="4" w:space="0" w:color="000000"/>
            </w:tcBorders>
            <w:shd w:val="clear" w:color="000000" w:fill="FFFFFF"/>
            <w:vAlign w:val="center"/>
            <w:hideMark/>
          </w:tcPr>
          <w:p w14:paraId="1FFB3740" w14:textId="77777777" w:rsidR="00470B5F" w:rsidRPr="00CE5927" w:rsidRDefault="00470B5F" w:rsidP="00AD7716">
            <w:pPr>
              <w:rPr>
                <w:rFonts w:ascii="Tahoma" w:hAnsi="Tahoma" w:cs="Tahoma"/>
                <w:sz w:val="20"/>
                <w:szCs w:val="20"/>
              </w:rPr>
            </w:pPr>
            <w:r w:rsidRPr="00CE5927">
              <w:rPr>
                <w:rFonts w:ascii="Tahoma" w:hAnsi="Tahoma" w:cs="Tahoma"/>
                <w:sz w:val="20"/>
                <w:szCs w:val="20"/>
              </w:rPr>
              <w:t>В соответствии с Инструкцией по предоставлению «Микро-лайт кредитов» физическим лицам в «Азиатско-Тихоокеанский Банк» (ОАО)/Инструкции выдачи кредитов на приобретение коммерческой недвижимости в «Азиатско-Тихоокеанский Банк» (ОАО), либо по требованию уполномоченного органа Банка принимающего решения о выдаче кредита</w:t>
            </w:r>
          </w:p>
        </w:tc>
      </w:tr>
      <w:tr w:rsidR="00470B5F" w:rsidRPr="00CE5927" w14:paraId="489C66CD" w14:textId="77777777" w:rsidTr="00AD7716">
        <w:trPr>
          <w:trHeight w:val="840"/>
        </w:trPr>
        <w:tc>
          <w:tcPr>
            <w:tcW w:w="0" w:type="auto"/>
            <w:vMerge w:val="restart"/>
            <w:tcBorders>
              <w:top w:val="nil"/>
              <w:left w:val="single" w:sz="8" w:space="0" w:color="auto"/>
              <w:bottom w:val="single" w:sz="4" w:space="0" w:color="auto"/>
              <w:right w:val="single" w:sz="4" w:space="0" w:color="auto"/>
            </w:tcBorders>
            <w:shd w:val="clear" w:color="000000" w:fill="FFFF99"/>
            <w:vAlign w:val="center"/>
            <w:hideMark/>
          </w:tcPr>
          <w:p w14:paraId="5DDA64F5" w14:textId="77777777" w:rsidR="00470B5F" w:rsidRPr="00CE5927" w:rsidRDefault="00470B5F" w:rsidP="00AD7716">
            <w:pPr>
              <w:ind w:left="616"/>
              <w:jc w:val="center"/>
              <w:rPr>
                <w:rFonts w:ascii="Tahoma" w:hAnsi="Tahoma" w:cs="Tahoma"/>
                <w:b/>
                <w:bCs/>
                <w:sz w:val="20"/>
                <w:szCs w:val="20"/>
              </w:rPr>
            </w:pPr>
            <w:r w:rsidRPr="00CE5927">
              <w:rPr>
                <w:rFonts w:ascii="Tahoma" w:hAnsi="Tahoma" w:cs="Tahoma"/>
                <w:b/>
                <w:bCs/>
                <w:sz w:val="20"/>
                <w:szCs w:val="20"/>
              </w:rPr>
              <w:t>Размер ответственности Заемщика</w:t>
            </w:r>
          </w:p>
        </w:tc>
        <w:tc>
          <w:tcPr>
            <w:tcW w:w="0" w:type="auto"/>
            <w:tcBorders>
              <w:top w:val="nil"/>
              <w:left w:val="nil"/>
              <w:bottom w:val="single" w:sz="4" w:space="0" w:color="auto"/>
              <w:right w:val="single" w:sz="4" w:space="0" w:color="auto"/>
            </w:tcBorders>
            <w:shd w:val="clear" w:color="000000" w:fill="FFFF99"/>
            <w:vAlign w:val="center"/>
            <w:hideMark/>
          </w:tcPr>
          <w:p w14:paraId="1E5FEE36" w14:textId="77777777" w:rsidR="00470B5F" w:rsidRPr="00CE5927" w:rsidRDefault="00470B5F" w:rsidP="00AD7716">
            <w:pPr>
              <w:rPr>
                <w:rFonts w:ascii="Tahoma" w:hAnsi="Tahoma" w:cs="Tahoma"/>
                <w:b/>
                <w:bCs/>
                <w:sz w:val="20"/>
                <w:szCs w:val="20"/>
              </w:rPr>
            </w:pPr>
            <w:r w:rsidRPr="00CE5927">
              <w:rPr>
                <w:rFonts w:ascii="Tahoma" w:hAnsi="Tahoma" w:cs="Tahoma"/>
                <w:b/>
                <w:bCs/>
                <w:sz w:val="20"/>
                <w:szCs w:val="20"/>
              </w:rPr>
              <w:t>Пеня</w:t>
            </w:r>
          </w:p>
        </w:tc>
        <w:tc>
          <w:tcPr>
            <w:tcW w:w="8621" w:type="dxa"/>
            <w:gridSpan w:val="2"/>
            <w:tcBorders>
              <w:top w:val="single" w:sz="4" w:space="0" w:color="auto"/>
              <w:left w:val="nil"/>
              <w:bottom w:val="single" w:sz="4" w:space="0" w:color="auto"/>
              <w:right w:val="single" w:sz="4" w:space="0" w:color="auto"/>
            </w:tcBorders>
            <w:shd w:val="clear" w:color="000000" w:fill="FFFFFF"/>
            <w:vAlign w:val="center"/>
            <w:hideMark/>
          </w:tcPr>
          <w:p w14:paraId="614253F9" w14:textId="77777777" w:rsidR="00470B5F" w:rsidRPr="00CE5927" w:rsidRDefault="00470B5F" w:rsidP="00AD7716">
            <w:pPr>
              <w:rPr>
                <w:rFonts w:ascii="Tahoma" w:hAnsi="Tahoma" w:cs="Tahoma"/>
                <w:sz w:val="20"/>
                <w:szCs w:val="20"/>
              </w:rPr>
            </w:pPr>
            <w:r w:rsidRPr="00CE5927">
              <w:rPr>
                <w:rFonts w:ascii="Tahoma" w:hAnsi="Tahoma" w:cs="Tahoma"/>
                <w:sz w:val="20"/>
                <w:szCs w:val="20"/>
              </w:rPr>
              <w:t>За неисполнение или ненадлежащее исполнение Заемщиком по Договору обязательств по возврату Кредита и(или) уплате процентов на сумму Кредита взимается пеня в размере 3 % от суммы просроченного платежа за день просрочки</w:t>
            </w:r>
          </w:p>
        </w:tc>
      </w:tr>
      <w:tr w:rsidR="00470B5F" w:rsidRPr="00CE5927" w14:paraId="2A79B4A6" w14:textId="77777777" w:rsidTr="00AD7716">
        <w:trPr>
          <w:trHeight w:val="690"/>
        </w:trPr>
        <w:tc>
          <w:tcPr>
            <w:tcW w:w="0" w:type="auto"/>
            <w:vMerge/>
            <w:tcBorders>
              <w:top w:val="nil"/>
              <w:left w:val="single" w:sz="8" w:space="0" w:color="auto"/>
              <w:bottom w:val="single" w:sz="4" w:space="0" w:color="auto"/>
              <w:right w:val="single" w:sz="4" w:space="0" w:color="auto"/>
            </w:tcBorders>
            <w:vAlign w:val="center"/>
            <w:hideMark/>
          </w:tcPr>
          <w:p w14:paraId="33209D2A" w14:textId="77777777" w:rsidR="00470B5F" w:rsidRPr="00CE5927" w:rsidRDefault="00470B5F" w:rsidP="00AD7716">
            <w:pPr>
              <w:ind w:left="616"/>
              <w:rPr>
                <w:rFonts w:ascii="Tahoma" w:hAnsi="Tahoma" w:cs="Tahoma"/>
                <w:b/>
                <w:bCs/>
                <w:sz w:val="20"/>
                <w:szCs w:val="20"/>
              </w:rPr>
            </w:pPr>
          </w:p>
        </w:tc>
        <w:tc>
          <w:tcPr>
            <w:tcW w:w="0" w:type="auto"/>
            <w:tcBorders>
              <w:top w:val="nil"/>
              <w:left w:val="nil"/>
              <w:bottom w:val="single" w:sz="4" w:space="0" w:color="auto"/>
              <w:right w:val="single" w:sz="4" w:space="0" w:color="auto"/>
            </w:tcBorders>
            <w:shd w:val="clear" w:color="000000" w:fill="FFFF99"/>
            <w:vAlign w:val="center"/>
            <w:hideMark/>
          </w:tcPr>
          <w:p w14:paraId="053A342C" w14:textId="77777777" w:rsidR="00470B5F" w:rsidRPr="00CE5927" w:rsidRDefault="00470B5F" w:rsidP="00AD7716">
            <w:pPr>
              <w:rPr>
                <w:rFonts w:ascii="Tahoma" w:hAnsi="Tahoma" w:cs="Tahoma"/>
                <w:b/>
                <w:bCs/>
                <w:sz w:val="20"/>
                <w:szCs w:val="20"/>
              </w:rPr>
            </w:pPr>
            <w:r w:rsidRPr="00CE5927">
              <w:rPr>
                <w:rFonts w:ascii="Tahoma" w:hAnsi="Tahoma" w:cs="Tahoma"/>
                <w:b/>
                <w:bCs/>
                <w:sz w:val="20"/>
                <w:szCs w:val="20"/>
              </w:rPr>
              <w:t>Штраф</w:t>
            </w:r>
          </w:p>
        </w:tc>
        <w:tc>
          <w:tcPr>
            <w:tcW w:w="8621" w:type="dxa"/>
            <w:gridSpan w:val="2"/>
            <w:tcBorders>
              <w:top w:val="single" w:sz="4" w:space="0" w:color="auto"/>
              <w:left w:val="nil"/>
              <w:bottom w:val="single" w:sz="4" w:space="0" w:color="auto"/>
              <w:right w:val="single" w:sz="4" w:space="0" w:color="auto"/>
            </w:tcBorders>
            <w:shd w:val="clear" w:color="000000" w:fill="FFFFFF"/>
            <w:vAlign w:val="center"/>
            <w:hideMark/>
          </w:tcPr>
          <w:p w14:paraId="24F01C48" w14:textId="77777777" w:rsidR="00470B5F" w:rsidRPr="00CE5927" w:rsidRDefault="00470B5F" w:rsidP="00AD7716">
            <w:pPr>
              <w:rPr>
                <w:rFonts w:ascii="Tahoma" w:hAnsi="Tahoma" w:cs="Tahoma"/>
                <w:sz w:val="20"/>
                <w:szCs w:val="20"/>
              </w:rPr>
            </w:pPr>
            <w:r w:rsidRPr="00CE5927">
              <w:rPr>
                <w:rFonts w:ascii="Tahoma" w:hAnsi="Tahoma" w:cs="Tahoma"/>
                <w:sz w:val="20"/>
                <w:szCs w:val="20"/>
              </w:rPr>
              <w:t>За неисполнение или ненадлежащее исполнение Заемщиком по Договору обязательств по возврату Кредита и(или) уплате процентов на сумму Кредита взимается штраф в размере 700 рублей единовременно при образовании просроченной задолженности.</w:t>
            </w:r>
          </w:p>
        </w:tc>
      </w:tr>
      <w:tr w:rsidR="00470B5F" w:rsidRPr="00CE5927" w14:paraId="4483A533" w14:textId="77777777" w:rsidTr="00AD7716">
        <w:trPr>
          <w:trHeight w:val="1065"/>
        </w:trPr>
        <w:tc>
          <w:tcPr>
            <w:tcW w:w="0" w:type="auto"/>
            <w:vMerge/>
            <w:tcBorders>
              <w:top w:val="nil"/>
              <w:left w:val="single" w:sz="8" w:space="0" w:color="auto"/>
              <w:bottom w:val="single" w:sz="4" w:space="0" w:color="auto"/>
              <w:right w:val="single" w:sz="4" w:space="0" w:color="auto"/>
            </w:tcBorders>
            <w:vAlign w:val="center"/>
            <w:hideMark/>
          </w:tcPr>
          <w:p w14:paraId="1A140A84" w14:textId="77777777" w:rsidR="00470B5F" w:rsidRPr="00CE5927" w:rsidRDefault="00470B5F" w:rsidP="00AD7716">
            <w:pPr>
              <w:ind w:left="616"/>
              <w:rPr>
                <w:rFonts w:ascii="Tahoma" w:hAnsi="Tahoma" w:cs="Tahoma"/>
                <w:b/>
                <w:bCs/>
                <w:sz w:val="20"/>
                <w:szCs w:val="20"/>
              </w:rPr>
            </w:pPr>
          </w:p>
        </w:tc>
        <w:tc>
          <w:tcPr>
            <w:tcW w:w="0" w:type="auto"/>
            <w:tcBorders>
              <w:top w:val="nil"/>
              <w:left w:val="nil"/>
              <w:bottom w:val="single" w:sz="4" w:space="0" w:color="auto"/>
              <w:right w:val="single" w:sz="4" w:space="0" w:color="auto"/>
            </w:tcBorders>
            <w:shd w:val="clear" w:color="000000" w:fill="FFFF99"/>
            <w:vAlign w:val="center"/>
            <w:hideMark/>
          </w:tcPr>
          <w:p w14:paraId="0DE42500" w14:textId="77777777" w:rsidR="00470B5F" w:rsidRPr="00CE5927" w:rsidRDefault="00470B5F" w:rsidP="00AD7716">
            <w:pPr>
              <w:rPr>
                <w:rFonts w:ascii="Tahoma" w:hAnsi="Tahoma" w:cs="Tahoma"/>
                <w:b/>
                <w:bCs/>
                <w:sz w:val="20"/>
                <w:szCs w:val="20"/>
              </w:rPr>
            </w:pPr>
            <w:r w:rsidRPr="00CE5927">
              <w:rPr>
                <w:rFonts w:ascii="Tahoma" w:hAnsi="Tahoma" w:cs="Tahoma"/>
                <w:b/>
                <w:bCs/>
                <w:sz w:val="20"/>
                <w:szCs w:val="20"/>
              </w:rPr>
              <w:t>Ограничения по пене, штрафу</w:t>
            </w:r>
          </w:p>
        </w:tc>
        <w:tc>
          <w:tcPr>
            <w:tcW w:w="8621" w:type="dxa"/>
            <w:gridSpan w:val="2"/>
            <w:tcBorders>
              <w:top w:val="single" w:sz="4" w:space="0" w:color="auto"/>
              <w:left w:val="nil"/>
              <w:bottom w:val="single" w:sz="4" w:space="0" w:color="auto"/>
              <w:right w:val="single" w:sz="4" w:space="0" w:color="auto"/>
            </w:tcBorders>
            <w:shd w:val="clear" w:color="000000" w:fill="FFFFFF"/>
            <w:vAlign w:val="center"/>
            <w:hideMark/>
          </w:tcPr>
          <w:p w14:paraId="046C2993" w14:textId="77777777" w:rsidR="00470B5F" w:rsidRPr="00CE5927" w:rsidRDefault="00470B5F" w:rsidP="00AD7716">
            <w:pPr>
              <w:rPr>
                <w:rFonts w:ascii="Tahoma" w:hAnsi="Tahoma" w:cs="Tahoma"/>
                <w:sz w:val="20"/>
                <w:szCs w:val="20"/>
              </w:rPr>
            </w:pPr>
            <w:r w:rsidRPr="00CE5927">
              <w:rPr>
                <w:rFonts w:ascii="Tahoma" w:hAnsi="Tahoma" w:cs="Tahoma"/>
                <w:sz w:val="20"/>
                <w:szCs w:val="20"/>
              </w:rPr>
              <w:t>Размер неустойки (штрафа, пени) за неисполнение или ненадлежащее исполнение заемщиком обязательств по возврату потребительского кредита (займа) и (или) уплате процентов на сумму потребительского кредита (займа) не может превышать двадцать процентов годовых, если по условиям Договора на сумму кредита проценты за соответствующий период нарушения обязательств начисляются.</w:t>
            </w:r>
          </w:p>
        </w:tc>
      </w:tr>
      <w:tr w:rsidR="00470B5F" w:rsidRPr="00CE5927" w14:paraId="60591796" w14:textId="77777777" w:rsidTr="00AD7716">
        <w:trPr>
          <w:trHeight w:val="900"/>
        </w:trPr>
        <w:tc>
          <w:tcPr>
            <w:tcW w:w="0" w:type="auto"/>
            <w:vMerge/>
            <w:tcBorders>
              <w:top w:val="nil"/>
              <w:left w:val="single" w:sz="8" w:space="0" w:color="auto"/>
              <w:bottom w:val="single" w:sz="4" w:space="0" w:color="auto"/>
              <w:right w:val="single" w:sz="4" w:space="0" w:color="auto"/>
            </w:tcBorders>
            <w:vAlign w:val="center"/>
            <w:hideMark/>
          </w:tcPr>
          <w:p w14:paraId="0965633B" w14:textId="77777777" w:rsidR="00470B5F" w:rsidRPr="00CE5927" w:rsidRDefault="00470B5F" w:rsidP="00AD7716">
            <w:pPr>
              <w:ind w:left="616"/>
              <w:rPr>
                <w:rFonts w:ascii="Tahoma" w:hAnsi="Tahoma" w:cs="Tahoma"/>
                <w:b/>
                <w:bCs/>
                <w:sz w:val="20"/>
                <w:szCs w:val="20"/>
              </w:rPr>
            </w:pPr>
          </w:p>
        </w:tc>
        <w:tc>
          <w:tcPr>
            <w:tcW w:w="0" w:type="auto"/>
            <w:tcBorders>
              <w:top w:val="nil"/>
              <w:left w:val="nil"/>
              <w:bottom w:val="single" w:sz="4" w:space="0" w:color="auto"/>
              <w:right w:val="single" w:sz="4" w:space="0" w:color="auto"/>
            </w:tcBorders>
            <w:shd w:val="clear" w:color="000000" w:fill="FFFF99"/>
            <w:vAlign w:val="center"/>
            <w:hideMark/>
          </w:tcPr>
          <w:p w14:paraId="119C8FC6" w14:textId="77777777" w:rsidR="00470B5F" w:rsidRPr="00CE5927" w:rsidRDefault="00470B5F" w:rsidP="00AD7716">
            <w:pPr>
              <w:rPr>
                <w:rFonts w:ascii="Tahoma" w:hAnsi="Tahoma" w:cs="Tahoma"/>
                <w:b/>
                <w:bCs/>
                <w:sz w:val="20"/>
                <w:szCs w:val="20"/>
              </w:rPr>
            </w:pPr>
            <w:r w:rsidRPr="00CE5927">
              <w:rPr>
                <w:rFonts w:ascii="Tahoma" w:hAnsi="Tahoma" w:cs="Tahoma"/>
                <w:b/>
                <w:bCs/>
                <w:sz w:val="20"/>
                <w:szCs w:val="20"/>
              </w:rPr>
              <w:t>Иное</w:t>
            </w:r>
          </w:p>
        </w:tc>
        <w:tc>
          <w:tcPr>
            <w:tcW w:w="8621" w:type="dxa"/>
            <w:gridSpan w:val="2"/>
            <w:tcBorders>
              <w:top w:val="single" w:sz="4" w:space="0" w:color="auto"/>
              <w:left w:val="nil"/>
              <w:bottom w:val="single" w:sz="4" w:space="0" w:color="auto"/>
              <w:right w:val="single" w:sz="4" w:space="0" w:color="auto"/>
            </w:tcBorders>
            <w:shd w:val="clear" w:color="000000" w:fill="FFFFFF"/>
            <w:vAlign w:val="center"/>
            <w:hideMark/>
          </w:tcPr>
          <w:p w14:paraId="3E446164" w14:textId="77777777" w:rsidR="00470B5F" w:rsidRPr="00CE5927" w:rsidRDefault="00470B5F" w:rsidP="00AD7716">
            <w:pPr>
              <w:rPr>
                <w:rFonts w:ascii="Tahoma" w:hAnsi="Tahoma" w:cs="Tahoma"/>
                <w:sz w:val="20"/>
                <w:szCs w:val="20"/>
              </w:rPr>
            </w:pPr>
            <w:r w:rsidRPr="00CE5927">
              <w:rPr>
                <w:rFonts w:ascii="Tahoma" w:hAnsi="Tahoma" w:cs="Tahoma"/>
                <w:sz w:val="20"/>
                <w:szCs w:val="20"/>
              </w:rPr>
              <w:t xml:space="preserve">Помимо предусмотренных  законодательством РФ мер ответственности Банк применяет также следующие: </w:t>
            </w:r>
            <w:r w:rsidRPr="00CE5927">
              <w:rPr>
                <w:rFonts w:ascii="Tahoma" w:hAnsi="Tahoma" w:cs="Tahoma"/>
                <w:sz w:val="20"/>
                <w:szCs w:val="20"/>
              </w:rPr>
              <w:br/>
              <w:t>в случае нарушения Заемщиком 2-х и более раз сроков  возврата очередной части кредита, уплаты процентов Банк, вправе потребовать произвести досрочное погашение кредитной задолженности.</w:t>
            </w:r>
          </w:p>
        </w:tc>
      </w:tr>
      <w:tr w:rsidR="00470B5F" w:rsidRPr="00CE5927" w14:paraId="1BB1B34C" w14:textId="77777777" w:rsidTr="00AD7716">
        <w:trPr>
          <w:trHeight w:val="1275"/>
        </w:trPr>
        <w:tc>
          <w:tcPr>
            <w:tcW w:w="0" w:type="auto"/>
            <w:vMerge w:val="restart"/>
            <w:tcBorders>
              <w:top w:val="nil"/>
              <w:left w:val="single" w:sz="8" w:space="0" w:color="auto"/>
              <w:bottom w:val="single" w:sz="4" w:space="0" w:color="000000"/>
              <w:right w:val="single" w:sz="4" w:space="0" w:color="auto"/>
            </w:tcBorders>
            <w:shd w:val="clear" w:color="000000" w:fill="FFFF99"/>
            <w:vAlign w:val="center"/>
            <w:hideMark/>
          </w:tcPr>
          <w:p w14:paraId="54EAC2A9" w14:textId="77777777" w:rsidR="00470B5F" w:rsidRPr="00CE5927" w:rsidRDefault="00470B5F" w:rsidP="00AD7716">
            <w:pPr>
              <w:ind w:left="616"/>
              <w:jc w:val="center"/>
              <w:rPr>
                <w:rFonts w:ascii="Tahoma" w:hAnsi="Tahoma" w:cs="Tahoma"/>
                <w:b/>
                <w:bCs/>
                <w:sz w:val="20"/>
                <w:szCs w:val="20"/>
              </w:rPr>
            </w:pPr>
            <w:r w:rsidRPr="00CE5927">
              <w:rPr>
                <w:rFonts w:ascii="Tahoma" w:hAnsi="Tahoma" w:cs="Tahoma"/>
                <w:b/>
                <w:bCs/>
                <w:sz w:val="20"/>
                <w:szCs w:val="20"/>
              </w:rPr>
              <w:t>Размер ответственности</w:t>
            </w:r>
            <w:r w:rsidRPr="00CE5927">
              <w:rPr>
                <w:rFonts w:ascii="Tahoma" w:hAnsi="Tahoma" w:cs="Tahoma"/>
                <w:b/>
                <w:bCs/>
                <w:sz w:val="20"/>
                <w:szCs w:val="20"/>
              </w:rPr>
              <w:br/>
              <w:t>Заемщика</w:t>
            </w:r>
            <w:r w:rsidRPr="00CE5927">
              <w:rPr>
                <w:rFonts w:ascii="Tahoma" w:hAnsi="Tahoma" w:cs="Tahoma"/>
                <w:b/>
                <w:bCs/>
                <w:sz w:val="20"/>
                <w:szCs w:val="20"/>
              </w:rPr>
              <w:br/>
              <w:t>(при схеме кредитования под залог недвижимости)</w:t>
            </w:r>
          </w:p>
        </w:tc>
        <w:tc>
          <w:tcPr>
            <w:tcW w:w="0" w:type="auto"/>
            <w:tcBorders>
              <w:top w:val="nil"/>
              <w:left w:val="nil"/>
              <w:bottom w:val="single" w:sz="4" w:space="0" w:color="auto"/>
              <w:right w:val="single" w:sz="4" w:space="0" w:color="auto"/>
            </w:tcBorders>
            <w:shd w:val="clear" w:color="000000" w:fill="FFFF99"/>
            <w:vAlign w:val="center"/>
            <w:hideMark/>
          </w:tcPr>
          <w:p w14:paraId="4D3AC02F" w14:textId="77777777" w:rsidR="00470B5F" w:rsidRPr="00CE5927" w:rsidRDefault="00470B5F" w:rsidP="00AD7716">
            <w:pPr>
              <w:rPr>
                <w:rFonts w:ascii="Tahoma" w:hAnsi="Tahoma" w:cs="Tahoma"/>
                <w:b/>
                <w:bCs/>
                <w:sz w:val="20"/>
                <w:szCs w:val="20"/>
              </w:rPr>
            </w:pPr>
            <w:r w:rsidRPr="00CE5927">
              <w:rPr>
                <w:rFonts w:ascii="Tahoma" w:hAnsi="Tahoma" w:cs="Tahoma"/>
                <w:b/>
                <w:bCs/>
                <w:sz w:val="20"/>
                <w:szCs w:val="20"/>
              </w:rPr>
              <w:t>Пеня</w:t>
            </w:r>
          </w:p>
        </w:tc>
        <w:tc>
          <w:tcPr>
            <w:tcW w:w="8621" w:type="dxa"/>
            <w:gridSpan w:val="2"/>
            <w:tcBorders>
              <w:top w:val="single" w:sz="4" w:space="0" w:color="auto"/>
              <w:left w:val="nil"/>
              <w:bottom w:val="single" w:sz="4" w:space="0" w:color="auto"/>
              <w:right w:val="single" w:sz="4" w:space="0" w:color="000000"/>
            </w:tcBorders>
            <w:shd w:val="clear" w:color="000000" w:fill="FFFFFF"/>
            <w:vAlign w:val="center"/>
            <w:hideMark/>
          </w:tcPr>
          <w:p w14:paraId="61EBAF67" w14:textId="77777777" w:rsidR="00470B5F" w:rsidRPr="00CE5927" w:rsidRDefault="00470B5F" w:rsidP="00AD7716">
            <w:pPr>
              <w:rPr>
                <w:rFonts w:ascii="Tahoma" w:hAnsi="Tahoma" w:cs="Tahoma"/>
                <w:sz w:val="20"/>
                <w:szCs w:val="20"/>
              </w:rPr>
            </w:pPr>
            <w:r w:rsidRPr="00CE5927">
              <w:rPr>
                <w:rFonts w:ascii="Tahoma" w:hAnsi="Tahoma" w:cs="Tahoma"/>
                <w:sz w:val="20"/>
                <w:szCs w:val="20"/>
              </w:rPr>
              <w:t>За неисполнение или ненадлежащее исполнение обязательств по возврату кредита и (или) по уплате процентов за пользование кредитом  по Кредитному договору, обязательства заемщика по которому обеспечены ипотекой,</w:t>
            </w:r>
          </w:p>
          <w:p w14:paraId="29B4E493" w14:textId="77777777" w:rsidR="00470B5F" w:rsidRPr="00CE5927" w:rsidRDefault="00470B5F" w:rsidP="00AD7716">
            <w:pPr>
              <w:rPr>
                <w:rFonts w:ascii="Tahoma" w:hAnsi="Tahoma" w:cs="Tahoma"/>
                <w:sz w:val="20"/>
                <w:szCs w:val="20"/>
              </w:rPr>
            </w:pPr>
            <w:r w:rsidRPr="00CE5927">
              <w:rPr>
                <w:rFonts w:ascii="Tahoma" w:hAnsi="Tahoma" w:cs="Tahoma"/>
                <w:sz w:val="20"/>
                <w:szCs w:val="20"/>
              </w:rPr>
              <w:t>взимается неустойка в размере ключевой ставки Центрального банка РФ, установленной на день заключения Кредитного договора.</w:t>
            </w:r>
          </w:p>
        </w:tc>
      </w:tr>
      <w:tr w:rsidR="00470B5F" w:rsidRPr="00CE5927" w14:paraId="26BF58BA" w14:textId="77777777" w:rsidTr="00AD7716">
        <w:trPr>
          <w:trHeight w:val="1065"/>
        </w:trPr>
        <w:tc>
          <w:tcPr>
            <w:tcW w:w="0" w:type="auto"/>
            <w:vMerge/>
            <w:tcBorders>
              <w:top w:val="nil"/>
              <w:left w:val="single" w:sz="8" w:space="0" w:color="auto"/>
              <w:bottom w:val="single" w:sz="4" w:space="0" w:color="000000"/>
              <w:right w:val="single" w:sz="4" w:space="0" w:color="auto"/>
            </w:tcBorders>
            <w:vAlign w:val="center"/>
            <w:hideMark/>
          </w:tcPr>
          <w:p w14:paraId="0B382090" w14:textId="77777777" w:rsidR="00470B5F" w:rsidRPr="00CE5927" w:rsidRDefault="00470B5F" w:rsidP="00AD7716">
            <w:pPr>
              <w:ind w:left="616"/>
              <w:rPr>
                <w:rFonts w:ascii="Tahoma" w:hAnsi="Tahoma" w:cs="Tahoma"/>
                <w:b/>
                <w:bCs/>
                <w:sz w:val="20"/>
                <w:szCs w:val="20"/>
              </w:rPr>
            </w:pPr>
          </w:p>
        </w:tc>
        <w:tc>
          <w:tcPr>
            <w:tcW w:w="0" w:type="auto"/>
            <w:tcBorders>
              <w:top w:val="nil"/>
              <w:left w:val="nil"/>
              <w:bottom w:val="single" w:sz="4" w:space="0" w:color="auto"/>
              <w:right w:val="single" w:sz="4" w:space="0" w:color="auto"/>
            </w:tcBorders>
            <w:shd w:val="clear" w:color="000000" w:fill="FFFF99"/>
            <w:vAlign w:val="center"/>
            <w:hideMark/>
          </w:tcPr>
          <w:p w14:paraId="0345DF66" w14:textId="77777777" w:rsidR="00470B5F" w:rsidRPr="00CE5927" w:rsidRDefault="00470B5F" w:rsidP="00AD7716">
            <w:pPr>
              <w:rPr>
                <w:rFonts w:ascii="Tahoma" w:hAnsi="Tahoma" w:cs="Tahoma"/>
                <w:b/>
                <w:bCs/>
                <w:sz w:val="20"/>
                <w:szCs w:val="20"/>
              </w:rPr>
            </w:pPr>
            <w:r w:rsidRPr="00CE5927">
              <w:rPr>
                <w:rFonts w:ascii="Tahoma" w:hAnsi="Tahoma" w:cs="Tahoma"/>
                <w:b/>
                <w:bCs/>
                <w:sz w:val="20"/>
                <w:szCs w:val="20"/>
              </w:rPr>
              <w:t>Иное</w:t>
            </w:r>
          </w:p>
        </w:tc>
        <w:tc>
          <w:tcPr>
            <w:tcW w:w="8621" w:type="dxa"/>
            <w:gridSpan w:val="2"/>
            <w:tcBorders>
              <w:top w:val="single" w:sz="4" w:space="0" w:color="auto"/>
              <w:left w:val="nil"/>
              <w:bottom w:val="single" w:sz="4" w:space="0" w:color="auto"/>
              <w:right w:val="single" w:sz="4" w:space="0" w:color="000000"/>
            </w:tcBorders>
            <w:shd w:val="clear" w:color="000000" w:fill="FFFFFF"/>
            <w:vAlign w:val="center"/>
            <w:hideMark/>
          </w:tcPr>
          <w:p w14:paraId="2A98108A" w14:textId="77777777" w:rsidR="00470B5F" w:rsidRPr="00CE5927" w:rsidRDefault="00470B5F" w:rsidP="00AD7716">
            <w:pPr>
              <w:rPr>
                <w:rFonts w:ascii="Tahoma" w:hAnsi="Tahoma" w:cs="Tahoma"/>
                <w:sz w:val="20"/>
                <w:szCs w:val="20"/>
              </w:rPr>
            </w:pPr>
            <w:r w:rsidRPr="00CE5927">
              <w:rPr>
                <w:rFonts w:ascii="Tahoma" w:hAnsi="Tahoma" w:cs="Tahoma"/>
                <w:sz w:val="20"/>
                <w:szCs w:val="20"/>
              </w:rPr>
              <w:t>Помимо предусмотренных  законодательством РФ мер ответственности Банк применяет также следующие: в случае нарушения Заемщиком 2-х и более раз сроков  возврата очередной части кредита, уплаты процентов Банк вправе потребовать произвести досрочное погашение кредитной задолженности.</w:t>
            </w:r>
          </w:p>
        </w:tc>
      </w:tr>
      <w:tr w:rsidR="00470B5F" w:rsidRPr="00CE5927" w14:paraId="495CE7EC" w14:textId="77777777" w:rsidTr="00AD7716">
        <w:trPr>
          <w:trHeight w:val="1545"/>
        </w:trPr>
        <w:tc>
          <w:tcPr>
            <w:tcW w:w="0" w:type="auto"/>
            <w:vMerge w:val="restart"/>
            <w:tcBorders>
              <w:top w:val="nil"/>
              <w:left w:val="single" w:sz="8" w:space="0" w:color="auto"/>
              <w:bottom w:val="single" w:sz="4" w:space="0" w:color="auto"/>
              <w:right w:val="single" w:sz="4" w:space="0" w:color="auto"/>
            </w:tcBorders>
            <w:shd w:val="clear" w:color="000000" w:fill="FFFF99"/>
            <w:vAlign w:val="center"/>
            <w:hideMark/>
          </w:tcPr>
          <w:p w14:paraId="15BB92D7" w14:textId="77777777" w:rsidR="00470B5F" w:rsidRPr="00CE5927" w:rsidRDefault="00470B5F" w:rsidP="00AD7716">
            <w:pPr>
              <w:ind w:left="616"/>
              <w:jc w:val="center"/>
              <w:rPr>
                <w:rFonts w:ascii="Tahoma" w:hAnsi="Tahoma" w:cs="Tahoma"/>
                <w:b/>
                <w:bCs/>
                <w:sz w:val="20"/>
                <w:szCs w:val="20"/>
              </w:rPr>
            </w:pPr>
            <w:r w:rsidRPr="00CE5927">
              <w:rPr>
                <w:rFonts w:ascii="Tahoma" w:hAnsi="Tahoma" w:cs="Tahoma"/>
                <w:b/>
                <w:bCs/>
                <w:sz w:val="20"/>
                <w:szCs w:val="20"/>
              </w:rPr>
              <w:t>Требования к клиенту</w:t>
            </w:r>
          </w:p>
        </w:tc>
        <w:tc>
          <w:tcPr>
            <w:tcW w:w="0" w:type="auto"/>
            <w:tcBorders>
              <w:top w:val="nil"/>
              <w:left w:val="nil"/>
              <w:bottom w:val="single" w:sz="4" w:space="0" w:color="auto"/>
              <w:right w:val="single" w:sz="4" w:space="0" w:color="auto"/>
            </w:tcBorders>
            <w:shd w:val="clear" w:color="000000" w:fill="FFFF99"/>
            <w:vAlign w:val="center"/>
            <w:hideMark/>
          </w:tcPr>
          <w:p w14:paraId="57FD0F95" w14:textId="77777777" w:rsidR="00470B5F" w:rsidRPr="00CE5927" w:rsidRDefault="00470B5F" w:rsidP="00AD7716">
            <w:pPr>
              <w:jc w:val="center"/>
              <w:rPr>
                <w:rFonts w:ascii="Tahoma" w:hAnsi="Tahoma" w:cs="Tahoma"/>
                <w:b/>
                <w:bCs/>
                <w:sz w:val="20"/>
                <w:szCs w:val="20"/>
              </w:rPr>
            </w:pPr>
            <w:r w:rsidRPr="00CE5927">
              <w:rPr>
                <w:rFonts w:ascii="Tahoma" w:hAnsi="Tahoma" w:cs="Tahoma"/>
                <w:b/>
                <w:bCs/>
                <w:sz w:val="20"/>
                <w:szCs w:val="20"/>
              </w:rPr>
              <w:t>Основные</w:t>
            </w:r>
          </w:p>
        </w:tc>
        <w:tc>
          <w:tcPr>
            <w:tcW w:w="8621" w:type="dxa"/>
            <w:gridSpan w:val="2"/>
            <w:tcBorders>
              <w:top w:val="single" w:sz="4" w:space="0" w:color="auto"/>
              <w:left w:val="nil"/>
              <w:bottom w:val="single" w:sz="4" w:space="0" w:color="auto"/>
              <w:right w:val="single" w:sz="4" w:space="0" w:color="auto"/>
            </w:tcBorders>
            <w:shd w:val="clear" w:color="000000" w:fill="FFFFFF"/>
            <w:vAlign w:val="center"/>
            <w:hideMark/>
          </w:tcPr>
          <w:p w14:paraId="224B99ED" w14:textId="77777777" w:rsidR="00470B5F" w:rsidRPr="00CE5927" w:rsidRDefault="00470B5F" w:rsidP="00AD7716">
            <w:pPr>
              <w:rPr>
                <w:rFonts w:ascii="Tahoma" w:hAnsi="Tahoma" w:cs="Tahoma"/>
                <w:sz w:val="20"/>
                <w:szCs w:val="20"/>
              </w:rPr>
            </w:pPr>
            <w:r w:rsidRPr="00CE5927">
              <w:rPr>
                <w:rFonts w:ascii="Tahoma" w:hAnsi="Tahoma" w:cs="Tahoma"/>
                <w:sz w:val="20"/>
                <w:szCs w:val="20"/>
              </w:rPr>
              <w:t>Гражданство Российской Федерации/нерезидент</w:t>
            </w:r>
            <w:r w:rsidRPr="00CE5927">
              <w:rPr>
                <w:rFonts w:ascii="Tahoma" w:hAnsi="Tahoma" w:cs="Tahoma"/>
                <w:sz w:val="20"/>
                <w:szCs w:val="20"/>
              </w:rPr>
              <w:br/>
              <w:t>Возраст Клиента не менее 21 года (на момент оформления Кредита) и не более 68 лет</w:t>
            </w:r>
            <w:r w:rsidRPr="00CE5927">
              <w:rPr>
                <w:rFonts w:ascii="Tahoma" w:hAnsi="Tahoma" w:cs="Tahoma"/>
                <w:sz w:val="20"/>
                <w:szCs w:val="20"/>
                <w:vertAlign w:val="superscript"/>
              </w:rPr>
              <w:t xml:space="preserve"> </w:t>
            </w:r>
            <w:r w:rsidRPr="00CE5927">
              <w:rPr>
                <w:rFonts w:ascii="Tahoma" w:hAnsi="Tahoma" w:cs="Tahoma"/>
                <w:sz w:val="20"/>
                <w:szCs w:val="20"/>
              </w:rPr>
              <w:t>(на момент окончания действия кредитного договора) включительно.</w:t>
            </w:r>
            <w:r w:rsidRPr="00CE5927">
              <w:rPr>
                <w:rFonts w:ascii="Tahoma" w:hAnsi="Tahoma" w:cs="Tahoma"/>
                <w:sz w:val="20"/>
                <w:szCs w:val="20"/>
              </w:rPr>
              <w:br/>
              <w:t>Иные: могут быть определены со стороны уполномоченного органа Банка принимающего решения о выдаче кредита</w:t>
            </w:r>
          </w:p>
        </w:tc>
      </w:tr>
      <w:tr w:rsidR="00470B5F" w:rsidRPr="00CE5927" w14:paraId="72998964" w14:textId="77777777" w:rsidTr="00AD7716">
        <w:trPr>
          <w:trHeight w:val="810"/>
        </w:trPr>
        <w:tc>
          <w:tcPr>
            <w:tcW w:w="0" w:type="auto"/>
            <w:vMerge/>
            <w:tcBorders>
              <w:top w:val="nil"/>
              <w:left w:val="single" w:sz="8" w:space="0" w:color="auto"/>
              <w:bottom w:val="single" w:sz="4" w:space="0" w:color="auto"/>
              <w:right w:val="single" w:sz="4" w:space="0" w:color="auto"/>
            </w:tcBorders>
            <w:vAlign w:val="center"/>
            <w:hideMark/>
          </w:tcPr>
          <w:p w14:paraId="0C3A25E0" w14:textId="77777777" w:rsidR="00470B5F" w:rsidRPr="00CE5927" w:rsidRDefault="00470B5F" w:rsidP="00AD7716">
            <w:pPr>
              <w:ind w:left="616"/>
              <w:rPr>
                <w:rFonts w:ascii="Tahoma" w:hAnsi="Tahoma" w:cs="Tahoma"/>
                <w:b/>
                <w:bCs/>
                <w:sz w:val="20"/>
                <w:szCs w:val="20"/>
              </w:rPr>
            </w:pPr>
          </w:p>
        </w:tc>
        <w:tc>
          <w:tcPr>
            <w:tcW w:w="0" w:type="auto"/>
            <w:tcBorders>
              <w:top w:val="nil"/>
              <w:left w:val="nil"/>
              <w:bottom w:val="single" w:sz="4" w:space="0" w:color="auto"/>
              <w:right w:val="single" w:sz="4" w:space="0" w:color="auto"/>
            </w:tcBorders>
            <w:shd w:val="clear" w:color="000000" w:fill="FFFF99"/>
            <w:vAlign w:val="center"/>
            <w:hideMark/>
          </w:tcPr>
          <w:p w14:paraId="2DCBAD63" w14:textId="77777777" w:rsidR="00470B5F" w:rsidRPr="00CE5927" w:rsidRDefault="00470B5F" w:rsidP="00AD7716">
            <w:pPr>
              <w:jc w:val="center"/>
              <w:rPr>
                <w:rFonts w:ascii="Tahoma" w:hAnsi="Tahoma" w:cs="Tahoma"/>
                <w:b/>
                <w:bCs/>
                <w:sz w:val="20"/>
                <w:szCs w:val="20"/>
              </w:rPr>
            </w:pPr>
            <w:r w:rsidRPr="00CE5927">
              <w:rPr>
                <w:rFonts w:ascii="Tahoma" w:hAnsi="Tahoma" w:cs="Tahoma"/>
                <w:b/>
                <w:bCs/>
                <w:sz w:val="20"/>
                <w:szCs w:val="20"/>
              </w:rPr>
              <w:t>Порядок расчета максимальной суммы кредита</w:t>
            </w:r>
          </w:p>
        </w:tc>
        <w:tc>
          <w:tcPr>
            <w:tcW w:w="8621" w:type="dxa"/>
            <w:gridSpan w:val="2"/>
            <w:tcBorders>
              <w:top w:val="single" w:sz="4" w:space="0" w:color="auto"/>
              <w:left w:val="nil"/>
              <w:bottom w:val="single" w:sz="4" w:space="0" w:color="auto"/>
              <w:right w:val="single" w:sz="4" w:space="0" w:color="auto"/>
            </w:tcBorders>
            <w:shd w:val="clear" w:color="000000" w:fill="FFFFFF"/>
            <w:vAlign w:val="center"/>
            <w:hideMark/>
          </w:tcPr>
          <w:p w14:paraId="79C76C7A" w14:textId="77777777" w:rsidR="00470B5F" w:rsidRPr="00CE5927" w:rsidRDefault="00470B5F" w:rsidP="00AD7716">
            <w:pPr>
              <w:rPr>
                <w:rFonts w:ascii="Tahoma" w:hAnsi="Tahoma" w:cs="Tahoma"/>
                <w:sz w:val="20"/>
                <w:szCs w:val="20"/>
              </w:rPr>
            </w:pPr>
            <w:r w:rsidRPr="00CE5927">
              <w:rPr>
                <w:rFonts w:ascii="Tahoma" w:hAnsi="Tahoma" w:cs="Tahoma"/>
                <w:sz w:val="20"/>
                <w:szCs w:val="20"/>
              </w:rPr>
              <w:t>В соответсвии с Инструкцией по предоставлению «Микро-лайт кредитов» физическим лицам в «Азиатско-Тихоокеанский Банк» (ОАО)/Инструкции выдачи кредитов на приобретение коммерческой недвижимости в «Азиатско-Тихоокеанский Банк» (ОАО)</w:t>
            </w:r>
          </w:p>
        </w:tc>
      </w:tr>
      <w:tr w:rsidR="00470B5F" w:rsidRPr="00CE5927" w14:paraId="74D882F8" w14:textId="77777777" w:rsidTr="00AD7716">
        <w:trPr>
          <w:trHeight w:val="2430"/>
        </w:trPr>
        <w:tc>
          <w:tcPr>
            <w:tcW w:w="0" w:type="auto"/>
            <w:vMerge w:val="restart"/>
            <w:tcBorders>
              <w:top w:val="nil"/>
              <w:left w:val="single" w:sz="8" w:space="0" w:color="auto"/>
              <w:bottom w:val="single" w:sz="4" w:space="0" w:color="auto"/>
              <w:right w:val="single" w:sz="4" w:space="0" w:color="auto"/>
            </w:tcBorders>
            <w:shd w:val="clear" w:color="000000" w:fill="FFFF99"/>
            <w:vAlign w:val="center"/>
            <w:hideMark/>
          </w:tcPr>
          <w:p w14:paraId="0738B1F3" w14:textId="77777777" w:rsidR="00470B5F" w:rsidRPr="00CE5927" w:rsidRDefault="00470B5F" w:rsidP="00AD7716">
            <w:pPr>
              <w:ind w:left="616"/>
              <w:jc w:val="center"/>
              <w:rPr>
                <w:rFonts w:ascii="Tahoma" w:hAnsi="Tahoma" w:cs="Tahoma"/>
                <w:b/>
                <w:bCs/>
                <w:sz w:val="20"/>
                <w:szCs w:val="20"/>
              </w:rPr>
            </w:pPr>
            <w:r w:rsidRPr="00CE5927">
              <w:rPr>
                <w:rFonts w:ascii="Tahoma" w:hAnsi="Tahoma" w:cs="Tahoma"/>
                <w:b/>
                <w:bCs/>
                <w:sz w:val="20"/>
                <w:szCs w:val="20"/>
              </w:rPr>
              <w:t>Документы для рассмотрения заявки</w:t>
            </w:r>
          </w:p>
        </w:tc>
        <w:tc>
          <w:tcPr>
            <w:tcW w:w="0" w:type="auto"/>
            <w:tcBorders>
              <w:top w:val="nil"/>
              <w:left w:val="nil"/>
              <w:bottom w:val="single" w:sz="4" w:space="0" w:color="auto"/>
              <w:right w:val="single" w:sz="4" w:space="0" w:color="auto"/>
            </w:tcBorders>
            <w:shd w:val="clear" w:color="000000" w:fill="FFFF99"/>
            <w:vAlign w:val="center"/>
            <w:hideMark/>
          </w:tcPr>
          <w:p w14:paraId="250F6B0E" w14:textId="77777777" w:rsidR="00470B5F" w:rsidRPr="00CE5927" w:rsidRDefault="00470B5F" w:rsidP="00AD7716">
            <w:pPr>
              <w:jc w:val="center"/>
              <w:rPr>
                <w:rFonts w:ascii="Tahoma" w:hAnsi="Tahoma" w:cs="Tahoma"/>
                <w:b/>
                <w:bCs/>
                <w:sz w:val="20"/>
                <w:szCs w:val="20"/>
              </w:rPr>
            </w:pPr>
            <w:r w:rsidRPr="00CE5927">
              <w:rPr>
                <w:rFonts w:ascii="Tahoma" w:hAnsi="Tahoma" w:cs="Tahoma"/>
                <w:b/>
                <w:bCs/>
                <w:sz w:val="20"/>
                <w:szCs w:val="20"/>
              </w:rPr>
              <w:t>Документы клиента</w:t>
            </w:r>
          </w:p>
        </w:tc>
        <w:tc>
          <w:tcPr>
            <w:tcW w:w="8621" w:type="dxa"/>
            <w:gridSpan w:val="2"/>
            <w:tcBorders>
              <w:top w:val="single" w:sz="4" w:space="0" w:color="auto"/>
              <w:left w:val="nil"/>
              <w:bottom w:val="nil"/>
              <w:right w:val="single" w:sz="4" w:space="0" w:color="000000"/>
            </w:tcBorders>
            <w:shd w:val="clear" w:color="000000" w:fill="FFFFFF"/>
            <w:vAlign w:val="center"/>
            <w:hideMark/>
          </w:tcPr>
          <w:p w14:paraId="5B8ABF44" w14:textId="77777777" w:rsidR="00470B5F" w:rsidRPr="00CE5927" w:rsidRDefault="00470B5F" w:rsidP="00AD7716">
            <w:pPr>
              <w:rPr>
                <w:rFonts w:ascii="Tahoma" w:hAnsi="Tahoma" w:cs="Tahoma"/>
                <w:sz w:val="20"/>
                <w:szCs w:val="20"/>
              </w:rPr>
            </w:pPr>
            <w:r w:rsidRPr="00CE5927">
              <w:rPr>
                <w:rFonts w:ascii="Tahoma" w:hAnsi="Tahoma" w:cs="Tahoma"/>
                <w:sz w:val="20"/>
                <w:szCs w:val="20"/>
              </w:rPr>
              <w:t>1.Паспорт гражданина РФ.</w:t>
            </w:r>
            <w:r w:rsidRPr="00CE5927">
              <w:rPr>
                <w:rFonts w:ascii="Tahoma" w:hAnsi="Tahoma" w:cs="Tahoma"/>
                <w:sz w:val="20"/>
                <w:szCs w:val="20"/>
              </w:rPr>
              <w:br/>
              <w:t>2. Свидетельство о постановке на налоговый учет в качестве Предпринимателя/свидетельство о государственной регистрации юридического лица</w:t>
            </w:r>
            <w:r w:rsidRPr="00CE5927">
              <w:rPr>
                <w:rFonts w:ascii="Tahoma" w:hAnsi="Tahoma" w:cs="Tahoma"/>
                <w:sz w:val="20"/>
                <w:szCs w:val="20"/>
              </w:rPr>
              <w:br/>
              <w:t>3. При необходимости документы, подтверждающие доход от предпринимательской деятельности.</w:t>
            </w:r>
            <w:r w:rsidRPr="00CE5927">
              <w:rPr>
                <w:rFonts w:ascii="Tahoma" w:hAnsi="Tahoma" w:cs="Tahoma"/>
                <w:sz w:val="20"/>
                <w:szCs w:val="20"/>
              </w:rPr>
              <w:br/>
              <w:t>4. Налоговая декларация либо патент/бухгалтерский баланс. Квитанции по уплате авансовых платежей/ выписки по счету с указанием уплаты авансовых платежей либо квитанции об уплате стоимости патента                                                                                                                                                                                                                         5. Заявление на предоставление кредита (заполняется Кредитным экспертом в электронном виде при обращении Клиента за кредитом, утверждается иными нормативными документами Банка).</w:t>
            </w:r>
            <w:r w:rsidRPr="00CE5927">
              <w:rPr>
                <w:rFonts w:ascii="Tahoma" w:hAnsi="Tahoma" w:cs="Tahoma"/>
                <w:sz w:val="20"/>
                <w:szCs w:val="20"/>
              </w:rPr>
              <w:br/>
              <w:t>7. Иные: могут быть определены со стороны уполномоченого органа Банка принимающего решения о выдаче кредита</w:t>
            </w:r>
          </w:p>
        </w:tc>
      </w:tr>
      <w:tr w:rsidR="00470B5F" w:rsidRPr="00CE5927" w14:paraId="7FA945B5" w14:textId="77777777" w:rsidTr="00AD7716">
        <w:trPr>
          <w:trHeight w:val="960"/>
        </w:trPr>
        <w:tc>
          <w:tcPr>
            <w:tcW w:w="0" w:type="auto"/>
            <w:vMerge/>
            <w:tcBorders>
              <w:top w:val="nil"/>
              <w:left w:val="single" w:sz="8" w:space="0" w:color="auto"/>
              <w:bottom w:val="single" w:sz="4" w:space="0" w:color="auto"/>
              <w:right w:val="single" w:sz="4" w:space="0" w:color="auto"/>
            </w:tcBorders>
            <w:vAlign w:val="center"/>
            <w:hideMark/>
          </w:tcPr>
          <w:p w14:paraId="31255A2F" w14:textId="77777777" w:rsidR="00470B5F" w:rsidRPr="00CE5927" w:rsidRDefault="00470B5F" w:rsidP="00AD7716">
            <w:pPr>
              <w:ind w:left="616"/>
              <w:rPr>
                <w:rFonts w:ascii="Tahoma" w:hAnsi="Tahoma" w:cs="Tahoma"/>
                <w:b/>
                <w:bCs/>
                <w:sz w:val="20"/>
                <w:szCs w:val="20"/>
              </w:rPr>
            </w:pPr>
          </w:p>
        </w:tc>
        <w:tc>
          <w:tcPr>
            <w:tcW w:w="0" w:type="auto"/>
            <w:tcBorders>
              <w:top w:val="nil"/>
              <w:left w:val="nil"/>
              <w:bottom w:val="single" w:sz="4" w:space="0" w:color="auto"/>
              <w:right w:val="single" w:sz="4" w:space="0" w:color="auto"/>
            </w:tcBorders>
            <w:shd w:val="clear" w:color="000000" w:fill="FFFF99"/>
            <w:vAlign w:val="center"/>
            <w:hideMark/>
          </w:tcPr>
          <w:p w14:paraId="01017ABF" w14:textId="77777777" w:rsidR="00470B5F" w:rsidRPr="00CE5927" w:rsidRDefault="00470B5F" w:rsidP="00AD7716">
            <w:pPr>
              <w:rPr>
                <w:rFonts w:ascii="Tahoma" w:hAnsi="Tahoma" w:cs="Tahoma"/>
                <w:b/>
                <w:bCs/>
                <w:sz w:val="20"/>
                <w:szCs w:val="20"/>
              </w:rPr>
            </w:pPr>
            <w:r w:rsidRPr="00CE5927">
              <w:rPr>
                <w:rFonts w:ascii="Tahoma" w:hAnsi="Tahoma" w:cs="Tahoma"/>
                <w:b/>
                <w:bCs/>
                <w:sz w:val="20"/>
                <w:szCs w:val="20"/>
              </w:rPr>
              <w:t>Документы по обеспечению</w:t>
            </w:r>
          </w:p>
        </w:tc>
        <w:tc>
          <w:tcPr>
            <w:tcW w:w="8621" w:type="dxa"/>
            <w:gridSpan w:val="2"/>
            <w:tcBorders>
              <w:top w:val="single" w:sz="4" w:space="0" w:color="auto"/>
              <w:left w:val="nil"/>
              <w:bottom w:val="single" w:sz="4" w:space="0" w:color="auto"/>
              <w:right w:val="single" w:sz="4" w:space="0" w:color="auto"/>
            </w:tcBorders>
            <w:shd w:val="clear" w:color="000000" w:fill="FFFFFF"/>
            <w:vAlign w:val="center"/>
            <w:hideMark/>
          </w:tcPr>
          <w:p w14:paraId="30CE914F" w14:textId="77777777" w:rsidR="00470B5F" w:rsidRPr="00CE5927" w:rsidRDefault="00470B5F" w:rsidP="00AD7716">
            <w:pPr>
              <w:rPr>
                <w:rFonts w:ascii="Tahoma" w:hAnsi="Tahoma" w:cs="Tahoma"/>
                <w:sz w:val="20"/>
                <w:szCs w:val="20"/>
              </w:rPr>
            </w:pPr>
            <w:r w:rsidRPr="00CE5927">
              <w:rPr>
                <w:rFonts w:ascii="Tahoma" w:hAnsi="Tahoma" w:cs="Tahoma"/>
                <w:sz w:val="20"/>
                <w:szCs w:val="20"/>
              </w:rPr>
              <w:t>В соответсвии с Инструкцией по предоставлению «Микро-лайт кредитов» физическим лицам в «Азиатско-Тихоокеанский Банк» (ОАО)/Инструкции выдачи кредитов на приобретение коммерческой недвижимости в «Азиатско-Тихоокеанский Банк» (ОАО), либо по требованию уполномоченного органа Банка принимающего решения о выдаче кредита</w:t>
            </w:r>
          </w:p>
        </w:tc>
      </w:tr>
      <w:tr w:rsidR="00470B5F" w:rsidRPr="00CE5927" w14:paraId="1A15F718" w14:textId="77777777" w:rsidTr="00AD7716">
        <w:trPr>
          <w:trHeight w:val="1005"/>
        </w:trPr>
        <w:tc>
          <w:tcPr>
            <w:tcW w:w="0" w:type="auto"/>
            <w:vMerge/>
            <w:tcBorders>
              <w:top w:val="nil"/>
              <w:left w:val="single" w:sz="8" w:space="0" w:color="auto"/>
              <w:bottom w:val="single" w:sz="4" w:space="0" w:color="auto"/>
              <w:right w:val="single" w:sz="4" w:space="0" w:color="auto"/>
            </w:tcBorders>
            <w:vAlign w:val="center"/>
            <w:hideMark/>
          </w:tcPr>
          <w:p w14:paraId="1BE43D6F" w14:textId="77777777" w:rsidR="00470B5F" w:rsidRPr="00CE5927" w:rsidRDefault="00470B5F" w:rsidP="00AD7716">
            <w:pPr>
              <w:ind w:left="616"/>
              <w:rPr>
                <w:rFonts w:ascii="Tahoma" w:hAnsi="Tahoma" w:cs="Tahoma"/>
                <w:b/>
                <w:bCs/>
                <w:sz w:val="20"/>
                <w:szCs w:val="20"/>
              </w:rPr>
            </w:pPr>
          </w:p>
        </w:tc>
        <w:tc>
          <w:tcPr>
            <w:tcW w:w="0" w:type="auto"/>
            <w:tcBorders>
              <w:top w:val="nil"/>
              <w:left w:val="nil"/>
              <w:bottom w:val="single" w:sz="4" w:space="0" w:color="auto"/>
              <w:right w:val="single" w:sz="4" w:space="0" w:color="auto"/>
            </w:tcBorders>
            <w:shd w:val="clear" w:color="000000" w:fill="FFFF99"/>
            <w:vAlign w:val="center"/>
            <w:hideMark/>
          </w:tcPr>
          <w:p w14:paraId="1E15932F" w14:textId="77777777" w:rsidR="00470B5F" w:rsidRPr="00CE5927" w:rsidRDefault="00470B5F" w:rsidP="00AD7716">
            <w:pPr>
              <w:rPr>
                <w:rFonts w:ascii="Tahoma" w:hAnsi="Tahoma" w:cs="Tahoma"/>
                <w:b/>
                <w:bCs/>
                <w:sz w:val="20"/>
                <w:szCs w:val="20"/>
              </w:rPr>
            </w:pPr>
            <w:r w:rsidRPr="00CE5927">
              <w:rPr>
                <w:rFonts w:ascii="Tahoma" w:hAnsi="Tahoma" w:cs="Tahoma"/>
                <w:b/>
                <w:bCs/>
                <w:sz w:val="20"/>
                <w:szCs w:val="20"/>
              </w:rPr>
              <w:t>Прочие документы</w:t>
            </w:r>
          </w:p>
        </w:tc>
        <w:tc>
          <w:tcPr>
            <w:tcW w:w="8621" w:type="dxa"/>
            <w:gridSpan w:val="2"/>
            <w:tcBorders>
              <w:top w:val="single" w:sz="4" w:space="0" w:color="auto"/>
              <w:left w:val="nil"/>
              <w:bottom w:val="single" w:sz="4" w:space="0" w:color="auto"/>
              <w:right w:val="single" w:sz="4" w:space="0" w:color="auto"/>
            </w:tcBorders>
            <w:shd w:val="clear" w:color="auto" w:fill="auto"/>
            <w:vAlign w:val="center"/>
            <w:hideMark/>
          </w:tcPr>
          <w:p w14:paraId="3CBC2CF8" w14:textId="77777777" w:rsidR="00470B5F" w:rsidRPr="00CE5927" w:rsidRDefault="00470B5F" w:rsidP="00AD7716">
            <w:pPr>
              <w:rPr>
                <w:rFonts w:ascii="Tahoma" w:hAnsi="Tahoma" w:cs="Tahoma"/>
                <w:sz w:val="20"/>
                <w:szCs w:val="20"/>
              </w:rPr>
            </w:pPr>
            <w:r w:rsidRPr="00CE5927">
              <w:rPr>
                <w:rFonts w:ascii="Tahoma" w:hAnsi="Tahoma" w:cs="Tahoma"/>
                <w:sz w:val="20"/>
                <w:szCs w:val="20"/>
              </w:rPr>
              <w:t>В соответствии с Инструкцией по предоставлению «Микро-лайт кредитов» физическим лицам в «Азиатско-Тихоокеанский Банк» (ОАО)/Инструкции выдачи кредитов на приобретение коммерческой недвижимости в «Азиатско-Тихоокеанский Банк» (ОАО), либо по требованию уполномоченного органа Банка принимающего решения о выдаче кредита</w:t>
            </w:r>
          </w:p>
        </w:tc>
      </w:tr>
      <w:tr w:rsidR="00470B5F" w:rsidRPr="00CE5927" w14:paraId="295DFB58" w14:textId="77777777" w:rsidTr="00AD7716">
        <w:trPr>
          <w:trHeight w:val="780"/>
        </w:trPr>
        <w:tc>
          <w:tcPr>
            <w:tcW w:w="0" w:type="auto"/>
            <w:gridSpan w:val="2"/>
            <w:tcBorders>
              <w:top w:val="single" w:sz="4" w:space="0" w:color="auto"/>
              <w:left w:val="single" w:sz="8" w:space="0" w:color="auto"/>
              <w:bottom w:val="single" w:sz="4" w:space="0" w:color="auto"/>
              <w:right w:val="single" w:sz="4" w:space="0" w:color="000000"/>
            </w:tcBorders>
            <w:shd w:val="clear" w:color="000000" w:fill="FFFF99"/>
            <w:vAlign w:val="center"/>
            <w:hideMark/>
          </w:tcPr>
          <w:p w14:paraId="57B514C1" w14:textId="77777777" w:rsidR="00470B5F" w:rsidRPr="00CE5927" w:rsidRDefault="00470B5F" w:rsidP="00AD7716">
            <w:pPr>
              <w:ind w:left="616"/>
              <w:jc w:val="center"/>
              <w:rPr>
                <w:rFonts w:ascii="Tahoma" w:hAnsi="Tahoma" w:cs="Tahoma"/>
                <w:b/>
                <w:bCs/>
                <w:sz w:val="20"/>
                <w:szCs w:val="20"/>
              </w:rPr>
            </w:pPr>
            <w:r w:rsidRPr="00CE5927">
              <w:rPr>
                <w:rFonts w:ascii="Tahoma" w:hAnsi="Tahoma" w:cs="Tahoma"/>
                <w:b/>
                <w:bCs/>
                <w:sz w:val="20"/>
                <w:szCs w:val="20"/>
              </w:rPr>
              <w:t>Срок рассмотрения Банком кредитной заявки</w:t>
            </w:r>
          </w:p>
        </w:tc>
        <w:tc>
          <w:tcPr>
            <w:tcW w:w="8621" w:type="dxa"/>
            <w:gridSpan w:val="2"/>
            <w:tcBorders>
              <w:top w:val="single" w:sz="4" w:space="0" w:color="auto"/>
              <w:left w:val="nil"/>
              <w:bottom w:val="single" w:sz="4" w:space="0" w:color="auto"/>
              <w:right w:val="single" w:sz="4" w:space="0" w:color="auto"/>
            </w:tcBorders>
            <w:shd w:val="clear" w:color="auto" w:fill="auto"/>
            <w:vAlign w:val="center"/>
            <w:hideMark/>
          </w:tcPr>
          <w:p w14:paraId="58EA236D" w14:textId="77777777" w:rsidR="00470B5F" w:rsidRPr="00CE5927" w:rsidRDefault="00470B5F" w:rsidP="00AD7716">
            <w:pPr>
              <w:rPr>
                <w:rFonts w:ascii="Tahoma" w:hAnsi="Tahoma" w:cs="Tahoma"/>
                <w:sz w:val="20"/>
                <w:szCs w:val="20"/>
              </w:rPr>
            </w:pPr>
            <w:r w:rsidRPr="00CE5927">
              <w:rPr>
                <w:rFonts w:ascii="Tahoma" w:hAnsi="Tahoma" w:cs="Tahoma"/>
                <w:sz w:val="20"/>
                <w:szCs w:val="20"/>
              </w:rPr>
              <w:t>Решение по кредитам принимается в течении 8 рабочих часов, с момента предоставления Заемщиком полного пакета документов. В случае необходимости запроса у клиента дополнительных документов решение принимается в индивидуальные сроки.</w:t>
            </w:r>
          </w:p>
        </w:tc>
      </w:tr>
      <w:tr w:rsidR="00470B5F" w:rsidRPr="00CE5927" w14:paraId="4785A45C" w14:textId="77777777" w:rsidTr="00AD7716">
        <w:trPr>
          <w:trHeight w:val="915"/>
        </w:trPr>
        <w:tc>
          <w:tcPr>
            <w:tcW w:w="0" w:type="auto"/>
            <w:gridSpan w:val="2"/>
            <w:tcBorders>
              <w:top w:val="single" w:sz="4" w:space="0" w:color="auto"/>
              <w:left w:val="single" w:sz="8" w:space="0" w:color="auto"/>
              <w:bottom w:val="single" w:sz="4" w:space="0" w:color="auto"/>
              <w:right w:val="single" w:sz="4" w:space="0" w:color="000000"/>
            </w:tcBorders>
            <w:shd w:val="clear" w:color="000000" w:fill="FFFF99"/>
            <w:vAlign w:val="center"/>
            <w:hideMark/>
          </w:tcPr>
          <w:p w14:paraId="15802448" w14:textId="77777777" w:rsidR="00470B5F" w:rsidRPr="00CE5927" w:rsidRDefault="00470B5F" w:rsidP="00AD7716">
            <w:pPr>
              <w:ind w:left="616"/>
              <w:rPr>
                <w:rFonts w:ascii="Tahoma" w:hAnsi="Tahoma" w:cs="Tahoma"/>
                <w:b/>
                <w:bCs/>
                <w:sz w:val="20"/>
                <w:szCs w:val="20"/>
              </w:rPr>
            </w:pPr>
            <w:r w:rsidRPr="00CE5927">
              <w:rPr>
                <w:rFonts w:ascii="Tahoma" w:hAnsi="Tahoma" w:cs="Tahoma"/>
                <w:b/>
                <w:bCs/>
                <w:sz w:val="20"/>
                <w:szCs w:val="20"/>
              </w:rPr>
              <w:t>Прочие параметры продукта, особые условия предоставления и обслуживания</w:t>
            </w:r>
          </w:p>
        </w:tc>
        <w:tc>
          <w:tcPr>
            <w:tcW w:w="8621" w:type="dxa"/>
            <w:gridSpan w:val="2"/>
            <w:tcBorders>
              <w:top w:val="single" w:sz="4" w:space="0" w:color="auto"/>
              <w:left w:val="nil"/>
              <w:bottom w:val="single" w:sz="4" w:space="0" w:color="auto"/>
              <w:right w:val="single" w:sz="4" w:space="0" w:color="000000"/>
            </w:tcBorders>
            <w:shd w:val="clear" w:color="000000" w:fill="FFFFFF"/>
            <w:vAlign w:val="center"/>
            <w:hideMark/>
          </w:tcPr>
          <w:p w14:paraId="6FFC924E" w14:textId="77777777" w:rsidR="00470B5F" w:rsidRPr="00CE5927" w:rsidRDefault="00470B5F" w:rsidP="00AD7716">
            <w:pPr>
              <w:rPr>
                <w:rFonts w:ascii="Tahoma" w:hAnsi="Tahoma" w:cs="Tahoma"/>
                <w:sz w:val="20"/>
                <w:szCs w:val="20"/>
              </w:rPr>
            </w:pPr>
            <w:r w:rsidRPr="00CE5927">
              <w:rPr>
                <w:rFonts w:ascii="Tahoma" w:hAnsi="Tahoma" w:cs="Tahoma"/>
                <w:sz w:val="20"/>
                <w:szCs w:val="20"/>
              </w:rPr>
              <w:t xml:space="preserve">В рамках полномочий Уполномоченных органов принятия решений Банка, может быть принято решение о выдаче кредита на условиях по предоставлению и обслуживанию кредита, отличных от утвержденных данным паспортом продукта, при этом оформление кредита осуществляется в рамках данного продукта и не является условием противоречащим требованиям нормативных документов Банка. </w:t>
            </w:r>
          </w:p>
        </w:tc>
      </w:tr>
      <w:tr w:rsidR="00470B5F" w:rsidRPr="00CE5927" w14:paraId="32282A16" w14:textId="77777777" w:rsidTr="00AD7716">
        <w:trPr>
          <w:trHeight w:val="1920"/>
        </w:trPr>
        <w:tc>
          <w:tcPr>
            <w:tcW w:w="0" w:type="auto"/>
            <w:gridSpan w:val="2"/>
            <w:vMerge w:val="restart"/>
            <w:tcBorders>
              <w:top w:val="single" w:sz="4" w:space="0" w:color="auto"/>
              <w:left w:val="single" w:sz="4" w:space="0" w:color="auto"/>
              <w:bottom w:val="nil"/>
              <w:right w:val="single" w:sz="4" w:space="0" w:color="000000"/>
            </w:tcBorders>
            <w:shd w:val="clear" w:color="000000" w:fill="FFFF99"/>
            <w:vAlign w:val="center"/>
            <w:hideMark/>
          </w:tcPr>
          <w:p w14:paraId="6CFF3828" w14:textId="77777777" w:rsidR="00470B5F" w:rsidRPr="00CE5927" w:rsidRDefault="00470B5F" w:rsidP="00AD7716">
            <w:pPr>
              <w:ind w:left="616"/>
              <w:jc w:val="center"/>
              <w:rPr>
                <w:rFonts w:ascii="Tahoma" w:hAnsi="Tahoma" w:cs="Tahoma"/>
                <w:b/>
                <w:bCs/>
                <w:sz w:val="20"/>
                <w:szCs w:val="20"/>
              </w:rPr>
            </w:pPr>
            <w:r w:rsidRPr="00CE5927">
              <w:rPr>
                <w:rFonts w:ascii="Tahoma" w:hAnsi="Tahoma" w:cs="Tahoma"/>
                <w:b/>
                <w:bCs/>
                <w:sz w:val="20"/>
                <w:szCs w:val="20"/>
              </w:rPr>
              <w:t>Прочие услуги, не являющиеся обязательными для заключения или исполнения Договора</w:t>
            </w:r>
          </w:p>
        </w:tc>
        <w:tc>
          <w:tcPr>
            <w:tcW w:w="0" w:type="auto"/>
            <w:tcBorders>
              <w:top w:val="single" w:sz="4" w:space="0" w:color="auto"/>
              <w:left w:val="nil"/>
              <w:bottom w:val="single" w:sz="4" w:space="0" w:color="auto"/>
              <w:right w:val="single" w:sz="4" w:space="0" w:color="000000"/>
            </w:tcBorders>
            <w:shd w:val="clear" w:color="000000" w:fill="FFFFFF"/>
            <w:vAlign w:val="center"/>
            <w:hideMark/>
          </w:tcPr>
          <w:p w14:paraId="161A5576" w14:textId="77777777" w:rsidR="00470B5F" w:rsidRPr="00CE5927" w:rsidRDefault="00470B5F" w:rsidP="00AD7716">
            <w:pPr>
              <w:rPr>
                <w:rFonts w:ascii="Tahoma" w:hAnsi="Tahoma" w:cs="Tahoma"/>
                <w:sz w:val="20"/>
                <w:szCs w:val="20"/>
              </w:rPr>
            </w:pPr>
            <w:r w:rsidRPr="00CE5927">
              <w:rPr>
                <w:rFonts w:ascii="Tahoma" w:hAnsi="Tahoma" w:cs="Tahoma"/>
                <w:sz w:val="20"/>
                <w:szCs w:val="20"/>
              </w:rPr>
              <w:t>Перевод денежных средств с ТБС, используемого для выдачи кредита, в другую кредитную организацию:</w:t>
            </w:r>
            <w:r w:rsidRPr="00CE5927">
              <w:rPr>
                <w:rFonts w:ascii="Tahoma" w:hAnsi="Tahoma" w:cs="Tahoma"/>
                <w:sz w:val="20"/>
                <w:szCs w:val="20"/>
              </w:rPr>
              <w:br w:type="page"/>
              <w:t>- в пользу юридического лица в рамках целевого кредитования;</w:t>
            </w:r>
            <w:r w:rsidRPr="00CE5927">
              <w:rPr>
                <w:rFonts w:ascii="Tahoma" w:hAnsi="Tahoma" w:cs="Tahoma"/>
                <w:sz w:val="20"/>
                <w:szCs w:val="20"/>
              </w:rPr>
              <w:br w:type="page"/>
              <w:t xml:space="preserve">- в пользу физического лица для получения суммы кредита в населенных пунктах, где отсутствуют подразделения «Азиатско-Тихоокеанский Банк» </w:t>
            </w:r>
            <w:r>
              <w:rPr>
                <w:rFonts w:ascii="Tahoma" w:hAnsi="Tahoma" w:cs="Tahoma"/>
                <w:sz w:val="20"/>
                <w:szCs w:val="20"/>
              </w:rPr>
              <w:t>(АО)</w:t>
            </w:r>
            <w:r w:rsidRPr="00CE5927">
              <w:rPr>
                <w:rFonts w:ascii="Tahoma" w:hAnsi="Tahoma" w:cs="Tahoma"/>
                <w:sz w:val="20"/>
                <w:szCs w:val="20"/>
              </w:rPr>
              <w:t>;</w:t>
            </w:r>
            <w:r w:rsidRPr="00CE5927">
              <w:rPr>
                <w:rFonts w:ascii="Tahoma" w:hAnsi="Tahoma" w:cs="Tahoma"/>
                <w:sz w:val="20"/>
                <w:szCs w:val="20"/>
              </w:rPr>
              <w:br w:type="page"/>
              <w:t xml:space="preserve">- в остальных случаях плата за перевод денежных средств взимается по тарифам, действующим в «Азиатско-Тихоокеанский Банк» </w:t>
            </w:r>
            <w:r>
              <w:rPr>
                <w:rFonts w:ascii="Tahoma" w:hAnsi="Tahoma" w:cs="Tahoma"/>
                <w:sz w:val="20"/>
                <w:szCs w:val="20"/>
              </w:rPr>
              <w:t>(АО)</w:t>
            </w:r>
            <w:r w:rsidRPr="00CE5927">
              <w:rPr>
                <w:rFonts w:ascii="Tahoma" w:hAnsi="Tahoma" w:cs="Tahoma"/>
                <w:sz w:val="20"/>
                <w:szCs w:val="20"/>
              </w:rPr>
              <w:t xml:space="preserve"> на момент совершения операций.</w:t>
            </w:r>
          </w:p>
        </w:tc>
        <w:tc>
          <w:tcPr>
            <w:tcW w:w="3202" w:type="dxa"/>
            <w:tcBorders>
              <w:top w:val="nil"/>
              <w:left w:val="nil"/>
              <w:bottom w:val="single" w:sz="4" w:space="0" w:color="auto"/>
              <w:right w:val="single" w:sz="4" w:space="0" w:color="auto"/>
            </w:tcBorders>
            <w:shd w:val="clear" w:color="000000" w:fill="FFFFFF"/>
            <w:vAlign w:val="center"/>
            <w:hideMark/>
          </w:tcPr>
          <w:p w14:paraId="0B4D5E52" w14:textId="77777777" w:rsidR="00470B5F" w:rsidRPr="00CE5927" w:rsidRDefault="00470B5F" w:rsidP="00AD7716">
            <w:pPr>
              <w:rPr>
                <w:rFonts w:ascii="Tahoma" w:hAnsi="Tahoma" w:cs="Tahoma"/>
                <w:sz w:val="20"/>
                <w:szCs w:val="20"/>
              </w:rPr>
            </w:pPr>
            <w:r w:rsidRPr="00CE5927">
              <w:rPr>
                <w:rFonts w:ascii="Tahoma" w:hAnsi="Tahoma" w:cs="Tahoma"/>
                <w:sz w:val="20"/>
                <w:szCs w:val="20"/>
              </w:rPr>
              <w:t>Не предлагается</w:t>
            </w:r>
          </w:p>
        </w:tc>
      </w:tr>
      <w:tr w:rsidR="00470B5F" w:rsidRPr="00CE5927" w14:paraId="7EF603CA" w14:textId="77777777" w:rsidTr="00AD7716">
        <w:trPr>
          <w:trHeight w:val="1485"/>
        </w:trPr>
        <w:tc>
          <w:tcPr>
            <w:tcW w:w="0" w:type="auto"/>
            <w:gridSpan w:val="2"/>
            <w:vMerge/>
            <w:tcBorders>
              <w:top w:val="single" w:sz="4" w:space="0" w:color="auto"/>
              <w:left w:val="single" w:sz="4" w:space="0" w:color="auto"/>
              <w:bottom w:val="nil"/>
              <w:right w:val="single" w:sz="4" w:space="0" w:color="000000"/>
            </w:tcBorders>
            <w:vAlign w:val="center"/>
            <w:hideMark/>
          </w:tcPr>
          <w:p w14:paraId="49E34D9B" w14:textId="77777777" w:rsidR="00470B5F" w:rsidRPr="00CE5927" w:rsidRDefault="00470B5F" w:rsidP="00AD7716">
            <w:pPr>
              <w:ind w:left="616"/>
              <w:rPr>
                <w:rFonts w:ascii="Tahoma" w:hAnsi="Tahoma" w:cs="Tahoma"/>
                <w:b/>
                <w:bCs/>
                <w:sz w:val="20"/>
                <w:szCs w:val="20"/>
              </w:rPr>
            </w:pPr>
          </w:p>
        </w:tc>
        <w:tc>
          <w:tcPr>
            <w:tcW w:w="0" w:type="auto"/>
            <w:tcBorders>
              <w:top w:val="single" w:sz="4" w:space="0" w:color="auto"/>
              <w:left w:val="nil"/>
              <w:bottom w:val="single" w:sz="4" w:space="0" w:color="auto"/>
              <w:right w:val="single" w:sz="4" w:space="0" w:color="000000"/>
            </w:tcBorders>
            <w:shd w:val="clear" w:color="000000" w:fill="FFFFFF"/>
            <w:vAlign w:val="center"/>
            <w:hideMark/>
          </w:tcPr>
          <w:p w14:paraId="30251551" w14:textId="77777777" w:rsidR="00470B5F" w:rsidRPr="00CE5927" w:rsidRDefault="00470B5F" w:rsidP="00AD7716">
            <w:pPr>
              <w:rPr>
                <w:rFonts w:ascii="Tahoma" w:hAnsi="Tahoma" w:cs="Tahoma"/>
                <w:sz w:val="20"/>
                <w:szCs w:val="20"/>
              </w:rPr>
            </w:pPr>
            <w:r w:rsidRPr="00CE5927">
              <w:rPr>
                <w:rFonts w:ascii="Tahoma" w:hAnsi="Tahoma" w:cs="Tahoma"/>
                <w:sz w:val="20"/>
                <w:szCs w:val="20"/>
              </w:rPr>
              <w:t>Предлагаемый платеж за осуществление Банком мероприятий по внесению по инициативе Заемщика изменений в условия Договора (изменение размера аннуитетного платежа, уменьшение срока возврата Кредита, продление срока возврата Кредита(пролонгация) и(или) отсрочка платежа по основному долгу и(или) изменение даты погашения Кредита) при составлении дополнительного соглашения к Договору</w:t>
            </w:r>
          </w:p>
        </w:tc>
        <w:tc>
          <w:tcPr>
            <w:tcW w:w="3202" w:type="dxa"/>
            <w:tcBorders>
              <w:top w:val="nil"/>
              <w:left w:val="nil"/>
              <w:bottom w:val="single" w:sz="4" w:space="0" w:color="auto"/>
              <w:right w:val="single" w:sz="4" w:space="0" w:color="auto"/>
            </w:tcBorders>
            <w:shd w:val="clear" w:color="000000" w:fill="FFFFFF"/>
            <w:vAlign w:val="center"/>
            <w:hideMark/>
          </w:tcPr>
          <w:p w14:paraId="19AF8E62" w14:textId="77777777" w:rsidR="00470B5F" w:rsidRPr="00CE5927" w:rsidRDefault="00470B5F" w:rsidP="00AD7716">
            <w:pPr>
              <w:rPr>
                <w:rFonts w:ascii="Tahoma" w:hAnsi="Tahoma" w:cs="Tahoma"/>
                <w:sz w:val="20"/>
                <w:szCs w:val="20"/>
              </w:rPr>
            </w:pPr>
            <w:r w:rsidRPr="00CE5927">
              <w:rPr>
                <w:rFonts w:ascii="Tahoma" w:hAnsi="Tahoma" w:cs="Tahoma"/>
                <w:sz w:val="20"/>
                <w:szCs w:val="20"/>
              </w:rPr>
              <w:t>500 рублей (плата взимается за услугу вне зависимости от количества измененных параметров Договора одновременно)</w:t>
            </w:r>
          </w:p>
        </w:tc>
      </w:tr>
      <w:tr w:rsidR="00470B5F" w:rsidRPr="00CE5927" w14:paraId="6CFA6BAE" w14:textId="77777777" w:rsidTr="00AD7716">
        <w:trPr>
          <w:trHeight w:val="1725"/>
        </w:trPr>
        <w:tc>
          <w:tcPr>
            <w:tcW w:w="0" w:type="auto"/>
            <w:gridSpan w:val="2"/>
            <w:vMerge/>
            <w:tcBorders>
              <w:top w:val="single" w:sz="4" w:space="0" w:color="auto"/>
              <w:left w:val="single" w:sz="4" w:space="0" w:color="auto"/>
              <w:bottom w:val="nil"/>
              <w:right w:val="single" w:sz="4" w:space="0" w:color="000000"/>
            </w:tcBorders>
            <w:vAlign w:val="center"/>
            <w:hideMark/>
          </w:tcPr>
          <w:p w14:paraId="3EFC5372" w14:textId="77777777" w:rsidR="00470B5F" w:rsidRPr="00CE5927" w:rsidRDefault="00470B5F" w:rsidP="00AD7716">
            <w:pPr>
              <w:ind w:left="616"/>
              <w:rPr>
                <w:rFonts w:ascii="Tahoma" w:hAnsi="Tahoma" w:cs="Tahoma"/>
                <w:b/>
                <w:bCs/>
                <w:sz w:val="20"/>
                <w:szCs w:val="20"/>
              </w:rPr>
            </w:pPr>
          </w:p>
        </w:tc>
        <w:tc>
          <w:tcPr>
            <w:tcW w:w="0" w:type="auto"/>
            <w:tcBorders>
              <w:top w:val="single" w:sz="4" w:space="0" w:color="auto"/>
              <w:left w:val="nil"/>
              <w:bottom w:val="single" w:sz="4" w:space="0" w:color="auto"/>
              <w:right w:val="single" w:sz="4" w:space="0" w:color="000000"/>
            </w:tcBorders>
            <w:shd w:val="clear" w:color="000000" w:fill="FFFFFF"/>
            <w:vAlign w:val="center"/>
            <w:hideMark/>
          </w:tcPr>
          <w:p w14:paraId="711A0804" w14:textId="77777777" w:rsidR="00470B5F" w:rsidRPr="00CE5927" w:rsidRDefault="00470B5F" w:rsidP="00AD7716">
            <w:pPr>
              <w:rPr>
                <w:rFonts w:ascii="Tahoma" w:hAnsi="Tahoma" w:cs="Tahoma"/>
                <w:sz w:val="20"/>
                <w:szCs w:val="20"/>
              </w:rPr>
            </w:pPr>
            <w:r w:rsidRPr="00CE5927">
              <w:rPr>
                <w:rFonts w:ascii="Tahoma" w:hAnsi="Tahoma" w:cs="Tahoma"/>
                <w:sz w:val="20"/>
                <w:szCs w:val="20"/>
              </w:rPr>
              <w:t xml:space="preserve">Плата за информацию о размере текущей задолженности Заемщика перед Банком по Договору, о датах и размерах произведенных и предстоящих платежей Заемщика по Договору (размерах предстоящих платежей Заемщика по Кредиту с переменной процентной ставкой, о произведенных платежах, при подготовке справок для субсидий/ в органы социальной защиты населения/налоговые органы/ пенсионный фонд, выписки по счетам, открытым в рамках Договора, справки о закрытии кредита </w:t>
            </w:r>
          </w:p>
        </w:tc>
        <w:tc>
          <w:tcPr>
            <w:tcW w:w="3202" w:type="dxa"/>
            <w:tcBorders>
              <w:top w:val="nil"/>
              <w:left w:val="nil"/>
              <w:bottom w:val="single" w:sz="4" w:space="0" w:color="auto"/>
              <w:right w:val="single" w:sz="4" w:space="0" w:color="auto"/>
            </w:tcBorders>
            <w:shd w:val="clear" w:color="000000" w:fill="FFFFFF"/>
            <w:vAlign w:val="center"/>
            <w:hideMark/>
          </w:tcPr>
          <w:p w14:paraId="0EB265DC" w14:textId="77777777" w:rsidR="00470B5F" w:rsidRPr="00CE5927" w:rsidRDefault="00470B5F" w:rsidP="00AD7716">
            <w:pPr>
              <w:rPr>
                <w:rFonts w:ascii="Tahoma" w:hAnsi="Tahoma" w:cs="Tahoma"/>
                <w:sz w:val="20"/>
                <w:szCs w:val="20"/>
              </w:rPr>
            </w:pPr>
            <w:r w:rsidRPr="00CE5927">
              <w:rPr>
                <w:rFonts w:ascii="Tahoma" w:hAnsi="Tahoma" w:cs="Tahoma"/>
                <w:sz w:val="20"/>
                <w:szCs w:val="20"/>
              </w:rPr>
              <w:t xml:space="preserve">500 рублей - при условии запроса информации более 1 раза в месяц </w:t>
            </w:r>
          </w:p>
        </w:tc>
      </w:tr>
      <w:tr w:rsidR="00470B5F" w:rsidRPr="00CE5927" w14:paraId="485F3B07" w14:textId="77777777" w:rsidTr="00AD7716">
        <w:trPr>
          <w:trHeight w:val="915"/>
        </w:trPr>
        <w:tc>
          <w:tcPr>
            <w:tcW w:w="0" w:type="auto"/>
            <w:gridSpan w:val="2"/>
            <w:vMerge/>
            <w:tcBorders>
              <w:top w:val="single" w:sz="4" w:space="0" w:color="auto"/>
              <w:left w:val="single" w:sz="4" w:space="0" w:color="auto"/>
              <w:bottom w:val="nil"/>
              <w:right w:val="single" w:sz="4" w:space="0" w:color="000000"/>
            </w:tcBorders>
            <w:vAlign w:val="center"/>
            <w:hideMark/>
          </w:tcPr>
          <w:p w14:paraId="5E01EC58" w14:textId="77777777" w:rsidR="00470B5F" w:rsidRPr="00CE5927" w:rsidRDefault="00470B5F" w:rsidP="00AD7716">
            <w:pPr>
              <w:ind w:left="616"/>
              <w:rPr>
                <w:rFonts w:ascii="Tahoma" w:hAnsi="Tahoma" w:cs="Tahoma"/>
                <w:b/>
                <w:bCs/>
                <w:sz w:val="20"/>
                <w:szCs w:val="20"/>
              </w:rPr>
            </w:pPr>
          </w:p>
        </w:tc>
        <w:tc>
          <w:tcPr>
            <w:tcW w:w="0" w:type="auto"/>
            <w:tcBorders>
              <w:top w:val="single" w:sz="4" w:space="0" w:color="auto"/>
              <w:left w:val="nil"/>
              <w:bottom w:val="single" w:sz="4" w:space="0" w:color="auto"/>
              <w:right w:val="single" w:sz="4" w:space="0" w:color="000000"/>
            </w:tcBorders>
            <w:shd w:val="clear" w:color="000000" w:fill="FFFFFF"/>
            <w:vAlign w:val="center"/>
            <w:hideMark/>
          </w:tcPr>
          <w:p w14:paraId="0AD4C8CF" w14:textId="77777777" w:rsidR="00470B5F" w:rsidRPr="00CE5927" w:rsidRDefault="00470B5F" w:rsidP="00AD7716">
            <w:pPr>
              <w:rPr>
                <w:rFonts w:ascii="Tahoma" w:hAnsi="Tahoma" w:cs="Tahoma"/>
                <w:sz w:val="20"/>
                <w:szCs w:val="20"/>
              </w:rPr>
            </w:pPr>
            <w:r w:rsidRPr="00CE5927">
              <w:rPr>
                <w:rFonts w:ascii="Tahoma" w:hAnsi="Tahoma" w:cs="Tahoma"/>
                <w:sz w:val="20"/>
                <w:szCs w:val="20"/>
              </w:rPr>
              <w:t xml:space="preserve">Платеж за внесение денежных средств на ТБС/СКС через терминалы самообслуживания Банка </w:t>
            </w:r>
          </w:p>
        </w:tc>
        <w:tc>
          <w:tcPr>
            <w:tcW w:w="3202" w:type="dxa"/>
            <w:tcBorders>
              <w:top w:val="nil"/>
              <w:left w:val="nil"/>
              <w:bottom w:val="single" w:sz="4" w:space="0" w:color="auto"/>
              <w:right w:val="single" w:sz="4" w:space="0" w:color="auto"/>
            </w:tcBorders>
            <w:shd w:val="clear" w:color="000000" w:fill="FFFFFF"/>
            <w:vAlign w:val="center"/>
            <w:hideMark/>
          </w:tcPr>
          <w:p w14:paraId="202862B3" w14:textId="77777777" w:rsidR="00470B5F" w:rsidRPr="00CE5927" w:rsidRDefault="00470B5F" w:rsidP="00AD7716">
            <w:pPr>
              <w:rPr>
                <w:rFonts w:ascii="Tahoma" w:hAnsi="Tahoma" w:cs="Tahoma"/>
                <w:sz w:val="20"/>
                <w:szCs w:val="20"/>
              </w:rPr>
            </w:pPr>
            <w:r w:rsidRPr="00CE5927">
              <w:rPr>
                <w:rFonts w:ascii="Tahoma" w:hAnsi="Tahoma" w:cs="Tahoma"/>
                <w:sz w:val="20"/>
                <w:szCs w:val="20"/>
              </w:rPr>
              <w:t>Бесплатно</w:t>
            </w:r>
          </w:p>
        </w:tc>
      </w:tr>
      <w:tr w:rsidR="00470B5F" w:rsidRPr="00CE5927" w14:paraId="0F1B8FA4" w14:textId="77777777" w:rsidTr="00AD7716">
        <w:trPr>
          <w:trHeight w:val="630"/>
        </w:trPr>
        <w:tc>
          <w:tcPr>
            <w:tcW w:w="0" w:type="auto"/>
            <w:gridSpan w:val="2"/>
            <w:vMerge/>
            <w:tcBorders>
              <w:top w:val="single" w:sz="4" w:space="0" w:color="auto"/>
              <w:left w:val="single" w:sz="4" w:space="0" w:color="auto"/>
              <w:bottom w:val="nil"/>
              <w:right w:val="single" w:sz="4" w:space="0" w:color="000000"/>
            </w:tcBorders>
            <w:vAlign w:val="center"/>
            <w:hideMark/>
          </w:tcPr>
          <w:p w14:paraId="086858C2" w14:textId="77777777" w:rsidR="00470B5F" w:rsidRPr="00CE5927" w:rsidRDefault="00470B5F" w:rsidP="00AD7716">
            <w:pPr>
              <w:ind w:left="616"/>
              <w:rPr>
                <w:rFonts w:ascii="Tahoma" w:hAnsi="Tahoma" w:cs="Tahoma"/>
                <w:b/>
                <w:bCs/>
                <w:sz w:val="20"/>
                <w:szCs w:val="20"/>
              </w:rPr>
            </w:pPr>
          </w:p>
        </w:tc>
        <w:tc>
          <w:tcPr>
            <w:tcW w:w="0" w:type="auto"/>
            <w:tcBorders>
              <w:top w:val="single" w:sz="4" w:space="0" w:color="auto"/>
              <w:left w:val="nil"/>
              <w:bottom w:val="single" w:sz="4" w:space="0" w:color="auto"/>
              <w:right w:val="single" w:sz="4" w:space="0" w:color="000000"/>
            </w:tcBorders>
            <w:shd w:val="clear" w:color="000000" w:fill="FFFFFF"/>
            <w:vAlign w:val="center"/>
            <w:hideMark/>
          </w:tcPr>
          <w:p w14:paraId="2621BC75" w14:textId="77777777" w:rsidR="00470B5F" w:rsidRPr="00CE5927" w:rsidRDefault="00470B5F" w:rsidP="00AD7716">
            <w:pPr>
              <w:rPr>
                <w:rFonts w:ascii="Tahoma" w:hAnsi="Tahoma" w:cs="Tahoma"/>
                <w:sz w:val="20"/>
                <w:szCs w:val="20"/>
              </w:rPr>
            </w:pPr>
            <w:r w:rsidRPr="00CE5927">
              <w:rPr>
                <w:rFonts w:ascii="Tahoma" w:hAnsi="Tahoma" w:cs="Tahoma"/>
                <w:sz w:val="20"/>
                <w:szCs w:val="20"/>
              </w:rPr>
              <w:t>Плата за пополнение ТБС/СКС Заемщика денежными средствами через кассу Банка</w:t>
            </w:r>
          </w:p>
        </w:tc>
        <w:tc>
          <w:tcPr>
            <w:tcW w:w="3202" w:type="dxa"/>
            <w:tcBorders>
              <w:top w:val="nil"/>
              <w:left w:val="nil"/>
              <w:bottom w:val="single" w:sz="4" w:space="0" w:color="auto"/>
              <w:right w:val="single" w:sz="4" w:space="0" w:color="auto"/>
            </w:tcBorders>
            <w:shd w:val="clear" w:color="000000" w:fill="FFFFFF"/>
            <w:vAlign w:val="center"/>
            <w:hideMark/>
          </w:tcPr>
          <w:p w14:paraId="77478DE5" w14:textId="77777777" w:rsidR="00470B5F" w:rsidRPr="00CE5927" w:rsidRDefault="00470B5F" w:rsidP="00AD7716">
            <w:pPr>
              <w:rPr>
                <w:rFonts w:ascii="Tahoma" w:hAnsi="Tahoma" w:cs="Tahoma"/>
                <w:sz w:val="20"/>
                <w:szCs w:val="20"/>
              </w:rPr>
            </w:pPr>
            <w:r w:rsidRPr="00CE5927">
              <w:rPr>
                <w:rFonts w:ascii="Tahoma" w:hAnsi="Tahoma" w:cs="Tahoma"/>
                <w:sz w:val="20"/>
                <w:szCs w:val="20"/>
              </w:rPr>
              <w:t>150 рублей</w:t>
            </w:r>
          </w:p>
        </w:tc>
      </w:tr>
      <w:tr w:rsidR="00470B5F" w:rsidRPr="00CE5927" w14:paraId="54E62230" w14:textId="77777777" w:rsidTr="00AD7716">
        <w:trPr>
          <w:trHeight w:val="915"/>
        </w:trPr>
        <w:tc>
          <w:tcPr>
            <w:tcW w:w="0" w:type="auto"/>
            <w:gridSpan w:val="2"/>
            <w:vMerge/>
            <w:tcBorders>
              <w:top w:val="single" w:sz="4" w:space="0" w:color="auto"/>
              <w:left w:val="single" w:sz="4" w:space="0" w:color="auto"/>
              <w:bottom w:val="nil"/>
              <w:right w:val="single" w:sz="4" w:space="0" w:color="000000"/>
            </w:tcBorders>
            <w:vAlign w:val="center"/>
            <w:hideMark/>
          </w:tcPr>
          <w:p w14:paraId="2F624D63" w14:textId="77777777" w:rsidR="00470B5F" w:rsidRPr="00CE5927" w:rsidRDefault="00470B5F" w:rsidP="00AD7716">
            <w:pPr>
              <w:ind w:left="616"/>
              <w:rPr>
                <w:rFonts w:ascii="Tahoma" w:hAnsi="Tahoma" w:cs="Tahoma"/>
                <w:b/>
                <w:bCs/>
                <w:sz w:val="20"/>
                <w:szCs w:val="20"/>
              </w:rPr>
            </w:pPr>
          </w:p>
        </w:tc>
        <w:tc>
          <w:tcPr>
            <w:tcW w:w="0" w:type="auto"/>
            <w:tcBorders>
              <w:top w:val="single" w:sz="4" w:space="0" w:color="auto"/>
              <w:left w:val="nil"/>
              <w:bottom w:val="single" w:sz="4" w:space="0" w:color="auto"/>
              <w:right w:val="single" w:sz="4" w:space="0" w:color="000000"/>
            </w:tcBorders>
            <w:shd w:val="clear" w:color="000000" w:fill="FFFFFF"/>
            <w:vAlign w:val="center"/>
            <w:hideMark/>
          </w:tcPr>
          <w:p w14:paraId="693F9B64" w14:textId="77777777" w:rsidR="00470B5F" w:rsidRPr="00CE5927" w:rsidRDefault="00470B5F" w:rsidP="00AD7716">
            <w:pPr>
              <w:rPr>
                <w:rFonts w:ascii="Tahoma" w:hAnsi="Tahoma" w:cs="Tahoma"/>
                <w:sz w:val="20"/>
                <w:szCs w:val="20"/>
              </w:rPr>
            </w:pPr>
            <w:r w:rsidRPr="00CE5927">
              <w:rPr>
                <w:rFonts w:ascii="Tahoma" w:hAnsi="Tahoma" w:cs="Tahoma"/>
                <w:sz w:val="20"/>
                <w:szCs w:val="20"/>
              </w:rPr>
              <w:t>Платеж за закрытие ТБС при наличии денежных средств на счете после выполнения клиентом обязательств по договору.</w:t>
            </w:r>
          </w:p>
        </w:tc>
        <w:tc>
          <w:tcPr>
            <w:tcW w:w="3202" w:type="dxa"/>
            <w:tcBorders>
              <w:top w:val="nil"/>
              <w:left w:val="nil"/>
              <w:bottom w:val="single" w:sz="4" w:space="0" w:color="auto"/>
              <w:right w:val="single" w:sz="4" w:space="0" w:color="auto"/>
            </w:tcBorders>
            <w:shd w:val="clear" w:color="000000" w:fill="FFFFFF"/>
            <w:vAlign w:val="center"/>
            <w:hideMark/>
          </w:tcPr>
          <w:p w14:paraId="48392FA8" w14:textId="77777777" w:rsidR="00470B5F" w:rsidRPr="00CE5927" w:rsidRDefault="00470B5F" w:rsidP="00AD7716">
            <w:pPr>
              <w:rPr>
                <w:rFonts w:ascii="Tahoma" w:hAnsi="Tahoma" w:cs="Tahoma"/>
                <w:sz w:val="20"/>
                <w:szCs w:val="20"/>
              </w:rPr>
            </w:pPr>
            <w:r w:rsidRPr="00CE5927">
              <w:rPr>
                <w:rFonts w:ascii="Tahoma" w:hAnsi="Tahoma" w:cs="Tahoma"/>
                <w:sz w:val="20"/>
                <w:szCs w:val="20"/>
              </w:rPr>
              <w:t>По условиям договора (индивидуально)</w:t>
            </w:r>
          </w:p>
        </w:tc>
      </w:tr>
      <w:tr w:rsidR="00470B5F" w:rsidRPr="00CE5927" w14:paraId="77B588B6" w14:textId="77777777" w:rsidTr="00AD7716">
        <w:trPr>
          <w:trHeight w:val="570"/>
        </w:trPr>
        <w:tc>
          <w:tcPr>
            <w:tcW w:w="0" w:type="auto"/>
            <w:gridSpan w:val="2"/>
            <w:vMerge/>
            <w:tcBorders>
              <w:top w:val="single" w:sz="4" w:space="0" w:color="auto"/>
              <w:left w:val="single" w:sz="4" w:space="0" w:color="auto"/>
              <w:bottom w:val="nil"/>
              <w:right w:val="single" w:sz="4" w:space="0" w:color="000000"/>
            </w:tcBorders>
            <w:vAlign w:val="center"/>
            <w:hideMark/>
          </w:tcPr>
          <w:p w14:paraId="1BBA6355" w14:textId="77777777" w:rsidR="00470B5F" w:rsidRPr="00CE5927" w:rsidRDefault="00470B5F" w:rsidP="00AD7716">
            <w:pPr>
              <w:ind w:left="616"/>
              <w:rPr>
                <w:rFonts w:ascii="Tahoma" w:hAnsi="Tahoma" w:cs="Tahoma"/>
                <w:b/>
                <w:bCs/>
                <w:sz w:val="20"/>
                <w:szCs w:val="20"/>
              </w:rPr>
            </w:pPr>
          </w:p>
        </w:tc>
        <w:tc>
          <w:tcPr>
            <w:tcW w:w="0" w:type="auto"/>
            <w:tcBorders>
              <w:top w:val="single" w:sz="4" w:space="0" w:color="auto"/>
              <w:left w:val="nil"/>
              <w:bottom w:val="single" w:sz="4" w:space="0" w:color="auto"/>
              <w:right w:val="single" w:sz="4" w:space="0" w:color="000000"/>
            </w:tcBorders>
            <w:shd w:val="clear" w:color="000000" w:fill="FFFFFF"/>
            <w:vAlign w:val="center"/>
            <w:hideMark/>
          </w:tcPr>
          <w:p w14:paraId="588169D3" w14:textId="77777777" w:rsidR="00470B5F" w:rsidRPr="00CE5927" w:rsidRDefault="00470B5F" w:rsidP="00AD7716">
            <w:pPr>
              <w:rPr>
                <w:rFonts w:ascii="Tahoma" w:hAnsi="Tahoma" w:cs="Tahoma"/>
                <w:sz w:val="20"/>
                <w:szCs w:val="20"/>
              </w:rPr>
            </w:pPr>
            <w:r w:rsidRPr="00CE5927">
              <w:rPr>
                <w:rFonts w:ascii="Tahoma" w:hAnsi="Tahoma" w:cs="Tahoma"/>
                <w:sz w:val="20"/>
                <w:szCs w:val="20"/>
              </w:rPr>
              <w:t>Выдача дубликата или восстановление утерянного кредитного договора, договоров обеспечения.</w:t>
            </w:r>
          </w:p>
        </w:tc>
        <w:tc>
          <w:tcPr>
            <w:tcW w:w="3202" w:type="dxa"/>
            <w:tcBorders>
              <w:top w:val="nil"/>
              <w:left w:val="nil"/>
              <w:bottom w:val="single" w:sz="4" w:space="0" w:color="auto"/>
              <w:right w:val="single" w:sz="4" w:space="0" w:color="auto"/>
            </w:tcBorders>
            <w:shd w:val="clear" w:color="000000" w:fill="FFFFFF"/>
            <w:vAlign w:val="center"/>
            <w:hideMark/>
          </w:tcPr>
          <w:p w14:paraId="77C5BB76" w14:textId="77777777" w:rsidR="00470B5F" w:rsidRPr="00CE5927" w:rsidRDefault="00470B5F" w:rsidP="00AD7716">
            <w:pPr>
              <w:rPr>
                <w:rFonts w:ascii="Tahoma" w:hAnsi="Tahoma" w:cs="Tahoma"/>
                <w:sz w:val="20"/>
                <w:szCs w:val="20"/>
              </w:rPr>
            </w:pPr>
            <w:r w:rsidRPr="00CE5927">
              <w:rPr>
                <w:rFonts w:ascii="Tahoma" w:hAnsi="Tahoma" w:cs="Tahoma"/>
                <w:sz w:val="20"/>
                <w:szCs w:val="20"/>
              </w:rPr>
              <w:t>10 000 руб. за 1 договор</w:t>
            </w:r>
          </w:p>
        </w:tc>
      </w:tr>
      <w:tr w:rsidR="00470B5F" w:rsidRPr="00CE5927" w14:paraId="7D42DFAC" w14:textId="77777777" w:rsidTr="00AD7716">
        <w:trPr>
          <w:trHeight w:val="1155"/>
        </w:trPr>
        <w:tc>
          <w:tcPr>
            <w:tcW w:w="0" w:type="auto"/>
            <w:gridSpan w:val="2"/>
            <w:vMerge/>
            <w:tcBorders>
              <w:top w:val="single" w:sz="4" w:space="0" w:color="auto"/>
              <w:left w:val="single" w:sz="4" w:space="0" w:color="auto"/>
              <w:bottom w:val="nil"/>
              <w:right w:val="single" w:sz="4" w:space="0" w:color="000000"/>
            </w:tcBorders>
            <w:vAlign w:val="center"/>
            <w:hideMark/>
          </w:tcPr>
          <w:p w14:paraId="0A4AAF39" w14:textId="77777777" w:rsidR="00470B5F" w:rsidRPr="00CE5927" w:rsidRDefault="00470B5F" w:rsidP="00AD7716">
            <w:pPr>
              <w:ind w:left="616"/>
              <w:rPr>
                <w:rFonts w:ascii="Tahoma" w:hAnsi="Tahoma" w:cs="Tahoma"/>
                <w:b/>
                <w:bCs/>
                <w:sz w:val="20"/>
                <w:szCs w:val="20"/>
              </w:rPr>
            </w:pPr>
          </w:p>
        </w:tc>
        <w:tc>
          <w:tcPr>
            <w:tcW w:w="0" w:type="auto"/>
            <w:tcBorders>
              <w:top w:val="single" w:sz="4" w:space="0" w:color="auto"/>
              <w:left w:val="nil"/>
              <w:bottom w:val="single" w:sz="4" w:space="0" w:color="auto"/>
              <w:right w:val="single" w:sz="4" w:space="0" w:color="000000"/>
            </w:tcBorders>
            <w:shd w:val="clear" w:color="000000" w:fill="FFFFFF"/>
            <w:vAlign w:val="center"/>
            <w:hideMark/>
          </w:tcPr>
          <w:p w14:paraId="6E30CFFB" w14:textId="77777777" w:rsidR="00470B5F" w:rsidRPr="00CE5927" w:rsidRDefault="00470B5F" w:rsidP="00AD7716">
            <w:pPr>
              <w:rPr>
                <w:rFonts w:ascii="Tahoma" w:hAnsi="Tahoma" w:cs="Tahoma"/>
                <w:sz w:val="20"/>
                <w:szCs w:val="20"/>
              </w:rPr>
            </w:pPr>
            <w:r w:rsidRPr="00CE5927">
              <w:rPr>
                <w:rFonts w:ascii="Tahoma" w:hAnsi="Tahoma" w:cs="Tahoma"/>
                <w:sz w:val="20"/>
                <w:szCs w:val="20"/>
              </w:rPr>
              <w:t xml:space="preserve">Осуществление комплекса необходимых мероприятий, направленных на изменение условий договоров обеспечения при наличии согласия «Азиатско-Тихоокеанский Банк» </w:t>
            </w:r>
            <w:r>
              <w:rPr>
                <w:rFonts w:ascii="Tahoma" w:hAnsi="Tahoma" w:cs="Tahoma"/>
                <w:sz w:val="20"/>
                <w:szCs w:val="20"/>
              </w:rPr>
              <w:t>(АО)</w:t>
            </w:r>
            <w:r w:rsidRPr="00CE5927">
              <w:rPr>
                <w:rFonts w:ascii="Tahoma" w:hAnsi="Tahoma" w:cs="Tahoma"/>
                <w:sz w:val="20"/>
                <w:szCs w:val="20"/>
              </w:rPr>
              <w:t xml:space="preserve"> (замена залога, вывод имущества из-под залога, замена залогодателя, замена поручителя,  вывод поручителя)</w:t>
            </w:r>
          </w:p>
        </w:tc>
        <w:tc>
          <w:tcPr>
            <w:tcW w:w="3202" w:type="dxa"/>
            <w:tcBorders>
              <w:top w:val="nil"/>
              <w:left w:val="nil"/>
              <w:bottom w:val="single" w:sz="4" w:space="0" w:color="auto"/>
              <w:right w:val="single" w:sz="4" w:space="0" w:color="auto"/>
            </w:tcBorders>
            <w:shd w:val="clear" w:color="000000" w:fill="FFFFFF"/>
            <w:vAlign w:val="center"/>
            <w:hideMark/>
          </w:tcPr>
          <w:p w14:paraId="61A7CBD0" w14:textId="77777777" w:rsidR="00470B5F" w:rsidRPr="00CE5927" w:rsidRDefault="00470B5F" w:rsidP="00AD7716">
            <w:pPr>
              <w:rPr>
                <w:rFonts w:ascii="Tahoma" w:hAnsi="Tahoma" w:cs="Tahoma"/>
                <w:sz w:val="20"/>
                <w:szCs w:val="20"/>
              </w:rPr>
            </w:pPr>
            <w:r w:rsidRPr="00CE5927">
              <w:rPr>
                <w:rFonts w:ascii="Tahoma" w:hAnsi="Tahoma" w:cs="Tahoma"/>
                <w:sz w:val="20"/>
                <w:szCs w:val="20"/>
              </w:rPr>
              <w:t>2360 руб.</w:t>
            </w:r>
          </w:p>
        </w:tc>
      </w:tr>
      <w:tr w:rsidR="00470B5F" w:rsidRPr="00CE5927" w14:paraId="727B25E1" w14:textId="77777777" w:rsidTr="00AD7716">
        <w:trPr>
          <w:trHeight w:val="1455"/>
        </w:trPr>
        <w:tc>
          <w:tcPr>
            <w:tcW w:w="0" w:type="auto"/>
            <w:gridSpan w:val="2"/>
            <w:vMerge/>
            <w:tcBorders>
              <w:top w:val="single" w:sz="4" w:space="0" w:color="auto"/>
              <w:left w:val="single" w:sz="4" w:space="0" w:color="auto"/>
              <w:bottom w:val="nil"/>
              <w:right w:val="single" w:sz="4" w:space="0" w:color="000000"/>
            </w:tcBorders>
            <w:vAlign w:val="center"/>
            <w:hideMark/>
          </w:tcPr>
          <w:p w14:paraId="098BC605" w14:textId="77777777" w:rsidR="00470B5F" w:rsidRPr="00CE5927" w:rsidRDefault="00470B5F" w:rsidP="00AD7716">
            <w:pPr>
              <w:ind w:left="616"/>
              <w:rPr>
                <w:rFonts w:ascii="Tahoma" w:hAnsi="Tahoma" w:cs="Tahoma"/>
                <w:b/>
                <w:bCs/>
                <w:sz w:val="20"/>
                <w:szCs w:val="20"/>
              </w:rPr>
            </w:pPr>
          </w:p>
        </w:tc>
        <w:tc>
          <w:tcPr>
            <w:tcW w:w="0" w:type="auto"/>
            <w:tcBorders>
              <w:top w:val="single" w:sz="4" w:space="0" w:color="auto"/>
              <w:left w:val="nil"/>
              <w:bottom w:val="single" w:sz="4" w:space="0" w:color="auto"/>
              <w:right w:val="single" w:sz="4" w:space="0" w:color="000000"/>
            </w:tcBorders>
            <w:shd w:val="clear" w:color="000000" w:fill="FFFFFF"/>
            <w:vAlign w:val="center"/>
            <w:hideMark/>
          </w:tcPr>
          <w:p w14:paraId="52385D18" w14:textId="77777777" w:rsidR="00470B5F" w:rsidRPr="00CE5927" w:rsidRDefault="00470B5F" w:rsidP="00AD7716">
            <w:pPr>
              <w:rPr>
                <w:rFonts w:ascii="Tahoma" w:hAnsi="Tahoma" w:cs="Tahoma"/>
                <w:sz w:val="20"/>
                <w:szCs w:val="20"/>
              </w:rPr>
            </w:pPr>
            <w:r w:rsidRPr="00CE5927">
              <w:rPr>
                <w:rFonts w:ascii="Tahoma" w:hAnsi="Tahoma" w:cs="Tahoma"/>
                <w:sz w:val="20"/>
                <w:szCs w:val="20"/>
              </w:rPr>
              <w:t>Штраф за не предоставление в установленный кредитным договором срок документов, подтверждающих целевое использование кредитных средств, в рамках ипотечного кредитования и автокредитования (в т.ч. предоставление документов, подтверждающих целевое использование кредитных средств, при этом оформленных на третье лицо (за исключением документов, оформленных на супруга/у))</w:t>
            </w:r>
          </w:p>
        </w:tc>
        <w:tc>
          <w:tcPr>
            <w:tcW w:w="3202" w:type="dxa"/>
            <w:tcBorders>
              <w:top w:val="nil"/>
              <w:left w:val="nil"/>
              <w:bottom w:val="single" w:sz="4" w:space="0" w:color="auto"/>
              <w:right w:val="single" w:sz="4" w:space="0" w:color="auto"/>
            </w:tcBorders>
            <w:shd w:val="clear" w:color="000000" w:fill="FFFFFF"/>
            <w:vAlign w:val="center"/>
            <w:hideMark/>
          </w:tcPr>
          <w:p w14:paraId="57585329" w14:textId="77777777" w:rsidR="00470B5F" w:rsidRPr="00CE5927" w:rsidRDefault="00470B5F" w:rsidP="00AD7716">
            <w:pPr>
              <w:rPr>
                <w:rFonts w:ascii="Tahoma" w:hAnsi="Tahoma" w:cs="Tahoma"/>
                <w:sz w:val="20"/>
                <w:szCs w:val="20"/>
              </w:rPr>
            </w:pPr>
            <w:r w:rsidRPr="00CE5927">
              <w:rPr>
                <w:rFonts w:ascii="Tahoma" w:hAnsi="Tahoma" w:cs="Tahoma"/>
                <w:sz w:val="20"/>
                <w:szCs w:val="20"/>
              </w:rPr>
              <w:t>5000 рублей</w:t>
            </w:r>
          </w:p>
        </w:tc>
      </w:tr>
      <w:tr w:rsidR="00470B5F" w:rsidRPr="00CE5927" w14:paraId="65D14FCA" w14:textId="77777777" w:rsidTr="00AD7716">
        <w:trPr>
          <w:trHeight w:val="660"/>
        </w:trPr>
        <w:tc>
          <w:tcPr>
            <w:tcW w:w="0" w:type="auto"/>
            <w:gridSpan w:val="2"/>
            <w:vMerge/>
            <w:tcBorders>
              <w:top w:val="single" w:sz="4" w:space="0" w:color="auto"/>
              <w:left w:val="single" w:sz="4" w:space="0" w:color="auto"/>
              <w:bottom w:val="nil"/>
              <w:right w:val="single" w:sz="4" w:space="0" w:color="000000"/>
            </w:tcBorders>
            <w:vAlign w:val="center"/>
            <w:hideMark/>
          </w:tcPr>
          <w:p w14:paraId="79692EB5" w14:textId="77777777" w:rsidR="00470B5F" w:rsidRPr="00CE5927" w:rsidRDefault="00470B5F" w:rsidP="00AD7716">
            <w:pPr>
              <w:ind w:left="616"/>
              <w:rPr>
                <w:rFonts w:ascii="Tahoma" w:hAnsi="Tahoma" w:cs="Tahoma"/>
                <w:b/>
                <w:bCs/>
                <w:sz w:val="20"/>
                <w:szCs w:val="20"/>
              </w:rPr>
            </w:pPr>
          </w:p>
        </w:tc>
        <w:tc>
          <w:tcPr>
            <w:tcW w:w="0" w:type="auto"/>
            <w:tcBorders>
              <w:top w:val="single" w:sz="4" w:space="0" w:color="auto"/>
              <w:left w:val="nil"/>
              <w:bottom w:val="single" w:sz="4" w:space="0" w:color="auto"/>
              <w:right w:val="single" w:sz="4" w:space="0" w:color="000000"/>
            </w:tcBorders>
            <w:shd w:val="clear" w:color="000000" w:fill="FFFFFF"/>
            <w:vAlign w:val="center"/>
            <w:hideMark/>
          </w:tcPr>
          <w:p w14:paraId="5331CD44" w14:textId="77777777" w:rsidR="00470B5F" w:rsidRPr="00CE5927" w:rsidRDefault="00470B5F" w:rsidP="00AD7716">
            <w:pPr>
              <w:rPr>
                <w:rFonts w:ascii="Tahoma" w:hAnsi="Tahoma" w:cs="Tahoma"/>
                <w:sz w:val="20"/>
                <w:szCs w:val="20"/>
              </w:rPr>
            </w:pPr>
            <w:r w:rsidRPr="00CE5927">
              <w:rPr>
                <w:rFonts w:ascii="Tahoma" w:hAnsi="Tahoma" w:cs="Tahoma"/>
                <w:sz w:val="20"/>
                <w:szCs w:val="20"/>
              </w:rPr>
              <w:t>Предлагаемый платеж за рассмотрение Банком по инициативе Заемщика возможности снижения кредитной нагрузки заемщика по Кредитному договору</w:t>
            </w:r>
          </w:p>
        </w:tc>
        <w:tc>
          <w:tcPr>
            <w:tcW w:w="3202" w:type="dxa"/>
            <w:tcBorders>
              <w:top w:val="nil"/>
              <w:left w:val="nil"/>
              <w:bottom w:val="single" w:sz="4" w:space="0" w:color="auto"/>
              <w:right w:val="single" w:sz="4" w:space="0" w:color="auto"/>
            </w:tcBorders>
            <w:shd w:val="clear" w:color="000000" w:fill="FFFFFF"/>
            <w:vAlign w:val="center"/>
            <w:hideMark/>
          </w:tcPr>
          <w:p w14:paraId="389C78C1" w14:textId="77777777" w:rsidR="00470B5F" w:rsidRPr="00CE5927" w:rsidRDefault="00470B5F" w:rsidP="00AD7716">
            <w:pPr>
              <w:rPr>
                <w:rFonts w:ascii="Tahoma" w:hAnsi="Tahoma" w:cs="Tahoma"/>
                <w:sz w:val="20"/>
                <w:szCs w:val="20"/>
              </w:rPr>
            </w:pPr>
            <w:r w:rsidRPr="00CE5927">
              <w:rPr>
                <w:rFonts w:ascii="Tahoma" w:hAnsi="Tahoma" w:cs="Tahoma"/>
                <w:sz w:val="20"/>
                <w:szCs w:val="20"/>
              </w:rPr>
              <w:t>1499 рублей</w:t>
            </w:r>
          </w:p>
        </w:tc>
      </w:tr>
      <w:tr w:rsidR="00470B5F" w:rsidRPr="00CE5927" w14:paraId="4CA4481E" w14:textId="77777777" w:rsidTr="00AD7716">
        <w:trPr>
          <w:trHeight w:val="900"/>
        </w:trPr>
        <w:tc>
          <w:tcPr>
            <w:tcW w:w="15876" w:type="dxa"/>
            <w:gridSpan w:val="4"/>
            <w:tcBorders>
              <w:top w:val="single" w:sz="4" w:space="0" w:color="auto"/>
              <w:left w:val="single" w:sz="8" w:space="0" w:color="auto"/>
              <w:bottom w:val="single" w:sz="4" w:space="0" w:color="auto"/>
              <w:right w:val="single" w:sz="4" w:space="0" w:color="000000"/>
            </w:tcBorders>
            <w:shd w:val="clear" w:color="000000" w:fill="FFFFFF"/>
            <w:vAlign w:val="center"/>
            <w:hideMark/>
          </w:tcPr>
          <w:p w14:paraId="29EEE3C2" w14:textId="77777777" w:rsidR="00470B5F" w:rsidRPr="00CE5927" w:rsidRDefault="00470B5F" w:rsidP="00AD7716">
            <w:pPr>
              <w:ind w:left="616"/>
              <w:rPr>
                <w:rFonts w:ascii="Tahoma" w:hAnsi="Tahoma" w:cs="Tahoma"/>
                <w:sz w:val="20"/>
                <w:szCs w:val="20"/>
              </w:rPr>
            </w:pPr>
            <w:r w:rsidRPr="00CE5927">
              <w:rPr>
                <w:rFonts w:ascii="Tahoma" w:hAnsi="Tahoma" w:cs="Tahoma"/>
                <w:sz w:val="20"/>
                <w:szCs w:val="20"/>
              </w:rPr>
              <w:t>* При сумме кредита свыше 20 000 000 (двадцати) миллионов рублей, предоставление кредита осуществляется только с целевым использованием (цель определяется клиентом и согласовывается решением уполномоченного органа принимающего решение о выдаче кредита), его подтверждением и контролем. При этом предоставление документов, подтверждающих намерение направить кредитные средства на заявленные цели, должно быть произведено до выдачи кредитных средств.</w:t>
            </w:r>
          </w:p>
        </w:tc>
      </w:tr>
      <w:tr w:rsidR="00470B5F" w:rsidRPr="00CE5927" w14:paraId="30D02E29" w14:textId="77777777" w:rsidTr="00AD7716">
        <w:trPr>
          <w:trHeight w:val="435"/>
        </w:trPr>
        <w:tc>
          <w:tcPr>
            <w:tcW w:w="15876" w:type="dxa"/>
            <w:gridSpan w:val="4"/>
            <w:tcBorders>
              <w:top w:val="single" w:sz="4" w:space="0" w:color="auto"/>
              <w:left w:val="single" w:sz="8" w:space="0" w:color="auto"/>
              <w:bottom w:val="single" w:sz="4" w:space="0" w:color="auto"/>
              <w:right w:val="single" w:sz="4" w:space="0" w:color="000000"/>
            </w:tcBorders>
            <w:shd w:val="clear" w:color="000000" w:fill="FFFFFF"/>
            <w:vAlign w:val="center"/>
            <w:hideMark/>
          </w:tcPr>
          <w:p w14:paraId="556F7B0B" w14:textId="77777777" w:rsidR="00470B5F" w:rsidRPr="00CE5927" w:rsidRDefault="00470B5F" w:rsidP="00AD7716">
            <w:pPr>
              <w:ind w:left="616"/>
              <w:rPr>
                <w:rFonts w:ascii="Tahoma" w:hAnsi="Tahoma" w:cs="Tahoma"/>
                <w:sz w:val="20"/>
                <w:szCs w:val="20"/>
              </w:rPr>
            </w:pPr>
            <w:r w:rsidRPr="00CE5927">
              <w:rPr>
                <w:rFonts w:ascii="Tahoma" w:hAnsi="Tahoma" w:cs="Tahoma"/>
                <w:sz w:val="20"/>
                <w:szCs w:val="20"/>
              </w:rPr>
              <w:t>**Согласно требований внутренних нормативных документов Банка и/или на основании решения уполномоченного органа Банка, принимающего решение о выдаче кредита.</w:t>
            </w:r>
          </w:p>
        </w:tc>
      </w:tr>
      <w:tr w:rsidR="00470B5F" w:rsidRPr="00CE5927" w14:paraId="1B0D97E2" w14:textId="77777777" w:rsidTr="00AD7716">
        <w:trPr>
          <w:trHeight w:val="1140"/>
        </w:trPr>
        <w:tc>
          <w:tcPr>
            <w:tcW w:w="15876" w:type="dxa"/>
            <w:gridSpan w:val="4"/>
            <w:tcBorders>
              <w:top w:val="single" w:sz="4" w:space="0" w:color="auto"/>
              <w:left w:val="single" w:sz="8" w:space="0" w:color="auto"/>
              <w:bottom w:val="single" w:sz="4" w:space="0" w:color="auto"/>
              <w:right w:val="single" w:sz="4" w:space="0" w:color="000000"/>
            </w:tcBorders>
            <w:shd w:val="clear" w:color="000000" w:fill="FFFFFF"/>
            <w:vAlign w:val="center"/>
            <w:hideMark/>
          </w:tcPr>
          <w:p w14:paraId="3D87BA94" w14:textId="77777777" w:rsidR="00470B5F" w:rsidRPr="00CE5927" w:rsidRDefault="00470B5F" w:rsidP="00AD7716">
            <w:pPr>
              <w:ind w:left="616"/>
              <w:rPr>
                <w:rFonts w:ascii="Tahoma" w:hAnsi="Tahoma" w:cs="Tahoma"/>
                <w:sz w:val="20"/>
                <w:szCs w:val="20"/>
              </w:rPr>
            </w:pPr>
            <w:r w:rsidRPr="00CE5927">
              <w:rPr>
                <w:rFonts w:ascii="Tahoma" w:hAnsi="Tahoma" w:cs="Tahoma"/>
                <w:sz w:val="20"/>
                <w:szCs w:val="20"/>
              </w:rPr>
              <w:t>***Решение о параметрах кредита принимается  на уровне МКК/БКК Банка.                                                                                                                                                                                                              При совокупной сумме задолженности клиента перед Банком в 60 млн.рублей и более, необходимо оформление письменного согласия на разглашение сведений, составляющих налоговую тайну, по форме Приложения 2 к совместному письму Банка России и ФНС РФ № ММВ-17-2/4@ от 25.08.2011 «О порядке предоставления информации по п 5. Приложения 1 к Соглашению «Об информационном взаимодействии между Центральным банком Российской Федерации и Федеральной налоговой службой».</w:t>
            </w:r>
          </w:p>
        </w:tc>
      </w:tr>
      <w:tr w:rsidR="00470B5F" w:rsidRPr="00CE5927" w14:paraId="573B1316" w14:textId="77777777" w:rsidTr="00AD7716">
        <w:trPr>
          <w:trHeight w:val="1020"/>
        </w:trPr>
        <w:tc>
          <w:tcPr>
            <w:tcW w:w="15876" w:type="dxa"/>
            <w:gridSpan w:val="4"/>
            <w:tcBorders>
              <w:top w:val="single" w:sz="4" w:space="0" w:color="auto"/>
              <w:left w:val="single" w:sz="8" w:space="0" w:color="auto"/>
              <w:bottom w:val="single" w:sz="4" w:space="0" w:color="auto"/>
              <w:right w:val="single" w:sz="4" w:space="0" w:color="000000"/>
            </w:tcBorders>
            <w:shd w:val="clear" w:color="auto" w:fill="auto"/>
            <w:vAlign w:val="center"/>
            <w:hideMark/>
          </w:tcPr>
          <w:p w14:paraId="738883F4" w14:textId="77777777" w:rsidR="00470B5F" w:rsidRPr="00CE5927" w:rsidRDefault="00470B5F" w:rsidP="00AD7716">
            <w:pPr>
              <w:ind w:left="616"/>
              <w:rPr>
                <w:rFonts w:ascii="Tahoma" w:hAnsi="Tahoma" w:cs="Tahoma"/>
                <w:sz w:val="20"/>
                <w:szCs w:val="20"/>
              </w:rPr>
            </w:pPr>
            <w:r w:rsidRPr="00CE5927">
              <w:rPr>
                <w:rFonts w:ascii="Tahoma" w:hAnsi="Tahoma" w:cs="Tahoma"/>
                <w:sz w:val="20"/>
                <w:szCs w:val="20"/>
              </w:rPr>
              <w:t>****При совокупной сумме задолженности клиента перед Банком в 60 млн.рублей и более, необходимо оформление письменного согласия на разглашение сведений, составляющих налоговую тайну, по форме Приложения 2 к совместному письму Банка России и ФНС РФ № ММВ-17-2/4@ от 25.08.2011 «О порядке предоставления информации по п 5. Приложения 1 к Соглашению «Об информационном взаимодействии между Центральным банком Российской Федерации и Федеральной налоговой службой».</w:t>
            </w:r>
          </w:p>
        </w:tc>
      </w:tr>
    </w:tbl>
    <w:p w14:paraId="10581F1E" w14:textId="77777777" w:rsidR="00470B5F" w:rsidRPr="00CE5927" w:rsidRDefault="00470B5F" w:rsidP="00470B5F">
      <w:pPr>
        <w:tabs>
          <w:tab w:val="left" w:pos="851"/>
        </w:tabs>
        <w:jc w:val="both"/>
        <w:rPr>
          <w:rFonts w:ascii="Tahoma" w:hAnsi="Tahoma" w:cs="Tahoma"/>
          <w:sz w:val="18"/>
          <w:szCs w:val="18"/>
        </w:rPr>
      </w:pPr>
    </w:p>
    <w:p w14:paraId="1FAE797F" w14:textId="77777777" w:rsidR="00470B5F" w:rsidRPr="00CE5927" w:rsidRDefault="00470B5F" w:rsidP="00470B5F">
      <w:pPr>
        <w:jc w:val="center"/>
        <w:rPr>
          <w:rFonts w:ascii="Tahoma" w:hAnsi="Tahoma" w:cs="Tahoma"/>
          <w:sz w:val="20"/>
          <w:szCs w:val="20"/>
        </w:rPr>
        <w:sectPr w:rsidR="00470B5F" w:rsidRPr="00CE5927" w:rsidSect="0095407B">
          <w:footerReference w:type="default" r:id="rId19"/>
          <w:pgSz w:w="16838" w:h="11906" w:orient="landscape"/>
          <w:pgMar w:top="1134" w:right="425" w:bottom="709" w:left="0" w:header="709" w:footer="845" w:gutter="0"/>
          <w:cols w:space="720"/>
          <w:docGrid w:linePitch="326"/>
        </w:sectPr>
      </w:pPr>
    </w:p>
    <w:p w14:paraId="29AA146F" w14:textId="77777777" w:rsidR="00E7619B" w:rsidRPr="006243D4" w:rsidRDefault="00E7619B" w:rsidP="000B3718">
      <w:pPr>
        <w:pStyle w:val="a5"/>
      </w:pPr>
      <w:r w:rsidRPr="006243D4">
        <w:lastRenderedPageBreak/>
        <w:t xml:space="preserve">2.2. ТАРИФНЫЕ ПЛАНЫ ПО КРЕДИТОВАНИЮ ФИЗИЧЕСКИХ ЛИЦ НА ТЕРРИТОРИИ ОБСЛУЖИВАНИЯ «АЗИАТСКО-ТИХООКЕАНСКИЙ БАНК» </w:t>
      </w:r>
      <w:r>
        <w:t>(АО)</w:t>
      </w:r>
    </w:p>
    <w:p w14:paraId="7CDEAAE1" w14:textId="6667E16C" w:rsidR="00E7619B" w:rsidRDefault="00E7619B" w:rsidP="00E7619B">
      <w:pPr>
        <w:pStyle w:val="21"/>
        <w:ind w:firstLine="0"/>
        <w:jc w:val="left"/>
        <w:rPr>
          <w:rFonts w:ascii="Tahoma" w:hAnsi="Tahoma" w:cs="Tahoma"/>
          <w:b/>
          <w:i/>
          <w:color w:val="E36C0A"/>
          <w:sz w:val="20"/>
          <w:szCs w:val="22"/>
          <w:lang w:val="ru-RU"/>
        </w:rPr>
      </w:pPr>
    </w:p>
    <w:p w14:paraId="4CE421F4" w14:textId="77777777" w:rsidR="00382481" w:rsidRPr="003B2AE7" w:rsidRDefault="00382481" w:rsidP="000B3718">
      <w:pPr>
        <w:pStyle w:val="a5"/>
      </w:pPr>
      <w:r w:rsidRPr="003B2AE7">
        <w:t>2.2.1. Тарифный план «Кредит наличными»</w:t>
      </w:r>
    </w:p>
    <w:p w14:paraId="66F773C4" w14:textId="77777777" w:rsidR="00382481" w:rsidRPr="00BD5BF8" w:rsidRDefault="00382481" w:rsidP="00382481">
      <w:pPr>
        <w:widowControl w:val="0"/>
        <w:jc w:val="right"/>
        <w:rPr>
          <w:rFonts w:ascii="Tahoma" w:hAnsi="Tahoma" w:cs="Tahoma"/>
          <w:noProof/>
          <w:sz w:val="20"/>
          <w:szCs w:val="20"/>
        </w:rPr>
      </w:pPr>
    </w:p>
    <w:p w14:paraId="3E211625" w14:textId="77777777" w:rsidR="00382481" w:rsidRPr="000B3718" w:rsidRDefault="00382481" w:rsidP="00382481">
      <w:pPr>
        <w:widowControl w:val="0"/>
        <w:jc w:val="right"/>
        <w:rPr>
          <w:rFonts w:ascii="Tahoma" w:hAnsi="Tahoma" w:cs="Tahoma"/>
          <w:noProof/>
          <w:sz w:val="20"/>
          <w:szCs w:val="20"/>
        </w:rPr>
      </w:pPr>
    </w:p>
    <w:p w14:paraId="165B7185" w14:textId="77777777" w:rsidR="00382481" w:rsidRPr="00BD5BF8" w:rsidRDefault="00382481" w:rsidP="00382481">
      <w:pPr>
        <w:widowControl w:val="0"/>
        <w:jc w:val="right"/>
        <w:rPr>
          <w:rFonts w:ascii="Tahoma" w:hAnsi="Tahoma" w:cs="Tahoma"/>
          <w:noProof/>
          <w:sz w:val="20"/>
          <w:szCs w:val="20"/>
        </w:rPr>
      </w:pPr>
    </w:p>
    <w:p w14:paraId="4D1EBA41" w14:textId="77777777" w:rsidR="00382481" w:rsidRPr="00ED061B" w:rsidRDefault="00382481" w:rsidP="00382481">
      <w:pPr>
        <w:widowControl w:val="0"/>
        <w:spacing w:line="360" w:lineRule="auto"/>
        <w:jc w:val="center"/>
        <w:rPr>
          <w:rFonts w:ascii="Tahoma" w:hAnsi="Tahoma" w:cs="Tahoma"/>
          <w:b/>
          <w:noProof/>
          <w:sz w:val="20"/>
          <w:szCs w:val="20"/>
        </w:rPr>
      </w:pPr>
      <w:r w:rsidRPr="00ED061B">
        <w:rPr>
          <w:rFonts w:ascii="Tahoma" w:hAnsi="Tahoma" w:cs="Tahoma"/>
          <w:b/>
          <w:noProof/>
          <w:sz w:val="20"/>
          <w:szCs w:val="20"/>
        </w:rPr>
        <w:t xml:space="preserve">ИНФОРМАЦИЯ ОБ УСЛОВИЯХ ПРЕДОСТАВЛЕНИЯ, ИСПОЛЬЗОВАНИЯ И ВОЗВРАТА ПОТРЕБИТЕЛЬСКОГО КРЕДИТА </w:t>
      </w:r>
    </w:p>
    <w:p w14:paraId="2EDC3FA2" w14:textId="77777777" w:rsidR="00382481" w:rsidRPr="00ED061B" w:rsidRDefault="00382481" w:rsidP="00382481">
      <w:pPr>
        <w:widowControl w:val="0"/>
        <w:spacing w:line="360" w:lineRule="auto"/>
        <w:jc w:val="center"/>
        <w:rPr>
          <w:rFonts w:ascii="Tahoma" w:hAnsi="Tahoma" w:cs="Tahoma"/>
          <w:b/>
          <w:noProof/>
          <w:sz w:val="20"/>
          <w:szCs w:val="20"/>
        </w:rPr>
      </w:pPr>
      <w:r w:rsidRPr="00ED061B">
        <w:rPr>
          <w:rFonts w:ascii="Tahoma" w:hAnsi="Tahoma" w:cs="Tahoma"/>
          <w:b/>
          <w:noProof/>
          <w:sz w:val="20"/>
          <w:szCs w:val="20"/>
        </w:rPr>
        <w:t xml:space="preserve">ПО ТАРИФНОМУ ПЛАНУ «КРЕДИТ НАЛИЧНЫМИ» </w:t>
      </w:r>
    </w:p>
    <w:p w14:paraId="5281F288" w14:textId="77777777" w:rsidR="00382481" w:rsidRPr="00ED061B" w:rsidRDefault="00382481" w:rsidP="00382481">
      <w:pPr>
        <w:widowControl w:val="0"/>
        <w:jc w:val="center"/>
        <w:rPr>
          <w:rFonts w:ascii="Tahoma" w:hAnsi="Tahoma" w:cs="Tahoma"/>
          <w:b/>
          <w:bCs/>
          <w:caps/>
          <w:sz w:val="20"/>
          <w:szCs w:val="20"/>
        </w:rPr>
      </w:pPr>
    </w:p>
    <w:p w14:paraId="5E422C96" w14:textId="77777777" w:rsidR="00382481" w:rsidRPr="00ED061B" w:rsidRDefault="00382481" w:rsidP="00382481">
      <w:pPr>
        <w:pStyle w:val="affe"/>
        <w:widowControl w:val="0"/>
        <w:numPr>
          <w:ilvl w:val="0"/>
          <w:numId w:val="12"/>
        </w:numPr>
        <w:tabs>
          <w:tab w:val="left" w:pos="851"/>
        </w:tabs>
        <w:ind w:left="0" w:firstLine="426"/>
        <w:contextualSpacing/>
        <w:jc w:val="both"/>
        <w:rPr>
          <w:rFonts w:ascii="Tahoma" w:hAnsi="Tahoma" w:cs="Tahoma"/>
          <w:noProof/>
          <w:sz w:val="20"/>
          <w:szCs w:val="20"/>
        </w:rPr>
      </w:pPr>
      <w:r w:rsidRPr="00ED061B">
        <w:rPr>
          <w:rFonts w:ascii="Tahoma" w:hAnsi="Tahoma" w:cs="Tahoma"/>
          <w:b/>
          <w:bCs/>
          <w:caps/>
          <w:sz w:val="20"/>
          <w:szCs w:val="20"/>
        </w:rPr>
        <w:t>ОСНОВНЫЕ ПОНЯТИЯ, ИСПОЛЬЗУЕМЫЕ ТЕРМИНЫ и сокращения</w:t>
      </w:r>
    </w:p>
    <w:p w14:paraId="2BB566E3" w14:textId="77777777" w:rsidR="00382481" w:rsidRPr="00ED061B" w:rsidRDefault="00382481" w:rsidP="00382481">
      <w:pPr>
        <w:widowControl w:val="0"/>
        <w:rPr>
          <w:rFonts w:ascii="Tahoma" w:hAnsi="Tahoma" w:cs="Tahoma"/>
          <w:noProof/>
          <w:sz w:val="20"/>
          <w:szCs w:val="20"/>
        </w:rPr>
      </w:pPr>
    </w:p>
    <w:tbl>
      <w:tblPr>
        <w:tblW w:w="5159" w:type="pct"/>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9"/>
        <w:gridCol w:w="10918"/>
      </w:tblGrid>
      <w:tr w:rsidR="00382481" w:rsidRPr="00ED061B" w14:paraId="3AEA5129" w14:textId="77777777" w:rsidTr="00034511">
        <w:tc>
          <w:tcPr>
            <w:tcW w:w="1443" w:type="pct"/>
          </w:tcPr>
          <w:p w14:paraId="6938D79F" w14:textId="77777777" w:rsidR="00382481" w:rsidRPr="00ED061B" w:rsidRDefault="00382481" w:rsidP="00034511">
            <w:pPr>
              <w:widowControl w:val="0"/>
              <w:tabs>
                <w:tab w:val="left" w:pos="851"/>
              </w:tabs>
              <w:jc w:val="both"/>
              <w:rPr>
                <w:rFonts w:ascii="Tahoma" w:hAnsi="Tahoma" w:cs="Tahoma"/>
                <w:b/>
                <w:bCs/>
                <w:iCs/>
                <w:sz w:val="18"/>
                <w:szCs w:val="18"/>
              </w:rPr>
            </w:pPr>
            <w:r w:rsidRPr="00ED061B">
              <w:rPr>
                <w:rFonts w:ascii="Tahoma" w:hAnsi="Tahoma" w:cs="Tahoma"/>
                <w:b/>
                <w:bCs/>
                <w:iCs/>
                <w:sz w:val="18"/>
                <w:szCs w:val="18"/>
              </w:rPr>
              <w:t>Наименование Кредитора(Банка), место нахождения постоянно действующего исполнительного органа, контактный телефон, по которому осуществляется связь с кредитором, официальный сайт, номер лицензии на осуществление банковских операций</w:t>
            </w:r>
          </w:p>
        </w:tc>
        <w:tc>
          <w:tcPr>
            <w:tcW w:w="3557" w:type="pct"/>
          </w:tcPr>
          <w:p w14:paraId="44B4E1B4" w14:textId="77777777" w:rsidR="00382481" w:rsidRPr="00ED061B" w:rsidRDefault="00382481" w:rsidP="00034511">
            <w:pPr>
              <w:widowControl w:val="0"/>
              <w:tabs>
                <w:tab w:val="left" w:pos="851"/>
              </w:tabs>
              <w:jc w:val="both"/>
              <w:rPr>
                <w:rFonts w:ascii="Tahoma" w:hAnsi="Tahoma" w:cs="Tahoma"/>
                <w:bCs/>
                <w:iCs/>
                <w:sz w:val="18"/>
                <w:szCs w:val="18"/>
              </w:rPr>
            </w:pPr>
            <w:r w:rsidRPr="00ED061B">
              <w:rPr>
                <w:rFonts w:ascii="Tahoma" w:hAnsi="Tahoma" w:cs="Tahoma"/>
                <w:sz w:val="18"/>
                <w:szCs w:val="18"/>
              </w:rPr>
              <w:t xml:space="preserve">«Азиатско-Тихоокеанский Банк» (Акционерное общество) (далее – Банк). Универсальная лицензия ЦБ РФ № 1810, ОГРН: 1022800000079, ИНН: 2801023444, БИК: 041012765, кор. Счет №: 30101810300000000765 в Отделении Благовещенск. Местонахождение Банка и место нахождения его постоянно действующего исполнительного органа: 675004, Амурская область, г. Благовещенск, ул. Амурская, дом 225. Контактный тел.: 8 800 775 8888 (звонок по России бесплатный). Сайт Банка в сети Интернет: </w:t>
            </w:r>
            <w:hyperlink r:id="rId20" w:history="1">
              <w:r w:rsidRPr="00ED061B">
                <w:rPr>
                  <w:rFonts w:ascii="Tahoma" w:hAnsi="Tahoma" w:cs="Tahoma"/>
                  <w:sz w:val="18"/>
                  <w:szCs w:val="18"/>
                  <w:u w:val="single"/>
                </w:rPr>
                <w:t>www.atb.su</w:t>
              </w:r>
            </w:hyperlink>
          </w:p>
          <w:p w14:paraId="6A43824A" w14:textId="77777777" w:rsidR="00382481" w:rsidRPr="00ED061B" w:rsidRDefault="00382481" w:rsidP="00034511">
            <w:pPr>
              <w:tabs>
                <w:tab w:val="left" w:pos="2205"/>
              </w:tabs>
              <w:jc w:val="both"/>
              <w:rPr>
                <w:rFonts w:ascii="Tahoma" w:hAnsi="Tahoma" w:cs="Tahoma"/>
                <w:sz w:val="18"/>
                <w:szCs w:val="18"/>
              </w:rPr>
            </w:pPr>
            <w:r w:rsidRPr="00ED061B">
              <w:rPr>
                <w:rFonts w:ascii="Tahoma" w:hAnsi="Tahoma" w:cs="Tahoma"/>
                <w:sz w:val="18"/>
                <w:szCs w:val="18"/>
              </w:rPr>
              <w:tab/>
            </w:r>
          </w:p>
        </w:tc>
      </w:tr>
      <w:tr w:rsidR="00382481" w:rsidRPr="00ED061B" w14:paraId="6C88513B" w14:textId="77777777" w:rsidTr="00034511">
        <w:tc>
          <w:tcPr>
            <w:tcW w:w="1443" w:type="pct"/>
          </w:tcPr>
          <w:p w14:paraId="4A386A89" w14:textId="77777777" w:rsidR="00382481" w:rsidRPr="00ED061B" w:rsidRDefault="00382481" w:rsidP="00034511">
            <w:pPr>
              <w:widowControl w:val="0"/>
              <w:tabs>
                <w:tab w:val="left" w:pos="851"/>
              </w:tabs>
              <w:jc w:val="both"/>
              <w:rPr>
                <w:rFonts w:ascii="Tahoma" w:hAnsi="Tahoma" w:cs="Tahoma"/>
                <w:b/>
                <w:color w:val="000000"/>
                <w:sz w:val="18"/>
                <w:szCs w:val="18"/>
              </w:rPr>
            </w:pPr>
            <w:r w:rsidRPr="00ED061B">
              <w:rPr>
                <w:rFonts w:ascii="Tahoma" w:hAnsi="Tahoma" w:cs="Tahoma"/>
                <w:b/>
                <w:color w:val="000000"/>
                <w:sz w:val="18"/>
                <w:szCs w:val="18"/>
              </w:rPr>
              <w:t xml:space="preserve">ПСК </w:t>
            </w:r>
          </w:p>
        </w:tc>
        <w:tc>
          <w:tcPr>
            <w:tcW w:w="3557" w:type="pct"/>
          </w:tcPr>
          <w:p w14:paraId="715BDF09" w14:textId="77777777" w:rsidR="00382481" w:rsidRPr="00ED061B" w:rsidRDefault="00382481" w:rsidP="00034511">
            <w:pPr>
              <w:widowControl w:val="0"/>
              <w:jc w:val="both"/>
              <w:rPr>
                <w:rFonts w:ascii="Tahoma" w:hAnsi="Tahoma" w:cs="Tahoma"/>
                <w:sz w:val="18"/>
                <w:szCs w:val="18"/>
              </w:rPr>
            </w:pPr>
            <w:r w:rsidRPr="00ED061B">
              <w:rPr>
                <w:rFonts w:ascii="Tahoma" w:hAnsi="Tahoma" w:cs="Tahoma"/>
                <w:sz w:val="18"/>
                <w:szCs w:val="18"/>
              </w:rPr>
              <w:t xml:space="preserve">Полная стоимость потребительского Кредита определяется как в процентах годовых, </w:t>
            </w:r>
            <w:r w:rsidRPr="00ED061B">
              <w:rPr>
                <w:rFonts w:ascii="Tahoma" w:hAnsi="Tahoma" w:cs="Tahoma"/>
                <w:bCs/>
                <w:sz w:val="18"/>
                <w:szCs w:val="18"/>
              </w:rPr>
              <w:t>так и в денежном выражении</w:t>
            </w:r>
          </w:p>
        </w:tc>
      </w:tr>
      <w:tr w:rsidR="00382481" w:rsidRPr="00ED061B" w14:paraId="4BD1053A" w14:textId="77777777" w:rsidTr="00034511">
        <w:tc>
          <w:tcPr>
            <w:tcW w:w="1443" w:type="pct"/>
          </w:tcPr>
          <w:p w14:paraId="44A1331A" w14:textId="77777777" w:rsidR="00382481" w:rsidRPr="00ED061B" w:rsidRDefault="00382481" w:rsidP="00034511">
            <w:pPr>
              <w:widowControl w:val="0"/>
              <w:jc w:val="both"/>
              <w:rPr>
                <w:rFonts w:ascii="Tahoma" w:hAnsi="Tahoma" w:cs="Tahoma"/>
                <w:b/>
                <w:bCs/>
                <w:sz w:val="18"/>
                <w:szCs w:val="18"/>
              </w:rPr>
            </w:pPr>
            <w:r w:rsidRPr="00ED061B">
              <w:rPr>
                <w:rFonts w:ascii="Tahoma" w:hAnsi="Tahoma" w:cs="Tahoma"/>
                <w:b/>
                <w:sz w:val="18"/>
                <w:szCs w:val="18"/>
              </w:rPr>
              <w:t xml:space="preserve">ТБС (либо ТБС Заемщика) </w:t>
            </w:r>
          </w:p>
        </w:tc>
        <w:tc>
          <w:tcPr>
            <w:tcW w:w="3557" w:type="pct"/>
          </w:tcPr>
          <w:p w14:paraId="77325139" w14:textId="77777777" w:rsidR="00382481" w:rsidRPr="00ED061B" w:rsidRDefault="00382481" w:rsidP="00034511">
            <w:pPr>
              <w:widowControl w:val="0"/>
              <w:tabs>
                <w:tab w:val="left" w:pos="851"/>
              </w:tabs>
              <w:adjustRightInd w:val="0"/>
              <w:jc w:val="both"/>
              <w:rPr>
                <w:rFonts w:ascii="Tahoma" w:hAnsi="Tahoma" w:cs="Tahoma"/>
                <w:sz w:val="18"/>
                <w:szCs w:val="18"/>
              </w:rPr>
            </w:pPr>
            <w:r w:rsidRPr="00ED061B">
              <w:rPr>
                <w:rFonts w:ascii="Tahoma" w:hAnsi="Tahoma" w:cs="Tahoma"/>
                <w:sz w:val="18"/>
                <w:szCs w:val="18"/>
              </w:rPr>
              <w:t>Текущий банковский счет, открытый Банком Заемщику в рамках Договора (в случае, если об открытии данного счета Стороны договорились в Индивидуальных условиях Договора)</w:t>
            </w:r>
          </w:p>
          <w:p w14:paraId="6062DD4F" w14:textId="77777777" w:rsidR="00382481" w:rsidRPr="00ED061B" w:rsidRDefault="00382481" w:rsidP="00034511">
            <w:pPr>
              <w:widowControl w:val="0"/>
              <w:tabs>
                <w:tab w:val="left" w:pos="851"/>
              </w:tabs>
              <w:adjustRightInd w:val="0"/>
              <w:jc w:val="both"/>
              <w:rPr>
                <w:rFonts w:ascii="Tahoma" w:hAnsi="Tahoma" w:cs="Tahoma"/>
                <w:bCs/>
                <w:sz w:val="18"/>
                <w:szCs w:val="18"/>
              </w:rPr>
            </w:pPr>
          </w:p>
        </w:tc>
      </w:tr>
      <w:tr w:rsidR="00382481" w:rsidRPr="00ED061B" w14:paraId="3B74CAED" w14:textId="77777777" w:rsidTr="00034511">
        <w:tc>
          <w:tcPr>
            <w:tcW w:w="1443" w:type="pct"/>
          </w:tcPr>
          <w:p w14:paraId="2CC260A2" w14:textId="77777777" w:rsidR="00382481" w:rsidRPr="00ED061B" w:rsidRDefault="00382481" w:rsidP="00034511">
            <w:pPr>
              <w:widowControl w:val="0"/>
              <w:jc w:val="both"/>
              <w:rPr>
                <w:rFonts w:ascii="Tahoma" w:hAnsi="Tahoma" w:cs="Tahoma"/>
                <w:b/>
                <w:sz w:val="18"/>
                <w:szCs w:val="18"/>
              </w:rPr>
            </w:pPr>
            <w:r w:rsidRPr="00ED061B">
              <w:rPr>
                <w:rFonts w:ascii="Tahoma" w:hAnsi="Tahoma" w:cs="Tahoma"/>
                <w:b/>
                <w:bCs/>
                <w:sz w:val="18"/>
                <w:szCs w:val="18"/>
              </w:rPr>
              <w:t>Счет Карты/Специальный карточный счет/СКС</w:t>
            </w:r>
          </w:p>
        </w:tc>
        <w:tc>
          <w:tcPr>
            <w:tcW w:w="3557" w:type="pct"/>
          </w:tcPr>
          <w:p w14:paraId="3801E32B" w14:textId="77777777" w:rsidR="00382481" w:rsidRPr="00ED061B" w:rsidRDefault="00382481" w:rsidP="00034511">
            <w:pPr>
              <w:widowControl w:val="0"/>
              <w:tabs>
                <w:tab w:val="left" w:pos="851"/>
              </w:tabs>
              <w:autoSpaceDE w:val="0"/>
              <w:autoSpaceDN w:val="0"/>
              <w:adjustRightInd w:val="0"/>
              <w:spacing w:before="60" w:after="60"/>
              <w:jc w:val="both"/>
              <w:rPr>
                <w:rFonts w:ascii="Tahoma" w:hAnsi="Tahoma" w:cs="Tahoma"/>
                <w:color w:val="000000" w:themeColor="text1"/>
                <w:sz w:val="18"/>
                <w:szCs w:val="18"/>
              </w:rPr>
            </w:pPr>
            <w:r w:rsidRPr="00ED061B">
              <w:rPr>
                <w:rFonts w:ascii="Tahoma" w:hAnsi="Tahoma" w:cs="Tahoma"/>
                <w:bCs/>
                <w:sz w:val="18"/>
                <w:szCs w:val="18"/>
              </w:rPr>
              <w:t xml:space="preserve">Счет (текущий банковский счет, распоряжение денежными средствами по которому возможно с использованием банковской (платежной) карты, в том числе на цифровом носителе (Цифровой карты)), открываемый Банком Заёмщику в рамках заключения Договора Карты и Договора «Потребительский кредит» либо Договора Карты и Договора </w:t>
            </w:r>
            <w:r w:rsidRPr="00ED061B">
              <w:rPr>
                <w:rFonts w:ascii="Tahoma" w:hAnsi="Tahoma" w:cs="Tahoma"/>
                <w:color w:val="000000" w:themeColor="text1"/>
                <w:sz w:val="18"/>
                <w:szCs w:val="18"/>
              </w:rPr>
              <w:t xml:space="preserve">«Потребительский кредит (с лимитом кредитования)». СКС, открытый в рамках Договора «Потребительский кредит», используется </w:t>
            </w:r>
            <w:r w:rsidRPr="00ED061B">
              <w:rPr>
                <w:rFonts w:ascii="Tahoma" w:hAnsi="Tahoma" w:cs="Tahoma"/>
                <w:sz w:val="18"/>
                <w:szCs w:val="18"/>
              </w:rPr>
              <w:t>для зачисления предоставленных Заемщику кредитных денежных средств, а также для Погашения Кредита по Договору «Потребительский кредит» и иных Операций, (а также прочих целей, предусмотренных Сторонами в заключенном Договоре), если об открытии данного счета стороны договорились в Индивидуальных условиях.</w:t>
            </w:r>
          </w:p>
        </w:tc>
      </w:tr>
      <w:tr w:rsidR="00382481" w:rsidRPr="00ED061B" w14:paraId="7B529ED0" w14:textId="77777777" w:rsidTr="00034511">
        <w:trPr>
          <w:trHeight w:val="692"/>
        </w:trPr>
        <w:tc>
          <w:tcPr>
            <w:tcW w:w="1443" w:type="pct"/>
          </w:tcPr>
          <w:p w14:paraId="0A99CBEE" w14:textId="77777777" w:rsidR="00382481" w:rsidRPr="00ED061B" w:rsidRDefault="00382481" w:rsidP="00034511">
            <w:pPr>
              <w:widowControl w:val="0"/>
              <w:jc w:val="both"/>
              <w:rPr>
                <w:rFonts w:ascii="Tahoma" w:hAnsi="Tahoma" w:cs="Tahoma"/>
                <w:b/>
                <w:bCs/>
                <w:sz w:val="18"/>
                <w:szCs w:val="18"/>
              </w:rPr>
            </w:pPr>
            <w:r w:rsidRPr="00ED061B">
              <w:rPr>
                <w:rFonts w:ascii="Tahoma" w:hAnsi="Tahoma" w:cs="Tahoma"/>
                <w:b/>
                <w:bCs/>
                <w:sz w:val="18"/>
                <w:szCs w:val="18"/>
              </w:rPr>
              <w:t>Цифровая карта</w:t>
            </w:r>
          </w:p>
        </w:tc>
        <w:tc>
          <w:tcPr>
            <w:tcW w:w="3557" w:type="pct"/>
          </w:tcPr>
          <w:p w14:paraId="4931172B" w14:textId="77777777" w:rsidR="00382481" w:rsidRPr="00ED061B" w:rsidRDefault="00382481" w:rsidP="00034511">
            <w:pPr>
              <w:spacing w:before="60" w:after="60"/>
              <w:jc w:val="both"/>
              <w:rPr>
                <w:rFonts w:ascii="Tahoma" w:hAnsi="Tahoma" w:cs="Tahoma"/>
                <w:bCs/>
                <w:sz w:val="18"/>
                <w:szCs w:val="18"/>
              </w:rPr>
            </w:pPr>
            <w:r w:rsidRPr="00ED061B">
              <w:rPr>
                <w:rFonts w:ascii="Tahoma" w:hAnsi="Tahoma" w:cs="Tahoma"/>
                <w:sz w:val="18"/>
                <w:szCs w:val="18"/>
              </w:rPr>
              <w:t xml:space="preserve">Расчетная (дебетовая) карта, выпущенная по технологии без физического носителя после открытия Счета Карты через Канал ДБО (Интернет-банк «АТБ-Онлайн»/Мобильный банк «АТБ банк»). Цифровая карта становится доступной для проведения расчетных операций моментально после открытия Счета Карты и выпуска Карты через Канал ДБО Банка.   </w:t>
            </w:r>
          </w:p>
        </w:tc>
      </w:tr>
      <w:tr w:rsidR="00382481" w:rsidRPr="00ED061B" w14:paraId="3BB0B739" w14:textId="77777777" w:rsidTr="00034511">
        <w:tc>
          <w:tcPr>
            <w:tcW w:w="1443" w:type="pct"/>
          </w:tcPr>
          <w:p w14:paraId="2BA39BBB" w14:textId="77777777" w:rsidR="00382481" w:rsidRPr="00ED061B" w:rsidRDefault="00382481" w:rsidP="00034511">
            <w:pPr>
              <w:widowControl w:val="0"/>
              <w:jc w:val="both"/>
              <w:rPr>
                <w:rFonts w:ascii="Tahoma" w:hAnsi="Tahoma" w:cs="Tahoma"/>
                <w:b/>
                <w:sz w:val="18"/>
                <w:szCs w:val="18"/>
              </w:rPr>
            </w:pPr>
            <w:r w:rsidRPr="00ED061B">
              <w:rPr>
                <w:rFonts w:ascii="Tahoma" w:hAnsi="Tahoma" w:cs="Tahoma"/>
                <w:b/>
                <w:sz w:val="18"/>
                <w:szCs w:val="18"/>
              </w:rPr>
              <w:t>Договор (или Договор «Потребительский кредит»)</w:t>
            </w:r>
          </w:p>
        </w:tc>
        <w:tc>
          <w:tcPr>
            <w:tcW w:w="3557" w:type="pct"/>
          </w:tcPr>
          <w:p w14:paraId="3E9A2CAD" w14:textId="77777777" w:rsidR="00382481" w:rsidRPr="00ED061B" w:rsidRDefault="00382481" w:rsidP="00034511">
            <w:pPr>
              <w:widowControl w:val="0"/>
              <w:tabs>
                <w:tab w:val="left" w:pos="851"/>
              </w:tabs>
              <w:adjustRightInd w:val="0"/>
              <w:jc w:val="both"/>
              <w:rPr>
                <w:rFonts w:ascii="Tahoma" w:hAnsi="Tahoma" w:cs="Tahoma"/>
                <w:sz w:val="18"/>
                <w:szCs w:val="18"/>
              </w:rPr>
            </w:pPr>
            <w:r w:rsidRPr="00ED061B">
              <w:rPr>
                <w:rFonts w:ascii="Tahoma" w:hAnsi="Tahoma" w:cs="Tahoma"/>
                <w:sz w:val="18"/>
                <w:szCs w:val="18"/>
              </w:rPr>
              <w:t>Договор потребительского кредита, заключаемый в соответствии с Федеральным законом от 21.12.2013 № 353-ФЗ «О потребительском кредите (займе)» (далее – Закон № 353-ФЗ)</w:t>
            </w:r>
          </w:p>
        </w:tc>
      </w:tr>
      <w:tr w:rsidR="00382481" w:rsidRPr="00ED061B" w14:paraId="572E9A03" w14:textId="77777777" w:rsidTr="00034511">
        <w:tc>
          <w:tcPr>
            <w:tcW w:w="1443" w:type="pct"/>
          </w:tcPr>
          <w:p w14:paraId="0571DF66" w14:textId="77777777" w:rsidR="00382481" w:rsidRPr="00ED061B" w:rsidRDefault="00382481" w:rsidP="00034511">
            <w:pPr>
              <w:widowControl w:val="0"/>
              <w:jc w:val="both"/>
              <w:rPr>
                <w:rFonts w:ascii="Tahoma" w:hAnsi="Tahoma" w:cs="Tahoma"/>
                <w:b/>
                <w:sz w:val="18"/>
                <w:szCs w:val="18"/>
              </w:rPr>
            </w:pPr>
            <w:r w:rsidRPr="00ED061B">
              <w:rPr>
                <w:rFonts w:ascii="Tahoma" w:hAnsi="Tahoma" w:cs="Tahoma"/>
                <w:b/>
                <w:sz w:val="18"/>
                <w:szCs w:val="18"/>
              </w:rPr>
              <w:t>Заемщик-ИП</w:t>
            </w:r>
          </w:p>
        </w:tc>
        <w:tc>
          <w:tcPr>
            <w:tcW w:w="3557" w:type="pct"/>
          </w:tcPr>
          <w:p w14:paraId="7C940FC9" w14:textId="77777777" w:rsidR="00382481" w:rsidRPr="00ED061B" w:rsidRDefault="00382481" w:rsidP="00034511">
            <w:pPr>
              <w:widowControl w:val="0"/>
              <w:tabs>
                <w:tab w:val="left" w:pos="851"/>
              </w:tabs>
              <w:adjustRightInd w:val="0"/>
              <w:jc w:val="both"/>
              <w:rPr>
                <w:rFonts w:ascii="Tahoma" w:hAnsi="Tahoma" w:cs="Tahoma"/>
                <w:sz w:val="18"/>
                <w:szCs w:val="18"/>
              </w:rPr>
            </w:pPr>
            <w:r w:rsidRPr="00ED061B">
              <w:rPr>
                <w:rFonts w:ascii="Tahoma" w:hAnsi="Tahoma" w:cs="Tahoma"/>
                <w:noProof/>
                <w:sz w:val="18"/>
                <w:szCs w:val="18"/>
              </w:rPr>
              <w:t>Заемщик, получающий доход от предпринимательской деятельности</w:t>
            </w:r>
          </w:p>
        </w:tc>
      </w:tr>
      <w:tr w:rsidR="00382481" w:rsidRPr="00ED061B" w14:paraId="2D7E5521" w14:textId="77777777" w:rsidTr="00034511">
        <w:tc>
          <w:tcPr>
            <w:tcW w:w="5000" w:type="pct"/>
            <w:gridSpan w:val="2"/>
          </w:tcPr>
          <w:p w14:paraId="31D75901" w14:textId="77777777" w:rsidR="00382481" w:rsidRPr="00ED061B" w:rsidRDefault="00382481" w:rsidP="00034511">
            <w:pPr>
              <w:widowControl w:val="0"/>
              <w:tabs>
                <w:tab w:val="left" w:pos="851"/>
              </w:tabs>
              <w:adjustRightInd w:val="0"/>
              <w:jc w:val="both"/>
              <w:rPr>
                <w:rFonts w:ascii="Tahoma" w:hAnsi="Tahoma" w:cs="Tahoma"/>
                <w:sz w:val="18"/>
                <w:szCs w:val="18"/>
              </w:rPr>
            </w:pPr>
            <w:r w:rsidRPr="00ED061B">
              <w:rPr>
                <w:rFonts w:ascii="Tahoma" w:hAnsi="Tahoma" w:cs="Tahoma"/>
                <w:sz w:val="18"/>
                <w:szCs w:val="18"/>
              </w:rPr>
              <w:t xml:space="preserve">Термины, используемые в настоящем документе, применяются в значении, указанном в Универсальном договоре банковского обслуживания физических лиц «Азиатско-Тихоокеанский Банк» (АО), размещённом на сайте Банка в сети Интернет по адресу </w:t>
            </w:r>
            <w:hyperlink r:id="rId21" w:history="1">
              <w:r w:rsidRPr="00ED061B">
                <w:rPr>
                  <w:rFonts w:ascii="Tahoma" w:hAnsi="Tahoma" w:cs="Tahoma"/>
                  <w:sz w:val="18"/>
                  <w:szCs w:val="18"/>
                  <w:u w:val="single"/>
                </w:rPr>
                <w:t>www.atb.su</w:t>
              </w:r>
            </w:hyperlink>
            <w:r w:rsidRPr="00ED061B">
              <w:rPr>
                <w:rFonts w:ascii="Tahoma" w:hAnsi="Tahoma" w:cs="Tahoma"/>
                <w:sz w:val="18"/>
                <w:szCs w:val="18"/>
                <w:u w:val="single"/>
              </w:rPr>
              <w:t xml:space="preserve"> и подразделениях Банка, если иное значение не установлено настоящим документом.</w:t>
            </w:r>
          </w:p>
        </w:tc>
      </w:tr>
    </w:tbl>
    <w:p w14:paraId="62949DB1" w14:textId="77777777" w:rsidR="00382481" w:rsidRPr="00ED061B" w:rsidRDefault="00382481" w:rsidP="00382481">
      <w:pPr>
        <w:widowControl w:val="0"/>
        <w:rPr>
          <w:rFonts w:ascii="Tahoma" w:hAnsi="Tahoma" w:cs="Tahoma"/>
          <w:noProof/>
          <w:sz w:val="20"/>
          <w:szCs w:val="20"/>
        </w:rPr>
      </w:pPr>
    </w:p>
    <w:p w14:paraId="7A726CCF" w14:textId="77777777" w:rsidR="00382481" w:rsidRDefault="00382481" w:rsidP="00382481">
      <w:pPr>
        <w:widowControl w:val="0"/>
        <w:rPr>
          <w:rFonts w:ascii="Tahoma" w:hAnsi="Tahoma" w:cs="Tahoma"/>
          <w:noProof/>
          <w:sz w:val="20"/>
          <w:szCs w:val="20"/>
        </w:rPr>
      </w:pPr>
    </w:p>
    <w:p w14:paraId="12C5356B" w14:textId="77777777" w:rsidR="00382481" w:rsidRPr="00ED061B" w:rsidRDefault="00382481" w:rsidP="00382481">
      <w:pPr>
        <w:widowControl w:val="0"/>
        <w:rPr>
          <w:rFonts w:ascii="Tahoma" w:hAnsi="Tahoma" w:cs="Tahoma"/>
          <w:noProof/>
          <w:sz w:val="20"/>
          <w:szCs w:val="20"/>
        </w:rPr>
      </w:pPr>
    </w:p>
    <w:p w14:paraId="329EF2DC" w14:textId="77777777" w:rsidR="00382481" w:rsidRPr="00ED061B" w:rsidRDefault="00382481" w:rsidP="00382481">
      <w:pPr>
        <w:widowControl w:val="0"/>
        <w:rPr>
          <w:rFonts w:ascii="Tahoma" w:hAnsi="Tahoma" w:cs="Tahoma"/>
          <w:noProof/>
          <w:sz w:val="20"/>
          <w:szCs w:val="20"/>
        </w:rPr>
      </w:pPr>
    </w:p>
    <w:p w14:paraId="16D7A31D" w14:textId="77777777" w:rsidR="00382481" w:rsidRPr="008033EB" w:rsidRDefault="00382481" w:rsidP="00382481">
      <w:pPr>
        <w:pStyle w:val="affe"/>
        <w:widowControl w:val="0"/>
        <w:numPr>
          <w:ilvl w:val="0"/>
          <w:numId w:val="12"/>
        </w:numPr>
        <w:tabs>
          <w:tab w:val="left" w:pos="851"/>
        </w:tabs>
        <w:ind w:left="0" w:firstLine="426"/>
        <w:contextualSpacing/>
        <w:jc w:val="both"/>
        <w:rPr>
          <w:rFonts w:ascii="Tahoma" w:hAnsi="Tahoma" w:cs="Tahoma"/>
          <w:b/>
          <w:bCs/>
          <w:caps/>
          <w:sz w:val="20"/>
          <w:szCs w:val="20"/>
        </w:rPr>
      </w:pPr>
      <w:r w:rsidRPr="008033EB">
        <w:rPr>
          <w:rFonts w:ascii="Tahoma" w:hAnsi="Tahoma" w:cs="Tahoma"/>
          <w:b/>
          <w:bCs/>
          <w:caps/>
          <w:sz w:val="20"/>
          <w:szCs w:val="20"/>
        </w:rPr>
        <w:t>ИНФОРМАЦИЯ ОБ УСЛОВИЯХ ПРЕДОСТАВЛЕНИЯ, ИСПОЛЬЗОВАНИЯ И ВОЗВРАТА ПОТРЕБИТЕЛЬСКОГО КРЕДИТА</w:t>
      </w:r>
    </w:p>
    <w:tbl>
      <w:tblPr>
        <w:tblW w:w="15452" w:type="dxa"/>
        <w:tblInd w:w="-289" w:type="dxa"/>
        <w:tblLayout w:type="fixed"/>
        <w:tblLook w:val="04A0" w:firstRow="1" w:lastRow="0" w:firstColumn="1" w:lastColumn="0" w:noHBand="0" w:noVBand="1"/>
      </w:tblPr>
      <w:tblGrid>
        <w:gridCol w:w="6238"/>
        <w:gridCol w:w="4947"/>
        <w:gridCol w:w="2504"/>
        <w:gridCol w:w="1763"/>
      </w:tblGrid>
      <w:tr w:rsidR="00382481" w:rsidRPr="008033EB" w14:paraId="7BBA2BB2" w14:textId="77777777" w:rsidTr="00034511">
        <w:trPr>
          <w:trHeight w:val="255"/>
        </w:trPr>
        <w:tc>
          <w:tcPr>
            <w:tcW w:w="62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99440F" w14:textId="77777777" w:rsidR="00382481" w:rsidRPr="008033EB" w:rsidRDefault="00382481" w:rsidP="00034511">
            <w:pPr>
              <w:widowControl w:val="0"/>
              <w:jc w:val="center"/>
              <w:rPr>
                <w:rFonts w:ascii="Tahoma" w:hAnsi="Tahoma" w:cs="Tahoma"/>
                <w:b/>
                <w:bCs/>
                <w:sz w:val="18"/>
                <w:szCs w:val="18"/>
              </w:rPr>
            </w:pPr>
            <w:r w:rsidRPr="008033EB">
              <w:rPr>
                <w:rFonts w:ascii="Tahoma" w:hAnsi="Tahoma" w:cs="Tahoma"/>
                <w:b/>
                <w:bCs/>
                <w:sz w:val="18"/>
                <w:szCs w:val="18"/>
              </w:rPr>
              <w:t xml:space="preserve">Наименование продукта/модификации/тарифного плана </w:t>
            </w:r>
            <w:r w:rsidRPr="008033EB">
              <w:rPr>
                <w:rFonts w:ascii="Tahoma" w:hAnsi="Tahoma" w:cs="Tahoma"/>
                <w:b/>
                <w:bCs/>
                <w:sz w:val="18"/>
                <w:szCs w:val="18"/>
              </w:rPr>
              <w:lastRenderedPageBreak/>
              <w:t>(ТП)/программы кредитования</w:t>
            </w:r>
          </w:p>
        </w:tc>
        <w:tc>
          <w:tcPr>
            <w:tcW w:w="9214" w:type="dxa"/>
            <w:gridSpan w:val="3"/>
            <w:tcBorders>
              <w:top w:val="single" w:sz="4" w:space="0" w:color="auto"/>
              <w:left w:val="nil"/>
              <w:bottom w:val="single" w:sz="4" w:space="0" w:color="auto"/>
              <w:right w:val="single" w:sz="4" w:space="0" w:color="auto"/>
            </w:tcBorders>
            <w:shd w:val="clear" w:color="auto" w:fill="auto"/>
            <w:vAlign w:val="center"/>
            <w:hideMark/>
          </w:tcPr>
          <w:p w14:paraId="37D4D9F4" w14:textId="77777777" w:rsidR="00382481" w:rsidRPr="008033EB" w:rsidRDefault="00382481" w:rsidP="00034511">
            <w:pPr>
              <w:widowControl w:val="0"/>
              <w:jc w:val="center"/>
              <w:rPr>
                <w:rFonts w:ascii="Tahoma" w:hAnsi="Tahoma" w:cs="Tahoma"/>
                <w:b/>
                <w:bCs/>
                <w:sz w:val="18"/>
                <w:szCs w:val="18"/>
              </w:rPr>
            </w:pPr>
            <w:r w:rsidRPr="008033EB">
              <w:rPr>
                <w:rFonts w:ascii="Tahoma" w:hAnsi="Tahoma" w:cs="Tahoma"/>
                <w:b/>
                <w:bCs/>
                <w:sz w:val="18"/>
                <w:szCs w:val="18"/>
              </w:rPr>
              <w:lastRenderedPageBreak/>
              <w:t>«Кредит наличными»</w:t>
            </w:r>
          </w:p>
        </w:tc>
      </w:tr>
      <w:tr w:rsidR="00382481" w:rsidRPr="008033EB" w14:paraId="721C9B36" w14:textId="77777777" w:rsidTr="00034511">
        <w:trPr>
          <w:trHeight w:val="255"/>
        </w:trPr>
        <w:tc>
          <w:tcPr>
            <w:tcW w:w="6238" w:type="dxa"/>
            <w:tcBorders>
              <w:top w:val="single" w:sz="4" w:space="0" w:color="auto"/>
              <w:left w:val="single" w:sz="4" w:space="0" w:color="auto"/>
              <w:bottom w:val="single" w:sz="4" w:space="0" w:color="auto"/>
              <w:right w:val="single" w:sz="4" w:space="0" w:color="auto"/>
            </w:tcBorders>
            <w:shd w:val="clear" w:color="auto" w:fill="auto"/>
            <w:hideMark/>
          </w:tcPr>
          <w:p w14:paraId="302B4580" w14:textId="77777777" w:rsidR="00382481" w:rsidRPr="008033EB" w:rsidRDefault="00382481" w:rsidP="00034511">
            <w:pPr>
              <w:widowControl w:val="0"/>
              <w:jc w:val="center"/>
              <w:rPr>
                <w:rFonts w:ascii="Tahoma" w:hAnsi="Tahoma" w:cs="Tahoma"/>
                <w:b/>
                <w:sz w:val="18"/>
                <w:szCs w:val="18"/>
              </w:rPr>
            </w:pPr>
            <w:r w:rsidRPr="008033EB">
              <w:rPr>
                <w:rFonts w:ascii="Tahoma" w:hAnsi="Tahoma" w:cs="Tahoma"/>
                <w:b/>
                <w:sz w:val="18"/>
                <w:szCs w:val="18"/>
              </w:rPr>
              <w:t>Вид Кредита</w:t>
            </w:r>
          </w:p>
        </w:tc>
        <w:tc>
          <w:tcPr>
            <w:tcW w:w="9214" w:type="dxa"/>
            <w:gridSpan w:val="3"/>
            <w:tcBorders>
              <w:top w:val="single" w:sz="4" w:space="0" w:color="auto"/>
              <w:left w:val="nil"/>
              <w:bottom w:val="single" w:sz="4" w:space="0" w:color="auto"/>
              <w:right w:val="single" w:sz="4" w:space="0" w:color="auto"/>
            </w:tcBorders>
            <w:shd w:val="clear" w:color="auto" w:fill="auto"/>
          </w:tcPr>
          <w:p w14:paraId="07160077" w14:textId="77777777" w:rsidR="00382481" w:rsidRPr="008033EB" w:rsidRDefault="00382481" w:rsidP="00034511">
            <w:pPr>
              <w:widowControl w:val="0"/>
              <w:tabs>
                <w:tab w:val="left" w:pos="851"/>
              </w:tabs>
              <w:adjustRightInd w:val="0"/>
              <w:jc w:val="center"/>
              <w:rPr>
                <w:rFonts w:ascii="Tahoma" w:hAnsi="Tahoma" w:cs="Tahoma"/>
                <w:sz w:val="18"/>
                <w:szCs w:val="18"/>
              </w:rPr>
            </w:pPr>
            <w:r w:rsidRPr="008033EB">
              <w:rPr>
                <w:rFonts w:ascii="Tahoma" w:hAnsi="Tahoma" w:cs="Tahoma"/>
                <w:sz w:val="18"/>
                <w:szCs w:val="18"/>
              </w:rPr>
              <w:t>Потребительский Кредит</w:t>
            </w:r>
          </w:p>
        </w:tc>
      </w:tr>
      <w:tr w:rsidR="00382481" w:rsidRPr="008033EB" w14:paraId="335C9117" w14:textId="77777777" w:rsidTr="00034511">
        <w:trPr>
          <w:trHeight w:val="255"/>
        </w:trPr>
        <w:tc>
          <w:tcPr>
            <w:tcW w:w="6238" w:type="dxa"/>
            <w:tcBorders>
              <w:top w:val="single" w:sz="4" w:space="0" w:color="auto"/>
              <w:left w:val="single" w:sz="4" w:space="0" w:color="auto"/>
              <w:bottom w:val="single" w:sz="4" w:space="0" w:color="auto"/>
              <w:right w:val="single" w:sz="4" w:space="0" w:color="auto"/>
            </w:tcBorders>
            <w:shd w:val="clear" w:color="auto" w:fill="auto"/>
          </w:tcPr>
          <w:p w14:paraId="4E7B597B" w14:textId="77777777" w:rsidR="00382481" w:rsidRPr="008033EB" w:rsidRDefault="00382481" w:rsidP="00034511">
            <w:pPr>
              <w:widowControl w:val="0"/>
              <w:tabs>
                <w:tab w:val="center" w:pos="2018"/>
                <w:tab w:val="left" w:pos="3150"/>
              </w:tabs>
              <w:jc w:val="center"/>
              <w:rPr>
                <w:rFonts w:ascii="Tahoma" w:hAnsi="Tahoma" w:cs="Tahoma"/>
                <w:b/>
                <w:sz w:val="18"/>
                <w:szCs w:val="18"/>
              </w:rPr>
            </w:pPr>
            <w:r w:rsidRPr="008033EB">
              <w:rPr>
                <w:rFonts w:ascii="Tahoma" w:hAnsi="Tahoma" w:cs="Tahoma"/>
                <w:b/>
                <w:sz w:val="18"/>
                <w:szCs w:val="18"/>
              </w:rPr>
              <w:t>Тип Кредита</w:t>
            </w:r>
          </w:p>
        </w:tc>
        <w:tc>
          <w:tcPr>
            <w:tcW w:w="9214" w:type="dxa"/>
            <w:gridSpan w:val="3"/>
            <w:tcBorders>
              <w:top w:val="single" w:sz="4" w:space="0" w:color="auto"/>
              <w:left w:val="nil"/>
              <w:bottom w:val="single" w:sz="4" w:space="0" w:color="auto"/>
              <w:right w:val="single" w:sz="4" w:space="0" w:color="auto"/>
            </w:tcBorders>
            <w:shd w:val="clear" w:color="auto" w:fill="auto"/>
          </w:tcPr>
          <w:p w14:paraId="6D24AF0E" w14:textId="77777777" w:rsidR="00382481" w:rsidRPr="008033EB" w:rsidRDefault="00382481" w:rsidP="00034511">
            <w:pPr>
              <w:widowControl w:val="0"/>
              <w:tabs>
                <w:tab w:val="left" w:pos="851"/>
              </w:tabs>
              <w:adjustRightInd w:val="0"/>
              <w:jc w:val="center"/>
              <w:rPr>
                <w:rFonts w:ascii="Tahoma" w:hAnsi="Tahoma" w:cs="Tahoma"/>
                <w:sz w:val="18"/>
                <w:szCs w:val="18"/>
              </w:rPr>
            </w:pPr>
            <w:r w:rsidRPr="008033EB">
              <w:rPr>
                <w:rFonts w:ascii="Tahoma" w:hAnsi="Tahoma" w:cs="Tahoma"/>
                <w:sz w:val="18"/>
                <w:szCs w:val="18"/>
              </w:rPr>
              <w:t>Кредит наличными</w:t>
            </w:r>
          </w:p>
        </w:tc>
      </w:tr>
      <w:tr w:rsidR="00382481" w:rsidRPr="008033EB" w14:paraId="107D65AC" w14:textId="77777777" w:rsidTr="00034511">
        <w:trPr>
          <w:trHeight w:val="235"/>
        </w:trPr>
        <w:tc>
          <w:tcPr>
            <w:tcW w:w="6238" w:type="dxa"/>
            <w:tcBorders>
              <w:top w:val="single" w:sz="4" w:space="0" w:color="auto"/>
              <w:left w:val="single" w:sz="4" w:space="0" w:color="auto"/>
              <w:bottom w:val="single" w:sz="4" w:space="0" w:color="auto"/>
              <w:right w:val="single" w:sz="4" w:space="0" w:color="auto"/>
            </w:tcBorders>
            <w:shd w:val="clear" w:color="auto" w:fill="auto"/>
            <w:vAlign w:val="center"/>
          </w:tcPr>
          <w:p w14:paraId="0136F381" w14:textId="77777777" w:rsidR="00382481" w:rsidRPr="008033EB" w:rsidDel="00ED23AE" w:rsidRDefault="00382481" w:rsidP="00034511">
            <w:pPr>
              <w:widowControl w:val="0"/>
              <w:jc w:val="center"/>
              <w:rPr>
                <w:rFonts w:ascii="Tahoma" w:hAnsi="Tahoma" w:cs="Tahoma"/>
                <w:b/>
                <w:bCs/>
                <w:sz w:val="18"/>
                <w:szCs w:val="18"/>
              </w:rPr>
            </w:pPr>
            <w:r w:rsidRPr="008033EB">
              <w:rPr>
                <w:rFonts w:ascii="Tahoma" w:hAnsi="Tahoma" w:cs="Tahoma"/>
                <w:b/>
                <w:bCs/>
                <w:sz w:val="18"/>
                <w:szCs w:val="18"/>
              </w:rPr>
              <w:t>Цель Кредита</w:t>
            </w:r>
          </w:p>
        </w:tc>
        <w:tc>
          <w:tcPr>
            <w:tcW w:w="9214" w:type="dxa"/>
            <w:gridSpan w:val="3"/>
            <w:tcBorders>
              <w:top w:val="single" w:sz="4" w:space="0" w:color="auto"/>
              <w:left w:val="nil"/>
              <w:bottom w:val="single" w:sz="4" w:space="0" w:color="auto"/>
              <w:right w:val="single" w:sz="4" w:space="0" w:color="auto"/>
            </w:tcBorders>
            <w:shd w:val="clear" w:color="auto" w:fill="auto"/>
            <w:vAlign w:val="center"/>
          </w:tcPr>
          <w:p w14:paraId="34284EAA" w14:textId="77777777" w:rsidR="00382481" w:rsidRPr="008033EB" w:rsidRDefault="00382481" w:rsidP="00034511">
            <w:pPr>
              <w:widowControl w:val="0"/>
              <w:ind w:left="360"/>
              <w:jc w:val="center"/>
              <w:rPr>
                <w:rFonts w:ascii="Tahoma" w:hAnsi="Tahoma" w:cs="Tahoma"/>
                <w:sz w:val="18"/>
                <w:szCs w:val="18"/>
              </w:rPr>
            </w:pPr>
            <w:r w:rsidRPr="008033EB">
              <w:rPr>
                <w:rFonts w:ascii="Tahoma" w:hAnsi="Tahoma" w:cs="Tahoma"/>
                <w:sz w:val="18"/>
                <w:szCs w:val="18"/>
              </w:rPr>
              <w:t xml:space="preserve">Нецелевой (на любые потребительские цели) </w:t>
            </w:r>
          </w:p>
          <w:p w14:paraId="095EAF72" w14:textId="77777777" w:rsidR="00382481" w:rsidRPr="008033EB" w:rsidDel="00ED23AE" w:rsidRDefault="00382481" w:rsidP="00034511">
            <w:pPr>
              <w:widowControl w:val="0"/>
              <w:rPr>
                <w:rFonts w:ascii="Tahoma" w:hAnsi="Tahoma" w:cs="Tahoma"/>
                <w:sz w:val="18"/>
                <w:szCs w:val="18"/>
              </w:rPr>
            </w:pPr>
          </w:p>
        </w:tc>
      </w:tr>
      <w:tr w:rsidR="00382481" w:rsidRPr="008033EB" w14:paraId="73BD0979" w14:textId="77777777" w:rsidTr="00034511">
        <w:trPr>
          <w:trHeight w:val="255"/>
        </w:trPr>
        <w:tc>
          <w:tcPr>
            <w:tcW w:w="62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B22AA0" w14:textId="77777777" w:rsidR="00382481" w:rsidRPr="008033EB" w:rsidRDefault="00382481" w:rsidP="00034511">
            <w:pPr>
              <w:widowControl w:val="0"/>
              <w:jc w:val="center"/>
              <w:rPr>
                <w:rFonts w:ascii="Tahoma" w:hAnsi="Tahoma" w:cs="Tahoma"/>
                <w:b/>
                <w:bCs/>
                <w:sz w:val="18"/>
                <w:szCs w:val="18"/>
              </w:rPr>
            </w:pPr>
            <w:r w:rsidRPr="008033EB">
              <w:rPr>
                <w:rFonts w:ascii="Tahoma" w:hAnsi="Tahoma" w:cs="Tahoma"/>
                <w:b/>
                <w:bCs/>
                <w:sz w:val="18"/>
                <w:szCs w:val="18"/>
              </w:rPr>
              <w:t>Подразделения Банка/Точки продаж, реализующие кредитный продукт</w:t>
            </w:r>
          </w:p>
        </w:tc>
        <w:tc>
          <w:tcPr>
            <w:tcW w:w="9214" w:type="dxa"/>
            <w:gridSpan w:val="3"/>
            <w:tcBorders>
              <w:top w:val="single" w:sz="4" w:space="0" w:color="auto"/>
              <w:left w:val="nil"/>
              <w:bottom w:val="single" w:sz="4" w:space="0" w:color="auto"/>
              <w:right w:val="single" w:sz="4" w:space="0" w:color="auto"/>
            </w:tcBorders>
            <w:shd w:val="clear" w:color="auto" w:fill="auto"/>
            <w:vAlign w:val="center"/>
            <w:hideMark/>
          </w:tcPr>
          <w:p w14:paraId="0F1A01A0" w14:textId="77777777" w:rsidR="00382481" w:rsidRPr="008033EB" w:rsidRDefault="00382481" w:rsidP="00034511">
            <w:pPr>
              <w:widowControl w:val="0"/>
              <w:jc w:val="center"/>
              <w:rPr>
                <w:rFonts w:ascii="Tahoma" w:hAnsi="Tahoma" w:cs="Tahoma"/>
                <w:color w:val="000000"/>
                <w:sz w:val="18"/>
                <w:szCs w:val="18"/>
              </w:rPr>
            </w:pPr>
            <w:r w:rsidRPr="008033EB">
              <w:rPr>
                <w:rFonts w:ascii="Tahoma" w:hAnsi="Tahoma" w:cs="Tahoma"/>
                <w:color w:val="000000"/>
                <w:sz w:val="18"/>
                <w:szCs w:val="18"/>
              </w:rPr>
              <w:t xml:space="preserve">Все подразделения Банка </w:t>
            </w:r>
          </w:p>
        </w:tc>
      </w:tr>
      <w:tr w:rsidR="00382481" w:rsidRPr="008033EB" w14:paraId="0C9EED71" w14:textId="77777777" w:rsidTr="00034511">
        <w:trPr>
          <w:trHeight w:val="255"/>
        </w:trPr>
        <w:tc>
          <w:tcPr>
            <w:tcW w:w="62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21698F" w14:textId="77777777" w:rsidR="00382481" w:rsidRPr="008033EB" w:rsidRDefault="00382481" w:rsidP="00034511">
            <w:pPr>
              <w:widowControl w:val="0"/>
              <w:jc w:val="center"/>
              <w:rPr>
                <w:rFonts w:ascii="Tahoma" w:hAnsi="Tahoma" w:cs="Tahoma"/>
                <w:b/>
                <w:bCs/>
                <w:sz w:val="18"/>
                <w:szCs w:val="18"/>
              </w:rPr>
            </w:pPr>
            <w:r w:rsidRPr="008033EB">
              <w:rPr>
                <w:rFonts w:ascii="Tahoma" w:hAnsi="Tahoma" w:cs="Tahoma"/>
                <w:b/>
                <w:bCs/>
                <w:sz w:val="18"/>
                <w:szCs w:val="18"/>
              </w:rPr>
              <w:t>Категория Заёмщика</w:t>
            </w:r>
          </w:p>
        </w:tc>
        <w:tc>
          <w:tcPr>
            <w:tcW w:w="9214" w:type="dxa"/>
            <w:gridSpan w:val="3"/>
            <w:tcBorders>
              <w:top w:val="single" w:sz="4" w:space="0" w:color="auto"/>
              <w:left w:val="nil"/>
              <w:bottom w:val="single" w:sz="4" w:space="0" w:color="auto"/>
              <w:right w:val="single" w:sz="4" w:space="0" w:color="auto"/>
            </w:tcBorders>
            <w:shd w:val="clear" w:color="auto" w:fill="auto"/>
            <w:vAlign w:val="center"/>
            <w:hideMark/>
          </w:tcPr>
          <w:p w14:paraId="3ADB5D81" w14:textId="77777777" w:rsidR="00382481" w:rsidRPr="008033EB" w:rsidRDefault="00382481" w:rsidP="00034511">
            <w:pPr>
              <w:widowControl w:val="0"/>
              <w:jc w:val="center"/>
              <w:rPr>
                <w:rFonts w:ascii="Tahoma" w:hAnsi="Tahoma" w:cs="Tahoma"/>
                <w:color w:val="000000"/>
                <w:sz w:val="18"/>
                <w:szCs w:val="18"/>
              </w:rPr>
            </w:pPr>
            <w:r w:rsidRPr="008033EB">
              <w:rPr>
                <w:rFonts w:ascii="Tahoma" w:hAnsi="Tahoma" w:cs="Tahoma"/>
                <w:color w:val="000000"/>
                <w:sz w:val="18"/>
                <w:szCs w:val="18"/>
              </w:rPr>
              <w:t>Физические лица</w:t>
            </w:r>
            <w:r w:rsidRPr="008033EB">
              <w:rPr>
                <w:rFonts w:ascii="Tahoma" w:hAnsi="Tahoma" w:cs="Tahoma"/>
                <w:b/>
                <w:color w:val="000000"/>
                <w:sz w:val="18"/>
                <w:szCs w:val="18"/>
                <w:vertAlign w:val="superscript"/>
              </w:rPr>
              <w:t>*</w:t>
            </w:r>
            <w:r w:rsidRPr="008033EB">
              <w:rPr>
                <w:rFonts w:ascii="Tahoma" w:hAnsi="Tahoma" w:cs="Tahoma"/>
                <w:color w:val="000000"/>
                <w:sz w:val="18"/>
                <w:szCs w:val="18"/>
              </w:rPr>
              <w:t xml:space="preserve"> (</w:t>
            </w:r>
            <w:r w:rsidRPr="008033EB">
              <w:rPr>
                <w:rFonts w:ascii="Tahoma" w:hAnsi="Tahoma" w:cs="Tahoma"/>
                <w:sz w:val="18"/>
                <w:szCs w:val="18"/>
              </w:rPr>
              <w:t>имеющие официальное место работы и постоянный источник дохода</w:t>
            </w:r>
            <w:r w:rsidRPr="008033EB">
              <w:rPr>
                <w:rFonts w:ascii="Tahoma" w:hAnsi="Tahoma" w:cs="Tahoma"/>
                <w:color w:val="000000"/>
                <w:sz w:val="18"/>
                <w:szCs w:val="18"/>
              </w:rPr>
              <w:t>)</w:t>
            </w:r>
          </w:p>
        </w:tc>
      </w:tr>
      <w:tr w:rsidR="00382481" w:rsidRPr="008033EB" w14:paraId="1C51C657" w14:textId="77777777" w:rsidTr="00034511">
        <w:trPr>
          <w:trHeight w:val="255"/>
        </w:trPr>
        <w:tc>
          <w:tcPr>
            <w:tcW w:w="6238" w:type="dxa"/>
            <w:tcBorders>
              <w:top w:val="single" w:sz="4" w:space="0" w:color="auto"/>
              <w:left w:val="single" w:sz="4" w:space="0" w:color="auto"/>
              <w:bottom w:val="single" w:sz="4" w:space="0" w:color="auto"/>
              <w:right w:val="single" w:sz="4" w:space="0" w:color="auto"/>
            </w:tcBorders>
            <w:shd w:val="clear" w:color="auto" w:fill="auto"/>
            <w:vAlign w:val="center"/>
          </w:tcPr>
          <w:p w14:paraId="4807B7C8" w14:textId="77777777" w:rsidR="00382481" w:rsidRPr="008033EB" w:rsidRDefault="00382481" w:rsidP="00034511">
            <w:pPr>
              <w:widowControl w:val="0"/>
              <w:jc w:val="center"/>
              <w:rPr>
                <w:rFonts w:ascii="Tahoma" w:hAnsi="Tahoma" w:cs="Tahoma"/>
                <w:b/>
                <w:bCs/>
                <w:sz w:val="18"/>
                <w:szCs w:val="18"/>
              </w:rPr>
            </w:pPr>
            <w:r w:rsidRPr="008033EB">
              <w:rPr>
                <w:rFonts w:ascii="Tahoma" w:hAnsi="Tahoma" w:cs="Tahoma"/>
                <w:b/>
                <w:bCs/>
                <w:sz w:val="18"/>
                <w:szCs w:val="18"/>
              </w:rPr>
              <w:t>Валюта, в которой предоставляется Кредит</w:t>
            </w:r>
          </w:p>
        </w:tc>
        <w:tc>
          <w:tcPr>
            <w:tcW w:w="9214" w:type="dxa"/>
            <w:gridSpan w:val="3"/>
            <w:tcBorders>
              <w:top w:val="single" w:sz="4" w:space="0" w:color="auto"/>
              <w:left w:val="nil"/>
              <w:bottom w:val="single" w:sz="4" w:space="0" w:color="auto"/>
              <w:right w:val="single" w:sz="4" w:space="0" w:color="auto"/>
            </w:tcBorders>
            <w:shd w:val="clear" w:color="auto" w:fill="auto"/>
            <w:vAlign w:val="center"/>
          </w:tcPr>
          <w:p w14:paraId="6B22422E" w14:textId="77777777" w:rsidR="00382481" w:rsidRPr="008033EB" w:rsidRDefault="00382481" w:rsidP="00034511">
            <w:pPr>
              <w:widowControl w:val="0"/>
              <w:jc w:val="center"/>
              <w:rPr>
                <w:rFonts w:ascii="Tahoma" w:hAnsi="Tahoma" w:cs="Tahoma"/>
                <w:color w:val="000000"/>
                <w:sz w:val="18"/>
                <w:szCs w:val="18"/>
              </w:rPr>
            </w:pPr>
            <w:r w:rsidRPr="008033EB">
              <w:rPr>
                <w:rFonts w:ascii="Tahoma" w:hAnsi="Tahoma" w:cs="Tahoma"/>
                <w:color w:val="000000"/>
                <w:sz w:val="18"/>
                <w:szCs w:val="18"/>
              </w:rPr>
              <w:t>Рубль Российской Федерации (далее – рубль)</w:t>
            </w:r>
          </w:p>
        </w:tc>
      </w:tr>
      <w:tr w:rsidR="00382481" w:rsidRPr="008033EB" w14:paraId="414B0D8E" w14:textId="77777777" w:rsidTr="00034511">
        <w:trPr>
          <w:trHeight w:val="255"/>
        </w:trPr>
        <w:tc>
          <w:tcPr>
            <w:tcW w:w="62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32B32D" w14:textId="77777777" w:rsidR="00382481" w:rsidRPr="008033EB" w:rsidRDefault="00382481" w:rsidP="00034511">
            <w:pPr>
              <w:widowControl w:val="0"/>
              <w:jc w:val="center"/>
              <w:rPr>
                <w:rFonts w:ascii="Tahoma" w:hAnsi="Tahoma" w:cs="Tahoma"/>
                <w:b/>
                <w:bCs/>
                <w:sz w:val="18"/>
                <w:szCs w:val="18"/>
              </w:rPr>
            </w:pPr>
            <w:r w:rsidRPr="008033EB">
              <w:rPr>
                <w:rFonts w:ascii="Tahoma" w:hAnsi="Tahoma" w:cs="Tahoma"/>
                <w:b/>
                <w:bCs/>
                <w:sz w:val="18"/>
                <w:szCs w:val="18"/>
              </w:rPr>
              <w:t>Минимальная сумма Кредита</w:t>
            </w:r>
          </w:p>
        </w:tc>
        <w:tc>
          <w:tcPr>
            <w:tcW w:w="9214" w:type="dxa"/>
            <w:gridSpan w:val="3"/>
            <w:tcBorders>
              <w:top w:val="single" w:sz="4" w:space="0" w:color="auto"/>
              <w:left w:val="nil"/>
              <w:bottom w:val="single" w:sz="4" w:space="0" w:color="auto"/>
              <w:right w:val="single" w:sz="4" w:space="0" w:color="auto"/>
            </w:tcBorders>
            <w:shd w:val="clear" w:color="auto" w:fill="auto"/>
            <w:vAlign w:val="center"/>
            <w:hideMark/>
          </w:tcPr>
          <w:p w14:paraId="1C108856" w14:textId="77777777" w:rsidR="00382481" w:rsidRPr="008033EB" w:rsidRDefault="00382481" w:rsidP="00034511">
            <w:pPr>
              <w:jc w:val="center"/>
              <w:rPr>
                <w:rFonts w:ascii="Tahoma" w:hAnsi="Tahoma" w:cs="Tahoma"/>
                <w:sz w:val="18"/>
                <w:szCs w:val="18"/>
              </w:rPr>
            </w:pPr>
            <w:r w:rsidRPr="008033EB">
              <w:rPr>
                <w:rFonts w:ascii="Tahoma" w:hAnsi="Tahoma" w:cs="Tahoma"/>
                <w:sz w:val="18"/>
                <w:szCs w:val="18"/>
              </w:rPr>
              <w:t>30 000,00 рублей</w:t>
            </w:r>
          </w:p>
        </w:tc>
      </w:tr>
      <w:tr w:rsidR="00382481" w:rsidRPr="008033EB" w14:paraId="2E73BDDA" w14:textId="77777777" w:rsidTr="00034511">
        <w:trPr>
          <w:trHeight w:val="146"/>
        </w:trPr>
        <w:tc>
          <w:tcPr>
            <w:tcW w:w="6238" w:type="dxa"/>
            <w:tcBorders>
              <w:top w:val="single" w:sz="4" w:space="0" w:color="auto"/>
              <w:left w:val="single" w:sz="4" w:space="0" w:color="auto"/>
              <w:bottom w:val="single" w:sz="4" w:space="0" w:color="auto"/>
              <w:right w:val="single" w:sz="4" w:space="0" w:color="auto"/>
            </w:tcBorders>
            <w:shd w:val="clear" w:color="auto" w:fill="auto"/>
            <w:vAlign w:val="center"/>
          </w:tcPr>
          <w:p w14:paraId="7753D0E8" w14:textId="77777777" w:rsidR="00382481" w:rsidRPr="008033EB" w:rsidRDefault="00382481" w:rsidP="00034511">
            <w:pPr>
              <w:widowControl w:val="0"/>
              <w:jc w:val="center"/>
              <w:rPr>
                <w:rFonts w:ascii="Tahoma" w:hAnsi="Tahoma" w:cs="Tahoma"/>
                <w:b/>
                <w:bCs/>
                <w:sz w:val="18"/>
                <w:szCs w:val="18"/>
              </w:rPr>
            </w:pPr>
            <w:r w:rsidRPr="008033EB">
              <w:rPr>
                <w:rFonts w:ascii="Tahoma" w:hAnsi="Tahoma" w:cs="Tahoma"/>
                <w:b/>
                <w:bCs/>
                <w:sz w:val="18"/>
                <w:szCs w:val="18"/>
              </w:rPr>
              <w:t>Максимальная сумма Кредита</w:t>
            </w:r>
            <w:r w:rsidRPr="008033EB">
              <w:rPr>
                <w:rFonts w:ascii="Tahoma" w:hAnsi="Tahoma" w:cs="Tahoma"/>
                <w:b/>
                <w:bCs/>
                <w:sz w:val="18"/>
                <w:szCs w:val="18"/>
                <w:vertAlign w:val="superscript"/>
              </w:rPr>
              <w:t>**</w:t>
            </w:r>
          </w:p>
        </w:tc>
        <w:tc>
          <w:tcPr>
            <w:tcW w:w="9214" w:type="dxa"/>
            <w:gridSpan w:val="3"/>
            <w:tcBorders>
              <w:top w:val="single" w:sz="4" w:space="0" w:color="auto"/>
              <w:left w:val="nil"/>
              <w:bottom w:val="single" w:sz="4" w:space="0" w:color="auto"/>
              <w:right w:val="single" w:sz="4" w:space="0" w:color="auto"/>
            </w:tcBorders>
            <w:shd w:val="clear" w:color="auto" w:fill="auto"/>
            <w:vAlign w:val="center"/>
          </w:tcPr>
          <w:p w14:paraId="658249B1" w14:textId="77777777" w:rsidR="00382481" w:rsidRPr="008033EB" w:rsidRDefault="00382481" w:rsidP="00034511">
            <w:pPr>
              <w:jc w:val="center"/>
              <w:rPr>
                <w:rFonts w:ascii="Tahoma" w:hAnsi="Tahoma" w:cs="Tahoma"/>
                <w:sz w:val="18"/>
                <w:szCs w:val="18"/>
              </w:rPr>
            </w:pPr>
            <w:r w:rsidRPr="008033EB">
              <w:rPr>
                <w:rFonts w:ascii="Tahoma" w:hAnsi="Tahoma" w:cs="Tahoma"/>
                <w:sz w:val="18"/>
                <w:szCs w:val="18"/>
              </w:rPr>
              <w:t>5 000 000,00 рублей</w:t>
            </w:r>
          </w:p>
          <w:p w14:paraId="5251FD6A" w14:textId="77777777" w:rsidR="00382481" w:rsidRPr="008033EB" w:rsidRDefault="00382481" w:rsidP="00034511">
            <w:pPr>
              <w:rPr>
                <w:rFonts w:ascii="Tahoma" w:hAnsi="Tahoma" w:cs="Tahoma"/>
                <w:sz w:val="18"/>
                <w:szCs w:val="18"/>
              </w:rPr>
            </w:pPr>
          </w:p>
        </w:tc>
      </w:tr>
      <w:tr w:rsidR="00382481" w:rsidRPr="008033EB" w14:paraId="427270A5" w14:textId="77777777" w:rsidTr="00034511">
        <w:trPr>
          <w:trHeight w:val="255"/>
        </w:trPr>
        <w:tc>
          <w:tcPr>
            <w:tcW w:w="62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470EB7" w14:textId="77777777" w:rsidR="00382481" w:rsidRPr="008033EB" w:rsidRDefault="00382481" w:rsidP="00034511">
            <w:pPr>
              <w:widowControl w:val="0"/>
              <w:jc w:val="center"/>
              <w:rPr>
                <w:rFonts w:ascii="Tahoma" w:hAnsi="Tahoma" w:cs="Tahoma"/>
                <w:b/>
                <w:bCs/>
                <w:sz w:val="18"/>
                <w:szCs w:val="18"/>
              </w:rPr>
            </w:pPr>
            <w:r w:rsidRPr="008033EB">
              <w:rPr>
                <w:rFonts w:ascii="Tahoma" w:hAnsi="Tahoma" w:cs="Tahoma"/>
                <w:b/>
                <w:bCs/>
                <w:sz w:val="18"/>
                <w:szCs w:val="18"/>
              </w:rPr>
              <w:t>Диапазон сроков возврата Кредита</w:t>
            </w:r>
          </w:p>
        </w:tc>
        <w:tc>
          <w:tcPr>
            <w:tcW w:w="9214" w:type="dxa"/>
            <w:gridSpan w:val="3"/>
            <w:tcBorders>
              <w:top w:val="single" w:sz="4" w:space="0" w:color="auto"/>
              <w:left w:val="nil"/>
              <w:bottom w:val="single" w:sz="4" w:space="0" w:color="auto"/>
              <w:right w:val="single" w:sz="4" w:space="0" w:color="auto"/>
            </w:tcBorders>
            <w:shd w:val="clear" w:color="auto" w:fill="auto"/>
            <w:vAlign w:val="center"/>
            <w:hideMark/>
          </w:tcPr>
          <w:p w14:paraId="260C5700" w14:textId="77777777" w:rsidR="00382481" w:rsidRPr="008033EB" w:rsidRDefault="00382481" w:rsidP="00034511">
            <w:pPr>
              <w:widowControl w:val="0"/>
              <w:jc w:val="center"/>
              <w:rPr>
                <w:rFonts w:ascii="Tahoma" w:hAnsi="Tahoma" w:cs="Tahoma"/>
                <w:sz w:val="18"/>
                <w:szCs w:val="18"/>
              </w:rPr>
            </w:pPr>
            <w:r w:rsidRPr="008033EB">
              <w:rPr>
                <w:rFonts w:ascii="Tahoma" w:hAnsi="Tahoma" w:cs="Tahoma"/>
                <w:sz w:val="18"/>
                <w:szCs w:val="18"/>
              </w:rPr>
              <w:t>от 13 (тринадцати) до 84 (восемьдесят четыре) месяцев (включительно) с шагом в 1 (один) месяц</w:t>
            </w:r>
          </w:p>
        </w:tc>
      </w:tr>
      <w:tr w:rsidR="00382481" w:rsidRPr="008033EB" w14:paraId="43181898" w14:textId="77777777" w:rsidTr="00034511">
        <w:trPr>
          <w:trHeight w:val="482"/>
        </w:trPr>
        <w:tc>
          <w:tcPr>
            <w:tcW w:w="6238" w:type="dxa"/>
            <w:vMerge w:val="restart"/>
            <w:tcBorders>
              <w:top w:val="single" w:sz="4" w:space="0" w:color="auto"/>
              <w:left w:val="single" w:sz="4" w:space="0" w:color="auto"/>
              <w:right w:val="single" w:sz="4" w:space="0" w:color="auto"/>
            </w:tcBorders>
            <w:shd w:val="clear" w:color="auto" w:fill="auto"/>
            <w:vAlign w:val="center"/>
          </w:tcPr>
          <w:p w14:paraId="3B583505" w14:textId="77777777" w:rsidR="00382481" w:rsidRPr="008033EB" w:rsidRDefault="00382481" w:rsidP="00034511">
            <w:pPr>
              <w:widowControl w:val="0"/>
              <w:jc w:val="center"/>
              <w:rPr>
                <w:rFonts w:ascii="Tahoma" w:hAnsi="Tahoma" w:cs="Tahoma"/>
                <w:b/>
                <w:bCs/>
                <w:sz w:val="18"/>
                <w:szCs w:val="18"/>
              </w:rPr>
            </w:pPr>
            <w:r w:rsidRPr="008033EB">
              <w:rPr>
                <w:rFonts w:ascii="Tahoma" w:hAnsi="Tahoma" w:cs="Tahoma"/>
                <w:b/>
                <w:bCs/>
                <w:sz w:val="18"/>
                <w:szCs w:val="18"/>
              </w:rPr>
              <w:t xml:space="preserve">Диапазон процентных ставок </w:t>
            </w:r>
          </w:p>
          <w:p w14:paraId="41F6DACE" w14:textId="77777777" w:rsidR="00382481" w:rsidRPr="008033EB" w:rsidRDefault="00382481" w:rsidP="00034511">
            <w:pPr>
              <w:widowControl w:val="0"/>
              <w:jc w:val="center"/>
              <w:rPr>
                <w:rFonts w:ascii="Tahoma" w:hAnsi="Tahoma" w:cs="Tahoma"/>
                <w:b/>
                <w:bCs/>
                <w:sz w:val="18"/>
                <w:szCs w:val="18"/>
              </w:rPr>
            </w:pPr>
            <w:r w:rsidRPr="008033EB">
              <w:rPr>
                <w:rFonts w:ascii="Tahoma" w:hAnsi="Tahoma" w:cs="Tahoma"/>
                <w:b/>
                <w:bCs/>
                <w:sz w:val="18"/>
                <w:szCs w:val="18"/>
              </w:rPr>
              <w:t xml:space="preserve">в процентах годовых </w:t>
            </w:r>
          </w:p>
          <w:p w14:paraId="3634F072" w14:textId="77777777" w:rsidR="00382481" w:rsidRPr="008033EB" w:rsidRDefault="00382481" w:rsidP="00034511">
            <w:pPr>
              <w:widowControl w:val="0"/>
              <w:jc w:val="center"/>
              <w:rPr>
                <w:rFonts w:ascii="Tahoma" w:hAnsi="Tahoma" w:cs="Tahoma"/>
                <w:b/>
                <w:bCs/>
                <w:sz w:val="18"/>
                <w:szCs w:val="18"/>
              </w:rPr>
            </w:pPr>
            <w:r w:rsidRPr="008033EB">
              <w:rPr>
                <w:rFonts w:ascii="Tahoma" w:hAnsi="Tahoma" w:cs="Tahoma"/>
                <w:b/>
                <w:bCs/>
                <w:sz w:val="18"/>
                <w:szCs w:val="18"/>
              </w:rPr>
              <w:t>(ставка определяется индивидуально по итогам рассмотрения Заявления на кредит)</w:t>
            </w:r>
          </w:p>
        </w:tc>
        <w:tc>
          <w:tcPr>
            <w:tcW w:w="4947" w:type="dxa"/>
            <w:tcBorders>
              <w:top w:val="single" w:sz="4" w:space="0" w:color="auto"/>
              <w:left w:val="nil"/>
              <w:bottom w:val="single" w:sz="4" w:space="0" w:color="auto"/>
              <w:right w:val="single" w:sz="4" w:space="0" w:color="auto"/>
            </w:tcBorders>
            <w:shd w:val="clear" w:color="auto" w:fill="auto"/>
            <w:vAlign w:val="center"/>
          </w:tcPr>
          <w:p w14:paraId="27F91690" w14:textId="77777777" w:rsidR="00382481" w:rsidRPr="008033EB" w:rsidRDefault="00382481" w:rsidP="00034511">
            <w:pPr>
              <w:widowControl w:val="0"/>
              <w:jc w:val="center"/>
              <w:rPr>
                <w:rFonts w:ascii="Tahoma" w:hAnsi="Tahoma" w:cs="Tahoma"/>
                <w:b/>
                <w:sz w:val="18"/>
                <w:szCs w:val="18"/>
              </w:rPr>
            </w:pPr>
            <w:r w:rsidRPr="008033EB">
              <w:rPr>
                <w:rFonts w:ascii="Tahoma" w:hAnsi="Tahoma" w:cs="Tahoma"/>
                <w:b/>
                <w:sz w:val="18"/>
                <w:szCs w:val="18"/>
              </w:rPr>
              <w:t>Процентная ставка (в процентах годовых) при заключении Заемщиком договора личного страхования</w:t>
            </w:r>
            <w:r w:rsidRPr="008033EB">
              <w:rPr>
                <w:rFonts w:ascii="Tahoma" w:hAnsi="Tahoma" w:cs="Tahoma"/>
                <w:b/>
                <w:sz w:val="18"/>
                <w:szCs w:val="18"/>
                <w:vertAlign w:val="superscript"/>
              </w:rPr>
              <w:t>***</w:t>
            </w:r>
          </w:p>
        </w:tc>
        <w:tc>
          <w:tcPr>
            <w:tcW w:w="4267" w:type="dxa"/>
            <w:gridSpan w:val="2"/>
            <w:tcBorders>
              <w:top w:val="single" w:sz="4" w:space="0" w:color="auto"/>
              <w:left w:val="nil"/>
              <w:bottom w:val="single" w:sz="4" w:space="0" w:color="auto"/>
              <w:right w:val="single" w:sz="4" w:space="0" w:color="auto"/>
            </w:tcBorders>
            <w:shd w:val="clear" w:color="auto" w:fill="auto"/>
            <w:vAlign w:val="center"/>
          </w:tcPr>
          <w:p w14:paraId="19E3614A" w14:textId="77777777" w:rsidR="00382481" w:rsidRPr="008033EB" w:rsidRDefault="00382481" w:rsidP="00034511">
            <w:pPr>
              <w:widowControl w:val="0"/>
              <w:jc w:val="center"/>
              <w:rPr>
                <w:rFonts w:ascii="Tahoma" w:hAnsi="Tahoma" w:cs="Tahoma"/>
                <w:b/>
                <w:sz w:val="18"/>
                <w:szCs w:val="18"/>
              </w:rPr>
            </w:pPr>
            <w:r w:rsidRPr="008033EB">
              <w:rPr>
                <w:rFonts w:ascii="Tahoma" w:hAnsi="Tahoma" w:cs="Tahoma"/>
                <w:b/>
                <w:sz w:val="18"/>
                <w:szCs w:val="18"/>
              </w:rPr>
              <w:t>Процентная ставка (в процентах годовых) без заключения Заемщиком договора личного страхования</w:t>
            </w:r>
            <w:r w:rsidRPr="008033EB">
              <w:rPr>
                <w:rFonts w:ascii="Tahoma" w:hAnsi="Tahoma" w:cs="Tahoma"/>
                <w:b/>
                <w:sz w:val="18"/>
                <w:szCs w:val="18"/>
                <w:vertAlign w:val="superscript"/>
              </w:rPr>
              <w:t>***</w:t>
            </w:r>
          </w:p>
        </w:tc>
      </w:tr>
      <w:tr w:rsidR="00382481" w:rsidRPr="008033EB" w14:paraId="35B0E6C4" w14:textId="77777777" w:rsidTr="00034511">
        <w:trPr>
          <w:trHeight w:val="482"/>
        </w:trPr>
        <w:tc>
          <w:tcPr>
            <w:tcW w:w="6238" w:type="dxa"/>
            <w:vMerge/>
            <w:tcBorders>
              <w:left w:val="single" w:sz="4" w:space="0" w:color="auto"/>
              <w:right w:val="single" w:sz="4" w:space="0" w:color="auto"/>
            </w:tcBorders>
            <w:shd w:val="clear" w:color="auto" w:fill="auto"/>
            <w:vAlign w:val="center"/>
          </w:tcPr>
          <w:p w14:paraId="0E74485A" w14:textId="77777777" w:rsidR="00382481" w:rsidRPr="008033EB" w:rsidRDefault="00382481" w:rsidP="00034511">
            <w:pPr>
              <w:widowControl w:val="0"/>
              <w:jc w:val="center"/>
              <w:rPr>
                <w:rFonts w:ascii="Tahoma" w:hAnsi="Tahoma" w:cs="Tahoma"/>
                <w:b/>
                <w:bCs/>
                <w:sz w:val="18"/>
                <w:szCs w:val="18"/>
              </w:rPr>
            </w:pPr>
          </w:p>
        </w:tc>
        <w:tc>
          <w:tcPr>
            <w:tcW w:w="4947" w:type="dxa"/>
            <w:tcBorders>
              <w:top w:val="single" w:sz="4" w:space="0" w:color="auto"/>
              <w:left w:val="nil"/>
              <w:bottom w:val="single" w:sz="4" w:space="0" w:color="auto"/>
              <w:right w:val="single" w:sz="4" w:space="0" w:color="auto"/>
            </w:tcBorders>
            <w:shd w:val="clear" w:color="auto" w:fill="auto"/>
            <w:vAlign w:val="center"/>
          </w:tcPr>
          <w:p w14:paraId="1E0862F7" w14:textId="77777777" w:rsidR="00382481" w:rsidRPr="008033EB" w:rsidRDefault="00382481" w:rsidP="00034511">
            <w:pPr>
              <w:widowControl w:val="0"/>
              <w:jc w:val="center"/>
              <w:rPr>
                <w:rFonts w:ascii="Tahoma" w:hAnsi="Tahoma" w:cs="Tahoma"/>
                <w:sz w:val="18"/>
                <w:szCs w:val="18"/>
              </w:rPr>
            </w:pPr>
            <w:r w:rsidRPr="008033EB">
              <w:rPr>
                <w:rFonts w:ascii="Tahoma" w:hAnsi="Tahoma" w:cs="Tahoma"/>
                <w:sz w:val="18"/>
                <w:szCs w:val="18"/>
              </w:rPr>
              <w:t xml:space="preserve">При сумме кредита до 100 000 рублей (вкл.): </w:t>
            </w:r>
          </w:p>
          <w:p w14:paraId="42C94F09" w14:textId="77777777" w:rsidR="00382481" w:rsidRPr="008033EB" w:rsidRDefault="00382481" w:rsidP="00034511">
            <w:pPr>
              <w:widowControl w:val="0"/>
              <w:jc w:val="center"/>
              <w:rPr>
                <w:rFonts w:ascii="Tahoma" w:hAnsi="Tahoma" w:cs="Tahoma"/>
                <w:sz w:val="18"/>
                <w:szCs w:val="18"/>
              </w:rPr>
            </w:pPr>
            <w:r w:rsidRPr="008033EB">
              <w:rPr>
                <w:rFonts w:ascii="Tahoma" w:hAnsi="Tahoma" w:cs="Tahoma"/>
                <w:sz w:val="18"/>
                <w:szCs w:val="18"/>
              </w:rPr>
              <w:t>22,9% – 29,9%</w:t>
            </w:r>
          </w:p>
          <w:p w14:paraId="3FE9D3AD" w14:textId="77777777" w:rsidR="00382481" w:rsidRPr="008033EB" w:rsidRDefault="00382481" w:rsidP="00034511">
            <w:pPr>
              <w:widowControl w:val="0"/>
              <w:jc w:val="center"/>
              <w:rPr>
                <w:rFonts w:ascii="Tahoma" w:hAnsi="Tahoma" w:cs="Tahoma"/>
                <w:sz w:val="18"/>
                <w:szCs w:val="18"/>
              </w:rPr>
            </w:pPr>
            <w:r w:rsidRPr="008033EB">
              <w:rPr>
                <w:rFonts w:ascii="Tahoma" w:hAnsi="Tahoma" w:cs="Tahoma"/>
                <w:sz w:val="18"/>
                <w:szCs w:val="18"/>
              </w:rPr>
              <w:t xml:space="preserve">При сумме кредита свыше 100 000: </w:t>
            </w:r>
          </w:p>
          <w:p w14:paraId="086A71A9" w14:textId="77777777" w:rsidR="00382481" w:rsidRPr="008033EB" w:rsidRDefault="00382481" w:rsidP="00034511">
            <w:pPr>
              <w:widowControl w:val="0"/>
              <w:jc w:val="center"/>
              <w:rPr>
                <w:rFonts w:ascii="Tahoma" w:hAnsi="Tahoma" w:cs="Tahoma"/>
                <w:sz w:val="18"/>
                <w:szCs w:val="18"/>
              </w:rPr>
            </w:pPr>
            <w:r w:rsidRPr="008033EB">
              <w:rPr>
                <w:rFonts w:ascii="Tahoma" w:hAnsi="Tahoma" w:cs="Tahoma"/>
                <w:sz w:val="18"/>
                <w:szCs w:val="18"/>
              </w:rPr>
              <w:t>22,9% – 26,9%</w:t>
            </w:r>
          </w:p>
        </w:tc>
        <w:tc>
          <w:tcPr>
            <w:tcW w:w="4267" w:type="dxa"/>
            <w:gridSpan w:val="2"/>
            <w:tcBorders>
              <w:top w:val="single" w:sz="4" w:space="0" w:color="auto"/>
              <w:left w:val="nil"/>
              <w:bottom w:val="single" w:sz="4" w:space="0" w:color="auto"/>
              <w:right w:val="single" w:sz="4" w:space="0" w:color="auto"/>
            </w:tcBorders>
            <w:shd w:val="clear" w:color="auto" w:fill="auto"/>
            <w:vAlign w:val="center"/>
          </w:tcPr>
          <w:p w14:paraId="769723C1" w14:textId="77777777" w:rsidR="00382481" w:rsidRPr="008033EB" w:rsidRDefault="00382481" w:rsidP="00034511">
            <w:pPr>
              <w:widowControl w:val="0"/>
              <w:jc w:val="center"/>
              <w:rPr>
                <w:rFonts w:ascii="Tahoma" w:hAnsi="Tahoma" w:cs="Tahoma"/>
                <w:sz w:val="18"/>
                <w:szCs w:val="18"/>
              </w:rPr>
            </w:pPr>
            <w:r w:rsidRPr="008033EB">
              <w:rPr>
                <w:rFonts w:ascii="Tahoma" w:hAnsi="Tahoma" w:cs="Tahoma"/>
                <w:sz w:val="18"/>
                <w:szCs w:val="18"/>
              </w:rPr>
              <w:t>При сумме кредита до 100 000 рублей (вкл.):</w:t>
            </w:r>
          </w:p>
          <w:p w14:paraId="1F438845" w14:textId="77777777" w:rsidR="00382481" w:rsidRPr="008033EB" w:rsidRDefault="00382481" w:rsidP="00034511">
            <w:pPr>
              <w:widowControl w:val="0"/>
              <w:jc w:val="center"/>
              <w:rPr>
                <w:rFonts w:ascii="Tahoma" w:hAnsi="Tahoma" w:cs="Tahoma"/>
                <w:sz w:val="18"/>
                <w:szCs w:val="18"/>
              </w:rPr>
            </w:pPr>
            <w:r w:rsidRPr="008033EB">
              <w:rPr>
                <w:rFonts w:ascii="Tahoma" w:hAnsi="Tahoma" w:cs="Tahoma"/>
                <w:sz w:val="18"/>
                <w:szCs w:val="18"/>
              </w:rPr>
              <w:t>30,9% – 37,9%</w:t>
            </w:r>
          </w:p>
          <w:p w14:paraId="7CCF7AEE" w14:textId="77777777" w:rsidR="00382481" w:rsidRPr="008033EB" w:rsidRDefault="00382481" w:rsidP="00034511">
            <w:pPr>
              <w:widowControl w:val="0"/>
              <w:jc w:val="center"/>
              <w:rPr>
                <w:rFonts w:ascii="Tahoma" w:hAnsi="Tahoma" w:cs="Tahoma"/>
                <w:sz w:val="18"/>
                <w:szCs w:val="18"/>
              </w:rPr>
            </w:pPr>
            <w:r w:rsidRPr="008033EB">
              <w:rPr>
                <w:rFonts w:ascii="Tahoma" w:hAnsi="Tahoma" w:cs="Tahoma"/>
                <w:sz w:val="18"/>
                <w:szCs w:val="18"/>
              </w:rPr>
              <w:t>При сумме кредита свыше 100 000 рублей:</w:t>
            </w:r>
          </w:p>
          <w:p w14:paraId="3EAC01AF" w14:textId="77777777" w:rsidR="00382481" w:rsidRPr="008033EB" w:rsidRDefault="00382481" w:rsidP="00034511">
            <w:pPr>
              <w:widowControl w:val="0"/>
              <w:jc w:val="center"/>
              <w:rPr>
                <w:rFonts w:ascii="Tahoma" w:hAnsi="Tahoma" w:cs="Tahoma"/>
                <w:sz w:val="18"/>
                <w:szCs w:val="18"/>
              </w:rPr>
            </w:pPr>
            <w:r w:rsidRPr="008033EB">
              <w:rPr>
                <w:rFonts w:ascii="Tahoma" w:hAnsi="Tahoma" w:cs="Tahoma"/>
                <w:sz w:val="18"/>
                <w:szCs w:val="18"/>
              </w:rPr>
              <w:t>30,9% – 34,9%</w:t>
            </w:r>
          </w:p>
          <w:p w14:paraId="67C96EEA" w14:textId="77777777" w:rsidR="00382481" w:rsidRPr="008033EB" w:rsidRDefault="00382481" w:rsidP="00034511">
            <w:pPr>
              <w:widowControl w:val="0"/>
              <w:jc w:val="center"/>
              <w:rPr>
                <w:rFonts w:ascii="Tahoma" w:hAnsi="Tahoma" w:cs="Tahoma"/>
                <w:sz w:val="18"/>
                <w:szCs w:val="18"/>
              </w:rPr>
            </w:pPr>
          </w:p>
        </w:tc>
      </w:tr>
      <w:tr w:rsidR="00382481" w:rsidRPr="008033EB" w14:paraId="49EFB5C7" w14:textId="77777777" w:rsidTr="00034511">
        <w:trPr>
          <w:trHeight w:val="70"/>
        </w:trPr>
        <w:tc>
          <w:tcPr>
            <w:tcW w:w="6238" w:type="dxa"/>
            <w:tcBorders>
              <w:top w:val="single" w:sz="4" w:space="0" w:color="auto"/>
              <w:left w:val="single" w:sz="4" w:space="0" w:color="auto"/>
              <w:right w:val="single" w:sz="4" w:space="0" w:color="auto"/>
            </w:tcBorders>
            <w:shd w:val="clear" w:color="auto" w:fill="auto"/>
            <w:vAlign w:val="center"/>
          </w:tcPr>
          <w:p w14:paraId="5E91CC49" w14:textId="77777777" w:rsidR="00382481" w:rsidRPr="008033EB" w:rsidRDefault="00382481" w:rsidP="00034511">
            <w:pPr>
              <w:jc w:val="center"/>
              <w:rPr>
                <w:rFonts w:ascii="Tahoma" w:hAnsi="Tahoma" w:cs="Tahoma"/>
                <w:color w:val="1F497D"/>
                <w:sz w:val="18"/>
                <w:szCs w:val="18"/>
              </w:rPr>
            </w:pPr>
            <w:r w:rsidRPr="008033EB">
              <w:rPr>
                <w:rFonts w:ascii="Tahoma" w:hAnsi="Tahoma" w:cs="Tahoma"/>
                <w:b/>
                <w:bCs/>
                <w:color w:val="000000"/>
                <w:sz w:val="18"/>
                <w:szCs w:val="18"/>
              </w:rPr>
              <w:t>Диапазон значений полной стоимости Кредита в процентном и денежном выражении</w:t>
            </w:r>
          </w:p>
        </w:tc>
        <w:tc>
          <w:tcPr>
            <w:tcW w:w="9214" w:type="dxa"/>
            <w:gridSpan w:val="3"/>
            <w:tcBorders>
              <w:top w:val="single" w:sz="4" w:space="0" w:color="auto"/>
              <w:left w:val="single" w:sz="4" w:space="0" w:color="auto"/>
              <w:right w:val="single" w:sz="4" w:space="0" w:color="auto"/>
            </w:tcBorders>
            <w:shd w:val="clear" w:color="auto" w:fill="auto"/>
            <w:vAlign w:val="center"/>
          </w:tcPr>
          <w:p w14:paraId="1A56F99E" w14:textId="77777777" w:rsidR="00382481" w:rsidRPr="008033EB" w:rsidRDefault="00382481" w:rsidP="00034511">
            <w:pPr>
              <w:widowControl w:val="0"/>
              <w:jc w:val="center"/>
              <w:rPr>
                <w:rFonts w:ascii="Tahoma" w:hAnsi="Tahoma" w:cs="Tahoma"/>
                <w:color w:val="000000"/>
                <w:sz w:val="18"/>
                <w:szCs w:val="18"/>
              </w:rPr>
            </w:pPr>
          </w:p>
          <w:p w14:paraId="15B2E7DC" w14:textId="77777777" w:rsidR="00382481" w:rsidRPr="008033EB" w:rsidRDefault="00382481" w:rsidP="00034511">
            <w:pPr>
              <w:widowControl w:val="0"/>
              <w:jc w:val="center"/>
              <w:rPr>
                <w:rFonts w:ascii="Tahoma" w:hAnsi="Tahoma" w:cs="Tahoma"/>
                <w:color w:val="000000"/>
                <w:sz w:val="18"/>
                <w:szCs w:val="18"/>
              </w:rPr>
            </w:pPr>
            <w:r w:rsidRPr="008033EB">
              <w:rPr>
                <w:rFonts w:ascii="Tahoma" w:hAnsi="Tahoma" w:cs="Tahoma"/>
                <w:color w:val="000000"/>
                <w:sz w:val="18"/>
                <w:szCs w:val="18"/>
              </w:rPr>
              <w:t>При сумме кредита до 100 000 рублей (вкл):</w:t>
            </w:r>
          </w:p>
          <w:p w14:paraId="0B75A503" w14:textId="77777777" w:rsidR="00382481" w:rsidRPr="008033EB" w:rsidRDefault="00382481" w:rsidP="00034511">
            <w:pPr>
              <w:widowControl w:val="0"/>
              <w:jc w:val="center"/>
              <w:rPr>
                <w:rFonts w:ascii="Tahoma" w:hAnsi="Tahoma" w:cs="Tahoma"/>
                <w:color w:val="000000"/>
                <w:sz w:val="18"/>
                <w:szCs w:val="18"/>
              </w:rPr>
            </w:pPr>
            <w:r w:rsidRPr="008033EB">
              <w:rPr>
                <w:rFonts w:ascii="Tahoma" w:hAnsi="Tahoma" w:cs="Tahoma"/>
                <w:color w:val="000000"/>
                <w:sz w:val="18"/>
                <w:szCs w:val="18"/>
              </w:rPr>
              <w:t>22,880 %</w:t>
            </w:r>
            <w:r w:rsidRPr="008033EB">
              <w:rPr>
                <w:rFonts w:ascii="Tahoma" w:hAnsi="Tahoma" w:cs="Tahoma"/>
                <w:color w:val="000000"/>
                <w:sz w:val="18"/>
                <w:szCs w:val="18"/>
                <w:vertAlign w:val="superscript"/>
              </w:rPr>
              <w:footnoteReference w:id="3"/>
            </w:r>
            <w:r w:rsidRPr="008033EB">
              <w:rPr>
                <w:rFonts w:ascii="Tahoma" w:hAnsi="Tahoma" w:cs="Tahoma"/>
                <w:color w:val="000000"/>
                <w:sz w:val="18"/>
                <w:szCs w:val="18"/>
                <w:vertAlign w:val="superscript"/>
              </w:rPr>
              <w:t xml:space="preserve"> </w:t>
            </w:r>
            <w:r w:rsidRPr="008033EB">
              <w:rPr>
                <w:rFonts w:ascii="Tahoma" w:hAnsi="Tahoma" w:cs="Tahoma"/>
                <w:color w:val="000000"/>
                <w:sz w:val="18"/>
                <w:szCs w:val="18"/>
              </w:rPr>
              <w:t>годовых – 37,871%</w:t>
            </w:r>
            <w:r w:rsidRPr="008033EB">
              <w:rPr>
                <w:rFonts w:ascii="Tahoma" w:hAnsi="Tahoma" w:cs="Tahoma"/>
                <w:color w:val="000000"/>
                <w:sz w:val="18"/>
                <w:szCs w:val="18"/>
                <w:vertAlign w:val="superscript"/>
              </w:rPr>
              <w:footnoteReference w:id="4"/>
            </w:r>
            <w:r w:rsidRPr="008033EB">
              <w:rPr>
                <w:rFonts w:ascii="Tahoma" w:hAnsi="Tahoma" w:cs="Tahoma"/>
                <w:color w:val="000000"/>
                <w:sz w:val="18"/>
                <w:szCs w:val="18"/>
              </w:rPr>
              <w:t xml:space="preserve"> годовых</w:t>
            </w:r>
          </w:p>
          <w:p w14:paraId="3B481F82" w14:textId="77777777" w:rsidR="00382481" w:rsidRPr="008033EB" w:rsidRDefault="00382481" w:rsidP="00034511">
            <w:pPr>
              <w:widowControl w:val="0"/>
              <w:jc w:val="center"/>
              <w:rPr>
                <w:rFonts w:ascii="Tahoma" w:hAnsi="Tahoma" w:cs="Tahoma"/>
                <w:color w:val="000000"/>
                <w:sz w:val="18"/>
                <w:szCs w:val="18"/>
              </w:rPr>
            </w:pPr>
            <w:r w:rsidRPr="008033EB">
              <w:rPr>
                <w:rFonts w:ascii="Tahoma" w:hAnsi="Tahoma" w:cs="Tahoma"/>
                <w:color w:val="000000"/>
                <w:sz w:val="18"/>
                <w:szCs w:val="18"/>
              </w:rPr>
              <w:t>4 141,20</w:t>
            </w:r>
            <w:r w:rsidRPr="008033EB">
              <w:rPr>
                <w:rFonts w:ascii="Tahoma" w:hAnsi="Tahoma" w:cs="Tahoma"/>
                <w:color w:val="000000"/>
                <w:sz w:val="18"/>
                <w:szCs w:val="18"/>
                <w:vertAlign w:val="superscript"/>
              </w:rPr>
              <w:t>1</w:t>
            </w:r>
            <w:r w:rsidRPr="008033EB">
              <w:rPr>
                <w:rFonts w:ascii="Tahoma" w:hAnsi="Tahoma" w:cs="Tahoma"/>
                <w:color w:val="000000"/>
                <w:sz w:val="18"/>
                <w:szCs w:val="18"/>
              </w:rPr>
              <w:t xml:space="preserve"> рублей – 185 308,84</w:t>
            </w:r>
            <w:r w:rsidRPr="008033EB">
              <w:rPr>
                <w:rFonts w:ascii="Tahoma" w:hAnsi="Tahoma" w:cs="Tahoma"/>
                <w:color w:val="000000"/>
                <w:sz w:val="18"/>
                <w:szCs w:val="18"/>
                <w:vertAlign w:val="superscript"/>
              </w:rPr>
              <w:t xml:space="preserve">2 </w:t>
            </w:r>
            <w:r w:rsidRPr="008033EB">
              <w:rPr>
                <w:rFonts w:ascii="Tahoma" w:hAnsi="Tahoma" w:cs="Tahoma"/>
                <w:color w:val="000000"/>
                <w:sz w:val="18"/>
                <w:szCs w:val="18"/>
              </w:rPr>
              <w:t>рублей</w:t>
            </w:r>
          </w:p>
          <w:p w14:paraId="58ED99A3" w14:textId="77777777" w:rsidR="00382481" w:rsidRPr="008033EB" w:rsidRDefault="00382481" w:rsidP="00034511">
            <w:pPr>
              <w:widowControl w:val="0"/>
              <w:jc w:val="center"/>
              <w:rPr>
                <w:rFonts w:ascii="Tahoma" w:hAnsi="Tahoma" w:cs="Tahoma"/>
                <w:color w:val="000000"/>
                <w:sz w:val="18"/>
                <w:szCs w:val="18"/>
              </w:rPr>
            </w:pPr>
          </w:p>
          <w:p w14:paraId="2E2BF322" w14:textId="77777777" w:rsidR="00382481" w:rsidRPr="008033EB" w:rsidRDefault="00382481" w:rsidP="00034511">
            <w:pPr>
              <w:widowControl w:val="0"/>
              <w:jc w:val="center"/>
              <w:rPr>
                <w:rFonts w:ascii="Tahoma" w:hAnsi="Tahoma" w:cs="Tahoma"/>
                <w:color w:val="000000"/>
                <w:sz w:val="18"/>
                <w:szCs w:val="18"/>
              </w:rPr>
            </w:pPr>
            <w:r w:rsidRPr="008033EB">
              <w:rPr>
                <w:rFonts w:ascii="Tahoma" w:hAnsi="Tahoma" w:cs="Tahoma"/>
                <w:color w:val="000000"/>
                <w:sz w:val="18"/>
                <w:szCs w:val="18"/>
              </w:rPr>
              <w:t>При сумме кредита свыше 100 000 рублей:</w:t>
            </w:r>
          </w:p>
          <w:p w14:paraId="671B2EEC" w14:textId="77777777" w:rsidR="00382481" w:rsidRPr="008033EB" w:rsidRDefault="00382481" w:rsidP="00034511">
            <w:pPr>
              <w:widowControl w:val="0"/>
              <w:jc w:val="center"/>
              <w:rPr>
                <w:rFonts w:ascii="Tahoma" w:hAnsi="Tahoma" w:cs="Tahoma"/>
                <w:color w:val="000000"/>
                <w:sz w:val="18"/>
                <w:szCs w:val="18"/>
              </w:rPr>
            </w:pPr>
            <w:r w:rsidRPr="008033EB">
              <w:rPr>
                <w:rFonts w:ascii="Tahoma" w:hAnsi="Tahoma" w:cs="Tahoma"/>
                <w:color w:val="000000"/>
                <w:sz w:val="18"/>
                <w:szCs w:val="18"/>
              </w:rPr>
              <w:t>22,880 %</w:t>
            </w:r>
            <w:r w:rsidRPr="008033EB">
              <w:rPr>
                <w:rFonts w:ascii="Tahoma" w:hAnsi="Tahoma" w:cs="Tahoma"/>
                <w:color w:val="000000"/>
                <w:sz w:val="18"/>
                <w:szCs w:val="18"/>
                <w:vertAlign w:val="superscript"/>
              </w:rPr>
              <w:t xml:space="preserve">1 </w:t>
            </w:r>
            <w:r w:rsidRPr="008033EB">
              <w:rPr>
                <w:rFonts w:ascii="Tahoma" w:hAnsi="Tahoma" w:cs="Tahoma"/>
                <w:color w:val="000000"/>
                <w:sz w:val="18"/>
                <w:szCs w:val="18"/>
              </w:rPr>
              <w:t>годовых - 34,875%</w:t>
            </w:r>
            <w:r w:rsidRPr="008033EB">
              <w:rPr>
                <w:rFonts w:ascii="Tahoma" w:hAnsi="Tahoma" w:cs="Tahoma"/>
                <w:color w:val="000000"/>
                <w:sz w:val="18"/>
                <w:szCs w:val="18"/>
                <w:vertAlign w:val="superscript"/>
              </w:rPr>
              <w:t xml:space="preserve">3 </w:t>
            </w:r>
            <w:r w:rsidRPr="008033EB">
              <w:rPr>
                <w:rFonts w:ascii="Tahoma" w:hAnsi="Tahoma" w:cs="Tahoma"/>
                <w:color w:val="000000"/>
                <w:sz w:val="18"/>
                <w:szCs w:val="18"/>
              </w:rPr>
              <w:t>годовых</w:t>
            </w:r>
          </w:p>
          <w:p w14:paraId="18E41031" w14:textId="77777777" w:rsidR="00382481" w:rsidRPr="008033EB" w:rsidRDefault="00382481" w:rsidP="00034511">
            <w:pPr>
              <w:widowControl w:val="0"/>
              <w:jc w:val="center"/>
              <w:rPr>
                <w:rFonts w:ascii="Tahoma" w:hAnsi="Tahoma" w:cs="Tahoma"/>
                <w:color w:val="000000"/>
                <w:sz w:val="18"/>
                <w:szCs w:val="18"/>
              </w:rPr>
            </w:pPr>
            <w:r w:rsidRPr="008033EB">
              <w:rPr>
                <w:rFonts w:ascii="Tahoma" w:hAnsi="Tahoma" w:cs="Tahoma"/>
                <w:color w:val="000000"/>
                <w:sz w:val="18"/>
                <w:szCs w:val="18"/>
              </w:rPr>
              <w:t>13 803,97</w:t>
            </w:r>
            <w:r w:rsidRPr="008033EB">
              <w:rPr>
                <w:rFonts w:ascii="Tahoma" w:hAnsi="Tahoma" w:cs="Tahoma"/>
                <w:color w:val="000000"/>
                <w:sz w:val="18"/>
                <w:szCs w:val="18"/>
                <w:vertAlign w:val="superscript"/>
              </w:rPr>
              <w:t>1</w:t>
            </w:r>
            <w:r w:rsidRPr="008033EB">
              <w:rPr>
                <w:rFonts w:ascii="Tahoma" w:hAnsi="Tahoma" w:cs="Tahoma"/>
                <w:color w:val="000000"/>
                <w:sz w:val="18"/>
                <w:szCs w:val="18"/>
              </w:rPr>
              <w:t xml:space="preserve"> рублей - 8 385 058,19</w:t>
            </w:r>
            <w:r w:rsidRPr="008033EB">
              <w:rPr>
                <w:rFonts w:ascii="Helvetica" w:hAnsi="Helvetica" w:cs="Helvetica"/>
                <w:b/>
                <w:bCs/>
                <w:color w:val="222222"/>
                <w:sz w:val="18"/>
                <w:szCs w:val="18"/>
                <w:shd w:val="clear" w:color="auto" w:fill="FAFAFA"/>
                <w:vertAlign w:val="superscript"/>
              </w:rPr>
              <w:t>3</w:t>
            </w:r>
            <w:r w:rsidRPr="008033EB">
              <w:rPr>
                <w:rFonts w:ascii="Helvetica" w:hAnsi="Helvetica" w:cs="Helvetica"/>
                <w:b/>
                <w:bCs/>
                <w:color w:val="222222"/>
                <w:sz w:val="18"/>
                <w:szCs w:val="18"/>
                <w:shd w:val="clear" w:color="auto" w:fill="FAFAFA"/>
              </w:rPr>
              <w:t xml:space="preserve"> </w:t>
            </w:r>
            <w:r w:rsidRPr="008033EB">
              <w:rPr>
                <w:rFonts w:ascii="Tahoma" w:hAnsi="Tahoma" w:cs="Tahoma"/>
                <w:color w:val="000000"/>
                <w:sz w:val="18"/>
                <w:szCs w:val="18"/>
              </w:rPr>
              <w:t>рублей</w:t>
            </w:r>
          </w:p>
          <w:p w14:paraId="004DF654" w14:textId="77777777" w:rsidR="00382481" w:rsidRPr="008033EB" w:rsidRDefault="00382481" w:rsidP="00034511">
            <w:pPr>
              <w:widowControl w:val="0"/>
              <w:jc w:val="center"/>
              <w:rPr>
                <w:rFonts w:ascii="Tahoma" w:hAnsi="Tahoma" w:cs="Tahoma"/>
                <w:color w:val="000000"/>
                <w:sz w:val="18"/>
                <w:szCs w:val="18"/>
              </w:rPr>
            </w:pPr>
          </w:p>
        </w:tc>
      </w:tr>
      <w:tr w:rsidR="00382481" w:rsidRPr="008033EB" w14:paraId="30BDDDF8" w14:textId="77777777" w:rsidTr="00034511">
        <w:trPr>
          <w:trHeight w:val="645"/>
        </w:trPr>
        <w:tc>
          <w:tcPr>
            <w:tcW w:w="62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1D7527" w14:textId="77777777" w:rsidR="00382481" w:rsidRPr="008033EB" w:rsidRDefault="00382481" w:rsidP="00034511">
            <w:pPr>
              <w:widowControl w:val="0"/>
              <w:jc w:val="center"/>
              <w:rPr>
                <w:rFonts w:ascii="Tahoma" w:hAnsi="Tahoma" w:cs="Tahoma"/>
                <w:b/>
                <w:bCs/>
                <w:sz w:val="18"/>
                <w:szCs w:val="18"/>
              </w:rPr>
            </w:pPr>
            <w:r w:rsidRPr="008033EB">
              <w:rPr>
                <w:rFonts w:ascii="Tahoma" w:hAnsi="Tahoma" w:cs="Tahoma"/>
                <w:b/>
                <w:bCs/>
                <w:sz w:val="18"/>
                <w:szCs w:val="18"/>
              </w:rPr>
              <w:lastRenderedPageBreak/>
              <w:t>Срок рассмотрения Банком заявления Заёмщика о предоставлении потребительского Кредита</w:t>
            </w:r>
          </w:p>
        </w:tc>
        <w:tc>
          <w:tcPr>
            <w:tcW w:w="9214" w:type="dxa"/>
            <w:gridSpan w:val="3"/>
            <w:tcBorders>
              <w:top w:val="single" w:sz="4" w:space="0" w:color="auto"/>
              <w:left w:val="nil"/>
              <w:bottom w:val="single" w:sz="4" w:space="0" w:color="auto"/>
              <w:right w:val="single" w:sz="4" w:space="0" w:color="auto"/>
            </w:tcBorders>
            <w:shd w:val="clear" w:color="auto" w:fill="auto"/>
            <w:vAlign w:val="center"/>
            <w:hideMark/>
          </w:tcPr>
          <w:p w14:paraId="61242392" w14:textId="77777777" w:rsidR="00382481" w:rsidRPr="008033EB" w:rsidRDefault="00382481" w:rsidP="00034511">
            <w:pPr>
              <w:widowControl w:val="0"/>
              <w:jc w:val="both"/>
              <w:rPr>
                <w:rFonts w:ascii="Tahoma" w:hAnsi="Tahoma" w:cs="Tahoma"/>
                <w:sz w:val="18"/>
                <w:szCs w:val="18"/>
              </w:rPr>
            </w:pPr>
            <w:r w:rsidRPr="008033EB">
              <w:rPr>
                <w:rFonts w:ascii="Tahoma" w:hAnsi="Tahoma" w:cs="Tahoma"/>
                <w:sz w:val="18"/>
                <w:szCs w:val="18"/>
              </w:rPr>
              <w:t xml:space="preserve">Решение о выдаче Кредита принимается в течение одного рабочего дня с момента предоставления Заемщиком в Банк полного пакета документов. В случае необходимости запроса у Заемщика дополнительных документов решение принимается в индивидуальные сроки, не превышающие 3-х рабочих дней с момента предоставления Заемщиком в Банк полного пакета документов. </w:t>
            </w:r>
          </w:p>
          <w:p w14:paraId="4275800A" w14:textId="77777777" w:rsidR="00382481" w:rsidRPr="008033EB" w:rsidRDefault="00382481" w:rsidP="00034511">
            <w:pPr>
              <w:widowControl w:val="0"/>
              <w:jc w:val="both"/>
              <w:rPr>
                <w:rFonts w:ascii="Tahoma" w:hAnsi="Tahoma" w:cs="Tahoma"/>
                <w:sz w:val="18"/>
                <w:szCs w:val="18"/>
              </w:rPr>
            </w:pPr>
          </w:p>
        </w:tc>
      </w:tr>
      <w:tr w:rsidR="00382481" w:rsidRPr="008033EB" w14:paraId="4C66CF34" w14:textId="77777777" w:rsidTr="00034511">
        <w:trPr>
          <w:trHeight w:val="175"/>
        </w:trPr>
        <w:tc>
          <w:tcPr>
            <w:tcW w:w="623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7EF940DE" w14:textId="77777777" w:rsidR="00382481" w:rsidRPr="008033EB" w:rsidRDefault="00382481" w:rsidP="00034511">
            <w:pPr>
              <w:widowControl w:val="0"/>
              <w:tabs>
                <w:tab w:val="left" w:pos="426"/>
                <w:tab w:val="left" w:pos="851"/>
              </w:tabs>
              <w:rPr>
                <w:rFonts w:ascii="Tahoma" w:hAnsi="Tahoma" w:cs="Tahoma"/>
                <w:b/>
                <w:bCs/>
                <w:sz w:val="18"/>
                <w:szCs w:val="18"/>
              </w:rPr>
            </w:pPr>
            <w:r w:rsidRPr="008033EB">
              <w:rPr>
                <w:rFonts w:ascii="Tahoma" w:hAnsi="Tahoma" w:cs="Tahoma"/>
                <w:b/>
                <w:sz w:val="18"/>
                <w:szCs w:val="18"/>
              </w:rPr>
              <w:t>Требования к Заемщику, которые установлены Кредитором, и выполнение которых является обязательным для предоставления потребительского Кредита</w:t>
            </w:r>
          </w:p>
        </w:tc>
        <w:tc>
          <w:tcPr>
            <w:tcW w:w="9214" w:type="dxa"/>
            <w:gridSpan w:val="3"/>
            <w:tcBorders>
              <w:top w:val="single" w:sz="4" w:space="0" w:color="auto"/>
              <w:left w:val="nil"/>
              <w:bottom w:val="single" w:sz="4" w:space="0" w:color="auto"/>
              <w:right w:val="single" w:sz="4" w:space="0" w:color="auto"/>
            </w:tcBorders>
            <w:shd w:val="clear" w:color="auto" w:fill="auto"/>
            <w:vAlign w:val="center"/>
          </w:tcPr>
          <w:p w14:paraId="3B3A7351" w14:textId="77777777" w:rsidR="00382481" w:rsidRPr="008033EB" w:rsidRDefault="00382481" w:rsidP="00034511">
            <w:pPr>
              <w:widowControl w:val="0"/>
              <w:jc w:val="center"/>
              <w:rPr>
                <w:rFonts w:ascii="Tahoma" w:hAnsi="Tahoma" w:cs="Tahoma"/>
                <w:b/>
                <w:sz w:val="18"/>
                <w:szCs w:val="18"/>
              </w:rPr>
            </w:pPr>
            <w:r w:rsidRPr="008033EB">
              <w:rPr>
                <w:rFonts w:ascii="Tahoma" w:hAnsi="Tahoma" w:cs="Tahoma"/>
                <w:b/>
                <w:sz w:val="18"/>
                <w:szCs w:val="18"/>
              </w:rPr>
              <w:t>Основные</w:t>
            </w:r>
          </w:p>
        </w:tc>
      </w:tr>
      <w:tr w:rsidR="00382481" w:rsidRPr="008033EB" w14:paraId="1030F1F4" w14:textId="77777777" w:rsidTr="00034511">
        <w:tblPrEx>
          <w:tblLook w:val="00A0" w:firstRow="1" w:lastRow="0" w:firstColumn="1" w:lastColumn="0" w:noHBand="0" w:noVBand="0"/>
        </w:tblPrEx>
        <w:trPr>
          <w:trHeight w:val="2304"/>
        </w:trPr>
        <w:tc>
          <w:tcPr>
            <w:tcW w:w="6238"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F27E37F" w14:textId="77777777" w:rsidR="00382481" w:rsidRPr="008033EB" w:rsidRDefault="00382481" w:rsidP="00034511">
            <w:pPr>
              <w:widowControl w:val="0"/>
              <w:tabs>
                <w:tab w:val="left" w:pos="426"/>
                <w:tab w:val="left" w:pos="851"/>
              </w:tabs>
              <w:rPr>
                <w:rFonts w:ascii="Tahoma" w:hAnsi="Tahoma" w:cs="Tahoma"/>
                <w:b/>
                <w:sz w:val="18"/>
                <w:szCs w:val="18"/>
              </w:rPr>
            </w:pPr>
          </w:p>
        </w:tc>
        <w:tc>
          <w:tcPr>
            <w:tcW w:w="9214" w:type="dxa"/>
            <w:gridSpan w:val="3"/>
            <w:tcBorders>
              <w:top w:val="single" w:sz="4" w:space="0" w:color="auto"/>
              <w:left w:val="single" w:sz="4" w:space="0" w:color="auto"/>
              <w:bottom w:val="single" w:sz="4" w:space="0" w:color="auto"/>
              <w:right w:val="single" w:sz="4" w:space="0" w:color="auto"/>
            </w:tcBorders>
            <w:noWrap/>
            <w:vAlign w:val="center"/>
          </w:tcPr>
          <w:p w14:paraId="584F3E4D" w14:textId="77777777" w:rsidR="00382481" w:rsidRPr="008033EB" w:rsidRDefault="00382481" w:rsidP="00382481">
            <w:pPr>
              <w:pStyle w:val="affe"/>
              <w:widowControl w:val="0"/>
              <w:numPr>
                <w:ilvl w:val="0"/>
                <w:numId w:val="164"/>
              </w:numPr>
              <w:contextualSpacing/>
              <w:jc w:val="both"/>
              <w:rPr>
                <w:rFonts w:ascii="Tahoma" w:hAnsi="Tahoma" w:cs="Tahoma"/>
                <w:sz w:val="18"/>
                <w:szCs w:val="18"/>
              </w:rPr>
            </w:pPr>
            <w:r w:rsidRPr="008033EB">
              <w:rPr>
                <w:rFonts w:ascii="Tahoma" w:hAnsi="Tahoma" w:cs="Tahoma"/>
                <w:sz w:val="18"/>
                <w:szCs w:val="18"/>
              </w:rPr>
              <w:t>Гражданство Российской Федерации.</w:t>
            </w:r>
          </w:p>
          <w:p w14:paraId="7315EE88" w14:textId="77777777" w:rsidR="00382481" w:rsidRPr="008033EB" w:rsidRDefault="00382481" w:rsidP="00382481">
            <w:pPr>
              <w:pStyle w:val="affe"/>
              <w:widowControl w:val="0"/>
              <w:numPr>
                <w:ilvl w:val="0"/>
                <w:numId w:val="164"/>
              </w:numPr>
              <w:contextualSpacing/>
              <w:jc w:val="both"/>
              <w:rPr>
                <w:rFonts w:ascii="Tahoma" w:hAnsi="Tahoma" w:cs="Tahoma"/>
                <w:sz w:val="18"/>
                <w:szCs w:val="18"/>
              </w:rPr>
            </w:pPr>
            <w:r w:rsidRPr="008033EB">
              <w:rPr>
                <w:rFonts w:ascii="Tahoma" w:hAnsi="Tahoma" w:cs="Tahoma"/>
                <w:sz w:val="18"/>
                <w:szCs w:val="18"/>
              </w:rPr>
              <w:t>Возраст Заемщика не менее 21 года и не более 70 лет (на момент окончания срока возврата Кредита) включительно</w:t>
            </w:r>
          </w:p>
          <w:p w14:paraId="2B6CBA17" w14:textId="77777777" w:rsidR="00382481" w:rsidRPr="008033EB" w:rsidRDefault="00382481" w:rsidP="00382481">
            <w:pPr>
              <w:pStyle w:val="affe"/>
              <w:widowControl w:val="0"/>
              <w:numPr>
                <w:ilvl w:val="0"/>
                <w:numId w:val="164"/>
              </w:numPr>
              <w:contextualSpacing/>
              <w:jc w:val="both"/>
              <w:rPr>
                <w:rFonts w:ascii="Tahoma" w:hAnsi="Tahoma" w:cs="Tahoma"/>
                <w:sz w:val="18"/>
                <w:szCs w:val="18"/>
              </w:rPr>
            </w:pPr>
            <w:r w:rsidRPr="008033EB">
              <w:rPr>
                <w:rFonts w:ascii="Tahoma" w:hAnsi="Tahoma" w:cs="Tahoma"/>
                <w:sz w:val="18"/>
                <w:szCs w:val="18"/>
              </w:rPr>
              <w:t>Адрес регистрации и фактическое место жительства Заемщика должны находиться на территории, обслуживаемой Банком (ТОБ) (за исключением категории Заемщиков с положительной кредитной историей). Информация о ТОБ размещена на официальном сайте Банка (</w:t>
            </w:r>
            <w:r w:rsidRPr="008033EB">
              <w:rPr>
                <w:rFonts w:ascii="Tahoma" w:hAnsi="Tahoma" w:cs="Tahoma"/>
                <w:sz w:val="18"/>
                <w:szCs w:val="18"/>
                <w:lang w:val="en-US"/>
              </w:rPr>
              <w:t>www</w:t>
            </w:r>
            <w:r w:rsidRPr="008033EB">
              <w:rPr>
                <w:rFonts w:ascii="Tahoma" w:hAnsi="Tahoma" w:cs="Tahoma"/>
                <w:sz w:val="18"/>
                <w:szCs w:val="18"/>
              </w:rPr>
              <w:t>.</w:t>
            </w:r>
            <w:r w:rsidRPr="008033EB">
              <w:rPr>
                <w:rFonts w:ascii="Tahoma" w:hAnsi="Tahoma" w:cs="Tahoma"/>
                <w:sz w:val="18"/>
                <w:szCs w:val="18"/>
                <w:lang w:val="en-US"/>
              </w:rPr>
              <w:t>atb</w:t>
            </w:r>
            <w:r w:rsidRPr="008033EB">
              <w:rPr>
                <w:rFonts w:ascii="Tahoma" w:hAnsi="Tahoma" w:cs="Tahoma"/>
                <w:sz w:val="18"/>
                <w:szCs w:val="18"/>
              </w:rPr>
              <w:t>.</w:t>
            </w:r>
            <w:r w:rsidRPr="008033EB">
              <w:rPr>
                <w:rFonts w:ascii="Tahoma" w:hAnsi="Tahoma" w:cs="Tahoma"/>
                <w:sz w:val="18"/>
                <w:szCs w:val="18"/>
                <w:lang w:val="en-US"/>
              </w:rPr>
              <w:t>su</w:t>
            </w:r>
            <w:r w:rsidRPr="008033EB">
              <w:rPr>
                <w:rFonts w:ascii="Tahoma" w:hAnsi="Tahoma" w:cs="Tahoma"/>
                <w:sz w:val="18"/>
                <w:szCs w:val="18"/>
              </w:rPr>
              <w:t>).</w:t>
            </w:r>
          </w:p>
          <w:p w14:paraId="052BC060" w14:textId="77777777" w:rsidR="00382481" w:rsidRPr="008033EB" w:rsidRDefault="00382481" w:rsidP="00382481">
            <w:pPr>
              <w:pStyle w:val="affe"/>
              <w:widowControl w:val="0"/>
              <w:numPr>
                <w:ilvl w:val="0"/>
                <w:numId w:val="164"/>
              </w:numPr>
              <w:contextualSpacing/>
              <w:jc w:val="both"/>
              <w:rPr>
                <w:rFonts w:ascii="Tahoma" w:hAnsi="Tahoma" w:cs="Tahoma"/>
                <w:sz w:val="18"/>
                <w:szCs w:val="18"/>
              </w:rPr>
            </w:pPr>
            <w:r w:rsidRPr="008033EB">
              <w:rPr>
                <w:rFonts w:ascii="Tahoma" w:hAnsi="Tahoma" w:cs="Tahoma"/>
                <w:sz w:val="18"/>
                <w:szCs w:val="18"/>
              </w:rPr>
              <w:t xml:space="preserve">Заемщик имеет официальное место работы и постоянный источник дохода. </w:t>
            </w:r>
          </w:p>
          <w:p w14:paraId="7A7FE94E" w14:textId="77777777" w:rsidR="00382481" w:rsidRPr="008033EB" w:rsidRDefault="00382481" w:rsidP="00382481">
            <w:pPr>
              <w:pStyle w:val="affe"/>
              <w:widowControl w:val="0"/>
              <w:numPr>
                <w:ilvl w:val="0"/>
                <w:numId w:val="164"/>
              </w:numPr>
              <w:contextualSpacing/>
              <w:jc w:val="both"/>
              <w:rPr>
                <w:rFonts w:ascii="Tahoma" w:hAnsi="Tahoma" w:cs="Tahoma"/>
                <w:sz w:val="18"/>
                <w:szCs w:val="18"/>
                <w:vertAlign w:val="superscript"/>
              </w:rPr>
            </w:pPr>
            <w:r w:rsidRPr="008033EB">
              <w:rPr>
                <w:rFonts w:ascii="Tahoma" w:hAnsi="Tahoma" w:cs="Tahoma"/>
                <w:sz w:val="18"/>
                <w:szCs w:val="18"/>
              </w:rPr>
              <w:t xml:space="preserve">Стаж на последнем месте работы не менее 3 месяцев </w:t>
            </w:r>
          </w:p>
          <w:p w14:paraId="18264BA7" w14:textId="77777777" w:rsidR="00382481" w:rsidRPr="008033EB" w:rsidRDefault="00382481" w:rsidP="00034511">
            <w:pPr>
              <w:pStyle w:val="a9"/>
              <w:widowControl w:val="0"/>
              <w:tabs>
                <w:tab w:val="left" w:pos="-284"/>
                <w:tab w:val="left" w:pos="851"/>
              </w:tabs>
              <w:spacing w:before="0" w:after="0"/>
              <w:jc w:val="left"/>
              <w:rPr>
                <w:rFonts w:ascii="Tahoma" w:hAnsi="Tahoma" w:cs="Tahoma"/>
                <w:i/>
                <w:sz w:val="18"/>
                <w:szCs w:val="18"/>
              </w:rPr>
            </w:pPr>
            <w:r w:rsidRPr="008033EB">
              <w:rPr>
                <w:rFonts w:ascii="Tahoma" w:hAnsi="Tahoma" w:cs="Tahoma"/>
                <w:i/>
                <w:sz w:val="18"/>
                <w:szCs w:val="18"/>
              </w:rPr>
              <w:t>Для Заемщиков, являющихся работающими/неработающими пенсионерами, требования относительно доходов и стажа на последнем месте работы не действуют.</w:t>
            </w:r>
          </w:p>
        </w:tc>
      </w:tr>
      <w:tr w:rsidR="00382481" w:rsidRPr="008033EB" w14:paraId="42A7EDDB" w14:textId="77777777" w:rsidTr="00034511">
        <w:tblPrEx>
          <w:tblLook w:val="00A0" w:firstRow="1" w:lastRow="0" w:firstColumn="1" w:lastColumn="0" w:noHBand="0" w:noVBand="0"/>
        </w:tblPrEx>
        <w:trPr>
          <w:trHeight w:val="666"/>
        </w:trPr>
        <w:tc>
          <w:tcPr>
            <w:tcW w:w="6238" w:type="dxa"/>
            <w:tcBorders>
              <w:top w:val="single" w:sz="4" w:space="0" w:color="auto"/>
              <w:left w:val="single" w:sz="4" w:space="0" w:color="auto"/>
              <w:bottom w:val="single" w:sz="4" w:space="0" w:color="auto"/>
              <w:right w:val="single" w:sz="4" w:space="0" w:color="auto"/>
            </w:tcBorders>
            <w:shd w:val="clear" w:color="auto" w:fill="auto"/>
            <w:vAlign w:val="center"/>
          </w:tcPr>
          <w:p w14:paraId="40BEDE87" w14:textId="77777777" w:rsidR="00382481" w:rsidRPr="008033EB" w:rsidRDefault="00382481" w:rsidP="00034511">
            <w:pPr>
              <w:widowControl w:val="0"/>
              <w:tabs>
                <w:tab w:val="left" w:pos="426"/>
                <w:tab w:val="left" w:pos="851"/>
              </w:tabs>
              <w:jc w:val="both"/>
              <w:rPr>
                <w:rFonts w:ascii="Tahoma" w:hAnsi="Tahoma" w:cs="Tahoma"/>
                <w:b/>
                <w:color w:val="000000"/>
                <w:sz w:val="18"/>
                <w:szCs w:val="18"/>
              </w:rPr>
            </w:pPr>
            <w:r w:rsidRPr="008033EB">
              <w:rPr>
                <w:rFonts w:ascii="Tahoma" w:hAnsi="Tahoma" w:cs="Tahoma"/>
                <w:b/>
                <w:color w:val="000000"/>
                <w:sz w:val="18"/>
                <w:szCs w:val="18"/>
              </w:rPr>
              <w:t>Срок, в течение которого Заемщик вправе отказаться от получения потребительского Кредита</w:t>
            </w:r>
          </w:p>
        </w:tc>
        <w:tc>
          <w:tcPr>
            <w:tcW w:w="9214" w:type="dxa"/>
            <w:gridSpan w:val="3"/>
            <w:tcBorders>
              <w:top w:val="single" w:sz="4" w:space="0" w:color="auto"/>
              <w:left w:val="single" w:sz="4" w:space="0" w:color="auto"/>
              <w:bottom w:val="single" w:sz="4" w:space="0" w:color="auto"/>
              <w:right w:val="single" w:sz="4" w:space="0" w:color="auto"/>
            </w:tcBorders>
            <w:noWrap/>
            <w:vAlign w:val="center"/>
          </w:tcPr>
          <w:p w14:paraId="756BC66B" w14:textId="77777777" w:rsidR="00382481" w:rsidRPr="008033EB" w:rsidRDefault="00382481" w:rsidP="00034511">
            <w:pPr>
              <w:widowControl w:val="0"/>
              <w:tabs>
                <w:tab w:val="left" w:pos="426"/>
                <w:tab w:val="left" w:pos="851"/>
              </w:tabs>
              <w:jc w:val="both"/>
              <w:rPr>
                <w:rFonts w:ascii="Tahoma" w:hAnsi="Tahoma" w:cs="Tahoma"/>
                <w:color w:val="000000"/>
                <w:sz w:val="18"/>
                <w:szCs w:val="18"/>
              </w:rPr>
            </w:pPr>
            <w:r w:rsidRPr="008033EB">
              <w:rPr>
                <w:rFonts w:ascii="Tahoma" w:hAnsi="Tahoma" w:cs="Tahoma"/>
                <w:color w:val="000000"/>
                <w:sz w:val="18"/>
                <w:szCs w:val="18"/>
              </w:rPr>
              <w:t xml:space="preserve">Заемщик вправе отказаться от получения потребительского Кредита полностью или частично, уведомив об этом Банк до истечения установленного Договором срока его предоставления. </w:t>
            </w:r>
          </w:p>
        </w:tc>
      </w:tr>
      <w:tr w:rsidR="00382481" w:rsidRPr="008033EB" w14:paraId="4F7A5E08" w14:textId="77777777" w:rsidTr="00034511">
        <w:tblPrEx>
          <w:tblLook w:val="00A0" w:firstRow="1" w:lastRow="0" w:firstColumn="1" w:lastColumn="0" w:noHBand="0" w:noVBand="0"/>
        </w:tblPrEx>
        <w:trPr>
          <w:trHeight w:val="448"/>
        </w:trPr>
        <w:tc>
          <w:tcPr>
            <w:tcW w:w="6238" w:type="dxa"/>
            <w:tcBorders>
              <w:top w:val="single" w:sz="4" w:space="0" w:color="auto"/>
              <w:left w:val="single" w:sz="4" w:space="0" w:color="auto"/>
              <w:bottom w:val="single" w:sz="4" w:space="0" w:color="auto"/>
              <w:right w:val="single" w:sz="4" w:space="0" w:color="auto"/>
            </w:tcBorders>
            <w:shd w:val="clear" w:color="auto" w:fill="auto"/>
            <w:vAlign w:val="center"/>
          </w:tcPr>
          <w:p w14:paraId="3F5CD57B" w14:textId="77777777" w:rsidR="00382481" w:rsidRPr="008033EB" w:rsidRDefault="00382481" w:rsidP="00034511">
            <w:pPr>
              <w:widowControl w:val="0"/>
              <w:ind w:right="-107"/>
              <w:jc w:val="both"/>
              <w:rPr>
                <w:rFonts w:ascii="Tahoma" w:hAnsi="Tahoma" w:cs="Tahoma"/>
                <w:b/>
                <w:bCs/>
                <w:color w:val="000000" w:themeColor="text1"/>
                <w:sz w:val="18"/>
                <w:szCs w:val="18"/>
              </w:rPr>
            </w:pPr>
            <w:r w:rsidRPr="008033EB">
              <w:rPr>
                <w:rFonts w:ascii="Tahoma" w:hAnsi="Tahoma" w:cs="Tahoma"/>
                <w:b/>
                <w:bCs/>
                <w:color w:val="000000" w:themeColor="text1"/>
                <w:sz w:val="18"/>
                <w:szCs w:val="18"/>
              </w:rPr>
              <w:t>Срок действия решения о предоставлении Кредита</w:t>
            </w:r>
          </w:p>
        </w:tc>
        <w:tc>
          <w:tcPr>
            <w:tcW w:w="9214" w:type="dxa"/>
            <w:gridSpan w:val="3"/>
            <w:tcBorders>
              <w:top w:val="single" w:sz="4" w:space="0" w:color="auto"/>
              <w:left w:val="single" w:sz="4" w:space="0" w:color="auto"/>
              <w:bottom w:val="single" w:sz="4" w:space="0" w:color="auto"/>
              <w:right w:val="single" w:sz="4" w:space="0" w:color="auto"/>
            </w:tcBorders>
            <w:noWrap/>
            <w:vAlign w:val="center"/>
          </w:tcPr>
          <w:p w14:paraId="6776B13D" w14:textId="77777777" w:rsidR="00382481" w:rsidRPr="008033EB" w:rsidRDefault="00382481" w:rsidP="00034511">
            <w:pPr>
              <w:widowControl w:val="0"/>
              <w:jc w:val="both"/>
              <w:rPr>
                <w:rFonts w:ascii="Tahoma" w:hAnsi="Tahoma" w:cs="Tahoma"/>
                <w:color w:val="000000" w:themeColor="text1"/>
                <w:sz w:val="18"/>
                <w:szCs w:val="18"/>
              </w:rPr>
            </w:pPr>
            <w:r w:rsidRPr="008033EB">
              <w:rPr>
                <w:rFonts w:ascii="Tahoma" w:hAnsi="Tahoma" w:cs="Tahoma"/>
                <w:color w:val="000000" w:themeColor="text1"/>
                <w:sz w:val="18"/>
                <w:szCs w:val="18"/>
              </w:rPr>
              <w:t>30 календарных дней с даты принятия Банком решения</w:t>
            </w:r>
          </w:p>
        </w:tc>
      </w:tr>
      <w:tr w:rsidR="00382481" w:rsidRPr="008033EB" w14:paraId="614B027A" w14:textId="77777777" w:rsidTr="00034511">
        <w:tblPrEx>
          <w:tblLook w:val="00A0" w:firstRow="1" w:lastRow="0" w:firstColumn="1" w:lastColumn="0" w:noHBand="0" w:noVBand="0"/>
        </w:tblPrEx>
        <w:trPr>
          <w:trHeight w:val="666"/>
        </w:trPr>
        <w:tc>
          <w:tcPr>
            <w:tcW w:w="6238" w:type="dxa"/>
            <w:tcBorders>
              <w:top w:val="single" w:sz="4" w:space="0" w:color="auto"/>
              <w:left w:val="single" w:sz="4" w:space="0" w:color="auto"/>
              <w:bottom w:val="single" w:sz="4" w:space="0" w:color="auto"/>
              <w:right w:val="single" w:sz="4" w:space="0" w:color="auto"/>
            </w:tcBorders>
            <w:shd w:val="clear" w:color="auto" w:fill="auto"/>
            <w:vAlign w:val="center"/>
          </w:tcPr>
          <w:p w14:paraId="24762FD3" w14:textId="77777777" w:rsidR="00382481" w:rsidRPr="008033EB" w:rsidRDefault="00382481" w:rsidP="00034511">
            <w:pPr>
              <w:widowControl w:val="0"/>
              <w:tabs>
                <w:tab w:val="left" w:pos="426"/>
                <w:tab w:val="left" w:pos="851"/>
              </w:tabs>
              <w:jc w:val="both"/>
              <w:rPr>
                <w:rFonts w:ascii="Tahoma" w:hAnsi="Tahoma" w:cs="Tahoma"/>
                <w:b/>
                <w:color w:val="000000"/>
                <w:sz w:val="18"/>
                <w:szCs w:val="18"/>
              </w:rPr>
            </w:pPr>
            <w:r w:rsidRPr="008033EB">
              <w:rPr>
                <w:rFonts w:ascii="Tahoma" w:hAnsi="Tahoma" w:cs="Tahoma"/>
                <w:b/>
                <w:color w:val="000000"/>
                <w:sz w:val="18"/>
                <w:szCs w:val="18"/>
              </w:rPr>
              <w:t xml:space="preserve">Способ предоставления потребительского Кредита </w:t>
            </w:r>
          </w:p>
        </w:tc>
        <w:tc>
          <w:tcPr>
            <w:tcW w:w="9214" w:type="dxa"/>
            <w:gridSpan w:val="3"/>
            <w:tcBorders>
              <w:top w:val="single" w:sz="4" w:space="0" w:color="auto"/>
              <w:left w:val="single" w:sz="4" w:space="0" w:color="auto"/>
              <w:bottom w:val="single" w:sz="4" w:space="0" w:color="auto"/>
              <w:right w:val="single" w:sz="4" w:space="0" w:color="auto"/>
            </w:tcBorders>
            <w:noWrap/>
            <w:vAlign w:val="center"/>
          </w:tcPr>
          <w:p w14:paraId="6515801A" w14:textId="77777777" w:rsidR="00382481" w:rsidRPr="008033EB" w:rsidRDefault="00382481" w:rsidP="00034511">
            <w:pPr>
              <w:widowControl w:val="0"/>
              <w:tabs>
                <w:tab w:val="left" w:pos="426"/>
                <w:tab w:val="left" w:pos="851"/>
              </w:tabs>
              <w:jc w:val="both"/>
              <w:rPr>
                <w:rFonts w:ascii="Tahoma" w:hAnsi="Tahoma" w:cs="Tahoma"/>
                <w:color w:val="000000"/>
                <w:sz w:val="18"/>
                <w:szCs w:val="18"/>
              </w:rPr>
            </w:pPr>
            <w:r w:rsidRPr="008033EB">
              <w:rPr>
                <w:rFonts w:ascii="Tahoma" w:hAnsi="Tahoma" w:cs="Tahoma"/>
                <w:color w:val="000000"/>
                <w:sz w:val="18"/>
                <w:szCs w:val="18"/>
              </w:rPr>
              <w:t xml:space="preserve">Зачисление в безналичном порядке на открытый в Банке ТБС Заемщика. </w:t>
            </w:r>
          </w:p>
          <w:p w14:paraId="04E0461B" w14:textId="77777777" w:rsidR="00382481" w:rsidRPr="008033EB" w:rsidRDefault="00382481" w:rsidP="00034511">
            <w:pPr>
              <w:widowControl w:val="0"/>
              <w:tabs>
                <w:tab w:val="left" w:pos="426"/>
                <w:tab w:val="left" w:pos="851"/>
              </w:tabs>
              <w:jc w:val="both"/>
              <w:rPr>
                <w:rFonts w:ascii="Tahoma" w:hAnsi="Tahoma" w:cs="Tahoma"/>
                <w:color w:val="000000"/>
                <w:sz w:val="18"/>
                <w:szCs w:val="18"/>
              </w:rPr>
            </w:pPr>
            <w:r w:rsidRPr="008033EB">
              <w:rPr>
                <w:rFonts w:ascii="Tahoma" w:hAnsi="Tahoma" w:cs="Tahoma"/>
                <w:color w:val="000000"/>
                <w:sz w:val="18"/>
                <w:szCs w:val="18"/>
              </w:rPr>
              <w:t>При желании Заемщика получить потребительский Кредит с использованием электронного средства платежа банковской (платежной) карты</w:t>
            </w:r>
            <w:r w:rsidRPr="008033EB">
              <w:rPr>
                <w:rFonts w:ascii="Tahoma" w:hAnsi="Tahoma" w:cs="Tahoma"/>
                <w:b/>
                <w:color w:val="000000"/>
                <w:sz w:val="18"/>
                <w:szCs w:val="18"/>
                <w:vertAlign w:val="superscript"/>
              </w:rPr>
              <w:t>****</w:t>
            </w:r>
            <w:r w:rsidRPr="008033EB">
              <w:rPr>
                <w:rFonts w:ascii="Tahoma" w:hAnsi="Tahoma" w:cs="Tahoma"/>
                <w:color w:val="000000"/>
                <w:sz w:val="18"/>
                <w:szCs w:val="18"/>
              </w:rPr>
              <w:t xml:space="preserve"> он вправе подать в Банк заявление об этом на бумажном носителе.</w:t>
            </w:r>
          </w:p>
          <w:p w14:paraId="2AEE396D" w14:textId="77777777" w:rsidR="00382481" w:rsidRPr="008033EB" w:rsidRDefault="00382481" w:rsidP="00034511">
            <w:pPr>
              <w:widowControl w:val="0"/>
              <w:tabs>
                <w:tab w:val="left" w:pos="426"/>
                <w:tab w:val="left" w:pos="851"/>
              </w:tabs>
              <w:jc w:val="both"/>
              <w:rPr>
                <w:rFonts w:ascii="Tahoma" w:hAnsi="Tahoma" w:cs="Tahoma"/>
                <w:color w:val="000000"/>
                <w:sz w:val="18"/>
                <w:szCs w:val="18"/>
              </w:rPr>
            </w:pPr>
            <w:r w:rsidRPr="008033EB">
              <w:rPr>
                <w:rFonts w:ascii="Tahoma" w:hAnsi="Tahoma" w:cs="Tahoma"/>
                <w:color w:val="000000"/>
                <w:sz w:val="18"/>
                <w:szCs w:val="18"/>
              </w:rPr>
              <w:t>Применимо при оформлении Кредита в мобильном приложении:</w:t>
            </w:r>
          </w:p>
          <w:p w14:paraId="101DC63E" w14:textId="77777777" w:rsidR="00382481" w:rsidRPr="008033EB" w:rsidRDefault="00382481" w:rsidP="00034511">
            <w:pPr>
              <w:widowControl w:val="0"/>
              <w:tabs>
                <w:tab w:val="left" w:pos="426"/>
                <w:tab w:val="left" w:pos="851"/>
              </w:tabs>
              <w:jc w:val="both"/>
              <w:rPr>
                <w:rFonts w:ascii="Tahoma" w:hAnsi="Tahoma" w:cs="Tahoma"/>
                <w:color w:val="000000"/>
                <w:sz w:val="18"/>
                <w:szCs w:val="18"/>
              </w:rPr>
            </w:pPr>
            <w:r w:rsidRPr="008033EB">
              <w:rPr>
                <w:rFonts w:ascii="Tahoma" w:hAnsi="Tahoma" w:cs="Tahoma"/>
                <w:color w:val="000000"/>
                <w:sz w:val="18"/>
                <w:szCs w:val="18"/>
              </w:rPr>
              <w:t xml:space="preserve">зачисление денежных средств на открытый в Банке СКС Цифровой карты Заемщика. </w:t>
            </w:r>
          </w:p>
        </w:tc>
      </w:tr>
      <w:tr w:rsidR="00382481" w:rsidRPr="008033EB" w14:paraId="77EF5D65" w14:textId="77777777" w:rsidTr="00034511">
        <w:tblPrEx>
          <w:tblLook w:val="00A0" w:firstRow="1" w:lastRow="0" w:firstColumn="1" w:lastColumn="0" w:noHBand="0" w:noVBand="0"/>
        </w:tblPrEx>
        <w:trPr>
          <w:trHeight w:val="666"/>
        </w:trPr>
        <w:tc>
          <w:tcPr>
            <w:tcW w:w="6238" w:type="dxa"/>
            <w:tcBorders>
              <w:top w:val="single" w:sz="4" w:space="0" w:color="auto"/>
              <w:left w:val="single" w:sz="4" w:space="0" w:color="auto"/>
              <w:bottom w:val="single" w:sz="4" w:space="0" w:color="auto"/>
              <w:right w:val="single" w:sz="4" w:space="0" w:color="auto"/>
            </w:tcBorders>
            <w:shd w:val="clear" w:color="auto" w:fill="auto"/>
            <w:vAlign w:val="center"/>
          </w:tcPr>
          <w:p w14:paraId="15AAE6E1" w14:textId="77777777" w:rsidR="00382481" w:rsidRPr="008033EB" w:rsidRDefault="00382481" w:rsidP="00034511">
            <w:pPr>
              <w:widowControl w:val="0"/>
              <w:tabs>
                <w:tab w:val="left" w:pos="426"/>
                <w:tab w:val="left" w:pos="851"/>
              </w:tabs>
              <w:jc w:val="both"/>
              <w:rPr>
                <w:rFonts w:ascii="Tahoma" w:hAnsi="Tahoma" w:cs="Tahoma"/>
                <w:b/>
                <w:color w:val="000000"/>
                <w:sz w:val="18"/>
                <w:szCs w:val="18"/>
              </w:rPr>
            </w:pPr>
            <w:r w:rsidRPr="008033EB">
              <w:rPr>
                <w:rFonts w:ascii="Tahoma" w:hAnsi="Tahoma" w:cs="Tahoma"/>
                <w:b/>
                <w:color w:val="000000"/>
                <w:sz w:val="18"/>
                <w:szCs w:val="18"/>
              </w:rPr>
              <w:t>Иные договоры, требуемые для заключения или исполнения Договора, а также информация о возможности заемщика согласиться с заключением таких договоров и (или) приобретением таких услуг (работ, товаров) либо отказаться от них.</w:t>
            </w:r>
          </w:p>
        </w:tc>
        <w:tc>
          <w:tcPr>
            <w:tcW w:w="9214" w:type="dxa"/>
            <w:gridSpan w:val="3"/>
            <w:tcBorders>
              <w:top w:val="single" w:sz="4" w:space="0" w:color="auto"/>
              <w:left w:val="single" w:sz="4" w:space="0" w:color="auto"/>
              <w:bottom w:val="single" w:sz="4" w:space="0" w:color="auto"/>
              <w:right w:val="single" w:sz="4" w:space="0" w:color="auto"/>
            </w:tcBorders>
            <w:noWrap/>
            <w:vAlign w:val="center"/>
          </w:tcPr>
          <w:p w14:paraId="5867F012" w14:textId="77777777" w:rsidR="00382481" w:rsidRPr="008033EB" w:rsidRDefault="00382481" w:rsidP="00034511">
            <w:pPr>
              <w:widowControl w:val="0"/>
              <w:tabs>
                <w:tab w:val="left" w:pos="426"/>
                <w:tab w:val="left" w:pos="851"/>
              </w:tabs>
              <w:jc w:val="both"/>
              <w:rPr>
                <w:rFonts w:ascii="Tahoma" w:hAnsi="Tahoma" w:cs="Tahoma"/>
                <w:color w:val="000000"/>
                <w:sz w:val="18"/>
                <w:szCs w:val="18"/>
              </w:rPr>
            </w:pPr>
            <w:r w:rsidRPr="008033EB">
              <w:rPr>
                <w:rFonts w:ascii="Tahoma" w:hAnsi="Tahoma" w:cs="Tahoma"/>
                <w:color w:val="000000"/>
                <w:sz w:val="18"/>
                <w:szCs w:val="18"/>
              </w:rPr>
              <w:t>Заключение между Сторонами договора банковского счета (на основании которого Заемщику Банком открывается ТБС), элементы которого включены в Договор, либо заключение Договора Карты (на основании которого Заемщику открывается Цифровая карта и денежные средства зачисляются на СКС), заключение (путем присоединения) УДБО, содержащего Общие условия.</w:t>
            </w:r>
          </w:p>
          <w:p w14:paraId="2671D46F" w14:textId="77777777" w:rsidR="00382481" w:rsidRPr="008033EB" w:rsidRDefault="00382481" w:rsidP="00034511">
            <w:pPr>
              <w:widowControl w:val="0"/>
              <w:tabs>
                <w:tab w:val="left" w:pos="426"/>
                <w:tab w:val="left" w:pos="851"/>
              </w:tabs>
              <w:jc w:val="both"/>
              <w:rPr>
                <w:rFonts w:ascii="Tahoma" w:hAnsi="Tahoma" w:cs="Tahoma"/>
                <w:color w:val="000000"/>
                <w:sz w:val="18"/>
                <w:szCs w:val="18"/>
              </w:rPr>
            </w:pPr>
            <w:r w:rsidRPr="008033EB">
              <w:rPr>
                <w:rFonts w:ascii="Tahoma" w:hAnsi="Tahoma" w:cs="Tahoma"/>
                <w:color w:val="000000"/>
                <w:sz w:val="18"/>
                <w:szCs w:val="18"/>
              </w:rPr>
              <w:t>Если при оформлении Договора Заемщику предлагаются иные дополнительные услуги (работы, товары), приобретение которых не является обязательным в силу закона, Заемщик вправе отказаться от их приобретения.</w:t>
            </w:r>
          </w:p>
        </w:tc>
      </w:tr>
      <w:tr w:rsidR="00382481" w:rsidRPr="008033EB" w14:paraId="6A4DEE13" w14:textId="77777777" w:rsidTr="00034511">
        <w:tblPrEx>
          <w:tblLook w:val="00A0" w:firstRow="1" w:lastRow="0" w:firstColumn="1" w:lastColumn="0" w:noHBand="0" w:noVBand="0"/>
        </w:tblPrEx>
        <w:trPr>
          <w:trHeight w:val="666"/>
        </w:trPr>
        <w:tc>
          <w:tcPr>
            <w:tcW w:w="6238" w:type="dxa"/>
            <w:tcBorders>
              <w:top w:val="single" w:sz="4" w:space="0" w:color="auto"/>
              <w:left w:val="single" w:sz="4" w:space="0" w:color="auto"/>
              <w:bottom w:val="single" w:sz="4" w:space="0" w:color="auto"/>
              <w:right w:val="single" w:sz="4" w:space="0" w:color="auto"/>
            </w:tcBorders>
            <w:shd w:val="clear" w:color="auto" w:fill="auto"/>
            <w:vAlign w:val="center"/>
          </w:tcPr>
          <w:p w14:paraId="34DED8F0" w14:textId="77777777" w:rsidR="00382481" w:rsidRPr="008033EB" w:rsidRDefault="00382481" w:rsidP="00034511">
            <w:pPr>
              <w:widowControl w:val="0"/>
              <w:ind w:right="-108"/>
              <w:jc w:val="both"/>
              <w:rPr>
                <w:rFonts w:ascii="Tahoma" w:hAnsi="Tahoma" w:cs="Tahoma"/>
                <w:b/>
                <w:bCs/>
                <w:sz w:val="18"/>
                <w:szCs w:val="18"/>
              </w:rPr>
            </w:pPr>
            <w:r w:rsidRPr="008033EB">
              <w:rPr>
                <w:rFonts w:ascii="Tahoma" w:hAnsi="Tahoma" w:cs="Tahoma"/>
                <w:b/>
                <w:sz w:val="18"/>
                <w:szCs w:val="18"/>
              </w:rPr>
              <w:t>Дата, начиная с которой начисляются проценты за пользование Кредитом, или порядок ее определения</w:t>
            </w:r>
          </w:p>
        </w:tc>
        <w:tc>
          <w:tcPr>
            <w:tcW w:w="9214" w:type="dxa"/>
            <w:gridSpan w:val="3"/>
            <w:tcBorders>
              <w:top w:val="single" w:sz="4" w:space="0" w:color="auto"/>
              <w:left w:val="single" w:sz="4" w:space="0" w:color="auto"/>
              <w:bottom w:val="single" w:sz="4" w:space="0" w:color="auto"/>
              <w:right w:val="single" w:sz="4" w:space="0" w:color="auto"/>
            </w:tcBorders>
            <w:noWrap/>
            <w:vAlign w:val="center"/>
          </w:tcPr>
          <w:p w14:paraId="643542BB" w14:textId="77777777" w:rsidR="00382481" w:rsidRPr="008033EB" w:rsidRDefault="00382481" w:rsidP="00034511">
            <w:pPr>
              <w:widowControl w:val="0"/>
              <w:jc w:val="both"/>
              <w:rPr>
                <w:rFonts w:ascii="Tahoma" w:hAnsi="Tahoma" w:cs="Tahoma"/>
                <w:sz w:val="18"/>
                <w:szCs w:val="18"/>
              </w:rPr>
            </w:pPr>
            <w:r w:rsidRPr="008033EB">
              <w:rPr>
                <w:rFonts w:ascii="Tahoma" w:hAnsi="Tahoma" w:cs="Tahoma"/>
                <w:sz w:val="18"/>
                <w:szCs w:val="18"/>
              </w:rPr>
              <w:t>Дата, следующая за датой выдачи Заёмщику Кредита</w:t>
            </w:r>
          </w:p>
        </w:tc>
      </w:tr>
      <w:tr w:rsidR="00382481" w:rsidRPr="008033EB" w14:paraId="7FD0136A" w14:textId="77777777" w:rsidTr="00034511">
        <w:tblPrEx>
          <w:tblLook w:val="00A0" w:firstRow="1" w:lastRow="0" w:firstColumn="1" w:lastColumn="0" w:noHBand="0" w:noVBand="0"/>
        </w:tblPrEx>
        <w:trPr>
          <w:trHeight w:val="666"/>
        </w:trPr>
        <w:tc>
          <w:tcPr>
            <w:tcW w:w="6238" w:type="dxa"/>
            <w:tcBorders>
              <w:top w:val="single" w:sz="4" w:space="0" w:color="auto"/>
              <w:left w:val="single" w:sz="4" w:space="0" w:color="auto"/>
              <w:bottom w:val="single" w:sz="4" w:space="0" w:color="auto"/>
              <w:right w:val="single" w:sz="4" w:space="0" w:color="auto"/>
            </w:tcBorders>
            <w:shd w:val="clear" w:color="auto" w:fill="auto"/>
          </w:tcPr>
          <w:p w14:paraId="4AB34F8E" w14:textId="77777777" w:rsidR="00382481" w:rsidRPr="008033EB" w:rsidRDefault="00382481" w:rsidP="00034511">
            <w:pPr>
              <w:widowControl w:val="0"/>
              <w:ind w:right="-108"/>
              <w:jc w:val="both"/>
              <w:rPr>
                <w:rFonts w:ascii="Tahoma" w:hAnsi="Tahoma" w:cs="Tahoma"/>
                <w:b/>
                <w:sz w:val="18"/>
                <w:szCs w:val="18"/>
              </w:rPr>
            </w:pPr>
            <w:r w:rsidRPr="008033EB">
              <w:rPr>
                <w:rFonts w:ascii="Tahoma" w:hAnsi="Tahoma" w:cs="Tahoma"/>
                <w:b/>
                <w:sz w:val="18"/>
                <w:szCs w:val="18"/>
              </w:rPr>
              <w:t>Периодичность платежей Заемщика при возврате потребительского Кредита, уплате процентов и иных платежей по Кредиту</w:t>
            </w:r>
          </w:p>
        </w:tc>
        <w:tc>
          <w:tcPr>
            <w:tcW w:w="9214" w:type="dxa"/>
            <w:gridSpan w:val="3"/>
            <w:tcBorders>
              <w:top w:val="single" w:sz="4" w:space="0" w:color="auto"/>
              <w:left w:val="single" w:sz="4" w:space="0" w:color="auto"/>
              <w:bottom w:val="single" w:sz="4" w:space="0" w:color="auto"/>
              <w:right w:val="single" w:sz="4" w:space="0" w:color="auto"/>
            </w:tcBorders>
            <w:noWrap/>
          </w:tcPr>
          <w:p w14:paraId="5BFFCFB4" w14:textId="77777777" w:rsidR="00382481" w:rsidRPr="008033EB" w:rsidRDefault="00382481" w:rsidP="00034511">
            <w:pPr>
              <w:widowControl w:val="0"/>
              <w:jc w:val="both"/>
              <w:rPr>
                <w:rFonts w:ascii="Tahoma" w:hAnsi="Tahoma" w:cs="Tahoma"/>
                <w:sz w:val="18"/>
                <w:szCs w:val="18"/>
              </w:rPr>
            </w:pPr>
            <w:r w:rsidRPr="008033EB">
              <w:rPr>
                <w:rFonts w:ascii="Tahoma" w:hAnsi="Tahoma" w:cs="Tahoma"/>
                <w:sz w:val="18"/>
                <w:szCs w:val="18"/>
              </w:rPr>
              <w:t xml:space="preserve">Ежемесячно </w:t>
            </w:r>
          </w:p>
        </w:tc>
      </w:tr>
      <w:tr w:rsidR="00382481" w:rsidRPr="008033EB" w14:paraId="05395642" w14:textId="77777777" w:rsidTr="00034511">
        <w:tblPrEx>
          <w:tblLook w:val="00A0" w:firstRow="1" w:lastRow="0" w:firstColumn="1" w:lastColumn="0" w:noHBand="0" w:noVBand="0"/>
        </w:tblPrEx>
        <w:trPr>
          <w:trHeight w:val="666"/>
        </w:trPr>
        <w:tc>
          <w:tcPr>
            <w:tcW w:w="6238" w:type="dxa"/>
            <w:tcBorders>
              <w:top w:val="single" w:sz="4" w:space="0" w:color="auto"/>
              <w:left w:val="single" w:sz="4" w:space="0" w:color="auto"/>
              <w:bottom w:val="single" w:sz="4" w:space="0" w:color="auto"/>
              <w:right w:val="single" w:sz="4" w:space="0" w:color="auto"/>
            </w:tcBorders>
            <w:shd w:val="clear" w:color="auto" w:fill="auto"/>
            <w:vAlign w:val="center"/>
          </w:tcPr>
          <w:p w14:paraId="6C85C057" w14:textId="77777777" w:rsidR="00382481" w:rsidRPr="008033EB" w:rsidRDefault="00382481" w:rsidP="00034511">
            <w:pPr>
              <w:widowControl w:val="0"/>
              <w:tabs>
                <w:tab w:val="left" w:pos="426"/>
                <w:tab w:val="left" w:pos="851"/>
              </w:tabs>
              <w:jc w:val="both"/>
              <w:rPr>
                <w:rFonts w:ascii="Tahoma" w:hAnsi="Tahoma" w:cs="Tahoma"/>
                <w:b/>
                <w:color w:val="000000"/>
                <w:sz w:val="18"/>
                <w:szCs w:val="18"/>
              </w:rPr>
            </w:pPr>
            <w:r w:rsidRPr="008033EB">
              <w:rPr>
                <w:rFonts w:ascii="Tahoma" w:hAnsi="Tahoma" w:cs="Tahoma"/>
                <w:b/>
                <w:color w:val="000000"/>
                <w:sz w:val="18"/>
                <w:szCs w:val="18"/>
              </w:rPr>
              <w:t>Бесплатный способ исполнения Заемщиком обязательств по Договору</w:t>
            </w:r>
          </w:p>
        </w:tc>
        <w:tc>
          <w:tcPr>
            <w:tcW w:w="9214" w:type="dxa"/>
            <w:gridSpan w:val="3"/>
            <w:tcBorders>
              <w:top w:val="single" w:sz="4" w:space="0" w:color="auto"/>
              <w:left w:val="single" w:sz="4" w:space="0" w:color="auto"/>
              <w:bottom w:val="single" w:sz="4" w:space="0" w:color="auto"/>
              <w:right w:val="single" w:sz="4" w:space="0" w:color="auto"/>
            </w:tcBorders>
            <w:noWrap/>
            <w:vAlign w:val="center"/>
          </w:tcPr>
          <w:p w14:paraId="6230CD1A" w14:textId="77777777" w:rsidR="00382481" w:rsidRPr="008033EB" w:rsidRDefault="00382481" w:rsidP="00034511">
            <w:pPr>
              <w:widowControl w:val="0"/>
              <w:tabs>
                <w:tab w:val="left" w:pos="426"/>
                <w:tab w:val="left" w:pos="851"/>
              </w:tabs>
              <w:jc w:val="both"/>
              <w:rPr>
                <w:rFonts w:ascii="Tahoma" w:hAnsi="Tahoma" w:cs="Tahoma"/>
                <w:color w:val="000000"/>
                <w:sz w:val="18"/>
                <w:szCs w:val="18"/>
              </w:rPr>
            </w:pPr>
            <w:r w:rsidRPr="008033EB">
              <w:rPr>
                <w:rFonts w:ascii="Tahoma" w:hAnsi="Tahoma" w:cs="Tahoma"/>
                <w:sz w:val="18"/>
                <w:szCs w:val="18"/>
              </w:rPr>
              <w:t>Внесение денежных средств на ТБС/СКС через терминалы самообслуживания Банка, перевод через работодателя Заемщика, перевод со счёта в Банке на ТБС/СКС Заемщика.</w:t>
            </w:r>
          </w:p>
        </w:tc>
      </w:tr>
      <w:tr w:rsidR="00382481" w:rsidRPr="008033EB" w14:paraId="2311372A" w14:textId="77777777" w:rsidTr="00034511">
        <w:tblPrEx>
          <w:tblLook w:val="00A0" w:firstRow="1" w:lastRow="0" w:firstColumn="1" w:lastColumn="0" w:noHBand="0" w:noVBand="0"/>
        </w:tblPrEx>
        <w:trPr>
          <w:trHeight w:val="416"/>
        </w:trPr>
        <w:tc>
          <w:tcPr>
            <w:tcW w:w="6238" w:type="dxa"/>
            <w:tcBorders>
              <w:top w:val="single" w:sz="4" w:space="0" w:color="auto"/>
              <w:left w:val="single" w:sz="4" w:space="0" w:color="auto"/>
              <w:bottom w:val="single" w:sz="4" w:space="0" w:color="auto"/>
              <w:right w:val="single" w:sz="4" w:space="0" w:color="auto"/>
            </w:tcBorders>
            <w:shd w:val="clear" w:color="auto" w:fill="auto"/>
            <w:vAlign w:val="center"/>
          </w:tcPr>
          <w:p w14:paraId="03AEE677" w14:textId="77777777" w:rsidR="00382481" w:rsidRPr="008033EB" w:rsidRDefault="00382481" w:rsidP="00034511">
            <w:pPr>
              <w:widowControl w:val="0"/>
              <w:tabs>
                <w:tab w:val="left" w:pos="426"/>
                <w:tab w:val="left" w:pos="851"/>
              </w:tabs>
              <w:jc w:val="both"/>
              <w:rPr>
                <w:rFonts w:ascii="Tahoma" w:hAnsi="Tahoma" w:cs="Tahoma"/>
                <w:b/>
                <w:color w:val="000000"/>
                <w:sz w:val="18"/>
                <w:szCs w:val="18"/>
              </w:rPr>
            </w:pPr>
            <w:r w:rsidRPr="008033EB">
              <w:rPr>
                <w:rFonts w:ascii="Tahoma" w:hAnsi="Tahoma" w:cs="Tahoma"/>
                <w:b/>
                <w:color w:val="000000"/>
                <w:sz w:val="18"/>
                <w:szCs w:val="18"/>
              </w:rPr>
              <w:t>Способы обеспечения исполнения обязательств по Договору «Потребительский кредит»</w:t>
            </w:r>
          </w:p>
        </w:tc>
        <w:tc>
          <w:tcPr>
            <w:tcW w:w="9214" w:type="dxa"/>
            <w:gridSpan w:val="3"/>
            <w:tcBorders>
              <w:top w:val="single" w:sz="4" w:space="0" w:color="auto"/>
              <w:left w:val="single" w:sz="4" w:space="0" w:color="auto"/>
              <w:bottom w:val="single" w:sz="4" w:space="0" w:color="auto"/>
              <w:right w:val="single" w:sz="4" w:space="0" w:color="auto"/>
            </w:tcBorders>
            <w:noWrap/>
            <w:vAlign w:val="center"/>
          </w:tcPr>
          <w:p w14:paraId="67CC1774" w14:textId="77777777" w:rsidR="00382481" w:rsidRPr="008033EB" w:rsidRDefault="00382481" w:rsidP="00034511">
            <w:pPr>
              <w:widowControl w:val="0"/>
              <w:tabs>
                <w:tab w:val="left" w:pos="426"/>
                <w:tab w:val="left" w:pos="851"/>
              </w:tabs>
              <w:jc w:val="both"/>
              <w:rPr>
                <w:rFonts w:ascii="Tahoma" w:hAnsi="Tahoma" w:cs="Tahoma"/>
                <w:sz w:val="18"/>
                <w:szCs w:val="18"/>
              </w:rPr>
            </w:pPr>
            <w:r w:rsidRPr="008033EB">
              <w:rPr>
                <w:rFonts w:ascii="Tahoma" w:hAnsi="Tahoma" w:cs="Tahoma"/>
                <w:sz w:val="18"/>
                <w:szCs w:val="18"/>
              </w:rPr>
              <w:t xml:space="preserve">Неустойка (штраф, пеня). В случае нарушения обязательств по Договору с Заемщика может быть взыскана неустойка в суммах и порядке, определенных Сторонами в соответствии с законодательством РФ и Индивидуальными условиями Договора. По требованию Банка может быть запрошено обеспечение, а именно: залог, поручительство. </w:t>
            </w:r>
          </w:p>
          <w:p w14:paraId="1BACAE23" w14:textId="77777777" w:rsidR="00382481" w:rsidRPr="008033EB" w:rsidRDefault="00382481" w:rsidP="00034511">
            <w:pPr>
              <w:widowControl w:val="0"/>
              <w:tabs>
                <w:tab w:val="left" w:pos="426"/>
                <w:tab w:val="left" w:pos="851"/>
              </w:tabs>
              <w:jc w:val="both"/>
              <w:rPr>
                <w:rFonts w:ascii="Tahoma" w:hAnsi="Tahoma" w:cs="Tahoma"/>
                <w:sz w:val="18"/>
                <w:szCs w:val="18"/>
              </w:rPr>
            </w:pPr>
            <w:r w:rsidRPr="008033EB">
              <w:rPr>
                <w:rFonts w:ascii="Tahoma" w:hAnsi="Tahoma" w:cs="Tahoma"/>
                <w:sz w:val="18"/>
                <w:szCs w:val="18"/>
              </w:rPr>
              <w:t xml:space="preserve">Если при расчете платежеспособности участвуют доходы супруга(и) Заёмщика, без которых Заемщик самостоятельно не проходит по платежеспособности (по оценке Банка), то Банком может быть запрошено </w:t>
            </w:r>
            <w:r w:rsidRPr="008033EB">
              <w:rPr>
                <w:rFonts w:ascii="Tahoma" w:hAnsi="Tahoma" w:cs="Tahoma"/>
                <w:sz w:val="18"/>
                <w:szCs w:val="18"/>
              </w:rPr>
              <w:lastRenderedPageBreak/>
              <w:t>оформление данного супруга(и) Заёмщика в качестве созаемщика (второго Заемщика) /поручителя.</w:t>
            </w:r>
          </w:p>
          <w:p w14:paraId="4AA124E5" w14:textId="77777777" w:rsidR="00382481" w:rsidRPr="008033EB" w:rsidRDefault="00382481" w:rsidP="00034511">
            <w:pPr>
              <w:widowControl w:val="0"/>
              <w:tabs>
                <w:tab w:val="left" w:pos="426"/>
                <w:tab w:val="left" w:pos="851"/>
              </w:tabs>
              <w:jc w:val="both"/>
              <w:rPr>
                <w:rFonts w:ascii="Tahoma" w:hAnsi="Tahoma" w:cs="Tahoma"/>
                <w:sz w:val="18"/>
                <w:szCs w:val="18"/>
              </w:rPr>
            </w:pPr>
            <w:r w:rsidRPr="008033EB">
              <w:rPr>
                <w:rFonts w:ascii="Tahoma" w:hAnsi="Tahoma" w:cs="Tahoma"/>
                <w:sz w:val="18"/>
                <w:szCs w:val="18"/>
              </w:rPr>
              <w:t xml:space="preserve">Требования к транспортному средству, предоставляемому в залог Банку: автотранспортное или мототранспортное средство отечественного или иностранного производства датой выпуска не ранее 01.01.2000 года; не является предметом залога по другому договору, свободно от долгов, не сдано в аренду, не продано, в споре, розыске или под арестом не состоит, а также свободно от иных обременений и прав на него третьих лиц; поставлено на государственный регистрационный учете; собственником является Заемщик или третье лицо. Договором может быть предусмотрено </w:t>
            </w:r>
            <w:r w:rsidRPr="008033EB">
              <w:rPr>
                <w:rFonts w:ascii="Tahoma" w:hAnsi="Tahoma" w:cs="Tahoma"/>
                <w:color w:val="000000"/>
                <w:sz w:val="18"/>
                <w:szCs w:val="18"/>
              </w:rPr>
              <w:t xml:space="preserve">(при согласии Банка) </w:t>
            </w:r>
            <w:r w:rsidRPr="008033EB">
              <w:rPr>
                <w:rFonts w:ascii="Tahoma" w:hAnsi="Tahoma" w:cs="Tahoma"/>
                <w:sz w:val="18"/>
                <w:szCs w:val="18"/>
              </w:rPr>
              <w:t>предоставление залога в последующем (в течение 6 месяцев с даты заключения Договора).</w:t>
            </w:r>
            <w:r w:rsidRPr="008033EB">
              <w:rPr>
                <w:rFonts w:ascii="Tahoma" w:hAnsi="Tahoma" w:cs="Tahoma"/>
                <w:sz w:val="18"/>
                <w:szCs w:val="18"/>
              </w:rPr>
              <w:fldChar w:fldCharType="begin"/>
            </w:r>
            <w:r w:rsidRPr="008033EB">
              <w:rPr>
                <w:rFonts w:ascii="Tahoma" w:hAnsi="Tahoma" w:cs="Tahoma"/>
                <w:sz w:val="18"/>
                <w:szCs w:val="18"/>
              </w:rPr>
              <w:instrText xml:space="preserve"> DOCVARIABLE  ATB_ADDRESS_FACT </w:instrText>
            </w:r>
            <w:r w:rsidRPr="008033EB">
              <w:rPr>
                <w:rFonts w:ascii="Tahoma" w:hAnsi="Tahoma" w:cs="Tahoma"/>
                <w:sz w:val="18"/>
                <w:szCs w:val="18"/>
              </w:rPr>
              <w:fldChar w:fldCharType="end"/>
            </w:r>
          </w:p>
        </w:tc>
      </w:tr>
      <w:tr w:rsidR="00382481" w:rsidRPr="008033EB" w14:paraId="3F639F8D" w14:textId="77777777" w:rsidTr="00034511">
        <w:tblPrEx>
          <w:tblLook w:val="00A0" w:firstRow="1" w:lastRow="0" w:firstColumn="1" w:lastColumn="0" w:noHBand="0" w:noVBand="0"/>
        </w:tblPrEx>
        <w:trPr>
          <w:trHeight w:val="1538"/>
        </w:trPr>
        <w:tc>
          <w:tcPr>
            <w:tcW w:w="6238" w:type="dxa"/>
            <w:tcBorders>
              <w:top w:val="single" w:sz="4" w:space="0" w:color="auto"/>
              <w:left w:val="single" w:sz="4" w:space="0" w:color="auto"/>
              <w:bottom w:val="single" w:sz="4" w:space="0" w:color="auto"/>
              <w:right w:val="single" w:sz="4" w:space="0" w:color="auto"/>
            </w:tcBorders>
            <w:vAlign w:val="center"/>
          </w:tcPr>
          <w:p w14:paraId="667E1528" w14:textId="77777777" w:rsidR="00382481" w:rsidRPr="008033EB" w:rsidRDefault="00382481" w:rsidP="00034511">
            <w:pPr>
              <w:jc w:val="both"/>
              <w:rPr>
                <w:rFonts w:ascii="Tahoma" w:hAnsi="Tahoma" w:cs="Tahoma"/>
                <w:b/>
                <w:sz w:val="18"/>
                <w:szCs w:val="18"/>
              </w:rPr>
            </w:pPr>
            <w:r w:rsidRPr="008033EB">
              <w:rPr>
                <w:rFonts w:ascii="Tahoma" w:hAnsi="Tahoma" w:cs="Tahoma"/>
                <w:b/>
                <w:color w:val="000000"/>
                <w:sz w:val="18"/>
                <w:szCs w:val="18"/>
              </w:rPr>
              <w:lastRenderedPageBreak/>
              <w:t xml:space="preserve">Перечень документов, необходимых для рассмотрения заявления о предоставлении потребительского Кредита, в том числе для оценки кредитоспособности Заёмщика </w:t>
            </w:r>
            <w:r w:rsidRPr="008033EB">
              <w:rPr>
                <w:rFonts w:ascii="Tahoma" w:hAnsi="Tahoma" w:cs="Tahoma"/>
                <w:b/>
                <w:sz w:val="18"/>
                <w:szCs w:val="18"/>
              </w:rPr>
              <w:t>(в случае необходимости могут быть запрошены дополнительные документы)</w:t>
            </w:r>
          </w:p>
        </w:tc>
        <w:tc>
          <w:tcPr>
            <w:tcW w:w="9214" w:type="dxa"/>
            <w:gridSpan w:val="3"/>
            <w:tcBorders>
              <w:top w:val="single" w:sz="4" w:space="0" w:color="auto"/>
              <w:left w:val="single" w:sz="4" w:space="0" w:color="auto"/>
              <w:bottom w:val="single" w:sz="4" w:space="0" w:color="auto"/>
              <w:right w:val="single" w:sz="8" w:space="0" w:color="000000"/>
            </w:tcBorders>
            <w:shd w:val="clear" w:color="auto" w:fill="auto"/>
            <w:noWrap/>
            <w:vAlign w:val="center"/>
          </w:tcPr>
          <w:p w14:paraId="0DFE83A4" w14:textId="77777777" w:rsidR="00382481" w:rsidRPr="008033EB" w:rsidRDefault="00382481" w:rsidP="00034511">
            <w:pPr>
              <w:jc w:val="both"/>
              <w:rPr>
                <w:rFonts w:ascii="Tahoma" w:hAnsi="Tahoma" w:cs="Tahoma"/>
                <w:b/>
                <w:sz w:val="18"/>
                <w:szCs w:val="18"/>
              </w:rPr>
            </w:pPr>
            <w:r w:rsidRPr="008033EB">
              <w:rPr>
                <w:rFonts w:ascii="Tahoma" w:hAnsi="Tahoma" w:cs="Tahoma"/>
                <w:b/>
                <w:sz w:val="18"/>
                <w:szCs w:val="18"/>
              </w:rPr>
              <w:t>Основные документы:</w:t>
            </w:r>
          </w:p>
          <w:p w14:paraId="780CD176" w14:textId="77777777" w:rsidR="00382481" w:rsidRPr="008033EB" w:rsidRDefault="00382481" w:rsidP="00034511">
            <w:pPr>
              <w:jc w:val="both"/>
              <w:rPr>
                <w:rFonts w:ascii="Tahoma" w:hAnsi="Tahoma" w:cs="Tahoma"/>
                <w:sz w:val="18"/>
                <w:szCs w:val="18"/>
              </w:rPr>
            </w:pPr>
            <w:r w:rsidRPr="008033EB">
              <w:rPr>
                <w:rFonts w:ascii="Tahoma" w:hAnsi="Tahoma" w:cs="Tahoma"/>
                <w:sz w:val="18"/>
                <w:szCs w:val="18"/>
              </w:rPr>
              <w:t>1) Паспорт гражданина РФ.</w:t>
            </w:r>
          </w:p>
          <w:p w14:paraId="1ECCA67D" w14:textId="77777777" w:rsidR="00382481" w:rsidRPr="008033EB" w:rsidRDefault="00382481" w:rsidP="00034511">
            <w:pPr>
              <w:jc w:val="both"/>
              <w:rPr>
                <w:rFonts w:ascii="Tahoma" w:hAnsi="Tahoma" w:cs="Tahoma"/>
                <w:sz w:val="18"/>
                <w:szCs w:val="18"/>
              </w:rPr>
            </w:pPr>
            <w:r w:rsidRPr="008033EB">
              <w:rPr>
                <w:rFonts w:ascii="Tahoma" w:hAnsi="Tahoma" w:cs="Tahoma"/>
                <w:sz w:val="18"/>
                <w:szCs w:val="18"/>
              </w:rPr>
              <w:t>2) Заявление о предоставлении Кредита.</w:t>
            </w:r>
          </w:p>
          <w:p w14:paraId="2C1BBE63" w14:textId="77777777" w:rsidR="00382481" w:rsidRPr="008033EB" w:rsidRDefault="00382481" w:rsidP="00034511">
            <w:pPr>
              <w:jc w:val="both"/>
              <w:rPr>
                <w:rFonts w:ascii="Tahoma" w:hAnsi="Tahoma" w:cs="Tahoma"/>
                <w:sz w:val="18"/>
                <w:szCs w:val="18"/>
              </w:rPr>
            </w:pPr>
            <w:r w:rsidRPr="008033EB">
              <w:rPr>
                <w:rFonts w:ascii="Tahoma" w:hAnsi="Tahoma" w:cs="Tahoma"/>
                <w:sz w:val="18"/>
                <w:szCs w:val="18"/>
              </w:rPr>
              <w:t>3) В случае необходимости Банком могут быть запрошены документы, подтверждающие доход Клиента при сумме Кредита свыше 100 000 рублей.</w:t>
            </w:r>
          </w:p>
        </w:tc>
      </w:tr>
      <w:tr w:rsidR="00382481" w:rsidRPr="008033EB" w14:paraId="0C5A62E6" w14:textId="77777777" w:rsidTr="00034511">
        <w:tblPrEx>
          <w:tblLook w:val="00A0" w:firstRow="1" w:lastRow="0" w:firstColumn="1" w:lastColumn="0" w:noHBand="0" w:noVBand="0"/>
        </w:tblPrEx>
        <w:trPr>
          <w:trHeight w:val="1975"/>
        </w:trPr>
        <w:tc>
          <w:tcPr>
            <w:tcW w:w="6238" w:type="dxa"/>
            <w:tcBorders>
              <w:top w:val="single" w:sz="4" w:space="0" w:color="auto"/>
              <w:left w:val="single" w:sz="4" w:space="0" w:color="auto"/>
              <w:bottom w:val="single" w:sz="4" w:space="0" w:color="auto"/>
              <w:right w:val="single" w:sz="4" w:space="0" w:color="auto"/>
            </w:tcBorders>
            <w:vAlign w:val="center"/>
          </w:tcPr>
          <w:p w14:paraId="6BECB7EA" w14:textId="77777777" w:rsidR="00382481" w:rsidRPr="008033EB" w:rsidRDefault="00382481" w:rsidP="00034511">
            <w:pPr>
              <w:widowControl w:val="0"/>
              <w:tabs>
                <w:tab w:val="left" w:pos="426"/>
                <w:tab w:val="left" w:pos="851"/>
              </w:tabs>
              <w:rPr>
                <w:rFonts w:ascii="Tahoma" w:hAnsi="Tahoma" w:cs="Tahoma"/>
                <w:b/>
                <w:color w:val="000000"/>
                <w:sz w:val="18"/>
                <w:szCs w:val="18"/>
              </w:rPr>
            </w:pPr>
            <w:r w:rsidRPr="008033EB">
              <w:rPr>
                <w:rFonts w:ascii="Tahoma" w:hAnsi="Tahoma" w:cs="Tahoma"/>
                <w:b/>
                <w:color w:val="000000"/>
                <w:sz w:val="18"/>
                <w:szCs w:val="18"/>
              </w:rPr>
              <w:t>Документы, подтверждающие доход</w:t>
            </w:r>
          </w:p>
        </w:tc>
        <w:tc>
          <w:tcPr>
            <w:tcW w:w="9214" w:type="dxa"/>
            <w:gridSpan w:val="3"/>
            <w:tcBorders>
              <w:top w:val="single" w:sz="4" w:space="0" w:color="auto"/>
              <w:left w:val="single" w:sz="4" w:space="0" w:color="auto"/>
              <w:bottom w:val="single" w:sz="4" w:space="0" w:color="auto"/>
              <w:right w:val="single" w:sz="8" w:space="0" w:color="000000"/>
            </w:tcBorders>
            <w:shd w:val="clear" w:color="auto" w:fill="auto"/>
            <w:noWrap/>
            <w:vAlign w:val="center"/>
          </w:tcPr>
          <w:p w14:paraId="73588816" w14:textId="77777777" w:rsidR="00382481" w:rsidRPr="008033EB" w:rsidRDefault="00382481" w:rsidP="00034511">
            <w:pPr>
              <w:jc w:val="both"/>
              <w:rPr>
                <w:rFonts w:ascii="Tahoma" w:hAnsi="Tahoma" w:cs="Tahoma"/>
                <w:b/>
                <w:sz w:val="18"/>
                <w:szCs w:val="18"/>
              </w:rPr>
            </w:pPr>
            <w:r w:rsidRPr="008033EB">
              <w:rPr>
                <w:rFonts w:ascii="Tahoma" w:hAnsi="Tahoma" w:cs="Tahoma"/>
                <w:b/>
                <w:sz w:val="18"/>
                <w:szCs w:val="18"/>
              </w:rPr>
              <w:t xml:space="preserve">При предоставлении документа, доход должен быть подтвержден </w:t>
            </w:r>
            <w:r w:rsidRPr="008033EB">
              <w:rPr>
                <w:rFonts w:ascii="Tahoma" w:hAnsi="Tahoma" w:cs="Tahoma"/>
                <w:color w:val="000000"/>
                <w:sz w:val="18"/>
                <w:szCs w:val="18"/>
              </w:rPr>
              <w:t>за последние 12 месяцев либо за фактически отработанный период времени, в зависимости от стажа по текущему месту работы, но не менее 3-х месяцев, предшествующих дате предоставления в Банк Заявления о предоставлении потребительского кредита.</w:t>
            </w:r>
          </w:p>
          <w:p w14:paraId="2669AC67" w14:textId="77777777" w:rsidR="00382481" w:rsidRPr="008033EB" w:rsidRDefault="00382481" w:rsidP="00034511">
            <w:pPr>
              <w:jc w:val="both"/>
              <w:rPr>
                <w:rFonts w:ascii="Tahoma" w:hAnsi="Tahoma" w:cs="Tahoma"/>
                <w:b/>
                <w:sz w:val="18"/>
                <w:szCs w:val="18"/>
              </w:rPr>
            </w:pPr>
          </w:p>
          <w:p w14:paraId="3F07C15C" w14:textId="77777777" w:rsidR="00382481" w:rsidRPr="008033EB" w:rsidRDefault="00382481" w:rsidP="00034511">
            <w:pPr>
              <w:jc w:val="both"/>
              <w:rPr>
                <w:rFonts w:ascii="Tahoma" w:hAnsi="Tahoma" w:cs="Tahoma"/>
                <w:b/>
                <w:sz w:val="18"/>
                <w:szCs w:val="18"/>
              </w:rPr>
            </w:pPr>
            <w:r w:rsidRPr="008033EB">
              <w:rPr>
                <w:rFonts w:ascii="Tahoma" w:hAnsi="Tahoma" w:cs="Tahoma"/>
                <w:b/>
                <w:sz w:val="18"/>
                <w:szCs w:val="18"/>
              </w:rPr>
              <w:t>Документы, подтверждающие доход:</w:t>
            </w:r>
          </w:p>
          <w:p w14:paraId="2791CD60" w14:textId="77777777" w:rsidR="00382481" w:rsidRPr="008033EB" w:rsidRDefault="00382481" w:rsidP="00034511">
            <w:pPr>
              <w:jc w:val="both"/>
              <w:rPr>
                <w:rFonts w:ascii="Tahoma" w:hAnsi="Tahoma" w:cs="Tahoma"/>
                <w:b/>
                <w:sz w:val="18"/>
                <w:szCs w:val="18"/>
              </w:rPr>
            </w:pPr>
          </w:p>
          <w:p w14:paraId="1F80A562" w14:textId="77777777" w:rsidR="00382481" w:rsidRPr="008033EB" w:rsidRDefault="00382481" w:rsidP="00034511">
            <w:pPr>
              <w:jc w:val="both"/>
              <w:rPr>
                <w:rFonts w:ascii="Tahoma" w:hAnsi="Tahoma" w:cs="Tahoma"/>
                <w:color w:val="000000"/>
                <w:sz w:val="18"/>
                <w:szCs w:val="18"/>
              </w:rPr>
            </w:pPr>
            <w:r w:rsidRPr="008033EB">
              <w:rPr>
                <w:rFonts w:ascii="Tahoma" w:hAnsi="Tahoma" w:cs="Tahoma"/>
                <w:color w:val="000000"/>
                <w:sz w:val="18"/>
                <w:szCs w:val="18"/>
              </w:rPr>
              <w:t>- выписка по банковской (платежной) карте Банка если Заемщик получает заработную плату на карту Банка;</w:t>
            </w:r>
          </w:p>
          <w:p w14:paraId="25555B59" w14:textId="77777777" w:rsidR="00382481" w:rsidRPr="008033EB" w:rsidRDefault="00382481" w:rsidP="00034511">
            <w:pPr>
              <w:jc w:val="both"/>
              <w:rPr>
                <w:rFonts w:ascii="Tahoma" w:hAnsi="Tahoma" w:cs="Tahoma"/>
                <w:color w:val="000000"/>
                <w:sz w:val="18"/>
                <w:szCs w:val="18"/>
              </w:rPr>
            </w:pPr>
            <w:r w:rsidRPr="008033EB">
              <w:rPr>
                <w:rFonts w:ascii="Tahoma" w:hAnsi="Tahoma" w:cs="Tahoma"/>
                <w:color w:val="000000"/>
                <w:sz w:val="18"/>
                <w:szCs w:val="18"/>
              </w:rPr>
              <w:t>- выписка по индивидуальному лицевому счету Заемщика, который ведется в Социальном Фонде Российской Федерации и сведения предоставлены Банку (если Заемщиком выражено согласие в соответствии с законодательством Российской Федерации на запрос).</w:t>
            </w:r>
          </w:p>
          <w:p w14:paraId="569E2864" w14:textId="77777777" w:rsidR="00382481" w:rsidRPr="008033EB" w:rsidRDefault="00382481" w:rsidP="00034511">
            <w:pPr>
              <w:pStyle w:val="affe"/>
              <w:ind w:left="0"/>
              <w:jc w:val="both"/>
              <w:rPr>
                <w:rFonts w:ascii="Tahoma" w:hAnsi="Tahoma" w:cs="Tahoma"/>
                <w:color w:val="000000"/>
                <w:sz w:val="18"/>
                <w:szCs w:val="18"/>
              </w:rPr>
            </w:pPr>
            <w:r w:rsidRPr="008033EB">
              <w:rPr>
                <w:rFonts w:ascii="Tahoma" w:hAnsi="Tahoma" w:cs="Tahoma"/>
                <w:color w:val="000000"/>
                <w:sz w:val="18"/>
                <w:szCs w:val="18"/>
              </w:rPr>
              <w:t>- справка о заработной плате по форме Банка, справка о доходах и суммах налога физических лиц либо по форме работодателя (содержащая обязательные поля, предусмотренные в справке по форме Банка, включая ИНН работодателя);</w:t>
            </w:r>
          </w:p>
          <w:p w14:paraId="0C8073FA" w14:textId="77777777" w:rsidR="00382481" w:rsidRPr="008033EB" w:rsidRDefault="00382481" w:rsidP="00034511">
            <w:pPr>
              <w:jc w:val="both"/>
              <w:rPr>
                <w:rFonts w:ascii="Tahoma" w:hAnsi="Tahoma" w:cs="Tahoma"/>
                <w:color w:val="000000"/>
                <w:sz w:val="18"/>
                <w:szCs w:val="18"/>
              </w:rPr>
            </w:pPr>
            <w:r w:rsidRPr="008033EB">
              <w:rPr>
                <w:rFonts w:ascii="Tahoma" w:hAnsi="Tahoma" w:cs="Tahoma"/>
                <w:color w:val="000000"/>
                <w:sz w:val="18"/>
                <w:szCs w:val="18"/>
              </w:rPr>
              <w:t>- выписка с зарплатного счета банковской (платежной) карты Заемщика, заверенная печатью подразделения и подписью работника кредитной организации, выдавшего выписку (или сформированная из мобильного/интернет банка), при этом в выписке должно быть указано назначение платежа, позволяющее однозначно идентифицировать, что поступления являются заработной платой Заемщика/ зачисления с определённым назначением платежа производятся через равные промежутки времени;</w:t>
            </w:r>
          </w:p>
          <w:p w14:paraId="36EDE3A9" w14:textId="77777777" w:rsidR="00382481" w:rsidRPr="008033EB" w:rsidRDefault="00382481" w:rsidP="00034511">
            <w:pPr>
              <w:pStyle w:val="affe"/>
              <w:ind w:left="0"/>
              <w:jc w:val="both"/>
              <w:rPr>
                <w:rFonts w:ascii="Tahoma" w:hAnsi="Tahoma" w:cs="Tahoma"/>
                <w:color w:val="000000"/>
                <w:sz w:val="18"/>
                <w:szCs w:val="18"/>
              </w:rPr>
            </w:pPr>
            <w:r w:rsidRPr="008033EB">
              <w:rPr>
                <w:rFonts w:ascii="Tahoma" w:hAnsi="Tahoma" w:cs="Tahoma"/>
                <w:sz w:val="18"/>
                <w:szCs w:val="18"/>
              </w:rPr>
              <w:t>- документы, содержащие сведения о доходах Заемщика, выданные государственными (муниципальными) органами, учреждениями, организациями или предприятиями (включая документы, выданные должностными лицами Вооруженных Сил Российской Федерации и воинских формирований), а также физическими лицами, зарегистрированными в качестве индивидуальных предпринимателей;</w:t>
            </w:r>
          </w:p>
          <w:p w14:paraId="5F4399D1" w14:textId="77777777" w:rsidR="00382481" w:rsidRPr="008033EB" w:rsidRDefault="00382481" w:rsidP="00034511">
            <w:pPr>
              <w:jc w:val="both"/>
              <w:rPr>
                <w:rFonts w:ascii="Tahoma" w:hAnsi="Tahoma" w:cs="Tahoma"/>
                <w:color w:val="000000"/>
                <w:sz w:val="18"/>
                <w:szCs w:val="18"/>
              </w:rPr>
            </w:pPr>
            <w:r w:rsidRPr="008033EB">
              <w:rPr>
                <w:rFonts w:ascii="Tahoma" w:hAnsi="Tahoma" w:cs="Tahoma"/>
                <w:color w:val="000000"/>
                <w:sz w:val="18"/>
                <w:szCs w:val="18"/>
              </w:rPr>
              <w:t>- налоговая декларация по налогу на доходы физических лиц (форма 3-НДФЛ);</w:t>
            </w:r>
          </w:p>
          <w:p w14:paraId="3F70D572" w14:textId="77777777" w:rsidR="00382481" w:rsidRPr="008033EB" w:rsidRDefault="00382481" w:rsidP="00034511">
            <w:pPr>
              <w:jc w:val="both"/>
              <w:rPr>
                <w:rFonts w:ascii="Tahoma" w:hAnsi="Tahoma" w:cs="Tahoma"/>
                <w:color w:val="000000"/>
                <w:sz w:val="18"/>
                <w:szCs w:val="18"/>
              </w:rPr>
            </w:pPr>
            <w:r w:rsidRPr="008033EB">
              <w:rPr>
                <w:rFonts w:ascii="Tahoma" w:hAnsi="Tahoma" w:cs="Tahoma"/>
                <w:b/>
                <w:color w:val="000000"/>
                <w:sz w:val="18"/>
                <w:szCs w:val="18"/>
              </w:rPr>
              <w:t>Если Заемщик/Созаемщик является пенсионером</w:t>
            </w:r>
            <w:r w:rsidRPr="008033EB">
              <w:rPr>
                <w:rFonts w:ascii="Tahoma" w:hAnsi="Tahoma" w:cs="Tahoma"/>
                <w:color w:val="000000"/>
                <w:sz w:val="18"/>
                <w:szCs w:val="18"/>
              </w:rPr>
              <w:t xml:space="preserve"> (для учета дохода в виде пенсии допускается принимать документ, содержащий сведения о доходе за 1 (один) календарный месяц):</w:t>
            </w:r>
          </w:p>
          <w:p w14:paraId="66B94D2E" w14:textId="77777777" w:rsidR="00382481" w:rsidRPr="008033EB" w:rsidRDefault="00382481" w:rsidP="00382481">
            <w:pPr>
              <w:pStyle w:val="affe"/>
              <w:numPr>
                <w:ilvl w:val="0"/>
                <w:numId w:val="27"/>
              </w:numPr>
              <w:contextualSpacing/>
              <w:jc w:val="both"/>
              <w:rPr>
                <w:rFonts w:ascii="Tahoma" w:hAnsi="Tahoma" w:cs="Tahoma"/>
                <w:color w:val="000000"/>
                <w:sz w:val="18"/>
                <w:szCs w:val="18"/>
              </w:rPr>
            </w:pPr>
            <w:r w:rsidRPr="008033EB">
              <w:rPr>
                <w:rFonts w:ascii="Tahoma" w:hAnsi="Tahoma" w:cs="Tahoma"/>
                <w:color w:val="000000"/>
                <w:sz w:val="18"/>
                <w:szCs w:val="18"/>
              </w:rPr>
              <w:t>справка Социального фонда Российской Федерации либо другого государственного органа, выплачивающего пенсию, о размере пенсии, ежемесячного пожизненного содержания судьям или ежемесячной надбавки к денежному содержанию судьям о назначении пенсии / иной документ, подтверждающий право на получение пенсии, содержащий идентификационные данные Клиента и размер дохода (например, выписка по индивидуальному лицевому счету в Социальном Фонде Российской Федерации);</w:t>
            </w:r>
          </w:p>
          <w:p w14:paraId="6DD2C496" w14:textId="77777777" w:rsidR="00382481" w:rsidRPr="008033EB" w:rsidRDefault="00382481" w:rsidP="00382481">
            <w:pPr>
              <w:pStyle w:val="affe"/>
              <w:numPr>
                <w:ilvl w:val="0"/>
                <w:numId w:val="27"/>
              </w:numPr>
              <w:contextualSpacing/>
              <w:jc w:val="both"/>
              <w:rPr>
                <w:rFonts w:ascii="Tahoma" w:hAnsi="Tahoma" w:cs="Tahoma"/>
                <w:color w:val="000000"/>
                <w:sz w:val="18"/>
                <w:szCs w:val="18"/>
              </w:rPr>
            </w:pPr>
            <w:r w:rsidRPr="008033EB">
              <w:rPr>
                <w:rFonts w:ascii="Tahoma" w:hAnsi="Tahoma" w:cs="Tahoma"/>
                <w:color w:val="000000"/>
                <w:sz w:val="18"/>
                <w:szCs w:val="18"/>
              </w:rPr>
              <w:t xml:space="preserve">выписка со счета карты Заемщика, заверенной печатью подразделения и подписью работника кредитной организации, выдавшего выписку (или сформированная из мобильного/интернет </w:t>
            </w:r>
            <w:r w:rsidRPr="008033EB">
              <w:rPr>
                <w:rFonts w:ascii="Tahoma" w:hAnsi="Tahoma" w:cs="Tahoma"/>
                <w:color w:val="000000"/>
                <w:sz w:val="18"/>
                <w:szCs w:val="18"/>
              </w:rPr>
              <w:lastRenderedPageBreak/>
              <w:t>банка), при этом в выписке обязательно должно быть указано назначение платежа, позволяющее однозначно идентифицировать, что поступления являются пенсией Заемщика.</w:t>
            </w:r>
          </w:p>
          <w:p w14:paraId="49CC9764" w14:textId="77777777" w:rsidR="00382481" w:rsidRPr="008033EB" w:rsidRDefault="00382481" w:rsidP="00034511">
            <w:pPr>
              <w:autoSpaceDE w:val="0"/>
              <w:autoSpaceDN w:val="0"/>
              <w:adjustRightInd w:val="0"/>
              <w:jc w:val="both"/>
              <w:rPr>
                <w:rFonts w:ascii="Tahoma" w:hAnsi="Tahoma" w:cs="Tahoma"/>
                <w:b/>
                <w:color w:val="000000"/>
                <w:sz w:val="18"/>
                <w:szCs w:val="18"/>
              </w:rPr>
            </w:pPr>
            <w:r w:rsidRPr="008033EB">
              <w:rPr>
                <w:rFonts w:ascii="Tahoma" w:hAnsi="Tahoma" w:cs="Tahoma"/>
                <w:b/>
                <w:color w:val="000000"/>
                <w:sz w:val="18"/>
                <w:szCs w:val="18"/>
              </w:rPr>
              <w:t>Заемщик/Созаемщик-ИП/ нотариус/адвокат</w:t>
            </w:r>
            <w:r w:rsidRPr="008033EB">
              <w:rPr>
                <w:rFonts w:ascii="Arial" w:hAnsi="Arial" w:cs="Arial"/>
                <w:sz w:val="18"/>
                <w:szCs w:val="18"/>
              </w:rPr>
              <w:t xml:space="preserve"> или иные лица, занимающиеся частной практикой, предоставляют один или </w:t>
            </w:r>
            <w:r w:rsidRPr="008033EB">
              <w:rPr>
                <w:rFonts w:ascii="Tahoma" w:hAnsi="Tahoma" w:cs="Tahoma"/>
                <w:b/>
                <w:color w:val="000000"/>
                <w:sz w:val="18"/>
                <w:szCs w:val="18"/>
              </w:rPr>
              <w:t xml:space="preserve">совокупность следующих документов: </w:t>
            </w:r>
          </w:p>
          <w:p w14:paraId="48D8BC8E" w14:textId="77777777" w:rsidR="00382481" w:rsidRPr="008033EB" w:rsidRDefault="00382481" w:rsidP="00382481">
            <w:pPr>
              <w:pStyle w:val="affe"/>
              <w:numPr>
                <w:ilvl w:val="0"/>
                <w:numId w:val="79"/>
              </w:numPr>
              <w:tabs>
                <w:tab w:val="left" w:pos="739"/>
              </w:tabs>
              <w:ind w:left="739" w:hanging="425"/>
              <w:contextualSpacing/>
              <w:jc w:val="both"/>
              <w:rPr>
                <w:rFonts w:ascii="Tahoma" w:hAnsi="Tahoma" w:cs="Tahoma"/>
                <w:sz w:val="18"/>
                <w:szCs w:val="18"/>
              </w:rPr>
            </w:pPr>
            <w:r w:rsidRPr="008033EB">
              <w:rPr>
                <w:rFonts w:ascii="Tahoma" w:hAnsi="Tahoma" w:cs="Tahoma"/>
                <w:color w:val="000000"/>
                <w:sz w:val="18"/>
                <w:szCs w:val="18"/>
              </w:rPr>
              <w:t>официальные документы (декларации) в зависимости от систем налогообложения, на основании которых возможно идентифицировать доход ИП,</w:t>
            </w:r>
            <w:r w:rsidRPr="008033EB">
              <w:rPr>
                <w:rFonts w:ascii="Tahoma" w:hAnsi="Tahoma" w:cs="Tahoma"/>
                <w:sz w:val="18"/>
                <w:szCs w:val="18"/>
              </w:rPr>
              <w:t xml:space="preserve"> копии квитанций (платежных поручений) об уплате налогов за налоговые периоды, соответствующие периоду расчета среднемесячного дохода;</w:t>
            </w:r>
          </w:p>
          <w:p w14:paraId="3DC67CA3" w14:textId="77777777" w:rsidR="00382481" w:rsidRPr="008033EB" w:rsidRDefault="00382481" w:rsidP="00382481">
            <w:pPr>
              <w:pStyle w:val="affe"/>
              <w:numPr>
                <w:ilvl w:val="0"/>
                <w:numId w:val="27"/>
              </w:numPr>
              <w:tabs>
                <w:tab w:val="left" w:pos="739"/>
              </w:tabs>
              <w:ind w:left="739" w:hanging="425"/>
              <w:contextualSpacing/>
              <w:jc w:val="both"/>
              <w:rPr>
                <w:rFonts w:ascii="Tahoma" w:hAnsi="Tahoma" w:cs="Tahoma"/>
                <w:sz w:val="18"/>
                <w:szCs w:val="18"/>
              </w:rPr>
            </w:pPr>
            <w:r w:rsidRPr="008033EB">
              <w:rPr>
                <w:rFonts w:ascii="Tahoma" w:hAnsi="Tahoma" w:cs="Tahoma"/>
                <w:sz w:val="18"/>
                <w:szCs w:val="18"/>
              </w:rPr>
              <w:t>книга учета доходов и расходов и хозяйственных операций индивидуального предпринимателя или</w:t>
            </w:r>
            <w:r w:rsidRPr="008033EB">
              <w:rPr>
                <w:rFonts w:ascii="Tahoma" w:hAnsi="Tahoma" w:cs="Tahoma"/>
                <w:color w:val="000000"/>
                <w:sz w:val="18"/>
                <w:szCs w:val="18"/>
              </w:rPr>
              <w:t xml:space="preserve"> выписки по счетам Заемщика, заверенные организацией, в которой открыты данные счета </w:t>
            </w:r>
            <w:r w:rsidRPr="008033EB">
              <w:rPr>
                <w:rFonts w:ascii="Tahoma" w:hAnsi="Tahoma" w:cs="Tahoma"/>
                <w:sz w:val="18"/>
                <w:szCs w:val="18"/>
              </w:rPr>
              <w:t xml:space="preserve">(Банк может запросить выписку в формате </w:t>
            </w:r>
            <w:r w:rsidRPr="008033EB">
              <w:rPr>
                <w:rFonts w:ascii="Tahoma" w:hAnsi="Tahoma" w:cs="Tahoma"/>
                <w:sz w:val="18"/>
                <w:szCs w:val="18"/>
                <w:lang w:val="en-US"/>
              </w:rPr>
              <w:t>TXT</w:t>
            </w:r>
            <w:r w:rsidRPr="008033EB">
              <w:rPr>
                <w:rFonts w:ascii="Tahoma" w:hAnsi="Tahoma" w:cs="Tahoma"/>
                <w:sz w:val="18"/>
                <w:szCs w:val="18"/>
              </w:rPr>
              <w:t>);</w:t>
            </w:r>
          </w:p>
          <w:p w14:paraId="02A84605" w14:textId="77777777" w:rsidR="00382481" w:rsidRPr="008033EB" w:rsidRDefault="00382481" w:rsidP="00382481">
            <w:pPr>
              <w:pStyle w:val="affe"/>
              <w:numPr>
                <w:ilvl w:val="0"/>
                <w:numId w:val="27"/>
              </w:numPr>
              <w:tabs>
                <w:tab w:val="left" w:pos="739"/>
              </w:tabs>
              <w:ind w:left="739" w:hanging="425"/>
              <w:contextualSpacing/>
              <w:jc w:val="both"/>
              <w:rPr>
                <w:rFonts w:ascii="Tahoma" w:hAnsi="Tahoma" w:cs="Tahoma"/>
                <w:color w:val="000000"/>
                <w:sz w:val="18"/>
                <w:szCs w:val="18"/>
              </w:rPr>
            </w:pPr>
            <w:r w:rsidRPr="008033EB">
              <w:rPr>
                <w:rFonts w:ascii="Tahoma" w:hAnsi="Tahoma" w:cs="Tahoma"/>
                <w:sz w:val="18"/>
                <w:szCs w:val="18"/>
              </w:rPr>
              <w:t>справка о состоянии расчетов (доходах) по налогу, уплачиваемому в связи с применением автоматизированной упрощенной системы налогообложения (КНД 1120504) (в случае применения).</w:t>
            </w:r>
          </w:p>
          <w:p w14:paraId="0C92E844" w14:textId="77777777" w:rsidR="00382481" w:rsidRPr="008033EB" w:rsidRDefault="00382481" w:rsidP="00034511">
            <w:pPr>
              <w:pStyle w:val="affe"/>
              <w:tabs>
                <w:tab w:val="left" w:pos="739"/>
              </w:tabs>
              <w:ind w:left="739"/>
              <w:jc w:val="both"/>
              <w:rPr>
                <w:rFonts w:ascii="Tahoma" w:hAnsi="Tahoma" w:cs="Tahoma"/>
                <w:color w:val="000000"/>
                <w:sz w:val="18"/>
                <w:szCs w:val="18"/>
              </w:rPr>
            </w:pPr>
          </w:p>
          <w:p w14:paraId="7AE51FE4" w14:textId="77777777" w:rsidR="00382481" w:rsidRPr="008033EB" w:rsidRDefault="00382481" w:rsidP="00034511">
            <w:pPr>
              <w:tabs>
                <w:tab w:val="left" w:pos="739"/>
              </w:tabs>
              <w:jc w:val="both"/>
              <w:rPr>
                <w:rFonts w:ascii="Tahoma" w:hAnsi="Tahoma" w:cs="Tahoma"/>
                <w:b/>
                <w:color w:val="000000"/>
                <w:sz w:val="18"/>
                <w:szCs w:val="18"/>
              </w:rPr>
            </w:pPr>
            <w:r w:rsidRPr="008033EB">
              <w:rPr>
                <w:rFonts w:ascii="Tahoma" w:hAnsi="Tahoma" w:cs="Tahoma"/>
                <w:b/>
                <w:color w:val="000000"/>
                <w:sz w:val="18"/>
                <w:szCs w:val="18"/>
              </w:rPr>
              <w:t xml:space="preserve">Заемщик/Созаемщик </w:t>
            </w:r>
            <w:r w:rsidRPr="008033EB">
              <w:rPr>
                <w:rFonts w:ascii="Tahoma" w:hAnsi="Tahoma" w:cs="Tahoma"/>
                <w:sz w:val="18"/>
                <w:szCs w:val="18"/>
              </w:rPr>
              <w:t>применяет специальный налоговый режим - налог на профессиональный доход</w:t>
            </w:r>
            <w:r w:rsidRPr="008033EB">
              <w:rPr>
                <w:rFonts w:ascii="Tahoma" w:hAnsi="Tahoma" w:cs="Tahoma"/>
                <w:b/>
                <w:color w:val="000000"/>
                <w:sz w:val="18"/>
                <w:szCs w:val="18"/>
              </w:rPr>
              <w:t>, совокупность следующих документов:</w:t>
            </w:r>
          </w:p>
          <w:p w14:paraId="43055E96" w14:textId="77777777" w:rsidR="00382481" w:rsidRPr="008033EB" w:rsidRDefault="00382481" w:rsidP="00382481">
            <w:pPr>
              <w:pStyle w:val="affe"/>
              <w:numPr>
                <w:ilvl w:val="0"/>
                <w:numId w:val="27"/>
              </w:numPr>
              <w:tabs>
                <w:tab w:val="left" w:pos="739"/>
              </w:tabs>
              <w:contextualSpacing/>
              <w:jc w:val="both"/>
              <w:rPr>
                <w:rFonts w:ascii="Tahoma" w:hAnsi="Tahoma" w:cs="Tahoma"/>
                <w:color w:val="000000"/>
                <w:sz w:val="18"/>
                <w:szCs w:val="18"/>
              </w:rPr>
            </w:pPr>
            <w:r w:rsidRPr="008033EB">
              <w:rPr>
                <w:rFonts w:ascii="Tahoma" w:hAnsi="Tahoma" w:cs="Tahoma"/>
                <w:color w:val="000000"/>
                <w:sz w:val="18"/>
                <w:szCs w:val="18"/>
              </w:rPr>
              <w:t>справка о постановке на учет (снятии с учета) ФЛ в качестве плательщика налога на профессиональный доход (КНД 1122035);</w:t>
            </w:r>
          </w:p>
          <w:p w14:paraId="400A7948" w14:textId="77777777" w:rsidR="00382481" w:rsidRPr="008033EB" w:rsidRDefault="00382481" w:rsidP="00382481">
            <w:pPr>
              <w:pStyle w:val="affe"/>
              <w:numPr>
                <w:ilvl w:val="0"/>
                <w:numId w:val="27"/>
              </w:numPr>
              <w:tabs>
                <w:tab w:val="left" w:pos="739"/>
              </w:tabs>
              <w:contextualSpacing/>
              <w:jc w:val="both"/>
              <w:rPr>
                <w:rFonts w:ascii="Tahoma" w:hAnsi="Tahoma" w:cs="Tahoma"/>
                <w:color w:val="000000"/>
                <w:sz w:val="18"/>
                <w:szCs w:val="18"/>
              </w:rPr>
            </w:pPr>
            <w:r w:rsidRPr="008033EB">
              <w:rPr>
                <w:rFonts w:ascii="Tahoma" w:hAnsi="Tahoma" w:cs="Tahoma"/>
                <w:color w:val="000000"/>
                <w:sz w:val="18"/>
                <w:szCs w:val="18"/>
              </w:rPr>
              <w:t>справка о состоянии расчетов (доходах) по налогу на профессиональный доход (КНД 1122036).</w:t>
            </w:r>
          </w:p>
          <w:p w14:paraId="6CDBA25C" w14:textId="77777777" w:rsidR="00382481" w:rsidRPr="008033EB" w:rsidRDefault="00382481" w:rsidP="00034511">
            <w:pPr>
              <w:pStyle w:val="affe"/>
              <w:tabs>
                <w:tab w:val="left" w:pos="739"/>
              </w:tabs>
              <w:ind w:left="739"/>
              <w:jc w:val="both"/>
              <w:rPr>
                <w:rFonts w:ascii="Tahoma" w:hAnsi="Tahoma" w:cs="Tahoma"/>
                <w:color w:val="000000"/>
                <w:sz w:val="18"/>
                <w:szCs w:val="18"/>
              </w:rPr>
            </w:pPr>
          </w:p>
          <w:p w14:paraId="40F09025" w14:textId="77777777" w:rsidR="00382481" w:rsidRPr="008033EB" w:rsidRDefault="00382481" w:rsidP="00034511">
            <w:pPr>
              <w:tabs>
                <w:tab w:val="left" w:pos="739"/>
              </w:tabs>
              <w:jc w:val="both"/>
              <w:rPr>
                <w:rFonts w:ascii="Tahoma" w:hAnsi="Tahoma" w:cs="Tahoma"/>
                <w:b/>
                <w:color w:val="000000"/>
                <w:sz w:val="18"/>
                <w:szCs w:val="18"/>
              </w:rPr>
            </w:pPr>
            <w:r w:rsidRPr="008033EB">
              <w:rPr>
                <w:rFonts w:ascii="Tahoma" w:hAnsi="Tahoma" w:cs="Tahoma"/>
                <w:b/>
                <w:color w:val="000000"/>
                <w:sz w:val="18"/>
                <w:szCs w:val="18"/>
              </w:rPr>
              <w:t>Доходы от нетрудовой деятельности:</w:t>
            </w:r>
          </w:p>
          <w:p w14:paraId="67D6A47F" w14:textId="77777777" w:rsidR="00382481" w:rsidRPr="008033EB" w:rsidRDefault="00382481" w:rsidP="00382481">
            <w:pPr>
              <w:pStyle w:val="affe"/>
              <w:numPr>
                <w:ilvl w:val="0"/>
                <w:numId w:val="27"/>
              </w:numPr>
              <w:tabs>
                <w:tab w:val="left" w:pos="739"/>
              </w:tabs>
              <w:ind w:left="739" w:hanging="425"/>
              <w:contextualSpacing/>
              <w:jc w:val="both"/>
              <w:rPr>
                <w:rFonts w:ascii="Tahoma" w:hAnsi="Tahoma" w:cs="Tahoma"/>
                <w:color w:val="000000"/>
                <w:sz w:val="18"/>
                <w:szCs w:val="18"/>
              </w:rPr>
            </w:pPr>
            <w:r w:rsidRPr="008033EB">
              <w:rPr>
                <w:rFonts w:ascii="Tahoma" w:hAnsi="Tahoma" w:cs="Tahoma"/>
                <w:sz w:val="18"/>
                <w:szCs w:val="18"/>
              </w:rPr>
              <w:t xml:space="preserve">выписка со счета, выданная кредитными организациями, на который осуществляются социальные выплаты, а также иные регулярные выплаты Клиенту (напр., доходы от сдачи внаем (в аренду) недвижимого имущества (при условии подтверждения права собственности (владения) этим имуществом), в т.ч. сформированная из мобильного/интернет банка, а также при предоставлении </w:t>
            </w:r>
            <w:r w:rsidRPr="008033EB">
              <w:rPr>
                <w:rFonts w:ascii="Tahoma" w:hAnsi="Tahoma" w:cs="Tahoma"/>
                <w:color w:val="000000"/>
                <w:sz w:val="18"/>
                <w:szCs w:val="18"/>
              </w:rPr>
              <w:t>налоговой декларации по налогу на доходы физических лиц (форма 3-НДФЛ);</w:t>
            </w:r>
          </w:p>
          <w:p w14:paraId="307179CC" w14:textId="77777777" w:rsidR="00382481" w:rsidRPr="008033EB" w:rsidRDefault="00382481" w:rsidP="00382481">
            <w:pPr>
              <w:pStyle w:val="affe"/>
              <w:numPr>
                <w:ilvl w:val="0"/>
                <w:numId w:val="27"/>
              </w:numPr>
              <w:tabs>
                <w:tab w:val="left" w:pos="40"/>
                <w:tab w:val="left" w:pos="314"/>
              </w:tabs>
              <w:ind w:hanging="406"/>
              <w:contextualSpacing/>
              <w:jc w:val="both"/>
              <w:textAlignment w:val="baseline"/>
              <w:rPr>
                <w:rFonts w:ascii="Tahoma" w:hAnsi="Tahoma" w:cs="Tahoma"/>
                <w:sz w:val="20"/>
                <w:szCs w:val="20"/>
              </w:rPr>
            </w:pPr>
            <w:r w:rsidRPr="008033EB">
              <w:rPr>
                <w:rFonts w:ascii="Tahoma" w:hAnsi="Tahoma" w:cs="Tahoma"/>
                <w:sz w:val="18"/>
                <w:szCs w:val="18"/>
              </w:rPr>
              <w:t>Справка о сумме ежемесячной денежной выплаты, ежемесячной денежной компенсации, ежемесячного дополнительного материального обеспечения, выданная государственным органом Заемщику/Созаемщику.</w:t>
            </w:r>
            <w:r w:rsidRPr="008033EB">
              <w:rPr>
                <w:rFonts w:ascii="Tahoma" w:hAnsi="Tahoma" w:cs="Tahoma"/>
                <w:sz w:val="20"/>
                <w:szCs w:val="20"/>
              </w:rPr>
              <w:t xml:space="preserve">  </w:t>
            </w:r>
            <w:r w:rsidRPr="008033EB">
              <w:rPr>
                <w:rFonts w:ascii="Tahoma" w:hAnsi="Tahoma" w:cs="Tahoma"/>
                <w:color w:val="000000"/>
                <w:sz w:val="18"/>
                <w:szCs w:val="18"/>
              </w:rPr>
              <w:fldChar w:fldCharType="begin"/>
            </w:r>
            <w:r w:rsidRPr="008033EB">
              <w:rPr>
                <w:rFonts w:ascii="Tahoma" w:hAnsi="Tahoma" w:cs="Tahoma"/>
                <w:color w:val="000000"/>
                <w:sz w:val="18"/>
                <w:szCs w:val="18"/>
              </w:rPr>
              <w:instrText xml:space="preserve"> DOCVARIABLE  ATB_ADDRESS_REG </w:instrText>
            </w:r>
            <w:r w:rsidRPr="008033EB">
              <w:rPr>
                <w:rFonts w:ascii="Tahoma" w:hAnsi="Tahoma" w:cs="Tahoma"/>
                <w:color w:val="000000"/>
                <w:sz w:val="18"/>
                <w:szCs w:val="18"/>
              </w:rPr>
              <w:fldChar w:fldCharType="end"/>
            </w:r>
          </w:p>
        </w:tc>
      </w:tr>
      <w:tr w:rsidR="00382481" w:rsidRPr="008033EB" w14:paraId="026D8F3E" w14:textId="77777777" w:rsidTr="00034511">
        <w:tblPrEx>
          <w:tblLook w:val="00A0" w:firstRow="1" w:lastRow="0" w:firstColumn="1" w:lastColumn="0" w:noHBand="0" w:noVBand="0"/>
        </w:tblPrEx>
        <w:trPr>
          <w:trHeight w:val="132"/>
        </w:trPr>
        <w:tc>
          <w:tcPr>
            <w:tcW w:w="6238" w:type="dxa"/>
            <w:tcBorders>
              <w:top w:val="single" w:sz="4" w:space="0" w:color="auto"/>
              <w:left w:val="single" w:sz="8" w:space="0" w:color="auto"/>
              <w:bottom w:val="single" w:sz="4" w:space="0" w:color="auto"/>
              <w:right w:val="single" w:sz="4" w:space="0" w:color="auto"/>
            </w:tcBorders>
            <w:vAlign w:val="center"/>
          </w:tcPr>
          <w:p w14:paraId="0290D897" w14:textId="77777777" w:rsidR="00382481" w:rsidRPr="008033EB" w:rsidRDefault="00382481" w:rsidP="00034511">
            <w:pPr>
              <w:widowControl w:val="0"/>
              <w:tabs>
                <w:tab w:val="left" w:pos="426"/>
                <w:tab w:val="left" w:pos="851"/>
              </w:tabs>
              <w:jc w:val="both"/>
              <w:rPr>
                <w:rFonts w:ascii="Tahoma" w:hAnsi="Tahoma" w:cs="Tahoma"/>
                <w:b/>
                <w:color w:val="000000"/>
                <w:sz w:val="18"/>
                <w:szCs w:val="18"/>
              </w:rPr>
            </w:pPr>
            <w:r w:rsidRPr="008033EB">
              <w:rPr>
                <w:rFonts w:ascii="Tahoma" w:hAnsi="Tahoma" w:cs="Tahoma"/>
                <w:b/>
                <w:color w:val="000000"/>
                <w:sz w:val="18"/>
                <w:szCs w:val="18"/>
              </w:rPr>
              <w:lastRenderedPageBreak/>
              <w:t>Способы возврата  Заемщиком потребительского Кредита, и уплаты процентов по нему</w:t>
            </w:r>
          </w:p>
        </w:tc>
        <w:tc>
          <w:tcPr>
            <w:tcW w:w="9214" w:type="dxa"/>
            <w:gridSpan w:val="3"/>
            <w:tcBorders>
              <w:top w:val="single" w:sz="4" w:space="0" w:color="auto"/>
              <w:left w:val="nil"/>
              <w:bottom w:val="single" w:sz="4" w:space="0" w:color="auto"/>
              <w:right w:val="single" w:sz="8" w:space="0" w:color="000000"/>
            </w:tcBorders>
            <w:shd w:val="clear" w:color="auto" w:fill="auto"/>
            <w:noWrap/>
            <w:vAlign w:val="center"/>
          </w:tcPr>
          <w:p w14:paraId="09D1D3D4" w14:textId="77777777" w:rsidR="00382481" w:rsidRPr="008033EB" w:rsidRDefault="00382481" w:rsidP="00034511">
            <w:pPr>
              <w:widowControl w:val="0"/>
              <w:tabs>
                <w:tab w:val="left" w:pos="426"/>
                <w:tab w:val="left" w:pos="851"/>
              </w:tabs>
              <w:jc w:val="both"/>
              <w:rPr>
                <w:rFonts w:ascii="Tahoma" w:hAnsi="Tahoma" w:cs="Tahoma"/>
                <w:sz w:val="18"/>
                <w:szCs w:val="18"/>
              </w:rPr>
            </w:pPr>
            <w:r w:rsidRPr="008033EB">
              <w:rPr>
                <w:rFonts w:ascii="Tahoma" w:hAnsi="Tahoma" w:cs="Tahoma"/>
                <w:sz w:val="18"/>
                <w:szCs w:val="18"/>
              </w:rPr>
              <w:t xml:space="preserve">Погашение Заемщиком обязательств по Договору осуществляется в сумме и сроки предусмотренные Договором (в т.ч. при досрочном частичном или полном возврате Кредита) производится любым способом по выбору Заемщика, в том числе: посредством внесения денежных средств в сумме обязательства на ТБС/СКС Заемщика через терминалы самообслуживания Банка (при их наличии в населенном пункте по месту получения Заемщиком оферты); кассы Банка, перевод через работодателя Заемщика, перевод со счёта в Банке на ТБС Заемщика, перевод через отделения АО «Почта России», перевод через интернет-системы «АТБ-Онлайн», «АТБ банк», иные кредитные организации (по предусмотренным ими тарифам). </w:t>
            </w:r>
          </w:p>
          <w:p w14:paraId="51B81D9F" w14:textId="77777777" w:rsidR="00382481" w:rsidRPr="008033EB" w:rsidRDefault="00382481" w:rsidP="00034511">
            <w:pPr>
              <w:widowControl w:val="0"/>
              <w:tabs>
                <w:tab w:val="left" w:pos="426"/>
                <w:tab w:val="left" w:pos="851"/>
              </w:tabs>
              <w:jc w:val="both"/>
              <w:rPr>
                <w:rFonts w:ascii="Tahoma" w:hAnsi="Tahoma" w:cs="Tahoma"/>
                <w:sz w:val="18"/>
                <w:szCs w:val="18"/>
              </w:rPr>
            </w:pPr>
            <w:r w:rsidRPr="008033EB">
              <w:rPr>
                <w:rFonts w:ascii="Tahoma" w:hAnsi="Tahoma" w:cs="Tahoma"/>
                <w:sz w:val="18"/>
                <w:szCs w:val="18"/>
              </w:rPr>
              <w:t>Могут использоваться иные, не противоречащие законодательству РФ способы.</w:t>
            </w:r>
          </w:p>
          <w:p w14:paraId="1F5530AD" w14:textId="77777777" w:rsidR="00382481" w:rsidRPr="008033EB" w:rsidRDefault="00382481" w:rsidP="00034511">
            <w:pPr>
              <w:widowControl w:val="0"/>
              <w:tabs>
                <w:tab w:val="left" w:pos="426"/>
                <w:tab w:val="left" w:pos="851"/>
              </w:tabs>
              <w:jc w:val="both"/>
              <w:rPr>
                <w:rFonts w:ascii="Tahoma" w:hAnsi="Tahoma" w:cs="Tahoma"/>
                <w:sz w:val="18"/>
                <w:szCs w:val="18"/>
              </w:rPr>
            </w:pPr>
            <w:r w:rsidRPr="008033EB">
              <w:rPr>
                <w:rFonts w:ascii="Tahoma" w:hAnsi="Tahoma" w:cs="Tahoma"/>
                <w:sz w:val="18"/>
                <w:szCs w:val="18"/>
              </w:rPr>
              <w:t xml:space="preserve">Обязательства по погашению Заемщиком Кредитной задолженности по Договору считаются Заемщиком исполненными в полном объеме после поступления денежных средств на ТБС/СКС Заемщика (списания Банком в свою пользу с ТБС/СКС Заемщика денежных средств).  </w:t>
            </w:r>
          </w:p>
          <w:p w14:paraId="223911D3" w14:textId="77777777" w:rsidR="00382481" w:rsidRPr="008033EB" w:rsidRDefault="00382481" w:rsidP="00034511">
            <w:pPr>
              <w:widowControl w:val="0"/>
              <w:tabs>
                <w:tab w:val="left" w:pos="426"/>
                <w:tab w:val="left" w:pos="851"/>
              </w:tabs>
              <w:jc w:val="both"/>
              <w:rPr>
                <w:rFonts w:ascii="Tahoma" w:hAnsi="Tahoma" w:cs="Tahoma"/>
                <w:sz w:val="18"/>
                <w:szCs w:val="18"/>
              </w:rPr>
            </w:pPr>
            <w:r w:rsidRPr="008033EB">
              <w:rPr>
                <w:rFonts w:ascii="Tahoma" w:hAnsi="Tahoma" w:cs="Tahoma"/>
                <w:sz w:val="18"/>
                <w:szCs w:val="18"/>
              </w:rPr>
              <w:t>Заемщик вносит на ТБС/СКС денежные средства любыми из перечисленных выше способов, при этом он обязан учесть время, затрачиваемое на безналичное перечисление денежных средств, выходные и праздничные дни. Если установленный Договором последний день срока платежа отсутствует в календарном месяце, Заемщик обязан внести денежные средства на ТБС не позднее последнего календарного рабочего дня месяца; если последний день срока платежа приходится на выходные/нерабочие праздничные дни, Заемщик обязан внести денежные средства на ТБС/СКС не позднее 1-го рабочего дня, следующего за выходным/нерабочим праздничным днем. Указанная обязанность должна быть исполнена Заемщиком в операционный день Банка.</w:t>
            </w:r>
          </w:p>
        </w:tc>
      </w:tr>
      <w:tr w:rsidR="00382481" w:rsidRPr="008033EB" w14:paraId="0AE5D1EE" w14:textId="77777777" w:rsidTr="00034511">
        <w:tblPrEx>
          <w:tblLook w:val="00A0" w:firstRow="1" w:lastRow="0" w:firstColumn="1" w:lastColumn="0" w:noHBand="0" w:noVBand="0"/>
        </w:tblPrEx>
        <w:trPr>
          <w:trHeight w:val="160"/>
        </w:trPr>
        <w:tc>
          <w:tcPr>
            <w:tcW w:w="6238" w:type="dxa"/>
            <w:tcBorders>
              <w:top w:val="single" w:sz="4" w:space="0" w:color="auto"/>
              <w:left w:val="single" w:sz="8" w:space="0" w:color="auto"/>
              <w:bottom w:val="single" w:sz="4" w:space="0" w:color="auto"/>
              <w:right w:val="single" w:sz="4" w:space="0" w:color="auto"/>
            </w:tcBorders>
            <w:vAlign w:val="center"/>
          </w:tcPr>
          <w:p w14:paraId="401CEADB" w14:textId="77777777" w:rsidR="00382481" w:rsidRPr="008033EB" w:rsidRDefault="00382481" w:rsidP="00034511">
            <w:pPr>
              <w:widowControl w:val="0"/>
              <w:tabs>
                <w:tab w:val="left" w:pos="426"/>
                <w:tab w:val="left" w:pos="851"/>
              </w:tabs>
              <w:jc w:val="both"/>
              <w:rPr>
                <w:rFonts w:ascii="Tahoma" w:hAnsi="Tahoma" w:cs="Tahoma"/>
                <w:b/>
                <w:color w:val="000000"/>
                <w:sz w:val="18"/>
                <w:szCs w:val="18"/>
              </w:rPr>
            </w:pPr>
            <w:r w:rsidRPr="008033EB">
              <w:rPr>
                <w:rFonts w:ascii="Tahoma" w:hAnsi="Tahoma" w:cs="Tahoma"/>
                <w:b/>
                <w:color w:val="000000"/>
                <w:sz w:val="18"/>
                <w:szCs w:val="18"/>
              </w:rPr>
              <w:lastRenderedPageBreak/>
              <w:t xml:space="preserve">Ответственность Заемщика за ненадлежащее исполнение Договора </w:t>
            </w:r>
          </w:p>
        </w:tc>
        <w:tc>
          <w:tcPr>
            <w:tcW w:w="9214" w:type="dxa"/>
            <w:gridSpan w:val="3"/>
            <w:tcBorders>
              <w:top w:val="single" w:sz="4" w:space="0" w:color="auto"/>
              <w:left w:val="nil"/>
              <w:bottom w:val="single" w:sz="4" w:space="0" w:color="auto"/>
              <w:right w:val="single" w:sz="8" w:space="0" w:color="000000"/>
            </w:tcBorders>
            <w:shd w:val="clear" w:color="auto" w:fill="auto"/>
            <w:noWrap/>
            <w:vAlign w:val="center"/>
          </w:tcPr>
          <w:p w14:paraId="306AA948" w14:textId="77777777" w:rsidR="00382481" w:rsidRPr="008033EB" w:rsidRDefault="00382481" w:rsidP="00034511">
            <w:pPr>
              <w:autoSpaceDE w:val="0"/>
              <w:autoSpaceDN w:val="0"/>
              <w:spacing w:before="40" w:after="40"/>
              <w:jc w:val="both"/>
              <w:rPr>
                <w:rFonts w:ascii="Tahoma" w:hAnsi="Tahoma" w:cs="Tahoma"/>
                <w:sz w:val="18"/>
                <w:szCs w:val="18"/>
              </w:rPr>
            </w:pPr>
            <w:r w:rsidRPr="008033EB">
              <w:rPr>
                <w:rFonts w:ascii="Tahoma" w:hAnsi="Tahoma" w:cs="Tahoma"/>
                <w:sz w:val="18"/>
                <w:szCs w:val="18"/>
              </w:rPr>
              <w:t>За нарушение Заемщиком своих обязательств по Договору Банк вправе начислить пеню (неустойку) в следующем порядке:</w:t>
            </w:r>
          </w:p>
          <w:p w14:paraId="06ECF1D9" w14:textId="77777777" w:rsidR="00382481" w:rsidRPr="008033EB" w:rsidRDefault="00382481" w:rsidP="00034511">
            <w:pPr>
              <w:autoSpaceDE w:val="0"/>
              <w:autoSpaceDN w:val="0"/>
              <w:spacing w:before="40" w:after="40"/>
              <w:jc w:val="both"/>
              <w:rPr>
                <w:rFonts w:ascii="Tahoma" w:hAnsi="Tahoma" w:cs="Tahoma"/>
                <w:sz w:val="18"/>
                <w:szCs w:val="18"/>
              </w:rPr>
            </w:pPr>
            <w:r w:rsidRPr="008033EB">
              <w:rPr>
                <w:rFonts w:ascii="Tahoma" w:hAnsi="Tahoma" w:cs="Tahoma"/>
                <w:sz w:val="18"/>
                <w:szCs w:val="18"/>
              </w:rPr>
              <w:t xml:space="preserve">1. За ненадлежащее исполнение Заемщиком обязательств по возврату Кредита и(или) уплате процентов за пользование Кредитом – в размере 20 (двадцать) % годовых от суммы просроченной задолженности за каждый день просрочки, начиная со следующего дня за днем ее образования. </w:t>
            </w:r>
          </w:p>
          <w:p w14:paraId="4B06B845" w14:textId="77777777" w:rsidR="00382481" w:rsidRPr="008033EB" w:rsidRDefault="00382481" w:rsidP="00034511">
            <w:pPr>
              <w:autoSpaceDE w:val="0"/>
              <w:autoSpaceDN w:val="0"/>
              <w:spacing w:before="40" w:after="40"/>
              <w:jc w:val="both"/>
              <w:rPr>
                <w:rFonts w:ascii="Tahoma" w:hAnsi="Tahoma" w:cs="Tahoma"/>
                <w:sz w:val="18"/>
                <w:szCs w:val="18"/>
              </w:rPr>
            </w:pPr>
            <w:r w:rsidRPr="008033EB">
              <w:rPr>
                <w:rFonts w:ascii="Tahoma" w:hAnsi="Tahoma" w:cs="Tahoma"/>
                <w:sz w:val="18"/>
                <w:szCs w:val="18"/>
              </w:rPr>
              <w:t>2. За непредоставление (нарушение срока предоставления) залога (если условиями Договора предусмотрена такая обязанность Заемщика) – в размере 5 (пять) % годовых на сумму основного долга за каждый день просрочки предоставления залога, начиная со следующего дня за днем просрочки предоставления залога.</w:t>
            </w:r>
          </w:p>
          <w:p w14:paraId="5BD80FDF" w14:textId="77777777" w:rsidR="00382481" w:rsidRPr="008033EB" w:rsidRDefault="00382481" w:rsidP="00034511">
            <w:pPr>
              <w:autoSpaceDE w:val="0"/>
              <w:autoSpaceDN w:val="0"/>
              <w:spacing w:before="40" w:after="40"/>
              <w:jc w:val="both"/>
              <w:rPr>
                <w:rFonts w:ascii="Tahoma" w:hAnsi="Tahoma" w:cs="Tahoma"/>
                <w:sz w:val="18"/>
                <w:szCs w:val="18"/>
              </w:rPr>
            </w:pPr>
            <w:r w:rsidRPr="008033EB">
              <w:rPr>
                <w:rFonts w:ascii="Tahoma" w:hAnsi="Tahoma" w:cs="Tahoma"/>
                <w:sz w:val="18"/>
                <w:szCs w:val="18"/>
              </w:rPr>
              <w:t>3. Суммарный размер ответственности Заемщика при совокупности указанных нарушений не может превышать ограничений, предусмотренных частями 21 и 24 статьи 5 Федерального закона от 21.12.2013 № 353-ФЗ «О потребительском кредите (займе)».</w:t>
            </w:r>
          </w:p>
        </w:tc>
      </w:tr>
      <w:tr w:rsidR="00382481" w:rsidRPr="008033EB" w14:paraId="40B7296C" w14:textId="77777777" w:rsidTr="00034511">
        <w:tblPrEx>
          <w:tblLook w:val="00A0" w:firstRow="1" w:lastRow="0" w:firstColumn="1" w:lastColumn="0" w:noHBand="0" w:noVBand="0"/>
        </w:tblPrEx>
        <w:trPr>
          <w:trHeight w:val="160"/>
        </w:trPr>
        <w:tc>
          <w:tcPr>
            <w:tcW w:w="6238" w:type="dxa"/>
            <w:tcBorders>
              <w:top w:val="single" w:sz="4" w:space="0" w:color="auto"/>
              <w:left w:val="single" w:sz="8" w:space="0" w:color="auto"/>
              <w:bottom w:val="single" w:sz="4" w:space="0" w:color="auto"/>
              <w:right w:val="single" w:sz="4" w:space="0" w:color="auto"/>
            </w:tcBorders>
            <w:vAlign w:val="center"/>
          </w:tcPr>
          <w:p w14:paraId="2DB34ADD" w14:textId="77777777" w:rsidR="00382481" w:rsidRPr="008033EB" w:rsidRDefault="00382481" w:rsidP="00034511">
            <w:pPr>
              <w:widowControl w:val="0"/>
              <w:tabs>
                <w:tab w:val="left" w:pos="426"/>
                <w:tab w:val="left" w:pos="851"/>
              </w:tabs>
              <w:jc w:val="both"/>
              <w:rPr>
                <w:rFonts w:ascii="Tahoma" w:hAnsi="Tahoma" w:cs="Tahoma"/>
                <w:b/>
                <w:color w:val="000000"/>
                <w:sz w:val="18"/>
                <w:szCs w:val="18"/>
              </w:rPr>
            </w:pPr>
            <w:r w:rsidRPr="008033EB">
              <w:rPr>
                <w:rFonts w:ascii="Tahoma" w:hAnsi="Tahoma" w:cs="Tahoma"/>
                <w:b/>
                <w:color w:val="000000"/>
                <w:sz w:val="18"/>
                <w:szCs w:val="18"/>
              </w:rPr>
              <w:t>Уступка Банком третьим лицам прав (требований) по Договору</w:t>
            </w:r>
          </w:p>
        </w:tc>
        <w:tc>
          <w:tcPr>
            <w:tcW w:w="9214" w:type="dxa"/>
            <w:gridSpan w:val="3"/>
            <w:tcBorders>
              <w:top w:val="single" w:sz="4" w:space="0" w:color="auto"/>
              <w:left w:val="nil"/>
              <w:bottom w:val="single" w:sz="4" w:space="0" w:color="auto"/>
              <w:right w:val="single" w:sz="8" w:space="0" w:color="000000"/>
            </w:tcBorders>
            <w:noWrap/>
            <w:vAlign w:val="center"/>
          </w:tcPr>
          <w:p w14:paraId="524BCAFD" w14:textId="77777777" w:rsidR="00382481" w:rsidRPr="008033EB" w:rsidRDefault="00382481" w:rsidP="00034511">
            <w:pPr>
              <w:widowControl w:val="0"/>
              <w:tabs>
                <w:tab w:val="left" w:pos="426"/>
                <w:tab w:val="left" w:pos="851"/>
              </w:tabs>
              <w:jc w:val="both"/>
              <w:rPr>
                <w:rFonts w:ascii="Tahoma" w:hAnsi="Tahoma" w:cs="Tahoma"/>
                <w:color w:val="000000"/>
                <w:sz w:val="18"/>
                <w:szCs w:val="18"/>
              </w:rPr>
            </w:pPr>
            <w:r w:rsidRPr="008033EB">
              <w:rPr>
                <w:rFonts w:ascii="Tahoma" w:hAnsi="Tahoma" w:cs="Tahoma"/>
                <w:color w:val="000000"/>
                <w:sz w:val="18"/>
                <w:szCs w:val="18"/>
              </w:rPr>
              <w:t>При заключении Договора Заемщик вправе запретить уступку Банком третьим лицам прав (требований) по Договору.</w:t>
            </w:r>
          </w:p>
        </w:tc>
      </w:tr>
      <w:tr w:rsidR="00382481" w:rsidRPr="008033EB" w14:paraId="02D39988" w14:textId="77777777" w:rsidTr="00034511">
        <w:tblPrEx>
          <w:tblLook w:val="00A0" w:firstRow="1" w:lastRow="0" w:firstColumn="1" w:lastColumn="0" w:noHBand="0" w:noVBand="0"/>
        </w:tblPrEx>
        <w:trPr>
          <w:trHeight w:val="160"/>
        </w:trPr>
        <w:tc>
          <w:tcPr>
            <w:tcW w:w="6238" w:type="dxa"/>
            <w:tcBorders>
              <w:top w:val="single" w:sz="4" w:space="0" w:color="auto"/>
              <w:left w:val="single" w:sz="8" w:space="0" w:color="auto"/>
              <w:bottom w:val="single" w:sz="4" w:space="0" w:color="auto"/>
              <w:right w:val="single" w:sz="4" w:space="0" w:color="auto"/>
            </w:tcBorders>
            <w:vAlign w:val="center"/>
          </w:tcPr>
          <w:p w14:paraId="4DBCE216" w14:textId="77777777" w:rsidR="00382481" w:rsidRPr="008033EB" w:rsidRDefault="00382481" w:rsidP="00034511">
            <w:pPr>
              <w:widowControl w:val="0"/>
              <w:tabs>
                <w:tab w:val="left" w:pos="426"/>
                <w:tab w:val="left" w:pos="851"/>
              </w:tabs>
              <w:jc w:val="both"/>
              <w:rPr>
                <w:rFonts w:ascii="Tahoma" w:hAnsi="Tahoma" w:cs="Tahoma"/>
                <w:b/>
                <w:color w:val="000000"/>
                <w:sz w:val="18"/>
                <w:szCs w:val="18"/>
              </w:rPr>
            </w:pPr>
            <w:r w:rsidRPr="008033EB">
              <w:rPr>
                <w:rFonts w:ascii="Tahoma" w:hAnsi="Tahoma" w:cs="Tahoma"/>
                <w:b/>
                <w:color w:val="000000"/>
                <w:sz w:val="18"/>
                <w:szCs w:val="18"/>
              </w:rPr>
              <w:t>Подсудность споров по искам Кредитора к заемщику</w:t>
            </w:r>
          </w:p>
        </w:tc>
        <w:tc>
          <w:tcPr>
            <w:tcW w:w="9214" w:type="dxa"/>
            <w:gridSpan w:val="3"/>
            <w:tcBorders>
              <w:top w:val="single" w:sz="4" w:space="0" w:color="auto"/>
              <w:left w:val="nil"/>
              <w:bottom w:val="single" w:sz="4" w:space="0" w:color="auto"/>
              <w:right w:val="single" w:sz="8" w:space="0" w:color="000000"/>
            </w:tcBorders>
            <w:noWrap/>
            <w:vAlign w:val="center"/>
          </w:tcPr>
          <w:p w14:paraId="623A3544" w14:textId="77777777" w:rsidR="00382481" w:rsidRPr="008033EB" w:rsidRDefault="00382481" w:rsidP="00034511">
            <w:pPr>
              <w:widowControl w:val="0"/>
              <w:tabs>
                <w:tab w:val="left" w:pos="426"/>
                <w:tab w:val="left" w:pos="851"/>
              </w:tabs>
              <w:jc w:val="both"/>
              <w:rPr>
                <w:rFonts w:ascii="Tahoma" w:hAnsi="Tahoma" w:cs="Tahoma"/>
                <w:color w:val="000000"/>
                <w:sz w:val="18"/>
                <w:szCs w:val="18"/>
              </w:rPr>
            </w:pPr>
            <w:r w:rsidRPr="008033EB">
              <w:rPr>
                <w:rFonts w:ascii="Tahoma" w:hAnsi="Tahoma" w:cs="Tahoma"/>
                <w:color w:val="000000"/>
                <w:sz w:val="18"/>
                <w:szCs w:val="18"/>
              </w:rPr>
              <w:t>Все споры по Договору по искам Банка к Заемщику рассматриваются в порядке, установленном законодательством РФ.</w:t>
            </w:r>
          </w:p>
          <w:p w14:paraId="6E1A5249" w14:textId="77777777" w:rsidR="00382481" w:rsidRPr="008033EB" w:rsidRDefault="00382481" w:rsidP="00034511">
            <w:pPr>
              <w:widowControl w:val="0"/>
              <w:tabs>
                <w:tab w:val="left" w:pos="426"/>
                <w:tab w:val="left" w:pos="851"/>
              </w:tabs>
              <w:jc w:val="both"/>
              <w:rPr>
                <w:rFonts w:ascii="Tahoma" w:hAnsi="Tahoma" w:cs="Tahoma"/>
                <w:color w:val="000000"/>
                <w:sz w:val="18"/>
                <w:szCs w:val="18"/>
              </w:rPr>
            </w:pPr>
            <w:r w:rsidRPr="008033EB">
              <w:rPr>
                <w:rFonts w:ascii="Tahoma" w:hAnsi="Tahoma" w:cs="Tahoma"/>
                <w:color w:val="000000"/>
                <w:sz w:val="18"/>
                <w:szCs w:val="18"/>
              </w:rPr>
              <w:t>Взыскание задолженности по Договору может производиться по исполнительной надписи нотариуса, совершаемой на основании заявления Банка.</w:t>
            </w:r>
          </w:p>
        </w:tc>
      </w:tr>
      <w:tr w:rsidR="00382481" w:rsidRPr="008033EB" w14:paraId="17A9743A" w14:textId="77777777" w:rsidTr="00034511">
        <w:tblPrEx>
          <w:tblLook w:val="00A0" w:firstRow="1" w:lastRow="0" w:firstColumn="1" w:lastColumn="0" w:noHBand="0" w:noVBand="0"/>
        </w:tblPrEx>
        <w:trPr>
          <w:trHeight w:val="991"/>
        </w:trPr>
        <w:tc>
          <w:tcPr>
            <w:tcW w:w="6238" w:type="dxa"/>
            <w:tcBorders>
              <w:top w:val="single" w:sz="4" w:space="0" w:color="auto"/>
              <w:left w:val="single" w:sz="8" w:space="0" w:color="auto"/>
              <w:bottom w:val="single" w:sz="4" w:space="0" w:color="auto"/>
              <w:right w:val="single" w:sz="4" w:space="0" w:color="auto"/>
            </w:tcBorders>
            <w:vAlign w:val="center"/>
          </w:tcPr>
          <w:p w14:paraId="0AB5B62C" w14:textId="77777777" w:rsidR="00382481" w:rsidRPr="008033EB" w:rsidRDefault="00382481" w:rsidP="00034511">
            <w:pPr>
              <w:widowControl w:val="0"/>
              <w:tabs>
                <w:tab w:val="left" w:pos="426"/>
                <w:tab w:val="left" w:pos="851"/>
              </w:tabs>
              <w:jc w:val="both"/>
              <w:rPr>
                <w:rFonts w:ascii="Tahoma" w:hAnsi="Tahoma" w:cs="Tahoma"/>
                <w:b/>
                <w:color w:val="000000"/>
                <w:sz w:val="18"/>
                <w:szCs w:val="18"/>
              </w:rPr>
            </w:pPr>
            <w:r w:rsidRPr="008033EB">
              <w:rPr>
                <w:rFonts w:ascii="Tahoma" w:hAnsi="Tahoma" w:cs="Tahoma"/>
                <w:b/>
                <w:color w:val="000000"/>
                <w:sz w:val="18"/>
                <w:szCs w:val="18"/>
              </w:rPr>
              <w:t xml:space="preserve">Виды и суммы иных платежей Заемщика по Договору </w:t>
            </w:r>
          </w:p>
        </w:tc>
        <w:tc>
          <w:tcPr>
            <w:tcW w:w="9214" w:type="dxa"/>
            <w:gridSpan w:val="3"/>
            <w:tcBorders>
              <w:top w:val="single" w:sz="4" w:space="0" w:color="auto"/>
              <w:left w:val="nil"/>
              <w:bottom w:val="single" w:sz="4" w:space="0" w:color="auto"/>
              <w:right w:val="single" w:sz="8" w:space="0" w:color="000000"/>
            </w:tcBorders>
            <w:noWrap/>
            <w:vAlign w:val="center"/>
          </w:tcPr>
          <w:p w14:paraId="781A7F90" w14:textId="77777777" w:rsidR="00382481" w:rsidRPr="008033EB" w:rsidRDefault="00382481" w:rsidP="00034511">
            <w:pPr>
              <w:widowControl w:val="0"/>
              <w:tabs>
                <w:tab w:val="left" w:pos="426"/>
                <w:tab w:val="left" w:pos="851"/>
              </w:tabs>
              <w:jc w:val="both"/>
            </w:pPr>
            <w:r w:rsidRPr="008033EB">
              <w:rPr>
                <w:rFonts w:ascii="Tahoma" w:hAnsi="Tahoma" w:cs="Tahoma"/>
                <w:sz w:val="18"/>
                <w:szCs w:val="18"/>
              </w:rPr>
              <w:t>Иные обязательные платежи по Договору отсутствуют</w:t>
            </w:r>
            <w:r w:rsidRPr="008033EB">
              <w:t xml:space="preserve">. </w:t>
            </w:r>
          </w:p>
          <w:p w14:paraId="2B9CB662" w14:textId="77777777" w:rsidR="00382481" w:rsidRPr="008033EB" w:rsidRDefault="00382481" w:rsidP="00034511">
            <w:pPr>
              <w:widowControl w:val="0"/>
              <w:tabs>
                <w:tab w:val="left" w:pos="426"/>
                <w:tab w:val="left" w:pos="851"/>
              </w:tabs>
              <w:jc w:val="both"/>
              <w:rPr>
                <w:rFonts w:ascii="Tahoma" w:hAnsi="Tahoma" w:cs="Tahoma"/>
                <w:sz w:val="18"/>
                <w:szCs w:val="18"/>
              </w:rPr>
            </w:pPr>
          </w:p>
          <w:p w14:paraId="360D9AB4" w14:textId="77777777" w:rsidR="00382481" w:rsidRPr="008033EB" w:rsidRDefault="00382481" w:rsidP="00034511">
            <w:pPr>
              <w:widowControl w:val="0"/>
              <w:tabs>
                <w:tab w:val="left" w:pos="426"/>
                <w:tab w:val="left" w:pos="851"/>
              </w:tabs>
              <w:jc w:val="both"/>
              <w:rPr>
                <w:rFonts w:ascii="Tahoma" w:hAnsi="Tahoma" w:cs="Tahoma"/>
                <w:sz w:val="18"/>
                <w:szCs w:val="18"/>
              </w:rPr>
            </w:pPr>
            <w:r w:rsidRPr="008033EB">
              <w:rPr>
                <w:rFonts w:ascii="Tahoma" w:hAnsi="Tahoma" w:cs="Tahoma"/>
                <w:sz w:val="18"/>
                <w:szCs w:val="18"/>
              </w:rPr>
              <w:t xml:space="preserve">При наличии соответствующего волеизъявления Заемщика ему могут быть оказаны Банком услуги, не являющиеся обязательными для заключения или исполнения Договора, плата за которые предусмотрена Тарифами Банка </w:t>
            </w:r>
          </w:p>
          <w:p w14:paraId="42F4C1B5" w14:textId="77777777" w:rsidR="00382481" w:rsidRPr="008033EB" w:rsidRDefault="00382481" w:rsidP="00034511">
            <w:pPr>
              <w:widowControl w:val="0"/>
              <w:tabs>
                <w:tab w:val="left" w:pos="426"/>
                <w:tab w:val="left" w:pos="851"/>
              </w:tabs>
              <w:jc w:val="both"/>
              <w:rPr>
                <w:rFonts w:ascii="Tahoma" w:hAnsi="Tahoma" w:cs="Tahoma"/>
                <w:sz w:val="18"/>
                <w:szCs w:val="18"/>
              </w:rPr>
            </w:pPr>
            <w:r w:rsidRPr="008033EB">
              <w:rPr>
                <w:rFonts w:ascii="Tahoma" w:hAnsi="Tahoma" w:cs="Tahoma"/>
                <w:sz w:val="18"/>
                <w:szCs w:val="18"/>
              </w:rPr>
              <w:t xml:space="preserve">( </w:t>
            </w:r>
            <w:hyperlink r:id="rId22" w:history="1">
              <w:r w:rsidRPr="008033EB">
                <w:rPr>
                  <w:rStyle w:val="aff"/>
                  <w:rFonts w:ascii="Tahoma" w:hAnsi="Tahoma" w:cs="Tahoma"/>
                  <w:sz w:val="18"/>
                  <w:szCs w:val="18"/>
                </w:rPr>
                <w:t>https://www.atb.su/general-information/tariff-book/</w:t>
              </w:r>
            </w:hyperlink>
            <w:r w:rsidRPr="008033EB">
              <w:rPr>
                <w:rFonts w:ascii="Tahoma" w:hAnsi="Tahoma" w:cs="Tahoma"/>
                <w:sz w:val="18"/>
                <w:szCs w:val="18"/>
              </w:rPr>
              <w:t xml:space="preserve"> ). Оказание услуги Банком производится в случае выражения Заемщиком волеизъявления на пользование определенной услугой. Оплата услуг должна быть произведена до момента оказания Банком услуг.</w:t>
            </w:r>
          </w:p>
          <w:p w14:paraId="42B8202F" w14:textId="77777777" w:rsidR="00382481" w:rsidRPr="008033EB" w:rsidRDefault="00382481" w:rsidP="00034511">
            <w:pPr>
              <w:widowControl w:val="0"/>
              <w:tabs>
                <w:tab w:val="left" w:pos="426"/>
                <w:tab w:val="left" w:pos="851"/>
              </w:tabs>
              <w:jc w:val="both"/>
              <w:rPr>
                <w:rFonts w:ascii="Tahoma" w:hAnsi="Tahoma" w:cs="Tahoma"/>
                <w:sz w:val="18"/>
                <w:szCs w:val="18"/>
              </w:rPr>
            </w:pPr>
          </w:p>
          <w:p w14:paraId="2CB78657" w14:textId="77777777" w:rsidR="00382481" w:rsidRPr="008033EB" w:rsidRDefault="00382481" w:rsidP="00034511">
            <w:pPr>
              <w:widowControl w:val="0"/>
              <w:tabs>
                <w:tab w:val="left" w:pos="426"/>
                <w:tab w:val="left" w:pos="851"/>
              </w:tabs>
              <w:jc w:val="both"/>
              <w:rPr>
                <w:rFonts w:ascii="Tahoma" w:hAnsi="Tahoma" w:cs="Tahoma"/>
                <w:sz w:val="18"/>
                <w:szCs w:val="18"/>
              </w:rPr>
            </w:pPr>
            <w:r w:rsidRPr="008033EB">
              <w:rPr>
                <w:rFonts w:ascii="Tahoma" w:hAnsi="Tahoma" w:cs="Tahoma"/>
                <w:sz w:val="18"/>
                <w:szCs w:val="18"/>
              </w:rPr>
              <w:t>Платеж за выдачу дубликата или восстановление утерянного Договора, договоров обеспечения в размере 10 000 рублей за один Договор.</w:t>
            </w:r>
          </w:p>
        </w:tc>
      </w:tr>
      <w:tr w:rsidR="00382481" w:rsidRPr="008033EB" w14:paraId="2980D0DD" w14:textId="77777777" w:rsidTr="00034511">
        <w:tblPrEx>
          <w:tblLook w:val="00A0" w:firstRow="1" w:lastRow="0" w:firstColumn="1" w:lastColumn="0" w:noHBand="0" w:noVBand="0"/>
        </w:tblPrEx>
        <w:trPr>
          <w:trHeight w:val="308"/>
        </w:trPr>
        <w:tc>
          <w:tcPr>
            <w:tcW w:w="6238" w:type="dxa"/>
            <w:vMerge w:val="restart"/>
            <w:tcBorders>
              <w:top w:val="single" w:sz="4" w:space="0" w:color="auto"/>
              <w:left w:val="single" w:sz="4" w:space="0" w:color="auto"/>
              <w:bottom w:val="single" w:sz="4" w:space="0" w:color="auto"/>
              <w:right w:val="single" w:sz="4" w:space="0" w:color="auto"/>
            </w:tcBorders>
            <w:vAlign w:val="center"/>
          </w:tcPr>
          <w:p w14:paraId="5ADC8686" w14:textId="77777777" w:rsidR="00382481" w:rsidRPr="008033EB" w:rsidRDefault="00382481" w:rsidP="00034511">
            <w:pPr>
              <w:widowControl w:val="0"/>
              <w:tabs>
                <w:tab w:val="left" w:pos="426"/>
                <w:tab w:val="left" w:pos="851"/>
              </w:tabs>
              <w:jc w:val="both"/>
              <w:rPr>
                <w:rFonts w:ascii="Tahoma" w:hAnsi="Tahoma" w:cs="Tahoma"/>
                <w:b/>
                <w:color w:val="000000"/>
                <w:sz w:val="18"/>
                <w:szCs w:val="18"/>
              </w:rPr>
            </w:pPr>
            <w:r w:rsidRPr="008033EB">
              <w:rPr>
                <w:rFonts w:ascii="Tahoma" w:hAnsi="Tahoma" w:cs="Tahoma"/>
                <w:b/>
                <w:bCs/>
                <w:sz w:val="18"/>
                <w:szCs w:val="18"/>
              </w:rPr>
              <w:t>Перевод денежных средств с ТБС, используемого для выдачи Кредита, в другую кредитную организацию:</w:t>
            </w:r>
          </w:p>
        </w:tc>
        <w:tc>
          <w:tcPr>
            <w:tcW w:w="7451" w:type="dxa"/>
            <w:gridSpan w:val="2"/>
            <w:tcBorders>
              <w:top w:val="single" w:sz="4" w:space="0" w:color="auto"/>
              <w:left w:val="nil"/>
              <w:bottom w:val="single" w:sz="4" w:space="0" w:color="auto"/>
              <w:right w:val="single" w:sz="4" w:space="0" w:color="auto"/>
            </w:tcBorders>
            <w:noWrap/>
            <w:vAlign w:val="center"/>
          </w:tcPr>
          <w:p w14:paraId="59219806" w14:textId="77777777" w:rsidR="00382481" w:rsidRPr="008033EB" w:rsidRDefault="00382481" w:rsidP="00034511">
            <w:pPr>
              <w:widowControl w:val="0"/>
              <w:rPr>
                <w:rFonts w:ascii="Tahoma" w:hAnsi="Tahoma" w:cs="Tahoma"/>
                <w:sz w:val="18"/>
                <w:szCs w:val="18"/>
              </w:rPr>
            </w:pPr>
            <w:r w:rsidRPr="008033EB">
              <w:rPr>
                <w:rFonts w:ascii="Tahoma" w:hAnsi="Tahoma" w:cs="Tahoma"/>
                <w:bCs/>
                <w:sz w:val="18"/>
                <w:szCs w:val="18"/>
              </w:rPr>
              <w:t>в пользу юридического лица в рамках целевого кредитования;</w:t>
            </w:r>
          </w:p>
        </w:tc>
        <w:tc>
          <w:tcPr>
            <w:tcW w:w="1763" w:type="dxa"/>
            <w:vMerge w:val="restart"/>
            <w:tcBorders>
              <w:top w:val="single" w:sz="4" w:space="0" w:color="auto"/>
              <w:left w:val="single" w:sz="4" w:space="0" w:color="auto"/>
              <w:right w:val="single" w:sz="4" w:space="0" w:color="auto"/>
            </w:tcBorders>
            <w:vAlign w:val="center"/>
          </w:tcPr>
          <w:p w14:paraId="78D1F3BF" w14:textId="77777777" w:rsidR="00382481" w:rsidRPr="008033EB" w:rsidRDefault="00382481" w:rsidP="00034511">
            <w:pPr>
              <w:widowControl w:val="0"/>
              <w:tabs>
                <w:tab w:val="left" w:pos="426"/>
                <w:tab w:val="left" w:pos="851"/>
              </w:tabs>
              <w:jc w:val="center"/>
              <w:rPr>
                <w:rFonts w:ascii="Tahoma" w:hAnsi="Tahoma" w:cs="Tahoma"/>
                <w:sz w:val="18"/>
                <w:szCs w:val="18"/>
              </w:rPr>
            </w:pPr>
            <w:r w:rsidRPr="008033EB">
              <w:rPr>
                <w:rFonts w:ascii="Tahoma" w:hAnsi="Tahoma" w:cs="Tahoma"/>
                <w:sz w:val="18"/>
                <w:szCs w:val="18"/>
              </w:rPr>
              <w:t>Не применимо</w:t>
            </w:r>
          </w:p>
        </w:tc>
      </w:tr>
      <w:tr w:rsidR="00382481" w:rsidRPr="008033EB" w14:paraId="26CFA82C" w14:textId="77777777" w:rsidTr="00034511">
        <w:tblPrEx>
          <w:tblLook w:val="00A0" w:firstRow="1" w:lastRow="0" w:firstColumn="1" w:lastColumn="0" w:noHBand="0" w:noVBand="0"/>
        </w:tblPrEx>
        <w:trPr>
          <w:trHeight w:val="272"/>
        </w:trPr>
        <w:tc>
          <w:tcPr>
            <w:tcW w:w="6238" w:type="dxa"/>
            <w:vMerge/>
            <w:tcBorders>
              <w:top w:val="single" w:sz="4" w:space="0" w:color="auto"/>
              <w:left w:val="single" w:sz="4" w:space="0" w:color="auto"/>
              <w:bottom w:val="single" w:sz="4" w:space="0" w:color="auto"/>
              <w:right w:val="single" w:sz="4" w:space="0" w:color="auto"/>
            </w:tcBorders>
            <w:vAlign w:val="center"/>
          </w:tcPr>
          <w:p w14:paraId="4DD9661B" w14:textId="77777777" w:rsidR="00382481" w:rsidRPr="008033EB" w:rsidRDefault="00382481" w:rsidP="00034511">
            <w:pPr>
              <w:widowControl w:val="0"/>
              <w:tabs>
                <w:tab w:val="left" w:pos="426"/>
                <w:tab w:val="left" w:pos="851"/>
              </w:tabs>
              <w:jc w:val="both"/>
              <w:rPr>
                <w:rFonts w:ascii="Tahoma" w:hAnsi="Tahoma" w:cs="Tahoma"/>
                <w:b/>
                <w:color w:val="000000"/>
                <w:sz w:val="18"/>
                <w:szCs w:val="18"/>
              </w:rPr>
            </w:pPr>
          </w:p>
        </w:tc>
        <w:tc>
          <w:tcPr>
            <w:tcW w:w="7451" w:type="dxa"/>
            <w:gridSpan w:val="2"/>
            <w:tcBorders>
              <w:top w:val="single" w:sz="4" w:space="0" w:color="auto"/>
              <w:left w:val="nil"/>
              <w:bottom w:val="single" w:sz="4" w:space="0" w:color="auto"/>
              <w:right w:val="single" w:sz="4" w:space="0" w:color="auto"/>
            </w:tcBorders>
            <w:noWrap/>
            <w:vAlign w:val="center"/>
          </w:tcPr>
          <w:p w14:paraId="282F0003" w14:textId="77777777" w:rsidR="00382481" w:rsidRPr="008033EB" w:rsidRDefault="00382481" w:rsidP="00034511">
            <w:pPr>
              <w:widowControl w:val="0"/>
              <w:rPr>
                <w:rFonts w:ascii="Tahoma" w:hAnsi="Tahoma" w:cs="Tahoma"/>
                <w:sz w:val="18"/>
                <w:szCs w:val="18"/>
              </w:rPr>
            </w:pPr>
            <w:r w:rsidRPr="008033EB">
              <w:rPr>
                <w:rFonts w:ascii="Tahoma" w:hAnsi="Tahoma" w:cs="Tahoma"/>
                <w:bCs/>
                <w:sz w:val="18"/>
                <w:szCs w:val="18"/>
              </w:rPr>
              <w:t>в пользу физического лица для получения суммы Кредита в населенных пунктах, где отсутствуют подразделения Банка.</w:t>
            </w:r>
          </w:p>
        </w:tc>
        <w:tc>
          <w:tcPr>
            <w:tcW w:w="1763" w:type="dxa"/>
            <w:vMerge/>
            <w:tcBorders>
              <w:left w:val="single" w:sz="4" w:space="0" w:color="auto"/>
              <w:bottom w:val="single" w:sz="4" w:space="0" w:color="auto"/>
              <w:right w:val="single" w:sz="4" w:space="0" w:color="auto"/>
            </w:tcBorders>
            <w:vAlign w:val="center"/>
          </w:tcPr>
          <w:p w14:paraId="2E2043A4" w14:textId="77777777" w:rsidR="00382481" w:rsidRPr="008033EB" w:rsidRDefault="00382481" w:rsidP="00034511">
            <w:pPr>
              <w:widowControl w:val="0"/>
              <w:tabs>
                <w:tab w:val="left" w:pos="426"/>
                <w:tab w:val="left" w:pos="851"/>
              </w:tabs>
              <w:rPr>
                <w:rFonts w:ascii="Tahoma" w:hAnsi="Tahoma" w:cs="Tahoma"/>
                <w:sz w:val="18"/>
                <w:szCs w:val="18"/>
              </w:rPr>
            </w:pPr>
          </w:p>
        </w:tc>
      </w:tr>
      <w:tr w:rsidR="00382481" w:rsidRPr="008033EB" w14:paraId="767E8D3E" w14:textId="77777777" w:rsidTr="00034511">
        <w:tblPrEx>
          <w:tblLook w:val="00A0" w:firstRow="1" w:lastRow="0" w:firstColumn="1" w:lastColumn="0" w:noHBand="0" w:noVBand="0"/>
        </w:tblPrEx>
        <w:trPr>
          <w:trHeight w:val="265"/>
        </w:trPr>
        <w:tc>
          <w:tcPr>
            <w:tcW w:w="6238" w:type="dxa"/>
            <w:vMerge/>
            <w:tcBorders>
              <w:top w:val="single" w:sz="4" w:space="0" w:color="auto"/>
              <w:left w:val="single" w:sz="4" w:space="0" w:color="auto"/>
              <w:bottom w:val="single" w:sz="4" w:space="0" w:color="auto"/>
              <w:right w:val="single" w:sz="4" w:space="0" w:color="auto"/>
            </w:tcBorders>
            <w:vAlign w:val="center"/>
          </w:tcPr>
          <w:p w14:paraId="07735F4D" w14:textId="77777777" w:rsidR="00382481" w:rsidRPr="008033EB" w:rsidRDefault="00382481" w:rsidP="00034511">
            <w:pPr>
              <w:widowControl w:val="0"/>
              <w:tabs>
                <w:tab w:val="left" w:pos="426"/>
                <w:tab w:val="left" w:pos="851"/>
              </w:tabs>
              <w:jc w:val="both"/>
              <w:rPr>
                <w:rFonts w:ascii="Tahoma" w:hAnsi="Tahoma" w:cs="Tahoma"/>
                <w:b/>
                <w:color w:val="000000"/>
                <w:sz w:val="18"/>
                <w:szCs w:val="18"/>
              </w:rPr>
            </w:pPr>
          </w:p>
        </w:tc>
        <w:tc>
          <w:tcPr>
            <w:tcW w:w="9214" w:type="dxa"/>
            <w:gridSpan w:val="3"/>
            <w:tcBorders>
              <w:top w:val="single" w:sz="4" w:space="0" w:color="auto"/>
              <w:left w:val="nil"/>
              <w:bottom w:val="single" w:sz="4" w:space="0" w:color="auto"/>
              <w:right w:val="single" w:sz="4" w:space="0" w:color="auto"/>
            </w:tcBorders>
            <w:noWrap/>
            <w:vAlign w:val="center"/>
          </w:tcPr>
          <w:p w14:paraId="701BD31A" w14:textId="77777777" w:rsidR="00382481" w:rsidRPr="008033EB" w:rsidRDefault="00382481" w:rsidP="00034511">
            <w:pPr>
              <w:widowControl w:val="0"/>
              <w:tabs>
                <w:tab w:val="left" w:pos="426"/>
                <w:tab w:val="left" w:pos="851"/>
              </w:tabs>
              <w:rPr>
                <w:rFonts w:ascii="Tahoma" w:hAnsi="Tahoma" w:cs="Tahoma"/>
                <w:sz w:val="18"/>
                <w:szCs w:val="18"/>
              </w:rPr>
            </w:pPr>
            <w:r w:rsidRPr="008033EB">
              <w:rPr>
                <w:rFonts w:ascii="Tahoma" w:hAnsi="Tahoma" w:cs="Tahoma"/>
                <w:bCs/>
                <w:sz w:val="18"/>
                <w:szCs w:val="18"/>
              </w:rPr>
              <w:t>в остальных случаях плата за перевод денежных средств взимается по Тарифам, действующим в Банке на момент совершения операций.</w:t>
            </w:r>
          </w:p>
        </w:tc>
      </w:tr>
      <w:tr w:rsidR="00382481" w:rsidRPr="008033EB" w14:paraId="4205764D" w14:textId="77777777" w:rsidTr="000345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trHeight w:val="101"/>
        </w:trPr>
        <w:tc>
          <w:tcPr>
            <w:tcW w:w="6238" w:type="dxa"/>
            <w:tcBorders>
              <w:top w:val="single" w:sz="4" w:space="0" w:color="auto"/>
              <w:left w:val="single" w:sz="4" w:space="0" w:color="auto"/>
              <w:bottom w:val="single" w:sz="4" w:space="0" w:color="auto"/>
              <w:right w:val="single" w:sz="4" w:space="0" w:color="auto"/>
            </w:tcBorders>
            <w:vAlign w:val="center"/>
          </w:tcPr>
          <w:p w14:paraId="6FFD8D04" w14:textId="77777777" w:rsidR="00382481" w:rsidRPr="008033EB" w:rsidRDefault="00382481" w:rsidP="00034511">
            <w:pPr>
              <w:widowControl w:val="0"/>
              <w:tabs>
                <w:tab w:val="left" w:pos="426"/>
                <w:tab w:val="left" w:pos="851"/>
              </w:tabs>
              <w:jc w:val="both"/>
              <w:rPr>
                <w:rFonts w:ascii="Tahoma" w:hAnsi="Tahoma" w:cs="Tahoma"/>
                <w:b/>
                <w:color w:val="000000"/>
                <w:sz w:val="18"/>
                <w:szCs w:val="18"/>
              </w:rPr>
            </w:pPr>
            <w:r w:rsidRPr="008033EB">
              <w:rPr>
                <w:rFonts w:ascii="Tahoma" w:hAnsi="Tahoma" w:cs="Tahoma"/>
                <w:b/>
                <w:sz w:val="18"/>
                <w:szCs w:val="18"/>
              </w:rPr>
              <w:t>Порядок определения курса иностранной валюты при переводе денежных средств Банком третьему лицу, указанному Заемщиком</w:t>
            </w:r>
          </w:p>
        </w:tc>
        <w:tc>
          <w:tcPr>
            <w:tcW w:w="9214" w:type="dxa"/>
            <w:gridSpan w:val="3"/>
            <w:tcBorders>
              <w:top w:val="single" w:sz="4" w:space="0" w:color="auto"/>
              <w:left w:val="single" w:sz="4" w:space="0" w:color="auto"/>
              <w:bottom w:val="single" w:sz="4" w:space="0" w:color="auto"/>
              <w:right w:val="single" w:sz="4" w:space="0" w:color="auto"/>
            </w:tcBorders>
            <w:vAlign w:val="center"/>
          </w:tcPr>
          <w:p w14:paraId="6D17B847" w14:textId="77777777" w:rsidR="00382481" w:rsidRPr="008033EB" w:rsidRDefault="00382481" w:rsidP="00034511">
            <w:pPr>
              <w:widowControl w:val="0"/>
              <w:tabs>
                <w:tab w:val="left" w:pos="426"/>
                <w:tab w:val="left" w:pos="851"/>
              </w:tabs>
              <w:rPr>
                <w:rFonts w:ascii="Tahoma" w:hAnsi="Tahoma" w:cs="Tahoma"/>
                <w:color w:val="000000"/>
                <w:sz w:val="18"/>
                <w:szCs w:val="18"/>
              </w:rPr>
            </w:pPr>
            <w:r w:rsidRPr="008033EB">
              <w:rPr>
                <w:rFonts w:ascii="Tahoma" w:hAnsi="Tahoma" w:cs="Tahoma"/>
                <w:color w:val="000000"/>
                <w:sz w:val="18"/>
                <w:szCs w:val="18"/>
              </w:rPr>
              <w:t>Не применимо</w:t>
            </w:r>
          </w:p>
        </w:tc>
      </w:tr>
      <w:tr w:rsidR="00382481" w:rsidRPr="008033EB" w14:paraId="03F37A11" w14:textId="77777777" w:rsidTr="000345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trHeight w:val="101"/>
        </w:trPr>
        <w:tc>
          <w:tcPr>
            <w:tcW w:w="6238" w:type="dxa"/>
            <w:tcBorders>
              <w:top w:val="single" w:sz="4" w:space="0" w:color="auto"/>
              <w:left w:val="single" w:sz="8" w:space="0" w:color="auto"/>
              <w:bottom w:val="single" w:sz="4" w:space="0" w:color="auto"/>
              <w:right w:val="single" w:sz="4" w:space="0" w:color="000000"/>
            </w:tcBorders>
            <w:vAlign w:val="center"/>
          </w:tcPr>
          <w:p w14:paraId="66984136" w14:textId="77777777" w:rsidR="00382481" w:rsidRPr="008033EB" w:rsidRDefault="00382481" w:rsidP="00034511">
            <w:pPr>
              <w:widowControl w:val="0"/>
              <w:tabs>
                <w:tab w:val="left" w:pos="426"/>
                <w:tab w:val="left" w:pos="851"/>
              </w:tabs>
              <w:jc w:val="both"/>
              <w:rPr>
                <w:rFonts w:ascii="Tahoma" w:hAnsi="Tahoma" w:cs="Tahoma"/>
                <w:b/>
                <w:color w:val="000000"/>
                <w:sz w:val="18"/>
                <w:szCs w:val="18"/>
              </w:rPr>
            </w:pPr>
            <w:r w:rsidRPr="008033EB">
              <w:rPr>
                <w:rFonts w:ascii="Tahoma" w:hAnsi="Tahoma" w:cs="Tahoma"/>
                <w:b/>
                <w:color w:val="000000"/>
                <w:sz w:val="18"/>
                <w:szCs w:val="18"/>
              </w:rPr>
              <w:t>Информация о возможном увеличении суммы расходов заемщика по сравнению с ожидаемой суммой расходов в рублях, в том числе при применении переменной процентной ставки, а также информация о том, что изменение курса иностранной валюты в прошлом не свидетельствует об изменении ее курса в будущем, и информация о повышенных рисках Заемщика, получающего доходы в валюте, отличной от валюты кредита</w:t>
            </w:r>
          </w:p>
        </w:tc>
        <w:tc>
          <w:tcPr>
            <w:tcW w:w="9214" w:type="dxa"/>
            <w:gridSpan w:val="3"/>
            <w:tcBorders>
              <w:top w:val="single" w:sz="4" w:space="0" w:color="auto"/>
              <w:left w:val="nil"/>
              <w:bottom w:val="single" w:sz="4" w:space="0" w:color="auto"/>
              <w:right w:val="single" w:sz="8" w:space="0" w:color="000000"/>
            </w:tcBorders>
            <w:vAlign w:val="center"/>
          </w:tcPr>
          <w:p w14:paraId="7A0A9B44" w14:textId="77777777" w:rsidR="00382481" w:rsidRPr="008033EB" w:rsidRDefault="00382481" w:rsidP="00034511">
            <w:pPr>
              <w:widowControl w:val="0"/>
              <w:tabs>
                <w:tab w:val="left" w:pos="426"/>
                <w:tab w:val="left" w:pos="851"/>
              </w:tabs>
              <w:rPr>
                <w:rFonts w:ascii="Tahoma" w:hAnsi="Tahoma" w:cs="Tahoma"/>
                <w:color w:val="000000"/>
                <w:sz w:val="18"/>
                <w:szCs w:val="18"/>
              </w:rPr>
            </w:pPr>
            <w:r w:rsidRPr="008033EB">
              <w:rPr>
                <w:rFonts w:ascii="Tahoma" w:hAnsi="Tahoma" w:cs="Tahoma"/>
                <w:color w:val="000000"/>
                <w:sz w:val="18"/>
                <w:szCs w:val="18"/>
              </w:rPr>
              <w:t>Переменная процентная ставка не применяется в Договоре. Кредит предоставляется в рублях, вместе с тем, Заемщикам, получающим доход в иностранной валюте следует помнить, что изменение курса иностранной валюты в прошлом не свидетельствует об изменении ее курса в будущем, в связи с чем, такие Заемщики несут повышенные риски в связи с получением доходов в иностранной валюте.</w:t>
            </w:r>
          </w:p>
        </w:tc>
      </w:tr>
      <w:tr w:rsidR="00382481" w:rsidRPr="008033EB" w14:paraId="5F19F534" w14:textId="77777777" w:rsidTr="000345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trHeight w:val="101"/>
        </w:trPr>
        <w:tc>
          <w:tcPr>
            <w:tcW w:w="6238" w:type="dxa"/>
            <w:tcBorders>
              <w:top w:val="single" w:sz="4" w:space="0" w:color="auto"/>
              <w:left w:val="single" w:sz="8" w:space="0" w:color="auto"/>
              <w:bottom w:val="single" w:sz="4" w:space="0" w:color="auto"/>
              <w:right w:val="single" w:sz="4" w:space="0" w:color="000000"/>
            </w:tcBorders>
            <w:vAlign w:val="center"/>
          </w:tcPr>
          <w:p w14:paraId="2E9E831E" w14:textId="77777777" w:rsidR="00382481" w:rsidRPr="008033EB" w:rsidRDefault="00382481" w:rsidP="00034511">
            <w:pPr>
              <w:widowControl w:val="0"/>
              <w:tabs>
                <w:tab w:val="left" w:pos="426"/>
                <w:tab w:val="left" w:pos="851"/>
              </w:tabs>
              <w:jc w:val="both"/>
              <w:rPr>
                <w:rFonts w:ascii="Tahoma" w:hAnsi="Tahoma" w:cs="Tahoma"/>
                <w:b/>
                <w:color w:val="000000"/>
                <w:sz w:val="18"/>
                <w:szCs w:val="18"/>
              </w:rPr>
            </w:pPr>
            <w:r w:rsidRPr="008033EB">
              <w:rPr>
                <w:rFonts w:ascii="Tahoma" w:hAnsi="Tahoma" w:cs="Tahoma"/>
                <w:b/>
                <w:color w:val="000000"/>
                <w:sz w:val="18"/>
                <w:szCs w:val="18"/>
              </w:rPr>
              <w:t xml:space="preserve">Формуляры или иные стандартные формы, в которых определены общие условия Договора «Потребительский Кредит» </w:t>
            </w:r>
          </w:p>
        </w:tc>
        <w:tc>
          <w:tcPr>
            <w:tcW w:w="9214" w:type="dxa"/>
            <w:gridSpan w:val="3"/>
            <w:tcBorders>
              <w:top w:val="single" w:sz="4" w:space="0" w:color="auto"/>
              <w:left w:val="nil"/>
              <w:bottom w:val="single" w:sz="4" w:space="0" w:color="auto"/>
              <w:right w:val="single" w:sz="8" w:space="0" w:color="000000"/>
            </w:tcBorders>
            <w:vAlign w:val="center"/>
          </w:tcPr>
          <w:p w14:paraId="1218DE6F" w14:textId="77777777" w:rsidR="00382481" w:rsidRPr="008033EB" w:rsidRDefault="00382481" w:rsidP="00034511">
            <w:pPr>
              <w:widowControl w:val="0"/>
              <w:tabs>
                <w:tab w:val="left" w:pos="426"/>
                <w:tab w:val="left" w:pos="851"/>
              </w:tabs>
              <w:jc w:val="both"/>
              <w:rPr>
                <w:rFonts w:ascii="Tahoma" w:hAnsi="Tahoma" w:cs="Tahoma"/>
                <w:sz w:val="18"/>
                <w:szCs w:val="18"/>
              </w:rPr>
            </w:pPr>
            <w:r w:rsidRPr="008033EB">
              <w:rPr>
                <w:rFonts w:ascii="Tahoma" w:hAnsi="Tahoma" w:cs="Tahoma"/>
                <w:sz w:val="18"/>
                <w:szCs w:val="18"/>
              </w:rPr>
              <w:t xml:space="preserve">Общие условия Договора «Потребительский кредит»  закреплены в «Общих условиях потребительского кредитования в «Азиатско-Тихоокеанский Банк» (АО), являющихся Приложением 3 и Приложением 4 к Универсальному договору банковского обслуживания в «Азиатско-Тихоокеанский Банк» (АО), размещённых </w:t>
            </w:r>
            <w:r w:rsidRPr="008033EB">
              <w:rPr>
                <w:rFonts w:ascii="Tahoma" w:hAnsi="Tahoma" w:cs="Tahoma"/>
                <w:sz w:val="18"/>
                <w:szCs w:val="18"/>
              </w:rPr>
              <w:lastRenderedPageBreak/>
              <w:t>в местах приема заявлений на предоставление потребительского Кредита (в отделениях Банка и иных местах приема заявлений на предоставление потребительского Кредита), на сайте Банка в сети Интернет по адресу www.atb.su и могут быть предоставлены Заемщику по его требованию на бумажном носителе.</w:t>
            </w:r>
          </w:p>
        </w:tc>
      </w:tr>
      <w:tr w:rsidR="00382481" w:rsidRPr="008033EB" w14:paraId="4FF61652" w14:textId="77777777" w:rsidTr="000345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trHeight w:val="101"/>
        </w:trPr>
        <w:tc>
          <w:tcPr>
            <w:tcW w:w="6238" w:type="dxa"/>
            <w:tcBorders>
              <w:top w:val="single" w:sz="4" w:space="0" w:color="auto"/>
              <w:left w:val="single" w:sz="8" w:space="0" w:color="auto"/>
              <w:bottom w:val="single" w:sz="4" w:space="0" w:color="auto"/>
              <w:right w:val="single" w:sz="4" w:space="0" w:color="000000"/>
            </w:tcBorders>
            <w:vAlign w:val="center"/>
          </w:tcPr>
          <w:p w14:paraId="01E0C487" w14:textId="77777777" w:rsidR="00382481" w:rsidRPr="008033EB" w:rsidRDefault="00382481" w:rsidP="00034511">
            <w:pPr>
              <w:widowControl w:val="0"/>
              <w:tabs>
                <w:tab w:val="left" w:pos="426"/>
                <w:tab w:val="left" w:pos="851"/>
              </w:tabs>
              <w:jc w:val="both"/>
              <w:rPr>
                <w:rFonts w:ascii="Tahoma" w:hAnsi="Tahoma" w:cs="Tahoma"/>
                <w:b/>
                <w:color w:val="000000"/>
                <w:sz w:val="18"/>
                <w:szCs w:val="18"/>
              </w:rPr>
            </w:pPr>
            <w:r w:rsidRPr="008033EB">
              <w:rPr>
                <w:rFonts w:ascii="Tahoma" w:hAnsi="Tahoma" w:cs="Tahoma"/>
                <w:b/>
                <w:color w:val="000000"/>
                <w:sz w:val="18"/>
                <w:szCs w:val="18"/>
              </w:rPr>
              <w:lastRenderedPageBreak/>
              <w:t>Право заемщика обратиться к кредитору с требованием, предусмотренным частью 1 статьи 6.1-2 Федерального закона от 21.12.2013 № 353-ФЗ «О потребительском кредите (займе)», и об условиях, при наступлении которых у заемщика возникает соответствующее право.</w:t>
            </w:r>
          </w:p>
        </w:tc>
        <w:tc>
          <w:tcPr>
            <w:tcW w:w="9214" w:type="dxa"/>
            <w:gridSpan w:val="3"/>
            <w:tcBorders>
              <w:top w:val="single" w:sz="4" w:space="0" w:color="auto"/>
              <w:left w:val="nil"/>
              <w:bottom w:val="single" w:sz="4" w:space="0" w:color="auto"/>
              <w:right w:val="single" w:sz="8" w:space="0" w:color="000000"/>
            </w:tcBorders>
            <w:vAlign w:val="center"/>
          </w:tcPr>
          <w:p w14:paraId="26E03374" w14:textId="77777777" w:rsidR="00382481" w:rsidRPr="008033EB" w:rsidRDefault="00382481" w:rsidP="00034511">
            <w:pPr>
              <w:widowControl w:val="0"/>
              <w:tabs>
                <w:tab w:val="left" w:pos="426"/>
                <w:tab w:val="left" w:pos="851"/>
              </w:tabs>
              <w:jc w:val="both"/>
              <w:rPr>
                <w:rFonts w:ascii="Tahoma" w:hAnsi="Tahoma" w:cs="Tahoma"/>
                <w:sz w:val="18"/>
                <w:szCs w:val="18"/>
              </w:rPr>
            </w:pPr>
            <w:r w:rsidRPr="008033EB">
              <w:rPr>
                <w:rFonts w:ascii="Tahoma" w:hAnsi="Tahoma" w:cs="Tahoma"/>
                <w:sz w:val="18"/>
                <w:szCs w:val="18"/>
              </w:rPr>
              <w:t xml:space="preserve">Заемщик в любой момент в течение времени действия Договора, а в случае, указанном в п. 2 ч. 2 ст. 6.1-2 Закона № 353-ФЗ, в течение шестидесяти дней со дня установления соответствующих фактов, вправе обратиться к кредитору с требованием о предоставлении льготного периода, предусматривающего приостановление исполнения Заемщиком своих обязательств по Договору. </w:t>
            </w:r>
          </w:p>
          <w:p w14:paraId="0222BCC4" w14:textId="77777777" w:rsidR="00382481" w:rsidRPr="008033EB" w:rsidRDefault="00382481" w:rsidP="00034511">
            <w:pPr>
              <w:widowControl w:val="0"/>
              <w:tabs>
                <w:tab w:val="left" w:pos="426"/>
                <w:tab w:val="left" w:pos="851"/>
              </w:tabs>
              <w:jc w:val="both"/>
              <w:rPr>
                <w:rFonts w:ascii="Tahoma" w:hAnsi="Tahoma" w:cs="Tahoma"/>
                <w:sz w:val="18"/>
                <w:szCs w:val="18"/>
              </w:rPr>
            </w:pPr>
            <w:r w:rsidRPr="008033EB">
              <w:rPr>
                <w:rFonts w:ascii="Tahoma" w:hAnsi="Tahoma" w:cs="Tahoma"/>
                <w:sz w:val="18"/>
                <w:szCs w:val="18"/>
              </w:rPr>
              <w:t xml:space="preserve">С условиями, при наступлении которых у Заемщика возникает такое право, можно ознакомиться в размещаемой Банком информации о кредитных каникулах в рамках 353-ФЗ, в том числе на сайте Банка </w:t>
            </w:r>
          </w:p>
          <w:p w14:paraId="09B06A99" w14:textId="77777777" w:rsidR="00382481" w:rsidRPr="008033EB" w:rsidRDefault="00382481" w:rsidP="00034511">
            <w:pPr>
              <w:widowControl w:val="0"/>
              <w:tabs>
                <w:tab w:val="left" w:pos="426"/>
                <w:tab w:val="left" w:pos="851"/>
              </w:tabs>
              <w:jc w:val="both"/>
              <w:rPr>
                <w:rFonts w:ascii="Tahoma" w:hAnsi="Tahoma" w:cs="Tahoma"/>
                <w:sz w:val="18"/>
                <w:szCs w:val="18"/>
              </w:rPr>
            </w:pPr>
            <w:hyperlink r:id="rId23" w:history="1">
              <w:r w:rsidRPr="008033EB">
                <w:rPr>
                  <w:rStyle w:val="aff"/>
                  <w:rFonts w:ascii="Tahoma" w:hAnsi="Tahoma" w:cs="Tahoma"/>
                  <w:sz w:val="18"/>
                  <w:szCs w:val="18"/>
                </w:rPr>
                <w:t>https://www.atb.su/customer-care-service/</w:t>
              </w:r>
            </w:hyperlink>
          </w:p>
        </w:tc>
      </w:tr>
      <w:tr w:rsidR="00382481" w:rsidRPr="008033EB" w14:paraId="2349C6DF" w14:textId="77777777" w:rsidTr="000345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trHeight w:val="101"/>
        </w:trPr>
        <w:tc>
          <w:tcPr>
            <w:tcW w:w="6238" w:type="dxa"/>
            <w:tcBorders>
              <w:top w:val="single" w:sz="4" w:space="0" w:color="auto"/>
              <w:left w:val="single" w:sz="8" w:space="0" w:color="auto"/>
              <w:bottom w:val="single" w:sz="4" w:space="0" w:color="auto"/>
              <w:right w:val="single" w:sz="4" w:space="0" w:color="000000"/>
            </w:tcBorders>
            <w:vAlign w:val="center"/>
          </w:tcPr>
          <w:p w14:paraId="2EC3351A" w14:textId="77777777" w:rsidR="00382481" w:rsidRPr="008033EB" w:rsidRDefault="00382481" w:rsidP="00034511">
            <w:pPr>
              <w:widowControl w:val="0"/>
              <w:tabs>
                <w:tab w:val="left" w:pos="426"/>
                <w:tab w:val="left" w:pos="851"/>
              </w:tabs>
              <w:rPr>
                <w:rFonts w:ascii="Tahoma" w:hAnsi="Tahoma" w:cs="Tahoma"/>
                <w:b/>
                <w:color w:val="000000"/>
                <w:sz w:val="18"/>
                <w:szCs w:val="18"/>
              </w:rPr>
            </w:pPr>
            <w:r w:rsidRPr="008033EB">
              <w:rPr>
                <w:rFonts w:ascii="Tahoma" w:hAnsi="Tahoma" w:cs="Tahoma"/>
                <w:b/>
                <w:color w:val="000000"/>
                <w:sz w:val="18"/>
                <w:szCs w:val="18"/>
              </w:rPr>
              <w:t>Примечания</w:t>
            </w:r>
          </w:p>
        </w:tc>
        <w:tc>
          <w:tcPr>
            <w:tcW w:w="9214" w:type="dxa"/>
            <w:gridSpan w:val="3"/>
            <w:tcBorders>
              <w:top w:val="single" w:sz="4" w:space="0" w:color="auto"/>
              <w:left w:val="nil"/>
              <w:bottom w:val="single" w:sz="4" w:space="0" w:color="auto"/>
              <w:right w:val="single" w:sz="8" w:space="0" w:color="000000"/>
            </w:tcBorders>
            <w:vAlign w:val="center"/>
          </w:tcPr>
          <w:p w14:paraId="11D8F187" w14:textId="77777777" w:rsidR="00382481" w:rsidRPr="008033EB" w:rsidRDefault="00382481" w:rsidP="00034511">
            <w:pPr>
              <w:widowControl w:val="0"/>
              <w:tabs>
                <w:tab w:val="left" w:pos="426"/>
                <w:tab w:val="left" w:pos="851"/>
              </w:tabs>
              <w:jc w:val="both"/>
              <w:rPr>
                <w:rFonts w:ascii="Tahoma" w:hAnsi="Tahoma" w:cs="Tahoma"/>
                <w:sz w:val="18"/>
                <w:szCs w:val="18"/>
              </w:rPr>
            </w:pPr>
            <w:r w:rsidRPr="008033EB">
              <w:rPr>
                <w:rFonts w:ascii="Tahoma" w:hAnsi="Tahoma" w:cs="Tahoma"/>
                <w:b/>
                <w:sz w:val="18"/>
                <w:szCs w:val="18"/>
                <w:vertAlign w:val="superscript"/>
              </w:rPr>
              <w:t>*</w:t>
            </w:r>
            <w:r w:rsidRPr="008033EB">
              <w:rPr>
                <w:rFonts w:ascii="Tahoma" w:hAnsi="Tahoma" w:cs="Tahoma"/>
                <w:sz w:val="18"/>
                <w:szCs w:val="18"/>
                <w:vertAlign w:val="superscript"/>
              </w:rPr>
              <w:t xml:space="preserve">  </w:t>
            </w:r>
            <w:r w:rsidRPr="008033EB">
              <w:rPr>
                <w:rFonts w:ascii="Tahoma" w:hAnsi="Tahoma" w:cs="Tahoma"/>
                <w:sz w:val="18"/>
                <w:szCs w:val="18"/>
              </w:rPr>
              <w:t>В том числе</w:t>
            </w:r>
            <w:r w:rsidRPr="008033EB">
              <w:rPr>
                <w:rFonts w:ascii="Tahoma" w:hAnsi="Tahoma" w:cs="Tahoma"/>
                <w:sz w:val="18"/>
                <w:szCs w:val="18"/>
                <w:vertAlign w:val="superscript"/>
              </w:rPr>
              <w:t xml:space="preserve"> </w:t>
            </w:r>
            <w:r w:rsidRPr="008033EB">
              <w:rPr>
                <w:rFonts w:ascii="Tahoma" w:hAnsi="Tahoma" w:cs="Tahoma"/>
                <w:sz w:val="18"/>
                <w:szCs w:val="18"/>
              </w:rPr>
              <w:t>физические лица, по которым сформировано предварительно одобренное решение о рассмотрении возможности выдачи кредита (по тексту - Предодобренное решение) со стороны Банка, направленное одним из способов (СМС-сообщение/сообщение на электронную почту, иной способ) обмена информацией.</w:t>
            </w:r>
          </w:p>
          <w:p w14:paraId="4AB67BAB" w14:textId="77777777" w:rsidR="00382481" w:rsidRPr="008033EB" w:rsidRDefault="00382481" w:rsidP="00034511">
            <w:pPr>
              <w:widowControl w:val="0"/>
              <w:tabs>
                <w:tab w:val="left" w:pos="426"/>
                <w:tab w:val="left" w:pos="851"/>
              </w:tabs>
              <w:jc w:val="both"/>
              <w:rPr>
                <w:rFonts w:ascii="Tahoma" w:hAnsi="Tahoma" w:cs="Tahoma"/>
                <w:sz w:val="18"/>
                <w:szCs w:val="18"/>
              </w:rPr>
            </w:pPr>
            <w:r w:rsidRPr="008033EB">
              <w:rPr>
                <w:rFonts w:ascii="Tahoma" w:hAnsi="Tahoma" w:cs="Tahoma"/>
                <w:b/>
                <w:sz w:val="18"/>
                <w:szCs w:val="18"/>
                <w:vertAlign w:val="superscript"/>
              </w:rPr>
              <w:t>**</w:t>
            </w:r>
            <w:r w:rsidRPr="008033EB">
              <w:rPr>
                <w:rFonts w:ascii="Tahoma" w:hAnsi="Tahoma" w:cs="Tahoma"/>
                <w:sz w:val="18"/>
                <w:szCs w:val="18"/>
                <w:vertAlign w:val="superscript"/>
              </w:rPr>
              <w:t xml:space="preserve"> </w:t>
            </w:r>
            <w:r w:rsidRPr="008033EB">
              <w:rPr>
                <w:rFonts w:ascii="Tahoma" w:hAnsi="Tahoma" w:cs="Tahoma"/>
                <w:sz w:val="18"/>
                <w:szCs w:val="18"/>
              </w:rPr>
              <w:t>Максимальная сумма кредита для Заемщика–ИП/Заемщика, применяющего специальный налоговый режим - налог на профессиональный доход/адвоката/ нотариуса: 500 000 рублей.</w:t>
            </w:r>
          </w:p>
          <w:p w14:paraId="55B32EBB" w14:textId="77777777" w:rsidR="00382481" w:rsidRPr="008033EB" w:rsidRDefault="00382481" w:rsidP="00034511">
            <w:pPr>
              <w:widowControl w:val="0"/>
              <w:tabs>
                <w:tab w:val="left" w:pos="426"/>
                <w:tab w:val="left" w:pos="851"/>
              </w:tabs>
              <w:jc w:val="both"/>
              <w:rPr>
                <w:rFonts w:ascii="Tahoma" w:hAnsi="Tahoma" w:cs="Tahoma"/>
                <w:sz w:val="18"/>
                <w:szCs w:val="18"/>
              </w:rPr>
            </w:pPr>
            <w:r w:rsidRPr="008033EB">
              <w:rPr>
                <w:rFonts w:ascii="Tahoma" w:hAnsi="Tahoma" w:cs="Tahoma"/>
                <w:sz w:val="18"/>
                <w:szCs w:val="18"/>
              </w:rPr>
              <w:t>Максимальная сумма кредита при дистанционном оформлении в Мобильном банке может быть увеличена на сумму затрат Заемщика для заключения договора личного страхования (в случае, если потенциальный Заемщик выразил волеизъявление на это).</w:t>
            </w:r>
          </w:p>
          <w:p w14:paraId="56148D14" w14:textId="77777777" w:rsidR="00382481" w:rsidRPr="008033EB" w:rsidRDefault="00382481" w:rsidP="00034511">
            <w:pPr>
              <w:widowControl w:val="0"/>
              <w:tabs>
                <w:tab w:val="left" w:pos="426"/>
                <w:tab w:val="left" w:pos="851"/>
              </w:tabs>
              <w:jc w:val="both"/>
              <w:rPr>
                <w:rFonts w:ascii="Tahoma" w:hAnsi="Tahoma" w:cs="Tahoma"/>
                <w:sz w:val="18"/>
                <w:szCs w:val="18"/>
              </w:rPr>
            </w:pPr>
            <w:r w:rsidRPr="008033EB">
              <w:rPr>
                <w:rFonts w:ascii="Tahoma" w:hAnsi="Tahoma" w:cs="Tahoma"/>
                <w:b/>
                <w:sz w:val="18"/>
                <w:szCs w:val="18"/>
                <w:vertAlign w:val="superscript"/>
              </w:rPr>
              <w:t>***</w:t>
            </w:r>
            <w:r w:rsidRPr="008033EB">
              <w:rPr>
                <w:rFonts w:ascii="Tahoma" w:hAnsi="Tahoma" w:cs="Tahoma"/>
                <w:sz w:val="18"/>
                <w:szCs w:val="18"/>
                <w:vertAlign w:val="superscript"/>
              </w:rPr>
              <w:t xml:space="preserve"> </w:t>
            </w:r>
            <w:r w:rsidRPr="008033EB">
              <w:rPr>
                <w:rFonts w:ascii="Tahoma" w:hAnsi="Tahoma" w:cs="Tahoma"/>
                <w:sz w:val="18"/>
                <w:szCs w:val="18"/>
              </w:rPr>
              <w:t xml:space="preserve">Личное страхование (от рисков: смерть Заемщика по любой причине, инвалидность </w:t>
            </w:r>
            <w:r w:rsidRPr="008033EB">
              <w:rPr>
                <w:rFonts w:ascii="Tahoma" w:hAnsi="Tahoma" w:cs="Tahoma"/>
                <w:sz w:val="18"/>
                <w:szCs w:val="18"/>
                <w:lang w:val="en-US"/>
              </w:rPr>
              <w:t>I</w:t>
            </w:r>
            <w:r w:rsidRPr="008033EB">
              <w:rPr>
                <w:rFonts w:ascii="Tahoma" w:hAnsi="Tahoma" w:cs="Tahoma"/>
                <w:sz w:val="18"/>
                <w:szCs w:val="18"/>
              </w:rPr>
              <w:t xml:space="preserve"> или </w:t>
            </w:r>
            <w:r w:rsidRPr="008033EB">
              <w:rPr>
                <w:rFonts w:ascii="Tahoma" w:hAnsi="Tahoma" w:cs="Tahoma"/>
                <w:sz w:val="18"/>
                <w:szCs w:val="18"/>
                <w:lang w:val="en-US"/>
              </w:rPr>
              <w:t>II</w:t>
            </w:r>
            <w:r w:rsidRPr="008033EB">
              <w:rPr>
                <w:rFonts w:ascii="Tahoma" w:hAnsi="Tahoma" w:cs="Tahoma"/>
                <w:sz w:val="18"/>
                <w:szCs w:val="18"/>
              </w:rPr>
              <w:t xml:space="preserve"> группы по любой причине, госпитализация в результате несчастного случая) оформляется по желанию Заемщика в любой страховой компании, действующей в соответствии с законодательством РФ, выбранной Заемщиком, и не влияет на решение Банка о выдаче Кредита. </w:t>
            </w:r>
            <w:r w:rsidRPr="008033EB">
              <w:rPr>
                <w:color w:val="1F497D"/>
              </w:rPr>
              <w:t xml:space="preserve"> </w:t>
            </w:r>
            <w:r w:rsidRPr="008033EB">
              <w:rPr>
                <w:rFonts w:ascii="Tahoma" w:hAnsi="Tahoma" w:cs="Tahoma"/>
                <w:sz w:val="18"/>
                <w:szCs w:val="18"/>
              </w:rPr>
              <w:t>В случае оформления Заемщиком потребительского кредита по сниженной ставке при условии оформления договора личного страхования,</w:t>
            </w:r>
            <w:r w:rsidRPr="008033EB">
              <w:rPr>
                <w:color w:val="1F497D"/>
              </w:rPr>
              <w:t xml:space="preserve"> </w:t>
            </w:r>
            <w:r w:rsidRPr="008033EB">
              <w:rPr>
                <w:rFonts w:ascii="Tahoma" w:hAnsi="Tahoma" w:cs="Tahoma"/>
                <w:sz w:val="18"/>
                <w:szCs w:val="18"/>
              </w:rPr>
              <w:t>Заемщик обязан обеспечивать страхование в течение срока действия Договора в любых страховых компаниях, действующих в соответствии с законодательством РФ (при этом, при сроке кредитования свыше 1 года Заемщик не обязан заключать договор страхования сразу на весь срок действия Договора – вправе заключить на меньший срок с продлением договора страхования или заключением каждый раз новых договоров страхования после окончания действия предыдущих).</w:t>
            </w:r>
          </w:p>
          <w:p w14:paraId="6D752D9A" w14:textId="77777777" w:rsidR="00382481" w:rsidRPr="008033EB" w:rsidRDefault="00382481" w:rsidP="00034511">
            <w:pPr>
              <w:widowControl w:val="0"/>
              <w:tabs>
                <w:tab w:val="left" w:pos="426"/>
                <w:tab w:val="left" w:pos="851"/>
              </w:tabs>
              <w:jc w:val="both"/>
              <w:rPr>
                <w:rFonts w:ascii="Tahoma" w:hAnsi="Tahoma" w:cs="Tahoma"/>
                <w:sz w:val="18"/>
                <w:szCs w:val="18"/>
              </w:rPr>
            </w:pPr>
            <w:r w:rsidRPr="008033EB">
              <w:rPr>
                <w:rFonts w:ascii="Tahoma" w:hAnsi="Tahoma" w:cs="Tahoma"/>
                <w:sz w:val="18"/>
                <w:szCs w:val="18"/>
              </w:rPr>
              <w:t>Выгодоприобретателем по Договору личного страхования должен выступать Банк в размере задолженности Заемщика по Договору, за исключением случаев, когда Банк является страховым агентом при заключении Договора личного страхования.</w:t>
            </w:r>
          </w:p>
          <w:p w14:paraId="43635805" w14:textId="77777777" w:rsidR="00382481" w:rsidRPr="008033EB" w:rsidRDefault="00382481" w:rsidP="00034511">
            <w:pPr>
              <w:widowControl w:val="0"/>
              <w:tabs>
                <w:tab w:val="left" w:pos="426"/>
                <w:tab w:val="left" w:pos="851"/>
              </w:tabs>
              <w:jc w:val="both"/>
              <w:rPr>
                <w:rFonts w:ascii="Tahoma" w:hAnsi="Tahoma" w:cs="Tahoma"/>
                <w:sz w:val="18"/>
                <w:szCs w:val="18"/>
              </w:rPr>
            </w:pPr>
            <w:r w:rsidRPr="008033EB">
              <w:rPr>
                <w:rFonts w:ascii="Tahoma" w:hAnsi="Tahoma" w:cs="Tahoma"/>
                <w:sz w:val="18"/>
                <w:szCs w:val="18"/>
              </w:rPr>
              <w:t>Заемщик уведомлен, что он вправе выбрать в Банке альтернативный вариант потребительского кредита на сопоставимых (сумма и срок возврата потребительского кредита) условиях потребительского кредита без обязательного заключения договора личного страхования.</w:t>
            </w:r>
          </w:p>
          <w:p w14:paraId="55348105" w14:textId="77777777" w:rsidR="00382481" w:rsidRPr="008033EB" w:rsidRDefault="00382481" w:rsidP="00034511">
            <w:pPr>
              <w:widowControl w:val="0"/>
              <w:tabs>
                <w:tab w:val="left" w:pos="426"/>
                <w:tab w:val="left" w:pos="851"/>
              </w:tabs>
              <w:jc w:val="both"/>
              <w:rPr>
                <w:rFonts w:ascii="Tahoma" w:hAnsi="Tahoma" w:cs="Tahoma"/>
                <w:sz w:val="18"/>
                <w:szCs w:val="18"/>
              </w:rPr>
            </w:pPr>
            <w:r w:rsidRPr="008033EB">
              <w:rPr>
                <w:rFonts w:ascii="Tahoma" w:hAnsi="Tahoma" w:cs="Tahoma"/>
                <w:sz w:val="18"/>
                <w:szCs w:val="18"/>
              </w:rPr>
              <w:tab/>
              <w:t xml:space="preserve">В случае, если Заемщик выбирает потребительский кредит с заключением им договора личного страхования, то в случае неисполнения (прекращения/не пролонгации договора страхования) Заемщиком обязанности по личному страхованию свыше тридцати календарных дней процентная ставка по Договору увеличивается на 8 (восемь) процентных пунктов, выше процентной ставки, указываемой в п. 4.1. Индивидуальных условий, при этом, если увеличение процентной ставки в таком размере будет выше предусмотренных ч. 11 ст. 7 Федерального закона «О потребительском кредите (займе)» ограничений, то процентная ставка по Договору увеличивается (устанавливается) до уровня процентной ставки, действовавшей на момент заключения Договора по договорам потребительского кредита в Банке на сопоставимых (сумма, срок возврата потребительского кредита) условиях потребительского кредита без обязательного заключения договора личного страхования, но не выше процентной ставки по таким договорам потребительского кредита, действовавшей на момент принятия решения Банком об увеличении размера процентной ставки в связи с неисполнением обязанности по страхованию (при увеличении процентной ставки применяется наименьшая из величин, указанных в настоящем абзаце). Увеличенная процентная ставка по Договору устанавливается с даты, следующей за датой подлежащего уплате Заемщиком Банку (в соответствии с Договором) ближайшего ежемесячного платежа и действует до </w:t>
            </w:r>
            <w:r w:rsidRPr="008033EB">
              <w:rPr>
                <w:rFonts w:ascii="Tahoma" w:hAnsi="Tahoma" w:cs="Tahoma"/>
                <w:sz w:val="18"/>
                <w:szCs w:val="18"/>
              </w:rPr>
              <w:lastRenderedPageBreak/>
              <w:t>окончания срока действия Договора.</w:t>
            </w:r>
          </w:p>
          <w:p w14:paraId="5A46886A" w14:textId="77777777" w:rsidR="00382481" w:rsidRPr="008033EB" w:rsidRDefault="00382481" w:rsidP="00034511">
            <w:pPr>
              <w:widowControl w:val="0"/>
              <w:tabs>
                <w:tab w:val="left" w:pos="426"/>
                <w:tab w:val="left" w:pos="851"/>
              </w:tabs>
              <w:jc w:val="both"/>
              <w:rPr>
                <w:rFonts w:ascii="Tahoma" w:hAnsi="Tahoma" w:cs="Tahoma"/>
                <w:sz w:val="18"/>
                <w:szCs w:val="18"/>
              </w:rPr>
            </w:pPr>
            <w:r w:rsidRPr="008033EB">
              <w:rPr>
                <w:rFonts w:ascii="Tahoma" w:hAnsi="Tahoma" w:cs="Tahoma"/>
                <w:b/>
                <w:i/>
                <w:sz w:val="18"/>
                <w:szCs w:val="18"/>
              </w:rPr>
              <w:t>Оформление договора личного страхования не применимо для лиц с инвалидностью</w:t>
            </w:r>
            <w:r w:rsidRPr="008033EB">
              <w:rPr>
                <w:rFonts w:ascii="Tahoma" w:hAnsi="Tahoma" w:cs="Tahoma"/>
                <w:i/>
                <w:sz w:val="18"/>
                <w:szCs w:val="18"/>
              </w:rPr>
              <w:t xml:space="preserve"> (с учетом предоставления справки, подтверждающей факт установления инвалидности с указанием группы инвалидности). При оформлении потребительского кредита без заключения договора страхования, но с учетом сниженной процентной ставки потребуется предоставить Банку обеспечение в виде залога либо Заемщик вправе выбрать альтернативный вариант потребительского кредита на сопоставимых (сумма и срок возврата потребительского кредита) без обязательного заключения договора личного страхования.</w:t>
            </w:r>
            <w:r w:rsidRPr="008033EB">
              <w:rPr>
                <w:rFonts w:ascii="Tahoma" w:hAnsi="Tahoma" w:cs="Tahoma"/>
                <w:sz w:val="18"/>
                <w:szCs w:val="18"/>
              </w:rPr>
              <w:t xml:space="preserve"> </w:t>
            </w:r>
          </w:p>
          <w:p w14:paraId="5EEC1E0D" w14:textId="77777777" w:rsidR="00382481" w:rsidRPr="008033EB" w:rsidRDefault="00382481" w:rsidP="00034511">
            <w:pPr>
              <w:widowControl w:val="0"/>
              <w:tabs>
                <w:tab w:val="left" w:pos="426"/>
                <w:tab w:val="left" w:pos="851"/>
              </w:tabs>
              <w:jc w:val="both"/>
              <w:rPr>
                <w:rFonts w:ascii="Tahoma" w:hAnsi="Tahoma" w:cs="Tahoma"/>
                <w:sz w:val="18"/>
                <w:szCs w:val="18"/>
              </w:rPr>
            </w:pPr>
            <w:r w:rsidRPr="008033EB">
              <w:rPr>
                <w:rFonts w:ascii="Tahoma" w:hAnsi="Tahoma" w:cs="Tahoma"/>
                <w:b/>
                <w:sz w:val="18"/>
                <w:szCs w:val="18"/>
                <w:vertAlign w:val="superscript"/>
              </w:rPr>
              <w:t>****</w:t>
            </w:r>
            <w:r w:rsidRPr="008033EB">
              <w:rPr>
                <w:rFonts w:ascii="Tahoma" w:hAnsi="Tahoma" w:cs="Tahoma"/>
                <w:sz w:val="18"/>
                <w:szCs w:val="18"/>
              </w:rPr>
              <w:t>Операции по банковским счетам и использование платежных карт осуществляются с учетом ограничений, установленных платежными системами, иными уполномоченными лицами/органами иностранных государств, международными организациями, а также законодательством иностранных государств, Российской Федерации, в том числе актами Банка России, иных уполномоченных лиц/органов, действующих на территории Российской Федерации.</w:t>
            </w:r>
          </w:p>
        </w:tc>
      </w:tr>
    </w:tbl>
    <w:p w14:paraId="04971F5E" w14:textId="77777777" w:rsidR="00382481" w:rsidRPr="008033EB" w:rsidRDefault="00382481" w:rsidP="00382481">
      <w:pPr>
        <w:widowControl w:val="0"/>
        <w:jc w:val="center"/>
        <w:rPr>
          <w:rFonts w:ascii="Tahoma" w:hAnsi="Tahoma" w:cs="Tahoma"/>
          <w:b/>
          <w:noProof/>
          <w:sz w:val="20"/>
          <w:szCs w:val="20"/>
        </w:rPr>
      </w:pPr>
    </w:p>
    <w:p w14:paraId="349B0342" w14:textId="77777777" w:rsidR="00382481" w:rsidRPr="008033EB" w:rsidRDefault="00382481" w:rsidP="00382481">
      <w:pPr>
        <w:rPr>
          <w:rFonts w:ascii="Tahoma" w:hAnsi="Tahoma" w:cs="Tahoma"/>
          <w:b/>
          <w:noProof/>
          <w:sz w:val="20"/>
          <w:szCs w:val="20"/>
        </w:rPr>
        <w:sectPr w:rsidR="00382481" w:rsidRPr="008033EB" w:rsidSect="009A71BA">
          <w:footerReference w:type="even" r:id="rId24"/>
          <w:footerReference w:type="default" r:id="rId25"/>
          <w:footnotePr>
            <w:numRestart w:val="eachSect"/>
          </w:footnotePr>
          <w:endnotePr>
            <w:numFmt w:val="decimal"/>
            <w:numRestart w:val="eachSect"/>
          </w:endnotePr>
          <w:pgSz w:w="16838" w:h="11906" w:orient="landscape"/>
          <w:pgMar w:top="567" w:right="820" w:bottom="0" w:left="1134" w:header="709" w:footer="105" w:gutter="0"/>
          <w:cols w:space="708"/>
          <w:titlePg/>
          <w:docGrid w:linePitch="360"/>
        </w:sectPr>
      </w:pPr>
    </w:p>
    <w:p w14:paraId="4EE1E22A" w14:textId="77777777" w:rsidR="00382481" w:rsidRPr="008033EB" w:rsidRDefault="00382481" w:rsidP="00382481">
      <w:pPr>
        <w:widowControl w:val="0"/>
        <w:jc w:val="center"/>
        <w:rPr>
          <w:rFonts w:ascii="Tahoma" w:hAnsi="Tahoma" w:cs="Tahoma"/>
          <w:b/>
          <w:noProof/>
          <w:sz w:val="20"/>
          <w:szCs w:val="20"/>
        </w:rPr>
      </w:pPr>
    </w:p>
    <w:p w14:paraId="4AAE5161" w14:textId="77777777" w:rsidR="00382481" w:rsidRPr="008033EB" w:rsidRDefault="00382481" w:rsidP="00382481">
      <w:pPr>
        <w:widowControl w:val="0"/>
        <w:jc w:val="center"/>
        <w:rPr>
          <w:rFonts w:ascii="Tahoma" w:hAnsi="Tahoma" w:cs="Tahoma"/>
          <w:b/>
          <w:noProof/>
          <w:sz w:val="20"/>
          <w:szCs w:val="20"/>
        </w:rPr>
      </w:pPr>
    </w:p>
    <w:p w14:paraId="1C74D433" w14:textId="738892B3" w:rsidR="00382481" w:rsidRPr="00225EDB" w:rsidRDefault="00E57AB2" w:rsidP="000B3718">
      <w:pPr>
        <w:pStyle w:val="a5"/>
      </w:pPr>
      <w:r>
        <w:t>2</w:t>
      </w:r>
      <w:r w:rsidR="00382481" w:rsidRPr="008033EB">
        <w:t>.2.2.      Тарифный план «Лидер»</w:t>
      </w:r>
    </w:p>
    <w:p w14:paraId="48FD79D3" w14:textId="77777777" w:rsidR="00382481" w:rsidRPr="001D1EA4" w:rsidRDefault="00382481" w:rsidP="00382481">
      <w:pPr>
        <w:widowControl w:val="0"/>
        <w:jc w:val="right"/>
        <w:rPr>
          <w:rFonts w:ascii="Tahoma" w:hAnsi="Tahoma" w:cs="Tahoma"/>
          <w:noProof/>
          <w:sz w:val="20"/>
          <w:szCs w:val="20"/>
        </w:rPr>
      </w:pPr>
    </w:p>
    <w:p w14:paraId="3F377090" w14:textId="77777777" w:rsidR="00382481" w:rsidRDefault="00382481" w:rsidP="00382481">
      <w:pPr>
        <w:widowControl w:val="0"/>
        <w:spacing w:line="360" w:lineRule="auto"/>
        <w:jc w:val="center"/>
        <w:rPr>
          <w:rFonts w:ascii="Tahoma" w:hAnsi="Tahoma" w:cs="Tahoma"/>
          <w:b/>
          <w:noProof/>
          <w:sz w:val="20"/>
          <w:szCs w:val="20"/>
        </w:rPr>
      </w:pPr>
      <w:r w:rsidRPr="004430D0">
        <w:rPr>
          <w:rFonts w:ascii="Tahoma" w:hAnsi="Tahoma" w:cs="Tahoma"/>
          <w:b/>
          <w:noProof/>
          <w:sz w:val="20"/>
          <w:szCs w:val="20"/>
        </w:rPr>
        <w:t>ИНФОРМАЦИЯ ОБ УСЛОВИЯХ ПРЕДОСТАВЛЕНИЯ, ИСПОЛЬЗОВАНИЯ И ВОЗВРАТА ПОТРЕБИТЕЛЬСКОГО КРЕДИТА</w:t>
      </w:r>
      <w:r>
        <w:rPr>
          <w:rFonts w:ascii="Tahoma" w:hAnsi="Tahoma" w:cs="Tahoma"/>
          <w:b/>
          <w:noProof/>
          <w:sz w:val="20"/>
          <w:szCs w:val="20"/>
        </w:rPr>
        <w:t xml:space="preserve"> </w:t>
      </w:r>
    </w:p>
    <w:p w14:paraId="4CE62724" w14:textId="77777777" w:rsidR="00382481" w:rsidRDefault="00382481" w:rsidP="00382481">
      <w:pPr>
        <w:widowControl w:val="0"/>
        <w:spacing w:line="360" w:lineRule="auto"/>
        <w:jc w:val="center"/>
        <w:rPr>
          <w:rFonts w:ascii="Tahoma" w:hAnsi="Tahoma" w:cs="Tahoma"/>
          <w:b/>
          <w:noProof/>
          <w:sz w:val="20"/>
          <w:szCs w:val="20"/>
        </w:rPr>
      </w:pPr>
      <w:r>
        <w:rPr>
          <w:rFonts w:ascii="Tahoma" w:hAnsi="Tahoma" w:cs="Tahoma"/>
          <w:b/>
          <w:noProof/>
          <w:sz w:val="20"/>
          <w:szCs w:val="20"/>
        </w:rPr>
        <w:t>ПО ТАРИФНОМУ ПЛАНУ «ЛИДЕР»</w:t>
      </w:r>
      <w:r w:rsidRPr="004430D0">
        <w:rPr>
          <w:rFonts w:ascii="Tahoma" w:hAnsi="Tahoma" w:cs="Tahoma"/>
          <w:b/>
          <w:noProof/>
          <w:sz w:val="20"/>
          <w:szCs w:val="20"/>
        </w:rPr>
        <w:t xml:space="preserve"> </w:t>
      </w:r>
    </w:p>
    <w:p w14:paraId="34788052" w14:textId="77777777" w:rsidR="00382481" w:rsidRPr="004430D0" w:rsidRDefault="00382481" w:rsidP="00382481">
      <w:pPr>
        <w:widowControl w:val="0"/>
        <w:jc w:val="center"/>
        <w:rPr>
          <w:rFonts w:ascii="Tahoma" w:hAnsi="Tahoma" w:cs="Tahoma"/>
          <w:b/>
          <w:bCs/>
          <w:caps/>
          <w:sz w:val="20"/>
          <w:szCs w:val="20"/>
        </w:rPr>
      </w:pPr>
    </w:p>
    <w:p w14:paraId="0DDFA761" w14:textId="77777777" w:rsidR="00382481" w:rsidRPr="00F63AD8" w:rsidRDefault="00382481" w:rsidP="00B460F9">
      <w:pPr>
        <w:pStyle w:val="affe"/>
        <w:widowControl w:val="0"/>
        <w:numPr>
          <w:ilvl w:val="0"/>
          <w:numId w:val="185"/>
        </w:numPr>
        <w:tabs>
          <w:tab w:val="left" w:pos="851"/>
        </w:tabs>
        <w:contextualSpacing/>
        <w:jc w:val="both"/>
        <w:rPr>
          <w:rFonts w:ascii="Tahoma" w:hAnsi="Tahoma" w:cs="Tahoma"/>
          <w:noProof/>
          <w:sz w:val="20"/>
          <w:szCs w:val="20"/>
        </w:rPr>
      </w:pPr>
      <w:r w:rsidRPr="00F63AD8">
        <w:rPr>
          <w:rFonts w:ascii="Tahoma" w:hAnsi="Tahoma" w:cs="Tahoma"/>
          <w:b/>
          <w:bCs/>
          <w:caps/>
          <w:sz w:val="20"/>
          <w:szCs w:val="20"/>
        </w:rPr>
        <w:t>ОСНОВНЫЕ ПОНЯТИЯ, ИСПОЛЬЗУЕМЫЕ ТЕРМИНЫ и сокращения</w:t>
      </w:r>
    </w:p>
    <w:p w14:paraId="5824E2B1" w14:textId="77777777" w:rsidR="00382481" w:rsidRPr="004430D0" w:rsidRDefault="00382481" w:rsidP="00382481">
      <w:pPr>
        <w:widowControl w:val="0"/>
        <w:rPr>
          <w:rFonts w:ascii="Tahoma" w:hAnsi="Tahoma" w:cs="Tahoma"/>
          <w:noProof/>
          <w:sz w:val="20"/>
          <w:szCs w:val="20"/>
        </w:rPr>
      </w:pPr>
    </w:p>
    <w:tbl>
      <w:tblPr>
        <w:tblW w:w="5159" w:type="pct"/>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9"/>
        <w:gridCol w:w="10918"/>
      </w:tblGrid>
      <w:tr w:rsidR="00382481" w:rsidRPr="004430D0" w14:paraId="2DF7BE61" w14:textId="77777777" w:rsidTr="00034511">
        <w:tc>
          <w:tcPr>
            <w:tcW w:w="1443" w:type="pct"/>
          </w:tcPr>
          <w:p w14:paraId="1A1991D2" w14:textId="77777777" w:rsidR="00382481" w:rsidRPr="00236F26" w:rsidRDefault="00382481" w:rsidP="00034511">
            <w:pPr>
              <w:widowControl w:val="0"/>
              <w:tabs>
                <w:tab w:val="left" w:pos="851"/>
              </w:tabs>
              <w:rPr>
                <w:rFonts w:ascii="Tahoma" w:hAnsi="Tahoma" w:cs="Tahoma"/>
                <w:b/>
                <w:bCs/>
                <w:iCs/>
                <w:sz w:val="18"/>
                <w:szCs w:val="18"/>
              </w:rPr>
            </w:pPr>
            <w:r w:rsidRPr="00236F26">
              <w:rPr>
                <w:rFonts w:ascii="Tahoma" w:hAnsi="Tahoma" w:cs="Tahoma"/>
                <w:b/>
                <w:bCs/>
                <w:iCs/>
                <w:sz w:val="18"/>
                <w:szCs w:val="18"/>
              </w:rPr>
              <w:t>Наименование Кредитора(Банка), место нахождения постоянно действующего исполнительного органа, контактный телефон, по которому осуществляется связь с кредитором, официальный сайт, номер лицензии на осуществление банковских операций</w:t>
            </w:r>
          </w:p>
        </w:tc>
        <w:tc>
          <w:tcPr>
            <w:tcW w:w="3557" w:type="pct"/>
          </w:tcPr>
          <w:p w14:paraId="61FBDFE2" w14:textId="77777777" w:rsidR="00382481" w:rsidRPr="00236F26" w:rsidRDefault="00382481" w:rsidP="00034511">
            <w:pPr>
              <w:widowControl w:val="0"/>
              <w:tabs>
                <w:tab w:val="left" w:pos="851"/>
              </w:tabs>
              <w:rPr>
                <w:rFonts w:ascii="Tahoma" w:hAnsi="Tahoma" w:cs="Tahoma"/>
                <w:bCs/>
                <w:iCs/>
                <w:sz w:val="18"/>
                <w:szCs w:val="18"/>
              </w:rPr>
            </w:pPr>
            <w:r w:rsidRPr="00236F26">
              <w:rPr>
                <w:rFonts w:ascii="Tahoma" w:hAnsi="Tahoma" w:cs="Tahoma"/>
                <w:sz w:val="18"/>
                <w:szCs w:val="18"/>
              </w:rPr>
              <w:t xml:space="preserve">«Азиатско-Тихоокеанский Банк» (Акционерное общество) (далее – Банк). Универсальная лицензия ЦБ РФ № 1810, ОГРН: 1022800000079, ИНН: 2801023444, БИК: 041012765, кор. Счет №: 30101810300000000765 в Отделении Благовещенск. Местонахождение Банка и место нахождения его постоянно действующего исполнительного органа: 675004, Амурская область, г. Благовещенск, ул. Амурская, дом 225. Контактный тел.: 8 800 775 8888 (звонок по России бесплатный). Сайт Банка в сети Интернет: </w:t>
            </w:r>
            <w:hyperlink r:id="rId26" w:history="1">
              <w:r w:rsidRPr="00236F26">
                <w:rPr>
                  <w:rFonts w:ascii="Tahoma" w:hAnsi="Tahoma" w:cs="Tahoma"/>
                  <w:sz w:val="18"/>
                  <w:szCs w:val="18"/>
                  <w:u w:val="single"/>
                </w:rPr>
                <w:t>www.atb.su</w:t>
              </w:r>
            </w:hyperlink>
          </w:p>
          <w:p w14:paraId="16C8BC98" w14:textId="77777777" w:rsidR="00382481" w:rsidRPr="00236F26" w:rsidRDefault="00382481" w:rsidP="00034511">
            <w:pPr>
              <w:tabs>
                <w:tab w:val="left" w:pos="2205"/>
              </w:tabs>
              <w:rPr>
                <w:rFonts w:ascii="Tahoma" w:hAnsi="Tahoma" w:cs="Tahoma"/>
                <w:sz w:val="18"/>
                <w:szCs w:val="18"/>
              </w:rPr>
            </w:pPr>
            <w:r w:rsidRPr="00236F26">
              <w:rPr>
                <w:rFonts w:ascii="Tahoma" w:hAnsi="Tahoma" w:cs="Tahoma"/>
                <w:sz w:val="18"/>
                <w:szCs w:val="18"/>
              </w:rPr>
              <w:tab/>
            </w:r>
          </w:p>
        </w:tc>
      </w:tr>
      <w:tr w:rsidR="00382481" w:rsidRPr="004430D0" w14:paraId="7DDE6691" w14:textId="77777777" w:rsidTr="00034511">
        <w:tc>
          <w:tcPr>
            <w:tcW w:w="1443" w:type="pct"/>
          </w:tcPr>
          <w:p w14:paraId="144F5AB2" w14:textId="77777777" w:rsidR="00382481" w:rsidRPr="00236F26" w:rsidRDefault="00382481" w:rsidP="00034511">
            <w:pPr>
              <w:widowControl w:val="0"/>
              <w:tabs>
                <w:tab w:val="left" w:pos="851"/>
              </w:tabs>
              <w:rPr>
                <w:rFonts w:ascii="Tahoma" w:hAnsi="Tahoma" w:cs="Tahoma"/>
                <w:b/>
                <w:color w:val="000000"/>
                <w:sz w:val="18"/>
                <w:szCs w:val="18"/>
              </w:rPr>
            </w:pPr>
            <w:r w:rsidRPr="00236F26">
              <w:rPr>
                <w:rFonts w:ascii="Tahoma" w:hAnsi="Tahoma" w:cs="Tahoma"/>
                <w:b/>
                <w:color w:val="000000"/>
                <w:sz w:val="18"/>
                <w:szCs w:val="18"/>
              </w:rPr>
              <w:t xml:space="preserve">ПСК </w:t>
            </w:r>
          </w:p>
        </w:tc>
        <w:tc>
          <w:tcPr>
            <w:tcW w:w="3557" w:type="pct"/>
          </w:tcPr>
          <w:p w14:paraId="43570EC5" w14:textId="77777777" w:rsidR="00382481" w:rsidRPr="00236F26" w:rsidRDefault="00382481" w:rsidP="00034511">
            <w:pPr>
              <w:widowControl w:val="0"/>
              <w:jc w:val="both"/>
              <w:rPr>
                <w:rFonts w:ascii="Tahoma" w:hAnsi="Tahoma" w:cs="Tahoma"/>
                <w:sz w:val="18"/>
                <w:szCs w:val="18"/>
              </w:rPr>
            </w:pPr>
            <w:r w:rsidRPr="00236F26">
              <w:rPr>
                <w:rFonts w:ascii="Tahoma" w:hAnsi="Tahoma" w:cs="Tahoma"/>
                <w:sz w:val="18"/>
                <w:szCs w:val="18"/>
              </w:rPr>
              <w:t xml:space="preserve">Полная стоимость потребительского Кредита определяется как в процентах годовых, </w:t>
            </w:r>
            <w:r w:rsidRPr="00236F26">
              <w:rPr>
                <w:rFonts w:ascii="Tahoma" w:hAnsi="Tahoma" w:cs="Tahoma"/>
                <w:bCs/>
                <w:sz w:val="18"/>
                <w:szCs w:val="18"/>
              </w:rPr>
              <w:t>так и в денежном выражении</w:t>
            </w:r>
          </w:p>
        </w:tc>
      </w:tr>
      <w:tr w:rsidR="00382481" w:rsidRPr="004430D0" w14:paraId="64C86D8A" w14:textId="77777777" w:rsidTr="00034511">
        <w:trPr>
          <w:trHeight w:val="396"/>
        </w:trPr>
        <w:tc>
          <w:tcPr>
            <w:tcW w:w="1443" w:type="pct"/>
          </w:tcPr>
          <w:p w14:paraId="5811C20F" w14:textId="77777777" w:rsidR="00382481" w:rsidRPr="00236F26" w:rsidRDefault="00382481" w:rsidP="00034511">
            <w:pPr>
              <w:widowControl w:val="0"/>
              <w:rPr>
                <w:rFonts w:ascii="Tahoma" w:hAnsi="Tahoma" w:cs="Tahoma"/>
                <w:b/>
                <w:bCs/>
                <w:sz w:val="18"/>
                <w:szCs w:val="18"/>
              </w:rPr>
            </w:pPr>
            <w:r w:rsidRPr="00236F26">
              <w:rPr>
                <w:rFonts w:ascii="Tahoma" w:hAnsi="Tahoma" w:cs="Tahoma"/>
                <w:b/>
                <w:sz w:val="18"/>
                <w:szCs w:val="18"/>
              </w:rPr>
              <w:t xml:space="preserve">ТБС (либо ТБС Заемщика) </w:t>
            </w:r>
          </w:p>
        </w:tc>
        <w:tc>
          <w:tcPr>
            <w:tcW w:w="3557" w:type="pct"/>
          </w:tcPr>
          <w:p w14:paraId="3C4E9D2E" w14:textId="77777777" w:rsidR="00382481" w:rsidRPr="00236F26" w:rsidRDefault="00382481" w:rsidP="00034511">
            <w:pPr>
              <w:widowControl w:val="0"/>
              <w:tabs>
                <w:tab w:val="left" w:pos="851"/>
              </w:tabs>
              <w:adjustRightInd w:val="0"/>
              <w:jc w:val="both"/>
              <w:rPr>
                <w:rFonts w:ascii="Tahoma" w:hAnsi="Tahoma" w:cs="Tahoma"/>
                <w:sz w:val="18"/>
                <w:szCs w:val="18"/>
              </w:rPr>
            </w:pPr>
            <w:r w:rsidRPr="00236F26">
              <w:rPr>
                <w:rFonts w:ascii="Tahoma" w:hAnsi="Tahoma" w:cs="Tahoma"/>
                <w:sz w:val="18"/>
                <w:szCs w:val="18"/>
              </w:rPr>
              <w:t>Текущий банковский счет, открытый Банком Заемщику в рамках Договора (в случае, если об открытии данного счета Стороны договорились в Индивидуальных условиях Договора)</w:t>
            </w:r>
          </w:p>
          <w:p w14:paraId="2EF0BE7C" w14:textId="77777777" w:rsidR="00382481" w:rsidRPr="00236F26" w:rsidRDefault="00382481" w:rsidP="00034511">
            <w:pPr>
              <w:widowControl w:val="0"/>
              <w:tabs>
                <w:tab w:val="left" w:pos="851"/>
              </w:tabs>
              <w:adjustRightInd w:val="0"/>
              <w:jc w:val="both"/>
              <w:rPr>
                <w:rFonts w:ascii="Tahoma" w:hAnsi="Tahoma" w:cs="Tahoma"/>
                <w:bCs/>
                <w:sz w:val="18"/>
                <w:szCs w:val="18"/>
              </w:rPr>
            </w:pPr>
          </w:p>
        </w:tc>
      </w:tr>
      <w:tr w:rsidR="00382481" w:rsidRPr="004430D0" w14:paraId="214B283D" w14:textId="77777777" w:rsidTr="00034511">
        <w:tc>
          <w:tcPr>
            <w:tcW w:w="1443" w:type="pct"/>
          </w:tcPr>
          <w:p w14:paraId="781F46CF" w14:textId="77777777" w:rsidR="00382481" w:rsidRPr="00236F26" w:rsidRDefault="00382481" w:rsidP="00034511">
            <w:pPr>
              <w:widowControl w:val="0"/>
              <w:rPr>
                <w:rFonts w:ascii="Tahoma" w:hAnsi="Tahoma" w:cs="Tahoma"/>
                <w:b/>
                <w:sz w:val="18"/>
                <w:szCs w:val="18"/>
              </w:rPr>
            </w:pPr>
            <w:r w:rsidRPr="00236F26">
              <w:rPr>
                <w:rFonts w:ascii="Tahoma" w:hAnsi="Tahoma" w:cs="Tahoma"/>
                <w:b/>
                <w:sz w:val="18"/>
                <w:szCs w:val="18"/>
              </w:rPr>
              <w:t>Договор (или Договор «Потребительский кредит»)</w:t>
            </w:r>
          </w:p>
        </w:tc>
        <w:tc>
          <w:tcPr>
            <w:tcW w:w="3557" w:type="pct"/>
          </w:tcPr>
          <w:p w14:paraId="62EC60D1" w14:textId="77777777" w:rsidR="00382481" w:rsidRPr="00236F26" w:rsidRDefault="00382481" w:rsidP="00034511">
            <w:pPr>
              <w:widowControl w:val="0"/>
              <w:tabs>
                <w:tab w:val="left" w:pos="851"/>
              </w:tabs>
              <w:adjustRightInd w:val="0"/>
              <w:jc w:val="both"/>
              <w:rPr>
                <w:rFonts w:ascii="Tahoma" w:hAnsi="Tahoma" w:cs="Tahoma"/>
                <w:sz w:val="18"/>
                <w:szCs w:val="18"/>
              </w:rPr>
            </w:pPr>
            <w:r w:rsidRPr="00236F26">
              <w:rPr>
                <w:rFonts w:ascii="Tahoma" w:hAnsi="Tahoma" w:cs="Tahoma"/>
                <w:sz w:val="18"/>
                <w:szCs w:val="18"/>
              </w:rPr>
              <w:t xml:space="preserve">Договор потребительского Кредита, заключаемый в соответствии с Федеральным законом № 353-ФЗ «О потребительском кредите (займе)» </w:t>
            </w:r>
          </w:p>
        </w:tc>
      </w:tr>
      <w:tr w:rsidR="00382481" w:rsidRPr="007304FE" w14:paraId="65A8A37A" w14:textId="77777777" w:rsidTr="00034511">
        <w:tc>
          <w:tcPr>
            <w:tcW w:w="1443" w:type="pct"/>
          </w:tcPr>
          <w:p w14:paraId="5B537EBB" w14:textId="77777777" w:rsidR="00382481" w:rsidRPr="00236F26" w:rsidRDefault="00382481" w:rsidP="00034511">
            <w:pPr>
              <w:widowControl w:val="0"/>
              <w:rPr>
                <w:rFonts w:ascii="Tahoma" w:hAnsi="Tahoma" w:cs="Tahoma"/>
                <w:b/>
                <w:sz w:val="18"/>
                <w:szCs w:val="18"/>
              </w:rPr>
            </w:pPr>
            <w:r>
              <w:rPr>
                <w:rFonts w:ascii="Tahoma" w:hAnsi="Tahoma" w:cs="Tahoma"/>
                <w:b/>
                <w:sz w:val="18"/>
                <w:szCs w:val="18"/>
              </w:rPr>
              <w:t xml:space="preserve"> ЮЛ</w:t>
            </w:r>
          </w:p>
        </w:tc>
        <w:tc>
          <w:tcPr>
            <w:tcW w:w="3557" w:type="pct"/>
          </w:tcPr>
          <w:p w14:paraId="2D31AC38" w14:textId="77777777" w:rsidR="00382481" w:rsidRPr="00236F26" w:rsidRDefault="00382481" w:rsidP="00034511">
            <w:pPr>
              <w:widowControl w:val="0"/>
              <w:tabs>
                <w:tab w:val="left" w:pos="851"/>
              </w:tabs>
              <w:adjustRightInd w:val="0"/>
              <w:jc w:val="both"/>
              <w:rPr>
                <w:rFonts w:ascii="Tahoma" w:hAnsi="Tahoma" w:cs="Tahoma"/>
                <w:sz w:val="18"/>
                <w:szCs w:val="18"/>
              </w:rPr>
            </w:pPr>
            <w:r>
              <w:rPr>
                <w:rFonts w:ascii="Tahoma" w:hAnsi="Tahoma" w:cs="Tahoma"/>
                <w:noProof/>
                <w:sz w:val="18"/>
                <w:szCs w:val="18"/>
              </w:rPr>
              <w:t>Юридическое лицо</w:t>
            </w:r>
          </w:p>
        </w:tc>
      </w:tr>
      <w:tr w:rsidR="00382481" w:rsidRPr="007304FE" w14:paraId="077D19E9" w14:textId="77777777" w:rsidTr="00034511">
        <w:tc>
          <w:tcPr>
            <w:tcW w:w="5000" w:type="pct"/>
            <w:gridSpan w:val="2"/>
          </w:tcPr>
          <w:p w14:paraId="119475EF" w14:textId="77777777" w:rsidR="00382481" w:rsidRPr="00236F26" w:rsidRDefault="00382481" w:rsidP="00034511">
            <w:pPr>
              <w:widowControl w:val="0"/>
              <w:tabs>
                <w:tab w:val="left" w:pos="851"/>
              </w:tabs>
              <w:adjustRightInd w:val="0"/>
              <w:jc w:val="both"/>
              <w:rPr>
                <w:rFonts w:ascii="Tahoma" w:hAnsi="Tahoma" w:cs="Tahoma"/>
                <w:sz w:val="18"/>
                <w:szCs w:val="18"/>
              </w:rPr>
            </w:pPr>
            <w:r w:rsidRPr="00236F26">
              <w:rPr>
                <w:rFonts w:ascii="Tahoma" w:hAnsi="Tahoma" w:cs="Tahoma"/>
                <w:sz w:val="18"/>
                <w:szCs w:val="18"/>
              </w:rPr>
              <w:t xml:space="preserve">Термины, используемые в настоящем документе, применяются в значении, указанном в Универсальном договоре банковского обслуживания физических лиц «Азиатско-Тихоокеанский Банк» (АО), размещённом на сайте Банка в сети Интернет по адресу </w:t>
            </w:r>
            <w:hyperlink r:id="rId27" w:history="1">
              <w:r w:rsidRPr="00236F26">
                <w:rPr>
                  <w:rFonts w:ascii="Tahoma" w:hAnsi="Tahoma" w:cs="Tahoma"/>
                  <w:sz w:val="18"/>
                  <w:szCs w:val="18"/>
                  <w:u w:val="single"/>
                </w:rPr>
                <w:t>www.atb.su</w:t>
              </w:r>
            </w:hyperlink>
            <w:r w:rsidRPr="00236F26">
              <w:rPr>
                <w:rFonts w:ascii="Tahoma" w:hAnsi="Tahoma" w:cs="Tahoma"/>
                <w:sz w:val="18"/>
                <w:szCs w:val="18"/>
                <w:u w:val="single"/>
              </w:rPr>
              <w:t xml:space="preserve"> и подразделениях Банка, если иное значение не установлено настоящим документом.</w:t>
            </w:r>
          </w:p>
        </w:tc>
      </w:tr>
    </w:tbl>
    <w:p w14:paraId="6557A914" w14:textId="77777777" w:rsidR="00382481" w:rsidRPr="007304FE" w:rsidRDefault="00382481" w:rsidP="00382481">
      <w:pPr>
        <w:widowControl w:val="0"/>
        <w:rPr>
          <w:rFonts w:ascii="Tahoma" w:hAnsi="Tahoma" w:cs="Tahoma"/>
          <w:noProof/>
          <w:sz w:val="20"/>
          <w:szCs w:val="20"/>
        </w:rPr>
      </w:pPr>
    </w:p>
    <w:p w14:paraId="6EFE4F43" w14:textId="77777777" w:rsidR="00382481" w:rsidRPr="007304FE" w:rsidRDefault="00382481" w:rsidP="00382481">
      <w:pPr>
        <w:widowControl w:val="0"/>
        <w:rPr>
          <w:rFonts w:ascii="Tahoma" w:hAnsi="Tahoma" w:cs="Tahoma"/>
          <w:noProof/>
          <w:sz w:val="20"/>
          <w:szCs w:val="20"/>
        </w:rPr>
      </w:pPr>
    </w:p>
    <w:p w14:paraId="2D33A5DE" w14:textId="77777777" w:rsidR="00382481" w:rsidRPr="007304FE" w:rsidRDefault="00382481" w:rsidP="00382481">
      <w:pPr>
        <w:widowControl w:val="0"/>
        <w:rPr>
          <w:rFonts w:ascii="Tahoma" w:hAnsi="Tahoma" w:cs="Tahoma"/>
          <w:noProof/>
          <w:sz w:val="20"/>
          <w:szCs w:val="20"/>
        </w:rPr>
      </w:pPr>
    </w:p>
    <w:p w14:paraId="316EF81C" w14:textId="77777777" w:rsidR="00382481" w:rsidRPr="007304FE" w:rsidRDefault="00382481" w:rsidP="00B460F9">
      <w:pPr>
        <w:pStyle w:val="affe"/>
        <w:widowControl w:val="0"/>
        <w:numPr>
          <w:ilvl w:val="0"/>
          <w:numId w:val="185"/>
        </w:numPr>
        <w:tabs>
          <w:tab w:val="left" w:pos="851"/>
        </w:tabs>
        <w:ind w:left="0" w:firstLine="426"/>
        <w:contextualSpacing/>
        <w:jc w:val="both"/>
        <w:rPr>
          <w:rFonts w:ascii="Tahoma" w:hAnsi="Tahoma" w:cs="Tahoma"/>
          <w:b/>
          <w:bCs/>
          <w:caps/>
          <w:sz w:val="20"/>
          <w:szCs w:val="20"/>
        </w:rPr>
      </w:pPr>
      <w:r w:rsidRPr="007304FE">
        <w:rPr>
          <w:rFonts w:ascii="Tahoma" w:hAnsi="Tahoma" w:cs="Tahoma"/>
          <w:b/>
          <w:bCs/>
          <w:caps/>
          <w:sz w:val="20"/>
          <w:szCs w:val="20"/>
        </w:rPr>
        <w:t>ИНФОРМАЦИЯ ОБ УСЛОВИЯХ ПРЕДОСТАВЛЕНИЯ, ИСПОЛЬЗОВАНИЯ И ВОЗВРАТА ПОТРЕБИТЕЛЬСКОГО КРЕДИТА</w:t>
      </w:r>
    </w:p>
    <w:tbl>
      <w:tblPr>
        <w:tblW w:w="15168" w:type="dxa"/>
        <w:tblInd w:w="-289" w:type="dxa"/>
        <w:tblLayout w:type="fixed"/>
        <w:tblLook w:val="04A0" w:firstRow="1" w:lastRow="0" w:firstColumn="1" w:lastColumn="0" w:noHBand="0" w:noVBand="1"/>
      </w:tblPr>
      <w:tblGrid>
        <w:gridCol w:w="4679"/>
        <w:gridCol w:w="6506"/>
        <w:gridCol w:w="2504"/>
        <w:gridCol w:w="1479"/>
      </w:tblGrid>
      <w:tr w:rsidR="00382481" w:rsidRPr="002A744A" w14:paraId="2C7771C8" w14:textId="77777777" w:rsidTr="00034511">
        <w:trPr>
          <w:trHeight w:val="255"/>
        </w:trPr>
        <w:tc>
          <w:tcPr>
            <w:tcW w:w="4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31286F" w14:textId="77777777" w:rsidR="00382481" w:rsidRPr="002A744A" w:rsidRDefault="00382481" w:rsidP="00034511">
            <w:pPr>
              <w:widowControl w:val="0"/>
              <w:rPr>
                <w:rFonts w:ascii="Tahoma" w:hAnsi="Tahoma" w:cs="Tahoma"/>
                <w:b/>
                <w:bCs/>
                <w:sz w:val="18"/>
                <w:szCs w:val="18"/>
              </w:rPr>
            </w:pPr>
            <w:r w:rsidRPr="002A744A">
              <w:rPr>
                <w:rFonts w:ascii="Tahoma" w:hAnsi="Tahoma" w:cs="Tahoma"/>
                <w:b/>
                <w:bCs/>
                <w:sz w:val="18"/>
                <w:szCs w:val="18"/>
              </w:rPr>
              <w:t>Наименование продукта/модификации/тарифного плана (ТП)/программы кредитования</w:t>
            </w:r>
          </w:p>
        </w:tc>
        <w:tc>
          <w:tcPr>
            <w:tcW w:w="10489" w:type="dxa"/>
            <w:gridSpan w:val="3"/>
            <w:tcBorders>
              <w:top w:val="single" w:sz="4" w:space="0" w:color="auto"/>
              <w:left w:val="nil"/>
              <w:bottom w:val="single" w:sz="4" w:space="0" w:color="auto"/>
              <w:right w:val="single" w:sz="4" w:space="0" w:color="auto"/>
            </w:tcBorders>
            <w:shd w:val="clear" w:color="auto" w:fill="auto"/>
            <w:vAlign w:val="center"/>
            <w:hideMark/>
          </w:tcPr>
          <w:p w14:paraId="3DE8F122" w14:textId="77777777" w:rsidR="00382481" w:rsidRPr="002A744A" w:rsidRDefault="00382481" w:rsidP="00034511">
            <w:pPr>
              <w:widowControl w:val="0"/>
              <w:jc w:val="center"/>
              <w:rPr>
                <w:rFonts w:ascii="Tahoma" w:hAnsi="Tahoma" w:cs="Tahoma"/>
                <w:b/>
                <w:bCs/>
                <w:sz w:val="18"/>
                <w:szCs w:val="18"/>
              </w:rPr>
            </w:pPr>
            <w:r w:rsidRPr="002A744A">
              <w:rPr>
                <w:rFonts w:ascii="Tahoma" w:hAnsi="Tahoma" w:cs="Tahoma"/>
                <w:b/>
                <w:bCs/>
                <w:sz w:val="18"/>
                <w:szCs w:val="18"/>
              </w:rPr>
              <w:t>«Лидер»</w:t>
            </w:r>
          </w:p>
        </w:tc>
      </w:tr>
      <w:tr w:rsidR="00382481" w:rsidRPr="002A744A" w14:paraId="62E7EB69" w14:textId="77777777" w:rsidTr="00034511">
        <w:trPr>
          <w:trHeight w:val="255"/>
        </w:trPr>
        <w:tc>
          <w:tcPr>
            <w:tcW w:w="4679" w:type="dxa"/>
            <w:tcBorders>
              <w:top w:val="single" w:sz="4" w:space="0" w:color="auto"/>
              <w:left w:val="single" w:sz="4" w:space="0" w:color="auto"/>
              <w:bottom w:val="single" w:sz="4" w:space="0" w:color="auto"/>
              <w:right w:val="single" w:sz="4" w:space="0" w:color="auto"/>
            </w:tcBorders>
            <w:shd w:val="clear" w:color="auto" w:fill="auto"/>
            <w:hideMark/>
          </w:tcPr>
          <w:p w14:paraId="7D54C39E" w14:textId="77777777" w:rsidR="00382481" w:rsidRPr="002A744A" w:rsidRDefault="00382481" w:rsidP="00034511">
            <w:pPr>
              <w:widowControl w:val="0"/>
              <w:rPr>
                <w:rFonts w:ascii="Tahoma" w:hAnsi="Tahoma" w:cs="Tahoma"/>
                <w:b/>
                <w:sz w:val="18"/>
                <w:szCs w:val="18"/>
              </w:rPr>
            </w:pPr>
            <w:r w:rsidRPr="002A744A">
              <w:rPr>
                <w:rFonts w:ascii="Tahoma" w:hAnsi="Tahoma" w:cs="Tahoma"/>
                <w:b/>
                <w:sz w:val="18"/>
                <w:szCs w:val="18"/>
              </w:rPr>
              <w:t xml:space="preserve"> Вид Кредита</w:t>
            </w:r>
          </w:p>
        </w:tc>
        <w:tc>
          <w:tcPr>
            <w:tcW w:w="10489" w:type="dxa"/>
            <w:gridSpan w:val="3"/>
            <w:tcBorders>
              <w:top w:val="single" w:sz="4" w:space="0" w:color="auto"/>
              <w:left w:val="nil"/>
              <w:bottom w:val="single" w:sz="4" w:space="0" w:color="auto"/>
              <w:right w:val="single" w:sz="4" w:space="0" w:color="auto"/>
            </w:tcBorders>
            <w:shd w:val="clear" w:color="auto" w:fill="auto"/>
          </w:tcPr>
          <w:p w14:paraId="37E18CEB" w14:textId="77777777" w:rsidR="00382481" w:rsidRPr="002A744A" w:rsidRDefault="00382481" w:rsidP="00034511">
            <w:pPr>
              <w:widowControl w:val="0"/>
              <w:tabs>
                <w:tab w:val="left" w:pos="851"/>
              </w:tabs>
              <w:adjustRightInd w:val="0"/>
              <w:jc w:val="center"/>
              <w:rPr>
                <w:rFonts w:ascii="Tahoma" w:hAnsi="Tahoma" w:cs="Tahoma"/>
                <w:sz w:val="18"/>
                <w:szCs w:val="18"/>
              </w:rPr>
            </w:pPr>
            <w:r w:rsidRPr="002A744A">
              <w:rPr>
                <w:rFonts w:ascii="Tahoma" w:hAnsi="Tahoma" w:cs="Tahoma"/>
                <w:sz w:val="18"/>
                <w:szCs w:val="18"/>
              </w:rPr>
              <w:t>Потребительский Кредит</w:t>
            </w:r>
          </w:p>
        </w:tc>
      </w:tr>
      <w:tr w:rsidR="00382481" w:rsidRPr="002A744A" w14:paraId="326188DD" w14:textId="77777777" w:rsidTr="00034511">
        <w:trPr>
          <w:trHeight w:val="255"/>
        </w:trPr>
        <w:tc>
          <w:tcPr>
            <w:tcW w:w="4679" w:type="dxa"/>
            <w:tcBorders>
              <w:top w:val="single" w:sz="4" w:space="0" w:color="auto"/>
              <w:left w:val="single" w:sz="4" w:space="0" w:color="auto"/>
              <w:bottom w:val="single" w:sz="4" w:space="0" w:color="auto"/>
              <w:right w:val="single" w:sz="4" w:space="0" w:color="auto"/>
            </w:tcBorders>
            <w:shd w:val="clear" w:color="auto" w:fill="auto"/>
          </w:tcPr>
          <w:p w14:paraId="763F0564" w14:textId="77777777" w:rsidR="00382481" w:rsidRPr="002A744A" w:rsidRDefault="00382481" w:rsidP="00034511">
            <w:pPr>
              <w:widowControl w:val="0"/>
              <w:tabs>
                <w:tab w:val="center" w:pos="2018"/>
                <w:tab w:val="left" w:pos="3150"/>
              </w:tabs>
              <w:rPr>
                <w:rFonts w:ascii="Tahoma" w:hAnsi="Tahoma" w:cs="Tahoma"/>
                <w:b/>
                <w:sz w:val="18"/>
                <w:szCs w:val="18"/>
              </w:rPr>
            </w:pPr>
            <w:r w:rsidRPr="002A744A">
              <w:rPr>
                <w:rFonts w:ascii="Tahoma" w:hAnsi="Tahoma" w:cs="Tahoma"/>
                <w:b/>
                <w:sz w:val="18"/>
                <w:szCs w:val="18"/>
              </w:rPr>
              <w:lastRenderedPageBreak/>
              <w:t>Тип Кредита</w:t>
            </w:r>
            <w:r w:rsidRPr="002A744A">
              <w:rPr>
                <w:rFonts w:ascii="Tahoma" w:hAnsi="Tahoma" w:cs="Tahoma"/>
                <w:b/>
                <w:sz w:val="18"/>
                <w:szCs w:val="18"/>
              </w:rPr>
              <w:tab/>
            </w:r>
          </w:p>
        </w:tc>
        <w:tc>
          <w:tcPr>
            <w:tcW w:w="10489" w:type="dxa"/>
            <w:gridSpan w:val="3"/>
            <w:tcBorders>
              <w:top w:val="single" w:sz="4" w:space="0" w:color="auto"/>
              <w:left w:val="nil"/>
              <w:bottom w:val="single" w:sz="4" w:space="0" w:color="auto"/>
              <w:right w:val="single" w:sz="4" w:space="0" w:color="auto"/>
            </w:tcBorders>
            <w:shd w:val="clear" w:color="auto" w:fill="auto"/>
          </w:tcPr>
          <w:p w14:paraId="6ABEBCE5" w14:textId="77777777" w:rsidR="00382481" w:rsidRPr="002A744A" w:rsidRDefault="00382481" w:rsidP="00034511">
            <w:pPr>
              <w:widowControl w:val="0"/>
              <w:tabs>
                <w:tab w:val="left" w:pos="851"/>
              </w:tabs>
              <w:adjustRightInd w:val="0"/>
              <w:jc w:val="center"/>
              <w:rPr>
                <w:rFonts w:ascii="Tahoma" w:hAnsi="Tahoma" w:cs="Tahoma"/>
                <w:sz w:val="18"/>
                <w:szCs w:val="18"/>
              </w:rPr>
            </w:pPr>
            <w:r w:rsidRPr="002A744A">
              <w:rPr>
                <w:rFonts w:ascii="Tahoma" w:hAnsi="Tahoma" w:cs="Tahoma"/>
                <w:sz w:val="18"/>
                <w:szCs w:val="18"/>
              </w:rPr>
              <w:t>Кредит наличными</w:t>
            </w:r>
          </w:p>
        </w:tc>
      </w:tr>
      <w:tr w:rsidR="00382481" w:rsidRPr="002A744A" w14:paraId="039D5F05" w14:textId="77777777" w:rsidTr="00034511">
        <w:trPr>
          <w:trHeight w:val="273"/>
        </w:trPr>
        <w:tc>
          <w:tcPr>
            <w:tcW w:w="4679" w:type="dxa"/>
            <w:tcBorders>
              <w:top w:val="single" w:sz="4" w:space="0" w:color="auto"/>
              <w:left w:val="single" w:sz="4" w:space="0" w:color="auto"/>
              <w:bottom w:val="single" w:sz="4" w:space="0" w:color="auto"/>
              <w:right w:val="single" w:sz="4" w:space="0" w:color="auto"/>
            </w:tcBorders>
            <w:shd w:val="clear" w:color="auto" w:fill="auto"/>
            <w:vAlign w:val="center"/>
          </w:tcPr>
          <w:p w14:paraId="62CC60CC" w14:textId="77777777" w:rsidR="00382481" w:rsidRPr="002A744A" w:rsidDel="00ED23AE" w:rsidRDefault="00382481" w:rsidP="00034511">
            <w:pPr>
              <w:widowControl w:val="0"/>
              <w:rPr>
                <w:rFonts w:ascii="Tahoma" w:hAnsi="Tahoma" w:cs="Tahoma"/>
                <w:b/>
                <w:bCs/>
                <w:sz w:val="18"/>
                <w:szCs w:val="18"/>
              </w:rPr>
            </w:pPr>
            <w:r w:rsidRPr="002A744A">
              <w:rPr>
                <w:rFonts w:ascii="Tahoma" w:hAnsi="Tahoma" w:cs="Tahoma"/>
                <w:b/>
                <w:bCs/>
                <w:sz w:val="18"/>
                <w:szCs w:val="18"/>
              </w:rPr>
              <w:t>Цель Кредита</w:t>
            </w:r>
          </w:p>
        </w:tc>
        <w:tc>
          <w:tcPr>
            <w:tcW w:w="10489" w:type="dxa"/>
            <w:gridSpan w:val="3"/>
            <w:tcBorders>
              <w:top w:val="single" w:sz="4" w:space="0" w:color="auto"/>
              <w:left w:val="nil"/>
              <w:bottom w:val="single" w:sz="4" w:space="0" w:color="auto"/>
              <w:right w:val="single" w:sz="4" w:space="0" w:color="auto"/>
            </w:tcBorders>
            <w:shd w:val="clear" w:color="auto" w:fill="auto"/>
            <w:vAlign w:val="center"/>
          </w:tcPr>
          <w:p w14:paraId="55AA5C22" w14:textId="77777777" w:rsidR="00382481" w:rsidRPr="002A744A" w:rsidDel="00ED23AE" w:rsidRDefault="00382481" w:rsidP="00034511">
            <w:pPr>
              <w:widowControl w:val="0"/>
              <w:ind w:left="360"/>
              <w:jc w:val="center"/>
              <w:rPr>
                <w:rFonts w:ascii="Tahoma" w:hAnsi="Tahoma" w:cs="Tahoma"/>
                <w:sz w:val="18"/>
                <w:szCs w:val="18"/>
              </w:rPr>
            </w:pPr>
            <w:r w:rsidRPr="002A744A">
              <w:rPr>
                <w:rFonts w:ascii="Tahoma" w:hAnsi="Tahoma" w:cs="Tahoma"/>
                <w:sz w:val="18"/>
                <w:szCs w:val="18"/>
              </w:rPr>
              <w:t xml:space="preserve">Нецелевой (на любые потребительские цели) </w:t>
            </w:r>
          </w:p>
        </w:tc>
      </w:tr>
      <w:tr w:rsidR="00382481" w:rsidRPr="002A744A" w14:paraId="6C80CCC9" w14:textId="77777777" w:rsidTr="00034511">
        <w:trPr>
          <w:trHeight w:val="255"/>
        </w:trPr>
        <w:tc>
          <w:tcPr>
            <w:tcW w:w="4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52EE0D" w14:textId="77777777" w:rsidR="00382481" w:rsidRPr="002A744A" w:rsidRDefault="00382481" w:rsidP="00034511">
            <w:pPr>
              <w:widowControl w:val="0"/>
              <w:rPr>
                <w:rFonts w:ascii="Tahoma" w:hAnsi="Tahoma" w:cs="Tahoma"/>
                <w:b/>
                <w:bCs/>
                <w:sz w:val="18"/>
                <w:szCs w:val="18"/>
              </w:rPr>
            </w:pPr>
            <w:r w:rsidRPr="002A744A">
              <w:rPr>
                <w:rFonts w:ascii="Tahoma" w:hAnsi="Tahoma" w:cs="Tahoma"/>
                <w:b/>
                <w:bCs/>
                <w:sz w:val="18"/>
                <w:szCs w:val="18"/>
              </w:rPr>
              <w:t>Подразделения Банка/Точки продаж, реализующие кредитный продукт</w:t>
            </w:r>
          </w:p>
        </w:tc>
        <w:tc>
          <w:tcPr>
            <w:tcW w:w="10489" w:type="dxa"/>
            <w:gridSpan w:val="3"/>
            <w:tcBorders>
              <w:top w:val="single" w:sz="4" w:space="0" w:color="auto"/>
              <w:left w:val="nil"/>
              <w:bottom w:val="single" w:sz="4" w:space="0" w:color="auto"/>
              <w:right w:val="single" w:sz="4" w:space="0" w:color="auto"/>
            </w:tcBorders>
            <w:shd w:val="clear" w:color="auto" w:fill="auto"/>
            <w:vAlign w:val="center"/>
            <w:hideMark/>
          </w:tcPr>
          <w:p w14:paraId="53833B25" w14:textId="77777777" w:rsidR="00382481" w:rsidRPr="002A744A" w:rsidRDefault="00382481" w:rsidP="00034511">
            <w:pPr>
              <w:widowControl w:val="0"/>
              <w:jc w:val="center"/>
              <w:rPr>
                <w:rFonts w:ascii="Tahoma" w:hAnsi="Tahoma" w:cs="Tahoma"/>
                <w:color w:val="000000"/>
                <w:sz w:val="18"/>
                <w:szCs w:val="18"/>
              </w:rPr>
            </w:pPr>
            <w:r w:rsidRPr="002A744A">
              <w:rPr>
                <w:rFonts w:ascii="Tahoma" w:hAnsi="Tahoma" w:cs="Tahoma"/>
                <w:color w:val="000000"/>
                <w:sz w:val="18"/>
                <w:szCs w:val="18"/>
              </w:rPr>
              <w:t xml:space="preserve">Все подразделения Банка </w:t>
            </w:r>
          </w:p>
        </w:tc>
      </w:tr>
      <w:tr w:rsidR="00382481" w:rsidRPr="002A744A" w14:paraId="28180C79" w14:textId="77777777" w:rsidTr="00034511">
        <w:trPr>
          <w:trHeight w:val="255"/>
        </w:trPr>
        <w:tc>
          <w:tcPr>
            <w:tcW w:w="4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3D2CC3" w14:textId="77777777" w:rsidR="00382481" w:rsidRPr="002A744A" w:rsidRDefault="00382481" w:rsidP="00034511">
            <w:pPr>
              <w:widowControl w:val="0"/>
              <w:rPr>
                <w:rFonts w:ascii="Tahoma" w:hAnsi="Tahoma" w:cs="Tahoma"/>
                <w:b/>
                <w:bCs/>
                <w:sz w:val="18"/>
                <w:szCs w:val="18"/>
              </w:rPr>
            </w:pPr>
            <w:r w:rsidRPr="002A744A">
              <w:rPr>
                <w:rFonts w:ascii="Tahoma" w:hAnsi="Tahoma" w:cs="Tahoma"/>
                <w:b/>
                <w:bCs/>
                <w:sz w:val="18"/>
                <w:szCs w:val="18"/>
              </w:rPr>
              <w:t>Категория Заёмщика</w:t>
            </w:r>
          </w:p>
        </w:tc>
        <w:tc>
          <w:tcPr>
            <w:tcW w:w="10489" w:type="dxa"/>
            <w:gridSpan w:val="3"/>
            <w:tcBorders>
              <w:top w:val="single" w:sz="4" w:space="0" w:color="auto"/>
              <w:left w:val="nil"/>
              <w:bottom w:val="single" w:sz="4" w:space="0" w:color="auto"/>
              <w:right w:val="single" w:sz="4" w:space="0" w:color="auto"/>
            </w:tcBorders>
            <w:shd w:val="clear" w:color="auto" w:fill="auto"/>
            <w:vAlign w:val="center"/>
            <w:hideMark/>
          </w:tcPr>
          <w:p w14:paraId="59EB047D" w14:textId="77777777" w:rsidR="00382481" w:rsidRPr="002A744A" w:rsidRDefault="00382481" w:rsidP="00034511">
            <w:pPr>
              <w:widowControl w:val="0"/>
              <w:jc w:val="center"/>
              <w:rPr>
                <w:rFonts w:ascii="Tahoma" w:hAnsi="Tahoma" w:cs="Tahoma"/>
                <w:color w:val="000000"/>
                <w:sz w:val="18"/>
                <w:szCs w:val="18"/>
              </w:rPr>
            </w:pPr>
            <w:r w:rsidRPr="002A744A">
              <w:rPr>
                <w:rFonts w:ascii="Tahoma" w:hAnsi="Tahoma" w:cs="Tahoma"/>
                <w:color w:val="000000"/>
                <w:sz w:val="18"/>
                <w:szCs w:val="18"/>
              </w:rPr>
              <w:t>Физические лица, являющиеся собственниками ЮЛ</w:t>
            </w:r>
            <w:r w:rsidRPr="002A744A">
              <w:rPr>
                <w:rFonts w:ascii="Tahoma" w:hAnsi="Tahoma" w:cs="Tahoma"/>
                <w:color w:val="000000"/>
                <w:sz w:val="18"/>
                <w:szCs w:val="18"/>
                <w:vertAlign w:val="superscript"/>
              </w:rPr>
              <w:t>*</w:t>
            </w:r>
            <w:r w:rsidRPr="002A744A">
              <w:rPr>
                <w:rFonts w:ascii="Tahoma" w:hAnsi="Tahoma" w:cs="Tahoma"/>
                <w:color w:val="000000"/>
                <w:sz w:val="18"/>
                <w:szCs w:val="18"/>
              </w:rPr>
              <w:t xml:space="preserve"> </w:t>
            </w:r>
          </w:p>
        </w:tc>
      </w:tr>
      <w:tr w:rsidR="00382481" w:rsidRPr="002A744A" w14:paraId="1370E292" w14:textId="77777777" w:rsidTr="00034511">
        <w:trPr>
          <w:trHeight w:val="255"/>
        </w:trPr>
        <w:tc>
          <w:tcPr>
            <w:tcW w:w="4679" w:type="dxa"/>
            <w:tcBorders>
              <w:top w:val="single" w:sz="4" w:space="0" w:color="auto"/>
              <w:left w:val="single" w:sz="4" w:space="0" w:color="auto"/>
              <w:bottom w:val="single" w:sz="4" w:space="0" w:color="auto"/>
              <w:right w:val="single" w:sz="4" w:space="0" w:color="auto"/>
            </w:tcBorders>
            <w:shd w:val="clear" w:color="auto" w:fill="auto"/>
            <w:vAlign w:val="center"/>
          </w:tcPr>
          <w:p w14:paraId="3DA3485C" w14:textId="77777777" w:rsidR="00382481" w:rsidRPr="002A744A" w:rsidRDefault="00382481" w:rsidP="00034511">
            <w:pPr>
              <w:widowControl w:val="0"/>
              <w:rPr>
                <w:rFonts w:ascii="Tahoma" w:hAnsi="Tahoma" w:cs="Tahoma"/>
                <w:b/>
                <w:bCs/>
                <w:sz w:val="18"/>
                <w:szCs w:val="18"/>
              </w:rPr>
            </w:pPr>
            <w:r w:rsidRPr="002A744A">
              <w:rPr>
                <w:rFonts w:ascii="Tahoma" w:hAnsi="Tahoma" w:cs="Tahoma"/>
                <w:b/>
                <w:bCs/>
                <w:sz w:val="18"/>
                <w:szCs w:val="18"/>
              </w:rPr>
              <w:t>Валюта, в которой предоставляется Кредит</w:t>
            </w:r>
          </w:p>
        </w:tc>
        <w:tc>
          <w:tcPr>
            <w:tcW w:w="10489" w:type="dxa"/>
            <w:gridSpan w:val="3"/>
            <w:tcBorders>
              <w:top w:val="single" w:sz="4" w:space="0" w:color="auto"/>
              <w:left w:val="nil"/>
              <w:bottom w:val="single" w:sz="4" w:space="0" w:color="auto"/>
              <w:right w:val="single" w:sz="4" w:space="0" w:color="auto"/>
            </w:tcBorders>
            <w:shd w:val="clear" w:color="auto" w:fill="auto"/>
            <w:vAlign w:val="center"/>
          </w:tcPr>
          <w:p w14:paraId="3C1BD96C" w14:textId="77777777" w:rsidR="00382481" w:rsidRPr="002A744A" w:rsidRDefault="00382481" w:rsidP="00034511">
            <w:pPr>
              <w:widowControl w:val="0"/>
              <w:jc w:val="center"/>
              <w:rPr>
                <w:rFonts w:ascii="Tahoma" w:hAnsi="Tahoma" w:cs="Tahoma"/>
                <w:color w:val="000000"/>
                <w:sz w:val="18"/>
                <w:szCs w:val="18"/>
              </w:rPr>
            </w:pPr>
            <w:r w:rsidRPr="002A744A">
              <w:rPr>
                <w:rFonts w:ascii="Tahoma" w:hAnsi="Tahoma" w:cs="Tahoma"/>
                <w:color w:val="000000"/>
                <w:sz w:val="18"/>
                <w:szCs w:val="18"/>
              </w:rPr>
              <w:t>Рубль Российской Федерации (далее – рубль)</w:t>
            </w:r>
          </w:p>
        </w:tc>
      </w:tr>
      <w:tr w:rsidR="00382481" w:rsidRPr="002A744A" w14:paraId="186C3637" w14:textId="77777777" w:rsidTr="00034511">
        <w:trPr>
          <w:trHeight w:val="255"/>
        </w:trPr>
        <w:tc>
          <w:tcPr>
            <w:tcW w:w="4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B0C8D0" w14:textId="77777777" w:rsidR="00382481" w:rsidRPr="002A744A" w:rsidRDefault="00382481" w:rsidP="00034511">
            <w:pPr>
              <w:widowControl w:val="0"/>
              <w:rPr>
                <w:rFonts w:ascii="Tahoma" w:hAnsi="Tahoma" w:cs="Tahoma"/>
                <w:b/>
                <w:bCs/>
                <w:sz w:val="18"/>
                <w:szCs w:val="18"/>
              </w:rPr>
            </w:pPr>
            <w:r w:rsidRPr="002A744A">
              <w:rPr>
                <w:rFonts w:ascii="Tahoma" w:hAnsi="Tahoma" w:cs="Tahoma"/>
                <w:b/>
                <w:bCs/>
                <w:sz w:val="18"/>
                <w:szCs w:val="18"/>
              </w:rPr>
              <w:t>Минимальная сумма Кредита</w:t>
            </w:r>
          </w:p>
        </w:tc>
        <w:tc>
          <w:tcPr>
            <w:tcW w:w="10489" w:type="dxa"/>
            <w:gridSpan w:val="3"/>
            <w:tcBorders>
              <w:top w:val="single" w:sz="4" w:space="0" w:color="auto"/>
              <w:left w:val="nil"/>
              <w:bottom w:val="single" w:sz="4" w:space="0" w:color="auto"/>
              <w:right w:val="single" w:sz="4" w:space="0" w:color="auto"/>
            </w:tcBorders>
            <w:shd w:val="clear" w:color="auto" w:fill="auto"/>
            <w:vAlign w:val="center"/>
            <w:hideMark/>
          </w:tcPr>
          <w:p w14:paraId="5514C23B" w14:textId="77777777" w:rsidR="00382481" w:rsidRPr="002A744A" w:rsidRDefault="00382481" w:rsidP="00034511">
            <w:pPr>
              <w:jc w:val="center"/>
              <w:rPr>
                <w:rFonts w:ascii="Tahoma" w:hAnsi="Tahoma" w:cs="Tahoma"/>
                <w:sz w:val="18"/>
                <w:szCs w:val="18"/>
              </w:rPr>
            </w:pPr>
            <w:r w:rsidRPr="002A744A">
              <w:rPr>
                <w:rFonts w:ascii="Tahoma" w:hAnsi="Tahoma" w:cs="Tahoma"/>
                <w:sz w:val="18"/>
                <w:szCs w:val="18"/>
              </w:rPr>
              <w:t>5 000 000,01 рублей</w:t>
            </w:r>
          </w:p>
        </w:tc>
      </w:tr>
      <w:tr w:rsidR="00382481" w:rsidRPr="002A744A" w14:paraId="26508193" w14:textId="77777777" w:rsidTr="00034511">
        <w:trPr>
          <w:trHeight w:val="146"/>
        </w:trPr>
        <w:tc>
          <w:tcPr>
            <w:tcW w:w="4679" w:type="dxa"/>
            <w:tcBorders>
              <w:top w:val="single" w:sz="4" w:space="0" w:color="auto"/>
              <w:left w:val="single" w:sz="4" w:space="0" w:color="auto"/>
              <w:bottom w:val="single" w:sz="4" w:space="0" w:color="auto"/>
              <w:right w:val="single" w:sz="4" w:space="0" w:color="auto"/>
            </w:tcBorders>
            <w:shd w:val="clear" w:color="auto" w:fill="auto"/>
            <w:vAlign w:val="center"/>
          </w:tcPr>
          <w:p w14:paraId="0A689B39" w14:textId="77777777" w:rsidR="00382481" w:rsidRPr="002A744A" w:rsidRDefault="00382481" w:rsidP="00034511">
            <w:pPr>
              <w:widowControl w:val="0"/>
              <w:rPr>
                <w:rFonts w:ascii="Tahoma" w:hAnsi="Tahoma" w:cs="Tahoma"/>
                <w:b/>
                <w:bCs/>
                <w:sz w:val="18"/>
                <w:szCs w:val="18"/>
              </w:rPr>
            </w:pPr>
            <w:r w:rsidRPr="002A744A">
              <w:rPr>
                <w:rFonts w:ascii="Tahoma" w:hAnsi="Tahoma" w:cs="Tahoma"/>
                <w:b/>
                <w:bCs/>
                <w:sz w:val="18"/>
                <w:szCs w:val="18"/>
              </w:rPr>
              <w:t>Максимальная сумма Кредита</w:t>
            </w:r>
          </w:p>
        </w:tc>
        <w:tc>
          <w:tcPr>
            <w:tcW w:w="10489" w:type="dxa"/>
            <w:gridSpan w:val="3"/>
            <w:tcBorders>
              <w:top w:val="single" w:sz="4" w:space="0" w:color="auto"/>
              <w:left w:val="nil"/>
              <w:bottom w:val="single" w:sz="4" w:space="0" w:color="auto"/>
              <w:right w:val="single" w:sz="4" w:space="0" w:color="auto"/>
            </w:tcBorders>
            <w:shd w:val="clear" w:color="auto" w:fill="auto"/>
            <w:vAlign w:val="center"/>
          </w:tcPr>
          <w:p w14:paraId="6A1798DF" w14:textId="77777777" w:rsidR="00382481" w:rsidRPr="002A744A" w:rsidRDefault="00382481" w:rsidP="00034511">
            <w:pPr>
              <w:jc w:val="center"/>
              <w:rPr>
                <w:rFonts w:ascii="Tahoma" w:hAnsi="Tahoma" w:cs="Tahoma"/>
                <w:sz w:val="18"/>
                <w:szCs w:val="18"/>
              </w:rPr>
            </w:pPr>
            <w:r w:rsidRPr="002A744A">
              <w:rPr>
                <w:rFonts w:ascii="Tahoma" w:hAnsi="Tahoma" w:cs="Tahoma"/>
                <w:sz w:val="18"/>
                <w:szCs w:val="18"/>
              </w:rPr>
              <w:t>50 000 000,00 рублей</w:t>
            </w:r>
          </w:p>
        </w:tc>
      </w:tr>
      <w:tr w:rsidR="00382481" w:rsidRPr="002A744A" w14:paraId="66BFB8A1" w14:textId="77777777" w:rsidTr="00034511">
        <w:trPr>
          <w:trHeight w:val="255"/>
        </w:trPr>
        <w:tc>
          <w:tcPr>
            <w:tcW w:w="4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87A0B7" w14:textId="77777777" w:rsidR="00382481" w:rsidRPr="002A744A" w:rsidRDefault="00382481" w:rsidP="00034511">
            <w:pPr>
              <w:widowControl w:val="0"/>
              <w:rPr>
                <w:rFonts w:ascii="Tahoma" w:hAnsi="Tahoma" w:cs="Tahoma"/>
                <w:b/>
                <w:bCs/>
                <w:sz w:val="18"/>
                <w:szCs w:val="18"/>
              </w:rPr>
            </w:pPr>
            <w:r w:rsidRPr="002A744A">
              <w:rPr>
                <w:rFonts w:ascii="Tahoma" w:hAnsi="Tahoma" w:cs="Tahoma"/>
                <w:b/>
                <w:bCs/>
                <w:sz w:val="18"/>
                <w:szCs w:val="18"/>
              </w:rPr>
              <w:t xml:space="preserve">Диапазон сроков возврата Кредита </w:t>
            </w:r>
          </w:p>
        </w:tc>
        <w:tc>
          <w:tcPr>
            <w:tcW w:w="10489" w:type="dxa"/>
            <w:gridSpan w:val="3"/>
            <w:tcBorders>
              <w:top w:val="single" w:sz="4" w:space="0" w:color="auto"/>
              <w:left w:val="nil"/>
              <w:bottom w:val="single" w:sz="4" w:space="0" w:color="auto"/>
              <w:right w:val="single" w:sz="4" w:space="0" w:color="auto"/>
            </w:tcBorders>
            <w:shd w:val="clear" w:color="auto" w:fill="auto"/>
            <w:vAlign w:val="center"/>
            <w:hideMark/>
          </w:tcPr>
          <w:p w14:paraId="632D9526" w14:textId="77777777" w:rsidR="00382481" w:rsidRPr="002A744A" w:rsidRDefault="00382481" w:rsidP="00034511">
            <w:pPr>
              <w:widowControl w:val="0"/>
              <w:jc w:val="center"/>
              <w:rPr>
                <w:rFonts w:ascii="Tahoma" w:hAnsi="Tahoma" w:cs="Tahoma"/>
                <w:sz w:val="18"/>
                <w:szCs w:val="18"/>
              </w:rPr>
            </w:pPr>
            <w:r w:rsidRPr="002A744A">
              <w:rPr>
                <w:rFonts w:ascii="Tahoma" w:hAnsi="Tahoma" w:cs="Tahoma"/>
                <w:sz w:val="18"/>
                <w:szCs w:val="18"/>
              </w:rPr>
              <w:t>от 12 (двенадцать) до 84 (восемьдесят четыре)  месяцев (включительно) с шагом в 1 (один) месяц</w:t>
            </w:r>
          </w:p>
        </w:tc>
      </w:tr>
      <w:tr w:rsidR="00382481" w:rsidRPr="002A744A" w14:paraId="0B820D13" w14:textId="77777777" w:rsidTr="00034511">
        <w:trPr>
          <w:trHeight w:val="670"/>
        </w:trPr>
        <w:tc>
          <w:tcPr>
            <w:tcW w:w="4679" w:type="dxa"/>
            <w:vMerge w:val="restart"/>
            <w:tcBorders>
              <w:top w:val="single" w:sz="4" w:space="0" w:color="auto"/>
              <w:left w:val="single" w:sz="4" w:space="0" w:color="auto"/>
              <w:right w:val="single" w:sz="4" w:space="0" w:color="auto"/>
            </w:tcBorders>
            <w:shd w:val="clear" w:color="auto" w:fill="auto"/>
            <w:vAlign w:val="center"/>
          </w:tcPr>
          <w:p w14:paraId="641AF2EB" w14:textId="77777777" w:rsidR="00382481" w:rsidRPr="002A744A" w:rsidRDefault="00382481" w:rsidP="00034511">
            <w:pPr>
              <w:widowControl w:val="0"/>
              <w:rPr>
                <w:rFonts w:ascii="Tahoma" w:hAnsi="Tahoma" w:cs="Tahoma"/>
                <w:b/>
                <w:bCs/>
                <w:sz w:val="18"/>
                <w:szCs w:val="18"/>
              </w:rPr>
            </w:pPr>
            <w:r w:rsidRPr="002A744A">
              <w:rPr>
                <w:rFonts w:ascii="Tahoma" w:hAnsi="Tahoma" w:cs="Tahoma"/>
                <w:b/>
                <w:bCs/>
                <w:sz w:val="18"/>
                <w:szCs w:val="18"/>
              </w:rPr>
              <w:t xml:space="preserve">Диапазон процентных ставок </w:t>
            </w:r>
          </w:p>
          <w:p w14:paraId="78E619ED" w14:textId="77777777" w:rsidR="00382481" w:rsidRPr="002A744A" w:rsidRDefault="00382481" w:rsidP="00034511">
            <w:pPr>
              <w:widowControl w:val="0"/>
              <w:rPr>
                <w:rFonts w:ascii="Tahoma" w:hAnsi="Tahoma" w:cs="Tahoma"/>
                <w:b/>
                <w:bCs/>
                <w:sz w:val="18"/>
                <w:szCs w:val="18"/>
              </w:rPr>
            </w:pPr>
            <w:r w:rsidRPr="002A744A">
              <w:rPr>
                <w:rFonts w:ascii="Tahoma" w:hAnsi="Tahoma" w:cs="Tahoma"/>
                <w:b/>
                <w:bCs/>
                <w:sz w:val="18"/>
                <w:szCs w:val="18"/>
              </w:rPr>
              <w:t xml:space="preserve">в процентах годовых </w:t>
            </w:r>
          </w:p>
          <w:p w14:paraId="2E7DA344" w14:textId="77777777" w:rsidR="00382481" w:rsidRPr="002A744A" w:rsidRDefault="00382481" w:rsidP="00034511">
            <w:pPr>
              <w:widowControl w:val="0"/>
              <w:rPr>
                <w:rFonts w:ascii="Tahoma" w:hAnsi="Tahoma" w:cs="Tahoma"/>
                <w:b/>
                <w:bCs/>
                <w:sz w:val="18"/>
                <w:szCs w:val="18"/>
              </w:rPr>
            </w:pPr>
            <w:r w:rsidRPr="002A744A">
              <w:rPr>
                <w:rFonts w:ascii="Tahoma" w:hAnsi="Tahoma" w:cs="Tahoma"/>
                <w:b/>
                <w:bCs/>
                <w:sz w:val="18"/>
                <w:szCs w:val="18"/>
              </w:rPr>
              <w:t xml:space="preserve">(ставка определяется индивидуально по итогам рассмотрения Заявления на кредит) </w:t>
            </w:r>
          </w:p>
        </w:tc>
        <w:tc>
          <w:tcPr>
            <w:tcW w:w="6506" w:type="dxa"/>
            <w:tcBorders>
              <w:top w:val="single" w:sz="4" w:space="0" w:color="auto"/>
              <w:left w:val="nil"/>
              <w:bottom w:val="single" w:sz="4" w:space="0" w:color="auto"/>
              <w:right w:val="single" w:sz="4" w:space="0" w:color="auto"/>
            </w:tcBorders>
            <w:shd w:val="clear" w:color="auto" w:fill="auto"/>
            <w:vAlign w:val="center"/>
          </w:tcPr>
          <w:p w14:paraId="24ED3F72" w14:textId="77777777" w:rsidR="00382481" w:rsidRPr="002A744A" w:rsidRDefault="00382481" w:rsidP="00034511">
            <w:pPr>
              <w:widowControl w:val="0"/>
              <w:jc w:val="center"/>
              <w:rPr>
                <w:rFonts w:ascii="Tahoma" w:hAnsi="Tahoma" w:cs="Tahoma"/>
                <w:sz w:val="18"/>
                <w:szCs w:val="18"/>
              </w:rPr>
            </w:pPr>
            <w:r w:rsidRPr="002A744A">
              <w:rPr>
                <w:rFonts w:ascii="Tahoma" w:hAnsi="Tahoma" w:cs="Tahoma"/>
                <w:b/>
                <w:sz w:val="18"/>
                <w:szCs w:val="18"/>
              </w:rPr>
              <w:t>Процентная ставка (в процентах годовых) при заключении Заемщиком договора личного страхования</w:t>
            </w:r>
            <w:r w:rsidRPr="002A744A">
              <w:rPr>
                <w:rFonts w:ascii="Tahoma" w:hAnsi="Tahoma" w:cs="Tahoma"/>
                <w:sz w:val="18"/>
                <w:szCs w:val="18"/>
                <w:vertAlign w:val="superscript"/>
              </w:rPr>
              <w:t xml:space="preserve"> **</w:t>
            </w:r>
          </w:p>
        </w:tc>
        <w:tc>
          <w:tcPr>
            <w:tcW w:w="3983" w:type="dxa"/>
            <w:gridSpan w:val="2"/>
            <w:tcBorders>
              <w:top w:val="single" w:sz="4" w:space="0" w:color="auto"/>
              <w:left w:val="nil"/>
              <w:bottom w:val="single" w:sz="4" w:space="0" w:color="auto"/>
              <w:right w:val="single" w:sz="4" w:space="0" w:color="auto"/>
            </w:tcBorders>
            <w:shd w:val="clear" w:color="auto" w:fill="auto"/>
            <w:vAlign w:val="center"/>
          </w:tcPr>
          <w:p w14:paraId="3CA7C6CA" w14:textId="77777777" w:rsidR="00382481" w:rsidRPr="002A744A" w:rsidRDefault="00382481" w:rsidP="00034511">
            <w:pPr>
              <w:widowControl w:val="0"/>
              <w:jc w:val="center"/>
              <w:rPr>
                <w:rFonts w:ascii="Tahoma" w:hAnsi="Tahoma" w:cs="Tahoma"/>
                <w:sz w:val="18"/>
                <w:szCs w:val="18"/>
              </w:rPr>
            </w:pPr>
            <w:r w:rsidRPr="002A744A">
              <w:rPr>
                <w:rFonts w:ascii="Tahoma" w:hAnsi="Tahoma" w:cs="Tahoma"/>
                <w:b/>
                <w:sz w:val="18"/>
                <w:szCs w:val="18"/>
              </w:rPr>
              <w:t>Процентная ставка (в процентах годовых) без заключения Заемщиком договора личного страхования</w:t>
            </w:r>
            <w:r w:rsidRPr="002A744A">
              <w:rPr>
                <w:rFonts w:ascii="Tahoma" w:hAnsi="Tahoma" w:cs="Tahoma"/>
                <w:sz w:val="18"/>
                <w:szCs w:val="18"/>
                <w:vertAlign w:val="superscript"/>
              </w:rPr>
              <w:t>**</w:t>
            </w:r>
          </w:p>
        </w:tc>
      </w:tr>
      <w:tr w:rsidR="00382481" w:rsidRPr="002A744A" w14:paraId="67315A7E" w14:textId="77777777" w:rsidTr="00034511">
        <w:trPr>
          <w:trHeight w:val="435"/>
        </w:trPr>
        <w:tc>
          <w:tcPr>
            <w:tcW w:w="4679" w:type="dxa"/>
            <w:vMerge/>
            <w:tcBorders>
              <w:left w:val="single" w:sz="4" w:space="0" w:color="auto"/>
              <w:right w:val="single" w:sz="4" w:space="0" w:color="auto"/>
            </w:tcBorders>
            <w:shd w:val="clear" w:color="auto" w:fill="auto"/>
            <w:vAlign w:val="center"/>
          </w:tcPr>
          <w:p w14:paraId="173C55A4" w14:textId="77777777" w:rsidR="00382481" w:rsidRPr="002A744A" w:rsidRDefault="00382481" w:rsidP="00034511">
            <w:pPr>
              <w:widowControl w:val="0"/>
              <w:rPr>
                <w:rFonts w:ascii="Tahoma" w:hAnsi="Tahoma" w:cs="Tahoma"/>
                <w:b/>
                <w:bCs/>
                <w:sz w:val="18"/>
                <w:szCs w:val="18"/>
              </w:rPr>
            </w:pPr>
          </w:p>
        </w:tc>
        <w:tc>
          <w:tcPr>
            <w:tcW w:w="6506" w:type="dxa"/>
            <w:tcBorders>
              <w:top w:val="single" w:sz="4" w:space="0" w:color="auto"/>
              <w:left w:val="nil"/>
              <w:bottom w:val="single" w:sz="4" w:space="0" w:color="auto"/>
              <w:right w:val="single" w:sz="4" w:space="0" w:color="auto"/>
            </w:tcBorders>
            <w:shd w:val="clear" w:color="auto" w:fill="auto"/>
            <w:vAlign w:val="center"/>
          </w:tcPr>
          <w:p w14:paraId="00AE2FDA" w14:textId="77777777" w:rsidR="00382481" w:rsidRPr="00AA27D5" w:rsidRDefault="00382481" w:rsidP="00034511">
            <w:pPr>
              <w:widowControl w:val="0"/>
              <w:jc w:val="center"/>
              <w:rPr>
                <w:rFonts w:ascii="Tahoma" w:hAnsi="Tahoma" w:cs="Tahoma"/>
                <w:sz w:val="18"/>
                <w:szCs w:val="18"/>
              </w:rPr>
            </w:pPr>
            <w:r w:rsidRPr="00AA27D5">
              <w:rPr>
                <w:rFonts w:ascii="Tahoma" w:hAnsi="Tahoma" w:cs="Tahoma"/>
                <w:sz w:val="18"/>
                <w:szCs w:val="18"/>
              </w:rPr>
              <w:t>22,4% - 25,0%</w:t>
            </w:r>
          </w:p>
        </w:tc>
        <w:tc>
          <w:tcPr>
            <w:tcW w:w="3983" w:type="dxa"/>
            <w:gridSpan w:val="2"/>
            <w:tcBorders>
              <w:top w:val="single" w:sz="4" w:space="0" w:color="auto"/>
              <w:left w:val="nil"/>
              <w:bottom w:val="single" w:sz="4" w:space="0" w:color="auto"/>
              <w:right w:val="single" w:sz="4" w:space="0" w:color="auto"/>
            </w:tcBorders>
            <w:shd w:val="clear" w:color="auto" w:fill="auto"/>
            <w:vAlign w:val="center"/>
          </w:tcPr>
          <w:p w14:paraId="356E654F" w14:textId="77777777" w:rsidR="00382481" w:rsidRPr="00AA27D5" w:rsidRDefault="00382481" w:rsidP="00034511">
            <w:pPr>
              <w:widowControl w:val="0"/>
              <w:jc w:val="center"/>
              <w:rPr>
                <w:rFonts w:ascii="Tahoma" w:hAnsi="Tahoma" w:cs="Tahoma"/>
                <w:sz w:val="18"/>
                <w:szCs w:val="18"/>
              </w:rPr>
            </w:pPr>
            <w:r w:rsidRPr="00AA27D5">
              <w:rPr>
                <w:rFonts w:ascii="Tahoma" w:hAnsi="Tahoma" w:cs="Tahoma"/>
                <w:sz w:val="18"/>
                <w:szCs w:val="18"/>
              </w:rPr>
              <w:t>27,0% - 30,0%</w:t>
            </w:r>
          </w:p>
        </w:tc>
      </w:tr>
      <w:tr w:rsidR="00382481" w:rsidRPr="002A744A" w14:paraId="2DB050B3" w14:textId="77777777" w:rsidTr="00034511">
        <w:trPr>
          <w:trHeight w:val="424"/>
        </w:trPr>
        <w:tc>
          <w:tcPr>
            <w:tcW w:w="4679" w:type="dxa"/>
            <w:tcBorders>
              <w:top w:val="single" w:sz="4" w:space="0" w:color="auto"/>
              <w:left w:val="single" w:sz="4" w:space="0" w:color="auto"/>
              <w:right w:val="single" w:sz="4" w:space="0" w:color="auto"/>
            </w:tcBorders>
            <w:shd w:val="clear" w:color="auto" w:fill="auto"/>
            <w:vAlign w:val="center"/>
          </w:tcPr>
          <w:p w14:paraId="6B69946C" w14:textId="77777777" w:rsidR="00382481" w:rsidRPr="002A744A" w:rsidRDefault="00382481" w:rsidP="00034511">
            <w:pPr>
              <w:rPr>
                <w:rFonts w:ascii="Tahoma" w:hAnsi="Tahoma" w:cs="Tahoma"/>
                <w:color w:val="1F497D"/>
                <w:sz w:val="18"/>
                <w:szCs w:val="18"/>
              </w:rPr>
            </w:pPr>
            <w:r w:rsidRPr="002A744A">
              <w:rPr>
                <w:rFonts w:ascii="Tahoma" w:hAnsi="Tahoma" w:cs="Tahoma"/>
                <w:b/>
                <w:bCs/>
                <w:color w:val="000000"/>
                <w:sz w:val="18"/>
                <w:szCs w:val="18"/>
              </w:rPr>
              <w:t xml:space="preserve">Диапазон полной стоимости Кредита в процентном и денежном выражении </w:t>
            </w:r>
          </w:p>
        </w:tc>
        <w:tc>
          <w:tcPr>
            <w:tcW w:w="10489" w:type="dxa"/>
            <w:gridSpan w:val="3"/>
            <w:tcBorders>
              <w:top w:val="single" w:sz="4" w:space="0" w:color="auto"/>
              <w:left w:val="single" w:sz="4" w:space="0" w:color="auto"/>
              <w:right w:val="single" w:sz="4" w:space="0" w:color="auto"/>
            </w:tcBorders>
            <w:shd w:val="clear" w:color="auto" w:fill="auto"/>
            <w:vAlign w:val="center"/>
          </w:tcPr>
          <w:p w14:paraId="4C6FEEB7" w14:textId="77777777" w:rsidR="00382481" w:rsidRPr="00AA27D5" w:rsidRDefault="00382481" w:rsidP="00034511">
            <w:pPr>
              <w:widowControl w:val="0"/>
              <w:jc w:val="center"/>
              <w:rPr>
                <w:rFonts w:ascii="Tahoma" w:hAnsi="Tahoma" w:cs="Tahoma"/>
                <w:sz w:val="18"/>
                <w:szCs w:val="18"/>
              </w:rPr>
            </w:pPr>
            <w:r w:rsidRPr="00AA27D5">
              <w:rPr>
                <w:rFonts w:ascii="Tahoma" w:hAnsi="Tahoma" w:cs="Tahoma"/>
                <w:sz w:val="18"/>
                <w:szCs w:val="18"/>
              </w:rPr>
              <w:t>22,379%</w:t>
            </w:r>
            <w:r w:rsidRPr="00AA27D5">
              <w:rPr>
                <w:rFonts w:ascii="Tahoma" w:hAnsi="Tahoma" w:cs="Tahoma"/>
                <w:sz w:val="18"/>
                <w:szCs w:val="18"/>
                <w:vertAlign w:val="superscript"/>
              </w:rPr>
              <w:footnoteReference w:id="5"/>
            </w:r>
            <w:r w:rsidRPr="00AA27D5">
              <w:rPr>
                <w:rFonts w:ascii="Tahoma" w:hAnsi="Tahoma" w:cs="Tahoma"/>
                <w:sz w:val="18"/>
                <w:szCs w:val="18"/>
                <w:vertAlign w:val="superscript"/>
              </w:rPr>
              <w:t xml:space="preserve"> </w:t>
            </w:r>
            <w:r w:rsidRPr="00AA27D5">
              <w:rPr>
                <w:rFonts w:ascii="Tahoma" w:hAnsi="Tahoma" w:cs="Tahoma"/>
                <w:sz w:val="18"/>
                <w:szCs w:val="18"/>
              </w:rPr>
              <w:t>годовых – 29,979%</w:t>
            </w:r>
            <w:r w:rsidRPr="00AA27D5">
              <w:rPr>
                <w:rFonts w:ascii="Tahoma" w:hAnsi="Tahoma" w:cs="Tahoma"/>
                <w:sz w:val="18"/>
                <w:szCs w:val="18"/>
                <w:vertAlign w:val="superscript"/>
              </w:rPr>
              <w:footnoteReference w:id="6"/>
            </w:r>
            <w:r w:rsidRPr="00AA27D5">
              <w:rPr>
                <w:rFonts w:ascii="Tahoma" w:hAnsi="Tahoma" w:cs="Tahoma"/>
                <w:sz w:val="18"/>
                <w:szCs w:val="18"/>
                <w:vertAlign w:val="superscript"/>
              </w:rPr>
              <w:t xml:space="preserve"> </w:t>
            </w:r>
            <w:r w:rsidRPr="00AA27D5">
              <w:rPr>
                <w:rFonts w:ascii="Tahoma" w:hAnsi="Tahoma" w:cs="Tahoma"/>
                <w:sz w:val="18"/>
                <w:szCs w:val="18"/>
              </w:rPr>
              <w:t>годовых</w:t>
            </w:r>
          </w:p>
          <w:p w14:paraId="7D25C981" w14:textId="77777777" w:rsidR="00382481" w:rsidRPr="00AA27D5" w:rsidRDefault="00382481" w:rsidP="00034511">
            <w:pPr>
              <w:widowControl w:val="0"/>
              <w:jc w:val="center"/>
              <w:rPr>
                <w:rFonts w:ascii="Tahoma" w:hAnsi="Tahoma" w:cs="Tahoma"/>
                <w:sz w:val="18"/>
                <w:szCs w:val="18"/>
              </w:rPr>
            </w:pPr>
            <w:r w:rsidRPr="00AA27D5">
              <w:rPr>
                <w:rFonts w:ascii="Tahoma" w:hAnsi="Tahoma" w:cs="Tahoma"/>
                <w:sz w:val="18"/>
                <w:szCs w:val="18"/>
              </w:rPr>
              <w:t xml:space="preserve">624 344,54 рублей </w:t>
            </w:r>
            <w:r w:rsidRPr="00AA27D5">
              <w:rPr>
                <w:rFonts w:ascii="Tahoma" w:hAnsi="Tahoma" w:cs="Tahoma"/>
                <w:sz w:val="18"/>
                <w:szCs w:val="18"/>
                <w:vertAlign w:val="superscript"/>
              </w:rPr>
              <w:t>1</w:t>
            </w:r>
            <w:r w:rsidRPr="00AA27D5">
              <w:rPr>
                <w:rFonts w:ascii="Tahoma" w:hAnsi="Tahoma" w:cs="Tahoma"/>
                <w:sz w:val="18"/>
                <w:szCs w:val="18"/>
              </w:rPr>
              <w:t xml:space="preserve"> – 69 857 082,59 рубль </w:t>
            </w:r>
            <w:r w:rsidRPr="00AA27D5">
              <w:rPr>
                <w:rFonts w:ascii="Tahoma" w:hAnsi="Tahoma" w:cs="Tahoma"/>
                <w:sz w:val="18"/>
                <w:szCs w:val="18"/>
                <w:vertAlign w:val="superscript"/>
              </w:rPr>
              <w:t>2</w:t>
            </w:r>
          </w:p>
        </w:tc>
      </w:tr>
      <w:tr w:rsidR="00382481" w:rsidRPr="002A744A" w14:paraId="4948F05E" w14:textId="77777777" w:rsidTr="00034511">
        <w:trPr>
          <w:trHeight w:val="645"/>
        </w:trPr>
        <w:tc>
          <w:tcPr>
            <w:tcW w:w="4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14C029" w14:textId="77777777" w:rsidR="00382481" w:rsidRPr="002A744A" w:rsidRDefault="00382481" w:rsidP="00034511">
            <w:pPr>
              <w:widowControl w:val="0"/>
              <w:jc w:val="center"/>
              <w:rPr>
                <w:rFonts w:ascii="Tahoma" w:hAnsi="Tahoma" w:cs="Tahoma"/>
                <w:b/>
                <w:bCs/>
                <w:sz w:val="18"/>
                <w:szCs w:val="18"/>
              </w:rPr>
            </w:pPr>
            <w:r w:rsidRPr="002A744A">
              <w:rPr>
                <w:rFonts w:ascii="Tahoma" w:hAnsi="Tahoma" w:cs="Tahoma"/>
                <w:b/>
                <w:bCs/>
                <w:sz w:val="18"/>
                <w:szCs w:val="18"/>
              </w:rPr>
              <w:t>Срок рассмотрения Банком заявления Заёмщика о предоставлении потребительского Кредита</w:t>
            </w:r>
          </w:p>
        </w:tc>
        <w:tc>
          <w:tcPr>
            <w:tcW w:w="10489" w:type="dxa"/>
            <w:gridSpan w:val="3"/>
            <w:tcBorders>
              <w:top w:val="single" w:sz="4" w:space="0" w:color="auto"/>
              <w:left w:val="nil"/>
              <w:bottom w:val="single" w:sz="4" w:space="0" w:color="auto"/>
              <w:right w:val="single" w:sz="4" w:space="0" w:color="auto"/>
            </w:tcBorders>
            <w:shd w:val="clear" w:color="auto" w:fill="auto"/>
            <w:vAlign w:val="center"/>
            <w:hideMark/>
          </w:tcPr>
          <w:p w14:paraId="171CDCA2" w14:textId="77777777" w:rsidR="00382481" w:rsidRPr="00AA27D5" w:rsidRDefault="00382481" w:rsidP="00034511">
            <w:pPr>
              <w:widowControl w:val="0"/>
              <w:jc w:val="both"/>
              <w:rPr>
                <w:rFonts w:ascii="Tahoma" w:hAnsi="Tahoma" w:cs="Tahoma"/>
                <w:color w:val="000000" w:themeColor="text1"/>
                <w:sz w:val="18"/>
                <w:szCs w:val="18"/>
              </w:rPr>
            </w:pPr>
            <w:r w:rsidRPr="00AA27D5">
              <w:rPr>
                <w:rFonts w:ascii="Tahoma" w:hAnsi="Tahoma" w:cs="Tahoma"/>
                <w:color w:val="000000" w:themeColor="text1"/>
                <w:sz w:val="18"/>
                <w:szCs w:val="18"/>
              </w:rPr>
              <w:t>Решение о выдаче Кредита принимается в индивидуальные сроки.</w:t>
            </w:r>
          </w:p>
        </w:tc>
      </w:tr>
      <w:tr w:rsidR="00382481" w:rsidRPr="002A744A" w14:paraId="39B9566A" w14:textId="77777777" w:rsidTr="00034511">
        <w:trPr>
          <w:trHeight w:val="175"/>
        </w:trPr>
        <w:tc>
          <w:tcPr>
            <w:tcW w:w="4679" w:type="dxa"/>
            <w:vMerge w:val="restart"/>
            <w:tcBorders>
              <w:top w:val="single" w:sz="4" w:space="0" w:color="auto"/>
              <w:left w:val="single" w:sz="4" w:space="0" w:color="auto"/>
              <w:right w:val="single" w:sz="4" w:space="0" w:color="auto"/>
            </w:tcBorders>
            <w:shd w:val="clear" w:color="auto" w:fill="auto"/>
            <w:vAlign w:val="center"/>
          </w:tcPr>
          <w:p w14:paraId="0E3A24DC" w14:textId="77777777" w:rsidR="00382481" w:rsidRPr="002A744A" w:rsidRDefault="00382481" w:rsidP="00034511">
            <w:pPr>
              <w:widowControl w:val="0"/>
              <w:tabs>
                <w:tab w:val="left" w:pos="426"/>
                <w:tab w:val="left" w:pos="851"/>
              </w:tabs>
              <w:rPr>
                <w:rFonts w:ascii="Tahoma" w:hAnsi="Tahoma" w:cs="Tahoma"/>
                <w:b/>
                <w:bCs/>
                <w:sz w:val="18"/>
                <w:szCs w:val="18"/>
              </w:rPr>
            </w:pPr>
            <w:r w:rsidRPr="002A744A">
              <w:rPr>
                <w:rFonts w:ascii="Tahoma" w:hAnsi="Tahoma" w:cs="Tahoma"/>
                <w:b/>
                <w:sz w:val="18"/>
                <w:szCs w:val="18"/>
              </w:rPr>
              <w:t>Требования к Заемщику, которые установлены Кредитором, и выполнение которых является обязательным для предоставления потребительского Кредита</w:t>
            </w:r>
          </w:p>
        </w:tc>
        <w:tc>
          <w:tcPr>
            <w:tcW w:w="10489" w:type="dxa"/>
            <w:gridSpan w:val="3"/>
            <w:tcBorders>
              <w:top w:val="single" w:sz="4" w:space="0" w:color="auto"/>
              <w:left w:val="nil"/>
              <w:bottom w:val="single" w:sz="4" w:space="0" w:color="auto"/>
              <w:right w:val="single" w:sz="4" w:space="0" w:color="auto"/>
            </w:tcBorders>
            <w:shd w:val="clear" w:color="auto" w:fill="auto"/>
            <w:vAlign w:val="center"/>
          </w:tcPr>
          <w:p w14:paraId="67A4D62C" w14:textId="77777777" w:rsidR="00382481" w:rsidRPr="002A744A" w:rsidRDefault="00382481" w:rsidP="00034511">
            <w:pPr>
              <w:widowControl w:val="0"/>
              <w:rPr>
                <w:rFonts w:ascii="Tahoma" w:hAnsi="Tahoma" w:cs="Tahoma"/>
                <w:b/>
                <w:sz w:val="18"/>
                <w:szCs w:val="18"/>
              </w:rPr>
            </w:pPr>
            <w:r w:rsidRPr="002A744A">
              <w:rPr>
                <w:rFonts w:ascii="Tahoma" w:hAnsi="Tahoma" w:cs="Tahoma"/>
                <w:b/>
                <w:sz w:val="18"/>
                <w:szCs w:val="18"/>
              </w:rPr>
              <w:t>Основные</w:t>
            </w:r>
          </w:p>
        </w:tc>
      </w:tr>
      <w:tr w:rsidR="00382481" w:rsidRPr="002A744A" w14:paraId="5D21B365" w14:textId="77777777" w:rsidTr="00034511">
        <w:tblPrEx>
          <w:tblLook w:val="00A0" w:firstRow="1" w:lastRow="0" w:firstColumn="1" w:lastColumn="0" w:noHBand="0" w:noVBand="0"/>
        </w:tblPrEx>
        <w:trPr>
          <w:trHeight w:val="586"/>
        </w:trPr>
        <w:tc>
          <w:tcPr>
            <w:tcW w:w="4679" w:type="dxa"/>
            <w:vMerge/>
            <w:tcBorders>
              <w:left w:val="single" w:sz="4" w:space="0" w:color="auto"/>
              <w:right w:val="single" w:sz="4" w:space="0" w:color="auto"/>
            </w:tcBorders>
            <w:shd w:val="clear" w:color="auto" w:fill="auto"/>
            <w:vAlign w:val="center"/>
          </w:tcPr>
          <w:p w14:paraId="1634E0B9" w14:textId="77777777" w:rsidR="00382481" w:rsidRPr="002A744A" w:rsidRDefault="00382481" w:rsidP="00034511">
            <w:pPr>
              <w:widowControl w:val="0"/>
              <w:tabs>
                <w:tab w:val="left" w:pos="426"/>
                <w:tab w:val="left" w:pos="851"/>
              </w:tabs>
              <w:rPr>
                <w:rFonts w:ascii="Tahoma" w:hAnsi="Tahoma" w:cs="Tahoma"/>
                <w:b/>
                <w:sz w:val="18"/>
                <w:szCs w:val="18"/>
              </w:rPr>
            </w:pPr>
          </w:p>
        </w:tc>
        <w:tc>
          <w:tcPr>
            <w:tcW w:w="10489" w:type="dxa"/>
            <w:gridSpan w:val="3"/>
            <w:tcBorders>
              <w:top w:val="single" w:sz="4" w:space="0" w:color="auto"/>
              <w:left w:val="single" w:sz="4" w:space="0" w:color="auto"/>
              <w:bottom w:val="single" w:sz="4" w:space="0" w:color="auto"/>
              <w:right w:val="single" w:sz="4" w:space="0" w:color="auto"/>
            </w:tcBorders>
            <w:noWrap/>
            <w:vAlign w:val="center"/>
          </w:tcPr>
          <w:p w14:paraId="059DE63D" w14:textId="77777777" w:rsidR="00382481" w:rsidRPr="002A744A" w:rsidRDefault="00382481" w:rsidP="00034511">
            <w:pPr>
              <w:widowControl w:val="0"/>
              <w:jc w:val="both"/>
              <w:rPr>
                <w:rFonts w:ascii="Tahoma" w:hAnsi="Tahoma" w:cs="Tahoma"/>
                <w:sz w:val="18"/>
                <w:szCs w:val="18"/>
              </w:rPr>
            </w:pPr>
            <w:r w:rsidRPr="002A744A">
              <w:rPr>
                <w:rFonts w:ascii="Tahoma" w:hAnsi="Tahoma" w:cs="Tahoma"/>
                <w:sz w:val="18"/>
                <w:szCs w:val="18"/>
              </w:rPr>
              <w:t>Гражданство Российской Федерации.</w:t>
            </w:r>
          </w:p>
          <w:p w14:paraId="15965B26" w14:textId="77777777" w:rsidR="00382481" w:rsidRPr="002A744A" w:rsidRDefault="00382481" w:rsidP="00034511">
            <w:pPr>
              <w:widowControl w:val="0"/>
              <w:jc w:val="both"/>
              <w:rPr>
                <w:rFonts w:ascii="Tahoma" w:hAnsi="Tahoma" w:cs="Tahoma"/>
                <w:sz w:val="18"/>
                <w:szCs w:val="18"/>
              </w:rPr>
            </w:pPr>
            <w:r w:rsidRPr="002A744A">
              <w:rPr>
                <w:rFonts w:ascii="Tahoma" w:hAnsi="Tahoma" w:cs="Tahoma"/>
                <w:sz w:val="18"/>
                <w:szCs w:val="18"/>
              </w:rPr>
              <w:t>Возраст Заемщика не менее 21 года и не более 70 лет (на момент окончания срока возврата Кредита) включительно</w:t>
            </w:r>
          </w:p>
          <w:p w14:paraId="443381FE" w14:textId="77777777" w:rsidR="00382481" w:rsidRPr="002A744A" w:rsidRDefault="00382481" w:rsidP="00034511">
            <w:pPr>
              <w:widowControl w:val="0"/>
              <w:jc w:val="both"/>
              <w:rPr>
                <w:rFonts w:ascii="Tahoma" w:hAnsi="Tahoma" w:cs="Tahoma"/>
                <w:sz w:val="18"/>
                <w:szCs w:val="18"/>
              </w:rPr>
            </w:pPr>
            <w:r w:rsidRPr="002A744A">
              <w:rPr>
                <w:rFonts w:ascii="Tahoma" w:hAnsi="Tahoma" w:cs="Tahoma"/>
                <w:sz w:val="18"/>
                <w:szCs w:val="18"/>
              </w:rPr>
              <w:t xml:space="preserve">Заемщик имеет официальное место работы и/или постоянный источник дохода. </w:t>
            </w:r>
          </w:p>
          <w:p w14:paraId="070EC82A" w14:textId="77777777" w:rsidR="00382481" w:rsidRPr="002A744A" w:rsidRDefault="00382481" w:rsidP="00034511">
            <w:pPr>
              <w:widowControl w:val="0"/>
              <w:jc w:val="both"/>
            </w:pPr>
            <w:r w:rsidRPr="002A744A">
              <w:rPr>
                <w:rFonts w:ascii="Tahoma" w:hAnsi="Tahoma" w:cs="Tahoma"/>
                <w:sz w:val="18"/>
                <w:szCs w:val="18"/>
              </w:rPr>
              <w:t>При официальном месте работы стаж на последнем месте работы не менее 3 месяцев.</w:t>
            </w:r>
          </w:p>
        </w:tc>
      </w:tr>
      <w:tr w:rsidR="00382481" w:rsidRPr="002A744A" w14:paraId="5C6D4FB0" w14:textId="77777777" w:rsidTr="00034511">
        <w:tblPrEx>
          <w:tblLook w:val="00A0" w:firstRow="1" w:lastRow="0" w:firstColumn="1" w:lastColumn="0" w:noHBand="0" w:noVBand="0"/>
        </w:tblPrEx>
        <w:trPr>
          <w:trHeight w:val="468"/>
        </w:trPr>
        <w:tc>
          <w:tcPr>
            <w:tcW w:w="4679" w:type="dxa"/>
            <w:tcBorders>
              <w:top w:val="single" w:sz="4" w:space="0" w:color="auto"/>
              <w:left w:val="single" w:sz="4" w:space="0" w:color="auto"/>
              <w:bottom w:val="single" w:sz="4" w:space="0" w:color="auto"/>
              <w:right w:val="single" w:sz="4" w:space="0" w:color="auto"/>
            </w:tcBorders>
            <w:shd w:val="clear" w:color="auto" w:fill="auto"/>
            <w:vAlign w:val="center"/>
          </w:tcPr>
          <w:p w14:paraId="70EC161C" w14:textId="77777777" w:rsidR="00382481" w:rsidRPr="002A744A" w:rsidRDefault="00382481" w:rsidP="00034511">
            <w:pPr>
              <w:widowControl w:val="0"/>
              <w:tabs>
                <w:tab w:val="left" w:pos="426"/>
                <w:tab w:val="left" w:pos="851"/>
              </w:tabs>
              <w:rPr>
                <w:rFonts w:ascii="Tahoma" w:hAnsi="Tahoma" w:cs="Tahoma"/>
                <w:b/>
                <w:color w:val="000000"/>
                <w:sz w:val="18"/>
                <w:szCs w:val="18"/>
              </w:rPr>
            </w:pPr>
            <w:r w:rsidRPr="002A744A">
              <w:rPr>
                <w:rFonts w:ascii="Tahoma" w:hAnsi="Tahoma" w:cs="Tahoma"/>
                <w:b/>
                <w:color w:val="000000"/>
                <w:sz w:val="18"/>
                <w:szCs w:val="18"/>
              </w:rPr>
              <w:t>Срок, в течение которого Заемщик вправе отказаться от получения потребительского Кредита</w:t>
            </w:r>
          </w:p>
        </w:tc>
        <w:tc>
          <w:tcPr>
            <w:tcW w:w="10489" w:type="dxa"/>
            <w:gridSpan w:val="3"/>
            <w:tcBorders>
              <w:top w:val="single" w:sz="4" w:space="0" w:color="auto"/>
              <w:left w:val="single" w:sz="4" w:space="0" w:color="auto"/>
              <w:bottom w:val="single" w:sz="4" w:space="0" w:color="auto"/>
              <w:right w:val="single" w:sz="4" w:space="0" w:color="auto"/>
            </w:tcBorders>
            <w:noWrap/>
            <w:vAlign w:val="center"/>
          </w:tcPr>
          <w:p w14:paraId="2C192A02" w14:textId="77777777" w:rsidR="00382481" w:rsidRPr="002A744A" w:rsidRDefault="00382481" w:rsidP="00034511">
            <w:pPr>
              <w:widowControl w:val="0"/>
              <w:tabs>
                <w:tab w:val="left" w:pos="426"/>
                <w:tab w:val="left" w:pos="851"/>
              </w:tabs>
              <w:jc w:val="both"/>
              <w:rPr>
                <w:rFonts w:ascii="Tahoma" w:hAnsi="Tahoma" w:cs="Tahoma"/>
                <w:color w:val="000000"/>
                <w:sz w:val="18"/>
                <w:szCs w:val="18"/>
              </w:rPr>
            </w:pPr>
            <w:r w:rsidRPr="002A744A">
              <w:rPr>
                <w:rFonts w:ascii="Tahoma" w:hAnsi="Tahoma" w:cs="Tahoma"/>
                <w:color w:val="000000"/>
                <w:sz w:val="18"/>
                <w:szCs w:val="18"/>
              </w:rPr>
              <w:t xml:space="preserve">Заемщик вправе отказаться от получения потребительского Кредита полностью или частично, уведомив об этом Банк до истечения установленного Договором срока его предоставления. </w:t>
            </w:r>
          </w:p>
        </w:tc>
      </w:tr>
      <w:tr w:rsidR="00382481" w:rsidRPr="002A744A" w14:paraId="528C8B1D" w14:textId="77777777" w:rsidTr="00034511">
        <w:tblPrEx>
          <w:tblLook w:val="00A0" w:firstRow="1" w:lastRow="0" w:firstColumn="1" w:lastColumn="0" w:noHBand="0" w:noVBand="0"/>
        </w:tblPrEx>
        <w:trPr>
          <w:trHeight w:val="222"/>
        </w:trPr>
        <w:tc>
          <w:tcPr>
            <w:tcW w:w="4679" w:type="dxa"/>
            <w:tcBorders>
              <w:top w:val="single" w:sz="4" w:space="0" w:color="auto"/>
              <w:left w:val="single" w:sz="4" w:space="0" w:color="auto"/>
              <w:bottom w:val="single" w:sz="4" w:space="0" w:color="auto"/>
              <w:right w:val="single" w:sz="4" w:space="0" w:color="auto"/>
            </w:tcBorders>
            <w:shd w:val="clear" w:color="auto" w:fill="auto"/>
            <w:vAlign w:val="center"/>
          </w:tcPr>
          <w:p w14:paraId="6896FF48" w14:textId="77777777" w:rsidR="00382481" w:rsidRPr="002A744A" w:rsidRDefault="00382481" w:rsidP="00034511">
            <w:pPr>
              <w:widowControl w:val="0"/>
              <w:ind w:right="-107"/>
              <w:rPr>
                <w:rFonts w:ascii="Tahoma" w:hAnsi="Tahoma" w:cs="Tahoma"/>
                <w:b/>
                <w:bCs/>
                <w:color w:val="000000" w:themeColor="text1"/>
                <w:sz w:val="18"/>
                <w:szCs w:val="18"/>
              </w:rPr>
            </w:pPr>
            <w:r w:rsidRPr="002A744A">
              <w:rPr>
                <w:rFonts w:ascii="Tahoma" w:hAnsi="Tahoma" w:cs="Tahoma"/>
                <w:b/>
                <w:bCs/>
                <w:color w:val="000000" w:themeColor="text1"/>
                <w:sz w:val="18"/>
                <w:szCs w:val="18"/>
              </w:rPr>
              <w:t>Срок действия решения о предоставлении Кредита</w:t>
            </w:r>
          </w:p>
        </w:tc>
        <w:tc>
          <w:tcPr>
            <w:tcW w:w="10489" w:type="dxa"/>
            <w:gridSpan w:val="3"/>
            <w:tcBorders>
              <w:top w:val="single" w:sz="4" w:space="0" w:color="auto"/>
              <w:left w:val="single" w:sz="4" w:space="0" w:color="auto"/>
              <w:bottom w:val="single" w:sz="4" w:space="0" w:color="auto"/>
              <w:right w:val="single" w:sz="4" w:space="0" w:color="auto"/>
            </w:tcBorders>
            <w:noWrap/>
            <w:vAlign w:val="center"/>
          </w:tcPr>
          <w:p w14:paraId="03CC6006" w14:textId="77777777" w:rsidR="00382481" w:rsidRPr="002A744A" w:rsidRDefault="00382481" w:rsidP="00034511">
            <w:pPr>
              <w:widowControl w:val="0"/>
              <w:jc w:val="both"/>
              <w:rPr>
                <w:rFonts w:ascii="Tahoma" w:hAnsi="Tahoma" w:cs="Tahoma"/>
                <w:color w:val="000000" w:themeColor="text1"/>
                <w:sz w:val="18"/>
                <w:szCs w:val="18"/>
              </w:rPr>
            </w:pPr>
            <w:r w:rsidRPr="002A744A">
              <w:rPr>
                <w:rFonts w:ascii="Tahoma" w:hAnsi="Tahoma" w:cs="Tahoma"/>
                <w:color w:val="000000" w:themeColor="text1"/>
                <w:sz w:val="18"/>
                <w:szCs w:val="18"/>
              </w:rPr>
              <w:t>30 календарных дней с даты принятия Банком решения</w:t>
            </w:r>
          </w:p>
        </w:tc>
      </w:tr>
      <w:tr w:rsidR="00382481" w:rsidRPr="002A744A" w14:paraId="0C8FAE85" w14:textId="77777777" w:rsidTr="00034511">
        <w:tblPrEx>
          <w:tblLook w:val="00A0" w:firstRow="1" w:lastRow="0" w:firstColumn="1" w:lastColumn="0" w:noHBand="0" w:noVBand="0"/>
        </w:tblPrEx>
        <w:trPr>
          <w:trHeight w:val="666"/>
        </w:trPr>
        <w:tc>
          <w:tcPr>
            <w:tcW w:w="4679" w:type="dxa"/>
            <w:tcBorders>
              <w:top w:val="single" w:sz="4" w:space="0" w:color="auto"/>
              <w:left w:val="single" w:sz="4" w:space="0" w:color="auto"/>
              <w:bottom w:val="single" w:sz="4" w:space="0" w:color="auto"/>
              <w:right w:val="single" w:sz="4" w:space="0" w:color="auto"/>
            </w:tcBorders>
            <w:shd w:val="clear" w:color="auto" w:fill="auto"/>
            <w:vAlign w:val="center"/>
          </w:tcPr>
          <w:p w14:paraId="74C1B591" w14:textId="77777777" w:rsidR="00382481" w:rsidRPr="002A744A" w:rsidRDefault="00382481" w:rsidP="00034511">
            <w:pPr>
              <w:widowControl w:val="0"/>
              <w:tabs>
                <w:tab w:val="left" w:pos="426"/>
                <w:tab w:val="left" w:pos="851"/>
              </w:tabs>
              <w:rPr>
                <w:rFonts w:ascii="Tahoma" w:hAnsi="Tahoma" w:cs="Tahoma"/>
                <w:b/>
                <w:color w:val="000000"/>
                <w:sz w:val="18"/>
                <w:szCs w:val="18"/>
              </w:rPr>
            </w:pPr>
            <w:r w:rsidRPr="002A744A">
              <w:rPr>
                <w:rFonts w:ascii="Tahoma" w:hAnsi="Tahoma" w:cs="Tahoma"/>
                <w:b/>
                <w:color w:val="000000"/>
                <w:sz w:val="18"/>
                <w:szCs w:val="18"/>
              </w:rPr>
              <w:t xml:space="preserve">Способ предоставления потребительского Кредита </w:t>
            </w:r>
          </w:p>
        </w:tc>
        <w:tc>
          <w:tcPr>
            <w:tcW w:w="10489" w:type="dxa"/>
            <w:gridSpan w:val="3"/>
            <w:tcBorders>
              <w:top w:val="single" w:sz="4" w:space="0" w:color="auto"/>
              <w:left w:val="single" w:sz="4" w:space="0" w:color="auto"/>
              <w:bottom w:val="single" w:sz="4" w:space="0" w:color="auto"/>
              <w:right w:val="single" w:sz="4" w:space="0" w:color="auto"/>
            </w:tcBorders>
            <w:noWrap/>
            <w:vAlign w:val="center"/>
          </w:tcPr>
          <w:p w14:paraId="465F7A4E" w14:textId="77777777" w:rsidR="00382481" w:rsidRPr="002A744A" w:rsidRDefault="00382481" w:rsidP="00034511">
            <w:pPr>
              <w:widowControl w:val="0"/>
              <w:tabs>
                <w:tab w:val="left" w:pos="426"/>
                <w:tab w:val="left" w:pos="851"/>
              </w:tabs>
              <w:jc w:val="both"/>
              <w:rPr>
                <w:rFonts w:ascii="Tahoma" w:hAnsi="Tahoma" w:cs="Tahoma"/>
                <w:color w:val="000000"/>
                <w:sz w:val="18"/>
                <w:szCs w:val="18"/>
              </w:rPr>
            </w:pPr>
            <w:r w:rsidRPr="002A744A">
              <w:rPr>
                <w:rFonts w:ascii="Tahoma" w:hAnsi="Tahoma" w:cs="Tahoma"/>
                <w:color w:val="000000"/>
                <w:sz w:val="18"/>
                <w:szCs w:val="18"/>
              </w:rPr>
              <w:t xml:space="preserve">Зачисление в безналичном порядке на открытый в Банке ТБС Заемщика. </w:t>
            </w:r>
          </w:p>
          <w:p w14:paraId="57E3DB46" w14:textId="77777777" w:rsidR="00382481" w:rsidRPr="002A744A" w:rsidRDefault="00382481" w:rsidP="00034511">
            <w:pPr>
              <w:widowControl w:val="0"/>
              <w:tabs>
                <w:tab w:val="left" w:pos="426"/>
                <w:tab w:val="left" w:pos="851"/>
              </w:tabs>
              <w:jc w:val="both"/>
              <w:rPr>
                <w:rFonts w:ascii="Tahoma" w:hAnsi="Tahoma" w:cs="Tahoma"/>
                <w:color w:val="000000"/>
                <w:sz w:val="18"/>
                <w:szCs w:val="18"/>
              </w:rPr>
            </w:pPr>
            <w:r w:rsidRPr="002A744A">
              <w:rPr>
                <w:rFonts w:ascii="Tahoma" w:hAnsi="Tahoma" w:cs="Tahoma"/>
                <w:color w:val="000000"/>
                <w:sz w:val="18"/>
                <w:szCs w:val="18"/>
              </w:rPr>
              <w:t>При желании Заемщика получить потребительский Кредит с использованием электронного средства платежа банковской (платежной) карты</w:t>
            </w:r>
            <w:r w:rsidRPr="002A744A">
              <w:rPr>
                <w:rFonts w:ascii="Tahoma" w:hAnsi="Tahoma" w:cs="Tahoma"/>
                <w:color w:val="000000"/>
                <w:sz w:val="18"/>
                <w:szCs w:val="18"/>
                <w:vertAlign w:val="superscript"/>
              </w:rPr>
              <w:t>***</w:t>
            </w:r>
            <w:r w:rsidRPr="002A744A">
              <w:rPr>
                <w:rFonts w:ascii="Tahoma" w:hAnsi="Tahoma" w:cs="Tahoma"/>
                <w:color w:val="000000"/>
                <w:sz w:val="18"/>
                <w:szCs w:val="18"/>
              </w:rPr>
              <w:t xml:space="preserve"> он вправе подать в Банк заявление об этом на бумажном носителе.</w:t>
            </w:r>
          </w:p>
          <w:p w14:paraId="5B5FFD92" w14:textId="77777777" w:rsidR="00382481" w:rsidRPr="002A744A" w:rsidRDefault="00382481" w:rsidP="00034511">
            <w:pPr>
              <w:widowControl w:val="0"/>
              <w:tabs>
                <w:tab w:val="left" w:pos="426"/>
                <w:tab w:val="left" w:pos="851"/>
              </w:tabs>
              <w:jc w:val="both"/>
              <w:rPr>
                <w:rFonts w:ascii="Tahoma" w:hAnsi="Tahoma" w:cs="Tahoma"/>
                <w:color w:val="000000"/>
                <w:sz w:val="18"/>
                <w:szCs w:val="18"/>
              </w:rPr>
            </w:pPr>
            <w:r w:rsidRPr="002A744A">
              <w:rPr>
                <w:rFonts w:ascii="Tahoma" w:hAnsi="Tahoma" w:cs="Tahoma"/>
                <w:color w:val="000000"/>
                <w:sz w:val="18"/>
                <w:szCs w:val="18"/>
              </w:rPr>
              <w:t>В дальнейшем Заемщик вправе использовать полученный потребительский Кредит по своему усмотрению.</w:t>
            </w:r>
          </w:p>
        </w:tc>
      </w:tr>
      <w:tr w:rsidR="00382481" w:rsidRPr="002A744A" w14:paraId="3FCAB3DD" w14:textId="77777777" w:rsidTr="00034511">
        <w:tblPrEx>
          <w:tblLook w:val="00A0" w:firstRow="1" w:lastRow="0" w:firstColumn="1" w:lastColumn="0" w:noHBand="0" w:noVBand="0"/>
        </w:tblPrEx>
        <w:trPr>
          <w:trHeight w:val="666"/>
        </w:trPr>
        <w:tc>
          <w:tcPr>
            <w:tcW w:w="4679" w:type="dxa"/>
            <w:tcBorders>
              <w:top w:val="single" w:sz="4" w:space="0" w:color="auto"/>
              <w:left w:val="single" w:sz="4" w:space="0" w:color="auto"/>
              <w:bottom w:val="single" w:sz="4" w:space="0" w:color="auto"/>
              <w:right w:val="single" w:sz="4" w:space="0" w:color="auto"/>
            </w:tcBorders>
            <w:shd w:val="clear" w:color="auto" w:fill="auto"/>
            <w:vAlign w:val="center"/>
          </w:tcPr>
          <w:p w14:paraId="7F26EE0B" w14:textId="77777777" w:rsidR="00382481" w:rsidRPr="002A744A" w:rsidRDefault="00382481" w:rsidP="00034511">
            <w:pPr>
              <w:widowControl w:val="0"/>
              <w:tabs>
                <w:tab w:val="left" w:pos="426"/>
                <w:tab w:val="left" w:pos="851"/>
              </w:tabs>
              <w:rPr>
                <w:rFonts w:ascii="Tahoma" w:hAnsi="Tahoma" w:cs="Tahoma"/>
                <w:b/>
                <w:color w:val="000000"/>
                <w:sz w:val="18"/>
                <w:szCs w:val="18"/>
              </w:rPr>
            </w:pPr>
            <w:r w:rsidRPr="002A744A">
              <w:rPr>
                <w:rFonts w:ascii="Tahoma" w:hAnsi="Tahoma" w:cs="Tahoma"/>
                <w:b/>
                <w:color w:val="000000"/>
                <w:sz w:val="18"/>
                <w:szCs w:val="18"/>
              </w:rPr>
              <w:t xml:space="preserve">Иные договоры, требуемые для заключения или исполнения Договора </w:t>
            </w:r>
          </w:p>
        </w:tc>
        <w:tc>
          <w:tcPr>
            <w:tcW w:w="10489" w:type="dxa"/>
            <w:gridSpan w:val="3"/>
            <w:tcBorders>
              <w:top w:val="single" w:sz="4" w:space="0" w:color="auto"/>
              <w:left w:val="single" w:sz="4" w:space="0" w:color="auto"/>
              <w:bottom w:val="single" w:sz="4" w:space="0" w:color="auto"/>
              <w:right w:val="single" w:sz="4" w:space="0" w:color="auto"/>
            </w:tcBorders>
            <w:noWrap/>
            <w:vAlign w:val="center"/>
          </w:tcPr>
          <w:p w14:paraId="13871203" w14:textId="77777777" w:rsidR="00382481" w:rsidRPr="002A744A" w:rsidRDefault="00382481" w:rsidP="00034511">
            <w:pPr>
              <w:widowControl w:val="0"/>
              <w:tabs>
                <w:tab w:val="left" w:pos="426"/>
                <w:tab w:val="left" w:pos="851"/>
              </w:tabs>
              <w:jc w:val="both"/>
              <w:rPr>
                <w:rFonts w:ascii="Tahoma" w:hAnsi="Tahoma" w:cs="Tahoma"/>
                <w:color w:val="000000"/>
                <w:sz w:val="18"/>
                <w:szCs w:val="18"/>
              </w:rPr>
            </w:pPr>
            <w:r w:rsidRPr="002A744A">
              <w:rPr>
                <w:rFonts w:ascii="Tahoma" w:hAnsi="Tahoma" w:cs="Tahoma"/>
                <w:color w:val="000000"/>
                <w:sz w:val="18"/>
                <w:szCs w:val="18"/>
              </w:rPr>
              <w:t>Заключение между Сторонами договора банковского счета (на основании которого Заемщику Банком открывается ТБС), элементы которого включены в Договор, заключение (путем присоединения) УДБО, содержащего Общие условия.</w:t>
            </w:r>
          </w:p>
        </w:tc>
      </w:tr>
      <w:tr w:rsidR="00382481" w:rsidRPr="002A744A" w14:paraId="53B4BF5A" w14:textId="77777777" w:rsidTr="00034511">
        <w:tblPrEx>
          <w:tblLook w:val="00A0" w:firstRow="1" w:lastRow="0" w:firstColumn="1" w:lastColumn="0" w:noHBand="0" w:noVBand="0"/>
        </w:tblPrEx>
        <w:trPr>
          <w:trHeight w:val="424"/>
        </w:trPr>
        <w:tc>
          <w:tcPr>
            <w:tcW w:w="4679" w:type="dxa"/>
            <w:tcBorders>
              <w:top w:val="single" w:sz="4" w:space="0" w:color="auto"/>
              <w:left w:val="single" w:sz="4" w:space="0" w:color="auto"/>
              <w:bottom w:val="single" w:sz="4" w:space="0" w:color="auto"/>
              <w:right w:val="single" w:sz="4" w:space="0" w:color="auto"/>
            </w:tcBorders>
            <w:shd w:val="clear" w:color="auto" w:fill="auto"/>
            <w:vAlign w:val="center"/>
          </w:tcPr>
          <w:p w14:paraId="5E62F6A8" w14:textId="77777777" w:rsidR="00382481" w:rsidRPr="002A744A" w:rsidRDefault="00382481" w:rsidP="00034511">
            <w:pPr>
              <w:widowControl w:val="0"/>
              <w:ind w:right="-108"/>
              <w:rPr>
                <w:rFonts w:ascii="Tahoma" w:hAnsi="Tahoma" w:cs="Tahoma"/>
                <w:b/>
                <w:bCs/>
                <w:sz w:val="18"/>
                <w:szCs w:val="18"/>
              </w:rPr>
            </w:pPr>
            <w:r w:rsidRPr="002A744A">
              <w:rPr>
                <w:rFonts w:ascii="Tahoma" w:hAnsi="Tahoma" w:cs="Tahoma"/>
                <w:b/>
                <w:sz w:val="18"/>
                <w:szCs w:val="18"/>
              </w:rPr>
              <w:lastRenderedPageBreak/>
              <w:t>Дата, начиная с которой начисляются проценты за пользование Кредитом, или порядок ее определения</w:t>
            </w:r>
          </w:p>
        </w:tc>
        <w:tc>
          <w:tcPr>
            <w:tcW w:w="10489" w:type="dxa"/>
            <w:gridSpan w:val="3"/>
            <w:tcBorders>
              <w:top w:val="single" w:sz="4" w:space="0" w:color="auto"/>
              <w:left w:val="single" w:sz="4" w:space="0" w:color="auto"/>
              <w:bottom w:val="single" w:sz="4" w:space="0" w:color="auto"/>
              <w:right w:val="single" w:sz="4" w:space="0" w:color="auto"/>
            </w:tcBorders>
            <w:noWrap/>
            <w:vAlign w:val="center"/>
          </w:tcPr>
          <w:p w14:paraId="159D6EEA" w14:textId="77777777" w:rsidR="00382481" w:rsidRPr="002A744A" w:rsidRDefault="00382481" w:rsidP="00034511">
            <w:pPr>
              <w:widowControl w:val="0"/>
              <w:jc w:val="both"/>
              <w:rPr>
                <w:rFonts w:ascii="Tahoma" w:hAnsi="Tahoma" w:cs="Tahoma"/>
                <w:sz w:val="18"/>
                <w:szCs w:val="18"/>
              </w:rPr>
            </w:pPr>
            <w:r w:rsidRPr="002A744A">
              <w:rPr>
                <w:rFonts w:ascii="Tahoma" w:hAnsi="Tahoma" w:cs="Tahoma"/>
                <w:sz w:val="18"/>
                <w:szCs w:val="18"/>
              </w:rPr>
              <w:t>Дата, следующая за датой выдачи Заёмщику Кредита</w:t>
            </w:r>
          </w:p>
        </w:tc>
      </w:tr>
      <w:tr w:rsidR="00382481" w:rsidRPr="002A744A" w14:paraId="04FA1D35" w14:textId="77777777" w:rsidTr="00034511">
        <w:tblPrEx>
          <w:tblLook w:val="00A0" w:firstRow="1" w:lastRow="0" w:firstColumn="1" w:lastColumn="0" w:noHBand="0" w:noVBand="0"/>
        </w:tblPrEx>
        <w:trPr>
          <w:trHeight w:val="461"/>
        </w:trPr>
        <w:tc>
          <w:tcPr>
            <w:tcW w:w="4679" w:type="dxa"/>
            <w:tcBorders>
              <w:top w:val="single" w:sz="4" w:space="0" w:color="auto"/>
              <w:left w:val="single" w:sz="4" w:space="0" w:color="auto"/>
              <w:bottom w:val="single" w:sz="4" w:space="0" w:color="auto"/>
              <w:right w:val="single" w:sz="4" w:space="0" w:color="auto"/>
            </w:tcBorders>
            <w:shd w:val="clear" w:color="auto" w:fill="auto"/>
          </w:tcPr>
          <w:p w14:paraId="581DD050" w14:textId="77777777" w:rsidR="00382481" w:rsidRPr="002A744A" w:rsidRDefault="00382481" w:rsidP="00034511">
            <w:pPr>
              <w:widowControl w:val="0"/>
              <w:ind w:right="-108"/>
              <w:rPr>
                <w:rFonts w:ascii="Tahoma" w:hAnsi="Tahoma" w:cs="Tahoma"/>
                <w:b/>
                <w:sz w:val="18"/>
                <w:szCs w:val="18"/>
              </w:rPr>
            </w:pPr>
            <w:r w:rsidRPr="002A744A">
              <w:rPr>
                <w:rFonts w:ascii="Tahoma" w:hAnsi="Tahoma" w:cs="Tahoma"/>
                <w:b/>
                <w:sz w:val="18"/>
                <w:szCs w:val="18"/>
              </w:rPr>
              <w:t>Периодичность платежей Заемщика при возврате потребительского Кредита, уплате процентов и иных платежей по Кредиту</w:t>
            </w:r>
          </w:p>
        </w:tc>
        <w:tc>
          <w:tcPr>
            <w:tcW w:w="10489" w:type="dxa"/>
            <w:gridSpan w:val="3"/>
            <w:tcBorders>
              <w:top w:val="single" w:sz="4" w:space="0" w:color="auto"/>
              <w:left w:val="single" w:sz="4" w:space="0" w:color="auto"/>
              <w:bottom w:val="single" w:sz="4" w:space="0" w:color="auto"/>
              <w:right w:val="single" w:sz="4" w:space="0" w:color="auto"/>
            </w:tcBorders>
            <w:noWrap/>
          </w:tcPr>
          <w:p w14:paraId="0ACD6721" w14:textId="77777777" w:rsidR="00382481" w:rsidRPr="002A744A" w:rsidRDefault="00382481" w:rsidP="00034511">
            <w:pPr>
              <w:widowControl w:val="0"/>
              <w:jc w:val="both"/>
              <w:rPr>
                <w:rFonts w:ascii="Tahoma" w:hAnsi="Tahoma" w:cs="Tahoma"/>
                <w:sz w:val="18"/>
                <w:szCs w:val="18"/>
              </w:rPr>
            </w:pPr>
            <w:r w:rsidRPr="002A744A">
              <w:rPr>
                <w:rFonts w:ascii="Tahoma" w:hAnsi="Tahoma" w:cs="Tahoma"/>
                <w:sz w:val="18"/>
                <w:szCs w:val="18"/>
              </w:rPr>
              <w:t xml:space="preserve">Ежемесячно </w:t>
            </w:r>
          </w:p>
        </w:tc>
      </w:tr>
      <w:tr w:rsidR="00382481" w:rsidRPr="002A744A" w14:paraId="22AEC866" w14:textId="77777777" w:rsidTr="00034511">
        <w:tblPrEx>
          <w:tblLook w:val="00A0" w:firstRow="1" w:lastRow="0" w:firstColumn="1" w:lastColumn="0" w:noHBand="0" w:noVBand="0"/>
        </w:tblPrEx>
        <w:trPr>
          <w:trHeight w:val="411"/>
        </w:trPr>
        <w:tc>
          <w:tcPr>
            <w:tcW w:w="4679" w:type="dxa"/>
            <w:tcBorders>
              <w:top w:val="single" w:sz="4" w:space="0" w:color="auto"/>
              <w:left w:val="single" w:sz="4" w:space="0" w:color="auto"/>
              <w:bottom w:val="single" w:sz="4" w:space="0" w:color="auto"/>
              <w:right w:val="single" w:sz="4" w:space="0" w:color="auto"/>
            </w:tcBorders>
            <w:shd w:val="clear" w:color="auto" w:fill="auto"/>
            <w:vAlign w:val="center"/>
          </w:tcPr>
          <w:p w14:paraId="0A3F20EC" w14:textId="77777777" w:rsidR="00382481" w:rsidRPr="002A744A" w:rsidRDefault="00382481" w:rsidP="00034511">
            <w:pPr>
              <w:widowControl w:val="0"/>
              <w:tabs>
                <w:tab w:val="left" w:pos="426"/>
                <w:tab w:val="left" w:pos="851"/>
              </w:tabs>
              <w:rPr>
                <w:rFonts w:ascii="Tahoma" w:hAnsi="Tahoma" w:cs="Tahoma"/>
                <w:b/>
                <w:color w:val="000000"/>
                <w:sz w:val="18"/>
                <w:szCs w:val="18"/>
              </w:rPr>
            </w:pPr>
            <w:r w:rsidRPr="002A744A">
              <w:rPr>
                <w:rFonts w:ascii="Tahoma" w:hAnsi="Tahoma" w:cs="Tahoma"/>
                <w:b/>
                <w:color w:val="000000"/>
                <w:sz w:val="18"/>
                <w:szCs w:val="18"/>
              </w:rPr>
              <w:t>Бесплатный способ исполнения Заемщиком обязательств по Договору</w:t>
            </w:r>
          </w:p>
        </w:tc>
        <w:tc>
          <w:tcPr>
            <w:tcW w:w="10489" w:type="dxa"/>
            <w:gridSpan w:val="3"/>
            <w:tcBorders>
              <w:top w:val="single" w:sz="4" w:space="0" w:color="auto"/>
              <w:left w:val="single" w:sz="4" w:space="0" w:color="auto"/>
              <w:bottom w:val="single" w:sz="4" w:space="0" w:color="auto"/>
              <w:right w:val="single" w:sz="4" w:space="0" w:color="auto"/>
            </w:tcBorders>
            <w:noWrap/>
            <w:vAlign w:val="center"/>
          </w:tcPr>
          <w:p w14:paraId="32DEA6B9" w14:textId="77777777" w:rsidR="00382481" w:rsidRPr="002A744A" w:rsidRDefault="00382481" w:rsidP="00034511">
            <w:pPr>
              <w:widowControl w:val="0"/>
              <w:tabs>
                <w:tab w:val="left" w:pos="426"/>
                <w:tab w:val="left" w:pos="851"/>
              </w:tabs>
              <w:jc w:val="both"/>
              <w:rPr>
                <w:rFonts w:ascii="Tahoma" w:hAnsi="Tahoma" w:cs="Tahoma"/>
                <w:color w:val="000000"/>
                <w:sz w:val="18"/>
                <w:szCs w:val="18"/>
              </w:rPr>
            </w:pPr>
            <w:r w:rsidRPr="002A744A">
              <w:rPr>
                <w:rFonts w:ascii="Tahoma" w:hAnsi="Tahoma" w:cs="Tahoma"/>
                <w:sz w:val="18"/>
                <w:szCs w:val="18"/>
              </w:rPr>
              <w:t>Внесение денежных средств на ТБС через терминалы самообслуживания Банка, перевод через работодателя Заемщика, перевод со счёта в Банке на ТБС Заемщика.</w:t>
            </w:r>
          </w:p>
        </w:tc>
      </w:tr>
      <w:tr w:rsidR="00382481" w:rsidRPr="002A744A" w14:paraId="73578F57" w14:textId="77777777" w:rsidTr="00034511">
        <w:tblPrEx>
          <w:tblLook w:val="00A0" w:firstRow="1" w:lastRow="0" w:firstColumn="1" w:lastColumn="0" w:noHBand="0" w:noVBand="0"/>
        </w:tblPrEx>
        <w:trPr>
          <w:trHeight w:val="666"/>
        </w:trPr>
        <w:tc>
          <w:tcPr>
            <w:tcW w:w="4679" w:type="dxa"/>
            <w:tcBorders>
              <w:top w:val="single" w:sz="4" w:space="0" w:color="auto"/>
              <w:left w:val="single" w:sz="4" w:space="0" w:color="auto"/>
              <w:bottom w:val="single" w:sz="4" w:space="0" w:color="auto"/>
              <w:right w:val="single" w:sz="4" w:space="0" w:color="auto"/>
            </w:tcBorders>
            <w:shd w:val="clear" w:color="auto" w:fill="auto"/>
            <w:vAlign w:val="center"/>
          </w:tcPr>
          <w:p w14:paraId="264AA595" w14:textId="77777777" w:rsidR="00382481" w:rsidRPr="002A744A" w:rsidRDefault="00382481" w:rsidP="00034511">
            <w:pPr>
              <w:widowControl w:val="0"/>
              <w:tabs>
                <w:tab w:val="left" w:pos="426"/>
                <w:tab w:val="left" w:pos="851"/>
              </w:tabs>
              <w:rPr>
                <w:rFonts w:ascii="Tahoma" w:hAnsi="Tahoma" w:cs="Tahoma"/>
                <w:b/>
                <w:color w:val="000000"/>
                <w:sz w:val="18"/>
                <w:szCs w:val="18"/>
              </w:rPr>
            </w:pPr>
            <w:r w:rsidRPr="002A744A">
              <w:rPr>
                <w:rFonts w:ascii="Tahoma" w:hAnsi="Tahoma" w:cs="Tahoma"/>
                <w:b/>
                <w:color w:val="000000"/>
                <w:sz w:val="18"/>
                <w:szCs w:val="18"/>
              </w:rPr>
              <w:t>Способы обеспечения исполнения обязательств по Договору «Потребительский кредит»</w:t>
            </w:r>
          </w:p>
        </w:tc>
        <w:tc>
          <w:tcPr>
            <w:tcW w:w="10489" w:type="dxa"/>
            <w:gridSpan w:val="3"/>
            <w:tcBorders>
              <w:top w:val="single" w:sz="4" w:space="0" w:color="auto"/>
              <w:left w:val="single" w:sz="4" w:space="0" w:color="auto"/>
              <w:bottom w:val="single" w:sz="4" w:space="0" w:color="auto"/>
              <w:right w:val="single" w:sz="4" w:space="0" w:color="auto"/>
            </w:tcBorders>
            <w:noWrap/>
            <w:vAlign w:val="center"/>
          </w:tcPr>
          <w:p w14:paraId="18BF0545" w14:textId="77777777" w:rsidR="00382481" w:rsidRPr="002A744A" w:rsidRDefault="00382481" w:rsidP="00034511">
            <w:pPr>
              <w:widowControl w:val="0"/>
              <w:tabs>
                <w:tab w:val="left" w:pos="426"/>
                <w:tab w:val="left" w:pos="851"/>
              </w:tabs>
              <w:jc w:val="both"/>
              <w:rPr>
                <w:rFonts w:ascii="Tahoma" w:hAnsi="Tahoma" w:cs="Tahoma"/>
                <w:sz w:val="18"/>
                <w:szCs w:val="18"/>
              </w:rPr>
            </w:pPr>
            <w:r w:rsidRPr="002A744A">
              <w:rPr>
                <w:rFonts w:ascii="Tahoma" w:hAnsi="Tahoma" w:cs="Tahoma"/>
                <w:sz w:val="18"/>
                <w:szCs w:val="18"/>
              </w:rPr>
              <w:t xml:space="preserve">Неустойка (штраф, пеня). В случае нарушения обязательств по Договору с Заемщика может быть взыскана неустойка в суммах и порядке, определенных Сторонами в соответствии с законодательством РФ и Индивидуальными условиями Договора. По требованию Банка может быть запрошено обеспечение. </w:t>
            </w:r>
          </w:p>
          <w:p w14:paraId="7339EE1F" w14:textId="77777777" w:rsidR="00382481" w:rsidRPr="002A744A" w:rsidRDefault="00382481" w:rsidP="00034511">
            <w:pPr>
              <w:widowControl w:val="0"/>
              <w:tabs>
                <w:tab w:val="left" w:pos="426"/>
                <w:tab w:val="left" w:pos="851"/>
              </w:tabs>
              <w:jc w:val="both"/>
              <w:rPr>
                <w:rFonts w:ascii="Tahoma" w:hAnsi="Tahoma" w:cs="Tahoma"/>
                <w:sz w:val="18"/>
                <w:szCs w:val="18"/>
              </w:rPr>
            </w:pPr>
          </w:p>
          <w:p w14:paraId="10711519" w14:textId="77777777" w:rsidR="00382481" w:rsidRPr="002A744A" w:rsidRDefault="00382481" w:rsidP="00034511">
            <w:pPr>
              <w:widowControl w:val="0"/>
              <w:tabs>
                <w:tab w:val="left" w:pos="426"/>
                <w:tab w:val="left" w:pos="851"/>
              </w:tabs>
              <w:jc w:val="both"/>
              <w:rPr>
                <w:rFonts w:ascii="Tahoma" w:hAnsi="Tahoma" w:cs="Tahoma"/>
                <w:sz w:val="18"/>
                <w:szCs w:val="18"/>
              </w:rPr>
            </w:pPr>
            <w:r w:rsidRPr="002A744A">
              <w:rPr>
                <w:rFonts w:ascii="Tahoma" w:hAnsi="Tahoma" w:cs="Tahoma"/>
                <w:sz w:val="18"/>
                <w:szCs w:val="18"/>
              </w:rPr>
              <w:t>Заключение договора поручительства Юридического лица, учредителем которого является Заемщик.</w:t>
            </w:r>
          </w:p>
          <w:p w14:paraId="5D43210B" w14:textId="77777777" w:rsidR="00382481" w:rsidRPr="002A744A" w:rsidRDefault="00382481" w:rsidP="00034511">
            <w:pPr>
              <w:widowControl w:val="0"/>
              <w:tabs>
                <w:tab w:val="left" w:pos="426"/>
                <w:tab w:val="left" w:pos="851"/>
              </w:tabs>
              <w:jc w:val="both"/>
              <w:rPr>
                <w:rFonts w:ascii="Tahoma" w:hAnsi="Tahoma" w:cs="Tahoma"/>
                <w:sz w:val="18"/>
                <w:szCs w:val="18"/>
              </w:rPr>
            </w:pPr>
            <w:r w:rsidRPr="002A744A">
              <w:rPr>
                <w:rFonts w:ascii="Tahoma" w:hAnsi="Tahoma" w:cs="Tahoma"/>
                <w:sz w:val="18"/>
                <w:szCs w:val="18"/>
              </w:rPr>
              <w:t>При сроке кредита свыше 60 мес. – заключение договора залога движимого/недвижимого имущества.</w:t>
            </w:r>
            <w:r w:rsidRPr="002A744A">
              <w:rPr>
                <w:rFonts w:ascii="Tahoma" w:hAnsi="Tahoma" w:cs="Tahoma"/>
                <w:sz w:val="18"/>
                <w:szCs w:val="18"/>
              </w:rPr>
              <w:fldChar w:fldCharType="begin"/>
            </w:r>
            <w:r w:rsidRPr="002A744A">
              <w:rPr>
                <w:rFonts w:ascii="Tahoma" w:hAnsi="Tahoma" w:cs="Tahoma"/>
                <w:sz w:val="18"/>
                <w:szCs w:val="18"/>
              </w:rPr>
              <w:instrText xml:space="preserve"> DOCVARIABLE  ATB_ADDRESS_FACT </w:instrText>
            </w:r>
            <w:r w:rsidRPr="002A744A">
              <w:rPr>
                <w:rFonts w:ascii="Tahoma" w:hAnsi="Tahoma" w:cs="Tahoma"/>
                <w:sz w:val="18"/>
                <w:szCs w:val="18"/>
              </w:rPr>
              <w:fldChar w:fldCharType="end"/>
            </w:r>
          </w:p>
        </w:tc>
      </w:tr>
      <w:tr w:rsidR="00382481" w:rsidRPr="002A744A" w14:paraId="6F6A3736" w14:textId="77777777" w:rsidTr="00034511">
        <w:tblPrEx>
          <w:tblLook w:val="00A0" w:firstRow="1" w:lastRow="0" w:firstColumn="1" w:lastColumn="0" w:noHBand="0" w:noVBand="0"/>
        </w:tblPrEx>
        <w:trPr>
          <w:trHeight w:val="1052"/>
        </w:trPr>
        <w:tc>
          <w:tcPr>
            <w:tcW w:w="4679" w:type="dxa"/>
            <w:tcBorders>
              <w:top w:val="single" w:sz="4" w:space="0" w:color="auto"/>
              <w:left w:val="single" w:sz="4" w:space="0" w:color="auto"/>
              <w:bottom w:val="single" w:sz="4" w:space="0" w:color="auto"/>
              <w:right w:val="single" w:sz="4" w:space="0" w:color="auto"/>
            </w:tcBorders>
            <w:vAlign w:val="center"/>
          </w:tcPr>
          <w:p w14:paraId="0122EF7A" w14:textId="77777777" w:rsidR="00382481" w:rsidRPr="002A744A" w:rsidRDefault="00382481" w:rsidP="00034511">
            <w:pPr>
              <w:jc w:val="both"/>
              <w:rPr>
                <w:rFonts w:ascii="Tahoma" w:hAnsi="Tahoma" w:cs="Tahoma"/>
                <w:b/>
                <w:sz w:val="18"/>
                <w:szCs w:val="18"/>
              </w:rPr>
            </w:pPr>
            <w:r w:rsidRPr="002A744A">
              <w:rPr>
                <w:rFonts w:ascii="Tahoma" w:hAnsi="Tahoma" w:cs="Tahoma"/>
                <w:b/>
                <w:color w:val="000000"/>
                <w:sz w:val="18"/>
                <w:szCs w:val="18"/>
              </w:rPr>
              <w:t xml:space="preserve">Перечень документов, необходимых для рассмотрения заявления о предоставлении потребительского Кредита, в том числе для оценки кредитоспособности Заёмщика </w:t>
            </w:r>
            <w:r w:rsidRPr="002A744A">
              <w:rPr>
                <w:rFonts w:ascii="Tahoma" w:hAnsi="Tahoma" w:cs="Tahoma"/>
                <w:b/>
                <w:sz w:val="18"/>
                <w:szCs w:val="18"/>
              </w:rPr>
              <w:t>(в случае необходимости могут быть запрошены дополнительные документы)</w:t>
            </w:r>
          </w:p>
        </w:tc>
        <w:tc>
          <w:tcPr>
            <w:tcW w:w="10489" w:type="dxa"/>
            <w:gridSpan w:val="3"/>
            <w:tcBorders>
              <w:top w:val="single" w:sz="4" w:space="0" w:color="auto"/>
              <w:left w:val="single" w:sz="4" w:space="0" w:color="auto"/>
              <w:bottom w:val="single" w:sz="4" w:space="0" w:color="auto"/>
              <w:right w:val="single" w:sz="8" w:space="0" w:color="000000"/>
            </w:tcBorders>
            <w:shd w:val="clear" w:color="auto" w:fill="auto"/>
            <w:noWrap/>
            <w:vAlign w:val="center"/>
          </w:tcPr>
          <w:p w14:paraId="3449B9F8" w14:textId="77777777" w:rsidR="00382481" w:rsidRPr="002A744A" w:rsidRDefault="00382481" w:rsidP="00034511">
            <w:pPr>
              <w:jc w:val="both"/>
              <w:rPr>
                <w:rFonts w:ascii="Tahoma" w:hAnsi="Tahoma" w:cs="Tahoma"/>
                <w:b/>
                <w:sz w:val="18"/>
                <w:szCs w:val="18"/>
              </w:rPr>
            </w:pPr>
            <w:r w:rsidRPr="002A744A">
              <w:rPr>
                <w:rFonts w:ascii="Tahoma" w:hAnsi="Tahoma" w:cs="Tahoma"/>
                <w:b/>
                <w:sz w:val="18"/>
                <w:szCs w:val="18"/>
              </w:rPr>
              <w:t>Основные документы:</w:t>
            </w:r>
          </w:p>
          <w:p w14:paraId="0B701DBD" w14:textId="77777777" w:rsidR="00382481" w:rsidRPr="002A744A" w:rsidRDefault="00382481" w:rsidP="00034511">
            <w:pPr>
              <w:jc w:val="both"/>
              <w:rPr>
                <w:rFonts w:ascii="Tahoma" w:hAnsi="Tahoma" w:cs="Tahoma"/>
                <w:sz w:val="18"/>
                <w:szCs w:val="18"/>
              </w:rPr>
            </w:pPr>
            <w:r w:rsidRPr="002A744A">
              <w:rPr>
                <w:rFonts w:ascii="Tahoma" w:hAnsi="Tahoma" w:cs="Tahoma"/>
                <w:sz w:val="18"/>
                <w:szCs w:val="18"/>
              </w:rPr>
              <w:t>1) Паспорт гражданина РФ.</w:t>
            </w:r>
          </w:p>
          <w:p w14:paraId="673194F1" w14:textId="77777777" w:rsidR="00382481" w:rsidRPr="002A744A" w:rsidRDefault="00382481" w:rsidP="00034511">
            <w:pPr>
              <w:jc w:val="both"/>
              <w:rPr>
                <w:rFonts w:ascii="Tahoma" w:hAnsi="Tahoma" w:cs="Tahoma"/>
                <w:sz w:val="18"/>
                <w:szCs w:val="18"/>
              </w:rPr>
            </w:pPr>
            <w:r w:rsidRPr="002A744A">
              <w:rPr>
                <w:rFonts w:ascii="Tahoma" w:hAnsi="Tahoma" w:cs="Tahoma"/>
                <w:sz w:val="18"/>
                <w:szCs w:val="18"/>
              </w:rPr>
              <w:t>2)  Заявление на предоставление Кредита.</w:t>
            </w:r>
          </w:p>
          <w:p w14:paraId="742BC95C" w14:textId="77777777" w:rsidR="00382481" w:rsidRPr="002A744A" w:rsidRDefault="00382481" w:rsidP="00034511">
            <w:pPr>
              <w:jc w:val="both"/>
              <w:rPr>
                <w:rFonts w:ascii="Tahoma" w:hAnsi="Tahoma" w:cs="Tahoma"/>
                <w:sz w:val="18"/>
                <w:szCs w:val="18"/>
              </w:rPr>
            </w:pPr>
          </w:p>
          <w:p w14:paraId="4ED8D4D8" w14:textId="77777777" w:rsidR="00382481" w:rsidRPr="002A744A" w:rsidRDefault="00382481" w:rsidP="00034511">
            <w:pPr>
              <w:jc w:val="both"/>
              <w:rPr>
                <w:rFonts w:ascii="Tahoma" w:hAnsi="Tahoma" w:cs="Tahoma"/>
                <w:b/>
                <w:sz w:val="18"/>
                <w:szCs w:val="18"/>
              </w:rPr>
            </w:pPr>
          </w:p>
        </w:tc>
      </w:tr>
      <w:tr w:rsidR="00382481" w:rsidRPr="002A744A" w14:paraId="69925972" w14:textId="77777777" w:rsidTr="00034511">
        <w:tblPrEx>
          <w:tblLook w:val="00A0" w:firstRow="1" w:lastRow="0" w:firstColumn="1" w:lastColumn="0" w:noHBand="0" w:noVBand="0"/>
        </w:tblPrEx>
        <w:trPr>
          <w:trHeight w:val="424"/>
        </w:trPr>
        <w:tc>
          <w:tcPr>
            <w:tcW w:w="4679" w:type="dxa"/>
            <w:tcBorders>
              <w:top w:val="single" w:sz="4" w:space="0" w:color="auto"/>
              <w:left w:val="single" w:sz="4" w:space="0" w:color="auto"/>
              <w:bottom w:val="single" w:sz="4" w:space="0" w:color="auto"/>
              <w:right w:val="single" w:sz="4" w:space="0" w:color="auto"/>
            </w:tcBorders>
            <w:vAlign w:val="center"/>
          </w:tcPr>
          <w:p w14:paraId="58D4FD2A" w14:textId="77777777" w:rsidR="00382481" w:rsidRPr="002A744A" w:rsidRDefault="00382481" w:rsidP="00034511">
            <w:pPr>
              <w:widowControl w:val="0"/>
              <w:tabs>
                <w:tab w:val="left" w:pos="426"/>
                <w:tab w:val="left" w:pos="851"/>
              </w:tabs>
              <w:rPr>
                <w:rFonts w:ascii="Tahoma" w:hAnsi="Tahoma" w:cs="Tahoma"/>
                <w:b/>
                <w:color w:val="000000"/>
                <w:sz w:val="18"/>
                <w:szCs w:val="18"/>
              </w:rPr>
            </w:pPr>
            <w:r w:rsidRPr="002A744A">
              <w:rPr>
                <w:rFonts w:ascii="Tahoma" w:hAnsi="Tahoma" w:cs="Tahoma"/>
                <w:b/>
                <w:color w:val="000000"/>
                <w:sz w:val="18"/>
                <w:szCs w:val="18"/>
              </w:rPr>
              <w:t>Документы, подтверждающие доход</w:t>
            </w:r>
          </w:p>
        </w:tc>
        <w:tc>
          <w:tcPr>
            <w:tcW w:w="10489" w:type="dxa"/>
            <w:gridSpan w:val="3"/>
            <w:tcBorders>
              <w:top w:val="single" w:sz="4" w:space="0" w:color="auto"/>
              <w:left w:val="single" w:sz="4" w:space="0" w:color="auto"/>
              <w:bottom w:val="single" w:sz="4" w:space="0" w:color="auto"/>
              <w:right w:val="single" w:sz="8" w:space="0" w:color="000000"/>
            </w:tcBorders>
            <w:shd w:val="clear" w:color="auto" w:fill="auto"/>
            <w:noWrap/>
            <w:vAlign w:val="center"/>
          </w:tcPr>
          <w:p w14:paraId="7E01197C" w14:textId="77777777" w:rsidR="00382481" w:rsidRDefault="00382481" w:rsidP="00034511">
            <w:pPr>
              <w:jc w:val="both"/>
              <w:rPr>
                <w:rFonts w:ascii="Tahoma" w:hAnsi="Tahoma" w:cs="Tahoma"/>
                <w:b/>
                <w:sz w:val="18"/>
                <w:szCs w:val="18"/>
              </w:rPr>
            </w:pPr>
            <w:r w:rsidRPr="002A744A">
              <w:rPr>
                <w:rFonts w:ascii="Tahoma" w:hAnsi="Tahoma" w:cs="Tahoma"/>
                <w:b/>
                <w:sz w:val="18"/>
                <w:szCs w:val="18"/>
              </w:rPr>
              <w:t>Документы, подтверждающие доход:</w:t>
            </w:r>
          </w:p>
          <w:p w14:paraId="0B3B931A" w14:textId="77777777" w:rsidR="00382481" w:rsidRPr="002A744A" w:rsidRDefault="00382481" w:rsidP="00034511">
            <w:pPr>
              <w:jc w:val="both"/>
              <w:rPr>
                <w:rFonts w:ascii="Tahoma" w:hAnsi="Tahoma" w:cs="Tahoma"/>
                <w:color w:val="000000"/>
                <w:sz w:val="18"/>
                <w:szCs w:val="18"/>
              </w:rPr>
            </w:pPr>
            <w:r w:rsidRPr="002A744A">
              <w:rPr>
                <w:rFonts w:ascii="Tahoma" w:hAnsi="Tahoma" w:cs="Tahoma"/>
                <w:color w:val="000000"/>
                <w:sz w:val="18"/>
                <w:szCs w:val="18"/>
              </w:rPr>
              <w:t xml:space="preserve">- Выписка с зарплатного счета банковской (платежной) карты Заемщика как Банка, так и сторонней кредитной организации. В случае если предоставляется выписка сторонней кредитной организации, то выписка должна быть заверена печатью подразделения и подписью работника кредитной организации, выдавшего выписку (или сформированная из мобильного/интернет банка), при этом в выписке должно быть указано назначение платежа, позволяющее однозначно идентифицировать, что поступления являются заработной платой Заемщика/ зачисления с определённым назначением платежа производятся через равные промежутки времени; </w:t>
            </w:r>
          </w:p>
          <w:p w14:paraId="0786F30A" w14:textId="77777777" w:rsidR="00382481" w:rsidRPr="002A744A" w:rsidRDefault="00382481" w:rsidP="00034511">
            <w:pPr>
              <w:jc w:val="both"/>
              <w:rPr>
                <w:rFonts w:ascii="Tahoma" w:hAnsi="Tahoma" w:cs="Tahoma"/>
                <w:color w:val="000000"/>
                <w:sz w:val="18"/>
                <w:szCs w:val="18"/>
              </w:rPr>
            </w:pPr>
            <w:r w:rsidRPr="002A744A">
              <w:rPr>
                <w:rFonts w:ascii="Tahoma" w:hAnsi="Tahoma" w:cs="Tahoma"/>
                <w:color w:val="000000"/>
                <w:sz w:val="18"/>
                <w:szCs w:val="18"/>
              </w:rPr>
              <w:t>- Выписка по индивидуальному лицевому счету в Социальном Фонде Российской Федерации если Заемщиком выражено согласие в соответствии с законодательством Российской Федерации на запрос выписки по индивидуальному лицевому счету Заемщика, который ведется в Социальном Фонде Российской Федерации и сведения предоставлены Банку;</w:t>
            </w:r>
          </w:p>
          <w:p w14:paraId="5F2668A6" w14:textId="77777777" w:rsidR="00382481" w:rsidRPr="002A744A" w:rsidRDefault="00382481" w:rsidP="00034511">
            <w:pPr>
              <w:jc w:val="both"/>
              <w:rPr>
                <w:rFonts w:ascii="Tahoma" w:hAnsi="Tahoma" w:cs="Tahoma"/>
                <w:color w:val="000000"/>
                <w:sz w:val="18"/>
                <w:szCs w:val="18"/>
              </w:rPr>
            </w:pPr>
            <w:r w:rsidRPr="002A744A">
              <w:rPr>
                <w:rFonts w:ascii="Tahoma" w:hAnsi="Tahoma" w:cs="Tahoma"/>
                <w:color w:val="000000"/>
                <w:sz w:val="18"/>
                <w:szCs w:val="18"/>
              </w:rPr>
              <w:t xml:space="preserve"> - </w:t>
            </w:r>
            <w:r w:rsidRPr="002A744A">
              <w:rPr>
                <w:rFonts w:ascii="Tahoma" w:hAnsi="Tahoma" w:cs="Tahoma"/>
                <w:sz w:val="18"/>
                <w:szCs w:val="18"/>
              </w:rPr>
              <w:t>Справка о доходах и суммах налога физического лица.</w:t>
            </w:r>
            <w:r w:rsidRPr="002A744A">
              <w:rPr>
                <w:rFonts w:ascii="Tahoma" w:hAnsi="Tahoma" w:cs="Tahoma"/>
                <w:color w:val="000000"/>
                <w:sz w:val="18"/>
                <w:szCs w:val="18"/>
              </w:rPr>
              <w:t xml:space="preserve"> </w:t>
            </w:r>
          </w:p>
          <w:p w14:paraId="5F8993FA" w14:textId="77777777" w:rsidR="00382481" w:rsidRPr="002A744A" w:rsidRDefault="00382481" w:rsidP="00034511">
            <w:pPr>
              <w:jc w:val="both"/>
              <w:rPr>
                <w:rFonts w:ascii="Tahoma" w:hAnsi="Tahoma" w:cs="Tahoma"/>
                <w:color w:val="000000"/>
                <w:sz w:val="18"/>
                <w:szCs w:val="18"/>
              </w:rPr>
            </w:pPr>
            <w:r w:rsidRPr="002A744A">
              <w:rPr>
                <w:rFonts w:ascii="Tahoma" w:hAnsi="Tahoma" w:cs="Tahoma"/>
                <w:color w:val="000000"/>
                <w:sz w:val="18"/>
                <w:szCs w:val="18"/>
              </w:rPr>
              <w:t xml:space="preserve">Доход должен быть подтвержден </w:t>
            </w:r>
            <w:r w:rsidRPr="002A744A">
              <w:rPr>
                <w:rFonts w:ascii="Tahoma" w:hAnsi="Tahoma" w:cs="Tahoma"/>
                <w:b/>
                <w:color w:val="000000"/>
                <w:sz w:val="18"/>
                <w:szCs w:val="18"/>
              </w:rPr>
              <w:t>документами о доходе</w:t>
            </w:r>
            <w:r w:rsidRPr="002A744A">
              <w:rPr>
                <w:rFonts w:ascii="Tahoma" w:hAnsi="Tahoma" w:cs="Tahoma"/>
                <w:color w:val="000000"/>
                <w:sz w:val="18"/>
                <w:szCs w:val="18"/>
              </w:rPr>
              <w:t xml:space="preserve"> за последние 12 (двенадцать) месяцев. В случае, если стаж на текущем месте работы менее 12 месяцев (но не менее 3 месяцев), то сведения о доходе Клиента предоставляются за периоды фактически начисленной заработной платы.</w:t>
            </w:r>
          </w:p>
          <w:p w14:paraId="3BFEB856" w14:textId="77777777" w:rsidR="00382481" w:rsidRPr="002A744A" w:rsidRDefault="00382481" w:rsidP="00034511">
            <w:pPr>
              <w:pStyle w:val="affe"/>
              <w:ind w:left="37"/>
              <w:jc w:val="both"/>
              <w:rPr>
                <w:rFonts w:ascii="Tahoma" w:hAnsi="Tahoma" w:cs="Tahoma"/>
                <w:b/>
                <w:color w:val="000000"/>
                <w:sz w:val="18"/>
                <w:szCs w:val="18"/>
              </w:rPr>
            </w:pPr>
            <w:r w:rsidRPr="002A744A">
              <w:rPr>
                <w:rFonts w:ascii="Tahoma" w:hAnsi="Tahoma" w:cs="Tahoma"/>
                <w:b/>
                <w:color w:val="000000"/>
                <w:sz w:val="18"/>
                <w:szCs w:val="18"/>
              </w:rPr>
              <w:t>Для подтверждения дивидендов (совокупность документов):</w:t>
            </w:r>
          </w:p>
          <w:p w14:paraId="35F27EE7" w14:textId="77777777" w:rsidR="00382481" w:rsidRPr="002A744A" w:rsidRDefault="00382481" w:rsidP="00034511">
            <w:pPr>
              <w:jc w:val="both"/>
              <w:rPr>
                <w:rFonts w:ascii="Tahoma" w:hAnsi="Tahoma" w:cs="Tahoma"/>
                <w:sz w:val="18"/>
                <w:szCs w:val="18"/>
              </w:rPr>
            </w:pPr>
            <w:r w:rsidRPr="002A744A">
              <w:rPr>
                <w:rFonts w:ascii="Tahoma" w:hAnsi="Tahoma" w:cs="Tahoma"/>
                <w:sz w:val="18"/>
                <w:szCs w:val="18"/>
              </w:rPr>
              <w:t>- решение уполномоченного органа ЮЛ о выплате дивидендов;</w:t>
            </w:r>
          </w:p>
          <w:p w14:paraId="32FB3E95" w14:textId="77777777" w:rsidR="00382481" w:rsidRPr="002A744A" w:rsidRDefault="00382481" w:rsidP="00034511">
            <w:pPr>
              <w:jc w:val="both"/>
              <w:rPr>
                <w:rFonts w:ascii="Tahoma" w:hAnsi="Tahoma" w:cs="Tahoma"/>
                <w:sz w:val="18"/>
                <w:szCs w:val="18"/>
              </w:rPr>
            </w:pPr>
            <w:r w:rsidRPr="002A744A">
              <w:rPr>
                <w:rFonts w:ascii="Tahoma" w:hAnsi="Tahoma" w:cs="Tahoma"/>
                <w:sz w:val="18"/>
                <w:szCs w:val="18"/>
              </w:rPr>
              <w:t>- выписка по счету/ Справка о доходах и суммах налога физического лица;</w:t>
            </w:r>
          </w:p>
          <w:p w14:paraId="6B9CABB9" w14:textId="77777777" w:rsidR="00382481" w:rsidRPr="002A744A" w:rsidRDefault="00382481" w:rsidP="00034511">
            <w:pPr>
              <w:jc w:val="both"/>
              <w:rPr>
                <w:rFonts w:ascii="Tahoma" w:hAnsi="Tahoma" w:cs="Tahoma"/>
                <w:color w:val="000000"/>
                <w:sz w:val="18"/>
                <w:szCs w:val="18"/>
              </w:rPr>
            </w:pPr>
            <w:r w:rsidRPr="002A744A">
              <w:rPr>
                <w:rFonts w:ascii="Tahoma" w:hAnsi="Tahoma" w:cs="Tahoma"/>
                <w:color w:val="000000"/>
                <w:sz w:val="18"/>
                <w:szCs w:val="18"/>
              </w:rPr>
              <w:t>- документы для проведения анализа финансового-хозяйственной деятельности ЮЛ, с целью подтверждения стабильности получения дивидендов (запрашиваются по отдельному списку).</w:t>
            </w:r>
          </w:p>
          <w:p w14:paraId="7474D0FD" w14:textId="77777777" w:rsidR="00382481" w:rsidRPr="002A744A" w:rsidRDefault="00382481" w:rsidP="00034511">
            <w:pPr>
              <w:jc w:val="both"/>
              <w:rPr>
                <w:rFonts w:ascii="Tahoma" w:hAnsi="Tahoma" w:cs="Tahoma"/>
                <w:color w:val="000000"/>
                <w:sz w:val="18"/>
                <w:szCs w:val="18"/>
              </w:rPr>
            </w:pPr>
            <w:r w:rsidRPr="002A744A">
              <w:rPr>
                <w:rFonts w:ascii="Tahoma" w:hAnsi="Tahoma" w:cs="Tahoma"/>
                <w:b/>
                <w:color w:val="000000"/>
                <w:sz w:val="18"/>
                <w:szCs w:val="18"/>
              </w:rPr>
              <w:t>Если Заемщик является пенсионером</w:t>
            </w:r>
            <w:r w:rsidRPr="002A744A">
              <w:rPr>
                <w:rFonts w:ascii="Tahoma" w:hAnsi="Tahoma" w:cs="Tahoma"/>
                <w:color w:val="000000"/>
                <w:sz w:val="18"/>
                <w:szCs w:val="18"/>
              </w:rPr>
              <w:t xml:space="preserve"> (для учета дохода в виде пенсии допускается принимать документ, содержащий сведения о доходе за 1 (один) календарный месяц):</w:t>
            </w:r>
          </w:p>
          <w:p w14:paraId="4082729F" w14:textId="77777777" w:rsidR="00382481" w:rsidRPr="002A744A" w:rsidRDefault="00382481" w:rsidP="00382481">
            <w:pPr>
              <w:pStyle w:val="affe"/>
              <w:numPr>
                <w:ilvl w:val="0"/>
                <w:numId w:val="27"/>
              </w:numPr>
              <w:contextualSpacing/>
              <w:jc w:val="both"/>
              <w:rPr>
                <w:rFonts w:ascii="Tahoma" w:hAnsi="Tahoma" w:cs="Tahoma"/>
                <w:color w:val="000000"/>
                <w:sz w:val="18"/>
                <w:szCs w:val="18"/>
              </w:rPr>
            </w:pPr>
            <w:r w:rsidRPr="002A744A">
              <w:rPr>
                <w:rFonts w:ascii="Tahoma" w:hAnsi="Tahoma" w:cs="Tahoma"/>
                <w:color w:val="000000"/>
                <w:sz w:val="18"/>
                <w:szCs w:val="18"/>
              </w:rPr>
              <w:t>справка Социального фонда Российской Федерации либо другого государственного органа, выплачивающего пенсию, о размере пенсии, ежемесячного пожизненного содержания судьям или ежемесячной надбавки к денежному содержанию судьям о назначении пенсии / иной документ, подтверждающий право на получение пенсии, содержащий идентификационные данные Клиента и размер дохода (например, выписка по индивидуальному лицевому счету в Социальном Фонде Российской Федерации);</w:t>
            </w:r>
          </w:p>
          <w:p w14:paraId="67740936" w14:textId="77777777" w:rsidR="00382481" w:rsidRPr="002A744A" w:rsidRDefault="00382481" w:rsidP="00382481">
            <w:pPr>
              <w:pStyle w:val="affe"/>
              <w:numPr>
                <w:ilvl w:val="0"/>
                <w:numId w:val="27"/>
              </w:numPr>
              <w:contextualSpacing/>
              <w:jc w:val="both"/>
              <w:rPr>
                <w:rFonts w:ascii="Tahoma" w:hAnsi="Tahoma" w:cs="Tahoma"/>
                <w:sz w:val="20"/>
                <w:szCs w:val="20"/>
              </w:rPr>
            </w:pPr>
            <w:r w:rsidRPr="002A744A">
              <w:rPr>
                <w:rFonts w:ascii="Tahoma" w:hAnsi="Tahoma" w:cs="Tahoma"/>
                <w:color w:val="000000"/>
                <w:sz w:val="18"/>
                <w:szCs w:val="18"/>
              </w:rPr>
              <w:t>выписка со счета карты Заемщика, заверенной печатью подразделения и подписью работника кредитной организации, выдавшего выписку (или сформированная из мобильного/интернет банка), при этом в выписке обязательно должно быть указано назначение платежа, позволяющее однозначно идентифицировать, что поступления являются пенсией Заемщика.</w:t>
            </w:r>
            <w:r w:rsidRPr="002A744A">
              <w:rPr>
                <w:rFonts w:ascii="Tahoma" w:hAnsi="Tahoma" w:cs="Tahoma"/>
                <w:color w:val="000000"/>
                <w:sz w:val="18"/>
                <w:szCs w:val="18"/>
              </w:rPr>
              <w:fldChar w:fldCharType="begin"/>
            </w:r>
            <w:r w:rsidRPr="002A744A">
              <w:rPr>
                <w:rFonts w:ascii="Tahoma" w:hAnsi="Tahoma" w:cs="Tahoma"/>
                <w:color w:val="000000"/>
                <w:sz w:val="18"/>
                <w:szCs w:val="18"/>
              </w:rPr>
              <w:instrText xml:space="preserve"> DOCVARIABLE  ATB_ADDRESS_REG </w:instrText>
            </w:r>
            <w:r w:rsidRPr="002A744A">
              <w:rPr>
                <w:rFonts w:ascii="Tahoma" w:hAnsi="Tahoma" w:cs="Tahoma"/>
                <w:color w:val="000000"/>
                <w:sz w:val="18"/>
                <w:szCs w:val="18"/>
              </w:rPr>
              <w:fldChar w:fldCharType="end"/>
            </w:r>
          </w:p>
        </w:tc>
      </w:tr>
      <w:tr w:rsidR="00382481" w:rsidRPr="002A744A" w14:paraId="54FD08CE" w14:textId="77777777" w:rsidTr="00034511">
        <w:tblPrEx>
          <w:tblLook w:val="00A0" w:firstRow="1" w:lastRow="0" w:firstColumn="1" w:lastColumn="0" w:noHBand="0" w:noVBand="0"/>
        </w:tblPrEx>
        <w:trPr>
          <w:trHeight w:val="132"/>
        </w:trPr>
        <w:tc>
          <w:tcPr>
            <w:tcW w:w="4679" w:type="dxa"/>
            <w:tcBorders>
              <w:top w:val="single" w:sz="4" w:space="0" w:color="auto"/>
              <w:left w:val="single" w:sz="8" w:space="0" w:color="auto"/>
              <w:bottom w:val="single" w:sz="4" w:space="0" w:color="auto"/>
              <w:right w:val="single" w:sz="4" w:space="0" w:color="auto"/>
            </w:tcBorders>
            <w:vAlign w:val="center"/>
          </w:tcPr>
          <w:p w14:paraId="2E7E5BC8" w14:textId="77777777" w:rsidR="00382481" w:rsidRPr="002A744A" w:rsidRDefault="00382481" w:rsidP="00034511">
            <w:pPr>
              <w:widowControl w:val="0"/>
              <w:tabs>
                <w:tab w:val="left" w:pos="426"/>
                <w:tab w:val="left" w:pos="851"/>
              </w:tabs>
              <w:rPr>
                <w:rFonts w:ascii="Tahoma" w:hAnsi="Tahoma" w:cs="Tahoma"/>
                <w:b/>
                <w:color w:val="000000"/>
                <w:sz w:val="18"/>
                <w:szCs w:val="18"/>
              </w:rPr>
            </w:pPr>
            <w:r w:rsidRPr="002A744A">
              <w:rPr>
                <w:rFonts w:ascii="Tahoma" w:hAnsi="Tahoma" w:cs="Tahoma"/>
                <w:b/>
                <w:color w:val="000000"/>
                <w:sz w:val="18"/>
                <w:szCs w:val="18"/>
              </w:rPr>
              <w:lastRenderedPageBreak/>
              <w:t>Способы возврата  Заемщиком потребительского Кредита, и уплаты процентов по нему</w:t>
            </w:r>
          </w:p>
        </w:tc>
        <w:tc>
          <w:tcPr>
            <w:tcW w:w="10489" w:type="dxa"/>
            <w:gridSpan w:val="3"/>
            <w:tcBorders>
              <w:top w:val="single" w:sz="4" w:space="0" w:color="auto"/>
              <w:left w:val="nil"/>
              <w:bottom w:val="single" w:sz="4" w:space="0" w:color="auto"/>
              <w:right w:val="single" w:sz="8" w:space="0" w:color="000000"/>
            </w:tcBorders>
            <w:shd w:val="clear" w:color="auto" w:fill="auto"/>
            <w:noWrap/>
            <w:vAlign w:val="center"/>
          </w:tcPr>
          <w:p w14:paraId="4093DAAD" w14:textId="77777777" w:rsidR="00382481" w:rsidRPr="002A744A" w:rsidRDefault="00382481" w:rsidP="00034511">
            <w:pPr>
              <w:widowControl w:val="0"/>
              <w:tabs>
                <w:tab w:val="left" w:pos="426"/>
                <w:tab w:val="left" w:pos="851"/>
              </w:tabs>
              <w:jc w:val="both"/>
              <w:rPr>
                <w:rFonts w:ascii="Tahoma" w:hAnsi="Tahoma" w:cs="Tahoma"/>
                <w:sz w:val="18"/>
                <w:szCs w:val="18"/>
              </w:rPr>
            </w:pPr>
            <w:r w:rsidRPr="002A744A">
              <w:rPr>
                <w:rFonts w:ascii="Tahoma" w:hAnsi="Tahoma" w:cs="Tahoma"/>
                <w:sz w:val="18"/>
                <w:szCs w:val="18"/>
              </w:rPr>
              <w:t xml:space="preserve">Погашение Заемщиком обязательств по Договору осуществляется в сумме и сроки предусмотренные Договором (в т.ч. при досрочном частичном или полном возврате Кредита) производится любым способом по выбору Заемщика, в том числе: посредством внесения денежных средств в сумме обязательства на ТБС Заемщика через терминалы самообслуживания Банка (при их наличии в населенном пункте по месту получения Заемщиком оферты); кассы Банка, перевод через работодателя Заемщика, перевод со счёта в Банке на ТБС Заемщика, перевод через отделения АО «Почта России», перевод через интернет-системы «АТБ-Онлайн», «АТБ-Мобайл/АТБ банк», иные кредитные организации (по предусмотренным ими тарифам). </w:t>
            </w:r>
          </w:p>
          <w:p w14:paraId="03390295" w14:textId="77777777" w:rsidR="00382481" w:rsidRPr="002A744A" w:rsidRDefault="00382481" w:rsidP="00034511">
            <w:pPr>
              <w:widowControl w:val="0"/>
              <w:tabs>
                <w:tab w:val="left" w:pos="426"/>
                <w:tab w:val="left" w:pos="851"/>
              </w:tabs>
              <w:jc w:val="both"/>
              <w:rPr>
                <w:rFonts w:ascii="Tahoma" w:hAnsi="Tahoma" w:cs="Tahoma"/>
                <w:sz w:val="18"/>
                <w:szCs w:val="18"/>
              </w:rPr>
            </w:pPr>
            <w:r w:rsidRPr="002A744A">
              <w:rPr>
                <w:rFonts w:ascii="Tahoma" w:hAnsi="Tahoma" w:cs="Tahoma"/>
                <w:sz w:val="18"/>
                <w:szCs w:val="18"/>
              </w:rPr>
              <w:t>Могут использоваться иные, не противоречащие законодательству РФ способы.</w:t>
            </w:r>
          </w:p>
          <w:p w14:paraId="3D24B88A" w14:textId="77777777" w:rsidR="00382481" w:rsidRPr="002A744A" w:rsidRDefault="00382481" w:rsidP="00034511">
            <w:pPr>
              <w:widowControl w:val="0"/>
              <w:tabs>
                <w:tab w:val="left" w:pos="426"/>
                <w:tab w:val="left" w:pos="851"/>
              </w:tabs>
              <w:jc w:val="both"/>
              <w:rPr>
                <w:rFonts w:ascii="Tahoma" w:hAnsi="Tahoma" w:cs="Tahoma"/>
                <w:sz w:val="18"/>
                <w:szCs w:val="18"/>
              </w:rPr>
            </w:pPr>
            <w:r w:rsidRPr="002A744A">
              <w:rPr>
                <w:rFonts w:ascii="Tahoma" w:hAnsi="Tahoma" w:cs="Tahoma"/>
                <w:sz w:val="18"/>
                <w:szCs w:val="18"/>
              </w:rPr>
              <w:t xml:space="preserve">Обязательства по погашению Заемщиком Кредитной задолженности по Договору считаются Заемщиком исполненными в полном объеме после поступления денежных средств на ТБС Заемщика (списания Банком в свою пользу с ТБС Заемщика денежных средств).  </w:t>
            </w:r>
          </w:p>
          <w:p w14:paraId="44C858A2" w14:textId="77777777" w:rsidR="00382481" w:rsidRPr="002A744A" w:rsidRDefault="00382481" w:rsidP="00034511">
            <w:pPr>
              <w:widowControl w:val="0"/>
              <w:tabs>
                <w:tab w:val="left" w:pos="426"/>
                <w:tab w:val="left" w:pos="851"/>
              </w:tabs>
              <w:jc w:val="both"/>
              <w:rPr>
                <w:rFonts w:ascii="Tahoma" w:hAnsi="Tahoma" w:cs="Tahoma"/>
                <w:sz w:val="18"/>
                <w:szCs w:val="18"/>
              </w:rPr>
            </w:pPr>
            <w:r w:rsidRPr="002A744A">
              <w:rPr>
                <w:rFonts w:ascii="Tahoma" w:hAnsi="Tahoma" w:cs="Tahoma"/>
                <w:sz w:val="18"/>
                <w:szCs w:val="18"/>
              </w:rPr>
              <w:t>Заемщик вносит на ТБС денежные средства любыми из перечисленных выше способов, при этом он обязан учесть время, затрачиваемое на безналичное перечисление денежных средств, выходные и праздничные дни. Если установленный Договором последний день срока платежа отсутствует в календарном месяце, Заемщик обязан внести денежные средства на ТБС не позднее последнего календарного рабочего дня месяца; если последний день срока платежа приходится на выходные/нерабочие праздничные дни, Заемщик обязан внести денежные средства на ТБС не позднее 1-го рабочего дня, следующего за выходным/нерабочим праздничным днем. Указанная обязанность должна быть исполнена Заемщиком в операционный день Банка.</w:t>
            </w:r>
          </w:p>
        </w:tc>
      </w:tr>
      <w:tr w:rsidR="00382481" w:rsidRPr="002A744A" w14:paraId="615253F9" w14:textId="77777777" w:rsidTr="00034511">
        <w:tblPrEx>
          <w:tblLook w:val="00A0" w:firstRow="1" w:lastRow="0" w:firstColumn="1" w:lastColumn="0" w:noHBand="0" w:noVBand="0"/>
        </w:tblPrEx>
        <w:trPr>
          <w:trHeight w:val="160"/>
        </w:trPr>
        <w:tc>
          <w:tcPr>
            <w:tcW w:w="4679" w:type="dxa"/>
            <w:tcBorders>
              <w:top w:val="single" w:sz="4" w:space="0" w:color="auto"/>
              <w:left w:val="single" w:sz="8" w:space="0" w:color="auto"/>
              <w:bottom w:val="single" w:sz="4" w:space="0" w:color="auto"/>
              <w:right w:val="single" w:sz="4" w:space="0" w:color="auto"/>
            </w:tcBorders>
            <w:vAlign w:val="center"/>
          </w:tcPr>
          <w:p w14:paraId="0A47AB65" w14:textId="77777777" w:rsidR="00382481" w:rsidRPr="002A744A" w:rsidRDefault="00382481" w:rsidP="00034511">
            <w:pPr>
              <w:widowControl w:val="0"/>
              <w:tabs>
                <w:tab w:val="left" w:pos="426"/>
                <w:tab w:val="left" w:pos="851"/>
              </w:tabs>
              <w:rPr>
                <w:rFonts w:ascii="Tahoma" w:hAnsi="Tahoma" w:cs="Tahoma"/>
                <w:b/>
                <w:color w:val="000000"/>
                <w:sz w:val="18"/>
                <w:szCs w:val="18"/>
              </w:rPr>
            </w:pPr>
            <w:r w:rsidRPr="002A744A">
              <w:rPr>
                <w:rFonts w:ascii="Tahoma" w:hAnsi="Tahoma" w:cs="Tahoma"/>
                <w:b/>
                <w:color w:val="000000"/>
                <w:sz w:val="18"/>
                <w:szCs w:val="18"/>
              </w:rPr>
              <w:t xml:space="preserve">Ответственность Заемщика за ненадлежащее исполнение Договора </w:t>
            </w:r>
          </w:p>
        </w:tc>
        <w:tc>
          <w:tcPr>
            <w:tcW w:w="10489" w:type="dxa"/>
            <w:gridSpan w:val="3"/>
            <w:tcBorders>
              <w:top w:val="single" w:sz="4" w:space="0" w:color="auto"/>
              <w:left w:val="nil"/>
              <w:bottom w:val="single" w:sz="4" w:space="0" w:color="auto"/>
              <w:right w:val="single" w:sz="8" w:space="0" w:color="000000"/>
            </w:tcBorders>
            <w:noWrap/>
            <w:vAlign w:val="center"/>
          </w:tcPr>
          <w:p w14:paraId="7A86EC06" w14:textId="77777777" w:rsidR="00382481" w:rsidRPr="009205CC" w:rsidRDefault="00382481" w:rsidP="00034511">
            <w:pPr>
              <w:autoSpaceDE w:val="0"/>
              <w:autoSpaceDN w:val="0"/>
              <w:spacing w:before="40" w:after="40"/>
              <w:rPr>
                <w:rFonts w:ascii="Tahoma" w:hAnsi="Tahoma" w:cs="Tahoma"/>
                <w:sz w:val="18"/>
                <w:szCs w:val="18"/>
              </w:rPr>
            </w:pPr>
            <w:r w:rsidRPr="002A744A">
              <w:rPr>
                <w:rFonts w:ascii="Tahoma" w:hAnsi="Tahoma" w:cs="Tahoma"/>
                <w:sz w:val="18"/>
                <w:szCs w:val="18"/>
              </w:rPr>
              <w:t xml:space="preserve">За ненадлежащее исполнение Заемщиком обязательств по возврату Кредита и(или) уплате процентов за пользование Кредитом начисляется, пеня за каждый день просрочки в размере 20 (двадцать) % годовых от суммы просроченной задолженности, начиная со </w:t>
            </w:r>
            <w:r w:rsidRPr="009205CC">
              <w:rPr>
                <w:rFonts w:ascii="Tahoma" w:hAnsi="Tahoma" w:cs="Tahoma"/>
                <w:sz w:val="18"/>
                <w:szCs w:val="18"/>
              </w:rPr>
              <w:t xml:space="preserve">следующего дня за днем ее образования.  </w:t>
            </w:r>
          </w:p>
          <w:p w14:paraId="25199413" w14:textId="77777777" w:rsidR="00382481" w:rsidRPr="002A744A" w:rsidRDefault="00382481" w:rsidP="00034511">
            <w:pPr>
              <w:autoSpaceDE w:val="0"/>
              <w:autoSpaceDN w:val="0"/>
              <w:spacing w:before="40" w:after="40"/>
              <w:rPr>
                <w:rFonts w:ascii="Tahoma" w:hAnsi="Tahoma" w:cs="Tahoma"/>
                <w:sz w:val="18"/>
                <w:szCs w:val="18"/>
              </w:rPr>
            </w:pPr>
            <w:r w:rsidRPr="009205CC">
              <w:rPr>
                <w:rFonts w:ascii="Tahoma" w:hAnsi="Tahoma" w:cs="Tahoma"/>
                <w:sz w:val="18"/>
                <w:szCs w:val="18"/>
              </w:rPr>
              <w:t>Если срок возврата потребительского кредита по Договору на момент его заключения не будет превышать одного года, то не  производится начисление процентов, неустойки (штрафа, пени), иных мер ответственности по Договору, а также платежей за оказываемые услуги (выполняемые работы, реализуемые товары) Банком Заемщику за отдельную плату по Договору, после того, как сумма начисленных процентов, неустойки (штрафа, пени), иных мер ответственности по Договору, а также платежей за оказываемые услуги (выполняемые работы, реализуемые товары) Банком Заемщику за отдельную плату по Договору достигнет 130 процентов от суммы предоставленного потребительского кредита.</w:t>
            </w:r>
          </w:p>
        </w:tc>
      </w:tr>
      <w:tr w:rsidR="00382481" w:rsidRPr="002A744A" w14:paraId="75D69F39" w14:textId="77777777" w:rsidTr="00034511">
        <w:tblPrEx>
          <w:tblLook w:val="00A0" w:firstRow="1" w:lastRow="0" w:firstColumn="1" w:lastColumn="0" w:noHBand="0" w:noVBand="0"/>
        </w:tblPrEx>
        <w:trPr>
          <w:trHeight w:val="160"/>
        </w:trPr>
        <w:tc>
          <w:tcPr>
            <w:tcW w:w="4679" w:type="dxa"/>
            <w:tcBorders>
              <w:top w:val="single" w:sz="4" w:space="0" w:color="auto"/>
              <w:left w:val="single" w:sz="8" w:space="0" w:color="auto"/>
              <w:bottom w:val="single" w:sz="4" w:space="0" w:color="auto"/>
              <w:right w:val="single" w:sz="4" w:space="0" w:color="auto"/>
            </w:tcBorders>
            <w:vAlign w:val="center"/>
          </w:tcPr>
          <w:p w14:paraId="2E6C64B4" w14:textId="77777777" w:rsidR="00382481" w:rsidRPr="002A744A" w:rsidRDefault="00382481" w:rsidP="00034511">
            <w:pPr>
              <w:widowControl w:val="0"/>
              <w:tabs>
                <w:tab w:val="left" w:pos="426"/>
                <w:tab w:val="left" w:pos="851"/>
              </w:tabs>
              <w:rPr>
                <w:rFonts w:ascii="Tahoma" w:hAnsi="Tahoma" w:cs="Tahoma"/>
                <w:b/>
                <w:color w:val="000000"/>
                <w:sz w:val="18"/>
                <w:szCs w:val="18"/>
              </w:rPr>
            </w:pPr>
            <w:r w:rsidRPr="002A744A">
              <w:rPr>
                <w:rFonts w:ascii="Tahoma" w:hAnsi="Tahoma" w:cs="Tahoma"/>
                <w:b/>
                <w:color w:val="000000"/>
                <w:sz w:val="18"/>
                <w:szCs w:val="18"/>
              </w:rPr>
              <w:t>Уступка Банком третьим лицам прав (требований) по Договору</w:t>
            </w:r>
          </w:p>
        </w:tc>
        <w:tc>
          <w:tcPr>
            <w:tcW w:w="10489" w:type="dxa"/>
            <w:gridSpan w:val="3"/>
            <w:tcBorders>
              <w:top w:val="single" w:sz="4" w:space="0" w:color="auto"/>
              <w:left w:val="nil"/>
              <w:bottom w:val="single" w:sz="4" w:space="0" w:color="auto"/>
              <w:right w:val="single" w:sz="8" w:space="0" w:color="000000"/>
            </w:tcBorders>
            <w:noWrap/>
            <w:vAlign w:val="center"/>
          </w:tcPr>
          <w:p w14:paraId="0F6020CA" w14:textId="77777777" w:rsidR="00382481" w:rsidRPr="002A744A" w:rsidRDefault="00382481" w:rsidP="00034511">
            <w:pPr>
              <w:widowControl w:val="0"/>
              <w:tabs>
                <w:tab w:val="left" w:pos="426"/>
                <w:tab w:val="left" w:pos="851"/>
              </w:tabs>
              <w:jc w:val="both"/>
              <w:rPr>
                <w:rFonts w:ascii="Tahoma" w:hAnsi="Tahoma" w:cs="Tahoma"/>
                <w:color w:val="000000"/>
                <w:sz w:val="18"/>
                <w:szCs w:val="18"/>
              </w:rPr>
            </w:pPr>
            <w:r w:rsidRPr="002A744A">
              <w:rPr>
                <w:rFonts w:ascii="Tahoma" w:hAnsi="Tahoma" w:cs="Tahoma"/>
                <w:color w:val="000000"/>
                <w:sz w:val="18"/>
                <w:szCs w:val="18"/>
              </w:rPr>
              <w:t>Заемщик вправе запретить уступку Банком третьим лицам прав (требований) по Договору.</w:t>
            </w:r>
          </w:p>
        </w:tc>
      </w:tr>
      <w:tr w:rsidR="00382481" w:rsidRPr="002A744A" w14:paraId="77358A8F" w14:textId="77777777" w:rsidTr="00034511">
        <w:tblPrEx>
          <w:tblLook w:val="00A0" w:firstRow="1" w:lastRow="0" w:firstColumn="1" w:lastColumn="0" w:noHBand="0" w:noVBand="0"/>
        </w:tblPrEx>
        <w:trPr>
          <w:trHeight w:val="160"/>
        </w:trPr>
        <w:tc>
          <w:tcPr>
            <w:tcW w:w="4679" w:type="dxa"/>
            <w:tcBorders>
              <w:top w:val="single" w:sz="4" w:space="0" w:color="auto"/>
              <w:left w:val="single" w:sz="8" w:space="0" w:color="auto"/>
              <w:bottom w:val="single" w:sz="4" w:space="0" w:color="auto"/>
              <w:right w:val="single" w:sz="4" w:space="0" w:color="auto"/>
            </w:tcBorders>
            <w:vAlign w:val="center"/>
          </w:tcPr>
          <w:p w14:paraId="45A7569A" w14:textId="77777777" w:rsidR="00382481" w:rsidRPr="002A744A" w:rsidRDefault="00382481" w:rsidP="00034511">
            <w:pPr>
              <w:widowControl w:val="0"/>
              <w:tabs>
                <w:tab w:val="left" w:pos="426"/>
                <w:tab w:val="left" w:pos="851"/>
              </w:tabs>
              <w:rPr>
                <w:rFonts w:ascii="Tahoma" w:hAnsi="Tahoma" w:cs="Tahoma"/>
                <w:b/>
                <w:color w:val="000000"/>
                <w:sz w:val="18"/>
                <w:szCs w:val="18"/>
              </w:rPr>
            </w:pPr>
            <w:r w:rsidRPr="002A744A">
              <w:rPr>
                <w:rFonts w:ascii="Tahoma" w:hAnsi="Tahoma" w:cs="Tahoma"/>
                <w:b/>
                <w:color w:val="000000"/>
                <w:sz w:val="18"/>
                <w:szCs w:val="18"/>
              </w:rPr>
              <w:t>Подсудность споров по искам Кредитора к заемщику</w:t>
            </w:r>
          </w:p>
        </w:tc>
        <w:tc>
          <w:tcPr>
            <w:tcW w:w="10489" w:type="dxa"/>
            <w:gridSpan w:val="3"/>
            <w:tcBorders>
              <w:top w:val="single" w:sz="4" w:space="0" w:color="auto"/>
              <w:left w:val="nil"/>
              <w:bottom w:val="single" w:sz="4" w:space="0" w:color="auto"/>
              <w:right w:val="single" w:sz="8" w:space="0" w:color="000000"/>
            </w:tcBorders>
            <w:noWrap/>
            <w:vAlign w:val="center"/>
          </w:tcPr>
          <w:p w14:paraId="3FB22664" w14:textId="77777777" w:rsidR="00382481" w:rsidRPr="002A744A" w:rsidRDefault="00382481" w:rsidP="00034511">
            <w:pPr>
              <w:widowControl w:val="0"/>
              <w:tabs>
                <w:tab w:val="left" w:pos="426"/>
                <w:tab w:val="left" w:pos="851"/>
              </w:tabs>
              <w:jc w:val="both"/>
              <w:rPr>
                <w:rFonts w:ascii="Tahoma" w:hAnsi="Tahoma" w:cs="Tahoma"/>
                <w:color w:val="000000"/>
                <w:sz w:val="18"/>
                <w:szCs w:val="18"/>
              </w:rPr>
            </w:pPr>
            <w:r w:rsidRPr="002A744A">
              <w:rPr>
                <w:rFonts w:ascii="Tahoma" w:hAnsi="Tahoma" w:cs="Tahoma"/>
                <w:color w:val="000000"/>
                <w:sz w:val="18"/>
                <w:szCs w:val="18"/>
              </w:rPr>
              <w:t>Все споры по Договору по искам Банка к Заемщику рассматриваются в порядке, установленном законодательством РФ.</w:t>
            </w:r>
          </w:p>
          <w:p w14:paraId="30779901" w14:textId="77777777" w:rsidR="00382481" w:rsidRPr="002A744A" w:rsidRDefault="00382481" w:rsidP="00034511">
            <w:pPr>
              <w:widowControl w:val="0"/>
              <w:tabs>
                <w:tab w:val="left" w:pos="426"/>
                <w:tab w:val="left" w:pos="851"/>
              </w:tabs>
              <w:jc w:val="both"/>
              <w:rPr>
                <w:rFonts w:ascii="Tahoma" w:hAnsi="Tahoma" w:cs="Tahoma"/>
                <w:color w:val="000000"/>
                <w:sz w:val="18"/>
                <w:szCs w:val="18"/>
              </w:rPr>
            </w:pPr>
            <w:r w:rsidRPr="002A744A">
              <w:rPr>
                <w:rFonts w:ascii="Tahoma" w:hAnsi="Tahoma" w:cs="Tahoma"/>
                <w:color w:val="000000"/>
                <w:sz w:val="18"/>
                <w:szCs w:val="18"/>
              </w:rPr>
              <w:t>Взыскание задолженности по Договору может производиться по исполнительной надписи нотариуса, совершаемой на основании заявления Банка.</w:t>
            </w:r>
          </w:p>
        </w:tc>
      </w:tr>
      <w:tr w:rsidR="00382481" w:rsidRPr="002A744A" w14:paraId="342FA3A2" w14:textId="77777777" w:rsidTr="00034511">
        <w:tblPrEx>
          <w:tblLook w:val="00A0" w:firstRow="1" w:lastRow="0" w:firstColumn="1" w:lastColumn="0" w:noHBand="0" w:noVBand="0"/>
        </w:tblPrEx>
        <w:trPr>
          <w:trHeight w:val="160"/>
        </w:trPr>
        <w:tc>
          <w:tcPr>
            <w:tcW w:w="4679" w:type="dxa"/>
            <w:tcBorders>
              <w:top w:val="single" w:sz="4" w:space="0" w:color="auto"/>
              <w:left w:val="single" w:sz="8" w:space="0" w:color="auto"/>
              <w:bottom w:val="single" w:sz="4" w:space="0" w:color="auto"/>
              <w:right w:val="single" w:sz="4" w:space="0" w:color="auto"/>
            </w:tcBorders>
            <w:vAlign w:val="center"/>
          </w:tcPr>
          <w:p w14:paraId="5C118FED" w14:textId="77777777" w:rsidR="00382481" w:rsidRPr="002A744A" w:rsidRDefault="00382481" w:rsidP="00034511">
            <w:pPr>
              <w:widowControl w:val="0"/>
              <w:tabs>
                <w:tab w:val="left" w:pos="426"/>
                <w:tab w:val="left" w:pos="851"/>
              </w:tabs>
              <w:rPr>
                <w:rFonts w:ascii="Tahoma" w:hAnsi="Tahoma" w:cs="Tahoma"/>
                <w:b/>
                <w:color w:val="000000"/>
                <w:sz w:val="18"/>
                <w:szCs w:val="18"/>
              </w:rPr>
            </w:pPr>
            <w:r w:rsidRPr="002A744A">
              <w:rPr>
                <w:rFonts w:ascii="Tahoma" w:hAnsi="Tahoma" w:cs="Tahoma"/>
                <w:b/>
                <w:color w:val="000000"/>
                <w:sz w:val="18"/>
                <w:szCs w:val="18"/>
              </w:rPr>
              <w:t xml:space="preserve">Виды и суммы иных платежей Заемщика по Договору </w:t>
            </w:r>
          </w:p>
        </w:tc>
        <w:tc>
          <w:tcPr>
            <w:tcW w:w="10489" w:type="dxa"/>
            <w:gridSpan w:val="3"/>
            <w:tcBorders>
              <w:top w:val="single" w:sz="4" w:space="0" w:color="auto"/>
              <w:left w:val="nil"/>
              <w:bottom w:val="single" w:sz="4" w:space="0" w:color="auto"/>
              <w:right w:val="single" w:sz="8" w:space="0" w:color="000000"/>
            </w:tcBorders>
            <w:noWrap/>
            <w:vAlign w:val="center"/>
          </w:tcPr>
          <w:p w14:paraId="28CB5A3B" w14:textId="77777777" w:rsidR="00382481" w:rsidRPr="002A744A" w:rsidRDefault="00382481" w:rsidP="00034511">
            <w:pPr>
              <w:widowControl w:val="0"/>
              <w:tabs>
                <w:tab w:val="left" w:pos="426"/>
                <w:tab w:val="left" w:pos="851"/>
              </w:tabs>
              <w:jc w:val="both"/>
            </w:pPr>
            <w:r w:rsidRPr="002A744A">
              <w:rPr>
                <w:rFonts w:ascii="Tahoma" w:hAnsi="Tahoma" w:cs="Tahoma"/>
                <w:sz w:val="18"/>
                <w:szCs w:val="18"/>
              </w:rPr>
              <w:t>Иные обязательные платежи по Договору отсутствуют</w:t>
            </w:r>
            <w:r w:rsidRPr="002A744A">
              <w:t xml:space="preserve">. </w:t>
            </w:r>
          </w:p>
          <w:p w14:paraId="1C5148D3" w14:textId="77777777" w:rsidR="00382481" w:rsidRPr="002A744A" w:rsidRDefault="00382481" w:rsidP="00034511">
            <w:pPr>
              <w:widowControl w:val="0"/>
              <w:tabs>
                <w:tab w:val="left" w:pos="426"/>
                <w:tab w:val="left" w:pos="851"/>
              </w:tabs>
              <w:jc w:val="both"/>
              <w:rPr>
                <w:rFonts w:ascii="Tahoma" w:hAnsi="Tahoma" w:cs="Tahoma"/>
                <w:sz w:val="18"/>
                <w:szCs w:val="18"/>
              </w:rPr>
            </w:pPr>
          </w:p>
          <w:p w14:paraId="756393C0" w14:textId="77777777" w:rsidR="00382481" w:rsidRPr="002A744A" w:rsidRDefault="00382481" w:rsidP="00034511">
            <w:pPr>
              <w:widowControl w:val="0"/>
              <w:tabs>
                <w:tab w:val="left" w:pos="426"/>
                <w:tab w:val="left" w:pos="851"/>
              </w:tabs>
              <w:jc w:val="both"/>
              <w:rPr>
                <w:rFonts w:ascii="Tahoma" w:hAnsi="Tahoma" w:cs="Tahoma"/>
                <w:sz w:val="18"/>
                <w:szCs w:val="18"/>
              </w:rPr>
            </w:pPr>
            <w:r w:rsidRPr="002A744A">
              <w:rPr>
                <w:rFonts w:ascii="Tahoma" w:hAnsi="Tahoma" w:cs="Tahoma"/>
                <w:sz w:val="18"/>
                <w:szCs w:val="18"/>
              </w:rPr>
              <w:t xml:space="preserve">При наличии соответствующего волеизъявления Заемщика ему могут быть оказаны Банком услуги, не являющиеся обязательными для заключения или исполнения Договора, плата за которые предусмотрена Тарифами Банка </w:t>
            </w:r>
          </w:p>
          <w:p w14:paraId="0828296F" w14:textId="77777777" w:rsidR="00382481" w:rsidRPr="002A744A" w:rsidRDefault="00382481" w:rsidP="00034511">
            <w:pPr>
              <w:widowControl w:val="0"/>
              <w:tabs>
                <w:tab w:val="left" w:pos="426"/>
                <w:tab w:val="left" w:pos="851"/>
              </w:tabs>
              <w:jc w:val="both"/>
              <w:rPr>
                <w:rFonts w:ascii="Tahoma" w:hAnsi="Tahoma" w:cs="Tahoma"/>
                <w:sz w:val="18"/>
                <w:szCs w:val="18"/>
              </w:rPr>
            </w:pPr>
            <w:r w:rsidRPr="002A744A">
              <w:rPr>
                <w:rFonts w:ascii="Tahoma" w:hAnsi="Tahoma" w:cs="Tahoma"/>
                <w:sz w:val="18"/>
                <w:szCs w:val="18"/>
              </w:rPr>
              <w:t>(</w:t>
            </w:r>
            <w:hyperlink r:id="rId28" w:history="1">
              <w:r w:rsidRPr="002A744A">
                <w:rPr>
                  <w:rStyle w:val="aff"/>
                  <w:rFonts w:ascii="Tahoma" w:hAnsi="Tahoma" w:cs="Tahoma"/>
                  <w:sz w:val="18"/>
                  <w:szCs w:val="18"/>
                </w:rPr>
                <w:t>https://www.atb.su/general-information/tariff-book/</w:t>
              </w:r>
            </w:hyperlink>
            <w:r w:rsidRPr="002A744A">
              <w:rPr>
                <w:rFonts w:ascii="Tahoma" w:hAnsi="Tahoma" w:cs="Tahoma"/>
                <w:sz w:val="18"/>
                <w:szCs w:val="18"/>
              </w:rPr>
              <w:t xml:space="preserve"> ). Оказание услуги Банком производится в случае выражения Заемщиком волеизъявления на пользование определенной услугой. Оплата услуг должна быть произведена до момента оказания Банком услуг.</w:t>
            </w:r>
          </w:p>
          <w:p w14:paraId="07CA4465" w14:textId="77777777" w:rsidR="00382481" w:rsidRPr="002A744A" w:rsidRDefault="00382481" w:rsidP="00034511">
            <w:pPr>
              <w:widowControl w:val="0"/>
              <w:tabs>
                <w:tab w:val="left" w:pos="426"/>
                <w:tab w:val="left" w:pos="851"/>
              </w:tabs>
              <w:jc w:val="both"/>
              <w:rPr>
                <w:rFonts w:ascii="Tahoma" w:hAnsi="Tahoma" w:cs="Tahoma"/>
                <w:sz w:val="18"/>
                <w:szCs w:val="18"/>
              </w:rPr>
            </w:pPr>
          </w:p>
          <w:p w14:paraId="75AE8B96" w14:textId="77777777" w:rsidR="00382481" w:rsidRPr="002A744A" w:rsidRDefault="00382481" w:rsidP="00034511">
            <w:pPr>
              <w:widowControl w:val="0"/>
              <w:tabs>
                <w:tab w:val="left" w:pos="426"/>
                <w:tab w:val="left" w:pos="851"/>
              </w:tabs>
              <w:jc w:val="both"/>
              <w:rPr>
                <w:rFonts w:ascii="Tahoma" w:hAnsi="Tahoma" w:cs="Tahoma"/>
                <w:sz w:val="18"/>
                <w:szCs w:val="18"/>
              </w:rPr>
            </w:pPr>
            <w:r w:rsidRPr="002A744A">
              <w:rPr>
                <w:rFonts w:ascii="Tahoma" w:hAnsi="Tahoma" w:cs="Tahoma"/>
                <w:sz w:val="18"/>
                <w:szCs w:val="18"/>
              </w:rPr>
              <w:t>Платеж за выдачу дубликата или восстановление утерянного Договора, договоров обеспечения в размере 10 000 рублей за один Договор.</w:t>
            </w:r>
          </w:p>
          <w:p w14:paraId="442E02D6" w14:textId="77777777" w:rsidR="00382481" w:rsidRPr="002A744A" w:rsidRDefault="00382481" w:rsidP="00034511">
            <w:pPr>
              <w:widowControl w:val="0"/>
              <w:tabs>
                <w:tab w:val="left" w:pos="426"/>
                <w:tab w:val="left" w:pos="851"/>
              </w:tabs>
              <w:jc w:val="both"/>
              <w:rPr>
                <w:rFonts w:ascii="Tahoma" w:hAnsi="Tahoma" w:cs="Tahoma"/>
                <w:sz w:val="18"/>
                <w:szCs w:val="18"/>
              </w:rPr>
            </w:pPr>
          </w:p>
        </w:tc>
      </w:tr>
      <w:tr w:rsidR="00382481" w:rsidRPr="002A744A" w14:paraId="2FA390C0" w14:textId="77777777" w:rsidTr="00034511">
        <w:tblPrEx>
          <w:tblLook w:val="00A0" w:firstRow="1" w:lastRow="0" w:firstColumn="1" w:lastColumn="0" w:noHBand="0" w:noVBand="0"/>
        </w:tblPrEx>
        <w:trPr>
          <w:trHeight w:val="308"/>
        </w:trPr>
        <w:tc>
          <w:tcPr>
            <w:tcW w:w="4679" w:type="dxa"/>
            <w:vMerge w:val="restart"/>
            <w:tcBorders>
              <w:top w:val="single" w:sz="4" w:space="0" w:color="auto"/>
              <w:left w:val="single" w:sz="8" w:space="0" w:color="auto"/>
              <w:right w:val="single" w:sz="4" w:space="0" w:color="auto"/>
            </w:tcBorders>
            <w:vAlign w:val="center"/>
          </w:tcPr>
          <w:p w14:paraId="22A55A2A" w14:textId="77777777" w:rsidR="00382481" w:rsidRPr="002A744A" w:rsidRDefault="00382481" w:rsidP="00034511">
            <w:pPr>
              <w:widowControl w:val="0"/>
              <w:tabs>
                <w:tab w:val="left" w:pos="426"/>
                <w:tab w:val="left" w:pos="851"/>
              </w:tabs>
              <w:rPr>
                <w:rFonts w:ascii="Tahoma" w:hAnsi="Tahoma" w:cs="Tahoma"/>
                <w:b/>
                <w:color w:val="000000"/>
                <w:sz w:val="18"/>
                <w:szCs w:val="18"/>
              </w:rPr>
            </w:pPr>
            <w:r w:rsidRPr="002A744A">
              <w:rPr>
                <w:rFonts w:ascii="Tahoma" w:hAnsi="Tahoma" w:cs="Tahoma"/>
                <w:b/>
                <w:bCs/>
                <w:sz w:val="18"/>
                <w:szCs w:val="18"/>
              </w:rPr>
              <w:t>Перевод денежных средств с ТБС, используемого для выдачи Кредита, в другую кредитную организацию:</w:t>
            </w:r>
          </w:p>
        </w:tc>
        <w:tc>
          <w:tcPr>
            <w:tcW w:w="9010" w:type="dxa"/>
            <w:gridSpan w:val="2"/>
            <w:tcBorders>
              <w:top w:val="single" w:sz="4" w:space="0" w:color="auto"/>
              <w:left w:val="nil"/>
              <w:bottom w:val="single" w:sz="4" w:space="0" w:color="auto"/>
              <w:right w:val="single" w:sz="4" w:space="0" w:color="auto"/>
            </w:tcBorders>
            <w:noWrap/>
            <w:vAlign w:val="center"/>
          </w:tcPr>
          <w:p w14:paraId="3C80CEB5" w14:textId="77777777" w:rsidR="00382481" w:rsidRPr="002A744A" w:rsidRDefault="00382481" w:rsidP="00034511">
            <w:pPr>
              <w:widowControl w:val="0"/>
              <w:rPr>
                <w:rFonts w:ascii="Tahoma" w:hAnsi="Tahoma" w:cs="Tahoma"/>
                <w:sz w:val="18"/>
                <w:szCs w:val="18"/>
              </w:rPr>
            </w:pPr>
            <w:r w:rsidRPr="002A744A">
              <w:rPr>
                <w:rFonts w:ascii="Tahoma" w:hAnsi="Tahoma" w:cs="Tahoma"/>
                <w:bCs/>
                <w:sz w:val="18"/>
                <w:szCs w:val="18"/>
              </w:rPr>
              <w:t>в пользу юридического лица в рамках целевого кредитования;</w:t>
            </w:r>
          </w:p>
        </w:tc>
        <w:tc>
          <w:tcPr>
            <w:tcW w:w="1479" w:type="dxa"/>
            <w:vMerge w:val="restart"/>
            <w:tcBorders>
              <w:top w:val="single" w:sz="4" w:space="0" w:color="auto"/>
              <w:left w:val="single" w:sz="4" w:space="0" w:color="auto"/>
              <w:right w:val="single" w:sz="4" w:space="0" w:color="auto"/>
            </w:tcBorders>
            <w:vAlign w:val="center"/>
          </w:tcPr>
          <w:p w14:paraId="3486BA3D" w14:textId="77777777" w:rsidR="00382481" w:rsidRPr="002A744A" w:rsidRDefault="00382481" w:rsidP="00034511">
            <w:pPr>
              <w:widowControl w:val="0"/>
              <w:tabs>
                <w:tab w:val="left" w:pos="426"/>
                <w:tab w:val="left" w:pos="851"/>
              </w:tabs>
              <w:rPr>
                <w:rFonts w:ascii="Tahoma" w:hAnsi="Tahoma" w:cs="Tahoma"/>
                <w:sz w:val="18"/>
                <w:szCs w:val="18"/>
              </w:rPr>
            </w:pPr>
            <w:r w:rsidRPr="002A744A">
              <w:rPr>
                <w:rFonts w:ascii="Tahoma" w:hAnsi="Tahoma" w:cs="Tahoma"/>
                <w:sz w:val="18"/>
                <w:szCs w:val="18"/>
              </w:rPr>
              <w:t>Не применимо</w:t>
            </w:r>
          </w:p>
        </w:tc>
      </w:tr>
      <w:tr w:rsidR="00382481" w:rsidRPr="002A744A" w14:paraId="16154864" w14:textId="77777777" w:rsidTr="00034511">
        <w:tblPrEx>
          <w:tblLook w:val="00A0" w:firstRow="1" w:lastRow="0" w:firstColumn="1" w:lastColumn="0" w:noHBand="0" w:noVBand="0"/>
        </w:tblPrEx>
        <w:trPr>
          <w:trHeight w:val="272"/>
        </w:trPr>
        <w:tc>
          <w:tcPr>
            <w:tcW w:w="4679" w:type="dxa"/>
            <w:vMerge/>
            <w:tcBorders>
              <w:left w:val="single" w:sz="8" w:space="0" w:color="auto"/>
              <w:right w:val="single" w:sz="4" w:space="0" w:color="auto"/>
            </w:tcBorders>
            <w:vAlign w:val="center"/>
          </w:tcPr>
          <w:p w14:paraId="30F4E061" w14:textId="77777777" w:rsidR="00382481" w:rsidRPr="002A744A" w:rsidRDefault="00382481" w:rsidP="00034511">
            <w:pPr>
              <w:widowControl w:val="0"/>
              <w:tabs>
                <w:tab w:val="left" w:pos="426"/>
                <w:tab w:val="left" w:pos="851"/>
              </w:tabs>
              <w:rPr>
                <w:rFonts w:ascii="Tahoma" w:hAnsi="Tahoma" w:cs="Tahoma"/>
                <w:b/>
                <w:color w:val="000000"/>
                <w:sz w:val="18"/>
                <w:szCs w:val="18"/>
              </w:rPr>
            </w:pPr>
          </w:p>
        </w:tc>
        <w:tc>
          <w:tcPr>
            <w:tcW w:w="9010" w:type="dxa"/>
            <w:gridSpan w:val="2"/>
            <w:tcBorders>
              <w:top w:val="single" w:sz="4" w:space="0" w:color="auto"/>
              <w:left w:val="nil"/>
              <w:bottom w:val="single" w:sz="4" w:space="0" w:color="auto"/>
              <w:right w:val="single" w:sz="4" w:space="0" w:color="auto"/>
            </w:tcBorders>
            <w:noWrap/>
            <w:vAlign w:val="center"/>
          </w:tcPr>
          <w:p w14:paraId="3D50BFC8" w14:textId="77777777" w:rsidR="00382481" w:rsidRPr="002A744A" w:rsidRDefault="00382481" w:rsidP="00034511">
            <w:pPr>
              <w:widowControl w:val="0"/>
              <w:rPr>
                <w:rFonts w:ascii="Tahoma" w:hAnsi="Tahoma" w:cs="Tahoma"/>
                <w:sz w:val="18"/>
                <w:szCs w:val="18"/>
              </w:rPr>
            </w:pPr>
            <w:r w:rsidRPr="002A744A">
              <w:rPr>
                <w:rFonts w:ascii="Tahoma" w:hAnsi="Tahoma" w:cs="Tahoma"/>
                <w:bCs/>
                <w:sz w:val="18"/>
                <w:szCs w:val="18"/>
              </w:rPr>
              <w:t>в пользу физического лица для получения суммы Кредита в населенных пунктах, где отсутствуют подразделения Банка.</w:t>
            </w:r>
          </w:p>
        </w:tc>
        <w:tc>
          <w:tcPr>
            <w:tcW w:w="1479" w:type="dxa"/>
            <w:vMerge/>
            <w:tcBorders>
              <w:left w:val="single" w:sz="4" w:space="0" w:color="auto"/>
              <w:bottom w:val="single" w:sz="4" w:space="0" w:color="auto"/>
              <w:right w:val="single" w:sz="4" w:space="0" w:color="auto"/>
            </w:tcBorders>
            <w:vAlign w:val="center"/>
          </w:tcPr>
          <w:p w14:paraId="5DDA2DA0" w14:textId="77777777" w:rsidR="00382481" w:rsidRPr="002A744A" w:rsidRDefault="00382481" w:rsidP="00034511">
            <w:pPr>
              <w:widowControl w:val="0"/>
              <w:tabs>
                <w:tab w:val="left" w:pos="426"/>
                <w:tab w:val="left" w:pos="851"/>
              </w:tabs>
              <w:rPr>
                <w:rFonts w:ascii="Tahoma" w:hAnsi="Tahoma" w:cs="Tahoma"/>
                <w:sz w:val="18"/>
                <w:szCs w:val="18"/>
              </w:rPr>
            </w:pPr>
          </w:p>
        </w:tc>
      </w:tr>
      <w:tr w:rsidR="00382481" w:rsidRPr="002A744A" w14:paraId="2A67BEA3" w14:textId="77777777" w:rsidTr="00034511">
        <w:tblPrEx>
          <w:tblLook w:val="00A0" w:firstRow="1" w:lastRow="0" w:firstColumn="1" w:lastColumn="0" w:noHBand="0" w:noVBand="0"/>
        </w:tblPrEx>
        <w:trPr>
          <w:trHeight w:val="265"/>
        </w:trPr>
        <w:tc>
          <w:tcPr>
            <w:tcW w:w="4679" w:type="dxa"/>
            <w:vMerge/>
            <w:tcBorders>
              <w:left w:val="single" w:sz="8" w:space="0" w:color="auto"/>
              <w:bottom w:val="single" w:sz="4" w:space="0" w:color="auto"/>
              <w:right w:val="single" w:sz="4" w:space="0" w:color="auto"/>
            </w:tcBorders>
            <w:vAlign w:val="center"/>
          </w:tcPr>
          <w:p w14:paraId="4986E212" w14:textId="77777777" w:rsidR="00382481" w:rsidRPr="002A744A" w:rsidRDefault="00382481" w:rsidP="00034511">
            <w:pPr>
              <w:widowControl w:val="0"/>
              <w:tabs>
                <w:tab w:val="left" w:pos="426"/>
                <w:tab w:val="left" w:pos="851"/>
              </w:tabs>
              <w:rPr>
                <w:rFonts w:ascii="Tahoma" w:hAnsi="Tahoma" w:cs="Tahoma"/>
                <w:b/>
                <w:color w:val="000000"/>
                <w:sz w:val="18"/>
                <w:szCs w:val="18"/>
              </w:rPr>
            </w:pPr>
          </w:p>
        </w:tc>
        <w:tc>
          <w:tcPr>
            <w:tcW w:w="10489" w:type="dxa"/>
            <w:gridSpan w:val="3"/>
            <w:tcBorders>
              <w:top w:val="single" w:sz="4" w:space="0" w:color="auto"/>
              <w:left w:val="nil"/>
              <w:bottom w:val="single" w:sz="4" w:space="0" w:color="auto"/>
              <w:right w:val="single" w:sz="4" w:space="0" w:color="auto"/>
            </w:tcBorders>
            <w:noWrap/>
            <w:vAlign w:val="center"/>
          </w:tcPr>
          <w:p w14:paraId="569B99CA" w14:textId="77777777" w:rsidR="00382481" w:rsidRPr="002A744A" w:rsidRDefault="00382481" w:rsidP="00034511">
            <w:pPr>
              <w:widowControl w:val="0"/>
              <w:tabs>
                <w:tab w:val="left" w:pos="426"/>
                <w:tab w:val="left" w:pos="851"/>
              </w:tabs>
              <w:rPr>
                <w:rFonts w:ascii="Tahoma" w:hAnsi="Tahoma" w:cs="Tahoma"/>
                <w:sz w:val="18"/>
                <w:szCs w:val="18"/>
              </w:rPr>
            </w:pPr>
            <w:r w:rsidRPr="002A744A">
              <w:rPr>
                <w:rFonts w:ascii="Tahoma" w:hAnsi="Tahoma" w:cs="Tahoma"/>
                <w:bCs/>
                <w:sz w:val="18"/>
                <w:szCs w:val="18"/>
              </w:rPr>
              <w:t>в остальных случаях плата за перевод денежных средств взимается по Тарифам, действующим в Банке на момент совершения операций.</w:t>
            </w:r>
          </w:p>
        </w:tc>
      </w:tr>
      <w:tr w:rsidR="00382481" w:rsidRPr="002A744A" w14:paraId="306AD4E6" w14:textId="77777777" w:rsidTr="000345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trHeight w:val="101"/>
        </w:trPr>
        <w:tc>
          <w:tcPr>
            <w:tcW w:w="4679" w:type="dxa"/>
            <w:tcBorders>
              <w:top w:val="single" w:sz="4" w:space="0" w:color="auto"/>
              <w:left w:val="single" w:sz="8" w:space="0" w:color="auto"/>
              <w:bottom w:val="single" w:sz="4" w:space="0" w:color="auto"/>
              <w:right w:val="single" w:sz="4" w:space="0" w:color="000000"/>
            </w:tcBorders>
            <w:vAlign w:val="center"/>
          </w:tcPr>
          <w:p w14:paraId="69094E67" w14:textId="77777777" w:rsidR="00382481" w:rsidRPr="002A744A" w:rsidRDefault="00382481" w:rsidP="00034511">
            <w:pPr>
              <w:widowControl w:val="0"/>
              <w:tabs>
                <w:tab w:val="left" w:pos="426"/>
                <w:tab w:val="left" w:pos="851"/>
              </w:tabs>
              <w:jc w:val="both"/>
              <w:rPr>
                <w:rFonts w:ascii="Tahoma" w:hAnsi="Tahoma" w:cs="Tahoma"/>
                <w:b/>
                <w:color w:val="000000"/>
                <w:sz w:val="18"/>
                <w:szCs w:val="18"/>
              </w:rPr>
            </w:pPr>
            <w:r w:rsidRPr="002A744A">
              <w:rPr>
                <w:rFonts w:ascii="Tahoma" w:hAnsi="Tahoma" w:cs="Tahoma"/>
                <w:b/>
                <w:sz w:val="18"/>
                <w:szCs w:val="18"/>
              </w:rPr>
              <w:t xml:space="preserve">Порядок определения курса иностранной </w:t>
            </w:r>
            <w:r w:rsidRPr="002A744A">
              <w:rPr>
                <w:rFonts w:ascii="Tahoma" w:hAnsi="Tahoma" w:cs="Tahoma"/>
                <w:b/>
                <w:sz w:val="18"/>
                <w:szCs w:val="18"/>
              </w:rPr>
              <w:lastRenderedPageBreak/>
              <w:t>валюты при переводе денежных средств Банком третьему лицу, указанному Заемщиком</w:t>
            </w:r>
          </w:p>
        </w:tc>
        <w:tc>
          <w:tcPr>
            <w:tcW w:w="10489" w:type="dxa"/>
            <w:gridSpan w:val="3"/>
            <w:tcBorders>
              <w:top w:val="single" w:sz="4" w:space="0" w:color="auto"/>
              <w:left w:val="nil"/>
              <w:bottom w:val="single" w:sz="4" w:space="0" w:color="auto"/>
              <w:right w:val="single" w:sz="8" w:space="0" w:color="000000"/>
            </w:tcBorders>
            <w:vAlign w:val="center"/>
          </w:tcPr>
          <w:p w14:paraId="2511A16F" w14:textId="77777777" w:rsidR="00382481" w:rsidRPr="002A744A" w:rsidRDefault="00382481" w:rsidP="00034511">
            <w:pPr>
              <w:widowControl w:val="0"/>
              <w:tabs>
                <w:tab w:val="left" w:pos="426"/>
                <w:tab w:val="left" w:pos="851"/>
              </w:tabs>
              <w:rPr>
                <w:rFonts w:ascii="Tahoma" w:hAnsi="Tahoma" w:cs="Tahoma"/>
                <w:color w:val="000000"/>
                <w:sz w:val="18"/>
                <w:szCs w:val="18"/>
              </w:rPr>
            </w:pPr>
            <w:r w:rsidRPr="002A744A">
              <w:rPr>
                <w:rFonts w:ascii="Tahoma" w:hAnsi="Tahoma" w:cs="Tahoma"/>
                <w:color w:val="000000"/>
                <w:sz w:val="18"/>
                <w:szCs w:val="18"/>
              </w:rPr>
              <w:lastRenderedPageBreak/>
              <w:t>Не применимо</w:t>
            </w:r>
          </w:p>
        </w:tc>
      </w:tr>
      <w:tr w:rsidR="00382481" w:rsidRPr="002A744A" w14:paraId="74434747" w14:textId="77777777" w:rsidTr="000345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trHeight w:val="101"/>
        </w:trPr>
        <w:tc>
          <w:tcPr>
            <w:tcW w:w="4679" w:type="dxa"/>
            <w:tcBorders>
              <w:top w:val="single" w:sz="4" w:space="0" w:color="auto"/>
              <w:left w:val="single" w:sz="8" w:space="0" w:color="auto"/>
              <w:bottom w:val="single" w:sz="4" w:space="0" w:color="auto"/>
              <w:right w:val="single" w:sz="4" w:space="0" w:color="000000"/>
            </w:tcBorders>
            <w:vAlign w:val="center"/>
          </w:tcPr>
          <w:p w14:paraId="0D765087" w14:textId="77777777" w:rsidR="00382481" w:rsidRPr="002A744A" w:rsidRDefault="00382481" w:rsidP="00034511">
            <w:pPr>
              <w:widowControl w:val="0"/>
              <w:tabs>
                <w:tab w:val="left" w:pos="426"/>
                <w:tab w:val="left" w:pos="851"/>
              </w:tabs>
              <w:rPr>
                <w:rFonts w:ascii="Tahoma" w:hAnsi="Tahoma" w:cs="Tahoma"/>
                <w:b/>
                <w:color w:val="000000"/>
                <w:sz w:val="18"/>
                <w:szCs w:val="18"/>
              </w:rPr>
            </w:pPr>
            <w:r w:rsidRPr="002A744A">
              <w:rPr>
                <w:rFonts w:ascii="Tahoma" w:hAnsi="Tahoma" w:cs="Tahoma"/>
                <w:b/>
                <w:color w:val="000000"/>
                <w:sz w:val="18"/>
                <w:szCs w:val="18"/>
              </w:rPr>
              <w:t>Указание на изменение суммы расходов заемщика при увеличении используемой в договоре переменной процентной ставки потребительского кредита на один процентный пункт начиная со второго очередного платежа на ближайшую дату после предполагаемой даты заключения договора</w:t>
            </w:r>
          </w:p>
        </w:tc>
        <w:tc>
          <w:tcPr>
            <w:tcW w:w="10489" w:type="dxa"/>
            <w:gridSpan w:val="3"/>
            <w:tcBorders>
              <w:top w:val="single" w:sz="4" w:space="0" w:color="auto"/>
              <w:left w:val="nil"/>
              <w:bottom w:val="single" w:sz="4" w:space="0" w:color="auto"/>
              <w:right w:val="single" w:sz="8" w:space="0" w:color="000000"/>
            </w:tcBorders>
            <w:vAlign w:val="center"/>
          </w:tcPr>
          <w:p w14:paraId="0EFBFDC6" w14:textId="77777777" w:rsidR="00382481" w:rsidRPr="002A744A" w:rsidRDefault="00382481" w:rsidP="00034511">
            <w:pPr>
              <w:widowControl w:val="0"/>
              <w:tabs>
                <w:tab w:val="left" w:pos="426"/>
                <w:tab w:val="left" w:pos="851"/>
              </w:tabs>
              <w:rPr>
                <w:rFonts w:ascii="Tahoma" w:hAnsi="Tahoma" w:cs="Tahoma"/>
                <w:color w:val="000000"/>
                <w:sz w:val="18"/>
                <w:szCs w:val="18"/>
              </w:rPr>
            </w:pPr>
            <w:r w:rsidRPr="002A744A">
              <w:rPr>
                <w:rFonts w:ascii="Tahoma" w:hAnsi="Tahoma" w:cs="Tahoma"/>
                <w:color w:val="000000"/>
                <w:sz w:val="18"/>
                <w:szCs w:val="18"/>
              </w:rPr>
              <w:t>Не применимо</w:t>
            </w:r>
          </w:p>
        </w:tc>
      </w:tr>
      <w:tr w:rsidR="00382481" w:rsidRPr="002A744A" w14:paraId="08511277" w14:textId="77777777" w:rsidTr="000345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trHeight w:val="101"/>
        </w:trPr>
        <w:tc>
          <w:tcPr>
            <w:tcW w:w="4679" w:type="dxa"/>
            <w:tcBorders>
              <w:top w:val="single" w:sz="4" w:space="0" w:color="auto"/>
              <w:left w:val="single" w:sz="8" w:space="0" w:color="auto"/>
              <w:bottom w:val="single" w:sz="4" w:space="0" w:color="auto"/>
              <w:right w:val="single" w:sz="4" w:space="0" w:color="000000"/>
            </w:tcBorders>
            <w:vAlign w:val="center"/>
          </w:tcPr>
          <w:p w14:paraId="54127164" w14:textId="77777777" w:rsidR="00382481" w:rsidRPr="002A744A" w:rsidRDefault="00382481" w:rsidP="00034511">
            <w:pPr>
              <w:widowControl w:val="0"/>
              <w:tabs>
                <w:tab w:val="left" w:pos="426"/>
                <w:tab w:val="left" w:pos="851"/>
              </w:tabs>
              <w:rPr>
                <w:rFonts w:ascii="Tahoma" w:hAnsi="Tahoma" w:cs="Tahoma"/>
                <w:b/>
                <w:color w:val="000000"/>
                <w:sz w:val="18"/>
                <w:szCs w:val="18"/>
              </w:rPr>
            </w:pPr>
            <w:r w:rsidRPr="002A744A">
              <w:rPr>
                <w:rFonts w:ascii="Tahoma" w:hAnsi="Tahoma" w:cs="Tahoma"/>
                <w:b/>
                <w:color w:val="000000"/>
                <w:sz w:val="18"/>
                <w:szCs w:val="18"/>
              </w:rPr>
              <w:t xml:space="preserve">Формуляры или иные стандартные формы, в которых определены общие условия Договора «Потребительский Кредит» </w:t>
            </w:r>
          </w:p>
        </w:tc>
        <w:tc>
          <w:tcPr>
            <w:tcW w:w="10489" w:type="dxa"/>
            <w:gridSpan w:val="3"/>
            <w:tcBorders>
              <w:top w:val="single" w:sz="4" w:space="0" w:color="auto"/>
              <w:left w:val="nil"/>
              <w:bottom w:val="single" w:sz="4" w:space="0" w:color="auto"/>
              <w:right w:val="single" w:sz="8" w:space="0" w:color="000000"/>
            </w:tcBorders>
            <w:vAlign w:val="center"/>
          </w:tcPr>
          <w:p w14:paraId="6294FA3E" w14:textId="77777777" w:rsidR="00382481" w:rsidRPr="002A744A" w:rsidRDefault="00382481" w:rsidP="00034511">
            <w:pPr>
              <w:widowControl w:val="0"/>
              <w:tabs>
                <w:tab w:val="left" w:pos="426"/>
                <w:tab w:val="left" w:pos="851"/>
              </w:tabs>
              <w:rPr>
                <w:rFonts w:ascii="Tahoma" w:hAnsi="Tahoma" w:cs="Tahoma"/>
                <w:sz w:val="18"/>
                <w:szCs w:val="18"/>
              </w:rPr>
            </w:pPr>
            <w:r w:rsidRPr="002A744A">
              <w:rPr>
                <w:rFonts w:ascii="Tahoma" w:hAnsi="Tahoma" w:cs="Tahoma"/>
                <w:sz w:val="18"/>
                <w:szCs w:val="18"/>
              </w:rPr>
              <w:t>Общие условия Договора «Потребительский кредит»  закреплены в «Общих условиях потребительского кредитования в «Азиатско-Тихоокеанский Банк» (АО), являющихся Приложением 3 к Универсальному договору банковского обслуживания в «Азиатско-Тихоокеанский Банк» (АО), размещённых в местах приема заявлений на предоставление потребительского Кредита (в отделениях Банка и иных местах приема заявлений на предоставление потребительского Кредита), на сайте Банка в сети Интернет по адресу www.atb.su и могут быть предоставлены Заемщику по его требованию на бумажном носителе.</w:t>
            </w:r>
          </w:p>
        </w:tc>
      </w:tr>
      <w:tr w:rsidR="00382481" w:rsidRPr="00236F26" w14:paraId="7F74E439" w14:textId="77777777" w:rsidTr="000345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trHeight w:val="70"/>
        </w:trPr>
        <w:tc>
          <w:tcPr>
            <w:tcW w:w="4679" w:type="dxa"/>
            <w:tcBorders>
              <w:top w:val="single" w:sz="4" w:space="0" w:color="auto"/>
              <w:left w:val="single" w:sz="8" w:space="0" w:color="auto"/>
              <w:bottom w:val="single" w:sz="4" w:space="0" w:color="auto"/>
              <w:right w:val="single" w:sz="4" w:space="0" w:color="000000"/>
            </w:tcBorders>
            <w:vAlign w:val="center"/>
          </w:tcPr>
          <w:p w14:paraId="293E0EF6" w14:textId="77777777" w:rsidR="00382481" w:rsidRPr="002A744A" w:rsidRDefault="00382481" w:rsidP="00034511">
            <w:pPr>
              <w:widowControl w:val="0"/>
              <w:tabs>
                <w:tab w:val="left" w:pos="426"/>
                <w:tab w:val="left" w:pos="851"/>
              </w:tabs>
              <w:rPr>
                <w:rFonts w:ascii="Tahoma" w:hAnsi="Tahoma" w:cs="Tahoma"/>
                <w:b/>
                <w:color w:val="000000"/>
                <w:sz w:val="18"/>
                <w:szCs w:val="18"/>
              </w:rPr>
            </w:pPr>
            <w:r w:rsidRPr="002A744A">
              <w:rPr>
                <w:rFonts w:ascii="Tahoma" w:hAnsi="Tahoma" w:cs="Tahoma"/>
                <w:b/>
                <w:color w:val="000000"/>
                <w:sz w:val="18"/>
                <w:szCs w:val="18"/>
              </w:rPr>
              <w:t>Примечания</w:t>
            </w:r>
          </w:p>
        </w:tc>
        <w:tc>
          <w:tcPr>
            <w:tcW w:w="10489" w:type="dxa"/>
            <w:gridSpan w:val="3"/>
            <w:tcBorders>
              <w:top w:val="single" w:sz="4" w:space="0" w:color="auto"/>
              <w:left w:val="nil"/>
              <w:bottom w:val="single" w:sz="4" w:space="0" w:color="auto"/>
              <w:right w:val="single" w:sz="8" w:space="0" w:color="000000"/>
            </w:tcBorders>
            <w:vAlign w:val="center"/>
          </w:tcPr>
          <w:p w14:paraId="4CD0C1E4" w14:textId="77777777" w:rsidR="00382481" w:rsidRPr="002A744A" w:rsidRDefault="00382481" w:rsidP="00034511">
            <w:pPr>
              <w:pStyle w:val="affe"/>
              <w:widowControl w:val="0"/>
              <w:tabs>
                <w:tab w:val="left" w:pos="426"/>
                <w:tab w:val="left" w:pos="851"/>
              </w:tabs>
              <w:ind w:left="0" w:firstLine="37"/>
              <w:jc w:val="both"/>
              <w:rPr>
                <w:rFonts w:ascii="Tahoma" w:hAnsi="Tahoma" w:cs="Tahoma"/>
                <w:sz w:val="18"/>
                <w:szCs w:val="18"/>
              </w:rPr>
            </w:pPr>
            <w:r w:rsidRPr="002A744A">
              <w:rPr>
                <w:rFonts w:ascii="Tahoma" w:hAnsi="Tahoma" w:cs="Tahoma"/>
                <w:sz w:val="18"/>
                <w:szCs w:val="18"/>
                <w:vertAlign w:val="superscript"/>
              </w:rPr>
              <w:t xml:space="preserve">*  </w:t>
            </w:r>
            <w:r w:rsidRPr="002A744A">
              <w:rPr>
                <w:rFonts w:ascii="Tahoma" w:hAnsi="Tahoma" w:cs="Tahoma"/>
                <w:sz w:val="18"/>
                <w:szCs w:val="18"/>
              </w:rPr>
              <w:t xml:space="preserve">Юридическое лицо, которое находится на обслуживании Банка </w:t>
            </w:r>
          </w:p>
          <w:p w14:paraId="7FAB2F73" w14:textId="77777777" w:rsidR="00382481" w:rsidRPr="002A744A" w:rsidRDefault="00382481" w:rsidP="00034511">
            <w:pPr>
              <w:pStyle w:val="affe"/>
              <w:widowControl w:val="0"/>
              <w:tabs>
                <w:tab w:val="left" w:pos="426"/>
                <w:tab w:val="left" w:pos="851"/>
              </w:tabs>
              <w:ind w:left="0" w:firstLine="37"/>
              <w:jc w:val="both"/>
              <w:rPr>
                <w:rFonts w:ascii="Tahoma" w:hAnsi="Tahoma" w:cs="Tahoma"/>
                <w:sz w:val="18"/>
                <w:szCs w:val="18"/>
              </w:rPr>
            </w:pPr>
            <w:r w:rsidRPr="002A744A">
              <w:rPr>
                <w:rFonts w:ascii="Tahoma" w:hAnsi="Tahoma" w:cs="Tahoma"/>
                <w:sz w:val="18"/>
                <w:szCs w:val="18"/>
                <w:vertAlign w:val="superscript"/>
              </w:rPr>
              <w:t xml:space="preserve">** </w:t>
            </w:r>
            <w:r w:rsidRPr="002A744A">
              <w:rPr>
                <w:rFonts w:ascii="Tahoma" w:hAnsi="Tahoma" w:cs="Tahoma"/>
                <w:sz w:val="18"/>
                <w:szCs w:val="18"/>
              </w:rPr>
              <w:t xml:space="preserve">Указывается процентная ставка с условием заключения договора личного страхования.   Личное страхование (от рисков: смерть Заемщика по любой причине, инвалидность </w:t>
            </w:r>
            <w:r w:rsidRPr="002A744A">
              <w:rPr>
                <w:rFonts w:ascii="Tahoma" w:hAnsi="Tahoma" w:cs="Tahoma"/>
                <w:sz w:val="18"/>
                <w:szCs w:val="18"/>
                <w:lang w:val="en-US"/>
              </w:rPr>
              <w:t>I</w:t>
            </w:r>
            <w:r w:rsidRPr="002A744A">
              <w:rPr>
                <w:rFonts w:ascii="Tahoma" w:hAnsi="Tahoma" w:cs="Tahoma"/>
                <w:sz w:val="18"/>
                <w:szCs w:val="18"/>
              </w:rPr>
              <w:t xml:space="preserve"> или </w:t>
            </w:r>
            <w:r w:rsidRPr="002A744A">
              <w:rPr>
                <w:rFonts w:ascii="Tahoma" w:hAnsi="Tahoma" w:cs="Tahoma"/>
                <w:sz w:val="18"/>
                <w:szCs w:val="18"/>
                <w:lang w:val="en-US"/>
              </w:rPr>
              <w:t>II</w:t>
            </w:r>
            <w:r w:rsidRPr="002A744A">
              <w:rPr>
                <w:rFonts w:ascii="Tahoma" w:hAnsi="Tahoma" w:cs="Tahoma"/>
                <w:sz w:val="18"/>
                <w:szCs w:val="18"/>
              </w:rPr>
              <w:t xml:space="preserve"> группы по любой причине, госпитализация в результате несчастного случая) оформляется по желанию Заемщика в любой страховой компании, действующей в соответствии с законодательством РФ, выбранной Заемщиком, и не влияет на решение Банка о выдаче Кредита. </w:t>
            </w:r>
            <w:r w:rsidRPr="002A744A">
              <w:rPr>
                <w:color w:val="1F497D"/>
              </w:rPr>
              <w:t xml:space="preserve"> </w:t>
            </w:r>
            <w:r w:rsidRPr="002A744A">
              <w:rPr>
                <w:rFonts w:ascii="Tahoma" w:hAnsi="Tahoma" w:cs="Tahoma"/>
                <w:sz w:val="18"/>
                <w:szCs w:val="18"/>
              </w:rPr>
              <w:t>В случае оформления Заемщиком потребительского кредита по сниженной ставке при условии оформления договора личного страхования,</w:t>
            </w:r>
            <w:r w:rsidRPr="002A744A">
              <w:rPr>
                <w:color w:val="1F497D"/>
              </w:rPr>
              <w:t xml:space="preserve"> </w:t>
            </w:r>
            <w:r w:rsidRPr="002A744A">
              <w:rPr>
                <w:rFonts w:ascii="Tahoma" w:hAnsi="Tahoma" w:cs="Tahoma"/>
                <w:sz w:val="18"/>
                <w:szCs w:val="18"/>
              </w:rPr>
              <w:t>Заемщик обязан обеспечивать страхование в течение срока действия Договора в любых страховых компаниях, действующих в соответствии с законодательством РФ (при этом, при сроке кредитования свыше 1 года Заемщик не обязан заключать договор страхования сразу на весь срок действия Договора – вправе заключить на меньший срок с продлением договора страхования или заключением каждый раз новых договоров страхования после окончания действия предыдущих).</w:t>
            </w:r>
          </w:p>
          <w:p w14:paraId="654856FF" w14:textId="77777777" w:rsidR="00382481" w:rsidRPr="002A744A" w:rsidRDefault="00382481" w:rsidP="00034511">
            <w:pPr>
              <w:widowControl w:val="0"/>
              <w:tabs>
                <w:tab w:val="left" w:pos="426"/>
                <w:tab w:val="left" w:pos="851"/>
              </w:tabs>
              <w:jc w:val="both"/>
              <w:rPr>
                <w:rFonts w:ascii="Tahoma" w:hAnsi="Tahoma" w:cs="Tahoma"/>
                <w:sz w:val="18"/>
                <w:szCs w:val="18"/>
              </w:rPr>
            </w:pPr>
            <w:r w:rsidRPr="002A744A">
              <w:rPr>
                <w:rFonts w:ascii="Tahoma" w:hAnsi="Tahoma" w:cs="Tahoma"/>
                <w:sz w:val="18"/>
                <w:szCs w:val="18"/>
              </w:rPr>
              <w:t>Выгодоприобретателем по Договору личного страхования должен выступать Банк в размере задолженности Заемщика по Договору, за исключением случаев, когда Банк является страховым агентом при заключении Договора личного страхования.</w:t>
            </w:r>
          </w:p>
          <w:p w14:paraId="233E572B" w14:textId="77777777" w:rsidR="00382481" w:rsidRPr="002A744A" w:rsidRDefault="00382481" w:rsidP="00034511">
            <w:pPr>
              <w:widowControl w:val="0"/>
              <w:tabs>
                <w:tab w:val="left" w:pos="426"/>
                <w:tab w:val="left" w:pos="851"/>
              </w:tabs>
              <w:jc w:val="both"/>
              <w:rPr>
                <w:rFonts w:ascii="Tahoma" w:hAnsi="Tahoma" w:cs="Tahoma"/>
                <w:sz w:val="18"/>
                <w:szCs w:val="18"/>
              </w:rPr>
            </w:pPr>
            <w:r w:rsidRPr="002A744A">
              <w:rPr>
                <w:rFonts w:ascii="Tahoma" w:hAnsi="Tahoma" w:cs="Tahoma"/>
                <w:sz w:val="18"/>
                <w:szCs w:val="18"/>
              </w:rPr>
              <w:t>Заемщик уведомлен, что он вправе выбрать в Банке альтернативный вариант потребительского кредита на сопоставимых (сумма и срок возврата потребительского кредита) условиях потребительского кредита без обязательного заключения договора личного страхования.</w:t>
            </w:r>
          </w:p>
          <w:p w14:paraId="29A2E0FE" w14:textId="77777777" w:rsidR="00382481" w:rsidRPr="002A744A" w:rsidRDefault="00382481" w:rsidP="00034511">
            <w:pPr>
              <w:widowControl w:val="0"/>
              <w:tabs>
                <w:tab w:val="left" w:pos="426"/>
                <w:tab w:val="left" w:pos="851"/>
              </w:tabs>
              <w:jc w:val="both"/>
              <w:rPr>
                <w:rFonts w:ascii="Tahoma" w:hAnsi="Tahoma" w:cs="Tahoma"/>
                <w:sz w:val="18"/>
                <w:szCs w:val="18"/>
              </w:rPr>
            </w:pPr>
            <w:r w:rsidRPr="002A744A">
              <w:rPr>
                <w:rFonts w:ascii="Tahoma" w:hAnsi="Tahoma" w:cs="Tahoma"/>
                <w:sz w:val="18"/>
                <w:szCs w:val="18"/>
              </w:rPr>
              <w:t xml:space="preserve">         В случае, если Заемщик выбирает потребительский кредит с заключением им договора личного страхования, то в случае неисполнения (прекращения/не пролонгации договора страхования) Заемщиком обязанности по личному страхованию свыше тридцати календарных дней процентная ставка по Договору увеличивается на 5 (пять) процентных пунктов, выше процентной ставки, указываемой в п. 4.1. Индивидуальных условий, при этом, если увеличение процентной ставки в таком размере будет выше предусмотренных ч. 11 ст. 7 Федерального закона «О потребительском кредите (займе)» ограничений, то процентная ставка по Договору увеличивается (устанавливается) до уровня процентной ставки, действовавшей на момент заключения Договора по договорам потребительского кредита в Банке на сопоставимых (сумма, срок возврата потребительского кредита) условиях потребительского кредита без обязательного заключения договора личного страхования, но не выше процентной ставки по таким договорам потребительского кредита, действовавшей на момент принятия решения Банком об увеличении размера процентной ставки в связи с неисполнением обязанности по страхованию (при увеличении процентной ставки применяется наименьшая из величин, указанных в настоящем абзаце). Увеличенная процентная ставка по Договору устанавливается с даты, следующей за датой подлежащего уплате Заемщиком Банку (в соответствии с Договором) ближайшего ежемесячного платежа и действует до окончания срока действия Договора.</w:t>
            </w:r>
          </w:p>
          <w:p w14:paraId="689E37FA" w14:textId="77777777" w:rsidR="00382481" w:rsidRPr="002A744A" w:rsidRDefault="00382481" w:rsidP="00034511">
            <w:pPr>
              <w:widowControl w:val="0"/>
              <w:tabs>
                <w:tab w:val="left" w:pos="426"/>
                <w:tab w:val="left" w:pos="851"/>
              </w:tabs>
              <w:jc w:val="both"/>
              <w:rPr>
                <w:rFonts w:ascii="Tahoma" w:hAnsi="Tahoma" w:cs="Tahoma"/>
                <w:sz w:val="18"/>
                <w:szCs w:val="18"/>
              </w:rPr>
            </w:pPr>
            <w:r w:rsidRPr="002A744A">
              <w:rPr>
                <w:rFonts w:ascii="Tahoma" w:hAnsi="Tahoma" w:cs="Tahoma"/>
                <w:b/>
                <w:i/>
                <w:sz w:val="18"/>
                <w:szCs w:val="18"/>
              </w:rPr>
              <w:t>Оформление договора личного страхования не применимо для лиц с инвалидностью</w:t>
            </w:r>
            <w:r w:rsidRPr="002A744A">
              <w:rPr>
                <w:rFonts w:ascii="Tahoma" w:hAnsi="Tahoma" w:cs="Tahoma"/>
                <w:i/>
                <w:sz w:val="18"/>
                <w:szCs w:val="18"/>
              </w:rPr>
              <w:t xml:space="preserve"> (с учетом предоставления справки, подтверждающей факт установления инвалидности с указанием группы инвалидности). При оформлении потребительского кредита без заключения договора страхования, но с учетом сниженной процентной ставки потребуется </w:t>
            </w:r>
            <w:r w:rsidRPr="002A744A">
              <w:rPr>
                <w:rFonts w:ascii="Tahoma" w:hAnsi="Tahoma" w:cs="Tahoma"/>
                <w:i/>
                <w:sz w:val="18"/>
                <w:szCs w:val="18"/>
              </w:rPr>
              <w:lastRenderedPageBreak/>
              <w:t>предоставить Банку обеспечение в виде залога либо Заемщик вправе выбрать альтернативный вариант потребительского кредита на сопоставимых (сумма и срок возврата потребительского кредита) без обязательного заключения договора личного страхования.</w:t>
            </w:r>
            <w:r w:rsidRPr="002A744A">
              <w:rPr>
                <w:rFonts w:ascii="Tahoma" w:hAnsi="Tahoma" w:cs="Tahoma"/>
                <w:sz w:val="18"/>
                <w:szCs w:val="18"/>
              </w:rPr>
              <w:t xml:space="preserve"> </w:t>
            </w:r>
          </w:p>
          <w:p w14:paraId="18D66B82" w14:textId="77777777" w:rsidR="00382481" w:rsidRDefault="00382481" w:rsidP="00034511">
            <w:pPr>
              <w:widowControl w:val="0"/>
              <w:tabs>
                <w:tab w:val="left" w:pos="426"/>
                <w:tab w:val="left" w:pos="851"/>
              </w:tabs>
              <w:jc w:val="both"/>
              <w:rPr>
                <w:rFonts w:ascii="Tahoma" w:hAnsi="Tahoma" w:cs="Tahoma"/>
                <w:sz w:val="18"/>
                <w:szCs w:val="18"/>
              </w:rPr>
            </w:pPr>
            <w:r w:rsidRPr="002A744A">
              <w:rPr>
                <w:rFonts w:ascii="Tahoma" w:hAnsi="Tahoma" w:cs="Tahoma"/>
                <w:sz w:val="18"/>
                <w:szCs w:val="18"/>
                <w:vertAlign w:val="superscript"/>
              </w:rPr>
              <w:t xml:space="preserve">*** </w:t>
            </w:r>
            <w:r w:rsidRPr="002A744A">
              <w:rPr>
                <w:rFonts w:ascii="Tahoma" w:hAnsi="Tahoma" w:cs="Tahoma"/>
                <w:sz w:val="18"/>
                <w:szCs w:val="18"/>
              </w:rPr>
              <w:t>Операции по банковским счетам и использование платежных карт осуществляются с учетом ограничений, установленных платежными системами, иными уполномоченными лицами/органами иностранных государств, международными организациями, а также законодательством иностранных государств, Российской Федерации, в том числе актами Банка России, иных уполномоченных лиц/органов, действующих на территории Российской Федерации.</w:t>
            </w:r>
          </w:p>
          <w:p w14:paraId="74E70D1A" w14:textId="77777777" w:rsidR="00382481" w:rsidRPr="00760BE3" w:rsidRDefault="00382481" w:rsidP="00034511">
            <w:pPr>
              <w:widowControl w:val="0"/>
              <w:tabs>
                <w:tab w:val="left" w:pos="426"/>
                <w:tab w:val="left" w:pos="851"/>
              </w:tabs>
              <w:jc w:val="both"/>
              <w:rPr>
                <w:rFonts w:ascii="Tahoma" w:hAnsi="Tahoma" w:cs="Tahoma"/>
                <w:sz w:val="18"/>
                <w:szCs w:val="18"/>
              </w:rPr>
            </w:pPr>
          </w:p>
          <w:p w14:paraId="5EEE8518" w14:textId="77777777" w:rsidR="00382481" w:rsidRPr="00236F26" w:rsidRDefault="00382481" w:rsidP="00034511">
            <w:pPr>
              <w:widowControl w:val="0"/>
              <w:tabs>
                <w:tab w:val="left" w:pos="426"/>
                <w:tab w:val="left" w:pos="851"/>
              </w:tabs>
              <w:jc w:val="both"/>
              <w:rPr>
                <w:rFonts w:ascii="Tahoma" w:hAnsi="Tahoma" w:cs="Tahoma"/>
                <w:sz w:val="18"/>
                <w:szCs w:val="18"/>
              </w:rPr>
            </w:pPr>
          </w:p>
        </w:tc>
      </w:tr>
    </w:tbl>
    <w:p w14:paraId="42645E3C" w14:textId="77777777" w:rsidR="00382481" w:rsidRDefault="00382481" w:rsidP="00382481">
      <w:pPr>
        <w:pStyle w:val="affe"/>
        <w:ind w:left="1080"/>
      </w:pPr>
    </w:p>
    <w:p w14:paraId="1F8003A2" w14:textId="77777777" w:rsidR="00382481" w:rsidRDefault="00382481" w:rsidP="00382481">
      <w:pPr>
        <w:pStyle w:val="affe"/>
        <w:ind w:left="1080"/>
      </w:pPr>
    </w:p>
    <w:p w14:paraId="0D181D8B" w14:textId="77777777" w:rsidR="00382481" w:rsidRDefault="00382481" w:rsidP="00382481">
      <w:pPr>
        <w:pStyle w:val="affe"/>
        <w:ind w:left="1080"/>
      </w:pPr>
    </w:p>
    <w:p w14:paraId="7132201B" w14:textId="77777777" w:rsidR="00382481" w:rsidRDefault="00382481" w:rsidP="00382481">
      <w:pPr>
        <w:pStyle w:val="affe"/>
        <w:ind w:left="1080"/>
        <w:sectPr w:rsidR="00382481" w:rsidSect="003837AD">
          <w:footnotePr>
            <w:numRestart w:val="eachSect"/>
          </w:footnotePr>
          <w:endnotePr>
            <w:numFmt w:val="decimal"/>
            <w:numRestart w:val="eachSect"/>
          </w:endnotePr>
          <w:type w:val="continuous"/>
          <w:pgSz w:w="16838" w:h="11906" w:orient="landscape"/>
          <w:pgMar w:top="567" w:right="820" w:bottom="0" w:left="1134" w:header="709" w:footer="105" w:gutter="0"/>
          <w:cols w:space="708"/>
          <w:titlePg/>
          <w:docGrid w:linePitch="360"/>
        </w:sectPr>
      </w:pPr>
    </w:p>
    <w:p w14:paraId="5D924985" w14:textId="60F14774" w:rsidR="00382481" w:rsidRPr="00225EDB" w:rsidRDefault="00382481" w:rsidP="000B3718">
      <w:pPr>
        <w:pStyle w:val="a5"/>
      </w:pPr>
      <w:r>
        <w:lastRenderedPageBreak/>
        <w:t xml:space="preserve">   </w:t>
      </w:r>
      <w:r w:rsidR="000B3718">
        <w:t>2.2.3</w:t>
      </w:r>
      <w:r>
        <w:t xml:space="preserve">   </w:t>
      </w:r>
      <w:r w:rsidRPr="00225EDB">
        <w:t>Тарифный план «Лояльный»</w:t>
      </w:r>
    </w:p>
    <w:p w14:paraId="501B52B3" w14:textId="77777777" w:rsidR="00382481" w:rsidRPr="00CE62EE" w:rsidRDefault="00382481" w:rsidP="00382481">
      <w:pPr>
        <w:pStyle w:val="affe"/>
        <w:ind w:left="1440"/>
        <w:rPr>
          <w:rFonts w:ascii="Tahoma" w:hAnsi="Tahoma" w:cs="Tahoma"/>
          <w:b/>
          <w:bCs/>
          <w:i/>
          <w:color w:val="E36C0A"/>
          <w:sz w:val="20"/>
          <w:szCs w:val="22"/>
        </w:rPr>
      </w:pPr>
    </w:p>
    <w:p w14:paraId="43407FA2" w14:textId="77777777" w:rsidR="00382481" w:rsidRDefault="00382481" w:rsidP="00382481">
      <w:pPr>
        <w:widowControl w:val="0"/>
        <w:spacing w:line="360" w:lineRule="auto"/>
        <w:jc w:val="center"/>
        <w:rPr>
          <w:rFonts w:ascii="Tahoma" w:hAnsi="Tahoma" w:cs="Tahoma"/>
          <w:b/>
          <w:noProof/>
          <w:sz w:val="20"/>
          <w:szCs w:val="20"/>
        </w:rPr>
      </w:pPr>
      <w:r w:rsidRPr="004430D0">
        <w:rPr>
          <w:rFonts w:ascii="Tahoma" w:hAnsi="Tahoma" w:cs="Tahoma"/>
          <w:b/>
          <w:noProof/>
          <w:sz w:val="20"/>
          <w:szCs w:val="20"/>
        </w:rPr>
        <w:t>ИНФОРМАЦИЯ ОБ УСЛОВИЯХ ПРЕДОСТАВЛЕНИЯ, ИСПОЛЬЗОВАНИЯ И ВОЗВРАТА ПОТРЕБИТЕЛЬСКОГО КРЕДИТА</w:t>
      </w:r>
      <w:r>
        <w:rPr>
          <w:rFonts w:ascii="Tahoma" w:hAnsi="Tahoma" w:cs="Tahoma"/>
          <w:b/>
          <w:noProof/>
          <w:sz w:val="20"/>
          <w:szCs w:val="20"/>
        </w:rPr>
        <w:t xml:space="preserve"> </w:t>
      </w:r>
    </w:p>
    <w:p w14:paraId="1C6D4531" w14:textId="77777777" w:rsidR="00382481" w:rsidRDefault="00382481" w:rsidP="00382481">
      <w:pPr>
        <w:widowControl w:val="0"/>
        <w:spacing w:line="360" w:lineRule="auto"/>
        <w:jc w:val="center"/>
        <w:rPr>
          <w:rFonts w:ascii="Tahoma" w:hAnsi="Tahoma" w:cs="Tahoma"/>
          <w:b/>
          <w:noProof/>
          <w:sz w:val="20"/>
          <w:szCs w:val="20"/>
        </w:rPr>
      </w:pPr>
      <w:r>
        <w:rPr>
          <w:rFonts w:ascii="Tahoma" w:hAnsi="Tahoma" w:cs="Tahoma"/>
          <w:b/>
          <w:noProof/>
          <w:sz w:val="20"/>
          <w:szCs w:val="20"/>
        </w:rPr>
        <w:t>ПО ТАРИФНОМУ ПЛАНУ «Лояльный»</w:t>
      </w:r>
      <w:r w:rsidRPr="004430D0">
        <w:rPr>
          <w:rFonts w:ascii="Tahoma" w:hAnsi="Tahoma" w:cs="Tahoma"/>
          <w:b/>
          <w:noProof/>
          <w:sz w:val="20"/>
          <w:szCs w:val="20"/>
        </w:rPr>
        <w:t xml:space="preserve"> </w:t>
      </w:r>
    </w:p>
    <w:p w14:paraId="27042C63" w14:textId="77777777" w:rsidR="00382481" w:rsidRPr="004430D0" w:rsidRDefault="00382481" w:rsidP="00382481">
      <w:pPr>
        <w:widowControl w:val="0"/>
        <w:jc w:val="center"/>
        <w:rPr>
          <w:rFonts w:ascii="Tahoma" w:hAnsi="Tahoma" w:cs="Tahoma"/>
          <w:b/>
          <w:bCs/>
          <w:caps/>
          <w:sz w:val="20"/>
          <w:szCs w:val="20"/>
        </w:rPr>
      </w:pPr>
    </w:p>
    <w:p w14:paraId="6627A5A8" w14:textId="77777777" w:rsidR="00382481" w:rsidRPr="00F63AD8" w:rsidRDefault="00382481" w:rsidP="00B460F9">
      <w:pPr>
        <w:pStyle w:val="affe"/>
        <w:widowControl w:val="0"/>
        <w:numPr>
          <w:ilvl w:val="0"/>
          <w:numId w:val="186"/>
        </w:numPr>
        <w:tabs>
          <w:tab w:val="left" w:pos="851"/>
        </w:tabs>
        <w:contextualSpacing/>
        <w:jc w:val="both"/>
        <w:rPr>
          <w:rFonts w:ascii="Tahoma" w:hAnsi="Tahoma" w:cs="Tahoma"/>
          <w:noProof/>
          <w:sz w:val="20"/>
          <w:szCs w:val="20"/>
        </w:rPr>
      </w:pPr>
      <w:r w:rsidRPr="00F63AD8">
        <w:rPr>
          <w:rFonts w:ascii="Tahoma" w:hAnsi="Tahoma" w:cs="Tahoma"/>
          <w:b/>
          <w:bCs/>
          <w:caps/>
          <w:sz w:val="20"/>
          <w:szCs w:val="20"/>
        </w:rPr>
        <w:t>ОСНОВНЫЕ ПОНЯТИЯ, ИСПОЛЬЗУЕМЫЕ ТЕРМИНЫ и сокращения</w:t>
      </w:r>
    </w:p>
    <w:p w14:paraId="1A0B1A1D" w14:textId="77777777" w:rsidR="00382481" w:rsidRPr="004430D0" w:rsidRDefault="00382481" w:rsidP="00382481">
      <w:pPr>
        <w:widowControl w:val="0"/>
        <w:rPr>
          <w:rFonts w:ascii="Tahoma" w:hAnsi="Tahoma" w:cs="Tahoma"/>
          <w:noProof/>
          <w:sz w:val="20"/>
          <w:szCs w:val="20"/>
        </w:rPr>
      </w:pPr>
    </w:p>
    <w:tbl>
      <w:tblPr>
        <w:tblW w:w="5159" w:type="pct"/>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11520"/>
      </w:tblGrid>
      <w:tr w:rsidR="00382481" w:rsidRPr="004430D0" w14:paraId="7583DC62" w14:textId="77777777" w:rsidTr="00034511">
        <w:tc>
          <w:tcPr>
            <w:tcW w:w="1443" w:type="pct"/>
          </w:tcPr>
          <w:p w14:paraId="36F59C95" w14:textId="77777777" w:rsidR="00382481" w:rsidRPr="00236F26" w:rsidRDefault="00382481" w:rsidP="00034511">
            <w:pPr>
              <w:widowControl w:val="0"/>
              <w:tabs>
                <w:tab w:val="left" w:pos="851"/>
              </w:tabs>
              <w:rPr>
                <w:rFonts w:ascii="Tahoma" w:hAnsi="Tahoma" w:cs="Tahoma"/>
                <w:b/>
                <w:bCs/>
                <w:iCs/>
                <w:sz w:val="18"/>
                <w:szCs w:val="18"/>
              </w:rPr>
            </w:pPr>
            <w:r w:rsidRPr="00236F26">
              <w:rPr>
                <w:rFonts w:ascii="Tahoma" w:hAnsi="Tahoma" w:cs="Tahoma"/>
                <w:b/>
                <w:bCs/>
                <w:iCs/>
                <w:sz w:val="18"/>
                <w:szCs w:val="18"/>
              </w:rPr>
              <w:t>Наименование Кредитора(Банка), место нахождения постоянно действующего исполнительного органа, контактный телефон, по которому осуществляется связь с кредитором, официальный сайт, номер лицензии на осуществление банковских операций</w:t>
            </w:r>
          </w:p>
        </w:tc>
        <w:tc>
          <w:tcPr>
            <w:tcW w:w="3557" w:type="pct"/>
          </w:tcPr>
          <w:p w14:paraId="0784D600" w14:textId="77777777" w:rsidR="00382481" w:rsidRPr="00236F26" w:rsidRDefault="00382481" w:rsidP="00034511">
            <w:pPr>
              <w:widowControl w:val="0"/>
              <w:tabs>
                <w:tab w:val="left" w:pos="851"/>
              </w:tabs>
              <w:rPr>
                <w:rFonts w:ascii="Tahoma" w:hAnsi="Tahoma" w:cs="Tahoma"/>
                <w:bCs/>
                <w:iCs/>
                <w:sz w:val="18"/>
                <w:szCs w:val="18"/>
              </w:rPr>
            </w:pPr>
            <w:r w:rsidRPr="00236F26">
              <w:rPr>
                <w:rFonts w:ascii="Tahoma" w:hAnsi="Tahoma" w:cs="Tahoma"/>
                <w:sz w:val="18"/>
                <w:szCs w:val="18"/>
              </w:rPr>
              <w:t xml:space="preserve">«Азиатско-Тихоокеанский Банк» (Акционерное общество) (далее – Банк). Универсальная лицензия ЦБ РФ № 1810, ОГРН: 1022800000079, ИНН: 2801023444, БИК: 041012765, кор. Счет №: 30101810300000000765 в Отделении Благовещенск. Местонахождение Банка и место нахождения его постоянно действующего исполнительного органа: 675004, Амурская область, г. Благовещенск, ул. Амурская, дом 225. Контактный тел.: 8 800 775 8888 (звонок по России бесплатный). Сайт Банка в сети Интернет: </w:t>
            </w:r>
            <w:hyperlink r:id="rId29" w:history="1">
              <w:r w:rsidRPr="00236F26">
                <w:rPr>
                  <w:rFonts w:ascii="Tahoma" w:hAnsi="Tahoma" w:cs="Tahoma"/>
                  <w:sz w:val="18"/>
                  <w:szCs w:val="18"/>
                  <w:u w:val="single"/>
                </w:rPr>
                <w:t>www.atb.su</w:t>
              </w:r>
            </w:hyperlink>
          </w:p>
          <w:p w14:paraId="0E1277A0" w14:textId="77777777" w:rsidR="00382481" w:rsidRPr="00236F26" w:rsidRDefault="00382481" w:rsidP="00034511">
            <w:pPr>
              <w:tabs>
                <w:tab w:val="left" w:pos="2205"/>
              </w:tabs>
              <w:rPr>
                <w:rFonts w:ascii="Tahoma" w:hAnsi="Tahoma" w:cs="Tahoma"/>
                <w:sz w:val="18"/>
                <w:szCs w:val="18"/>
              </w:rPr>
            </w:pPr>
            <w:r w:rsidRPr="00236F26">
              <w:rPr>
                <w:rFonts w:ascii="Tahoma" w:hAnsi="Tahoma" w:cs="Tahoma"/>
                <w:sz w:val="18"/>
                <w:szCs w:val="18"/>
              </w:rPr>
              <w:tab/>
            </w:r>
          </w:p>
        </w:tc>
      </w:tr>
      <w:tr w:rsidR="00382481" w:rsidRPr="004430D0" w14:paraId="04D2E56E" w14:textId="77777777" w:rsidTr="00034511">
        <w:tc>
          <w:tcPr>
            <w:tcW w:w="1443" w:type="pct"/>
          </w:tcPr>
          <w:p w14:paraId="5EAAA2B2" w14:textId="77777777" w:rsidR="00382481" w:rsidRPr="00236F26" w:rsidRDefault="00382481" w:rsidP="00034511">
            <w:pPr>
              <w:widowControl w:val="0"/>
              <w:tabs>
                <w:tab w:val="left" w:pos="851"/>
              </w:tabs>
              <w:rPr>
                <w:rFonts w:ascii="Tahoma" w:hAnsi="Tahoma" w:cs="Tahoma"/>
                <w:b/>
                <w:color w:val="000000"/>
                <w:sz w:val="18"/>
                <w:szCs w:val="18"/>
              </w:rPr>
            </w:pPr>
            <w:r w:rsidRPr="00236F26">
              <w:rPr>
                <w:rFonts w:ascii="Tahoma" w:hAnsi="Tahoma" w:cs="Tahoma"/>
                <w:b/>
                <w:color w:val="000000"/>
                <w:sz w:val="18"/>
                <w:szCs w:val="18"/>
              </w:rPr>
              <w:t xml:space="preserve">ПСК </w:t>
            </w:r>
          </w:p>
        </w:tc>
        <w:tc>
          <w:tcPr>
            <w:tcW w:w="3557" w:type="pct"/>
          </w:tcPr>
          <w:p w14:paraId="533073AF" w14:textId="77777777" w:rsidR="00382481" w:rsidRPr="00236F26" w:rsidRDefault="00382481" w:rsidP="00034511">
            <w:pPr>
              <w:widowControl w:val="0"/>
              <w:jc w:val="both"/>
              <w:rPr>
                <w:rFonts w:ascii="Tahoma" w:hAnsi="Tahoma" w:cs="Tahoma"/>
                <w:sz w:val="18"/>
                <w:szCs w:val="18"/>
              </w:rPr>
            </w:pPr>
            <w:r w:rsidRPr="00236F26">
              <w:rPr>
                <w:rFonts w:ascii="Tahoma" w:hAnsi="Tahoma" w:cs="Tahoma"/>
                <w:sz w:val="18"/>
                <w:szCs w:val="18"/>
              </w:rPr>
              <w:t xml:space="preserve">Полная стоимость потребительского Кредита определяется как в процентах годовых, </w:t>
            </w:r>
            <w:r w:rsidRPr="00236F26">
              <w:rPr>
                <w:rFonts w:ascii="Tahoma" w:hAnsi="Tahoma" w:cs="Tahoma"/>
                <w:bCs/>
                <w:sz w:val="18"/>
                <w:szCs w:val="18"/>
              </w:rPr>
              <w:t>так и в денежном выражении</w:t>
            </w:r>
          </w:p>
        </w:tc>
      </w:tr>
      <w:tr w:rsidR="00382481" w:rsidRPr="004430D0" w14:paraId="0B1E5D7B" w14:textId="77777777" w:rsidTr="00034511">
        <w:trPr>
          <w:trHeight w:val="401"/>
        </w:trPr>
        <w:tc>
          <w:tcPr>
            <w:tcW w:w="1443" w:type="pct"/>
          </w:tcPr>
          <w:p w14:paraId="29B8732C" w14:textId="77777777" w:rsidR="00382481" w:rsidRPr="00236F26" w:rsidRDefault="00382481" w:rsidP="00034511">
            <w:pPr>
              <w:widowControl w:val="0"/>
              <w:rPr>
                <w:rFonts w:ascii="Tahoma" w:hAnsi="Tahoma" w:cs="Tahoma"/>
                <w:b/>
                <w:bCs/>
                <w:sz w:val="18"/>
                <w:szCs w:val="18"/>
              </w:rPr>
            </w:pPr>
            <w:r w:rsidRPr="00236F26">
              <w:rPr>
                <w:rFonts w:ascii="Tahoma" w:hAnsi="Tahoma" w:cs="Tahoma"/>
                <w:b/>
                <w:sz w:val="18"/>
                <w:szCs w:val="18"/>
              </w:rPr>
              <w:t xml:space="preserve">ТБС (либо ТБС Заемщика) </w:t>
            </w:r>
          </w:p>
        </w:tc>
        <w:tc>
          <w:tcPr>
            <w:tcW w:w="3557" w:type="pct"/>
          </w:tcPr>
          <w:p w14:paraId="24271A08" w14:textId="77777777" w:rsidR="00382481" w:rsidRPr="00D20DAD" w:rsidRDefault="00382481" w:rsidP="00034511">
            <w:pPr>
              <w:widowControl w:val="0"/>
              <w:tabs>
                <w:tab w:val="left" w:pos="851"/>
              </w:tabs>
              <w:adjustRightInd w:val="0"/>
              <w:jc w:val="both"/>
              <w:rPr>
                <w:rFonts w:ascii="Tahoma" w:hAnsi="Tahoma" w:cs="Tahoma"/>
                <w:sz w:val="18"/>
                <w:szCs w:val="18"/>
              </w:rPr>
            </w:pPr>
            <w:r w:rsidRPr="00236F26">
              <w:rPr>
                <w:rFonts w:ascii="Tahoma" w:hAnsi="Tahoma" w:cs="Tahoma"/>
                <w:sz w:val="18"/>
                <w:szCs w:val="18"/>
              </w:rPr>
              <w:t>Текущий банковский счет, открытый Банком Заемщику в рамках Договора (в случае, если об открытии данного счета Стороны договорились в Индивидуальных условиях Договора)</w:t>
            </w:r>
          </w:p>
        </w:tc>
      </w:tr>
      <w:tr w:rsidR="00382481" w:rsidRPr="004430D0" w14:paraId="13DCD34E" w14:textId="77777777" w:rsidTr="00034511">
        <w:tc>
          <w:tcPr>
            <w:tcW w:w="1443" w:type="pct"/>
          </w:tcPr>
          <w:p w14:paraId="26F4F07B" w14:textId="77777777" w:rsidR="00382481" w:rsidRPr="00236F26" w:rsidRDefault="00382481" w:rsidP="00034511">
            <w:pPr>
              <w:widowControl w:val="0"/>
              <w:rPr>
                <w:rFonts w:ascii="Tahoma" w:hAnsi="Tahoma" w:cs="Tahoma"/>
                <w:b/>
                <w:sz w:val="18"/>
                <w:szCs w:val="18"/>
              </w:rPr>
            </w:pPr>
            <w:r w:rsidRPr="00236F26">
              <w:rPr>
                <w:rFonts w:ascii="Tahoma" w:hAnsi="Tahoma" w:cs="Tahoma"/>
                <w:b/>
                <w:bCs/>
                <w:sz w:val="18"/>
                <w:szCs w:val="18"/>
              </w:rPr>
              <w:t>Счет Карты/Специальный карточный счет/СКС</w:t>
            </w:r>
          </w:p>
        </w:tc>
        <w:tc>
          <w:tcPr>
            <w:tcW w:w="3557" w:type="pct"/>
          </w:tcPr>
          <w:p w14:paraId="1DBA6C63" w14:textId="77777777" w:rsidR="00382481" w:rsidRPr="00236F26" w:rsidRDefault="00382481" w:rsidP="00034511">
            <w:pPr>
              <w:widowControl w:val="0"/>
              <w:tabs>
                <w:tab w:val="left" w:pos="851"/>
              </w:tabs>
              <w:autoSpaceDE w:val="0"/>
              <w:autoSpaceDN w:val="0"/>
              <w:adjustRightInd w:val="0"/>
              <w:spacing w:before="60" w:after="60"/>
              <w:jc w:val="both"/>
              <w:rPr>
                <w:rFonts w:ascii="Tahoma" w:hAnsi="Tahoma" w:cs="Tahoma"/>
                <w:color w:val="000000" w:themeColor="text1"/>
                <w:sz w:val="18"/>
                <w:szCs w:val="18"/>
              </w:rPr>
            </w:pPr>
            <w:r w:rsidRPr="00236F26">
              <w:rPr>
                <w:rFonts w:ascii="Tahoma" w:hAnsi="Tahoma" w:cs="Tahoma"/>
                <w:bCs/>
                <w:sz w:val="18"/>
                <w:szCs w:val="18"/>
              </w:rPr>
              <w:t xml:space="preserve">Счет (текущий банковский счет, распоряжение денежными средствами по которому возможно с использованием банковской (платежной) карты, в том числе на цифровом носителе (Цифровой карты)), открываемый Банком Заёмщику в рамках заключения Договора Карты и Договора «Потребительский кредит» либо Договора Карты и Договора </w:t>
            </w:r>
            <w:r w:rsidRPr="00236F26">
              <w:rPr>
                <w:rFonts w:ascii="Tahoma" w:hAnsi="Tahoma" w:cs="Tahoma"/>
                <w:color w:val="000000" w:themeColor="text1"/>
                <w:sz w:val="18"/>
                <w:szCs w:val="18"/>
              </w:rPr>
              <w:t xml:space="preserve">«Потребительский кредит (с лимитом кредитования)». СКС, открытый в рамках Договора «Потребительский кредит», используется </w:t>
            </w:r>
            <w:r w:rsidRPr="00236F26">
              <w:rPr>
                <w:rFonts w:ascii="Tahoma" w:hAnsi="Tahoma" w:cs="Tahoma"/>
                <w:sz w:val="18"/>
                <w:szCs w:val="18"/>
              </w:rPr>
              <w:t>для зачисления предоставленных Заемщику кредитных денежных средств, а также для Погашения Кредита по Договору «Потребительский кредит» и иных Операций, (а также прочих целей, предусмотренных Сторонами в заключенном Договоре), если об открытии данного счета стороны договорились в Индивидуальных условиях.</w:t>
            </w:r>
          </w:p>
        </w:tc>
      </w:tr>
      <w:tr w:rsidR="00382481" w:rsidRPr="004430D0" w14:paraId="1E065452" w14:textId="77777777" w:rsidTr="00034511">
        <w:trPr>
          <w:trHeight w:val="788"/>
        </w:trPr>
        <w:tc>
          <w:tcPr>
            <w:tcW w:w="1443" w:type="pct"/>
          </w:tcPr>
          <w:p w14:paraId="19A319CD" w14:textId="77777777" w:rsidR="00382481" w:rsidRPr="00236F26" w:rsidRDefault="00382481" w:rsidP="00034511">
            <w:pPr>
              <w:widowControl w:val="0"/>
              <w:rPr>
                <w:rFonts w:ascii="Tahoma" w:hAnsi="Tahoma" w:cs="Tahoma"/>
                <w:b/>
                <w:bCs/>
                <w:sz w:val="18"/>
                <w:szCs w:val="18"/>
              </w:rPr>
            </w:pPr>
            <w:r w:rsidRPr="00236F26">
              <w:rPr>
                <w:rFonts w:ascii="Tahoma" w:hAnsi="Tahoma" w:cs="Tahoma"/>
                <w:b/>
                <w:bCs/>
                <w:sz w:val="18"/>
                <w:szCs w:val="18"/>
              </w:rPr>
              <w:t>Цифровая карта</w:t>
            </w:r>
          </w:p>
        </w:tc>
        <w:tc>
          <w:tcPr>
            <w:tcW w:w="3557" w:type="pct"/>
          </w:tcPr>
          <w:p w14:paraId="2121855F" w14:textId="77777777" w:rsidR="00382481" w:rsidRPr="00236F26" w:rsidRDefault="00382481" w:rsidP="00034511">
            <w:pPr>
              <w:spacing w:before="60" w:after="60"/>
              <w:jc w:val="both"/>
              <w:rPr>
                <w:rFonts w:ascii="Tahoma" w:hAnsi="Tahoma" w:cs="Tahoma"/>
                <w:bCs/>
                <w:sz w:val="18"/>
                <w:szCs w:val="18"/>
              </w:rPr>
            </w:pPr>
            <w:r>
              <w:rPr>
                <w:rFonts w:ascii="Tahoma" w:hAnsi="Tahoma" w:cs="Tahoma"/>
                <w:sz w:val="18"/>
                <w:szCs w:val="18"/>
              </w:rPr>
              <w:t>Р</w:t>
            </w:r>
            <w:r w:rsidRPr="00236F26">
              <w:rPr>
                <w:rFonts w:ascii="Tahoma" w:hAnsi="Tahoma" w:cs="Tahoma"/>
                <w:sz w:val="18"/>
                <w:szCs w:val="18"/>
              </w:rPr>
              <w:t>асчетная (дебетовая) карта</w:t>
            </w:r>
            <w:r w:rsidRPr="005D12F6">
              <w:rPr>
                <w:rFonts w:ascii="Tahoma" w:hAnsi="Tahoma" w:cs="Tahoma"/>
                <w:sz w:val="18"/>
                <w:szCs w:val="18"/>
              </w:rPr>
              <w:t xml:space="preserve">, выпущенная по технологии без физического носителя после открытия Счета Карты через Канал ДБО (Интернет-банк «АТБ-Онлайн»/Мобильный банк </w:t>
            </w:r>
            <w:r>
              <w:rPr>
                <w:rFonts w:ascii="Tahoma" w:hAnsi="Tahoma" w:cs="Tahoma"/>
                <w:sz w:val="18"/>
                <w:szCs w:val="18"/>
              </w:rPr>
              <w:t>«</w:t>
            </w:r>
            <w:r w:rsidRPr="005D12F6">
              <w:rPr>
                <w:rFonts w:ascii="Tahoma" w:hAnsi="Tahoma" w:cs="Tahoma"/>
                <w:sz w:val="18"/>
                <w:szCs w:val="18"/>
              </w:rPr>
              <w:t>АТБ банк»). Цифровая карта становится доступной для проведения расчетных операций моментально после открытия Счета Карты и выпуска Карты через Канал ДБО Банка.</w:t>
            </w:r>
            <w:r w:rsidRPr="00236F26">
              <w:rPr>
                <w:rFonts w:ascii="Tahoma" w:hAnsi="Tahoma" w:cs="Tahoma"/>
                <w:sz w:val="18"/>
                <w:szCs w:val="18"/>
              </w:rPr>
              <w:t xml:space="preserve">   </w:t>
            </w:r>
          </w:p>
        </w:tc>
      </w:tr>
      <w:tr w:rsidR="00382481" w:rsidRPr="004430D0" w14:paraId="0E81FCEF" w14:textId="77777777" w:rsidTr="00034511">
        <w:tc>
          <w:tcPr>
            <w:tcW w:w="1443" w:type="pct"/>
          </w:tcPr>
          <w:p w14:paraId="73DD9A37" w14:textId="77777777" w:rsidR="00382481" w:rsidRPr="00236F26" w:rsidRDefault="00382481" w:rsidP="00034511">
            <w:pPr>
              <w:widowControl w:val="0"/>
              <w:rPr>
                <w:rFonts w:ascii="Tahoma" w:hAnsi="Tahoma" w:cs="Tahoma"/>
                <w:b/>
                <w:sz w:val="18"/>
                <w:szCs w:val="18"/>
              </w:rPr>
            </w:pPr>
            <w:r w:rsidRPr="00236F26">
              <w:rPr>
                <w:rFonts w:ascii="Tahoma" w:hAnsi="Tahoma" w:cs="Tahoma"/>
                <w:b/>
                <w:sz w:val="18"/>
                <w:szCs w:val="18"/>
              </w:rPr>
              <w:t>Договор (или Договор «Потребительский кредит»)</w:t>
            </w:r>
          </w:p>
        </w:tc>
        <w:tc>
          <w:tcPr>
            <w:tcW w:w="3557" w:type="pct"/>
          </w:tcPr>
          <w:p w14:paraId="17721450" w14:textId="77777777" w:rsidR="00382481" w:rsidRPr="00236F26" w:rsidRDefault="00382481" w:rsidP="00034511">
            <w:pPr>
              <w:widowControl w:val="0"/>
              <w:tabs>
                <w:tab w:val="left" w:pos="851"/>
              </w:tabs>
              <w:adjustRightInd w:val="0"/>
              <w:jc w:val="both"/>
              <w:rPr>
                <w:rFonts w:ascii="Tahoma" w:hAnsi="Tahoma" w:cs="Tahoma"/>
                <w:sz w:val="18"/>
                <w:szCs w:val="18"/>
              </w:rPr>
            </w:pPr>
            <w:r w:rsidRPr="00236F26">
              <w:rPr>
                <w:rFonts w:ascii="Tahoma" w:hAnsi="Tahoma" w:cs="Tahoma"/>
                <w:sz w:val="18"/>
                <w:szCs w:val="18"/>
              </w:rPr>
              <w:t xml:space="preserve">Договор потребительского </w:t>
            </w:r>
            <w:r>
              <w:rPr>
                <w:rFonts w:ascii="Tahoma" w:hAnsi="Tahoma" w:cs="Tahoma"/>
                <w:sz w:val="18"/>
                <w:szCs w:val="18"/>
              </w:rPr>
              <w:t>к</w:t>
            </w:r>
            <w:r w:rsidRPr="00236F26">
              <w:rPr>
                <w:rFonts w:ascii="Tahoma" w:hAnsi="Tahoma" w:cs="Tahoma"/>
                <w:sz w:val="18"/>
                <w:szCs w:val="18"/>
              </w:rPr>
              <w:t>редита, заключаемый в соответствии с Федеральным законом</w:t>
            </w:r>
            <w:r>
              <w:rPr>
                <w:rFonts w:ascii="Tahoma" w:hAnsi="Tahoma" w:cs="Tahoma"/>
                <w:sz w:val="18"/>
                <w:szCs w:val="18"/>
              </w:rPr>
              <w:t xml:space="preserve"> от 21.12.2013</w:t>
            </w:r>
            <w:r w:rsidRPr="00236F26">
              <w:rPr>
                <w:rFonts w:ascii="Tahoma" w:hAnsi="Tahoma" w:cs="Tahoma"/>
                <w:sz w:val="18"/>
                <w:szCs w:val="18"/>
              </w:rPr>
              <w:t xml:space="preserve"> № 353-ФЗ «О потребительском кредите (займе)» </w:t>
            </w:r>
            <w:r>
              <w:rPr>
                <w:rFonts w:ascii="Tahoma" w:hAnsi="Tahoma" w:cs="Tahoma"/>
                <w:sz w:val="18"/>
                <w:szCs w:val="18"/>
              </w:rPr>
              <w:t>(далее – Закон № 353-ФЗ)</w:t>
            </w:r>
          </w:p>
        </w:tc>
      </w:tr>
      <w:tr w:rsidR="00382481" w:rsidRPr="007304FE" w14:paraId="1CE3E902" w14:textId="77777777" w:rsidTr="00034511">
        <w:tc>
          <w:tcPr>
            <w:tcW w:w="1443" w:type="pct"/>
          </w:tcPr>
          <w:p w14:paraId="2BD11552" w14:textId="77777777" w:rsidR="00382481" w:rsidRPr="00236F26" w:rsidRDefault="00382481" w:rsidP="00034511">
            <w:pPr>
              <w:widowControl w:val="0"/>
              <w:rPr>
                <w:rFonts w:ascii="Tahoma" w:hAnsi="Tahoma" w:cs="Tahoma"/>
                <w:b/>
                <w:sz w:val="18"/>
                <w:szCs w:val="18"/>
              </w:rPr>
            </w:pPr>
            <w:r w:rsidRPr="00236F26">
              <w:rPr>
                <w:rFonts w:ascii="Tahoma" w:hAnsi="Tahoma" w:cs="Tahoma"/>
                <w:b/>
                <w:sz w:val="18"/>
                <w:szCs w:val="18"/>
              </w:rPr>
              <w:t>Заемщик-ИП</w:t>
            </w:r>
          </w:p>
        </w:tc>
        <w:tc>
          <w:tcPr>
            <w:tcW w:w="3557" w:type="pct"/>
          </w:tcPr>
          <w:p w14:paraId="0F2BC2FC" w14:textId="77777777" w:rsidR="00382481" w:rsidRPr="00236F26" w:rsidRDefault="00382481" w:rsidP="00034511">
            <w:pPr>
              <w:widowControl w:val="0"/>
              <w:tabs>
                <w:tab w:val="left" w:pos="851"/>
              </w:tabs>
              <w:adjustRightInd w:val="0"/>
              <w:jc w:val="both"/>
              <w:rPr>
                <w:rFonts w:ascii="Tahoma" w:hAnsi="Tahoma" w:cs="Tahoma"/>
                <w:sz w:val="18"/>
                <w:szCs w:val="18"/>
              </w:rPr>
            </w:pPr>
            <w:r w:rsidRPr="00236F26">
              <w:rPr>
                <w:rFonts w:ascii="Tahoma" w:hAnsi="Tahoma" w:cs="Tahoma"/>
                <w:noProof/>
                <w:sz w:val="18"/>
                <w:szCs w:val="18"/>
              </w:rPr>
              <w:t>Заемщик, получающий доход от предпринимательской деятельности</w:t>
            </w:r>
          </w:p>
        </w:tc>
      </w:tr>
      <w:tr w:rsidR="00382481" w:rsidRPr="007304FE" w14:paraId="09FA1B2D" w14:textId="77777777" w:rsidTr="00034511">
        <w:tc>
          <w:tcPr>
            <w:tcW w:w="1443" w:type="pct"/>
          </w:tcPr>
          <w:p w14:paraId="6E6EB2B0" w14:textId="77777777" w:rsidR="00382481" w:rsidRPr="00236F26" w:rsidRDefault="00382481" w:rsidP="00034511">
            <w:pPr>
              <w:widowControl w:val="0"/>
              <w:rPr>
                <w:rFonts w:ascii="Tahoma" w:hAnsi="Tahoma" w:cs="Tahoma"/>
                <w:b/>
                <w:sz w:val="18"/>
                <w:szCs w:val="18"/>
              </w:rPr>
            </w:pPr>
            <w:r>
              <w:rPr>
                <w:rFonts w:ascii="Tahoma" w:hAnsi="Tahoma" w:cs="Tahoma"/>
                <w:b/>
                <w:sz w:val="18"/>
                <w:szCs w:val="18"/>
              </w:rPr>
              <w:t>Организация</w:t>
            </w:r>
          </w:p>
        </w:tc>
        <w:tc>
          <w:tcPr>
            <w:tcW w:w="3557" w:type="pct"/>
          </w:tcPr>
          <w:p w14:paraId="27C9F649" w14:textId="77777777" w:rsidR="00382481" w:rsidRPr="00236F26" w:rsidRDefault="00382481" w:rsidP="00034511">
            <w:pPr>
              <w:widowControl w:val="0"/>
              <w:tabs>
                <w:tab w:val="left" w:pos="851"/>
              </w:tabs>
              <w:adjustRightInd w:val="0"/>
              <w:jc w:val="both"/>
              <w:rPr>
                <w:rFonts w:ascii="Tahoma" w:hAnsi="Tahoma" w:cs="Tahoma"/>
                <w:noProof/>
                <w:sz w:val="18"/>
                <w:szCs w:val="18"/>
              </w:rPr>
            </w:pPr>
            <w:r>
              <w:rPr>
                <w:rFonts w:ascii="Tahoma" w:hAnsi="Tahoma" w:cs="Tahoma"/>
                <w:noProof/>
                <w:sz w:val="18"/>
                <w:szCs w:val="18"/>
              </w:rPr>
              <w:t xml:space="preserve">Юридическое лицо или Индивидуальный предприниматель, которое/ый находится на обслуживании Банка и включен </w:t>
            </w:r>
            <w:hyperlink r:id="rId30" w:history="1">
              <w:r w:rsidRPr="009B0E8E">
                <w:rPr>
                  <w:rStyle w:val="aff"/>
                  <w:rFonts w:ascii="Tahoma" w:hAnsi="Tahoma" w:cs="Tahoma"/>
                  <w:noProof/>
                  <w:sz w:val="18"/>
                  <w:szCs w:val="18"/>
                </w:rPr>
                <w:t>в реестр льготного кредитования</w:t>
              </w:r>
            </w:hyperlink>
          </w:p>
        </w:tc>
      </w:tr>
      <w:tr w:rsidR="00382481" w:rsidRPr="007304FE" w14:paraId="73455C59" w14:textId="77777777" w:rsidTr="00034511">
        <w:tc>
          <w:tcPr>
            <w:tcW w:w="5000" w:type="pct"/>
            <w:gridSpan w:val="2"/>
          </w:tcPr>
          <w:p w14:paraId="5AF139DB" w14:textId="77777777" w:rsidR="00382481" w:rsidRPr="00236F26" w:rsidRDefault="00382481" w:rsidP="00034511">
            <w:pPr>
              <w:widowControl w:val="0"/>
              <w:tabs>
                <w:tab w:val="left" w:pos="851"/>
              </w:tabs>
              <w:adjustRightInd w:val="0"/>
              <w:jc w:val="both"/>
              <w:rPr>
                <w:rFonts w:ascii="Tahoma" w:hAnsi="Tahoma" w:cs="Tahoma"/>
                <w:sz w:val="18"/>
                <w:szCs w:val="18"/>
              </w:rPr>
            </w:pPr>
            <w:r w:rsidRPr="00236F26">
              <w:rPr>
                <w:rFonts w:ascii="Tahoma" w:hAnsi="Tahoma" w:cs="Tahoma"/>
                <w:sz w:val="18"/>
                <w:szCs w:val="18"/>
              </w:rPr>
              <w:t xml:space="preserve">Термины, используемые в настоящем документе, применяются в значении, указанном в Универсальном договоре банковского обслуживания физических лиц «Азиатско-Тихоокеанский Банк» (АО), размещённом на сайте Банка в сети Интернет по адресу </w:t>
            </w:r>
            <w:hyperlink r:id="rId31" w:history="1">
              <w:r w:rsidRPr="00236F26">
                <w:rPr>
                  <w:rFonts w:ascii="Tahoma" w:hAnsi="Tahoma" w:cs="Tahoma"/>
                  <w:sz w:val="18"/>
                  <w:szCs w:val="18"/>
                  <w:u w:val="single"/>
                </w:rPr>
                <w:t>www.atb.su</w:t>
              </w:r>
            </w:hyperlink>
            <w:r w:rsidRPr="00236F26">
              <w:rPr>
                <w:rFonts w:ascii="Tahoma" w:hAnsi="Tahoma" w:cs="Tahoma"/>
                <w:sz w:val="18"/>
                <w:szCs w:val="18"/>
                <w:u w:val="single"/>
              </w:rPr>
              <w:t xml:space="preserve"> и подразделениях Банка, если иное значение не установлено настоящим документом.</w:t>
            </w:r>
          </w:p>
        </w:tc>
      </w:tr>
    </w:tbl>
    <w:p w14:paraId="46F4C1B6" w14:textId="77777777" w:rsidR="00382481" w:rsidRPr="007304FE" w:rsidRDefault="00382481" w:rsidP="00382481">
      <w:pPr>
        <w:widowControl w:val="0"/>
        <w:rPr>
          <w:rFonts w:ascii="Tahoma" w:hAnsi="Tahoma" w:cs="Tahoma"/>
          <w:noProof/>
          <w:sz w:val="20"/>
          <w:szCs w:val="20"/>
        </w:rPr>
      </w:pPr>
    </w:p>
    <w:p w14:paraId="36B834DD" w14:textId="77777777" w:rsidR="00382481" w:rsidRPr="007304FE" w:rsidRDefault="00382481" w:rsidP="00382481">
      <w:pPr>
        <w:widowControl w:val="0"/>
        <w:rPr>
          <w:rFonts w:ascii="Tahoma" w:hAnsi="Tahoma" w:cs="Tahoma"/>
          <w:noProof/>
          <w:sz w:val="20"/>
          <w:szCs w:val="20"/>
        </w:rPr>
      </w:pPr>
    </w:p>
    <w:p w14:paraId="53D0E2A4" w14:textId="77777777" w:rsidR="00382481" w:rsidRPr="007304FE" w:rsidRDefault="00382481" w:rsidP="00382481">
      <w:pPr>
        <w:widowControl w:val="0"/>
        <w:rPr>
          <w:rFonts w:ascii="Tahoma" w:hAnsi="Tahoma" w:cs="Tahoma"/>
          <w:noProof/>
          <w:sz w:val="20"/>
          <w:szCs w:val="20"/>
        </w:rPr>
      </w:pPr>
    </w:p>
    <w:p w14:paraId="0F939E0C" w14:textId="77777777" w:rsidR="00382481" w:rsidRPr="007304FE" w:rsidRDefault="00382481" w:rsidP="00B460F9">
      <w:pPr>
        <w:pStyle w:val="affe"/>
        <w:widowControl w:val="0"/>
        <w:numPr>
          <w:ilvl w:val="0"/>
          <w:numId w:val="186"/>
        </w:numPr>
        <w:tabs>
          <w:tab w:val="left" w:pos="851"/>
        </w:tabs>
        <w:ind w:left="0" w:firstLine="426"/>
        <w:contextualSpacing/>
        <w:jc w:val="both"/>
        <w:rPr>
          <w:rFonts w:ascii="Tahoma" w:hAnsi="Tahoma" w:cs="Tahoma"/>
          <w:b/>
          <w:bCs/>
          <w:caps/>
          <w:sz w:val="20"/>
          <w:szCs w:val="20"/>
        </w:rPr>
      </w:pPr>
      <w:r w:rsidRPr="007304FE">
        <w:rPr>
          <w:rFonts w:ascii="Tahoma" w:hAnsi="Tahoma" w:cs="Tahoma"/>
          <w:b/>
          <w:bCs/>
          <w:caps/>
          <w:sz w:val="20"/>
          <w:szCs w:val="20"/>
        </w:rPr>
        <w:t>ИНФОРМАЦИЯ ОБ УСЛОВИЯХ ПРЕДОСТАВЛЕНИЯ, ИСПОЛЬЗОВАНИЯ И ВОЗВРАТА ПОТРЕБИТЕЛЬСКОГО КРЕДИТА</w:t>
      </w:r>
    </w:p>
    <w:tbl>
      <w:tblPr>
        <w:tblW w:w="15168" w:type="dxa"/>
        <w:tblInd w:w="-147" w:type="dxa"/>
        <w:tblLayout w:type="fixed"/>
        <w:tblLook w:val="04A0" w:firstRow="1" w:lastRow="0" w:firstColumn="1" w:lastColumn="0" w:noHBand="0" w:noVBand="1"/>
      </w:tblPr>
      <w:tblGrid>
        <w:gridCol w:w="6096"/>
        <w:gridCol w:w="4947"/>
        <w:gridCol w:w="2504"/>
        <w:gridCol w:w="1621"/>
      </w:tblGrid>
      <w:tr w:rsidR="00382481" w:rsidRPr="00236F26" w14:paraId="6B1215EC" w14:textId="77777777" w:rsidTr="00034511">
        <w:trPr>
          <w:trHeight w:val="255"/>
        </w:trPr>
        <w:tc>
          <w:tcPr>
            <w:tcW w:w="60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22FE7D" w14:textId="77777777" w:rsidR="00382481" w:rsidRPr="00236F26" w:rsidRDefault="00382481" w:rsidP="00034511">
            <w:pPr>
              <w:widowControl w:val="0"/>
              <w:jc w:val="center"/>
              <w:rPr>
                <w:rFonts w:ascii="Tahoma" w:hAnsi="Tahoma" w:cs="Tahoma"/>
                <w:b/>
                <w:bCs/>
                <w:sz w:val="18"/>
                <w:szCs w:val="18"/>
              </w:rPr>
            </w:pPr>
            <w:r w:rsidRPr="00236F26">
              <w:rPr>
                <w:rFonts w:ascii="Tahoma" w:hAnsi="Tahoma" w:cs="Tahoma"/>
                <w:b/>
                <w:bCs/>
                <w:sz w:val="18"/>
                <w:szCs w:val="18"/>
              </w:rPr>
              <w:t>Наименование продукта/модификации/тарифного плана (ТП)/программы кредитования</w:t>
            </w:r>
          </w:p>
        </w:tc>
        <w:tc>
          <w:tcPr>
            <w:tcW w:w="9072" w:type="dxa"/>
            <w:gridSpan w:val="3"/>
            <w:tcBorders>
              <w:top w:val="single" w:sz="4" w:space="0" w:color="auto"/>
              <w:left w:val="nil"/>
              <w:bottom w:val="single" w:sz="4" w:space="0" w:color="auto"/>
              <w:right w:val="single" w:sz="4" w:space="0" w:color="auto"/>
            </w:tcBorders>
            <w:shd w:val="clear" w:color="auto" w:fill="auto"/>
            <w:vAlign w:val="center"/>
            <w:hideMark/>
          </w:tcPr>
          <w:p w14:paraId="3289C9DE" w14:textId="77777777" w:rsidR="00382481" w:rsidRPr="00236F26" w:rsidRDefault="00382481" w:rsidP="00034511">
            <w:pPr>
              <w:widowControl w:val="0"/>
              <w:jc w:val="center"/>
              <w:rPr>
                <w:rFonts w:ascii="Tahoma" w:hAnsi="Tahoma" w:cs="Tahoma"/>
                <w:b/>
                <w:bCs/>
                <w:sz w:val="18"/>
                <w:szCs w:val="18"/>
              </w:rPr>
            </w:pPr>
            <w:r w:rsidRPr="00236F26">
              <w:rPr>
                <w:rFonts w:ascii="Tahoma" w:hAnsi="Tahoma" w:cs="Tahoma"/>
                <w:b/>
                <w:bCs/>
                <w:sz w:val="18"/>
                <w:szCs w:val="18"/>
              </w:rPr>
              <w:t>«</w:t>
            </w:r>
            <w:r>
              <w:rPr>
                <w:rFonts w:ascii="Tahoma" w:hAnsi="Tahoma" w:cs="Tahoma"/>
                <w:b/>
                <w:bCs/>
                <w:sz w:val="18"/>
                <w:szCs w:val="18"/>
              </w:rPr>
              <w:t>Лояльный</w:t>
            </w:r>
            <w:r w:rsidRPr="00236F26">
              <w:rPr>
                <w:rFonts w:ascii="Tahoma" w:hAnsi="Tahoma" w:cs="Tahoma"/>
                <w:b/>
                <w:bCs/>
                <w:sz w:val="18"/>
                <w:szCs w:val="18"/>
              </w:rPr>
              <w:t>»</w:t>
            </w:r>
          </w:p>
        </w:tc>
      </w:tr>
      <w:tr w:rsidR="00382481" w:rsidRPr="00236F26" w14:paraId="6056C036" w14:textId="77777777" w:rsidTr="00034511">
        <w:trPr>
          <w:trHeight w:val="255"/>
        </w:trPr>
        <w:tc>
          <w:tcPr>
            <w:tcW w:w="6096" w:type="dxa"/>
            <w:tcBorders>
              <w:top w:val="single" w:sz="4" w:space="0" w:color="auto"/>
              <w:left w:val="single" w:sz="4" w:space="0" w:color="auto"/>
              <w:bottom w:val="single" w:sz="4" w:space="0" w:color="auto"/>
              <w:right w:val="single" w:sz="4" w:space="0" w:color="auto"/>
            </w:tcBorders>
            <w:shd w:val="clear" w:color="auto" w:fill="auto"/>
          </w:tcPr>
          <w:p w14:paraId="2FDFFB7E" w14:textId="77777777" w:rsidR="00382481" w:rsidRPr="00236F26" w:rsidRDefault="00382481" w:rsidP="00034511">
            <w:pPr>
              <w:widowControl w:val="0"/>
              <w:tabs>
                <w:tab w:val="center" w:pos="2018"/>
                <w:tab w:val="left" w:pos="3150"/>
              </w:tabs>
              <w:jc w:val="center"/>
              <w:rPr>
                <w:rFonts w:ascii="Tahoma" w:hAnsi="Tahoma" w:cs="Tahoma"/>
                <w:b/>
                <w:sz w:val="18"/>
                <w:szCs w:val="18"/>
              </w:rPr>
            </w:pPr>
            <w:r>
              <w:rPr>
                <w:rFonts w:ascii="Tahoma" w:hAnsi="Tahoma" w:cs="Tahoma"/>
                <w:b/>
                <w:sz w:val="18"/>
                <w:szCs w:val="18"/>
              </w:rPr>
              <w:t>Тип Кредита</w:t>
            </w:r>
          </w:p>
        </w:tc>
        <w:tc>
          <w:tcPr>
            <w:tcW w:w="9072" w:type="dxa"/>
            <w:gridSpan w:val="3"/>
            <w:tcBorders>
              <w:top w:val="single" w:sz="4" w:space="0" w:color="auto"/>
              <w:left w:val="nil"/>
              <w:bottom w:val="single" w:sz="4" w:space="0" w:color="auto"/>
              <w:right w:val="single" w:sz="4" w:space="0" w:color="auto"/>
            </w:tcBorders>
            <w:shd w:val="clear" w:color="auto" w:fill="auto"/>
          </w:tcPr>
          <w:p w14:paraId="3EBFD4E2" w14:textId="77777777" w:rsidR="00382481" w:rsidRPr="00236F26" w:rsidRDefault="00382481" w:rsidP="00034511">
            <w:pPr>
              <w:widowControl w:val="0"/>
              <w:tabs>
                <w:tab w:val="left" w:pos="851"/>
              </w:tabs>
              <w:adjustRightInd w:val="0"/>
              <w:jc w:val="center"/>
              <w:rPr>
                <w:rFonts w:ascii="Tahoma" w:hAnsi="Tahoma" w:cs="Tahoma"/>
                <w:sz w:val="18"/>
                <w:szCs w:val="18"/>
              </w:rPr>
            </w:pPr>
            <w:r>
              <w:rPr>
                <w:rFonts w:ascii="Tahoma" w:hAnsi="Tahoma" w:cs="Tahoma"/>
                <w:sz w:val="18"/>
                <w:szCs w:val="18"/>
              </w:rPr>
              <w:t>Потребительский кредит</w:t>
            </w:r>
          </w:p>
        </w:tc>
      </w:tr>
      <w:tr w:rsidR="00382481" w:rsidRPr="00236F26" w14:paraId="6A540B03" w14:textId="77777777" w:rsidTr="00034511">
        <w:trPr>
          <w:trHeight w:val="255"/>
        </w:trPr>
        <w:tc>
          <w:tcPr>
            <w:tcW w:w="6096" w:type="dxa"/>
            <w:tcBorders>
              <w:top w:val="single" w:sz="4" w:space="0" w:color="auto"/>
              <w:left w:val="single" w:sz="4" w:space="0" w:color="auto"/>
              <w:bottom w:val="single" w:sz="4" w:space="0" w:color="auto"/>
              <w:right w:val="single" w:sz="4" w:space="0" w:color="auto"/>
            </w:tcBorders>
            <w:shd w:val="clear" w:color="auto" w:fill="auto"/>
            <w:vAlign w:val="center"/>
          </w:tcPr>
          <w:p w14:paraId="7B18B6D9" w14:textId="77777777" w:rsidR="00382481" w:rsidRPr="00236F26" w:rsidDel="00ED23AE" w:rsidRDefault="00382481" w:rsidP="00034511">
            <w:pPr>
              <w:widowControl w:val="0"/>
              <w:jc w:val="center"/>
              <w:rPr>
                <w:rFonts w:ascii="Tahoma" w:hAnsi="Tahoma" w:cs="Tahoma"/>
                <w:b/>
                <w:bCs/>
                <w:sz w:val="18"/>
                <w:szCs w:val="18"/>
              </w:rPr>
            </w:pPr>
            <w:r w:rsidRPr="00236F26">
              <w:rPr>
                <w:rFonts w:ascii="Tahoma" w:hAnsi="Tahoma" w:cs="Tahoma"/>
                <w:b/>
                <w:bCs/>
                <w:sz w:val="18"/>
                <w:szCs w:val="18"/>
              </w:rPr>
              <w:lastRenderedPageBreak/>
              <w:t>Цель Кредита</w:t>
            </w:r>
          </w:p>
        </w:tc>
        <w:tc>
          <w:tcPr>
            <w:tcW w:w="9072" w:type="dxa"/>
            <w:gridSpan w:val="3"/>
            <w:tcBorders>
              <w:top w:val="single" w:sz="4" w:space="0" w:color="auto"/>
              <w:left w:val="nil"/>
              <w:bottom w:val="single" w:sz="4" w:space="0" w:color="auto"/>
              <w:right w:val="single" w:sz="4" w:space="0" w:color="auto"/>
            </w:tcBorders>
            <w:shd w:val="clear" w:color="auto" w:fill="auto"/>
            <w:vAlign w:val="center"/>
          </w:tcPr>
          <w:p w14:paraId="7E2B9DDC" w14:textId="77777777" w:rsidR="00382481" w:rsidRPr="00F975EB" w:rsidDel="00ED23AE" w:rsidRDefault="00382481" w:rsidP="00034511">
            <w:pPr>
              <w:widowControl w:val="0"/>
              <w:ind w:left="360"/>
              <w:jc w:val="center"/>
              <w:rPr>
                <w:rFonts w:ascii="Tahoma" w:hAnsi="Tahoma" w:cs="Tahoma"/>
                <w:sz w:val="18"/>
                <w:szCs w:val="18"/>
              </w:rPr>
            </w:pPr>
            <w:r w:rsidRPr="00F975EB">
              <w:rPr>
                <w:rFonts w:ascii="Tahoma" w:hAnsi="Tahoma" w:cs="Tahoma"/>
                <w:sz w:val="18"/>
                <w:szCs w:val="18"/>
              </w:rPr>
              <w:t xml:space="preserve">Нецелевой (на любые потребительские цели) </w:t>
            </w:r>
          </w:p>
        </w:tc>
      </w:tr>
      <w:tr w:rsidR="00382481" w:rsidRPr="00236F26" w14:paraId="19B205E2" w14:textId="77777777" w:rsidTr="00034511">
        <w:trPr>
          <w:trHeight w:val="255"/>
        </w:trPr>
        <w:tc>
          <w:tcPr>
            <w:tcW w:w="60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37694D" w14:textId="77777777" w:rsidR="00382481" w:rsidRPr="00594327" w:rsidRDefault="00382481" w:rsidP="00034511">
            <w:pPr>
              <w:widowControl w:val="0"/>
              <w:jc w:val="center"/>
              <w:rPr>
                <w:rFonts w:ascii="Tahoma" w:hAnsi="Tahoma" w:cs="Tahoma"/>
                <w:b/>
                <w:bCs/>
                <w:sz w:val="18"/>
                <w:szCs w:val="18"/>
              </w:rPr>
            </w:pPr>
            <w:r w:rsidRPr="00594327">
              <w:rPr>
                <w:rFonts w:ascii="Tahoma" w:hAnsi="Tahoma" w:cs="Tahoma"/>
                <w:b/>
                <w:bCs/>
                <w:sz w:val="18"/>
                <w:szCs w:val="18"/>
              </w:rPr>
              <w:t>Подразделения Банка/Точки продаж, реализующие кредитный продукт</w:t>
            </w:r>
          </w:p>
        </w:tc>
        <w:tc>
          <w:tcPr>
            <w:tcW w:w="9072" w:type="dxa"/>
            <w:gridSpan w:val="3"/>
            <w:tcBorders>
              <w:top w:val="single" w:sz="4" w:space="0" w:color="auto"/>
              <w:left w:val="nil"/>
              <w:bottom w:val="single" w:sz="4" w:space="0" w:color="auto"/>
              <w:right w:val="single" w:sz="4" w:space="0" w:color="auto"/>
            </w:tcBorders>
            <w:shd w:val="clear" w:color="auto" w:fill="auto"/>
            <w:vAlign w:val="center"/>
            <w:hideMark/>
          </w:tcPr>
          <w:p w14:paraId="29CF8870" w14:textId="77777777" w:rsidR="00382481" w:rsidRPr="00594327" w:rsidRDefault="00382481" w:rsidP="00034511">
            <w:pPr>
              <w:widowControl w:val="0"/>
              <w:jc w:val="center"/>
              <w:rPr>
                <w:rFonts w:ascii="Tahoma" w:hAnsi="Tahoma" w:cs="Tahoma"/>
                <w:color w:val="000000"/>
                <w:sz w:val="18"/>
                <w:szCs w:val="18"/>
              </w:rPr>
            </w:pPr>
            <w:r w:rsidRPr="00594327">
              <w:rPr>
                <w:rFonts w:ascii="Tahoma" w:hAnsi="Tahoma" w:cs="Tahoma"/>
                <w:color w:val="000000"/>
                <w:sz w:val="18"/>
                <w:szCs w:val="18"/>
              </w:rPr>
              <w:t xml:space="preserve">Все подразделения Банка </w:t>
            </w:r>
          </w:p>
        </w:tc>
      </w:tr>
      <w:tr w:rsidR="00382481" w:rsidRPr="00236F26" w14:paraId="23AA7BAB" w14:textId="77777777" w:rsidTr="00034511">
        <w:trPr>
          <w:trHeight w:val="255"/>
        </w:trPr>
        <w:tc>
          <w:tcPr>
            <w:tcW w:w="60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9876BB" w14:textId="77777777" w:rsidR="00382481" w:rsidRPr="00594327" w:rsidRDefault="00382481" w:rsidP="00034511">
            <w:pPr>
              <w:widowControl w:val="0"/>
              <w:jc w:val="center"/>
              <w:rPr>
                <w:rFonts w:ascii="Tahoma" w:hAnsi="Tahoma" w:cs="Tahoma"/>
                <w:b/>
                <w:bCs/>
                <w:sz w:val="18"/>
                <w:szCs w:val="18"/>
              </w:rPr>
            </w:pPr>
            <w:r w:rsidRPr="00594327">
              <w:rPr>
                <w:rFonts w:ascii="Tahoma" w:hAnsi="Tahoma" w:cs="Tahoma"/>
                <w:b/>
                <w:bCs/>
                <w:sz w:val="18"/>
                <w:szCs w:val="18"/>
              </w:rPr>
              <w:t>Категория Заёмщика</w:t>
            </w:r>
          </w:p>
        </w:tc>
        <w:tc>
          <w:tcPr>
            <w:tcW w:w="9072" w:type="dxa"/>
            <w:gridSpan w:val="3"/>
            <w:tcBorders>
              <w:top w:val="single" w:sz="4" w:space="0" w:color="auto"/>
              <w:left w:val="nil"/>
              <w:bottom w:val="single" w:sz="4" w:space="0" w:color="auto"/>
              <w:right w:val="single" w:sz="4" w:space="0" w:color="auto"/>
            </w:tcBorders>
            <w:shd w:val="clear" w:color="auto" w:fill="auto"/>
            <w:vAlign w:val="center"/>
            <w:hideMark/>
          </w:tcPr>
          <w:p w14:paraId="3D0FD6A6" w14:textId="77777777" w:rsidR="00382481" w:rsidRPr="00594327" w:rsidRDefault="00382481" w:rsidP="00034511">
            <w:pPr>
              <w:widowControl w:val="0"/>
              <w:jc w:val="center"/>
              <w:rPr>
                <w:rFonts w:ascii="Tahoma" w:hAnsi="Tahoma" w:cs="Tahoma"/>
                <w:color w:val="000000"/>
                <w:sz w:val="18"/>
                <w:szCs w:val="18"/>
              </w:rPr>
            </w:pPr>
            <w:r w:rsidRPr="00594327">
              <w:rPr>
                <w:rFonts w:ascii="Tahoma" w:hAnsi="Tahoma" w:cs="Tahoma"/>
                <w:color w:val="000000"/>
                <w:sz w:val="18"/>
                <w:szCs w:val="18"/>
              </w:rPr>
              <w:t>Заёмщик по основному месту работы: имеет ежемесячные перечисления заработной платы</w:t>
            </w:r>
            <w:r w:rsidRPr="00594327">
              <w:rPr>
                <w:rFonts w:ascii="Tahoma" w:hAnsi="Tahoma" w:cs="Tahoma"/>
                <w:b/>
                <w:bCs/>
                <w:sz w:val="18"/>
                <w:szCs w:val="18"/>
                <w:vertAlign w:val="superscript"/>
              </w:rPr>
              <w:t>*</w:t>
            </w:r>
            <w:r w:rsidRPr="00594327">
              <w:rPr>
                <w:rFonts w:ascii="Tahoma" w:hAnsi="Tahoma" w:cs="Tahoma"/>
                <w:color w:val="000000"/>
                <w:sz w:val="18"/>
                <w:szCs w:val="18"/>
              </w:rPr>
              <w:t xml:space="preserve"> на Счет, открытый в Банке или является работником Организации, которая включена </w:t>
            </w:r>
            <w:hyperlink r:id="rId32" w:history="1">
              <w:r w:rsidRPr="00594327">
                <w:rPr>
                  <w:rStyle w:val="aff"/>
                  <w:rFonts w:ascii="Tahoma" w:hAnsi="Tahoma" w:cs="Tahoma"/>
                  <w:sz w:val="18"/>
                  <w:szCs w:val="18"/>
                </w:rPr>
                <w:t>в реестр льготного кредитования</w:t>
              </w:r>
            </w:hyperlink>
          </w:p>
        </w:tc>
      </w:tr>
      <w:tr w:rsidR="00382481" w:rsidRPr="00236F26" w14:paraId="13E035DB" w14:textId="77777777" w:rsidTr="00034511">
        <w:trPr>
          <w:trHeight w:val="255"/>
        </w:trPr>
        <w:tc>
          <w:tcPr>
            <w:tcW w:w="6096" w:type="dxa"/>
            <w:tcBorders>
              <w:top w:val="single" w:sz="4" w:space="0" w:color="auto"/>
              <w:left w:val="single" w:sz="4" w:space="0" w:color="auto"/>
              <w:bottom w:val="single" w:sz="4" w:space="0" w:color="auto"/>
              <w:right w:val="single" w:sz="4" w:space="0" w:color="auto"/>
            </w:tcBorders>
            <w:shd w:val="clear" w:color="auto" w:fill="auto"/>
            <w:vAlign w:val="center"/>
          </w:tcPr>
          <w:p w14:paraId="5E570F09" w14:textId="77777777" w:rsidR="00382481" w:rsidRPr="00594327" w:rsidRDefault="00382481" w:rsidP="00034511">
            <w:pPr>
              <w:widowControl w:val="0"/>
              <w:jc w:val="center"/>
              <w:rPr>
                <w:rFonts w:ascii="Tahoma" w:hAnsi="Tahoma" w:cs="Tahoma"/>
                <w:b/>
                <w:bCs/>
                <w:sz w:val="18"/>
                <w:szCs w:val="18"/>
              </w:rPr>
            </w:pPr>
            <w:r w:rsidRPr="00594327">
              <w:rPr>
                <w:rFonts w:ascii="Tahoma" w:hAnsi="Tahoma" w:cs="Tahoma"/>
                <w:b/>
                <w:bCs/>
                <w:sz w:val="18"/>
                <w:szCs w:val="18"/>
              </w:rPr>
              <w:t>Валюта, в которой предоставляется Кредит</w:t>
            </w:r>
          </w:p>
        </w:tc>
        <w:tc>
          <w:tcPr>
            <w:tcW w:w="9072" w:type="dxa"/>
            <w:gridSpan w:val="3"/>
            <w:tcBorders>
              <w:top w:val="single" w:sz="4" w:space="0" w:color="auto"/>
              <w:left w:val="nil"/>
              <w:bottom w:val="single" w:sz="4" w:space="0" w:color="auto"/>
              <w:right w:val="single" w:sz="4" w:space="0" w:color="auto"/>
            </w:tcBorders>
            <w:shd w:val="clear" w:color="auto" w:fill="auto"/>
            <w:vAlign w:val="center"/>
          </w:tcPr>
          <w:p w14:paraId="4CE8A3C9" w14:textId="77777777" w:rsidR="00382481" w:rsidRPr="00594327" w:rsidRDefault="00382481" w:rsidP="00034511">
            <w:pPr>
              <w:widowControl w:val="0"/>
              <w:jc w:val="center"/>
              <w:rPr>
                <w:rFonts w:ascii="Tahoma" w:hAnsi="Tahoma" w:cs="Tahoma"/>
                <w:color w:val="000000"/>
                <w:sz w:val="18"/>
                <w:szCs w:val="18"/>
              </w:rPr>
            </w:pPr>
            <w:r w:rsidRPr="00594327">
              <w:rPr>
                <w:rFonts w:ascii="Tahoma" w:hAnsi="Tahoma" w:cs="Tahoma"/>
                <w:color w:val="000000"/>
                <w:sz w:val="18"/>
                <w:szCs w:val="18"/>
              </w:rPr>
              <w:t>Рубль Российской Федерации (далее – рубль)</w:t>
            </w:r>
          </w:p>
        </w:tc>
      </w:tr>
      <w:tr w:rsidR="00382481" w:rsidRPr="00BB6A50" w14:paraId="291F1B1F" w14:textId="77777777" w:rsidTr="00034511">
        <w:trPr>
          <w:trHeight w:val="255"/>
        </w:trPr>
        <w:tc>
          <w:tcPr>
            <w:tcW w:w="60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7ED240" w14:textId="77777777" w:rsidR="00382481" w:rsidRPr="00BB6A50" w:rsidRDefault="00382481" w:rsidP="00034511">
            <w:pPr>
              <w:widowControl w:val="0"/>
              <w:jc w:val="center"/>
              <w:rPr>
                <w:rFonts w:ascii="Tahoma" w:hAnsi="Tahoma" w:cs="Tahoma"/>
                <w:b/>
                <w:bCs/>
                <w:sz w:val="18"/>
                <w:szCs w:val="18"/>
              </w:rPr>
            </w:pPr>
            <w:r w:rsidRPr="00BB6A50">
              <w:rPr>
                <w:rFonts w:ascii="Tahoma" w:hAnsi="Tahoma" w:cs="Tahoma"/>
                <w:b/>
                <w:bCs/>
                <w:sz w:val="18"/>
                <w:szCs w:val="18"/>
              </w:rPr>
              <w:t>Минимальная сумма Кредита</w:t>
            </w:r>
          </w:p>
        </w:tc>
        <w:tc>
          <w:tcPr>
            <w:tcW w:w="9072" w:type="dxa"/>
            <w:gridSpan w:val="3"/>
            <w:tcBorders>
              <w:top w:val="single" w:sz="4" w:space="0" w:color="auto"/>
              <w:left w:val="nil"/>
              <w:bottom w:val="single" w:sz="4" w:space="0" w:color="auto"/>
              <w:right w:val="single" w:sz="4" w:space="0" w:color="auto"/>
            </w:tcBorders>
            <w:shd w:val="clear" w:color="auto" w:fill="auto"/>
            <w:vAlign w:val="center"/>
            <w:hideMark/>
          </w:tcPr>
          <w:p w14:paraId="6B54A3DC" w14:textId="77777777" w:rsidR="00382481" w:rsidRPr="00BB6A50" w:rsidRDefault="00382481" w:rsidP="00034511">
            <w:pPr>
              <w:jc w:val="center"/>
              <w:rPr>
                <w:rFonts w:ascii="Tahoma" w:hAnsi="Tahoma" w:cs="Tahoma"/>
                <w:sz w:val="18"/>
                <w:szCs w:val="18"/>
              </w:rPr>
            </w:pPr>
            <w:r w:rsidRPr="00BB6A50">
              <w:rPr>
                <w:rFonts w:ascii="Tahoma" w:hAnsi="Tahoma" w:cs="Tahoma"/>
                <w:sz w:val="18"/>
                <w:szCs w:val="18"/>
              </w:rPr>
              <w:t>30 000,00 рублей</w:t>
            </w:r>
          </w:p>
        </w:tc>
      </w:tr>
      <w:tr w:rsidR="00382481" w:rsidRPr="00BB6A50" w14:paraId="67628116" w14:textId="77777777" w:rsidTr="00034511">
        <w:trPr>
          <w:trHeight w:val="193"/>
        </w:trPr>
        <w:tc>
          <w:tcPr>
            <w:tcW w:w="6096" w:type="dxa"/>
            <w:tcBorders>
              <w:top w:val="single" w:sz="4" w:space="0" w:color="auto"/>
              <w:left w:val="single" w:sz="4" w:space="0" w:color="auto"/>
              <w:bottom w:val="single" w:sz="4" w:space="0" w:color="auto"/>
              <w:right w:val="single" w:sz="4" w:space="0" w:color="auto"/>
            </w:tcBorders>
            <w:shd w:val="clear" w:color="auto" w:fill="auto"/>
            <w:vAlign w:val="center"/>
          </w:tcPr>
          <w:p w14:paraId="296032D4" w14:textId="77777777" w:rsidR="00382481" w:rsidRPr="00BB6A50" w:rsidRDefault="00382481" w:rsidP="00034511">
            <w:pPr>
              <w:widowControl w:val="0"/>
              <w:jc w:val="center"/>
              <w:rPr>
                <w:rFonts w:ascii="Tahoma" w:hAnsi="Tahoma" w:cs="Tahoma"/>
                <w:b/>
                <w:bCs/>
                <w:sz w:val="18"/>
                <w:szCs w:val="18"/>
              </w:rPr>
            </w:pPr>
            <w:r w:rsidRPr="00BB6A50">
              <w:rPr>
                <w:rFonts w:ascii="Tahoma" w:hAnsi="Tahoma" w:cs="Tahoma"/>
                <w:b/>
                <w:bCs/>
                <w:sz w:val="18"/>
                <w:szCs w:val="18"/>
              </w:rPr>
              <w:t>Максимальная сумма Кредита</w:t>
            </w:r>
            <w:r w:rsidRPr="00BB6A50">
              <w:rPr>
                <w:rFonts w:ascii="Tahoma" w:hAnsi="Tahoma" w:cs="Tahoma"/>
                <w:b/>
                <w:bCs/>
                <w:sz w:val="18"/>
                <w:szCs w:val="18"/>
                <w:vertAlign w:val="superscript"/>
              </w:rPr>
              <w:t>**</w:t>
            </w:r>
          </w:p>
        </w:tc>
        <w:tc>
          <w:tcPr>
            <w:tcW w:w="9072" w:type="dxa"/>
            <w:gridSpan w:val="3"/>
            <w:tcBorders>
              <w:top w:val="single" w:sz="4" w:space="0" w:color="auto"/>
              <w:left w:val="nil"/>
              <w:bottom w:val="single" w:sz="4" w:space="0" w:color="auto"/>
              <w:right w:val="single" w:sz="4" w:space="0" w:color="auto"/>
            </w:tcBorders>
            <w:shd w:val="clear" w:color="auto" w:fill="auto"/>
            <w:vAlign w:val="center"/>
          </w:tcPr>
          <w:p w14:paraId="6A8ABC31" w14:textId="77777777" w:rsidR="00382481" w:rsidRPr="00BB6A50" w:rsidRDefault="00382481" w:rsidP="00034511">
            <w:pPr>
              <w:jc w:val="center"/>
              <w:rPr>
                <w:rFonts w:ascii="Tahoma" w:hAnsi="Tahoma" w:cs="Tahoma"/>
                <w:sz w:val="18"/>
                <w:szCs w:val="18"/>
              </w:rPr>
            </w:pPr>
            <w:r w:rsidRPr="00BB6A50">
              <w:rPr>
                <w:rFonts w:ascii="Tahoma" w:hAnsi="Tahoma" w:cs="Tahoma"/>
                <w:sz w:val="18"/>
                <w:szCs w:val="18"/>
              </w:rPr>
              <w:t>5 000 000,00 рублей</w:t>
            </w:r>
          </w:p>
        </w:tc>
      </w:tr>
      <w:tr w:rsidR="00382481" w:rsidRPr="00BB6A50" w14:paraId="23243922" w14:textId="77777777" w:rsidTr="00034511">
        <w:trPr>
          <w:trHeight w:val="255"/>
        </w:trPr>
        <w:tc>
          <w:tcPr>
            <w:tcW w:w="60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FF084D" w14:textId="77777777" w:rsidR="00382481" w:rsidRPr="00BB6A50" w:rsidRDefault="00382481" w:rsidP="00034511">
            <w:pPr>
              <w:widowControl w:val="0"/>
              <w:jc w:val="center"/>
              <w:rPr>
                <w:rFonts w:ascii="Tahoma" w:hAnsi="Tahoma" w:cs="Tahoma"/>
                <w:b/>
                <w:bCs/>
                <w:sz w:val="18"/>
                <w:szCs w:val="18"/>
              </w:rPr>
            </w:pPr>
            <w:r w:rsidRPr="00BB6A50">
              <w:rPr>
                <w:rFonts w:ascii="Tahoma" w:hAnsi="Tahoma" w:cs="Tahoma"/>
                <w:b/>
                <w:bCs/>
                <w:sz w:val="18"/>
                <w:szCs w:val="18"/>
              </w:rPr>
              <w:t>Диапазон сроков возврата Кредита</w:t>
            </w:r>
          </w:p>
        </w:tc>
        <w:tc>
          <w:tcPr>
            <w:tcW w:w="9072" w:type="dxa"/>
            <w:gridSpan w:val="3"/>
            <w:tcBorders>
              <w:top w:val="single" w:sz="4" w:space="0" w:color="auto"/>
              <w:left w:val="nil"/>
              <w:bottom w:val="single" w:sz="4" w:space="0" w:color="auto"/>
              <w:right w:val="single" w:sz="4" w:space="0" w:color="auto"/>
            </w:tcBorders>
            <w:shd w:val="clear" w:color="auto" w:fill="auto"/>
            <w:vAlign w:val="center"/>
            <w:hideMark/>
          </w:tcPr>
          <w:p w14:paraId="7AEE4D9B" w14:textId="77777777" w:rsidR="00382481" w:rsidRPr="00BB6A50" w:rsidRDefault="00382481" w:rsidP="00034511">
            <w:pPr>
              <w:widowControl w:val="0"/>
              <w:jc w:val="center"/>
              <w:rPr>
                <w:rFonts w:ascii="Tahoma" w:hAnsi="Tahoma" w:cs="Tahoma"/>
                <w:sz w:val="18"/>
                <w:szCs w:val="18"/>
              </w:rPr>
            </w:pPr>
            <w:r w:rsidRPr="00BB6A50">
              <w:rPr>
                <w:rFonts w:ascii="Tahoma" w:hAnsi="Tahoma" w:cs="Tahoma"/>
                <w:sz w:val="18"/>
                <w:szCs w:val="18"/>
              </w:rPr>
              <w:t>от 13 (тринадцати) до 84 (восемьдесят четыре) месяцев (включительно) с шагом в 1 (один) месяц</w:t>
            </w:r>
          </w:p>
        </w:tc>
      </w:tr>
      <w:tr w:rsidR="00382481" w:rsidRPr="00BB6A50" w14:paraId="396CBB54" w14:textId="77777777" w:rsidTr="00034511">
        <w:trPr>
          <w:trHeight w:val="482"/>
        </w:trPr>
        <w:tc>
          <w:tcPr>
            <w:tcW w:w="6096" w:type="dxa"/>
            <w:vMerge w:val="restart"/>
            <w:tcBorders>
              <w:top w:val="single" w:sz="4" w:space="0" w:color="auto"/>
              <w:left w:val="single" w:sz="4" w:space="0" w:color="auto"/>
              <w:right w:val="single" w:sz="4" w:space="0" w:color="auto"/>
            </w:tcBorders>
            <w:shd w:val="clear" w:color="auto" w:fill="auto"/>
            <w:vAlign w:val="center"/>
          </w:tcPr>
          <w:p w14:paraId="3FB090B6" w14:textId="77777777" w:rsidR="00382481" w:rsidRPr="00BB6A50" w:rsidRDefault="00382481" w:rsidP="00034511">
            <w:pPr>
              <w:widowControl w:val="0"/>
              <w:jc w:val="center"/>
              <w:rPr>
                <w:rFonts w:ascii="Tahoma" w:hAnsi="Tahoma" w:cs="Tahoma"/>
                <w:b/>
                <w:bCs/>
                <w:sz w:val="18"/>
                <w:szCs w:val="18"/>
              </w:rPr>
            </w:pPr>
            <w:r w:rsidRPr="00BB6A50">
              <w:rPr>
                <w:rFonts w:ascii="Tahoma" w:hAnsi="Tahoma" w:cs="Tahoma"/>
                <w:b/>
                <w:bCs/>
                <w:sz w:val="18"/>
                <w:szCs w:val="18"/>
              </w:rPr>
              <w:t xml:space="preserve">Диапазон процентных ставок </w:t>
            </w:r>
          </w:p>
          <w:p w14:paraId="73AC7B44" w14:textId="77777777" w:rsidR="00382481" w:rsidRPr="00BB6A50" w:rsidRDefault="00382481" w:rsidP="00034511">
            <w:pPr>
              <w:widowControl w:val="0"/>
              <w:jc w:val="center"/>
              <w:rPr>
                <w:rFonts w:ascii="Tahoma" w:hAnsi="Tahoma" w:cs="Tahoma"/>
                <w:b/>
                <w:bCs/>
                <w:sz w:val="18"/>
                <w:szCs w:val="18"/>
              </w:rPr>
            </w:pPr>
            <w:r w:rsidRPr="00BB6A50">
              <w:rPr>
                <w:rFonts w:ascii="Tahoma" w:hAnsi="Tahoma" w:cs="Tahoma"/>
                <w:b/>
                <w:bCs/>
                <w:sz w:val="18"/>
                <w:szCs w:val="18"/>
              </w:rPr>
              <w:t xml:space="preserve">в процентах годовых </w:t>
            </w:r>
          </w:p>
          <w:p w14:paraId="3B01E826" w14:textId="77777777" w:rsidR="00382481" w:rsidRPr="00BB6A50" w:rsidRDefault="00382481" w:rsidP="00034511">
            <w:pPr>
              <w:widowControl w:val="0"/>
              <w:jc w:val="center"/>
              <w:rPr>
                <w:rFonts w:ascii="Tahoma" w:hAnsi="Tahoma" w:cs="Tahoma"/>
                <w:b/>
                <w:bCs/>
                <w:sz w:val="18"/>
                <w:szCs w:val="18"/>
              </w:rPr>
            </w:pPr>
            <w:r w:rsidRPr="00BB6A50">
              <w:rPr>
                <w:rFonts w:ascii="Tahoma" w:hAnsi="Tahoma" w:cs="Tahoma"/>
                <w:b/>
                <w:bCs/>
                <w:sz w:val="18"/>
                <w:szCs w:val="18"/>
              </w:rPr>
              <w:t>(ставка определяется индивидуально по итогам рассмотрения Заявления на кредит)</w:t>
            </w:r>
          </w:p>
        </w:tc>
        <w:tc>
          <w:tcPr>
            <w:tcW w:w="4947" w:type="dxa"/>
            <w:tcBorders>
              <w:top w:val="single" w:sz="4" w:space="0" w:color="auto"/>
              <w:left w:val="nil"/>
              <w:bottom w:val="single" w:sz="4" w:space="0" w:color="auto"/>
              <w:right w:val="single" w:sz="4" w:space="0" w:color="auto"/>
            </w:tcBorders>
            <w:shd w:val="clear" w:color="auto" w:fill="auto"/>
            <w:vAlign w:val="center"/>
          </w:tcPr>
          <w:p w14:paraId="5333CACD" w14:textId="77777777" w:rsidR="00382481" w:rsidRPr="00BB6A50" w:rsidRDefault="00382481" w:rsidP="00034511">
            <w:pPr>
              <w:widowControl w:val="0"/>
              <w:jc w:val="center"/>
              <w:rPr>
                <w:rFonts w:ascii="Tahoma" w:hAnsi="Tahoma" w:cs="Tahoma"/>
                <w:b/>
                <w:sz w:val="18"/>
                <w:szCs w:val="18"/>
              </w:rPr>
            </w:pPr>
            <w:r w:rsidRPr="00BB6A50">
              <w:rPr>
                <w:rFonts w:ascii="Tahoma" w:hAnsi="Tahoma" w:cs="Tahoma"/>
                <w:b/>
                <w:sz w:val="18"/>
                <w:szCs w:val="18"/>
              </w:rPr>
              <w:t>Процентная ставка (в процентах годовых) при заключении Заемщиком договора личного страхования</w:t>
            </w:r>
            <w:r w:rsidRPr="00BB6A50">
              <w:rPr>
                <w:rFonts w:ascii="Tahoma" w:hAnsi="Tahoma" w:cs="Tahoma"/>
                <w:b/>
                <w:sz w:val="18"/>
                <w:szCs w:val="18"/>
                <w:vertAlign w:val="superscript"/>
              </w:rPr>
              <w:t>***</w:t>
            </w:r>
          </w:p>
        </w:tc>
        <w:tc>
          <w:tcPr>
            <w:tcW w:w="4125" w:type="dxa"/>
            <w:gridSpan w:val="2"/>
            <w:tcBorders>
              <w:top w:val="single" w:sz="4" w:space="0" w:color="auto"/>
              <w:left w:val="nil"/>
              <w:bottom w:val="single" w:sz="4" w:space="0" w:color="auto"/>
              <w:right w:val="single" w:sz="4" w:space="0" w:color="auto"/>
            </w:tcBorders>
            <w:shd w:val="clear" w:color="auto" w:fill="auto"/>
            <w:vAlign w:val="center"/>
          </w:tcPr>
          <w:p w14:paraId="04F801E1" w14:textId="77777777" w:rsidR="00382481" w:rsidRPr="00BB6A50" w:rsidRDefault="00382481" w:rsidP="00034511">
            <w:pPr>
              <w:widowControl w:val="0"/>
              <w:jc w:val="center"/>
              <w:rPr>
                <w:rFonts w:ascii="Tahoma" w:hAnsi="Tahoma" w:cs="Tahoma"/>
                <w:b/>
                <w:sz w:val="18"/>
                <w:szCs w:val="18"/>
              </w:rPr>
            </w:pPr>
            <w:r w:rsidRPr="00BB6A50">
              <w:rPr>
                <w:rFonts w:ascii="Tahoma" w:hAnsi="Tahoma" w:cs="Tahoma"/>
                <w:b/>
                <w:sz w:val="18"/>
                <w:szCs w:val="18"/>
              </w:rPr>
              <w:t>Процентная ставка (в процентах годовых) без заключения Заемщиком договора личного страхования</w:t>
            </w:r>
            <w:r w:rsidRPr="00BB6A50">
              <w:rPr>
                <w:rFonts w:ascii="Tahoma" w:hAnsi="Tahoma" w:cs="Tahoma"/>
                <w:b/>
                <w:sz w:val="18"/>
                <w:szCs w:val="18"/>
                <w:vertAlign w:val="superscript"/>
              </w:rPr>
              <w:t>***</w:t>
            </w:r>
          </w:p>
        </w:tc>
      </w:tr>
      <w:tr w:rsidR="00382481" w:rsidRPr="00BB6A50" w14:paraId="1D013123" w14:textId="77777777" w:rsidTr="00034511">
        <w:trPr>
          <w:trHeight w:val="482"/>
        </w:trPr>
        <w:tc>
          <w:tcPr>
            <w:tcW w:w="6096" w:type="dxa"/>
            <w:vMerge/>
            <w:tcBorders>
              <w:left w:val="single" w:sz="4" w:space="0" w:color="auto"/>
              <w:bottom w:val="single" w:sz="4" w:space="0" w:color="auto"/>
              <w:right w:val="single" w:sz="4" w:space="0" w:color="auto"/>
            </w:tcBorders>
            <w:shd w:val="clear" w:color="auto" w:fill="auto"/>
            <w:vAlign w:val="center"/>
          </w:tcPr>
          <w:p w14:paraId="1B5B4DE6" w14:textId="77777777" w:rsidR="00382481" w:rsidRPr="00BB6A50" w:rsidRDefault="00382481" w:rsidP="00034511">
            <w:pPr>
              <w:widowControl w:val="0"/>
              <w:jc w:val="center"/>
              <w:rPr>
                <w:rFonts w:ascii="Tahoma" w:hAnsi="Tahoma" w:cs="Tahoma"/>
                <w:b/>
                <w:bCs/>
                <w:sz w:val="18"/>
                <w:szCs w:val="18"/>
              </w:rPr>
            </w:pPr>
          </w:p>
        </w:tc>
        <w:tc>
          <w:tcPr>
            <w:tcW w:w="4947" w:type="dxa"/>
            <w:tcBorders>
              <w:top w:val="single" w:sz="4" w:space="0" w:color="auto"/>
              <w:left w:val="nil"/>
              <w:bottom w:val="single" w:sz="4" w:space="0" w:color="auto"/>
              <w:right w:val="single" w:sz="4" w:space="0" w:color="auto"/>
            </w:tcBorders>
            <w:shd w:val="clear" w:color="auto" w:fill="auto"/>
            <w:vAlign w:val="center"/>
          </w:tcPr>
          <w:p w14:paraId="18C835DE" w14:textId="77777777" w:rsidR="00382481" w:rsidRPr="00AA27D5" w:rsidRDefault="00382481" w:rsidP="00034511">
            <w:pPr>
              <w:widowControl w:val="0"/>
              <w:jc w:val="center"/>
              <w:rPr>
                <w:rFonts w:ascii="Tahoma" w:hAnsi="Tahoma" w:cs="Tahoma"/>
                <w:sz w:val="18"/>
                <w:szCs w:val="18"/>
              </w:rPr>
            </w:pPr>
            <w:r w:rsidRPr="00AA27D5">
              <w:rPr>
                <w:rFonts w:ascii="Tahoma" w:hAnsi="Tahoma" w:cs="Tahoma"/>
                <w:sz w:val="18"/>
                <w:szCs w:val="18"/>
              </w:rPr>
              <w:t>22,9%</w:t>
            </w:r>
          </w:p>
        </w:tc>
        <w:tc>
          <w:tcPr>
            <w:tcW w:w="4125" w:type="dxa"/>
            <w:gridSpan w:val="2"/>
            <w:tcBorders>
              <w:top w:val="single" w:sz="4" w:space="0" w:color="auto"/>
              <w:left w:val="nil"/>
              <w:bottom w:val="single" w:sz="4" w:space="0" w:color="auto"/>
              <w:right w:val="single" w:sz="4" w:space="0" w:color="auto"/>
            </w:tcBorders>
            <w:shd w:val="clear" w:color="auto" w:fill="auto"/>
            <w:vAlign w:val="center"/>
          </w:tcPr>
          <w:p w14:paraId="53C739CC" w14:textId="77777777" w:rsidR="00382481" w:rsidRPr="00AA27D5" w:rsidRDefault="00382481" w:rsidP="00034511">
            <w:pPr>
              <w:widowControl w:val="0"/>
              <w:jc w:val="center"/>
              <w:rPr>
                <w:rFonts w:ascii="Tahoma" w:hAnsi="Tahoma" w:cs="Tahoma"/>
                <w:sz w:val="18"/>
                <w:szCs w:val="18"/>
              </w:rPr>
            </w:pPr>
            <w:r w:rsidRPr="00AA27D5">
              <w:rPr>
                <w:rFonts w:ascii="Tahoma" w:hAnsi="Tahoma" w:cs="Tahoma"/>
                <w:sz w:val="18"/>
                <w:szCs w:val="18"/>
              </w:rPr>
              <w:t>30,9%</w:t>
            </w:r>
          </w:p>
        </w:tc>
      </w:tr>
      <w:tr w:rsidR="00382481" w:rsidRPr="00BB6A50" w14:paraId="3A17B1CA" w14:textId="77777777" w:rsidTr="00034511">
        <w:trPr>
          <w:trHeight w:val="70"/>
        </w:trPr>
        <w:tc>
          <w:tcPr>
            <w:tcW w:w="6096" w:type="dxa"/>
            <w:tcBorders>
              <w:top w:val="single" w:sz="4" w:space="0" w:color="auto"/>
              <w:left w:val="single" w:sz="4" w:space="0" w:color="auto"/>
              <w:right w:val="single" w:sz="4" w:space="0" w:color="auto"/>
            </w:tcBorders>
            <w:shd w:val="clear" w:color="auto" w:fill="auto"/>
            <w:vAlign w:val="center"/>
          </w:tcPr>
          <w:p w14:paraId="51C6C004" w14:textId="77777777" w:rsidR="00382481" w:rsidRPr="00BB6A50" w:rsidRDefault="00382481" w:rsidP="00034511">
            <w:pPr>
              <w:jc w:val="center"/>
              <w:rPr>
                <w:rFonts w:ascii="Tahoma" w:hAnsi="Tahoma" w:cs="Tahoma"/>
                <w:color w:val="1F497D"/>
                <w:sz w:val="18"/>
                <w:szCs w:val="18"/>
              </w:rPr>
            </w:pPr>
            <w:r w:rsidRPr="00BB6A50">
              <w:rPr>
                <w:rFonts w:ascii="Tahoma" w:hAnsi="Tahoma" w:cs="Tahoma"/>
                <w:b/>
                <w:bCs/>
                <w:color w:val="000000"/>
                <w:sz w:val="18"/>
                <w:szCs w:val="18"/>
              </w:rPr>
              <w:t>Диапазон значений полной стоимости Кредита в процентном и денежном выражении</w:t>
            </w:r>
          </w:p>
        </w:tc>
        <w:tc>
          <w:tcPr>
            <w:tcW w:w="9072" w:type="dxa"/>
            <w:gridSpan w:val="3"/>
            <w:tcBorders>
              <w:top w:val="single" w:sz="4" w:space="0" w:color="auto"/>
              <w:left w:val="single" w:sz="4" w:space="0" w:color="auto"/>
              <w:right w:val="single" w:sz="4" w:space="0" w:color="auto"/>
            </w:tcBorders>
            <w:shd w:val="clear" w:color="auto" w:fill="auto"/>
            <w:vAlign w:val="center"/>
          </w:tcPr>
          <w:p w14:paraId="50C12B0D" w14:textId="77777777" w:rsidR="00382481" w:rsidRPr="00AA27D5" w:rsidRDefault="00382481" w:rsidP="00034511">
            <w:pPr>
              <w:widowControl w:val="0"/>
              <w:jc w:val="center"/>
              <w:rPr>
                <w:rFonts w:ascii="Tahoma" w:hAnsi="Tahoma" w:cs="Tahoma"/>
                <w:color w:val="000000"/>
                <w:sz w:val="18"/>
                <w:szCs w:val="18"/>
              </w:rPr>
            </w:pPr>
            <w:r w:rsidRPr="00AA27D5">
              <w:rPr>
                <w:rFonts w:ascii="Tahoma" w:hAnsi="Tahoma" w:cs="Tahoma"/>
                <w:color w:val="000000"/>
                <w:sz w:val="18"/>
                <w:szCs w:val="18"/>
              </w:rPr>
              <w:t>22,880%</w:t>
            </w:r>
            <w:r w:rsidRPr="00AA27D5">
              <w:rPr>
                <w:rFonts w:ascii="Tahoma" w:hAnsi="Tahoma" w:cs="Tahoma"/>
                <w:color w:val="000000"/>
                <w:sz w:val="18"/>
                <w:szCs w:val="18"/>
                <w:vertAlign w:val="superscript"/>
              </w:rPr>
              <w:footnoteReference w:id="7"/>
            </w:r>
            <w:r w:rsidRPr="00AA27D5">
              <w:rPr>
                <w:rFonts w:ascii="Tahoma" w:hAnsi="Tahoma" w:cs="Tahoma"/>
                <w:color w:val="000000"/>
                <w:sz w:val="18"/>
                <w:szCs w:val="18"/>
              </w:rPr>
              <w:t xml:space="preserve"> годовых – 30,879%</w:t>
            </w:r>
            <w:r w:rsidRPr="00AA27D5">
              <w:rPr>
                <w:rFonts w:ascii="Tahoma" w:hAnsi="Tahoma" w:cs="Tahoma"/>
                <w:color w:val="000000"/>
                <w:sz w:val="18"/>
                <w:szCs w:val="18"/>
                <w:vertAlign w:val="superscript"/>
              </w:rPr>
              <w:footnoteReference w:id="8"/>
            </w:r>
            <w:r w:rsidRPr="00AA27D5">
              <w:rPr>
                <w:rFonts w:ascii="Tahoma" w:hAnsi="Tahoma" w:cs="Tahoma"/>
                <w:color w:val="000000"/>
                <w:sz w:val="18"/>
                <w:szCs w:val="18"/>
              </w:rPr>
              <w:t xml:space="preserve"> годовых</w:t>
            </w:r>
          </w:p>
          <w:p w14:paraId="1D9D6425" w14:textId="77777777" w:rsidR="00382481" w:rsidRPr="00AA27D5" w:rsidRDefault="00382481" w:rsidP="00034511">
            <w:pPr>
              <w:widowControl w:val="0"/>
              <w:jc w:val="center"/>
              <w:rPr>
                <w:rFonts w:ascii="Tahoma" w:hAnsi="Tahoma" w:cs="Tahoma"/>
                <w:color w:val="000000"/>
                <w:sz w:val="18"/>
                <w:szCs w:val="18"/>
              </w:rPr>
            </w:pPr>
            <w:r w:rsidRPr="00AA27D5">
              <w:rPr>
                <w:rFonts w:ascii="Tahoma" w:hAnsi="Tahoma" w:cs="Tahoma"/>
                <w:color w:val="000000"/>
                <w:sz w:val="18"/>
                <w:szCs w:val="18"/>
              </w:rPr>
              <w:t xml:space="preserve">4 141,20 рублей </w:t>
            </w:r>
            <w:r w:rsidRPr="00AA27D5">
              <w:rPr>
                <w:rFonts w:ascii="Tahoma" w:hAnsi="Tahoma" w:cs="Tahoma"/>
                <w:color w:val="000000"/>
                <w:sz w:val="18"/>
                <w:szCs w:val="18"/>
                <w:vertAlign w:val="superscript"/>
              </w:rPr>
              <w:t>1</w:t>
            </w:r>
            <w:r w:rsidRPr="00AA27D5">
              <w:rPr>
                <w:rFonts w:ascii="Tahoma" w:hAnsi="Tahoma" w:cs="Tahoma"/>
                <w:color w:val="000000"/>
                <w:sz w:val="18"/>
                <w:szCs w:val="18"/>
              </w:rPr>
              <w:t xml:space="preserve"> – 7 238 806,18 рублей</w:t>
            </w:r>
            <w:r w:rsidRPr="00AA27D5">
              <w:rPr>
                <w:rFonts w:ascii="Tahoma" w:hAnsi="Tahoma" w:cs="Tahoma"/>
                <w:color w:val="000000"/>
                <w:sz w:val="18"/>
                <w:szCs w:val="18"/>
                <w:vertAlign w:val="superscript"/>
              </w:rPr>
              <w:t>2</w:t>
            </w:r>
          </w:p>
        </w:tc>
      </w:tr>
      <w:tr w:rsidR="00382481" w:rsidRPr="00BB6A50" w14:paraId="4DECC5BB" w14:textId="77777777" w:rsidTr="00034511">
        <w:trPr>
          <w:trHeight w:val="645"/>
        </w:trPr>
        <w:tc>
          <w:tcPr>
            <w:tcW w:w="60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0C5DC3" w14:textId="77777777" w:rsidR="00382481" w:rsidRPr="00BB6A50" w:rsidRDefault="00382481" w:rsidP="00034511">
            <w:pPr>
              <w:widowControl w:val="0"/>
              <w:jc w:val="center"/>
              <w:rPr>
                <w:rFonts w:ascii="Tahoma" w:hAnsi="Tahoma" w:cs="Tahoma"/>
                <w:b/>
                <w:bCs/>
                <w:sz w:val="18"/>
                <w:szCs w:val="18"/>
              </w:rPr>
            </w:pPr>
            <w:r w:rsidRPr="00BB6A50">
              <w:rPr>
                <w:rFonts w:ascii="Tahoma" w:hAnsi="Tahoma" w:cs="Tahoma"/>
                <w:b/>
                <w:bCs/>
                <w:sz w:val="18"/>
                <w:szCs w:val="18"/>
              </w:rPr>
              <w:t>Срок рассмотрения Банком заявления Заёмщика о предоставлении потребительского Кредита</w:t>
            </w:r>
          </w:p>
        </w:tc>
        <w:tc>
          <w:tcPr>
            <w:tcW w:w="9072" w:type="dxa"/>
            <w:gridSpan w:val="3"/>
            <w:tcBorders>
              <w:top w:val="single" w:sz="4" w:space="0" w:color="auto"/>
              <w:left w:val="nil"/>
              <w:bottom w:val="single" w:sz="4" w:space="0" w:color="auto"/>
              <w:right w:val="single" w:sz="4" w:space="0" w:color="auto"/>
            </w:tcBorders>
            <w:shd w:val="clear" w:color="auto" w:fill="auto"/>
            <w:vAlign w:val="center"/>
            <w:hideMark/>
          </w:tcPr>
          <w:p w14:paraId="0775D158" w14:textId="77777777" w:rsidR="00382481" w:rsidRPr="00BB6A50" w:rsidRDefault="00382481" w:rsidP="00034511">
            <w:pPr>
              <w:widowControl w:val="0"/>
              <w:jc w:val="both"/>
              <w:rPr>
                <w:rFonts w:ascii="Tahoma" w:hAnsi="Tahoma" w:cs="Tahoma"/>
                <w:sz w:val="18"/>
                <w:szCs w:val="18"/>
              </w:rPr>
            </w:pPr>
            <w:r w:rsidRPr="00BB6A50">
              <w:rPr>
                <w:rFonts w:ascii="Tahoma" w:hAnsi="Tahoma" w:cs="Tahoma"/>
                <w:sz w:val="18"/>
                <w:szCs w:val="18"/>
              </w:rPr>
              <w:t xml:space="preserve">Решение о выдаче Кредита принимается в течение одного рабочего дня с момента предоставления Заемщиком в Банк полного пакета документов. В случае необходимости запроса у Заемщика дополнительных документов решение принимается в индивидуальные сроки, не превышающие 3-х рабочих дней с момента предоставления Заемщиком в Банк полного пакета документов. </w:t>
            </w:r>
          </w:p>
        </w:tc>
      </w:tr>
      <w:tr w:rsidR="00382481" w:rsidRPr="00BB6A50" w14:paraId="2CFB90D5" w14:textId="77777777" w:rsidTr="00034511">
        <w:trPr>
          <w:trHeight w:val="175"/>
        </w:trPr>
        <w:tc>
          <w:tcPr>
            <w:tcW w:w="609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F6A6995" w14:textId="77777777" w:rsidR="00382481" w:rsidRPr="00BB6A50" w:rsidRDefault="00382481" w:rsidP="00034511">
            <w:pPr>
              <w:widowControl w:val="0"/>
              <w:tabs>
                <w:tab w:val="left" w:pos="426"/>
                <w:tab w:val="left" w:pos="851"/>
              </w:tabs>
              <w:rPr>
                <w:rFonts w:ascii="Tahoma" w:hAnsi="Tahoma" w:cs="Tahoma"/>
                <w:b/>
                <w:bCs/>
                <w:sz w:val="18"/>
                <w:szCs w:val="18"/>
              </w:rPr>
            </w:pPr>
            <w:r w:rsidRPr="00BB6A50">
              <w:rPr>
                <w:rFonts w:ascii="Tahoma" w:hAnsi="Tahoma" w:cs="Tahoma"/>
                <w:b/>
                <w:sz w:val="18"/>
                <w:szCs w:val="18"/>
              </w:rPr>
              <w:t>Требования к Заемщику, которые установлены Кредитором, и выполнение которых является обязательным для предоставления потребительского Кредита</w:t>
            </w:r>
          </w:p>
        </w:tc>
        <w:tc>
          <w:tcPr>
            <w:tcW w:w="9072" w:type="dxa"/>
            <w:gridSpan w:val="3"/>
            <w:tcBorders>
              <w:top w:val="single" w:sz="4" w:space="0" w:color="auto"/>
              <w:left w:val="nil"/>
              <w:bottom w:val="single" w:sz="4" w:space="0" w:color="auto"/>
              <w:right w:val="single" w:sz="4" w:space="0" w:color="auto"/>
            </w:tcBorders>
            <w:shd w:val="clear" w:color="auto" w:fill="auto"/>
            <w:vAlign w:val="center"/>
          </w:tcPr>
          <w:p w14:paraId="00613A05" w14:textId="77777777" w:rsidR="00382481" w:rsidRPr="00BB6A50" w:rsidRDefault="00382481" w:rsidP="00034511">
            <w:pPr>
              <w:widowControl w:val="0"/>
              <w:rPr>
                <w:rFonts w:ascii="Tahoma" w:hAnsi="Tahoma" w:cs="Tahoma"/>
                <w:b/>
                <w:sz w:val="18"/>
                <w:szCs w:val="18"/>
              </w:rPr>
            </w:pPr>
            <w:r w:rsidRPr="00BB6A50">
              <w:rPr>
                <w:rFonts w:ascii="Tahoma" w:hAnsi="Tahoma" w:cs="Tahoma"/>
                <w:b/>
                <w:sz w:val="18"/>
                <w:szCs w:val="18"/>
              </w:rPr>
              <w:t>Основные</w:t>
            </w:r>
          </w:p>
        </w:tc>
      </w:tr>
      <w:tr w:rsidR="00382481" w:rsidRPr="00BB6A50" w14:paraId="455475C1" w14:textId="77777777" w:rsidTr="00034511">
        <w:tblPrEx>
          <w:tblLook w:val="00A0" w:firstRow="1" w:lastRow="0" w:firstColumn="1" w:lastColumn="0" w:noHBand="0" w:noVBand="0"/>
        </w:tblPrEx>
        <w:trPr>
          <w:trHeight w:val="1968"/>
        </w:trPr>
        <w:tc>
          <w:tcPr>
            <w:tcW w:w="6096" w:type="dxa"/>
            <w:vMerge/>
            <w:tcBorders>
              <w:left w:val="single" w:sz="4" w:space="0" w:color="auto"/>
              <w:bottom w:val="single" w:sz="4" w:space="0" w:color="auto"/>
              <w:right w:val="single" w:sz="4" w:space="0" w:color="auto"/>
            </w:tcBorders>
            <w:shd w:val="clear" w:color="auto" w:fill="auto"/>
            <w:vAlign w:val="center"/>
          </w:tcPr>
          <w:p w14:paraId="49F00C01" w14:textId="77777777" w:rsidR="00382481" w:rsidRPr="00BB6A50" w:rsidRDefault="00382481" w:rsidP="00034511">
            <w:pPr>
              <w:widowControl w:val="0"/>
              <w:tabs>
                <w:tab w:val="left" w:pos="426"/>
                <w:tab w:val="left" w:pos="851"/>
              </w:tabs>
              <w:rPr>
                <w:rFonts w:ascii="Tahoma" w:hAnsi="Tahoma" w:cs="Tahoma"/>
                <w:b/>
                <w:sz w:val="18"/>
                <w:szCs w:val="18"/>
              </w:rPr>
            </w:pPr>
          </w:p>
        </w:tc>
        <w:tc>
          <w:tcPr>
            <w:tcW w:w="9072" w:type="dxa"/>
            <w:gridSpan w:val="3"/>
            <w:tcBorders>
              <w:top w:val="single" w:sz="4" w:space="0" w:color="auto"/>
              <w:left w:val="single" w:sz="4" w:space="0" w:color="auto"/>
              <w:bottom w:val="single" w:sz="4" w:space="0" w:color="auto"/>
              <w:right w:val="single" w:sz="4" w:space="0" w:color="auto"/>
            </w:tcBorders>
            <w:noWrap/>
            <w:vAlign w:val="center"/>
          </w:tcPr>
          <w:p w14:paraId="19095550" w14:textId="77777777" w:rsidR="00382481" w:rsidRPr="00BB6A50" w:rsidRDefault="00382481" w:rsidP="00034511">
            <w:pPr>
              <w:widowControl w:val="0"/>
              <w:jc w:val="both"/>
              <w:rPr>
                <w:rFonts w:ascii="Tahoma" w:hAnsi="Tahoma" w:cs="Tahoma"/>
                <w:sz w:val="18"/>
                <w:szCs w:val="18"/>
              </w:rPr>
            </w:pPr>
            <w:r w:rsidRPr="00BB6A50">
              <w:rPr>
                <w:rFonts w:ascii="Tahoma" w:hAnsi="Tahoma" w:cs="Tahoma"/>
                <w:sz w:val="18"/>
                <w:szCs w:val="18"/>
              </w:rPr>
              <w:t>гражданство Российской Федерации.</w:t>
            </w:r>
          </w:p>
          <w:p w14:paraId="161A9477" w14:textId="77777777" w:rsidR="00382481" w:rsidRPr="00BB6A50" w:rsidRDefault="00382481" w:rsidP="00034511">
            <w:pPr>
              <w:widowControl w:val="0"/>
              <w:jc w:val="both"/>
              <w:rPr>
                <w:rFonts w:ascii="Tahoma" w:hAnsi="Tahoma" w:cs="Tahoma"/>
                <w:sz w:val="18"/>
                <w:szCs w:val="18"/>
              </w:rPr>
            </w:pPr>
            <w:r w:rsidRPr="00BB6A50">
              <w:rPr>
                <w:rFonts w:ascii="Tahoma" w:hAnsi="Tahoma" w:cs="Tahoma"/>
                <w:sz w:val="18"/>
                <w:szCs w:val="18"/>
              </w:rPr>
              <w:t>Возраст Заемщика не менее 21 года и не более 70 лет (на момент окончания срока возврата Кредита) включительно</w:t>
            </w:r>
          </w:p>
          <w:p w14:paraId="14BE47C4" w14:textId="77777777" w:rsidR="00382481" w:rsidRPr="00BB6A50" w:rsidRDefault="00382481" w:rsidP="00034511">
            <w:pPr>
              <w:widowControl w:val="0"/>
              <w:jc w:val="both"/>
              <w:rPr>
                <w:rFonts w:ascii="Tahoma" w:hAnsi="Tahoma" w:cs="Tahoma"/>
                <w:sz w:val="18"/>
                <w:szCs w:val="18"/>
              </w:rPr>
            </w:pPr>
            <w:r w:rsidRPr="00BB6A50">
              <w:rPr>
                <w:rFonts w:ascii="Tahoma" w:hAnsi="Tahoma" w:cs="Tahoma"/>
                <w:sz w:val="18"/>
                <w:szCs w:val="18"/>
              </w:rPr>
              <w:t>Адрес регистрации и фактическое место жительства Заемщика должны находиться на территории, обслуживаемой Банком (ТОБ) (за исключением категории Заемщиков с положительной кредитной историей). Информация о ТОБ размещена на официальном сайте Банка (</w:t>
            </w:r>
            <w:r w:rsidRPr="00BB6A50">
              <w:rPr>
                <w:rFonts w:ascii="Tahoma" w:hAnsi="Tahoma" w:cs="Tahoma"/>
                <w:sz w:val="18"/>
                <w:szCs w:val="18"/>
                <w:lang w:val="en-US"/>
              </w:rPr>
              <w:t>www</w:t>
            </w:r>
            <w:r w:rsidRPr="00BB6A50">
              <w:rPr>
                <w:rFonts w:ascii="Tahoma" w:hAnsi="Tahoma" w:cs="Tahoma"/>
                <w:sz w:val="18"/>
                <w:szCs w:val="18"/>
              </w:rPr>
              <w:t>.</w:t>
            </w:r>
            <w:r w:rsidRPr="00BB6A50">
              <w:rPr>
                <w:rFonts w:ascii="Tahoma" w:hAnsi="Tahoma" w:cs="Tahoma"/>
                <w:sz w:val="18"/>
                <w:szCs w:val="18"/>
                <w:lang w:val="en-US"/>
              </w:rPr>
              <w:t>atb</w:t>
            </w:r>
            <w:r w:rsidRPr="00BB6A50">
              <w:rPr>
                <w:rFonts w:ascii="Tahoma" w:hAnsi="Tahoma" w:cs="Tahoma"/>
                <w:sz w:val="18"/>
                <w:szCs w:val="18"/>
              </w:rPr>
              <w:t>.</w:t>
            </w:r>
            <w:r w:rsidRPr="00BB6A50">
              <w:rPr>
                <w:rFonts w:ascii="Tahoma" w:hAnsi="Tahoma" w:cs="Tahoma"/>
                <w:sz w:val="18"/>
                <w:szCs w:val="18"/>
                <w:lang w:val="en-US"/>
              </w:rPr>
              <w:t>su</w:t>
            </w:r>
            <w:r w:rsidRPr="00BB6A50">
              <w:rPr>
                <w:rFonts w:ascii="Tahoma" w:hAnsi="Tahoma" w:cs="Tahoma"/>
                <w:sz w:val="18"/>
                <w:szCs w:val="18"/>
              </w:rPr>
              <w:t>).</w:t>
            </w:r>
          </w:p>
          <w:p w14:paraId="62D3D5F6" w14:textId="77777777" w:rsidR="00382481" w:rsidRPr="00BB6A50" w:rsidRDefault="00382481" w:rsidP="00034511">
            <w:pPr>
              <w:widowControl w:val="0"/>
              <w:jc w:val="both"/>
              <w:rPr>
                <w:rFonts w:ascii="Tahoma" w:hAnsi="Tahoma" w:cs="Tahoma"/>
                <w:sz w:val="18"/>
                <w:szCs w:val="18"/>
              </w:rPr>
            </w:pPr>
            <w:r w:rsidRPr="00BB6A50">
              <w:rPr>
                <w:rFonts w:ascii="Tahoma" w:hAnsi="Tahoma" w:cs="Tahoma"/>
                <w:sz w:val="18"/>
                <w:szCs w:val="18"/>
              </w:rPr>
              <w:t xml:space="preserve">Заемщик имеет официальное место работы и постоянный источник дохода. </w:t>
            </w:r>
          </w:p>
          <w:p w14:paraId="73C41B33" w14:textId="77777777" w:rsidR="00382481" w:rsidRPr="00BB6A50" w:rsidRDefault="00382481" w:rsidP="00034511">
            <w:pPr>
              <w:widowControl w:val="0"/>
              <w:jc w:val="both"/>
              <w:rPr>
                <w:rFonts w:ascii="Tahoma" w:hAnsi="Tahoma" w:cs="Tahoma"/>
                <w:sz w:val="18"/>
                <w:szCs w:val="18"/>
              </w:rPr>
            </w:pPr>
            <w:r w:rsidRPr="00BB6A50">
              <w:rPr>
                <w:rFonts w:ascii="Tahoma" w:hAnsi="Tahoma" w:cs="Tahoma"/>
                <w:sz w:val="18"/>
                <w:szCs w:val="18"/>
              </w:rPr>
              <w:t>Стаж на последнем месте работы не менее 3 месяцев.</w:t>
            </w:r>
          </w:p>
        </w:tc>
      </w:tr>
      <w:tr w:rsidR="00382481" w:rsidRPr="00BB6A50" w14:paraId="07F7DF83" w14:textId="77777777" w:rsidTr="00034511">
        <w:tblPrEx>
          <w:tblLook w:val="00A0" w:firstRow="1" w:lastRow="0" w:firstColumn="1" w:lastColumn="0" w:noHBand="0" w:noVBand="0"/>
        </w:tblPrEx>
        <w:trPr>
          <w:trHeight w:val="666"/>
        </w:trPr>
        <w:tc>
          <w:tcPr>
            <w:tcW w:w="6096" w:type="dxa"/>
            <w:tcBorders>
              <w:top w:val="single" w:sz="4" w:space="0" w:color="auto"/>
              <w:left w:val="single" w:sz="4" w:space="0" w:color="auto"/>
              <w:bottom w:val="single" w:sz="4" w:space="0" w:color="auto"/>
              <w:right w:val="single" w:sz="4" w:space="0" w:color="auto"/>
            </w:tcBorders>
            <w:shd w:val="clear" w:color="auto" w:fill="auto"/>
            <w:vAlign w:val="center"/>
          </w:tcPr>
          <w:p w14:paraId="54363B43" w14:textId="77777777" w:rsidR="00382481" w:rsidRPr="00BB6A50" w:rsidRDefault="00382481" w:rsidP="00034511">
            <w:pPr>
              <w:widowControl w:val="0"/>
              <w:tabs>
                <w:tab w:val="left" w:pos="426"/>
                <w:tab w:val="left" w:pos="851"/>
              </w:tabs>
              <w:rPr>
                <w:rFonts w:ascii="Tahoma" w:hAnsi="Tahoma" w:cs="Tahoma"/>
                <w:b/>
                <w:color w:val="000000"/>
                <w:sz w:val="18"/>
                <w:szCs w:val="18"/>
              </w:rPr>
            </w:pPr>
            <w:r w:rsidRPr="00BB6A50">
              <w:rPr>
                <w:rFonts w:ascii="Tahoma" w:hAnsi="Tahoma" w:cs="Tahoma"/>
                <w:b/>
                <w:color w:val="000000"/>
                <w:sz w:val="18"/>
                <w:szCs w:val="18"/>
              </w:rPr>
              <w:t>Срок, в течение которого Заемщик вправе отказаться от получения потребительского Кредита</w:t>
            </w:r>
          </w:p>
        </w:tc>
        <w:tc>
          <w:tcPr>
            <w:tcW w:w="9072" w:type="dxa"/>
            <w:gridSpan w:val="3"/>
            <w:tcBorders>
              <w:top w:val="single" w:sz="4" w:space="0" w:color="auto"/>
              <w:left w:val="single" w:sz="4" w:space="0" w:color="auto"/>
              <w:bottom w:val="single" w:sz="4" w:space="0" w:color="auto"/>
              <w:right w:val="single" w:sz="4" w:space="0" w:color="auto"/>
            </w:tcBorders>
            <w:noWrap/>
            <w:vAlign w:val="center"/>
          </w:tcPr>
          <w:p w14:paraId="3F8C647D" w14:textId="77777777" w:rsidR="00382481" w:rsidRPr="00BB6A50" w:rsidRDefault="00382481" w:rsidP="00034511">
            <w:pPr>
              <w:widowControl w:val="0"/>
              <w:tabs>
                <w:tab w:val="left" w:pos="426"/>
                <w:tab w:val="left" w:pos="851"/>
              </w:tabs>
              <w:jc w:val="both"/>
              <w:rPr>
                <w:rFonts w:ascii="Tahoma" w:hAnsi="Tahoma" w:cs="Tahoma"/>
                <w:color w:val="000000"/>
                <w:sz w:val="18"/>
                <w:szCs w:val="18"/>
              </w:rPr>
            </w:pPr>
            <w:r w:rsidRPr="00BB6A50">
              <w:rPr>
                <w:rFonts w:ascii="Tahoma" w:hAnsi="Tahoma" w:cs="Tahoma"/>
                <w:color w:val="000000"/>
                <w:sz w:val="18"/>
                <w:szCs w:val="18"/>
              </w:rPr>
              <w:t xml:space="preserve">Заемщик вправе отказаться от получения потребительского Кредита полностью или частично, уведомив об этом Банк до истечения установленного Договором срока его предоставления. </w:t>
            </w:r>
          </w:p>
        </w:tc>
      </w:tr>
      <w:tr w:rsidR="00382481" w:rsidRPr="00BB6A50" w14:paraId="3F3E0F7E" w14:textId="77777777" w:rsidTr="00034511">
        <w:tblPrEx>
          <w:tblLook w:val="00A0" w:firstRow="1" w:lastRow="0" w:firstColumn="1" w:lastColumn="0" w:noHBand="0" w:noVBand="0"/>
        </w:tblPrEx>
        <w:trPr>
          <w:trHeight w:val="448"/>
        </w:trPr>
        <w:tc>
          <w:tcPr>
            <w:tcW w:w="6096" w:type="dxa"/>
            <w:tcBorders>
              <w:top w:val="single" w:sz="4" w:space="0" w:color="auto"/>
              <w:left w:val="single" w:sz="4" w:space="0" w:color="auto"/>
              <w:bottom w:val="single" w:sz="4" w:space="0" w:color="auto"/>
              <w:right w:val="single" w:sz="4" w:space="0" w:color="auto"/>
            </w:tcBorders>
            <w:shd w:val="clear" w:color="auto" w:fill="auto"/>
            <w:vAlign w:val="center"/>
          </w:tcPr>
          <w:p w14:paraId="4B465EBC" w14:textId="77777777" w:rsidR="00382481" w:rsidRPr="00BB6A50" w:rsidRDefault="00382481" w:rsidP="00034511">
            <w:pPr>
              <w:widowControl w:val="0"/>
              <w:ind w:right="-107"/>
              <w:rPr>
                <w:rFonts w:ascii="Tahoma" w:hAnsi="Tahoma" w:cs="Tahoma"/>
                <w:b/>
                <w:bCs/>
                <w:color w:val="000000" w:themeColor="text1"/>
                <w:sz w:val="18"/>
                <w:szCs w:val="18"/>
              </w:rPr>
            </w:pPr>
            <w:r w:rsidRPr="00BB6A50">
              <w:rPr>
                <w:rFonts w:ascii="Tahoma" w:hAnsi="Tahoma" w:cs="Tahoma"/>
                <w:b/>
                <w:bCs/>
                <w:color w:val="000000" w:themeColor="text1"/>
                <w:sz w:val="18"/>
                <w:szCs w:val="18"/>
              </w:rPr>
              <w:lastRenderedPageBreak/>
              <w:t>Срок действия решения о предоставлении Кредита</w:t>
            </w:r>
          </w:p>
        </w:tc>
        <w:tc>
          <w:tcPr>
            <w:tcW w:w="9072" w:type="dxa"/>
            <w:gridSpan w:val="3"/>
            <w:tcBorders>
              <w:top w:val="single" w:sz="4" w:space="0" w:color="auto"/>
              <w:left w:val="single" w:sz="4" w:space="0" w:color="auto"/>
              <w:bottom w:val="single" w:sz="4" w:space="0" w:color="auto"/>
              <w:right w:val="single" w:sz="4" w:space="0" w:color="auto"/>
            </w:tcBorders>
            <w:noWrap/>
            <w:vAlign w:val="center"/>
          </w:tcPr>
          <w:p w14:paraId="65AD2A56" w14:textId="77777777" w:rsidR="00382481" w:rsidRPr="00BB6A50" w:rsidRDefault="00382481" w:rsidP="00034511">
            <w:pPr>
              <w:widowControl w:val="0"/>
              <w:jc w:val="both"/>
              <w:rPr>
                <w:rFonts w:ascii="Tahoma" w:hAnsi="Tahoma" w:cs="Tahoma"/>
                <w:color w:val="000000" w:themeColor="text1"/>
                <w:sz w:val="18"/>
                <w:szCs w:val="18"/>
              </w:rPr>
            </w:pPr>
            <w:r w:rsidRPr="00BB6A50">
              <w:rPr>
                <w:rFonts w:ascii="Tahoma" w:hAnsi="Tahoma" w:cs="Tahoma"/>
                <w:color w:val="000000" w:themeColor="text1"/>
                <w:sz w:val="18"/>
                <w:szCs w:val="18"/>
              </w:rPr>
              <w:t>30 календарных дней с даты принятия Банком решения</w:t>
            </w:r>
          </w:p>
        </w:tc>
      </w:tr>
      <w:tr w:rsidR="00382481" w:rsidRPr="00BB6A50" w14:paraId="44CB631F" w14:textId="77777777" w:rsidTr="00034511">
        <w:tblPrEx>
          <w:tblLook w:val="00A0" w:firstRow="1" w:lastRow="0" w:firstColumn="1" w:lastColumn="0" w:noHBand="0" w:noVBand="0"/>
        </w:tblPrEx>
        <w:trPr>
          <w:trHeight w:val="666"/>
        </w:trPr>
        <w:tc>
          <w:tcPr>
            <w:tcW w:w="6096" w:type="dxa"/>
            <w:tcBorders>
              <w:top w:val="single" w:sz="4" w:space="0" w:color="auto"/>
              <w:left w:val="single" w:sz="4" w:space="0" w:color="auto"/>
              <w:bottom w:val="single" w:sz="4" w:space="0" w:color="auto"/>
              <w:right w:val="single" w:sz="4" w:space="0" w:color="auto"/>
            </w:tcBorders>
            <w:shd w:val="clear" w:color="auto" w:fill="auto"/>
            <w:vAlign w:val="center"/>
          </w:tcPr>
          <w:p w14:paraId="4AE51DFA" w14:textId="77777777" w:rsidR="00382481" w:rsidRPr="00BB6A50" w:rsidRDefault="00382481" w:rsidP="00034511">
            <w:pPr>
              <w:widowControl w:val="0"/>
              <w:tabs>
                <w:tab w:val="left" w:pos="426"/>
                <w:tab w:val="left" w:pos="851"/>
              </w:tabs>
              <w:rPr>
                <w:rFonts w:ascii="Tahoma" w:hAnsi="Tahoma" w:cs="Tahoma"/>
                <w:b/>
                <w:color w:val="000000"/>
                <w:sz w:val="18"/>
                <w:szCs w:val="18"/>
              </w:rPr>
            </w:pPr>
            <w:r w:rsidRPr="00BB6A50">
              <w:rPr>
                <w:rFonts w:ascii="Tahoma" w:hAnsi="Tahoma" w:cs="Tahoma"/>
                <w:b/>
                <w:color w:val="000000"/>
                <w:sz w:val="18"/>
                <w:szCs w:val="18"/>
              </w:rPr>
              <w:t xml:space="preserve">Способ предоставления потребительского Кредита </w:t>
            </w:r>
          </w:p>
        </w:tc>
        <w:tc>
          <w:tcPr>
            <w:tcW w:w="9072" w:type="dxa"/>
            <w:gridSpan w:val="3"/>
            <w:tcBorders>
              <w:top w:val="single" w:sz="4" w:space="0" w:color="auto"/>
              <w:left w:val="single" w:sz="4" w:space="0" w:color="auto"/>
              <w:bottom w:val="single" w:sz="4" w:space="0" w:color="auto"/>
              <w:right w:val="single" w:sz="4" w:space="0" w:color="auto"/>
            </w:tcBorders>
            <w:noWrap/>
            <w:vAlign w:val="center"/>
          </w:tcPr>
          <w:p w14:paraId="52BBEB6B" w14:textId="77777777" w:rsidR="00382481" w:rsidRPr="00BB6A50" w:rsidRDefault="00382481" w:rsidP="00034511">
            <w:pPr>
              <w:widowControl w:val="0"/>
              <w:tabs>
                <w:tab w:val="left" w:pos="426"/>
                <w:tab w:val="left" w:pos="851"/>
              </w:tabs>
              <w:jc w:val="both"/>
              <w:rPr>
                <w:rFonts w:ascii="Tahoma" w:hAnsi="Tahoma" w:cs="Tahoma"/>
                <w:color w:val="000000"/>
                <w:sz w:val="18"/>
                <w:szCs w:val="18"/>
              </w:rPr>
            </w:pPr>
            <w:r w:rsidRPr="00BB6A50">
              <w:rPr>
                <w:rFonts w:ascii="Tahoma" w:hAnsi="Tahoma" w:cs="Tahoma"/>
                <w:color w:val="000000"/>
                <w:sz w:val="18"/>
                <w:szCs w:val="18"/>
              </w:rPr>
              <w:t xml:space="preserve">Зачисление в безналичном порядке на открытый в Банке ТБС Заемщика. </w:t>
            </w:r>
          </w:p>
          <w:p w14:paraId="0E433B6B" w14:textId="77777777" w:rsidR="00382481" w:rsidRPr="00BB6A50" w:rsidRDefault="00382481" w:rsidP="00034511">
            <w:pPr>
              <w:widowControl w:val="0"/>
              <w:tabs>
                <w:tab w:val="left" w:pos="426"/>
                <w:tab w:val="left" w:pos="851"/>
              </w:tabs>
              <w:jc w:val="both"/>
              <w:rPr>
                <w:rFonts w:ascii="Tahoma" w:hAnsi="Tahoma" w:cs="Tahoma"/>
                <w:color w:val="000000"/>
                <w:sz w:val="18"/>
                <w:szCs w:val="18"/>
              </w:rPr>
            </w:pPr>
            <w:r w:rsidRPr="00BB6A50">
              <w:rPr>
                <w:rFonts w:ascii="Tahoma" w:hAnsi="Tahoma" w:cs="Tahoma"/>
                <w:color w:val="000000"/>
                <w:sz w:val="18"/>
                <w:szCs w:val="18"/>
              </w:rPr>
              <w:t>При желании Заемщика получить потребительский Кредит с использованием электронного средства платежа банковской (платежной) карты</w:t>
            </w:r>
            <w:r w:rsidRPr="00BB6A50">
              <w:rPr>
                <w:rFonts w:ascii="Tahoma" w:hAnsi="Tahoma" w:cs="Tahoma"/>
                <w:color w:val="000000"/>
                <w:sz w:val="18"/>
                <w:szCs w:val="18"/>
                <w:vertAlign w:val="superscript"/>
              </w:rPr>
              <w:t>****</w:t>
            </w:r>
            <w:r w:rsidRPr="00BB6A50">
              <w:rPr>
                <w:rFonts w:ascii="Tahoma" w:hAnsi="Tahoma" w:cs="Tahoma"/>
                <w:color w:val="000000"/>
                <w:sz w:val="18"/>
                <w:szCs w:val="18"/>
              </w:rPr>
              <w:t xml:space="preserve"> он вправе подать в Банк заявление об этом на бумажном носителе.</w:t>
            </w:r>
          </w:p>
          <w:p w14:paraId="444B3FA7" w14:textId="77777777" w:rsidR="00382481" w:rsidRPr="00BB6A50" w:rsidRDefault="00382481" w:rsidP="00034511">
            <w:pPr>
              <w:widowControl w:val="0"/>
              <w:tabs>
                <w:tab w:val="left" w:pos="426"/>
                <w:tab w:val="left" w:pos="851"/>
              </w:tabs>
              <w:jc w:val="both"/>
              <w:rPr>
                <w:rFonts w:ascii="Tahoma" w:hAnsi="Tahoma" w:cs="Tahoma"/>
                <w:color w:val="000000"/>
                <w:sz w:val="18"/>
                <w:szCs w:val="18"/>
              </w:rPr>
            </w:pPr>
            <w:r w:rsidRPr="00BB6A50">
              <w:rPr>
                <w:rFonts w:ascii="Tahoma" w:hAnsi="Tahoma" w:cs="Tahoma"/>
                <w:color w:val="000000"/>
                <w:sz w:val="18"/>
                <w:szCs w:val="18"/>
              </w:rPr>
              <w:t>Применимо при оформлении Кредита в мобильном приложении:</w:t>
            </w:r>
          </w:p>
          <w:p w14:paraId="15D5C3F6" w14:textId="77777777" w:rsidR="00382481" w:rsidRPr="00BB6A50" w:rsidRDefault="00382481" w:rsidP="00034511">
            <w:pPr>
              <w:widowControl w:val="0"/>
              <w:tabs>
                <w:tab w:val="left" w:pos="426"/>
                <w:tab w:val="left" w:pos="851"/>
              </w:tabs>
              <w:jc w:val="both"/>
              <w:rPr>
                <w:rFonts w:ascii="Tahoma" w:hAnsi="Tahoma" w:cs="Tahoma"/>
                <w:color w:val="000000"/>
                <w:sz w:val="18"/>
                <w:szCs w:val="18"/>
              </w:rPr>
            </w:pPr>
            <w:r w:rsidRPr="00BB6A50">
              <w:rPr>
                <w:rFonts w:ascii="Tahoma" w:hAnsi="Tahoma" w:cs="Tahoma"/>
                <w:color w:val="000000"/>
                <w:sz w:val="18"/>
                <w:szCs w:val="18"/>
              </w:rPr>
              <w:t xml:space="preserve">зачисление денежных средств на открытый в Банке СКС Цифровой карты Заемщика. </w:t>
            </w:r>
          </w:p>
        </w:tc>
      </w:tr>
      <w:tr w:rsidR="00382481" w:rsidRPr="00BB6A50" w14:paraId="2696FDCC" w14:textId="77777777" w:rsidTr="00034511">
        <w:tblPrEx>
          <w:tblLook w:val="00A0" w:firstRow="1" w:lastRow="0" w:firstColumn="1" w:lastColumn="0" w:noHBand="0" w:noVBand="0"/>
        </w:tblPrEx>
        <w:trPr>
          <w:trHeight w:val="666"/>
        </w:trPr>
        <w:tc>
          <w:tcPr>
            <w:tcW w:w="6096" w:type="dxa"/>
            <w:tcBorders>
              <w:top w:val="single" w:sz="4" w:space="0" w:color="auto"/>
              <w:left w:val="single" w:sz="4" w:space="0" w:color="auto"/>
              <w:bottom w:val="single" w:sz="4" w:space="0" w:color="auto"/>
              <w:right w:val="single" w:sz="4" w:space="0" w:color="auto"/>
            </w:tcBorders>
            <w:shd w:val="clear" w:color="auto" w:fill="auto"/>
            <w:vAlign w:val="center"/>
          </w:tcPr>
          <w:p w14:paraId="49A6834A" w14:textId="77777777" w:rsidR="00382481" w:rsidRPr="00BB6A50" w:rsidRDefault="00382481" w:rsidP="00034511">
            <w:pPr>
              <w:widowControl w:val="0"/>
              <w:tabs>
                <w:tab w:val="left" w:pos="426"/>
                <w:tab w:val="left" w:pos="851"/>
              </w:tabs>
              <w:rPr>
                <w:rFonts w:ascii="Tahoma" w:hAnsi="Tahoma" w:cs="Tahoma"/>
                <w:b/>
                <w:color w:val="000000"/>
                <w:sz w:val="18"/>
                <w:szCs w:val="18"/>
              </w:rPr>
            </w:pPr>
            <w:r w:rsidRPr="00BB6A50">
              <w:rPr>
                <w:rFonts w:ascii="Tahoma" w:hAnsi="Tahoma" w:cs="Tahoma"/>
                <w:b/>
                <w:color w:val="000000"/>
                <w:sz w:val="18"/>
                <w:szCs w:val="18"/>
              </w:rPr>
              <w:t>Иные договоры, требуемые для заключения или исполнения Договора, а также информация о возможности заемщика согласиться с заключением таких договоров и (или) приобретением таких услуг (работ, товаров) либо отказаться от них.</w:t>
            </w:r>
          </w:p>
        </w:tc>
        <w:tc>
          <w:tcPr>
            <w:tcW w:w="9072" w:type="dxa"/>
            <w:gridSpan w:val="3"/>
            <w:tcBorders>
              <w:top w:val="single" w:sz="4" w:space="0" w:color="auto"/>
              <w:left w:val="single" w:sz="4" w:space="0" w:color="auto"/>
              <w:bottom w:val="single" w:sz="4" w:space="0" w:color="auto"/>
              <w:right w:val="single" w:sz="4" w:space="0" w:color="auto"/>
            </w:tcBorders>
            <w:noWrap/>
            <w:vAlign w:val="center"/>
          </w:tcPr>
          <w:p w14:paraId="14077E5C" w14:textId="77777777" w:rsidR="00382481" w:rsidRPr="00BB6A50" w:rsidRDefault="00382481" w:rsidP="00034511">
            <w:pPr>
              <w:widowControl w:val="0"/>
              <w:tabs>
                <w:tab w:val="left" w:pos="426"/>
                <w:tab w:val="left" w:pos="851"/>
              </w:tabs>
              <w:jc w:val="both"/>
              <w:rPr>
                <w:rFonts w:ascii="Tahoma" w:hAnsi="Tahoma" w:cs="Tahoma"/>
                <w:color w:val="000000"/>
                <w:sz w:val="18"/>
                <w:szCs w:val="18"/>
              </w:rPr>
            </w:pPr>
            <w:r w:rsidRPr="00BB6A50">
              <w:rPr>
                <w:rFonts w:ascii="Tahoma" w:hAnsi="Tahoma" w:cs="Tahoma"/>
                <w:color w:val="000000"/>
                <w:sz w:val="18"/>
                <w:szCs w:val="18"/>
              </w:rPr>
              <w:t>Заключение между Сторонами договора банковского счета (на основании которого Заемщику Банком открывается ТБС), элементы которого включены в Договор, либо заключение Договора Карты (на основании которого Заемщику открывается Цифровая карта и денежные средства зачисляются на СКС), заключение (путем присоединения) УДБО, содержащего Общие условия.</w:t>
            </w:r>
          </w:p>
          <w:p w14:paraId="7E87460B" w14:textId="77777777" w:rsidR="00382481" w:rsidRPr="00BB6A50" w:rsidRDefault="00382481" w:rsidP="00034511">
            <w:pPr>
              <w:widowControl w:val="0"/>
              <w:tabs>
                <w:tab w:val="left" w:pos="426"/>
                <w:tab w:val="left" w:pos="851"/>
              </w:tabs>
              <w:jc w:val="both"/>
              <w:rPr>
                <w:rFonts w:ascii="Tahoma" w:hAnsi="Tahoma" w:cs="Tahoma"/>
                <w:color w:val="000000"/>
                <w:sz w:val="18"/>
                <w:szCs w:val="18"/>
              </w:rPr>
            </w:pPr>
            <w:r w:rsidRPr="00BB6A50">
              <w:rPr>
                <w:rFonts w:ascii="Tahoma" w:hAnsi="Tahoma" w:cs="Tahoma"/>
                <w:color w:val="000000"/>
                <w:sz w:val="18"/>
                <w:szCs w:val="18"/>
              </w:rPr>
              <w:t>Если при оформлении Договора Заемщику предлагаются иные дополнительные услуги (работы, товары), приобретение которых не является обязательным в силу закона, Заемщик вправе отказаться от их приобретения.</w:t>
            </w:r>
          </w:p>
        </w:tc>
      </w:tr>
      <w:tr w:rsidR="00382481" w:rsidRPr="00BB6A50" w14:paraId="4ECFCBF8" w14:textId="77777777" w:rsidTr="00034511">
        <w:tblPrEx>
          <w:tblLook w:val="00A0" w:firstRow="1" w:lastRow="0" w:firstColumn="1" w:lastColumn="0" w:noHBand="0" w:noVBand="0"/>
        </w:tblPrEx>
        <w:trPr>
          <w:trHeight w:val="666"/>
        </w:trPr>
        <w:tc>
          <w:tcPr>
            <w:tcW w:w="6096" w:type="dxa"/>
            <w:tcBorders>
              <w:top w:val="single" w:sz="4" w:space="0" w:color="auto"/>
              <w:left w:val="single" w:sz="4" w:space="0" w:color="auto"/>
              <w:bottom w:val="single" w:sz="4" w:space="0" w:color="auto"/>
              <w:right w:val="single" w:sz="4" w:space="0" w:color="auto"/>
            </w:tcBorders>
            <w:shd w:val="clear" w:color="auto" w:fill="auto"/>
            <w:vAlign w:val="center"/>
          </w:tcPr>
          <w:p w14:paraId="099340DF" w14:textId="77777777" w:rsidR="00382481" w:rsidRPr="00BB6A50" w:rsidRDefault="00382481" w:rsidP="00034511">
            <w:pPr>
              <w:widowControl w:val="0"/>
              <w:ind w:right="-108"/>
              <w:rPr>
                <w:rFonts w:ascii="Tahoma" w:hAnsi="Tahoma" w:cs="Tahoma"/>
                <w:b/>
                <w:bCs/>
                <w:sz w:val="18"/>
                <w:szCs w:val="18"/>
              </w:rPr>
            </w:pPr>
            <w:r w:rsidRPr="00BB6A50">
              <w:rPr>
                <w:rFonts w:ascii="Tahoma" w:hAnsi="Tahoma" w:cs="Tahoma"/>
                <w:b/>
                <w:sz w:val="18"/>
                <w:szCs w:val="18"/>
              </w:rPr>
              <w:t>Дата, начиная с которой начисляются проценты за пользование Кредитом, или порядок ее определения</w:t>
            </w:r>
          </w:p>
        </w:tc>
        <w:tc>
          <w:tcPr>
            <w:tcW w:w="9072" w:type="dxa"/>
            <w:gridSpan w:val="3"/>
            <w:tcBorders>
              <w:top w:val="single" w:sz="4" w:space="0" w:color="auto"/>
              <w:left w:val="single" w:sz="4" w:space="0" w:color="auto"/>
              <w:bottom w:val="single" w:sz="4" w:space="0" w:color="auto"/>
              <w:right w:val="single" w:sz="4" w:space="0" w:color="auto"/>
            </w:tcBorders>
            <w:noWrap/>
            <w:vAlign w:val="center"/>
          </w:tcPr>
          <w:p w14:paraId="712C629B" w14:textId="77777777" w:rsidR="00382481" w:rsidRPr="00BB6A50" w:rsidRDefault="00382481" w:rsidP="00034511">
            <w:pPr>
              <w:widowControl w:val="0"/>
              <w:jc w:val="both"/>
              <w:rPr>
                <w:rFonts w:ascii="Tahoma" w:hAnsi="Tahoma" w:cs="Tahoma"/>
                <w:sz w:val="18"/>
                <w:szCs w:val="18"/>
              </w:rPr>
            </w:pPr>
            <w:r w:rsidRPr="00BB6A50">
              <w:rPr>
                <w:rFonts w:ascii="Tahoma" w:hAnsi="Tahoma" w:cs="Tahoma"/>
                <w:sz w:val="18"/>
                <w:szCs w:val="18"/>
              </w:rPr>
              <w:t>Дата, следующая за датой выдачи Заёмщику Кредита</w:t>
            </w:r>
          </w:p>
        </w:tc>
      </w:tr>
      <w:tr w:rsidR="00382481" w:rsidRPr="00BB6A50" w14:paraId="00866CF0" w14:textId="77777777" w:rsidTr="00034511">
        <w:tblPrEx>
          <w:tblLook w:val="00A0" w:firstRow="1" w:lastRow="0" w:firstColumn="1" w:lastColumn="0" w:noHBand="0" w:noVBand="0"/>
        </w:tblPrEx>
        <w:trPr>
          <w:trHeight w:val="666"/>
        </w:trPr>
        <w:tc>
          <w:tcPr>
            <w:tcW w:w="6096" w:type="dxa"/>
            <w:tcBorders>
              <w:top w:val="single" w:sz="4" w:space="0" w:color="auto"/>
              <w:left w:val="single" w:sz="4" w:space="0" w:color="auto"/>
              <w:bottom w:val="single" w:sz="4" w:space="0" w:color="auto"/>
              <w:right w:val="single" w:sz="4" w:space="0" w:color="auto"/>
            </w:tcBorders>
            <w:shd w:val="clear" w:color="auto" w:fill="auto"/>
          </w:tcPr>
          <w:p w14:paraId="14D0C615" w14:textId="77777777" w:rsidR="00382481" w:rsidRPr="00BB6A50" w:rsidRDefault="00382481" w:rsidP="00034511">
            <w:pPr>
              <w:widowControl w:val="0"/>
              <w:ind w:right="-108"/>
              <w:rPr>
                <w:rFonts w:ascii="Tahoma" w:hAnsi="Tahoma" w:cs="Tahoma"/>
                <w:b/>
                <w:sz w:val="18"/>
                <w:szCs w:val="18"/>
              </w:rPr>
            </w:pPr>
            <w:r w:rsidRPr="00BB6A50">
              <w:rPr>
                <w:rFonts w:ascii="Tahoma" w:hAnsi="Tahoma" w:cs="Tahoma"/>
                <w:b/>
                <w:sz w:val="18"/>
                <w:szCs w:val="18"/>
              </w:rPr>
              <w:t>Периодичность платежей Заемщика при возврате потребительского Кредита, уплате процентов и иных платежей по Кредиту</w:t>
            </w:r>
          </w:p>
        </w:tc>
        <w:tc>
          <w:tcPr>
            <w:tcW w:w="9072" w:type="dxa"/>
            <w:gridSpan w:val="3"/>
            <w:tcBorders>
              <w:top w:val="single" w:sz="4" w:space="0" w:color="auto"/>
              <w:left w:val="single" w:sz="4" w:space="0" w:color="auto"/>
              <w:bottom w:val="single" w:sz="4" w:space="0" w:color="auto"/>
              <w:right w:val="single" w:sz="4" w:space="0" w:color="auto"/>
            </w:tcBorders>
            <w:noWrap/>
          </w:tcPr>
          <w:p w14:paraId="284BD711" w14:textId="77777777" w:rsidR="00382481" w:rsidRPr="00BB6A50" w:rsidRDefault="00382481" w:rsidP="00034511">
            <w:pPr>
              <w:widowControl w:val="0"/>
              <w:jc w:val="both"/>
              <w:rPr>
                <w:rFonts w:ascii="Tahoma" w:hAnsi="Tahoma" w:cs="Tahoma"/>
                <w:sz w:val="18"/>
                <w:szCs w:val="18"/>
              </w:rPr>
            </w:pPr>
            <w:r w:rsidRPr="00BB6A50">
              <w:rPr>
                <w:rFonts w:ascii="Tahoma" w:hAnsi="Tahoma" w:cs="Tahoma"/>
                <w:sz w:val="18"/>
                <w:szCs w:val="18"/>
              </w:rPr>
              <w:t xml:space="preserve">Ежемесячно </w:t>
            </w:r>
          </w:p>
        </w:tc>
      </w:tr>
      <w:tr w:rsidR="00382481" w:rsidRPr="00BB6A50" w14:paraId="0000F5CE" w14:textId="77777777" w:rsidTr="00034511">
        <w:tblPrEx>
          <w:tblLook w:val="00A0" w:firstRow="1" w:lastRow="0" w:firstColumn="1" w:lastColumn="0" w:noHBand="0" w:noVBand="0"/>
        </w:tblPrEx>
        <w:trPr>
          <w:trHeight w:val="666"/>
        </w:trPr>
        <w:tc>
          <w:tcPr>
            <w:tcW w:w="6096" w:type="dxa"/>
            <w:tcBorders>
              <w:top w:val="single" w:sz="4" w:space="0" w:color="auto"/>
              <w:left w:val="single" w:sz="4" w:space="0" w:color="auto"/>
              <w:bottom w:val="single" w:sz="4" w:space="0" w:color="auto"/>
              <w:right w:val="single" w:sz="4" w:space="0" w:color="auto"/>
            </w:tcBorders>
            <w:shd w:val="clear" w:color="auto" w:fill="auto"/>
            <w:vAlign w:val="center"/>
          </w:tcPr>
          <w:p w14:paraId="400DEAC9" w14:textId="77777777" w:rsidR="00382481" w:rsidRPr="00BB6A50" w:rsidRDefault="00382481" w:rsidP="00034511">
            <w:pPr>
              <w:widowControl w:val="0"/>
              <w:tabs>
                <w:tab w:val="left" w:pos="426"/>
                <w:tab w:val="left" w:pos="851"/>
              </w:tabs>
              <w:rPr>
                <w:rFonts w:ascii="Tahoma" w:hAnsi="Tahoma" w:cs="Tahoma"/>
                <w:b/>
                <w:color w:val="000000"/>
                <w:sz w:val="18"/>
                <w:szCs w:val="18"/>
              </w:rPr>
            </w:pPr>
            <w:r w:rsidRPr="00BB6A50">
              <w:rPr>
                <w:rFonts w:ascii="Tahoma" w:hAnsi="Tahoma" w:cs="Tahoma"/>
                <w:b/>
                <w:color w:val="000000"/>
                <w:sz w:val="18"/>
                <w:szCs w:val="18"/>
              </w:rPr>
              <w:t>Бесплатный способ исполнения Заемщиком обязательств по Договору</w:t>
            </w:r>
          </w:p>
        </w:tc>
        <w:tc>
          <w:tcPr>
            <w:tcW w:w="9072" w:type="dxa"/>
            <w:gridSpan w:val="3"/>
            <w:tcBorders>
              <w:top w:val="single" w:sz="4" w:space="0" w:color="auto"/>
              <w:left w:val="single" w:sz="4" w:space="0" w:color="auto"/>
              <w:bottom w:val="single" w:sz="4" w:space="0" w:color="auto"/>
              <w:right w:val="single" w:sz="4" w:space="0" w:color="auto"/>
            </w:tcBorders>
            <w:noWrap/>
            <w:vAlign w:val="center"/>
          </w:tcPr>
          <w:p w14:paraId="70F4F251" w14:textId="77777777" w:rsidR="00382481" w:rsidRPr="00BB6A50" w:rsidRDefault="00382481" w:rsidP="00034511">
            <w:pPr>
              <w:widowControl w:val="0"/>
              <w:tabs>
                <w:tab w:val="left" w:pos="426"/>
                <w:tab w:val="left" w:pos="851"/>
              </w:tabs>
              <w:jc w:val="both"/>
              <w:rPr>
                <w:rFonts w:ascii="Tahoma" w:hAnsi="Tahoma" w:cs="Tahoma"/>
                <w:color w:val="000000"/>
                <w:sz w:val="18"/>
                <w:szCs w:val="18"/>
              </w:rPr>
            </w:pPr>
            <w:r w:rsidRPr="00BB6A50">
              <w:rPr>
                <w:rFonts w:ascii="Tahoma" w:hAnsi="Tahoma" w:cs="Tahoma"/>
                <w:sz w:val="18"/>
                <w:szCs w:val="18"/>
              </w:rPr>
              <w:t>Внесение денежных средств на ТБС/СКС через терминалы самообслуживания Банка, перевод через работодателя Заемщика, перевод со счёта в Банке на ТБС/СКС Заемщика.</w:t>
            </w:r>
          </w:p>
        </w:tc>
      </w:tr>
      <w:tr w:rsidR="00382481" w:rsidRPr="00BB6A50" w14:paraId="22FE85EE" w14:textId="77777777" w:rsidTr="00034511">
        <w:tblPrEx>
          <w:tblLook w:val="00A0" w:firstRow="1" w:lastRow="0" w:firstColumn="1" w:lastColumn="0" w:noHBand="0" w:noVBand="0"/>
        </w:tblPrEx>
        <w:trPr>
          <w:trHeight w:val="666"/>
        </w:trPr>
        <w:tc>
          <w:tcPr>
            <w:tcW w:w="6096" w:type="dxa"/>
            <w:tcBorders>
              <w:top w:val="single" w:sz="4" w:space="0" w:color="auto"/>
              <w:left w:val="single" w:sz="4" w:space="0" w:color="auto"/>
              <w:bottom w:val="single" w:sz="4" w:space="0" w:color="auto"/>
              <w:right w:val="single" w:sz="4" w:space="0" w:color="auto"/>
            </w:tcBorders>
            <w:shd w:val="clear" w:color="auto" w:fill="auto"/>
            <w:vAlign w:val="center"/>
          </w:tcPr>
          <w:p w14:paraId="3FE2945C" w14:textId="77777777" w:rsidR="00382481" w:rsidRPr="00BB6A50" w:rsidRDefault="00382481" w:rsidP="00034511">
            <w:pPr>
              <w:widowControl w:val="0"/>
              <w:tabs>
                <w:tab w:val="left" w:pos="426"/>
                <w:tab w:val="left" w:pos="851"/>
              </w:tabs>
              <w:rPr>
                <w:rFonts w:ascii="Tahoma" w:hAnsi="Tahoma" w:cs="Tahoma"/>
                <w:b/>
                <w:color w:val="000000"/>
                <w:sz w:val="18"/>
                <w:szCs w:val="18"/>
              </w:rPr>
            </w:pPr>
            <w:r w:rsidRPr="00BB6A50">
              <w:rPr>
                <w:rFonts w:ascii="Tahoma" w:hAnsi="Tahoma" w:cs="Tahoma"/>
                <w:b/>
                <w:color w:val="000000"/>
                <w:sz w:val="18"/>
                <w:szCs w:val="18"/>
              </w:rPr>
              <w:t>Способы обеспечения исполнения обязательств по Договору «Потребительский кредит»</w:t>
            </w:r>
          </w:p>
        </w:tc>
        <w:tc>
          <w:tcPr>
            <w:tcW w:w="9072" w:type="dxa"/>
            <w:gridSpan w:val="3"/>
            <w:tcBorders>
              <w:top w:val="single" w:sz="4" w:space="0" w:color="auto"/>
              <w:left w:val="single" w:sz="4" w:space="0" w:color="auto"/>
              <w:bottom w:val="single" w:sz="4" w:space="0" w:color="auto"/>
              <w:right w:val="single" w:sz="4" w:space="0" w:color="auto"/>
            </w:tcBorders>
            <w:noWrap/>
            <w:vAlign w:val="center"/>
          </w:tcPr>
          <w:p w14:paraId="726273EC" w14:textId="77777777" w:rsidR="00382481" w:rsidRPr="00BB6A50" w:rsidRDefault="00382481" w:rsidP="00034511">
            <w:pPr>
              <w:widowControl w:val="0"/>
              <w:tabs>
                <w:tab w:val="left" w:pos="426"/>
                <w:tab w:val="left" w:pos="851"/>
              </w:tabs>
              <w:jc w:val="both"/>
              <w:rPr>
                <w:rFonts w:ascii="Tahoma" w:hAnsi="Tahoma" w:cs="Tahoma"/>
                <w:sz w:val="18"/>
                <w:szCs w:val="18"/>
              </w:rPr>
            </w:pPr>
            <w:r w:rsidRPr="00BB6A50">
              <w:rPr>
                <w:rFonts w:ascii="Tahoma" w:hAnsi="Tahoma" w:cs="Tahoma"/>
                <w:sz w:val="18"/>
                <w:szCs w:val="18"/>
              </w:rPr>
              <w:t xml:space="preserve">Неустойка (штраф, пеня). В случае нарушения обязательств по Договору с Заемщика может быть взыскана неустойка в суммах и порядке, определенных Сторонами в соответствии с законодательством РФ и Индивидуальными условиями Договора. По требованию Банка может быть запрошено обеспечение, а именно: залог, поручительство. </w:t>
            </w:r>
          </w:p>
          <w:p w14:paraId="46061EF1" w14:textId="77777777" w:rsidR="00382481" w:rsidRPr="00BB6A50" w:rsidRDefault="00382481" w:rsidP="00034511">
            <w:pPr>
              <w:widowControl w:val="0"/>
              <w:tabs>
                <w:tab w:val="left" w:pos="426"/>
                <w:tab w:val="left" w:pos="851"/>
              </w:tabs>
              <w:jc w:val="both"/>
              <w:rPr>
                <w:rFonts w:ascii="Tahoma" w:hAnsi="Tahoma" w:cs="Tahoma"/>
                <w:sz w:val="18"/>
                <w:szCs w:val="18"/>
              </w:rPr>
            </w:pPr>
            <w:r w:rsidRPr="00BB6A50">
              <w:rPr>
                <w:rFonts w:ascii="Tahoma" w:hAnsi="Tahoma" w:cs="Tahoma"/>
                <w:sz w:val="18"/>
                <w:szCs w:val="18"/>
              </w:rPr>
              <w:t>Если при расчете платежеспособности участвуют доходы супруга(и) Заёмщика, без которых Заемщик самостоятельно не проходит по платежеспособности</w:t>
            </w:r>
            <w:r>
              <w:rPr>
                <w:rFonts w:ascii="Tahoma" w:hAnsi="Tahoma" w:cs="Tahoma"/>
                <w:sz w:val="18"/>
                <w:szCs w:val="18"/>
              </w:rPr>
              <w:t xml:space="preserve"> (по оценке Банка)</w:t>
            </w:r>
            <w:r w:rsidRPr="00BB6A50">
              <w:rPr>
                <w:rFonts w:ascii="Tahoma" w:hAnsi="Tahoma" w:cs="Tahoma"/>
                <w:sz w:val="18"/>
                <w:szCs w:val="18"/>
              </w:rPr>
              <w:t>, то Банком может быть запрошено оформление данного супруга(и) Заёмщика в качестве созаемщика (второго Заемщика) /поручителя.</w:t>
            </w:r>
          </w:p>
          <w:p w14:paraId="73DDE747" w14:textId="77777777" w:rsidR="00382481" w:rsidRPr="00BB6A50" w:rsidRDefault="00382481" w:rsidP="00034511">
            <w:pPr>
              <w:widowControl w:val="0"/>
              <w:tabs>
                <w:tab w:val="left" w:pos="426"/>
                <w:tab w:val="left" w:pos="851"/>
              </w:tabs>
              <w:jc w:val="both"/>
              <w:rPr>
                <w:rFonts w:ascii="Tahoma" w:hAnsi="Tahoma" w:cs="Tahoma"/>
                <w:sz w:val="18"/>
                <w:szCs w:val="18"/>
              </w:rPr>
            </w:pPr>
            <w:r w:rsidRPr="00BB6A50">
              <w:rPr>
                <w:rFonts w:ascii="Tahoma" w:hAnsi="Tahoma" w:cs="Tahoma"/>
                <w:sz w:val="18"/>
                <w:szCs w:val="18"/>
              </w:rPr>
              <w:t xml:space="preserve">Требования к транспортному средству, предоставляемому в залог Банку: автотранспортное или мототранспортное средство отечественного или иностранного производства датой выпуска не ранее 01.01.2000 года; не является предметом залога по другому договору, свободно от долгов, не сдано в аренду, не продано, в споре, розыске или под арестом не состоит, а также свободно от иных обременений и прав на него третьих лиц; поставлено на государственный регистрационный учете; собственником является Заемщик или третье лицо. </w:t>
            </w:r>
            <w:r w:rsidRPr="00BF7344">
              <w:rPr>
                <w:rFonts w:ascii="Tahoma" w:hAnsi="Tahoma" w:cs="Tahoma"/>
                <w:sz w:val="18"/>
                <w:szCs w:val="18"/>
              </w:rPr>
              <w:t xml:space="preserve">Договором может быть предусмотрено </w:t>
            </w:r>
            <w:r w:rsidRPr="00BF7344">
              <w:rPr>
                <w:rFonts w:ascii="Tahoma" w:hAnsi="Tahoma" w:cs="Tahoma"/>
                <w:color w:val="000000"/>
                <w:sz w:val="18"/>
                <w:szCs w:val="18"/>
              </w:rPr>
              <w:t xml:space="preserve">(при согласии Банка) </w:t>
            </w:r>
            <w:r w:rsidRPr="00BF7344">
              <w:rPr>
                <w:rFonts w:ascii="Tahoma" w:hAnsi="Tahoma" w:cs="Tahoma"/>
                <w:sz w:val="18"/>
                <w:szCs w:val="18"/>
              </w:rPr>
              <w:t>предоставление залога в последующем (в течение 6 месяцев с даты заключения Договора)</w:t>
            </w:r>
            <w:r>
              <w:rPr>
                <w:rFonts w:ascii="Tahoma" w:hAnsi="Tahoma" w:cs="Tahoma"/>
                <w:sz w:val="18"/>
                <w:szCs w:val="18"/>
              </w:rPr>
              <w:t>.</w:t>
            </w:r>
            <w:r w:rsidRPr="00BB6A50">
              <w:rPr>
                <w:rFonts w:ascii="Tahoma" w:hAnsi="Tahoma" w:cs="Tahoma"/>
                <w:sz w:val="18"/>
                <w:szCs w:val="18"/>
              </w:rPr>
              <w:fldChar w:fldCharType="begin"/>
            </w:r>
            <w:r w:rsidRPr="00BB6A50">
              <w:rPr>
                <w:rFonts w:ascii="Tahoma" w:hAnsi="Tahoma" w:cs="Tahoma"/>
                <w:sz w:val="18"/>
                <w:szCs w:val="18"/>
              </w:rPr>
              <w:instrText xml:space="preserve"> DOCVARIABLE  ATB_ADDRESS_FACT </w:instrText>
            </w:r>
            <w:r w:rsidRPr="00BB6A50">
              <w:rPr>
                <w:rFonts w:ascii="Tahoma" w:hAnsi="Tahoma" w:cs="Tahoma"/>
                <w:sz w:val="18"/>
                <w:szCs w:val="18"/>
              </w:rPr>
              <w:fldChar w:fldCharType="end"/>
            </w:r>
          </w:p>
        </w:tc>
      </w:tr>
      <w:tr w:rsidR="00382481" w:rsidRPr="00BB6A50" w14:paraId="1CA5D650" w14:textId="77777777" w:rsidTr="00034511">
        <w:tblPrEx>
          <w:tblLook w:val="00A0" w:firstRow="1" w:lastRow="0" w:firstColumn="1" w:lastColumn="0" w:noHBand="0" w:noVBand="0"/>
        </w:tblPrEx>
        <w:trPr>
          <w:trHeight w:val="1538"/>
        </w:trPr>
        <w:tc>
          <w:tcPr>
            <w:tcW w:w="6096" w:type="dxa"/>
            <w:tcBorders>
              <w:top w:val="single" w:sz="4" w:space="0" w:color="auto"/>
              <w:left w:val="single" w:sz="4" w:space="0" w:color="auto"/>
              <w:bottom w:val="single" w:sz="4" w:space="0" w:color="auto"/>
              <w:right w:val="single" w:sz="4" w:space="0" w:color="auto"/>
            </w:tcBorders>
            <w:vAlign w:val="center"/>
          </w:tcPr>
          <w:p w14:paraId="1964CE1C" w14:textId="77777777" w:rsidR="00382481" w:rsidRPr="00BB6A50" w:rsidRDefault="00382481" w:rsidP="00034511">
            <w:pPr>
              <w:jc w:val="both"/>
              <w:rPr>
                <w:rFonts w:ascii="Tahoma" w:hAnsi="Tahoma" w:cs="Tahoma"/>
                <w:b/>
                <w:sz w:val="18"/>
                <w:szCs w:val="18"/>
              </w:rPr>
            </w:pPr>
            <w:r w:rsidRPr="00BB6A50">
              <w:rPr>
                <w:rFonts w:ascii="Tahoma" w:hAnsi="Tahoma" w:cs="Tahoma"/>
                <w:b/>
                <w:color w:val="000000"/>
                <w:sz w:val="18"/>
                <w:szCs w:val="18"/>
              </w:rPr>
              <w:t xml:space="preserve">Перечень документов, необходимых для рассмотрения заявления о предоставлении потребительского Кредита, в том числе для оценки кредитоспособности Заёмщика </w:t>
            </w:r>
            <w:r w:rsidRPr="00BB6A50">
              <w:rPr>
                <w:rFonts w:ascii="Tahoma" w:hAnsi="Tahoma" w:cs="Tahoma"/>
                <w:b/>
                <w:sz w:val="18"/>
                <w:szCs w:val="18"/>
              </w:rPr>
              <w:t>(в случае необходимости могут быть запрошены дополнительные документы)</w:t>
            </w:r>
          </w:p>
        </w:tc>
        <w:tc>
          <w:tcPr>
            <w:tcW w:w="9072" w:type="dxa"/>
            <w:gridSpan w:val="3"/>
            <w:tcBorders>
              <w:top w:val="single" w:sz="4" w:space="0" w:color="auto"/>
              <w:left w:val="single" w:sz="4" w:space="0" w:color="auto"/>
              <w:bottom w:val="single" w:sz="4" w:space="0" w:color="auto"/>
              <w:right w:val="single" w:sz="8" w:space="0" w:color="000000"/>
            </w:tcBorders>
            <w:shd w:val="clear" w:color="auto" w:fill="auto"/>
            <w:noWrap/>
            <w:vAlign w:val="center"/>
          </w:tcPr>
          <w:p w14:paraId="4B43C90F" w14:textId="77777777" w:rsidR="00382481" w:rsidRPr="00BB6A50" w:rsidRDefault="00382481" w:rsidP="00034511">
            <w:pPr>
              <w:jc w:val="both"/>
              <w:rPr>
                <w:rFonts w:ascii="Tahoma" w:hAnsi="Tahoma" w:cs="Tahoma"/>
                <w:b/>
                <w:sz w:val="18"/>
                <w:szCs w:val="18"/>
              </w:rPr>
            </w:pPr>
            <w:r w:rsidRPr="00BB6A50">
              <w:rPr>
                <w:rFonts w:ascii="Tahoma" w:hAnsi="Tahoma" w:cs="Tahoma"/>
                <w:b/>
                <w:sz w:val="18"/>
                <w:szCs w:val="18"/>
              </w:rPr>
              <w:t>Основные документы:</w:t>
            </w:r>
          </w:p>
          <w:p w14:paraId="028529D5" w14:textId="77777777" w:rsidR="00382481" w:rsidRPr="00BB6A50" w:rsidRDefault="00382481" w:rsidP="00034511">
            <w:pPr>
              <w:jc w:val="both"/>
              <w:rPr>
                <w:rFonts w:ascii="Tahoma" w:hAnsi="Tahoma" w:cs="Tahoma"/>
                <w:sz w:val="18"/>
                <w:szCs w:val="18"/>
              </w:rPr>
            </w:pPr>
            <w:r w:rsidRPr="00BB6A50">
              <w:rPr>
                <w:rFonts w:ascii="Tahoma" w:hAnsi="Tahoma" w:cs="Tahoma"/>
                <w:sz w:val="18"/>
                <w:szCs w:val="18"/>
              </w:rPr>
              <w:t>1) Паспорт гражданина РФ.</w:t>
            </w:r>
          </w:p>
          <w:p w14:paraId="49A27AA3" w14:textId="77777777" w:rsidR="00382481" w:rsidRPr="00BB6A50" w:rsidRDefault="00382481" w:rsidP="00034511">
            <w:pPr>
              <w:jc w:val="both"/>
              <w:rPr>
                <w:rFonts w:ascii="Tahoma" w:hAnsi="Tahoma" w:cs="Tahoma"/>
                <w:sz w:val="18"/>
                <w:szCs w:val="18"/>
              </w:rPr>
            </w:pPr>
            <w:r w:rsidRPr="00BB6A50">
              <w:rPr>
                <w:rFonts w:ascii="Tahoma" w:hAnsi="Tahoma" w:cs="Tahoma"/>
                <w:sz w:val="18"/>
                <w:szCs w:val="18"/>
              </w:rPr>
              <w:t>2) Заявление о предоставлении Кредита.</w:t>
            </w:r>
          </w:p>
          <w:p w14:paraId="7947AA23" w14:textId="77777777" w:rsidR="00382481" w:rsidRPr="00BB6A50" w:rsidRDefault="00382481" w:rsidP="00034511">
            <w:pPr>
              <w:jc w:val="both"/>
              <w:rPr>
                <w:rFonts w:ascii="Tahoma" w:hAnsi="Tahoma" w:cs="Tahoma"/>
                <w:sz w:val="18"/>
                <w:szCs w:val="18"/>
              </w:rPr>
            </w:pPr>
            <w:r w:rsidRPr="00BB6A50">
              <w:rPr>
                <w:rFonts w:ascii="Tahoma" w:hAnsi="Tahoma" w:cs="Tahoma"/>
                <w:sz w:val="18"/>
                <w:szCs w:val="18"/>
              </w:rPr>
              <w:t>3) В случае необходимости Банком могут быть запрошены документы, подтверждающие доход Клиента при сумме Кредита свыше 100 000 рублей.</w:t>
            </w:r>
          </w:p>
          <w:p w14:paraId="4D56F946" w14:textId="77777777" w:rsidR="00382481" w:rsidRPr="00BB6A50" w:rsidRDefault="00382481" w:rsidP="00034511">
            <w:pPr>
              <w:jc w:val="both"/>
              <w:rPr>
                <w:rFonts w:ascii="Tahoma" w:hAnsi="Tahoma" w:cs="Tahoma"/>
                <w:b/>
                <w:sz w:val="18"/>
                <w:szCs w:val="18"/>
              </w:rPr>
            </w:pPr>
          </w:p>
        </w:tc>
      </w:tr>
      <w:tr w:rsidR="00382481" w:rsidRPr="00BB6A50" w14:paraId="1B5B8A48" w14:textId="77777777" w:rsidTr="00034511">
        <w:tblPrEx>
          <w:tblLook w:val="00A0" w:firstRow="1" w:lastRow="0" w:firstColumn="1" w:lastColumn="0" w:noHBand="0" w:noVBand="0"/>
        </w:tblPrEx>
        <w:trPr>
          <w:trHeight w:val="692"/>
        </w:trPr>
        <w:tc>
          <w:tcPr>
            <w:tcW w:w="6096" w:type="dxa"/>
            <w:tcBorders>
              <w:top w:val="single" w:sz="4" w:space="0" w:color="auto"/>
              <w:left w:val="single" w:sz="4" w:space="0" w:color="auto"/>
              <w:bottom w:val="single" w:sz="4" w:space="0" w:color="auto"/>
              <w:right w:val="single" w:sz="4" w:space="0" w:color="auto"/>
            </w:tcBorders>
            <w:vAlign w:val="center"/>
          </w:tcPr>
          <w:p w14:paraId="211B7369" w14:textId="77777777" w:rsidR="00382481" w:rsidRPr="00BB6A50" w:rsidRDefault="00382481" w:rsidP="00034511">
            <w:pPr>
              <w:widowControl w:val="0"/>
              <w:tabs>
                <w:tab w:val="left" w:pos="426"/>
                <w:tab w:val="left" w:pos="851"/>
              </w:tabs>
              <w:rPr>
                <w:rFonts w:ascii="Tahoma" w:hAnsi="Tahoma" w:cs="Tahoma"/>
                <w:b/>
                <w:color w:val="000000"/>
                <w:sz w:val="18"/>
                <w:szCs w:val="18"/>
              </w:rPr>
            </w:pPr>
            <w:r w:rsidRPr="00BB6A50">
              <w:rPr>
                <w:rFonts w:ascii="Tahoma" w:hAnsi="Tahoma" w:cs="Tahoma"/>
                <w:b/>
                <w:color w:val="000000"/>
                <w:sz w:val="18"/>
                <w:szCs w:val="18"/>
              </w:rPr>
              <w:lastRenderedPageBreak/>
              <w:t>Документы, подтверждающие доход</w:t>
            </w:r>
          </w:p>
        </w:tc>
        <w:tc>
          <w:tcPr>
            <w:tcW w:w="9072" w:type="dxa"/>
            <w:gridSpan w:val="3"/>
            <w:tcBorders>
              <w:top w:val="single" w:sz="4" w:space="0" w:color="auto"/>
              <w:left w:val="single" w:sz="4" w:space="0" w:color="auto"/>
              <w:bottom w:val="single" w:sz="4" w:space="0" w:color="auto"/>
              <w:right w:val="single" w:sz="8" w:space="0" w:color="000000"/>
            </w:tcBorders>
            <w:shd w:val="clear" w:color="auto" w:fill="auto"/>
            <w:noWrap/>
            <w:vAlign w:val="center"/>
          </w:tcPr>
          <w:p w14:paraId="35274D66" w14:textId="77777777" w:rsidR="00382481" w:rsidRDefault="00382481" w:rsidP="00034511">
            <w:pPr>
              <w:jc w:val="both"/>
              <w:rPr>
                <w:rFonts w:ascii="Tahoma" w:hAnsi="Tahoma" w:cs="Tahoma"/>
                <w:b/>
                <w:sz w:val="18"/>
                <w:szCs w:val="18"/>
              </w:rPr>
            </w:pPr>
            <w:r>
              <w:rPr>
                <w:rFonts w:ascii="Tahoma" w:hAnsi="Tahoma" w:cs="Tahoma"/>
                <w:b/>
                <w:sz w:val="18"/>
                <w:szCs w:val="18"/>
              </w:rPr>
              <w:t xml:space="preserve">При предоставлении документа, доход должен быть подтвержден </w:t>
            </w:r>
            <w:r w:rsidRPr="004C1A98">
              <w:rPr>
                <w:rFonts w:ascii="Tahoma" w:hAnsi="Tahoma" w:cs="Tahoma"/>
                <w:color w:val="000000"/>
                <w:sz w:val="18"/>
                <w:szCs w:val="18"/>
              </w:rPr>
              <w:t>за последние 12 месяцев либо за фактически отработанный период времени, в зависимости от стажа по текущему месту работы, но не менее 3-х месяцев</w:t>
            </w:r>
            <w:r>
              <w:rPr>
                <w:rFonts w:ascii="Tahoma" w:hAnsi="Tahoma" w:cs="Tahoma"/>
                <w:color w:val="000000"/>
                <w:sz w:val="18"/>
                <w:szCs w:val="18"/>
              </w:rPr>
              <w:t>, предшествующих дате предоставления в Банк Заявления о предоставлении потребительского кредита.</w:t>
            </w:r>
          </w:p>
          <w:p w14:paraId="3FD11C1E" w14:textId="77777777" w:rsidR="00382481" w:rsidRDefault="00382481" w:rsidP="00034511">
            <w:pPr>
              <w:jc w:val="both"/>
              <w:rPr>
                <w:rFonts w:ascii="Tahoma" w:hAnsi="Tahoma" w:cs="Tahoma"/>
                <w:b/>
                <w:sz w:val="18"/>
                <w:szCs w:val="18"/>
              </w:rPr>
            </w:pPr>
          </w:p>
          <w:p w14:paraId="54309179" w14:textId="77777777" w:rsidR="00382481" w:rsidRDefault="00382481" w:rsidP="00034511">
            <w:pPr>
              <w:jc w:val="both"/>
              <w:rPr>
                <w:rFonts w:ascii="Tahoma" w:hAnsi="Tahoma" w:cs="Tahoma"/>
                <w:b/>
                <w:sz w:val="18"/>
                <w:szCs w:val="18"/>
              </w:rPr>
            </w:pPr>
            <w:r w:rsidRPr="00BB6A50">
              <w:rPr>
                <w:rFonts w:ascii="Tahoma" w:hAnsi="Tahoma" w:cs="Tahoma"/>
                <w:b/>
                <w:sz w:val="18"/>
                <w:szCs w:val="18"/>
              </w:rPr>
              <w:t>Документы, подтверждающие доход:</w:t>
            </w:r>
          </w:p>
          <w:p w14:paraId="6649C258" w14:textId="77777777" w:rsidR="00382481" w:rsidRPr="00024683" w:rsidRDefault="00382481" w:rsidP="00034511">
            <w:pPr>
              <w:jc w:val="both"/>
              <w:rPr>
                <w:rFonts w:ascii="Tahoma" w:hAnsi="Tahoma" w:cs="Tahoma"/>
                <w:color w:val="000000"/>
                <w:sz w:val="18"/>
                <w:szCs w:val="18"/>
              </w:rPr>
            </w:pPr>
            <w:r w:rsidRPr="00024683">
              <w:rPr>
                <w:rFonts w:ascii="Tahoma" w:hAnsi="Tahoma" w:cs="Tahoma"/>
                <w:color w:val="000000"/>
                <w:sz w:val="18"/>
                <w:szCs w:val="18"/>
              </w:rPr>
              <w:t>- выписка по банковской (платежной) карте Банка если Заемщик получает заработную плату на карту Банка;</w:t>
            </w:r>
          </w:p>
          <w:p w14:paraId="36B19FAF" w14:textId="77777777" w:rsidR="00382481" w:rsidRPr="00ED061B" w:rsidRDefault="00382481" w:rsidP="00034511">
            <w:pPr>
              <w:jc w:val="both"/>
              <w:rPr>
                <w:rFonts w:ascii="Tahoma" w:hAnsi="Tahoma" w:cs="Tahoma"/>
                <w:color w:val="000000"/>
                <w:sz w:val="18"/>
                <w:szCs w:val="18"/>
              </w:rPr>
            </w:pPr>
            <w:r w:rsidRPr="00024683">
              <w:rPr>
                <w:rFonts w:ascii="Tahoma" w:hAnsi="Tahoma" w:cs="Tahoma"/>
                <w:color w:val="000000"/>
                <w:sz w:val="18"/>
                <w:szCs w:val="18"/>
              </w:rPr>
              <w:t>- выписка по индивидуальному лицевому счету Заемщика, который ведется в Социальном Фонде Российской Федерации и сведения предоставлены Банку (если Заемщиком выражено согласие в соответствии с законодательством Российской Федерации на запрос).</w:t>
            </w:r>
          </w:p>
          <w:p w14:paraId="5747BDC3" w14:textId="77777777" w:rsidR="00382481" w:rsidRPr="00BB6A50" w:rsidRDefault="00382481" w:rsidP="00034511">
            <w:pPr>
              <w:pStyle w:val="affe"/>
              <w:tabs>
                <w:tab w:val="left" w:pos="178"/>
              </w:tabs>
              <w:ind w:left="37"/>
              <w:jc w:val="both"/>
              <w:rPr>
                <w:rFonts w:ascii="Tahoma" w:hAnsi="Tahoma" w:cs="Tahoma"/>
                <w:color w:val="000000"/>
                <w:sz w:val="18"/>
                <w:szCs w:val="18"/>
              </w:rPr>
            </w:pPr>
            <w:r>
              <w:rPr>
                <w:rFonts w:ascii="Tahoma" w:hAnsi="Tahoma" w:cs="Tahoma"/>
                <w:color w:val="000000"/>
                <w:sz w:val="18"/>
                <w:szCs w:val="18"/>
              </w:rPr>
              <w:t xml:space="preserve">- </w:t>
            </w:r>
            <w:r w:rsidRPr="00BB6A50">
              <w:rPr>
                <w:rFonts w:ascii="Tahoma" w:hAnsi="Tahoma" w:cs="Tahoma"/>
                <w:color w:val="000000"/>
                <w:sz w:val="18"/>
                <w:szCs w:val="18"/>
              </w:rPr>
              <w:t>справка о заработной плате по форме Банка, справка о доходах и суммах налога физических лиц либо по форме работодателя (содержащая обязательные поля, предусмотренные в справке по форме Банка, включая ИНН работодателя);</w:t>
            </w:r>
          </w:p>
          <w:p w14:paraId="7647BCBA" w14:textId="77777777" w:rsidR="00382481" w:rsidRPr="00BB6A50" w:rsidRDefault="00382481" w:rsidP="00034511">
            <w:pPr>
              <w:pStyle w:val="affe"/>
              <w:tabs>
                <w:tab w:val="left" w:pos="178"/>
              </w:tabs>
              <w:ind w:left="37"/>
              <w:jc w:val="both"/>
              <w:rPr>
                <w:rFonts w:ascii="Tahoma" w:hAnsi="Tahoma" w:cs="Tahoma"/>
                <w:color w:val="000000"/>
                <w:sz w:val="18"/>
                <w:szCs w:val="18"/>
              </w:rPr>
            </w:pPr>
            <w:r>
              <w:rPr>
                <w:rFonts w:ascii="Tahoma" w:hAnsi="Tahoma" w:cs="Tahoma"/>
                <w:color w:val="000000"/>
                <w:sz w:val="18"/>
                <w:szCs w:val="18"/>
              </w:rPr>
              <w:t xml:space="preserve">- </w:t>
            </w:r>
            <w:r w:rsidRPr="00BB6A50">
              <w:rPr>
                <w:rFonts w:ascii="Tahoma" w:hAnsi="Tahoma" w:cs="Tahoma"/>
                <w:color w:val="000000"/>
                <w:sz w:val="18"/>
                <w:szCs w:val="18"/>
              </w:rPr>
              <w:t>выписка с зарплатного счета банковской (платежной) карты Заемщика, заверенная печатью подразделения и подписью работника кредитной организации, выдавшего выписку (или сформированная из мобильного/интернет банка), при этом в выписке должно быть указано назначение платежа, позволяющее однозначно идентифицировать, что поступления являются заработной платой Заемщика/ зачисления с определённым назначением платежа производятся через равные промежутки времени;</w:t>
            </w:r>
          </w:p>
          <w:p w14:paraId="39201213" w14:textId="77777777" w:rsidR="00382481" w:rsidRPr="00BB6A50" w:rsidRDefault="00382481" w:rsidP="00034511">
            <w:pPr>
              <w:pStyle w:val="affe"/>
              <w:tabs>
                <w:tab w:val="left" w:pos="178"/>
              </w:tabs>
              <w:ind w:left="37"/>
              <w:jc w:val="both"/>
              <w:rPr>
                <w:rFonts w:ascii="Tahoma" w:hAnsi="Tahoma" w:cs="Tahoma"/>
                <w:color w:val="000000"/>
                <w:sz w:val="18"/>
                <w:szCs w:val="18"/>
              </w:rPr>
            </w:pPr>
            <w:r>
              <w:rPr>
                <w:rFonts w:ascii="Tahoma" w:hAnsi="Tahoma" w:cs="Tahoma"/>
                <w:sz w:val="18"/>
                <w:szCs w:val="18"/>
              </w:rPr>
              <w:t>- д</w:t>
            </w:r>
            <w:r w:rsidRPr="00BB6A50">
              <w:rPr>
                <w:rFonts w:ascii="Tahoma" w:hAnsi="Tahoma" w:cs="Tahoma"/>
                <w:sz w:val="18"/>
                <w:szCs w:val="18"/>
              </w:rPr>
              <w:t>окументы, содержащие сведения о доходах Заемщика, выданные государственными (муниципальными) органами, учреждениями, организациями или предприятиями (включая документы, выданные должностными лицами Вооруженных Сил Российской Федерации и воинских формирований), а также физическими лицами, зарегистрированными в качестве индивидуальных предпринимателей;</w:t>
            </w:r>
          </w:p>
          <w:p w14:paraId="1E6228F6" w14:textId="77777777" w:rsidR="00382481" w:rsidRPr="00BB6A50" w:rsidRDefault="00382481" w:rsidP="00034511">
            <w:pPr>
              <w:pStyle w:val="affe"/>
              <w:tabs>
                <w:tab w:val="left" w:pos="178"/>
              </w:tabs>
              <w:ind w:left="37"/>
              <w:jc w:val="both"/>
              <w:rPr>
                <w:rFonts w:ascii="Tahoma" w:hAnsi="Tahoma" w:cs="Tahoma"/>
                <w:color w:val="000000"/>
                <w:sz w:val="18"/>
                <w:szCs w:val="18"/>
              </w:rPr>
            </w:pPr>
            <w:r>
              <w:rPr>
                <w:rFonts w:ascii="Tahoma" w:hAnsi="Tahoma" w:cs="Tahoma"/>
                <w:color w:val="000000"/>
                <w:sz w:val="18"/>
                <w:szCs w:val="18"/>
              </w:rPr>
              <w:t xml:space="preserve">- </w:t>
            </w:r>
            <w:r w:rsidRPr="00BB6A50">
              <w:rPr>
                <w:rFonts w:ascii="Tahoma" w:hAnsi="Tahoma" w:cs="Tahoma"/>
                <w:color w:val="000000"/>
                <w:sz w:val="18"/>
                <w:szCs w:val="18"/>
              </w:rPr>
              <w:t>налоговая декларация по налогу на доходы физических лиц (форма 3-НДФЛ);</w:t>
            </w:r>
          </w:p>
          <w:p w14:paraId="36CA38D7" w14:textId="77777777" w:rsidR="00382481" w:rsidRPr="00BB6A50" w:rsidRDefault="00382481" w:rsidP="00034511">
            <w:pPr>
              <w:jc w:val="both"/>
              <w:rPr>
                <w:rFonts w:ascii="Tahoma" w:hAnsi="Tahoma" w:cs="Tahoma"/>
                <w:color w:val="000000"/>
                <w:sz w:val="18"/>
                <w:szCs w:val="18"/>
              </w:rPr>
            </w:pPr>
            <w:r w:rsidRPr="00BB6A50">
              <w:rPr>
                <w:rFonts w:ascii="Tahoma" w:hAnsi="Tahoma" w:cs="Tahoma"/>
                <w:b/>
                <w:color w:val="000000"/>
                <w:sz w:val="18"/>
                <w:szCs w:val="18"/>
              </w:rPr>
              <w:t>Если Заемщик/Созаемщик является пенсионером</w:t>
            </w:r>
            <w:r w:rsidRPr="00BB6A50">
              <w:rPr>
                <w:rFonts w:ascii="Tahoma" w:hAnsi="Tahoma" w:cs="Tahoma"/>
                <w:color w:val="000000"/>
                <w:sz w:val="18"/>
                <w:szCs w:val="18"/>
              </w:rPr>
              <w:t xml:space="preserve"> (для учета дохода в виде пенсии допускается принимать документ, содержащий сведения о доходе за 1 (один) календарный месяц):</w:t>
            </w:r>
          </w:p>
          <w:p w14:paraId="06F350EC" w14:textId="77777777" w:rsidR="00382481" w:rsidRPr="00BB6A50" w:rsidRDefault="00382481" w:rsidP="00382481">
            <w:pPr>
              <w:pStyle w:val="affe"/>
              <w:numPr>
                <w:ilvl w:val="0"/>
                <w:numId w:val="27"/>
              </w:numPr>
              <w:contextualSpacing/>
              <w:jc w:val="both"/>
              <w:rPr>
                <w:rFonts w:ascii="Tahoma" w:hAnsi="Tahoma" w:cs="Tahoma"/>
                <w:color w:val="000000"/>
                <w:sz w:val="18"/>
                <w:szCs w:val="18"/>
              </w:rPr>
            </w:pPr>
            <w:r w:rsidRPr="00BB6A50">
              <w:rPr>
                <w:rFonts w:ascii="Tahoma" w:hAnsi="Tahoma" w:cs="Tahoma"/>
                <w:color w:val="000000"/>
                <w:sz w:val="18"/>
                <w:szCs w:val="18"/>
              </w:rPr>
              <w:t>справка Социального фонда Российской Федерации либо другого государственного органа, выплачивающего пенсию, о размере пенсии, ежемесячного пожизненного содержания судьям или ежемесячной надбавки к денежному содержанию судьям о назначении пенсии / иной документ, подтверждающий право на получение пенсии, содержащий идентификационные данные Клиента и размер дохода (например, выписка по индивидуальному лицевому счету в Социальном Фонде Российской Федерации);</w:t>
            </w:r>
          </w:p>
          <w:p w14:paraId="3F7425C8" w14:textId="77777777" w:rsidR="00382481" w:rsidRPr="00BB6A50" w:rsidRDefault="00382481" w:rsidP="00382481">
            <w:pPr>
              <w:pStyle w:val="affe"/>
              <w:numPr>
                <w:ilvl w:val="0"/>
                <w:numId w:val="27"/>
              </w:numPr>
              <w:contextualSpacing/>
              <w:jc w:val="both"/>
              <w:rPr>
                <w:rFonts w:ascii="Tahoma" w:hAnsi="Tahoma" w:cs="Tahoma"/>
                <w:color w:val="000000"/>
                <w:sz w:val="18"/>
                <w:szCs w:val="18"/>
              </w:rPr>
            </w:pPr>
            <w:r w:rsidRPr="00BB6A50">
              <w:rPr>
                <w:rFonts w:ascii="Tahoma" w:hAnsi="Tahoma" w:cs="Tahoma"/>
                <w:color w:val="000000"/>
                <w:sz w:val="18"/>
                <w:szCs w:val="18"/>
              </w:rPr>
              <w:t>выписка со счета карты Заемщика, заверенной печатью подразделения и подписью работника кредитной организации, выдавшего выписку (или сформированная из мобильного/интернет банка), при этом в выписке обязательно должно быть указано назначение платежа, позволяющее однозначно идентифицировать, что поступления являются пенсией Заемщика.</w:t>
            </w:r>
          </w:p>
          <w:p w14:paraId="65DA3E66" w14:textId="77777777" w:rsidR="00382481" w:rsidRPr="00BB6A50" w:rsidRDefault="00382481" w:rsidP="00034511">
            <w:pPr>
              <w:autoSpaceDE w:val="0"/>
              <w:autoSpaceDN w:val="0"/>
              <w:adjustRightInd w:val="0"/>
              <w:jc w:val="both"/>
              <w:rPr>
                <w:rFonts w:ascii="Tahoma" w:hAnsi="Tahoma" w:cs="Tahoma"/>
                <w:b/>
                <w:color w:val="000000"/>
                <w:sz w:val="18"/>
                <w:szCs w:val="18"/>
              </w:rPr>
            </w:pPr>
            <w:r w:rsidRPr="00BB6A50">
              <w:rPr>
                <w:rFonts w:ascii="Tahoma" w:hAnsi="Tahoma" w:cs="Tahoma"/>
                <w:b/>
                <w:color w:val="000000"/>
                <w:sz w:val="18"/>
                <w:szCs w:val="18"/>
              </w:rPr>
              <w:t>Заемщик/Созаемщик-ИП/ нотариус/адвокат</w:t>
            </w:r>
            <w:r w:rsidRPr="00BB6A50">
              <w:rPr>
                <w:rFonts w:ascii="Arial" w:hAnsi="Arial" w:cs="Arial"/>
                <w:sz w:val="18"/>
                <w:szCs w:val="18"/>
              </w:rPr>
              <w:t xml:space="preserve"> или иные лица, занимающиеся частной практикой</w:t>
            </w:r>
            <w:r>
              <w:rPr>
                <w:rFonts w:ascii="Arial" w:hAnsi="Arial" w:cs="Arial"/>
                <w:sz w:val="18"/>
                <w:szCs w:val="18"/>
              </w:rPr>
              <w:t xml:space="preserve">, предоставляют </w:t>
            </w:r>
            <w:r w:rsidRPr="00AB440B">
              <w:rPr>
                <w:rFonts w:ascii="Arial" w:hAnsi="Arial" w:cs="Arial"/>
                <w:b/>
                <w:sz w:val="18"/>
                <w:szCs w:val="18"/>
              </w:rPr>
              <w:t>один или</w:t>
            </w:r>
            <w:r w:rsidRPr="00BB6A50">
              <w:rPr>
                <w:rFonts w:ascii="Arial" w:hAnsi="Arial" w:cs="Arial"/>
                <w:sz w:val="18"/>
                <w:szCs w:val="18"/>
              </w:rPr>
              <w:t xml:space="preserve"> </w:t>
            </w:r>
            <w:r w:rsidRPr="00BB6A50">
              <w:rPr>
                <w:rFonts w:ascii="Tahoma" w:hAnsi="Tahoma" w:cs="Tahoma"/>
                <w:b/>
                <w:color w:val="000000"/>
                <w:sz w:val="18"/>
                <w:szCs w:val="18"/>
              </w:rPr>
              <w:t xml:space="preserve">совокупность следующих документов: </w:t>
            </w:r>
          </w:p>
          <w:p w14:paraId="0098B99B" w14:textId="77777777" w:rsidR="00382481" w:rsidRPr="00BB6A50" w:rsidRDefault="00382481" w:rsidP="00382481">
            <w:pPr>
              <w:pStyle w:val="affe"/>
              <w:numPr>
                <w:ilvl w:val="0"/>
                <w:numId w:val="79"/>
              </w:numPr>
              <w:tabs>
                <w:tab w:val="left" w:pos="739"/>
              </w:tabs>
              <w:ind w:left="739" w:hanging="425"/>
              <w:contextualSpacing/>
              <w:jc w:val="both"/>
              <w:rPr>
                <w:rFonts w:ascii="Tahoma" w:hAnsi="Tahoma" w:cs="Tahoma"/>
                <w:sz w:val="18"/>
                <w:szCs w:val="18"/>
              </w:rPr>
            </w:pPr>
            <w:r w:rsidRPr="00BB6A50">
              <w:rPr>
                <w:rFonts w:ascii="Tahoma" w:hAnsi="Tahoma" w:cs="Tahoma"/>
                <w:color w:val="000000"/>
                <w:sz w:val="18"/>
                <w:szCs w:val="18"/>
              </w:rPr>
              <w:t>официальные документы (декларации) в зависимости от систем налогообложения, на основании которых возможно идентифицировать доход ИП,</w:t>
            </w:r>
            <w:r w:rsidRPr="00BB6A50">
              <w:rPr>
                <w:rFonts w:ascii="Tahoma" w:hAnsi="Tahoma" w:cs="Tahoma"/>
                <w:sz w:val="18"/>
                <w:szCs w:val="18"/>
              </w:rPr>
              <w:t xml:space="preserve"> копии квитанций (платежных поручений) об уплате налогов за налоговые периоды, соответствующие периоду расчета среднемесячного дохода;</w:t>
            </w:r>
          </w:p>
          <w:p w14:paraId="7E152E05" w14:textId="77777777" w:rsidR="00382481" w:rsidRDefault="00382481" w:rsidP="00382481">
            <w:pPr>
              <w:pStyle w:val="affe"/>
              <w:numPr>
                <w:ilvl w:val="0"/>
                <w:numId w:val="27"/>
              </w:numPr>
              <w:tabs>
                <w:tab w:val="left" w:pos="739"/>
              </w:tabs>
              <w:ind w:left="739" w:hanging="425"/>
              <w:contextualSpacing/>
              <w:jc w:val="both"/>
              <w:rPr>
                <w:rFonts w:ascii="Tahoma" w:hAnsi="Tahoma" w:cs="Tahoma"/>
                <w:color w:val="000000"/>
                <w:sz w:val="18"/>
                <w:szCs w:val="18"/>
              </w:rPr>
            </w:pPr>
            <w:r w:rsidRPr="00BB6A50">
              <w:rPr>
                <w:rFonts w:ascii="Tahoma" w:hAnsi="Tahoma" w:cs="Tahoma"/>
                <w:sz w:val="18"/>
                <w:szCs w:val="18"/>
              </w:rPr>
              <w:t>книга учета доходов и расходов и хозяйственных операций индивидуального предпринимателя или</w:t>
            </w:r>
            <w:r w:rsidRPr="00BB6A50">
              <w:rPr>
                <w:rFonts w:ascii="Tahoma" w:hAnsi="Tahoma" w:cs="Tahoma"/>
                <w:color w:val="000000"/>
                <w:sz w:val="18"/>
                <w:szCs w:val="18"/>
              </w:rPr>
              <w:t xml:space="preserve"> выписки по счетам Заемщика, заверенные организацией, в которой открыты данные счета</w:t>
            </w:r>
            <w:r>
              <w:rPr>
                <w:rFonts w:ascii="Tahoma" w:hAnsi="Tahoma" w:cs="Tahoma"/>
                <w:color w:val="000000"/>
                <w:sz w:val="18"/>
                <w:szCs w:val="18"/>
              </w:rPr>
              <w:t xml:space="preserve"> </w:t>
            </w:r>
            <w:r w:rsidRPr="00380A4B">
              <w:rPr>
                <w:rFonts w:ascii="Tahoma" w:hAnsi="Tahoma" w:cs="Tahoma"/>
                <w:sz w:val="18"/>
                <w:szCs w:val="18"/>
              </w:rPr>
              <w:t xml:space="preserve">(Банк может запросить выписку в формате </w:t>
            </w:r>
            <w:r w:rsidRPr="00380A4B">
              <w:rPr>
                <w:rFonts w:ascii="Tahoma" w:hAnsi="Tahoma" w:cs="Tahoma"/>
                <w:sz w:val="18"/>
                <w:szCs w:val="18"/>
                <w:lang w:val="en-US"/>
              </w:rPr>
              <w:t>TXT</w:t>
            </w:r>
            <w:r w:rsidRPr="00380A4B">
              <w:rPr>
                <w:rFonts w:ascii="Tahoma" w:hAnsi="Tahoma" w:cs="Tahoma"/>
                <w:sz w:val="18"/>
                <w:szCs w:val="18"/>
              </w:rPr>
              <w:t>)</w:t>
            </w:r>
            <w:r w:rsidRPr="00BB6A50">
              <w:rPr>
                <w:rFonts w:ascii="Tahoma" w:hAnsi="Tahoma" w:cs="Tahoma"/>
                <w:color w:val="000000"/>
                <w:sz w:val="18"/>
                <w:szCs w:val="18"/>
              </w:rPr>
              <w:t>;</w:t>
            </w:r>
          </w:p>
          <w:p w14:paraId="0D93774C" w14:textId="77777777" w:rsidR="00382481" w:rsidRPr="00ED061B" w:rsidRDefault="00382481" w:rsidP="00382481">
            <w:pPr>
              <w:pStyle w:val="affe"/>
              <w:numPr>
                <w:ilvl w:val="0"/>
                <w:numId w:val="27"/>
              </w:numPr>
              <w:tabs>
                <w:tab w:val="left" w:pos="739"/>
              </w:tabs>
              <w:ind w:left="739" w:hanging="425"/>
              <w:contextualSpacing/>
              <w:jc w:val="both"/>
              <w:rPr>
                <w:rFonts w:ascii="Tahoma" w:hAnsi="Tahoma" w:cs="Tahoma"/>
                <w:color w:val="000000"/>
                <w:sz w:val="18"/>
                <w:szCs w:val="18"/>
              </w:rPr>
            </w:pPr>
            <w:r>
              <w:rPr>
                <w:rFonts w:ascii="Tahoma" w:hAnsi="Tahoma" w:cs="Tahoma"/>
                <w:sz w:val="18"/>
                <w:szCs w:val="18"/>
              </w:rPr>
              <w:lastRenderedPageBreak/>
              <w:t>справка</w:t>
            </w:r>
            <w:r w:rsidRPr="00AE5B02">
              <w:rPr>
                <w:rFonts w:ascii="Tahoma" w:hAnsi="Tahoma" w:cs="Tahoma"/>
                <w:sz w:val="18"/>
                <w:szCs w:val="18"/>
              </w:rPr>
              <w:t xml:space="preserve"> </w:t>
            </w:r>
            <w:r>
              <w:rPr>
                <w:rFonts w:ascii="Tahoma" w:hAnsi="Tahoma" w:cs="Tahoma"/>
                <w:sz w:val="18"/>
                <w:szCs w:val="18"/>
              </w:rPr>
              <w:t>о состоянии расчетов (доходах) по налогу, уплачиваемому в связи с применением автоматизированной упрощенной системы налогообложения (КНД 1120504) (в случае применения).</w:t>
            </w:r>
          </w:p>
          <w:p w14:paraId="6D5458D4" w14:textId="77777777" w:rsidR="00382481" w:rsidRPr="00BB6A50" w:rsidRDefault="00382481" w:rsidP="00034511">
            <w:pPr>
              <w:pStyle w:val="affe"/>
              <w:tabs>
                <w:tab w:val="left" w:pos="739"/>
              </w:tabs>
              <w:ind w:left="739"/>
              <w:jc w:val="both"/>
              <w:rPr>
                <w:rFonts w:ascii="Tahoma" w:hAnsi="Tahoma" w:cs="Tahoma"/>
                <w:color w:val="000000"/>
                <w:sz w:val="18"/>
                <w:szCs w:val="18"/>
              </w:rPr>
            </w:pPr>
          </w:p>
          <w:p w14:paraId="57E09C06" w14:textId="77777777" w:rsidR="00382481" w:rsidRPr="00BB6A50" w:rsidRDefault="00382481" w:rsidP="00034511">
            <w:pPr>
              <w:tabs>
                <w:tab w:val="left" w:pos="739"/>
              </w:tabs>
              <w:jc w:val="both"/>
              <w:rPr>
                <w:rFonts w:ascii="Tahoma" w:hAnsi="Tahoma" w:cs="Tahoma"/>
                <w:b/>
                <w:color w:val="000000"/>
                <w:sz w:val="18"/>
                <w:szCs w:val="18"/>
              </w:rPr>
            </w:pPr>
            <w:r w:rsidRPr="00BB6A50">
              <w:rPr>
                <w:rFonts w:ascii="Tahoma" w:hAnsi="Tahoma" w:cs="Tahoma"/>
                <w:b/>
                <w:color w:val="000000"/>
                <w:sz w:val="18"/>
                <w:szCs w:val="18"/>
              </w:rPr>
              <w:t xml:space="preserve">Заемщик/Созаемщик </w:t>
            </w:r>
            <w:r w:rsidRPr="00BB6A50">
              <w:rPr>
                <w:rFonts w:ascii="Tahoma" w:hAnsi="Tahoma" w:cs="Tahoma"/>
                <w:sz w:val="18"/>
                <w:szCs w:val="18"/>
              </w:rPr>
              <w:t>применяет специальный налоговый режим - налог на профессиональный доход</w:t>
            </w:r>
            <w:r w:rsidRPr="00BB6A50">
              <w:rPr>
                <w:rFonts w:ascii="Tahoma" w:hAnsi="Tahoma" w:cs="Tahoma"/>
                <w:b/>
                <w:color w:val="000000"/>
                <w:sz w:val="18"/>
                <w:szCs w:val="18"/>
              </w:rPr>
              <w:t>, совокупность следующих документов:</w:t>
            </w:r>
          </w:p>
          <w:p w14:paraId="5ECE784E" w14:textId="77777777" w:rsidR="00382481" w:rsidRPr="00BB6A50" w:rsidRDefault="00382481" w:rsidP="00382481">
            <w:pPr>
              <w:pStyle w:val="affe"/>
              <w:numPr>
                <w:ilvl w:val="0"/>
                <w:numId w:val="27"/>
              </w:numPr>
              <w:tabs>
                <w:tab w:val="left" w:pos="739"/>
              </w:tabs>
              <w:contextualSpacing/>
              <w:jc w:val="both"/>
              <w:rPr>
                <w:rFonts w:ascii="Tahoma" w:hAnsi="Tahoma" w:cs="Tahoma"/>
                <w:color w:val="000000"/>
                <w:sz w:val="18"/>
                <w:szCs w:val="18"/>
              </w:rPr>
            </w:pPr>
            <w:r w:rsidRPr="00BB6A50">
              <w:rPr>
                <w:rFonts w:ascii="Tahoma" w:hAnsi="Tahoma" w:cs="Tahoma"/>
                <w:color w:val="000000"/>
                <w:sz w:val="18"/>
                <w:szCs w:val="18"/>
              </w:rPr>
              <w:t>справка о постановке на учет (снятии с учета) ФЛ в качестве плательщика налога на профессиональный доход (КНД 1122035);</w:t>
            </w:r>
          </w:p>
          <w:p w14:paraId="31EA3848" w14:textId="77777777" w:rsidR="00382481" w:rsidRPr="00BB6A50" w:rsidRDefault="00382481" w:rsidP="00382481">
            <w:pPr>
              <w:pStyle w:val="affe"/>
              <w:numPr>
                <w:ilvl w:val="0"/>
                <w:numId w:val="27"/>
              </w:numPr>
              <w:tabs>
                <w:tab w:val="left" w:pos="739"/>
              </w:tabs>
              <w:contextualSpacing/>
              <w:jc w:val="both"/>
              <w:rPr>
                <w:rFonts w:ascii="Tahoma" w:hAnsi="Tahoma" w:cs="Tahoma"/>
                <w:color w:val="000000"/>
                <w:sz w:val="18"/>
                <w:szCs w:val="18"/>
              </w:rPr>
            </w:pPr>
            <w:r w:rsidRPr="00BB6A50">
              <w:rPr>
                <w:rFonts w:ascii="Tahoma" w:hAnsi="Tahoma" w:cs="Tahoma"/>
                <w:color w:val="000000"/>
                <w:sz w:val="18"/>
                <w:szCs w:val="18"/>
              </w:rPr>
              <w:t>справка о состоянии расчетов (доходах) по налогу на профессиональный доход (КНД 1122036).</w:t>
            </w:r>
          </w:p>
          <w:p w14:paraId="017DE3DF" w14:textId="77777777" w:rsidR="00382481" w:rsidRPr="00BB6A50" w:rsidRDefault="00382481" w:rsidP="00034511">
            <w:pPr>
              <w:pStyle w:val="affe"/>
              <w:tabs>
                <w:tab w:val="left" w:pos="739"/>
              </w:tabs>
              <w:ind w:left="739"/>
              <w:jc w:val="both"/>
              <w:rPr>
                <w:rFonts w:ascii="Tahoma" w:hAnsi="Tahoma" w:cs="Tahoma"/>
                <w:color w:val="000000"/>
                <w:sz w:val="18"/>
                <w:szCs w:val="18"/>
              </w:rPr>
            </w:pPr>
          </w:p>
          <w:p w14:paraId="559BA0F3" w14:textId="77777777" w:rsidR="00382481" w:rsidRPr="00BB6A50" w:rsidRDefault="00382481" w:rsidP="00034511">
            <w:pPr>
              <w:tabs>
                <w:tab w:val="left" w:pos="739"/>
              </w:tabs>
              <w:jc w:val="both"/>
              <w:rPr>
                <w:rFonts w:ascii="Tahoma" w:hAnsi="Tahoma" w:cs="Tahoma"/>
                <w:b/>
                <w:color w:val="000000"/>
                <w:sz w:val="18"/>
                <w:szCs w:val="18"/>
              </w:rPr>
            </w:pPr>
            <w:r w:rsidRPr="00BB6A50">
              <w:rPr>
                <w:rFonts w:ascii="Tahoma" w:hAnsi="Tahoma" w:cs="Tahoma"/>
                <w:b/>
                <w:color w:val="000000"/>
                <w:sz w:val="18"/>
                <w:szCs w:val="18"/>
              </w:rPr>
              <w:t>Доходы от нетрудовой деятельности:</w:t>
            </w:r>
          </w:p>
          <w:p w14:paraId="4E7A7A4C" w14:textId="77777777" w:rsidR="00382481" w:rsidRPr="00BB6A50" w:rsidRDefault="00382481" w:rsidP="00382481">
            <w:pPr>
              <w:pStyle w:val="affe"/>
              <w:numPr>
                <w:ilvl w:val="0"/>
                <w:numId w:val="27"/>
              </w:numPr>
              <w:tabs>
                <w:tab w:val="left" w:pos="739"/>
              </w:tabs>
              <w:ind w:left="739" w:hanging="425"/>
              <w:contextualSpacing/>
              <w:jc w:val="both"/>
              <w:rPr>
                <w:rFonts w:ascii="Tahoma" w:hAnsi="Tahoma" w:cs="Tahoma"/>
                <w:color w:val="000000"/>
                <w:sz w:val="18"/>
                <w:szCs w:val="18"/>
              </w:rPr>
            </w:pPr>
            <w:r w:rsidRPr="00BB6A50">
              <w:rPr>
                <w:rFonts w:ascii="Tahoma" w:hAnsi="Tahoma" w:cs="Tahoma"/>
                <w:sz w:val="18"/>
                <w:szCs w:val="18"/>
              </w:rPr>
              <w:t xml:space="preserve">выписка со счета, выданная кредитными организациями, на который осуществляются социальные выплаты, а также иные регулярные выплаты Клиенту (напр., доходы от сдачи внаем (в аренду) недвижимого имущества (при условии подтверждения права собственности (владения) этим имуществом), в т.ч. сформированная из мобильного/интернет банка, а также при предоставлении </w:t>
            </w:r>
            <w:r w:rsidRPr="00BB6A50">
              <w:rPr>
                <w:rFonts w:ascii="Tahoma" w:hAnsi="Tahoma" w:cs="Tahoma"/>
                <w:color w:val="000000"/>
                <w:sz w:val="18"/>
                <w:szCs w:val="18"/>
              </w:rPr>
              <w:t>налоговой декларации по налогу на доходы физических лиц (форма 3-НДФЛ);</w:t>
            </w:r>
          </w:p>
          <w:p w14:paraId="4BB289C1" w14:textId="77777777" w:rsidR="00382481" w:rsidRPr="00BB6A50" w:rsidRDefault="00382481" w:rsidP="00382481">
            <w:pPr>
              <w:pStyle w:val="affe"/>
              <w:numPr>
                <w:ilvl w:val="0"/>
                <w:numId w:val="27"/>
              </w:numPr>
              <w:tabs>
                <w:tab w:val="left" w:pos="40"/>
                <w:tab w:val="left" w:pos="314"/>
              </w:tabs>
              <w:ind w:hanging="406"/>
              <w:contextualSpacing/>
              <w:jc w:val="both"/>
              <w:textAlignment w:val="baseline"/>
              <w:rPr>
                <w:rFonts w:ascii="Tahoma" w:hAnsi="Tahoma" w:cs="Tahoma"/>
                <w:sz w:val="20"/>
                <w:szCs w:val="20"/>
              </w:rPr>
            </w:pPr>
            <w:r w:rsidRPr="00BB6A50">
              <w:rPr>
                <w:rFonts w:ascii="Tahoma" w:hAnsi="Tahoma" w:cs="Tahoma"/>
                <w:sz w:val="18"/>
                <w:szCs w:val="18"/>
              </w:rPr>
              <w:t>Справка о сумме ежемесячной денежной выплаты, ежемесячной денежной компенсации, ежемесячного дополнительного материального обеспечения, выданная государ</w:t>
            </w:r>
            <w:r>
              <w:rPr>
                <w:rFonts w:ascii="Tahoma" w:hAnsi="Tahoma" w:cs="Tahoma"/>
                <w:sz w:val="18"/>
                <w:szCs w:val="18"/>
              </w:rPr>
              <w:t>ственным органом Заемщику/Созаем</w:t>
            </w:r>
            <w:r w:rsidRPr="00BB6A50">
              <w:rPr>
                <w:rFonts w:ascii="Tahoma" w:hAnsi="Tahoma" w:cs="Tahoma"/>
                <w:sz w:val="18"/>
                <w:szCs w:val="18"/>
              </w:rPr>
              <w:t>щику.</w:t>
            </w:r>
            <w:r w:rsidRPr="00BB6A50">
              <w:rPr>
                <w:rFonts w:ascii="Tahoma" w:hAnsi="Tahoma" w:cs="Tahoma"/>
                <w:sz w:val="20"/>
                <w:szCs w:val="20"/>
              </w:rPr>
              <w:t xml:space="preserve">  </w:t>
            </w:r>
            <w:r w:rsidRPr="00BB6A50">
              <w:rPr>
                <w:rFonts w:ascii="Tahoma" w:hAnsi="Tahoma" w:cs="Tahoma"/>
                <w:color w:val="000000"/>
                <w:sz w:val="18"/>
                <w:szCs w:val="18"/>
              </w:rPr>
              <w:fldChar w:fldCharType="begin"/>
            </w:r>
            <w:r w:rsidRPr="00BB6A50">
              <w:rPr>
                <w:rFonts w:ascii="Tahoma" w:hAnsi="Tahoma" w:cs="Tahoma"/>
                <w:color w:val="000000"/>
                <w:sz w:val="18"/>
                <w:szCs w:val="18"/>
              </w:rPr>
              <w:instrText xml:space="preserve"> DOCVARIABLE  ATB_ADDRESS_REG </w:instrText>
            </w:r>
            <w:r w:rsidRPr="00BB6A50">
              <w:rPr>
                <w:rFonts w:ascii="Tahoma" w:hAnsi="Tahoma" w:cs="Tahoma"/>
                <w:color w:val="000000"/>
                <w:sz w:val="18"/>
                <w:szCs w:val="18"/>
              </w:rPr>
              <w:fldChar w:fldCharType="end"/>
            </w:r>
          </w:p>
        </w:tc>
      </w:tr>
      <w:tr w:rsidR="00382481" w:rsidRPr="00BB6A50" w14:paraId="73F98292" w14:textId="77777777" w:rsidTr="00034511">
        <w:tblPrEx>
          <w:tblLook w:val="00A0" w:firstRow="1" w:lastRow="0" w:firstColumn="1" w:lastColumn="0" w:noHBand="0" w:noVBand="0"/>
        </w:tblPrEx>
        <w:trPr>
          <w:trHeight w:val="132"/>
        </w:trPr>
        <w:tc>
          <w:tcPr>
            <w:tcW w:w="6096" w:type="dxa"/>
            <w:tcBorders>
              <w:top w:val="single" w:sz="4" w:space="0" w:color="auto"/>
              <w:left w:val="single" w:sz="8" w:space="0" w:color="auto"/>
              <w:bottom w:val="single" w:sz="4" w:space="0" w:color="auto"/>
              <w:right w:val="single" w:sz="4" w:space="0" w:color="auto"/>
            </w:tcBorders>
            <w:vAlign w:val="center"/>
          </w:tcPr>
          <w:p w14:paraId="21D4A57B" w14:textId="77777777" w:rsidR="00382481" w:rsidRPr="00BB6A50" w:rsidRDefault="00382481" w:rsidP="00034511">
            <w:pPr>
              <w:widowControl w:val="0"/>
              <w:tabs>
                <w:tab w:val="left" w:pos="426"/>
                <w:tab w:val="left" w:pos="851"/>
              </w:tabs>
              <w:rPr>
                <w:rFonts w:ascii="Tahoma" w:hAnsi="Tahoma" w:cs="Tahoma"/>
                <w:b/>
                <w:color w:val="000000"/>
                <w:sz w:val="18"/>
                <w:szCs w:val="18"/>
              </w:rPr>
            </w:pPr>
            <w:r w:rsidRPr="00BB6A50">
              <w:rPr>
                <w:rFonts w:ascii="Tahoma" w:hAnsi="Tahoma" w:cs="Tahoma"/>
                <w:b/>
                <w:color w:val="000000"/>
                <w:sz w:val="18"/>
                <w:szCs w:val="18"/>
              </w:rPr>
              <w:lastRenderedPageBreak/>
              <w:t>Способы возврата  Заемщиком потребительского Кредита, и уплаты процентов по нему</w:t>
            </w:r>
          </w:p>
        </w:tc>
        <w:tc>
          <w:tcPr>
            <w:tcW w:w="9072" w:type="dxa"/>
            <w:gridSpan w:val="3"/>
            <w:tcBorders>
              <w:top w:val="single" w:sz="4" w:space="0" w:color="auto"/>
              <w:left w:val="nil"/>
              <w:bottom w:val="single" w:sz="4" w:space="0" w:color="auto"/>
              <w:right w:val="single" w:sz="8" w:space="0" w:color="000000"/>
            </w:tcBorders>
            <w:shd w:val="clear" w:color="auto" w:fill="auto"/>
            <w:noWrap/>
            <w:vAlign w:val="center"/>
          </w:tcPr>
          <w:p w14:paraId="75DD116F" w14:textId="77777777" w:rsidR="00382481" w:rsidRPr="00BB6A50" w:rsidRDefault="00382481" w:rsidP="00034511">
            <w:pPr>
              <w:widowControl w:val="0"/>
              <w:tabs>
                <w:tab w:val="left" w:pos="426"/>
                <w:tab w:val="left" w:pos="851"/>
              </w:tabs>
              <w:jc w:val="both"/>
              <w:rPr>
                <w:rFonts w:ascii="Tahoma" w:hAnsi="Tahoma" w:cs="Tahoma"/>
                <w:sz w:val="18"/>
                <w:szCs w:val="18"/>
              </w:rPr>
            </w:pPr>
            <w:r w:rsidRPr="00BB6A50">
              <w:rPr>
                <w:rFonts w:ascii="Tahoma" w:hAnsi="Tahoma" w:cs="Tahoma"/>
                <w:sz w:val="18"/>
                <w:szCs w:val="18"/>
              </w:rPr>
              <w:t xml:space="preserve">Погашение Заемщиком обязательств по Договору осуществляется в сумме и сроки предусмотренные Договором (в т.ч. при досрочном частичном или полном возврате Кредита) производится любым способом по выбору Заемщика, в том числе: посредством внесения денежных средств в сумме обязательства на ТБС/СКС Заемщика через терминалы самообслуживания Банка (при их наличии в населенном пункте по месту получения Заемщиком оферты); кассы Банка, перевод через работодателя Заемщика, перевод со счёта в Банке на ТБС Заемщика, перевод через отделения АО «Почта России», перевод через интернет-системы «АТБ-Онлайн», «АТБ банк», иные кредитные организации (по предусмотренным ими тарифам). </w:t>
            </w:r>
          </w:p>
          <w:p w14:paraId="3CF2C08B" w14:textId="77777777" w:rsidR="00382481" w:rsidRPr="00BB6A50" w:rsidRDefault="00382481" w:rsidP="00034511">
            <w:pPr>
              <w:widowControl w:val="0"/>
              <w:tabs>
                <w:tab w:val="left" w:pos="426"/>
                <w:tab w:val="left" w:pos="851"/>
              </w:tabs>
              <w:jc w:val="both"/>
              <w:rPr>
                <w:rFonts w:ascii="Tahoma" w:hAnsi="Tahoma" w:cs="Tahoma"/>
                <w:sz w:val="18"/>
                <w:szCs w:val="18"/>
              </w:rPr>
            </w:pPr>
            <w:r w:rsidRPr="00BB6A50">
              <w:rPr>
                <w:rFonts w:ascii="Tahoma" w:hAnsi="Tahoma" w:cs="Tahoma"/>
                <w:sz w:val="18"/>
                <w:szCs w:val="18"/>
              </w:rPr>
              <w:t>Могут использоваться иные, не противоречащие законодательству РФ способы.</w:t>
            </w:r>
          </w:p>
          <w:p w14:paraId="47D159A8" w14:textId="77777777" w:rsidR="00382481" w:rsidRPr="00BB6A50" w:rsidRDefault="00382481" w:rsidP="00034511">
            <w:pPr>
              <w:widowControl w:val="0"/>
              <w:tabs>
                <w:tab w:val="left" w:pos="426"/>
                <w:tab w:val="left" w:pos="851"/>
              </w:tabs>
              <w:jc w:val="both"/>
              <w:rPr>
                <w:rFonts w:ascii="Tahoma" w:hAnsi="Tahoma" w:cs="Tahoma"/>
                <w:sz w:val="18"/>
                <w:szCs w:val="18"/>
              </w:rPr>
            </w:pPr>
            <w:r w:rsidRPr="00BB6A50">
              <w:rPr>
                <w:rFonts w:ascii="Tahoma" w:hAnsi="Tahoma" w:cs="Tahoma"/>
                <w:sz w:val="18"/>
                <w:szCs w:val="18"/>
              </w:rPr>
              <w:t xml:space="preserve">Обязательства по погашению Заемщиком Кредитной задолженности по Договору считаются Заемщиком исполненными в полном объеме после поступления денежных средств на ТБС/СКС Заемщика (списания Банком в свою пользу с ТБС/СКС Заемщика денежных средств).  </w:t>
            </w:r>
          </w:p>
          <w:p w14:paraId="45694E9C" w14:textId="77777777" w:rsidR="00382481" w:rsidRPr="00BB6A50" w:rsidRDefault="00382481" w:rsidP="00034511">
            <w:pPr>
              <w:widowControl w:val="0"/>
              <w:tabs>
                <w:tab w:val="left" w:pos="426"/>
                <w:tab w:val="left" w:pos="851"/>
              </w:tabs>
              <w:jc w:val="both"/>
              <w:rPr>
                <w:rFonts w:ascii="Tahoma" w:hAnsi="Tahoma" w:cs="Tahoma"/>
                <w:sz w:val="18"/>
                <w:szCs w:val="18"/>
              </w:rPr>
            </w:pPr>
            <w:r w:rsidRPr="00BB6A50">
              <w:rPr>
                <w:rFonts w:ascii="Tahoma" w:hAnsi="Tahoma" w:cs="Tahoma"/>
                <w:sz w:val="18"/>
                <w:szCs w:val="18"/>
              </w:rPr>
              <w:t>Заемщик вносит на ТБС/СКС денежные средства любыми из перечисленных выше способов, при этом он обязан учесть время, затрачиваемое на безналичное перечисление денежных средств, выходные и праздничные дни. Если установленный Договором последний день срока платежа отсутствует в календарном месяце, Заемщик обязан внести денежные средства на ТБС не позднее последнего календарного рабочего дня месяца; если последний день срока платежа приходится на выходные/нерабочие праздничные дни, Заемщик обязан внести денежные средства на ТБС/СКС не позднее 1-го рабочего дня, следующего за выходным/нерабочим праздничным днем. Указанная обязанность должна быть исполнена Заемщиком в операционный день Банка.</w:t>
            </w:r>
          </w:p>
        </w:tc>
      </w:tr>
      <w:tr w:rsidR="00382481" w:rsidRPr="00BB6A50" w14:paraId="4F9AD82E" w14:textId="77777777" w:rsidTr="00034511">
        <w:tblPrEx>
          <w:tblLook w:val="00A0" w:firstRow="1" w:lastRow="0" w:firstColumn="1" w:lastColumn="0" w:noHBand="0" w:noVBand="0"/>
        </w:tblPrEx>
        <w:trPr>
          <w:trHeight w:val="160"/>
        </w:trPr>
        <w:tc>
          <w:tcPr>
            <w:tcW w:w="6096" w:type="dxa"/>
            <w:tcBorders>
              <w:top w:val="single" w:sz="4" w:space="0" w:color="auto"/>
              <w:left w:val="single" w:sz="8" w:space="0" w:color="auto"/>
              <w:bottom w:val="single" w:sz="4" w:space="0" w:color="auto"/>
              <w:right w:val="single" w:sz="4" w:space="0" w:color="auto"/>
            </w:tcBorders>
            <w:vAlign w:val="center"/>
          </w:tcPr>
          <w:p w14:paraId="46131B51" w14:textId="77777777" w:rsidR="00382481" w:rsidRPr="00BB6A50" w:rsidRDefault="00382481" w:rsidP="00034511">
            <w:pPr>
              <w:widowControl w:val="0"/>
              <w:tabs>
                <w:tab w:val="left" w:pos="426"/>
                <w:tab w:val="left" w:pos="851"/>
              </w:tabs>
              <w:rPr>
                <w:rFonts w:ascii="Tahoma" w:hAnsi="Tahoma" w:cs="Tahoma"/>
                <w:b/>
                <w:color w:val="000000"/>
                <w:sz w:val="18"/>
                <w:szCs w:val="18"/>
              </w:rPr>
            </w:pPr>
            <w:r w:rsidRPr="00BB6A50">
              <w:rPr>
                <w:rFonts w:ascii="Tahoma" w:hAnsi="Tahoma" w:cs="Tahoma"/>
                <w:b/>
                <w:color w:val="000000"/>
                <w:sz w:val="18"/>
                <w:szCs w:val="18"/>
              </w:rPr>
              <w:t xml:space="preserve">Ответственность Заемщика за ненадлежащее исполнение Договора </w:t>
            </w:r>
          </w:p>
        </w:tc>
        <w:tc>
          <w:tcPr>
            <w:tcW w:w="9072" w:type="dxa"/>
            <w:gridSpan w:val="3"/>
            <w:tcBorders>
              <w:top w:val="single" w:sz="4" w:space="0" w:color="auto"/>
              <w:left w:val="nil"/>
              <w:bottom w:val="single" w:sz="4" w:space="0" w:color="auto"/>
              <w:right w:val="single" w:sz="8" w:space="0" w:color="000000"/>
            </w:tcBorders>
            <w:noWrap/>
            <w:vAlign w:val="center"/>
          </w:tcPr>
          <w:p w14:paraId="660BCB10" w14:textId="77777777" w:rsidR="00382481" w:rsidRPr="00BB6A50" w:rsidRDefault="00382481" w:rsidP="00034511">
            <w:pPr>
              <w:autoSpaceDE w:val="0"/>
              <w:autoSpaceDN w:val="0"/>
              <w:jc w:val="both"/>
              <w:rPr>
                <w:rFonts w:ascii="Tahoma" w:hAnsi="Tahoma" w:cs="Tahoma"/>
                <w:sz w:val="18"/>
                <w:szCs w:val="18"/>
              </w:rPr>
            </w:pPr>
            <w:r w:rsidRPr="00BB6A50">
              <w:rPr>
                <w:rFonts w:ascii="Tahoma" w:hAnsi="Tahoma" w:cs="Tahoma"/>
                <w:sz w:val="18"/>
                <w:szCs w:val="18"/>
              </w:rPr>
              <w:t>За нарушение Заемщиком своих обязательств по Договору Банк вправе начислить пеню (неустойку) в следующем порядке:</w:t>
            </w:r>
          </w:p>
          <w:p w14:paraId="6D7A2071" w14:textId="77777777" w:rsidR="00382481" w:rsidRPr="00BB6A50" w:rsidRDefault="00382481" w:rsidP="00034511">
            <w:pPr>
              <w:autoSpaceDE w:val="0"/>
              <w:autoSpaceDN w:val="0"/>
              <w:jc w:val="both"/>
              <w:rPr>
                <w:rFonts w:ascii="Tahoma" w:hAnsi="Tahoma" w:cs="Tahoma"/>
                <w:sz w:val="18"/>
                <w:szCs w:val="18"/>
              </w:rPr>
            </w:pPr>
            <w:r w:rsidRPr="00BB6A50">
              <w:rPr>
                <w:rFonts w:ascii="Tahoma" w:hAnsi="Tahoma" w:cs="Tahoma"/>
                <w:sz w:val="18"/>
                <w:szCs w:val="18"/>
              </w:rPr>
              <w:t xml:space="preserve">1. За ненадлежащее исполнение Заемщиком обязательств по возврату Кредита и(или) уплате процентов за пользование Кредитом – в размере 20 (двадцать) % годовых от суммы просроченной задолженности за каждый день просрочки, начиная со следующего дня за днем ее образования. </w:t>
            </w:r>
          </w:p>
          <w:p w14:paraId="013B8405" w14:textId="77777777" w:rsidR="00382481" w:rsidRPr="00BB6A50" w:rsidRDefault="00382481" w:rsidP="00034511">
            <w:pPr>
              <w:autoSpaceDE w:val="0"/>
              <w:autoSpaceDN w:val="0"/>
              <w:jc w:val="both"/>
              <w:rPr>
                <w:rFonts w:ascii="Tahoma" w:hAnsi="Tahoma" w:cs="Tahoma"/>
                <w:sz w:val="18"/>
                <w:szCs w:val="18"/>
              </w:rPr>
            </w:pPr>
            <w:r w:rsidRPr="00BB6A50">
              <w:rPr>
                <w:rFonts w:ascii="Tahoma" w:hAnsi="Tahoma" w:cs="Tahoma"/>
                <w:sz w:val="18"/>
                <w:szCs w:val="18"/>
              </w:rPr>
              <w:t xml:space="preserve">2. За непредоставление (нарушение срока предоставления) залога (если условиями Договора предусмотрена такая обязанность Заемщика) – в размере 5 (пять) % годовых на сумму основного долга </w:t>
            </w:r>
            <w:r w:rsidRPr="00BB6A50">
              <w:rPr>
                <w:rFonts w:ascii="Tahoma" w:hAnsi="Tahoma" w:cs="Tahoma"/>
                <w:sz w:val="18"/>
                <w:szCs w:val="18"/>
              </w:rPr>
              <w:lastRenderedPageBreak/>
              <w:t>за каждый день просрочки предоставления залога, начиная со следующего дня за днем просрочки предоставления залога.</w:t>
            </w:r>
          </w:p>
          <w:p w14:paraId="634455C2" w14:textId="77777777" w:rsidR="00382481" w:rsidRPr="00BB6A50" w:rsidRDefault="00382481" w:rsidP="00034511">
            <w:pPr>
              <w:autoSpaceDE w:val="0"/>
              <w:autoSpaceDN w:val="0"/>
              <w:jc w:val="both"/>
              <w:rPr>
                <w:rFonts w:ascii="Tahoma" w:hAnsi="Tahoma" w:cs="Tahoma"/>
                <w:sz w:val="18"/>
                <w:szCs w:val="18"/>
              </w:rPr>
            </w:pPr>
            <w:r w:rsidRPr="00BB6A50">
              <w:rPr>
                <w:rFonts w:ascii="Tahoma" w:hAnsi="Tahoma" w:cs="Tahoma"/>
                <w:sz w:val="18"/>
                <w:szCs w:val="18"/>
              </w:rPr>
              <w:t>3. Суммарный размер ответственности Заемщика при совокупности указанных нарушений не может превышать ограничений, предусмотренных частями 21 и 24 статьи 5 Федерального закона от 21.12.2013 № 353-ФЗ «О потребительском кредите (займе)».</w:t>
            </w:r>
          </w:p>
        </w:tc>
      </w:tr>
      <w:tr w:rsidR="00382481" w:rsidRPr="00BB6A50" w14:paraId="20AC3CDC" w14:textId="77777777" w:rsidTr="00034511">
        <w:tblPrEx>
          <w:tblLook w:val="00A0" w:firstRow="1" w:lastRow="0" w:firstColumn="1" w:lastColumn="0" w:noHBand="0" w:noVBand="0"/>
        </w:tblPrEx>
        <w:trPr>
          <w:trHeight w:val="160"/>
        </w:trPr>
        <w:tc>
          <w:tcPr>
            <w:tcW w:w="6096" w:type="dxa"/>
            <w:tcBorders>
              <w:top w:val="single" w:sz="4" w:space="0" w:color="auto"/>
              <w:left w:val="single" w:sz="8" w:space="0" w:color="auto"/>
              <w:bottom w:val="single" w:sz="4" w:space="0" w:color="auto"/>
              <w:right w:val="single" w:sz="4" w:space="0" w:color="auto"/>
            </w:tcBorders>
            <w:vAlign w:val="center"/>
          </w:tcPr>
          <w:p w14:paraId="026446D0" w14:textId="77777777" w:rsidR="00382481" w:rsidRPr="00BB6A50" w:rsidRDefault="00382481" w:rsidP="00034511">
            <w:pPr>
              <w:widowControl w:val="0"/>
              <w:tabs>
                <w:tab w:val="left" w:pos="426"/>
                <w:tab w:val="left" w:pos="851"/>
              </w:tabs>
              <w:rPr>
                <w:rFonts w:ascii="Tahoma" w:hAnsi="Tahoma" w:cs="Tahoma"/>
                <w:b/>
                <w:color w:val="000000"/>
                <w:sz w:val="18"/>
                <w:szCs w:val="18"/>
              </w:rPr>
            </w:pPr>
            <w:r w:rsidRPr="00BB6A50">
              <w:rPr>
                <w:rFonts w:ascii="Tahoma" w:hAnsi="Tahoma" w:cs="Tahoma"/>
                <w:b/>
                <w:color w:val="000000"/>
                <w:sz w:val="18"/>
                <w:szCs w:val="18"/>
              </w:rPr>
              <w:lastRenderedPageBreak/>
              <w:t>Уступка Банком третьим лицам прав (требований) по Договору</w:t>
            </w:r>
          </w:p>
        </w:tc>
        <w:tc>
          <w:tcPr>
            <w:tcW w:w="9072" w:type="dxa"/>
            <w:gridSpan w:val="3"/>
            <w:tcBorders>
              <w:top w:val="single" w:sz="4" w:space="0" w:color="auto"/>
              <w:left w:val="nil"/>
              <w:bottom w:val="single" w:sz="4" w:space="0" w:color="auto"/>
              <w:right w:val="single" w:sz="8" w:space="0" w:color="000000"/>
            </w:tcBorders>
            <w:noWrap/>
            <w:vAlign w:val="center"/>
          </w:tcPr>
          <w:p w14:paraId="5BFD54D4" w14:textId="77777777" w:rsidR="00382481" w:rsidRPr="00BB6A50" w:rsidRDefault="00382481" w:rsidP="00034511">
            <w:pPr>
              <w:widowControl w:val="0"/>
              <w:tabs>
                <w:tab w:val="left" w:pos="426"/>
                <w:tab w:val="left" w:pos="851"/>
              </w:tabs>
              <w:jc w:val="both"/>
              <w:rPr>
                <w:rFonts w:ascii="Tahoma" w:hAnsi="Tahoma" w:cs="Tahoma"/>
                <w:color w:val="000000"/>
                <w:sz w:val="18"/>
                <w:szCs w:val="18"/>
              </w:rPr>
            </w:pPr>
            <w:r w:rsidRPr="00BB6A50">
              <w:rPr>
                <w:rFonts w:ascii="Tahoma" w:hAnsi="Tahoma" w:cs="Tahoma"/>
                <w:color w:val="000000"/>
                <w:sz w:val="18"/>
                <w:szCs w:val="18"/>
              </w:rPr>
              <w:t>При заключении Договора Заемщик вправе запретить уступку Банком третьим лицам прав (требований) по Договору.</w:t>
            </w:r>
          </w:p>
        </w:tc>
      </w:tr>
      <w:tr w:rsidR="00382481" w:rsidRPr="00BB6A50" w14:paraId="504AFBC8" w14:textId="77777777" w:rsidTr="00034511">
        <w:tblPrEx>
          <w:tblLook w:val="00A0" w:firstRow="1" w:lastRow="0" w:firstColumn="1" w:lastColumn="0" w:noHBand="0" w:noVBand="0"/>
        </w:tblPrEx>
        <w:trPr>
          <w:trHeight w:val="160"/>
        </w:trPr>
        <w:tc>
          <w:tcPr>
            <w:tcW w:w="6096" w:type="dxa"/>
            <w:tcBorders>
              <w:top w:val="single" w:sz="4" w:space="0" w:color="auto"/>
              <w:left w:val="single" w:sz="8" w:space="0" w:color="auto"/>
              <w:bottom w:val="single" w:sz="4" w:space="0" w:color="auto"/>
              <w:right w:val="single" w:sz="4" w:space="0" w:color="auto"/>
            </w:tcBorders>
            <w:vAlign w:val="center"/>
          </w:tcPr>
          <w:p w14:paraId="0AA7875C" w14:textId="77777777" w:rsidR="00382481" w:rsidRPr="00BB6A50" w:rsidRDefault="00382481" w:rsidP="00034511">
            <w:pPr>
              <w:widowControl w:val="0"/>
              <w:tabs>
                <w:tab w:val="left" w:pos="426"/>
                <w:tab w:val="left" w:pos="851"/>
              </w:tabs>
              <w:rPr>
                <w:rFonts w:ascii="Tahoma" w:hAnsi="Tahoma" w:cs="Tahoma"/>
                <w:b/>
                <w:color w:val="000000"/>
                <w:sz w:val="18"/>
                <w:szCs w:val="18"/>
              </w:rPr>
            </w:pPr>
            <w:r w:rsidRPr="00BB6A50">
              <w:rPr>
                <w:rFonts w:ascii="Tahoma" w:hAnsi="Tahoma" w:cs="Tahoma"/>
                <w:b/>
                <w:color w:val="000000"/>
                <w:sz w:val="18"/>
                <w:szCs w:val="18"/>
              </w:rPr>
              <w:t>Подсудность споров по искам Кредитора к заемщику</w:t>
            </w:r>
          </w:p>
        </w:tc>
        <w:tc>
          <w:tcPr>
            <w:tcW w:w="9072" w:type="dxa"/>
            <w:gridSpan w:val="3"/>
            <w:tcBorders>
              <w:top w:val="single" w:sz="4" w:space="0" w:color="auto"/>
              <w:left w:val="nil"/>
              <w:bottom w:val="single" w:sz="4" w:space="0" w:color="auto"/>
              <w:right w:val="single" w:sz="8" w:space="0" w:color="000000"/>
            </w:tcBorders>
            <w:noWrap/>
            <w:vAlign w:val="center"/>
          </w:tcPr>
          <w:p w14:paraId="58009A2E" w14:textId="77777777" w:rsidR="00382481" w:rsidRPr="00BB6A50" w:rsidRDefault="00382481" w:rsidP="00034511">
            <w:pPr>
              <w:widowControl w:val="0"/>
              <w:tabs>
                <w:tab w:val="left" w:pos="426"/>
                <w:tab w:val="left" w:pos="851"/>
              </w:tabs>
              <w:jc w:val="both"/>
              <w:rPr>
                <w:rFonts w:ascii="Tahoma" w:hAnsi="Tahoma" w:cs="Tahoma"/>
                <w:color w:val="000000"/>
                <w:sz w:val="18"/>
                <w:szCs w:val="18"/>
              </w:rPr>
            </w:pPr>
            <w:r w:rsidRPr="00BB6A50">
              <w:rPr>
                <w:rFonts w:ascii="Tahoma" w:hAnsi="Tahoma" w:cs="Tahoma"/>
                <w:color w:val="000000"/>
                <w:sz w:val="18"/>
                <w:szCs w:val="18"/>
              </w:rPr>
              <w:t>Все споры по Договору по искам Банка к Заемщику рассматриваются в порядке, установленном законодательством РФ.</w:t>
            </w:r>
          </w:p>
          <w:p w14:paraId="2A27B4AC" w14:textId="77777777" w:rsidR="00382481" w:rsidRPr="00BB6A50" w:rsidRDefault="00382481" w:rsidP="00034511">
            <w:pPr>
              <w:widowControl w:val="0"/>
              <w:tabs>
                <w:tab w:val="left" w:pos="426"/>
                <w:tab w:val="left" w:pos="851"/>
              </w:tabs>
              <w:jc w:val="both"/>
              <w:rPr>
                <w:rFonts w:ascii="Tahoma" w:hAnsi="Tahoma" w:cs="Tahoma"/>
                <w:color w:val="000000"/>
                <w:sz w:val="18"/>
                <w:szCs w:val="18"/>
              </w:rPr>
            </w:pPr>
            <w:r w:rsidRPr="00BB6A50">
              <w:rPr>
                <w:rFonts w:ascii="Tahoma" w:hAnsi="Tahoma" w:cs="Tahoma"/>
                <w:color w:val="000000"/>
                <w:sz w:val="18"/>
                <w:szCs w:val="18"/>
              </w:rPr>
              <w:t>Взыскание задолженности по Договору может производиться по исполнительной надписи нотариуса, совершаемой на основании заявления Банка.</w:t>
            </w:r>
          </w:p>
        </w:tc>
      </w:tr>
      <w:tr w:rsidR="00382481" w:rsidRPr="00BB6A50" w14:paraId="6C8FBF19" w14:textId="77777777" w:rsidTr="00034511">
        <w:tblPrEx>
          <w:tblLook w:val="00A0" w:firstRow="1" w:lastRow="0" w:firstColumn="1" w:lastColumn="0" w:noHBand="0" w:noVBand="0"/>
        </w:tblPrEx>
        <w:trPr>
          <w:trHeight w:val="566"/>
        </w:trPr>
        <w:tc>
          <w:tcPr>
            <w:tcW w:w="6096" w:type="dxa"/>
            <w:tcBorders>
              <w:top w:val="single" w:sz="4" w:space="0" w:color="auto"/>
              <w:left w:val="single" w:sz="8" w:space="0" w:color="auto"/>
              <w:bottom w:val="single" w:sz="4" w:space="0" w:color="auto"/>
              <w:right w:val="single" w:sz="4" w:space="0" w:color="auto"/>
            </w:tcBorders>
            <w:vAlign w:val="center"/>
          </w:tcPr>
          <w:p w14:paraId="67AA0491" w14:textId="77777777" w:rsidR="00382481" w:rsidRPr="00BB6A50" w:rsidRDefault="00382481" w:rsidP="00034511">
            <w:pPr>
              <w:widowControl w:val="0"/>
              <w:tabs>
                <w:tab w:val="left" w:pos="426"/>
                <w:tab w:val="left" w:pos="851"/>
              </w:tabs>
              <w:rPr>
                <w:rFonts w:ascii="Tahoma" w:hAnsi="Tahoma" w:cs="Tahoma"/>
                <w:b/>
                <w:color w:val="000000"/>
                <w:sz w:val="18"/>
                <w:szCs w:val="18"/>
              </w:rPr>
            </w:pPr>
            <w:r w:rsidRPr="00BB6A50">
              <w:rPr>
                <w:rFonts w:ascii="Tahoma" w:hAnsi="Tahoma" w:cs="Tahoma"/>
                <w:b/>
                <w:color w:val="000000"/>
                <w:sz w:val="18"/>
                <w:szCs w:val="18"/>
              </w:rPr>
              <w:t xml:space="preserve">Виды и суммы иных платежей Заемщика по Договору </w:t>
            </w:r>
          </w:p>
        </w:tc>
        <w:tc>
          <w:tcPr>
            <w:tcW w:w="9072" w:type="dxa"/>
            <w:gridSpan w:val="3"/>
            <w:tcBorders>
              <w:top w:val="single" w:sz="4" w:space="0" w:color="auto"/>
              <w:left w:val="nil"/>
              <w:bottom w:val="single" w:sz="4" w:space="0" w:color="auto"/>
              <w:right w:val="single" w:sz="8" w:space="0" w:color="000000"/>
            </w:tcBorders>
            <w:noWrap/>
            <w:vAlign w:val="center"/>
          </w:tcPr>
          <w:p w14:paraId="007E1183" w14:textId="77777777" w:rsidR="00382481" w:rsidRPr="00BB6A50" w:rsidRDefault="00382481" w:rsidP="00034511">
            <w:pPr>
              <w:widowControl w:val="0"/>
              <w:tabs>
                <w:tab w:val="left" w:pos="426"/>
                <w:tab w:val="left" w:pos="851"/>
              </w:tabs>
              <w:jc w:val="both"/>
            </w:pPr>
            <w:r w:rsidRPr="00BB6A50">
              <w:rPr>
                <w:rFonts w:ascii="Tahoma" w:hAnsi="Tahoma" w:cs="Tahoma"/>
                <w:sz w:val="18"/>
                <w:szCs w:val="18"/>
              </w:rPr>
              <w:t>Иные обязательные платежи по Договору отсутствуют</w:t>
            </w:r>
            <w:r w:rsidRPr="00BB6A50">
              <w:t xml:space="preserve">. </w:t>
            </w:r>
          </w:p>
          <w:p w14:paraId="7F72721A" w14:textId="77777777" w:rsidR="00382481" w:rsidRPr="00BB6A50" w:rsidRDefault="00382481" w:rsidP="00034511">
            <w:pPr>
              <w:widowControl w:val="0"/>
              <w:tabs>
                <w:tab w:val="left" w:pos="426"/>
                <w:tab w:val="left" w:pos="851"/>
              </w:tabs>
              <w:jc w:val="both"/>
              <w:rPr>
                <w:rFonts w:ascii="Tahoma" w:hAnsi="Tahoma" w:cs="Tahoma"/>
                <w:sz w:val="18"/>
                <w:szCs w:val="18"/>
              </w:rPr>
            </w:pPr>
          </w:p>
          <w:p w14:paraId="64905365" w14:textId="77777777" w:rsidR="00382481" w:rsidRPr="00BB6A50" w:rsidRDefault="00382481" w:rsidP="00034511">
            <w:pPr>
              <w:widowControl w:val="0"/>
              <w:tabs>
                <w:tab w:val="left" w:pos="426"/>
                <w:tab w:val="left" w:pos="851"/>
              </w:tabs>
              <w:jc w:val="both"/>
              <w:rPr>
                <w:rFonts w:ascii="Tahoma" w:hAnsi="Tahoma" w:cs="Tahoma"/>
                <w:sz w:val="18"/>
                <w:szCs w:val="18"/>
              </w:rPr>
            </w:pPr>
            <w:r w:rsidRPr="00BB6A50">
              <w:rPr>
                <w:rFonts w:ascii="Tahoma" w:hAnsi="Tahoma" w:cs="Tahoma"/>
                <w:sz w:val="18"/>
                <w:szCs w:val="18"/>
              </w:rPr>
              <w:t xml:space="preserve">При наличии соответствующего волеизъявления Заемщика ему могут быть оказаны Банком услуги, не являющиеся обязательными для заключения или исполнения Договора, плата за которые предусмотрена Тарифами Банка </w:t>
            </w:r>
          </w:p>
          <w:p w14:paraId="0FDC2A21" w14:textId="77777777" w:rsidR="00382481" w:rsidRPr="00BB6A50" w:rsidRDefault="00382481" w:rsidP="00034511">
            <w:pPr>
              <w:widowControl w:val="0"/>
              <w:tabs>
                <w:tab w:val="left" w:pos="426"/>
                <w:tab w:val="left" w:pos="851"/>
              </w:tabs>
              <w:jc w:val="both"/>
              <w:rPr>
                <w:rFonts w:ascii="Tahoma" w:hAnsi="Tahoma" w:cs="Tahoma"/>
                <w:sz w:val="18"/>
                <w:szCs w:val="18"/>
              </w:rPr>
            </w:pPr>
            <w:r w:rsidRPr="00BB6A50">
              <w:rPr>
                <w:rFonts w:ascii="Tahoma" w:hAnsi="Tahoma" w:cs="Tahoma"/>
                <w:sz w:val="18"/>
                <w:szCs w:val="18"/>
              </w:rPr>
              <w:t xml:space="preserve">( </w:t>
            </w:r>
            <w:hyperlink r:id="rId33" w:history="1">
              <w:r w:rsidRPr="00BB6A50">
                <w:rPr>
                  <w:rStyle w:val="aff"/>
                  <w:rFonts w:ascii="Tahoma" w:hAnsi="Tahoma" w:cs="Tahoma"/>
                  <w:sz w:val="18"/>
                  <w:szCs w:val="18"/>
                </w:rPr>
                <w:t>https://www.atb.su/general-information/tariff-book/</w:t>
              </w:r>
            </w:hyperlink>
            <w:r w:rsidRPr="00BB6A50">
              <w:rPr>
                <w:rFonts w:ascii="Tahoma" w:hAnsi="Tahoma" w:cs="Tahoma"/>
                <w:sz w:val="18"/>
                <w:szCs w:val="18"/>
              </w:rPr>
              <w:t xml:space="preserve"> ). Оказание услуги Банком производится в случае выражения Заемщиком волеизъявления на пользование определенной услугой. Оплата услуг должна быть произведена до момента оказания Банком услуг.</w:t>
            </w:r>
          </w:p>
          <w:p w14:paraId="0C48DEB3" w14:textId="77777777" w:rsidR="00382481" w:rsidRPr="00BB6A50" w:rsidRDefault="00382481" w:rsidP="00034511">
            <w:pPr>
              <w:widowControl w:val="0"/>
              <w:tabs>
                <w:tab w:val="left" w:pos="426"/>
                <w:tab w:val="left" w:pos="851"/>
              </w:tabs>
              <w:jc w:val="both"/>
              <w:rPr>
                <w:rFonts w:ascii="Tahoma" w:hAnsi="Tahoma" w:cs="Tahoma"/>
                <w:sz w:val="18"/>
                <w:szCs w:val="18"/>
              </w:rPr>
            </w:pPr>
          </w:p>
          <w:p w14:paraId="62944108" w14:textId="77777777" w:rsidR="00382481" w:rsidRPr="00BB6A50" w:rsidRDefault="00382481" w:rsidP="00034511">
            <w:pPr>
              <w:widowControl w:val="0"/>
              <w:tabs>
                <w:tab w:val="left" w:pos="426"/>
                <w:tab w:val="left" w:pos="851"/>
              </w:tabs>
              <w:jc w:val="both"/>
              <w:rPr>
                <w:rFonts w:ascii="Tahoma" w:hAnsi="Tahoma" w:cs="Tahoma"/>
                <w:sz w:val="18"/>
                <w:szCs w:val="18"/>
              </w:rPr>
            </w:pPr>
            <w:r w:rsidRPr="00BB6A50">
              <w:rPr>
                <w:rFonts w:ascii="Tahoma" w:hAnsi="Tahoma" w:cs="Tahoma"/>
                <w:sz w:val="18"/>
                <w:szCs w:val="18"/>
              </w:rPr>
              <w:t>Платеж за выдачу дубликата или восстановление утерянного Договора, договоров обеспечения в размере 10 000 рублей за один Договор.</w:t>
            </w:r>
          </w:p>
        </w:tc>
      </w:tr>
      <w:tr w:rsidR="00382481" w:rsidRPr="00BB6A50" w14:paraId="5D9FEAAF" w14:textId="77777777" w:rsidTr="00034511">
        <w:tblPrEx>
          <w:tblLook w:val="00A0" w:firstRow="1" w:lastRow="0" w:firstColumn="1" w:lastColumn="0" w:noHBand="0" w:noVBand="0"/>
        </w:tblPrEx>
        <w:trPr>
          <w:trHeight w:val="308"/>
        </w:trPr>
        <w:tc>
          <w:tcPr>
            <w:tcW w:w="6096" w:type="dxa"/>
            <w:vMerge w:val="restart"/>
            <w:tcBorders>
              <w:top w:val="single" w:sz="4" w:space="0" w:color="auto"/>
              <w:left w:val="single" w:sz="8" w:space="0" w:color="auto"/>
              <w:right w:val="single" w:sz="4" w:space="0" w:color="auto"/>
            </w:tcBorders>
            <w:vAlign w:val="center"/>
          </w:tcPr>
          <w:p w14:paraId="61A31133" w14:textId="77777777" w:rsidR="00382481" w:rsidRPr="00BB6A50" w:rsidRDefault="00382481" w:rsidP="00034511">
            <w:pPr>
              <w:widowControl w:val="0"/>
              <w:tabs>
                <w:tab w:val="left" w:pos="426"/>
                <w:tab w:val="left" w:pos="851"/>
              </w:tabs>
              <w:rPr>
                <w:rFonts w:ascii="Tahoma" w:hAnsi="Tahoma" w:cs="Tahoma"/>
                <w:b/>
                <w:color w:val="000000"/>
                <w:sz w:val="18"/>
                <w:szCs w:val="18"/>
              </w:rPr>
            </w:pPr>
            <w:r w:rsidRPr="00BB6A50">
              <w:rPr>
                <w:rFonts w:ascii="Tahoma" w:hAnsi="Tahoma" w:cs="Tahoma"/>
                <w:b/>
                <w:bCs/>
                <w:sz w:val="18"/>
                <w:szCs w:val="18"/>
              </w:rPr>
              <w:t>Перевод денежных средств с ТБС, используемого для выдачи Кредита, в другую кредитную организацию:</w:t>
            </w:r>
          </w:p>
        </w:tc>
        <w:tc>
          <w:tcPr>
            <w:tcW w:w="7451" w:type="dxa"/>
            <w:gridSpan w:val="2"/>
            <w:tcBorders>
              <w:top w:val="single" w:sz="4" w:space="0" w:color="auto"/>
              <w:left w:val="nil"/>
              <w:bottom w:val="single" w:sz="4" w:space="0" w:color="auto"/>
              <w:right w:val="single" w:sz="4" w:space="0" w:color="auto"/>
            </w:tcBorders>
            <w:noWrap/>
            <w:vAlign w:val="center"/>
          </w:tcPr>
          <w:p w14:paraId="47D7B9C1" w14:textId="77777777" w:rsidR="00382481" w:rsidRPr="00BB6A50" w:rsidRDefault="00382481" w:rsidP="00034511">
            <w:pPr>
              <w:widowControl w:val="0"/>
              <w:rPr>
                <w:rFonts w:ascii="Tahoma" w:hAnsi="Tahoma" w:cs="Tahoma"/>
                <w:sz w:val="18"/>
                <w:szCs w:val="18"/>
              </w:rPr>
            </w:pPr>
            <w:r w:rsidRPr="00BB6A50">
              <w:rPr>
                <w:rFonts w:ascii="Tahoma" w:hAnsi="Tahoma" w:cs="Tahoma"/>
                <w:bCs/>
                <w:sz w:val="18"/>
                <w:szCs w:val="18"/>
              </w:rPr>
              <w:t>в пользу юридического лица в рамках целевого кредитования;</w:t>
            </w:r>
          </w:p>
        </w:tc>
        <w:tc>
          <w:tcPr>
            <w:tcW w:w="1621" w:type="dxa"/>
            <w:vMerge w:val="restart"/>
            <w:tcBorders>
              <w:top w:val="single" w:sz="4" w:space="0" w:color="auto"/>
              <w:left w:val="single" w:sz="4" w:space="0" w:color="auto"/>
              <w:right w:val="single" w:sz="4" w:space="0" w:color="auto"/>
            </w:tcBorders>
            <w:vAlign w:val="center"/>
          </w:tcPr>
          <w:p w14:paraId="39FDEDFE" w14:textId="77777777" w:rsidR="00382481" w:rsidRPr="00BB6A50" w:rsidRDefault="00382481" w:rsidP="00034511">
            <w:pPr>
              <w:widowControl w:val="0"/>
              <w:tabs>
                <w:tab w:val="left" w:pos="426"/>
                <w:tab w:val="left" w:pos="851"/>
              </w:tabs>
              <w:rPr>
                <w:rFonts w:ascii="Tahoma" w:hAnsi="Tahoma" w:cs="Tahoma"/>
                <w:sz w:val="18"/>
                <w:szCs w:val="18"/>
              </w:rPr>
            </w:pPr>
            <w:r w:rsidRPr="00BB6A50">
              <w:rPr>
                <w:rFonts w:ascii="Tahoma" w:hAnsi="Tahoma" w:cs="Tahoma"/>
                <w:sz w:val="18"/>
                <w:szCs w:val="18"/>
              </w:rPr>
              <w:t>Не применимо</w:t>
            </w:r>
          </w:p>
        </w:tc>
      </w:tr>
      <w:tr w:rsidR="00382481" w:rsidRPr="00BB6A50" w14:paraId="2A85423C" w14:textId="77777777" w:rsidTr="00034511">
        <w:tblPrEx>
          <w:tblLook w:val="00A0" w:firstRow="1" w:lastRow="0" w:firstColumn="1" w:lastColumn="0" w:noHBand="0" w:noVBand="0"/>
        </w:tblPrEx>
        <w:trPr>
          <w:trHeight w:val="272"/>
        </w:trPr>
        <w:tc>
          <w:tcPr>
            <w:tcW w:w="6096" w:type="dxa"/>
            <w:vMerge/>
            <w:tcBorders>
              <w:left w:val="single" w:sz="8" w:space="0" w:color="auto"/>
              <w:right w:val="single" w:sz="4" w:space="0" w:color="auto"/>
            </w:tcBorders>
            <w:vAlign w:val="center"/>
          </w:tcPr>
          <w:p w14:paraId="5AFB2B5E" w14:textId="77777777" w:rsidR="00382481" w:rsidRPr="00BB6A50" w:rsidRDefault="00382481" w:rsidP="00034511">
            <w:pPr>
              <w:widowControl w:val="0"/>
              <w:tabs>
                <w:tab w:val="left" w:pos="426"/>
                <w:tab w:val="left" w:pos="851"/>
              </w:tabs>
              <w:rPr>
                <w:rFonts w:ascii="Tahoma" w:hAnsi="Tahoma" w:cs="Tahoma"/>
                <w:b/>
                <w:color w:val="000000"/>
                <w:sz w:val="18"/>
                <w:szCs w:val="18"/>
              </w:rPr>
            </w:pPr>
          </w:p>
        </w:tc>
        <w:tc>
          <w:tcPr>
            <w:tcW w:w="7451" w:type="dxa"/>
            <w:gridSpan w:val="2"/>
            <w:tcBorders>
              <w:top w:val="single" w:sz="4" w:space="0" w:color="auto"/>
              <w:left w:val="nil"/>
              <w:bottom w:val="single" w:sz="4" w:space="0" w:color="auto"/>
              <w:right w:val="single" w:sz="4" w:space="0" w:color="auto"/>
            </w:tcBorders>
            <w:noWrap/>
            <w:vAlign w:val="center"/>
          </w:tcPr>
          <w:p w14:paraId="70BB8F49" w14:textId="77777777" w:rsidR="00382481" w:rsidRPr="00BB6A50" w:rsidRDefault="00382481" w:rsidP="00034511">
            <w:pPr>
              <w:widowControl w:val="0"/>
              <w:rPr>
                <w:rFonts w:ascii="Tahoma" w:hAnsi="Tahoma" w:cs="Tahoma"/>
                <w:sz w:val="18"/>
                <w:szCs w:val="18"/>
              </w:rPr>
            </w:pPr>
            <w:r w:rsidRPr="00BB6A50">
              <w:rPr>
                <w:rFonts w:ascii="Tahoma" w:hAnsi="Tahoma" w:cs="Tahoma"/>
                <w:bCs/>
                <w:sz w:val="18"/>
                <w:szCs w:val="18"/>
              </w:rPr>
              <w:t>в пользу физического лица для получения суммы Кредита в населенных пунктах, где отсутствуют подразделения Банка.</w:t>
            </w:r>
          </w:p>
        </w:tc>
        <w:tc>
          <w:tcPr>
            <w:tcW w:w="1621" w:type="dxa"/>
            <w:vMerge/>
            <w:tcBorders>
              <w:left w:val="single" w:sz="4" w:space="0" w:color="auto"/>
              <w:bottom w:val="single" w:sz="4" w:space="0" w:color="auto"/>
              <w:right w:val="single" w:sz="4" w:space="0" w:color="auto"/>
            </w:tcBorders>
            <w:vAlign w:val="center"/>
          </w:tcPr>
          <w:p w14:paraId="6674D110" w14:textId="77777777" w:rsidR="00382481" w:rsidRPr="00BB6A50" w:rsidRDefault="00382481" w:rsidP="00034511">
            <w:pPr>
              <w:widowControl w:val="0"/>
              <w:tabs>
                <w:tab w:val="left" w:pos="426"/>
                <w:tab w:val="left" w:pos="851"/>
              </w:tabs>
              <w:rPr>
                <w:rFonts w:ascii="Tahoma" w:hAnsi="Tahoma" w:cs="Tahoma"/>
                <w:sz w:val="18"/>
                <w:szCs w:val="18"/>
              </w:rPr>
            </w:pPr>
          </w:p>
        </w:tc>
      </w:tr>
      <w:tr w:rsidR="00382481" w:rsidRPr="00BB6A50" w14:paraId="0D28CD43" w14:textId="77777777" w:rsidTr="00034511">
        <w:tblPrEx>
          <w:tblLook w:val="00A0" w:firstRow="1" w:lastRow="0" w:firstColumn="1" w:lastColumn="0" w:noHBand="0" w:noVBand="0"/>
        </w:tblPrEx>
        <w:trPr>
          <w:trHeight w:val="265"/>
        </w:trPr>
        <w:tc>
          <w:tcPr>
            <w:tcW w:w="6096" w:type="dxa"/>
            <w:vMerge/>
            <w:tcBorders>
              <w:left w:val="single" w:sz="8" w:space="0" w:color="auto"/>
              <w:bottom w:val="single" w:sz="4" w:space="0" w:color="auto"/>
              <w:right w:val="single" w:sz="4" w:space="0" w:color="auto"/>
            </w:tcBorders>
            <w:vAlign w:val="center"/>
          </w:tcPr>
          <w:p w14:paraId="554AAF18" w14:textId="77777777" w:rsidR="00382481" w:rsidRPr="00BB6A50" w:rsidRDefault="00382481" w:rsidP="00034511">
            <w:pPr>
              <w:widowControl w:val="0"/>
              <w:tabs>
                <w:tab w:val="left" w:pos="426"/>
                <w:tab w:val="left" w:pos="851"/>
              </w:tabs>
              <w:rPr>
                <w:rFonts w:ascii="Tahoma" w:hAnsi="Tahoma" w:cs="Tahoma"/>
                <w:b/>
                <w:color w:val="000000"/>
                <w:sz w:val="18"/>
                <w:szCs w:val="18"/>
              </w:rPr>
            </w:pPr>
          </w:p>
        </w:tc>
        <w:tc>
          <w:tcPr>
            <w:tcW w:w="9072" w:type="dxa"/>
            <w:gridSpan w:val="3"/>
            <w:tcBorders>
              <w:top w:val="single" w:sz="4" w:space="0" w:color="auto"/>
              <w:left w:val="nil"/>
              <w:bottom w:val="single" w:sz="4" w:space="0" w:color="auto"/>
              <w:right w:val="single" w:sz="4" w:space="0" w:color="auto"/>
            </w:tcBorders>
            <w:noWrap/>
            <w:vAlign w:val="center"/>
          </w:tcPr>
          <w:p w14:paraId="2D2C0782" w14:textId="77777777" w:rsidR="00382481" w:rsidRPr="00BB6A50" w:rsidRDefault="00382481" w:rsidP="00034511">
            <w:pPr>
              <w:widowControl w:val="0"/>
              <w:tabs>
                <w:tab w:val="left" w:pos="426"/>
                <w:tab w:val="left" w:pos="851"/>
              </w:tabs>
              <w:rPr>
                <w:rFonts w:ascii="Tahoma" w:hAnsi="Tahoma" w:cs="Tahoma"/>
                <w:sz w:val="18"/>
                <w:szCs w:val="18"/>
              </w:rPr>
            </w:pPr>
            <w:r w:rsidRPr="00BB6A50">
              <w:rPr>
                <w:rFonts w:ascii="Tahoma" w:hAnsi="Tahoma" w:cs="Tahoma"/>
                <w:bCs/>
                <w:sz w:val="18"/>
                <w:szCs w:val="18"/>
              </w:rPr>
              <w:t>в остальных случаях плата за перевод денежных средств взимается по Тарифам, действующим в Банке на момент совершения операций.</w:t>
            </w:r>
          </w:p>
        </w:tc>
      </w:tr>
      <w:tr w:rsidR="00382481" w:rsidRPr="00BB6A50" w14:paraId="45374130" w14:textId="77777777" w:rsidTr="000345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trHeight w:val="101"/>
        </w:trPr>
        <w:tc>
          <w:tcPr>
            <w:tcW w:w="6096" w:type="dxa"/>
            <w:tcBorders>
              <w:top w:val="single" w:sz="4" w:space="0" w:color="auto"/>
              <w:left w:val="single" w:sz="8" w:space="0" w:color="auto"/>
              <w:bottom w:val="single" w:sz="4" w:space="0" w:color="auto"/>
              <w:right w:val="single" w:sz="4" w:space="0" w:color="000000"/>
            </w:tcBorders>
            <w:vAlign w:val="center"/>
          </w:tcPr>
          <w:p w14:paraId="71573E4E" w14:textId="77777777" w:rsidR="00382481" w:rsidRPr="00BB6A50" w:rsidRDefault="00382481" w:rsidP="00034511">
            <w:pPr>
              <w:widowControl w:val="0"/>
              <w:tabs>
                <w:tab w:val="left" w:pos="426"/>
                <w:tab w:val="left" w:pos="851"/>
              </w:tabs>
              <w:jc w:val="both"/>
              <w:rPr>
                <w:rFonts w:ascii="Tahoma" w:hAnsi="Tahoma" w:cs="Tahoma"/>
                <w:b/>
                <w:color w:val="000000"/>
                <w:sz w:val="18"/>
                <w:szCs w:val="18"/>
              </w:rPr>
            </w:pPr>
            <w:r w:rsidRPr="00BB6A50">
              <w:rPr>
                <w:rFonts w:ascii="Tahoma" w:hAnsi="Tahoma" w:cs="Tahoma"/>
                <w:b/>
                <w:sz w:val="18"/>
                <w:szCs w:val="18"/>
              </w:rPr>
              <w:t>Порядок определения курса иностранной валюты при переводе денежных средств Банком третьему лицу, указанному Заемщиком</w:t>
            </w:r>
          </w:p>
        </w:tc>
        <w:tc>
          <w:tcPr>
            <w:tcW w:w="9072" w:type="dxa"/>
            <w:gridSpan w:val="3"/>
            <w:tcBorders>
              <w:top w:val="single" w:sz="4" w:space="0" w:color="auto"/>
              <w:left w:val="nil"/>
              <w:bottom w:val="single" w:sz="4" w:space="0" w:color="auto"/>
              <w:right w:val="single" w:sz="8" w:space="0" w:color="000000"/>
            </w:tcBorders>
            <w:vAlign w:val="center"/>
          </w:tcPr>
          <w:p w14:paraId="3AFE34AA" w14:textId="77777777" w:rsidR="00382481" w:rsidRPr="00BB6A50" w:rsidRDefault="00382481" w:rsidP="00034511">
            <w:pPr>
              <w:widowControl w:val="0"/>
              <w:tabs>
                <w:tab w:val="left" w:pos="426"/>
                <w:tab w:val="left" w:pos="851"/>
              </w:tabs>
              <w:rPr>
                <w:rFonts w:ascii="Tahoma" w:hAnsi="Tahoma" w:cs="Tahoma"/>
                <w:color w:val="000000"/>
                <w:sz w:val="18"/>
                <w:szCs w:val="18"/>
              </w:rPr>
            </w:pPr>
            <w:r w:rsidRPr="00BB6A50">
              <w:rPr>
                <w:rFonts w:ascii="Tahoma" w:hAnsi="Tahoma" w:cs="Tahoma"/>
                <w:color w:val="000000"/>
                <w:sz w:val="18"/>
                <w:szCs w:val="18"/>
              </w:rPr>
              <w:t>Не применимо</w:t>
            </w:r>
          </w:p>
        </w:tc>
      </w:tr>
      <w:tr w:rsidR="00382481" w:rsidRPr="00BB6A50" w14:paraId="78F3F39D" w14:textId="77777777" w:rsidTr="000345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trHeight w:val="101"/>
        </w:trPr>
        <w:tc>
          <w:tcPr>
            <w:tcW w:w="6096" w:type="dxa"/>
            <w:tcBorders>
              <w:top w:val="single" w:sz="4" w:space="0" w:color="auto"/>
              <w:left w:val="single" w:sz="8" w:space="0" w:color="auto"/>
              <w:bottom w:val="single" w:sz="4" w:space="0" w:color="auto"/>
              <w:right w:val="single" w:sz="4" w:space="0" w:color="000000"/>
            </w:tcBorders>
            <w:vAlign w:val="center"/>
          </w:tcPr>
          <w:p w14:paraId="73CCA9B3" w14:textId="77777777" w:rsidR="00382481" w:rsidRPr="00BB6A50" w:rsidRDefault="00382481" w:rsidP="00034511">
            <w:pPr>
              <w:widowControl w:val="0"/>
              <w:tabs>
                <w:tab w:val="left" w:pos="426"/>
                <w:tab w:val="left" w:pos="851"/>
              </w:tabs>
              <w:rPr>
                <w:rFonts w:ascii="Tahoma" w:hAnsi="Tahoma" w:cs="Tahoma"/>
                <w:b/>
                <w:color w:val="000000"/>
                <w:sz w:val="18"/>
                <w:szCs w:val="18"/>
              </w:rPr>
            </w:pPr>
            <w:r w:rsidRPr="00BB6A50">
              <w:rPr>
                <w:rFonts w:ascii="Tahoma" w:hAnsi="Tahoma" w:cs="Tahoma"/>
                <w:b/>
                <w:color w:val="000000"/>
                <w:sz w:val="18"/>
                <w:szCs w:val="18"/>
              </w:rPr>
              <w:t>Информация о возможном увеличении суммы расходов заемщика по сравнению с ожидаемой суммой расходов в рублях, в том числе при применении переменной процентной ставки, а также информация о том, что изменение курса иностранной валюты в прошлом не свидетельствует об изменении ее курса в будущем, и информация о повышенных рисках Заемщика, получающего доходы в валюте, отличной от валюты кредита</w:t>
            </w:r>
          </w:p>
        </w:tc>
        <w:tc>
          <w:tcPr>
            <w:tcW w:w="9072" w:type="dxa"/>
            <w:gridSpan w:val="3"/>
            <w:tcBorders>
              <w:top w:val="single" w:sz="4" w:space="0" w:color="auto"/>
              <w:left w:val="nil"/>
              <w:bottom w:val="single" w:sz="4" w:space="0" w:color="auto"/>
              <w:right w:val="single" w:sz="8" w:space="0" w:color="000000"/>
            </w:tcBorders>
            <w:vAlign w:val="center"/>
          </w:tcPr>
          <w:p w14:paraId="0D971B03" w14:textId="77777777" w:rsidR="00382481" w:rsidRPr="00BB6A50" w:rsidRDefault="00382481" w:rsidP="00034511">
            <w:pPr>
              <w:widowControl w:val="0"/>
              <w:tabs>
                <w:tab w:val="left" w:pos="426"/>
                <w:tab w:val="left" w:pos="851"/>
              </w:tabs>
              <w:rPr>
                <w:rFonts w:ascii="Tahoma" w:hAnsi="Tahoma" w:cs="Tahoma"/>
                <w:color w:val="000000"/>
                <w:sz w:val="18"/>
                <w:szCs w:val="18"/>
              </w:rPr>
            </w:pPr>
            <w:r w:rsidRPr="00BB6A50">
              <w:rPr>
                <w:rFonts w:ascii="Tahoma" w:hAnsi="Tahoma" w:cs="Tahoma"/>
                <w:color w:val="000000"/>
                <w:sz w:val="18"/>
                <w:szCs w:val="18"/>
              </w:rPr>
              <w:t>Переменная процентная ставка не применяется в Договоре. Кредит предоставляется в рублях, вместе с тем, Заемщикам, получающим доход в иностранной валюте следует помнить, что изменение курса иностранной валюты в прошлом не свидетельствует об изменении ее курса в будущем, в связи с чем, такие Заемщики несут повышенные риски в связи с получением доходов в иностранной валюте.</w:t>
            </w:r>
          </w:p>
        </w:tc>
      </w:tr>
      <w:tr w:rsidR="00382481" w:rsidRPr="00BB6A50" w14:paraId="278D2A29" w14:textId="77777777" w:rsidTr="000345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trHeight w:val="101"/>
        </w:trPr>
        <w:tc>
          <w:tcPr>
            <w:tcW w:w="6096" w:type="dxa"/>
            <w:tcBorders>
              <w:top w:val="single" w:sz="4" w:space="0" w:color="auto"/>
              <w:left w:val="single" w:sz="8" w:space="0" w:color="auto"/>
              <w:bottom w:val="single" w:sz="4" w:space="0" w:color="auto"/>
              <w:right w:val="single" w:sz="4" w:space="0" w:color="000000"/>
            </w:tcBorders>
            <w:vAlign w:val="center"/>
          </w:tcPr>
          <w:p w14:paraId="41D5D0B6" w14:textId="77777777" w:rsidR="00382481" w:rsidRPr="00BB6A50" w:rsidRDefault="00382481" w:rsidP="00034511">
            <w:pPr>
              <w:widowControl w:val="0"/>
              <w:tabs>
                <w:tab w:val="left" w:pos="426"/>
                <w:tab w:val="left" w:pos="851"/>
              </w:tabs>
              <w:rPr>
                <w:rFonts w:ascii="Tahoma" w:hAnsi="Tahoma" w:cs="Tahoma"/>
                <w:b/>
                <w:color w:val="000000"/>
                <w:sz w:val="18"/>
                <w:szCs w:val="18"/>
              </w:rPr>
            </w:pPr>
            <w:r w:rsidRPr="00BB6A50">
              <w:rPr>
                <w:rFonts w:ascii="Tahoma" w:hAnsi="Tahoma" w:cs="Tahoma"/>
                <w:b/>
                <w:color w:val="000000"/>
                <w:sz w:val="18"/>
                <w:szCs w:val="18"/>
              </w:rPr>
              <w:t xml:space="preserve">Формуляры или иные стандартные формы, в которых определены общие условия Договора «Потребительский Кредит» </w:t>
            </w:r>
          </w:p>
        </w:tc>
        <w:tc>
          <w:tcPr>
            <w:tcW w:w="9072" w:type="dxa"/>
            <w:gridSpan w:val="3"/>
            <w:tcBorders>
              <w:top w:val="single" w:sz="4" w:space="0" w:color="auto"/>
              <w:left w:val="nil"/>
              <w:bottom w:val="single" w:sz="4" w:space="0" w:color="auto"/>
              <w:right w:val="single" w:sz="8" w:space="0" w:color="000000"/>
            </w:tcBorders>
            <w:vAlign w:val="center"/>
          </w:tcPr>
          <w:p w14:paraId="42B4A790" w14:textId="77777777" w:rsidR="00382481" w:rsidRPr="00BB6A50" w:rsidRDefault="00382481" w:rsidP="00034511">
            <w:pPr>
              <w:widowControl w:val="0"/>
              <w:tabs>
                <w:tab w:val="left" w:pos="426"/>
                <w:tab w:val="left" w:pos="851"/>
              </w:tabs>
              <w:jc w:val="both"/>
              <w:rPr>
                <w:rFonts w:ascii="Tahoma" w:hAnsi="Tahoma" w:cs="Tahoma"/>
                <w:sz w:val="18"/>
                <w:szCs w:val="18"/>
              </w:rPr>
            </w:pPr>
            <w:r w:rsidRPr="00BB6A50">
              <w:rPr>
                <w:rFonts w:ascii="Tahoma" w:hAnsi="Tahoma" w:cs="Tahoma"/>
                <w:sz w:val="18"/>
                <w:szCs w:val="18"/>
              </w:rPr>
              <w:t>Общие условия Договора «Потребительский кредит»  закреплены в «Общих условиях потребительского кредитования в «Азиатско-Тихоокеанский Банк» (АО), являющихся Приложением 3 к Универсальному договору банковского обслуживания в «Азиатско-Тихоокеанский Банк» (АО), размещённых в местах приема заявлений на предоставление потребительского Кредита (в отделениях Банка и иных местах приема заявлений на предоставление потребительского Кредита), на сайте Банка в сети Интернет по адресу www.atb.su и могут быть предоставлены Заемщику по его требованию на бумажном носителе.</w:t>
            </w:r>
          </w:p>
        </w:tc>
      </w:tr>
      <w:tr w:rsidR="00382481" w:rsidRPr="00BB6A50" w14:paraId="4BA435DF" w14:textId="77777777" w:rsidTr="000345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trHeight w:val="101"/>
        </w:trPr>
        <w:tc>
          <w:tcPr>
            <w:tcW w:w="6096" w:type="dxa"/>
            <w:tcBorders>
              <w:top w:val="single" w:sz="4" w:space="0" w:color="auto"/>
              <w:left w:val="single" w:sz="8" w:space="0" w:color="auto"/>
              <w:bottom w:val="single" w:sz="4" w:space="0" w:color="auto"/>
              <w:right w:val="single" w:sz="4" w:space="0" w:color="000000"/>
            </w:tcBorders>
            <w:vAlign w:val="center"/>
          </w:tcPr>
          <w:p w14:paraId="6D97417B" w14:textId="77777777" w:rsidR="00382481" w:rsidRPr="00BB6A50" w:rsidRDefault="00382481" w:rsidP="00034511">
            <w:pPr>
              <w:widowControl w:val="0"/>
              <w:tabs>
                <w:tab w:val="left" w:pos="426"/>
                <w:tab w:val="left" w:pos="851"/>
              </w:tabs>
              <w:rPr>
                <w:rFonts w:ascii="Tahoma" w:hAnsi="Tahoma" w:cs="Tahoma"/>
                <w:b/>
                <w:color w:val="000000"/>
                <w:sz w:val="18"/>
                <w:szCs w:val="18"/>
              </w:rPr>
            </w:pPr>
            <w:r w:rsidRPr="00BB6A50">
              <w:rPr>
                <w:rFonts w:ascii="Tahoma" w:hAnsi="Tahoma" w:cs="Tahoma"/>
                <w:b/>
                <w:color w:val="000000"/>
                <w:sz w:val="18"/>
                <w:szCs w:val="18"/>
              </w:rPr>
              <w:t xml:space="preserve">Право заемщика обратиться к кредитору с требованием, </w:t>
            </w:r>
            <w:r w:rsidRPr="00BB6A50">
              <w:rPr>
                <w:rFonts w:ascii="Tahoma" w:hAnsi="Tahoma" w:cs="Tahoma"/>
                <w:b/>
                <w:color w:val="000000"/>
                <w:sz w:val="18"/>
                <w:szCs w:val="18"/>
              </w:rPr>
              <w:lastRenderedPageBreak/>
              <w:t>предусмотренным частью 1 статьи 6.1-2 Федерального закона от 21.12.2013 № 353-ФЗ «О потребительском кредите (займе)», и об условиях, при наступлении которых у заемщика возникает соответствующее право.</w:t>
            </w:r>
          </w:p>
        </w:tc>
        <w:tc>
          <w:tcPr>
            <w:tcW w:w="9072" w:type="dxa"/>
            <w:gridSpan w:val="3"/>
            <w:tcBorders>
              <w:top w:val="single" w:sz="4" w:space="0" w:color="auto"/>
              <w:left w:val="nil"/>
              <w:bottom w:val="single" w:sz="4" w:space="0" w:color="auto"/>
              <w:right w:val="single" w:sz="8" w:space="0" w:color="000000"/>
            </w:tcBorders>
            <w:vAlign w:val="center"/>
          </w:tcPr>
          <w:p w14:paraId="5EB7FCAD" w14:textId="77777777" w:rsidR="00382481" w:rsidRPr="00BB6A50" w:rsidRDefault="00382481" w:rsidP="00034511">
            <w:pPr>
              <w:widowControl w:val="0"/>
              <w:tabs>
                <w:tab w:val="left" w:pos="426"/>
                <w:tab w:val="left" w:pos="851"/>
              </w:tabs>
              <w:jc w:val="both"/>
              <w:rPr>
                <w:rFonts w:ascii="Tahoma" w:hAnsi="Tahoma" w:cs="Tahoma"/>
                <w:sz w:val="18"/>
                <w:szCs w:val="18"/>
              </w:rPr>
            </w:pPr>
            <w:r w:rsidRPr="00BB6A50">
              <w:rPr>
                <w:rFonts w:ascii="Tahoma" w:hAnsi="Tahoma" w:cs="Tahoma"/>
                <w:sz w:val="18"/>
                <w:szCs w:val="18"/>
              </w:rPr>
              <w:lastRenderedPageBreak/>
              <w:t>Заемщик в любой момент в течение времени действия Договора, а в случае, указанном в п. 2 ч. 2 ст. 6.1-</w:t>
            </w:r>
            <w:r w:rsidRPr="00BB6A50">
              <w:rPr>
                <w:rFonts w:ascii="Tahoma" w:hAnsi="Tahoma" w:cs="Tahoma"/>
                <w:sz w:val="18"/>
                <w:szCs w:val="18"/>
              </w:rPr>
              <w:lastRenderedPageBreak/>
              <w:t xml:space="preserve">2 Закона № 353-ФЗ, в течение шестидесяти дней со дня установления соответствующих фактов, вправе обратиться к кредитору с требованием о предоставлении льготного периода, предусматривающего приостановление исполнения Заемщиком своих обязательств по Договору. </w:t>
            </w:r>
          </w:p>
          <w:p w14:paraId="53654F64" w14:textId="77777777" w:rsidR="00382481" w:rsidRPr="00BB6A50" w:rsidRDefault="00382481" w:rsidP="00034511">
            <w:pPr>
              <w:widowControl w:val="0"/>
              <w:tabs>
                <w:tab w:val="left" w:pos="426"/>
                <w:tab w:val="left" w:pos="851"/>
              </w:tabs>
              <w:jc w:val="both"/>
              <w:rPr>
                <w:rFonts w:ascii="Tahoma" w:hAnsi="Tahoma" w:cs="Tahoma"/>
                <w:sz w:val="18"/>
                <w:szCs w:val="18"/>
              </w:rPr>
            </w:pPr>
            <w:r w:rsidRPr="00BB6A50">
              <w:rPr>
                <w:rFonts w:ascii="Tahoma" w:hAnsi="Tahoma" w:cs="Tahoma"/>
                <w:sz w:val="18"/>
                <w:szCs w:val="18"/>
              </w:rPr>
              <w:t xml:space="preserve">С условиями, при наступлении которых у Заемщика возникает такое право, можно ознакомиться в размещаемой Банком информации о кредитных каникулах в рамках 353-ФЗ, в том числе на сайте Банка </w:t>
            </w:r>
          </w:p>
          <w:p w14:paraId="70A3814C" w14:textId="77777777" w:rsidR="00382481" w:rsidRPr="00BB6A50" w:rsidRDefault="00382481" w:rsidP="00034511">
            <w:pPr>
              <w:widowControl w:val="0"/>
              <w:tabs>
                <w:tab w:val="left" w:pos="426"/>
                <w:tab w:val="left" w:pos="851"/>
              </w:tabs>
              <w:jc w:val="both"/>
              <w:rPr>
                <w:rFonts w:ascii="Tahoma" w:hAnsi="Tahoma" w:cs="Tahoma"/>
                <w:sz w:val="18"/>
                <w:szCs w:val="18"/>
              </w:rPr>
            </w:pPr>
            <w:hyperlink r:id="rId34" w:history="1">
              <w:r w:rsidRPr="00BB6A50">
                <w:rPr>
                  <w:rStyle w:val="aff"/>
                  <w:rFonts w:ascii="Tahoma" w:hAnsi="Tahoma" w:cs="Tahoma"/>
                  <w:sz w:val="18"/>
                  <w:szCs w:val="18"/>
                </w:rPr>
                <w:t>https://www.atb.su/customer-care-service/</w:t>
              </w:r>
            </w:hyperlink>
          </w:p>
        </w:tc>
      </w:tr>
      <w:tr w:rsidR="00382481" w:rsidRPr="00236F26" w14:paraId="7C711A18" w14:textId="77777777" w:rsidTr="000345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trHeight w:val="1558"/>
        </w:trPr>
        <w:tc>
          <w:tcPr>
            <w:tcW w:w="6096" w:type="dxa"/>
            <w:tcBorders>
              <w:top w:val="single" w:sz="4" w:space="0" w:color="auto"/>
              <w:left w:val="single" w:sz="8" w:space="0" w:color="auto"/>
              <w:bottom w:val="single" w:sz="4" w:space="0" w:color="auto"/>
              <w:right w:val="single" w:sz="4" w:space="0" w:color="000000"/>
            </w:tcBorders>
            <w:vAlign w:val="center"/>
          </w:tcPr>
          <w:p w14:paraId="75B39030" w14:textId="77777777" w:rsidR="00382481" w:rsidRPr="00BB6A50" w:rsidRDefault="00382481" w:rsidP="00034511">
            <w:pPr>
              <w:widowControl w:val="0"/>
              <w:tabs>
                <w:tab w:val="left" w:pos="426"/>
                <w:tab w:val="left" w:pos="851"/>
              </w:tabs>
              <w:rPr>
                <w:rFonts w:ascii="Tahoma" w:hAnsi="Tahoma" w:cs="Tahoma"/>
                <w:b/>
                <w:color w:val="000000"/>
                <w:sz w:val="18"/>
                <w:szCs w:val="18"/>
              </w:rPr>
            </w:pPr>
            <w:r w:rsidRPr="00BB6A50">
              <w:rPr>
                <w:rFonts w:ascii="Tahoma" w:hAnsi="Tahoma" w:cs="Tahoma"/>
                <w:b/>
                <w:color w:val="000000"/>
                <w:sz w:val="18"/>
                <w:szCs w:val="18"/>
              </w:rPr>
              <w:lastRenderedPageBreak/>
              <w:t>Примечания</w:t>
            </w:r>
          </w:p>
        </w:tc>
        <w:tc>
          <w:tcPr>
            <w:tcW w:w="9072" w:type="dxa"/>
            <w:gridSpan w:val="3"/>
            <w:tcBorders>
              <w:top w:val="single" w:sz="4" w:space="0" w:color="auto"/>
              <w:left w:val="nil"/>
              <w:bottom w:val="single" w:sz="4" w:space="0" w:color="auto"/>
              <w:right w:val="single" w:sz="8" w:space="0" w:color="000000"/>
            </w:tcBorders>
            <w:vAlign w:val="center"/>
          </w:tcPr>
          <w:p w14:paraId="04AF7C06" w14:textId="77777777" w:rsidR="00382481" w:rsidRPr="00BB6A50" w:rsidRDefault="00382481" w:rsidP="00034511">
            <w:pPr>
              <w:autoSpaceDE w:val="0"/>
              <w:autoSpaceDN w:val="0"/>
              <w:jc w:val="both"/>
            </w:pPr>
            <w:r w:rsidRPr="00BB6A50">
              <w:rPr>
                <w:rFonts w:ascii="Tahoma" w:hAnsi="Tahoma" w:cs="Tahoma"/>
                <w:sz w:val="18"/>
                <w:szCs w:val="18"/>
                <w:vertAlign w:val="superscript"/>
              </w:rPr>
              <w:t>*</w:t>
            </w:r>
            <w:r w:rsidRPr="00BB6A50">
              <w:rPr>
                <w:rFonts w:ascii="Tahoma" w:hAnsi="Tahoma" w:cs="Tahoma"/>
                <w:sz w:val="18"/>
                <w:szCs w:val="18"/>
              </w:rPr>
              <w:t xml:space="preserve"> В качестве «Заработной платы» учитываются только поступления денежных средств на счет Карты Клиента за каждый календарный месяц по назначению платежа, позволяющего однозначно определить, что такие поступления являются зачислением Клиенту заработной платы/премии/вознаграждения/довольствия/пособия по временной нетрудоспособности/аванса от работодателя Клиента и счет Работодателя, с которого осуществлен перевод денежных средств, отличен от следующих счетов (первого/второго порядка): 302, 403, 40402, 40403, 40404, 40406, 40410, 409, 423, 455, 474, 706, 20202, 20208, 40101, 40817, 42607, 60307, 60308, 60311, 60312</w:t>
            </w:r>
          </w:p>
          <w:p w14:paraId="5B35ABF3" w14:textId="77777777" w:rsidR="00382481" w:rsidRPr="00BB6A50" w:rsidRDefault="00382481" w:rsidP="00034511">
            <w:pPr>
              <w:widowControl w:val="0"/>
              <w:tabs>
                <w:tab w:val="left" w:pos="426"/>
                <w:tab w:val="left" w:pos="851"/>
              </w:tabs>
              <w:jc w:val="both"/>
              <w:rPr>
                <w:rFonts w:ascii="Tahoma" w:hAnsi="Tahoma" w:cs="Tahoma"/>
                <w:sz w:val="18"/>
                <w:szCs w:val="18"/>
              </w:rPr>
            </w:pPr>
            <w:r w:rsidRPr="00BB6A50">
              <w:rPr>
                <w:rFonts w:ascii="Tahoma" w:hAnsi="Tahoma" w:cs="Tahoma"/>
                <w:sz w:val="18"/>
                <w:szCs w:val="18"/>
                <w:vertAlign w:val="superscript"/>
              </w:rPr>
              <w:t>* *</w:t>
            </w:r>
            <w:r w:rsidRPr="00BB6A50">
              <w:rPr>
                <w:rFonts w:ascii="Tahoma" w:hAnsi="Tahoma" w:cs="Tahoma"/>
                <w:sz w:val="18"/>
                <w:szCs w:val="18"/>
              </w:rPr>
              <w:t>Максимальная сумма кредита для Заемщика–ИП/Заемщика, применяющего специальный налоговый режим (в случае если доход от такой деятельности является основным источником дохода) - налог на профессиональный доход/адвоката/ нотариуса: 500 000 рублей.</w:t>
            </w:r>
          </w:p>
          <w:p w14:paraId="351264D7" w14:textId="77777777" w:rsidR="00382481" w:rsidRPr="00BB6A50" w:rsidRDefault="00382481" w:rsidP="00034511">
            <w:pPr>
              <w:widowControl w:val="0"/>
              <w:tabs>
                <w:tab w:val="left" w:pos="426"/>
                <w:tab w:val="left" w:pos="851"/>
              </w:tabs>
              <w:jc w:val="both"/>
              <w:rPr>
                <w:rFonts w:ascii="Tahoma" w:hAnsi="Tahoma" w:cs="Tahoma"/>
                <w:sz w:val="18"/>
                <w:szCs w:val="18"/>
              </w:rPr>
            </w:pPr>
            <w:r w:rsidRPr="00BB6A50">
              <w:rPr>
                <w:rFonts w:ascii="Tahoma" w:hAnsi="Tahoma" w:cs="Tahoma"/>
                <w:sz w:val="18"/>
                <w:szCs w:val="18"/>
                <w:vertAlign w:val="superscript"/>
              </w:rPr>
              <w:t>***</w:t>
            </w:r>
            <w:r w:rsidRPr="00BB6A50">
              <w:rPr>
                <w:rFonts w:ascii="Tahoma" w:hAnsi="Tahoma" w:cs="Tahoma"/>
                <w:sz w:val="18"/>
                <w:szCs w:val="18"/>
              </w:rPr>
              <w:t xml:space="preserve">Личное страхование (от рисков: смерть Заемщика по любой причине, инвалидность </w:t>
            </w:r>
            <w:r w:rsidRPr="00BB6A50">
              <w:rPr>
                <w:rFonts w:ascii="Tahoma" w:hAnsi="Tahoma" w:cs="Tahoma"/>
                <w:sz w:val="18"/>
                <w:szCs w:val="18"/>
                <w:lang w:val="en-US"/>
              </w:rPr>
              <w:t>I</w:t>
            </w:r>
            <w:r w:rsidRPr="00BB6A50">
              <w:rPr>
                <w:rFonts w:ascii="Tahoma" w:hAnsi="Tahoma" w:cs="Tahoma"/>
                <w:sz w:val="18"/>
                <w:szCs w:val="18"/>
              </w:rPr>
              <w:t xml:space="preserve"> или </w:t>
            </w:r>
            <w:r w:rsidRPr="00BB6A50">
              <w:rPr>
                <w:rFonts w:ascii="Tahoma" w:hAnsi="Tahoma" w:cs="Tahoma"/>
                <w:sz w:val="18"/>
                <w:szCs w:val="18"/>
                <w:lang w:val="en-US"/>
              </w:rPr>
              <w:t>II</w:t>
            </w:r>
            <w:r w:rsidRPr="00BB6A50">
              <w:rPr>
                <w:rFonts w:ascii="Tahoma" w:hAnsi="Tahoma" w:cs="Tahoma"/>
                <w:sz w:val="18"/>
                <w:szCs w:val="18"/>
              </w:rPr>
              <w:t xml:space="preserve"> группы по любой причине, госпитализация в результате несчастного случая) оформляется по желанию Заемщика в любой страховой компании, действующей в соответствии с законодательством РФ, выбранной Заемщиком, и не влияет на решение Банка о выдаче Кредита. </w:t>
            </w:r>
            <w:r w:rsidRPr="00BB6A50">
              <w:rPr>
                <w:color w:val="1F497D"/>
              </w:rPr>
              <w:t xml:space="preserve"> </w:t>
            </w:r>
            <w:r w:rsidRPr="00BB6A50">
              <w:rPr>
                <w:rFonts w:ascii="Tahoma" w:hAnsi="Tahoma" w:cs="Tahoma"/>
                <w:sz w:val="18"/>
                <w:szCs w:val="18"/>
              </w:rPr>
              <w:t>В случае оформления Заемщиком потребительского кредита по сниженной ставке при условии оформления договора личного страхования,</w:t>
            </w:r>
            <w:r w:rsidRPr="00BB6A50">
              <w:rPr>
                <w:color w:val="1F497D"/>
              </w:rPr>
              <w:t xml:space="preserve"> </w:t>
            </w:r>
            <w:r w:rsidRPr="00BB6A50">
              <w:rPr>
                <w:rFonts w:ascii="Tahoma" w:hAnsi="Tahoma" w:cs="Tahoma"/>
                <w:sz w:val="18"/>
                <w:szCs w:val="18"/>
              </w:rPr>
              <w:t>Заемщик обязан обеспечивать страхование в течение срока действия Договора в любых страховых компаниях, действующих в соответствии с законодательством РФ (при этом, при сроке кредитования свыше 1 года Заемщик не обязан заключать договор страхования сразу на весь срок действия Договора – вправе заключить на меньший срок с продлением договора страхования или заключением каждый раз новых договоров страхования после окончания действия предыдущих).</w:t>
            </w:r>
          </w:p>
          <w:p w14:paraId="1DB36499" w14:textId="77777777" w:rsidR="00382481" w:rsidRPr="00BB6A50" w:rsidRDefault="00382481" w:rsidP="00034511">
            <w:pPr>
              <w:widowControl w:val="0"/>
              <w:tabs>
                <w:tab w:val="left" w:pos="426"/>
                <w:tab w:val="left" w:pos="851"/>
              </w:tabs>
              <w:jc w:val="both"/>
              <w:rPr>
                <w:rFonts w:ascii="Tahoma" w:hAnsi="Tahoma" w:cs="Tahoma"/>
                <w:sz w:val="18"/>
                <w:szCs w:val="18"/>
              </w:rPr>
            </w:pPr>
            <w:r w:rsidRPr="00BB6A50">
              <w:rPr>
                <w:rFonts w:ascii="Tahoma" w:hAnsi="Tahoma" w:cs="Tahoma"/>
                <w:sz w:val="18"/>
                <w:szCs w:val="18"/>
              </w:rPr>
              <w:t>Выгодоприобретателем по Договору личного страхования должен выступать Банк в размере задолженности Заемщика по Договору, за исключением случаев, когда Банк является страховым агентом при заключении Договора личного страхования.</w:t>
            </w:r>
          </w:p>
          <w:p w14:paraId="062708EB" w14:textId="77777777" w:rsidR="00382481" w:rsidRPr="00BB6A50" w:rsidRDefault="00382481" w:rsidP="00034511">
            <w:pPr>
              <w:widowControl w:val="0"/>
              <w:tabs>
                <w:tab w:val="left" w:pos="426"/>
                <w:tab w:val="left" w:pos="851"/>
              </w:tabs>
              <w:jc w:val="both"/>
              <w:rPr>
                <w:rFonts w:ascii="Tahoma" w:hAnsi="Tahoma" w:cs="Tahoma"/>
                <w:sz w:val="18"/>
                <w:szCs w:val="18"/>
              </w:rPr>
            </w:pPr>
            <w:r w:rsidRPr="00BB6A50">
              <w:rPr>
                <w:rFonts w:ascii="Tahoma" w:hAnsi="Tahoma" w:cs="Tahoma"/>
                <w:sz w:val="18"/>
                <w:szCs w:val="18"/>
              </w:rPr>
              <w:t>Заемщик уведомлен, что он вправе выбрать в Банке альтернативный вариант потребительского кредита на сопоставимых (сумма и срок возврата потребительского кредита) условиях потребительского кредита без обязательного заключения договора личного страхования.</w:t>
            </w:r>
          </w:p>
          <w:p w14:paraId="228DCFDA" w14:textId="77777777" w:rsidR="00382481" w:rsidRPr="00BB6A50" w:rsidRDefault="00382481" w:rsidP="00034511">
            <w:pPr>
              <w:widowControl w:val="0"/>
              <w:tabs>
                <w:tab w:val="left" w:pos="426"/>
                <w:tab w:val="left" w:pos="851"/>
              </w:tabs>
              <w:jc w:val="both"/>
              <w:rPr>
                <w:rFonts w:ascii="Tahoma" w:hAnsi="Tahoma" w:cs="Tahoma"/>
                <w:sz w:val="18"/>
                <w:szCs w:val="18"/>
              </w:rPr>
            </w:pPr>
            <w:r>
              <w:rPr>
                <w:rFonts w:ascii="Tahoma" w:hAnsi="Tahoma" w:cs="Tahoma"/>
                <w:sz w:val="18"/>
                <w:szCs w:val="18"/>
              </w:rPr>
              <w:tab/>
            </w:r>
            <w:r w:rsidRPr="00BB6A50">
              <w:rPr>
                <w:rFonts w:ascii="Tahoma" w:hAnsi="Tahoma" w:cs="Tahoma"/>
                <w:sz w:val="18"/>
                <w:szCs w:val="18"/>
              </w:rPr>
              <w:t xml:space="preserve">В случае, если Заемщик выбирает потребительский кредит с заключением им договора личного страхования, то в случае неисполнения (прекращения/не пролонгации договора страхования) Заемщиком обязанности по личному страхованию свыше тридцати календарных дней процентная ставка по Договору увеличивается на 8 (восемь) процентных пунктов, выше процентной ставки, указываемой в п. 4.1. Индивидуальных условий, при этом, если увеличение процентной ставки в таком размере будет выше предусмотренных ч. 11 ст. 7 Федерального закона «О потребительском кредите (займе)» ограничений, то процентная ставка по Договору увеличивается (устанавливается) до уровня процентной ставки, действовавшей на момент заключения Договора по договорам потребительского кредита в Банке на сопоставимых (сумма, срок возврата потребительского кредита) условиях потребительского кредита без обязательного заключения договора личного страхования, но не выше процентной ставки по таким договорам потребительского кредита, действовавшей на момент принятия решения Банком об увеличении размера процентной ставки в связи с неисполнением обязанности по страхованию (при увеличении процентной ставки применяется наименьшая из величин, указанных в настоящем абзаце). Увеличенная процентная ставка по Договору устанавливается с даты, следующей за датой подлежащего </w:t>
            </w:r>
            <w:r w:rsidRPr="00BB6A50">
              <w:rPr>
                <w:rFonts w:ascii="Tahoma" w:hAnsi="Tahoma" w:cs="Tahoma"/>
                <w:sz w:val="18"/>
                <w:szCs w:val="18"/>
              </w:rPr>
              <w:lastRenderedPageBreak/>
              <w:t>уплате Заемщиком Банку (в соответствии с Договором) ближайшего ежемесячного платежа и действует до окончания срока действия Договора.</w:t>
            </w:r>
          </w:p>
          <w:p w14:paraId="356BA5AE" w14:textId="77777777" w:rsidR="00382481" w:rsidRPr="00BB6A50" w:rsidRDefault="00382481" w:rsidP="00034511">
            <w:pPr>
              <w:widowControl w:val="0"/>
              <w:tabs>
                <w:tab w:val="left" w:pos="426"/>
                <w:tab w:val="left" w:pos="851"/>
              </w:tabs>
              <w:jc w:val="both"/>
              <w:rPr>
                <w:rFonts w:ascii="Tahoma" w:hAnsi="Tahoma" w:cs="Tahoma"/>
                <w:sz w:val="18"/>
                <w:szCs w:val="18"/>
              </w:rPr>
            </w:pPr>
            <w:r w:rsidRPr="00BB6A50">
              <w:rPr>
                <w:rFonts w:ascii="Tahoma" w:hAnsi="Tahoma" w:cs="Tahoma"/>
                <w:b/>
                <w:i/>
                <w:sz w:val="18"/>
                <w:szCs w:val="18"/>
              </w:rPr>
              <w:t>Оформление договора личного страхования не применимо для лиц с инвалидностью</w:t>
            </w:r>
            <w:r w:rsidRPr="00BB6A50">
              <w:rPr>
                <w:rFonts w:ascii="Tahoma" w:hAnsi="Tahoma" w:cs="Tahoma"/>
                <w:i/>
                <w:sz w:val="18"/>
                <w:szCs w:val="18"/>
              </w:rPr>
              <w:t xml:space="preserve"> (с учетом предоставления справки, подтверждающей факт установления инвалидности с указанием группы инвалидности). При оформлении потребительского кредита без заключения договора страхования, но с учетом сниженной процентной ставки потребуется предоставить Банку обеспечение в виде залога либо Заемщик вправе выбрать альтернативный вариант потребительского кредита на сопоставимых (сумма и срок возврата потребительского кредита) без обязательного заключения договора личного страхования.</w:t>
            </w:r>
            <w:r w:rsidRPr="00BB6A50">
              <w:rPr>
                <w:rFonts w:ascii="Tahoma" w:hAnsi="Tahoma" w:cs="Tahoma"/>
                <w:sz w:val="18"/>
                <w:szCs w:val="18"/>
              </w:rPr>
              <w:t xml:space="preserve"> </w:t>
            </w:r>
          </w:p>
          <w:p w14:paraId="7DBFC29F" w14:textId="77777777" w:rsidR="00382481" w:rsidRPr="00BB6A50" w:rsidRDefault="00382481" w:rsidP="00034511">
            <w:pPr>
              <w:widowControl w:val="0"/>
              <w:tabs>
                <w:tab w:val="left" w:pos="426"/>
                <w:tab w:val="left" w:pos="851"/>
              </w:tabs>
              <w:jc w:val="both"/>
              <w:rPr>
                <w:rFonts w:ascii="Tahoma" w:hAnsi="Tahoma" w:cs="Tahoma"/>
                <w:sz w:val="18"/>
                <w:szCs w:val="18"/>
              </w:rPr>
            </w:pPr>
            <w:r w:rsidRPr="00BB6A50">
              <w:rPr>
                <w:rFonts w:ascii="Tahoma" w:hAnsi="Tahoma" w:cs="Tahoma"/>
                <w:sz w:val="18"/>
                <w:szCs w:val="18"/>
                <w:vertAlign w:val="superscript"/>
              </w:rPr>
              <w:t>****</w:t>
            </w:r>
            <w:r w:rsidRPr="00BB6A50">
              <w:rPr>
                <w:rFonts w:ascii="Tahoma" w:hAnsi="Tahoma" w:cs="Tahoma"/>
                <w:sz w:val="18"/>
                <w:szCs w:val="18"/>
              </w:rPr>
              <w:t xml:space="preserve"> Операции по банковским счетам и использование платежных карт осуществляются с учетом ограничений, установленных платежными системами, иными уполномоченными лицами/органами иностранных государств, международными организациями, а также законодательством иностранных государств, Российской Федерации, в том числе актами Банка России, иных уполномоченных лиц/органов, действующих на территории Российской Федерации.</w:t>
            </w:r>
          </w:p>
          <w:p w14:paraId="409A59BA" w14:textId="77777777" w:rsidR="00382481" w:rsidRPr="00236F26" w:rsidRDefault="00382481" w:rsidP="00034511">
            <w:pPr>
              <w:widowControl w:val="0"/>
              <w:tabs>
                <w:tab w:val="left" w:pos="426"/>
                <w:tab w:val="left" w:pos="851"/>
              </w:tabs>
              <w:jc w:val="both"/>
              <w:rPr>
                <w:rFonts w:ascii="Tahoma" w:hAnsi="Tahoma" w:cs="Tahoma"/>
                <w:sz w:val="18"/>
                <w:szCs w:val="18"/>
              </w:rPr>
            </w:pPr>
            <w:r w:rsidRPr="00ED061B">
              <w:rPr>
                <w:rFonts w:ascii="Tahoma" w:hAnsi="Tahoma" w:cs="Tahoma"/>
                <w:sz w:val="18"/>
                <w:szCs w:val="18"/>
              </w:rPr>
              <w:t xml:space="preserve"> </w:t>
            </w:r>
          </w:p>
        </w:tc>
      </w:tr>
    </w:tbl>
    <w:p w14:paraId="5A4A195D" w14:textId="77777777" w:rsidR="00C43C5D" w:rsidRPr="00D349BC" w:rsidRDefault="00C43C5D" w:rsidP="00C43C5D">
      <w:pPr>
        <w:widowControl w:val="0"/>
        <w:tabs>
          <w:tab w:val="left" w:pos="851"/>
        </w:tabs>
        <w:jc w:val="both"/>
        <w:rPr>
          <w:rFonts w:ascii="Tahoma" w:hAnsi="Tahoma" w:cs="Tahoma"/>
          <w:sz w:val="20"/>
          <w:szCs w:val="20"/>
        </w:rPr>
      </w:pPr>
    </w:p>
    <w:p w14:paraId="539D0D5F" w14:textId="77777777" w:rsidR="00A83C02" w:rsidRPr="00D349BC" w:rsidRDefault="00A83C02" w:rsidP="00A83C02">
      <w:pPr>
        <w:widowControl w:val="0"/>
        <w:tabs>
          <w:tab w:val="left" w:pos="851"/>
        </w:tabs>
        <w:jc w:val="both"/>
        <w:rPr>
          <w:rFonts w:ascii="Tahoma" w:hAnsi="Tahoma" w:cs="Tahoma"/>
          <w:sz w:val="20"/>
          <w:szCs w:val="20"/>
        </w:rPr>
      </w:pPr>
    </w:p>
    <w:p w14:paraId="2CB67F98" w14:textId="18E082E2" w:rsidR="00320EF7" w:rsidRDefault="00F14C49" w:rsidP="000B3718">
      <w:pPr>
        <w:pStyle w:val="a5"/>
      </w:pPr>
      <w:r>
        <w:t>2.2.4</w:t>
      </w:r>
      <w:r w:rsidR="00320EF7" w:rsidRPr="0036588F">
        <w:t xml:space="preserve">. Тарифный план «Изменение условий кредитного договора </w:t>
      </w:r>
      <w:r w:rsidR="00320EF7">
        <w:t>по волеизъявлению заемщика»* ** ***</w:t>
      </w:r>
    </w:p>
    <w:p w14:paraId="7049B8E4" w14:textId="77777777" w:rsidR="00320EF7" w:rsidRPr="0036588F" w:rsidRDefault="00320EF7" w:rsidP="00320EF7">
      <w:pPr>
        <w:tabs>
          <w:tab w:val="left" w:pos="3240"/>
        </w:tabs>
        <w:rPr>
          <w:rFonts w:ascii="Tahoma" w:hAnsi="Tahoma" w:cs="Tahoma"/>
          <w:b/>
          <w:i/>
          <w:color w:val="E36C0A"/>
          <w:sz w:val="20"/>
          <w:szCs w:val="22"/>
        </w:rPr>
      </w:pPr>
    </w:p>
    <w:p w14:paraId="5746F864" w14:textId="77777777" w:rsidR="00320EF7" w:rsidRDefault="00320EF7" w:rsidP="00320EF7">
      <w:pPr>
        <w:ind w:hanging="426"/>
        <w:rPr>
          <w:rFonts w:ascii="Tahoma" w:hAnsi="Tahoma" w:cs="Tahoma"/>
          <w:b/>
          <w:sz w:val="19"/>
          <w:szCs w:val="19"/>
        </w:rPr>
      </w:pPr>
      <w:r w:rsidRPr="00911B79">
        <w:rPr>
          <w:rFonts w:ascii="Tahoma" w:hAnsi="Tahoma" w:cs="Tahoma"/>
          <w:b/>
          <w:sz w:val="19"/>
          <w:szCs w:val="19"/>
        </w:rPr>
        <w:t>П</w:t>
      </w:r>
      <w:r>
        <w:rPr>
          <w:rFonts w:ascii="Tahoma" w:hAnsi="Tahoma" w:cs="Tahoma"/>
          <w:b/>
          <w:sz w:val="19"/>
          <w:szCs w:val="19"/>
        </w:rPr>
        <w:t>аспорт</w:t>
      </w:r>
      <w:r w:rsidRPr="00911B79">
        <w:rPr>
          <w:rFonts w:ascii="Tahoma" w:hAnsi="Tahoma" w:cs="Tahoma"/>
          <w:b/>
          <w:sz w:val="19"/>
          <w:szCs w:val="19"/>
        </w:rPr>
        <w:t xml:space="preserve"> </w:t>
      </w:r>
      <w:r>
        <w:rPr>
          <w:rFonts w:ascii="Tahoma" w:hAnsi="Tahoma" w:cs="Tahoma"/>
          <w:b/>
          <w:sz w:val="19"/>
          <w:szCs w:val="19"/>
        </w:rPr>
        <w:t>продукта по тарифному плану</w:t>
      </w:r>
      <w:r w:rsidRPr="00911B79">
        <w:rPr>
          <w:rFonts w:ascii="Tahoma" w:hAnsi="Tahoma" w:cs="Tahoma"/>
          <w:b/>
          <w:sz w:val="19"/>
          <w:szCs w:val="19"/>
        </w:rPr>
        <w:t xml:space="preserve"> «ИЗМЕНЕНИЕ УСЛОВИЙ КРЕДИТНОГО ДОГОВОРА</w:t>
      </w:r>
      <w:r>
        <w:rPr>
          <w:rFonts w:ascii="Tahoma" w:hAnsi="Tahoma" w:cs="Tahoma"/>
          <w:b/>
          <w:sz w:val="19"/>
          <w:szCs w:val="19"/>
        </w:rPr>
        <w:t xml:space="preserve"> ПО ВОЛЕИЗЪЯВЛЕНИЮ ЗАЕМЩИКА</w:t>
      </w:r>
      <w:r w:rsidRPr="00911B79">
        <w:rPr>
          <w:rFonts w:ascii="Tahoma" w:hAnsi="Tahoma" w:cs="Tahoma"/>
          <w:b/>
          <w:sz w:val="19"/>
          <w:szCs w:val="19"/>
        </w:rPr>
        <w:t>»</w:t>
      </w:r>
      <w:r>
        <w:rPr>
          <w:rFonts w:ascii="Tahoma" w:hAnsi="Tahoma" w:cs="Tahoma"/>
          <w:color w:val="FF0000"/>
          <w:sz w:val="18"/>
          <w:szCs w:val="18"/>
          <w:vertAlign w:val="superscript"/>
        </w:rPr>
        <w:t xml:space="preserve"> </w:t>
      </w:r>
      <w:r>
        <w:rPr>
          <w:rFonts w:ascii="Tahoma" w:hAnsi="Tahoma" w:cs="Tahoma"/>
          <w:b/>
          <w:sz w:val="19"/>
          <w:szCs w:val="19"/>
        </w:rPr>
        <w:t>* ** ***</w:t>
      </w:r>
    </w:p>
    <w:tbl>
      <w:tblPr>
        <w:tblStyle w:val="aff0"/>
        <w:tblW w:w="16018" w:type="dxa"/>
        <w:tblInd w:w="-318" w:type="dxa"/>
        <w:tblLayout w:type="fixed"/>
        <w:tblLook w:val="04A0" w:firstRow="1" w:lastRow="0" w:firstColumn="1" w:lastColumn="0" w:noHBand="0" w:noVBand="1"/>
      </w:tblPr>
      <w:tblGrid>
        <w:gridCol w:w="2834"/>
        <w:gridCol w:w="5030"/>
        <w:gridCol w:w="157"/>
        <w:gridCol w:w="58"/>
        <w:gridCol w:w="4262"/>
        <w:gridCol w:w="102"/>
        <w:gridCol w:w="3575"/>
      </w:tblGrid>
      <w:tr w:rsidR="00320EF7" w:rsidRPr="00D52372" w14:paraId="45AB5E37" w14:textId="77777777" w:rsidTr="00320EF7">
        <w:trPr>
          <w:trHeight w:val="231"/>
        </w:trPr>
        <w:tc>
          <w:tcPr>
            <w:tcW w:w="2834" w:type="dxa"/>
            <w:shd w:val="clear" w:color="auto" w:fill="D9D9D9" w:themeFill="background1" w:themeFillShade="D9"/>
          </w:tcPr>
          <w:p w14:paraId="58B3EE04" w14:textId="77777777" w:rsidR="00320EF7" w:rsidRPr="00D52372" w:rsidRDefault="00320EF7" w:rsidP="00320EF7">
            <w:pPr>
              <w:rPr>
                <w:rFonts w:ascii="Tahoma" w:hAnsi="Tahoma" w:cs="Tahoma"/>
                <w:b/>
                <w:sz w:val="18"/>
                <w:szCs w:val="18"/>
              </w:rPr>
            </w:pPr>
            <w:r w:rsidRPr="00D52372">
              <w:rPr>
                <w:rFonts w:ascii="Tahoma" w:hAnsi="Tahoma" w:cs="Tahoma"/>
                <w:b/>
                <w:sz w:val="18"/>
                <w:szCs w:val="18"/>
              </w:rPr>
              <w:t>Наименование услуги/продукта</w:t>
            </w:r>
          </w:p>
        </w:tc>
        <w:tc>
          <w:tcPr>
            <w:tcW w:w="5245" w:type="dxa"/>
            <w:gridSpan w:val="3"/>
            <w:shd w:val="clear" w:color="auto" w:fill="D9D9D9" w:themeFill="background1" w:themeFillShade="D9"/>
            <w:vAlign w:val="center"/>
          </w:tcPr>
          <w:p w14:paraId="09BEF98E" w14:textId="77777777" w:rsidR="00320EF7" w:rsidRPr="00D52372" w:rsidRDefault="00320EF7" w:rsidP="00320EF7">
            <w:pPr>
              <w:rPr>
                <w:rFonts w:ascii="Tahoma" w:hAnsi="Tahoma" w:cs="Tahoma"/>
                <w:b/>
                <w:sz w:val="18"/>
                <w:szCs w:val="18"/>
              </w:rPr>
            </w:pPr>
            <w:r w:rsidRPr="00D52372">
              <w:rPr>
                <w:rFonts w:ascii="Tahoma" w:hAnsi="Tahoma" w:cs="Tahoma"/>
                <w:b/>
                <w:sz w:val="18"/>
                <w:szCs w:val="18"/>
              </w:rPr>
              <w:t>«Снижение платежа»</w:t>
            </w:r>
          </w:p>
        </w:tc>
        <w:tc>
          <w:tcPr>
            <w:tcW w:w="4262" w:type="dxa"/>
            <w:shd w:val="clear" w:color="auto" w:fill="D9D9D9" w:themeFill="background1" w:themeFillShade="D9"/>
            <w:vAlign w:val="center"/>
          </w:tcPr>
          <w:p w14:paraId="7E7877DA" w14:textId="77777777" w:rsidR="00320EF7" w:rsidRPr="00D52372" w:rsidRDefault="00320EF7" w:rsidP="00320EF7">
            <w:pPr>
              <w:rPr>
                <w:rFonts w:ascii="Tahoma" w:hAnsi="Tahoma" w:cs="Tahoma"/>
                <w:b/>
                <w:sz w:val="18"/>
                <w:szCs w:val="18"/>
              </w:rPr>
            </w:pPr>
            <w:r w:rsidRPr="00D52372">
              <w:rPr>
                <w:rFonts w:ascii="Tahoma" w:hAnsi="Tahoma" w:cs="Tahoma"/>
                <w:b/>
                <w:sz w:val="18"/>
                <w:szCs w:val="18"/>
              </w:rPr>
              <w:t>«Кредитные каникулы»</w:t>
            </w:r>
          </w:p>
        </w:tc>
        <w:tc>
          <w:tcPr>
            <w:tcW w:w="3677" w:type="dxa"/>
            <w:gridSpan w:val="2"/>
            <w:shd w:val="clear" w:color="auto" w:fill="D9D9D9" w:themeFill="background1" w:themeFillShade="D9"/>
            <w:vAlign w:val="center"/>
          </w:tcPr>
          <w:p w14:paraId="6E9ADA08" w14:textId="77777777" w:rsidR="00320EF7" w:rsidRPr="00D52372" w:rsidRDefault="00320EF7" w:rsidP="00320EF7">
            <w:pPr>
              <w:rPr>
                <w:rFonts w:ascii="Tahoma" w:hAnsi="Tahoma" w:cs="Tahoma"/>
                <w:b/>
                <w:sz w:val="18"/>
                <w:szCs w:val="18"/>
              </w:rPr>
            </w:pPr>
            <w:r w:rsidRPr="00D52372">
              <w:rPr>
                <w:rFonts w:ascii="Tahoma" w:hAnsi="Tahoma" w:cs="Tahoma"/>
                <w:b/>
                <w:sz w:val="18"/>
                <w:szCs w:val="18"/>
              </w:rPr>
              <w:t>«Изменение даты платежа»</w:t>
            </w:r>
          </w:p>
        </w:tc>
      </w:tr>
      <w:tr w:rsidR="00320EF7" w:rsidRPr="00D52372" w14:paraId="1234CBDA" w14:textId="77777777" w:rsidTr="00320EF7">
        <w:trPr>
          <w:trHeight w:val="248"/>
        </w:trPr>
        <w:tc>
          <w:tcPr>
            <w:tcW w:w="2834" w:type="dxa"/>
          </w:tcPr>
          <w:p w14:paraId="5A4A40D1" w14:textId="77777777" w:rsidR="00320EF7" w:rsidRPr="00D52372" w:rsidRDefault="00320EF7" w:rsidP="00320EF7">
            <w:pPr>
              <w:rPr>
                <w:rFonts w:ascii="Tahoma" w:hAnsi="Tahoma" w:cs="Tahoma"/>
                <w:b/>
                <w:sz w:val="18"/>
                <w:szCs w:val="18"/>
              </w:rPr>
            </w:pPr>
            <w:r w:rsidRPr="00D52372">
              <w:rPr>
                <w:rFonts w:ascii="Tahoma" w:hAnsi="Tahoma" w:cs="Tahoma"/>
                <w:b/>
                <w:sz w:val="18"/>
                <w:szCs w:val="18"/>
              </w:rPr>
              <w:t>ОПИСАНИЕ УСЛУГИ</w:t>
            </w:r>
          </w:p>
        </w:tc>
        <w:tc>
          <w:tcPr>
            <w:tcW w:w="5245" w:type="dxa"/>
            <w:gridSpan w:val="3"/>
            <w:shd w:val="clear" w:color="auto" w:fill="auto"/>
            <w:vAlign w:val="center"/>
          </w:tcPr>
          <w:p w14:paraId="6DA56DC9" w14:textId="77777777" w:rsidR="00320EF7" w:rsidRPr="00D52372" w:rsidRDefault="00320EF7" w:rsidP="00320EF7">
            <w:pPr>
              <w:rPr>
                <w:rFonts w:ascii="Tahoma" w:hAnsi="Tahoma" w:cs="Tahoma"/>
                <w:b/>
                <w:sz w:val="18"/>
                <w:szCs w:val="18"/>
              </w:rPr>
            </w:pPr>
            <w:r w:rsidRPr="00D52372">
              <w:rPr>
                <w:rFonts w:ascii="Tahoma" w:hAnsi="Tahoma" w:cs="Tahoma"/>
                <w:sz w:val="18"/>
                <w:szCs w:val="18"/>
              </w:rPr>
              <w:t xml:space="preserve">Снижение ежемесячного платежа по Кредиту путем увеличения срока возврата Кредита </w:t>
            </w:r>
          </w:p>
        </w:tc>
        <w:tc>
          <w:tcPr>
            <w:tcW w:w="4262" w:type="dxa"/>
            <w:shd w:val="clear" w:color="auto" w:fill="auto"/>
            <w:vAlign w:val="center"/>
          </w:tcPr>
          <w:p w14:paraId="7E71AC61" w14:textId="77777777" w:rsidR="00320EF7" w:rsidRPr="00D52372" w:rsidRDefault="00320EF7" w:rsidP="00320EF7">
            <w:pPr>
              <w:rPr>
                <w:rFonts w:ascii="Tahoma" w:hAnsi="Tahoma" w:cs="Tahoma"/>
                <w:b/>
                <w:sz w:val="18"/>
                <w:szCs w:val="18"/>
              </w:rPr>
            </w:pPr>
            <w:r w:rsidRPr="00D52372">
              <w:rPr>
                <w:rFonts w:ascii="Tahoma" w:hAnsi="Tahoma" w:cs="Tahoma"/>
                <w:sz w:val="18"/>
                <w:szCs w:val="18"/>
              </w:rPr>
              <w:t>Снижение ежемесячного платежа по Кредиту путем предоставления отсрочки погашения основного долга/полная отсрочка ежемесячного платежа по Кредиту сроком от 1 до 4 месяцев, на выбор Заемщика</w:t>
            </w:r>
          </w:p>
        </w:tc>
        <w:tc>
          <w:tcPr>
            <w:tcW w:w="3677" w:type="dxa"/>
            <w:gridSpan w:val="2"/>
            <w:shd w:val="clear" w:color="auto" w:fill="auto"/>
            <w:vAlign w:val="center"/>
          </w:tcPr>
          <w:p w14:paraId="69EF08E3" w14:textId="77777777" w:rsidR="00320EF7" w:rsidRPr="00D52372" w:rsidRDefault="00320EF7" w:rsidP="00320EF7">
            <w:pPr>
              <w:rPr>
                <w:rFonts w:ascii="Tahoma" w:hAnsi="Tahoma" w:cs="Tahoma"/>
                <w:b/>
                <w:sz w:val="18"/>
                <w:szCs w:val="18"/>
              </w:rPr>
            </w:pPr>
            <w:r w:rsidRPr="00D52372">
              <w:rPr>
                <w:rFonts w:ascii="Tahoma" w:hAnsi="Tahoma" w:cs="Tahoma"/>
                <w:sz w:val="18"/>
                <w:szCs w:val="18"/>
              </w:rPr>
              <w:t>Изменение даты платежа по Договору</w:t>
            </w:r>
          </w:p>
        </w:tc>
      </w:tr>
      <w:tr w:rsidR="00320EF7" w:rsidRPr="00D52372" w14:paraId="7A7B3A20" w14:textId="77777777" w:rsidTr="00320EF7">
        <w:trPr>
          <w:trHeight w:val="248"/>
        </w:trPr>
        <w:tc>
          <w:tcPr>
            <w:tcW w:w="2834" w:type="dxa"/>
          </w:tcPr>
          <w:p w14:paraId="0E7D2671" w14:textId="77777777" w:rsidR="00320EF7" w:rsidRPr="00D52372" w:rsidRDefault="00320EF7" w:rsidP="00320EF7">
            <w:pPr>
              <w:rPr>
                <w:rFonts w:ascii="Tahoma" w:hAnsi="Tahoma" w:cs="Tahoma"/>
                <w:b/>
                <w:sz w:val="18"/>
                <w:szCs w:val="18"/>
              </w:rPr>
            </w:pPr>
            <w:r w:rsidRPr="00D52372">
              <w:rPr>
                <w:rFonts w:ascii="Tahoma" w:hAnsi="Tahoma" w:cs="Tahoma"/>
                <w:b/>
                <w:sz w:val="18"/>
                <w:szCs w:val="18"/>
              </w:rPr>
              <w:t>Кредитные договоры, по которым производится изменение условий</w:t>
            </w:r>
          </w:p>
        </w:tc>
        <w:tc>
          <w:tcPr>
            <w:tcW w:w="13184" w:type="dxa"/>
            <w:gridSpan w:val="6"/>
            <w:shd w:val="clear" w:color="auto" w:fill="auto"/>
            <w:vAlign w:val="center"/>
          </w:tcPr>
          <w:p w14:paraId="72387206" w14:textId="77777777" w:rsidR="00320EF7" w:rsidRPr="00D52372" w:rsidRDefault="00320EF7" w:rsidP="00320EF7">
            <w:pPr>
              <w:rPr>
                <w:rFonts w:ascii="Tahoma" w:hAnsi="Tahoma" w:cs="Tahoma"/>
                <w:sz w:val="18"/>
                <w:szCs w:val="18"/>
              </w:rPr>
            </w:pPr>
            <w:r w:rsidRPr="00E3517B">
              <w:rPr>
                <w:rFonts w:ascii="Tahoma" w:hAnsi="Tahoma" w:cs="Tahoma"/>
                <w:sz w:val="18"/>
                <w:szCs w:val="18"/>
              </w:rPr>
              <w:t>Любой договор потребительского кредита в понимании Федерального закона от 21.12.2013 № 353-ФЗ «О потребительском кредите (займе)». Ограничение/исключение распространения действия услуг «Снижение платежа», «Кредитные каникулы», «Изменение даты платеж</w:t>
            </w:r>
            <w:r>
              <w:rPr>
                <w:rFonts w:ascii="Tahoma" w:hAnsi="Tahoma" w:cs="Tahoma"/>
                <w:sz w:val="18"/>
                <w:szCs w:val="18"/>
              </w:rPr>
              <w:t>а</w:t>
            </w:r>
            <w:r w:rsidRPr="00E3517B">
              <w:rPr>
                <w:rFonts w:ascii="Tahoma" w:hAnsi="Tahoma" w:cs="Tahoma"/>
                <w:sz w:val="18"/>
                <w:szCs w:val="18"/>
              </w:rPr>
              <w:t>» на конкретные виды договоров потребительского кредита, предусмотренные Универсальным договором банковского обслуживания физических лиц «Азиатско-Тихоокеанский Банк» (АО) устанавливаются настоящим Паспортом продукта</w:t>
            </w:r>
            <w:r>
              <w:rPr>
                <w:rFonts w:ascii="Tahoma" w:hAnsi="Tahoma" w:cs="Tahoma"/>
                <w:sz w:val="18"/>
                <w:szCs w:val="18"/>
              </w:rPr>
              <w:t>.</w:t>
            </w:r>
          </w:p>
        </w:tc>
      </w:tr>
      <w:tr w:rsidR="00320EF7" w:rsidRPr="00D52372" w14:paraId="751E12AA" w14:textId="77777777" w:rsidTr="00320EF7">
        <w:trPr>
          <w:trHeight w:val="248"/>
        </w:trPr>
        <w:tc>
          <w:tcPr>
            <w:tcW w:w="2834" w:type="dxa"/>
            <w:vMerge w:val="restart"/>
          </w:tcPr>
          <w:p w14:paraId="6471D7D5" w14:textId="77777777" w:rsidR="00320EF7" w:rsidRPr="00D52372" w:rsidRDefault="00320EF7" w:rsidP="00320EF7">
            <w:pPr>
              <w:rPr>
                <w:rFonts w:ascii="Tahoma" w:hAnsi="Tahoma" w:cs="Tahoma"/>
                <w:sz w:val="18"/>
                <w:szCs w:val="18"/>
              </w:rPr>
            </w:pPr>
            <w:r w:rsidRPr="00D52372">
              <w:rPr>
                <w:rFonts w:ascii="Tahoma" w:hAnsi="Tahoma" w:cs="Tahoma"/>
                <w:b/>
                <w:sz w:val="18"/>
                <w:szCs w:val="18"/>
              </w:rPr>
              <w:t>ОГРАНИЧЕНИЯ</w:t>
            </w:r>
          </w:p>
        </w:tc>
        <w:tc>
          <w:tcPr>
            <w:tcW w:w="5245" w:type="dxa"/>
            <w:gridSpan w:val="3"/>
            <w:shd w:val="clear" w:color="auto" w:fill="auto"/>
            <w:vAlign w:val="center"/>
          </w:tcPr>
          <w:p w14:paraId="7E71EA1B" w14:textId="77777777" w:rsidR="00320EF7" w:rsidRPr="00D52372" w:rsidRDefault="00320EF7" w:rsidP="00320EF7">
            <w:pPr>
              <w:rPr>
                <w:rFonts w:ascii="Tahoma" w:hAnsi="Tahoma" w:cs="Tahoma"/>
                <w:sz w:val="18"/>
                <w:szCs w:val="18"/>
              </w:rPr>
            </w:pPr>
            <w:r w:rsidRPr="00D52372">
              <w:rPr>
                <w:rFonts w:ascii="Tahoma" w:hAnsi="Tahoma" w:cs="Tahoma"/>
                <w:sz w:val="18"/>
                <w:szCs w:val="18"/>
              </w:rPr>
              <w:t>Максимальный срок возврата Кредита, с момента его заключения, с учетом увеличения срока возврата Кредита, при применении данной услуги:</w:t>
            </w:r>
          </w:p>
          <w:p w14:paraId="732F04F1" w14:textId="77777777" w:rsidR="00320EF7" w:rsidRPr="00D52372" w:rsidRDefault="00320EF7" w:rsidP="00320EF7">
            <w:pPr>
              <w:rPr>
                <w:rFonts w:ascii="Tahoma" w:hAnsi="Tahoma" w:cs="Tahoma"/>
                <w:sz w:val="18"/>
                <w:szCs w:val="18"/>
              </w:rPr>
            </w:pPr>
            <w:r w:rsidRPr="00D52372">
              <w:rPr>
                <w:rFonts w:ascii="Tahoma" w:hAnsi="Tahoma" w:cs="Tahoma"/>
                <w:sz w:val="18"/>
                <w:szCs w:val="18"/>
              </w:rPr>
              <w:t>- по Договору «Потребительский кредит» не может превышать 84 мес</w:t>
            </w:r>
            <w:r w:rsidRPr="00D52372">
              <w:rPr>
                <w:rFonts w:ascii="Tahoma" w:hAnsi="Tahoma" w:cs="Tahoma"/>
                <w:sz w:val="18"/>
                <w:szCs w:val="18"/>
                <w:vertAlign w:val="superscript"/>
              </w:rPr>
              <w:t>1</w:t>
            </w:r>
            <w:r w:rsidRPr="00D52372">
              <w:rPr>
                <w:rFonts w:ascii="Tahoma" w:hAnsi="Tahoma" w:cs="Tahoma"/>
                <w:sz w:val="18"/>
                <w:szCs w:val="18"/>
              </w:rPr>
              <w:t>;</w:t>
            </w:r>
          </w:p>
          <w:p w14:paraId="6DDD8A8F" w14:textId="77777777" w:rsidR="00320EF7" w:rsidRPr="00D52372" w:rsidRDefault="00320EF7" w:rsidP="00320EF7">
            <w:pPr>
              <w:rPr>
                <w:rFonts w:ascii="Tahoma" w:hAnsi="Tahoma" w:cs="Tahoma"/>
                <w:b/>
                <w:sz w:val="18"/>
                <w:szCs w:val="18"/>
              </w:rPr>
            </w:pPr>
            <w:r w:rsidRPr="00D52372">
              <w:rPr>
                <w:rFonts w:ascii="Tahoma" w:hAnsi="Tahoma" w:cs="Tahoma"/>
                <w:sz w:val="18"/>
                <w:szCs w:val="18"/>
              </w:rPr>
              <w:t>- по Договору «Потребительский кредит (с лимитом кредитования)», находящемуся в режиме погашения задолженности,  не может превышать срока достижения Заемщиком возраста 70 лет;</w:t>
            </w:r>
          </w:p>
        </w:tc>
        <w:tc>
          <w:tcPr>
            <w:tcW w:w="4262" w:type="dxa"/>
            <w:shd w:val="clear" w:color="auto" w:fill="auto"/>
            <w:vAlign w:val="center"/>
          </w:tcPr>
          <w:p w14:paraId="67197746" w14:textId="77777777" w:rsidR="00320EF7" w:rsidRPr="00D52372" w:rsidRDefault="00320EF7" w:rsidP="00320EF7">
            <w:pPr>
              <w:rPr>
                <w:rFonts w:ascii="Tahoma" w:hAnsi="Tahoma" w:cs="Tahoma"/>
                <w:b/>
                <w:sz w:val="18"/>
                <w:szCs w:val="18"/>
              </w:rPr>
            </w:pPr>
            <w:r w:rsidRPr="00D52372">
              <w:rPr>
                <w:rFonts w:ascii="Tahoma" w:hAnsi="Tahoma" w:cs="Tahoma"/>
                <w:sz w:val="18"/>
                <w:szCs w:val="18"/>
              </w:rPr>
              <w:t>До окончания Кредитного договора осталось не менее 6 календарных месяцев.</w:t>
            </w:r>
          </w:p>
        </w:tc>
        <w:tc>
          <w:tcPr>
            <w:tcW w:w="3677" w:type="dxa"/>
            <w:gridSpan w:val="2"/>
            <w:shd w:val="clear" w:color="auto" w:fill="auto"/>
          </w:tcPr>
          <w:p w14:paraId="5701A4DA" w14:textId="77777777" w:rsidR="00320EF7" w:rsidRPr="00D52372" w:rsidRDefault="00320EF7" w:rsidP="00320EF7">
            <w:pPr>
              <w:rPr>
                <w:rFonts w:ascii="Tahoma" w:hAnsi="Tahoma" w:cs="Tahoma"/>
                <w:sz w:val="18"/>
                <w:szCs w:val="18"/>
              </w:rPr>
            </w:pPr>
            <w:r w:rsidRPr="00D52372">
              <w:rPr>
                <w:rFonts w:ascii="Tahoma" w:hAnsi="Tahoma" w:cs="Tahoma"/>
                <w:sz w:val="18"/>
                <w:szCs w:val="18"/>
              </w:rPr>
              <w:t>Изменение даты платежа по Кредиту осуществляется в рамках одного месяца (не более 30 дней) независимо от тарифного плана «Азиатско-Тихоокеанский Банк» (АО) (далее Банк). В том числе по Кредитным договорам, требования по которым обеспечены ипотекой.</w:t>
            </w:r>
          </w:p>
        </w:tc>
      </w:tr>
      <w:tr w:rsidR="00320EF7" w:rsidRPr="00D52372" w14:paraId="2B11D77E" w14:textId="77777777" w:rsidTr="00320EF7">
        <w:trPr>
          <w:trHeight w:val="248"/>
        </w:trPr>
        <w:tc>
          <w:tcPr>
            <w:tcW w:w="2834" w:type="dxa"/>
            <w:vMerge/>
          </w:tcPr>
          <w:p w14:paraId="1DBEEAF0" w14:textId="77777777" w:rsidR="00320EF7" w:rsidRPr="00D52372" w:rsidRDefault="00320EF7" w:rsidP="00320EF7">
            <w:pPr>
              <w:rPr>
                <w:rFonts w:ascii="Tahoma" w:hAnsi="Tahoma" w:cs="Tahoma"/>
                <w:b/>
                <w:sz w:val="18"/>
                <w:szCs w:val="18"/>
              </w:rPr>
            </w:pPr>
          </w:p>
        </w:tc>
        <w:tc>
          <w:tcPr>
            <w:tcW w:w="5245" w:type="dxa"/>
            <w:gridSpan w:val="3"/>
            <w:shd w:val="clear" w:color="auto" w:fill="auto"/>
            <w:vAlign w:val="center"/>
          </w:tcPr>
          <w:p w14:paraId="4047B14F" w14:textId="77777777" w:rsidR="00320EF7" w:rsidRPr="00D52372" w:rsidRDefault="00320EF7" w:rsidP="00320EF7">
            <w:pPr>
              <w:jc w:val="center"/>
              <w:rPr>
                <w:rFonts w:ascii="Tahoma" w:hAnsi="Tahoma" w:cs="Tahoma"/>
                <w:sz w:val="20"/>
                <w:szCs w:val="20"/>
              </w:rPr>
            </w:pPr>
            <w:r w:rsidRPr="00D52372">
              <w:rPr>
                <w:rFonts w:ascii="Tahoma" w:hAnsi="Tahoma" w:cs="Tahoma"/>
                <w:sz w:val="20"/>
                <w:szCs w:val="20"/>
              </w:rPr>
              <w:t>-</w:t>
            </w:r>
          </w:p>
        </w:tc>
        <w:tc>
          <w:tcPr>
            <w:tcW w:w="4262" w:type="dxa"/>
            <w:shd w:val="clear" w:color="auto" w:fill="auto"/>
            <w:vAlign w:val="center"/>
          </w:tcPr>
          <w:p w14:paraId="1969FF6A" w14:textId="77777777" w:rsidR="00320EF7" w:rsidRPr="00D52372" w:rsidRDefault="00320EF7" w:rsidP="00320EF7">
            <w:pPr>
              <w:rPr>
                <w:rFonts w:ascii="Tahoma" w:hAnsi="Tahoma" w:cs="Tahoma"/>
                <w:sz w:val="20"/>
                <w:szCs w:val="20"/>
              </w:rPr>
            </w:pPr>
            <w:r w:rsidRPr="00D52372">
              <w:rPr>
                <w:rFonts w:ascii="Tahoma" w:hAnsi="Tahoma" w:cs="Tahoma"/>
                <w:sz w:val="18"/>
                <w:szCs w:val="18"/>
              </w:rPr>
              <w:t>Полная отсрочка ежемесячного платежа предоставляется один раз за весь срок действия Кредитного договора;</w:t>
            </w:r>
          </w:p>
        </w:tc>
        <w:tc>
          <w:tcPr>
            <w:tcW w:w="3677" w:type="dxa"/>
            <w:gridSpan w:val="2"/>
            <w:shd w:val="clear" w:color="auto" w:fill="auto"/>
            <w:vAlign w:val="center"/>
          </w:tcPr>
          <w:p w14:paraId="12784593" w14:textId="77777777" w:rsidR="00320EF7" w:rsidRPr="00D52372" w:rsidRDefault="00320EF7" w:rsidP="00320EF7">
            <w:pPr>
              <w:jc w:val="center"/>
              <w:rPr>
                <w:rFonts w:ascii="Tahoma" w:hAnsi="Tahoma" w:cs="Tahoma"/>
                <w:sz w:val="20"/>
                <w:szCs w:val="20"/>
              </w:rPr>
            </w:pPr>
            <w:r w:rsidRPr="00D52372">
              <w:rPr>
                <w:rFonts w:ascii="Tahoma" w:hAnsi="Tahoma" w:cs="Tahoma"/>
                <w:sz w:val="20"/>
                <w:szCs w:val="20"/>
              </w:rPr>
              <w:t>-</w:t>
            </w:r>
          </w:p>
        </w:tc>
      </w:tr>
      <w:tr w:rsidR="00320EF7" w:rsidRPr="00D52372" w14:paraId="2A758E6D" w14:textId="77777777" w:rsidTr="00320EF7">
        <w:trPr>
          <w:trHeight w:val="248"/>
        </w:trPr>
        <w:tc>
          <w:tcPr>
            <w:tcW w:w="2834" w:type="dxa"/>
            <w:vMerge w:val="restart"/>
          </w:tcPr>
          <w:p w14:paraId="6684D45D" w14:textId="77777777" w:rsidR="00320EF7" w:rsidRPr="00D52372" w:rsidRDefault="00320EF7" w:rsidP="00320EF7">
            <w:pPr>
              <w:rPr>
                <w:rFonts w:ascii="Tahoma" w:hAnsi="Tahoma" w:cs="Tahoma"/>
                <w:b/>
                <w:sz w:val="18"/>
                <w:szCs w:val="18"/>
              </w:rPr>
            </w:pPr>
            <w:r w:rsidRPr="00D52372">
              <w:rPr>
                <w:rFonts w:ascii="Tahoma" w:hAnsi="Tahoma" w:cs="Tahoma"/>
                <w:b/>
                <w:sz w:val="18"/>
                <w:szCs w:val="18"/>
              </w:rPr>
              <w:t>ТРЕБОВАНИЯ</w:t>
            </w:r>
          </w:p>
        </w:tc>
        <w:tc>
          <w:tcPr>
            <w:tcW w:w="13184" w:type="dxa"/>
            <w:gridSpan w:val="6"/>
            <w:shd w:val="clear" w:color="auto" w:fill="auto"/>
            <w:vAlign w:val="center"/>
          </w:tcPr>
          <w:p w14:paraId="10D3DA97" w14:textId="77777777" w:rsidR="00320EF7" w:rsidRPr="00D52372" w:rsidRDefault="00320EF7" w:rsidP="00320EF7">
            <w:pPr>
              <w:rPr>
                <w:rFonts w:ascii="Tahoma" w:hAnsi="Tahoma" w:cs="Tahoma"/>
                <w:b/>
                <w:sz w:val="18"/>
                <w:szCs w:val="18"/>
              </w:rPr>
            </w:pPr>
            <w:r w:rsidRPr="00D52372">
              <w:rPr>
                <w:rFonts w:ascii="Tahoma" w:hAnsi="Tahoma" w:cs="Tahoma"/>
                <w:sz w:val="18"/>
                <w:szCs w:val="18"/>
              </w:rPr>
              <w:t>1. Отсутствие текущей просроченной задолженности по Кредитному договору, в рамках которого предполагается оформление данных услуг, а также по иным Кредитным договорам Заемщика в Банке на дату приема заявления от Заемщика;</w:t>
            </w:r>
          </w:p>
        </w:tc>
      </w:tr>
      <w:tr w:rsidR="00320EF7" w:rsidRPr="00D52372" w14:paraId="4C50E8D0" w14:textId="77777777" w:rsidTr="00320EF7">
        <w:trPr>
          <w:trHeight w:val="248"/>
        </w:trPr>
        <w:tc>
          <w:tcPr>
            <w:tcW w:w="2834" w:type="dxa"/>
            <w:vMerge/>
          </w:tcPr>
          <w:p w14:paraId="7AE5AE95" w14:textId="77777777" w:rsidR="00320EF7" w:rsidRPr="00D52372" w:rsidRDefault="00320EF7" w:rsidP="00320EF7">
            <w:pPr>
              <w:rPr>
                <w:rFonts w:ascii="Tahoma" w:hAnsi="Tahoma" w:cs="Tahoma"/>
                <w:b/>
                <w:sz w:val="18"/>
                <w:szCs w:val="18"/>
              </w:rPr>
            </w:pPr>
          </w:p>
        </w:tc>
        <w:tc>
          <w:tcPr>
            <w:tcW w:w="9507" w:type="dxa"/>
            <w:gridSpan w:val="4"/>
            <w:shd w:val="clear" w:color="auto" w:fill="auto"/>
            <w:vAlign w:val="center"/>
          </w:tcPr>
          <w:p w14:paraId="586772CD" w14:textId="77777777" w:rsidR="00320EF7" w:rsidRPr="00D52372" w:rsidRDefault="00320EF7" w:rsidP="00320EF7">
            <w:pPr>
              <w:rPr>
                <w:rFonts w:ascii="Tahoma" w:hAnsi="Tahoma" w:cs="Tahoma"/>
                <w:sz w:val="18"/>
                <w:szCs w:val="18"/>
              </w:rPr>
            </w:pPr>
            <w:r w:rsidRPr="00D52372">
              <w:rPr>
                <w:rFonts w:ascii="Tahoma" w:hAnsi="Tahoma" w:cs="Tahoma"/>
                <w:sz w:val="18"/>
                <w:szCs w:val="18"/>
              </w:rPr>
              <w:t>2. Произведено не менее шести полных платежей по Кредитному договору;</w:t>
            </w:r>
          </w:p>
        </w:tc>
        <w:tc>
          <w:tcPr>
            <w:tcW w:w="3677" w:type="dxa"/>
            <w:gridSpan w:val="2"/>
            <w:shd w:val="clear" w:color="auto" w:fill="auto"/>
            <w:vAlign w:val="center"/>
          </w:tcPr>
          <w:p w14:paraId="13AC193D" w14:textId="77777777" w:rsidR="00320EF7" w:rsidRPr="00D52372" w:rsidRDefault="00320EF7" w:rsidP="00320EF7">
            <w:pPr>
              <w:jc w:val="center"/>
              <w:rPr>
                <w:rFonts w:ascii="Tahoma" w:hAnsi="Tahoma" w:cs="Tahoma"/>
                <w:sz w:val="18"/>
                <w:szCs w:val="18"/>
                <w:lang w:val="en-US"/>
              </w:rPr>
            </w:pPr>
            <w:r w:rsidRPr="00D52372">
              <w:rPr>
                <w:rFonts w:ascii="Tahoma" w:hAnsi="Tahoma" w:cs="Tahoma"/>
                <w:sz w:val="18"/>
                <w:szCs w:val="18"/>
                <w:lang w:val="en-US"/>
              </w:rPr>
              <w:t>-</w:t>
            </w:r>
          </w:p>
        </w:tc>
      </w:tr>
      <w:tr w:rsidR="00320EF7" w:rsidRPr="00D52372" w14:paraId="12C63872" w14:textId="77777777" w:rsidTr="00320EF7">
        <w:trPr>
          <w:trHeight w:val="248"/>
        </w:trPr>
        <w:tc>
          <w:tcPr>
            <w:tcW w:w="2834" w:type="dxa"/>
            <w:vMerge/>
          </w:tcPr>
          <w:p w14:paraId="5700617B" w14:textId="77777777" w:rsidR="00320EF7" w:rsidRPr="00D52372" w:rsidRDefault="00320EF7" w:rsidP="00320EF7">
            <w:pPr>
              <w:rPr>
                <w:rFonts w:ascii="Tahoma" w:hAnsi="Tahoma" w:cs="Tahoma"/>
                <w:b/>
                <w:sz w:val="18"/>
                <w:szCs w:val="18"/>
              </w:rPr>
            </w:pPr>
          </w:p>
        </w:tc>
        <w:tc>
          <w:tcPr>
            <w:tcW w:w="13184" w:type="dxa"/>
            <w:gridSpan w:val="6"/>
            <w:shd w:val="clear" w:color="auto" w:fill="auto"/>
            <w:vAlign w:val="center"/>
          </w:tcPr>
          <w:p w14:paraId="44A8976E" w14:textId="77777777" w:rsidR="00320EF7" w:rsidRPr="00D52372" w:rsidRDefault="00320EF7" w:rsidP="00320EF7">
            <w:pPr>
              <w:rPr>
                <w:rFonts w:ascii="Tahoma" w:hAnsi="Tahoma" w:cs="Tahoma"/>
                <w:b/>
                <w:sz w:val="18"/>
                <w:szCs w:val="18"/>
              </w:rPr>
            </w:pPr>
            <w:r w:rsidRPr="00D52372">
              <w:rPr>
                <w:rFonts w:ascii="Tahoma" w:hAnsi="Tahoma" w:cs="Tahoma"/>
                <w:sz w:val="18"/>
                <w:szCs w:val="18"/>
              </w:rPr>
              <w:t>3. На момент окончания срока возврата Кредита после производимых изменений первоначальных условий возраст Заемщика не должен превышать 70 лет;</w:t>
            </w:r>
          </w:p>
        </w:tc>
      </w:tr>
      <w:tr w:rsidR="00320EF7" w:rsidRPr="00D52372" w14:paraId="0DFA70B4" w14:textId="77777777" w:rsidTr="00320EF7">
        <w:trPr>
          <w:trHeight w:val="248"/>
        </w:trPr>
        <w:tc>
          <w:tcPr>
            <w:tcW w:w="2834" w:type="dxa"/>
            <w:vMerge/>
          </w:tcPr>
          <w:p w14:paraId="59702CF4" w14:textId="77777777" w:rsidR="00320EF7" w:rsidRPr="00D52372" w:rsidRDefault="00320EF7" w:rsidP="00320EF7">
            <w:pPr>
              <w:rPr>
                <w:rFonts w:ascii="Tahoma" w:hAnsi="Tahoma" w:cs="Tahoma"/>
                <w:sz w:val="18"/>
                <w:szCs w:val="18"/>
              </w:rPr>
            </w:pPr>
          </w:p>
        </w:tc>
        <w:tc>
          <w:tcPr>
            <w:tcW w:w="9507" w:type="dxa"/>
            <w:gridSpan w:val="4"/>
            <w:shd w:val="clear" w:color="auto" w:fill="auto"/>
            <w:vAlign w:val="center"/>
          </w:tcPr>
          <w:p w14:paraId="3F7967AE" w14:textId="77777777" w:rsidR="00320EF7" w:rsidRPr="00D52372" w:rsidRDefault="00320EF7" w:rsidP="00320EF7">
            <w:pPr>
              <w:rPr>
                <w:rFonts w:ascii="Tahoma" w:hAnsi="Tahoma" w:cs="Tahoma"/>
                <w:sz w:val="18"/>
                <w:szCs w:val="18"/>
              </w:rPr>
            </w:pPr>
            <w:r w:rsidRPr="00D52372">
              <w:rPr>
                <w:rFonts w:ascii="Tahoma" w:hAnsi="Tahoma" w:cs="Tahoma"/>
                <w:sz w:val="18"/>
                <w:szCs w:val="18"/>
              </w:rPr>
              <w:t>4. Общее количество отсрочек по Договору не должно быть более 3-х с интервалом между ними не менее 6 месяцев полной оплаты по Графику платежей по Кредиту.</w:t>
            </w:r>
          </w:p>
        </w:tc>
        <w:tc>
          <w:tcPr>
            <w:tcW w:w="3677" w:type="dxa"/>
            <w:gridSpan w:val="2"/>
            <w:shd w:val="clear" w:color="auto" w:fill="auto"/>
            <w:vAlign w:val="center"/>
          </w:tcPr>
          <w:p w14:paraId="2F8B4C4A" w14:textId="77777777" w:rsidR="00320EF7" w:rsidRPr="00D52372" w:rsidRDefault="00320EF7" w:rsidP="00320EF7">
            <w:pPr>
              <w:jc w:val="center"/>
              <w:rPr>
                <w:rFonts w:ascii="Tahoma" w:hAnsi="Tahoma" w:cs="Tahoma"/>
                <w:b/>
                <w:sz w:val="18"/>
                <w:szCs w:val="18"/>
              </w:rPr>
            </w:pPr>
          </w:p>
        </w:tc>
      </w:tr>
      <w:tr w:rsidR="00320EF7" w:rsidRPr="00D52372" w14:paraId="7524FCBA" w14:textId="77777777" w:rsidTr="00320EF7">
        <w:trPr>
          <w:trHeight w:val="721"/>
        </w:trPr>
        <w:tc>
          <w:tcPr>
            <w:tcW w:w="2834" w:type="dxa"/>
            <w:vMerge w:val="restart"/>
          </w:tcPr>
          <w:p w14:paraId="5BC2573F" w14:textId="77777777" w:rsidR="00320EF7" w:rsidRPr="007D7900" w:rsidRDefault="00320EF7" w:rsidP="00320EF7">
            <w:pPr>
              <w:rPr>
                <w:rFonts w:ascii="Tahoma" w:hAnsi="Tahoma" w:cs="Tahoma"/>
                <w:b/>
                <w:sz w:val="18"/>
                <w:szCs w:val="18"/>
              </w:rPr>
            </w:pPr>
            <w:r w:rsidRPr="007D7900">
              <w:rPr>
                <w:rFonts w:ascii="Tahoma" w:hAnsi="Tahoma" w:cs="Tahoma"/>
                <w:b/>
                <w:sz w:val="18"/>
                <w:szCs w:val="18"/>
              </w:rPr>
              <w:t>Кредитные договоры, по которым изменение условий Кредитных договоров по настоящему тарифному плану не проводится</w:t>
            </w:r>
          </w:p>
        </w:tc>
        <w:tc>
          <w:tcPr>
            <w:tcW w:w="9507" w:type="dxa"/>
            <w:gridSpan w:val="4"/>
            <w:shd w:val="clear" w:color="auto" w:fill="auto"/>
            <w:vAlign w:val="center"/>
          </w:tcPr>
          <w:p w14:paraId="4999EC05" w14:textId="77777777" w:rsidR="00320EF7" w:rsidRPr="00D52372" w:rsidRDefault="00320EF7" w:rsidP="00320EF7">
            <w:pPr>
              <w:jc w:val="center"/>
              <w:rPr>
                <w:rFonts w:ascii="Tahoma" w:hAnsi="Tahoma" w:cs="Tahoma"/>
                <w:b/>
                <w:sz w:val="18"/>
                <w:szCs w:val="18"/>
              </w:rPr>
            </w:pPr>
            <w:r w:rsidRPr="00D52372">
              <w:rPr>
                <w:rFonts w:ascii="Tahoma" w:hAnsi="Tahoma" w:cs="Tahoma"/>
                <w:sz w:val="18"/>
                <w:szCs w:val="18"/>
              </w:rPr>
              <w:t xml:space="preserve"> -</w:t>
            </w:r>
          </w:p>
        </w:tc>
        <w:tc>
          <w:tcPr>
            <w:tcW w:w="3677" w:type="dxa"/>
            <w:gridSpan w:val="2"/>
            <w:shd w:val="clear" w:color="auto" w:fill="auto"/>
            <w:vAlign w:val="center"/>
          </w:tcPr>
          <w:p w14:paraId="31005761" w14:textId="77777777" w:rsidR="00320EF7" w:rsidRPr="00D52372" w:rsidRDefault="00320EF7" w:rsidP="00320EF7">
            <w:pPr>
              <w:rPr>
                <w:rFonts w:ascii="Tahoma" w:hAnsi="Tahoma" w:cs="Tahoma"/>
                <w:b/>
                <w:sz w:val="18"/>
                <w:szCs w:val="18"/>
              </w:rPr>
            </w:pPr>
            <w:r w:rsidRPr="00D52372">
              <w:rPr>
                <w:rFonts w:ascii="Tahoma" w:hAnsi="Tahoma" w:cs="Tahoma"/>
                <w:sz w:val="18"/>
                <w:szCs w:val="18"/>
              </w:rPr>
              <w:t>Договоры «Потребительский кредит (с лимитом кредитования)».</w:t>
            </w:r>
          </w:p>
        </w:tc>
      </w:tr>
      <w:tr w:rsidR="00320EF7" w:rsidRPr="00D52372" w14:paraId="5747086E" w14:textId="77777777" w:rsidTr="00320EF7">
        <w:trPr>
          <w:trHeight w:val="1866"/>
        </w:trPr>
        <w:tc>
          <w:tcPr>
            <w:tcW w:w="2834" w:type="dxa"/>
            <w:vMerge/>
          </w:tcPr>
          <w:p w14:paraId="27005944" w14:textId="77777777" w:rsidR="00320EF7" w:rsidRPr="00D52372" w:rsidRDefault="00320EF7" w:rsidP="00320EF7">
            <w:pPr>
              <w:rPr>
                <w:rFonts w:ascii="Tahoma" w:hAnsi="Tahoma" w:cs="Tahoma"/>
                <w:sz w:val="18"/>
                <w:szCs w:val="18"/>
              </w:rPr>
            </w:pPr>
          </w:p>
        </w:tc>
        <w:tc>
          <w:tcPr>
            <w:tcW w:w="9507" w:type="dxa"/>
            <w:gridSpan w:val="4"/>
            <w:shd w:val="clear" w:color="auto" w:fill="auto"/>
            <w:vAlign w:val="center"/>
          </w:tcPr>
          <w:p w14:paraId="536D5C8B" w14:textId="77777777" w:rsidR="00320EF7" w:rsidRPr="00D52372" w:rsidRDefault="00320EF7" w:rsidP="00320EF7">
            <w:pPr>
              <w:tabs>
                <w:tab w:val="left" w:pos="317"/>
              </w:tabs>
              <w:rPr>
                <w:rFonts w:ascii="Tahoma" w:hAnsi="Tahoma" w:cs="Tahoma"/>
                <w:sz w:val="18"/>
                <w:szCs w:val="18"/>
              </w:rPr>
            </w:pPr>
            <w:r w:rsidRPr="00D52372">
              <w:rPr>
                <w:rFonts w:ascii="Tahoma" w:hAnsi="Tahoma" w:cs="Tahoma"/>
                <w:sz w:val="18"/>
                <w:szCs w:val="18"/>
              </w:rPr>
              <w:t>Кредитны</w:t>
            </w:r>
            <w:r>
              <w:rPr>
                <w:rFonts w:ascii="Tahoma" w:hAnsi="Tahoma" w:cs="Tahoma"/>
                <w:sz w:val="18"/>
                <w:szCs w:val="18"/>
              </w:rPr>
              <w:t>е</w:t>
            </w:r>
            <w:r w:rsidRPr="00D52372">
              <w:rPr>
                <w:rFonts w:ascii="Tahoma" w:hAnsi="Tahoma" w:cs="Tahoma"/>
                <w:sz w:val="18"/>
                <w:szCs w:val="18"/>
              </w:rPr>
              <w:t xml:space="preserve"> договор</w:t>
            </w:r>
            <w:r>
              <w:rPr>
                <w:rFonts w:ascii="Tahoma" w:hAnsi="Tahoma" w:cs="Tahoma"/>
                <w:sz w:val="18"/>
                <w:szCs w:val="18"/>
              </w:rPr>
              <w:t>ы</w:t>
            </w:r>
            <w:r w:rsidRPr="00D52372">
              <w:rPr>
                <w:rFonts w:ascii="Tahoma" w:hAnsi="Tahoma" w:cs="Tahoma"/>
                <w:sz w:val="18"/>
                <w:szCs w:val="18"/>
              </w:rPr>
              <w:t>:</w:t>
            </w:r>
          </w:p>
          <w:p w14:paraId="25842E58" w14:textId="77777777" w:rsidR="00320EF7" w:rsidRPr="00D52372" w:rsidRDefault="00320EF7" w:rsidP="00320EF7">
            <w:pPr>
              <w:tabs>
                <w:tab w:val="left" w:pos="317"/>
              </w:tabs>
              <w:rPr>
                <w:rFonts w:ascii="Tahoma" w:hAnsi="Tahoma" w:cs="Tahoma"/>
                <w:sz w:val="18"/>
                <w:szCs w:val="18"/>
              </w:rPr>
            </w:pPr>
            <w:r w:rsidRPr="00D52372">
              <w:rPr>
                <w:rFonts w:ascii="Tahoma" w:hAnsi="Tahoma" w:cs="Tahoma"/>
                <w:sz w:val="18"/>
                <w:szCs w:val="18"/>
              </w:rPr>
              <w:t>- по которым предусмотрено снижение процентной ставки в периоде, выпадающем после даты оформления данной услуги и/или в первоначальном Графике платежей по Кредиту, величина ежемесячного платежа по Кредиту изменяется в течение срока действия Кредитного договора (за исключением опции понижения процентной ставки со скидкой 3,5 процентных пункта суммарно при качественном обслуживании долга);</w:t>
            </w:r>
          </w:p>
          <w:p w14:paraId="5AF2A462" w14:textId="77777777" w:rsidR="00320EF7" w:rsidRPr="00D52372" w:rsidRDefault="00320EF7" w:rsidP="00320EF7">
            <w:pPr>
              <w:tabs>
                <w:tab w:val="left" w:pos="317"/>
              </w:tabs>
              <w:rPr>
                <w:rFonts w:ascii="Tahoma" w:hAnsi="Tahoma" w:cs="Tahoma"/>
                <w:sz w:val="18"/>
                <w:szCs w:val="18"/>
              </w:rPr>
            </w:pPr>
            <w:r w:rsidRPr="00D52372">
              <w:rPr>
                <w:rFonts w:ascii="Tahoma" w:hAnsi="Tahoma" w:cs="Tahoma"/>
                <w:sz w:val="18"/>
                <w:szCs w:val="18"/>
              </w:rPr>
              <w:t>- оформленны</w:t>
            </w:r>
            <w:r>
              <w:rPr>
                <w:rFonts w:ascii="Tahoma" w:hAnsi="Tahoma" w:cs="Tahoma"/>
                <w:sz w:val="18"/>
                <w:szCs w:val="18"/>
              </w:rPr>
              <w:t>е</w:t>
            </w:r>
            <w:r w:rsidRPr="00D52372">
              <w:rPr>
                <w:rFonts w:ascii="Tahoma" w:hAnsi="Tahoma" w:cs="Tahoma"/>
                <w:sz w:val="18"/>
                <w:szCs w:val="18"/>
              </w:rPr>
              <w:t xml:space="preserve"> по тарифным планам Банка, направленным на рефинансирование проблемной задолженности (линейка тарифных планов Банка «Доверие»).</w:t>
            </w:r>
          </w:p>
          <w:p w14:paraId="29992935" w14:textId="77777777" w:rsidR="00320EF7" w:rsidRPr="00D52372" w:rsidRDefault="00320EF7" w:rsidP="00320EF7">
            <w:pPr>
              <w:rPr>
                <w:rFonts w:ascii="Tahoma" w:hAnsi="Tahoma" w:cs="Tahoma"/>
                <w:sz w:val="18"/>
                <w:szCs w:val="18"/>
                <w:vertAlign w:val="superscript"/>
              </w:rPr>
            </w:pPr>
            <w:r w:rsidRPr="00D52372">
              <w:rPr>
                <w:rFonts w:ascii="Tahoma" w:hAnsi="Tahoma" w:cs="Tahoma"/>
                <w:sz w:val="18"/>
                <w:szCs w:val="18"/>
              </w:rPr>
              <w:t>- оформленные по тарифным планам Банка, в рамках которых отсутствует техническая возможность осуществления оформления данных услуг</w:t>
            </w:r>
            <w:r w:rsidRPr="00D52372">
              <w:rPr>
                <w:rFonts w:ascii="Tahoma" w:hAnsi="Tahoma" w:cs="Tahoma"/>
                <w:sz w:val="18"/>
                <w:szCs w:val="18"/>
                <w:vertAlign w:val="superscript"/>
              </w:rPr>
              <w:t>2</w:t>
            </w:r>
          </w:p>
        </w:tc>
        <w:tc>
          <w:tcPr>
            <w:tcW w:w="3677" w:type="dxa"/>
            <w:gridSpan w:val="2"/>
            <w:shd w:val="clear" w:color="auto" w:fill="auto"/>
            <w:vAlign w:val="center"/>
          </w:tcPr>
          <w:p w14:paraId="73CE956A" w14:textId="77777777" w:rsidR="00320EF7" w:rsidRPr="00D52372" w:rsidRDefault="00320EF7" w:rsidP="00320EF7">
            <w:pPr>
              <w:jc w:val="center"/>
              <w:rPr>
                <w:rFonts w:ascii="Tahoma" w:hAnsi="Tahoma" w:cs="Tahoma"/>
                <w:sz w:val="18"/>
                <w:szCs w:val="18"/>
              </w:rPr>
            </w:pPr>
            <w:r w:rsidRPr="00D52372">
              <w:rPr>
                <w:rFonts w:ascii="Tahoma" w:hAnsi="Tahoma" w:cs="Tahoma"/>
                <w:sz w:val="18"/>
                <w:szCs w:val="18"/>
              </w:rPr>
              <w:t>-</w:t>
            </w:r>
          </w:p>
        </w:tc>
      </w:tr>
      <w:tr w:rsidR="00320EF7" w:rsidRPr="00D52372" w14:paraId="48CD0EB6" w14:textId="77777777" w:rsidTr="00320EF7">
        <w:trPr>
          <w:trHeight w:val="703"/>
        </w:trPr>
        <w:tc>
          <w:tcPr>
            <w:tcW w:w="2834" w:type="dxa"/>
          </w:tcPr>
          <w:p w14:paraId="5B1B46CA" w14:textId="77777777" w:rsidR="00320EF7" w:rsidRPr="00E3517B" w:rsidRDefault="00320EF7" w:rsidP="00320EF7">
            <w:pPr>
              <w:rPr>
                <w:rFonts w:ascii="Tahoma" w:hAnsi="Tahoma" w:cs="Tahoma"/>
                <w:b/>
                <w:sz w:val="18"/>
                <w:szCs w:val="18"/>
              </w:rPr>
            </w:pPr>
            <w:r w:rsidRPr="00E3517B">
              <w:rPr>
                <w:rFonts w:ascii="Tahoma" w:hAnsi="Tahoma" w:cs="Tahoma"/>
                <w:b/>
                <w:sz w:val="18"/>
                <w:szCs w:val="18"/>
              </w:rPr>
              <w:t>Подразделения сети/точки продаж, реализующие кредитный продукт</w:t>
            </w:r>
          </w:p>
        </w:tc>
        <w:tc>
          <w:tcPr>
            <w:tcW w:w="13184" w:type="dxa"/>
            <w:gridSpan w:val="6"/>
            <w:shd w:val="clear" w:color="auto" w:fill="auto"/>
            <w:vAlign w:val="center"/>
          </w:tcPr>
          <w:p w14:paraId="4077A3A0" w14:textId="77777777" w:rsidR="00320EF7" w:rsidRPr="00D52372" w:rsidRDefault="00320EF7" w:rsidP="00320EF7">
            <w:pPr>
              <w:jc w:val="center"/>
              <w:rPr>
                <w:rFonts w:ascii="Tahoma" w:hAnsi="Tahoma" w:cs="Tahoma"/>
                <w:sz w:val="18"/>
                <w:szCs w:val="18"/>
              </w:rPr>
            </w:pPr>
            <w:r w:rsidRPr="00D52372">
              <w:rPr>
                <w:rFonts w:ascii="Tahoma" w:hAnsi="Tahoma" w:cs="Tahoma"/>
                <w:sz w:val="18"/>
                <w:szCs w:val="18"/>
              </w:rPr>
              <w:t>Все подразделения «Азиатско-Тихоокеанский Банк» (АО) (по тексту настоящего документа именуемый Банк). Услуга предоставляется физическим лицам, имеющие действующий(-ие) Кредитный(-ые) договор(-ы) в Банке (с учетом исключений и ограничений, установленных настоящим документом).</w:t>
            </w:r>
          </w:p>
        </w:tc>
      </w:tr>
      <w:tr w:rsidR="00320EF7" w:rsidRPr="00D52372" w14:paraId="1460DAC2" w14:textId="77777777" w:rsidTr="00320EF7">
        <w:trPr>
          <w:trHeight w:val="235"/>
        </w:trPr>
        <w:tc>
          <w:tcPr>
            <w:tcW w:w="2834" w:type="dxa"/>
          </w:tcPr>
          <w:p w14:paraId="7DBA30EF" w14:textId="77777777" w:rsidR="00320EF7" w:rsidRPr="00E3517B" w:rsidRDefault="00320EF7" w:rsidP="00320EF7">
            <w:pPr>
              <w:rPr>
                <w:rFonts w:ascii="Tahoma" w:hAnsi="Tahoma" w:cs="Tahoma"/>
                <w:b/>
                <w:sz w:val="18"/>
                <w:szCs w:val="18"/>
              </w:rPr>
            </w:pPr>
            <w:r w:rsidRPr="00E3517B">
              <w:rPr>
                <w:rFonts w:ascii="Tahoma" w:hAnsi="Tahoma" w:cs="Tahoma"/>
                <w:b/>
                <w:sz w:val="18"/>
                <w:szCs w:val="18"/>
              </w:rPr>
              <w:t>Стоимость услуги</w:t>
            </w:r>
            <w:r w:rsidRPr="00E3517B">
              <w:rPr>
                <w:rFonts w:ascii="Tahoma" w:hAnsi="Tahoma" w:cs="Tahoma"/>
                <w:b/>
                <w:sz w:val="18"/>
                <w:szCs w:val="18"/>
                <w:vertAlign w:val="superscript"/>
              </w:rPr>
              <w:t>3</w:t>
            </w:r>
          </w:p>
        </w:tc>
        <w:tc>
          <w:tcPr>
            <w:tcW w:w="5030" w:type="dxa"/>
            <w:shd w:val="clear" w:color="auto" w:fill="auto"/>
            <w:vAlign w:val="center"/>
          </w:tcPr>
          <w:p w14:paraId="6AF43257" w14:textId="77777777" w:rsidR="00320EF7" w:rsidRPr="00D52372" w:rsidRDefault="00320EF7" w:rsidP="00320EF7">
            <w:pPr>
              <w:rPr>
                <w:rFonts w:ascii="Tahoma" w:hAnsi="Tahoma" w:cs="Tahoma"/>
                <w:sz w:val="18"/>
                <w:szCs w:val="18"/>
              </w:rPr>
            </w:pPr>
            <w:r w:rsidRPr="00D52372">
              <w:rPr>
                <w:rFonts w:ascii="Tahoma" w:hAnsi="Tahoma" w:cs="Tahoma"/>
                <w:sz w:val="18"/>
                <w:szCs w:val="18"/>
              </w:rPr>
              <w:t>1500 рублей</w:t>
            </w:r>
          </w:p>
        </w:tc>
        <w:tc>
          <w:tcPr>
            <w:tcW w:w="4477" w:type="dxa"/>
            <w:gridSpan w:val="3"/>
            <w:shd w:val="clear" w:color="auto" w:fill="auto"/>
            <w:vAlign w:val="center"/>
          </w:tcPr>
          <w:p w14:paraId="353C14A3" w14:textId="77777777" w:rsidR="00320EF7" w:rsidRPr="00D52372" w:rsidRDefault="00320EF7" w:rsidP="00320EF7">
            <w:pPr>
              <w:rPr>
                <w:rFonts w:ascii="Tahoma" w:hAnsi="Tahoma" w:cs="Tahoma"/>
                <w:sz w:val="18"/>
                <w:szCs w:val="18"/>
              </w:rPr>
            </w:pPr>
            <w:r w:rsidRPr="00D52372">
              <w:rPr>
                <w:rFonts w:ascii="Tahoma" w:hAnsi="Tahoma" w:cs="Tahoma"/>
                <w:sz w:val="18"/>
                <w:szCs w:val="18"/>
              </w:rPr>
              <w:t>1500 рублей</w:t>
            </w:r>
          </w:p>
        </w:tc>
        <w:tc>
          <w:tcPr>
            <w:tcW w:w="3677" w:type="dxa"/>
            <w:gridSpan w:val="2"/>
            <w:shd w:val="clear" w:color="auto" w:fill="auto"/>
            <w:vAlign w:val="center"/>
          </w:tcPr>
          <w:p w14:paraId="5CF093BE" w14:textId="77777777" w:rsidR="00320EF7" w:rsidRPr="00D52372" w:rsidRDefault="00320EF7" w:rsidP="00320EF7">
            <w:pPr>
              <w:rPr>
                <w:rFonts w:ascii="Tahoma" w:hAnsi="Tahoma" w:cs="Tahoma"/>
                <w:sz w:val="18"/>
                <w:szCs w:val="18"/>
              </w:rPr>
            </w:pPr>
            <w:r w:rsidRPr="00D52372">
              <w:rPr>
                <w:rFonts w:ascii="Tahoma" w:hAnsi="Tahoma" w:cs="Tahoma"/>
                <w:sz w:val="18"/>
                <w:szCs w:val="18"/>
              </w:rPr>
              <w:t>500 рублей</w:t>
            </w:r>
          </w:p>
        </w:tc>
      </w:tr>
      <w:tr w:rsidR="00320EF7" w:rsidRPr="00D52372" w14:paraId="024A0DEF" w14:textId="77777777" w:rsidTr="00320EF7">
        <w:trPr>
          <w:trHeight w:val="648"/>
        </w:trPr>
        <w:tc>
          <w:tcPr>
            <w:tcW w:w="2834" w:type="dxa"/>
          </w:tcPr>
          <w:p w14:paraId="62B50C2E" w14:textId="77777777" w:rsidR="00320EF7" w:rsidRPr="007D7900" w:rsidRDefault="00320EF7" w:rsidP="00320EF7">
            <w:pPr>
              <w:rPr>
                <w:rFonts w:ascii="Tahoma" w:hAnsi="Tahoma" w:cs="Tahoma"/>
                <w:b/>
                <w:sz w:val="18"/>
                <w:szCs w:val="18"/>
              </w:rPr>
            </w:pPr>
            <w:r w:rsidRPr="007D7900">
              <w:rPr>
                <w:rFonts w:ascii="Tahoma" w:hAnsi="Tahoma" w:cs="Tahoma"/>
                <w:b/>
                <w:sz w:val="18"/>
                <w:szCs w:val="18"/>
              </w:rPr>
              <w:t>Рассмотрение заявки на изменение первоначальных условий Кредитного договора</w:t>
            </w:r>
          </w:p>
        </w:tc>
        <w:tc>
          <w:tcPr>
            <w:tcW w:w="13184" w:type="dxa"/>
            <w:gridSpan w:val="6"/>
            <w:shd w:val="clear" w:color="auto" w:fill="auto"/>
            <w:vAlign w:val="center"/>
          </w:tcPr>
          <w:p w14:paraId="56A13A65" w14:textId="77777777" w:rsidR="00320EF7" w:rsidRPr="00D52372" w:rsidRDefault="00320EF7" w:rsidP="00320EF7">
            <w:pPr>
              <w:jc w:val="center"/>
              <w:rPr>
                <w:rFonts w:ascii="Tahoma" w:hAnsi="Tahoma" w:cs="Tahoma"/>
                <w:sz w:val="18"/>
                <w:szCs w:val="18"/>
              </w:rPr>
            </w:pPr>
            <w:r w:rsidRPr="00D52372">
              <w:rPr>
                <w:rFonts w:ascii="Tahoma" w:hAnsi="Tahoma" w:cs="Tahoma"/>
                <w:sz w:val="18"/>
                <w:szCs w:val="18"/>
              </w:rPr>
              <w:t>В течение 3 (трех) рабочих дней</w:t>
            </w:r>
          </w:p>
        </w:tc>
      </w:tr>
      <w:tr w:rsidR="00320EF7" w:rsidRPr="00D52372" w14:paraId="1968E05C" w14:textId="77777777" w:rsidTr="00320EF7">
        <w:trPr>
          <w:trHeight w:val="357"/>
        </w:trPr>
        <w:tc>
          <w:tcPr>
            <w:tcW w:w="2834" w:type="dxa"/>
          </w:tcPr>
          <w:p w14:paraId="6E054A1C" w14:textId="77777777" w:rsidR="00320EF7" w:rsidRPr="007D7900" w:rsidRDefault="00320EF7" w:rsidP="00320EF7">
            <w:pPr>
              <w:rPr>
                <w:rFonts w:ascii="Tahoma" w:hAnsi="Tahoma" w:cs="Tahoma"/>
                <w:b/>
                <w:sz w:val="18"/>
                <w:szCs w:val="18"/>
              </w:rPr>
            </w:pPr>
            <w:r w:rsidRPr="007D7900">
              <w:rPr>
                <w:rFonts w:ascii="Tahoma" w:hAnsi="Tahoma" w:cs="Tahoma"/>
                <w:b/>
                <w:sz w:val="18"/>
                <w:szCs w:val="18"/>
              </w:rPr>
              <w:t>Документы Заемщика</w:t>
            </w:r>
          </w:p>
        </w:tc>
        <w:tc>
          <w:tcPr>
            <w:tcW w:w="5187" w:type="dxa"/>
            <w:gridSpan w:val="2"/>
            <w:shd w:val="clear" w:color="auto" w:fill="auto"/>
            <w:vAlign w:val="center"/>
          </w:tcPr>
          <w:p w14:paraId="5BF90E88" w14:textId="77777777" w:rsidR="00320EF7" w:rsidRPr="00D52372" w:rsidRDefault="00320EF7" w:rsidP="00320EF7">
            <w:pPr>
              <w:tabs>
                <w:tab w:val="left" w:pos="318"/>
              </w:tabs>
              <w:rPr>
                <w:rFonts w:ascii="Tahoma" w:hAnsi="Tahoma" w:cs="Tahoma"/>
                <w:sz w:val="18"/>
                <w:szCs w:val="18"/>
              </w:rPr>
            </w:pPr>
            <w:r w:rsidRPr="00D52372">
              <w:rPr>
                <w:rFonts w:ascii="Tahoma" w:hAnsi="Tahoma" w:cs="Tahoma"/>
                <w:sz w:val="18"/>
                <w:szCs w:val="18"/>
              </w:rPr>
              <w:t>Паспорт гражданина РФ, Заявление Заемщика, содержащее просьбу об изменении установленных Сторонами в Кредитном договоре условий (по форме Банка).</w:t>
            </w:r>
          </w:p>
        </w:tc>
        <w:tc>
          <w:tcPr>
            <w:tcW w:w="4422" w:type="dxa"/>
            <w:gridSpan w:val="3"/>
            <w:shd w:val="clear" w:color="auto" w:fill="auto"/>
            <w:vAlign w:val="center"/>
          </w:tcPr>
          <w:p w14:paraId="7CAF59A2" w14:textId="77777777" w:rsidR="00320EF7" w:rsidRPr="00D52372" w:rsidRDefault="00320EF7" w:rsidP="00320EF7">
            <w:pPr>
              <w:tabs>
                <w:tab w:val="left" w:pos="318"/>
              </w:tabs>
              <w:rPr>
                <w:rFonts w:ascii="Tahoma" w:hAnsi="Tahoma" w:cs="Tahoma"/>
                <w:sz w:val="20"/>
                <w:szCs w:val="20"/>
              </w:rPr>
            </w:pPr>
            <w:r w:rsidRPr="00D52372">
              <w:rPr>
                <w:rFonts w:ascii="Tahoma" w:hAnsi="Tahoma" w:cs="Tahoma"/>
                <w:sz w:val="18"/>
                <w:szCs w:val="18"/>
              </w:rPr>
              <w:t xml:space="preserve">- Паспорт гражданина РФ, Заявление Заемщика, содержащее просьбу об изменении установленных Сторонами в Кредитном договоре условий (по форме Банка), </w:t>
            </w:r>
          </w:p>
          <w:p w14:paraId="6E0EA112" w14:textId="77777777" w:rsidR="00320EF7" w:rsidRPr="00D52372" w:rsidRDefault="00320EF7" w:rsidP="00320EF7">
            <w:pPr>
              <w:tabs>
                <w:tab w:val="left" w:pos="318"/>
              </w:tabs>
              <w:rPr>
                <w:rFonts w:ascii="Tahoma" w:hAnsi="Tahoma" w:cs="Tahoma"/>
                <w:sz w:val="18"/>
                <w:szCs w:val="18"/>
              </w:rPr>
            </w:pPr>
            <w:r w:rsidRPr="00D52372">
              <w:rPr>
                <w:rFonts w:ascii="Tahoma" w:hAnsi="Tahoma" w:cs="Tahoma"/>
                <w:sz w:val="20"/>
                <w:szCs w:val="20"/>
              </w:rPr>
              <w:t>- для предоставления полной отсрочки ежемесячного платежа Заёмщику дополнительно необходимо предоставить в Банк документы, подтверждающие ухудшение финансового положения Заемщика**.</w:t>
            </w:r>
          </w:p>
        </w:tc>
        <w:tc>
          <w:tcPr>
            <w:tcW w:w="3575" w:type="dxa"/>
            <w:shd w:val="clear" w:color="auto" w:fill="auto"/>
            <w:vAlign w:val="center"/>
          </w:tcPr>
          <w:p w14:paraId="42462E3E" w14:textId="77777777" w:rsidR="00320EF7" w:rsidRPr="00D52372" w:rsidRDefault="00320EF7" w:rsidP="00320EF7">
            <w:pPr>
              <w:tabs>
                <w:tab w:val="left" w:pos="318"/>
              </w:tabs>
              <w:rPr>
                <w:rFonts w:ascii="Tahoma" w:hAnsi="Tahoma" w:cs="Tahoma"/>
                <w:sz w:val="18"/>
                <w:szCs w:val="18"/>
              </w:rPr>
            </w:pPr>
            <w:r w:rsidRPr="00D52372">
              <w:rPr>
                <w:rFonts w:ascii="Tahoma" w:hAnsi="Tahoma" w:cs="Tahoma"/>
                <w:sz w:val="18"/>
                <w:szCs w:val="18"/>
              </w:rPr>
              <w:t>Паспорт гражданина РФ, Заявление Заемщика, содержащее просьбу об изменении установленных Сторонами в Кредитном договоре условий (по форме Банка).</w:t>
            </w:r>
          </w:p>
        </w:tc>
      </w:tr>
      <w:tr w:rsidR="00320EF7" w:rsidRPr="00D52372" w14:paraId="1E5237A4" w14:textId="77777777" w:rsidTr="00320EF7">
        <w:trPr>
          <w:trHeight w:val="357"/>
        </w:trPr>
        <w:tc>
          <w:tcPr>
            <w:tcW w:w="2834" w:type="dxa"/>
          </w:tcPr>
          <w:p w14:paraId="6773E91C" w14:textId="77777777" w:rsidR="00320EF7" w:rsidRPr="007D7900" w:rsidRDefault="00320EF7" w:rsidP="00320EF7">
            <w:pPr>
              <w:rPr>
                <w:rFonts w:ascii="Tahoma" w:hAnsi="Tahoma" w:cs="Tahoma"/>
                <w:b/>
                <w:sz w:val="18"/>
                <w:szCs w:val="18"/>
              </w:rPr>
            </w:pPr>
            <w:r w:rsidRPr="007D7900">
              <w:rPr>
                <w:rFonts w:ascii="Tahoma" w:hAnsi="Tahoma" w:cs="Tahoma"/>
                <w:b/>
                <w:sz w:val="18"/>
                <w:szCs w:val="18"/>
              </w:rPr>
              <w:t>Перечень документации, оформляемой для подписания с Заемщиком</w:t>
            </w:r>
          </w:p>
        </w:tc>
        <w:tc>
          <w:tcPr>
            <w:tcW w:w="13184" w:type="dxa"/>
            <w:gridSpan w:val="6"/>
            <w:shd w:val="clear" w:color="auto" w:fill="auto"/>
            <w:vAlign w:val="center"/>
          </w:tcPr>
          <w:p w14:paraId="64C2C025" w14:textId="77777777" w:rsidR="00320EF7" w:rsidRPr="00D52372" w:rsidRDefault="00320EF7" w:rsidP="00320EF7">
            <w:pPr>
              <w:tabs>
                <w:tab w:val="left" w:pos="318"/>
              </w:tabs>
              <w:rPr>
                <w:rFonts w:ascii="Tahoma" w:hAnsi="Tahoma" w:cs="Tahoma"/>
                <w:sz w:val="18"/>
                <w:szCs w:val="18"/>
              </w:rPr>
            </w:pPr>
            <w:r w:rsidRPr="00D52372">
              <w:rPr>
                <w:rFonts w:ascii="Tahoma" w:hAnsi="Tahoma" w:cs="Tahoma"/>
                <w:sz w:val="18"/>
                <w:szCs w:val="18"/>
              </w:rPr>
              <w:t>Дополнительное соглашение к кредитно-обеспечительной документации; заявление Заемщика; приходно-кассовый ордер, подтверждающий оплату услуги.</w:t>
            </w:r>
          </w:p>
        </w:tc>
      </w:tr>
      <w:tr w:rsidR="00320EF7" w:rsidRPr="00D52372" w14:paraId="5D48F7AF" w14:textId="77777777" w:rsidTr="00320EF7">
        <w:trPr>
          <w:trHeight w:val="357"/>
        </w:trPr>
        <w:tc>
          <w:tcPr>
            <w:tcW w:w="2834" w:type="dxa"/>
          </w:tcPr>
          <w:p w14:paraId="532D4D24" w14:textId="77777777" w:rsidR="00320EF7" w:rsidRPr="007D7900" w:rsidRDefault="00320EF7" w:rsidP="00320EF7">
            <w:pPr>
              <w:rPr>
                <w:rFonts w:ascii="Tahoma" w:hAnsi="Tahoma" w:cs="Tahoma"/>
                <w:b/>
                <w:sz w:val="18"/>
                <w:szCs w:val="18"/>
              </w:rPr>
            </w:pPr>
            <w:r w:rsidRPr="007D7900">
              <w:rPr>
                <w:rFonts w:ascii="Tahoma" w:hAnsi="Tahoma" w:cs="Tahoma"/>
                <w:b/>
                <w:sz w:val="18"/>
                <w:szCs w:val="18"/>
              </w:rPr>
              <w:t>Термины, употребляемые в настоящем документе</w:t>
            </w:r>
          </w:p>
        </w:tc>
        <w:tc>
          <w:tcPr>
            <w:tcW w:w="13184" w:type="dxa"/>
            <w:gridSpan w:val="6"/>
            <w:shd w:val="clear" w:color="auto" w:fill="auto"/>
            <w:vAlign w:val="center"/>
          </w:tcPr>
          <w:p w14:paraId="0BF5519F" w14:textId="77777777" w:rsidR="00320EF7" w:rsidRPr="00D52372" w:rsidRDefault="00320EF7" w:rsidP="00320EF7">
            <w:pPr>
              <w:tabs>
                <w:tab w:val="left" w:pos="318"/>
              </w:tabs>
              <w:rPr>
                <w:rFonts w:ascii="Tahoma" w:hAnsi="Tahoma" w:cs="Tahoma"/>
                <w:sz w:val="18"/>
                <w:szCs w:val="18"/>
              </w:rPr>
            </w:pPr>
            <w:r w:rsidRPr="00D52372">
              <w:rPr>
                <w:rFonts w:ascii="Tahoma" w:hAnsi="Tahoma" w:cs="Tahoma"/>
                <w:bCs/>
                <w:iCs/>
                <w:sz w:val="18"/>
                <w:szCs w:val="18"/>
              </w:rPr>
              <w:t xml:space="preserve">Термины в настоящем документе применяются в значении, которое дано в действующей редакции Универсального договора банковского обслуживания физических лиц «Азиатско-Тихоокеанский Банк» (АО)», размещенного в местах приема Заявлений и на Сайте Банка: </w:t>
            </w:r>
            <w:hyperlink r:id="rId35" w:history="1">
              <w:r w:rsidRPr="00D52372">
                <w:rPr>
                  <w:rStyle w:val="aff"/>
                  <w:rFonts w:ascii="Tahoma" w:hAnsi="Tahoma" w:cs="Tahoma"/>
                  <w:iCs/>
                  <w:sz w:val="18"/>
                  <w:szCs w:val="18"/>
                  <w:lang w:val="en-US"/>
                </w:rPr>
                <w:t>www</w:t>
              </w:r>
              <w:r w:rsidRPr="00D52372">
                <w:rPr>
                  <w:rStyle w:val="aff"/>
                  <w:rFonts w:ascii="Tahoma" w:hAnsi="Tahoma" w:cs="Tahoma"/>
                  <w:iCs/>
                  <w:sz w:val="18"/>
                  <w:szCs w:val="18"/>
                </w:rPr>
                <w:t>.</w:t>
              </w:r>
              <w:r w:rsidRPr="00D52372">
                <w:rPr>
                  <w:rStyle w:val="aff"/>
                  <w:rFonts w:ascii="Tahoma" w:hAnsi="Tahoma" w:cs="Tahoma"/>
                  <w:iCs/>
                  <w:sz w:val="18"/>
                  <w:szCs w:val="18"/>
                  <w:lang w:val="en-US"/>
                </w:rPr>
                <w:t>atb</w:t>
              </w:r>
              <w:r w:rsidRPr="00D52372">
                <w:rPr>
                  <w:rStyle w:val="aff"/>
                  <w:rFonts w:ascii="Tahoma" w:hAnsi="Tahoma" w:cs="Tahoma"/>
                  <w:iCs/>
                  <w:sz w:val="18"/>
                  <w:szCs w:val="18"/>
                </w:rPr>
                <w:t>.</w:t>
              </w:r>
              <w:r w:rsidRPr="00D52372">
                <w:rPr>
                  <w:rStyle w:val="aff"/>
                  <w:rFonts w:ascii="Tahoma" w:hAnsi="Tahoma" w:cs="Tahoma"/>
                  <w:iCs/>
                  <w:sz w:val="18"/>
                  <w:szCs w:val="18"/>
                  <w:lang w:val="en-US"/>
                </w:rPr>
                <w:t>su</w:t>
              </w:r>
            </w:hyperlink>
            <w:r w:rsidRPr="00D52372">
              <w:rPr>
                <w:rFonts w:ascii="Tahoma" w:hAnsi="Tahoma" w:cs="Tahoma"/>
                <w:sz w:val="18"/>
                <w:szCs w:val="18"/>
              </w:rPr>
              <w:t>,</w:t>
            </w:r>
            <w:r w:rsidRPr="00D52372">
              <w:rPr>
                <w:rFonts w:ascii="Tahoma" w:hAnsi="Tahoma" w:cs="Tahoma"/>
                <w:bCs/>
                <w:iCs/>
                <w:sz w:val="18"/>
                <w:szCs w:val="18"/>
              </w:rPr>
              <w:t xml:space="preserve"> если иное прямо не указано в настоящем документе</w:t>
            </w:r>
            <w:r>
              <w:rPr>
                <w:rFonts w:ascii="Tahoma" w:hAnsi="Tahoma" w:cs="Tahoma"/>
                <w:bCs/>
                <w:iCs/>
                <w:sz w:val="18"/>
                <w:szCs w:val="18"/>
              </w:rPr>
              <w:t>.</w:t>
            </w:r>
          </w:p>
        </w:tc>
      </w:tr>
    </w:tbl>
    <w:p w14:paraId="5352D3E2" w14:textId="77777777" w:rsidR="00320EF7" w:rsidRDefault="00320EF7" w:rsidP="00320EF7">
      <w:pPr>
        <w:ind w:left="-426"/>
        <w:jc w:val="both"/>
        <w:rPr>
          <w:rFonts w:ascii="Tahoma" w:hAnsi="Tahoma" w:cs="Tahoma"/>
          <w:color w:val="FF0000"/>
          <w:sz w:val="20"/>
          <w:szCs w:val="20"/>
        </w:rPr>
      </w:pPr>
    </w:p>
    <w:p w14:paraId="2B9760BE" w14:textId="77777777" w:rsidR="00320EF7" w:rsidRPr="005A0420" w:rsidRDefault="00320EF7" w:rsidP="006D3ED5">
      <w:pPr>
        <w:pStyle w:val="affe"/>
        <w:numPr>
          <w:ilvl w:val="0"/>
          <w:numId w:val="76"/>
        </w:numPr>
        <w:ind w:left="-284" w:right="-739" w:firstLine="0"/>
        <w:contextualSpacing/>
        <w:jc w:val="both"/>
        <w:rPr>
          <w:rFonts w:ascii="Tahoma" w:hAnsi="Tahoma" w:cs="Tahoma"/>
          <w:color w:val="FF0000"/>
          <w:sz w:val="20"/>
        </w:rPr>
      </w:pPr>
      <w:r w:rsidRPr="005A0420">
        <w:rPr>
          <w:rFonts w:ascii="Tahoma" w:hAnsi="Tahoma" w:cs="Tahoma"/>
          <w:color w:val="FF0000"/>
          <w:sz w:val="20"/>
        </w:rPr>
        <w:t xml:space="preserve">- </w:t>
      </w:r>
      <w:r w:rsidRPr="005A0420">
        <w:rPr>
          <w:rFonts w:ascii="Tahoma" w:hAnsi="Tahoma" w:cs="Tahoma"/>
          <w:sz w:val="20"/>
        </w:rPr>
        <w:t>Для тарифного плана Банка «Лайт 9» максимальный срок возврата Кредита с момента его заключения, с учетом увеличения срока возврата Кредита, при применении данной услуги не должен превышать 15 месяцев.</w:t>
      </w:r>
    </w:p>
    <w:p w14:paraId="6967121E" w14:textId="77777777" w:rsidR="00320EF7" w:rsidRPr="005A0420" w:rsidRDefault="00320EF7" w:rsidP="006D3ED5">
      <w:pPr>
        <w:pStyle w:val="affe"/>
        <w:numPr>
          <w:ilvl w:val="0"/>
          <w:numId w:val="76"/>
        </w:numPr>
        <w:ind w:left="-284" w:right="-739" w:firstLine="0"/>
        <w:contextualSpacing/>
        <w:jc w:val="both"/>
        <w:rPr>
          <w:rFonts w:ascii="Tahoma" w:hAnsi="Tahoma" w:cs="Tahoma"/>
          <w:color w:val="000000"/>
          <w:sz w:val="20"/>
        </w:rPr>
      </w:pPr>
      <w:r w:rsidRPr="005A0420">
        <w:rPr>
          <w:rFonts w:ascii="Tahoma" w:hAnsi="Tahoma" w:cs="Tahoma"/>
          <w:color w:val="FF0000"/>
          <w:sz w:val="20"/>
        </w:rPr>
        <w:lastRenderedPageBreak/>
        <w:t xml:space="preserve">- </w:t>
      </w:r>
      <w:r w:rsidRPr="005A0420">
        <w:rPr>
          <w:rFonts w:ascii="Tahoma" w:hAnsi="Tahoma" w:cs="Tahoma"/>
          <w:color w:val="000000"/>
          <w:sz w:val="20"/>
        </w:rPr>
        <w:t>Кредитные договоры, оформленные по тарифным планам Банка: «Пакет услуг зарплатный», «Неотложные нужды», «Сделай 9», «Заплати после праздников», «Кредитная линия – Платинум», «Кредитная линия: – Премиум», «Кредитная линия - Супер ID», «Кредитная линия - Коллеги индивидуальная», «Кредитная линия - Личный бюджет индивидуальная», «Кредитная линия - Оптима индивидуальная», «Кредитная линия - Платинум индивидуальная », «Кредитная линия - Премиум индивидуальная », «Кредитная линия - Супер индивидуальная », «Кредитная линия-Коллеги-Петропавловск индивидуальная », «Социальная карта», «Кредитная линия - Премиальный индивидуальный », «Кредитная линия - Элитный индивидуальная », «Кредитная линия - Морская капуста+», «Кредитная линия - Подарочный», «Кредитная линия с лимитом задолженности», «Обратный выкуп (кред.линия)», «Кредитная линия», «Пакет "Зарплатный"», «Доступный плюс», «Пакет "Вкладчик"», «Кошелёк», «10 000 Кошелёк», «Абсолютный ноль».</w:t>
      </w:r>
    </w:p>
    <w:p w14:paraId="322EF279" w14:textId="77777777" w:rsidR="00320EF7" w:rsidRPr="005A0420" w:rsidRDefault="00320EF7" w:rsidP="006D3ED5">
      <w:pPr>
        <w:pStyle w:val="affe"/>
        <w:numPr>
          <w:ilvl w:val="0"/>
          <w:numId w:val="76"/>
        </w:numPr>
        <w:ind w:left="-284" w:right="-739" w:firstLine="0"/>
        <w:contextualSpacing/>
        <w:jc w:val="both"/>
        <w:rPr>
          <w:rFonts w:ascii="Tahoma" w:hAnsi="Tahoma" w:cs="Tahoma"/>
          <w:color w:val="FF0000"/>
          <w:sz w:val="20"/>
        </w:rPr>
      </w:pPr>
      <w:r w:rsidRPr="005A0420">
        <w:rPr>
          <w:rFonts w:ascii="Tahoma" w:hAnsi="Tahoma" w:cs="Tahoma"/>
          <w:sz w:val="20"/>
        </w:rPr>
        <w:t>- уплачивается Заемщиком при его обращении в Банк за услугой/услугами единовременно до оказания услуги</w:t>
      </w:r>
      <w:r w:rsidRPr="005A0420">
        <w:rPr>
          <w:rFonts w:ascii="Tahoma" w:hAnsi="Tahoma" w:cs="Tahoma"/>
          <w:sz w:val="20"/>
          <w:vertAlign w:val="superscript"/>
        </w:rPr>
        <w:t>/</w:t>
      </w:r>
      <w:r w:rsidRPr="005A0420">
        <w:rPr>
          <w:rFonts w:ascii="Tahoma" w:hAnsi="Tahoma" w:cs="Tahoma"/>
          <w:sz w:val="20"/>
        </w:rPr>
        <w:t>услуг, изменения первоначальных условий Кредитного договора в рамках одного заявления (оплата взимается Банком отдельно по каждому заявлению Заемщика; в одном заявлении Заемщик может указать одну услугу или несколько услуг).</w:t>
      </w:r>
    </w:p>
    <w:p w14:paraId="4E18E32C" w14:textId="77777777" w:rsidR="00320EF7" w:rsidRDefault="00320EF7" w:rsidP="00320EF7">
      <w:pPr>
        <w:ind w:left="-284" w:right="-737"/>
        <w:jc w:val="both"/>
        <w:rPr>
          <w:rFonts w:ascii="Tahoma" w:hAnsi="Tahoma" w:cs="Tahoma"/>
        </w:rPr>
      </w:pPr>
      <w:r w:rsidRPr="003E483F">
        <w:rPr>
          <w:rFonts w:ascii="Tahoma" w:hAnsi="Tahoma" w:cs="Tahoma"/>
        </w:rPr>
        <w:t>*</w:t>
      </w:r>
      <w:r>
        <w:rPr>
          <w:rFonts w:ascii="Tahoma" w:hAnsi="Tahoma" w:cs="Tahoma"/>
        </w:rPr>
        <w:t xml:space="preserve"> </w:t>
      </w:r>
      <w:r w:rsidRPr="003E483F">
        <w:rPr>
          <w:rFonts w:ascii="Tahoma" w:hAnsi="Tahoma" w:cs="Tahoma"/>
        </w:rPr>
        <w:t xml:space="preserve">- </w:t>
      </w:r>
      <w:r w:rsidRPr="003E483F">
        <w:rPr>
          <w:rFonts w:ascii="Tahoma" w:hAnsi="Tahoma" w:cs="Tahoma"/>
          <w:sz w:val="20"/>
          <w:szCs w:val="20"/>
        </w:rPr>
        <w:t>Изменения кредитных обязательств в соответствии с требованиями законодательства РФ, в том числе вводимых в связи распространением коронавирусной инфекции (COVID-19), осуществляются в порядке, предусмотренном соответствующими нормативными документами.</w:t>
      </w:r>
    </w:p>
    <w:p w14:paraId="2BCFF94F" w14:textId="77777777" w:rsidR="00320EF7" w:rsidRPr="00D52372" w:rsidRDefault="00320EF7" w:rsidP="00320EF7">
      <w:pPr>
        <w:ind w:left="-284" w:right="-737"/>
        <w:jc w:val="both"/>
        <w:rPr>
          <w:rFonts w:ascii="Tahoma" w:hAnsi="Tahoma" w:cs="Tahoma"/>
        </w:rPr>
      </w:pPr>
      <w:r>
        <w:rPr>
          <w:rFonts w:ascii="Tahoma" w:hAnsi="Tahoma" w:cs="Tahoma"/>
        </w:rPr>
        <w:t xml:space="preserve">** </w:t>
      </w:r>
      <w:r w:rsidRPr="00D52372">
        <w:rPr>
          <w:rFonts w:ascii="Tahoma" w:hAnsi="Tahoma" w:cs="Tahoma"/>
          <w:sz w:val="20"/>
          <w:szCs w:val="20"/>
        </w:rPr>
        <w:t>- К документам, подтверждающим ухудшение финансового положения, относятся:</w:t>
      </w:r>
    </w:p>
    <w:p w14:paraId="649C1BDF" w14:textId="77777777" w:rsidR="00320EF7" w:rsidRPr="00D52372" w:rsidRDefault="00320EF7" w:rsidP="00320EF7">
      <w:pPr>
        <w:ind w:left="284" w:right="-737"/>
        <w:contextualSpacing/>
        <w:jc w:val="both"/>
        <w:rPr>
          <w:rFonts w:ascii="Tahoma" w:hAnsi="Tahoma" w:cs="Tahoma"/>
          <w:sz w:val="20"/>
          <w:szCs w:val="20"/>
        </w:rPr>
      </w:pPr>
      <w:r w:rsidRPr="00D52372">
        <w:rPr>
          <w:rFonts w:ascii="Tahoma" w:hAnsi="Tahoma" w:cs="Tahoma"/>
          <w:sz w:val="20"/>
          <w:szCs w:val="20"/>
        </w:rPr>
        <w:t xml:space="preserve">• справка с места работы о нахождении в отпуске по уходу за ребенком / свидетельство о рождении ребенка; </w:t>
      </w:r>
    </w:p>
    <w:p w14:paraId="53E6217D" w14:textId="77777777" w:rsidR="00320EF7" w:rsidRPr="00D52372" w:rsidRDefault="00320EF7" w:rsidP="00320EF7">
      <w:pPr>
        <w:ind w:left="284" w:right="-737"/>
        <w:contextualSpacing/>
        <w:jc w:val="both"/>
        <w:rPr>
          <w:rFonts w:ascii="Tahoma" w:hAnsi="Tahoma" w:cs="Tahoma"/>
          <w:sz w:val="20"/>
          <w:szCs w:val="20"/>
        </w:rPr>
      </w:pPr>
      <w:r w:rsidRPr="00D52372">
        <w:rPr>
          <w:rFonts w:ascii="Tahoma" w:hAnsi="Tahoma" w:cs="Tahoma"/>
          <w:sz w:val="20"/>
          <w:szCs w:val="20"/>
        </w:rPr>
        <w:t xml:space="preserve">• справка о снижении доходов по форме работодателя/ Справка </w:t>
      </w:r>
      <w:r w:rsidRPr="002252ED">
        <w:rPr>
          <w:rFonts w:ascii="Tahoma" w:hAnsi="Tahoma" w:cs="Tahoma"/>
          <w:sz w:val="20"/>
          <w:szCs w:val="20"/>
        </w:rPr>
        <w:t xml:space="preserve">Справка о доходах и суммах налога физического лица </w:t>
      </w:r>
      <w:r w:rsidRPr="00D52372">
        <w:rPr>
          <w:rFonts w:ascii="Tahoma" w:hAnsi="Tahoma" w:cs="Tahoma"/>
          <w:sz w:val="20"/>
          <w:szCs w:val="20"/>
        </w:rPr>
        <w:t xml:space="preserve">, в которой отражено снижение доходов, справка о нахождении в отпуске без содержания – по Заёмщику либо его супругу; </w:t>
      </w:r>
    </w:p>
    <w:p w14:paraId="3E9F8C55" w14:textId="77777777" w:rsidR="00320EF7" w:rsidRPr="00D52372" w:rsidRDefault="00320EF7" w:rsidP="00320EF7">
      <w:pPr>
        <w:ind w:left="284" w:right="-737"/>
        <w:contextualSpacing/>
        <w:jc w:val="both"/>
        <w:rPr>
          <w:rFonts w:ascii="Tahoma" w:hAnsi="Tahoma" w:cs="Tahoma"/>
          <w:sz w:val="20"/>
          <w:szCs w:val="20"/>
        </w:rPr>
      </w:pPr>
      <w:r w:rsidRPr="00D52372">
        <w:rPr>
          <w:rFonts w:ascii="Tahoma" w:hAnsi="Tahoma" w:cs="Tahoma"/>
          <w:sz w:val="20"/>
          <w:szCs w:val="20"/>
        </w:rPr>
        <w:t xml:space="preserve">• копия уведомления о предстоящем сокращении, заверенная работодателем; </w:t>
      </w:r>
    </w:p>
    <w:p w14:paraId="09D75D24" w14:textId="77777777" w:rsidR="00320EF7" w:rsidRPr="00D52372" w:rsidRDefault="00320EF7" w:rsidP="00320EF7">
      <w:pPr>
        <w:ind w:left="284" w:right="-737"/>
        <w:contextualSpacing/>
        <w:jc w:val="both"/>
        <w:rPr>
          <w:rFonts w:ascii="Tahoma" w:hAnsi="Tahoma" w:cs="Tahoma"/>
          <w:sz w:val="20"/>
          <w:szCs w:val="20"/>
        </w:rPr>
      </w:pPr>
      <w:r w:rsidRPr="00D52372">
        <w:rPr>
          <w:rFonts w:ascii="Tahoma" w:hAnsi="Tahoma" w:cs="Tahoma"/>
          <w:sz w:val="20"/>
          <w:szCs w:val="20"/>
        </w:rPr>
        <w:t xml:space="preserve">• трудовая книжка (оригинал/электронная трудовая книжка); приказ об увольнении; справка из центра занятости о статусе безработного; </w:t>
      </w:r>
    </w:p>
    <w:p w14:paraId="261CF3C3" w14:textId="77777777" w:rsidR="00320EF7" w:rsidRPr="00D52372" w:rsidRDefault="00320EF7" w:rsidP="00320EF7">
      <w:pPr>
        <w:ind w:left="284" w:right="-737"/>
        <w:contextualSpacing/>
        <w:jc w:val="both"/>
        <w:rPr>
          <w:rFonts w:ascii="Tahoma" w:hAnsi="Tahoma" w:cs="Tahoma"/>
          <w:sz w:val="20"/>
          <w:szCs w:val="20"/>
        </w:rPr>
      </w:pPr>
      <w:r w:rsidRPr="00D52372">
        <w:rPr>
          <w:rFonts w:ascii="Tahoma" w:hAnsi="Tahoma" w:cs="Tahoma"/>
          <w:sz w:val="20"/>
          <w:szCs w:val="20"/>
        </w:rPr>
        <w:t xml:space="preserve">• справка из медицинского учреждения, подтверждающая диагноз (эпикриз) /нахождение на длительном стационарном лечении/операции (в т.ч. ребенка, супруга), листок нетрудоспособности (больничный лист); </w:t>
      </w:r>
    </w:p>
    <w:p w14:paraId="3FC056D5" w14:textId="77777777" w:rsidR="00320EF7" w:rsidRPr="00D52372" w:rsidRDefault="00320EF7" w:rsidP="00320EF7">
      <w:pPr>
        <w:ind w:left="284" w:right="-737"/>
        <w:contextualSpacing/>
        <w:jc w:val="both"/>
        <w:rPr>
          <w:rFonts w:ascii="Tahoma" w:hAnsi="Tahoma" w:cs="Tahoma"/>
          <w:sz w:val="20"/>
          <w:szCs w:val="20"/>
        </w:rPr>
      </w:pPr>
      <w:r w:rsidRPr="00D52372">
        <w:rPr>
          <w:rFonts w:ascii="Tahoma" w:hAnsi="Tahoma" w:cs="Tahoma"/>
          <w:sz w:val="20"/>
          <w:szCs w:val="20"/>
        </w:rPr>
        <w:t xml:space="preserve">• свидетельство о смерти супруга/ребенка; </w:t>
      </w:r>
    </w:p>
    <w:p w14:paraId="50CFFECC" w14:textId="77777777" w:rsidR="00320EF7" w:rsidRPr="00D52372" w:rsidRDefault="00320EF7" w:rsidP="00320EF7">
      <w:pPr>
        <w:ind w:left="284" w:right="-737"/>
        <w:contextualSpacing/>
        <w:jc w:val="both"/>
        <w:rPr>
          <w:rFonts w:ascii="Tahoma" w:hAnsi="Tahoma" w:cs="Tahoma"/>
          <w:sz w:val="20"/>
          <w:szCs w:val="20"/>
        </w:rPr>
      </w:pPr>
      <w:r w:rsidRPr="00D52372">
        <w:rPr>
          <w:rFonts w:ascii="Tahoma" w:hAnsi="Tahoma" w:cs="Tahoma"/>
          <w:sz w:val="20"/>
          <w:szCs w:val="20"/>
        </w:rPr>
        <w:t xml:space="preserve">• документ/акт осмотра, подтверждающий возникновение чрезвычайной ситуации (полного или частичного затопления/подтопления квартиры/дома, частичного или полного обрушения дома/квартиры не пригодного для проживания, пожара, возникшего в квартире/доме) по месту прописки Заёмщика, либо по недвижимости, принадлежащей Заёмщику на праве собственности. </w:t>
      </w:r>
    </w:p>
    <w:p w14:paraId="566EB4A5" w14:textId="77777777" w:rsidR="00320EF7" w:rsidRDefault="00320EF7" w:rsidP="00320EF7">
      <w:pPr>
        <w:ind w:left="284" w:right="-737"/>
        <w:contextualSpacing/>
        <w:jc w:val="both"/>
        <w:rPr>
          <w:rFonts w:ascii="Tahoma" w:hAnsi="Tahoma" w:cs="Tahoma"/>
          <w:color w:val="FF0000"/>
          <w:sz w:val="20"/>
          <w:szCs w:val="20"/>
        </w:rPr>
      </w:pPr>
    </w:p>
    <w:p w14:paraId="7015044A" w14:textId="77777777" w:rsidR="00320EF7" w:rsidRPr="00A77B86" w:rsidRDefault="00320EF7" w:rsidP="00320EF7">
      <w:pPr>
        <w:ind w:right="-737"/>
        <w:contextualSpacing/>
        <w:jc w:val="both"/>
        <w:rPr>
          <w:rFonts w:ascii="Tahoma" w:hAnsi="Tahoma" w:cs="Tahoma"/>
          <w:color w:val="FF0000"/>
          <w:sz w:val="20"/>
          <w:szCs w:val="20"/>
        </w:rPr>
      </w:pPr>
      <w:r>
        <w:rPr>
          <w:rFonts w:ascii="Tahoma" w:hAnsi="Tahoma" w:cs="Tahoma"/>
          <w:color w:val="000000"/>
          <w:sz w:val="20"/>
          <w:szCs w:val="20"/>
        </w:rPr>
        <w:t>*** -</w:t>
      </w:r>
      <w:r w:rsidRPr="00824606">
        <w:rPr>
          <w:rFonts w:ascii="Tahoma" w:hAnsi="Tahoma" w:cs="Tahoma"/>
          <w:color w:val="000000"/>
          <w:sz w:val="20"/>
          <w:szCs w:val="20"/>
        </w:rPr>
        <w:t>«Примечание: Требование За</w:t>
      </w:r>
      <w:r>
        <w:rPr>
          <w:rFonts w:ascii="Tahoma" w:hAnsi="Tahoma" w:cs="Tahoma"/>
          <w:color w:val="000000"/>
          <w:sz w:val="20"/>
          <w:szCs w:val="20"/>
        </w:rPr>
        <w:t>ё</w:t>
      </w:r>
      <w:r w:rsidRPr="00824606">
        <w:rPr>
          <w:rFonts w:ascii="Tahoma" w:hAnsi="Tahoma" w:cs="Tahoma"/>
          <w:color w:val="000000"/>
          <w:sz w:val="20"/>
          <w:szCs w:val="20"/>
        </w:rPr>
        <w:t>мщика-физического лица об изменении условий Кредитного договора, заключенного в целях, не связанных с осуществлением им предпринимательской деятельности, обязательства по которому обеспечены ипотекой, соответствующее условиям ст. 6.1-1. Федерального закона от 21.12.2013 N 353-ФЗ "О потребительском кредите (займе)", удовлетворяется Банком без взимания комиссионного вознаграждения».</w:t>
      </w:r>
    </w:p>
    <w:p w14:paraId="71528FBA" w14:textId="77777777" w:rsidR="00320EF7" w:rsidRPr="0036588F" w:rsidRDefault="00320EF7" w:rsidP="00320EF7">
      <w:pPr>
        <w:tabs>
          <w:tab w:val="left" w:pos="3240"/>
        </w:tabs>
        <w:jc w:val="both"/>
        <w:rPr>
          <w:rFonts w:ascii="Tahoma" w:hAnsi="Tahoma" w:cs="Tahoma"/>
          <w:b/>
          <w:i/>
          <w:color w:val="E36C0A"/>
          <w:sz w:val="20"/>
          <w:szCs w:val="22"/>
        </w:rPr>
      </w:pPr>
    </w:p>
    <w:p w14:paraId="0760D4B9" w14:textId="77777777" w:rsidR="00320EF7" w:rsidRPr="0036588F" w:rsidRDefault="00320EF7" w:rsidP="00320EF7">
      <w:pPr>
        <w:tabs>
          <w:tab w:val="left" w:pos="3240"/>
        </w:tabs>
        <w:jc w:val="both"/>
        <w:rPr>
          <w:rFonts w:ascii="Tahoma" w:hAnsi="Tahoma" w:cs="Tahoma"/>
          <w:b/>
          <w:i/>
          <w:color w:val="E36C0A"/>
          <w:sz w:val="20"/>
          <w:szCs w:val="22"/>
        </w:rPr>
      </w:pPr>
    </w:p>
    <w:p w14:paraId="28CD8451" w14:textId="6F4E9D76" w:rsidR="00320EF7" w:rsidRPr="0036588F" w:rsidRDefault="00F14C49" w:rsidP="000B3718">
      <w:pPr>
        <w:pStyle w:val="a5"/>
      </w:pPr>
      <w:r>
        <w:t>2.2.5</w:t>
      </w:r>
      <w:r w:rsidR="00320EF7" w:rsidRPr="0036588F">
        <w:t>. Тарифный план «Изменение условий кредитного договора по волеизъявлению заемщика, по ипотечным дог</w:t>
      </w:r>
      <w:r w:rsidR="00320EF7">
        <w:t>оворам» *,**,***,</w:t>
      </w:r>
      <w:r w:rsidR="00320EF7" w:rsidRPr="0036588F">
        <w:t>****</w:t>
      </w:r>
    </w:p>
    <w:p w14:paraId="6F59D95C" w14:textId="77777777" w:rsidR="00320EF7" w:rsidRPr="0036588F" w:rsidRDefault="00320EF7" w:rsidP="00320EF7">
      <w:pPr>
        <w:tabs>
          <w:tab w:val="left" w:pos="3240"/>
        </w:tabs>
        <w:jc w:val="both"/>
        <w:rPr>
          <w:rFonts w:ascii="Tahoma" w:hAnsi="Tahoma" w:cs="Tahoma"/>
          <w:b/>
          <w:i/>
          <w:color w:val="E36C0A"/>
          <w:sz w:val="20"/>
          <w:szCs w:val="22"/>
        </w:rPr>
      </w:pPr>
    </w:p>
    <w:tbl>
      <w:tblPr>
        <w:tblStyle w:val="aff0"/>
        <w:tblW w:w="16019" w:type="dxa"/>
        <w:tblInd w:w="-318" w:type="dxa"/>
        <w:tblLook w:val="04A0" w:firstRow="1" w:lastRow="0" w:firstColumn="1" w:lastColumn="0" w:noHBand="0" w:noVBand="1"/>
      </w:tblPr>
      <w:tblGrid>
        <w:gridCol w:w="3828"/>
        <w:gridCol w:w="12191"/>
      </w:tblGrid>
      <w:tr w:rsidR="00320EF7" w:rsidRPr="0036588F" w14:paraId="3663011E" w14:textId="77777777" w:rsidTr="006D2FA8">
        <w:trPr>
          <w:trHeight w:val="231"/>
        </w:trPr>
        <w:tc>
          <w:tcPr>
            <w:tcW w:w="3828" w:type="dxa"/>
            <w:vAlign w:val="center"/>
          </w:tcPr>
          <w:p w14:paraId="64F498A1" w14:textId="77777777" w:rsidR="00320EF7" w:rsidRPr="0036588F" w:rsidRDefault="00320EF7" w:rsidP="006D2FA8">
            <w:pPr>
              <w:ind w:left="-108" w:right="-108"/>
              <w:jc w:val="center"/>
              <w:rPr>
                <w:rFonts w:ascii="Tahoma" w:hAnsi="Tahoma" w:cs="Tahoma"/>
                <w:b/>
                <w:sz w:val="19"/>
                <w:szCs w:val="19"/>
              </w:rPr>
            </w:pPr>
            <w:r w:rsidRPr="0036588F">
              <w:rPr>
                <w:rFonts w:ascii="Tahoma" w:hAnsi="Tahoma" w:cs="Tahoma"/>
                <w:b/>
                <w:sz w:val="19"/>
                <w:szCs w:val="19"/>
              </w:rPr>
              <w:t>Наименование продукта/услуги</w:t>
            </w:r>
          </w:p>
        </w:tc>
        <w:tc>
          <w:tcPr>
            <w:tcW w:w="12191" w:type="dxa"/>
            <w:vAlign w:val="center"/>
          </w:tcPr>
          <w:p w14:paraId="16903C38" w14:textId="77777777" w:rsidR="00320EF7" w:rsidRPr="0036588F" w:rsidRDefault="00320EF7" w:rsidP="006D2FA8">
            <w:pPr>
              <w:jc w:val="center"/>
              <w:rPr>
                <w:rFonts w:ascii="Tahoma" w:hAnsi="Tahoma" w:cs="Tahoma"/>
                <w:b/>
                <w:sz w:val="19"/>
                <w:szCs w:val="19"/>
              </w:rPr>
            </w:pPr>
            <w:r w:rsidRPr="0036588F">
              <w:rPr>
                <w:rFonts w:ascii="Tahoma" w:hAnsi="Tahoma" w:cs="Tahoma"/>
                <w:b/>
                <w:sz w:val="19"/>
                <w:szCs w:val="19"/>
              </w:rPr>
              <w:t>«Кредитные каникулы»</w:t>
            </w:r>
          </w:p>
        </w:tc>
      </w:tr>
      <w:tr w:rsidR="00320EF7" w:rsidRPr="0036588F" w14:paraId="4FBC3DFC" w14:textId="77777777" w:rsidTr="006D2FA8">
        <w:trPr>
          <w:trHeight w:val="723"/>
        </w:trPr>
        <w:tc>
          <w:tcPr>
            <w:tcW w:w="3828" w:type="dxa"/>
          </w:tcPr>
          <w:p w14:paraId="0F2EAE66" w14:textId="77777777" w:rsidR="00320EF7" w:rsidRPr="0036588F" w:rsidRDefault="00320EF7" w:rsidP="006D2FA8">
            <w:pPr>
              <w:rPr>
                <w:rFonts w:ascii="Tahoma" w:hAnsi="Tahoma" w:cs="Tahoma"/>
                <w:sz w:val="19"/>
                <w:szCs w:val="19"/>
              </w:rPr>
            </w:pPr>
            <w:r w:rsidRPr="0036588F">
              <w:rPr>
                <w:rFonts w:ascii="Tahoma" w:hAnsi="Tahoma" w:cs="Tahoma"/>
                <w:sz w:val="19"/>
                <w:szCs w:val="19"/>
              </w:rPr>
              <w:t>Описание услуги</w:t>
            </w:r>
          </w:p>
        </w:tc>
        <w:tc>
          <w:tcPr>
            <w:tcW w:w="12191" w:type="dxa"/>
            <w:vAlign w:val="center"/>
          </w:tcPr>
          <w:p w14:paraId="0CE53202" w14:textId="77777777" w:rsidR="00320EF7" w:rsidRPr="0036588F" w:rsidRDefault="00320EF7" w:rsidP="006D2FA8">
            <w:pPr>
              <w:jc w:val="center"/>
              <w:rPr>
                <w:rFonts w:ascii="Tahoma" w:hAnsi="Tahoma" w:cs="Tahoma"/>
                <w:sz w:val="19"/>
                <w:szCs w:val="19"/>
              </w:rPr>
            </w:pPr>
            <w:r w:rsidRPr="0036588F">
              <w:rPr>
                <w:rFonts w:ascii="Tahoma" w:hAnsi="Tahoma" w:cs="Tahoma"/>
                <w:sz w:val="19"/>
                <w:szCs w:val="19"/>
              </w:rPr>
              <w:t>Отсрочка погашения основного долга по Кредиту или основного долга и процентов за пользование Кредитом на срок от 1 до 6 месяцев **</w:t>
            </w:r>
          </w:p>
        </w:tc>
      </w:tr>
      <w:tr w:rsidR="00320EF7" w:rsidRPr="0036588F" w14:paraId="05616426" w14:textId="77777777" w:rsidTr="006D2FA8">
        <w:trPr>
          <w:trHeight w:val="275"/>
        </w:trPr>
        <w:tc>
          <w:tcPr>
            <w:tcW w:w="3828" w:type="dxa"/>
            <w:vMerge w:val="restart"/>
          </w:tcPr>
          <w:p w14:paraId="03A2BC6D" w14:textId="77777777" w:rsidR="00320EF7" w:rsidRPr="0036588F" w:rsidRDefault="00320EF7" w:rsidP="006D2FA8">
            <w:pPr>
              <w:rPr>
                <w:rFonts w:ascii="Tahoma" w:hAnsi="Tahoma" w:cs="Tahoma"/>
                <w:sz w:val="19"/>
                <w:szCs w:val="19"/>
              </w:rPr>
            </w:pPr>
            <w:r w:rsidRPr="0036588F">
              <w:rPr>
                <w:rFonts w:ascii="Tahoma" w:hAnsi="Tahoma" w:cs="Tahoma"/>
                <w:sz w:val="19"/>
                <w:szCs w:val="19"/>
              </w:rPr>
              <w:t xml:space="preserve">Требования </w:t>
            </w:r>
          </w:p>
        </w:tc>
        <w:tc>
          <w:tcPr>
            <w:tcW w:w="12191" w:type="dxa"/>
            <w:tcBorders>
              <w:bottom w:val="single" w:sz="4" w:space="0" w:color="auto"/>
            </w:tcBorders>
            <w:vAlign w:val="center"/>
          </w:tcPr>
          <w:p w14:paraId="152346D7" w14:textId="77777777" w:rsidR="00320EF7" w:rsidRPr="0036588F" w:rsidRDefault="00320EF7" w:rsidP="006D2FA8">
            <w:pPr>
              <w:tabs>
                <w:tab w:val="left" w:pos="317"/>
              </w:tabs>
              <w:jc w:val="center"/>
              <w:rPr>
                <w:rFonts w:ascii="Tahoma" w:hAnsi="Tahoma" w:cs="Tahoma"/>
                <w:sz w:val="19"/>
                <w:szCs w:val="19"/>
              </w:rPr>
            </w:pPr>
            <w:r w:rsidRPr="0036588F">
              <w:rPr>
                <w:rFonts w:ascii="Tahoma" w:hAnsi="Tahoma" w:cs="Tahoma"/>
                <w:sz w:val="19"/>
                <w:szCs w:val="19"/>
              </w:rPr>
              <w:t>1. Размер Кредита, предоставленному по Кредитному договору не превышает 15 млн. руб.</w:t>
            </w:r>
          </w:p>
        </w:tc>
      </w:tr>
      <w:tr w:rsidR="00320EF7" w:rsidRPr="0036588F" w14:paraId="21E7901A" w14:textId="77777777" w:rsidTr="006D2FA8">
        <w:trPr>
          <w:trHeight w:val="450"/>
        </w:trPr>
        <w:tc>
          <w:tcPr>
            <w:tcW w:w="3828" w:type="dxa"/>
            <w:vMerge/>
          </w:tcPr>
          <w:p w14:paraId="044BC892" w14:textId="77777777" w:rsidR="00320EF7" w:rsidRPr="0036588F" w:rsidRDefault="00320EF7" w:rsidP="006D2FA8">
            <w:pPr>
              <w:rPr>
                <w:rFonts w:ascii="Tahoma" w:hAnsi="Tahoma" w:cs="Tahoma"/>
                <w:sz w:val="19"/>
                <w:szCs w:val="19"/>
              </w:rPr>
            </w:pPr>
          </w:p>
        </w:tc>
        <w:tc>
          <w:tcPr>
            <w:tcW w:w="12191" w:type="dxa"/>
            <w:vAlign w:val="center"/>
          </w:tcPr>
          <w:p w14:paraId="6A5A3671" w14:textId="77777777" w:rsidR="00320EF7" w:rsidRPr="0036588F" w:rsidRDefault="00320EF7" w:rsidP="006D2FA8">
            <w:pPr>
              <w:pStyle w:val="affe"/>
              <w:tabs>
                <w:tab w:val="left" w:pos="317"/>
              </w:tabs>
              <w:ind w:left="0"/>
              <w:rPr>
                <w:rFonts w:ascii="Tahoma" w:hAnsi="Tahoma" w:cs="Tahoma"/>
                <w:sz w:val="19"/>
                <w:szCs w:val="19"/>
              </w:rPr>
            </w:pPr>
            <w:r w:rsidRPr="0036588F">
              <w:rPr>
                <w:rFonts w:ascii="Tahoma" w:hAnsi="Tahoma" w:cs="Tahoma"/>
                <w:sz w:val="19"/>
                <w:szCs w:val="19"/>
              </w:rPr>
              <w:t xml:space="preserve">2. Дата начала Льготного периода***** не может отстоять более чем на два месяца, предшествующих обращению Клиента с требованием об этом. </w:t>
            </w:r>
          </w:p>
        </w:tc>
      </w:tr>
      <w:tr w:rsidR="00320EF7" w:rsidRPr="0036588F" w14:paraId="5BF4AD93" w14:textId="77777777" w:rsidTr="006D2FA8">
        <w:trPr>
          <w:trHeight w:val="453"/>
        </w:trPr>
        <w:tc>
          <w:tcPr>
            <w:tcW w:w="3828" w:type="dxa"/>
            <w:vMerge/>
          </w:tcPr>
          <w:p w14:paraId="4B90035F" w14:textId="77777777" w:rsidR="00320EF7" w:rsidRPr="0036588F" w:rsidRDefault="00320EF7" w:rsidP="006D2FA8">
            <w:pPr>
              <w:rPr>
                <w:rFonts w:ascii="Tahoma" w:hAnsi="Tahoma" w:cs="Tahoma"/>
                <w:sz w:val="19"/>
                <w:szCs w:val="19"/>
              </w:rPr>
            </w:pPr>
          </w:p>
        </w:tc>
        <w:tc>
          <w:tcPr>
            <w:tcW w:w="12191" w:type="dxa"/>
            <w:tcBorders>
              <w:bottom w:val="dotted" w:sz="4" w:space="0" w:color="auto"/>
            </w:tcBorders>
            <w:vAlign w:val="center"/>
          </w:tcPr>
          <w:p w14:paraId="6EDE29C0" w14:textId="77777777" w:rsidR="00320EF7" w:rsidRPr="0036588F" w:rsidRDefault="00320EF7" w:rsidP="006D2FA8">
            <w:pPr>
              <w:pStyle w:val="affe"/>
              <w:tabs>
                <w:tab w:val="left" w:pos="317"/>
              </w:tabs>
              <w:ind w:left="0"/>
              <w:rPr>
                <w:rFonts w:ascii="Tahoma" w:hAnsi="Tahoma" w:cs="Tahoma"/>
                <w:sz w:val="19"/>
                <w:szCs w:val="19"/>
              </w:rPr>
            </w:pPr>
            <w:r w:rsidRPr="0036588F">
              <w:rPr>
                <w:rFonts w:ascii="Tahoma" w:hAnsi="Tahoma" w:cs="Tahoma"/>
                <w:sz w:val="19"/>
                <w:szCs w:val="19"/>
              </w:rPr>
              <w:t>3. Не позднее даты подписания дополнительного соглашения к Кредитному договору подписывается дополнительное соглашение к договорам обеспечения.</w:t>
            </w:r>
          </w:p>
        </w:tc>
      </w:tr>
      <w:tr w:rsidR="00320EF7" w:rsidRPr="0036588F" w14:paraId="6E9AFD3E" w14:textId="77777777" w:rsidTr="006D2FA8">
        <w:trPr>
          <w:trHeight w:val="527"/>
        </w:trPr>
        <w:tc>
          <w:tcPr>
            <w:tcW w:w="3828" w:type="dxa"/>
            <w:vMerge/>
          </w:tcPr>
          <w:p w14:paraId="54B3BFEF" w14:textId="77777777" w:rsidR="00320EF7" w:rsidRPr="0036588F" w:rsidRDefault="00320EF7" w:rsidP="006D2FA8">
            <w:pPr>
              <w:rPr>
                <w:rFonts w:ascii="Tahoma" w:hAnsi="Tahoma" w:cs="Tahoma"/>
                <w:sz w:val="19"/>
                <w:szCs w:val="19"/>
              </w:rPr>
            </w:pPr>
          </w:p>
        </w:tc>
        <w:tc>
          <w:tcPr>
            <w:tcW w:w="12191" w:type="dxa"/>
            <w:vAlign w:val="center"/>
          </w:tcPr>
          <w:p w14:paraId="0ED7245F" w14:textId="77777777" w:rsidR="00320EF7" w:rsidRPr="0036588F" w:rsidRDefault="00320EF7" w:rsidP="006D2FA8">
            <w:pPr>
              <w:pStyle w:val="affe"/>
              <w:tabs>
                <w:tab w:val="left" w:pos="317"/>
              </w:tabs>
              <w:ind w:left="0"/>
              <w:jc w:val="both"/>
              <w:rPr>
                <w:rFonts w:ascii="Tahoma" w:hAnsi="Tahoma" w:cs="Tahoma"/>
                <w:sz w:val="19"/>
                <w:szCs w:val="19"/>
              </w:rPr>
            </w:pPr>
            <w:r w:rsidRPr="0036588F">
              <w:rPr>
                <w:rFonts w:ascii="Tahoma" w:hAnsi="Tahoma" w:cs="Tahoma"/>
                <w:sz w:val="19"/>
                <w:szCs w:val="19"/>
              </w:rPr>
              <w:t>4. Если обязательства по Кредиту обеспечены ипотекой и удостоверены закладной, изменение условий Кредитного договора вступает в силу после предоставления Заемщиком в Банк зарегистрированных органом государственной власти, осуществляющим государственную регистрацию прав изменений в закладную.</w:t>
            </w:r>
          </w:p>
        </w:tc>
      </w:tr>
      <w:tr w:rsidR="00320EF7" w:rsidRPr="0036588F" w14:paraId="1704C54C" w14:textId="77777777" w:rsidTr="006D2FA8">
        <w:trPr>
          <w:trHeight w:val="734"/>
        </w:trPr>
        <w:tc>
          <w:tcPr>
            <w:tcW w:w="3828" w:type="dxa"/>
          </w:tcPr>
          <w:p w14:paraId="4AF21E39" w14:textId="77777777" w:rsidR="00320EF7" w:rsidRPr="0036588F" w:rsidRDefault="00320EF7" w:rsidP="006D2FA8">
            <w:pPr>
              <w:rPr>
                <w:rFonts w:ascii="Tahoma" w:hAnsi="Tahoma" w:cs="Tahoma"/>
                <w:sz w:val="19"/>
                <w:szCs w:val="19"/>
              </w:rPr>
            </w:pPr>
            <w:r w:rsidRPr="0036588F">
              <w:rPr>
                <w:rFonts w:ascii="Tahoma" w:hAnsi="Tahoma" w:cs="Tahoma"/>
                <w:sz w:val="19"/>
                <w:szCs w:val="19"/>
              </w:rPr>
              <w:t xml:space="preserve">Кредитные договоры, по которым производится изменение условий </w:t>
            </w:r>
          </w:p>
        </w:tc>
        <w:tc>
          <w:tcPr>
            <w:tcW w:w="12191" w:type="dxa"/>
            <w:vAlign w:val="center"/>
          </w:tcPr>
          <w:p w14:paraId="457E3D5C" w14:textId="77777777" w:rsidR="00320EF7" w:rsidRPr="0036588F" w:rsidRDefault="00320EF7" w:rsidP="006D2FA8">
            <w:pPr>
              <w:pStyle w:val="affe"/>
              <w:tabs>
                <w:tab w:val="left" w:pos="317"/>
              </w:tabs>
              <w:ind w:left="56"/>
              <w:jc w:val="center"/>
              <w:rPr>
                <w:rFonts w:ascii="Tahoma" w:hAnsi="Tahoma" w:cs="Tahoma"/>
                <w:sz w:val="19"/>
                <w:szCs w:val="19"/>
              </w:rPr>
            </w:pPr>
            <w:r w:rsidRPr="0036588F">
              <w:rPr>
                <w:rFonts w:ascii="Tahoma" w:hAnsi="Tahoma" w:cs="Tahoma"/>
                <w:sz w:val="19"/>
                <w:szCs w:val="19"/>
              </w:rPr>
              <w:t>Действующие Договора «Потребительский кредит», обязательства по которым обеспечены ипотекой</w:t>
            </w:r>
          </w:p>
        </w:tc>
      </w:tr>
      <w:tr w:rsidR="00320EF7" w:rsidRPr="0036588F" w14:paraId="55596E0D" w14:textId="77777777" w:rsidTr="006D2FA8">
        <w:trPr>
          <w:trHeight w:val="325"/>
        </w:trPr>
        <w:tc>
          <w:tcPr>
            <w:tcW w:w="3828" w:type="dxa"/>
            <w:vAlign w:val="center"/>
          </w:tcPr>
          <w:p w14:paraId="2D11A40A" w14:textId="77777777" w:rsidR="00320EF7" w:rsidRPr="0036588F" w:rsidRDefault="00320EF7" w:rsidP="006D2FA8">
            <w:pPr>
              <w:rPr>
                <w:rFonts w:ascii="Tahoma" w:hAnsi="Tahoma" w:cs="Tahoma"/>
                <w:b/>
                <w:bCs/>
                <w:color w:val="000000" w:themeColor="text1"/>
                <w:sz w:val="19"/>
                <w:szCs w:val="19"/>
              </w:rPr>
            </w:pPr>
            <w:r w:rsidRPr="0036588F">
              <w:rPr>
                <w:rFonts w:ascii="Tahoma" w:hAnsi="Tahoma" w:cs="Tahoma"/>
                <w:sz w:val="19"/>
                <w:szCs w:val="19"/>
              </w:rPr>
              <w:t>Подразделения сети/точки продаж, реализующие кредитный продукт</w:t>
            </w:r>
          </w:p>
        </w:tc>
        <w:tc>
          <w:tcPr>
            <w:tcW w:w="12191" w:type="dxa"/>
            <w:tcBorders>
              <w:top w:val="dotted" w:sz="4" w:space="0" w:color="auto"/>
            </w:tcBorders>
            <w:vAlign w:val="center"/>
          </w:tcPr>
          <w:p w14:paraId="18CEECA6" w14:textId="77777777" w:rsidR="00320EF7" w:rsidRPr="0036588F" w:rsidRDefault="00320EF7" w:rsidP="006D2FA8">
            <w:pPr>
              <w:pStyle w:val="affe"/>
              <w:tabs>
                <w:tab w:val="left" w:pos="317"/>
              </w:tabs>
              <w:ind w:left="56"/>
              <w:jc w:val="center"/>
              <w:rPr>
                <w:rFonts w:ascii="Tahoma" w:hAnsi="Tahoma" w:cs="Tahoma"/>
                <w:color w:val="000000" w:themeColor="text1"/>
                <w:sz w:val="19"/>
                <w:szCs w:val="19"/>
              </w:rPr>
            </w:pPr>
            <w:r w:rsidRPr="0036588F">
              <w:rPr>
                <w:rFonts w:ascii="Tahoma" w:hAnsi="Tahoma" w:cs="Tahoma"/>
                <w:sz w:val="19"/>
                <w:szCs w:val="19"/>
              </w:rPr>
              <w:t>Все подразделения «Азиатско-Тихоокеанский Банк» (АО) (далее - Банк)</w:t>
            </w:r>
          </w:p>
        </w:tc>
      </w:tr>
      <w:tr w:rsidR="00320EF7" w:rsidRPr="0036588F" w14:paraId="1D869C6D" w14:textId="77777777" w:rsidTr="006D2FA8">
        <w:tc>
          <w:tcPr>
            <w:tcW w:w="3828" w:type="dxa"/>
          </w:tcPr>
          <w:p w14:paraId="62DFC914" w14:textId="77777777" w:rsidR="00320EF7" w:rsidRPr="0036588F" w:rsidRDefault="00320EF7" w:rsidP="006D2FA8">
            <w:pPr>
              <w:rPr>
                <w:rFonts w:ascii="Tahoma" w:hAnsi="Tahoma" w:cs="Tahoma"/>
                <w:sz w:val="19"/>
                <w:szCs w:val="19"/>
              </w:rPr>
            </w:pPr>
            <w:r w:rsidRPr="0036588F">
              <w:rPr>
                <w:rFonts w:ascii="Tahoma" w:hAnsi="Tahoma" w:cs="Tahoma"/>
                <w:sz w:val="19"/>
                <w:szCs w:val="19"/>
              </w:rPr>
              <w:t>Стоимость услуги</w:t>
            </w:r>
          </w:p>
        </w:tc>
        <w:tc>
          <w:tcPr>
            <w:tcW w:w="12191" w:type="dxa"/>
            <w:vAlign w:val="center"/>
          </w:tcPr>
          <w:p w14:paraId="3E31F4BC" w14:textId="77777777" w:rsidR="00320EF7" w:rsidRPr="0036588F" w:rsidRDefault="00320EF7" w:rsidP="006D2FA8">
            <w:pPr>
              <w:pStyle w:val="affe"/>
              <w:ind w:left="0"/>
              <w:jc w:val="center"/>
              <w:rPr>
                <w:rFonts w:ascii="Tahoma" w:hAnsi="Tahoma" w:cs="Tahoma"/>
                <w:sz w:val="19"/>
                <w:szCs w:val="19"/>
              </w:rPr>
            </w:pPr>
            <w:r w:rsidRPr="0036588F">
              <w:rPr>
                <w:rFonts w:ascii="Tahoma" w:hAnsi="Tahoma" w:cs="Tahoma"/>
                <w:sz w:val="19"/>
                <w:szCs w:val="19"/>
              </w:rPr>
              <w:t>Бесплатно *</w:t>
            </w:r>
          </w:p>
        </w:tc>
      </w:tr>
      <w:tr w:rsidR="00320EF7" w:rsidRPr="0036588F" w14:paraId="2205912E" w14:textId="77777777" w:rsidTr="006D2FA8">
        <w:tc>
          <w:tcPr>
            <w:tcW w:w="3828" w:type="dxa"/>
          </w:tcPr>
          <w:p w14:paraId="502BCA0D" w14:textId="77777777" w:rsidR="00320EF7" w:rsidRPr="0036588F" w:rsidRDefault="00320EF7" w:rsidP="006D2FA8">
            <w:pPr>
              <w:rPr>
                <w:rFonts w:ascii="Tahoma" w:hAnsi="Tahoma" w:cs="Tahoma"/>
                <w:sz w:val="19"/>
                <w:szCs w:val="19"/>
              </w:rPr>
            </w:pPr>
            <w:r w:rsidRPr="0036588F">
              <w:rPr>
                <w:rFonts w:ascii="Tahoma" w:hAnsi="Tahoma" w:cs="Tahoma"/>
                <w:sz w:val="19"/>
                <w:szCs w:val="19"/>
              </w:rPr>
              <w:t>Рассмотрение заявки на изменение первоначальных условий Кредитного договора</w:t>
            </w:r>
          </w:p>
        </w:tc>
        <w:tc>
          <w:tcPr>
            <w:tcW w:w="12191" w:type="dxa"/>
            <w:vAlign w:val="center"/>
          </w:tcPr>
          <w:p w14:paraId="3AF3475D" w14:textId="77777777" w:rsidR="00320EF7" w:rsidRPr="0036588F" w:rsidRDefault="00320EF7" w:rsidP="006D2FA8">
            <w:pPr>
              <w:pStyle w:val="affe"/>
              <w:ind w:left="0"/>
              <w:jc w:val="center"/>
              <w:rPr>
                <w:rFonts w:ascii="Tahoma" w:hAnsi="Tahoma" w:cs="Tahoma"/>
                <w:sz w:val="19"/>
                <w:szCs w:val="19"/>
              </w:rPr>
            </w:pPr>
            <w:r w:rsidRPr="0036588F">
              <w:rPr>
                <w:rFonts w:ascii="Tahoma" w:hAnsi="Tahoma" w:cs="Tahoma"/>
                <w:sz w:val="19"/>
                <w:szCs w:val="19"/>
              </w:rPr>
              <w:t>В течение 3 (трех) рабочих дней</w:t>
            </w:r>
          </w:p>
        </w:tc>
      </w:tr>
      <w:tr w:rsidR="00320EF7" w:rsidRPr="0036588F" w14:paraId="58C85259" w14:textId="77777777" w:rsidTr="006D2FA8">
        <w:trPr>
          <w:trHeight w:val="227"/>
        </w:trPr>
        <w:tc>
          <w:tcPr>
            <w:tcW w:w="3828" w:type="dxa"/>
          </w:tcPr>
          <w:p w14:paraId="4A9F55BF" w14:textId="77777777" w:rsidR="00320EF7" w:rsidRPr="0036588F" w:rsidRDefault="00320EF7" w:rsidP="006D2FA8">
            <w:pPr>
              <w:rPr>
                <w:rFonts w:ascii="Tahoma" w:hAnsi="Tahoma" w:cs="Tahoma"/>
                <w:sz w:val="19"/>
                <w:szCs w:val="19"/>
              </w:rPr>
            </w:pPr>
            <w:r w:rsidRPr="0036588F">
              <w:rPr>
                <w:rFonts w:ascii="Tahoma" w:hAnsi="Tahoma" w:cs="Tahoma"/>
                <w:sz w:val="19"/>
                <w:szCs w:val="19"/>
              </w:rPr>
              <w:t>Документы Заемщика</w:t>
            </w:r>
          </w:p>
        </w:tc>
        <w:tc>
          <w:tcPr>
            <w:tcW w:w="12191" w:type="dxa"/>
            <w:vAlign w:val="center"/>
          </w:tcPr>
          <w:p w14:paraId="5DA95787" w14:textId="77777777" w:rsidR="00320EF7" w:rsidRPr="0036588F" w:rsidRDefault="00320EF7" w:rsidP="006D2FA8">
            <w:pPr>
              <w:pStyle w:val="affe"/>
              <w:ind w:left="318"/>
              <w:jc w:val="center"/>
              <w:rPr>
                <w:rFonts w:ascii="Tahoma" w:hAnsi="Tahoma" w:cs="Tahoma"/>
                <w:sz w:val="19"/>
                <w:szCs w:val="19"/>
              </w:rPr>
            </w:pPr>
            <w:r w:rsidRPr="0036588F">
              <w:rPr>
                <w:rFonts w:ascii="Tahoma" w:hAnsi="Tahoma" w:cs="Tahoma"/>
                <w:sz w:val="19"/>
                <w:szCs w:val="19"/>
              </w:rPr>
              <w:t xml:space="preserve"> Паспорт гражданина РФ, </w:t>
            </w:r>
          </w:p>
          <w:p w14:paraId="448FB966" w14:textId="77777777" w:rsidR="00320EF7" w:rsidRPr="0036588F" w:rsidRDefault="00320EF7" w:rsidP="006D2FA8">
            <w:pPr>
              <w:pStyle w:val="affe"/>
              <w:ind w:left="318"/>
              <w:jc w:val="center"/>
              <w:rPr>
                <w:rFonts w:ascii="Tahoma" w:hAnsi="Tahoma" w:cs="Tahoma"/>
                <w:sz w:val="19"/>
                <w:szCs w:val="19"/>
              </w:rPr>
            </w:pPr>
            <w:r w:rsidRPr="0036588F">
              <w:rPr>
                <w:rFonts w:ascii="Tahoma" w:hAnsi="Tahoma" w:cs="Tahoma"/>
                <w:sz w:val="19"/>
                <w:szCs w:val="19"/>
              </w:rPr>
              <w:t>заявление Заемщика, содержащее просьбу об изменении установленных Сторонами в Кредитном договоре условий, документы, подтверждающих нахождение Заемщика в трудной жизненной ситуации.</w:t>
            </w:r>
          </w:p>
        </w:tc>
      </w:tr>
      <w:tr w:rsidR="00320EF7" w:rsidRPr="0036588F" w14:paraId="5071AC11" w14:textId="77777777" w:rsidTr="006D2FA8">
        <w:tc>
          <w:tcPr>
            <w:tcW w:w="3828" w:type="dxa"/>
          </w:tcPr>
          <w:p w14:paraId="180C0770" w14:textId="77777777" w:rsidR="00320EF7" w:rsidRPr="0036588F" w:rsidRDefault="00320EF7" w:rsidP="006D2FA8">
            <w:pPr>
              <w:rPr>
                <w:rFonts w:ascii="Tahoma" w:hAnsi="Tahoma" w:cs="Tahoma"/>
                <w:sz w:val="19"/>
                <w:szCs w:val="19"/>
              </w:rPr>
            </w:pPr>
            <w:r w:rsidRPr="0036588F">
              <w:rPr>
                <w:rFonts w:ascii="Tahoma" w:hAnsi="Tahoma" w:cs="Tahoma"/>
                <w:sz w:val="19"/>
                <w:szCs w:val="19"/>
              </w:rPr>
              <w:t>Категория Заемщика</w:t>
            </w:r>
          </w:p>
        </w:tc>
        <w:tc>
          <w:tcPr>
            <w:tcW w:w="12191" w:type="dxa"/>
            <w:vAlign w:val="center"/>
          </w:tcPr>
          <w:p w14:paraId="208604C5" w14:textId="77777777" w:rsidR="00320EF7" w:rsidRPr="0036588F" w:rsidRDefault="00320EF7" w:rsidP="006D2FA8">
            <w:pPr>
              <w:pStyle w:val="affe"/>
              <w:ind w:left="34"/>
              <w:jc w:val="center"/>
              <w:rPr>
                <w:rFonts w:ascii="Tahoma" w:hAnsi="Tahoma" w:cs="Tahoma"/>
                <w:sz w:val="19"/>
                <w:szCs w:val="19"/>
              </w:rPr>
            </w:pPr>
            <w:r w:rsidRPr="0036588F">
              <w:rPr>
                <w:rFonts w:ascii="Tahoma" w:hAnsi="Tahoma" w:cs="Tahoma"/>
                <w:sz w:val="19"/>
                <w:szCs w:val="19"/>
              </w:rPr>
              <w:t>Физические лица, имеющие действующий(-ие) Кредитный(-ые) договор(-ы) в Банке (с учетом исключений и ограничений, установленных настоящим документом), обязательства по которым обеспечены ипотекой</w:t>
            </w:r>
          </w:p>
        </w:tc>
      </w:tr>
      <w:tr w:rsidR="00320EF7" w:rsidRPr="0036588F" w14:paraId="30C7222E" w14:textId="77777777" w:rsidTr="006D2FA8">
        <w:trPr>
          <w:trHeight w:val="519"/>
        </w:trPr>
        <w:tc>
          <w:tcPr>
            <w:tcW w:w="3828" w:type="dxa"/>
          </w:tcPr>
          <w:p w14:paraId="33E2F25A" w14:textId="77777777" w:rsidR="00320EF7" w:rsidRPr="0036588F" w:rsidRDefault="00320EF7" w:rsidP="006D2FA8">
            <w:pPr>
              <w:ind w:right="-108"/>
              <w:rPr>
                <w:rFonts w:ascii="Tahoma" w:hAnsi="Tahoma" w:cs="Tahoma"/>
                <w:sz w:val="19"/>
                <w:szCs w:val="19"/>
              </w:rPr>
            </w:pPr>
            <w:r w:rsidRPr="0036588F">
              <w:rPr>
                <w:rFonts w:ascii="Tahoma" w:hAnsi="Tahoma" w:cs="Tahoma"/>
                <w:sz w:val="19"/>
                <w:szCs w:val="19"/>
              </w:rPr>
              <w:t>Перечень документации, оформляемой для подписания с Клиентом</w:t>
            </w:r>
          </w:p>
        </w:tc>
        <w:tc>
          <w:tcPr>
            <w:tcW w:w="12191" w:type="dxa"/>
            <w:shd w:val="clear" w:color="auto" w:fill="auto"/>
            <w:vAlign w:val="center"/>
          </w:tcPr>
          <w:p w14:paraId="247828EF" w14:textId="77777777" w:rsidR="00320EF7" w:rsidRPr="0036588F" w:rsidRDefault="00320EF7" w:rsidP="006D2FA8">
            <w:pPr>
              <w:pStyle w:val="affe"/>
              <w:ind w:left="35"/>
              <w:rPr>
                <w:rFonts w:ascii="Tahoma" w:hAnsi="Tahoma" w:cs="Tahoma"/>
                <w:sz w:val="19"/>
                <w:szCs w:val="19"/>
              </w:rPr>
            </w:pPr>
            <w:r w:rsidRPr="0036588F">
              <w:rPr>
                <w:rFonts w:ascii="Tahoma" w:hAnsi="Tahoma" w:cs="Tahoma"/>
                <w:sz w:val="19"/>
                <w:szCs w:val="19"/>
              </w:rPr>
              <w:t>Дополнительное соглашение к кредитно-обеспечительной документации; заявление Клиента</w:t>
            </w:r>
          </w:p>
        </w:tc>
      </w:tr>
      <w:tr w:rsidR="00320EF7" w:rsidRPr="0036588F" w14:paraId="4E2F1C50" w14:textId="77777777" w:rsidTr="006D2FA8">
        <w:trPr>
          <w:trHeight w:val="519"/>
        </w:trPr>
        <w:tc>
          <w:tcPr>
            <w:tcW w:w="3828" w:type="dxa"/>
          </w:tcPr>
          <w:p w14:paraId="627711E1" w14:textId="77777777" w:rsidR="00320EF7" w:rsidRPr="0036588F" w:rsidRDefault="00320EF7" w:rsidP="006D2FA8">
            <w:pPr>
              <w:rPr>
                <w:rFonts w:ascii="Tahoma" w:hAnsi="Tahoma" w:cs="Tahoma"/>
                <w:sz w:val="19"/>
                <w:szCs w:val="19"/>
              </w:rPr>
            </w:pPr>
            <w:r w:rsidRPr="0036588F">
              <w:rPr>
                <w:rFonts w:ascii="Tahoma" w:hAnsi="Tahoma" w:cs="Tahoma"/>
                <w:sz w:val="19"/>
                <w:szCs w:val="19"/>
              </w:rPr>
              <w:t>Термины, употребляемые в настоящем документе</w:t>
            </w:r>
          </w:p>
        </w:tc>
        <w:tc>
          <w:tcPr>
            <w:tcW w:w="12191" w:type="dxa"/>
            <w:shd w:val="clear" w:color="auto" w:fill="auto"/>
            <w:vAlign w:val="center"/>
          </w:tcPr>
          <w:p w14:paraId="0CF5D668" w14:textId="77777777" w:rsidR="00320EF7" w:rsidRPr="0036588F" w:rsidRDefault="00320EF7" w:rsidP="006D2FA8">
            <w:pPr>
              <w:pStyle w:val="affe"/>
              <w:ind w:left="35"/>
              <w:rPr>
                <w:rFonts w:ascii="Tahoma" w:hAnsi="Tahoma" w:cs="Tahoma"/>
                <w:sz w:val="19"/>
                <w:szCs w:val="19"/>
              </w:rPr>
            </w:pPr>
            <w:r w:rsidRPr="0036588F">
              <w:rPr>
                <w:rFonts w:ascii="Tahoma" w:hAnsi="Tahoma" w:cs="Tahoma"/>
                <w:sz w:val="19"/>
                <w:szCs w:val="19"/>
              </w:rPr>
              <w:t xml:space="preserve">Кредитный договор - определение, используемое в рамках настоящего документа к действующим Договорам «Потребительский кредит», обязательства по которым обеспечены ипотекой. </w:t>
            </w:r>
            <w:r w:rsidRPr="0036588F">
              <w:rPr>
                <w:rFonts w:ascii="Tahoma" w:hAnsi="Tahoma" w:cs="Tahoma"/>
                <w:bCs/>
                <w:iCs/>
                <w:sz w:val="19"/>
                <w:szCs w:val="19"/>
              </w:rPr>
              <w:t xml:space="preserve">Термины в настоящем документе применяются в значении, которое дано в действующей редакции Универсального договора банковского обслуживания физических лиц «Азиатско-Тихоокеанский Банк» (АО)» (по тексту -  УДБО), размещенного в местах приема Заявлений и на Сайте Банка: </w:t>
            </w:r>
            <w:hyperlink r:id="rId36" w:history="1">
              <w:r w:rsidRPr="0036588F">
                <w:rPr>
                  <w:rStyle w:val="aff"/>
                  <w:rFonts w:ascii="Tahoma" w:hAnsi="Tahoma" w:cs="Tahoma"/>
                  <w:bCs/>
                  <w:iCs/>
                  <w:sz w:val="19"/>
                  <w:szCs w:val="19"/>
                  <w:lang w:val="en-US"/>
                </w:rPr>
                <w:t>www</w:t>
              </w:r>
              <w:r w:rsidRPr="0036588F">
                <w:rPr>
                  <w:rStyle w:val="aff"/>
                  <w:rFonts w:ascii="Tahoma" w:hAnsi="Tahoma" w:cs="Tahoma"/>
                  <w:bCs/>
                  <w:iCs/>
                  <w:sz w:val="19"/>
                  <w:szCs w:val="19"/>
                </w:rPr>
                <w:t>.</w:t>
              </w:r>
              <w:r w:rsidRPr="0036588F">
                <w:rPr>
                  <w:rStyle w:val="aff"/>
                  <w:rFonts w:ascii="Tahoma" w:hAnsi="Tahoma" w:cs="Tahoma"/>
                  <w:bCs/>
                  <w:iCs/>
                  <w:sz w:val="19"/>
                  <w:szCs w:val="19"/>
                  <w:lang w:val="en-US"/>
                </w:rPr>
                <w:t>atb</w:t>
              </w:r>
              <w:r w:rsidRPr="0036588F">
                <w:rPr>
                  <w:rStyle w:val="aff"/>
                  <w:rFonts w:ascii="Tahoma" w:hAnsi="Tahoma" w:cs="Tahoma"/>
                  <w:bCs/>
                  <w:iCs/>
                  <w:sz w:val="19"/>
                  <w:szCs w:val="19"/>
                </w:rPr>
                <w:t>.</w:t>
              </w:r>
              <w:r w:rsidRPr="0036588F">
                <w:rPr>
                  <w:rStyle w:val="aff"/>
                  <w:rFonts w:ascii="Tahoma" w:hAnsi="Tahoma" w:cs="Tahoma"/>
                  <w:bCs/>
                  <w:iCs/>
                  <w:sz w:val="19"/>
                  <w:szCs w:val="19"/>
                  <w:lang w:val="en-US"/>
                </w:rPr>
                <w:t>su</w:t>
              </w:r>
            </w:hyperlink>
            <w:r w:rsidRPr="0036588F">
              <w:rPr>
                <w:rFonts w:ascii="Tahoma" w:hAnsi="Tahoma" w:cs="Tahoma"/>
                <w:sz w:val="19"/>
                <w:szCs w:val="19"/>
              </w:rPr>
              <w:t>,</w:t>
            </w:r>
            <w:r w:rsidRPr="0036588F">
              <w:rPr>
                <w:rFonts w:ascii="Tahoma" w:hAnsi="Tahoma" w:cs="Tahoma"/>
                <w:bCs/>
                <w:iCs/>
                <w:sz w:val="19"/>
                <w:szCs w:val="19"/>
              </w:rPr>
              <w:t xml:space="preserve"> если иное прямо не указано в настоящем документе</w:t>
            </w:r>
          </w:p>
        </w:tc>
      </w:tr>
    </w:tbl>
    <w:p w14:paraId="005DFC50" w14:textId="77777777" w:rsidR="00320EF7" w:rsidRPr="0036588F" w:rsidRDefault="00320EF7" w:rsidP="00320EF7">
      <w:pPr>
        <w:ind w:firstLine="426"/>
        <w:jc w:val="both"/>
        <w:rPr>
          <w:rFonts w:ascii="Tahoma" w:hAnsi="Tahoma" w:cs="Tahoma"/>
          <w:sz w:val="19"/>
          <w:szCs w:val="19"/>
        </w:rPr>
      </w:pPr>
      <w:r w:rsidRPr="0036588F">
        <w:rPr>
          <w:rFonts w:ascii="Tahoma" w:hAnsi="Tahoma" w:cs="Tahoma"/>
          <w:sz w:val="19"/>
          <w:szCs w:val="19"/>
        </w:rPr>
        <w:t xml:space="preserve"> </w:t>
      </w:r>
    </w:p>
    <w:p w14:paraId="30A534F9" w14:textId="77777777" w:rsidR="00320EF7" w:rsidRPr="0036588F" w:rsidRDefault="00320EF7" w:rsidP="00320EF7">
      <w:pPr>
        <w:ind w:firstLine="426"/>
        <w:jc w:val="both"/>
        <w:rPr>
          <w:rFonts w:ascii="Tahoma" w:hAnsi="Tahoma" w:cs="Tahoma"/>
          <w:sz w:val="19"/>
          <w:szCs w:val="19"/>
        </w:rPr>
      </w:pPr>
      <w:r w:rsidRPr="0036588F">
        <w:rPr>
          <w:rFonts w:ascii="Tahoma" w:hAnsi="Tahoma" w:cs="Tahoma"/>
          <w:sz w:val="19"/>
          <w:szCs w:val="19"/>
        </w:rPr>
        <w:t xml:space="preserve"> * - Требование Заемщика-физического лица об изменении условий Кредитного договора, заключенного в целях, не связанных с осуществлением им предпринимательской деятельности, обязательства по которому обеспечены ипотекой, соответствующее условиям ст. 6.1-1. Федерального закона от 21.12.2013 N 353-ФЗ "О потребительском кредите (займе)", удовлетворяется Банком без взимания комиссионного вознаграждения.</w:t>
      </w:r>
    </w:p>
    <w:p w14:paraId="4CEDF8DE" w14:textId="77777777" w:rsidR="00320EF7" w:rsidRPr="0036588F" w:rsidRDefault="00320EF7" w:rsidP="00320EF7">
      <w:pPr>
        <w:ind w:firstLine="426"/>
        <w:jc w:val="both"/>
        <w:rPr>
          <w:rFonts w:ascii="Tahoma" w:hAnsi="Tahoma" w:cs="Tahoma"/>
          <w:sz w:val="19"/>
          <w:szCs w:val="19"/>
        </w:rPr>
      </w:pPr>
    </w:p>
    <w:p w14:paraId="60713EA7" w14:textId="77777777" w:rsidR="00320EF7" w:rsidRPr="0036588F" w:rsidRDefault="00320EF7" w:rsidP="00320EF7">
      <w:pPr>
        <w:ind w:firstLine="426"/>
        <w:jc w:val="both"/>
        <w:rPr>
          <w:rFonts w:ascii="Tahoma" w:hAnsi="Tahoma" w:cs="Tahoma"/>
          <w:sz w:val="19"/>
          <w:szCs w:val="19"/>
        </w:rPr>
      </w:pPr>
      <w:r w:rsidRPr="0036588F">
        <w:rPr>
          <w:rFonts w:ascii="Tahoma" w:hAnsi="Tahoma" w:cs="Tahoma"/>
          <w:sz w:val="19"/>
          <w:szCs w:val="19"/>
        </w:rPr>
        <w:t>** - При предоставлении отсрочки погашения основного долга по Кредиту или основного долга и процентов за пользование Кредитом, срок возврата Кредита по Кредитному договору увеличивается на срок предоставленной Банком Заёмщику отсрочки;</w:t>
      </w:r>
    </w:p>
    <w:p w14:paraId="737D7CFC" w14:textId="77777777" w:rsidR="00320EF7" w:rsidRPr="0036588F" w:rsidRDefault="00320EF7" w:rsidP="00320EF7">
      <w:pPr>
        <w:ind w:firstLine="426"/>
        <w:jc w:val="both"/>
        <w:rPr>
          <w:rFonts w:ascii="Tahoma" w:hAnsi="Tahoma" w:cs="Tahoma"/>
          <w:sz w:val="19"/>
          <w:szCs w:val="19"/>
        </w:rPr>
      </w:pPr>
    </w:p>
    <w:p w14:paraId="3030B41A" w14:textId="77777777" w:rsidR="00320EF7" w:rsidRPr="0036588F" w:rsidRDefault="00320EF7" w:rsidP="00320EF7">
      <w:pPr>
        <w:ind w:firstLine="426"/>
        <w:jc w:val="both"/>
        <w:rPr>
          <w:rFonts w:ascii="Tahoma" w:hAnsi="Tahoma" w:cs="Tahoma"/>
          <w:sz w:val="19"/>
          <w:szCs w:val="19"/>
        </w:rPr>
      </w:pPr>
      <w:r w:rsidRPr="0036588F">
        <w:rPr>
          <w:rFonts w:ascii="Tahoma" w:hAnsi="Tahoma" w:cs="Tahoma"/>
          <w:sz w:val="19"/>
          <w:szCs w:val="19"/>
        </w:rPr>
        <w:t>*** - Данный Тарифный план может быть использован при подаче Заемщиком заявления, содержащего просьбу об изменении условий, установленных Сторонами в Кредитном договоре.</w:t>
      </w:r>
    </w:p>
    <w:p w14:paraId="577A1A4B" w14:textId="77777777" w:rsidR="00320EF7" w:rsidRPr="0036588F" w:rsidRDefault="00320EF7" w:rsidP="00320EF7">
      <w:pPr>
        <w:ind w:firstLine="426"/>
        <w:jc w:val="both"/>
        <w:rPr>
          <w:rFonts w:ascii="Tahoma" w:hAnsi="Tahoma" w:cs="Tahoma"/>
          <w:sz w:val="19"/>
          <w:szCs w:val="19"/>
        </w:rPr>
      </w:pPr>
    </w:p>
    <w:p w14:paraId="024F88B7" w14:textId="77777777" w:rsidR="00320EF7" w:rsidRPr="0036588F" w:rsidRDefault="00320EF7" w:rsidP="00320EF7">
      <w:pPr>
        <w:ind w:firstLine="426"/>
        <w:jc w:val="both"/>
        <w:rPr>
          <w:rFonts w:ascii="Tahoma" w:hAnsi="Tahoma" w:cs="Tahoma"/>
          <w:sz w:val="19"/>
          <w:szCs w:val="19"/>
        </w:rPr>
      </w:pPr>
      <w:r w:rsidRPr="0036588F">
        <w:rPr>
          <w:rFonts w:ascii="Tahoma" w:hAnsi="Tahoma" w:cs="Tahoma"/>
          <w:sz w:val="19"/>
          <w:szCs w:val="19"/>
        </w:rPr>
        <w:t>**** - К документам, подтверждающим нахождение Заемщика в трудной жизненной ситуации, относятся:</w:t>
      </w:r>
    </w:p>
    <w:p w14:paraId="403C8350" w14:textId="77777777" w:rsidR="00320EF7" w:rsidRPr="0036588F" w:rsidRDefault="00320EF7" w:rsidP="00320EF7">
      <w:pPr>
        <w:pStyle w:val="affe"/>
        <w:numPr>
          <w:ilvl w:val="0"/>
          <w:numId w:val="15"/>
        </w:numPr>
        <w:ind w:left="0" w:firstLine="426"/>
        <w:contextualSpacing/>
        <w:jc w:val="both"/>
        <w:rPr>
          <w:rFonts w:ascii="Tahoma" w:hAnsi="Tahoma" w:cs="Tahoma"/>
          <w:sz w:val="19"/>
          <w:szCs w:val="19"/>
        </w:rPr>
      </w:pPr>
      <w:r w:rsidRPr="0036588F">
        <w:rPr>
          <w:rFonts w:ascii="Tahoma" w:hAnsi="Tahoma" w:cs="Tahoma"/>
          <w:sz w:val="19"/>
          <w:szCs w:val="19"/>
        </w:rPr>
        <w:t>Выписка из Единого государственного реестра недвижимости о правах отдельного лица на имевшиеся (имеющиеся) у него объекты недвижимости;</w:t>
      </w:r>
    </w:p>
    <w:p w14:paraId="6C865BB2" w14:textId="77777777" w:rsidR="00320EF7" w:rsidRPr="0036588F" w:rsidRDefault="00320EF7" w:rsidP="00320EF7">
      <w:pPr>
        <w:pStyle w:val="affe"/>
        <w:numPr>
          <w:ilvl w:val="0"/>
          <w:numId w:val="15"/>
        </w:numPr>
        <w:ind w:left="0" w:firstLine="426"/>
        <w:contextualSpacing/>
        <w:jc w:val="both"/>
        <w:rPr>
          <w:rFonts w:ascii="Tahoma" w:hAnsi="Tahoma" w:cs="Tahoma"/>
          <w:sz w:val="19"/>
          <w:szCs w:val="19"/>
        </w:rPr>
      </w:pPr>
      <w:r w:rsidRPr="0036588F">
        <w:rPr>
          <w:rFonts w:ascii="Tahoma" w:hAnsi="Tahoma" w:cs="Tahoma"/>
          <w:sz w:val="19"/>
          <w:szCs w:val="19"/>
        </w:rPr>
        <w:t>Выписка из регистра получателей государственных услуг в сфере занятости населения – физических лиц о регистрации гражданина в качестве безработного;</w:t>
      </w:r>
    </w:p>
    <w:p w14:paraId="79789F04" w14:textId="77777777" w:rsidR="00320EF7" w:rsidRPr="0036588F" w:rsidRDefault="00320EF7" w:rsidP="00320EF7">
      <w:pPr>
        <w:pStyle w:val="affe"/>
        <w:numPr>
          <w:ilvl w:val="0"/>
          <w:numId w:val="15"/>
        </w:numPr>
        <w:ind w:left="0" w:firstLine="426"/>
        <w:contextualSpacing/>
        <w:jc w:val="both"/>
        <w:rPr>
          <w:rFonts w:ascii="Tahoma" w:hAnsi="Tahoma" w:cs="Tahoma"/>
          <w:sz w:val="19"/>
          <w:szCs w:val="19"/>
        </w:rPr>
      </w:pPr>
      <w:r w:rsidRPr="0036588F">
        <w:rPr>
          <w:rFonts w:ascii="Tahoma" w:hAnsi="Tahoma" w:cs="Tahoma"/>
          <w:sz w:val="19"/>
          <w:szCs w:val="19"/>
        </w:rPr>
        <w:t>Справка, подтверждающая факт установления инвалидности и выданная федеральным государственным учреждением медико-социальной экспертизы Заемщику и (или) членам семьи;</w:t>
      </w:r>
    </w:p>
    <w:p w14:paraId="23795743" w14:textId="77777777" w:rsidR="00320EF7" w:rsidRPr="0036588F" w:rsidRDefault="00320EF7" w:rsidP="00320EF7">
      <w:pPr>
        <w:pStyle w:val="affe"/>
        <w:numPr>
          <w:ilvl w:val="0"/>
          <w:numId w:val="15"/>
        </w:numPr>
        <w:ind w:left="0" w:firstLine="426"/>
        <w:contextualSpacing/>
        <w:jc w:val="both"/>
        <w:rPr>
          <w:rFonts w:ascii="Tahoma" w:hAnsi="Tahoma" w:cs="Tahoma"/>
          <w:sz w:val="19"/>
          <w:szCs w:val="19"/>
        </w:rPr>
      </w:pPr>
      <w:r w:rsidRPr="0036588F">
        <w:rPr>
          <w:rFonts w:ascii="Tahoma" w:hAnsi="Tahoma" w:cs="Tahoma"/>
          <w:sz w:val="19"/>
          <w:szCs w:val="19"/>
        </w:rPr>
        <w:t>Лист нетрудоспособности сроком свыше 2-х месяцев (на случай временной нетрудоспособности и в связи с материнством);</w:t>
      </w:r>
    </w:p>
    <w:p w14:paraId="01157418" w14:textId="77777777" w:rsidR="00320EF7" w:rsidRPr="0036588F" w:rsidRDefault="00320EF7" w:rsidP="00320EF7">
      <w:pPr>
        <w:pStyle w:val="affe"/>
        <w:numPr>
          <w:ilvl w:val="0"/>
          <w:numId w:val="15"/>
        </w:numPr>
        <w:ind w:left="0" w:firstLine="426"/>
        <w:contextualSpacing/>
        <w:jc w:val="both"/>
        <w:rPr>
          <w:rFonts w:ascii="Tahoma" w:hAnsi="Tahoma" w:cs="Tahoma"/>
          <w:sz w:val="19"/>
          <w:szCs w:val="19"/>
        </w:rPr>
      </w:pPr>
      <w:r w:rsidRPr="0036588F">
        <w:rPr>
          <w:rFonts w:ascii="Tahoma" w:hAnsi="Tahoma" w:cs="Tahoma"/>
          <w:sz w:val="19"/>
          <w:szCs w:val="19"/>
        </w:rPr>
        <w:lastRenderedPageBreak/>
        <w:t xml:space="preserve">Справка по форме 2-НДФЛ за текущий и предшествующий год, подтверждающая снижение среднемесячного дохода Заемщика (совокупного среднемесячного дохода всех Заемщиков по Кредитному договору) более чем на 30% </w:t>
      </w:r>
    </w:p>
    <w:p w14:paraId="2F136C86" w14:textId="77777777" w:rsidR="00320EF7" w:rsidRPr="0036588F" w:rsidRDefault="00320EF7" w:rsidP="00320EF7">
      <w:pPr>
        <w:pStyle w:val="affe"/>
        <w:numPr>
          <w:ilvl w:val="0"/>
          <w:numId w:val="15"/>
        </w:numPr>
        <w:ind w:left="0" w:firstLine="426"/>
        <w:contextualSpacing/>
        <w:jc w:val="both"/>
        <w:rPr>
          <w:rFonts w:ascii="Tahoma" w:hAnsi="Tahoma" w:cs="Tahoma"/>
          <w:sz w:val="19"/>
          <w:szCs w:val="19"/>
        </w:rPr>
      </w:pPr>
      <w:r w:rsidRPr="0036588F">
        <w:rPr>
          <w:rFonts w:ascii="Tahoma" w:hAnsi="Tahoma" w:cs="Tahoma"/>
          <w:sz w:val="19"/>
          <w:szCs w:val="19"/>
        </w:rPr>
        <w:t>Свидетельство о рождении, и (или) свидетельство об усыновлении (удочерении), и (или) акт органа опеки и попечительства о назначении опекуна или попечителя (в случае, если количество лиц, находящихся на иждивении Заемщика увеличилось).</w:t>
      </w:r>
    </w:p>
    <w:p w14:paraId="1737262D" w14:textId="77777777" w:rsidR="00320EF7" w:rsidRPr="0036588F" w:rsidRDefault="00320EF7" w:rsidP="00320EF7">
      <w:pPr>
        <w:pStyle w:val="affe"/>
        <w:ind w:left="0" w:firstLine="426"/>
        <w:jc w:val="both"/>
        <w:rPr>
          <w:rFonts w:ascii="Tahoma" w:hAnsi="Tahoma" w:cs="Tahoma"/>
          <w:sz w:val="19"/>
          <w:szCs w:val="19"/>
        </w:rPr>
      </w:pPr>
      <w:r w:rsidRPr="0036588F">
        <w:rPr>
          <w:rFonts w:ascii="Tahoma" w:hAnsi="Tahoma" w:cs="Tahoma"/>
          <w:sz w:val="19"/>
          <w:szCs w:val="19"/>
        </w:rPr>
        <w:t>***** - термин «Льготный период» применяется в значении, которое дано в ст. 6.1-1. Федерального закона от 21.12.2013 N 353-ФЗ "О потребительском кредите (займе)"</w:t>
      </w:r>
    </w:p>
    <w:p w14:paraId="39C054FE" w14:textId="77777777" w:rsidR="00320EF7" w:rsidRDefault="00320EF7" w:rsidP="00320EF7">
      <w:pPr>
        <w:jc w:val="both"/>
        <w:rPr>
          <w:rFonts w:ascii="Tahoma" w:hAnsi="Tahoma" w:cs="Tahoma"/>
          <w:sz w:val="22"/>
          <w:szCs w:val="22"/>
        </w:rPr>
      </w:pPr>
    </w:p>
    <w:p w14:paraId="0B064AB2" w14:textId="56851593" w:rsidR="00320EF7" w:rsidRDefault="00F14C49" w:rsidP="000B3718">
      <w:pPr>
        <w:pStyle w:val="a5"/>
        <w:rPr>
          <w:sz w:val="18"/>
          <w:szCs w:val="18"/>
        </w:rPr>
      </w:pPr>
      <w:r>
        <w:t>2.2.6</w:t>
      </w:r>
      <w:r w:rsidR="00320EF7" w:rsidRPr="00A74332">
        <w:t xml:space="preserve">. Тарифный план </w:t>
      </w:r>
      <w:r w:rsidR="00320EF7" w:rsidRPr="00F336CC">
        <w:t>«Реструктуризация «Техпомощь+»*,**,</w:t>
      </w:r>
      <w:r w:rsidR="00320EF7">
        <w:t>***</w:t>
      </w:r>
      <w:r w:rsidR="00320EF7" w:rsidRPr="00F336CC">
        <w:t>.</w:t>
      </w:r>
    </w:p>
    <w:p w14:paraId="0B6C43F1" w14:textId="77777777" w:rsidR="00320EF7" w:rsidRDefault="00320EF7" w:rsidP="00320EF7">
      <w:pPr>
        <w:tabs>
          <w:tab w:val="left" w:pos="3240"/>
        </w:tabs>
        <w:jc w:val="both"/>
        <w:rPr>
          <w:rFonts w:ascii="Tahoma" w:hAnsi="Tahoma" w:cs="Tahoma"/>
          <w:sz w:val="20"/>
          <w:szCs w:val="20"/>
        </w:rPr>
      </w:pPr>
    </w:p>
    <w:p w14:paraId="4C960602" w14:textId="45A321F1" w:rsidR="006E34A2" w:rsidRPr="006E34A2" w:rsidRDefault="006E34A2" w:rsidP="00CC78EE">
      <w:pPr>
        <w:pStyle w:val="affe"/>
        <w:numPr>
          <w:ilvl w:val="0"/>
          <w:numId w:val="158"/>
        </w:numPr>
        <w:tabs>
          <w:tab w:val="left" w:pos="851"/>
        </w:tabs>
        <w:spacing w:line="300" w:lineRule="auto"/>
        <w:contextualSpacing/>
        <w:jc w:val="both"/>
        <w:rPr>
          <w:rFonts w:ascii="Tahoma" w:eastAsia="Calibri" w:hAnsi="Tahoma" w:cs="Tahoma"/>
          <w:noProof/>
          <w:sz w:val="20"/>
          <w:szCs w:val="20"/>
        </w:rPr>
      </w:pPr>
      <w:r w:rsidRPr="006E34A2">
        <w:rPr>
          <w:rFonts w:ascii="Tahoma" w:eastAsia="Calibri" w:hAnsi="Tahoma" w:cs="Tahoma"/>
          <w:b/>
          <w:bCs/>
          <w:caps/>
          <w:sz w:val="20"/>
          <w:szCs w:val="20"/>
          <w:lang w:eastAsia="en-US"/>
        </w:rPr>
        <w:t>ОСНОВНЫЕ ПОНЯТИЯ, ИСПОЛЬЗУЕМЫЕ ТЕРМИНЫ и сокращения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11758"/>
      </w:tblGrid>
      <w:tr w:rsidR="006E34A2" w:rsidRPr="006E34A2" w14:paraId="483C537A" w14:textId="77777777" w:rsidTr="005B68FD">
        <w:tc>
          <w:tcPr>
            <w:tcW w:w="1254" w:type="pct"/>
          </w:tcPr>
          <w:p w14:paraId="32715CF5" w14:textId="77777777" w:rsidR="006E34A2" w:rsidRPr="006E34A2" w:rsidRDefault="006E34A2" w:rsidP="006E34A2">
            <w:pPr>
              <w:tabs>
                <w:tab w:val="left" w:pos="851"/>
              </w:tabs>
              <w:jc w:val="both"/>
              <w:rPr>
                <w:rFonts w:ascii="Tahoma" w:eastAsia="Calibri" w:hAnsi="Tahoma" w:cs="Tahoma"/>
                <w:b/>
                <w:bCs/>
                <w:iCs/>
                <w:sz w:val="20"/>
                <w:szCs w:val="20"/>
                <w:lang w:eastAsia="en-US"/>
              </w:rPr>
            </w:pPr>
            <w:r w:rsidRPr="006E34A2">
              <w:rPr>
                <w:rFonts w:ascii="Tahoma" w:eastAsia="Calibri" w:hAnsi="Tahoma" w:cs="Tahoma"/>
                <w:b/>
                <w:bCs/>
                <w:iCs/>
                <w:sz w:val="20"/>
                <w:szCs w:val="20"/>
                <w:lang w:eastAsia="en-US"/>
              </w:rPr>
              <w:t>Наименование Банка, место нахождения постоянно действующего исполнительного органа, контактный телефон, по которому осуществляется связь с Банком, официальный сайт, номер лицензии на осуществление банковских операций</w:t>
            </w:r>
          </w:p>
        </w:tc>
        <w:tc>
          <w:tcPr>
            <w:tcW w:w="3746" w:type="pct"/>
          </w:tcPr>
          <w:p w14:paraId="420801DD" w14:textId="77777777" w:rsidR="006E34A2" w:rsidRPr="006E34A2" w:rsidRDefault="006E34A2" w:rsidP="006E34A2">
            <w:pPr>
              <w:tabs>
                <w:tab w:val="left" w:pos="851"/>
              </w:tabs>
              <w:jc w:val="both"/>
              <w:rPr>
                <w:rFonts w:ascii="Tahoma" w:eastAsia="Calibri" w:hAnsi="Tahoma" w:cs="Tahoma"/>
                <w:bCs/>
                <w:iCs/>
                <w:sz w:val="20"/>
                <w:szCs w:val="20"/>
                <w:lang w:eastAsia="en-US"/>
              </w:rPr>
            </w:pPr>
            <w:r w:rsidRPr="006E34A2">
              <w:rPr>
                <w:rFonts w:ascii="Tahoma" w:eastAsia="Calibri" w:hAnsi="Tahoma" w:cs="Tahoma"/>
                <w:sz w:val="20"/>
                <w:szCs w:val="20"/>
                <w:lang w:eastAsia="en-US"/>
              </w:rPr>
              <w:t xml:space="preserve">«Азиатско-Тихоокеанский Банк» (Акционерное общество) (далее - Банк). Универсальная лицензия ЦБ РФ № 1810, ОГРН: 1022800000079, ИНН: 2801023444, БИК: 041012765, кор. счет №: 30101810300000000765 в Отделении Благовещенск. Местонахождение Банка и место нахождения его постоянно действующего исполнительного органа: 675004, Амурская область, г. Благовещенск, ул. Амурская, д. 225. Контактный тел.: 8 800 775 8888 (звонок по России бесплатный). Сайт Банка: </w:t>
            </w:r>
            <w:hyperlink r:id="rId37" w:history="1">
              <w:r w:rsidRPr="006E34A2">
                <w:rPr>
                  <w:rFonts w:ascii="Tahoma" w:eastAsia="Calibri" w:hAnsi="Tahoma" w:cs="Tahoma"/>
                  <w:sz w:val="20"/>
                  <w:szCs w:val="20"/>
                  <w:u w:val="single"/>
                  <w:lang w:eastAsia="en-US"/>
                </w:rPr>
                <w:t>www.atb.su</w:t>
              </w:r>
            </w:hyperlink>
          </w:p>
        </w:tc>
      </w:tr>
      <w:tr w:rsidR="006E34A2" w:rsidRPr="006E34A2" w14:paraId="42AD00C4" w14:textId="77777777" w:rsidTr="005B68FD">
        <w:tc>
          <w:tcPr>
            <w:tcW w:w="1254" w:type="pct"/>
          </w:tcPr>
          <w:p w14:paraId="4D5B4124" w14:textId="77777777" w:rsidR="006E34A2" w:rsidRPr="006E34A2" w:rsidRDefault="006E34A2" w:rsidP="006E34A2">
            <w:pPr>
              <w:tabs>
                <w:tab w:val="left" w:pos="851"/>
              </w:tabs>
              <w:jc w:val="both"/>
              <w:rPr>
                <w:rFonts w:ascii="Tahoma" w:hAnsi="Tahoma" w:cs="Tahoma"/>
                <w:b/>
                <w:sz w:val="20"/>
                <w:szCs w:val="20"/>
              </w:rPr>
            </w:pPr>
            <w:r w:rsidRPr="006E34A2">
              <w:rPr>
                <w:rFonts w:ascii="Tahoma" w:hAnsi="Tahoma" w:cs="Tahoma"/>
                <w:b/>
                <w:sz w:val="20"/>
                <w:szCs w:val="20"/>
              </w:rPr>
              <w:t>Кредитный договор</w:t>
            </w:r>
          </w:p>
        </w:tc>
        <w:tc>
          <w:tcPr>
            <w:tcW w:w="3746" w:type="pct"/>
          </w:tcPr>
          <w:p w14:paraId="40DEE968" w14:textId="77777777" w:rsidR="006E34A2" w:rsidRPr="006E34A2" w:rsidRDefault="006E34A2" w:rsidP="006E34A2">
            <w:pPr>
              <w:jc w:val="both"/>
              <w:rPr>
                <w:rFonts w:ascii="Tahoma" w:eastAsia="Calibri" w:hAnsi="Tahoma" w:cs="Tahoma"/>
                <w:sz w:val="20"/>
                <w:szCs w:val="20"/>
                <w:lang w:eastAsia="en-US"/>
              </w:rPr>
            </w:pPr>
            <w:r w:rsidRPr="006E34A2">
              <w:rPr>
                <w:rFonts w:ascii="Tahoma" w:eastAsia="Calibri" w:hAnsi="Tahoma" w:cs="Tahoma"/>
                <w:sz w:val="20"/>
                <w:szCs w:val="20"/>
                <w:lang w:eastAsia="en-US"/>
              </w:rPr>
              <w:t>Любой договор потребительского кредита в понимании Федерального закона от 21.12.2013 № 353-ФЗ «О потребительском кредите (займе), заключенный между Банком и Заемщиком</w:t>
            </w:r>
          </w:p>
        </w:tc>
      </w:tr>
      <w:tr w:rsidR="006E34A2" w:rsidRPr="006E34A2" w14:paraId="4EB083B0" w14:textId="77777777" w:rsidTr="005B68FD">
        <w:tc>
          <w:tcPr>
            <w:tcW w:w="5000" w:type="pct"/>
            <w:gridSpan w:val="2"/>
          </w:tcPr>
          <w:p w14:paraId="02032BB6" w14:textId="77777777" w:rsidR="006E34A2" w:rsidRPr="006E34A2" w:rsidRDefault="006E34A2" w:rsidP="006E34A2">
            <w:pPr>
              <w:widowControl w:val="0"/>
              <w:tabs>
                <w:tab w:val="left" w:pos="851"/>
              </w:tabs>
              <w:adjustRightInd w:val="0"/>
              <w:jc w:val="both"/>
              <w:rPr>
                <w:rFonts w:ascii="Tahoma" w:eastAsia="Calibri" w:hAnsi="Tahoma" w:cs="Tahoma"/>
                <w:sz w:val="20"/>
                <w:szCs w:val="20"/>
                <w:lang w:eastAsia="en-US"/>
              </w:rPr>
            </w:pPr>
            <w:r w:rsidRPr="006E34A2">
              <w:rPr>
                <w:rFonts w:ascii="Tahoma" w:eastAsia="Calibri" w:hAnsi="Tahoma" w:cs="Tahoma"/>
                <w:sz w:val="20"/>
                <w:szCs w:val="20"/>
                <w:lang w:eastAsia="en-US"/>
              </w:rPr>
              <w:t xml:space="preserve">Не указанные в настоящем документе термины применяются в значении, указанном в Универсальном договоре банковского обслуживания физических лиц «Азиатско-Тихоокеанский Банк» (АО), размещённом на сайте Банка в сети Интернет по адресу </w:t>
            </w:r>
            <w:hyperlink r:id="rId38" w:history="1">
              <w:r w:rsidRPr="006E34A2">
                <w:rPr>
                  <w:rFonts w:ascii="Tahoma" w:eastAsia="Calibri" w:hAnsi="Tahoma" w:cs="Tahoma"/>
                  <w:sz w:val="20"/>
                  <w:szCs w:val="20"/>
                  <w:u w:val="single"/>
                  <w:lang w:eastAsia="en-US"/>
                </w:rPr>
                <w:t>www.atb.su</w:t>
              </w:r>
            </w:hyperlink>
            <w:r w:rsidRPr="006E34A2">
              <w:rPr>
                <w:rFonts w:ascii="Tahoma" w:eastAsia="Calibri" w:hAnsi="Tahoma" w:cs="Tahoma"/>
                <w:sz w:val="20"/>
                <w:szCs w:val="20"/>
                <w:u w:val="single"/>
                <w:lang w:eastAsia="en-US"/>
              </w:rPr>
              <w:t xml:space="preserve"> и в Подразделениях Банка</w:t>
            </w:r>
          </w:p>
        </w:tc>
      </w:tr>
    </w:tbl>
    <w:p w14:paraId="64B8D4F9" w14:textId="77777777" w:rsidR="006E34A2" w:rsidRPr="006E34A2" w:rsidRDefault="006E34A2" w:rsidP="006E34A2">
      <w:pPr>
        <w:tabs>
          <w:tab w:val="left" w:pos="851"/>
        </w:tabs>
        <w:ind w:left="360"/>
        <w:jc w:val="both"/>
        <w:rPr>
          <w:rFonts w:ascii="Tahoma" w:eastAsia="Calibri" w:hAnsi="Tahoma" w:cs="Tahoma"/>
          <w:b/>
          <w:bCs/>
          <w:caps/>
          <w:sz w:val="20"/>
          <w:szCs w:val="20"/>
          <w:lang w:eastAsia="en-US"/>
        </w:rPr>
      </w:pPr>
    </w:p>
    <w:p w14:paraId="21CF43BA" w14:textId="1A9A4734" w:rsidR="006E34A2" w:rsidRPr="006E34A2" w:rsidRDefault="006E34A2" w:rsidP="00CC78EE">
      <w:pPr>
        <w:pStyle w:val="affe"/>
        <w:numPr>
          <w:ilvl w:val="0"/>
          <w:numId w:val="158"/>
        </w:numPr>
        <w:tabs>
          <w:tab w:val="left" w:pos="851"/>
        </w:tabs>
        <w:spacing w:line="300" w:lineRule="auto"/>
        <w:contextualSpacing/>
        <w:jc w:val="both"/>
        <w:rPr>
          <w:rFonts w:ascii="Tahoma" w:eastAsia="Calibri" w:hAnsi="Tahoma" w:cs="Tahoma"/>
          <w:b/>
          <w:bCs/>
          <w:caps/>
          <w:sz w:val="20"/>
          <w:szCs w:val="20"/>
          <w:lang w:val="en-US" w:eastAsia="en-US"/>
        </w:rPr>
      </w:pPr>
      <w:r w:rsidRPr="006E34A2">
        <w:rPr>
          <w:rFonts w:ascii="Tahoma" w:eastAsia="Calibri" w:hAnsi="Tahoma" w:cs="Tahoma"/>
          <w:b/>
          <w:bCs/>
          <w:caps/>
          <w:sz w:val="20"/>
          <w:szCs w:val="20"/>
          <w:lang w:eastAsia="en-US"/>
        </w:rPr>
        <w:t>Условия предоставления Банковской услуги</w:t>
      </w:r>
    </w:p>
    <w:p w14:paraId="2766064C" w14:textId="77777777" w:rsidR="006E34A2" w:rsidRPr="006E34A2" w:rsidRDefault="006E34A2" w:rsidP="006E34A2">
      <w:pPr>
        <w:tabs>
          <w:tab w:val="left" w:pos="851"/>
        </w:tabs>
        <w:ind w:left="720"/>
        <w:contextualSpacing/>
        <w:jc w:val="both"/>
        <w:rPr>
          <w:rFonts w:ascii="Tahoma" w:eastAsia="Calibri" w:hAnsi="Tahoma" w:cs="Tahoma"/>
          <w:b/>
          <w:bCs/>
          <w:caps/>
          <w:sz w:val="20"/>
          <w:szCs w:val="20"/>
          <w:lang w:val="en-US" w:eastAsia="en-US"/>
        </w:rPr>
      </w:pPr>
    </w:p>
    <w:tbl>
      <w:tblPr>
        <w:tblW w:w="5000" w:type="pct"/>
        <w:tblLook w:val="04A0" w:firstRow="1" w:lastRow="0" w:firstColumn="1" w:lastColumn="0" w:noHBand="0" w:noVBand="1"/>
      </w:tblPr>
      <w:tblGrid>
        <w:gridCol w:w="2665"/>
        <w:gridCol w:w="13029"/>
      </w:tblGrid>
      <w:tr w:rsidR="006E34A2" w:rsidRPr="006E34A2" w14:paraId="0D4A4A48" w14:textId="77777777" w:rsidTr="005B68FD">
        <w:trPr>
          <w:trHeight w:val="255"/>
        </w:trPr>
        <w:tc>
          <w:tcPr>
            <w:tcW w:w="84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0C4F47" w14:textId="77777777" w:rsidR="006E34A2" w:rsidRPr="006E34A2" w:rsidRDefault="006E34A2" w:rsidP="006E34A2">
            <w:pPr>
              <w:jc w:val="center"/>
              <w:rPr>
                <w:rFonts w:ascii="Tahoma" w:hAnsi="Tahoma" w:cs="Tahoma"/>
                <w:b/>
                <w:bCs/>
                <w:sz w:val="20"/>
                <w:szCs w:val="20"/>
              </w:rPr>
            </w:pPr>
            <w:r w:rsidRPr="006E34A2">
              <w:rPr>
                <w:rFonts w:ascii="Tahoma" w:hAnsi="Tahoma" w:cs="Tahoma"/>
                <w:b/>
                <w:bCs/>
                <w:sz w:val="20"/>
                <w:szCs w:val="20"/>
              </w:rPr>
              <w:t>Наименование банковской услуги/ тарифного плана (далее ТП)</w:t>
            </w:r>
          </w:p>
        </w:tc>
        <w:tc>
          <w:tcPr>
            <w:tcW w:w="4151" w:type="pct"/>
            <w:tcBorders>
              <w:top w:val="single" w:sz="4" w:space="0" w:color="auto"/>
              <w:left w:val="nil"/>
              <w:bottom w:val="single" w:sz="4" w:space="0" w:color="auto"/>
              <w:right w:val="single" w:sz="4" w:space="0" w:color="auto"/>
            </w:tcBorders>
            <w:shd w:val="clear" w:color="auto" w:fill="auto"/>
            <w:vAlign w:val="center"/>
            <w:hideMark/>
          </w:tcPr>
          <w:p w14:paraId="434A1D13" w14:textId="77777777" w:rsidR="006E34A2" w:rsidRPr="006E34A2" w:rsidRDefault="006E34A2" w:rsidP="006E34A2">
            <w:pPr>
              <w:jc w:val="center"/>
              <w:rPr>
                <w:rFonts w:ascii="Tahoma" w:hAnsi="Tahoma" w:cs="Tahoma"/>
                <w:b/>
                <w:bCs/>
                <w:sz w:val="20"/>
                <w:szCs w:val="20"/>
              </w:rPr>
            </w:pPr>
            <w:r w:rsidRPr="006E34A2">
              <w:rPr>
                <w:rFonts w:ascii="Tahoma" w:hAnsi="Tahoma" w:cs="Tahoma"/>
                <w:b/>
                <w:bCs/>
                <w:sz w:val="20"/>
                <w:szCs w:val="20"/>
              </w:rPr>
              <w:t>«Реструктуризация «Техпомощь+»</w:t>
            </w:r>
          </w:p>
        </w:tc>
      </w:tr>
      <w:tr w:rsidR="006E34A2" w:rsidRPr="006E34A2" w14:paraId="3CBB9DB9" w14:textId="77777777" w:rsidTr="005B68FD">
        <w:trPr>
          <w:trHeight w:val="255"/>
        </w:trPr>
        <w:tc>
          <w:tcPr>
            <w:tcW w:w="849" w:type="pct"/>
            <w:tcBorders>
              <w:top w:val="single" w:sz="4" w:space="0" w:color="auto"/>
              <w:left w:val="single" w:sz="4" w:space="0" w:color="auto"/>
              <w:bottom w:val="single" w:sz="4" w:space="0" w:color="auto"/>
              <w:right w:val="single" w:sz="4" w:space="0" w:color="auto"/>
            </w:tcBorders>
            <w:shd w:val="clear" w:color="auto" w:fill="auto"/>
            <w:vAlign w:val="center"/>
          </w:tcPr>
          <w:p w14:paraId="7610609A" w14:textId="77777777" w:rsidR="006E34A2" w:rsidRPr="006E34A2" w:rsidRDefault="006E34A2" w:rsidP="006E34A2">
            <w:pPr>
              <w:jc w:val="center"/>
              <w:rPr>
                <w:rFonts w:ascii="Tahoma" w:hAnsi="Tahoma" w:cs="Tahoma"/>
                <w:b/>
                <w:bCs/>
                <w:sz w:val="20"/>
                <w:szCs w:val="20"/>
              </w:rPr>
            </w:pPr>
            <w:r w:rsidRPr="006E34A2">
              <w:rPr>
                <w:rFonts w:ascii="Tahoma" w:hAnsi="Tahoma" w:cs="Tahoma"/>
                <w:b/>
                <w:bCs/>
                <w:sz w:val="20"/>
                <w:szCs w:val="20"/>
              </w:rPr>
              <w:t>Подразделения Банка/Точки продаж, реализующие банковскую услугу</w:t>
            </w:r>
          </w:p>
        </w:tc>
        <w:tc>
          <w:tcPr>
            <w:tcW w:w="4151" w:type="pct"/>
            <w:tcBorders>
              <w:top w:val="single" w:sz="4" w:space="0" w:color="auto"/>
              <w:left w:val="nil"/>
              <w:bottom w:val="single" w:sz="4" w:space="0" w:color="auto"/>
              <w:right w:val="single" w:sz="4" w:space="0" w:color="auto"/>
            </w:tcBorders>
            <w:shd w:val="clear" w:color="auto" w:fill="auto"/>
            <w:vAlign w:val="center"/>
          </w:tcPr>
          <w:p w14:paraId="6D56F9D7" w14:textId="77777777" w:rsidR="006E34A2" w:rsidRPr="006E34A2" w:rsidRDefault="006E34A2" w:rsidP="006E34A2">
            <w:pPr>
              <w:jc w:val="center"/>
              <w:rPr>
                <w:rFonts w:ascii="Tahoma" w:hAnsi="Tahoma" w:cs="Tahoma"/>
                <w:sz w:val="20"/>
                <w:szCs w:val="20"/>
              </w:rPr>
            </w:pPr>
            <w:r w:rsidRPr="006E34A2">
              <w:rPr>
                <w:rFonts w:ascii="Tahoma" w:hAnsi="Tahoma" w:cs="Tahoma"/>
                <w:sz w:val="20"/>
                <w:szCs w:val="20"/>
              </w:rPr>
              <w:t>Все подразделения Банка, осуществляющие обслуживание физических лиц, включая дополнительные офисы</w:t>
            </w:r>
          </w:p>
        </w:tc>
      </w:tr>
      <w:tr w:rsidR="006E34A2" w:rsidRPr="006E34A2" w14:paraId="719F95DB" w14:textId="77777777" w:rsidTr="005B68FD">
        <w:trPr>
          <w:trHeight w:val="255"/>
        </w:trPr>
        <w:tc>
          <w:tcPr>
            <w:tcW w:w="849" w:type="pct"/>
            <w:tcBorders>
              <w:top w:val="single" w:sz="4" w:space="0" w:color="auto"/>
              <w:left w:val="single" w:sz="4" w:space="0" w:color="auto"/>
              <w:bottom w:val="single" w:sz="4" w:space="0" w:color="auto"/>
              <w:right w:val="single" w:sz="4" w:space="0" w:color="auto"/>
            </w:tcBorders>
            <w:shd w:val="clear" w:color="auto" w:fill="auto"/>
            <w:vAlign w:val="center"/>
          </w:tcPr>
          <w:p w14:paraId="049E9C5A" w14:textId="77777777" w:rsidR="006E34A2" w:rsidRPr="006E34A2" w:rsidRDefault="006E34A2" w:rsidP="006E34A2">
            <w:pPr>
              <w:jc w:val="center"/>
              <w:rPr>
                <w:rFonts w:ascii="Tahoma" w:hAnsi="Tahoma" w:cs="Tahoma"/>
                <w:b/>
                <w:bCs/>
                <w:sz w:val="20"/>
                <w:szCs w:val="20"/>
              </w:rPr>
            </w:pPr>
            <w:r w:rsidRPr="006E34A2">
              <w:rPr>
                <w:rFonts w:ascii="Tahoma" w:hAnsi="Tahoma" w:cs="Tahoma"/>
                <w:b/>
                <w:bCs/>
                <w:sz w:val="20"/>
                <w:szCs w:val="20"/>
              </w:rPr>
              <w:t>Категория Заёмщика</w:t>
            </w:r>
          </w:p>
        </w:tc>
        <w:tc>
          <w:tcPr>
            <w:tcW w:w="4151" w:type="pct"/>
            <w:tcBorders>
              <w:top w:val="single" w:sz="4" w:space="0" w:color="auto"/>
              <w:left w:val="nil"/>
              <w:bottom w:val="single" w:sz="4" w:space="0" w:color="auto"/>
              <w:right w:val="single" w:sz="4" w:space="0" w:color="auto"/>
            </w:tcBorders>
            <w:shd w:val="clear" w:color="auto" w:fill="auto"/>
            <w:vAlign w:val="center"/>
          </w:tcPr>
          <w:p w14:paraId="53E0C983" w14:textId="77777777" w:rsidR="006E34A2" w:rsidRPr="006E34A2" w:rsidRDefault="006E34A2" w:rsidP="006E34A2">
            <w:pPr>
              <w:jc w:val="center"/>
              <w:rPr>
                <w:rFonts w:ascii="Tahoma" w:hAnsi="Tahoma" w:cs="Tahoma"/>
                <w:sz w:val="20"/>
                <w:szCs w:val="20"/>
              </w:rPr>
            </w:pPr>
            <w:r w:rsidRPr="006E34A2">
              <w:rPr>
                <w:rFonts w:ascii="Tahoma" w:hAnsi="Tahoma" w:cs="Tahoma"/>
                <w:sz w:val="20"/>
                <w:szCs w:val="20"/>
              </w:rPr>
              <w:t>Физические лица, имеющие действующий(-ие) Кредитный(-ые) договор(-ы) в Банке (с учетом исключений и ограничений, установленных настоящим документом).</w:t>
            </w:r>
          </w:p>
        </w:tc>
      </w:tr>
      <w:tr w:rsidR="006E34A2" w:rsidRPr="006E34A2" w14:paraId="5C8C47BD" w14:textId="77777777" w:rsidTr="005B68FD">
        <w:trPr>
          <w:trHeight w:val="255"/>
        </w:trPr>
        <w:tc>
          <w:tcPr>
            <w:tcW w:w="849" w:type="pct"/>
            <w:tcBorders>
              <w:top w:val="single" w:sz="4" w:space="0" w:color="auto"/>
              <w:left w:val="single" w:sz="4" w:space="0" w:color="auto"/>
              <w:bottom w:val="single" w:sz="4" w:space="0" w:color="auto"/>
              <w:right w:val="single" w:sz="4" w:space="0" w:color="auto"/>
            </w:tcBorders>
            <w:shd w:val="clear" w:color="auto" w:fill="auto"/>
            <w:vAlign w:val="center"/>
          </w:tcPr>
          <w:p w14:paraId="1244E8A6" w14:textId="77777777" w:rsidR="006E34A2" w:rsidRPr="006E34A2" w:rsidRDefault="006E34A2" w:rsidP="006E34A2">
            <w:pPr>
              <w:jc w:val="center"/>
              <w:rPr>
                <w:rFonts w:ascii="Tahoma" w:hAnsi="Tahoma" w:cs="Tahoma"/>
                <w:b/>
                <w:bCs/>
                <w:color w:val="FF0000"/>
                <w:sz w:val="20"/>
                <w:szCs w:val="20"/>
              </w:rPr>
            </w:pPr>
            <w:r w:rsidRPr="006E34A2">
              <w:rPr>
                <w:rFonts w:ascii="Tahoma" w:hAnsi="Tahoma" w:cs="Tahoma"/>
                <w:b/>
                <w:bCs/>
                <w:color w:val="FF0000"/>
                <w:sz w:val="20"/>
                <w:szCs w:val="20"/>
              </w:rPr>
              <w:t>Стоимость услуги</w:t>
            </w:r>
          </w:p>
        </w:tc>
        <w:tc>
          <w:tcPr>
            <w:tcW w:w="4151" w:type="pct"/>
            <w:tcBorders>
              <w:top w:val="single" w:sz="4" w:space="0" w:color="auto"/>
              <w:left w:val="nil"/>
              <w:bottom w:val="single" w:sz="4" w:space="0" w:color="auto"/>
              <w:right w:val="single" w:sz="4" w:space="0" w:color="auto"/>
            </w:tcBorders>
            <w:shd w:val="clear" w:color="auto" w:fill="auto"/>
            <w:vAlign w:val="center"/>
          </w:tcPr>
          <w:p w14:paraId="789DE5F8" w14:textId="77777777" w:rsidR="006E34A2" w:rsidRPr="006E34A2" w:rsidRDefault="006E34A2" w:rsidP="006E34A2">
            <w:pPr>
              <w:jc w:val="center"/>
              <w:rPr>
                <w:rFonts w:ascii="Tahoma" w:hAnsi="Tahoma" w:cs="Tahoma"/>
                <w:color w:val="FF0000"/>
                <w:sz w:val="20"/>
                <w:szCs w:val="20"/>
              </w:rPr>
            </w:pPr>
            <w:r w:rsidRPr="006E34A2">
              <w:rPr>
                <w:rFonts w:ascii="Tahoma" w:hAnsi="Tahoma" w:cs="Tahoma"/>
                <w:color w:val="FF0000"/>
                <w:sz w:val="20"/>
                <w:szCs w:val="20"/>
              </w:rPr>
              <w:t>Бесплатно</w:t>
            </w:r>
          </w:p>
        </w:tc>
      </w:tr>
      <w:tr w:rsidR="006E34A2" w:rsidRPr="006E34A2" w14:paraId="3DE15778" w14:textId="77777777" w:rsidTr="005B68FD">
        <w:trPr>
          <w:trHeight w:val="255"/>
        </w:trPr>
        <w:tc>
          <w:tcPr>
            <w:tcW w:w="849" w:type="pct"/>
            <w:tcBorders>
              <w:top w:val="single" w:sz="4" w:space="0" w:color="auto"/>
              <w:left w:val="single" w:sz="4" w:space="0" w:color="auto"/>
              <w:bottom w:val="single" w:sz="4" w:space="0" w:color="auto"/>
              <w:right w:val="single" w:sz="4" w:space="0" w:color="auto"/>
            </w:tcBorders>
            <w:shd w:val="clear" w:color="auto" w:fill="auto"/>
            <w:hideMark/>
          </w:tcPr>
          <w:p w14:paraId="0CA90630" w14:textId="77777777" w:rsidR="006E34A2" w:rsidRPr="006E34A2" w:rsidRDefault="006E34A2" w:rsidP="006E34A2">
            <w:pPr>
              <w:jc w:val="center"/>
              <w:rPr>
                <w:rFonts w:ascii="Tahoma" w:eastAsia="Calibri" w:hAnsi="Tahoma" w:cs="Tahoma"/>
                <w:b/>
                <w:sz w:val="20"/>
                <w:szCs w:val="20"/>
                <w:lang w:eastAsia="en-US"/>
              </w:rPr>
            </w:pPr>
            <w:r w:rsidRPr="006E34A2">
              <w:rPr>
                <w:rFonts w:ascii="Tahoma" w:eastAsia="Calibri" w:hAnsi="Tahoma" w:cs="Tahoma"/>
                <w:b/>
                <w:sz w:val="20"/>
                <w:szCs w:val="20"/>
                <w:lang w:eastAsia="en-US"/>
              </w:rPr>
              <w:t>Описание услуги</w:t>
            </w:r>
          </w:p>
        </w:tc>
        <w:tc>
          <w:tcPr>
            <w:tcW w:w="4151" w:type="pct"/>
            <w:tcBorders>
              <w:top w:val="single" w:sz="4" w:space="0" w:color="auto"/>
              <w:left w:val="nil"/>
              <w:bottom w:val="single" w:sz="4" w:space="0" w:color="auto"/>
              <w:right w:val="single" w:sz="4" w:space="0" w:color="auto"/>
            </w:tcBorders>
            <w:shd w:val="clear" w:color="auto" w:fill="auto"/>
          </w:tcPr>
          <w:p w14:paraId="4B5F21D3" w14:textId="77777777" w:rsidR="006E34A2" w:rsidRPr="006E34A2" w:rsidRDefault="006E34A2" w:rsidP="006E34A2">
            <w:pPr>
              <w:widowControl w:val="0"/>
              <w:tabs>
                <w:tab w:val="left" w:pos="851"/>
              </w:tabs>
              <w:adjustRightInd w:val="0"/>
              <w:jc w:val="both"/>
              <w:rPr>
                <w:rFonts w:ascii="Tahoma" w:hAnsi="Tahoma" w:cs="Tahoma"/>
                <w:sz w:val="20"/>
                <w:szCs w:val="20"/>
              </w:rPr>
            </w:pPr>
            <w:r w:rsidRPr="006E34A2">
              <w:rPr>
                <w:rFonts w:ascii="Tahoma" w:hAnsi="Tahoma" w:cs="Tahoma"/>
                <w:sz w:val="20"/>
                <w:szCs w:val="20"/>
              </w:rPr>
              <w:t>По Кредитным договорам, заключенным Банком с Заемщиками - физическими лицами:</w:t>
            </w:r>
          </w:p>
          <w:p w14:paraId="1BA172F2" w14:textId="77777777" w:rsidR="006E34A2" w:rsidRPr="006E34A2" w:rsidRDefault="006E34A2" w:rsidP="006E34A2">
            <w:pPr>
              <w:widowControl w:val="0"/>
              <w:tabs>
                <w:tab w:val="left" w:pos="851"/>
              </w:tabs>
              <w:adjustRightInd w:val="0"/>
              <w:jc w:val="both"/>
              <w:rPr>
                <w:rFonts w:ascii="Tahoma" w:hAnsi="Tahoma" w:cs="Tahoma"/>
                <w:color w:val="FF0000"/>
                <w:sz w:val="20"/>
                <w:szCs w:val="20"/>
              </w:rPr>
            </w:pPr>
            <w:r w:rsidRPr="006E34A2">
              <w:rPr>
                <w:rFonts w:ascii="Tahoma" w:hAnsi="Tahoma" w:cs="Tahoma"/>
                <w:sz w:val="20"/>
                <w:szCs w:val="20"/>
              </w:rPr>
              <w:t>•</w:t>
            </w:r>
            <w:r w:rsidRPr="006E34A2">
              <w:rPr>
                <w:rFonts w:ascii="Tahoma" w:hAnsi="Tahoma" w:cs="Tahoma"/>
                <w:sz w:val="20"/>
                <w:szCs w:val="20"/>
              </w:rPr>
              <w:tab/>
            </w:r>
            <w:r w:rsidRPr="006E34A2">
              <w:rPr>
                <w:rFonts w:ascii="Tahoma" w:hAnsi="Tahoma" w:cs="Tahoma"/>
                <w:color w:val="FF0000"/>
                <w:sz w:val="20"/>
                <w:szCs w:val="20"/>
              </w:rPr>
              <w:t xml:space="preserve">При сроке просрочки Заемщиком исполнения своих обязательств по Кредитному договору длительностью от 1 до 90 календарных дней включительно, при условии погашения суммы просроченной задолженности по Кредиту до момента подачи Заемщиком заявления. </w:t>
            </w:r>
          </w:p>
          <w:p w14:paraId="1BC378D8" w14:textId="77777777" w:rsidR="006E34A2" w:rsidRPr="006E34A2" w:rsidRDefault="006E34A2" w:rsidP="006E34A2">
            <w:pPr>
              <w:widowControl w:val="0"/>
              <w:tabs>
                <w:tab w:val="left" w:pos="851"/>
              </w:tabs>
              <w:adjustRightInd w:val="0"/>
              <w:jc w:val="both"/>
              <w:rPr>
                <w:rFonts w:ascii="Tahoma" w:hAnsi="Tahoma" w:cs="Tahoma"/>
                <w:color w:val="FF0000"/>
                <w:sz w:val="20"/>
                <w:szCs w:val="20"/>
              </w:rPr>
            </w:pPr>
            <w:r w:rsidRPr="006E34A2">
              <w:rPr>
                <w:rFonts w:ascii="Tahoma" w:hAnsi="Tahoma" w:cs="Tahoma"/>
                <w:color w:val="FF0000"/>
                <w:sz w:val="20"/>
                <w:szCs w:val="20"/>
              </w:rPr>
              <w:t>•</w:t>
            </w:r>
            <w:r w:rsidRPr="006E34A2">
              <w:rPr>
                <w:rFonts w:ascii="Tahoma" w:hAnsi="Tahoma" w:cs="Tahoma"/>
                <w:color w:val="FF0000"/>
                <w:sz w:val="20"/>
                <w:szCs w:val="20"/>
              </w:rPr>
              <w:tab/>
              <w:t xml:space="preserve">Внесении денежных средств для погашения очередного ближайшего обязательного минимального ежемесячного платежа по Кредитному договору согласно действующему графику платежей по Кредитному договору, если дата предстоящего платежа наступает в </w:t>
            </w:r>
            <w:r w:rsidRPr="006E34A2">
              <w:rPr>
                <w:rFonts w:ascii="Tahoma" w:hAnsi="Tahoma" w:cs="Tahoma"/>
                <w:color w:val="FF0000"/>
                <w:sz w:val="20"/>
                <w:szCs w:val="20"/>
              </w:rPr>
              <w:lastRenderedPageBreak/>
              <w:t>течение 5 рабочих дней, с момента подачи Заемщиком заявления.</w:t>
            </w:r>
          </w:p>
          <w:p w14:paraId="34FFC286" w14:textId="77777777" w:rsidR="006E34A2" w:rsidRPr="006E34A2" w:rsidRDefault="006E34A2" w:rsidP="006E34A2">
            <w:pPr>
              <w:spacing w:line="300" w:lineRule="auto"/>
              <w:jc w:val="both"/>
              <w:rPr>
                <w:rFonts w:ascii="Tahoma" w:eastAsia="Calibri" w:hAnsi="Tahoma" w:cs="Tahoma"/>
                <w:sz w:val="20"/>
                <w:szCs w:val="20"/>
                <w:lang w:eastAsia="en-US"/>
              </w:rPr>
            </w:pPr>
            <w:r w:rsidRPr="006E34A2">
              <w:rPr>
                <w:rFonts w:ascii="Tahoma" w:hAnsi="Tahoma" w:cs="Tahoma"/>
                <w:sz w:val="20"/>
                <w:szCs w:val="20"/>
              </w:rPr>
              <w:t>Производится полная</w:t>
            </w:r>
            <w:r w:rsidRPr="006E34A2">
              <w:rPr>
                <w:rFonts w:ascii="Tahoma" w:eastAsia="Calibri" w:hAnsi="Tahoma" w:cs="Tahoma"/>
                <w:sz w:val="20"/>
                <w:szCs w:val="20"/>
                <w:lang w:eastAsia="en-US"/>
              </w:rPr>
              <w:t xml:space="preserve"> отсрочка по уплате суммы процентов и суммы основного долга по Кредиту на срок </w:t>
            </w:r>
            <w:r w:rsidRPr="006E34A2">
              <w:rPr>
                <w:rFonts w:ascii="Tahoma" w:hAnsi="Tahoma" w:cs="Tahoma"/>
                <w:sz w:val="20"/>
                <w:szCs w:val="20"/>
              </w:rPr>
              <w:t xml:space="preserve">до 4 месяцев </w:t>
            </w:r>
            <w:r w:rsidRPr="006E34A2">
              <w:rPr>
                <w:rFonts w:ascii="Tahoma" w:eastAsia="Calibri" w:hAnsi="Tahoma" w:cs="Tahoma"/>
                <w:sz w:val="20"/>
                <w:szCs w:val="20"/>
                <w:lang w:eastAsia="en-US"/>
              </w:rPr>
              <w:t xml:space="preserve">(далее – Полная отсрочка) или </w:t>
            </w:r>
            <w:r w:rsidRPr="006E34A2">
              <w:rPr>
                <w:rFonts w:ascii="Tahoma" w:hAnsi="Tahoma" w:cs="Tahoma"/>
                <w:sz w:val="20"/>
                <w:szCs w:val="20"/>
              </w:rPr>
              <w:t>отсрочка по уплате суммы основного долга по Кредиту на срок до 4 месяцев</w:t>
            </w:r>
            <w:r w:rsidRPr="006E34A2">
              <w:rPr>
                <w:rFonts w:ascii="Tahoma" w:eastAsia="Calibri" w:hAnsi="Tahoma" w:cs="Tahoma"/>
                <w:sz w:val="20"/>
                <w:szCs w:val="20"/>
                <w:lang w:eastAsia="en-US"/>
              </w:rPr>
              <w:t xml:space="preserve"> и увеличение срока возврата Кредита (при наличии возможности) минимум на срок предоставляемой Банком отсрочки ежемесячного платежа по Кредиту, установленной по ТП, максимум на срок</w:t>
            </w:r>
            <w:r w:rsidRPr="006E34A2">
              <w:rPr>
                <w:rFonts w:ascii="Tahoma" w:eastAsia="Calibri" w:hAnsi="Tahoma" w:cs="Tahoma"/>
                <w:sz w:val="20"/>
                <w:szCs w:val="20"/>
                <w:vertAlign w:val="superscript"/>
                <w:lang w:eastAsia="en-US"/>
              </w:rPr>
              <w:t>1</w:t>
            </w:r>
            <w:r w:rsidRPr="006E34A2">
              <w:rPr>
                <w:rFonts w:ascii="Tahoma" w:eastAsia="Calibri" w:hAnsi="Tahoma" w:cs="Tahoma"/>
                <w:sz w:val="20"/>
                <w:szCs w:val="20"/>
                <w:lang w:eastAsia="en-US"/>
              </w:rPr>
              <w:t>:</w:t>
            </w:r>
          </w:p>
          <w:p w14:paraId="52D6502B" w14:textId="77777777" w:rsidR="006E34A2" w:rsidRPr="006E34A2" w:rsidRDefault="006E34A2" w:rsidP="006E34A2">
            <w:pPr>
              <w:spacing w:line="300" w:lineRule="auto"/>
              <w:jc w:val="both"/>
              <w:rPr>
                <w:rFonts w:ascii="Tahoma" w:eastAsia="Calibri" w:hAnsi="Tahoma" w:cs="Tahoma"/>
                <w:sz w:val="20"/>
                <w:szCs w:val="20"/>
                <w:lang w:eastAsia="en-US"/>
              </w:rPr>
            </w:pPr>
            <w:r w:rsidRPr="006E34A2">
              <w:rPr>
                <w:rFonts w:ascii="Tahoma" w:eastAsia="Calibri" w:hAnsi="Tahoma" w:cs="Tahoma"/>
                <w:sz w:val="20"/>
                <w:szCs w:val="20"/>
                <w:lang w:eastAsia="en-US"/>
              </w:rPr>
              <w:t>- по Договору «Потребительский кредит» - до 5 лет включительно или до достижения Заемщиком 70 лет на дату возврата Кредита;</w:t>
            </w:r>
          </w:p>
          <w:p w14:paraId="02CE5206" w14:textId="77777777" w:rsidR="006E34A2" w:rsidRPr="006E34A2" w:rsidRDefault="006E34A2" w:rsidP="006E34A2">
            <w:pPr>
              <w:spacing w:line="300" w:lineRule="auto"/>
              <w:jc w:val="both"/>
              <w:rPr>
                <w:rFonts w:ascii="Tahoma" w:eastAsia="Calibri" w:hAnsi="Tahoma" w:cs="Tahoma"/>
                <w:sz w:val="20"/>
                <w:szCs w:val="20"/>
                <w:lang w:eastAsia="en-US"/>
              </w:rPr>
            </w:pPr>
            <w:r w:rsidRPr="006E34A2">
              <w:rPr>
                <w:rFonts w:ascii="Tahoma" w:eastAsia="Calibri" w:hAnsi="Tahoma" w:cs="Tahoma"/>
                <w:sz w:val="20"/>
                <w:szCs w:val="20"/>
                <w:lang w:eastAsia="en-US"/>
              </w:rPr>
              <w:t>- по Договору «Потребительский кредит (с лимитом кредитования)» – на срок не более максимального срока действия Кредита, чем предусмотрено тарифным планом по Договору «Потребительский кредит (с лимитом кредитования)», с учетом проведенной реструктуризации;</w:t>
            </w:r>
          </w:p>
          <w:p w14:paraId="402D5FD6" w14:textId="77777777" w:rsidR="006E34A2" w:rsidRPr="006E34A2" w:rsidRDefault="006E34A2" w:rsidP="006E34A2">
            <w:pPr>
              <w:spacing w:line="300" w:lineRule="auto"/>
              <w:jc w:val="both"/>
              <w:rPr>
                <w:rFonts w:ascii="Tahoma" w:eastAsia="Calibri" w:hAnsi="Tahoma" w:cs="Tahoma"/>
                <w:sz w:val="20"/>
                <w:szCs w:val="20"/>
                <w:lang w:eastAsia="en-US"/>
              </w:rPr>
            </w:pPr>
            <w:r w:rsidRPr="006E34A2">
              <w:rPr>
                <w:rFonts w:ascii="Tahoma" w:eastAsia="Calibri" w:hAnsi="Tahoma" w:cs="Tahoma"/>
                <w:sz w:val="20"/>
                <w:szCs w:val="20"/>
                <w:lang w:eastAsia="en-US"/>
              </w:rPr>
              <w:t>- по Договору «Потребительский кредит АК», Договору «Потребительский кредит под залог транспортного средства»  – до 8 лет включительно или до достижения Заемщиком 70-ти лет на дату возврата Кредита;</w:t>
            </w:r>
          </w:p>
          <w:p w14:paraId="27C25C4E" w14:textId="77777777" w:rsidR="006E34A2" w:rsidRPr="006E34A2" w:rsidRDefault="006E34A2" w:rsidP="006E34A2">
            <w:pPr>
              <w:spacing w:line="300" w:lineRule="auto"/>
              <w:jc w:val="both"/>
              <w:rPr>
                <w:rFonts w:ascii="Tahoma" w:eastAsia="Calibri" w:hAnsi="Tahoma" w:cs="Tahoma"/>
                <w:sz w:val="20"/>
                <w:szCs w:val="20"/>
                <w:lang w:eastAsia="en-US"/>
              </w:rPr>
            </w:pPr>
            <w:r w:rsidRPr="006E34A2">
              <w:rPr>
                <w:rFonts w:ascii="Tahoma" w:eastAsia="Calibri" w:hAnsi="Tahoma" w:cs="Tahoma"/>
                <w:sz w:val="20"/>
                <w:szCs w:val="20"/>
                <w:lang w:eastAsia="en-US"/>
              </w:rPr>
              <w:t xml:space="preserve">и снижение процентной ставки по Кредиту до 20 процентов годовых или без снижения процентной ставки по Кредиту, если действующая процентная ставка менее, чем 20 процентов годовых. </w:t>
            </w:r>
          </w:p>
          <w:p w14:paraId="665BD25B" w14:textId="77777777" w:rsidR="006E34A2" w:rsidRPr="006E34A2" w:rsidRDefault="006E34A2" w:rsidP="006E34A2">
            <w:pPr>
              <w:spacing w:line="300" w:lineRule="auto"/>
              <w:jc w:val="both"/>
              <w:rPr>
                <w:rFonts w:ascii="Tahoma" w:eastAsia="Calibri" w:hAnsi="Tahoma" w:cs="Tahoma"/>
                <w:sz w:val="20"/>
                <w:szCs w:val="20"/>
                <w:lang w:eastAsia="en-US"/>
              </w:rPr>
            </w:pPr>
            <w:r w:rsidRPr="006E34A2">
              <w:rPr>
                <w:rFonts w:ascii="Tahoma" w:eastAsia="Calibri" w:hAnsi="Tahoma" w:cs="Tahoma"/>
                <w:sz w:val="20"/>
                <w:szCs w:val="20"/>
                <w:lang w:eastAsia="en-US"/>
              </w:rPr>
              <w:t>По Договору «Потребительский кредит АК», Договору «Потребительский кредит под залог транспортного средства»  снижение процентной ставки не применяется.</w:t>
            </w:r>
          </w:p>
          <w:p w14:paraId="6BA1EBD6" w14:textId="77777777" w:rsidR="006E34A2" w:rsidRPr="006E34A2" w:rsidRDefault="006E34A2" w:rsidP="006E34A2">
            <w:pPr>
              <w:spacing w:line="300" w:lineRule="auto"/>
              <w:jc w:val="both"/>
              <w:rPr>
                <w:rFonts w:ascii="Tahoma" w:eastAsia="Calibri" w:hAnsi="Tahoma" w:cs="Tahoma"/>
                <w:sz w:val="20"/>
                <w:szCs w:val="20"/>
                <w:lang w:eastAsia="en-US"/>
              </w:rPr>
            </w:pPr>
            <w:r w:rsidRPr="006E34A2">
              <w:rPr>
                <w:rFonts w:ascii="Tahoma" w:eastAsia="Calibri" w:hAnsi="Tahoma" w:cs="Tahoma"/>
                <w:sz w:val="20"/>
                <w:szCs w:val="20"/>
                <w:vertAlign w:val="superscript"/>
                <w:lang w:eastAsia="en-US"/>
              </w:rPr>
              <w:t>1</w:t>
            </w:r>
            <w:r w:rsidRPr="006E34A2">
              <w:rPr>
                <w:rFonts w:ascii="Tahoma" w:eastAsia="Calibri" w:hAnsi="Tahoma" w:cs="Tahoma"/>
                <w:sz w:val="20"/>
                <w:szCs w:val="20"/>
                <w:lang w:eastAsia="en-US"/>
              </w:rPr>
              <w:t>общий срок Кредита с даты выдачи до момента окончания, с учётом предоставленной пролонгации.</w:t>
            </w:r>
          </w:p>
        </w:tc>
      </w:tr>
      <w:tr w:rsidR="006E34A2" w:rsidRPr="006E34A2" w14:paraId="392CBE45" w14:textId="77777777" w:rsidTr="005B68FD">
        <w:trPr>
          <w:trHeight w:val="255"/>
        </w:trPr>
        <w:tc>
          <w:tcPr>
            <w:tcW w:w="849" w:type="pct"/>
            <w:tcBorders>
              <w:top w:val="single" w:sz="4" w:space="0" w:color="auto"/>
              <w:left w:val="single" w:sz="4" w:space="0" w:color="auto"/>
              <w:bottom w:val="single" w:sz="4" w:space="0" w:color="auto"/>
              <w:right w:val="single" w:sz="4" w:space="0" w:color="auto"/>
            </w:tcBorders>
            <w:shd w:val="clear" w:color="auto" w:fill="auto"/>
          </w:tcPr>
          <w:p w14:paraId="08E571A3" w14:textId="77777777" w:rsidR="006E34A2" w:rsidRPr="006E34A2" w:rsidRDefault="006E34A2" w:rsidP="006E34A2">
            <w:pPr>
              <w:jc w:val="center"/>
              <w:rPr>
                <w:rFonts w:ascii="Tahoma" w:eastAsia="Calibri" w:hAnsi="Tahoma" w:cs="Tahoma"/>
                <w:b/>
                <w:sz w:val="20"/>
                <w:szCs w:val="20"/>
                <w:lang w:eastAsia="en-US"/>
              </w:rPr>
            </w:pPr>
            <w:r w:rsidRPr="006E34A2">
              <w:rPr>
                <w:rFonts w:ascii="Tahoma" w:eastAsia="Calibri" w:hAnsi="Tahoma" w:cs="Tahoma"/>
                <w:b/>
                <w:sz w:val="20"/>
                <w:szCs w:val="20"/>
                <w:lang w:eastAsia="en-US"/>
              </w:rPr>
              <w:lastRenderedPageBreak/>
              <w:t>Дополнительные требования для предоставления услуги</w:t>
            </w:r>
          </w:p>
        </w:tc>
        <w:tc>
          <w:tcPr>
            <w:tcW w:w="4151" w:type="pct"/>
            <w:tcBorders>
              <w:top w:val="single" w:sz="4" w:space="0" w:color="auto"/>
              <w:left w:val="nil"/>
              <w:bottom w:val="single" w:sz="4" w:space="0" w:color="auto"/>
              <w:right w:val="single" w:sz="4" w:space="0" w:color="auto"/>
            </w:tcBorders>
            <w:shd w:val="clear" w:color="auto" w:fill="auto"/>
          </w:tcPr>
          <w:p w14:paraId="654521ED" w14:textId="77777777" w:rsidR="006E34A2" w:rsidRPr="006E34A2" w:rsidRDefault="006E34A2" w:rsidP="006E34A2">
            <w:pPr>
              <w:widowControl w:val="0"/>
              <w:tabs>
                <w:tab w:val="left" w:pos="851"/>
              </w:tabs>
              <w:adjustRightInd w:val="0"/>
              <w:ind w:left="203"/>
              <w:jc w:val="both"/>
              <w:rPr>
                <w:rFonts w:ascii="Tahoma" w:eastAsia="Calibri" w:hAnsi="Tahoma" w:cs="Tahoma"/>
                <w:sz w:val="20"/>
                <w:szCs w:val="20"/>
                <w:lang w:eastAsia="en-US"/>
              </w:rPr>
            </w:pPr>
            <w:r w:rsidRPr="006E34A2">
              <w:rPr>
                <w:rFonts w:ascii="Tahoma" w:eastAsia="Calibri" w:hAnsi="Tahoma" w:cs="Tahoma"/>
                <w:sz w:val="20"/>
                <w:szCs w:val="20"/>
                <w:lang w:eastAsia="en-US"/>
              </w:rPr>
              <w:t xml:space="preserve">         1. Услуга предоставляется только по следующим Кредитным договорам: </w:t>
            </w:r>
          </w:p>
          <w:p w14:paraId="28336547" w14:textId="77777777" w:rsidR="006E34A2" w:rsidRPr="006E34A2" w:rsidRDefault="006E34A2" w:rsidP="006E34A2">
            <w:pPr>
              <w:widowControl w:val="0"/>
              <w:tabs>
                <w:tab w:val="left" w:pos="851"/>
              </w:tabs>
              <w:adjustRightInd w:val="0"/>
              <w:ind w:left="770"/>
              <w:jc w:val="both"/>
              <w:rPr>
                <w:rFonts w:ascii="Tahoma" w:eastAsia="Calibri" w:hAnsi="Tahoma" w:cs="Tahoma"/>
                <w:sz w:val="20"/>
                <w:szCs w:val="20"/>
                <w:lang w:eastAsia="en-US"/>
              </w:rPr>
            </w:pPr>
            <w:r w:rsidRPr="006E34A2">
              <w:rPr>
                <w:rFonts w:ascii="Tahoma" w:eastAsia="Calibri" w:hAnsi="Tahoma" w:cs="Tahoma"/>
                <w:sz w:val="20"/>
                <w:szCs w:val="20"/>
                <w:lang w:eastAsia="en-US"/>
              </w:rPr>
              <w:t xml:space="preserve">Кредитные договоры с наличием просроченной задолженности длительностью непрерывно от 1 до 90 календарных дней </w:t>
            </w:r>
            <w:r w:rsidRPr="006E34A2">
              <w:rPr>
                <w:rFonts w:ascii="Tahoma" w:eastAsia="Calibri" w:hAnsi="Tahoma" w:cs="Tahoma"/>
                <w:color w:val="FF0000"/>
                <w:sz w:val="20"/>
                <w:szCs w:val="20"/>
                <w:lang w:eastAsia="en-US"/>
              </w:rPr>
              <w:t>(включительно), при условии погашения суммы просроченной задолженности по Кредиту до момента подачи Заемщиком заявления, а также внесении денежных средств для погашения очередного ближайшего обязательного минимального ежемесячного платежа по Кредитному договору согласно действующему графику платежей по Кредитному договору, если дата предстоящего платежа наступает в течение 5 рабочих дней, с момента подачи Заемщиком заявления,</w:t>
            </w:r>
            <w:r w:rsidRPr="006E34A2">
              <w:rPr>
                <w:rFonts w:ascii="Tahoma" w:eastAsia="Calibri" w:hAnsi="Tahoma" w:cs="Tahoma"/>
                <w:sz w:val="20"/>
                <w:szCs w:val="20"/>
                <w:lang w:eastAsia="en-US"/>
              </w:rPr>
              <w:t xml:space="preserve"> и в том числе Кредитные договоры, где Заемщики ранее воспользовались услугой Банка «Отсрочка погашения основного долга по Кредиту».</w:t>
            </w:r>
          </w:p>
          <w:p w14:paraId="56C12903" w14:textId="77777777" w:rsidR="006E34A2" w:rsidRPr="006E34A2" w:rsidRDefault="006E34A2" w:rsidP="006E34A2">
            <w:pPr>
              <w:widowControl w:val="0"/>
              <w:tabs>
                <w:tab w:val="left" w:pos="851"/>
              </w:tabs>
              <w:adjustRightInd w:val="0"/>
              <w:ind w:left="360"/>
              <w:jc w:val="both"/>
              <w:rPr>
                <w:rFonts w:ascii="Tahoma" w:eastAsia="Calibri" w:hAnsi="Tahoma" w:cs="Tahoma"/>
                <w:sz w:val="20"/>
                <w:szCs w:val="20"/>
                <w:lang w:eastAsia="en-US"/>
              </w:rPr>
            </w:pPr>
          </w:p>
          <w:p w14:paraId="4B4F3839" w14:textId="77777777" w:rsidR="006E34A2" w:rsidRPr="006E34A2" w:rsidRDefault="006E34A2" w:rsidP="006E34A2">
            <w:pPr>
              <w:widowControl w:val="0"/>
              <w:tabs>
                <w:tab w:val="left" w:pos="851"/>
              </w:tabs>
              <w:adjustRightInd w:val="0"/>
              <w:spacing w:after="200"/>
              <w:ind w:left="720"/>
              <w:contextualSpacing/>
              <w:jc w:val="both"/>
              <w:rPr>
                <w:rFonts w:ascii="Tahoma" w:eastAsia="Calibri" w:hAnsi="Tahoma" w:cs="Tahoma"/>
                <w:sz w:val="20"/>
                <w:szCs w:val="20"/>
                <w:lang w:eastAsia="en-US"/>
              </w:rPr>
            </w:pPr>
            <w:r w:rsidRPr="006E34A2">
              <w:rPr>
                <w:rFonts w:ascii="Calibri" w:eastAsia="Calibri" w:hAnsi="Calibri"/>
                <w:color w:val="FF0000"/>
                <w:sz w:val="22"/>
                <w:szCs w:val="22"/>
                <w:lang w:eastAsia="en-US"/>
              </w:rPr>
              <w:t>2. В случае принятия Банком положительного решения по обращению Заемщика о предоставлении услуги Банка согласно настоящему документу, в срок – не позднее даты ближайшего  обязательного минимального ежемесячного платежа, предусмотренного Кредитным договором, потребуется подписание дополнительных соглашений к кредитно-обеспечительной документации с Заемщиком, а также залогодателем и/или поручителем (при наличии таковых).</w:t>
            </w:r>
          </w:p>
        </w:tc>
      </w:tr>
      <w:tr w:rsidR="006E34A2" w:rsidRPr="006E34A2" w14:paraId="2DFC7579" w14:textId="77777777" w:rsidTr="005B68FD">
        <w:trPr>
          <w:trHeight w:val="255"/>
        </w:trPr>
        <w:tc>
          <w:tcPr>
            <w:tcW w:w="849" w:type="pct"/>
            <w:tcBorders>
              <w:top w:val="single" w:sz="4" w:space="0" w:color="auto"/>
              <w:left w:val="single" w:sz="4" w:space="0" w:color="auto"/>
              <w:bottom w:val="single" w:sz="4" w:space="0" w:color="auto"/>
              <w:right w:val="single" w:sz="4" w:space="0" w:color="auto"/>
            </w:tcBorders>
            <w:shd w:val="clear" w:color="auto" w:fill="auto"/>
          </w:tcPr>
          <w:p w14:paraId="048C3590" w14:textId="77777777" w:rsidR="006E34A2" w:rsidRPr="006E34A2" w:rsidRDefault="006E34A2" w:rsidP="006E34A2">
            <w:pPr>
              <w:jc w:val="center"/>
              <w:rPr>
                <w:rFonts w:ascii="Tahoma" w:eastAsia="Calibri" w:hAnsi="Tahoma" w:cs="Tahoma"/>
                <w:b/>
                <w:sz w:val="20"/>
                <w:szCs w:val="20"/>
                <w:lang w:eastAsia="en-US"/>
              </w:rPr>
            </w:pPr>
            <w:r w:rsidRPr="006E34A2">
              <w:rPr>
                <w:rFonts w:ascii="Tahoma" w:eastAsia="Calibri" w:hAnsi="Tahoma" w:cs="Tahoma"/>
                <w:b/>
                <w:sz w:val="20"/>
                <w:szCs w:val="20"/>
                <w:lang w:eastAsia="en-US"/>
              </w:rPr>
              <w:t>Ограничения по предоставлению услуги</w:t>
            </w:r>
          </w:p>
        </w:tc>
        <w:tc>
          <w:tcPr>
            <w:tcW w:w="4151" w:type="pct"/>
            <w:tcBorders>
              <w:top w:val="single" w:sz="4" w:space="0" w:color="auto"/>
              <w:left w:val="nil"/>
              <w:bottom w:val="single" w:sz="4" w:space="0" w:color="auto"/>
              <w:right w:val="single" w:sz="4" w:space="0" w:color="auto"/>
            </w:tcBorders>
            <w:shd w:val="clear" w:color="auto" w:fill="auto"/>
          </w:tcPr>
          <w:p w14:paraId="11EF7649" w14:textId="77777777" w:rsidR="006E34A2" w:rsidRPr="006E34A2" w:rsidRDefault="006E34A2" w:rsidP="006D3ED5">
            <w:pPr>
              <w:widowControl w:val="0"/>
              <w:numPr>
                <w:ilvl w:val="0"/>
                <w:numId w:val="74"/>
              </w:numPr>
              <w:tabs>
                <w:tab w:val="left" w:pos="851"/>
              </w:tabs>
              <w:adjustRightInd w:val="0"/>
              <w:spacing w:after="200" w:line="300" w:lineRule="auto"/>
              <w:contextualSpacing/>
              <w:jc w:val="both"/>
              <w:rPr>
                <w:rFonts w:ascii="Tahoma" w:eastAsia="Calibri" w:hAnsi="Tahoma" w:cs="Tahoma"/>
                <w:sz w:val="20"/>
                <w:szCs w:val="20"/>
                <w:lang w:eastAsia="en-US"/>
              </w:rPr>
            </w:pPr>
            <w:r w:rsidRPr="006E34A2">
              <w:rPr>
                <w:rFonts w:ascii="Tahoma" w:eastAsia="Calibri" w:hAnsi="Tahoma" w:cs="Tahoma"/>
                <w:sz w:val="20"/>
                <w:szCs w:val="20"/>
                <w:lang w:eastAsia="en-US"/>
              </w:rPr>
              <w:t>Условия ТП не распространяются на Кредитные договоры с ежемесячным платежом по Кредиту менее 1000 (одной тысячи) рублей на дату обращения Заёмщика.</w:t>
            </w:r>
          </w:p>
          <w:p w14:paraId="2A997F00" w14:textId="77777777" w:rsidR="006E34A2" w:rsidRPr="006E34A2" w:rsidRDefault="006E34A2" w:rsidP="006D3ED5">
            <w:pPr>
              <w:widowControl w:val="0"/>
              <w:numPr>
                <w:ilvl w:val="0"/>
                <w:numId w:val="74"/>
              </w:numPr>
              <w:tabs>
                <w:tab w:val="left" w:pos="851"/>
              </w:tabs>
              <w:adjustRightInd w:val="0"/>
              <w:spacing w:after="200" w:line="300" w:lineRule="auto"/>
              <w:contextualSpacing/>
              <w:jc w:val="both"/>
              <w:rPr>
                <w:rFonts w:ascii="Tahoma" w:eastAsia="Calibri" w:hAnsi="Tahoma" w:cs="Tahoma"/>
                <w:sz w:val="20"/>
                <w:szCs w:val="20"/>
                <w:lang w:eastAsia="en-US"/>
              </w:rPr>
            </w:pPr>
            <w:r w:rsidRPr="006E34A2">
              <w:rPr>
                <w:rFonts w:ascii="Tahoma" w:eastAsia="Calibri" w:hAnsi="Tahoma" w:cs="Tahoma"/>
                <w:sz w:val="20"/>
                <w:szCs w:val="20"/>
                <w:lang w:eastAsia="en-US"/>
              </w:rPr>
              <w:t xml:space="preserve">Полная отсрочка может быть предоставлена 1 (один) раз с даты заключения Кредитного договора в течение всего срока действия Кредитного договора. </w:t>
            </w:r>
            <w:r w:rsidRPr="006E34A2">
              <w:rPr>
                <w:rFonts w:ascii="Tahoma" w:eastAsia="Calibri" w:hAnsi="Tahoma" w:cs="Tahoma"/>
                <w:color w:val="FF0000"/>
                <w:sz w:val="20"/>
                <w:szCs w:val="20"/>
                <w:lang w:eastAsia="en-US"/>
              </w:rPr>
              <w:t>Если по Кредитному договору ранее предоставлялась Полная отсрочка, то возможно предоставление отсрочки по уплате суммы основного долга по Кредиту на срок до 4 месяцев.</w:t>
            </w:r>
            <w:r w:rsidRPr="006E34A2">
              <w:rPr>
                <w:rFonts w:ascii="Tahoma" w:eastAsia="Calibri" w:hAnsi="Tahoma" w:cs="Tahoma"/>
                <w:sz w:val="20"/>
                <w:szCs w:val="20"/>
                <w:lang w:eastAsia="en-US"/>
              </w:rPr>
              <w:t xml:space="preserve"> </w:t>
            </w:r>
          </w:p>
          <w:p w14:paraId="5DA9EA7B" w14:textId="77777777" w:rsidR="006E34A2" w:rsidRPr="006E34A2" w:rsidRDefault="006E34A2" w:rsidP="006D3ED5">
            <w:pPr>
              <w:widowControl w:val="0"/>
              <w:numPr>
                <w:ilvl w:val="0"/>
                <w:numId w:val="74"/>
              </w:numPr>
              <w:tabs>
                <w:tab w:val="left" w:pos="851"/>
              </w:tabs>
              <w:adjustRightInd w:val="0"/>
              <w:spacing w:after="200" w:line="300" w:lineRule="auto"/>
              <w:contextualSpacing/>
              <w:jc w:val="both"/>
              <w:rPr>
                <w:rFonts w:ascii="Tahoma" w:eastAsia="Calibri" w:hAnsi="Tahoma" w:cs="Tahoma"/>
                <w:sz w:val="20"/>
                <w:szCs w:val="20"/>
                <w:lang w:eastAsia="en-US"/>
              </w:rPr>
            </w:pPr>
            <w:r w:rsidRPr="006E34A2">
              <w:rPr>
                <w:rFonts w:ascii="Tahoma" w:eastAsia="Calibri" w:hAnsi="Tahoma" w:cs="Tahoma"/>
                <w:sz w:val="20"/>
                <w:szCs w:val="20"/>
                <w:lang w:eastAsia="en-US"/>
              </w:rPr>
              <w:t>По Кредитному договору должно быть сделано не менее 6 полных платежей по графику платежей по Кредитному договору.</w:t>
            </w:r>
          </w:p>
          <w:p w14:paraId="5A955576" w14:textId="77777777" w:rsidR="006E34A2" w:rsidRPr="006E34A2" w:rsidRDefault="006E34A2" w:rsidP="006D3ED5">
            <w:pPr>
              <w:widowControl w:val="0"/>
              <w:numPr>
                <w:ilvl w:val="0"/>
                <w:numId w:val="74"/>
              </w:numPr>
              <w:tabs>
                <w:tab w:val="left" w:pos="851"/>
              </w:tabs>
              <w:adjustRightInd w:val="0"/>
              <w:spacing w:line="300" w:lineRule="auto"/>
              <w:contextualSpacing/>
              <w:jc w:val="both"/>
              <w:rPr>
                <w:rFonts w:ascii="Tahoma" w:eastAsia="Calibri" w:hAnsi="Tahoma" w:cs="Tahoma"/>
                <w:sz w:val="20"/>
                <w:szCs w:val="20"/>
                <w:lang w:eastAsia="en-US"/>
              </w:rPr>
            </w:pPr>
            <w:r w:rsidRPr="006E34A2">
              <w:rPr>
                <w:rFonts w:ascii="Tahoma" w:eastAsia="Calibri" w:hAnsi="Tahoma" w:cs="Tahoma"/>
                <w:color w:val="FF0000"/>
                <w:sz w:val="20"/>
                <w:szCs w:val="20"/>
                <w:lang w:eastAsia="en-US"/>
              </w:rPr>
              <w:t xml:space="preserve">Общее количество предоставляемых </w:t>
            </w:r>
            <w:r w:rsidRPr="006E34A2">
              <w:rPr>
                <w:rFonts w:ascii="Tahoma" w:eastAsia="Calibri" w:hAnsi="Tahoma" w:cs="Tahoma"/>
                <w:sz w:val="20"/>
                <w:szCs w:val="20"/>
                <w:lang w:eastAsia="en-US"/>
              </w:rPr>
              <w:t xml:space="preserve">реструктуризаций*** в рамках одного Кредитного договора (в сумме отсрочек по уплате </w:t>
            </w:r>
            <w:r w:rsidRPr="006E34A2">
              <w:rPr>
                <w:rFonts w:ascii="Tahoma" w:eastAsia="Calibri" w:hAnsi="Tahoma" w:cs="Tahoma"/>
                <w:sz w:val="20"/>
                <w:szCs w:val="20"/>
                <w:lang w:eastAsia="en-US"/>
              </w:rPr>
              <w:lastRenderedPageBreak/>
              <w:t xml:space="preserve">суммы основного долга по Кредиту и полной отсрочки по уплате суммы процентов и суммы основного долга по Кредиту): не более 3 (трех) отсрочек с интервалом между отсрочками не менее 6 месяцев полных платежей по графику платежей по Кредитному договору. </w:t>
            </w:r>
            <w:r w:rsidRPr="006E34A2">
              <w:rPr>
                <w:rFonts w:ascii="Tahoma" w:eastAsia="Calibri" w:hAnsi="Tahoma" w:cs="Tahoma"/>
                <w:color w:val="FF0000"/>
                <w:sz w:val="20"/>
                <w:szCs w:val="20"/>
                <w:lang w:eastAsia="en-US"/>
              </w:rPr>
              <w:t>Факт предоставления льготного периода по Кредитному договору в соответствии с законодательством РФ, также учитывается при исчислении общего количества предоставляемых отсрочек в соответствии с настоящим ТП.</w:t>
            </w:r>
          </w:p>
        </w:tc>
      </w:tr>
      <w:tr w:rsidR="006E34A2" w:rsidRPr="006E34A2" w14:paraId="621F432B" w14:textId="77777777" w:rsidTr="005B68FD">
        <w:trPr>
          <w:trHeight w:val="421"/>
        </w:trPr>
        <w:tc>
          <w:tcPr>
            <w:tcW w:w="849" w:type="pct"/>
            <w:tcBorders>
              <w:top w:val="single" w:sz="4" w:space="0" w:color="auto"/>
              <w:left w:val="single" w:sz="4" w:space="0" w:color="auto"/>
              <w:bottom w:val="single" w:sz="4" w:space="0" w:color="auto"/>
              <w:right w:val="single" w:sz="4" w:space="0" w:color="auto"/>
            </w:tcBorders>
            <w:shd w:val="clear" w:color="auto" w:fill="auto"/>
          </w:tcPr>
          <w:p w14:paraId="4933621F" w14:textId="77777777" w:rsidR="006E34A2" w:rsidRPr="006E34A2" w:rsidRDefault="006E34A2" w:rsidP="006E34A2">
            <w:pPr>
              <w:spacing w:line="300" w:lineRule="auto"/>
              <w:jc w:val="center"/>
              <w:rPr>
                <w:rFonts w:ascii="Tahoma" w:eastAsia="Calibri" w:hAnsi="Tahoma" w:cs="Tahoma"/>
                <w:b/>
                <w:sz w:val="20"/>
                <w:szCs w:val="20"/>
                <w:lang w:eastAsia="en-US"/>
              </w:rPr>
            </w:pPr>
            <w:r w:rsidRPr="006E34A2">
              <w:rPr>
                <w:rFonts w:ascii="Tahoma" w:eastAsia="Calibri" w:hAnsi="Tahoma" w:cs="Tahoma"/>
                <w:b/>
                <w:sz w:val="20"/>
                <w:szCs w:val="20"/>
                <w:lang w:eastAsia="en-US"/>
              </w:rPr>
              <w:lastRenderedPageBreak/>
              <w:t>Кредитные договоры, по которым изменение условий кредитования по настоящему ТП не осуществляется</w:t>
            </w:r>
          </w:p>
        </w:tc>
        <w:tc>
          <w:tcPr>
            <w:tcW w:w="4151" w:type="pct"/>
            <w:tcBorders>
              <w:top w:val="single" w:sz="4" w:space="0" w:color="auto"/>
              <w:left w:val="nil"/>
              <w:bottom w:val="single" w:sz="4" w:space="0" w:color="auto"/>
              <w:right w:val="single" w:sz="4" w:space="0" w:color="auto"/>
            </w:tcBorders>
            <w:shd w:val="clear" w:color="auto" w:fill="auto"/>
            <w:vAlign w:val="center"/>
          </w:tcPr>
          <w:p w14:paraId="53481DD2" w14:textId="77777777" w:rsidR="006E34A2" w:rsidRPr="006E34A2" w:rsidRDefault="006E34A2" w:rsidP="006E34A2">
            <w:pPr>
              <w:tabs>
                <w:tab w:val="left" w:pos="346"/>
              </w:tabs>
              <w:spacing w:line="300" w:lineRule="auto"/>
              <w:jc w:val="both"/>
              <w:rPr>
                <w:rFonts w:ascii="Tahoma" w:hAnsi="Tahoma" w:cs="Tahoma"/>
                <w:sz w:val="20"/>
                <w:szCs w:val="20"/>
              </w:rPr>
            </w:pPr>
            <w:r w:rsidRPr="006E34A2">
              <w:rPr>
                <w:rFonts w:ascii="Tahoma" w:hAnsi="Tahoma" w:cs="Tahoma"/>
                <w:sz w:val="20"/>
                <w:szCs w:val="20"/>
              </w:rPr>
              <w:t xml:space="preserve">        1. Кредитные договоры, заключенные с индивидуальными предпринимателями и собственниками бизнеса, в том числе оформленные по тарифным планам Банка линейки «Микро-лайт», «Бизнес ипотека».</w:t>
            </w:r>
          </w:p>
          <w:p w14:paraId="10ACE3F9" w14:textId="77777777" w:rsidR="006E34A2" w:rsidRPr="006E34A2" w:rsidRDefault="006E34A2" w:rsidP="006E34A2">
            <w:pPr>
              <w:tabs>
                <w:tab w:val="left" w:pos="346"/>
              </w:tabs>
              <w:spacing w:line="300" w:lineRule="auto"/>
              <w:jc w:val="both"/>
              <w:rPr>
                <w:rFonts w:ascii="Tahoma" w:hAnsi="Tahoma" w:cs="Tahoma"/>
                <w:sz w:val="20"/>
                <w:szCs w:val="20"/>
              </w:rPr>
            </w:pPr>
            <w:r w:rsidRPr="006E34A2">
              <w:rPr>
                <w:rFonts w:ascii="Tahoma" w:hAnsi="Tahoma" w:cs="Tahoma"/>
                <w:sz w:val="20"/>
                <w:szCs w:val="20"/>
              </w:rPr>
              <w:t xml:space="preserve">        2. Кредитные договоры, оформленные по тарифным планам Банка: «Пакет зарплатный», «Неотложные нужды», «Сделай 9», «Заплати после праздников», «Кредитная линия – Платинум», «Кредитная линия – Премиум», «Кредитная линия - Платинум (револьверная)»,  «Кредитная линия - Супер ID», «Кредитная линия - Коллеги индивидуальная (НФО)», «Кредитная линия - Личный бюджет индивидуальная (НФО)», «Кредитная линия - Оптима индивидуальная (НФО)», «Кредитная линия - Платинум индивидуальная (НФО)», «Кредитная линия - Премиум индивидуальная (НФО)», «Кредитная линия - Супер индивидуальная (НФО)», «Кредитная линия-Коллеги-Петропавловск индивидуальная (НФО)», «Социальная карта», «Кредитная линия - Премиальный индивидуальный (НФО)», «Кредитная линия - Элитный индивидуальная (НФО)», «Кредитная линия - Морская капуста+», «Кредитная линия - Подарочный (отменен)», «Кредитная линия - Социальная карта», «Кредитная линия с лимитом задолженности», «Обратный выкуп (кред.линия)», «Кредитная линия», «Пакет "Зарплатный"», «Доступный плюс», «Пакет "Вкладчик"», «Кошелёк», «10 000 Кошелёк», «Доступный плюс. Дистанционные продажи», «Абсолютный ноль».</w:t>
            </w:r>
          </w:p>
          <w:p w14:paraId="53B28366" w14:textId="77777777" w:rsidR="006E34A2" w:rsidRPr="006E34A2" w:rsidRDefault="006E34A2" w:rsidP="006E34A2">
            <w:pPr>
              <w:tabs>
                <w:tab w:val="left" w:pos="317"/>
              </w:tabs>
              <w:spacing w:after="200" w:line="276" w:lineRule="auto"/>
              <w:ind w:firstLine="459"/>
              <w:contextualSpacing/>
              <w:jc w:val="both"/>
              <w:rPr>
                <w:rFonts w:ascii="Tahoma" w:hAnsi="Tahoma" w:cs="Tahoma"/>
                <w:sz w:val="20"/>
                <w:szCs w:val="20"/>
              </w:rPr>
            </w:pPr>
          </w:p>
          <w:p w14:paraId="0267C5E3" w14:textId="77777777" w:rsidR="006E34A2" w:rsidRPr="006E34A2" w:rsidRDefault="006E34A2" w:rsidP="006E34A2">
            <w:pPr>
              <w:tabs>
                <w:tab w:val="left" w:pos="317"/>
              </w:tabs>
              <w:spacing w:line="300" w:lineRule="auto"/>
              <w:ind w:left="360"/>
              <w:jc w:val="both"/>
              <w:rPr>
                <w:rFonts w:ascii="Tahoma" w:hAnsi="Tahoma" w:cs="Tahoma"/>
                <w:sz w:val="20"/>
                <w:szCs w:val="20"/>
              </w:rPr>
            </w:pPr>
            <w:r w:rsidRPr="006E34A2">
              <w:rPr>
                <w:rFonts w:ascii="Tahoma" w:hAnsi="Tahoma" w:cs="Tahoma"/>
                <w:sz w:val="20"/>
                <w:szCs w:val="20"/>
              </w:rPr>
              <w:t>3. Кредитные договоры, обеспеченный ипотекой</w:t>
            </w:r>
          </w:p>
        </w:tc>
      </w:tr>
      <w:tr w:rsidR="006E34A2" w:rsidRPr="006E34A2" w14:paraId="40E8079F" w14:textId="77777777" w:rsidTr="005B68FD">
        <w:trPr>
          <w:trHeight w:val="255"/>
        </w:trPr>
        <w:tc>
          <w:tcPr>
            <w:tcW w:w="849" w:type="pct"/>
            <w:tcBorders>
              <w:top w:val="nil"/>
              <w:left w:val="single" w:sz="4" w:space="0" w:color="auto"/>
              <w:bottom w:val="single" w:sz="4" w:space="0" w:color="auto"/>
              <w:right w:val="single" w:sz="4" w:space="0" w:color="auto"/>
            </w:tcBorders>
            <w:shd w:val="clear" w:color="auto" w:fill="auto"/>
            <w:vAlign w:val="center"/>
            <w:hideMark/>
          </w:tcPr>
          <w:p w14:paraId="6460C12E" w14:textId="77777777" w:rsidR="006E34A2" w:rsidRPr="006E34A2" w:rsidRDefault="006E34A2" w:rsidP="006E34A2">
            <w:pPr>
              <w:jc w:val="center"/>
              <w:rPr>
                <w:rFonts w:ascii="Tahoma" w:hAnsi="Tahoma" w:cs="Tahoma"/>
                <w:b/>
                <w:bCs/>
                <w:sz w:val="20"/>
                <w:szCs w:val="20"/>
              </w:rPr>
            </w:pPr>
            <w:r w:rsidRPr="006E34A2">
              <w:rPr>
                <w:rFonts w:ascii="Tahoma" w:hAnsi="Tahoma" w:cs="Tahoma"/>
                <w:b/>
                <w:bCs/>
                <w:sz w:val="20"/>
                <w:szCs w:val="20"/>
              </w:rPr>
              <w:t>Документы Заемщика, необходимые для рассмотрения Банком заявления Заемщика о предоставлении услуги</w:t>
            </w:r>
          </w:p>
        </w:tc>
        <w:tc>
          <w:tcPr>
            <w:tcW w:w="4151" w:type="pct"/>
            <w:tcBorders>
              <w:top w:val="single" w:sz="4" w:space="0" w:color="auto"/>
              <w:left w:val="nil"/>
              <w:bottom w:val="single" w:sz="4" w:space="0" w:color="auto"/>
              <w:right w:val="single" w:sz="4" w:space="0" w:color="auto"/>
            </w:tcBorders>
            <w:shd w:val="clear" w:color="auto" w:fill="auto"/>
            <w:vAlign w:val="center"/>
            <w:hideMark/>
          </w:tcPr>
          <w:p w14:paraId="6EDFFC84" w14:textId="77777777" w:rsidR="006E34A2" w:rsidRPr="006E34A2" w:rsidRDefault="006E34A2" w:rsidP="006E34A2">
            <w:pPr>
              <w:jc w:val="center"/>
              <w:rPr>
                <w:rFonts w:ascii="Tahoma" w:hAnsi="Tahoma" w:cs="Tahoma"/>
                <w:sz w:val="20"/>
                <w:szCs w:val="20"/>
              </w:rPr>
            </w:pPr>
            <w:r w:rsidRPr="006E34A2">
              <w:rPr>
                <w:rFonts w:ascii="Tahoma" w:hAnsi="Tahoma" w:cs="Tahoma"/>
                <w:sz w:val="20"/>
                <w:szCs w:val="20"/>
              </w:rPr>
              <w:t>- Документ, удостоверяющий личность,</w:t>
            </w:r>
          </w:p>
          <w:p w14:paraId="21E748FE" w14:textId="77777777" w:rsidR="006E34A2" w:rsidRPr="006E34A2" w:rsidRDefault="006E34A2" w:rsidP="006E34A2">
            <w:pPr>
              <w:jc w:val="center"/>
              <w:rPr>
                <w:rFonts w:ascii="Tahoma" w:hAnsi="Tahoma" w:cs="Tahoma"/>
                <w:sz w:val="20"/>
                <w:szCs w:val="20"/>
              </w:rPr>
            </w:pPr>
            <w:r w:rsidRPr="006E34A2">
              <w:rPr>
                <w:rFonts w:ascii="Tahoma" w:hAnsi="Tahoma" w:cs="Tahoma"/>
                <w:sz w:val="20"/>
                <w:szCs w:val="20"/>
              </w:rPr>
              <w:t xml:space="preserve">- заявление Заемщика, </w:t>
            </w:r>
            <w:r w:rsidRPr="006E34A2">
              <w:rPr>
                <w:rFonts w:ascii="Tahoma" w:hAnsi="Tahoma" w:cs="Tahoma"/>
                <w:color w:val="FF0000"/>
                <w:sz w:val="20"/>
                <w:szCs w:val="20"/>
              </w:rPr>
              <w:t xml:space="preserve">в устной (с учетом Аутентификации Заемщика) через Контактный центр Банка по телефону 8-800-775-8888 (по России звонок бесплатный) или (4162) 222-333 (для звонков из-за рубежа) или письменной форме, </w:t>
            </w:r>
            <w:r w:rsidRPr="006E34A2">
              <w:rPr>
                <w:rFonts w:ascii="Tahoma" w:hAnsi="Tahoma" w:cs="Tahoma"/>
                <w:sz w:val="20"/>
                <w:szCs w:val="20"/>
              </w:rPr>
              <w:t>содержащее просьбу об изменении условий Кредитного договора в соответствии с ТП.</w:t>
            </w:r>
          </w:p>
        </w:tc>
      </w:tr>
      <w:tr w:rsidR="006E34A2" w:rsidRPr="006E34A2" w14:paraId="650761C7" w14:textId="77777777" w:rsidTr="005B68FD">
        <w:trPr>
          <w:trHeight w:val="645"/>
        </w:trPr>
        <w:tc>
          <w:tcPr>
            <w:tcW w:w="84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0794651" w14:textId="77777777" w:rsidR="006E34A2" w:rsidRPr="006E34A2" w:rsidRDefault="006E34A2" w:rsidP="006E34A2">
            <w:pPr>
              <w:jc w:val="center"/>
              <w:rPr>
                <w:rFonts w:ascii="Tahoma" w:hAnsi="Tahoma" w:cs="Tahoma"/>
                <w:b/>
                <w:bCs/>
                <w:sz w:val="20"/>
                <w:szCs w:val="20"/>
              </w:rPr>
            </w:pPr>
            <w:r w:rsidRPr="006E34A2">
              <w:rPr>
                <w:rFonts w:ascii="Tahoma" w:hAnsi="Tahoma" w:cs="Tahoma"/>
                <w:b/>
                <w:bCs/>
                <w:sz w:val="20"/>
                <w:szCs w:val="20"/>
              </w:rPr>
              <w:t>Срок рассмотрения Банком заявления Заёмщика о предоставлении услуги по изменению первоначальных условий Кредитного договора</w:t>
            </w:r>
          </w:p>
        </w:tc>
        <w:tc>
          <w:tcPr>
            <w:tcW w:w="4151" w:type="pct"/>
            <w:tcBorders>
              <w:top w:val="single" w:sz="4" w:space="0" w:color="auto"/>
              <w:left w:val="nil"/>
              <w:bottom w:val="single" w:sz="4" w:space="0" w:color="auto"/>
              <w:right w:val="single" w:sz="4" w:space="0" w:color="auto"/>
            </w:tcBorders>
            <w:shd w:val="clear" w:color="auto" w:fill="auto"/>
            <w:vAlign w:val="center"/>
            <w:hideMark/>
          </w:tcPr>
          <w:p w14:paraId="678B45F3" w14:textId="77777777" w:rsidR="006E34A2" w:rsidRPr="006E34A2" w:rsidRDefault="006E34A2" w:rsidP="006E34A2">
            <w:pPr>
              <w:jc w:val="center"/>
              <w:rPr>
                <w:rFonts w:ascii="Tahoma" w:hAnsi="Tahoma" w:cs="Tahoma"/>
                <w:sz w:val="20"/>
                <w:szCs w:val="20"/>
              </w:rPr>
            </w:pPr>
            <w:r w:rsidRPr="006E34A2">
              <w:rPr>
                <w:rFonts w:ascii="Tahoma" w:hAnsi="Tahoma" w:cs="Tahoma"/>
                <w:sz w:val="20"/>
                <w:szCs w:val="20"/>
              </w:rPr>
              <w:t xml:space="preserve">Решение о возможности предоставления Банком услуги согласно настоящему документу принимается в течение </w:t>
            </w:r>
            <w:r w:rsidRPr="006E34A2">
              <w:rPr>
                <w:rFonts w:ascii="Tahoma" w:hAnsi="Tahoma" w:cs="Tahoma"/>
                <w:color w:val="FF0000"/>
                <w:sz w:val="20"/>
                <w:szCs w:val="20"/>
              </w:rPr>
              <w:t xml:space="preserve">пяти рабочих дней </w:t>
            </w:r>
            <w:r w:rsidRPr="006E34A2">
              <w:rPr>
                <w:rFonts w:ascii="Tahoma" w:hAnsi="Tahoma" w:cs="Tahoma"/>
                <w:sz w:val="20"/>
                <w:szCs w:val="20"/>
              </w:rPr>
              <w:t>с момента предоставления Заемщиком полного пакета документов. В случае необходимости запроса у Заемщика дополнительных документов решение принимается в индивидуальные сроки.</w:t>
            </w:r>
          </w:p>
        </w:tc>
      </w:tr>
      <w:tr w:rsidR="006E34A2" w:rsidRPr="006E34A2" w14:paraId="0B90D4D7" w14:textId="77777777" w:rsidTr="005B68FD">
        <w:trPr>
          <w:trHeight w:val="645"/>
        </w:trPr>
        <w:tc>
          <w:tcPr>
            <w:tcW w:w="849" w:type="pct"/>
            <w:tcBorders>
              <w:top w:val="single" w:sz="4" w:space="0" w:color="auto"/>
              <w:left w:val="single" w:sz="4" w:space="0" w:color="auto"/>
              <w:bottom w:val="single" w:sz="4" w:space="0" w:color="auto"/>
              <w:right w:val="single" w:sz="4" w:space="0" w:color="auto"/>
            </w:tcBorders>
            <w:shd w:val="clear" w:color="auto" w:fill="auto"/>
            <w:vAlign w:val="center"/>
          </w:tcPr>
          <w:p w14:paraId="673EFBB6" w14:textId="77777777" w:rsidR="006E34A2" w:rsidRPr="006E34A2" w:rsidRDefault="006E34A2" w:rsidP="006E34A2">
            <w:pPr>
              <w:jc w:val="center"/>
              <w:rPr>
                <w:rFonts w:ascii="Tahoma" w:hAnsi="Tahoma" w:cs="Tahoma"/>
                <w:b/>
                <w:bCs/>
                <w:sz w:val="20"/>
                <w:szCs w:val="20"/>
              </w:rPr>
            </w:pPr>
            <w:r w:rsidRPr="006E34A2">
              <w:rPr>
                <w:rFonts w:ascii="Tahoma" w:eastAsia="Calibri" w:hAnsi="Tahoma" w:cs="Tahoma"/>
                <w:b/>
                <w:bCs/>
                <w:sz w:val="20"/>
                <w:szCs w:val="20"/>
                <w:lang w:eastAsia="en-US"/>
              </w:rPr>
              <w:t>Условия применения ТП</w:t>
            </w:r>
          </w:p>
        </w:tc>
        <w:tc>
          <w:tcPr>
            <w:tcW w:w="4151" w:type="pct"/>
            <w:tcBorders>
              <w:top w:val="single" w:sz="4" w:space="0" w:color="auto"/>
              <w:left w:val="nil"/>
              <w:bottom w:val="single" w:sz="4" w:space="0" w:color="auto"/>
              <w:right w:val="single" w:sz="4" w:space="0" w:color="auto"/>
            </w:tcBorders>
            <w:shd w:val="clear" w:color="auto" w:fill="auto"/>
            <w:vAlign w:val="center"/>
          </w:tcPr>
          <w:p w14:paraId="764B6EF3" w14:textId="77777777" w:rsidR="006E34A2" w:rsidRPr="006E34A2" w:rsidRDefault="006E34A2" w:rsidP="006E34A2">
            <w:pPr>
              <w:jc w:val="center"/>
              <w:rPr>
                <w:rFonts w:ascii="Tahoma" w:eastAsia="Calibri" w:hAnsi="Tahoma" w:cs="Tahoma"/>
                <w:sz w:val="20"/>
                <w:szCs w:val="20"/>
                <w:lang w:eastAsia="en-US"/>
              </w:rPr>
            </w:pPr>
            <w:r w:rsidRPr="006E34A2">
              <w:rPr>
                <w:rFonts w:ascii="Tahoma" w:eastAsia="Calibri" w:hAnsi="Tahoma" w:cs="Tahoma"/>
                <w:sz w:val="20"/>
                <w:szCs w:val="20"/>
                <w:lang w:eastAsia="en-US"/>
              </w:rPr>
              <w:t>- исключительно по волеизъявлению Заемщика;</w:t>
            </w:r>
          </w:p>
          <w:p w14:paraId="46EC4774" w14:textId="77777777" w:rsidR="006E34A2" w:rsidRPr="006E34A2" w:rsidRDefault="006E34A2" w:rsidP="006E34A2">
            <w:pPr>
              <w:jc w:val="center"/>
              <w:rPr>
                <w:rFonts w:ascii="Tahoma" w:eastAsia="Calibri" w:hAnsi="Tahoma" w:cs="Tahoma"/>
                <w:sz w:val="20"/>
                <w:szCs w:val="20"/>
                <w:lang w:eastAsia="en-US"/>
              </w:rPr>
            </w:pPr>
            <w:r w:rsidRPr="006E34A2">
              <w:rPr>
                <w:rFonts w:ascii="Tahoma" w:eastAsia="Calibri" w:hAnsi="Tahoma" w:cs="Tahoma"/>
                <w:sz w:val="20"/>
                <w:szCs w:val="20"/>
                <w:lang w:eastAsia="en-US"/>
              </w:rPr>
              <w:t xml:space="preserve">- производится вне рамок ст. 6.1.-1. Федерального закона от 21.12.2013 № 353-ФЗ «О потребительском кредите (займе)», Федерального закона от 07.10.2022 № 377-ФЗ «Об особенностях исполнения обязательств по кредитным договорам (договорам займа) лицами, призванными на военную службу по мобилизации в Вооруженные Силы Российской Федерации, лицами, принимающими участие в специальной военной операции, а также членами их семей и о внесении изменений в отдельные законодательные акты </w:t>
            </w:r>
            <w:r w:rsidRPr="006E34A2">
              <w:rPr>
                <w:rFonts w:ascii="Tahoma" w:eastAsia="Calibri" w:hAnsi="Tahoma" w:cs="Tahoma"/>
                <w:sz w:val="20"/>
                <w:szCs w:val="20"/>
                <w:lang w:eastAsia="en-US"/>
              </w:rPr>
              <w:lastRenderedPageBreak/>
              <w:t>Российской Федерации» и отдельных законодательных актов Российской Федерации в части особенностей изменения условий Кредитного договора, по требованию Заемщика;</w:t>
            </w:r>
          </w:p>
          <w:p w14:paraId="717E0B9F" w14:textId="77777777" w:rsidR="006E34A2" w:rsidRPr="006E34A2" w:rsidRDefault="006E34A2" w:rsidP="006E34A2">
            <w:pPr>
              <w:jc w:val="center"/>
              <w:rPr>
                <w:rFonts w:ascii="Tahoma" w:eastAsia="Calibri" w:hAnsi="Tahoma" w:cs="Tahoma"/>
                <w:sz w:val="20"/>
                <w:szCs w:val="20"/>
                <w:lang w:eastAsia="en-US"/>
              </w:rPr>
            </w:pPr>
            <w:r w:rsidRPr="006E34A2">
              <w:rPr>
                <w:rFonts w:ascii="Tahoma" w:eastAsia="Calibri" w:hAnsi="Tahoma" w:cs="Tahoma"/>
                <w:sz w:val="20"/>
                <w:szCs w:val="20"/>
                <w:lang w:eastAsia="en-US"/>
              </w:rPr>
              <w:t>- настоящий ТП является собственной программой Банка.</w:t>
            </w:r>
          </w:p>
        </w:tc>
      </w:tr>
      <w:tr w:rsidR="006E34A2" w:rsidRPr="006E34A2" w14:paraId="1A3B3056" w14:textId="77777777" w:rsidTr="005B68F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trHeight w:val="1550"/>
        </w:trPr>
        <w:tc>
          <w:tcPr>
            <w:tcW w:w="849" w:type="pct"/>
            <w:tcBorders>
              <w:top w:val="single" w:sz="4" w:space="0" w:color="auto"/>
              <w:left w:val="single" w:sz="8" w:space="0" w:color="auto"/>
              <w:bottom w:val="single" w:sz="4" w:space="0" w:color="auto"/>
              <w:right w:val="single" w:sz="4" w:space="0" w:color="000000"/>
            </w:tcBorders>
            <w:vAlign w:val="center"/>
          </w:tcPr>
          <w:p w14:paraId="4E41FC2B" w14:textId="77777777" w:rsidR="006E34A2" w:rsidRPr="006E34A2" w:rsidRDefault="006E34A2" w:rsidP="006E34A2">
            <w:pPr>
              <w:jc w:val="center"/>
              <w:rPr>
                <w:rFonts w:ascii="Tahoma" w:eastAsia="Calibri" w:hAnsi="Tahoma" w:cs="Tahoma"/>
                <w:b/>
                <w:sz w:val="20"/>
                <w:szCs w:val="20"/>
                <w:lang w:eastAsia="en-US"/>
              </w:rPr>
            </w:pPr>
            <w:r w:rsidRPr="006E34A2">
              <w:rPr>
                <w:rFonts w:ascii="Tahoma" w:eastAsia="Calibri" w:hAnsi="Tahoma" w:cs="Tahoma"/>
                <w:b/>
                <w:sz w:val="20"/>
                <w:szCs w:val="20"/>
                <w:lang w:eastAsia="en-US"/>
              </w:rPr>
              <w:lastRenderedPageBreak/>
              <w:t>Примечания</w:t>
            </w:r>
          </w:p>
        </w:tc>
        <w:tc>
          <w:tcPr>
            <w:tcW w:w="4151" w:type="pct"/>
            <w:tcBorders>
              <w:top w:val="single" w:sz="4" w:space="0" w:color="auto"/>
              <w:left w:val="nil"/>
              <w:bottom w:val="single" w:sz="4" w:space="0" w:color="auto"/>
              <w:right w:val="single" w:sz="8" w:space="0" w:color="000000"/>
            </w:tcBorders>
            <w:vAlign w:val="center"/>
          </w:tcPr>
          <w:p w14:paraId="5473E313" w14:textId="77777777" w:rsidR="006E34A2" w:rsidRPr="006E34A2" w:rsidRDefault="006E34A2" w:rsidP="006E34A2">
            <w:pPr>
              <w:tabs>
                <w:tab w:val="left" w:pos="426"/>
                <w:tab w:val="left" w:pos="851"/>
              </w:tabs>
              <w:jc w:val="both"/>
              <w:rPr>
                <w:rFonts w:ascii="Tahoma" w:eastAsia="Calibri" w:hAnsi="Tahoma" w:cs="Tahoma"/>
                <w:sz w:val="20"/>
                <w:szCs w:val="20"/>
                <w:lang w:eastAsia="en-US"/>
              </w:rPr>
            </w:pPr>
            <w:r w:rsidRPr="006E34A2">
              <w:rPr>
                <w:rFonts w:ascii="Tahoma" w:eastAsia="Calibri" w:hAnsi="Tahoma" w:cs="Tahoma"/>
                <w:sz w:val="20"/>
                <w:szCs w:val="20"/>
                <w:vertAlign w:val="superscript"/>
                <w:lang w:eastAsia="en-US"/>
              </w:rPr>
              <w:t>*</w:t>
            </w:r>
            <w:r w:rsidRPr="006E34A2">
              <w:rPr>
                <w:rFonts w:ascii="Tahoma" w:eastAsia="Calibri" w:hAnsi="Tahoma" w:cs="Tahoma"/>
                <w:sz w:val="20"/>
                <w:szCs w:val="20"/>
                <w:lang w:eastAsia="en-US"/>
              </w:rPr>
              <w:t xml:space="preserve"> - решение о предоставлении услуги Банка согласно настоящему документу действует по Кредитным договорам с наличием просроченной задолженности длительностью непрерывно от 1 до 90 календарных дней, и в том числе Кредитным договорам, где Заемщики ранее воспользовались услугой «Отсрочка погашения основного долга по Кредиту или основного долга и процентов за пользование Кредитом».</w:t>
            </w:r>
          </w:p>
          <w:p w14:paraId="7CDB277D" w14:textId="77777777" w:rsidR="006E34A2" w:rsidRPr="006E34A2" w:rsidRDefault="006E34A2" w:rsidP="006E34A2">
            <w:pPr>
              <w:tabs>
                <w:tab w:val="left" w:pos="426"/>
                <w:tab w:val="left" w:pos="851"/>
              </w:tabs>
              <w:jc w:val="both"/>
              <w:rPr>
                <w:rFonts w:ascii="Tahoma" w:eastAsia="Calibri" w:hAnsi="Tahoma" w:cs="Tahoma"/>
                <w:color w:val="FF0000"/>
                <w:sz w:val="20"/>
                <w:szCs w:val="20"/>
                <w:lang w:eastAsia="en-US"/>
              </w:rPr>
            </w:pPr>
            <w:r w:rsidRPr="006E34A2">
              <w:rPr>
                <w:rFonts w:ascii="Tahoma" w:eastAsia="Calibri" w:hAnsi="Tahoma" w:cs="Tahoma"/>
                <w:color w:val="FF0000"/>
                <w:sz w:val="20"/>
                <w:szCs w:val="20"/>
                <w:vertAlign w:val="superscript"/>
                <w:lang w:eastAsia="en-US"/>
              </w:rPr>
              <w:t>**</w:t>
            </w:r>
            <w:r w:rsidRPr="006E34A2">
              <w:rPr>
                <w:rFonts w:ascii="Tahoma" w:eastAsia="Calibri" w:hAnsi="Tahoma" w:cs="Tahoma"/>
                <w:color w:val="FF0000"/>
                <w:sz w:val="20"/>
                <w:szCs w:val="20"/>
                <w:lang w:eastAsia="en-US"/>
              </w:rPr>
              <w:t xml:space="preserve"> – при выполнении условий согласно настоящему документу, Заемщик освобождается от уплаты неустойки (пени, штраф). </w:t>
            </w:r>
          </w:p>
          <w:p w14:paraId="7E86F392" w14:textId="77777777" w:rsidR="006E34A2" w:rsidRPr="006E34A2" w:rsidRDefault="006E34A2" w:rsidP="006E34A2">
            <w:pPr>
              <w:tabs>
                <w:tab w:val="left" w:pos="426"/>
                <w:tab w:val="left" w:pos="851"/>
              </w:tabs>
              <w:jc w:val="both"/>
              <w:rPr>
                <w:rFonts w:ascii="Tahoma" w:eastAsia="Calibri" w:hAnsi="Tahoma" w:cs="Tahoma"/>
                <w:sz w:val="20"/>
                <w:szCs w:val="20"/>
                <w:lang w:eastAsia="en-US"/>
              </w:rPr>
            </w:pPr>
            <w:r w:rsidRPr="006E34A2">
              <w:rPr>
                <w:rFonts w:ascii="Tahoma" w:eastAsia="Calibri" w:hAnsi="Tahoma" w:cs="Tahoma"/>
                <w:color w:val="FF0000"/>
                <w:sz w:val="20"/>
                <w:szCs w:val="20"/>
                <w:lang w:eastAsia="en-US"/>
              </w:rPr>
              <w:t>*** - для целей настоящего документа (оценки возможности предоставления отсрочки) не считается реструктуризацией изменение даты платежа в пределах отчетного периода, в том числе в порядке, предусмотренном договором и пролонгация договора.</w:t>
            </w:r>
          </w:p>
        </w:tc>
      </w:tr>
    </w:tbl>
    <w:p w14:paraId="5E14043D" w14:textId="5F360447" w:rsidR="00C977E4" w:rsidRDefault="00C977E4" w:rsidP="00320EF7">
      <w:pPr>
        <w:tabs>
          <w:tab w:val="left" w:pos="3240"/>
        </w:tabs>
        <w:jc w:val="both"/>
        <w:rPr>
          <w:rFonts w:ascii="Tahoma" w:hAnsi="Tahoma" w:cs="Tahoma"/>
          <w:b/>
          <w:bCs/>
          <w:i/>
          <w:sz w:val="22"/>
          <w:szCs w:val="28"/>
          <w:lang w:eastAsia="x-none"/>
        </w:rPr>
      </w:pPr>
    </w:p>
    <w:p w14:paraId="28C559BB" w14:textId="01856DBC" w:rsidR="00E41E6D" w:rsidRPr="003D76F9" w:rsidRDefault="000B3718" w:rsidP="000B3718">
      <w:pPr>
        <w:pStyle w:val="a5"/>
      </w:pPr>
      <w:r>
        <w:t xml:space="preserve">2.2.7 </w:t>
      </w:r>
      <w:r w:rsidR="00E41E6D" w:rsidRPr="003D76F9">
        <w:t>Тарифный план «</w:t>
      </w:r>
      <w:r w:rsidR="00E41E6D">
        <w:t>Доверие+</w:t>
      </w:r>
      <w:r w:rsidR="00E41E6D" w:rsidRPr="003D76F9">
        <w:t>»</w:t>
      </w:r>
    </w:p>
    <w:p w14:paraId="36102B2F" w14:textId="77777777" w:rsidR="00E41E6D" w:rsidRDefault="00E41E6D" w:rsidP="00E41E6D">
      <w:pPr>
        <w:rPr>
          <w:rFonts w:ascii="Tahoma" w:hAnsi="Tahoma" w:cs="Tahoma"/>
          <w:b/>
          <w:bCs/>
          <w:iCs/>
          <w:color w:val="E36C0A"/>
          <w:sz w:val="22"/>
          <w:szCs w:val="22"/>
        </w:rPr>
      </w:pPr>
    </w:p>
    <w:p w14:paraId="25557228" w14:textId="77777777" w:rsidR="00E41E6D" w:rsidRPr="00465DC4" w:rsidRDefault="00E41E6D" w:rsidP="00E41E6D">
      <w:pPr>
        <w:jc w:val="center"/>
        <w:rPr>
          <w:rFonts w:ascii="Tahoma" w:eastAsiaTheme="minorHAnsi" w:hAnsi="Tahoma" w:cs="Tahoma"/>
          <w:b/>
          <w:noProof/>
          <w:sz w:val="20"/>
          <w:szCs w:val="20"/>
        </w:rPr>
      </w:pPr>
      <w:r w:rsidRPr="00465DC4">
        <w:rPr>
          <w:rFonts w:ascii="Tahoma" w:eastAsiaTheme="minorHAnsi" w:hAnsi="Tahoma" w:cs="Tahoma"/>
          <w:b/>
          <w:noProof/>
          <w:sz w:val="20"/>
          <w:szCs w:val="20"/>
        </w:rPr>
        <w:t xml:space="preserve">ИНФОРМАЦИЯ ОБ УСЛОВИЯХ ПРЕДОСТАВЛЕНИЯ, ИСПОЛЬЗОВАНИЯ И ВОЗВРАТА ПОТРЕБИТЕЛЬСКОГО КРЕДИТА </w:t>
      </w:r>
    </w:p>
    <w:p w14:paraId="5A093854" w14:textId="77777777" w:rsidR="00E41E6D" w:rsidRPr="00465DC4" w:rsidRDefault="00E41E6D" w:rsidP="00E41E6D">
      <w:pPr>
        <w:jc w:val="center"/>
        <w:rPr>
          <w:rFonts w:ascii="Tahoma" w:eastAsiaTheme="minorHAnsi" w:hAnsi="Tahoma" w:cs="Tahoma"/>
          <w:b/>
          <w:noProof/>
          <w:sz w:val="22"/>
          <w:szCs w:val="22"/>
        </w:rPr>
      </w:pPr>
      <w:r w:rsidRPr="00465DC4">
        <w:rPr>
          <w:rFonts w:ascii="Tahoma" w:eastAsiaTheme="minorHAnsi" w:hAnsi="Tahoma" w:cs="Tahoma"/>
          <w:b/>
          <w:noProof/>
          <w:sz w:val="20"/>
          <w:szCs w:val="20"/>
        </w:rPr>
        <w:t>ПО ТАРИФНОМУ ПЛАНУ</w:t>
      </w:r>
      <w:r w:rsidRPr="00465DC4">
        <w:rPr>
          <w:rFonts w:ascii="Tahoma" w:eastAsiaTheme="minorHAnsi" w:hAnsi="Tahoma" w:cs="Tahoma"/>
          <w:b/>
          <w:noProof/>
          <w:sz w:val="22"/>
          <w:szCs w:val="22"/>
        </w:rPr>
        <w:t xml:space="preserve"> «Доверие +»</w:t>
      </w:r>
    </w:p>
    <w:p w14:paraId="2EC2D984" w14:textId="77777777" w:rsidR="00E41E6D" w:rsidRPr="00465DC4" w:rsidRDefault="00E41E6D" w:rsidP="00E41E6D">
      <w:pPr>
        <w:jc w:val="center"/>
        <w:rPr>
          <w:rFonts w:ascii="Tahoma" w:eastAsiaTheme="minorHAnsi" w:hAnsi="Tahoma" w:cs="Tahoma"/>
          <w:b/>
          <w:bCs/>
          <w:caps/>
          <w:sz w:val="20"/>
          <w:szCs w:val="20"/>
          <w:lang w:eastAsia="en-US"/>
        </w:rPr>
      </w:pPr>
    </w:p>
    <w:p w14:paraId="041F5F1E" w14:textId="77777777" w:rsidR="00E41E6D" w:rsidRPr="00465DC4" w:rsidRDefault="00E41E6D" w:rsidP="00E41E6D">
      <w:pPr>
        <w:numPr>
          <w:ilvl w:val="0"/>
          <w:numId w:val="12"/>
        </w:numPr>
        <w:tabs>
          <w:tab w:val="left" w:pos="851"/>
        </w:tabs>
        <w:spacing w:after="200" w:line="276" w:lineRule="auto"/>
        <w:ind w:firstLine="426"/>
        <w:contextualSpacing/>
        <w:jc w:val="both"/>
        <w:rPr>
          <w:rFonts w:ascii="Tahoma" w:eastAsia="Calibri" w:hAnsi="Tahoma" w:cs="Tahoma"/>
          <w:noProof/>
          <w:sz w:val="20"/>
          <w:szCs w:val="20"/>
        </w:rPr>
      </w:pPr>
      <w:r w:rsidRPr="00465DC4">
        <w:rPr>
          <w:rFonts w:ascii="Tahoma" w:eastAsia="Calibri" w:hAnsi="Tahoma" w:cs="Tahoma"/>
          <w:b/>
          <w:bCs/>
          <w:caps/>
          <w:sz w:val="20"/>
          <w:szCs w:val="20"/>
          <w:lang w:eastAsia="en-US"/>
        </w:rPr>
        <w:t>ОСНОВНЫЕ ПОНЯТИЯ, ИСПОЛЬЗУЕМЫЕ ТЕРМИНЫ и сокращения</w:t>
      </w:r>
    </w:p>
    <w:p w14:paraId="4290C449" w14:textId="77777777" w:rsidR="00E41E6D" w:rsidRPr="00465DC4" w:rsidRDefault="00E41E6D" w:rsidP="00E41E6D">
      <w:pPr>
        <w:rPr>
          <w:rFonts w:ascii="Tahoma" w:eastAsiaTheme="minorHAnsi" w:hAnsi="Tahoma" w:cs="Tahoma"/>
          <w:noProof/>
          <w:sz w:val="20"/>
          <w:szCs w:val="20"/>
        </w:rPr>
      </w:pPr>
    </w:p>
    <w:tbl>
      <w:tblPr>
        <w:tblW w:w="5175" w:type="pct"/>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8"/>
        <w:gridCol w:w="11825"/>
      </w:tblGrid>
      <w:tr w:rsidR="00E41E6D" w:rsidRPr="00465DC4" w14:paraId="3F261ED3" w14:textId="77777777" w:rsidTr="00DE2BCA">
        <w:tc>
          <w:tcPr>
            <w:tcW w:w="1360" w:type="pct"/>
          </w:tcPr>
          <w:p w14:paraId="46C6FBD0" w14:textId="77777777" w:rsidR="00E41E6D" w:rsidRPr="00465DC4" w:rsidRDefault="00E41E6D" w:rsidP="00DE2BCA">
            <w:pPr>
              <w:tabs>
                <w:tab w:val="left" w:pos="851"/>
              </w:tabs>
              <w:rPr>
                <w:rFonts w:ascii="Tahoma" w:eastAsiaTheme="minorHAnsi" w:hAnsi="Tahoma" w:cs="Tahoma"/>
                <w:b/>
                <w:bCs/>
                <w:iCs/>
                <w:sz w:val="18"/>
                <w:szCs w:val="18"/>
                <w:lang w:eastAsia="en-US"/>
              </w:rPr>
            </w:pPr>
            <w:r w:rsidRPr="00465DC4">
              <w:rPr>
                <w:rFonts w:ascii="Tahoma" w:eastAsiaTheme="minorHAnsi" w:hAnsi="Tahoma" w:cs="Tahoma"/>
                <w:b/>
                <w:bCs/>
                <w:iCs/>
                <w:sz w:val="18"/>
                <w:szCs w:val="18"/>
                <w:lang w:eastAsia="en-US"/>
              </w:rPr>
              <w:t>Наименование Кредитора, место нахождения постоянно действующего исполнительного органа, контактный телефон, по которому осуществляется связь с кредитором, официальный сайт, номер лицензии на осуществление банковских операций</w:t>
            </w:r>
          </w:p>
        </w:tc>
        <w:tc>
          <w:tcPr>
            <w:tcW w:w="3640" w:type="pct"/>
          </w:tcPr>
          <w:p w14:paraId="5AB7257D" w14:textId="77777777" w:rsidR="00E41E6D" w:rsidRPr="00465DC4" w:rsidRDefault="00E41E6D" w:rsidP="00DE2BCA">
            <w:pPr>
              <w:tabs>
                <w:tab w:val="left" w:pos="851"/>
              </w:tabs>
              <w:rPr>
                <w:rFonts w:ascii="Tahoma" w:eastAsiaTheme="minorHAnsi" w:hAnsi="Tahoma" w:cs="Tahoma"/>
                <w:bCs/>
                <w:iCs/>
                <w:sz w:val="18"/>
                <w:szCs w:val="18"/>
                <w:lang w:eastAsia="en-US"/>
              </w:rPr>
            </w:pPr>
            <w:r w:rsidRPr="00465DC4">
              <w:rPr>
                <w:rFonts w:ascii="Tahoma" w:eastAsiaTheme="minorHAnsi" w:hAnsi="Tahoma" w:cs="Tahoma"/>
                <w:sz w:val="18"/>
                <w:szCs w:val="18"/>
                <w:lang w:eastAsia="en-US"/>
              </w:rPr>
              <w:t xml:space="preserve">«Азиатско-Тихоокеанский Банк» (Акционерное общество) (далее - Банк). Универсальная лицензия ЦБ РФ № 1810, ОГРН: 1022800000079, ИНН: 2801023444, БИК: 041012765, кор. счет №: 30101810300000000765 в Отделении Благовещенск. Местонахождение Банка и место нахождения его постоянно действующего исполнительного органа: 675004, Амурская область, г. Благовещенск, Амурская 225. Контактный тел.: 8 800 775 8888 (звонок по России бесплатный). Сайт Банка: </w:t>
            </w:r>
            <w:hyperlink r:id="rId39" w:history="1">
              <w:r w:rsidRPr="00465DC4">
                <w:rPr>
                  <w:rFonts w:ascii="Tahoma" w:eastAsiaTheme="minorHAnsi" w:hAnsi="Tahoma" w:cs="Tahoma"/>
                  <w:sz w:val="18"/>
                  <w:szCs w:val="18"/>
                  <w:u w:val="single"/>
                  <w:lang w:eastAsia="en-US"/>
                </w:rPr>
                <w:t>www.atb.su</w:t>
              </w:r>
            </w:hyperlink>
          </w:p>
        </w:tc>
      </w:tr>
      <w:tr w:rsidR="00E41E6D" w:rsidRPr="00465DC4" w14:paraId="27541D5C" w14:textId="77777777" w:rsidTr="00DE2BCA">
        <w:tc>
          <w:tcPr>
            <w:tcW w:w="1360" w:type="pct"/>
          </w:tcPr>
          <w:p w14:paraId="34796C81" w14:textId="77777777" w:rsidR="00E41E6D" w:rsidRPr="00465DC4" w:rsidRDefault="00E41E6D" w:rsidP="00DE2BCA">
            <w:pPr>
              <w:tabs>
                <w:tab w:val="left" w:pos="851"/>
              </w:tabs>
              <w:rPr>
                <w:rFonts w:ascii="Tahoma" w:hAnsi="Tahoma" w:cs="Tahoma"/>
                <w:b/>
                <w:color w:val="000000"/>
                <w:sz w:val="18"/>
                <w:szCs w:val="18"/>
              </w:rPr>
            </w:pPr>
            <w:r w:rsidRPr="00465DC4">
              <w:rPr>
                <w:rFonts w:ascii="Tahoma" w:hAnsi="Tahoma" w:cs="Tahoma"/>
                <w:b/>
                <w:color w:val="000000"/>
                <w:sz w:val="18"/>
                <w:szCs w:val="18"/>
              </w:rPr>
              <w:t xml:space="preserve">ПСК </w:t>
            </w:r>
          </w:p>
        </w:tc>
        <w:tc>
          <w:tcPr>
            <w:tcW w:w="3640" w:type="pct"/>
          </w:tcPr>
          <w:p w14:paraId="31446143" w14:textId="77777777" w:rsidR="00E41E6D" w:rsidRPr="00465DC4" w:rsidRDefault="00E41E6D" w:rsidP="00DE2BCA">
            <w:pPr>
              <w:jc w:val="both"/>
              <w:rPr>
                <w:rFonts w:ascii="Tahoma" w:eastAsiaTheme="minorHAnsi" w:hAnsi="Tahoma" w:cs="Tahoma"/>
                <w:sz w:val="18"/>
                <w:szCs w:val="18"/>
                <w:lang w:eastAsia="en-US"/>
              </w:rPr>
            </w:pPr>
            <w:r w:rsidRPr="00465DC4">
              <w:rPr>
                <w:rFonts w:ascii="Tahoma" w:eastAsiaTheme="minorHAnsi" w:hAnsi="Tahoma" w:cs="Tahoma"/>
                <w:sz w:val="18"/>
                <w:szCs w:val="18"/>
                <w:lang w:eastAsia="en-US"/>
              </w:rPr>
              <w:t xml:space="preserve">Полная стоимость потребительского Кредита определяется как в процентах годовых, </w:t>
            </w:r>
            <w:r w:rsidRPr="00465DC4">
              <w:rPr>
                <w:rFonts w:ascii="Tahoma" w:eastAsiaTheme="minorHAnsi" w:hAnsi="Tahoma" w:cs="Tahoma"/>
                <w:bCs/>
                <w:sz w:val="18"/>
                <w:szCs w:val="18"/>
                <w:lang w:eastAsia="en-US"/>
              </w:rPr>
              <w:t>так и в денежном выражении</w:t>
            </w:r>
          </w:p>
        </w:tc>
      </w:tr>
      <w:tr w:rsidR="00E41E6D" w:rsidRPr="00465DC4" w14:paraId="2D73D729" w14:textId="77777777" w:rsidTr="00DE2BCA">
        <w:tc>
          <w:tcPr>
            <w:tcW w:w="1360" w:type="pct"/>
          </w:tcPr>
          <w:p w14:paraId="60F719FA" w14:textId="77777777" w:rsidR="00E41E6D" w:rsidRPr="00465DC4" w:rsidRDefault="00E41E6D" w:rsidP="00DE2BCA">
            <w:pPr>
              <w:rPr>
                <w:rFonts w:ascii="Tahoma" w:eastAsiaTheme="minorHAnsi" w:hAnsi="Tahoma" w:cs="Tahoma"/>
                <w:b/>
                <w:bCs/>
                <w:sz w:val="18"/>
                <w:szCs w:val="18"/>
                <w:lang w:eastAsia="en-US"/>
              </w:rPr>
            </w:pPr>
            <w:r w:rsidRPr="00465DC4">
              <w:rPr>
                <w:rFonts w:ascii="Tahoma" w:eastAsiaTheme="minorHAnsi" w:hAnsi="Tahoma" w:cs="Tahoma"/>
                <w:b/>
                <w:sz w:val="18"/>
                <w:szCs w:val="18"/>
                <w:lang w:eastAsia="en-US"/>
              </w:rPr>
              <w:t xml:space="preserve">ТБС (либо ТБС Заемщика) </w:t>
            </w:r>
          </w:p>
        </w:tc>
        <w:tc>
          <w:tcPr>
            <w:tcW w:w="3640" w:type="pct"/>
          </w:tcPr>
          <w:p w14:paraId="02AC7792" w14:textId="77777777" w:rsidR="00E41E6D" w:rsidRPr="00465DC4" w:rsidRDefault="00E41E6D" w:rsidP="00DE2BCA">
            <w:pPr>
              <w:widowControl w:val="0"/>
              <w:tabs>
                <w:tab w:val="left" w:pos="851"/>
              </w:tabs>
              <w:adjustRightInd w:val="0"/>
              <w:jc w:val="both"/>
              <w:rPr>
                <w:rFonts w:ascii="Tahoma" w:eastAsiaTheme="minorHAnsi" w:hAnsi="Tahoma" w:cs="Tahoma"/>
                <w:bCs/>
                <w:sz w:val="18"/>
                <w:szCs w:val="18"/>
                <w:lang w:eastAsia="en-US"/>
              </w:rPr>
            </w:pPr>
            <w:r w:rsidRPr="00465DC4">
              <w:rPr>
                <w:rFonts w:ascii="Tahoma" w:eastAsiaTheme="minorHAnsi" w:hAnsi="Tahoma" w:cs="Tahoma"/>
                <w:sz w:val="18"/>
                <w:szCs w:val="18"/>
                <w:lang w:eastAsia="en-US"/>
              </w:rPr>
              <w:t xml:space="preserve">текущий банковский счет, открытый Банком Заемщику в рамках Договора (в случае, если об открытии данного счета Стороны договорились в Индивидуальных условиях Договора) </w:t>
            </w:r>
          </w:p>
        </w:tc>
      </w:tr>
      <w:tr w:rsidR="00E41E6D" w:rsidRPr="00465DC4" w14:paraId="4135D628" w14:textId="77777777" w:rsidTr="00DE2BCA">
        <w:tc>
          <w:tcPr>
            <w:tcW w:w="1360" w:type="pct"/>
          </w:tcPr>
          <w:p w14:paraId="5011FF6F" w14:textId="77777777" w:rsidR="00E41E6D" w:rsidRPr="00465DC4" w:rsidRDefault="00E41E6D" w:rsidP="00DE2BCA">
            <w:pPr>
              <w:rPr>
                <w:rFonts w:ascii="Tahoma" w:eastAsiaTheme="minorHAnsi" w:hAnsi="Tahoma" w:cs="Tahoma"/>
                <w:b/>
                <w:sz w:val="18"/>
                <w:szCs w:val="18"/>
                <w:lang w:eastAsia="en-US"/>
              </w:rPr>
            </w:pPr>
            <w:r w:rsidRPr="00465DC4">
              <w:rPr>
                <w:rFonts w:ascii="Tahoma" w:eastAsiaTheme="minorHAnsi" w:hAnsi="Tahoma" w:cs="Tahoma"/>
                <w:b/>
                <w:sz w:val="18"/>
                <w:szCs w:val="18"/>
                <w:lang w:eastAsia="en-US"/>
              </w:rPr>
              <w:t>Договор (или Договор «Потребительский кредит»)</w:t>
            </w:r>
          </w:p>
        </w:tc>
        <w:tc>
          <w:tcPr>
            <w:tcW w:w="3640" w:type="pct"/>
          </w:tcPr>
          <w:p w14:paraId="5D81375D" w14:textId="77777777" w:rsidR="00E41E6D" w:rsidRPr="00465DC4" w:rsidRDefault="00E41E6D" w:rsidP="00DE2BCA">
            <w:pPr>
              <w:widowControl w:val="0"/>
              <w:tabs>
                <w:tab w:val="left" w:pos="851"/>
              </w:tabs>
              <w:adjustRightInd w:val="0"/>
              <w:jc w:val="both"/>
              <w:rPr>
                <w:rFonts w:ascii="Tahoma" w:eastAsiaTheme="minorHAnsi" w:hAnsi="Tahoma" w:cs="Tahoma"/>
                <w:sz w:val="18"/>
                <w:szCs w:val="18"/>
                <w:lang w:eastAsia="en-US"/>
              </w:rPr>
            </w:pPr>
            <w:r w:rsidRPr="00465DC4">
              <w:rPr>
                <w:rFonts w:ascii="Tahoma" w:eastAsiaTheme="minorHAnsi" w:hAnsi="Tahoma" w:cs="Tahoma"/>
                <w:sz w:val="18"/>
                <w:szCs w:val="18"/>
                <w:lang w:eastAsia="en-US"/>
              </w:rPr>
              <w:t>договор потребительского Кредита, заключаемый в соответствии с Федеральным законом от 21.12.2013 № 353-ФЗ «О потребительском кредите (займе)» (далее – Закон № 353-ФЗ)</w:t>
            </w:r>
          </w:p>
        </w:tc>
      </w:tr>
      <w:tr w:rsidR="00E41E6D" w:rsidRPr="00465DC4" w14:paraId="3178622C" w14:textId="77777777" w:rsidTr="00DE2BCA">
        <w:tc>
          <w:tcPr>
            <w:tcW w:w="1360" w:type="pct"/>
          </w:tcPr>
          <w:p w14:paraId="4965A189" w14:textId="77777777" w:rsidR="00E41E6D" w:rsidRPr="00465DC4" w:rsidRDefault="00E41E6D" w:rsidP="00DE2BCA">
            <w:pPr>
              <w:widowControl w:val="0"/>
              <w:rPr>
                <w:rFonts w:ascii="Tahoma" w:eastAsiaTheme="minorHAnsi" w:hAnsi="Tahoma" w:cs="Tahoma"/>
                <w:b/>
                <w:sz w:val="18"/>
                <w:szCs w:val="18"/>
                <w:lang w:eastAsia="en-US"/>
              </w:rPr>
            </w:pPr>
            <w:r w:rsidRPr="00465DC4">
              <w:rPr>
                <w:rFonts w:ascii="Tahoma" w:eastAsiaTheme="minorHAnsi" w:hAnsi="Tahoma" w:cs="Tahoma"/>
                <w:b/>
                <w:sz w:val="18"/>
                <w:szCs w:val="18"/>
                <w:lang w:eastAsia="en-US"/>
              </w:rPr>
              <w:t>Заемщик ИП</w:t>
            </w:r>
          </w:p>
        </w:tc>
        <w:tc>
          <w:tcPr>
            <w:tcW w:w="3640" w:type="pct"/>
          </w:tcPr>
          <w:p w14:paraId="5AF2D8EA" w14:textId="77777777" w:rsidR="00E41E6D" w:rsidRPr="00465DC4" w:rsidRDefault="00E41E6D" w:rsidP="00DE2BCA">
            <w:pPr>
              <w:widowControl w:val="0"/>
              <w:tabs>
                <w:tab w:val="left" w:pos="851"/>
              </w:tabs>
              <w:adjustRightInd w:val="0"/>
              <w:jc w:val="both"/>
              <w:rPr>
                <w:rFonts w:ascii="Tahoma" w:eastAsiaTheme="minorHAnsi" w:hAnsi="Tahoma" w:cs="Tahoma"/>
                <w:sz w:val="18"/>
                <w:szCs w:val="18"/>
                <w:lang w:eastAsia="en-US"/>
              </w:rPr>
            </w:pPr>
            <w:r w:rsidRPr="00465DC4">
              <w:rPr>
                <w:rFonts w:ascii="Tahoma" w:eastAsiaTheme="minorHAnsi" w:hAnsi="Tahoma" w:cs="Tahoma"/>
                <w:noProof/>
                <w:sz w:val="18"/>
                <w:szCs w:val="18"/>
                <w:lang w:eastAsia="en-US"/>
              </w:rPr>
              <w:t>Заемщик, получающий доход от предпринимательской деятельности</w:t>
            </w:r>
          </w:p>
        </w:tc>
      </w:tr>
      <w:tr w:rsidR="00E41E6D" w:rsidRPr="00465DC4" w14:paraId="2AC1A53D" w14:textId="77777777" w:rsidTr="00DE2BCA">
        <w:tc>
          <w:tcPr>
            <w:tcW w:w="5000" w:type="pct"/>
            <w:gridSpan w:val="2"/>
          </w:tcPr>
          <w:p w14:paraId="725B11AA" w14:textId="77777777" w:rsidR="00E41E6D" w:rsidRPr="00465DC4" w:rsidRDefault="00E41E6D" w:rsidP="00DE2BCA">
            <w:pPr>
              <w:widowControl w:val="0"/>
              <w:tabs>
                <w:tab w:val="left" w:pos="851"/>
              </w:tabs>
              <w:adjustRightInd w:val="0"/>
              <w:jc w:val="both"/>
              <w:rPr>
                <w:rFonts w:ascii="Tahoma" w:eastAsiaTheme="minorHAnsi" w:hAnsi="Tahoma" w:cs="Tahoma"/>
                <w:sz w:val="18"/>
                <w:szCs w:val="18"/>
                <w:lang w:eastAsia="en-US"/>
              </w:rPr>
            </w:pPr>
            <w:r w:rsidRPr="00465DC4">
              <w:rPr>
                <w:rFonts w:ascii="Tahoma" w:eastAsiaTheme="minorHAnsi" w:hAnsi="Tahoma" w:cs="Tahoma"/>
                <w:sz w:val="18"/>
                <w:szCs w:val="18"/>
                <w:lang w:eastAsia="en-US"/>
              </w:rPr>
              <w:t xml:space="preserve">Не указанные в настоящем документе термины применяются в значении, указанном в Универсальном договоре банковского обслуживания физических лиц «Азиатско-Тихоокеанский Банк» (АО), размещённом на сайте Банка в сети Интернет по адресу </w:t>
            </w:r>
            <w:hyperlink r:id="rId40" w:history="1">
              <w:r w:rsidRPr="00465DC4">
                <w:rPr>
                  <w:rFonts w:ascii="Tahoma" w:eastAsiaTheme="minorHAnsi" w:hAnsi="Tahoma" w:cs="Tahoma"/>
                  <w:sz w:val="18"/>
                  <w:szCs w:val="18"/>
                  <w:u w:val="single"/>
                  <w:lang w:eastAsia="en-US"/>
                </w:rPr>
                <w:t>www.atb.su</w:t>
              </w:r>
            </w:hyperlink>
          </w:p>
        </w:tc>
      </w:tr>
    </w:tbl>
    <w:p w14:paraId="61ECE003" w14:textId="77777777" w:rsidR="00E41E6D" w:rsidRPr="00465DC4" w:rsidRDefault="00E41E6D" w:rsidP="00E41E6D">
      <w:pPr>
        <w:rPr>
          <w:rFonts w:ascii="Tahoma" w:eastAsiaTheme="minorHAnsi" w:hAnsi="Tahoma" w:cs="Tahoma"/>
          <w:noProof/>
          <w:sz w:val="20"/>
          <w:szCs w:val="20"/>
        </w:rPr>
      </w:pPr>
    </w:p>
    <w:p w14:paraId="575ABE89" w14:textId="77777777" w:rsidR="00E41E6D" w:rsidRPr="00465DC4" w:rsidRDefault="00E41E6D" w:rsidP="00E41E6D">
      <w:pPr>
        <w:numPr>
          <w:ilvl w:val="0"/>
          <w:numId w:val="12"/>
        </w:numPr>
        <w:tabs>
          <w:tab w:val="left" w:pos="851"/>
        </w:tabs>
        <w:spacing w:after="200" w:line="276" w:lineRule="auto"/>
        <w:ind w:firstLine="426"/>
        <w:contextualSpacing/>
        <w:jc w:val="both"/>
        <w:rPr>
          <w:rFonts w:ascii="Tahoma" w:eastAsia="Calibri" w:hAnsi="Tahoma" w:cs="Tahoma"/>
          <w:b/>
          <w:bCs/>
          <w:caps/>
          <w:sz w:val="20"/>
          <w:szCs w:val="20"/>
          <w:lang w:eastAsia="en-US"/>
        </w:rPr>
      </w:pPr>
      <w:r w:rsidRPr="00465DC4">
        <w:rPr>
          <w:rFonts w:ascii="Tahoma" w:eastAsia="Calibri" w:hAnsi="Tahoma" w:cs="Tahoma"/>
          <w:b/>
          <w:bCs/>
          <w:caps/>
          <w:sz w:val="20"/>
          <w:szCs w:val="20"/>
          <w:lang w:eastAsia="en-US"/>
        </w:rPr>
        <w:t>ИНФОРМАЦИЯ ОБ УСЛОВИЯХ ПРЕДОСТАВЛЕНИЯ, ИСПОЛЬЗОВАНИЯ И ВОЗВРАТА ПОТРЕБИТЕЛЬСКОГО КРЕДИТА</w:t>
      </w:r>
    </w:p>
    <w:tbl>
      <w:tblPr>
        <w:tblW w:w="15339"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70"/>
        <w:gridCol w:w="1701"/>
        <w:gridCol w:w="9668"/>
      </w:tblGrid>
      <w:tr w:rsidR="00E41E6D" w:rsidRPr="00465DC4" w14:paraId="19442BE7" w14:textId="77777777" w:rsidTr="00DE2BCA">
        <w:trPr>
          <w:trHeight w:val="510"/>
        </w:trPr>
        <w:tc>
          <w:tcPr>
            <w:tcW w:w="3970" w:type="dxa"/>
            <w:shd w:val="clear" w:color="auto" w:fill="auto"/>
            <w:hideMark/>
          </w:tcPr>
          <w:p w14:paraId="4F4C79BE" w14:textId="77777777" w:rsidR="00E41E6D" w:rsidRPr="00465DC4" w:rsidRDefault="00E41E6D" w:rsidP="00DE2BCA">
            <w:pPr>
              <w:tabs>
                <w:tab w:val="left" w:pos="851"/>
              </w:tabs>
              <w:jc w:val="center"/>
              <w:rPr>
                <w:rFonts w:ascii="Tahoma" w:eastAsiaTheme="minorHAnsi" w:hAnsi="Tahoma" w:cs="Tahoma"/>
                <w:b/>
                <w:bCs/>
                <w:iCs/>
                <w:sz w:val="18"/>
                <w:szCs w:val="18"/>
                <w:lang w:eastAsia="en-US"/>
              </w:rPr>
            </w:pPr>
            <w:r w:rsidRPr="00465DC4">
              <w:rPr>
                <w:rFonts w:ascii="Tahoma" w:eastAsiaTheme="minorHAnsi" w:hAnsi="Tahoma" w:cs="Tahoma"/>
                <w:b/>
                <w:bCs/>
                <w:iCs/>
                <w:sz w:val="18"/>
                <w:szCs w:val="18"/>
                <w:lang w:eastAsia="en-US"/>
              </w:rPr>
              <w:t>Наименование продукта/модификации/тарифного плана(ТП)/программы кредитования</w:t>
            </w:r>
          </w:p>
        </w:tc>
        <w:tc>
          <w:tcPr>
            <w:tcW w:w="11369" w:type="dxa"/>
            <w:gridSpan w:val="2"/>
            <w:shd w:val="clear" w:color="auto" w:fill="auto"/>
            <w:noWrap/>
            <w:hideMark/>
          </w:tcPr>
          <w:p w14:paraId="43E73E0C" w14:textId="77777777" w:rsidR="00E41E6D" w:rsidRPr="00465DC4" w:rsidRDefault="00E41E6D" w:rsidP="00DE2BCA">
            <w:pPr>
              <w:tabs>
                <w:tab w:val="left" w:pos="851"/>
              </w:tabs>
              <w:jc w:val="center"/>
              <w:rPr>
                <w:rFonts w:ascii="Tahoma" w:eastAsiaTheme="minorHAnsi" w:hAnsi="Tahoma" w:cs="Tahoma"/>
                <w:b/>
                <w:bCs/>
                <w:iCs/>
                <w:sz w:val="18"/>
                <w:szCs w:val="18"/>
                <w:lang w:eastAsia="en-US"/>
              </w:rPr>
            </w:pPr>
            <w:r w:rsidRPr="00465DC4">
              <w:rPr>
                <w:rFonts w:ascii="Tahoma" w:eastAsiaTheme="minorHAnsi" w:hAnsi="Tahoma" w:cs="Tahoma"/>
                <w:bCs/>
                <w:iCs/>
                <w:sz w:val="18"/>
                <w:szCs w:val="18"/>
                <w:lang w:eastAsia="en-US"/>
              </w:rPr>
              <w:t xml:space="preserve"> </w:t>
            </w:r>
            <w:r w:rsidRPr="00465DC4">
              <w:rPr>
                <w:rFonts w:ascii="Tahoma" w:eastAsiaTheme="minorHAnsi" w:hAnsi="Tahoma" w:cs="Tahoma"/>
                <w:b/>
                <w:bCs/>
                <w:iCs/>
                <w:sz w:val="18"/>
                <w:szCs w:val="18"/>
                <w:lang w:eastAsia="en-US"/>
              </w:rPr>
              <w:t>«Доверие +»</w:t>
            </w:r>
          </w:p>
        </w:tc>
      </w:tr>
      <w:tr w:rsidR="00E41E6D" w:rsidRPr="00465DC4" w14:paraId="5BE1AFC9" w14:textId="77777777" w:rsidTr="00DE2BCA">
        <w:trPr>
          <w:trHeight w:val="318"/>
        </w:trPr>
        <w:tc>
          <w:tcPr>
            <w:tcW w:w="3970" w:type="dxa"/>
            <w:shd w:val="clear" w:color="auto" w:fill="auto"/>
          </w:tcPr>
          <w:p w14:paraId="6754F2B7" w14:textId="77777777" w:rsidR="00E41E6D" w:rsidRPr="00465DC4" w:rsidRDefault="00E41E6D" w:rsidP="00DE2BCA">
            <w:pPr>
              <w:tabs>
                <w:tab w:val="left" w:pos="851"/>
              </w:tabs>
              <w:jc w:val="center"/>
              <w:rPr>
                <w:rFonts w:ascii="Tahoma" w:eastAsiaTheme="minorHAnsi" w:hAnsi="Tahoma" w:cs="Tahoma"/>
                <w:b/>
                <w:bCs/>
                <w:iCs/>
                <w:sz w:val="18"/>
                <w:szCs w:val="18"/>
                <w:lang w:eastAsia="en-US"/>
              </w:rPr>
            </w:pPr>
            <w:r w:rsidRPr="00465DC4">
              <w:rPr>
                <w:rFonts w:ascii="Tahoma" w:eastAsiaTheme="minorHAnsi" w:hAnsi="Tahoma" w:cs="Tahoma"/>
                <w:b/>
                <w:bCs/>
                <w:iCs/>
                <w:sz w:val="18"/>
                <w:szCs w:val="18"/>
                <w:lang w:eastAsia="en-US"/>
              </w:rPr>
              <w:t>Вид Кредита</w:t>
            </w:r>
          </w:p>
        </w:tc>
        <w:tc>
          <w:tcPr>
            <w:tcW w:w="11369" w:type="dxa"/>
            <w:gridSpan w:val="2"/>
            <w:shd w:val="clear" w:color="auto" w:fill="auto"/>
            <w:noWrap/>
          </w:tcPr>
          <w:p w14:paraId="40F0405B" w14:textId="77777777" w:rsidR="00E41E6D" w:rsidRPr="00465DC4" w:rsidRDefault="00E41E6D" w:rsidP="00DE2BCA">
            <w:pPr>
              <w:tabs>
                <w:tab w:val="left" w:pos="851"/>
              </w:tabs>
              <w:jc w:val="center"/>
              <w:rPr>
                <w:rFonts w:ascii="Tahoma" w:eastAsiaTheme="minorHAnsi" w:hAnsi="Tahoma" w:cs="Tahoma"/>
                <w:bCs/>
                <w:iCs/>
                <w:sz w:val="18"/>
                <w:szCs w:val="18"/>
                <w:lang w:eastAsia="en-US"/>
              </w:rPr>
            </w:pPr>
            <w:r w:rsidRPr="00465DC4">
              <w:rPr>
                <w:rFonts w:ascii="Tahoma" w:eastAsiaTheme="minorHAnsi" w:hAnsi="Tahoma" w:cs="Tahoma"/>
                <w:bCs/>
                <w:iCs/>
                <w:sz w:val="18"/>
                <w:szCs w:val="18"/>
                <w:lang w:eastAsia="en-US"/>
              </w:rPr>
              <w:t>Потребительский кредит</w:t>
            </w:r>
          </w:p>
        </w:tc>
      </w:tr>
      <w:tr w:rsidR="00E41E6D" w:rsidRPr="00465DC4" w14:paraId="3590C8C2" w14:textId="77777777" w:rsidTr="00DE2BCA">
        <w:trPr>
          <w:trHeight w:val="255"/>
        </w:trPr>
        <w:tc>
          <w:tcPr>
            <w:tcW w:w="3970" w:type="dxa"/>
            <w:shd w:val="clear" w:color="auto" w:fill="auto"/>
            <w:hideMark/>
          </w:tcPr>
          <w:p w14:paraId="7C218BDB" w14:textId="77777777" w:rsidR="00E41E6D" w:rsidRPr="00465DC4" w:rsidRDefault="00E41E6D" w:rsidP="00DE2BCA">
            <w:pPr>
              <w:tabs>
                <w:tab w:val="left" w:pos="851"/>
              </w:tabs>
              <w:jc w:val="center"/>
              <w:rPr>
                <w:rFonts w:ascii="Tahoma" w:eastAsiaTheme="minorHAnsi" w:hAnsi="Tahoma" w:cs="Tahoma"/>
                <w:b/>
                <w:bCs/>
                <w:iCs/>
                <w:sz w:val="18"/>
                <w:szCs w:val="18"/>
                <w:lang w:eastAsia="en-US"/>
              </w:rPr>
            </w:pPr>
            <w:r w:rsidRPr="00465DC4">
              <w:rPr>
                <w:rFonts w:ascii="Tahoma" w:eastAsiaTheme="minorHAnsi" w:hAnsi="Tahoma" w:cs="Tahoma"/>
                <w:b/>
                <w:bCs/>
                <w:iCs/>
                <w:sz w:val="18"/>
                <w:szCs w:val="18"/>
                <w:lang w:eastAsia="en-US"/>
              </w:rPr>
              <w:t>Категория продуктового предложения</w:t>
            </w:r>
          </w:p>
        </w:tc>
        <w:tc>
          <w:tcPr>
            <w:tcW w:w="11369" w:type="dxa"/>
            <w:gridSpan w:val="2"/>
            <w:shd w:val="clear" w:color="auto" w:fill="auto"/>
            <w:hideMark/>
          </w:tcPr>
          <w:p w14:paraId="2DFF4898" w14:textId="77777777" w:rsidR="00E41E6D" w:rsidRPr="00465DC4" w:rsidRDefault="00E41E6D" w:rsidP="00DE2BCA">
            <w:pPr>
              <w:tabs>
                <w:tab w:val="left" w:pos="851"/>
              </w:tabs>
              <w:jc w:val="center"/>
              <w:rPr>
                <w:rFonts w:ascii="Tahoma" w:eastAsiaTheme="minorHAnsi" w:hAnsi="Tahoma" w:cs="Tahoma"/>
                <w:bCs/>
                <w:iCs/>
                <w:sz w:val="18"/>
                <w:szCs w:val="18"/>
                <w:lang w:eastAsia="en-US"/>
              </w:rPr>
            </w:pPr>
            <w:r w:rsidRPr="00465DC4">
              <w:rPr>
                <w:rFonts w:ascii="Tahoma" w:eastAsiaTheme="minorHAnsi" w:hAnsi="Tahoma" w:cs="Tahoma"/>
                <w:bCs/>
                <w:iCs/>
                <w:sz w:val="18"/>
                <w:szCs w:val="18"/>
                <w:lang w:eastAsia="en-US"/>
              </w:rPr>
              <w:t>Текущая просроченная непрерывная задолженность по рефинансируемому кредиту от 90 дней</w:t>
            </w:r>
          </w:p>
        </w:tc>
      </w:tr>
      <w:tr w:rsidR="00E41E6D" w:rsidRPr="00465DC4" w14:paraId="5D40A015" w14:textId="77777777" w:rsidTr="00DE2BCA">
        <w:trPr>
          <w:trHeight w:val="1062"/>
        </w:trPr>
        <w:tc>
          <w:tcPr>
            <w:tcW w:w="3970" w:type="dxa"/>
            <w:shd w:val="clear" w:color="auto" w:fill="auto"/>
            <w:hideMark/>
          </w:tcPr>
          <w:p w14:paraId="0E7296A4" w14:textId="77777777" w:rsidR="00E41E6D" w:rsidRPr="00465DC4" w:rsidRDefault="00E41E6D" w:rsidP="00DE2BCA">
            <w:pPr>
              <w:tabs>
                <w:tab w:val="left" w:pos="851"/>
              </w:tabs>
              <w:jc w:val="center"/>
              <w:rPr>
                <w:rFonts w:ascii="Tahoma" w:eastAsiaTheme="minorHAnsi" w:hAnsi="Tahoma" w:cs="Tahoma"/>
                <w:b/>
                <w:bCs/>
                <w:iCs/>
                <w:sz w:val="18"/>
                <w:szCs w:val="18"/>
                <w:lang w:eastAsia="en-US"/>
              </w:rPr>
            </w:pPr>
            <w:r w:rsidRPr="00465DC4">
              <w:rPr>
                <w:rFonts w:ascii="Tahoma" w:eastAsiaTheme="minorHAnsi" w:hAnsi="Tahoma" w:cs="Tahoma"/>
                <w:b/>
                <w:bCs/>
                <w:iCs/>
                <w:sz w:val="18"/>
                <w:szCs w:val="18"/>
                <w:lang w:eastAsia="en-US"/>
              </w:rPr>
              <w:lastRenderedPageBreak/>
              <w:t>Общее описание, цель</w:t>
            </w:r>
          </w:p>
        </w:tc>
        <w:tc>
          <w:tcPr>
            <w:tcW w:w="11369" w:type="dxa"/>
            <w:gridSpan w:val="2"/>
            <w:shd w:val="clear" w:color="auto" w:fill="auto"/>
            <w:hideMark/>
          </w:tcPr>
          <w:p w14:paraId="5D09D516" w14:textId="77777777" w:rsidR="00E41E6D" w:rsidRPr="00465DC4" w:rsidRDefault="00E41E6D" w:rsidP="00DE2BCA">
            <w:pPr>
              <w:tabs>
                <w:tab w:val="left" w:pos="851"/>
              </w:tabs>
              <w:jc w:val="center"/>
              <w:rPr>
                <w:rFonts w:ascii="Tahoma" w:eastAsiaTheme="minorHAnsi" w:hAnsi="Tahoma" w:cs="Tahoma"/>
                <w:bCs/>
                <w:iCs/>
                <w:sz w:val="18"/>
                <w:szCs w:val="18"/>
                <w:lang w:eastAsia="en-US"/>
              </w:rPr>
            </w:pPr>
            <w:r w:rsidRPr="00465DC4">
              <w:rPr>
                <w:rFonts w:ascii="Tahoma" w:eastAsiaTheme="minorHAnsi" w:hAnsi="Tahoma" w:cs="Tahoma"/>
                <w:bCs/>
                <w:iCs/>
                <w:sz w:val="18"/>
                <w:szCs w:val="18"/>
                <w:lang w:eastAsia="en-US"/>
              </w:rPr>
              <w:t>Рефинансирование потребительских кредитов (потребительских кредитов с лимитом кредитования), выданных Банком</w:t>
            </w:r>
            <w:r w:rsidRPr="00465DC4">
              <w:rPr>
                <w:rFonts w:ascii="Tahoma" w:eastAsiaTheme="minorHAnsi" w:hAnsi="Tahoma" w:cs="Tahoma"/>
                <w:bCs/>
                <w:iCs/>
                <w:sz w:val="18"/>
                <w:szCs w:val="18"/>
                <w:vertAlign w:val="superscript"/>
                <w:lang w:eastAsia="en-US"/>
              </w:rPr>
              <w:t>1</w:t>
            </w:r>
            <w:r w:rsidRPr="00465DC4">
              <w:rPr>
                <w:rFonts w:ascii="Tahoma" w:eastAsiaTheme="minorHAnsi" w:hAnsi="Tahoma" w:cs="Tahoma"/>
                <w:bCs/>
                <w:iCs/>
                <w:sz w:val="18"/>
                <w:szCs w:val="18"/>
                <w:lang w:eastAsia="en-US"/>
              </w:rPr>
              <w:t xml:space="preserve"> физическим лицам, вне зависимости от суммы просроченной задолженности. Осуществляется рефинансирование всей задолженности, в том числе процентов по кредиту, штрафов и пеней.</w:t>
            </w:r>
          </w:p>
        </w:tc>
      </w:tr>
      <w:tr w:rsidR="00E41E6D" w:rsidRPr="00465DC4" w14:paraId="06CADA19" w14:textId="77777777" w:rsidTr="00DE2BCA">
        <w:trPr>
          <w:trHeight w:val="416"/>
        </w:trPr>
        <w:tc>
          <w:tcPr>
            <w:tcW w:w="3970" w:type="dxa"/>
            <w:shd w:val="clear" w:color="auto" w:fill="auto"/>
          </w:tcPr>
          <w:p w14:paraId="134A1F79" w14:textId="77777777" w:rsidR="00E41E6D" w:rsidRPr="00465DC4" w:rsidRDefault="00E41E6D" w:rsidP="00DE2BCA">
            <w:pPr>
              <w:jc w:val="center"/>
              <w:rPr>
                <w:rFonts w:ascii="Tahoma" w:hAnsi="Tahoma" w:cs="Tahoma"/>
                <w:b/>
                <w:bCs/>
                <w:sz w:val="18"/>
                <w:szCs w:val="18"/>
              </w:rPr>
            </w:pPr>
            <w:r w:rsidRPr="00465DC4">
              <w:rPr>
                <w:rFonts w:ascii="Tahoma" w:hAnsi="Tahoma" w:cs="Tahoma"/>
                <w:b/>
                <w:bCs/>
                <w:sz w:val="18"/>
                <w:szCs w:val="18"/>
              </w:rPr>
              <w:t>Подразделения Банка/Точки продаж, реализующие кредитный продукт</w:t>
            </w:r>
          </w:p>
        </w:tc>
        <w:tc>
          <w:tcPr>
            <w:tcW w:w="11369" w:type="dxa"/>
            <w:gridSpan w:val="2"/>
            <w:shd w:val="clear" w:color="auto" w:fill="auto"/>
          </w:tcPr>
          <w:p w14:paraId="1DA61045" w14:textId="77777777" w:rsidR="00E41E6D" w:rsidRPr="00465DC4" w:rsidRDefault="00E41E6D" w:rsidP="00DE2BCA">
            <w:pPr>
              <w:jc w:val="center"/>
              <w:rPr>
                <w:rFonts w:ascii="Tahoma" w:hAnsi="Tahoma" w:cs="Tahoma"/>
                <w:sz w:val="18"/>
                <w:szCs w:val="18"/>
              </w:rPr>
            </w:pPr>
            <w:r w:rsidRPr="00465DC4">
              <w:rPr>
                <w:rFonts w:ascii="Tahoma" w:hAnsi="Tahoma" w:cs="Tahoma"/>
                <w:sz w:val="18"/>
                <w:szCs w:val="18"/>
              </w:rPr>
              <w:t>Все подразделения Банка (Филиалы, ВСП, в т.ч. ДАО)</w:t>
            </w:r>
          </w:p>
        </w:tc>
      </w:tr>
      <w:tr w:rsidR="00E41E6D" w:rsidRPr="00465DC4" w14:paraId="03A7371A" w14:textId="77777777" w:rsidTr="00DE2BCA">
        <w:trPr>
          <w:trHeight w:val="416"/>
        </w:trPr>
        <w:tc>
          <w:tcPr>
            <w:tcW w:w="3970" w:type="dxa"/>
            <w:shd w:val="clear" w:color="auto" w:fill="auto"/>
            <w:vAlign w:val="center"/>
          </w:tcPr>
          <w:p w14:paraId="2F1D98F2" w14:textId="77777777" w:rsidR="00E41E6D" w:rsidRPr="00465DC4" w:rsidRDefault="00E41E6D" w:rsidP="00DE2BCA">
            <w:pPr>
              <w:jc w:val="center"/>
              <w:rPr>
                <w:rFonts w:ascii="Tahoma" w:hAnsi="Tahoma" w:cs="Tahoma"/>
                <w:b/>
                <w:bCs/>
                <w:sz w:val="18"/>
                <w:szCs w:val="18"/>
              </w:rPr>
            </w:pPr>
            <w:r w:rsidRPr="00465DC4">
              <w:rPr>
                <w:rFonts w:ascii="Tahoma" w:hAnsi="Tahoma" w:cs="Tahoma"/>
                <w:b/>
                <w:bCs/>
                <w:sz w:val="18"/>
                <w:szCs w:val="18"/>
              </w:rPr>
              <w:t>Валюта, в которой предоставляется Кредит</w:t>
            </w:r>
          </w:p>
        </w:tc>
        <w:tc>
          <w:tcPr>
            <w:tcW w:w="11369" w:type="dxa"/>
            <w:gridSpan w:val="2"/>
            <w:shd w:val="clear" w:color="auto" w:fill="auto"/>
            <w:vAlign w:val="center"/>
          </w:tcPr>
          <w:p w14:paraId="1D8147AB" w14:textId="77777777" w:rsidR="00E41E6D" w:rsidRPr="00465DC4" w:rsidRDefault="00E41E6D" w:rsidP="00DE2BCA">
            <w:pPr>
              <w:jc w:val="center"/>
              <w:rPr>
                <w:rFonts w:ascii="Tahoma" w:hAnsi="Tahoma" w:cs="Tahoma"/>
                <w:color w:val="000000"/>
                <w:sz w:val="18"/>
                <w:szCs w:val="18"/>
              </w:rPr>
            </w:pPr>
            <w:r w:rsidRPr="00465DC4">
              <w:rPr>
                <w:rFonts w:ascii="Tahoma" w:eastAsiaTheme="minorHAnsi" w:hAnsi="Tahoma" w:cs="Tahoma"/>
                <w:bCs/>
                <w:iCs/>
                <w:sz w:val="18"/>
                <w:szCs w:val="18"/>
                <w:lang w:eastAsia="en-US"/>
              </w:rPr>
              <w:t>Рубли Российской Федерации (далее - рубли)</w:t>
            </w:r>
          </w:p>
        </w:tc>
      </w:tr>
      <w:tr w:rsidR="00E41E6D" w:rsidRPr="00465DC4" w14:paraId="12EDCEE5" w14:textId="77777777" w:rsidTr="00DE2BCA">
        <w:trPr>
          <w:trHeight w:val="416"/>
        </w:trPr>
        <w:tc>
          <w:tcPr>
            <w:tcW w:w="3970" w:type="dxa"/>
            <w:shd w:val="clear" w:color="auto" w:fill="auto"/>
            <w:hideMark/>
          </w:tcPr>
          <w:p w14:paraId="40F99AF7" w14:textId="77777777" w:rsidR="00E41E6D" w:rsidRPr="00465DC4" w:rsidRDefault="00E41E6D" w:rsidP="00DE2BCA">
            <w:pPr>
              <w:jc w:val="center"/>
              <w:rPr>
                <w:rFonts w:ascii="Tahoma" w:hAnsi="Tahoma" w:cs="Tahoma"/>
                <w:b/>
                <w:bCs/>
                <w:sz w:val="18"/>
                <w:szCs w:val="18"/>
              </w:rPr>
            </w:pPr>
            <w:r w:rsidRPr="00465DC4">
              <w:rPr>
                <w:rFonts w:ascii="Tahoma" w:hAnsi="Tahoma" w:cs="Tahoma"/>
                <w:b/>
                <w:bCs/>
                <w:sz w:val="18"/>
                <w:szCs w:val="18"/>
              </w:rPr>
              <w:t>Процентная ставка (в процентах годовых)</w:t>
            </w:r>
          </w:p>
        </w:tc>
        <w:tc>
          <w:tcPr>
            <w:tcW w:w="11369" w:type="dxa"/>
            <w:gridSpan w:val="2"/>
            <w:shd w:val="clear" w:color="auto" w:fill="auto"/>
          </w:tcPr>
          <w:p w14:paraId="42BACA40" w14:textId="77777777" w:rsidR="00E41E6D" w:rsidRPr="00465DC4" w:rsidRDefault="00E41E6D" w:rsidP="00DE2BCA">
            <w:pPr>
              <w:jc w:val="center"/>
              <w:rPr>
                <w:rFonts w:ascii="Tahoma" w:hAnsi="Tahoma" w:cs="Tahoma"/>
                <w:sz w:val="18"/>
                <w:szCs w:val="18"/>
                <w:highlight w:val="lightGray"/>
              </w:rPr>
            </w:pPr>
            <w:r w:rsidRPr="00465DC4">
              <w:rPr>
                <w:rFonts w:ascii="Tahoma" w:hAnsi="Tahoma" w:cs="Tahoma"/>
                <w:sz w:val="18"/>
                <w:szCs w:val="18"/>
              </w:rPr>
              <w:t>30 %</w:t>
            </w:r>
          </w:p>
        </w:tc>
      </w:tr>
      <w:tr w:rsidR="00E41E6D" w:rsidRPr="00465DC4" w14:paraId="679CC8CF" w14:textId="77777777" w:rsidTr="00DE2BCA">
        <w:trPr>
          <w:trHeight w:val="565"/>
        </w:trPr>
        <w:tc>
          <w:tcPr>
            <w:tcW w:w="3970" w:type="dxa"/>
            <w:shd w:val="clear" w:color="auto" w:fill="auto"/>
          </w:tcPr>
          <w:p w14:paraId="4826F245" w14:textId="77777777" w:rsidR="00E41E6D" w:rsidRPr="00465DC4" w:rsidRDefault="00E41E6D" w:rsidP="00DE2BCA">
            <w:pPr>
              <w:jc w:val="center"/>
              <w:rPr>
                <w:rFonts w:ascii="Tahoma" w:hAnsi="Tahoma" w:cs="Tahoma"/>
                <w:sz w:val="18"/>
                <w:szCs w:val="18"/>
              </w:rPr>
            </w:pPr>
            <w:r w:rsidRPr="00465DC4">
              <w:rPr>
                <w:rFonts w:ascii="Tahoma" w:hAnsi="Tahoma" w:cs="Tahoma"/>
                <w:b/>
                <w:bCs/>
                <w:sz w:val="18"/>
                <w:szCs w:val="18"/>
              </w:rPr>
              <w:t>Диапазон значений полной стоимости Кредита в процентном и денежном выражении</w:t>
            </w:r>
          </w:p>
        </w:tc>
        <w:tc>
          <w:tcPr>
            <w:tcW w:w="11369" w:type="dxa"/>
            <w:gridSpan w:val="2"/>
            <w:shd w:val="clear" w:color="auto" w:fill="auto"/>
          </w:tcPr>
          <w:p w14:paraId="19291B0F" w14:textId="77777777" w:rsidR="00E41E6D" w:rsidRPr="00465DC4" w:rsidRDefault="00E41E6D" w:rsidP="00DE2BCA">
            <w:pPr>
              <w:jc w:val="center"/>
              <w:rPr>
                <w:rFonts w:ascii="Tahoma" w:hAnsi="Tahoma" w:cs="Tahoma"/>
                <w:sz w:val="18"/>
                <w:szCs w:val="18"/>
              </w:rPr>
            </w:pPr>
            <w:r w:rsidRPr="00465DC4">
              <w:rPr>
                <w:rFonts w:ascii="Tahoma" w:hAnsi="Tahoma" w:cs="Tahoma"/>
                <w:sz w:val="18"/>
                <w:szCs w:val="18"/>
              </w:rPr>
              <w:t>29,965% - 29,976%</w:t>
            </w:r>
          </w:p>
          <w:p w14:paraId="58FFC7B1" w14:textId="77777777" w:rsidR="00E41E6D" w:rsidRPr="00465DC4" w:rsidRDefault="00E41E6D" w:rsidP="00DE2BCA">
            <w:pPr>
              <w:jc w:val="center"/>
              <w:rPr>
                <w:rFonts w:ascii="Tahoma" w:hAnsi="Tahoma" w:cs="Tahoma"/>
                <w:sz w:val="18"/>
                <w:szCs w:val="18"/>
              </w:rPr>
            </w:pPr>
            <w:r w:rsidRPr="00465DC4">
              <w:rPr>
                <w:rFonts w:ascii="Tahoma" w:eastAsiaTheme="minorHAnsi" w:hAnsi="Tahoma" w:cs="Tahoma"/>
                <w:bCs/>
                <w:color w:val="222222"/>
                <w:sz w:val="18"/>
                <w:szCs w:val="18"/>
                <w:lang w:eastAsia="en-US"/>
              </w:rPr>
              <w:t>1 834,53 рублей – 3 241 156,52 рублей</w:t>
            </w:r>
          </w:p>
        </w:tc>
      </w:tr>
      <w:tr w:rsidR="00E41E6D" w:rsidRPr="00465DC4" w14:paraId="1AA8C39A" w14:textId="77777777" w:rsidTr="00DE2BCA">
        <w:trPr>
          <w:trHeight w:val="255"/>
        </w:trPr>
        <w:tc>
          <w:tcPr>
            <w:tcW w:w="3970" w:type="dxa"/>
            <w:shd w:val="clear" w:color="auto" w:fill="auto"/>
            <w:hideMark/>
          </w:tcPr>
          <w:p w14:paraId="04D0A28A" w14:textId="77777777" w:rsidR="00E41E6D" w:rsidRPr="00465DC4" w:rsidRDefault="00E41E6D" w:rsidP="00DE2BCA">
            <w:pPr>
              <w:jc w:val="center"/>
              <w:rPr>
                <w:rFonts w:ascii="Tahoma" w:hAnsi="Tahoma" w:cs="Tahoma"/>
                <w:b/>
                <w:bCs/>
                <w:sz w:val="18"/>
                <w:szCs w:val="18"/>
              </w:rPr>
            </w:pPr>
            <w:r w:rsidRPr="00465DC4">
              <w:rPr>
                <w:rFonts w:ascii="Tahoma" w:hAnsi="Tahoma" w:cs="Tahoma"/>
                <w:b/>
                <w:bCs/>
                <w:sz w:val="18"/>
                <w:szCs w:val="18"/>
              </w:rPr>
              <w:t>Минимальная сумма Кредита</w:t>
            </w:r>
          </w:p>
        </w:tc>
        <w:tc>
          <w:tcPr>
            <w:tcW w:w="11369" w:type="dxa"/>
            <w:gridSpan w:val="2"/>
            <w:shd w:val="clear" w:color="auto" w:fill="auto"/>
            <w:hideMark/>
          </w:tcPr>
          <w:p w14:paraId="52F84CD7" w14:textId="77777777" w:rsidR="00E41E6D" w:rsidRPr="00465DC4" w:rsidRDefault="00E41E6D" w:rsidP="00DE2BCA">
            <w:pPr>
              <w:jc w:val="center"/>
              <w:rPr>
                <w:rFonts w:ascii="Tahoma" w:hAnsi="Tahoma" w:cs="Tahoma"/>
                <w:sz w:val="18"/>
                <w:szCs w:val="18"/>
              </w:rPr>
            </w:pPr>
            <w:r w:rsidRPr="00465DC4">
              <w:rPr>
                <w:rFonts w:ascii="Tahoma" w:hAnsi="Tahoma" w:cs="Tahoma"/>
                <w:sz w:val="18"/>
                <w:szCs w:val="18"/>
              </w:rPr>
              <w:t>10 000 рублей</w:t>
            </w:r>
          </w:p>
        </w:tc>
      </w:tr>
      <w:tr w:rsidR="00E41E6D" w:rsidRPr="00465DC4" w14:paraId="12FA3BEE" w14:textId="77777777" w:rsidTr="00DE2BCA">
        <w:trPr>
          <w:trHeight w:val="255"/>
        </w:trPr>
        <w:tc>
          <w:tcPr>
            <w:tcW w:w="3970" w:type="dxa"/>
            <w:shd w:val="clear" w:color="auto" w:fill="auto"/>
            <w:hideMark/>
          </w:tcPr>
          <w:p w14:paraId="5764A936" w14:textId="77777777" w:rsidR="00E41E6D" w:rsidRPr="00465DC4" w:rsidRDefault="00E41E6D" w:rsidP="00DE2BCA">
            <w:pPr>
              <w:jc w:val="center"/>
              <w:rPr>
                <w:rFonts w:ascii="Tahoma" w:hAnsi="Tahoma" w:cs="Tahoma"/>
                <w:b/>
                <w:bCs/>
                <w:sz w:val="18"/>
                <w:szCs w:val="18"/>
              </w:rPr>
            </w:pPr>
            <w:r w:rsidRPr="00465DC4">
              <w:rPr>
                <w:rFonts w:ascii="Tahoma" w:hAnsi="Tahoma" w:cs="Tahoma"/>
                <w:b/>
                <w:bCs/>
                <w:sz w:val="18"/>
                <w:szCs w:val="18"/>
              </w:rPr>
              <w:t>Максимальная сумма Кредита</w:t>
            </w:r>
          </w:p>
        </w:tc>
        <w:tc>
          <w:tcPr>
            <w:tcW w:w="11369" w:type="dxa"/>
            <w:gridSpan w:val="2"/>
            <w:shd w:val="clear" w:color="auto" w:fill="auto"/>
          </w:tcPr>
          <w:p w14:paraId="4BBC5448" w14:textId="77777777" w:rsidR="00E41E6D" w:rsidRPr="00465DC4" w:rsidRDefault="00E41E6D" w:rsidP="00DE2BCA">
            <w:pPr>
              <w:jc w:val="center"/>
              <w:rPr>
                <w:rFonts w:ascii="Tahoma" w:hAnsi="Tahoma" w:cs="Tahoma"/>
                <w:sz w:val="18"/>
                <w:szCs w:val="18"/>
              </w:rPr>
            </w:pPr>
            <w:r w:rsidRPr="00465DC4">
              <w:rPr>
                <w:rFonts w:ascii="Tahoma" w:hAnsi="Tahoma" w:cs="Tahoma"/>
                <w:sz w:val="18"/>
                <w:szCs w:val="18"/>
              </w:rPr>
              <w:t>1 500 000 рублей</w:t>
            </w:r>
          </w:p>
        </w:tc>
      </w:tr>
      <w:tr w:rsidR="00E41E6D" w:rsidRPr="00465DC4" w14:paraId="7CC79183" w14:textId="77777777" w:rsidTr="00DE2BCA">
        <w:trPr>
          <w:trHeight w:val="320"/>
        </w:trPr>
        <w:tc>
          <w:tcPr>
            <w:tcW w:w="3970" w:type="dxa"/>
            <w:shd w:val="clear" w:color="auto" w:fill="auto"/>
            <w:hideMark/>
          </w:tcPr>
          <w:p w14:paraId="24D9D0E9" w14:textId="77777777" w:rsidR="00E41E6D" w:rsidRPr="00465DC4" w:rsidRDefault="00E41E6D" w:rsidP="00DE2BCA">
            <w:pPr>
              <w:jc w:val="center"/>
              <w:rPr>
                <w:rFonts w:ascii="Tahoma" w:hAnsi="Tahoma" w:cs="Tahoma"/>
                <w:b/>
                <w:bCs/>
                <w:sz w:val="18"/>
                <w:szCs w:val="18"/>
              </w:rPr>
            </w:pPr>
            <w:r w:rsidRPr="00465DC4">
              <w:rPr>
                <w:rFonts w:ascii="Tahoma" w:hAnsi="Tahoma" w:cs="Tahoma"/>
                <w:b/>
                <w:bCs/>
                <w:sz w:val="18"/>
                <w:szCs w:val="18"/>
              </w:rPr>
              <w:t>Диапазон сроков возврата Кредита</w:t>
            </w:r>
          </w:p>
        </w:tc>
        <w:tc>
          <w:tcPr>
            <w:tcW w:w="11369" w:type="dxa"/>
            <w:gridSpan w:val="2"/>
            <w:shd w:val="clear" w:color="auto" w:fill="auto"/>
            <w:hideMark/>
          </w:tcPr>
          <w:p w14:paraId="53303E01" w14:textId="77777777" w:rsidR="00E41E6D" w:rsidRPr="00465DC4" w:rsidRDefault="00E41E6D" w:rsidP="00DE2BCA">
            <w:pPr>
              <w:jc w:val="center"/>
              <w:rPr>
                <w:rFonts w:ascii="Tahoma" w:hAnsi="Tahoma" w:cs="Tahoma"/>
                <w:sz w:val="18"/>
                <w:szCs w:val="18"/>
              </w:rPr>
            </w:pPr>
            <w:r w:rsidRPr="00465DC4">
              <w:rPr>
                <w:rFonts w:ascii="Tahoma" w:hAnsi="Tahoma" w:cs="Tahoma"/>
                <w:sz w:val="18"/>
                <w:szCs w:val="18"/>
              </w:rPr>
              <w:t>от 13 (тринадцати) месяцев до 120 (ста двадцати) месяцев с шагом в 1 (один) месяц</w:t>
            </w:r>
          </w:p>
        </w:tc>
      </w:tr>
      <w:tr w:rsidR="00E41E6D" w:rsidRPr="00465DC4" w14:paraId="0B972A39" w14:textId="77777777" w:rsidTr="00DE2BCA">
        <w:trPr>
          <w:trHeight w:val="1041"/>
        </w:trPr>
        <w:tc>
          <w:tcPr>
            <w:tcW w:w="3970" w:type="dxa"/>
            <w:shd w:val="clear" w:color="auto" w:fill="auto"/>
            <w:hideMark/>
          </w:tcPr>
          <w:p w14:paraId="0F26570A" w14:textId="77777777" w:rsidR="00E41E6D" w:rsidRPr="00465DC4" w:rsidRDefault="00E41E6D" w:rsidP="00DE2BCA">
            <w:pPr>
              <w:jc w:val="center"/>
              <w:rPr>
                <w:rFonts w:ascii="Tahoma" w:hAnsi="Tahoma" w:cs="Tahoma"/>
                <w:b/>
                <w:bCs/>
                <w:sz w:val="18"/>
                <w:szCs w:val="18"/>
                <w:vertAlign w:val="superscript"/>
              </w:rPr>
            </w:pPr>
            <w:r w:rsidRPr="00465DC4">
              <w:rPr>
                <w:rFonts w:ascii="Tahoma" w:hAnsi="Tahoma" w:cs="Tahoma"/>
                <w:b/>
                <w:bCs/>
                <w:sz w:val="18"/>
                <w:szCs w:val="18"/>
              </w:rPr>
              <w:t>Требования к рефинансируемым Кредитам</w:t>
            </w:r>
            <w:r w:rsidRPr="00465DC4">
              <w:rPr>
                <w:rFonts w:ascii="Tahoma" w:hAnsi="Tahoma" w:cs="Tahoma"/>
                <w:b/>
                <w:bCs/>
                <w:sz w:val="18"/>
                <w:szCs w:val="18"/>
                <w:vertAlign w:val="superscript"/>
              </w:rPr>
              <w:t>2</w:t>
            </w:r>
          </w:p>
        </w:tc>
        <w:tc>
          <w:tcPr>
            <w:tcW w:w="11369" w:type="dxa"/>
            <w:gridSpan w:val="2"/>
            <w:shd w:val="clear" w:color="auto" w:fill="auto"/>
            <w:hideMark/>
          </w:tcPr>
          <w:p w14:paraId="4CE5C544" w14:textId="77777777" w:rsidR="00E41E6D" w:rsidRPr="00465DC4" w:rsidRDefault="00E41E6D" w:rsidP="00DE2BCA">
            <w:pPr>
              <w:rPr>
                <w:rFonts w:ascii="Tahoma" w:hAnsi="Tahoma" w:cs="Tahoma"/>
                <w:sz w:val="18"/>
                <w:szCs w:val="18"/>
              </w:rPr>
            </w:pPr>
            <w:r w:rsidRPr="00465DC4">
              <w:rPr>
                <w:rFonts w:ascii="Tahoma" w:hAnsi="Tahoma" w:cs="Tahoma"/>
                <w:sz w:val="18"/>
                <w:szCs w:val="18"/>
              </w:rPr>
              <w:t>Длительность непрерывной просроченной задолженности по рефинансируемому Кредиту от 90 дней.</w:t>
            </w:r>
          </w:p>
          <w:p w14:paraId="25CDA91B" w14:textId="77777777" w:rsidR="00E41E6D" w:rsidRPr="00465DC4" w:rsidRDefault="00E41E6D" w:rsidP="00DE2BCA">
            <w:pPr>
              <w:rPr>
                <w:rFonts w:ascii="Tahoma" w:hAnsi="Tahoma" w:cs="Tahoma"/>
                <w:sz w:val="18"/>
                <w:szCs w:val="18"/>
              </w:rPr>
            </w:pPr>
            <w:r w:rsidRPr="00465DC4">
              <w:rPr>
                <w:rFonts w:ascii="Tahoma" w:hAnsi="Tahoma" w:cs="Tahoma"/>
                <w:sz w:val="18"/>
                <w:szCs w:val="18"/>
              </w:rPr>
              <w:t>Задолженность по рефинансируемому Кредиту не списана на внебаланс за счет резервов на возможные потери по ссудам.</w:t>
            </w:r>
          </w:p>
          <w:p w14:paraId="5DDD3DC2" w14:textId="77777777" w:rsidR="00E41E6D" w:rsidRPr="00465DC4" w:rsidRDefault="00E41E6D" w:rsidP="00DE2BCA">
            <w:pPr>
              <w:spacing w:after="200" w:line="276" w:lineRule="auto"/>
              <w:rPr>
                <w:rFonts w:ascii="Tahoma" w:eastAsiaTheme="minorHAnsi" w:hAnsi="Tahoma" w:cs="Tahoma"/>
                <w:sz w:val="18"/>
                <w:szCs w:val="18"/>
                <w:lang w:eastAsia="en-US"/>
              </w:rPr>
            </w:pPr>
            <w:r w:rsidRPr="00465DC4">
              <w:rPr>
                <w:rFonts w:ascii="Tahoma" w:eastAsiaTheme="minorHAnsi" w:hAnsi="Tahoma" w:cs="Tahoma"/>
                <w:sz w:val="18"/>
                <w:szCs w:val="18"/>
                <w:lang w:eastAsia="en-US"/>
              </w:rPr>
              <w:t>Сумма задолженности по Кредиту более 10 000 рублей (проценты за пользование кредитом и основной долг).</w:t>
            </w:r>
          </w:p>
        </w:tc>
      </w:tr>
      <w:tr w:rsidR="00E41E6D" w:rsidRPr="00465DC4" w14:paraId="0EB656C2" w14:textId="77777777" w:rsidTr="00DE2BCA">
        <w:trPr>
          <w:trHeight w:val="330"/>
        </w:trPr>
        <w:tc>
          <w:tcPr>
            <w:tcW w:w="3970" w:type="dxa"/>
            <w:shd w:val="clear" w:color="auto" w:fill="auto"/>
          </w:tcPr>
          <w:p w14:paraId="413B9204" w14:textId="77777777" w:rsidR="00E41E6D" w:rsidRPr="00465DC4" w:rsidRDefault="00E41E6D" w:rsidP="00DE2BCA">
            <w:pPr>
              <w:jc w:val="center"/>
              <w:rPr>
                <w:rFonts w:ascii="Tahoma" w:hAnsi="Tahoma" w:cs="Tahoma"/>
                <w:b/>
                <w:bCs/>
                <w:sz w:val="18"/>
                <w:szCs w:val="18"/>
              </w:rPr>
            </w:pPr>
            <w:r w:rsidRPr="00465DC4">
              <w:rPr>
                <w:rFonts w:ascii="Tahoma" w:hAnsi="Tahoma" w:cs="Tahoma"/>
                <w:b/>
                <w:bCs/>
                <w:sz w:val="18"/>
                <w:szCs w:val="18"/>
              </w:rPr>
              <w:t>Сумма Кредита</w:t>
            </w:r>
          </w:p>
        </w:tc>
        <w:tc>
          <w:tcPr>
            <w:tcW w:w="11369" w:type="dxa"/>
            <w:gridSpan w:val="2"/>
            <w:shd w:val="clear" w:color="auto" w:fill="auto"/>
          </w:tcPr>
          <w:p w14:paraId="255D7DF8" w14:textId="77777777" w:rsidR="00E41E6D" w:rsidRPr="00465DC4" w:rsidRDefault="00E41E6D" w:rsidP="00DE2BCA">
            <w:pPr>
              <w:spacing w:after="200" w:line="276" w:lineRule="auto"/>
              <w:rPr>
                <w:rFonts w:ascii="Tahoma" w:eastAsiaTheme="minorHAnsi" w:hAnsi="Tahoma" w:cs="Tahoma"/>
                <w:sz w:val="18"/>
                <w:szCs w:val="18"/>
                <w:lang w:eastAsia="en-US"/>
              </w:rPr>
            </w:pPr>
            <w:r w:rsidRPr="00465DC4">
              <w:rPr>
                <w:rFonts w:ascii="Tahoma" w:hAnsi="Tahoma" w:cs="Tahoma"/>
                <w:sz w:val="18"/>
                <w:szCs w:val="18"/>
              </w:rPr>
              <w:t>Сумма обязательств Заемщика (срочная и просроченная ссудная задолженность, начисленные срочные и просроченные проценты, пени</w:t>
            </w:r>
            <w:r w:rsidRPr="00465DC4">
              <w:rPr>
                <w:rFonts w:ascii="Tahoma" w:hAnsi="Tahoma" w:cs="Tahoma"/>
                <w:sz w:val="18"/>
                <w:szCs w:val="18"/>
                <w:vertAlign w:val="superscript"/>
              </w:rPr>
              <w:t>3</w:t>
            </w:r>
            <w:r w:rsidRPr="00465DC4">
              <w:rPr>
                <w:rFonts w:ascii="Tahoma" w:hAnsi="Tahoma" w:cs="Tahoma"/>
                <w:sz w:val="18"/>
                <w:szCs w:val="18"/>
              </w:rPr>
              <w:t>, штрафы и другие обязательства).</w:t>
            </w:r>
          </w:p>
        </w:tc>
      </w:tr>
      <w:tr w:rsidR="00E41E6D" w:rsidRPr="00465DC4" w14:paraId="36FA3632" w14:textId="77777777" w:rsidTr="00DE2BCA">
        <w:trPr>
          <w:trHeight w:val="800"/>
        </w:trPr>
        <w:tc>
          <w:tcPr>
            <w:tcW w:w="3970" w:type="dxa"/>
            <w:shd w:val="clear" w:color="auto" w:fill="auto"/>
            <w:hideMark/>
          </w:tcPr>
          <w:p w14:paraId="042B04C8" w14:textId="77777777" w:rsidR="00E41E6D" w:rsidRPr="00465DC4" w:rsidRDefault="00E41E6D" w:rsidP="00DE2BCA">
            <w:pPr>
              <w:jc w:val="center"/>
              <w:rPr>
                <w:rFonts w:ascii="Tahoma" w:hAnsi="Tahoma" w:cs="Tahoma"/>
                <w:b/>
                <w:bCs/>
                <w:sz w:val="18"/>
                <w:szCs w:val="18"/>
              </w:rPr>
            </w:pPr>
            <w:r w:rsidRPr="00465DC4">
              <w:rPr>
                <w:rFonts w:ascii="Tahoma" w:hAnsi="Tahoma" w:cs="Tahoma"/>
                <w:b/>
                <w:bCs/>
                <w:sz w:val="18"/>
                <w:szCs w:val="18"/>
              </w:rPr>
              <w:t>Исключения по рефинансируемым Кредитам</w:t>
            </w:r>
          </w:p>
        </w:tc>
        <w:tc>
          <w:tcPr>
            <w:tcW w:w="11369" w:type="dxa"/>
            <w:gridSpan w:val="2"/>
            <w:shd w:val="clear" w:color="auto" w:fill="auto"/>
            <w:hideMark/>
          </w:tcPr>
          <w:p w14:paraId="016317E5" w14:textId="77777777" w:rsidR="00E41E6D" w:rsidRPr="00465DC4" w:rsidRDefault="00E41E6D" w:rsidP="00DE2BCA">
            <w:pPr>
              <w:rPr>
                <w:rFonts w:ascii="Tahoma" w:hAnsi="Tahoma" w:cs="Tahoma"/>
                <w:sz w:val="18"/>
                <w:szCs w:val="18"/>
              </w:rPr>
            </w:pPr>
            <w:r w:rsidRPr="00465DC4">
              <w:rPr>
                <w:rFonts w:ascii="Tahoma" w:hAnsi="Tahoma" w:cs="Tahoma"/>
                <w:sz w:val="18"/>
                <w:szCs w:val="18"/>
              </w:rPr>
              <w:t>Ипотечные кредиты;</w:t>
            </w:r>
          </w:p>
          <w:p w14:paraId="51985840" w14:textId="77777777" w:rsidR="00E41E6D" w:rsidRPr="00465DC4" w:rsidRDefault="00E41E6D" w:rsidP="00DE2BCA">
            <w:pPr>
              <w:rPr>
                <w:rFonts w:ascii="Tahoma" w:hAnsi="Tahoma" w:cs="Tahoma"/>
                <w:sz w:val="18"/>
                <w:szCs w:val="18"/>
              </w:rPr>
            </w:pPr>
            <w:r w:rsidRPr="00465DC4">
              <w:rPr>
                <w:rFonts w:ascii="Tahoma" w:hAnsi="Tahoma" w:cs="Tahoma"/>
                <w:sz w:val="18"/>
                <w:szCs w:val="18"/>
              </w:rPr>
              <w:t>кредиты, списанные на внебаланс за счет резервов на возможные потери по ссудам;</w:t>
            </w:r>
          </w:p>
          <w:p w14:paraId="5C7E6199" w14:textId="77777777" w:rsidR="00E41E6D" w:rsidRPr="00465DC4" w:rsidRDefault="00E41E6D" w:rsidP="00DE2BCA">
            <w:pPr>
              <w:rPr>
                <w:rFonts w:ascii="Tahoma" w:hAnsi="Tahoma" w:cs="Tahoma"/>
                <w:sz w:val="18"/>
                <w:szCs w:val="18"/>
              </w:rPr>
            </w:pPr>
            <w:r w:rsidRPr="00465DC4">
              <w:rPr>
                <w:rFonts w:ascii="Tahoma" w:hAnsi="Tahoma" w:cs="Tahoma"/>
                <w:sz w:val="18"/>
                <w:szCs w:val="18"/>
              </w:rPr>
              <w:t>кредиты, оформленные по ТП линейки "Микро-лайт";</w:t>
            </w:r>
          </w:p>
          <w:p w14:paraId="7773016C" w14:textId="77777777" w:rsidR="00E41E6D" w:rsidRPr="00465DC4" w:rsidRDefault="00E41E6D" w:rsidP="00DE2BCA">
            <w:pPr>
              <w:rPr>
                <w:rFonts w:ascii="Tahoma" w:hAnsi="Tahoma" w:cs="Tahoma"/>
                <w:sz w:val="18"/>
                <w:szCs w:val="18"/>
              </w:rPr>
            </w:pPr>
            <w:r w:rsidRPr="00465DC4">
              <w:rPr>
                <w:rFonts w:ascii="Tahoma" w:hAnsi="Tahoma" w:cs="Tahoma"/>
                <w:sz w:val="18"/>
                <w:szCs w:val="18"/>
              </w:rPr>
              <w:t>кредиты, выданные по тарифным планам линейки «Доверие»;</w:t>
            </w:r>
          </w:p>
          <w:p w14:paraId="120A7A15" w14:textId="77777777" w:rsidR="00E41E6D" w:rsidRPr="00465DC4" w:rsidRDefault="00E41E6D" w:rsidP="00DE2BCA">
            <w:pPr>
              <w:rPr>
                <w:rFonts w:ascii="Tahoma" w:hAnsi="Tahoma" w:cs="Tahoma"/>
                <w:sz w:val="18"/>
                <w:szCs w:val="18"/>
              </w:rPr>
            </w:pPr>
            <w:r w:rsidRPr="00465DC4">
              <w:rPr>
                <w:rFonts w:ascii="Tahoma" w:hAnsi="Tahoma" w:cs="Tahoma"/>
                <w:sz w:val="18"/>
                <w:szCs w:val="18"/>
              </w:rPr>
              <w:t>кредиты, выданные в рамках тарифных планов линейки «Автокредитование».</w:t>
            </w:r>
          </w:p>
        </w:tc>
      </w:tr>
      <w:tr w:rsidR="00E41E6D" w:rsidRPr="00465DC4" w14:paraId="0E1C8924" w14:textId="77777777" w:rsidTr="00DE2BCA">
        <w:trPr>
          <w:trHeight w:val="406"/>
        </w:trPr>
        <w:tc>
          <w:tcPr>
            <w:tcW w:w="3970" w:type="dxa"/>
            <w:shd w:val="clear" w:color="auto" w:fill="auto"/>
            <w:hideMark/>
          </w:tcPr>
          <w:p w14:paraId="37FDE957" w14:textId="77777777" w:rsidR="00E41E6D" w:rsidRPr="00465DC4" w:rsidRDefault="00E41E6D" w:rsidP="00DE2BCA">
            <w:pPr>
              <w:jc w:val="center"/>
              <w:rPr>
                <w:rFonts w:ascii="Tahoma" w:hAnsi="Tahoma" w:cs="Tahoma"/>
                <w:b/>
                <w:bCs/>
                <w:sz w:val="18"/>
                <w:szCs w:val="18"/>
              </w:rPr>
            </w:pPr>
            <w:r w:rsidRPr="00465DC4">
              <w:rPr>
                <w:rFonts w:ascii="Tahoma" w:hAnsi="Tahoma" w:cs="Tahoma"/>
                <w:b/>
                <w:bCs/>
                <w:sz w:val="18"/>
                <w:szCs w:val="18"/>
              </w:rPr>
              <w:t>Размер и порядок взимания комиссий и прочих платежей</w:t>
            </w:r>
          </w:p>
        </w:tc>
        <w:tc>
          <w:tcPr>
            <w:tcW w:w="11369" w:type="dxa"/>
            <w:gridSpan w:val="2"/>
            <w:shd w:val="clear" w:color="auto" w:fill="auto"/>
            <w:hideMark/>
          </w:tcPr>
          <w:p w14:paraId="22ED8BE5" w14:textId="77777777" w:rsidR="00E41E6D" w:rsidRPr="00465DC4" w:rsidRDefault="00E41E6D" w:rsidP="00DE2BCA">
            <w:pPr>
              <w:rPr>
                <w:rFonts w:ascii="Tahoma" w:hAnsi="Tahoma" w:cs="Tahoma"/>
                <w:sz w:val="18"/>
                <w:szCs w:val="18"/>
              </w:rPr>
            </w:pPr>
            <w:r w:rsidRPr="00465DC4">
              <w:rPr>
                <w:rFonts w:ascii="Tahoma" w:hAnsi="Tahoma" w:cs="Tahoma"/>
                <w:sz w:val="18"/>
                <w:szCs w:val="18"/>
              </w:rPr>
              <w:t>Отсутствуют</w:t>
            </w:r>
          </w:p>
        </w:tc>
      </w:tr>
      <w:tr w:rsidR="00E41E6D" w:rsidRPr="00465DC4" w14:paraId="5E4D44E4" w14:textId="77777777" w:rsidTr="00DE2BCA">
        <w:trPr>
          <w:trHeight w:val="1154"/>
        </w:trPr>
        <w:tc>
          <w:tcPr>
            <w:tcW w:w="3970" w:type="dxa"/>
            <w:shd w:val="clear" w:color="auto" w:fill="auto"/>
            <w:hideMark/>
          </w:tcPr>
          <w:p w14:paraId="77C5DF59" w14:textId="77777777" w:rsidR="00E41E6D" w:rsidRPr="00465DC4" w:rsidRDefault="00E41E6D" w:rsidP="00DE2BCA">
            <w:pPr>
              <w:jc w:val="center"/>
              <w:rPr>
                <w:rFonts w:ascii="Tahoma" w:hAnsi="Tahoma" w:cs="Tahoma"/>
                <w:b/>
                <w:bCs/>
                <w:sz w:val="18"/>
                <w:szCs w:val="18"/>
              </w:rPr>
            </w:pPr>
            <w:r w:rsidRPr="00465DC4">
              <w:rPr>
                <w:rFonts w:ascii="Tahoma" w:hAnsi="Tahoma" w:cs="Tahoma"/>
                <w:b/>
                <w:bCs/>
                <w:sz w:val="18"/>
                <w:szCs w:val="18"/>
              </w:rPr>
              <w:t>Обеспечение</w:t>
            </w:r>
          </w:p>
        </w:tc>
        <w:tc>
          <w:tcPr>
            <w:tcW w:w="11369" w:type="dxa"/>
            <w:gridSpan w:val="2"/>
            <w:shd w:val="clear" w:color="auto" w:fill="auto"/>
            <w:hideMark/>
          </w:tcPr>
          <w:p w14:paraId="7D165F27" w14:textId="77777777" w:rsidR="00E41E6D" w:rsidRPr="00465DC4" w:rsidRDefault="00E41E6D" w:rsidP="00DE2BCA">
            <w:pPr>
              <w:spacing w:after="200" w:line="276" w:lineRule="auto"/>
              <w:jc w:val="both"/>
              <w:rPr>
                <w:rFonts w:ascii="Tahoma" w:hAnsi="Tahoma" w:cs="Tahoma"/>
                <w:sz w:val="18"/>
                <w:szCs w:val="18"/>
              </w:rPr>
            </w:pPr>
            <w:r w:rsidRPr="00465DC4">
              <w:rPr>
                <w:rFonts w:ascii="Tahoma" w:hAnsi="Tahoma" w:cs="Tahoma"/>
                <w:sz w:val="18"/>
                <w:szCs w:val="18"/>
              </w:rPr>
              <w:t>В случае, если по рефинансируемому кредитному договору было оформлено обеспечение в виде залога имущества/поручительство физического или юридического лица, то решение по обеспечению для вновь выдаваемого кредита принимается индивидуально. По требованию Банка может быть запрошено обеспечение, а именно: залог, поручительство. Если при расчете платежеспособности участвуют доходы супруга(и) Заёмщика, без которых Заемщик самостоятельно не проходит по платежеспособности, то Банком может быть запрошено оформление данного супруга(и) Заёмщика в качестве созаемщика (второго Заемщика)/поручителя.</w:t>
            </w:r>
          </w:p>
        </w:tc>
      </w:tr>
      <w:tr w:rsidR="00E41E6D" w:rsidRPr="00465DC4" w14:paraId="7137A983" w14:textId="77777777" w:rsidTr="00DE2BCA">
        <w:trPr>
          <w:trHeight w:val="901"/>
        </w:trPr>
        <w:tc>
          <w:tcPr>
            <w:tcW w:w="3970" w:type="dxa"/>
            <w:shd w:val="clear" w:color="auto" w:fill="auto"/>
          </w:tcPr>
          <w:p w14:paraId="5558C40E" w14:textId="77777777" w:rsidR="00E41E6D" w:rsidRPr="00465DC4" w:rsidRDefault="00E41E6D" w:rsidP="00DE2BCA">
            <w:pPr>
              <w:jc w:val="center"/>
              <w:rPr>
                <w:rFonts w:ascii="Tahoma" w:hAnsi="Tahoma" w:cs="Tahoma"/>
                <w:b/>
                <w:bCs/>
                <w:sz w:val="18"/>
                <w:szCs w:val="18"/>
              </w:rPr>
            </w:pPr>
            <w:r w:rsidRPr="00465DC4">
              <w:rPr>
                <w:rFonts w:ascii="Tahoma" w:hAnsi="Tahoma" w:cs="Tahoma"/>
                <w:b/>
                <w:bCs/>
                <w:sz w:val="18"/>
                <w:szCs w:val="18"/>
              </w:rPr>
              <w:t>Способы обеспечения исполнения обязательств по Договору</w:t>
            </w:r>
          </w:p>
        </w:tc>
        <w:tc>
          <w:tcPr>
            <w:tcW w:w="11369" w:type="dxa"/>
            <w:gridSpan w:val="2"/>
            <w:shd w:val="clear" w:color="auto" w:fill="auto"/>
          </w:tcPr>
          <w:p w14:paraId="49663623" w14:textId="77777777" w:rsidR="00E41E6D" w:rsidRPr="00465DC4" w:rsidRDefault="00E41E6D" w:rsidP="00DE2BCA">
            <w:pPr>
              <w:spacing w:after="200" w:line="276" w:lineRule="auto"/>
              <w:jc w:val="both"/>
              <w:rPr>
                <w:rFonts w:ascii="Tahoma" w:hAnsi="Tahoma" w:cs="Tahoma"/>
                <w:sz w:val="18"/>
                <w:szCs w:val="18"/>
              </w:rPr>
            </w:pPr>
            <w:r w:rsidRPr="00465DC4">
              <w:rPr>
                <w:rFonts w:ascii="Tahoma" w:hAnsi="Tahoma" w:cs="Tahoma"/>
                <w:sz w:val="18"/>
                <w:szCs w:val="18"/>
              </w:rPr>
              <w:t xml:space="preserve">Неустойка (штраф, пеня). В случае нарушения обязательств по Договору с Заемщика может быть взыскана неустойка в суммах и порядке, определенных Сторонами в соответствии с законодательством РФ и Индивидуальными условиями Договора. Если при расчете платежеспособности участвуют доходы супруга(и) Заёмщика, без которых Заемщик самостоятельно не проходит по </w:t>
            </w:r>
            <w:r w:rsidRPr="00465DC4">
              <w:rPr>
                <w:rFonts w:ascii="Tahoma" w:hAnsi="Tahoma" w:cs="Tahoma"/>
                <w:sz w:val="18"/>
                <w:szCs w:val="18"/>
              </w:rPr>
              <w:lastRenderedPageBreak/>
              <w:t>платежеспособности (по оценке Банка), то Банком может быть запрошено оформление данного супруга(и) Заёмщика в качестве созаемщика (второго Заемщика) /поручителя.</w:t>
            </w:r>
            <w:r w:rsidRPr="00465DC4">
              <w:rPr>
                <w:rFonts w:ascii="Tahoma" w:hAnsi="Tahoma" w:cs="Tahoma"/>
                <w:sz w:val="18"/>
                <w:szCs w:val="18"/>
              </w:rPr>
              <w:fldChar w:fldCharType="begin"/>
            </w:r>
            <w:r w:rsidRPr="00465DC4">
              <w:rPr>
                <w:rFonts w:ascii="Tahoma" w:hAnsi="Tahoma" w:cs="Tahoma"/>
                <w:sz w:val="18"/>
                <w:szCs w:val="18"/>
              </w:rPr>
              <w:instrText xml:space="preserve"> DOCVARIABLE  ATB_ADDRESS_FACT </w:instrText>
            </w:r>
            <w:r w:rsidRPr="00465DC4">
              <w:rPr>
                <w:rFonts w:ascii="Tahoma" w:hAnsi="Tahoma" w:cs="Tahoma"/>
                <w:sz w:val="18"/>
                <w:szCs w:val="18"/>
              </w:rPr>
              <w:fldChar w:fldCharType="end"/>
            </w:r>
          </w:p>
        </w:tc>
      </w:tr>
      <w:tr w:rsidR="00E41E6D" w:rsidRPr="00465DC4" w14:paraId="740E392A" w14:textId="77777777" w:rsidTr="00DE2BCA">
        <w:trPr>
          <w:trHeight w:val="380"/>
        </w:trPr>
        <w:tc>
          <w:tcPr>
            <w:tcW w:w="3970" w:type="dxa"/>
            <w:shd w:val="clear" w:color="auto" w:fill="auto"/>
            <w:hideMark/>
          </w:tcPr>
          <w:p w14:paraId="7F6F0DC2" w14:textId="77777777" w:rsidR="00E41E6D" w:rsidRPr="00465DC4" w:rsidRDefault="00E41E6D" w:rsidP="00DE2BCA">
            <w:pPr>
              <w:jc w:val="center"/>
              <w:rPr>
                <w:rFonts w:ascii="Tahoma" w:hAnsi="Tahoma" w:cs="Tahoma"/>
                <w:b/>
                <w:bCs/>
                <w:sz w:val="18"/>
                <w:szCs w:val="18"/>
              </w:rPr>
            </w:pPr>
            <w:r w:rsidRPr="00465DC4">
              <w:rPr>
                <w:rFonts w:ascii="Tahoma" w:hAnsi="Tahoma" w:cs="Tahoma"/>
                <w:b/>
                <w:bCs/>
                <w:sz w:val="18"/>
                <w:szCs w:val="18"/>
              </w:rPr>
              <w:lastRenderedPageBreak/>
              <w:t>Подтверждение дохода Заемщика</w:t>
            </w:r>
          </w:p>
        </w:tc>
        <w:tc>
          <w:tcPr>
            <w:tcW w:w="11369" w:type="dxa"/>
            <w:gridSpan w:val="2"/>
            <w:shd w:val="clear" w:color="auto" w:fill="auto"/>
            <w:hideMark/>
          </w:tcPr>
          <w:p w14:paraId="626FBF64" w14:textId="77777777" w:rsidR="00E41E6D" w:rsidRPr="00465DC4" w:rsidRDefault="00E41E6D" w:rsidP="00DE2BCA">
            <w:pPr>
              <w:rPr>
                <w:rFonts w:ascii="Tahoma" w:hAnsi="Tahoma" w:cs="Tahoma"/>
                <w:sz w:val="18"/>
                <w:szCs w:val="18"/>
              </w:rPr>
            </w:pPr>
            <w:r w:rsidRPr="00465DC4">
              <w:rPr>
                <w:rFonts w:ascii="Tahoma" w:hAnsi="Tahoma" w:cs="Tahoma"/>
                <w:sz w:val="18"/>
                <w:szCs w:val="18"/>
              </w:rPr>
              <w:t>Не требуется, если сумма ссудной задолженности в Банке с учетом оформляемого кредита составляет менее 100 000 руб.</w:t>
            </w:r>
          </w:p>
        </w:tc>
      </w:tr>
      <w:tr w:rsidR="00E41E6D" w:rsidRPr="00465DC4" w14:paraId="5994B12E" w14:textId="77777777" w:rsidTr="00DE2BCA">
        <w:trPr>
          <w:trHeight w:val="380"/>
        </w:trPr>
        <w:tc>
          <w:tcPr>
            <w:tcW w:w="3970" w:type="dxa"/>
            <w:shd w:val="clear" w:color="auto" w:fill="auto"/>
          </w:tcPr>
          <w:p w14:paraId="60B3F84B" w14:textId="77777777" w:rsidR="00E41E6D" w:rsidRPr="00465DC4" w:rsidRDefault="00E41E6D" w:rsidP="00DE2BCA">
            <w:pPr>
              <w:jc w:val="center"/>
              <w:rPr>
                <w:rFonts w:ascii="Tahoma" w:hAnsi="Tahoma" w:cs="Tahoma"/>
                <w:b/>
                <w:bCs/>
                <w:sz w:val="18"/>
                <w:szCs w:val="18"/>
              </w:rPr>
            </w:pPr>
            <w:r w:rsidRPr="00465DC4">
              <w:rPr>
                <w:rFonts w:ascii="Tahoma" w:hAnsi="Tahoma" w:cs="Tahoma"/>
                <w:b/>
                <w:bCs/>
                <w:sz w:val="18"/>
                <w:szCs w:val="18"/>
              </w:rPr>
              <w:t>Срок рассмотрения Банком кредитной заявки</w:t>
            </w:r>
          </w:p>
        </w:tc>
        <w:tc>
          <w:tcPr>
            <w:tcW w:w="11369" w:type="dxa"/>
            <w:gridSpan w:val="2"/>
            <w:shd w:val="clear" w:color="auto" w:fill="auto"/>
          </w:tcPr>
          <w:p w14:paraId="73492EC8" w14:textId="77777777" w:rsidR="00E41E6D" w:rsidRPr="00465DC4" w:rsidRDefault="00E41E6D" w:rsidP="00DE2BCA">
            <w:pPr>
              <w:jc w:val="center"/>
              <w:rPr>
                <w:rFonts w:ascii="Tahoma" w:hAnsi="Tahoma" w:cs="Tahoma"/>
                <w:sz w:val="18"/>
                <w:szCs w:val="18"/>
              </w:rPr>
            </w:pPr>
            <w:r w:rsidRPr="00465DC4">
              <w:rPr>
                <w:rFonts w:ascii="Tahoma" w:hAnsi="Tahoma" w:cs="Tahoma"/>
                <w:sz w:val="18"/>
                <w:szCs w:val="18"/>
              </w:rPr>
              <w:t>Решение о выдаче принимается в течение 1 часа с момента предоставления Заемщиком полного пакета документов. В случае необходимости запроса у Заемщика дополнительных документов решение принимается в индивидуальные сроки, не превышающие 3-х рабочих дней с момента предоставления Заемщиком в Банк полного пакета документов.</w:t>
            </w:r>
          </w:p>
        </w:tc>
      </w:tr>
      <w:tr w:rsidR="00E41E6D" w:rsidRPr="00465DC4" w14:paraId="4C27DA61" w14:textId="77777777" w:rsidTr="00DE2BC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2304"/>
        </w:trPr>
        <w:tc>
          <w:tcPr>
            <w:tcW w:w="3970" w:type="dxa"/>
            <w:tcBorders>
              <w:top w:val="single" w:sz="4" w:space="0" w:color="auto"/>
              <w:left w:val="single" w:sz="4" w:space="0" w:color="auto"/>
              <w:bottom w:val="single" w:sz="4" w:space="0" w:color="auto"/>
              <w:right w:val="single" w:sz="4" w:space="0" w:color="auto"/>
            </w:tcBorders>
            <w:shd w:val="clear" w:color="auto" w:fill="auto"/>
          </w:tcPr>
          <w:p w14:paraId="385E1BBC" w14:textId="77777777" w:rsidR="00E41E6D" w:rsidRPr="00465DC4" w:rsidRDefault="00E41E6D" w:rsidP="00DE2BCA">
            <w:pPr>
              <w:widowControl w:val="0"/>
              <w:tabs>
                <w:tab w:val="left" w:pos="426"/>
                <w:tab w:val="left" w:pos="851"/>
              </w:tabs>
              <w:jc w:val="center"/>
              <w:rPr>
                <w:rFonts w:ascii="Tahoma" w:eastAsiaTheme="minorHAnsi" w:hAnsi="Tahoma" w:cs="Tahoma"/>
                <w:sz w:val="18"/>
                <w:szCs w:val="18"/>
                <w:lang w:eastAsia="en-US"/>
              </w:rPr>
            </w:pPr>
            <w:r w:rsidRPr="00465DC4">
              <w:rPr>
                <w:rFonts w:ascii="Tahoma" w:eastAsiaTheme="minorHAnsi" w:hAnsi="Tahoma" w:cs="Tahoma"/>
                <w:b/>
                <w:sz w:val="18"/>
                <w:szCs w:val="18"/>
                <w:lang w:eastAsia="en-US"/>
              </w:rPr>
              <w:t>Требования к Заемщику, которые установлены Кредитором, и выполнение которых является обязательным для предоставления потребительского Кредита</w:t>
            </w:r>
          </w:p>
        </w:tc>
        <w:tc>
          <w:tcPr>
            <w:tcW w:w="1701" w:type="dxa"/>
            <w:tcBorders>
              <w:top w:val="single" w:sz="4" w:space="0" w:color="auto"/>
              <w:left w:val="single" w:sz="4" w:space="0" w:color="auto"/>
              <w:bottom w:val="single" w:sz="4" w:space="0" w:color="auto"/>
              <w:right w:val="single" w:sz="4" w:space="0" w:color="auto"/>
            </w:tcBorders>
            <w:noWrap/>
          </w:tcPr>
          <w:p w14:paraId="0D5AD5F7" w14:textId="77777777" w:rsidR="00E41E6D" w:rsidRPr="00465DC4" w:rsidRDefault="00E41E6D" w:rsidP="00DE2BCA">
            <w:pPr>
              <w:tabs>
                <w:tab w:val="left" w:pos="-284"/>
                <w:tab w:val="left" w:pos="851"/>
              </w:tabs>
              <w:autoSpaceDE w:val="0"/>
              <w:autoSpaceDN w:val="0"/>
              <w:ind w:left="35"/>
              <w:jc w:val="center"/>
              <w:rPr>
                <w:rFonts w:ascii="Tahoma" w:hAnsi="Tahoma" w:cs="Tahoma"/>
                <w:sz w:val="18"/>
                <w:szCs w:val="18"/>
              </w:rPr>
            </w:pPr>
            <w:r w:rsidRPr="00465DC4">
              <w:rPr>
                <w:rFonts w:ascii="Tahoma" w:hAnsi="Tahoma" w:cs="Tahoma"/>
                <w:sz w:val="18"/>
                <w:szCs w:val="18"/>
              </w:rPr>
              <w:t>Основные</w:t>
            </w:r>
          </w:p>
        </w:tc>
        <w:tc>
          <w:tcPr>
            <w:tcW w:w="9668" w:type="dxa"/>
            <w:tcBorders>
              <w:top w:val="single" w:sz="4" w:space="0" w:color="auto"/>
              <w:left w:val="single" w:sz="4" w:space="0" w:color="auto"/>
              <w:bottom w:val="single" w:sz="4" w:space="0" w:color="auto"/>
              <w:right w:val="single" w:sz="4" w:space="0" w:color="auto"/>
            </w:tcBorders>
          </w:tcPr>
          <w:p w14:paraId="70CF0FF6" w14:textId="77777777" w:rsidR="00E41E6D" w:rsidRPr="00465DC4" w:rsidRDefault="00E41E6D" w:rsidP="00DE2BCA">
            <w:pPr>
              <w:tabs>
                <w:tab w:val="left" w:pos="-284"/>
                <w:tab w:val="left" w:pos="851"/>
              </w:tabs>
              <w:autoSpaceDE w:val="0"/>
              <w:autoSpaceDN w:val="0"/>
              <w:jc w:val="both"/>
              <w:rPr>
                <w:rFonts w:ascii="Tahoma" w:hAnsi="Tahoma" w:cs="Tahoma"/>
                <w:sz w:val="18"/>
                <w:szCs w:val="18"/>
              </w:rPr>
            </w:pPr>
            <w:r w:rsidRPr="00465DC4">
              <w:rPr>
                <w:rFonts w:ascii="Tahoma" w:hAnsi="Tahoma" w:cs="Tahoma"/>
                <w:sz w:val="18"/>
                <w:szCs w:val="18"/>
              </w:rPr>
              <w:t>Гражданство Российской Федерации. Наличие в Банке действующего кредитного продукта для физических лиц, соответствующего требованиям, указанным в настоящем Документе. Возраст Заемщика не менее 21 года (на момент оформления кредита) и не более 70 лет (на момент окончания действия Договора) включительно.</w:t>
            </w:r>
          </w:p>
          <w:p w14:paraId="52A44927" w14:textId="77777777" w:rsidR="00E41E6D" w:rsidRPr="00465DC4" w:rsidRDefault="00E41E6D" w:rsidP="00DE2BCA">
            <w:pPr>
              <w:jc w:val="both"/>
              <w:rPr>
                <w:rFonts w:ascii="Tahoma" w:hAnsi="Tahoma" w:cs="Tahoma"/>
                <w:sz w:val="18"/>
                <w:szCs w:val="18"/>
              </w:rPr>
            </w:pPr>
            <w:r w:rsidRPr="00465DC4">
              <w:rPr>
                <w:rFonts w:ascii="Tahoma" w:hAnsi="Tahoma" w:cs="Tahoma"/>
                <w:sz w:val="18"/>
                <w:szCs w:val="18"/>
              </w:rPr>
              <w:t>Стаж на последнем месте работы не менее 3 месяцев.</w:t>
            </w:r>
          </w:p>
          <w:p w14:paraId="03972F85" w14:textId="77777777" w:rsidR="00E41E6D" w:rsidRPr="00465DC4" w:rsidRDefault="00E41E6D" w:rsidP="00DE2BCA">
            <w:pPr>
              <w:jc w:val="both"/>
              <w:rPr>
                <w:rFonts w:ascii="Tahoma" w:eastAsiaTheme="minorHAnsi" w:hAnsi="Tahoma" w:cs="Tahoma"/>
                <w:i/>
                <w:sz w:val="18"/>
                <w:szCs w:val="18"/>
                <w:lang w:eastAsia="en-US"/>
              </w:rPr>
            </w:pPr>
            <w:r w:rsidRPr="00465DC4">
              <w:rPr>
                <w:rFonts w:ascii="Tahoma" w:eastAsiaTheme="minorHAnsi" w:hAnsi="Tahoma" w:cs="Tahoma"/>
                <w:i/>
                <w:sz w:val="18"/>
                <w:szCs w:val="18"/>
                <w:lang w:eastAsia="en-US"/>
              </w:rPr>
              <w:t>Для Заемщиков, являющихся работающими/неработающими пенсионерами, требования относительно доходов и стажа на последнем месте работы не действуют.</w:t>
            </w:r>
          </w:p>
          <w:p w14:paraId="5A06A654" w14:textId="77777777" w:rsidR="00E41E6D" w:rsidRPr="00465DC4" w:rsidRDefault="00E41E6D" w:rsidP="00DE2BCA">
            <w:pPr>
              <w:tabs>
                <w:tab w:val="left" w:pos="-284"/>
                <w:tab w:val="left" w:pos="851"/>
              </w:tabs>
              <w:autoSpaceDE w:val="0"/>
              <w:autoSpaceDN w:val="0"/>
              <w:jc w:val="both"/>
              <w:rPr>
                <w:rFonts w:ascii="Tahoma" w:hAnsi="Tahoma" w:cs="Tahoma"/>
                <w:sz w:val="18"/>
                <w:szCs w:val="18"/>
              </w:rPr>
            </w:pPr>
            <w:r w:rsidRPr="00465DC4">
              <w:rPr>
                <w:rFonts w:ascii="Tahoma" w:hAnsi="Tahoma" w:cs="Tahoma"/>
                <w:sz w:val="18"/>
                <w:szCs w:val="18"/>
              </w:rPr>
              <w:t>Физическое лицо, изъявившее желание получить в Банке потребительский кредит с целью погашения задолженности перед Банком по действующему в Банке потребительскому кредиту/потребительскому кредиту (с лимитом кредитования) (по тексту – Рефинансирование). При этом за последние 30 календарных дней до даты проведения Рефинансирования по действующему договору была внесена любая сумма денежных средств в счет погашения задолженности.</w:t>
            </w:r>
          </w:p>
        </w:tc>
      </w:tr>
      <w:tr w:rsidR="00E41E6D" w:rsidRPr="00465DC4" w14:paraId="7A762626" w14:textId="77777777" w:rsidTr="00DE2BC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258"/>
        </w:trPr>
        <w:tc>
          <w:tcPr>
            <w:tcW w:w="3970" w:type="dxa"/>
            <w:tcBorders>
              <w:top w:val="single" w:sz="4" w:space="0" w:color="auto"/>
              <w:left w:val="single" w:sz="8" w:space="0" w:color="auto"/>
              <w:right w:val="single" w:sz="4" w:space="0" w:color="auto"/>
            </w:tcBorders>
          </w:tcPr>
          <w:p w14:paraId="2FF18A5D" w14:textId="77777777" w:rsidR="00E41E6D" w:rsidRPr="00465DC4" w:rsidRDefault="00E41E6D" w:rsidP="00DE2BCA">
            <w:pPr>
              <w:widowControl w:val="0"/>
              <w:tabs>
                <w:tab w:val="left" w:pos="426"/>
                <w:tab w:val="left" w:pos="851"/>
              </w:tabs>
              <w:rPr>
                <w:rFonts w:ascii="Tahoma" w:eastAsiaTheme="minorHAnsi" w:hAnsi="Tahoma" w:cs="Tahoma"/>
                <w:b/>
                <w:color w:val="000000"/>
                <w:sz w:val="18"/>
                <w:szCs w:val="18"/>
                <w:lang w:eastAsia="en-US"/>
              </w:rPr>
            </w:pPr>
            <w:r w:rsidRPr="00465DC4">
              <w:rPr>
                <w:rFonts w:ascii="Tahoma" w:eastAsiaTheme="minorHAnsi" w:hAnsi="Tahoma" w:cs="Tahoma"/>
                <w:b/>
                <w:color w:val="000000"/>
                <w:sz w:val="18"/>
                <w:szCs w:val="18"/>
                <w:lang w:eastAsia="en-US"/>
              </w:rPr>
              <w:t>Перечень документов, необходимых для рассмотрения заявления о предоставлении потребительского Кредита, в том числе для оценки кредитоспособности Заёмщика</w:t>
            </w:r>
          </w:p>
        </w:tc>
        <w:tc>
          <w:tcPr>
            <w:tcW w:w="11369" w:type="dxa"/>
            <w:gridSpan w:val="2"/>
            <w:tcBorders>
              <w:top w:val="single" w:sz="4" w:space="0" w:color="auto"/>
              <w:left w:val="nil"/>
              <w:bottom w:val="single" w:sz="4" w:space="0" w:color="auto"/>
              <w:right w:val="single" w:sz="8" w:space="0" w:color="000000"/>
            </w:tcBorders>
            <w:noWrap/>
          </w:tcPr>
          <w:p w14:paraId="6055E46E" w14:textId="77777777" w:rsidR="00E41E6D" w:rsidRPr="00465DC4" w:rsidRDefault="00E41E6D" w:rsidP="00DE2BCA">
            <w:pPr>
              <w:jc w:val="both"/>
              <w:rPr>
                <w:rFonts w:ascii="Tahoma" w:eastAsiaTheme="minorHAnsi" w:hAnsi="Tahoma" w:cs="Tahoma"/>
                <w:b/>
                <w:sz w:val="18"/>
                <w:szCs w:val="18"/>
                <w:lang w:eastAsia="en-US"/>
              </w:rPr>
            </w:pPr>
            <w:r w:rsidRPr="00465DC4">
              <w:rPr>
                <w:rFonts w:ascii="Tahoma" w:eastAsiaTheme="minorHAnsi" w:hAnsi="Tahoma" w:cs="Tahoma"/>
                <w:b/>
                <w:sz w:val="18"/>
                <w:szCs w:val="18"/>
                <w:lang w:eastAsia="en-US"/>
              </w:rPr>
              <w:t>Основные документы:</w:t>
            </w:r>
          </w:p>
          <w:p w14:paraId="5A293736" w14:textId="77777777" w:rsidR="00E41E6D" w:rsidRPr="00465DC4" w:rsidRDefault="00E41E6D" w:rsidP="00DE2BCA">
            <w:pPr>
              <w:jc w:val="both"/>
              <w:rPr>
                <w:rFonts w:ascii="Tahoma" w:eastAsiaTheme="minorHAnsi" w:hAnsi="Tahoma" w:cs="Tahoma"/>
                <w:sz w:val="18"/>
                <w:szCs w:val="18"/>
                <w:lang w:eastAsia="en-US"/>
              </w:rPr>
            </w:pPr>
            <w:r w:rsidRPr="00465DC4">
              <w:rPr>
                <w:rFonts w:ascii="Tahoma" w:eastAsiaTheme="minorHAnsi" w:hAnsi="Tahoma" w:cs="Tahoma"/>
                <w:sz w:val="18"/>
                <w:szCs w:val="18"/>
                <w:lang w:eastAsia="en-US"/>
              </w:rPr>
              <w:t>1) Паспорт гражданина РФ.</w:t>
            </w:r>
          </w:p>
          <w:p w14:paraId="7A37F7FE" w14:textId="77777777" w:rsidR="00E41E6D" w:rsidRPr="00465DC4" w:rsidRDefault="00E41E6D" w:rsidP="00DE2BCA">
            <w:pPr>
              <w:jc w:val="both"/>
              <w:rPr>
                <w:rFonts w:ascii="Tahoma" w:eastAsiaTheme="minorHAnsi" w:hAnsi="Tahoma" w:cs="Tahoma"/>
                <w:sz w:val="18"/>
                <w:szCs w:val="18"/>
                <w:lang w:eastAsia="en-US"/>
              </w:rPr>
            </w:pPr>
            <w:r w:rsidRPr="00465DC4">
              <w:rPr>
                <w:rFonts w:ascii="Tahoma" w:eastAsiaTheme="minorHAnsi" w:hAnsi="Tahoma" w:cs="Tahoma"/>
                <w:sz w:val="18"/>
                <w:szCs w:val="18"/>
                <w:lang w:eastAsia="en-US"/>
              </w:rPr>
              <w:t>2) Заявление о предоставлении Кредита;</w:t>
            </w:r>
          </w:p>
          <w:p w14:paraId="5031C242" w14:textId="77777777" w:rsidR="00E41E6D" w:rsidRPr="00465DC4" w:rsidRDefault="00E41E6D" w:rsidP="00DE2BCA">
            <w:pPr>
              <w:jc w:val="both"/>
              <w:rPr>
                <w:rFonts w:ascii="Tahoma" w:eastAsiaTheme="minorHAnsi" w:hAnsi="Tahoma" w:cs="Tahoma"/>
                <w:b/>
                <w:sz w:val="18"/>
                <w:szCs w:val="18"/>
                <w:lang w:eastAsia="en-US"/>
              </w:rPr>
            </w:pPr>
          </w:p>
          <w:p w14:paraId="1FF648E7" w14:textId="77777777" w:rsidR="00E41E6D" w:rsidRPr="00465DC4" w:rsidRDefault="00E41E6D" w:rsidP="00DE2BCA">
            <w:pPr>
              <w:jc w:val="both"/>
              <w:rPr>
                <w:rFonts w:ascii="Tahoma" w:eastAsiaTheme="minorHAnsi" w:hAnsi="Tahoma" w:cs="Tahoma"/>
                <w:color w:val="000000"/>
                <w:sz w:val="18"/>
                <w:szCs w:val="18"/>
                <w:lang w:eastAsia="en-US"/>
              </w:rPr>
            </w:pPr>
            <w:r w:rsidRPr="00465DC4">
              <w:rPr>
                <w:rFonts w:ascii="Tahoma" w:eastAsiaTheme="minorHAnsi" w:hAnsi="Tahoma" w:cs="Tahoma"/>
                <w:b/>
                <w:sz w:val="18"/>
                <w:szCs w:val="18"/>
                <w:lang w:eastAsia="en-US"/>
              </w:rPr>
              <w:t xml:space="preserve">Доход должен быть подтвержден </w:t>
            </w:r>
            <w:r w:rsidRPr="00465DC4">
              <w:rPr>
                <w:rFonts w:ascii="Tahoma" w:eastAsiaTheme="minorHAnsi" w:hAnsi="Tahoma" w:cs="Tahoma"/>
                <w:color w:val="000000"/>
                <w:sz w:val="18"/>
                <w:szCs w:val="18"/>
                <w:lang w:eastAsia="en-US"/>
              </w:rPr>
              <w:t>за последние 12 месяцев либо за фактически отработанный период времени, в зависимости от стажа по текущему месту работы, но не менее 3-х месяцев, предшествующих дате предоставления в Банк Заявления о предоставлении потребительского кредита.</w:t>
            </w:r>
          </w:p>
          <w:p w14:paraId="4657811C" w14:textId="77777777" w:rsidR="00E41E6D" w:rsidRPr="00465DC4" w:rsidRDefault="00E41E6D" w:rsidP="00DE2BCA">
            <w:pPr>
              <w:jc w:val="both"/>
              <w:rPr>
                <w:rFonts w:ascii="Tahoma" w:eastAsiaTheme="minorHAnsi" w:hAnsi="Tahoma" w:cs="Tahoma"/>
                <w:b/>
                <w:sz w:val="18"/>
                <w:szCs w:val="18"/>
                <w:lang w:eastAsia="en-US"/>
              </w:rPr>
            </w:pPr>
          </w:p>
          <w:p w14:paraId="2600FC0B" w14:textId="77777777" w:rsidR="00E41E6D" w:rsidRPr="00465DC4" w:rsidRDefault="00E41E6D" w:rsidP="00DE2BCA">
            <w:pPr>
              <w:jc w:val="both"/>
              <w:rPr>
                <w:rFonts w:ascii="Tahoma" w:eastAsiaTheme="minorHAnsi" w:hAnsi="Tahoma" w:cs="Tahoma"/>
                <w:b/>
                <w:sz w:val="18"/>
                <w:szCs w:val="18"/>
                <w:lang w:eastAsia="en-US"/>
              </w:rPr>
            </w:pPr>
            <w:r w:rsidRPr="00465DC4">
              <w:rPr>
                <w:rFonts w:ascii="Tahoma" w:eastAsiaTheme="minorHAnsi" w:hAnsi="Tahoma" w:cs="Tahoma"/>
                <w:b/>
                <w:sz w:val="18"/>
                <w:szCs w:val="18"/>
                <w:lang w:eastAsia="en-US"/>
              </w:rPr>
              <w:t>Документы, подтверждающие доход:</w:t>
            </w:r>
          </w:p>
          <w:p w14:paraId="0ED208EB" w14:textId="77777777" w:rsidR="00E41E6D" w:rsidRPr="00465DC4" w:rsidRDefault="00E41E6D" w:rsidP="00DE2BCA">
            <w:pPr>
              <w:jc w:val="both"/>
              <w:rPr>
                <w:rFonts w:ascii="Tahoma" w:eastAsiaTheme="minorHAnsi" w:hAnsi="Tahoma" w:cs="Tahoma"/>
                <w:color w:val="000000"/>
                <w:sz w:val="18"/>
                <w:szCs w:val="18"/>
                <w:lang w:eastAsia="en-US"/>
              </w:rPr>
            </w:pPr>
            <w:r w:rsidRPr="00465DC4">
              <w:rPr>
                <w:rFonts w:ascii="Tahoma" w:eastAsiaTheme="minorHAnsi" w:hAnsi="Tahoma" w:cs="Tahoma"/>
                <w:color w:val="000000"/>
                <w:sz w:val="18"/>
                <w:szCs w:val="18"/>
                <w:lang w:eastAsia="en-US"/>
              </w:rPr>
              <w:t>- выписка по банковской (платежной) карте Банка если Заемщик получает заработную плату на карту Банка;</w:t>
            </w:r>
          </w:p>
          <w:p w14:paraId="2AACC776" w14:textId="77777777" w:rsidR="00E41E6D" w:rsidRPr="00465DC4" w:rsidRDefault="00E41E6D" w:rsidP="00DE2BCA">
            <w:pPr>
              <w:jc w:val="both"/>
              <w:rPr>
                <w:rFonts w:ascii="Tahoma" w:eastAsiaTheme="minorHAnsi" w:hAnsi="Tahoma" w:cs="Tahoma"/>
                <w:color w:val="000000"/>
                <w:sz w:val="18"/>
                <w:szCs w:val="18"/>
                <w:lang w:eastAsia="en-US"/>
              </w:rPr>
            </w:pPr>
            <w:r w:rsidRPr="00465DC4">
              <w:rPr>
                <w:rFonts w:ascii="Tahoma" w:eastAsiaTheme="minorHAnsi" w:hAnsi="Tahoma" w:cs="Tahoma"/>
                <w:color w:val="000000"/>
                <w:sz w:val="18"/>
                <w:szCs w:val="18"/>
                <w:lang w:eastAsia="en-US"/>
              </w:rPr>
              <w:t>- выписка по индивидуальному лицевому счету Заемщика, который ведется в Социальном Фонде Российской Федерации и сведения предоставлены Банку (если Заемщиком выражено согласие в соответствии с законодательством Российской Федерации на запрос).</w:t>
            </w:r>
          </w:p>
          <w:p w14:paraId="416CB429" w14:textId="77777777" w:rsidR="00E41E6D" w:rsidRPr="00465DC4" w:rsidRDefault="00E41E6D" w:rsidP="00DE2BCA">
            <w:pPr>
              <w:tabs>
                <w:tab w:val="left" w:pos="205"/>
              </w:tabs>
              <w:contextualSpacing/>
              <w:jc w:val="both"/>
              <w:rPr>
                <w:rFonts w:ascii="Tahoma" w:eastAsiaTheme="minorHAnsi" w:hAnsi="Tahoma" w:cs="Tahoma"/>
                <w:color w:val="000000"/>
                <w:sz w:val="18"/>
                <w:szCs w:val="18"/>
                <w:lang w:eastAsia="en-US"/>
              </w:rPr>
            </w:pPr>
            <w:r w:rsidRPr="00465DC4">
              <w:rPr>
                <w:rFonts w:ascii="Tahoma" w:eastAsiaTheme="minorHAnsi" w:hAnsi="Tahoma" w:cs="Tahoma"/>
                <w:color w:val="000000"/>
                <w:sz w:val="18"/>
                <w:szCs w:val="18"/>
                <w:lang w:eastAsia="en-US"/>
              </w:rPr>
              <w:t>- справка о заработной плате по форме Банка, справка о доходах и суммах налога физических лиц либо по форме работодателя (содержащая обязательные поля, предусмотренные в справке по форме Банка, включая ИНН работодателя);</w:t>
            </w:r>
          </w:p>
          <w:p w14:paraId="02486EE0" w14:textId="77777777" w:rsidR="00E41E6D" w:rsidRPr="00465DC4" w:rsidRDefault="00E41E6D" w:rsidP="00DE2BCA">
            <w:pPr>
              <w:tabs>
                <w:tab w:val="left" w:pos="205"/>
              </w:tabs>
              <w:contextualSpacing/>
              <w:jc w:val="both"/>
              <w:rPr>
                <w:rFonts w:ascii="Tahoma" w:eastAsiaTheme="minorHAnsi" w:hAnsi="Tahoma" w:cs="Tahoma"/>
                <w:color w:val="000000"/>
                <w:sz w:val="18"/>
                <w:szCs w:val="18"/>
                <w:lang w:eastAsia="en-US"/>
              </w:rPr>
            </w:pPr>
            <w:r w:rsidRPr="00465DC4">
              <w:rPr>
                <w:rFonts w:ascii="Tahoma" w:eastAsiaTheme="minorHAnsi" w:hAnsi="Tahoma" w:cs="Tahoma"/>
                <w:color w:val="000000"/>
                <w:sz w:val="18"/>
                <w:szCs w:val="18"/>
                <w:lang w:eastAsia="en-US"/>
              </w:rPr>
              <w:t>- выпиской с зарплатного счета банковской (платежной) карты Заемщика, заверенной печатью подразделения и подписью работника кредитной организации, выдавшего выписку (или сформированная из мобильного/интернет банка), при этом в выписке должно быть указано назначение платежа, позволяющее однозначно идентифицировать, что поступления являются заработной платой Заемщика/ зачисления с определённым назначением платежа производятся через равные промежутки времени;</w:t>
            </w:r>
          </w:p>
          <w:p w14:paraId="2FD24305" w14:textId="77777777" w:rsidR="00E41E6D" w:rsidRPr="00465DC4" w:rsidRDefault="00E41E6D" w:rsidP="00DE2BCA">
            <w:pPr>
              <w:tabs>
                <w:tab w:val="left" w:pos="205"/>
              </w:tabs>
              <w:contextualSpacing/>
              <w:jc w:val="both"/>
              <w:rPr>
                <w:rFonts w:ascii="Tahoma" w:eastAsiaTheme="minorHAnsi" w:hAnsi="Tahoma" w:cs="Tahoma"/>
                <w:color w:val="000000"/>
                <w:sz w:val="18"/>
                <w:szCs w:val="18"/>
                <w:lang w:eastAsia="en-US"/>
              </w:rPr>
            </w:pPr>
            <w:r w:rsidRPr="00465DC4">
              <w:rPr>
                <w:rFonts w:ascii="Tahoma" w:eastAsia="Calibri" w:hAnsi="Tahoma" w:cs="Tahoma"/>
                <w:sz w:val="18"/>
                <w:szCs w:val="18"/>
                <w:lang w:eastAsia="en-US"/>
              </w:rPr>
              <w:t>- документы, содержащие сведения о доходах Заемщика, выданные государственными (муниципальными) органами, учреждениями, организациями или предприятиями (включая документы, выданные должностными лицами Вооруженных Сил Российской Федерации и воинских формирований), а также физическими лицами, зарегистрированными в качестве индивидуальных предпринимателей;</w:t>
            </w:r>
          </w:p>
          <w:p w14:paraId="3061E0C6" w14:textId="77777777" w:rsidR="00E41E6D" w:rsidRPr="00465DC4" w:rsidRDefault="00E41E6D" w:rsidP="00DE2BCA">
            <w:pPr>
              <w:tabs>
                <w:tab w:val="left" w:pos="205"/>
              </w:tabs>
              <w:contextualSpacing/>
              <w:jc w:val="both"/>
              <w:rPr>
                <w:rFonts w:ascii="Tahoma" w:eastAsiaTheme="minorHAnsi" w:hAnsi="Tahoma" w:cs="Tahoma"/>
                <w:color w:val="000000"/>
                <w:sz w:val="18"/>
                <w:szCs w:val="18"/>
                <w:lang w:eastAsia="en-US"/>
              </w:rPr>
            </w:pPr>
            <w:r w:rsidRPr="00465DC4">
              <w:rPr>
                <w:rFonts w:ascii="Tahoma" w:eastAsiaTheme="minorHAnsi" w:hAnsi="Tahoma" w:cs="Tahoma"/>
                <w:color w:val="000000"/>
                <w:sz w:val="18"/>
                <w:szCs w:val="18"/>
                <w:lang w:eastAsia="en-US"/>
              </w:rPr>
              <w:t>- налоговая декларация по налогу на доходы физических лиц (форма 3-НДФЛ);</w:t>
            </w:r>
          </w:p>
          <w:p w14:paraId="35F8E120" w14:textId="77777777" w:rsidR="00E41E6D" w:rsidRPr="00465DC4" w:rsidRDefault="00E41E6D" w:rsidP="00DE2BCA">
            <w:pPr>
              <w:jc w:val="both"/>
              <w:rPr>
                <w:rFonts w:ascii="Tahoma" w:eastAsiaTheme="minorHAnsi" w:hAnsi="Tahoma" w:cs="Tahoma"/>
                <w:color w:val="000000"/>
                <w:sz w:val="18"/>
                <w:szCs w:val="18"/>
                <w:lang w:eastAsia="en-US"/>
              </w:rPr>
            </w:pPr>
            <w:r w:rsidRPr="00465DC4">
              <w:rPr>
                <w:rFonts w:ascii="Tahoma" w:eastAsiaTheme="minorHAnsi" w:hAnsi="Tahoma" w:cs="Tahoma"/>
                <w:b/>
                <w:color w:val="000000"/>
                <w:sz w:val="18"/>
                <w:szCs w:val="18"/>
                <w:lang w:eastAsia="en-US"/>
              </w:rPr>
              <w:t>Если Заемщик является пенсионером</w:t>
            </w:r>
            <w:r w:rsidRPr="00465DC4">
              <w:rPr>
                <w:rFonts w:ascii="Tahoma" w:eastAsiaTheme="minorHAnsi" w:hAnsi="Tahoma" w:cs="Tahoma"/>
                <w:color w:val="000000"/>
                <w:sz w:val="18"/>
                <w:szCs w:val="18"/>
                <w:lang w:eastAsia="en-US"/>
              </w:rPr>
              <w:t xml:space="preserve"> (для учета дохода в виде пенсии допускается принимать документ, содержащий сведения о доходе за 1 (один) календарный месяц):</w:t>
            </w:r>
          </w:p>
          <w:p w14:paraId="27E15042" w14:textId="77777777" w:rsidR="00E41E6D" w:rsidRPr="00465DC4" w:rsidRDefault="00E41E6D" w:rsidP="00E41E6D">
            <w:pPr>
              <w:numPr>
                <w:ilvl w:val="0"/>
                <w:numId w:val="27"/>
              </w:numPr>
              <w:spacing w:after="200" w:line="276" w:lineRule="auto"/>
              <w:contextualSpacing/>
              <w:jc w:val="both"/>
              <w:rPr>
                <w:rFonts w:ascii="Tahoma" w:eastAsiaTheme="minorHAnsi" w:hAnsi="Tahoma" w:cs="Tahoma"/>
                <w:color w:val="000000"/>
                <w:sz w:val="18"/>
                <w:szCs w:val="18"/>
                <w:lang w:eastAsia="en-US"/>
              </w:rPr>
            </w:pPr>
            <w:r w:rsidRPr="00465DC4">
              <w:rPr>
                <w:rFonts w:ascii="Tahoma" w:eastAsiaTheme="minorHAnsi" w:hAnsi="Tahoma" w:cs="Tahoma"/>
                <w:color w:val="000000"/>
                <w:sz w:val="18"/>
                <w:szCs w:val="18"/>
                <w:lang w:eastAsia="en-US"/>
              </w:rPr>
              <w:t xml:space="preserve">справка Социального фонда России либо другого государственного органа, выплачивающего пенсию, о размере пенсии, ежемесячного пожизненного содержания судьям или ежемесячной надбавки к денежному содержанию судьям о назначении </w:t>
            </w:r>
            <w:r w:rsidRPr="00465DC4">
              <w:rPr>
                <w:rFonts w:ascii="Tahoma" w:eastAsiaTheme="minorHAnsi" w:hAnsi="Tahoma" w:cs="Tahoma"/>
                <w:color w:val="000000"/>
                <w:sz w:val="18"/>
                <w:szCs w:val="18"/>
                <w:lang w:eastAsia="en-US"/>
              </w:rPr>
              <w:lastRenderedPageBreak/>
              <w:t xml:space="preserve">пенсии / иной документ, подтверждающий право на получение пенсии, содержащий идентификационные данные Клиента и размер дохода (например, выписка </w:t>
            </w:r>
            <w:r w:rsidRPr="00465DC4">
              <w:rPr>
                <w:rFonts w:ascii="Tahoma" w:eastAsia="Calibri" w:hAnsi="Tahoma" w:cs="Tahoma"/>
                <w:color w:val="000000"/>
                <w:sz w:val="18"/>
                <w:szCs w:val="18"/>
                <w:lang w:eastAsia="en-US"/>
              </w:rPr>
              <w:t>по индивидуальному лицевому счету в Социальном фонде России)</w:t>
            </w:r>
            <w:r w:rsidRPr="00465DC4">
              <w:rPr>
                <w:rFonts w:ascii="Tahoma" w:eastAsiaTheme="minorHAnsi" w:hAnsi="Tahoma" w:cs="Tahoma"/>
                <w:color w:val="000000"/>
                <w:sz w:val="18"/>
                <w:szCs w:val="18"/>
                <w:lang w:eastAsia="en-US"/>
              </w:rPr>
              <w:t>;</w:t>
            </w:r>
          </w:p>
          <w:p w14:paraId="09D0C055" w14:textId="77777777" w:rsidR="00E41E6D" w:rsidRPr="00465DC4" w:rsidRDefault="00E41E6D" w:rsidP="00E41E6D">
            <w:pPr>
              <w:numPr>
                <w:ilvl w:val="0"/>
                <w:numId w:val="27"/>
              </w:numPr>
              <w:spacing w:after="200" w:line="276" w:lineRule="auto"/>
              <w:contextualSpacing/>
              <w:jc w:val="both"/>
              <w:rPr>
                <w:rFonts w:ascii="Tahoma" w:eastAsiaTheme="minorHAnsi" w:hAnsi="Tahoma" w:cs="Tahoma"/>
                <w:color w:val="000000"/>
                <w:sz w:val="18"/>
                <w:szCs w:val="18"/>
                <w:lang w:eastAsia="en-US"/>
              </w:rPr>
            </w:pPr>
            <w:r w:rsidRPr="00465DC4">
              <w:rPr>
                <w:rFonts w:ascii="Tahoma" w:eastAsiaTheme="minorHAnsi" w:hAnsi="Tahoma" w:cs="Tahoma"/>
                <w:color w:val="000000"/>
                <w:sz w:val="18"/>
                <w:szCs w:val="18"/>
                <w:lang w:eastAsia="en-US"/>
              </w:rPr>
              <w:t>выписка со счета карты Заемщика, заверенной печатью подразделения и подписью работника кредитной организации, выдавшего выписку (или сформированная из мобильного/интернет банка), при этом в выписке обязательно должно быть указано назначение платежа, позволяющее однозначно идентифицировать, что поступления являются пенсией Заемщика.</w:t>
            </w:r>
          </w:p>
          <w:p w14:paraId="286F33E1" w14:textId="77777777" w:rsidR="00E41E6D" w:rsidRPr="00465DC4" w:rsidRDefault="00E41E6D" w:rsidP="00DE2BCA">
            <w:pPr>
              <w:autoSpaceDE w:val="0"/>
              <w:autoSpaceDN w:val="0"/>
              <w:adjustRightInd w:val="0"/>
              <w:jc w:val="both"/>
              <w:rPr>
                <w:rFonts w:ascii="Tahoma" w:eastAsiaTheme="minorHAnsi" w:hAnsi="Tahoma" w:cs="Tahoma"/>
                <w:b/>
                <w:color w:val="000000"/>
                <w:sz w:val="18"/>
                <w:szCs w:val="18"/>
                <w:lang w:eastAsia="en-US"/>
              </w:rPr>
            </w:pPr>
            <w:r w:rsidRPr="00465DC4">
              <w:rPr>
                <w:rFonts w:ascii="Tahoma" w:eastAsiaTheme="minorHAnsi" w:hAnsi="Tahoma" w:cs="Tahoma"/>
                <w:b/>
                <w:color w:val="000000"/>
                <w:sz w:val="18"/>
                <w:szCs w:val="18"/>
                <w:lang w:eastAsia="en-US"/>
              </w:rPr>
              <w:t>Заемщик-ИП/ нотариус/адвокат</w:t>
            </w:r>
            <w:r w:rsidRPr="00465DC4">
              <w:rPr>
                <w:rFonts w:ascii="Arial" w:eastAsiaTheme="minorHAnsi" w:hAnsi="Arial" w:cs="Arial"/>
                <w:sz w:val="18"/>
                <w:szCs w:val="18"/>
                <w:lang w:eastAsia="en-US"/>
              </w:rPr>
              <w:t xml:space="preserve"> или иные лица, занимающиеся частной практикой, предоставляют </w:t>
            </w:r>
            <w:r w:rsidRPr="00465DC4">
              <w:rPr>
                <w:rFonts w:ascii="Arial" w:eastAsiaTheme="minorHAnsi" w:hAnsi="Arial" w:cs="Arial"/>
                <w:b/>
                <w:sz w:val="18"/>
                <w:szCs w:val="18"/>
                <w:lang w:eastAsia="en-US"/>
              </w:rPr>
              <w:t>один или</w:t>
            </w:r>
            <w:r w:rsidRPr="00465DC4">
              <w:rPr>
                <w:rFonts w:ascii="Arial" w:eastAsiaTheme="minorHAnsi" w:hAnsi="Arial" w:cs="Arial"/>
                <w:sz w:val="18"/>
                <w:szCs w:val="18"/>
                <w:lang w:eastAsia="en-US"/>
              </w:rPr>
              <w:t xml:space="preserve"> </w:t>
            </w:r>
            <w:r w:rsidRPr="00465DC4">
              <w:rPr>
                <w:rFonts w:ascii="Tahoma" w:eastAsiaTheme="minorHAnsi" w:hAnsi="Tahoma" w:cs="Tahoma"/>
                <w:b/>
                <w:color w:val="000000"/>
                <w:sz w:val="18"/>
                <w:szCs w:val="18"/>
                <w:lang w:eastAsia="en-US"/>
              </w:rPr>
              <w:t xml:space="preserve">совокупность следующих документов: </w:t>
            </w:r>
          </w:p>
          <w:p w14:paraId="4D25FEA7" w14:textId="77777777" w:rsidR="00E41E6D" w:rsidRPr="00465DC4" w:rsidRDefault="00E41E6D" w:rsidP="00E41E6D">
            <w:pPr>
              <w:numPr>
                <w:ilvl w:val="0"/>
                <w:numId w:val="79"/>
              </w:numPr>
              <w:tabs>
                <w:tab w:val="left" w:pos="739"/>
              </w:tabs>
              <w:spacing w:after="200" w:line="276" w:lineRule="auto"/>
              <w:ind w:left="739" w:hanging="425"/>
              <w:contextualSpacing/>
              <w:jc w:val="both"/>
              <w:rPr>
                <w:rFonts w:ascii="Tahoma" w:eastAsia="Calibri" w:hAnsi="Tahoma" w:cs="Tahoma"/>
                <w:sz w:val="18"/>
                <w:szCs w:val="18"/>
                <w:lang w:eastAsia="en-US"/>
              </w:rPr>
            </w:pPr>
            <w:r w:rsidRPr="00465DC4">
              <w:rPr>
                <w:rFonts w:ascii="Tahoma" w:eastAsiaTheme="minorHAnsi" w:hAnsi="Tahoma" w:cs="Tahoma"/>
                <w:color w:val="000000"/>
                <w:sz w:val="18"/>
                <w:szCs w:val="18"/>
                <w:lang w:eastAsia="en-US"/>
              </w:rPr>
              <w:t>официальные документы (декларации) в зависимости от систем налогообложения, на основании которых возможно идентифицировать доход ИП,</w:t>
            </w:r>
            <w:r w:rsidRPr="00465DC4">
              <w:rPr>
                <w:rFonts w:ascii="Tahoma" w:eastAsia="Calibri" w:hAnsi="Tahoma" w:cs="Tahoma"/>
                <w:sz w:val="18"/>
                <w:szCs w:val="18"/>
                <w:lang w:eastAsia="en-US"/>
              </w:rPr>
              <w:t xml:space="preserve"> копии квитанций (платежных поручений) об уплате налогов за налоговые периоды, соответствующие периоду расчета среднемесячного дохода;</w:t>
            </w:r>
          </w:p>
          <w:p w14:paraId="45A7242F" w14:textId="77777777" w:rsidR="00E41E6D" w:rsidRPr="00465DC4" w:rsidRDefault="00E41E6D" w:rsidP="00E41E6D">
            <w:pPr>
              <w:numPr>
                <w:ilvl w:val="0"/>
                <w:numId w:val="27"/>
              </w:numPr>
              <w:tabs>
                <w:tab w:val="left" w:pos="739"/>
              </w:tabs>
              <w:spacing w:after="200" w:line="276" w:lineRule="auto"/>
              <w:ind w:left="739" w:hanging="425"/>
              <w:contextualSpacing/>
              <w:jc w:val="both"/>
              <w:rPr>
                <w:rFonts w:ascii="Tahoma" w:eastAsiaTheme="minorHAnsi" w:hAnsi="Tahoma" w:cs="Tahoma"/>
                <w:color w:val="000000"/>
                <w:sz w:val="18"/>
                <w:szCs w:val="18"/>
                <w:lang w:eastAsia="en-US"/>
              </w:rPr>
            </w:pPr>
            <w:r w:rsidRPr="00465DC4">
              <w:rPr>
                <w:rFonts w:ascii="Tahoma" w:eastAsia="Calibri" w:hAnsi="Tahoma" w:cs="Tahoma"/>
                <w:sz w:val="18"/>
                <w:szCs w:val="18"/>
                <w:lang w:eastAsia="en-US"/>
              </w:rPr>
              <w:t>книга учета доходов и расходов и хозяйственных операций индивидуального предпринимателя или</w:t>
            </w:r>
            <w:r w:rsidRPr="00465DC4">
              <w:rPr>
                <w:rFonts w:ascii="Tahoma" w:eastAsiaTheme="minorHAnsi" w:hAnsi="Tahoma" w:cs="Tahoma"/>
                <w:color w:val="000000"/>
                <w:sz w:val="18"/>
                <w:szCs w:val="18"/>
                <w:lang w:eastAsia="en-US"/>
              </w:rPr>
              <w:t xml:space="preserve"> выписки по счетам Заемщика, заверенные организацией, в которой открыты данные счета;</w:t>
            </w:r>
          </w:p>
          <w:p w14:paraId="3823FEE9" w14:textId="77777777" w:rsidR="00E41E6D" w:rsidRPr="00465DC4" w:rsidRDefault="00E41E6D" w:rsidP="00E41E6D">
            <w:pPr>
              <w:numPr>
                <w:ilvl w:val="0"/>
                <w:numId w:val="27"/>
              </w:numPr>
              <w:tabs>
                <w:tab w:val="left" w:pos="739"/>
              </w:tabs>
              <w:spacing w:after="200" w:line="276" w:lineRule="auto"/>
              <w:ind w:left="739" w:hanging="425"/>
              <w:contextualSpacing/>
              <w:jc w:val="both"/>
              <w:rPr>
                <w:rFonts w:ascii="Tahoma" w:eastAsia="Calibri" w:hAnsi="Tahoma" w:cs="Tahoma"/>
                <w:color w:val="000000"/>
                <w:sz w:val="18"/>
                <w:szCs w:val="18"/>
                <w:lang w:eastAsia="en-US"/>
              </w:rPr>
            </w:pPr>
            <w:r w:rsidRPr="00465DC4">
              <w:rPr>
                <w:rFonts w:ascii="Tahoma" w:eastAsia="Calibri" w:hAnsi="Tahoma" w:cs="Tahoma"/>
                <w:sz w:val="18"/>
                <w:szCs w:val="18"/>
                <w:lang w:eastAsia="en-US"/>
              </w:rPr>
              <w:t>справка о состоянии расчетов (доходах) по налогу, уплачиваемому в связи с применением автоматизированной упрощенной системы налогообложения (КНД 1120504).</w:t>
            </w:r>
          </w:p>
          <w:p w14:paraId="57F6F055" w14:textId="77777777" w:rsidR="00E41E6D" w:rsidRPr="00465DC4" w:rsidRDefault="00E41E6D" w:rsidP="00DE2BCA">
            <w:pPr>
              <w:tabs>
                <w:tab w:val="left" w:pos="739"/>
              </w:tabs>
              <w:ind w:left="739"/>
              <w:contextualSpacing/>
              <w:jc w:val="both"/>
              <w:rPr>
                <w:rFonts w:ascii="Tahoma" w:eastAsiaTheme="minorHAnsi" w:hAnsi="Tahoma" w:cs="Tahoma"/>
                <w:color w:val="000000"/>
                <w:sz w:val="18"/>
                <w:szCs w:val="18"/>
                <w:lang w:eastAsia="en-US"/>
              </w:rPr>
            </w:pPr>
          </w:p>
          <w:p w14:paraId="376ED5DB" w14:textId="77777777" w:rsidR="00E41E6D" w:rsidRPr="00465DC4" w:rsidRDefault="00E41E6D" w:rsidP="00DE2BCA">
            <w:pPr>
              <w:tabs>
                <w:tab w:val="left" w:pos="739"/>
              </w:tabs>
              <w:jc w:val="both"/>
              <w:rPr>
                <w:rFonts w:ascii="Tahoma" w:eastAsiaTheme="minorHAnsi" w:hAnsi="Tahoma" w:cs="Tahoma"/>
                <w:b/>
                <w:color w:val="000000"/>
                <w:sz w:val="18"/>
                <w:szCs w:val="18"/>
                <w:lang w:eastAsia="en-US"/>
              </w:rPr>
            </w:pPr>
            <w:r w:rsidRPr="00465DC4">
              <w:rPr>
                <w:rFonts w:ascii="Tahoma" w:eastAsiaTheme="minorHAnsi" w:hAnsi="Tahoma" w:cs="Tahoma"/>
                <w:b/>
                <w:color w:val="000000"/>
                <w:sz w:val="18"/>
                <w:szCs w:val="18"/>
                <w:lang w:eastAsia="en-US"/>
              </w:rPr>
              <w:t>Доходы от нетрудовой деятельности:</w:t>
            </w:r>
          </w:p>
          <w:p w14:paraId="320EF865" w14:textId="77777777" w:rsidR="00E41E6D" w:rsidRPr="00465DC4" w:rsidRDefault="00E41E6D" w:rsidP="00E41E6D">
            <w:pPr>
              <w:numPr>
                <w:ilvl w:val="0"/>
                <w:numId w:val="27"/>
              </w:numPr>
              <w:tabs>
                <w:tab w:val="left" w:pos="739"/>
              </w:tabs>
              <w:spacing w:after="200" w:line="276" w:lineRule="auto"/>
              <w:ind w:left="739" w:hanging="425"/>
              <w:contextualSpacing/>
              <w:jc w:val="both"/>
              <w:rPr>
                <w:rFonts w:ascii="Tahoma" w:eastAsiaTheme="minorHAnsi" w:hAnsi="Tahoma" w:cs="Tahoma"/>
                <w:color w:val="000000"/>
                <w:sz w:val="18"/>
                <w:szCs w:val="18"/>
                <w:lang w:eastAsia="en-US"/>
              </w:rPr>
            </w:pPr>
            <w:r w:rsidRPr="00465DC4">
              <w:rPr>
                <w:rFonts w:ascii="Tahoma" w:eastAsia="Calibri" w:hAnsi="Tahoma" w:cs="Tahoma"/>
                <w:sz w:val="18"/>
                <w:szCs w:val="18"/>
                <w:lang w:eastAsia="en-US"/>
              </w:rPr>
              <w:t xml:space="preserve">выписка со счета, выданная кредитными организациями, на который осуществляются социальные выплаты, а также иные регулярные выплаты Клиенту (напр., доходы от сдачи внаем (в аренду) недвижимого имущества (при условии подтверждения права собственности (владения) этим имуществом), в т.ч. сформированная из мобильного/интернет банка, а также при предоставлении </w:t>
            </w:r>
            <w:r w:rsidRPr="00465DC4">
              <w:rPr>
                <w:rFonts w:ascii="Tahoma" w:eastAsiaTheme="minorHAnsi" w:hAnsi="Tahoma" w:cs="Tahoma"/>
                <w:color w:val="000000"/>
                <w:sz w:val="18"/>
                <w:szCs w:val="18"/>
                <w:lang w:eastAsia="en-US"/>
              </w:rPr>
              <w:t>налоговой декларации по налогу на доходы физических лиц (форма 3-НДФЛ);</w:t>
            </w:r>
          </w:p>
          <w:p w14:paraId="035BF943" w14:textId="77777777" w:rsidR="00E41E6D" w:rsidRPr="00465DC4" w:rsidRDefault="00E41E6D" w:rsidP="00E41E6D">
            <w:pPr>
              <w:numPr>
                <w:ilvl w:val="0"/>
                <w:numId w:val="27"/>
              </w:numPr>
              <w:spacing w:after="200" w:line="276" w:lineRule="auto"/>
              <w:ind w:left="631"/>
              <w:contextualSpacing/>
              <w:rPr>
                <w:rFonts w:ascii="Tahoma" w:eastAsia="Calibri" w:hAnsi="Tahoma" w:cs="Tahoma"/>
                <w:b/>
                <w:sz w:val="18"/>
                <w:szCs w:val="18"/>
                <w:lang w:eastAsia="en-US"/>
              </w:rPr>
            </w:pPr>
            <w:r w:rsidRPr="00465DC4">
              <w:rPr>
                <w:rFonts w:ascii="Tahoma" w:hAnsi="Tahoma" w:cs="Tahoma"/>
                <w:sz w:val="18"/>
                <w:szCs w:val="18"/>
                <w:lang w:eastAsia="en-US"/>
              </w:rPr>
              <w:t>Справка о сумме ежемесячной денежной выплаты, ежемесячной денежной компенсации, ежемесячного дополнительного материального обеспечения, выданная государственным органом Заемщику/Созаемщику.</w:t>
            </w:r>
            <w:r w:rsidRPr="00465DC4">
              <w:rPr>
                <w:rFonts w:ascii="Tahoma" w:hAnsi="Tahoma" w:cs="Tahoma"/>
                <w:sz w:val="20"/>
                <w:szCs w:val="20"/>
                <w:lang w:eastAsia="en-US"/>
              </w:rPr>
              <w:t xml:space="preserve">  </w:t>
            </w:r>
          </w:p>
        </w:tc>
      </w:tr>
      <w:tr w:rsidR="00E41E6D" w:rsidRPr="00465DC4" w14:paraId="13146F4A" w14:textId="77777777" w:rsidTr="00DE2BC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76"/>
        </w:trPr>
        <w:tc>
          <w:tcPr>
            <w:tcW w:w="3970" w:type="dxa"/>
            <w:tcBorders>
              <w:top w:val="single" w:sz="4" w:space="0" w:color="auto"/>
              <w:left w:val="single" w:sz="8" w:space="0" w:color="auto"/>
              <w:bottom w:val="single" w:sz="4" w:space="0" w:color="auto"/>
              <w:right w:val="single" w:sz="4" w:space="0" w:color="auto"/>
            </w:tcBorders>
            <w:vAlign w:val="center"/>
          </w:tcPr>
          <w:p w14:paraId="21A28375" w14:textId="77777777" w:rsidR="00E41E6D" w:rsidRPr="00465DC4" w:rsidRDefault="00E41E6D" w:rsidP="00DE2BCA">
            <w:pPr>
              <w:widowControl w:val="0"/>
              <w:tabs>
                <w:tab w:val="left" w:pos="426"/>
                <w:tab w:val="left" w:pos="851"/>
              </w:tabs>
              <w:rPr>
                <w:rFonts w:ascii="Tahoma" w:eastAsiaTheme="minorHAnsi" w:hAnsi="Tahoma" w:cs="Tahoma"/>
                <w:b/>
                <w:color w:val="000000"/>
                <w:sz w:val="18"/>
                <w:szCs w:val="18"/>
                <w:lang w:eastAsia="en-US"/>
              </w:rPr>
            </w:pPr>
            <w:r w:rsidRPr="00465DC4">
              <w:rPr>
                <w:rFonts w:ascii="Tahoma" w:eastAsiaTheme="minorHAnsi" w:hAnsi="Tahoma" w:cs="Tahoma"/>
                <w:b/>
                <w:color w:val="000000"/>
                <w:sz w:val="18"/>
                <w:szCs w:val="18"/>
                <w:lang w:eastAsia="en-US"/>
              </w:rPr>
              <w:lastRenderedPageBreak/>
              <w:t>Срок, в течение которого Заемщик вправе отказаться от получения потребительского Кредита</w:t>
            </w:r>
          </w:p>
        </w:tc>
        <w:tc>
          <w:tcPr>
            <w:tcW w:w="11369" w:type="dxa"/>
            <w:gridSpan w:val="2"/>
            <w:tcBorders>
              <w:top w:val="single" w:sz="4" w:space="0" w:color="auto"/>
              <w:left w:val="nil"/>
              <w:bottom w:val="single" w:sz="4" w:space="0" w:color="auto"/>
              <w:right w:val="single" w:sz="8" w:space="0" w:color="000000"/>
            </w:tcBorders>
            <w:noWrap/>
            <w:vAlign w:val="center"/>
          </w:tcPr>
          <w:p w14:paraId="7299D886" w14:textId="77777777" w:rsidR="00E41E6D" w:rsidRPr="00465DC4" w:rsidRDefault="00E41E6D" w:rsidP="00DE2BCA">
            <w:pPr>
              <w:widowControl w:val="0"/>
              <w:tabs>
                <w:tab w:val="left" w:pos="426"/>
                <w:tab w:val="left" w:pos="851"/>
              </w:tabs>
              <w:rPr>
                <w:rFonts w:ascii="Tahoma" w:eastAsiaTheme="minorHAnsi" w:hAnsi="Tahoma" w:cs="Tahoma"/>
                <w:color w:val="000000"/>
                <w:sz w:val="18"/>
                <w:szCs w:val="18"/>
                <w:lang w:eastAsia="en-US"/>
              </w:rPr>
            </w:pPr>
            <w:r w:rsidRPr="00465DC4">
              <w:rPr>
                <w:rFonts w:ascii="Tahoma" w:eastAsiaTheme="minorHAnsi" w:hAnsi="Tahoma" w:cs="Tahoma"/>
                <w:color w:val="000000"/>
                <w:sz w:val="18"/>
                <w:szCs w:val="18"/>
                <w:lang w:eastAsia="en-US"/>
              </w:rPr>
              <w:t xml:space="preserve">Заемщик вправе отказаться от получения потребительского Кредита полностью или частично, уведомив об этом Банк до истечения установленного Договором срока его предоставления. </w:t>
            </w:r>
          </w:p>
        </w:tc>
      </w:tr>
      <w:tr w:rsidR="00E41E6D" w:rsidRPr="00465DC4" w14:paraId="632ACBEB" w14:textId="77777777" w:rsidTr="00DE2BC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76"/>
        </w:trPr>
        <w:tc>
          <w:tcPr>
            <w:tcW w:w="3970" w:type="dxa"/>
            <w:tcBorders>
              <w:top w:val="single" w:sz="4" w:space="0" w:color="auto"/>
              <w:left w:val="single" w:sz="8" w:space="0" w:color="auto"/>
              <w:bottom w:val="single" w:sz="4" w:space="0" w:color="auto"/>
              <w:right w:val="single" w:sz="4" w:space="0" w:color="auto"/>
            </w:tcBorders>
            <w:vAlign w:val="center"/>
          </w:tcPr>
          <w:p w14:paraId="11FE1EDC" w14:textId="77777777" w:rsidR="00E41E6D" w:rsidRPr="00465DC4" w:rsidRDefault="00E41E6D" w:rsidP="00DE2BCA">
            <w:pPr>
              <w:ind w:right="-107"/>
              <w:rPr>
                <w:rFonts w:ascii="Tahoma" w:hAnsi="Tahoma" w:cs="Tahoma"/>
                <w:b/>
                <w:bCs/>
                <w:color w:val="000000" w:themeColor="text1"/>
                <w:sz w:val="18"/>
                <w:szCs w:val="18"/>
              </w:rPr>
            </w:pPr>
            <w:r w:rsidRPr="00465DC4">
              <w:rPr>
                <w:rFonts w:ascii="Tahoma" w:hAnsi="Tahoma" w:cs="Tahoma"/>
                <w:b/>
                <w:bCs/>
                <w:color w:val="000000" w:themeColor="text1"/>
                <w:sz w:val="18"/>
                <w:szCs w:val="18"/>
              </w:rPr>
              <w:t>Срок действия решения о предоставлении Кредита</w:t>
            </w:r>
          </w:p>
        </w:tc>
        <w:tc>
          <w:tcPr>
            <w:tcW w:w="11369" w:type="dxa"/>
            <w:gridSpan w:val="2"/>
            <w:tcBorders>
              <w:top w:val="single" w:sz="4" w:space="0" w:color="auto"/>
              <w:left w:val="nil"/>
              <w:bottom w:val="single" w:sz="4" w:space="0" w:color="auto"/>
              <w:right w:val="single" w:sz="8" w:space="0" w:color="000000"/>
            </w:tcBorders>
            <w:noWrap/>
            <w:vAlign w:val="center"/>
          </w:tcPr>
          <w:p w14:paraId="5CF2A181" w14:textId="77777777" w:rsidR="00E41E6D" w:rsidRPr="00465DC4" w:rsidRDefault="00E41E6D" w:rsidP="00DE2BCA">
            <w:pPr>
              <w:rPr>
                <w:rFonts w:ascii="Tahoma" w:hAnsi="Tahoma" w:cs="Tahoma"/>
                <w:color w:val="000000" w:themeColor="text1"/>
                <w:sz w:val="18"/>
                <w:szCs w:val="18"/>
              </w:rPr>
            </w:pPr>
            <w:r w:rsidRPr="00465DC4">
              <w:rPr>
                <w:rFonts w:ascii="Tahoma" w:hAnsi="Tahoma" w:cs="Tahoma"/>
                <w:color w:val="000000" w:themeColor="text1"/>
                <w:sz w:val="18"/>
                <w:szCs w:val="18"/>
              </w:rPr>
              <w:t>30 календарных дней с даты принятия Банком решения</w:t>
            </w:r>
          </w:p>
        </w:tc>
      </w:tr>
      <w:tr w:rsidR="00E41E6D" w:rsidRPr="00465DC4" w14:paraId="1BB1ED62" w14:textId="77777777" w:rsidTr="00DE2BC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76"/>
        </w:trPr>
        <w:tc>
          <w:tcPr>
            <w:tcW w:w="3970" w:type="dxa"/>
            <w:tcBorders>
              <w:top w:val="single" w:sz="4" w:space="0" w:color="auto"/>
              <w:left w:val="single" w:sz="8" w:space="0" w:color="auto"/>
              <w:bottom w:val="single" w:sz="4" w:space="0" w:color="auto"/>
              <w:right w:val="single" w:sz="4" w:space="0" w:color="auto"/>
            </w:tcBorders>
            <w:vAlign w:val="center"/>
          </w:tcPr>
          <w:p w14:paraId="7BDDF273" w14:textId="77777777" w:rsidR="00E41E6D" w:rsidRPr="00465DC4" w:rsidRDefault="00E41E6D" w:rsidP="00DE2BCA">
            <w:pPr>
              <w:widowControl w:val="0"/>
              <w:tabs>
                <w:tab w:val="left" w:pos="426"/>
                <w:tab w:val="left" w:pos="851"/>
              </w:tabs>
              <w:rPr>
                <w:rFonts w:ascii="Tahoma" w:eastAsiaTheme="minorHAnsi" w:hAnsi="Tahoma" w:cs="Tahoma"/>
                <w:b/>
                <w:color w:val="000000"/>
                <w:sz w:val="18"/>
                <w:szCs w:val="18"/>
                <w:lang w:eastAsia="en-US"/>
              </w:rPr>
            </w:pPr>
            <w:r w:rsidRPr="00465DC4">
              <w:rPr>
                <w:rFonts w:ascii="Tahoma" w:eastAsiaTheme="minorHAnsi" w:hAnsi="Tahoma" w:cs="Tahoma"/>
                <w:b/>
                <w:color w:val="000000"/>
                <w:sz w:val="18"/>
                <w:szCs w:val="18"/>
                <w:lang w:eastAsia="en-US"/>
              </w:rPr>
              <w:t xml:space="preserve">Способ предоставления потребительского Кредита </w:t>
            </w:r>
          </w:p>
        </w:tc>
        <w:tc>
          <w:tcPr>
            <w:tcW w:w="11369" w:type="dxa"/>
            <w:gridSpan w:val="2"/>
            <w:tcBorders>
              <w:top w:val="single" w:sz="4" w:space="0" w:color="auto"/>
              <w:left w:val="nil"/>
              <w:bottom w:val="single" w:sz="4" w:space="0" w:color="auto"/>
              <w:right w:val="single" w:sz="8" w:space="0" w:color="000000"/>
            </w:tcBorders>
            <w:noWrap/>
            <w:vAlign w:val="center"/>
          </w:tcPr>
          <w:p w14:paraId="0CAB1E31" w14:textId="77777777" w:rsidR="00E41E6D" w:rsidRPr="00465DC4" w:rsidRDefault="00E41E6D" w:rsidP="00DE2BCA">
            <w:pPr>
              <w:widowControl w:val="0"/>
              <w:tabs>
                <w:tab w:val="left" w:pos="426"/>
                <w:tab w:val="left" w:pos="851"/>
              </w:tabs>
              <w:rPr>
                <w:rFonts w:ascii="Tahoma" w:eastAsiaTheme="minorHAnsi" w:hAnsi="Tahoma" w:cs="Tahoma"/>
                <w:color w:val="000000"/>
                <w:sz w:val="18"/>
                <w:szCs w:val="18"/>
                <w:lang w:eastAsia="en-US"/>
              </w:rPr>
            </w:pPr>
            <w:r w:rsidRPr="00465DC4">
              <w:rPr>
                <w:rFonts w:ascii="Tahoma" w:eastAsiaTheme="minorHAnsi" w:hAnsi="Tahoma" w:cs="Tahoma"/>
                <w:color w:val="000000"/>
                <w:sz w:val="18"/>
                <w:szCs w:val="18"/>
                <w:lang w:eastAsia="en-US"/>
              </w:rPr>
              <w:t>Зачисление в безналичном порядке на открытый в Банке текущий банковский счет (ТБС) Заемщика. При желании Заемщика получить Кредит с использованием электронного средства платежа (платежной карты) он вправе подать в Банк заявление об этом на бумажном носителе.</w:t>
            </w:r>
          </w:p>
        </w:tc>
      </w:tr>
      <w:tr w:rsidR="00E41E6D" w:rsidRPr="00465DC4" w14:paraId="70621B79" w14:textId="77777777" w:rsidTr="00DE2BC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76"/>
        </w:trPr>
        <w:tc>
          <w:tcPr>
            <w:tcW w:w="3970" w:type="dxa"/>
            <w:tcBorders>
              <w:top w:val="single" w:sz="4" w:space="0" w:color="auto"/>
              <w:left w:val="single" w:sz="8" w:space="0" w:color="auto"/>
              <w:bottom w:val="single" w:sz="4" w:space="0" w:color="auto"/>
              <w:right w:val="single" w:sz="4" w:space="0" w:color="auto"/>
            </w:tcBorders>
            <w:vAlign w:val="center"/>
          </w:tcPr>
          <w:p w14:paraId="13EC8931" w14:textId="77777777" w:rsidR="00E41E6D" w:rsidRPr="00465DC4" w:rsidRDefault="00E41E6D" w:rsidP="00DE2BCA">
            <w:pPr>
              <w:widowControl w:val="0"/>
              <w:tabs>
                <w:tab w:val="left" w:pos="426"/>
                <w:tab w:val="left" w:pos="851"/>
              </w:tabs>
              <w:rPr>
                <w:rFonts w:ascii="Tahoma" w:eastAsiaTheme="minorHAnsi" w:hAnsi="Tahoma" w:cs="Tahoma"/>
                <w:b/>
                <w:color w:val="000000"/>
                <w:sz w:val="18"/>
                <w:szCs w:val="18"/>
                <w:lang w:eastAsia="en-US"/>
              </w:rPr>
            </w:pPr>
            <w:r w:rsidRPr="00465DC4">
              <w:rPr>
                <w:rFonts w:ascii="Tahoma" w:eastAsiaTheme="minorHAnsi" w:hAnsi="Tahoma" w:cs="Tahoma"/>
                <w:b/>
                <w:color w:val="000000"/>
                <w:sz w:val="18"/>
                <w:szCs w:val="18"/>
                <w:lang w:eastAsia="en-US"/>
              </w:rPr>
              <w:t>Иные договоры, требуемые для заключения или исполнения Договора, а также информация о возможности заемщика согласиться с заключением таких договоров и (или) приобретением таких услуг (работ, товаров) либо отказаться от них.</w:t>
            </w:r>
          </w:p>
        </w:tc>
        <w:tc>
          <w:tcPr>
            <w:tcW w:w="11369" w:type="dxa"/>
            <w:gridSpan w:val="2"/>
            <w:tcBorders>
              <w:top w:val="single" w:sz="4" w:space="0" w:color="auto"/>
              <w:left w:val="nil"/>
              <w:bottom w:val="single" w:sz="4" w:space="0" w:color="auto"/>
              <w:right w:val="single" w:sz="8" w:space="0" w:color="000000"/>
            </w:tcBorders>
            <w:noWrap/>
            <w:vAlign w:val="center"/>
          </w:tcPr>
          <w:p w14:paraId="7457E64D" w14:textId="77777777" w:rsidR="00E41E6D" w:rsidRPr="00465DC4" w:rsidRDefault="00E41E6D" w:rsidP="00DE2BCA">
            <w:pPr>
              <w:widowControl w:val="0"/>
              <w:tabs>
                <w:tab w:val="left" w:pos="426"/>
                <w:tab w:val="left" w:pos="851"/>
              </w:tabs>
              <w:rPr>
                <w:rFonts w:ascii="Tahoma" w:eastAsiaTheme="minorHAnsi" w:hAnsi="Tahoma" w:cs="Tahoma"/>
                <w:color w:val="000000"/>
                <w:sz w:val="18"/>
                <w:szCs w:val="18"/>
                <w:lang w:eastAsia="en-US"/>
              </w:rPr>
            </w:pPr>
            <w:r w:rsidRPr="00465DC4">
              <w:rPr>
                <w:rFonts w:ascii="Tahoma" w:eastAsiaTheme="minorHAnsi" w:hAnsi="Tahoma" w:cs="Tahoma"/>
                <w:color w:val="000000"/>
                <w:sz w:val="18"/>
                <w:szCs w:val="18"/>
                <w:lang w:eastAsia="en-US"/>
              </w:rPr>
              <w:t>Заключение между Сторонами договора банковского счета (на основании которого Заемщику Банком открывается ТБС), элементы которого включены в Договор, заключение (путем присоединения) УДБО, содержащего Общие условия.</w:t>
            </w:r>
          </w:p>
          <w:p w14:paraId="6B2B1F71" w14:textId="77777777" w:rsidR="00E41E6D" w:rsidRPr="00465DC4" w:rsidRDefault="00E41E6D" w:rsidP="00DE2BCA">
            <w:pPr>
              <w:widowControl w:val="0"/>
              <w:tabs>
                <w:tab w:val="left" w:pos="426"/>
                <w:tab w:val="left" w:pos="851"/>
              </w:tabs>
              <w:rPr>
                <w:rFonts w:ascii="Tahoma" w:eastAsiaTheme="minorHAnsi" w:hAnsi="Tahoma" w:cs="Tahoma"/>
                <w:color w:val="000000"/>
                <w:sz w:val="18"/>
                <w:szCs w:val="18"/>
                <w:lang w:eastAsia="en-US"/>
              </w:rPr>
            </w:pPr>
            <w:r w:rsidRPr="00465DC4">
              <w:rPr>
                <w:rFonts w:ascii="Tahoma" w:eastAsiaTheme="minorHAnsi" w:hAnsi="Tahoma" w:cs="Tahoma"/>
                <w:color w:val="000000"/>
                <w:sz w:val="18"/>
                <w:szCs w:val="18"/>
                <w:lang w:eastAsia="en-US"/>
              </w:rPr>
              <w:t>Если при оформлении Договора Заемщику предлагаются иные дополнительные услуги (работы, товары), приобретение которых не является обязательным в силу закона, Заемщик вправе отказаться от их приобретения.</w:t>
            </w:r>
          </w:p>
        </w:tc>
      </w:tr>
      <w:tr w:rsidR="00E41E6D" w:rsidRPr="00465DC4" w14:paraId="3A980B11" w14:textId="77777777" w:rsidTr="00DE2BC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2"/>
        </w:trPr>
        <w:tc>
          <w:tcPr>
            <w:tcW w:w="3970" w:type="dxa"/>
            <w:tcBorders>
              <w:top w:val="single" w:sz="4" w:space="0" w:color="auto"/>
              <w:left w:val="single" w:sz="8" w:space="0" w:color="auto"/>
              <w:bottom w:val="single" w:sz="4" w:space="0" w:color="auto"/>
              <w:right w:val="single" w:sz="4" w:space="0" w:color="auto"/>
            </w:tcBorders>
            <w:vAlign w:val="center"/>
          </w:tcPr>
          <w:p w14:paraId="7EC4E0AC" w14:textId="77777777" w:rsidR="00E41E6D" w:rsidRPr="00465DC4" w:rsidRDefault="00E41E6D" w:rsidP="00DE2BCA">
            <w:pPr>
              <w:ind w:right="-108"/>
              <w:rPr>
                <w:rFonts w:ascii="Tahoma" w:hAnsi="Tahoma" w:cs="Tahoma"/>
                <w:b/>
                <w:bCs/>
                <w:sz w:val="18"/>
                <w:szCs w:val="18"/>
              </w:rPr>
            </w:pPr>
            <w:r w:rsidRPr="00465DC4">
              <w:rPr>
                <w:rFonts w:ascii="Tahoma" w:eastAsiaTheme="minorHAnsi" w:hAnsi="Tahoma" w:cs="Tahoma"/>
                <w:b/>
                <w:sz w:val="18"/>
                <w:szCs w:val="18"/>
              </w:rPr>
              <w:t>Дата, начиная с которой начисляются проценты за пользование Кредитом, или порядок ее определения</w:t>
            </w:r>
          </w:p>
        </w:tc>
        <w:tc>
          <w:tcPr>
            <w:tcW w:w="11369" w:type="dxa"/>
            <w:gridSpan w:val="2"/>
            <w:tcBorders>
              <w:top w:val="single" w:sz="4" w:space="0" w:color="auto"/>
              <w:left w:val="nil"/>
              <w:bottom w:val="single" w:sz="4" w:space="0" w:color="auto"/>
              <w:right w:val="single" w:sz="8" w:space="0" w:color="000000"/>
            </w:tcBorders>
            <w:shd w:val="clear" w:color="auto" w:fill="auto"/>
            <w:noWrap/>
            <w:vAlign w:val="center"/>
          </w:tcPr>
          <w:p w14:paraId="61EC2017" w14:textId="77777777" w:rsidR="00E41E6D" w:rsidRPr="00465DC4" w:rsidRDefault="00E41E6D" w:rsidP="00DE2BCA">
            <w:pPr>
              <w:rPr>
                <w:rFonts w:ascii="Tahoma" w:hAnsi="Tahoma" w:cs="Tahoma"/>
                <w:sz w:val="18"/>
                <w:szCs w:val="18"/>
              </w:rPr>
            </w:pPr>
            <w:r w:rsidRPr="00465DC4">
              <w:rPr>
                <w:rFonts w:ascii="Tahoma" w:hAnsi="Tahoma" w:cs="Tahoma"/>
                <w:sz w:val="18"/>
                <w:szCs w:val="18"/>
              </w:rPr>
              <w:t>Дата, следующая за датой выдачи Заёмщику Кредита</w:t>
            </w:r>
          </w:p>
        </w:tc>
      </w:tr>
      <w:tr w:rsidR="00E41E6D" w:rsidRPr="00465DC4" w14:paraId="7FB2FC30" w14:textId="77777777" w:rsidTr="00DE2BC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2"/>
        </w:trPr>
        <w:tc>
          <w:tcPr>
            <w:tcW w:w="3970" w:type="dxa"/>
            <w:tcBorders>
              <w:top w:val="single" w:sz="4" w:space="0" w:color="auto"/>
              <w:left w:val="single" w:sz="8" w:space="0" w:color="auto"/>
              <w:bottom w:val="single" w:sz="4" w:space="0" w:color="auto"/>
              <w:right w:val="single" w:sz="4" w:space="0" w:color="auto"/>
            </w:tcBorders>
          </w:tcPr>
          <w:p w14:paraId="75ED568D" w14:textId="77777777" w:rsidR="00E41E6D" w:rsidRPr="00465DC4" w:rsidRDefault="00E41E6D" w:rsidP="00DE2BCA">
            <w:pPr>
              <w:ind w:right="-108"/>
              <w:rPr>
                <w:rFonts w:ascii="Tahoma" w:eastAsiaTheme="minorHAnsi" w:hAnsi="Tahoma" w:cs="Tahoma"/>
                <w:b/>
                <w:sz w:val="18"/>
                <w:szCs w:val="18"/>
              </w:rPr>
            </w:pPr>
            <w:r w:rsidRPr="00465DC4">
              <w:rPr>
                <w:rFonts w:ascii="Tahoma" w:eastAsiaTheme="minorHAnsi" w:hAnsi="Tahoma" w:cs="Tahoma"/>
                <w:b/>
                <w:sz w:val="18"/>
                <w:szCs w:val="18"/>
              </w:rPr>
              <w:t xml:space="preserve">Периодичность платежей Заемщика при возврате потребительского Кредита, </w:t>
            </w:r>
            <w:r w:rsidRPr="00465DC4">
              <w:rPr>
                <w:rFonts w:ascii="Tahoma" w:eastAsiaTheme="minorHAnsi" w:hAnsi="Tahoma" w:cs="Tahoma"/>
                <w:b/>
                <w:sz w:val="18"/>
                <w:szCs w:val="18"/>
              </w:rPr>
              <w:lastRenderedPageBreak/>
              <w:t>уплате процентов и иных платежей по Кредиту</w:t>
            </w:r>
          </w:p>
        </w:tc>
        <w:tc>
          <w:tcPr>
            <w:tcW w:w="11369" w:type="dxa"/>
            <w:gridSpan w:val="2"/>
            <w:tcBorders>
              <w:top w:val="single" w:sz="4" w:space="0" w:color="auto"/>
              <w:left w:val="nil"/>
              <w:bottom w:val="single" w:sz="4" w:space="0" w:color="auto"/>
              <w:right w:val="single" w:sz="8" w:space="0" w:color="000000"/>
            </w:tcBorders>
            <w:shd w:val="clear" w:color="auto" w:fill="auto"/>
            <w:noWrap/>
          </w:tcPr>
          <w:p w14:paraId="2D1E5516" w14:textId="77777777" w:rsidR="00E41E6D" w:rsidRPr="00465DC4" w:rsidRDefault="00E41E6D" w:rsidP="00DE2BCA">
            <w:pPr>
              <w:rPr>
                <w:rFonts w:ascii="Tahoma" w:eastAsiaTheme="minorHAnsi" w:hAnsi="Tahoma" w:cs="Tahoma"/>
                <w:sz w:val="18"/>
                <w:szCs w:val="18"/>
              </w:rPr>
            </w:pPr>
            <w:r w:rsidRPr="00465DC4">
              <w:rPr>
                <w:rFonts w:ascii="Tahoma" w:eastAsiaTheme="minorHAnsi" w:hAnsi="Tahoma" w:cs="Tahoma"/>
                <w:sz w:val="18"/>
                <w:szCs w:val="18"/>
              </w:rPr>
              <w:lastRenderedPageBreak/>
              <w:t xml:space="preserve">Ежемесячно </w:t>
            </w:r>
          </w:p>
        </w:tc>
      </w:tr>
      <w:tr w:rsidR="00E41E6D" w:rsidRPr="00465DC4" w14:paraId="7B3D48F7" w14:textId="77777777" w:rsidTr="00DE2BC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2"/>
        </w:trPr>
        <w:tc>
          <w:tcPr>
            <w:tcW w:w="3970" w:type="dxa"/>
            <w:tcBorders>
              <w:top w:val="single" w:sz="4" w:space="0" w:color="auto"/>
              <w:left w:val="single" w:sz="8" w:space="0" w:color="auto"/>
              <w:bottom w:val="single" w:sz="4" w:space="0" w:color="auto"/>
              <w:right w:val="single" w:sz="4" w:space="0" w:color="auto"/>
            </w:tcBorders>
            <w:vAlign w:val="center"/>
          </w:tcPr>
          <w:p w14:paraId="1081BD6B" w14:textId="77777777" w:rsidR="00E41E6D" w:rsidRPr="00465DC4" w:rsidRDefault="00E41E6D" w:rsidP="00DE2BCA">
            <w:pPr>
              <w:widowControl w:val="0"/>
              <w:tabs>
                <w:tab w:val="left" w:pos="426"/>
                <w:tab w:val="left" w:pos="851"/>
              </w:tabs>
              <w:rPr>
                <w:rFonts w:ascii="Tahoma" w:eastAsiaTheme="minorHAnsi" w:hAnsi="Tahoma" w:cs="Tahoma"/>
                <w:b/>
                <w:color w:val="000000"/>
                <w:sz w:val="18"/>
                <w:szCs w:val="18"/>
                <w:lang w:eastAsia="en-US"/>
              </w:rPr>
            </w:pPr>
            <w:r w:rsidRPr="00465DC4">
              <w:rPr>
                <w:rFonts w:ascii="Tahoma" w:eastAsiaTheme="minorHAnsi" w:hAnsi="Tahoma" w:cs="Tahoma"/>
                <w:b/>
                <w:color w:val="000000"/>
                <w:sz w:val="18"/>
                <w:szCs w:val="18"/>
                <w:lang w:eastAsia="en-US"/>
              </w:rPr>
              <w:t>Бесплатный способ исполнения Заемщиком обязательств по Договору</w:t>
            </w:r>
          </w:p>
        </w:tc>
        <w:tc>
          <w:tcPr>
            <w:tcW w:w="11369" w:type="dxa"/>
            <w:gridSpan w:val="2"/>
            <w:tcBorders>
              <w:top w:val="single" w:sz="4" w:space="0" w:color="auto"/>
              <w:left w:val="nil"/>
              <w:bottom w:val="single" w:sz="4" w:space="0" w:color="auto"/>
              <w:right w:val="single" w:sz="8" w:space="0" w:color="000000"/>
            </w:tcBorders>
            <w:shd w:val="clear" w:color="auto" w:fill="auto"/>
            <w:noWrap/>
            <w:vAlign w:val="center"/>
          </w:tcPr>
          <w:p w14:paraId="5C4C6EA3" w14:textId="77777777" w:rsidR="00E41E6D" w:rsidRPr="00465DC4" w:rsidRDefault="00E41E6D" w:rsidP="00DE2BCA">
            <w:pPr>
              <w:widowControl w:val="0"/>
              <w:tabs>
                <w:tab w:val="left" w:pos="426"/>
                <w:tab w:val="left" w:pos="851"/>
              </w:tabs>
              <w:rPr>
                <w:rFonts w:ascii="Tahoma" w:eastAsiaTheme="minorHAnsi" w:hAnsi="Tahoma" w:cs="Tahoma"/>
                <w:color w:val="000000"/>
                <w:sz w:val="18"/>
                <w:szCs w:val="18"/>
                <w:lang w:eastAsia="en-US"/>
              </w:rPr>
            </w:pPr>
            <w:r w:rsidRPr="00465DC4">
              <w:rPr>
                <w:rFonts w:ascii="Tahoma" w:eastAsiaTheme="minorHAnsi" w:hAnsi="Tahoma" w:cs="Tahoma"/>
                <w:sz w:val="18"/>
                <w:szCs w:val="18"/>
                <w:lang w:eastAsia="en-US"/>
              </w:rPr>
              <w:t>Внесение денежных средств на ТБС через терминалы самообслуживания Банка, перевод через работодателя Заемщика, перевод со счёта в Банке на ТБС Заемщика.</w:t>
            </w:r>
          </w:p>
        </w:tc>
      </w:tr>
      <w:tr w:rsidR="00E41E6D" w:rsidRPr="00465DC4" w14:paraId="527FDEBE" w14:textId="77777777" w:rsidTr="00DE2BC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2"/>
        </w:trPr>
        <w:tc>
          <w:tcPr>
            <w:tcW w:w="3970" w:type="dxa"/>
            <w:tcBorders>
              <w:top w:val="single" w:sz="4" w:space="0" w:color="auto"/>
              <w:left w:val="single" w:sz="8" w:space="0" w:color="auto"/>
              <w:bottom w:val="single" w:sz="4" w:space="0" w:color="auto"/>
              <w:right w:val="single" w:sz="4" w:space="0" w:color="auto"/>
            </w:tcBorders>
            <w:vAlign w:val="center"/>
          </w:tcPr>
          <w:p w14:paraId="79251F31" w14:textId="77777777" w:rsidR="00E41E6D" w:rsidRPr="00465DC4" w:rsidRDefault="00E41E6D" w:rsidP="00DE2BCA">
            <w:pPr>
              <w:widowControl w:val="0"/>
              <w:tabs>
                <w:tab w:val="left" w:pos="426"/>
                <w:tab w:val="left" w:pos="851"/>
              </w:tabs>
              <w:rPr>
                <w:rFonts w:ascii="Tahoma" w:eastAsiaTheme="minorHAnsi" w:hAnsi="Tahoma" w:cs="Tahoma"/>
                <w:b/>
                <w:color w:val="000000"/>
                <w:sz w:val="18"/>
                <w:szCs w:val="18"/>
                <w:lang w:eastAsia="en-US"/>
              </w:rPr>
            </w:pPr>
            <w:r w:rsidRPr="00465DC4">
              <w:rPr>
                <w:rFonts w:ascii="Tahoma" w:eastAsiaTheme="minorHAnsi" w:hAnsi="Tahoma" w:cs="Tahoma"/>
                <w:b/>
                <w:color w:val="000000"/>
                <w:sz w:val="18"/>
                <w:szCs w:val="18"/>
                <w:lang w:eastAsia="en-US"/>
              </w:rPr>
              <w:t>Способы возврата  Заемщиком потребительского Кредита, и уплаты процентов по нему</w:t>
            </w:r>
          </w:p>
        </w:tc>
        <w:tc>
          <w:tcPr>
            <w:tcW w:w="11369" w:type="dxa"/>
            <w:gridSpan w:val="2"/>
            <w:tcBorders>
              <w:top w:val="single" w:sz="4" w:space="0" w:color="auto"/>
              <w:left w:val="nil"/>
              <w:bottom w:val="single" w:sz="4" w:space="0" w:color="auto"/>
              <w:right w:val="single" w:sz="8" w:space="0" w:color="000000"/>
            </w:tcBorders>
            <w:shd w:val="clear" w:color="auto" w:fill="auto"/>
            <w:noWrap/>
            <w:vAlign w:val="center"/>
          </w:tcPr>
          <w:p w14:paraId="202A978F" w14:textId="77777777" w:rsidR="00E41E6D" w:rsidRPr="00465DC4" w:rsidRDefault="00E41E6D" w:rsidP="00DE2BCA">
            <w:pPr>
              <w:widowControl w:val="0"/>
              <w:tabs>
                <w:tab w:val="left" w:pos="426"/>
                <w:tab w:val="left" w:pos="851"/>
              </w:tabs>
              <w:rPr>
                <w:rFonts w:ascii="Tahoma" w:eastAsiaTheme="minorHAnsi" w:hAnsi="Tahoma" w:cs="Tahoma"/>
                <w:sz w:val="18"/>
                <w:szCs w:val="18"/>
                <w:lang w:eastAsia="en-US"/>
              </w:rPr>
            </w:pPr>
            <w:r w:rsidRPr="00465DC4">
              <w:rPr>
                <w:rFonts w:ascii="Tahoma" w:eastAsiaTheme="minorHAnsi" w:hAnsi="Tahoma" w:cs="Tahoma"/>
                <w:sz w:val="18"/>
                <w:szCs w:val="18"/>
                <w:lang w:eastAsia="en-US"/>
              </w:rPr>
              <w:t xml:space="preserve">Погашение Заемщиком обязательств по Договору осуществляется в сумме и сроки предусмотренные Договором (в т.ч. при досрочном частичном или полном возврате Кредита) производится любым способом по выбору Заемщика, в том числе: посредством внесения денежных средств в сумме обязательства на ТБС Заемщика через терминалы самообслуживания Банка (при их наличии в населенном пункте по месту получения Заемщиком оферты); кассы Банка, перевод через работодателя Заемщика, перевод со счёта в Банке на ТБС Заемщика, перевод через отделения АО «Почта России», перевод через интернет-системы «АТБ-Онлайн», «АТБ-Банк», иные кредитные организации (по предусмотренным ими тарифам). </w:t>
            </w:r>
          </w:p>
          <w:p w14:paraId="1D050D10" w14:textId="77777777" w:rsidR="00E41E6D" w:rsidRPr="00465DC4" w:rsidRDefault="00E41E6D" w:rsidP="00DE2BCA">
            <w:pPr>
              <w:widowControl w:val="0"/>
              <w:tabs>
                <w:tab w:val="left" w:pos="426"/>
                <w:tab w:val="left" w:pos="851"/>
              </w:tabs>
              <w:rPr>
                <w:rFonts w:ascii="Tahoma" w:eastAsiaTheme="minorHAnsi" w:hAnsi="Tahoma" w:cs="Tahoma"/>
                <w:sz w:val="18"/>
                <w:szCs w:val="18"/>
                <w:lang w:eastAsia="en-US"/>
              </w:rPr>
            </w:pPr>
            <w:r w:rsidRPr="00465DC4">
              <w:rPr>
                <w:rFonts w:ascii="Tahoma" w:eastAsiaTheme="minorHAnsi" w:hAnsi="Tahoma" w:cs="Tahoma"/>
                <w:sz w:val="18"/>
                <w:szCs w:val="18"/>
                <w:lang w:eastAsia="en-US"/>
              </w:rPr>
              <w:t>Могут использоваться иные, не противоречащие законодательству РФ способы.</w:t>
            </w:r>
          </w:p>
          <w:p w14:paraId="65D2D68F" w14:textId="77777777" w:rsidR="00E41E6D" w:rsidRPr="00465DC4" w:rsidRDefault="00E41E6D" w:rsidP="00DE2BCA">
            <w:pPr>
              <w:widowControl w:val="0"/>
              <w:tabs>
                <w:tab w:val="left" w:pos="426"/>
                <w:tab w:val="left" w:pos="851"/>
              </w:tabs>
              <w:rPr>
                <w:rFonts w:ascii="Tahoma" w:eastAsiaTheme="minorHAnsi" w:hAnsi="Tahoma" w:cs="Tahoma"/>
                <w:sz w:val="18"/>
                <w:szCs w:val="18"/>
                <w:lang w:eastAsia="en-US"/>
              </w:rPr>
            </w:pPr>
            <w:r w:rsidRPr="00465DC4">
              <w:rPr>
                <w:rFonts w:ascii="Tahoma" w:eastAsiaTheme="minorHAnsi" w:hAnsi="Tahoma" w:cs="Tahoma"/>
                <w:sz w:val="18"/>
                <w:szCs w:val="18"/>
                <w:lang w:eastAsia="en-US"/>
              </w:rPr>
              <w:t xml:space="preserve">Обязательства по погашению Заемщиком Кредитной задолженности по Договору считаются Заемщиком исполненными в полном объеме после поступления денежных средств на ТБС Заемщика (списания Банком в свою пользу с ТБС Заемщика денежных средств).  </w:t>
            </w:r>
          </w:p>
          <w:p w14:paraId="647E0B2E" w14:textId="77777777" w:rsidR="00E41E6D" w:rsidRPr="00465DC4" w:rsidRDefault="00E41E6D" w:rsidP="00DE2BCA">
            <w:pPr>
              <w:widowControl w:val="0"/>
              <w:tabs>
                <w:tab w:val="left" w:pos="426"/>
                <w:tab w:val="left" w:pos="851"/>
              </w:tabs>
              <w:rPr>
                <w:rFonts w:ascii="Tahoma" w:eastAsiaTheme="minorHAnsi" w:hAnsi="Tahoma" w:cs="Tahoma"/>
                <w:sz w:val="18"/>
                <w:szCs w:val="18"/>
                <w:lang w:eastAsia="en-US"/>
              </w:rPr>
            </w:pPr>
            <w:r w:rsidRPr="00465DC4">
              <w:rPr>
                <w:rFonts w:ascii="Tahoma" w:eastAsiaTheme="minorHAnsi" w:hAnsi="Tahoma" w:cs="Tahoma"/>
                <w:sz w:val="18"/>
                <w:szCs w:val="18"/>
                <w:lang w:eastAsia="en-US"/>
              </w:rPr>
              <w:t>Заемщик вносит на ТБС денежные средства любыми из перечисленных выше способов, при этом он обязан учесть время, затрачиваемое на безналичное перечисление денежных средств, выходные и праздничные дни. Если установленный Договором последний день срока платежа отсутствует в календарном месяце, Заемщик обязан внести денежные средства на ТБС не позднее последнего календарного рабочего дня месяца; если последний день срока платежа приходится на выходные/нерабочие праздничные дни, Заемщик обязан внести денежные средства на ТБС не позднее 1-го рабочего дня, следующего за выходным/нерабочим праздничным днем. Указанная обязанность должна быть исполнена Заемщиком в операционный день Банка.</w:t>
            </w:r>
          </w:p>
        </w:tc>
      </w:tr>
      <w:tr w:rsidR="00E41E6D" w:rsidRPr="00465DC4" w14:paraId="4B07E12E" w14:textId="77777777" w:rsidTr="00DE2BC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593"/>
        </w:trPr>
        <w:tc>
          <w:tcPr>
            <w:tcW w:w="3970" w:type="dxa"/>
            <w:tcBorders>
              <w:top w:val="single" w:sz="4" w:space="0" w:color="auto"/>
              <w:left w:val="single" w:sz="8" w:space="0" w:color="auto"/>
              <w:bottom w:val="single" w:sz="4" w:space="0" w:color="auto"/>
              <w:right w:val="single" w:sz="4" w:space="0" w:color="auto"/>
            </w:tcBorders>
            <w:vAlign w:val="center"/>
          </w:tcPr>
          <w:p w14:paraId="0E91029B" w14:textId="77777777" w:rsidR="00E41E6D" w:rsidRPr="00465DC4" w:rsidRDefault="00E41E6D" w:rsidP="00DE2BCA">
            <w:pPr>
              <w:widowControl w:val="0"/>
              <w:tabs>
                <w:tab w:val="left" w:pos="426"/>
                <w:tab w:val="left" w:pos="851"/>
              </w:tabs>
              <w:rPr>
                <w:rFonts w:ascii="Tahoma" w:eastAsiaTheme="minorHAnsi" w:hAnsi="Tahoma" w:cs="Tahoma"/>
                <w:b/>
                <w:color w:val="000000"/>
                <w:sz w:val="18"/>
                <w:szCs w:val="18"/>
                <w:lang w:eastAsia="en-US"/>
              </w:rPr>
            </w:pPr>
            <w:r w:rsidRPr="00465DC4">
              <w:rPr>
                <w:rFonts w:ascii="Tahoma" w:eastAsiaTheme="minorHAnsi" w:hAnsi="Tahoma" w:cs="Tahoma"/>
                <w:b/>
                <w:color w:val="000000"/>
                <w:sz w:val="18"/>
                <w:szCs w:val="18"/>
                <w:lang w:eastAsia="en-US"/>
              </w:rPr>
              <w:t xml:space="preserve">Ответственность Заемщика за ненадлежащее исполнение Договора </w:t>
            </w:r>
          </w:p>
        </w:tc>
        <w:tc>
          <w:tcPr>
            <w:tcW w:w="11369" w:type="dxa"/>
            <w:gridSpan w:val="2"/>
            <w:tcBorders>
              <w:top w:val="single" w:sz="4" w:space="0" w:color="auto"/>
              <w:left w:val="nil"/>
              <w:bottom w:val="single" w:sz="4" w:space="0" w:color="auto"/>
              <w:right w:val="single" w:sz="8" w:space="0" w:color="000000"/>
            </w:tcBorders>
            <w:noWrap/>
            <w:vAlign w:val="center"/>
          </w:tcPr>
          <w:p w14:paraId="6C1DB724" w14:textId="77777777" w:rsidR="00E41E6D" w:rsidRPr="00465DC4" w:rsidRDefault="00E41E6D" w:rsidP="00DE2BCA">
            <w:pPr>
              <w:autoSpaceDE w:val="0"/>
              <w:autoSpaceDN w:val="0"/>
              <w:spacing w:before="40" w:after="40" w:line="276" w:lineRule="auto"/>
              <w:jc w:val="both"/>
              <w:rPr>
                <w:rFonts w:ascii="Tahoma" w:eastAsiaTheme="minorHAnsi" w:hAnsi="Tahoma" w:cs="Tahoma"/>
                <w:sz w:val="18"/>
                <w:szCs w:val="18"/>
                <w:lang w:eastAsia="en-US"/>
              </w:rPr>
            </w:pPr>
            <w:r w:rsidRPr="00465DC4">
              <w:rPr>
                <w:rFonts w:ascii="Tahoma" w:eastAsiaTheme="minorHAnsi" w:hAnsi="Tahoma" w:cs="Tahoma"/>
                <w:sz w:val="18"/>
                <w:szCs w:val="18"/>
                <w:lang w:eastAsia="en-US"/>
              </w:rPr>
              <w:t xml:space="preserve">За ненадлежащее исполнение Заемщиком обязательств по возврату Кредита и(или) уплате процентов за пользование Кредитом начисляется пеня за каждый день просрочки в размере 20 (двадцать) % годовых от суммы просроченной задолженности, начиная со следующего дня за днем ее образования.  </w:t>
            </w:r>
          </w:p>
        </w:tc>
      </w:tr>
      <w:tr w:rsidR="00E41E6D" w:rsidRPr="00465DC4" w14:paraId="45BF0955" w14:textId="77777777" w:rsidTr="00DE2BC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593"/>
        </w:trPr>
        <w:tc>
          <w:tcPr>
            <w:tcW w:w="3970" w:type="dxa"/>
            <w:tcBorders>
              <w:top w:val="single" w:sz="4" w:space="0" w:color="auto"/>
              <w:left w:val="single" w:sz="8" w:space="0" w:color="auto"/>
              <w:bottom w:val="single" w:sz="4" w:space="0" w:color="auto"/>
              <w:right w:val="single" w:sz="4" w:space="0" w:color="auto"/>
            </w:tcBorders>
            <w:vAlign w:val="center"/>
          </w:tcPr>
          <w:p w14:paraId="08567A5B" w14:textId="77777777" w:rsidR="00E41E6D" w:rsidRPr="00465DC4" w:rsidRDefault="00E41E6D" w:rsidP="00DE2BCA">
            <w:pPr>
              <w:widowControl w:val="0"/>
              <w:tabs>
                <w:tab w:val="left" w:pos="426"/>
                <w:tab w:val="left" w:pos="851"/>
              </w:tabs>
              <w:rPr>
                <w:rFonts w:ascii="Tahoma" w:eastAsiaTheme="minorHAnsi" w:hAnsi="Tahoma" w:cs="Tahoma"/>
                <w:b/>
                <w:color w:val="000000"/>
                <w:sz w:val="18"/>
                <w:szCs w:val="18"/>
                <w:lang w:eastAsia="en-US"/>
              </w:rPr>
            </w:pPr>
            <w:r w:rsidRPr="00465DC4">
              <w:rPr>
                <w:rFonts w:ascii="Tahoma" w:eastAsiaTheme="minorHAnsi" w:hAnsi="Tahoma" w:cs="Tahoma"/>
                <w:b/>
                <w:color w:val="000000"/>
                <w:sz w:val="18"/>
                <w:szCs w:val="18"/>
                <w:lang w:eastAsia="en-US"/>
              </w:rPr>
              <w:t>Порядок предоставления Заемщиком информации об использовании Кредита</w:t>
            </w:r>
            <w:r>
              <w:rPr>
                <w:rFonts w:ascii="Tahoma" w:eastAsiaTheme="minorHAnsi" w:hAnsi="Tahoma" w:cs="Tahoma"/>
                <w:b/>
                <w:color w:val="000000"/>
                <w:sz w:val="18"/>
                <w:szCs w:val="18"/>
                <w:lang w:eastAsia="en-US"/>
              </w:rPr>
              <w:t xml:space="preserve"> </w:t>
            </w:r>
            <w:r w:rsidRPr="000D5F7A">
              <w:rPr>
                <w:rFonts w:ascii="Tahoma" w:eastAsiaTheme="minorHAnsi" w:hAnsi="Tahoma" w:cs="Tahoma"/>
                <w:b/>
                <w:color w:val="000000"/>
                <w:sz w:val="18"/>
                <w:szCs w:val="18"/>
                <w:lang w:eastAsia="en-US"/>
              </w:rPr>
              <w:t>(при включении в договор потребительского кредита условия об использовании заемщиком полученного потребительского кредита на определенные цели)</w:t>
            </w:r>
          </w:p>
        </w:tc>
        <w:tc>
          <w:tcPr>
            <w:tcW w:w="11369" w:type="dxa"/>
            <w:gridSpan w:val="2"/>
            <w:tcBorders>
              <w:top w:val="single" w:sz="4" w:space="0" w:color="auto"/>
              <w:left w:val="nil"/>
              <w:bottom w:val="single" w:sz="4" w:space="0" w:color="auto"/>
              <w:right w:val="single" w:sz="8" w:space="0" w:color="000000"/>
            </w:tcBorders>
            <w:noWrap/>
            <w:vAlign w:val="center"/>
          </w:tcPr>
          <w:p w14:paraId="78A0A3F6" w14:textId="77777777" w:rsidR="00E41E6D" w:rsidRPr="00465DC4" w:rsidRDefault="00E41E6D" w:rsidP="00DE2BCA">
            <w:pPr>
              <w:autoSpaceDE w:val="0"/>
              <w:autoSpaceDN w:val="0"/>
              <w:spacing w:before="40" w:after="40" w:line="276" w:lineRule="auto"/>
              <w:jc w:val="both"/>
              <w:rPr>
                <w:rFonts w:ascii="Tahoma" w:eastAsiaTheme="minorHAnsi" w:hAnsi="Tahoma" w:cs="Tahoma"/>
                <w:sz w:val="18"/>
                <w:szCs w:val="18"/>
                <w:lang w:eastAsia="en-US"/>
              </w:rPr>
            </w:pPr>
            <w:r w:rsidRPr="00465DC4">
              <w:rPr>
                <w:rFonts w:ascii="Tahoma" w:eastAsiaTheme="minorHAnsi" w:hAnsi="Tahoma" w:cs="Tahoma"/>
                <w:sz w:val="18"/>
                <w:szCs w:val="18"/>
                <w:lang w:eastAsia="en-US"/>
              </w:rPr>
              <w:t>По кредитным договорам заключенным Заемщиком с Банком, Банк самостоятельно контролирует досрочное исполнение обязательств.</w:t>
            </w:r>
          </w:p>
        </w:tc>
      </w:tr>
      <w:tr w:rsidR="00E41E6D" w:rsidRPr="00465DC4" w14:paraId="46E01DED" w14:textId="77777777" w:rsidTr="00DE2BC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60"/>
        </w:trPr>
        <w:tc>
          <w:tcPr>
            <w:tcW w:w="3970" w:type="dxa"/>
            <w:tcBorders>
              <w:top w:val="single" w:sz="4" w:space="0" w:color="auto"/>
              <w:left w:val="single" w:sz="8" w:space="0" w:color="auto"/>
              <w:bottom w:val="single" w:sz="4" w:space="0" w:color="auto"/>
              <w:right w:val="single" w:sz="4" w:space="0" w:color="auto"/>
            </w:tcBorders>
            <w:vAlign w:val="center"/>
          </w:tcPr>
          <w:p w14:paraId="4CD5CA2F" w14:textId="77777777" w:rsidR="00E41E6D" w:rsidRPr="00465DC4" w:rsidRDefault="00E41E6D" w:rsidP="00DE2BCA">
            <w:pPr>
              <w:widowControl w:val="0"/>
              <w:tabs>
                <w:tab w:val="left" w:pos="426"/>
                <w:tab w:val="left" w:pos="851"/>
              </w:tabs>
              <w:rPr>
                <w:rFonts w:ascii="Tahoma" w:eastAsiaTheme="minorHAnsi" w:hAnsi="Tahoma" w:cs="Tahoma"/>
                <w:b/>
                <w:color w:val="000000"/>
                <w:sz w:val="18"/>
                <w:szCs w:val="18"/>
                <w:lang w:eastAsia="en-US"/>
              </w:rPr>
            </w:pPr>
            <w:r w:rsidRPr="00465DC4">
              <w:rPr>
                <w:rFonts w:ascii="Tahoma" w:eastAsiaTheme="minorHAnsi" w:hAnsi="Tahoma" w:cs="Tahoma"/>
                <w:b/>
                <w:color w:val="000000"/>
                <w:sz w:val="18"/>
                <w:szCs w:val="18"/>
                <w:lang w:eastAsia="en-US"/>
              </w:rPr>
              <w:t>Уступка Банком третьим лицам прав (требований) по Договору</w:t>
            </w:r>
          </w:p>
        </w:tc>
        <w:tc>
          <w:tcPr>
            <w:tcW w:w="11369" w:type="dxa"/>
            <w:gridSpan w:val="2"/>
            <w:tcBorders>
              <w:top w:val="single" w:sz="4" w:space="0" w:color="auto"/>
              <w:left w:val="nil"/>
              <w:bottom w:val="single" w:sz="4" w:space="0" w:color="auto"/>
              <w:right w:val="single" w:sz="8" w:space="0" w:color="000000"/>
            </w:tcBorders>
            <w:noWrap/>
            <w:vAlign w:val="center"/>
          </w:tcPr>
          <w:p w14:paraId="40BA51C7" w14:textId="77777777" w:rsidR="00E41E6D" w:rsidRPr="00465DC4" w:rsidRDefault="00E41E6D" w:rsidP="00DE2BCA">
            <w:pPr>
              <w:widowControl w:val="0"/>
              <w:tabs>
                <w:tab w:val="left" w:pos="426"/>
                <w:tab w:val="left" w:pos="851"/>
              </w:tabs>
              <w:rPr>
                <w:rFonts w:ascii="Tahoma" w:eastAsiaTheme="minorHAnsi" w:hAnsi="Tahoma" w:cs="Tahoma"/>
                <w:color w:val="000000"/>
                <w:sz w:val="18"/>
                <w:szCs w:val="18"/>
                <w:lang w:eastAsia="en-US"/>
              </w:rPr>
            </w:pPr>
            <w:r w:rsidRPr="00465DC4">
              <w:rPr>
                <w:rFonts w:ascii="Tahoma" w:eastAsiaTheme="minorHAnsi" w:hAnsi="Tahoma" w:cs="Tahoma"/>
                <w:color w:val="000000"/>
                <w:sz w:val="18"/>
                <w:szCs w:val="18"/>
                <w:lang w:eastAsia="en-US"/>
              </w:rPr>
              <w:t>При заключении Договора Заемщик вправе запретить уступку Банком третьим лицам прав (требований) по Договору.</w:t>
            </w:r>
          </w:p>
        </w:tc>
      </w:tr>
      <w:tr w:rsidR="00E41E6D" w:rsidRPr="00465DC4" w14:paraId="34DB5913" w14:textId="77777777" w:rsidTr="00DE2BC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60"/>
        </w:trPr>
        <w:tc>
          <w:tcPr>
            <w:tcW w:w="3970" w:type="dxa"/>
            <w:tcBorders>
              <w:top w:val="single" w:sz="4" w:space="0" w:color="auto"/>
              <w:left w:val="single" w:sz="8" w:space="0" w:color="auto"/>
              <w:bottom w:val="single" w:sz="4" w:space="0" w:color="auto"/>
              <w:right w:val="single" w:sz="4" w:space="0" w:color="auto"/>
            </w:tcBorders>
            <w:vAlign w:val="center"/>
          </w:tcPr>
          <w:p w14:paraId="1EE8F6C0" w14:textId="77777777" w:rsidR="00E41E6D" w:rsidRPr="00465DC4" w:rsidRDefault="00E41E6D" w:rsidP="00DE2BCA">
            <w:pPr>
              <w:widowControl w:val="0"/>
              <w:tabs>
                <w:tab w:val="left" w:pos="426"/>
                <w:tab w:val="left" w:pos="851"/>
              </w:tabs>
              <w:rPr>
                <w:rFonts w:ascii="Tahoma" w:eastAsiaTheme="minorHAnsi" w:hAnsi="Tahoma" w:cs="Tahoma"/>
                <w:b/>
                <w:color w:val="000000"/>
                <w:sz w:val="18"/>
                <w:szCs w:val="18"/>
                <w:lang w:eastAsia="en-US"/>
              </w:rPr>
            </w:pPr>
            <w:r w:rsidRPr="00465DC4">
              <w:rPr>
                <w:rFonts w:ascii="Tahoma" w:eastAsiaTheme="minorHAnsi" w:hAnsi="Tahoma" w:cs="Tahoma"/>
                <w:b/>
                <w:color w:val="000000"/>
                <w:sz w:val="18"/>
                <w:szCs w:val="18"/>
                <w:lang w:eastAsia="en-US"/>
              </w:rPr>
              <w:t>Подсудность споров по искам Кредитора к Заемщику</w:t>
            </w:r>
          </w:p>
        </w:tc>
        <w:tc>
          <w:tcPr>
            <w:tcW w:w="11369" w:type="dxa"/>
            <w:gridSpan w:val="2"/>
            <w:tcBorders>
              <w:top w:val="single" w:sz="4" w:space="0" w:color="auto"/>
              <w:left w:val="nil"/>
              <w:bottom w:val="single" w:sz="4" w:space="0" w:color="auto"/>
              <w:right w:val="single" w:sz="8" w:space="0" w:color="000000"/>
            </w:tcBorders>
            <w:noWrap/>
            <w:vAlign w:val="center"/>
          </w:tcPr>
          <w:p w14:paraId="6A4EDB92" w14:textId="77777777" w:rsidR="00E41E6D" w:rsidRPr="00465DC4" w:rsidRDefault="00E41E6D" w:rsidP="00DE2BCA">
            <w:pPr>
              <w:widowControl w:val="0"/>
              <w:tabs>
                <w:tab w:val="left" w:pos="426"/>
                <w:tab w:val="left" w:pos="851"/>
              </w:tabs>
              <w:jc w:val="both"/>
              <w:rPr>
                <w:rFonts w:ascii="Tahoma" w:eastAsiaTheme="minorHAnsi" w:hAnsi="Tahoma" w:cs="Tahoma"/>
                <w:color w:val="000000"/>
                <w:sz w:val="18"/>
                <w:szCs w:val="18"/>
                <w:lang w:eastAsia="en-US"/>
              </w:rPr>
            </w:pPr>
            <w:r w:rsidRPr="00465DC4">
              <w:rPr>
                <w:rFonts w:ascii="Tahoma" w:eastAsiaTheme="minorHAnsi" w:hAnsi="Tahoma" w:cs="Tahoma"/>
                <w:color w:val="000000"/>
                <w:sz w:val="18"/>
                <w:szCs w:val="18"/>
                <w:lang w:eastAsia="en-US"/>
              </w:rPr>
              <w:t>Все споры по Договору по искам Банка к Заемщику рассматриваются в порядке, установленном законодательством РФ.</w:t>
            </w:r>
          </w:p>
          <w:p w14:paraId="6E4A563D" w14:textId="77777777" w:rsidR="00E41E6D" w:rsidRPr="00465DC4" w:rsidRDefault="00E41E6D" w:rsidP="00DE2BCA">
            <w:pPr>
              <w:widowControl w:val="0"/>
              <w:tabs>
                <w:tab w:val="left" w:pos="426"/>
                <w:tab w:val="left" w:pos="851"/>
              </w:tabs>
              <w:rPr>
                <w:rFonts w:ascii="Tahoma" w:eastAsiaTheme="minorHAnsi" w:hAnsi="Tahoma" w:cs="Tahoma"/>
                <w:color w:val="000000"/>
                <w:sz w:val="18"/>
                <w:szCs w:val="18"/>
                <w:lang w:eastAsia="en-US"/>
              </w:rPr>
            </w:pPr>
            <w:r w:rsidRPr="00465DC4">
              <w:rPr>
                <w:rFonts w:ascii="Tahoma" w:eastAsiaTheme="minorHAnsi" w:hAnsi="Tahoma" w:cs="Tahoma"/>
                <w:color w:val="000000"/>
                <w:sz w:val="18"/>
                <w:szCs w:val="18"/>
                <w:lang w:eastAsia="en-US"/>
              </w:rPr>
              <w:t>Взыскание задолженности по Договору может производиться по исполнительной надписи нотариуса, совершаемой на основании заявления Банка.</w:t>
            </w:r>
          </w:p>
        </w:tc>
      </w:tr>
      <w:tr w:rsidR="00E41E6D" w:rsidRPr="00465DC4" w14:paraId="3A6776FB" w14:textId="77777777" w:rsidTr="00DE2BC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60"/>
        </w:trPr>
        <w:tc>
          <w:tcPr>
            <w:tcW w:w="3970" w:type="dxa"/>
            <w:tcBorders>
              <w:top w:val="single" w:sz="4" w:space="0" w:color="auto"/>
              <w:left w:val="single" w:sz="8" w:space="0" w:color="auto"/>
              <w:bottom w:val="single" w:sz="4" w:space="0" w:color="auto"/>
              <w:right w:val="single" w:sz="4" w:space="0" w:color="auto"/>
            </w:tcBorders>
            <w:vAlign w:val="center"/>
          </w:tcPr>
          <w:p w14:paraId="5DF4EB91" w14:textId="77777777" w:rsidR="00E41E6D" w:rsidRPr="00465DC4" w:rsidRDefault="00E41E6D" w:rsidP="00DE2BCA">
            <w:pPr>
              <w:widowControl w:val="0"/>
              <w:tabs>
                <w:tab w:val="left" w:pos="426"/>
                <w:tab w:val="left" w:pos="851"/>
              </w:tabs>
              <w:rPr>
                <w:rFonts w:ascii="Tahoma" w:eastAsiaTheme="minorHAnsi" w:hAnsi="Tahoma" w:cs="Tahoma"/>
                <w:b/>
                <w:color w:val="000000"/>
                <w:sz w:val="18"/>
                <w:szCs w:val="18"/>
                <w:lang w:eastAsia="en-US"/>
              </w:rPr>
            </w:pPr>
            <w:r w:rsidRPr="00465DC4">
              <w:rPr>
                <w:rFonts w:ascii="Tahoma" w:eastAsiaTheme="minorHAnsi" w:hAnsi="Tahoma" w:cs="Tahoma"/>
                <w:b/>
                <w:color w:val="000000"/>
                <w:sz w:val="18"/>
                <w:szCs w:val="18"/>
                <w:lang w:eastAsia="en-US"/>
              </w:rPr>
              <w:t xml:space="preserve">Виды и суммы иных платежей Заемщика по Договору </w:t>
            </w:r>
          </w:p>
        </w:tc>
        <w:tc>
          <w:tcPr>
            <w:tcW w:w="11369" w:type="dxa"/>
            <w:gridSpan w:val="2"/>
            <w:tcBorders>
              <w:top w:val="single" w:sz="4" w:space="0" w:color="auto"/>
              <w:left w:val="nil"/>
              <w:bottom w:val="single" w:sz="4" w:space="0" w:color="auto"/>
              <w:right w:val="single" w:sz="8" w:space="0" w:color="000000"/>
            </w:tcBorders>
            <w:noWrap/>
            <w:vAlign w:val="center"/>
          </w:tcPr>
          <w:p w14:paraId="17FE0653" w14:textId="77777777" w:rsidR="00E41E6D" w:rsidRPr="00465DC4" w:rsidRDefault="00E41E6D" w:rsidP="00DE2BCA">
            <w:pPr>
              <w:widowControl w:val="0"/>
              <w:tabs>
                <w:tab w:val="left" w:pos="426"/>
                <w:tab w:val="left" w:pos="851"/>
              </w:tabs>
              <w:jc w:val="both"/>
              <w:rPr>
                <w:rFonts w:ascii="Tahoma" w:eastAsiaTheme="minorHAnsi" w:hAnsi="Tahoma" w:cs="Tahoma"/>
                <w:sz w:val="18"/>
                <w:szCs w:val="18"/>
                <w:lang w:eastAsia="en-US"/>
              </w:rPr>
            </w:pPr>
            <w:r w:rsidRPr="00465DC4">
              <w:rPr>
                <w:rFonts w:ascii="Tahoma" w:eastAsiaTheme="minorHAnsi" w:hAnsi="Tahoma" w:cs="Tahoma"/>
                <w:sz w:val="18"/>
                <w:szCs w:val="18"/>
                <w:lang w:eastAsia="en-US"/>
              </w:rPr>
              <w:t xml:space="preserve">Иные обязательные платежи по Договору отсутствуют. </w:t>
            </w:r>
          </w:p>
          <w:p w14:paraId="0745602B" w14:textId="77777777" w:rsidR="00E41E6D" w:rsidRPr="00465DC4" w:rsidRDefault="00E41E6D" w:rsidP="00DE2BCA">
            <w:pPr>
              <w:widowControl w:val="0"/>
              <w:tabs>
                <w:tab w:val="left" w:pos="426"/>
                <w:tab w:val="left" w:pos="851"/>
              </w:tabs>
              <w:jc w:val="both"/>
              <w:rPr>
                <w:rFonts w:ascii="Tahoma" w:eastAsiaTheme="minorHAnsi" w:hAnsi="Tahoma" w:cs="Tahoma"/>
                <w:sz w:val="18"/>
                <w:szCs w:val="18"/>
                <w:lang w:eastAsia="en-US"/>
              </w:rPr>
            </w:pPr>
          </w:p>
          <w:p w14:paraId="0B870613" w14:textId="77777777" w:rsidR="00E41E6D" w:rsidRPr="00465DC4" w:rsidRDefault="00E41E6D" w:rsidP="00DE2BCA">
            <w:pPr>
              <w:widowControl w:val="0"/>
              <w:tabs>
                <w:tab w:val="left" w:pos="426"/>
                <w:tab w:val="left" w:pos="851"/>
              </w:tabs>
              <w:jc w:val="both"/>
              <w:rPr>
                <w:rFonts w:ascii="Tahoma" w:eastAsiaTheme="minorHAnsi" w:hAnsi="Tahoma" w:cs="Tahoma"/>
                <w:sz w:val="18"/>
                <w:szCs w:val="18"/>
                <w:lang w:eastAsia="en-US"/>
              </w:rPr>
            </w:pPr>
            <w:r w:rsidRPr="00465DC4">
              <w:rPr>
                <w:rFonts w:ascii="Tahoma" w:eastAsiaTheme="minorHAnsi" w:hAnsi="Tahoma" w:cs="Tahoma"/>
                <w:sz w:val="18"/>
                <w:szCs w:val="18"/>
                <w:lang w:eastAsia="en-US"/>
              </w:rPr>
              <w:t xml:space="preserve">При наличии соответствующего волеизъявления Заемщика ему могут быть оказаны Банком услуги, не являющиеся обязательными для заключения или исполнения Договора, плата за которые предусмотрена Тарифами Банка </w:t>
            </w:r>
          </w:p>
          <w:p w14:paraId="5600C012" w14:textId="77777777" w:rsidR="00E41E6D" w:rsidRPr="00465DC4" w:rsidRDefault="00E41E6D" w:rsidP="00DE2BCA">
            <w:pPr>
              <w:widowControl w:val="0"/>
              <w:tabs>
                <w:tab w:val="left" w:pos="426"/>
                <w:tab w:val="left" w:pos="851"/>
              </w:tabs>
              <w:jc w:val="both"/>
              <w:rPr>
                <w:rFonts w:ascii="Tahoma" w:eastAsiaTheme="minorHAnsi" w:hAnsi="Tahoma" w:cs="Tahoma"/>
                <w:sz w:val="18"/>
                <w:szCs w:val="18"/>
                <w:lang w:eastAsia="en-US"/>
              </w:rPr>
            </w:pPr>
            <w:r w:rsidRPr="00465DC4">
              <w:rPr>
                <w:rFonts w:ascii="Tahoma" w:eastAsiaTheme="minorHAnsi" w:hAnsi="Tahoma" w:cs="Tahoma"/>
                <w:sz w:val="18"/>
                <w:szCs w:val="18"/>
                <w:lang w:eastAsia="en-US"/>
              </w:rPr>
              <w:t xml:space="preserve">( </w:t>
            </w:r>
            <w:hyperlink r:id="rId41" w:history="1">
              <w:r w:rsidRPr="00465DC4">
                <w:rPr>
                  <w:rFonts w:ascii="Tahoma" w:eastAsiaTheme="minorHAnsi" w:hAnsi="Tahoma" w:cs="Tahoma"/>
                  <w:color w:val="0000FF" w:themeColor="hyperlink"/>
                  <w:sz w:val="18"/>
                  <w:szCs w:val="18"/>
                  <w:u w:val="single"/>
                  <w:lang w:eastAsia="en-US"/>
                </w:rPr>
                <w:t>https://www.atb.su/general-information/tariff-book/</w:t>
              </w:r>
            </w:hyperlink>
            <w:r w:rsidRPr="00465DC4">
              <w:rPr>
                <w:rFonts w:ascii="Tahoma" w:eastAsiaTheme="minorHAnsi" w:hAnsi="Tahoma" w:cs="Tahoma"/>
                <w:sz w:val="18"/>
                <w:szCs w:val="18"/>
                <w:lang w:eastAsia="en-US"/>
              </w:rPr>
              <w:t xml:space="preserve"> ). Оказание услуги Банком производится в случае выражения Заемщиком волеизъявления на пользование определенной услугой. Оплата услуг должна быть произведена до момента оказания Банком услуг.</w:t>
            </w:r>
          </w:p>
          <w:p w14:paraId="75D56314" w14:textId="77777777" w:rsidR="00E41E6D" w:rsidRPr="00465DC4" w:rsidRDefault="00E41E6D" w:rsidP="00DE2BCA">
            <w:pPr>
              <w:widowControl w:val="0"/>
              <w:tabs>
                <w:tab w:val="left" w:pos="426"/>
                <w:tab w:val="left" w:pos="851"/>
              </w:tabs>
              <w:jc w:val="both"/>
              <w:rPr>
                <w:rFonts w:ascii="Tahoma" w:eastAsiaTheme="minorHAnsi" w:hAnsi="Tahoma" w:cs="Tahoma"/>
                <w:sz w:val="18"/>
                <w:szCs w:val="18"/>
                <w:lang w:eastAsia="en-US"/>
              </w:rPr>
            </w:pPr>
          </w:p>
          <w:p w14:paraId="1646EFBA" w14:textId="77777777" w:rsidR="00E41E6D" w:rsidRPr="00465DC4" w:rsidRDefault="00E41E6D" w:rsidP="00DE2BCA">
            <w:pPr>
              <w:widowControl w:val="0"/>
              <w:tabs>
                <w:tab w:val="left" w:pos="426"/>
                <w:tab w:val="left" w:pos="851"/>
              </w:tabs>
              <w:jc w:val="both"/>
              <w:rPr>
                <w:rFonts w:ascii="Tahoma" w:eastAsiaTheme="minorHAnsi" w:hAnsi="Tahoma" w:cs="Tahoma"/>
                <w:sz w:val="18"/>
                <w:szCs w:val="18"/>
                <w:lang w:eastAsia="en-US"/>
              </w:rPr>
            </w:pPr>
            <w:r w:rsidRPr="00465DC4">
              <w:rPr>
                <w:rFonts w:ascii="Tahoma" w:eastAsiaTheme="minorHAnsi" w:hAnsi="Tahoma" w:cs="Tahoma"/>
                <w:sz w:val="18"/>
                <w:szCs w:val="18"/>
                <w:lang w:eastAsia="en-US"/>
              </w:rPr>
              <w:t>Платеж за выдачу дубликата или восстановление утерянного Договора, договоров обеспечения в размере 10 000 рублей за один Договор.</w:t>
            </w:r>
          </w:p>
        </w:tc>
      </w:tr>
      <w:tr w:rsidR="00E41E6D" w:rsidRPr="00465DC4" w14:paraId="572E67A9" w14:textId="77777777" w:rsidTr="00DE2BC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865"/>
        </w:trPr>
        <w:tc>
          <w:tcPr>
            <w:tcW w:w="3970" w:type="dxa"/>
            <w:tcBorders>
              <w:top w:val="single" w:sz="4" w:space="0" w:color="auto"/>
              <w:left w:val="single" w:sz="8" w:space="0" w:color="auto"/>
              <w:right w:val="single" w:sz="4" w:space="0" w:color="auto"/>
            </w:tcBorders>
          </w:tcPr>
          <w:p w14:paraId="2E4C4ECE" w14:textId="77777777" w:rsidR="00E41E6D" w:rsidRPr="00465DC4" w:rsidRDefault="00E41E6D" w:rsidP="00DE2BCA">
            <w:pPr>
              <w:widowControl w:val="0"/>
              <w:tabs>
                <w:tab w:val="left" w:pos="426"/>
                <w:tab w:val="left" w:pos="851"/>
              </w:tabs>
              <w:rPr>
                <w:rFonts w:ascii="Tahoma" w:eastAsiaTheme="minorHAnsi" w:hAnsi="Tahoma" w:cs="Tahoma"/>
                <w:b/>
                <w:color w:val="000000"/>
                <w:sz w:val="18"/>
                <w:szCs w:val="18"/>
                <w:lang w:eastAsia="en-US"/>
              </w:rPr>
            </w:pPr>
            <w:r w:rsidRPr="00465DC4">
              <w:rPr>
                <w:rFonts w:ascii="Tahoma" w:hAnsi="Tahoma" w:cs="Tahoma"/>
                <w:b/>
                <w:bCs/>
                <w:sz w:val="18"/>
                <w:szCs w:val="18"/>
              </w:rPr>
              <w:lastRenderedPageBreak/>
              <w:t>Перевод денежных средств с ТБС, используемого для выдачи кредита, в другую кредитную организацию</w:t>
            </w:r>
          </w:p>
        </w:tc>
        <w:tc>
          <w:tcPr>
            <w:tcW w:w="11369" w:type="dxa"/>
            <w:gridSpan w:val="2"/>
            <w:tcBorders>
              <w:top w:val="single" w:sz="4" w:space="0" w:color="auto"/>
              <w:left w:val="nil"/>
              <w:right w:val="single" w:sz="8" w:space="0" w:color="000000"/>
            </w:tcBorders>
            <w:noWrap/>
          </w:tcPr>
          <w:p w14:paraId="40780396" w14:textId="77777777" w:rsidR="00E41E6D" w:rsidRPr="00465DC4" w:rsidRDefault="00E41E6D" w:rsidP="00DE2BCA">
            <w:pPr>
              <w:widowControl w:val="0"/>
              <w:tabs>
                <w:tab w:val="left" w:pos="426"/>
                <w:tab w:val="left" w:pos="851"/>
              </w:tabs>
              <w:jc w:val="center"/>
              <w:rPr>
                <w:rFonts w:ascii="Tahoma" w:eastAsiaTheme="minorHAnsi" w:hAnsi="Tahoma" w:cs="Tahoma"/>
                <w:sz w:val="18"/>
                <w:szCs w:val="18"/>
                <w:lang w:eastAsia="en-US"/>
              </w:rPr>
            </w:pPr>
            <w:r w:rsidRPr="00465DC4">
              <w:rPr>
                <w:rFonts w:ascii="Tahoma" w:hAnsi="Tahoma" w:cs="Tahoma"/>
                <w:sz w:val="18"/>
                <w:szCs w:val="18"/>
              </w:rPr>
              <w:t>Не применимо</w:t>
            </w:r>
          </w:p>
        </w:tc>
      </w:tr>
      <w:tr w:rsidR="00E41E6D" w:rsidRPr="00465DC4" w14:paraId="1F636254" w14:textId="77777777" w:rsidTr="00DE2BCA">
        <w:tblPrEx>
          <w:tblLook w:val="00A0" w:firstRow="1" w:lastRow="0" w:firstColumn="1" w:lastColumn="0" w:noHBand="0" w:noVBand="0"/>
        </w:tblPrEx>
        <w:trPr>
          <w:trHeight w:val="101"/>
        </w:trPr>
        <w:tc>
          <w:tcPr>
            <w:tcW w:w="3970" w:type="dxa"/>
            <w:tcBorders>
              <w:top w:val="single" w:sz="4" w:space="0" w:color="auto"/>
              <w:left w:val="single" w:sz="8" w:space="0" w:color="auto"/>
              <w:bottom w:val="single" w:sz="4" w:space="0" w:color="auto"/>
              <w:right w:val="single" w:sz="4" w:space="0" w:color="000000"/>
            </w:tcBorders>
            <w:vAlign w:val="center"/>
          </w:tcPr>
          <w:p w14:paraId="2A4B93E4" w14:textId="77777777" w:rsidR="00E41E6D" w:rsidRPr="00465DC4" w:rsidRDefault="00E41E6D" w:rsidP="00DE2BCA">
            <w:pPr>
              <w:widowControl w:val="0"/>
              <w:tabs>
                <w:tab w:val="left" w:pos="426"/>
                <w:tab w:val="left" w:pos="851"/>
              </w:tabs>
              <w:jc w:val="both"/>
              <w:rPr>
                <w:rFonts w:ascii="Tahoma" w:eastAsiaTheme="minorHAnsi" w:hAnsi="Tahoma" w:cs="Tahoma"/>
                <w:b/>
                <w:color w:val="000000"/>
                <w:sz w:val="18"/>
                <w:szCs w:val="18"/>
                <w:lang w:eastAsia="en-US"/>
              </w:rPr>
            </w:pPr>
            <w:r w:rsidRPr="00465DC4">
              <w:rPr>
                <w:rFonts w:ascii="Tahoma" w:eastAsiaTheme="minorHAnsi" w:hAnsi="Tahoma" w:cs="Tahoma"/>
                <w:b/>
                <w:sz w:val="18"/>
                <w:szCs w:val="18"/>
                <w:lang w:eastAsia="en-US"/>
              </w:rPr>
              <w:t>Порядок определения курса иностранной валюты при переводе денежных средств Банком третьему лицу, указанному Заемщиком</w:t>
            </w:r>
          </w:p>
        </w:tc>
        <w:tc>
          <w:tcPr>
            <w:tcW w:w="11369" w:type="dxa"/>
            <w:gridSpan w:val="2"/>
            <w:tcBorders>
              <w:top w:val="single" w:sz="4" w:space="0" w:color="auto"/>
              <w:left w:val="nil"/>
              <w:bottom w:val="single" w:sz="4" w:space="0" w:color="auto"/>
              <w:right w:val="single" w:sz="8" w:space="0" w:color="000000"/>
            </w:tcBorders>
            <w:vAlign w:val="center"/>
          </w:tcPr>
          <w:p w14:paraId="30754EF9" w14:textId="77777777" w:rsidR="00E41E6D" w:rsidRPr="00465DC4" w:rsidRDefault="00E41E6D" w:rsidP="00DE2BCA">
            <w:pPr>
              <w:widowControl w:val="0"/>
              <w:tabs>
                <w:tab w:val="left" w:pos="426"/>
                <w:tab w:val="left" w:pos="851"/>
              </w:tabs>
              <w:rPr>
                <w:rFonts w:ascii="Tahoma" w:eastAsiaTheme="minorHAnsi" w:hAnsi="Tahoma" w:cs="Tahoma"/>
                <w:color w:val="000000"/>
                <w:sz w:val="18"/>
                <w:szCs w:val="18"/>
                <w:lang w:eastAsia="en-US"/>
              </w:rPr>
            </w:pPr>
            <w:r w:rsidRPr="00465DC4">
              <w:rPr>
                <w:rFonts w:ascii="Tahoma" w:eastAsiaTheme="minorHAnsi" w:hAnsi="Tahoma" w:cs="Tahoma"/>
                <w:color w:val="000000"/>
                <w:sz w:val="18"/>
                <w:szCs w:val="18"/>
                <w:lang w:eastAsia="en-US"/>
              </w:rPr>
              <w:t>Не применимо</w:t>
            </w:r>
          </w:p>
        </w:tc>
      </w:tr>
      <w:tr w:rsidR="00E41E6D" w:rsidRPr="00465DC4" w14:paraId="56C0CBFA" w14:textId="77777777" w:rsidTr="00DE2BCA">
        <w:tblPrEx>
          <w:tblLook w:val="00A0" w:firstRow="1" w:lastRow="0" w:firstColumn="1" w:lastColumn="0" w:noHBand="0" w:noVBand="0"/>
        </w:tblPrEx>
        <w:trPr>
          <w:trHeight w:val="101"/>
        </w:trPr>
        <w:tc>
          <w:tcPr>
            <w:tcW w:w="3970" w:type="dxa"/>
            <w:tcBorders>
              <w:top w:val="single" w:sz="4" w:space="0" w:color="auto"/>
              <w:left w:val="single" w:sz="8" w:space="0" w:color="auto"/>
              <w:bottom w:val="single" w:sz="4" w:space="0" w:color="auto"/>
              <w:right w:val="single" w:sz="4" w:space="0" w:color="000000"/>
            </w:tcBorders>
            <w:vAlign w:val="center"/>
          </w:tcPr>
          <w:p w14:paraId="42BFE903" w14:textId="77777777" w:rsidR="00E41E6D" w:rsidRPr="00465DC4" w:rsidRDefault="00E41E6D" w:rsidP="00DE2BCA">
            <w:pPr>
              <w:widowControl w:val="0"/>
              <w:tabs>
                <w:tab w:val="left" w:pos="426"/>
                <w:tab w:val="left" w:pos="851"/>
              </w:tabs>
              <w:rPr>
                <w:rFonts w:ascii="Tahoma" w:eastAsiaTheme="minorHAnsi" w:hAnsi="Tahoma" w:cs="Tahoma"/>
                <w:b/>
                <w:color w:val="000000"/>
                <w:sz w:val="18"/>
                <w:szCs w:val="18"/>
                <w:lang w:eastAsia="en-US"/>
              </w:rPr>
            </w:pPr>
            <w:r w:rsidRPr="00465DC4">
              <w:rPr>
                <w:rFonts w:ascii="Tahoma" w:eastAsiaTheme="minorHAnsi" w:hAnsi="Tahoma" w:cs="Tahoma"/>
                <w:b/>
                <w:color w:val="000000"/>
                <w:sz w:val="18"/>
                <w:szCs w:val="18"/>
                <w:lang w:eastAsia="en-US"/>
              </w:rPr>
              <w:t>Информация о возможном увеличении суммы расходов заемщика по сравнению с ожидаемой суммой расходов в рублях, в том числе при применении переменной процентной ставки, а также информация о том, что изменение курса иностранной валюты в прошлом не свидетельствует об изменении ее курса в будущем, и информация о повышенных рисках Заемщика, получающего доходы в валюте, отличной от валюты кредита</w:t>
            </w:r>
          </w:p>
        </w:tc>
        <w:tc>
          <w:tcPr>
            <w:tcW w:w="11369" w:type="dxa"/>
            <w:gridSpan w:val="2"/>
            <w:tcBorders>
              <w:top w:val="single" w:sz="4" w:space="0" w:color="auto"/>
              <w:left w:val="nil"/>
              <w:bottom w:val="single" w:sz="4" w:space="0" w:color="auto"/>
              <w:right w:val="single" w:sz="8" w:space="0" w:color="000000"/>
            </w:tcBorders>
            <w:vAlign w:val="center"/>
          </w:tcPr>
          <w:p w14:paraId="575AF048" w14:textId="77777777" w:rsidR="00E41E6D" w:rsidRPr="00465DC4" w:rsidRDefault="00E41E6D" w:rsidP="00DE2BCA">
            <w:pPr>
              <w:widowControl w:val="0"/>
              <w:tabs>
                <w:tab w:val="left" w:pos="426"/>
                <w:tab w:val="left" w:pos="851"/>
              </w:tabs>
              <w:rPr>
                <w:rFonts w:ascii="Tahoma" w:eastAsiaTheme="minorHAnsi" w:hAnsi="Tahoma" w:cs="Tahoma"/>
                <w:color w:val="000000"/>
                <w:sz w:val="18"/>
                <w:szCs w:val="18"/>
                <w:lang w:eastAsia="en-US"/>
              </w:rPr>
            </w:pPr>
            <w:r w:rsidRPr="00465DC4">
              <w:rPr>
                <w:rFonts w:ascii="Tahoma" w:eastAsiaTheme="minorHAnsi" w:hAnsi="Tahoma" w:cs="Tahoma"/>
                <w:color w:val="000000"/>
                <w:sz w:val="18"/>
                <w:szCs w:val="18"/>
                <w:lang w:eastAsia="en-US"/>
              </w:rPr>
              <w:t>Переменная процентная ставка не применяется в Договоре. Кредит предоставляется в рублях, вместе с тем, Заемщикам, получающим доход в иностранной валюте следует помнить, что изменение курса иностранной валюты в прошлом не свидетельствует об изменении ее курса в будущем, в связи с чем, такие Заемщики несут повышенные риски в связи с получением доходов в иностранной валюте.</w:t>
            </w:r>
          </w:p>
        </w:tc>
      </w:tr>
      <w:tr w:rsidR="00E41E6D" w:rsidRPr="00465DC4" w14:paraId="7BD811E2" w14:textId="77777777" w:rsidTr="00DE2BCA">
        <w:tblPrEx>
          <w:tblLook w:val="00A0" w:firstRow="1" w:lastRow="0" w:firstColumn="1" w:lastColumn="0" w:noHBand="0" w:noVBand="0"/>
        </w:tblPrEx>
        <w:trPr>
          <w:trHeight w:val="101"/>
        </w:trPr>
        <w:tc>
          <w:tcPr>
            <w:tcW w:w="3970" w:type="dxa"/>
            <w:tcBorders>
              <w:top w:val="single" w:sz="4" w:space="0" w:color="auto"/>
              <w:left w:val="single" w:sz="8" w:space="0" w:color="auto"/>
              <w:bottom w:val="single" w:sz="4" w:space="0" w:color="auto"/>
              <w:right w:val="single" w:sz="4" w:space="0" w:color="000000"/>
            </w:tcBorders>
            <w:vAlign w:val="center"/>
          </w:tcPr>
          <w:p w14:paraId="3D5E1D26" w14:textId="77777777" w:rsidR="00E41E6D" w:rsidRPr="00465DC4" w:rsidRDefault="00E41E6D" w:rsidP="00DE2BCA">
            <w:pPr>
              <w:widowControl w:val="0"/>
              <w:tabs>
                <w:tab w:val="left" w:pos="426"/>
                <w:tab w:val="left" w:pos="851"/>
              </w:tabs>
              <w:rPr>
                <w:rFonts w:ascii="Tahoma" w:eastAsiaTheme="minorHAnsi" w:hAnsi="Tahoma" w:cs="Tahoma"/>
                <w:b/>
                <w:color w:val="000000"/>
                <w:sz w:val="18"/>
                <w:szCs w:val="18"/>
                <w:lang w:eastAsia="en-US"/>
              </w:rPr>
            </w:pPr>
            <w:r w:rsidRPr="00465DC4">
              <w:rPr>
                <w:rFonts w:ascii="Tahoma" w:eastAsiaTheme="minorHAnsi" w:hAnsi="Tahoma" w:cs="Tahoma"/>
                <w:b/>
                <w:color w:val="000000"/>
                <w:sz w:val="18"/>
                <w:szCs w:val="18"/>
                <w:lang w:eastAsia="en-US"/>
              </w:rPr>
              <w:t xml:space="preserve">Формуляры или иные стандартные формы, в которых определены общие условия Договора «Потребительский Кредит» </w:t>
            </w:r>
          </w:p>
        </w:tc>
        <w:tc>
          <w:tcPr>
            <w:tcW w:w="11369" w:type="dxa"/>
            <w:gridSpan w:val="2"/>
            <w:tcBorders>
              <w:top w:val="single" w:sz="4" w:space="0" w:color="auto"/>
              <w:left w:val="nil"/>
              <w:bottom w:val="single" w:sz="4" w:space="0" w:color="auto"/>
              <w:right w:val="single" w:sz="8" w:space="0" w:color="000000"/>
            </w:tcBorders>
            <w:vAlign w:val="center"/>
          </w:tcPr>
          <w:p w14:paraId="5E9100C9" w14:textId="77777777" w:rsidR="00E41E6D" w:rsidRPr="00465DC4" w:rsidRDefault="00E41E6D" w:rsidP="00DE2BCA">
            <w:pPr>
              <w:widowControl w:val="0"/>
              <w:tabs>
                <w:tab w:val="left" w:pos="426"/>
                <w:tab w:val="left" w:pos="851"/>
              </w:tabs>
              <w:rPr>
                <w:rFonts w:ascii="Tahoma" w:eastAsiaTheme="minorHAnsi" w:hAnsi="Tahoma" w:cs="Tahoma"/>
                <w:sz w:val="18"/>
                <w:szCs w:val="18"/>
                <w:lang w:eastAsia="en-US"/>
              </w:rPr>
            </w:pPr>
            <w:r w:rsidRPr="00465DC4">
              <w:rPr>
                <w:rFonts w:ascii="Tahoma" w:eastAsiaTheme="minorHAnsi" w:hAnsi="Tahoma" w:cs="Tahoma"/>
                <w:sz w:val="18"/>
                <w:szCs w:val="18"/>
                <w:lang w:eastAsia="en-US"/>
              </w:rPr>
              <w:t>Общие условия Договора «Потребительский кредит»  закреплены в «Общих условиях потребительского кредитования в «Азиатско-Тихоокеанский Банк» (АО), являющихся Приложением 3 к Универсальному договору банковского обслуживания в «Азиатско-Тихоокеанский Банк» (АО), размещённых в местах приема заявлений на предоставление потребительского кредита (в отделениях Банка и иных местах приема заявлений на предоставление потребительского кредита), на сайте Банка в сети Интернет по адресу www.atb.su и могут быть предоставлены Заемщику по его требованию на бумажном носителе.</w:t>
            </w:r>
          </w:p>
        </w:tc>
      </w:tr>
      <w:tr w:rsidR="00E41E6D" w:rsidRPr="00465DC4" w14:paraId="701FFB8D" w14:textId="77777777" w:rsidTr="00DE2BCA">
        <w:tblPrEx>
          <w:tblLook w:val="00A0" w:firstRow="1" w:lastRow="0" w:firstColumn="1" w:lastColumn="0" w:noHBand="0" w:noVBand="0"/>
        </w:tblPrEx>
        <w:trPr>
          <w:trHeight w:val="101"/>
        </w:trPr>
        <w:tc>
          <w:tcPr>
            <w:tcW w:w="3970" w:type="dxa"/>
            <w:tcBorders>
              <w:top w:val="single" w:sz="4" w:space="0" w:color="auto"/>
              <w:left w:val="single" w:sz="8" w:space="0" w:color="auto"/>
              <w:bottom w:val="single" w:sz="4" w:space="0" w:color="auto"/>
              <w:right w:val="single" w:sz="4" w:space="0" w:color="000000"/>
            </w:tcBorders>
            <w:vAlign w:val="center"/>
          </w:tcPr>
          <w:p w14:paraId="2B32F667" w14:textId="77777777" w:rsidR="00E41E6D" w:rsidRPr="00465DC4" w:rsidRDefault="00E41E6D" w:rsidP="00DE2BCA">
            <w:pPr>
              <w:widowControl w:val="0"/>
              <w:tabs>
                <w:tab w:val="left" w:pos="426"/>
                <w:tab w:val="left" w:pos="851"/>
              </w:tabs>
              <w:rPr>
                <w:rFonts w:ascii="Tahoma" w:eastAsiaTheme="minorHAnsi" w:hAnsi="Tahoma" w:cs="Tahoma"/>
                <w:b/>
                <w:color w:val="000000"/>
                <w:sz w:val="18"/>
                <w:szCs w:val="18"/>
                <w:lang w:eastAsia="en-US"/>
              </w:rPr>
            </w:pPr>
            <w:r w:rsidRPr="00465DC4">
              <w:rPr>
                <w:rFonts w:ascii="Tahoma" w:eastAsiaTheme="minorHAnsi" w:hAnsi="Tahoma" w:cs="Tahoma"/>
                <w:b/>
                <w:color w:val="000000"/>
                <w:sz w:val="18"/>
                <w:szCs w:val="18"/>
                <w:lang w:eastAsia="en-US"/>
              </w:rPr>
              <w:t>Право заемщика обратиться к кредитору с требованием, предусмотренным частью 1 статьи 6.1-2 Федерального закона от 21.12.2013 № 353-ФЗ «О потребительском кредите (займе)», и об условиях, при наступлении которых у заемщика возникает соответствующее право.</w:t>
            </w:r>
          </w:p>
        </w:tc>
        <w:tc>
          <w:tcPr>
            <w:tcW w:w="11369" w:type="dxa"/>
            <w:gridSpan w:val="2"/>
            <w:tcBorders>
              <w:top w:val="single" w:sz="4" w:space="0" w:color="auto"/>
              <w:left w:val="nil"/>
              <w:bottom w:val="single" w:sz="4" w:space="0" w:color="auto"/>
              <w:right w:val="single" w:sz="8" w:space="0" w:color="000000"/>
            </w:tcBorders>
            <w:vAlign w:val="center"/>
          </w:tcPr>
          <w:p w14:paraId="5D238517" w14:textId="77777777" w:rsidR="00E41E6D" w:rsidRPr="00465DC4" w:rsidRDefault="00E41E6D" w:rsidP="00DE2BCA">
            <w:pPr>
              <w:widowControl w:val="0"/>
              <w:tabs>
                <w:tab w:val="left" w:pos="426"/>
                <w:tab w:val="left" w:pos="851"/>
              </w:tabs>
              <w:rPr>
                <w:rFonts w:ascii="Tahoma" w:eastAsiaTheme="minorHAnsi" w:hAnsi="Tahoma" w:cs="Tahoma"/>
                <w:sz w:val="18"/>
                <w:szCs w:val="18"/>
                <w:lang w:eastAsia="en-US"/>
              </w:rPr>
            </w:pPr>
            <w:r w:rsidRPr="00465DC4">
              <w:rPr>
                <w:rFonts w:ascii="Tahoma" w:eastAsiaTheme="minorHAnsi" w:hAnsi="Tahoma" w:cs="Tahoma"/>
                <w:sz w:val="18"/>
                <w:szCs w:val="18"/>
                <w:lang w:eastAsia="en-US"/>
              </w:rPr>
              <w:t xml:space="preserve">Заемщик в любой момент в течение времени действия Договора, а в случае, указанном в п. 2 ч. 2 ст. 6.1-2 Закона № 353-ФЗ, в течение шестидесяти дней со дня установления соответствующих фактов, вправе обратиться к кредитору с требованием о предоставлении льготного периода, предусматривающего приостановление исполнения Заемщиком своих обязательств по Договору. </w:t>
            </w:r>
          </w:p>
          <w:p w14:paraId="36B59B9F" w14:textId="77777777" w:rsidR="00E41E6D" w:rsidRPr="00465DC4" w:rsidRDefault="00E41E6D" w:rsidP="00DE2BCA">
            <w:pPr>
              <w:widowControl w:val="0"/>
              <w:tabs>
                <w:tab w:val="left" w:pos="426"/>
                <w:tab w:val="left" w:pos="851"/>
              </w:tabs>
              <w:rPr>
                <w:rFonts w:ascii="Tahoma" w:eastAsiaTheme="minorHAnsi" w:hAnsi="Tahoma" w:cs="Tahoma"/>
                <w:sz w:val="18"/>
                <w:szCs w:val="18"/>
                <w:lang w:eastAsia="en-US"/>
              </w:rPr>
            </w:pPr>
            <w:r w:rsidRPr="00465DC4">
              <w:rPr>
                <w:rFonts w:ascii="Tahoma" w:eastAsiaTheme="minorHAnsi" w:hAnsi="Tahoma" w:cs="Tahoma"/>
                <w:sz w:val="18"/>
                <w:szCs w:val="18"/>
                <w:lang w:eastAsia="en-US"/>
              </w:rPr>
              <w:t>С условиями, при наступлении которых у Заемщика возникает такое право, можно ознакомиться в размещаемой Банком информации о кредитных каникулах в рамках 353-ФЗ, в том числе на сайте Банка</w:t>
            </w:r>
            <w:r w:rsidRPr="00465DC4">
              <w:rPr>
                <w:rFonts w:asciiTheme="minorHAnsi" w:eastAsiaTheme="minorHAnsi" w:hAnsiTheme="minorHAnsi" w:cstheme="minorBidi"/>
                <w:sz w:val="22"/>
                <w:szCs w:val="22"/>
                <w:lang w:eastAsia="en-US"/>
              </w:rPr>
              <w:t xml:space="preserve"> </w:t>
            </w:r>
            <w:hyperlink r:id="rId42" w:history="1">
              <w:r w:rsidRPr="00465DC4">
                <w:rPr>
                  <w:rFonts w:ascii="Tahoma" w:eastAsiaTheme="minorHAnsi" w:hAnsi="Tahoma" w:cs="Tahoma"/>
                  <w:color w:val="0000FF" w:themeColor="hyperlink"/>
                  <w:sz w:val="18"/>
                  <w:szCs w:val="18"/>
                  <w:u w:val="single"/>
                  <w:lang w:eastAsia="en-US"/>
                </w:rPr>
                <w:t>https://www.atb.su/customer-care-service/</w:t>
              </w:r>
            </w:hyperlink>
          </w:p>
        </w:tc>
      </w:tr>
      <w:tr w:rsidR="00E41E6D" w:rsidRPr="00465DC4" w14:paraId="7D93FE9F" w14:textId="77777777" w:rsidTr="00DE2BCA">
        <w:tblPrEx>
          <w:tblLook w:val="00A0" w:firstRow="1" w:lastRow="0" w:firstColumn="1" w:lastColumn="0" w:noHBand="0" w:noVBand="0"/>
        </w:tblPrEx>
        <w:trPr>
          <w:trHeight w:val="1221"/>
        </w:trPr>
        <w:tc>
          <w:tcPr>
            <w:tcW w:w="3970" w:type="dxa"/>
            <w:tcBorders>
              <w:top w:val="single" w:sz="4" w:space="0" w:color="auto"/>
              <w:left w:val="single" w:sz="8" w:space="0" w:color="auto"/>
              <w:bottom w:val="single" w:sz="4" w:space="0" w:color="auto"/>
              <w:right w:val="single" w:sz="4" w:space="0" w:color="000000"/>
            </w:tcBorders>
          </w:tcPr>
          <w:p w14:paraId="1602336E" w14:textId="77777777" w:rsidR="00E41E6D" w:rsidRPr="00465DC4" w:rsidRDefault="00E41E6D" w:rsidP="00DE2BCA">
            <w:pPr>
              <w:jc w:val="center"/>
              <w:rPr>
                <w:rFonts w:ascii="Tahoma" w:eastAsiaTheme="minorHAnsi" w:hAnsi="Tahoma" w:cs="Tahoma"/>
                <w:b/>
                <w:sz w:val="18"/>
                <w:szCs w:val="18"/>
                <w:lang w:eastAsia="en-US"/>
              </w:rPr>
            </w:pPr>
            <w:r w:rsidRPr="00465DC4">
              <w:rPr>
                <w:rFonts w:ascii="Tahoma" w:eastAsiaTheme="minorHAnsi" w:hAnsi="Tahoma" w:cs="Tahoma"/>
                <w:b/>
                <w:sz w:val="18"/>
                <w:szCs w:val="18"/>
                <w:lang w:eastAsia="en-US"/>
              </w:rPr>
              <w:t>Примечания</w:t>
            </w:r>
          </w:p>
        </w:tc>
        <w:tc>
          <w:tcPr>
            <w:tcW w:w="11369" w:type="dxa"/>
            <w:gridSpan w:val="2"/>
            <w:tcBorders>
              <w:top w:val="single" w:sz="4" w:space="0" w:color="auto"/>
              <w:left w:val="nil"/>
              <w:bottom w:val="single" w:sz="4" w:space="0" w:color="auto"/>
              <w:right w:val="single" w:sz="8" w:space="0" w:color="000000"/>
            </w:tcBorders>
          </w:tcPr>
          <w:p w14:paraId="6D7BC951" w14:textId="77777777" w:rsidR="00E41E6D" w:rsidRPr="00465DC4" w:rsidRDefault="00E41E6D" w:rsidP="00DE2BCA">
            <w:pPr>
              <w:spacing w:line="276" w:lineRule="auto"/>
              <w:rPr>
                <w:rFonts w:ascii="Tahoma" w:eastAsiaTheme="minorHAnsi" w:hAnsi="Tahoma" w:cs="Tahoma"/>
                <w:sz w:val="18"/>
                <w:szCs w:val="18"/>
                <w:lang w:eastAsia="en-US"/>
              </w:rPr>
            </w:pPr>
            <w:r w:rsidRPr="00465DC4">
              <w:rPr>
                <w:rFonts w:ascii="Tahoma" w:eastAsiaTheme="minorHAnsi" w:hAnsi="Tahoma" w:cs="Tahoma"/>
                <w:sz w:val="18"/>
                <w:szCs w:val="18"/>
                <w:vertAlign w:val="superscript"/>
                <w:lang w:eastAsia="en-US"/>
              </w:rPr>
              <w:t xml:space="preserve">1 </w:t>
            </w:r>
            <w:r w:rsidRPr="00465DC4">
              <w:rPr>
                <w:rFonts w:ascii="Tahoma" w:eastAsiaTheme="minorHAnsi" w:hAnsi="Tahoma" w:cs="Tahoma"/>
                <w:sz w:val="18"/>
                <w:szCs w:val="18"/>
                <w:lang w:eastAsia="en-US"/>
              </w:rPr>
              <w:t xml:space="preserve">- Погашение задолженности по рефинансируемому кредитному договору для исполнения обязательств Заемщика осуществляется в соответствии с требованиями законодательства РФ; </w:t>
            </w:r>
          </w:p>
          <w:p w14:paraId="40E717C5" w14:textId="77777777" w:rsidR="00E41E6D" w:rsidRPr="00465DC4" w:rsidRDefault="00E41E6D" w:rsidP="00DE2BCA">
            <w:pPr>
              <w:spacing w:line="276" w:lineRule="auto"/>
              <w:rPr>
                <w:rFonts w:ascii="Tahoma" w:eastAsiaTheme="minorHAnsi" w:hAnsi="Tahoma" w:cs="Tahoma"/>
                <w:sz w:val="18"/>
                <w:szCs w:val="18"/>
                <w:lang w:eastAsia="en-US"/>
              </w:rPr>
            </w:pPr>
            <w:r w:rsidRPr="00465DC4">
              <w:rPr>
                <w:rFonts w:ascii="Tahoma" w:eastAsiaTheme="minorHAnsi" w:hAnsi="Tahoma" w:cs="Tahoma"/>
                <w:sz w:val="18"/>
                <w:szCs w:val="18"/>
                <w:vertAlign w:val="superscript"/>
                <w:lang w:eastAsia="en-US"/>
              </w:rPr>
              <w:t xml:space="preserve">2 </w:t>
            </w:r>
            <w:r w:rsidRPr="00465DC4">
              <w:rPr>
                <w:rFonts w:ascii="Tahoma" w:eastAsiaTheme="minorHAnsi" w:hAnsi="Tahoma" w:cs="Tahoma"/>
                <w:sz w:val="18"/>
                <w:szCs w:val="18"/>
                <w:lang w:eastAsia="en-US"/>
              </w:rPr>
              <w:t>- При наличии нескольких просроченных кредитов у одного Заемщика в Банке, удовлетворяющих требованиям настоящих условий, рефинансирование может быть осуществлено по этим договорам одновременно;</w:t>
            </w:r>
          </w:p>
          <w:p w14:paraId="7C87B768" w14:textId="77777777" w:rsidR="00E41E6D" w:rsidRPr="00465DC4" w:rsidRDefault="00E41E6D" w:rsidP="00DE2BCA">
            <w:pPr>
              <w:spacing w:line="276" w:lineRule="auto"/>
              <w:rPr>
                <w:rFonts w:ascii="Tahoma" w:eastAsiaTheme="minorHAnsi" w:hAnsi="Tahoma" w:cs="Tahoma"/>
                <w:sz w:val="18"/>
                <w:szCs w:val="18"/>
                <w:lang w:eastAsia="en-US"/>
              </w:rPr>
            </w:pPr>
            <w:r w:rsidRPr="00465DC4">
              <w:rPr>
                <w:rFonts w:ascii="Tahoma" w:eastAsiaTheme="minorHAnsi" w:hAnsi="Tahoma" w:cs="Tahoma"/>
                <w:sz w:val="18"/>
                <w:szCs w:val="18"/>
                <w:vertAlign w:val="superscript"/>
                <w:lang w:eastAsia="en-US"/>
              </w:rPr>
              <w:t>3</w:t>
            </w:r>
            <w:r w:rsidRPr="00465DC4">
              <w:rPr>
                <w:rFonts w:ascii="Tahoma" w:eastAsiaTheme="minorHAnsi" w:hAnsi="Tahoma" w:cs="Tahoma"/>
                <w:sz w:val="18"/>
                <w:szCs w:val="18"/>
                <w:lang w:eastAsia="en-US"/>
              </w:rPr>
              <w:t xml:space="preserve"> - Размер пеней и штрафов может быть уменьшен по решению Банка.</w:t>
            </w:r>
          </w:p>
        </w:tc>
      </w:tr>
    </w:tbl>
    <w:p w14:paraId="319C250E" w14:textId="77777777" w:rsidR="00E41E6D" w:rsidRPr="00465DC4" w:rsidRDefault="00E41E6D" w:rsidP="00E41E6D">
      <w:pPr>
        <w:tabs>
          <w:tab w:val="left" w:pos="851"/>
        </w:tabs>
        <w:ind w:left="720"/>
        <w:contextualSpacing/>
        <w:jc w:val="both"/>
        <w:rPr>
          <w:rFonts w:ascii="Tahoma" w:eastAsia="Calibri" w:hAnsi="Tahoma" w:cs="Tahoma"/>
          <w:b/>
          <w:sz w:val="20"/>
          <w:szCs w:val="20"/>
          <w:lang w:eastAsia="en-US"/>
        </w:rPr>
      </w:pPr>
    </w:p>
    <w:p w14:paraId="09F8F5CD" w14:textId="77777777" w:rsidR="00DD39DF" w:rsidRDefault="00DD39DF" w:rsidP="00320EF7">
      <w:pPr>
        <w:tabs>
          <w:tab w:val="left" w:pos="3240"/>
        </w:tabs>
        <w:jc w:val="both"/>
        <w:rPr>
          <w:rFonts w:ascii="Tahoma" w:hAnsi="Tahoma" w:cs="Tahoma"/>
          <w:b/>
          <w:bCs/>
          <w:i/>
          <w:sz w:val="22"/>
          <w:szCs w:val="28"/>
          <w:lang w:val="x-none" w:eastAsia="x-none"/>
        </w:rPr>
      </w:pPr>
    </w:p>
    <w:p w14:paraId="2AC4A967" w14:textId="55D241E3" w:rsidR="00320EF7" w:rsidRPr="0010519F" w:rsidRDefault="00320EF7" w:rsidP="000B3718">
      <w:pPr>
        <w:pStyle w:val="a5"/>
      </w:pPr>
      <w:r w:rsidRPr="0010519F">
        <w:t>2.3. ИПОТЕЧНОЕ КРЕДИТОВАНИЕ</w:t>
      </w:r>
    </w:p>
    <w:p w14:paraId="3798B5C9" w14:textId="77777777" w:rsidR="001004BC" w:rsidRPr="00BC7209" w:rsidRDefault="001004BC" w:rsidP="001004BC">
      <w:pPr>
        <w:tabs>
          <w:tab w:val="left" w:pos="3240"/>
        </w:tabs>
        <w:jc w:val="both"/>
        <w:rPr>
          <w:rFonts w:ascii="Tahoma" w:hAnsi="Tahoma" w:cs="Tahoma"/>
          <w:b/>
          <w:bCs/>
          <w:i/>
          <w:sz w:val="22"/>
          <w:szCs w:val="22"/>
          <w:lang w:eastAsia="x-none"/>
        </w:rPr>
      </w:pPr>
    </w:p>
    <w:tbl>
      <w:tblPr>
        <w:tblW w:w="1590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05"/>
      </w:tblGrid>
      <w:tr w:rsidR="00096E85" w:rsidRPr="00BC7209" w14:paraId="48081393" w14:textId="77777777" w:rsidTr="005A7C26">
        <w:trPr>
          <w:trHeight w:val="227"/>
        </w:trPr>
        <w:tc>
          <w:tcPr>
            <w:tcW w:w="15905" w:type="dxa"/>
            <w:tcBorders>
              <w:top w:val="single" w:sz="4" w:space="0" w:color="auto"/>
              <w:left w:val="single" w:sz="4" w:space="0" w:color="auto"/>
              <w:bottom w:val="single" w:sz="4" w:space="0" w:color="auto"/>
              <w:right w:val="single" w:sz="4" w:space="0" w:color="auto"/>
            </w:tcBorders>
            <w:shd w:val="clear" w:color="auto" w:fill="E36C0A"/>
            <w:hideMark/>
          </w:tcPr>
          <w:p w14:paraId="5E6AF363" w14:textId="1E327628" w:rsidR="00096E85" w:rsidRPr="000B3718" w:rsidRDefault="000B3718" w:rsidP="000B3718">
            <w:pPr>
              <w:pStyle w:val="a5"/>
              <w:rPr>
                <w:rFonts w:eastAsia="Calibri"/>
              </w:rPr>
            </w:pPr>
            <w:r w:rsidRPr="000B3718">
              <w:lastRenderedPageBreak/>
              <w:t xml:space="preserve">2.3.1 </w:t>
            </w:r>
            <w:r w:rsidR="00096E85" w:rsidRPr="000B3718">
              <w:t>Тарифный план «Готовое жилье»</w:t>
            </w:r>
          </w:p>
        </w:tc>
      </w:tr>
    </w:tbl>
    <w:p w14:paraId="78E3DCD8" w14:textId="77777777" w:rsidR="00096E85" w:rsidRDefault="00096E85" w:rsidP="00096E85">
      <w:pPr>
        <w:jc w:val="center"/>
        <w:rPr>
          <w:rFonts w:ascii="Tahoma" w:hAnsi="Tahoma" w:cs="Tahoma"/>
          <w:b/>
          <w:noProof/>
          <w:sz w:val="20"/>
          <w:szCs w:val="20"/>
        </w:rPr>
      </w:pPr>
    </w:p>
    <w:p w14:paraId="3CBB0B97" w14:textId="77777777" w:rsidR="00DD43F4" w:rsidRPr="00487026" w:rsidRDefault="00DD43F4" w:rsidP="00DD43F4">
      <w:pPr>
        <w:jc w:val="center"/>
        <w:rPr>
          <w:rFonts w:ascii="Tahoma" w:hAnsi="Tahoma" w:cs="Tahoma"/>
          <w:b/>
          <w:noProof/>
          <w:sz w:val="20"/>
          <w:szCs w:val="20"/>
        </w:rPr>
      </w:pPr>
      <w:r w:rsidRPr="00487026">
        <w:rPr>
          <w:rFonts w:ascii="Tahoma" w:hAnsi="Tahoma" w:cs="Tahoma"/>
          <w:b/>
          <w:noProof/>
          <w:sz w:val="20"/>
          <w:szCs w:val="20"/>
        </w:rPr>
        <w:t xml:space="preserve">ИНФОРМАЦИЯ ОБ УСЛОВИЯХ ПРЕДОСТАВЛЕНИЯ, ИСПОЛЬЗОВАНИЯ И ВОЗВРАТА ИПОТЕЧНОГО КРЕДИТА </w:t>
      </w:r>
    </w:p>
    <w:p w14:paraId="6EB88010" w14:textId="77777777" w:rsidR="00DD43F4" w:rsidRPr="00487026" w:rsidRDefault="00DD43F4" w:rsidP="00DD43F4">
      <w:pPr>
        <w:jc w:val="center"/>
        <w:rPr>
          <w:rFonts w:ascii="Tahoma" w:hAnsi="Tahoma" w:cs="Tahoma"/>
          <w:b/>
          <w:noProof/>
          <w:sz w:val="20"/>
          <w:szCs w:val="20"/>
        </w:rPr>
      </w:pPr>
      <w:r w:rsidRPr="00487026">
        <w:rPr>
          <w:rFonts w:ascii="Tahoma" w:hAnsi="Tahoma" w:cs="Tahoma"/>
          <w:b/>
          <w:noProof/>
        </w:rPr>
        <w:t xml:space="preserve"> </w:t>
      </w:r>
      <w:r w:rsidRPr="00487026">
        <w:rPr>
          <w:rFonts w:ascii="Tahoma" w:hAnsi="Tahoma" w:cs="Tahoma"/>
          <w:b/>
          <w:noProof/>
          <w:sz w:val="20"/>
          <w:szCs w:val="20"/>
        </w:rPr>
        <w:t>ПО ТАРИФНОМУ ПЛАНУ «ГОТОВОЕ ЖИЛЬЕ»</w:t>
      </w:r>
    </w:p>
    <w:p w14:paraId="3715C858" w14:textId="77777777" w:rsidR="00DD43F4" w:rsidRPr="00487026" w:rsidRDefault="00DD43F4" w:rsidP="00DD43F4">
      <w:pPr>
        <w:jc w:val="center"/>
        <w:rPr>
          <w:rFonts w:ascii="Tahoma" w:hAnsi="Tahoma" w:cs="Tahoma"/>
          <w:b/>
          <w:bCs/>
          <w:caps/>
          <w:sz w:val="20"/>
          <w:szCs w:val="20"/>
        </w:rPr>
      </w:pPr>
    </w:p>
    <w:p w14:paraId="0676B1E9" w14:textId="77777777" w:rsidR="00951A61" w:rsidRPr="0089418D" w:rsidRDefault="00951A61" w:rsidP="00B460F9">
      <w:pPr>
        <w:pStyle w:val="affe"/>
        <w:numPr>
          <w:ilvl w:val="0"/>
          <w:numId w:val="184"/>
        </w:numPr>
        <w:tabs>
          <w:tab w:val="left" w:pos="851"/>
        </w:tabs>
        <w:contextualSpacing/>
        <w:jc w:val="both"/>
        <w:rPr>
          <w:rFonts w:ascii="Tahoma" w:hAnsi="Tahoma" w:cs="Tahoma"/>
          <w:noProof/>
          <w:sz w:val="20"/>
          <w:szCs w:val="20"/>
        </w:rPr>
      </w:pPr>
      <w:r w:rsidRPr="0089418D">
        <w:rPr>
          <w:rFonts w:ascii="Tahoma" w:hAnsi="Tahoma" w:cs="Tahoma"/>
          <w:b/>
          <w:bCs/>
          <w:caps/>
          <w:sz w:val="20"/>
          <w:szCs w:val="20"/>
        </w:rPr>
        <w:t>ОСНОВНЫЕ ПОНЯТИЯ, ИСПОЛЬЗУЕМЫЕ ТЕРМИНЫ и сокращения</w:t>
      </w:r>
    </w:p>
    <w:tbl>
      <w:tblPr>
        <w:tblW w:w="507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8"/>
        <w:gridCol w:w="11735"/>
      </w:tblGrid>
      <w:tr w:rsidR="00951A61" w:rsidRPr="0089418D" w14:paraId="452F5107" w14:textId="77777777" w:rsidTr="00A4032F">
        <w:tc>
          <w:tcPr>
            <w:tcW w:w="1315" w:type="pct"/>
            <w:vAlign w:val="center"/>
          </w:tcPr>
          <w:p w14:paraId="1293EC9F" w14:textId="77777777" w:rsidR="00951A61" w:rsidRPr="0089418D" w:rsidRDefault="00951A61" w:rsidP="00A4032F">
            <w:pPr>
              <w:tabs>
                <w:tab w:val="left" w:pos="851"/>
              </w:tabs>
              <w:jc w:val="center"/>
              <w:rPr>
                <w:rFonts w:ascii="Tahoma" w:hAnsi="Tahoma" w:cs="Tahoma"/>
                <w:sz w:val="20"/>
                <w:szCs w:val="20"/>
              </w:rPr>
            </w:pPr>
            <w:r w:rsidRPr="0089418D">
              <w:rPr>
                <w:rFonts w:ascii="Tahoma" w:hAnsi="Tahoma" w:cs="Tahoma"/>
                <w:sz w:val="20"/>
                <w:szCs w:val="20"/>
              </w:rPr>
              <w:t>Апартаменты</w:t>
            </w:r>
          </w:p>
        </w:tc>
        <w:tc>
          <w:tcPr>
            <w:tcW w:w="3685" w:type="pct"/>
            <w:vAlign w:val="center"/>
          </w:tcPr>
          <w:p w14:paraId="4FE95359" w14:textId="77777777" w:rsidR="00951A61" w:rsidRPr="0089418D" w:rsidRDefault="00951A61" w:rsidP="00A4032F">
            <w:pPr>
              <w:tabs>
                <w:tab w:val="left" w:pos="851"/>
              </w:tabs>
              <w:ind w:firstLine="425"/>
              <w:jc w:val="both"/>
              <w:rPr>
                <w:rFonts w:ascii="Tahoma" w:hAnsi="Tahoma" w:cs="Tahoma"/>
                <w:sz w:val="20"/>
                <w:szCs w:val="20"/>
              </w:rPr>
            </w:pPr>
            <w:r w:rsidRPr="0089418D">
              <w:rPr>
                <w:rFonts w:ascii="Tahoma" w:hAnsi="Tahoma" w:cs="Tahoma"/>
                <w:sz w:val="20"/>
                <w:szCs w:val="20"/>
              </w:rPr>
              <w:t>Объект нежилой недвижимости, наделенный потребительскими свойствами объекта жилой недвижимости, в силу санитарных норм, установленных законодательством Российской Федерации, не предназначенный для постоянного проживания</w:t>
            </w:r>
          </w:p>
        </w:tc>
      </w:tr>
      <w:tr w:rsidR="00951A61" w:rsidRPr="0089418D" w14:paraId="07069ED6" w14:textId="77777777" w:rsidTr="00A4032F">
        <w:tc>
          <w:tcPr>
            <w:tcW w:w="1315" w:type="pct"/>
            <w:vAlign w:val="center"/>
          </w:tcPr>
          <w:p w14:paraId="43444F43" w14:textId="77777777" w:rsidR="00951A61" w:rsidRPr="0089418D" w:rsidRDefault="00951A61" w:rsidP="00A4032F">
            <w:pPr>
              <w:tabs>
                <w:tab w:val="left" w:pos="851"/>
              </w:tabs>
              <w:jc w:val="center"/>
              <w:rPr>
                <w:rFonts w:ascii="Tahoma" w:hAnsi="Tahoma" w:cs="Tahoma"/>
                <w:sz w:val="20"/>
                <w:szCs w:val="20"/>
              </w:rPr>
            </w:pPr>
            <w:r w:rsidRPr="0089418D">
              <w:rPr>
                <w:rFonts w:ascii="Tahoma" w:hAnsi="Tahoma" w:cs="Tahoma"/>
                <w:sz w:val="20"/>
                <w:szCs w:val="20"/>
              </w:rPr>
              <w:t>Банк-залогодержатель</w:t>
            </w:r>
          </w:p>
        </w:tc>
        <w:tc>
          <w:tcPr>
            <w:tcW w:w="3685" w:type="pct"/>
            <w:vAlign w:val="center"/>
          </w:tcPr>
          <w:p w14:paraId="2EA18F63" w14:textId="77777777" w:rsidR="00951A61" w:rsidRPr="0089418D" w:rsidRDefault="00951A61" w:rsidP="00A4032F">
            <w:pPr>
              <w:tabs>
                <w:tab w:val="left" w:pos="851"/>
              </w:tabs>
              <w:ind w:firstLine="425"/>
              <w:jc w:val="both"/>
              <w:rPr>
                <w:rFonts w:ascii="Tahoma" w:hAnsi="Tahoma" w:cs="Tahoma"/>
                <w:sz w:val="20"/>
                <w:szCs w:val="20"/>
              </w:rPr>
            </w:pPr>
            <w:r w:rsidRPr="0089418D">
              <w:rPr>
                <w:rFonts w:ascii="Tahoma" w:hAnsi="Tahoma" w:cs="Tahoma"/>
                <w:sz w:val="20"/>
                <w:szCs w:val="20"/>
              </w:rPr>
              <w:t>Кредитная организация/Ипотечный агент, являющийся кредитором продавца Предмета ипотеки</w:t>
            </w:r>
          </w:p>
        </w:tc>
      </w:tr>
      <w:tr w:rsidR="00951A61" w:rsidRPr="0089418D" w14:paraId="39B38452" w14:textId="77777777" w:rsidTr="00A4032F">
        <w:tc>
          <w:tcPr>
            <w:tcW w:w="1315" w:type="pct"/>
          </w:tcPr>
          <w:p w14:paraId="2408315D" w14:textId="77777777" w:rsidR="00951A61" w:rsidRPr="0089418D" w:rsidRDefault="00951A61" w:rsidP="00A4032F">
            <w:pPr>
              <w:tabs>
                <w:tab w:val="left" w:pos="0"/>
                <w:tab w:val="left" w:pos="9072"/>
                <w:tab w:val="left" w:pos="10549"/>
              </w:tabs>
              <w:jc w:val="center"/>
              <w:rPr>
                <w:rFonts w:ascii="Tahoma" w:hAnsi="Tahoma" w:cs="Tahoma"/>
                <w:sz w:val="20"/>
                <w:szCs w:val="20"/>
              </w:rPr>
            </w:pPr>
            <w:r w:rsidRPr="0089418D">
              <w:rPr>
                <w:rFonts w:ascii="Tahoma" w:hAnsi="Tahoma" w:cs="Tahoma"/>
                <w:sz w:val="20"/>
                <w:szCs w:val="20"/>
              </w:rPr>
              <w:t>Действительная стоимость Предмета ипотеки</w:t>
            </w:r>
          </w:p>
          <w:p w14:paraId="695A8A69" w14:textId="77777777" w:rsidR="00951A61" w:rsidRPr="0089418D" w:rsidRDefault="00951A61" w:rsidP="00A4032F">
            <w:pPr>
              <w:tabs>
                <w:tab w:val="left" w:pos="851"/>
              </w:tabs>
              <w:jc w:val="center"/>
              <w:rPr>
                <w:rFonts w:ascii="Tahoma" w:hAnsi="Tahoma" w:cs="Tahoma"/>
                <w:sz w:val="20"/>
                <w:szCs w:val="20"/>
              </w:rPr>
            </w:pPr>
          </w:p>
        </w:tc>
        <w:tc>
          <w:tcPr>
            <w:tcW w:w="3685" w:type="pct"/>
          </w:tcPr>
          <w:p w14:paraId="517CBEE0" w14:textId="77777777" w:rsidR="00951A61" w:rsidRPr="0089418D" w:rsidRDefault="00951A61" w:rsidP="00A4032F">
            <w:pPr>
              <w:tabs>
                <w:tab w:val="left" w:pos="851"/>
              </w:tabs>
              <w:ind w:firstLine="425"/>
              <w:jc w:val="both"/>
              <w:rPr>
                <w:rFonts w:ascii="Tahoma" w:hAnsi="Tahoma" w:cs="Tahoma"/>
                <w:sz w:val="20"/>
                <w:szCs w:val="20"/>
              </w:rPr>
            </w:pPr>
            <w:r w:rsidRPr="0089418D">
              <w:rPr>
                <w:rFonts w:ascii="Tahoma" w:hAnsi="Tahoma" w:cs="Tahoma"/>
                <w:sz w:val="20"/>
                <w:szCs w:val="20"/>
              </w:rPr>
              <w:t>Рыночная стоимость Предмета ипотеки, определяемая как наименьшая из трех величин: стоимость по Договору приобретения недвижимого имущества; рыночная стоимость согласно Отчету об оценке; рыночная стоимость Предмета ипотеки в соответствии с заключением ответственного подразделения Банка (при необходимости).</w:t>
            </w:r>
          </w:p>
        </w:tc>
      </w:tr>
      <w:tr w:rsidR="00951A61" w:rsidRPr="0089418D" w14:paraId="547A4D61" w14:textId="77777777" w:rsidTr="00A4032F">
        <w:tc>
          <w:tcPr>
            <w:tcW w:w="1315" w:type="pct"/>
            <w:vAlign w:val="center"/>
          </w:tcPr>
          <w:p w14:paraId="36E81BAD" w14:textId="77777777" w:rsidR="00951A61" w:rsidRPr="00C837FF" w:rsidRDefault="00951A61" w:rsidP="00A4032F">
            <w:pPr>
              <w:tabs>
                <w:tab w:val="left" w:pos="0"/>
                <w:tab w:val="left" w:pos="9072"/>
                <w:tab w:val="left" w:pos="10549"/>
              </w:tabs>
              <w:jc w:val="center"/>
              <w:rPr>
                <w:rFonts w:ascii="Tahoma" w:hAnsi="Tahoma" w:cs="Tahoma"/>
                <w:sz w:val="20"/>
                <w:szCs w:val="20"/>
              </w:rPr>
            </w:pPr>
            <w:r w:rsidRPr="00C837FF">
              <w:rPr>
                <w:rFonts w:ascii="Tahoma" w:hAnsi="Tahoma" w:cs="Tahoma"/>
                <w:sz w:val="20"/>
                <w:szCs w:val="20"/>
              </w:rPr>
              <w:t>Жилой дом</w:t>
            </w:r>
          </w:p>
        </w:tc>
        <w:tc>
          <w:tcPr>
            <w:tcW w:w="3685" w:type="pct"/>
            <w:vAlign w:val="center"/>
          </w:tcPr>
          <w:p w14:paraId="017A862E" w14:textId="77777777" w:rsidR="00951A61" w:rsidRPr="00C837FF" w:rsidRDefault="00951A61" w:rsidP="00A4032F">
            <w:pPr>
              <w:tabs>
                <w:tab w:val="left" w:pos="851"/>
              </w:tabs>
              <w:ind w:firstLine="425"/>
              <w:jc w:val="both"/>
              <w:rPr>
                <w:rFonts w:ascii="Tahoma" w:hAnsi="Tahoma" w:cs="Tahoma"/>
                <w:sz w:val="20"/>
                <w:szCs w:val="20"/>
              </w:rPr>
            </w:pPr>
            <w:r w:rsidRPr="00C837FF">
              <w:rPr>
                <w:rFonts w:ascii="Tahoma" w:hAnsi="Tahoma" w:cs="Tahoma"/>
                <w:sz w:val="20"/>
                <w:szCs w:val="20"/>
              </w:rPr>
              <w:t>Индивидуально-определенное здание, которое состоит из комнат, а также помещений вспомогательного использования,  пригодное для постоянного или временного проживания, имеющее отдельный вход.</w:t>
            </w:r>
          </w:p>
        </w:tc>
      </w:tr>
      <w:tr w:rsidR="00951A61" w:rsidRPr="0089418D" w14:paraId="3E3C0944" w14:textId="77777777" w:rsidTr="00A4032F">
        <w:tc>
          <w:tcPr>
            <w:tcW w:w="1315" w:type="pct"/>
            <w:vAlign w:val="center"/>
          </w:tcPr>
          <w:p w14:paraId="72F764B1" w14:textId="77777777" w:rsidR="00951A61" w:rsidRPr="0089418D" w:rsidRDefault="00951A61" w:rsidP="00A4032F">
            <w:pPr>
              <w:tabs>
                <w:tab w:val="left" w:pos="851"/>
              </w:tabs>
              <w:jc w:val="center"/>
              <w:rPr>
                <w:rFonts w:ascii="Tahoma" w:hAnsi="Tahoma" w:cs="Tahoma"/>
                <w:sz w:val="20"/>
                <w:szCs w:val="20"/>
              </w:rPr>
            </w:pPr>
            <w:r w:rsidRPr="0089418D">
              <w:rPr>
                <w:rFonts w:ascii="Tahoma" w:hAnsi="Tahoma" w:cs="Tahoma"/>
                <w:sz w:val="20"/>
                <w:szCs w:val="20"/>
              </w:rPr>
              <w:t xml:space="preserve">Заемщик/Созаемщик </w:t>
            </w:r>
          </w:p>
          <w:p w14:paraId="17DED988" w14:textId="77777777" w:rsidR="00951A61" w:rsidRPr="0089418D" w:rsidRDefault="00951A61" w:rsidP="00A4032F">
            <w:pPr>
              <w:tabs>
                <w:tab w:val="left" w:pos="0"/>
                <w:tab w:val="left" w:pos="9072"/>
                <w:tab w:val="left" w:pos="10549"/>
              </w:tabs>
              <w:jc w:val="center"/>
              <w:rPr>
                <w:rFonts w:ascii="Tahoma" w:hAnsi="Tahoma" w:cs="Tahoma"/>
                <w:sz w:val="20"/>
                <w:szCs w:val="20"/>
              </w:rPr>
            </w:pPr>
            <w:r w:rsidRPr="0089418D">
              <w:rPr>
                <w:rFonts w:ascii="Tahoma" w:hAnsi="Tahoma" w:cs="Tahoma"/>
                <w:sz w:val="20"/>
                <w:szCs w:val="20"/>
              </w:rPr>
              <w:t>(далее по тексту – Заемщик, если применимо для двух сторон)</w:t>
            </w:r>
          </w:p>
        </w:tc>
        <w:tc>
          <w:tcPr>
            <w:tcW w:w="3685" w:type="pct"/>
            <w:vAlign w:val="center"/>
          </w:tcPr>
          <w:p w14:paraId="5B4BFA5D" w14:textId="77777777" w:rsidR="00951A61" w:rsidRPr="0089418D" w:rsidRDefault="00951A61" w:rsidP="00A4032F">
            <w:pPr>
              <w:tabs>
                <w:tab w:val="left" w:pos="851"/>
              </w:tabs>
              <w:ind w:firstLine="425"/>
              <w:jc w:val="both"/>
              <w:rPr>
                <w:rFonts w:ascii="Tahoma" w:hAnsi="Tahoma" w:cs="Tahoma"/>
                <w:sz w:val="20"/>
                <w:szCs w:val="20"/>
              </w:rPr>
            </w:pPr>
            <w:r w:rsidRPr="0089418D">
              <w:rPr>
                <w:rFonts w:ascii="Tahoma" w:hAnsi="Tahoma" w:cs="Tahoma"/>
                <w:sz w:val="20"/>
                <w:szCs w:val="20"/>
              </w:rPr>
              <w:t>Физическое лицо, обратившееся в Банк с Заявлением получить, получающее или получившее ипотечный кредит/потребительский кредит/потребительский кредит (с лимитом кредитования) на основании заключения Кредитного договора/договора потребительского кредитования.</w:t>
            </w:r>
          </w:p>
          <w:p w14:paraId="0CD0B853" w14:textId="77777777" w:rsidR="00951A61" w:rsidRPr="0089418D" w:rsidRDefault="00951A61" w:rsidP="00A4032F">
            <w:pPr>
              <w:tabs>
                <w:tab w:val="left" w:pos="851"/>
              </w:tabs>
              <w:ind w:firstLine="425"/>
              <w:jc w:val="both"/>
              <w:rPr>
                <w:rFonts w:ascii="Tahoma" w:hAnsi="Tahoma" w:cs="Tahoma"/>
                <w:sz w:val="20"/>
                <w:szCs w:val="20"/>
              </w:rPr>
            </w:pPr>
            <w:r w:rsidRPr="0089418D">
              <w:rPr>
                <w:rFonts w:ascii="Tahoma" w:hAnsi="Tahoma" w:cs="Tahoma"/>
                <w:sz w:val="20"/>
                <w:szCs w:val="20"/>
              </w:rPr>
              <w:t>Созаемщик – лицо, совместно с Заемщиком обратившееся в Банк с Заявлением получить, получающее или получившее Ипотечный кредит по Кредитному договору. Созаемщик имеет равные права и обязанности с Заемщиком, в том числе несет солидарную ответственность перед Банком по погашению. Его доходы также, как и доходы Заемщика, могут быть учтены для расчета максимально возможной суммы кредита.</w:t>
            </w:r>
          </w:p>
        </w:tc>
      </w:tr>
      <w:tr w:rsidR="00951A61" w:rsidRPr="0089418D" w14:paraId="33E2F2A6" w14:textId="77777777" w:rsidTr="00A4032F">
        <w:tc>
          <w:tcPr>
            <w:tcW w:w="1315" w:type="pct"/>
            <w:vAlign w:val="center"/>
          </w:tcPr>
          <w:p w14:paraId="203C49A0" w14:textId="77777777" w:rsidR="00951A61" w:rsidRPr="001714A0" w:rsidRDefault="00951A61" w:rsidP="00A4032F">
            <w:pPr>
              <w:tabs>
                <w:tab w:val="left" w:pos="851"/>
              </w:tabs>
              <w:jc w:val="center"/>
              <w:rPr>
                <w:rFonts w:ascii="Tahoma" w:hAnsi="Tahoma" w:cs="Tahoma"/>
                <w:sz w:val="20"/>
                <w:szCs w:val="20"/>
              </w:rPr>
            </w:pPr>
            <w:r w:rsidRPr="0019499F">
              <w:rPr>
                <w:rFonts w:ascii="Tahoma" w:hAnsi="Tahoma" w:cs="Tahoma"/>
                <w:sz w:val="20"/>
                <w:szCs w:val="20"/>
              </w:rPr>
              <w:t>Заемщик с официально подтвержденным доходом</w:t>
            </w:r>
          </w:p>
        </w:tc>
        <w:tc>
          <w:tcPr>
            <w:tcW w:w="3685" w:type="pct"/>
            <w:vAlign w:val="center"/>
          </w:tcPr>
          <w:p w14:paraId="43E14362" w14:textId="77777777" w:rsidR="00951A61" w:rsidRPr="003D1AA4" w:rsidRDefault="00951A61" w:rsidP="00A4032F">
            <w:pPr>
              <w:tabs>
                <w:tab w:val="left" w:pos="851"/>
              </w:tabs>
              <w:ind w:firstLine="425"/>
              <w:jc w:val="both"/>
              <w:rPr>
                <w:rFonts w:ascii="Tahoma" w:hAnsi="Tahoma" w:cs="Tahoma"/>
                <w:sz w:val="20"/>
                <w:szCs w:val="20"/>
              </w:rPr>
            </w:pPr>
            <w:r w:rsidRPr="003D1AA4">
              <w:rPr>
                <w:rFonts w:ascii="Tahoma" w:hAnsi="Tahoma" w:cs="Tahoma"/>
                <w:sz w:val="20"/>
                <w:szCs w:val="20"/>
              </w:rPr>
              <w:t>Клиент Банка, подтверждающий</w:t>
            </w:r>
            <w:r>
              <w:rPr>
                <w:rFonts w:ascii="Tahoma" w:hAnsi="Tahoma" w:cs="Tahoma"/>
                <w:sz w:val="20"/>
                <w:szCs w:val="20"/>
              </w:rPr>
              <w:t xml:space="preserve"> всю</w:t>
            </w:r>
            <w:r w:rsidRPr="003D1AA4">
              <w:rPr>
                <w:rFonts w:ascii="Tahoma" w:hAnsi="Tahoma" w:cs="Tahoma"/>
                <w:sz w:val="20"/>
                <w:szCs w:val="20"/>
              </w:rPr>
              <w:t xml:space="preserve"> сумму дохода и занятость выпиской из Социального фонда России или подтверждающий</w:t>
            </w:r>
            <w:r>
              <w:rPr>
                <w:rFonts w:ascii="Tahoma" w:hAnsi="Tahoma" w:cs="Tahoma"/>
                <w:sz w:val="20"/>
                <w:szCs w:val="20"/>
              </w:rPr>
              <w:t xml:space="preserve"> всю</w:t>
            </w:r>
            <w:r w:rsidRPr="003D1AA4">
              <w:rPr>
                <w:rFonts w:ascii="Tahoma" w:hAnsi="Tahoma" w:cs="Tahoma"/>
                <w:sz w:val="20"/>
                <w:szCs w:val="20"/>
              </w:rPr>
              <w:t xml:space="preserve"> сумму дохода одним или несколькими вариантами: выписка со счета, на который поступают зарплатные зачисления от работодателя Заемщика и по которой однозначно можно идентифицировать назначение начисления - «заработная плата/ денежное довольствие/ вознаграждение» и/или выписка со счета стороннего банка, на который поступают пенсионные зачисления и/или справка о пенсионных выплатах органа, выплачивающего пенсию.</w:t>
            </w:r>
          </w:p>
        </w:tc>
      </w:tr>
      <w:tr w:rsidR="00951A61" w:rsidRPr="0089418D" w14:paraId="03870715" w14:textId="77777777" w:rsidTr="00A4032F">
        <w:tc>
          <w:tcPr>
            <w:tcW w:w="1315" w:type="pct"/>
          </w:tcPr>
          <w:p w14:paraId="2483A14C" w14:textId="77777777" w:rsidR="00951A61" w:rsidRPr="0089418D" w:rsidRDefault="00951A61" w:rsidP="00A4032F">
            <w:pPr>
              <w:tabs>
                <w:tab w:val="left" w:pos="0"/>
                <w:tab w:val="left" w:pos="9072"/>
                <w:tab w:val="left" w:pos="10549"/>
              </w:tabs>
              <w:jc w:val="center"/>
              <w:rPr>
                <w:rFonts w:ascii="Tahoma" w:hAnsi="Tahoma" w:cs="Tahoma"/>
                <w:sz w:val="20"/>
                <w:szCs w:val="20"/>
              </w:rPr>
            </w:pPr>
            <w:r w:rsidRPr="0089418D">
              <w:rPr>
                <w:rFonts w:ascii="Tahoma" w:hAnsi="Tahoma" w:cs="Tahoma"/>
                <w:sz w:val="20"/>
                <w:szCs w:val="20"/>
              </w:rPr>
              <w:t>Зарплатные клиенты Банка</w:t>
            </w:r>
          </w:p>
        </w:tc>
        <w:tc>
          <w:tcPr>
            <w:tcW w:w="3685" w:type="pct"/>
          </w:tcPr>
          <w:p w14:paraId="68CFB607" w14:textId="77777777" w:rsidR="00951A61" w:rsidRPr="0089418D" w:rsidRDefault="00951A61" w:rsidP="00A4032F">
            <w:pPr>
              <w:tabs>
                <w:tab w:val="left" w:pos="851"/>
              </w:tabs>
              <w:ind w:firstLine="425"/>
              <w:jc w:val="both"/>
              <w:rPr>
                <w:rFonts w:ascii="Tahoma" w:hAnsi="Tahoma" w:cs="Tahoma"/>
                <w:sz w:val="20"/>
                <w:szCs w:val="20"/>
              </w:rPr>
            </w:pPr>
            <w:r w:rsidRPr="0089418D">
              <w:rPr>
                <w:rFonts w:ascii="Tahoma" w:hAnsi="Tahoma" w:cs="Tahoma"/>
                <w:sz w:val="20"/>
                <w:szCs w:val="20"/>
              </w:rPr>
              <w:t>Клиент Банка, получающий заработную плату на Счет, открытый в «Азиатско-Тихоокеанский Банк» (АО)</w:t>
            </w:r>
          </w:p>
        </w:tc>
      </w:tr>
      <w:tr w:rsidR="00951A61" w:rsidRPr="0089418D" w14:paraId="0EBE28E4" w14:textId="77777777" w:rsidTr="00A4032F">
        <w:tc>
          <w:tcPr>
            <w:tcW w:w="1315" w:type="pct"/>
            <w:vAlign w:val="center"/>
          </w:tcPr>
          <w:p w14:paraId="6E27709D" w14:textId="77777777" w:rsidR="00951A61" w:rsidRPr="0089418D" w:rsidRDefault="00951A61" w:rsidP="00A4032F">
            <w:pPr>
              <w:tabs>
                <w:tab w:val="left" w:pos="0"/>
                <w:tab w:val="left" w:pos="9072"/>
                <w:tab w:val="left" w:pos="10549"/>
              </w:tabs>
              <w:jc w:val="center"/>
              <w:rPr>
                <w:rFonts w:ascii="Tahoma" w:hAnsi="Tahoma" w:cs="Tahoma"/>
                <w:sz w:val="20"/>
                <w:szCs w:val="20"/>
              </w:rPr>
            </w:pPr>
            <w:r w:rsidRPr="0089418D">
              <w:rPr>
                <w:rFonts w:ascii="Tahoma" w:hAnsi="Tahoma" w:cs="Tahoma"/>
                <w:sz w:val="20"/>
                <w:szCs w:val="20"/>
              </w:rPr>
              <w:t>Земельный участок</w:t>
            </w:r>
          </w:p>
        </w:tc>
        <w:tc>
          <w:tcPr>
            <w:tcW w:w="3685" w:type="pct"/>
            <w:vAlign w:val="center"/>
          </w:tcPr>
          <w:p w14:paraId="7A183BE1" w14:textId="77777777" w:rsidR="00951A61" w:rsidRPr="0089418D" w:rsidRDefault="00951A61" w:rsidP="00A4032F">
            <w:pPr>
              <w:tabs>
                <w:tab w:val="left" w:pos="851"/>
              </w:tabs>
              <w:ind w:firstLine="425"/>
              <w:jc w:val="both"/>
              <w:rPr>
                <w:rFonts w:ascii="Tahoma" w:hAnsi="Tahoma" w:cs="Tahoma"/>
                <w:sz w:val="20"/>
                <w:szCs w:val="20"/>
              </w:rPr>
            </w:pPr>
            <w:r w:rsidRPr="0089418D">
              <w:rPr>
                <w:rFonts w:ascii="Tahoma" w:hAnsi="Tahoma" w:cs="Tahoma"/>
                <w:sz w:val="20"/>
                <w:szCs w:val="20"/>
              </w:rPr>
              <w:t>Участок земли, на котором находится Жилой дом, границы которого и право собственности на который оформлены в установленном российским законодательством порядке</w:t>
            </w:r>
          </w:p>
        </w:tc>
      </w:tr>
      <w:tr w:rsidR="00951A61" w:rsidRPr="0089418D" w14:paraId="56F9D578" w14:textId="77777777" w:rsidTr="00A4032F">
        <w:tc>
          <w:tcPr>
            <w:tcW w:w="1315" w:type="pct"/>
          </w:tcPr>
          <w:p w14:paraId="303379F0" w14:textId="77777777" w:rsidR="00951A61" w:rsidRPr="0089418D" w:rsidRDefault="00951A61" w:rsidP="00A4032F">
            <w:pPr>
              <w:tabs>
                <w:tab w:val="left" w:pos="0"/>
                <w:tab w:val="left" w:pos="9072"/>
                <w:tab w:val="left" w:pos="10549"/>
              </w:tabs>
              <w:jc w:val="center"/>
              <w:rPr>
                <w:rFonts w:ascii="Tahoma" w:hAnsi="Tahoma" w:cs="Tahoma"/>
                <w:sz w:val="20"/>
                <w:szCs w:val="20"/>
              </w:rPr>
            </w:pPr>
            <w:r w:rsidRPr="0089418D">
              <w:rPr>
                <w:rFonts w:ascii="Tahoma" w:hAnsi="Tahoma" w:cs="Tahoma"/>
                <w:sz w:val="20"/>
                <w:szCs w:val="20"/>
              </w:rPr>
              <w:t xml:space="preserve">Кредит </w:t>
            </w:r>
          </w:p>
        </w:tc>
        <w:tc>
          <w:tcPr>
            <w:tcW w:w="3685" w:type="pct"/>
          </w:tcPr>
          <w:p w14:paraId="41D9AE20" w14:textId="77777777" w:rsidR="00951A61" w:rsidRPr="0089418D" w:rsidRDefault="00951A61" w:rsidP="00A4032F">
            <w:pPr>
              <w:tabs>
                <w:tab w:val="left" w:pos="851"/>
              </w:tabs>
              <w:ind w:firstLine="425"/>
              <w:jc w:val="both"/>
              <w:rPr>
                <w:rFonts w:ascii="Tahoma" w:hAnsi="Tahoma" w:cs="Tahoma"/>
                <w:sz w:val="20"/>
                <w:szCs w:val="20"/>
              </w:rPr>
            </w:pPr>
            <w:r w:rsidRPr="0089418D">
              <w:rPr>
                <w:rFonts w:ascii="Tahoma" w:hAnsi="Tahoma" w:cs="Tahoma"/>
                <w:sz w:val="20"/>
                <w:szCs w:val="20"/>
              </w:rPr>
              <w:t xml:space="preserve">Денежные средства, предоставляемые Банком Заемщику на основе возвратности, платности, срочности и обеспеченности в размере и на условиях, предусмотренных </w:t>
            </w:r>
            <w:r>
              <w:rPr>
                <w:rFonts w:ascii="Tahoma" w:hAnsi="Tahoma" w:cs="Tahoma"/>
                <w:sz w:val="20"/>
                <w:szCs w:val="20"/>
              </w:rPr>
              <w:t>Кредитным д</w:t>
            </w:r>
            <w:r w:rsidRPr="0089418D">
              <w:rPr>
                <w:rFonts w:ascii="Tahoma" w:hAnsi="Tahoma" w:cs="Tahoma"/>
                <w:sz w:val="20"/>
                <w:szCs w:val="20"/>
              </w:rPr>
              <w:t>оговором</w:t>
            </w:r>
          </w:p>
        </w:tc>
      </w:tr>
      <w:tr w:rsidR="00951A61" w:rsidRPr="0089418D" w14:paraId="2BBF6CB4" w14:textId="77777777" w:rsidTr="00A4032F">
        <w:tc>
          <w:tcPr>
            <w:tcW w:w="1315" w:type="pct"/>
            <w:vAlign w:val="center"/>
          </w:tcPr>
          <w:p w14:paraId="497F4040" w14:textId="77777777" w:rsidR="00951A61" w:rsidRPr="0089418D" w:rsidRDefault="00951A61" w:rsidP="00A4032F">
            <w:pPr>
              <w:tabs>
                <w:tab w:val="left" w:pos="0"/>
                <w:tab w:val="left" w:pos="9072"/>
                <w:tab w:val="left" w:pos="10549"/>
              </w:tabs>
              <w:jc w:val="center"/>
              <w:rPr>
                <w:rFonts w:ascii="Tahoma" w:hAnsi="Tahoma" w:cs="Tahoma"/>
                <w:sz w:val="20"/>
                <w:szCs w:val="20"/>
              </w:rPr>
            </w:pPr>
            <w:r w:rsidRPr="0089418D">
              <w:rPr>
                <w:rFonts w:ascii="Tahoma" w:hAnsi="Tahoma" w:cs="Tahoma"/>
                <w:sz w:val="20"/>
                <w:szCs w:val="20"/>
              </w:rPr>
              <w:t xml:space="preserve">Кредитный </w:t>
            </w:r>
            <w:r w:rsidRPr="0019499F">
              <w:rPr>
                <w:rFonts w:ascii="Tahoma" w:hAnsi="Tahoma" w:cs="Tahoma"/>
                <w:sz w:val="20"/>
                <w:szCs w:val="20"/>
              </w:rPr>
              <w:t>договор</w:t>
            </w:r>
          </w:p>
        </w:tc>
        <w:tc>
          <w:tcPr>
            <w:tcW w:w="3685" w:type="pct"/>
            <w:vAlign w:val="center"/>
          </w:tcPr>
          <w:p w14:paraId="31D0A10E" w14:textId="77777777" w:rsidR="00951A61" w:rsidRPr="0089418D" w:rsidRDefault="00951A61" w:rsidP="00A4032F">
            <w:pPr>
              <w:tabs>
                <w:tab w:val="left" w:pos="851"/>
              </w:tabs>
              <w:ind w:firstLine="425"/>
              <w:jc w:val="both"/>
              <w:rPr>
                <w:rFonts w:ascii="Tahoma" w:hAnsi="Tahoma" w:cs="Tahoma"/>
                <w:sz w:val="20"/>
                <w:szCs w:val="20"/>
              </w:rPr>
            </w:pPr>
            <w:r>
              <w:rPr>
                <w:rFonts w:ascii="Tahoma" w:hAnsi="Tahoma" w:cs="Tahoma"/>
                <w:sz w:val="20"/>
                <w:szCs w:val="20"/>
              </w:rPr>
              <w:t>Д</w:t>
            </w:r>
            <w:r w:rsidRPr="0089418D">
              <w:rPr>
                <w:rFonts w:ascii="Tahoma" w:hAnsi="Tahoma" w:cs="Tahoma"/>
                <w:sz w:val="20"/>
                <w:szCs w:val="20"/>
              </w:rPr>
              <w:t>оговор</w:t>
            </w:r>
            <w:r>
              <w:rPr>
                <w:rFonts w:ascii="Tahoma" w:hAnsi="Tahoma" w:cs="Tahoma"/>
                <w:sz w:val="20"/>
                <w:szCs w:val="20"/>
              </w:rPr>
              <w:t xml:space="preserve"> потребительского кредита</w:t>
            </w:r>
            <w:r w:rsidRPr="0089418D">
              <w:rPr>
                <w:rFonts w:ascii="Tahoma" w:hAnsi="Tahoma" w:cs="Tahoma"/>
                <w:sz w:val="20"/>
                <w:szCs w:val="20"/>
              </w:rPr>
              <w:t>, который заключен между Банком и физическим лицом в целях, не связанных с осуществлением физическим лицом (Заемщиком) предпринимательской деятельности, и обязательства Заемщика по которым обеспечены ипотекой</w:t>
            </w:r>
          </w:p>
        </w:tc>
      </w:tr>
      <w:tr w:rsidR="00951A61" w:rsidRPr="0089418D" w14:paraId="0EE11A83" w14:textId="77777777" w:rsidTr="00A4032F">
        <w:tc>
          <w:tcPr>
            <w:tcW w:w="1315" w:type="pct"/>
            <w:vAlign w:val="center"/>
          </w:tcPr>
          <w:p w14:paraId="69BA0E54" w14:textId="77777777" w:rsidR="00951A61" w:rsidRPr="0089418D" w:rsidRDefault="00951A61" w:rsidP="00A4032F">
            <w:pPr>
              <w:tabs>
                <w:tab w:val="left" w:pos="851"/>
              </w:tabs>
              <w:jc w:val="center"/>
              <w:rPr>
                <w:rFonts w:ascii="Tahoma" w:hAnsi="Tahoma" w:cs="Tahoma"/>
                <w:bCs/>
                <w:iCs/>
                <w:sz w:val="20"/>
                <w:szCs w:val="20"/>
              </w:rPr>
            </w:pPr>
            <w:r w:rsidRPr="0089418D">
              <w:rPr>
                <w:rFonts w:ascii="Tahoma" w:hAnsi="Tahoma" w:cs="Tahoma"/>
                <w:sz w:val="20"/>
                <w:szCs w:val="20"/>
              </w:rPr>
              <w:t xml:space="preserve">Наименование кредитора (Банка), место нахождения постоянно действующего исполнительного органа, контактный телефон, по которому осуществляется связь с Банком, официальный сайт, номер </w:t>
            </w:r>
            <w:r w:rsidRPr="0089418D">
              <w:rPr>
                <w:rFonts w:ascii="Tahoma" w:hAnsi="Tahoma" w:cs="Tahoma"/>
                <w:sz w:val="20"/>
                <w:szCs w:val="20"/>
              </w:rPr>
              <w:lastRenderedPageBreak/>
              <w:t>лицензии на осуществление банковских операций.</w:t>
            </w:r>
          </w:p>
        </w:tc>
        <w:tc>
          <w:tcPr>
            <w:tcW w:w="3685" w:type="pct"/>
            <w:vAlign w:val="center"/>
          </w:tcPr>
          <w:p w14:paraId="21C49DA9" w14:textId="77777777" w:rsidR="00951A61" w:rsidRPr="0089418D" w:rsidRDefault="00951A61" w:rsidP="00A4032F">
            <w:pPr>
              <w:tabs>
                <w:tab w:val="left" w:pos="851"/>
              </w:tabs>
              <w:ind w:firstLine="425"/>
              <w:jc w:val="both"/>
              <w:rPr>
                <w:rFonts w:ascii="Tahoma" w:hAnsi="Tahoma" w:cs="Tahoma"/>
                <w:bCs/>
                <w:iCs/>
                <w:sz w:val="20"/>
                <w:szCs w:val="20"/>
              </w:rPr>
            </w:pPr>
            <w:r w:rsidRPr="0089418D">
              <w:rPr>
                <w:rFonts w:ascii="Tahoma" w:hAnsi="Tahoma" w:cs="Tahoma"/>
                <w:sz w:val="20"/>
                <w:szCs w:val="20"/>
              </w:rPr>
              <w:lastRenderedPageBreak/>
              <w:t>«Азиатско-Тихоокеанский Банк» (Акционерное общество)</w:t>
            </w:r>
            <w:r>
              <w:rPr>
                <w:rFonts w:ascii="Tahoma" w:hAnsi="Tahoma" w:cs="Tahoma"/>
                <w:sz w:val="20"/>
                <w:szCs w:val="20"/>
              </w:rPr>
              <w:t>, по тексту</w:t>
            </w:r>
            <w:r w:rsidRPr="0089418D">
              <w:rPr>
                <w:rFonts w:ascii="Tahoma" w:hAnsi="Tahoma" w:cs="Tahoma"/>
                <w:sz w:val="20"/>
                <w:szCs w:val="20"/>
              </w:rPr>
              <w:t xml:space="preserve"> - Банк. Универсальная лицензия ЦБ РФ № 1810, ОГРН: 1022800000079, ИНН: 2801023444, БИК: 041012765, кор. счет №: 30101810300000000765 в Отделении Благовещенск. Местонахождение Банка и место нахождения его постоянно действующего исполнительного органа: 675004, Амурская область, г. Благовещенск, ул. Амурская, дом 225. Контактный тел.: 8 800 775 8888 (звонок по России бесплатный). Сайт Банка в сети Интернет: </w:t>
            </w:r>
            <w:hyperlink r:id="rId43" w:history="1">
              <w:r w:rsidRPr="0089418D">
                <w:rPr>
                  <w:rFonts w:ascii="Tahoma" w:hAnsi="Tahoma" w:cs="Tahoma"/>
                  <w:sz w:val="20"/>
                  <w:szCs w:val="20"/>
                </w:rPr>
                <w:t>www.atb.su</w:t>
              </w:r>
            </w:hyperlink>
            <w:r w:rsidRPr="0089418D">
              <w:rPr>
                <w:rFonts w:ascii="Tahoma" w:hAnsi="Tahoma" w:cs="Tahoma"/>
                <w:sz w:val="20"/>
                <w:szCs w:val="20"/>
              </w:rPr>
              <w:t>.</w:t>
            </w:r>
          </w:p>
        </w:tc>
      </w:tr>
      <w:tr w:rsidR="00951A61" w:rsidRPr="0089418D" w14:paraId="521A3FD3" w14:textId="77777777" w:rsidTr="00A4032F">
        <w:tc>
          <w:tcPr>
            <w:tcW w:w="1315" w:type="pct"/>
            <w:vAlign w:val="center"/>
          </w:tcPr>
          <w:p w14:paraId="6CC2DD51" w14:textId="77777777" w:rsidR="00951A61" w:rsidRPr="0089418D" w:rsidRDefault="00951A61" w:rsidP="00A4032F">
            <w:pPr>
              <w:tabs>
                <w:tab w:val="left" w:pos="851"/>
              </w:tabs>
              <w:jc w:val="center"/>
              <w:rPr>
                <w:rFonts w:ascii="Tahoma" w:hAnsi="Tahoma" w:cs="Tahoma"/>
                <w:sz w:val="20"/>
                <w:szCs w:val="20"/>
              </w:rPr>
            </w:pPr>
            <w:r w:rsidRPr="0089418D">
              <w:rPr>
                <w:rFonts w:ascii="Tahoma" w:hAnsi="Tahoma" w:cs="Tahoma"/>
                <w:sz w:val="20"/>
                <w:szCs w:val="20"/>
              </w:rPr>
              <w:t>Предмет ипотеки</w:t>
            </w:r>
          </w:p>
        </w:tc>
        <w:tc>
          <w:tcPr>
            <w:tcW w:w="3685" w:type="pct"/>
            <w:vAlign w:val="center"/>
          </w:tcPr>
          <w:p w14:paraId="0AB16271" w14:textId="77777777" w:rsidR="00951A61" w:rsidRPr="0089418D" w:rsidRDefault="00951A61" w:rsidP="00A4032F">
            <w:pPr>
              <w:tabs>
                <w:tab w:val="left" w:pos="851"/>
              </w:tabs>
              <w:ind w:firstLine="425"/>
              <w:jc w:val="both"/>
              <w:rPr>
                <w:rFonts w:ascii="Tahoma" w:hAnsi="Tahoma" w:cs="Tahoma"/>
                <w:sz w:val="20"/>
                <w:szCs w:val="20"/>
              </w:rPr>
            </w:pPr>
            <w:r w:rsidRPr="0089418D">
              <w:rPr>
                <w:rFonts w:ascii="Tahoma" w:hAnsi="Tahoma" w:cs="Tahoma"/>
                <w:sz w:val="20"/>
                <w:szCs w:val="20"/>
              </w:rPr>
              <w:t>Объект недвижимости, под залог которого осуществляется выдача ипотечного кредита</w:t>
            </w:r>
          </w:p>
        </w:tc>
      </w:tr>
      <w:tr w:rsidR="00951A61" w:rsidRPr="0089418D" w14:paraId="385CAB29" w14:textId="77777777" w:rsidTr="00A4032F">
        <w:tc>
          <w:tcPr>
            <w:tcW w:w="1315" w:type="pct"/>
          </w:tcPr>
          <w:p w14:paraId="540F5306" w14:textId="77777777" w:rsidR="00951A61" w:rsidRPr="0089418D" w:rsidRDefault="00951A61" w:rsidP="00A4032F">
            <w:pPr>
              <w:tabs>
                <w:tab w:val="left" w:pos="851"/>
              </w:tabs>
              <w:jc w:val="center"/>
              <w:rPr>
                <w:rFonts w:ascii="Tahoma" w:hAnsi="Tahoma" w:cs="Tahoma"/>
                <w:color w:val="000000"/>
                <w:sz w:val="20"/>
                <w:szCs w:val="20"/>
              </w:rPr>
            </w:pPr>
            <w:r w:rsidRPr="0089418D">
              <w:rPr>
                <w:rFonts w:ascii="Tahoma" w:hAnsi="Tahoma" w:cs="Tahoma"/>
                <w:color w:val="000000"/>
                <w:sz w:val="20"/>
                <w:szCs w:val="20"/>
              </w:rPr>
              <w:t>ПСК</w:t>
            </w:r>
          </w:p>
        </w:tc>
        <w:tc>
          <w:tcPr>
            <w:tcW w:w="3685" w:type="pct"/>
          </w:tcPr>
          <w:p w14:paraId="6AF0F10F" w14:textId="77777777" w:rsidR="00951A61" w:rsidRPr="0089418D" w:rsidRDefault="00951A61" w:rsidP="00A4032F">
            <w:pPr>
              <w:ind w:firstLine="425"/>
              <w:jc w:val="both"/>
              <w:rPr>
                <w:rFonts w:ascii="Tahoma" w:hAnsi="Tahoma" w:cs="Tahoma"/>
                <w:sz w:val="20"/>
                <w:szCs w:val="20"/>
              </w:rPr>
            </w:pPr>
            <w:r w:rsidRPr="0089418D">
              <w:rPr>
                <w:rFonts w:ascii="Tahoma" w:hAnsi="Tahoma" w:cs="Tahoma"/>
                <w:sz w:val="20"/>
                <w:szCs w:val="20"/>
              </w:rPr>
              <w:t xml:space="preserve">Полная стоимость потребительского кредита определяется как в процентах годовых, </w:t>
            </w:r>
            <w:r w:rsidRPr="0089418D">
              <w:rPr>
                <w:rFonts w:ascii="Tahoma" w:hAnsi="Tahoma" w:cs="Tahoma"/>
                <w:bCs/>
                <w:sz w:val="20"/>
                <w:szCs w:val="20"/>
              </w:rPr>
              <w:t>так и в денежном выражении</w:t>
            </w:r>
          </w:p>
        </w:tc>
      </w:tr>
      <w:tr w:rsidR="00951A61" w:rsidRPr="0089418D" w14:paraId="2F44A83A" w14:textId="77777777" w:rsidTr="00A4032F">
        <w:tc>
          <w:tcPr>
            <w:tcW w:w="1315" w:type="pct"/>
            <w:vAlign w:val="center"/>
          </w:tcPr>
          <w:p w14:paraId="561F0E26" w14:textId="77777777" w:rsidR="00951A61" w:rsidRPr="0089418D" w:rsidRDefault="00951A61" w:rsidP="00A4032F">
            <w:pPr>
              <w:tabs>
                <w:tab w:val="left" w:pos="851"/>
              </w:tabs>
              <w:jc w:val="center"/>
              <w:rPr>
                <w:rFonts w:ascii="Tahoma" w:hAnsi="Tahoma" w:cs="Tahoma"/>
                <w:color w:val="000000"/>
                <w:sz w:val="20"/>
                <w:szCs w:val="20"/>
              </w:rPr>
            </w:pPr>
            <w:r w:rsidRPr="0089418D">
              <w:rPr>
                <w:rFonts w:ascii="Tahoma" w:hAnsi="Tahoma" w:cs="Tahoma"/>
                <w:sz w:val="20"/>
                <w:szCs w:val="20"/>
              </w:rPr>
              <w:t>Таунхаус</w:t>
            </w:r>
          </w:p>
        </w:tc>
        <w:tc>
          <w:tcPr>
            <w:tcW w:w="3685" w:type="pct"/>
            <w:vAlign w:val="center"/>
          </w:tcPr>
          <w:p w14:paraId="006EA1DF" w14:textId="77777777" w:rsidR="00951A61" w:rsidRPr="0089418D" w:rsidRDefault="00951A61" w:rsidP="00A4032F">
            <w:pPr>
              <w:ind w:firstLine="425"/>
              <w:jc w:val="both"/>
              <w:rPr>
                <w:rFonts w:ascii="Tahoma" w:hAnsi="Tahoma" w:cs="Tahoma"/>
                <w:sz w:val="20"/>
                <w:szCs w:val="20"/>
              </w:rPr>
            </w:pPr>
            <w:r w:rsidRPr="0089418D">
              <w:rPr>
                <w:rFonts w:ascii="Tahoma" w:hAnsi="Tahoma" w:cs="Tahoma"/>
                <w:sz w:val="20"/>
                <w:szCs w:val="20"/>
              </w:rPr>
              <w:t>Малоэтажный жилой дом (не менее 2-х и не более 3-х надземных этажей) на несколько многоуровневых квартир (секций)/ сблокированный из нескольких многоуровневых квартир (секций)), как правило, с изолированными входами (без общего подъезда) для входа в квартиру (секцию), входящий в комплекс однотипных (построенных по одному проекту) жилых домов</w:t>
            </w:r>
          </w:p>
        </w:tc>
      </w:tr>
      <w:tr w:rsidR="00951A61" w:rsidRPr="0089418D" w14:paraId="126B6BC7" w14:textId="77777777" w:rsidTr="00A4032F">
        <w:tc>
          <w:tcPr>
            <w:tcW w:w="1315" w:type="pct"/>
          </w:tcPr>
          <w:p w14:paraId="77F68618" w14:textId="77777777" w:rsidR="00951A61" w:rsidRPr="0089418D" w:rsidRDefault="00951A61" w:rsidP="00A4032F">
            <w:pPr>
              <w:jc w:val="center"/>
              <w:rPr>
                <w:rFonts w:ascii="Tahoma" w:hAnsi="Tahoma" w:cs="Tahoma"/>
                <w:bCs/>
                <w:sz w:val="20"/>
                <w:szCs w:val="20"/>
              </w:rPr>
            </w:pPr>
            <w:r w:rsidRPr="0089418D">
              <w:rPr>
                <w:rFonts w:ascii="Tahoma" w:hAnsi="Tahoma" w:cs="Tahoma"/>
                <w:sz w:val="20"/>
                <w:szCs w:val="20"/>
              </w:rPr>
              <w:t>ТБС (либо ТБС Заемщика)</w:t>
            </w:r>
          </w:p>
        </w:tc>
        <w:tc>
          <w:tcPr>
            <w:tcW w:w="3685" w:type="pct"/>
          </w:tcPr>
          <w:p w14:paraId="478347EF" w14:textId="77777777" w:rsidR="00951A61" w:rsidRPr="0089418D" w:rsidRDefault="00951A61" w:rsidP="00A4032F">
            <w:pPr>
              <w:widowControl w:val="0"/>
              <w:tabs>
                <w:tab w:val="left" w:pos="851"/>
              </w:tabs>
              <w:adjustRightInd w:val="0"/>
              <w:ind w:firstLine="425"/>
              <w:jc w:val="both"/>
              <w:rPr>
                <w:rFonts w:ascii="Tahoma" w:hAnsi="Tahoma" w:cs="Tahoma"/>
                <w:bCs/>
                <w:sz w:val="20"/>
                <w:szCs w:val="20"/>
              </w:rPr>
            </w:pPr>
            <w:r w:rsidRPr="0089418D">
              <w:rPr>
                <w:rFonts w:ascii="Tahoma" w:hAnsi="Tahoma" w:cs="Tahoma"/>
                <w:sz w:val="20"/>
                <w:szCs w:val="20"/>
              </w:rPr>
              <w:t>Текущий банковский счет, открытый Банком Заемщику в рамках Кредитного договора</w:t>
            </w:r>
          </w:p>
        </w:tc>
      </w:tr>
    </w:tbl>
    <w:p w14:paraId="3E125D80" w14:textId="77777777" w:rsidR="00951A61" w:rsidRPr="0089418D" w:rsidRDefault="00951A61" w:rsidP="00951A61">
      <w:pPr>
        <w:rPr>
          <w:rFonts w:ascii="Tahoma" w:hAnsi="Tahoma" w:cs="Tahoma"/>
          <w:noProof/>
          <w:sz w:val="20"/>
          <w:szCs w:val="20"/>
        </w:rPr>
      </w:pPr>
    </w:p>
    <w:p w14:paraId="6199D7C8" w14:textId="77777777" w:rsidR="00951A61" w:rsidRPr="00980AD4" w:rsidRDefault="00951A61" w:rsidP="00951A61">
      <w:pPr>
        <w:jc w:val="both"/>
        <w:rPr>
          <w:rFonts w:ascii="Tahoma" w:hAnsi="Tahoma" w:cs="Tahoma"/>
          <w:noProof/>
          <w:sz w:val="20"/>
          <w:szCs w:val="20"/>
        </w:rPr>
      </w:pPr>
      <w:r w:rsidRPr="0007555A">
        <w:rPr>
          <w:rFonts w:ascii="Tahoma" w:hAnsi="Tahoma" w:cs="Tahoma"/>
          <w:sz w:val="20"/>
          <w:szCs w:val="20"/>
        </w:rPr>
        <w:t xml:space="preserve">Не </w:t>
      </w:r>
      <w:r>
        <w:rPr>
          <w:rFonts w:ascii="Tahoma" w:hAnsi="Tahoma" w:cs="Tahoma"/>
          <w:sz w:val="20"/>
          <w:szCs w:val="20"/>
        </w:rPr>
        <w:t xml:space="preserve">приведенные </w:t>
      </w:r>
      <w:r w:rsidRPr="0007555A">
        <w:rPr>
          <w:rFonts w:ascii="Tahoma" w:hAnsi="Tahoma" w:cs="Tahoma"/>
          <w:sz w:val="20"/>
          <w:szCs w:val="20"/>
        </w:rPr>
        <w:t xml:space="preserve">в настоящем документе </w:t>
      </w:r>
      <w:r>
        <w:rPr>
          <w:rFonts w:ascii="Tahoma" w:hAnsi="Tahoma" w:cs="Tahoma"/>
          <w:sz w:val="20"/>
          <w:szCs w:val="20"/>
        </w:rPr>
        <w:t xml:space="preserve">значения </w:t>
      </w:r>
      <w:r w:rsidRPr="0007555A">
        <w:rPr>
          <w:rFonts w:ascii="Tahoma" w:hAnsi="Tahoma" w:cs="Tahoma"/>
          <w:sz w:val="20"/>
          <w:szCs w:val="20"/>
        </w:rPr>
        <w:t>термин</w:t>
      </w:r>
      <w:r>
        <w:rPr>
          <w:rFonts w:ascii="Tahoma" w:hAnsi="Tahoma" w:cs="Tahoma"/>
          <w:sz w:val="20"/>
          <w:szCs w:val="20"/>
        </w:rPr>
        <w:t>ов</w:t>
      </w:r>
      <w:r w:rsidRPr="0007555A">
        <w:rPr>
          <w:rFonts w:ascii="Tahoma" w:hAnsi="Tahoma" w:cs="Tahoma"/>
          <w:sz w:val="20"/>
          <w:szCs w:val="20"/>
        </w:rPr>
        <w:t xml:space="preserve">, применяются в значении, определенном в Универсальном договоре банковского обслуживания физических лиц «Азиатско-Тихоокеанский Банк» (АО), размещённом на сайте Банка: </w:t>
      </w:r>
      <w:hyperlink r:id="rId44" w:history="1">
        <w:r w:rsidRPr="002D378F">
          <w:rPr>
            <w:rStyle w:val="aff"/>
            <w:rFonts w:ascii="Tahoma" w:hAnsi="Tahoma" w:cs="Tahoma"/>
            <w:sz w:val="20"/>
            <w:szCs w:val="20"/>
          </w:rPr>
          <w:t>www.atb.su</w:t>
        </w:r>
      </w:hyperlink>
      <w:r>
        <w:rPr>
          <w:rFonts w:ascii="Tahoma" w:hAnsi="Tahoma" w:cs="Tahoma"/>
          <w:sz w:val="20"/>
          <w:szCs w:val="20"/>
        </w:rPr>
        <w:t xml:space="preserve"> </w:t>
      </w:r>
      <w:r>
        <w:rPr>
          <w:rFonts w:ascii="Tahoma" w:hAnsi="Tahoma" w:cs="Tahoma"/>
          <w:noProof/>
          <w:sz w:val="20"/>
        </w:rPr>
        <w:t>и в Подразделениях Банка</w:t>
      </w:r>
      <w:r w:rsidRPr="00980AD4">
        <w:rPr>
          <w:rFonts w:ascii="Tahoma" w:hAnsi="Tahoma" w:cs="Tahoma"/>
          <w:noProof/>
          <w:sz w:val="20"/>
          <w:szCs w:val="20"/>
        </w:rPr>
        <w:t>.</w:t>
      </w:r>
    </w:p>
    <w:p w14:paraId="65F7FD27" w14:textId="77777777" w:rsidR="00951A61" w:rsidRPr="0089418D" w:rsidRDefault="00951A61" w:rsidP="00951A61">
      <w:pPr>
        <w:rPr>
          <w:rFonts w:ascii="Tahoma" w:hAnsi="Tahoma" w:cs="Tahoma"/>
          <w:noProof/>
          <w:sz w:val="20"/>
          <w:szCs w:val="20"/>
        </w:rPr>
      </w:pPr>
    </w:p>
    <w:p w14:paraId="75B7B7C7" w14:textId="77777777" w:rsidR="00951A61" w:rsidRPr="0089418D" w:rsidRDefault="00951A61" w:rsidP="00B460F9">
      <w:pPr>
        <w:pStyle w:val="affe"/>
        <w:numPr>
          <w:ilvl w:val="0"/>
          <w:numId w:val="184"/>
        </w:numPr>
        <w:tabs>
          <w:tab w:val="left" w:pos="851"/>
        </w:tabs>
        <w:ind w:left="0" w:firstLine="426"/>
        <w:contextualSpacing/>
        <w:jc w:val="both"/>
        <w:rPr>
          <w:rFonts w:ascii="Tahoma" w:hAnsi="Tahoma" w:cs="Tahoma"/>
          <w:b/>
          <w:bCs/>
          <w:caps/>
          <w:sz w:val="20"/>
          <w:szCs w:val="20"/>
        </w:rPr>
      </w:pPr>
      <w:r w:rsidRPr="0089418D">
        <w:rPr>
          <w:rFonts w:ascii="Tahoma" w:hAnsi="Tahoma" w:cs="Tahoma"/>
          <w:b/>
          <w:bCs/>
          <w:caps/>
          <w:sz w:val="20"/>
          <w:szCs w:val="20"/>
        </w:rPr>
        <w:t xml:space="preserve">ИНФОРМАЦИЯ ОБ УСЛОВИЯХ ПРЕДОСТАВЛЕНИЯ, ИСПОЛЬЗОВАНИЯ И ВОЗВРАТА ИПОТЕЧНОГО КРЕДИТА </w:t>
      </w:r>
    </w:p>
    <w:tbl>
      <w:tblPr>
        <w:tblW w:w="15665" w:type="dxa"/>
        <w:tblInd w:w="35" w:type="dxa"/>
        <w:tblLayout w:type="fixed"/>
        <w:tblLook w:val="04A0" w:firstRow="1" w:lastRow="0" w:firstColumn="1" w:lastColumn="0" w:noHBand="0" w:noVBand="1"/>
      </w:tblPr>
      <w:tblGrid>
        <w:gridCol w:w="4071"/>
        <w:gridCol w:w="11594"/>
      </w:tblGrid>
      <w:tr w:rsidR="00951A61" w:rsidRPr="0089418D" w14:paraId="6100E03E" w14:textId="77777777" w:rsidTr="00A4032F">
        <w:trPr>
          <w:trHeight w:val="255"/>
        </w:trPr>
        <w:tc>
          <w:tcPr>
            <w:tcW w:w="40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4123BBD" w14:textId="77777777" w:rsidR="00951A61" w:rsidRPr="0089418D" w:rsidRDefault="00951A61" w:rsidP="00A4032F">
            <w:pPr>
              <w:jc w:val="center"/>
              <w:rPr>
                <w:rFonts w:ascii="Tahoma" w:hAnsi="Tahoma" w:cs="Tahoma"/>
                <w:b/>
                <w:bCs/>
                <w:sz w:val="20"/>
                <w:szCs w:val="20"/>
              </w:rPr>
            </w:pPr>
            <w:r w:rsidRPr="0089418D">
              <w:rPr>
                <w:rFonts w:ascii="Tahoma" w:hAnsi="Tahoma" w:cs="Tahoma"/>
                <w:b/>
                <w:bCs/>
                <w:sz w:val="20"/>
                <w:szCs w:val="20"/>
              </w:rPr>
              <w:t>Наименование                                    тарифного плана (ТП)</w:t>
            </w:r>
          </w:p>
        </w:tc>
        <w:tc>
          <w:tcPr>
            <w:tcW w:w="11594"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A8A919B" w14:textId="77777777" w:rsidR="00951A61" w:rsidRPr="0089418D" w:rsidRDefault="00951A61" w:rsidP="00A4032F">
            <w:pPr>
              <w:jc w:val="center"/>
              <w:rPr>
                <w:rFonts w:ascii="Tahoma" w:hAnsi="Tahoma" w:cs="Tahoma"/>
                <w:b/>
                <w:bCs/>
                <w:sz w:val="20"/>
                <w:szCs w:val="20"/>
              </w:rPr>
            </w:pPr>
            <w:r w:rsidRPr="0089418D">
              <w:rPr>
                <w:rFonts w:ascii="Tahoma" w:hAnsi="Tahoma" w:cs="Tahoma"/>
                <w:b/>
                <w:bCs/>
                <w:sz w:val="20"/>
                <w:szCs w:val="20"/>
              </w:rPr>
              <w:t xml:space="preserve"> «</w:t>
            </w:r>
            <w:r w:rsidRPr="0089418D">
              <w:rPr>
                <w:rFonts w:ascii="Tahoma" w:hAnsi="Tahoma" w:cs="Tahoma"/>
                <w:b/>
                <w:noProof/>
                <w:sz w:val="20"/>
                <w:szCs w:val="20"/>
              </w:rPr>
              <w:t>Готовое жилье</w:t>
            </w:r>
            <w:r w:rsidRPr="0089418D">
              <w:rPr>
                <w:rFonts w:ascii="Tahoma" w:hAnsi="Tahoma" w:cs="Tahoma"/>
                <w:b/>
                <w:bCs/>
                <w:sz w:val="20"/>
                <w:szCs w:val="20"/>
              </w:rPr>
              <w:t>»</w:t>
            </w:r>
          </w:p>
        </w:tc>
      </w:tr>
      <w:tr w:rsidR="00951A61" w:rsidRPr="0089418D" w14:paraId="251EB57E" w14:textId="77777777" w:rsidTr="00A4032F">
        <w:trPr>
          <w:trHeight w:val="255"/>
        </w:trPr>
        <w:tc>
          <w:tcPr>
            <w:tcW w:w="40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A78ACE" w14:textId="77777777" w:rsidR="00951A61" w:rsidRPr="0089418D" w:rsidRDefault="00951A61" w:rsidP="00A4032F">
            <w:pPr>
              <w:jc w:val="center"/>
              <w:rPr>
                <w:rFonts w:ascii="Tahoma" w:hAnsi="Tahoma" w:cs="Tahoma"/>
                <w:b/>
                <w:bCs/>
                <w:sz w:val="20"/>
                <w:szCs w:val="20"/>
              </w:rPr>
            </w:pPr>
            <w:r w:rsidRPr="0089418D">
              <w:rPr>
                <w:rFonts w:ascii="Tahoma" w:hAnsi="Tahoma" w:cs="Tahoma"/>
                <w:b/>
                <w:bCs/>
                <w:sz w:val="20"/>
                <w:szCs w:val="20"/>
              </w:rPr>
              <w:t xml:space="preserve">Вид </w:t>
            </w:r>
            <w:r>
              <w:rPr>
                <w:rFonts w:ascii="Tahoma" w:hAnsi="Tahoma" w:cs="Tahoma"/>
                <w:b/>
                <w:bCs/>
                <w:sz w:val="20"/>
                <w:szCs w:val="20"/>
              </w:rPr>
              <w:t>потребительского</w:t>
            </w:r>
            <w:r w:rsidRPr="0089418D">
              <w:rPr>
                <w:rFonts w:ascii="Tahoma" w:hAnsi="Tahoma" w:cs="Tahoma"/>
                <w:b/>
                <w:bCs/>
                <w:sz w:val="20"/>
                <w:szCs w:val="20"/>
              </w:rPr>
              <w:t xml:space="preserve"> кредита</w:t>
            </w:r>
          </w:p>
        </w:tc>
        <w:tc>
          <w:tcPr>
            <w:tcW w:w="11594" w:type="dxa"/>
            <w:tcBorders>
              <w:top w:val="single" w:sz="4" w:space="0" w:color="auto"/>
              <w:left w:val="nil"/>
              <w:bottom w:val="single" w:sz="4" w:space="0" w:color="auto"/>
              <w:right w:val="single" w:sz="4" w:space="0" w:color="auto"/>
            </w:tcBorders>
            <w:shd w:val="clear" w:color="auto" w:fill="auto"/>
            <w:vAlign w:val="center"/>
          </w:tcPr>
          <w:p w14:paraId="2B84EA56" w14:textId="77777777" w:rsidR="00951A61" w:rsidRPr="0089418D" w:rsidRDefault="00951A61" w:rsidP="00A4032F">
            <w:pPr>
              <w:ind w:firstLine="425"/>
              <w:jc w:val="both"/>
              <w:rPr>
                <w:rFonts w:ascii="Tahoma" w:hAnsi="Tahoma" w:cs="Tahoma"/>
                <w:sz w:val="20"/>
                <w:szCs w:val="20"/>
              </w:rPr>
            </w:pPr>
            <w:r w:rsidRPr="0089418D">
              <w:rPr>
                <w:rFonts w:ascii="Tahoma" w:hAnsi="Tahoma" w:cs="Tahoma"/>
                <w:sz w:val="20"/>
                <w:szCs w:val="20"/>
              </w:rPr>
              <w:t>Ипотечный кредит</w:t>
            </w:r>
          </w:p>
        </w:tc>
      </w:tr>
      <w:tr w:rsidR="00951A61" w:rsidRPr="0089418D" w14:paraId="6204129C" w14:textId="77777777" w:rsidTr="00A4032F">
        <w:trPr>
          <w:trHeight w:val="255"/>
        </w:trPr>
        <w:tc>
          <w:tcPr>
            <w:tcW w:w="4071" w:type="dxa"/>
            <w:tcBorders>
              <w:top w:val="single" w:sz="4" w:space="0" w:color="auto"/>
              <w:left w:val="single" w:sz="4" w:space="0" w:color="auto"/>
              <w:bottom w:val="single" w:sz="4" w:space="0" w:color="auto"/>
              <w:right w:val="single" w:sz="4" w:space="0" w:color="auto"/>
            </w:tcBorders>
            <w:shd w:val="clear" w:color="auto" w:fill="auto"/>
            <w:vAlign w:val="center"/>
          </w:tcPr>
          <w:p w14:paraId="26256ADB" w14:textId="77777777" w:rsidR="00951A61" w:rsidRPr="0089418D" w:rsidDel="00ED23AE" w:rsidRDefault="00951A61" w:rsidP="00A4032F">
            <w:pPr>
              <w:jc w:val="center"/>
              <w:rPr>
                <w:rFonts w:ascii="Tahoma" w:hAnsi="Tahoma" w:cs="Tahoma"/>
                <w:b/>
                <w:sz w:val="20"/>
                <w:szCs w:val="20"/>
              </w:rPr>
            </w:pPr>
            <w:r w:rsidRPr="0089418D">
              <w:rPr>
                <w:rFonts w:ascii="Tahoma" w:hAnsi="Tahoma" w:cs="Tahoma"/>
                <w:b/>
                <w:sz w:val="20"/>
                <w:szCs w:val="20"/>
              </w:rPr>
              <w:t>Цель</w:t>
            </w:r>
            <w:r>
              <w:rPr>
                <w:rFonts w:ascii="Tahoma" w:hAnsi="Tahoma" w:cs="Tahoma"/>
                <w:b/>
                <w:sz w:val="20"/>
                <w:szCs w:val="20"/>
              </w:rPr>
              <w:t xml:space="preserve"> </w:t>
            </w:r>
            <w:r>
              <w:rPr>
                <w:rFonts w:ascii="Tahoma" w:hAnsi="Tahoma" w:cs="Tahoma"/>
                <w:b/>
                <w:bCs/>
                <w:sz w:val="20"/>
                <w:szCs w:val="20"/>
              </w:rPr>
              <w:t>потребительского</w:t>
            </w:r>
            <w:r w:rsidRPr="0089418D">
              <w:rPr>
                <w:rFonts w:ascii="Tahoma" w:hAnsi="Tahoma" w:cs="Tahoma"/>
                <w:b/>
                <w:sz w:val="20"/>
                <w:szCs w:val="20"/>
              </w:rPr>
              <w:t xml:space="preserve"> кредита</w:t>
            </w:r>
          </w:p>
        </w:tc>
        <w:tc>
          <w:tcPr>
            <w:tcW w:w="11594" w:type="dxa"/>
            <w:tcBorders>
              <w:top w:val="single" w:sz="4" w:space="0" w:color="auto"/>
              <w:left w:val="nil"/>
              <w:bottom w:val="single" w:sz="4" w:space="0" w:color="auto"/>
              <w:right w:val="single" w:sz="4" w:space="0" w:color="auto"/>
            </w:tcBorders>
            <w:shd w:val="clear" w:color="auto" w:fill="auto"/>
            <w:vAlign w:val="center"/>
          </w:tcPr>
          <w:p w14:paraId="0481235C" w14:textId="77777777" w:rsidR="00951A61" w:rsidRPr="00C837FF" w:rsidRDefault="00951A61" w:rsidP="00A4032F">
            <w:pPr>
              <w:ind w:firstLine="425"/>
              <w:jc w:val="both"/>
              <w:rPr>
                <w:rFonts w:ascii="Tahoma" w:hAnsi="Tahoma" w:cs="Tahoma"/>
                <w:sz w:val="20"/>
                <w:szCs w:val="20"/>
              </w:rPr>
            </w:pPr>
            <w:r w:rsidRPr="00C837FF">
              <w:rPr>
                <w:rFonts w:ascii="Tahoma" w:hAnsi="Tahoma" w:cs="Tahoma"/>
                <w:sz w:val="20"/>
                <w:szCs w:val="20"/>
              </w:rPr>
              <w:t>1) Приобретение квартиры в многоквартирном доме/апартаментов/жилого дома с земельным участком/таунхауса путем заключения договора купли-продажи (а также иные неотделимые улучшения Предмета ипотеки).</w:t>
            </w:r>
          </w:p>
          <w:p w14:paraId="6936450E" w14:textId="77777777" w:rsidR="00951A61" w:rsidRPr="00C837FF" w:rsidDel="00ED23AE" w:rsidRDefault="00951A61" w:rsidP="00A4032F">
            <w:pPr>
              <w:ind w:firstLine="425"/>
              <w:jc w:val="both"/>
              <w:rPr>
                <w:rFonts w:ascii="Tahoma" w:hAnsi="Tahoma" w:cs="Tahoma"/>
                <w:sz w:val="20"/>
                <w:szCs w:val="20"/>
              </w:rPr>
            </w:pPr>
            <w:r w:rsidRPr="00C837FF">
              <w:rPr>
                <w:rFonts w:ascii="Tahoma" w:hAnsi="Tahoma" w:cs="Tahoma"/>
                <w:sz w:val="20"/>
                <w:szCs w:val="20"/>
              </w:rPr>
              <w:t>2) Приобретение готовой квартиры в многоквартирном доме или апартаментов, находящихся в залоге (ипотеке) в обеспечении обязательств продавца Предмета ипотеки указанного недвижимого имущества, путем заключения договора купли-продажи</w:t>
            </w:r>
            <w:r w:rsidRPr="00C837FF">
              <w:rPr>
                <w:rStyle w:val="aff3"/>
                <w:rFonts w:ascii="Tahoma" w:hAnsi="Tahoma" w:cs="Tahoma"/>
                <w:sz w:val="20"/>
                <w:szCs w:val="20"/>
              </w:rPr>
              <w:footnoteReference w:id="9"/>
            </w:r>
          </w:p>
        </w:tc>
      </w:tr>
      <w:tr w:rsidR="00951A61" w:rsidRPr="0089418D" w14:paraId="2079FEDA" w14:textId="77777777" w:rsidTr="00A4032F">
        <w:trPr>
          <w:trHeight w:val="255"/>
        </w:trPr>
        <w:tc>
          <w:tcPr>
            <w:tcW w:w="4071" w:type="dxa"/>
            <w:tcBorders>
              <w:top w:val="single" w:sz="4" w:space="0" w:color="auto"/>
              <w:left w:val="single" w:sz="4" w:space="0" w:color="auto"/>
              <w:bottom w:val="single" w:sz="4" w:space="0" w:color="auto"/>
              <w:right w:val="single" w:sz="4" w:space="0" w:color="auto"/>
            </w:tcBorders>
            <w:shd w:val="clear" w:color="auto" w:fill="auto"/>
            <w:vAlign w:val="center"/>
          </w:tcPr>
          <w:p w14:paraId="514AD36C" w14:textId="77777777" w:rsidR="00951A61" w:rsidRPr="0089418D" w:rsidRDefault="00951A61" w:rsidP="00A4032F">
            <w:pPr>
              <w:jc w:val="center"/>
              <w:rPr>
                <w:rFonts w:ascii="Tahoma" w:hAnsi="Tahoma" w:cs="Tahoma"/>
                <w:b/>
                <w:sz w:val="20"/>
                <w:szCs w:val="20"/>
              </w:rPr>
            </w:pPr>
            <w:r w:rsidRPr="0089418D">
              <w:rPr>
                <w:rFonts w:ascii="Tahoma" w:hAnsi="Tahoma" w:cs="Tahoma"/>
                <w:b/>
                <w:sz w:val="20"/>
                <w:szCs w:val="20"/>
              </w:rPr>
              <w:t>Опция «Залоговый»</w:t>
            </w:r>
          </w:p>
        </w:tc>
        <w:tc>
          <w:tcPr>
            <w:tcW w:w="11594" w:type="dxa"/>
            <w:tcBorders>
              <w:top w:val="single" w:sz="4" w:space="0" w:color="auto"/>
              <w:left w:val="nil"/>
              <w:bottom w:val="single" w:sz="4" w:space="0" w:color="auto"/>
              <w:right w:val="single" w:sz="4" w:space="0" w:color="auto"/>
            </w:tcBorders>
            <w:shd w:val="clear" w:color="auto" w:fill="auto"/>
            <w:vAlign w:val="center"/>
          </w:tcPr>
          <w:p w14:paraId="3E9DAD87" w14:textId="77777777" w:rsidR="00951A61" w:rsidRPr="00C837FF" w:rsidRDefault="00951A61" w:rsidP="00951A61">
            <w:pPr>
              <w:pStyle w:val="FooterEven"/>
              <w:numPr>
                <w:ilvl w:val="0"/>
                <w:numId w:val="53"/>
              </w:numPr>
              <w:tabs>
                <w:tab w:val="clear" w:pos="4320"/>
                <w:tab w:val="right" w:pos="0"/>
                <w:tab w:val="left" w:pos="97"/>
                <w:tab w:val="center" w:pos="740"/>
              </w:tabs>
              <w:ind w:left="0" w:firstLine="425"/>
              <w:jc w:val="both"/>
              <w:rPr>
                <w:rFonts w:ascii="Tahoma" w:eastAsia="Times New Roman" w:hAnsi="Tahoma" w:cs="Tahoma"/>
                <w:bCs/>
                <w:kern w:val="32"/>
                <w:sz w:val="20"/>
                <w:lang w:eastAsia="en-US"/>
              </w:rPr>
            </w:pPr>
            <w:r w:rsidRPr="00C837FF">
              <w:rPr>
                <w:rFonts w:ascii="Tahoma" w:hAnsi="Tahoma" w:cs="Tahoma"/>
                <w:sz w:val="20"/>
              </w:rPr>
              <w:t>Требования к продавцу Предмета ипотеки:</w:t>
            </w:r>
            <w:r w:rsidRPr="00C837FF">
              <w:rPr>
                <w:rFonts w:ascii="Tahoma" w:eastAsia="Times New Roman" w:hAnsi="Tahoma" w:cs="Tahoma"/>
                <w:bCs/>
                <w:kern w:val="32"/>
                <w:sz w:val="20"/>
                <w:lang w:eastAsia="en-US"/>
              </w:rPr>
              <w:t xml:space="preserve"> </w:t>
            </w:r>
          </w:p>
          <w:p w14:paraId="4216DEF9" w14:textId="77777777" w:rsidR="00951A61" w:rsidRPr="00C837FF" w:rsidRDefault="00951A61" w:rsidP="00951A61">
            <w:pPr>
              <w:pStyle w:val="FooterEven"/>
              <w:numPr>
                <w:ilvl w:val="1"/>
                <w:numId w:val="53"/>
              </w:numPr>
              <w:tabs>
                <w:tab w:val="clear" w:pos="4320"/>
                <w:tab w:val="clear" w:pos="8640"/>
                <w:tab w:val="left" w:pos="341"/>
              </w:tabs>
              <w:ind w:left="0" w:firstLine="425"/>
              <w:jc w:val="both"/>
              <w:rPr>
                <w:rFonts w:ascii="Tahoma" w:eastAsia="Times New Roman" w:hAnsi="Tahoma" w:cs="Tahoma"/>
                <w:b w:val="0"/>
                <w:sz w:val="20"/>
                <w:lang w:eastAsia="ru-RU"/>
              </w:rPr>
            </w:pPr>
            <w:r w:rsidRPr="00C837FF">
              <w:rPr>
                <w:rFonts w:ascii="Tahoma" w:eastAsia="Times New Roman" w:hAnsi="Tahoma" w:cs="Tahoma"/>
                <w:b w:val="0"/>
                <w:sz w:val="20"/>
                <w:lang w:eastAsia="ru-RU"/>
              </w:rPr>
              <w:t>по кредиту продавца Предмета ипотеки, по которому обеспечением обязательств является продаваемое им недвижимое имущество, должна отсутствовать текущая просроченная задолженность (данное требование не является обязательным в случае приобретения недвижимого имущества, находящегося в залоге (ипотеке) у Банка);</w:t>
            </w:r>
          </w:p>
          <w:p w14:paraId="0274C283" w14:textId="77777777" w:rsidR="00951A61" w:rsidRPr="00C837FF" w:rsidRDefault="00951A61" w:rsidP="00951A61">
            <w:pPr>
              <w:pStyle w:val="FooterEven"/>
              <w:numPr>
                <w:ilvl w:val="1"/>
                <w:numId w:val="53"/>
              </w:numPr>
              <w:tabs>
                <w:tab w:val="clear" w:pos="4320"/>
                <w:tab w:val="clear" w:pos="8640"/>
                <w:tab w:val="left" w:pos="341"/>
              </w:tabs>
              <w:ind w:left="0" w:firstLine="425"/>
              <w:jc w:val="both"/>
              <w:rPr>
                <w:rFonts w:ascii="Tahoma" w:eastAsia="Times New Roman" w:hAnsi="Tahoma" w:cs="Tahoma"/>
                <w:b w:val="0"/>
                <w:sz w:val="20"/>
                <w:lang w:eastAsia="ru-RU"/>
              </w:rPr>
            </w:pPr>
            <w:r w:rsidRPr="00C837FF">
              <w:rPr>
                <w:rFonts w:ascii="Tahoma" w:eastAsia="Times New Roman" w:hAnsi="Tahoma" w:cs="Tahoma"/>
                <w:b w:val="0"/>
                <w:sz w:val="20"/>
                <w:lang w:eastAsia="ru-RU"/>
              </w:rPr>
              <w:t>по кредиту продавца Предмета ипотеки не был использован материнский капитал в счет погашения задолженности.</w:t>
            </w:r>
          </w:p>
          <w:p w14:paraId="5456DD14" w14:textId="77777777" w:rsidR="00951A61" w:rsidRPr="00C837FF" w:rsidRDefault="00951A61" w:rsidP="00A4032F">
            <w:pPr>
              <w:pStyle w:val="FooterEven"/>
              <w:tabs>
                <w:tab w:val="clear" w:pos="4320"/>
                <w:tab w:val="clear" w:pos="8640"/>
                <w:tab w:val="left" w:pos="341"/>
              </w:tabs>
              <w:ind w:firstLine="425"/>
              <w:jc w:val="both"/>
              <w:rPr>
                <w:rFonts w:ascii="Tahoma" w:eastAsia="Times New Roman" w:hAnsi="Tahoma" w:cs="Tahoma"/>
                <w:b w:val="0"/>
                <w:sz w:val="20"/>
                <w:lang w:eastAsia="ru-RU"/>
              </w:rPr>
            </w:pPr>
          </w:p>
          <w:p w14:paraId="236C18AB" w14:textId="77777777" w:rsidR="00951A61" w:rsidRPr="00C837FF" w:rsidRDefault="00951A61" w:rsidP="00A4032F">
            <w:pPr>
              <w:pStyle w:val="FooterEven"/>
              <w:tabs>
                <w:tab w:val="clear" w:pos="8640"/>
                <w:tab w:val="left" w:pos="97"/>
                <w:tab w:val="right" w:pos="522"/>
              </w:tabs>
              <w:ind w:firstLine="425"/>
              <w:jc w:val="both"/>
              <w:rPr>
                <w:rFonts w:ascii="Tahoma" w:hAnsi="Tahoma" w:cs="Tahoma"/>
                <w:sz w:val="20"/>
              </w:rPr>
            </w:pPr>
            <w:r w:rsidRPr="00C837FF">
              <w:rPr>
                <w:rFonts w:ascii="Tahoma" w:hAnsi="Tahoma" w:cs="Tahoma"/>
                <w:sz w:val="20"/>
              </w:rPr>
              <w:t>2.    Требования к кредитору продавца Предмета ипотеки:</w:t>
            </w:r>
          </w:p>
          <w:p w14:paraId="04FB1EC8" w14:textId="77777777" w:rsidR="00951A61" w:rsidRPr="00C837FF" w:rsidRDefault="00951A61" w:rsidP="00A4032F">
            <w:pPr>
              <w:pStyle w:val="FooterEven"/>
              <w:tabs>
                <w:tab w:val="clear" w:pos="8640"/>
                <w:tab w:val="left" w:pos="97"/>
                <w:tab w:val="right" w:pos="522"/>
              </w:tabs>
              <w:ind w:firstLine="425"/>
              <w:jc w:val="both"/>
              <w:rPr>
                <w:rFonts w:ascii="Tahoma" w:hAnsi="Tahoma" w:cs="Tahoma"/>
                <w:b w:val="0"/>
                <w:sz w:val="20"/>
              </w:rPr>
            </w:pPr>
            <w:r w:rsidRPr="00C837FF">
              <w:rPr>
                <w:rFonts w:ascii="Tahoma" w:hAnsi="Tahoma" w:cs="Tahoma"/>
                <w:sz w:val="20"/>
              </w:rPr>
              <w:t xml:space="preserve">2.1. </w:t>
            </w:r>
            <w:r w:rsidRPr="00C837FF">
              <w:rPr>
                <w:rFonts w:ascii="Tahoma" w:hAnsi="Tahoma" w:cs="Tahoma"/>
                <w:b w:val="0"/>
                <w:sz w:val="20"/>
              </w:rPr>
              <w:t>кредитором по кредиту продавца Предмета ипотеки является банк/иная некредитная организация;</w:t>
            </w:r>
          </w:p>
          <w:p w14:paraId="30D89D26" w14:textId="77777777" w:rsidR="00951A61" w:rsidRPr="00C837FF" w:rsidRDefault="00951A61" w:rsidP="00A4032F">
            <w:pPr>
              <w:pStyle w:val="FooterEven"/>
              <w:tabs>
                <w:tab w:val="clear" w:pos="8640"/>
                <w:tab w:val="left" w:pos="97"/>
                <w:tab w:val="right" w:pos="522"/>
              </w:tabs>
              <w:ind w:firstLine="425"/>
              <w:jc w:val="both"/>
              <w:rPr>
                <w:rFonts w:ascii="Tahoma" w:hAnsi="Tahoma" w:cs="Tahoma"/>
                <w:b w:val="0"/>
                <w:sz w:val="20"/>
              </w:rPr>
            </w:pPr>
            <w:r w:rsidRPr="00C837FF">
              <w:rPr>
                <w:rFonts w:ascii="Tahoma" w:hAnsi="Tahoma" w:cs="Tahoma"/>
                <w:sz w:val="20"/>
              </w:rPr>
              <w:t>2.2.</w:t>
            </w:r>
            <w:r w:rsidRPr="00C837FF">
              <w:rPr>
                <w:rFonts w:ascii="Tahoma" w:hAnsi="Tahoma" w:cs="Tahoma"/>
                <w:b w:val="0"/>
                <w:sz w:val="20"/>
              </w:rPr>
              <w:t xml:space="preserve"> кредитором продавца Предмета ипотеки не может быть банк/иная некредитная организация с отозванной лицензией. В отношении кредитора продавца Предмета ипотеки не должно быть подано заявление о признании банкротом, не должна проходить процедура банкротства.</w:t>
            </w:r>
          </w:p>
          <w:p w14:paraId="01118104" w14:textId="77777777" w:rsidR="00951A61" w:rsidRPr="00C837FF" w:rsidRDefault="00951A61" w:rsidP="00A4032F">
            <w:pPr>
              <w:pStyle w:val="FooterEven"/>
              <w:tabs>
                <w:tab w:val="left" w:pos="97"/>
              </w:tabs>
              <w:ind w:firstLine="425"/>
              <w:jc w:val="both"/>
              <w:rPr>
                <w:rFonts w:ascii="Tahoma" w:hAnsi="Tahoma" w:cs="Tahoma"/>
                <w:b w:val="0"/>
                <w:sz w:val="20"/>
              </w:rPr>
            </w:pPr>
          </w:p>
          <w:p w14:paraId="178F3180" w14:textId="77777777" w:rsidR="00951A61" w:rsidRPr="00C837FF" w:rsidRDefault="00951A61" w:rsidP="00951A61">
            <w:pPr>
              <w:pStyle w:val="FooterEven"/>
              <w:numPr>
                <w:ilvl w:val="0"/>
                <w:numId w:val="66"/>
              </w:numPr>
              <w:tabs>
                <w:tab w:val="clear" w:pos="4320"/>
                <w:tab w:val="clear" w:pos="8640"/>
                <w:tab w:val="right" w:pos="0"/>
                <w:tab w:val="left" w:pos="97"/>
                <w:tab w:val="right" w:pos="877"/>
              </w:tabs>
              <w:ind w:left="0" w:firstLine="425"/>
              <w:jc w:val="both"/>
              <w:rPr>
                <w:rFonts w:ascii="Tahoma" w:eastAsia="Times New Roman" w:hAnsi="Tahoma" w:cs="Tahoma"/>
                <w:bCs/>
                <w:kern w:val="32"/>
                <w:sz w:val="20"/>
                <w:lang w:eastAsia="en-US"/>
              </w:rPr>
            </w:pPr>
            <w:r w:rsidRPr="00C837FF">
              <w:rPr>
                <w:rFonts w:ascii="Tahoma" w:hAnsi="Tahoma" w:cs="Tahoma"/>
                <w:sz w:val="20"/>
              </w:rPr>
              <w:t>До подписания кредитно-обеспечительной документации по сделке в Банк должны быть предоставлены следующие документы</w:t>
            </w:r>
            <w:r w:rsidRPr="00C837FF">
              <w:rPr>
                <w:rStyle w:val="aff3"/>
                <w:rFonts w:ascii="Tahoma" w:hAnsi="Tahoma" w:cs="Tahoma"/>
                <w:sz w:val="20"/>
              </w:rPr>
              <w:footnoteReference w:id="10"/>
            </w:r>
            <w:r w:rsidRPr="00C837FF">
              <w:rPr>
                <w:rFonts w:ascii="Tahoma" w:hAnsi="Tahoma" w:cs="Tahoma"/>
                <w:sz w:val="20"/>
              </w:rPr>
              <w:t>:</w:t>
            </w:r>
            <w:r w:rsidRPr="00C837FF">
              <w:rPr>
                <w:rFonts w:ascii="Tahoma" w:eastAsia="Times New Roman" w:hAnsi="Tahoma" w:cs="Tahoma"/>
                <w:bCs/>
                <w:kern w:val="32"/>
                <w:sz w:val="20"/>
                <w:lang w:eastAsia="en-US"/>
              </w:rPr>
              <w:t xml:space="preserve"> </w:t>
            </w:r>
          </w:p>
          <w:p w14:paraId="6B6AB412" w14:textId="77777777" w:rsidR="00951A61" w:rsidRPr="00C837FF" w:rsidRDefault="00951A61" w:rsidP="00951A61">
            <w:pPr>
              <w:pStyle w:val="FooterEven"/>
              <w:numPr>
                <w:ilvl w:val="1"/>
                <w:numId w:val="66"/>
              </w:numPr>
              <w:tabs>
                <w:tab w:val="clear" w:pos="4320"/>
                <w:tab w:val="clear" w:pos="8640"/>
                <w:tab w:val="left" w:pos="341"/>
              </w:tabs>
              <w:ind w:left="0" w:firstLine="425"/>
              <w:jc w:val="both"/>
              <w:rPr>
                <w:rFonts w:ascii="Tahoma" w:hAnsi="Tahoma" w:cs="Tahoma"/>
                <w:b w:val="0"/>
                <w:sz w:val="20"/>
              </w:rPr>
            </w:pPr>
            <w:r w:rsidRPr="00C837FF">
              <w:rPr>
                <w:rFonts w:ascii="Tahoma" w:hAnsi="Tahoma" w:cs="Tahoma"/>
                <w:b w:val="0"/>
                <w:sz w:val="20"/>
              </w:rPr>
              <w:lastRenderedPageBreak/>
              <w:t>Нотариально удостоверенная доверенность от Заемщика на имя работника Банка, содержащая полномочия на осуществление регистрационных действий</w:t>
            </w:r>
            <w:r w:rsidRPr="00C837FF">
              <w:rPr>
                <w:rStyle w:val="aff3"/>
                <w:rFonts w:ascii="Tahoma" w:hAnsi="Tahoma" w:cs="Tahoma"/>
                <w:b w:val="0"/>
                <w:sz w:val="20"/>
              </w:rPr>
              <w:footnoteReference w:id="11"/>
            </w:r>
            <w:r w:rsidRPr="00C837FF">
              <w:rPr>
                <w:rFonts w:ascii="Tahoma" w:hAnsi="Tahoma" w:cs="Tahoma"/>
                <w:b w:val="0"/>
                <w:sz w:val="20"/>
              </w:rPr>
              <w:t>;</w:t>
            </w:r>
          </w:p>
          <w:p w14:paraId="778B0132" w14:textId="77777777" w:rsidR="00951A61" w:rsidRPr="00C837FF" w:rsidRDefault="00951A61" w:rsidP="00951A61">
            <w:pPr>
              <w:pStyle w:val="FooterEven"/>
              <w:numPr>
                <w:ilvl w:val="1"/>
                <w:numId w:val="66"/>
              </w:numPr>
              <w:tabs>
                <w:tab w:val="clear" w:pos="4320"/>
                <w:tab w:val="clear" w:pos="8640"/>
                <w:tab w:val="left" w:pos="341"/>
              </w:tabs>
              <w:ind w:left="0" w:firstLine="425"/>
              <w:jc w:val="both"/>
              <w:rPr>
                <w:rFonts w:ascii="Tahoma" w:hAnsi="Tahoma" w:cs="Tahoma"/>
                <w:b w:val="0"/>
                <w:sz w:val="20"/>
              </w:rPr>
            </w:pPr>
            <w:r w:rsidRPr="00C837FF">
              <w:rPr>
                <w:rFonts w:ascii="Tahoma" w:hAnsi="Tahoma" w:cs="Tahoma"/>
                <w:b w:val="0"/>
                <w:sz w:val="20"/>
              </w:rPr>
              <w:t>Нотариально удостоверенная доверенность от продавца Предмета ипотеки на имя работника Банка, содержащая полномочия на осуществление регистрационных действий, включая снятие обременения банка-залогодержателя, с правом получения погашенной закладной в банке-залогодержателе;</w:t>
            </w:r>
          </w:p>
          <w:p w14:paraId="2AB9DDEA" w14:textId="77777777" w:rsidR="00951A61" w:rsidRPr="00C837FF" w:rsidRDefault="00951A61" w:rsidP="00951A61">
            <w:pPr>
              <w:pStyle w:val="FooterEven"/>
              <w:numPr>
                <w:ilvl w:val="1"/>
                <w:numId w:val="66"/>
              </w:numPr>
              <w:tabs>
                <w:tab w:val="clear" w:pos="4320"/>
                <w:tab w:val="clear" w:pos="8640"/>
                <w:tab w:val="left" w:pos="341"/>
              </w:tabs>
              <w:ind w:left="0" w:firstLine="425"/>
              <w:jc w:val="both"/>
              <w:rPr>
                <w:rFonts w:ascii="Tahoma" w:hAnsi="Tahoma" w:cs="Tahoma"/>
                <w:b w:val="0"/>
                <w:sz w:val="20"/>
              </w:rPr>
            </w:pPr>
            <w:r w:rsidRPr="00C837FF">
              <w:rPr>
                <w:rFonts w:ascii="Tahoma" w:hAnsi="Tahoma" w:cs="Tahoma"/>
                <w:b w:val="0"/>
                <w:sz w:val="20"/>
              </w:rPr>
              <w:t>Нотариально удостоверенная доверенность от продавца на имя работника Банка, содержащая полномочия на осуществление действий по полному досрочному погашению задолженности продавца перед банком-залогодержателем (возможно включение данных полномочий в доверенность, указанную в предыдущем абзаце)</w:t>
            </w:r>
            <w:r w:rsidRPr="00C837FF">
              <w:rPr>
                <w:rStyle w:val="aff3"/>
                <w:rFonts w:ascii="Tahoma" w:hAnsi="Tahoma" w:cs="Tahoma"/>
                <w:b w:val="0"/>
                <w:sz w:val="20"/>
              </w:rPr>
              <w:footnoteReference w:id="12"/>
            </w:r>
            <w:r w:rsidRPr="00C837FF">
              <w:rPr>
                <w:rFonts w:ascii="Tahoma" w:hAnsi="Tahoma" w:cs="Tahoma"/>
                <w:b w:val="0"/>
                <w:sz w:val="20"/>
              </w:rPr>
              <w:t>;</w:t>
            </w:r>
          </w:p>
          <w:p w14:paraId="37833280" w14:textId="77777777" w:rsidR="00951A61" w:rsidRPr="00C837FF" w:rsidRDefault="00951A61" w:rsidP="00951A61">
            <w:pPr>
              <w:pStyle w:val="FooterEven"/>
              <w:numPr>
                <w:ilvl w:val="1"/>
                <w:numId w:val="66"/>
              </w:numPr>
              <w:tabs>
                <w:tab w:val="clear" w:pos="4320"/>
                <w:tab w:val="clear" w:pos="8640"/>
                <w:tab w:val="left" w:pos="341"/>
              </w:tabs>
              <w:ind w:left="0" w:firstLine="425"/>
              <w:jc w:val="both"/>
              <w:rPr>
                <w:rFonts w:ascii="Tahoma" w:hAnsi="Tahoma" w:cs="Tahoma"/>
                <w:b w:val="0"/>
                <w:sz w:val="20"/>
              </w:rPr>
            </w:pPr>
            <w:r w:rsidRPr="00C837FF">
              <w:rPr>
                <w:rFonts w:ascii="Tahoma" w:hAnsi="Tahoma" w:cs="Tahoma"/>
                <w:b w:val="0"/>
                <w:sz w:val="20"/>
              </w:rPr>
              <w:t xml:space="preserve">Кредитный договор по </w:t>
            </w:r>
            <w:r>
              <w:rPr>
                <w:rFonts w:ascii="Tahoma" w:hAnsi="Tahoma" w:cs="Tahoma"/>
                <w:b w:val="0"/>
                <w:sz w:val="20"/>
              </w:rPr>
              <w:t>к</w:t>
            </w:r>
            <w:r w:rsidRPr="00C837FF">
              <w:rPr>
                <w:rFonts w:ascii="Tahoma" w:hAnsi="Tahoma" w:cs="Tahoma"/>
                <w:b w:val="0"/>
                <w:sz w:val="20"/>
              </w:rPr>
              <w:t>редиту продавца Предмета ипотеки со всеми дополнениями (при наличии);</w:t>
            </w:r>
          </w:p>
          <w:p w14:paraId="3F351FD5" w14:textId="77777777" w:rsidR="00951A61" w:rsidRPr="00C837FF" w:rsidRDefault="00951A61" w:rsidP="00951A61">
            <w:pPr>
              <w:pStyle w:val="FooterEven"/>
              <w:numPr>
                <w:ilvl w:val="1"/>
                <w:numId w:val="66"/>
              </w:numPr>
              <w:tabs>
                <w:tab w:val="clear" w:pos="4320"/>
                <w:tab w:val="clear" w:pos="8640"/>
                <w:tab w:val="left" w:pos="341"/>
              </w:tabs>
              <w:ind w:left="0" w:firstLine="425"/>
              <w:jc w:val="both"/>
              <w:rPr>
                <w:rFonts w:ascii="Tahoma" w:hAnsi="Tahoma" w:cs="Tahoma"/>
                <w:b w:val="0"/>
                <w:sz w:val="20"/>
              </w:rPr>
            </w:pPr>
            <w:r w:rsidRPr="00C837FF">
              <w:rPr>
                <w:rFonts w:ascii="Tahoma" w:hAnsi="Tahoma" w:cs="Tahoma"/>
                <w:b w:val="0"/>
                <w:sz w:val="20"/>
              </w:rPr>
              <w:t xml:space="preserve">Справка/выписка по счету по </w:t>
            </w:r>
            <w:r>
              <w:rPr>
                <w:rFonts w:ascii="Tahoma" w:hAnsi="Tahoma" w:cs="Tahoma"/>
                <w:b w:val="0"/>
                <w:sz w:val="20"/>
              </w:rPr>
              <w:t>к</w:t>
            </w:r>
            <w:r w:rsidRPr="00C837FF">
              <w:rPr>
                <w:rFonts w:ascii="Tahoma" w:hAnsi="Tahoma" w:cs="Tahoma"/>
                <w:b w:val="0"/>
                <w:sz w:val="20"/>
              </w:rPr>
              <w:t>редиту продавца Предмета ипотеки об остатке текущей ссудной задолженности (оригинал/скриншот (заверяется работником банка), может быть предоставлена в том числе из мобильного банка продавца Предмета ипотеки);</w:t>
            </w:r>
          </w:p>
          <w:p w14:paraId="74130538" w14:textId="77777777" w:rsidR="00951A61" w:rsidRPr="00C837FF" w:rsidRDefault="00951A61" w:rsidP="00951A61">
            <w:pPr>
              <w:pStyle w:val="FooterEven"/>
              <w:numPr>
                <w:ilvl w:val="1"/>
                <w:numId w:val="66"/>
              </w:numPr>
              <w:tabs>
                <w:tab w:val="clear" w:pos="4320"/>
                <w:tab w:val="clear" w:pos="8640"/>
                <w:tab w:val="left" w:pos="341"/>
              </w:tabs>
              <w:ind w:left="0" w:firstLine="425"/>
              <w:jc w:val="both"/>
              <w:rPr>
                <w:rFonts w:ascii="Tahoma" w:hAnsi="Tahoma" w:cs="Tahoma"/>
                <w:b w:val="0"/>
                <w:sz w:val="20"/>
              </w:rPr>
            </w:pPr>
            <w:r w:rsidRPr="00C837FF">
              <w:rPr>
                <w:rFonts w:ascii="Tahoma" w:hAnsi="Tahoma" w:cs="Tahoma"/>
                <w:b w:val="0"/>
                <w:sz w:val="20"/>
              </w:rPr>
              <w:t xml:space="preserve">Справка об отсутствии текущей просроченной задолженности по </w:t>
            </w:r>
            <w:r>
              <w:rPr>
                <w:rFonts w:ascii="Tahoma" w:hAnsi="Tahoma" w:cs="Tahoma"/>
                <w:b w:val="0"/>
                <w:sz w:val="20"/>
              </w:rPr>
              <w:t>к</w:t>
            </w:r>
            <w:r w:rsidRPr="00C837FF">
              <w:rPr>
                <w:rFonts w:ascii="Tahoma" w:hAnsi="Tahoma" w:cs="Tahoma"/>
                <w:b w:val="0"/>
                <w:sz w:val="20"/>
              </w:rPr>
              <w:t>редиту продавца Предмета ипотеки (может не предоставляться в случае приобретения имущества, находящегося в залоге у Банка) (оригинал/скриншот (заверяется работником банка), может быть предоставлена в том числе из мобильного банка продавца Предмета ипотеки);</w:t>
            </w:r>
          </w:p>
          <w:p w14:paraId="18BC2331" w14:textId="77777777" w:rsidR="00951A61" w:rsidRPr="00C837FF" w:rsidRDefault="00951A61" w:rsidP="00951A61">
            <w:pPr>
              <w:pStyle w:val="FooterEven"/>
              <w:numPr>
                <w:ilvl w:val="1"/>
                <w:numId w:val="66"/>
              </w:numPr>
              <w:tabs>
                <w:tab w:val="clear" w:pos="4320"/>
                <w:tab w:val="clear" w:pos="8640"/>
                <w:tab w:val="left" w:pos="341"/>
              </w:tabs>
              <w:ind w:left="0" w:firstLine="425"/>
              <w:jc w:val="both"/>
              <w:rPr>
                <w:rFonts w:ascii="Tahoma" w:hAnsi="Tahoma" w:cs="Tahoma"/>
                <w:b w:val="0"/>
                <w:sz w:val="20"/>
              </w:rPr>
            </w:pPr>
            <w:r w:rsidRPr="00C837FF">
              <w:rPr>
                <w:rFonts w:ascii="Tahoma" w:hAnsi="Tahoma" w:cs="Tahoma"/>
                <w:b w:val="0"/>
                <w:sz w:val="20"/>
              </w:rPr>
              <w:t xml:space="preserve">Справка о том, что материнский капитал не был использован в счет погашения задолженности по кредиту продавца Предмета ипотеки (предоставляется по усмотрению </w:t>
            </w:r>
            <w:r>
              <w:rPr>
                <w:rFonts w:ascii="Tahoma" w:hAnsi="Tahoma" w:cs="Tahoma"/>
                <w:b w:val="0"/>
                <w:sz w:val="20"/>
              </w:rPr>
              <w:t>э</w:t>
            </w:r>
            <w:r w:rsidRPr="00C837FF">
              <w:rPr>
                <w:rFonts w:ascii="Tahoma" w:hAnsi="Tahoma" w:cs="Tahoma"/>
                <w:b w:val="0"/>
                <w:sz w:val="20"/>
              </w:rPr>
              <w:t>ксперта по титулу) (оригинал/скриншот (заверяется работником банка), может быть предоставлена в том числе из мобильного банка продавца Предмета ипотеки)</w:t>
            </w:r>
            <w:r w:rsidRPr="00C837FF">
              <w:rPr>
                <w:rStyle w:val="aff3"/>
                <w:rFonts w:ascii="Tahoma" w:hAnsi="Tahoma" w:cs="Tahoma"/>
                <w:b w:val="0"/>
                <w:sz w:val="20"/>
              </w:rPr>
              <w:footnoteReference w:id="13"/>
            </w:r>
            <w:r w:rsidRPr="00C837FF">
              <w:rPr>
                <w:rFonts w:ascii="Tahoma" w:hAnsi="Tahoma" w:cs="Tahoma"/>
                <w:b w:val="0"/>
                <w:sz w:val="20"/>
              </w:rPr>
              <w:t>;</w:t>
            </w:r>
          </w:p>
          <w:p w14:paraId="049ECD5F" w14:textId="77777777" w:rsidR="00951A61" w:rsidRPr="00C837FF" w:rsidRDefault="00951A61" w:rsidP="00951A61">
            <w:pPr>
              <w:pStyle w:val="FooterEven"/>
              <w:numPr>
                <w:ilvl w:val="1"/>
                <w:numId w:val="66"/>
              </w:numPr>
              <w:tabs>
                <w:tab w:val="clear" w:pos="4320"/>
                <w:tab w:val="clear" w:pos="8640"/>
                <w:tab w:val="left" w:pos="341"/>
              </w:tabs>
              <w:ind w:left="0" w:firstLine="425"/>
              <w:jc w:val="both"/>
              <w:rPr>
                <w:rFonts w:ascii="Tahoma" w:hAnsi="Tahoma" w:cs="Tahoma"/>
                <w:b w:val="0"/>
                <w:sz w:val="20"/>
              </w:rPr>
            </w:pPr>
            <w:r w:rsidRPr="00C837FF">
              <w:rPr>
                <w:rFonts w:ascii="Tahoma" w:hAnsi="Tahoma" w:cs="Tahoma"/>
                <w:b w:val="0"/>
                <w:sz w:val="20"/>
              </w:rPr>
              <w:t>Заявление Продавца о полном погашении задолженности перед банком-залогодержателем с отметкой о принятии банком-залогодержателем (оригинал/скриншот (заверяется работником Банка), может быть предоставлена в том числе из мобильного банк продавца Предмета ипотеки).</w:t>
            </w:r>
          </w:p>
          <w:p w14:paraId="5B395C53" w14:textId="77777777" w:rsidR="00951A61" w:rsidRPr="00C837FF" w:rsidRDefault="00951A61" w:rsidP="00A4032F">
            <w:pPr>
              <w:pStyle w:val="FooterEven"/>
              <w:tabs>
                <w:tab w:val="left" w:pos="97"/>
              </w:tabs>
              <w:ind w:firstLine="425"/>
              <w:jc w:val="both"/>
              <w:rPr>
                <w:rFonts w:ascii="Tahoma" w:hAnsi="Tahoma" w:cs="Tahoma"/>
                <w:b w:val="0"/>
                <w:sz w:val="20"/>
              </w:rPr>
            </w:pPr>
          </w:p>
          <w:p w14:paraId="4297B970" w14:textId="77777777" w:rsidR="00951A61" w:rsidRPr="00C837FF" w:rsidRDefault="00951A61" w:rsidP="00951A61">
            <w:pPr>
              <w:pStyle w:val="FooterEven"/>
              <w:numPr>
                <w:ilvl w:val="0"/>
                <w:numId w:val="66"/>
              </w:numPr>
              <w:tabs>
                <w:tab w:val="clear" w:pos="4320"/>
                <w:tab w:val="right" w:pos="0"/>
                <w:tab w:val="left" w:pos="97"/>
                <w:tab w:val="center" w:pos="1019"/>
              </w:tabs>
              <w:ind w:left="0" w:firstLine="425"/>
              <w:jc w:val="both"/>
              <w:rPr>
                <w:rFonts w:ascii="Tahoma" w:eastAsia="Times New Roman" w:hAnsi="Tahoma" w:cs="Tahoma"/>
                <w:bCs/>
                <w:kern w:val="32"/>
                <w:sz w:val="20"/>
                <w:lang w:eastAsia="en-US"/>
              </w:rPr>
            </w:pPr>
            <w:r w:rsidRPr="00C837FF">
              <w:rPr>
                <w:rFonts w:ascii="Tahoma" w:hAnsi="Tahoma" w:cs="Tahoma"/>
                <w:sz w:val="20"/>
              </w:rPr>
              <w:t>Требования к проведению расчетов по сделке:</w:t>
            </w:r>
            <w:r w:rsidRPr="00C837FF">
              <w:rPr>
                <w:rFonts w:ascii="Tahoma" w:eastAsia="Times New Roman" w:hAnsi="Tahoma" w:cs="Tahoma"/>
                <w:bCs/>
                <w:kern w:val="32"/>
                <w:sz w:val="20"/>
                <w:lang w:eastAsia="en-US"/>
              </w:rPr>
              <w:t xml:space="preserve"> </w:t>
            </w:r>
          </w:p>
          <w:p w14:paraId="51B1DCFF" w14:textId="77777777" w:rsidR="00951A61" w:rsidRPr="00C837FF" w:rsidRDefault="00951A61" w:rsidP="00951A61">
            <w:pPr>
              <w:pStyle w:val="FooterEven"/>
              <w:numPr>
                <w:ilvl w:val="1"/>
                <w:numId w:val="66"/>
              </w:numPr>
              <w:tabs>
                <w:tab w:val="clear" w:pos="4320"/>
                <w:tab w:val="clear" w:pos="8640"/>
                <w:tab w:val="left" w:pos="341"/>
              </w:tabs>
              <w:ind w:left="0" w:firstLine="425"/>
              <w:jc w:val="both"/>
              <w:rPr>
                <w:rFonts w:ascii="Tahoma" w:hAnsi="Tahoma" w:cs="Tahoma"/>
                <w:b w:val="0"/>
                <w:sz w:val="20"/>
              </w:rPr>
            </w:pPr>
            <w:r w:rsidRPr="00C837FF">
              <w:rPr>
                <w:rFonts w:ascii="Tahoma" w:hAnsi="Tahoma" w:cs="Tahoma"/>
                <w:b w:val="0"/>
                <w:sz w:val="20"/>
              </w:rPr>
              <w:t>Безналичный перевод через Банк собственных средств Заемщика (первоначальный взнос по сделке приобретения) на текущий счет продавца Предмета ипотеки, открытый в банке-залогодержателе, с которого происходит ежемесячное погашение Кредита, в целях погашения ипотечного кредита продавца Предмета ипотеки</w:t>
            </w:r>
            <w:r w:rsidRPr="00C837FF">
              <w:rPr>
                <w:rStyle w:val="aff3"/>
                <w:rFonts w:ascii="Tahoma" w:hAnsi="Tahoma" w:cs="Tahoma"/>
                <w:b w:val="0"/>
                <w:sz w:val="20"/>
              </w:rPr>
              <w:footnoteReference w:id="14"/>
            </w:r>
            <w:r w:rsidRPr="00C837FF">
              <w:rPr>
                <w:rFonts w:ascii="Tahoma" w:hAnsi="Tahoma" w:cs="Tahoma"/>
                <w:b w:val="0"/>
                <w:sz w:val="20"/>
              </w:rPr>
              <w:t>;</w:t>
            </w:r>
          </w:p>
          <w:p w14:paraId="2F77FE46" w14:textId="77777777" w:rsidR="00951A61" w:rsidRPr="00C837FF" w:rsidRDefault="00951A61" w:rsidP="00951A61">
            <w:pPr>
              <w:pStyle w:val="FooterEven"/>
              <w:numPr>
                <w:ilvl w:val="1"/>
                <w:numId w:val="66"/>
              </w:numPr>
              <w:tabs>
                <w:tab w:val="clear" w:pos="4320"/>
                <w:tab w:val="clear" w:pos="8640"/>
                <w:tab w:val="left" w:pos="341"/>
              </w:tabs>
              <w:ind w:left="0" w:firstLine="425"/>
              <w:jc w:val="both"/>
              <w:rPr>
                <w:rFonts w:ascii="Tahoma" w:hAnsi="Tahoma" w:cs="Tahoma"/>
                <w:b w:val="0"/>
                <w:sz w:val="20"/>
              </w:rPr>
            </w:pPr>
            <w:r w:rsidRPr="00C837FF">
              <w:rPr>
                <w:rFonts w:ascii="Tahoma" w:hAnsi="Tahoma" w:cs="Tahoma"/>
                <w:b w:val="0"/>
                <w:sz w:val="20"/>
              </w:rPr>
              <w:t xml:space="preserve">В случае недостаточности собственных средств Заемщика для полного погашения кредита продавца Предмета ипотеки (согласно п. 4.1) – безналичный перевод кредитных средств (в размере, достаточном для полного погашения задолженности продавца) на текущий счет продавца Предмета ипотеки, открытый в банке-залогодержателе, с которого происходит ежемесячное погашение Кредита, в счет погашения остатка задолженности по </w:t>
            </w:r>
            <w:r>
              <w:rPr>
                <w:rFonts w:ascii="Tahoma" w:hAnsi="Tahoma" w:cs="Tahoma"/>
                <w:b w:val="0"/>
                <w:sz w:val="20"/>
              </w:rPr>
              <w:t>к</w:t>
            </w:r>
            <w:r w:rsidRPr="00C837FF">
              <w:rPr>
                <w:rFonts w:ascii="Tahoma" w:hAnsi="Tahoma" w:cs="Tahoma"/>
                <w:b w:val="0"/>
                <w:sz w:val="20"/>
              </w:rPr>
              <w:t xml:space="preserve">редиту продавца Предмета ипотеки </w:t>
            </w:r>
            <w:r w:rsidRPr="00C837FF">
              <w:rPr>
                <w:rFonts w:ascii="Tahoma" w:hAnsi="Tahoma" w:cs="Tahoma"/>
                <w:sz w:val="20"/>
              </w:rPr>
              <w:t>(</w:t>
            </w:r>
            <w:r w:rsidRPr="00C837FF">
              <w:rPr>
                <w:rFonts w:ascii="Tahoma" w:hAnsi="Tahoma" w:cs="Tahoma"/>
                <w:sz w:val="20"/>
                <w:u w:val="single"/>
              </w:rPr>
              <w:t>Остаток задолженности продавца Предмета ипотеки перед банком-залогодержателем не должен превышать стоимость недвижимого имущества по заключаемому договору купли-продажи</w:t>
            </w:r>
            <w:r w:rsidRPr="00C837FF">
              <w:rPr>
                <w:rFonts w:ascii="Tahoma" w:hAnsi="Tahoma" w:cs="Tahoma"/>
                <w:sz w:val="20"/>
              </w:rPr>
              <w:t>)</w:t>
            </w:r>
            <w:r w:rsidRPr="00C837FF">
              <w:rPr>
                <w:rFonts w:ascii="Tahoma" w:hAnsi="Tahoma" w:cs="Tahoma"/>
                <w:b w:val="0"/>
                <w:sz w:val="20"/>
              </w:rPr>
              <w:t>;</w:t>
            </w:r>
          </w:p>
          <w:p w14:paraId="2962A2E4" w14:textId="77777777" w:rsidR="00951A61" w:rsidRPr="00C837FF" w:rsidRDefault="00951A61" w:rsidP="00951A61">
            <w:pPr>
              <w:pStyle w:val="FooterEven"/>
              <w:numPr>
                <w:ilvl w:val="1"/>
                <w:numId w:val="66"/>
              </w:numPr>
              <w:tabs>
                <w:tab w:val="clear" w:pos="4320"/>
                <w:tab w:val="clear" w:pos="8640"/>
                <w:tab w:val="left" w:pos="341"/>
              </w:tabs>
              <w:ind w:left="0" w:firstLine="425"/>
              <w:jc w:val="both"/>
              <w:rPr>
                <w:rFonts w:ascii="Tahoma" w:hAnsi="Tahoma" w:cs="Tahoma"/>
                <w:b w:val="0"/>
                <w:sz w:val="20"/>
              </w:rPr>
            </w:pPr>
            <w:r w:rsidRPr="00C837FF">
              <w:rPr>
                <w:rFonts w:ascii="Tahoma" w:hAnsi="Tahoma" w:cs="Tahoma"/>
                <w:b w:val="0"/>
                <w:sz w:val="20"/>
              </w:rPr>
              <w:t xml:space="preserve">При наличии остатка кредитных средств после полного погашения задолженности продавца (согласно п. 4.2) – открытие аккредитива в Банке в пользу продавца Предмета ипотеки на остаток кредитных средств. Одно из </w:t>
            </w:r>
            <w:r w:rsidRPr="00C837FF">
              <w:rPr>
                <w:rFonts w:ascii="Tahoma" w:hAnsi="Tahoma" w:cs="Tahoma"/>
                <w:b w:val="0"/>
                <w:sz w:val="20"/>
              </w:rPr>
              <w:lastRenderedPageBreak/>
              <w:t>обязательных условий раскрытия аккредитива – регистрация права собственности заемщика и ипотеки в пользу Банка в качестве единственного обременения;</w:t>
            </w:r>
          </w:p>
          <w:p w14:paraId="480FC80A" w14:textId="77777777" w:rsidR="00951A61" w:rsidRPr="00C837FF" w:rsidRDefault="00951A61" w:rsidP="00951A61">
            <w:pPr>
              <w:pStyle w:val="FooterEven"/>
              <w:numPr>
                <w:ilvl w:val="1"/>
                <w:numId w:val="66"/>
              </w:numPr>
              <w:tabs>
                <w:tab w:val="clear" w:pos="4320"/>
                <w:tab w:val="clear" w:pos="8640"/>
                <w:tab w:val="left" w:pos="341"/>
              </w:tabs>
              <w:ind w:left="0" w:firstLine="425"/>
              <w:jc w:val="both"/>
              <w:rPr>
                <w:rFonts w:ascii="Tahoma" w:hAnsi="Tahoma" w:cs="Tahoma"/>
                <w:b w:val="0"/>
                <w:sz w:val="20"/>
              </w:rPr>
            </w:pPr>
            <w:r w:rsidRPr="00C837FF">
              <w:rPr>
                <w:rFonts w:ascii="Tahoma" w:hAnsi="Tahoma" w:cs="Tahoma"/>
                <w:b w:val="0"/>
                <w:sz w:val="20"/>
              </w:rPr>
              <w:t>Государственная регистрация перехода права собственности к Заемщику осуществляется после совершения действий по погашению кредитной задолженности продавца Предмета ипотеки и погашения в Едином государственном реестре недвижимости записи об ипотеке в пользу банка-залогодержателя.</w:t>
            </w:r>
          </w:p>
        </w:tc>
      </w:tr>
      <w:tr w:rsidR="00951A61" w:rsidRPr="0089418D" w14:paraId="3901D3DF" w14:textId="77777777" w:rsidTr="00A4032F">
        <w:trPr>
          <w:trHeight w:val="255"/>
        </w:trPr>
        <w:tc>
          <w:tcPr>
            <w:tcW w:w="40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32B529" w14:textId="77777777" w:rsidR="00951A61" w:rsidRPr="0089418D" w:rsidRDefault="00951A61" w:rsidP="00A4032F">
            <w:pPr>
              <w:jc w:val="center"/>
              <w:rPr>
                <w:rFonts w:ascii="Tahoma" w:hAnsi="Tahoma" w:cs="Tahoma"/>
                <w:b/>
                <w:sz w:val="20"/>
                <w:szCs w:val="20"/>
              </w:rPr>
            </w:pPr>
            <w:r w:rsidRPr="0089418D">
              <w:rPr>
                <w:rFonts w:ascii="Tahoma" w:hAnsi="Tahoma" w:cs="Tahoma"/>
                <w:b/>
                <w:sz w:val="20"/>
                <w:szCs w:val="20"/>
              </w:rPr>
              <w:lastRenderedPageBreak/>
              <w:t xml:space="preserve">Подразделения </w:t>
            </w:r>
            <w:r>
              <w:rPr>
                <w:rFonts w:ascii="Tahoma" w:hAnsi="Tahoma" w:cs="Tahoma"/>
                <w:b/>
                <w:sz w:val="20"/>
                <w:szCs w:val="20"/>
              </w:rPr>
              <w:t>Банка</w:t>
            </w:r>
            <w:r w:rsidRPr="0089418D">
              <w:rPr>
                <w:rFonts w:ascii="Tahoma" w:hAnsi="Tahoma" w:cs="Tahoma"/>
                <w:b/>
                <w:sz w:val="20"/>
                <w:szCs w:val="20"/>
              </w:rPr>
              <w:t>, реализующие кредитный продукт</w:t>
            </w:r>
          </w:p>
        </w:tc>
        <w:tc>
          <w:tcPr>
            <w:tcW w:w="11594" w:type="dxa"/>
            <w:tcBorders>
              <w:top w:val="single" w:sz="4" w:space="0" w:color="auto"/>
              <w:left w:val="nil"/>
              <w:bottom w:val="single" w:sz="4" w:space="0" w:color="auto"/>
              <w:right w:val="single" w:sz="4" w:space="0" w:color="auto"/>
            </w:tcBorders>
            <w:shd w:val="clear" w:color="auto" w:fill="auto"/>
            <w:vAlign w:val="center"/>
            <w:hideMark/>
          </w:tcPr>
          <w:p w14:paraId="4B5C8FB4" w14:textId="77777777" w:rsidR="00951A61" w:rsidRPr="0089418D" w:rsidRDefault="00951A61" w:rsidP="00A4032F">
            <w:pPr>
              <w:ind w:firstLine="425"/>
              <w:jc w:val="both"/>
              <w:rPr>
                <w:rFonts w:ascii="Tahoma" w:hAnsi="Tahoma" w:cs="Tahoma"/>
                <w:sz w:val="20"/>
                <w:szCs w:val="20"/>
              </w:rPr>
            </w:pPr>
            <w:r w:rsidRPr="0089418D">
              <w:rPr>
                <w:rFonts w:ascii="Tahoma" w:hAnsi="Tahoma" w:cs="Tahoma"/>
                <w:sz w:val="20"/>
                <w:szCs w:val="20"/>
              </w:rPr>
              <w:t>Все подразделения Банка</w:t>
            </w:r>
          </w:p>
        </w:tc>
      </w:tr>
      <w:tr w:rsidR="00951A61" w:rsidRPr="0089418D" w14:paraId="13673418" w14:textId="77777777" w:rsidTr="00A4032F">
        <w:trPr>
          <w:trHeight w:val="255"/>
        </w:trPr>
        <w:tc>
          <w:tcPr>
            <w:tcW w:w="40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29D693" w14:textId="77777777" w:rsidR="00951A61" w:rsidRPr="0089418D" w:rsidRDefault="00951A61" w:rsidP="00A4032F">
            <w:pPr>
              <w:jc w:val="center"/>
              <w:rPr>
                <w:rFonts w:ascii="Tahoma" w:hAnsi="Tahoma" w:cs="Tahoma"/>
                <w:b/>
                <w:bCs/>
                <w:sz w:val="20"/>
                <w:szCs w:val="20"/>
              </w:rPr>
            </w:pPr>
            <w:r w:rsidRPr="0089418D">
              <w:rPr>
                <w:rFonts w:ascii="Tahoma" w:hAnsi="Tahoma" w:cs="Tahoma"/>
                <w:b/>
                <w:bCs/>
                <w:sz w:val="20"/>
                <w:szCs w:val="20"/>
              </w:rPr>
              <w:t>Категория заемщика</w:t>
            </w:r>
          </w:p>
        </w:tc>
        <w:tc>
          <w:tcPr>
            <w:tcW w:w="11594" w:type="dxa"/>
            <w:tcBorders>
              <w:top w:val="single" w:sz="4" w:space="0" w:color="auto"/>
              <w:left w:val="nil"/>
              <w:bottom w:val="single" w:sz="4" w:space="0" w:color="auto"/>
              <w:right w:val="single" w:sz="4" w:space="0" w:color="auto"/>
            </w:tcBorders>
            <w:shd w:val="clear" w:color="auto" w:fill="auto"/>
            <w:vAlign w:val="center"/>
            <w:hideMark/>
          </w:tcPr>
          <w:p w14:paraId="5E198098" w14:textId="77777777" w:rsidR="00951A61" w:rsidRPr="0089418D" w:rsidRDefault="00951A61" w:rsidP="00A4032F">
            <w:pPr>
              <w:ind w:firstLine="425"/>
              <w:jc w:val="both"/>
              <w:rPr>
                <w:rFonts w:ascii="Tahoma" w:hAnsi="Tahoma" w:cs="Tahoma"/>
                <w:color w:val="000000"/>
                <w:sz w:val="20"/>
                <w:szCs w:val="20"/>
              </w:rPr>
            </w:pPr>
            <w:r w:rsidRPr="0089418D">
              <w:rPr>
                <w:rFonts w:ascii="Tahoma" w:hAnsi="Tahoma" w:cs="Tahoma"/>
                <w:color w:val="000000"/>
                <w:sz w:val="20"/>
                <w:szCs w:val="20"/>
              </w:rPr>
              <w:t>Физические лица (</w:t>
            </w:r>
            <w:r w:rsidRPr="0089418D">
              <w:rPr>
                <w:rFonts w:ascii="Tahoma" w:hAnsi="Tahoma" w:cs="Tahoma"/>
                <w:sz w:val="20"/>
                <w:szCs w:val="20"/>
              </w:rPr>
              <w:t>имеющие подтвержденное место работы и постоянный источник дохода</w:t>
            </w:r>
            <w:r w:rsidRPr="00980AD4">
              <w:rPr>
                <w:rFonts w:ascii="Tahoma" w:hAnsi="Tahoma" w:cs="Tahoma"/>
                <w:sz w:val="20"/>
                <w:szCs w:val="20"/>
              </w:rPr>
              <w:t xml:space="preserve">, соответствующие требованиям к Заемщику, которые установлены Банком, и выполнение которых является обязательным для предоставления </w:t>
            </w:r>
            <w:r>
              <w:rPr>
                <w:rFonts w:ascii="Tahoma" w:hAnsi="Tahoma" w:cs="Tahoma"/>
                <w:sz w:val="20"/>
                <w:szCs w:val="20"/>
              </w:rPr>
              <w:t>потребительского</w:t>
            </w:r>
            <w:r w:rsidRPr="00980AD4">
              <w:rPr>
                <w:rFonts w:ascii="Tahoma" w:hAnsi="Tahoma" w:cs="Tahoma"/>
                <w:sz w:val="20"/>
                <w:szCs w:val="20"/>
              </w:rPr>
              <w:t xml:space="preserve"> кредита</w:t>
            </w:r>
            <w:r w:rsidRPr="0089418D">
              <w:rPr>
                <w:rFonts w:ascii="Tahoma" w:hAnsi="Tahoma" w:cs="Tahoma"/>
                <w:color w:val="000000"/>
                <w:sz w:val="20"/>
                <w:szCs w:val="20"/>
              </w:rPr>
              <w:t>)</w:t>
            </w:r>
          </w:p>
        </w:tc>
      </w:tr>
      <w:tr w:rsidR="00951A61" w:rsidRPr="0089418D" w14:paraId="02192C7A" w14:textId="77777777" w:rsidTr="00A4032F">
        <w:trPr>
          <w:trHeight w:val="255"/>
        </w:trPr>
        <w:tc>
          <w:tcPr>
            <w:tcW w:w="4071" w:type="dxa"/>
            <w:tcBorders>
              <w:top w:val="nil"/>
              <w:left w:val="single" w:sz="4" w:space="0" w:color="auto"/>
              <w:bottom w:val="single" w:sz="4" w:space="0" w:color="auto"/>
              <w:right w:val="single" w:sz="4" w:space="0" w:color="auto"/>
            </w:tcBorders>
            <w:shd w:val="clear" w:color="auto" w:fill="auto"/>
            <w:vAlign w:val="center"/>
          </w:tcPr>
          <w:p w14:paraId="79462D45" w14:textId="77777777" w:rsidR="00951A61" w:rsidRPr="0089418D" w:rsidRDefault="00951A61" w:rsidP="00A4032F">
            <w:pPr>
              <w:jc w:val="center"/>
              <w:rPr>
                <w:rFonts w:ascii="Tahoma" w:hAnsi="Tahoma" w:cs="Tahoma"/>
                <w:b/>
                <w:bCs/>
                <w:sz w:val="20"/>
                <w:szCs w:val="20"/>
              </w:rPr>
            </w:pPr>
            <w:r w:rsidRPr="0089418D">
              <w:rPr>
                <w:rFonts w:ascii="Tahoma" w:hAnsi="Tahoma" w:cs="Tahoma"/>
                <w:b/>
                <w:bCs/>
                <w:sz w:val="20"/>
                <w:szCs w:val="20"/>
              </w:rPr>
              <w:t xml:space="preserve">Валюта, в которой предоставляется </w:t>
            </w:r>
            <w:r>
              <w:rPr>
                <w:rFonts w:ascii="Tahoma" w:hAnsi="Tahoma" w:cs="Tahoma"/>
                <w:b/>
                <w:bCs/>
                <w:sz w:val="20"/>
                <w:szCs w:val="20"/>
              </w:rPr>
              <w:t xml:space="preserve">потребительский </w:t>
            </w:r>
            <w:r w:rsidRPr="0089418D">
              <w:rPr>
                <w:rFonts w:ascii="Tahoma" w:hAnsi="Tahoma" w:cs="Tahoma"/>
                <w:b/>
                <w:bCs/>
                <w:sz w:val="20"/>
                <w:szCs w:val="20"/>
              </w:rPr>
              <w:t>кредит</w:t>
            </w:r>
          </w:p>
        </w:tc>
        <w:tc>
          <w:tcPr>
            <w:tcW w:w="11594" w:type="dxa"/>
            <w:tcBorders>
              <w:top w:val="single" w:sz="4" w:space="0" w:color="auto"/>
              <w:left w:val="nil"/>
              <w:bottom w:val="single" w:sz="4" w:space="0" w:color="auto"/>
              <w:right w:val="single" w:sz="4" w:space="0" w:color="auto"/>
            </w:tcBorders>
            <w:shd w:val="clear" w:color="auto" w:fill="auto"/>
            <w:vAlign w:val="center"/>
          </w:tcPr>
          <w:p w14:paraId="1443A4E2" w14:textId="77777777" w:rsidR="00951A61" w:rsidRPr="0089418D" w:rsidRDefault="00951A61" w:rsidP="00A4032F">
            <w:pPr>
              <w:ind w:firstLine="425"/>
              <w:jc w:val="both"/>
              <w:rPr>
                <w:rFonts w:ascii="Tahoma" w:hAnsi="Tahoma" w:cs="Tahoma"/>
                <w:color w:val="000000"/>
                <w:sz w:val="20"/>
                <w:szCs w:val="20"/>
              </w:rPr>
            </w:pPr>
            <w:r w:rsidRPr="0089418D">
              <w:rPr>
                <w:rFonts w:ascii="Tahoma" w:hAnsi="Tahoma" w:cs="Tahoma"/>
                <w:color w:val="000000"/>
                <w:sz w:val="20"/>
                <w:szCs w:val="20"/>
              </w:rPr>
              <w:t>Рубл</w:t>
            </w:r>
            <w:r>
              <w:rPr>
                <w:rFonts w:ascii="Tahoma" w:hAnsi="Tahoma" w:cs="Tahoma"/>
                <w:color w:val="000000"/>
                <w:sz w:val="20"/>
                <w:szCs w:val="20"/>
              </w:rPr>
              <w:t>ь</w:t>
            </w:r>
            <w:r w:rsidRPr="0089418D">
              <w:rPr>
                <w:rFonts w:ascii="Tahoma" w:hAnsi="Tahoma" w:cs="Tahoma"/>
                <w:color w:val="000000"/>
                <w:sz w:val="20"/>
                <w:szCs w:val="20"/>
              </w:rPr>
              <w:t xml:space="preserve"> Российской Федерации (далее - рубл</w:t>
            </w:r>
            <w:r>
              <w:rPr>
                <w:rFonts w:ascii="Tahoma" w:hAnsi="Tahoma" w:cs="Tahoma"/>
                <w:color w:val="000000"/>
                <w:sz w:val="20"/>
                <w:szCs w:val="20"/>
              </w:rPr>
              <w:t>ь</w:t>
            </w:r>
            <w:r w:rsidRPr="0089418D">
              <w:rPr>
                <w:rFonts w:ascii="Tahoma" w:hAnsi="Tahoma" w:cs="Tahoma"/>
                <w:color w:val="000000"/>
                <w:sz w:val="20"/>
                <w:szCs w:val="20"/>
              </w:rPr>
              <w:t>)</w:t>
            </w:r>
          </w:p>
        </w:tc>
      </w:tr>
      <w:tr w:rsidR="00951A61" w:rsidRPr="0089418D" w14:paraId="1E6F8127" w14:textId="77777777" w:rsidTr="00A4032F">
        <w:trPr>
          <w:trHeight w:val="255"/>
        </w:trPr>
        <w:tc>
          <w:tcPr>
            <w:tcW w:w="4071" w:type="dxa"/>
            <w:tcBorders>
              <w:top w:val="nil"/>
              <w:left w:val="single" w:sz="4" w:space="0" w:color="auto"/>
              <w:bottom w:val="single" w:sz="4" w:space="0" w:color="auto"/>
              <w:right w:val="single" w:sz="4" w:space="0" w:color="auto"/>
            </w:tcBorders>
            <w:shd w:val="clear" w:color="auto" w:fill="auto"/>
            <w:vAlign w:val="center"/>
          </w:tcPr>
          <w:p w14:paraId="1ACBE48B" w14:textId="77777777" w:rsidR="00951A61" w:rsidRPr="0089418D" w:rsidRDefault="00951A61" w:rsidP="00A4032F">
            <w:pPr>
              <w:jc w:val="center"/>
              <w:rPr>
                <w:rFonts w:ascii="Tahoma" w:hAnsi="Tahoma" w:cs="Tahoma"/>
                <w:b/>
                <w:bCs/>
                <w:sz w:val="20"/>
                <w:szCs w:val="20"/>
              </w:rPr>
            </w:pPr>
            <w:r w:rsidRPr="0089418D">
              <w:rPr>
                <w:rFonts w:ascii="Tahoma" w:hAnsi="Tahoma" w:cs="Tahoma"/>
                <w:b/>
                <w:bCs/>
                <w:sz w:val="20"/>
                <w:szCs w:val="20"/>
              </w:rPr>
              <w:t>Срок возврата</w:t>
            </w:r>
            <w:r>
              <w:rPr>
                <w:rFonts w:ascii="Tahoma" w:hAnsi="Tahoma" w:cs="Tahoma"/>
                <w:b/>
                <w:bCs/>
                <w:sz w:val="20"/>
                <w:szCs w:val="20"/>
              </w:rPr>
              <w:t xml:space="preserve"> потребительского</w:t>
            </w:r>
            <w:r w:rsidRPr="0089418D">
              <w:rPr>
                <w:rFonts w:ascii="Tahoma" w:hAnsi="Tahoma" w:cs="Tahoma"/>
                <w:b/>
                <w:bCs/>
                <w:sz w:val="20"/>
                <w:szCs w:val="20"/>
              </w:rPr>
              <w:t xml:space="preserve"> кредита</w:t>
            </w:r>
          </w:p>
        </w:tc>
        <w:tc>
          <w:tcPr>
            <w:tcW w:w="11594" w:type="dxa"/>
            <w:tcBorders>
              <w:top w:val="single" w:sz="4" w:space="0" w:color="auto"/>
              <w:left w:val="nil"/>
              <w:bottom w:val="single" w:sz="4" w:space="0" w:color="auto"/>
              <w:right w:val="single" w:sz="4" w:space="0" w:color="auto"/>
            </w:tcBorders>
            <w:shd w:val="clear" w:color="auto" w:fill="auto"/>
            <w:vAlign w:val="center"/>
          </w:tcPr>
          <w:p w14:paraId="1B0B6006" w14:textId="77777777" w:rsidR="00951A61" w:rsidRPr="0089418D" w:rsidRDefault="00951A61" w:rsidP="00A4032F">
            <w:pPr>
              <w:ind w:firstLine="425"/>
              <w:jc w:val="both"/>
              <w:rPr>
                <w:rFonts w:ascii="Tahoma" w:hAnsi="Tahoma" w:cs="Tahoma"/>
                <w:color w:val="000000"/>
                <w:sz w:val="20"/>
                <w:szCs w:val="20"/>
              </w:rPr>
            </w:pPr>
            <w:r w:rsidRPr="0089418D">
              <w:rPr>
                <w:rFonts w:ascii="Tahoma" w:hAnsi="Tahoma" w:cs="Tahoma"/>
                <w:color w:val="000000"/>
                <w:sz w:val="20"/>
                <w:szCs w:val="20"/>
              </w:rPr>
              <w:t>От 36 до 360 месяцев</w:t>
            </w:r>
          </w:p>
        </w:tc>
      </w:tr>
      <w:tr w:rsidR="00951A61" w:rsidRPr="0089418D" w14:paraId="74AD3028" w14:textId="77777777" w:rsidTr="00A4032F">
        <w:trPr>
          <w:trHeight w:val="255"/>
        </w:trPr>
        <w:tc>
          <w:tcPr>
            <w:tcW w:w="4071" w:type="dxa"/>
            <w:tcBorders>
              <w:top w:val="nil"/>
              <w:left w:val="single" w:sz="4" w:space="0" w:color="auto"/>
              <w:bottom w:val="single" w:sz="4" w:space="0" w:color="auto"/>
              <w:right w:val="single" w:sz="4" w:space="0" w:color="auto"/>
            </w:tcBorders>
            <w:shd w:val="clear" w:color="auto" w:fill="auto"/>
            <w:vAlign w:val="center"/>
            <w:hideMark/>
          </w:tcPr>
          <w:p w14:paraId="36BA66C5" w14:textId="77777777" w:rsidR="00951A61" w:rsidRPr="0089418D" w:rsidRDefault="00951A61" w:rsidP="00A4032F">
            <w:pPr>
              <w:jc w:val="center"/>
              <w:rPr>
                <w:rFonts w:ascii="Tahoma" w:hAnsi="Tahoma" w:cs="Tahoma"/>
                <w:b/>
                <w:sz w:val="20"/>
                <w:szCs w:val="20"/>
              </w:rPr>
            </w:pPr>
            <w:r w:rsidRPr="0089418D">
              <w:rPr>
                <w:rFonts w:ascii="Tahoma" w:hAnsi="Tahoma" w:cs="Tahoma"/>
                <w:b/>
                <w:sz w:val="20"/>
                <w:szCs w:val="20"/>
              </w:rPr>
              <w:t>Минимальная сумма</w:t>
            </w:r>
            <w:r>
              <w:rPr>
                <w:rFonts w:ascii="Tahoma" w:hAnsi="Tahoma" w:cs="Tahoma"/>
                <w:b/>
                <w:sz w:val="20"/>
                <w:szCs w:val="20"/>
              </w:rPr>
              <w:t xml:space="preserve"> </w:t>
            </w:r>
            <w:r>
              <w:rPr>
                <w:rFonts w:ascii="Tahoma" w:hAnsi="Tahoma" w:cs="Tahoma"/>
                <w:b/>
                <w:bCs/>
                <w:sz w:val="20"/>
                <w:szCs w:val="20"/>
              </w:rPr>
              <w:t>потребительского</w:t>
            </w:r>
            <w:r w:rsidRPr="0089418D">
              <w:rPr>
                <w:rFonts w:ascii="Tahoma" w:hAnsi="Tahoma" w:cs="Tahoma"/>
                <w:b/>
                <w:sz w:val="20"/>
                <w:szCs w:val="20"/>
              </w:rPr>
              <w:t xml:space="preserve"> кредита</w:t>
            </w:r>
          </w:p>
        </w:tc>
        <w:tc>
          <w:tcPr>
            <w:tcW w:w="11594" w:type="dxa"/>
            <w:tcBorders>
              <w:top w:val="single" w:sz="4" w:space="0" w:color="auto"/>
              <w:left w:val="nil"/>
              <w:bottom w:val="single" w:sz="4" w:space="0" w:color="auto"/>
              <w:right w:val="single" w:sz="4" w:space="0" w:color="auto"/>
            </w:tcBorders>
            <w:shd w:val="clear" w:color="auto" w:fill="auto"/>
            <w:vAlign w:val="center"/>
            <w:hideMark/>
          </w:tcPr>
          <w:p w14:paraId="280576D9" w14:textId="77777777" w:rsidR="00951A61" w:rsidRPr="0089418D" w:rsidRDefault="00951A61" w:rsidP="00A4032F">
            <w:pPr>
              <w:ind w:firstLine="425"/>
              <w:jc w:val="both"/>
              <w:rPr>
                <w:rFonts w:ascii="Tahoma" w:hAnsi="Tahoma" w:cs="Tahoma"/>
                <w:sz w:val="20"/>
                <w:szCs w:val="20"/>
              </w:rPr>
            </w:pPr>
            <w:r w:rsidRPr="0089418D">
              <w:rPr>
                <w:rFonts w:ascii="Tahoma" w:hAnsi="Tahoma" w:cs="Tahoma"/>
                <w:sz w:val="20"/>
                <w:szCs w:val="20"/>
              </w:rPr>
              <w:t>500</w:t>
            </w:r>
            <w:r>
              <w:rPr>
                <w:rFonts w:ascii="Tahoma" w:hAnsi="Tahoma" w:cs="Tahoma"/>
                <w:sz w:val="20"/>
                <w:szCs w:val="20"/>
              </w:rPr>
              <w:t> </w:t>
            </w:r>
            <w:r w:rsidRPr="0089418D">
              <w:rPr>
                <w:rFonts w:ascii="Tahoma" w:hAnsi="Tahoma" w:cs="Tahoma"/>
                <w:sz w:val="20"/>
                <w:szCs w:val="20"/>
              </w:rPr>
              <w:t>000</w:t>
            </w:r>
            <w:r>
              <w:rPr>
                <w:rFonts w:ascii="Tahoma" w:hAnsi="Tahoma" w:cs="Tahoma"/>
                <w:sz w:val="20"/>
                <w:szCs w:val="20"/>
              </w:rPr>
              <w:t>,00</w:t>
            </w:r>
            <w:r w:rsidRPr="0089418D">
              <w:rPr>
                <w:rFonts w:ascii="Tahoma" w:hAnsi="Tahoma" w:cs="Tahoma"/>
                <w:sz w:val="20"/>
                <w:szCs w:val="20"/>
              </w:rPr>
              <w:t xml:space="preserve"> рублей</w:t>
            </w:r>
          </w:p>
        </w:tc>
      </w:tr>
      <w:tr w:rsidR="00951A61" w:rsidRPr="0089418D" w14:paraId="71485EC6" w14:textId="77777777" w:rsidTr="00A4032F">
        <w:trPr>
          <w:trHeight w:val="2101"/>
        </w:trPr>
        <w:tc>
          <w:tcPr>
            <w:tcW w:w="4071" w:type="dxa"/>
            <w:tcBorders>
              <w:top w:val="nil"/>
              <w:left w:val="single" w:sz="4" w:space="0" w:color="auto"/>
              <w:bottom w:val="single" w:sz="4" w:space="0" w:color="auto"/>
              <w:right w:val="single" w:sz="4" w:space="0" w:color="auto"/>
            </w:tcBorders>
            <w:shd w:val="clear" w:color="auto" w:fill="auto"/>
            <w:vAlign w:val="center"/>
          </w:tcPr>
          <w:p w14:paraId="331D59C1" w14:textId="77777777" w:rsidR="00951A61" w:rsidRPr="0089418D" w:rsidRDefault="00951A61" w:rsidP="00A4032F">
            <w:pPr>
              <w:jc w:val="center"/>
              <w:rPr>
                <w:rFonts w:ascii="Tahoma" w:hAnsi="Tahoma" w:cs="Tahoma"/>
                <w:b/>
                <w:sz w:val="20"/>
                <w:szCs w:val="20"/>
              </w:rPr>
            </w:pPr>
            <w:r w:rsidRPr="0089418D">
              <w:rPr>
                <w:rFonts w:ascii="Tahoma" w:hAnsi="Tahoma" w:cs="Tahoma"/>
                <w:b/>
                <w:sz w:val="20"/>
                <w:szCs w:val="20"/>
              </w:rPr>
              <w:t>Максимальная сумма</w:t>
            </w:r>
            <w:r>
              <w:rPr>
                <w:rFonts w:ascii="Tahoma" w:hAnsi="Tahoma" w:cs="Tahoma"/>
                <w:b/>
                <w:sz w:val="20"/>
                <w:szCs w:val="20"/>
              </w:rPr>
              <w:t xml:space="preserve"> </w:t>
            </w:r>
            <w:r>
              <w:rPr>
                <w:rFonts w:ascii="Tahoma" w:hAnsi="Tahoma" w:cs="Tahoma"/>
                <w:b/>
                <w:bCs/>
                <w:sz w:val="20"/>
                <w:szCs w:val="20"/>
              </w:rPr>
              <w:t>потребительского</w:t>
            </w:r>
            <w:r w:rsidRPr="0089418D">
              <w:rPr>
                <w:rFonts w:ascii="Tahoma" w:hAnsi="Tahoma" w:cs="Tahoma"/>
                <w:b/>
                <w:sz w:val="20"/>
                <w:szCs w:val="20"/>
              </w:rPr>
              <w:t xml:space="preserve"> кредита</w:t>
            </w:r>
          </w:p>
        </w:tc>
        <w:tc>
          <w:tcPr>
            <w:tcW w:w="11594" w:type="dxa"/>
            <w:tcBorders>
              <w:top w:val="single" w:sz="4" w:space="0" w:color="auto"/>
              <w:left w:val="nil"/>
              <w:bottom w:val="single" w:sz="4" w:space="0" w:color="auto"/>
              <w:right w:val="single" w:sz="4" w:space="0" w:color="auto"/>
            </w:tcBorders>
            <w:shd w:val="clear" w:color="auto" w:fill="auto"/>
            <w:vAlign w:val="center"/>
          </w:tcPr>
          <w:p w14:paraId="08091842" w14:textId="77777777" w:rsidR="00951A61" w:rsidRPr="0089418D" w:rsidRDefault="00951A61" w:rsidP="00A4032F">
            <w:pPr>
              <w:ind w:firstLine="425"/>
              <w:jc w:val="both"/>
              <w:rPr>
                <w:rFonts w:ascii="Tahoma" w:hAnsi="Tahoma" w:cs="Tahoma"/>
                <w:b/>
                <w:sz w:val="20"/>
                <w:szCs w:val="20"/>
                <w:u w:val="single"/>
              </w:rPr>
            </w:pPr>
          </w:p>
          <w:p w14:paraId="5FF458F7" w14:textId="77777777" w:rsidR="00951A61" w:rsidRPr="0089418D" w:rsidRDefault="00951A61" w:rsidP="00A4032F">
            <w:pPr>
              <w:ind w:firstLine="425"/>
              <w:jc w:val="both"/>
              <w:rPr>
                <w:rFonts w:ascii="Tahoma" w:hAnsi="Tahoma" w:cs="Tahoma"/>
                <w:b/>
                <w:sz w:val="20"/>
                <w:szCs w:val="20"/>
              </w:rPr>
            </w:pPr>
            <w:r w:rsidRPr="0089418D">
              <w:rPr>
                <w:rFonts w:ascii="Tahoma" w:hAnsi="Tahoma" w:cs="Tahoma"/>
                <w:b/>
                <w:sz w:val="20"/>
                <w:szCs w:val="20"/>
                <w:u w:val="single"/>
              </w:rPr>
              <w:t>Сумма Кредита</w:t>
            </w:r>
            <w:r w:rsidRPr="0089418D">
              <w:rPr>
                <w:rFonts w:ascii="Tahoma" w:hAnsi="Tahoma" w:cs="Tahoma"/>
                <w:b/>
                <w:sz w:val="20"/>
                <w:szCs w:val="20"/>
              </w:rPr>
              <w:t xml:space="preserve"> в зависимости от местонахождения </w:t>
            </w:r>
            <w:r>
              <w:rPr>
                <w:rFonts w:ascii="Tahoma" w:hAnsi="Tahoma" w:cs="Tahoma"/>
                <w:b/>
                <w:sz w:val="20"/>
                <w:szCs w:val="20"/>
              </w:rPr>
              <w:t>П</w:t>
            </w:r>
            <w:r w:rsidRPr="0089418D">
              <w:rPr>
                <w:rFonts w:ascii="Tahoma" w:hAnsi="Tahoma" w:cs="Tahoma"/>
                <w:b/>
                <w:sz w:val="20"/>
                <w:szCs w:val="20"/>
              </w:rPr>
              <w:t>редмета ипотеки не может превышать:</w:t>
            </w:r>
          </w:p>
          <w:tbl>
            <w:tblPr>
              <w:tblStyle w:val="aff0"/>
              <w:tblW w:w="11395" w:type="dxa"/>
              <w:tblLayout w:type="fixed"/>
              <w:tblLook w:val="04A0" w:firstRow="1" w:lastRow="0" w:firstColumn="1" w:lastColumn="0" w:noHBand="0" w:noVBand="1"/>
            </w:tblPr>
            <w:tblGrid>
              <w:gridCol w:w="3909"/>
              <w:gridCol w:w="2753"/>
              <w:gridCol w:w="4733"/>
            </w:tblGrid>
            <w:tr w:rsidR="00951A61" w:rsidRPr="0089418D" w14:paraId="150BB044" w14:textId="77777777" w:rsidTr="00A4032F">
              <w:trPr>
                <w:trHeight w:val="288"/>
              </w:trPr>
              <w:tc>
                <w:tcPr>
                  <w:tcW w:w="3909" w:type="dxa"/>
                </w:tcPr>
                <w:p w14:paraId="3C05F663" w14:textId="77777777" w:rsidR="00951A61" w:rsidRPr="0089418D" w:rsidRDefault="00951A61" w:rsidP="00A4032F">
                  <w:pPr>
                    <w:pStyle w:val="affe"/>
                    <w:tabs>
                      <w:tab w:val="left" w:pos="0"/>
                      <w:tab w:val="left" w:pos="142"/>
                    </w:tabs>
                    <w:ind w:left="0" w:firstLine="425"/>
                    <w:jc w:val="both"/>
                    <w:rPr>
                      <w:rFonts w:ascii="Tahoma" w:hAnsi="Tahoma" w:cs="Tahoma"/>
                      <w:b/>
                      <w:sz w:val="20"/>
                      <w:szCs w:val="20"/>
                    </w:rPr>
                  </w:pPr>
                  <w:r w:rsidRPr="0089418D">
                    <w:rPr>
                      <w:rFonts w:ascii="Tahoma" w:hAnsi="Tahoma" w:cs="Tahoma"/>
                      <w:b/>
                      <w:sz w:val="20"/>
                      <w:szCs w:val="20"/>
                    </w:rPr>
                    <w:t xml:space="preserve">Регион нахождения </w:t>
                  </w:r>
                  <w:r>
                    <w:rPr>
                      <w:rFonts w:ascii="Tahoma" w:hAnsi="Tahoma" w:cs="Tahoma"/>
                      <w:b/>
                      <w:sz w:val="20"/>
                      <w:szCs w:val="20"/>
                    </w:rPr>
                    <w:t>П</w:t>
                  </w:r>
                  <w:r w:rsidRPr="0089418D">
                    <w:rPr>
                      <w:rFonts w:ascii="Tahoma" w:hAnsi="Tahoma" w:cs="Tahoma"/>
                      <w:b/>
                      <w:sz w:val="20"/>
                      <w:szCs w:val="20"/>
                    </w:rPr>
                    <w:t>редмета ипотеки</w:t>
                  </w:r>
                </w:p>
              </w:tc>
              <w:tc>
                <w:tcPr>
                  <w:tcW w:w="2753" w:type="dxa"/>
                </w:tcPr>
                <w:p w14:paraId="4BCA1B11" w14:textId="77777777" w:rsidR="00951A61" w:rsidRPr="0089418D" w:rsidRDefault="00951A61" w:rsidP="00A4032F">
                  <w:pPr>
                    <w:pStyle w:val="affe"/>
                    <w:tabs>
                      <w:tab w:val="left" w:pos="0"/>
                      <w:tab w:val="left" w:pos="142"/>
                    </w:tabs>
                    <w:ind w:left="0" w:firstLine="425"/>
                    <w:jc w:val="both"/>
                    <w:rPr>
                      <w:rFonts w:ascii="Tahoma" w:hAnsi="Tahoma" w:cs="Tahoma"/>
                      <w:b/>
                      <w:sz w:val="20"/>
                      <w:szCs w:val="20"/>
                    </w:rPr>
                  </w:pPr>
                  <w:r w:rsidRPr="0089418D">
                    <w:rPr>
                      <w:rFonts w:ascii="Tahoma" w:hAnsi="Tahoma" w:cs="Tahoma"/>
                      <w:b/>
                      <w:sz w:val="20"/>
                      <w:szCs w:val="20"/>
                    </w:rPr>
                    <w:t>Квартира/Апартаменты</w:t>
                  </w:r>
                </w:p>
              </w:tc>
              <w:tc>
                <w:tcPr>
                  <w:tcW w:w="4733" w:type="dxa"/>
                </w:tcPr>
                <w:p w14:paraId="237D329F" w14:textId="77777777" w:rsidR="00951A61" w:rsidRPr="0089418D" w:rsidRDefault="00951A61" w:rsidP="00A4032F">
                  <w:pPr>
                    <w:pStyle w:val="affe"/>
                    <w:tabs>
                      <w:tab w:val="left" w:pos="0"/>
                      <w:tab w:val="left" w:pos="142"/>
                    </w:tabs>
                    <w:ind w:left="0" w:firstLine="425"/>
                    <w:jc w:val="both"/>
                    <w:rPr>
                      <w:rFonts w:ascii="Tahoma" w:hAnsi="Tahoma" w:cs="Tahoma"/>
                      <w:b/>
                      <w:sz w:val="20"/>
                      <w:szCs w:val="20"/>
                    </w:rPr>
                  </w:pPr>
                  <w:r w:rsidRPr="0089418D">
                    <w:rPr>
                      <w:rFonts w:ascii="Tahoma" w:hAnsi="Tahoma" w:cs="Tahoma"/>
                      <w:b/>
                      <w:sz w:val="20"/>
                      <w:szCs w:val="20"/>
                    </w:rPr>
                    <w:t>Жилой дом с Земельным участком/ Таунхаус</w:t>
                  </w:r>
                </w:p>
              </w:tc>
            </w:tr>
            <w:tr w:rsidR="00951A61" w:rsidRPr="0089418D" w14:paraId="2B249CB4" w14:textId="77777777" w:rsidTr="00A4032F">
              <w:trPr>
                <w:trHeight w:val="209"/>
              </w:trPr>
              <w:tc>
                <w:tcPr>
                  <w:tcW w:w="3909" w:type="dxa"/>
                </w:tcPr>
                <w:p w14:paraId="7C75E483" w14:textId="77777777" w:rsidR="00951A61" w:rsidRPr="0089418D" w:rsidRDefault="00951A61" w:rsidP="00A4032F">
                  <w:pPr>
                    <w:pStyle w:val="affe"/>
                    <w:tabs>
                      <w:tab w:val="left" w:pos="0"/>
                      <w:tab w:val="left" w:pos="142"/>
                    </w:tabs>
                    <w:ind w:left="0" w:firstLine="425"/>
                    <w:jc w:val="both"/>
                    <w:rPr>
                      <w:rFonts w:ascii="Tahoma" w:hAnsi="Tahoma" w:cs="Tahoma"/>
                      <w:sz w:val="20"/>
                      <w:szCs w:val="20"/>
                    </w:rPr>
                  </w:pPr>
                  <w:r w:rsidRPr="0089418D">
                    <w:rPr>
                      <w:rFonts w:ascii="Tahoma" w:hAnsi="Tahoma" w:cs="Tahoma"/>
                      <w:sz w:val="20"/>
                      <w:szCs w:val="20"/>
                    </w:rPr>
                    <w:t>для г. Москвы, Московской области:</w:t>
                  </w:r>
                </w:p>
              </w:tc>
              <w:tc>
                <w:tcPr>
                  <w:tcW w:w="2753" w:type="dxa"/>
                </w:tcPr>
                <w:p w14:paraId="51CC5E30" w14:textId="77777777" w:rsidR="00951A61" w:rsidRPr="0089418D" w:rsidRDefault="00951A61" w:rsidP="00A4032F">
                  <w:pPr>
                    <w:pStyle w:val="affe"/>
                    <w:tabs>
                      <w:tab w:val="left" w:pos="0"/>
                      <w:tab w:val="left" w:pos="142"/>
                    </w:tabs>
                    <w:ind w:left="0" w:firstLine="425"/>
                    <w:jc w:val="both"/>
                    <w:rPr>
                      <w:rFonts w:ascii="Tahoma" w:hAnsi="Tahoma" w:cs="Tahoma"/>
                      <w:sz w:val="20"/>
                      <w:szCs w:val="20"/>
                    </w:rPr>
                  </w:pPr>
                  <w:r w:rsidRPr="0089418D">
                    <w:rPr>
                      <w:rFonts w:ascii="Tahoma" w:hAnsi="Tahoma" w:cs="Tahoma"/>
                      <w:sz w:val="20"/>
                      <w:szCs w:val="20"/>
                    </w:rPr>
                    <w:t>30</w:t>
                  </w:r>
                  <w:r>
                    <w:rPr>
                      <w:rFonts w:ascii="Tahoma" w:hAnsi="Tahoma" w:cs="Tahoma"/>
                      <w:sz w:val="20"/>
                      <w:szCs w:val="20"/>
                    </w:rPr>
                    <w:t> 000 000</w:t>
                  </w:r>
                  <w:r w:rsidRPr="0089418D">
                    <w:rPr>
                      <w:rFonts w:ascii="Tahoma" w:hAnsi="Tahoma" w:cs="Tahoma"/>
                      <w:sz w:val="20"/>
                      <w:szCs w:val="20"/>
                    </w:rPr>
                    <w:t>,00  руб.</w:t>
                  </w:r>
                </w:p>
              </w:tc>
              <w:tc>
                <w:tcPr>
                  <w:tcW w:w="4733" w:type="dxa"/>
                </w:tcPr>
                <w:p w14:paraId="28464728" w14:textId="77777777" w:rsidR="00951A61" w:rsidRPr="0089418D" w:rsidRDefault="00951A61" w:rsidP="00A4032F">
                  <w:pPr>
                    <w:pStyle w:val="affe"/>
                    <w:tabs>
                      <w:tab w:val="left" w:pos="0"/>
                      <w:tab w:val="left" w:pos="142"/>
                    </w:tabs>
                    <w:ind w:left="0"/>
                    <w:jc w:val="center"/>
                    <w:rPr>
                      <w:rFonts w:ascii="Tahoma" w:hAnsi="Tahoma" w:cs="Tahoma"/>
                      <w:sz w:val="20"/>
                      <w:szCs w:val="20"/>
                    </w:rPr>
                  </w:pPr>
                  <w:r w:rsidRPr="0089418D">
                    <w:rPr>
                      <w:rFonts w:ascii="Tahoma" w:hAnsi="Tahoma" w:cs="Tahoma"/>
                      <w:sz w:val="20"/>
                      <w:szCs w:val="20"/>
                    </w:rPr>
                    <w:t>15</w:t>
                  </w:r>
                  <w:r>
                    <w:rPr>
                      <w:rFonts w:ascii="Tahoma" w:hAnsi="Tahoma" w:cs="Tahoma"/>
                      <w:sz w:val="20"/>
                      <w:szCs w:val="20"/>
                    </w:rPr>
                    <w:t> 000 000</w:t>
                  </w:r>
                  <w:r w:rsidRPr="0089418D">
                    <w:rPr>
                      <w:rFonts w:ascii="Tahoma" w:hAnsi="Tahoma" w:cs="Tahoma"/>
                      <w:sz w:val="20"/>
                      <w:szCs w:val="20"/>
                    </w:rPr>
                    <w:t>,00 руб.</w:t>
                  </w:r>
                </w:p>
              </w:tc>
            </w:tr>
            <w:tr w:rsidR="00951A61" w:rsidRPr="0089418D" w14:paraId="4C6E086A" w14:textId="77777777" w:rsidTr="00A4032F">
              <w:trPr>
                <w:trHeight w:val="304"/>
              </w:trPr>
              <w:tc>
                <w:tcPr>
                  <w:tcW w:w="3909" w:type="dxa"/>
                </w:tcPr>
                <w:p w14:paraId="369C70B2" w14:textId="77777777" w:rsidR="00951A61" w:rsidRPr="0089418D" w:rsidRDefault="00951A61" w:rsidP="00A4032F">
                  <w:pPr>
                    <w:pStyle w:val="affe"/>
                    <w:tabs>
                      <w:tab w:val="left" w:pos="0"/>
                      <w:tab w:val="left" w:pos="142"/>
                    </w:tabs>
                    <w:ind w:left="0" w:firstLine="425"/>
                    <w:jc w:val="both"/>
                    <w:rPr>
                      <w:rFonts w:ascii="Tahoma" w:hAnsi="Tahoma" w:cs="Tahoma"/>
                      <w:sz w:val="20"/>
                      <w:szCs w:val="20"/>
                    </w:rPr>
                  </w:pPr>
                  <w:r w:rsidRPr="0089418D">
                    <w:rPr>
                      <w:rFonts w:ascii="Tahoma" w:hAnsi="Tahoma" w:cs="Tahoma"/>
                      <w:sz w:val="20"/>
                      <w:szCs w:val="20"/>
                    </w:rPr>
                    <w:t>для иных субъектов Российской Федерации:</w:t>
                  </w:r>
                </w:p>
              </w:tc>
              <w:tc>
                <w:tcPr>
                  <w:tcW w:w="2753" w:type="dxa"/>
                </w:tcPr>
                <w:p w14:paraId="2A9C2532" w14:textId="77777777" w:rsidR="00951A61" w:rsidRPr="0089418D" w:rsidRDefault="00951A61" w:rsidP="00A4032F">
                  <w:pPr>
                    <w:pStyle w:val="affe"/>
                    <w:tabs>
                      <w:tab w:val="left" w:pos="0"/>
                      <w:tab w:val="left" w:pos="142"/>
                    </w:tabs>
                    <w:ind w:left="0" w:firstLine="425"/>
                    <w:jc w:val="both"/>
                    <w:rPr>
                      <w:rFonts w:ascii="Tahoma" w:hAnsi="Tahoma" w:cs="Tahoma"/>
                      <w:sz w:val="20"/>
                      <w:szCs w:val="20"/>
                    </w:rPr>
                  </w:pPr>
                  <w:r w:rsidRPr="0089418D">
                    <w:rPr>
                      <w:rFonts w:ascii="Tahoma" w:hAnsi="Tahoma" w:cs="Tahoma"/>
                      <w:sz w:val="20"/>
                      <w:szCs w:val="20"/>
                    </w:rPr>
                    <w:t>15</w:t>
                  </w:r>
                  <w:r>
                    <w:rPr>
                      <w:rFonts w:ascii="Tahoma" w:hAnsi="Tahoma" w:cs="Tahoma"/>
                      <w:sz w:val="20"/>
                      <w:szCs w:val="20"/>
                    </w:rPr>
                    <w:t> 000 000</w:t>
                  </w:r>
                  <w:r w:rsidRPr="0089418D">
                    <w:rPr>
                      <w:rFonts w:ascii="Tahoma" w:hAnsi="Tahoma" w:cs="Tahoma"/>
                      <w:sz w:val="20"/>
                      <w:szCs w:val="20"/>
                    </w:rPr>
                    <w:t>,00 руб.</w:t>
                  </w:r>
                </w:p>
              </w:tc>
              <w:tc>
                <w:tcPr>
                  <w:tcW w:w="4733" w:type="dxa"/>
                </w:tcPr>
                <w:p w14:paraId="434BC269" w14:textId="77777777" w:rsidR="00951A61" w:rsidRPr="0089418D" w:rsidRDefault="00951A61" w:rsidP="00A4032F">
                  <w:pPr>
                    <w:pStyle w:val="affe"/>
                    <w:tabs>
                      <w:tab w:val="left" w:pos="0"/>
                      <w:tab w:val="left" w:pos="142"/>
                    </w:tabs>
                    <w:ind w:left="0"/>
                    <w:jc w:val="center"/>
                    <w:rPr>
                      <w:rFonts w:ascii="Tahoma" w:hAnsi="Tahoma" w:cs="Tahoma"/>
                      <w:sz w:val="20"/>
                      <w:szCs w:val="20"/>
                    </w:rPr>
                  </w:pPr>
                  <w:r w:rsidRPr="0089418D">
                    <w:rPr>
                      <w:rFonts w:ascii="Tahoma" w:hAnsi="Tahoma" w:cs="Tahoma"/>
                      <w:sz w:val="20"/>
                      <w:szCs w:val="20"/>
                    </w:rPr>
                    <w:t>10</w:t>
                  </w:r>
                  <w:r>
                    <w:rPr>
                      <w:rFonts w:ascii="Tahoma" w:hAnsi="Tahoma" w:cs="Tahoma"/>
                      <w:sz w:val="20"/>
                      <w:szCs w:val="20"/>
                    </w:rPr>
                    <w:t> 000 000</w:t>
                  </w:r>
                  <w:r w:rsidRPr="0089418D">
                    <w:rPr>
                      <w:rFonts w:ascii="Tahoma" w:hAnsi="Tahoma" w:cs="Tahoma"/>
                      <w:sz w:val="20"/>
                      <w:szCs w:val="20"/>
                    </w:rPr>
                    <w:t>,0 руб.</w:t>
                  </w:r>
                </w:p>
              </w:tc>
            </w:tr>
          </w:tbl>
          <w:p w14:paraId="3445B548" w14:textId="77777777" w:rsidR="00951A61" w:rsidRPr="0089418D" w:rsidRDefault="00951A61" w:rsidP="00A4032F">
            <w:pPr>
              <w:pStyle w:val="1-"/>
              <w:tabs>
                <w:tab w:val="left" w:pos="664"/>
              </w:tabs>
              <w:spacing w:before="0"/>
              <w:ind w:left="0" w:firstLine="425"/>
              <w:rPr>
                <w:rFonts w:ascii="Tahoma" w:eastAsia="Calibri" w:hAnsi="Tahoma" w:cs="Tahoma"/>
                <w:sz w:val="20"/>
                <w:szCs w:val="20"/>
                <w:lang w:eastAsia="ar-SA"/>
              </w:rPr>
            </w:pPr>
          </w:p>
        </w:tc>
      </w:tr>
      <w:tr w:rsidR="00951A61" w:rsidRPr="0089418D" w14:paraId="0C920089" w14:textId="77777777" w:rsidTr="00A4032F">
        <w:trPr>
          <w:trHeight w:val="255"/>
        </w:trPr>
        <w:tc>
          <w:tcPr>
            <w:tcW w:w="4071" w:type="dxa"/>
            <w:tcBorders>
              <w:top w:val="nil"/>
              <w:left w:val="single" w:sz="4" w:space="0" w:color="auto"/>
              <w:bottom w:val="single" w:sz="4" w:space="0" w:color="auto"/>
              <w:right w:val="single" w:sz="4" w:space="0" w:color="auto"/>
            </w:tcBorders>
            <w:shd w:val="clear" w:color="auto" w:fill="auto"/>
          </w:tcPr>
          <w:p w14:paraId="0068C70C" w14:textId="77777777" w:rsidR="00951A61" w:rsidRPr="0089418D" w:rsidRDefault="00951A61" w:rsidP="00A4032F">
            <w:pPr>
              <w:jc w:val="center"/>
              <w:rPr>
                <w:rFonts w:ascii="Tahoma" w:hAnsi="Tahoma" w:cs="Tahoma"/>
                <w:b/>
                <w:color w:val="000000"/>
                <w:sz w:val="20"/>
                <w:szCs w:val="20"/>
              </w:rPr>
            </w:pPr>
            <w:r w:rsidRPr="0089418D">
              <w:rPr>
                <w:rFonts w:ascii="Tahoma" w:hAnsi="Tahoma" w:cs="Tahoma"/>
                <w:b/>
                <w:color w:val="000000"/>
                <w:sz w:val="20"/>
                <w:szCs w:val="20"/>
              </w:rPr>
              <w:t xml:space="preserve">Процентные ставки </w:t>
            </w:r>
          </w:p>
          <w:p w14:paraId="4EA8C73D" w14:textId="77777777" w:rsidR="00951A61" w:rsidRPr="0089418D" w:rsidRDefault="00951A61" w:rsidP="00A4032F">
            <w:pPr>
              <w:jc w:val="center"/>
              <w:rPr>
                <w:rFonts w:ascii="Tahoma" w:hAnsi="Tahoma" w:cs="Tahoma"/>
                <w:b/>
                <w:bCs/>
                <w:color w:val="000000" w:themeColor="text1"/>
                <w:sz w:val="20"/>
              </w:rPr>
            </w:pPr>
            <w:r w:rsidRPr="0089418D">
              <w:rPr>
                <w:rFonts w:ascii="Tahoma" w:hAnsi="Tahoma" w:cs="Tahoma"/>
                <w:b/>
                <w:color w:val="000000"/>
                <w:sz w:val="20"/>
                <w:szCs w:val="20"/>
              </w:rPr>
              <w:t>(в процентах годовых)</w:t>
            </w:r>
          </w:p>
        </w:tc>
        <w:tc>
          <w:tcPr>
            <w:tcW w:w="11594" w:type="dxa"/>
            <w:tcBorders>
              <w:top w:val="single" w:sz="4" w:space="0" w:color="auto"/>
              <w:left w:val="nil"/>
              <w:bottom w:val="single" w:sz="4" w:space="0" w:color="auto"/>
              <w:right w:val="single" w:sz="4" w:space="0" w:color="auto"/>
            </w:tcBorders>
            <w:shd w:val="clear" w:color="auto" w:fill="auto"/>
          </w:tcPr>
          <w:p w14:paraId="3BF04BA0" w14:textId="77777777" w:rsidR="00951A61" w:rsidRPr="0089418D" w:rsidRDefault="00951A61" w:rsidP="00A4032F">
            <w:pPr>
              <w:ind w:firstLine="425"/>
              <w:jc w:val="both"/>
              <w:rPr>
                <w:rFonts w:ascii="Tahoma" w:eastAsia="Calibri" w:hAnsi="Tahoma" w:cs="Tahoma"/>
                <w:sz w:val="20"/>
                <w:szCs w:val="20"/>
              </w:rPr>
            </w:pPr>
            <w:r w:rsidRPr="0089418D">
              <w:rPr>
                <w:rFonts w:ascii="Tahoma" w:hAnsi="Tahoma" w:cs="Tahoma"/>
                <w:color w:val="000000"/>
                <w:sz w:val="20"/>
                <w:szCs w:val="20"/>
              </w:rPr>
              <w:t>В соответствии с Порядком формирования процентных ставок по ипотечному кредиту по тарифному плану «Готовое жилье», являющимся Приложением 1 к настоящему документу</w:t>
            </w:r>
          </w:p>
        </w:tc>
      </w:tr>
      <w:tr w:rsidR="00951A61" w:rsidRPr="0089418D" w14:paraId="4D083694" w14:textId="77777777" w:rsidTr="00A4032F">
        <w:trPr>
          <w:trHeight w:val="709"/>
        </w:trPr>
        <w:tc>
          <w:tcPr>
            <w:tcW w:w="4071" w:type="dxa"/>
            <w:tcBorders>
              <w:top w:val="nil"/>
              <w:left w:val="single" w:sz="4" w:space="0" w:color="auto"/>
              <w:bottom w:val="single" w:sz="4" w:space="0" w:color="auto"/>
              <w:right w:val="single" w:sz="4" w:space="0" w:color="auto"/>
            </w:tcBorders>
            <w:shd w:val="clear" w:color="auto" w:fill="auto"/>
          </w:tcPr>
          <w:p w14:paraId="582B3F37" w14:textId="77777777" w:rsidR="00951A61" w:rsidRPr="0089418D" w:rsidRDefault="00951A61" w:rsidP="00A4032F">
            <w:pPr>
              <w:jc w:val="center"/>
              <w:rPr>
                <w:rFonts w:ascii="Tahoma" w:hAnsi="Tahoma" w:cs="Tahoma"/>
                <w:b/>
                <w:color w:val="000000"/>
                <w:sz w:val="20"/>
                <w:szCs w:val="20"/>
              </w:rPr>
            </w:pPr>
            <w:r w:rsidRPr="0089418D">
              <w:rPr>
                <w:rFonts w:ascii="Tahoma" w:hAnsi="Tahoma" w:cs="Tahoma"/>
                <w:b/>
                <w:bCs/>
                <w:color w:val="000000" w:themeColor="text1"/>
                <w:sz w:val="20"/>
              </w:rPr>
              <w:t>Диапазон полной стоимости</w:t>
            </w:r>
            <w:r>
              <w:rPr>
                <w:rFonts w:ascii="Tahoma" w:hAnsi="Tahoma" w:cs="Tahoma"/>
                <w:b/>
                <w:bCs/>
                <w:color w:val="000000" w:themeColor="text1"/>
                <w:sz w:val="20"/>
              </w:rPr>
              <w:t xml:space="preserve"> </w:t>
            </w:r>
            <w:r>
              <w:rPr>
                <w:rFonts w:ascii="Tahoma" w:hAnsi="Tahoma" w:cs="Tahoma"/>
                <w:b/>
                <w:bCs/>
                <w:sz w:val="20"/>
                <w:szCs w:val="20"/>
              </w:rPr>
              <w:t>потребительского</w:t>
            </w:r>
            <w:r w:rsidRPr="0089418D">
              <w:rPr>
                <w:rFonts w:ascii="Tahoma" w:hAnsi="Tahoma" w:cs="Tahoma"/>
                <w:b/>
                <w:bCs/>
                <w:color w:val="000000" w:themeColor="text1"/>
                <w:sz w:val="20"/>
              </w:rPr>
              <w:t xml:space="preserve"> </w:t>
            </w:r>
            <w:r>
              <w:rPr>
                <w:rFonts w:ascii="Tahoma" w:hAnsi="Tahoma" w:cs="Tahoma"/>
                <w:b/>
                <w:bCs/>
                <w:color w:val="000000" w:themeColor="text1"/>
                <w:sz w:val="20"/>
              </w:rPr>
              <w:t>к</w:t>
            </w:r>
            <w:r w:rsidRPr="0089418D">
              <w:rPr>
                <w:rFonts w:ascii="Tahoma" w:hAnsi="Tahoma" w:cs="Tahoma"/>
                <w:b/>
                <w:bCs/>
                <w:color w:val="000000" w:themeColor="text1"/>
                <w:sz w:val="20"/>
              </w:rPr>
              <w:t xml:space="preserve">редита в </w:t>
            </w:r>
            <w:r w:rsidRPr="0089418D">
              <w:rPr>
                <w:rFonts w:ascii="Tahoma" w:hAnsi="Tahoma" w:cs="Tahoma"/>
                <w:b/>
                <w:bCs/>
                <w:color w:val="000000" w:themeColor="text1"/>
                <w:sz w:val="20"/>
              </w:rPr>
              <w:lastRenderedPageBreak/>
              <w:t>процентном и в денежном выражении</w:t>
            </w:r>
          </w:p>
        </w:tc>
        <w:tc>
          <w:tcPr>
            <w:tcW w:w="11594" w:type="dxa"/>
            <w:tcBorders>
              <w:top w:val="single" w:sz="4" w:space="0" w:color="auto"/>
              <w:left w:val="nil"/>
              <w:bottom w:val="single" w:sz="4" w:space="0" w:color="auto"/>
              <w:right w:val="single" w:sz="4" w:space="0" w:color="auto"/>
            </w:tcBorders>
            <w:shd w:val="clear" w:color="auto" w:fill="auto"/>
          </w:tcPr>
          <w:p w14:paraId="0E250AB5" w14:textId="77777777" w:rsidR="00951A61" w:rsidRPr="00951A61" w:rsidRDefault="00951A61" w:rsidP="00A4032F">
            <w:pPr>
              <w:jc w:val="center"/>
              <w:rPr>
                <w:rFonts w:ascii="Tahoma" w:hAnsi="Tahoma" w:cs="Tahoma"/>
                <w:color w:val="000000"/>
                <w:sz w:val="20"/>
                <w:szCs w:val="20"/>
              </w:rPr>
            </w:pPr>
            <w:r w:rsidRPr="00951A61">
              <w:rPr>
                <w:rFonts w:ascii="Tahoma" w:hAnsi="Tahoma" w:cs="Tahoma"/>
                <w:color w:val="000000"/>
                <w:sz w:val="20"/>
                <w:szCs w:val="20"/>
              </w:rPr>
              <w:lastRenderedPageBreak/>
              <w:t>24,569</w:t>
            </w:r>
            <w:r w:rsidRPr="00951A61" w:rsidDel="004317B9">
              <w:rPr>
                <w:rFonts w:ascii="Tahoma" w:hAnsi="Tahoma" w:cs="Tahoma"/>
                <w:color w:val="000000"/>
                <w:sz w:val="20"/>
                <w:szCs w:val="20"/>
              </w:rPr>
              <w:t xml:space="preserve"> </w:t>
            </w:r>
            <w:r w:rsidRPr="00951A61">
              <w:rPr>
                <w:rFonts w:ascii="Tahoma" w:hAnsi="Tahoma" w:cs="Tahoma"/>
                <w:color w:val="000000"/>
                <w:sz w:val="20"/>
                <w:szCs w:val="20"/>
              </w:rPr>
              <w:t>% годовых</w:t>
            </w:r>
            <w:r w:rsidRPr="00951A61">
              <w:rPr>
                <w:rStyle w:val="aff3"/>
                <w:rFonts w:ascii="Tahoma" w:hAnsi="Tahoma" w:cs="Tahoma"/>
                <w:color w:val="000000"/>
                <w:sz w:val="20"/>
                <w:szCs w:val="20"/>
              </w:rPr>
              <w:footnoteReference w:id="15"/>
            </w:r>
            <w:r w:rsidRPr="00951A61">
              <w:rPr>
                <w:rFonts w:ascii="Tahoma" w:hAnsi="Tahoma" w:cs="Tahoma"/>
                <w:color w:val="000000"/>
                <w:sz w:val="20"/>
                <w:szCs w:val="20"/>
              </w:rPr>
              <w:t xml:space="preserve"> – 28,619 % годовых</w:t>
            </w:r>
            <w:r w:rsidRPr="00951A61">
              <w:rPr>
                <w:rStyle w:val="aff3"/>
                <w:rFonts w:ascii="Tahoma" w:hAnsi="Tahoma" w:cs="Tahoma"/>
                <w:color w:val="000000"/>
                <w:sz w:val="20"/>
                <w:szCs w:val="20"/>
              </w:rPr>
              <w:footnoteReference w:id="16"/>
            </w:r>
            <w:r w:rsidRPr="00951A61">
              <w:rPr>
                <w:rFonts w:ascii="Tahoma" w:hAnsi="Tahoma" w:cs="Tahoma"/>
                <w:color w:val="000000"/>
                <w:sz w:val="20"/>
                <w:szCs w:val="20"/>
              </w:rPr>
              <w:t>;</w:t>
            </w:r>
          </w:p>
          <w:p w14:paraId="3E18808B" w14:textId="77777777" w:rsidR="00951A61" w:rsidRPr="00B3020C" w:rsidRDefault="00951A61" w:rsidP="00A4032F">
            <w:pPr>
              <w:jc w:val="center"/>
              <w:rPr>
                <w:rFonts w:ascii="Tahoma" w:hAnsi="Tahoma" w:cs="Tahoma"/>
                <w:color w:val="000000"/>
                <w:sz w:val="20"/>
                <w:szCs w:val="20"/>
                <w:highlight w:val="lightGray"/>
              </w:rPr>
            </w:pPr>
            <w:r w:rsidRPr="00951A61">
              <w:rPr>
                <w:rFonts w:ascii="Tahoma" w:hAnsi="Tahoma" w:cs="Tahoma"/>
                <w:color w:val="000000"/>
                <w:sz w:val="20"/>
                <w:szCs w:val="20"/>
              </w:rPr>
              <w:t>208 935,48 рублей – 135 030 936,314</w:t>
            </w:r>
            <w:r w:rsidRPr="00951A61" w:rsidDel="00095120">
              <w:rPr>
                <w:rFonts w:ascii="Tahoma" w:hAnsi="Tahoma" w:cs="Tahoma"/>
                <w:color w:val="000000"/>
                <w:sz w:val="20"/>
                <w:szCs w:val="20"/>
              </w:rPr>
              <w:t xml:space="preserve"> </w:t>
            </w:r>
            <w:r w:rsidRPr="00951A61">
              <w:rPr>
                <w:rFonts w:ascii="Tahoma" w:hAnsi="Tahoma" w:cs="Tahoma"/>
                <w:color w:val="000000"/>
                <w:sz w:val="20"/>
                <w:szCs w:val="20"/>
              </w:rPr>
              <w:t xml:space="preserve"> рублей</w:t>
            </w:r>
          </w:p>
        </w:tc>
      </w:tr>
      <w:tr w:rsidR="00951A61" w:rsidRPr="0089418D" w14:paraId="316AD36B" w14:textId="77777777" w:rsidTr="00A4032F">
        <w:trPr>
          <w:trHeight w:val="255"/>
        </w:trPr>
        <w:tc>
          <w:tcPr>
            <w:tcW w:w="4071" w:type="dxa"/>
            <w:tcBorders>
              <w:top w:val="nil"/>
              <w:left w:val="single" w:sz="4" w:space="0" w:color="auto"/>
              <w:bottom w:val="single" w:sz="4" w:space="0" w:color="auto"/>
              <w:right w:val="single" w:sz="4" w:space="0" w:color="auto"/>
            </w:tcBorders>
            <w:shd w:val="clear" w:color="auto" w:fill="auto"/>
          </w:tcPr>
          <w:p w14:paraId="4F229CB0" w14:textId="77777777" w:rsidR="00951A61" w:rsidRPr="0089418D" w:rsidRDefault="00951A61" w:rsidP="00A4032F">
            <w:pPr>
              <w:jc w:val="center"/>
              <w:rPr>
                <w:rFonts w:ascii="Tahoma" w:hAnsi="Tahoma" w:cs="Tahoma"/>
                <w:b/>
                <w:sz w:val="20"/>
                <w:szCs w:val="20"/>
              </w:rPr>
            </w:pPr>
            <w:r w:rsidRPr="0089418D">
              <w:rPr>
                <w:rFonts w:ascii="Tahoma" w:hAnsi="Tahoma" w:cs="Tahoma"/>
                <w:b/>
                <w:bCs/>
                <w:color w:val="000000"/>
                <w:sz w:val="20"/>
                <w:szCs w:val="20"/>
              </w:rPr>
              <w:t>Способы обеспечения исполнения обязательств по Кредитному договору</w:t>
            </w:r>
          </w:p>
        </w:tc>
        <w:tc>
          <w:tcPr>
            <w:tcW w:w="11594" w:type="dxa"/>
            <w:tcBorders>
              <w:top w:val="single" w:sz="4" w:space="0" w:color="auto"/>
              <w:left w:val="nil"/>
              <w:bottom w:val="single" w:sz="4" w:space="0" w:color="auto"/>
              <w:right w:val="single" w:sz="4" w:space="0" w:color="auto"/>
            </w:tcBorders>
            <w:shd w:val="clear" w:color="auto" w:fill="auto"/>
          </w:tcPr>
          <w:p w14:paraId="7DE1EC5E" w14:textId="77777777" w:rsidR="00951A61" w:rsidRPr="0089418D" w:rsidRDefault="00951A61" w:rsidP="00A4032F">
            <w:pPr>
              <w:ind w:firstLine="425"/>
              <w:jc w:val="both"/>
              <w:rPr>
                <w:rFonts w:ascii="Tahoma" w:hAnsi="Tahoma" w:cs="Tahoma"/>
                <w:color w:val="000000"/>
                <w:sz w:val="20"/>
                <w:szCs w:val="20"/>
              </w:rPr>
            </w:pPr>
            <w:r w:rsidRPr="0089418D">
              <w:rPr>
                <w:rFonts w:ascii="Tahoma" w:hAnsi="Tahoma" w:cs="Tahoma"/>
                <w:color w:val="000000"/>
                <w:sz w:val="20"/>
                <w:szCs w:val="20"/>
              </w:rPr>
              <w:t>Исполнение обязательств по Кредитному договору обеспечивается:</w:t>
            </w:r>
          </w:p>
          <w:p w14:paraId="5F35C995" w14:textId="77777777" w:rsidR="00951A61" w:rsidRPr="0089418D" w:rsidRDefault="00951A61" w:rsidP="00951A61">
            <w:pPr>
              <w:pStyle w:val="affe"/>
              <w:numPr>
                <w:ilvl w:val="0"/>
                <w:numId w:val="56"/>
              </w:numPr>
              <w:ind w:left="0" w:firstLine="425"/>
              <w:contextualSpacing/>
              <w:jc w:val="both"/>
              <w:rPr>
                <w:rFonts w:ascii="Tahoma" w:hAnsi="Tahoma" w:cs="Tahoma"/>
                <w:color w:val="000000"/>
                <w:sz w:val="20"/>
                <w:szCs w:val="20"/>
              </w:rPr>
            </w:pPr>
            <w:r w:rsidRPr="0089418D">
              <w:rPr>
                <w:rFonts w:ascii="Tahoma" w:hAnsi="Tahoma" w:cs="Tahoma"/>
                <w:color w:val="000000"/>
                <w:sz w:val="20"/>
                <w:szCs w:val="20"/>
              </w:rPr>
              <w:t>залогом Объекта недвижимости;</w:t>
            </w:r>
          </w:p>
          <w:p w14:paraId="2D8347A6" w14:textId="77777777" w:rsidR="00951A61" w:rsidRPr="0089418D" w:rsidRDefault="00951A61" w:rsidP="00951A61">
            <w:pPr>
              <w:pStyle w:val="affe"/>
              <w:numPr>
                <w:ilvl w:val="0"/>
                <w:numId w:val="56"/>
              </w:numPr>
              <w:ind w:left="0" w:firstLine="425"/>
              <w:contextualSpacing/>
              <w:jc w:val="both"/>
              <w:rPr>
                <w:rFonts w:ascii="Tahoma" w:hAnsi="Tahoma" w:cs="Tahoma"/>
                <w:color w:val="000000"/>
                <w:sz w:val="20"/>
                <w:szCs w:val="20"/>
              </w:rPr>
            </w:pPr>
            <w:r w:rsidRPr="0089418D">
              <w:rPr>
                <w:rFonts w:ascii="Tahoma" w:hAnsi="Tahoma" w:cs="Tahoma"/>
                <w:color w:val="000000"/>
                <w:sz w:val="20"/>
                <w:szCs w:val="20"/>
              </w:rPr>
              <w:t>неустойкой.</w:t>
            </w:r>
          </w:p>
          <w:p w14:paraId="20608213" w14:textId="77777777" w:rsidR="00951A61" w:rsidRPr="0089418D" w:rsidRDefault="00951A61" w:rsidP="00A4032F">
            <w:pPr>
              <w:ind w:firstLine="425"/>
              <w:jc w:val="both"/>
              <w:rPr>
                <w:rFonts w:ascii="Tahoma" w:hAnsi="Tahoma" w:cs="Tahoma"/>
                <w:sz w:val="20"/>
                <w:szCs w:val="20"/>
              </w:rPr>
            </w:pPr>
            <w:r w:rsidRPr="0089418D">
              <w:rPr>
                <w:rFonts w:ascii="Tahoma" w:eastAsia="Calibri" w:hAnsi="Tahoma" w:cs="Tahoma"/>
                <w:sz w:val="20"/>
                <w:szCs w:val="20"/>
              </w:rPr>
              <w:t>Условиями Кредитного договора могут быть предусмотрены дополнительные способы обеспечения исполнения обязательств</w:t>
            </w:r>
          </w:p>
        </w:tc>
      </w:tr>
      <w:tr w:rsidR="00951A61" w:rsidRPr="0089418D" w14:paraId="041066C8" w14:textId="77777777" w:rsidTr="00A4032F">
        <w:trPr>
          <w:trHeight w:val="255"/>
        </w:trPr>
        <w:tc>
          <w:tcPr>
            <w:tcW w:w="4071" w:type="dxa"/>
            <w:tcBorders>
              <w:top w:val="nil"/>
              <w:left w:val="single" w:sz="4" w:space="0" w:color="auto"/>
              <w:bottom w:val="single" w:sz="4" w:space="0" w:color="auto"/>
              <w:right w:val="single" w:sz="4" w:space="0" w:color="auto"/>
            </w:tcBorders>
            <w:shd w:val="clear" w:color="auto" w:fill="auto"/>
            <w:vAlign w:val="center"/>
          </w:tcPr>
          <w:p w14:paraId="6A3D7268" w14:textId="77777777" w:rsidR="00951A61" w:rsidRPr="0089418D" w:rsidRDefault="00951A61" w:rsidP="00A4032F">
            <w:pPr>
              <w:jc w:val="center"/>
              <w:rPr>
                <w:rFonts w:ascii="Tahoma" w:hAnsi="Tahoma" w:cs="Tahoma"/>
                <w:b/>
                <w:sz w:val="20"/>
                <w:szCs w:val="20"/>
              </w:rPr>
            </w:pPr>
            <w:r w:rsidRPr="0089418D">
              <w:rPr>
                <w:rFonts w:ascii="Tahoma" w:hAnsi="Tahoma" w:cs="Tahoma"/>
                <w:b/>
                <w:sz w:val="20"/>
                <w:szCs w:val="20"/>
              </w:rPr>
              <w:t>Залоговое обеспечение</w:t>
            </w:r>
          </w:p>
        </w:tc>
        <w:tc>
          <w:tcPr>
            <w:tcW w:w="11594" w:type="dxa"/>
            <w:tcBorders>
              <w:top w:val="single" w:sz="4" w:space="0" w:color="auto"/>
              <w:left w:val="nil"/>
              <w:bottom w:val="single" w:sz="4" w:space="0" w:color="auto"/>
              <w:right w:val="single" w:sz="4" w:space="0" w:color="auto"/>
            </w:tcBorders>
            <w:shd w:val="clear" w:color="auto" w:fill="auto"/>
          </w:tcPr>
          <w:p w14:paraId="525AE502" w14:textId="77777777" w:rsidR="00951A61" w:rsidRPr="0089418D" w:rsidRDefault="00951A61" w:rsidP="00A4032F">
            <w:pPr>
              <w:ind w:firstLine="425"/>
              <w:jc w:val="both"/>
              <w:rPr>
                <w:rFonts w:ascii="Tahoma" w:hAnsi="Tahoma" w:cs="Tahoma"/>
                <w:sz w:val="20"/>
                <w:szCs w:val="20"/>
              </w:rPr>
            </w:pPr>
            <w:r w:rsidRPr="0089418D">
              <w:rPr>
                <w:rFonts w:ascii="Tahoma" w:hAnsi="Tahoma" w:cs="Tahoma"/>
                <w:sz w:val="20"/>
                <w:szCs w:val="20"/>
              </w:rPr>
              <w:t>Залог приобретаемого объекта недвижимости (с оформлением закладной) – по факту оформления права собственности на приобретаемую недвижимость</w:t>
            </w:r>
          </w:p>
        </w:tc>
      </w:tr>
      <w:tr w:rsidR="00951A61" w:rsidRPr="0089418D" w14:paraId="5F709040" w14:textId="77777777" w:rsidTr="00A4032F">
        <w:trPr>
          <w:trHeight w:val="255"/>
        </w:trPr>
        <w:tc>
          <w:tcPr>
            <w:tcW w:w="4071" w:type="dxa"/>
            <w:tcBorders>
              <w:top w:val="nil"/>
              <w:left w:val="single" w:sz="4" w:space="0" w:color="auto"/>
              <w:bottom w:val="single" w:sz="4" w:space="0" w:color="auto"/>
              <w:right w:val="single" w:sz="4" w:space="0" w:color="auto"/>
            </w:tcBorders>
            <w:shd w:val="clear" w:color="auto" w:fill="auto"/>
            <w:vAlign w:val="center"/>
          </w:tcPr>
          <w:p w14:paraId="0443AD19" w14:textId="77777777" w:rsidR="00951A61" w:rsidRPr="0089418D" w:rsidRDefault="00951A61" w:rsidP="00A4032F">
            <w:pPr>
              <w:jc w:val="center"/>
              <w:rPr>
                <w:rFonts w:ascii="Tahoma" w:hAnsi="Tahoma" w:cs="Tahoma"/>
                <w:b/>
                <w:sz w:val="20"/>
                <w:szCs w:val="20"/>
              </w:rPr>
            </w:pPr>
            <w:r w:rsidRPr="0089418D">
              <w:rPr>
                <w:rFonts w:ascii="Tahoma" w:hAnsi="Tahoma" w:cs="Tahoma"/>
                <w:b/>
                <w:sz w:val="20"/>
                <w:szCs w:val="20"/>
              </w:rPr>
              <w:t>Страхование</w:t>
            </w:r>
            <w:r w:rsidRPr="0089418D">
              <w:rPr>
                <w:rStyle w:val="aff3"/>
                <w:rFonts w:ascii="Tahoma" w:hAnsi="Tahoma"/>
                <w:b/>
                <w:sz w:val="20"/>
                <w:szCs w:val="20"/>
              </w:rPr>
              <w:footnoteReference w:id="17"/>
            </w:r>
          </w:p>
        </w:tc>
        <w:tc>
          <w:tcPr>
            <w:tcW w:w="11594" w:type="dxa"/>
            <w:tcBorders>
              <w:top w:val="single" w:sz="4" w:space="0" w:color="auto"/>
              <w:left w:val="nil"/>
              <w:bottom w:val="single" w:sz="4" w:space="0" w:color="auto"/>
              <w:right w:val="single" w:sz="4" w:space="0" w:color="auto"/>
            </w:tcBorders>
            <w:shd w:val="clear" w:color="auto" w:fill="auto"/>
          </w:tcPr>
          <w:p w14:paraId="33545287" w14:textId="77777777" w:rsidR="00951A61" w:rsidRPr="001F1A46" w:rsidRDefault="00951A61" w:rsidP="00951A61">
            <w:pPr>
              <w:pStyle w:val="affe"/>
              <w:numPr>
                <w:ilvl w:val="0"/>
                <w:numId w:val="55"/>
              </w:numPr>
              <w:ind w:left="0" w:firstLine="425"/>
              <w:contextualSpacing/>
              <w:jc w:val="both"/>
              <w:rPr>
                <w:rFonts w:ascii="Tahoma" w:hAnsi="Tahoma" w:cs="Tahoma"/>
                <w:sz w:val="20"/>
                <w:szCs w:val="20"/>
              </w:rPr>
            </w:pPr>
            <w:r w:rsidRPr="0089418D">
              <w:rPr>
                <w:rFonts w:ascii="Tahoma" w:hAnsi="Tahoma" w:cs="Tahoma"/>
                <w:b/>
                <w:sz w:val="20"/>
                <w:szCs w:val="20"/>
              </w:rPr>
              <w:t>Имущественное страхование</w:t>
            </w:r>
            <w:r w:rsidRPr="0089418D">
              <w:rPr>
                <w:rFonts w:ascii="Tahoma" w:hAnsi="Tahoma" w:cs="Tahoma"/>
                <w:sz w:val="20"/>
                <w:szCs w:val="20"/>
              </w:rPr>
              <w:t xml:space="preserve"> (страхование рисков, связанных с утратой или повреждением недвижимого имущества, находящегося в залоге)</w:t>
            </w:r>
            <w:r w:rsidRPr="001F1A46">
              <w:rPr>
                <w:rFonts w:ascii="Tahoma" w:hAnsi="Tahoma" w:cs="Tahoma"/>
                <w:sz w:val="20"/>
                <w:szCs w:val="20"/>
              </w:rPr>
              <w:t>;</w:t>
            </w:r>
          </w:p>
          <w:p w14:paraId="44EED298" w14:textId="77777777" w:rsidR="00951A61" w:rsidRPr="0089418D" w:rsidRDefault="00951A61" w:rsidP="00951A61">
            <w:pPr>
              <w:pStyle w:val="affe"/>
              <w:numPr>
                <w:ilvl w:val="0"/>
                <w:numId w:val="55"/>
              </w:numPr>
              <w:ind w:left="0" w:firstLine="425"/>
              <w:contextualSpacing/>
              <w:jc w:val="both"/>
              <w:rPr>
                <w:rFonts w:ascii="Tahoma" w:hAnsi="Tahoma" w:cs="Tahoma"/>
                <w:sz w:val="20"/>
                <w:szCs w:val="20"/>
              </w:rPr>
            </w:pPr>
            <w:r w:rsidRPr="0089418D">
              <w:rPr>
                <w:rFonts w:ascii="Tahoma" w:hAnsi="Tahoma" w:cs="Tahoma"/>
                <w:b/>
                <w:sz w:val="20"/>
                <w:szCs w:val="20"/>
              </w:rPr>
              <w:t>Личное страхование</w:t>
            </w:r>
            <w:r w:rsidRPr="0089418D">
              <w:rPr>
                <w:rFonts w:ascii="Tahoma" w:hAnsi="Tahoma" w:cs="Tahoma"/>
                <w:sz w:val="20"/>
                <w:szCs w:val="20"/>
              </w:rPr>
              <w:t xml:space="preserve"> (</w:t>
            </w:r>
            <w:r w:rsidRPr="00F15CB4">
              <w:rPr>
                <w:rFonts w:ascii="Tahoma" w:hAnsi="Tahoma" w:cs="Tahoma"/>
                <w:sz w:val="20"/>
                <w:szCs w:val="20"/>
              </w:rPr>
              <w:t>страхование на случай смерти застрахованного лица и установления застрахованному лицу инвалидности I, II группы, в том числе в результате болезни</w:t>
            </w:r>
            <w:r w:rsidRPr="0089418D">
              <w:rPr>
                <w:rFonts w:ascii="Tahoma" w:hAnsi="Tahoma" w:cs="Tahoma"/>
                <w:sz w:val="20"/>
                <w:szCs w:val="20"/>
              </w:rPr>
              <w:t>) — оформляется по желанию заемщика</w:t>
            </w:r>
            <w:r w:rsidRPr="005A6713">
              <w:rPr>
                <w:rStyle w:val="aff3"/>
                <w:rFonts w:ascii="Tahoma" w:hAnsi="Tahoma"/>
                <w:sz w:val="20"/>
                <w:szCs w:val="20"/>
              </w:rPr>
              <w:footnoteReference w:id="18"/>
            </w:r>
            <w:r w:rsidRPr="0089418D">
              <w:rPr>
                <w:rFonts w:ascii="Tahoma" w:hAnsi="Tahoma" w:cs="Tahoma"/>
                <w:sz w:val="20"/>
                <w:szCs w:val="20"/>
              </w:rPr>
              <w:t>;</w:t>
            </w:r>
          </w:p>
          <w:p w14:paraId="1911EAFC" w14:textId="77777777" w:rsidR="00951A61" w:rsidRPr="0089418D" w:rsidRDefault="00951A61" w:rsidP="00951A61">
            <w:pPr>
              <w:pStyle w:val="affe"/>
              <w:numPr>
                <w:ilvl w:val="0"/>
                <w:numId w:val="55"/>
              </w:numPr>
              <w:ind w:left="0" w:firstLine="425"/>
              <w:contextualSpacing/>
              <w:jc w:val="both"/>
              <w:rPr>
                <w:rFonts w:ascii="Tahoma" w:hAnsi="Tahoma" w:cs="Tahoma"/>
                <w:sz w:val="20"/>
                <w:szCs w:val="20"/>
              </w:rPr>
            </w:pPr>
            <w:r w:rsidRPr="0089418D">
              <w:rPr>
                <w:rFonts w:ascii="Tahoma" w:hAnsi="Tahoma" w:cs="Tahoma"/>
                <w:b/>
                <w:sz w:val="20"/>
                <w:szCs w:val="20"/>
              </w:rPr>
              <w:t>Титульное страхование</w:t>
            </w:r>
            <w:r w:rsidRPr="0089418D">
              <w:rPr>
                <w:rFonts w:ascii="Tahoma" w:hAnsi="Tahoma" w:cs="Tahoma"/>
                <w:sz w:val="20"/>
                <w:szCs w:val="20"/>
              </w:rPr>
              <w:t xml:space="preserve"> (страхование от риска утраты / ограничения права собственности (титула) на Объект недвижимости, осуществляется в течение 3-х лет с момента оформления права собственности Заемщика на Объект недвижимости) — оформляется по желанию заемщика.  </w:t>
            </w:r>
          </w:p>
        </w:tc>
      </w:tr>
      <w:tr w:rsidR="00951A61" w:rsidRPr="0089418D" w14:paraId="3318BF33" w14:textId="77777777" w:rsidTr="00A4032F">
        <w:trPr>
          <w:trHeight w:val="1408"/>
        </w:trPr>
        <w:tc>
          <w:tcPr>
            <w:tcW w:w="4071" w:type="dxa"/>
            <w:tcBorders>
              <w:top w:val="nil"/>
              <w:left w:val="single" w:sz="4" w:space="0" w:color="auto"/>
              <w:bottom w:val="single" w:sz="4" w:space="0" w:color="auto"/>
              <w:right w:val="single" w:sz="4" w:space="0" w:color="auto"/>
            </w:tcBorders>
            <w:shd w:val="clear" w:color="auto" w:fill="auto"/>
            <w:vAlign w:val="center"/>
          </w:tcPr>
          <w:p w14:paraId="7C5AC4C2" w14:textId="77777777" w:rsidR="00951A61" w:rsidRPr="0089418D" w:rsidRDefault="00951A61" w:rsidP="00A4032F">
            <w:pPr>
              <w:jc w:val="center"/>
              <w:rPr>
                <w:rFonts w:ascii="Tahoma" w:hAnsi="Tahoma" w:cs="Tahoma"/>
                <w:b/>
                <w:sz w:val="20"/>
                <w:szCs w:val="20"/>
              </w:rPr>
            </w:pPr>
            <w:r w:rsidRPr="0089418D">
              <w:rPr>
                <w:rFonts w:ascii="Tahoma" w:hAnsi="Tahoma" w:cs="Tahoma"/>
                <w:b/>
                <w:sz w:val="20"/>
                <w:szCs w:val="20"/>
              </w:rPr>
              <w:t>Размер первоначального взноса</w:t>
            </w:r>
          </w:p>
        </w:tc>
        <w:tc>
          <w:tcPr>
            <w:tcW w:w="11594" w:type="dxa"/>
            <w:tcBorders>
              <w:top w:val="single" w:sz="4" w:space="0" w:color="auto"/>
              <w:left w:val="nil"/>
              <w:bottom w:val="single" w:sz="4" w:space="0" w:color="auto"/>
              <w:right w:val="single" w:sz="4" w:space="0" w:color="auto"/>
            </w:tcBorders>
            <w:shd w:val="clear" w:color="auto" w:fill="auto"/>
          </w:tcPr>
          <w:p w14:paraId="413B3AB1" w14:textId="77777777" w:rsidR="00951A61" w:rsidRPr="0089418D" w:rsidRDefault="00951A61" w:rsidP="00A4032F">
            <w:pPr>
              <w:pStyle w:val="affe"/>
              <w:tabs>
                <w:tab w:val="left" w:pos="280"/>
              </w:tabs>
              <w:ind w:left="0" w:firstLine="425"/>
              <w:jc w:val="both"/>
              <w:rPr>
                <w:rFonts w:ascii="Tahoma" w:hAnsi="Tahoma" w:cs="Tahoma"/>
                <w:sz w:val="20"/>
                <w:szCs w:val="20"/>
              </w:rPr>
            </w:pPr>
            <w:r w:rsidRPr="0089418D">
              <w:rPr>
                <w:rFonts w:ascii="Tahoma" w:hAnsi="Tahoma" w:cs="Tahoma"/>
                <w:b/>
                <w:sz w:val="20"/>
                <w:szCs w:val="20"/>
                <w:u w:val="single"/>
              </w:rPr>
              <w:t>Размер первоначального взноса</w:t>
            </w:r>
            <w:r w:rsidRPr="0089418D">
              <w:rPr>
                <w:rFonts w:ascii="Tahoma" w:hAnsi="Tahoma" w:cs="Tahoma"/>
                <w:sz w:val="20"/>
                <w:szCs w:val="20"/>
              </w:rPr>
              <w:t xml:space="preserve"> определяется как разница между суммой предоставляемого Кредита и стоимостью приобретаемой недвижимости. Первоначальный взнос может быть сформирован с учетом средств субсидии бюджетов различных уровней. Порядок оплаты первоначального взноса с учетом средств субсидий определяется Банком.</w:t>
            </w:r>
          </w:p>
          <w:p w14:paraId="184767A7" w14:textId="77777777" w:rsidR="00951A61" w:rsidRPr="0089418D" w:rsidRDefault="00951A61" w:rsidP="00A4032F">
            <w:pPr>
              <w:pStyle w:val="affe"/>
              <w:tabs>
                <w:tab w:val="left" w:pos="280"/>
              </w:tabs>
              <w:ind w:left="0" w:firstLine="425"/>
              <w:jc w:val="both"/>
              <w:rPr>
                <w:rFonts w:ascii="Tahoma" w:hAnsi="Tahoma" w:cs="Tahoma"/>
                <w:b/>
                <w:bCs/>
                <w:sz w:val="20"/>
                <w:szCs w:val="20"/>
              </w:rPr>
            </w:pPr>
            <w:r w:rsidRPr="0089418D">
              <w:rPr>
                <w:rFonts w:ascii="Tahoma" w:hAnsi="Tahoma" w:cs="Tahoma"/>
                <w:b/>
                <w:bCs/>
                <w:sz w:val="20"/>
                <w:szCs w:val="20"/>
              </w:rPr>
              <w:t>Первоначальный взнос от 15%</w:t>
            </w:r>
            <w:r w:rsidRPr="002C3B53">
              <w:rPr>
                <w:rStyle w:val="aff3"/>
                <w:rFonts w:ascii="Tahoma" w:hAnsi="Tahoma"/>
                <w:sz w:val="20"/>
                <w:szCs w:val="20"/>
              </w:rPr>
              <w:footnoteReference w:id="19"/>
            </w:r>
            <w:r w:rsidRPr="0089418D">
              <w:rPr>
                <w:rFonts w:ascii="Tahoma" w:hAnsi="Tahoma" w:cs="Tahoma"/>
                <w:sz w:val="20"/>
                <w:szCs w:val="20"/>
              </w:rPr>
              <w:t xml:space="preserve"> - при наличии Государственного сертификата на материнский (семейный) капитал (далее</w:t>
            </w:r>
            <w:r>
              <w:rPr>
                <w:rFonts w:ascii="Tahoma" w:hAnsi="Tahoma" w:cs="Tahoma"/>
                <w:sz w:val="20"/>
                <w:szCs w:val="20"/>
              </w:rPr>
              <w:t xml:space="preserve"> -</w:t>
            </w:r>
            <w:r w:rsidRPr="0089418D">
              <w:rPr>
                <w:rFonts w:ascii="Tahoma" w:hAnsi="Tahoma" w:cs="Tahoma"/>
                <w:sz w:val="20"/>
                <w:szCs w:val="20"/>
              </w:rPr>
              <w:t xml:space="preserve"> МСК), с учетом средств МСК и собственных средств, размер первоначального взноса будет соответствовать стандартному (но не менее </w:t>
            </w:r>
            <w:r>
              <w:rPr>
                <w:rFonts w:ascii="Tahoma" w:hAnsi="Tahoma" w:cs="Tahoma"/>
                <w:sz w:val="20"/>
                <w:szCs w:val="20"/>
              </w:rPr>
              <w:t>3</w:t>
            </w:r>
            <w:r w:rsidRPr="0089418D">
              <w:rPr>
                <w:rFonts w:ascii="Tahoma" w:hAnsi="Tahoma" w:cs="Tahoma"/>
                <w:sz w:val="20"/>
                <w:szCs w:val="20"/>
              </w:rPr>
              <w:t>0%):</w:t>
            </w:r>
          </w:p>
          <w:p w14:paraId="066032DC" w14:textId="77777777" w:rsidR="00951A61" w:rsidRPr="0089418D" w:rsidRDefault="00951A61" w:rsidP="00A4032F">
            <w:pPr>
              <w:pStyle w:val="affe"/>
              <w:tabs>
                <w:tab w:val="left" w:pos="280"/>
              </w:tabs>
              <w:ind w:left="0" w:firstLine="425"/>
              <w:jc w:val="both"/>
              <w:rPr>
                <w:rFonts w:ascii="Tahoma" w:hAnsi="Tahoma" w:cs="Tahoma"/>
                <w:b/>
                <w:sz w:val="20"/>
                <w:szCs w:val="20"/>
                <w:u w:val="single"/>
              </w:rPr>
            </w:pPr>
            <w:r w:rsidRPr="0089418D">
              <w:rPr>
                <w:rFonts w:ascii="Tahoma" w:hAnsi="Tahoma" w:cs="Tahoma"/>
                <w:b/>
                <w:sz w:val="20"/>
                <w:szCs w:val="20"/>
                <w:u w:val="single"/>
              </w:rPr>
              <w:t>Требование к стандартному размеру первоначального взноса</w:t>
            </w:r>
            <w:r w:rsidRPr="00B3020C">
              <w:rPr>
                <w:rStyle w:val="aff3"/>
                <w:rFonts w:ascii="Tahoma" w:hAnsi="Tahoma" w:cs="Tahoma"/>
                <w:b/>
                <w:sz w:val="20"/>
                <w:szCs w:val="20"/>
                <w:u w:val="single"/>
              </w:rPr>
              <w:footnoteReference w:id="20"/>
            </w:r>
            <w:r w:rsidRPr="0089418D">
              <w:rPr>
                <w:rFonts w:ascii="Tahoma" w:hAnsi="Tahoma" w:cs="Tahoma"/>
                <w:b/>
                <w:sz w:val="20"/>
                <w:szCs w:val="20"/>
                <w:u w:val="single"/>
              </w:rPr>
              <w:t>:</w:t>
            </w:r>
          </w:p>
          <w:tbl>
            <w:tblPr>
              <w:tblStyle w:val="aff0"/>
              <w:tblW w:w="11312" w:type="dxa"/>
              <w:tblInd w:w="28" w:type="dxa"/>
              <w:tblLayout w:type="fixed"/>
              <w:tblLook w:val="04A0" w:firstRow="1" w:lastRow="0" w:firstColumn="1" w:lastColumn="0" w:noHBand="0" w:noVBand="1"/>
            </w:tblPr>
            <w:tblGrid>
              <w:gridCol w:w="2835"/>
              <w:gridCol w:w="2835"/>
              <w:gridCol w:w="2835"/>
              <w:gridCol w:w="2807"/>
            </w:tblGrid>
            <w:tr w:rsidR="00951A61" w:rsidRPr="0089418D" w14:paraId="2D731533" w14:textId="77777777" w:rsidTr="00A4032F">
              <w:trPr>
                <w:trHeight w:val="426"/>
              </w:trPr>
              <w:tc>
                <w:tcPr>
                  <w:tcW w:w="2835" w:type="dxa"/>
                </w:tcPr>
                <w:p w14:paraId="338BD673" w14:textId="77777777" w:rsidR="00951A61" w:rsidRPr="0089418D" w:rsidRDefault="00951A61" w:rsidP="00A4032F">
                  <w:pPr>
                    <w:pStyle w:val="affe"/>
                    <w:tabs>
                      <w:tab w:val="left" w:pos="280"/>
                    </w:tabs>
                    <w:ind w:left="0"/>
                    <w:jc w:val="center"/>
                    <w:rPr>
                      <w:rFonts w:ascii="Tahoma" w:hAnsi="Tahoma" w:cs="Tahoma"/>
                      <w:b/>
                      <w:sz w:val="20"/>
                      <w:szCs w:val="20"/>
                    </w:rPr>
                  </w:pPr>
                  <w:r w:rsidRPr="0089418D">
                    <w:rPr>
                      <w:rFonts w:ascii="Tahoma" w:hAnsi="Tahoma" w:cs="Tahoma"/>
                      <w:b/>
                      <w:sz w:val="20"/>
                      <w:szCs w:val="20"/>
                    </w:rPr>
                    <w:t>Квартира</w:t>
                  </w:r>
                </w:p>
              </w:tc>
              <w:tc>
                <w:tcPr>
                  <w:tcW w:w="2835" w:type="dxa"/>
                </w:tcPr>
                <w:p w14:paraId="16AEB9EB" w14:textId="77777777" w:rsidR="00951A61" w:rsidRPr="0089418D" w:rsidRDefault="00951A61" w:rsidP="00A4032F">
                  <w:pPr>
                    <w:pStyle w:val="affe"/>
                    <w:tabs>
                      <w:tab w:val="left" w:pos="280"/>
                    </w:tabs>
                    <w:ind w:left="0"/>
                    <w:jc w:val="center"/>
                    <w:rPr>
                      <w:rFonts w:ascii="Tahoma" w:hAnsi="Tahoma" w:cs="Tahoma"/>
                      <w:b/>
                      <w:sz w:val="20"/>
                      <w:szCs w:val="20"/>
                    </w:rPr>
                  </w:pPr>
                  <w:r w:rsidRPr="0089418D">
                    <w:rPr>
                      <w:rFonts w:ascii="Tahoma" w:hAnsi="Tahoma" w:cs="Tahoma"/>
                      <w:b/>
                      <w:sz w:val="20"/>
                      <w:szCs w:val="20"/>
                    </w:rPr>
                    <w:t>Апартаменты</w:t>
                  </w:r>
                </w:p>
              </w:tc>
              <w:tc>
                <w:tcPr>
                  <w:tcW w:w="2835" w:type="dxa"/>
                </w:tcPr>
                <w:p w14:paraId="481F326E" w14:textId="77777777" w:rsidR="00951A61" w:rsidRPr="0089418D" w:rsidRDefault="00951A61" w:rsidP="00A4032F">
                  <w:pPr>
                    <w:pStyle w:val="affe"/>
                    <w:tabs>
                      <w:tab w:val="left" w:pos="280"/>
                    </w:tabs>
                    <w:ind w:left="0"/>
                    <w:jc w:val="center"/>
                    <w:rPr>
                      <w:rFonts w:ascii="Tahoma" w:hAnsi="Tahoma" w:cs="Tahoma"/>
                      <w:b/>
                      <w:sz w:val="20"/>
                      <w:szCs w:val="20"/>
                    </w:rPr>
                  </w:pPr>
                  <w:r w:rsidRPr="0089418D">
                    <w:rPr>
                      <w:rFonts w:ascii="Tahoma" w:hAnsi="Tahoma" w:cs="Tahoma"/>
                      <w:b/>
                      <w:sz w:val="20"/>
                      <w:szCs w:val="20"/>
                    </w:rPr>
                    <w:t>Жилой дом с Зем. участком</w:t>
                  </w:r>
                </w:p>
              </w:tc>
              <w:tc>
                <w:tcPr>
                  <w:tcW w:w="2807" w:type="dxa"/>
                </w:tcPr>
                <w:p w14:paraId="6FDE796E" w14:textId="77777777" w:rsidR="00951A61" w:rsidRPr="0089418D" w:rsidRDefault="00951A61" w:rsidP="00A4032F">
                  <w:pPr>
                    <w:pStyle w:val="affe"/>
                    <w:tabs>
                      <w:tab w:val="left" w:pos="280"/>
                    </w:tabs>
                    <w:ind w:left="0"/>
                    <w:jc w:val="center"/>
                    <w:rPr>
                      <w:rFonts w:ascii="Tahoma" w:hAnsi="Tahoma" w:cs="Tahoma"/>
                      <w:b/>
                      <w:sz w:val="20"/>
                      <w:szCs w:val="20"/>
                    </w:rPr>
                  </w:pPr>
                  <w:r w:rsidRPr="0089418D">
                    <w:rPr>
                      <w:rFonts w:ascii="Tahoma" w:hAnsi="Tahoma" w:cs="Tahoma"/>
                      <w:b/>
                      <w:sz w:val="20"/>
                      <w:szCs w:val="20"/>
                    </w:rPr>
                    <w:t>Таунхаус</w:t>
                  </w:r>
                </w:p>
                <w:p w14:paraId="44E55823" w14:textId="77777777" w:rsidR="00951A61" w:rsidRPr="0089418D" w:rsidRDefault="00951A61" w:rsidP="00A4032F">
                  <w:pPr>
                    <w:tabs>
                      <w:tab w:val="left" w:pos="280"/>
                    </w:tabs>
                    <w:jc w:val="center"/>
                    <w:rPr>
                      <w:rFonts w:ascii="Tahoma" w:hAnsi="Tahoma" w:cs="Tahoma"/>
                      <w:b/>
                      <w:sz w:val="20"/>
                      <w:szCs w:val="20"/>
                    </w:rPr>
                  </w:pPr>
                </w:p>
              </w:tc>
            </w:tr>
            <w:tr w:rsidR="00951A61" w:rsidRPr="0089418D" w14:paraId="4D650796" w14:textId="77777777" w:rsidTr="00A4032F">
              <w:trPr>
                <w:trHeight w:val="190"/>
              </w:trPr>
              <w:tc>
                <w:tcPr>
                  <w:tcW w:w="11312" w:type="dxa"/>
                  <w:gridSpan w:val="4"/>
                </w:tcPr>
                <w:p w14:paraId="3301213E" w14:textId="77777777" w:rsidR="00951A61" w:rsidRPr="007E113A" w:rsidRDefault="00951A61" w:rsidP="00A4032F">
                  <w:pPr>
                    <w:pStyle w:val="affe"/>
                    <w:tabs>
                      <w:tab w:val="left" w:pos="280"/>
                    </w:tabs>
                    <w:ind w:left="0" w:firstLine="425"/>
                    <w:jc w:val="both"/>
                    <w:rPr>
                      <w:rFonts w:ascii="Tahoma" w:hAnsi="Tahoma" w:cs="Tahoma"/>
                      <w:sz w:val="20"/>
                      <w:szCs w:val="20"/>
                    </w:rPr>
                  </w:pPr>
                  <w:r w:rsidRPr="007E113A">
                    <w:rPr>
                      <w:rFonts w:ascii="Tahoma" w:hAnsi="Tahoma" w:cs="Tahoma"/>
                      <w:sz w:val="20"/>
                      <w:szCs w:val="20"/>
                    </w:rPr>
                    <w:lastRenderedPageBreak/>
                    <w:t>1. для Заемщика с официально подтвержденным доходом, а также для Заемщика, являющегося Зарплатным клиентом Банка</w:t>
                  </w:r>
                  <w:r w:rsidRPr="007E113A">
                    <w:rPr>
                      <w:rStyle w:val="aff3"/>
                      <w:rFonts w:ascii="Tahoma" w:hAnsi="Tahoma"/>
                      <w:sz w:val="20"/>
                      <w:szCs w:val="20"/>
                    </w:rPr>
                    <w:footnoteReference w:id="21"/>
                  </w:r>
                  <w:r w:rsidRPr="007E113A">
                    <w:rPr>
                      <w:rFonts w:ascii="Tahoma" w:hAnsi="Tahoma" w:cs="Tahoma"/>
                      <w:sz w:val="20"/>
                      <w:szCs w:val="20"/>
                    </w:rPr>
                    <w:t>:</w:t>
                  </w:r>
                </w:p>
              </w:tc>
            </w:tr>
            <w:tr w:rsidR="00951A61" w:rsidRPr="0089418D" w14:paraId="49483C49" w14:textId="77777777" w:rsidTr="00A4032F">
              <w:trPr>
                <w:trHeight w:val="395"/>
              </w:trPr>
              <w:tc>
                <w:tcPr>
                  <w:tcW w:w="2835" w:type="dxa"/>
                </w:tcPr>
                <w:p w14:paraId="37E0EAF2" w14:textId="77777777" w:rsidR="00951A61" w:rsidRPr="000D3E48" w:rsidRDefault="00951A61" w:rsidP="00A4032F">
                  <w:pPr>
                    <w:pStyle w:val="affe"/>
                    <w:tabs>
                      <w:tab w:val="left" w:pos="280"/>
                    </w:tabs>
                    <w:ind w:left="0"/>
                    <w:jc w:val="center"/>
                    <w:rPr>
                      <w:rFonts w:ascii="Tahoma" w:hAnsi="Tahoma" w:cs="Tahoma"/>
                      <w:b/>
                      <w:sz w:val="20"/>
                      <w:szCs w:val="20"/>
                    </w:rPr>
                  </w:pPr>
                  <w:r w:rsidRPr="000D3E48">
                    <w:rPr>
                      <w:rFonts w:ascii="Tahoma" w:hAnsi="Tahoma" w:cs="Tahoma"/>
                      <w:sz w:val="20"/>
                      <w:szCs w:val="20"/>
                    </w:rPr>
                    <w:t>Не менее 20%</w:t>
                  </w:r>
                </w:p>
              </w:tc>
              <w:tc>
                <w:tcPr>
                  <w:tcW w:w="2835" w:type="dxa"/>
                </w:tcPr>
                <w:p w14:paraId="4AA21D81" w14:textId="77777777" w:rsidR="00951A61" w:rsidRPr="000D3E48" w:rsidRDefault="00951A61" w:rsidP="00A4032F">
                  <w:pPr>
                    <w:pStyle w:val="affe"/>
                    <w:tabs>
                      <w:tab w:val="left" w:pos="280"/>
                    </w:tabs>
                    <w:ind w:left="0"/>
                    <w:jc w:val="center"/>
                    <w:rPr>
                      <w:rFonts w:ascii="Tahoma" w:hAnsi="Tahoma" w:cs="Tahoma"/>
                      <w:b/>
                      <w:sz w:val="20"/>
                      <w:szCs w:val="20"/>
                    </w:rPr>
                  </w:pPr>
                  <w:r w:rsidRPr="000D3E48">
                    <w:rPr>
                      <w:rFonts w:ascii="Tahoma" w:hAnsi="Tahoma" w:cs="Tahoma"/>
                      <w:sz w:val="20"/>
                      <w:szCs w:val="20"/>
                    </w:rPr>
                    <w:t>Не менее 20%</w:t>
                  </w:r>
                </w:p>
              </w:tc>
              <w:tc>
                <w:tcPr>
                  <w:tcW w:w="2835" w:type="dxa"/>
                </w:tcPr>
                <w:p w14:paraId="4852C4AA" w14:textId="77777777" w:rsidR="00951A61" w:rsidRPr="000D3E48" w:rsidRDefault="00951A61" w:rsidP="00A4032F">
                  <w:pPr>
                    <w:pStyle w:val="affe"/>
                    <w:tabs>
                      <w:tab w:val="left" w:pos="280"/>
                    </w:tabs>
                    <w:ind w:left="0"/>
                    <w:jc w:val="center"/>
                    <w:rPr>
                      <w:rFonts w:ascii="Tahoma" w:hAnsi="Tahoma" w:cs="Tahoma"/>
                      <w:b/>
                      <w:sz w:val="20"/>
                      <w:szCs w:val="20"/>
                    </w:rPr>
                  </w:pPr>
                  <w:r w:rsidRPr="000D3E48">
                    <w:rPr>
                      <w:rFonts w:ascii="Tahoma" w:hAnsi="Tahoma" w:cs="Tahoma"/>
                      <w:sz w:val="20"/>
                      <w:szCs w:val="20"/>
                    </w:rPr>
                    <w:t>Не менее 40%</w:t>
                  </w:r>
                  <w:r w:rsidRPr="000D3E48">
                    <w:rPr>
                      <w:rStyle w:val="aff3"/>
                      <w:rFonts w:ascii="Tahoma" w:hAnsi="Tahoma" w:cs="Tahoma"/>
                      <w:sz w:val="20"/>
                      <w:szCs w:val="20"/>
                    </w:rPr>
                    <w:footnoteReference w:id="22"/>
                  </w:r>
                </w:p>
              </w:tc>
              <w:tc>
                <w:tcPr>
                  <w:tcW w:w="2807" w:type="dxa"/>
                </w:tcPr>
                <w:p w14:paraId="2A4F8FB1" w14:textId="77777777" w:rsidR="00951A61" w:rsidRPr="000D3E48" w:rsidRDefault="00951A61" w:rsidP="00A4032F">
                  <w:pPr>
                    <w:pStyle w:val="affe"/>
                    <w:tabs>
                      <w:tab w:val="left" w:pos="280"/>
                    </w:tabs>
                    <w:ind w:left="0"/>
                    <w:jc w:val="center"/>
                    <w:rPr>
                      <w:rFonts w:ascii="Tahoma" w:hAnsi="Tahoma" w:cs="Tahoma"/>
                      <w:b/>
                      <w:sz w:val="20"/>
                      <w:szCs w:val="20"/>
                    </w:rPr>
                  </w:pPr>
                  <w:r w:rsidRPr="000D3E48">
                    <w:rPr>
                      <w:rFonts w:ascii="Tahoma" w:hAnsi="Tahoma" w:cs="Tahoma"/>
                      <w:sz w:val="20"/>
                      <w:szCs w:val="20"/>
                    </w:rPr>
                    <w:t>Не менее 30%</w:t>
                  </w:r>
                  <w:r w:rsidRPr="000D3E48">
                    <w:rPr>
                      <w:rStyle w:val="aff3"/>
                      <w:rFonts w:ascii="Tahoma" w:hAnsi="Tahoma" w:cs="Tahoma"/>
                      <w:sz w:val="20"/>
                      <w:szCs w:val="20"/>
                    </w:rPr>
                    <w:footnoteReference w:id="23"/>
                  </w:r>
                </w:p>
              </w:tc>
            </w:tr>
            <w:tr w:rsidR="00951A61" w:rsidRPr="0089418D" w14:paraId="1EF73F7D" w14:textId="77777777" w:rsidTr="00A4032F">
              <w:trPr>
                <w:trHeight w:val="395"/>
              </w:trPr>
              <w:tc>
                <w:tcPr>
                  <w:tcW w:w="11312" w:type="dxa"/>
                  <w:gridSpan w:val="4"/>
                </w:tcPr>
                <w:p w14:paraId="733DA531" w14:textId="77777777" w:rsidR="00951A61" w:rsidRPr="000D3E48" w:rsidRDefault="00951A61" w:rsidP="00A4032F">
                  <w:pPr>
                    <w:pStyle w:val="affe"/>
                    <w:tabs>
                      <w:tab w:val="left" w:pos="280"/>
                    </w:tabs>
                    <w:ind w:left="0" w:firstLine="425"/>
                    <w:jc w:val="both"/>
                    <w:rPr>
                      <w:rFonts w:ascii="Tahoma" w:hAnsi="Tahoma" w:cs="Tahoma"/>
                      <w:sz w:val="20"/>
                      <w:szCs w:val="20"/>
                    </w:rPr>
                  </w:pPr>
                  <w:r w:rsidRPr="007E113A">
                    <w:rPr>
                      <w:rFonts w:ascii="Tahoma" w:hAnsi="Tahoma" w:cs="Tahoma"/>
                      <w:sz w:val="20"/>
                      <w:szCs w:val="20"/>
                    </w:rPr>
                    <w:t>2. для физических лиц, кроме указанных в п. 1 и 3 настоящего раздела:</w:t>
                  </w:r>
                </w:p>
              </w:tc>
            </w:tr>
            <w:tr w:rsidR="00951A61" w:rsidRPr="0089418D" w14:paraId="16DCF5B0" w14:textId="77777777" w:rsidTr="00A4032F">
              <w:trPr>
                <w:trHeight w:val="395"/>
              </w:trPr>
              <w:tc>
                <w:tcPr>
                  <w:tcW w:w="2835" w:type="dxa"/>
                </w:tcPr>
                <w:p w14:paraId="0E4B6D76" w14:textId="77777777" w:rsidR="00951A61" w:rsidRPr="007E113A" w:rsidRDefault="00951A61" w:rsidP="00A4032F">
                  <w:pPr>
                    <w:pStyle w:val="affe"/>
                    <w:tabs>
                      <w:tab w:val="left" w:pos="280"/>
                    </w:tabs>
                    <w:ind w:left="0"/>
                    <w:jc w:val="center"/>
                    <w:rPr>
                      <w:rFonts w:ascii="Tahoma" w:hAnsi="Tahoma" w:cs="Tahoma"/>
                      <w:sz w:val="20"/>
                      <w:szCs w:val="20"/>
                    </w:rPr>
                  </w:pPr>
                  <w:r w:rsidRPr="007E113A">
                    <w:rPr>
                      <w:rFonts w:ascii="Tahoma" w:hAnsi="Tahoma" w:cs="Tahoma"/>
                      <w:sz w:val="20"/>
                      <w:szCs w:val="20"/>
                    </w:rPr>
                    <w:t>Не менее 30%</w:t>
                  </w:r>
                </w:p>
              </w:tc>
              <w:tc>
                <w:tcPr>
                  <w:tcW w:w="2835" w:type="dxa"/>
                </w:tcPr>
                <w:p w14:paraId="7EB3138B" w14:textId="77777777" w:rsidR="00951A61" w:rsidRPr="007E113A" w:rsidRDefault="00951A61" w:rsidP="00A4032F">
                  <w:pPr>
                    <w:pStyle w:val="affe"/>
                    <w:tabs>
                      <w:tab w:val="left" w:pos="280"/>
                    </w:tabs>
                    <w:ind w:left="0"/>
                    <w:jc w:val="center"/>
                    <w:rPr>
                      <w:rFonts w:ascii="Tahoma" w:hAnsi="Tahoma" w:cs="Tahoma"/>
                      <w:sz w:val="20"/>
                      <w:szCs w:val="20"/>
                    </w:rPr>
                  </w:pPr>
                  <w:r w:rsidRPr="007E113A">
                    <w:rPr>
                      <w:rFonts w:ascii="Tahoma" w:hAnsi="Tahoma" w:cs="Tahoma"/>
                      <w:sz w:val="20"/>
                      <w:szCs w:val="20"/>
                    </w:rPr>
                    <w:t>Не менее 30%</w:t>
                  </w:r>
                </w:p>
              </w:tc>
              <w:tc>
                <w:tcPr>
                  <w:tcW w:w="2835" w:type="dxa"/>
                </w:tcPr>
                <w:p w14:paraId="3701A6DF" w14:textId="77777777" w:rsidR="00951A61" w:rsidRPr="007E113A" w:rsidRDefault="00951A61" w:rsidP="00A4032F">
                  <w:pPr>
                    <w:pStyle w:val="affe"/>
                    <w:tabs>
                      <w:tab w:val="left" w:pos="280"/>
                    </w:tabs>
                    <w:ind w:left="0"/>
                    <w:jc w:val="center"/>
                    <w:rPr>
                      <w:rFonts w:ascii="Tahoma" w:hAnsi="Tahoma" w:cs="Tahoma"/>
                      <w:sz w:val="20"/>
                      <w:szCs w:val="20"/>
                    </w:rPr>
                  </w:pPr>
                  <w:r w:rsidRPr="007E113A">
                    <w:rPr>
                      <w:rFonts w:ascii="Tahoma" w:hAnsi="Tahoma" w:cs="Tahoma"/>
                      <w:sz w:val="20"/>
                      <w:szCs w:val="20"/>
                    </w:rPr>
                    <w:t>Не менее 40%</w:t>
                  </w:r>
                </w:p>
              </w:tc>
              <w:tc>
                <w:tcPr>
                  <w:tcW w:w="2807" w:type="dxa"/>
                </w:tcPr>
                <w:p w14:paraId="556B77BA" w14:textId="77777777" w:rsidR="00951A61" w:rsidRPr="007E113A" w:rsidRDefault="00951A61" w:rsidP="00A4032F">
                  <w:pPr>
                    <w:pStyle w:val="affe"/>
                    <w:tabs>
                      <w:tab w:val="left" w:pos="280"/>
                    </w:tabs>
                    <w:ind w:left="0"/>
                    <w:jc w:val="center"/>
                    <w:rPr>
                      <w:rFonts w:ascii="Tahoma" w:hAnsi="Tahoma" w:cs="Tahoma"/>
                      <w:sz w:val="20"/>
                      <w:szCs w:val="20"/>
                    </w:rPr>
                  </w:pPr>
                  <w:r w:rsidRPr="007E113A">
                    <w:rPr>
                      <w:rFonts w:ascii="Tahoma" w:hAnsi="Tahoma" w:cs="Tahoma"/>
                      <w:sz w:val="20"/>
                      <w:szCs w:val="20"/>
                    </w:rPr>
                    <w:t>Не менее 30%</w:t>
                  </w:r>
                </w:p>
              </w:tc>
            </w:tr>
            <w:tr w:rsidR="00951A61" w:rsidRPr="0089418D" w14:paraId="23C60075" w14:textId="77777777" w:rsidTr="00A4032F">
              <w:trPr>
                <w:trHeight w:val="678"/>
              </w:trPr>
              <w:tc>
                <w:tcPr>
                  <w:tcW w:w="11312" w:type="dxa"/>
                  <w:gridSpan w:val="4"/>
                </w:tcPr>
                <w:p w14:paraId="35CA0F9E" w14:textId="77777777" w:rsidR="00951A61" w:rsidRPr="000D3E48" w:rsidRDefault="00951A61" w:rsidP="00A4032F">
                  <w:pPr>
                    <w:pStyle w:val="affe"/>
                    <w:tabs>
                      <w:tab w:val="left" w:pos="280"/>
                    </w:tabs>
                    <w:ind w:left="0" w:firstLine="425"/>
                    <w:jc w:val="both"/>
                    <w:rPr>
                      <w:rFonts w:ascii="Tahoma" w:hAnsi="Tahoma" w:cs="Tahoma"/>
                      <w:sz w:val="20"/>
                      <w:szCs w:val="20"/>
                    </w:rPr>
                  </w:pPr>
                  <w:r w:rsidRPr="000D3E48">
                    <w:rPr>
                      <w:rFonts w:ascii="Tahoma" w:hAnsi="Tahoma" w:cs="Tahoma"/>
                      <w:sz w:val="20"/>
                      <w:szCs w:val="20"/>
                    </w:rPr>
                    <w:t>3. если при определении платежеспособности Заемщика учитывается доход Заемщика от предпринимательской деятельности и/или доход Заемщика-собственника бизнеса (полученный от этого бизнеса) и/или дохода самозанятого, составляющий 50% и более от совокупного учитываемого дохода по заявке:</w:t>
                  </w:r>
                </w:p>
              </w:tc>
            </w:tr>
            <w:tr w:rsidR="00951A61" w:rsidRPr="0089418D" w14:paraId="6B071CB6" w14:textId="77777777" w:rsidTr="00A4032F">
              <w:trPr>
                <w:trHeight w:val="339"/>
              </w:trPr>
              <w:tc>
                <w:tcPr>
                  <w:tcW w:w="2835" w:type="dxa"/>
                </w:tcPr>
                <w:p w14:paraId="7E0C5D18" w14:textId="77777777" w:rsidR="00951A61" w:rsidRPr="007E113A" w:rsidRDefault="00951A61" w:rsidP="00A4032F">
                  <w:pPr>
                    <w:pStyle w:val="affe"/>
                    <w:tabs>
                      <w:tab w:val="left" w:pos="280"/>
                    </w:tabs>
                    <w:ind w:left="0"/>
                    <w:jc w:val="center"/>
                    <w:rPr>
                      <w:rFonts w:ascii="Tahoma" w:hAnsi="Tahoma" w:cs="Tahoma"/>
                      <w:sz w:val="20"/>
                      <w:szCs w:val="20"/>
                    </w:rPr>
                  </w:pPr>
                  <w:r w:rsidRPr="007E113A">
                    <w:rPr>
                      <w:rFonts w:ascii="Tahoma" w:hAnsi="Tahoma" w:cs="Tahoma"/>
                      <w:sz w:val="20"/>
                      <w:szCs w:val="20"/>
                    </w:rPr>
                    <w:t>Не менее 35%</w:t>
                  </w:r>
                </w:p>
              </w:tc>
              <w:tc>
                <w:tcPr>
                  <w:tcW w:w="2835" w:type="dxa"/>
                </w:tcPr>
                <w:p w14:paraId="3B5C64B2" w14:textId="77777777" w:rsidR="00951A61" w:rsidRPr="007E113A" w:rsidRDefault="00951A61" w:rsidP="00A4032F">
                  <w:pPr>
                    <w:pStyle w:val="affe"/>
                    <w:tabs>
                      <w:tab w:val="left" w:pos="280"/>
                    </w:tabs>
                    <w:ind w:left="0"/>
                    <w:jc w:val="center"/>
                    <w:rPr>
                      <w:rFonts w:ascii="Tahoma" w:hAnsi="Tahoma" w:cs="Tahoma"/>
                      <w:sz w:val="20"/>
                      <w:szCs w:val="20"/>
                    </w:rPr>
                  </w:pPr>
                  <w:r w:rsidRPr="007E113A">
                    <w:rPr>
                      <w:rFonts w:ascii="Tahoma" w:hAnsi="Tahoma" w:cs="Tahoma"/>
                      <w:sz w:val="20"/>
                      <w:szCs w:val="20"/>
                    </w:rPr>
                    <w:t>Не менее 35%</w:t>
                  </w:r>
                </w:p>
              </w:tc>
              <w:tc>
                <w:tcPr>
                  <w:tcW w:w="2835" w:type="dxa"/>
                </w:tcPr>
                <w:p w14:paraId="628FC79F" w14:textId="77777777" w:rsidR="00951A61" w:rsidRPr="007E113A" w:rsidRDefault="00951A61" w:rsidP="00A4032F">
                  <w:pPr>
                    <w:pStyle w:val="affe"/>
                    <w:tabs>
                      <w:tab w:val="left" w:pos="280"/>
                    </w:tabs>
                    <w:ind w:left="0"/>
                    <w:jc w:val="center"/>
                    <w:rPr>
                      <w:rFonts w:ascii="Tahoma" w:hAnsi="Tahoma" w:cs="Tahoma"/>
                      <w:sz w:val="20"/>
                      <w:szCs w:val="20"/>
                    </w:rPr>
                  </w:pPr>
                  <w:r w:rsidRPr="007E113A">
                    <w:rPr>
                      <w:rFonts w:ascii="Tahoma" w:hAnsi="Tahoma" w:cs="Tahoma"/>
                      <w:sz w:val="20"/>
                      <w:szCs w:val="20"/>
                    </w:rPr>
                    <w:t>Не менее 40%</w:t>
                  </w:r>
                </w:p>
              </w:tc>
              <w:tc>
                <w:tcPr>
                  <w:tcW w:w="2807" w:type="dxa"/>
                </w:tcPr>
                <w:p w14:paraId="40E9F920" w14:textId="77777777" w:rsidR="00951A61" w:rsidRPr="007E113A" w:rsidRDefault="00951A61" w:rsidP="00A4032F">
                  <w:pPr>
                    <w:pStyle w:val="affe"/>
                    <w:tabs>
                      <w:tab w:val="left" w:pos="280"/>
                    </w:tabs>
                    <w:ind w:left="0"/>
                    <w:jc w:val="center"/>
                    <w:rPr>
                      <w:rFonts w:ascii="Tahoma" w:hAnsi="Tahoma" w:cs="Tahoma"/>
                      <w:sz w:val="20"/>
                      <w:szCs w:val="20"/>
                    </w:rPr>
                  </w:pPr>
                  <w:r w:rsidRPr="007E113A">
                    <w:rPr>
                      <w:rFonts w:ascii="Tahoma" w:hAnsi="Tahoma" w:cs="Tahoma"/>
                      <w:sz w:val="20"/>
                      <w:szCs w:val="20"/>
                    </w:rPr>
                    <w:t>Не менее 35%</w:t>
                  </w:r>
                </w:p>
              </w:tc>
            </w:tr>
            <w:tr w:rsidR="00951A61" w:rsidRPr="0089418D" w14:paraId="6546D280" w14:textId="77777777" w:rsidTr="00A4032F">
              <w:trPr>
                <w:trHeight w:val="318"/>
              </w:trPr>
              <w:tc>
                <w:tcPr>
                  <w:tcW w:w="11312" w:type="dxa"/>
                  <w:gridSpan w:val="4"/>
                </w:tcPr>
                <w:p w14:paraId="0AE55507" w14:textId="77777777" w:rsidR="00951A61" w:rsidRPr="000D3E48" w:rsidRDefault="00951A61" w:rsidP="00A4032F">
                  <w:pPr>
                    <w:pStyle w:val="affe"/>
                    <w:tabs>
                      <w:tab w:val="left" w:pos="280"/>
                    </w:tabs>
                    <w:ind w:left="0" w:firstLine="425"/>
                    <w:jc w:val="both"/>
                    <w:rPr>
                      <w:rFonts w:ascii="Tahoma" w:hAnsi="Tahoma" w:cs="Tahoma"/>
                      <w:sz w:val="20"/>
                      <w:szCs w:val="20"/>
                    </w:rPr>
                  </w:pPr>
                  <w:r w:rsidRPr="000D3E48">
                    <w:rPr>
                      <w:rFonts w:ascii="Tahoma" w:hAnsi="Tahoma" w:cs="Tahoma"/>
                      <w:sz w:val="20"/>
                      <w:szCs w:val="20"/>
                    </w:rPr>
                    <w:t xml:space="preserve">Для категорий недвижимости «Жилой дом с земельным участком» предусмотрена возможность снижения первоначального взноса до </w:t>
                  </w:r>
                  <w:r>
                    <w:rPr>
                      <w:rFonts w:ascii="Tahoma" w:hAnsi="Tahoma" w:cs="Tahoma"/>
                      <w:sz w:val="20"/>
                      <w:szCs w:val="20"/>
                    </w:rPr>
                    <w:t>35</w:t>
                  </w:r>
                  <w:r w:rsidRPr="000D3E48">
                    <w:rPr>
                      <w:rFonts w:ascii="Tahoma" w:hAnsi="Tahoma" w:cs="Tahoma"/>
                      <w:sz w:val="20"/>
                      <w:szCs w:val="20"/>
                    </w:rPr>
                    <w:t>% при одновременном соблюдении условий:</w:t>
                  </w:r>
                </w:p>
                <w:p w14:paraId="1AFB9808" w14:textId="77777777" w:rsidR="00951A61" w:rsidRPr="000D3E48" w:rsidRDefault="00951A61" w:rsidP="00A4032F">
                  <w:pPr>
                    <w:pStyle w:val="affe"/>
                    <w:tabs>
                      <w:tab w:val="left" w:pos="280"/>
                    </w:tabs>
                    <w:ind w:left="0" w:firstLine="425"/>
                    <w:jc w:val="both"/>
                    <w:rPr>
                      <w:rFonts w:ascii="Tahoma" w:hAnsi="Tahoma" w:cs="Tahoma"/>
                      <w:sz w:val="20"/>
                      <w:szCs w:val="20"/>
                    </w:rPr>
                  </w:pPr>
                  <w:r w:rsidRPr="000D3E48">
                    <w:rPr>
                      <w:rFonts w:ascii="Tahoma" w:hAnsi="Tahoma" w:cs="Tahoma"/>
                      <w:sz w:val="20"/>
                      <w:szCs w:val="20"/>
                    </w:rPr>
                    <w:t>- недвижимое имущество, являющееся Предметом ипотеки, должно быть расположено на территории обслуживания Банком, удаленностью не более 10 км от населенного пункта, где располагается ПОДРАЗДЕЛЕНИЕ Банка (для Москвы расстояние считается от МКАД)</w:t>
                  </w:r>
                </w:p>
                <w:p w14:paraId="41041E02" w14:textId="77777777" w:rsidR="00951A61" w:rsidRPr="0078335E" w:rsidRDefault="00951A61" w:rsidP="00A4032F">
                  <w:pPr>
                    <w:pStyle w:val="affe"/>
                    <w:tabs>
                      <w:tab w:val="left" w:pos="280"/>
                    </w:tabs>
                    <w:ind w:left="0" w:firstLine="425"/>
                    <w:jc w:val="both"/>
                    <w:rPr>
                      <w:rFonts w:ascii="Tahoma" w:hAnsi="Tahoma" w:cs="Tahoma"/>
                      <w:sz w:val="20"/>
                      <w:szCs w:val="20"/>
                    </w:rPr>
                  </w:pPr>
                  <w:r w:rsidRPr="0078335E">
                    <w:rPr>
                      <w:rFonts w:ascii="Tahoma" w:hAnsi="Tahoma" w:cs="Tahoma"/>
                      <w:sz w:val="20"/>
                      <w:szCs w:val="20"/>
                    </w:rPr>
                    <w:t>- сумма Кредита не превышает:</w:t>
                  </w:r>
                </w:p>
                <w:p w14:paraId="560007EB" w14:textId="77777777" w:rsidR="00951A61" w:rsidRPr="007E113A" w:rsidRDefault="00951A61" w:rsidP="00951A61">
                  <w:pPr>
                    <w:pStyle w:val="affe"/>
                    <w:numPr>
                      <w:ilvl w:val="0"/>
                      <w:numId w:val="16"/>
                    </w:numPr>
                    <w:tabs>
                      <w:tab w:val="right" w:pos="726"/>
                    </w:tabs>
                    <w:ind w:left="0" w:firstLine="425"/>
                    <w:contextualSpacing/>
                    <w:jc w:val="both"/>
                    <w:rPr>
                      <w:rFonts w:ascii="Tahoma" w:hAnsi="Tahoma" w:cs="Tahoma"/>
                      <w:sz w:val="20"/>
                      <w:szCs w:val="20"/>
                    </w:rPr>
                  </w:pPr>
                  <w:r w:rsidRPr="007E113A">
                    <w:rPr>
                      <w:rFonts w:ascii="Tahoma" w:hAnsi="Tahoma" w:cs="Tahoma"/>
                      <w:sz w:val="20"/>
                      <w:szCs w:val="20"/>
                    </w:rPr>
                    <w:t>Москва и Московская область - 15 000 000,00 рублей,</w:t>
                  </w:r>
                </w:p>
                <w:p w14:paraId="5A3CB05D" w14:textId="77777777" w:rsidR="00951A61" w:rsidRPr="007E113A" w:rsidRDefault="00951A61" w:rsidP="00951A61">
                  <w:pPr>
                    <w:pStyle w:val="affe"/>
                    <w:numPr>
                      <w:ilvl w:val="0"/>
                      <w:numId w:val="16"/>
                    </w:numPr>
                    <w:tabs>
                      <w:tab w:val="right" w:pos="726"/>
                    </w:tabs>
                    <w:ind w:left="0" w:firstLine="425"/>
                    <w:contextualSpacing/>
                    <w:jc w:val="both"/>
                    <w:rPr>
                      <w:rFonts w:ascii="Tahoma" w:hAnsi="Tahoma" w:cs="Tahoma"/>
                      <w:sz w:val="20"/>
                      <w:szCs w:val="20"/>
                    </w:rPr>
                  </w:pPr>
                  <w:r w:rsidRPr="007E113A">
                    <w:rPr>
                      <w:rFonts w:ascii="Tahoma" w:hAnsi="Tahoma" w:cs="Tahoma"/>
                      <w:sz w:val="20"/>
                      <w:szCs w:val="20"/>
                    </w:rPr>
                    <w:t>Иные регионы – 10 000 000,00 рублей</w:t>
                  </w:r>
                </w:p>
              </w:tc>
            </w:tr>
          </w:tbl>
          <w:p w14:paraId="690655DC" w14:textId="77777777" w:rsidR="00951A61" w:rsidRPr="0089418D" w:rsidRDefault="00951A61" w:rsidP="00A4032F">
            <w:pPr>
              <w:pStyle w:val="affe"/>
              <w:tabs>
                <w:tab w:val="left" w:pos="0"/>
                <w:tab w:val="left" w:pos="142"/>
              </w:tabs>
              <w:ind w:left="0" w:firstLine="425"/>
              <w:jc w:val="both"/>
              <w:rPr>
                <w:rFonts w:ascii="Tahoma" w:hAnsi="Tahoma" w:cs="Tahoma"/>
                <w:sz w:val="20"/>
                <w:szCs w:val="20"/>
              </w:rPr>
            </w:pPr>
          </w:p>
        </w:tc>
      </w:tr>
      <w:tr w:rsidR="00951A61" w:rsidRPr="0089418D" w14:paraId="16C6348B" w14:textId="77777777" w:rsidTr="00A4032F">
        <w:trPr>
          <w:trHeight w:val="255"/>
        </w:trPr>
        <w:tc>
          <w:tcPr>
            <w:tcW w:w="4071" w:type="dxa"/>
            <w:tcBorders>
              <w:top w:val="nil"/>
              <w:left w:val="single" w:sz="4" w:space="0" w:color="auto"/>
              <w:bottom w:val="single" w:sz="4" w:space="0" w:color="auto"/>
              <w:right w:val="single" w:sz="4" w:space="0" w:color="auto"/>
            </w:tcBorders>
            <w:shd w:val="clear" w:color="auto" w:fill="auto"/>
            <w:vAlign w:val="center"/>
          </w:tcPr>
          <w:p w14:paraId="576BDF0B" w14:textId="77777777" w:rsidR="00951A61" w:rsidRPr="0089418D" w:rsidRDefault="00951A61" w:rsidP="00A4032F">
            <w:pPr>
              <w:jc w:val="center"/>
              <w:rPr>
                <w:rFonts w:ascii="Tahoma" w:hAnsi="Tahoma" w:cs="Tahoma"/>
                <w:b/>
                <w:sz w:val="20"/>
                <w:szCs w:val="20"/>
              </w:rPr>
            </w:pPr>
            <w:r w:rsidRPr="0089418D">
              <w:rPr>
                <w:rFonts w:ascii="Tahoma" w:hAnsi="Tahoma" w:cs="Tahoma"/>
                <w:b/>
                <w:sz w:val="20"/>
                <w:szCs w:val="20"/>
              </w:rPr>
              <w:lastRenderedPageBreak/>
              <w:t>Коэффициент Кредит / залог (К/З)</w:t>
            </w:r>
          </w:p>
        </w:tc>
        <w:tc>
          <w:tcPr>
            <w:tcW w:w="11594" w:type="dxa"/>
            <w:tcBorders>
              <w:top w:val="single" w:sz="4" w:space="0" w:color="auto"/>
              <w:left w:val="nil"/>
              <w:bottom w:val="single" w:sz="4" w:space="0" w:color="auto"/>
              <w:right w:val="single" w:sz="4" w:space="0" w:color="auto"/>
            </w:tcBorders>
            <w:shd w:val="clear" w:color="auto" w:fill="auto"/>
          </w:tcPr>
          <w:p w14:paraId="605888D4" w14:textId="77777777" w:rsidR="00951A61" w:rsidRPr="0089418D" w:rsidRDefault="00951A61" w:rsidP="00A4032F">
            <w:pPr>
              <w:pStyle w:val="affe"/>
              <w:tabs>
                <w:tab w:val="left" w:pos="280"/>
              </w:tabs>
              <w:ind w:left="0" w:firstLine="425"/>
              <w:jc w:val="both"/>
              <w:rPr>
                <w:rFonts w:ascii="Tahoma" w:hAnsi="Tahoma" w:cs="Tahoma"/>
                <w:sz w:val="20"/>
                <w:szCs w:val="20"/>
              </w:rPr>
            </w:pPr>
            <w:r w:rsidRPr="0089418D">
              <w:rPr>
                <w:rFonts w:ascii="Tahoma" w:hAnsi="Tahoma" w:cs="Tahoma"/>
                <w:b/>
                <w:sz w:val="20"/>
                <w:szCs w:val="20"/>
                <w:u w:val="single"/>
              </w:rPr>
              <w:t xml:space="preserve">Коэффициент К/З </w:t>
            </w:r>
            <w:r w:rsidRPr="0089418D">
              <w:rPr>
                <w:rFonts w:ascii="Tahoma" w:hAnsi="Tahoma" w:cs="Tahoma"/>
                <w:sz w:val="20"/>
                <w:szCs w:val="20"/>
              </w:rPr>
              <w:t>определяется как величина расчета возможной суммы кредита в зависимости от действительной стоимости объекта.</w:t>
            </w:r>
          </w:p>
          <w:p w14:paraId="3F861311" w14:textId="77777777" w:rsidR="00951A61" w:rsidRPr="0089418D" w:rsidRDefault="00951A61" w:rsidP="00A4032F">
            <w:pPr>
              <w:pStyle w:val="affe"/>
              <w:tabs>
                <w:tab w:val="left" w:pos="280"/>
              </w:tabs>
              <w:ind w:left="0" w:firstLine="425"/>
              <w:jc w:val="both"/>
              <w:rPr>
                <w:rFonts w:ascii="Tahoma" w:hAnsi="Tahoma" w:cs="Tahoma"/>
                <w:b/>
                <w:sz w:val="20"/>
                <w:szCs w:val="20"/>
                <w:u w:val="single"/>
              </w:rPr>
            </w:pPr>
            <w:r w:rsidRPr="0089418D">
              <w:rPr>
                <w:rFonts w:ascii="Tahoma" w:hAnsi="Tahoma" w:cs="Tahoma"/>
                <w:b/>
                <w:sz w:val="20"/>
                <w:szCs w:val="20"/>
                <w:u w:val="single"/>
              </w:rPr>
              <w:t>Предусмотрено повышенное значение К/З в размере 85%</w:t>
            </w:r>
            <w:r w:rsidRPr="0089418D">
              <w:rPr>
                <w:rFonts w:ascii="Tahoma" w:hAnsi="Tahoma" w:cs="Tahoma"/>
                <w:bCs/>
                <w:sz w:val="20"/>
                <w:szCs w:val="20"/>
              </w:rPr>
              <w:t xml:space="preserve"> - при </w:t>
            </w:r>
            <w:r w:rsidRPr="0089418D">
              <w:rPr>
                <w:rFonts w:ascii="Tahoma" w:hAnsi="Tahoma" w:cs="Tahoma"/>
                <w:sz w:val="20"/>
                <w:szCs w:val="20"/>
              </w:rPr>
              <w:t xml:space="preserve">наличии МСК, с учетом произведенного гашения средствами МСК коэффициент К/З будет приведен к стандартному (но не более </w:t>
            </w:r>
            <w:r>
              <w:rPr>
                <w:rFonts w:ascii="Tahoma" w:hAnsi="Tahoma" w:cs="Tahoma"/>
                <w:sz w:val="20"/>
                <w:szCs w:val="20"/>
              </w:rPr>
              <w:t>7</w:t>
            </w:r>
            <w:r w:rsidRPr="0089418D">
              <w:rPr>
                <w:rFonts w:ascii="Tahoma" w:hAnsi="Tahoma" w:cs="Tahoma"/>
                <w:sz w:val="20"/>
                <w:szCs w:val="20"/>
              </w:rPr>
              <w:t>0%):</w:t>
            </w:r>
          </w:p>
          <w:p w14:paraId="15965C27" w14:textId="77777777" w:rsidR="00951A61" w:rsidRPr="0089418D" w:rsidRDefault="00951A61" w:rsidP="00A4032F">
            <w:pPr>
              <w:pStyle w:val="affe"/>
              <w:tabs>
                <w:tab w:val="left" w:pos="280"/>
              </w:tabs>
              <w:ind w:left="0" w:firstLine="425"/>
              <w:jc w:val="both"/>
              <w:rPr>
                <w:rFonts w:ascii="Tahoma" w:hAnsi="Tahoma" w:cs="Tahoma"/>
                <w:b/>
                <w:sz w:val="20"/>
                <w:szCs w:val="20"/>
                <w:u w:val="single"/>
              </w:rPr>
            </w:pPr>
            <w:r w:rsidRPr="0089418D">
              <w:rPr>
                <w:rFonts w:ascii="Tahoma" w:hAnsi="Tahoma" w:cs="Tahoma"/>
                <w:b/>
                <w:sz w:val="20"/>
                <w:szCs w:val="20"/>
                <w:u w:val="single"/>
              </w:rPr>
              <w:t>Требование к стандартному размеру Коэффициента К/З</w:t>
            </w:r>
            <w:r w:rsidRPr="00B3020C">
              <w:rPr>
                <w:rStyle w:val="aff3"/>
                <w:rFonts w:ascii="Tahoma" w:hAnsi="Tahoma" w:cs="Tahoma"/>
                <w:b/>
                <w:sz w:val="20"/>
                <w:szCs w:val="20"/>
                <w:u w:val="single"/>
              </w:rPr>
              <w:footnoteReference w:id="24"/>
            </w:r>
            <w:r w:rsidRPr="00B3020C">
              <w:rPr>
                <w:rFonts w:ascii="Tahoma" w:hAnsi="Tahoma" w:cs="Tahoma"/>
                <w:b/>
                <w:sz w:val="20"/>
                <w:szCs w:val="20"/>
                <w:u w:val="single"/>
              </w:rPr>
              <w:t>:</w:t>
            </w:r>
          </w:p>
          <w:tbl>
            <w:tblPr>
              <w:tblStyle w:val="aff0"/>
              <w:tblW w:w="11312" w:type="dxa"/>
              <w:tblInd w:w="28" w:type="dxa"/>
              <w:tblLayout w:type="fixed"/>
              <w:tblLook w:val="04A0" w:firstRow="1" w:lastRow="0" w:firstColumn="1" w:lastColumn="0" w:noHBand="0" w:noVBand="1"/>
            </w:tblPr>
            <w:tblGrid>
              <w:gridCol w:w="2835"/>
              <w:gridCol w:w="2835"/>
              <w:gridCol w:w="2835"/>
              <w:gridCol w:w="2807"/>
            </w:tblGrid>
            <w:tr w:rsidR="00951A61" w:rsidRPr="0089418D" w14:paraId="378A4CC8" w14:textId="77777777" w:rsidTr="00A4032F">
              <w:trPr>
                <w:trHeight w:val="384"/>
              </w:trPr>
              <w:tc>
                <w:tcPr>
                  <w:tcW w:w="2835" w:type="dxa"/>
                </w:tcPr>
                <w:p w14:paraId="445A0A00" w14:textId="77777777" w:rsidR="00951A61" w:rsidRPr="000D3E48" w:rsidRDefault="00951A61" w:rsidP="00A4032F">
                  <w:pPr>
                    <w:pStyle w:val="affe"/>
                    <w:tabs>
                      <w:tab w:val="left" w:pos="280"/>
                    </w:tabs>
                    <w:ind w:left="0"/>
                    <w:jc w:val="center"/>
                    <w:rPr>
                      <w:rFonts w:ascii="Tahoma" w:hAnsi="Tahoma" w:cs="Tahoma"/>
                      <w:b/>
                      <w:sz w:val="20"/>
                      <w:szCs w:val="20"/>
                    </w:rPr>
                  </w:pPr>
                  <w:r w:rsidRPr="000D3E48">
                    <w:rPr>
                      <w:rFonts w:ascii="Tahoma" w:hAnsi="Tahoma" w:cs="Tahoma"/>
                      <w:b/>
                      <w:sz w:val="20"/>
                      <w:szCs w:val="20"/>
                    </w:rPr>
                    <w:t>Квартира</w:t>
                  </w:r>
                </w:p>
              </w:tc>
              <w:tc>
                <w:tcPr>
                  <w:tcW w:w="2835" w:type="dxa"/>
                </w:tcPr>
                <w:p w14:paraId="4D3E86EE" w14:textId="77777777" w:rsidR="00951A61" w:rsidRPr="000D3E48" w:rsidRDefault="00951A61" w:rsidP="00A4032F">
                  <w:pPr>
                    <w:pStyle w:val="affe"/>
                    <w:tabs>
                      <w:tab w:val="left" w:pos="280"/>
                    </w:tabs>
                    <w:ind w:left="0"/>
                    <w:jc w:val="center"/>
                    <w:rPr>
                      <w:rFonts w:ascii="Tahoma" w:hAnsi="Tahoma" w:cs="Tahoma"/>
                      <w:b/>
                      <w:sz w:val="20"/>
                      <w:szCs w:val="20"/>
                    </w:rPr>
                  </w:pPr>
                  <w:r w:rsidRPr="000D3E48">
                    <w:rPr>
                      <w:rFonts w:ascii="Tahoma" w:hAnsi="Tahoma" w:cs="Tahoma"/>
                      <w:b/>
                      <w:sz w:val="20"/>
                      <w:szCs w:val="20"/>
                    </w:rPr>
                    <w:t>Апартаменты</w:t>
                  </w:r>
                </w:p>
              </w:tc>
              <w:tc>
                <w:tcPr>
                  <w:tcW w:w="2835" w:type="dxa"/>
                </w:tcPr>
                <w:p w14:paraId="72CB25A2" w14:textId="77777777" w:rsidR="00951A61" w:rsidRPr="000D3E48" w:rsidRDefault="00951A61" w:rsidP="00A4032F">
                  <w:pPr>
                    <w:pStyle w:val="affe"/>
                    <w:tabs>
                      <w:tab w:val="left" w:pos="280"/>
                    </w:tabs>
                    <w:ind w:left="0"/>
                    <w:jc w:val="center"/>
                    <w:rPr>
                      <w:rFonts w:ascii="Tahoma" w:hAnsi="Tahoma" w:cs="Tahoma"/>
                      <w:b/>
                      <w:sz w:val="20"/>
                      <w:szCs w:val="20"/>
                    </w:rPr>
                  </w:pPr>
                  <w:r w:rsidRPr="000D3E48">
                    <w:rPr>
                      <w:rFonts w:ascii="Tahoma" w:hAnsi="Tahoma" w:cs="Tahoma"/>
                      <w:b/>
                      <w:sz w:val="20"/>
                      <w:szCs w:val="20"/>
                    </w:rPr>
                    <w:t>Жилой дом с Зем. участком</w:t>
                  </w:r>
                </w:p>
              </w:tc>
              <w:tc>
                <w:tcPr>
                  <w:tcW w:w="2807" w:type="dxa"/>
                </w:tcPr>
                <w:p w14:paraId="766FBB7F" w14:textId="77777777" w:rsidR="00951A61" w:rsidRPr="000D3E48" w:rsidRDefault="00951A61" w:rsidP="00A4032F">
                  <w:pPr>
                    <w:pStyle w:val="affe"/>
                    <w:tabs>
                      <w:tab w:val="left" w:pos="280"/>
                    </w:tabs>
                    <w:ind w:left="0"/>
                    <w:jc w:val="center"/>
                    <w:rPr>
                      <w:rFonts w:ascii="Tahoma" w:hAnsi="Tahoma" w:cs="Tahoma"/>
                      <w:b/>
                      <w:sz w:val="20"/>
                      <w:szCs w:val="20"/>
                    </w:rPr>
                  </w:pPr>
                  <w:r w:rsidRPr="000D3E48">
                    <w:rPr>
                      <w:rFonts w:ascii="Tahoma" w:hAnsi="Tahoma" w:cs="Tahoma"/>
                      <w:b/>
                      <w:sz w:val="20"/>
                      <w:szCs w:val="20"/>
                    </w:rPr>
                    <w:t>Таунхаус</w:t>
                  </w:r>
                </w:p>
                <w:p w14:paraId="3778FCE2" w14:textId="77777777" w:rsidR="00951A61" w:rsidRPr="000D3E48" w:rsidRDefault="00951A61" w:rsidP="00A4032F">
                  <w:pPr>
                    <w:tabs>
                      <w:tab w:val="left" w:pos="280"/>
                    </w:tabs>
                    <w:jc w:val="center"/>
                    <w:rPr>
                      <w:rFonts w:ascii="Tahoma" w:hAnsi="Tahoma" w:cs="Tahoma"/>
                      <w:b/>
                      <w:sz w:val="20"/>
                      <w:szCs w:val="20"/>
                    </w:rPr>
                  </w:pPr>
                </w:p>
              </w:tc>
            </w:tr>
            <w:tr w:rsidR="00951A61" w:rsidRPr="0089418D" w14:paraId="3FD0A132" w14:textId="77777777" w:rsidTr="00A4032F">
              <w:trPr>
                <w:trHeight w:val="286"/>
              </w:trPr>
              <w:tc>
                <w:tcPr>
                  <w:tcW w:w="11312" w:type="dxa"/>
                  <w:gridSpan w:val="4"/>
                </w:tcPr>
                <w:p w14:paraId="4FB076F6" w14:textId="77777777" w:rsidR="00951A61" w:rsidRPr="000D3E48" w:rsidRDefault="00951A61" w:rsidP="00A4032F">
                  <w:pPr>
                    <w:pStyle w:val="affe"/>
                    <w:tabs>
                      <w:tab w:val="left" w:pos="280"/>
                    </w:tabs>
                    <w:ind w:left="0" w:firstLine="425"/>
                    <w:jc w:val="both"/>
                    <w:rPr>
                      <w:rFonts w:ascii="Tahoma" w:hAnsi="Tahoma" w:cs="Tahoma"/>
                      <w:sz w:val="20"/>
                      <w:szCs w:val="20"/>
                    </w:rPr>
                  </w:pPr>
                  <w:r w:rsidRPr="000D3E48">
                    <w:rPr>
                      <w:rFonts w:ascii="Tahoma" w:hAnsi="Tahoma" w:cs="Tahoma"/>
                      <w:sz w:val="20"/>
                      <w:szCs w:val="20"/>
                    </w:rPr>
                    <w:lastRenderedPageBreak/>
                    <w:t xml:space="preserve">1. для </w:t>
                  </w:r>
                  <w:r w:rsidRPr="007E113A">
                    <w:rPr>
                      <w:rFonts w:ascii="Tahoma" w:hAnsi="Tahoma" w:cs="Tahoma"/>
                      <w:sz w:val="20"/>
                      <w:szCs w:val="20"/>
                    </w:rPr>
                    <w:t>Заемщика с официально подтвержденным доходом, а также для Заемщика, являющегося Зарплатным клиентом Банка</w:t>
                  </w:r>
                  <w:r w:rsidRPr="000D3E48">
                    <w:rPr>
                      <w:rStyle w:val="aff3"/>
                      <w:rFonts w:ascii="Tahoma" w:hAnsi="Tahoma"/>
                      <w:sz w:val="20"/>
                      <w:szCs w:val="20"/>
                    </w:rPr>
                    <w:footnoteReference w:id="25"/>
                  </w:r>
                  <w:r w:rsidRPr="000D3E48">
                    <w:rPr>
                      <w:rFonts w:ascii="Tahoma" w:hAnsi="Tahoma" w:cs="Tahoma"/>
                      <w:sz w:val="20"/>
                      <w:szCs w:val="20"/>
                    </w:rPr>
                    <w:t>:</w:t>
                  </w:r>
                </w:p>
              </w:tc>
            </w:tr>
            <w:tr w:rsidR="00951A61" w:rsidRPr="0089418D" w14:paraId="3DF8D41A" w14:textId="77777777" w:rsidTr="00A4032F">
              <w:trPr>
                <w:trHeight w:val="395"/>
              </w:trPr>
              <w:tc>
                <w:tcPr>
                  <w:tcW w:w="2835" w:type="dxa"/>
                </w:tcPr>
                <w:p w14:paraId="41C4CF3C" w14:textId="77777777" w:rsidR="00951A61" w:rsidRPr="007E113A" w:rsidRDefault="00951A61" w:rsidP="00A4032F">
                  <w:pPr>
                    <w:pStyle w:val="affe"/>
                    <w:tabs>
                      <w:tab w:val="left" w:pos="280"/>
                    </w:tabs>
                    <w:ind w:left="0"/>
                    <w:jc w:val="center"/>
                    <w:rPr>
                      <w:rFonts w:ascii="Tahoma" w:hAnsi="Tahoma" w:cs="Tahoma"/>
                      <w:b/>
                      <w:sz w:val="20"/>
                      <w:szCs w:val="20"/>
                    </w:rPr>
                  </w:pPr>
                  <w:r w:rsidRPr="007E113A">
                    <w:rPr>
                      <w:rFonts w:ascii="Tahoma" w:hAnsi="Tahoma" w:cs="Tahoma"/>
                      <w:sz w:val="20"/>
                      <w:szCs w:val="20"/>
                    </w:rPr>
                    <w:t>Не более 80%</w:t>
                  </w:r>
                </w:p>
              </w:tc>
              <w:tc>
                <w:tcPr>
                  <w:tcW w:w="2835" w:type="dxa"/>
                </w:tcPr>
                <w:p w14:paraId="364F02FE" w14:textId="77777777" w:rsidR="00951A61" w:rsidRPr="007E113A" w:rsidRDefault="00951A61" w:rsidP="00A4032F">
                  <w:pPr>
                    <w:pStyle w:val="affe"/>
                    <w:tabs>
                      <w:tab w:val="left" w:pos="280"/>
                    </w:tabs>
                    <w:ind w:left="0"/>
                    <w:jc w:val="center"/>
                    <w:rPr>
                      <w:rFonts w:ascii="Tahoma" w:hAnsi="Tahoma" w:cs="Tahoma"/>
                      <w:b/>
                      <w:sz w:val="20"/>
                      <w:szCs w:val="20"/>
                    </w:rPr>
                  </w:pPr>
                  <w:r w:rsidRPr="007E113A">
                    <w:rPr>
                      <w:rFonts w:ascii="Tahoma" w:hAnsi="Tahoma" w:cs="Tahoma"/>
                      <w:sz w:val="20"/>
                      <w:szCs w:val="20"/>
                    </w:rPr>
                    <w:t>Не более 80%</w:t>
                  </w:r>
                </w:p>
              </w:tc>
              <w:tc>
                <w:tcPr>
                  <w:tcW w:w="2835" w:type="dxa"/>
                </w:tcPr>
                <w:p w14:paraId="1032AE15" w14:textId="77777777" w:rsidR="00951A61" w:rsidRPr="000D3E48" w:rsidRDefault="00951A61" w:rsidP="00A4032F">
                  <w:pPr>
                    <w:pStyle w:val="affe"/>
                    <w:tabs>
                      <w:tab w:val="left" w:pos="280"/>
                    </w:tabs>
                    <w:ind w:left="0"/>
                    <w:jc w:val="center"/>
                    <w:rPr>
                      <w:rFonts w:ascii="Tahoma" w:hAnsi="Tahoma" w:cs="Tahoma"/>
                      <w:b/>
                      <w:sz w:val="20"/>
                      <w:szCs w:val="20"/>
                    </w:rPr>
                  </w:pPr>
                  <w:r w:rsidRPr="000D3E48">
                    <w:rPr>
                      <w:rFonts w:ascii="Tahoma" w:hAnsi="Tahoma" w:cs="Tahoma"/>
                      <w:sz w:val="20"/>
                      <w:szCs w:val="20"/>
                    </w:rPr>
                    <w:t>Не более 60%</w:t>
                  </w:r>
                  <w:r w:rsidRPr="000D3E48">
                    <w:rPr>
                      <w:rStyle w:val="aff3"/>
                      <w:rFonts w:ascii="Tahoma" w:hAnsi="Tahoma" w:cs="Tahoma"/>
                      <w:sz w:val="20"/>
                      <w:szCs w:val="20"/>
                    </w:rPr>
                    <w:footnoteReference w:id="26"/>
                  </w:r>
                </w:p>
              </w:tc>
              <w:tc>
                <w:tcPr>
                  <w:tcW w:w="2807" w:type="dxa"/>
                </w:tcPr>
                <w:p w14:paraId="034D0D03" w14:textId="77777777" w:rsidR="00951A61" w:rsidRPr="000D3E48" w:rsidRDefault="00951A61" w:rsidP="00A4032F">
                  <w:pPr>
                    <w:pStyle w:val="affe"/>
                    <w:tabs>
                      <w:tab w:val="left" w:pos="280"/>
                    </w:tabs>
                    <w:ind w:left="0"/>
                    <w:jc w:val="center"/>
                    <w:rPr>
                      <w:rFonts w:ascii="Tahoma" w:hAnsi="Tahoma" w:cs="Tahoma"/>
                      <w:b/>
                      <w:sz w:val="20"/>
                      <w:szCs w:val="20"/>
                    </w:rPr>
                  </w:pPr>
                  <w:r w:rsidRPr="000D3E48">
                    <w:rPr>
                      <w:rFonts w:ascii="Tahoma" w:hAnsi="Tahoma" w:cs="Tahoma"/>
                      <w:sz w:val="20"/>
                      <w:szCs w:val="20"/>
                    </w:rPr>
                    <w:t>Не более 70%</w:t>
                  </w:r>
                  <w:r w:rsidRPr="000D3E48">
                    <w:rPr>
                      <w:rStyle w:val="aff3"/>
                      <w:rFonts w:ascii="Tahoma" w:hAnsi="Tahoma" w:cs="Tahoma"/>
                      <w:sz w:val="20"/>
                      <w:szCs w:val="20"/>
                    </w:rPr>
                    <w:footnoteReference w:id="27"/>
                  </w:r>
                </w:p>
              </w:tc>
            </w:tr>
            <w:tr w:rsidR="00951A61" w:rsidRPr="0089418D" w14:paraId="7563F073" w14:textId="77777777" w:rsidTr="00A4032F">
              <w:trPr>
                <w:trHeight w:val="395"/>
              </w:trPr>
              <w:tc>
                <w:tcPr>
                  <w:tcW w:w="11312" w:type="dxa"/>
                  <w:gridSpan w:val="4"/>
                </w:tcPr>
                <w:p w14:paraId="0DEDC324" w14:textId="77777777" w:rsidR="00951A61" w:rsidRPr="000D3E48" w:rsidRDefault="00951A61" w:rsidP="00A4032F">
                  <w:pPr>
                    <w:pStyle w:val="affe"/>
                    <w:tabs>
                      <w:tab w:val="left" w:pos="280"/>
                    </w:tabs>
                    <w:ind w:left="0" w:firstLine="425"/>
                    <w:jc w:val="both"/>
                    <w:rPr>
                      <w:rFonts w:ascii="Tahoma" w:hAnsi="Tahoma" w:cs="Tahoma"/>
                      <w:sz w:val="20"/>
                      <w:szCs w:val="20"/>
                    </w:rPr>
                  </w:pPr>
                  <w:r w:rsidRPr="007E113A">
                    <w:rPr>
                      <w:rFonts w:ascii="Tahoma" w:hAnsi="Tahoma" w:cs="Tahoma"/>
                      <w:sz w:val="20"/>
                      <w:szCs w:val="20"/>
                    </w:rPr>
                    <w:t>2. для физических лиц, кроме указанных в п. 1 и 3 настоящего раздела:</w:t>
                  </w:r>
                </w:p>
              </w:tc>
            </w:tr>
            <w:tr w:rsidR="00951A61" w:rsidRPr="0089418D" w14:paraId="3ABA8691" w14:textId="77777777" w:rsidTr="00A4032F">
              <w:trPr>
                <w:trHeight w:val="395"/>
              </w:trPr>
              <w:tc>
                <w:tcPr>
                  <w:tcW w:w="2835" w:type="dxa"/>
                </w:tcPr>
                <w:p w14:paraId="160C6AB5" w14:textId="77777777" w:rsidR="00951A61" w:rsidRPr="007E113A" w:rsidRDefault="00951A61" w:rsidP="00A4032F">
                  <w:pPr>
                    <w:pStyle w:val="affe"/>
                    <w:tabs>
                      <w:tab w:val="left" w:pos="280"/>
                    </w:tabs>
                    <w:ind w:left="0"/>
                    <w:jc w:val="center"/>
                    <w:rPr>
                      <w:rFonts w:ascii="Tahoma" w:hAnsi="Tahoma" w:cs="Tahoma"/>
                      <w:sz w:val="20"/>
                      <w:szCs w:val="20"/>
                    </w:rPr>
                  </w:pPr>
                  <w:r w:rsidRPr="007E113A">
                    <w:rPr>
                      <w:rFonts w:ascii="Tahoma" w:hAnsi="Tahoma" w:cs="Tahoma"/>
                      <w:sz w:val="20"/>
                      <w:szCs w:val="20"/>
                    </w:rPr>
                    <w:t>Не более 70%</w:t>
                  </w:r>
                </w:p>
              </w:tc>
              <w:tc>
                <w:tcPr>
                  <w:tcW w:w="2835" w:type="dxa"/>
                </w:tcPr>
                <w:p w14:paraId="75667033" w14:textId="77777777" w:rsidR="00951A61" w:rsidRPr="007E113A" w:rsidRDefault="00951A61" w:rsidP="00A4032F">
                  <w:pPr>
                    <w:pStyle w:val="affe"/>
                    <w:tabs>
                      <w:tab w:val="left" w:pos="280"/>
                    </w:tabs>
                    <w:ind w:left="0"/>
                    <w:jc w:val="center"/>
                    <w:rPr>
                      <w:rFonts w:ascii="Tahoma" w:hAnsi="Tahoma" w:cs="Tahoma"/>
                      <w:sz w:val="20"/>
                      <w:szCs w:val="20"/>
                    </w:rPr>
                  </w:pPr>
                  <w:r w:rsidRPr="007E113A">
                    <w:rPr>
                      <w:rFonts w:ascii="Tahoma" w:hAnsi="Tahoma" w:cs="Tahoma"/>
                      <w:sz w:val="20"/>
                      <w:szCs w:val="20"/>
                    </w:rPr>
                    <w:t>Не более 70%</w:t>
                  </w:r>
                </w:p>
              </w:tc>
              <w:tc>
                <w:tcPr>
                  <w:tcW w:w="2835" w:type="dxa"/>
                </w:tcPr>
                <w:p w14:paraId="75EB5B8C" w14:textId="77777777" w:rsidR="00951A61" w:rsidRPr="007E113A" w:rsidRDefault="00951A61" w:rsidP="00A4032F">
                  <w:pPr>
                    <w:pStyle w:val="affe"/>
                    <w:tabs>
                      <w:tab w:val="left" w:pos="280"/>
                    </w:tabs>
                    <w:ind w:left="0"/>
                    <w:jc w:val="center"/>
                    <w:rPr>
                      <w:rFonts w:ascii="Tahoma" w:hAnsi="Tahoma" w:cs="Tahoma"/>
                      <w:sz w:val="20"/>
                      <w:szCs w:val="20"/>
                    </w:rPr>
                  </w:pPr>
                  <w:r w:rsidRPr="007E113A">
                    <w:rPr>
                      <w:rFonts w:ascii="Tahoma" w:hAnsi="Tahoma" w:cs="Tahoma"/>
                      <w:sz w:val="20"/>
                      <w:szCs w:val="20"/>
                    </w:rPr>
                    <w:t>Не более 60%</w:t>
                  </w:r>
                </w:p>
              </w:tc>
              <w:tc>
                <w:tcPr>
                  <w:tcW w:w="2807" w:type="dxa"/>
                </w:tcPr>
                <w:p w14:paraId="6123EFFC" w14:textId="77777777" w:rsidR="00951A61" w:rsidRPr="007E113A" w:rsidRDefault="00951A61" w:rsidP="00A4032F">
                  <w:pPr>
                    <w:pStyle w:val="affe"/>
                    <w:tabs>
                      <w:tab w:val="left" w:pos="280"/>
                    </w:tabs>
                    <w:ind w:left="0"/>
                    <w:jc w:val="center"/>
                    <w:rPr>
                      <w:rFonts w:ascii="Tahoma" w:hAnsi="Tahoma" w:cs="Tahoma"/>
                      <w:sz w:val="20"/>
                      <w:szCs w:val="20"/>
                    </w:rPr>
                  </w:pPr>
                  <w:r w:rsidRPr="007E113A">
                    <w:rPr>
                      <w:rFonts w:ascii="Tahoma" w:hAnsi="Tahoma" w:cs="Tahoma"/>
                      <w:sz w:val="20"/>
                      <w:szCs w:val="20"/>
                    </w:rPr>
                    <w:t>Не более 70%</w:t>
                  </w:r>
                </w:p>
              </w:tc>
            </w:tr>
            <w:tr w:rsidR="00951A61" w:rsidRPr="0089418D" w14:paraId="6177513D" w14:textId="77777777" w:rsidTr="00A4032F">
              <w:trPr>
                <w:trHeight w:val="678"/>
              </w:trPr>
              <w:tc>
                <w:tcPr>
                  <w:tcW w:w="11312" w:type="dxa"/>
                  <w:gridSpan w:val="4"/>
                </w:tcPr>
                <w:p w14:paraId="20C9315C" w14:textId="77777777" w:rsidR="00951A61" w:rsidRPr="000D3E48" w:rsidRDefault="00951A61" w:rsidP="00A4032F">
                  <w:pPr>
                    <w:pStyle w:val="affe"/>
                    <w:tabs>
                      <w:tab w:val="left" w:pos="280"/>
                    </w:tabs>
                    <w:ind w:left="0" w:firstLine="425"/>
                    <w:jc w:val="both"/>
                    <w:rPr>
                      <w:rFonts w:ascii="Tahoma" w:hAnsi="Tahoma" w:cs="Tahoma"/>
                      <w:sz w:val="20"/>
                      <w:szCs w:val="20"/>
                    </w:rPr>
                  </w:pPr>
                  <w:r w:rsidRPr="000D3E48">
                    <w:rPr>
                      <w:rFonts w:ascii="Tahoma" w:hAnsi="Tahoma" w:cs="Tahoma"/>
                      <w:sz w:val="20"/>
                      <w:szCs w:val="20"/>
                    </w:rPr>
                    <w:t>3. если при определении платежеспособности Заемщика учитывается доход Заемщика от предпринимательской деятельности и/или доход Заемщика-собственника бизнеса (полученный от этого бизнеса) и/или дохода самозанятого, составляющий 50% и более от совокупного учитываемого дохода по заявке:</w:t>
                  </w:r>
                </w:p>
              </w:tc>
            </w:tr>
            <w:tr w:rsidR="00951A61" w:rsidRPr="0089418D" w14:paraId="0A89E3C5" w14:textId="77777777" w:rsidTr="00A4032F">
              <w:trPr>
                <w:trHeight w:val="339"/>
              </w:trPr>
              <w:tc>
                <w:tcPr>
                  <w:tcW w:w="2835" w:type="dxa"/>
                </w:tcPr>
                <w:p w14:paraId="3974818E" w14:textId="77777777" w:rsidR="00951A61" w:rsidRPr="007E113A" w:rsidRDefault="00951A61" w:rsidP="00A4032F">
                  <w:pPr>
                    <w:pStyle w:val="affe"/>
                    <w:tabs>
                      <w:tab w:val="left" w:pos="280"/>
                    </w:tabs>
                    <w:ind w:left="0"/>
                    <w:jc w:val="center"/>
                    <w:rPr>
                      <w:rFonts w:ascii="Tahoma" w:hAnsi="Tahoma" w:cs="Tahoma"/>
                      <w:sz w:val="20"/>
                      <w:szCs w:val="20"/>
                    </w:rPr>
                  </w:pPr>
                  <w:r w:rsidRPr="007E113A">
                    <w:rPr>
                      <w:rFonts w:ascii="Tahoma" w:hAnsi="Tahoma" w:cs="Tahoma"/>
                      <w:sz w:val="20"/>
                      <w:szCs w:val="20"/>
                    </w:rPr>
                    <w:t>Не более 65%</w:t>
                  </w:r>
                </w:p>
              </w:tc>
              <w:tc>
                <w:tcPr>
                  <w:tcW w:w="2835" w:type="dxa"/>
                </w:tcPr>
                <w:p w14:paraId="459AE9BF" w14:textId="77777777" w:rsidR="00951A61" w:rsidRPr="007E113A" w:rsidRDefault="00951A61" w:rsidP="00A4032F">
                  <w:pPr>
                    <w:pStyle w:val="affe"/>
                    <w:tabs>
                      <w:tab w:val="left" w:pos="280"/>
                    </w:tabs>
                    <w:ind w:left="0"/>
                    <w:jc w:val="center"/>
                    <w:rPr>
                      <w:rFonts w:ascii="Tahoma" w:hAnsi="Tahoma" w:cs="Tahoma"/>
                      <w:sz w:val="20"/>
                      <w:szCs w:val="20"/>
                    </w:rPr>
                  </w:pPr>
                  <w:r w:rsidRPr="007E113A">
                    <w:rPr>
                      <w:rFonts w:ascii="Tahoma" w:hAnsi="Tahoma" w:cs="Tahoma"/>
                      <w:sz w:val="20"/>
                      <w:szCs w:val="20"/>
                    </w:rPr>
                    <w:t>Не более 65%</w:t>
                  </w:r>
                </w:p>
              </w:tc>
              <w:tc>
                <w:tcPr>
                  <w:tcW w:w="2835" w:type="dxa"/>
                </w:tcPr>
                <w:p w14:paraId="630610F6" w14:textId="77777777" w:rsidR="00951A61" w:rsidRPr="007E113A" w:rsidRDefault="00951A61" w:rsidP="00A4032F">
                  <w:pPr>
                    <w:pStyle w:val="affe"/>
                    <w:tabs>
                      <w:tab w:val="left" w:pos="280"/>
                    </w:tabs>
                    <w:ind w:left="0"/>
                    <w:jc w:val="center"/>
                    <w:rPr>
                      <w:rFonts w:ascii="Tahoma" w:hAnsi="Tahoma" w:cs="Tahoma"/>
                      <w:sz w:val="20"/>
                      <w:szCs w:val="20"/>
                    </w:rPr>
                  </w:pPr>
                  <w:r w:rsidRPr="007E113A">
                    <w:rPr>
                      <w:rFonts w:ascii="Tahoma" w:hAnsi="Tahoma" w:cs="Tahoma"/>
                      <w:sz w:val="20"/>
                      <w:szCs w:val="20"/>
                    </w:rPr>
                    <w:t>Не более 60%</w:t>
                  </w:r>
                </w:p>
              </w:tc>
              <w:tc>
                <w:tcPr>
                  <w:tcW w:w="2807" w:type="dxa"/>
                </w:tcPr>
                <w:p w14:paraId="7AC59FA1" w14:textId="77777777" w:rsidR="00951A61" w:rsidRPr="007E113A" w:rsidRDefault="00951A61" w:rsidP="00A4032F">
                  <w:pPr>
                    <w:pStyle w:val="affe"/>
                    <w:tabs>
                      <w:tab w:val="left" w:pos="280"/>
                    </w:tabs>
                    <w:ind w:left="0"/>
                    <w:jc w:val="center"/>
                    <w:rPr>
                      <w:rFonts w:ascii="Tahoma" w:hAnsi="Tahoma" w:cs="Tahoma"/>
                      <w:sz w:val="20"/>
                      <w:szCs w:val="20"/>
                    </w:rPr>
                  </w:pPr>
                  <w:r w:rsidRPr="007E113A">
                    <w:rPr>
                      <w:rFonts w:ascii="Tahoma" w:hAnsi="Tahoma" w:cs="Tahoma"/>
                      <w:sz w:val="20"/>
                      <w:szCs w:val="20"/>
                    </w:rPr>
                    <w:t>Не более 65%</w:t>
                  </w:r>
                </w:p>
              </w:tc>
            </w:tr>
            <w:tr w:rsidR="00951A61" w:rsidRPr="0089418D" w14:paraId="0E53D4B0" w14:textId="77777777" w:rsidTr="00A4032F">
              <w:trPr>
                <w:trHeight w:val="318"/>
              </w:trPr>
              <w:tc>
                <w:tcPr>
                  <w:tcW w:w="11312" w:type="dxa"/>
                  <w:gridSpan w:val="4"/>
                </w:tcPr>
                <w:p w14:paraId="66F3AED7" w14:textId="77777777" w:rsidR="00951A61" w:rsidRPr="0089418D" w:rsidRDefault="00951A61" w:rsidP="00A4032F">
                  <w:pPr>
                    <w:pStyle w:val="affe"/>
                    <w:tabs>
                      <w:tab w:val="left" w:pos="280"/>
                    </w:tabs>
                    <w:ind w:left="0" w:firstLine="425"/>
                    <w:jc w:val="both"/>
                    <w:rPr>
                      <w:rFonts w:ascii="Tahoma" w:hAnsi="Tahoma" w:cs="Tahoma"/>
                      <w:sz w:val="20"/>
                      <w:szCs w:val="20"/>
                    </w:rPr>
                  </w:pPr>
                  <w:r w:rsidRPr="0089418D">
                    <w:rPr>
                      <w:rFonts w:ascii="Tahoma" w:hAnsi="Tahoma" w:cs="Tahoma"/>
                      <w:sz w:val="20"/>
                      <w:szCs w:val="20"/>
                    </w:rPr>
                    <w:t xml:space="preserve">Для категорий недвижимости «Жилой дом с земельным участком» предусмотрена возможность увеличения коэффициента К/З до </w:t>
                  </w:r>
                  <w:r>
                    <w:rPr>
                      <w:rFonts w:ascii="Tahoma" w:hAnsi="Tahoma" w:cs="Tahoma"/>
                      <w:sz w:val="20"/>
                      <w:szCs w:val="20"/>
                    </w:rPr>
                    <w:t>65</w:t>
                  </w:r>
                  <w:r w:rsidRPr="0089418D">
                    <w:rPr>
                      <w:rFonts w:ascii="Tahoma" w:hAnsi="Tahoma" w:cs="Tahoma"/>
                      <w:sz w:val="20"/>
                      <w:szCs w:val="20"/>
                    </w:rPr>
                    <w:t>% при одновременном соблюдении условий:</w:t>
                  </w:r>
                </w:p>
                <w:p w14:paraId="2D8769BD" w14:textId="77777777" w:rsidR="00951A61" w:rsidRPr="0089418D" w:rsidRDefault="00951A61" w:rsidP="00A4032F">
                  <w:pPr>
                    <w:pStyle w:val="affe"/>
                    <w:tabs>
                      <w:tab w:val="left" w:pos="280"/>
                    </w:tabs>
                    <w:ind w:left="0" w:firstLine="425"/>
                    <w:jc w:val="both"/>
                    <w:rPr>
                      <w:rFonts w:ascii="Tahoma" w:hAnsi="Tahoma" w:cs="Tahoma"/>
                      <w:sz w:val="20"/>
                      <w:szCs w:val="20"/>
                    </w:rPr>
                  </w:pPr>
                  <w:r w:rsidRPr="0089418D">
                    <w:rPr>
                      <w:rFonts w:ascii="Tahoma" w:hAnsi="Tahoma" w:cs="Tahoma"/>
                      <w:sz w:val="20"/>
                      <w:szCs w:val="20"/>
                    </w:rPr>
                    <w:t xml:space="preserve">- недвижимое имущество, являющееся Предметом ипотеки, должно быть расположено на территории обслуживания Банком, удаленностью не более 10 км от населенного пункта, где располагается </w:t>
                  </w:r>
                  <w:r>
                    <w:rPr>
                      <w:rFonts w:ascii="Tahoma" w:hAnsi="Tahoma" w:cs="Tahoma"/>
                      <w:sz w:val="20"/>
                      <w:szCs w:val="20"/>
                    </w:rPr>
                    <w:t>Подразделение</w:t>
                  </w:r>
                  <w:r w:rsidRPr="0089418D">
                    <w:rPr>
                      <w:rFonts w:ascii="Tahoma" w:hAnsi="Tahoma" w:cs="Tahoma"/>
                      <w:sz w:val="20"/>
                      <w:szCs w:val="20"/>
                    </w:rPr>
                    <w:t xml:space="preserve"> Банка (для Москвы расстояние считается от МКАД)</w:t>
                  </w:r>
                </w:p>
                <w:p w14:paraId="3EF04643" w14:textId="77777777" w:rsidR="00951A61" w:rsidRPr="0089418D" w:rsidRDefault="00951A61" w:rsidP="00A4032F">
                  <w:pPr>
                    <w:pStyle w:val="affe"/>
                    <w:tabs>
                      <w:tab w:val="left" w:pos="280"/>
                    </w:tabs>
                    <w:ind w:left="0" w:firstLine="425"/>
                    <w:jc w:val="both"/>
                    <w:rPr>
                      <w:rFonts w:ascii="Tahoma" w:hAnsi="Tahoma" w:cs="Tahoma"/>
                      <w:sz w:val="20"/>
                      <w:szCs w:val="20"/>
                    </w:rPr>
                  </w:pPr>
                  <w:r w:rsidRPr="0089418D">
                    <w:rPr>
                      <w:rFonts w:ascii="Tahoma" w:hAnsi="Tahoma" w:cs="Tahoma"/>
                      <w:sz w:val="20"/>
                      <w:szCs w:val="20"/>
                    </w:rPr>
                    <w:t>- сумма Кредита не превышает:</w:t>
                  </w:r>
                </w:p>
                <w:p w14:paraId="22C44093" w14:textId="77777777" w:rsidR="00951A61" w:rsidRPr="0089418D" w:rsidRDefault="00951A61" w:rsidP="00951A61">
                  <w:pPr>
                    <w:pStyle w:val="affe"/>
                    <w:numPr>
                      <w:ilvl w:val="0"/>
                      <w:numId w:val="16"/>
                    </w:numPr>
                    <w:ind w:left="0" w:firstLine="425"/>
                    <w:contextualSpacing/>
                    <w:jc w:val="both"/>
                    <w:rPr>
                      <w:rFonts w:ascii="Tahoma" w:hAnsi="Tahoma" w:cs="Tahoma"/>
                      <w:sz w:val="20"/>
                      <w:szCs w:val="20"/>
                    </w:rPr>
                  </w:pPr>
                  <w:r w:rsidRPr="0089418D">
                    <w:rPr>
                      <w:rFonts w:ascii="Tahoma" w:hAnsi="Tahoma" w:cs="Tahoma"/>
                      <w:sz w:val="20"/>
                      <w:szCs w:val="20"/>
                    </w:rPr>
                    <w:t>Москва и Московская область - 15 000</w:t>
                  </w:r>
                  <w:r>
                    <w:rPr>
                      <w:rFonts w:ascii="Tahoma" w:hAnsi="Tahoma" w:cs="Tahoma"/>
                      <w:sz w:val="20"/>
                      <w:szCs w:val="20"/>
                    </w:rPr>
                    <w:t> </w:t>
                  </w:r>
                  <w:r w:rsidRPr="0089418D">
                    <w:rPr>
                      <w:rFonts w:ascii="Tahoma" w:hAnsi="Tahoma" w:cs="Tahoma"/>
                      <w:sz w:val="20"/>
                      <w:szCs w:val="20"/>
                    </w:rPr>
                    <w:t>000</w:t>
                  </w:r>
                  <w:r>
                    <w:rPr>
                      <w:rFonts w:ascii="Tahoma" w:hAnsi="Tahoma" w:cs="Tahoma"/>
                      <w:sz w:val="20"/>
                      <w:szCs w:val="20"/>
                    </w:rPr>
                    <w:t>,00</w:t>
                  </w:r>
                  <w:r w:rsidRPr="0089418D">
                    <w:rPr>
                      <w:rFonts w:ascii="Tahoma" w:hAnsi="Tahoma" w:cs="Tahoma"/>
                      <w:sz w:val="20"/>
                      <w:szCs w:val="20"/>
                    </w:rPr>
                    <w:t xml:space="preserve"> рублей,</w:t>
                  </w:r>
                </w:p>
                <w:p w14:paraId="5DEDFEC6" w14:textId="77777777" w:rsidR="00951A61" w:rsidRPr="0089418D" w:rsidRDefault="00951A61" w:rsidP="00951A61">
                  <w:pPr>
                    <w:pStyle w:val="affe"/>
                    <w:numPr>
                      <w:ilvl w:val="0"/>
                      <w:numId w:val="16"/>
                    </w:numPr>
                    <w:tabs>
                      <w:tab w:val="right" w:pos="726"/>
                    </w:tabs>
                    <w:ind w:left="0" w:firstLine="425"/>
                    <w:contextualSpacing/>
                    <w:jc w:val="both"/>
                    <w:rPr>
                      <w:rFonts w:ascii="Tahoma" w:hAnsi="Tahoma" w:cs="Tahoma"/>
                      <w:sz w:val="20"/>
                      <w:szCs w:val="20"/>
                    </w:rPr>
                  </w:pPr>
                  <w:r w:rsidRPr="0089418D">
                    <w:rPr>
                      <w:rFonts w:ascii="Tahoma" w:hAnsi="Tahoma" w:cs="Tahoma"/>
                      <w:sz w:val="20"/>
                      <w:szCs w:val="20"/>
                    </w:rPr>
                    <w:t>Иные регионы – 10 000</w:t>
                  </w:r>
                  <w:r>
                    <w:rPr>
                      <w:rFonts w:ascii="Tahoma" w:hAnsi="Tahoma" w:cs="Tahoma"/>
                      <w:sz w:val="20"/>
                      <w:szCs w:val="20"/>
                    </w:rPr>
                    <w:t> </w:t>
                  </w:r>
                  <w:r w:rsidRPr="0089418D">
                    <w:rPr>
                      <w:rFonts w:ascii="Tahoma" w:hAnsi="Tahoma" w:cs="Tahoma"/>
                      <w:sz w:val="20"/>
                      <w:szCs w:val="20"/>
                    </w:rPr>
                    <w:t>000</w:t>
                  </w:r>
                  <w:r>
                    <w:rPr>
                      <w:rFonts w:ascii="Tahoma" w:hAnsi="Tahoma" w:cs="Tahoma"/>
                      <w:sz w:val="20"/>
                      <w:szCs w:val="20"/>
                    </w:rPr>
                    <w:t>,00</w:t>
                  </w:r>
                  <w:r w:rsidRPr="0089418D">
                    <w:rPr>
                      <w:rFonts w:ascii="Tahoma" w:hAnsi="Tahoma" w:cs="Tahoma"/>
                      <w:sz w:val="20"/>
                      <w:szCs w:val="20"/>
                    </w:rPr>
                    <w:t xml:space="preserve"> рублей</w:t>
                  </w:r>
                  <w:r>
                    <w:rPr>
                      <w:rFonts w:ascii="Tahoma" w:hAnsi="Tahoma" w:cs="Tahoma"/>
                      <w:sz w:val="20"/>
                      <w:szCs w:val="20"/>
                    </w:rPr>
                    <w:t>.</w:t>
                  </w:r>
                </w:p>
              </w:tc>
            </w:tr>
          </w:tbl>
          <w:p w14:paraId="411326D9" w14:textId="77777777" w:rsidR="00951A61" w:rsidRPr="0089418D" w:rsidRDefault="00951A61" w:rsidP="00A4032F">
            <w:pPr>
              <w:tabs>
                <w:tab w:val="left" w:pos="280"/>
              </w:tabs>
              <w:ind w:firstLine="425"/>
              <w:jc w:val="both"/>
              <w:rPr>
                <w:rFonts w:ascii="Tahoma" w:hAnsi="Tahoma" w:cs="Tahoma"/>
                <w:sz w:val="20"/>
                <w:szCs w:val="20"/>
              </w:rPr>
            </w:pPr>
          </w:p>
        </w:tc>
      </w:tr>
      <w:tr w:rsidR="00951A61" w:rsidRPr="0089418D" w14:paraId="379050F1" w14:textId="77777777" w:rsidTr="00A4032F">
        <w:trPr>
          <w:trHeight w:val="255"/>
        </w:trPr>
        <w:tc>
          <w:tcPr>
            <w:tcW w:w="4071" w:type="dxa"/>
            <w:tcBorders>
              <w:top w:val="nil"/>
              <w:left w:val="single" w:sz="4" w:space="0" w:color="auto"/>
              <w:bottom w:val="single" w:sz="4" w:space="0" w:color="auto"/>
              <w:right w:val="single" w:sz="4" w:space="0" w:color="auto"/>
            </w:tcBorders>
            <w:shd w:val="clear" w:color="auto" w:fill="auto"/>
            <w:vAlign w:val="center"/>
          </w:tcPr>
          <w:p w14:paraId="4CDA6694" w14:textId="77777777" w:rsidR="00951A61" w:rsidRPr="0089418D" w:rsidRDefault="00951A61" w:rsidP="00A4032F">
            <w:pPr>
              <w:jc w:val="center"/>
              <w:rPr>
                <w:rFonts w:ascii="Tahoma" w:hAnsi="Tahoma" w:cs="Tahoma"/>
                <w:b/>
                <w:sz w:val="20"/>
                <w:szCs w:val="20"/>
              </w:rPr>
            </w:pPr>
            <w:r w:rsidRPr="0089418D">
              <w:rPr>
                <w:rFonts w:ascii="Tahoma" w:hAnsi="Tahoma" w:cs="Tahoma"/>
                <w:b/>
                <w:sz w:val="20"/>
                <w:szCs w:val="20"/>
              </w:rPr>
              <w:lastRenderedPageBreak/>
              <w:t>Способ предоставления</w:t>
            </w:r>
            <w:r>
              <w:rPr>
                <w:rFonts w:ascii="Tahoma" w:hAnsi="Tahoma" w:cs="Tahoma"/>
                <w:b/>
                <w:sz w:val="20"/>
                <w:szCs w:val="20"/>
              </w:rPr>
              <w:t xml:space="preserve"> </w:t>
            </w:r>
            <w:r>
              <w:rPr>
                <w:rFonts w:ascii="Tahoma" w:hAnsi="Tahoma" w:cs="Tahoma"/>
                <w:b/>
                <w:bCs/>
                <w:sz w:val="20"/>
                <w:szCs w:val="20"/>
              </w:rPr>
              <w:t>потребительского</w:t>
            </w:r>
            <w:r w:rsidRPr="0089418D">
              <w:rPr>
                <w:rFonts w:ascii="Tahoma" w:hAnsi="Tahoma" w:cs="Tahoma"/>
                <w:b/>
                <w:sz w:val="20"/>
                <w:szCs w:val="20"/>
              </w:rPr>
              <w:t xml:space="preserve"> кредита</w:t>
            </w:r>
          </w:p>
        </w:tc>
        <w:tc>
          <w:tcPr>
            <w:tcW w:w="11594" w:type="dxa"/>
            <w:tcBorders>
              <w:top w:val="single" w:sz="4" w:space="0" w:color="auto"/>
              <w:left w:val="nil"/>
              <w:bottom w:val="single" w:sz="4" w:space="0" w:color="auto"/>
              <w:right w:val="single" w:sz="4" w:space="0" w:color="auto"/>
            </w:tcBorders>
            <w:shd w:val="clear" w:color="auto" w:fill="auto"/>
            <w:vAlign w:val="center"/>
          </w:tcPr>
          <w:p w14:paraId="719E0A70" w14:textId="77777777" w:rsidR="00951A61" w:rsidRPr="0089418D" w:rsidRDefault="00951A61" w:rsidP="00A4032F">
            <w:pPr>
              <w:ind w:firstLine="425"/>
              <w:jc w:val="both"/>
              <w:rPr>
                <w:rFonts w:ascii="Tahoma" w:hAnsi="Tahoma" w:cs="Tahoma"/>
                <w:sz w:val="20"/>
                <w:szCs w:val="20"/>
              </w:rPr>
            </w:pPr>
            <w:r w:rsidRPr="0089418D">
              <w:rPr>
                <w:rFonts w:ascii="Tahoma" w:hAnsi="Tahoma" w:cs="Tahoma"/>
                <w:sz w:val="20"/>
                <w:szCs w:val="20"/>
              </w:rPr>
              <w:t>Кредит предоставляется заемщику в безналичной форме путем перечисления всей суммы Кредита единовременно на открытый в Банке текущий банковский счет (ТБС). Если впоследствии сумму Кредита, предоставленную на счет заемщика, открытый в Банке необходимо перевести третьему лицу, указанному заемщиком, то перевод осуществляются в соответствии с порядком и тарифами, предусмотренными Банком для перевода денежных средств.</w:t>
            </w:r>
          </w:p>
          <w:p w14:paraId="57036040" w14:textId="77777777" w:rsidR="00951A61" w:rsidRPr="0089418D" w:rsidRDefault="00951A61" w:rsidP="00A4032F">
            <w:pPr>
              <w:ind w:firstLine="425"/>
              <w:jc w:val="both"/>
              <w:rPr>
                <w:rFonts w:ascii="Tahoma" w:hAnsi="Tahoma" w:cs="Tahoma"/>
                <w:b/>
                <w:sz w:val="20"/>
                <w:szCs w:val="20"/>
              </w:rPr>
            </w:pPr>
            <w:r w:rsidRPr="0089418D">
              <w:rPr>
                <w:rFonts w:ascii="Tahoma" w:hAnsi="Tahoma" w:cs="Tahoma"/>
                <w:b/>
                <w:sz w:val="20"/>
                <w:szCs w:val="20"/>
              </w:rPr>
              <w:t>Для Опции «Залоговый»:</w:t>
            </w:r>
            <w:r w:rsidRPr="0089418D">
              <w:rPr>
                <w:rFonts w:ascii="Tahoma" w:hAnsi="Tahoma" w:cs="Tahoma"/>
                <w:sz w:val="20"/>
                <w:szCs w:val="20"/>
              </w:rPr>
              <w:t xml:space="preserve"> Кредит предоставляется Заемщику в безналичной форме путем перечисления всей суммы Кредита единовременно на открытый в Банке ТБС. В день предоставления Кредита Заемщик осуществляет перевод денежных средств в размере, достаточном для полного погашения задолженности продавца Предмета ипотеки, на текущий счет продавца Предмета ипотеки, открытый в банке-залогодержателе, с которого происходит ежемесячное погашение Кредита, в счет погашения остатка задолженности по Кредиту продавца Предмета ипотеки (Остаток задолженности продавца перед банком-залогодержателем не должен превышать стоимость недвижимого имущества по заключаемому договору купли-продажи). При наличии остатка кредитных средств после полного погашения </w:t>
            </w:r>
            <w:r w:rsidRPr="0089418D">
              <w:rPr>
                <w:rFonts w:ascii="Tahoma" w:hAnsi="Tahoma" w:cs="Tahoma"/>
                <w:sz w:val="20"/>
                <w:szCs w:val="20"/>
              </w:rPr>
              <w:lastRenderedPageBreak/>
              <w:t>задолженности продавца Предмета ипотеки открывается аккредитив в Банке в пользу продавца Предмета ипотеки на остаток кредитных средств. Условие раскрытия аккредитива – регистрация права собственности заемщика и ипотеки в пользу Банка в качестве единственного обременения</w:t>
            </w:r>
          </w:p>
        </w:tc>
      </w:tr>
      <w:tr w:rsidR="00951A61" w:rsidRPr="0089418D" w14:paraId="0EB528A6" w14:textId="77777777" w:rsidTr="00A4032F">
        <w:trPr>
          <w:trHeight w:val="255"/>
        </w:trPr>
        <w:tc>
          <w:tcPr>
            <w:tcW w:w="4071" w:type="dxa"/>
            <w:tcBorders>
              <w:top w:val="nil"/>
              <w:left w:val="single" w:sz="4" w:space="0" w:color="auto"/>
              <w:bottom w:val="single" w:sz="4" w:space="0" w:color="auto"/>
              <w:right w:val="single" w:sz="4" w:space="0" w:color="auto"/>
            </w:tcBorders>
            <w:shd w:val="clear" w:color="auto" w:fill="auto"/>
            <w:vAlign w:val="center"/>
          </w:tcPr>
          <w:p w14:paraId="367DF149" w14:textId="77777777" w:rsidR="00951A61" w:rsidRPr="0089418D" w:rsidRDefault="00951A61" w:rsidP="00A4032F">
            <w:pPr>
              <w:jc w:val="center"/>
              <w:rPr>
                <w:rFonts w:ascii="Tahoma" w:hAnsi="Tahoma" w:cs="Tahoma"/>
                <w:b/>
                <w:sz w:val="20"/>
                <w:szCs w:val="20"/>
              </w:rPr>
            </w:pPr>
            <w:r w:rsidRPr="0089418D">
              <w:rPr>
                <w:rFonts w:ascii="Tahoma" w:hAnsi="Tahoma" w:cs="Tahoma"/>
                <w:b/>
                <w:bCs/>
                <w:sz w:val="20"/>
                <w:szCs w:val="20"/>
              </w:rPr>
              <w:lastRenderedPageBreak/>
              <w:t xml:space="preserve">Срок рассмотрения </w:t>
            </w:r>
            <w:r>
              <w:rPr>
                <w:rFonts w:ascii="Tahoma" w:hAnsi="Tahoma" w:cs="Tahoma"/>
                <w:b/>
                <w:bCs/>
                <w:sz w:val="20"/>
                <w:szCs w:val="20"/>
              </w:rPr>
              <w:t>оформленного</w:t>
            </w:r>
            <w:r w:rsidRPr="0089418D">
              <w:rPr>
                <w:rFonts w:ascii="Tahoma" w:hAnsi="Tahoma" w:cs="Tahoma"/>
                <w:b/>
                <w:bCs/>
                <w:sz w:val="20"/>
                <w:szCs w:val="20"/>
              </w:rPr>
              <w:t xml:space="preserve"> Заёмщик</w:t>
            </w:r>
            <w:r>
              <w:rPr>
                <w:rFonts w:ascii="Tahoma" w:hAnsi="Tahoma" w:cs="Tahoma"/>
                <w:b/>
                <w:bCs/>
                <w:sz w:val="20"/>
                <w:szCs w:val="20"/>
              </w:rPr>
              <w:t>ом</w:t>
            </w:r>
            <w:r w:rsidRPr="0089418D">
              <w:rPr>
                <w:rFonts w:ascii="Tahoma" w:hAnsi="Tahoma" w:cs="Tahoma"/>
                <w:b/>
                <w:bCs/>
                <w:sz w:val="20"/>
                <w:szCs w:val="20"/>
              </w:rPr>
              <w:t xml:space="preserve"> заявления о предоставлении</w:t>
            </w:r>
            <w:r>
              <w:rPr>
                <w:rFonts w:ascii="Tahoma" w:hAnsi="Tahoma" w:cs="Tahoma"/>
                <w:b/>
                <w:bCs/>
                <w:sz w:val="20"/>
                <w:szCs w:val="20"/>
              </w:rPr>
              <w:t xml:space="preserve"> потребительского</w:t>
            </w:r>
            <w:r w:rsidRPr="0089418D">
              <w:rPr>
                <w:rFonts w:ascii="Tahoma" w:hAnsi="Tahoma" w:cs="Tahoma"/>
                <w:b/>
                <w:bCs/>
                <w:sz w:val="20"/>
                <w:szCs w:val="20"/>
              </w:rPr>
              <w:t xml:space="preserve"> </w:t>
            </w:r>
            <w:r>
              <w:rPr>
                <w:rFonts w:ascii="Tahoma" w:hAnsi="Tahoma" w:cs="Tahoma"/>
                <w:b/>
                <w:bCs/>
                <w:sz w:val="20"/>
                <w:szCs w:val="20"/>
              </w:rPr>
              <w:t>к</w:t>
            </w:r>
            <w:r w:rsidRPr="0089418D">
              <w:rPr>
                <w:rFonts w:ascii="Tahoma" w:hAnsi="Tahoma" w:cs="Tahoma"/>
                <w:b/>
                <w:bCs/>
                <w:sz w:val="20"/>
                <w:szCs w:val="20"/>
              </w:rPr>
              <w:t>редита</w:t>
            </w:r>
            <w:r>
              <w:rPr>
                <w:rFonts w:ascii="Tahoma" w:hAnsi="Tahoma" w:cs="Tahoma"/>
                <w:b/>
                <w:bCs/>
                <w:sz w:val="20"/>
                <w:szCs w:val="20"/>
              </w:rPr>
              <w:t xml:space="preserve"> </w:t>
            </w:r>
            <w:r w:rsidRPr="000A3C50">
              <w:rPr>
                <w:rFonts w:ascii="Tahoma" w:hAnsi="Tahoma" w:cs="Tahoma"/>
                <w:b/>
                <w:bCs/>
                <w:sz w:val="20"/>
                <w:szCs w:val="20"/>
              </w:rPr>
              <w:t xml:space="preserve">и принятия </w:t>
            </w:r>
            <w:r>
              <w:rPr>
                <w:rFonts w:ascii="Tahoma" w:hAnsi="Tahoma" w:cs="Tahoma"/>
                <w:b/>
                <w:bCs/>
                <w:sz w:val="20"/>
                <w:szCs w:val="20"/>
              </w:rPr>
              <w:t>к</w:t>
            </w:r>
            <w:r w:rsidRPr="000A3C50">
              <w:rPr>
                <w:rFonts w:ascii="Tahoma" w:hAnsi="Tahoma" w:cs="Tahoma"/>
                <w:b/>
                <w:bCs/>
                <w:sz w:val="20"/>
                <w:szCs w:val="20"/>
              </w:rPr>
              <w:t>редитором решения относительно этого заявления</w:t>
            </w:r>
          </w:p>
        </w:tc>
        <w:tc>
          <w:tcPr>
            <w:tcW w:w="11594" w:type="dxa"/>
            <w:tcBorders>
              <w:top w:val="single" w:sz="4" w:space="0" w:color="auto"/>
              <w:left w:val="nil"/>
              <w:bottom w:val="single" w:sz="4" w:space="0" w:color="auto"/>
              <w:right w:val="single" w:sz="4" w:space="0" w:color="auto"/>
            </w:tcBorders>
            <w:shd w:val="clear" w:color="auto" w:fill="auto"/>
            <w:vAlign w:val="center"/>
          </w:tcPr>
          <w:p w14:paraId="189E5F27" w14:textId="77777777" w:rsidR="00951A61" w:rsidRPr="0089418D" w:rsidRDefault="00951A61" w:rsidP="00A4032F">
            <w:pPr>
              <w:ind w:firstLine="425"/>
              <w:jc w:val="both"/>
              <w:rPr>
                <w:rFonts w:ascii="Tahoma" w:hAnsi="Tahoma" w:cs="Tahoma"/>
                <w:sz w:val="20"/>
                <w:szCs w:val="20"/>
              </w:rPr>
            </w:pPr>
            <w:r w:rsidRPr="0089418D">
              <w:rPr>
                <w:rFonts w:ascii="Tahoma" w:hAnsi="Tahoma" w:cs="Tahoma"/>
                <w:sz w:val="20"/>
                <w:szCs w:val="20"/>
              </w:rPr>
              <w:t>2 рабочих дня с момента предоставления заемщиком полного пакета документов, в случае необходимости запроса у Заёмщика дополнительных документов срок может быть увеличен</w:t>
            </w:r>
          </w:p>
        </w:tc>
      </w:tr>
      <w:tr w:rsidR="00951A61" w:rsidRPr="0089418D" w14:paraId="5997232E" w14:textId="77777777" w:rsidTr="00A4032F">
        <w:trPr>
          <w:trHeight w:val="255"/>
        </w:trPr>
        <w:tc>
          <w:tcPr>
            <w:tcW w:w="4071" w:type="dxa"/>
            <w:tcBorders>
              <w:top w:val="nil"/>
              <w:left w:val="single" w:sz="4" w:space="0" w:color="auto"/>
              <w:bottom w:val="single" w:sz="4" w:space="0" w:color="auto"/>
              <w:right w:val="single" w:sz="4" w:space="0" w:color="auto"/>
            </w:tcBorders>
            <w:shd w:val="clear" w:color="auto" w:fill="auto"/>
            <w:vAlign w:val="center"/>
          </w:tcPr>
          <w:p w14:paraId="56E514BC" w14:textId="77777777" w:rsidR="00951A61" w:rsidRPr="0089418D" w:rsidRDefault="00951A61" w:rsidP="00A4032F">
            <w:pPr>
              <w:jc w:val="center"/>
              <w:rPr>
                <w:rFonts w:ascii="Tahoma" w:hAnsi="Tahoma" w:cs="Tahoma"/>
                <w:b/>
                <w:sz w:val="20"/>
                <w:szCs w:val="20"/>
              </w:rPr>
            </w:pPr>
            <w:r w:rsidRPr="0089418D">
              <w:rPr>
                <w:rFonts w:ascii="Tahoma" w:hAnsi="Tahoma" w:cs="Tahoma"/>
                <w:b/>
                <w:color w:val="000000"/>
                <w:sz w:val="20"/>
                <w:szCs w:val="20"/>
              </w:rPr>
              <w:t>Срок, в течение которого Заемщик вправе отказаться от получения Кредита</w:t>
            </w:r>
          </w:p>
        </w:tc>
        <w:tc>
          <w:tcPr>
            <w:tcW w:w="11594" w:type="dxa"/>
            <w:tcBorders>
              <w:top w:val="single" w:sz="4" w:space="0" w:color="auto"/>
              <w:left w:val="nil"/>
              <w:bottom w:val="single" w:sz="4" w:space="0" w:color="auto"/>
              <w:right w:val="single" w:sz="4" w:space="0" w:color="auto"/>
            </w:tcBorders>
            <w:shd w:val="clear" w:color="auto" w:fill="auto"/>
            <w:vAlign w:val="center"/>
          </w:tcPr>
          <w:p w14:paraId="2D59657C" w14:textId="77777777" w:rsidR="00951A61" w:rsidRPr="0089418D" w:rsidRDefault="00951A61" w:rsidP="00A4032F">
            <w:pPr>
              <w:ind w:firstLine="425"/>
              <w:jc w:val="both"/>
              <w:rPr>
                <w:rFonts w:ascii="Tahoma" w:hAnsi="Tahoma" w:cs="Tahoma"/>
                <w:sz w:val="20"/>
                <w:szCs w:val="20"/>
              </w:rPr>
            </w:pPr>
            <w:r w:rsidRPr="00AA6F56">
              <w:rPr>
                <w:rFonts w:ascii="Tahoma" w:hAnsi="Tahoma" w:cs="Tahoma"/>
                <w:color w:val="000000"/>
                <w:sz w:val="20"/>
                <w:szCs w:val="20"/>
              </w:rPr>
              <w:t xml:space="preserve">Заёмщик вправе отказаться от получения Кредита полностью или частично, уведомив об этом Банк до истечения, установленного </w:t>
            </w:r>
            <w:r>
              <w:rPr>
                <w:rFonts w:ascii="Tahoma" w:hAnsi="Tahoma" w:cs="Tahoma"/>
                <w:color w:val="000000"/>
                <w:sz w:val="20"/>
                <w:szCs w:val="20"/>
              </w:rPr>
              <w:t>Кредитным д</w:t>
            </w:r>
            <w:r w:rsidRPr="00AA6F56">
              <w:rPr>
                <w:rFonts w:ascii="Tahoma" w:hAnsi="Tahoma" w:cs="Tahoma"/>
                <w:color w:val="000000"/>
                <w:sz w:val="20"/>
                <w:szCs w:val="20"/>
              </w:rPr>
              <w:t>оговором</w:t>
            </w:r>
            <w:r>
              <w:rPr>
                <w:rFonts w:ascii="Tahoma" w:hAnsi="Tahoma" w:cs="Tahoma"/>
                <w:color w:val="000000"/>
                <w:sz w:val="20"/>
                <w:szCs w:val="20"/>
              </w:rPr>
              <w:t>,</w:t>
            </w:r>
            <w:r w:rsidRPr="00AA6F56">
              <w:rPr>
                <w:rFonts w:ascii="Tahoma" w:hAnsi="Tahoma" w:cs="Tahoma"/>
                <w:color w:val="000000"/>
                <w:sz w:val="20"/>
                <w:szCs w:val="20"/>
              </w:rPr>
              <w:t xml:space="preserve"> срока его предоставления. Заемщик в течение 30 (тридцати) календарных дней с даты получения Кредита, имеет право вернуть досрочно всю сумму Кредита</w:t>
            </w:r>
            <w:r w:rsidRPr="0089418D">
              <w:rPr>
                <w:rFonts w:ascii="Tahoma" w:hAnsi="Tahoma" w:cs="Tahoma"/>
                <w:color w:val="000000"/>
                <w:sz w:val="20"/>
                <w:szCs w:val="20"/>
              </w:rPr>
              <w:t xml:space="preserve"> или ее часть без предварительного уведомления Банка с уплатой процентов за фактический срок кредитования</w:t>
            </w:r>
          </w:p>
        </w:tc>
      </w:tr>
      <w:tr w:rsidR="00951A61" w:rsidRPr="0089418D" w14:paraId="2440FBF5" w14:textId="77777777" w:rsidTr="00A4032F">
        <w:trPr>
          <w:trHeight w:val="630"/>
        </w:trPr>
        <w:tc>
          <w:tcPr>
            <w:tcW w:w="4071" w:type="dxa"/>
            <w:tcBorders>
              <w:top w:val="single" w:sz="4" w:space="0" w:color="auto"/>
              <w:left w:val="single" w:sz="4" w:space="0" w:color="auto"/>
              <w:bottom w:val="single" w:sz="4" w:space="0" w:color="auto"/>
              <w:right w:val="single" w:sz="4" w:space="0" w:color="auto"/>
            </w:tcBorders>
            <w:shd w:val="clear" w:color="auto" w:fill="auto"/>
            <w:vAlign w:val="center"/>
          </w:tcPr>
          <w:p w14:paraId="162D9373" w14:textId="77777777" w:rsidR="00951A61" w:rsidRPr="0089418D" w:rsidRDefault="00951A61" w:rsidP="00A4032F">
            <w:pPr>
              <w:jc w:val="center"/>
              <w:rPr>
                <w:rFonts w:ascii="Tahoma" w:hAnsi="Tahoma" w:cs="Tahoma"/>
                <w:b/>
                <w:sz w:val="20"/>
                <w:szCs w:val="20"/>
              </w:rPr>
            </w:pPr>
            <w:r w:rsidRPr="0089418D">
              <w:rPr>
                <w:rFonts w:ascii="Tahoma" w:hAnsi="Tahoma" w:cs="Tahoma"/>
                <w:b/>
                <w:sz w:val="20"/>
                <w:szCs w:val="20"/>
              </w:rPr>
              <w:t>Дата, начиная с которой начисляются проценты за пользование Кредитом, или порядок ее определения</w:t>
            </w:r>
          </w:p>
        </w:tc>
        <w:tc>
          <w:tcPr>
            <w:tcW w:w="11594" w:type="dxa"/>
            <w:tcBorders>
              <w:top w:val="single" w:sz="4" w:space="0" w:color="auto"/>
              <w:left w:val="single" w:sz="4" w:space="0" w:color="auto"/>
              <w:bottom w:val="single" w:sz="4" w:space="0" w:color="auto"/>
              <w:right w:val="single" w:sz="4" w:space="0" w:color="auto"/>
            </w:tcBorders>
            <w:shd w:val="clear" w:color="auto" w:fill="auto"/>
            <w:vAlign w:val="center"/>
          </w:tcPr>
          <w:p w14:paraId="6D7E604B" w14:textId="77777777" w:rsidR="00951A61" w:rsidRPr="0089418D" w:rsidRDefault="00951A61" w:rsidP="00A4032F">
            <w:pPr>
              <w:ind w:firstLine="425"/>
              <w:jc w:val="both"/>
              <w:rPr>
                <w:rFonts w:ascii="Tahoma" w:hAnsi="Tahoma" w:cs="Tahoma"/>
                <w:sz w:val="20"/>
                <w:szCs w:val="20"/>
              </w:rPr>
            </w:pPr>
            <w:r w:rsidRPr="0089418D">
              <w:rPr>
                <w:rFonts w:ascii="Tahoma" w:hAnsi="Tahoma" w:cs="Tahoma"/>
                <w:sz w:val="20"/>
                <w:szCs w:val="20"/>
              </w:rPr>
              <w:t>Дата, следующая за датой выдачи Банком Заёмщику Кредита</w:t>
            </w:r>
          </w:p>
        </w:tc>
      </w:tr>
      <w:tr w:rsidR="00951A61" w:rsidRPr="0089418D" w14:paraId="51FD9C5C" w14:textId="77777777" w:rsidTr="00A4032F">
        <w:trPr>
          <w:trHeight w:val="630"/>
        </w:trPr>
        <w:tc>
          <w:tcPr>
            <w:tcW w:w="4071" w:type="dxa"/>
            <w:tcBorders>
              <w:top w:val="single" w:sz="4" w:space="0" w:color="auto"/>
              <w:left w:val="single" w:sz="4" w:space="0" w:color="auto"/>
              <w:bottom w:val="single" w:sz="4" w:space="0" w:color="auto"/>
              <w:right w:val="single" w:sz="4" w:space="0" w:color="auto"/>
            </w:tcBorders>
            <w:shd w:val="clear" w:color="auto" w:fill="auto"/>
            <w:vAlign w:val="center"/>
          </w:tcPr>
          <w:p w14:paraId="6C0EB041" w14:textId="77777777" w:rsidR="00951A61" w:rsidRPr="0089418D" w:rsidRDefault="00951A61" w:rsidP="00A4032F">
            <w:pPr>
              <w:jc w:val="center"/>
              <w:rPr>
                <w:rFonts w:ascii="Tahoma" w:hAnsi="Tahoma" w:cs="Tahoma"/>
                <w:b/>
                <w:sz w:val="20"/>
                <w:szCs w:val="20"/>
              </w:rPr>
            </w:pPr>
            <w:r w:rsidRPr="0089418D">
              <w:rPr>
                <w:rFonts w:ascii="Tahoma" w:hAnsi="Tahoma" w:cs="Tahoma"/>
                <w:b/>
                <w:sz w:val="20"/>
                <w:szCs w:val="20"/>
              </w:rPr>
              <w:t xml:space="preserve">Периодичность платежей Заемщика при возврате </w:t>
            </w:r>
            <w:r>
              <w:rPr>
                <w:rFonts w:ascii="Tahoma" w:hAnsi="Tahoma" w:cs="Tahoma"/>
                <w:b/>
                <w:sz w:val="20"/>
                <w:szCs w:val="20"/>
              </w:rPr>
              <w:t>потребительского  к</w:t>
            </w:r>
            <w:r w:rsidRPr="0089418D">
              <w:rPr>
                <w:rFonts w:ascii="Tahoma" w:hAnsi="Tahoma" w:cs="Tahoma"/>
                <w:b/>
                <w:sz w:val="20"/>
                <w:szCs w:val="20"/>
              </w:rPr>
              <w:t xml:space="preserve">редита, уплате процентов и иных платежей по </w:t>
            </w:r>
            <w:r>
              <w:rPr>
                <w:rFonts w:ascii="Tahoma" w:hAnsi="Tahoma" w:cs="Tahoma"/>
                <w:b/>
                <w:sz w:val="20"/>
                <w:szCs w:val="20"/>
              </w:rPr>
              <w:t>нему</w:t>
            </w:r>
          </w:p>
        </w:tc>
        <w:tc>
          <w:tcPr>
            <w:tcW w:w="11594" w:type="dxa"/>
            <w:tcBorders>
              <w:top w:val="single" w:sz="4" w:space="0" w:color="auto"/>
              <w:left w:val="single" w:sz="4" w:space="0" w:color="auto"/>
              <w:bottom w:val="single" w:sz="4" w:space="0" w:color="auto"/>
              <w:right w:val="single" w:sz="4" w:space="0" w:color="auto"/>
            </w:tcBorders>
            <w:shd w:val="clear" w:color="auto" w:fill="auto"/>
            <w:vAlign w:val="center"/>
          </w:tcPr>
          <w:p w14:paraId="0A8CAE0B" w14:textId="77777777" w:rsidR="00951A61" w:rsidRPr="0089418D" w:rsidRDefault="00951A61" w:rsidP="00A4032F">
            <w:pPr>
              <w:ind w:firstLine="425"/>
              <w:jc w:val="both"/>
              <w:rPr>
                <w:rFonts w:ascii="Tahoma" w:hAnsi="Tahoma" w:cs="Tahoma"/>
                <w:sz w:val="20"/>
                <w:szCs w:val="20"/>
              </w:rPr>
            </w:pPr>
            <w:r w:rsidRPr="0089418D">
              <w:rPr>
                <w:rFonts w:ascii="Tahoma" w:hAnsi="Tahoma" w:cs="Tahoma"/>
                <w:sz w:val="20"/>
                <w:szCs w:val="20"/>
              </w:rPr>
              <w:t>Ежемесячно аннуитетными (равными) платежами (кроме платежей за первый и последний процентные периоды)</w:t>
            </w:r>
          </w:p>
        </w:tc>
      </w:tr>
      <w:tr w:rsidR="00951A61" w:rsidRPr="0089418D" w14:paraId="0CC0D2F4" w14:textId="77777777" w:rsidTr="00A4032F">
        <w:trPr>
          <w:trHeight w:val="281"/>
        </w:trPr>
        <w:tc>
          <w:tcPr>
            <w:tcW w:w="4071" w:type="dxa"/>
            <w:tcBorders>
              <w:top w:val="single" w:sz="4" w:space="0" w:color="auto"/>
              <w:left w:val="single" w:sz="4" w:space="0" w:color="auto"/>
              <w:bottom w:val="single" w:sz="4" w:space="0" w:color="auto"/>
              <w:right w:val="single" w:sz="4" w:space="0" w:color="auto"/>
            </w:tcBorders>
            <w:shd w:val="clear" w:color="auto" w:fill="auto"/>
            <w:vAlign w:val="center"/>
          </w:tcPr>
          <w:p w14:paraId="09645063" w14:textId="77777777" w:rsidR="00951A61" w:rsidRPr="0089418D" w:rsidRDefault="00951A61" w:rsidP="00A4032F">
            <w:pPr>
              <w:jc w:val="center"/>
              <w:rPr>
                <w:rFonts w:ascii="Tahoma" w:hAnsi="Tahoma" w:cs="Tahoma"/>
                <w:b/>
                <w:sz w:val="20"/>
                <w:szCs w:val="20"/>
              </w:rPr>
            </w:pPr>
            <w:r w:rsidRPr="0089418D">
              <w:rPr>
                <w:rFonts w:ascii="Tahoma" w:hAnsi="Tahoma" w:cs="Tahoma"/>
                <w:b/>
                <w:sz w:val="20"/>
                <w:szCs w:val="20"/>
              </w:rPr>
              <w:t>Способы возврата Кредита и уплаты процентов по нему</w:t>
            </w:r>
          </w:p>
        </w:tc>
        <w:tc>
          <w:tcPr>
            <w:tcW w:w="11594" w:type="dxa"/>
            <w:tcBorders>
              <w:top w:val="single" w:sz="4" w:space="0" w:color="auto"/>
              <w:left w:val="single" w:sz="4" w:space="0" w:color="auto"/>
              <w:bottom w:val="single" w:sz="4" w:space="0" w:color="auto"/>
              <w:right w:val="single" w:sz="4" w:space="0" w:color="auto"/>
            </w:tcBorders>
            <w:shd w:val="clear" w:color="auto" w:fill="auto"/>
            <w:vAlign w:val="center"/>
          </w:tcPr>
          <w:p w14:paraId="686CAD12" w14:textId="77777777" w:rsidR="00951A61" w:rsidRPr="0089418D" w:rsidRDefault="00951A61" w:rsidP="00A4032F">
            <w:pPr>
              <w:ind w:firstLine="425"/>
              <w:jc w:val="both"/>
              <w:rPr>
                <w:rFonts w:ascii="Tahoma" w:hAnsi="Tahoma" w:cs="Tahoma"/>
                <w:sz w:val="20"/>
                <w:szCs w:val="20"/>
              </w:rPr>
            </w:pPr>
            <w:r w:rsidRPr="0089418D">
              <w:rPr>
                <w:rFonts w:ascii="Tahoma" w:hAnsi="Tahoma" w:cs="Tahoma"/>
                <w:sz w:val="20"/>
                <w:szCs w:val="20"/>
              </w:rPr>
              <w:t>Банк не ограничивает заемщиков в выборе способа внесения платежа или организации, оказывающей услуги по перечислению платежей.</w:t>
            </w:r>
          </w:p>
          <w:p w14:paraId="2C3873D7" w14:textId="77777777" w:rsidR="00951A61" w:rsidRPr="0089418D" w:rsidRDefault="00951A61" w:rsidP="00A4032F">
            <w:pPr>
              <w:ind w:firstLine="425"/>
              <w:jc w:val="both"/>
              <w:rPr>
                <w:rFonts w:ascii="Tahoma" w:hAnsi="Tahoma" w:cs="Tahoma"/>
                <w:sz w:val="20"/>
                <w:szCs w:val="20"/>
              </w:rPr>
            </w:pPr>
            <w:r w:rsidRPr="0089418D">
              <w:rPr>
                <w:rFonts w:ascii="Tahoma" w:hAnsi="Tahoma" w:cs="Tahoma"/>
                <w:sz w:val="20"/>
                <w:szCs w:val="20"/>
              </w:rPr>
              <w:t>Исполнение Заемщиком обязательств по Кредитному договору (в т.ч. при досрочном возврате Кредита) производится путем внесения денежных средств на ТБС в сумме обязательства и не позднее срока платежа, указанных в Кредитном договоре, любым из перечисленных в настоящем пункте, способов: через терминалы самообслуживания, кассы Банка</w:t>
            </w:r>
            <w:r>
              <w:rPr>
                <w:rFonts w:ascii="Tahoma" w:hAnsi="Tahoma" w:cs="Tahoma"/>
                <w:sz w:val="20"/>
                <w:szCs w:val="20"/>
              </w:rPr>
              <w:t>,</w:t>
            </w:r>
            <w:r w:rsidRPr="0089418D">
              <w:rPr>
                <w:rFonts w:ascii="Tahoma" w:hAnsi="Tahoma" w:cs="Tahoma"/>
                <w:sz w:val="20"/>
                <w:szCs w:val="20"/>
              </w:rPr>
              <w:t xml:space="preserve"> посредством перевода денежных средств через иные кредитные организации, АО «Почта России» (по предусмотренным ими тарифам). Могут использоваться иные, не противоречащие законодательству РФ, способы. Если установленный </w:t>
            </w:r>
            <w:r>
              <w:rPr>
                <w:rFonts w:ascii="Tahoma" w:hAnsi="Tahoma" w:cs="Tahoma"/>
                <w:sz w:val="20"/>
                <w:szCs w:val="20"/>
              </w:rPr>
              <w:t>Кредитным д</w:t>
            </w:r>
            <w:r w:rsidRPr="0089418D">
              <w:rPr>
                <w:rFonts w:ascii="Tahoma" w:hAnsi="Tahoma" w:cs="Tahoma"/>
                <w:sz w:val="20"/>
                <w:szCs w:val="20"/>
              </w:rPr>
              <w:t>оговором последний день срока платежа отсутствует в календарном месяце, Заемщик обязан внести денежные средства на ТБС не позднее последнего календарного рабочего дня месяца; если последний день срока платежа приходится на выходные/нерабочие праздничные дни, Заемщик обязан внести денежные средства на ТБС не позднее 1-го рабочего дня, следующего за выходным /нерабочим праздничным днем. Указанная обязанность должна быть исполнена Заемщиком в операционный день Банка</w:t>
            </w:r>
          </w:p>
        </w:tc>
      </w:tr>
      <w:tr w:rsidR="00951A61" w:rsidRPr="0089418D" w14:paraId="5F0B781B" w14:textId="77777777" w:rsidTr="00A4032F">
        <w:trPr>
          <w:trHeight w:val="875"/>
        </w:trPr>
        <w:tc>
          <w:tcPr>
            <w:tcW w:w="4071" w:type="dxa"/>
            <w:tcBorders>
              <w:top w:val="single" w:sz="4" w:space="0" w:color="auto"/>
              <w:left w:val="single" w:sz="4" w:space="0" w:color="auto"/>
              <w:bottom w:val="single" w:sz="4" w:space="0" w:color="auto"/>
              <w:right w:val="single" w:sz="4" w:space="0" w:color="auto"/>
            </w:tcBorders>
            <w:shd w:val="clear" w:color="auto" w:fill="auto"/>
            <w:vAlign w:val="center"/>
          </w:tcPr>
          <w:p w14:paraId="5C6997EE" w14:textId="77777777" w:rsidR="00951A61" w:rsidRPr="0089418D" w:rsidRDefault="00951A61" w:rsidP="00A4032F">
            <w:pPr>
              <w:jc w:val="center"/>
              <w:rPr>
                <w:rFonts w:ascii="Tahoma" w:hAnsi="Tahoma" w:cs="Tahoma"/>
                <w:b/>
                <w:sz w:val="20"/>
                <w:szCs w:val="20"/>
              </w:rPr>
            </w:pPr>
            <w:r w:rsidRPr="0089418D">
              <w:rPr>
                <w:rFonts w:ascii="Tahoma" w:hAnsi="Tahoma" w:cs="Tahoma"/>
                <w:b/>
                <w:color w:val="000000"/>
                <w:sz w:val="20"/>
                <w:szCs w:val="20"/>
              </w:rPr>
              <w:t xml:space="preserve">Бесплатный способ исполнения Заемщиком обязательств по </w:t>
            </w:r>
            <w:r>
              <w:rPr>
                <w:rFonts w:ascii="Tahoma" w:hAnsi="Tahoma" w:cs="Tahoma"/>
                <w:b/>
                <w:color w:val="000000"/>
                <w:sz w:val="20"/>
                <w:szCs w:val="20"/>
              </w:rPr>
              <w:t>договору потребительского</w:t>
            </w:r>
            <w:r w:rsidRPr="0089418D">
              <w:rPr>
                <w:rFonts w:ascii="Tahoma" w:hAnsi="Tahoma" w:cs="Tahoma"/>
                <w:b/>
                <w:color w:val="000000"/>
                <w:sz w:val="20"/>
                <w:szCs w:val="20"/>
              </w:rPr>
              <w:t xml:space="preserve"> </w:t>
            </w:r>
            <w:r>
              <w:rPr>
                <w:rFonts w:ascii="Tahoma" w:hAnsi="Tahoma" w:cs="Tahoma"/>
                <w:b/>
                <w:color w:val="000000"/>
                <w:sz w:val="20"/>
                <w:szCs w:val="20"/>
              </w:rPr>
              <w:t>кредита</w:t>
            </w:r>
          </w:p>
        </w:tc>
        <w:tc>
          <w:tcPr>
            <w:tcW w:w="11594" w:type="dxa"/>
            <w:tcBorders>
              <w:top w:val="single" w:sz="4" w:space="0" w:color="auto"/>
              <w:left w:val="single" w:sz="4" w:space="0" w:color="auto"/>
              <w:bottom w:val="single" w:sz="4" w:space="0" w:color="auto"/>
              <w:right w:val="single" w:sz="4" w:space="0" w:color="auto"/>
            </w:tcBorders>
            <w:shd w:val="clear" w:color="auto" w:fill="auto"/>
            <w:vAlign w:val="center"/>
          </w:tcPr>
          <w:p w14:paraId="59F675A1" w14:textId="77777777" w:rsidR="00951A61" w:rsidRPr="0089418D" w:rsidRDefault="00951A61" w:rsidP="00A4032F">
            <w:pPr>
              <w:ind w:firstLine="425"/>
              <w:jc w:val="both"/>
              <w:rPr>
                <w:rFonts w:ascii="Tahoma" w:hAnsi="Tahoma" w:cs="Tahoma"/>
                <w:sz w:val="20"/>
                <w:szCs w:val="20"/>
              </w:rPr>
            </w:pPr>
            <w:r w:rsidRPr="0089418D">
              <w:rPr>
                <w:rFonts w:ascii="Tahoma" w:hAnsi="Tahoma" w:cs="Tahoma"/>
                <w:sz w:val="20"/>
                <w:szCs w:val="20"/>
              </w:rPr>
              <w:t>Внесение денежных средств на ТБС через терминалы самообслуживания Банка, перевод через работодателя Заемщика, перевод со счёта в Банке на ТБС Заемщика</w:t>
            </w:r>
          </w:p>
        </w:tc>
      </w:tr>
      <w:tr w:rsidR="00951A61" w:rsidRPr="0089418D" w14:paraId="1E4E0CCF" w14:textId="77777777" w:rsidTr="00A4032F">
        <w:trPr>
          <w:trHeight w:val="645"/>
        </w:trPr>
        <w:tc>
          <w:tcPr>
            <w:tcW w:w="4071" w:type="dxa"/>
            <w:tcBorders>
              <w:top w:val="single" w:sz="4" w:space="0" w:color="auto"/>
              <w:left w:val="single" w:sz="4" w:space="0" w:color="auto"/>
              <w:bottom w:val="single" w:sz="4" w:space="0" w:color="auto"/>
              <w:right w:val="single" w:sz="4" w:space="0" w:color="auto"/>
            </w:tcBorders>
            <w:shd w:val="clear" w:color="auto" w:fill="auto"/>
            <w:vAlign w:val="center"/>
          </w:tcPr>
          <w:p w14:paraId="560B7CBF" w14:textId="77777777" w:rsidR="00951A61" w:rsidRPr="0089418D" w:rsidRDefault="00951A61" w:rsidP="00A4032F">
            <w:pPr>
              <w:jc w:val="center"/>
              <w:rPr>
                <w:rFonts w:ascii="Tahoma" w:hAnsi="Tahoma" w:cs="Tahoma"/>
                <w:b/>
                <w:sz w:val="20"/>
                <w:szCs w:val="20"/>
              </w:rPr>
            </w:pPr>
            <w:r w:rsidRPr="0089418D">
              <w:rPr>
                <w:rFonts w:ascii="Tahoma" w:hAnsi="Tahoma" w:cs="Tahoma"/>
                <w:b/>
                <w:sz w:val="20"/>
                <w:szCs w:val="20"/>
              </w:rPr>
              <w:t xml:space="preserve">Ответственность Заемщика за ненадлежащее исполнение условий </w:t>
            </w:r>
            <w:r>
              <w:rPr>
                <w:rFonts w:ascii="Tahoma" w:hAnsi="Tahoma" w:cs="Tahoma"/>
                <w:b/>
                <w:sz w:val="20"/>
                <w:szCs w:val="20"/>
              </w:rPr>
              <w:t>д</w:t>
            </w:r>
            <w:r w:rsidRPr="0089418D">
              <w:rPr>
                <w:rFonts w:ascii="Tahoma" w:hAnsi="Tahoma" w:cs="Tahoma"/>
                <w:b/>
                <w:sz w:val="20"/>
                <w:szCs w:val="20"/>
              </w:rPr>
              <w:t>оговора</w:t>
            </w:r>
            <w:r>
              <w:rPr>
                <w:rFonts w:ascii="Tahoma" w:hAnsi="Tahoma" w:cs="Tahoma"/>
                <w:b/>
                <w:sz w:val="20"/>
                <w:szCs w:val="20"/>
              </w:rPr>
              <w:t xml:space="preserve"> потребительского кредита</w:t>
            </w:r>
            <w:r w:rsidRPr="0089418D">
              <w:rPr>
                <w:rFonts w:ascii="Tahoma" w:hAnsi="Tahoma" w:cs="Tahoma"/>
                <w:b/>
                <w:sz w:val="20"/>
                <w:szCs w:val="20"/>
              </w:rPr>
              <w:t>, размер</w:t>
            </w:r>
            <w:r>
              <w:rPr>
                <w:rFonts w:ascii="Tahoma" w:hAnsi="Tahoma" w:cs="Tahoma"/>
                <w:b/>
                <w:sz w:val="20"/>
                <w:szCs w:val="20"/>
              </w:rPr>
              <w:t>ы</w:t>
            </w:r>
            <w:r w:rsidRPr="0089418D">
              <w:rPr>
                <w:rFonts w:ascii="Tahoma" w:hAnsi="Tahoma" w:cs="Tahoma"/>
                <w:b/>
                <w:sz w:val="20"/>
                <w:szCs w:val="20"/>
              </w:rPr>
              <w:t xml:space="preserve"> неустойки </w:t>
            </w:r>
            <w:r w:rsidRPr="0089418D">
              <w:rPr>
                <w:rFonts w:ascii="Tahoma" w:hAnsi="Tahoma" w:cs="Tahoma"/>
                <w:b/>
                <w:sz w:val="20"/>
                <w:szCs w:val="20"/>
              </w:rPr>
              <w:lastRenderedPageBreak/>
              <w:t>(штрафа, пени)</w:t>
            </w:r>
            <w:r>
              <w:rPr>
                <w:rFonts w:ascii="Tahoma" w:hAnsi="Tahoma" w:cs="Tahoma"/>
                <w:b/>
                <w:sz w:val="20"/>
                <w:szCs w:val="20"/>
              </w:rPr>
              <w:t xml:space="preserve">, </w:t>
            </w:r>
            <w:r w:rsidRPr="0089418D">
              <w:rPr>
                <w:rFonts w:ascii="Tahoma" w:hAnsi="Tahoma" w:cs="Tahoma"/>
                <w:b/>
                <w:sz w:val="20"/>
                <w:szCs w:val="20"/>
              </w:rPr>
              <w:t xml:space="preserve"> порядок </w:t>
            </w:r>
            <w:r>
              <w:rPr>
                <w:rFonts w:ascii="Tahoma" w:hAnsi="Tahoma" w:cs="Tahoma"/>
                <w:b/>
                <w:sz w:val="20"/>
                <w:szCs w:val="20"/>
              </w:rPr>
              <w:t xml:space="preserve">расчета, </w:t>
            </w:r>
            <w:r>
              <w:rPr>
                <w:rFonts w:ascii="Tahoma" w:hAnsi="Tahoma" w:cs="Tahoma"/>
                <w:b/>
                <w:bCs/>
                <w:sz w:val="20"/>
                <w:szCs w:val="20"/>
              </w:rPr>
              <w:t>а также информация о том, в каких случаях данные санкции могут быть применены</w:t>
            </w:r>
          </w:p>
        </w:tc>
        <w:tc>
          <w:tcPr>
            <w:tcW w:w="11594" w:type="dxa"/>
            <w:tcBorders>
              <w:top w:val="single" w:sz="4" w:space="0" w:color="auto"/>
              <w:left w:val="nil"/>
              <w:bottom w:val="single" w:sz="4" w:space="0" w:color="auto"/>
              <w:right w:val="single" w:sz="4" w:space="0" w:color="auto"/>
            </w:tcBorders>
            <w:shd w:val="clear" w:color="auto" w:fill="auto"/>
            <w:vAlign w:val="center"/>
          </w:tcPr>
          <w:p w14:paraId="11BD9C88" w14:textId="77777777" w:rsidR="00951A61" w:rsidRPr="0089418D" w:rsidRDefault="00951A61" w:rsidP="00A4032F">
            <w:pPr>
              <w:ind w:firstLine="425"/>
              <w:jc w:val="both"/>
              <w:rPr>
                <w:rFonts w:ascii="Tahoma" w:hAnsi="Tahoma" w:cs="Tahoma"/>
                <w:sz w:val="20"/>
                <w:szCs w:val="20"/>
              </w:rPr>
            </w:pPr>
            <w:r w:rsidRPr="0089418D">
              <w:rPr>
                <w:rFonts w:ascii="Tahoma" w:hAnsi="Tahoma" w:cs="Tahoma"/>
                <w:sz w:val="20"/>
                <w:szCs w:val="20"/>
              </w:rPr>
              <w:lastRenderedPageBreak/>
              <w:t>При ненадлежащем исполнении Кредитного договора (в соответствии с условиями Кредитного договора и законодательством РФ) Кредитор вправе:</w:t>
            </w:r>
          </w:p>
          <w:p w14:paraId="322ACB86" w14:textId="77777777" w:rsidR="00951A61" w:rsidRPr="0089418D" w:rsidRDefault="00951A61" w:rsidP="00A4032F">
            <w:pPr>
              <w:ind w:firstLine="425"/>
              <w:jc w:val="both"/>
              <w:rPr>
                <w:rFonts w:ascii="Tahoma" w:hAnsi="Tahoma" w:cs="Tahoma"/>
                <w:sz w:val="20"/>
                <w:szCs w:val="20"/>
              </w:rPr>
            </w:pPr>
            <w:r w:rsidRPr="0089418D">
              <w:rPr>
                <w:rFonts w:ascii="Tahoma" w:hAnsi="Tahoma" w:cs="Tahoma"/>
                <w:sz w:val="20"/>
                <w:szCs w:val="20"/>
              </w:rPr>
              <w:t>- потребовать от заемщика полного досрочного исполнения обязательств по Кредитному договору (возврата суммы кредитных средств, процентов и суммы неустойки (пени);</w:t>
            </w:r>
          </w:p>
          <w:p w14:paraId="2ECE9D69" w14:textId="77777777" w:rsidR="00951A61" w:rsidRPr="0089418D" w:rsidRDefault="00951A61" w:rsidP="00A4032F">
            <w:pPr>
              <w:ind w:firstLine="425"/>
              <w:jc w:val="both"/>
              <w:rPr>
                <w:rFonts w:ascii="Tahoma" w:hAnsi="Tahoma" w:cs="Tahoma"/>
                <w:sz w:val="20"/>
                <w:szCs w:val="20"/>
              </w:rPr>
            </w:pPr>
            <w:r w:rsidRPr="0089418D">
              <w:rPr>
                <w:rFonts w:ascii="Tahoma" w:hAnsi="Tahoma" w:cs="Tahoma"/>
                <w:sz w:val="20"/>
                <w:szCs w:val="20"/>
              </w:rPr>
              <w:lastRenderedPageBreak/>
              <w:t xml:space="preserve">- обратить взыскание на </w:t>
            </w:r>
            <w:r>
              <w:rPr>
                <w:rFonts w:ascii="Tahoma" w:hAnsi="Tahoma" w:cs="Tahoma"/>
                <w:sz w:val="20"/>
                <w:szCs w:val="20"/>
              </w:rPr>
              <w:t>П</w:t>
            </w:r>
            <w:r w:rsidRPr="0089418D">
              <w:rPr>
                <w:rFonts w:ascii="Tahoma" w:hAnsi="Tahoma" w:cs="Tahoma"/>
                <w:sz w:val="20"/>
                <w:szCs w:val="20"/>
              </w:rPr>
              <w:t>редмет ипотеки при неисполнении заемщиком требования о полном досрочном исполнении обязательств по Кредитному договору.</w:t>
            </w:r>
          </w:p>
          <w:p w14:paraId="477994CB" w14:textId="77777777" w:rsidR="00951A61" w:rsidRPr="0089418D" w:rsidRDefault="00951A61" w:rsidP="00A4032F">
            <w:pPr>
              <w:ind w:firstLine="425"/>
              <w:jc w:val="both"/>
              <w:rPr>
                <w:rFonts w:ascii="Tahoma" w:hAnsi="Tahoma" w:cs="Tahoma"/>
                <w:sz w:val="20"/>
                <w:szCs w:val="20"/>
              </w:rPr>
            </w:pPr>
            <w:r w:rsidRPr="0089418D">
              <w:rPr>
                <w:rFonts w:ascii="Tahoma" w:hAnsi="Tahoma" w:cs="Tahoma"/>
                <w:sz w:val="20"/>
                <w:szCs w:val="20"/>
              </w:rPr>
              <w:t xml:space="preserve">За неисполнение и (или) ненадлежащее исполнение Заемщиком по </w:t>
            </w:r>
            <w:r>
              <w:rPr>
                <w:rFonts w:ascii="Tahoma" w:hAnsi="Tahoma" w:cs="Tahoma"/>
                <w:sz w:val="20"/>
                <w:szCs w:val="20"/>
              </w:rPr>
              <w:t>Кредитному д</w:t>
            </w:r>
            <w:r w:rsidRPr="0089418D">
              <w:rPr>
                <w:rFonts w:ascii="Tahoma" w:hAnsi="Tahoma" w:cs="Tahoma"/>
                <w:sz w:val="20"/>
                <w:szCs w:val="20"/>
              </w:rPr>
              <w:t xml:space="preserve">оговору обязательств по возврату Кредита и(или) уплате процентов Заемщик уплачивает Кредитору неустойку в размере ключевой ставки Банка России, установленной на день заключения </w:t>
            </w:r>
            <w:r>
              <w:rPr>
                <w:rFonts w:ascii="Tahoma" w:hAnsi="Tahoma" w:cs="Tahoma"/>
                <w:sz w:val="20"/>
                <w:szCs w:val="20"/>
              </w:rPr>
              <w:t>Кредитного д</w:t>
            </w:r>
            <w:r w:rsidRPr="0089418D">
              <w:rPr>
                <w:rFonts w:ascii="Tahoma" w:hAnsi="Tahoma" w:cs="Tahoma"/>
                <w:sz w:val="20"/>
                <w:szCs w:val="20"/>
              </w:rPr>
              <w:t xml:space="preserve">оговора, с суммы просроченного платежа за период просрочки с даты, следующей за датой наступления исполнения обязательства, установленной </w:t>
            </w:r>
            <w:r>
              <w:rPr>
                <w:rFonts w:ascii="Tahoma" w:hAnsi="Tahoma" w:cs="Tahoma"/>
                <w:sz w:val="20"/>
                <w:szCs w:val="20"/>
              </w:rPr>
              <w:t>Кредитным д</w:t>
            </w:r>
            <w:r w:rsidRPr="0089418D">
              <w:rPr>
                <w:rFonts w:ascii="Tahoma" w:hAnsi="Tahoma" w:cs="Tahoma"/>
                <w:sz w:val="20"/>
                <w:szCs w:val="20"/>
              </w:rPr>
              <w:t xml:space="preserve">оговором, по дату погашения Просроченной кредитной задолженности по </w:t>
            </w:r>
            <w:r>
              <w:rPr>
                <w:rFonts w:ascii="Tahoma" w:hAnsi="Tahoma" w:cs="Tahoma"/>
                <w:sz w:val="20"/>
                <w:szCs w:val="20"/>
              </w:rPr>
              <w:t>Кредитному д</w:t>
            </w:r>
            <w:r w:rsidRPr="0089418D">
              <w:rPr>
                <w:rFonts w:ascii="Tahoma" w:hAnsi="Tahoma" w:cs="Tahoma"/>
                <w:sz w:val="20"/>
                <w:szCs w:val="20"/>
              </w:rPr>
              <w:t xml:space="preserve">оговору (включительно). </w:t>
            </w:r>
          </w:p>
        </w:tc>
      </w:tr>
      <w:tr w:rsidR="00951A61" w:rsidRPr="0089418D" w14:paraId="38A61E9D" w14:textId="77777777" w:rsidTr="00A4032F">
        <w:trPr>
          <w:trHeight w:val="645"/>
        </w:trPr>
        <w:tc>
          <w:tcPr>
            <w:tcW w:w="4071" w:type="dxa"/>
            <w:tcBorders>
              <w:top w:val="single" w:sz="4" w:space="0" w:color="auto"/>
              <w:left w:val="single" w:sz="4" w:space="0" w:color="auto"/>
              <w:bottom w:val="single" w:sz="4" w:space="0" w:color="auto"/>
              <w:right w:val="single" w:sz="4" w:space="0" w:color="auto"/>
            </w:tcBorders>
            <w:shd w:val="clear" w:color="auto" w:fill="auto"/>
            <w:vAlign w:val="center"/>
          </w:tcPr>
          <w:p w14:paraId="334E2B9B" w14:textId="77777777" w:rsidR="00951A61" w:rsidRPr="0089418D" w:rsidRDefault="00951A61" w:rsidP="00A4032F">
            <w:pPr>
              <w:jc w:val="center"/>
              <w:rPr>
                <w:rFonts w:ascii="Tahoma" w:hAnsi="Tahoma" w:cs="Tahoma"/>
                <w:b/>
                <w:sz w:val="20"/>
                <w:szCs w:val="20"/>
              </w:rPr>
            </w:pPr>
            <w:r w:rsidRPr="0089418D">
              <w:rPr>
                <w:rFonts w:ascii="Tahoma" w:hAnsi="Tahoma" w:cs="Tahoma"/>
                <w:b/>
                <w:sz w:val="20"/>
                <w:szCs w:val="20"/>
              </w:rPr>
              <w:lastRenderedPageBreak/>
              <w:t xml:space="preserve">Виды и суммы иных платежей Заемщика по </w:t>
            </w:r>
            <w:r>
              <w:rPr>
                <w:rFonts w:ascii="Tahoma" w:hAnsi="Tahoma" w:cs="Tahoma"/>
                <w:b/>
                <w:sz w:val="20"/>
                <w:szCs w:val="20"/>
              </w:rPr>
              <w:t>Кредитному д</w:t>
            </w:r>
            <w:r w:rsidRPr="0089418D">
              <w:rPr>
                <w:rFonts w:ascii="Tahoma" w:hAnsi="Tahoma" w:cs="Tahoma"/>
                <w:b/>
                <w:sz w:val="20"/>
                <w:szCs w:val="20"/>
              </w:rPr>
              <w:t>оговору</w:t>
            </w:r>
          </w:p>
        </w:tc>
        <w:tc>
          <w:tcPr>
            <w:tcW w:w="11594" w:type="dxa"/>
            <w:tcBorders>
              <w:top w:val="single" w:sz="4" w:space="0" w:color="auto"/>
              <w:left w:val="nil"/>
              <w:bottom w:val="single" w:sz="4" w:space="0" w:color="auto"/>
              <w:right w:val="single" w:sz="4" w:space="0" w:color="auto"/>
            </w:tcBorders>
            <w:shd w:val="clear" w:color="auto" w:fill="auto"/>
            <w:vAlign w:val="center"/>
          </w:tcPr>
          <w:p w14:paraId="58EB9AF2" w14:textId="77777777" w:rsidR="00951A61" w:rsidRPr="00951A61" w:rsidRDefault="00951A61" w:rsidP="00A4032F">
            <w:pPr>
              <w:ind w:firstLine="425"/>
              <w:jc w:val="both"/>
              <w:rPr>
                <w:rFonts w:ascii="Tahoma" w:hAnsi="Tahoma" w:cs="Tahoma"/>
                <w:sz w:val="20"/>
                <w:szCs w:val="20"/>
              </w:rPr>
            </w:pPr>
            <w:r w:rsidRPr="0089418D">
              <w:rPr>
                <w:rFonts w:ascii="Tahoma" w:hAnsi="Tahoma" w:cs="Tahoma"/>
                <w:sz w:val="20"/>
                <w:szCs w:val="20"/>
              </w:rPr>
              <w:t xml:space="preserve">При наличии </w:t>
            </w:r>
            <w:r>
              <w:rPr>
                <w:rFonts w:ascii="Tahoma" w:hAnsi="Tahoma" w:cs="Tahoma"/>
                <w:sz w:val="20"/>
                <w:szCs w:val="20"/>
              </w:rPr>
              <w:t>письменного согласия</w:t>
            </w:r>
            <w:r w:rsidRPr="0089418D">
              <w:rPr>
                <w:rFonts w:ascii="Tahoma" w:hAnsi="Tahoma" w:cs="Tahoma"/>
                <w:sz w:val="20"/>
                <w:szCs w:val="20"/>
              </w:rPr>
              <w:t xml:space="preserve"> Заемщика ему могут быть оказаны Банком следующие услуги, не являющиеся </w:t>
            </w:r>
            <w:r w:rsidRPr="00951A61">
              <w:rPr>
                <w:rFonts w:ascii="Tahoma" w:hAnsi="Tahoma" w:cs="Tahoma"/>
                <w:sz w:val="20"/>
                <w:szCs w:val="20"/>
              </w:rPr>
              <w:t>обязательными для заключения или исполнения Кредитного договора:</w:t>
            </w:r>
          </w:p>
          <w:p w14:paraId="61A4143F" w14:textId="77777777" w:rsidR="00951A61" w:rsidRPr="0089418D" w:rsidRDefault="00951A61" w:rsidP="00A4032F">
            <w:pPr>
              <w:ind w:firstLine="425"/>
              <w:jc w:val="both"/>
              <w:rPr>
                <w:rFonts w:ascii="Tahoma" w:hAnsi="Tahoma" w:cs="Tahoma"/>
                <w:sz w:val="20"/>
                <w:szCs w:val="20"/>
              </w:rPr>
            </w:pPr>
            <w:r w:rsidRPr="00951A61">
              <w:rPr>
                <w:rFonts w:ascii="Tahoma" w:hAnsi="Tahoma" w:cs="Tahoma"/>
                <w:sz w:val="20"/>
                <w:szCs w:val="20"/>
              </w:rPr>
              <w:t>Открытие аккредитива 1,0% от суммы аккредитива (макс. 5 000 рублей); прием, проверка Банком документов и исполнение аккредитива 1,0% от суммы аккредитива (макс. 5 000 рублей); платеж за выдачу дубликата или восстановление утерянного Кредитного договора 10 000 рублей за один экземпляр Кредитного договора; предлагаемый платеж за осуществление Банком мероприятий при составлении дополнительного соглашения к Кредитному договору по внесению изменений по инициативе Заемщика в условия Кредитного договора   500 рублей (плата взимается за услугу вне зависимости от количества измененных параметров</w:t>
            </w:r>
            <w:r w:rsidRPr="0089418D">
              <w:rPr>
                <w:rFonts w:ascii="Tahoma" w:hAnsi="Tahoma" w:cs="Tahoma"/>
                <w:sz w:val="20"/>
                <w:szCs w:val="20"/>
              </w:rPr>
              <w:t xml:space="preserve"> </w:t>
            </w:r>
            <w:r>
              <w:rPr>
                <w:rFonts w:ascii="Tahoma" w:hAnsi="Tahoma" w:cs="Tahoma"/>
                <w:sz w:val="20"/>
                <w:szCs w:val="20"/>
              </w:rPr>
              <w:t>Кредитного д</w:t>
            </w:r>
            <w:r w:rsidRPr="0089418D">
              <w:rPr>
                <w:rFonts w:ascii="Tahoma" w:hAnsi="Tahoma" w:cs="Tahoma"/>
                <w:sz w:val="20"/>
                <w:szCs w:val="20"/>
              </w:rPr>
              <w:t>оговора одновременно); платеж за внесение денежных средств на ТБС через терминалы самообслуживания производится бесплатно.</w:t>
            </w:r>
          </w:p>
          <w:p w14:paraId="6EA9A906" w14:textId="77777777" w:rsidR="00951A61" w:rsidRPr="0089418D" w:rsidRDefault="00951A61" w:rsidP="00A4032F">
            <w:pPr>
              <w:widowControl w:val="0"/>
              <w:tabs>
                <w:tab w:val="left" w:pos="426"/>
                <w:tab w:val="left" w:pos="851"/>
              </w:tabs>
              <w:ind w:firstLine="425"/>
              <w:jc w:val="both"/>
              <w:rPr>
                <w:rFonts w:ascii="Tahoma" w:hAnsi="Tahoma" w:cs="Tahoma"/>
                <w:sz w:val="20"/>
                <w:szCs w:val="20"/>
              </w:rPr>
            </w:pPr>
            <w:r w:rsidRPr="0089418D">
              <w:rPr>
                <w:rFonts w:ascii="Tahoma" w:hAnsi="Tahoma" w:cs="Tahoma"/>
                <w:sz w:val="20"/>
                <w:szCs w:val="20"/>
              </w:rPr>
              <w:t xml:space="preserve">Оказание услуги Банком производится в случае выражения Заемщиком </w:t>
            </w:r>
            <w:r>
              <w:rPr>
                <w:rFonts w:ascii="Tahoma" w:hAnsi="Tahoma" w:cs="Tahoma"/>
                <w:sz w:val="20"/>
                <w:szCs w:val="20"/>
              </w:rPr>
              <w:t>согласия</w:t>
            </w:r>
            <w:r w:rsidRPr="0089418D">
              <w:rPr>
                <w:rFonts w:ascii="Tahoma" w:hAnsi="Tahoma" w:cs="Tahoma"/>
                <w:sz w:val="20"/>
                <w:szCs w:val="20"/>
              </w:rPr>
              <w:t xml:space="preserve"> на пользование определенной услугой. Оплата услуг должна быть произведена до момента оказания Банком услуг.</w:t>
            </w:r>
          </w:p>
          <w:p w14:paraId="7DC639D8" w14:textId="77777777" w:rsidR="00951A61" w:rsidRPr="0089418D" w:rsidRDefault="00951A61" w:rsidP="00A4032F">
            <w:pPr>
              <w:widowControl w:val="0"/>
              <w:tabs>
                <w:tab w:val="left" w:pos="426"/>
                <w:tab w:val="left" w:pos="851"/>
              </w:tabs>
              <w:ind w:firstLine="425"/>
              <w:jc w:val="both"/>
              <w:rPr>
                <w:rFonts w:ascii="Tahoma" w:hAnsi="Tahoma" w:cs="Tahoma"/>
                <w:sz w:val="20"/>
                <w:szCs w:val="20"/>
              </w:rPr>
            </w:pPr>
            <w:r w:rsidRPr="0089418D">
              <w:rPr>
                <w:rFonts w:ascii="Tahoma" w:hAnsi="Tahoma" w:cs="Tahoma"/>
                <w:sz w:val="20"/>
                <w:szCs w:val="20"/>
              </w:rPr>
              <w:t xml:space="preserve">Помимо перечисленных платежей, Заемщиком, при наличии соответствующего </w:t>
            </w:r>
            <w:r>
              <w:rPr>
                <w:rFonts w:ascii="Tahoma" w:hAnsi="Tahoma" w:cs="Tahoma"/>
                <w:sz w:val="20"/>
                <w:szCs w:val="20"/>
              </w:rPr>
              <w:t>согласия</w:t>
            </w:r>
            <w:r w:rsidRPr="0089418D">
              <w:rPr>
                <w:rFonts w:ascii="Tahoma" w:hAnsi="Tahoma" w:cs="Tahoma"/>
                <w:sz w:val="20"/>
                <w:szCs w:val="20"/>
              </w:rPr>
              <w:t xml:space="preserve">, должны быть оплачены платежи в пользу третьих лиц: заключение договора с оценщиком на оказание услуг по подготовке отчета об оценке </w:t>
            </w:r>
            <w:r>
              <w:rPr>
                <w:rFonts w:ascii="Tahoma" w:hAnsi="Tahoma" w:cs="Tahoma"/>
                <w:sz w:val="20"/>
                <w:szCs w:val="20"/>
              </w:rPr>
              <w:t>1 800</w:t>
            </w:r>
            <w:r w:rsidRPr="0089418D">
              <w:rPr>
                <w:rFonts w:ascii="Tahoma" w:hAnsi="Tahoma" w:cs="Tahoma"/>
                <w:sz w:val="20"/>
                <w:szCs w:val="20"/>
              </w:rPr>
              <w:t>,00 рублей</w:t>
            </w:r>
            <w:r w:rsidRPr="0089418D">
              <w:rPr>
                <w:rStyle w:val="aff3"/>
                <w:rFonts w:ascii="Tahoma" w:hAnsi="Tahoma" w:cs="Tahoma"/>
                <w:sz w:val="20"/>
                <w:szCs w:val="20"/>
              </w:rPr>
              <w:footnoteReference w:id="28"/>
            </w:r>
            <w:r w:rsidRPr="0089418D">
              <w:rPr>
                <w:rFonts w:ascii="Tahoma" w:hAnsi="Tahoma" w:cs="Tahoma"/>
                <w:sz w:val="20"/>
                <w:szCs w:val="20"/>
              </w:rPr>
              <w:t>; платеж в пользу страховой компании с целью заключения договора/полиса имущественного страхования  в размере 0,15%</w:t>
            </w:r>
            <w:r w:rsidRPr="0089418D">
              <w:rPr>
                <w:rStyle w:val="aff3"/>
                <w:rFonts w:ascii="Tahoma" w:hAnsi="Tahoma" w:cs="Tahoma"/>
                <w:sz w:val="20"/>
                <w:szCs w:val="20"/>
              </w:rPr>
              <w:footnoteReference w:id="29"/>
            </w:r>
            <w:r w:rsidRPr="0089418D">
              <w:rPr>
                <w:rFonts w:ascii="Tahoma" w:hAnsi="Tahoma" w:cs="Tahoma"/>
                <w:sz w:val="20"/>
                <w:szCs w:val="20"/>
              </w:rPr>
              <w:t xml:space="preserve"> от денежного обязательства Заемщика, увеличенного на 10%.</w:t>
            </w:r>
          </w:p>
        </w:tc>
      </w:tr>
      <w:tr w:rsidR="00951A61" w:rsidRPr="0089418D" w14:paraId="079F5E62" w14:textId="77777777" w:rsidTr="00A4032F">
        <w:tblPrEx>
          <w:tblLook w:val="00A0" w:firstRow="1" w:lastRow="0" w:firstColumn="1" w:lastColumn="0" w:noHBand="0" w:noVBand="0"/>
        </w:tblPrEx>
        <w:trPr>
          <w:trHeight w:val="990"/>
        </w:trPr>
        <w:tc>
          <w:tcPr>
            <w:tcW w:w="4071" w:type="dxa"/>
            <w:tcBorders>
              <w:top w:val="single" w:sz="4" w:space="0" w:color="auto"/>
              <w:left w:val="single" w:sz="4" w:space="0" w:color="auto"/>
              <w:bottom w:val="single" w:sz="4" w:space="0" w:color="auto"/>
              <w:right w:val="single" w:sz="4" w:space="0" w:color="auto"/>
            </w:tcBorders>
            <w:shd w:val="clear" w:color="auto" w:fill="auto"/>
            <w:vAlign w:val="center"/>
          </w:tcPr>
          <w:p w14:paraId="57F12C59" w14:textId="77777777" w:rsidR="00951A61" w:rsidRPr="0089418D" w:rsidRDefault="00951A61" w:rsidP="00A4032F">
            <w:pPr>
              <w:widowControl w:val="0"/>
              <w:tabs>
                <w:tab w:val="left" w:pos="426"/>
                <w:tab w:val="left" w:pos="851"/>
              </w:tabs>
              <w:jc w:val="center"/>
              <w:rPr>
                <w:rFonts w:ascii="Tahoma" w:hAnsi="Tahoma" w:cs="Tahoma"/>
                <w:b/>
                <w:sz w:val="20"/>
                <w:szCs w:val="20"/>
              </w:rPr>
            </w:pPr>
            <w:r w:rsidRPr="0089418D">
              <w:rPr>
                <w:rFonts w:ascii="Tahoma" w:hAnsi="Tahoma" w:cs="Tahoma"/>
                <w:b/>
                <w:sz w:val="20"/>
                <w:szCs w:val="20"/>
              </w:rPr>
              <w:t xml:space="preserve">Требования к Заемщику, которые установлены Банком, и выполнение которых является обязательным для предоставления </w:t>
            </w:r>
            <w:r w:rsidRPr="00974F88">
              <w:rPr>
                <w:rFonts w:ascii="Tahoma" w:hAnsi="Tahoma" w:cs="Tahoma"/>
                <w:b/>
                <w:sz w:val="20"/>
                <w:szCs w:val="20"/>
              </w:rPr>
              <w:t>потребительского</w:t>
            </w:r>
            <w:r w:rsidRPr="00974F88" w:rsidDel="00974F88">
              <w:rPr>
                <w:rFonts w:ascii="Tahoma" w:hAnsi="Tahoma" w:cs="Tahoma"/>
                <w:b/>
                <w:sz w:val="20"/>
                <w:szCs w:val="20"/>
              </w:rPr>
              <w:t xml:space="preserve"> </w:t>
            </w:r>
            <w:r w:rsidRPr="0089418D">
              <w:rPr>
                <w:rFonts w:ascii="Tahoma" w:hAnsi="Tahoma" w:cs="Tahoma"/>
                <w:b/>
                <w:sz w:val="20"/>
                <w:szCs w:val="20"/>
              </w:rPr>
              <w:t>кредита</w:t>
            </w:r>
          </w:p>
        </w:tc>
        <w:tc>
          <w:tcPr>
            <w:tcW w:w="11594" w:type="dxa"/>
            <w:tcBorders>
              <w:top w:val="single" w:sz="4" w:space="0" w:color="auto"/>
              <w:left w:val="single" w:sz="4" w:space="0" w:color="auto"/>
              <w:bottom w:val="single" w:sz="4" w:space="0" w:color="auto"/>
              <w:right w:val="single" w:sz="4" w:space="0" w:color="auto"/>
            </w:tcBorders>
            <w:noWrap/>
            <w:vAlign w:val="center"/>
          </w:tcPr>
          <w:p w14:paraId="5A3F3ED4" w14:textId="77777777" w:rsidR="00951A61" w:rsidRPr="0089418D" w:rsidRDefault="00951A61" w:rsidP="00A4032F">
            <w:pPr>
              <w:ind w:firstLine="425"/>
              <w:jc w:val="both"/>
              <w:rPr>
                <w:rFonts w:ascii="Tahoma" w:hAnsi="Tahoma" w:cs="Tahoma"/>
                <w:sz w:val="20"/>
                <w:szCs w:val="20"/>
              </w:rPr>
            </w:pPr>
            <w:r w:rsidRPr="0089418D">
              <w:rPr>
                <w:rFonts w:ascii="Tahoma" w:hAnsi="Tahoma" w:cs="Tahoma"/>
                <w:sz w:val="20"/>
                <w:szCs w:val="20"/>
              </w:rPr>
              <w:t>Гражданство: Российская Федерация</w:t>
            </w:r>
          </w:p>
          <w:p w14:paraId="475A2574" w14:textId="77777777" w:rsidR="00951A61" w:rsidRPr="0089418D" w:rsidRDefault="00951A61" w:rsidP="00A4032F">
            <w:pPr>
              <w:ind w:firstLine="425"/>
              <w:jc w:val="both"/>
              <w:rPr>
                <w:rFonts w:ascii="Tahoma" w:hAnsi="Tahoma" w:cs="Tahoma"/>
                <w:sz w:val="20"/>
                <w:szCs w:val="20"/>
              </w:rPr>
            </w:pPr>
            <w:r w:rsidRPr="0089418D">
              <w:rPr>
                <w:rFonts w:ascii="Tahoma" w:hAnsi="Tahoma" w:cs="Tahoma"/>
                <w:sz w:val="20"/>
                <w:szCs w:val="20"/>
              </w:rPr>
              <w:t xml:space="preserve">Регистрация: наличие регистрации по месту жительства/пребывания, в том числе на территории субъекта РФ, где располагается Объект недвижимости, не является обязательным; </w:t>
            </w:r>
          </w:p>
          <w:p w14:paraId="685BB632" w14:textId="77777777" w:rsidR="00951A61" w:rsidRPr="0089418D" w:rsidRDefault="00951A61" w:rsidP="00A4032F">
            <w:pPr>
              <w:ind w:firstLine="425"/>
              <w:jc w:val="both"/>
              <w:rPr>
                <w:rFonts w:ascii="Tahoma" w:hAnsi="Tahoma" w:cs="Tahoma"/>
                <w:sz w:val="20"/>
                <w:szCs w:val="20"/>
              </w:rPr>
            </w:pPr>
            <w:r w:rsidRPr="00095120">
              <w:rPr>
                <w:rFonts w:ascii="Tahoma" w:hAnsi="Tahoma" w:cs="Tahoma"/>
                <w:sz w:val="20"/>
                <w:szCs w:val="20"/>
              </w:rPr>
              <w:t>Возраст: от 21 года до 75 лет (включительно) на момент полного погашения потребительского кредита</w:t>
            </w:r>
            <w:r w:rsidRPr="0089418D">
              <w:rPr>
                <w:rFonts w:ascii="Tahoma" w:hAnsi="Tahoma" w:cs="Tahoma"/>
                <w:sz w:val="20"/>
                <w:szCs w:val="20"/>
              </w:rPr>
              <w:t>. Допустимо привлечение Созаемщика в возрасте от 18 лет, если данный участник сделки является Залогодателем, либо супругом(-ой) Заемщика без подтверждённого дохода.</w:t>
            </w:r>
          </w:p>
          <w:p w14:paraId="21697AF3" w14:textId="77777777" w:rsidR="00951A61" w:rsidRPr="0089418D" w:rsidRDefault="00951A61" w:rsidP="00A4032F">
            <w:pPr>
              <w:ind w:firstLine="425"/>
              <w:jc w:val="both"/>
              <w:rPr>
                <w:rFonts w:ascii="Tahoma" w:hAnsi="Tahoma" w:cs="Tahoma"/>
                <w:sz w:val="20"/>
                <w:szCs w:val="20"/>
              </w:rPr>
            </w:pPr>
            <w:r w:rsidRPr="0089418D">
              <w:rPr>
                <w:rFonts w:ascii="Tahoma" w:hAnsi="Tahoma" w:cs="Tahoma"/>
                <w:sz w:val="20"/>
                <w:szCs w:val="20"/>
              </w:rPr>
              <w:t>Трудоустройство:</w:t>
            </w:r>
          </w:p>
          <w:p w14:paraId="669E8D7F" w14:textId="77777777" w:rsidR="00951A61" w:rsidRPr="0089418D" w:rsidRDefault="00951A61" w:rsidP="00A4032F">
            <w:pPr>
              <w:ind w:firstLine="425"/>
              <w:jc w:val="both"/>
              <w:rPr>
                <w:rFonts w:ascii="Tahoma" w:hAnsi="Tahoma" w:cs="Tahoma"/>
                <w:sz w:val="20"/>
                <w:szCs w:val="20"/>
              </w:rPr>
            </w:pPr>
            <w:r w:rsidRPr="0089418D">
              <w:rPr>
                <w:rFonts w:ascii="Tahoma" w:hAnsi="Tahoma" w:cs="Tahoma"/>
                <w:sz w:val="20"/>
                <w:szCs w:val="20"/>
              </w:rPr>
              <w:t>- наемные работники;</w:t>
            </w:r>
          </w:p>
          <w:p w14:paraId="6BA73D71" w14:textId="77777777" w:rsidR="00951A61" w:rsidRPr="00C837FF" w:rsidRDefault="00951A61" w:rsidP="00A4032F">
            <w:pPr>
              <w:ind w:firstLine="425"/>
              <w:jc w:val="both"/>
              <w:rPr>
                <w:rFonts w:ascii="Tahoma" w:hAnsi="Tahoma" w:cs="Tahoma"/>
                <w:sz w:val="20"/>
                <w:szCs w:val="20"/>
              </w:rPr>
            </w:pPr>
            <w:r w:rsidRPr="00C837FF">
              <w:rPr>
                <w:rFonts w:ascii="Tahoma" w:hAnsi="Tahoma" w:cs="Tahoma"/>
                <w:sz w:val="20"/>
                <w:szCs w:val="20"/>
              </w:rPr>
              <w:t>- индивидуальные предприниматели;</w:t>
            </w:r>
          </w:p>
          <w:p w14:paraId="09ECFF02" w14:textId="77777777" w:rsidR="00951A61" w:rsidRPr="00C837FF" w:rsidRDefault="00951A61" w:rsidP="00A4032F">
            <w:pPr>
              <w:ind w:firstLine="425"/>
              <w:jc w:val="both"/>
              <w:rPr>
                <w:rFonts w:ascii="Tahoma" w:hAnsi="Tahoma" w:cs="Tahoma"/>
                <w:sz w:val="20"/>
                <w:szCs w:val="20"/>
              </w:rPr>
            </w:pPr>
            <w:r w:rsidRPr="00C837FF">
              <w:rPr>
                <w:rFonts w:ascii="Tahoma" w:hAnsi="Tahoma" w:cs="Tahoma"/>
                <w:sz w:val="20"/>
                <w:szCs w:val="20"/>
              </w:rPr>
              <w:t>- физические лица, занимающиеся частной практикой;</w:t>
            </w:r>
          </w:p>
          <w:p w14:paraId="63FF9304" w14:textId="77777777" w:rsidR="00951A61" w:rsidRPr="00C837FF" w:rsidRDefault="00951A61" w:rsidP="00A4032F">
            <w:pPr>
              <w:ind w:firstLine="425"/>
              <w:jc w:val="both"/>
              <w:rPr>
                <w:rFonts w:ascii="Tahoma" w:hAnsi="Tahoma" w:cs="Tahoma"/>
                <w:sz w:val="20"/>
                <w:szCs w:val="20"/>
              </w:rPr>
            </w:pPr>
            <w:r w:rsidRPr="00C837FF">
              <w:rPr>
                <w:rFonts w:ascii="Tahoma" w:hAnsi="Tahoma" w:cs="Tahoma"/>
                <w:sz w:val="20"/>
                <w:szCs w:val="20"/>
              </w:rPr>
              <w:t>- физическое лицо — единоличный учредитель и исполнительный орган организации, ее единственный участник, собственник ее имущества;</w:t>
            </w:r>
          </w:p>
          <w:p w14:paraId="5EB7EF7F" w14:textId="77777777" w:rsidR="00951A61" w:rsidRPr="00C837FF" w:rsidRDefault="00951A61" w:rsidP="00A4032F">
            <w:pPr>
              <w:ind w:firstLine="425"/>
              <w:jc w:val="both"/>
              <w:rPr>
                <w:rFonts w:ascii="Tahoma" w:hAnsi="Tahoma" w:cs="Tahoma"/>
                <w:sz w:val="20"/>
                <w:szCs w:val="20"/>
              </w:rPr>
            </w:pPr>
            <w:r w:rsidRPr="00C837FF">
              <w:rPr>
                <w:rFonts w:ascii="Tahoma" w:hAnsi="Tahoma" w:cs="Tahoma"/>
                <w:sz w:val="20"/>
                <w:szCs w:val="20"/>
              </w:rPr>
              <w:t>- граждане</w:t>
            </w:r>
            <w:r w:rsidRPr="00C837FF">
              <w:rPr>
                <w:rFonts w:ascii="Tahoma" w:hAnsi="Tahoma" w:cs="Tahoma"/>
                <w:sz w:val="20"/>
              </w:rPr>
              <w:t>, применяющие специальный налоговый режим «налог на профессиональный доход» (далее – самозанятый)</w:t>
            </w:r>
            <w:r w:rsidRPr="00C837FF">
              <w:rPr>
                <w:rFonts w:ascii="Tahoma" w:hAnsi="Tahoma" w:cs="Tahoma"/>
                <w:sz w:val="20"/>
                <w:szCs w:val="20"/>
              </w:rPr>
              <w:t>;</w:t>
            </w:r>
          </w:p>
          <w:p w14:paraId="516BBC51" w14:textId="77777777" w:rsidR="00951A61" w:rsidRPr="0089418D" w:rsidRDefault="00951A61" w:rsidP="00A4032F">
            <w:pPr>
              <w:ind w:firstLine="425"/>
              <w:jc w:val="both"/>
              <w:rPr>
                <w:rFonts w:ascii="Tahoma" w:hAnsi="Tahoma" w:cs="Tahoma"/>
                <w:sz w:val="20"/>
                <w:szCs w:val="20"/>
              </w:rPr>
            </w:pPr>
            <w:r w:rsidRPr="00C837FF">
              <w:rPr>
                <w:rFonts w:ascii="Tahoma" w:hAnsi="Tahoma" w:cs="Tahoma"/>
                <w:sz w:val="20"/>
                <w:szCs w:val="20"/>
              </w:rPr>
              <w:lastRenderedPageBreak/>
              <w:t>- пенсионеры — лица, вышедшие</w:t>
            </w:r>
            <w:r w:rsidRPr="0089418D">
              <w:rPr>
                <w:rFonts w:ascii="Tahoma" w:hAnsi="Tahoma" w:cs="Tahoma"/>
                <w:sz w:val="20"/>
                <w:szCs w:val="20"/>
              </w:rPr>
              <w:t xml:space="preserve"> в отставку либо на пенсию.</w:t>
            </w:r>
          </w:p>
          <w:p w14:paraId="2D245FD2" w14:textId="77777777" w:rsidR="00951A61" w:rsidRPr="0089418D" w:rsidRDefault="00951A61" w:rsidP="00A4032F">
            <w:pPr>
              <w:ind w:firstLine="425"/>
              <w:jc w:val="both"/>
              <w:rPr>
                <w:rFonts w:ascii="Tahoma" w:hAnsi="Tahoma" w:cs="Tahoma"/>
                <w:sz w:val="20"/>
                <w:szCs w:val="20"/>
              </w:rPr>
            </w:pPr>
            <w:r w:rsidRPr="0089418D">
              <w:rPr>
                <w:rFonts w:ascii="Tahoma" w:hAnsi="Tahoma" w:cs="Tahoma"/>
                <w:sz w:val="20"/>
                <w:szCs w:val="20"/>
              </w:rPr>
              <w:t>Требования к доходу: заемщик имеет подтвержденный доход, соответствует требованиям Кредитора к кредитоспособности и платежеспособности.</w:t>
            </w:r>
          </w:p>
          <w:p w14:paraId="677CC072" w14:textId="77777777" w:rsidR="00951A61" w:rsidRPr="0089418D" w:rsidRDefault="00951A61" w:rsidP="00A4032F">
            <w:pPr>
              <w:ind w:firstLine="425"/>
              <w:jc w:val="both"/>
              <w:rPr>
                <w:rFonts w:ascii="Tahoma" w:hAnsi="Tahoma" w:cs="Tahoma"/>
                <w:sz w:val="20"/>
                <w:szCs w:val="20"/>
              </w:rPr>
            </w:pPr>
            <w:r w:rsidRPr="0089418D">
              <w:rPr>
                <w:rFonts w:ascii="Tahoma" w:hAnsi="Tahoma" w:cs="Tahoma"/>
                <w:sz w:val="20"/>
                <w:szCs w:val="20"/>
              </w:rPr>
              <w:t>Требования к трудовому стажу: к работникам по найму—не менее 3-х полных календарных месяцев на последнем месте работы, при условии, что испытательный срок пройден или отсутствует. Общий трудовой стаж Заемщика должен быть не менее 12 (двенадцати) месяцев на дату подачи Заявления/Согласий и заверений Заемщика в Банк (прохождение военной службы, получение пособия по временной нетрудоспособности, уход за ребенком до 1,5 лет, получение пособия по безработице, время переезда для дальнейшего трудоустройства не учитываются в общем трудовом стаже); к индивидуальным предпринимателям — безубыточная предпринимательская деятельность не менее 12-ти календарных месяцев для сезонного вида деятельности</w:t>
            </w:r>
            <w:r w:rsidRPr="0089418D">
              <w:rPr>
                <w:rStyle w:val="aff3"/>
                <w:rFonts w:ascii="Tahoma" w:hAnsi="Tahoma" w:cs="Tahoma"/>
                <w:sz w:val="20"/>
                <w:szCs w:val="20"/>
              </w:rPr>
              <w:footnoteReference w:id="30"/>
            </w:r>
            <w:r w:rsidRPr="0089418D">
              <w:rPr>
                <w:rFonts w:ascii="Tahoma" w:hAnsi="Tahoma" w:cs="Tahoma"/>
                <w:sz w:val="20"/>
                <w:szCs w:val="20"/>
              </w:rPr>
              <w:t xml:space="preserve">  и не менее 3-х месяцев по видам деятельности, которые не признаются «сезонными»; для самозанятых граждан Общий трудовой стаж должен быть не менее 12 (двенадцати) месяцев на дату подачи Заявления/Согласий и заверений Заемщика в Банк и не менее 6 (Шести) полных календарных месяцев, считая с даты постановки на учет в качестве самозанятого.</w:t>
            </w:r>
          </w:p>
          <w:p w14:paraId="37EFC85B" w14:textId="77777777" w:rsidR="00951A61" w:rsidRPr="0089418D" w:rsidRDefault="00951A61" w:rsidP="00A4032F">
            <w:pPr>
              <w:ind w:firstLine="425"/>
              <w:jc w:val="both"/>
              <w:rPr>
                <w:rFonts w:ascii="Tahoma" w:hAnsi="Tahoma" w:cs="Tahoma"/>
                <w:sz w:val="20"/>
                <w:szCs w:val="20"/>
              </w:rPr>
            </w:pPr>
          </w:p>
          <w:p w14:paraId="04E616F7" w14:textId="77777777" w:rsidR="00951A61" w:rsidRPr="0089418D" w:rsidRDefault="00951A61" w:rsidP="00A4032F">
            <w:pPr>
              <w:ind w:firstLine="425"/>
              <w:jc w:val="both"/>
              <w:rPr>
                <w:rFonts w:ascii="Tahoma" w:hAnsi="Tahoma" w:cs="Tahoma"/>
                <w:sz w:val="20"/>
                <w:szCs w:val="20"/>
              </w:rPr>
            </w:pPr>
            <w:r w:rsidRPr="0089418D">
              <w:rPr>
                <w:rFonts w:ascii="Tahoma" w:hAnsi="Tahoma" w:cs="Tahoma"/>
                <w:sz w:val="20"/>
                <w:szCs w:val="20"/>
              </w:rPr>
              <w:t>Состав заемщиков: число заемщиков по одному ипотечному кредиту — не более 4 человек.</w:t>
            </w:r>
          </w:p>
          <w:p w14:paraId="0A0BB549" w14:textId="77777777" w:rsidR="00951A61" w:rsidRPr="0089418D" w:rsidRDefault="00951A61" w:rsidP="00A4032F">
            <w:pPr>
              <w:ind w:firstLine="425"/>
              <w:jc w:val="both"/>
              <w:rPr>
                <w:rFonts w:ascii="Tahoma" w:hAnsi="Tahoma" w:cs="Tahoma"/>
                <w:sz w:val="20"/>
                <w:szCs w:val="20"/>
              </w:rPr>
            </w:pPr>
          </w:p>
          <w:p w14:paraId="7E3663CB" w14:textId="77777777" w:rsidR="00951A61" w:rsidRPr="0089418D" w:rsidRDefault="00951A61" w:rsidP="00A4032F">
            <w:pPr>
              <w:ind w:firstLine="425"/>
              <w:jc w:val="both"/>
              <w:rPr>
                <w:rFonts w:ascii="Tahoma" w:hAnsi="Tahoma" w:cs="Tahoma"/>
              </w:rPr>
            </w:pPr>
            <w:r w:rsidRPr="0089418D">
              <w:rPr>
                <w:rFonts w:ascii="Tahoma" w:hAnsi="Tahoma" w:cs="Tahoma"/>
                <w:sz w:val="20"/>
                <w:szCs w:val="20"/>
              </w:rPr>
              <w:t>Окончательное решение о соответствии заемщика требованиям Кредитора принимается в отношении каждого заемщика индивидуально на основании анализа представленных документов</w:t>
            </w:r>
          </w:p>
        </w:tc>
      </w:tr>
      <w:tr w:rsidR="00951A61" w:rsidRPr="0089418D" w14:paraId="0ABEA44A" w14:textId="77777777" w:rsidTr="00A4032F">
        <w:tblPrEx>
          <w:tblLook w:val="00A0" w:firstRow="1" w:lastRow="0" w:firstColumn="1" w:lastColumn="0" w:noHBand="0" w:noVBand="0"/>
        </w:tblPrEx>
        <w:trPr>
          <w:trHeight w:val="281"/>
        </w:trPr>
        <w:tc>
          <w:tcPr>
            <w:tcW w:w="4071" w:type="dxa"/>
            <w:tcBorders>
              <w:top w:val="single" w:sz="4" w:space="0" w:color="auto"/>
              <w:left w:val="single" w:sz="4" w:space="0" w:color="auto"/>
              <w:bottom w:val="single" w:sz="4" w:space="0" w:color="auto"/>
              <w:right w:val="single" w:sz="4" w:space="0" w:color="auto"/>
            </w:tcBorders>
            <w:shd w:val="clear" w:color="auto" w:fill="auto"/>
            <w:vAlign w:val="center"/>
          </w:tcPr>
          <w:p w14:paraId="07F47DFE" w14:textId="77777777" w:rsidR="00951A61" w:rsidRPr="0089418D" w:rsidRDefault="00951A61" w:rsidP="00A4032F">
            <w:pPr>
              <w:widowControl w:val="0"/>
              <w:tabs>
                <w:tab w:val="left" w:pos="426"/>
                <w:tab w:val="left" w:pos="851"/>
              </w:tabs>
              <w:jc w:val="center"/>
              <w:rPr>
                <w:rFonts w:ascii="Tahoma" w:hAnsi="Tahoma" w:cs="Tahoma"/>
                <w:b/>
                <w:sz w:val="20"/>
                <w:szCs w:val="20"/>
              </w:rPr>
            </w:pPr>
            <w:r w:rsidRPr="0089418D">
              <w:rPr>
                <w:rFonts w:ascii="Tahoma" w:hAnsi="Tahoma" w:cs="Tahoma"/>
                <w:b/>
                <w:sz w:val="20"/>
                <w:szCs w:val="20"/>
              </w:rPr>
              <w:lastRenderedPageBreak/>
              <w:t xml:space="preserve">Требования к Предмету Ипотеки, которые установлены Кредитором, и выполнение которых является обязательным для предоставления </w:t>
            </w:r>
            <w:r>
              <w:rPr>
                <w:rFonts w:ascii="Tahoma" w:hAnsi="Tahoma" w:cs="Tahoma"/>
                <w:b/>
                <w:sz w:val="20"/>
                <w:szCs w:val="20"/>
              </w:rPr>
              <w:t>потребительского</w:t>
            </w:r>
            <w:r w:rsidRPr="0089418D">
              <w:rPr>
                <w:rFonts w:ascii="Tahoma" w:hAnsi="Tahoma" w:cs="Tahoma"/>
                <w:b/>
                <w:sz w:val="20"/>
                <w:szCs w:val="20"/>
              </w:rPr>
              <w:t xml:space="preserve"> кредита</w:t>
            </w:r>
          </w:p>
        </w:tc>
        <w:tc>
          <w:tcPr>
            <w:tcW w:w="11594" w:type="dxa"/>
            <w:tcBorders>
              <w:top w:val="single" w:sz="4" w:space="0" w:color="auto"/>
              <w:left w:val="single" w:sz="4" w:space="0" w:color="auto"/>
              <w:bottom w:val="single" w:sz="4" w:space="0" w:color="auto"/>
              <w:right w:val="single" w:sz="4" w:space="0" w:color="auto"/>
            </w:tcBorders>
            <w:noWrap/>
            <w:vAlign w:val="center"/>
          </w:tcPr>
          <w:p w14:paraId="49922914" w14:textId="77777777" w:rsidR="00951A61" w:rsidRPr="00F6074E" w:rsidRDefault="00951A61" w:rsidP="00A4032F">
            <w:pPr>
              <w:ind w:firstLine="425"/>
              <w:jc w:val="both"/>
              <w:rPr>
                <w:rFonts w:ascii="Tahoma" w:hAnsi="Tahoma" w:cs="Tahoma"/>
                <w:b/>
                <w:sz w:val="20"/>
                <w:szCs w:val="20"/>
                <w:u w:val="single"/>
              </w:rPr>
            </w:pPr>
            <w:r w:rsidRPr="00F6074E">
              <w:rPr>
                <w:rFonts w:ascii="Tahoma" w:hAnsi="Tahoma" w:cs="Tahoma"/>
                <w:b/>
                <w:sz w:val="20"/>
                <w:szCs w:val="20"/>
                <w:u w:val="single"/>
              </w:rPr>
              <w:t>Общие требования к Предмету ипотеки:</w:t>
            </w:r>
          </w:p>
          <w:p w14:paraId="073EB9C3" w14:textId="77777777" w:rsidR="00951A61" w:rsidRPr="00C57EE1" w:rsidRDefault="00951A61" w:rsidP="00A4032F">
            <w:pPr>
              <w:ind w:firstLine="425"/>
              <w:jc w:val="both"/>
              <w:rPr>
                <w:rFonts w:ascii="Tahoma" w:hAnsi="Tahoma" w:cs="Tahoma"/>
                <w:sz w:val="20"/>
                <w:szCs w:val="20"/>
              </w:rPr>
            </w:pPr>
            <w:r w:rsidRPr="00F6074E">
              <w:rPr>
                <w:rFonts w:ascii="Tahoma" w:hAnsi="Tahoma" w:cs="Tahoma"/>
                <w:sz w:val="20"/>
                <w:szCs w:val="20"/>
              </w:rPr>
              <w:t xml:space="preserve">1. </w:t>
            </w:r>
            <w:r w:rsidRPr="00C57EE1">
              <w:rPr>
                <w:rFonts w:ascii="Tahoma" w:hAnsi="Tahoma" w:cs="Tahoma"/>
                <w:sz w:val="20"/>
                <w:szCs w:val="20"/>
              </w:rPr>
              <w:t>Недвижимое имущество, являющееся Предметом ипотеки, может быть расположено:</w:t>
            </w:r>
          </w:p>
          <w:p w14:paraId="0C692AFC" w14:textId="77777777" w:rsidR="00951A61" w:rsidRPr="00C57EE1" w:rsidRDefault="00951A61" w:rsidP="00951A61">
            <w:pPr>
              <w:pStyle w:val="affe"/>
              <w:numPr>
                <w:ilvl w:val="0"/>
                <w:numId w:val="172"/>
              </w:numPr>
              <w:ind w:left="0" w:firstLine="425"/>
              <w:contextualSpacing/>
              <w:jc w:val="both"/>
              <w:rPr>
                <w:rFonts w:ascii="Tahoma" w:hAnsi="Tahoma" w:cs="Tahoma"/>
                <w:sz w:val="20"/>
                <w:szCs w:val="20"/>
              </w:rPr>
            </w:pPr>
            <w:r w:rsidRPr="00C57EE1">
              <w:rPr>
                <w:rFonts w:ascii="Tahoma" w:hAnsi="Tahoma" w:cs="Tahoma"/>
                <w:sz w:val="20"/>
                <w:szCs w:val="20"/>
              </w:rPr>
              <w:t>В пределах территории г. Москва и Московской области – применимо для всех видов приобретаемых объектов недвижимости;</w:t>
            </w:r>
          </w:p>
          <w:p w14:paraId="39A2C16A" w14:textId="77777777" w:rsidR="00951A61" w:rsidRPr="00C57EE1" w:rsidRDefault="00951A61" w:rsidP="00951A61">
            <w:pPr>
              <w:pStyle w:val="affe"/>
              <w:numPr>
                <w:ilvl w:val="0"/>
                <w:numId w:val="172"/>
              </w:numPr>
              <w:ind w:left="0" w:firstLine="425"/>
              <w:contextualSpacing/>
              <w:jc w:val="both"/>
              <w:rPr>
                <w:rFonts w:ascii="Tahoma" w:hAnsi="Tahoma" w:cs="Tahoma"/>
                <w:sz w:val="20"/>
                <w:szCs w:val="20"/>
              </w:rPr>
            </w:pPr>
            <w:r w:rsidRPr="00C57EE1">
              <w:rPr>
                <w:rFonts w:ascii="Tahoma" w:hAnsi="Tahoma" w:cs="Tahoma"/>
                <w:i/>
                <w:sz w:val="20"/>
                <w:szCs w:val="20"/>
              </w:rPr>
              <w:t>Для вида объекта недвижимости «квартира</w:t>
            </w:r>
            <w:r w:rsidRPr="00C57EE1">
              <w:rPr>
                <w:rFonts w:ascii="Tahoma" w:hAnsi="Tahoma" w:cs="Tahoma"/>
                <w:sz w:val="20"/>
                <w:szCs w:val="20"/>
              </w:rPr>
              <w:t>»: на расстоянии не более 200 км. от населенного пункта, включенного в список населенных пунктов в Приложении № 3. В остальных случаях приобретаемый объект недвижимости «квартира» должен располагаться на расстоянии не более 50 км. от населенного пункта, где располагается Подразделение Банка;</w:t>
            </w:r>
          </w:p>
          <w:p w14:paraId="33E2DE5E" w14:textId="77777777" w:rsidR="00951A61" w:rsidRPr="00C57EE1" w:rsidRDefault="00951A61" w:rsidP="00951A61">
            <w:pPr>
              <w:pStyle w:val="affe"/>
              <w:numPr>
                <w:ilvl w:val="0"/>
                <w:numId w:val="172"/>
              </w:numPr>
              <w:ind w:left="0" w:firstLine="425"/>
              <w:contextualSpacing/>
              <w:jc w:val="both"/>
              <w:rPr>
                <w:rFonts w:ascii="Tahoma" w:hAnsi="Tahoma" w:cs="Tahoma"/>
                <w:sz w:val="20"/>
                <w:szCs w:val="20"/>
              </w:rPr>
            </w:pPr>
            <w:r w:rsidRPr="00C57EE1">
              <w:rPr>
                <w:rFonts w:ascii="Tahoma" w:hAnsi="Tahoma" w:cs="Tahoma"/>
                <w:i/>
                <w:sz w:val="20"/>
                <w:szCs w:val="20"/>
              </w:rPr>
              <w:t>Для остальных объектов недвижимости, отличных от вида недвижимости «квартира»</w:t>
            </w:r>
            <w:r w:rsidRPr="00C57EE1">
              <w:rPr>
                <w:rFonts w:ascii="Tahoma" w:hAnsi="Tahoma" w:cs="Tahoma"/>
                <w:sz w:val="20"/>
                <w:szCs w:val="20"/>
              </w:rPr>
              <w:t>: на расстоянии не более 200 км. от населенного пункта, включенного в список населенных пунктов в Приложении № 3</w:t>
            </w:r>
            <w:r w:rsidRPr="00C57EE1">
              <w:rPr>
                <w:rStyle w:val="aff3"/>
                <w:rFonts w:ascii="Tahoma" w:hAnsi="Tahoma" w:cs="Tahoma"/>
                <w:sz w:val="20"/>
                <w:szCs w:val="20"/>
              </w:rPr>
              <w:footnoteReference w:id="31"/>
            </w:r>
            <w:r w:rsidRPr="00C57EE1">
              <w:rPr>
                <w:rFonts w:ascii="Tahoma" w:hAnsi="Tahoma" w:cs="Tahoma"/>
                <w:sz w:val="20"/>
                <w:szCs w:val="20"/>
              </w:rPr>
              <w:t xml:space="preserve">. В остальных случаях приобретаемый объект недвижимости, отличный от вида недвижимости «квартира», должен располагаться на расстоянии не более 50 км. от населенного пункта, в котором находится Подразделение Банка. </w:t>
            </w:r>
          </w:p>
          <w:p w14:paraId="21799457" w14:textId="77777777" w:rsidR="00951A61" w:rsidRPr="00F6074E" w:rsidRDefault="00951A61" w:rsidP="00A4032F">
            <w:pPr>
              <w:ind w:firstLine="425"/>
              <w:jc w:val="both"/>
              <w:rPr>
                <w:rFonts w:ascii="Tahoma" w:hAnsi="Tahoma" w:cs="Tahoma"/>
                <w:sz w:val="20"/>
                <w:szCs w:val="20"/>
              </w:rPr>
            </w:pPr>
            <w:r w:rsidRPr="00F6074E">
              <w:rPr>
                <w:rFonts w:ascii="Tahoma" w:hAnsi="Tahoma" w:cs="Tahoma"/>
                <w:sz w:val="20"/>
                <w:szCs w:val="20"/>
              </w:rPr>
              <w:t>2. Предмет ипотеки не должен располагаться в закрытом административно-территориальном образовании (ЗАТО).</w:t>
            </w:r>
          </w:p>
          <w:p w14:paraId="503C9F6D" w14:textId="77777777" w:rsidR="00951A61" w:rsidRPr="00F6074E" w:rsidRDefault="00951A61" w:rsidP="00A4032F">
            <w:pPr>
              <w:ind w:firstLine="425"/>
              <w:jc w:val="both"/>
              <w:rPr>
                <w:rFonts w:ascii="Tahoma" w:hAnsi="Tahoma" w:cs="Tahoma"/>
                <w:sz w:val="20"/>
                <w:szCs w:val="20"/>
              </w:rPr>
            </w:pPr>
            <w:r w:rsidRPr="00F6074E">
              <w:rPr>
                <w:rFonts w:ascii="Tahoma" w:hAnsi="Tahoma" w:cs="Tahoma"/>
                <w:sz w:val="20"/>
                <w:szCs w:val="20"/>
              </w:rPr>
              <w:t>3. Недвижимое имущество, являющееся предметом ипотеки, должно быть подключено к централизованным или автономным системам жизнеобеспечения:</w:t>
            </w:r>
          </w:p>
          <w:p w14:paraId="40BCFFED" w14:textId="77777777" w:rsidR="00951A61" w:rsidRPr="00F6074E" w:rsidRDefault="00951A61" w:rsidP="00951A61">
            <w:pPr>
              <w:pStyle w:val="affe"/>
              <w:numPr>
                <w:ilvl w:val="0"/>
                <w:numId w:val="30"/>
              </w:numPr>
              <w:ind w:left="0" w:firstLine="425"/>
              <w:contextualSpacing/>
              <w:jc w:val="both"/>
              <w:rPr>
                <w:rFonts w:ascii="Tahoma" w:hAnsi="Tahoma" w:cs="Tahoma"/>
                <w:sz w:val="20"/>
                <w:szCs w:val="20"/>
              </w:rPr>
            </w:pPr>
            <w:r w:rsidRPr="00F6074E">
              <w:rPr>
                <w:rFonts w:ascii="Tahoma" w:hAnsi="Tahoma" w:cs="Tahoma"/>
                <w:sz w:val="20"/>
                <w:szCs w:val="20"/>
              </w:rPr>
              <w:t xml:space="preserve">электрическим, паровым или газовым системам отопления, обеспечивающим подачу тепла на всю его жилую площадь; </w:t>
            </w:r>
          </w:p>
          <w:p w14:paraId="2DB2ED15" w14:textId="77777777" w:rsidR="00951A61" w:rsidRPr="00F6074E" w:rsidRDefault="00951A61" w:rsidP="00951A61">
            <w:pPr>
              <w:pStyle w:val="affe"/>
              <w:numPr>
                <w:ilvl w:val="0"/>
                <w:numId w:val="30"/>
              </w:numPr>
              <w:ind w:left="0" w:firstLine="425"/>
              <w:contextualSpacing/>
              <w:jc w:val="both"/>
              <w:rPr>
                <w:rFonts w:ascii="Tahoma" w:hAnsi="Tahoma" w:cs="Tahoma"/>
                <w:sz w:val="20"/>
                <w:szCs w:val="20"/>
              </w:rPr>
            </w:pPr>
            <w:r w:rsidRPr="00F6074E">
              <w:rPr>
                <w:rFonts w:ascii="Tahoma" w:hAnsi="Tahoma" w:cs="Tahoma"/>
                <w:sz w:val="20"/>
                <w:szCs w:val="20"/>
              </w:rPr>
              <w:t>сетям электроснабжения;</w:t>
            </w:r>
          </w:p>
          <w:p w14:paraId="443E0B21" w14:textId="77777777" w:rsidR="00951A61" w:rsidRPr="00F6074E" w:rsidRDefault="00951A61" w:rsidP="00951A61">
            <w:pPr>
              <w:pStyle w:val="affe"/>
              <w:numPr>
                <w:ilvl w:val="0"/>
                <w:numId w:val="30"/>
              </w:numPr>
              <w:ind w:left="0" w:firstLine="425"/>
              <w:contextualSpacing/>
              <w:jc w:val="both"/>
              <w:rPr>
                <w:rFonts w:ascii="Tahoma" w:hAnsi="Tahoma" w:cs="Tahoma"/>
                <w:sz w:val="20"/>
                <w:szCs w:val="20"/>
              </w:rPr>
            </w:pPr>
            <w:r w:rsidRPr="00F6074E">
              <w:rPr>
                <w:rFonts w:ascii="Tahoma" w:hAnsi="Tahoma" w:cs="Tahoma"/>
                <w:sz w:val="20"/>
                <w:szCs w:val="20"/>
              </w:rPr>
              <w:t>системе канализации;</w:t>
            </w:r>
          </w:p>
          <w:p w14:paraId="1B3DDC4A" w14:textId="77777777" w:rsidR="00951A61" w:rsidRPr="00F6074E" w:rsidRDefault="00951A61" w:rsidP="00951A61">
            <w:pPr>
              <w:pStyle w:val="affe"/>
              <w:numPr>
                <w:ilvl w:val="0"/>
                <w:numId w:val="30"/>
              </w:numPr>
              <w:ind w:left="0" w:firstLine="425"/>
              <w:contextualSpacing/>
              <w:jc w:val="both"/>
              <w:rPr>
                <w:rFonts w:ascii="Tahoma" w:hAnsi="Tahoma" w:cs="Tahoma"/>
                <w:sz w:val="20"/>
                <w:szCs w:val="20"/>
              </w:rPr>
            </w:pPr>
            <w:r w:rsidRPr="00F6074E">
              <w:rPr>
                <w:rFonts w:ascii="Tahoma" w:hAnsi="Tahoma" w:cs="Tahoma"/>
                <w:sz w:val="20"/>
                <w:szCs w:val="20"/>
              </w:rPr>
              <w:t>горячему и холодному водоснабжению.</w:t>
            </w:r>
          </w:p>
          <w:p w14:paraId="2F38BA8E" w14:textId="77777777" w:rsidR="00951A61" w:rsidRPr="00F6074E" w:rsidRDefault="00951A61" w:rsidP="00A4032F">
            <w:pPr>
              <w:ind w:firstLine="425"/>
              <w:jc w:val="both"/>
              <w:rPr>
                <w:rFonts w:ascii="Tahoma" w:hAnsi="Tahoma" w:cs="Tahoma"/>
                <w:sz w:val="20"/>
                <w:szCs w:val="20"/>
              </w:rPr>
            </w:pPr>
            <w:r w:rsidRPr="00F6074E">
              <w:rPr>
                <w:rFonts w:ascii="Tahoma" w:hAnsi="Tahoma" w:cs="Tahoma"/>
                <w:sz w:val="20"/>
                <w:szCs w:val="20"/>
              </w:rPr>
              <w:lastRenderedPageBreak/>
              <w:t xml:space="preserve">При этом в качестве автономных систем жизнеобеспечения </w:t>
            </w:r>
            <w:r w:rsidRPr="00F6074E">
              <w:rPr>
                <w:rFonts w:ascii="Tahoma" w:hAnsi="Tahoma" w:cs="Tahoma"/>
                <w:sz w:val="20"/>
                <w:szCs w:val="20"/>
                <w:u w:val="single"/>
              </w:rPr>
              <w:t>не допускаются</w:t>
            </w:r>
            <w:r w:rsidRPr="00F6074E">
              <w:rPr>
                <w:rFonts w:ascii="Tahoma" w:hAnsi="Tahoma" w:cs="Tahoma"/>
                <w:sz w:val="20"/>
                <w:szCs w:val="20"/>
              </w:rPr>
              <w:t xml:space="preserve"> печное отопление, обеспечение водой с использованием коллективных или индивидуальных скважин, не оборудованных автоматизированной системой подачи воды.</w:t>
            </w:r>
          </w:p>
          <w:p w14:paraId="2E59B1DA" w14:textId="77777777" w:rsidR="00951A61" w:rsidRPr="00F6074E" w:rsidRDefault="00951A61" w:rsidP="00A4032F">
            <w:pPr>
              <w:ind w:firstLine="425"/>
              <w:jc w:val="both"/>
              <w:rPr>
                <w:rFonts w:ascii="Tahoma" w:hAnsi="Tahoma" w:cs="Tahoma"/>
                <w:sz w:val="20"/>
                <w:szCs w:val="20"/>
              </w:rPr>
            </w:pPr>
            <w:r w:rsidRPr="00F6074E">
              <w:rPr>
                <w:rFonts w:ascii="Tahoma" w:hAnsi="Tahoma" w:cs="Tahoma"/>
                <w:sz w:val="20"/>
                <w:szCs w:val="20"/>
              </w:rPr>
              <w:t>4. Недвижимое имущество должно иметь исправное состояние входной двери и окон, а также исправное состояние крыши (для объектов, расположенных на последних этажах). Информация о технических характеристиках недвижимого имущества указывается в отчете об оценке. В случае если не установлены и не подключены сантехнические приборы, газовая или электрическая плита, отопительные приборы, то необходимо определить возможность их установки и подключения по фотографиям объекта недвижимости, имеющимся в отчете об оценке.</w:t>
            </w:r>
          </w:p>
          <w:p w14:paraId="4208D0FC" w14:textId="77777777" w:rsidR="00951A61" w:rsidRPr="00F6074E" w:rsidRDefault="00951A61" w:rsidP="00A4032F">
            <w:pPr>
              <w:ind w:firstLine="425"/>
              <w:jc w:val="both"/>
              <w:rPr>
                <w:rFonts w:ascii="Tahoma" w:hAnsi="Tahoma" w:cs="Tahoma"/>
                <w:sz w:val="20"/>
                <w:szCs w:val="20"/>
              </w:rPr>
            </w:pPr>
            <w:r w:rsidRPr="00F6074E">
              <w:rPr>
                <w:rFonts w:ascii="Tahoma" w:hAnsi="Tahoma" w:cs="Tahoma"/>
                <w:sz w:val="20"/>
                <w:szCs w:val="20"/>
              </w:rPr>
              <w:t xml:space="preserve">5. Недвижимое имущество, являющееся Предметом ипотеки, должно быть свободно от любых прав третьих лиц </w:t>
            </w:r>
            <w:r w:rsidRPr="00F6074E">
              <w:rPr>
                <w:rFonts w:ascii="Tahoma" w:hAnsi="Tahoma" w:cs="Tahoma"/>
                <w:b/>
                <w:sz w:val="20"/>
                <w:szCs w:val="20"/>
              </w:rPr>
              <w:t>(допустимо наличие на дату сделки залога (обременения) в пользу кредитора продавца Предмета ипотеки в случае применения Опции «Залоговый»);</w:t>
            </w:r>
          </w:p>
          <w:p w14:paraId="674636C0" w14:textId="77777777" w:rsidR="00951A61" w:rsidRPr="00F6074E" w:rsidRDefault="00951A61" w:rsidP="00951A61">
            <w:pPr>
              <w:pStyle w:val="affe"/>
              <w:numPr>
                <w:ilvl w:val="0"/>
                <w:numId w:val="38"/>
              </w:numPr>
              <w:ind w:left="0" w:firstLine="425"/>
              <w:contextualSpacing/>
              <w:jc w:val="both"/>
              <w:rPr>
                <w:rFonts w:ascii="Tahoma" w:hAnsi="Tahoma" w:cs="Tahoma"/>
                <w:sz w:val="20"/>
                <w:szCs w:val="20"/>
              </w:rPr>
            </w:pPr>
            <w:r w:rsidRPr="00F6074E">
              <w:rPr>
                <w:rFonts w:ascii="Tahoma" w:hAnsi="Tahoma" w:cs="Tahoma"/>
                <w:sz w:val="20"/>
                <w:szCs w:val="20"/>
              </w:rPr>
              <w:t>не должны быть заключены/подписаны какие-либо договоры, в том числе предварительные, направленные на отчуждение недвижимого имущества третьим лицам, третьи лица не предъявляют никаких требований в отношении недвижимого имущества, в том числе иски об аресте или обращении взыскания на недвижимое имущество.</w:t>
            </w:r>
          </w:p>
          <w:p w14:paraId="0BAF5079" w14:textId="77777777" w:rsidR="00951A61" w:rsidRPr="00F6074E" w:rsidRDefault="00951A61" w:rsidP="00A4032F">
            <w:pPr>
              <w:ind w:firstLine="425"/>
              <w:jc w:val="both"/>
              <w:rPr>
                <w:rFonts w:ascii="Tahoma" w:hAnsi="Tahoma" w:cs="Tahoma"/>
                <w:sz w:val="20"/>
                <w:szCs w:val="20"/>
              </w:rPr>
            </w:pPr>
            <w:r w:rsidRPr="00F6074E">
              <w:rPr>
                <w:rFonts w:ascii="Tahoma" w:hAnsi="Tahoma" w:cs="Tahoma"/>
                <w:sz w:val="20"/>
                <w:szCs w:val="20"/>
                <w:u w:val="single"/>
              </w:rPr>
              <w:t>Требования к зданию, в котором расположен Предмет ипотеки</w:t>
            </w:r>
            <w:r w:rsidRPr="00F6074E">
              <w:rPr>
                <w:rFonts w:ascii="Tahoma" w:hAnsi="Tahoma" w:cs="Tahoma"/>
                <w:sz w:val="20"/>
                <w:szCs w:val="20"/>
              </w:rPr>
              <w:t>:</w:t>
            </w:r>
          </w:p>
          <w:p w14:paraId="5FAEFAF0" w14:textId="77777777" w:rsidR="00951A61" w:rsidRPr="00F6074E" w:rsidRDefault="00951A61" w:rsidP="00951A61">
            <w:pPr>
              <w:pStyle w:val="affe"/>
              <w:numPr>
                <w:ilvl w:val="0"/>
                <w:numId w:val="37"/>
              </w:numPr>
              <w:ind w:left="0" w:firstLine="425"/>
              <w:contextualSpacing/>
              <w:jc w:val="both"/>
              <w:rPr>
                <w:rFonts w:ascii="Tahoma" w:hAnsi="Tahoma" w:cs="Tahoma"/>
                <w:sz w:val="20"/>
                <w:szCs w:val="20"/>
              </w:rPr>
            </w:pPr>
            <w:r w:rsidRPr="00F6074E">
              <w:rPr>
                <w:rFonts w:ascii="Tahoma" w:hAnsi="Tahoma" w:cs="Tahoma"/>
                <w:sz w:val="20"/>
                <w:szCs w:val="20"/>
              </w:rPr>
              <w:t>не находится в ветхом и/или аварийном состоянии;</w:t>
            </w:r>
          </w:p>
          <w:p w14:paraId="56DD9FE1" w14:textId="77777777" w:rsidR="00951A61" w:rsidRPr="00F6074E" w:rsidRDefault="00951A61" w:rsidP="00951A61">
            <w:pPr>
              <w:pStyle w:val="affe"/>
              <w:numPr>
                <w:ilvl w:val="0"/>
                <w:numId w:val="37"/>
              </w:numPr>
              <w:ind w:left="0" w:firstLine="425"/>
              <w:contextualSpacing/>
              <w:jc w:val="both"/>
              <w:rPr>
                <w:rFonts w:ascii="Tahoma" w:hAnsi="Tahoma" w:cs="Tahoma"/>
                <w:sz w:val="20"/>
                <w:szCs w:val="20"/>
              </w:rPr>
            </w:pPr>
            <w:r w:rsidRPr="00F6074E">
              <w:rPr>
                <w:rFonts w:ascii="Tahoma" w:hAnsi="Tahoma" w:cs="Tahoma"/>
                <w:sz w:val="20"/>
                <w:szCs w:val="20"/>
              </w:rPr>
              <w:t>не состоит на учете для проведения капитального ремонта с отселением;</w:t>
            </w:r>
          </w:p>
          <w:p w14:paraId="0F4B5AA6" w14:textId="77777777" w:rsidR="00951A61" w:rsidRPr="00F6074E" w:rsidRDefault="00951A61" w:rsidP="00951A61">
            <w:pPr>
              <w:pStyle w:val="affe"/>
              <w:numPr>
                <w:ilvl w:val="0"/>
                <w:numId w:val="37"/>
              </w:numPr>
              <w:ind w:left="0" w:firstLine="425"/>
              <w:contextualSpacing/>
              <w:jc w:val="both"/>
              <w:rPr>
                <w:rFonts w:ascii="Tahoma" w:hAnsi="Tahoma" w:cs="Tahoma"/>
                <w:sz w:val="20"/>
                <w:szCs w:val="20"/>
              </w:rPr>
            </w:pPr>
            <w:r w:rsidRPr="00F6074E">
              <w:rPr>
                <w:rFonts w:ascii="Tahoma" w:hAnsi="Tahoma" w:cs="Tahoma"/>
                <w:sz w:val="20"/>
                <w:szCs w:val="20"/>
              </w:rPr>
              <w:t>не состоит в планах органов местного самоуправления и (или) государственных органов на снос;</w:t>
            </w:r>
          </w:p>
          <w:p w14:paraId="58E158F6" w14:textId="77777777" w:rsidR="00951A61" w:rsidRPr="00F6074E" w:rsidRDefault="00951A61" w:rsidP="00951A61">
            <w:pPr>
              <w:pStyle w:val="affe"/>
              <w:numPr>
                <w:ilvl w:val="0"/>
                <w:numId w:val="37"/>
              </w:numPr>
              <w:ind w:left="0" w:firstLine="425"/>
              <w:contextualSpacing/>
              <w:jc w:val="both"/>
              <w:rPr>
                <w:rFonts w:ascii="Tahoma" w:hAnsi="Tahoma" w:cs="Tahoma"/>
                <w:sz w:val="20"/>
                <w:szCs w:val="20"/>
              </w:rPr>
            </w:pPr>
            <w:r w:rsidRPr="00F6074E">
              <w:rPr>
                <w:rFonts w:ascii="Tahoma" w:hAnsi="Tahoma" w:cs="Tahoma"/>
                <w:sz w:val="20"/>
                <w:szCs w:val="20"/>
              </w:rPr>
              <w:t>имеет железобетонный, каменный или кирпичный фундамент.</w:t>
            </w:r>
          </w:p>
          <w:p w14:paraId="581EBA38" w14:textId="77777777" w:rsidR="00951A61" w:rsidRPr="00F6074E" w:rsidRDefault="00951A61" w:rsidP="00951A61">
            <w:pPr>
              <w:pStyle w:val="affe"/>
              <w:numPr>
                <w:ilvl w:val="0"/>
                <w:numId w:val="37"/>
              </w:numPr>
              <w:ind w:left="0" w:firstLine="425"/>
              <w:contextualSpacing/>
              <w:jc w:val="both"/>
              <w:rPr>
                <w:rFonts w:ascii="Tahoma" w:hAnsi="Tahoma" w:cs="Tahoma"/>
                <w:sz w:val="20"/>
                <w:szCs w:val="20"/>
              </w:rPr>
            </w:pPr>
            <w:r w:rsidRPr="00F6074E">
              <w:rPr>
                <w:rFonts w:ascii="Tahoma" w:hAnsi="Tahoma" w:cs="Tahoma"/>
                <w:sz w:val="20"/>
                <w:szCs w:val="20"/>
              </w:rPr>
              <w:t>имеет износ менее 70% (включительно);</w:t>
            </w:r>
          </w:p>
          <w:p w14:paraId="2DDAE2EB" w14:textId="77777777" w:rsidR="00951A61" w:rsidRPr="00F6074E" w:rsidRDefault="00951A61" w:rsidP="00951A61">
            <w:pPr>
              <w:pStyle w:val="affe"/>
              <w:numPr>
                <w:ilvl w:val="0"/>
                <w:numId w:val="37"/>
              </w:numPr>
              <w:ind w:left="0" w:firstLine="425"/>
              <w:contextualSpacing/>
              <w:jc w:val="both"/>
              <w:rPr>
                <w:rFonts w:ascii="Tahoma" w:hAnsi="Tahoma" w:cs="Tahoma"/>
                <w:b/>
                <w:sz w:val="20"/>
                <w:szCs w:val="20"/>
                <w:u w:val="single"/>
              </w:rPr>
            </w:pPr>
            <w:r w:rsidRPr="00F6074E">
              <w:rPr>
                <w:rFonts w:ascii="Tahoma" w:hAnsi="Tahoma" w:cs="Tahoma"/>
                <w:sz w:val="20"/>
                <w:szCs w:val="20"/>
              </w:rPr>
              <w:t xml:space="preserve">недвижимое имущество должно быть предназначено для постоянного проживания, должно удовлетворять санитарно-техническим нормам по обеспечению здоровья и безопасности жильцов. </w:t>
            </w:r>
          </w:p>
          <w:p w14:paraId="41400C6A" w14:textId="77777777" w:rsidR="00951A61" w:rsidRPr="00F6074E" w:rsidRDefault="00951A61" w:rsidP="00951A61">
            <w:pPr>
              <w:pStyle w:val="affe"/>
              <w:numPr>
                <w:ilvl w:val="0"/>
                <w:numId w:val="37"/>
              </w:numPr>
              <w:ind w:left="0" w:firstLine="425"/>
              <w:contextualSpacing/>
              <w:jc w:val="both"/>
              <w:rPr>
                <w:rFonts w:ascii="Tahoma" w:hAnsi="Tahoma" w:cs="Tahoma"/>
                <w:b/>
                <w:sz w:val="20"/>
                <w:szCs w:val="20"/>
                <w:u w:val="single"/>
              </w:rPr>
            </w:pPr>
            <w:r w:rsidRPr="00F6074E">
              <w:rPr>
                <w:rFonts w:ascii="Tahoma" w:hAnsi="Tahoma" w:cs="Tahoma"/>
                <w:b/>
                <w:sz w:val="20"/>
                <w:szCs w:val="20"/>
                <w:u w:val="single"/>
              </w:rPr>
              <w:t>НЕ МОЖЕТ</w:t>
            </w:r>
            <w:r w:rsidRPr="00F6074E">
              <w:rPr>
                <w:rFonts w:ascii="Tahoma" w:hAnsi="Tahoma" w:cs="Tahoma"/>
                <w:b/>
                <w:sz w:val="20"/>
                <w:szCs w:val="20"/>
              </w:rPr>
              <w:t xml:space="preserve"> </w:t>
            </w:r>
            <w:r w:rsidRPr="00F6074E">
              <w:rPr>
                <w:rFonts w:ascii="Tahoma" w:hAnsi="Tahoma" w:cs="Tahoma"/>
                <w:sz w:val="20"/>
                <w:szCs w:val="20"/>
              </w:rPr>
              <w:t xml:space="preserve">быть принято в залог недвижимое имущество, в котором отсутствует кухня/кухонная зона и санузел, а также отсутствует физическая возможность обустройства данных помещений. </w:t>
            </w:r>
          </w:p>
          <w:p w14:paraId="51291D71" w14:textId="77777777" w:rsidR="00951A61" w:rsidRPr="00F6074E" w:rsidRDefault="00951A61" w:rsidP="00951A61">
            <w:pPr>
              <w:pStyle w:val="affe"/>
              <w:numPr>
                <w:ilvl w:val="0"/>
                <w:numId w:val="37"/>
              </w:numPr>
              <w:ind w:left="0" w:firstLine="425"/>
              <w:contextualSpacing/>
              <w:jc w:val="both"/>
              <w:rPr>
                <w:rFonts w:ascii="Tahoma" w:hAnsi="Tahoma" w:cs="Tahoma"/>
                <w:b/>
                <w:sz w:val="20"/>
                <w:szCs w:val="20"/>
                <w:u w:val="single"/>
              </w:rPr>
            </w:pPr>
            <w:r w:rsidRPr="00F6074E">
              <w:rPr>
                <w:rFonts w:ascii="Tahoma" w:hAnsi="Tahoma" w:cs="Tahoma"/>
                <w:b/>
                <w:sz w:val="20"/>
                <w:szCs w:val="20"/>
                <w:u w:val="single"/>
              </w:rPr>
              <w:t>НЕ МОЖЕТ</w:t>
            </w:r>
            <w:r w:rsidRPr="00F6074E">
              <w:rPr>
                <w:rFonts w:ascii="Tahoma" w:hAnsi="Tahoma" w:cs="Tahoma"/>
                <w:sz w:val="20"/>
                <w:szCs w:val="20"/>
              </w:rPr>
              <w:t xml:space="preserve"> Предметом ипотеки выступать недвижимое имущество, расположенное в многоквартирных домах, межэтажные перекрытия которых полностью состоят из деревянных конструкций. Данная информация указывается в отчете об оценке.</w:t>
            </w:r>
          </w:p>
          <w:p w14:paraId="315B5736" w14:textId="77777777" w:rsidR="00951A61" w:rsidRPr="00F6074E" w:rsidRDefault="00951A61" w:rsidP="00A4032F">
            <w:pPr>
              <w:pStyle w:val="affe"/>
              <w:ind w:left="0" w:firstLine="425"/>
              <w:jc w:val="both"/>
              <w:rPr>
                <w:rFonts w:ascii="Tahoma" w:hAnsi="Tahoma" w:cs="Tahoma"/>
                <w:b/>
                <w:sz w:val="20"/>
                <w:szCs w:val="20"/>
                <w:u w:val="single"/>
              </w:rPr>
            </w:pPr>
          </w:p>
          <w:p w14:paraId="182D8052" w14:textId="77777777" w:rsidR="00951A61" w:rsidRPr="00F6074E" w:rsidRDefault="00951A61" w:rsidP="00A4032F">
            <w:pPr>
              <w:ind w:firstLine="425"/>
              <w:jc w:val="both"/>
              <w:rPr>
                <w:rFonts w:ascii="Tahoma" w:hAnsi="Tahoma" w:cs="Tahoma"/>
                <w:b/>
                <w:sz w:val="20"/>
                <w:szCs w:val="20"/>
                <w:u w:val="single"/>
              </w:rPr>
            </w:pPr>
            <w:r w:rsidRPr="00F6074E">
              <w:rPr>
                <w:rFonts w:ascii="Tahoma" w:hAnsi="Tahoma" w:cs="Tahoma"/>
                <w:b/>
                <w:sz w:val="20"/>
                <w:szCs w:val="20"/>
                <w:u w:val="single"/>
              </w:rPr>
              <w:t xml:space="preserve">Отдельные требования к Предмету ипотеки: </w:t>
            </w:r>
          </w:p>
          <w:p w14:paraId="24A08B21" w14:textId="77777777" w:rsidR="00951A61" w:rsidRPr="00F6074E" w:rsidRDefault="00951A61" w:rsidP="00A4032F">
            <w:pPr>
              <w:ind w:firstLine="425"/>
              <w:jc w:val="both"/>
              <w:rPr>
                <w:rFonts w:ascii="Tahoma" w:hAnsi="Tahoma" w:cs="Tahoma"/>
                <w:b/>
                <w:sz w:val="20"/>
                <w:szCs w:val="20"/>
                <w:u w:val="single"/>
              </w:rPr>
            </w:pPr>
          </w:p>
          <w:p w14:paraId="3E063373" w14:textId="77777777" w:rsidR="00951A61" w:rsidRPr="00F6074E" w:rsidRDefault="00951A61" w:rsidP="00A4032F">
            <w:pPr>
              <w:ind w:firstLine="425"/>
              <w:jc w:val="both"/>
              <w:rPr>
                <w:rFonts w:ascii="Tahoma" w:hAnsi="Tahoma" w:cs="Tahoma"/>
                <w:sz w:val="20"/>
                <w:szCs w:val="20"/>
              </w:rPr>
            </w:pPr>
            <w:r w:rsidRPr="00F6074E">
              <w:rPr>
                <w:rFonts w:ascii="Tahoma" w:hAnsi="Tahoma" w:cs="Tahoma"/>
                <w:b/>
                <w:sz w:val="20"/>
                <w:szCs w:val="20"/>
                <w:u w:val="single"/>
              </w:rPr>
              <w:t>Квартира/Апартаменты</w:t>
            </w:r>
            <w:r w:rsidRPr="00F6074E">
              <w:rPr>
                <w:rFonts w:ascii="Tahoma" w:hAnsi="Tahoma" w:cs="Tahoma"/>
                <w:sz w:val="20"/>
                <w:szCs w:val="20"/>
              </w:rPr>
              <w:t xml:space="preserve"> должны быть:</w:t>
            </w:r>
          </w:p>
          <w:p w14:paraId="0EF0A10A" w14:textId="77777777" w:rsidR="00951A61" w:rsidRPr="00F6074E" w:rsidRDefault="00951A61" w:rsidP="00951A61">
            <w:pPr>
              <w:pStyle w:val="affe"/>
              <w:numPr>
                <w:ilvl w:val="0"/>
                <w:numId w:val="29"/>
              </w:numPr>
              <w:ind w:left="0" w:firstLine="425"/>
              <w:contextualSpacing/>
              <w:jc w:val="both"/>
              <w:rPr>
                <w:rFonts w:ascii="Tahoma" w:hAnsi="Tahoma" w:cs="Tahoma"/>
                <w:sz w:val="20"/>
                <w:szCs w:val="20"/>
              </w:rPr>
            </w:pPr>
            <w:r w:rsidRPr="00F6074E">
              <w:rPr>
                <w:rFonts w:ascii="Tahoma" w:hAnsi="Tahoma" w:cs="Tahoma"/>
                <w:sz w:val="20"/>
                <w:szCs w:val="20"/>
              </w:rPr>
              <w:t>пригодны для постоянного проживания граждан, отвечать санитарно-техническим нормам по обеспечению здоровья и безопасности жильцов.</w:t>
            </w:r>
          </w:p>
          <w:p w14:paraId="405EC371" w14:textId="77777777" w:rsidR="00951A61" w:rsidRPr="00F6074E" w:rsidRDefault="00951A61" w:rsidP="00951A61">
            <w:pPr>
              <w:pStyle w:val="affe"/>
              <w:numPr>
                <w:ilvl w:val="0"/>
                <w:numId w:val="29"/>
              </w:numPr>
              <w:ind w:left="0" w:firstLine="425"/>
              <w:contextualSpacing/>
              <w:jc w:val="both"/>
              <w:rPr>
                <w:rFonts w:ascii="Tahoma" w:hAnsi="Tahoma" w:cs="Tahoma"/>
                <w:sz w:val="20"/>
                <w:szCs w:val="20"/>
              </w:rPr>
            </w:pPr>
            <w:r w:rsidRPr="00F6074E">
              <w:rPr>
                <w:rFonts w:ascii="Tahoma" w:hAnsi="Tahoma" w:cs="Tahoma"/>
                <w:sz w:val="20"/>
                <w:szCs w:val="20"/>
              </w:rPr>
              <w:t>расположены в многоквартирном доме.</w:t>
            </w:r>
          </w:p>
          <w:p w14:paraId="0E7C927B" w14:textId="77777777" w:rsidR="00951A61" w:rsidRPr="00F6074E" w:rsidRDefault="00951A61" w:rsidP="00951A61">
            <w:pPr>
              <w:pStyle w:val="affe"/>
              <w:numPr>
                <w:ilvl w:val="0"/>
                <w:numId w:val="29"/>
              </w:numPr>
              <w:ind w:left="0" w:firstLine="425"/>
              <w:contextualSpacing/>
              <w:jc w:val="both"/>
              <w:rPr>
                <w:rFonts w:ascii="Tahoma" w:hAnsi="Tahoma" w:cs="Tahoma"/>
                <w:sz w:val="20"/>
                <w:szCs w:val="20"/>
              </w:rPr>
            </w:pPr>
            <w:r w:rsidRPr="00F6074E">
              <w:rPr>
                <w:rFonts w:ascii="Tahoma" w:hAnsi="Tahoma" w:cs="Tahoma"/>
                <w:sz w:val="20"/>
                <w:szCs w:val="20"/>
              </w:rPr>
              <w:t>не могут быть расположены на цокольном или в подвальном этаже здания.</w:t>
            </w:r>
          </w:p>
          <w:p w14:paraId="5C0C36A6" w14:textId="77777777" w:rsidR="00951A61" w:rsidRPr="00F6074E" w:rsidRDefault="00951A61" w:rsidP="00951A61">
            <w:pPr>
              <w:pStyle w:val="affe"/>
              <w:numPr>
                <w:ilvl w:val="0"/>
                <w:numId w:val="29"/>
              </w:numPr>
              <w:ind w:left="0" w:firstLine="425"/>
              <w:contextualSpacing/>
              <w:jc w:val="both"/>
              <w:rPr>
                <w:rFonts w:ascii="Tahoma" w:hAnsi="Tahoma" w:cs="Tahoma"/>
                <w:sz w:val="20"/>
                <w:szCs w:val="20"/>
              </w:rPr>
            </w:pPr>
            <w:r w:rsidRPr="00F6074E">
              <w:rPr>
                <w:rFonts w:ascii="Tahoma" w:hAnsi="Tahoma" w:cs="Tahoma"/>
                <w:sz w:val="20"/>
                <w:szCs w:val="20"/>
              </w:rPr>
              <w:t>целью приобретения апартаментов является проживание, а не обустройство офиса или иные коммерческие цели.</w:t>
            </w:r>
          </w:p>
          <w:p w14:paraId="5B996076" w14:textId="77777777" w:rsidR="00951A61" w:rsidRPr="00F6074E" w:rsidRDefault="00951A61" w:rsidP="00A4032F">
            <w:pPr>
              <w:ind w:firstLine="425"/>
              <w:jc w:val="both"/>
              <w:rPr>
                <w:rFonts w:ascii="Tahoma" w:hAnsi="Tahoma" w:cs="Tahoma"/>
                <w:b/>
                <w:sz w:val="20"/>
                <w:szCs w:val="20"/>
                <w:u w:val="single"/>
              </w:rPr>
            </w:pPr>
          </w:p>
          <w:p w14:paraId="261666C3" w14:textId="77777777" w:rsidR="00951A61" w:rsidRPr="00F6074E" w:rsidRDefault="00951A61" w:rsidP="00A4032F">
            <w:pPr>
              <w:ind w:firstLine="425"/>
              <w:jc w:val="both"/>
              <w:rPr>
                <w:rFonts w:ascii="Tahoma" w:hAnsi="Tahoma" w:cs="Tahoma"/>
                <w:sz w:val="20"/>
                <w:szCs w:val="20"/>
              </w:rPr>
            </w:pPr>
            <w:r w:rsidRPr="00F6074E">
              <w:rPr>
                <w:rFonts w:ascii="Tahoma" w:hAnsi="Tahoma" w:cs="Tahoma"/>
                <w:b/>
                <w:sz w:val="20"/>
                <w:szCs w:val="20"/>
                <w:u w:val="single"/>
              </w:rPr>
              <w:t>Таунхаус должен быть:</w:t>
            </w:r>
          </w:p>
          <w:p w14:paraId="4470FCCA" w14:textId="77777777" w:rsidR="00951A61" w:rsidRPr="00F6074E" w:rsidRDefault="00951A61" w:rsidP="00951A61">
            <w:pPr>
              <w:pStyle w:val="affe"/>
              <w:numPr>
                <w:ilvl w:val="0"/>
                <w:numId w:val="31"/>
              </w:numPr>
              <w:ind w:left="0" w:firstLine="425"/>
              <w:contextualSpacing/>
              <w:jc w:val="both"/>
              <w:rPr>
                <w:rFonts w:ascii="Tahoma" w:hAnsi="Tahoma" w:cs="Tahoma"/>
                <w:sz w:val="20"/>
                <w:szCs w:val="20"/>
              </w:rPr>
            </w:pPr>
            <w:r w:rsidRPr="00F6074E">
              <w:rPr>
                <w:rFonts w:ascii="Tahoma" w:hAnsi="Tahoma" w:cs="Tahoma"/>
                <w:sz w:val="20"/>
                <w:szCs w:val="20"/>
              </w:rPr>
              <w:t>предназначен для проживания одной семьи.</w:t>
            </w:r>
          </w:p>
          <w:p w14:paraId="3D9EA2D5" w14:textId="77777777" w:rsidR="00951A61" w:rsidRPr="00F6074E" w:rsidRDefault="00951A61" w:rsidP="00951A61">
            <w:pPr>
              <w:pStyle w:val="affe"/>
              <w:numPr>
                <w:ilvl w:val="0"/>
                <w:numId w:val="31"/>
              </w:numPr>
              <w:ind w:left="0" w:firstLine="425"/>
              <w:contextualSpacing/>
              <w:jc w:val="both"/>
              <w:rPr>
                <w:rFonts w:ascii="Tahoma" w:hAnsi="Tahoma" w:cs="Tahoma"/>
                <w:sz w:val="20"/>
                <w:szCs w:val="20"/>
              </w:rPr>
            </w:pPr>
            <w:r w:rsidRPr="00F6074E">
              <w:rPr>
                <w:rFonts w:ascii="Tahoma" w:hAnsi="Tahoma" w:cs="Tahoma"/>
                <w:sz w:val="20"/>
                <w:szCs w:val="20"/>
              </w:rPr>
              <w:t>представляет собой отдельную многоуровневую квартиру в многоквартирном доме блокированной застройки.</w:t>
            </w:r>
          </w:p>
          <w:p w14:paraId="09D989DE" w14:textId="77777777" w:rsidR="00951A61" w:rsidRPr="00F6074E" w:rsidRDefault="00951A61" w:rsidP="00951A61">
            <w:pPr>
              <w:pStyle w:val="affe"/>
              <w:numPr>
                <w:ilvl w:val="0"/>
                <w:numId w:val="31"/>
              </w:numPr>
              <w:ind w:left="0" w:firstLine="425"/>
              <w:contextualSpacing/>
              <w:jc w:val="both"/>
              <w:rPr>
                <w:rFonts w:ascii="Tahoma" w:hAnsi="Tahoma" w:cs="Tahoma"/>
                <w:sz w:val="20"/>
                <w:szCs w:val="20"/>
              </w:rPr>
            </w:pPr>
            <w:r w:rsidRPr="00F6074E">
              <w:rPr>
                <w:rFonts w:ascii="Tahoma" w:hAnsi="Tahoma" w:cs="Tahoma"/>
                <w:sz w:val="20"/>
                <w:szCs w:val="20"/>
              </w:rPr>
              <w:t xml:space="preserve">подключен к общим коммуникациям (электроснабжение, водоснабжение, канализация) комплекса данных домов. </w:t>
            </w:r>
          </w:p>
          <w:p w14:paraId="798ABDDF" w14:textId="77777777" w:rsidR="00951A61" w:rsidRPr="00F6074E" w:rsidRDefault="00951A61" w:rsidP="00951A61">
            <w:pPr>
              <w:pStyle w:val="affe"/>
              <w:numPr>
                <w:ilvl w:val="0"/>
                <w:numId w:val="31"/>
              </w:numPr>
              <w:ind w:left="0" w:firstLine="425"/>
              <w:contextualSpacing/>
              <w:jc w:val="both"/>
              <w:rPr>
                <w:rFonts w:ascii="Tahoma" w:hAnsi="Tahoma" w:cs="Tahoma"/>
                <w:sz w:val="20"/>
                <w:szCs w:val="20"/>
              </w:rPr>
            </w:pPr>
            <w:r w:rsidRPr="00F6074E">
              <w:rPr>
                <w:rFonts w:ascii="Tahoma" w:hAnsi="Tahoma" w:cs="Tahoma"/>
                <w:sz w:val="20"/>
                <w:szCs w:val="20"/>
              </w:rPr>
              <w:lastRenderedPageBreak/>
              <w:t>согласно правоустанавливающим документам может быть определен в том числе как «квартира».</w:t>
            </w:r>
          </w:p>
          <w:p w14:paraId="5AA30501" w14:textId="77777777" w:rsidR="00951A61" w:rsidRPr="00F6074E" w:rsidRDefault="00951A61" w:rsidP="00951A61">
            <w:pPr>
              <w:pStyle w:val="affe"/>
              <w:numPr>
                <w:ilvl w:val="0"/>
                <w:numId w:val="31"/>
              </w:numPr>
              <w:ind w:left="0" w:firstLine="425"/>
              <w:contextualSpacing/>
              <w:jc w:val="both"/>
              <w:rPr>
                <w:rFonts w:ascii="Tahoma" w:hAnsi="Tahoma" w:cs="Tahoma"/>
                <w:sz w:val="20"/>
                <w:szCs w:val="20"/>
              </w:rPr>
            </w:pPr>
            <w:r w:rsidRPr="00F6074E">
              <w:rPr>
                <w:rFonts w:ascii="Tahoma" w:hAnsi="Tahoma" w:cs="Tahoma"/>
                <w:sz w:val="20"/>
                <w:szCs w:val="20"/>
              </w:rPr>
              <w:t>год постройки/ввода в эксплуатацию – не ранее 1995.</w:t>
            </w:r>
          </w:p>
          <w:p w14:paraId="3B03CDE8" w14:textId="77777777" w:rsidR="00951A61" w:rsidRPr="00F6074E" w:rsidRDefault="00951A61" w:rsidP="00951A61">
            <w:pPr>
              <w:pStyle w:val="affe"/>
              <w:numPr>
                <w:ilvl w:val="0"/>
                <w:numId w:val="31"/>
              </w:numPr>
              <w:ind w:left="0" w:firstLine="425"/>
              <w:contextualSpacing/>
              <w:jc w:val="both"/>
              <w:rPr>
                <w:rFonts w:ascii="Tahoma" w:hAnsi="Tahoma" w:cs="Tahoma"/>
                <w:sz w:val="20"/>
                <w:szCs w:val="20"/>
              </w:rPr>
            </w:pPr>
            <w:r w:rsidRPr="00F6074E">
              <w:rPr>
                <w:rFonts w:ascii="Tahoma" w:hAnsi="Tahoma" w:cs="Tahoma"/>
                <w:sz w:val="20"/>
                <w:szCs w:val="20"/>
              </w:rPr>
              <w:t>материал стен – кирпич/бетон (в т.ч. материал на основе бетона: газоблок, пеноблок, твинблок и т.п.).</w:t>
            </w:r>
          </w:p>
          <w:p w14:paraId="1BFF0F41" w14:textId="77777777" w:rsidR="00951A61" w:rsidRPr="00F6074E" w:rsidRDefault="00951A61" w:rsidP="00951A61">
            <w:pPr>
              <w:pStyle w:val="affe"/>
              <w:numPr>
                <w:ilvl w:val="0"/>
                <w:numId w:val="31"/>
              </w:numPr>
              <w:ind w:left="0" w:firstLine="425"/>
              <w:contextualSpacing/>
              <w:jc w:val="both"/>
              <w:rPr>
                <w:rFonts w:ascii="Tahoma" w:hAnsi="Tahoma" w:cs="Tahoma"/>
                <w:sz w:val="20"/>
                <w:szCs w:val="20"/>
              </w:rPr>
            </w:pPr>
            <w:r w:rsidRPr="00F6074E">
              <w:rPr>
                <w:rFonts w:ascii="Tahoma" w:hAnsi="Tahoma" w:cs="Tahoma"/>
                <w:sz w:val="20"/>
                <w:szCs w:val="20"/>
              </w:rPr>
              <w:t>в общей собственности владельцев квартир должно находиться иное общее имущество многоквартирного дома;</w:t>
            </w:r>
          </w:p>
          <w:p w14:paraId="22F8FF84" w14:textId="77777777" w:rsidR="00951A61" w:rsidRPr="00F6074E" w:rsidRDefault="00951A61" w:rsidP="00951A61">
            <w:pPr>
              <w:pStyle w:val="affe"/>
              <w:numPr>
                <w:ilvl w:val="0"/>
                <w:numId w:val="31"/>
              </w:numPr>
              <w:ind w:left="0" w:firstLine="425"/>
              <w:contextualSpacing/>
              <w:jc w:val="both"/>
              <w:rPr>
                <w:rFonts w:ascii="Tahoma" w:hAnsi="Tahoma" w:cs="Tahoma"/>
                <w:sz w:val="20"/>
                <w:szCs w:val="20"/>
              </w:rPr>
            </w:pPr>
            <w:r w:rsidRPr="00F6074E">
              <w:rPr>
                <w:rFonts w:ascii="Tahoma" w:hAnsi="Tahoma" w:cs="Tahoma"/>
                <w:sz w:val="20"/>
                <w:szCs w:val="20"/>
              </w:rPr>
              <w:t>земельный участок, на котором располагается таунхаус, должен находиться в общей собственности всех собственников квартир многоквартирного дома (земельный участок не должен быть разделен/размежеван на отдельные части и оформлен в собственность). Отдельное приобретение такого земельного участка или его части невозможно.</w:t>
            </w:r>
          </w:p>
          <w:p w14:paraId="456F28B2" w14:textId="77777777" w:rsidR="00951A61" w:rsidRPr="00F6074E" w:rsidRDefault="00951A61" w:rsidP="00951A61">
            <w:pPr>
              <w:pStyle w:val="affe"/>
              <w:numPr>
                <w:ilvl w:val="0"/>
                <w:numId w:val="31"/>
              </w:numPr>
              <w:ind w:left="0" w:firstLine="425"/>
              <w:contextualSpacing/>
              <w:jc w:val="both"/>
              <w:rPr>
                <w:rFonts w:ascii="Tahoma" w:hAnsi="Tahoma" w:cs="Tahoma"/>
                <w:sz w:val="20"/>
                <w:szCs w:val="20"/>
              </w:rPr>
            </w:pPr>
            <w:r w:rsidRPr="00F6074E">
              <w:rPr>
                <w:rFonts w:ascii="Tahoma" w:hAnsi="Tahoma" w:cs="Tahoma"/>
                <w:sz w:val="20"/>
                <w:szCs w:val="20"/>
              </w:rPr>
              <w:t>допустимая категория земельного участка «Земли населенных пунктов».</w:t>
            </w:r>
          </w:p>
          <w:p w14:paraId="547901EA" w14:textId="77777777" w:rsidR="00951A61" w:rsidRPr="00F6074E" w:rsidRDefault="00951A61" w:rsidP="00951A61">
            <w:pPr>
              <w:pStyle w:val="affe"/>
              <w:numPr>
                <w:ilvl w:val="0"/>
                <w:numId w:val="31"/>
              </w:numPr>
              <w:ind w:left="0" w:firstLine="425"/>
              <w:contextualSpacing/>
              <w:jc w:val="both"/>
              <w:rPr>
                <w:rFonts w:ascii="Tahoma" w:hAnsi="Tahoma" w:cs="Tahoma"/>
                <w:sz w:val="20"/>
                <w:szCs w:val="20"/>
              </w:rPr>
            </w:pPr>
            <w:r w:rsidRPr="00F6074E">
              <w:rPr>
                <w:rFonts w:ascii="Tahoma" w:hAnsi="Tahoma" w:cs="Tahoma"/>
                <w:sz w:val="20"/>
                <w:szCs w:val="20"/>
              </w:rPr>
              <w:t>допустимое разрешенное использование земельного участка:</w:t>
            </w:r>
          </w:p>
          <w:p w14:paraId="414B5243" w14:textId="77777777" w:rsidR="00951A61" w:rsidRPr="00F6074E" w:rsidRDefault="00951A61" w:rsidP="00951A61">
            <w:pPr>
              <w:pStyle w:val="affe"/>
              <w:numPr>
                <w:ilvl w:val="0"/>
                <w:numId w:val="33"/>
              </w:numPr>
              <w:ind w:left="0" w:firstLine="425"/>
              <w:contextualSpacing/>
              <w:jc w:val="both"/>
              <w:rPr>
                <w:rFonts w:ascii="Tahoma" w:hAnsi="Tahoma" w:cs="Tahoma"/>
                <w:sz w:val="20"/>
                <w:szCs w:val="20"/>
              </w:rPr>
            </w:pPr>
            <w:r w:rsidRPr="00F6074E">
              <w:rPr>
                <w:rFonts w:ascii="Tahoma" w:hAnsi="Tahoma" w:cs="Tahoma"/>
                <w:sz w:val="20"/>
                <w:szCs w:val="20"/>
              </w:rPr>
              <w:t>малоэтажная многоквартирная жилая застройка;</w:t>
            </w:r>
          </w:p>
          <w:p w14:paraId="019FAF88" w14:textId="77777777" w:rsidR="00951A61" w:rsidRPr="00F6074E" w:rsidRDefault="00951A61" w:rsidP="00951A61">
            <w:pPr>
              <w:pStyle w:val="affe"/>
              <w:numPr>
                <w:ilvl w:val="0"/>
                <w:numId w:val="33"/>
              </w:numPr>
              <w:ind w:left="0" w:firstLine="425"/>
              <w:contextualSpacing/>
              <w:jc w:val="both"/>
              <w:rPr>
                <w:rFonts w:ascii="Tahoma" w:hAnsi="Tahoma" w:cs="Tahoma"/>
                <w:sz w:val="20"/>
                <w:szCs w:val="20"/>
              </w:rPr>
            </w:pPr>
            <w:r w:rsidRPr="00F6074E">
              <w:rPr>
                <w:rFonts w:ascii="Tahoma" w:hAnsi="Tahoma" w:cs="Tahoma"/>
                <w:sz w:val="20"/>
                <w:szCs w:val="20"/>
              </w:rPr>
              <w:t>малоэтажное жилищное строительство;</w:t>
            </w:r>
          </w:p>
          <w:p w14:paraId="661DAA0E" w14:textId="77777777" w:rsidR="00951A61" w:rsidRPr="00F6074E" w:rsidRDefault="00951A61" w:rsidP="00951A61">
            <w:pPr>
              <w:pStyle w:val="affe"/>
              <w:numPr>
                <w:ilvl w:val="0"/>
                <w:numId w:val="33"/>
              </w:numPr>
              <w:ind w:left="0" w:firstLine="425"/>
              <w:contextualSpacing/>
              <w:jc w:val="both"/>
              <w:rPr>
                <w:rFonts w:ascii="Tahoma" w:hAnsi="Tahoma" w:cs="Tahoma"/>
                <w:sz w:val="20"/>
                <w:szCs w:val="20"/>
              </w:rPr>
            </w:pPr>
            <w:r w:rsidRPr="00F6074E">
              <w:rPr>
                <w:rFonts w:ascii="Tahoma" w:hAnsi="Tahoma" w:cs="Tahoma"/>
                <w:sz w:val="20"/>
                <w:szCs w:val="20"/>
              </w:rPr>
              <w:t>размещение домов малоэтажной жилой застройки;</w:t>
            </w:r>
          </w:p>
          <w:p w14:paraId="1B11B707" w14:textId="77777777" w:rsidR="00951A61" w:rsidRPr="00F6074E" w:rsidRDefault="00951A61" w:rsidP="00951A61">
            <w:pPr>
              <w:pStyle w:val="affe"/>
              <w:numPr>
                <w:ilvl w:val="0"/>
                <w:numId w:val="33"/>
              </w:numPr>
              <w:ind w:left="0" w:firstLine="425"/>
              <w:contextualSpacing/>
              <w:jc w:val="both"/>
              <w:rPr>
                <w:rFonts w:ascii="Tahoma" w:hAnsi="Tahoma" w:cs="Tahoma"/>
                <w:sz w:val="20"/>
                <w:szCs w:val="20"/>
              </w:rPr>
            </w:pPr>
            <w:r w:rsidRPr="00F6074E">
              <w:rPr>
                <w:rFonts w:ascii="Tahoma" w:hAnsi="Tahoma" w:cs="Tahoma"/>
                <w:sz w:val="20"/>
                <w:szCs w:val="20"/>
              </w:rPr>
              <w:t>малоэтажная жилая застройка;</w:t>
            </w:r>
          </w:p>
          <w:p w14:paraId="11A7419E" w14:textId="77777777" w:rsidR="00951A61" w:rsidRPr="00F6074E" w:rsidRDefault="00951A61" w:rsidP="00951A61">
            <w:pPr>
              <w:pStyle w:val="affe"/>
              <w:numPr>
                <w:ilvl w:val="0"/>
                <w:numId w:val="33"/>
              </w:numPr>
              <w:ind w:left="0" w:firstLine="425"/>
              <w:contextualSpacing/>
              <w:jc w:val="both"/>
              <w:rPr>
                <w:rFonts w:ascii="Tahoma" w:hAnsi="Tahoma" w:cs="Tahoma"/>
                <w:sz w:val="20"/>
                <w:szCs w:val="20"/>
              </w:rPr>
            </w:pPr>
            <w:r w:rsidRPr="00F6074E">
              <w:rPr>
                <w:rFonts w:ascii="Tahoma" w:hAnsi="Tahoma" w:cs="Tahoma"/>
                <w:sz w:val="20"/>
                <w:szCs w:val="20"/>
              </w:rPr>
              <w:t>многоквартирные жилые дома не выше 3 этажей;</w:t>
            </w:r>
          </w:p>
          <w:p w14:paraId="588CF51B" w14:textId="77777777" w:rsidR="00951A61" w:rsidRPr="00F6074E" w:rsidRDefault="00951A61" w:rsidP="00951A61">
            <w:pPr>
              <w:pStyle w:val="affe"/>
              <w:numPr>
                <w:ilvl w:val="0"/>
                <w:numId w:val="33"/>
              </w:numPr>
              <w:ind w:left="0" w:firstLine="425"/>
              <w:contextualSpacing/>
              <w:jc w:val="both"/>
              <w:rPr>
                <w:rFonts w:ascii="Tahoma" w:hAnsi="Tahoma" w:cs="Tahoma"/>
                <w:sz w:val="20"/>
                <w:szCs w:val="20"/>
              </w:rPr>
            </w:pPr>
            <w:r w:rsidRPr="00F6074E">
              <w:rPr>
                <w:rFonts w:ascii="Tahoma" w:hAnsi="Tahoma" w:cs="Tahoma"/>
                <w:sz w:val="20"/>
                <w:szCs w:val="20"/>
              </w:rPr>
              <w:t>жилая застройка;</w:t>
            </w:r>
          </w:p>
          <w:p w14:paraId="32A3FB2E" w14:textId="77777777" w:rsidR="00951A61" w:rsidRPr="00F6074E" w:rsidRDefault="00951A61" w:rsidP="00951A61">
            <w:pPr>
              <w:pStyle w:val="affe"/>
              <w:numPr>
                <w:ilvl w:val="0"/>
                <w:numId w:val="33"/>
              </w:numPr>
              <w:ind w:left="0" w:firstLine="425"/>
              <w:contextualSpacing/>
              <w:jc w:val="both"/>
              <w:rPr>
                <w:rFonts w:ascii="Tahoma" w:hAnsi="Tahoma" w:cs="Tahoma"/>
                <w:sz w:val="20"/>
                <w:szCs w:val="20"/>
              </w:rPr>
            </w:pPr>
            <w:r w:rsidRPr="00F6074E">
              <w:rPr>
                <w:rFonts w:ascii="Tahoma" w:hAnsi="Tahoma" w:cs="Tahoma"/>
                <w:sz w:val="20"/>
                <w:szCs w:val="20"/>
              </w:rPr>
              <w:t>малоэтажная многоквартирная застройка;</w:t>
            </w:r>
          </w:p>
          <w:p w14:paraId="57E7DC8A" w14:textId="77777777" w:rsidR="00951A61" w:rsidRPr="00F6074E" w:rsidRDefault="00951A61" w:rsidP="00951A61">
            <w:pPr>
              <w:pStyle w:val="affe"/>
              <w:numPr>
                <w:ilvl w:val="0"/>
                <w:numId w:val="33"/>
              </w:numPr>
              <w:ind w:left="0" w:firstLine="425"/>
              <w:contextualSpacing/>
              <w:jc w:val="both"/>
              <w:rPr>
                <w:rFonts w:ascii="Tahoma" w:hAnsi="Tahoma" w:cs="Tahoma"/>
                <w:sz w:val="20"/>
                <w:szCs w:val="20"/>
              </w:rPr>
            </w:pPr>
            <w:r w:rsidRPr="00F6074E">
              <w:rPr>
                <w:rFonts w:ascii="Tahoma" w:hAnsi="Tahoma" w:cs="Tahoma"/>
                <w:sz w:val="20"/>
                <w:szCs w:val="20"/>
              </w:rPr>
              <w:t>жилищное строительство;</w:t>
            </w:r>
          </w:p>
          <w:p w14:paraId="75048940" w14:textId="77777777" w:rsidR="00951A61" w:rsidRPr="00F6074E" w:rsidRDefault="00951A61" w:rsidP="00951A61">
            <w:pPr>
              <w:pStyle w:val="affe"/>
              <w:numPr>
                <w:ilvl w:val="0"/>
                <w:numId w:val="33"/>
              </w:numPr>
              <w:ind w:left="0" w:firstLine="425"/>
              <w:contextualSpacing/>
              <w:jc w:val="both"/>
              <w:rPr>
                <w:rFonts w:ascii="Tahoma" w:hAnsi="Tahoma" w:cs="Tahoma"/>
                <w:sz w:val="20"/>
                <w:szCs w:val="20"/>
              </w:rPr>
            </w:pPr>
            <w:r w:rsidRPr="00F6074E">
              <w:rPr>
                <w:rFonts w:ascii="Tahoma" w:hAnsi="Tahoma" w:cs="Tahoma"/>
                <w:sz w:val="20"/>
                <w:szCs w:val="20"/>
              </w:rPr>
              <w:t>малоэтажное строительство;</w:t>
            </w:r>
          </w:p>
          <w:p w14:paraId="4A124466" w14:textId="77777777" w:rsidR="00951A61" w:rsidRPr="00F6074E" w:rsidRDefault="00951A61" w:rsidP="00951A61">
            <w:pPr>
              <w:pStyle w:val="affe"/>
              <w:numPr>
                <w:ilvl w:val="0"/>
                <w:numId w:val="33"/>
              </w:numPr>
              <w:ind w:left="0" w:firstLine="425"/>
              <w:contextualSpacing/>
              <w:jc w:val="both"/>
              <w:rPr>
                <w:rFonts w:ascii="Tahoma" w:hAnsi="Tahoma" w:cs="Tahoma"/>
                <w:sz w:val="20"/>
                <w:szCs w:val="20"/>
              </w:rPr>
            </w:pPr>
            <w:r w:rsidRPr="00F6074E">
              <w:rPr>
                <w:rFonts w:ascii="Tahoma" w:hAnsi="Tahoma" w:cs="Tahoma"/>
                <w:sz w:val="20"/>
                <w:szCs w:val="20"/>
              </w:rPr>
              <w:t>возможно иное разрешенное использование земельного участка при условии возможности строительства на нем многоквартирного жилого дома блокированной застройки.</w:t>
            </w:r>
          </w:p>
          <w:p w14:paraId="39D6E97A" w14:textId="77777777" w:rsidR="00951A61" w:rsidRPr="00F6074E" w:rsidRDefault="00951A61" w:rsidP="00A4032F">
            <w:pPr>
              <w:ind w:firstLine="425"/>
              <w:jc w:val="both"/>
              <w:rPr>
                <w:rFonts w:ascii="Tahoma" w:hAnsi="Tahoma" w:cs="Tahoma"/>
                <w:sz w:val="20"/>
                <w:szCs w:val="20"/>
              </w:rPr>
            </w:pPr>
          </w:p>
          <w:p w14:paraId="04C7C0CB" w14:textId="77777777" w:rsidR="00951A61" w:rsidRPr="00F6074E" w:rsidRDefault="00951A61" w:rsidP="00A4032F">
            <w:pPr>
              <w:ind w:firstLine="425"/>
              <w:jc w:val="both"/>
              <w:rPr>
                <w:rFonts w:ascii="Tahoma" w:hAnsi="Tahoma" w:cs="Tahoma"/>
                <w:sz w:val="20"/>
                <w:szCs w:val="20"/>
              </w:rPr>
            </w:pPr>
          </w:p>
          <w:p w14:paraId="7E3BEC8E" w14:textId="77777777" w:rsidR="00951A61" w:rsidRPr="00F6074E" w:rsidRDefault="00951A61" w:rsidP="00A4032F">
            <w:pPr>
              <w:ind w:firstLine="425"/>
              <w:jc w:val="both"/>
              <w:rPr>
                <w:rFonts w:ascii="Tahoma" w:hAnsi="Tahoma" w:cs="Tahoma"/>
                <w:sz w:val="20"/>
                <w:szCs w:val="20"/>
              </w:rPr>
            </w:pPr>
            <w:r w:rsidRPr="00F6074E">
              <w:rPr>
                <w:rFonts w:ascii="Tahoma" w:hAnsi="Tahoma" w:cs="Tahoma"/>
                <w:b/>
                <w:sz w:val="20"/>
                <w:szCs w:val="20"/>
                <w:u w:val="single"/>
              </w:rPr>
              <w:t>Жилой дом, в том числе жилой дом (его часть) блокированной застройки с земельным участком</w:t>
            </w:r>
            <w:r w:rsidRPr="00F6074E">
              <w:rPr>
                <w:rFonts w:ascii="Tahoma" w:hAnsi="Tahoma" w:cs="Tahoma"/>
                <w:sz w:val="20"/>
                <w:szCs w:val="20"/>
              </w:rPr>
              <w:t>:</w:t>
            </w:r>
          </w:p>
          <w:p w14:paraId="5BEF085C" w14:textId="77777777" w:rsidR="00951A61" w:rsidRPr="00F6074E" w:rsidRDefault="00951A61" w:rsidP="00A4032F">
            <w:pPr>
              <w:ind w:firstLine="425"/>
              <w:jc w:val="both"/>
              <w:rPr>
                <w:rFonts w:ascii="Tahoma" w:hAnsi="Tahoma" w:cs="Tahoma"/>
                <w:sz w:val="20"/>
                <w:szCs w:val="20"/>
                <w:u w:val="single"/>
              </w:rPr>
            </w:pPr>
            <w:r w:rsidRPr="00F6074E">
              <w:rPr>
                <w:rFonts w:ascii="Tahoma" w:hAnsi="Tahoma" w:cs="Tahoma"/>
                <w:sz w:val="20"/>
                <w:szCs w:val="20"/>
                <w:u w:val="single"/>
              </w:rPr>
              <w:t>Требования, предъявляемые к жилому дому:</w:t>
            </w:r>
          </w:p>
          <w:p w14:paraId="7C20862A" w14:textId="77777777" w:rsidR="00951A61" w:rsidRPr="00F6074E" w:rsidRDefault="00951A61" w:rsidP="00951A61">
            <w:pPr>
              <w:pStyle w:val="affe"/>
              <w:numPr>
                <w:ilvl w:val="0"/>
                <w:numId w:val="36"/>
              </w:numPr>
              <w:ind w:left="0" w:firstLine="425"/>
              <w:contextualSpacing/>
              <w:jc w:val="both"/>
              <w:rPr>
                <w:rFonts w:ascii="Tahoma" w:hAnsi="Tahoma" w:cs="Tahoma"/>
                <w:sz w:val="20"/>
                <w:szCs w:val="20"/>
              </w:rPr>
            </w:pPr>
            <w:r w:rsidRPr="00F6074E">
              <w:rPr>
                <w:rFonts w:ascii="Tahoma" w:hAnsi="Tahoma" w:cs="Tahoma"/>
                <w:sz w:val="20"/>
                <w:szCs w:val="20"/>
              </w:rPr>
              <w:t>жилой дом находится в собственности Продавца (при этом право собственности должно быть зарегистрировано как на объект недвижимости, завершенный строительством);</w:t>
            </w:r>
          </w:p>
          <w:p w14:paraId="06C7E3CF" w14:textId="77777777" w:rsidR="00951A61" w:rsidRPr="00F6074E" w:rsidRDefault="00951A61" w:rsidP="00951A61">
            <w:pPr>
              <w:pStyle w:val="affe"/>
              <w:numPr>
                <w:ilvl w:val="0"/>
                <w:numId w:val="36"/>
              </w:numPr>
              <w:ind w:left="0" w:firstLine="425"/>
              <w:contextualSpacing/>
              <w:jc w:val="both"/>
              <w:rPr>
                <w:rFonts w:ascii="Tahoma" w:hAnsi="Tahoma" w:cs="Tahoma"/>
                <w:sz w:val="20"/>
                <w:szCs w:val="20"/>
              </w:rPr>
            </w:pPr>
            <w:r w:rsidRPr="00F6074E">
              <w:rPr>
                <w:rFonts w:ascii="Tahoma" w:hAnsi="Tahoma" w:cs="Tahoma"/>
                <w:sz w:val="20"/>
                <w:szCs w:val="20"/>
              </w:rPr>
              <w:t>пригоден для круглогодичного проживания, доступ возможен в любое время года;</w:t>
            </w:r>
          </w:p>
          <w:p w14:paraId="3D7B3B11" w14:textId="77777777" w:rsidR="00951A61" w:rsidRPr="00F6074E" w:rsidRDefault="00951A61" w:rsidP="00951A61">
            <w:pPr>
              <w:pStyle w:val="affe"/>
              <w:numPr>
                <w:ilvl w:val="0"/>
                <w:numId w:val="36"/>
              </w:numPr>
              <w:ind w:left="0" w:firstLine="425"/>
              <w:contextualSpacing/>
              <w:jc w:val="both"/>
              <w:rPr>
                <w:rFonts w:ascii="Tahoma" w:hAnsi="Tahoma" w:cs="Tahoma"/>
                <w:sz w:val="20"/>
                <w:szCs w:val="20"/>
              </w:rPr>
            </w:pPr>
            <w:r w:rsidRPr="00F6074E">
              <w:rPr>
                <w:rFonts w:ascii="Tahoma" w:hAnsi="Tahoma" w:cs="Tahoma"/>
                <w:sz w:val="20"/>
                <w:szCs w:val="20"/>
              </w:rPr>
              <w:t>площадь жилого дома не менее 60 кв. м;</w:t>
            </w:r>
          </w:p>
          <w:p w14:paraId="3B95BDDD" w14:textId="77777777" w:rsidR="00951A61" w:rsidRPr="00F6074E" w:rsidRDefault="00951A61" w:rsidP="00951A61">
            <w:pPr>
              <w:pStyle w:val="affe"/>
              <w:numPr>
                <w:ilvl w:val="0"/>
                <w:numId w:val="36"/>
              </w:numPr>
              <w:ind w:left="0" w:firstLine="425"/>
              <w:contextualSpacing/>
              <w:jc w:val="both"/>
              <w:rPr>
                <w:rFonts w:ascii="Tahoma" w:hAnsi="Tahoma" w:cs="Tahoma"/>
                <w:sz w:val="20"/>
                <w:szCs w:val="20"/>
              </w:rPr>
            </w:pPr>
            <w:r w:rsidRPr="00F6074E">
              <w:rPr>
                <w:rFonts w:ascii="Tahoma" w:hAnsi="Tahoma" w:cs="Tahoma"/>
                <w:sz w:val="20"/>
                <w:szCs w:val="20"/>
              </w:rPr>
              <w:t>фундамент - каменный (бутовый, бутобетонный или кирпичный), железный или железобетонный;</w:t>
            </w:r>
          </w:p>
          <w:p w14:paraId="7AA19415" w14:textId="77777777" w:rsidR="00951A61" w:rsidRPr="00F6074E" w:rsidRDefault="00951A61" w:rsidP="00951A61">
            <w:pPr>
              <w:pStyle w:val="affe"/>
              <w:numPr>
                <w:ilvl w:val="0"/>
                <w:numId w:val="36"/>
              </w:numPr>
              <w:ind w:left="0" w:firstLine="425"/>
              <w:contextualSpacing/>
              <w:jc w:val="both"/>
              <w:rPr>
                <w:rFonts w:ascii="Tahoma" w:hAnsi="Tahoma" w:cs="Tahoma"/>
                <w:sz w:val="20"/>
                <w:szCs w:val="20"/>
              </w:rPr>
            </w:pPr>
            <w:r w:rsidRPr="00F6074E">
              <w:rPr>
                <w:rFonts w:ascii="Tahoma" w:hAnsi="Tahoma" w:cs="Tahoma"/>
                <w:sz w:val="20"/>
                <w:szCs w:val="20"/>
              </w:rPr>
              <w:t>материал стен – кирпич/ бетон (в т. ч. материал на основе бетона: газоблок, пеноблок, твинблок и т. п.), брус/ клееный брус или аналогичные материалы;</w:t>
            </w:r>
          </w:p>
          <w:p w14:paraId="23BAF0CD" w14:textId="77777777" w:rsidR="00951A61" w:rsidRPr="00F6074E" w:rsidRDefault="00951A61" w:rsidP="00951A61">
            <w:pPr>
              <w:pStyle w:val="affe"/>
              <w:numPr>
                <w:ilvl w:val="0"/>
                <w:numId w:val="36"/>
              </w:numPr>
              <w:ind w:left="0" w:firstLine="425"/>
              <w:contextualSpacing/>
              <w:jc w:val="both"/>
              <w:rPr>
                <w:rFonts w:ascii="Tahoma" w:hAnsi="Tahoma" w:cs="Tahoma"/>
                <w:sz w:val="20"/>
                <w:szCs w:val="20"/>
              </w:rPr>
            </w:pPr>
            <w:r w:rsidRPr="00F6074E">
              <w:rPr>
                <w:rFonts w:ascii="Tahoma" w:hAnsi="Tahoma" w:cs="Tahoma"/>
                <w:sz w:val="20"/>
                <w:szCs w:val="20"/>
              </w:rPr>
              <w:t>год постройки – не более 20 лет до даты проведения оценки;</w:t>
            </w:r>
          </w:p>
          <w:p w14:paraId="55B4B606" w14:textId="77777777" w:rsidR="00951A61" w:rsidRPr="00F6074E" w:rsidRDefault="00951A61" w:rsidP="00951A61">
            <w:pPr>
              <w:pStyle w:val="affe"/>
              <w:numPr>
                <w:ilvl w:val="0"/>
                <w:numId w:val="36"/>
              </w:numPr>
              <w:ind w:left="0" w:firstLine="425"/>
              <w:contextualSpacing/>
              <w:jc w:val="both"/>
              <w:rPr>
                <w:rFonts w:ascii="Tahoma" w:hAnsi="Tahoma" w:cs="Tahoma"/>
                <w:sz w:val="20"/>
                <w:szCs w:val="20"/>
              </w:rPr>
            </w:pPr>
            <w:r w:rsidRPr="00F6074E">
              <w:rPr>
                <w:rFonts w:ascii="Tahoma" w:hAnsi="Tahoma" w:cs="Tahoma"/>
                <w:sz w:val="20"/>
                <w:szCs w:val="20"/>
              </w:rPr>
              <w:t>наличие остекления оконных проемов, установленных входных дверей;</w:t>
            </w:r>
          </w:p>
          <w:p w14:paraId="10B7DDF2" w14:textId="77777777" w:rsidR="00951A61" w:rsidRPr="00F6074E" w:rsidRDefault="00951A61" w:rsidP="00951A61">
            <w:pPr>
              <w:pStyle w:val="affe"/>
              <w:numPr>
                <w:ilvl w:val="0"/>
                <w:numId w:val="36"/>
              </w:numPr>
              <w:ind w:left="0" w:firstLine="425"/>
              <w:contextualSpacing/>
              <w:jc w:val="both"/>
              <w:rPr>
                <w:rFonts w:ascii="Tahoma" w:hAnsi="Tahoma" w:cs="Tahoma"/>
                <w:sz w:val="20"/>
                <w:szCs w:val="20"/>
              </w:rPr>
            </w:pPr>
            <w:r w:rsidRPr="00F6074E">
              <w:rPr>
                <w:rFonts w:ascii="Tahoma" w:hAnsi="Tahoma" w:cs="Tahoma"/>
                <w:sz w:val="20"/>
                <w:szCs w:val="20"/>
              </w:rPr>
              <w:t>оборудование следующими инженерными коммуникациями:</w:t>
            </w:r>
          </w:p>
          <w:p w14:paraId="78CA579D" w14:textId="77777777" w:rsidR="00951A61" w:rsidRPr="00F6074E" w:rsidRDefault="00951A61" w:rsidP="00951A61">
            <w:pPr>
              <w:pStyle w:val="affe"/>
              <w:numPr>
                <w:ilvl w:val="0"/>
                <w:numId w:val="42"/>
              </w:numPr>
              <w:ind w:left="0" w:firstLine="425"/>
              <w:contextualSpacing/>
              <w:jc w:val="both"/>
              <w:rPr>
                <w:rFonts w:ascii="Tahoma" w:hAnsi="Tahoma" w:cs="Tahoma"/>
                <w:sz w:val="20"/>
                <w:szCs w:val="20"/>
              </w:rPr>
            </w:pPr>
            <w:r w:rsidRPr="00F6074E">
              <w:rPr>
                <w:rFonts w:ascii="Tahoma" w:hAnsi="Tahoma" w:cs="Tahoma"/>
                <w:sz w:val="20"/>
                <w:szCs w:val="20"/>
              </w:rPr>
              <w:t>подключение к электросети, осуществлена разводка электропроводки, установлены счетчики учета электроэнергии;</w:t>
            </w:r>
          </w:p>
          <w:p w14:paraId="059025EA" w14:textId="77777777" w:rsidR="00951A61" w:rsidRPr="00F6074E" w:rsidRDefault="00951A61" w:rsidP="00951A61">
            <w:pPr>
              <w:pStyle w:val="affe"/>
              <w:numPr>
                <w:ilvl w:val="0"/>
                <w:numId w:val="42"/>
              </w:numPr>
              <w:ind w:left="0" w:firstLine="425"/>
              <w:contextualSpacing/>
              <w:jc w:val="both"/>
              <w:rPr>
                <w:rFonts w:ascii="Tahoma" w:hAnsi="Tahoma" w:cs="Tahoma"/>
                <w:sz w:val="20"/>
                <w:szCs w:val="20"/>
              </w:rPr>
            </w:pPr>
            <w:r w:rsidRPr="00F6074E">
              <w:rPr>
                <w:rFonts w:ascii="Tahoma" w:hAnsi="Tahoma" w:cs="Tahoma"/>
                <w:sz w:val="20"/>
                <w:szCs w:val="20"/>
              </w:rPr>
              <w:t>подключение к центральному отоплению или оборудование автономной системой отопления, осуществлена разводка труб для теплоносителя и установлены радиаторы отопления;</w:t>
            </w:r>
          </w:p>
          <w:p w14:paraId="060B2980" w14:textId="77777777" w:rsidR="00951A61" w:rsidRPr="00F6074E" w:rsidRDefault="00951A61" w:rsidP="00951A61">
            <w:pPr>
              <w:pStyle w:val="affe"/>
              <w:numPr>
                <w:ilvl w:val="0"/>
                <w:numId w:val="42"/>
              </w:numPr>
              <w:ind w:left="0" w:firstLine="425"/>
              <w:contextualSpacing/>
              <w:jc w:val="both"/>
              <w:rPr>
                <w:rFonts w:ascii="Tahoma" w:hAnsi="Tahoma" w:cs="Tahoma"/>
                <w:sz w:val="20"/>
                <w:szCs w:val="20"/>
              </w:rPr>
            </w:pPr>
            <w:r w:rsidRPr="00F6074E">
              <w:rPr>
                <w:rFonts w:ascii="Tahoma" w:hAnsi="Tahoma" w:cs="Tahoma"/>
                <w:sz w:val="20"/>
                <w:szCs w:val="20"/>
              </w:rPr>
              <w:t>подключение к всесезонному водопроводу или к скважине, осуществлена разводка труб водоснабжения;</w:t>
            </w:r>
          </w:p>
          <w:p w14:paraId="7543BC68" w14:textId="77777777" w:rsidR="00951A61" w:rsidRPr="00F6074E" w:rsidRDefault="00951A61" w:rsidP="00951A61">
            <w:pPr>
              <w:pStyle w:val="affe"/>
              <w:numPr>
                <w:ilvl w:val="0"/>
                <w:numId w:val="42"/>
              </w:numPr>
              <w:ind w:left="0" w:firstLine="425"/>
              <w:contextualSpacing/>
              <w:jc w:val="both"/>
              <w:rPr>
                <w:rFonts w:ascii="Tahoma" w:hAnsi="Tahoma" w:cs="Tahoma"/>
                <w:sz w:val="20"/>
                <w:szCs w:val="20"/>
              </w:rPr>
            </w:pPr>
            <w:r w:rsidRPr="00F6074E">
              <w:rPr>
                <w:rFonts w:ascii="Tahoma" w:hAnsi="Tahoma" w:cs="Tahoma"/>
                <w:sz w:val="20"/>
                <w:szCs w:val="20"/>
              </w:rPr>
              <w:t>подключение к канализационной сети или локальному очистному сооружению, осуществлена разводка канализационных труб.</w:t>
            </w:r>
          </w:p>
          <w:p w14:paraId="429FE8BA" w14:textId="77777777" w:rsidR="00951A61" w:rsidRPr="00F6074E" w:rsidRDefault="00951A61" w:rsidP="00A4032F">
            <w:pPr>
              <w:ind w:firstLine="425"/>
              <w:jc w:val="both"/>
              <w:rPr>
                <w:rFonts w:ascii="Tahoma" w:hAnsi="Tahoma" w:cs="Tahoma"/>
                <w:sz w:val="20"/>
                <w:szCs w:val="20"/>
                <w:u w:val="single"/>
              </w:rPr>
            </w:pPr>
          </w:p>
          <w:p w14:paraId="0BB006A8" w14:textId="77777777" w:rsidR="00951A61" w:rsidRPr="00F6074E" w:rsidRDefault="00951A61" w:rsidP="00A4032F">
            <w:pPr>
              <w:ind w:firstLine="425"/>
              <w:jc w:val="both"/>
              <w:rPr>
                <w:rFonts w:ascii="Tahoma" w:hAnsi="Tahoma" w:cs="Tahoma"/>
                <w:sz w:val="20"/>
                <w:szCs w:val="20"/>
                <w:u w:val="single"/>
              </w:rPr>
            </w:pPr>
            <w:r w:rsidRPr="00F6074E">
              <w:rPr>
                <w:rFonts w:ascii="Tahoma" w:hAnsi="Tahoma" w:cs="Tahoma"/>
                <w:sz w:val="20"/>
                <w:szCs w:val="20"/>
                <w:u w:val="single"/>
              </w:rPr>
              <w:t>Дополнительные требования к жилому дому блокированной застройки:</w:t>
            </w:r>
          </w:p>
          <w:p w14:paraId="7AFC21C3" w14:textId="77777777" w:rsidR="00951A61" w:rsidRPr="00F6074E" w:rsidRDefault="00951A61" w:rsidP="00951A61">
            <w:pPr>
              <w:pStyle w:val="affe"/>
              <w:numPr>
                <w:ilvl w:val="0"/>
                <w:numId w:val="34"/>
              </w:numPr>
              <w:autoSpaceDE w:val="0"/>
              <w:autoSpaceDN w:val="0"/>
              <w:adjustRightInd w:val="0"/>
              <w:ind w:left="0" w:firstLine="425"/>
              <w:contextualSpacing/>
              <w:jc w:val="both"/>
              <w:rPr>
                <w:rFonts w:ascii="Tahoma" w:hAnsi="Tahoma" w:cs="Tahoma"/>
                <w:sz w:val="20"/>
                <w:szCs w:val="20"/>
              </w:rPr>
            </w:pPr>
            <w:r w:rsidRPr="00F6074E">
              <w:rPr>
                <w:rFonts w:ascii="Tahoma" w:hAnsi="Tahoma" w:cs="Tahoma"/>
                <w:sz w:val="20"/>
                <w:szCs w:val="20"/>
              </w:rPr>
              <w:t xml:space="preserve">количество этажей не более 3 (трех); </w:t>
            </w:r>
          </w:p>
          <w:p w14:paraId="35A821AA" w14:textId="77777777" w:rsidR="00951A61" w:rsidRPr="00F6074E" w:rsidRDefault="00951A61" w:rsidP="00951A61">
            <w:pPr>
              <w:pStyle w:val="affe"/>
              <w:numPr>
                <w:ilvl w:val="0"/>
                <w:numId w:val="34"/>
              </w:numPr>
              <w:autoSpaceDE w:val="0"/>
              <w:autoSpaceDN w:val="0"/>
              <w:adjustRightInd w:val="0"/>
              <w:ind w:left="0" w:firstLine="425"/>
              <w:contextualSpacing/>
              <w:jc w:val="both"/>
              <w:rPr>
                <w:rFonts w:ascii="Tahoma" w:hAnsi="Tahoma" w:cs="Tahoma"/>
                <w:sz w:val="20"/>
                <w:szCs w:val="20"/>
              </w:rPr>
            </w:pPr>
            <w:r w:rsidRPr="00F6074E">
              <w:rPr>
                <w:rFonts w:ascii="Tahoma" w:hAnsi="Tahoma" w:cs="Tahoma"/>
                <w:sz w:val="20"/>
                <w:szCs w:val="20"/>
              </w:rPr>
              <w:t xml:space="preserve">должен состоять из нескольких блоков, количество которых не должно превышать 10 (десять); </w:t>
            </w:r>
          </w:p>
          <w:p w14:paraId="0E2038EC" w14:textId="77777777" w:rsidR="00951A61" w:rsidRPr="00F6074E" w:rsidRDefault="00951A61" w:rsidP="00951A61">
            <w:pPr>
              <w:pStyle w:val="affe"/>
              <w:numPr>
                <w:ilvl w:val="0"/>
                <w:numId w:val="34"/>
              </w:numPr>
              <w:autoSpaceDE w:val="0"/>
              <w:autoSpaceDN w:val="0"/>
              <w:adjustRightInd w:val="0"/>
              <w:ind w:left="0" w:firstLine="425"/>
              <w:contextualSpacing/>
              <w:jc w:val="both"/>
              <w:rPr>
                <w:rFonts w:ascii="Tahoma" w:hAnsi="Tahoma" w:cs="Tahoma"/>
                <w:sz w:val="20"/>
                <w:szCs w:val="20"/>
              </w:rPr>
            </w:pPr>
            <w:r w:rsidRPr="00F6074E">
              <w:rPr>
                <w:rFonts w:ascii="Tahoma" w:hAnsi="Tahoma" w:cs="Tahoma"/>
                <w:sz w:val="20"/>
                <w:szCs w:val="20"/>
              </w:rPr>
              <w:t xml:space="preserve">жилой дом блокированной застройки с земельным участком может находиться как в готовом, так и в строящемся объекте недвижимости; </w:t>
            </w:r>
          </w:p>
          <w:p w14:paraId="05347820" w14:textId="77777777" w:rsidR="00951A61" w:rsidRPr="00F6074E" w:rsidRDefault="00951A61" w:rsidP="00951A61">
            <w:pPr>
              <w:pStyle w:val="affe"/>
              <w:numPr>
                <w:ilvl w:val="0"/>
                <w:numId w:val="34"/>
              </w:numPr>
              <w:autoSpaceDE w:val="0"/>
              <w:autoSpaceDN w:val="0"/>
              <w:adjustRightInd w:val="0"/>
              <w:ind w:left="0" w:firstLine="425"/>
              <w:contextualSpacing/>
              <w:jc w:val="both"/>
              <w:rPr>
                <w:rFonts w:ascii="Tahoma" w:hAnsi="Tahoma" w:cs="Tahoma"/>
                <w:sz w:val="20"/>
                <w:szCs w:val="20"/>
              </w:rPr>
            </w:pPr>
            <w:r w:rsidRPr="00F6074E">
              <w:rPr>
                <w:rFonts w:ascii="Tahoma" w:hAnsi="Tahoma" w:cs="Tahoma"/>
                <w:sz w:val="20"/>
                <w:szCs w:val="20"/>
              </w:rPr>
              <w:t xml:space="preserve">при приобретении жилого дома на этапе строительства должен также отдельно приобретаться по ДКП земельный участок, расположенный под кредитуемой частью жилого дома или непосредственно прилегающий к кредитуемой части жилого дома, в этом случае если земельный участок не приобретается отдельно, то заявка при приобретении жилого дома на этапе строительства не рассматривается; </w:t>
            </w:r>
          </w:p>
          <w:p w14:paraId="48F1148E" w14:textId="77777777" w:rsidR="00951A61" w:rsidRPr="00F6074E" w:rsidRDefault="00951A61" w:rsidP="00951A61">
            <w:pPr>
              <w:pStyle w:val="affe"/>
              <w:numPr>
                <w:ilvl w:val="0"/>
                <w:numId w:val="34"/>
              </w:numPr>
              <w:autoSpaceDE w:val="0"/>
              <w:autoSpaceDN w:val="0"/>
              <w:adjustRightInd w:val="0"/>
              <w:ind w:left="0" w:firstLine="425"/>
              <w:contextualSpacing/>
              <w:jc w:val="both"/>
              <w:rPr>
                <w:rFonts w:ascii="Tahoma" w:hAnsi="Tahoma" w:cs="Tahoma"/>
                <w:sz w:val="20"/>
                <w:szCs w:val="20"/>
              </w:rPr>
            </w:pPr>
            <w:r w:rsidRPr="00F6074E">
              <w:rPr>
                <w:rFonts w:ascii="Tahoma" w:hAnsi="Tahoma" w:cs="Tahoma"/>
                <w:sz w:val="20"/>
                <w:szCs w:val="20"/>
              </w:rPr>
              <w:t xml:space="preserve">в свидетельстве о государственной регистрации права собственности или выписке ЕГРН в качестве объекта права может быть указано: </w:t>
            </w:r>
          </w:p>
          <w:p w14:paraId="63AE5683" w14:textId="77777777" w:rsidR="00951A61" w:rsidRPr="00F6074E" w:rsidRDefault="00951A61" w:rsidP="00951A61">
            <w:pPr>
              <w:pStyle w:val="affe"/>
              <w:numPr>
                <w:ilvl w:val="0"/>
                <w:numId w:val="41"/>
              </w:numPr>
              <w:autoSpaceDE w:val="0"/>
              <w:autoSpaceDN w:val="0"/>
              <w:adjustRightInd w:val="0"/>
              <w:ind w:left="0" w:firstLine="425"/>
              <w:contextualSpacing/>
              <w:jc w:val="both"/>
              <w:rPr>
                <w:rFonts w:ascii="Tahoma" w:hAnsi="Tahoma" w:cs="Tahoma"/>
                <w:sz w:val="20"/>
                <w:szCs w:val="20"/>
              </w:rPr>
            </w:pPr>
            <w:r w:rsidRPr="00F6074E">
              <w:rPr>
                <w:rFonts w:ascii="Tahoma" w:hAnsi="Tahoma" w:cs="Tahoma"/>
                <w:sz w:val="20"/>
                <w:szCs w:val="20"/>
              </w:rPr>
              <w:t xml:space="preserve">жилой дом; </w:t>
            </w:r>
          </w:p>
          <w:p w14:paraId="3239D202" w14:textId="77777777" w:rsidR="00951A61" w:rsidRPr="00F6074E" w:rsidRDefault="00951A61" w:rsidP="00951A61">
            <w:pPr>
              <w:pStyle w:val="affe"/>
              <w:numPr>
                <w:ilvl w:val="0"/>
                <w:numId w:val="41"/>
              </w:numPr>
              <w:autoSpaceDE w:val="0"/>
              <w:autoSpaceDN w:val="0"/>
              <w:adjustRightInd w:val="0"/>
              <w:ind w:left="0" w:firstLine="425"/>
              <w:contextualSpacing/>
              <w:jc w:val="both"/>
              <w:rPr>
                <w:rFonts w:ascii="Tahoma" w:hAnsi="Tahoma" w:cs="Tahoma"/>
                <w:sz w:val="20"/>
                <w:szCs w:val="20"/>
              </w:rPr>
            </w:pPr>
            <w:r w:rsidRPr="00F6074E">
              <w:rPr>
                <w:rFonts w:ascii="Tahoma" w:hAnsi="Tahoma" w:cs="Tahoma"/>
                <w:sz w:val="20"/>
                <w:szCs w:val="20"/>
              </w:rPr>
              <w:t xml:space="preserve">жилое помещение; </w:t>
            </w:r>
          </w:p>
          <w:p w14:paraId="6F3A5836" w14:textId="77777777" w:rsidR="00951A61" w:rsidRPr="00F6074E" w:rsidRDefault="00951A61" w:rsidP="00951A61">
            <w:pPr>
              <w:pStyle w:val="affe"/>
              <w:numPr>
                <w:ilvl w:val="0"/>
                <w:numId w:val="41"/>
              </w:numPr>
              <w:autoSpaceDE w:val="0"/>
              <w:autoSpaceDN w:val="0"/>
              <w:adjustRightInd w:val="0"/>
              <w:ind w:left="0" w:firstLine="425"/>
              <w:contextualSpacing/>
              <w:jc w:val="both"/>
              <w:rPr>
                <w:rFonts w:ascii="Tahoma" w:hAnsi="Tahoma" w:cs="Tahoma"/>
                <w:sz w:val="20"/>
                <w:szCs w:val="20"/>
              </w:rPr>
            </w:pPr>
            <w:r w:rsidRPr="00F6074E">
              <w:rPr>
                <w:rFonts w:ascii="Tahoma" w:hAnsi="Tahoma" w:cs="Tahoma"/>
                <w:sz w:val="20"/>
                <w:szCs w:val="20"/>
              </w:rPr>
              <w:t xml:space="preserve">жилой блок; </w:t>
            </w:r>
          </w:p>
          <w:p w14:paraId="2C570661" w14:textId="77777777" w:rsidR="00951A61" w:rsidRPr="00F6074E" w:rsidRDefault="00951A61" w:rsidP="00951A61">
            <w:pPr>
              <w:pStyle w:val="affe"/>
              <w:numPr>
                <w:ilvl w:val="0"/>
                <w:numId w:val="41"/>
              </w:numPr>
              <w:autoSpaceDE w:val="0"/>
              <w:autoSpaceDN w:val="0"/>
              <w:adjustRightInd w:val="0"/>
              <w:ind w:left="0" w:firstLine="425"/>
              <w:contextualSpacing/>
              <w:jc w:val="both"/>
              <w:rPr>
                <w:rFonts w:ascii="Tahoma" w:hAnsi="Tahoma" w:cs="Tahoma"/>
                <w:sz w:val="20"/>
                <w:szCs w:val="20"/>
              </w:rPr>
            </w:pPr>
            <w:r w:rsidRPr="00F6074E">
              <w:rPr>
                <w:rFonts w:ascii="Tahoma" w:hAnsi="Tahoma" w:cs="Tahoma"/>
                <w:sz w:val="20"/>
                <w:szCs w:val="20"/>
              </w:rPr>
              <w:t xml:space="preserve">часть жилого дома; </w:t>
            </w:r>
          </w:p>
          <w:p w14:paraId="219C8D55" w14:textId="77777777" w:rsidR="00951A61" w:rsidRPr="00F6074E" w:rsidRDefault="00951A61" w:rsidP="00951A61">
            <w:pPr>
              <w:pStyle w:val="affe"/>
              <w:numPr>
                <w:ilvl w:val="0"/>
                <w:numId w:val="41"/>
              </w:numPr>
              <w:autoSpaceDE w:val="0"/>
              <w:autoSpaceDN w:val="0"/>
              <w:adjustRightInd w:val="0"/>
              <w:ind w:left="0" w:firstLine="425"/>
              <w:contextualSpacing/>
              <w:jc w:val="both"/>
              <w:rPr>
                <w:rFonts w:ascii="Tahoma" w:hAnsi="Tahoma" w:cs="Tahoma"/>
                <w:sz w:val="20"/>
                <w:szCs w:val="20"/>
              </w:rPr>
            </w:pPr>
            <w:r w:rsidRPr="00F6074E">
              <w:rPr>
                <w:rFonts w:ascii="Tahoma" w:hAnsi="Tahoma" w:cs="Tahoma"/>
                <w:sz w:val="20"/>
                <w:szCs w:val="20"/>
              </w:rPr>
              <w:t xml:space="preserve">жилой дом блокированной застройки; </w:t>
            </w:r>
          </w:p>
          <w:p w14:paraId="0DE6C468" w14:textId="77777777" w:rsidR="00951A61" w:rsidRPr="00F6074E" w:rsidRDefault="00951A61" w:rsidP="00951A61">
            <w:pPr>
              <w:pStyle w:val="affe"/>
              <w:numPr>
                <w:ilvl w:val="0"/>
                <w:numId w:val="41"/>
              </w:numPr>
              <w:autoSpaceDE w:val="0"/>
              <w:autoSpaceDN w:val="0"/>
              <w:adjustRightInd w:val="0"/>
              <w:ind w:left="0" w:firstLine="425"/>
              <w:contextualSpacing/>
              <w:jc w:val="both"/>
              <w:rPr>
                <w:rFonts w:ascii="Tahoma" w:hAnsi="Tahoma" w:cs="Tahoma"/>
                <w:sz w:val="20"/>
                <w:szCs w:val="20"/>
              </w:rPr>
            </w:pPr>
            <w:r w:rsidRPr="00F6074E">
              <w:rPr>
                <w:rFonts w:ascii="Tahoma" w:hAnsi="Tahoma" w:cs="Tahoma"/>
                <w:sz w:val="20"/>
                <w:szCs w:val="20"/>
              </w:rPr>
              <w:t xml:space="preserve">жилая блок-секция; </w:t>
            </w:r>
          </w:p>
          <w:p w14:paraId="69098B0B" w14:textId="77777777" w:rsidR="00951A61" w:rsidRPr="00F6074E" w:rsidRDefault="00951A61" w:rsidP="00951A61">
            <w:pPr>
              <w:pStyle w:val="affe"/>
              <w:numPr>
                <w:ilvl w:val="0"/>
                <w:numId w:val="41"/>
              </w:numPr>
              <w:autoSpaceDE w:val="0"/>
              <w:autoSpaceDN w:val="0"/>
              <w:adjustRightInd w:val="0"/>
              <w:ind w:left="0" w:firstLine="425"/>
              <w:contextualSpacing/>
              <w:jc w:val="both"/>
              <w:rPr>
                <w:rFonts w:ascii="Tahoma" w:hAnsi="Tahoma" w:cs="Tahoma"/>
                <w:sz w:val="20"/>
                <w:szCs w:val="20"/>
              </w:rPr>
            </w:pPr>
            <w:r w:rsidRPr="00F6074E">
              <w:rPr>
                <w:rFonts w:ascii="Tahoma" w:hAnsi="Tahoma" w:cs="Tahoma"/>
                <w:sz w:val="20"/>
                <w:szCs w:val="20"/>
              </w:rPr>
              <w:t xml:space="preserve">блок-секция; </w:t>
            </w:r>
          </w:p>
          <w:p w14:paraId="2E2806DB" w14:textId="77777777" w:rsidR="00951A61" w:rsidRPr="00F6074E" w:rsidRDefault="00951A61" w:rsidP="00951A61">
            <w:pPr>
              <w:pStyle w:val="affe"/>
              <w:numPr>
                <w:ilvl w:val="0"/>
                <w:numId w:val="41"/>
              </w:numPr>
              <w:autoSpaceDE w:val="0"/>
              <w:autoSpaceDN w:val="0"/>
              <w:adjustRightInd w:val="0"/>
              <w:ind w:left="0" w:firstLine="425"/>
              <w:contextualSpacing/>
              <w:jc w:val="both"/>
              <w:rPr>
                <w:rFonts w:ascii="Tahoma" w:hAnsi="Tahoma" w:cs="Tahoma"/>
                <w:sz w:val="20"/>
                <w:szCs w:val="20"/>
              </w:rPr>
            </w:pPr>
            <w:r w:rsidRPr="00F6074E">
              <w:rPr>
                <w:rFonts w:ascii="Tahoma" w:hAnsi="Tahoma" w:cs="Tahoma"/>
                <w:sz w:val="20"/>
                <w:szCs w:val="20"/>
              </w:rPr>
              <w:t xml:space="preserve">иное, при этом в свидетельстве о государственной регистрации права собственности или выписке ЕГРН в качестве объекта права не может быть указано «квартира». </w:t>
            </w:r>
          </w:p>
          <w:p w14:paraId="509BBB93" w14:textId="77777777" w:rsidR="00951A61" w:rsidRPr="00F6074E" w:rsidRDefault="00951A61" w:rsidP="00A4032F">
            <w:pPr>
              <w:ind w:firstLine="425"/>
              <w:jc w:val="both"/>
              <w:rPr>
                <w:rFonts w:ascii="Tahoma" w:hAnsi="Tahoma" w:cs="Tahoma"/>
                <w:sz w:val="20"/>
                <w:szCs w:val="20"/>
                <w:u w:val="single"/>
              </w:rPr>
            </w:pPr>
            <w:r w:rsidRPr="00F6074E">
              <w:rPr>
                <w:rFonts w:ascii="Tahoma" w:hAnsi="Tahoma" w:cs="Tahoma"/>
                <w:sz w:val="20"/>
                <w:szCs w:val="20"/>
                <w:u w:val="single"/>
              </w:rPr>
              <w:t>Требования, предъявляемые к земельному участку:</w:t>
            </w:r>
          </w:p>
          <w:p w14:paraId="0177E334" w14:textId="77777777" w:rsidR="00951A61" w:rsidRPr="00F6074E" w:rsidRDefault="00951A61" w:rsidP="00951A61">
            <w:pPr>
              <w:pStyle w:val="affe"/>
              <w:numPr>
                <w:ilvl w:val="0"/>
                <w:numId w:val="39"/>
              </w:numPr>
              <w:ind w:left="0" w:firstLine="425"/>
              <w:contextualSpacing/>
              <w:jc w:val="both"/>
              <w:rPr>
                <w:rFonts w:ascii="Tahoma" w:hAnsi="Tahoma" w:cs="Tahoma"/>
                <w:sz w:val="20"/>
                <w:szCs w:val="20"/>
              </w:rPr>
            </w:pPr>
            <w:r w:rsidRPr="00F6074E">
              <w:rPr>
                <w:rFonts w:ascii="Tahoma" w:hAnsi="Tahoma" w:cs="Tahoma"/>
                <w:sz w:val="20"/>
                <w:szCs w:val="20"/>
              </w:rPr>
              <w:t>находится в собственности Продавца;</w:t>
            </w:r>
          </w:p>
          <w:p w14:paraId="6F53EB79" w14:textId="77777777" w:rsidR="00951A61" w:rsidRPr="00F6074E" w:rsidRDefault="00951A61" w:rsidP="00951A61">
            <w:pPr>
              <w:pStyle w:val="affe"/>
              <w:numPr>
                <w:ilvl w:val="0"/>
                <w:numId w:val="39"/>
              </w:numPr>
              <w:ind w:left="0" w:firstLine="425"/>
              <w:contextualSpacing/>
              <w:jc w:val="both"/>
              <w:rPr>
                <w:rFonts w:ascii="Tahoma" w:hAnsi="Tahoma" w:cs="Tahoma"/>
                <w:sz w:val="20"/>
                <w:szCs w:val="20"/>
              </w:rPr>
            </w:pPr>
            <w:r w:rsidRPr="00F6074E">
              <w:rPr>
                <w:rFonts w:ascii="Tahoma" w:hAnsi="Tahoma" w:cs="Tahoma"/>
                <w:sz w:val="20"/>
                <w:szCs w:val="20"/>
              </w:rPr>
              <w:t>категория использования земельного участка – земли населенных пунктов/поселений/сельскохозяйственного назначения. Разрешенное использование земельного участка - любой из видов использования для соответствующей категории, предусмотренный законодательством РФ и разрешающий возведение жилого строения с правом проживания/регистрации;</w:t>
            </w:r>
          </w:p>
          <w:p w14:paraId="017D79E6" w14:textId="77777777" w:rsidR="00951A61" w:rsidRPr="00F6074E" w:rsidRDefault="00951A61" w:rsidP="00951A61">
            <w:pPr>
              <w:pStyle w:val="affe"/>
              <w:numPr>
                <w:ilvl w:val="0"/>
                <w:numId w:val="39"/>
              </w:numPr>
              <w:ind w:left="0" w:firstLine="425"/>
              <w:contextualSpacing/>
              <w:jc w:val="both"/>
              <w:rPr>
                <w:rFonts w:ascii="Tahoma" w:hAnsi="Tahoma" w:cs="Tahoma"/>
                <w:sz w:val="20"/>
                <w:szCs w:val="20"/>
              </w:rPr>
            </w:pPr>
            <w:r w:rsidRPr="00F6074E">
              <w:rPr>
                <w:rFonts w:ascii="Tahoma" w:hAnsi="Tahoma" w:cs="Tahoma"/>
                <w:sz w:val="20"/>
                <w:szCs w:val="20"/>
              </w:rPr>
              <w:t>не должен находиться в водоохранной, резервной зоне или зоне национального парка;</w:t>
            </w:r>
          </w:p>
          <w:p w14:paraId="45BA0BA6" w14:textId="77777777" w:rsidR="00951A61" w:rsidRPr="00F6074E" w:rsidRDefault="00951A61" w:rsidP="00951A61">
            <w:pPr>
              <w:pStyle w:val="affe"/>
              <w:numPr>
                <w:ilvl w:val="0"/>
                <w:numId w:val="39"/>
              </w:numPr>
              <w:ind w:left="0" w:firstLine="425"/>
              <w:contextualSpacing/>
              <w:jc w:val="both"/>
              <w:rPr>
                <w:rFonts w:ascii="Tahoma" w:hAnsi="Tahoma" w:cs="Tahoma"/>
                <w:sz w:val="20"/>
                <w:szCs w:val="20"/>
              </w:rPr>
            </w:pPr>
            <w:r w:rsidRPr="00F6074E">
              <w:rPr>
                <w:rFonts w:ascii="Tahoma" w:hAnsi="Tahoma" w:cs="Tahoma"/>
                <w:sz w:val="20"/>
                <w:szCs w:val="20"/>
              </w:rPr>
              <w:t xml:space="preserve">земельный участок </w:t>
            </w:r>
            <w:r w:rsidRPr="00F6074E">
              <w:rPr>
                <w:rFonts w:ascii="Tahoma" w:hAnsi="Tahoma" w:cs="Tahoma"/>
                <w:sz w:val="20"/>
                <w:szCs w:val="20"/>
                <w:u w:val="single"/>
              </w:rPr>
              <w:t>не должен находиться</w:t>
            </w:r>
            <w:r w:rsidRPr="00F6074E">
              <w:rPr>
                <w:rFonts w:ascii="Tahoma" w:hAnsi="Tahoma" w:cs="Tahoma"/>
                <w:sz w:val="20"/>
                <w:szCs w:val="20"/>
              </w:rPr>
              <w:t xml:space="preserve"> на землях особо охраняемых природных территорий (например, государственные природные заповедники, биосферные и государственные природные заказники, памятники природы, национальные парки, природные парки, дендрологические парки, ботанические сады, территории традиционного природопользования коренных малочисленных народов Севера, Сибири и Дальнего Востока Российской Федерации), на землях природоохранного назначения, на землях рекреационного назначения, на особо ценных землях (земли, в пределах которых имеются природные объекты и объекты культурного наследия, представляющие особую научную, историко-культурную ценность – типичные или редкие ландшафты, культурные ландшафты, сообщества растительных, животных организмов, редкие геологические образования), а также в охранных, санитарно-защитных зонах, зонах санитарной охраны источников питьевого и хозяйственно-бытового водоснабжения, зонах охраняемых объектов.</w:t>
            </w:r>
          </w:p>
          <w:p w14:paraId="0D5DC7C2" w14:textId="77777777" w:rsidR="00951A61" w:rsidRPr="00F6074E" w:rsidRDefault="00951A61" w:rsidP="00951A61">
            <w:pPr>
              <w:pStyle w:val="affe"/>
              <w:numPr>
                <w:ilvl w:val="0"/>
                <w:numId w:val="39"/>
              </w:numPr>
              <w:ind w:left="0" w:firstLine="425"/>
              <w:contextualSpacing/>
              <w:jc w:val="both"/>
              <w:rPr>
                <w:rFonts w:ascii="Tahoma" w:hAnsi="Tahoma" w:cs="Tahoma"/>
                <w:sz w:val="20"/>
                <w:szCs w:val="20"/>
              </w:rPr>
            </w:pPr>
            <w:r w:rsidRPr="00F6074E">
              <w:rPr>
                <w:rFonts w:ascii="Tahoma" w:hAnsi="Tahoma" w:cs="Tahoma"/>
                <w:sz w:val="20"/>
                <w:szCs w:val="20"/>
              </w:rPr>
              <w:t>площадь земельного участка не должна быть ограничена габаритами жилого дома и превышать 5000 кв. м.</w:t>
            </w:r>
          </w:p>
          <w:p w14:paraId="61C5245B" w14:textId="77777777" w:rsidR="00951A61" w:rsidRPr="00F6074E" w:rsidRDefault="00951A61" w:rsidP="00A4032F">
            <w:pPr>
              <w:pStyle w:val="affe"/>
              <w:ind w:left="0" w:firstLine="425"/>
              <w:jc w:val="both"/>
              <w:rPr>
                <w:rFonts w:ascii="Tahoma" w:hAnsi="Tahoma" w:cs="Tahoma"/>
                <w:u w:val="single"/>
              </w:rPr>
            </w:pPr>
          </w:p>
          <w:p w14:paraId="6310B0D1" w14:textId="77777777" w:rsidR="00951A61" w:rsidRPr="00F6074E" w:rsidRDefault="00951A61" w:rsidP="00A4032F">
            <w:pPr>
              <w:pStyle w:val="affe"/>
              <w:ind w:left="0" w:firstLine="425"/>
              <w:jc w:val="both"/>
              <w:rPr>
                <w:rFonts w:ascii="Tahoma" w:hAnsi="Tahoma" w:cs="Tahoma"/>
                <w:u w:val="single"/>
              </w:rPr>
            </w:pPr>
            <w:r w:rsidRPr="00F6074E">
              <w:rPr>
                <w:rFonts w:ascii="Tahoma" w:hAnsi="Tahoma" w:cs="Tahoma"/>
                <w:sz w:val="20"/>
                <w:szCs w:val="20"/>
                <w:u w:val="single"/>
              </w:rPr>
              <w:t>Не могут быть приняты в залог жилые дома/таунхаусы</w:t>
            </w:r>
            <w:r w:rsidRPr="00F6074E">
              <w:rPr>
                <w:rFonts w:ascii="Tahoma" w:hAnsi="Tahoma" w:cs="Tahoma"/>
                <w:u w:val="single"/>
              </w:rPr>
              <w:t>:</w:t>
            </w:r>
          </w:p>
          <w:p w14:paraId="125C2223" w14:textId="77777777" w:rsidR="00951A61" w:rsidRPr="00F6074E" w:rsidRDefault="00951A61" w:rsidP="00951A61">
            <w:pPr>
              <w:pStyle w:val="affe"/>
              <w:numPr>
                <w:ilvl w:val="0"/>
                <w:numId w:val="32"/>
              </w:numPr>
              <w:ind w:left="0" w:firstLine="425"/>
              <w:contextualSpacing/>
              <w:jc w:val="both"/>
              <w:rPr>
                <w:rFonts w:ascii="Tahoma" w:hAnsi="Tahoma" w:cs="Tahoma"/>
                <w:sz w:val="20"/>
                <w:szCs w:val="20"/>
              </w:rPr>
            </w:pPr>
            <w:r w:rsidRPr="00F6074E">
              <w:rPr>
                <w:rFonts w:ascii="Tahoma" w:hAnsi="Tahoma" w:cs="Tahoma"/>
                <w:sz w:val="20"/>
                <w:szCs w:val="20"/>
              </w:rPr>
              <w:t>не предназначенные для постоянного проживания (летние, дачные, садовые домики, а также иные строения).</w:t>
            </w:r>
          </w:p>
          <w:p w14:paraId="739654E1" w14:textId="77777777" w:rsidR="00951A61" w:rsidRPr="00F6074E" w:rsidRDefault="00951A61" w:rsidP="00951A61">
            <w:pPr>
              <w:pStyle w:val="affe"/>
              <w:numPr>
                <w:ilvl w:val="0"/>
                <w:numId w:val="32"/>
              </w:numPr>
              <w:ind w:left="0" w:firstLine="425"/>
              <w:contextualSpacing/>
              <w:jc w:val="both"/>
              <w:rPr>
                <w:rFonts w:ascii="Tahoma" w:hAnsi="Tahoma" w:cs="Tahoma"/>
                <w:sz w:val="20"/>
                <w:szCs w:val="20"/>
              </w:rPr>
            </w:pPr>
            <w:r w:rsidRPr="00F6074E">
              <w:rPr>
                <w:rFonts w:ascii="Tahoma" w:hAnsi="Tahoma" w:cs="Tahoma"/>
                <w:sz w:val="20"/>
                <w:szCs w:val="20"/>
              </w:rPr>
              <w:lastRenderedPageBreak/>
              <w:t>расположенные на землях категории «земли сельскохозяйственного назначения» и разрешенное использование которых не предусматривает возведение жилого строения.</w:t>
            </w:r>
          </w:p>
          <w:p w14:paraId="69433678" w14:textId="77777777" w:rsidR="00951A61" w:rsidRPr="00F6074E" w:rsidRDefault="00951A61" w:rsidP="00951A61">
            <w:pPr>
              <w:pStyle w:val="affe"/>
              <w:numPr>
                <w:ilvl w:val="0"/>
                <w:numId w:val="32"/>
              </w:numPr>
              <w:ind w:left="0" w:firstLine="425"/>
              <w:contextualSpacing/>
              <w:jc w:val="both"/>
              <w:rPr>
                <w:rFonts w:ascii="Tahoma" w:hAnsi="Tahoma" w:cs="Tahoma"/>
                <w:sz w:val="20"/>
                <w:szCs w:val="20"/>
              </w:rPr>
            </w:pPr>
            <w:r w:rsidRPr="00F6074E">
              <w:rPr>
                <w:rFonts w:ascii="Tahoma" w:hAnsi="Tahoma" w:cs="Tahoma"/>
                <w:sz w:val="20"/>
                <w:szCs w:val="20"/>
              </w:rPr>
              <w:t>расположенные на землях категории «земли промышленности, энергетики, транспорта, связи, радиовещания, телевидения, информатики, земли для обеспечения космической деятельности, земли обороны, безопасности и земли иного специального назначения».</w:t>
            </w:r>
          </w:p>
          <w:p w14:paraId="528D87D0" w14:textId="77777777" w:rsidR="00951A61" w:rsidRPr="00F6074E" w:rsidRDefault="00951A61" w:rsidP="00951A61">
            <w:pPr>
              <w:pStyle w:val="affe"/>
              <w:numPr>
                <w:ilvl w:val="0"/>
                <w:numId w:val="32"/>
              </w:numPr>
              <w:ind w:left="0" w:firstLine="425"/>
              <w:contextualSpacing/>
              <w:jc w:val="both"/>
              <w:rPr>
                <w:rFonts w:ascii="Tahoma" w:hAnsi="Tahoma" w:cs="Tahoma"/>
                <w:sz w:val="20"/>
                <w:szCs w:val="20"/>
              </w:rPr>
            </w:pPr>
            <w:r w:rsidRPr="00F6074E">
              <w:rPr>
                <w:rFonts w:ascii="Tahoma" w:hAnsi="Tahoma" w:cs="Tahoma"/>
                <w:sz w:val="20"/>
                <w:szCs w:val="20"/>
              </w:rPr>
              <w:t>построенные на земельных участках, принадлежащих Продавцу на правах аренды.</w:t>
            </w:r>
          </w:p>
          <w:p w14:paraId="1AA017D2" w14:textId="77777777" w:rsidR="00951A61" w:rsidRPr="00F6074E" w:rsidRDefault="00951A61" w:rsidP="00951A61">
            <w:pPr>
              <w:pStyle w:val="affe"/>
              <w:numPr>
                <w:ilvl w:val="0"/>
                <w:numId w:val="32"/>
              </w:numPr>
              <w:ind w:left="0" w:firstLine="425"/>
              <w:contextualSpacing/>
              <w:jc w:val="both"/>
              <w:rPr>
                <w:rFonts w:ascii="Tahoma" w:hAnsi="Tahoma" w:cs="Tahoma"/>
                <w:sz w:val="20"/>
                <w:szCs w:val="20"/>
              </w:rPr>
            </w:pPr>
            <w:r w:rsidRPr="00F6074E">
              <w:rPr>
                <w:rFonts w:ascii="Tahoma" w:hAnsi="Tahoma" w:cs="Tahoma"/>
                <w:sz w:val="20"/>
                <w:szCs w:val="20"/>
              </w:rPr>
              <w:t xml:space="preserve">расположенные на расстоянии более 50 км от населенного пункта, где располагается ПОДРАЗДЕЛЕНИЕ Банка (для Москвы расстояние считается от МКАД и может составлять не более 70 км). </w:t>
            </w:r>
          </w:p>
        </w:tc>
      </w:tr>
      <w:tr w:rsidR="00951A61" w:rsidRPr="0089418D" w14:paraId="01E240B0" w14:textId="77777777" w:rsidTr="00A4032F">
        <w:tblPrEx>
          <w:tblLook w:val="00A0" w:firstRow="1" w:lastRow="0" w:firstColumn="1" w:lastColumn="0" w:noHBand="0" w:noVBand="0"/>
        </w:tblPrEx>
        <w:trPr>
          <w:trHeight w:val="281"/>
        </w:trPr>
        <w:tc>
          <w:tcPr>
            <w:tcW w:w="4071" w:type="dxa"/>
            <w:tcBorders>
              <w:top w:val="single" w:sz="4" w:space="0" w:color="auto"/>
              <w:left w:val="single" w:sz="4" w:space="0" w:color="auto"/>
              <w:bottom w:val="single" w:sz="4" w:space="0" w:color="auto"/>
              <w:right w:val="single" w:sz="4" w:space="0" w:color="auto"/>
            </w:tcBorders>
            <w:shd w:val="clear" w:color="auto" w:fill="auto"/>
            <w:vAlign w:val="center"/>
          </w:tcPr>
          <w:p w14:paraId="4EB16BEC" w14:textId="77777777" w:rsidR="00951A61" w:rsidRPr="0089418D" w:rsidRDefault="00951A61" w:rsidP="00A4032F">
            <w:pPr>
              <w:widowControl w:val="0"/>
              <w:tabs>
                <w:tab w:val="left" w:pos="426"/>
                <w:tab w:val="left" w:pos="851"/>
              </w:tabs>
              <w:jc w:val="center"/>
              <w:rPr>
                <w:rFonts w:ascii="Tahoma" w:hAnsi="Tahoma" w:cs="Tahoma"/>
                <w:b/>
                <w:sz w:val="20"/>
                <w:szCs w:val="20"/>
              </w:rPr>
            </w:pPr>
            <w:r w:rsidRPr="0089418D">
              <w:rPr>
                <w:rFonts w:ascii="Tahoma" w:hAnsi="Tahoma" w:cs="Tahoma"/>
                <w:b/>
                <w:sz w:val="20"/>
                <w:szCs w:val="20"/>
              </w:rPr>
              <w:lastRenderedPageBreak/>
              <w:t>Особенности подготовки и проведения сделки для опции «Залоговый»</w:t>
            </w:r>
          </w:p>
        </w:tc>
        <w:tc>
          <w:tcPr>
            <w:tcW w:w="11594" w:type="dxa"/>
            <w:tcBorders>
              <w:top w:val="single" w:sz="4" w:space="0" w:color="auto"/>
              <w:left w:val="single" w:sz="4" w:space="0" w:color="auto"/>
              <w:bottom w:val="single" w:sz="4" w:space="0" w:color="auto"/>
              <w:right w:val="single" w:sz="4" w:space="0" w:color="auto"/>
            </w:tcBorders>
            <w:noWrap/>
            <w:vAlign w:val="center"/>
          </w:tcPr>
          <w:p w14:paraId="078609B1" w14:textId="77777777" w:rsidR="00951A61" w:rsidRPr="0089418D" w:rsidRDefault="00951A61" w:rsidP="00951A61">
            <w:pPr>
              <w:pStyle w:val="affe"/>
              <w:numPr>
                <w:ilvl w:val="0"/>
                <w:numId w:val="28"/>
              </w:numPr>
              <w:ind w:left="0" w:firstLine="425"/>
              <w:contextualSpacing/>
              <w:jc w:val="both"/>
              <w:rPr>
                <w:rFonts w:ascii="Tahoma" w:hAnsi="Tahoma" w:cs="Tahoma"/>
                <w:sz w:val="20"/>
                <w:szCs w:val="20"/>
              </w:rPr>
            </w:pPr>
            <w:r w:rsidRPr="0089418D">
              <w:rPr>
                <w:rFonts w:ascii="Tahoma" w:hAnsi="Tahoma" w:cs="Tahoma"/>
                <w:sz w:val="20"/>
                <w:szCs w:val="20"/>
              </w:rPr>
              <w:t>Дата проведения сделки должна предшествовать дате, указанной в заявлении на полное досрочное погашение Кредита продавца Предмета ипотеки, и не превышать 3 (трех) рабочих дней до даты, указанной в качестве даты полного досрочного погашения;</w:t>
            </w:r>
          </w:p>
          <w:p w14:paraId="3C2E6D52" w14:textId="77777777" w:rsidR="00951A61" w:rsidRPr="0089418D" w:rsidRDefault="00951A61" w:rsidP="00951A61">
            <w:pPr>
              <w:pStyle w:val="affe"/>
              <w:numPr>
                <w:ilvl w:val="0"/>
                <w:numId w:val="28"/>
              </w:numPr>
              <w:ind w:left="0" w:firstLine="425"/>
              <w:contextualSpacing/>
              <w:jc w:val="both"/>
              <w:rPr>
                <w:rFonts w:ascii="Tahoma" w:hAnsi="Tahoma" w:cs="Tahoma"/>
                <w:sz w:val="20"/>
                <w:szCs w:val="20"/>
              </w:rPr>
            </w:pPr>
            <w:r w:rsidRPr="0089418D">
              <w:rPr>
                <w:rFonts w:ascii="Tahoma" w:hAnsi="Tahoma" w:cs="Tahoma"/>
                <w:sz w:val="20"/>
                <w:szCs w:val="20"/>
              </w:rPr>
              <w:t>Выдача кредитных средств - в дату заключения Кредитного договора;</w:t>
            </w:r>
          </w:p>
          <w:p w14:paraId="5C24A819" w14:textId="77777777" w:rsidR="00951A61" w:rsidRPr="0089418D" w:rsidRDefault="00951A61" w:rsidP="00951A61">
            <w:pPr>
              <w:pStyle w:val="affe"/>
              <w:numPr>
                <w:ilvl w:val="0"/>
                <w:numId w:val="28"/>
              </w:numPr>
              <w:ind w:left="0" w:firstLine="425"/>
              <w:contextualSpacing/>
              <w:jc w:val="both"/>
              <w:rPr>
                <w:rFonts w:ascii="Tahoma" w:hAnsi="Tahoma" w:cs="Tahoma"/>
                <w:sz w:val="20"/>
                <w:szCs w:val="20"/>
              </w:rPr>
            </w:pPr>
            <w:r w:rsidRPr="0089418D">
              <w:rPr>
                <w:rFonts w:ascii="Tahoma" w:hAnsi="Tahoma" w:cs="Tahoma"/>
                <w:sz w:val="20"/>
                <w:szCs w:val="20"/>
              </w:rPr>
              <w:t>Стоимость по договору купли-продажи, заключаемом между продавцом Предмета ипотеки и Заемщиком, должна превышать или быть равной остатку долга продавца Предмета ипотеки;</w:t>
            </w:r>
          </w:p>
          <w:p w14:paraId="0551A199" w14:textId="77777777" w:rsidR="00951A61" w:rsidRPr="0089418D" w:rsidRDefault="00951A61" w:rsidP="00951A61">
            <w:pPr>
              <w:pStyle w:val="affe"/>
              <w:numPr>
                <w:ilvl w:val="0"/>
                <w:numId w:val="28"/>
              </w:numPr>
              <w:ind w:left="0" w:firstLine="425"/>
              <w:contextualSpacing/>
              <w:jc w:val="both"/>
              <w:rPr>
                <w:rFonts w:ascii="Tahoma" w:hAnsi="Tahoma" w:cs="Tahoma"/>
                <w:sz w:val="20"/>
                <w:szCs w:val="20"/>
              </w:rPr>
            </w:pPr>
            <w:r w:rsidRPr="0089418D">
              <w:rPr>
                <w:rFonts w:ascii="Tahoma" w:hAnsi="Tahoma" w:cs="Tahoma"/>
                <w:sz w:val="20"/>
                <w:szCs w:val="20"/>
              </w:rPr>
              <w:t>Взаиморасчеты по сделке осуществляются следующим образом:</w:t>
            </w:r>
          </w:p>
          <w:p w14:paraId="27B12E3E" w14:textId="77777777" w:rsidR="00951A61" w:rsidRPr="0089418D" w:rsidRDefault="00951A61" w:rsidP="00951A61">
            <w:pPr>
              <w:pStyle w:val="ConsPlusNormal"/>
              <w:numPr>
                <w:ilvl w:val="0"/>
                <w:numId w:val="68"/>
              </w:numPr>
              <w:ind w:left="0" w:firstLine="425"/>
              <w:jc w:val="both"/>
              <w:rPr>
                <w:rFonts w:ascii="Tahoma" w:hAnsi="Tahoma" w:cs="Tahoma"/>
              </w:rPr>
            </w:pPr>
            <w:r w:rsidRPr="0089418D">
              <w:rPr>
                <w:rFonts w:ascii="Tahoma" w:hAnsi="Tahoma" w:cs="Tahoma"/>
              </w:rPr>
              <w:t xml:space="preserve">безналичный перевод через Банк собственных средств заемщика (первоначальный взнос по сделке) на текущий счет продавца Предмета ипотеки, открытый в банке-залогодержателе, с которого будет осуществляться погашение Кредита; </w:t>
            </w:r>
          </w:p>
          <w:p w14:paraId="5347DB30" w14:textId="77777777" w:rsidR="00951A61" w:rsidRPr="0089418D" w:rsidRDefault="00951A61" w:rsidP="00951A61">
            <w:pPr>
              <w:pStyle w:val="ConsPlusNormal"/>
              <w:numPr>
                <w:ilvl w:val="0"/>
                <w:numId w:val="68"/>
              </w:numPr>
              <w:ind w:left="0" w:firstLine="425"/>
              <w:jc w:val="both"/>
              <w:rPr>
                <w:rFonts w:ascii="Tahoma" w:hAnsi="Tahoma" w:cs="Tahoma"/>
              </w:rPr>
            </w:pPr>
            <w:r w:rsidRPr="0089418D">
              <w:rPr>
                <w:rFonts w:ascii="Tahoma" w:hAnsi="Tahoma" w:cs="Tahoma"/>
              </w:rPr>
              <w:t xml:space="preserve">в случае недостаточности собственных средств Заемщика для погашения кредита продавца Предмета ипотеки – перевод части кредитных средств на текущий счет продавца Предмета ипотеки, открытый в банке-залогодержателе, с которого будет осуществляться погашение </w:t>
            </w:r>
            <w:r>
              <w:rPr>
                <w:rFonts w:ascii="Tahoma" w:hAnsi="Tahoma" w:cs="Tahoma"/>
              </w:rPr>
              <w:t>к</w:t>
            </w:r>
            <w:r w:rsidRPr="0089418D">
              <w:rPr>
                <w:rFonts w:ascii="Tahoma" w:hAnsi="Tahoma" w:cs="Tahoma"/>
              </w:rPr>
              <w:t>редита;</w:t>
            </w:r>
          </w:p>
          <w:p w14:paraId="06B0920A" w14:textId="77777777" w:rsidR="00951A61" w:rsidRPr="0089418D" w:rsidRDefault="00951A61" w:rsidP="00951A61">
            <w:pPr>
              <w:pStyle w:val="ConsPlusNormal"/>
              <w:numPr>
                <w:ilvl w:val="0"/>
                <w:numId w:val="68"/>
              </w:numPr>
              <w:ind w:left="0" w:firstLine="425"/>
              <w:jc w:val="both"/>
              <w:rPr>
                <w:rFonts w:ascii="Tahoma" w:hAnsi="Tahoma" w:cs="Tahoma"/>
              </w:rPr>
            </w:pPr>
            <w:r w:rsidRPr="0089418D">
              <w:rPr>
                <w:rFonts w:ascii="Tahoma" w:hAnsi="Tahoma" w:cs="Tahoma"/>
              </w:rPr>
              <w:t>при наличии остатка кредитных средств после погашения задолженности продавца – открытие аккредитива в пользу продавца Предмета ипотеки на остаток кредитных средств с одним из условий раскрытия – регистрация права собственности Заемщика и ипотеки в пользу Банка в качестве единственного обременения.</w:t>
            </w:r>
          </w:p>
          <w:p w14:paraId="3EDF35B1" w14:textId="77777777" w:rsidR="00951A61" w:rsidRPr="0089418D" w:rsidRDefault="00951A61" w:rsidP="00A4032F">
            <w:pPr>
              <w:pStyle w:val="ConsPlusNormal"/>
              <w:ind w:firstLine="425"/>
              <w:jc w:val="both"/>
              <w:rPr>
                <w:rFonts w:ascii="Tahoma" w:hAnsi="Tahoma" w:cs="Tahoma"/>
              </w:rPr>
            </w:pPr>
            <w:r w:rsidRPr="0089418D">
              <w:rPr>
                <w:rFonts w:ascii="Tahoma" w:hAnsi="Tahoma" w:cs="Tahoma"/>
              </w:rPr>
              <w:t xml:space="preserve">5.       В случае уклонения, либо затягивания сроков осуществления регистрационных действий со стороны продавца Предмета ипотеки, либо Заемщика, регистрация снятия обременения банка-залогодержателя и сделки купли-продажи недвижимости осуществляется </w:t>
            </w:r>
            <w:r>
              <w:rPr>
                <w:rFonts w:ascii="Tahoma" w:hAnsi="Tahoma" w:cs="Tahoma"/>
              </w:rPr>
              <w:t>работник</w:t>
            </w:r>
            <w:r w:rsidRPr="0089418D">
              <w:rPr>
                <w:rFonts w:ascii="Tahoma" w:hAnsi="Tahoma" w:cs="Tahoma"/>
              </w:rPr>
              <w:t>ом Банка на основании предоставленных доверенностей от Заемщика и продавца Предмета ипотеки.</w:t>
            </w:r>
          </w:p>
          <w:p w14:paraId="141B99A6" w14:textId="77777777" w:rsidR="00951A61" w:rsidRPr="0089418D" w:rsidRDefault="00951A61" w:rsidP="00A4032F">
            <w:pPr>
              <w:ind w:firstLine="425"/>
              <w:jc w:val="both"/>
              <w:rPr>
                <w:rFonts w:ascii="Tahoma" w:hAnsi="Tahoma" w:cs="Tahoma"/>
                <w:b/>
                <w:sz w:val="20"/>
                <w:szCs w:val="20"/>
                <w:u w:val="single"/>
              </w:rPr>
            </w:pPr>
            <w:r w:rsidRPr="0089418D">
              <w:rPr>
                <w:rFonts w:ascii="Tahoma" w:hAnsi="Tahoma" w:cs="Tahoma"/>
                <w:sz w:val="20"/>
                <w:szCs w:val="20"/>
              </w:rPr>
              <w:t xml:space="preserve">6.     Дополнительные требования к формулировкам заключаемого </w:t>
            </w:r>
            <w:r>
              <w:rPr>
                <w:rFonts w:ascii="Tahoma" w:hAnsi="Tahoma" w:cs="Tahoma"/>
                <w:sz w:val="20"/>
                <w:szCs w:val="20"/>
              </w:rPr>
              <w:t>д</w:t>
            </w:r>
            <w:r w:rsidRPr="0089418D">
              <w:rPr>
                <w:rFonts w:ascii="Tahoma" w:hAnsi="Tahoma" w:cs="Tahoma"/>
                <w:sz w:val="20"/>
                <w:szCs w:val="20"/>
              </w:rPr>
              <w:t>оговора купли-продажи между продавцом Предмета ипотеки и Заемщиком, а так же к оформляемым доверенностям, изложены в Приложении №2 к настоящему документу.</w:t>
            </w:r>
          </w:p>
        </w:tc>
      </w:tr>
      <w:tr w:rsidR="00951A61" w:rsidRPr="0089418D" w14:paraId="5560D9A2" w14:textId="77777777" w:rsidTr="00A4032F">
        <w:tblPrEx>
          <w:tblLook w:val="00A0" w:firstRow="1" w:lastRow="0" w:firstColumn="1" w:lastColumn="0" w:noHBand="0" w:noVBand="0"/>
        </w:tblPrEx>
        <w:trPr>
          <w:trHeight w:val="176"/>
        </w:trPr>
        <w:tc>
          <w:tcPr>
            <w:tcW w:w="4071" w:type="dxa"/>
            <w:tcBorders>
              <w:top w:val="single" w:sz="4" w:space="0" w:color="auto"/>
              <w:left w:val="single" w:sz="8" w:space="0" w:color="auto"/>
              <w:bottom w:val="single" w:sz="4" w:space="0" w:color="auto"/>
              <w:right w:val="single" w:sz="4" w:space="0" w:color="auto"/>
            </w:tcBorders>
            <w:vAlign w:val="center"/>
          </w:tcPr>
          <w:p w14:paraId="5FD84912" w14:textId="77777777" w:rsidR="00951A61" w:rsidRPr="0089418D" w:rsidRDefault="00951A61" w:rsidP="00A4032F">
            <w:pPr>
              <w:jc w:val="center"/>
              <w:rPr>
                <w:rFonts w:ascii="Tahoma" w:hAnsi="Tahoma" w:cs="Tahoma"/>
                <w:b/>
                <w:sz w:val="20"/>
                <w:szCs w:val="20"/>
              </w:rPr>
            </w:pPr>
            <w:r w:rsidRPr="0089418D">
              <w:rPr>
                <w:rFonts w:ascii="Tahoma" w:hAnsi="Tahoma" w:cs="Tahoma"/>
                <w:b/>
                <w:sz w:val="20"/>
                <w:szCs w:val="20"/>
              </w:rPr>
              <w:t xml:space="preserve">Перечень документов, необходимых для рассмотрения заявления о предоставлении </w:t>
            </w:r>
            <w:r>
              <w:rPr>
                <w:rFonts w:ascii="Tahoma" w:hAnsi="Tahoma" w:cs="Tahoma"/>
                <w:b/>
                <w:sz w:val="20"/>
                <w:szCs w:val="20"/>
              </w:rPr>
              <w:t>К</w:t>
            </w:r>
            <w:r w:rsidRPr="0089418D">
              <w:rPr>
                <w:rFonts w:ascii="Tahoma" w:hAnsi="Tahoma" w:cs="Tahoma"/>
                <w:b/>
                <w:sz w:val="20"/>
                <w:szCs w:val="20"/>
              </w:rPr>
              <w:t>редита, в том числе для оценки кредитоспособности Заемщика</w:t>
            </w:r>
          </w:p>
        </w:tc>
        <w:tc>
          <w:tcPr>
            <w:tcW w:w="11594" w:type="dxa"/>
            <w:tcBorders>
              <w:top w:val="single" w:sz="4" w:space="0" w:color="auto"/>
              <w:left w:val="nil"/>
              <w:bottom w:val="single" w:sz="4" w:space="0" w:color="auto"/>
              <w:right w:val="single" w:sz="8" w:space="0" w:color="000000"/>
            </w:tcBorders>
            <w:noWrap/>
            <w:vAlign w:val="center"/>
          </w:tcPr>
          <w:p w14:paraId="07782D08" w14:textId="77777777" w:rsidR="00951A61" w:rsidRPr="0089418D" w:rsidRDefault="00951A61" w:rsidP="00951A61">
            <w:pPr>
              <w:pStyle w:val="affe"/>
              <w:numPr>
                <w:ilvl w:val="0"/>
                <w:numId w:val="70"/>
              </w:numPr>
              <w:ind w:left="0" w:firstLine="425"/>
              <w:contextualSpacing/>
              <w:jc w:val="both"/>
              <w:rPr>
                <w:rFonts w:ascii="Tahoma" w:hAnsi="Tahoma" w:cs="Tahoma"/>
                <w:sz w:val="20"/>
                <w:szCs w:val="20"/>
              </w:rPr>
            </w:pPr>
            <w:r>
              <w:rPr>
                <w:rFonts w:ascii="Tahoma" w:hAnsi="Tahoma" w:cs="Tahoma"/>
                <w:sz w:val="20"/>
                <w:szCs w:val="20"/>
              </w:rPr>
              <w:t>Согласия заявителя</w:t>
            </w:r>
            <w:r w:rsidRPr="009A76C3">
              <w:rPr>
                <w:rFonts w:ascii="Tahoma" w:hAnsi="Tahoma" w:cs="Tahoma"/>
                <w:sz w:val="20"/>
                <w:szCs w:val="20"/>
              </w:rPr>
              <w:t xml:space="preserve"> на обработку</w:t>
            </w:r>
            <w:r>
              <w:rPr>
                <w:rFonts w:ascii="Tahoma" w:hAnsi="Tahoma" w:cs="Tahoma"/>
                <w:sz w:val="20"/>
                <w:szCs w:val="20"/>
              </w:rPr>
              <w:t xml:space="preserve"> его</w:t>
            </w:r>
            <w:r w:rsidRPr="009A76C3">
              <w:rPr>
                <w:rFonts w:ascii="Tahoma" w:hAnsi="Tahoma" w:cs="Tahoma"/>
                <w:sz w:val="20"/>
                <w:szCs w:val="20"/>
              </w:rPr>
              <w:t xml:space="preserve"> персональных данных</w:t>
            </w:r>
            <w:r>
              <w:rPr>
                <w:rFonts w:ascii="Tahoma" w:hAnsi="Tahoma" w:cs="Tahoma"/>
                <w:sz w:val="20"/>
                <w:szCs w:val="20"/>
              </w:rPr>
              <w:t xml:space="preserve"> и </w:t>
            </w:r>
            <w:r w:rsidRPr="009A76C3">
              <w:rPr>
                <w:rFonts w:ascii="Tahoma" w:hAnsi="Tahoma" w:cs="Tahoma"/>
                <w:sz w:val="20"/>
                <w:szCs w:val="20"/>
              </w:rPr>
              <w:t>на получение Банком кредитного отчета</w:t>
            </w:r>
            <w:r>
              <w:rPr>
                <w:rFonts w:ascii="Tahoma" w:hAnsi="Tahoma" w:cs="Tahoma"/>
                <w:sz w:val="20"/>
                <w:szCs w:val="20"/>
              </w:rPr>
              <w:t xml:space="preserve">, </w:t>
            </w:r>
            <w:r w:rsidRPr="009A76C3">
              <w:rPr>
                <w:rFonts w:ascii="Tahoma" w:hAnsi="Tahoma" w:cs="Tahoma"/>
                <w:sz w:val="20"/>
                <w:szCs w:val="20"/>
              </w:rPr>
              <w:t>в т.ч. получение основной части кредитной истории</w:t>
            </w:r>
            <w:r>
              <w:rPr>
                <w:rFonts w:ascii="Tahoma" w:hAnsi="Tahoma" w:cs="Tahoma"/>
                <w:sz w:val="20"/>
                <w:szCs w:val="20"/>
              </w:rPr>
              <w:t xml:space="preserve"> заявителя</w:t>
            </w:r>
            <w:r w:rsidRPr="009A76C3">
              <w:rPr>
                <w:rFonts w:ascii="Tahoma" w:hAnsi="Tahoma" w:cs="Tahoma"/>
                <w:sz w:val="20"/>
                <w:szCs w:val="20"/>
              </w:rPr>
              <w:t xml:space="preserve"> в любых бюро кредитных историй</w:t>
            </w:r>
            <w:r w:rsidRPr="0089418D">
              <w:rPr>
                <w:rFonts w:ascii="Tahoma" w:hAnsi="Tahoma" w:cs="Tahoma"/>
                <w:sz w:val="20"/>
                <w:szCs w:val="20"/>
              </w:rPr>
              <w:t>;</w:t>
            </w:r>
          </w:p>
          <w:p w14:paraId="28644F32" w14:textId="77777777" w:rsidR="00951A61" w:rsidRPr="0089418D" w:rsidRDefault="00951A61" w:rsidP="00951A61">
            <w:pPr>
              <w:pStyle w:val="affe"/>
              <w:numPr>
                <w:ilvl w:val="0"/>
                <w:numId w:val="70"/>
              </w:numPr>
              <w:ind w:left="0" w:firstLine="425"/>
              <w:contextualSpacing/>
              <w:jc w:val="both"/>
              <w:rPr>
                <w:rFonts w:ascii="Tahoma" w:hAnsi="Tahoma" w:cs="Tahoma"/>
                <w:sz w:val="20"/>
                <w:szCs w:val="20"/>
              </w:rPr>
            </w:pPr>
            <w:r w:rsidRPr="0089418D">
              <w:rPr>
                <w:rFonts w:ascii="Tahoma" w:hAnsi="Tahoma" w:cs="Tahoma"/>
                <w:sz w:val="20"/>
                <w:szCs w:val="20"/>
              </w:rPr>
              <w:t>Паспорт гражданина РФ;</w:t>
            </w:r>
          </w:p>
          <w:p w14:paraId="2B3EE8FD" w14:textId="77777777" w:rsidR="00951A61" w:rsidRPr="00AA6F56" w:rsidRDefault="00951A61" w:rsidP="00951A61">
            <w:pPr>
              <w:pStyle w:val="affe"/>
              <w:numPr>
                <w:ilvl w:val="0"/>
                <w:numId w:val="70"/>
              </w:numPr>
              <w:ind w:left="0" w:firstLine="425"/>
              <w:contextualSpacing/>
              <w:jc w:val="both"/>
              <w:rPr>
                <w:rFonts w:ascii="Tahoma" w:hAnsi="Tahoma" w:cs="Tahoma"/>
                <w:sz w:val="20"/>
                <w:szCs w:val="20"/>
              </w:rPr>
            </w:pPr>
            <w:r w:rsidRPr="0089418D">
              <w:rPr>
                <w:rFonts w:ascii="Tahoma" w:hAnsi="Tahoma" w:cs="Tahoma"/>
                <w:sz w:val="20"/>
                <w:szCs w:val="20"/>
              </w:rPr>
              <w:t xml:space="preserve">Документы, подтверждающие </w:t>
            </w:r>
            <w:r w:rsidRPr="00AA6F56">
              <w:rPr>
                <w:rFonts w:ascii="Tahoma" w:hAnsi="Tahoma" w:cs="Tahoma"/>
                <w:sz w:val="20"/>
                <w:szCs w:val="20"/>
              </w:rPr>
              <w:t xml:space="preserve">занятость заемщика (в зависимости от вида деятельности заемщика — копия трудовой книжки/трудового договора, заверенная работодателем (за исключением категории – работники Банка), Сведения о состоянии индивидуального лицевого счета застрахованного лица (форма СЗИ-ИЛС) (далее – Выписка из </w:t>
            </w:r>
            <w:r w:rsidRPr="00AA6F56">
              <w:rPr>
                <w:rFonts w:ascii="Tahoma" w:hAnsi="Tahoma" w:cs="Tahoma"/>
                <w:sz w:val="20"/>
                <w:szCs w:val="20"/>
              </w:rPr>
              <w:lastRenderedPageBreak/>
              <w:t>СФР)</w:t>
            </w:r>
            <w:r w:rsidRPr="00AA6F56">
              <w:rPr>
                <w:rStyle w:val="aff3"/>
                <w:rFonts w:ascii="Tahoma" w:hAnsi="Tahoma"/>
                <w:sz w:val="20"/>
                <w:szCs w:val="20"/>
              </w:rPr>
              <w:footnoteReference w:id="32"/>
            </w:r>
            <w:r w:rsidRPr="00AA6F56">
              <w:rPr>
                <w:rFonts w:ascii="Tahoma" w:hAnsi="Tahoma" w:cs="Tahoma"/>
                <w:sz w:val="20"/>
                <w:szCs w:val="20"/>
              </w:rPr>
              <w:t>, свидетельство/лист записи ЕГРИП о государственной регистрации физического в качестве ИП, свидетельство/уведомление о постановке на налоговый учет и др.).</w:t>
            </w:r>
          </w:p>
          <w:p w14:paraId="277CF1C0" w14:textId="77777777" w:rsidR="00951A61" w:rsidRPr="00AA6F56" w:rsidRDefault="00951A61" w:rsidP="00951A61">
            <w:pPr>
              <w:pStyle w:val="affe"/>
              <w:numPr>
                <w:ilvl w:val="0"/>
                <w:numId w:val="70"/>
              </w:numPr>
              <w:ind w:left="0" w:firstLine="425"/>
              <w:contextualSpacing/>
              <w:jc w:val="both"/>
              <w:rPr>
                <w:rFonts w:ascii="Tahoma" w:hAnsi="Tahoma" w:cs="Tahoma"/>
                <w:sz w:val="20"/>
                <w:szCs w:val="20"/>
              </w:rPr>
            </w:pPr>
            <w:r w:rsidRPr="00AA6F56">
              <w:rPr>
                <w:rFonts w:ascii="Tahoma" w:hAnsi="Tahoma" w:cs="Tahoma"/>
                <w:sz w:val="20"/>
                <w:szCs w:val="20"/>
              </w:rPr>
              <w:t xml:space="preserve">Документы, подтверждающие доход заемщика (в зависимости от вида деятельности заемщика): </w:t>
            </w:r>
          </w:p>
          <w:p w14:paraId="7F53234B" w14:textId="77777777" w:rsidR="00951A61" w:rsidRPr="0089418D" w:rsidRDefault="00951A61" w:rsidP="00951A61">
            <w:pPr>
              <w:pStyle w:val="affe"/>
              <w:numPr>
                <w:ilvl w:val="0"/>
                <w:numId w:val="40"/>
              </w:numPr>
              <w:ind w:left="0" w:firstLine="425"/>
              <w:contextualSpacing/>
              <w:jc w:val="both"/>
              <w:rPr>
                <w:rFonts w:ascii="Tahoma" w:hAnsi="Tahoma" w:cs="Tahoma"/>
                <w:sz w:val="20"/>
                <w:szCs w:val="20"/>
              </w:rPr>
            </w:pPr>
            <w:r w:rsidRPr="00AA6F56">
              <w:rPr>
                <w:rFonts w:ascii="Tahoma" w:hAnsi="Tahoma" w:cs="Tahoma"/>
                <w:sz w:val="20"/>
                <w:szCs w:val="20"/>
              </w:rPr>
              <w:t>Справка о доходах и суммах налога физического лица или справка о доходах по форме Кредитора или справка о доходах (любая справка должна содержать ИНН работодателя), заверенная работодателем, содержащая всю информацию, которая предусмотрена справкой о доходах по форме Банка, копия налоговой декларации по форме</w:t>
            </w:r>
            <w:r w:rsidRPr="0089418D">
              <w:rPr>
                <w:rFonts w:ascii="Tahoma" w:hAnsi="Tahoma" w:cs="Tahoma"/>
                <w:sz w:val="20"/>
                <w:szCs w:val="20"/>
              </w:rPr>
              <w:t xml:space="preserve"> 3-НДФЛ; </w:t>
            </w:r>
          </w:p>
          <w:p w14:paraId="337DFE91" w14:textId="77777777" w:rsidR="00951A61" w:rsidRPr="0089418D" w:rsidRDefault="00951A61" w:rsidP="00951A61">
            <w:pPr>
              <w:pStyle w:val="affe"/>
              <w:numPr>
                <w:ilvl w:val="0"/>
                <w:numId w:val="40"/>
              </w:numPr>
              <w:ind w:left="0" w:firstLine="425"/>
              <w:contextualSpacing/>
              <w:jc w:val="both"/>
              <w:rPr>
                <w:rFonts w:ascii="Tahoma" w:hAnsi="Tahoma" w:cs="Tahoma"/>
                <w:color w:val="000000" w:themeColor="text1"/>
                <w:sz w:val="20"/>
                <w:szCs w:val="20"/>
              </w:rPr>
            </w:pPr>
            <w:r w:rsidRPr="0089418D">
              <w:rPr>
                <w:rFonts w:ascii="Tahoma" w:hAnsi="Tahoma" w:cs="Tahoma"/>
                <w:sz w:val="20"/>
                <w:szCs w:val="20"/>
              </w:rPr>
              <w:t xml:space="preserve">в </w:t>
            </w:r>
            <w:r w:rsidRPr="0089418D">
              <w:rPr>
                <w:rFonts w:ascii="Tahoma" w:hAnsi="Tahoma" w:cs="Tahoma"/>
                <w:color w:val="000000" w:themeColor="text1"/>
                <w:sz w:val="20"/>
                <w:szCs w:val="20"/>
              </w:rPr>
              <w:t xml:space="preserve">случае, если у Клиента отсутствует возможность оперативного получения справки о заработной плате, размер его заработной платы допускается подтверждать выпиской с зарплатного счета карты Клиента, заверенной печатью подразделения и подписью работника кредитной организации, выдавшего выписку, при этом в выписке обязательно должно быть указано назначение платежа, позволяющее однозначно идентифицировать, что поступления являются заработной платой Клиента; </w:t>
            </w:r>
          </w:p>
          <w:p w14:paraId="039BC025" w14:textId="77777777" w:rsidR="00951A61" w:rsidRPr="0089418D" w:rsidRDefault="00951A61" w:rsidP="00951A61">
            <w:pPr>
              <w:pStyle w:val="affe"/>
              <w:numPr>
                <w:ilvl w:val="0"/>
                <w:numId w:val="40"/>
              </w:numPr>
              <w:ind w:left="0" w:firstLine="425"/>
              <w:contextualSpacing/>
              <w:jc w:val="both"/>
              <w:rPr>
                <w:rFonts w:ascii="Tahoma" w:hAnsi="Tahoma" w:cs="Tahoma"/>
                <w:sz w:val="20"/>
                <w:szCs w:val="20"/>
              </w:rPr>
            </w:pPr>
            <w:r w:rsidRPr="0089418D">
              <w:rPr>
                <w:rFonts w:ascii="Tahoma" w:hAnsi="Tahoma" w:cs="Tahoma"/>
                <w:color w:val="000000" w:themeColor="text1"/>
                <w:sz w:val="20"/>
                <w:szCs w:val="20"/>
                <w:lang w:val="en-US"/>
              </w:rPr>
              <w:t>c</w:t>
            </w:r>
            <w:r w:rsidRPr="0089418D">
              <w:rPr>
                <w:rFonts w:ascii="Tahoma" w:hAnsi="Tahoma" w:cs="Tahoma"/>
                <w:color w:val="000000" w:themeColor="text1"/>
                <w:sz w:val="20"/>
                <w:szCs w:val="20"/>
              </w:rPr>
              <w:t>криншот/выписка из мобильного Банка по зарплатному счету Клиента, который (-ая) должна содержать идентификационные данные Клиента, а также назначение платежа, позволяющее однозначно идентифицировать, что поступления являются заработной платой Клиента, скриншот из мобильного Банка по зарплатному счету Клиента должен быть заверен со стороны Клиента (ФИО, дата, подписи);</w:t>
            </w:r>
            <w:r w:rsidRPr="0089418D">
              <w:rPr>
                <w:rFonts w:ascii="Tahoma" w:hAnsi="Tahoma" w:cs="Tahoma"/>
                <w:color w:val="000000" w:themeColor="text1"/>
              </w:rPr>
              <w:t xml:space="preserve"> </w:t>
            </w:r>
          </w:p>
          <w:p w14:paraId="0926F927" w14:textId="77777777" w:rsidR="00951A61" w:rsidRPr="0089418D" w:rsidRDefault="00951A61" w:rsidP="00951A61">
            <w:pPr>
              <w:pStyle w:val="affe"/>
              <w:numPr>
                <w:ilvl w:val="0"/>
                <w:numId w:val="40"/>
              </w:numPr>
              <w:ind w:left="0" w:firstLine="425"/>
              <w:contextualSpacing/>
              <w:jc w:val="both"/>
              <w:rPr>
                <w:rFonts w:ascii="Tahoma" w:hAnsi="Tahoma" w:cs="Tahoma"/>
                <w:sz w:val="20"/>
                <w:szCs w:val="20"/>
              </w:rPr>
            </w:pPr>
            <w:r w:rsidRPr="0089418D">
              <w:rPr>
                <w:rFonts w:ascii="Tahoma" w:hAnsi="Tahoma" w:cs="Tahoma"/>
                <w:color w:val="000000" w:themeColor="text1"/>
                <w:sz w:val="20"/>
                <w:szCs w:val="20"/>
              </w:rPr>
              <w:t>выписка из СФР, сформированная Банком / заверенная клиентом;</w:t>
            </w:r>
          </w:p>
          <w:p w14:paraId="3730F900" w14:textId="77777777" w:rsidR="00951A61" w:rsidRPr="0089418D" w:rsidRDefault="00951A61" w:rsidP="00951A61">
            <w:pPr>
              <w:pStyle w:val="affe"/>
              <w:numPr>
                <w:ilvl w:val="0"/>
                <w:numId w:val="70"/>
              </w:numPr>
              <w:ind w:left="0" w:firstLine="425"/>
              <w:contextualSpacing/>
              <w:jc w:val="both"/>
              <w:rPr>
                <w:rFonts w:ascii="Tahoma" w:hAnsi="Tahoma" w:cs="Tahoma"/>
                <w:sz w:val="20"/>
                <w:szCs w:val="20"/>
              </w:rPr>
            </w:pPr>
            <w:r w:rsidRPr="0089418D">
              <w:rPr>
                <w:rFonts w:ascii="Tahoma" w:hAnsi="Tahoma" w:cs="Tahoma"/>
                <w:sz w:val="20"/>
                <w:szCs w:val="20"/>
              </w:rPr>
              <w:t xml:space="preserve">Военный </w:t>
            </w:r>
            <w:r w:rsidRPr="0054055E">
              <w:rPr>
                <w:rFonts w:ascii="Tahoma" w:hAnsi="Tahoma" w:cs="Tahoma"/>
                <w:sz w:val="20"/>
                <w:szCs w:val="20"/>
              </w:rPr>
              <w:t>билет (</w:t>
            </w:r>
            <w:r w:rsidRPr="00B3020C">
              <w:rPr>
                <w:rFonts w:ascii="Tahoma" w:hAnsi="Tahoma" w:cs="Tahoma"/>
                <w:sz w:val="20"/>
                <w:szCs w:val="20"/>
              </w:rPr>
              <w:t>может быть запрошен при необходимости</w:t>
            </w:r>
            <w:r w:rsidRPr="0054055E">
              <w:rPr>
                <w:rFonts w:ascii="Tahoma" w:hAnsi="Tahoma" w:cs="Tahoma"/>
                <w:sz w:val="20"/>
                <w:szCs w:val="20"/>
              </w:rPr>
              <w:t>);</w:t>
            </w:r>
          </w:p>
          <w:p w14:paraId="6CCD58CD" w14:textId="77777777" w:rsidR="00951A61" w:rsidRPr="0089418D" w:rsidRDefault="00951A61" w:rsidP="00951A61">
            <w:pPr>
              <w:pStyle w:val="affe"/>
              <w:numPr>
                <w:ilvl w:val="0"/>
                <w:numId w:val="70"/>
              </w:numPr>
              <w:ind w:left="0" w:firstLine="425"/>
              <w:contextualSpacing/>
              <w:jc w:val="both"/>
              <w:rPr>
                <w:rFonts w:ascii="Tahoma" w:hAnsi="Tahoma" w:cs="Tahoma"/>
                <w:sz w:val="20"/>
                <w:szCs w:val="20"/>
              </w:rPr>
            </w:pPr>
            <w:r w:rsidRPr="00AA6F56">
              <w:rPr>
                <w:rFonts w:ascii="Tahoma" w:hAnsi="Tahoma" w:cs="Tahoma"/>
                <w:sz w:val="20"/>
                <w:szCs w:val="20"/>
              </w:rPr>
              <w:t>Заёмщиком-ИП/физическим лицом, занимающимся в установленном законодательством Российской Федерации порядке частной практикой, дополнительно</w:t>
            </w:r>
            <w:r w:rsidRPr="0089418D">
              <w:rPr>
                <w:rFonts w:ascii="Tahoma" w:hAnsi="Tahoma" w:cs="Tahoma"/>
                <w:sz w:val="20"/>
                <w:szCs w:val="20"/>
              </w:rPr>
              <w:t xml:space="preserve"> предоставляются следующие документы:</w:t>
            </w:r>
          </w:p>
          <w:p w14:paraId="1CD4AE94" w14:textId="77777777" w:rsidR="00951A61" w:rsidRPr="0023145E" w:rsidRDefault="00951A61" w:rsidP="00A4032F">
            <w:pPr>
              <w:pStyle w:val="affe"/>
              <w:ind w:left="0" w:firstLine="425"/>
              <w:jc w:val="both"/>
              <w:rPr>
                <w:rFonts w:ascii="Tahoma" w:hAnsi="Tahoma" w:cs="Tahoma"/>
                <w:sz w:val="20"/>
                <w:szCs w:val="20"/>
              </w:rPr>
            </w:pPr>
            <w:r w:rsidRPr="0089418D">
              <w:rPr>
                <w:rFonts w:ascii="Tahoma" w:hAnsi="Tahoma" w:cs="Tahoma"/>
                <w:sz w:val="20"/>
                <w:szCs w:val="20"/>
              </w:rPr>
              <w:t xml:space="preserve">- свидетельство о постановке на учет в качестве ИП/ лицензия на осуществление нотариальной деятельности для частных </w:t>
            </w:r>
            <w:r w:rsidRPr="0023145E">
              <w:rPr>
                <w:rFonts w:ascii="Tahoma" w:hAnsi="Tahoma" w:cs="Tahoma"/>
                <w:sz w:val="20"/>
                <w:szCs w:val="20"/>
              </w:rPr>
              <w:t>нотариусов/ удостоверение адвоката для адвокатов, учредивших адвокатский кабинет;</w:t>
            </w:r>
          </w:p>
          <w:p w14:paraId="263A3238" w14:textId="77777777" w:rsidR="00951A61" w:rsidRPr="0023145E" w:rsidRDefault="00951A61" w:rsidP="00A4032F">
            <w:pPr>
              <w:pStyle w:val="affe"/>
              <w:ind w:left="0" w:firstLine="425"/>
              <w:jc w:val="both"/>
              <w:rPr>
                <w:rFonts w:ascii="Tahoma" w:hAnsi="Tahoma" w:cs="Tahoma"/>
                <w:sz w:val="20"/>
                <w:szCs w:val="20"/>
              </w:rPr>
            </w:pPr>
            <w:r w:rsidRPr="0023145E">
              <w:rPr>
                <w:rFonts w:ascii="Tahoma" w:hAnsi="Tahoma" w:cs="Tahoma"/>
                <w:sz w:val="20"/>
                <w:szCs w:val="20"/>
              </w:rPr>
              <w:t>- налоговая декларация/документ, подтверждающий расчет и оплату налога на доходы физических лиц с отметками налогового органа о получении, либо патент;</w:t>
            </w:r>
          </w:p>
          <w:p w14:paraId="21A548A4" w14:textId="77777777" w:rsidR="00951A61" w:rsidRPr="0089418D" w:rsidRDefault="00951A61" w:rsidP="00A4032F">
            <w:pPr>
              <w:pStyle w:val="affe"/>
              <w:ind w:left="0" w:firstLine="425"/>
              <w:jc w:val="both"/>
              <w:rPr>
                <w:rFonts w:ascii="Tahoma" w:hAnsi="Tahoma" w:cs="Tahoma"/>
                <w:sz w:val="20"/>
                <w:szCs w:val="20"/>
              </w:rPr>
            </w:pPr>
            <w:r w:rsidRPr="0023145E">
              <w:rPr>
                <w:rFonts w:ascii="Tahoma" w:hAnsi="Tahoma" w:cs="Tahoma"/>
                <w:sz w:val="20"/>
                <w:szCs w:val="20"/>
              </w:rPr>
              <w:t>- выписка по счетам Заемщика в формате txt</w:t>
            </w:r>
            <w:r w:rsidRPr="0023145E">
              <w:rPr>
                <w:rStyle w:val="aff3"/>
                <w:rFonts w:ascii="Tahoma" w:hAnsi="Tahoma" w:cs="Tahoma"/>
                <w:sz w:val="20"/>
                <w:szCs w:val="20"/>
              </w:rPr>
              <w:footnoteReference w:id="33"/>
            </w:r>
            <w:r w:rsidRPr="0023145E">
              <w:rPr>
                <w:rFonts w:ascii="Tahoma" w:hAnsi="Tahoma" w:cs="Tahoma"/>
                <w:sz w:val="20"/>
                <w:szCs w:val="20"/>
              </w:rPr>
              <w:t>/ квитанции по уплате авансовых платежей/ выписки по счету с указанием уплаты авансовых платежей, уплате единого налога, либо квитанции об уплате стоимости патента в зависимости от системы налогообложения/ квитанции об уплате отчислений в Социальный фонд РФ и Федеральный фонд обязательного медицинского</w:t>
            </w:r>
            <w:r w:rsidRPr="0089418D">
              <w:rPr>
                <w:rFonts w:ascii="Tahoma" w:hAnsi="Tahoma" w:cs="Tahoma"/>
                <w:sz w:val="20"/>
                <w:szCs w:val="20"/>
              </w:rPr>
              <w:t xml:space="preserve"> страхования/иные документы, подтверждающие эти отчисления (для предпринимателей, не производящих выплаты, и иные вознаграждения физическим лицам, величина налога на вмененный доход которых равна нулю);</w:t>
            </w:r>
          </w:p>
          <w:p w14:paraId="5CE07B31" w14:textId="77777777" w:rsidR="00951A61" w:rsidRPr="0089418D" w:rsidRDefault="00951A61" w:rsidP="00A4032F">
            <w:pPr>
              <w:pStyle w:val="affe"/>
              <w:ind w:left="0" w:firstLine="425"/>
              <w:jc w:val="both"/>
              <w:rPr>
                <w:rFonts w:ascii="Tahoma" w:hAnsi="Tahoma" w:cs="Tahoma"/>
                <w:sz w:val="20"/>
                <w:szCs w:val="20"/>
              </w:rPr>
            </w:pPr>
            <w:r w:rsidRPr="0089418D">
              <w:rPr>
                <w:rFonts w:ascii="Tahoma" w:hAnsi="Tahoma" w:cs="Tahoma"/>
                <w:sz w:val="20"/>
                <w:szCs w:val="20"/>
              </w:rPr>
              <w:t>- при необходимости, документы, которые требуются от ИП для анализа его финансово-хозяйственной деятельности по стандартам и с учетом требований нормативных документов Банка.</w:t>
            </w:r>
          </w:p>
          <w:p w14:paraId="2AE2E8CF" w14:textId="77777777" w:rsidR="00951A61" w:rsidRPr="0089418D" w:rsidRDefault="00951A61" w:rsidP="00951A61">
            <w:pPr>
              <w:pStyle w:val="affe"/>
              <w:numPr>
                <w:ilvl w:val="0"/>
                <w:numId w:val="70"/>
              </w:numPr>
              <w:ind w:left="0" w:firstLine="425"/>
              <w:contextualSpacing/>
              <w:jc w:val="both"/>
              <w:rPr>
                <w:rFonts w:ascii="Tahoma" w:hAnsi="Tahoma" w:cs="Tahoma"/>
                <w:sz w:val="20"/>
                <w:szCs w:val="20"/>
              </w:rPr>
            </w:pPr>
            <w:r w:rsidRPr="0089418D">
              <w:rPr>
                <w:rFonts w:ascii="Tahoma" w:hAnsi="Tahoma" w:cs="Tahoma"/>
                <w:sz w:val="20"/>
                <w:szCs w:val="20"/>
              </w:rPr>
              <w:t xml:space="preserve">Для самозанятых граждан: </w:t>
            </w:r>
          </w:p>
          <w:p w14:paraId="5E0A1727" w14:textId="77777777" w:rsidR="00951A61" w:rsidRPr="0089418D" w:rsidRDefault="00951A61" w:rsidP="00951A61">
            <w:pPr>
              <w:pStyle w:val="affe"/>
              <w:numPr>
                <w:ilvl w:val="0"/>
                <w:numId w:val="67"/>
              </w:numPr>
              <w:ind w:left="0" w:firstLine="425"/>
              <w:contextualSpacing/>
              <w:jc w:val="both"/>
              <w:rPr>
                <w:rFonts w:ascii="Tahoma" w:hAnsi="Tahoma" w:cs="Tahoma"/>
                <w:sz w:val="20"/>
                <w:szCs w:val="20"/>
              </w:rPr>
            </w:pPr>
            <w:r w:rsidRPr="0089418D">
              <w:rPr>
                <w:rFonts w:ascii="Tahoma" w:hAnsi="Tahoma" w:cs="Tahoma"/>
                <w:sz w:val="20"/>
                <w:szCs w:val="20"/>
              </w:rPr>
              <w:t>справка о постановке на учет самозанятого. Документ может быть сформирован в специализированном мобильном приложении или в веб-кабинете «Мой налог» на официальном сайте ФНС РФ. При корректном формировании электронная справка подписывается электронной подписью ФНС РФ. Данный документ необходимо распечатать и заверить подписью Заемщика;</w:t>
            </w:r>
          </w:p>
          <w:p w14:paraId="442717B9" w14:textId="77777777" w:rsidR="00951A61" w:rsidRPr="0089418D" w:rsidRDefault="00951A61" w:rsidP="00951A61">
            <w:pPr>
              <w:pStyle w:val="affe"/>
              <w:numPr>
                <w:ilvl w:val="0"/>
                <w:numId w:val="67"/>
              </w:numPr>
              <w:ind w:left="0" w:firstLine="425"/>
              <w:contextualSpacing/>
              <w:jc w:val="both"/>
              <w:rPr>
                <w:rFonts w:ascii="Tahoma" w:hAnsi="Tahoma" w:cs="Tahoma"/>
                <w:sz w:val="20"/>
                <w:szCs w:val="20"/>
              </w:rPr>
            </w:pPr>
            <w:r w:rsidRPr="0089418D">
              <w:rPr>
                <w:rFonts w:ascii="Tahoma" w:hAnsi="Tahoma" w:cs="Tahoma"/>
                <w:sz w:val="20"/>
                <w:szCs w:val="20"/>
              </w:rPr>
              <w:lastRenderedPageBreak/>
              <w:t>справка о состоянии расчетов (доходах) по налогу на профессиональный доход для самозанятых (копия, заверенная заемщиком) или оригинал;</w:t>
            </w:r>
          </w:p>
          <w:p w14:paraId="2AC5E4E8" w14:textId="77777777" w:rsidR="00951A61" w:rsidRPr="0089418D" w:rsidRDefault="00951A61" w:rsidP="00951A61">
            <w:pPr>
              <w:pStyle w:val="affe"/>
              <w:numPr>
                <w:ilvl w:val="0"/>
                <w:numId w:val="40"/>
              </w:numPr>
              <w:ind w:left="0" w:firstLine="425"/>
              <w:contextualSpacing/>
              <w:jc w:val="both"/>
              <w:rPr>
                <w:rFonts w:ascii="Tahoma" w:hAnsi="Tahoma" w:cs="Tahoma"/>
                <w:sz w:val="20"/>
                <w:szCs w:val="20"/>
              </w:rPr>
            </w:pPr>
            <w:r w:rsidRPr="0089418D">
              <w:rPr>
                <w:rFonts w:ascii="Tahoma" w:hAnsi="Tahoma" w:cs="Tahoma"/>
                <w:sz w:val="20"/>
                <w:szCs w:val="20"/>
              </w:rPr>
              <w:t xml:space="preserve">Выписка по банковскому счету Заемщика (оригинал). На дату принятия предварительного решения о выдаче </w:t>
            </w:r>
            <w:r>
              <w:rPr>
                <w:rFonts w:ascii="Tahoma" w:hAnsi="Tahoma" w:cs="Tahoma"/>
                <w:sz w:val="20"/>
                <w:szCs w:val="20"/>
              </w:rPr>
              <w:t>К</w:t>
            </w:r>
            <w:r w:rsidRPr="0089418D">
              <w:rPr>
                <w:rFonts w:ascii="Tahoma" w:hAnsi="Tahoma" w:cs="Tahoma"/>
                <w:sz w:val="20"/>
                <w:szCs w:val="20"/>
              </w:rPr>
              <w:t>редита по Заемщику(ам) срок действия должен составлять не более 30 календарных дней (является не обязательным документом и предоставляется дополнительно по запросу андеррайтера (в случае необходимости)).</w:t>
            </w:r>
          </w:p>
          <w:p w14:paraId="04EB63D0" w14:textId="77777777" w:rsidR="00951A61" w:rsidRPr="0089418D" w:rsidRDefault="00951A61" w:rsidP="00951A61">
            <w:pPr>
              <w:pStyle w:val="affe"/>
              <w:numPr>
                <w:ilvl w:val="0"/>
                <w:numId w:val="70"/>
              </w:numPr>
              <w:ind w:left="0" w:firstLine="425"/>
              <w:contextualSpacing/>
              <w:jc w:val="both"/>
              <w:rPr>
                <w:rFonts w:ascii="Tahoma" w:hAnsi="Tahoma" w:cs="Tahoma"/>
                <w:sz w:val="20"/>
                <w:szCs w:val="20"/>
              </w:rPr>
            </w:pPr>
            <w:r w:rsidRPr="0089418D">
              <w:rPr>
                <w:rFonts w:ascii="Tahoma" w:hAnsi="Tahoma" w:cs="Tahoma"/>
                <w:sz w:val="20"/>
                <w:szCs w:val="20"/>
              </w:rPr>
              <w:t>При необходимости Банком могут быть запрошены иные документы.</w:t>
            </w:r>
            <w:r w:rsidRPr="0089418D">
              <w:rPr>
                <w:rFonts w:ascii="Tahoma" w:hAnsi="Tahoma" w:cs="Tahoma"/>
                <w:sz w:val="20"/>
                <w:szCs w:val="20"/>
              </w:rPr>
              <w:fldChar w:fldCharType="begin"/>
            </w:r>
            <w:r w:rsidRPr="0089418D">
              <w:rPr>
                <w:rFonts w:ascii="Tahoma" w:hAnsi="Tahoma" w:cs="Tahoma"/>
                <w:sz w:val="20"/>
                <w:szCs w:val="20"/>
              </w:rPr>
              <w:instrText xml:space="preserve"> DOCVARIABLE  ATB_ADDRESS_REG </w:instrText>
            </w:r>
            <w:r w:rsidRPr="0089418D">
              <w:rPr>
                <w:rFonts w:ascii="Tahoma" w:hAnsi="Tahoma" w:cs="Tahoma"/>
                <w:sz w:val="20"/>
                <w:szCs w:val="20"/>
              </w:rPr>
              <w:fldChar w:fldCharType="end"/>
            </w:r>
          </w:p>
        </w:tc>
      </w:tr>
      <w:tr w:rsidR="00951A61" w:rsidRPr="0089418D" w14:paraId="1153130C" w14:textId="77777777" w:rsidTr="00A4032F">
        <w:tblPrEx>
          <w:tblLook w:val="00A0" w:firstRow="1" w:lastRow="0" w:firstColumn="1" w:lastColumn="0" w:noHBand="0" w:noVBand="0"/>
        </w:tblPrEx>
        <w:trPr>
          <w:trHeight w:val="125"/>
        </w:trPr>
        <w:tc>
          <w:tcPr>
            <w:tcW w:w="4071" w:type="dxa"/>
            <w:tcBorders>
              <w:top w:val="single" w:sz="4" w:space="0" w:color="auto"/>
              <w:left w:val="single" w:sz="8" w:space="0" w:color="auto"/>
              <w:bottom w:val="single" w:sz="4" w:space="0" w:color="auto"/>
              <w:right w:val="single" w:sz="4" w:space="0" w:color="auto"/>
            </w:tcBorders>
            <w:vAlign w:val="center"/>
          </w:tcPr>
          <w:p w14:paraId="7F8A0918" w14:textId="77777777" w:rsidR="00951A61" w:rsidRPr="0089418D" w:rsidRDefault="00951A61" w:rsidP="00A4032F">
            <w:pPr>
              <w:jc w:val="center"/>
              <w:rPr>
                <w:rFonts w:ascii="Tahoma" w:hAnsi="Tahoma" w:cs="Tahoma"/>
                <w:b/>
                <w:sz w:val="20"/>
                <w:szCs w:val="20"/>
              </w:rPr>
            </w:pPr>
            <w:r w:rsidRPr="0089418D">
              <w:rPr>
                <w:rFonts w:ascii="Tahoma" w:hAnsi="Tahoma" w:cs="Tahoma"/>
                <w:b/>
                <w:sz w:val="20"/>
                <w:szCs w:val="20"/>
              </w:rPr>
              <w:lastRenderedPageBreak/>
              <w:t>Перечень документов по объекту недвижимости, передаваемому в залог Банку</w:t>
            </w:r>
          </w:p>
          <w:p w14:paraId="6D8BD77A" w14:textId="77777777" w:rsidR="00951A61" w:rsidRPr="0089418D" w:rsidRDefault="00951A61" w:rsidP="00A4032F">
            <w:pPr>
              <w:jc w:val="center"/>
              <w:rPr>
                <w:rFonts w:ascii="Tahoma" w:hAnsi="Tahoma" w:cs="Tahoma"/>
                <w:b/>
                <w:sz w:val="20"/>
                <w:szCs w:val="20"/>
              </w:rPr>
            </w:pPr>
          </w:p>
        </w:tc>
        <w:tc>
          <w:tcPr>
            <w:tcW w:w="11594" w:type="dxa"/>
            <w:tcBorders>
              <w:top w:val="single" w:sz="4" w:space="0" w:color="auto"/>
              <w:left w:val="nil"/>
              <w:bottom w:val="single" w:sz="4" w:space="0" w:color="auto"/>
              <w:right w:val="single" w:sz="8" w:space="0" w:color="000000"/>
            </w:tcBorders>
            <w:noWrap/>
            <w:vAlign w:val="center"/>
          </w:tcPr>
          <w:p w14:paraId="28D6439B" w14:textId="77777777" w:rsidR="00951A61" w:rsidRPr="0089418D" w:rsidRDefault="00951A61" w:rsidP="00951A61">
            <w:pPr>
              <w:pStyle w:val="affe"/>
              <w:numPr>
                <w:ilvl w:val="0"/>
                <w:numId w:val="57"/>
              </w:numPr>
              <w:ind w:left="0" w:firstLine="425"/>
              <w:contextualSpacing/>
              <w:jc w:val="both"/>
              <w:rPr>
                <w:rFonts w:ascii="Tahoma" w:hAnsi="Tahoma" w:cs="Tahoma"/>
                <w:sz w:val="20"/>
                <w:szCs w:val="20"/>
              </w:rPr>
            </w:pPr>
            <w:r w:rsidRPr="0089418D">
              <w:rPr>
                <w:rFonts w:ascii="Tahoma" w:hAnsi="Tahoma" w:cs="Tahoma"/>
                <w:sz w:val="20"/>
                <w:szCs w:val="20"/>
              </w:rPr>
              <w:t xml:space="preserve">Отчет об оценке </w:t>
            </w:r>
            <w:r>
              <w:rPr>
                <w:rFonts w:ascii="Tahoma" w:hAnsi="Tahoma" w:cs="Tahoma"/>
                <w:sz w:val="20"/>
                <w:szCs w:val="20"/>
              </w:rPr>
              <w:t>П</w:t>
            </w:r>
            <w:r w:rsidRPr="0089418D">
              <w:rPr>
                <w:rFonts w:ascii="Tahoma" w:hAnsi="Tahoma" w:cs="Tahoma"/>
                <w:sz w:val="20"/>
                <w:szCs w:val="20"/>
              </w:rPr>
              <w:t>редмета ипотеки</w:t>
            </w:r>
            <w:r w:rsidRPr="0089418D">
              <w:rPr>
                <w:rStyle w:val="aff3"/>
                <w:rFonts w:ascii="Tahoma" w:hAnsi="Tahoma" w:cs="Tahoma"/>
                <w:sz w:val="20"/>
                <w:szCs w:val="20"/>
              </w:rPr>
              <w:footnoteReference w:id="34"/>
            </w:r>
            <w:r w:rsidRPr="0089418D">
              <w:rPr>
                <w:rFonts w:ascii="Tahoma" w:hAnsi="Tahoma" w:cs="Tahoma"/>
                <w:sz w:val="20"/>
                <w:szCs w:val="20"/>
              </w:rPr>
              <w:t>;</w:t>
            </w:r>
          </w:p>
          <w:p w14:paraId="3EEC5485" w14:textId="77777777" w:rsidR="00951A61" w:rsidRPr="0089418D" w:rsidRDefault="00951A61" w:rsidP="00951A61">
            <w:pPr>
              <w:pStyle w:val="affe"/>
              <w:numPr>
                <w:ilvl w:val="0"/>
                <w:numId w:val="57"/>
              </w:numPr>
              <w:ind w:left="0" w:firstLine="425"/>
              <w:contextualSpacing/>
              <w:jc w:val="both"/>
              <w:rPr>
                <w:rFonts w:ascii="Tahoma" w:hAnsi="Tahoma" w:cs="Tahoma"/>
                <w:sz w:val="20"/>
                <w:szCs w:val="20"/>
              </w:rPr>
            </w:pPr>
            <w:r w:rsidRPr="0089418D">
              <w:rPr>
                <w:rFonts w:ascii="Tahoma" w:hAnsi="Tahoma" w:cs="Tahoma"/>
                <w:sz w:val="20"/>
                <w:szCs w:val="20"/>
              </w:rPr>
              <w:t>Правоустанавливающие и правоподтверждающие документы на объект недвижимости (договор приобретения (договор купли-продажи/договор долевого участия/договор уступки), свидетельство о государственной регистрации права собственности на недвижимость (при наличии), выписка из ЕГРН);</w:t>
            </w:r>
          </w:p>
          <w:p w14:paraId="0B734989" w14:textId="77777777" w:rsidR="00951A61" w:rsidRPr="0089418D" w:rsidRDefault="00951A61" w:rsidP="00951A61">
            <w:pPr>
              <w:pStyle w:val="affe"/>
              <w:numPr>
                <w:ilvl w:val="0"/>
                <w:numId w:val="57"/>
              </w:numPr>
              <w:ind w:left="0" w:firstLine="425"/>
              <w:contextualSpacing/>
              <w:jc w:val="both"/>
              <w:rPr>
                <w:rFonts w:ascii="Tahoma" w:hAnsi="Tahoma" w:cs="Tahoma"/>
                <w:sz w:val="20"/>
                <w:szCs w:val="20"/>
              </w:rPr>
            </w:pPr>
            <w:r w:rsidRPr="0089418D">
              <w:rPr>
                <w:rFonts w:ascii="Tahoma" w:hAnsi="Tahoma" w:cs="Tahoma"/>
                <w:sz w:val="20"/>
                <w:szCs w:val="20"/>
              </w:rPr>
              <w:t>Кадастровый или технический паспорт/план (техническая документация);</w:t>
            </w:r>
          </w:p>
          <w:p w14:paraId="60D8D0BA" w14:textId="77777777" w:rsidR="00951A61" w:rsidRPr="0089418D" w:rsidRDefault="00951A61" w:rsidP="00A4032F">
            <w:pPr>
              <w:pStyle w:val="affe"/>
              <w:ind w:left="0" w:firstLine="425"/>
              <w:jc w:val="both"/>
              <w:rPr>
                <w:rFonts w:ascii="Tahoma" w:hAnsi="Tahoma" w:cs="Tahoma"/>
                <w:sz w:val="20"/>
                <w:szCs w:val="20"/>
              </w:rPr>
            </w:pPr>
            <w:r w:rsidRPr="0089418D">
              <w:rPr>
                <w:rFonts w:ascii="Tahoma" w:hAnsi="Tahoma" w:cs="Tahoma"/>
                <w:sz w:val="20"/>
                <w:szCs w:val="20"/>
              </w:rPr>
              <w:t>Для опции «Залоговый»:</w:t>
            </w:r>
          </w:p>
          <w:p w14:paraId="78CC661B" w14:textId="77777777" w:rsidR="00951A61" w:rsidRPr="0089418D" w:rsidRDefault="00951A61" w:rsidP="00951A61">
            <w:pPr>
              <w:pStyle w:val="affe"/>
              <w:numPr>
                <w:ilvl w:val="0"/>
                <w:numId w:val="57"/>
              </w:numPr>
              <w:ind w:left="0" w:firstLine="425"/>
              <w:contextualSpacing/>
              <w:jc w:val="both"/>
              <w:rPr>
                <w:rFonts w:ascii="Tahoma" w:hAnsi="Tahoma" w:cs="Tahoma"/>
                <w:sz w:val="20"/>
                <w:szCs w:val="20"/>
              </w:rPr>
            </w:pPr>
            <w:r w:rsidRPr="0089418D">
              <w:rPr>
                <w:rFonts w:ascii="Tahoma" w:hAnsi="Tahoma" w:cs="Tahoma"/>
                <w:sz w:val="20"/>
                <w:szCs w:val="20"/>
              </w:rPr>
              <w:t xml:space="preserve">Кредитный договор по </w:t>
            </w:r>
            <w:r>
              <w:rPr>
                <w:rFonts w:ascii="Tahoma" w:hAnsi="Tahoma" w:cs="Tahoma"/>
                <w:sz w:val="20"/>
                <w:szCs w:val="20"/>
              </w:rPr>
              <w:t>к</w:t>
            </w:r>
            <w:r w:rsidRPr="0089418D">
              <w:rPr>
                <w:rFonts w:ascii="Tahoma" w:hAnsi="Tahoma" w:cs="Tahoma"/>
                <w:sz w:val="20"/>
                <w:szCs w:val="20"/>
              </w:rPr>
              <w:t>редиту продавца Предмета ипотеки со всеми дополнительными соглашениями (при наличии) (копия);</w:t>
            </w:r>
          </w:p>
          <w:p w14:paraId="54760149" w14:textId="77777777" w:rsidR="00951A61" w:rsidRPr="0089418D" w:rsidRDefault="00951A61" w:rsidP="00951A61">
            <w:pPr>
              <w:pStyle w:val="affe"/>
              <w:numPr>
                <w:ilvl w:val="0"/>
                <w:numId w:val="57"/>
              </w:numPr>
              <w:ind w:left="0" w:firstLine="425"/>
              <w:contextualSpacing/>
              <w:jc w:val="both"/>
              <w:rPr>
                <w:rFonts w:ascii="Tahoma" w:hAnsi="Tahoma" w:cs="Tahoma"/>
                <w:sz w:val="20"/>
                <w:szCs w:val="20"/>
              </w:rPr>
            </w:pPr>
            <w:r w:rsidRPr="0089418D">
              <w:rPr>
                <w:rFonts w:ascii="Tahoma" w:hAnsi="Tahoma" w:cs="Tahoma"/>
                <w:sz w:val="20"/>
                <w:szCs w:val="20"/>
              </w:rPr>
              <w:t xml:space="preserve">Справка/Выписка по счету/скриншот из мобильного банка по </w:t>
            </w:r>
            <w:r>
              <w:rPr>
                <w:rFonts w:ascii="Tahoma" w:hAnsi="Tahoma" w:cs="Tahoma"/>
                <w:sz w:val="20"/>
                <w:szCs w:val="20"/>
              </w:rPr>
              <w:t>к</w:t>
            </w:r>
            <w:r w:rsidRPr="0089418D">
              <w:rPr>
                <w:rFonts w:ascii="Tahoma" w:hAnsi="Tahoma" w:cs="Tahoma"/>
                <w:sz w:val="20"/>
                <w:szCs w:val="20"/>
              </w:rPr>
              <w:t xml:space="preserve">редиту продавца Предмета ипотеки об остатке текущей ссудной задолженности </w:t>
            </w:r>
            <w:r w:rsidRPr="0089418D">
              <w:rPr>
                <w:rFonts w:ascii="Tahoma" w:hAnsi="Tahoma" w:cs="Tahoma"/>
                <w:sz w:val="20"/>
              </w:rPr>
              <w:t>(</w:t>
            </w:r>
            <w:r w:rsidRPr="0089418D">
              <w:rPr>
                <w:rFonts w:ascii="Tahoma" w:hAnsi="Tahoma" w:cs="Tahoma"/>
                <w:sz w:val="20"/>
                <w:szCs w:val="20"/>
              </w:rPr>
              <w:t xml:space="preserve">оригинал/скриншот (заверяется </w:t>
            </w:r>
            <w:r>
              <w:rPr>
                <w:rFonts w:ascii="Tahoma" w:hAnsi="Tahoma" w:cs="Tahoma"/>
                <w:sz w:val="20"/>
                <w:szCs w:val="20"/>
              </w:rPr>
              <w:t>работник</w:t>
            </w:r>
            <w:r w:rsidRPr="0089418D">
              <w:rPr>
                <w:rFonts w:ascii="Tahoma" w:hAnsi="Tahoma" w:cs="Tahoma"/>
                <w:sz w:val="20"/>
                <w:szCs w:val="20"/>
              </w:rPr>
              <w:t>ом банка)</w:t>
            </w:r>
            <w:r w:rsidRPr="0089418D">
              <w:rPr>
                <w:rFonts w:ascii="Tahoma" w:hAnsi="Tahoma" w:cs="Tahoma"/>
                <w:sz w:val="20"/>
              </w:rPr>
              <w:t>, может быть предоставлена в том числе из мобильного банк продавца Предмета ипотеки)</w:t>
            </w:r>
            <w:r w:rsidRPr="0089418D">
              <w:rPr>
                <w:rFonts w:ascii="Tahoma" w:hAnsi="Tahoma" w:cs="Tahoma"/>
                <w:sz w:val="20"/>
                <w:szCs w:val="20"/>
              </w:rPr>
              <w:t>;</w:t>
            </w:r>
          </w:p>
          <w:p w14:paraId="4E1C2183" w14:textId="77777777" w:rsidR="00951A61" w:rsidRPr="0089418D" w:rsidRDefault="00951A61" w:rsidP="00951A61">
            <w:pPr>
              <w:pStyle w:val="affe"/>
              <w:numPr>
                <w:ilvl w:val="0"/>
                <w:numId w:val="57"/>
              </w:numPr>
              <w:ind w:left="0" w:firstLine="425"/>
              <w:contextualSpacing/>
              <w:jc w:val="both"/>
              <w:rPr>
                <w:rFonts w:ascii="Tahoma" w:hAnsi="Tahoma" w:cs="Tahoma"/>
                <w:sz w:val="20"/>
                <w:szCs w:val="20"/>
              </w:rPr>
            </w:pPr>
            <w:r w:rsidRPr="0089418D">
              <w:rPr>
                <w:rFonts w:ascii="Tahoma" w:hAnsi="Tahoma" w:cs="Tahoma"/>
                <w:sz w:val="20"/>
                <w:szCs w:val="20"/>
              </w:rPr>
              <w:t xml:space="preserve">Справка об отсутствии текущей просроченной задолженности по </w:t>
            </w:r>
            <w:r>
              <w:rPr>
                <w:rFonts w:ascii="Tahoma" w:hAnsi="Tahoma" w:cs="Tahoma"/>
                <w:sz w:val="20"/>
                <w:szCs w:val="20"/>
              </w:rPr>
              <w:t>к</w:t>
            </w:r>
            <w:r w:rsidRPr="0089418D">
              <w:rPr>
                <w:rFonts w:ascii="Tahoma" w:hAnsi="Tahoma" w:cs="Tahoma"/>
                <w:sz w:val="20"/>
                <w:szCs w:val="20"/>
              </w:rPr>
              <w:t xml:space="preserve">редиту продавца Предмета ипотеки </w:t>
            </w:r>
            <w:r w:rsidRPr="0089418D">
              <w:rPr>
                <w:rFonts w:ascii="Tahoma" w:hAnsi="Tahoma" w:cs="Tahoma"/>
                <w:sz w:val="20"/>
              </w:rPr>
              <w:t>(</w:t>
            </w:r>
            <w:r w:rsidRPr="0089418D">
              <w:rPr>
                <w:rFonts w:ascii="Tahoma" w:hAnsi="Tahoma" w:cs="Tahoma"/>
                <w:sz w:val="20"/>
                <w:szCs w:val="20"/>
              </w:rPr>
              <w:t xml:space="preserve">оригинал/скриншот (заверяется </w:t>
            </w:r>
            <w:r>
              <w:rPr>
                <w:rFonts w:ascii="Tahoma" w:hAnsi="Tahoma" w:cs="Tahoma"/>
                <w:sz w:val="20"/>
                <w:szCs w:val="20"/>
              </w:rPr>
              <w:t>работник</w:t>
            </w:r>
            <w:r w:rsidRPr="0089418D">
              <w:rPr>
                <w:rFonts w:ascii="Tahoma" w:hAnsi="Tahoma" w:cs="Tahoma"/>
                <w:sz w:val="20"/>
                <w:szCs w:val="20"/>
              </w:rPr>
              <w:t>ом банка)</w:t>
            </w:r>
            <w:r w:rsidRPr="0089418D">
              <w:rPr>
                <w:rFonts w:ascii="Tahoma" w:hAnsi="Tahoma" w:cs="Tahoma"/>
                <w:sz w:val="20"/>
              </w:rPr>
              <w:t>, может быть предоставлена в том числе из мобильного банк продавца Предмета ипотеки)</w:t>
            </w:r>
            <w:r w:rsidRPr="0089418D">
              <w:rPr>
                <w:rFonts w:ascii="Tahoma" w:hAnsi="Tahoma" w:cs="Tahoma"/>
                <w:sz w:val="20"/>
                <w:szCs w:val="20"/>
              </w:rPr>
              <w:t>;</w:t>
            </w:r>
          </w:p>
          <w:p w14:paraId="283E902F" w14:textId="77777777" w:rsidR="00951A61" w:rsidRPr="0089418D" w:rsidRDefault="00951A61" w:rsidP="00951A61">
            <w:pPr>
              <w:pStyle w:val="affe"/>
              <w:numPr>
                <w:ilvl w:val="0"/>
                <w:numId w:val="57"/>
              </w:numPr>
              <w:ind w:left="0" w:firstLine="425"/>
              <w:contextualSpacing/>
              <w:jc w:val="both"/>
              <w:rPr>
                <w:rFonts w:ascii="Tahoma" w:hAnsi="Tahoma" w:cs="Tahoma"/>
                <w:sz w:val="20"/>
              </w:rPr>
            </w:pPr>
            <w:r w:rsidRPr="0089418D">
              <w:rPr>
                <w:rFonts w:ascii="Tahoma" w:hAnsi="Tahoma" w:cs="Tahoma"/>
                <w:sz w:val="20"/>
              </w:rPr>
              <w:t xml:space="preserve">Справка о том, что </w:t>
            </w:r>
            <w:r>
              <w:rPr>
                <w:rFonts w:ascii="Tahoma" w:hAnsi="Tahoma" w:cs="Tahoma"/>
                <w:sz w:val="20"/>
              </w:rPr>
              <w:t>МСК</w:t>
            </w:r>
            <w:r w:rsidRPr="0089418D">
              <w:rPr>
                <w:rFonts w:ascii="Tahoma" w:hAnsi="Tahoma" w:cs="Tahoma"/>
                <w:sz w:val="20"/>
              </w:rPr>
              <w:t xml:space="preserve"> не был использован в счет погашения задолженности по </w:t>
            </w:r>
            <w:r>
              <w:rPr>
                <w:rFonts w:ascii="Tahoma" w:hAnsi="Tahoma" w:cs="Tahoma"/>
                <w:sz w:val="20"/>
              </w:rPr>
              <w:t>к</w:t>
            </w:r>
            <w:r w:rsidRPr="0089418D">
              <w:rPr>
                <w:rFonts w:ascii="Tahoma" w:hAnsi="Tahoma" w:cs="Tahoma"/>
                <w:sz w:val="20"/>
              </w:rPr>
              <w:t>редиту продавца Предмета ипотеки (</w:t>
            </w:r>
            <w:r w:rsidRPr="0089418D">
              <w:rPr>
                <w:rFonts w:ascii="Tahoma" w:hAnsi="Tahoma" w:cs="Tahoma"/>
                <w:sz w:val="20"/>
                <w:szCs w:val="20"/>
              </w:rPr>
              <w:t xml:space="preserve">оригинал/скриншот (заверяется </w:t>
            </w:r>
            <w:r>
              <w:rPr>
                <w:rFonts w:ascii="Tahoma" w:hAnsi="Tahoma" w:cs="Tahoma"/>
                <w:sz w:val="20"/>
                <w:szCs w:val="20"/>
              </w:rPr>
              <w:t>работник</w:t>
            </w:r>
            <w:r w:rsidRPr="0089418D">
              <w:rPr>
                <w:rFonts w:ascii="Tahoma" w:hAnsi="Tahoma" w:cs="Tahoma"/>
                <w:sz w:val="20"/>
                <w:szCs w:val="20"/>
              </w:rPr>
              <w:t>ом банка)</w:t>
            </w:r>
            <w:r w:rsidRPr="0089418D">
              <w:rPr>
                <w:rFonts w:ascii="Tahoma" w:hAnsi="Tahoma" w:cs="Tahoma"/>
                <w:sz w:val="20"/>
              </w:rPr>
              <w:t xml:space="preserve">, может быть предоставлена в том числе из мобильного банка продавца Предмета ипотеки) (запрашивается в случае наличия у Банка информации о том, что Продавец имеет/имел право на получение </w:t>
            </w:r>
            <w:r>
              <w:rPr>
                <w:rFonts w:ascii="Tahoma" w:hAnsi="Tahoma" w:cs="Tahoma"/>
                <w:sz w:val="20"/>
              </w:rPr>
              <w:t>МСК</w:t>
            </w:r>
            <w:r w:rsidRPr="0089418D">
              <w:rPr>
                <w:rFonts w:ascii="Tahoma" w:hAnsi="Tahoma" w:cs="Tahoma"/>
                <w:sz w:val="20"/>
              </w:rPr>
              <w:t>, (например, штампы о рождении двух и более детей или информация, полученная по Продавца);</w:t>
            </w:r>
          </w:p>
          <w:p w14:paraId="032E1CA4" w14:textId="77777777" w:rsidR="00951A61" w:rsidRPr="0089418D" w:rsidRDefault="00951A61" w:rsidP="00951A61">
            <w:pPr>
              <w:pStyle w:val="affe"/>
              <w:numPr>
                <w:ilvl w:val="0"/>
                <w:numId w:val="57"/>
              </w:numPr>
              <w:ind w:left="0" w:firstLine="425"/>
              <w:contextualSpacing/>
              <w:jc w:val="both"/>
              <w:rPr>
                <w:rFonts w:ascii="Tahoma" w:hAnsi="Tahoma" w:cs="Tahoma"/>
                <w:sz w:val="20"/>
                <w:szCs w:val="20"/>
              </w:rPr>
            </w:pPr>
            <w:r w:rsidRPr="0089418D">
              <w:rPr>
                <w:rFonts w:ascii="Tahoma" w:hAnsi="Tahoma" w:cs="Tahoma"/>
                <w:sz w:val="20"/>
                <w:szCs w:val="20"/>
              </w:rPr>
              <w:t xml:space="preserve">Документ, содержащий информацию о реквизитах счета, используемого для погашения </w:t>
            </w:r>
            <w:r>
              <w:rPr>
                <w:rFonts w:ascii="Tahoma" w:hAnsi="Tahoma" w:cs="Tahoma"/>
                <w:sz w:val="20"/>
                <w:szCs w:val="20"/>
              </w:rPr>
              <w:t>к</w:t>
            </w:r>
            <w:r w:rsidRPr="0089418D">
              <w:rPr>
                <w:rFonts w:ascii="Tahoma" w:hAnsi="Tahoma" w:cs="Tahoma"/>
                <w:sz w:val="20"/>
                <w:szCs w:val="20"/>
              </w:rPr>
              <w:t xml:space="preserve">редита Продавца </w:t>
            </w:r>
            <w:r w:rsidRPr="0089418D">
              <w:rPr>
                <w:rFonts w:ascii="Tahoma" w:hAnsi="Tahoma" w:cs="Tahoma"/>
                <w:sz w:val="20"/>
              </w:rPr>
              <w:t>(</w:t>
            </w:r>
            <w:r w:rsidRPr="0089418D">
              <w:rPr>
                <w:rFonts w:ascii="Tahoma" w:hAnsi="Tahoma" w:cs="Tahoma"/>
                <w:sz w:val="20"/>
                <w:szCs w:val="20"/>
              </w:rPr>
              <w:t xml:space="preserve">оригинал/скриншот (заверяется </w:t>
            </w:r>
            <w:r>
              <w:rPr>
                <w:rFonts w:ascii="Tahoma" w:hAnsi="Tahoma" w:cs="Tahoma"/>
                <w:sz w:val="20"/>
                <w:szCs w:val="20"/>
              </w:rPr>
              <w:t>работник</w:t>
            </w:r>
            <w:r w:rsidRPr="0089418D">
              <w:rPr>
                <w:rFonts w:ascii="Tahoma" w:hAnsi="Tahoma" w:cs="Tahoma"/>
                <w:sz w:val="20"/>
                <w:szCs w:val="20"/>
              </w:rPr>
              <w:t>ом банка)</w:t>
            </w:r>
            <w:r w:rsidRPr="0089418D">
              <w:rPr>
                <w:rFonts w:ascii="Tahoma" w:hAnsi="Tahoma" w:cs="Tahoma"/>
                <w:sz w:val="20"/>
              </w:rPr>
              <w:t>, может быть предоставлена в том числе из мобильного банк продавца Предмета ипотеки)</w:t>
            </w:r>
            <w:r w:rsidRPr="0089418D">
              <w:rPr>
                <w:rFonts w:ascii="Tahoma" w:hAnsi="Tahoma" w:cs="Tahoma"/>
                <w:sz w:val="20"/>
                <w:szCs w:val="20"/>
              </w:rPr>
              <w:t xml:space="preserve">; </w:t>
            </w:r>
          </w:p>
          <w:p w14:paraId="1B0D7095" w14:textId="77777777" w:rsidR="00951A61" w:rsidRPr="0089418D" w:rsidRDefault="00951A61" w:rsidP="00951A61">
            <w:pPr>
              <w:pStyle w:val="affe"/>
              <w:numPr>
                <w:ilvl w:val="0"/>
                <w:numId w:val="57"/>
              </w:numPr>
              <w:ind w:left="0" w:firstLine="425"/>
              <w:contextualSpacing/>
              <w:jc w:val="both"/>
              <w:rPr>
                <w:rFonts w:ascii="Tahoma" w:hAnsi="Tahoma" w:cs="Tahoma"/>
                <w:sz w:val="20"/>
                <w:szCs w:val="20"/>
              </w:rPr>
            </w:pPr>
            <w:r w:rsidRPr="0089418D">
              <w:rPr>
                <w:rFonts w:ascii="Tahoma" w:hAnsi="Tahoma" w:cs="Tahoma"/>
                <w:sz w:val="20"/>
                <w:szCs w:val="20"/>
              </w:rPr>
              <w:t xml:space="preserve">В случае, если между датой составления справок и датой заключения кредитно-обеспечительной документации был осуществлен ежемесячный платеж, справки необходимо обновить и предоставить к дате заключения кредитно-обеспечительной документации. Информация об остатке ссудной задолженности </w:t>
            </w:r>
            <w:r>
              <w:rPr>
                <w:rFonts w:ascii="Tahoma" w:hAnsi="Tahoma" w:cs="Tahoma"/>
                <w:sz w:val="20"/>
                <w:szCs w:val="20"/>
              </w:rPr>
              <w:t>к</w:t>
            </w:r>
            <w:r w:rsidRPr="0089418D">
              <w:rPr>
                <w:rFonts w:ascii="Tahoma" w:hAnsi="Tahoma" w:cs="Tahoma"/>
                <w:sz w:val="20"/>
                <w:szCs w:val="20"/>
              </w:rPr>
              <w:t xml:space="preserve">редита продавца Предмета ипотеки, об отсутствии текущей просроченной задолженности, о реквизитах счета, используемого для погашения </w:t>
            </w:r>
            <w:r>
              <w:rPr>
                <w:rFonts w:ascii="Tahoma" w:hAnsi="Tahoma" w:cs="Tahoma"/>
                <w:sz w:val="20"/>
                <w:szCs w:val="20"/>
              </w:rPr>
              <w:t>к</w:t>
            </w:r>
            <w:r w:rsidRPr="0089418D">
              <w:rPr>
                <w:rFonts w:ascii="Tahoma" w:hAnsi="Tahoma" w:cs="Tahoma"/>
                <w:sz w:val="20"/>
                <w:szCs w:val="20"/>
              </w:rPr>
              <w:t>редита может быть предоставлена в одной справке;</w:t>
            </w:r>
          </w:p>
          <w:p w14:paraId="6DA4D607" w14:textId="77777777" w:rsidR="00951A61" w:rsidRPr="0089418D" w:rsidRDefault="00951A61" w:rsidP="00951A61">
            <w:pPr>
              <w:pStyle w:val="affe"/>
              <w:numPr>
                <w:ilvl w:val="0"/>
                <w:numId w:val="57"/>
              </w:numPr>
              <w:ind w:left="0" w:firstLine="425"/>
              <w:contextualSpacing/>
              <w:jc w:val="both"/>
              <w:rPr>
                <w:rFonts w:ascii="Tahoma" w:hAnsi="Tahoma" w:cs="Tahoma"/>
                <w:sz w:val="20"/>
                <w:szCs w:val="20"/>
              </w:rPr>
            </w:pPr>
            <w:r w:rsidRPr="0089418D">
              <w:rPr>
                <w:rFonts w:ascii="Tahoma" w:hAnsi="Tahoma" w:cs="Tahoma"/>
                <w:sz w:val="20"/>
                <w:szCs w:val="20"/>
              </w:rPr>
              <w:t xml:space="preserve">Заявление на полное досрочное погашение задолженности продавца Предмета ипотеки перед банком-залогодержателем с отметкой о принятии банком-залогодержателем. В случае подачи Заявления через офис банка-залогодержателя Заявление должно содержать отметку о его принятии. В случае подачи заявления онлайн через личный кабинет банка-залогодержателя возможно предоставление скриншота заявления из личного кабинета (заверяется </w:t>
            </w:r>
            <w:r>
              <w:rPr>
                <w:rFonts w:ascii="Tahoma" w:hAnsi="Tahoma" w:cs="Tahoma"/>
                <w:sz w:val="20"/>
                <w:szCs w:val="20"/>
              </w:rPr>
              <w:t>работник</w:t>
            </w:r>
            <w:r w:rsidRPr="0089418D">
              <w:rPr>
                <w:rFonts w:ascii="Tahoma" w:hAnsi="Tahoma" w:cs="Tahoma"/>
                <w:sz w:val="20"/>
                <w:szCs w:val="20"/>
              </w:rPr>
              <w:t xml:space="preserve">ом Банка), при условии возможности однозначной идентификации кредитного договора продавца Предмета ипотеки (наличия ФИО и номера </w:t>
            </w:r>
            <w:r>
              <w:rPr>
                <w:rFonts w:ascii="Tahoma" w:hAnsi="Tahoma" w:cs="Tahoma"/>
                <w:sz w:val="20"/>
                <w:szCs w:val="20"/>
              </w:rPr>
              <w:t>к</w:t>
            </w:r>
            <w:r w:rsidRPr="0089418D">
              <w:rPr>
                <w:rFonts w:ascii="Tahoma" w:hAnsi="Tahoma" w:cs="Tahoma"/>
                <w:sz w:val="20"/>
                <w:szCs w:val="20"/>
              </w:rPr>
              <w:t>редитного договора);</w:t>
            </w:r>
          </w:p>
          <w:p w14:paraId="67B3A97A" w14:textId="77777777" w:rsidR="00951A61" w:rsidRPr="0089418D" w:rsidRDefault="00951A61" w:rsidP="00951A61">
            <w:pPr>
              <w:pStyle w:val="affe"/>
              <w:numPr>
                <w:ilvl w:val="0"/>
                <w:numId w:val="57"/>
              </w:numPr>
              <w:ind w:left="0" w:firstLine="425"/>
              <w:contextualSpacing/>
              <w:jc w:val="both"/>
              <w:rPr>
                <w:rFonts w:ascii="Tahoma" w:hAnsi="Tahoma" w:cs="Tahoma"/>
                <w:sz w:val="20"/>
                <w:szCs w:val="20"/>
              </w:rPr>
            </w:pPr>
            <w:r w:rsidRPr="0089418D">
              <w:rPr>
                <w:rFonts w:ascii="Tahoma" w:hAnsi="Tahoma" w:cs="Tahoma"/>
                <w:sz w:val="20"/>
                <w:szCs w:val="20"/>
              </w:rPr>
              <w:lastRenderedPageBreak/>
              <w:t xml:space="preserve">Доверенность от Заемщика на </w:t>
            </w:r>
            <w:r>
              <w:rPr>
                <w:rFonts w:ascii="Tahoma" w:hAnsi="Tahoma" w:cs="Tahoma"/>
                <w:sz w:val="20"/>
                <w:szCs w:val="20"/>
              </w:rPr>
              <w:t>работник</w:t>
            </w:r>
            <w:r w:rsidRPr="0089418D">
              <w:rPr>
                <w:rFonts w:ascii="Tahoma" w:hAnsi="Tahoma" w:cs="Tahoma"/>
                <w:sz w:val="20"/>
                <w:szCs w:val="20"/>
              </w:rPr>
              <w:t>а Банка (полномочия на осуществление регистрационных действий по сделке);</w:t>
            </w:r>
          </w:p>
          <w:p w14:paraId="72798C8D" w14:textId="77777777" w:rsidR="00951A61" w:rsidRPr="0089418D" w:rsidRDefault="00951A61" w:rsidP="00951A61">
            <w:pPr>
              <w:pStyle w:val="affe"/>
              <w:numPr>
                <w:ilvl w:val="0"/>
                <w:numId w:val="57"/>
              </w:numPr>
              <w:ind w:left="0" w:firstLine="425"/>
              <w:contextualSpacing/>
              <w:jc w:val="both"/>
              <w:rPr>
                <w:rFonts w:ascii="Tahoma" w:hAnsi="Tahoma" w:cs="Tahoma"/>
                <w:sz w:val="20"/>
                <w:szCs w:val="20"/>
              </w:rPr>
            </w:pPr>
            <w:r w:rsidRPr="0089418D">
              <w:rPr>
                <w:rFonts w:ascii="Tahoma" w:hAnsi="Tahoma" w:cs="Tahoma"/>
                <w:sz w:val="20"/>
                <w:szCs w:val="20"/>
              </w:rPr>
              <w:t xml:space="preserve">Доверенность от продавца Предмета ипотеки недвижимости на </w:t>
            </w:r>
            <w:r>
              <w:rPr>
                <w:rFonts w:ascii="Tahoma" w:hAnsi="Tahoma" w:cs="Tahoma"/>
                <w:sz w:val="20"/>
                <w:szCs w:val="20"/>
              </w:rPr>
              <w:t>работник</w:t>
            </w:r>
            <w:r w:rsidRPr="0089418D">
              <w:rPr>
                <w:rFonts w:ascii="Tahoma" w:hAnsi="Tahoma" w:cs="Tahoma"/>
                <w:sz w:val="20"/>
                <w:szCs w:val="20"/>
              </w:rPr>
              <w:t>а Банка:</w:t>
            </w:r>
          </w:p>
          <w:p w14:paraId="3C11F841" w14:textId="77777777" w:rsidR="00951A61" w:rsidRPr="0089418D" w:rsidRDefault="00951A61" w:rsidP="00951A61">
            <w:pPr>
              <w:pStyle w:val="affe"/>
              <w:numPr>
                <w:ilvl w:val="0"/>
                <w:numId w:val="71"/>
              </w:numPr>
              <w:ind w:left="0" w:firstLine="425"/>
              <w:contextualSpacing/>
              <w:jc w:val="both"/>
              <w:rPr>
                <w:rFonts w:ascii="Tahoma" w:hAnsi="Tahoma" w:cs="Tahoma"/>
                <w:sz w:val="20"/>
                <w:szCs w:val="20"/>
              </w:rPr>
            </w:pPr>
            <w:r w:rsidRPr="0089418D">
              <w:rPr>
                <w:rFonts w:ascii="Tahoma" w:hAnsi="Tahoma" w:cs="Tahoma"/>
                <w:sz w:val="20"/>
                <w:szCs w:val="20"/>
              </w:rPr>
              <w:t>полномочия для получения оригинала Закладной в банке-залогодержателе,</w:t>
            </w:r>
          </w:p>
          <w:p w14:paraId="186DB958" w14:textId="77777777" w:rsidR="00951A61" w:rsidRPr="0089418D" w:rsidRDefault="00951A61" w:rsidP="00951A61">
            <w:pPr>
              <w:pStyle w:val="affe"/>
              <w:numPr>
                <w:ilvl w:val="0"/>
                <w:numId w:val="71"/>
              </w:numPr>
              <w:ind w:left="0" w:firstLine="425"/>
              <w:contextualSpacing/>
              <w:jc w:val="both"/>
              <w:rPr>
                <w:rFonts w:ascii="Tahoma" w:hAnsi="Tahoma" w:cs="Tahoma"/>
                <w:sz w:val="20"/>
                <w:szCs w:val="20"/>
              </w:rPr>
            </w:pPr>
            <w:r w:rsidRPr="0089418D">
              <w:rPr>
                <w:rFonts w:ascii="Tahoma" w:hAnsi="Tahoma" w:cs="Tahoma"/>
                <w:sz w:val="20"/>
                <w:szCs w:val="20"/>
              </w:rPr>
              <w:t>полномочия для подачи заявления на полное досрочное погашение в банке-залогодержателе,</w:t>
            </w:r>
          </w:p>
          <w:p w14:paraId="446C35BE" w14:textId="77777777" w:rsidR="00951A61" w:rsidRPr="0089418D" w:rsidRDefault="00951A61" w:rsidP="00951A61">
            <w:pPr>
              <w:pStyle w:val="affe"/>
              <w:numPr>
                <w:ilvl w:val="0"/>
                <w:numId w:val="71"/>
              </w:numPr>
              <w:ind w:left="0" w:firstLine="425"/>
              <w:contextualSpacing/>
              <w:jc w:val="both"/>
              <w:rPr>
                <w:rFonts w:ascii="Tahoma" w:hAnsi="Tahoma" w:cs="Tahoma"/>
                <w:sz w:val="20"/>
                <w:szCs w:val="20"/>
              </w:rPr>
            </w:pPr>
            <w:r w:rsidRPr="0089418D">
              <w:rPr>
                <w:rFonts w:ascii="Tahoma" w:hAnsi="Tahoma" w:cs="Tahoma"/>
                <w:sz w:val="20"/>
                <w:szCs w:val="20"/>
              </w:rPr>
              <w:t xml:space="preserve">полномочия для получения справки об остатке ссудной задолженности по </w:t>
            </w:r>
            <w:r>
              <w:rPr>
                <w:rFonts w:ascii="Tahoma" w:hAnsi="Tahoma" w:cs="Tahoma"/>
                <w:sz w:val="20"/>
                <w:szCs w:val="20"/>
              </w:rPr>
              <w:t>к</w:t>
            </w:r>
            <w:r w:rsidRPr="0089418D">
              <w:rPr>
                <w:rFonts w:ascii="Tahoma" w:hAnsi="Tahoma" w:cs="Tahoma"/>
                <w:sz w:val="20"/>
                <w:szCs w:val="20"/>
              </w:rPr>
              <w:t>редиту, планируемому к закрытию за счет продажи недвижимости,</w:t>
            </w:r>
          </w:p>
          <w:p w14:paraId="06568C86" w14:textId="77777777" w:rsidR="00951A61" w:rsidRPr="0089418D" w:rsidRDefault="00951A61" w:rsidP="00951A61">
            <w:pPr>
              <w:pStyle w:val="affe"/>
              <w:numPr>
                <w:ilvl w:val="0"/>
                <w:numId w:val="71"/>
              </w:numPr>
              <w:ind w:left="0" w:firstLine="425"/>
              <w:contextualSpacing/>
              <w:jc w:val="both"/>
              <w:rPr>
                <w:rFonts w:ascii="Tahoma" w:hAnsi="Tahoma" w:cs="Tahoma"/>
                <w:sz w:val="20"/>
                <w:szCs w:val="20"/>
              </w:rPr>
            </w:pPr>
            <w:r w:rsidRPr="0089418D">
              <w:rPr>
                <w:rFonts w:ascii="Tahoma" w:hAnsi="Tahoma" w:cs="Tahoma"/>
                <w:sz w:val="20"/>
                <w:szCs w:val="20"/>
              </w:rPr>
              <w:t>полномочия для осуществления регистрационных действий;</w:t>
            </w:r>
          </w:p>
          <w:p w14:paraId="4159A3A2" w14:textId="77777777" w:rsidR="00951A61" w:rsidRPr="0089418D" w:rsidRDefault="00951A61" w:rsidP="00951A61">
            <w:pPr>
              <w:pStyle w:val="affe"/>
              <w:numPr>
                <w:ilvl w:val="0"/>
                <w:numId w:val="57"/>
              </w:numPr>
              <w:ind w:left="0" w:firstLine="425"/>
              <w:contextualSpacing/>
              <w:jc w:val="both"/>
              <w:rPr>
                <w:rFonts w:ascii="Tahoma" w:hAnsi="Tahoma" w:cs="Tahoma"/>
                <w:sz w:val="20"/>
                <w:szCs w:val="20"/>
              </w:rPr>
            </w:pPr>
            <w:r w:rsidRPr="0089418D">
              <w:rPr>
                <w:rFonts w:ascii="Tahoma" w:hAnsi="Tahoma" w:cs="Tahoma"/>
                <w:sz w:val="20"/>
                <w:szCs w:val="20"/>
              </w:rPr>
              <w:t>Каждая доверенность может быть выдана одновременно на нескольких лиц, при условии, что все они являются работниками Банка;</w:t>
            </w:r>
          </w:p>
          <w:p w14:paraId="26E7451C" w14:textId="77777777" w:rsidR="00951A61" w:rsidRPr="0089418D" w:rsidRDefault="00951A61" w:rsidP="00951A61">
            <w:pPr>
              <w:pStyle w:val="affe"/>
              <w:numPr>
                <w:ilvl w:val="0"/>
                <w:numId w:val="57"/>
              </w:numPr>
              <w:spacing w:line="276" w:lineRule="auto"/>
              <w:ind w:left="0" w:firstLine="425"/>
              <w:contextualSpacing/>
              <w:jc w:val="both"/>
              <w:rPr>
                <w:rFonts w:ascii="Tahoma" w:hAnsi="Tahoma" w:cs="Tahoma"/>
                <w:sz w:val="20"/>
                <w:szCs w:val="20"/>
              </w:rPr>
            </w:pPr>
            <w:r w:rsidRPr="0089418D">
              <w:rPr>
                <w:rFonts w:ascii="Tahoma" w:hAnsi="Tahoma" w:cs="Tahoma"/>
                <w:sz w:val="20"/>
                <w:szCs w:val="20"/>
              </w:rPr>
              <w:t xml:space="preserve">При необходимости Банком могут быть запрошены иные документы. </w:t>
            </w:r>
          </w:p>
        </w:tc>
      </w:tr>
      <w:tr w:rsidR="00951A61" w:rsidRPr="0089418D" w14:paraId="695038BC" w14:textId="77777777" w:rsidTr="00A4032F">
        <w:tblPrEx>
          <w:tblLook w:val="00A0" w:firstRow="1" w:lastRow="0" w:firstColumn="1" w:lastColumn="0" w:noHBand="0" w:noVBand="0"/>
        </w:tblPrEx>
        <w:trPr>
          <w:trHeight w:val="176"/>
        </w:trPr>
        <w:tc>
          <w:tcPr>
            <w:tcW w:w="4071" w:type="dxa"/>
            <w:tcBorders>
              <w:top w:val="single" w:sz="4" w:space="0" w:color="auto"/>
              <w:left w:val="single" w:sz="8" w:space="0" w:color="auto"/>
              <w:bottom w:val="single" w:sz="4" w:space="0" w:color="auto"/>
              <w:right w:val="single" w:sz="4" w:space="0" w:color="auto"/>
            </w:tcBorders>
            <w:vAlign w:val="center"/>
          </w:tcPr>
          <w:p w14:paraId="3B0E7EF6" w14:textId="77777777" w:rsidR="00951A61" w:rsidRPr="0089418D" w:rsidRDefault="00951A61" w:rsidP="00A4032F">
            <w:pPr>
              <w:jc w:val="center"/>
              <w:rPr>
                <w:rFonts w:ascii="Tahoma" w:hAnsi="Tahoma" w:cs="Tahoma"/>
                <w:b/>
                <w:sz w:val="20"/>
                <w:szCs w:val="20"/>
              </w:rPr>
            </w:pPr>
            <w:r w:rsidRPr="0014440C">
              <w:rPr>
                <w:rFonts w:ascii="Tahoma" w:hAnsi="Tahoma" w:cs="Tahoma"/>
                <w:b/>
                <w:sz w:val="20"/>
                <w:szCs w:val="20"/>
              </w:rPr>
              <w:lastRenderedPageBreak/>
              <w:t xml:space="preserve">Информация об иных договорах, которые Заемщик обязан заключить, и (или) иных услугах (работах, товарах), которые он обязан приобрести в связи с Кредитным договором, а также информация о возможности Заемщика согласиться с заключением таких договоров и (или) приобретением таких услуг (работ, товаров) либо отказаться от них </w:t>
            </w:r>
          </w:p>
        </w:tc>
        <w:tc>
          <w:tcPr>
            <w:tcW w:w="11594" w:type="dxa"/>
            <w:tcBorders>
              <w:top w:val="single" w:sz="4" w:space="0" w:color="auto"/>
              <w:left w:val="nil"/>
              <w:bottom w:val="single" w:sz="4" w:space="0" w:color="auto"/>
              <w:right w:val="single" w:sz="8" w:space="0" w:color="000000"/>
            </w:tcBorders>
            <w:noWrap/>
            <w:vAlign w:val="center"/>
          </w:tcPr>
          <w:p w14:paraId="362987C6" w14:textId="77777777" w:rsidR="00951A61" w:rsidRPr="00AD5FF6" w:rsidRDefault="00951A61" w:rsidP="00A4032F">
            <w:pPr>
              <w:ind w:firstLine="425"/>
              <w:jc w:val="both"/>
              <w:rPr>
                <w:rFonts w:ascii="Tahoma" w:hAnsi="Tahoma" w:cs="Tahoma"/>
                <w:sz w:val="20"/>
                <w:szCs w:val="20"/>
              </w:rPr>
            </w:pPr>
            <w:r w:rsidRPr="00883EC5">
              <w:rPr>
                <w:rFonts w:ascii="Tahoma" w:hAnsi="Tahoma" w:cs="Tahoma"/>
                <w:sz w:val="20"/>
                <w:szCs w:val="20"/>
              </w:rPr>
              <w:t xml:space="preserve">Заключение между Сторонами договора банковского счета (на основании которого Заемщику Банком открывается ТБС), элементы которого содержатся в </w:t>
            </w:r>
            <w:r>
              <w:rPr>
                <w:rFonts w:ascii="Tahoma" w:hAnsi="Tahoma" w:cs="Tahoma"/>
                <w:sz w:val="20"/>
                <w:szCs w:val="20"/>
              </w:rPr>
              <w:t>Кредитном д</w:t>
            </w:r>
            <w:r w:rsidRPr="00883EC5">
              <w:rPr>
                <w:rFonts w:ascii="Tahoma" w:hAnsi="Tahoma" w:cs="Tahoma"/>
                <w:sz w:val="20"/>
                <w:szCs w:val="20"/>
              </w:rPr>
              <w:t xml:space="preserve">оговоре, что делает </w:t>
            </w:r>
            <w:r>
              <w:rPr>
                <w:rFonts w:ascii="Tahoma" w:hAnsi="Tahoma" w:cs="Tahoma"/>
                <w:sz w:val="20"/>
                <w:szCs w:val="20"/>
              </w:rPr>
              <w:t>Кредитный д</w:t>
            </w:r>
            <w:r w:rsidRPr="00883EC5">
              <w:rPr>
                <w:rFonts w:ascii="Tahoma" w:hAnsi="Tahoma" w:cs="Tahoma"/>
                <w:sz w:val="20"/>
                <w:szCs w:val="20"/>
              </w:rPr>
              <w:t>оговор смешанным, содержащим элементы договора банковского счета и договора Кредита.</w:t>
            </w:r>
          </w:p>
          <w:p w14:paraId="724A79B0" w14:textId="77777777" w:rsidR="00951A61" w:rsidRPr="00883EC5" w:rsidRDefault="00951A61" w:rsidP="00A4032F">
            <w:pPr>
              <w:ind w:firstLine="425"/>
              <w:jc w:val="both"/>
              <w:rPr>
                <w:rFonts w:ascii="Tahoma" w:hAnsi="Tahoma" w:cs="Tahoma"/>
                <w:sz w:val="20"/>
                <w:szCs w:val="20"/>
              </w:rPr>
            </w:pPr>
            <w:r w:rsidRPr="00883EC5">
              <w:rPr>
                <w:rFonts w:ascii="Tahoma" w:hAnsi="Tahoma" w:cs="Tahoma"/>
                <w:sz w:val="20"/>
                <w:szCs w:val="20"/>
              </w:rPr>
              <w:t>Договор/полис имущественного страхования, страхования рисков, связанных с утратой или повреждением недвижимого имущества, находящегося в залоге</w:t>
            </w:r>
            <w:r w:rsidRPr="00883EC5">
              <w:rPr>
                <w:rStyle w:val="aff9"/>
                <w:rFonts w:ascii="Calibri" w:hAnsi="Calibri"/>
              </w:rPr>
              <w:t xml:space="preserve"> </w:t>
            </w:r>
            <w:r w:rsidRPr="00883EC5">
              <w:rPr>
                <w:rFonts w:ascii="Tahoma" w:hAnsi="Tahoma" w:cs="Tahoma"/>
                <w:sz w:val="20"/>
                <w:szCs w:val="20"/>
              </w:rPr>
              <w:t>(в соответствии с тарифами страховой компании).</w:t>
            </w:r>
          </w:p>
          <w:p w14:paraId="2E2B4F12" w14:textId="77777777" w:rsidR="00951A61" w:rsidRPr="00AD5FF6" w:rsidRDefault="00951A61" w:rsidP="00A4032F">
            <w:pPr>
              <w:ind w:firstLine="425"/>
              <w:jc w:val="both"/>
              <w:rPr>
                <w:rFonts w:ascii="Tahoma" w:hAnsi="Tahoma" w:cs="Tahoma"/>
                <w:sz w:val="20"/>
                <w:szCs w:val="20"/>
              </w:rPr>
            </w:pPr>
            <w:r w:rsidRPr="00883EC5">
              <w:rPr>
                <w:rFonts w:ascii="Tahoma" w:hAnsi="Tahoma" w:cs="Tahoma"/>
                <w:sz w:val="20"/>
                <w:szCs w:val="20"/>
              </w:rPr>
              <w:t>Заключение договора о проведении оценки предмета ипотеки.</w:t>
            </w:r>
            <w:r w:rsidRPr="00AD5FF6">
              <w:rPr>
                <w:rFonts w:ascii="Tahoma" w:hAnsi="Tahoma" w:cs="Tahoma"/>
                <w:sz w:val="20"/>
                <w:szCs w:val="20"/>
              </w:rPr>
              <w:t xml:space="preserve"> </w:t>
            </w:r>
          </w:p>
          <w:p w14:paraId="4E854260" w14:textId="77777777" w:rsidR="00951A61" w:rsidRPr="00AD5FF6" w:rsidRDefault="00951A61" w:rsidP="00A4032F">
            <w:pPr>
              <w:ind w:firstLine="425"/>
              <w:jc w:val="both"/>
              <w:rPr>
                <w:rFonts w:ascii="Tahoma" w:hAnsi="Tahoma" w:cs="Tahoma"/>
                <w:sz w:val="20"/>
                <w:szCs w:val="20"/>
                <w:highlight w:val="yellow"/>
              </w:rPr>
            </w:pPr>
            <w:r w:rsidRPr="00AD5FF6">
              <w:rPr>
                <w:rFonts w:ascii="Tahoma" w:hAnsi="Tahoma" w:cs="Tahoma"/>
                <w:sz w:val="20"/>
                <w:szCs w:val="20"/>
              </w:rPr>
              <w:t>Заемщик может согласиться с заключением выше перечисленных договоров и (или) приобретением таких услуг (работ, товаров) либо отказаться от них</w:t>
            </w:r>
            <w:r>
              <w:rPr>
                <w:rStyle w:val="aff3"/>
                <w:rFonts w:ascii="Tahoma" w:hAnsi="Tahoma" w:cs="Tahoma"/>
                <w:sz w:val="20"/>
                <w:szCs w:val="20"/>
              </w:rPr>
              <w:footnoteReference w:id="35"/>
            </w:r>
            <w:r w:rsidRPr="00AD5FF6">
              <w:rPr>
                <w:rFonts w:ascii="Tahoma" w:hAnsi="Tahoma" w:cs="Tahoma"/>
                <w:sz w:val="20"/>
                <w:szCs w:val="20"/>
              </w:rPr>
              <w:t>.</w:t>
            </w:r>
          </w:p>
        </w:tc>
      </w:tr>
      <w:tr w:rsidR="00951A61" w:rsidRPr="0089418D" w14:paraId="155EBAA7" w14:textId="77777777" w:rsidTr="00A4032F">
        <w:tblPrEx>
          <w:tblLook w:val="00A0" w:firstRow="1" w:lastRow="0" w:firstColumn="1" w:lastColumn="0" w:noHBand="0" w:noVBand="0"/>
        </w:tblPrEx>
        <w:trPr>
          <w:trHeight w:val="176"/>
        </w:trPr>
        <w:tc>
          <w:tcPr>
            <w:tcW w:w="4071" w:type="dxa"/>
            <w:tcBorders>
              <w:top w:val="single" w:sz="4" w:space="0" w:color="auto"/>
              <w:left w:val="single" w:sz="8" w:space="0" w:color="auto"/>
              <w:bottom w:val="single" w:sz="4" w:space="0" w:color="auto"/>
              <w:right w:val="single" w:sz="4" w:space="0" w:color="auto"/>
            </w:tcBorders>
            <w:vAlign w:val="center"/>
          </w:tcPr>
          <w:p w14:paraId="459D78A9" w14:textId="77777777" w:rsidR="00951A61" w:rsidRPr="0089418D" w:rsidRDefault="00951A61" w:rsidP="00A4032F">
            <w:pPr>
              <w:jc w:val="center"/>
              <w:rPr>
                <w:rFonts w:ascii="Tahoma" w:hAnsi="Tahoma" w:cs="Tahoma"/>
                <w:b/>
                <w:sz w:val="20"/>
                <w:szCs w:val="20"/>
              </w:rPr>
            </w:pPr>
            <w:r>
              <w:rPr>
                <w:rFonts w:ascii="Tahoma" w:hAnsi="Tahoma" w:cs="Tahoma"/>
                <w:b/>
                <w:color w:val="000000"/>
                <w:sz w:val="20"/>
                <w:szCs w:val="20"/>
              </w:rPr>
              <w:t>Информация об определении к</w:t>
            </w:r>
            <w:r w:rsidRPr="0089418D">
              <w:rPr>
                <w:rFonts w:ascii="Tahoma" w:hAnsi="Tahoma" w:cs="Tahoma"/>
                <w:b/>
                <w:color w:val="000000"/>
                <w:sz w:val="20"/>
                <w:szCs w:val="20"/>
              </w:rPr>
              <w:t>урс</w:t>
            </w:r>
            <w:r>
              <w:rPr>
                <w:rFonts w:ascii="Tahoma" w:hAnsi="Tahoma" w:cs="Tahoma"/>
                <w:b/>
                <w:color w:val="000000"/>
                <w:sz w:val="20"/>
                <w:szCs w:val="20"/>
              </w:rPr>
              <w:t>а</w:t>
            </w:r>
            <w:r w:rsidRPr="0089418D">
              <w:rPr>
                <w:rFonts w:ascii="Tahoma" w:hAnsi="Tahoma" w:cs="Tahoma"/>
                <w:b/>
                <w:color w:val="000000"/>
                <w:sz w:val="20"/>
                <w:szCs w:val="20"/>
              </w:rPr>
              <w:t xml:space="preserve"> иностранной валюты в случае, если валюта, в которой осуществляется перевод денежных средств Банком третьему лицу, указанному Заемщиком при предоставлении </w:t>
            </w:r>
            <w:r>
              <w:rPr>
                <w:rFonts w:ascii="Tahoma" w:hAnsi="Tahoma" w:cs="Tahoma"/>
                <w:b/>
                <w:color w:val="000000"/>
                <w:sz w:val="20"/>
                <w:szCs w:val="20"/>
              </w:rPr>
              <w:t>потребительского к</w:t>
            </w:r>
            <w:r w:rsidRPr="0089418D">
              <w:rPr>
                <w:rFonts w:ascii="Tahoma" w:hAnsi="Tahoma" w:cs="Tahoma"/>
                <w:b/>
                <w:color w:val="000000"/>
                <w:sz w:val="20"/>
                <w:szCs w:val="20"/>
              </w:rPr>
              <w:t>редита, отличается от валюты, в которой предоставлен Кредит</w:t>
            </w:r>
          </w:p>
        </w:tc>
        <w:tc>
          <w:tcPr>
            <w:tcW w:w="11594" w:type="dxa"/>
            <w:tcBorders>
              <w:top w:val="single" w:sz="4" w:space="0" w:color="auto"/>
              <w:left w:val="nil"/>
              <w:bottom w:val="single" w:sz="4" w:space="0" w:color="auto"/>
              <w:right w:val="single" w:sz="8" w:space="0" w:color="000000"/>
            </w:tcBorders>
            <w:noWrap/>
            <w:vAlign w:val="center"/>
          </w:tcPr>
          <w:p w14:paraId="452AC89B" w14:textId="77777777" w:rsidR="00951A61" w:rsidRPr="0089418D" w:rsidRDefault="00951A61" w:rsidP="00A4032F">
            <w:pPr>
              <w:ind w:firstLine="425"/>
              <w:jc w:val="both"/>
              <w:rPr>
                <w:rFonts w:ascii="Tahoma" w:hAnsi="Tahoma" w:cs="Tahoma"/>
                <w:sz w:val="20"/>
                <w:szCs w:val="20"/>
              </w:rPr>
            </w:pPr>
            <w:r w:rsidRPr="0089418D">
              <w:rPr>
                <w:rFonts w:ascii="Tahoma" w:hAnsi="Tahoma" w:cs="Tahoma"/>
                <w:color w:val="000000"/>
                <w:sz w:val="20"/>
                <w:szCs w:val="20"/>
              </w:rPr>
              <w:t>Не применимо</w:t>
            </w:r>
          </w:p>
        </w:tc>
      </w:tr>
      <w:tr w:rsidR="00951A61" w:rsidRPr="0089418D" w14:paraId="5D60545C" w14:textId="77777777" w:rsidTr="00A4032F">
        <w:tblPrEx>
          <w:tblLook w:val="00A0" w:firstRow="1" w:lastRow="0" w:firstColumn="1" w:lastColumn="0" w:noHBand="0" w:noVBand="0"/>
        </w:tblPrEx>
        <w:trPr>
          <w:trHeight w:val="176"/>
        </w:trPr>
        <w:tc>
          <w:tcPr>
            <w:tcW w:w="4071" w:type="dxa"/>
            <w:tcBorders>
              <w:top w:val="single" w:sz="4" w:space="0" w:color="auto"/>
              <w:left w:val="single" w:sz="8" w:space="0" w:color="auto"/>
              <w:bottom w:val="single" w:sz="4" w:space="0" w:color="auto"/>
              <w:right w:val="single" w:sz="4" w:space="0" w:color="auto"/>
            </w:tcBorders>
            <w:vAlign w:val="center"/>
          </w:tcPr>
          <w:p w14:paraId="6E2B5210" w14:textId="77777777" w:rsidR="00951A61" w:rsidRPr="0089418D" w:rsidRDefault="00951A61" w:rsidP="00A4032F">
            <w:pPr>
              <w:jc w:val="center"/>
              <w:rPr>
                <w:rFonts w:ascii="Tahoma" w:hAnsi="Tahoma" w:cs="Tahoma"/>
                <w:b/>
                <w:color w:val="000000"/>
                <w:sz w:val="20"/>
                <w:szCs w:val="20"/>
              </w:rPr>
            </w:pPr>
            <w:r w:rsidRPr="0089418D">
              <w:rPr>
                <w:rFonts w:ascii="Tahoma" w:hAnsi="Tahoma" w:cs="Tahoma"/>
                <w:b/>
                <w:color w:val="000000"/>
                <w:sz w:val="20"/>
                <w:szCs w:val="20"/>
              </w:rPr>
              <w:t xml:space="preserve">Информация о возможном увеличении суммы расходов Заемщика по сравнению с ожидаемой суммой расходов в рублях, в том числе при применении переменной процентной ставки, а также </w:t>
            </w:r>
            <w:r w:rsidRPr="0089418D">
              <w:rPr>
                <w:rFonts w:ascii="Tahoma" w:hAnsi="Tahoma" w:cs="Tahoma"/>
                <w:b/>
                <w:color w:val="000000"/>
                <w:sz w:val="20"/>
                <w:szCs w:val="20"/>
              </w:rPr>
              <w:lastRenderedPageBreak/>
              <w:t>информация о том, что изменение курса иностранной валюты в прошлом не свидетельствует об изменении ее курса в будущем, и информация о повышенных рисках Заемщика, получающего доходы в валюте, отличной от валюты Кредита</w:t>
            </w:r>
          </w:p>
        </w:tc>
        <w:tc>
          <w:tcPr>
            <w:tcW w:w="11594" w:type="dxa"/>
            <w:tcBorders>
              <w:top w:val="single" w:sz="4" w:space="0" w:color="auto"/>
              <w:left w:val="nil"/>
              <w:bottom w:val="single" w:sz="4" w:space="0" w:color="auto"/>
              <w:right w:val="single" w:sz="8" w:space="0" w:color="000000"/>
            </w:tcBorders>
            <w:noWrap/>
            <w:vAlign w:val="center"/>
          </w:tcPr>
          <w:p w14:paraId="0EF80EE6" w14:textId="77777777" w:rsidR="00951A61" w:rsidRPr="0089418D" w:rsidRDefault="00951A61" w:rsidP="00A4032F">
            <w:pPr>
              <w:ind w:firstLine="425"/>
              <w:jc w:val="both"/>
              <w:rPr>
                <w:rFonts w:ascii="Tahoma" w:hAnsi="Tahoma" w:cs="Tahoma"/>
                <w:color w:val="000000"/>
                <w:sz w:val="20"/>
                <w:szCs w:val="20"/>
              </w:rPr>
            </w:pPr>
            <w:r w:rsidRPr="0089418D">
              <w:rPr>
                <w:rFonts w:ascii="Tahoma" w:hAnsi="Tahoma" w:cs="Tahoma"/>
                <w:color w:val="000000"/>
                <w:sz w:val="20"/>
                <w:szCs w:val="20"/>
              </w:rPr>
              <w:lastRenderedPageBreak/>
              <w:t>Не применимо</w:t>
            </w:r>
          </w:p>
        </w:tc>
      </w:tr>
      <w:tr w:rsidR="00951A61" w:rsidRPr="0089418D" w14:paraId="285D9512" w14:textId="77777777" w:rsidTr="00A4032F">
        <w:tblPrEx>
          <w:tblLook w:val="00A0" w:firstRow="1" w:lastRow="0" w:firstColumn="1" w:lastColumn="0" w:noHBand="0" w:noVBand="0"/>
        </w:tblPrEx>
        <w:trPr>
          <w:trHeight w:val="176"/>
        </w:trPr>
        <w:tc>
          <w:tcPr>
            <w:tcW w:w="4071" w:type="dxa"/>
            <w:tcBorders>
              <w:top w:val="single" w:sz="4" w:space="0" w:color="auto"/>
              <w:left w:val="single" w:sz="8" w:space="0" w:color="auto"/>
              <w:bottom w:val="single" w:sz="4" w:space="0" w:color="auto"/>
              <w:right w:val="single" w:sz="4" w:space="0" w:color="auto"/>
            </w:tcBorders>
            <w:vAlign w:val="center"/>
          </w:tcPr>
          <w:p w14:paraId="53914036" w14:textId="77777777" w:rsidR="00951A61" w:rsidRPr="0089418D" w:rsidRDefault="00951A61" w:rsidP="00A4032F">
            <w:pPr>
              <w:widowControl w:val="0"/>
              <w:tabs>
                <w:tab w:val="left" w:pos="426"/>
                <w:tab w:val="left" w:pos="851"/>
              </w:tabs>
              <w:jc w:val="center"/>
              <w:rPr>
                <w:rFonts w:ascii="Tahoma" w:hAnsi="Tahoma" w:cs="Tahoma"/>
                <w:b/>
                <w:color w:val="000000"/>
                <w:sz w:val="20"/>
                <w:szCs w:val="20"/>
              </w:rPr>
            </w:pPr>
            <w:r w:rsidRPr="0089418D">
              <w:rPr>
                <w:rFonts w:ascii="Tahoma" w:hAnsi="Tahoma" w:cs="Tahoma"/>
                <w:b/>
                <w:sz w:val="20"/>
                <w:szCs w:val="20"/>
              </w:rPr>
              <w:t>Информация о возможности запрета уступки кредитором третьим лицам прав (требований) по Кредитному договору</w:t>
            </w:r>
          </w:p>
        </w:tc>
        <w:tc>
          <w:tcPr>
            <w:tcW w:w="11594" w:type="dxa"/>
            <w:tcBorders>
              <w:top w:val="single" w:sz="4" w:space="0" w:color="auto"/>
              <w:left w:val="nil"/>
              <w:bottom w:val="single" w:sz="4" w:space="0" w:color="auto"/>
              <w:right w:val="single" w:sz="8" w:space="0" w:color="000000"/>
            </w:tcBorders>
            <w:noWrap/>
            <w:vAlign w:val="center"/>
          </w:tcPr>
          <w:p w14:paraId="06593BF3" w14:textId="77777777" w:rsidR="00951A61" w:rsidRPr="0089418D" w:rsidRDefault="00951A61" w:rsidP="00A4032F">
            <w:pPr>
              <w:widowControl w:val="0"/>
              <w:tabs>
                <w:tab w:val="left" w:pos="426"/>
                <w:tab w:val="left" w:pos="851"/>
              </w:tabs>
              <w:ind w:firstLine="425"/>
              <w:jc w:val="both"/>
              <w:rPr>
                <w:rFonts w:ascii="Tahoma" w:hAnsi="Tahoma" w:cs="Tahoma"/>
                <w:color w:val="000000"/>
                <w:sz w:val="20"/>
                <w:szCs w:val="20"/>
              </w:rPr>
            </w:pPr>
            <w:r w:rsidRPr="0089418D">
              <w:rPr>
                <w:rFonts w:ascii="Tahoma" w:hAnsi="Tahoma" w:cs="Tahoma"/>
                <w:color w:val="000000"/>
                <w:sz w:val="20"/>
                <w:szCs w:val="20"/>
              </w:rPr>
              <w:t xml:space="preserve">В случае, если при выдаче ипотечного кредита право требования по </w:t>
            </w:r>
            <w:r>
              <w:rPr>
                <w:rFonts w:ascii="Tahoma" w:hAnsi="Tahoma" w:cs="Tahoma"/>
                <w:color w:val="000000"/>
                <w:sz w:val="20"/>
                <w:szCs w:val="20"/>
              </w:rPr>
              <w:t>К</w:t>
            </w:r>
            <w:r w:rsidRPr="0089418D">
              <w:rPr>
                <w:rFonts w:ascii="Tahoma" w:hAnsi="Tahoma" w:cs="Tahoma"/>
                <w:color w:val="000000"/>
                <w:sz w:val="20"/>
                <w:szCs w:val="20"/>
              </w:rPr>
              <w:t>редитному договору и право залога объекта недвижимости удостоверяются закладной, согласно п. 5 ст. 47 Федерального закона от 16.07.1998 N 102-ФЗ «Об ипотеке (залоге недвижимости)» (закон 102-ФЗ), уступка прав по договору об ипотеке или обеспеченному ипотекой обязательству не допускается. Согласно п. 4 ст. 48 закона 102-ФЗ Кредитор вправе передать права на закладную любым третьим лицам (согласие должника в данном случае не требуется). В случае, если при выдаче ипотечного кредита закладная не оформляется, заемщик вправе запретить уступку Банком третьим лицам прав (требований) по Кредитному договору</w:t>
            </w:r>
          </w:p>
        </w:tc>
      </w:tr>
      <w:tr w:rsidR="00951A61" w:rsidRPr="0089418D" w14:paraId="332189E1" w14:textId="77777777" w:rsidTr="00A4032F">
        <w:tblPrEx>
          <w:tblLook w:val="00A0" w:firstRow="1" w:lastRow="0" w:firstColumn="1" w:lastColumn="0" w:noHBand="0" w:noVBand="0"/>
        </w:tblPrEx>
        <w:trPr>
          <w:trHeight w:val="176"/>
        </w:trPr>
        <w:tc>
          <w:tcPr>
            <w:tcW w:w="4071" w:type="dxa"/>
            <w:tcBorders>
              <w:top w:val="single" w:sz="4" w:space="0" w:color="auto"/>
              <w:left w:val="single" w:sz="8" w:space="0" w:color="auto"/>
              <w:bottom w:val="single" w:sz="4" w:space="0" w:color="auto"/>
              <w:right w:val="single" w:sz="4" w:space="0" w:color="auto"/>
            </w:tcBorders>
            <w:vAlign w:val="center"/>
          </w:tcPr>
          <w:p w14:paraId="292CAB6F" w14:textId="77777777" w:rsidR="00951A61" w:rsidRPr="0023145E" w:rsidRDefault="00951A61" w:rsidP="00A4032F">
            <w:pPr>
              <w:widowControl w:val="0"/>
              <w:tabs>
                <w:tab w:val="left" w:pos="426"/>
                <w:tab w:val="left" w:pos="851"/>
              </w:tabs>
              <w:jc w:val="center"/>
              <w:rPr>
                <w:rFonts w:ascii="Tahoma" w:hAnsi="Tahoma" w:cs="Tahoma"/>
                <w:b/>
                <w:sz w:val="20"/>
                <w:szCs w:val="20"/>
              </w:rPr>
            </w:pPr>
            <w:r w:rsidRPr="0023145E">
              <w:rPr>
                <w:rFonts w:ascii="Tahoma" w:hAnsi="Tahoma" w:cs="Tahoma"/>
                <w:b/>
                <w:sz w:val="20"/>
                <w:szCs w:val="20"/>
              </w:rPr>
              <w:t>Порядок предоставления Заемщиком информации об использовании потребительского кредита</w:t>
            </w:r>
          </w:p>
        </w:tc>
        <w:tc>
          <w:tcPr>
            <w:tcW w:w="11594" w:type="dxa"/>
            <w:tcBorders>
              <w:top w:val="single" w:sz="4" w:space="0" w:color="auto"/>
              <w:left w:val="nil"/>
              <w:bottom w:val="single" w:sz="4" w:space="0" w:color="auto"/>
              <w:right w:val="single" w:sz="4" w:space="0" w:color="auto"/>
            </w:tcBorders>
            <w:noWrap/>
            <w:vAlign w:val="center"/>
          </w:tcPr>
          <w:p w14:paraId="31B97746" w14:textId="77777777" w:rsidR="00951A61" w:rsidRPr="0023145E" w:rsidRDefault="00951A61" w:rsidP="00A4032F">
            <w:pPr>
              <w:widowControl w:val="0"/>
              <w:tabs>
                <w:tab w:val="left" w:pos="426"/>
                <w:tab w:val="left" w:pos="851"/>
              </w:tabs>
              <w:ind w:firstLine="425"/>
              <w:jc w:val="both"/>
              <w:rPr>
                <w:rFonts w:ascii="Tahoma" w:hAnsi="Tahoma" w:cs="Tahoma"/>
                <w:sz w:val="20"/>
                <w:szCs w:val="20"/>
              </w:rPr>
            </w:pPr>
            <w:r w:rsidRPr="0023145E">
              <w:rPr>
                <w:rFonts w:ascii="Tahoma" w:hAnsi="Tahoma" w:cs="Tahoma"/>
                <w:sz w:val="20"/>
                <w:szCs w:val="20"/>
              </w:rPr>
              <w:t>Заемщик обязан в сроки, установленные Кредитным договором, предоставить в Банк документы, подтверждающие целевое использование Кредита (документы об оплате приобретаемого Недвижимого имущества, оригинал договора приобретения Недвижимого имущества с отметкой о государственной регистрации перехода права собственности на приобретаемое Недвижимое имущество (Предмет ипотеки) залогодателю и ипотеки в пользу Банка)</w:t>
            </w:r>
          </w:p>
        </w:tc>
      </w:tr>
      <w:tr w:rsidR="00951A61" w:rsidRPr="0089418D" w14:paraId="6996E83C" w14:textId="77777777" w:rsidTr="00A4032F">
        <w:tblPrEx>
          <w:tblLook w:val="00A0" w:firstRow="1" w:lastRow="0" w:firstColumn="1" w:lastColumn="0" w:noHBand="0" w:noVBand="0"/>
        </w:tblPrEx>
        <w:trPr>
          <w:trHeight w:val="176"/>
        </w:trPr>
        <w:tc>
          <w:tcPr>
            <w:tcW w:w="4071" w:type="dxa"/>
            <w:tcBorders>
              <w:top w:val="single" w:sz="4" w:space="0" w:color="auto"/>
              <w:left w:val="single" w:sz="8" w:space="0" w:color="auto"/>
              <w:bottom w:val="single" w:sz="4" w:space="0" w:color="auto"/>
              <w:right w:val="single" w:sz="4" w:space="0" w:color="auto"/>
            </w:tcBorders>
            <w:vAlign w:val="center"/>
          </w:tcPr>
          <w:p w14:paraId="28B34139" w14:textId="77777777" w:rsidR="00951A61" w:rsidRPr="0023145E" w:rsidRDefault="00951A61" w:rsidP="00A4032F">
            <w:pPr>
              <w:widowControl w:val="0"/>
              <w:tabs>
                <w:tab w:val="left" w:pos="426"/>
                <w:tab w:val="left" w:pos="851"/>
              </w:tabs>
              <w:jc w:val="center"/>
              <w:rPr>
                <w:rFonts w:ascii="Tahoma" w:hAnsi="Tahoma" w:cs="Tahoma"/>
                <w:b/>
                <w:sz w:val="20"/>
                <w:szCs w:val="20"/>
              </w:rPr>
            </w:pPr>
            <w:r w:rsidRPr="0023145E">
              <w:rPr>
                <w:rFonts w:ascii="Tahoma" w:hAnsi="Tahoma" w:cs="Tahoma"/>
                <w:b/>
                <w:sz w:val="20"/>
                <w:szCs w:val="20"/>
              </w:rPr>
              <w:t>Подсудность споров по искам кредитора к Заемщику</w:t>
            </w:r>
          </w:p>
        </w:tc>
        <w:tc>
          <w:tcPr>
            <w:tcW w:w="11594" w:type="dxa"/>
            <w:tcBorders>
              <w:top w:val="single" w:sz="4" w:space="0" w:color="auto"/>
              <w:left w:val="nil"/>
              <w:bottom w:val="single" w:sz="4" w:space="0" w:color="auto"/>
              <w:right w:val="single" w:sz="4" w:space="0" w:color="auto"/>
            </w:tcBorders>
            <w:noWrap/>
            <w:vAlign w:val="center"/>
          </w:tcPr>
          <w:p w14:paraId="7FDA024B" w14:textId="77777777" w:rsidR="00951A61" w:rsidRPr="0023145E" w:rsidRDefault="00951A61" w:rsidP="00A4032F">
            <w:pPr>
              <w:widowControl w:val="0"/>
              <w:tabs>
                <w:tab w:val="left" w:pos="426"/>
                <w:tab w:val="left" w:pos="851"/>
              </w:tabs>
              <w:ind w:firstLine="425"/>
              <w:jc w:val="both"/>
              <w:rPr>
                <w:rFonts w:ascii="Tahoma" w:hAnsi="Tahoma" w:cs="Tahoma"/>
                <w:sz w:val="20"/>
                <w:szCs w:val="20"/>
              </w:rPr>
            </w:pPr>
            <w:r w:rsidRPr="0023145E">
              <w:rPr>
                <w:rFonts w:ascii="Tahoma" w:hAnsi="Tahoma" w:cs="Tahoma"/>
                <w:sz w:val="20"/>
                <w:szCs w:val="20"/>
              </w:rPr>
              <w:t>Порядок разрешения неурегулированных споров по искам Банка определяется Сторонами в Кредитном договоре</w:t>
            </w:r>
          </w:p>
        </w:tc>
      </w:tr>
      <w:tr w:rsidR="00951A61" w:rsidRPr="0089418D" w14:paraId="11B74FB0" w14:textId="77777777" w:rsidTr="00A4032F">
        <w:tblPrEx>
          <w:tblLook w:val="00A0" w:firstRow="1" w:lastRow="0" w:firstColumn="1" w:lastColumn="0" w:noHBand="0" w:noVBand="0"/>
        </w:tblPrEx>
        <w:trPr>
          <w:trHeight w:val="176"/>
        </w:trPr>
        <w:tc>
          <w:tcPr>
            <w:tcW w:w="4071" w:type="dxa"/>
            <w:tcBorders>
              <w:top w:val="single" w:sz="4" w:space="0" w:color="auto"/>
              <w:left w:val="single" w:sz="8" w:space="0" w:color="auto"/>
              <w:bottom w:val="single" w:sz="4" w:space="0" w:color="auto"/>
              <w:right w:val="single" w:sz="4" w:space="0" w:color="auto"/>
            </w:tcBorders>
            <w:vAlign w:val="center"/>
          </w:tcPr>
          <w:p w14:paraId="5D5842B3" w14:textId="77777777" w:rsidR="00951A61" w:rsidRPr="0023145E" w:rsidRDefault="00951A61" w:rsidP="00A4032F">
            <w:pPr>
              <w:widowControl w:val="0"/>
              <w:tabs>
                <w:tab w:val="left" w:pos="426"/>
                <w:tab w:val="left" w:pos="851"/>
              </w:tabs>
              <w:jc w:val="center"/>
              <w:rPr>
                <w:rFonts w:ascii="Tahoma" w:hAnsi="Tahoma" w:cs="Tahoma"/>
                <w:b/>
                <w:sz w:val="20"/>
                <w:szCs w:val="20"/>
              </w:rPr>
            </w:pPr>
            <w:r w:rsidRPr="0023145E">
              <w:rPr>
                <w:rFonts w:ascii="Tahoma" w:hAnsi="Tahoma" w:cs="Tahoma"/>
                <w:b/>
                <w:sz w:val="20"/>
                <w:szCs w:val="20"/>
              </w:rPr>
              <w:t>Формуляры или иные стандартные формы, в которых определены общие условия Кредитного договора</w:t>
            </w:r>
          </w:p>
        </w:tc>
        <w:tc>
          <w:tcPr>
            <w:tcW w:w="11594" w:type="dxa"/>
            <w:tcBorders>
              <w:top w:val="single" w:sz="4" w:space="0" w:color="auto"/>
              <w:left w:val="nil"/>
              <w:bottom w:val="single" w:sz="4" w:space="0" w:color="auto"/>
              <w:right w:val="single" w:sz="8" w:space="0" w:color="000000"/>
            </w:tcBorders>
            <w:noWrap/>
            <w:vAlign w:val="center"/>
          </w:tcPr>
          <w:p w14:paraId="1E03C55D" w14:textId="77777777" w:rsidR="00951A61" w:rsidRPr="0023145E" w:rsidRDefault="00951A61" w:rsidP="00A4032F">
            <w:pPr>
              <w:widowControl w:val="0"/>
              <w:tabs>
                <w:tab w:val="left" w:pos="426"/>
                <w:tab w:val="left" w:pos="851"/>
              </w:tabs>
              <w:ind w:firstLine="425"/>
              <w:jc w:val="both"/>
              <w:rPr>
                <w:rFonts w:ascii="Tahoma" w:hAnsi="Tahoma" w:cs="Tahoma"/>
                <w:sz w:val="20"/>
                <w:szCs w:val="20"/>
              </w:rPr>
            </w:pPr>
            <w:r w:rsidRPr="0023145E">
              <w:rPr>
                <w:rFonts w:ascii="Tahoma" w:hAnsi="Tahoma" w:cs="Tahoma"/>
                <w:sz w:val="20"/>
                <w:szCs w:val="20"/>
              </w:rPr>
              <w:t>Общие условия предоставления, обслуживания и погашения ипотечных кредитов в «Азиатско-Тихоокеанский Банк» (АО), являющиеся Приложением 6 к Универсальному договору банковского обслуживания в «Азиатско-Тихоокеанский Банк» (АО), размещённых в местах приема заявлений на предоставление ипотечного Кредита (в Подразделениях Банка и иных местах приема заявлений на предоставление ипотечного Кредита), на сайте Банка в сети Интернет по адресу www.atb.su и могут быть предоставлены Заемщику по его требованию на бумажном носителе.</w:t>
            </w:r>
          </w:p>
        </w:tc>
      </w:tr>
      <w:tr w:rsidR="00951A61" w:rsidRPr="0089418D" w14:paraId="3DE9431F" w14:textId="77777777" w:rsidTr="00A4032F">
        <w:tblPrEx>
          <w:tblLook w:val="00A0" w:firstRow="1" w:lastRow="0" w:firstColumn="1" w:lastColumn="0" w:noHBand="0" w:noVBand="0"/>
        </w:tblPrEx>
        <w:trPr>
          <w:trHeight w:val="176"/>
        </w:trPr>
        <w:tc>
          <w:tcPr>
            <w:tcW w:w="4071" w:type="dxa"/>
            <w:tcBorders>
              <w:top w:val="single" w:sz="4" w:space="0" w:color="auto"/>
              <w:left w:val="single" w:sz="8" w:space="0" w:color="auto"/>
              <w:bottom w:val="single" w:sz="4" w:space="0" w:color="auto"/>
              <w:right w:val="single" w:sz="4" w:space="0" w:color="auto"/>
            </w:tcBorders>
            <w:vAlign w:val="center"/>
          </w:tcPr>
          <w:p w14:paraId="4078D0AE" w14:textId="77777777" w:rsidR="00951A61" w:rsidRPr="0023145E" w:rsidRDefault="00951A61" w:rsidP="00A4032F">
            <w:pPr>
              <w:ind w:right="-107"/>
              <w:jc w:val="center"/>
              <w:rPr>
                <w:rFonts w:ascii="Tahoma" w:hAnsi="Tahoma" w:cs="Tahoma"/>
                <w:b/>
                <w:bCs/>
                <w:color w:val="000000" w:themeColor="text1"/>
                <w:sz w:val="20"/>
                <w:szCs w:val="20"/>
              </w:rPr>
            </w:pPr>
            <w:r w:rsidRPr="0023145E">
              <w:rPr>
                <w:rFonts w:ascii="Tahoma" w:hAnsi="Tahoma" w:cs="Tahoma"/>
                <w:b/>
                <w:bCs/>
                <w:color w:val="000000" w:themeColor="text1"/>
                <w:sz w:val="20"/>
                <w:szCs w:val="20"/>
              </w:rPr>
              <w:t>Срок действия решения уполномоченного органа о предоставлении потребительского кредита</w:t>
            </w:r>
          </w:p>
        </w:tc>
        <w:tc>
          <w:tcPr>
            <w:tcW w:w="11594" w:type="dxa"/>
            <w:tcBorders>
              <w:top w:val="single" w:sz="4" w:space="0" w:color="auto"/>
              <w:left w:val="nil"/>
              <w:bottom w:val="single" w:sz="4" w:space="0" w:color="auto"/>
              <w:right w:val="single" w:sz="8" w:space="0" w:color="000000"/>
            </w:tcBorders>
            <w:noWrap/>
            <w:vAlign w:val="center"/>
          </w:tcPr>
          <w:p w14:paraId="75EA7076" w14:textId="77777777" w:rsidR="00951A61" w:rsidRPr="0023145E" w:rsidRDefault="00951A61" w:rsidP="00A4032F">
            <w:pPr>
              <w:ind w:firstLine="425"/>
              <w:jc w:val="both"/>
              <w:rPr>
                <w:rFonts w:ascii="Tahoma" w:hAnsi="Tahoma" w:cs="Tahoma"/>
                <w:bCs/>
                <w:color w:val="000000" w:themeColor="text1"/>
                <w:sz w:val="20"/>
                <w:szCs w:val="20"/>
              </w:rPr>
            </w:pPr>
            <w:r w:rsidRPr="0023145E">
              <w:rPr>
                <w:rFonts w:ascii="Tahoma" w:hAnsi="Tahoma" w:cs="Tahoma"/>
                <w:bCs/>
                <w:color w:val="000000" w:themeColor="text1"/>
                <w:sz w:val="20"/>
                <w:szCs w:val="20"/>
              </w:rPr>
              <w:t>90 календарных дней</w:t>
            </w:r>
          </w:p>
        </w:tc>
      </w:tr>
      <w:tr w:rsidR="00951A61" w:rsidRPr="0089418D" w14:paraId="0A99FE2B" w14:textId="77777777" w:rsidTr="00A4032F">
        <w:tblPrEx>
          <w:tblLook w:val="00A0" w:firstRow="1" w:lastRow="0" w:firstColumn="1" w:lastColumn="0" w:noHBand="0" w:noVBand="0"/>
        </w:tblPrEx>
        <w:trPr>
          <w:trHeight w:val="176"/>
        </w:trPr>
        <w:tc>
          <w:tcPr>
            <w:tcW w:w="4071" w:type="dxa"/>
            <w:tcBorders>
              <w:top w:val="single" w:sz="4" w:space="0" w:color="auto"/>
              <w:left w:val="single" w:sz="8" w:space="0" w:color="auto"/>
              <w:bottom w:val="single" w:sz="4" w:space="0" w:color="auto"/>
              <w:right w:val="single" w:sz="4" w:space="0" w:color="auto"/>
            </w:tcBorders>
            <w:vAlign w:val="center"/>
          </w:tcPr>
          <w:p w14:paraId="38C0D79A" w14:textId="77777777" w:rsidR="00951A61" w:rsidRPr="0023145E" w:rsidRDefault="00951A61" w:rsidP="00A4032F">
            <w:pPr>
              <w:ind w:right="-107"/>
              <w:jc w:val="center"/>
              <w:rPr>
                <w:rFonts w:ascii="Tahoma" w:hAnsi="Tahoma" w:cs="Tahoma"/>
                <w:b/>
                <w:bCs/>
                <w:color w:val="000000" w:themeColor="text1"/>
                <w:sz w:val="20"/>
                <w:szCs w:val="20"/>
              </w:rPr>
            </w:pPr>
            <w:r w:rsidRPr="0023145E">
              <w:rPr>
                <w:rFonts w:ascii="Tahoma" w:hAnsi="Tahoma" w:cs="Tahoma"/>
                <w:b/>
                <w:bCs/>
                <w:color w:val="000000" w:themeColor="text1"/>
                <w:sz w:val="20"/>
                <w:szCs w:val="20"/>
              </w:rPr>
              <w:t>Право заемщика обратиться к кредитору с требованием, предусмотренным частью 1 статьи 6.1-1 Федерального закона от 21.12.2013 № 353-ФЗ «О потребительском кредите (займе)», и об условиях, при наступлении которых у заемщика возникает соответствующее право</w:t>
            </w:r>
          </w:p>
        </w:tc>
        <w:tc>
          <w:tcPr>
            <w:tcW w:w="11594" w:type="dxa"/>
            <w:tcBorders>
              <w:top w:val="single" w:sz="4" w:space="0" w:color="auto"/>
              <w:left w:val="nil"/>
              <w:bottom w:val="single" w:sz="4" w:space="0" w:color="auto"/>
              <w:right w:val="single" w:sz="8" w:space="0" w:color="000000"/>
            </w:tcBorders>
            <w:noWrap/>
            <w:vAlign w:val="center"/>
          </w:tcPr>
          <w:p w14:paraId="591BF288" w14:textId="77777777" w:rsidR="00951A61" w:rsidRPr="0023145E" w:rsidRDefault="00951A61" w:rsidP="00A4032F">
            <w:pPr>
              <w:ind w:firstLine="425"/>
              <w:jc w:val="both"/>
              <w:rPr>
                <w:rFonts w:ascii="Tahoma" w:hAnsi="Tahoma" w:cs="Tahoma"/>
                <w:bCs/>
                <w:color w:val="000000" w:themeColor="text1"/>
                <w:sz w:val="20"/>
                <w:szCs w:val="20"/>
              </w:rPr>
            </w:pPr>
            <w:r w:rsidRPr="0023145E">
              <w:rPr>
                <w:rFonts w:ascii="Tahoma" w:hAnsi="Tahoma" w:cs="Tahoma"/>
                <w:bCs/>
                <w:color w:val="000000" w:themeColor="text1"/>
                <w:sz w:val="20"/>
                <w:szCs w:val="20"/>
              </w:rPr>
              <w:t xml:space="preserve">Заемщик в любой момент в течение времени действия Кредитного договора, а в случае, указанном в п. 6 ч. 2 ст. 6.1-1 Закона № 353-ФЗ (и (наводнении, пожаре, катастрофе или другом бедствии), в течение шестидесяти дней со дня установления соответствующих фактов, вправе обратиться к кредитору с требованием о предоставлении льготного периода, предусматривающего приостановление исполнения Заемщиком своих обязательств по Кредитному договору, либо указание на размер платежей, уплачиваемых заемщиком в течение льготного периода. </w:t>
            </w:r>
          </w:p>
          <w:p w14:paraId="20341F1A" w14:textId="77777777" w:rsidR="00951A61" w:rsidRPr="0023145E" w:rsidRDefault="00951A61" w:rsidP="00A4032F">
            <w:pPr>
              <w:ind w:firstLine="425"/>
              <w:jc w:val="both"/>
              <w:rPr>
                <w:rFonts w:ascii="Tahoma" w:hAnsi="Tahoma" w:cs="Tahoma"/>
                <w:bCs/>
                <w:color w:val="000000" w:themeColor="text1"/>
                <w:sz w:val="20"/>
                <w:szCs w:val="20"/>
              </w:rPr>
            </w:pPr>
            <w:r w:rsidRPr="0023145E">
              <w:rPr>
                <w:rFonts w:ascii="Tahoma" w:hAnsi="Tahoma" w:cs="Tahoma"/>
                <w:bCs/>
                <w:color w:val="000000" w:themeColor="text1"/>
                <w:sz w:val="20"/>
                <w:szCs w:val="20"/>
              </w:rPr>
              <w:t>С условиями, при наступлении которых у Заемщика возникает такое право, можно ознакомиться в размещаемой Банком информации о кредитных каникулах в рамках 353-ФЗ, в том числе на сайте Банка https://www.atb.su/customer-care-service</w:t>
            </w:r>
          </w:p>
        </w:tc>
      </w:tr>
    </w:tbl>
    <w:p w14:paraId="50B8634E" w14:textId="77777777" w:rsidR="00951A61" w:rsidRPr="0089418D" w:rsidRDefault="00951A61" w:rsidP="00951A61">
      <w:pPr>
        <w:pageBreakBefore/>
        <w:jc w:val="right"/>
        <w:rPr>
          <w:rFonts w:ascii="Tahoma" w:hAnsi="Tahoma" w:cs="Tahoma"/>
          <w:sz w:val="18"/>
          <w:szCs w:val="20"/>
        </w:rPr>
      </w:pPr>
      <w:r w:rsidRPr="0089418D">
        <w:rPr>
          <w:rFonts w:ascii="Tahoma" w:hAnsi="Tahoma" w:cs="Tahoma"/>
          <w:sz w:val="18"/>
          <w:szCs w:val="20"/>
        </w:rPr>
        <w:lastRenderedPageBreak/>
        <w:t>Приложение №1</w:t>
      </w:r>
    </w:p>
    <w:p w14:paraId="4CC67D34" w14:textId="77777777" w:rsidR="00951A61" w:rsidRPr="0089418D" w:rsidRDefault="00951A61" w:rsidP="00951A61">
      <w:pPr>
        <w:jc w:val="right"/>
        <w:rPr>
          <w:rFonts w:ascii="Tahoma" w:hAnsi="Tahoma" w:cs="Tahoma"/>
          <w:noProof/>
          <w:sz w:val="18"/>
          <w:szCs w:val="20"/>
        </w:rPr>
      </w:pPr>
      <w:r w:rsidRPr="0089418D">
        <w:rPr>
          <w:rFonts w:ascii="Tahoma" w:hAnsi="Tahoma" w:cs="Tahoma"/>
          <w:noProof/>
          <w:sz w:val="18"/>
          <w:szCs w:val="20"/>
        </w:rPr>
        <w:t xml:space="preserve">к основным условиях предоставления, использования и возврата </w:t>
      </w:r>
    </w:p>
    <w:p w14:paraId="75BE13DF" w14:textId="77777777" w:rsidR="00951A61" w:rsidRPr="0089418D" w:rsidRDefault="00951A61" w:rsidP="00951A61">
      <w:pPr>
        <w:jc w:val="right"/>
        <w:rPr>
          <w:rFonts w:ascii="Tahoma" w:hAnsi="Tahoma" w:cs="Tahoma"/>
          <w:sz w:val="18"/>
          <w:szCs w:val="20"/>
        </w:rPr>
      </w:pPr>
      <w:r>
        <w:rPr>
          <w:rFonts w:ascii="Tahoma" w:hAnsi="Tahoma" w:cs="Tahoma"/>
          <w:noProof/>
          <w:sz w:val="18"/>
          <w:szCs w:val="20"/>
        </w:rPr>
        <w:t>потребительского</w:t>
      </w:r>
      <w:r w:rsidRPr="0089418D">
        <w:rPr>
          <w:rFonts w:ascii="Tahoma" w:hAnsi="Tahoma" w:cs="Tahoma"/>
          <w:noProof/>
          <w:sz w:val="18"/>
          <w:szCs w:val="20"/>
        </w:rPr>
        <w:t xml:space="preserve"> кредита по тарифному плану «Готовое жилье»</w:t>
      </w:r>
    </w:p>
    <w:p w14:paraId="180D4601" w14:textId="77777777" w:rsidR="00951A61" w:rsidRPr="0089418D" w:rsidRDefault="00951A61" w:rsidP="00951A61">
      <w:pPr>
        <w:pStyle w:val="affe"/>
        <w:tabs>
          <w:tab w:val="left" w:pos="851"/>
        </w:tabs>
        <w:jc w:val="center"/>
        <w:rPr>
          <w:rFonts w:ascii="Tahoma" w:hAnsi="Tahoma" w:cs="Tahoma"/>
          <w:b/>
          <w:sz w:val="20"/>
          <w:szCs w:val="20"/>
        </w:rPr>
      </w:pPr>
    </w:p>
    <w:p w14:paraId="50434EBB" w14:textId="77777777" w:rsidR="00951A61" w:rsidRPr="0089418D" w:rsidRDefault="00951A61" w:rsidP="00951A61">
      <w:pPr>
        <w:pStyle w:val="affe"/>
        <w:tabs>
          <w:tab w:val="left" w:pos="851"/>
        </w:tabs>
        <w:jc w:val="center"/>
        <w:rPr>
          <w:rFonts w:ascii="Tahoma" w:hAnsi="Tahoma" w:cs="Tahoma"/>
          <w:b/>
          <w:sz w:val="20"/>
          <w:szCs w:val="20"/>
        </w:rPr>
      </w:pPr>
      <w:r w:rsidRPr="0089418D">
        <w:rPr>
          <w:rFonts w:ascii="Tahoma" w:hAnsi="Tahoma" w:cs="Tahoma"/>
          <w:b/>
          <w:sz w:val="20"/>
          <w:szCs w:val="20"/>
        </w:rPr>
        <w:t xml:space="preserve">ПОРЯДОК ФОРМИРОВАНИЯ ПРОЦЕНТНЫХ СТАВОК ПО ИПОТЕЧНОМУ КРЕДИТУ ПО ТАРИФНОМУ ПЛАНУ </w:t>
      </w:r>
    </w:p>
    <w:p w14:paraId="413048E1" w14:textId="77777777" w:rsidR="00951A61" w:rsidRPr="0089418D" w:rsidRDefault="00951A61" w:rsidP="00951A61">
      <w:pPr>
        <w:pStyle w:val="affe"/>
        <w:tabs>
          <w:tab w:val="left" w:pos="851"/>
        </w:tabs>
        <w:jc w:val="center"/>
        <w:rPr>
          <w:rFonts w:ascii="Tahoma" w:hAnsi="Tahoma" w:cs="Tahoma"/>
          <w:sz w:val="20"/>
          <w:szCs w:val="20"/>
        </w:rPr>
      </w:pPr>
      <w:r w:rsidRPr="0089418D">
        <w:rPr>
          <w:rFonts w:ascii="Tahoma" w:hAnsi="Tahoma" w:cs="Tahoma"/>
          <w:b/>
          <w:sz w:val="20"/>
          <w:szCs w:val="20"/>
        </w:rPr>
        <w:t>«ГОТОВОЕ ЖИЛЬЁ»</w:t>
      </w:r>
    </w:p>
    <w:p w14:paraId="7468BD9F" w14:textId="77777777" w:rsidR="00951A61" w:rsidRPr="0089418D" w:rsidRDefault="00951A61" w:rsidP="00951A61">
      <w:pPr>
        <w:pStyle w:val="affe"/>
        <w:tabs>
          <w:tab w:val="left" w:pos="851"/>
        </w:tabs>
        <w:jc w:val="center"/>
        <w:rPr>
          <w:rFonts w:ascii="Tahoma" w:hAnsi="Tahoma" w:cs="Tahoma"/>
          <w:sz w:val="20"/>
          <w:szCs w:val="20"/>
        </w:rPr>
      </w:pPr>
    </w:p>
    <w:p w14:paraId="713F6D74" w14:textId="77777777" w:rsidR="00951A61" w:rsidRPr="0089418D" w:rsidRDefault="00951A61" w:rsidP="00951A61">
      <w:pPr>
        <w:pStyle w:val="affe"/>
        <w:jc w:val="both"/>
        <w:rPr>
          <w:rFonts w:ascii="Tahoma" w:hAnsi="Tahoma" w:cs="Tahoma"/>
          <w:sz w:val="20"/>
          <w:szCs w:val="20"/>
        </w:rPr>
      </w:pPr>
    </w:p>
    <w:tbl>
      <w:tblPr>
        <w:tblStyle w:val="aff0"/>
        <w:tblW w:w="0" w:type="auto"/>
        <w:tblInd w:w="421" w:type="dxa"/>
        <w:tblLook w:val="04A0" w:firstRow="1" w:lastRow="0" w:firstColumn="1" w:lastColumn="0" w:noHBand="0" w:noVBand="1"/>
      </w:tblPr>
      <w:tblGrid>
        <w:gridCol w:w="992"/>
        <w:gridCol w:w="10236"/>
        <w:gridCol w:w="3739"/>
      </w:tblGrid>
      <w:tr w:rsidR="00951A61" w:rsidRPr="001C7EB1" w14:paraId="7508F9DB" w14:textId="77777777" w:rsidTr="00A4032F">
        <w:trPr>
          <w:trHeight w:val="235"/>
        </w:trPr>
        <w:tc>
          <w:tcPr>
            <w:tcW w:w="992" w:type="dxa"/>
          </w:tcPr>
          <w:p w14:paraId="2956DC2D" w14:textId="77777777" w:rsidR="00951A61" w:rsidRPr="001C7EB1" w:rsidRDefault="00951A61" w:rsidP="00A4032F">
            <w:pPr>
              <w:pStyle w:val="affe"/>
              <w:ind w:left="0"/>
              <w:rPr>
                <w:rFonts w:ascii="Tahoma" w:hAnsi="Tahoma" w:cs="Tahoma"/>
                <w:b/>
                <w:sz w:val="20"/>
                <w:szCs w:val="20"/>
              </w:rPr>
            </w:pPr>
            <w:r w:rsidRPr="001C7EB1">
              <w:rPr>
                <w:rFonts w:ascii="Tahoma" w:hAnsi="Tahoma" w:cs="Tahoma"/>
                <w:b/>
                <w:sz w:val="20"/>
                <w:szCs w:val="20"/>
              </w:rPr>
              <w:t>№ п/п</w:t>
            </w:r>
          </w:p>
        </w:tc>
        <w:tc>
          <w:tcPr>
            <w:tcW w:w="10236" w:type="dxa"/>
          </w:tcPr>
          <w:p w14:paraId="04496685" w14:textId="77777777" w:rsidR="00951A61" w:rsidRPr="001C7EB1" w:rsidRDefault="00951A61" w:rsidP="00A4032F">
            <w:pPr>
              <w:pStyle w:val="affe"/>
              <w:ind w:left="0"/>
              <w:jc w:val="center"/>
              <w:rPr>
                <w:rFonts w:ascii="Tahoma" w:hAnsi="Tahoma" w:cs="Tahoma"/>
                <w:b/>
                <w:sz w:val="20"/>
                <w:szCs w:val="20"/>
              </w:rPr>
            </w:pPr>
            <w:r w:rsidRPr="00556B82">
              <w:rPr>
                <w:rFonts w:ascii="Tahoma" w:hAnsi="Tahoma" w:cs="Tahoma"/>
                <w:b/>
                <w:sz w:val="20"/>
                <w:szCs w:val="20"/>
              </w:rPr>
              <w:t xml:space="preserve">Наименование </w:t>
            </w:r>
            <w:r w:rsidRPr="00753B5E">
              <w:rPr>
                <w:rFonts w:ascii="Tahoma" w:hAnsi="Tahoma" w:cs="Tahoma"/>
                <w:b/>
                <w:sz w:val="20"/>
                <w:szCs w:val="20"/>
              </w:rPr>
              <w:t>параметра</w:t>
            </w:r>
          </w:p>
        </w:tc>
        <w:tc>
          <w:tcPr>
            <w:tcW w:w="3739" w:type="dxa"/>
          </w:tcPr>
          <w:p w14:paraId="0EEEAA53" w14:textId="77777777" w:rsidR="00951A61" w:rsidRPr="001C7EB1" w:rsidRDefault="00951A61" w:rsidP="00A4032F">
            <w:pPr>
              <w:pStyle w:val="affe"/>
              <w:ind w:left="0"/>
              <w:jc w:val="center"/>
              <w:rPr>
                <w:rFonts w:ascii="Tahoma" w:hAnsi="Tahoma" w:cs="Tahoma"/>
                <w:b/>
                <w:sz w:val="20"/>
                <w:szCs w:val="20"/>
              </w:rPr>
            </w:pPr>
            <w:r w:rsidRPr="001C7EB1">
              <w:rPr>
                <w:rFonts w:ascii="Tahoma" w:hAnsi="Tahoma" w:cs="Tahoma"/>
                <w:b/>
                <w:sz w:val="20"/>
                <w:szCs w:val="20"/>
              </w:rPr>
              <w:t>Значение, в процентных пунктах</w:t>
            </w:r>
          </w:p>
        </w:tc>
      </w:tr>
      <w:tr w:rsidR="00951A61" w:rsidRPr="001C7EB1" w14:paraId="5B4193A3" w14:textId="77777777" w:rsidTr="00A4032F">
        <w:trPr>
          <w:trHeight w:val="235"/>
        </w:trPr>
        <w:tc>
          <w:tcPr>
            <w:tcW w:w="992" w:type="dxa"/>
            <w:vAlign w:val="center"/>
          </w:tcPr>
          <w:p w14:paraId="7466403D" w14:textId="77777777" w:rsidR="00951A61" w:rsidRPr="001C7EB1" w:rsidRDefault="00951A61" w:rsidP="00A4032F">
            <w:pPr>
              <w:pStyle w:val="affe"/>
              <w:ind w:left="0"/>
              <w:rPr>
                <w:rFonts w:ascii="Tahoma" w:hAnsi="Tahoma" w:cs="Tahoma"/>
                <w:b/>
                <w:sz w:val="20"/>
                <w:szCs w:val="20"/>
              </w:rPr>
            </w:pPr>
            <w:r>
              <w:rPr>
                <w:rFonts w:ascii="Tahoma" w:hAnsi="Tahoma" w:cs="Tahoma"/>
                <w:b/>
                <w:sz w:val="20"/>
                <w:szCs w:val="20"/>
              </w:rPr>
              <w:t>1</w:t>
            </w:r>
            <w:r w:rsidRPr="001C7EB1">
              <w:rPr>
                <w:rFonts w:ascii="Tahoma" w:hAnsi="Tahoma" w:cs="Tahoma"/>
                <w:b/>
                <w:sz w:val="20"/>
                <w:szCs w:val="20"/>
              </w:rPr>
              <w:t>.</w:t>
            </w:r>
          </w:p>
        </w:tc>
        <w:tc>
          <w:tcPr>
            <w:tcW w:w="10236" w:type="dxa"/>
            <w:vAlign w:val="center"/>
          </w:tcPr>
          <w:p w14:paraId="11BB63C4" w14:textId="77777777" w:rsidR="00951A61" w:rsidRPr="001C7EB1" w:rsidRDefault="00951A61" w:rsidP="00A4032F">
            <w:pPr>
              <w:pStyle w:val="affe"/>
              <w:ind w:left="0"/>
              <w:jc w:val="center"/>
              <w:rPr>
                <w:rFonts w:ascii="Tahoma" w:hAnsi="Tahoma" w:cs="Tahoma"/>
                <w:b/>
                <w:sz w:val="20"/>
                <w:szCs w:val="20"/>
              </w:rPr>
            </w:pPr>
            <w:r w:rsidRPr="001C7EB1">
              <w:rPr>
                <w:rFonts w:ascii="Tahoma" w:hAnsi="Tahoma" w:cs="Tahoma"/>
                <w:b/>
                <w:sz w:val="20"/>
                <w:szCs w:val="20"/>
              </w:rPr>
              <w:t>БАЗОВАЯ СТАВКА</w:t>
            </w:r>
            <w:r w:rsidRPr="001C7EB1">
              <w:rPr>
                <w:rStyle w:val="aff3"/>
                <w:rFonts w:ascii="Tahoma" w:hAnsi="Tahoma"/>
                <w:b/>
                <w:sz w:val="20"/>
                <w:szCs w:val="20"/>
              </w:rPr>
              <w:footnoteReference w:id="36"/>
            </w:r>
            <w:r w:rsidRPr="001C7EB1">
              <w:rPr>
                <w:rFonts w:ascii="Tahoma" w:hAnsi="Tahoma" w:cs="Tahoma"/>
                <w:b/>
                <w:sz w:val="20"/>
                <w:szCs w:val="20"/>
              </w:rPr>
              <w:t>:</w:t>
            </w:r>
          </w:p>
        </w:tc>
        <w:tc>
          <w:tcPr>
            <w:tcW w:w="3739" w:type="dxa"/>
            <w:vAlign w:val="center"/>
          </w:tcPr>
          <w:p w14:paraId="5CEF1691" w14:textId="77777777" w:rsidR="00951A61" w:rsidRPr="00095120" w:rsidRDefault="00951A61" w:rsidP="00A4032F">
            <w:pPr>
              <w:pStyle w:val="affe"/>
              <w:ind w:left="0"/>
              <w:jc w:val="center"/>
              <w:rPr>
                <w:rFonts w:ascii="Tahoma" w:hAnsi="Tahoma" w:cs="Tahoma"/>
                <w:sz w:val="20"/>
                <w:szCs w:val="20"/>
              </w:rPr>
            </w:pPr>
            <w:r w:rsidRPr="0023145E">
              <w:rPr>
                <w:rFonts w:ascii="Tahoma" w:hAnsi="Tahoma" w:cs="Tahoma"/>
                <w:sz w:val="20"/>
                <w:szCs w:val="20"/>
              </w:rPr>
              <w:t>24,00 % годовых</w:t>
            </w:r>
          </w:p>
        </w:tc>
      </w:tr>
      <w:tr w:rsidR="00951A61" w:rsidRPr="001C7EB1" w14:paraId="58BCA6FF" w14:textId="77777777" w:rsidTr="00A4032F">
        <w:trPr>
          <w:trHeight w:val="235"/>
        </w:trPr>
        <w:tc>
          <w:tcPr>
            <w:tcW w:w="992" w:type="dxa"/>
          </w:tcPr>
          <w:p w14:paraId="7DC9C1AE" w14:textId="77777777" w:rsidR="00951A61" w:rsidRPr="001C7EB1" w:rsidRDefault="00951A61" w:rsidP="00A4032F">
            <w:pPr>
              <w:pStyle w:val="affe"/>
              <w:ind w:left="0"/>
              <w:rPr>
                <w:rFonts w:ascii="Tahoma" w:hAnsi="Tahoma" w:cs="Tahoma"/>
                <w:b/>
                <w:sz w:val="20"/>
                <w:szCs w:val="20"/>
              </w:rPr>
            </w:pPr>
            <w:r>
              <w:rPr>
                <w:rFonts w:ascii="Tahoma" w:hAnsi="Tahoma" w:cs="Tahoma"/>
                <w:b/>
                <w:sz w:val="20"/>
                <w:szCs w:val="20"/>
              </w:rPr>
              <w:t>2</w:t>
            </w:r>
            <w:r w:rsidRPr="001C7EB1">
              <w:rPr>
                <w:rFonts w:ascii="Tahoma" w:hAnsi="Tahoma" w:cs="Tahoma"/>
                <w:b/>
                <w:sz w:val="20"/>
                <w:szCs w:val="20"/>
              </w:rPr>
              <w:t>.</w:t>
            </w:r>
          </w:p>
        </w:tc>
        <w:tc>
          <w:tcPr>
            <w:tcW w:w="10236" w:type="dxa"/>
          </w:tcPr>
          <w:p w14:paraId="40183EE0" w14:textId="77777777" w:rsidR="00951A61" w:rsidRPr="001C7EB1" w:rsidRDefault="00951A61" w:rsidP="00A4032F">
            <w:pPr>
              <w:pStyle w:val="affe"/>
              <w:ind w:left="0"/>
              <w:jc w:val="center"/>
              <w:rPr>
                <w:rFonts w:ascii="Tahoma" w:hAnsi="Tahoma" w:cs="Tahoma"/>
                <w:b/>
                <w:sz w:val="20"/>
                <w:szCs w:val="20"/>
              </w:rPr>
            </w:pPr>
            <w:r w:rsidRPr="001C7EB1">
              <w:rPr>
                <w:rFonts w:ascii="Tahoma" w:hAnsi="Tahoma" w:cs="Tahoma"/>
                <w:b/>
                <w:sz w:val="20"/>
                <w:szCs w:val="20"/>
              </w:rPr>
              <w:t>ДИСКОНТЫ:</w:t>
            </w:r>
            <w:r w:rsidRPr="001C7EB1">
              <w:rPr>
                <w:rStyle w:val="aff3"/>
                <w:rFonts w:ascii="Tahoma" w:hAnsi="Tahoma" w:cs="Tahoma"/>
                <w:sz w:val="20"/>
                <w:szCs w:val="20"/>
              </w:rPr>
              <w:footnoteReference w:id="37"/>
            </w:r>
          </w:p>
        </w:tc>
        <w:tc>
          <w:tcPr>
            <w:tcW w:w="3739" w:type="dxa"/>
          </w:tcPr>
          <w:p w14:paraId="7D30EB37" w14:textId="77777777" w:rsidR="00951A61" w:rsidRPr="00095120" w:rsidRDefault="00951A61" w:rsidP="00A4032F">
            <w:pPr>
              <w:pStyle w:val="affe"/>
              <w:ind w:left="0"/>
              <w:jc w:val="center"/>
              <w:rPr>
                <w:rFonts w:ascii="Tahoma" w:hAnsi="Tahoma" w:cs="Tahoma"/>
                <w:b/>
                <w:sz w:val="20"/>
                <w:szCs w:val="20"/>
              </w:rPr>
            </w:pPr>
          </w:p>
        </w:tc>
      </w:tr>
      <w:tr w:rsidR="00951A61" w:rsidRPr="001C7EB1" w14:paraId="05D560D1" w14:textId="77777777" w:rsidTr="00A4032F">
        <w:trPr>
          <w:trHeight w:val="235"/>
        </w:trPr>
        <w:tc>
          <w:tcPr>
            <w:tcW w:w="992" w:type="dxa"/>
          </w:tcPr>
          <w:p w14:paraId="585F74F4" w14:textId="77777777" w:rsidR="00951A61" w:rsidRPr="001C7EB1" w:rsidRDefault="00951A61" w:rsidP="00A4032F">
            <w:pPr>
              <w:pStyle w:val="affe"/>
              <w:ind w:left="0"/>
              <w:rPr>
                <w:rFonts w:ascii="Tahoma" w:hAnsi="Tahoma" w:cs="Tahoma"/>
                <w:sz w:val="20"/>
                <w:szCs w:val="20"/>
              </w:rPr>
            </w:pPr>
            <w:r>
              <w:rPr>
                <w:rFonts w:ascii="Tahoma" w:hAnsi="Tahoma" w:cs="Tahoma"/>
                <w:sz w:val="20"/>
                <w:szCs w:val="20"/>
              </w:rPr>
              <w:t>2</w:t>
            </w:r>
            <w:r w:rsidRPr="001C7EB1">
              <w:rPr>
                <w:rFonts w:ascii="Tahoma" w:hAnsi="Tahoma" w:cs="Tahoma"/>
                <w:sz w:val="20"/>
                <w:szCs w:val="20"/>
              </w:rPr>
              <w:t>.1.</w:t>
            </w:r>
          </w:p>
        </w:tc>
        <w:tc>
          <w:tcPr>
            <w:tcW w:w="10236" w:type="dxa"/>
          </w:tcPr>
          <w:p w14:paraId="61169931" w14:textId="77777777" w:rsidR="00951A61" w:rsidRPr="00B3020C" w:rsidRDefault="00951A61" w:rsidP="00A4032F">
            <w:pPr>
              <w:pStyle w:val="affe"/>
              <w:ind w:left="0"/>
              <w:jc w:val="both"/>
              <w:rPr>
                <w:rFonts w:ascii="Tahoma" w:hAnsi="Tahoma" w:cs="Tahoma"/>
                <w:b/>
                <w:sz w:val="20"/>
                <w:szCs w:val="20"/>
              </w:rPr>
            </w:pPr>
            <w:r w:rsidRPr="00B3020C">
              <w:rPr>
                <w:rFonts w:ascii="Tahoma" w:hAnsi="Tahoma" w:cs="Tahoma"/>
                <w:sz w:val="20"/>
                <w:szCs w:val="20"/>
              </w:rPr>
              <w:t>Заемщик является работником Банка</w:t>
            </w:r>
            <w:r w:rsidRPr="00B3020C">
              <w:rPr>
                <w:rStyle w:val="aff3"/>
                <w:rFonts w:ascii="Tahoma" w:hAnsi="Tahoma" w:cs="Tahoma"/>
                <w:sz w:val="20"/>
                <w:szCs w:val="20"/>
              </w:rPr>
              <w:footnoteReference w:id="38"/>
            </w:r>
            <w:r w:rsidRPr="00B3020C">
              <w:rPr>
                <w:rFonts w:ascii="Tahoma" w:hAnsi="Tahoma" w:cs="Tahoma"/>
                <w:sz w:val="20"/>
                <w:szCs w:val="20"/>
              </w:rPr>
              <w:t>.</w:t>
            </w:r>
          </w:p>
        </w:tc>
        <w:tc>
          <w:tcPr>
            <w:tcW w:w="3739" w:type="dxa"/>
          </w:tcPr>
          <w:p w14:paraId="3AFFE3DD" w14:textId="77777777" w:rsidR="00951A61" w:rsidRPr="00095120" w:rsidRDefault="00951A61" w:rsidP="00A4032F">
            <w:pPr>
              <w:pStyle w:val="affe"/>
              <w:ind w:left="0"/>
              <w:jc w:val="center"/>
              <w:rPr>
                <w:rFonts w:ascii="Tahoma" w:hAnsi="Tahoma" w:cs="Tahoma"/>
                <w:b/>
                <w:sz w:val="20"/>
                <w:szCs w:val="20"/>
              </w:rPr>
            </w:pPr>
            <w:r w:rsidRPr="00095120">
              <w:rPr>
                <w:rFonts w:ascii="Tahoma" w:hAnsi="Tahoma" w:cs="Tahoma"/>
                <w:sz w:val="20"/>
                <w:szCs w:val="20"/>
              </w:rPr>
              <w:t>минус 0,</w:t>
            </w:r>
            <w:r>
              <w:rPr>
                <w:rFonts w:ascii="Tahoma" w:hAnsi="Tahoma" w:cs="Tahoma"/>
                <w:sz w:val="20"/>
                <w:szCs w:val="20"/>
              </w:rPr>
              <w:t>50</w:t>
            </w:r>
          </w:p>
        </w:tc>
      </w:tr>
      <w:tr w:rsidR="00951A61" w:rsidRPr="001C7EB1" w14:paraId="45493858" w14:textId="77777777" w:rsidTr="00A4032F">
        <w:trPr>
          <w:trHeight w:val="93"/>
        </w:trPr>
        <w:tc>
          <w:tcPr>
            <w:tcW w:w="992" w:type="dxa"/>
          </w:tcPr>
          <w:p w14:paraId="65EFE8FF" w14:textId="77777777" w:rsidR="00951A61" w:rsidRPr="001C7EB1" w:rsidRDefault="00951A61" w:rsidP="00A4032F">
            <w:pPr>
              <w:pStyle w:val="affe"/>
              <w:ind w:left="0"/>
              <w:rPr>
                <w:rFonts w:ascii="Tahoma" w:hAnsi="Tahoma" w:cs="Tahoma"/>
                <w:sz w:val="20"/>
                <w:szCs w:val="20"/>
              </w:rPr>
            </w:pPr>
            <w:r>
              <w:rPr>
                <w:rFonts w:ascii="Tahoma" w:hAnsi="Tahoma" w:cs="Tahoma"/>
                <w:sz w:val="20"/>
                <w:szCs w:val="20"/>
              </w:rPr>
              <w:t>2</w:t>
            </w:r>
            <w:r w:rsidRPr="001C7EB1">
              <w:rPr>
                <w:rFonts w:ascii="Tahoma" w:hAnsi="Tahoma" w:cs="Tahoma"/>
                <w:sz w:val="20"/>
                <w:szCs w:val="20"/>
              </w:rPr>
              <w:t>.</w:t>
            </w:r>
            <w:r>
              <w:rPr>
                <w:rFonts w:ascii="Tahoma" w:hAnsi="Tahoma" w:cs="Tahoma"/>
                <w:sz w:val="20"/>
                <w:szCs w:val="20"/>
              </w:rPr>
              <w:t>2</w:t>
            </w:r>
            <w:r w:rsidRPr="001C7EB1">
              <w:rPr>
                <w:rFonts w:ascii="Tahoma" w:hAnsi="Tahoma" w:cs="Tahoma"/>
                <w:sz w:val="20"/>
                <w:szCs w:val="20"/>
              </w:rPr>
              <w:t>.</w:t>
            </w:r>
          </w:p>
        </w:tc>
        <w:tc>
          <w:tcPr>
            <w:tcW w:w="10236" w:type="dxa"/>
            <w:vAlign w:val="center"/>
          </w:tcPr>
          <w:p w14:paraId="3FCA6BE2" w14:textId="77777777" w:rsidR="00951A61" w:rsidRPr="001C7EB1" w:rsidRDefault="00951A61" w:rsidP="00A4032F">
            <w:pPr>
              <w:pStyle w:val="affe"/>
              <w:ind w:left="0"/>
              <w:jc w:val="both"/>
              <w:rPr>
                <w:rFonts w:ascii="Tahoma" w:hAnsi="Tahoma" w:cs="Tahoma"/>
                <w:sz w:val="20"/>
                <w:szCs w:val="20"/>
              </w:rPr>
            </w:pPr>
            <w:r w:rsidRPr="001C7EB1">
              <w:rPr>
                <w:rFonts w:ascii="Tahoma" w:hAnsi="Tahoma" w:cs="Tahoma"/>
                <w:sz w:val="20"/>
                <w:szCs w:val="20"/>
              </w:rPr>
              <w:t>Заемщик приобретает объект недвижимости у партнеров Банка или является клиентом партнеров Банка, оказывающих риэлторские услуги</w:t>
            </w:r>
            <w:r w:rsidRPr="001C7EB1">
              <w:rPr>
                <w:rStyle w:val="aff3"/>
                <w:rFonts w:ascii="Tahoma" w:hAnsi="Tahoma" w:cs="Tahoma"/>
                <w:sz w:val="20"/>
                <w:szCs w:val="20"/>
              </w:rPr>
              <w:footnoteReference w:id="39"/>
            </w:r>
            <w:r w:rsidRPr="001C7EB1">
              <w:rPr>
                <w:rFonts w:ascii="Tahoma" w:hAnsi="Tahoma" w:cs="Tahoma"/>
                <w:sz w:val="20"/>
                <w:szCs w:val="20"/>
              </w:rPr>
              <w:t>.</w:t>
            </w:r>
          </w:p>
        </w:tc>
        <w:tc>
          <w:tcPr>
            <w:tcW w:w="3739" w:type="dxa"/>
            <w:vAlign w:val="center"/>
          </w:tcPr>
          <w:p w14:paraId="5399907F" w14:textId="77777777" w:rsidR="00951A61" w:rsidRPr="00095120" w:rsidRDefault="00951A61" w:rsidP="00A4032F">
            <w:pPr>
              <w:pStyle w:val="affe"/>
              <w:ind w:left="0"/>
              <w:jc w:val="center"/>
              <w:rPr>
                <w:rFonts w:ascii="Tahoma" w:hAnsi="Tahoma" w:cs="Tahoma"/>
                <w:sz w:val="20"/>
                <w:szCs w:val="20"/>
              </w:rPr>
            </w:pPr>
            <w:r w:rsidRPr="00095120">
              <w:rPr>
                <w:rFonts w:ascii="Tahoma" w:hAnsi="Tahoma" w:cs="Tahoma"/>
                <w:sz w:val="20"/>
                <w:szCs w:val="20"/>
              </w:rPr>
              <w:t>минус 0,20</w:t>
            </w:r>
          </w:p>
        </w:tc>
      </w:tr>
      <w:tr w:rsidR="00951A61" w:rsidRPr="001C7EB1" w14:paraId="03D9342B" w14:textId="77777777" w:rsidTr="00A4032F">
        <w:trPr>
          <w:trHeight w:val="93"/>
        </w:trPr>
        <w:tc>
          <w:tcPr>
            <w:tcW w:w="992" w:type="dxa"/>
          </w:tcPr>
          <w:p w14:paraId="25036A80" w14:textId="77777777" w:rsidR="00951A61" w:rsidRPr="001C7EB1" w:rsidRDefault="00951A61" w:rsidP="00A4032F">
            <w:pPr>
              <w:pStyle w:val="affe"/>
              <w:ind w:left="0"/>
              <w:rPr>
                <w:rFonts w:ascii="Tahoma" w:hAnsi="Tahoma" w:cs="Tahoma"/>
                <w:sz w:val="20"/>
                <w:szCs w:val="20"/>
              </w:rPr>
            </w:pPr>
            <w:r>
              <w:rPr>
                <w:rFonts w:ascii="Tahoma" w:hAnsi="Tahoma" w:cs="Tahoma"/>
                <w:sz w:val="20"/>
                <w:szCs w:val="20"/>
              </w:rPr>
              <w:t>2</w:t>
            </w:r>
            <w:r w:rsidRPr="001C7EB1">
              <w:rPr>
                <w:rFonts w:ascii="Tahoma" w:hAnsi="Tahoma" w:cs="Tahoma"/>
                <w:sz w:val="20"/>
                <w:szCs w:val="20"/>
              </w:rPr>
              <w:t>.</w:t>
            </w:r>
            <w:r>
              <w:rPr>
                <w:rFonts w:ascii="Tahoma" w:hAnsi="Tahoma" w:cs="Tahoma"/>
                <w:sz w:val="20"/>
                <w:szCs w:val="20"/>
              </w:rPr>
              <w:t>3</w:t>
            </w:r>
            <w:r w:rsidRPr="001C7EB1">
              <w:rPr>
                <w:rFonts w:ascii="Tahoma" w:hAnsi="Tahoma" w:cs="Tahoma"/>
                <w:sz w:val="20"/>
                <w:szCs w:val="20"/>
              </w:rPr>
              <w:t>.</w:t>
            </w:r>
          </w:p>
        </w:tc>
        <w:tc>
          <w:tcPr>
            <w:tcW w:w="10236" w:type="dxa"/>
            <w:vAlign w:val="center"/>
          </w:tcPr>
          <w:p w14:paraId="0F1984DF" w14:textId="77777777" w:rsidR="00951A61" w:rsidRPr="001C7EB1" w:rsidRDefault="00951A61" w:rsidP="00A4032F">
            <w:pPr>
              <w:pStyle w:val="affe"/>
              <w:ind w:left="0"/>
              <w:jc w:val="both"/>
              <w:rPr>
                <w:rFonts w:ascii="Tahoma" w:hAnsi="Tahoma" w:cs="Tahoma"/>
                <w:sz w:val="20"/>
                <w:szCs w:val="20"/>
              </w:rPr>
            </w:pPr>
            <w:r w:rsidRPr="001C7EB1">
              <w:rPr>
                <w:rFonts w:ascii="Tahoma" w:hAnsi="Tahoma" w:cs="Tahoma"/>
                <w:sz w:val="20"/>
                <w:szCs w:val="20"/>
              </w:rPr>
              <w:t>В случае проведения сделки с услугой электронной регистрации</w:t>
            </w:r>
            <w:r w:rsidRPr="001C7EB1">
              <w:rPr>
                <w:rStyle w:val="aff3"/>
                <w:rFonts w:ascii="Tahoma" w:hAnsi="Tahoma" w:cs="Tahoma"/>
                <w:sz w:val="20"/>
                <w:szCs w:val="20"/>
              </w:rPr>
              <w:footnoteReference w:id="40"/>
            </w:r>
            <w:r w:rsidRPr="001C7EB1">
              <w:rPr>
                <w:rFonts w:ascii="Tahoma" w:hAnsi="Tahoma" w:cs="Tahoma"/>
                <w:sz w:val="20"/>
                <w:szCs w:val="20"/>
              </w:rPr>
              <w:t>.</w:t>
            </w:r>
          </w:p>
        </w:tc>
        <w:tc>
          <w:tcPr>
            <w:tcW w:w="3739" w:type="dxa"/>
            <w:vAlign w:val="center"/>
          </w:tcPr>
          <w:p w14:paraId="610B26B7" w14:textId="77777777" w:rsidR="00951A61" w:rsidRPr="001C7EB1" w:rsidRDefault="00951A61" w:rsidP="00A4032F">
            <w:pPr>
              <w:pStyle w:val="affe"/>
              <w:ind w:left="0"/>
              <w:jc w:val="center"/>
              <w:rPr>
                <w:rFonts w:ascii="Tahoma" w:hAnsi="Tahoma" w:cs="Tahoma"/>
                <w:sz w:val="20"/>
                <w:szCs w:val="20"/>
              </w:rPr>
            </w:pPr>
            <w:r w:rsidRPr="001C7EB1">
              <w:rPr>
                <w:rFonts w:ascii="Tahoma" w:hAnsi="Tahoma" w:cs="Tahoma"/>
                <w:sz w:val="20"/>
                <w:szCs w:val="20"/>
              </w:rPr>
              <w:t>минус 0,20</w:t>
            </w:r>
          </w:p>
        </w:tc>
      </w:tr>
      <w:tr w:rsidR="00951A61" w:rsidRPr="001C7EB1" w14:paraId="00006F8C" w14:textId="77777777" w:rsidTr="00A4032F">
        <w:trPr>
          <w:trHeight w:val="189"/>
        </w:trPr>
        <w:tc>
          <w:tcPr>
            <w:tcW w:w="992" w:type="dxa"/>
          </w:tcPr>
          <w:p w14:paraId="3EB3087F" w14:textId="77777777" w:rsidR="00951A61" w:rsidRPr="001C7EB1" w:rsidRDefault="00951A61" w:rsidP="00A4032F">
            <w:pPr>
              <w:pStyle w:val="affe"/>
              <w:ind w:left="0"/>
              <w:rPr>
                <w:rFonts w:ascii="Tahoma" w:hAnsi="Tahoma" w:cs="Tahoma"/>
                <w:sz w:val="20"/>
                <w:szCs w:val="20"/>
              </w:rPr>
            </w:pPr>
            <w:r>
              <w:rPr>
                <w:rFonts w:ascii="Tahoma" w:hAnsi="Tahoma" w:cs="Tahoma"/>
                <w:b/>
                <w:sz w:val="20"/>
                <w:szCs w:val="20"/>
              </w:rPr>
              <w:t>3</w:t>
            </w:r>
            <w:r w:rsidRPr="001C7EB1">
              <w:rPr>
                <w:rFonts w:ascii="Tahoma" w:hAnsi="Tahoma" w:cs="Tahoma"/>
                <w:b/>
                <w:sz w:val="20"/>
                <w:szCs w:val="20"/>
              </w:rPr>
              <w:t>.</w:t>
            </w:r>
          </w:p>
        </w:tc>
        <w:tc>
          <w:tcPr>
            <w:tcW w:w="10236" w:type="dxa"/>
          </w:tcPr>
          <w:p w14:paraId="7559D6C9" w14:textId="77777777" w:rsidR="00951A61" w:rsidRPr="001C7EB1" w:rsidRDefault="00951A61" w:rsidP="00A4032F">
            <w:pPr>
              <w:jc w:val="center"/>
              <w:rPr>
                <w:rFonts w:ascii="Tahoma" w:hAnsi="Tahoma" w:cs="Tahoma"/>
                <w:sz w:val="20"/>
                <w:szCs w:val="20"/>
              </w:rPr>
            </w:pPr>
            <w:r w:rsidRPr="001C7EB1">
              <w:rPr>
                <w:rFonts w:ascii="Tahoma" w:hAnsi="Tahoma" w:cs="Tahoma"/>
                <w:b/>
                <w:sz w:val="20"/>
                <w:szCs w:val="20"/>
              </w:rPr>
              <w:t>НАДБАВКИ</w:t>
            </w:r>
            <w:r w:rsidRPr="001C7EB1">
              <w:rPr>
                <w:rStyle w:val="aff3"/>
                <w:rFonts w:ascii="Tahoma" w:hAnsi="Tahoma" w:cs="Tahoma"/>
                <w:b/>
                <w:sz w:val="20"/>
                <w:szCs w:val="20"/>
              </w:rPr>
              <w:footnoteReference w:id="41"/>
            </w:r>
            <w:r w:rsidRPr="001C7EB1">
              <w:rPr>
                <w:rFonts w:ascii="Tahoma" w:hAnsi="Tahoma" w:cs="Tahoma"/>
                <w:b/>
                <w:sz w:val="20"/>
                <w:szCs w:val="20"/>
              </w:rPr>
              <w:t>:</w:t>
            </w:r>
          </w:p>
        </w:tc>
        <w:tc>
          <w:tcPr>
            <w:tcW w:w="3739" w:type="dxa"/>
            <w:vAlign w:val="center"/>
          </w:tcPr>
          <w:p w14:paraId="1291D761" w14:textId="77777777" w:rsidR="00951A61" w:rsidRPr="001C7EB1" w:rsidRDefault="00951A61" w:rsidP="00A4032F">
            <w:pPr>
              <w:pStyle w:val="affe"/>
              <w:ind w:left="0"/>
              <w:jc w:val="center"/>
              <w:rPr>
                <w:rFonts w:ascii="Tahoma" w:hAnsi="Tahoma" w:cs="Tahoma"/>
                <w:sz w:val="20"/>
                <w:szCs w:val="20"/>
              </w:rPr>
            </w:pPr>
          </w:p>
        </w:tc>
      </w:tr>
      <w:tr w:rsidR="00951A61" w:rsidRPr="001C7EB1" w14:paraId="7C22FBA4" w14:textId="77777777" w:rsidTr="00A4032F">
        <w:trPr>
          <w:trHeight w:val="235"/>
        </w:trPr>
        <w:tc>
          <w:tcPr>
            <w:tcW w:w="992" w:type="dxa"/>
          </w:tcPr>
          <w:p w14:paraId="2BC3F007" w14:textId="77777777" w:rsidR="00951A61" w:rsidRPr="001C7EB1" w:rsidRDefault="00951A61" w:rsidP="00A4032F">
            <w:pPr>
              <w:pStyle w:val="affe"/>
              <w:ind w:left="0"/>
              <w:rPr>
                <w:rFonts w:ascii="Tahoma" w:hAnsi="Tahoma" w:cs="Tahoma"/>
                <w:sz w:val="20"/>
                <w:szCs w:val="20"/>
              </w:rPr>
            </w:pPr>
            <w:r>
              <w:rPr>
                <w:rFonts w:ascii="Tahoma" w:hAnsi="Tahoma" w:cs="Tahoma"/>
                <w:sz w:val="20"/>
                <w:szCs w:val="20"/>
              </w:rPr>
              <w:t>3</w:t>
            </w:r>
            <w:r w:rsidRPr="001C7EB1">
              <w:rPr>
                <w:rFonts w:ascii="Tahoma" w:hAnsi="Tahoma" w:cs="Tahoma"/>
                <w:sz w:val="20"/>
                <w:szCs w:val="20"/>
              </w:rPr>
              <w:t>.</w:t>
            </w:r>
            <w:r>
              <w:rPr>
                <w:rFonts w:ascii="Tahoma" w:hAnsi="Tahoma" w:cs="Tahoma"/>
                <w:sz w:val="20"/>
                <w:szCs w:val="20"/>
              </w:rPr>
              <w:t>1</w:t>
            </w:r>
            <w:r w:rsidRPr="001C7EB1">
              <w:rPr>
                <w:rFonts w:ascii="Tahoma" w:hAnsi="Tahoma" w:cs="Tahoma"/>
                <w:sz w:val="20"/>
                <w:szCs w:val="20"/>
              </w:rPr>
              <w:t>.</w:t>
            </w:r>
          </w:p>
        </w:tc>
        <w:tc>
          <w:tcPr>
            <w:tcW w:w="10236" w:type="dxa"/>
            <w:vAlign w:val="center"/>
          </w:tcPr>
          <w:p w14:paraId="16DC0FCB" w14:textId="77777777" w:rsidR="00951A61" w:rsidRPr="001C7EB1" w:rsidRDefault="00951A61" w:rsidP="00A4032F">
            <w:pPr>
              <w:pStyle w:val="affe"/>
              <w:ind w:left="0"/>
              <w:jc w:val="both"/>
              <w:rPr>
                <w:rFonts w:ascii="Tahoma" w:hAnsi="Tahoma" w:cs="Tahoma"/>
                <w:sz w:val="20"/>
                <w:szCs w:val="20"/>
              </w:rPr>
            </w:pPr>
            <w:r w:rsidRPr="001C7EB1">
              <w:rPr>
                <w:rFonts w:ascii="Tahoma" w:hAnsi="Tahoma" w:cs="Tahoma"/>
                <w:sz w:val="20"/>
                <w:szCs w:val="20"/>
              </w:rPr>
              <w:t xml:space="preserve">В случае если </w:t>
            </w:r>
            <w:r w:rsidRPr="00B3020C">
              <w:rPr>
                <w:rFonts w:ascii="Tahoma" w:hAnsi="Tahoma" w:cs="Tahoma"/>
                <w:sz w:val="20"/>
                <w:szCs w:val="20"/>
              </w:rPr>
              <w:t>клиент, не относится к категории Заемщиков с официально подтвержденным доходом</w:t>
            </w:r>
            <w:r w:rsidRPr="001C7EB1">
              <w:rPr>
                <w:rStyle w:val="aff3"/>
                <w:rFonts w:ascii="Tahoma" w:hAnsi="Tahoma"/>
                <w:sz w:val="20"/>
                <w:szCs w:val="20"/>
              </w:rPr>
              <w:footnoteReference w:id="42"/>
            </w:r>
            <w:r w:rsidRPr="001C7EB1">
              <w:rPr>
                <w:rFonts w:ascii="Tahoma" w:hAnsi="Tahoma" w:cs="Tahoma"/>
                <w:sz w:val="20"/>
                <w:szCs w:val="20"/>
              </w:rPr>
              <w:t>.</w:t>
            </w:r>
          </w:p>
        </w:tc>
        <w:tc>
          <w:tcPr>
            <w:tcW w:w="3739" w:type="dxa"/>
            <w:vAlign w:val="center"/>
          </w:tcPr>
          <w:p w14:paraId="13569872" w14:textId="77777777" w:rsidR="00951A61" w:rsidRPr="000D3E48" w:rsidRDefault="00951A61" w:rsidP="00A4032F">
            <w:pPr>
              <w:pStyle w:val="affe"/>
              <w:ind w:left="0"/>
              <w:jc w:val="center"/>
              <w:rPr>
                <w:rFonts w:ascii="Tahoma" w:hAnsi="Tahoma" w:cs="Tahoma"/>
                <w:sz w:val="20"/>
                <w:szCs w:val="20"/>
              </w:rPr>
            </w:pPr>
            <w:r w:rsidRPr="007E113A">
              <w:rPr>
                <w:rFonts w:ascii="Tahoma" w:hAnsi="Tahoma" w:cs="Tahoma"/>
                <w:sz w:val="20"/>
                <w:szCs w:val="20"/>
              </w:rPr>
              <w:t>плюс 0,50</w:t>
            </w:r>
          </w:p>
        </w:tc>
      </w:tr>
      <w:tr w:rsidR="00951A61" w:rsidRPr="001C7EB1" w14:paraId="3ABED3B3" w14:textId="77777777" w:rsidTr="00A4032F">
        <w:trPr>
          <w:trHeight w:val="1125"/>
        </w:trPr>
        <w:tc>
          <w:tcPr>
            <w:tcW w:w="992" w:type="dxa"/>
          </w:tcPr>
          <w:p w14:paraId="651CC58D" w14:textId="77777777" w:rsidR="00951A61" w:rsidRPr="001C7EB1" w:rsidRDefault="00951A61" w:rsidP="00A4032F">
            <w:pPr>
              <w:pStyle w:val="affe"/>
              <w:ind w:left="0"/>
              <w:rPr>
                <w:rFonts w:ascii="Tahoma" w:hAnsi="Tahoma" w:cs="Tahoma"/>
                <w:sz w:val="20"/>
                <w:szCs w:val="20"/>
              </w:rPr>
            </w:pPr>
            <w:r>
              <w:rPr>
                <w:rFonts w:ascii="Tahoma" w:hAnsi="Tahoma" w:cs="Tahoma"/>
                <w:sz w:val="20"/>
                <w:szCs w:val="20"/>
              </w:rPr>
              <w:t>3</w:t>
            </w:r>
            <w:r w:rsidRPr="001C7EB1">
              <w:rPr>
                <w:rFonts w:ascii="Tahoma" w:hAnsi="Tahoma" w:cs="Tahoma"/>
                <w:sz w:val="20"/>
                <w:szCs w:val="20"/>
              </w:rPr>
              <w:t>.</w:t>
            </w:r>
            <w:r>
              <w:rPr>
                <w:rFonts w:ascii="Tahoma" w:hAnsi="Tahoma" w:cs="Tahoma"/>
                <w:sz w:val="20"/>
                <w:szCs w:val="20"/>
              </w:rPr>
              <w:t>2</w:t>
            </w:r>
            <w:r w:rsidRPr="001C7EB1">
              <w:rPr>
                <w:rStyle w:val="aff3"/>
                <w:rFonts w:ascii="Tahoma" w:hAnsi="Tahoma" w:cs="Tahoma"/>
                <w:sz w:val="20"/>
                <w:szCs w:val="20"/>
              </w:rPr>
              <w:footnoteReference w:id="43"/>
            </w:r>
            <w:r w:rsidRPr="001C7EB1">
              <w:rPr>
                <w:rFonts w:ascii="Tahoma" w:hAnsi="Tahoma" w:cs="Tahoma"/>
                <w:sz w:val="20"/>
                <w:szCs w:val="20"/>
              </w:rPr>
              <w:t>.</w:t>
            </w:r>
          </w:p>
        </w:tc>
        <w:tc>
          <w:tcPr>
            <w:tcW w:w="10236" w:type="dxa"/>
          </w:tcPr>
          <w:p w14:paraId="1BD39F8C" w14:textId="77777777" w:rsidR="00951A61" w:rsidRPr="00C713F4" w:rsidRDefault="00951A61" w:rsidP="00A4032F">
            <w:pPr>
              <w:pStyle w:val="affe"/>
              <w:ind w:left="0"/>
              <w:jc w:val="both"/>
              <w:rPr>
                <w:rFonts w:ascii="Tahoma" w:hAnsi="Tahoma" w:cs="Tahoma"/>
                <w:sz w:val="20"/>
                <w:szCs w:val="20"/>
              </w:rPr>
            </w:pPr>
            <w:r w:rsidRPr="00C713F4">
              <w:rPr>
                <w:rFonts w:ascii="Tahoma" w:hAnsi="Tahoma" w:cs="Tahoma"/>
                <w:sz w:val="20"/>
                <w:szCs w:val="20"/>
              </w:rPr>
              <w:t>В случае отказа Заемщика при заключении Кредитного договора от личного и/или титульного страхования, а также случае отсутствия продления/ расторжения/ прекращения по любым основаниям</w:t>
            </w:r>
            <w:r w:rsidRPr="00C713F4" w:rsidDel="00501BEA">
              <w:rPr>
                <w:rFonts w:ascii="Tahoma" w:hAnsi="Tahoma" w:cs="Tahoma"/>
                <w:sz w:val="20"/>
                <w:szCs w:val="20"/>
              </w:rPr>
              <w:t xml:space="preserve"> </w:t>
            </w:r>
            <w:r w:rsidRPr="00C713F4">
              <w:rPr>
                <w:rFonts w:ascii="Tahoma" w:hAnsi="Tahoma" w:cs="Tahoma"/>
                <w:sz w:val="20"/>
                <w:szCs w:val="20"/>
              </w:rPr>
              <w:t>договоров личного и/или титульного страхования в течение срока действия Кредитного договора, а также отсутствие заключения нового договора страхования в течение 2-х календарных месяцев, со дня истечения срока действия полиса страхования:</w:t>
            </w:r>
          </w:p>
          <w:p w14:paraId="209C71DD" w14:textId="77777777" w:rsidR="00951A61" w:rsidRPr="00C713F4" w:rsidRDefault="00951A61" w:rsidP="00A4032F">
            <w:pPr>
              <w:pStyle w:val="affe"/>
              <w:ind w:left="0"/>
              <w:jc w:val="both"/>
              <w:rPr>
                <w:rFonts w:ascii="Tahoma" w:hAnsi="Tahoma" w:cs="Tahoma"/>
                <w:sz w:val="20"/>
                <w:szCs w:val="20"/>
              </w:rPr>
            </w:pPr>
            <w:r w:rsidRPr="00C713F4">
              <w:rPr>
                <w:rFonts w:ascii="Tahoma" w:hAnsi="Tahoma" w:cs="Tahoma"/>
                <w:sz w:val="20"/>
                <w:szCs w:val="20"/>
              </w:rPr>
              <w:lastRenderedPageBreak/>
              <w:t xml:space="preserve">- Личное страхование; </w:t>
            </w:r>
          </w:p>
          <w:p w14:paraId="2CC8E103" w14:textId="77777777" w:rsidR="00951A61" w:rsidRPr="00224293" w:rsidRDefault="00951A61" w:rsidP="00A4032F">
            <w:pPr>
              <w:pStyle w:val="affe"/>
              <w:ind w:left="0"/>
              <w:jc w:val="both"/>
              <w:rPr>
                <w:rFonts w:ascii="Tahoma" w:hAnsi="Tahoma" w:cs="Tahoma"/>
                <w:sz w:val="20"/>
                <w:szCs w:val="20"/>
              </w:rPr>
            </w:pPr>
            <w:r w:rsidRPr="00C713F4">
              <w:rPr>
                <w:rFonts w:ascii="Tahoma" w:hAnsi="Tahoma" w:cs="Tahoma"/>
                <w:sz w:val="20"/>
                <w:szCs w:val="20"/>
              </w:rPr>
              <w:t>- Титульное страхование права собственности на Объект недвижимости (в течение 3 лет с момента оформления п</w:t>
            </w:r>
            <w:r w:rsidRPr="00224293">
              <w:rPr>
                <w:rFonts w:ascii="Tahoma" w:hAnsi="Tahoma" w:cs="Tahoma"/>
                <w:sz w:val="20"/>
                <w:szCs w:val="20"/>
              </w:rPr>
              <w:t>рава собственности на Объект недвижимости).</w:t>
            </w:r>
          </w:p>
        </w:tc>
        <w:tc>
          <w:tcPr>
            <w:tcW w:w="3739" w:type="dxa"/>
            <w:vAlign w:val="center"/>
          </w:tcPr>
          <w:p w14:paraId="316CECA2" w14:textId="77777777" w:rsidR="00951A61" w:rsidRPr="00C713F4" w:rsidRDefault="00951A61" w:rsidP="00A4032F">
            <w:pPr>
              <w:pStyle w:val="affe"/>
              <w:ind w:left="0"/>
              <w:jc w:val="center"/>
              <w:rPr>
                <w:rFonts w:ascii="Tahoma" w:hAnsi="Tahoma" w:cs="Tahoma"/>
                <w:sz w:val="20"/>
                <w:szCs w:val="20"/>
              </w:rPr>
            </w:pPr>
            <w:r w:rsidRPr="00224293">
              <w:rPr>
                <w:rFonts w:ascii="Tahoma" w:hAnsi="Tahoma" w:cs="Tahoma"/>
                <w:sz w:val="20"/>
                <w:szCs w:val="20"/>
              </w:rPr>
              <w:lastRenderedPageBreak/>
              <w:t>плюс 1,00</w:t>
            </w:r>
          </w:p>
        </w:tc>
      </w:tr>
      <w:tr w:rsidR="00951A61" w:rsidRPr="001C7EB1" w14:paraId="4C2CBDEC" w14:textId="77777777" w:rsidTr="00A4032F">
        <w:trPr>
          <w:trHeight w:val="963"/>
        </w:trPr>
        <w:tc>
          <w:tcPr>
            <w:tcW w:w="992" w:type="dxa"/>
          </w:tcPr>
          <w:p w14:paraId="45CC537E" w14:textId="77777777" w:rsidR="00951A61" w:rsidRPr="001C7EB1" w:rsidRDefault="00951A61" w:rsidP="00A4032F">
            <w:pPr>
              <w:pStyle w:val="affe"/>
              <w:ind w:left="0"/>
              <w:rPr>
                <w:rFonts w:ascii="Tahoma" w:hAnsi="Tahoma" w:cs="Tahoma"/>
                <w:sz w:val="20"/>
                <w:szCs w:val="20"/>
              </w:rPr>
            </w:pPr>
            <w:r>
              <w:rPr>
                <w:rFonts w:ascii="Tahoma" w:hAnsi="Tahoma" w:cs="Tahoma"/>
                <w:sz w:val="20"/>
                <w:szCs w:val="20"/>
              </w:rPr>
              <w:t>3</w:t>
            </w:r>
            <w:r w:rsidRPr="001C7EB1">
              <w:rPr>
                <w:rFonts w:ascii="Tahoma" w:hAnsi="Tahoma" w:cs="Tahoma"/>
                <w:sz w:val="20"/>
                <w:szCs w:val="20"/>
              </w:rPr>
              <w:t>.</w:t>
            </w:r>
            <w:r>
              <w:rPr>
                <w:rFonts w:ascii="Tahoma" w:hAnsi="Tahoma" w:cs="Tahoma"/>
                <w:sz w:val="20"/>
                <w:szCs w:val="20"/>
              </w:rPr>
              <w:t>3</w:t>
            </w:r>
            <w:r w:rsidRPr="00F864BD">
              <w:rPr>
                <w:rStyle w:val="aff3"/>
                <w:rFonts w:ascii="Tahoma" w:hAnsi="Tahoma"/>
                <w:sz w:val="20"/>
                <w:szCs w:val="20"/>
              </w:rPr>
              <w:footnoteReference w:id="44"/>
            </w:r>
            <w:r w:rsidRPr="001C7EB1">
              <w:rPr>
                <w:rFonts w:ascii="Tahoma" w:hAnsi="Tahoma" w:cs="Tahoma"/>
                <w:sz w:val="20"/>
                <w:szCs w:val="20"/>
              </w:rPr>
              <w:t>.</w:t>
            </w:r>
          </w:p>
        </w:tc>
        <w:tc>
          <w:tcPr>
            <w:tcW w:w="10236" w:type="dxa"/>
          </w:tcPr>
          <w:p w14:paraId="4AABDDF7" w14:textId="77777777" w:rsidR="00951A61" w:rsidRPr="001C7EB1" w:rsidRDefault="00951A61" w:rsidP="00A4032F">
            <w:pPr>
              <w:pStyle w:val="affe"/>
              <w:ind w:left="0"/>
              <w:jc w:val="both"/>
              <w:rPr>
                <w:rFonts w:ascii="Tahoma" w:hAnsi="Tahoma" w:cs="Tahoma"/>
                <w:sz w:val="20"/>
                <w:szCs w:val="20"/>
              </w:rPr>
            </w:pPr>
            <w:r w:rsidRPr="00CD2C26">
              <w:rPr>
                <w:rFonts w:ascii="Tahoma" w:hAnsi="Tahoma" w:cs="Tahoma"/>
                <w:sz w:val="20"/>
                <w:szCs w:val="20"/>
              </w:rPr>
              <w:t xml:space="preserve">В случае отказа Заемщика при заключении Кредитного договора от имущественного страхования, </w:t>
            </w:r>
            <w:r w:rsidRPr="00E04644">
              <w:rPr>
                <w:rFonts w:ascii="Tahoma" w:hAnsi="Tahoma" w:cs="Tahoma"/>
                <w:sz w:val="20"/>
                <w:szCs w:val="20"/>
              </w:rPr>
              <w:t>а также в</w:t>
            </w:r>
            <w:r w:rsidRPr="001C7EB1">
              <w:rPr>
                <w:rFonts w:ascii="Tahoma" w:hAnsi="Tahoma" w:cs="Tahoma"/>
                <w:sz w:val="20"/>
                <w:szCs w:val="20"/>
              </w:rPr>
              <w:t xml:space="preserve"> случае отсутствия продления</w:t>
            </w:r>
            <w:r>
              <w:rPr>
                <w:rFonts w:ascii="Tahoma" w:hAnsi="Tahoma" w:cs="Tahoma"/>
                <w:sz w:val="20"/>
                <w:szCs w:val="20"/>
              </w:rPr>
              <w:t>/</w:t>
            </w:r>
            <w:r w:rsidRPr="00980AD4">
              <w:rPr>
                <w:rFonts w:ascii="Tahoma" w:hAnsi="Tahoma" w:cs="Tahoma"/>
                <w:sz w:val="20"/>
                <w:szCs w:val="20"/>
              </w:rPr>
              <w:t xml:space="preserve"> расторжения/</w:t>
            </w:r>
            <w:r>
              <w:rPr>
                <w:rFonts w:ascii="Tahoma" w:hAnsi="Tahoma" w:cs="Tahoma"/>
                <w:sz w:val="20"/>
                <w:szCs w:val="20"/>
              </w:rPr>
              <w:t xml:space="preserve"> </w:t>
            </w:r>
            <w:r w:rsidRPr="00980AD4">
              <w:rPr>
                <w:rFonts w:ascii="Tahoma" w:hAnsi="Tahoma" w:cs="Tahoma"/>
                <w:sz w:val="20"/>
                <w:szCs w:val="20"/>
              </w:rPr>
              <w:t xml:space="preserve">прекращения по любым основаниям </w:t>
            </w:r>
            <w:r w:rsidRPr="001C7EB1">
              <w:rPr>
                <w:rFonts w:ascii="Tahoma" w:hAnsi="Tahoma" w:cs="Tahoma"/>
                <w:sz w:val="20"/>
                <w:szCs w:val="20"/>
              </w:rPr>
              <w:t xml:space="preserve">договора имущественного страхования в течение срока действия </w:t>
            </w:r>
            <w:r>
              <w:rPr>
                <w:rFonts w:ascii="Tahoma" w:hAnsi="Tahoma" w:cs="Tahoma"/>
                <w:sz w:val="20"/>
                <w:szCs w:val="20"/>
              </w:rPr>
              <w:t>К</w:t>
            </w:r>
            <w:r w:rsidRPr="001C7EB1">
              <w:rPr>
                <w:rFonts w:ascii="Tahoma" w:hAnsi="Tahoma" w:cs="Tahoma"/>
                <w:sz w:val="20"/>
                <w:szCs w:val="20"/>
              </w:rPr>
              <w:t>редитного договора, а также отсутствие заключения нового договора имущественного страхования в течение 2-х календарных месяцев, со дня истечения срока действия полиса страхования.</w:t>
            </w:r>
          </w:p>
        </w:tc>
        <w:tc>
          <w:tcPr>
            <w:tcW w:w="3739" w:type="dxa"/>
            <w:vAlign w:val="center"/>
          </w:tcPr>
          <w:p w14:paraId="3E6F3ABA" w14:textId="77777777" w:rsidR="00951A61" w:rsidRPr="001C7EB1" w:rsidRDefault="00951A61" w:rsidP="00A4032F">
            <w:pPr>
              <w:pStyle w:val="affe"/>
              <w:ind w:left="0"/>
              <w:jc w:val="center"/>
              <w:rPr>
                <w:rFonts w:ascii="Tahoma" w:hAnsi="Tahoma" w:cs="Tahoma"/>
                <w:sz w:val="20"/>
                <w:szCs w:val="20"/>
              </w:rPr>
            </w:pPr>
            <w:r w:rsidRPr="001C7EB1">
              <w:rPr>
                <w:rFonts w:ascii="Tahoma" w:hAnsi="Tahoma" w:cs="Tahoma"/>
                <w:sz w:val="20"/>
                <w:szCs w:val="20"/>
              </w:rPr>
              <w:t xml:space="preserve">плюс </w:t>
            </w:r>
            <w:r w:rsidRPr="001C7EB1">
              <w:rPr>
                <w:rFonts w:ascii="Tahoma" w:hAnsi="Tahoma" w:cs="Tahoma"/>
                <w:sz w:val="20"/>
                <w:szCs w:val="20"/>
                <w:lang w:val="en-US"/>
              </w:rPr>
              <w:t>1</w:t>
            </w:r>
            <w:r w:rsidRPr="001C7EB1">
              <w:rPr>
                <w:rFonts w:ascii="Tahoma" w:hAnsi="Tahoma" w:cs="Tahoma"/>
                <w:sz w:val="20"/>
                <w:szCs w:val="20"/>
              </w:rPr>
              <w:t>,00</w:t>
            </w:r>
          </w:p>
        </w:tc>
      </w:tr>
      <w:tr w:rsidR="00951A61" w:rsidRPr="001C7EB1" w14:paraId="27490FF3" w14:textId="77777777" w:rsidTr="00A4032F">
        <w:trPr>
          <w:trHeight w:val="232"/>
        </w:trPr>
        <w:tc>
          <w:tcPr>
            <w:tcW w:w="992" w:type="dxa"/>
          </w:tcPr>
          <w:p w14:paraId="6B7EE418" w14:textId="77777777" w:rsidR="00951A61" w:rsidRPr="001C7EB1" w:rsidRDefault="00951A61" w:rsidP="00A4032F">
            <w:pPr>
              <w:pStyle w:val="affe"/>
              <w:ind w:left="0"/>
              <w:rPr>
                <w:rFonts w:ascii="Tahoma" w:hAnsi="Tahoma" w:cs="Tahoma"/>
                <w:sz w:val="20"/>
                <w:szCs w:val="20"/>
              </w:rPr>
            </w:pPr>
            <w:r>
              <w:rPr>
                <w:rFonts w:ascii="Tahoma" w:hAnsi="Tahoma" w:cs="Tahoma"/>
                <w:sz w:val="20"/>
                <w:szCs w:val="20"/>
              </w:rPr>
              <w:t>3</w:t>
            </w:r>
            <w:r w:rsidRPr="001C7EB1">
              <w:rPr>
                <w:rFonts w:ascii="Tahoma" w:hAnsi="Tahoma" w:cs="Tahoma"/>
                <w:sz w:val="20"/>
                <w:szCs w:val="20"/>
              </w:rPr>
              <w:t>.</w:t>
            </w:r>
            <w:r>
              <w:rPr>
                <w:rFonts w:ascii="Tahoma" w:hAnsi="Tahoma" w:cs="Tahoma"/>
                <w:sz w:val="20"/>
                <w:szCs w:val="20"/>
              </w:rPr>
              <w:t>4</w:t>
            </w:r>
            <w:r w:rsidRPr="001C7EB1">
              <w:rPr>
                <w:rFonts w:ascii="Tahoma" w:hAnsi="Tahoma" w:cs="Tahoma"/>
                <w:sz w:val="20"/>
                <w:szCs w:val="20"/>
              </w:rPr>
              <w:t>.</w:t>
            </w:r>
          </w:p>
        </w:tc>
        <w:tc>
          <w:tcPr>
            <w:tcW w:w="10236" w:type="dxa"/>
          </w:tcPr>
          <w:p w14:paraId="7E0152FE" w14:textId="77777777" w:rsidR="00951A61" w:rsidRPr="001C7EB1" w:rsidRDefault="00951A61" w:rsidP="00A4032F">
            <w:pPr>
              <w:pStyle w:val="affe"/>
              <w:ind w:left="0"/>
              <w:jc w:val="both"/>
              <w:rPr>
                <w:rFonts w:ascii="Tahoma" w:hAnsi="Tahoma" w:cs="Tahoma"/>
                <w:sz w:val="20"/>
                <w:szCs w:val="20"/>
              </w:rPr>
            </w:pPr>
            <w:r w:rsidRPr="001C7EB1">
              <w:rPr>
                <w:rFonts w:ascii="Tahoma" w:hAnsi="Tahoma" w:cs="Tahoma"/>
                <w:sz w:val="20"/>
                <w:szCs w:val="20"/>
              </w:rPr>
              <w:t xml:space="preserve">В случае отказа Заемщика при заключении </w:t>
            </w:r>
            <w:r>
              <w:rPr>
                <w:rFonts w:ascii="Tahoma" w:hAnsi="Tahoma" w:cs="Tahoma"/>
                <w:sz w:val="20"/>
                <w:szCs w:val="20"/>
              </w:rPr>
              <w:t>К</w:t>
            </w:r>
            <w:r w:rsidRPr="001C7EB1">
              <w:rPr>
                <w:rFonts w:ascii="Tahoma" w:hAnsi="Tahoma" w:cs="Tahoma"/>
                <w:sz w:val="20"/>
                <w:szCs w:val="20"/>
              </w:rPr>
              <w:t>редитного договора от проведения оценки Предмета ипотеки</w:t>
            </w:r>
            <w:r w:rsidRPr="00B3020C">
              <w:rPr>
                <w:rStyle w:val="aff3"/>
                <w:rFonts w:ascii="Tahoma" w:hAnsi="Tahoma" w:cs="Tahoma"/>
                <w:sz w:val="20"/>
                <w:szCs w:val="20"/>
              </w:rPr>
              <w:footnoteReference w:id="45"/>
            </w:r>
            <w:r w:rsidRPr="001C7EB1">
              <w:rPr>
                <w:rFonts w:ascii="Tahoma" w:hAnsi="Tahoma" w:cs="Tahoma"/>
                <w:sz w:val="20"/>
                <w:szCs w:val="20"/>
              </w:rPr>
              <w:t>.</w:t>
            </w:r>
          </w:p>
        </w:tc>
        <w:tc>
          <w:tcPr>
            <w:tcW w:w="3739" w:type="dxa"/>
            <w:vAlign w:val="center"/>
          </w:tcPr>
          <w:p w14:paraId="13D9D83B" w14:textId="77777777" w:rsidR="00951A61" w:rsidRPr="000D3E48" w:rsidRDefault="00951A61" w:rsidP="00A4032F">
            <w:pPr>
              <w:pStyle w:val="affe"/>
              <w:ind w:left="0"/>
              <w:jc w:val="center"/>
              <w:rPr>
                <w:rFonts w:ascii="Tahoma" w:hAnsi="Tahoma" w:cs="Tahoma"/>
                <w:sz w:val="20"/>
                <w:szCs w:val="20"/>
              </w:rPr>
            </w:pPr>
            <w:r w:rsidRPr="007E113A">
              <w:rPr>
                <w:rFonts w:ascii="Tahoma" w:hAnsi="Tahoma" w:cs="Tahoma"/>
                <w:sz w:val="20"/>
                <w:szCs w:val="20"/>
              </w:rPr>
              <w:t>плюс 0,30</w:t>
            </w:r>
          </w:p>
        </w:tc>
      </w:tr>
      <w:tr w:rsidR="00951A61" w:rsidRPr="001C7EB1" w14:paraId="3E0DD020" w14:textId="77777777" w:rsidTr="00A4032F">
        <w:trPr>
          <w:trHeight w:val="1006"/>
        </w:trPr>
        <w:tc>
          <w:tcPr>
            <w:tcW w:w="992" w:type="dxa"/>
          </w:tcPr>
          <w:p w14:paraId="38F59FD0" w14:textId="77777777" w:rsidR="00951A61" w:rsidRPr="001C7EB1" w:rsidRDefault="00951A61" w:rsidP="00A4032F">
            <w:pPr>
              <w:pStyle w:val="affe"/>
              <w:ind w:left="0"/>
              <w:rPr>
                <w:rFonts w:ascii="Tahoma" w:hAnsi="Tahoma" w:cs="Tahoma"/>
                <w:sz w:val="20"/>
                <w:szCs w:val="20"/>
              </w:rPr>
            </w:pPr>
            <w:r>
              <w:rPr>
                <w:rFonts w:ascii="Tahoma" w:hAnsi="Tahoma" w:cs="Tahoma"/>
                <w:sz w:val="20"/>
                <w:szCs w:val="20"/>
              </w:rPr>
              <w:t>3</w:t>
            </w:r>
            <w:r w:rsidRPr="001C7EB1">
              <w:rPr>
                <w:rFonts w:ascii="Tahoma" w:hAnsi="Tahoma" w:cs="Tahoma"/>
                <w:sz w:val="20"/>
                <w:szCs w:val="20"/>
              </w:rPr>
              <w:t>.</w:t>
            </w:r>
            <w:r>
              <w:rPr>
                <w:rFonts w:ascii="Tahoma" w:hAnsi="Tahoma" w:cs="Tahoma"/>
                <w:sz w:val="20"/>
                <w:szCs w:val="20"/>
              </w:rPr>
              <w:t>5</w:t>
            </w:r>
            <w:r w:rsidRPr="001C7EB1">
              <w:rPr>
                <w:rFonts w:ascii="Tahoma" w:hAnsi="Tahoma" w:cs="Tahoma"/>
                <w:sz w:val="20"/>
                <w:szCs w:val="20"/>
              </w:rPr>
              <w:t>.</w:t>
            </w:r>
          </w:p>
        </w:tc>
        <w:tc>
          <w:tcPr>
            <w:tcW w:w="10236" w:type="dxa"/>
          </w:tcPr>
          <w:p w14:paraId="4200D3CA" w14:textId="77777777" w:rsidR="00951A61" w:rsidRPr="00C713F4" w:rsidRDefault="00951A61" w:rsidP="00A4032F">
            <w:pPr>
              <w:pStyle w:val="affe"/>
              <w:ind w:left="0"/>
              <w:jc w:val="both"/>
              <w:rPr>
                <w:rFonts w:ascii="Tahoma" w:hAnsi="Tahoma" w:cs="Tahoma"/>
                <w:sz w:val="20"/>
                <w:szCs w:val="20"/>
              </w:rPr>
            </w:pPr>
            <w:r w:rsidRPr="00C713F4">
              <w:rPr>
                <w:rFonts w:ascii="Tahoma" w:hAnsi="Tahoma" w:cs="Tahoma"/>
                <w:sz w:val="20"/>
                <w:szCs w:val="20"/>
              </w:rPr>
              <w:t>Надбавка к процентной ставке за предоставление первоначального взноса в размере менее 30% от стоимости приобретаемого объекта недвижимости применяется в случае непогашения средствами МСК части Кредита в срок 2 месяца с даты выдачи Кредита на период до погашения части кредитных средств за счет МСК</w:t>
            </w:r>
            <w:r w:rsidRPr="00C713F4">
              <w:rPr>
                <w:rStyle w:val="aff3"/>
                <w:rFonts w:ascii="Tahoma" w:hAnsi="Tahoma" w:cs="Tahoma"/>
                <w:sz w:val="20"/>
                <w:szCs w:val="20"/>
              </w:rPr>
              <w:footnoteReference w:id="46"/>
            </w:r>
            <w:r w:rsidRPr="00C713F4">
              <w:rPr>
                <w:rFonts w:ascii="Tahoma" w:hAnsi="Tahoma" w:cs="Tahoma"/>
                <w:sz w:val="20"/>
                <w:szCs w:val="20"/>
              </w:rPr>
              <w:t>.</w:t>
            </w:r>
          </w:p>
        </w:tc>
        <w:tc>
          <w:tcPr>
            <w:tcW w:w="3739" w:type="dxa"/>
            <w:vAlign w:val="center"/>
          </w:tcPr>
          <w:p w14:paraId="34C9D56F" w14:textId="77777777" w:rsidR="00951A61" w:rsidRPr="000D3E48" w:rsidRDefault="00951A61" w:rsidP="00A4032F">
            <w:pPr>
              <w:pStyle w:val="affe"/>
              <w:ind w:left="0"/>
              <w:jc w:val="center"/>
              <w:rPr>
                <w:rFonts w:ascii="Tahoma" w:hAnsi="Tahoma" w:cs="Tahoma"/>
                <w:sz w:val="20"/>
                <w:szCs w:val="20"/>
              </w:rPr>
            </w:pPr>
            <w:r w:rsidRPr="000D3E48">
              <w:rPr>
                <w:rFonts w:ascii="Tahoma" w:hAnsi="Tahoma" w:cs="Tahoma"/>
                <w:sz w:val="20"/>
                <w:szCs w:val="20"/>
              </w:rPr>
              <w:t>плюс 0,30</w:t>
            </w:r>
          </w:p>
        </w:tc>
      </w:tr>
      <w:tr w:rsidR="00951A61" w:rsidRPr="001C7EB1" w14:paraId="068F61C9" w14:textId="77777777" w:rsidTr="00A4032F">
        <w:trPr>
          <w:trHeight w:val="312"/>
        </w:trPr>
        <w:tc>
          <w:tcPr>
            <w:tcW w:w="992" w:type="dxa"/>
            <w:vAlign w:val="center"/>
          </w:tcPr>
          <w:p w14:paraId="32F63C6F" w14:textId="77777777" w:rsidR="00951A61" w:rsidRPr="001C7EB1" w:rsidRDefault="00951A61" w:rsidP="00A4032F">
            <w:pPr>
              <w:pStyle w:val="affe"/>
              <w:ind w:left="0"/>
              <w:rPr>
                <w:rFonts w:ascii="Tahoma" w:hAnsi="Tahoma" w:cs="Tahoma"/>
                <w:sz w:val="20"/>
                <w:szCs w:val="20"/>
              </w:rPr>
            </w:pPr>
            <w:r>
              <w:rPr>
                <w:rFonts w:ascii="Tahoma" w:hAnsi="Tahoma" w:cs="Tahoma"/>
                <w:sz w:val="20"/>
                <w:szCs w:val="20"/>
              </w:rPr>
              <w:t>3</w:t>
            </w:r>
            <w:r w:rsidRPr="001C7EB1">
              <w:rPr>
                <w:rFonts w:ascii="Tahoma" w:hAnsi="Tahoma" w:cs="Tahoma"/>
                <w:sz w:val="20"/>
                <w:szCs w:val="20"/>
              </w:rPr>
              <w:t>.</w:t>
            </w:r>
            <w:r>
              <w:rPr>
                <w:rFonts w:ascii="Tahoma" w:hAnsi="Tahoma" w:cs="Tahoma"/>
                <w:sz w:val="20"/>
                <w:szCs w:val="20"/>
              </w:rPr>
              <w:t>6</w:t>
            </w:r>
            <w:r w:rsidRPr="001C7EB1">
              <w:rPr>
                <w:rFonts w:ascii="Tahoma" w:hAnsi="Tahoma" w:cs="Tahoma"/>
                <w:sz w:val="20"/>
                <w:szCs w:val="20"/>
              </w:rPr>
              <w:t xml:space="preserve">. </w:t>
            </w:r>
          </w:p>
        </w:tc>
        <w:tc>
          <w:tcPr>
            <w:tcW w:w="10236" w:type="dxa"/>
            <w:vAlign w:val="center"/>
          </w:tcPr>
          <w:p w14:paraId="2B793BE0" w14:textId="77777777" w:rsidR="00951A61" w:rsidRPr="00C713F4" w:rsidRDefault="00951A61" w:rsidP="00A4032F">
            <w:pPr>
              <w:rPr>
                <w:rFonts w:ascii="Tahoma" w:eastAsia="Calibri" w:hAnsi="Tahoma" w:cs="Tahoma"/>
                <w:sz w:val="20"/>
                <w:szCs w:val="20"/>
              </w:rPr>
            </w:pPr>
            <w:r w:rsidRPr="00C713F4">
              <w:rPr>
                <w:rFonts w:ascii="Tahoma" w:eastAsia="Calibri" w:hAnsi="Tahoma" w:cs="Tahoma"/>
                <w:sz w:val="20"/>
                <w:szCs w:val="20"/>
              </w:rPr>
              <w:t>До момента регистрации ипотеки в пользу Банка</w:t>
            </w:r>
            <w:r w:rsidRPr="00C713F4">
              <w:rPr>
                <w:rFonts w:ascii="Tahoma" w:hAnsi="Tahoma" w:cs="Tahoma"/>
                <w:sz w:val="20"/>
                <w:szCs w:val="20"/>
              </w:rPr>
              <w:t xml:space="preserve"> (при применении Опции «Залоговый»)</w:t>
            </w:r>
            <w:r w:rsidRPr="00C713F4">
              <w:rPr>
                <w:rStyle w:val="aff3"/>
                <w:rFonts w:ascii="Tahoma" w:hAnsi="Tahoma" w:cs="Tahoma"/>
                <w:sz w:val="20"/>
                <w:szCs w:val="20"/>
              </w:rPr>
              <w:footnoteReference w:id="47"/>
            </w:r>
            <w:r w:rsidRPr="00C713F4">
              <w:rPr>
                <w:rFonts w:ascii="Tahoma" w:hAnsi="Tahoma" w:cs="Tahoma"/>
                <w:sz w:val="20"/>
                <w:szCs w:val="20"/>
              </w:rPr>
              <w:t>.</w:t>
            </w:r>
          </w:p>
        </w:tc>
        <w:tc>
          <w:tcPr>
            <w:tcW w:w="3739" w:type="dxa"/>
            <w:vAlign w:val="center"/>
          </w:tcPr>
          <w:p w14:paraId="64FADA23" w14:textId="77777777" w:rsidR="00951A61" w:rsidRPr="000D3E48" w:rsidRDefault="00951A61" w:rsidP="00A4032F">
            <w:pPr>
              <w:pStyle w:val="affe"/>
              <w:ind w:left="0"/>
              <w:jc w:val="center"/>
              <w:rPr>
                <w:rFonts w:ascii="Tahoma" w:hAnsi="Tahoma" w:cs="Tahoma"/>
                <w:sz w:val="20"/>
                <w:szCs w:val="20"/>
              </w:rPr>
            </w:pPr>
            <w:r w:rsidRPr="007E113A">
              <w:rPr>
                <w:rFonts w:ascii="Tahoma" w:hAnsi="Tahoma" w:cs="Tahoma"/>
                <w:sz w:val="20"/>
                <w:szCs w:val="20"/>
              </w:rPr>
              <w:t>плюс 0,40</w:t>
            </w:r>
          </w:p>
        </w:tc>
      </w:tr>
      <w:tr w:rsidR="00951A61" w:rsidRPr="0089418D" w14:paraId="11D41B05" w14:textId="77777777" w:rsidTr="00A4032F">
        <w:trPr>
          <w:trHeight w:val="312"/>
        </w:trPr>
        <w:tc>
          <w:tcPr>
            <w:tcW w:w="992" w:type="dxa"/>
            <w:shd w:val="clear" w:color="auto" w:fill="auto"/>
            <w:vAlign w:val="center"/>
          </w:tcPr>
          <w:p w14:paraId="45A7132B" w14:textId="77777777" w:rsidR="00951A61" w:rsidRPr="00224293" w:rsidRDefault="00951A61" w:rsidP="00A4032F">
            <w:pPr>
              <w:pStyle w:val="affe"/>
              <w:ind w:left="0"/>
              <w:rPr>
                <w:rFonts w:ascii="Tahoma" w:hAnsi="Tahoma" w:cs="Tahoma"/>
                <w:sz w:val="20"/>
                <w:szCs w:val="20"/>
              </w:rPr>
            </w:pPr>
            <w:r w:rsidRPr="00224293">
              <w:rPr>
                <w:rFonts w:ascii="Tahoma" w:hAnsi="Tahoma" w:cs="Tahoma"/>
                <w:sz w:val="20"/>
                <w:szCs w:val="20"/>
              </w:rPr>
              <w:t>3.</w:t>
            </w:r>
            <w:r>
              <w:rPr>
                <w:rFonts w:ascii="Tahoma" w:hAnsi="Tahoma" w:cs="Tahoma"/>
                <w:sz w:val="20"/>
                <w:szCs w:val="20"/>
              </w:rPr>
              <w:t>7</w:t>
            </w:r>
            <w:r w:rsidRPr="00224293">
              <w:rPr>
                <w:rFonts w:ascii="Tahoma" w:hAnsi="Tahoma" w:cs="Tahoma"/>
                <w:sz w:val="20"/>
                <w:szCs w:val="20"/>
              </w:rPr>
              <w:t>.</w:t>
            </w:r>
          </w:p>
        </w:tc>
        <w:tc>
          <w:tcPr>
            <w:tcW w:w="10236" w:type="dxa"/>
            <w:vAlign w:val="center"/>
          </w:tcPr>
          <w:p w14:paraId="35972679" w14:textId="77777777" w:rsidR="00951A61" w:rsidRPr="00224293" w:rsidRDefault="00951A61" w:rsidP="00A4032F">
            <w:pPr>
              <w:rPr>
                <w:rFonts w:ascii="Tahoma" w:hAnsi="Tahoma" w:cs="Tahoma"/>
                <w:sz w:val="20"/>
                <w:szCs w:val="20"/>
              </w:rPr>
            </w:pPr>
            <w:r w:rsidRPr="00224293">
              <w:rPr>
                <w:rFonts w:ascii="Tahoma" w:hAnsi="Tahoma" w:cs="Tahoma"/>
                <w:sz w:val="20"/>
                <w:szCs w:val="20"/>
              </w:rPr>
              <w:t>Заемщик является клиентом партнера Банка, которому выплачивается вознаграждение по сделке от Банка</w:t>
            </w:r>
            <w:r w:rsidRPr="00224293">
              <w:rPr>
                <w:rStyle w:val="aff3"/>
                <w:rFonts w:ascii="Tahoma" w:hAnsi="Tahoma" w:cs="Tahoma"/>
                <w:sz w:val="20"/>
                <w:szCs w:val="20"/>
              </w:rPr>
              <w:footnoteReference w:id="48"/>
            </w:r>
          </w:p>
        </w:tc>
        <w:tc>
          <w:tcPr>
            <w:tcW w:w="3739" w:type="dxa"/>
            <w:vAlign w:val="center"/>
          </w:tcPr>
          <w:p w14:paraId="02ABBF3C" w14:textId="77777777" w:rsidR="00951A61" w:rsidRPr="000D3E48" w:rsidRDefault="00951A61" w:rsidP="00A4032F">
            <w:pPr>
              <w:pStyle w:val="affe"/>
              <w:ind w:left="0"/>
              <w:jc w:val="center"/>
              <w:rPr>
                <w:rFonts w:ascii="Tahoma" w:hAnsi="Tahoma" w:cs="Tahoma"/>
                <w:sz w:val="20"/>
                <w:szCs w:val="20"/>
              </w:rPr>
            </w:pPr>
            <w:r w:rsidRPr="007E113A">
              <w:rPr>
                <w:rFonts w:ascii="Tahoma" w:hAnsi="Tahoma" w:cs="Tahoma"/>
                <w:sz w:val="20"/>
                <w:szCs w:val="20"/>
              </w:rPr>
              <w:t>плюс 0,40</w:t>
            </w:r>
          </w:p>
        </w:tc>
      </w:tr>
    </w:tbl>
    <w:p w14:paraId="111D4778" w14:textId="77777777" w:rsidR="00951A61" w:rsidRPr="0089418D" w:rsidRDefault="00951A61" w:rsidP="00951A61">
      <w:pPr>
        <w:pStyle w:val="affe"/>
        <w:ind w:left="0" w:firstLine="426"/>
        <w:jc w:val="both"/>
        <w:rPr>
          <w:rFonts w:ascii="Tahoma" w:hAnsi="Tahoma" w:cs="Tahoma"/>
          <w:sz w:val="20"/>
          <w:szCs w:val="20"/>
        </w:rPr>
      </w:pPr>
    </w:p>
    <w:p w14:paraId="2B4B7700" w14:textId="77777777" w:rsidR="00951A61" w:rsidRPr="0023145E" w:rsidRDefault="00951A61" w:rsidP="00951A61">
      <w:pPr>
        <w:jc w:val="both"/>
        <w:rPr>
          <w:rFonts w:ascii="Tahoma" w:hAnsi="Tahoma" w:cs="Tahoma"/>
          <w:sz w:val="20"/>
          <w:szCs w:val="20"/>
        </w:rPr>
      </w:pPr>
      <w:r w:rsidRPr="00745677">
        <w:rPr>
          <w:rFonts w:ascii="Tahoma" w:hAnsi="Tahoma" w:cs="Tahoma"/>
          <w:b/>
          <w:sz w:val="20"/>
          <w:szCs w:val="20"/>
        </w:rPr>
        <w:t>5.</w:t>
      </w:r>
      <w:r w:rsidRPr="00745677">
        <w:rPr>
          <w:rFonts w:ascii="Tahoma" w:hAnsi="Tahoma" w:cs="Tahoma"/>
          <w:sz w:val="20"/>
          <w:szCs w:val="20"/>
        </w:rPr>
        <w:t xml:space="preserve"> </w:t>
      </w:r>
      <w:r w:rsidRPr="0023145E">
        <w:rPr>
          <w:rFonts w:ascii="Tahoma" w:hAnsi="Tahoma" w:cs="Tahoma"/>
          <w:b/>
          <w:sz w:val="20"/>
          <w:szCs w:val="20"/>
        </w:rPr>
        <w:t>Итоговая процентная ставка по ипотечному кредиту формируется по итогам суммирования дисконтов и надбавок и не может быть менее:</w:t>
      </w:r>
    </w:p>
    <w:p w14:paraId="0920FB84" w14:textId="77777777" w:rsidR="00951A61" w:rsidRPr="0023145E" w:rsidRDefault="00951A61" w:rsidP="00951A61">
      <w:pPr>
        <w:pStyle w:val="affe"/>
        <w:numPr>
          <w:ilvl w:val="0"/>
          <w:numId w:val="83"/>
        </w:numPr>
        <w:tabs>
          <w:tab w:val="left" w:pos="851"/>
        </w:tabs>
        <w:ind w:right="89"/>
        <w:contextualSpacing/>
        <w:jc w:val="both"/>
        <w:rPr>
          <w:rFonts w:ascii="Tahoma" w:hAnsi="Tahoma" w:cs="Tahoma"/>
          <w:b/>
          <w:sz w:val="20"/>
          <w:szCs w:val="20"/>
        </w:rPr>
      </w:pPr>
      <w:r w:rsidRPr="0023145E">
        <w:rPr>
          <w:rFonts w:ascii="Tahoma" w:hAnsi="Tahoma" w:cs="Tahoma"/>
          <w:b/>
          <w:sz w:val="20"/>
          <w:szCs w:val="20"/>
        </w:rPr>
        <w:t>23,50% годовых (для категории клиентов, указанных в п. 2.1.);</w:t>
      </w:r>
    </w:p>
    <w:p w14:paraId="515DB97D" w14:textId="77777777" w:rsidR="00951A61" w:rsidRPr="0023145E" w:rsidRDefault="00951A61" w:rsidP="00951A61">
      <w:pPr>
        <w:pStyle w:val="affe"/>
        <w:numPr>
          <w:ilvl w:val="0"/>
          <w:numId w:val="83"/>
        </w:numPr>
        <w:tabs>
          <w:tab w:val="left" w:pos="851"/>
        </w:tabs>
        <w:ind w:right="89"/>
        <w:contextualSpacing/>
        <w:jc w:val="both"/>
        <w:rPr>
          <w:rFonts w:ascii="Tahoma" w:hAnsi="Tahoma" w:cs="Tahoma"/>
          <w:b/>
          <w:sz w:val="20"/>
          <w:szCs w:val="20"/>
        </w:rPr>
      </w:pPr>
      <w:r w:rsidRPr="0023145E">
        <w:rPr>
          <w:rFonts w:ascii="Tahoma" w:hAnsi="Tahoma" w:cs="Tahoma"/>
          <w:b/>
          <w:sz w:val="20"/>
          <w:szCs w:val="20"/>
        </w:rPr>
        <w:t>24,00% годовых (для Заемщиков с официально подтвержденным доходом</w:t>
      </w:r>
      <w:r w:rsidRPr="0023145E">
        <w:t xml:space="preserve"> </w:t>
      </w:r>
      <w:r w:rsidRPr="0023145E">
        <w:rPr>
          <w:rFonts w:ascii="Tahoma" w:hAnsi="Tahoma" w:cs="Tahoma"/>
          <w:b/>
          <w:sz w:val="20"/>
          <w:szCs w:val="20"/>
        </w:rPr>
        <w:t>и Зарплатных клиентов Банка);</w:t>
      </w:r>
    </w:p>
    <w:p w14:paraId="13A1D5A4" w14:textId="77777777" w:rsidR="00951A61" w:rsidRPr="00C713F4" w:rsidRDefault="00951A61" w:rsidP="00951A61">
      <w:pPr>
        <w:pStyle w:val="affe"/>
        <w:numPr>
          <w:ilvl w:val="0"/>
          <w:numId w:val="83"/>
        </w:numPr>
        <w:tabs>
          <w:tab w:val="left" w:pos="851"/>
        </w:tabs>
        <w:ind w:right="89"/>
        <w:contextualSpacing/>
        <w:jc w:val="both"/>
        <w:rPr>
          <w:rFonts w:ascii="Tahoma" w:hAnsi="Tahoma" w:cs="Tahoma"/>
          <w:b/>
          <w:sz w:val="20"/>
          <w:szCs w:val="20"/>
        </w:rPr>
      </w:pPr>
      <w:r w:rsidRPr="0023145E">
        <w:rPr>
          <w:rFonts w:ascii="Tahoma" w:hAnsi="Tahoma" w:cs="Tahoma"/>
          <w:b/>
          <w:sz w:val="20"/>
          <w:szCs w:val="20"/>
        </w:rPr>
        <w:t>24,30% годовых</w:t>
      </w:r>
      <w:r w:rsidRPr="00C713F4">
        <w:rPr>
          <w:rFonts w:ascii="Tahoma" w:hAnsi="Tahoma" w:cs="Tahoma"/>
          <w:b/>
          <w:sz w:val="20"/>
          <w:szCs w:val="20"/>
        </w:rPr>
        <w:t xml:space="preserve"> (для клиентов, не относящихся к категории Заемщиков с официально подтвержденным доходом и не являющихся Зарплатными клиентами Банка/ работниками Банка).</w:t>
      </w:r>
    </w:p>
    <w:p w14:paraId="428DB744" w14:textId="77777777" w:rsidR="00951A61" w:rsidRPr="0089418D" w:rsidRDefault="00951A61" w:rsidP="00951A61">
      <w:pPr>
        <w:rPr>
          <w:rFonts w:ascii="Tahoma" w:hAnsi="Tahoma" w:cs="Tahoma"/>
          <w:sz w:val="18"/>
          <w:szCs w:val="20"/>
        </w:rPr>
      </w:pPr>
    </w:p>
    <w:p w14:paraId="51BC7881" w14:textId="77777777" w:rsidR="00951A61" w:rsidRPr="0089418D" w:rsidRDefault="00951A61" w:rsidP="00951A61">
      <w:pPr>
        <w:pageBreakBefore/>
        <w:jc w:val="right"/>
        <w:rPr>
          <w:rFonts w:ascii="Tahoma" w:hAnsi="Tahoma" w:cs="Tahoma"/>
          <w:sz w:val="18"/>
          <w:szCs w:val="20"/>
        </w:rPr>
      </w:pPr>
      <w:r w:rsidRPr="0089418D">
        <w:rPr>
          <w:rFonts w:ascii="Tahoma" w:hAnsi="Tahoma" w:cs="Tahoma"/>
          <w:sz w:val="18"/>
          <w:szCs w:val="20"/>
        </w:rPr>
        <w:lastRenderedPageBreak/>
        <w:t>Приложение №2</w:t>
      </w:r>
    </w:p>
    <w:p w14:paraId="4667CDAC" w14:textId="77777777" w:rsidR="00951A61" w:rsidRPr="0089418D" w:rsidRDefault="00951A61" w:rsidP="00951A61">
      <w:pPr>
        <w:jc w:val="right"/>
        <w:rPr>
          <w:rFonts w:ascii="Tahoma" w:hAnsi="Tahoma" w:cs="Tahoma"/>
          <w:noProof/>
          <w:sz w:val="18"/>
          <w:szCs w:val="20"/>
        </w:rPr>
      </w:pPr>
      <w:r w:rsidRPr="0089418D">
        <w:rPr>
          <w:rFonts w:ascii="Tahoma" w:hAnsi="Tahoma" w:cs="Tahoma"/>
          <w:noProof/>
          <w:sz w:val="18"/>
          <w:szCs w:val="20"/>
        </w:rPr>
        <w:t xml:space="preserve">к основным условиях предоставления, использования и возврата </w:t>
      </w:r>
    </w:p>
    <w:p w14:paraId="174A0D0A" w14:textId="77777777" w:rsidR="00951A61" w:rsidRPr="0089418D" w:rsidRDefault="00951A61" w:rsidP="00951A61">
      <w:pPr>
        <w:jc w:val="right"/>
        <w:rPr>
          <w:rFonts w:ascii="Tahoma" w:hAnsi="Tahoma" w:cs="Tahoma"/>
          <w:sz w:val="18"/>
          <w:szCs w:val="20"/>
        </w:rPr>
      </w:pPr>
      <w:r w:rsidRPr="0089418D">
        <w:rPr>
          <w:rFonts w:ascii="Tahoma" w:hAnsi="Tahoma" w:cs="Tahoma"/>
          <w:noProof/>
          <w:sz w:val="18"/>
          <w:szCs w:val="20"/>
        </w:rPr>
        <w:t>ипотечного кредита по тарифному плану «Готовое жилье»</w:t>
      </w:r>
    </w:p>
    <w:p w14:paraId="0EE2EC09" w14:textId="77777777" w:rsidR="00951A61" w:rsidRPr="0089418D" w:rsidRDefault="00951A61" w:rsidP="00951A61">
      <w:pPr>
        <w:jc w:val="center"/>
        <w:rPr>
          <w:rFonts w:ascii="Tahoma" w:hAnsi="Tahoma" w:cs="Tahoma"/>
          <w:b/>
          <w:sz w:val="18"/>
          <w:szCs w:val="18"/>
        </w:rPr>
      </w:pPr>
    </w:p>
    <w:p w14:paraId="3285DFF9" w14:textId="77777777" w:rsidR="00951A61" w:rsidRPr="0089418D" w:rsidRDefault="00951A61" w:rsidP="00951A61">
      <w:pPr>
        <w:jc w:val="center"/>
        <w:rPr>
          <w:rFonts w:ascii="Tahoma" w:hAnsi="Tahoma" w:cs="Tahoma"/>
          <w:b/>
          <w:sz w:val="20"/>
          <w:szCs w:val="20"/>
        </w:rPr>
      </w:pPr>
      <w:r w:rsidRPr="0089418D">
        <w:rPr>
          <w:rFonts w:ascii="Tahoma" w:hAnsi="Tahoma" w:cs="Tahoma"/>
          <w:b/>
          <w:sz w:val="20"/>
          <w:szCs w:val="20"/>
        </w:rPr>
        <w:t>ДОПОЛНИТЕЛЬНЫЕ ТРЕБОВАНИЯ К ФОРМУЛИРОВКАМ ЗАКЛЮЧАЕМОГО ДОГОВОРА КУПЛИ-ПРОДАЖИ</w:t>
      </w:r>
      <w:r>
        <w:rPr>
          <w:rFonts w:ascii="Tahoma" w:hAnsi="Tahoma" w:cs="Tahoma"/>
          <w:b/>
          <w:sz w:val="20"/>
          <w:szCs w:val="20"/>
        </w:rPr>
        <w:t xml:space="preserve"> (далее – ДКП)</w:t>
      </w:r>
      <w:r w:rsidRPr="0089418D">
        <w:rPr>
          <w:rFonts w:ascii="Tahoma" w:hAnsi="Tahoma" w:cs="Tahoma"/>
          <w:b/>
          <w:sz w:val="20"/>
          <w:szCs w:val="20"/>
        </w:rPr>
        <w:t xml:space="preserve"> МЕЖДУ ПРОДАВЦОМ ПРЕДМЕТА ИПОТЕКИ И ЗАЕМЩИКОМ, А ТАКЖЕ К ОФОРМЛЯЕМЫМ ДОВЕРЕННОСТЯМ </w:t>
      </w:r>
    </w:p>
    <w:p w14:paraId="54EE30F7" w14:textId="77777777" w:rsidR="00951A61" w:rsidRPr="0089418D" w:rsidRDefault="00951A61" w:rsidP="00951A61">
      <w:pPr>
        <w:jc w:val="center"/>
        <w:rPr>
          <w:rFonts w:ascii="Tahoma" w:hAnsi="Tahoma" w:cs="Tahoma"/>
          <w:b/>
          <w:sz w:val="20"/>
          <w:szCs w:val="20"/>
        </w:rPr>
      </w:pPr>
      <w:r w:rsidRPr="0089418D">
        <w:rPr>
          <w:rFonts w:ascii="Tahoma" w:hAnsi="Tahoma" w:cs="Tahoma"/>
          <w:b/>
          <w:sz w:val="20"/>
          <w:szCs w:val="20"/>
        </w:rPr>
        <w:t>(ПРИ ПРИМЕНЕНИИ ОПЦИИ «ЗАЛОГОВЫЙ»)</w:t>
      </w:r>
    </w:p>
    <w:p w14:paraId="50D967F2" w14:textId="77777777" w:rsidR="00951A61" w:rsidRPr="0089418D" w:rsidRDefault="00951A61" w:rsidP="00951A61">
      <w:pPr>
        <w:jc w:val="center"/>
        <w:rPr>
          <w:rFonts w:ascii="Tahoma" w:hAnsi="Tahoma" w:cs="Tahoma"/>
          <w:b/>
          <w:sz w:val="20"/>
          <w:szCs w:val="20"/>
        </w:rPr>
      </w:pPr>
    </w:p>
    <w:p w14:paraId="3F757E30" w14:textId="77777777" w:rsidR="00951A61" w:rsidRPr="0089418D" w:rsidRDefault="00951A61" w:rsidP="00951A61">
      <w:pPr>
        <w:pStyle w:val="affe"/>
        <w:numPr>
          <w:ilvl w:val="0"/>
          <w:numId w:val="69"/>
        </w:numPr>
        <w:suppressAutoHyphens/>
        <w:ind w:left="0" w:right="23" w:firstLine="0"/>
        <w:contextualSpacing/>
        <w:jc w:val="both"/>
        <w:rPr>
          <w:rFonts w:ascii="Tahoma" w:hAnsi="Tahoma" w:cs="Tahoma"/>
          <w:sz w:val="20"/>
          <w:szCs w:val="20"/>
        </w:rPr>
      </w:pPr>
      <w:r w:rsidRPr="0089418D">
        <w:rPr>
          <w:rFonts w:ascii="Tahoma" w:hAnsi="Tahoma" w:cs="Tahoma"/>
          <w:sz w:val="20"/>
          <w:szCs w:val="20"/>
        </w:rPr>
        <w:t>Дополнительные требования к Договору купли-продажи:</w:t>
      </w:r>
    </w:p>
    <w:tbl>
      <w:tblPr>
        <w:tblW w:w="4974"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38"/>
        <w:gridCol w:w="8674"/>
      </w:tblGrid>
      <w:tr w:rsidR="00951A61" w:rsidRPr="0089418D" w14:paraId="585A82C7" w14:textId="77777777" w:rsidTr="00A4032F">
        <w:tc>
          <w:tcPr>
            <w:tcW w:w="2222" w:type="pct"/>
            <w:shd w:val="clear" w:color="auto" w:fill="auto"/>
          </w:tcPr>
          <w:p w14:paraId="1976D806" w14:textId="77777777" w:rsidR="00951A61" w:rsidRPr="0089418D" w:rsidRDefault="00951A61" w:rsidP="00A4032F">
            <w:pPr>
              <w:rPr>
                <w:rFonts w:ascii="Tahoma" w:hAnsi="Tahoma" w:cs="Tahoma"/>
                <w:sz w:val="20"/>
                <w:szCs w:val="20"/>
              </w:rPr>
            </w:pPr>
            <w:r w:rsidRPr="0089418D">
              <w:rPr>
                <w:rFonts w:ascii="Tahoma" w:hAnsi="Tahoma" w:cs="Tahoma"/>
                <w:b/>
                <w:sz w:val="20"/>
                <w:szCs w:val="20"/>
              </w:rPr>
              <w:t>Требование к содержанию положений ДКП</w:t>
            </w:r>
          </w:p>
        </w:tc>
        <w:tc>
          <w:tcPr>
            <w:tcW w:w="2778" w:type="pct"/>
          </w:tcPr>
          <w:p w14:paraId="7F4A16D2" w14:textId="77777777" w:rsidR="00951A61" w:rsidRPr="0089418D" w:rsidRDefault="00951A61" w:rsidP="00A4032F">
            <w:pPr>
              <w:pStyle w:val="affe"/>
              <w:ind w:left="0"/>
              <w:rPr>
                <w:rFonts w:ascii="Tahoma" w:hAnsi="Tahoma" w:cs="Tahoma"/>
                <w:sz w:val="20"/>
                <w:szCs w:val="20"/>
              </w:rPr>
            </w:pPr>
            <w:r w:rsidRPr="0089418D">
              <w:rPr>
                <w:rFonts w:ascii="Tahoma" w:hAnsi="Tahoma" w:cs="Tahoma"/>
                <w:b/>
                <w:sz w:val="20"/>
                <w:szCs w:val="20"/>
              </w:rPr>
              <w:t>Пример пункта в ДКП</w:t>
            </w:r>
          </w:p>
        </w:tc>
      </w:tr>
      <w:tr w:rsidR="00951A61" w:rsidRPr="0089418D" w14:paraId="07E7EF25" w14:textId="77777777" w:rsidTr="00A4032F">
        <w:tc>
          <w:tcPr>
            <w:tcW w:w="2222" w:type="pct"/>
            <w:shd w:val="clear" w:color="auto" w:fill="auto"/>
          </w:tcPr>
          <w:p w14:paraId="2357FC50" w14:textId="77777777" w:rsidR="00951A61" w:rsidRPr="0089418D" w:rsidRDefault="00951A61" w:rsidP="00A4032F">
            <w:pPr>
              <w:jc w:val="both"/>
              <w:rPr>
                <w:rFonts w:ascii="Tahoma" w:hAnsi="Tahoma" w:cs="Tahoma"/>
                <w:sz w:val="20"/>
                <w:szCs w:val="20"/>
              </w:rPr>
            </w:pPr>
            <w:r w:rsidRPr="0089418D">
              <w:rPr>
                <w:rFonts w:ascii="Tahoma" w:hAnsi="Tahoma" w:cs="Tahoma"/>
                <w:sz w:val="20"/>
                <w:szCs w:val="20"/>
              </w:rPr>
              <w:t xml:space="preserve">Требование </w:t>
            </w:r>
            <w:r>
              <w:rPr>
                <w:rFonts w:ascii="Tahoma" w:hAnsi="Tahoma" w:cs="Tahoma"/>
                <w:sz w:val="20"/>
                <w:szCs w:val="20"/>
              </w:rPr>
              <w:t>об</w:t>
            </w:r>
            <w:r w:rsidRPr="0089418D">
              <w:rPr>
                <w:rFonts w:ascii="Tahoma" w:hAnsi="Tahoma" w:cs="Tahoma"/>
                <w:sz w:val="20"/>
                <w:szCs w:val="20"/>
              </w:rPr>
              <w:t xml:space="preserve"> обязанности продавца Предмета ипотеки использовать полученные от продажи денежные средства на погашение задолженности по ипотечному кредиту в банке-залогодержателе и обязанность самостоятельно погасить разницу между перечисленной суммой в рамках заключенного ДКП и суммой, необходимой для полного погашения Кредита продавца Предмета ипотеки, за счет собственных средств продавца Предмета ипотеки</w:t>
            </w:r>
          </w:p>
          <w:p w14:paraId="017751BF" w14:textId="77777777" w:rsidR="00951A61" w:rsidRPr="0089418D" w:rsidRDefault="00951A61" w:rsidP="00A4032F">
            <w:pPr>
              <w:jc w:val="both"/>
              <w:rPr>
                <w:rFonts w:ascii="Tahoma" w:hAnsi="Tahoma" w:cs="Tahoma"/>
                <w:sz w:val="20"/>
                <w:szCs w:val="20"/>
              </w:rPr>
            </w:pPr>
          </w:p>
        </w:tc>
        <w:tc>
          <w:tcPr>
            <w:tcW w:w="2778" w:type="pct"/>
          </w:tcPr>
          <w:p w14:paraId="5987C734" w14:textId="77777777" w:rsidR="00951A61" w:rsidRPr="0089418D" w:rsidRDefault="00951A61" w:rsidP="00A4032F">
            <w:pPr>
              <w:pStyle w:val="affe"/>
              <w:ind w:left="0"/>
              <w:jc w:val="both"/>
              <w:rPr>
                <w:rFonts w:ascii="Tahoma" w:hAnsi="Tahoma" w:cs="Tahoma"/>
                <w:sz w:val="20"/>
                <w:szCs w:val="20"/>
              </w:rPr>
            </w:pPr>
            <w:r w:rsidRPr="0089418D">
              <w:rPr>
                <w:rFonts w:ascii="Tahoma" w:hAnsi="Tahoma" w:cs="Tahoma"/>
                <w:sz w:val="20"/>
                <w:szCs w:val="20"/>
              </w:rPr>
              <w:t xml:space="preserve">Продавец обязуется денежные средства, полученные в соответствии с пунктом </w:t>
            </w:r>
            <w:r w:rsidRPr="0089418D">
              <w:rPr>
                <w:rFonts w:ascii="Tahoma" w:hAnsi="Tahoma" w:cs="Tahoma"/>
                <w:i/>
                <w:sz w:val="20"/>
                <w:szCs w:val="20"/>
              </w:rPr>
              <w:t>(указание конкретного пункта ДКП)</w:t>
            </w:r>
            <w:r w:rsidRPr="0089418D">
              <w:rPr>
                <w:rFonts w:ascii="Tahoma" w:hAnsi="Tahoma" w:cs="Tahoma"/>
                <w:sz w:val="20"/>
                <w:szCs w:val="20"/>
              </w:rPr>
              <w:t xml:space="preserve"> настоящего Договора,</w:t>
            </w:r>
            <w:r>
              <w:rPr>
                <w:rFonts w:ascii="Tahoma" w:hAnsi="Tahoma" w:cs="Tahoma"/>
                <w:sz w:val="20"/>
                <w:szCs w:val="20"/>
              </w:rPr>
              <w:t xml:space="preserve"> не позднее … г.</w:t>
            </w:r>
            <w:r w:rsidRPr="0089418D">
              <w:rPr>
                <w:rFonts w:ascii="Tahoma" w:hAnsi="Tahoma" w:cs="Tahoma"/>
                <w:sz w:val="20"/>
                <w:szCs w:val="20"/>
              </w:rPr>
              <w:t xml:space="preserve"> направить на погашение задолженности по Кредитному договору №………. от ……… года, заключенному с </w:t>
            </w:r>
            <w:r w:rsidRPr="0089418D">
              <w:rPr>
                <w:rFonts w:ascii="Tahoma" w:hAnsi="Tahoma" w:cs="Tahoma"/>
                <w:i/>
                <w:sz w:val="20"/>
                <w:szCs w:val="20"/>
              </w:rPr>
              <w:t>(наименование банка-залогодержателя)</w:t>
            </w:r>
            <w:r w:rsidRPr="0089418D">
              <w:rPr>
                <w:rFonts w:ascii="Tahoma" w:hAnsi="Tahoma" w:cs="Tahoma"/>
                <w:sz w:val="20"/>
                <w:szCs w:val="20"/>
              </w:rPr>
              <w:t xml:space="preserve"> в полном объеме. </w:t>
            </w:r>
          </w:p>
          <w:p w14:paraId="48F20649" w14:textId="77777777" w:rsidR="00951A61" w:rsidRPr="0089418D" w:rsidRDefault="00951A61" w:rsidP="00A4032F">
            <w:pPr>
              <w:pStyle w:val="affe"/>
              <w:ind w:left="0"/>
              <w:jc w:val="both"/>
              <w:rPr>
                <w:rFonts w:ascii="Tahoma" w:hAnsi="Tahoma" w:cs="Tahoma"/>
                <w:sz w:val="20"/>
                <w:szCs w:val="20"/>
              </w:rPr>
            </w:pPr>
            <w:r w:rsidRPr="0089418D">
              <w:rPr>
                <w:rFonts w:ascii="Tahoma" w:hAnsi="Tahoma" w:cs="Tahoma"/>
                <w:sz w:val="20"/>
                <w:szCs w:val="20"/>
              </w:rPr>
              <w:t xml:space="preserve">В случае недостаточности полученных денежных средств по настоящему Договору в соответствии с пунктом </w:t>
            </w:r>
            <w:r w:rsidRPr="0089418D">
              <w:rPr>
                <w:rFonts w:ascii="Tahoma" w:hAnsi="Tahoma" w:cs="Tahoma"/>
                <w:i/>
                <w:sz w:val="20"/>
                <w:szCs w:val="20"/>
              </w:rPr>
              <w:t>(указание конкретного пункта ДКП)</w:t>
            </w:r>
            <w:r w:rsidRPr="0089418D">
              <w:rPr>
                <w:rFonts w:ascii="Tahoma" w:hAnsi="Tahoma" w:cs="Tahoma"/>
                <w:sz w:val="20"/>
                <w:szCs w:val="20"/>
              </w:rPr>
              <w:t xml:space="preserve"> для полного погашения задолженности по Кредитному договору №……… от …….. года, заключенному с </w:t>
            </w:r>
            <w:r w:rsidRPr="0089418D">
              <w:rPr>
                <w:rFonts w:ascii="Tahoma" w:hAnsi="Tahoma" w:cs="Tahoma"/>
                <w:i/>
                <w:sz w:val="20"/>
                <w:szCs w:val="20"/>
              </w:rPr>
              <w:t>(наименование банка-залогодержателя)</w:t>
            </w:r>
            <w:r w:rsidRPr="0089418D">
              <w:rPr>
                <w:rFonts w:ascii="Tahoma" w:hAnsi="Tahoma" w:cs="Tahoma"/>
                <w:sz w:val="20"/>
                <w:szCs w:val="20"/>
              </w:rPr>
              <w:t>, Продавец обязуется</w:t>
            </w:r>
            <w:r>
              <w:rPr>
                <w:rFonts w:ascii="Tahoma" w:hAnsi="Tahoma" w:cs="Tahoma"/>
                <w:sz w:val="20"/>
                <w:szCs w:val="20"/>
              </w:rPr>
              <w:t xml:space="preserve"> не позднее … г.</w:t>
            </w:r>
            <w:r w:rsidRPr="0089418D">
              <w:rPr>
                <w:rFonts w:ascii="Tahoma" w:hAnsi="Tahoma" w:cs="Tahoma"/>
                <w:sz w:val="20"/>
                <w:szCs w:val="20"/>
              </w:rPr>
              <w:t xml:space="preserve"> оплатить необходимую разницу самостоятельно в целях полного погашения Кредита по Кредитному договору №……… от ……. года.  </w:t>
            </w:r>
          </w:p>
        </w:tc>
      </w:tr>
    </w:tbl>
    <w:p w14:paraId="67CE2300" w14:textId="77777777" w:rsidR="00951A61" w:rsidRPr="0089418D" w:rsidRDefault="00951A61" w:rsidP="00951A61">
      <w:pPr>
        <w:pStyle w:val="affe"/>
        <w:suppressAutoHyphens/>
        <w:ind w:left="0" w:right="23"/>
        <w:jc w:val="both"/>
        <w:rPr>
          <w:rFonts w:ascii="Tahoma" w:hAnsi="Tahoma" w:cs="Tahoma"/>
          <w:sz w:val="20"/>
          <w:szCs w:val="20"/>
        </w:rPr>
      </w:pPr>
    </w:p>
    <w:p w14:paraId="6A21988E" w14:textId="77777777" w:rsidR="00951A61" w:rsidRPr="0089418D" w:rsidRDefault="00951A61" w:rsidP="00951A61">
      <w:pPr>
        <w:pStyle w:val="affe"/>
        <w:numPr>
          <w:ilvl w:val="0"/>
          <w:numId w:val="69"/>
        </w:numPr>
        <w:suppressAutoHyphens/>
        <w:ind w:left="0" w:right="23" w:firstLine="0"/>
        <w:contextualSpacing/>
        <w:jc w:val="both"/>
        <w:rPr>
          <w:rFonts w:ascii="Tahoma" w:hAnsi="Tahoma" w:cs="Tahoma"/>
          <w:sz w:val="20"/>
          <w:szCs w:val="20"/>
        </w:rPr>
      </w:pPr>
      <w:r w:rsidRPr="0089418D">
        <w:rPr>
          <w:rFonts w:ascii="Tahoma" w:hAnsi="Tahoma" w:cs="Tahoma"/>
          <w:sz w:val="20"/>
          <w:szCs w:val="20"/>
        </w:rPr>
        <w:t xml:space="preserve"> Перечень обязательных полномочий в доверенностях, предоставленных Заемщиком и продавцом Предмета ипотеки (</w:t>
      </w:r>
      <w:r w:rsidRPr="0089418D">
        <w:rPr>
          <w:rFonts w:ascii="Tahoma" w:hAnsi="Tahoma" w:cs="Tahoma"/>
          <w:b/>
          <w:sz w:val="20"/>
          <w:szCs w:val="20"/>
        </w:rPr>
        <w:t>формулировки в оформленных доверенностях могут быть изложены иным образом при сохранении смысла и сути полномочий</w:t>
      </w:r>
      <w:r w:rsidRPr="0089418D">
        <w:rPr>
          <w:rFonts w:ascii="Tahoma" w:hAnsi="Tahoma" w:cs="Tahoma"/>
          <w:sz w:val="20"/>
          <w:szCs w:val="20"/>
        </w:rPr>
        <w:t>):</w:t>
      </w:r>
    </w:p>
    <w:p w14:paraId="25E66C75" w14:textId="77777777" w:rsidR="00951A61" w:rsidRPr="0089418D" w:rsidRDefault="00951A61" w:rsidP="00951A61">
      <w:pPr>
        <w:pStyle w:val="affe"/>
        <w:suppressAutoHyphens/>
        <w:ind w:left="0" w:right="23"/>
        <w:jc w:val="both"/>
        <w:rPr>
          <w:rFonts w:ascii="Tahoma" w:hAnsi="Tahoma" w:cs="Tahoma"/>
          <w:sz w:val="20"/>
          <w:szCs w:val="20"/>
        </w:rPr>
      </w:pPr>
    </w:p>
    <w:p w14:paraId="13DB9B6C" w14:textId="77777777" w:rsidR="00951A61" w:rsidRPr="0089418D" w:rsidRDefault="00951A61" w:rsidP="00951A61">
      <w:pPr>
        <w:pStyle w:val="affe"/>
        <w:suppressAutoHyphens/>
        <w:ind w:left="0" w:right="23"/>
        <w:jc w:val="both"/>
        <w:rPr>
          <w:rFonts w:ascii="Tahoma" w:hAnsi="Tahoma" w:cs="Tahoma"/>
          <w:sz w:val="20"/>
          <w:szCs w:val="20"/>
        </w:rPr>
      </w:pPr>
      <w:r w:rsidRPr="0089418D">
        <w:rPr>
          <w:rFonts w:ascii="Tahoma" w:hAnsi="Tahoma" w:cs="Tahoma"/>
          <w:b/>
          <w:sz w:val="20"/>
          <w:szCs w:val="20"/>
        </w:rPr>
        <w:t>2.1.</w:t>
      </w:r>
      <w:r w:rsidRPr="0089418D">
        <w:rPr>
          <w:rFonts w:ascii="Tahoma" w:hAnsi="Tahoma" w:cs="Tahoma"/>
          <w:sz w:val="20"/>
          <w:szCs w:val="20"/>
        </w:rPr>
        <w:tab/>
        <w:t>В доверенности от продавца Предмета ипотеки должны быть указаны полномочия на осуществление регистрационных действий, на осуществление действий по полному досрочному погашению задолженности продавца Предмета ипотеки перед банком-залогодержателем с правом получения погашенной закладной в банке-залогодержателе, на снятие обременения банка-залогодержателя, а именно:</w:t>
      </w:r>
    </w:p>
    <w:p w14:paraId="6AE64CAF" w14:textId="77777777" w:rsidR="00951A61" w:rsidRPr="0089418D" w:rsidRDefault="00951A61" w:rsidP="00951A61">
      <w:pPr>
        <w:pStyle w:val="affe"/>
        <w:suppressAutoHyphens/>
        <w:ind w:left="0" w:right="23"/>
        <w:jc w:val="both"/>
        <w:rPr>
          <w:rFonts w:ascii="Tahoma" w:hAnsi="Tahoma" w:cs="Tahoma"/>
          <w:sz w:val="20"/>
          <w:szCs w:val="20"/>
        </w:rPr>
      </w:pPr>
    </w:p>
    <w:p w14:paraId="2018B63C" w14:textId="77777777" w:rsidR="00951A61" w:rsidRPr="0089418D" w:rsidRDefault="00951A61" w:rsidP="00951A61">
      <w:pPr>
        <w:pStyle w:val="affe"/>
        <w:suppressAutoHyphens/>
        <w:ind w:left="0" w:right="23"/>
        <w:jc w:val="both"/>
        <w:rPr>
          <w:rFonts w:ascii="Tahoma" w:hAnsi="Tahoma" w:cs="Tahoma"/>
          <w:sz w:val="20"/>
          <w:szCs w:val="20"/>
        </w:rPr>
      </w:pPr>
      <w:r w:rsidRPr="0089418D">
        <w:rPr>
          <w:rFonts w:ascii="Tahoma" w:hAnsi="Tahoma" w:cs="Tahoma"/>
          <w:sz w:val="20"/>
          <w:szCs w:val="20"/>
        </w:rPr>
        <w:t>1. право осуществлять погашение Кредита по Кредитному договору №____ от ____, заключенному с __________ (наименование банка-залогодержателя) в г. ____________, в том числе осуществлять частичное или полное досрочное погашение, подавать и подписывать необходимые заявления, в том числе заявление на полное и (или) частичное досрочное погашение Кредита, уточнять сумму погашения, получать выписки, графики платежей, справки об остатке ссудной задолженности, вести переговоры с __________ (наименование банка-залогодержателя) по вопросам погашения задолженности по Кредиту, получать справки о погашении Кредита, получать в __________ (наименование банка-залогодержателя) все необходимые документы для погашения ипотеки (залога) в отношении следующего имущества: «указывается полный адрес и кадастровый/условный номер (при наличии) недвижимости», получить закладную, погасить регистрационную запись об ипотеке, для чего вправе подавать необходимые документы и заявления в Федеральную службу государственной регистрации, кадастра и картографии и ее любые подразделения, ФГБУ «Федеральная кадастровая палата Федеральной службы государственной регистрации, кадастра и картографии» и ее любые подразделения, Многофункциональный центр предоставления государственных и муниципальных услуг, производить оплату необходимых тарифов, сборов и пошлин, получать любые документы после погашения записи об ипотеке, в том числе закладную, выписку из единого государственного реестра недвижимости и иные документы.</w:t>
      </w:r>
    </w:p>
    <w:p w14:paraId="6F13DB8F" w14:textId="77777777" w:rsidR="00951A61" w:rsidRPr="0089418D" w:rsidRDefault="00951A61" w:rsidP="00951A61">
      <w:pPr>
        <w:pStyle w:val="affe"/>
        <w:suppressAutoHyphens/>
        <w:ind w:left="0" w:right="23"/>
        <w:jc w:val="both"/>
        <w:rPr>
          <w:rFonts w:ascii="Tahoma" w:hAnsi="Tahoma" w:cs="Tahoma"/>
          <w:sz w:val="20"/>
          <w:szCs w:val="20"/>
        </w:rPr>
      </w:pPr>
    </w:p>
    <w:p w14:paraId="67DAECE4" w14:textId="77777777" w:rsidR="00951A61" w:rsidRPr="0089418D" w:rsidRDefault="00951A61" w:rsidP="00951A61">
      <w:pPr>
        <w:pStyle w:val="affe"/>
        <w:suppressAutoHyphens/>
        <w:ind w:left="0" w:right="23"/>
        <w:jc w:val="both"/>
        <w:rPr>
          <w:rFonts w:ascii="Tahoma" w:hAnsi="Tahoma" w:cs="Tahoma"/>
          <w:sz w:val="20"/>
          <w:szCs w:val="20"/>
        </w:rPr>
      </w:pPr>
      <w:r w:rsidRPr="0089418D">
        <w:rPr>
          <w:rFonts w:ascii="Tahoma" w:hAnsi="Tahoma" w:cs="Tahoma"/>
          <w:sz w:val="20"/>
          <w:szCs w:val="20"/>
        </w:rPr>
        <w:t xml:space="preserve">2. Представлять интересы доверителя в органах Федеральной службы государственной регистрации, кадастра и картографии и ее любых подразделениях, ФГБУ «Федеральная кадастровая палата  Федеральной службы государственной регистрации, кадастра и картографии» и ее любых подразделениях, Многофункциональном центре предоставления государственных и муниципальных услуг по вопросам продажи недвижимости, расположенной по адресу: _______________________ (адрес и </w:t>
      </w:r>
      <w:r w:rsidRPr="0089418D">
        <w:rPr>
          <w:rFonts w:ascii="Tahoma" w:hAnsi="Tahoma" w:cs="Tahoma"/>
          <w:sz w:val="20"/>
          <w:szCs w:val="20"/>
        </w:rPr>
        <w:lastRenderedPageBreak/>
        <w:t>кадастровый/условный номер (при наличии) продаваемой недвижимости) и погашения регистрационной записи об ипотеке в пользу ___ (наименование банка-залогодержателя), для чего предоставляю право делать от имени доверителя любые запросы и заявления, в том числе заявления о государственной регистрации права собственности, приостановлении либо прекращении государственной регистрации, о предоставлении информации о зарегистрированных правах на объект недвижимого имущества, о внесении изменений в единый государственный реестр недвижимости, снятии обременений  (ограничений), о погашении регистрационных записей, с правом подачи заявления о приостановлении, прекращении и возобновлении государственной регистрации, сообщения об отказе в государственной регистрации, с правом подачи дополнительных документов, внесения изменений в записи единого государственного реестра недвижимости, внесения изменений в документы, с правом оплаты тарифов, сборов, пошлин, с правом получения выписки из Единого государственного реестра недвижимости и всех необходимых зарегистрированных документов, с правом подачи заявлений об исправлении технических ошибок. Получать в регистрирующем органе любые документы после регистрации: правоустанавливающие документы, выписку из единого государственного реестра недвижимости и иные документы, уплачивать необходимые платежи, пошлины, сборы.</w:t>
      </w:r>
    </w:p>
    <w:p w14:paraId="54BECF0D" w14:textId="77777777" w:rsidR="00951A61" w:rsidRPr="0089418D" w:rsidRDefault="00951A61" w:rsidP="00951A61">
      <w:pPr>
        <w:pStyle w:val="affe"/>
        <w:suppressAutoHyphens/>
        <w:ind w:left="0" w:right="23"/>
        <w:jc w:val="both"/>
        <w:rPr>
          <w:rFonts w:ascii="Tahoma" w:hAnsi="Tahoma" w:cs="Tahoma"/>
          <w:sz w:val="20"/>
          <w:szCs w:val="20"/>
        </w:rPr>
      </w:pPr>
    </w:p>
    <w:p w14:paraId="371A18F7" w14:textId="77777777" w:rsidR="00951A61" w:rsidRPr="0089418D" w:rsidRDefault="00951A61" w:rsidP="00951A61">
      <w:pPr>
        <w:pStyle w:val="affe"/>
        <w:suppressAutoHyphens/>
        <w:ind w:left="0" w:right="23"/>
        <w:jc w:val="both"/>
        <w:rPr>
          <w:rFonts w:ascii="Tahoma" w:hAnsi="Tahoma" w:cs="Tahoma"/>
          <w:sz w:val="20"/>
          <w:szCs w:val="20"/>
        </w:rPr>
      </w:pPr>
      <w:r w:rsidRPr="0089418D">
        <w:rPr>
          <w:rFonts w:ascii="Tahoma" w:hAnsi="Tahoma" w:cs="Tahoma"/>
          <w:sz w:val="20"/>
          <w:szCs w:val="20"/>
        </w:rPr>
        <w:t>3. Представлять интересы доверителя в органах Федеральной службы государственной регистрации, кадастра и картографии и ее любых подразделениях, ФГБУ «Федеральная кадастровая палата Федеральной службы государственной регистрации, кадастра и картографии» и ее любых подразделениях, Многофункциональном центре предоставления государственных и муниципальных услуг, иных учреждениях, осуществляющих государственную регистрацию права собственности, в __________ (наименование банка-залогодержателя), в органах государственной власти и местного самоуправления, административных, банковских, кредитных, финансовых, налоговых, нотариальных и иных компетентных органах по вопросам подписания, заверения, предъявления и получения любых справок и документов, копий, дубликатов документов, необходимых для реализации предоставленных настоящей доверенностью полномочий.</w:t>
      </w:r>
    </w:p>
    <w:p w14:paraId="7F3C7D24" w14:textId="77777777" w:rsidR="00951A61" w:rsidRPr="0089418D" w:rsidRDefault="00951A61" w:rsidP="00951A61">
      <w:pPr>
        <w:pStyle w:val="affe"/>
        <w:suppressAutoHyphens/>
        <w:ind w:left="0" w:right="23"/>
        <w:jc w:val="both"/>
        <w:rPr>
          <w:rFonts w:ascii="Tahoma" w:hAnsi="Tahoma" w:cs="Tahoma"/>
          <w:sz w:val="20"/>
          <w:szCs w:val="20"/>
        </w:rPr>
      </w:pPr>
    </w:p>
    <w:p w14:paraId="4E99BDDF" w14:textId="77777777" w:rsidR="00951A61" w:rsidRPr="0089418D" w:rsidRDefault="00951A61" w:rsidP="00951A61">
      <w:pPr>
        <w:pStyle w:val="affe"/>
        <w:suppressAutoHyphens/>
        <w:ind w:left="0" w:right="23"/>
        <w:jc w:val="both"/>
        <w:rPr>
          <w:rFonts w:ascii="Tahoma" w:hAnsi="Tahoma" w:cs="Tahoma"/>
          <w:sz w:val="20"/>
          <w:szCs w:val="20"/>
        </w:rPr>
      </w:pPr>
      <w:r w:rsidRPr="0089418D">
        <w:rPr>
          <w:rFonts w:ascii="Tahoma" w:hAnsi="Tahoma" w:cs="Tahoma"/>
          <w:b/>
          <w:sz w:val="20"/>
          <w:szCs w:val="20"/>
        </w:rPr>
        <w:t>2.2.</w:t>
      </w:r>
      <w:r w:rsidRPr="0089418D">
        <w:rPr>
          <w:rFonts w:ascii="Tahoma" w:hAnsi="Tahoma" w:cs="Tahoma"/>
          <w:sz w:val="20"/>
          <w:szCs w:val="20"/>
        </w:rPr>
        <w:t xml:space="preserve"> В доверенности от Заемщика должны быть указаны полномочия на осуществление регистрационных действий, а именно:</w:t>
      </w:r>
    </w:p>
    <w:p w14:paraId="7B15EE26" w14:textId="77777777" w:rsidR="00951A61" w:rsidRPr="0089418D" w:rsidRDefault="00951A61" w:rsidP="00951A61">
      <w:pPr>
        <w:pStyle w:val="affe"/>
        <w:suppressAutoHyphens/>
        <w:ind w:left="0" w:right="23"/>
        <w:jc w:val="both"/>
        <w:rPr>
          <w:rFonts w:ascii="Tahoma" w:hAnsi="Tahoma" w:cs="Tahoma"/>
          <w:sz w:val="20"/>
          <w:szCs w:val="20"/>
        </w:rPr>
      </w:pPr>
    </w:p>
    <w:p w14:paraId="135E155A" w14:textId="77777777" w:rsidR="00951A61" w:rsidRPr="0089418D" w:rsidRDefault="00951A61" w:rsidP="00951A61">
      <w:pPr>
        <w:pStyle w:val="affe"/>
        <w:suppressAutoHyphens/>
        <w:ind w:left="0" w:right="23"/>
        <w:jc w:val="both"/>
        <w:rPr>
          <w:rFonts w:ascii="Tahoma" w:hAnsi="Tahoma" w:cs="Tahoma"/>
          <w:sz w:val="20"/>
          <w:szCs w:val="20"/>
        </w:rPr>
      </w:pPr>
      <w:r w:rsidRPr="0089418D">
        <w:rPr>
          <w:rFonts w:ascii="Tahoma" w:hAnsi="Tahoma" w:cs="Tahoma"/>
          <w:sz w:val="20"/>
          <w:szCs w:val="20"/>
        </w:rPr>
        <w:t>1. Зарегистрировать право собственности на приобретаемую квартиру, расположенную по адресу: _______________________ (адрес и кадастровый/условный номер (при наличии) приобретаемой недвижимости), зарегистрировать ограничения (обременения), в том числе залог (ипотеку в силу закона) в пользу «Азиатско-Тихоокеанский Банк»  (АО), с правом подачи заявления о приостановлении, прекращении и возобновлении государственной регистрации, сообщения об отказе в государственной регистрации, с правом подачи дополнительных документов, внесения изменений в записи единого государственного реестра недвижимости, внесения изменений в документы, с правом оплаты тарифов, сборов, пошлин, с правом получения выписки из Единого государственного реестра недвижимости и всех необходимых зарегистрированных документов, с правом подачи заявлений об исправлении технических ошибок, для чего предоставляю право делать от имени доверителя любые запросы и заявления, в том числе заявления о государственной регистрации права собственности, государственной регистрации ограничений (обременений), в том числе залога (ипотеки в силу закона), приостановлении либо прекращении государственной регистрации, о предоставлении информации о зарегистрированных правах на объект недвижимого имущества, о внесении изменений в единый государственный реестр недвижимости,  запросы о предоставлении сведений, внесенных в государственный кадастр недвижимости, об исправлении технических ошибок, допущенных при регистрации. Получить в регистрирующем органе любые документы после регистрации: правоустанавливающие документы, выписку из единого государственного реестра недвижимости и иные документы, уплачивать необходимые платежи, пошлины, сборы.</w:t>
      </w:r>
    </w:p>
    <w:p w14:paraId="1B65E6C1" w14:textId="77777777" w:rsidR="00951A61" w:rsidRPr="0089418D" w:rsidRDefault="00951A61" w:rsidP="00951A61">
      <w:pPr>
        <w:pStyle w:val="affe"/>
        <w:suppressAutoHyphens/>
        <w:ind w:left="0" w:right="23"/>
        <w:jc w:val="both"/>
        <w:rPr>
          <w:rFonts w:ascii="Tahoma" w:hAnsi="Tahoma" w:cs="Tahoma"/>
          <w:sz w:val="20"/>
          <w:szCs w:val="20"/>
        </w:rPr>
      </w:pPr>
    </w:p>
    <w:p w14:paraId="2F523169" w14:textId="77777777" w:rsidR="00951A61" w:rsidRPr="00DD68E2" w:rsidRDefault="00951A61" w:rsidP="00951A61">
      <w:pPr>
        <w:pStyle w:val="affe"/>
        <w:suppressAutoHyphens/>
        <w:ind w:left="0" w:right="23"/>
        <w:jc w:val="both"/>
        <w:rPr>
          <w:rFonts w:ascii="Tahoma" w:hAnsi="Tahoma" w:cs="Tahoma"/>
          <w:sz w:val="20"/>
          <w:szCs w:val="20"/>
        </w:rPr>
      </w:pPr>
      <w:r w:rsidRPr="0089418D">
        <w:rPr>
          <w:rFonts w:ascii="Tahoma" w:hAnsi="Tahoma" w:cs="Tahoma"/>
          <w:sz w:val="20"/>
          <w:szCs w:val="20"/>
        </w:rPr>
        <w:t>2. Представлять интересы доверителя в органах Федеральной службы государственной регистрации, кадастра и картографии и ее любых подразделениях, ФГБУ «Федеральная кадастровая палата Федеральной службы государственной регистрации, кадастра и картографии» и ее любых подразделениях, Многофункциональном центре предоставления государственных и муниципальных услуг, иных учреждениях, осуществляющих государственную регистрацию права собственности, в органах государственной власти и местного самоуправления, административных, банковских, кредитных, финансовых, налоговых, нотариальных и иных компетентных органах по вопросам подписания, заверения, предъявления и получения любых справок и документов, копий, дубликатов документов, необходимых для реализации предоставленных настоящей доверенностью полномочий.</w:t>
      </w:r>
    </w:p>
    <w:p w14:paraId="7F3E64EE" w14:textId="77777777" w:rsidR="00951A61" w:rsidRDefault="00951A61" w:rsidP="00951A61">
      <w:pPr>
        <w:pStyle w:val="affe"/>
        <w:ind w:left="284"/>
        <w:jc w:val="both"/>
        <w:rPr>
          <w:rFonts w:ascii="Tahoma" w:hAnsi="Tahoma" w:cs="Tahoma"/>
          <w:sz w:val="20"/>
          <w:szCs w:val="20"/>
        </w:rPr>
      </w:pPr>
      <w:r w:rsidRPr="00F77EED">
        <w:rPr>
          <w:rFonts w:ascii="Tahoma" w:hAnsi="Tahoma" w:cs="Tahoma"/>
          <w:sz w:val="20"/>
          <w:szCs w:val="20"/>
        </w:rPr>
        <w:t xml:space="preserve"> </w:t>
      </w:r>
    </w:p>
    <w:p w14:paraId="17B2EBDC" w14:textId="77777777" w:rsidR="00951A61" w:rsidRPr="00C57EE1" w:rsidRDefault="00951A61" w:rsidP="00951A61">
      <w:pPr>
        <w:pageBreakBefore/>
        <w:jc w:val="right"/>
        <w:rPr>
          <w:rFonts w:ascii="Tahoma" w:hAnsi="Tahoma" w:cs="Tahoma"/>
          <w:sz w:val="18"/>
          <w:szCs w:val="20"/>
        </w:rPr>
      </w:pPr>
      <w:r w:rsidRPr="00C57EE1">
        <w:rPr>
          <w:rFonts w:ascii="Tahoma" w:hAnsi="Tahoma" w:cs="Tahoma"/>
          <w:sz w:val="18"/>
          <w:szCs w:val="20"/>
        </w:rPr>
        <w:lastRenderedPageBreak/>
        <w:t>Приложение №3</w:t>
      </w:r>
    </w:p>
    <w:p w14:paraId="460F11E4" w14:textId="77777777" w:rsidR="00951A61" w:rsidRPr="00C57EE1" w:rsidRDefault="00951A61" w:rsidP="00951A61">
      <w:pPr>
        <w:jc w:val="right"/>
        <w:rPr>
          <w:rFonts w:ascii="Tahoma" w:hAnsi="Tahoma" w:cs="Tahoma"/>
          <w:noProof/>
          <w:sz w:val="18"/>
          <w:szCs w:val="20"/>
        </w:rPr>
      </w:pPr>
      <w:r w:rsidRPr="00C57EE1">
        <w:rPr>
          <w:rFonts w:ascii="Tahoma" w:hAnsi="Tahoma" w:cs="Tahoma"/>
          <w:noProof/>
          <w:sz w:val="18"/>
          <w:szCs w:val="20"/>
        </w:rPr>
        <w:t xml:space="preserve">к основным условиях предоставления, использования и возврата </w:t>
      </w:r>
    </w:p>
    <w:p w14:paraId="4B2E2FCB" w14:textId="77777777" w:rsidR="00951A61" w:rsidRPr="00C57EE1" w:rsidRDefault="00951A61" w:rsidP="00951A61">
      <w:pPr>
        <w:jc w:val="right"/>
        <w:rPr>
          <w:rFonts w:ascii="Tahoma" w:hAnsi="Tahoma" w:cs="Tahoma"/>
          <w:sz w:val="18"/>
          <w:szCs w:val="20"/>
        </w:rPr>
      </w:pPr>
      <w:r w:rsidRPr="00C57EE1">
        <w:rPr>
          <w:rFonts w:ascii="Tahoma" w:hAnsi="Tahoma" w:cs="Tahoma"/>
          <w:noProof/>
          <w:sz w:val="18"/>
          <w:szCs w:val="20"/>
        </w:rPr>
        <w:t>ипотечного кредита по тарифному плану «Готовое жилье»</w:t>
      </w:r>
    </w:p>
    <w:p w14:paraId="45EC6207" w14:textId="77777777" w:rsidR="00951A61" w:rsidRPr="00C57EE1" w:rsidRDefault="00951A61" w:rsidP="00951A61">
      <w:pPr>
        <w:jc w:val="center"/>
        <w:rPr>
          <w:rFonts w:ascii="Tahoma" w:hAnsi="Tahoma" w:cs="Tahoma"/>
          <w:b/>
          <w:sz w:val="20"/>
          <w:szCs w:val="20"/>
        </w:rPr>
      </w:pPr>
      <w:r w:rsidRPr="00C57EE1">
        <w:rPr>
          <w:rFonts w:ascii="Tahoma" w:hAnsi="Tahoma" w:cs="Tahoma"/>
          <w:b/>
          <w:sz w:val="20"/>
          <w:szCs w:val="20"/>
        </w:rPr>
        <w:t>СПИСОК НАСЕЛЕННЫХ ПУНКТОВ</w:t>
      </w:r>
    </w:p>
    <w:p w14:paraId="187973DF" w14:textId="77777777" w:rsidR="00951A61" w:rsidRPr="00C57EE1" w:rsidRDefault="00951A61" w:rsidP="00951A61">
      <w:pPr>
        <w:pStyle w:val="affe"/>
        <w:ind w:left="284"/>
        <w:jc w:val="both"/>
        <w:rPr>
          <w:rFonts w:ascii="Tahoma" w:hAnsi="Tahoma" w:cs="Tahoma"/>
          <w:sz w:val="20"/>
          <w:szCs w:val="20"/>
        </w:rPr>
      </w:pPr>
    </w:p>
    <w:tbl>
      <w:tblPr>
        <w:tblW w:w="11088" w:type="dxa"/>
        <w:tblInd w:w="-3" w:type="dxa"/>
        <w:tblCellMar>
          <w:left w:w="0" w:type="dxa"/>
          <w:right w:w="0" w:type="dxa"/>
        </w:tblCellMar>
        <w:tblLook w:val="04A0" w:firstRow="1" w:lastRow="0" w:firstColumn="1" w:lastColumn="0" w:noHBand="0" w:noVBand="1"/>
      </w:tblPr>
      <w:tblGrid>
        <w:gridCol w:w="844"/>
        <w:gridCol w:w="6548"/>
        <w:gridCol w:w="3696"/>
      </w:tblGrid>
      <w:tr w:rsidR="00951A61" w:rsidRPr="00F6074E" w14:paraId="18810E16" w14:textId="77777777" w:rsidTr="00A4032F">
        <w:trPr>
          <w:trHeight w:val="300"/>
        </w:trPr>
        <w:tc>
          <w:tcPr>
            <w:tcW w:w="844" w:type="dxa"/>
            <w:tcBorders>
              <w:top w:val="single" w:sz="8" w:space="0" w:color="808080"/>
              <w:left w:val="single" w:sz="8" w:space="0" w:color="808080"/>
              <w:bottom w:val="single" w:sz="8" w:space="0" w:color="808080"/>
              <w:right w:val="single" w:sz="8" w:space="0" w:color="808080"/>
            </w:tcBorders>
          </w:tcPr>
          <w:p w14:paraId="065EF6E0" w14:textId="77777777" w:rsidR="00951A61" w:rsidRPr="00C57EE1" w:rsidRDefault="00951A61" w:rsidP="00A4032F">
            <w:pPr>
              <w:jc w:val="center"/>
              <w:rPr>
                <w:rFonts w:ascii="Tahoma" w:hAnsi="Tahoma" w:cs="Tahoma"/>
                <w:b/>
                <w:sz w:val="20"/>
                <w:szCs w:val="20"/>
              </w:rPr>
            </w:pPr>
            <w:r w:rsidRPr="00C57EE1">
              <w:rPr>
                <w:rFonts w:ascii="Tahoma" w:hAnsi="Tahoma" w:cs="Tahoma"/>
                <w:b/>
                <w:sz w:val="20"/>
                <w:szCs w:val="20"/>
              </w:rPr>
              <w:t>№</w:t>
            </w:r>
          </w:p>
        </w:tc>
        <w:tc>
          <w:tcPr>
            <w:tcW w:w="6548" w:type="dxa"/>
            <w:tcBorders>
              <w:top w:val="single" w:sz="8" w:space="0" w:color="808080"/>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0431A015" w14:textId="77777777" w:rsidR="00951A61" w:rsidRPr="00C57EE1" w:rsidRDefault="00951A61" w:rsidP="00A4032F">
            <w:pPr>
              <w:jc w:val="center"/>
              <w:rPr>
                <w:rFonts w:ascii="Tahoma" w:hAnsi="Tahoma" w:cs="Tahoma"/>
                <w:b/>
                <w:sz w:val="20"/>
                <w:szCs w:val="20"/>
              </w:rPr>
            </w:pPr>
            <w:r w:rsidRPr="00C57EE1">
              <w:rPr>
                <w:rFonts w:ascii="Tahoma" w:hAnsi="Tahoma" w:cs="Tahoma"/>
                <w:b/>
                <w:sz w:val="20"/>
                <w:szCs w:val="20"/>
              </w:rPr>
              <w:t>Субъекты РФ (регионы)</w:t>
            </w:r>
          </w:p>
        </w:tc>
        <w:tc>
          <w:tcPr>
            <w:tcW w:w="3696" w:type="dxa"/>
            <w:tcBorders>
              <w:top w:val="single" w:sz="8" w:space="0" w:color="808080"/>
              <w:left w:val="nil"/>
              <w:bottom w:val="single" w:sz="8" w:space="0" w:color="808080"/>
              <w:right w:val="single" w:sz="8" w:space="0" w:color="808080"/>
            </w:tcBorders>
            <w:tcMar>
              <w:top w:w="0" w:type="dxa"/>
              <w:left w:w="108" w:type="dxa"/>
              <w:bottom w:w="0" w:type="dxa"/>
              <w:right w:w="108" w:type="dxa"/>
            </w:tcMar>
            <w:hideMark/>
          </w:tcPr>
          <w:p w14:paraId="7ED6FBA6" w14:textId="77777777" w:rsidR="00951A61" w:rsidRPr="00C57EE1" w:rsidRDefault="00951A61" w:rsidP="00A4032F">
            <w:pPr>
              <w:jc w:val="center"/>
              <w:rPr>
                <w:rFonts w:ascii="Tahoma" w:hAnsi="Tahoma" w:cs="Tahoma"/>
                <w:b/>
                <w:sz w:val="20"/>
                <w:szCs w:val="20"/>
              </w:rPr>
            </w:pPr>
            <w:r w:rsidRPr="00C57EE1">
              <w:rPr>
                <w:rFonts w:ascii="Tahoma" w:hAnsi="Tahoma" w:cs="Tahoma"/>
                <w:b/>
                <w:sz w:val="20"/>
                <w:szCs w:val="20"/>
              </w:rPr>
              <w:t>Населённые пункты (города)</w:t>
            </w:r>
          </w:p>
        </w:tc>
      </w:tr>
      <w:tr w:rsidR="00951A61" w:rsidRPr="00F6074E" w14:paraId="723F49D1" w14:textId="77777777" w:rsidTr="00A4032F">
        <w:trPr>
          <w:trHeight w:val="198"/>
        </w:trPr>
        <w:tc>
          <w:tcPr>
            <w:tcW w:w="844" w:type="dxa"/>
            <w:tcBorders>
              <w:top w:val="nil"/>
              <w:left w:val="single" w:sz="8" w:space="0" w:color="808080"/>
              <w:bottom w:val="single" w:sz="8" w:space="0" w:color="808080"/>
              <w:right w:val="single" w:sz="8" w:space="0" w:color="808080"/>
            </w:tcBorders>
          </w:tcPr>
          <w:p w14:paraId="2A06225B" w14:textId="77777777" w:rsidR="00951A61" w:rsidRPr="00C57EE1" w:rsidRDefault="00951A61" w:rsidP="00A4032F">
            <w:pPr>
              <w:jc w:val="center"/>
              <w:rPr>
                <w:rFonts w:ascii="Tahoma" w:hAnsi="Tahoma" w:cs="Tahoma"/>
                <w:sz w:val="20"/>
                <w:szCs w:val="20"/>
              </w:rPr>
            </w:pPr>
            <w:r w:rsidRPr="00C57EE1">
              <w:rPr>
                <w:rFonts w:ascii="Tahoma" w:hAnsi="Tahoma" w:cs="Tahoma"/>
                <w:sz w:val="20"/>
                <w:szCs w:val="20"/>
              </w:rPr>
              <w:t>1.</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4860D805" w14:textId="77777777" w:rsidR="00951A61" w:rsidRPr="00C57EE1" w:rsidRDefault="00951A61" w:rsidP="00A4032F">
            <w:pPr>
              <w:rPr>
                <w:rFonts w:ascii="Tahoma" w:hAnsi="Tahoma" w:cs="Tahoma"/>
                <w:sz w:val="20"/>
                <w:szCs w:val="20"/>
              </w:rPr>
            </w:pPr>
            <w:r w:rsidRPr="00C57EE1">
              <w:rPr>
                <w:rFonts w:ascii="Tahoma" w:hAnsi="Tahoma" w:cs="Tahoma"/>
                <w:sz w:val="20"/>
                <w:szCs w:val="20"/>
              </w:rPr>
              <w:t>Алтайский край и Республика Алтай</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464C2549" w14:textId="77777777" w:rsidR="00951A61" w:rsidRPr="00C57EE1" w:rsidRDefault="00951A61" w:rsidP="00A4032F">
            <w:pPr>
              <w:rPr>
                <w:rFonts w:ascii="Tahoma" w:hAnsi="Tahoma" w:cs="Tahoma"/>
                <w:sz w:val="20"/>
                <w:szCs w:val="20"/>
              </w:rPr>
            </w:pPr>
            <w:r w:rsidRPr="00C57EE1">
              <w:rPr>
                <w:rFonts w:ascii="Tahoma" w:hAnsi="Tahoma" w:cs="Tahoma"/>
                <w:sz w:val="20"/>
                <w:szCs w:val="20"/>
              </w:rPr>
              <w:t>Барнаул</w:t>
            </w:r>
          </w:p>
        </w:tc>
      </w:tr>
      <w:tr w:rsidR="00951A61" w:rsidRPr="00F6074E" w14:paraId="7DDE9C73" w14:textId="77777777" w:rsidTr="00A4032F">
        <w:trPr>
          <w:trHeight w:val="198"/>
        </w:trPr>
        <w:tc>
          <w:tcPr>
            <w:tcW w:w="844" w:type="dxa"/>
            <w:tcBorders>
              <w:top w:val="nil"/>
              <w:left w:val="single" w:sz="8" w:space="0" w:color="808080"/>
              <w:bottom w:val="single" w:sz="8" w:space="0" w:color="808080"/>
              <w:right w:val="single" w:sz="8" w:space="0" w:color="808080"/>
            </w:tcBorders>
          </w:tcPr>
          <w:p w14:paraId="00FFD123" w14:textId="77777777" w:rsidR="00951A61" w:rsidRPr="00C57EE1" w:rsidRDefault="00951A61" w:rsidP="00A4032F">
            <w:pPr>
              <w:jc w:val="center"/>
              <w:rPr>
                <w:rFonts w:ascii="Tahoma" w:hAnsi="Tahoma" w:cs="Tahoma"/>
                <w:sz w:val="20"/>
                <w:szCs w:val="20"/>
              </w:rPr>
            </w:pPr>
            <w:r w:rsidRPr="00C57EE1">
              <w:rPr>
                <w:rFonts w:ascii="Tahoma" w:hAnsi="Tahoma" w:cs="Tahoma"/>
                <w:sz w:val="20"/>
                <w:szCs w:val="20"/>
              </w:rPr>
              <w:t>2.</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7106E914" w14:textId="77777777" w:rsidR="00951A61" w:rsidRPr="00C57EE1" w:rsidRDefault="00951A61" w:rsidP="00A4032F">
            <w:pPr>
              <w:rPr>
                <w:rFonts w:ascii="Tahoma" w:hAnsi="Tahoma" w:cs="Tahoma"/>
                <w:sz w:val="20"/>
                <w:szCs w:val="20"/>
              </w:rPr>
            </w:pPr>
            <w:r w:rsidRPr="00C57EE1">
              <w:rPr>
                <w:rFonts w:ascii="Tahoma" w:hAnsi="Tahoma" w:cs="Tahoma"/>
                <w:sz w:val="20"/>
                <w:szCs w:val="20"/>
              </w:rPr>
              <w:t>Амурская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31289B67" w14:textId="77777777" w:rsidR="00951A61" w:rsidRPr="00C57EE1" w:rsidRDefault="00951A61" w:rsidP="00A4032F">
            <w:pPr>
              <w:rPr>
                <w:rFonts w:ascii="Tahoma" w:hAnsi="Tahoma" w:cs="Tahoma"/>
                <w:sz w:val="20"/>
                <w:szCs w:val="20"/>
              </w:rPr>
            </w:pPr>
            <w:r w:rsidRPr="00C57EE1">
              <w:rPr>
                <w:rFonts w:ascii="Tahoma" w:hAnsi="Tahoma" w:cs="Tahoma"/>
                <w:sz w:val="20"/>
                <w:szCs w:val="20"/>
              </w:rPr>
              <w:t>Благовещенск</w:t>
            </w:r>
          </w:p>
        </w:tc>
      </w:tr>
      <w:tr w:rsidR="00951A61" w:rsidRPr="00F6074E" w14:paraId="1B4D1B08" w14:textId="77777777" w:rsidTr="00A4032F">
        <w:trPr>
          <w:trHeight w:val="198"/>
        </w:trPr>
        <w:tc>
          <w:tcPr>
            <w:tcW w:w="844" w:type="dxa"/>
            <w:tcBorders>
              <w:top w:val="nil"/>
              <w:left w:val="single" w:sz="8" w:space="0" w:color="808080"/>
              <w:bottom w:val="single" w:sz="8" w:space="0" w:color="808080"/>
              <w:right w:val="single" w:sz="8" w:space="0" w:color="808080"/>
            </w:tcBorders>
          </w:tcPr>
          <w:p w14:paraId="6024E668" w14:textId="77777777" w:rsidR="00951A61" w:rsidRPr="00C57EE1" w:rsidRDefault="00951A61" w:rsidP="00A4032F">
            <w:pPr>
              <w:jc w:val="center"/>
              <w:rPr>
                <w:rFonts w:ascii="Tahoma" w:hAnsi="Tahoma" w:cs="Tahoma"/>
                <w:sz w:val="20"/>
                <w:szCs w:val="20"/>
              </w:rPr>
            </w:pPr>
            <w:r w:rsidRPr="00C57EE1">
              <w:rPr>
                <w:rFonts w:ascii="Tahoma" w:hAnsi="Tahoma" w:cs="Tahoma"/>
                <w:sz w:val="20"/>
                <w:szCs w:val="20"/>
              </w:rPr>
              <w:t>3.</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02A7FCBA" w14:textId="77777777" w:rsidR="00951A61" w:rsidRPr="00C57EE1" w:rsidRDefault="00951A61" w:rsidP="00A4032F">
            <w:pPr>
              <w:rPr>
                <w:rFonts w:ascii="Tahoma" w:hAnsi="Tahoma" w:cs="Tahoma"/>
                <w:sz w:val="20"/>
                <w:szCs w:val="20"/>
              </w:rPr>
            </w:pPr>
            <w:r w:rsidRPr="00C57EE1">
              <w:rPr>
                <w:rFonts w:ascii="Tahoma" w:hAnsi="Tahoma" w:cs="Tahoma"/>
                <w:sz w:val="20"/>
                <w:szCs w:val="20"/>
              </w:rPr>
              <w:t>Забайкальский край</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01970FFD" w14:textId="77777777" w:rsidR="00951A61" w:rsidRPr="00C57EE1" w:rsidRDefault="00951A61" w:rsidP="00A4032F">
            <w:pPr>
              <w:rPr>
                <w:rFonts w:ascii="Tahoma" w:hAnsi="Tahoma" w:cs="Tahoma"/>
                <w:sz w:val="20"/>
                <w:szCs w:val="20"/>
              </w:rPr>
            </w:pPr>
            <w:r w:rsidRPr="00C57EE1">
              <w:rPr>
                <w:rFonts w:ascii="Tahoma" w:hAnsi="Tahoma" w:cs="Tahoma"/>
                <w:sz w:val="20"/>
                <w:szCs w:val="20"/>
              </w:rPr>
              <w:t>Чита</w:t>
            </w:r>
          </w:p>
        </w:tc>
      </w:tr>
      <w:tr w:rsidR="00951A61" w:rsidRPr="00F6074E" w14:paraId="775C01E4" w14:textId="77777777" w:rsidTr="00A4032F">
        <w:trPr>
          <w:trHeight w:val="198"/>
        </w:trPr>
        <w:tc>
          <w:tcPr>
            <w:tcW w:w="844" w:type="dxa"/>
            <w:tcBorders>
              <w:top w:val="nil"/>
              <w:left w:val="single" w:sz="8" w:space="0" w:color="808080"/>
              <w:bottom w:val="single" w:sz="8" w:space="0" w:color="808080"/>
              <w:right w:val="single" w:sz="8" w:space="0" w:color="808080"/>
            </w:tcBorders>
          </w:tcPr>
          <w:p w14:paraId="7812BC44" w14:textId="77777777" w:rsidR="00951A61" w:rsidRPr="00C57EE1" w:rsidRDefault="00951A61" w:rsidP="00A4032F">
            <w:pPr>
              <w:jc w:val="center"/>
              <w:rPr>
                <w:rFonts w:ascii="Tahoma" w:hAnsi="Tahoma" w:cs="Tahoma"/>
                <w:sz w:val="20"/>
                <w:szCs w:val="20"/>
              </w:rPr>
            </w:pPr>
            <w:r w:rsidRPr="00C57EE1">
              <w:rPr>
                <w:rFonts w:ascii="Tahoma" w:hAnsi="Tahoma" w:cs="Tahoma"/>
                <w:sz w:val="20"/>
                <w:szCs w:val="20"/>
              </w:rPr>
              <w:t>4.</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01CD7CDF" w14:textId="77777777" w:rsidR="00951A61" w:rsidRPr="00C57EE1" w:rsidRDefault="00951A61" w:rsidP="00A4032F">
            <w:pPr>
              <w:rPr>
                <w:rFonts w:ascii="Tahoma" w:hAnsi="Tahoma" w:cs="Tahoma"/>
                <w:sz w:val="20"/>
                <w:szCs w:val="20"/>
              </w:rPr>
            </w:pPr>
            <w:r w:rsidRPr="00C57EE1">
              <w:rPr>
                <w:rFonts w:ascii="Tahoma" w:hAnsi="Tahoma" w:cs="Tahoma"/>
                <w:sz w:val="20"/>
                <w:szCs w:val="20"/>
              </w:rPr>
              <w:t>Иркутская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433C3221" w14:textId="77777777" w:rsidR="00951A61" w:rsidRPr="00C57EE1" w:rsidRDefault="00951A61" w:rsidP="00A4032F">
            <w:pPr>
              <w:rPr>
                <w:rFonts w:ascii="Tahoma" w:hAnsi="Tahoma" w:cs="Tahoma"/>
                <w:sz w:val="20"/>
                <w:szCs w:val="20"/>
              </w:rPr>
            </w:pPr>
            <w:r w:rsidRPr="00C57EE1">
              <w:rPr>
                <w:rFonts w:ascii="Tahoma" w:hAnsi="Tahoma" w:cs="Tahoma"/>
                <w:sz w:val="20"/>
                <w:szCs w:val="20"/>
              </w:rPr>
              <w:t>Иркутск</w:t>
            </w:r>
          </w:p>
        </w:tc>
      </w:tr>
      <w:tr w:rsidR="00951A61" w:rsidRPr="00F6074E" w14:paraId="1308C138" w14:textId="77777777" w:rsidTr="00A4032F">
        <w:trPr>
          <w:trHeight w:val="198"/>
        </w:trPr>
        <w:tc>
          <w:tcPr>
            <w:tcW w:w="844" w:type="dxa"/>
            <w:tcBorders>
              <w:top w:val="nil"/>
              <w:left w:val="single" w:sz="8" w:space="0" w:color="808080"/>
              <w:bottom w:val="single" w:sz="8" w:space="0" w:color="808080"/>
              <w:right w:val="single" w:sz="8" w:space="0" w:color="808080"/>
            </w:tcBorders>
          </w:tcPr>
          <w:p w14:paraId="1FC179DF" w14:textId="77777777" w:rsidR="00951A61" w:rsidRPr="00C57EE1" w:rsidRDefault="00951A61" w:rsidP="00A4032F">
            <w:pPr>
              <w:jc w:val="center"/>
              <w:rPr>
                <w:rFonts w:ascii="Tahoma" w:hAnsi="Tahoma" w:cs="Tahoma"/>
                <w:sz w:val="20"/>
                <w:szCs w:val="20"/>
              </w:rPr>
            </w:pPr>
            <w:r w:rsidRPr="00C57EE1">
              <w:rPr>
                <w:rFonts w:ascii="Tahoma" w:hAnsi="Tahoma" w:cs="Tahoma"/>
                <w:sz w:val="20"/>
                <w:szCs w:val="20"/>
              </w:rPr>
              <w:t>5.</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5C6D252B" w14:textId="77777777" w:rsidR="00951A61" w:rsidRPr="00C57EE1" w:rsidRDefault="00951A61" w:rsidP="00A4032F">
            <w:pPr>
              <w:rPr>
                <w:rFonts w:ascii="Tahoma" w:hAnsi="Tahoma" w:cs="Tahoma"/>
                <w:sz w:val="20"/>
                <w:szCs w:val="20"/>
              </w:rPr>
            </w:pPr>
            <w:r w:rsidRPr="00C57EE1">
              <w:rPr>
                <w:rFonts w:ascii="Tahoma" w:hAnsi="Tahoma" w:cs="Tahoma"/>
                <w:sz w:val="20"/>
                <w:szCs w:val="20"/>
              </w:rPr>
              <w:t>Камчатский край</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6237D58F" w14:textId="77777777" w:rsidR="00951A61" w:rsidRPr="00C57EE1" w:rsidRDefault="00951A61" w:rsidP="00A4032F">
            <w:pPr>
              <w:rPr>
                <w:rFonts w:ascii="Tahoma" w:hAnsi="Tahoma" w:cs="Tahoma"/>
                <w:sz w:val="20"/>
                <w:szCs w:val="20"/>
              </w:rPr>
            </w:pPr>
            <w:r w:rsidRPr="00C57EE1">
              <w:rPr>
                <w:rFonts w:ascii="Tahoma" w:hAnsi="Tahoma" w:cs="Tahoma"/>
                <w:sz w:val="20"/>
                <w:szCs w:val="20"/>
              </w:rPr>
              <w:t>Петропавловск-Камчатский</w:t>
            </w:r>
          </w:p>
        </w:tc>
      </w:tr>
      <w:tr w:rsidR="00951A61" w:rsidRPr="00F6074E" w14:paraId="0561A40F" w14:textId="77777777" w:rsidTr="00A4032F">
        <w:trPr>
          <w:trHeight w:val="198"/>
        </w:trPr>
        <w:tc>
          <w:tcPr>
            <w:tcW w:w="844" w:type="dxa"/>
            <w:tcBorders>
              <w:top w:val="nil"/>
              <w:left w:val="single" w:sz="8" w:space="0" w:color="808080"/>
              <w:bottom w:val="single" w:sz="8" w:space="0" w:color="808080"/>
              <w:right w:val="single" w:sz="8" w:space="0" w:color="808080"/>
            </w:tcBorders>
          </w:tcPr>
          <w:p w14:paraId="51E934E5" w14:textId="77777777" w:rsidR="00951A61" w:rsidRPr="00C57EE1" w:rsidRDefault="00951A61" w:rsidP="00A4032F">
            <w:pPr>
              <w:jc w:val="center"/>
              <w:rPr>
                <w:rFonts w:ascii="Tahoma" w:hAnsi="Tahoma" w:cs="Tahoma"/>
                <w:sz w:val="20"/>
                <w:szCs w:val="20"/>
              </w:rPr>
            </w:pPr>
            <w:r w:rsidRPr="00C57EE1">
              <w:rPr>
                <w:rFonts w:ascii="Tahoma" w:hAnsi="Tahoma" w:cs="Tahoma"/>
                <w:sz w:val="20"/>
                <w:szCs w:val="20"/>
              </w:rPr>
              <w:t>6.</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7A9F0DD4" w14:textId="77777777" w:rsidR="00951A61" w:rsidRPr="00C57EE1" w:rsidRDefault="00951A61" w:rsidP="00A4032F">
            <w:pPr>
              <w:rPr>
                <w:rFonts w:ascii="Tahoma" w:hAnsi="Tahoma" w:cs="Tahoma"/>
                <w:sz w:val="20"/>
                <w:szCs w:val="20"/>
              </w:rPr>
            </w:pPr>
            <w:r w:rsidRPr="00C57EE1">
              <w:rPr>
                <w:rFonts w:ascii="Tahoma" w:hAnsi="Tahoma" w:cs="Tahoma"/>
                <w:sz w:val="20"/>
                <w:szCs w:val="20"/>
              </w:rPr>
              <w:t>Кемеровская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42E279A6" w14:textId="77777777" w:rsidR="00951A61" w:rsidRPr="00C57EE1" w:rsidRDefault="00951A61" w:rsidP="00A4032F">
            <w:pPr>
              <w:rPr>
                <w:rFonts w:ascii="Tahoma" w:hAnsi="Tahoma" w:cs="Tahoma"/>
                <w:sz w:val="20"/>
                <w:szCs w:val="20"/>
              </w:rPr>
            </w:pPr>
            <w:r w:rsidRPr="00C57EE1">
              <w:rPr>
                <w:rFonts w:ascii="Tahoma" w:hAnsi="Tahoma" w:cs="Tahoma"/>
                <w:sz w:val="20"/>
                <w:szCs w:val="20"/>
              </w:rPr>
              <w:t>Кемерово</w:t>
            </w:r>
          </w:p>
        </w:tc>
      </w:tr>
      <w:tr w:rsidR="00951A61" w:rsidRPr="00F6074E" w14:paraId="6CAFAC4B" w14:textId="77777777" w:rsidTr="00A4032F">
        <w:trPr>
          <w:trHeight w:val="198"/>
        </w:trPr>
        <w:tc>
          <w:tcPr>
            <w:tcW w:w="844" w:type="dxa"/>
            <w:tcBorders>
              <w:top w:val="nil"/>
              <w:left w:val="single" w:sz="8" w:space="0" w:color="808080"/>
              <w:bottom w:val="single" w:sz="8" w:space="0" w:color="808080"/>
              <w:right w:val="single" w:sz="8" w:space="0" w:color="808080"/>
            </w:tcBorders>
          </w:tcPr>
          <w:p w14:paraId="0DDF8342" w14:textId="77777777" w:rsidR="00951A61" w:rsidRPr="00C57EE1" w:rsidRDefault="00951A61" w:rsidP="00A4032F">
            <w:pPr>
              <w:jc w:val="center"/>
              <w:rPr>
                <w:rFonts w:ascii="Tahoma" w:hAnsi="Tahoma" w:cs="Tahoma"/>
                <w:sz w:val="20"/>
                <w:szCs w:val="20"/>
              </w:rPr>
            </w:pPr>
            <w:r w:rsidRPr="00C57EE1">
              <w:rPr>
                <w:rFonts w:ascii="Tahoma" w:hAnsi="Tahoma" w:cs="Tahoma"/>
                <w:sz w:val="20"/>
                <w:szCs w:val="20"/>
              </w:rPr>
              <w:t>7.</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52BB2A1B" w14:textId="77777777" w:rsidR="00951A61" w:rsidRPr="00C57EE1" w:rsidRDefault="00951A61" w:rsidP="00A4032F">
            <w:pPr>
              <w:rPr>
                <w:rFonts w:ascii="Tahoma" w:hAnsi="Tahoma" w:cs="Tahoma"/>
                <w:sz w:val="20"/>
                <w:szCs w:val="20"/>
              </w:rPr>
            </w:pPr>
            <w:r w:rsidRPr="00C57EE1">
              <w:rPr>
                <w:rFonts w:ascii="Tahoma" w:hAnsi="Tahoma" w:cs="Tahoma"/>
                <w:sz w:val="20"/>
                <w:szCs w:val="20"/>
              </w:rPr>
              <w:t>Красноярский край</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714B3150" w14:textId="77777777" w:rsidR="00951A61" w:rsidRPr="00C57EE1" w:rsidRDefault="00951A61" w:rsidP="00A4032F">
            <w:pPr>
              <w:rPr>
                <w:rFonts w:ascii="Tahoma" w:hAnsi="Tahoma" w:cs="Tahoma"/>
                <w:sz w:val="20"/>
                <w:szCs w:val="20"/>
              </w:rPr>
            </w:pPr>
            <w:r w:rsidRPr="00C57EE1">
              <w:rPr>
                <w:rFonts w:ascii="Tahoma" w:hAnsi="Tahoma" w:cs="Tahoma"/>
                <w:sz w:val="20"/>
                <w:szCs w:val="20"/>
              </w:rPr>
              <w:t>Красноярск</w:t>
            </w:r>
          </w:p>
        </w:tc>
      </w:tr>
      <w:tr w:rsidR="00951A61" w:rsidRPr="00F6074E" w14:paraId="76FC02B5" w14:textId="77777777" w:rsidTr="00A4032F">
        <w:trPr>
          <w:trHeight w:val="198"/>
        </w:trPr>
        <w:tc>
          <w:tcPr>
            <w:tcW w:w="844" w:type="dxa"/>
            <w:tcBorders>
              <w:top w:val="nil"/>
              <w:left w:val="single" w:sz="8" w:space="0" w:color="808080"/>
              <w:bottom w:val="single" w:sz="8" w:space="0" w:color="808080"/>
              <w:right w:val="single" w:sz="8" w:space="0" w:color="808080"/>
            </w:tcBorders>
          </w:tcPr>
          <w:p w14:paraId="2A71982F" w14:textId="77777777" w:rsidR="00951A61" w:rsidRPr="00C57EE1" w:rsidRDefault="00951A61" w:rsidP="00A4032F">
            <w:pPr>
              <w:jc w:val="center"/>
              <w:rPr>
                <w:rFonts w:ascii="Tahoma" w:hAnsi="Tahoma" w:cs="Tahoma"/>
                <w:sz w:val="20"/>
                <w:szCs w:val="20"/>
              </w:rPr>
            </w:pPr>
            <w:r w:rsidRPr="00C57EE1">
              <w:rPr>
                <w:rFonts w:ascii="Tahoma" w:hAnsi="Tahoma" w:cs="Tahoma"/>
                <w:sz w:val="20"/>
                <w:szCs w:val="20"/>
              </w:rPr>
              <w:t>8.</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62E7FBF1" w14:textId="77777777" w:rsidR="00951A61" w:rsidRPr="00C57EE1" w:rsidRDefault="00951A61" w:rsidP="00A4032F">
            <w:pPr>
              <w:rPr>
                <w:rFonts w:ascii="Tahoma" w:hAnsi="Tahoma" w:cs="Tahoma"/>
                <w:sz w:val="20"/>
                <w:szCs w:val="20"/>
              </w:rPr>
            </w:pPr>
            <w:r w:rsidRPr="00C57EE1">
              <w:rPr>
                <w:rFonts w:ascii="Tahoma" w:hAnsi="Tahoma" w:cs="Tahoma"/>
                <w:sz w:val="20"/>
                <w:szCs w:val="20"/>
              </w:rPr>
              <w:t>Магаданская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78B94794" w14:textId="77777777" w:rsidR="00951A61" w:rsidRPr="00C57EE1" w:rsidRDefault="00951A61" w:rsidP="00A4032F">
            <w:pPr>
              <w:rPr>
                <w:rFonts w:ascii="Tahoma" w:hAnsi="Tahoma" w:cs="Tahoma"/>
                <w:sz w:val="20"/>
                <w:szCs w:val="20"/>
              </w:rPr>
            </w:pPr>
            <w:r w:rsidRPr="00C57EE1">
              <w:rPr>
                <w:rFonts w:ascii="Tahoma" w:hAnsi="Tahoma" w:cs="Tahoma"/>
                <w:sz w:val="20"/>
                <w:szCs w:val="20"/>
              </w:rPr>
              <w:t>Магадан</w:t>
            </w:r>
          </w:p>
        </w:tc>
      </w:tr>
      <w:tr w:rsidR="00951A61" w:rsidRPr="00F6074E" w14:paraId="4F76713B" w14:textId="77777777" w:rsidTr="00A4032F">
        <w:trPr>
          <w:trHeight w:val="198"/>
        </w:trPr>
        <w:tc>
          <w:tcPr>
            <w:tcW w:w="844" w:type="dxa"/>
            <w:tcBorders>
              <w:top w:val="nil"/>
              <w:left w:val="single" w:sz="8" w:space="0" w:color="808080"/>
              <w:bottom w:val="single" w:sz="8" w:space="0" w:color="808080"/>
              <w:right w:val="single" w:sz="8" w:space="0" w:color="808080"/>
            </w:tcBorders>
          </w:tcPr>
          <w:p w14:paraId="3D00C307" w14:textId="77777777" w:rsidR="00951A61" w:rsidRPr="00C57EE1" w:rsidRDefault="00951A61" w:rsidP="00A4032F">
            <w:pPr>
              <w:jc w:val="center"/>
              <w:rPr>
                <w:rFonts w:ascii="Tahoma" w:hAnsi="Tahoma" w:cs="Tahoma"/>
                <w:sz w:val="20"/>
                <w:szCs w:val="20"/>
              </w:rPr>
            </w:pPr>
            <w:r w:rsidRPr="00C57EE1">
              <w:rPr>
                <w:rFonts w:ascii="Tahoma" w:hAnsi="Tahoma" w:cs="Tahoma"/>
                <w:sz w:val="20"/>
                <w:szCs w:val="20"/>
              </w:rPr>
              <w:t>9.</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6146C553" w14:textId="77777777" w:rsidR="00951A61" w:rsidRPr="00C57EE1" w:rsidRDefault="00951A61" w:rsidP="00A4032F">
            <w:pPr>
              <w:rPr>
                <w:rFonts w:ascii="Tahoma" w:hAnsi="Tahoma" w:cs="Tahoma"/>
                <w:sz w:val="20"/>
                <w:szCs w:val="20"/>
              </w:rPr>
            </w:pPr>
            <w:r w:rsidRPr="00C57EE1">
              <w:rPr>
                <w:rFonts w:ascii="Tahoma" w:hAnsi="Tahoma" w:cs="Tahoma"/>
                <w:sz w:val="20"/>
                <w:szCs w:val="20"/>
              </w:rPr>
              <w:t>Новосибирская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730CDC90" w14:textId="77777777" w:rsidR="00951A61" w:rsidRPr="00C57EE1" w:rsidRDefault="00951A61" w:rsidP="00A4032F">
            <w:pPr>
              <w:rPr>
                <w:rFonts w:ascii="Tahoma" w:hAnsi="Tahoma" w:cs="Tahoma"/>
                <w:sz w:val="20"/>
                <w:szCs w:val="20"/>
              </w:rPr>
            </w:pPr>
            <w:r w:rsidRPr="00C57EE1">
              <w:rPr>
                <w:rFonts w:ascii="Tahoma" w:hAnsi="Tahoma" w:cs="Tahoma"/>
                <w:sz w:val="20"/>
                <w:szCs w:val="20"/>
              </w:rPr>
              <w:t>Новосибирск</w:t>
            </w:r>
          </w:p>
        </w:tc>
      </w:tr>
      <w:tr w:rsidR="00951A61" w:rsidRPr="00F6074E" w14:paraId="1B690765" w14:textId="77777777" w:rsidTr="00A4032F">
        <w:trPr>
          <w:trHeight w:val="198"/>
        </w:trPr>
        <w:tc>
          <w:tcPr>
            <w:tcW w:w="844" w:type="dxa"/>
            <w:tcBorders>
              <w:top w:val="nil"/>
              <w:left w:val="single" w:sz="8" w:space="0" w:color="808080"/>
              <w:bottom w:val="single" w:sz="8" w:space="0" w:color="808080"/>
              <w:right w:val="single" w:sz="8" w:space="0" w:color="808080"/>
            </w:tcBorders>
            <w:shd w:val="clear" w:color="auto" w:fill="FFFFFF"/>
          </w:tcPr>
          <w:p w14:paraId="0DE2B416" w14:textId="77777777" w:rsidR="00951A61" w:rsidRPr="00C57EE1" w:rsidRDefault="00951A61" w:rsidP="00A4032F">
            <w:pPr>
              <w:jc w:val="center"/>
              <w:rPr>
                <w:rFonts w:ascii="Tahoma" w:hAnsi="Tahoma" w:cs="Tahoma"/>
                <w:sz w:val="20"/>
                <w:szCs w:val="20"/>
              </w:rPr>
            </w:pPr>
            <w:r w:rsidRPr="00C57EE1">
              <w:rPr>
                <w:rFonts w:ascii="Tahoma" w:hAnsi="Tahoma" w:cs="Tahoma"/>
                <w:sz w:val="20"/>
                <w:szCs w:val="20"/>
              </w:rPr>
              <w:t>10.</w:t>
            </w:r>
          </w:p>
        </w:tc>
        <w:tc>
          <w:tcPr>
            <w:tcW w:w="6548" w:type="dxa"/>
            <w:tcBorders>
              <w:top w:val="nil"/>
              <w:left w:val="single" w:sz="8" w:space="0" w:color="808080"/>
              <w:bottom w:val="single" w:sz="8" w:space="0" w:color="808080"/>
              <w:right w:val="single" w:sz="8" w:space="0" w:color="808080"/>
            </w:tcBorders>
            <w:shd w:val="clear" w:color="auto" w:fill="FFFFFF"/>
            <w:noWrap/>
            <w:tcMar>
              <w:top w:w="0" w:type="dxa"/>
              <w:left w:w="108" w:type="dxa"/>
              <w:bottom w:w="0" w:type="dxa"/>
              <w:right w:w="108" w:type="dxa"/>
            </w:tcMar>
            <w:vAlign w:val="bottom"/>
            <w:hideMark/>
          </w:tcPr>
          <w:p w14:paraId="4D2366B0" w14:textId="77777777" w:rsidR="00951A61" w:rsidRPr="00C57EE1" w:rsidRDefault="00951A61" w:rsidP="00A4032F">
            <w:pPr>
              <w:rPr>
                <w:rFonts w:ascii="Tahoma" w:hAnsi="Tahoma" w:cs="Tahoma"/>
                <w:sz w:val="20"/>
                <w:szCs w:val="20"/>
              </w:rPr>
            </w:pPr>
            <w:r w:rsidRPr="00C57EE1">
              <w:rPr>
                <w:rFonts w:ascii="Tahoma" w:hAnsi="Tahoma" w:cs="Tahoma"/>
                <w:sz w:val="20"/>
                <w:szCs w:val="20"/>
              </w:rPr>
              <w:t>Омская область</w:t>
            </w:r>
          </w:p>
        </w:tc>
        <w:tc>
          <w:tcPr>
            <w:tcW w:w="3696" w:type="dxa"/>
            <w:tcBorders>
              <w:top w:val="nil"/>
              <w:left w:val="nil"/>
              <w:bottom w:val="single" w:sz="8" w:space="0" w:color="808080"/>
              <w:right w:val="single" w:sz="8" w:space="0" w:color="808080"/>
            </w:tcBorders>
            <w:shd w:val="clear" w:color="auto" w:fill="FFFFFF"/>
            <w:tcMar>
              <w:top w:w="0" w:type="dxa"/>
              <w:left w:w="108" w:type="dxa"/>
              <w:bottom w:w="0" w:type="dxa"/>
              <w:right w:w="108" w:type="dxa"/>
            </w:tcMar>
            <w:hideMark/>
          </w:tcPr>
          <w:p w14:paraId="62275EB4" w14:textId="77777777" w:rsidR="00951A61" w:rsidRPr="00C57EE1" w:rsidRDefault="00951A61" w:rsidP="00A4032F">
            <w:pPr>
              <w:rPr>
                <w:rFonts w:ascii="Tahoma" w:hAnsi="Tahoma" w:cs="Tahoma"/>
                <w:sz w:val="20"/>
                <w:szCs w:val="20"/>
              </w:rPr>
            </w:pPr>
            <w:r w:rsidRPr="00C57EE1">
              <w:rPr>
                <w:rFonts w:ascii="Tahoma" w:hAnsi="Tahoma" w:cs="Tahoma"/>
                <w:sz w:val="20"/>
                <w:szCs w:val="20"/>
              </w:rPr>
              <w:t>Омск</w:t>
            </w:r>
          </w:p>
        </w:tc>
      </w:tr>
      <w:tr w:rsidR="00951A61" w:rsidRPr="00F6074E" w14:paraId="6EED859A" w14:textId="77777777" w:rsidTr="00A4032F">
        <w:trPr>
          <w:trHeight w:val="198"/>
        </w:trPr>
        <w:tc>
          <w:tcPr>
            <w:tcW w:w="844" w:type="dxa"/>
            <w:tcBorders>
              <w:top w:val="nil"/>
              <w:left w:val="single" w:sz="8" w:space="0" w:color="808080"/>
              <w:bottom w:val="single" w:sz="8" w:space="0" w:color="808080"/>
              <w:right w:val="single" w:sz="8" w:space="0" w:color="808080"/>
            </w:tcBorders>
          </w:tcPr>
          <w:p w14:paraId="274D65AA" w14:textId="77777777" w:rsidR="00951A61" w:rsidRPr="00C57EE1" w:rsidRDefault="00951A61" w:rsidP="00A4032F">
            <w:pPr>
              <w:jc w:val="center"/>
              <w:rPr>
                <w:rFonts w:ascii="Tahoma" w:hAnsi="Tahoma" w:cs="Tahoma"/>
                <w:sz w:val="20"/>
                <w:szCs w:val="20"/>
              </w:rPr>
            </w:pPr>
            <w:r w:rsidRPr="00C57EE1">
              <w:rPr>
                <w:rFonts w:ascii="Tahoma" w:hAnsi="Tahoma" w:cs="Tahoma"/>
                <w:sz w:val="20"/>
                <w:szCs w:val="20"/>
              </w:rPr>
              <w:t>11.</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5F41F888" w14:textId="77777777" w:rsidR="00951A61" w:rsidRPr="00C57EE1" w:rsidRDefault="00951A61" w:rsidP="00A4032F">
            <w:pPr>
              <w:rPr>
                <w:rFonts w:ascii="Tahoma" w:hAnsi="Tahoma" w:cs="Tahoma"/>
                <w:sz w:val="20"/>
                <w:szCs w:val="20"/>
              </w:rPr>
            </w:pPr>
            <w:r w:rsidRPr="00C57EE1">
              <w:rPr>
                <w:rFonts w:ascii="Tahoma" w:hAnsi="Tahoma" w:cs="Tahoma"/>
                <w:sz w:val="20"/>
                <w:szCs w:val="20"/>
              </w:rPr>
              <w:t>Приморский край</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00E86814" w14:textId="77777777" w:rsidR="00951A61" w:rsidRPr="00C57EE1" w:rsidRDefault="00951A61" w:rsidP="00A4032F">
            <w:pPr>
              <w:rPr>
                <w:rFonts w:ascii="Tahoma" w:hAnsi="Tahoma" w:cs="Tahoma"/>
                <w:sz w:val="20"/>
                <w:szCs w:val="20"/>
              </w:rPr>
            </w:pPr>
            <w:r w:rsidRPr="00C57EE1">
              <w:rPr>
                <w:rFonts w:ascii="Tahoma" w:hAnsi="Tahoma" w:cs="Tahoma"/>
                <w:sz w:val="20"/>
                <w:szCs w:val="20"/>
              </w:rPr>
              <w:t>Владивосток</w:t>
            </w:r>
          </w:p>
        </w:tc>
      </w:tr>
      <w:tr w:rsidR="00951A61" w:rsidRPr="00F6074E" w14:paraId="49140F60" w14:textId="77777777" w:rsidTr="00A4032F">
        <w:trPr>
          <w:trHeight w:val="198"/>
        </w:trPr>
        <w:tc>
          <w:tcPr>
            <w:tcW w:w="844" w:type="dxa"/>
            <w:tcBorders>
              <w:top w:val="nil"/>
              <w:left w:val="single" w:sz="8" w:space="0" w:color="808080"/>
              <w:bottom w:val="single" w:sz="8" w:space="0" w:color="808080"/>
              <w:right w:val="single" w:sz="8" w:space="0" w:color="808080"/>
            </w:tcBorders>
          </w:tcPr>
          <w:p w14:paraId="292B69F2" w14:textId="77777777" w:rsidR="00951A61" w:rsidRPr="00C57EE1" w:rsidRDefault="00951A61" w:rsidP="00A4032F">
            <w:pPr>
              <w:jc w:val="center"/>
              <w:rPr>
                <w:rFonts w:ascii="Tahoma" w:hAnsi="Tahoma" w:cs="Tahoma"/>
                <w:sz w:val="20"/>
                <w:szCs w:val="20"/>
              </w:rPr>
            </w:pPr>
            <w:r w:rsidRPr="00C57EE1">
              <w:rPr>
                <w:rFonts w:ascii="Tahoma" w:hAnsi="Tahoma" w:cs="Tahoma"/>
                <w:sz w:val="20"/>
                <w:szCs w:val="20"/>
              </w:rPr>
              <w:t>12.</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018C37D1" w14:textId="77777777" w:rsidR="00951A61" w:rsidRPr="00C57EE1" w:rsidRDefault="00951A61" w:rsidP="00A4032F">
            <w:pPr>
              <w:rPr>
                <w:rFonts w:ascii="Tahoma" w:hAnsi="Tahoma" w:cs="Tahoma"/>
                <w:sz w:val="20"/>
                <w:szCs w:val="20"/>
              </w:rPr>
            </w:pPr>
            <w:r w:rsidRPr="00C57EE1">
              <w:rPr>
                <w:rFonts w:ascii="Tahoma" w:hAnsi="Tahoma" w:cs="Tahoma"/>
                <w:sz w:val="20"/>
                <w:szCs w:val="20"/>
              </w:rPr>
              <w:t>Республика Бурятия</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7B460AAA" w14:textId="77777777" w:rsidR="00951A61" w:rsidRPr="00C57EE1" w:rsidRDefault="00951A61" w:rsidP="00A4032F">
            <w:pPr>
              <w:rPr>
                <w:rFonts w:ascii="Tahoma" w:hAnsi="Tahoma" w:cs="Tahoma"/>
                <w:sz w:val="20"/>
                <w:szCs w:val="20"/>
              </w:rPr>
            </w:pPr>
            <w:r w:rsidRPr="00C57EE1">
              <w:rPr>
                <w:rFonts w:ascii="Tahoma" w:hAnsi="Tahoma" w:cs="Tahoma"/>
                <w:sz w:val="20"/>
                <w:szCs w:val="20"/>
              </w:rPr>
              <w:t>Улан-Удэ</w:t>
            </w:r>
          </w:p>
        </w:tc>
      </w:tr>
      <w:tr w:rsidR="00951A61" w:rsidRPr="00F6074E" w14:paraId="106655F9" w14:textId="77777777" w:rsidTr="00A4032F">
        <w:trPr>
          <w:trHeight w:val="198"/>
        </w:trPr>
        <w:tc>
          <w:tcPr>
            <w:tcW w:w="844" w:type="dxa"/>
            <w:tcBorders>
              <w:top w:val="nil"/>
              <w:left w:val="single" w:sz="8" w:space="0" w:color="808080"/>
              <w:bottom w:val="single" w:sz="8" w:space="0" w:color="808080"/>
              <w:right w:val="single" w:sz="8" w:space="0" w:color="808080"/>
            </w:tcBorders>
          </w:tcPr>
          <w:p w14:paraId="219E9F62" w14:textId="77777777" w:rsidR="00951A61" w:rsidRPr="00C57EE1" w:rsidRDefault="00951A61" w:rsidP="00A4032F">
            <w:pPr>
              <w:jc w:val="center"/>
              <w:rPr>
                <w:rFonts w:ascii="Tahoma" w:hAnsi="Tahoma" w:cs="Tahoma"/>
                <w:sz w:val="20"/>
                <w:szCs w:val="20"/>
              </w:rPr>
            </w:pPr>
            <w:r w:rsidRPr="00C57EE1">
              <w:rPr>
                <w:rFonts w:ascii="Tahoma" w:hAnsi="Tahoma" w:cs="Tahoma"/>
                <w:sz w:val="20"/>
                <w:szCs w:val="20"/>
              </w:rPr>
              <w:t>13.</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5D552D58" w14:textId="77777777" w:rsidR="00951A61" w:rsidRPr="00C57EE1" w:rsidRDefault="00951A61" w:rsidP="00A4032F">
            <w:pPr>
              <w:rPr>
                <w:rFonts w:ascii="Tahoma" w:hAnsi="Tahoma" w:cs="Tahoma"/>
                <w:sz w:val="20"/>
                <w:szCs w:val="20"/>
              </w:rPr>
            </w:pPr>
            <w:r w:rsidRPr="00C57EE1">
              <w:rPr>
                <w:rFonts w:ascii="Tahoma" w:hAnsi="Tahoma" w:cs="Tahoma"/>
                <w:sz w:val="20"/>
                <w:szCs w:val="20"/>
              </w:rPr>
              <w:t>Республика Саха (Якутия)</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27B97265" w14:textId="77777777" w:rsidR="00951A61" w:rsidRPr="00C57EE1" w:rsidRDefault="00951A61" w:rsidP="00A4032F">
            <w:pPr>
              <w:rPr>
                <w:rFonts w:ascii="Tahoma" w:hAnsi="Tahoma" w:cs="Tahoma"/>
                <w:sz w:val="20"/>
                <w:szCs w:val="20"/>
              </w:rPr>
            </w:pPr>
            <w:r w:rsidRPr="00C57EE1">
              <w:rPr>
                <w:rFonts w:ascii="Tahoma" w:hAnsi="Tahoma" w:cs="Tahoma"/>
                <w:sz w:val="20"/>
                <w:szCs w:val="20"/>
              </w:rPr>
              <w:t>Якутск</w:t>
            </w:r>
          </w:p>
        </w:tc>
      </w:tr>
      <w:tr w:rsidR="00951A61" w:rsidRPr="00F6074E" w14:paraId="5354CF2E" w14:textId="77777777" w:rsidTr="00A4032F">
        <w:trPr>
          <w:trHeight w:val="198"/>
        </w:trPr>
        <w:tc>
          <w:tcPr>
            <w:tcW w:w="844" w:type="dxa"/>
            <w:tcBorders>
              <w:top w:val="nil"/>
              <w:left w:val="single" w:sz="8" w:space="0" w:color="808080"/>
              <w:bottom w:val="single" w:sz="8" w:space="0" w:color="808080"/>
              <w:right w:val="single" w:sz="8" w:space="0" w:color="808080"/>
            </w:tcBorders>
          </w:tcPr>
          <w:p w14:paraId="40FCFDA9" w14:textId="77777777" w:rsidR="00951A61" w:rsidRPr="00C57EE1" w:rsidRDefault="00951A61" w:rsidP="00A4032F">
            <w:pPr>
              <w:jc w:val="center"/>
              <w:rPr>
                <w:rFonts w:ascii="Tahoma" w:hAnsi="Tahoma" w:cs="Tahoma"/>
                <w:sz w:val="20"/>
                <w:szCs w:val="20"/>
              </w:rPr>
            </w:pPr>
            <w:r w:rsidRPr="00C57EE1">
              <w:rPr>
                <w:rFonts w:ascii="Tahoma" w:hAnsi="Tahoma" w:cs="Tahoma"/>
                <w:sz w:val="20"/>
                <w:szCs w:val="20"/>
              </w:rPr>
              <w:t>14.</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449C0BD2" w14:textId="77777777" w:rsidR="00951A61" w:rsidRPr="00C57EE1" w:rsidRDefault="00951A61" w:rsidP="00A4032F">
            <w:pPr>
              <w:rPr>
                <w:rFonts w:ascii="Tahoma" w:hAnsi="Tahoma" w:cs="Tahoma"/>
                <w:sz w:val="20"/>
                <w:szCs w:val="20"/>
              </w:rPr>
            </w:pPr>
            <w:r w:rsidRPr="00C57EE1">
              <w:rPr>
                <w:rFonts w:ascii="Tahoma" w:hAnsi="Tahoma" w:cs="Tahoma"/>
                <w:sz w:val="20"/>
                <w:szCs w:val="20"/>
              </w:rPr>
              <w:t>Сахалинская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317E3F72" w14:textId="77777777" w:rsidR="00951A61" w:rsidRPr="00C57EE1" w:rsidRDefault="00951A61" w:rsidP="00A4032F">
            <w:pPr>
              <w:rPr>
                <w:rFonts w:ascii="Tahoma" w:hAnsi="Tahoma" w:cs="Tahoma"/>
                <w:sz w:val="20"/>
                <w:szCs w:val="20"/>
              </w:rPr>
            </w:pPr>
            <w:r w:rsidRPr="00C57EE1">
              <w:rPr>
                <w:rFonts w:ascii="Tahoma" w:hAnsi="Tahoma" w:cs="Tahoma"/>
                <w:sz w:val="20"/>
                <w:szCs w:val="20"/>
              </w:rPr>
              <w:t>Южно-Сахалинск</w:t>
            </w:r>
          </w:p>
        </w:tc>
      </w:tr>
      <w:tr w:rsidR="00951A61" w:rsidRPr="00F6074E" w14:paraId="3A099EA3" w14:textId="77777777" w:rsidTr="00A4032F">
        <w:trPr>
          <w:trHeight w:val="198"/>
        </w:trPr>
        <w:tc>
          <w:tcPr>
            <w:tcW w:w="844" w:type="dxa"/>
            <w:tcBorders>
              <w:top w:val="nil"/>
              <w:left w:val="single" w:sz="8" w:space="0" w:color="808080"/>
              <w:bottom w:val="single" w:sz="8" w:space="0" w:color="808080"/>
              <w:right w:val="single" w:sz="8" w:space="0" w:color="808080"/>
            </w:tcBorders>
          </w:tcPr>
          <w:p w14:paraId="779CFE96" w14:textId="77777777" w:rsidR="00951A61" w:rsidRPr="00C57EE1" w:rsidRDefault="00951A61" w:rsidP="00A4032F">
            <w:pPr>
              <w:jc w:val="center"/>
              <w:rPr>
                <w:rFonts w:ascii="Tahoma" w:hAnsi="Tahoma" w:cs="Tahoma"/>
                <w:sz w:val="20"/>
                <w:szCs w:val="20"/>
              </w:rPr>
            </w:pPr>
            <w:r w:rsidRPr="00C57EE1">
              <w:rPr>
                <w:rFonts w:ascii="Tahoma" w:hAnsi="Tahoma" w:cs="Tahoma"/>
                <w:sz w:val="20"/>
                <w:szCs w:val="20"/>
              </w:rPr>
              <w:t>15.</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5CDFA964" w14:textId="77777777" w:rsidR="00951A61" w:rsidRPr="00C57EE1" w:rsidRDefault="00951A61" w:rsidP="00A4032F">
            <w:pPr>
              <w:rPr>
                <w:rFonts w:ascii="Tahoma" w:hAnsi="Tahoma" w:cs="Tahoma"/>
                <w:sz w:val="20"/>
                <w:szCs w:val="20"/>
              </w:rPr>
            </w:pPr>
            <w:r w:rsidRPr="00C57EE1">
              <w:rPr>
                <w:rFonts w:ascii="Tahoma" w:hAnsi="Tahoma" w:cs="Tahoma"/>
                <w:sz w:val="20"/>
                <w:szCs w:val="20"/>
              </w:rPr>
              <w:t>Свердловская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0B72468F" w14:textId="77777777" w:rsidR="00951A61" w:rsidRPr="00C57EE1" w:rsidRDefault="00951A61" w:rsidP="00A4032F">
            <w:pPr>
              <w:rPr>
                <w:rFonts w:ascii="Tahoma" w:hAnsi="Tahoma" w:cs="Tahoma"/>
                <w:sz w:val="20"/>
                <w:szCs w:val="20"/>
              </w:rPr>
            </w:pPr>
            <w:r w:rsidRPr="00C57EE1">
              <w:rPr>
                <w:rFonts w:ascii="Tahoma" w:hAnsi="Tahoma" w:cs="Tahoma"/>
                <w:sz w:val="20"/>
                <w:szCs w:val="20"/>
              </w:rPr>
              <w:t>Екатеринбург</w:t>
            </w:r>
          </w:p>
        </w:tc>
      </w:tr>
      <w:tr w:rsidR="00951A61" w:rsidRPr="004E4693" w14:paraId="78820997" w14:textId="77777777" w:rsidTr="00A4032F">
        <w:trPr>
          <w:trHeight w:val="198"/>
        </w:trPr>
        <w:tc>
          <w:tcPr>
            <w:tcW w:w="844" w:type="dxa"/>
            <w:tcBorders>
              <w:top w:val="nil"/>
              <w:left w:val="single" w:sz="8" w:space="0" w:color="808080"/>
              <w:bottom w:val="single" w:sz="8" w:space="0" w:color="808080"/>
              <w:right w:val="single" w:sz="8" w:space="0" w:color="808080"/>
            </w:tcBorders>
          </w:tcPr>
          <w:p w14:paraId="1E17A005" w14:textId="77777777" w:rsidR="00951A61" w:rsidRPr="00C57EE1" w:rsidRDefault="00951A61" w:rsidP="00A4032F">
            <w:pPr>
              <w:jc w:val="center"/>
              <w:rPr>
                <w:rFonts w:ascii="Tahoma" w:hAnsi="Tahoma" w:cs="Tahoma"/>
                <w:sz w:val="20"/>
                <w:szCs w:val="20"/>
              </w:rPr>
            </w:pPr>
            <w:r w:rsidRPr="00C57EE1">
              <w:rPr>
                <w:rFonts w:ascii="Tahoma" w:hAnsi="Tahoma" w:cs="Tahoma"/>
                <w:sz w:val="20"/>
                <w:szCs w:val="20"/>
              </w:rPr>
              <w:t>16.</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0B629A44" w14:textId="77777777" w:rsidR="00951A61" w:rsidRPr="00C57EE1" w:rsidRDefault="00951A61" w:rsidP="00A4032F">
            <w:pPr>
              <w:rPr>
                <w:rFonts w:ascii="Tahoma" w:hAnsi="Tahoma" w:cs="Tahoma"/>
                <w:sz w:val="20"/>
                <w:szCs w:val="20"/>
              </w:rPr>
            </w:pPr>
            <w:r w:rsidRPr="00C57EE1">
              <w:rPr>
                <w:rFonts w:ascii="Tahoma" w:hAnsi="Tahoma" w:cs="Tahoma"/>
                <w:sz w:val="20"/>
                <w:szCs w:val="20"/>
              </w:rPr>
              <w:t>Хабаровский край и Еврейская автономная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60C4C9E4" w14:textId="77777777" w:rsidR="00951A61" w:rsidRPr="004E4693" w:rsidRDefault="00951A61" w:rsidP="00A4032F">
            <w:pPr>
              <w:rPr>
                <w:rFonts w:ascii="Tahoma" w:hAnsi="Tahoma" w:cs="Tahoma"/>
                <w:sz w:val="20"/>
                <w:szCs w:val="20"/>
              </w:rPr>
            </w:pPr>
            <w:r w:rsidRPr="00C57EE1">
              <w:rPr>
                <w:rFonts w:ascii="Tahoma" w:hAnsi="Tahoma" w:cs="Tahoma"/>
                <w:sz w:val="20"/>
                <w:szCs w:val="20"/>
              </w:rPr>
              <w:t>Хабаровск</w:t>
            </w:r>
          </w:p>
        </w:tc>
      </w:tr>
    </w:tbl>
    <w:p w14:paraId="2FB6D6EC" w14:textId="77777777" w:rsidR="00951A61" w:rsidRPr="00DD68E2" w:rsidRDefault="00951A61" w:rsidP="00951A61">
      <w:pPr>
        <w:pStyle w:val="affe"/>
        <w:suppressAutoHyphens/>
        <w:ind w:left="0" w:right="23"/>
        <w:jc w:val="both"/>
        <w:rPr>
          <w:rFonts w:ascii="Tahoma" w:hAnsi="Tahoma" w:cs="Tahoma"/>
          <w:sz w:val="20"/>
          <w:szCs w:val="20"/>
        </w:rPr>
      </w:pPr>
    </w:p>
    <w:p w14:paraId="145FF953" w14:textId="77777777" w:rsidR="00951A61" w:rsidRPr="00923205" w:rsidRDefault="00951A61" w:rsidP="00951A61">
      <w:pPr>
        <w:pStyle w:val="affe"/>
        <w:ind w:left="284"/>
        <w:jc w:val="both"/>
        <w:rPr>
          <w:rFonts w:ascii="Tahoma" w:hAnsi="Tahoma" w:cs="Tahoma"/>
          <w:sz w:val="20"/>
          <w:szCs w:val="20"/>
        </w:rPr>
      </w:pPr>
      <w:r w:rsidRPr="00F77EED">
        <w:rPr>
          <w:rFonts w:ascii="Tahoma" w:hAnsi="Tahoma" w:cs="Tahoma"/>
          <w:sz w:val="20"/>
          <w:szCs w:val="20"/>
        </w:rPr>
        <w:t xml:space="preserve"> </w:t>
      </w:r>
      <w:r w:rsidRPr="00923205">
        <w:rPr>
          <w:rFonts w:ascii="Tahoma" w:hAnsi="Tahoma" w:cs="Tahoma"/>
          <w:sz w:val="20"/>
          <w:szCs w:val="20"/>
        </w:rPr>
        <w:t xml:space="preserve"> </w:t>
      </w:r>
    </w:p>
    <w:p w14:paraId="40EC939C" w14:textId="77777777" w:rsidR="00951A61" w:rsidRPr="00196769" w:rsidRDefault="00951A61" w:rsidP="00951A61">
      <w:pPr>
        <w:tabs>
          <w:tab w:val="left" w:pos="851"/>
        </w:tabs>
        <w:rPr>
          <w:rFonts w:ascii="Tahoma" w:hAnsi="Tahoma" w:cs="Tahoma"/>
          <w:sz w:val="20"/>
          <w:szCs w:val="20"/>
        </w:rPr>
      </w:pPr>
    </w:p>
    <w:p w14:paraId="4EE792D3" w14:textId="77777777" w:rsidR="00951A61" w:rsidRPr="00196769" w:rsidRDefault="00951A61" w:rsidP="00951A61">
      <w:pPr>
        <w:tabs>
          <w:tab w:val="left" w:pos="851"/>
        </w:tabs>
        <w:rPr>
          <w:rFonts w:ascii="Tahoma" w:hAnsi="Tahoma" w:cs="Tahoma"/>
          <w:sz w:val="20"/>
          <w:szCs w:val="20"/>
        </w:rPr>
      </w:pPr>
    </w:p>
    <w:p w14:paraId="24F8899D" w14:textId="77777777" w:rsidR="00951A61" w:rsidRPr="00196769" w:rsidRDefault="00951A61" w:rsidP="00951A61">
      <w:pPr>
        <w:pageBreakBefore/>
        <w:tabs>
          <w:tab w:val="left" w:pos="851"/>
        </w:tabs>
        <w:rPr>
          <w:rFonts w:ascii="Tahoma" w:hAnsi="Tahoma" w:cs="Tahoma"/>
          <w:sz w:val="20"/>
          <w:szCs w:val="20"/>
        </w:rPr>
      </w:pPr>
    </w:p>
    <w:p w14:paraId="6DC40128" w14:textId="77777777" w:rsidR="00951A61" w:rsidRPr="00BC7209" w:rsidRDefault="00951A61" w:rsidP="00951A61">
      <w:pPr>
        <w:pStyle w:val="affe"/>
        <w:ind w:left="0" w:firstLine="426"/>
        <w:jc w:val="both"/>
        <w:rPr>
          <w:rFonts w:ascii="Tahoma" w:hAnsi="Tahoma" w:cs="Tahoma"/>
          <w:sz w:val="20"/>
          <w:szCs w:val="20"/>
        </w:rPr>
      </w:pPr>
    </w:p>
    <w:p w14:paraId="136D536B" w14:textId="77777777" w:rsidR="00951A61" w:rsidRPr="009E449A" w:rsidRDefault="00951A61" w:rsidP="00951A61">
      <w:pPr>
        <w:jc w:val="both"/>
        <w:rPr>
          <w:rFonts w:ascii="Tahoma" w:hAnsi="Tahoma" w:cs="Tahoma"/>
          <w:sz w:val="20"/>
          <w:szCs w:val="20"/>
        </w:rPr>
      </w:pPr>
    </w:p>
    <w:tbl>
      <w:tblPr>
        <w:tblpPr w:leftFromText="180" w:rightFromText="180" w:vertAnchor="text" w:horzAnchor="margin" w:tblpY="-535"/>
        <w:tblW w:w="15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71"/>
      </w:tblGrid>
      <w:tr w:rsidR="00951A61" w:rsidRPr="00BC7209" w14:paraId="2027759F" w14:textId="77777777" w:rsidTr="00A4032F">
        <w:trPr>
          <w:trHeight w:val="227"/>
        </w:trPr>
        <w:tc>
          <w:tcPr>
            <w:tcW w:w="15871" w:type="dxa"/>
            <w:tcBorders>
              <w:top w:val="single" w:sz="4" w:space="0" w:color="auto"/>
              <w:left w:val="single" w:sz="4" w:space="0" w:color="auto"/>
              <w:bottom w:val="single" w:sz="4" w:space="0" w:color="auto"/>
              <w:right w:val="single" w:sz="4" w:space="0" w:color="auto"/>
            </w:tcBorders>
            <w:shd w:val="clear" w:color="auto" w:fill="E36C0A"/>
            <w:hideMark/>
          </w:tcPr>
          <w:p w14:paraId="6425FB52" w14:textId="3129276C" w:rsidR="00951A61" w:rsidRPr="00BC7209" w:rsidRDefault="000B3718" w:rsidP="000B3718">
            <w:pPr>
              <w:pStyle w:val="a5"/>
              <w:rPr>
                <w:rFonts w:eastAsia="Calibri"/>
                <w:szCs w:val="22"/>
              </w:rPr>
            </w:pPr>
            <w:r>
              <w:rPr>
                <w:noProof/>
              </w:rPr>
              <w:t xml:space="preserve">2.3.2 </w:t>
            </w:r>
            <w:r w:rsidR="00951A61" w:rsidRPr="00BC7209">
              <w:rPr>
                <w:noProof/>
              </w:rPr>
              <w:t>Тарифный план «Строящееся жилье»</w:t>
            </w:r>
          </w:p>
        </w:tc>
      </w:tr>
    </w:tbl>
    <w:p w14:paraId="24D81FC4" w14:textId="77777777" w:rsidR="00951A61" w:rsidRPr="00AB541D" w:rsidRDefault="00951A61" w:rsidP="00951A61">
      <w:pPr>
        <w:jc w:val="center"/>
        <w:rPr>
          <w:rFonts w:ascii="Tahoma" w:hAnsi="Tahoma" w:cs="Tahoma"/>
          <w:b/>
          <w:noProof/>
          <w:sz w:val="20"/>
          <w:szCs w:val="20"/>
        </w:rPr>
      </w:pPr>
      <w:r w:rsidRPr="00AB541D">
        <w:rPr>
          <w:rFonts w:ascii="Tahoma" w:hAnsi="Tahoma" w:cs="Tahoma"/>
          <w:b/>
          <w:noProof/>
          <w:sz w:val="20"/>
          <w:szCs w:val="20"/>
        </w:rPr>
        <w:t xml:space="preserve">ИНФОРМАЦИЯ ОБ УСЛОВИЯХ ПРЕДОСТАВЛЕНИЯ, ИСПОЛЬЗОВАНИЯ И ВОЗВРАТА ИПОТЕЧНОГО КРЕДИТА </w:t>
      </w:r>
    </w:p>
    <w:p w14:paraId="1247753A" w14:textId="77777777" w:rsidR="00951A61" w:rsidRPr="00AB541D" w:rsidRDefault="00951A61" w:rsidP="00951A61">
      <w:pPr>
        <w:jc w:val="center"/>
        <w:rPr>
          <w:rFonts w:ascii="Tahoma" w:hAnsi="Tahoma" w:cs="Tahoma"/>
          <w:b/>
          <w:noProof/>
          <w:sz w:val="20"/>
          <w:szCs w:val="20"/>
        </w:rPr>
      </w:pPr>
      <w:r w:rsidRPr="00AB541D">
        <w:rPr>
          <w:rFonts w:ascii="Tahoma" w:hAnsi="Tahoma" w:cs="Tahoma"/>
          <w:b/>
          <w:noProof/>
        </w:rPr>
        <w:t xml:space="preserve"> </w:t>
      </w:r>
      <w:r w:rsidRPr="00AB541D">
        <w:rPr>
          <w:rFonts w:ascii="Tahoma" w:hAnsi="Tahoma" w:cs="Tahoma"/>
          <w:b/>
          <w:noProof/>
          <w:sz w:val="20"/>
          <w:szCs w:val="20"/>
        </w:rPr>
        <w:t>ПО ТАРИФНОМУ ПЛАНУ «СТРОЯЩЕЕСЯ ЖИЛЬЕ»</w:t>
      </w:r>
    </w:p>
    <w:p w14:paraId="5A68EF6F" w14:textId="77777777" w:rsidR="00951A61" w:rsidRPr="00AB541D" w:rsidRDefault="00951A61" w:rsidP="00951A61">
      <w:pPr>
        <w:jc w:val="center"/>
        <w:rPr>
          <w:rFonts w:ascii="Tahoma" w:hAnsi="Tahoma" w:cs="Tahoma"/>
          <w:b/>
          <w:bCs/>
          <w:caps/>
          <w:sz w:val="20"/>
          <w:szCs w:val="20"/>
        </w:rPr>
      </w:pPr>
    </w:p>
    <w:p w14:paraId="06B66C77" w14:textId="77777777" w:rsidR="00951A61" w:rsidRPr="00AB541D" w:rsidRDefault="00951A61" w:rsidP="00B460F9">
      <w:pPr>
        <w:pStyle w:val="affe"/>
        <w:numPr>
          <w:ilvl w:val="0"/>
          <w:numId w:val="184"/>
        </w:numPr>
        <w:tabs>
          <w:tab w:val="left" w:pos="851"/>
        </w:tabs>
        <w:ind w:left="0" w:firstLine="426"/>
        <w:contextualSpacing/>
        <w:jc w:val="both"/>
        <w:rPr>
          <w:rFonts w:ascii="Tahoma" w:hAnsi="Tahoma" w:cs="Tahoma"/>
          <w:noProof/>
          <w:sz w:val="20"/>
          <w:szCs w:val="20"/>
        </w:rPr>
      </w:pPr>
      <w:r w:rsidRPr="00AB541D">
        <w:rPr>
          <w:rFonts w:ascii="Tahoma" w:hAnsi="Tahoma" w:cs="Tahoma"/>
          <w:b/>
          <w:bCs/>
          <w:caps/>
          <w:sz w:val="20"/>
          <w:szCs w:val="20"/>
        </w:rPr>
        <w:t>ОСНОВНЫЕ ПОНЯТИЯ, ИСПОЛЬЗУЕМЫЕ ТЕРМИНЫ и сокращения</w:t>
      </w:r>
    </w:p>
    <w:p w14:paraId="1F6BBD5E" w14:textId="77777777" w:rsidR="00951A61" w:rsidRPr="00AB541D" w:rsidRDefault="00951A61" w:rsidP="00951A61">
      <w:pPr>
        <w:rPr>
          <w:rFonts w:ascii="Tahoma" w:hAnsi="Tahoma" w:cs="Tahoma"/>
          <w:noProof/>
          <w:sz w:val="20"/>
          <w:szCs w:val="20"/>
        </w:rPr>
      </w:pPr>
    </w:p>
    <w:tbl>
      <w:tblPr>
        <w:tblW w:w="507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51"/>
        <w:gridCol w:w="11172"/>
      </w:tblGrid>
      <w:tr w:rsidR="00951A61" w:rsidRPr="00AB541D" w14:paraId="03025E50" w14:textId="77777777" w:rsidTr="00A4032F">
        <w:tc>
          <w:tcPr>
            <w:tcW w:w="1492" w:type="pct"/>
            <w:vAlign w:val="center"/>
          </w:tcPr>
          <w:p w14:paraId="034C721B" w14:textId="77777777" w:rsidR="00951A61" w:rsidRPr="00AB541D" w:rsidRDefault="00951A61" w:rsidP="00A4032F">
            <w:pPr>
              <w:tabs>
                <w:tab w:val="left" w:pos="851"/>
              </w:tabs>
              <w:jc w:val="center"/>
              <w:rPr>
                <w:rFonts w:ascii="Tahoma" w:hAnsi="Tahoma" w:cs="Tahoma"/>
                <w:bCs/>
                <w:iCs/>
                <w:sz w:val="20"/>
                <w:szCs w:val="20"/>
              </w:rPr>
            </w:pPr>
            <w:r w:rsidRPr="00AB541D">
              <w:rPr>
                <w:rFonts w:ascii="Tahoma" w:hAnsi="Tahoma" w:cs="Tahoma"/>
                <w:sz w:val="20"/>
                <w:szCs w:val="20"/>
              </w:rPr>
              <w:t>Наименование кредитора, место нахождения постоянно действующего исполнительного органа, контактный телефон, по которому осуществляется связь с кредитором, официальный сайт, номер лицензии на осуществление банковских операций</w:t>
            </w:r>
          </w:p>
        </w:tc>
        <w:tc>
          <w:tcPr>
            <w:tcW w:w="3508" w:type="pct"/>
            <w:vAlign w:val="center"/>
          </w:tcPr>
          <w:p w14:paraId="26C216B4" w14:textId="77777777" w:rsidR="00951A61" w:rsidRDefault="00951A61" w:rsidP="00A4032F">
            <w:pPr>
              <w:tabs>
                <w:tab w:val="left" w:pos="851"/>
              </w:tabs>
              <w:rPr>
                <w:rFonts w:ascii="Tahoma" w:hAnsi="Tahoma" w:cs="Tahoma"/>
                <w:sz w:val="20"/>
                <w:szCs w:val="20"/>
              </w:rPr>
            </w:pPr>
            <w:r>
              <w:rPr>
                <w:rFonts w:ascii="Tahoma" w:hAnsi="Tahoma" w:cs="Tahoma"/>
                <w:sz w:val="20"/>
                <w:szCs w:val="20"/>
              </w:rPr>
              <w:t>«Азиатско-Тихоокеанский Банк» (А</w:t>
            </w:r>
            <w:r w:rsidRPr="00F77EED">
              <w:rPr>
                <w:rFonts w:ascii="Tahoma" w:hAnsi="Tahoma" w:cs="Tahoma"/>
                <w:sz w:val="20"/>
                <w:szCs w:val="20"/>
              </w:rPr>
              <w:t xml:space="preserve">кционерное общество) (далее </w:t>
            </w:r>
            <w:r>
              <w:rPr>
                <w:rFonts w:ascii="Tahoma" w:hAnsi="Tahoma" w:cs="Tahoma"/>
                <w:sz w:val="20"/>
                <w:szCs w:val="20"/>
              </w:rPr>
              <w:t>–</w:t>
            </w:r>
            <w:r w:rsidRPr="00F77EED">
              <w:rPr>
                <w:rFonts w:ascii="Tahoma" w:hAnsi="Tahoma" w:cs="Tahoma"/>
                <w:sz w:val="20"/>
                <w:szCs w:val="20"/>
              </w:rPr>
              <w:t xml:space="preserve"> Банк</w:t>
            </w:r>
            <w:r>
              <w:rPr>
                <w:rFonts w:ascii="Tahoma" w:hAnsi="Tahoma" w:cs="Tahoma"/>
                <w:sz w:val="20"/>
                <w:szCs w:val="20"/>
              </w:rPr>
              <w:t>/Кредитор</w:t>
            </w:r>
            <w:r w:rsidRPr="00F77EED">
              <w:rPr>
                <w:rFonts w:ascii="Tahoma" w:hAnsi="Tahoma" w:cs="Tahoma"/>
                <w:sz w:val="20"/>
                <w:szCs w:val="20"/>
              </w:rPr>
              <w:t xml:space="preserve">). </w:t>
            </w:r>
            <w:r>
              <w:rPr>
                <w:rFonts w:ascii="Tahoma" w:hAnsi="Tahoma" w:cs="Tahoma"/>
                <w:sz w:val="20"/>
                <w:szCs w:val="20"/>
              </w:rPr>
              <w:t>Универсальная</w:t>
            </w:r>
            <w:r w:rsidRPr="00F77EED">
              <w:rPr>
                <w:rFonts w:ascii="Tahoma" w:hAnsi="Tahoma" w:cs="Tahoma"/>
                <w:sz w:val="20"/>
                <w:szCs w:val="20"/>
              </w:rPr>
              <w:t xml:space="preserve"> лицензия ЦБ РФ № 1810, ОГРН: 1022800000079, ИНН: 2801023444, БИК: 041012765, кор. счет №: 30101810300000000765 в Отделении </w:t>
            </w:r>
            <w:r w:rsidRPr="003966C4">
              <w:rPr>
                <w:rFonts w:ascii="Tahoma" w:hAnsi="Tahoma" w:cs="Tahoma"/>
                <w:sz w:val="20"/>
                <w:szCs w:val="20"/>
              </w:rPr>
              <w:t xml:space="preserve">Благовещенск. Местонахождение Банка и место нахождения его постоянно действующего исполнительного органа: 675004, Амурская область, г. Благовещенск, ул. Амурская, дом 225. Контактный тел.: </w:t>
            </w:r>
          </w:p>
          <w:p w14:paraId="7EEDC743" w14:textId="77777777" w:rsidR="00951A61" w:rsidRPr="00AB541D" w:rsidRDefault="00951A61" w:rsidP="00A4032F">
            <w:pPr>
              <w:tabs>
                <w:tab w:val="left" w:pos="851"/>
              </w:tabs>
              <w:rPr>
                <w:rFonts w:ascii="Tahoma" w:hAnsi="Tahoma" w:cs="Tahoma"/>
                <w:bCs/>
                <w:iCs/>
                <w:sz w:val="20"/>
                <w:szCs w:val="20"/>
              </w:rPr>
            </w:pPr>
            <w:r w:rsidRPr="003966C4">
              <w:rPr>
                <w:rFonts w:ascii="Tahoma" w:hAnsi="Tahoma" w:cs="Tahoma"/>
                <w:sz w:val="20"/>
                <w:szCs w:val="20"/>
              </w:rPr>
              <w:t xml:space="preserve">8 800 775 8888 (звонок по России бесплатный). Сайт Банка в сети Интернет: </w:t>
            </w:r>
            <w:hyperlink r:id="rId45" w:history="1">
              <w:r w:rsidRPr="003966C4">
                <w:rPr>
                  <w:rFonts w:ascii="Tahoma" w:hAnsi="Tahoma" w:cs="Tahoma"/>
                  <w:sz w:val="20"/>
                </w:rPr>
                <w:t>www.atb.su</w:t>
              </w:r>
            </w:hyperlink>
            <w:r w:rsidRPr="00F77EED">
              <w:rPr>
                <w:rFonts w:ascii="Tahoma" w:hAnsi="Tahoma" w:cs="Tahoma"/>
                <w:sz w:val="18"/>
                <w:szCs w:val="20"/>
              </w:rPr>
              <w:t>.</w:t>
            </w:r>
          </w:p>
        </w:tc>
      </w:tr>
      <w:tr w:rsidR="00951A61" w:rsidRPr="00AB541D" w14:paraId="3F7F3E08" w14:textId="77777777" w:rsidTr="00A4032F">
        <w:tc>
          <w:tcPr>
            <w:tcW w:w="1492" w:type="pct"/>
          </w:tcPr>
          <w:p w14:paraId="0CE8D80A" w14:textId="77777777" w:rsidR="00951A61" w:rsidRPr="00AB541D" w:rsidRDefault="00951A61" w:rsidP="00A4032F">
            <w:pPr>
              <w:tabs>
                <w:tab w:val="left" w:pos="851"/>
              </w:tabs>
              <w:jc w:val="center"/>
              <w:rPr>
                <w:rFonts w:ascii="Tahoma" w:hAnsi="Tahoma" w:cs="Tahoma"/>
                <w:color w:val="000000"/>
                <w:sz w:val="20"/>
                <w:szCs w:val="20"/>
              </w:rPr>
            </w:pPr>
            <w:r w:rsidRPr="00AB541D">
              <w:rPr>
                <w:rFonts w:ascii="Tahoma" w:hAnsi="Tahoma" w:cs="Tahoma"/>
                <w:color w:val="000000"/>
                <w:sz w:val="20"/>
                <w:szCs w:val="20"/>
              </w:rPr>
              <w:t>ПСК</w:t>
            </w:r>
          </w:p>
        </w:tc>
        <w:tc>
          <w:tcPr>
            <w:tcW w:w="3508" w:type="pct"/>
          </w:tcPr>
          <w:p w14:paraId="5BB4BB38" w14:textId="77777777" w:rsidR="00951A61" w:rsidRPr="00AB541D" w:rsidRDefault="00951A61" w:rsidP="00A4032F">
            <w:pPr>
              <w:rPr>
                <w:rFonts w:ascii="Tahoma" w:hAnsi="Tahoma" w:cs="Tahoma"/>
                <w:sz w:val="20"/>
                <w:szCs w:val="20"/>
              </w:rPr>
            </w:pPr>
            <w:r w:rsidRPr="00AB541D">
              <w:rPr>
                <w:rFonts w:ascii="Tahoma" w:hAnsi="Tahoma" w:cs="Tahoma"/>
                <w:sz w:val="20"/>
                <w:szCs w:val="20"/>
              </w:rPr>
              <w:t xml:space="preserve">Полная стоимость потребительского кредита определяется как в процентах годовых, </w:t>
            </w:r>
            <w:r w:rsidRPr="00AB541D">
              <w:rPr>
                <w:rFonts w:ascii="Tahoma" w:hAnsi="Tahoma" w:cs="Tahoma"/>
                <w:bCs/>
                <w:sz w:val="20"/>
                <w:szCs w:val="20"/>
              </w:rPr>
              <w:t>так и в денежном выражении</w:t>
            </w:r>
          </w:p>
        </w:tc>
      </w:tr>
      <w:tr w:rsidR="00951A61" w:rsidRPr="00AB541D" w14:paraId="4D016168" w14:textId="77777777" w:rsidTr="00A4032F">
        <w:tc>
          <w:tcPr>
            <w:tcW w:w="1492" w:type="pct"/>
          </w:tcPr>
          <w:p w14:paraId="0F7B9CA4" w14:textId="77777777" w:rsidR="00951A61" w:rsidRPr="00AB541D" w:rsidRDefault="00951A61" w:rsidP="00A4032F">
            <w:pPr>
              <w:jc w:val="center"/>
              <w:rPr>
                <w:rFonts w:ascii="Tahoma" w:hAnsi="Tahoma" w:cs="Tahoma"/>
                <w:bCs/>
                <w:sz w:val="20"/>
                <w:szCs w:val="20"/>
              </w:rPr>
            </w:pPr>
            <w:r w:rsidRPr="00AB541D">
              <w:rPr>
                <w:rFonts w:ascii="Tahoma" w:hAnsi="Tahoma" w:cs="Tahoma"/>
                <w:sz w:val="20"/>
                <w:szCs w:val="20"/>
              </w:rPr>
              <w:t>ТБС (либо ТБС Заемщика)</w:t>
            </w:r>
          </w:p>
        </w:tc>
        <w:tc>
          <w:tcPr>
            <w:tcW w:w="3508" w:type="pct"/>
          </w:tcPr>
          <w:p w14:paraId="1434E9FE" w14:textId="77777777" w:rsidR="00951A61" w:rsidRPr="00AB541D" w:rsidRDefault="00951A61" w:rsidP="00A4032F">
            <w:pPr>
              <w:widowControl w:val="0"/>
              <w:tabs>
                <w:tab w:val="left" w:pos="851"/>
              </w:tabs>
              <w:adjustRightInd w:val="0"/>
              <w:rPr>
                <w:rFonts w:ascii="Tahoma" w:hAnsi="Tahoma" w:cs="Tahoma"/>
                <w:bCs/>
                <w:sz w:val="20"/>
                <w:szCs w:val="20"/>
              </w:rPr>
            </w:pPr>
            <w:r w:rsidRPr="00AB541D">
              <w:rPr>
                <w:rFonts w:ascii="Tahoma" w:hAnsi="Tahoma" w:cs="Tahoma"/>
                <w:sz w:val="20"/>
                <w:szCs w:val="20"/>
              </w:rPr>
              <w:t>Текущий банковский счет, открытый Банком Заемщи</w:t>
            </w:r>
            <w:r>
              <w:rPr>
                <w:rFonts w:ascii="Tahoma" w:hAnsi="Tahoma" w:cs="Tahoma"/>
                <w:sz w:val="20"/>
                <w:szCs w:val="20"/>
              </w:rPr>
              <w:t>ку в рамках Кредитного договора</w:t>
            </w:r>
          </w:p>
        </w:tc>
      </w:tr>
      <w:tr w:rsidR="00951A61" w:rsidRPr="00AB541D" w14:paraId="0413937C" w14:textId="77777777" w:rsidTr="00A4032F">
        <w:trPr>
          <w:trHeight w:val="153"/>
        </w:trPr>
        <w:tc>
          <w:tcPr>
            <w:tcW w:w="1492" w:type="pct"/>
            <w:vAlign w:val="center"/>
          </w:tcPr>
          <w:p w14:paraId="4902AC18" w14:textId="77777777" w:rsidR="00951A61" w:rsidRPr="00AB541D" w:rsidRDefault="00951A61" w:rsidP="00A4032F">
            <w:pPr>
              <w:jc w:val="center"/>
              <w:rPr>
                <w:rFonts w:ascii="Tahoma" w:hAnsi="Tahoma" w:cs="Tahoma"/>
                <w:sz w:val="20"/>
                <w:szCs w:val="20"/>
              </w:rPr>
            </w:pPr>
            <w:r w:rsidRPr="00AB541D">
              <w:rPr>
                <w:rFonts w:ascii="Tahoma" w:hAnsi="Tahoma" w:cs="Tahoma"/>
                <w:sz w:val="20"/>
                <w:szCs w:val="20"/>
              </w:rPr>
              <w:t>Кредитный договор/Договор</w:t>
            </w:r>
          </w:p>
        </w:tc>
        <w:tc>
          <w:tcPr>
            <w:tcW w:w="3508" w:type="pct"/>
          </w:tcPr>
          <w:p w14:paraId="06910258" w14:textId="77777777" w:rsidR="00951A61" w:rsidRPr="00AB541D" w:rsidRDefault="00951A61" w:rsidP="00A4032F">
            <w:pPr>
              <w:widowControl w:val="0"/>
              <w:tabs>
                <w:tab w:val="left" w:pos="851"/>
              </w:tabs>
              <w:adjustRightInd w:val="0"/>
              <w:rPr>
                <w:rFonts w:ascii="Tahoma" w:hAnsi="Tahoma" w:cs="Tahoma"/>
                <w:sz w:val="20"/>
                <w:szCs w:val="20"/>
              </w:rPr>
            </w:pPr>
            <w:r w:rsidRPr="00AB541D">
              <w:rPr>
                <w:rFonts w:ascii="Tahoma" w:hAnsi="Tahoma" w:cs="Tahoma"/>
                <w:sz w:val="20"/>
                <w:szCs w:val="20"/>
              </w:rPr>
              <w:t>Кредитный договор, который заключен между Банком и физическим лицом в целях, не связанных с осуществлением физическим лицом (Заемщиком) предпринимательской деятельности, и обязательства Заемщика</w:t>
            </w:r>
            <w:r>
              <w:rPr>
                <w:rFonts w:ascii="Tahoma" w:hAnsi="Tahoma" w:cs="Tahoma"/>
                <w:sz w:val="20"/>
                <w:szCs w:val="20"/>
              </w:rPr>
              <w:t xml:space="preserve"> по которым обеспечены ипотекой</w:t>
            </w:r>
          </w:p>
        </w:tc>
      </w:tr>
      <w:tr w:rsidR="00951A61" w:rsidRPr="00AB541D" w14:paraId="23E0B3DC" w14:textId="77777777" w:rsidTr="00A4032F">
        <w:trPr>
          <w:trHeight w:val="153"/>
        </w:trPr>
        <w:tc>
          <w:tcPr>
            <w:tcW w:w="1492" w:type="pct"/>
            <w:vAlign w:val="center"/>
          </w:tcPr>
          <w:p w14:paraId="7E0DA148" w14:textId="77777777" w:rsidR="00951A61" w:rsidRPr="00AB541D" w:rsidRDefault="00951A61" w:rsidP="00A4032F">
            <w:pPr>
              <w:jc w:val="center"/>
              <w:rPr>
                <w:rFonts w:ascii="Tahoma" w:hAnsi="Tahoma" w:cs="Tahoma"/>
                <w:sz w:val="20"/>
                <w:szCs w:val="20"/>
              </w:rPr>
            </w:pPr>
            <w:r w:rsidRPr="00AB541D">
              <w:rPr>
                <w:rFonts w:ascii="Tahoma" w:hAnsi="Tahoma" w:cs="Tahoma"/>
                <w:sz w:val="20"/>
                <w:szCs w:val="20"/>
              </w:rPr>
              <w:t>Апартаменты</w:t>
            </w:r>
          </w:p>
        </w:tc>
        <w:tc>
          <w:tcPr>
            <w:tcW w:w="3508" w:type="pct"/>
          </w:tcPr>
          <w:p w14:paraId="6BF151EC" w14:textId="77777777" w:rsidR="00951A61" w:rsidRPr="00AB541D" w:rsidRDefault="00951A61" w:rsidP="00A4032F">
            <w:pPr>
              <w:widowControl w:val="0"/>
              <w:tabs>
                <w:tab w:val="left" w:pos="851"/>
              </w:tabs>
              <w:adjustRightInd w:val="0"/>
              <w:rPr>
                <w:rFonts w:ascii="Tahoma" w:hAnsi="Tahoma" w:cs="Tahoma"/>
                <w:sz w:val="20"/>
                <w:szCs w:val="20"/>
              </w:rPr>
            </w:pPr>
            <w:r>
              <w:rPr>
                <w:rFonts w:ascii="Tahoma" w:hAnsi="Tahoma" w:cs="Tahoma"/>
                <w:sz w:val="20"/>
                <w:szCs w:val="20"/>
              </w:rPr>
              <w:t>О</w:t>
            </w:r>
            <w:r w:rsidRPr="00AB541D">
              <w:rPr>
                <w:rFonts w:ascii="Tahoma" w:hAnsi="Tahoma" w:cs="Tahoma"/>
                <w:sz w:val="20"/>
                <w:szCs w:val="20"/>
              </w:rPr>
              <w:t>бъект нежилой недвижимости, наделенный потребительскими свойствами объекта жилой недвижимости, в силу санитарных норм, установленных законодательством Российской Федерации, не предназначе</w:t>
            </w:r>
            <w:r>
              <w:rPr>
                <w:rFonts w:ascii="Tahoma" w:hAnsi="Tahoma" w:cs="Tahoma"/>
                <w:sz w:val="20"/>
                <w:szCs w:val="20"/>
              </w:rPr>
              <w:t>нный для постоянного проживания</w:t>
            </w:r>
          </w:p>
        </w:tc>
      </w:tr>
      <w:tr w:rsidR="00951A61" w:rsidRPr="00AB541D" w14:paraId="22629DE1" w14:textId="77777777" w:rsidTr="00A4032F">
        <w:trPr>
          <w:trHeight w:val="153"/>
        </w:trPr>
        <w:tc>
          <w:tcPr>
            <w:tcW w:w="1492" w:type="pct"/>
            <w:vAlign w:val="center"/>
          </w:tcPr>
          <w:p w14:paraId="7E60D2C3" w14:textId="77777777" w:rsidR="00951A61" w:rsidRPr="00EE1A99" w:rsidRDefault="00951A61" w:rsidP="00A4032F">
            <w:pPr>
              <w:jc w:val="center"/>
              <w:rPr>
                <w:rFonts w:ascii="Tahoma" w:hAnsi="Tahoma" w:cs="Tahoma"/>
                <w:sz w:val="20"/>
                <w:szCs w:val="20"/>
              </w:rPr>
            </w:pPr>
            <w:r w:rsidRPr="00EE1A99">
              <w:rPr>
                <w:rFonts w:ascii="Tahoma" w:hAnsi="Tahoma" w:cs="Tahoma"/>
                <w:sz w:val="20"/>
                <w:szCs w:val="20"/>
              </w:rPr>
              <w:t>Таунхаус</w:t>
            </w:r>
          </w:p>
        </w:tc>
        <w:tc>
          <w:tcPr>
            <w:tcW w:w="3508" w:type="pct"/>
          </w:tcPr>
          <w:p w14:paraId="63828CDB" w14:textId="77777777" w:rsidR="00951A61" w:rsidRPr="00EE1A99" w:rsidRDefault="00951A61" w:rsidP="00A4032F">
            <w:pPr>
              <w:widowControl w:val="0"/>
              <w:tabs>
                <w:tab w:val="left" w:pos="851"/>
              </w:tabs>
              <w:adjustRightInd w:val="0"/>
              <w:rPr>
                <w:rFonts w:ascii="Tahoma" w:hAnsi="Tahoma" w:cs="Tahoma"/>
                <w:sz w:val="20"/>
                <w:szCs w:val="20"/>
              </w:rPr>
            </w:pPr>
            <w:r w:rsidRPr="00EE1A99">
              <w:rPr>
                <w:rFonts w:ascii="Tahoma" w:hAnsi="Tahoma" w:cs="Tahoma"/>
                <w:sz w:val="20"/>
                <w:szCs w:val="20"/>
              </w:rPr>
              <w:t>Малоэтажный жилой дом (не менее 2-х и не более 3-х надземных этажей) на несколько многоуровневых квартир (секций)/ сблокированный из нескольких многоуровневых квартир (секций)), как правило, с изолированными входами (без общего подъезда) для входа в квартиру (секцию), входящий в комплекс однотипных (построенных</w:t>
            </w:r>
            <w:r>
              <w:rPr>
                <w:rFonts w:ascii="Tahoma" w:hAnsi="Tahoma" w:cs="Tahoma"/>
                <w:sz w:val="20"/>
                <w:szCs w:val="20"/>
              </w:rPr>
              <w:t xml:space="preserve"> по одному проекту) жилых домов</w:t>
            </w:r>
          </w:p>
        </w:tc>
      </w:tr>
      <w:tr w:rsidR="00951A61" w:rsidRPr="00F54E81" w14:paraId="3A618D6C" w14:textId="77777777" w:rsidTr="00A4032F">
        <w:trPr>
          <w:trHeight w:val="153"/>
        </w:trPr>
        <w:tc>
          <w:tcPr>
            <w:tcW w:w="1492" w:type="pct"/>
            <w:tcBorders>
              <w:top w:val="single" w:sz="4" w:space="0" w:color="auto"/>
              <w:left w:val="single" w:sz="4" w:space="0" w:color="auto"/>
              <w:bottom w:val="single" w:sz="4" w:space="0" w:color="auto"/>
              <w:right w:val="single" w:sz="4" w:space="0" w:color="auto"/>
            </w:tcBorders>
            <w:vAlign w:val="center"/>
          </w:tcPr>
          <w:p w14:paraId="3C4F7EEE" w14:textId="77777777" w:rsidR="00951A61" w:rsidRPr="00EE1A99" w:rsidRDefault="00951A61" w:rsidP="00A4032F">
            <w:pPr>
              <w:jc w:val="center"/>
              <w:rPr>
                <w:rFonts w:ascii="Tahoma" w:hAnsi="Tahoma" w:cs="Tahoma"/>
                <w:sz w:val="20"/>
                <w:szCs w:val="20"/>
              </w:rPr>
            </w:pPr>
            <w:r w:rsidRPr="00EE1A99">
              <w:rPr>
                <w:rFonts w:ascii="Tahoma" w:hAnsi="Tahoma" w:cs="Tahoma"/>
                <w:sz w:val="20"/>
                <w:szCs w:val="20"/>
              </w:rPr>
              <w:t>Зарплатные клиенты «Азиатско-Тихоокеанский Банк</w:t>
            </w:r>
            <w:r>
              <w:rPr>
                <w:rFonts w:ascii="Tahoma" w:hAnsi="Tahoma" w:cs="Tahoma"/>
                <w:sz w:val="20"/>
                <w:szCs w:val="20"/>
              </w:rPr>
              <w:t>»</w:t>
            </w:r>
            <w:r w:rsidRPr="00EE1A99">
              <w:rPr>
                <w:rFonts w:ascii="Tahoma" w:hAnsi="Tahoma" w:cs="Tahoma"/>
                <w:sz w:val="20"/>
                <w:szCs w:val="20"/>
              </w:rPr>
              <w:t xml:space="preserve"> (АО)</w:t>
            </w:r>
          </w:p>
        </w:tc>
        <w:tc>
          <w:tcPr>
            <w:tcW w:w="3508" w:type="pct"/>
            <w:tcBorders>
              <w:top w:val="single" w:sz="4" w:space="0" w:color="auto"/>
              <w:left w:val="single" w:sz="4" w:space="0" w:color="auto"/>
              <w:bottom w:val="single" w:sz="4" w:space="0" w:color="auto"/>
              <w:right w:val="single" w:sz="4" w:space="0" w:color="auto"/>
            </w:tcBorders>
            <w:vAlign w:val="center"/>
          </w:tcPr>
          <w:p w14:paraId="50C54128" w14:textId="77777777" w:rsidR="00951A61" w:rsidRPr="00EE1A99" w:rsidRDefault="00951A61" w:rsidP="00A4032F">
            <w:pPr>
              <w:rPr>
                <w:rFonts w:ascii="Tahoma" w:hAnsi="Tahoma" w:cs="Tahoma"/>
                <w:sz w:val="20"/>
                <w:szCs w:val="20"/>
              </w:rPr>
            </w:pPr>
            <w:r w:rsidRPr="00EE1A99">
              <w:rPr>
                <w:rFonts w:ascii="Tahoma" w:hAnsi="Tahoma" w:cs="Tahoma"/>
                <w:sz w:val="20"/>
                <w:szCs w:val="20"/>
              </w:rPr>
              <w:t xml:space="preserve">Клиент Банка, получающий заработную </w:t>
            </w:r>
            <w:r>
              <w:rPr>
                <w:rFonts w:ascii="Tahoma" w:hAnsi="Tahoma" w:cs="Tahoma"/>
                <w:sz w:val="20"/>
                <w:szCs w:val="20"/>
              </w:rPr>
              <w:t>плату на Счет, открытый в Банке</w:t>
            </w:r>
          </w:p>
        </w:tc>
      </w:tr>
    </w:tbl>
    <w:p w14:paraId="4B7B45AB" w14:textId="77777777" w:rsidR="00951A61" w:rsidRPr="00AB541D" w:rsidRDefault="00951A61" w:rsidP="00951A61">
      <w:pPr>
        <w:rPr>
          <w:rFonts w:ascii="Tahoma" w:hAnsi="Tahoma" w:cs="Tahoma"/>
          <w:noProof/>
          <w:sz w:val="20"/>
          <w:szCs w:val="20"/>
        </w:rPr>
      </w:pPr>
    </w:p>
    <w:p w14:paraId="532C9E5E" w14:textId="77777777" w:rsidR="00951A61" w:rsidRPr="00AB541D" w:rsidRDefault="00951A61" w:rsidP="00B460F9">
      <w:pPr>
        <w:pStyle w:val="affe"/>
        <w:numPr>
          <w:ilvl w:val="0"/>
          <w:numId w:val="184"/>
        </w:numPr>
        <w:tabs>
          <w:tab w:val="left" w:pos="851"/>
        </w:tabs>
        <w:ind w:left="0" w:firstLine="426"/>
        <w:contextualSpacing/>
        <w:jc w:val="both"/>
        <w:rPr>
          <w:rFonts w:ascii="Tahoma" w:hAnsi="Tahoma" w:cs="Tahoma"/>
          <w:b/>
          <w:bCs/>
          <w:caps/>
          <w:sz w:val="20"/>
          <w:szCs w:val="20"/>
        </w:rPr>
      </w:pPr>
      <w:r w:rsidRPr="00AB541D">
        <w:rPr>
          <w:rFonts w:ascii="Tahoma" w:hAnsi="Tahoma" w:cs="Tahoma"/>
          <w:b/>
          <w:bCs/>
          <w:caps/>
          <w:sz w:val="20"/>
          <w:szCs w:val="20"/>
        </w:rPr>
        <w:t>ИНФОРМАЦИЯ ОБ УСЛОВИЯХ ПРЕДОСТАВЛЕНИЯ, ИСПОЛЬЗОВАНИЯ И ВОЗВРАТА ИПОТЕЧНОГО КРЕДИТА</w:t>
      </w:r>
    </w:p>
    <w:p w14:paraId="71C44F8A" w14:textId="77777777" w:rsidR="00951A61" w:rsidRPr="00AB541D" w:rsidRDefault="00951A61" w:rsidP="00951A61">
      <w:pPr>
        <w:pStyle w:val="affe"/>
        <w:tabs>
          <w:tab w:val="left" w:pos="851"/>
        </w:tabs>
        <w:ind w:left="426"/>
        <w:rPr>
          <w:rFonts w:ascii="Tahoma" w:hAnsi="Tahoma" w:cs="Tahoma"/>
          <w:b/>
          <w:bCs/>
          <w:caps/>
          <w:sz w:val="20"/>
          <w:szCs w:val="20"/>
        </w:rPr>
      </w:pPr>
    </w:p>
    <w:tbl>
      <w:tblPr>
        <w:tblW w:w="15573" w:type="dxa"/>
        <w:tblInd w:w="35" w:type="dxa"/>
        <w:tblLayout w:type="fixed"/>
        <w:tblLook w:val="04A0" w:firstRow="1" w:lastRow="0" w:firstColumn="1" w:lastColumn="0" w:noHBand="0" w:noVBand="1"/>
      </w:tblPr>
      <w:tblGrid>
        <w:gridCol w:w="4609"/>
        <w:gridCol w:w="10964"/>
      </w:tblGrid>
      <w:tr w:rsidR="00951A61" w:rsidRPr="00AB541D" w14:paraId="1214A01B" w14:textId="77777777" w:rsidTr="00A4032F">
        <w:trPr>
          <w:trHeight w:val="255"/>
        </w:trPr>
        <w:tc>
          <w:tcPr>
            <w:tcW w:w="4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32C67B5" w14:textId="77777777" w:rsidR="00951A61" w:rsidRPr="00AB541D" w:rsidRDefault="00951A61" w:rsidP="00A4032F">
            <w:pPr>
              <w:jc w:val="center"/>
              <w:rPr>
                <w:rFonts w:ascii="Tahoma" w:hAnsi="Tahoma" w:cs="Tahoma"/>
                <w:b/>
                <w:bCs/>
                <w:sz w:val="20"/>
                <w:szCs w:val="20"/>
              </w:rPr>
            </w:pPr>
            <w:r w:rsidRPr="00AB541D">
              <w:rPr>
                <w:rFonts w:ascii="Tahoma" w:hAnsi="Tahoma" w:cs="Tahoma"/>
                <w:b/>
                <w:bCs/>
                <w:sz w:val="20"/>
                <w:szCs w:val="20"/>
              </w:rPr>
              <w:t>Наименование                                    тарифного плана (ТП)</w:t>
            </w:r>
          </w:p>
        </w:tc>
        <w:tc>
          <w:tcPr>
            <w:tcW w:w="10964"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99346EC" w14:textId="77777777" w:rsidR="00951A61" w:rsidRPr="00AB541D" w:rsidRDefault="00951A61" w:rsidP="00A4032F">
            <w:pPr>
              <w:jc w:val="center"/>
              <w:rPr>
                <w:rFonts w:ascii="Tahoma" w:hAnsi="Tahoma" w:cs="Tahoma"/>
                <w:b/>
                <w:bCs/>
                <w:sz w:val="20"/>
                <w:szCs w:val="20"/>
              </w:rPr>
            </w:pPr>
            <w:r w:rsidRPr="00AB541D">
              <w:rPr>
                <w:rFonts w:ascii="Tahoma" w:hAnsi="Tahoma" w:cs="Tahoma"/>
                <w:b/>
                <w:bCs/>
                <w:sz w:val="20"/>
                <w:szCs w:val="20"/>
              </w:rPr>
              <w:t xml:space="preserve"> «</w:t>
            </w:r>
            <w:r w:rsidRPr="00AB541D">
              <w:rPr>
                <w:rFonts w:ascii="Tahoma" w:hAnsi="Tahoma" w:cs="Tahoma"/>
                <w:b/>
                <w:noProof/>
                <w:sz w:val="20"/>
                <w:szCs w:val="20"/>
              </w:rPr>
              <w:t>Строящееся жилье</w:t>
            </w:r>
            <w:r w:rsidRPr="00AB541D">
              <w:rPr>
                <w:rFonts w:ascii="Tahoma" w:hAnsi="Tahoma" w:cs="Tahoma"/>
                <w:b/>
                <w:bCs/>
                <w:sz w:val="20"/>
                <w:szCs w:val="20"/>
              </w:rPr>
              <w:t>»</w:t>
            </w:r>
          </w:p>
        </w:tc>
      </w:tr>
      <w:tr w:rsidR="00951A61" w:rsidRPr="00AB541D" w14:paraId="3D5570AB" w14:textId="77777777" w:rsidTr="00A4032F">
        <w:trPr>
          <w:trHeight w:val="255"/>
        </w:trPr>
        <w:tc>
          <w:tcPr>
            <w:tcW w:w="46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EF384" w14:textId="77777777" w:rsidR="00951A61" w:rsidRPr="00AB541D" w:rsidRDefault="00951A61" w:rsidP="00A4032F">
            <w:pPr>
              <w:jc w:val="center"/>
              <w:rPr>
                <w:rFonts w:ascii="Tahoma" w:hAnsi="Tahoma" w:cs="Tahoma"/>
                <w:b/>
                <w:bCs/>
                <w:sz w:val="20"/>
                <w:szCs w:val="20"/>
              </w:rPr>
            </w:pPr>
            <w:r w:rsidRPr="00AB541D">
              <w:rPr>
                <w:rFonts w:ascii="Tahoma" w:hAnsi="Tahoma" w:cs="Tahoma"/>
                <w:b/>
                <w:bCs/>
                <w:sz w:val="20"/>
                <w:szCs w:val="20"/>
              </w:rPr>
              <w:t>Вид Кредита</w:t>
            </w:r>
          </w:p>
        </w:tc>
        <w:tc>
          <w:tcPr>
            <w:tcW w:w="10964" w:type="dxa"/>
            <w:tcBorders>
              <w:top w:val="single" w:sz="4" w:space="0" w:color="auto"/>
              <w:left w:val="nil"/>
              <w:bottom w:val="single" w:sz="4" w:space="0" w:color="auto"/>
              <w:right w:val="single" w:sz="4" w:space="0" w:color="auto"/>
            </w:tcBorders>
            <w:shd w:val="clear" w:color="auto" w:fill="auto"/>
            <w:vAlign w:val="center"/>
          </w:tcPr>
          <w:p w14:paraId="3BE0E246" w14:textId="77777777" w:rsidR="00951A61" w:rsidRPr="00AB541D" w:rsidRDefault="00951A61" w:rsidP="00A4032F">
            <w:pPr>
              <w:rPr>
                <w:rFonts w:ascii="Tahoma" w:hAnsi="Tahoma" w:cs="Tahoma"/>
                <w:sz w:val="20"/>
                <w:szCs w:val="20"/>
              </w:rPr>
            </w:pPr>
            <w:r w:rsidRPr="00AB541D">
              <w:rPr>
                <w:rFonts w:ascii="Tahoma" w:hAnsi="Tahoma" w:cs="Tahoma"/>
                <w:sz w:val="20"/>
                <w:szCs w:val="20"/>
              </w:rPr>
              <w:t>Ипотечный кредит</w:t>
            </w:r>
          </w:p>
        </w:tc>
      </w:tr>
      <w:tr w:rsidR="00951A61" w:rsidRPr="00AB541D" w14:paraId="116626C0" w14:textId="77777777" w:rsidTr="00A4032F">
        <w:trPr>
          <w:trHeight w:val="255"/>
        </w:trPr>
        <w:tc>
          <w:tcPr>
            <w:tcW w:w="4609" w:type="dxa"/>
            <w:tcBorders>
              <w:top w:val="single" w:sz="4" w:space="0" w:color="auto"/>
              <w:left w:val="single" w:sz="4" w:space="0" w:color="auto"/>
              <w:bottom w:val="single" w:sz="4" w:space="0" w:color="auto"/>
              <w:right w:val="single" w:sz="4" w:space="0" w:color="auto"/>
            </w:tcBorders>
            <w:shd w:val="clear" w:color="auto" w:fill="auto"/>
            <w:vAlign w:val="center"/>
          </w:tcPr>
          <w:p w14:paraId="11D036C7" w14:textId="77777777" w:rsidR="00951A61" w:rsidRPr="00AB541D" w:rsidDel="00ED23AE" w:rsidRDefault="00951A61" w:rsidP="00A4032F">
            <w:pPr>
              <w:jc w:val="center"/>
              <w:rPr>
                <w:rFonts w:ascii="Tahoma" w:hAnsi="Tahoma" w:cs="Tahoma"/>
                <w:b/>
                <w:sz w:val="20"/>
                <w:szCs w:val="20"/>
              </w:rPr>
            </w:pPr>
            <w:r w:rsidRPr="00AB541D">
              <w:rPr>
                <w:rFonts w:ascii="Tahoma" w:hAnsi="Tahoma" w:cs="Tahoma"/>
                <w:b/>
                <w:sz w:val="20"/>
                <w:szCs w:val="20"/>
              </w:rPr>
              <w:t>Цель Кредита</w:t>
            </w:r>
          </w:p>
        </w:tc>
        <w:tc>
          <w:tcPr>
            <w:tcW w:w="10964" w:type="dxa"/>
            <w:tcBorders>
              <w:top w:val="single" w:sz="4" w:space="0" w:color="auto"/>
              <w:left w:val="nil"/>
              <w:bottom w:val="single" w:sz="4" w:space="0" w:color="auto"/>
              <w:right w:val="single" w:sz="4" w:space="0" w:color="auto"/>
            </w:tcBorders>
            <w:shd w:val="clear" w:color="auto" w:fill="auto"/>
            <w:vAlign w:val="center"/>
          </w:tcPr>
          <w:p w14:paraId="7BD21DEC" w14:textId="77777777" w:rsidR="00951A61" w:rsidRPr="00AB541D" w:rsidRDefault="00951A61" w:rsidP="00951A61">
            <w:pPr>
              <w:pStyle w:val="affe"/>
              <w:numPr>
                <w:ilvl w:val="0"/>
                <w:numId w:val="51"/>
              </w:numPr>
              <w:ind w:left="0" w:firstLine="0"/>
              <w:contextualSpacing/>
              <w:jc w:val="both"/>
              <w:rPr>
                <w:rFonts w:ascii="Tahoma" w:hAnsi="Tahoma" w:cs="Tahoma"/>
                <w:sz w:val="20"/>
                <w:szCs w:val="20"/>
              </w:rPr>
            </w:pPr>
            <w:r w:rsidRPr="00AB541D">
              <w:rPr>
                <w:rFonts w:ascii="Tahoma" w:hAnsi="Tahoma" w:cs="Tahoma"/>
                <w:sz w:val="20"/>
                <w:szCs w:val="20"/>
              </w:rPr>
              <w:t>Приобретение квартиры/апартаментов в многоквартирном доме на этапе строительства</w:t>
            </w:r>
            <w:r w:rsidRPr="00AB541D">
              <w:rPr>
                <w:rStyle w:val="aff3"/>
                <w:rFonts w:ascii="Tahoma" w:hAnsi="Tahoma" w:cs="Tahoma"/>
                <w:sz w:val="20"/>
                <w:szCs w:val="20"/>
              </w:rPr>
              <w:footnoteReference w:id="49"/>
            </w:r>
            <w:r w:rsidRPr="00AB541D">
              <w:rPr>
                <w:rFonts w:ascii="Tahoma" w:hAnsi="Tahoma" w:cs="Tahoma"/>
                <w:sz w:val="20"/>
                <w:szCs w:val="20"/>
              </w:rPr>
              <w:t xml:space="preserve"> в соответствии с Федеральным законом от 30.12.2004 года № 214-ФЗ «Об участии в долевом строительстве многоквартирных домов </w:t>
            </w:r>
            <w:r w:rsidRPr="00AB541D">
              <w:rPr>
                <w:rFonts w:ascii="Tahoma" w:hAnsi="Tahoma" w:cs="Tahoma"/>
                <w:sz w:val="20"/>
                <w:szCs w:val="20"/>
              </w:rPr>
              <w:lastRenderedPageBreak/>
              <w:t>и иных объектов недвижимости и о внесении изменений в некоторые законодательные акты Российской Федерации» (далее – Объект недвижимости);</w:t>
            </w:r>
          </w:p>
          <w:p w14:paraId="46D2D853" w14:textId="77777777" w:rsidR="00951A61" w:rsidRPr="00AB541D" w:rsidRDefault="00951A61" w:rsidP="00951A61">
            <w:pPr>
              <w:pStyle w:val="affe"/>
              <w:numPr>
                <w:ilvl w:val="0"/>
                <w:numId w:val="51"/>
              </w:numPr>
              <w:ind w:left="0" w:firstLine="0"/>
              <w:contextualSpacing/>
              <w:jc w:val="both"/>
              <w:rPr>
                <w:rFonts w:ascii="Tahoma" w:hAnsi="Tahoma" w:cs="Tahoma"/>
                <w:sz w:val="20"/>
                <w:szCs w:val="20"/>
              </w:rPr>
            </w:pPr>
            <w:r w:rsidRPr="00AB541D">
              <w:rPr>
                <w:rFonts w:ascii="Tahoma" w:hAnsi="Tahoma" w:cs="Tahoma"/>
                <w:sz w:val="20"/>
                <w:szCs w:val="20"/>
              </w:rPr>
              <w:t>Приобретение таунхауса путем:</w:t>
            </w:r>
          </w:p>
          <w:p w14:paraId="21C1D014" w14:textId="77777777" w:rsidR="00951A61" w:rsidRPr="00AB541D" w:rsidRDefault="00951A61" w:rsidP="00951A61">
            <w:pPr>
              <w:pStyle w:val="affa"/>
              <w:numPr>
                <w:ilvl w:val="0"/>
                <w:numId w:val="52"/>
              </w:numPr>
              <w:ind w:left="0" w:firstLine="601"/>
              <w:jc w:val="both"/>
              <w:rPr>
                <w:rFonts w:ascii="Tahoma" w:hAnsi="Tahoma" w:cs="Tahoma"/>
              </w:rPr>
            </w:pPr>
            <w:r w:rsidRPr="00AB541D">
              <w:rPr>
                <w:rFonts w:ascii="Tahoma" w:hAnsi="Tahoma" w:cs="Tahoma"/>
              </w:rPr>
              <w:t>заключения договора участия в долевом строительстве многоквартирного дома, которое осуществляется застройщиком – юридическим лицом;</w:t>
            </w:r>
          </w:p>
          <w:p w14:paraId="235866A2" w14:textId="77777777" w:rsidR="00951A61" w:rsidRPr="00AB541D" w:rsidDel="00ED23AE" w:rsidRDefault="00951A61" w:rsidP="00951A61">
            <w:pPr>
              <w:pStyle w:val="affe"/>
              <w:numPr>
                <w:ilvl w:val="0"/>
                <w:numId w:val="52"/>
              </w:numPr>
              <w:ind w:left="0" w:firstLine="601"/>
              <w:contextualSpacing/>
              <w:jc w:val="both"/>
              <w:rPr>
                <w:rFonts w:ascii="Tahoma" w:hAnsi="Tahoma" w:cs="Tahoma"/>
                <w:sz w:val="20"/>
                <w:szCs w:val="20"/>
              </w:rPr>
            </w:pPr>
            <w:r w:rsidRPr="00AB541D">
              <w:rPr>
                <w:rFonts w:ascii="Tahoma" w:hAnsi="Tahoma" w:cs="Tahoma"/>
                <w:sz w:val="20"/>
                <w:szCs w:val="20"/>
              </w:rPr>
              <w:t>заключения договора уступки прав требования по договору участия в долевом строительстве многоквартирного дома, при этом цедентом в договоре уступки может выступать как физическое, так и юридическое лицо.</w:t>
            </w:r>
            <w:r w:rsidRPr="00AB541D" w:rsidDel="00ED23AE">
              <w:rPr>
                <w:rFonts w:ascii="Tahoma" w:hAnsi="Tahoma" w:cs="Tahoma"/>
                <w:sz w:val="20"/>
                <w:szCs w:val="20"/>
              </w:rPr>
              <w:t xml:space="preserve"> </w:t>
            </w:r>
          </w:p>
        </w:tc>
      </w:tr>
      <w:tr w:rsidR="00951A61" w:rsidRPr="00AB541D" w14:paraId="6BF03790" w14:textId="77777777" w:rsidTr="00A4032F">
        <w:trPr>
          <w:trHeight w:val="255"/>
        </w:trPr>
        <w:tc>
          <w:tcPr>
            <w:tcW w:w="46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E95BAF" w14:textId="77777777" w:rsidR="00951A61" w:rsidRPr="00AB541D" w:rsidRDefault="00951A61" w:rsidP="00A4032F">
            <w:pPr>
              <w:jc w:val="center"/>
              <w:rPr>
                <w:rFonts w:ascii="Tahoma" w:hAnsi="Tahoma" w:cs="Tahoma"/>
                <w:b/>
                <w:sz w:val="20"/>
                <w:szCs w:val="20"/>
              </w:rPr>
            </w:pPr>
            <w:r w:rsidRPr="00AB541D">
              <w:rPr>
                <w:rFonts w:ascii="Tahoma" w:hAnsi="Tahoma" w:cs="Tahoma"/>
                <w:b/>
                <w:sz w:val="20"/>
                <w:szCs w:val="20"/>
              </w:rPr>
              <w:lastRenderedPageBreak/>
              <w:t>Подразделения сети/Точки продаж, реализующие кредитный продукт</w:t>
            </w:r>
          </w:p>
        </w:tc>
        <w:tc>
          <w:tcPr>
            <w:tcW w:w="10964" w:type="dxa"/>
            <w:tcBorders>
              <w:top w:val="single" w:sz="4" w:space="0" w:color="auto"/>
              <w:left w:val="nil"/>
              <w:bottom w:val="single" w:sz="4" w:space="0" w:color="auto"/>
              <w:right w:val="single" w:sz="4" w:space="0" w:color="auto"/>
            </w:tcBorders>
            <w:shd w:val="clear" w:color="auto" w:fill="auto"/>
            <w:vAlign w:val="center"/>
            <w:hideMark/>
          </w:tcPr>
          <w:p w14:paraId="116F0A70" w14:textId="77777777" w:rsidR="00951A61" w:rsidRPr="00AB541D" w:rsidRDefault="00951A61" w:rsidP="00A4032F">
            <w:pPr>
              <w:rPr>
                <w:rFonts w:ascii="Tahoma" w:hAnsi="Tahoma" w:cs="Tahoma"/>
                <w:sz w:val="20"/>
                <w:szCs w:val="20"/>
              </w:rPr>
            </w:pPr>
            <w:r w:rsidRPr="00AB541D">
              <w:rPr>
                <w:rFonts w:ascii="Tahoma" w:hAnsi="Tahoma" w:cs="Tahoma"/>
                <w:sz w:val="20"/>
                <w:szCs w:val="20"/>
              </w:rPr>
              <w:t>Все подразделения Банка</w:t>
            </w:r>
          </w:p>
        </w:tc>
      </w:tr>
      <w:tr w:rsidR="00951A61" w:rsidRPr="00AB541D" w14:paraId="3C1DB71B" w14:textId="77777777" w:rsidTr="00A4032F">
        <w:trPr>
          <w:trHeight w:val="255"/>
        </w:trPr>
        <w:tc>
          <w:tcPr>
            <w:tcW w:w="46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907716" w14:textId="77777777" w:rsidR="00951A61" w:rsidRPr="00AB541D" w:rsidRDefault="00951A61" w:rsidP="00A4032F">
            <w:pPr>
              <w:jc w:val="center"/>
              <w:rPr>
                <w:rFonts w:ascii="Tahoma" w:hAnsi="Tahoma" w:cs="Tahoma"/>
                <w:b/>
                <w:bCs/>
                <w:sz w:val="20"/>
                <w:szCs w:val="20"/>
              </w:rPr>
            </w:pPr>
            <w:r w:rsidRPr="00AB541D">
              <w:rPr>
                <w:rFonts w:ascii="Tahoma" w:hAnsi="Tahoma" w:cs="Tahoma"/>
                <w:b/>
                <w:bCs/>
                <w:sz w:val="20"/>
                <w:szCs w:val="20"/>
              </w:rPr>
              <w:t>Категория Заемщика</w:t>
            </w:r>
          </w:p>
        </w:tc>
        <w:tc>
          <w:tcPr>
            <w:tcW w:w="10964" w:type="dxa"/>
            <w:tcBorders>
              <w:top w:val="single" w:sz="4" w:space="0" w:color="auto"/>
              <w:left w:val="nil"/>
              <w:bottom w:val="single" w:sz="4" w:space="0" w:color="auto"/>
              <w:right w:val="single" w:sz="4" w:space="0" w:color="auto"/>
            </w:tcBorders>
            <w:shd w:val="clear" w:color="auto" w:fill="auto"/>
            <w:vAlign w:val="center"/>
            <w:hideMark/>
          </w:tcPr>
          <w:p w14:paraId="363576DC" w14:textId="77777777" w:rsidR="00951A61" w:rsidRPr="00AB541D" w:rsidRDefault="00951A61" w:rsidP="00A4032F">
            <w:pPr>
              <w:rPr>
                <w:rFonts w:ascii="Tahoma" w:hAnsi="Tahoma" w:cs="Tahoma"/>
                <w:color w:val="000000"/>
                <w:sz w:val="20"/>
                <w:szCs w:val="20"/>
              </w:rPr>
            </w:pPr>
            <w:r w:rsidRPr="00AB541D">
              <w:rPr>
                <w:rFonts w:ascii="Tahoma" w:hAnsi="Tahoma" w:cs="Tahoma"/>
                <w:color w:val="000000"/>
                <w:sz w:val="20"/>
                <w:szCs w:val="20"/>
              </w:rPr>
              <w:t>Физические лица (</w:t>
            </w:r>
            <w:r w:rsidRPr="00AB541D">
              <w:rPr>
                <w:rFonts w:ascii="Tahoma" w:hAnsi="Tahoma" w:cs="Tahoma"/>
                <w:sz w:val="20"/>
                <w:szCs w:val="20"/>
              </w:rPr>
              <w:t xml:space="preserve">имеющие </w:t>
            </w:r>
            <w:r>
              <w:rPr>
                <w:rFonts w:ascii="Tahoma" w:hAnsi="Tahoma" w:cs="Tahoma"/>
                <w:sz w:val="20"/>
                <w:szCs w:val="20"/>
              </w:rPr>
              <w:t xml:space="preserve">подтверждённое </w:t>
            </w:r>
            <w:r w:rsidRPr="00AB541D">
              <w:rPr>
                <w:rFonts w:ascii="Tahoma" w:hAnsi="Tahoma" w:cs="Tahoma"/>
                <w:sz w:val="20"/>
                <w:szCs w:val="20"/>
              </w:rPr>
              <w:t>место работы и постоянный источник дохода</w:t>
            </w:r>
            <w:r w:rsidRPr="00AB541D">
              <w:rPr>
                <w:rFonts w:ascii="Tahoma" w:hAnsi="Tahoma" w:cs="Tahoma"/>
                <w:color w:val="000000"/>
                <w:sz w:val="20"/>
                <w:szCs w:val="20"/>
              </w:rPr>
              <w:t>)</w:t>
            </w:r>
          </w:p>
        </w:tc>
      </w:tr>
      <w:tr w:rsidR="00951A61" w:rsidRPr="00AB541D" w14:paraId="7901B647" w14:textId="77777777" w:rsidTr="00A4032F">
        <w:trPr>
          <w:trHeight w:val="255"/>
        </w:trPr>
        <w:tc>
          <w:tcPr>
            <w:tcW w:w="4609" w:type="dxa"/>
            <w:tcBorders>
              <w:top w:val="nil"/>
              <w:left w:val="single" w:sz="4" w:space="0" w:color="auto"/>
              <w:bottom w:val="single" w:sz="4" w:space="0" w:color="auto"/>
              <w:right w:val="single" w:sz="4" w:space="0" w:color="auto"/>
            </w:tcBorders>
            <w:shd w:val="clear" w:color="auto" w:fill="auto"/>
            <w:vAlign w:val="center"/>
          </w:tcPr>
          <w:p w14:paraId="5B0650D6" w14:textId="77777777" w:rsidR="00951A61" w:rsidRPr="00AB541D" w:rsidRDefault="00951A61" w:rsidP="00A4032F">
            <w:pPr>
              <w:jc w:val="center"/>
              <w:rPr>
                <w:rFonts w:ascii="Tahoma" w:hAnsi="Tahoma" w:cs="Tahoma"/>
                <w:b/>
                <w:bCs/>
                <w:sz w:val="20"/>
                <w:szCs w:val="20"/>
              </w:rPr>
            </w:pPr>
            <w:r w:rsidRPr="00AB541D">
              <w:rPr>
                <w:rFonts w:ascii="Tahoma" w:hAnsi="Tahoma" w:cs="Tahoma"/>
                <w:b/>
                <w:bCs/>
                <w:sz w:val="20"/>
                <w:szCs w:val="20"/>
              </w:rPr>
              <w:t>Валюта, в которой предоставляется Кредит</w:t>
            </w:r>
          </w:p>
        </w:tc>
        <w:tc>
          <w:tcPr>
            <w:tcW w:w="10964" w:type="dxa"/>
            <w:tcBorders>
              <w:top w:val="single" w:sz="4" w:space="0" w:color="auto"/>
              <w:left w:val="nil"/>
              <w:bottom w:val="single" w:sz="4" w:space="0" w:color="auto"/>
              <w:right w:val="single" w:sz="4" w:space="0" w:color="auto"/>
            </w:tcBorders>
            <w:shd w:val="clear" w:color="auto" w:fill="auto"/>
            <w:vAlign w:val="center"/>
          </w:tcPr>
          <w:p w14:paraId="1C580D44" w14:textId="77777777" w:rsidR="00951A61" w:rsidRPr="00AB541D" w:rsidRDefault="00951A61" w:rsidP="00A4032F">
            <w:pPr>
              <w:rPr>
                <w:rFonts w:ascii="Tahoma" w:hAnsi="Tahoma" w:cs="Tahoma"/>
                <w:color w:val="000000"/>
                <w:sz w:val="20"/>
                <w:szCs w:val="20"/>
              </w:rPr>
            </w:pPr>
            <w:r w:rsidRPr="00AB541D">
              <w:rPr>
                <w:rFonts w:ascii="Tahoma" w:hAnsi="Tahoma" w:cs="Tahoma"/>
                <w:color w:val="000000"/>
                <w:sz w:val="20"/>
                <w:szCs w:val="20"/>
              </w:rPr>
              <w:t>Рубли Российской Федерации (далее - рубли)</w:t>
            </w:r>
          </w:p>
        </w:tc>
      </w:tr>
      <w:tr w:rsidR="00951A61" w:rsidRPr="00AB541D" w14:paraId="7BCB114B" w14:textId="77777777" w:rsidTr="00A4032F">
        <w:trPr>
          <w:trHeight w:val="255"/>
        </w:trPr>
        <w:tc>
          <w:tcPr>
            <w:tcW w:w="4609" w:type="dxa"/>
            <w:tcBorders>
              <w:top w:val="nil"/>
              <w:left w:val="single" w:sz="4" w:space="0" w:color="auto"/>
              <w:bottom w:val="single" w:sz="4" w:space="0" w:color="auto"/>
              <w:right w:val="single" w:sz="4" w:space="0" w:color="auto"/>
            </w:tcBorders>
            <w:shd w:val="clear" w:color="auto" w:fill="auto"/>
            <w:vAlign w:val="center"/>
          </w:tcPr>
          <w:p w14:paraId="51BAB40F" w14:textId="77777777" w:rsidR="00951A61" w:rsidRPr="00AB541D" w:rsidRDefault="00951A61" w:rsidP="00A4032F">
            <w:pPr>
              <w:jc w:val="center"/>
              <w:rPr>
                <w:rFonts w:ascii="Tahoma" w:hAnsi="Tahoma" w:cs="Tahoma"/>
                <w:b/>
                <w:bCs/>
                <w:sz w:val="20"/>
                <w:szCs w:val="20"/>
              </w:rPr>
            </w:pPr>
            <w:r w:rsidRPr="00487026">
              <w:rPr>
                <w:rFonts w:ascii="Tahoma" w:hAnsi="Tahoma" w:cs="Tahoma"/>
                <w:b/>
                <w:bCs/>
                <w:sz w:val="20"/>
                <w:szCs w:val="20"/>
              </w:rPr>
              <w:t xml:space="preserve">Срок </w:t>
            </w:r>
            <w:r>
              <w:rPr>
                <w:rFonts w:ascii="Tahoma" w:hAnsi="Tahoma" w:cs="Tahoma"/>
                <w:b/>
                <w:bCs/>
                <w:sz w:val="20"/>
                <w:szCs w:val="20"/>
              </w:rPr>
              <w:t xml:space="preserve">возврата </w:t>
            </w:r>
            <w:r w:rsidRPr="00487026">
              <w:rPr>
                <w:rFonts w:ascii="Tahoma" w:hAnsi="Tahoma" w:cs="Tahoma"/>
                <w:b/>
                <w:bCs/>
                <w:sz w:val="20"/>
                <w:szCs w:val="20"/>
              </w:rPr>
              <w:t>кредита</w:t>
            </w:r>
          </w:p>
        </w:tc>
        <w:tc>
          <w:tcPr>
            <w:tcW w:w="10964" w:type="dxa"/>
            <w:tcBorders>
              <w:top w:val="single" w:sz="4" w:space="0" w:color="auto"/>
              <w:left w:val="nil"/>
              <w:bottom w:val="single" w:sz="4" w:space="0" w:color="auto"/>
              <w:right w:val="single" w:sz="4" w:space="0" w:color="auto"/>
            </w:tcBorders>
            <w:shd w:val="clear" w:color="auto" w:fill="auto"/>
            <w:vAlign w:val="center"/>
          </w:tcPr>
          <w:p w14:paraId="029A7D71" w14:textId="77777777" w:rsidR="00951A61" w:rsidRPr="00AB541D" w:rsidRDefault="00951A61" w:rsidP="00A4032F">
            <w:pPr>
              <w:rPr>
                <w:rFonts w:ascii="Tahoma" w:hAnsi="Tahoma" w:cs="Tahoma"/>
                <w:color w:val="000000"/>
                <w:sz w:val="20"/>
                <w:szCs w:val="20"/>
              </w:rPr>
            </w:pPr>
            <w:r w:rsidRPr="00AB541D">
              <w:rPr>
                <w:rFonts w:ascii="Tahoma" w:hAnsi="Tahoma" w:cs="Tahoma"/>
                <w:color w:val="000000"/>
                <w:sz w:val="20"/>
                <w:szCs w:val="20"/>
              </w:rPr>
              <w:t>От 36 до 360 месяцев</w:t>
            </w:r>
          </w:p>
        </w:tc>
      </w:tr>
      <w:tr w:rsidR="00951A61" w:rsidRPr="00AB541D" w14:paraId="37D18526" w14:textId="77777777" w:rsidTr="00A4032F">
        <w:trPr>
          <w:trHeight w:val="255"/>
        </w:trPr>
        <w:tc>
          <w:tcPr>
            <w:tcW w:w="4609" w:type="dxa"/>
            <w:tcBorders>
              <w:top w:val="nil"/>
              <w:left w:val="single" w:sz="4" w:space="0" w:color="auto"/>
              <w:bottom w:val="single" w:sz="4" w:space="0" w:color="auto"/>
              <w:right w:val="single" w:sz="4" w:space="0" w:color="auto"/>
            </w:tcBorders>
            <w:shd w:val="clear" w:color="auto" w:fill="auto"/>
            <w:vAlign w:val="center"/>
            <w:hideMark/>
          </w:tcPr>
          <w:p w14:paraId="386361C3" w14:textId="77777777" w:rsidR="00951A61" w:rsidRPr="00AB541D" w:rsidRDefault="00951A61" w:rsidP="00A4032F">
            <w:pPr>
              <w:jc w:val="center"/>
              <w:rPr>
                <w:rFonts w:ascii="Tahoma" w:hAnsi="Tahoma" w:cs="Tahoma"/>
                <w:b/>
                <w:sz w:val="20"/>
                <w:szCs w:val="20"/>
              </w:rPr>
            </w:pPr>
            <w:r w:rsidRPr="00AB541D">
              <w:rPr>
                <w:rFonts w:ascii="Tahoma" w:hAnsi="Tahoma" w:cs="Tahoma"/>
                <w:b/>
                <w:sz w:val="20"/>
                <w:szCs w:val="20"/>
              </w:rPr>
              <w:t>Минимальная сумма Кредита</w:t>
            </w:r>
          </w:p>
        </w:tc>
        <w:tc>
          <w:tcPr>
            <w:tcW w:w="10964" w:type="dxa"/>
            <w:tcBorders>
              <w:top w:val="single" w:sz="4" w:space="0" w:color="auto"/>
              <w:left w:val="nil"/>
              <w:bottom w:val="single" w:sz="4" w:space="0" w:color="auto"/>
              <w:right w:val="single" w:sz="4" w:space="0" w:color="auto"/>
            </w:tcBorders>
            <w:shd w:val="clear" w:color="auto" w:fill="auto"/>
            <w:vAlign w:val="center"/>
            <w:hideMark/>
          </w:tcPr>
          <w:p w14:paraId="57AA3574" w14:textId="77777777" w:rsidR="00951A61" w:rsidRPr="00AB541D" w:rsidRDefault="00951A61" w:rsidP="00A4032F">
            <w:pPr>
              <w:rPr>
                <w:rFonts w:ascii="Tahoma" w:hAnsi="Tahoma" w:cs="Tahoma"/>
                <w:sz w:val="20"/>
                <w:szCs w:val="20"/>
              </w:rPr>
            </w:pPr>
            <w:r w:rsidRPr="00AB541D">
              <w:rPr>
                <w:rFonts w:ascii="Tahoma" w:hAnsi="Tahoma" w:cs="Tahoma"/>
                <w:sz w:val="20"/>
                <w:szCs w:val="20"/>
              </w:rPr>
              <w:t>500 000 рублей</w:t>
            </w:r>
          </w:p>
        </w:tc>
      </w:tr>
      <w:tr w:rsidR="00951A61" w:rsidRPr="00AB541D" w14:paraId="2CAFEDFD" w14:textId="77777777" w:rsidTr="00A4032F">
        <w:trPr>
          <w:trHeight w:val="1761"/>
        </w:trPr>
        <w:tc>
          <w:tcPr>
            <w:tcW w:w="4609" w:type="dxa"/>
            <w:tcBorders>
              <w:top w:val="nil"/>
              <w:left w:val="single" w:sz="4" w:space="0" w:color="auto"/>
              <w:bottom w:val="single" w:sz="4" w:space="0" w:color="auto"/>
              <w:right w:val="single" w:sz="4" w:space="0" w:color="auto"/>
            </w:tcBorders>
            <w:shd w:val="clear" w:color="auto" w:fill="auto"/>
            <w:vAlign w:val="center"/>
          </w:tcPr>
          <w:p w14:paraId="7BEDCCC1" w14:textId="77777777" w:rsidR="00951A61" w:rsidRPr="00AB541D" w:rsidRDefault="00951A61" w:rsidP="00A4032F">
            <w:pPr>
              <w:jc w:val="center"/>
              <w:rPr>
                <w:rFonts w:ascii="Tahoma" w:hAnsi="Tahoma" w:cs="Tahoma"/>
                <w:b/>
                <w:sz w:val="20"/>
                <w:szCs w:val="20"/>
              </w:rPr>
            </w:pPr>
            <w:r w:rsidRPr="00AB541D">
              <w:rPr>
                <w:rFonts w:ascii="Tahoma" w:hAnsi="Tahoma" w:cs="Tahoma"/>
                <w:b/>
                <w:sz w:val="20"/>
                <w:szCs w:val="20"/>
              </w:rPr>
              <w:t>Максимальная сумма Кредита</w:t>
            </w:r>
          </w:p>
        </w:tc>
        <w:tc>
          <w:tcPr>
            <w:tcW w:w="10964" w:type="dxa"/>
            <w:tcBorders>
              <w:top w:val="single" w:sz="4" w:space="0" w:color="auto"/>
              <w:left w:val="nil"/>
              <w:bottom w:val="single" w:sz="4" w:space="0" w:color="auto"/>
              <w:right w:val="single" w:sz="4" w:space="0" w:color="auto"/>
            </w:tcBorders>
            <w:shd w:val="clear" w:color="auto" w:fill="auto"/>
            <w:vAlign w:val="center"/>
          </w:tcPr>
          <w:p w14:paraId="6CD51307" w14:textId="77777777" w:rsidR="00951A61" w:rsidRPr="00AB541D" w:rsidRDefault="00951A61" w:rsidP="00A4032F">
            <w:pPr>
              <w:jc w:val="center"/>
              <w:rPr>
                <w:rFonts w:ascii="Tahoma" w:hAnsi="Tahoma" w:cs="Tahoma"/>
                <w:b/>
                <w:sz w:val="20"/>
                <w:szCs w:val="20"/>
              </w:rPr>
            </w:pPr>
            <w:r w:rsidRPr="00AB541D">
              <w:rPr>
                <w:rFonts w:ascii="Tahoma" w:hAnsi="Tahoma" w:cs="Tahoma"/>
                <w:b/>
                <w:sz w:val="20"/>
                <w:szCs w:val="20"/>
                <w:u w:val="single"/>
              </w:rPr>
              <w:t>Сумма кредита</w:t>
            </w:r>
            <w:r w:rsidRPr="00AB541D">
              <w:rPr>
                <w:rFonts w:ascii="Tahoma" w:hAnsi="Tahoma" w:cs="Tahoma"/>
                <w:b/>
                <w:sz w:val="20"/>
                <w:szCs w:val="20"/>
              </w:rPr>
              <w:t xml:space="preserve"> в зависимости от местонахождения предмета ипотеки не может превышать:</w:t>
            </w:r>
          </w:p>
          <w:tbl>
            <w:tblPr>
              <w:tblStyle w:val="aff0"/>
              <w:tblW w:w="10758" w:type="dxa"/>
              <w:tblLayout w:type="fixed"/>
              <w:tblLook w:val="04A0" w:firstRow="1" w:lastRow="0" w:firstColumn="1" w:lastColumn="0" w:noHBand="0" w:noVBand="1"/>
            </w:tblPr>
            <w:tblGrid>
              <w:gridCol w:w="5212"/>
              <w:gridCol w:w="3328"/>
              <w:gridCol w:w="2218"/>
            </w:tblGrid>
            <w:tr w:rsidR="00951A61" w:rsidRPr="00AB541D" w14:paraId="23F0080B" w14:textId="77777777" w:rsidTr="00A4032F">
              <w:trPr>
                <w:trHeight w:val="425"/>
              </w:trPr>
              <w:tc>
                <w:tcPr>
                  <w:tcW w:w="5212" w:type="dxa"/>
                </w:tcPr>
                <w:p w14:paraId="4547EAC1" w14:textId="77777777" w:rsidR="00951A61" w:rsidRPr="00AB541D" w:rsidRDefault="00951A61" w:rsidP="00A4032F">
                  <w:pPr>
                    <w:pStyle w:val="affe"/>
                    <w:tabs>
                      <w:tab w:val="left" w:pos="0"/>
                      <w:tab w:val="left" w:pos="142"/>
                    </w:tabs>
                    <w:ind w:left="0"/>
                    <w:jc w:val="center"/>
                    <w:rPr>
                      <w:rFonts w:ascii="Tahoma" w:hAnsi="Tahoma" w:cs="Tahoma"/>
                      <w:b/>
                      <w:sz w:val="18"/>
                      <w:szCs w:val="18"/>
                    </w:rPr>
                  </w:pPr>
                  <w:r w:rsidRPr="00AB541D">
                    <w:rPr>
                      <w:rFonts w:ascii="Tahoma" w:hAnsi="Tahoma" w:cs="Tahoma"/>
                      <w:b/>
                      <w:sz w:val="18"/>
                      <w:szCs w:val="18"/>
                    </w:rPr>
                    <w:t>Регион нахождения предмета ипотеки</w:t>
                  </w:r>
                </w:p>
              </w:tc>
              <w:tc>
                <w:tcPr>
                  <w:tcW w:w="3328" w:type="dxa"/>
                </w:tcPr>
                <w:p w14:paraId="7305C7A6" w14:textId="77777777" w:rsidR="00951A61" w:rsidRPr="00AB541D" w:rsidRDefault="00951A61" w:rsidP="00A4032F">
                  <w:pPr>
                    <w:pStyle w:val="affe"/>
                    <w:tabs>
                      <w:tab w:val="left" w:pos="0"/>
                      <w:tab w:val="left" w:pos="142"/>
                    </w:tabs>
                    <w:ind w:left="0"/>
                    <w:jc w:val="center"/>
                    <w:rPr>
                      <w:rFonts w:ascii="Tahoma" w:hAnsi="Tahoma" w:cs="Tahoma"/>
                      <w:b/>
                      <w:sz w:val="18"/>
                      <w:szCs w:val="18"/>
                    </w:rPr>
                  </w:pPr>
                  <w:r w:rsidRPr="00AB541D">
                    <w:rPr>
                      <w:rFonts w:ascii="Tahoma" w:hAnsi="Tahoma" w:cs="Tahoma"/>
                      <w:b/>
                      <w:sz w:val="18"/>
                      <w:szCs w:val="18"/>
                    </w:rPr>
                    <w:t>Квартира/Апартаменты</w:t>
                  </w:r>
                </w:p>
              </w:tc>
              <w:tc>
                <w:tcPr>
                  <w:tcW w:w="2218" w:type="dxa"/>
                </w:tcPr>
                <w:p w14:paraId="3FC92DD5" w14:textId="77777777" w:rsidR="00951A61" w:rsidRPr="00AB541D" w:rsidRDefault="00951A61" w:rsidP="00A4032F">
                  <w:pPr>
                    <w:pStyle w:val="affe"/>
                    <w:tabs>
                      <w:tab w:val="left" w:pos="0"/>
                      <w:tab w:val="left" w:pos="142"/>
                    </w:tabs>
                    <w:ind w:left="0"/>
                    <w:jc w:val="center"/>
                    <w:rPr>
                      <w:rFonts w:ascii="Tahoma" w:hAnsi="Tahoma" w:cs="Tahoma"/>
                      <w:b/>
                      <w:sz w:val="18"/>
                      <w:szCs w:val="18"/>
                    </w:rPr>
                  </w:pPr>
                  <w:r w:rsidRPr="00AB541D">
                    <w:rPr>
                      <w:rFonts w:ascii="Tahoma" w:hAnsi="Tahoma" w:cs="Tahoma"/>
                      <w:b/>
                      <w:sz w:val="18"/>
                      <w:szCs w:val="18"/>
                    </w:rPr>
                    <w:t>Таунхаус</w:t>
                  </w:r>
                </w:p>
              </w:tc>
            </w:tr>
            <w:tr w:rsidR="00951A61" w:rsidRPr="00AB541D" w14:paraId="0C8C7D33" w14:textId="77777777" w:rsidTr="00A4032F">
              <w:trPr>
                <w:trHeight w:val="308"/>
              </w:trPr>
              <w:tc>
                <w:tcPr>
                  <w:tcW w:w="5212" w:type="dxa"/>
                </w:tcPr>
                <w:p w14:paraId="4A71424C" w14:textId="77777777" w:rsidR="00951A61" w:rsidRPr="00AB541D" w:rsidRDefault="00951A61" w:rsidP="00A4032F">
                  <w:pPr>
                    <w:pStyle w:val="affe"/>
                    <w:tabs>
                      <w:tab w:val="left" w:pos="0"/>
                      <w:tab w:val="left" w:pos="142"/>
                    </w:tabs>
                    <w:ind w:left="0"/>
                    <w:rPr>
                      <w:rFonts w:ascii="Tahoma" w:hAnsi="Tahoma" w:cs="Tahoma"/>
                      <w:sz w:val="18"/>
                      <w:szCs w:val="18"/>
                    </w:rPr>
                  </w:pPr>
                  <w:r w:rsidRPr="00AB541D">
                    <w:rPr>
                      <w:rFonts w:ascii="Tahoma" w:hAnsi="Tahoma" w:cs="Tahoma"/>
                      <w:sz w:val="18"/>
                      <w:szCs w:val="18"/>
                    </w:rPr>
                    <w:t>для г. Москвы, Московской области:</w:t>
                  </w:r>
                </w:p>
              </w:tc>
              <w:tc>
                <w:tcPr>
                  <w:tcW w:w="3328" w:type="dxa"/>
                </w:tcPr>
                <w:p w14:paraId="76092F34" w14:textId="77777777" w:rsidR="00951A61" w:rsidRPr="00AB541D" w:rsidRDefault="00951A61" w:rsidP="00A4032F">
                  <w:pPr>
                    <w:pStyle w:val="affe"/>
                    <w:tabs>
                      <w:tab w:val="left" w:pos="0"/>
                      <w:tab w:val="left" w:pos="142"/>
                    </w:tabs>
                    <w:ind w:left="0"/>
                    <w:jc w:val="center"/>
                    <w:rPr>
                      <w:rFonts w:ascii="Tahoma" w:hAnsi="Tahoma" w:cs="Tahoma"/>
                      <w:sz w:val="18"/>
                      <w:szCs w:val="18"/>
                    </w:rPr>
                  </w:pPr>
                  <w:r w:rsidRPr="00AB541D">
                    <w:rPr>
                      <w:rFonts w:ascii="Tahoma" w:hAnsi="Tahoma" w:cs="Tahoma"/>
                      <w:sz w:val="20"/>
                      <w:szCs w:val="20"/>
                    </w:rPr>
                    <w:t>30,00 млн. руб.</w:t>
                  </w:r>
                </w:p>
              </w:tc>
              <w:tc>
                <w:tcPr>
                  <w:tcW w:w="2218" w:type="dxa"/>
                </w:tcPr>
                <w:p w14:paraId="5964D6AC" w14:textId="77777777" w:rsidR="00951A61" w:rsidRPr="00AB541D" w:rsidRDefault="00951A61" w:rsidP="00A4032F">
                  <w:pPr>
                    <w:pStyle w:val="affe"/>
                    <w:tabs>
                      <w:tab w:val="left" w:pos="0"/>
                      <w:tab w:val="left" w:pos="142"/>
                    </w:tabs>
                    <w:ind w:left="0"/>
                    <w:jc w:val="center"/>
                    <w:rPr>
                      <w:rFonts w:ascii="Tahoma" w:hAnsi="Tahoma" w:cs="Tahoma"/>
                      <w:sz w:val="18"/>
                      <w:szCs w:val="18"/>
                    </w:rPr>
                  </w:pPr>
                  <w:r w:rsidRPr="00AB541D">
                    <w:rPr>
                      <w:rFonts w:ascii="Tahoma" w:hAnsi="Tahoma" w:cs="Tahoma"/>
                      <w:sz w:val="18"/>
                      <w:szCs w:val="18"/>
                    </w:rPr>
                    <w:t>15,00 млн. руб.</w:t>
                  </w:r>
                </w:p>
              </w:tc>
            </w:tr>
            <w:tr w:rsidR="00951A61" w:rsidRPr="00AB541D" w14:paraId="3F9B517C" w14:textId="77777777" w:rsidTr="00A4032F">
              <w:trPr>
                <w:trHeight w:val="221"/>
              </w:trPr>
              <w:tc>
                <w:tcPr>
                  <w:tcW w:w="5212" w:type="dxa"/>
                </w:tcPr>
                <w:p w14:paraId="04ABB28C" w14:textId="77777777" w:rsidR="00951A61" w:rsidRPr="00AB541D" w:rsidRDefault="00951A61" w:rsidP="00A4032F">
                  <w:pPr>
                    <w:pStyle w:val="affe"/>
                    <w:tabs>
                      <w:tab w:val="left" w:pos="0"/>
                      <w:tab w:val="left" w:pos="142"/>
                    </w:tabs>
                    <w:ind w:left="0"/>
                    <w:rPr>
                      <w:rFonts w:ascii="Tahoma" w:hAnsi="Tahoma" w:cs="Tahoma"/>
                      <w:sz w:val="18"/>
                      <w:szCs w:val="18"/>
                    </w:rPr>
                  </w:pPr>
                  <w:r w:rsidRPr="00AB541D">
                    <w:rPr>
                      <w:rFonts w:ascii="Tahoma" w:hAnsi="Tahoma" w:cs="Tahoma"/>
                      <w:sz w:val="18"/>
                      <w:szCs w:val="18"/>
                    </w:rPr>
                    <w:t>для иных субъектов Российской Федерации:</w:t>
                  </w:r>
                </w:p>
              </w:tc>
              <w:tc>
                <w:tcPr>
                  <w:tcW w:w="3328" w:type="dxa"/>
                </w:tcPr>
                <w:p w14:paraId="49ED4DFF" w14:textId="77777777" w:rsidR="00951A61" w:rsidRPr="00AB541D" w:rsidRDefault="00951A61" w:rsidP="00A4032F">
                  <w:pPr>
                    <w:pStyle w:val="affe"/>
                    <w:tabs>
                      <w:tab w:val="left" w:pos="0"/>
                      <w:tab w:val="left" w:pos="142"/>
                    </w:tabs>
                    <w:ind w:left="0"/>
                    <w:jc w:val="center"/>
                    <w:rPr>
                      <w:rFonts w:ascii="Tahoma" w:hAnsi="Tahoma" w:cs="Tahoma"/>
                      <w:sz w:val="18"/>
                      <w:szCs w:val="18"/>
                    </w:rPr>
                  </w:pPr>
                  <w:r w:rsidRPr="00AB541D">
                    <w:rPr>
                      <w:rFonts w:ascii="Tahoma" w:hAnsi="Tahoma" w:cs="Tahoma"/>
                      <w:sz w:val="20"/>
                      <w:szCs w:val="20"/>
                    </w:rPr>
                    <w:t>15,00 млн. руб.</w:t>
                  </w:r>
                </w:p>
              </w:tc>
              <w:tc>
                <w:tcPr>
                  <w:tcW w:w="2218" w:type="dxa"/>
                </w:tcPr>
                <w:p w14:paraId="2FD5FEC3" w14:textId="77777777" w:rsidR="00951A61" w:rsidRPr="00AB541D" w:rsidRDefault="00951A61" w:rsidP="00A4032F">
                  <w:pPr>
                    <w:pStyle w:val="affe"/>
                    <w:tabs>
                      <w:tab w:val="left" w:pos="0"/>
                      <w:tab w:val="left" w:pos="142"/>
                    </w:tabs>
                    <w:ind w:left="0"/>
                    <w:jc w:val="center"/>
                    <w:rPr>
                      <w:rFonts w:ascii="Tahoma" w:hAnsi="Tahoma" w:cs="Tahoma"/>
                      <w:sz w:val="18"/>
                      <w:szCs w:val="18"/>
                    </w:rPr>
                  </w:pPr>
                  <w:r>
                    <w:rPr>
                      <w:rFonts w:ascii="Tahoma" w:hAnsi="Tahoma" w:cs="Tahoma"/>
                      <w:sz w:val="18"/>
                      <w:szCs w:val="18"/>
                    </w:rPr>
                    <w:t>7,50</w:t>
                  </w:r>
                  <w:r w:rsidRPr="00AB541D">
                    <w:rPr>
                      <w:rFonts w:ascii="Tahoma" w:hAnsi="Tahoma" w:cs="Tahoma"/>
                      <w:sz w:val="18"/>
                      <w:szCs w:val="18"/>
                    </w:rPr>
                    <w:t xml:space="preserve"> млн. руб.</w:t>
                  </w:r>
                </w:p>
              </w:tc>
            </w:tr>
          </w:tbl>
          <w:p w14:paraId="4491E94C" w14:textId="77777777" w:rsidR="00951A61" w:rsidRPr="00AB541D" w:rsidRDefault="00951A61" w:rsidP="00A4032F">
            <w:pPr>
              <w:rPr>
                <w:rFonts w:ascii="Tahoma" w:hAnsi="Tahoma" w:cs="Tahoma"/>
                <w:sz w:val="20"/>
                <w:szCs w:val="20"/>
              </w:rPr>
            </w:pPr>
          </w:p>
        </w:tc>
      </w:tr>
      <w:tr w:rsidR="00951A61" w:rsidRPr="00AB541D" w14:paraId="2337BF26" w14:textId="77777777" w:rsidTr="00A4032F">
        <w:trPr>
          <w:trHeight w:val="568"/>
        </w:trPr>
        <w:tc>
          <w:tcPr>
            <w:tcW w:w="4609" w:type="dxa"/>
            <w:tcBorders>
              <w:top w:val="nil"/>
              <w:left w:val="single" w:sz="4" w:space="0" w:color="auto"/>
              <w:bottom w:val="single" w:sz="4" w:space="0" w:color="auto"/>
              <w:right w:val="single" w:sz="4" w:space="0" w:color="auto"/>
            </w:tcBorders>
            <w:shd w:val="clear" w:color="auto" w:fill="auto"/>
          </w:tcPr>
          <w:p w14:paraId="7449D388" w14:textId="77777777" w:rsidR="00951A61" w:rsidRPr="00AB541D" w:rsidRDefault="00951A61" w:rsidP="00A4032F">
            <w:pPr>
              <w:jc w:val="center"/>
              <w:rPr>
                <w:rFonts w:ascii="Tahoma" w:hAnsi="Tahoma" w:cs="Tahoma"/>
                <w:b/>
                <w:color w:val="000000"/>
                <w:sz w:val="20"/>
                <w:szCs w:val="20"/>
              </w:rPr>
            </w:pPr>
            <w:r w:rsidRPr="00487026">
              <w:rPr>
                <w:rFonts w:ascii="Tahoma" w:hAnsi="Tahoma" w:cs="Tahoma"/>
                <w:b/>
                <w:color w:val="000000"/>
                <w:sz w:val="20"/>
                <w:szCs w:val="20"/>
              </w:rPr>
              <w:t>Процентн</w:t>
            </w:r>
            <w:r>
              <w:rPr>
                <w:rFonts w:ascii="Tahoma" w:hAnsi="Tahoma" w:cs="Tahoma"/>
                <w:b/>
                <w:color w:val="000000"/>
                <w:sz w:val="20"/>
                <w:szCs w:val="20"/>
              </w:rPr>
              <w:t>ые</w:t>
            </w:r>
            <w:r w:rsidRPr="00487026">
              <w:rPr>
                <w:rFonts w:ascii="Tahoma" w:hAnsi="Tahoma" w:cs="Tahoma"/>
                <w:b/>
                <w:color w:val="000000"/>
                <w:sz w:val="20"/>
                <w:szCs w:val="20"/>
              </w:rPr>
              <w:t xml:space="preserve"> ставк</w:t>
            </w:r>
            <w:r>
              <w:rPr>
                <w:rFonts w:ascii="Tahoma" w:hAnsi="Tahoma" w:cs="Tahoma"/>
                <w:b/>
                <w:color w:val="000000"/>
                <w:sz w:val="20"/>
                <w:szCs w:val="20"/>
              </w:rPr>
              <w:t>и</w:t>
            </w:r>
            <w:r w:rsidRPr="00AB541D">
              <w:rPr>
                <w:rFonts w:ascii="Tahoma" w:hAnsi="Tahoma" w:cs="Tahoma"/>
                <w:b/>
                <w:color w:val="000000"/>
                <w:sz w:val="20"/>
                <w:szCs w:val="20"/>
              </w:rPr>
              <w:t xml:space="preserve"> (в процентах годовых)</w:t>
            </w:r>
          </w:p>
        </w:tc>
        <w:tc>
          <w:tcPr>
            <w:tcW w:w="10964" w:type="dxa"/>
            <w:tcBorders>
              <w:top w:val="single" w:sz="4" w:space="0" w:color="auto"/>
              <w:left w:val="nil"/>
              <w:bottom w:val="single" w:sz="4" w:space="0" w:color="auto"/>
              <w:right w:val="single" w:sz="4" w:space="0" w:color="auto"/>
            </w:tcBorders>
            <w:shd w:val="clear" w:color="auto" w:fill="auto"/>
            <w:vAlign w:val="center"/>
          </w:tcPr>
          <w:p w14:paraId="4F44F354" w14:textId="77777777" w:rsidR="00951A61" w:rsidRPr="008A5478" w:rsidRDefault="00951A61" w:rsidP="00A4032F">
            <w:pPr>
              <w:rPr>
                <w:rFonts w:ascii="Tahoma" w:hAnsi="Tahoma" w:cs="Tahoma"/>
                <w:color w:val="000000"/>
                <w:sz w:val="20"/>
                <w:szCs w:val="20"/>
              </w:rPr>
            </w:pPr>
            <w:r w:rsidRPr="008A5478">
              <w:rPr>
                <w:rFonts w:ascii="Tahoma" w:hAnsi="Tahoma" w:cs="Tahoma"/>
                <w:color w:val="000000"/>
                <w:sz w:val="20"/>
                <w:szCs w:val="20"/>
              </w:rPr>
              <w:t>В соответствии с Порядком формирования процентных ставок по ипотечному кредиту по тарифному плану «Строящееся жилье», являющимся Приложением 1 к настоящему документу</w:t>
            </w:r>
          </w:p>
        </w:tc>
      </w:tr>
      <w:tr w:rsidR="00951A61" w:rsidRPr="00AB541D" w14:paraId="48847D77" w14:textId="77777777" w:rsidTr="00A4032F">
        <w:trPr>
          <w:trHeight w:val="255"/>
        </w:trPr>
        <w:tc>
          <w:tcPr>
            <w:tcW w:w="4609" w:type="dxa"/>
            <w:tcBorders>
              <w:top w:val="nil"/>
              <w:left w:val="single" w:sz="4" w:space="0" w:color="auto"/>
              <w:bottom w:val="single" w:sz="4" w:space="0" w:color="auto"/>
              <w:right w:val="single" w:sz="4" w:space="0" w:color="auto"/>
            </w:tcBorders>
            <w:shd w:val="clear" w:color="auto" w:fill="auto"/>
          </w:tcPr>
          <w:p w14:paraId="2CACE248" w14:textId="77777777" w:rsidR="00951A61" w:rsidRPr="00AB541D" w:rsidRDefault="00951A61" w:rsidP="00A4032F">
            <w:pPr>
              <w:jc w:val="center"/>
              <w:rPr>
                <w:rFonts w:ascii="Tahoma" w:hAnsi="Tahoma" w:cs="Tahoma"/>
                <w:b/>
                <w:color w:val="000000"/>
                <w:sz w:val="20"/>
                <w:szCs w:val="20"/>
              </w:rPr>
            </w:pPr>
            <w:r w:rsidRPr="00AB541D">
              <w:rPr>
                <w:rFonts w:ascii="Tahoma" w:hAnsi="Tahoma" w:cs="Tahoma"/>
                <w:b/>
                <w:bCs/>
                <w:color w:val="000000"/>
                <w:sz w:val="20"/>
                <w:szCs w:val="20"/>
              </w:rPr>
              <w:t>Диапазон полной стоимости кредита в процентном и в денежном выражении</w:t>
            </w:r>
          </w:p>
        </w:tc>
        <w:tc>
          <w:tcPr>
            <w:tcW w:w="10964" w:type="dxa"/>
            <w:tcBorders>
              <w:top w:val="single" w:sz="4" w:space="0" w:color="auto"/>
              <w:left w:val="nil"/>
              <w:bottom w:val="single" w:sz="4" w:space="0" w:color="auto"/>
              <w:right w:val="single" w:sz="4" w:space="0" w:color="auto"/>
            </w:tcBorders>
            <w:shd w:val="clear" w:color="auto" w:fill="auto"/>
            <w:vAlign w:val="center"/>
          </w:tcPr>
          <w:p w14:paraId="7F71B6F3" w14:textId="77777777" w:rsidR="00951A61" w:rsidRPr="008A5478" w:rsidRDefault="00951A61" w:rsidP="00A4032F">
            <w:pPr>
              <w:jc w:val="center"/>
              <w:rPr>
                <w:rFonts w:ascii="Tahoma" w:hAnsi="Tahoma" w:cs="Tahoma"/>
                <w:color w:val="000000"/>
                <w:sz w:val="20"/>
                <w:szCs w:val="20"/>
              </w:rPr>
            </w:pPr>
            <w:r w:rsidRPr="00F16FE6">
              <w:rPr>
                <w:rFonts w:ascii="Tahoma" w:hAnsi="Tahoma" w:cs="Tahoma"/>
                <w:color w:val="000000"/>
                <w:sz w:val="20"/>
                <w:szCs w:val="20"/>
              </w:rPr>
              <w:t>от 0,100% до предельных значений полной стоимости кредита, установленных Банком России на соответствующий квартал по соо</w:t>
            </w:r>
            <w:r>
              <w:rPr>
                <w:rFonts w:ascii="Tahoma" w:hAnsi="Tahoma" w:cs="Tahoma"/>
                <w:color w:val="000000"/>
                <w:sz w:val="20"/>
                <w:szCs w:val="20"/>
              </w:rPr>
              <w:t>тветствующему виду кредитования</w:t>
            </w:r>
          </w:p>
        </w:tc>
      </w:tr>
      <w:tr w:rsidR="00951A61" w:rsidRPr="00AB541D" w14:paraId="2EA4F58E" w14:textId="77777777" w:rsidTr="00A4032F">
        <w:trPr>
          <w:trHeight w:val="1662"/>
        </w:trPr>
        <w:tc>
          <w:tcPr>
            <w:tcW w:w="4609" w:type="dxa"/>
            <w:tcBorders>
              <w:top w:val="nil"/>
              <w:left w:val="single" w:sz="4" w:space="0" w:color="auto"/>
              <w:bottom w:val="single" w:sz="4" w:space="0" w:color="auto"/>
              <w:right w:val="single" w:sz="4" w:space="0" w:color="auto"/>
            </w:tcBorders>
            <w:shd w:val="clear" w:color="auto" w:fill="auto"/>
            <w:vAlign w:val="center"/>
          </w:tcPr>
          <w:p w14:paraId="1DCE1B5E" w14:textId="77777777" w:rsidR="00951A61" w:rsidRPr="00AB541D" w:rsidRDefault="00951A61" w:rsidP="00A4032F">
            <w:pPr>
              <w:jc w:val="center"/>
              <w:rPr>
                <w:rFonts w:ascii="Tahoma" w:hAnsi="Tahoma" w:cs="Tahoma"/>
                <w:b/>
                <w:bCs/>
                <w:color w:val="000000"/>
                <w:sz w:val="20"/>
                <w:szCs w:val="20"/>
              </w:rPr>
            </w:pPr>
            <w:r w:rsidRPr="00AB541D">
              <w:rPr>
                <w:rFonts w:ascii="Tahoma" w:hAnsi="Tahoma" w:cs="Tahoma"/>
                <w:b/>
                <w:bCs/>
                <w:color w:val="000000"/>
                <w:sz w:val="20"/>
                <w:szCs w:val="20"/>
              </w:rPr>
              <w:t>Способы обеспечения исполнения обязательств по Кредитному договору</w:t>
            </w:r>
          </w:p>
        </w:tc>
        <w:tc>
          <w:tcPr>
            <w:tcW w:w="10964" w:type="dxa"/>
            <w:tcBorders>
              <w:top w:val="single" w:sz="4" w:space="0" w:color="auto"/>
              <w:left w:val="nil"/>
              <w:bottom w:val="single" w:sz="4" w:space="0" w:color="auto"/>
              <w:right w:val="single" w:sz="4" w:space="0" w:color="auto"/>
            </w:tcBorders>
            <w:shd w:val="clear" w:color="auto" w:fill="auto"/>
          </w:tcPr>
          <w:p w14:paraId="06FCB686" w14:textId="77777777" w:rsidR="00951A61" w:rsidRPr="00AB541D" w:rsidRDefault="00951A61" w:rsidP="00A4032F">
            <w:pPr>
              <w:rPr>
                <w:rFonts w:ascii="Tahoma" w:hAnsi="Tahoma" w:cs="Tahoma"/>
                <w:color w:val="000000"/>
                <w:sz w:val="20"/>
                <w:szCs w:val="20"/>
              </w:rPr>
            </w:pPr>
            <w:r w:rsidRPr="00AB541D">
              <w:rPr>
                <w:rFonts w:ascii="Tahoma" w:hAnsi="Tahoma" w:cs="Tahoma"/>
                <w:color w:val="000000"/>
                <w:sz w:val="20"/>
                <w:szCs w:val="20"/>
              </w:rPr>
              <w:t>Исполнение обязательств по Кредитному договору обеспечивается неустойкой, а также одним из следующих способов:</w:t>
            </w:r>
          </w:p>
          <w:p w14:paraId="27F2F033" w14:textId="77777777" w:rsidR="00951A61" w:rsidRPr="00AB541D" w:rsidRDefault="00951A61" w:rsidP="00A4032F">
            <w:pPr>
              <w:rPr>
                <w:rFonts w:ascii="Tahoma" w:eastAsia="Calibri" w:hAnsi="Tahoma" w:cs="Tahoma"/>
                <w:sz w:val="20"/>
                <w:szCs w:val="20"/>
              </w:rPr>
            </w:pPr>
            <w:r w:rsidRPr="00AB541D">
              <w:rPr>
                <w:rFonts w:ascii="Tahoma" w:eastAsia="Calibri" w:hAnsi="Tahoma" w:cs="Tahoma"/>
                <w:sz w:val="20"/>
                <w:szCs w:val="20"/>
              </w:rPr>
              <w:t>- в период строительства жилого помещения - залогом прав требования по договору участия в долевом строительстве (договору уступки прав требования по указанному договору).</w:t>
            </w:r>
          </w:p>
          <w:p w14:paraId="2DF58CE0" w14:textId="77777777" w:rsidR="00951A61" w:rsidRPr="00AB541D" w:rsidRDefault="00951A61" w:rsidP="00A4032F">
            <w:pPr>
              <w:rPr>
                <w:rFonts w:ascii="Tahoma" w:eastAsia="Calibri" w:hAnsi="Tahoma" w:cs="Tahoma"/>
                <w:sz w:val="20"/>
                <w:szCs w:val="20"/>
              </w:rPr>
            </w:pPr>
            <w:r w:rsidRPr="00AB541D">
              <w:rPr>
                <w:rFonts w:ascii="Tahoma" w:eastAsia="Calibri" w:hAnsi="Tahoma" w:cs="Tahoma"/>
                <w:sz w:val="20"/>
                <w:szCs w:val="20"/>
              </w:rPr>
              <w:t>- после окончания строительства - залогом жилого помещения, приобретенного или построенного с использованием собственных средств заемщика и заемных средств, полученных по Кредитному договору;</w:t>
            </w:r>
          </w:p>
          <w:p w14:paraId="402A37A1" w14:textId="77777777" w:rsidR="00951A61" w:rsidRPr="00AB541D" w:rsidRDefault="00951A61" w:rsidP="00A4032F">
            <w:pPr>
              <w:rPr>
                <w:rFonts w:ascii="Tahoma" w:hAnsi="Tahoma" w:cs="Tahoma"/>
                <w:color w:val="000000"/>
                <w:sz w:val="20"/>
                <w:szCs w:val="20"/>
              </w:rPr>
            </w:pPr>
            <w:r w:rsidRPr="00AB541D">
              <w:rPr>
                <w:rFonts w:ascii="Tahoma" w:eastAsia="Calibri" w:hAnsi="Tahoma" w:cs="Tahoma"/>
                <w:sz w:val="20"/>
                <w:szCs w:val="20"/>
              </w:rPr>
              <w:t>Условиями Кредитного договора могут быть предусмотрены дополнительные способы обеспечения исполнения обязательств.</w:t>
            </w:r>
          </w:p>
        </w:tc>
      </w:tr>
      <w:tr w:rsidR="00951A61" w:rsidRPr="00AB541D" w14:paraId="1C878C7E" w14:textId="77777777" w:rsidTr="00A4032F">
        <w:trPr>
          <w:trHeight w:val="255"/>
        </w:trPr>
        <w:tc>
          <w:tcPr>
            <w:tcW w:w="4609" w:type="dxa"/>
            <w:tcBorders>
              <w:top w:val="nil"/>
              <w:left w:val="single" w:sz="4" w:space="0" w:color="auto"/>
              <w:bottom w:val="single" w:sz="4" w:space="0" w:color="auto"/>
              <w:right w:val="single" w:sz="4" w:space="0" w:color="auto"/>
            </w:tcBorders>
            <w:shd w:val="clear" w:color="auto" w:fill="auto"/>
            <w:vAlign w:val="center"/>
          </w:tcPr>
          <w:p w14:paraId="096D08CE" w14:textId="77777777" w:rsidR="00951A61" w:rsidRPr="00AB541D" w:rsidRDefault="00951A61" w:rsidP="00A4032F">
            <w:pPr>
              <w:jc w:val="center"/>
              <w:rPr>
                <w:rFonts w:ascii="Tahoma" w:hAnsi="Tahoma" w:cs="Tahoma"/>
                <w:b/>
                <w:sz w:val="20"/>
                <w:szCs w:val="20"/>
              </w:rPr>
            </w:pPr>
            <w:r w:rsidRPr="00AB541D">
              <w:rPr>
                <w:rFonts w:ascii="Tahoma" w:hAnsi="Tahoma" w:cs="Tahoma"/>
                <w:b/>
                <w:sz w:val="20"/>
                <w:szCs w:val="20"/>
              </w:rPr>
              <w:t>Залоговое обеспечение</w:t>
            </w:r>
          </w:p>
        </w:tc>
        <w:tc>
          <w:tcPr>
            <w:tcW w:w="10964" w:type="dxa"/>
            <w:tcBorders>
              <w:top w:val="single" w:sz="4" w:space="0" w:color="auto"/>
              <w:left w:val="nil"/>
              <w:bottom w:val="single" w:sz="4" w:space="0" w:color="auto"/>
              <w:right w:val="single" w:sz="4" w:space="0" w:color="auto"/>
            </w:tcBorders>
            <w:shd w:val="clear" w:color="auto" w:fill="auto"/>
          </w:tcPr>
          <w:p w14:paraId="36F76D80" w14:textId="77777777" w:rsidR="00951A61" w:rsidRPr="00AB541D" w:rsidRDefault="00951A61" w:rsidP="00A4032F">
            <w:pPr>
              <w:pStyle w:val="FooterEven"/>
              <w:tabs>
                <w:tab w:val="left" w:pos="720"/>
              </w:tabs>
              <w:jc w:val="left"/>
              <w:rPr>
                <w:rFonts w:ascii="Tahoma" w:eastAsia="Times New Roman" w:hAnsi="Tahoma" w:cs="Tahoma"/>
                <w:b w:val="0"/>
                <w:sz w:val="20"/>
                <w:lang w:eastAsia="ru-RU"/>
              </w:rPr>
            </w:pPr>
            <w:r w:rsidRPr="00AB541D">
              <w:rPr>
                <w:rFonts w:ascii="Tahoma" w:eastAsia="Times New Roman" w:hAnsi="Tahoma" w:cs="Tahoma"/>
                <w:b w:val="0"/>
                <w:sz w:val="20"/>
                <w:lang w:eastAsia="ru-RU"/>
              </w:rPr>
              <w:t>Залог приобретаемого Объекта недвижимости:</w:t>
            </w:r>
          </w:p>
          <w:p w14:paraId="4D3096D9" w14:textId="77777777" w:rsidR="00951A61" w:rsidRPr="00AB541D" w:rsidRDefault="00951A61" w:rsidP="00951A61">
            <w:pPr>
              <w:pStyle w:val="affe"/>
              <w:widowControl w:val="0"/>
              <w:numPr>
                <w:ilvl w:val="0"/>
                <w:numId w:val="46"/>
              </w:numPr>
              <w:snapToGrid w:val="0"/>
              <w:ind w:left="34" w:firstLine="0"/>
              <w:jc w:val="both"/>
              <w:rPr>
                <w:rFonts w:ascii="Tahoma" w:hAnsi="Tahoma" w:cs="Tahoma"/>
                <w:sz w:val="20"/>
                <w:szCs w:val="20"/>
              </w:rPr>
            </w:pPr>
            <w:r w:rsidRPr="00AB541D">
              <w:rPr>
                <w:rFonts w:ascii="Tahoma" w:hAnsi="Tahoma" w:cs="Tahoma"/>
                <w:sz w:val="20"/>
                <w:szCs w:val="20"/>
              </w:rPr>
              <w:t>до регистрации права собственности на Объект недвижимости - залог прав требования Заемщика как участника долевого строительства по договору участия в долевом строительстве, приобретенных за счет кредитных средств (залог имущественных прав);</w:t>
            </w:r>
          </w:p>
          <w:p w14:paraId="5C17EA62" w14:textId="77777777" w:rsidR="00951A61" w:rsidRPr="00AB541D" w:rsidRDefault="00951A61" w:rsidP="00951A61">
            <w:pPr>
              <w:pStyle w:val="affe"/>
              <w:numPr>
                <w:ilvl w:val="0"/>
                <w:numId w:val="46"/>
              </w:numPr>
              <w:ind w:left="34" w:firstLine="0"/>
              <w:contextualSpacing/>
              <w:jc w:val="both"/>
              <w:rPr>
                <w:rFonts w:ascii="Tahoma" w:hAnsi="Tahoma" w:cs="Tahoma"/>
                <w:sz w:val="20"/>
                <w:szCs w:val="20"/>
              </w:rPr>
            </w:pPr>
            <w:r w:rsidRPr="00AB541D">
              <w:rPr>
                <w:rFonts w:ascii="Tahoma" w:hAnsi="Tahoma" w:cs="Tahoma"/>
                <w:sz w:val="20"/>
                <w:szCs w:val="20"/>
              </w:rPr>
              <w:t>после регистрации права собственности на Объект недвижимости – залог Объекта недвижимости (с оформлением закладной).</w:t>
            </w:r>
          </w:p>
        </w:tc>
      </w:tr>
      <w:tr w:rsidR="00951A61" w:rsidRPr="00AB541D" w14:paraId="7171F199" w14:textId="77777777" w:rsidTr="00A4032F">
        <w:trPr>
          <w:trHeight w:val="255"/>
        </w:trPr>
        <w:tc>
          <w:tcPr>
            <w:tcW w:w="4609" w:type="dxa"/>
            <w:tcBorders>
              <w:top w:val="nil"/>
              <w:left w:val="single" w:sz="4" w:space="0" w:color="auto"/>
              <w:bottom w:val="single" w:sz="4" w:space="0" w:color="auto"/>
              <w:right w:val="single" w:sz="4" w:space="0" w:color="auto"/>
            </w:tcBorders>
            <w:shd w:val="clear" w:color="auto" w:fill="auto"/>
            <w:vAlign w:val="center"/>
          </w:tcPr>
          <w:p w14:paraId="17257DEA" w14:textId="77777777" w:rsidR="00951A61" w:rsidRPr="00AB541D" w:rsidRDefault="00951A61" w:rsidP="00A4032F">
            <w:pPr>
              <w:jc w:val="center"/>
              <w:rPr>
                <w:rFonts w:ascii="Tahoma" w:hAnsi="Tahoma" w:cs="Tahoma"/>
                <w:b/>
                <w:sz w:val="20"/>
                <w:szCs w:val="20"/>
              </w:rPr>
            </w:pPr>
            <w:r w:rsidRPr="00AB541D">
              <w:rPr>
                <w:rFonts w:ascii="Tahoma" w:hAnsi="Tahoma" w:cs="Tahoma"/>
                <w:b/>
                <w:sz w:val="20"/>
                <w:szCs w:val="20"/>
              </w:rPr>
              <w:lastRenderedPageBreak/>
              <w:t>Страхование</w:t>
            </w:r>
          </w:p>
        </w:tc>
        <w:tc>
          <w:tcPr>
            <w:tcW w:w="10964" w:type="dxa"/>
            <w:tcBorders>
              <w:top w:val="single" w:sz="4" w:space="0" w:color="auto"/>
              <w:left w:val="nil"/>
              <w:bottom w:val="single" w:sz="4" w:space="0" w:color="auto"/>
              <w:right w:val="single" w:sz="4" w:space="0" w:color="auto"/>
            </w:tcBorders>
            <w:shd w:val="clear" w:color="auto" w:fill="auto"/>
          </w:tcPr>
          <w:p w14:paraId="145C4012" w14:textId="77777777" w:rsidR="00951A61" w:rsidRPr="00AB541D" w:rsidRDefault="00951A61" w:rsidP="00951A61">
            <w:pPr>
              <w:pStyle w:val="affe"/>
              <w:widowControl w:val="0"/>
              <w:numPr>
                <w:ilvl w:val="0"/>
                <w:numId w:val="47"/>
              </w:numPr>
              <w:snapToGrid w:val="0"/>
              <w:ind w:left="0" w:firstLine="0"/>
              <w:contextualSpacing/>
              <w:jc w:val="both"/>
              <w:rPr>
                <w:rFonts w:ascii="Tahoma" w:hAnsi="Tahoma" w:cs="Tahoma"/>
                <w:sz w:val="20"/>
                <w:szCs w:val="20"/>
                <w:u w:val="single"/>
              </w:rPr>
            </w:pPr>
            <w:r w:rsidRPr="00AB541D">
              <w:rPr>
                <w:rFonts w:ascii="Tahoma" w:hAnsi="Tahoma" w:cs="Tahoma"/>
                <w:b/>
                <w:sz w:val="20"/>
                <w:szCs w:val="20"/>
              </w:rPr>
              <w:t>До регистрации права собственности на Объект недвижимости:</w:t>
            </w:r>
          </w:p>
          <w:p w14:paraId="32129FA6" w14:textId="77777777" w:rsidR="00951A61" w:rsidRPr="00AB541D" w:rsidRDefault="00951A61" w:rsidP="00951A61">
            <w:pPr>
              <w:pStyle w:val="FooterEven"/>
              <w:numPr>
                <w:ilvl w:val="0"/>
                <w:numId w:val="48"/>
              </w:numPr>
              <w:tabs>
                <w:tab w:val="left" w:pos="720"/>
              </w:tabs>
              <w:ind w:left="0" w:firstLine="0"/>
              <w:jc w:val="left"/>
              <w:rPr>
                <w:rFonts w:ascii="Tahoma" w:hAnsi="Tahoma" w:cs="Tahoma"/>
                <w:b w:val="0"/>
                <w:color w:val="000000"/>
                <w:sz w:val="20"/>
              </w:rPr>
            </w:pPr>
            <w:r w:rsidRPr="00AB541D">
              <w:rPr>
                <w:rFonts w:ascii="Tahoma" w:hAnsi="Tahoma" w:cs="Tahoma"/>
                <w:b w:val="0"/>
                <w:color w:val="000000"/>
                <w:sz w:val="20"/>
              </w:rPr>
              <w:t xml:space="preserve">Личное страхование (страхование рисков, связанных с причинением вреда жизни и здоровью в результате несчастного случая или болезни) — выбирается по желанию Заемщика; </w:t>
            </w:r>
          </w:p>
          <w:p w14:paraId="0F83641F" w14:textId="77777777" w:rsidR="00951A61" w:rsidRPr="00AB541D" w:rsidRDefault="00951A61" w:rsidP="00951A61">
            <w:pPr>
              <w:pStyle w:val="affe"/>
              <w:widowControl w:val="0"/>
              <w:numPr>
                <w:ilvl w:val="0"/>
                <w:numId w:val="47"/>
              </w:numPr>
              <w:snapToGrid w:val="0"/>
              <w:ind w:left="0" w:firstLine="0"/>
              <w:contextualSpacing/>
              <w:jc w:val="both"/>
              <w:rPr>
                <w:rFonts w:ascii="Tahoma" w:hAnsi="Tahoma" w:cs="Tahoma"/>
                <w:b/>
                <w:color w:val="000000"/>
                <w:sz w:val="20"/>
                <w:szCs w:val="20"/>
              </w:rPr>
            </w:pPr>
            <w:r w:rsidRPr="00AB541D">
              <w:rPr>
                <w:rFonts w:ascii="Tahoma" w:hAnsi="Tahoma" w:cs="Tahoma"/>
                <w:b/>
                <w:sz w:val="20"/>
                <w:szCs w:val="20"/>
              </w:rPr>
              <w:t>После регистрации права собственности на Объект недвижимости</w:t>
            </w:r>
            <w:r w:rsidRPr="00AB541D">
              <w:rPr>
                <w:rFonts w:ascii="Tahoma" w:hAnsi="Tahoma" w:cs="Tahoma"/>
                <w:b/>
                <w:color w:val="000000"/>
                <w:sz w:val="20"/>
                <w:szCs w:val="20"/>
              </w:rPr>
              <w:t xml:space="preserve">: </w:t>
            </w:r>
          </w:p>
          <w:p w14:paraId="3EA4B14F" w14:textId="77777777" w:rsidR="00951A61" w:rsidRPr="00AB541D" w:rsidRDefault="00951A61" w:rsidP="00951A61">
            <w:pPr>
              <w:pStyle w:val="FooterEven"/>
              <w:numPr>
                <w:ilvl w:val="0"/>
                <w:numId w:val="49"/>
              </w:numPr>
              <w:tabs>
                <w:tab w:val="left" w:pos="720"/>
              </w:tabs>
              <w:ind w:left="0" w:firstLine="0"/>
              <w:jc w:val="both"/>
              <w:rPr>
                <w:rFonts w:ascii="Tahoma" w:hAnsi="Tahoma" w:cs="Tahoma"/>
                <w:b w:val="0"/>
                <w:color w:val="000000"/>
                <w:sz w:val="20"/>
              </w:rPr>
            </w:pPr>
            <w:r w:rsidRPr="00AB541D">
              <w:rPr>
                <w:rFonts w:ascii="Tahoma" w:hAnsi="Tahoma" w:cs="Tahoma"/>
                <w:b w:val="0"/>
                <w:color w:val="000000"/>
                <w:sz w:val="20"/>
              </w:rPr>
              <w:t>Имущественное страхование (страхование рисков, связанных с утратой или повреждением недвижимого имущества, находящегося в залоге) — обязательный вид страхования;</w:t>
            </w:r>
          </w:p>
          <w:p w14:paraId="4F32F871" w14:textId="77777777" w:rsidR="00951A61" w:rsidRPr="00AB541D" w:rsidRDefault="00951A61" w:rsidP="00951A61">
            <w:pPr>
              <w:pStyle w:val="affe"/>
              <w:numPr>
                <w:ilvl w:val="0"/>
                <w:numId w:val="50"/>
              </w:numPr>
              <w:ind w:left="0" w:firstLine="0"/>
              <w:contextualSpacing/>
              <w:jc w:val="both"/>
              <w:rPr>
                <w:rFonts w:ascii="Tahoma" w:hAnsi="Tahoma" w:cs="Tahoma"/>
                <w:color w:val="000000"/>
                <w:sz w:val="20"/>
                <w:szCs w:val="20"/>
                <w:lang w:eastAsia="ar-SA"/>
              </w:rPr>
            </w:pPr>
            <w:r w:rsidRPr="00AB541D">
              <w:rPr>
                <w:rFonts w:ascii="Tahoma" w:hAnsi="Tahoma" w:cs="Tahoma"/>
                <w:color w:val="000000"/>
                <w:sz w:val="20"/>
                <w:szCs w:val="20"/>
                <w:lang w:eastAsia="ar-SA"/>
              </w:rPr>
              <w:t xml:space="preserve">Личное страхование (страхование рисков, связанных с причинением вреда жизни и здоровью в результате несчастного случая или болезни) — выбирается по желанию Заемщика. </w:t>
            </w:r>
          </w:p>
        </w:tc>
      </w:tr>
      <w:tr w:rsidR="00951A61" w:rsidRPr="00AB541D" w14:paraId="73BF2E33" w14:textId="77777777" w:rsidTr="00A4032F">
        <w:trPr>
          <w:trHeight w:val="255"/>
        </w:trPr>
        <w:tc>
          <w:tcPr>
            <w:tcW w:w="4609" w:type="dxa"/>
            <w:tcBorders>
              <w:top w:val="nil"/>
              <w:left w:val="single" w:sz="4" w:space="0" w:color="auto"/>
              <w:bottom w:val="single" w:sz="4" w:space="0" w:color="auto"/>
              <w:right w:val="single" w:sz="4" w:space="0" w:color="auto"/>
            </w:tcBorders>
            <w:shd w:val="clear" w:color="auto" w:fill="auto"/>
            <w:vAlign w:val="center"/>
          </w:tcPr>
          <w:p w14:paraId="3B4E5FA9" w14:textId="77777777" w:rsidR="00951A61" w:rsidRPr="00AB541D" w:rsidRDefault="00951A61" w:rsidP="00A4032F">
            <w:pPr>
              <w:jc w:val="center"/>
              <w:rPr>
                <w:rFonts w:ascii="Tahoma" w:hAnsi="Tahoma" w:cs="Tahoma"/>
                <w:b/>
                <w:sz w:val="20"/>
                <w:szCs w:val="20"/>
              </w:rPr>
            </w:pPr>
            <w:r w:rsidRPr="00AB541D">
              <w:rPr>
                <w:rFonts w:ascii="Tahoma" w:hAnsi="Tahoma" w:cs="Tahoma"/>
                <w:b/>
                <w:sz w:val="20"/>
                <w:szCs w:val="20"/>
              </w:rPr>
              <w:t>Размер первоначального взноса</w:t>
            </w:r>
          </w:p>
        </w:tc>
        <w:tc>
          <w:tcPr>
            <w:tcW w:w="10964" w:type="dxa"/>
            <w:tcBorders>
              <w:top w:val="single" w:sz="4" w:space="0" w:color="auto"/>
              <w:left w:val="nil"/>
              <w:bottom w:val="single" w:sz="4" w:space="0" w:color="auto"/>
              <w:right w:val="single" w:sz="4" w:space="0" w:color="auto"/>
            </w:tcBorders>
            <w:shd w:val="clear" w:color="auto" w:fill="auto"/>
          </w:tcPr>
          <w:p w14:paraId="48B8B195" w14:textId="77777777" w:rsidR="00951A61" w:rsidRPr="00AB541D" w:rsidRDefault="00951A61" w:rsidP="00A4032F">
            <w:pPr>
              <w:pStyle w:val="affe"/>
              <w:tabs>
                <w:tab w:val="left" w:pos="280"/>
              </w:tabs>
              <w:ind w:left="33"/>
              <w:rPr>
                <w:rFonts w:ascii="Tahoma" w:hAnsi="Tahoma" w:cs="Tahoma"/>
                <w:sz w:val="18"/>
                <w:szCs w:val="18"/>
              </w:rPr>
            </w:pPr>
            <w:r w:rsidRPr="00AB541D">
              <w:rPr>
                <w:rFonts w:ascii="Tahoma" w:hAnsi="Tahoma" w:cs="Tahoma"/>
                <w:b/>
                <w:sz w:val="20"/>
                <w:szCs w:val="20"/>
                <w:u w:val="single"/>
              </w:rPr>
              <w:t>Размер первоначального взноса</w:t>
            </w:r>
            <w:r w:rsidRPr="00AB541D">
              <w:rPr>
                <w:rFonts w:ascii="Tahoma" w:hAnsi="Tahoma" w:cs="Tahoma"/>
                <w:sz w:val="20"/>
                <w:szCs w:val="20"/>
              </w:rPr>
              <w:t xml:space="preserve"> определяется как разница между суммой предоставляемого кредита и стоимостью приобретаемой недвижимости. </w:t>
            </w:r>
            <w:r w:rsidRPr="00AB541D">
              <w:rPr>
                <w:rFonts w:ascii="Tahoma" w:hAnsi="Tahoma" w:cs="Tahoma"/>
                <w:sz w:val="18"/>
                <w:szCs w:val="18"/>
              </w:rPr>
              <w:t>Первоначальный взнос может быть сформирован с учетом средств субсидии бюджетов различных уровней. Порядок оплаты первоначального взноса с учетом средств субсидий определяется Банком.</w:t>
            </w:r>
          </w:p>
          <w:p w14:paraId="70817D23" w14:textId="77777777" w:rsidR="00951A61" w:rsidRPr="00AB541D" w:rsidRDefault="00951A61" w:rsidP="00A4032F">
            <w:pPr>
              <w:pStyle w:val="affe"/>
              <w:tabs>
                <w:tab w:val="left" w:pos="0"/>
                <w:tab w:val="left" w:pos="142"/>
              </w:tabs>
              <w:ind w:left="40"/>
              <w:rPr>
                <w:rFonts w:ascii="Tahoma" w:hAnsi="Tahoma" w:cs="Tahoma"/>
                <w:sz w:val="20"/>
                <w:szCs w:val="20"/>
              </w:rPr>
            </w:pPr>
            <w:r w:rsidRPr="00AB541D">
              <w:rPr>
                <w:rFonts w:ascii="Tahoma" w:hAnsi="Tahoma" w:cs="Tahoma"/>
                <w:b/>
                <w:bCs/>
                <w:sz w:val="20"/>
                <w:szCs w:val="20"/>
              </w:rPr>
              <w:t>Первоначальный взнос от 10%</w:t>
            </w:r>
            <w:r w:rsidRPr="00AB541D">
              <w:rPr>
                <w:rFonts w:ascii="Tahoma" w:hAnsi="Tahoma" w:cs="Tahoma"/>
                <w:sz w:val="20"/>
                <w:szCs w:val="20"/>
              </w:rPr>
              <w:t xml:space="preserve"> - при наличии Государственного сертификата на материнский (семейный) капитал (далее МСК), с учетом средств МСК и собственных средств, размер первоначального взноса будет соответствовать стандартному:</w:t>
            </w:r>
          </w:p>
          <w:p w14:paraId="32AAAA04" w14:textId="77777777" w:rsidR="00951A61" w:rsidRPr="00AB541D" w:rsidRDefault="00951A61" w:rsidP="00A4032F">
            <w:pPr>
              <w:pStyle w:val="affe"/>
              <w:tabs>
                <w:tab w:val="left" w:pos="280"/>
              </w:tabs>
              <w:ind w:left="33"/>
              <w:jc w:val="center"/>
              <w:rPr>
                <w:rFonts w:ascii="Tahoma" w:hAnsi="Tahoma" w:cs="Tahoma"/>
                <w:b/>
                <w:sz w:val="20"/>
                <w:szCs w:val="20"/>
                <w:u w:val="single"/>
              </w:rPr>
            </w:pPr>
            <w:r w:rsidRPr="00AB541D">
              <w:rPr>
                <w:rFonts w:ascii="Tahoma" w:hAnsi="Tahoma" w:cs="Tahoma"/>
                <w:b/>
                <w:sz w:val="20"/>
                <w:szCs w:val="20"/>
                <w:u w:val="single"/>
              </w:rPr>
              <w:t>Требование к стандартному размеру первоначального взноса:</w:t>
            </w:r>
          </w:p>
          <w:tbl>
            <w:tblPr>
              <w:tblStyle w:val="aff0"/>
              <w:tblW w:w="10703" w:type="dxa"/>
              <w:tblInd w:w="28" w:type="dxa"/>
              <w:tblLayout w:type="fixed"/>
              <w:tblLook w:val="04A0" w:firstRow="1" w:lastRow="0" w:firstColumn="1" w:lastColumn="0" w:noHBand="0" w:noVBand="1"/>
            </w:tblPr>
            <w:tblGrid>
              <w:gridCol w:w="3857"/>
              <w:gridCol w:w="3686"/>
              <w:gridCol w:w="3160"/>
            </w:tblGrid>
            <w:tr w:rsidR="00951A61" w:rsidRPr="00AB541D" w14:paraId="5EFAD116" w14:textId="77777777" w:rsidTr="00A4032F">
              <w:trPr>
                <w:trHeight w:val="176"/>
              </w:trPr>
              <w:tc>
                <w:tcPr>
                  <w:tcW w:w="3857" w:type="dxa"/>
                </w:tcPr>
                <w:p w14:paraId="5849307F" w14:textId="77777777" w:rsidR="00951A61" w:rsidRPr="00AB541D" w:rsidRDefault="00951A61" w:rsidP="00A4032F">
                  <w:pPr>
                    <w:pStyle w:val="affe"/>
                    <w:tabs>
                      <w:tab w:val="left" w:pos="280"/>
                    </w:tabs>
                    <w:ind w:left="33"/>
                    <w:jc w:val="center"/>
                    <w:rPr>
                      <w:rFonts w:ascii="Tahoma" w:hAnsi="Tahoma" w:cs="Tahoma"/>
                      <w:b/>
                      <w:sz w:val="20"/>
                      <w:szCs w:val="20"/>
                    </w:rPr>
                  </w:pPr>
                  <w:r w:rsidRPr="00AB541D">
                    <w:rPr>
                      <w:rFonts w:ascii="Tahoma" w:hAnsi="Tahoma" w:cs="Tahoma"/>
                      <w:b/>
                      <w:sz w:val="20"/>
                      <w:szCs w:val="20"/>
                    </w:rPr>
                    <w:t>Квартира</w:t>
                  </w:r>
                </w:p>
              </w:tc>
              <w:tc>
                <w:tcPr>
                  <w:tcW w:w="3686" w:type="dxa"/>
                </w:tcPr>
                <w:p w14:paraId="0AD65833" w14:textId="77777777" w:rsidR="00951A61" w:rsidRPr="00AB541D" w:rsidRDefault="00951A61" w:rsidP="00A4032F">
                  <w:pPr>
                    <w:pStyle w:val="affe"/>
                    <w:tabs>
                      <w:tab w:val="left" w:pos="280"/>
                    </w:tabs>
                    <w:ind w:left="33"/>
                    <w:jc w:val="center"/>
                    <w:rPr>
                      <w:rFonts w:ascii="Tahoma" w:hAnsi="Tahoma" w:cs="Tahoma"/>
                      <w:b/>
                      <w:sz w:val="20"/>
                      <w:szCs w:val="20"/>
                    </w:rPr>
                  </w:pPr>
                  <w:r w:rsidRPr="00AB541D">
                    <w:rPr>
                      <w:rFonts w:ascii="Tahoma" w:hAnsi="Tahoma" w:cs="Tahoma"/>
                      <w:b/>
                      <w:sz w:val="20"/>
                      <w:szCs w:val="20"/>
                    </w:rPr>
                    <w:t>Апартаменты</w:t>
                  </w:r>
                </w:p>
              </w:tc>
              <w:tc>
                <w:tcPr>
                  <w:tcW w:w="3160" w:type="dxa"/>
                </w:tcPr>
                <w:p w14:paraId="5C024AC2" w14:textId="77777777" w:rsidR="00951A61" w:rsidRPr="00AB541D" w:rsidRDefault="00951A61" w:rsidP="00A4032F">
                  <w:pPr>
                    <w:pStyle w:val="affe"/>
                    <w:tabs>
                      <w:tab w:val="left" w:pos="280"/>
                    </w:tabs>
                    <w:ind w:left="33"/>
                    <w:jc w:val="center"/>
                    <w:rPr>
                      <w:rFonts w:ascii="Tahoma" w:hAnsi="Tahoma" w:cs="Tahoma"/>
                      <w:b/>
                      <w:sz w:val="20"/>
                      <w:szCs w:val="20"/>
                    </w:rPr>
                  </w:pPr>
                  <w:r w:rsidRPr="00AB541D">
                    <w:rPr>
                      <w:rFonts w:ascii="Tahoma" w:hAnsi="Tahoma" w:cs="Tahoma"/>
                      <w:b/>
                      <w:sz w:val="20"/>
                      <w:szCs w:val="20"/>
                    </w:rPr>
                    <w:t>Таунхаус</w:t>
                  </w:r>
                </w:p>
              </w:tc>
            </w:tr>
            <w:tr w:rsidR="00951A61" w:rsidRPr="00AB541D" w14:paraId="06AEA56E" w14:textId="77777777" w:rsidTr="00A4032F">
              <w:trPr>
                <w:trHeight w:val="251"/>
              </w:trPr>
              <w:tc>
                <w:tcPr>
                  <w:tcW w:w="10703" w:type="dxa"/>
                  <w:gridSpan w:val="3"/>
                </w:tcPr>
                <w:p w14:paraId="57342650" w14:textId="77777777" w:rsidR="00951A61" w:rsidRPr="00AB541D" w:rsidRDefault="00951A61" w:rsidP="00A4032F">
                  <w:pPr>
                    <w:pStyle w:val="affe"/>
                    <w:tabs>
                      <w:tab w:val="left" w:pos="280"/>
                    </w:tabs>
                    <w:ind w:left="33"/>
                    <w:jc w:val="center"/>
                    <w:rPr>
                      <w:rFonts w:ascii="Tahoma" w:hAnsi="Tahoma" w:cs="Tahoma"/>
                      <w:b/>
                      <w:sz w:val="20"/>
                      <w:szCs w:val="20"/>
                    </w:rPr>
                  </w:pPr>
                  <w:r w:rsidRPr="00AB541D">
                    <w:rPr>
                      <w:rFonts w:ascii="Tahoma" w:hAnsi="Tahoma" w:cs="Tahoma"/>
                      <w:sz w:val="20"/>
                      <w:szCs w:val="20"/>
                    </w:rPr>
                    <w:t>1. для зарплатных клиентов «Азиатско-Тихоокеанский Банк (</w:t>
                  </w:r>
                  <w:r>
                    <w:rPr>
                      <w:rFonts w:ascii="Tahoma" w:hAnsi="Tahoma" w:cs="Tahoma"/>
                      <w:sz w:val="20"/>
                      <w:szCs w:val="20"/>
                    </w:rPr>
                    <w:t>АО</w:t>
                  </w:r>
                  <w:r w:rsidRPr="00AB541D">
                    <w:rPr>
                      <w:rFonts w:ascii="Tahoma" w:hAnsi="Tahoma" w:cs="Tahoma"/>
                      <w:sz w:val="20"/>
                      <w:szCs w:val="20"/>
                    </w:rPr>
                    <w:t>) и/или работников «Азиатско-Тихоокеанский Банк» (</w:t>
                  </w:r>
                  <w:r>
                    <w:rPr>
                      <w:rFonts w:ascii="Tahoma" w:hAnsi="Tahoma" w:cs="Tahoma"/>
                      <w:sz w:val="20"/>
                      <w:szCs w:val="20"/>
                    </w:rPr>
                    <w:t>АО</w:t>
                  </w:r>
                  <w:r w:rsidRPr="00AB541D">
                    <w:rPr>
                      <w:rFonts w:ascii="Tahoma" w:hAnsi="Tahoma" w:cs="Tahoma"/>
                      <w:sz w:val="20"/>
                      <w:szCs w:val="20"/>
                    </w:rPr>
                    <w:t>);</w:t>
                  </w:r>
                </w:p>
              </w:tc>
            </w:tr>
            <w:tr w:rsidR="00951A61" w:rsidRPr="00AB541D" w14:paraId="4007C3DF" w14:textId="77777777" w:rsidTr="00A4032F">
              <w:trPr>
                <w:trHeight w:val="227"/>
              </w:trPr>
              <w:tc>
                <w:tcPr>
                  <w:tcW w:w="3857" w:type="dxa"/>
                </w:tcPr>
                <w:p w14:paraId="750D22AE" w14:textId="77777777" w:rsidR="00951A61" w:rsidRPr="00AB541D" w:rsidRDefault="00951A61" w:rsidP="00A4032F">
                  <w:pPr>
                    <w:pStyle w:val="affe"/>
                    <w:tabs>
                      <w:tab w:val="left" w:pos="280"/>
                    </w:tabs>
                    <w:ind w:left="33"/>
                    <w:jc w:val="center"/>
                    <w:rPr>
                      <w:rFonts w:ascii="Tahoma" w:hAnsi="Tahoma" w:cs="Tahoma"/>
                      <w:sz w:val="20"/>
                      <w:szCs w:val="20"/>
                    </w:rPr>
                  </w:pPr>
                  <w:r w:rsidRPr="00AB541D">
                    <w:rPr>
                      <w:rFonts w:ascii="Tahoma" w:hAnsi="Tahoma" w:cs="Tahoma"/>
                      <w:sz w:val="20"/>
                      <w:szCs w:val="20"/>
                    </w:rPr>
                    <w:t>Не менее 10%</w:t>
                  </w:r>
                  <w:r w:rsidRPr="00AB541D">
                    <w:rPr>
                      <w:rStyle w:val="aff3"/>
                      <w:rFonts w:ascii="Tahoma" w:hAnsi="Tahoma" w:cs="Tahoma"/>
                      <w:sz w:val="20"/>
                      <w:szCs w:val="20"/>
                    </w:rPr>
                    <w:footnoteReference w:id="50"/>
                  </w:r>
                  <w:r w:rsidRPr="00AB541D">
                    <w:rPr>
                      <w:rFonts w:ascii="Tahoma" w:hAnsi="Tahoma" w:cs="Tahoma"/>
                      <w:sz w:val="20"/>
                      <w:szCs w:val="20"/>
                    </w:rPr>
                    <w:t xml:space="preserve"> / Не менее 15%</w:t>
                  </w:r>
                </w:p>
              </w:tc>
              <w:tc>
                <w:tcPr>
                  <w:tcW w:w="3686" w:type="dxa"/>
                </w:tcPr>
                <w:p w14:paraId="13F8767C" w14:textId="77777777" w:rsidR="00951A61" w:rsidRPr="00AB541D" w:rsidRDefault="00951A61" w:rsidP="00A4032F">
                  <w:pPr>
                    <w:pStyle w:val="affe"/>
                    <w:tabs>
                      <w:tab w:val="left" w:pos="280"/>
                    </w:tabs>
                    <w:ind w:left="33"/>
                    <w:jc w:val="center"/>
                    <w:rPr>
                      <w:rFonts w:ascii="Tahoma" w:hAnsi="Tahoma" w:cs="Tahoma"/>
                      <w:sz w:val="20"/>
                      <w:szCs w:val="20"/>
                    </w:rPr>
                  </w:pPr>
                  <w:r w:rsidRPr="00AB541D">
                    <w:rPr>
                      <w:rFonts w:ascii="Tahoma" w:hAnsi="Tahoma" w:cs="Tahoma"/>
                      <w:sz w:val="20"/>
                      <w:szCs w:val="20"/>
                    </w:rPr>
                    <w:t>Не менее 10%</w:t>
                  </w:r>
                  <w:r w:rsidRPr="00AB541D">
                    <w:rPr>
                      <w:rStyle w:val="aff3"/>
                    </w:rPr>
                    <w:t>2</w:t>
                  </w:r>
                  <w:r w:rsidRPr="00AB541D">
                    <w:t xml:space="preserve"> / Не менее 15%</w:t>
                  </w:r>
                </w:p>
              </w:tc>
              <w:tc>
                <w:tcPr>
                  <w:tcW w:w="3160" w:type="dxa"/>
                </w:tcPr>
                <w:p w14:paraId="3DE61D88" w14:textId="77777777" w:rsidR="00951A61" w:rsidRPr="00AB541D" w:rsidRDefault="00951A61" w:rsidP="00A4032F">
                  <w:pPr>
                    <w:pStyle w:val="affe"/>
                    <w:tabs>
                      <w:tab w:val="left" w:pos="280"/>
                    </w:tabs>
                    <w:ind w:left="33"/>
                    <w:jc w:val="center"/>
                    <w:rPr>
                      <w:rFonts w:ascii="Tahoma" w:hAnsi="Tahoma" w:cs="Tahoma"/>
                      <w:sz w:val="20"/>
                      <w:szCs w:val="20"/>
                    </w:rPr>
                  </w:pPr>
                  <w:r w:rsidRPr="00AB541D">
                    <w:rPr>
                      <w:rFonts w:ascii="Tahoma" w:hAnsi="Tahoma" w:cs="Tahoma"/>
                      <w:sz w:val="20"/>
                      <w:szCs w:val="20"/>
                    </w:rPr>
                    <w:t>Не менее 40%</w:t>
                  </w:r>
                </w:p>
              </w:tc>
            </w:tr>
            <w:tr w:rsidR="00951A61" w:rsidRPr="00AB541D" w14:paraId="567113E2" w14:textId="77777777" w:rsidTr="00A4032F">
              <w:trPr>
                <w:trHeight w:val="755"/>
              </w:trPr>
              <w:tc>
                <w:tcPr>
                  <w:tcW w:w="10703" w:type="dxa"/>
                  <w:gridSpan w:val="3"/>
                </w:tcPr>
                <w:p w14:paraId="04F21736" w14:textId="77777777" w:rsidR="00951A61" w:rsidRPr="00AB541D" w:rsidRDefault="00951A61" w:rsidP="00A4032F">
                  <w:pPr>
                    <w:pStyle w:val="affe"/>
                    <w:tabs>
                      <w:tab w:val="left" w:pos="280"/>
                    </w:tabs>
                    <w:ind w:left="33"/>
                    <w:rPr>
                      <w:rFonts w:ascii="Tahoma" w:hAnsi="Tahoma" w:cs="Tahoma"/>
                      <w:sz w:val="20"/>
                      <w:szCs w:val="20"/>
                    </w:rPr>
                  </w:pPr>
                  <w:r w:rsidRPr="00AB541D">
                    <w:rPr>
                      <w:rFonts w:ascii="Tahoma" w:hAnsi="Tahoma" w:cs="Tahoma"/>
                      <w:sz w:val="20"/>
                      <w:szCs w:val="20"/>
                    </w:rPr>
                    <w:t xml:space="preserve">2. если при определении платежеспособности Заемщика учитывается доход Заемщика от </w:t>
                  </w:r>
                  <w:r w:rsidRPr="00EE1A99">
                    <w:rPr>
                      <w:rFonts w:ascii="Tahoma" w:hAnsi="Tahoma" w:cs="Tahoma"/>
                      <w:sz w:val="20"/>
                      <w:szCs w:val="20"/>
                    </w:rPr>
                    <w:t>предпринимательской деятельности и/или доход Заемщика-собственника бизнеса (полученный от этого бизнеса) и/или доход самозанятого. Доля дохода от предпринимательской деятельности должна составлять 50% и более от совокупного учитываемого дохода</w:t>
                  </w:r>
                  <w:r w:rsidRPr="00AB541D">
                    <w:rPr>
                      <w:rFonts w:ascii="Tahoma" w:hAnsi="Tahoma" w:cs="Tahoma"/>
                      <w:sz w:val="20"/>
                      <w:szCs w:val="20"/>
                    </w:rPr>
                    <w:t xml:space="preserve"> по заявке.</w:t>
                  </w:r>
                </w:p>
              </w:tc>
            </w:tr>
            <w:tr w:rsidR="00951A61" w:rsidRPr="00AB541D" w14:paraId="7D5BA1B2" w14:textId="77777777" w:rsidTr="00A4032F">
              <w:trPr>
                <w:trHeight w:val="236"/>
              </w:trPr>
              <w:tc>
                <w:tcPr>
                  <w:tcW w:w="3857" w:type="dxa"/>
                </w:tcPr>
                <w:p w14:paraId="4B14B7D1" w14:textId="77777777" w:rsidR="00951A61" w:rsidRPr="00AB541D" w:rsidRDefault="00951A61" w:rsidP="00A4032F">
                  <w:pPr>
                    <w:pStyle w:val="affe"/>
                    <w:tabs>
                      <w:tab w:val="left" w:pos="280"/>
                    </w:tabs>
                    <w:ind w:left="33"/>
                    <w:jc w:val="center"/>
                    <w:rPr>
                      <w:rFonts w:ascii="Tahoma" w:hAnsi="Tahoma" w:cs="Tahoma"/>
                      <w:sz w:val="20"/>
                      <w:szCs w:val="20"/>
                    </w:rPr>
                  </w:pPr>
                  <w:r w:rsidRPr="00AB541D">
                    <w:rPr>
                      <w:rFonts w:ascii="Tahoma" w:hAnsi="Tahoma" w:cs="Tahoma"/>
                      <w:sz w:val="20"/>
                      <w:szCs w:val="20"/>
                    </w:rPr>
                    <w:t>Не менее 35%</w:t>
                  </w:r>
                </w:p>
              </w:tc>
              <w:tc>
                <w:tcPr>
                  <w:tcW w:w="3686" w:type="dxa"/>
                </w:tcPr>
                <w:p w14:paraId="74DCAA49" w14:textId="77777777" w:rsidR="00951A61" w:rsidRPr="00AB541D" w:rsidRDefault="00951A61" w:rsidP="00A4032F">
                  <w:pPr>
                    <w:pStyle w:val="affe"/>
                    <w:tabs>
                      <w:tab w:val="left" w:pos="280"/>
                    </w:tabs>
                    <w:ind w:left="33"/>
                    <w:jc w:val="center"/>
                    <w:rPr>
                      <w:rFonts w:ascii="Tahoma" w:hAnsi="Tahoma" w:cs="Tahoma"/>
                      <w:sz w:val="20"/>
                      <w:szCs w:val="20"/>
                    </w:rPr>
                  </w:pPr>
                  <w:r w:rsidRPr="00AB541D">
                    <w:rPr>
                      <w:rFonts w:ascii="Tahoma" w:hAnsi="Tahoma" w:cs="Tahoma"/>
                      <w:sz w:val="20"/>
                      <w:szCs w:val="20"/>
                    </w:rPr>
                    <w:t>Не менее 35%</w:t>
                  </w:r>
                </w:p>
              </w:tc>
              <w:tc>
                <w:tcPr>
                  <w:tcW w:w="3160" w:type="dxa"/>
                </w:tcPr>
                <w:p w14:paraId="507D98CC" w14:textId="77777777" w:rsidR="00951A61" w:rsidRPr="00AB541D" w:rsidRDefault="00951A61" w:rsidP="00A4032F">
                  <w:pPr>
                    <w:pStyle w:val="affe"/>
                    <w:tabs>
                      <w:tab w:val="left" w:pos="280"/>
                    </w:tabs>
                    <w:ind w:left="33"/>
                    <w:jc w:val="center"/>
                    <w:rPr>
                      <w:rFonts w:ascii="Tahoma" w:hAnsi="Tahoma" w:cs="Tahoma"/>
                      <w:sz w:val="20"/>
                      <w:szCs w:val="20"/>
                    </w:rPr>
                  </w:pPr>
                  <w:r w:rsidRPr="00AB541D">
                    <w:rPr>
                      <w:rFonts w:ascii="Tahoma" w:hAnsi="Tahoma" w:cs="Tahoma"/>
                      <w:sz w:val="20"/>
                      <w:szCs w:val="20"/>
                    </w:rPr>
                    <w:t>Не менее 40%</w:t>
                  </w:r>
                </w:p>
              </w:tc>
            </w:tr>
            <w:tr w:rsidR="00951A61" w:rsidRPr="00AB541D" w14:paraId="0FDF44F3" w14:textId="77777777" w:rsidTr="00A4032F">
              <w:trPr>
                <w:trHeight w:val="251"/>
              </w:trPr>
              <w:tc>
                <w:tcPr>
                  <w:tcW w:w="10703" w:type="dxa"/>
                  <w:gridSpan w:val="3"/>
                </w:tcPr>
                <w:p w14:paraId="3F5736D4" w14:textId="77777777" w:rsidR="00951A61" w:rsidRPr="00AB541D" w:rsidRDefault="00951A61" w:rsidP="00A4032F">
                  <w:pPr>
                    <w:pStyle w:val="affe"/>
                    <w:tabs>
                      <w:tab w:val="left" w:pos="280"/>
                    </w:tabs>
                    <w:ind w:left="33"/>
                    <w:rPr>
                      <w:rFonts w:ascii="Tahoma" w:hAnsi="Tahoma" w:cs="Tahoma"/>
                      <w:sz w:val="20"/>
                      <w:szCs w:val="20"/>
                    </w:rPr>
                  </w:pPr>
                  <w:r w:rsidRPr="00AB541D">
                    <w:rPr>
                      <w:rFonts w:ascii="Tahoma" w:hAnsi="Tahoma" w:cs="Tahoma"/>
                      <w:sz w:val="20"/>
                      <w:szCs w:val="20"/>
                    </w:rPr>
                    <w:t>3. для физических лиц, кроме указанных в п. 1,2,4 настоящего раздела.</w:t>
                  </w:r>
                </w:p>
              </w:tc>
            </w:tr>
            <w:tr w:rsidR="00951A61" w:rsidRPr="00AB541D" w14:paraId="43CBF658" w14:textId="77777777" w:rsidTr="00A4032F">
              <w:trPr>
                <w:trHeight w:val="251"/>
              </w:trPr>
              <w:tc>
                <w:tcPr>
                  <w:tcW w:w="3857" w:type="dxa"/>
                </w:tcPr>
                <w:p w14:paraId="0364E144" w14:textId="77777777" w:rsidR="00951A61" w:rsidRPr="00AB541D" w:rsidRDefault="00951A61" w:rsidP="00A4032F">
                  <w:pPr>
                    <w:pStyle w:val="affe"/>
                    <w:tabs>
                      <w:tab w:val="left" w:pos="280"/>
                    </w:tabs>
                    <w:ind w:left="33"/>
                    <w:jc w:val="center"/>
                    <w:rPr>
                      <w:rFonts w:ascii="Tahoma" w:hAnsi="Tahoma" w:cs="Tahoma"/>
                      <w:sz w:val="20"/>
                      <w:szCs w:val="20"/>
                    </w:rPr>
                  </w:pPr>
                  <w:r w:rsidRPr="00AB541D">
                    <w:rPr>
                      <w:rFonts w:ascii="Tahoma" w:hAnsi="Tahoma" w:cs="Tahoma"/>
                      <w:sz w:val="20"/>
                      <w:szCs w:val="20"/>
                    </w:rPr>
                    <w:t>Не менее 15%</w:t>
                  </w:r>
                </w:p>
              </w:tc>
              <w:tc>
                <w:tcPr>
                  <w:tcW w:w="3686" w:type="dxa"/>
                </w:tcPr>
                <w:p w14:paraId="5022B004" w14:textId="77777777" w:rsidR="00951A61" w:rsidRPr="00AB541D" w:rsidRDefault="00951A61" w:rsidP="00A4032F">
                  <w:pPr>
                    <w:pStyle w:val="affe"/>
                    <w:tabs>
                      <w:tab w:val="left" w:pos="280"/>
                    </w:tabs>
                    <w:ind w:left="33"/>
                    <w:jc w:val="center"/>
                    <w:rPr>
                      <w:rFonts w:ascii="Tahoma" w:hAnsi="Tahoma" w:cs="Tahoma"/>
                      <w:sz w:val="20"/>
                      <w:szCs w:val="20"/>
                    </w:rPr>
                  </w:pPr>
                  <w:r w:rsidRPr="00AB541D">
                    <w:rPr>
                      <w:rFonts w:ascii="Tahoma" w:hAnsi="Tahoma" w:cs="Tahoma"/>
                      <w:sz w:val="20"/>
                      <w:szCs w:val="20"/>
                    </w:rPr>
                    <w:t>Не менее 15%</w:t>
                  </w:r>
                </w:p>
              </w:tc>
              <w:tc>
                <w:tcPr>
                  <w:tcW w:w="3160" w:type="dxa"/>
                </w:tcPr>
                <w:p w14:paraId="5DC759C6" w14:textId="77777777" w:rsidR="00951A61" w:rsidRPr="00AB541D" w:rsidRDefault="00951A61" w:rsidP="00A4032F">
                  <w:pPr>
                    <w:pStyle w:val="affe"/>
                    <w:tabs>
                      <w:tab w:val="left" w:pos="280"/>
                    </w:tabs>
                    <w:ind w:left="33"/>
                    <w:jc w:val="center"/>
                    <w:rPr>
                      <w:rFonts w:ascii="Tahoma" w:hAnsi="Tahoma" w:cs="Tahoma"/>
                      <w:sz w:val="20"/>
                      <w:szCs w:val="20"/>
                    </w:rPr>
                  </w:pPr>
                  <w:r w:rsidRPr="00AB541D">
                    <w:rPr>
                      <w:rFonts w:ascii="Tahoma" w:hAnsi="Tahoma" w:cs="Tahoma"/>
                      <w:sz w:val="20"/>
                      <w:szCs w:val="20"/>
                    </w:rPr>
                    <w:t>Не менее 40%</w:t>
                  </w:r>
                </w:p>
              </w:tc>
            </w:tr>
            <w:tr w:rsidR="00951A61" w:rsidRPr="00AB541D" w14:paraId="2899FA51" w14:textId="77777777" w:rsidTr="00A4032F">
              <w:trPr>
                <w:trHeight w:val="503"/>
              </w:trPr>
              <w:tc>
                <w:tcPr>
                  <w:tcW w:w="10703" w:type="dxa"/>
                  <w:gridSpan w:val="3"/>
                </w:tcPr>
                <w:p w14:paraId="02B659A7" w14:textId="77777777" w:rsidR="00951A61" w:rsidRPr="00AB541D" w:rsidRDefault="00951A61" w:rsidP="00A4032F">
                  <w:pPr>
                    <w:pStyle w:val="affe"/>
                    <w:tabs>
                      <w:tab w:val="left" w:pos="280"/>
                    </w:tabs>
                    <w:ind w:left="33"/>
                    <w:rPr>
                      <w:rFonts w:ascii="Tahoma" w:hAnsi="Tahoma" w:cs="Tahoma"/>
                      <w:sz w:val="20"/>
                      <w:szCs w:val="20"/>
                    </w:rPr>
                  </w:pPr>
                  <w:r w:rsidRPr="00AB541D">
                    <w:rPr>
                      <w:rFonts w:ascii="Tahoma" w:hAnsi="Tahoma" w:cs="Tahoma"/>
                      <w:sz w:val="20"/>
                      <w:szCs w:val="20"/>
                    </w:rPr>
                    <w:t>4. в случае, если владельцем (собственником) компании-работодателя Заемщика является Член семьи Заемщика и при этом у Заемщика отсутствует кредитная история.</w:t>
                  </w:r>
                </w:p>
              </w:tc>
            </w:tr>
            <w:tr w:rsidR="00951A61" w:rsidRPr="00AB541D" w14:paraId="3D19AAC2" w14:textId="77777777" w:rsidTr="00A4032F">
              <w:trPr>
                <w:trHeight w:val="251"/>
              </w:trPr>
              <w:tc>
                <w:tcPr>
                  <w:tcW w:w="3857" w:type="dxa"/>
                </w:tcPr>
                <w:p w14:paraId="3624B412" w14:textId="77777777" w:rsidR="00951A61" w:rsidRPr="00AB541D" w:rsidRDefault="00951A61" w:rsidP="00A4032F">
                  <w:pPr>
                    <w:pStyle w:val="affe"/>
                    <w:tabs>
                      <w:tab w:val="left" w:pos="280"/>
                    </w:tabs>
                    <w:ind w:left="33"/>
                    <w:jc w:val="center"/>
                    <w:rPr>
                      <w:rFonts w:ascii="Tahoma" w:hAnsi="Tahoma" w:cs="Tahoma"/>
                      <w:sz w:val="20"/>
                      <w:szCs w:val="20"/>
                    </w:rPr>
                  </w:pPr>
                  <w:r w:rsidRPr="00AB541D">
                    <w:rPr>
                      <w:rFonts w:ascii="Tahoma" w:hAnsi="Tahoma" w:cs="Tahoma"/>
                      <w:sz w:val="20"/>
                      <w:szCs w:val="20"/>
                    </w:rPr>
                    <w:t>Не менее 25%</w:t>
                  </w:r>
                </w:p>
              </w:tc>
              <w:tc>
                <w:tcPr>
                  <w:tcW w:w="3686" w:type="dxa"/>
                </w:tcPr>
                <w:p w14:paraId="391CDB53" w14:textId="77777777" w:rsidR="00951A61" w:rsidRPr="00AB541D" w:rsidRDefault="00951A61" w:rsidP="00A4032F">
                  <w:pPr>
                    <w:pStyle w:val="affe"/>
                    <w:tabs>
                      <w:tab w:val="left" w:pos="280"/>
                    </w:tabs>
                    <w:ind w:left="33"/>
                    <w:jc w:val="center"/>
                    <w:rPr>
                      <w:rFonts w:ascii="Tahoma" w:hAnsi="Tahoma" w:cs="Tahoma"/>
                      <w:sz w:val="20"/>
                      <w:szCs w:val="20"/>
                    </w:rPr>
                  </w:pPr>
                  <w:r w:rsidRPr="00AB541D">
                    <w:rPr>
                      <w:rFonts w:ascii="Tahoma" w:hAnsi="Tahoma" w:cs="Tahoma"/>
                      <w:sz w:val="20"/>
                      <w:szCs w:val="20"/>
                    </w:rPr>
                    <w:t>Не менее 25%</w:t>
                  </w:r>
                </w:p>
              </w:tc>
              <w:tc>
                <w:tcPr>
                  <w:tcW w:w="3160" w:type="dxa"/>
                </w:tcPr>
                <w:p w14:paraId="2316CF41" w14:textId="77777777" w:rsidR="00951A61" w:rsidRPr="00AB541D" w:rsidRDefault="00951A61" w:rsidP="00A4032F">
                  <w:pPr>
                    <w:pStyle w:val="affe"/>
                    <w:tabs>
                      <w:tab w:val="left" w:pos="280"/>
                    </w:tabs>
                    <w:ind w:left="33"/>
                    <w:jc w:val="center"/>
                    <w:rPr>
                      <w:rFonts w:ascii="Tahoma" w:hAnsi="Tahoma" w:cs="Tahoma"/>
                      <w:sz w:val="20"/>
                      <w:szCs w:val="20"/>
                    </w:rPr>
                  </w:pPr>
                  <w:r w:rsidRPr="00AB541D">
                    <w:rPr>
                      <w:rFonts w:ascii="Tahoma" w:hAnsi="Tahoma" w:cs="Tahoma"/>
                      <w:sz w:val="20"/>
                      <w:szCs w:val="20"/>
                    </w:rPr>
                    <w:t>Не менее 40%</w:t>
                  </w:r>
                </w:p>
              </w:tc>
            </w:tr>
          </w:tbl>
          <w:p w14:paraId="1CB8AC85" w14:textId="77777777" w:rsidR="00951A61" w:rsidRPr="00AB541D" w:rsidRDefault="00951A61" w:rsidP="00A4032F">
            <w:pPr>
              <w:tabs>
                <w:tab w:val="left" w:pos="280"/>
              </w:tabs>
              <w:rPr>
                <w:rFonts w:ascii="Tahoma" w:hAnsi="Tahoma" w:cs="Tahoma"/>
                <w:sz w:val="20"/>
                <w:szCs w:val="20"/>
              </w:rPr>
            </w:pPr>
          </w:p>
        </w:tc>
      </w:tr>
      <w:tr w:rsidR="00951A61" w:rsidRPr="00AB541D" w14:paraId="131120DF" w14:textId="77777777" w:rsidTr="00A4032F">
        <w:trPr>
          <w:trHeight w:val="848"/>
        </w:trPr>
        <w:tc>
          <w:tcPr>
            <w:tcW w:w="4609" w:type="dxa"/>
            <w:tcBorders>
              <w:top w:val="nil"/>
              <w:left w:val="single" w:sz="4" w:space="0" w:color="auto"/>
              <w:bottom w:val="single" w:sz="4" w:space="0" w:color="auto"/>
              <w:right w:val="single" w:sz="4" w:space="0" w:color="auto"/>
            </w:tcBorders>
            <w:shd w:val="clear" w:color="auto" w:fill="auto"/>
            <w:vAlign w:val="center"/>
          </w:tcPr>
          <w:p w14:paraId="085C4A19" w14:textId="77777777" w:rsidR="00951A61" w:rsidRPr="00AB541D" w:rsidRDefault="00951A61" w:rsidP="00A4032F">
            <w:pPr>
              <w:jc w:val="center"/>
              <w:rPr>
                <w:rFonts w:ascii="Tahoma" w:hAnsi="Tahoma" w:cs="Tahoma"/>
                <w:b/>
                <w:sz w:val="20"/>
                <w:szCs w:val="20"/>
              </w:rPr>
            </w:pPr>
            <w:r w:rsidRPr="00AB541D">
              <w:rPr>
                <w:rFonts w:ascii="Tahoma" w:hAnsi="Tahoma" w:cs="Tahoma"/>
                <w:b/>
                <w:sz w:val="20"/>
                <w:szCs w:val="20"/>
              </w:rPr>
              <w:t>Коэффициент кредит / залог (К/З)</w:t>
            </w:r>
          </w:p>
        </w:tc>
        <w:tc>
          <w:tcPr>
            <w:tcW w:w="10964" w:type="dxa"/>
            <w:tcBorders>
              <w:top w:val="single" w:sz="4" w:space="0" w:color="auto"/>
              <w:left w:val="nil"/>
              <w:bottom w:val="single" w:sz="4" w:space="0" w:color="auto"/>
              <w:right w:val="single" w:sz="4" w:space="0" w:color="auto"/>
            </w:tcBorders>
            <w:shd w:val="clear" w:color="auto" w:fill="auto"/>
          </w:tcPr>
          <w:p w14:paraId="57936664" w14:textId="77777777" w:rsidR="00951A61" w:rsidRPr="00AB541D" w:rsidRDefault="00951A61" w:rsidP="00A4032F">
            <w:pPr>
              <w:pStyle w:val="affe"/>
              <w:tabs>
                <w:tab w:val="left" w:pos="280"/>
              </w:tabs>
              <w:ind w:left="33"/>
              <w:rPr>
                <w:rFonts w:ascii="Tahoma" w:hAnsi="Tahoma" w:cs="Tahoma"/>
                <w:sz w:val="20"/>
                <w:szCs w:val="20"/>
              </w:rPr>
            </w:pPr>
            <w:r w:rsidRPr="00AB541D">
              <w:rPr>
                <w:rFonts w:ascii="Tahoma" w:hAnsi="Tahoma" w:cs="Tahoma"/>
                <w:b/>
                <w:sz w:val="20"/>
                <w:szCs w:val="20"/>
                <w:u w:val="single"/>
              </w:rPr>
              <w:t xml:space="preserve">Коэффициент К/З </w:t>
            </w:r>
            <w:r w:rsidRPr="00AB541D">
              <w:rPr>
                <w:rFonts w:ascii="Tahoma" w:hAnsi="Tahoma" w:cs="Tahoma"/>
                <w:sz w:val="20"/>
                <w:szCs w:val="20"/>
              </w:rPr>
              <w:t>определяется как величина расчета возможной суммы кредита в зависимости от оценочной стоимости объекта и размера первоначального взноса.</w:t>
            </w:r>
          </w:p>
          <w:p w14:paraId="4CCBE4D7" w14:textId="77777777" w:rsidR="00951A61" w:rsidRPr="00AB541D" w:rsidRDefault="00951A61" w:rsidP="00A4032F">
            <w:pPr>
              <w:pStyle w:val="affe"/>
              <w:tabs>
                <w:tab w:val="left" w:pos="0"/>
                <w:tab w:val="left" w:pos="142"/>
              </w:tabs>
              <w:ind w:left="40"/>
              <w:rPr>
                <w:rFonts w:ascii="Tahoma" w:hAnsi="Tahoma" w:cs="Tahoma"/>
                <w:sz w:val="20"/>
                <w:szCs w:val="20"/>
              </w:rPr>
            </w:pPr>
            <w:r w:rsidRPr="00AB541D">
              <w:rPr>
                <w:rFonts w:ascii="Tahoma" w:hAnsi="Tahoma" w:cs="Tahoma"/>
                <w:b/>
                <w:sz w:val="20"/>
                <w:szCs w:val="20"/>
                <w:u w:val="single"/>
              </w:rPr>
              <w:t>Предусмотрено повышенное значение К/З в размере 90%</w:t>
            </w:r>
            <w:r w:rsidRPr="00AB541D">
              <w:rPr>
                <w:rFonts w:ascii="Tahoma" w:hAnsi="Tahoma" w:cs="Tahoma"/>
                <w:bCs/>
                <w:sz w:val="20"/>
                <w:szCs w:val="20"/>
              </w:rPr>
              <w:t xml:space="preserve"> - при </w:t>
            </w:r>
            <w:r w:rsidRPr="00AB541D">
              <w:rPr>
                <w:rFonts w:ascii="Tahoma" w:hAnsi="Tahoma" w:cs="Tahoma"/>
                <w:sz w:val="20"/>
                <w:szCs w:val="20"/>
              </w:rPr>
              <w:t xml:space="preserve">наличии Государственного сертификата на материнский (семейный) капитал (далее МСК), с учетом произведенного гашения средствами МСК коэффициент К/З будет приведен к </w:t>
            </w:r>
            <w:r w:rsidRPr="00EE1A99">
              <w:rPr>
                <w:rFonts w:ascii="Tahoma" w:hAnsi="Tahoma" w:cs="Tahoma"/>
                <w:sz w:val="20"/>
                <w:szCs w:val="20"/>
              </w:rPr>
              <w:t>стандартному (но не более 80%):</w:t>
            </w:r>
          </w:p>
          <w:p w14:paraId="4516F621" w14:textId="77777777" w:rsidR="00951A61" w:rsidRPr="00AB541D" w:rsidRDefault="00951A61" w:rsidP="00A4032F">
            <w:pPr>
              <w:pStyle w:val="affe"/>
              <w:tabs>
                <w:tab w:val="left" w:pos="280"/>
              </w:tabs>
              <w:ind w:left="33"/>
              <w:jc w:val="center"/>
              <w:rPr>
                <w:rFonts w:ascii="Tahoma" w:hAnsi="Tahoma" w:cs="Tahoma"/>
                <w:b/>
                <w:sz w:val="20"/>
                <w:szCs w:val="20"/>
                <w:u w:val="single"/>
              </w:rPr>
            </w:pPr>
            <w:r w:rsidRPr="00AB541D">
              <w:rPr>
                <w:rFonts w:ascii="Tahoma" w:hAnsi="Tahoma" w:cs="Tahoma"/>
                <w:b/>
                <w:sz w:val="20"/>
                <w:szCs w:val="20"/>
                <w:u w:val="single"/>
              </w:rPr>
              <w:t>Требование к стандартному размеру Коэффициента К/З:</w:t>
            </w:r>
          </w:p>
          <w:tbl>
            <w:tblPr>
              <w:tblStyle w:val="aff0"/>
              <w:tblW w:w="10738" w:type="dxa"/>
              <w:tblInd w:w="28" w:type="dxa"/>
              <w:tblLayout w:type="fixed"/>
              <w:tblLook w:val="04A0" w:firstRow="1" w:lastRow="0" w:firstColumn="1" w:lastColumn="0" w:noHBand="0" w:noVBand="1"/>
            </w:tblPr>
            <w:tblGrid>
              <w:gridCol w:w="3857"/>
              <w:gridCol w:w="3686"/>
              <w:gridCol w:w="3195"/>
            </w:tblGrid>
            <w:tr w:rsidR="00951A61" w:rsidRPr="00AB541D" w14:paraId="3D801EF9" w14:textId="77777777" w:rsidTr="00A4032F">
              <w:trPr>
                <w:trHeight w:val="70"/>
              </w:trPr>
              <w:tc>
                <w:tcPr>
                  <w:tcW w:w="3857" w:type="dxa"/>
                </w:tcPr>
                <w:p w14:paraId="1CED2AA7" w14:textId="77777777" w:rsidR="00951A61" w:rsidRPr="00AB541D" w:rsidRDefault="00951A61" w:rsidP="00A4032F">
                  <w:pPr>
                    <w:pStyle w:val="affe"/>
                    <w:tabs>
                      <w:tab w:val="left" w:pos="280"/>
                    </w:tabs>
                    <w:ind w:left="33"/>
                    <w:jc w:val="center"/>
                    <w:rPr>
                      <w:rFonts w:ascii="Tahoma" w:hAnsi="Tahoma" w:cs="Tahoma"/>
                      <w:b/>
                      <w:sz w:val="20"/>
                      <w:szCs w:val="20"/>
                    </w:rPr>
                  </w:pPr>
                  <w:r w:rsidRPr="00AB541D">
                    <w:rPr>
                      <w:rFonts w:ascii="Tahoma" w:hAnsi="Tahoma" w:cs="Tahoma"/>
                      <w:b/>
                      <w:sz w:val="20"/>
                      <w:szCs w:val="20"/>
                    </w:rPr>
                    <w:t>Квартира</w:t>
                  </w:r>
                </w:p>
              </w:tc>
              <w:tc>
                <w:tcPr>
                  <w:tcW w:w="3686" w:type="dxa"/>
                </w:tcPr>
                <w:p w14:paraId="518A1A44" w14:textId="77777777" w:rsidR="00951A61" w:rsidRPr="00AB541D" w:rsidRDefault="00951A61" w:rsidP="00A4032F">
                  <w:pPr>
                    <w:pStyle w:val="affe"/>
                    <w:tabs>
                      <w:tab w:val="left" w:pos="280"/>
                    </w:tabs>
                    <w:ind w:left="33"/>
                    <w:jc w:val="center"/>
                    <w:rPr>
                      <w:rFonts w:ascii="Tahoma" w:hAnsi="Tahoma" w:cs="Tahoma"/>
                      <w:b/>
                      <w:sz w:val="20"/>
                      <w:szCs w:val="20"/>
                    </w:rPr>
                  </w:pPr>
                  <w:r w:rsidRPr="00AB541D">
                    <w:rPr>
                      <w:rFonts w:ascii="Tahoma" w:hAnsi="Tahoma" w:cs="Tahoma"/>
                      <w:b/>
                      <w:sz w:val="20"/>
                      <w:szCs w:val="20"/>
                    </w:rPr>
                    <w:t>Апартаменты</w:t>
                  </w:r>
                </w:p>
              </w:tc>
              <w:tc>
                <w:tcPr>
                  <w:tcW w:w="3195" w:type="dxa"/>
                </w:tcPr>
                <w:p w14:paraId="3A1E7520" w14:textId="77777777" w:rsidR="00951A61" w:rsidRPr="00AB541D" w:rsidRDefault="00951A61" w:rsidP="00A4032F">
                  <w:pPr>
                    <w:pStyle w:val="affe"/>
                    <w:tabs>
                      <w:tab w:val="left" w:pos="280"/>
                    </w:tabs>
                    <w:ind w:left="33"/>
                    <w:jc w:val="center"/>
                    <w:rPr>
                      <w:rFonts w:ascii="Tahoma" w:hAnsi="Tahoma" w:cs="Tahoma"/>
                    </w:rPr>
                  </w:pPr>
                  <w:r w:rsidRPr="00AB541D">
                    <w:rPr>
                      <w:rFonts w:ascii="Tahoma" w:hAnsi="Tahoma" w:cs="Tahoma"/>
                      <w:b/>
                      <w:sz w:val="20"/>
                      <w:szCs w:val="20"/>
                    </w:rPr>
                    <w:t>Таунхаус</w:t>
                  </w:r>
                </w:p>
              </w:tc>
            </w:tr>
            <w:tr w:rsidR="00951A61" w:rsidRPr="00AB541D" w14:paraId="2E203E3E" w14:textId="77777777" w:rsidTr="00A4032F">
              <w:trPr>
                <w:trHeight w:val="569"/>
              </w:trPr>
              <w:tc>
                <w:tcPr>
                  <w:tcW w:w="10738" w:type="dxa"/>
                  <w:gridSpan w:val="3"/>
                </w:tcPr>
                <w:p w14:paraId="773101D5" w14:textId="77777777" w:rsidR="00951A61" w:rsidRPr="00AB541D" w:rsidRDefault="00951A61" w:rsidP="00A4032F">
                  <w:pPr>
                    <w:pStyle w:val="affe"/>
                    <w:tabs>
                      <w:tab w:val="left" w:pos="280"/>
                    </w:tabs>
                    <w:ind w:left="33"/>
                    <w:rPr>
                      <w:rFonts w:ascii="Tahoma" w:hAnsi="Tahoma" w:cs="Tahoma"/>
                      <w:sz w:val="20"/>
                      <w:szCs w:val="20"/>
                    </w:rPr>
                  </w:pPr>
                  <w:r w:rsidRPr="00AB541D">
                    <w:rPr>
                      <w:rFonts w:ascii="Tahoma" w:hAnsi="Tahoma" w:cs="Tahoma"/>
                      <w:sz w:val="20"/>
                      <w:szCs w:val="20"/>
                    </w:rPr>
                    <w:t>1. для зарплатных клиентов «Азиатско-Тихоокеанский Банк (</w:t>
                  </w:r>
                  <w:r>
                    <w:rPr>
                      <w:rFonts w:ascii="Tahoma" w:hAnsi="Tahoma" w:cs="Tahoma"/>
                      <w:sz w:val="20"/>
                      <w:szCs w:val="20"/>
                    </w:rPr>
                    <w:t>АО</w:t>
                  </w:r>
                  <w:r w:rsidRPr="00AB541D">
                    <w:rPr>
                      <w:rFonts w:ascii="Tahoma" w:hAnsi="Tahoma" w:cs="Tahoma"/>
                      <w:sz w:val="20"/>
                      <w:szCs w:val="20"/>
                    </w:rPr>
                    <w:t>) и/или работников «Азиатско-Тихоокеанский Банк» (</w:t>
                  </w:r>
                  <w:r>
                    <w:rPr>
                      <w:rFonts w:ascii="Tahoma" w:hAnsi="Tahoma" w:cs="Tahoma"/>
                      <w:sz w:val="20"/>
                      <w:szCs w:val="20"/>
                    </w:rPr>
                    <w:t>АО</w:t>
                  </w:r>
                  <w:r w:rsidRPr="00AB541D">
                    <w:rPr>
                      <w:rFonts w:ascii="Tahoma" w:hAnsi="Tahoma" w:cs="Tahoma"/>
                      <w:sz w:val="20"/>
                      <w:szCs w:val="20"/>
                    </w:rPr>
                    <w:t>);</w:t>
                  </w:r>
                </w:p>
              </w:tc>
            </w:tr>
            <w:tr w:rsidR="00951A61" w:rsidRPr="00AB541D" w14:paraId="0B9BBAA1" w14:textId="77777777" w:rsidTr="00A4032F">
              <w:trPr>
                <w:trHeight w:val="70"/>
              </w:trPr>
              <w:tc>
                <w:tcPr>
                  <w:tcW w:w="3857" w:type="dxa"/>
                </w:tcPr>
                <w:p w14:paraId="26009FB9" w14:textId="77777777" w:rsidR="00951A61" w:rsidRPr="00AB541D" w:rsidRDefault="00951A61" w:rsidP="00A4032F">
                  <w:pPr>
                    <w:pStyle w:val="affe"/>
                    <w:tabs>
                      <w:tab w:val="left" w:pos="280"/>
                    </w:tabs>
                    <w:ind w:left="33"/>
                    <w:jc w:val="center"/>
                    <w:rPr>
                      <w:rFonts w:ascii="Tahoma" w:hAnsi="Tahoma" w:cs="Tahoma"/>
                      <w:sz w:val="20"/>
                      <w:szCs w:val="20"/>
                    </w:rPr>
                  </w:pPr>
                  <w:r w:rsidRPr="00AB541D">
                    <w:rPr>
                      <w:rFonts w:ascii="Tahoma" w:hAnsi="Tahoma" w:cs="Tahoma"/>
                      <w:sz w:val="20"/>
                      <w:szCs w:val="20"/>
                    </w:rPr>
                    <w:lastRenderedPageBreak/>
                    <w:t>Не более 90%</w:t>
                  </w:r>
                  <w:r w:rsidRPr="00AB541D">
                    <w:rPr>
                      <w:rStyle w:val="aff3"/>
                    </w:rPr>
                    <w:t>2</w:t>
                  </w:r>
                  <w:r w:rsidRPr="00AB541D">
                    <w:rPr>
                      <w:rFonts w:ascii="Tahoma" w:hAnsi="Tahoma" w:cs="Tahoma"/>
                      <w:sz w:val="20"/>
                      <w:szCs w:val="20"/>
                    </w:rPr>
                    <w:t xml:space="preserve"> /Не более 85%</w:t>
                  </w:r>
                </w:p>
              </w:tc>
              <w:tc>
                <w:tcPr>
                  <w:tcW w:w="3686" w:type="dxa"/>
                </w:tcPr>
                <w:p w14:paraId="00FC55D3" w14:textId="77777777" w:rsidR="00951A61" w:rsidRPr="00AB541D" w:rsidRDefault="00951A61" w:rsidP="00A4032F">
                  <w:pPr>
                    <w:pStyle w:val="affe"/>
                    <w:tabs>
                      <w:tab w:val="left" w:pos="280"/>
                    </w:tabs>
                    <w:ind w:left="33"/>
                    <w:jc w:val="center"/>
                    <w:rPr>
                      <w:rFonts w:ascii="Tahoma" w:hAnsi="Tahoma" w:cs="Tahoma"/>
                      <w:sz w:val="20"/>
                      <w:szCs w:val="20"/>
                    </w:rPr>
                  </w:pPr>
                  <w:r w:rsidRPr="00AB541D">
                    <w:rPr>
                      <w:rFonts w:ascii="Tahoma" w:hAnsi="Tahoma" w:cs="Tahoma"/>
                      <w:sz w:val="20"/>
                      <w:szCs w:val="20"/>
                    </w:rPr>
                    <w:t>Не более 90%</w:t>
                  </w:r>
                  <w:r w:rsidRPr="00AB541D">
                    <w:rPr>
                      <w:rStyle w:val="aff3"/>
                    </w:rPr>
                    <w:t>2</w:t>
                  </w:r>
                  <w:r w:rsidRPr="00AB541D">
                    <w:rPr>
                      <w:rFonts w:ascii="Tahoma" w:hAnsi="Tahoma" w:cs="Tahoma"/>
                      <w:sz w:val="20"/>
                      <w:szCs w:val="20"/>
                    </w:rPr>
                    <w:t xml:space="preserve"> / Не более 85%</w:t>
                  </w:r>
                </w:p>
              </w:tc>
              <w:tc>
                <w:tcPr>
                  <w:tcW w:w="3195" w:type="dxa"/>
                </w:tcPr>
                <w:p w14:paraId="6B753C6B" w14:textId="77777777" w:rsidR="00951A61" w:rsidRPr="00AB541D" w:rsidRDefault="00951A61" w:rsidP="00A4032F">
                  <w:pPr>
                    <w:pStyle w:val="affe"/>
                    <w:tabs>
                      <w:tab w:val="left" w:pos="280"/>
                    </w:tabs>
                    <w:ind w:left="33"/>
                    <w:jc w:val="center"/>
                    <w:rPr>
                      <w:rFonts w:ascii="Tahoma" w:hAnsi="Tahoma" w:cs="Tahoma"/>
                      <w:sz w:val="20"/>
                      <w:szCs w:val="20"/>
                    </w:rPr>
                  </w:pPr>
                  <w:r w:rsidRPr="00AB541D">
                    <w:rPr>
                      <w:rFonts w:ascii="Tahoma" w:hAnsi="Tahoma" w:cs="Tahoma"/>
                      <w:sz w:val="20"/>
                      <w:szCs w:val="20"/>
                    </w:rPr>
                    <w:t>Не более 60%</w:t>
                  </w:r>
                </w:p>
              </w:tc>
            </w:tr>
            <w:tr w:rsidR="00951A61" w:rsidRPr="00AB541D" w14:paraId="4A4D8879" w14:textId="77777777" w:rsidTr="00A4032F">
              <w:trPr>
                <w:trHeight w:val="543"/>
              </w:trPr>
              <w:tc>
                <w:tcPr>
                  <w:tcW w:w="10738" w:type="dxa"/>
                  <w:gridSpan w:val="3"/>
                  <w:shd w:val="clear" w:color="auto" w:fill="auto"/>
                </w:tcPr>
                <w:p w14:paraId="705364C3" w14:textId="77777777" w:rsidR="00951A61" w:rsidRPr="00AB541D" w:rsidRDefault="00951A61" w:rsidP="00A4032F">
                  <w:pPr>
                    <w:pStyle w:val="affe"/>
                    <w:tabs>
                      <w:tab w:val="left" w:pos="280"/>
                    </w:tabs>
                    <w:ind w:left="33"/>
                    <w:rPr>
                      <w:rFonts w:ascii="Tahoma" w:hAnsi="Tahoma" w:cs="Tahoma"/>
                      <w:sz w:val="20"/>
                      <w:szCs w:val="20"/>
                    </w:rPr>
                  </w:pPr>
                  <w:r w:rsidRPr="00AB541D">
                    <w:rPr>
                      <w:rFonts w:ascii="Tahoma" w:hAnsi="Tahoma" w:cs="Tahoma"/>
                      <w:sz w:val="20"/>
                      <w:szCs w:val="20"/>
                    </w:rPr>
                    <w:t>2. если при определении платежеспособности Заемщика учитывается доход Заемщика от предпринимательской деятельности и/или доход Заемщика-собственника бизнеса (полученный от этого бизнеса). Доля дохода от предпринимательской деятельности должна составлять 50% и более от совокупного учитываемого дохода по заявке.</w:t>
                  </w:r>
                </w:p>
              </w:tc>
            </w:tr>
            <w:tr w:rsidR="00951A61" w:rsidRPr="00AB541D" w14:paraId="1E893094" w14:textId="77777777" w:rsidTr="00A4032F">
              <w:trPr>
                <w:trHeight w:val="284"/>
              </w:trPr>
              <w:tc>
                <w:tcPr>
                  <w:tcW w:w="3857" w:type="dxa"/>
                </w:tcPr>
                <w:p w14:paraId="1B7958B6" w14:textId="77777777" w:rsidR="00951A61" w:rsidRPr="00AB541D" w:rsidRDefault="00951A61" w:rsidP="00A4032F">
                  <w:pPr>
                    <w:pStyle w:val="affe"/>
                    <w:tabs>
                      <w:tab w:val="left" w:pos="280"/>
                    </w:tabs>
                    <w:ind w:left="33"/>
                    <w:jc w:val="center"/>
                    <w:rPr>
                      <w:rFonts w:ascii="Tahoma" w:hAnsi="Tahoma" w:cs="Tahoma"/>
                      <w:sz w:val="20"/>
                      <w:szCs w:val="20"/>
                    </w:rPr>
                  </w:pPr>
                  <w:r w:rsidRPr="00AB541D">
                    <w:rPr>
                      <w:rFonts w:ascii="Tahoma" w:hAnsi="Tahoma" w:cs="Tahoma"/>
                      <w:sz w:val="20"/>
                      <w:szCs w:val="20"/>
                    </w:rPr>
                    <w:t>Не более 65%</w:t>
                  </w:r>
                </w:p>
              </w:tc>
              <w:tc>
                <w:tcPr>
                  <w:tcW w:w="3686" w:type="dxa"/>
                </w:tcPr>
                <w:p w14:paraId="194CEDED" w14:textId="77777777" w:rsidR="00951A61" w:rsidRPr="00AB541D" w:rsidRDefault="00951A61" w:rsidP="00A4032F">
                  <w:pPr>
                    <w:pStyle w:val="affe"/>
                    <w:tabs>
                      <w:tab w:val="left" w:pos="280"/>
                    </w:tabs>
                    <w:ind w:left="33"/>
                    <w:jc w:val="center"/>
                    <w:rPr>
                      <w:rFonts w:ascii="Tahoma" w:hAnsi="Tahoma" w:cs="Tahoma"/>
                      <w:sz w:val="20"/>
                      <w:szCs w:val="20"/>
                    </w:rPr>
                  </w:pPr>
                  <w:r w:rsidRPr="00AB541D">
                    <w:rPr>
                      <w:rFonts w:ascii="Tahoma" w:hAnsi="Tahoma" w:cs="Tahoma"/>
                      <w:sz w:val="20"/>
                      <w:szCs w:val="20"/>
                    </w:rPr>
                    <w:t>Не более 65%</w:t>
                  </w:r>
                </w:p>
              </w:tc>
              <w:tc>
                <w:tcPr>
                  <w:tcW w:w="3195" w:type="dxa"/>
                </w:tcPr>
                <w:p w14:paraId="37504C3A" w14:textId="77777777" w:rsidR="00951A61" w:rsidRPr="00AB541D" w:rsidRDefault="00951A61" w:rsidP="00A4032F">
                  <w:pPr>
                    <w:pStyle w:val="affe"/>
                    <w:tabs>
                      <w:tab w:val="left" w:pos="280"/>
                    </w:tabs>
                    <w:ind w:left="33"/>
                    <w:jc w:val="center"/>
                    <w:rPr>
                      <w:rFonts w:ascii="Tahoma" w:hAnsi="Tahoma" w:cs="Tahoma"/>
                      <w:sz w:val="20"/>
                      <w:szCs w:val="20"/>
                    </w:rPr>
                  </w:pPr>
                  <w:r w:rsidRPr="00AB541D">
                    <w:rPr>
                      <w:rFonts w:ascii="Tahoma" w:hAnsi="Tahoma" w:cs="Tahoma"/>
                      <w:sz w:val="20"/>
                      <w:szCs w:val="20"/>
                    </w:rPr>
                    <w:t>Не более 60%</w:t>
                  </w:r>
                </w:p>
              </w:tc>
            </w:tr>
            <w:tr w:rsidR="00951A61" w:rsidRPr="00AB541D" w14:paraId="37907AB6" w14:textId="77777777" w:rsidTr="00A4032F">
              <w:trPr>
                <w:trHeight w:val="284"/>
              </w:trPr>
              <w:tc>
                <w:tcPr>
                  <w:tcW w:w="10738" w:type="dxa"/>
                  <w:gridSpan w:val="3"/>
                </w:tcPr>
                <w:p w14:paraId="101959A3" w14:textId="77777777" w:rsidR="00951A61" w:rsidRPr="00AB541D" w:rsidRDefault="00951A61" w:rsidP="00A4032F">
                  <w:pPr>
                    <w:pStyle w:val="affe"/>
                    <w:tabs>
                      <w:tab w:val="left" w:pos="280"/>
                    </w:tabs>
                    <w:ind w:left="33"/>
                    <w:rPr>
                      <w:rFonts w:ascii="Tahoma" w:hAnsi="Tahoma" w:cs="Tahoma"/>
                      <w:sz w:val="20"/>
                      <w:szCs w:val="20"/>
                    </w:rPr>
                  </w:pPr>
                  <w:r w:rsidRPr="00AB541D">
                    <w:rPr>
                      <w:rFonts w:ascii="Tahoma" w:hAnsi="Tahoma" w:cs="Tahoma"/>
                      <w:sz w:val="20"/>
                      <w:szCs w:val="20"/>
                    </w:rPr>
                    <w:t>3. для физических лиц, кроме указанных в п. 1,2,4 настоящего раздела.</w:t>
                  </w:r>
                </w:p>
              </w:tc>
            </w:tr>
            <w:tr w:rsidR="00951A61" w:rsidRPr="00AB541D" w14:paraId="7F56F8EC" w14:textId="77777777" w:rsidTr="00A4032F">
              <w:trPr>
                <w:trHeight w:val="284"/>
              </w:trPr>
              <w:tc>
                <w:tcPr>
                  <w:tcW w:w="3857" w:type="dxa"/>
                </w:tcPr>
                <w:p w14:paraId="3CC0704F" w14:textId="77777777" w:rsidR="00951A61" w:rsidRPr="00AB541D" w:rsidRDefault="00951A61" w:rsidP="00A4032F">
                  <w:pPr>
                    <w:pStyle w:val="affe"/>
                    <w:tabs>
                      <w:tab w:val="left" w:pos="280"/>
                    </w:tabs>
                    <w:ind w:left="33"/>
                    <w:jc w:val="center"/>
                    <w:rPr>
                      <w:rFonts w:ascii="Tahoma" w:hAnsi="Tahoma" w:cs="Tahoma"/>
                      <w:sz w:val="20"/>
                      <w:szCs w:val="20"/>
                    </w:rPr>
                  </w:pPr>
                  <w:r w:rsidRPr="00AB541D">
                    <w:rPr>
                      <w:rFonts w:ascii="Tahoma" w:hAnsi="Tahoma" w:cs="Tahoma"/>
                      <w:sz w:val="20"/>
                      <w:szCs w:val="20"/>
                    </w:rPr>
                    <w:t>Не более 85%</w:t>
                  </w:r>
                </w:p>
              </w:tc>
              <w:tc>
                <w:tcPr>
                  <w:tcW w:w="3686" w:type="dxa"/>
                </w:tcPr>
                <w:p w14:paraId="3DA15885" w14:textId="77777777" w:rsidR="00951A61" w:rsidRPr="00AB541D" w:rsidRDefault="00951A61" w:rsidP="00A4032F">
                  <w:pPr>
                    <w:pStyle w:val="affe"/>
                    <w:tabs>
                      <w:tab w:val="left" w:pos="280"/>
                    </w:tabs>
                    <w:ind w:left="33"/>
                    <w:jc w:val="center"/>
                    <w:rPr>
                      <w:rFonts w:ascii="Tahoma" w:hAnsi="Tahoma" w:cs="Tahoma"/>
                      <w:sz w:val="20"/>
                      <w:szCs w:val="20"/>
                    </w:rPr>
                  </w:pPr>
                  <w:r w:rsidRPr="00AB541D">
                    <w:rPr>
                      <w:rFonts w:ascii="Tahoma" w:hAnsi="Tahoma" w:cs="Tahoma"/>
                      <w:sz w:val="20"/>
                      <w:szCs w:val="20"/>
                    </w:rPr>
                    <w:t>Не более 85%</w:t>
                  </w:r>
                </w:p>
              </w:tc>
              <w:tc>
                <w:tcPr>
                  <w:tcW w:w="3195" w:type="dxa"/>
                </w:tcPr>
                <w:p w14:paraId="71CDCDA4" w14:textId="77777777" w:rsidR="00951A61" w:rsidRPr="00AB541D" w:rsidRDefault="00951A61" w:rsidP="00A4032F">
                  <w:pPr>
                    <w:pStyle w:val="affe"/>
                    <w:tabs>
                      <w:tab w:val="left" w:pos="280"/>
                    </w:tabs>
                    <w:ind w:left="33"/>
                    <w:jc w:val="center"/>
                    <w:rPr>
                      <w:rFonts w:ascii="Tahoma" w:hAnsi="Tahoma" w:cs="Tahoma"/>
                      <w:sz w:val="20"/>
                      <w:szCs w:val="20"/>
                    </w:rPr>
                  </w:pPr>
                  <w:r w:rsidRPr="00AB541D">
                    <w:rPr>
                      <w:rFonts w:ascii="Tahoma" w:hAnsi="Tahoma" w:cs="Tahoma"/>
                      <w:sz w:val="20"/>
                      <w:szCs w:val="20"/>
                    </w:rPr>
                    <w:t>Не более 60%</w:t>
                  </w:r>
                </w:p>
              </w:tc>
            </w:tr>
            <w:tr w:rsidR="00951A61" w:rsidRPr="00AB541D" w14:paraId="5FF760B2" w14:textId="77777777" w:rsidTr="00A4032F">
              <w:trPr>
                <w:trHeight w:val="569"/>
              </w:trPr>
              <w:tc>
                <w:tcPr>
                  <w:tcW w:w="10738" w:type="dxa"/>
                  <w:gridSpan w:val="3"/>
                </w:tcPr>
                <w:p w14:paraId="469868C0" w14:textId="77777777" w:rsidR="00951A61" w:rsidRPr="00AB541D" w:rsidRDefault="00951A61" w:rsidP="00A4032F">
                  <w:pPr>
                    <w:pStyle w:val="affe"/>
                    <w:tabs>
                      <w:tab w:val="left" w:pos="280"/>
                    </w:tabs>
                    <w:ind w:left="33"/>
                    <w:rPr>
                      <w:rFonts w:ascii="Tahoma" w:hAnsi="Tahoma" w:cs="Tahoma"/>
                      <w:sz w:val="20"/>
                      <w:szCs w:val="20"/>
                    </w:rPr>
                  </w:pPr>
                  <w:r w:rsidRPr="00AB541D">
                    <w:rPr>
                      <w:rFonts w:ascii="Tahoma" w:hAnsi="Tahoma" w:cs="Tahoma"/>
                      <w:sz w:val="20"/>
                      <w:szCs w:val="20"/>
                    </w:rPr>
                    <w:t>4. в случае, если владельцем (собственником) компании-работодателя Заемщика является Член семьи Заемщика и при этом у Заемщика отсутствует кредитная история.</w:t>
                  </w:r>
                </w:p>
              </w:tc>
            </w:tr>
            <w:tr w:rsidR="00951A61" w:rsidRPr="00AB541D" w14:paraId="08903C08" w14:textId="77777777" w:rsidTr="00A4032F">
              <w:trPr>
                <w:trHeight w:val="284"/>
              </w:trPr>
              <w:tc>
                <w:tcPr>
                  <w:tcW w:w="3857" w:type="dxa"/>
                </w:tcPr>
                <w:p w14:paraId="3045696D" w14:textId="77777777" w:rsidR="00951A61" w:rsidRPr="00AB541D" w:rsidRDefault="00951A61" w:rsidP="00A4032F">
                  <w:pPr>
                    <w:pStyle w:val="affe"/>
                    <w:tabs>
                      <w:tab w:val="left" w:pos="280"/>
                    </w:tabs>
                    <w:ind w:left="33"/>
                    <w:jc w:val="center"/>
                    <w:rPr>
                      <w:rFonts w:ascii="Tahoma" w:hAnsi="Tahoma" w:cs="Tahoma"/>
                      <w:sz w:val="20"/>
                      <w:szCs w:val="20"/>
                    </w:rPr>
                  </w:pPr>
                  <w:r w:rsidRPr="00AB541D">
                    <w:rPr>
                      <w:rFonts w:ascii="Tahoma" w:hAnsi="Tahoma" w:cs="Tahoma"/>
                      <w:sz w:val="20"/>
                      <w:szCs w:val="20"/>
                    </w:rPr>
                    <w:t>Не более 75%</w:t>
                  </w:r>
                </w:p>
              </w:tc>
              <w:tc>
                <w:tcPr>
                  <w:tcW w:w="3686" w:type="dxa"/>
                </w:tcPr>
                <w:p w14:paraId="71EA4F7D" w14:textId="77777777" w:rsidR="00951A61" w:rsidRPr="00AB541D" w:rsidRDefault="00951A61" w:rsidP="00A4032F">
                  <w:pPr>
                    <w:pStyle w:val="affe"/>
                    <w:tabs>
                      <w:tab w:val="left" w:pos="280"/>
                    </w:tabs>
                    <w:ind w:left="33"/>
                    <w:jc w:val="center"/>
                    <w:rPr>
                      <w:rFonts w:ascii="Tahoma" w:hAnsi="Tahoma" w:cs="Tahoma"/>
                      <w:sz w:val="20"/>
                      <w:szCs w:val="20"/>
                    </w:rPr>
                  </w:pPr>
                  <w:r w:rsidRPr="00AB541D">
                    <w:rPr>
                      <w:rFonts w:ascii="Tahoma" w:hAnsi="Tahoma" w:cs="Tahoma"/>
                      <w:sz w:val="20"/>
                      <w:szCs w:val="20"/>
                    </w:rPr>
                    <w:t>Не более 75%</w:t>
                  </w:r>
                </w:p>
              </w:tc>
              <w:tc>
                <w:tcPr>
                  <w:tcW w:w="3195" w:type="dxa"/>
                </w:tcPr>
                <w:p w14:paraId="44F866E5" w14:textId="77777777" w:rsidR="00951A61" w:rsidRPr="00AB541D" w:rsidRDefault="00951A61" w:rsidP="00A4032F">
                  <w:pPr>
                    <w:pStyle w:val="affe"/>
                    <w:tabs>
                      <w:tab w:val="left" w:pos="280"/>
                    </w:tabs>
                    <w:ind w:left="33"/>
                    <w:jc w:val="center"/>
                    <w:rPr>
                      <w:rFonts w:ascii="Tahoma" w:hAnsi="Tahoma" w:cs="Tahoma"/>
                      <w:sz w:val="20"/>
                      <w:szCs w:val="20"/>
                    </w:rPr>
                  </w:pPr>
                  <w:r w:rsidRPr="00AB541D">
                    <w:rPr>
                      <w:rFonts w:ascii="Tahoma" w:hAnsi="Tahoma" w:cs="Tahoma"/>
                      <w:sz w:val="20"/>
                      <w:szCs w:val="20"/>
                    </w:rPr>
                    <w:t>Не более 60%</w:t>
                  </w:r>
                </w:p>
              </w:tc>
            </w:tr>
          </w:tbl>
          <w:p w14:paraId="205BB468" w14:textId="77777777" w:rsidR="00951A61" w:rsidRDefault="00951A61" w:rsidP="00A4032F">
            <w:pPr>
              <w:pStyle w:val="affe"/>
              <w:ind w:left="0"/>
              <w:rPr>
                <w:rFonts w:ascii="Tahoma" w:hAnsi="Tahoma" w:cs="Tahoma"/>
                <w:sz w:val="20"/>
                <w:szCs w:val="20"/>
              </w:rPr>
            </w:pPr>
          </w:p>
          <w:p w14:paraId="7924C7C7" w14:textId="77777777" w:rsidR="00951A61" w:rsidRPr="00AB541D" w:rsidRDefault="00951A61" w:rsidP="00A4032F">
            <w:pPr>
              <w:pStyle w:val="affe"/>
              <w:ind w:left="0"/>
              <w:rPr>
                <w:rFonts w:ascii="Tahoma" w:hAnsi="Tahoma" w:cs="Tahoma"/>
                <w:sz w:val="20"/>
                <w:szCs w:val="20"/>
              </w:rPr>
            </w:pPr>
          </w:p>
        </w:tc>
      </w:tr>
      <w:tr w:rsidR="00951A61" w:rsidRPr="00AB541D" w14:paraId="6CA52034" w14:textId="77777777" w:rsidTr="00A4032F">
        <w:trPr>
          <w:trHeight w:val="255"/>
        </w:trPr>
        <w:tc>
          <w:tcPr>
            <w:tcW w:w="4609" w:type="dxa"/>
            <w:tcBorders>
              <w:top w:val="nil"/>
              <w:left w:val="single" w:sz="4" w:space="0" w:color="auto"/>
              <w:bottom w:val="single" w:sz="4" w:space="0" w:color="auto"/>
              <w:right w:val="single" w:sz="4" w:space="0" w:color="auto"/>
            </w:tcBorders>
            <w:shd w:val="clear" w:color="auto" w:fill="auto"/>
            <w:vAlign w:val="center"/>
          </w:tcPr>
          <w:p w14:paraId="1326BCFE" w14:textId="77777777" w:rsidR="00951A61" w:rsidRPr="00AB541D" w:rsidRDefault="00951A61" w:rsidP="00A4032F">
            <w:pPr>
              <w:jc w:val="center"/>
              <w:rPr>
                <w:rFonts w:ascii="Tahoma" w:hAnsi="Tahoma" w:cs="Tahoma"/>
                <w:b/>
                <w:sz w:val="20"/>
                <w:szCs w:val="20"/>
              </w:rPr>
            </w:pPr>
            <w:r w:rsidRPr="00AB541D">
              <w:rPr>
                <w:rFonts w:ascii="Tahoma" w:hAnsi="Tahoma" w:cs="Tahoma"/>
                <w:b/>
                <w:sz w:val="20"/>
                <w:szCs w:val="20"/>
              </w:rPr>
              <w:lastRenderedPageBreak/>
              <w:t>Способ предоставления Кредита</w:t>
            </w:r>
          </w:p>
        </w:tc>
        <w:tc>
          <w:tcPr>
            <w:tcW w:w="10964" w:type="dxa"/>
            <w:tcBorders>
              <w:top w:val="single" w:sz="4" w:space="0" w:color="auto"/>
              <w:left w:val="nil"/>
              <w:bottom w:val="single" w:sz="4" w:space="0" w:color="auto"/>
              <w:right w:val="single" w:sz="4" w:space="0" w:color="auto"/>
            </w:tcBorders>
            <w:shd w:val="clear" w:color="auto" w:fill="auto"/>
            <w:vAlign w:val="center"/>
          </w:tcPr>
          <w:p w14:paraId="502D15AB" w14:textId="77777777" w:rsidR="00951A61" w:rsidRPr="00AB541D" w:rsidRDefault="00951A61" w:rsidP="00A4032F">
            <w:pPr>
              <w:rPr>
                <w:rFonts w:ascii="Tahoma" w:hAnsi="Tahoma" w:cs="Tahoma"/>
                <w:sz w:val="20"/>
                <w:szCs w:val="20"/>
              </w:rPr>
            </w:pPr>
            <w:r w:rsidRPr="00AB541D">
              <w:rPr>
                <w:rFonts w:ascii="Tahoma" w:hAnsi="Tahoma" w:cs="Tahoma"/>
                <w:sz w:val="20"/>
                <w:szCs w:val="20"/>
              </w:rPr>
              <w:t>Кредит предоставляется Заемщику в безналичной форме путем перечисления всей суммы кредита единовременно на открытый у Кредитора текущий банковский счет (ТБС). Если впоследствии сумму кредита, предоставленную на счет Заемщика, открытый у Кредитора, необходимо перевести третьему лицу, указанному Заемщиком, то перевод осуществляются в соответствии с порядком и Тарифами, предусмотренными Кредитором для перевода денежных средств.</w:t>
            </w:r>
          </w:p>
        </w:tc>
      </w:tr>
      <w:tr w:rsidR="00951A61" w:rsidRPr="00AB541D" w14:paraId="1A16E09A" w14:textId="77777777" w:rsidTr="00A4032F">
        <w:trPr>
          <w:trHeight w:val="255"/>
        </w:trPr>
        <w:tc>
          <w:tcPr>
            <w:tcW w:w="4609" w:type="dxa"/>
            <w:tcBorders>
              <w:top w:val="nil"/>
              <w:left w:val="single" w:sz="4" w:space="0" w:color="auto"/>
              <w:bottom w:val="single" w:sz="4" w:space="0" w:color="auto"/>
              <w:right w:val="single" w:sz="4" w:space="0" w:color="auto"/>
            </w:tcBorders>
            <w:shd w:val="clear" w:color="auto" w:fill="auto"/>
            <w:vAlign w:val="center"/>
          </w:tcPr>
          <w:p w14:paraId="15D157FD" w14:textId="77777777" w:rsidR="00951A61" w:rsidRPr="00AB541D" w:rsidRDefault="00951A61" w:rsidP="00A4032F">
            <w:pPr>
              <w:jc w:val="center"/>
              <w:rPr>
                <w:rFonts w:ascii="Tahoma" w:hAnsi="Tahoma" w:cs="Tahoma"/>
                <w:b/>
                <w:sz w:val="20"/>
                <w:szCs w:val="20"/>
              </w:rPr>
            </w:pPr>
            <w:r w:rsidRPr="00AB541D">
              <w:rPr>
                <w:rFonts w:ascii="Tahoma" w:hAnsi="Tahoma" w:cs="Tahoma"/>
                <w:b/>
                <w:bCs/>
                <w:sz w:val="20"/>
                <w:szCs w:val="20"/>
              </w:rPr>
              <w:t>Срок рассмотрения Банком заявления Заёмщика о предоставлении Кредита и принятия Кредитором решения относительно этого заявления</w:t>
            </w:r>
          </w:p>
        </w:tc>
        <w:tc>
          <w:tcPr>
            <w:tcW w:w="10964" w:type="dxa"/>
            <w:tcBorders>
              <w:top w:val="single" w:sz="4" w:space="0" w:color="auto"/>
              <w:left w:val="nil"/>
              <w:bottom w:val="single" w:sz="4" w:space="0" w:color="auto"/>
              <w:right w:val="single" w:sz="4" w:space="0" w:color="auto"/>
            </w:tcBorders>
            <w:shd w:val="clear" w:color="auto" w:fill="auto"/>
            <w:vAlign w:val="center"/>
          </w:tcPr>
          <w:p w14:paraId="1B294A5F" w14:textId="77777777" w:rsidR="00951A61" w:rsidRPr="00AB541D" w:rsidRDefault="00951A61" w:rsidP="00A4032F">
            <w:pPr>
              <w:rPr>
                <w:rFonts w:ascii="Tahoma" w:hAnsi="Tahoma" w:cs="Tahoma"/>
                <w:sz w:val="20"/>
                <w:szCs w:val="20"/>
              </w:rPr>
            </w:pPr>
            <w:r w:rsidRPr="00AB541D">
              <w:rPr>
                <w:rFonts w:ascii="Tahoma" w:hAnsi="Tahoma" w:cs="Tahoma"/>
                <w:sz w:val="20"/>
                <w:szCs w:val="20"/>
              </w:rPr>
              <w:t>2 рабочих дня с момента предоставления Заемщиком полного пакета документов, в случае необходимости запроса у Заёмщика дополнительных документов срок может быть увеличен.</w:t>
            </w:r>
          </w:p>
        </w:tc>
      </w:tr>
      <w:tr w:rsidR="00951A61" w:rsidRPr="00AB541D" w14:paraId="1F551515" w14:textId="77777777" w:rsidTr="00A4032F">
        <w:trPr>
          <w:trHeight w:val="255"/>
        </w:trPr>
        <w:tc>
          <w:tcPr>
            <w:tcW w:w="4609" w:type="dxa"/>
            <w:tcBorders>
              <w:top w:val="nil"/>
              <w:left w:val="single" w:sz="4" w:space="0" w:color="auto"/>
              <w:bottom w:val="single" w:sz="4" w:space="0" w:color="auto"/>
              <w:right w:val="single" w:sz="4" w:space="0" w:color="auto"/>
            </w:tcBorders>
            <w:shd w:val="clear" w:color="auto" w:fill="auto"/>
            <w:vAlign w:val="center"/>
          </w:tcPr>
          <w:p w14:paraId="7AB32F5C" w14:textId="77777777" w:rsidR="00951A61" w:rsidRPr="00AB541D" w:rsidRDefault="00951A61" w:rsidP="00A4032F">
            <w:pPr>
              <w:jc w:val="center"/>
              <w:rPr>
                <w:rFonts w:ascii="Tahoma" w:hAnsi="Tahoma" w:cs="Tahoma"/>
                <w:b/>
                <w:sz w:val="20"/>
                <w:szCs w:val="20"/>
              </w:rPr>
            </w:pPr>
            <w:r w:rsidRPr="00AB541D">
              <w:rPr>
                <w:rFonts w:ascii="Tahoma" w:hAnsi="Tahoma" w:cs="Tahoma"/>
                <w:b/>
                <w:color w:val="000000"/>
                <w:sz w:val="20"/>
                <w:szCs w:val="20"/>
              </w:rPr>
              <w:t>Срок, в течение которого Заемщик вправе отказаться от получения Кредита</w:t>
            </w:r>
          </w:p>
        </w:tc>
        <w:tc>
          <w:tcPr>
            <w:tcW w:w="10964" w:type="dxa"/>
            <w:tcBorders>
              <w:top w:val="single" w:sz="4" w:space="0" w:color="auto"/>
              <w:left w:val="nil"/>
              <w:bottom w:val="single" w:sz="4" w:space="0" w:color="auto"/>
              <w:right w:val="single" w:sz="4" w:space="0" w:color="auto"/>
            </w:tcBorders>
            <w:shd w:val="clear" w:color="auto" w:fill="auto"/>
            <w:vAlign w:val="center"/>
          </w:tcPr>
          <w:p w14:paraId="472CDE33" w14:textId="77777777" w:rsidR="00951A61" w:rsidRPr="00AB541D" w:rsidRDefault="00951A61" w:rsidP="00A4032F">
            <w:pPr>
              <w:rPr>
                <w:rFonts w:ascii="Tahoma" w:hAnsi="Tahoma" w:cs="Tahoma"/>
                <w:sz w:val="20"/>
                <w:szCs w:val="20"/>
              </w:rPr>
            </w:pPr>
            <w:r w:rsidRPr="00AB541D">
              <w:rPr>
                <w:rFonts w:ascii="Tahoma" w:hAnsi="Tahoma" w:cs="Tahoma"/>
                <w:color w:val="000000"/>
                <w:sz w:val="20"/>
                <w:szCs w:val="20"/>
              </w:rPr>
              <w:t>Заемщик вправе отказаться от получения Кредита полностью или частично, уведомив об этом Банк до истечения установленного Договором срока его предоставления.</w:t>
            </w:r>
          </w:p>
        </w:tc>
      </w:tr>
      <w:tr w:rsidR="00951A61" w:rsidRPr="00AB541D" w14:paraId="37EA7813" w14:textId="77777777" w:rsidTr="00A4032F">
        <w:trPr>
          <w:trHeight w:val="630"/>
        </w:trPr>
        <w:tc>
          <w:tcPr>
            <w:tcW w:w="4609" w:type="dxa"/>
            <w:tcBorders>
              <w:top w:val="single" w:sz="4" w:space="0" w:color="auto"/>
              <w:left w:val="single" w:sz="4" w:space="0" w:color="auto"/>
              <w:bottom w:val="single" w:sz="4" w:space="0" w:color="auto"/>
              <w:right w:val="single" w:sz="4" w:space="0" w:color="auto"/>
            </w:tcBorders>
            <w:shd w:val="clear" w:color="auto" w:fill="auto"/>
            <w:vAlign w:val="center"/>
          </w:tcPr>
          <w:p w14:paraId="1E169635" w14:textId="77777777" w:rsidR="00951A61" w:rsidRPr="00AB541D" w:rsidRDefault="00951A61" w:rsidP="00A4032F">
            <w:pPr>
              <w:jc w:val="center"/>
              <w:rPr>
                <w:rFonts w:ascii="Tahoma" w:hAnsi="Tahoma" w:cs="Tahoma"/>
                <w:b/>
                <w:sz w:val="20"/>
                <w:szCs w:val="20"/>
              </w:rPr>
            </w:pPr>
            <w:r w:rsidRPr="00AB541D">
              <w:rPr>
                <w:rFonts w:ascii="Tahoma" w:hAnsi="Tahoma" w:cs="Tahoma"/>
                <w:b/>
                <w:sz w:val="20"/>
                <w:szCs w:val="20"/>
              </w:rPr>
              <w:t>Дата, начиная с которой начисляются проценты за пользование Кредитом, или порядок ее определения</w:t>
            </w:r>
          </w:p>
        </w:tc>
        <w:tc>
          <w:tcPr>
            <w:tcW w:w="10964" w:type="dxa"/>
            <w:tcBorders>
              <w:top w:val="single" w:sz="4" w:space="0" w:color="auto"/>
              <w:left w:val="single" w:sz="4" w:space="0" w:color="auto"/>
              <w:bottom w:val="single" w:sz="4" w:space="0" w:color="auto"/>
              <w:right w:val="single" w:sz="4" w:space="0" w:color="auto"/>
            </w:tcBorders>
            <w:shd w:val="clear" w:color="auto" w:fill="auto"/>
            <w:vAlign w:val="center"/>
          </w:tcPr>
          <w:p w14:paraId="638D1EFB" w14:textId="77777777" w:rsidR="00951A61" w:rsidRPr="00AB541D" w:rsidRDefault="00951A61" w:rsidP="00A4032F">
            <w:pPr>
              <w:rPr>
                <w:rFonts w:ascii="Tahoma" w:hAnsi="Tahoma" w:cs="Tahoma"/>
                <w:sz w:val="20"/>
                <w:szCs w:val="20"/>
              </w:rPr>
            </w:pPr>
            <w:r w:rsidRPr="00AB541D">
              <w:rPr>
                <w:rFonts w:ascii="Tahoma" w:hAnsi="Tahoma" w:cs="Tahoma"/>
                <w:sz w:val="20"/>
                <w:szCs w:val="20"/>
              </w:rPr>
              <w:t>Дата, следующая за датой выдачи Заёмщику Кредита</w:t>
            </w:r>
            <w:r>
              <w:rPr>
                <w:rFonts w:ascii="Tahoma" w:hAnsi="Tahoma" w:cs="Tahoma"/>
                <w:sz w:val="20"/>
                <w:szCs w:val="20"/>
              </w:rPr>
              <w:t>.</w:t>
            </w:r>
          </w:p>
        </w:tc>
      </w:tr>
      <w:tr w:rsidR="00951A61" w:rsidRPr="00AB541D" w14:paraId="20FCD5EB" w14:textId="77777777" w:rsidTr="00A4032F">
        <w:trPr>
          <w:trHeight w:val="630"/>
        </w:trPr>
        <w:tc>
          <w:tcPr>
            <w:tcW w:w="4609" w:type="dxa"/>
            <w:tcBorders>
              <w:top w:val="single" w:sz="4" w:space="0" w:color="auto"/>
              <w:left w:val="single" w:sz="4" w:space="0" w:color="auto"/>
              <w:bottom w:val="single" w:sz="4" w:space="0" w:color="auto"/>
              <w:right w:val="single" w:sz="4" w:space="0" w:color="auto"/>
            </w:tcBorders>
            <w:shd w:val="clear" w:color="auto" w:fill="auto"/>
            <w:vAlign w:val="center"/>
          </w:tcPr>
          <w:p w14:paraId="390D322A" w14:textId="77777777" w:rsidR="00951A61" w:rsidRPr="00AB541D" w:rsidRDefault="00951A61" w:rsidP="00A4032F">
            <w:pPr>
              <w:jc w:val="center"/>
              <w:rPr>
                <w:rFonts w:ascii="Tahoma" w:hAnsi="Tahoma" w:cs="Tahoma"/>
                <w:b/>
                <w:sz w:val="20"/>
                <w:szCs w:val="20"/>
              </w:rPr>
            </w:pPr>
            <w:r w:rsidRPr="00AB541D">
              <w:rPr>
                <w:rFonts w:ascii="Tahoma" w:hAnsi="Tahoma" w:cs="Tahoma"/>
                <w:b/>
                <w:sz w:val="20"/>
                <w:szCs w:val="20"/>
              </w:rPr>
              <w:t>Периодичность платежей Заемщика при возврате ипотечного Кредита, уплате процентов и иных платежей по Кредиту</w:t>
            </w:r>
          </w:p>
        </w:tc>
        <w:tc>
          <w:tcPr>
            <w:tcW w:w="10964" w:type="dxa"/>
            <w:tcBorders>
              <w:top w:val="single" w:sz="4" w:space="0" w:color="auto"/>
              <w:left w:val="single" w:sz="4" w:space="0" w:color="auto"/>
              <w:bottom w:val="single" w:sz="4" w:space="0" w:color="auto"/>
              <w:right w:val="single" w:sz="4" w:space="0" w:color="auto"/>
            </w:tcBorders>
            <w:shd w:val="clear" w:color="auto" w:fill="auto"/>
            <w:vAlign w:val="center"/>
          </w:tcPr>
          <w:p w14:paraId="4A4A571D" w14:textId="77777777" w:rsidR="00951A61" w:rsidRPr="00AB541D" w:rsidRDefault="00951A61" w:rsidP="00A4032F">
            <w:pPr>
              <w:rPr>
                <w:rFonts w:ascii="Tahoma" w:hAnsi="Tahoma" w:cs="Tahoma"/>
                <w:sz w:val="20"/>
                <w:szCs w:val="20"/>
              </w:rPr>
            </w:pPr>
            <w:r w:rsidRPr="00AB541D">
              <w:rPr>
                <w:rFonts w:ascii="Tahoma" w:hAnsi="Tahoma" w:cs="Tahoma"/>
                <w:sz w:val="20"/>
                <w:szCs w:val="20"/>
              </w:rPr>
              <w:t>Ежемесячно аннуитетными (равными) платежами в течение всего срока действия Кредита (за исключением первого и последнего месяцев). Изменение размера ежемесячного платежа допускается в случаях, предусмотренных Кредитным договором.</w:t>
            </w:r>
          </w:p>
        </w:tc>
      </w:tr>
      <w:tr w:rsidR="00951A61" w:rsidRPr="00AB541D" w14:paraId="14F98224" w14:textId="77777777" w:rsidTr="00A4032F">
        <w:trPr>
          <w:trHeight w:val="274"/>
        </w:trPr>
        <w:tc>
          <w:tcPr>
            <w:tcW w:w="4609" w:type="dxa"/>
            <w:tcBorders>
              <w:top w:val="single" w:sz="4" w:space="0" w:color="auto"/>
              <w:left w:val="single" w:sz="4" w:space="0" w:color="auto"/>
              <w:bottom w:val="single" w:sz="4" w:space="0" w:color="auto"/>
              <w:right w:val="single" w:sz="4" w:space="0" w:color="auto"/>
            </w:tcBorders>
            <w:shd w:val="clear" w:color="auto" w:fill="auto"/>
            <w:vAlign w:val="center"/>
          </w:tcPr>
          <w:p w14:paraId="1EA75ECE" w14:textId="77777777" w:rsidR="00951A61" w:rsidRPr="00AB541D" w:rsidRDefault="00951A61" w:rsidP="00A4032F">
            <w:pPr>
              <w:jc w:val="center"/>
              <w:rPr>
                <w:rFonts w:ascii="Tahoma" w:hAnsi="Tahoma" w:cs="Tahoma"/>
                <w:b/>
                <w:sz w:val="20"/>
                <w:szCs w:val="20"/>
              </w:rPr>
            </w:pPr>
            <w:r w:rsidRPr="00AB541D">
              <w:rPr>
                <w:rFonts w:ascii="Tahoma" w:hAnsi="Tahoma" w:cs="Tahoma"/>
                <w:b/>
                <w:sz w:val="20"/>
                <w:szCs w:val="20"/>
              </w:rPr>
              <w:t>Способы возврата Кредита и уплаты процентов по нему</w:t>
            </w:r>
          </w:p>
        </w:tc>
        <w:tc>
          <w:tcPr>
            <w:tcW w:w="10964" w:type="dxa"/>
            <w:tcBorders>
              <w:top w:val="single" w:sz="4" w:space="0" w:color="auto"/>
              <w:left w:val="single" w:sz="4" w:space="0" w:color="auto"/>
              <w:bottom w:val="single" w:sz="4" w:space="0" w:color="auto"/>
              <w:right w:val="single" w:sz="4" w:space="0" w:color="auto"/>
            </w:tcBorders>
            <w:shd w:val="clear" w:color="auto" w:fill="auto"/>
            <w:vAlign w:val="center"/>
          </w:tcPr>
          <w:p w14:paraId="15ECD4CA" w14:textId="77777777" w:rsidR="00951A61" w:rsidRPr="00AB541D" w:rsidRDefault="00951A61" w:rsidP="00A4032F">
            <w:pPr>
              <w:rPr>
                <w:rFonts w:ascii="Tahoma" w:hAnsi="Tahoma" w:cs="Tahoma"/>
                <w:sz w:val="20"/>
                <w:szCs w:val="20"/>
              </w:rPr>
            </w:pPr>
            <w:r w:rsidRPr="00AB541D">
              <w:rPr>
                <w:rFonts w:ascii="Tahoma" w:hAnsi="Tahoma" w:cs="Tahoma"/>
                <w:sz w:val="20"/>
                <w:szCs w:val="20"/>
              </w:rPr>
              <w:t>Кредитор не ограничивает Заемщиков в выборе способа внесения платежа или организации, оказывающей услуги по перечислению платежей.</w:t>
            </w:r>
          </w:p>
          <w:p w14:paraId="39ABF597" w14:textId="77777777" w:rsidR="00951A61" w:rsidRPr="00AB541D" w:rsidRDefault="00951A61" w:rsidP="00A4032F">
            <w:pPr>
              <w:rPr>
                <w:rFonts w:ascii="Tahoma" w:hAnsi="Tahoma" w:cs="Tahoma"/>
                <w:sz w:val="20"/>
                <w:szCs w:val="20"/>
              </w:rPr>
            </w:pPr>
            <w:r w:rsidRPr="00AB541D">
              <w:rPr>
                <w:rFonts w:ascii="Tahoma" w:hAnsi="Tahoma" w:cs="Tahoma"/>
                <w:sz w:val="20"/>
                <w:szCs w:val="20"/>
              </w:rPr>
              <w:t>Исполнени</w:t>
            </w:r>
            <w:r>
              <w:rPr>
                <w:rFonts w:ascii="Tahoma" w:hAnsi="Tahoma" w:cs="Tahoma"/>
                <w:sz w:val="20"/>
                <w:szCs w:val="20"/>
              </w:rPr>
              <w:t>е</w:t>
            </w:r>
            <w:r w:rsidRPr="00AB541D">
              <w:rPr>
                <w:rFonts w:ascii="Tahoma" w:hAnsi="Tahoma" w:cs="Tahoma"/>
                <w:sz w:val="20"/>
                <w:szCs w:val="20"/>
              </w:rPr>
              <w:t xml:space="preserve"> Заемщиком обязательств по Договору (в т.ч. при досрочном возврате Кредита) производится путем внесения денежных средств на текущий банковский счет (далее - ТБС) в сумме обязательства и не позднее срока платежа, указанных в Договоре, любым из перечисленных в настоящем пункте, способов: через терминалы самообслуживания, кассы Банка посредством перевода денежных средств через иные кредитные организации, АО «Почта России» (по предусмотренным ими тарифам). Могут использоваться иные, не противоречащие законодательству РФ, способы. Если установленный Договором последний день срока платежа отсутствует в календарном месяце, Заемщик обязан внести денежные средства на ТБС не позднее последнего календарного рабочего дня месяца; если последний день срока платежа приходится на выходные/нерабочие праздничные дни, </w:t>
            </w:r>
            <w:r w:rsidRPr="00AB541D">
              <w:rPr>
                <w:rFonts w:ascii="Tahoma" w:hAnsi="Tahoma" w:cs="Tahoma"/>
                <w:sz w:val="20"/>
                <w:szCs w:val="20"/>
              </w:rPr>
              <w:lastRenderedPageBreak/>
              <w:t>Заемщик обязан внести денежные средства на ТБС не позднее 1-го рабочего дня, следующего за выходным /нерабочим праздничным днем. Указанная обязанность должна быть исполнена Заемщиком в операционный день Банка.</w:t>
            </w:r>
          </w:p>
        </w:tc>
      </w:tr>
      <w:tr w:rsidR="00951A61" w:rsidRPr="00AB541D" w14:paraId="0F08A785" w14:textId="77777777" w:rsidTr="00A4032F">
        <w:trPr>
          <w:trHeight w:val="875"/>
        </w:trPr>
        <w:tc>
          <w:tcPr>
            <w:tcW w:w="4609" w:type="dxa"/>
            <w:tcBorders>
              <w:top w:val="single" w:sz="4" w:space="0" w:color="auto"/>
              <w:left w:val="single" w:sz="4" w:space="0" w:color="auto"/>
              <w:bottom w:val="single" w:sz="4" w:space="0" w:color="auto"/>
              <w:right w:val="single" w:sz="4" w:space="0" w:color="auto"/>
            </w:tcBorders>
            <w:shd w:val="clear" w:color="auto" w:fill="auto"/>
            <w:vAlign w:val="center"/>
          </w:tcPr>
          <w:p w14:paraId="43026237" w14:textId="77777777" w:rsidR="00951A61" w:rsidRPr="00AB541D" w:rsidRDefault="00951A61" w:rsidP="00A4032F">
            <w:pPr>
              <w:jc w:val="center"/>
              <w:rPr>
                <w:rFonts w:ascii="Tahoma" w:hAnsi="Tahoma" w:cs="Tahoma"/>
                <w:b/>
                <w:sz w:val="20"/>
                <w:szCs w:val="20"/>
              </w:rPr>
            </w:pPr>
            <w:r w:rsidRPr="00AB541D">
              <w:rPr>
                <w:rFonts w:ascii="Tahoma" w:hAnsi="Tahoma" w:cs="Tahoma"/>
                <w:b/>
                <w:color w:val="000000"/>
                <w:sz w:val="20"/>
                <w:szCs w:val="20"/>
              </w:rPr>
              <w:lastRenderedPageBreak/>
              <w:t>Бесплатный способ исполнения Заемщиком обязательств по Кредитному договору</w:t>
            </w:r>
          </w:p>
        </w:tc>
        <w:tc>
          <w:tcPr>
            <w:tcW w:w="10964" w:type="dxa"/>
            <w:tcBorders>
              <w:top w:val="single" w:sz="4" w:space="0" w:color="auto"/>
              <w:left w:val="single" w:sz="4" w:space="0" w:color="auto"/>
              <w:bottom w:val="single" w:sz="4" w:space="0" w:color="auto"/>
              <w:right w:val="single" w:sz="4" w:space="0" w:color="auto"/>
            </w:tcBorders>
            <w:shd w:val="clear" w:color="auto" w:fill="auto"/>
            <w:vAlign w:val="center"/>
          </w:tcPr>
          <w:p w14:paraId="4D7EA83A" w14:textId="77777777" w:rsidR="00951A61" w:rsidRPr="00AB541D" w:rsidRDefault="00951A61" w:rsidP="00A4032F">
            <w:pPr>
              <w:rPr>
                <w:rFonts w:ascii="Tahoma" w:hAnsi="Tahoma" w:cs="Tahoma"/>
                <w:sz w:val="20"/>
                <w:szCs w:val="20"/>
              </w:rPr>
            </w:pPr>
            <w:r w:rsidRPr="00AB541D">
              <w:rPr>
                <w:rFonts w:ascii="Tahoma" w:hAnsi="Tahoma" w:cs="Tahoma"/>
                <w:sz w:val="20"/>
                <w:szCs w:val="20"/>
              </w:rPr>
              <w:t>Внесение денежных средств на ТБС через терминалы самообслуживания Банка, перевод через работодателя Заемщика, перевод со счёта в Банке на ТБС Заемщика.</w:t>
            </w:r>
          </w:p>
        </w:tc>
      </w:tr>
      <w:tr w:rsidR="00951A61" w:rsidRPr="00AB541D" w14:paraId="515E1B79" w14:textId="77777777" w:rsidTr="00A4032F">
        <w:trPr>
          <w:trHeight w:val="645"/>
        </w:trPr>
        <w:tc>
          <w:tcPr>
            <w:tcW w:w="4609" w:type="dxa"/>
            <w:tcBorders>
              <w:top w:val="single" w:sz="4" w:space="0" w:color="auto"/>
              <w:left w:val="single" w:sz="4" w:space="0" w:color="auto"/>
              <w:bottom w:val="single" w:sz="4" w:space="0" w:color="auto"/>
              <w:right w:val="single" w:sz="4" w:space="0" w:color="auto"/>
            </w:tcBorders>
            <w:shd w:val="clear" w:color="auto" w:fill="auto"/>
            <w:vAlign w:val="center"/>
          </w:tcPr>
          <w:p w14:paraId="5A0F42C0" w14:textId="77777777" w:rsidR="00951A61" w:rsidRPr="00AB541D" w:rsidRDefault="00951A61" w:rsidP="00A4032F">
            <w:pPr>
              <w:jc w:val="center"/>
              <w:rPr>
                <w:rFonts w:ascii="Tahoma" w:hAnsi="Tahoma" w:cs="Tahoma"/>
                <w:b/>
                <w:sz w:val="20"/>
                <w:szCs w:val="20"/>
              </w:rPr>
            </w:pPr>
            <w:r w:rsidRPr="00AB541D">
              <w:rPr>
                <w:rFonts w:ascii="Tahoma" w:hAnsi="Tahoma" w:cs="Tahoma"/>
                <w:b/>
                <w:sz w:val="20"/>
                <w:szCs w:val="20"/>
              </w:rPr>
              <w:t>Ответственность Заемщика за ненадлежащее исполнение условий Договора, размер неустойки (штрафа, пени) или порядок их определения</w:t>
            </w:r>
          </w:p>
        </w:tc>
        <w:tc>
          <w:tcPr>
            <w:tcW w:w="10964" w:type="dxa"/>
            <w:tcBorders>
              <w:top w:val="single" w:sz="4" w:space="0" w:color="auto"/>
              <w:left w:val="nil"/>
              <w:bottom w:val="single" w:sz="4" w:space="0" w:color="auto"/>
              <w:right w:val="single" w:sz="4" w:space="0" w:color="auto"/>
            </w:tcBorders>
            <w:shd w:val="clear" w:color="auto" w:fill="auto"/>
            <w:vAlign w:val="center"/>
          </w:tcPr>
          <w:p w14:paraId="1680AAC0" w14:textId="77777777" w:rsidR="00951A61" w:rsidRPr="005213DD" w:rsidRDefault="00951A61" w:rsidP="00A4032F">
            <w:pPr>
              <w:rPr>
                <w:rFonts w:ascii="Tahoma" w:hAnsi="Tahoma" w:cs="Tahoma"/>
                <w:sz w:val="18"/>
                <w:szCs w:val="20"/>
              </w:rPr>
            </w:pPr>
            <w:r w:rsidRPr="005213DD">
              <w:rPr>
                <w:rFonts w:ascii="Tahoma" w:hAnsi="Tahoma" w:cs="Tahoma"/>
                <w:sz w:val="18"/>
                <w:szCs w:val="20"/>
              </w:rPr>
              <w:t>При ненадлежащем исполнении Кредитного договора (в соответствии с условиями Кредитного договора и законодательством РФ) Кредитор вправе:</w:t>
            </w:r>
          </w:p>
          <w:p w14:paraId="612349E9" w14:textId="77777777" w:rsidR="00951A61" w:rsidRPr="005213DD" w:rsidRDefault="00951A61" w:rsidP="00A4032F">
            <w:pPr>
              <w:rPr>
                <w:rFonts w:ascii="Tahoma" w:hAnsi="Tahoma" w:cs="Tahoma"/>
                <w:sz w:val="18"/>
                <w:szCs w:val="20"/>
              </w:rPr>
            </w:pPr>
            <w:r w:rsidRPr="005213DD">
              <w:rPr>
                <w:rFonts w:ascii="Tahoma" w:hAnsi="Tahoma" w:cs="Tahoma"/>
                <w:sz w:val="18"/>
                <w:szCs w:val="20"/>
              </w:rPr>
              <w:t>- потребовать от Заемщика полного досрочного исполнения обязательств по Кредитному договору (возврата суммы Кредита, процентов за пользование Кредитом и суммы неустойки (пени);</w:t>
            </w:r>
          </w:p>
          <w:p w14:paraId="21D75865" w14:textId="77777777" w:rsidR="00951A61" w:rsidRPr="005213DD" w:rsidRDefault="00951A61" w:rsidP="00A4032F">
            <w:pPr>
              <w:rPr>
                <w:rFonts w:ascii="Tahoma" w:hAnsi="Tahoma" w:cs="Tahoma"/>
                <w:sz w:val="18"/>
                <w:szCs w:val="20"/>
              </w:rPr>
            </w:pPr>
            <w:r w:rsidRPr="005213DD">
              <w:rPr>
                <w:rFonts w:ascii="Tahoma" w:hAnsi="Tahoma" w:cs="Tahoma"/>
                <w:sz w:val="18"/>
                <w:szCs w:val="20"/>
              </w:rPr>
              <w:t>- обратить взыскание на Предмет ипотеки при неисполнении Заемщиком требования о полном досрочном исполнении обязательств по Кредитному договору.</w:t>
            </w:r>
          </w:p>
          <w:p w14:paraId="5D66F1FB" w14:textId="77777777" w:rsidR="00951A61" w:rsidRPr="00AB541D" w:rsidRDefault="00951A61" w:rsidP="00A4032F">
            <w:pPr>
              <w:rPr>
                <w:rFonts w:ascii="Tahoma" w:hAnsi="Tahoma" w:cs="Tahoma"/>
                <w:sz w:val="20"/>
                <w:szCs w:val="20"/>
              </w:rPr>
            </w:pPr>
            <w:r w:rsidRPr="005213DD">
              <w:rPr>
                <w:rFonts w:ascii="Tahoma" w:hAnsi="Tahoma" w:cs="Tahoma"/>
                <w:sz w:val="18"/>
                <w:szCs w:val="20"/>
              </w:rPr>
              <w:t>За неисполнение и (или) ненадлежащее исполнение Заемщиком по Договору обязательств по возврату Кредита и(или) уплате процентов Заемщик уплачивает Кредитору неустойку в размере ключевой ставки Банка России, установленной на день заключения Договора, с суммы просроченного платежа за период просрочки с даты, следующей за датой наступления исполнения обязательства, установленной Договором, по дату погашения Просроченной кредитной задолженности по Договору (включительно), если по условиям Договора проценты за пользование Кредитом за соответствующий период нарушения исполнения обязательств начисляются.</w:t>
            </w:r>
          </w:p>
        </w:tc>
      </w:tr>
      <w:tr w:rsidR="00951A61" w:rsidRPr="00AB541D" w14:paraId="0375E448" w14:textId="77777777" w:rsidTr="00A4032F">
        <w:trPr>
          <w:trHeight w:val="645"/>
        </w:trPr>
        <w:tc>
          <w:tcPr>
            <w:tcW w:w="4609" w:type="dxa"/>
            <w:tcBorders>
              <w:top w:val="single" w:sz="4" w:space="0" w:color="auto"/>
              <w:left w:val="single" w:sz="4" w:space="0" w:color="auto"/>
              <w:bottom w:val="single" w:sz="4" w:space="0" w:color="auto"/>
              <w:right w:val="single" w:sz="4" w:space="0" w:color="auto"/>
            </w:tcBorders>
            <w:shd w:val="clear" w:color="auto" w:fill="auto"/>
            <w:vAlign w:val="center"/>
          </w:tcPr>
          <w:p w14:paraId="2250E360" w14:textId="77777777" w:rsidR="00951A61" w:rsidRPr="00AB541D" w:rsidRDefault="00951A61" w:rsidP="00A4032F">
            <w:pPr>
              <w:jc w:val="center"/>
              <w:rPr>
                <w:rFonts w:ascii="Tahoma" w:hAnsi="Tahoma" w:cs="Tahoma"/>
                <w:b/>
                <w:sz w:val="20"/>
                <w:szCs w:val="20"/>
              </w:rPr>
            </w:pPr>
            <w:r w:rsidRPr="00AB541D">
              <w:rPr>
                <w:rFonts w:ascii="Tahoma" w:hAnsi="Tahoma" w:cs="Tahoma"/>
                <w:b/>
                <w:sz w:val="20"/>
                <w:szCs w:val="20"/>
              </w:rPr>
              <w:t>Виды и суммы иных платежей Заемщика по Договору ипотечного кредита</w:t>
            </w:r>
          </w:p>
        </w:tc>
        <w:tc>
          <w:tcPr>
            <w:tcW w:w="10964" w:type="dxa"/>
            <w:tcBorders>
              <w:top w:val="single" w:sz="4" w:space="0" w:color="auto"/>
              <w:left w:val="nil"/>
              <w:bottom w:val="single" w:sz="4" w:space="0" w:color="auto"/>
              <w:right w:val="single" w:sz="4" w:space="0" w:color="auto"/>
            </w:tcBorders>
            <w:shd w:val="clear" w:color="auto" w:fill="auto"/>
            <w:vAlign w:val="center"/>
          </w:tcPr>
          <w:p w14:paraId="142F9B5E" w14:textId="77777777" w:rsidR="00951A61" w:rsidRPr="00953715" w:rsidRDefault="00951A61" w:rsidP="00A4032F">
            <w:pPr>
              <w:rPr>
                <w:rFonts w:ascii="Tahoma" w:hAnsi="Tahoma" w:cs="Tahoma"/>
                <w:sz w:val="18"/>
                <w:szCs w:val="20"/>
              </w:rPr>
            </w:pPr>
            <w:r w:rsidRPr="00953715">
              <w:rPr>
                <w:rFonts w:ascii="Tahoma" w:hAnsi="Tahoma" w:cs="Tahoma"/>
                <w:sz w:val="18"/>
                <w:szCs w:val="20"/>
              </w:rPr>
              <w:t>При наличии соответствующего волеизъявления Заемщика ему могут быть оказаны Банком следующие услуги, не являющиеся обязательными для заключения или исполнения Договора:</w:t>
            </w:r>
          </w:p>
          <w:p w14:paraId="01680F30" w14:textId="77777777" w:rsidR="00951A61" w:rsidRPr="00953715" w:rsidRDefault="00951A61" w:rsidP="00A4032F">
            <w:pPr>
              <w:rPr>
                <w:rFonts w:ascii="Tahoma" w:hAnsi="Tahoma" w:cs="Tahoma"/>
                <w:sz w:val="18"/>
                <w:szCs w:val="20"/>
              </w:rPr>
            </w:pPr>
            <w:r w:rsidRPr="00953715">
              <w:rPr>
                <w:rFonts w:ascii="Tahoma" w:hAnsi="Tahoma" w:cs="Tahoma"/>
                <w:sz w:val="18"/>
                <w:szCs w:val="20"/>
              </w:rPr>
              <w:t>Открытие аккредитива 0,2% от суммы аккредитива (макс. 2 000 рублей); прием, проверка документов и исполнение аккредитива 0,2% от суммы аккредитива (макс. 2 000 рублей); платеж за выдачу дубликата или восстановление утерянного Договора 10 000 рублей за один Договор; предлагаемый платеж за осуществление Банком мероприятий при составлении дополнительного соглашения к Договору по внесению изменений по инициативе Заемщика в условия Договора ипотечного кредита (изменение даты погашения Кредита) 500 рублей (плата взимается за услугу вне зависимости от количества измененных параметров Договора одновременно); плата за предоставление справок, содержащих информацию о размере текущей задолженности Заемщика перед Банком по Договору, о датах и размерах произведенных и предстоящих платежей Заемщика по Договору, размерах предстоящих платежей Заемщика по Кредиту с переменной процентной ставкой, о произведенных платежах, иные сведения, указанные в Договоре, в размере 500 рублей при запросе указанной информации более одного раза в месяц; платеж за внесение денежных средств на ТБС через терминалы самообслуживания производится бесплатно.</w:t>
            </w:r>
          </w:p>
          <w:p w14:paraId="101B5418" w14:textId="77777777" w:rsidR="00951A61" w:rsidRPr="00AB541D" w:rsidRDefault="00951A61" w:rsidP="00A4032F">
            <w:pPr>
              <w:widowControl w:val="0"/>
              <w:tabs>
                <w:tab w:val="left" w:pos="426"/>
                <w:tab w:val="left" w:pos="851"/>
              </w:tabs>
              <w:rPr>
                <w:rFonts w:ascii="Tahoma" w:hAnsi="Tahoma" w:cs="Tahoma"/>
                <w:sz w:val="20"/>
                <w:szCs w:val="20"/>
              </w:rPr>
            </w:pPr>
            <w:r w:rsidRPr="00953715">
              <w:rPr>
                <w:rFonts w:ascii="Tahoma" w:hAnsi="Tahoma" w:cs="Tahoma"/>
                <w:sz w:val="18"/>
                <w:szCs w:val="20"/>
              </w:rPr>
              <w:t>Оказание услуги Банком производится в случае выражения Заемщиком волеизъявления на пользование определенной услугой. Оплата услуг производится до момента оказания Банком услуг (в случае выражения Заемщиком волеизъявления на пользование какой-либо услугой).</w:t>
            </w:r>
          </w:p>
        </w:tc>
      </w:tr>
      <w:tr w:rsidR="00951A61" w:rsidRPr="00AB541D" w14:paraId="419D6FC0" w14:textId="77777777" w:rsidTr="00A4032F">
        <w:tblPrEx>
          <w:tblLook w:val="00A0" w:firstRow="1" w:lastRow="0" w:firstColumn="1" w:lastColumn="0" w:noHBand="0" w:noVBand="0"/>
        </w:tblPrEx>
        <w:trPr>
          <w:trHeight w:val="706"/>
        </w:trPr>
        <w:tc>
          <w:tcPr>
            <w:tcW w:w="4609" w:type="dxa"/>
            <w:tcBorders>
              <w:top w:val="single" w:sz="4" w:space="0" w:color="auto"/>
              <w:left w:val="single" w:sz="4" w:space="0" w:color="auto"/>
              <w:bottom w:val="single" w:sz="4" w:space="0" w:color="auto"/>
              <w:right w:val="single" w:sz="4" w:space="0" w:color="auto"/>
            </w:tcBorders>
            <w:shd w:val="clear" w:color="auto" w:fill="auto"/>
            <w:vAlign w:val="center"/>
          </w:tcPr>
          <w:p w14:paraId="5CC348AD" w14:textId="77777777" w:rsidR="00951A61" w:rsidRPr="00AB541D" w:rsidRDefault="00951A61" w:rsidP="00A4032F">
            <w:pPr>
              <w:widowControl w:val="0"/>
              <w:tabs>
                <w:tab w:val="left" w:pos="426"/>
                <w:tab w:val="left" w:pos="851"/>
              </w:tabs>
              <w:jc w:val="center"/>
              <w:rPr>
                <w:rFonts w:ascii="Tahoma" w:hAnsi="Tahoma" w:cs="Tahoma"/>
                <w:b/>
                <w:sz w:val="20"/>
                <w:szCs w:val="20"/>
              </w:rPr>
            </w:pPr>
            <w:r w:rsidRPr="00AB541D">
              <w:rPr>
                <w:rFonts w:ascii="Tahoma" w:hAnsi="Tahoma" w:cs="Tahoma"/>
                <w:b/>
                <w:sz w:val="20"/>
                <w:szCs w:val="20"/>
              </w:rPr>
              <w:t>Требования к Заемщику, которые установлены Кредитором, и выполнение которых является обязательным для предоставления ипотечного кредита</w:t>
            </w:r>
          </w:p>
        </w:tc>
        <w:tc>
          <w:tcPr>
            <w:tcW w:w="10964" w:type="dxa"/>
            <w:tcBorders>
              <w:top w:val="single" w:sz="4" w:space="0" w:color="auto"/>
              <w:left w:val="single" w:sz="4" w:space="0" w:color="auto"/>
              <w:bottom w:val="single" w:sz="4" w:space="0" w:color="auto"/>
              <w:right w:val="single" w:sz="4" w:space="0" w:color="auto"/>
            </w:tcBorders>
            <w:noWrap/>
            <w:vAlign w:val="center"/>
          </w:tcPr>
          <w:p w14:paraId="4AC804FA" w14:textId="77777777" w:rsidR="00951A61" w:rsidRPr="00F77EED" w:rsidRDefault="00951A61" w:rsidP="00A4032F">
            <w:pPr>
              <w:rPr>
                <w:rFonts w:ascii="Tahoma" w:hAnsi="Tahoma" w:cs="Tahoma"/>
                <w:sz w:val="20"/>
                <w:szCs w:val="20"/>
              </w:rPr>
            </w:pPr>
            <w:r w:rsidRPr="00F77EED">
              <w:rPr>
                <w:rFonts w:ascii="Tahoma" w:hAnsi="Tahoma" w:cs="Tahoma"/>
                <w:sz w:val="20"/>
                <w:szCs w:val="20"/>
              </w:rPr>
              <w:t>Гражданство: Российская Федерация;</w:t>
            </w:r>
          </w:p>
          <w:p w14:paraId="7673D12B" w14:textId="77777777" w:rsidR="00951A61" w:rsidRPr="00F77EED" w:rsidRDefault="00951A61" w:rsidP="00A4032F">
            <w:pPr>
              <w:rPr>
                <w:rFonts w:ascii="Tahoma" w:hAnsi="Tahoma" w:cs="Tahoma"/>
                <w:sz w:val="20"/>
                <w:szCs w:val="20"/>
              </w:rPr>
            </w:pPr>
            <w:r w:rsidRPr="00F77EED">
              <w:rPr>
                <w:rFonts w:ascii="Tahoma" w:hAnsi="Tahoma" w:cs="Tahoma"/>
                <w:sz w:val="20"/>
                <w:szCs w:val="20"/>
              </w:rPr>
              <w:t xml:space="preserve">Регистрация: наличие регистрации по месту жительства/пребывания, в том числе на территории субъекта РФ, где располагается Объект недвижимости, не является обязательным; </w:t>
            </w:r>
          </w:p>
          <w:p w14:paraId="542C6378" w14:textId="77777777" w:rsidR="00951A61" w:rsidRPr="00EE1A99" w:rsidRDefault="00951A61" w:rsidP="00A4032F">
            <w:pPr>
              <w:rPr>
                <w:rFonts w:ascii="Tahoma" w:hAnsi="Tahoma" w:cs="Tahoma"/>
                <w:sz w:val="20"/>
                <w:szCs w:val="20"/>
              </w:rPr>
            </w:pPr>
            <w:r w:rsidRPr="00100F81">
              <w:rPr>
                <w:rFonts w:ascii="Tahoma" w:hAnsi="Tahoma" w:cs="Tahoma"/>
                <w:sz w:val="20"/>
                <w:szCs w:val="20"/>
              </w:rPr>
              <w:t xml:space="preserve">Возраст: от 21 года до 75 лет (включительно) на момент полного погашения ипотечного кредита с учетом того, что на момент </w:t>
            </w:r>
            <w:r w:rsidRPr="00EE1A99">
              <w:rPr>
                <w:rFonts w:ascii="Tahoma" w:hAnsi="Tahoma" w:cs="Tahoma"/>
                <w:sz w:val="20"/>
                <w:szCs w:val="20"/>
              </w:rPr>
              <w:t>оформления заявки максимальный возраст составляет не более 65 лет, а также при наличии Созаемщика, возраст которого на момент окончания кредита составляет не более 65 лет; допустимо привлечение Созаемщика в возрасте от 18 лет, если данный Созаемщик является Залогодателем либо супругом(-ой) Заемщика без подтверждённого дохода.</w:t>
            </w:r>
          </w:p>
          <w:p w14:paraId="45F0CE62" w14:textId="77777777" w:rsidR="00951A61" w:rsidRPr="00F77EED" w:rsidRDefault="00951A61" w:rsidP="00A4032F">
            <w:pPr>
              <w:rPr>
                <w:rFonts w:ascii="Tahoma" w:hAnsi="Tahoma" w:cs="Tahoma"/>
                <w:sz w:val="20"/>
                <w:szCs w:val="20"/>
              </w:rPr>
            </w:pPr>
            <w:r w:rsidRPr="00EE1A99">
              <w:rPr>
                <w:rFonts w:ascii="Tahoma" w:hAnsi="Tahoma" w:cs="Tahoma"/>
                <w:sz w:val="20"/>
                <w:szCs w:val="20"/>
              </w:rPr>
              <w:t>Трудоустройство:</w:t>
            </w:r>
          </w:p>
          <w:p w14:paraId="422A4CA2" w14:textId="77777777" w:rsidR="00951A61" w:rsidRPr="00F77EED" w:rsidRDefault="00951A61" w:rsidP="00A4032F">
            <w:pPr>
              <w:rPr>
                <w:rFonts w:ascii="Tahoma" w:hAnsi="Tahoma" w:cs="Tahoma"/>
                <w:sz w:val="20"/>
                <w:szCs w:val="20"/>
              </w:rPr>
            </w:pPr>
            <w:r w:rsidRPr="00F77EED">
              <w:rPr>
                <w:rFonts w:ascii="Tahoma" w:hAnsi="Tahoma" w:cs="Tahoma"/>
                <w:sz w:val="20"/>
                <w:szCs w:val="20"/>
              </w:rPr>
              <w:lastRenderedPageBreak/>
              <w:t>- наемные работники;</w:t>
            </w:r>
          </w:p>
          <w:p w14:paraId="6BCAC42E" w14:textId="77777777" w:rsidR="00951A61" w:rsidRPr="00F77EED" w:rsidRDefault="00951A61" w:rsidP="00A4032F">
            <w:pPr>
              <w:rPr>
                <w:rFonts w:ascii="Tahoma" w:hAnsi="Tahoma" w:cs="Tahoma"/>
                <w:sz w:val="20"/>
                <w:szCs w:val="20"/>
              </w:rPr>
            </w:pPr>
            <w:r w:rsidRPr="00F77EED">
              <w:rPr>
                <w:rFonts w:ascii="Tahoma" w:hAnsi="Tahoma" w:cs="Tahoma"/>
                <w:sz w:val="20"/>
                <w:szCs w:val="20"/>
              </w:rPr>
              <w:t>- индивидуальные предприниматели;</w:t>
            </w:r>
          </w:p>
          <w:p w14:paraId="5CD5170A" w14:textId="77777777" w:rsidR="00951A61" w:rsidRPr="00EE1A99" w:rsidRDefault="00951A61" w:rsidP="00A4032F">
            <w:pPr>
              <w:rPr>
                <w:rFonts w:ascii="Tahoma" w:hAnsi="Tahoma" w:cs="Tahoma"/>
                <w:sz w:val="20"/>
                <w:szCs w:val="20"/>
              </w:rPr>
            </w:pPr>
            <w:r w:rsidRPr="00F77EED">
              <w:rPr>
                <w:rFonts w:ascii="Tahoma" w:hAnsi="Tahoma" w:cs="Tahoma"/>
                <w:sz w:val="20"/>
                <w:szCs w:val="20"/>
              </w:rPr>
              <w:t xml:space="preserve">- </w:t>
            </w:r>
            <w:r w:rsidRPr="00EE1A99">
              <w:rPr>
                <w:rFonts w:ascii="Tahoma" w:hAnsi="Tahoma" w:cs="Tahoma"/>
                <w:sz w:val="20"/>
                <w:szCs w:val="20"/>
              </w:rPr>
              <w:t>физические лица, занимающиеся частной практикой;</w:t>
            </w:r>
          </w:p>
          <w:p w14:paraId="75E1BE0F" w14:textId="77777777" w:rsidR="00951A61" w:rsidRPr="00EE1A99" w:rsidRDefault="00951A61" w:rsidP="00A4032F">
            <w:pPr>
              <w:rPr>
                <w:rFonts w:ascii="Tahoma" w:hAnsi="Tahoma" w:cs="Tahoma"/>
                <w:sz w:val="20"/>
                <w:szCs w:val="20"/>
              </w:rPr>
            </w:pPr>
            <w:r w:rsidRPr="00EE1A99">
              <w:rPr>
                <w:rFonts w:ascii="Tahoma" w:hAnsi="Tahoma" w:cs="Tahoma"/>
                <w:sz w:val="20"/>
                <w:szCs w:val="20"/>
              </w:rPr>
              <w:t>- физическое лицо - единоличный учредитель и исполнительный орган организации, ее единственный участник, собственник ее имущества;</w:t>
            </w:r>
          </w:p>
          <w:p w14:paraId="70454713" w14:textId="77777777" w:rsidR="00951A61" w:rsidRPr="00EE1A99" w:rsidRDefault="00951A61" w:rsidP="00A4032F">
            <w:pPr>
              <w:rPr>
                <w:rFonts w:ascii="Tahoma" w:hAnsi="Tahoma" w:cs="Tahoma"/>
                <w:sz w:val="20"/>
                <w:szCs w:val="20"/>
              </w:rPr>
            </w:pPr>
            <w:r w:rsidRPr="00EE1A99">
              <w:rPr>
                <w:rFonts w:ascii="Tahoma" w:hAnsi="Tahoma" w:cs="Tahoma"/>
                <w:sz w:val="20"/>
                <w:szCs w:val="20"/>
              </w:rPr>
              <w:t>- самозанятые граждане;</w:t>
            </w:r>
          </w:p>
          <w:p w14:paraId="2CC48709" w14:textId="77777777" w:rsidR="00951A61" w:rsidRPr="00EE1A99" w:rsidRDefault="00951A61" w:rsidP="00A4032F">
            <w:pPr>
              <w:rPr>
                <w:rFonts w:ascii="Tahoma" w:hAnsi="Tahoma" w:cs="Tahoma"/>
                <w:sz w:val="20"/>
                <w:szCs w:val="20"/>
              </w:rPr>
            </w:pPr>
            <w:r w:rsidRPr="00EE1A99">
              <w:rPr>
                <w:rFonts w:ascii="Tahoma" w:hAnsi="Tahoma" w:cs="Tahoma"/>
                <w:sz w:val="20"/>
                <w:szCs w:val="20"/>
              </w:rPr>
              <w:t>- пенсионеры - лица, вышедшие в отставку либо на пенсию.</w:t>
            </w:r>
          </w:p>
          <w:p w14:paraId="0A7D23BD" w14:textId="77777777" w:rsidR="00951A61" w:rsidRPr="00EE1A99" w:rsidRDefault="00951A61" w:rsidP="00A4032F">
            <w:pPr>
              <w:rPr>
                <w:rFonts w:ascii="Tahoma" w:hAnsi="Tahoma" w:cs="Tahoma"/>
                <w:sz w:val="20"/>
                <w:szCs w:val="20"/>
              </w:rPr>
            </w:pPr>
            <w:r w:rsidRPr="00EE1A99">
              <w:rPr>
                <w:rFonts w:ascii="Tahoma" w:hAnsi="Tahoma" w:cs="Tahoma"/>
                <w:sz w:val="20"/>
                <w:szCs w:val="20"/>
              </w:rPr>
              <w:t>Требования к доходу: Заемщик имеет подтвержденный доход, соответствует требованиям Кредитора к кредитоспособности и платежеспособности.</w:t>
            </w:r>
          </w:p>
          <w:p w14:paraId="7DD0B75D" w14:textId="77777777" w:rsidR="00951A61" w:rsidRPr="008656B8" w:rsidRDefault="00951A61" w:rsidP="00A4032F">
            <w:pPr>
              <w:rPr>
                <w:rFonts w:ascii="Tahoma" w:hAnsi="Tahoma" w:cs="Tahoma"/>
                <w:sz w:val="20"/>
                <w:szCs w:val="20"/>
              </w:rPr>
            </w:pPr>
            <w:r w:rsidRPr="00EE1A99">
              <w:rPr>
                <w:rFonts w:ascii="Tahoma" w:hAnsi="Tahoma" w:cs="Tahoma"/>
                <w:sz w:val="20"/>
                <w:szCs w:val="20"/>
              </w:rPr>
              <w:t>Требования к трудовому стажу: к работникам по найму - не менее 3-х полных календарных месяцев на последнем месте работы, при условии</w:t>
            </w:r>
            <w:r w:rsidRPr="00F77EED">
              <w:rPr>
                <w:rFonts w:ascii="Tahoma" w:hAnsi="Tahoma" w:cs="Tahoma"/>
                <w:sz w:val="20"/>
                <w:szCs w:val="20"/>
              </w:rPr>
              <w:t xml:space="preserve">, что испытательный срок пройден или отсутствует. Общий трудовой стаж Заемщика должен быть не менее 12 (двенадцати) месяцев на дату подачи Заявления/Согласий и заверений Заемщика в Банк (прохождение военной службы, получение пособия по временной нетрудоспособности, уход за ребенком до 1,5 лет, получение пособия по </w:t>
            </w:r>
            <w:r w:rsidRPr="008656B8">
              <w:rPr>
                <w:rFonts w:ascii="Tahoma" w:hAnsi="Tahoma" w:cs="Tahoma"/>
                <w:sz w:val="20"/>
                <w:szCs w:val="20"/>
              </w:rPr>
              <w:t>безработице, время переезда для дальнейшего трудоустройства не учитываются в общем трудовом стаже); к индивидуальным предпринимателям — безубыточная предпринимательская деятельность не менее 12-ти календарных месяцев для сезонного вида деятельности (сезонный вид деятельности признается в соответствии с утвержденным Порядком формирования резервов на возможные потери по ссудам, ссудной и приравненной к ней задолженности юридических лиц (кроме кредитных учреждений) и индивидуальных предпринимателей в «Азиатско-Тихоокеанский Банк» (АО)) и не менее 3-х месяцев по видам деятельности, которые не признаются «сезонными» в соответствии с утвержденным Порядком формирования резервов на возможные потери по ссудам, ссудной и приравненной к ней задолженности юридических лиц (кроме кредитных учреждений) и индивидуальных предпринимателей в «Азиатско-Тихоокеанский Банк» (АО); для самозанятых граждан Общий трудовой стаж должен быть не менее 12 (двенадцати) месяцев на дату подачи Заявления/Согласий и заверений Заемщика в Банк и не менее 6 (Шести) полных календарных месяцев, считая с даты постановки на учет в качестве самозанятого.</w:t>
            </w:r>
          </w:p>
          <w:p w14:paraId="4B176358" w14:textId="77777777" w:rsidR="00951A61" w:rsidRDefault="00951A61" w:rsidP="00A4032F">
            <w:pPr>
              <w:rPr>
                <w:rFonts w:ascii="Tahoma" w:hAnsi="Tahoma" w:cs="Tahoma"/>
                <w:sz w:val="20"/>
                <w:szCs w:val="20"/>
              </w:rPr>
            </w:pPr>
          </w:p>
          <w:p w14:paraId="5B4B0AD9" w14:textId="77777777" w:rsidR="00951A61" w:rsidRDefault="00951A61" w:rsidP="00A4032F">
            <w:pPr>
              <w:rPr>
                <w:rFonts w:ascii="Tahoma" w:hAnsi="Tahoma" w:cs="Tahoma"/>
                <w:sz w:val="20"/>
                <w:szCs w:val="20"/>
              </w:rPr>
            </w:pPr>
            <w:r w:rsidRPr="008656B8">
              <w:rPr>
                <w:rFonts w:ascii="Tahoma" w:hAnsi="Tahoma" w:cs="Tahoma"/>
                <w:sz w:val="20"/>
                <w:szCs w:val="20"/>
              </w:rPr>
              <w:t>Состав Заемщиков: число Заемщиков по одному</w:t>
            </w:r>
            <w:r w:rsidRPr="00F77EED">
              <w:rPr>
                <w:rFonts w:ascii="Tahoma" w:hAnsi="Tahoma" w:cs="Tahoma"/>
                <w:sz w:val="20"/>
                <w:szCs w:val="20"/>
              </w:rPr>
              <w:t xml:space="preserve"> ипотечному кредиту - не более 4 человек.</w:t>
            </w:r>
            <w:r w:rsidRPr="00F77EED">
              <w:rPr>
                <w:rFonts w:ascii="Tahoma" w:hAnsi="Tahoma" w:cs="Tahoma"/>
                <w:sz w:val="20"/>
                <w:szCs w:val="20"/>
              </w:rPr>
              <w:br/>
            </w:r>
          </w:p>
          <w:p w14:paraId="68EC058A" w14:textId="77777777" w:rsidR="00951A61" w:rsidRPr="00AB541D" w:rsidRDefault="00951A61" w:rsidP="00A4032F">
            <w:pPr>
              <w:rPr>
                <w:rFonts w:ascii="Tahoma" w:hAnsi="Tahoma" w:cs="Tahoma"/>
              </w:rPr>
            </w:pPr>
            <w:r w:rsidRPr="00F77EED">
              <w:rPr>
                <w:rFonts w:ascii="Tahoma" w:hAnsi="Tahoma" w:cs="Tahoma"/>
                <w:sz w:val="20"/>
                <w:szCs w:val="20"/>
              </w:rPr>
              <w:t>Окончательное решение о соответствии Заемщика требованиям Кредитора принимается в отношении каждого Заемщика индивидуально на основании анализа представленных документов.</w:t>
            </w:r>
          </w:p>
        </w:tc>
      </w:tr>
      <w:tr w:rsidR="00951A61" w:rsidRPr="00AB541D" w14:paraId="6108316E" w14:textId="77777777" w:rsidTr="00A4032F">
        <w:tblPrEx>
          <w:tblLook w:val="00A0" w:firstRow="1" w:lastRow="0" w:firstColumn="1" w:lastColumn="0" w:noHBand="0" w:noVBand="0"/>
        </w:tblPrEx>
        <w:trPr>
          <w:trHeight w:val="423"/>
        </w:trPr>
        <w:tc>
          <w:tcPr>
            <w:tcW w:w="4609" w:type="dxa"/>
            <w:tcBorders>
              <w:top w:val="single" w:sz="4" w:space="0" w:color="auto"/>
              <w:left w:val="single" w:sz="4" w:space="0" w:color="auto"/>
              <w:bottom w:val="single" w:sz="4" w:space="0" w:color="auto"/>
              <w:right w:val="single" w:sz="4" w:space="0" w:color="auto"/>
            </w:tcBorders>
            <w:shd w:val="clear" w:color="auto" w:fill="auto"/>
            <w:vAlign w:val="center"/>
          </w:tcPr>
          <w:p w14:paraId="4FD4F2D0" w14:textId="77777777" w:rsidR="00951A61" w:rsidRPr="00AB541D" w:rsidRDefault="00951A61" w:rsidP="00A4032F">
            <w:pPr>
              <w:widowControl w:val="0"/>
              <w:tabs>
                <w:tab w:val="left" w:pos="426"/>
                <w:tab w:val="left" w:pos="851"/>
              </w:tabs>
              <w:jc w:val="center"/>
              <w:rPr>
                <w:rFonts w:ascii="Tahoma" w:hAnsi="Tahoma" w:cs="Tahoma"/>
                <w:b/>
                <w:sz w:val="20"/>
                <w:szCs w:val="20"/>
              </w:rPr>
            </w:pPr>
            <w:r w:rsidRPr="00AB541D">
              <w:rPr>
                <w:rFonts w:ascii="Tahoma" w:hAnsi="Tahoma" w:cs="Tahoma"/>
                <w:b/>
                <w:sz w:val="20"/>
                <w:szCs w:val="20"/>
              </w:rPr>
              <w:lastRenderedPageBreak/>
              <w:t>Требования к Предмету Ипотеки, которые установлены Кредитором, и выполнение которых является обязательным для предоставления ипотечного кредита</w:t>
            </w:r>
          </w:p>
        </w:tc>
        <w:tc>
          <w:tcPr>
            <w:tcW w:w="10964" w:type="dxa"/>
            <w:tcBorders>
              <w:top w:val="single" w:sz="4" w:space="0" w:color="auto"/>
              <w:left w:val="single" w:sz="4" w:space="0" w:color="auto"/>
              <w:bottom w:val="single" w:sz="4" w:space="0" w:color="auto"/>
              <w:right w:val="single" w:sz="4" w:space="0" w:color="auto"/>
            </w:tcBorders>
            <w:noWrap/>
            <w:vAlign w:val="center"/>
          </w:tcPr>
          <w:p w14:paraId="3773FC24" w14:textId="77777777" w:rsidR="00951A61" w:rsidRPr="00AB541D" w:rsidRDefault="00951A61" w:rsidP="00A4032F">
            <w:pPr>
              <w:rPr>
                <w:rFonts w:ascii="Tahoma" w:hAnsi="Tahoma" w:cs="Tahoma"/>
                <w:b/>
                <w:sz w:val="20"/>
                <w:szCs w:val="20"/>
                <w:u w:val="single"/>
              </w:rPr>
            </w:pPr>
            <w:r w:rsidRPr="00AB541D">
              <w:rPr>
                <w:rFonts w:ascii="Tahoma" w:hAnsi="Tahoma" w:cs="Tahoma"/>
                <w:b/>
                <w:sz w:val="20"/>
                <w:szCs w:val="20"/>
                <w:u w:val="single"/>
              </w:rPr>
              <w:t>Общие требования к Предмету ипотеки:</w:t>
            </w:r>
          </w:p>
          <w:p w14:paraId="779CBE1A" w14:textId="77777777" w:rsidR="00951A61" w:rsidRPr="008656B8" w:rsidRDefault="00951A61" w:rsidP="00A4032F">
            <w:pPr>
              <w:rPr>
                <w:rFonts w:ascii="Tahoma" w:hAnsi="Tahoma" w:cs="Tahoma"/>
                <w:sz w:val="20"/>
                <w:szCs w:val="20"/>
              </w:rPr>
            </w:pPr>
            <w:r w:rsidRPr="00AB541D">
              <w:rPr>
                <w:rFonts w:ascii="Tahoma" w:hAnsi="Tahoma" w:cs="Tahoma"/>
                <w:sz w:val="20"/>
                <w:szCs w:val="20"/>
              </w:rPr>
              <w:t xml:space="preserve">1. </w:t>
            </w:r>
            <w:r w:rsidRPr="000A3C50">
              <w:rPr>
                <w:rFonts w:ascii="Tahoma" w:hAnsi="Tahoma" w:cs="Tahoma"/>
                <w:sz w:val="20"/>
                <w:szCs w:val="20"/>
              </w:rPr>
              <w:t xml:space="preserve">Недвижимое имущество, являющееся </w:t>
            </w:r>
            <w:r w:rsidRPr="00142A63">
              <w:rPr>
                <w:rFonts w:ascii="Tahoma" w:hAnsi="Tahoma" w:cs="Tahoma"/>
                <w:sz w:val="20"/>
                <w:szCs w:val="20"/>
              </w:rPr>
              <w:t xml:space="preserve">предметом </w:t>
            </w:r>
            <w:r w:rsidRPr="008A2260">
              <w:rPr>
                <w:rFonts w:ascii="Tahoma" w:hAnsi="Tahoma" w:cs="Tahoma"/>
                <w:sz w:val="20"/>
                <w:szCs w:val="20"/>
              </w:rPr>
              <w:t>ипотеки, должно быть расположено на территории обслуживания Банком, удаленностью не более 50 км от населенного пункта, где располагается ВСП Банка. Для Москвы расстояние считается от МКАД и может составлять не более 70 км. В Московской области возможно кредитование всех объектов с типом недвижимости «квартира», расположенных в населенных пунктах с типом «город».</w:t>
            </w:r>
            <w:r w:rsidRPr="008656B8">
              <w:rPr>
                <w:rFonts w:ascii="Tahoma" w:hAnsi="Tahoma" w:cs="Tahoma"/>
                <w:sz w:val="20"/>
                <w:szCs w:val="20"/>
              </w:rPr>
              <w:t xml:space="preserve"> </w:t>
            </w:r>
          </w:p>
          <w:p w14:paraId="5335E128" w14:textId="77777777" w:rsidR="00951A61" w:rsidRPr="008656B8" w:rsidRDefault="00951A61" w:rsidP="00A4032F">
            <w:pPr>
              <w:rPr>
                <w:rFonts w:ascii="Tahoma" w:hAnsi="Tahoma" w:cs="Tahoma"/>
                <w:sz w:val="20"/>
                <w:szCs w:val="20"/>
              </w:rPr>
            </w:pPr>
            <w:r w:rsidRPr="008656B8">
              <w:rPr>
                <w:rFonts w:ascii="Tahoma" w:hAnsi="Tahoma" w:cs="Tahoma"/>
                <w:sz w:val="20"/>
                <w:szCs w:val="20"/>
              </w:rPr>
              <w:t>2. Предмет ипотеки не должен располагаться в закрытом административно-территориальном образовании (ЗАТО).</w:t>
            </w:r>
          </w:p>
          <w:p w14:paraId="550BA328" w14:textId="77777777" w:rsidR="00951A61" w:rsidRPr="00AB541D" w:rsidRDefault="00951A61" w:rsidP="00A4032F">
            <w:pPr>
              <w:rPr>
                <w:rFonts w:ascii="Tahoma" w:hAnsi="Tahoma" w:cs="Tahoma"/>
                <w:sz w:val="20"/>
                <w:szCs w:val="20"/>
              </w:rPr>
            </w:pPr>
            <w:r w:rsidRPr="008656B8">
              <w:rPr>
                <w:rFonts w:ascii="Tahoma" w:hAnsi="Tahoma" w:cs="Tahoma"/>
                <w:sz w:val="20"/>
                <w:szCs w:val="20"/>
              </w:rPr>
              <w:t>3. Строящийся многоквартирный дом, в котором располагается</w:t>
            </w:r>
            <w:r w:rsidRPr="00AB541D">
              <w:rPr>
                <w:rFonts w:ascii="Tahoma" w:hAnsi="Tahoma" w:cs="Tahoma"/>
                <w:sz w:val="20"/>
                <w:szCs w:val="20"/>
              </w:rPr>
              <w:t xml:space="preserve"> Объект недвижимости, должен быть аккредитован Банком. </w:t>
            </w:r>
          </w:p>
          <w:p w14:paraId="3A7F1763" w14:textId="77777777" w:rsidR="00951A61" w:rsidRPr="00AB541D" w:rsidRDefault="00951A61" w:rsidP="00A4032F">
            <w:pPr>
              <w:rPr>
                <w:rFonts w:ascii="Tahoma" w:hAnsi="Tahoma" w:cs="Tahoma"/>
                <w:sz w:val="20"/>
                <w:szCs w:val="20"/>
              </w:rPr>
            </w:pPr>
            <w:r w:rsidRPr="00AB541D">
              <w:rPr>
                <w:rFonts w:ascii="Tahoma" w:hAnsi="Tahoma" w:cs="Tahoma"/>
                <w:sz w:val="20"/>
                <w:szCs w:val="20"/>
              </w:rPr>
              <w:t>4. Многоквартирный дом по проекту должен соответствовать следующим требованиям:</w:t>
            </w:r>
          </w:p>
          <w:p w14:paraId="38B11359" w14:textId="77777777" w:rsidR="00951A61" w:rsidRPr="00AB541D" w:rsidRDefault="00951A61" w:rsidP="00951A61">
            <w:pPr>
              <w:pStyle w:val="affe"/>
              <w:numPr>
                <w:ilvl w:val="0"/>
                <w:numId w:val="14"/>
              </w:numPr>
              <w:ind w:left="0" w:firstLine="0"/>
              <w:contextualSpacing/>
              <w:jc w:val="both"/>
              <w:rPr>
                <w:rFonts w:ascii="Tahoma" w:hAnsi="Tahoma" w:cs="Tahoma"/>
                <w:sz w:val="20"/>
                <w:szCs w:val="20"/>
              </w:rPr>
            </w:pPr>
            <w:r w:rsidRPr="00AB541D">
              <w:rPr>
                <w:rFonts w:ascii="Tahoma" w:hAnsi="Tahoma" w:cs="Tahoma"/>
                <w:sz w:val="20"/>
                <w:szCs w:val="20"/>
              </w:rPr>
              <w:lastRenderedPageBreak/>
              <w:t>Строительство осуществляется в соответствии с Федеральным законом от 30.12.2004 года № 214-ФЗ «Об участии в долевом строительстве многоквартирных домов и иных объектов недвижимости и о внесении изменений в некоторые законодательные акты Российской Федерации».</w:t>
            </w:r>
          </w:p>
          <w:p w14:paraId="7C4003C3" w14:textId="77777777" w:rsidR="00951A61" w:rsidRPr="00AB541D" w:rsidRDefault="00951A61" w:rsidP="00951A61">
            <w:pPr>
              <w:pStyle w:val="affe"/>
              <w:numPr>
                <w:ilvl w:val="0"/>
                <w:numId w:val="14"/>
              </w:numPr>
              <w:ind w:left="0" w:firstLine="0"/>
              <w:contextualSpacing/>
              <w:jc w:val="both"/>
              <w:rPr>
                <w:rFonts w:ascii="Tahoma" w:hAnsi="Tahoma" w:cs="Tahoma"/>
                <w:sz w:val="20"/>
                <w:szCs w:val="20"/>
              </w:rPr>
            </w:pPr>
            <w:r w:rsidRPr="00AB541D">
              <w:rPr>
                <w:rFonts w:ascii="Tahoma" w:hAnsi="Tahoma" w:cs="Tahoma"/>
                <w:sz w:val="20"/>
                <w:szCs w:val="20"/>
              </w:rPr>
              <w:t>Многоквартирный дом по проекту должен быть подключен к централизованным или автономным системам жизнеобеспечения:</w:t>
            </w:r>
          </w:p>
          <w:p w14:paraId="3EDD4627" w14:textId="77777777" w:rsidR="00951A61" w:rsidRPr="00AB541D" w:rsidRDefault="00951A61" w:rsidP="00951A61">
            <w:pPr>
              <w:pStyle w:val="affe"/>
              <w:numPr>
                <w:ilvl w:val="0"/>
                <w:numId w:val="43"/>
              </w:numPr>
              <w:ind w:left="0" w:firstLine="239"/>
              <w:contextualSpacing/>
              <w:jc w:val="both"/>
              <w:rPr>
                <w:rFonts w:ascii="Tahoma" w:hAnsi="Tahoma" w:cs="Tahoma"/>
                <w:sz w:val="20"/>
                <w:szCs w:val="20"/>
              </w:rPr>
            </w:pPr>
            <w:r w:rsidRPr="00AB541D">
              <w:rPr>
                <w:rFonts w:ascii="Tahoma" w:hAnsi="Tahoma" w:cs="Tahoma"/>
                <w:sz w:val="20"/>
                <w:szCs w:val="20"/>
              </w:rPr>
              <w:t xml:space="preserve">электрическим, паровым или газовым системам отопления, обеспечивающим подачу тепла на всю его жилую площадь; </w:t>
            </w:r>
          </w:p>
          <w:p w14:paraId="49D918D0" w14:textId="77777777" w:rsidR="00951A61" w:rsidRPr="00AB541D" w:rsidRDefault="00951A61" w:rsidP="00951A61">
            <w:pPr>
              <w:pStyle w:val="affe"/>
              <w:numPr>
                <w:ilvl w:val="0"/>
                <w:numId w:val="43"/>
              </w:numPr>
              <w:ind w:left="0" w:firstLine="239"/>
              <w:contextualSpacing/>
              <w:jc w:val="both"/>
              <w:rPr>
                <w:rFonts w:ascii="Tahoma" w:hAnsi="Tahoma" w:cs="Tahoma"/>
                <w:sz w:val="20"/>
                <w:szCs w:val="20"/>
              </w:rPr>
            </w:pPr>
            <w:r w:rsidRPr="00AB541D">
              <w:rPr>
                <w:rFonts w:ascii="Tahoma" w:hAnsi="Tahoma" w:cs="Tahoma"/>
                <w:sz w:val="20"/>
                <w:szCs w:val="20"/>
              </w:rPr>
              <w:t>сетям электроснабжения;</w:t>
            </w:r>
          </w:p>
          <w:p w14:paraId="2899CAD1" w14:textId="77777777" w:rsidR="00951A61" w:rsidRPr="00AB541D" w:rsidRDefault="00951A61" w:rsidP="00951A61">
            <w:pPr>
              <w:pStyle w:val="affe"/>
              <w:numPr>
                <w:ilvl w:val="0"/>
                <w:numId w:val="43"/>
              </w:numPr>
              <w:ind w:left="0" w:firstLine="239"/>
              <w:contextualSpacing/>
              <w:jc w:val="both"/>
              <w:rPr>
                <w:rFonts w:ascii="Tahoma" w:hAnsi="Tahoma" w:cs="Tahoma"/>
                <w:sz w:val="20"/>
                <w:szCs w:val="20"/>
              </w:rPr>
            </w:pPr>
            <w:r w:rsidRPr="00AB541D">
              <w:rPr>
                <w:rFonts w:ascii="Tahoma" w:hAnsi="Tahoma" w:cs="Tahoma"/>
                <w:sz w:val="20"/>
                <w:szCs w:val="20"/>
              </w:rPr>
              <w:t>системе канализации;</w:t>
            </w:r>
          </w:p>
          <w:p w14:paraId="2F0672F1" w14:textId="77777777" w:rsidR="00951A61" w:rsidRPr="00AB541D" w:rsidRDefault="00951A61" w:rsidP="00951A61">
            <w:pPr>
              <w:pStyle w:val="affe"/>
              <w:numPr>
                <w:ilvl w:val="0"/>
                <w:numId w:val="43"/>
              </w:numPr>
              <w:ind w:left="0" w:firstLine="239"/>
              <w:contextualSpacing/>
              <w:jc w:val="both"/>
              <w:rPr>
                <w:rFonts w:ascii="Tahoma" w:hAnsi="Tahoma" w:cs="Tahoma"/>
                <w:sz w:val="20"/>
                <w:szCs w:val="20"/>
              </w:rPr>
            </w:pPr>
            <w:r w:rsidRPr="00AB541D">
              <w:rPr>
                <w:rFonts w:ascii="Tahoma" w:hAnsi="Tahoma" w:cs="Tahoma"/>
                <w:sz w:val="20"/>
                <w:szCs w:val="20"/>
              </w:rPr>
              <w:t>горячему и холодному водоснабжению.</w:t>
            </w:r>
          </w:p>
          <w:p w14:paraId="2574582D" w14:textId="77777777" w:rsidR="00951A61" w:rsidRPr="00AB541D" w:rsidRDefault="00951A61" w:rsidP="00951A61">
            <w:pPr>
              <w:pStyle w:val="affe"/>
              <w:numPr>
                <w:ilvl w:val="0"/>
                <w:numId w:val="37"/>
              </w:numPr>
              <w:ind w:left="0" w:firstLine="33"/>
              <w:contextualSpacing/>
              <w:jc w:val="both"/>
              <w:rPr>
                <w:rFonts w:ascii="Tahoma" w:hAnsi="Tahoma" w:cs="Tahoma"/>
                <w:sz w:val="20"/>
                <w:szCs w:val="20"/>
                <w:u w:val="single"/>
              </w:rPr>
            </w:pPr>
            <w:r w:rsidRPr="00AB541D">
              <w:rPr>
                <w:rFonts w:ascii="Tahoma" w:hAnsi="Tahoma" w:cs="Tahoma"/>
                <w:sz w:val="20"/>
                <w:szCs w:val="20"/>
              </w:rPr>
              <w:t xml:space="preserve">недвижимое имущество должно иметь </w:t>
            </w:r>
            <w:r w:rsidRPr="00AB541D">
              <w:rPr>
                <w:rFonts w:ascii="Tahoma" w:hAnsi="Tahoma" w:cs="Tahoma"/>
                <w:bCs/>
                <w:iCs/>
                <w:sz w:val="20"/>
                <w:szCs w:val="20"/>
              </w:rPr>
              <w:t>железобетонный, каменный или кирпичный фундамент</w:t>
            </w:r>
            <w:r w:rsidRPr="00AB541D">
              <w:rPr>
                <w:rFonts w:ascii="Tahoma" w:hAnsi="Tahoma" w:cs="Tahoma"/>
                <w:sz w:val="20"/>
                <w:szCs w:val="20"/>
              </w:rPr>
              <w:t>.</w:t>
            </w:r>
          </w:p>
          <w:p w14:paraId="7B677AE7" w14:textId="77777777" w:rsidR="00951A61" w:rsidRPr="00AB541D" w:rsidRDefault="00951A61" w:rsidP="00951A61">
            <w:pPr>
              <w:pStyle w:val="affe"/>
              <w:numPr>
                <w:ilvl w:val="0"/>
                <w:numId w:val="37"/>
              </w:numPr>
              <w:ind w:left="0" w:firstLine="33"/>
              <w:contextualSpacing/>
              <w:jc w:val="both"/>
              <w:rPr>
                <w:rFonts w:ascii="Tahoma" w:hAnsi="Tahoma" w:cs="Tahoma"/>
                <w:b/>
                <w:sz w:val="20"/>
                <w:szCs w:val="20"/>
                <w:u w:val="single"/>
              </w:rPr>
            </w:pPr>
            <w:r w:rsidRPr="00AB541D">
              <w:rPr>
                <w:rFonts w:ascii="Tahoma" w:hAnsi="Tahoma" w:cs="Tahoma"/>
                <w:sz w:val="20"/>
                <w:szCs w:val="20"/>
              </w:rPr>
              <w:t xml:space="preserve">недвижимое имущество должно быть предназначено для постоянного проживания, должно удовлетворять санитарно-техническим нормам по обеспечению здоровья и безопасности жильцов. </w:t>
            </w:r>
          </w:p>
          <w:p w14:paraId="4BE2F7D6" w14:textId="77777777" w:rsidR="00951A61" w:rsidRPr="00AB541D" w:rsidRDefault="00951A61" w:rsidP="00951A61">
            <w:pPr>
              <w:pStyle w:val="affe"/>
              <w:numPr>
                <w:ilvl w:val="0"/>
                <w:numId w:val="37"/>
              </w:numPr>
              <w:ind w:left="0" w:firstLine="33"/>
              <w:contextualSpacing/>
              <w:jc w:val="both"/>
              <w:rPr>
                <w:rFonts w:ascii="Tahoma" w:hAnsi="Tahoma" w:cs="Tahoma"/>
                <w:b/>
                <w:sz w:val="20"/>
                <w:szCs w:val="20"/>
                <w:u w:val="single"/>
              </w:rPr>
            </w:pPr>
            <w:r w:rsidRPr="00AB541D">
              <w:rPr>
                <w:rFonts w:ascii="Tahoma" w:hAnsi="Tahoma" w:cs="Tahoma"/>
                <w:b/>
                <w:sz w:val="20"/>
                <w:szCs w:val="20"/>
                <w:u w:val="single"/>
              </w:rPr>
              <w:t>НЕ МОЖЕТ</w:t>
            </w:r>
            <w:r w:rsidRPr="00AB541D">
              <w:rPr>
                <w:rFonts w:ascii="Tahoma" w:hAnsi="Tahoma" w:cs="Tahoma"/>
                <w:b/>
                <w:sz w:val="20"/>
                <w:szCs w:val="20"/>
              </w:rPr>
              <w:t xml:space="preserve"> </w:t>
            </w:r>
            <w:r w:rsidRPr="00AB541D">
              <w:rPr>
                <w:rFonts w:ascii="Tahoma" w:hAnsi="Tahoma" w:cs="Tahoma"/>
                <w:sz w:val="20"/>
                <w:szCs w:val="20"/>
              </w:rPr>
              <w:t>быть принято в залог недвижимое имущество, в котором отсутствует кухня/кухонная зона и санузел, а также отсутствует физическая возможность обустройства данных помещений.</w:t>
            </w:r>
          </w:p>
          <w:p w14:paraId="5D4AB9C3" w14:textId="77777777" w:rsidR="00951A61" w:rsidRPr="00AB541D" w:rsidRDefault="00951A61" w:rsidP="00951A61">
            <w:pPr>
              <w:pStyle w:val="affe"/>
              <w:numPr>
                <w:ilvl w:val="0"/>
                <w:numId w:val="37"/>
              </w:numPr>
              <w:ind w:left="0" w:firstLine="33"/>
              <w:contextualSpacing/>
              <w:jc w:val="both"/>
              <w:rPr>
                <w:rFonts w:ascii="Tahoma" w:hAnsi="Tahoma" w:cs="Tahoma"/>
                <w:b/>
                <w:sz w:val="20"/>
                <w:szCs w:val="20"/>
                <w:u w:val="single"/>
              </w:rPr>
            </w:pPr>
            <w:r w:rsidRPr="00AB541D">
              <w:rPr>
                <w:rFonts w:ascii="Tahoma" w:hAnsi="Tahoma" w:cs="Tahoma"/>
                <w:b/>
                <w:sz w:val="20"/>
                <w:szCs w:val="20"/>
                <w:u w:val="single"/>
              </w:rPr>
              <w:t>НЕ МОЖЕТ</w:t>
            </w:r>
            <w:r w:rsidRPr="00AB541D">
              <w:rPr>
                <w:rFonts w:ascii="Tahoma" w:hAnsi="Tahoma" w:cs="Tahoma"/>
                <w:sz w:val="20"/>
                <w:szCs w:val="20"/>
              </w:rPr>
              <w:t xml:space="preserve"> предметом ипотеки выступать недвижимое имущество, расположенное в многоквартирных домах, межэтажные перекрытия которых полностью состоят из деревянных конструкций. Данная информация указывается в отчете об оценке.</w:t>
            </w:r>
          </w:p>
          <w:p w14:paraId="16C552B2" w14:textId="77777777" w:rsidR="00951A61" w:rsidRPr="00AB541D" w:rsidRDefault="00951A61" w:rsidP="00A4032F">
            <w:pPr>
              <w:rPr>
                <w:rFonts w:ascii="Tahoma" w:hAnsi="Tahoma" w:cs="Tahoma"/>
                <w:sz w:val="20"/>
                <w:szCs w:val="20"/>
              </w:rPr>
            </w:pPr>
            <w:r w:rsidRPr="00AB541D">
              <w:rPr>
                <w:rFonts w:ascii="Tahoma" w:hAnsi="Tahoma" w:cs="Tahoma"/>
                <w:sz w:val="20"/>
                <w:szCs w:val="20"/>
              </w:rPr>
              <w:t>5. Объект недвижимости (Имущественные права), являющейся предметом ипотеки:</w:t>
            </w:r>
          </w:p>
          <w:p w14:paraId="2B023CE0" w14:textId="77777777" w:rsidR="00951A61" w:rsidRPr="00AB541D" w:rsidRDefault="00951A61" w:rsidP="00951A61">
            <w:pPr>
              <w:pStyle w:val="affe"/>
              <w:numPr>
                <w:ilvl w:val="0"/>
                <w:numId w:val="44"/>
              </w:numPr>
              <w:ind w:left="0" w:firstLine="0"/>
              <w:contextualSpacing/>
              <w:jc w:val="both"/>
              <w:rPr>
                <w:rFonts w:ascii="Tahoma" w:hAnsi="Tahoma" w:cs="Tahoma"/>
                <w:sz w:val="20"/>
                <w:szCs w:val="20"/>
              </w:rPr>
            </w:pPr>
            <w:r w:rsidRPr="00AB541D">
              <w:rPr>
                <w:rFonts w:ascii="Tahoma" w:hAnsi="Tahoma" w:cs="Tahoma"/>
                <w:sz w:val="20"/>
                <w:szCs w:val="20"/>
              </w:rPr>
              <w:t>должен быть свободен от любых прав третьих лиц;</w:t>
            </w:r>
          </w:p>
          <w:p w14:paraId="0FE6186C" w14:textId="77777777" w:rsidR="00951A61" w:rsidRPr="00AB541D" w:rsidRDefault="00951A61" w:rsidP="00951A61">
            <w:pPr>
              <w:pStyle w:val="affe"/>
              <w:numPr>
                <w:ilvl w:val="0"/>
                <w:numId w:val="44"/>
              </w:numPr>
              <w:ind w:left="0" w:firstLine="0"/>
              <w:contextualSpacing/>
              <w:jc w:val="both"/>
              <w:rPr>
                <w:rFonts w:ascii="Tahoma" w:hAnsi="Tahoma" w:cs="Tahoma"/>
                <w:sz w:val="20"/>
                <w:szCs w:val="20"/>
              </w:rPr>
            </w:pPr>
            <w:r w:rsidRPr="00AB541D">
              <w:rPr>
                <w:rFonts w:ascii="Tahoma" w:hAnsi="Tahoma" w:cs="Tahoma"/>
                <w:sz w:val="20"/>
                <w:szCs w:val="20"/>
              </w:rPr>
              <w:t>не должны быть заключены/подписаны какие-либо договоры, в том числе предварительные, направленные на отчуждение недвижимого имущества третьим лицам, третьи лица не предъявляют никаких требований в отношении недвижимого имущества, в том числе иски об аресте или обращении взыскания на недвижимое имущество.</w:t>
            </w:r>
          </w:p>
          <w:p w14:paraId="09439FCF" w14:textId="77777777" w:rsidR="00951A61" w:rsidRDefault="00951A61" w:rsidP="00A4032F">
            <w:pPr>
              <w:pStyle w:val="affe"/>
              <w:ind w:left="33"/>
              <w:rPr>
                <w:rFonts w:ascii="Tahoma" w:hAnsi="Tahoma" w:cs="Tahoma"/>
                <w:b/>
                <w:sz w:val="20"/>
                <w:szCs w:val="20"/>
                <w:u w:val="single"/>
              </w:rPr>
            </w:pPr>
          </w:p>
          <w:p w14:paraId="02568100" w14:textId="77777777" w:rsidR="00951A61" w:rsidRPr="00AB541D" w:rsidRDefault="00951A61" w:rsidP="00A4032F">
            <w:pPr>
              <w:pStyle w:val="affe"/>
              <w:ind w:left="33"/>
              <w:rPr>
                <w:rFonts w:ascii="Tahoma" w:hAnsi="Tahoma" w:cs="Tahoma"/>
                <w:b/>
                <w:sz w:val="20"/>
                <w:szCs w:val="20"/>
                <w:u w:val="single"/>
              </w:rPr>
            </w:pPr>
            <w:r w:rsidRPr="00AB541D">
              <w:rPr>
                <w:rFonts w:ascii="Tahoma" w:hAnsi="Tahoma" w:cs="Tahoma"/>
                <w:b/>
                <w:sz w:val="20"/>
                <w:szCs w:val="20"/>
                <w:u w:val="single"/>
              </w:rPr>
              <w:t xml:space="preserve">Отдельные требования к Предмету ипотеки: </w:t>
            </w:r>
          </w:p>
          <w:p w14:paraId="4B9F8456" w14:textId="77777777" w:rsidR="00951A61" w:rsidRPr="00AB541D" w:rsidRDefault="00951A61" w:rsidP="00A4032F">
            <w:pPr>
              <w:rPr>
                <w:rFonts w:ascii="Tahoma" w:hAnsi="Tahoma" w:cs="Tahoma"/>
                <w:sz w:val="20"/>
                <w:szCs w:val="20"/>
              </w:rPr>
            </w:pPr>
            <w:r w:rsidRPr="00AB541D">
              <w:rPr>
                <w:rFonts w:ascii="Tahoma" w:hAnsi="Tahoma" w:cs="Tahoma"/>
                <w:b/>
                <w:sz w:val="20"/>
                <w:szCs w:val="20"/>
                <w:u w:val="single"/>
              </w:rPr>
              <w:t>Квартира/Апартаменты</w:t>
            </w:r>
            <w:r w:rsidRPr="00AB541D">
              <w:rPr>
                <w:rFonts w:ascii="Tahoma" w:hAnsi="Tahoma" w:cs="Tahoma"/>
                <w:sz w:val="20"/>
                <w:szCs w:val="20"/>
              </w:rPr>
              <w:t xml:space="preserve"> должна быть:</w:t>
            </w:r>
          </w:p>
          <w:p w14:paraId="41A4BEF2" w14:textId="77777777" w:rsidR="00951A61" w:rsidRPr="00AB541D" w:rsidRDefault="00951A61" w:rsidP="00951A61">
            <w:pPr>
              <w:pStyle w:val="affe"/>
              <w:numPr>
                <w:ilvl w:val="0"/>
                <w:numId w:val="29"/>
              </w:numPr>
              <w:ind w:left="33" w:firstLine="0"/>
              <w:contextualSpacing/>
              <w:jc w:val="both"/>
              <w:rPr>
                <w:rFonts w:ascii="Tahoma" w:hAnsi="Tahoma" w:cs="Tahoma"/>
                <w:sz w:val="20"/>
                <w:szCs w:val="20"/>
              </w:rPr>
            </w:pPr>
            <w:r w:rsidRPr="00AB541D">
              <w:rPr>
                <w:rFonts w:ascii="Tahoma" w:hAnsi="Tahoma" w:cs="Tahoma"/>
                <w:sz w:val="20"/>
                <w:szCs w:val="20"/>
              </w:rPr>
              <w:t>пригодны для постоянного проживания граждан, отвечать санитарно-техническим нормам по обеспечению здоровья и безопасности жильцов.</w:t>
            </w:r>
          </w:p>
          <w:p w14:paraId="683E2360" w14:textId="77777777" w:rsidR="00951A61" w:rsidRPr="00AB541D" w:rsidRDefault="00951A61" w:rsidP="00951A61">
            <w:pPr>
              <w:pStyle w:val="affe"/>
              <w:numPr>
                <w:ilvl w:val="0"/>
                <w:numId w:val="29"/>
              </w:numPr>
              <w:ind w:left="33" w:firstLine="0"/>
              <w:contextualSpacing/>
              <w:jc w:val="both"/>
              <w:rPr>
                <w:rFonts w:ascii="Tahoma" w:hAnsi="Tahoma" w:cs="Tahoma"/>
                <w:sz w:val="20"/>
                <w:szCs w:val="20"/>
              </w:rPr>
            </w:pPr>
            <w:r w:rsidRPr="00AB541D">
              <w:rPr>
                <w:rFonts w:ascii="Tahoma" w:hAnsi="Tahoma" w:cs="Tahoma"/>
                <w:sz w:val="20"/>
                <w:szCs w:val="20"/>
              </w:rPr>
              <w:t>расположена в многоквартирном доме.</w:t>
            </w:r>
          </w:p>
          <w:p w14:paraId="32E0156F" w14:textId="77777777" w:rsidR="00951A61" w:rsidRPr="00AB541D" w:rsidRDefault="00951A61" w:rsidP="00951A61">
            <w:pPr>
              <w:pStyle w:val="affe"/>
              <w:numPr>
                <w:ilvl w:val="0"/>
                <w:numId w:val="29"/>
              </w:numPr>
              <w:ind w:left="33" w:firstLine="0"/>
              <w:contextualSpacing/>
              <w:jc w:val="both"/>
              <w:rPr>
                <w:rFonts w:ascii="Tahoma" w:hAnsi="Tahoma" w:cs="Tahoma"/>
                <w:sz w:val="20"/>
                <w:szCs w:val="20"/>
              </w:rPr>
            </w:pPr>
            <w:r w:rsidRPr="00AB541D">
              <w:rPr>
                <w:rFonts w:ascii="Tahoma" w:hAnsi="Tahoma" w:cs="Tahoma"/>
                <w:sz w:val="20"/>
                <w:szCs w:val="20"/>
              </w:rPr>
              <w:t>не может быть расположена на цокольном или подвальном этаже здания.</w:t>
            </w:r>
          </w:p>
          <w:p w14:paraId="59A30AF4" w14:textId="77777777" w:rsidR="00951A61" w:rsidRPr="00AB541D" w:rsidRDefault="00951A61" w:rsidP="00951A61">
            <w:pPr>
              <w:pStyle w:val="affe"/>
              <w:numPr>
                <w:ilvl w:val="0"/>
                <w:numId w:val="29"/>
              </w:numPr>
              <w:ind w:left="33" w:firstLine="0"/>
              <w:contextualSpacing/>
              <w:jc w:val="both"/>
              <w:rPr>
                <w:rFonts w:ascii="Tahoma" w:hAnsi="Tahoma" w:cs="Tahoma"/>
                <w:sz w:val="20"/>
                <w:szCs w:val="20"/>
              </w:rPr>
            </w:pPr>
            <w:r w:rsidRPr="00AB541D">
              <w:rPr>
                <w:rFonts w:ascii="Tahoma" w:hAnsi="Tahoma" w:cs="Tahoma"/>
                <w:sz w:val="20"/>
                <w:szCs w:val="20"/>
              </w:rPr>
              <w:t>целью приобретения апартаментов является проживание, а не обустройство офиса или иные коммерческие цели.</w:t>
            </w:r>
          </w:p>
          <w:p w14:paraId="5EE8255B" w14:textId="77777777" w:rsidR="00951A61" w:rsidRPr="00AB541D" w:rsidRDefault="00951A61" w:rsidP="00A4032F">
            <w:pPr>
              <w:rPr>
                <w:rFonts w:ascii="Tahoma" w:hAnsi="Tahoma" w:cs="Tahoma"/>
                <w:sz w:val="20"/>
                <w:szCs w:val="20"/>
              </w:rPr>
            </w:pPr>
            <w:r w:rsidRPr="00AB541D">
              <w:rPr>
                <w:rFonts w:ascii="Tahoma" w:hAnsi="Tahoma" w:cs="Tahoma"/>
                <w:b/>
                <w:sz w:val="20"/>
                <w:szCs w:val="20"/>
                <w:u w:val="single"/>
              </w:rPr>
              <w:t>Таунхаус должен быть:</w:t>
            </w:r>
          </w:p>
          <w:p w14:paraId="0AEDF16C" w14:textId="77777777" w:rsidR="00951A61" w:rsidRPr="00AB541D" w:rsidRDefault="00951A61" w:rsidP="00951A61">
            <w:pPr>
              <w:pStyle w:val="affe"/>
              <w:numPr>
                <w:ilvl w:val="0"/>
                <w:numId w:val="31"/>
              </w:numPr>
              <w:ind w:left="33" w:firstLine="0"/>
              <w:contextualSpacing/>
              <w:jc w:val="both"/>
              <w:rPr>
                <w:rFonts w:ascii="Tahoma" w:hAnsi="Tahoma" w:cs="Tahoma"/>
                <w:sz w:val="20"/>
                <w:szCs w:val="20"/>
              </w:rPr>
            </w:pPr>
            <w:r w:rsidRPr="00AB541D">
              <w:rPr>
                <w:rFonts w:ascii="Tahoma" w:hAnsi="Tahoma" w:cs="Tahoma"/>
                <w:sz w:val="20"/>
                <w:szCs w:val="20"/>
              </w:rPr>
              <w:t>предназначен для проживания одной семьи.</w:t>
            </w:r>
          </w:p>
          <w:p w14:paraId="65537C25" w14:textId="77777777" w:rsidR="00951A61" w:rsidRPr="00AB541D" w:rsidRDefault="00951A61" w:rsidP="00951A61">
            <w:pPr>
              <w:pStyle w:val="affe"/>
              <w:numPr>
                <w:ilvl w:val="0"/>
                <w:numId w:val="31"/>
              </w:numPr>
              <w:ind w:left="33" w:firstLine="0"/>
              <w:contextualSpacing/>
              <w:jc w:val="both"/>
              <w:rPr>
                <w:rFonts w:ascii="Tahoma" w:hAnsi="Tahoma" w:cs="Tahoma"/>
                <w:sz w:val="20"/>
                <w:szCs w:val="20"/>
              </w:rPr>
            </w:pPr>
            <w:r w:rsidRPr="00AB541D">
              <w:rPr>
                <w:rFonts w:ascii="Tahoma" w:hAnsi="Tahoma" w:cs="Tahoma"/>
                <w:sz w:val="20"/>
                <w:szCs w:val="20"/>
              </w:rPr>
              <w:t>представляет собой отдельную одно- или многоуровневую квартиру в многоквартирном доме блокированной застройки.</w:t>
            </w:r>
          </w:p>
          <w:p w14:paraId="4ECE9552" w14:textId="77777777" w:rsidR="00951A61" w:rsidRPr="00AB541D" w:rsidRDefault="00951A61" w:rsidP="00951A61">
            <w:pPr>
              <w:pStyle w:val="affe"/>
              <w:numPr>
                <w:ilvl w:val="0"/>
                <w:numId w:val="31"/>
              </w:numPr>
              <w:ind w:left="33" w:firstLine="0"/>
              <w:contextualSpacing/>
              <w:jc w:val="both"/>
              <w:rPr>
                <w:rFonts w:ascii="Tahoma" w:hAnsi="Tahoma" w:cs="Tahoma"/>
                <w:sz w:val="20"/>
                <w:szCs w:val="20"/>
              </w:rPr>
            </w:pPr>
            <w:r w:rsidRPr="00AB541D">
              <w:rPr>
                <w:rFonts w:ascii="Tahoma" w:hAnsi="Tahoma" w:cs="Tahoma"/>
                <w:sz w:val="20"/>
                <w:szCs w:val="20"/>
              </w:rPr>
              <w:t xml:space="preserve">подключен к общим коммуникациям (электроснабжение, водоснабжение, канализация) комплекса данных домов. </w:t>
            </w:r>
          </w:p>
          <w:p w14:paraId="66434A9F" w14:textId="77777777" w:rsidR="00951A61" w:rsidRPr="00AB541D" w:rsidRDefault="00951A61" w:rsidP="00951A61">
            <w:pPr>
              <w:pStyle w:val="affe"/>
              <w:numPr>
                <w:ilvl w:val="0"/>
                <w:numId w:val="31"/>
              </w:numPr>
              <w:ind w:left="33" w:firstLine="0"/>
              <w:contextualSpacing/>
              <w:jc w:val="both"/>
              <w:rPr>
                <w:rFonts w:ascii="Tahoma" w:hAnsi="Tahoma" w:cs="Tahoma"/>
                <w:sz w:val="20"/>
                <w:szCs w:val="20"/>
              </w:rPr>
            </w:pPr>
            <w:r w:rsidRPr="00AB541D">
              <w:rPr>
                <w:rFonts w:ascii="Tahoma" w:hAnsi="Tahoma" w:cs="Tahoma"/>
                <w:sz w:val="20"/>
                <w:szCs w:val="20"/>
              </w:rPr>
              <w:t>согласно правоустанавливающим документам может быть определен в том числе как «квартира».</w:t>
            </w:r>
          </w:p>
          <w:p w14:paraId="3E929BD1" w14:textId="77777777" w:rsidR="00951A61" w:rsidRPr="00AB541D" w:rsidRDefault="00951A61" w:rsidP="00951A61">
            <w:pPr>
              <w:pStyle w:val="affe"/>
              <w:numPr>
                <w:ilvl w:val="0"/>
                <w:numId w:val="31"/>
              </w:numPr>
              <w:ind w:left="33" w:firstLine="0"/>
              <w:contextualSpacing/>
              <w:jc w:val="both"/>
              <w:rPr>
                <w:rFonts w:ascii="Tahoma" w:hAnsi="Tahoma" w:cs="Tahoma"/>
                <w:sz w:val="20"/>
                <w:szCs w:val="20"/>
              </w:rPr>
            </w:pPr>
            <w:r w:rsidRPr="00AB541D">
              <w:rPr>
                <w:rFonts w:ascii="Tahoma" w:hAnsi="Tahoma" w:cs="Tahoma"/>
                <w:sz w:val="20"/>
                <w:szCs w:val="20"/>
              </w:rPr>
              <w:t>год постройки/ввода в эксплуатацию – не ранее 1995.</w:t>
            </w:r>
          </w:p>
          <w:p w14:paraId="1970638A" w14:textId="77777777" w:rsidR="00951A61" w:rsidRPr="00AB541D" w:rsidRDefault="00951A61" w:rsidP="00951A61">
            <w:pPr>
              <w:pStyle w:val="affe"/>
              <w:numPr>
                <w:ilvl w:val="0"/>
                <w:numId w:val="31"/>
              </w:numPr>
              <w:ind w:left="33" w:firstLine="0"/>
              <w:contextualSpacing/>
              <w:jc w:val="both"/>
              <w:rPr>
                <w:rFonts w:ascii="Tahoma" w:hAnsi="Tahoma" w:cs="Tahoma"/>
                <w:sz w:val="20"/>
                <w:szCs w:val="20"/>
              </w:rPr>
            </w:pPr>
            <w:r w:rsidRPr="00AB541D">
              <w:rPr>
                <w:rFonts w:ascii="Tahoma" w:hAnsi="Tahoma" w:cs="Tahoma"/>
                <w:sz w:val="20"/>
                <w:szCs w:val="20"/>
              </w:rPr>
              <w:lastRenderedPageBreak/>
              <w:t>материал стен – кирпич/бетон (в т.ч. материал на основе бетона: газоблок, пеноблок, твинблок и т.п.).</w:t>
            </w:r>
          </w:p>
          <w:p w14:paraId="07A76AF8" w14:textId="77777777" w:rsidR="00951A61" w:rsidRPr="00AB541D" w:rsidRDefault="00951A61" w:rsidP="00951A61">
            <w:pPr>
              <w:pStyle w:val="affe"/>
              <w:numPr>
                <w:ilvl w:val="0"/>
                <w:numId w:val="31"/>
              </w:numPr>
              <w:ind w:left="33" w:firstLine="0"/>
              <w:contextualSpacing/>
              <w:jc w:val="both"/>
              <w:rPr>
                <w:rFonts w:ascii="Tahoma" w:hAnsi="Tahoma" w:cs="Tahoma"/>
                <w:sz w:val="20"/>
                <w:szCs w:val="20"/>
              </w:rPr>
            </w:pPr>
            <w:r w:rsidRPr="00AB541D">
              <w:rPr>
                <w:rFonts w:ascii="Tahoma" w:hAnsi="Tahoma" w:cs="Tahoma"/>
                <w:sz w:val="20"/>
                <w:szCs w:val="20"/>
              </w:rPr>
              <w:t>в общей собственности владельцев квартир должно находиться иное общее имущество многоквартирного дома;</w:t>
            </w:r>
          </w:p>
          <w:p w14:paraId="3CBF6AA9" w14:textId="77777777" w:rsidR="00951A61" w:rsidRPr="00AB541D" w:rsidRDefault="00951A61" w:rsidP="00951A61">
            <w:pPr>
              <w:pStyle w:val="affe"/>
              <w:numPr>
                <w:ilvl w:val="0"/>
                <w:numId w:val="31"/>
              </w:numPr>
              <w:ind w:left="33" w:firstLine="0"/>
              <w:contextualSpacing/>
              <w:jc w:val="both"/>
              <w:rPr>
                <w:rFonts w:ascii="Tahoma" w:hAnsi="Tahoma" w:cs="Tahoma"/>
                <w:sz w:val="20"/>
                <w:szCs w:val="20"/>
              </w:rPr>
            </w:pPr>
            <w:r w:rsidRPr="00AB541D">
              <w:rPr>
                <w:rFonts w:ascii="Tahoma" w:hAnsi="Tahoma" w:cs="Tahoma"/>
                <w:sz w:val="20"/>
                <w:szCs w:val="20"/>
              </w:rPr>
              <w:t>земельный участок, на котором располагается таунхаус, должен находиться в общей собственности всех собственников квартир многоквартирного дома (земельный участок не должен быть разделен/размежеван на отдельные части и оформлен в собственность). Отдельное приобретение такого земельного участка или его части невозможно.</w:t>
            </w:r>
          </w:p>
          <w:p w14:paraId="166BA293" w14:textId="77777777" w:rsidR="00951A61" w:rsidRPr="00AB541D" w:rsidRDefault="00951A61" w:rsidP="00951A61">
            <w:pPr>
              <w:pStyle w:val="affe"/>
              <w:numPr>
                <w:ilvl w:val="0"/>
                <w:numId w:val="31"/>
              </w:numPr>
              <w:ind w:left="33" w:firstLine="0"/>
              <w:contextualSpacing/>
              <w:jc w:val="both"/>
              <w:rPr>
                <w:rFonts w:ascii="Tahoma" w:hAnsi="Tahoma" w:cs="Tahoma"/>
                <w:sz w:val="20"/>
                <w:szCs w:val="20"/>
              </w:rPr>
            </w:pPr>
            <w:r w:rsidRPr="00AB541D">
              <w:rPr>
                <w:rFonts w:ascii="Tahoma" w:hAnsi="Tahoma" w:cs="Tahoma"/>
                <w:sz w:val="20"/>
                <w:szCs w:val="20"/>
              </w:rPr>
              <w:t>допустимая категория земельного участка «Земли населенных пунктов».</w:t>
            </w:r>
          </w:p>
          <w:p w14:paraId="3A489853" w14:textId="77777777" w:rsidR="00951A61" w:rsidRPr="00AB541D" w:rsidRDefault="00951A61" w:rsidP="00951A61">
            <w:pPr>
              <w:pStyle w:val="affe"/>
              <w:numPr>
                <w:ilvl w:val="0"/>
                <w:numId w:val="31"/>
              </w:numPr>
              <w:ind w:left="33" w:firstLine="0"/>
              <w:contextualSpacing/>
              <w:jc w:val="both"/>
              <w:rPr>
                <w:rFonts w:ascii="Tahoma" w:hAnsi="Tahoma" w:cs="Tahoma"/>
                <w:sz w:val="20"/>
                <w:szCs w:val="20"/>
              </w:rPr>
            </w:pPr>
            <w:r w:rsidRPr="00AB541D">
              <w:rPr>
                <w:rFonts w:ascii="Tahoma" w:hAnsi="Tahoma" w:cs="Tahoma"/>
                <w:sz w:val="20"/>
                <w:szCs w:val="20"/>
              </w:rPr>
              <w:t>допустимое разрешенное использование земельного участка:</w:t>
            </w:r>
          </w:p>
          <w:p w14:paraId="0E088777" w14:textId="77777777" w:rsidR="00951A61" w:rsidRPr="00AB541D" w:rsidRDefault="00951A61" w:rsidP="00951A61">
            <w:pPr>
              <w:pStyle w:val="affe"/>
              <w:numPr>
                <w:ilvl w:val="0"/>
                <w:numId w:val="33"/>
              </w:numPr>
              <w:ind w:left="0" w:firstLine="175"/>
              <w:contextualSpacing/>
              <w:jc w:val="both"/>
              <w:rPr>
                <w:rFonts w:ascii="Tahoma" w:hAnsi="Tahoma" w:cs="Tahoma"/>
                <w:sz w:val="20"/>
                <w:szCs w:val="20"/>
              </w:rPr>
            </w:pPr>
            <w:r w:rsidRPr="00AB541D">
              <w:rPr>
                <w:rFonts w:ascii="Tahoma" w:hAnsi="Tahoma" w:cs="Tahoma"/>
                <w:sz w:val="20"/>
                <w:szCs w:val="20"/>
              </w:rPr>
              <w:t>малоэтажная многоквартирная жилая застройка;</w:t>
            </w:r>
          </w:p>
          <w:p w14:paraId="78419580" w14:textId="77777777" w:rsidR="00951A61" w:rsidRPr="00AB541D" w:rsidRDefault="00951A61" w:rsidP="00951A61">
            <w:pPr>
              <w:pStyle w:val="affe"/>
              <w:numPr>
                <w:ilvl w:val="0"/>
                <w:numId w:val="33"/>
              </w:numPr>
              <w:ind w:left="0" w:firstLine="175"/>
              <w:contextualSpacing/>
              <w:jc w:val="both"/>
              <w:rPr>
                <w:rFonts w:ascii="Tahoma" w:hAnsi="Tahoma" w:cs="Tahoma"/>
                <w:sz w:val="20"/>
                <w:szCs w:val="20"/>
              </w:rPr>
            </w:pPr>
            <w:r w:rsidRPr="00AB541D">
              <w:rPr>
                <w:rFonts w:ascii="Tahoma" w:hAnsi="Tahoma" w:cs="Tahoma"/>
                <w:sz w:val="20"/>
                <w:szCs w:val="20"/>
              </w:rPr>
              <w:t>малоэтажное жилищное строительство;</w:t>
            </w:r>
          </w:p>
          <w:p w14:paraId="07115553" w14:textId="77777777" w:rsidR="00951A61" w:rsidRPr="00AB541D" w:rsidRDefault="00951A61" w:rsidP="00951A61">
            <w:pPr>
              <w:pStyle w:val="affe"/>
              <w:numPr>
                <w:ilvl w:val="0"/>
                <w:numId w:val="33"/>
              </w:numPr>
              <w:ind w:left="0" w:firstLine="175"/>
              <w:contextualSpacing/>
              <w:jc w:val="both"/>
              <w:rPr>
                <w:rFonts w:ascii="Tahoma" w:hAnsi="Tahoma" w:cs="Tahoma"/>
                <w:sz w:val="20"/>
                <w:szCs w:val="20"/>
              </w:rPr>
            </w:pPr>
            <w:r w:rsidRPr="00AB541D">
              <w:rPr>
                <w:rFonts w:ascii="Tahoma" w:hAnsi="Tahoma" w:cs="Tahoma"/>
                <w:sz w:val="20"/>
                <w:szCs w:val="20"/>
              </w:rPr>
              <w:t>размещение домов малоэтажной жилой застройки;</w:t>
            </w:r>
          </w:p>
          <w:p w14:paraId="3F031483" w14:textId="77777777" w:rsidR="00951A61" w:rsidRPr="00AB541D" w:rsidRDefault="00951A61" w:rsidP="00951A61">
            <w:pPr>
              <w:pStyle w:val="affe"/>
              <w:numPr>
                <w:ilvl w:val="0"/>
                <w:numId w:val="33"/>
              </w:numPr>
              <w:ind w:left="0" w:firstLine="175"/>
              <w:contextualSpacing/>
              <w:jc w:val="both"/>
              <w:rPr>
                <w:rFonts w:ascii="Tahoma" w:hAnsi="Tahoma" w:cs="Tahoma"/>
                <w:sz w:val="20"/>
                <w:szCs w:val="20"/>
              </w:rPr>
            </w:pPr>
            <w:r w:rsidRPr="00AB541D">
              <w:rPr>
                <w:rFonts w:ascii="Tahoma" w:hAnsi="Tahoma" w:cs="Tahoma"/>
                <w:sz w:val="20"/>
                <w:szCs w:val="20"/>
              </w:rPr>
              <w:t>малоэтажная жилая застройка;</w:t>
            </w:r>
          </w:p>
          <w:p w14:paraId="7436CABD" w14:textId="77777777" w:rsidR="00951A61" w:rsidRPr="00AB541D" w:rsidRDefault="00951A61" w:rsidP="00951A61">
            <w:pPr>
              <w:pStyle w:val="affe"/>
              <w:numPr>
                <w:ilvl w:val="0"/>
                <w:numId w:val="33"/>
              </w:numPr>
              <w:ind w:left="0" w:firstLine="175"/>
              <w:contextualSpacing/>
              <w:jc w:val="both"/>
              <w:rPr>
                <w:rFonts w:ascii="Tahoma" w:hAnsi="Tahoma" w:cs="Tahoma"/>
                <w:sz w:val="20"/>
                <w:szCs w:val="20"/>
              </w:rPr>
            </w:pPr>
            <w:r w:rsidRPr="00AB541D">
              <w:rPr>
                <w:rFonts w:ascii="Tahoma" w:hAnsi="Tahoma" w:cs="Tahoma"/>
                <w:sz w:val="20"/>
                <w:szCs w:val="20"/>
              </w:rPr>
              <w:t>многоквартирные жилые дома не выше 3 этажей;</w:t>
            </w:r>
          </w:p>
          <w:p w14:paraId="750CBD1A" w14:textId="77777777" w:rsidR="00951A61" w:rsidRPr="00AB541D" w:rsidRDefault="00951A61" w:rsidP="00951A61">
            <w:pPr>
              <w:pStyle w:val="affe"/>
              <w:numPr>
                <w:ilvl w:val="0"/>
                <w:numId w:val="33"/>
              </w:numPr>
              <w:ind w:left="0" w:firstLine="175"/>
              <w:contextualSpacing/>
              <w:jc w:val="both"/>
              <w:rPr>
                <w:rFonts w:ascii="Tahoma" w:hAnsi="Tahoma" w:cs="Tahoma"/>
                <w:sz w:val="20"/>
                <w:szCs w:val="20"/>
              </w:rPr>
            </w:pPr>
            <w:r w:rsidRPr="00AB541D">
              <w:rPr>
                <w:rFonts w:ascii="Tahoma" w:hAnsi="Tahoma" w:cs="Tahoma"/>
                <w:sz w:val="20"/>
                <w:szCs w:val="20"/>
              </w:rPr>
              <w:t>жилая застройка;</w:t>
            </w:r>
          </w:p>
          <w:p w14:paraId="04BF85CF" w14:textId="77777777" w:rsidR="00951A61" w:rsidRPr="00AB541D" w:rsidRDefault="00951A61" w:rsidP="00951A61">
            <w:pPr>
              <w:pStyle w:val="affe"/>
              <w:numPr>
                <w:ilvl w:val="0"/>
                <w:numId w:val="33"/>
              </w:numPr>
              <w:ind w:left="0" w:firstLine="175"/>
              <w:contextualSpacing/>
              <w:jc w:val="both"/>
              <w:rPr>
                <w:rFonts w:ascii="Tahoma" w:hAnsi="Tahoma" w:cs="Tahoma"/>
                <w:sz w:val="20"/>
                <w:szCs w:val="20"/>
              </w:rPr>
            </w:pPr>
            <w:r w:rsidRPr="00AB541D">
              <w:rPr>
                <w:rFonts w:ascii="Tahoma" w:hAnsi="Tahoma" w:cs="Tahoma"/>
                <w:sz w:val="20"/>
                <w:szCs w:val="20"/>
              </w:rPr>
              <w:t>малоэтажная многоквартирная застройка;</w:t>
            </w:r>
          </w:p>
          <w:p w14:paraId="427D1750" w14:textId="77777777" w:rsidR="00951A61" w:rsidRPr="00AB541D" w:rsidRDefault="00951A61" w:rsidP="00951A61">
            <w:pPr>
              <w:pStyle w:val="affe"/>
              <w:numPr>
                <w:ilvl w:val="0"/>
                <w:numId w:val="33"/>
              </w:numPr>
              <w:ind w:left="0" w:firstLine="175"/>
              <w:contextualSpacing/>
              <w:jc w:val="both"/>
              <w:rPr>
                <w:rFonts w:ascii="Tahoma" w:hAnsi="Tahoma" w:cs="Tahoma"/>
                <w:sz w:val="20"/>
                <w:szCs w:val="20"/>
              </w:rPr>
            </w:pPr>
            <w:r w:rsidRPr="00AB541D">
              <w:rPr>
                <w:rFonts w:ascii="Tahoma" w:hAnsi="Tahoma" w:cs="Tahoma"/>
                <w:sz w:val="20"/>
                <w:szCs w:val="20"/>
              </w:rPr>
              <w:t>жилищное строительство;</w:t>
            </w:r>
          </w:p>
          <w:p w14:paraId="53F42BFB" w14:textId="77777777" w:rsidR="00951A61" w:rsidRPr="00AB541D" w:rsidRDefault="00951A61" w:rsidP="00951A61">
            <w:pPr>
              <w:pStyle w:val="affe"/>
              <w:numPr>
                <w:ilvl w:val="0"/>
                <w:numId w:val="33"/>
              </w:numPr>
              <w:ind w:left="0" w:firstLine="175"/>
              <w:contextualSpacing/>
              <w:jc w:val="both"/>
              <w:rPr>
                <w:rFonts w:ascii="Tahoma" w:hAnsi="Tahoma" w:cs="Tahoma"/>
                <w:sz w:val="20"/>
                <w:szCs w:val="20"/>
              </w:rPr>
            </w:pPr>
            <w:r w:rsidRPr="00AB541D">
              <w:rPr>
                <w:rFonts w:ascii="Tahoma" w:hAnsi="Tahoma" w:cs="Tahoma"/>
                <w:sz w:val="20"/>
                <w:szCs w:val="20"/>
              </w:rPr>
              <w:t>малоэтажное строительство;</w:t>
            </w:r>
          </w:p>
          <w:p w14:paraId="594826CE" w14:textId="77777777" w:rsidR="00951A61" w:rsidRPr="00AB541D" w:rsidRDefault="00951A61" w:rsidP="00951A61">
            <w:pPr>
              <w:pStyle w:val="affe"/>
              <w:numPr>
                <w:ilvl w:val="0"/>
                <w:numId w:val="33"/>
              </w:numPr>
              <w:ind w:left="0" w:firstLine="175"/>
              <w:contextualSpacing/>
              <w:jc w:val="both"/>
              <w:rPr>
                <w:rFonts w:ascii="Tahoma" w:hAnsi="Tahoma" w:cs="Tahoma"/>
                <w:sz w:val="20"/>
                <w:szCs w:val="20"/>
              </w:rPr>
            </w:pPr>
            <w:r w:rsidRPr="00AB541D">
              <w:rPr>
                <w:rFonts w:ascii="Tahoma" w:hAnsi="Tahoma" w:cs="Tahoma"/>
                <w:sz w:val="20"/>
                <w:szCs w:val="20"/>
              </w:rPr>
              <w:t>возможно иное разрешенное использование земельного участка при условии возможности строительства на нем многоквартирного жилого дома блокированной застройки.</w:t>
            </w:r>
          </w:p>
          <w:p w14:paraId="400598E2" w14:textId="77777777" w:rsidR="00951A61" w:rsidRPr="008656B8" w:rsidRDefault="00951A61" w:rsidP="00A4032F">
            <w:pPr>
              <w:rPr>
                <w:rFonts w:ascii="Tahoma" w:hAnsi="Tahoma" w:cs="Tahoma"/>
                <w:u w:val="single"/>
              </w:rPr>
            </w:pPr>
            <w:r w:rsidRPr="008656B8">
              <w:rPr>
                <w:rFonts w:ascii="Tahoma" w:hAnsi="Tahoma" w:cs="Tahoma"/>
                <w:u w:val="single"/>
              </w:rPr>
              <w:t>Не могут быть приняты в залог таунхаусы:</w:t>
            </w:r>
          </w:p>
          <w:p w14:paraId="31C6ED18" w14:textId="77777777" w:rsidR="00951A61" w:rsidRPr="00AB541D" w:rsidRDefault="00951A61" w:rsidP="00951A61">
            <w:pPr>
              <w:pStyle w:val="affe"/>
              <w:numPr>
                <w:ilvl w:val="0"/>
                <w:numId w:val="32"/>
              </w:numPr>
              <w:ind w:left="33" w:hanging="33"/>
              <w:contextualSpacing/>
              <w:jc w:val="both"/>
              <w:rPr>
                <w:rFonts w:ascii="Tahoma" w:hAnsi="Tahoma" w:cs="Tahoma"/>
                <w:sz w:val="20"/>
                <w:szCs w:val="20"/>
              </w:rPr>
            </w:pPr>
            <w:r w:rsidRPr="00AB541D">
              <w:rPr>
                <w:rFonts w:ascii="Tahoma" w:hAnsi="Tahoma" w:cs="Tahoma"/>
                <w:sz w:val="20"/>
                <w:szCs w:val="20"/>
              </w:rPr>
              <w:t>расположенные на землях категории «земли сельскохозяйственного назначения» и разрешенное использование которых не предусматривает возведение жилого строения.</w:t>
            </w:r>
          </w:p>
          <w:p w14:paraId="37828723" w14:textId="77777777" w:rsidR="00951A61" w:rsidRPr="00AB541D" w:rsidRDefault="00951A61" w:rsidP="00951A61">
            <w:pPr>
              <w:pStyle w:val="affe"/>
              <w:numPr>
                <w:ilvl w:val="0"/>
                <w:numId w:val="32"/>
              </w:numPr>
              <w:ind w:left="33" w:hanging="33"/>
              <w:contextualSpacing/>
              <w:jc w:val="both"/>
              <w:rPr>
                <w:rFonts w:ascii="Tahoma" w:hAnsi="Tahoma" w:cs="Tahoma"/>
                <w:sz w:val="20"/>
                <w:szCs w:val="20"/>
              </w:rPr>
            </w:pPr>
            <w:r w:rsidRPr="00AB541D">
              <w:rPr>
                <w:rFonts w:ascii="Tahoma" w:hAnsi="Tahoma" w:cs="Tahoma"/>
                <w:sz w:val="20"/>
                <w:szCs w:val="20"/>
              </w:rPr>
              <w:t>расположенные на землях категории «земли промышленности, энергетики, транспорта, связи, радиовещания, телевидения, информатики, земли для обеспечения космической деятельности, земли обороны, безопасности и земли иного специального назначения».</w:t>
            </w:r>
          </w:p>
          <w:p w14:paraId="25872641" w14:textId="77777777" w:rsidR="00951A61" w:rsidRPr="00AB541D" w:rsidRDefault="00951A61" w:rsidP="00951A61">
            <w:pPr>
              <w:pStyle w:val="affe"/>
              <w:numPr>
                <w:ilvl w:val="0"/>
                <w:numId w:val="32"/>
              </w:numPr>
              <w:ind w:left="33" w:hanging="33"/>
              <w:contextualSpacing/>
              <w:jc w:val="both"/>
              <w:rPr>
                <w:rFonts w:ascii="Tahoma" w:hAnsi="Tahoma" w:cs="Tahoma"/>
                <w:sz w:val="20"/>
                <w:szCs w:val="20"/>
              </w:rPr>
            </w:pPr>
            <w:r w:rsidRPr="00AB541D">
              <w:rPr>
                <w:rFonts w:ascii="Tahoma" w:hAnsi="Tahoma" w:cs="Tahoma"/>
                <w:sz w:val="20"/>
                <w:szCs w:val="20"/>
              </w:rPr>
              <w:t>построенные на земельных участках, принадлежащих Продавцу на правах аренды;</w:t>
            </w:r>
          </w:p>
          <w:p w14:paraId="4CD34B9A" w14:textId="77777777" w:rsidR="00951A61" w:rsidRPr="00AB541D" w:rsidRDefault="00951A61" w:rsidP="00951A61">
            <w:pPr>
              <w:pStyle w:val="affe"/>
              <w:numPr>
                <w:ilvl w:val="0"/>
                <w:numId w:val="32"/>
              </w:numPr>
              <w:ind w:left="33" w:hanging="33"/>
              <w:contextualSpacing/>
              <w:jc w:val="both"/>
              <w:rPr>
                <w:rFonts w:ascii="Tahoma" w:hAnsi="Tahoma" w:cs="Tahoma"/>
                <w:sz w:val="20"/>
                <w:szCs w:val="20"/>
              </w:rPr>
            </w:pPr>
            <w:r w:rsidRPr="00AB541D">
              <w:rPr>
                <w:rFonts w:ascii="Tahoma" w:hAnsi="Tahoma" w:cs="Tahoma"/>
                <w:sz w:val="20"/>
                <w:szCs w:val="20"/>
              </w:rPr>
              <w:t xml:space="preserve">расположенные на </w:t>
            </w:r>
            <w:r w:rsidRPr="008656B8">
              <w:rPr>
                <w:rFonts w:ascii="Tahoma" w:hAnsi="Tahoma" w:cs="Tahoma"/>
                <w:sz w:val="20"/>
                <w:szCs w:val="20"/>
              </w:rPr>
              <w:t>расстоянии более 50 км от ВСП Банка (для Москвы расстояние считается от МКАД и может составлять не более 70 км)</w:t>
            </w:r>
            <w:r>
              <w:rPr>
                <w:rFonts w:ascii="Tahoma" w:hAnsi="Tahoma" w:cs="Tahoma"/>
                <w:sz w:val="20"/>
                <w:szCs w:val="20"/>
              </w:rPr>
              <w:t>.</w:t>
            </w:r>
          </w:p>
        </w:tc>
      </w:tr>
      <w:tr w:rsidR="00951A61" w:rsidRPr="00AB541D" w14:paraId="492D7A92" w14:textId="77777777" w:rsidTr="00A4032F">
        <w:tblPrEx>
          <w:tblLook w:val="00A0" w:firstRow="1" w:lastRow="0" w:firstColumn="1" w:lastColumn="0" w:noHBand="0" w:noVBand="0"/>
        </w:tblPrEx>
        <w:trPr>
          <w:trHeight w:val="176"/>
        </w:trPr>
        <w:tc>
          <w:tcPr>
            <w:tcW w:w="4609" w:type="dxa"/>
            <w:tcBorders>
              <w:top w:val="single" w:sz="4" w:space="0" w:color="auto"/>
              <w:left w:val="single" w:sz="8" w:space="0" w:color="auto"/>
              <w:bottom w:val="single" w:sz="4" w:space="0" w:color="auto"/>
              <w:right w:val="single" w:sz="4" w:space="0" w:color="auto"/>
            </w:tcBorders>
            <w:vAlign w:val="center"/>
          </w:tcPr>
          <w:p w14:paraId="125D24AD" w14:textId="77777777" w:rsidR="00951A61" w:rsidRPr="00AB541D" w:rsidRDefault="00951A61" w:rsidP="00A4032F">
            <w:pPr>
              <w:jc w:val="center"/>
              <w:rPr>
                <w:rFonts w:ascii="Tahoma" w:hAnsi="Tahoma" w:cs="Tahoma"/>
                <w:b/>
                <w:sz w:val="20"/>
                <w:szCs w:val="20"/>
              </w:rPr>
            </w:pPr>
            <w:r w:rsidRPr="00AB541D">
              <w:rPr>
                <w:rFonts w:ascii="Tahoma" w:hAnsi="Tahoma" w:cs="Tahoma"/>
                <w:b/>
                <w:sz w:val="20"/>
                <w:szCs w:val="20"/>
              </w:rPr>
              <w:lastRenderedPageBreak/>
              <w:t>Перечень документов, необходимых для рассмотрения заявления о предоставлении ипотечного кредита, в том числе для оценки кредитоспособности Заемщика</w:t>
            </w:r>
          </w:p>
          <w:p w14:paraId="1A54C0EA" w14:textId="77777777" w:rsidR="00951A61" w:rsidRPr="00AB541D" w:rsidRDefault="00951A61" w:rsidP="00A4032F">
            <w:pPr>
              <w:jc w:val="center"/>
              <w:rPr>
                <w:rFonts w:ascii="Tahoma" w:hAnsi="Tahoma" w:cs="Tahoma"/>
                <w:b/>
                <w:sz w:val="20"/>
                <w:szCs w:val="20"/>
              </w:rPr>
            </w:pPr>
          </w:p>
        </w:tc>
        <w:tc>
          <w:tcPr>
            <w:tcW w:w="10964" w:type="dxa"/>
            <w:tcBorders>
              <w:top w:val="single" w:sz="4" w:space="0" w:color="auto"/>
              <w:left w:val="nil"/>
              <w:bottom w:val="single" w:sz="4" w:space="0" w:color="auto"/>
              <w:right w:val="single" w:sz="8" w:space="0" w:color="000000"/>
            </w:tcBorders>
            <w:noWrap/>
            <w:vAlign w:val="center"/>
          </w:tcPr>
          <w:p w14:paraId="40799019" w14:textId="77777777" w:rsidR="00951A61" w:rsidRPr="00AB541D" w:rsidRDefault="00951A61" w:rsidP="00951A61">
            <w:pPr>
              <w:pStyle w:val="affe"/>
              <w:numPr>
                <w:ilvl w:val="0"/>
                <w:numId w:val="28"/>
              </w:numPr>
              <w:ind w:left="0" w:firstLine="0"/>
              <w:contextualSpacing/>
              <w:jc w:val="both"/>
              <w:rPr>
                <w:rFonts w:ascii="Tahoma" w:hAnsi="Tahoma" w:cs="Tahoma"/>
                <w:sz w:val="20"/>
                <w:szCs w:val="20"/>
              </w:rPr>
            </w:pPr>
            <w:r w:rsidRPr="00AB541D">
              <w:rPr>
                <w:rFonts w:ascii="Tahoma" w:hAnsi="Tahoma" w:cs="Tahoma"/>
                <w:sz w:val="20"/>
                <w:szCs w:val="20"/>
              </w:rPr>
              <w:t>Заявление на банковское обслуживание в «Азиатско-Тихоокеанский Банк» (</w:t>
            </w:r>
            <w:r>
              <w:rPr>
                <w:rFonts w:ascii="Tahoma" w:hAnsi="Tahoma" w:cs="Tahoma"/>
                <w:sz w:val="20"/>
                <w:szCs w:val="20"/>
              </w:rPr>
              <w:t>АО</w:t>
            </w:r>
            <w:r w:rsidRPr="00AB541D">
              <w:rPr>
                <w:rFonts w:ascii="Tahoma" w:hAnsi="Tahoma" w:cs="Tahoma"/>
                <w:sz w:val="20"/>
                <w:szCs w:val="20"/>
              </w:rPr>
              <w:t>);</w:t>
            </w:r>
          </w:p>
          <w:p w14:paraId="1299E6AD" w14:textId="77777777" w:rsidR="00951A61" w:rsidRPr="00AB541D" w:rsidRDefault="00951A61" w:rsidP="00951A61">
            <w:pPr>
              <w:pStyle w:val="affe"/>
              <w:numPr>
                <w:ilvl w:val="0"/>
                <w:numId w:val="28"/>
              </w:numPr>
              <w:ind w:left="0" w:firstLine="0"/>
              <w:contextualSpacing/>
              <w:jc w:val="both"/>
              <w:rPr>
                <w:rFonts w:ascii="Tahoma" w:hAnsi="Tahoma" w:cs="Tahoma"/>
                <w:sz w:val="20"/>
                <w:szCs w:val="20"/>
              </w:rPr>
            </w:pPr>
            <w:r w:rsidRPr="00AB541D">
              <w:rPr>
                <w:rFonts w:ascii="Tahoma" w:hAnsi="Tahoma" w:cs="Tahoma"/>
                <w:sz w:val="20"/>
                <w:szCs w:val="20"/>
              </w:rPr>
              <w:t>Паспорт гражданина РФ;</w:t>
            </w:r>
          </w:p>
          <w:p w14:paraId="35333B49" w14:textId="77777777" w:rsidR="00951A61" w:rsidRPr="00117D2C" w:rsidRDefault="00951A61" w:rsidP="00951A61">
            <w:pPr>
              <w:pStyle w:val="affe"/>
              <w:numPr>
                <w:ilvl w:val="0"/>
                <w:numId w:val="28"/>
              </w:numPr>
              <w:ind w:left="0" w:firstLine="0"/>
              <w:contextualSpacing/>
              <w:jc w:val="both"/>
              <w:rPr>
                <w:rFonts w:ascii="Tahoma" w:hAnsi="Tahoma" w:cs="Tahoma"/>
                <w:sz w:val="20"/>
                <w:szCs w:val="20"/>
              </w:rPr>
            </w:pPr>
            <w:r w:rsidRPr="00AB541D">
              <w:rPr>
                <w:rFonts w:ascii="Tahoma" w:hAnsi="Tahoma" w:cs="Tahoma"/>
                <w:sz w:val="20"/>
                <w:szCs w:val="20"/>
              </w:rPr>
              <w:t>Документы, подтверждающие занятость заемщика (в зависимости от вида деятельности заемщика</w:t>
            </w:r>
            <w:r>
              <w:rPr>
                <w:rFonts w:ascii="Tahoma" w:hAnsi="Tahoma" w:cs="Tahoma"/>
                <w:sz w:val="20"/>
                <w:szCs w:val="20"/>
              </w:rPr>
              <w:t xml:space="preserve"> </w:t>
            </w:r>
            <w:r w:rsidRPr="00AB541D">
              <w:rPr>
                <w:rFonts w:ascii="Tahoma" w:hAnsi="Tahoma" w:cs="Tahoma"/>
                <w:sz w:val="20"/>
                <w:szCs w:val="20"/>
              </w:rPr>
              <w:t>—</w:t>
            </w:r>
            <w:r>
              <w:rPr>
                <w:rFonts w:ascii="Tahoma" w:hAnsi="Tahoma" w:cs="Tahoma"/>
                <w:sz w:val="20"/>
                <w:szCs w:val="20"/>
              </w:rPr>
              <w:t xml:space="preserve"> </w:t>
            </w:r>
            <w:r w:rsidRPr="00AB541D">
              <w:rPr>
                <w:rFonts w:ascii="Tahoma" w:hAnsi="Tahoma" w:cs="Tahoma"/>
                <w:sz w:val="20"/>
                <w:szCs w:val="20"/>
              </w:rPr>
              <w:t xml:space="preserve">копия </w:t>
            </w:r>
            <w:r w:rsidRPr="00117D2C">
              <w:rPr>
                <w:rFonts w:ascii="Tahoma" w:hAnsi="Tahoma" w:cs="Tahoma"/>
                <w:sz w:val="20"/>
                <w:szCs w:val="20"/>
              </w:rPr>
              <w:t>трудовой книжки/трудового договора, заверенная работодателем (за исключением категории – сотрудники Банка), Сведения о состоянии индивидуального лицевого счета застрахованного лица (форма СЗИ-ИЛС) (далее – Выписка из ПФР)</w:t>
            </w:r>
            <w:r w:rsidRPr="00117D2C">
              <w:rPr>
                <w:rStyle w:val="aff3"/>
                <w:rFonts w:ascii="Tahoma" w:hAnsi="Tahoma"/>
                <w:sz w:val="20"/>
                <w:szCs w:val="20"/>
              </w:rPr>
              <w:footnoteReference w:id="51"/>
            </w:r>
            <w:r w:rsidRPr="00117D2C">
              <w:rPr>
                <w:rFonts w:ascii="Tahoma" w:hAnsi="Tahoma" w:cs="Tahoma"/>
                <w:sz w:val="20"/>
                <w:szCs w:val="20"/>
              </w:rPr>
              <w:t>, свидетельство о государственной регистрации физического в качестве ИП, свидетельство/уведомление о постановке на налоговый учет и др.).</w:t>
            </w:r>
          </w:p>
          <w:p w14:paraId="09764174" w14:textId="77777777" w:rsidR="00951A61" w:rsidRPr="00AB541D" w:rsidRDefault="00951A61" w:rsidP="00951A61">
            <w:pPr>
              <w:pStyle w:val="affe"/>
              <w:numPr>
                <w:ilvl w:val="0"/>
                <w:numId w:val="28"/>
              </w:numPr>
              <w:ind w:left="34" w:hanging="34"/>
              <w:contextualSpacing/>
              <w:jc w:val="both"/>
              <w:rPr>
                <w:rFonts w:ascii="Tahoma" w:hAnsi="Tahoma" w:cs="Tahoma"/>
                <w:sz w:val="20"/>
                <w:szCs w:val="20"/>
              </w:rPr>
            </w:pPr>
            <w:r w:rsidRPr="00117D2C">
              <w:rPr>
                <w:rFonts w:ascii="Tahoma" w:hAnsi="Tahoma" w:cs="Tahoma"/>
                <w:sz w:val="20"/>
                <w:szCs w:val="20"/>
              </w:rPr>
              <w:t>Документы, подтверждающие</w:t>
            </w:r>
            <w:r w:rsidRPr="00AB541D">
              <w:rPr>
                <w:rFonts w:ascii="Tahoma" w:hAnsi="Tahoma" w:cs="Tahoma"/>
                <w:sz w:val="20"/>
                <w:szCs w:val="20"/>
              </w:rPr>
              <w:t xml:space="preserve"> доход заемщика (в зависимости от вида деятельности заемщика): </w:t>
            </w:r>
          </w:p>
          <w:p w14:paraId="18B9C221" w14:textId="77777777" w:rsidR="00951A61" w:rsidRPr="00AB541D" w:rsidRDefault="00951A61" w:rsidP="00951A61">
            <w:pPr>
              <w:pStyle w:val="affe"/>
              <w:numPr>
                <w:ilvl w:val="0"/>
                <w:numId w:val="40"/>
              </w:numPr>
              <w:ind w:left="0" w:firstLine="0"/>
              <w:contextualSpacing/>
              <w:jc w:val="both"/>
              <w:rPr>
                <w:rFonts w:ascii="Tahoma" w:hAnsi="Tahoma" w:cs="Tahoma"/>
                <w:sz w:val="20"/>
                <w:szCs w:val="20"/>
              </w:rPr>
            </w:pPr>
            <w:r w:rsidRPr="00AB541D">
              <w:rPr>
                <w:rFonts w:ascii="Tahoma" w:hAnsi="Tahoma" w:cs="Tahoma"/>
                <w:sz w:val="20"/>
                <w:szCs w:val="20"/>
              </w:rPr>
              <w:lastRenderedPageBreak/>
              <w:t xml:space="preserve">справка по форме 2-НДФЛ или справка о доходах по форме Кредитора или справка о доходах, заверенная работодателем, содержащая всю информацию, которая предусмотрена справкой о доходах по форме Кредитора, копия налоговой декларации по форме 3-НДФЛ; </w:t>
            </w:r>
          </w:p>
          <w:p w14:paraId="29592E4D" w14:textId="77777777" w:rsidR="00951A61" w:rsidRPr="00AB541D" w:rsidRDefault="00951A61" w:rsidP="00951A61">
            <w:pPr>
              <w:pStyle w:val="affe"/>
              <w:numPr>
                <w:ilvl w:val="0"/>
                <w:numId w:val="40"/>
              </w:numPr>
              <w:ind w:left="0" w:firstLine="0"/>
              <w:contextualSpacing/>
              <w:jc w:val="both"/>
              <w:rPr>
                <w:rFonts w:ascii="Tahoma" w:hAnsi="Tahoma" w:cs="Tahoma"/>
                <w:color w:val="000000" w:themeColor="text1"/>
                <w:sz w:val="20"/>
                <w:szCs w:val="20"/>
              </w:rPr>
            </w:pPr>
            <w:r w:rsidRPr="00AB541D">
              <w:rPr>
                <w:rFonts w:ascii="Tahoma" w:hAnsi="Tahoma" w:cs="Tahoma"/>
                <w:sz w:val="20"/>
                <w:szCs w:val="20"/>
              </w:rPr>
              <w:t xml:space="preserve">в </w:t>
            </w:r>
            <w:r w:rsidRPr="00AB541D">
              <w:rPr>
                <w:rFonts w:ascii="Tahoma" w:hAnsi="Tahoma" w:cs="Tahoma"/>
                <w:color w:val="000000" w:themeColor="text1"/>
                <w:sz w:val="20"/>
                <w:szCs w:val="20"/>
              </w:rPr>
              <w:t xml:space="preserve">случае, если у Клиента отсутствует возможность оперативного получения справки о заработной плате, размер его заработной платы допускается подтверждать выпиской с зарплатного счета карты Клиента, заверенной печатью подразделения и подписью работника кредитной организации, выдавшего выписку, при этом в выписке обязательно должно быть указано назначение платежа, позволяющее однозначно идентифицировать, что поступления являются заработной платой Клиента; </w:t>
            </w:r>
          </w:p>
          <w:p w14:paraId="5D52104B" w14:textId="77777777" w:rsidR="00951A61" w:rsidRPr="00AB541D" w:rsidRDefault="00951A61" w:rsidP="00951A61">
            <w:pPr>
              <w:pStyle w:val="affe"/>
              <w:numPr>
                <w:ilvl w:val="0"/>
                <w:numId w:val="40"/>
              </w:numPr>
              <w:ind w:left="0" w:firstLine="0"/>
              <w:contextualSpacing/>
              <w:jc w:val="both"/>
              <w:rPr>
                <w:rFonts w:ascii="Tahoma" w:hAnsi="Tahoma" w:cs="Tahoma"/>
                <w:sz w:val="20"/>
                <w:szCs w:val="20"/>
              </w:rPr>
            </w:pPr>
            <w:r w:rsidRPr="00AB541D">
              <w:rPr>
                <w:rFonts w:ascii="Tahoma" w:hAnsi="Tahoma" w:cs="Tahoma"/>
                <w:color w:val="000000" w:themeColor="text1"/>
                <w:sz w:val="20"/>
                <w:szCs w:val="20"/>
                <w:lang w:val="en-US"/>
              </w:rPr>
              <w:t>c</w:t>
            </w:r>
            <w:r w:rsidRPr="00AB541D">
              <w:rPr>
                <w:rFonts w:ascii="Tahoma" w:hAnsi="Tahoma" w:cs="Tahoma"/>
                <w:color w:val="000000" w:themeColor="text1"/>
                <w:sz w:val="20"/>
                <w:szCs w:val="20"/>
              </w:rPr>
              <w:t>криншот/выписка из мобильного Банка по зарплатному счету Клиента, который (-ая) должна содержать идентификационные данные Клиента, а также назначение платежа, позволяющее однозначно идентифицировать, что поступления являются заработной платой Клиента, скриншот из мобильного Банка по зарплатному счету Клиента должен быть заверен со стороны Клиента (ФИО, дата, подписи);</w:t>
            </w:r>
            <w:r w:rsidRPr="00AB541D">
              <w:rPr>
                <w:rFonts w:ascii="Tahoma" w:hAnsi="Tahoma" w:cs="Tahoma"/>
                <w:color w:val="000000" w:themeColor="text1"/>
              </w:rPr>
              <w:t xml:space="preserve"> </w:t>
            </w:r>
          </w:p>
          <w:p w14:paraId="304802A9" w14:textId="77777777" w:rsidR="00951A61" w:rsidRPr="00AB541D" w:rsidRDefault="00951A61" w:rsidP="00951A61">
            <w:pPr>
              <w:pStyle w:val="affe"/>
              <w:numPr>
                <w:ilvl w:val="0"/>
                <w:numId w:val="40"/>
              </w:numPr>
              <w:ind w:left="0" w:firstLine="0"/>
              <w:contextualSpacing/>
              <w:jc w:val="both"/>
              <w:rPr>
                <w:rFonts w:ascii="Tahoma" w:hAnsi="Tahoma" w:cs="Tahoma"/>
                <w:sz w:val="20"/>
                <w:szCs w:val="20"/>
              </w:rPr>
            </w:pPr>
            <w:r w:rsidRPr="00AB541D">
              <w:rPr>
                <w:rFonts w:ascii="Tahoma" w:hAnsi="Tahoma" w:cs="Tahoma"/>
                <w:color w:val="000000" w:themeColor="text1"/>
                <w:sz w:val="20"/>
                <w:szCs w:val="20"/>
              </w:rPr>
              <w:t>выписка из ПФР, заверенная клиентом/сформированная Банком;</w:t>
            </w:r>
          </w:p>
          <w:p w14:paraId="559AD912" w14:textId="77777777" w:rsidR="00951A61" w:rsidRPr="00AB541D" w:rsidRDefault="00951A61" w:rsidP="00951A61">
            <w:pPr>
              <w:pStyle w:val="affe"/>
              <w:numPr>
                <w:ilvl w:val="0"/>
                <w:numId w:val="28"/>
              </w:numPr>
              <w:ind w:left="0" w:firstLine="0"/>
              <w:contextualSpacing/>
              <w:jc w:val="both"/>
              <w:rPr>
                <w:rFonts w:ascii="Tahoma" w:hAnsi="Tahoma" w:cs="Tahoma"/>
                <w:sz w:val="20"/>
                <w:szCs w:val="20"/>
              </w:rPr>
            </w:pPr>
            <w:r w:rsidRPr="00AB541D">
              <w:rPr>
                <w:rFonts w:ascii="Tahoma" w:hAnsi="Tahoma" w:cs="Tahoma"/>
                <w:sz w:val="20"/>
                <w:szCs w:val="20"/>
              </w:rPr>
              <w:t>Военный билет (в случае если заемщиком, имеющим подтвержденный доход, является лицо мужского пола до 27 лет);</w:t>
            </w:r>
          </w:p>
          <w:p w14:paraId="308672EA" w14:textId="77777777" w:rsidR="00951A61" w:rsidRPr="00AB541D" w:rsidRDefault="00951A61" w:rsidP="00951A61">
            <w:pPr>
              <w:pStyle w:val="affe"/>
              <w:numPr>
                <w:ilvl w:val="0"/>
                <w:numId w:val="28"/>
              </w:numPr>
              <w:ind w:left="0" w:firstLine="0"/>
              <w:contextualSpacing/>
              <w:jc w:val="both"/>
              <w:rPr>
                <w:rFonts w:ascii="Tahoma" w:hAnsi="Tahoma" w:cs="Tahoma"/>
                <w:sz w:val="20"/>
                <w:szCs w:val="20"/>
              </w:rPr>
            </w:pPr>
            <w:r w:rsidRPr="00AB541D">
              <w:rPr>
                <w:rFonts w:ascii="Tahoma" w:hAnsi="Tahoma" w:cs="Tahoma"/>
                <w:sz w:val="20"/>
                <w:szCs w:val="20"/>
              </w:rPr>
              <w:t>Заёмщик-ИП или его супругом (при необходимости) дополнительно предоставляются следующие документы:</w:t>
            </w:r>
          </w:p>
          <w:p w14:paraId="30F339A6" w14:textId="77777777" w:rsidR="00951A61" w:rsidRPr="00AB541D" w:rsidRDefault="00951A61" w:rsidP="00951A61">
            <w:pPr>
              <w:pStyle w:val="affe"/>
              <w:numPr>
                <w:ilvl w:val="1"/>
                <w:numId w:val="28"/>
              </w:numPr>
              <w:ind w:left="0" w:firstLine="0"/>
              <w:contextualSpacing/>
              <w:jc w:val="both"/>
              <w:rPr>
                <w:rFonts w:ascii="Tahoma" w:hAnsi="Tahoma" w:cs="Tahoma"/>
                <w:sz w:val="20"/>
                <w:szCs w:val="20"/>
              </w:rPr>
            </w:pPr>
            <w:r w:rsidRPr="00AB541D">
              <w:rPr>
                <w:rFonts w:ascii="Tahoma" w:hAnsi="Tahoma" w:cs="Tahoma"/>
                <w:sz w:val="20"/>
                <w:szCs w:val="20"/>
              </w:rPr>
              <w:t>свидетельство о постановке на учет в качестве ИП/ лицензия на осуществление нотариальной деятельности для частных нотариусов/ удостоверение адвоката для адвокатов, учредивших адвокатский кабинет;</w:t>
            </w:r>
          </w:p>
          <w:p w14:paraId="7DF76972" w14:textId="77777777" w:rsidR="00951A61" w:rsidRPr="00AB541D" w:rsidRDefault="00951A61" w:rsidP="00951A61">
            <w:pPr>
              <w:pStyle w:val="affe"/>
              <w:numPr>
                <w:ilvl w:val="1"/>
                <w:numId w:val="28"/>
              </w:numPr>
              <w:ind w:left="0" w:firstLine="0"/>
              <w:contextualSpacing/>
              <w:jc w:val="both"/>
              <w:rPr>
                <w:rFonts w:ascii="Tahoma" w:hAnsi="Tahoma" w:cs="Tahoma"/>
                <w:sz w:val="20"/>
                <w:szCs w:val="20"/>
              </w:rPr>
            </w:pPr>
            <w:r w:rsidRPr="00AB541D">
              <w:rPr>
                <w:rFonts w:ascii="Tahoma" w:hAnsi="Tahoma" w:cs="Tahoma"/>
                <w:sz w:val="20"/>
                <w:szCs w:val="20"/>
              </w:rPr>
              <w:t>налоговая декларация (копия декларации по форме 3-НДФЛ/4-НДФЛ с отметкой налогового органа о получении), либо патент;</w:t>
            </w:r>
          </w:p>
          <w:p w14:paraId="179539F2" w14:textId="77777777" w:rsidR="00951A61" w:rsidRPr="008656B8" w:rsidRDefault="00951A61" w:rsidP="00951A61">
            <w:pPr>
              <w:pStyle w:val="affe"/>
              <w:numPr>
                <w:ilvl w:val="1"/>
                <w:numId w:val="28"/>
              </w:numPr>
              <w:ind w:left="0" w:firstLine="0"/>
              <w:contextualSpacing/>
              <w:jc w:val="both"/>
              <w:rPr>
                <w:rFonts w:ascii="Tahoma" w:hAnsi="Tahoma" w:cs="Tahoma"/>
                <w:sz w:val="20"/>
                <w:szCs w:val="20"/>
              </w:rPr>
            </w:pPr>
            <w:r w:rsidRPr="00AB541D">
              <w:rPr>
                <w:rFonts w:ascii="Tahoma" w:hAnsi="Tahoma" w:cs="Tahoma"/>
                <w:sz w:val="20"/>
                <w:szCs w:val="20"/>
              </w:rPr>
              <w:t xml:space="preserve">квитанции по уплате авансовых платежей/ выписки по счету с указанием уплаты авансовых платежей, уплате единого налога, либо квитанции об уплате стоимости патента в зависимости от системы налогообложения/ квитанции об уплате отчислений в Пенсионный фонд РФ и Федеральный фонд обязательного медицинского страхования/иные документы, подтверждающие эти отчисления (для предпринимателей, применяющих ЕНВД, не </w:t>
            </w:r>
            <w:r w:rsidRPr="008656B8">
              <w:rPr>
                <w:rFonts w:ascii="Tahoma" w:hAnsi="Tahoma" w:cs="Tahoma"/>
                <w:sz w:val="20"/>
                <w:szCs w:val="20"/>
              </w:rPr>
              <w:t>производящих выплаты, и иные вознаграждения физическим лицам, величина налога на вмененный доход которых равна нулю);</w:t>
            </w:r>
          </w:p>
          <w:p w14:paraId="52DCB262" w14:textId="77777777" w:rsidR="00951A61" w:rsidRPr="008656B8" w:rsidRDefault="00951A61" w:rsidP="00951A61">
            <w:pPr>
              <w:pStyle w:val="affe"/>
              <w:numPr>
                <w:ilvl w:val="1"/>
                <w:numId w:val="28"/>
              </w:numPr>
              <w:ind w:left="0" w:firstLine="0"/>
              <w:contextualSpacing/>
              <w:jc w:val="both"/>
              <w:rPr>
                <w:rFonts w:ascii="Tahoma" w:hAnsi="Tahoma" w:cs="Tahoma"/>
                <w:sz w:val="20"/>
                <w:szCs w:val="20"/>
              </w:rPr>
            </w:pPr>
            <w:r w:rsidRPr="008656B8">
              <w:rPr>
                <w:rFonts w:ascii="Tahoma" w:hAnsi="Tahoma" w:cs="Tahoma"/>
                <w:sz w:val="20"/>
                <w:szCs w:val="20"/>
              </w:rPr>
              <w:t>при необходимости, документы, которые требуются от ИП для анализа его финансово-хозяйственной деятельности по стандартам и с учетом требований нормативных документов Банка.</w:t>
            </w:r>
          </w:p>
          <w:p w14:paraId="77B43FA7" w14:textId="77777777" w:rsidR="00951A61" w:rsidRPr="008656B8" w:rsidRDefault="00951A61" w:rsidP="00951A61">
            <w:pPr>
              <w:pStyle w:val="affe"/>
              <w:numPr>
                <w:ilvl w:val="0"/>
                <w:numId w:val="28"/>
              </w:numPr>
              <w:ind w:left="5" w:firstLine="0"/>
              <w:contextualSpacing/>
              <w:jc w:val="both"/>
              <w:rPr>
                <w:rFonts w:ascii="Tahoma" w:hAnsi="Tahoma" w:cs="Tahoma"/>
                <w:sz w:val="20"/>
                <w:szCs w:val="20"/>
              </w:rPr>
            </w:pPr>
            <w:r w:rsidRPr="008656B8">
              <w:rPr>
                <w:rFonts w:ascii="Tahoma" w:hAnsi="Tahoma" w:cs="Tahoma"/>
                <w:sz w:val="20"/>
                <w:szCs w:val="20"/>
              </w:rPr>
              <w:t xml:space="preserve">Для самозанятых граждан: </w:t>
            </w:r>
          </w:p>
          <w:p w14:paraId="58FAD2A4" w14:textId="77777777" w:rsidR="00951A61" w:rsidRPr="008656B8" w:rsidRDefault="00951A61" w:rsidP="00951A61">
            <w:pPr>
              <w:pStyle w:val="affe"/>
              <w:numPr>
                <w:ilvl w:val="0"/>
                <w:numId w:val="67"/>
              </w:numPr>
              <w:contextualSpacing/>
              <w:jc w:val="both"/>
              <w:rPr>
                <w:rFonts w:ascii="Tahoma" w:hAnsi="Tahoma" w:cs="Tahoma"/>
                <w:sz w:val="20"/>
                <w:szCs w:val="20"/>
              </w:rPr>
            </w:pPr>
            <w:r w:rsidRPr="008656B8">
              <w:rPr>
                <w:rFonts w:ascii="Tahoma" w:hAnsi="Tahoma" w:cs="Tahoma"/>
                <w:sz w:val="20"/>
                <w:szCs w:val="20"/>
              </w:rPr>
              <w:t>справка о постановке на учет самозанятого. Документ может быть сформирован в специализированном мобильном приложении или в веб-кабинете «Мой налог» на официальном сайте ФНС РФ. При корректном формировании электронная справка подписывается электронной подписью ФНС РФ. Данный документ необходимо распечатать и заверить подписью Заемщика;</w:t>
            </w:r>
          </w:p>
          <w:p w14:paraId="296FC9DA" w14:textId="77777777" w:rsidR="00951A61" w:rsidRPr="008656B8" w:rsidRDefault="00951A61" w:rsidP="00951A61">
            <w:pPr>
              <w:pStyle w:val="affe"/>
              <w:numPr>
                <w:ilvl w:val="0"/>
                <w:numId w:val="67"/>
              </w:numPr>
              <w:contextualSpacing/>
              <w:jc w:val="both"/>
              <w:rPr>
                <w:rFonts w:ascii="Tahoma" w:hAnsi="Tahoma" w:cs="Tahoma"/>
                <w:sz w:val="20"/>
                <w:szCs w:val="20"/>
              </w:rPr>
            </w:pPr>
            <w:r w:rsidRPr="008656B8">
              <w:rPr>
                <w:rFonts w:ascii="Tahoma" w:hAnsi="Tahoma" w:cs="Tahoma"/>
                <w:sz w:val="20"/>
                <w:szCs w:val="20"/>
              </w:rPr>
              <w:t>справка о состоянии расчетов (доходах) по налогу на профессиональный доход для самозанятых (копия, заверенная заемщиком) или оригинал;</w:t>
            </w:r>
          </w:p>
          <w:p w14:paraId="409F75BB" w14:textId="77777777" w:rsidR="00951A61" w:rsidRPr="008656B8" w:rsidRDefault="00951A61" w:rsidP="00951A61">
            <w:pPr>
              <w:pStyle w:val="affe"/>
              <w:numPr>
                <w:ilvl w:val="0"/>
                <w:numId w:val="40"/>
              </w:numPr>
              <w:ind w:left="664" w:hanging="284"/>
              <w:contextualSpacing/>
              <w:jc w:val="both"/>
              <w:rPr>
                <w:rFonts w:ascii="Tahoma" w:hAnsi="Tahoma" w:cs="Tahoma"/>
                <w:sz w:val="20"/>
                <w:szCs w:val="20"/>
              </w:rPr>
            </w:pPr>
            <w:r w:rsidRPr="008656B8">
              <w:rPr>
                <w:rFonts w:ascii="Tahoma" w:hAnsi="Tahoma" w:cs="Tahoma"/>
                <w:sz w:val="20"/>
                <w:szCs w:val="20"/>
              </w:rPr>
              <w:t>Выписка по банковскому счету Заемщика (оригинал). На дату принятия предварительного решения о выдаче  Ипотечного кредита по Заемщику(ам) срок действия должен составлять не более 30 календарных дней</w:t>
            </w:r>
          </w:p>
          <w:p w14:paraId="40744FFD" w14:textId="77777777" w:rsidR="00951A61" w:rsidRPr="00AB541D" w:rsidRDefault="00951A61" w:rsidP="00951A61">
            <w:pPr>
              <w:pStyle w:val="affe"/>
              <w:numPr>
                <w:ilvl w:val="0"/>
                <w:numId w:val="28"/>
              </w:numPr>
              <w:ind w:left="0" w:firstLine="0"/>
              <w:contextualSpacing/>
              <w:jc w:val="both"/>
              <w:rPr>
                <w:rFonts w:ascii="Tahoma" w:hAnsi="Tahoma" w:cs="Tahoma"/>
                <w:sz w:val="20"/>
                <w:szCs w:val="20"/>
              </w:rPr>
            </w:pPr>
            <w:r w:rsidRPr="008656B8">
              <w:rPr>
                <w:rFonts w:ascii="Tahoma" w:hAnsi="Tahoma" w:cs="Tahoma"/>
                <w:sz w:val="20"/>
                <w:szCs w:val="20"/>
              </w:rPr>
              <w:t>При необходимости Банком могут быть запрошены иные документы.</w:t>
            </w:r>
            <w:r w:rsidRPr="00AB541D">
              <w:rPr>
                <w:rFonts w:ascii="Tahoma" w:hAnsi="Tahoma" w:cs="Tahoma"/>
                <w:sz w:val="20"/>
                <w:szCs w:val="20"/>
              </w:rPr>
              <w:fldChar w:fldCharType="begin"/>
            </w:r>
            <w:r w:rsidRPr="00AB541D">
              <w:rPr>
                <w:rFonts w:ascii="Tahoma" w:hAnsi="Tahoma" w:cs="Tahoma"/>
                <w:sz w:val="20"/>
                <w:szCs w:val="20"/>
              </w:rPr>
              <w:instrText xml:space="preserve"> DOCVARIABLE  ATB_ADDRESS_REG </w:instrText>
            </w:r>
            <w:r w:rsidRPr="00AB541D">
              <w:rPr>
                <w:rFonts w:ascii="Tahoma" w:hAnsi="Tahoma" w:cs="Tahoma"/>
                <w:sz w:val="20"/>
                <w:szCs w:val="20"/>
              </w:rPr>
              <w:fldChar w:fldCharType="end"/>
            </w:r>
          </w:p>
        </w:tc>
      </w:tr>
      <w:tr w:rsidR="00951A61" w:rsidRPr="00AB541D" w14:paraId="628738FB" w14:textId="77777777" w:rsidTr="00A4032F">
        <w:tblPrEx>
          <w:tblLook w:val="00A0" w:firstRow="1" w:lastRow="0" w:firstColumn="1" w:lastColumn="0" w:noHBand="0" w:noVBand="0"/>
        </w:tblPrEx>
        <w:trPr>
          <w:trHeight w:val="176"/>
        </w:trPr>
        <w:tc>
          <w:tcPr>
            <w:tcW w:w="4609" w:type="dxa"/>
            <w:tcBorders>
              <w:top w:val="single" w:sz="4" w:space="0" w:color="auto"/>
              <w:left w:val="single" w:sz="8" w:space="0" w:color="auto"/>
              <w:bottom w:val="single" w:sz="4" w:space="0" w:color="auto"/>
              <w:right w:val="single" w:sz="4" w:space="0" w:color="auto"/>
            </w:tcBorders>
            <w:vAlign w:val="center"/>
          </w:tcPr>
          <w:p w14:paraId="70C40ED3" w14:textId="77777777" w:rsidR="00951A61" w:rsidRPr="00AB541D" w:rsidRDefault="00951A61" w:rsidP="00A4032F">
            <w:pPr>
              <w:jc w:val="center"/>
              <w:rPr>
                <w:rFonts w:ascii="Tahoma" w:hAnsi="Tahoma" w:cs="Tahoma"/>
                <w:b/>
                <w:sz w:val="20"/>
                <w:szCs w:val="20"/>
              </w:rPr>
            </w:pPr>
            <w:r w:rsidRPr="00AB541D">
              <w:rPr>
                <w:rFonts w:ascii="Tahoma" w:hAnsi="Tahoma" w:cs="Tahoma"/>
                <w:b/>
                <w:sz w:val="20"/>
                <w:szCs w:val="20"/>
              </w:rPr>
              <w:lastRenderedPageBreak/>
              <w:t>Перечень документов по объекту недвижимости, передаваемому в залог Банку</w:t>
            </w:r>
          </w:p>
          <w:p w14:paraId="2C79A20D" w14:textId="77777777" w:rsidR="00951A61" w:rsidRPr="00AB541D" w:rsidRDefault="00951A61" w:rsidP="00A4032F">
            <w:pPr>
              <w:jc w:val="center"/>
              <w:rPr>
                <w:rFonts w:ascii="Tahoma" w:hAnsi="Tahoma" w:cs="Tahoma"/>
                <w:b/>
                <w:sz w:val="20"/>
                <w:szCs w:val="20"/>
              </w:rPr>
            </w:pPr>
          </w:p>
        </w:tc>
        <w:tc>
          <w:tcPr>
            <w:tcW w:w="10964" w:type="dxa"/>
            <w:tcBorders>
              <w:top w:val="single" w:sz="4" w:space="0" w:color="auto"/>
              <w:left w:val="nil"/>
              <w:bottom w:val="single" w:sz="4" w:space="0" w:color="auto"/>
              <w:right w:val="single" w:sz="8" w:space="0" w:color="000000"/>
            </w:tcBorders>
            <w:noWrap/>
            <w:vAlign w:val="center"/>
          </w:tcPr>
          <w:p w14:paraId="514A87B1" w14:textId="77777777" w:rsidR="00951A61" w:rsidRPr="00AB541D" w:rsidRDefault="00951A61" w:rsidP="00951A61">
            <w:pPr>
              <w:pStyle w:val="affe"/>
              <w:numPr>
                <w:ilvl w:val="0"/>
                <w:numId w:val="45"/>
              </w:numPr>
              <w:ind w:left="0" w:hanging="45"/>
              <w:contextualSpacing/>
              <w:jc w:val="both"/>
              <w:rPr>
                <w:rFonts w:ascii="Tahoma" w:hAnsi="Tahoma" w:cs="Tahoma"/>
                <w:sz w:val="20"/>
                <w:szCs w:val="20"/>
              </w:rPr>
            </w:pPr>
            <w:r w:rsidRPr="00AB541D">
              <w:rPr>
                <w:rFonts w:ascii="Tahoma" w:hAnsi="Tahoma" w:cs="Tahoma"/>
                <w:sz w:val="20"/>
                <w:szCs w:val="20"/>
              </w:rPr>
              <w:t>Отчет об оценке предмета ипотеки (если иное не предусмотрено Порядком выдачи ипотечных кредитов в «Азиатско-Тихоокеанский Банк» (</w:t>
            </w:r>
            <w:r>
              <w:rPr>
                <w:rFonts w:ascii="Tahoma" w:hAnsi="Tahoma" w:cs="Tahoma"/>
                <w:sz w:val="20"/>
                <w:szCs w:val="20"/>
              </w:rPr>
              <w:t>АО</w:t>
            </w:r>
            <w:r w:rsidRPr="00AB541D">
              <w:rPr>
                <w:rFonts w:ascii="Tahoma" w:hAnsi="Tahoma" w:cs="Tahoma"/>
                <w:sz w:val="20"/>
                <w:szCs w:val="20"/>
              </w:rPr>
              <w:t>));</w:t>
            </w:r>
          </w:p>
          <w:p w14:paraId="33446945" w14:textId="77777777" w:rsidR="00951A61" w:rsidRPr="00AB541D" w:rsidRDefault="00951A61" w:rsidP="00951A61">
            <w:pPr>
              <w:pStyle w:val="affe"/>
              <w:numPr>
                <w:ilvl w:val="0"/>
                <w:numId w:val="45"/>
              </w:numPr>
              <w:ind w:left="0" w:hanging="45"/>
              <w:contextualSpacing/>
              <w:jc w:val="both"/>
              <w:rPr>
                <w:rFonts w:ascii="Tahoma" w:hAnsi="Tahoma" w:cs="Tahoma"/>
                <w:sz w:val="20"/>
                <w:szCs w:val="20"/>
              </w:rPr>
            </w:pPr>
            <w:r w:rsidRPr="00AB541D">
              <w:rPr>
                <w:rFonts w:ascii="Tahoma" w:hAnsi="Tahoma" w:cs="Tahoma"/>
                <w:sz w:val="20"/>
                <w:szCs w:val="20"/>
              </w:rPr>
              <w:t>Проект Договора долевого участия в строительстве (в случае приобретения имущественных прав по договору уступки прав – проект договора уступки прав требования по договору участия в долевом строительстве многоквартирного дома, а также копия Договора долевого участия в строительстве, согласно которому цедент обладает Имущественными правами).</w:t>
            </w:r>
          </w:p>
        </w:tc>
      </w:tr>
      <w:tr w:rsidR="00951A61" w:rsidRPr="00AB541D" w14:paraId="76DFEC9D" w14:textId="77777777" w:rsidTr="00A4032F">
        <w:tblPrEx>
          <w:tblLook w:val="00A0" w:firstRow="1" w:lastRow="0" w:firstColumn="1" w:lastColumn="0" w:noHBand="0" w:noVBand="0"/>
        </w:tblPrEx>
        <w:trPr>
          <w:trHeight w:val="176"/>
        </w:trPr>
        <w:tc>
          <w:tcPr>
            <w:tcW w:w="4609" w:type="dxa"/>
            <w:tcBorders>
              <w:top w:val="single" w:sz="4" w:space="0" w:color="auto"/>
              <w:left w:val="single" w:sz="8" w:space="0" w:color="auto"/>
              <w:bottom w:val="single" w:sz="4" w:space="0" w:color="auto"/>
              <w:right w:val="single" w:sz="4" w:space="0" w:color="auto"/>
            </w:tcBorders>
            <w:vAlign w:val="center"/>
          </w:tcPr>
          <w:p w14:paraId="78A1E8DF" w14:textId="77777777" w:rsidR="00951A61" w:rsidRPr="00AB541D" w:rsidRDefault="00951A61" w:rsidP="00A4032F">
            <w:pPr>
              <w:jc w:val="center"/>
              <w:rPr>
                <w:rFonts w:ascii="Tahoma" w:hAnsi="Tahoma" w:cs="Tahoma"/>
                <w:b/>
                <w:sz w:val="20"/>
                <w:szCs w:val="20"/>
              </w:rPr>
            </w:pPr>
            <w:r w:rsidRPr="00AB541D">
              <w:rPr>
                <w:rFonts w:ascii="Tahoma" w:hAnsi="Tahoma" w:cs="Tahoma"/>
                <w:b/>
                <w:sz w:val="20"/>
                <w:szCs w:val="20"/>
              </w:rPr>
              <w:t>Иные договоры, необходимые к заключению для получения Кредита</w:t>
            </w:r>
          </w:p>
        </w:tc>
        <w:tc>
          <w:tcPr>
            <w:tcW w:w="10964" w:type="dxa"/>
            <w:tcBorders>
              <w:top w:val="single" w:sz="4" w:space="0" w:color="auto"/>
              <w:left w:val="nil"/>
              <w:bottom w:val="single" w:sz="4" w:space="0" w:color="auto"/>
              <w:right w:val="single" w:sz="8" w:space="0" w:color="000000"/>
            </w:tcBorders>
            <w:noWrap/>
            <w:vAlign w:val="center"/>
          </w:tcPr>
          <w:p w14:paraId="766F9E3B" w14:textId="77777777" w:rsidR="00951A61" w:rsidRPr="004A01A5" w:rsidRDefault="00951A61" w:rsidP="00A4032F">
            <w:pPr>
              <w:rPr>
                <w:rFonts w:ascii="Tahoma" w:hAnsi="Tahoma" w:cs="Tahoma"/>
                <w:sz w:val="18"/>
                <w:szCs w:val="20"/>
              </w:rPr>
            </w:pPr>
            <w:r w:rsidRPr="004A01A5">
              <w:rPr>
                <w:rFonts w:ascii="Tahoma" w:hAnsi="Tahoma" w:cs="Tahoma"/>
                <w:sz w:val="18"/>
                <w:szCs w:val="20"/>
              </w:rPr>
              <w:t>Заключение между Сторонами договора банковского счета (на основании которого Заемщику Банком открывается ТБС), элементы которого содержатся в Договоре, что делает Договор смешанным, содержащим элементы договора банковского счета и Кредитного договора, и обязательным к заключению.</w:t>
            </w:r>
          </w:p>
          <w:p w14:paraId="33163AF1" w14:textId="77777777" w:rsidR="00951A61" w:rsidRPr="00AB541D" w:rsidRDefault="00951A61" w:rsidP="00A4032F">
            <w:pPr>
              <w:rPr>
                <w:rFonts w:ascii="Tahoma" w:hAnsi="Tahoma" w:cs="Tahoma"/>
                <w:sz w:val="20"/>
                <w:szCs w:val="20"/>
              </w:rPr>
            </w:pPr>
            <w:r w:rsidRPr="004A01A5">
              <w:rPr>
                <w:rFonts w:ascii="Tahoma" w:hAnsi="Tahoma" w:cs="Tahoma"/>
                <w:sz w:val="18"/>
                <w:szCs w:val="20"/>
              </w:rPr>
              <w:t>После завершения строительства Объекта недвижимости заключение Договора/полиса имущественного страхования (страхование в соответствии с тарифами страховой компании рисков, связанных с утратой или повреждением недвижимого имущества, находящегося в залоге)</w:t>
            </w:r>
          </w:p>
        </w:tc>
      </w:tr>
      <w:tr w:rsidR="00951A61" w:rsidRPr="00AB541D" w14:paraId="2ADCFC6F" w14:textId="77777777" w:rsidTr="00A4032F">
        <w:tblPrEx>
          <w:tblLook w:val="00A0" w:firstRow="1" w:lastRow="0" w:firstColumn="1" w:lastColumn="0" w:noHBand="0" w:noVBand="0"/>
        </w:tblPrEx>
        <w:trPr>
          <w:trHeight w:val="176"/>
        </w:trPr>
        <w:tc>
          <w:tcPr>
            <w:tcW w:w="4609" w:type="dxa"/>
            <w:tcBorders>
              <w:top w:val="single" w:sz="4" w:space="0" w:color="auto"/>
              <w:left w:val="single" w:sz="8" w:space="0" w:color="auto"/>
              <w:bottom w:val="single" w:sz="4" w:space="0" w:color="auto"/>
              <w:right w:val="single" w:sz="4" w:space="0" w:color="auto"/>
            </w:tcBorders>
            <w:shd w:val="clear" w:color="auto" w:fill="auto"/>
            <w:vAlign w:val="center"/>
          </w:tcPr>
          <w:p w14:paraId="078544AA" w14:textId="77777777" w:rsidR="00951A61" w:rsidRPr="00117D2C" w:rsidRDefault="00951A61" w:rsidP="00A4032F">
            <w:pPr>
              <w:jc w:val="center"/>
              <w:rPr>
                <w:rFonts w:ascii="Tahoma" w:hAnsi="Tahoma" w:cs="Tahoma"/>
                <w:b/>
                <w:sz w:val="20"/>
                <w:szCs w:val="20"/>
              </w:rPr>
            </w:pPr>
            <w:r w:rsidRPr="003235C0">
              <w:rPr>
                <w:rFonts w:ascii="Tahoma" w:hAnsi="Tahoma" w:cs="Tahoma"/>
                <w:b/>
                <w:color w:val="000000"/>
                <w:sz w:val="16"/>
                <w:szCs w:val="20"/>
              </w:rPr>
              <w:t>Курс иностранной валюты в случае, если валюта, в которой осуществляется перевод денежных средств Банком третьему лицу, указанному Заемщиком при предоставлении Кредита, отличается от валюты, в которой предоставлен Кредит</w:t>
            </w:r>
          </w:p>
        </w:tc>
        <w:tc>
          <w:tcPr>
            <w:tcW w:w="10964" w:type="dxa"/>
            <w:tcBorders>
              <w:top w:val="single" w:sz="4" w:space="0" w:color="auto"/>
              <w:left w:val="nil"/>
              <w:bottom w:val="single" w:sz="4" w:space="0" w:color="auto"/>
              <w:right w:val="single" w:sz="8" w:space="0" w:color="000000"/>
            </w:tcBorders>
            <w:noWrap/>
            <w:vAlign w:val="center"/>
          </w:tcPr>
          <w:p w14:paraId="1EA7EA87" w14:textId="77777777" w:rsidR="00951A61" w:rsidRPr="00AB541D" w:rsidRDefault="00951A61" w:rsidP="00A4032F">
            <w:pPr>
              <w:rPr>
                <w:rFonts w:ascii="Tahoma" w:hAnsi="Tahoma" w:cs="Tahoma"/>
                <w:sz w:val="20"/>
                <w:szCs w:val="20"/>
              </w:rPr>
            </w:pPr>
            <w:r w:rsidRPr="00AB541D">
              <w:rPr>
                <w:rFonts w:ascii="Tahoma" w:hAnsi="Tahoma" w:cs="Tahoma"/>
                <w:color w:val="000000"/>
                <w:sz w:val="20"/>
                <w:szCs w:val="20"/>
              </w:rPr>
              <w:t>При переводе денежных средств Банком третьему лицу, указанному Заемщиком, конвертация валюты Кредита в валюту перевода осуществляется по курсу, установленному Бан</w:t>
            </w:r>
            <w:r>
              <w:rPr>
                <w:rFonts w:ascii="Tahoma" w:hAnsi="Tahoma" w:cs="Tahoma"/>
                <w:color w:val="000000"/>
                <w:sz w:val="20"/>
                <w:szCs w:val="20"/>
              </w:rPr>
              <w:t>ком на день выполнения операции</w:t>
            </w:r>
          </w:p>
        </w:tc>
      </w:tr>
      <w:tr w:rsidR="00951A61" w:rsidRPr="00AB541D" w14:paraId="4E6AA670" w14:textId="77777777" w:rsidTr="00A4032F">
        <w:tblPrEx>
          <w:tblLook w:val="00A0" w:firstRow="1" w:lastRow="0" w:firstColumn="1" w:lastColumn="0" w:noHBand="0" w:noVBand="0"/>
        </w:tblPrEx>
        <w:trPr>
          <w:trHeight w:val="176"/>
        </w:trPr>
        <w:tc>
          <w:tcPr>
            <w:tcW w:w="4609" w:type="dxa"/>
            <w:tcBorders>
              <w:top w:val="single" w:sz="4" w:space="0" w:color="auto"/>
              <w:left w:val="single" w:sz="8" w:space="0" w:color="auto"/>
              <w:bottom w:val="single" w:sz="4" w:space="0" w:color="auto"/>
              <w:right w:val="single" w:sz="4" w:space="0" w:color="auto"/>
            </w:tcBorders>
            <w:shd w:val="clear" w:color="auto" w:fill="auto"/>
            <w:vAlign w:val="center"/>
          </w:tcPr>
          <w:p w14:paraId="7ACCFB6C" w14:textId="77777777" w:rsidR="00951A61" w:rsidRPr="00117D2C" w:rsidRDefault="00951A61" w:rsidP="00A4032F">
            <w:pPr>
              <w:jc w:val="center"/>
              <w:rPr>
                <w:rFonts w:ascii="Tahoma" w:hAnsi="Tahoma" w:cs="Tahoma"/>
                <w:b/>
                <w:color w:val="000000"/>
                <w:sz w:val="20"/>
                <w:szCs w:val="20"/>
              </w:rPr>
            </w:pPr>
            <w:r w:rsidRPr="004A01A5">
              <w:rPr>
                <w:rFonts w:ascii="Tahoma" w:hAnsi="Tahoma" w:cs="Tahoma"/>
                <w:b/>
                <w:color w:val="000000"/>
                <w:sz w:val="18"/>
                <w:szCs w:val="20"/>
              </w:rPr>
              <w:t>Информация о возможном увеличении суммы расходов Заемщика по сравнению с ожидаемой суммой расходов в рублях, в том числе при применении переменной процентной ставки, а также информация о том, что изменение курса иностранной валюты в прошлом не свидетельствует об изменении ее курса в будущем, и информация о повышенных рисках Заемщика, получающего доходы в валюте, отличной от валюты Кредита</w:t>
            </w:r>
          </w:p>
        </w:tc>
        <w:tc>
          <w:tcPr>
            <w:tcW w:w="10964" w:type="dxa"/>
            <w:tcBorders>
              <w:top w:val="single" w:sz="4" w:space="0" w:color="auto"/>
              <w:left w:val="nil"/>
              <w:bottom w:val="single" w:sz="4" w:space="0" w:color="auto"/>
              <w:right w:val="single" w:sz="8" w:space="0" w:color="000000"/>
            </w:tcBorders>
            <w:noWrap/>
            <w:vAlign w:val="center"/>
          </w:tcPr>
          <w:p w14:paraId="24D65AEB" w14:textId="77777777" w:rsidR="00951A61" w:rsidRPr="00AB541D" w:rsidRDefault="00951A61" w:rsidP="00A4032F">
            <w:pPr>
              <w:rPr>
                <w:rFonts w:ascii="Tahoma" w:hAnsi="Tahoma" w:cs="Tahoma"/>
                <w:color w:val="000000"/>
                <w:sz w:val="20"/>
                <w:szCs w:val="20"/>
              </w:rPr>
            </w:pPr>
            <w:r w:rsidRPr="00AB541D">
              <w:rPr>
                <w:rFonts w:ascii="Tahoma" w:hAnsi="Tahoma" w:cs="Tahoma"/>
                <w:color w:val="000000"/>
                <w:sz w:val="20"/>
                <w:szCs w:val="20"/>
              </w:rPr>
              <w:t>Возможно увеличение суммы расходов Заемщика по сравнению с ожидаемой суммой расходов в рублях, в том числе при применении переменной процентной ставки. Изменение курса иностранной валюты в прошлом не свидетельствует об изменении ее курса в будущем. Имеются повышенные риски Заемщика, получающего доходы в вал</w:t>
            </w:r>
            <w:r>
              <w:rPr>
                <w:rFonts w:ascii="Tahoma" w:hAnsi="Tahoma" w:cs="Tahoma"/>
                <w:color w:val="000000"/>
                <w:sz w:val="20"/>
                <w:szCs w:val="20"/>
              </w:rPr>
              <w:t>юте, отличной от валюты Кредита</w:t>
            </w:r>
          </w:p>
        </w:tc>
      </w:tr>
      <w:tr w:rsidR="00951A61" w:rsidRPr="00AB541D" w14:paraId="41CEEDDE" w14:textId="77777777" w:rsidTr="00A4032F">
        <w:tblPrEx>
          <w:tblLook w:val="00A0" w:firstRow="1" w:lastRow="0" w:firstColumn="1" w:lastColumn="0" w:noHBand="0" w:noVBand="0"/>
        </w:tblPrEx>
        <w:trPr>
          <w:trHeight w:val="176"/>
        </w:trPr>
        <w:tc>
          <w:tcPr>
            <w:tcW w:w="4609" w:type="dxa"/>
            <w:tcBorders>
              <w:top w:val="single" w:sz="4" w:space="0" w:color="auto"/>
              <w:left w:val="single" w:sz="8" w:space="0" w:color="auto"/>
              <w:bottom w:val="single" w:sz="4" w:space="0" w:color="auto"/>
              <w:right w:val="single" w:sz="4" w:space="0" w:color="auto"/>
            </w:tcBorders>
            <w:vAlign w:val="center"/>
          </w:tcPr>
          <w:p w14:paraId="6C7FF1F3" w14:textId="77777777" w:rsidR="00951A61" w:rsidRPr="00AB541D" w:rsidRDefault="00951A61" w:rsidP="00A4032F">
            <w:pPr>
              <w:widowControl w:val="0"/>
              <w:tabs>
                <w:tab w:val="left" w:pos="426"/>
                <w:tab w:val="left" w:pos="851"/>
              </w:tabs>
              <w:jc w:val="center"/>
              <w:rPr>
                <w:rFonts w:ascii="Tahoma" w:hAnsi="Tahoma" w:cs="Tahoma"/>
                <w:b/>
                <w:color w:val="000000"/>
                <w:sz w:val="20"/>
                <w:szCs w:val="20"/>
              </w:rPr>
            </w:pPr>
            <w:r w:rsidRPr="00AB541D">
              <w:rPr>
                <w:rFonts w:ascii="Tahoma" w:hAnsi="Tahoma" w:cs="Tahoma"/>
                <w:b/>
                <w:sz w:val="20"/>
                <w:szCs w:val="20"/>
              </w:rPr>
              <w:t>Информация о возможности запрета уступки Кредитором третьим лицам прав (требований) по Кредитному договору</w:t>
            </w:r>
          </w:p>
        </w:tc>
        <w:tc>
          <w:tcPr>
            <w:tcW w:w="10964" w:type="dxa"/>
            <w:tcBorders>
              <w:top w:val="single" w:sz="4" w:space="0" w:color="auto"/>
              <w:left w:val="nil"/>
              <w:bottom w:val="single" w:sz="4" w:space="0" w:color="auto"/>
              <w:right w:val="single" w:sz="8" w:space="0" w:color="000000"/>
            </w:tcBorders>
            <w:noWrap/>
            <w:vAlign w:val="center"/>
          </w:tcPr>
          <w:p w14:paraId="0371DA43" w14:textId="77777777" w:rsidR="00951A61" w:rsidRPr="00244F6A" w:rsidRDefault="00951A61" w:rsidP="00A4032F">
            <w:pPr>
              <w:widowControl w:val="0"/>
              <w:tabs>
                <w:tab w:val="left" w:pos="426"/>
                <w:tab w:val="left" w:pos="851"/>
              </w:tabs>
              <w:rPr>
                <w:rFonts w:ascii="Tahoma" w:hAnsi="Tahoma" w:cs="Tahoma"/>
                <w:color w:val="000000"/>
                <w:sz w:val="18"/>
                <w:szCs w:val="18"/>
              </w:rPr>
            </w:pPr>
            <w:r w:rsidRPr="00244F6A">
              <w:rPr>
                <w:rFonts w:ascii="Tahoma" w:hAnsi="Tahoma" w:cs="Tahoma"/>
                <w:color w:val="000000"/>
                <w:sz w:val="18"/>
                <w:szCs w:val="18"/>
              </w:rPr>
              <w:t>В случае, если при выдаче ипотечного кредита право требования по Кредитному договору и право залога объекта недвижимости удостоверяются закладной, согласно п. 5 ст. 47 Федерального закона от 16.07.1998 N 102-ФЗ «Об ипотеке (залоге недвижимости)» (закон 102-ФЗ), уступка прав по договору об ипотеке или обеспеченному ипотекой обязательству не допускается. Согласно п. 4 ст. 48 закона 102-ФЗ Кредитор вправе передать права на закладную любым третьим лицам (согласие должника в данном случае не требуется). В случае, если при выдаче ипотечного кредита закладная не оформляется, Заемщик вправе запретить уступку Банком третьим лицам прав (тре</w:t>
            </w:r>
            <w:r>
              <w:rPr>
                <w:rFonts w:ascii="Tahoma" w:hAnsi="Tahoma" w:cs="Tahoma"/>
                <w:color w:val="000000"/>
                <w:sz w:val="18"/>
                <w:szCs w:val="18"/>
              </w:rPr>
              <w:t>бований) по Кредитному договору</w:t>
            </w:r>
          </w:p>
        </w:tc>
      </w:tr>
      <w:tr w:rsidR="00951A61" w:rsidRPr="00AB541D" w14:paraId="6A160D68" w14:textId="77777777" w:rsidTr="00A4032F">
        <w:tblPrEx>
          <w:tblLook w:val="00A0" w:firstRow="1" w:lastRow="0" w:firstColumn="1" w:lastColumn="0" w:noHBand="0" w:noVBand="0"/>
        </w:tblPrEx>
        <w:trPr>
          <w:trHeight w:val="176"/>
        </w:trPr>
        <w:tc>
          <w:tcPr>
            <w:tcW w:w="4609" w:type="dxa"/>
            <w:tcBorders>
              <w:top w:val="single" w:sz="4" w:space="0" w:color="auto"/>
              <w:left w:val="single" w:sz="8" w:space="0" w:color="auto"/>
              <w:bottom w:val="single" w:sz="4" w:space="0" w:color="auto"/>
              <w:right w:val="single" w:sz="4" w:space="0" w:color="auto"/>
            </w:tcBorders>
            <w:vAlign w:val="center"/>
          </w:tcPr>
          <w:p w14:paraId="3A8839F6" w14:textId="77777777" w:rsidR="00951A61" w:rsidRPr="00AB541D" w:rsidRDefault="00951A61" w:rsidP="00A4032F">
            <w:pPr>
              <w:widowControl w:val="0"/>
              <w:tabs>
                <w:tab w:val="left" w:pos="426"/>
                <w:tab w:val="left" w:pos="851"/>
              </w:tabs>
              <w:jc w:val="center"/>
              <w:rPr>
                <w:rFonts w:ascii="Tahoma" w:hAnsi="Tahoma" w:cs="Tahoma"/>
                <w:b/>
                <w:sz w:val="20"/>
                <w:szCs w:val="20"/>
              </w:rPr>
            </w:pPr>
            <w:r w:rsidRPr="00AB541D">
              <w:rPr>
                <w:rFonts w:ascii="Tahoma" w:hAnsi="Tahoma" w:cs="Tahoma"/>
                <w:b/>
                <w:sz w:val="20"/>
                <w:szCs w:val="20"/>
              </w:rPr>
              <w:t>Порядок предоставления Заемщиком информации об использовании ипотечного кредита</w:t>
            </w:r>
          </w:p>
        </w:tc>
        <w:tc>
          <w:tcPr>
            <w:tcW w:w="10964" w:type="dxa"/>
            <w:tcBorders>
              <w:top w:val="single" w:sz="4" w:space="0" w:color="auto"/>
              <w:left w:val="nil"/>
              <w:bottom w:val="single" w:sz="4" w:space="0" w:color="auto"/>
              <w:right w:val="single" w:sz="8" w:space="0" w:color="000000"/>
            </w:tcBorders>
            <w:noWrap/>
            <w:vAlign w:val="center"/>
          </w:tcPr>
          <w:p w14:paraId="172463D1" w14:textId="77777777" w:rsidR="00951A61" w:rsidRPr="00AB541D" w:rsidRDefault="00951A61" w:rsidP="00A4032F">
            <w:pPr>
              <w:widowControl w:val="0"/>
              <w:tabs>
                <w:tab w:val="left" w:pos="426"/>
                <w:tab w:val="left" w:pos="851"/>
              </w:tabs>
              <w:rPr>
                <w:rFonts w:ascii="Tahoma" w:hAnsi="Tahoma" w:cs="Tahoma"/>
                <w:sz w:val="20"/>
                <w:szCs w:val="20"/>
              </w:rPr>
            </w:pPr>
            <w:r w:rsidRPr="00AB541D">
              <w:rPr>
                <w:rFonts w:ascii="Tahoma" w:hAnsi="Tahoma" w:cs="Tahoma"/>
                <w:sz w:val="20"/>
                <w:szCs w:val="20"/>
              </w:rPr>
              <w:t xml:space="preserve">Заемщик обязан в сроки, установленные Кредитным договором, предоставить в Банк документы, подтверждающие целевое использование Кредита (документы об оплате приобретаемого Объекта недвижимости (Имущественных прав), оригинал прошедшего государственную регистрацию Договора долевого </w:t>
            </w:r>
            <w:r>
              <w:rPr>
                <w:rFonts w:ascii="Tahoma" w:hAnsi="Tahoma" w:cs="Tahoma"/>
                <w:sz w:val="20"/>
                <w:szCs w:val="20"/>
              </w:rPr>
              <w:t>участия в строительстве)</w:t>
            </w:r>
          </w:p>
        </w:tc>
      </w:tr>
      <w:tr w:rsidR="00951A61" w:rsidRPr="00AB541D" w14:paraId="5F5BBFA3" w14:textId="77777777" w:rsidTr="00A4032F">
        <w:tblPrEx>
          <w:tblLook w:val="00A0" w:firstRow="1" w:lastRow="0" w:firstColumn="1" w:lastColumn="0" w:noHBand="0" w:noVBand="0"/>
        </w:tblPrEx>
        <w:trPr>
          <w:trHeight w:val="176"/>
        </w:trPr>
        <w:tc>
          <w:tcPr>
            <w:tcW w:w="4609" w:type="dxa"/>
            <w:tcBorders>
              <w:top w:val="single" w:sz="4" w:space="0" w:color="auto"/>
              <w:left w:val="single" w:sz="8" w:space="0" w:color="auto"/>
              <w:bottom w:val="single" w:sz="4" w:space="0" w:color="auto"/>
              <w:right w:val="single" w:sz="4" w:space="0" w:color="auto"/>
            </w:tcBorders>
            <w:vAlign w:val="center"/>
          </w:tcPr>
          <w:p w14:paraId="6B0D4FBB" w14:textId="77777777" w:rsidR="00951A61" w:rsidRPr="00AB541D" w:rsidRDefault="00951A61" w:rsidP="00A4032F">
            <w:pPr>
              <w:widowControl w:val="0"/>
              <w:tabs>
                <w:tab w:val="left" w:pos="426"/>
                <w:tab w:val="left" w:pos="851"/>
              </w:tabs>
              <w:jc w:val="center"/>
              <w:rPr>
                <w:rFonts w:ascii="Tahoma" w:hAnsi="Tahoma" w:cs="Tahoma"/>
                <w:b/>
                <w:sz w:val="20"/>
                <w:szCs w:val="20"/>
              </w:rPr>
            </w:pPr>
            <w:r w:rsidRPr="00AB541D">
              <w:rPr>
                <w:rFonts w:ascii="Tahoma" w:hAnsi="Tahoma" w:cs="Tahoma"/>
                <w:b/>
                <w:sz w:val="20"/>
                <w:szCs w:val="20"/>
              </w:rPr>
              <w:t>Подсудность споров по искам Кредитора к Заемщику</w:t>
            </w:r>
          </w:p>
        </w:tc>
        <w:tc>
          <w:tcPr>
            <w:tcW w:w="10964" w:type="dxa"/>
            <w:tcBorders>
              <w:top w:val="single" w:sz="4" w:space="0" w:color="auto"/>
              <w:left w:val="nil"/>
              <w:bottom w:val="single" w:sz="4" w:space="0" w:color="auto"/>
              <w:right w:val="single" w:sz="8" w:space="0" w:color="000000"/>
            </w:tcBorders>
            <w:noWrap/>
            <w:vAlign w:val="center"/>
          </w:tcPr>
          <w:p w14:paraId="78B8A9EC" w14:textId="77777777" w:rsidR="00951A61" w:rsidRPr="00AB541D" w:rsidRDefault="00951A61" w:rsidP="00A4032F">
            <w:pPr>
              <w:widowControl w:val="0"/>
              <w:tabs>
                <w:tab w:val="left" w:pos="426"/>
                <w:tab w:val="left" w:pos="851"/>
              </w:tabs>
              <w:rPr>
                <w:rFonts w:ascii="Tahoma" w:hAnsi="Tahoma" w:cs="Tahoma"/>
                <w:sz w:val="20"/>
                <w:szCs w:val="20"/>
              </w:rPr>
            </w:pPr>
            <w:r w:rsidRPr="00AB541D">
              <w:rPr>
                <w:rFonts w:ascii="Tahoma" w:hAnsi="Tahoma" w:cs="Tahoma"/>
                <w:sz w:val="20"/>
                <w:szCs w:val="20"/>
              </w:rPr>
              <w:t>Неурегулированные споры по искам Банка к Заемщику разрешаются в суде по месту заключения Договора. Конкретный суд по соглашению Сторон у</w:t>
            </w:r>
            <w:r>
              <w:rPr>
                <w:rFonts w:ascii="Tahoma" w:hAnsi="Tahoma" w:cs="Tahoma"/>
                <w:sz w:val="20"/>
                <w:szCs w:val="20"/>
              </w:rPr>
              <w:t>казывается в Кредитном договоре</w:t>
            </w:r>
          </w:p>
        </w:tc>
      </w:tr>
      <w:tr w:rsidR="00951A61" w:rsidRPr="00AB541D" w14:paraId="2C3C2B42" w14:textId="77777777" w:rsidTr="00A4032F">
        <w:tblPrEx>
          <w:tblLook w:val="00A0" w:firstRow="1" w:lastRow="0" w:firstColumn="1" w:lastColumn="0" w:noHBand="0" w:noVBand="0"/>
        </w:tblPrEx>
        <w:trPr>
          <w:trHeight w:val="176"/>
        </w:trPr>
        <w:tc>
          <w:tcPr>
            <w:tcW w:w="4609" w:type="dxa"/>
            <w:tcBorders>
              <w:top w:val="single" w:sz="4" w:space="0" w:color="auto"/>
              <w:left w:val="single" w:sz="8" w:space="0" w:color="auto"/>
              <w:bottom w:val="single" w:sz="4" w:space="0" w:color="auto"/>
              <w:right w:val="single" w:sz="4" w:space="0" w:color="auto"/>
            </w:tcBorders>
            <w:vAlign w:val="center"/>
          </w:tcPr>
          <w:p w14:paraId="5DD3C8A0" w14:textId="77777777" w:rsidR="00951A61" w:rsidRPr="00AB541D" w:rsidRDefault="00951A61" w:rsidP="00A4032F">
            <w:pPr>
              <w:widowControl w:val="0"/>
              <w:tabs>
                <w:tab w:val="left" w:pos="426"/>
                <w:tab w:val="left" w:pos="851"/>
              </w:tabs>
              <w:jc w:val="center"/>
              <w:rPr>
                <w:rFonts w:ascii="Tahoma" w:hAnsi="Tahoma" w:cs="Tahoma"/>
                <w:b/>
                <w:sz w:val="20"/>
                <w:szCs w:val="20"/>
              </w:rPr>
            </w:pPr>
            <w:r w:rsidRPr="00AB541D">
              <w:rPr>
                <w:rFonts w:ascii="Tahoma" w:hAnsi="Tahoma" w:cs="Tahoma"/>
                <w:b/>
                <w:sz w:val="20"/>
                <w:szCs w:val="20"/>
              </w:rPr>
              <w:t>Формуляры или иные стандартные формы, в которых определены общие условия Кредитного договора</w:t>
            </w:r>
          </w:p>
        </w:tc>
        <w:tc>
          <w:tcPr>
            <w:tcW w:w="10964" w:type="dxa"/>
            <w:tcBorders>
              <w:top w:val="single" w:sz="4" w:space="0" w:color="auto"/>
              <w:left w:val="nil"/>
              <w:bottom w:val="single" w:sz="4" w:space="0" w:color="auto"/>
              <w:right w:val="single" w:sz="8" w:space="0" w:color="000000"/>
            </w:tcBorders>
            <w:noWrap/>
            <w:vAlign w:val="center"/>
          </w:tcPr>
          <w:p w14:paraId="20C477FF" w14:textId="77777777" w:rsidR="00951A61" w:rsidRPr="00AB541D" w:rsidRDefault="00951A61" w:rsidP="00A4032F">
            <w:pPr>
              <w:widowControl w:val="0"/>
              <w:tabs>
                <w:tab w:val="left" w:pos="426"/>
                <w:tab w:val="left" w:pos="851"/>
              </w:tabs>
              <w:rPr>
                <w:rFonts w:ascii="Tahoma" w:hAnsi="Tahoma" w:cs="Tahoma"/>
                <w:sz w:val="20"/>
                <w:szCs w:val="20"/>
              </w:rPr>
            </w:pPr>
            <w:r w:rsidRPr="00AB541D">
              <w:rPr>
                <w:rFonts w:ascii="Tahoma" w:hAnsi="Tahoma" w:cs="Tahoma"/>
                <w:sz w:val="20"/>
                <w:szCs w:val="20"/>
              </w:rPr>
              <w:t>Кредитный договор</w:t>
            </w:r>
          </w:p>
        </w:tc>
      </w:tr>
      <w:tr w:rsidR="00951A61" w:rsidRPr="00AB541D" w14:paraId="31B14DCB" w14:textId="77777777" w:rsidTr="00A4032F">
        <w:tblPrEx>
          <w:tblLook w:val="00A0" w:firstRow="1" w:lastRow="0" w:firstColumn="1" w:lastColumn="0" w:noHBand="0" w:noVBand="0"/>
        </w:tblPrEx>
        <w:trPr>
          <w:trHeight w:val="176"/>
        </w:trPr>
        <w:tc>
          <w:tcPr>
            <w:tcW w:w="4609" w:type="dxa"/>
            <w:tcBorders>
              <w:top w:val="single" w:sz="4" w:space="0" w:color="auto"/>
              <w:left w:val="single" w:sz="8" w:space="0" w:color="auto"/>
              <w:bottom w:val="single" w:sz="4" w:space="0" w:color="auto"/>
              <w:right w:val="single" w:sz="4" w:space="0" w:color="auto"/>
            </w:tcBorders>
            <w:vAlign w:val="center"/>
          </w:tcPr>
          <w:p w14:paraId="1B54509B" w14:textId="77777777" w:rsidR="00951A61" w:rsidRPr="00AB541D" w:rsidRDefault="00951A61" w:rsidP="00A4032F">
            <w:pPr>
              <w:ind w:right="-107"/>
              <w:jc w:val="center"/>
              <w:rPr>
                <w:rFonts w:ascii="Tahoma" w:hAnsi="Tahoma" w:cs="Tahoma"/>
                <w:b/>
                <w:bCs/>
                <w:color w:val="000000" w:themeColor="text1"/>
                <w:sz w:val="20"/>
                <w:szCs w:val="20"/>
              </w:rPr>
            </w:pPr>
            <w:r w:rsidRPr="00AB541D">
              <w:rPr>
                <w:rFonts w:ascii="Tahoma" w:hAnsi="Tahoma" w:cs="Tahoma"/>
                <w:b/>
                <w:bCs/>
                <w:color w:val="000000" w:themeColor="text1"/>
                <w:sz w:val="20"/>
                <w:szCs w:val="20"/>
              </w:rPr>
              <w:lastRenderedPageBreak/>
              <w:t>Срок действия решения о предоставлении Кредита</w:t>
            </w:r>
          </w:p>
        </w:tc>
        <w:tc>
          <w:tcPr>
            <w:tcW w:w="10964" w:type="dxa"/>
            <w:tcBorders>
              <w:top w:val="single" w:sz="4" w:space="0" w:color="auto"/>
              <w:left w:val="nil"/>
              <w:bottom w:val="single" w:sz="4" w:space="0" w:color="auto"/>
              <w:right w:val="single" w:sz="8" w:space="0" w:color="000000"/>
            </w:tcBorders>
            <w:shd w:val="clear" w:color="auto" w:fill="auto"/>
            <w:noWrap/>
            <w:vAlign w:val="center"/>
          </w:tcPr>
          <w:p w14:paraId="0CA504AE" w14:textId="77777777" w:rsidR="00951A61" w:rsidRPr="00AB541D" w:rsidRDefault="00951A61" w:rsidP="00A4032F">
            <w:pPr>
              <w:rPr>
                <w:rFonts w:ascii="Tahoma" w:hAnsi="Tahoma" w:cs="Tahoma"/>
                <w:bCs/>
                <w:color w:val="000000" w:themeColor="text1"/>
                <w:sz w:val="20"/>
                <w:szCs w:val="20"/>
              </w:rPr>
            </w:pPr>
            <w:r w:rsidRPr="00171646">
              <w:rPr>
                <w:rFonts w:ascii="Tahoma" w:hAnsi="Tahoma" w:cs="Tahoma"/>
                <w:bCs/>
                <w:color w:val="000000" w:themeColor="text1"/>
                <w:sz w:val="20"/>
                <w:szCs w:val="20"/>
              </w:rPr>
              <w:t>90 календарных дней</w:t>
            </w:r>
          </w:p>
        </w:tc>
      </w:tr>
    </w:tbl>
    <w:p w14:paraId="7A0242A1" w14:textId="77777777" w:rsidR="00951A61" w:rsidRDefault="00951A61" w:rsidP="00951A61">
      <w:pPr>
        <w:jc w:val="right"/>
        <w:rPr>
          <w:rFonts w:ascii="Tahoma" w:hAnsi="Tahoma" w:cs="Tahoma"/>
          <w:sz w:val="18"/>
          <w:szCs w:val="20"/>
        </w:rPr>
      </w:pPr>
    </w:p>
    <w:p w14:paraId="43C30B2E" w14:textId="77777777" w:rsidR="00951A61" w:rsidRDefault="00951A61" w:rsidP="00951A61">
      <w:pPr>
        <w:jc w:val="right"/>
        <w:rPr>
          <w:rFonts w:ascii="Tahoma" w:hAnsi="Tahoma" w:cs="Tahoma"/>
          <w:sz w:val="18"/>
          <w:szCs w:val="20"/>
        </w:rPr>
      </w:pPr>
    </w:p>
    <w:p w14:paraId="2C90C4BF" w14:textId="77777777" w:rsidR="00951A61" w:rsidRDefault="00951A61" w:rsidP="00951A61">
      <w:pPr>
        <w:jc w:val="right"/>
        <w:rPr>
          <w:rFonts w:ascii="Tahoma" w:hAnsi="Tahoma" w:cs="Tahoma"/>
          <w:sz w:val="18"/>
          <w:szCs w:val="20"/>
        </w:rPr>
      </w:pPr>
    </w:p>
    <w:p w14:paraId="48D88F7B" w14:textId="77777777" w:rsidR="00951A61" w:rsidRDefault="00951A61" w:rsidP="00951A61">
      <w:pPr>
        <w:jc w:val="right"/>
        <w:rPr>
          <w:rFonts w:ascii="Tahoma" w:hAnsi="Tahoma" w:cs="Tahoma"/>
          <w:sz w:val="18"/>
          <w:szCs w:val="20"/>
        </w:rPr>
      </w:pPr>
    </w:p>
    <w:p w14:paraId="37052F16" w14:textId="77777777" w:rsidR="00951A61" w:rsidRDefault="00951A61" w:rsidP="00951A61">
      <w:pPr>
        <w:jc w:val="right"/>
        <w:rPr>
          <w:rFonts w:ascii="Tahoma" w:hAnsi="Tahoma" w:cs="Tahoma"/>
          <w:sz w:val="18"/>
          <w:szCs w:val="20"/>
        </w:rPr>
      </w:pPr>
    </w:p>
    <w:p w14:paraId="5CEC2AD1" w14:textId="77777777" w:rsidR="00951A61" w:rsidRPr="008656B8" w:rsidRDefault="00951A61" w:rsidP="00951A61">
      <w:pPr>
        <w:jc w:val="right"/>
        <w:rPr>
          <w:rFonts w:ascii="Tahoma" w:hAnsi="Tahoma" w:cs="Tahoma"/>
          <w:sz w:val="18"/>
          <w:szCs w:val="20"/>
        </w:rPr>
      </w:pPr>
      <w:r w:rsidRPr="008656B8">
        <w:rPr>
          <w:rFonts w:ascii="Tahoma" w:hAnsi="Tahoma" w:cs="Tahoma"/>
          <w:sz w:val="18"/>
          <w:szCs w:val="20"/>
        </w:rPr>
        <w:t>Приложение №1</w:t>
      </w:r>
    </w:p>
    <w:p w14:paraId="6B338D3B" w14:textId="77777777" w:rsidR="00951A61" w:rsidRPr="008656B8" w:rsidRDefault="00951A61" w:rsidP="00951A61">
      <w:pPr>
        <w:jc w:val="right"/>
        <w:rPr>
          <w:rFonts w:ascii="Tahoma" w:hAnsi="Tahoma" w:cs="Tahoma"/>
          <w:noProof/>
          <w:sz w:val="18"/>
          <w:szCs w:val="20"/>
        </w:rPr>
      </w:pPr>
      <w:r w:rsidRPr="008656B8">
        <w:rPr>
          <w:rFonts w:ascii="Tahoma" w:hAnsi="Tahoma" w:cs="Tahoma"/>
          <w:noProof/>
          <w:sz w:val="18"/>
          <w:szCs w:val="20"/>
        </w:rPr>
        <w:t xml:space="preserve">к основным условиях предоставления, использования и возврата </w:t>
      </w:r>
    </w:p>
    <w:p w14:paraId="33BE138F" w14:textId="77777777" w:rsidR="00951A61" w:rsidRPr="008656B8" w:rsidRDefault="00951A61" w:rsidP="00951A61">
      <w:pPr>
        <w:jc w:val="right"/>
        <w:rPr>
          <w:rFonts w:ascii="Tahoma" w:hAnsi="Tahoma" w:cs="Tahoma"/>
          <w:sz w:val="18"/>
          <w:szCs w:val="20"/>
        </w:rPr>
      </w:pPr>
      <w:r w:rsidRPr="008656B8">
        <w:rPr>
          <w:rFonts w:ascii="Tahoma" w:hAnsi="Tahoma" w:cs="Tahoma"/>
          <w:noProof/>
          <w:sz w:val="18"/>
          <w:szCs w:val="20"/>
        </w:rPr>
        <w:t>ипотечного кредита по тарифному плану «Строящееся жилье»</w:t>
      </w:r>
    </w:p>
    <w:p w14:paraId="1E0129FF" w14:textId="77777777" w:rsidR="00951A61" w:rsidRPr="00AB541D" w:rsidRDefault="00951A61" w:rsidP="00951A61">
      <w:pPr>
        <w:jc w:val="center"/>
        <w:rPr>
          <w:rFonts w:ascii="Tahoma" w:hAnsi="Tahoma" w:cs="Tahoma"/>
          <w:b/>
          <w:sz w:val="20"/>
          <w:szCs w:val="20"/>
        </w:rPr>
      </w:pPr>
    </w:p>
    <w:p w14:paraId="2DB4D555" w14:textId="77777777" w:rsidR="00951A61" w:rsidRPr="00AB541D" w:rsidRDefault="00951A61" w:rsidP="00951A61">
      <w:pPr>
        <w:jc w:val="center"/>
        <w:rPr>
          <w:rFonts w:ascii="Tahoma" w:hAnsi="Tahoma" w:cs="Tahoma"/>
          <w:b/>
          <w:sz w:val="20"/>
          <w:szCs w:val="20"/>
        </w:rPr>
      </w:pPr>
      <w:r w:rsidRPr="00AB541D">
        <w:rPr>
          <w:rFonts w:ascii="Tahoma" w:hAnsi="Tahoma" w:cs="Tahoma"/>
          <w:b/>
          <w:sz w:val="20"/>
          <w:szCs w:val="20"/>
        </w:rPr>
        <w:t xml:space="preserve">ПОРЯДОК ФОРМИРОВАНИЯ ПРОЦЕНТНЫХ СТАВОК ПО ИПОТЕЧНОМУ КРЕДИТУ ПО ТАРИФНОМУ ПЛАНУ </w:t>
      </w:r>
    </w:p>
    <w:p w14:paraId="0D68F27A" w14:textId="77777777" w:rsidR="00951A61" w:rsidRPr="00AB541D" w:rsidRDefault="00951A61" w:rsidP="00951A61">
      <w:pPr>
        <w:jc w:val="center"/>
        <w:rPr>
          <w:rFonts w:ascii="Tahoma" w:hAnsi="Tahoma" w:cs="Tahoma"/>
          <w:b/>
          <w:sz w:val="20"/>
          <w:szCs w:val="20"/>
        </w:rPr>
      </w:pPr>
      <w:r w:rsidRPr="00AB541D">
        <w:rPr>
          <w:rFonts w:ascii="Tahoma" w:hAnsi="Tahoma" w:cs="Tahoma"/>
          <w:b/>
          <w:sz w:val="20"/>
          <w:szCs w:val="20"/>
        </w:rPr>
        <w:t>«СТРОЯЩЕЕСЯ ЖИЛЬЁ»</w:t>
      </w:r>
    </w:p>
    <w:p w14:paraId="0E2AE892" w14:textId="77777777" w:rsidR="00951A61" w:rsidRPr="00AB541D" w:rsidRDefault="00951A61" w:rsidP="00951A61">
      <w:pPr>
        <w:jc w:val="center"/>
        <w:rPr>
          <w:rFonts w:ascii="Tahoma" w:hAnsi="Tahoma" w:cs="Tahoma"/>
          <w:b/>
          <w:sz w:val="20"/>
          <w:szCs w:val="20"/>
        </w:rPr>
      </w:pPr>
    </w:p>
    <w:p w14:paraId="1F28F000" w14:textId="77777777" w:rsidR="00951A61" w:rsidRDefault="00951A61" w:rsidP="00951A61">
      <w:pPr>
        <w:pStyle w:val="affe"/>
        <w:numPr>
          <w:ilvl w:val="0"/>
          <w:numId w:val="65"/>
        </w:numPr>
        <w:suppressAutoHyphens/>
        <w:ind w:right="23"/>
        <w:contextualSpacing/>
        <w:jc w:val="both"/>
        <w:rPr>
          <w:rFonts w:ascii="Tahoma" w:hAnsi="Tahoma" w:cs="Tahoma"/>
          <w:sz w:val="20"/>
          <w:szCs w:val="20"/>
        </w:rPr>
      </w:pPr>
      <w:r w:rsidRPr="00AB541D">
        <w:rPr>
          <w:rFonts w:ascii="Tahoma" w:hAnsi="Tahoma" w:cs="Tahoma"/>
          <w:sz w:val="20"/>
          <w:szCs w:val="20"/>
        </w:rPr>
        <w:t>Базовая процентная ставка (</w:t>
      </w:r>
      <w:r w:rsidRPr="008A5478">
        <w:rPr>
          <w:rFonts w:ascii="Tahoma" w:hAnsi="Tahoma" w:cs="Tahoma"/>
          <w:sz w:val="20"/>
          <w:szCs w:val="20"/>
        </w:rPr>
        <w:t xml:space="preserve">в % годовых) по тарифному плану «Строящееся жилье»: </w:t>
      </w:r>
    </w:p>
    <w:p w14:paraId="008BE401" w14:textId="77777777" w:rsidR="00951A61" w:rsidRPr="008A5478" w:rsidRDefault="00951A61" w:rsidP="00951A61">
      <w:pPr>
        <w:pStyle w:val="affe"/>
        <w:suppressAutoHyphens/>
        <w:ind w:right="23"/>
        <w:rPr>
          <w:rFonts w:ascii="Tahoma" w:hAnsi="Tahoma" w:cs="Tahoma"/>
          <w:sz w:val="20"/>
          <w:szCs w:val="20"/>
        </w:rPr>
      </w:pPr>
    </w:p>
    <w:tbl>
      <w:tblPr>
        <w:tblStyle w:val="1c"/>
        <w:tblW w:w="14742" w:type="dxa"/>
        <w:tblInd w:w="392" w:type="dxa"/>
        <w:tblLayout w:type="fixed"/>
        <w:tblLook w:val="04A0" w:firstRow="1" w:lastRow="0" w:firstColumn="1" w:lastColumn="0" w:noHBand="0" w:noVBand="1"/>
      </w:tblPr>
      <w:tblGrid>
        <w:gridCol w:w="7371"/>
        <w:gridCol w:w="7371"/>
      </w:tblGrid>
      <w:tr w:rsidR="00951A61" w:rsidRPr="008A5478" w14:paraId="6F4439E7" w14:textId="77777777" w:rsidTr="00A4032F">
        <w:trPr>
          <w:trHeight w:val="226"/>
        </w:trPr>
        <w:tc>
          <w:tcPr>
            <w:tcW w:w="7371" w:type="dxa"/>
          </w:tcPr>
          <w:p w14:paraId="11B6B017" w14:textId="77777777" w:rsidR="00951A61" w:rsidRPr="008A5478" w:rsidRDefault="00951A61" w:rsidP="00A4032F">
            <w:pPr>
              <w:pStyle w:val="affe"/>
              <w:tabs>
                <w:tab w:val="left" w:pos="280"/>
              </w:tabs>
              <w:ind w:left="33"/>
              <w:jc w:val="center"/>
              <w:rPr>
                <w:rFonts w:ascii="Tahoma" w:eastAsia="Times New Roman" w:hAnsi="Tahoma" w:cs="Tahoma"/>
                <w:b/>
                <w:sz w:val="20"/>
                <w:szCs w:val="20"/>
                <w:lang w:eastAsia="ru-RU"/>
              </w:rPr>
            </w:pPr>
            <w:r w:rsidRPr="008A5478">
              <w:rPr>
                <w:rFonts w:ascii="Tahoma" w:eastAsia="Times New Roman" w:hAnsi="Tahoma" w:cs="Tahoma"/>
                <w:b/>
                <w:sz w:val="20"/>
                <w:szCs w:val="20"/>
                <w:lang w:eastAsia="ru-RU"/>
              </w:rPr>
              <w:t>Квартира/Апартаменты</w:t>
            </w:r>
          </w:p>
        </w:tc>
        <w:tc>
          <w:tcPr>
            <w:tcW w:w="7371" w:type="dxa"/>
          </w:tcPr>
          <w:p w14:paraId="288E1EE7" w14:textId="77777777" w:rsidR="00951A61" w:rsidRPr="008A5478" w:rsidRDefault="00951A61" w:rsidP="00A4032F">
            <w:pPr>
              <w:pStyle w:val="affe"/>
              <w:tabs>
                <w:tab w:val="left" w:pos="280"/>
              </w:tabs>
              <w:ind w:left="33"/>
              <w:jc w:val="center"/>
              <w:rPr>
                <w:rFonts w:ascii="Tahoma" w:eastAsia="Times New Roman" w:hAnsi="Tahoma" w:cs="Tahoma"/>
                <w:b/>
                <w:sz w:val="20"/>
                <w:szCs w:val="20"/>
                <w:lang w:eastAsia="ru-RU"/>
              </w:rPr>
            </w:pPr>
            <w:r w:rsidRPr="008A5478">
              <w:rPr>
                <w:rFonts w:ascii="Tahoma" w:eastAsia="Times New Roman" w:hAnsi="Tahoma" w:cs="Tahoma"/>
                <w:b/>
                <w:sz w:val="20"/>
                <w:szCs w:val="20"/>
                <w:lang w:eastAsia="ru-RU"/>
              </w:rPr>
              <w:t>Таунхаус</w:t>
            </w:r>
          </w:p>
        </w:tc>
      </w:tr>
      <w:tr w:rsidR="00951A61" w:rsidRPr="008A5478" w14:paraId="4ADB778D" w14:textId="77777777" w:rsidTr="00A4032F">
        <w:trPr>
          <w:trHeight w:val="302"/>
        </w:trPr>
        <w:tc>
          <w:tcPr>
            <w:tcW w:w="14742" w:type="dxa"/>
            <w:gridSpan w:val="2"/>
          </w:tcPr>
          <w:p w14:paraId="276E3B08" w14:textId="77777777" w:rsidR="00951A61" w:rsidRPr="008A5478" w:rsidRDefault="00951A61" w:rsidP="00A4032F">
            <w:pPr>
              <w:pStyle w:val="affe"/>
              <w:tabs>
                <w:tab w:val="left" w:pos="280"/>
              </w:tabs>
              <w:ind w:left="33"/>
              <w:jc w:val="center"/>
              <w:rPr>
                <w:rFonts w:ascii="Tahoma" w:eastAsia="Times New Roman" w:hAnsi="Tahoma" w:cs="Tahoma"/>
                <w:sz w:val="20"/>
                <w:szCs w:val="20"/>
                <w:lang w:eastAsia="ru-RU"/>
              </w:rPr>
            </w:pPr>
            <w:r w:rsidRPr="008A5478">
              <w:rPr>
                <w:rFonts w:ascii="Tahoma" w:eastAsia="Times New Roman" w:hAnsi="Tahoma" w:cs="Tahoma"/>
                <w:sz w:val="20"/>
                <w:szCs w:val="20"/>
                <w:lang w:eastAsia="ru-RU"/>
              </w:rPr>
              <w:t xml:space="preserve">Физические лица, подтверждающие доход Выпиской из </w:t>
            </w:r>
            <w:r w:rsidRPr="007108E6">
              <w:rPr>
                <w:rFonts w:ascii="Tahoma" w:eastAsia="Times New Roman" w:hAnsi="Tahoma" w:cs="Tahoma"/>
                <w:sz w:val="20"/>
                <w:szCs w:val="20"/>
                <w:lang w:eastAsia="ru-RU"/>
              </w:rPr>
              <w:t>ПФР</w:t>
            </w:r>
            <w:r w:rsidRPr="007108E6">
              <w:rPr>
                <w:rStyle w:val="aff3"/>
                <w:rFonts w:ascii="Tahoma" w:eastAsia="Times New Roman" w:hAnsi="Tahoma" w:cs="Tahoma"/>
                <w:sz w:val="20"/>
                <w:szCs w:val="20"/>
                <w:lang w:eastAsia="ru-RU"/>
              </w:rPr>
              <w:footnoteReference w:id="52"/>
            </w:r>
            <w:r w:rsidRPr="007108E6">
              <w:rPr>
                <w:rFonts w:ascii="Tahoma" w:eastAsia="Times New Roman" w:hAnsi="Tahoma" w:cs="Tahoma"/>
                <w:sz w:val="20"/>
                <w:szCs w:val="20"/>
                <w:lang w:eastAsia="ru-RU"/>
              </w:rPr>
              <w:t>, а так</w:t>
            </w:r>
            <w:r w:rsidRPr="008A5478">
              <w:rPr>
                <w:rFonts w:ascii="Tahoma" w:eastAsia="Times New Roman" w:hAnsi="Tahoma" w:cs="Tahoma"/>
                <w:sz w:val="20"/>
                <w:szCs w:val="20"/>
                <w:lang w:eastAsia="ru-RU"/>
              </w:rPr>
              <w:t xml:space="preserve"> же зарплатные клиенты Банка</w:t>
            </w:r>
          </w:p>
        </w:tc>
      </w:tr>
      <w:tr w:rsidR="00951A61" w:rsidRPr="008A5478" w14:paraId="7EDF52F9" w14:textId="77777777" w:rsidTr="00A4032F">
        <w:trPr>
          <w:trHeight w:val="384"/>
        </w:trPr>
        <w:tc>
          <w:tcPr>
            <w:tcW w:w="7371" w:type="dxa"/>
            <w:vAlign w:val="center"/>
          </w:tcPr>
          <w:p w14:paraId="6086274D" w14:textId="77777777" w:rsidR="00951A61" w:rsidRPr="008A5478" w:rsidRDefault="00951A61" w:rsidP="00A4032F">
            <w:pPr>
              <w:pStyle w:val="affe"/>
              <w:tabs>
                <w:tab w:val="left" w:pos="280"/>
              </w:tabs>
              <w:ind w:left="33"/>
              <w:jc w:val="center"/>
              <w:rPr>
                <w:rFonts w:ascii="Tahoma" w:eastAsia="Times New Roman" w:hAnsi="Tahoma" w:cs="Tahoma"/>
                <w:sz w:val="20"/>
                <w:szCs w:val="20"/>
                <w:lang w:eastAsia="ru-RU"/>
              </w:rPr>
            </w:pPr>
            <w:r w:rsidRPr="008A5478">
              <w:rPr>
                <w:rFonts w:ascii="Tahoma" w:eastAsia="Times New Roman" w:hAnsi="Tahoma" w:cs="Tahoma"/>
                <w:sz w:val="20"/>
                <w:szCs w:val="20"/>
                <w:lang w:eastAsia="ru-RU"/>
              </w:rPr>
              <w:t>21,5%</w:t>
            </w:r>
          </w:p>
        </w:tc>
        <w:tc>
          <w:tcPr>
            <w:tcW w:w="7371" w:type="dxa"/>
            <w:vAlign w:val="center"/>
          </w:tcPr>
          <w:p w14:paraId="159E8EF7" w14:textId="77777777" w:rsidR="00951A61" w:rsidRPr="008A5478" w:rsidRDefault="00951A61" w:rsidP="00A4032F">
            <w:pPr>
              <w:pStyle w:val="affe"/>
              <w:tabs>
                <w:tab w:val="left" w:pos="280"/>
              </w:tabs>
              <w:ind w:left="33"/>
              <w:jc w:val="center"/>
              <w:rPr>
                <w:rFonts w:ascii="Tahoma" w:eastAsia="Times New Roman" w:hAnsi="Tahoma" w:cs="Tahoma"/>
                <w:sz w:val="20"/>
                <w:szCs w:val="20"/>
                <w:lang w:eastAsia="ru-RU"/>
              </w:rPr>
            </w:pPr>
            <w:r w:rsidRPr="008A5478">
              <w:rPr>
                <w:rFonts w:ascii="Tahoma" w:eastAsia="Times New Roman" w:hAnsi="Tahoma" w:cs="Tahoma"/>
                <w:sz w:val="20"/>
                <w:szCs w:val="20"/>
                <w:lang w:eastAsia="ru-RU"/>
              </w:rPr>
              <w:t>22,5%</w:t>
            </w:r>
          </w:p>
        </w:tc>
      </w:tr>
      <w:tr w:rsidR="00951A61" w:rsidRPr="008A5478" w14:paraId="1DE12625" w14:textId="77777777" w:rsidTr="00A4032F">
        <w:trPr>
          <w:trHeight w:val="384"/>
        </w:trPr>
        <w:tc>
          <w:tcPr>
            <w:tcW w:w="14742" w:type="dxa"/>
            <w:gridSpan w:val="2"/>
            <w:vAlign w:val="center"/>
          </w:tcPr>
          <w:p w14:paraId="587F11F7" w14:textId="77777777" w:rsidR="00951A61" w:rsidRPr="008A5478" w:rsidRDefault="00951A61" w:rsidP="00A4032F">
            <w:pPr>
              <w:pStyle w:val="affe"/>
              <w:tabs>
                <w:tab w:val="left" w:pos="280"/>
              </w:tabs>
              <w:ind w:left="33"/>
              <w:jc w:val="center"/>
              <w:rPr>
                <w:rFonts w:ascii="Tahoma" w:eastAsia="Times New Roman" w:hAnsi="Tahoma" w:cs="Tahoma"/>
                <w:sz w:val="20"/>
                <w:szCs w:val="20"/>
                <w:lang w:val="en-US" w:eastAsia="ru-RU"/>
              </w:rPr>
            </w:pPr>
            <w:r w:rsidRPr="008A5478">
              <w:rPr>
                <w:rFonts w:ascii="Tahoma" w:eastAsia="Times New Roman" w:hAnsi="Tahoma" w:cs="Tahoma"/>
                <w:sz w:val="20"/>
                <w:szCs w:val="20"/>
                <w:lang w:eastAsia="ru-RU"/>
              </w:rPr>
              <w:t>Физические лица</w:t>
            </w:r>
          </w:p>
        </w:tc>
      </w:tr>
      <w:tr w:rsidR="00951A61" w:rsidRPr="00AB541D" w14:paraId="07DDCB13" w14:textId="77777777" w:rsidTr="00A4032F">
        <w:trPr>
          <w:trHeight w:val="384"/>
        </w:trPr>
        <w:tc>
          <w:tcPr>
            <w:tcW w:w="7371" w:type="dxa"/>
            <w:vAlign w:val="center"/>
          </w:tcPr>
          <w:p w14:paraId="6181251E" w14:textId="77777777" w:rsidR="00951A61" w:rsidRPr="008A5478" w:rsidRDefault="00951A61" w:rsidP="00A4032F">
            <w:pPr>
              <w:pStyle w:val="affe"/>
              <w:tabs>
                <w:tab w:val="left" w:pos="280"/>
              </w:tabs>
              <w:ind w:left="33"/>
              <w:jc w:val="center"/>
              <w:rPr>
                <w:rFonts w:ascii="Tahoma" w:eastAsia="Times New Roman" w:hAnsi="Tahoma" w:cs="Tahoma"/>
                <w:sz w:val="20"/>
                <w:szCs w:val="20"/>
                <w:lang w:val="en-US" w:eastAsia="ru-RU"/>
              </w:rPr>
            </w:pPr>
            <w:r w:rsidRPr="008A5478">
              <w:rPr>
                <w:rFonts w:ascii="Tahoma" w:eastAsia="Times New Roman" w:hAnsi="Tahoma" w:cs="Tahoma"/>
                <w:sz w:val="20"/>
                <w:szCs w:val="20"/>
                <w:lang w:eastAsia="ru-RU"/>
              </w:rPr>
              <w:t>22,5%</w:t>
            </w:r>
          </w:p>
        </w:tc>
        <w:tc>
          <w:tcPr>
            <w:tcW w:w="7371" w:type="dxa"/>
            <w:vAlign w:val="center"/>
          </w:tcPr>
          <w:p w14:paraId="3279DB46" w14:textId="77777777" w:rsidR="00951A61" w:rsidRPr="008A5478" w:rsidRDefault="00951A61" w:rsidP="00A4032F">
            <w:pPr>
              <w:pStyle w:val="affe"/>
              <w:tabs>
                <w:tab w:val="left" w:pos="280"/>
              </w:tabs>
              <w:ind w:left="33"/>
              <w:jc w:val="center"/>
              <w:rPr>
                <w:rFonts w:ascii="Tahoma" w:eastAsia="Times New Roman" w:hAnsi="Tahoma" w:cs="Tahoma"/>
                <w:sz w:val="20"/>
                <w:szCs w:val="20"/>
                <w:lang w:val="en-US" w:eastAsia="ru-RU"/>
              </w:rPr>
            </w:pPr>
            <w:r w:rsidRPr="008A5478">
              <w:rPr>
                <w:rFonts w:ascii="Tahoma" w:eastAsia="Times New Roman" w:hAnsi="Tahoma" w:cs="Tahoma"/>
                <w:sz w:val="20"/>
                <w:szCs w:val="20"/>
                <w:lang w:eastAsia="ru-RU"/>
              </w:rPr>
              <w:t>23,5%</w:t>
            </w:r>
          </w:p>
        </w:tc>
      </w:tr>
    </w:tbl>
    <w:p w14:paraId="62C445AF" w14:textId="77777777" w:rsidR="00951A61" w:rsidRDefault="00951A61" w:rsidP="00951A61">
      <w:pPr>
        <w:pStyle w:val="affe"/>
        <w:spacing w:after="120"/>
        <w:rPr>
          <w:rFonts w:ascii="Tahoma" w:hAnsi="Tahoma" w:cs="Tahoma"/>
          <w:sz w:val="20"/>
          <w:szCs w:val="20"/>
        </w:rPr>
      </w:pPr>
    </w:p>
    <w:p w14:paraId="1EB223BE" w14:textId="77777777" w:rsidR="00951A61" w:rsidRDefault="00951A61" w:rsidP="00951A61">
      <w:pPr>
        <w:pStyle w:val="affe"/>
        <w:numPr>
          <w:ilvl w:val="0"/>
          <w:numId w:val="65"/>
        </w:numPr>
        <w:spacing w:after="120"/>
        <w:contextualSpacing/>
        <w:jc w:val="both"/>
        <w:rPr>
          <w:rFonts w:ascii="Tahoma" w:hAnsi="Tahoma" w:cs="Tahoma"/>
          <w:sz w:val="20"/>
          <w:szCs w:val="20"/>
        </w:rPr>
      </w:pPr>
      <w:r w:rsidRPr="00AB541D">
        <w:rPr>
          <w:rFonts w:ascii="Tahoma" w:hAnsi="Tahoma" w:cs="Tahoma"/>
          <w:sz w:val="20"/>
          <w:szCs w:val="20"/>
        </w:rPr>
        <w:t xml:space="preserve">К базовой процентной ставке применяются следующие дисконты и надбавки: </w:t>
      </w:r>
    </w:p>
    <w:p w14:paraId="3311E958" w14:textId="77777777" w:rsidR="00951A61" w:rsidRPr="00AB541D" w:rsidRDefault="00951A61" w:rsidP="00951A61">
      <w:pPr>
        <w:pStyle w:val="affe"/>
        <w:spacing w:after="120"/>
        <w:rPr>
          <w:rFonts w:ascii="Tahoma" w:hAnsi="Tahoma" w:cs="Tahoma"/>
          <w:sz w:val="20"/>
          <w:szCs w:val="20"/>
        </w:rPr>
      </w:pPr>
    </w:p>
    <w:tbl>
      <w:tblPr>
        <w:tblStyle w:val="aff0"/>
        <w:tblW w:w="0" w:type="auto"/>
        <w:tblInd w:w="392" w:type="dxa"/>
        <w:tblLook w:val="04A0" w:firstRow="1" w:lastRow="0" w:firstColumn="1" w:lastColumn="0" w:noHBand="0" w:noVBand="1"/>
      </w:tblPr>
      <w:tblGrid>
        <w:gridCol w:w="992"/>
        <w:gridCol w:w="11907"/>
        <w:gridCol w:w="1843"/>
      </w:tblGrid>
      <w:tr w:rsidR="00951A61" w:rsidRPr="00AB541D" w14:paraId="39792921" w14:textId="77777777" w:rsidTr="00A4032F">
        <w:trPr>
          <w:trHeight w:val="270"/>
        </w:trPr>
        <w:tc>
          <w:tcPr>
            <w:tcW w:w="992" w:type="dxa"/>
          </w:tcPr>
          <w:p w14:paraId="5131AD15" w14:textId="77777777" w:rsidR="00951A61" w:rsidRPr="00AB541D" w:rsidRDefault="00951A61" w:rsidP="00A4032F">
            <w:pPr>
              <w:pStyle w:val="affe"/>
              <w:ind w:left="0"/>
              <w:rPr>
                <w:rFonts w:ascii="Tahoma" w:hAnsi="Tahoma" w:cs="Tahoma"/>
                <w:b/>
                <w:sz w:val="20"/>
                <w:szCs w:val="20"/>
              </w:rPr>
            </w:pPr>
            <w:r w:rsidRPr="00AB541D">
              <w:rPr>
                <w:rFonts w:ascii="Tahoma" w:hAnsi="Tahoma" w:cs="Tahoma"/>
                <w:b/>
                <w:sz w:val="20"/>
                <w:szCs w:val="20"/>
              </w:rPr>
              <w:t>№ п/п</w:t>
            </w:r>
          </w:p>
        </w:tc>
        <w:tc>
          <w:tcPr>
            <w:tcW w:w="11907" w:type="dxa"/>
          </w:tcPr>
          <w:p w14:paraId="79C9EFD8" w14:textId="77777777" w:rsidR="00951A61" w:rsidRPr="00AB541D" w:rsidRDefault="00951A61" w:rsidP="00A4032F">
            <w:pPr>
              <w:pStyle w:val="affe"/>
              <w:ind w:left="0"/>
              <w:jc w:val="center"/>
              <w:rPr>
                <w:rFonts w:ascii="Tahoma" w:hAnsi="Tahoma" w:cs="Tahoma"/>
                <w:b/>
                <w:sz w:val="20"/>
                <w:szCs w:val="20"/>
              </w:rPr>
            </w:pPr>
            <w:r w:rsidRPr="00AB541D">
              <w:rPr>
                <w:rFonts w:ascii="Tahoma" w:hAnsi="Tahoma" w:cs="Tahoma"/>
                <w:b/>
                <w:sz w:val="20"/>
                <w:szCs w:val="20"/>
              </w:rPr>
              <w:t>Наименование параметра</w:t>
            </w:r>
          </w:p>
        </w:tc>
        <w:tc>
          <w:tcPr>
            <w:tcW w:w="1843" w:type="dxa"/>
          </w:tcPr>
          <w:p w14:paraId="53031CEA" w14:textId="77777777" w:rsidR="00951A61" w:rsidRPr="00AB541D" w:rsidRDefault="00951A61" w:rsidP="00A4032F">
            <w:pPr>
              <w:pStyle w:val="affe"/>
              <w:ind w:left="0"/>
              <w:jc w:val="center"/>
              <w:rPr>
                <w:rFonts w:ascii="Tahoma" w:hAnsi="Tahoma" w:cs="Tahoma"/>
                <w:b/>
                <w:sz w:val="20"/>
                <w:szCs w:val="20"/>
              </w:rPr>
            </w:pPr>
            <w:r w:rsidRPr="00AB541D">
              <w:rPr>
                <w:rFonts w:ascii="Tahoma" w:hAnsi="Tahoma" w:cs="Tahoma"/>
                <w:b/>
                <w:sz w:val="20"/>
                <w:szCs w:val="20"/>
              </w:rPr>
              <w:t>Значение</w:t>
            </w:r>
            <w:r>
              <w:rPr>
                <w:rFonts w:ascii="Tahoma" w:hAnsi="Tahoma" w:cs="Tahoma"/>
                <w:b/>
                <w:sz w:val="20"/>
                <w:szCs w:val="20"/>
              </w:rPr>
              <w:t>,</w:t>
            </w:r>
            <w:r w:rsidRPr="00A354E8">
              <w:rPr>
                <w:rFonts w:ascii="Tahoma" w:hAnsi="Tahoma" w:cs="Tahoma"/>
                <w:b/>
                <w:sz w:val="20"/>
                <w:szCs w:val="20"/>
              </w:rPr>
              <w:t xml:space="preserve"> в процентных пунктах</w:t>
            </w:r>
          </w:p>
        </w:tc>
      </w:tr>
      <w:tr w:rsidR="00951A61" w:rsidRPr="00AB541D" w14:paraId="35516AC4" w14:textId="77777777" w:rsidTr="00A4032F">
        <w:trPr>
          <w:trHeight w:val="261"/>
        </w:trPr>
        <w:tc>
          <w:tcPr>
            <w:tcW w:w="992" w:type="dxa"/>
          </w:tcPr>
          <w:p w14:paraId="782BB4F2" w14:textId="77777777" w:rsidR="00951A61" w:rsidRPr="00AB541D" w:rsidRDefault="00951A61" w:rsidP="00A4032F">
            <w:pPr>
              <w:pStyle w:val="affe"/>
              <w:ind w:left="0"/>
              <w:rPr>
                <w:rFonts w:ascii="Tahoma" w:hAnsi="Tahoma" w:cs="Tahoma"/>
                <w:b/>
                <w:sz w:val="20"/>
                <w:szCs w:val="20"/>
              </w:rPr>
            </w:pPr>
            <w:r w:rsidRPr="00AB541D">
              <w:rPr>
                <w:rFonts w:ascii="Tahoma" w:hAnsi="Tahoma" w:cs="Tahoma"/>
                <w:b/>
                <w:sz w:val="20"/>
                <w:szCs w:val="20"/>
              </w:rPr>
              <w:t>2.1.</w:t>
            </w:r>
          </w:p>
        </w:tc>
        <w:tc>
          <w:tcPr>
            <w:tcW w:w="11907" w:type="dxa"/>
          </w:tcPr>
          <w:p w14:paraId="3FC99F93" w14:textId="77777777" w:rsidR="00951A61" w:rsidRPr="00AB541D" w:rsidRDefault="00951A61" w:rsidP="00A4032F">
            <w:pPr>
              <w:pStyle w:val="affe"/>
              <w:ind w:left="0"/>
              <w:jc w:val="center"/>
              <w:rPr>
                <w:rFonts w:ascii="Tahoma" w:hAnsi="Tahoma" w:cs="Tahoma"/>
                <w:b/>
                <w:sz w:val="20"/>
                <w:szCs w:val="20"/>
              </w:rPr>
            </w:pPr>
            <w:r w:rsidRPr="00AB541D">
              <w:rPr>
                <w:rFonts w:ascii="Tahoma" w:hAnsi="Tahoma" w:cs="Tahoma"/>
                <w:b/>
                <w:sz w:val="20"/>
                <w:szCs w:val="20"/>
              </w:rPr>
              <w:t>ДИСКОНТЫ</w:t>
            </w:r>
            <w:r w:rsidRPr="00AB541D">
              <w:rPr>
                <w:rStyle w:val="aff3"/>
                <w:rFonts w:ascii="Tahoma" w:hAnsi="Tahoma" w:cs="Tahoma"/>
                <w:sz w:val="20"/>
                <w:szCs w:val="20"/>
              </w:rPr>
              <w:footnoteReference w:id="53"/>
            </w:r>
            <w:r w:rsidRPr="00AB541D">
              <w:rPr>
                <w:rFonts w:ascii="Tahoma" w:hAnsi="Tahoma" w:cs="Tahoma"/>
                <w:b/>
                <w:sz w:val="20"/>
                <w:szCs w:val="20"/>
              </w:rPr>
              <w:t>:</w:t>
            </w:r>
          </w:p>
        </w:tc>
        <w:tc>
          <w:tcPr>
            <w:tcW w:w="1843" w:type="dxa"/>
          </w:tcPr>
          <w:p w14:paraId="34FBA764" w14:textId="77777777" w:rsidR="00951A61" w:rsidRPr="00AB541D" w:rsidRDefault="00951A61" w:rsidP="00A4032F">
            <w:pPr>
              <w:pStyle w:val="affe"/>
              <w:ind w:left="0"/>
              <w:jc w:val="center"/>
              <w:rPr>
                <w:rFonts w:ascii="Tahoma" w:hAnsi="Tahoma" w:cs="Tahoma"/>
                <w:b/>
                <w:sz w:val="20"/>
                <w:szCs w:val="20"/>
              </w:rPr>
            </w:pPr>
          </w:p>
        </w:tc>
      </w:tr>
      <w:tr w:rsidR="00951A61" w:rsidRPr="00AB541D" w14:paraId="77DB8478" w14:textId="77777777" w:rsidTr="00A4032F">
        <w:trPr>
          <w:trHeight w:val="703"/>
        </w:trPr>
        <w:tc>
          <w:tcPr>
            <w:tcW w:w="992" w:type="dxa"/>
          </w:tcPr>
          <w:p w14:paraId="0F79A6F7" w14:textId="77777777" w:rsidR="00951A61" w:rsidRPr="00AB541D" w:rsidRDefault="00951A61" w:rsidP="00A4032F">
            <w:pPr>
              <w:pStyle w:val="affe"/>
              <w:ind w:left="0"/>
              <w:rPr>
                <w:rFonts w:ascii="Tahoma" w:hAnsi="Tahoma" w:cs="Tahoma"/>
                <w:sz w:val="20"/>
                <w:szCs w:val="20"/>
              </w:rPr>
            </w:pPr>
            <w:r w:rsidRPr="00AB541D">
              <w:rPr>
                <w:rFonts w:ascii="Tahoma" w:hAnsi="Tahoma" w:cs="Tahoma"/>
                <w:sz w:val="20"/>
                <w:szCs w:val="20"/>
              </w:rPr>
              <w:t>2.1.1.</w:t>
            </w:r>
          </w:p>
        </w:tc>
        <w:tc>
          <w:tcPr>
            <w:tcW w:w="11907" w:type="dxa"/>
          </w:tcPr>
          <w:p w14:paraId="49070954" w14:textId="77777777" w:rsidR="00951A61" w:rsidRPr="00AB541D" w:rsidRDefault="00951A61" w:rsidP="00A4032F">
            <w:pPr>
              <w:pStyle w:val="affe"/>
              <w:ind w:left="0"/>
              <w:rPr>
                <w:rFonts w:ascii="Tahoma" w:hAnsi="Tahoma" w:cs="Tahoma"/>
                <w:sz w:val="20"/>
                <w:szCs w:val="20"/>
              </w:rPr>
            </w:pPr>
            <w:r w:rsidRPr="00AB541D">
              <w:rPr>
                <w:rFonts w:ascii="Tahoma" w:hAnsi="Tahoma" w:cs="Tahoma"/>
                <w:sz w:val="20"/>
                <w:szCs w:val="20"/>
              </w:rPr>
              <w:t>Заемщик является участником зарплатного проекта «Азиатско-Тихоокеанский Банк» (</w:t>
            </w:r>
            <w:r>
              <w:rPr>
                <w:rFonts w:ascii="Tahoma" w:hAnsi="Tahoma" w:cs="Tahoma"/>
                <w:sz w:val="20"/>
                <w:szCs w:val="20"/>
              </w:rPr>
              <w:t>АО</w:t>
            </w:r>
            <w:r w:rsidRPr="00AB541D">
              <w:rPr>
                <w:rFonts w:ascii="Tahoma" w:hAnsi="Tahoma" w:cs="Tahoma"/>
                <w:sz w:val="20"/>
                <w:szCs w:val="20"/>
              </w:rPr>
              <w:t>) и/или лицом, получающим выплаты за счет средств бюджетов бюджетной системы Российской Федерации</w:t>
            </w:r>
            <w:r w:rsidRPr="00AB541D" w:rsidDel="00653DAC">
              <w:rPr>
                <w:rFonts w:ascii="Tahoma" w:hAnsi="Tahoma" w:cs="Tahoma"/>
                <w:sz w:val="20"/>
                <w:szCs w:val="20"/>
              </w:rPr>
              <w:t xml:space="preserve"> </w:t>
            </w:r>
            <w:r w:rsidRPr="00AB541D">
              <w:rPr>
                <w:rFonts w:ascii="Tahoma" w:hAnsi="Tahoma" w:cs="Tahoma"/>
                <w:sz w:val="20"/>
                <w:szCs w:val="20"/>
              </w:rPr>
              <w:t>и/или Пользователем услуг по Тарифному плану Банка «Программа Статус»</w:t>
            </w:r>
            <w:r w:rsidRPr="00AB541D">
              <w:rPr>
                <w:rStyle w:val="aff3"/>
                <w:rFonts w:ascii="Tahoma" w:hAnsi="Tahoma" w:cs="Tahoma"/>
                <w:sz w:val="20"/>
                <w:szCs w:val="20"/>
              </w:rPr>
              <w:t xml:space="preserve"> </w:t>
            </w:r>
          </w:p>
        </w:tc>
        <w:tc>
          <w:tcPr>
            <w:tcW w:w="1843" w:type="dxa"/>
            <w:vAlign w:val="center"/>
          </w:tcPr>
          <w:p w14:paraId="2DFDACD0" w14:textId="77777777" w:rsidR="00951A61" w:rsidRPr="00AB541D" w:rsidRDefault="00951A61" w:rsidP="00A4032F">
            <w:pPr>
              <w:pStyle w:val="affe"/>
              <w:ind w:left="0"/>
              <w:jc w:val="center"/>
              <w:rPr>
                <w:rFonts w:ascii="Tahoma" w:hAnsi="Tahoma" w:cs="Tahoma"/>
                <w:sz w:val="20"/>
                <w:szCs w:val="20"/>
              </w:rPr>
            </w:pPr>
            <w:r>
              <w:rPr>
                <w:rFonts w:ascii="Tahoma" w:hAnsi="Tahoma" w:cs="Tahoma"/>
                <w:sz w:val="20"/>
                <w:szCs w:val="20"/>
              </w:rPr>
              <w:t>минус</w:t>
            </w:r>
            <w:r w:rsidRPr="00AB541D">
              <w:rPr>
                <w:rFonts w:ascii="Tahoma" w:hAnsi="Tahoma" w:cs="Tahoma"/>
                <w:sz w:val="20"/>
                <w:szCs w:val="20"/>
              </w:rPr>
              <w:t xml:space="preserve"> 0,4</w:t>
            </w:r>
          </w:p>
        </w:tc>
      </w:tr>
      <w:tr w:rsidR="00951A61" w:rsidRPr="00AB541D" w14:paraId="52024CCE" w14:textId="77777777" w:rsidTr="00A4032F">
        <w:trPr>
          <w:trHeight w:val="486"/>
        </w:trPr>
        <w:tc>
          <w:tcPr>
            <w:tcW w:w="992" w:type="dxa"/>
          </w:tcPr>
          <w:p w14:paraId="3B75F8CA" w14:textId="77777777" w:rsidR="00951A61" w:rsidRPr="00AB541D" w:rsidRDefault="00951A61" w:rsidP="00A4032F">
            <w:pPr>
              <w:pStyle w:val="affe"/>
              <w:ind w:left="0"/>
              <w:rPr>
                <w:rFonts w:ascii="Tahoma" w:hAnsi="Tahoma" w:cs="Tahoma"/>
                <w:sz w:val="20"/>
                <w:szCs w:val="20"/>
              </w:rPr>
            </w:pPr>
            <w:r w:rsidRPr="00AB541D">
              <w:rPr>
                <w:rFonts w:ascii="Tahoma" w:hAnsi="Tahoma" w:cs="Tahoma"/>
                <w:sz w:val="20"/>
                <w:szCs w:val="20"/>
              </w:rPr>
              <w:t>2.1.2.</w:t>
            </w:r>
          </w:p>
        </w:tc>
        <w:tc>
          <w:tcPr>
            <w:tcW w:w="11907" w:type="dxa"/>
          </w:tcPr>
          <w:p w14:paraId="37D62756" w14:textId="77777777" w:rsidR="00951A61" w:rsidRPr="00AB541D" w:rsidRDefault="00951A61" w:rsidP="00A4032F">
            <w:pPr>
              <w:tabs>
                <w:tab w:val="right" w:pos="10206"/>
              </w:tabs>
              <w:rPr>
                <w:rFonts w:ascii="Tahoma" w:hAnsi="Tahoma" w:cs="Tahoma"/>
                <w:sz w:val="20"/>
                <w:szCs w:val="20"/>
              </w:rPr>
            </w:pPr>
            <w:r w:rsidRPr="00AB541D">
              <w:rPr>
                <w:rFonts w:ascii="Tahoma" w:eastAsia="Calibri" w:hAnsi="Tahoma" w:cs="Tahoma"/>
                <w:sz w:val="20"/>
                <w:szCs w:val="20"/>
              </w:rPr>
              <w:t>В случае заключения кредитного договора в течение 30 календарных дней с даты принятия Банком решения о предоставлении заемщику кредита</w:t>
            </w:r>
          </w:p>
        </w:tc>
        <w:tc>
          <w:tcPr>
            <w:tcW w:w="1843" w:type="dxa"/>
            <w:vAlign w:val="center"/>
          </w:tcPr>
          <w:p w14:paraId="2DAFF2CC" w14:textId="77777777" w:rsidR="00951A61" w:rsidRPr="00AB541D" w:rsidRDefault="00951A61" w:rsidP="00A4032F">
            <w:pPr>
              <w:pStyle w:val="affe"/>
              <w:ind w:left="0"/>
              <w:jc w:val="center"/>
              <w:rPr>
                <w:rFonts w:ascii="Tahoma" w:hAnsi="Tahoma" w:cs="Tahoma"/>
                <w:sz w:val="20"/>
                <w:szCs w:val="20"/>
              </w:rPr>
            </w:pPr>
            <w:r>
              <w:rPr>
                <w:rFonts w:ascii="Tahoma" w:hAnsi="Tahoma" w:cs="Tahoma"/>
                <w:sz w:val="20"/>
                <w:szCs w:val="20"/>
              </w:rPr>
              <w:t>минус</w:t>
            </w:r>
            <w:r w:rsidRPr="00AB541D">
              <w:rPr>
                <w:rFonts w:ascii="Tahoma" w:hAnsi="Tahoma" w:cs="Tahoma"/>
                <w:sz w:val="20"/>
                <w:szCs w:val="20"/>
              </w:rPr>
              <w:t xml:space="preserve"> 0,2</w:t>
            </w:r>
          </w:p>
        </w:tc>
      </w:tr>
      <w:tr w:rsidR="00951A61" w:rsidRPr="00AB541D" w14:paraId="37412A01" w14:textId="77777777" w:rsidTr="00A4032F">
        <w:trPr>
          <w:trHeight w:val="729"/>
        </w:trPr>
        <w:tc>
          <w:tcPr>
            <w:tcW w:w="992" w:type="dxa"/>
          </w:tcPr>
          <w:p w14:paraId="3D496CBA" w14:textId="77777777" w:rsidR="00951A61" w:rsidRPr="00AB541D" w:rsidRDefault="00951A61" w:rsidP="00A4032F">
            <w:pPr>
              <w:pStyle w:val="affe"/>
              <w:ind w:left="0"/>
              <w:rPr>
                <w:rFonts w:ascii="Tahoma" w:hAnsi="Tahoma" w:cs="Tahoma"/>
                <w:sz w:val="20"/>
                <w:szCs w:val="20"/>
              </w:rPr>
            </w:pPr>
            <w:r w:rsidRPr="00AB541D">
              <w:rPr>
                <w:rFonts w:ascii="Tahoma" w:hAnsi="Tahoma" w:cs="Tahoma"/>
                <w:sz w:val="20"/>
                <w:szCs w:val="20"/>
              </w:rPr>
              <w:lastRenderedPageBreak/>
              <w:t>2.1.3.</w:t>
            </w:r>
          </w:p>
        </w:tc>
        <w:tc>
          <w:tcPr>
            <w:tcW w:w="11907" w:type="dxa"/>
          </w:tcPr>
          <w:p w14:paraId="44DCF902" w14:textId="77777777" w:rsidR="00951A61" w:rsidRPr="00AB541D" w:rsidRDefault="00951A61" w:rsidP="00A4032F">
            <w:pPr>
              <w:tabs>
                <w:tab w:val="right" w:pos="10206"/>
              </w:tabs>
              <w:rPr>
                <w:rFonts w:ascii="Tahoma" w:eastAsia="Calibri" w:hAnsi="Tahoma" w:cs="Tahoma"/>
                <w:sz w:val="20"/>
                <w:szCs w:val="20"/>
              </w:rPr>
            </w:pPr>
            <w:r w:rsidRPr="00AB541D">
              <w:rPr>
                <w:rFonts w:ascii="Tahoma" w:eastAsia="Calibri" w:hAnsi="Tahoma" w:cs="Tahoma"/>
                <w:sz w:val="20"/>
                <w:szCs w:val="20"/>
              </w:rPr>
              <w:t>При сумме кредита свыше</w:t>
            </w:r>
            <w:r w:rsidRPr="00AB541D">
              <w:rPr>
                <w:rStyle w:val="aff3"/>
                <w:rFonts w:ascii="Tahoma" w:hAnsi="Tahoma" w:cs="Tahoma"/>
                <w:sz w:val="20"/>
                <w:szCs w:val="20"/>
              </w:rPr>
              <w:footnoteReference w:id="54"/>
            </w:r>
            <w:r w:rsidRPr="00AB541D">
              <w:rPr>
                <w:rFonts w:ascii="Tahoma" w:eastAsia="Calibri" w:hAnsi="Tahoma" w:cs="Tahoma"/>
                <w:sz w:val="20"/>
                <w:szCs w:val="20"/>
              </w:rPr>
              <w:t>:</w:t>
            </w:r>
          </w:p>
          <w:p w14:paraId="6C49889B" w14:textId="77777777" w:rsidR="00951A61" w:rsidRPr="00AB541D" w:rsidRDefault="00951A61" w:rsidP="00951A61">
            <w:pPr>
              <w:pStyle w:val="affe"/>
              <w:numPr>
                <w:ilvl w:val="0"/>
                <w:numId w:val="16"/>
              </w:numPr>
              <w:tabs>
                <w:tab w:val="right" w:pos="10206"/>
              </w:tabs>
              <w:ind w:left="176" w:hanging="142"/>
              <w:contextualSpacing/>
              <w:jc w:val="both"/>
              <w:rPr>
                <w:rFonts w:ascii="Tahoma" w:hAnsi="Tahoma" w:cs="Tahoma"/>
                <w:sz w:val="20"/>
                <w:szCs w:val="20"/>
              </w:rPr>
            </w:pPr>
            <w:r w:rsidRPr="00AB541D">
              <w:rPr>
                <w:rFonts w:ascii="Tahoma" w:hAnsi="Tahoma" w:cs="Tahoma"/>
                <w:sz w:val="20"/>
                <w:szCs w:val="20"/>
              </w:rPr>
              <w:t>Москва и Московская область - 4 000 000 рублей,</w:t>
            </w:r>
          </w:p>
          <w:p w14:paraId="5C0A9C11" w14:textId="77777777" w:rsidR="00951A61" w:rsidRPr="00AB541D" w:rsidRDefault="00951A61" w:rsidP="00951A61">
            <w:pPr>
              <w:pStyle w:val="affe"/>
              <w:numPr>
                <w:ilvl w:val="0"/>
                <w:numId w:val="16"/>
              </w:numPr>
              <w:ind w:left="176" w:hanging="142"/>
              <w:contextualSpacing/>
              <w:jc w:val="both"/>
              <w:rPr>
                <w:rFonts w:ascii="Tahoma" w:hAnsi="Tahoma" w:cs="Tahoma"/>
                <w:sz w:val="20"/>
                <w:szCs w:val="20"/>
              </w:rPr>
            </w:pPr>
            <w:r w:rsidRPr="00AB541D">
              <w:rPr>
                <w:rFonts w:ascii="Tahoma" w:hAnsi="Tahoma" w:cs="Tahoma"/>
                <w:sz w:val="20"/>
                <w:szCs w:val="20"/>
              </w:rPr>
              <w:t>Иные регионы – 2 000 000 рублей.</w:t>
            </w:r>
            <w:r w:rsidRPr="00AB541D">
              <w:rPr>
                <w:rStyle w:val="aff3"/>
                <w:rFonts w:ascii="Tahoma" w:hAnsi="Tahoma" w:cs="Tahoma"/>
                <w:sz w:val="20"/>
                <w:szCs w:val="20"/>
              </w:rPr>
              <w:t xml:space="preserve"> </w:t>
            </w:r>
          </w:p>
        </w:tc>
        <w:tc>
          <w:tcPr>
            <w:tcW w:w="1843" w:type="dxa"/>
            <w:vAlign w:val="center"/>
          </w:tcPr>
          <w:p w14:paraId="1E121876" w14:textId="77777777" w:rsidR="00951A61" w:rsidRPr="00AB541D" w:rsidRDefault="00951A61" w:rsidP="00A4032F">
            <w:pPr>
              <w:pStyle w:val="affe"/>
              <w:ind w:left="0"/>
              <w:jc w:val="center"/>
              <w:rPr>
                <w:rFonts w:ascii="Tahoma" w:hAnsi="Tahoma" w:cs="Tahoma"/>
                <w:sz w:val="20"/>
                <w:szCs w:val="20"/>
              </w:rPr>
            </w:pPr>
            <w:r>
              <w:rPr>
                <w:rFonts w:ascii="Tahoma" w:hAnsi="Tahoma" w:cs="Tahoma"/>
                <w:sz w:val="20"/>
                <w:szCs w:val="20"/>
              </w:rPr>
              <w:t>минус</w:t>
            </w:r>
            <w:r w:rsidRPr="00AB541D">
              <w:rPr>
                <w:rFonts w:ascii="Tahoma" w:hAnsi="Tahoma" w:cs="Tahoma"/>
                <w:sz w:val="20"/>
                <w:szCs w:val="20"/>
              </w:rPr>
              <w:t xml:space="preserve"> 0,2</w:t>
            </w:r>
          </w:p>
        </w:tc>
      </w:tr>
      <w:tr w:rsidR="00951A61" w:rsidRPr="00AB541D" w14:paraId="0E640CAA" w14:textId="77777777" w:rsidTr="00A4032F">
        <w:trPr>
          <w:trHeight w:val="227"/>
        </w:trPr>
        <w:tc>
          <w:tcPr>
            <w:tcW w:w="992" w:type="dxa"/>
          </w:tcPr>
          <w:p w14:paraId="59F5389C" w14:textId="77777777" w:rsidR="00951A61" w:rsidRPr="00AB541D" w:rsidRDefault="00951A61" w:rsidP="00A4032F">
            <w:pPr>
              <w:pStyle w:val="affe"/>
              <w:ind w:left="0"/>
              <w:rPr>
                <w:rFonts w:ascii="Tahoma" w:hAnsi="Tahoma" w:cs="Tahoma"/>
                <w:sz w:val="20"/>
                <w:szCs w:val="20"/>
              </w:rPr>
            </w:pPr>
            <w:r w:rsidRPr="00AB541D">
              <w:rPr>
                <w:rFonts w:ascii="Tahoma" w:hAnsi="Tahoma" w:cs="Tahoma"/>
                <w:sz w:val="20"/>
                <w:szCs w:val="20"/>
              </w:rPr>
              <w:t>2.1.4.</w:t>
            </w:r>
          </w:p>
        </w:tc>
        <w:tc>
          <w:tcPr>
            <w:tcW w:w="11907" w:type="dxa"/>
          </w:tcPr>
          <w:p w14:paraId="2F89A71E" w14:textId="77777777" w:rsidR="00951A61" w:rsidRPr="00DA7A78" w:rsidRDefault="00951A61" w:rsidP="00A4032F">
            <w:pPr>
              <w:tabs>
                <w:tab w:val="right" w:pos="10206"/>
              </w:tabs>
              <w:rPr>
                <w:rFonts w:ascii="Tahoma" w:hAnsi="Tahoma" w:cs="Tahoma"/>
                <w:sz w:val="20"/>
                <w:szCs w:val="20"/>
              </w:rPr>
            </w:pPr>
            <w:r w:rsidRPr="00DA7A78">
              <w:rPr>
                <w:rFonts w:ascii="Tahoma" w:eastAsia="Calibri" w:hAnsi="Tahoma" w:cs="Tahoma"/>
                <w:sz w:val="20"/>
                <w:szCs w:val="20"/>
              </w:rPr>
              <w:t>Заявка на ипотечный кредит поступила на рассмотрение в Банк с официального сайта Банка» (сервисы «Личный кабинет Заемщика» и «Личный кабинет Партнера».</w:t>
            </w:r>
            <w:r w:rsidRPr="00DA7A78">
              <w:rPr>
                <w:rStyle w:val="aff3"/>
                <w:rFonts w:ascii="Tahoma" w:hAnsi="Tahoma" w:cs="Tahoma"/>
                <w:sz w:val="20"/>
                <w:szCs w:val="20"/>
              </w:rPr>
              <w:t xml:space="preserve"> </w:t>
            </w:r>
            <w:r w:rsidRPr="00DA7A78">
              <w:rPr>
                <w:rFonts w:ascii="Tahoma" w:eastAsia="Calibri" w:hAnsi="Tahoma" w:cs="Tahoma"/>
                <w:sz w:val="20"/>
                <w:szCs w:val="20"/>
              </w:rPr>
              <w:t xml:space="preserve"> </w:t>
            </w:r>
          </w:p>
        </w:tc>
        <w:tc>
          <w:tcPr>
            <w:tcW w:w="1843" w:type="dxa"/>
            <w:vAlign w:val="center"/>
          </w:tcPr>
          <w:p w14:paraId="4EDCF9B2" w14:textId="77777777" w:rsidR="00951A61" w:rsidRPr="00DA7A78" w:rsidRDefault="00951A61" w:rsidP="00A4032F">
            <w:pPr>
              <w:pStyle w:val="affe"/>
              <w:ind w:left="0"/>
              <w:jc w:val="center"/>
              <w:rPr>
                <w:rFonts w:ascii="Tahoma" w:hAnsi="Tahoma" w:cs="Tahoma"/>
                <w:sz w:val="20"/>
                <w:szCs w:val="20"/>
              </w:rPr>
            </w:pPr>
            <w:r w:rsidRPr="00DA7A78">
              <w:rPr>
                <w:rFonts w:ascii="Tahoma" w:hAnsi="Tahoma" w:cs="Tahoma"/>
                <w:sz w:val="20"/>
                <w:szCs w:val="20"/>
              </w:rPr>
              <w:t>минус 0,4</w:t>
            </w:r>
          </w:p>
        </w:tc>
      </w:tr>
      <w:tr w:rsidR="00951A61" w:rsidRPr="00AB541D" w14:paraId="50A63183" w14:textId="77777777" w:rsidTr="00A4032F">
        <w:trPr>
          <w:trHeight w:val="486"/>
        </w:trPr>
        <w:tc>
          <w:tcPr>
            <w:tcW w:w="992" w:type="dxa"/>
          </w:tcPr>
          <w:p w14:paraId="2F4697EC" w14:textId="77777777" w:rsidR="00951A61" w:rsidRPr="00AB541D" w:rsidRDefault="00951A61" w:rsidP="00A4032F">
            <w:pPr>
              <w:pStyle w:val="affe"/>
              <w:ind w:left="0"/>
              <w:rPr>
                <w:rFonts w:ascii="Tahoma" w:hAnsi="Tahoma" w:cs="Tahoma"/>
                <w:sz w:val="20"/>
                <w:szCs w:val="20"/>
              </w:rPr>
            </w:pPr>
            <w:r w:rsidRPr="00AB541D">
              <w:rPr>
                <w:rFonts w:ascii="Tahoma" w:hAnsi="Tahoma" w:cs="Tahoma"/>
                <w:sz w:val="20"/>
                <w:szCs w:val="20"/>
              </w:rPr>
              <w:t>2.1.5.</w:t>
            </w:r>
          </w:p>
        </w:tc>
        <w:tc>
          <w:tcPr>
            <w:tcW w:w="11907" w:type="dxa"/>
          </w:tcPr>
          <w:p w14:paraId="423EFB1F" w14:textId="77777777" w:rsidR="00951A61" w:rsidRPr="00DA7A78" w:rsidRDefault="00951A61" w:rsidP="00A4032F">
            <w:pPr>
              <w:pStyle w:val="affe"/>
              <w:ind w:left="0"/>
              <w:rPr>
                <w:rFonts w:ascii="Tahoma" w:hAnsi="Tahoma" w:cs="Tahoma"/>
                <w:sz w:val="20"/>
                <w:szCs w:val="20"/>
              </w:rPr>
            </w:pPr>
            <w:r w:rsidRPr="00DA7A78">
              <w:rPr>
                <w:rFonts w:ascii="Tahoma" w:hAnsi="Tahoma" w:cs="Tahoma"/>
                <w:sz w:val="20"/>
                <w:szCs w:val="20"/>
              </w:rPr>
              <w:t>Заемщик приобретает объект недвижимости у партнеров Банка или является клиентом партнеров Банка, оказывающих риэлтерские услуги</w:t>
            </w:r>
            <w:r w:rsidRPr="00DA7A78">
              <w:rPr>
                <w:rStyle w:val="aff3"/>
                <w:rFonts w:ascii="Tahoma" w:hAnsi="Tahoma" w:cs="Tahoma"/>
                <w:sz w:val="20"/>
                <w:szCs w:val="20"/>
              </w:rPr>
              <w:footnoteReference w:id="55"/>
            </w:r>
          </w:p>
        </w:tc>
        <w:tc>
          <w:tcPr>
            <w:tcW w:w="1843" w:type="dxa"/>
            <w:vAlign w:val="center"/>
          </w:tcPr>
          <w:p w14:paraId="0534AB8F" w14:textId="77777777" w:rsidR="00951A61" w:rsidRPr="00DA7A78" w:rsidRDefault="00951A61" w:rsidP="00A4032F">
            <w:pPr>
              <w:pStyle w:val="affe"/>
              <w:ind w:left="0"/>
              <w:jc w:val="center"/>
              <w:rPr>
                <w:rFonts w:ascii="Tahoma" w:hAnsi="Tahoma" w:cs="Tahoma"/>
                <w:sz w:val="20"/>
                <w:szCs w:val="20"/>
              </w:rPr>
            </w:pPr>
            <w:r w:rsidRPr="00DA7A78">
              <w:rPr>
                <w:rFonts w:ascii="Tahoma" w:hAnsi="Tahoma" w:cs="Tahoma"/>
                <w:sz w:val="20"/>
                <w:szCs w:val="20"/>
              </w:rPr>
              <w:t>минус 0,4</w:t>
            </w:r>
          </w:p>
        </w:tc>
      </w:tr>
      <w:tr w:rsidR="00951A61" w:rsidRPr="00AB541D" w14:paraId="15A39F36" w14:textId="77777777" w:rsidTr="00A4032F">
        <w:trPr>
          <w:trHeight w:val="706"/>
        </w:trPr>
        <w:tc>
          <w:tcPr>
            <w:tcW w:w="992" w:type="dxa"/>
          </w:tcPr>
          <w:p w14:paraId="12C66102" w14:textId="77777777" w:rsidR="00951A61" w:rsidRPr="00AB541D" w:rsidRDefault="00951A61" w:rsidP="00A4032F">
            <w:pPr>
              <w:pStyle w:val="affe"/>
              <w:ind w:left="0"/>
              <w:rPr>
                <w:rFonts w:ascii="Tahoma" w:hAnsi="Tahoma" w:cs="Tahoma"/>
                <w:sz w:val="20"/>
                <w:szCs w:val="20"/>
              </w:rPr>
            </w:pPr>
            <w:r w:rsidRPr="00AB541D">
              <w:rPr>
                <w:rFonts w:ascii="Tahoma" w:hAnsi="Tahoma" w:cs="Tahoma"/>
                <w:sz w:val="20"/>
                <w:szCs w:val="20"/>
              </w:rPr>
              <w:t>2.1.</w:t>
            </w:r>
            <w:r>
              <w:rPr>
                <w:rFonts w:ascii="Tahoma" w:hAnsi="Tahoma" w:cs="Tahoma"/>
                <w:sz w:val="20"/>
                <w:szCs w:val="20"/>
              </w:rPr>
              <w:t>6</w:t>
            </w:r>
            <w:r w:rsidRPr="00AB541D">
              <w:rPr>
                <w:rFonts w:ascii="Tahoma" w:hAnsi="Tahoma" w:cs="Tahoma"/>
                <w:sz w:val="20"/>
                <w:szCs w:val="20"/>
              </w:rPr>
              <w:t>.</w:t>
            </w:r>
          </w:p>
        </w:tc>
        <w:tc>
          <w:tcPr>
            <w:tcW w:w="11907" w:type="dxa"/>
          </w:tcPr>
          <w:p w14:paraId="5F844B36" w14:textId="77777777" w:rsidR="00951A61" w:rsidRPr="00AB541D" w:rsidRDefault="00951A61" w:rsidP="00A4032F">
            <w:pPr>
              <w:rPr>
                <w:rFonts w:ascii="Tahoma" w:hAnsi="Tahoma" w:cs="Tahoma"/>
                <w:sz w:val="20"/>
                <w:szCs w:val="20"/>
              </w:rPr>
            </w:pPr>
            <w:r w:rsidRPr="00AB541D">
              <w:rPr>
                <w:rFonts w:ascii="Tahoma" w:hAnsi="Tahoma" w:cs="Tahoma"/>
                <w:sz w:val="20"/>
                <w:szCs w:val="20"/>
              </w:rPr>
              <w:t>Специальный дисконт</w:t>
            </w:r>
            <w:r w:rsidRPr="00AB541D">
              <w:rPr>
                <w:rStyle w:val="aff3"/>
                <w:rFonts w:ascii="Tahoma" w:hAnsi="Tahoma" w:cs="Tahoma"/>
                <w:sz w:val="20"/>
                <w:szCs w:val="20"/>
              </w:rPr>
              <w:t xml:space="preserve"> к</w:t>
            </w:r>
            <w:r w:rsidRPr="00AB541D">
              <w:rPr>
                <w:rFonts w:ascii="Tahoma" w:hAnsi="Tahoma" w:cs="Tahoma"/>
                <w:sz w:val="20"/>
                <w:szCs w:val="20"/>
              </w:rPr>
              <w:t xml:space="preserve"> базовой ставке кредитования для заемщика, по которому применима одновременно совокупность факторов</w:t>
            </w:r>
            <w:r w:rsidRPr="00AB541D">
              <w:rPr>
                <w:rStyle w:val="aff3"/>
                <w:rFonts w:ascii="Tahoma" w:hAnsi="Tahoma" w:cs="Tahoma"/>
                <w:sz w:val="20"/>
                <w:szCs w:val="20"/>
              </w:rPr>
              <w:footnoteReference w:id="56"/>
            </w:r>
            <w:r w:rsidRPr="00AB541D">
              <w:rPr>
                <w:rFonts w:ascii="Tahoma" w:hAnsi="Tahoma" w:cs="Tahoma"/>
                <w:sz w:val="20"/>
                <w:szCs w:val="20"/>
              </w:rPr>
              <w:t>:</w:t>
            </w:r>
          </w:p>
          <w:p w14:paraId="71464D60" w14:textId="77777777" w:rsidR="00951A61" w:rsidRPr="00AB541D" w:rsidRDefault="00951A61" w:rsidP="00951A61">
            <w:pPr>
              <w:pStyle w:val="affe"/>
              <w:numPr>
                <w:ilvl w:val="0"/>
                <w:numId w:val="16"/>
              </w:numPr>
              <w:tabs>
                <w:tab w:val="right" w:pos="10206"/>
              </w:tabs>
              <w:ind w:left="176" w:hanging="142"/>
              <w:contextualSpacing/>
              <w:jc w:val="both"/>
              <w:rPr>
                <w:rFonts w:ascii="Tahoma" w:hAnsi="Tahoma" w:cs="Tahoma"/>
                <w:sz w:val="20"/>
                <w:szCs w:val="20"/>
              </w:rPr>
            </w:pPr>
            <w:r w:rsidRPr="00AB541D">
              <w:rPr>
                <w:rFonts w:ascii="Tahoma" w:hAnsi="Tahoma" w:cs="Tahoma"/>
                <w:sz w:val="20"/>
                <w:szCs w:val="20"/>
              </w:rPr>
              <w:t xml:space="preserve">Сумма кредита вне зависимости от региона 20 млн. рублей и более </w:t>
            </w:r>
          </w:p>
          <w:p w14:paraId="31135842" w14:textId="77777777" w:rsidR="00951A61" w:rsidRPr="00AB541D" w:rsidRDefault="00951A61" w:rsidP="00951A61">
            <w:pPr>
              <w:pStyle w:val="affe"/>
              <w:numPr>
                <w:ilvl w:val="0"/>
                <w:numId w:val="16"/>
              </w:numPr>
              <w:tabs>
                <w:tab w:val="right" w:pos="10206"/>
              </w:tabs>
              <w:ind w:left="176" w:hanging="142"/>
              <w:contextualSpacing/>
              <w:jc w:val="both"/>
              <w:rPr>
                <w:rFonts w:ascii="Tahoma" w:hAnsi="Tahoma" w:cs="Tahoma"/>
                <w:sz w:val="20"/>
                <w:szCs w:val="20"/>
              </w:rPr>
            </w:pPr>
            <w:r w:rsidRPr="00AB541D">
              <w:rPr>
                <w:rFonts w:ascii="Tahoma" w:hAnsi="Tahoma" w:cs="Tahoma"/>
                <w:sz w:val="20"/>
                <w:szCs w:val="20"/>
              </w:rPr>
              <w:t>Заемщик является участником зарплатного проекта «Азиатско-Тихоокеанский Банк» (</w:t>
            </w:r>
            <w:r>
              <w:rPr>
                <w:rFonts w:ascii="Tahoma" w:hAnsi="Tahoma" w:cs="Tahoma"/>
                <w:sz w:val="20"/>
                <w:szCs w:val="20"/>
              </w:rPr>
              <w:t>АО</w:t>
            </w:r>
            <w:r w:rsidRPr="00AB541D">
              <w:rPr>
                <w:rFonts w:ascii="Tahoma" w:hAnsi="Tahoma" w:cs="Tahoma"/>
                <w:sz w:val="20"/>
                <w:szCs w:val="20"/>
              </w:rPr>
              <w:t xml:space="preserve">) </w:t>
            </w:r>
          </w:p>
          <w:p w14:paraId="4E2DA388" w14:textId="77777777" w:rsidR="00951A61" w:rsidRPr="00AB541D" w:rsidRDefault="00951A61" w:rsidP="00951A61">
            <w:pPr>
              <w:pStyle w:val="affe"/>
              <w:numPr>
                <w:ilvl w:val="0"/>
                <w:numId w:val="16"/>
              </w:numPr>
              <w:tabs>
                <w:tab w:val="right" w:pos="10206"/>
              </w:tabs>
              <w:ind w:left="176" w:hanging="142"/>
              <w:contextualSpacing/>
              <w:jc w:val="both"/>
              <w:rPr>
                <w:rFonts w:ascii="Tahoma" w:hAnsi="Tahoma" w:cs="Tahoma"/>
                <w:sz w:val="20"/>
                <w:szCs w:val="20"/>
              </w:rPr>
            </w:pPr>
            <w:r w:rsidRPr="00AB541D">
              <w:rPr>
                <w:rFonts w:ascii="Tahoma" w:hAnsi="Tahoma" w:cs="Tahoma"/>
                <w:sz w:val="20"/>
                <w:szCs w:val="20"/>
              </w:rPr>
              <w:t>В случае заключения кредитного договора в течение 30 календарных дней с даты принятия Банком решения о предоставлении заемщику кредита</w:t>
            </w:r>
          </w:p>
          <w:p w14:paraId="47E78427" w14:textId="77777777" w:rsidR="00951A61" w:rsidRPr="00AB541D" w:rsidRDefault="00951A61" w:rsidP="00951A61">
            <w:pPr>
              <w:pStyle w:val="affe"/>
              <w:numPr>
                <w:ilvl w:val="0"/>
                <w:numId w:val="16"/>
              </w:numPr>
              <w:tabs>
                <w:tab w:val="right" w:pos="10206"/>
              </w:tabs>
              <w:ind w:left="176" w:hanging="142"/>
              <w:contextualSpacing/>
              <w:jc w:val="both"/>
              <w:rPr>
                <w:rFonts w:ascii="Tahoma" w:hAnsi="Tahoma" w:cs="Tahoma"/>
                <w:sz w:val="20"/>
                <w:szCs w:val="20"/>
              </w:rPr>
            </w:pPr>
            <w:r w:rsidRPr="00AB541D">
              <w:rPr>
                <w:rFonts w:ascii="Tahoma" w:hAnsi="Tahoma" w:cs="Tahoma"/>
                <w:sz w:val="20"/>
                <w:szCs w:val="20"/>
              </w:rPr>
              <w:t>Первоначальный взнос 20% и более от стоимости приобретаемого объекта недвижимости.</w:t>
            </w:r>
          </w:p>
        </w:tc>
        <w:tc>
          <w:tcPr>
            <w:tcW w:w="1843" w:type="dxa"/>
            <w:vAlign w:val="center"/>
          </w:tcPr>
          <w:p w14:paraId="17C5ADA7" w14:textId="77777777" w:rsidR="00951A61" w:rsidRPr="00AB541D" w:rsidRDefault="00951A61" w:rsidP="00A4032F">
            <w:pPr>
              <w:pStyle w:val="affe"/>
              <w:ind w:left="0"/>
              <w:jc w:val="center"/>
              <w:rPr>
                <w:rFonts w:ascii="Tahoma" w:hAnsi="Tahoma" w:cs="Tahoma"/>
                <w:sz w:val="20"/>
                <w:szCs w:val="20"/>
              </w:rPr>
            </w:pPr>
            <w:r>
              <w:rPr>
                <w:rFonts w:ascii="Tahoma" w:hAnsi="Tahoma" w:cs="Tahoma"/>
                <w:sz w:val="20"/>
                <w:szCs w:val="20"/>
              </w:rPr>
              <w:t>минус</w:t>
            </w:r>
            <w:r w:rsidRPr="00AB541D">
              <w:rPr>
                <w:rFonts w:ascii="Tahoma" w:hAnsi="Tahoma" w:cs="Tahoma"/>
                <w:sz w:val="20"/>
                <w:szCs w:val="20"/>
              </w:rPr>
              <w:t xml:space="preserve"> 0,9</w:t>
            </w:r>
          </w:p>
        </w:tc>
      </w:tr>
      <w:tr w:rsidR="00951A61" w:rsidRPr="00AB541D" w14:paraId="355AC564" w14:textId="77777777" w:rsidTr="00A4032F">
        <w:trPr>
          <w:trHeight w:val="262"/>
        </w:trPr>
        <w:tc>
          <w:tcPr>
            <w:tcW w:w="992" w:type="dxa"/>
          </w:tcPr>
          <w:p w14:paraId="411F8F4B" w14:textId="77777777" w:rsidR="00951A61" w:rsidRPr="00AB541D" w:rsidRDefault="00951A61" w:rsidP="00A4032F">
            <w:pPr>
              <w:pStyle w:val="affe"/>
              <w:ind w:left="0"/>
              <w:rPr>
                <w:rFonts w:ascii="Tahoma" w:hAnsi="Tahoma" w:cs="Tahoma"/>
                <w:sz w:val="20"/>
                <w:szCs w:val="20"/>
              </w:rPr>
            </w:pPr>
            <w:r w:rsidRPr="00AB541D">
              <w:rPr>
                <w:rFonts w:ascii="Tahoma" w:hAnsi="Tahoma" w:cs="Tahoma"/>
                <w:b/>
                <w:sz w:val="20"/>
                <w:szCs w:val="20"/>
              </w:rPr>
              <w:t>2.2.</w:t>
            </w:r>
          </w:p>
        </w:tc>
        <w:tc>
          <w:tcPr>
            <w:tcW w:w="11907" w:type="dxa"/>
          </w:tcPr>
          <w:p w14:paraId="72C8FE52" w14:textId="77777777" w:rsidR="00951A61" w:rsidRPr="00AB541D" w:rsidRDefault="00951A61" w:rsidP="00A4032F">
            <w:pPr>
              <w:jc w:val="center"/>
              <w:rPr>
                <w:rFonts w:ascii="Tahoma" w:hAnsi="Tahoma" w:cs="Tahoma"/>
                <w:sz w:val="20"/>
                <w:szCs w:val="20"/>
              </w:rPr>
            </w:pPr>
            <w:r w:rsidRPr="00AB541D">
              <w:rPr>
                <w:rFonts w:ascii="Tahoma" w:hAnsi="Tahoma" w:cs="Tahoma"/>
                <w:b/>
                <w:sz w:val="20"/>
                <w:szCs w:val="20"/>
              </w:rPr>
              <w:t>НАДБАВКИ</w:t>
            </w:r>
            <w:r w:rsidRPr="00AB541D">
              <w:rPr>
                <w:rStyle w:val="aff3"/>
                <w:rFonts w:ascii="Tahoma" w:hAnsi="Tahoma" w:cs="Tahoma"/>
                <w:b/>
                <w:sz w:val="20"/>
                <w:szCs w:val="20"/>
              </w:rPr>
              <w:footnoteReference w:id="57"/>
            </w:r>
            <w:r w:rsidRPr="00AB541D">
              <w:rPr>
                <w:rFonts w:ascii="Tahoma" w:hAnsi="Tahoma" w:cs="Tahoma"/>
                <w:b/>
                <w:sz w:val="20"/>
                <w:szCs w:val="20"/>
              </w:rPr>
              <w:t>:</w:t>
            </w:r>
          </w:p>
        </w:tc>
        <w:tc>
          <w:tcPr>
            <w:tcW w:w="1843" w:type="dxa"/>
          </w:tcPr>
          <w:p w14:paraId="23D173F8" w14:textId="77777777" w:rsidR="00951A61" w:rsidRPr="00AB541D" w:rsidRDefault="00951A61" w:rsidP="00A4032F">
            <w:pPr>
              <w:pStyle w:val="affe"/>
              <w:ind w:left="0"/>
              <w:jc w:val="center"/>
              <w:rPr>
                <w:rFonts w:ascii="Tahoma" w:hAnsi="Tahoma" w:cs="Tahoma"/>
                <w:sz w:val="20"/>
                <w:szCs w:val="20"/>
              </w:rPr>
            </w:pPr>
          </w:p>
        </w:tc>
      </w:tr>
      <w:tr w:rsidR="00951A61" w:rsidRPr="00AB541D" w14:paraId="09FEC376" w14:textId="77777777" w:rsidTr="00A4032F">
        <w:trPr>
          <w:trHeight w:val="486"/>
        </w:trPr>
        <w:tc>
          <w:tcPr>
            <w:tcW w:w="992" w:type="dxa"/>
          </w:tcPr>
          <w:p w14:paraId="76534E10" w14:textId="77777777" w:rsidR="00951A61" w:rsidRPr="00AB541D" w:rsidRDefault="00951A61" w:rsidP="00A4032F">
            <w:pPr>
              <w:pStyle w:val="affe"/>
              <w:ind w:left="0"/>
              <w:rPr>
                <w:rFonts w:ascii="Tahoma" w:hAnsi="Tahoma" w:cs="Tahoma"/>
                <w:sz w:val="20"/>
                <w:szCs w:val="20"/>
              </w:rPr>
            </w:pPr>
            <w:r w:rsidRPr="00AB541D">
              <w:rPr>
                <w:rFonts w:ascii="Tahoma" w:hAnsi="Tahoma" w:cs="Tahoma"/>
                <w:sz w:val="20"/>
                <w:szCs w:val="20"/>
              </w:rPr>
              <w:t>2.2.1.</w:t>
            </w:r>
          </w:p>
        </w:tc>
        <w:tc>
          <w:tcPr>
            <w:tcW w:w="11907" w:type="dxa"/>
          </w:tcPr>
          <w:p w14:paraId="74E6B99D" w14:textId="77777777" w:rsidR="00951A61" w:rsidRPr="00262CC7" w:rsidRDefault="00951A61" w:rsidP="00A4032F">
            <w:pPr>
              <w:pStyle w:val="affe"/>
              <w:ind w:left="0"/>
              <w:rPr>
                <w:rFonts w:ascii="Tahoma" w:hAnsi="Tahoma" w:cs="Tahoma"/>
                <w:sz w:val="20"/>
                <w:szCs w:val="20"/>
              </w:rPr>
            </w:pPr>
            <w:r w:rsidRPr="00AB541D">
              <w:rPr>
                <w:rFonts w:ascii="Tahoma" w:hAnsi="Tahoma" w:cs="Tahoma"/>
                <w:sz w:val="20"/>
                <w:szCs w:val="20"/>
              </w:rPr>
              <w:t>В случае предоставления первоначаль</w:t>
            </w:r>
            <w:r>
              <w:rPr>
                <w:rFonts w:ascii="Tahoma" w:hAnsi="Tahoma" w:cs="Tahoma"/>
                <w:sz w:val="20"/>
                <w:szCs w:val="20"/>
              </w:rPr>
              <w:t>ного взноса в размере менее 20%.</w:t>
            </w:r>
          </w:p>
        </w:tc>
        <w:tc>
          <w:tcPr>
            <w:tcW w:w="1843" w:type="dxa"/>
            <w:vAlign w:val="center"/>
          </w:tcPr>
          <w:p w14:paraId="526BBB56" w14:textId="77777777" w:rsidR="00951A61" w:rsidRPr="00AB541D" w:rsidRDefault="00951A61" w:rsidP="00A4032F">
            <w:pPr>
              <w:pStyle w:val="affe"/>
              <w:ind w:left="0"/>
              <w:jc w:val="center"/>
              <w:rPr>
                <w:rFonts w:ascii="Tahoma" w:hAnsi="Tahoma" w:cs="Tahoma"/>
                <w:sz w:val="20"/>
                <w:szCs w:val="20"/>
              </w:rPr>
            </w:pPr>
            <w:r>
              <w:rPr>
                <w:rFonts w:ascii="Tahoma" w:hAnsi="Tahoma" w:cs="Tahoma"/>
                <w:sz w:val="20"/>
                <w:szCs w:val="20"/>
              </w:rPr>
              <w:t>плюс</w:t>
            </w:r>
            <w:r w:rsidRPr="00AB541D">
              <w:rPr>
                <w:rFonts w:ascii="Tahoma" w:hAnsi="Tahoma" w:cs="Tahoma"/>
                <w:sz w:val="20"/>
                <w:szCs w:val="20"/>
              </w:rPr>
              <w:t xml:space="preserve"> 0,75</w:t>
            </w:r>
          </w:p>
        </w:tc>
      </w:tr>
      <w:tr w:rsidR="00951A61" w:rsidRPr="00AB541D" w14:paraId="59A1B9F8" w14:textId="77777777" w:rsidTr="00A4032F">
        <w:trPr>
          <w:trHeight w:val="500"/>
        </w:trPr>
        <w:tc>
          <w:tcPr>
            <w:tcW w:w="992" w:type="dxa"/>
          </w:tcPr>
          <w:p w14:paraId="0D9D4AF4" w14:textId="77777777" w:rsidR="00951A61" w:rsidRPr="00AB541D" w:rsidRDefault="00951A61" w:rsidP="00A4032F">
            <w:pPr>
              <w:pStyle w:val="affe"/>
              <w:ind w:left="0"/>
              <w:rPr>
                <w:rFonts w:ascii="Tahoma" w:hAnsi="Tahoma" w:cs="Tahoma"/>
                <w:sz w:val="20"/>
                <w:szCs w:val="20"/>
              </w:rPr>
            </w:pPr>
            <w:r w:rsidRPr="00AB541D">
              <w:rPr>
                <w:rFonts w:ascii="Tahoma" w:hAnsi="Tahoma" w:cs="Tahoma"/>
                <w:sz w:val="20"/>
                <w:szCs w:val="20"/>
              </w:rPr>
              <w:t>2.2.2.</w:t>
            </w:r>
          </w:p>
        </w:tc>
        <w:tc>
          <w:tcPr>
            <w:tcW w:w="11907" w:type="dxa"/>
          </w:tcPr>
          <w:p w14:paraId="6651383F" w14:textId="77777777" w:rsidR="00951A61" w:rsidRPr="00AB541D" w:rsidRDefault="00951A61" w:rsidP="00A4032F">
            <w:pPr>
              <w:pStyle w:val="affe"/>
              <w:ind w:left="0"/>
              <w:rPr>
                <w:rFonts w:ascii="Tahoma" w:hAnsi="Tahoma" w:cs="Tahoma"/>
                <w:sz w:val="20"/>
                <w:szCs w:val="20"/>
              </w:rPr>
            </w:pPr>
            <w:r w:rsidRPr="00AB541D">
              <w:rPr>
                <w:rFonts w:ascii="Tahoma" w:hAnsi="Tahoma" w:cs="Tahoma"/>
                <w:sz w:val="20"/>
                <w:szCs w:val="20"/>
              </w:rPr>
              <w:t>Если заемщик является индивидуальным предпринимателем/владельцем (совладельцем) бизнеса (Учредитель/соучредитель организации (юридического лица), владеющий долей в Уставном капитале). Доля дохода от предпринимательской деятельности должна составлять 50% и более от совокупного учитываемого дохода по заявке.</w:t>
            </w:r>
          </w:p>
        </w:tc>
        <w:tc>
          <w:tcPr>
            <w:tcW w:w="1843" w:type="dxa"/>
            <w:vAlign w:val="center"/>
          </w:tcPr>
          <w:p w14:paraId="54E7BF46" w14:textId="77777777" w:rsidR="00951A61" w:rsidRPr="00AB541D" w:rsidRDefault="00951A61" w:rsidP="00A4032F">
            <w:pPr>
              <w:pStyle w:val="affe"/>
              <w:ind w:left="0"/>
              <w:jc w:val="center"/>
              <w:rPr>
                <w:rFonts w:ascii="Tahoma" w:hAnsi="Tahoma" w:cs="Tahoma"/>
                <w:sz w:val="20"/>
                <w:szCs w:val="20"/>
              </w:rPr>
            </w:pPr>
            <w:r>
              <w:rPr>
                <w:rFonts w:ascii="Tahoma" w:hAnsi="Tahoma" w:cs="Tahoma"/>
                <w:sz w:val="20"/>
                <w:szCs w:val="20"/>
              </w:rPr>
              <w:t>плюс</w:t>
            </w:r>
            <w:r w:rsidRPr="00AB541D">
              <w:rPr>
                <w:rFonts w:ascii="Tahoma" w:hAnsi="Tahoma" w:cs="Tahoma"/>
                <w:sz w:val="20"/>
                <w:szCs w:val="20"/>
              </w:rPr>
              <w:t xml:space="preserve"> 0,5</w:t>
            </w:r>
          </w:p>
        </w:tc>
      </w:tr>
      <w:tr w:rsidR="00951A61" w:rsidRPr="00AB541D" w14:paraId="1B2D0743" w14:textId="77777777" w:rsidTr="00A4032F">
        <w:trPr>
          <w:trHeight w:val="1177"/>
        </w:trPr>
        <w:tc>
          <w:tcPr>
            <w:tcW w:w="992" w:type="dxa"/>
          </w:tcPr>
          <w:p w14:paraId="2C683B42" w14:textId="77777777" w:rsidR="00951A61" w:rsidRPr="00AB541D" w:rsidRDefault="00951A61" w:rsidP="00A4032F">
            <w:pPr>
              <w:pStyle w:val="affe"/>
              <w:ind w:left="0"/>
              <w:rPr>
                <w:rFonts w:ascii="Tahoma" w:hAnsi="Tahoma" w:cs="Tahoma"/>
                <w:sz w:val="20"/>
                <w:szCs w:val="20"/>
              </w:rPr>
            </w:pPr>
            <w:r w:rsidRPr="00AB541D">
              <w:rPr>
                <w:rFonts w:ascii="Tahoma" w:hAnsi="Tahoma" w:cs="Tahoma"/>
                <w:sz w:val="20"/>
                <w:szCs w:val="20"/>
              </w:rPr>
              <w:t>2.2.3</w:t>
            </w:r>
            <w:r w:rsidRPr="00AB541D">
              <w:rPr>
                <w:rStyle w:val="aff3"/>
                <w:rFonts w:ascii="Tahoma" w:hAnsi="Tahoma" w:cs="Tahoma"/>
                <w:sz w:val="20"/>
                <w:szCs w:val="20"/>
              </w:rPr>
              <w:footnoteReference w:id="58"/>
            </w:r>
            <w:r w:rsidRPr="00AB541D">
              <w:rPr>
                <w:rFonts w:ascii="Tahoma" w:hAnsi="Tahoma" w:cs="Tahoma"/>
                <w:sz w:val="20"/>
                <w:szCs w:val="20"/>
              </w:rPr>
              <w:t>.</w:t>
            </w:r>
          </w:p>
        </w:tc>
        <w:tc>
          <w:tcPr>
            <w:tcW w:w="11907" w:type="dxa"/>
          </w:tcPr>
          <w:p w14:paraId="35B6167D" w14:textId="77777777" w:rsidR="00951A61" w:rsidRPr="00AB541D" w:rsidRDefault="00951A61" w:rsidP="00A4032F">
            <w:pPr>
              <w:pStyle w:val="affe"/>
              <w:ind w:left="0"/>
              <w:rPr>
                <w:rFonts w:ascii="Tahoma" w:hAnsi="Tahoma" w:cs="Tahoma"/>
                <w:sz w:val="20"/>
                <w:szCs w:val="20"/>
              </w:rPr>
            </w:pPr>
            <w:r w:rsidRPr="00AB541D">
              <w:rPr>
                <w:rFonts w:ascii="Tahoma" w:hAnsi="Tahoma" w:cs="Tahoma"/>
                <w:sz w:val="20"/>
                <w:szCs w:val="20"/>
              </w:rPr>
              <w:t>В случае отказа Заемщика при заключении кредитного договора от дополнительных видов страхования, а также отсутствие продления договора страхования в течение срока действия кредитного договора, а также отсутствие продления/заключения нового договора страхования в течение 2-х календарных месяцев, со дня истечения срока действия полиса страхования:</w:t>
            </w:r>
          </w:p>
          <w:p w14:paraId="25898623" w14:textId="77777777" w:rsidR="00951A61" w:rsidRPr="00AB541D" w:rsidRDefault="00951A61" w:rsidP="00A4032F">
            <w:pPr>
              <w:pStyle w:val="affe"/>
              <w:ind w:left="0"/>
              <w:rPr>
                <w:rFonts w:ascii="Tahoma" w:hAnsi="Tahoma" w:cs="Tahoma"/>
                <w:sz w:val="20"/>
                <w:szCs w:val="20"/>
              </w:rPr>
            </w:pPr>
            <w:r w:rsidRPr="00AB541D">
              <w:rPr>
                <w:rFonts w:ascii="Tahoma" w:hAnsi="Tahoma" w:cs="Tahoma"/>
                <w:sz w:val="20"/>
                <w:szCs w:val="20"/>
              </w:rPr>
              <w:t xml:space="preserve">- Личное страхование (страхование рисков, связанных с причинением вреда жизни и здоровью в результате несчастного случая или болезни); </w:t>
            </w:r>
          </w:p>
        </w:tc>
        <w:tc>
          <w:tcPr>
            <w:tcW w:w="1843" w:type="dxa"/>
            <w:vAlign w:val="center"/>
          </w:tcPr>
          <w:p w14:paraId="27EBC68E" w14:textId="77777777" w:rsidR="00951A61" w:rsidRPr="00AB541D" w:rsidRDefault="00951A61" w:rsidP="00A4032F">
            <w:pPr>
              <w:pStyle w:val="affe"/>
              <w:ind w:left="0"/>
              <w:jc w:val="center"/>
              <w:rPr>
                <w:rFonts w:ascii="Tahoma" w:hAnsi="Tahoma" w:cs="Tahoma"/>
                <w:sz w:val="20"/>
                <w:szCs w:val="20"/>
              </w:rPr>
            </w:pPr>
            <w:r>
              <w:rPr>
                <w:rFonts w:ascii="Tahoma" w:hAnsi="Tahoma" w:cs="Tahoma"/>
                <w:sz w:val="20"/>
                <w:szCs w:val="20"/>
              </w:rPr>
              <w:t>плюс</w:t>
            </w:r>
            <w:r w:rsidRPr="00AB541D">
              <w:rPr>
                <w:rFonts w:ascii="Tahoma" w:hAnsi="Tahoma" w:cs="Tahoma"/>
                <w:sz w:val="20"/>
                <w:szCs w:val="20"/>
              </w:rPr>
              <w:t xml:space="preserve"> 2</w:t>
            </w:r>
          </w:p>
        </w:tc>
      </w:tr>
      <w:tr w:rsidR="00951A61" w:rsidRPr="00AB541D" w14:paraId="7AF70E76" w14:textId="77777777" w:rsidTr="00A4032F">
        <w:trPr>
          <w:trHeight w:val="709"/>
        </w:trPr>
        <w:tc>
          <w:tcPr>
            <w:tcW w:w="992" w:type="dxa"/>
          </w:tcPr>
          <w:p w14:paraId="297C485E" w14:textId="77777777" w:rsidR="00951A61" w:rsidRPr="00AB541D" w:rsidRDefault="00951A61" w:rsidP="00A4032F">
            <w:pPr>
              <w:pStyle w:val="affe"/>
              <w:ind w:left="0"/>
              <w:rPr>
                <w:rFonts w:ascii="Tahoma" w:hAnsi="Tahoma" w:cs="Tahoma"/>
                <w:sz w:val="20"/>
                <w:szCs w:val="20"/>
              </w:rPr>
            </w:pPr>
            <w:r w:rsidRPr="00AB541D">
              <w:rPr>
                <w:rFonts w:ascii="Tahoma" w:hAnsi="Tahoma" w:cs="Tahoma"/>
                <w:sz w:val="20"/>
                <w:szCs w:val="20"/>
              </w:rPr>
              <w:t>2.2.4.</w:t>
            </w:r>
          </w:p>
        </w:tc>
        <w:tc>
          <w:tcPr>
            <w:tcW w:w="11907" w:type="dxa"/>
          </w:tcPr>
          <w:p w14:paraId="1FF10C60" w14:textId="77777777" w:rsidR="00951A61" w:rsidRPr="00AB541D" w:rsidRDefault="00951A61" w:rsidP="00A4032F">
            <w:pPr>
              <w:pStyle w:val="affe"/>
              <w:ind w:left="0"/>
              <w:rPr>
                <w:rFonts w:ascii="Tahoma" w:hAnsi="Tahoma" w:cs="Tahoma"/>
                <w:sz w:val="20"/>
                <w:szCs w:val="20"/>
              </w:rPr>
            </w:pPr>
            <w:r w:rsidRPr="00AB541D">
              <w:rPr>
                <w:rFonts w:ascii="Tahoma" w:hAnsi="Tahoma" w:cs="Tahoma"/>
                <w:sz w:val="20"/>
                <w:szCs w:val="20"/>
              </w:rPr>
              <w:t>Надбавка к процентной ставке за предоставление первоначального взноса в размере менее 20% от стоимости приобретаемого объекта недвижимости применяется в случае непогашения средствами МСК части кредита в срок 2 месяца с даты выдачи кредита на период до погашения части кредитных средств за счет МСК.</w:t>
            </w:r>
          </w:p>
        </w:tc>
        <w:tc>
          <w:tcPr>
            <w:tcW w:w="1843" w:type="dxa"/>
            <w:vAlign w:val="center"/>
          </w:tcPr>
          <w:p w14:paraId="7D748AA0" w14:textId="77777777" w:rsidR="00951A61" w:rsidRPr="00AB541D" w:rsidRDefault="00951A61" w:rsidP="00A4032F">
            <w:pPr>
              <w:pStyle w:val="affe"/>
              <w:ind w:left="0"/>
              <w:jc w:val="center"/>
              <w:rPr>
                <w:rFonts w:ascii="Tahoma" w:hAnsi="Tahoma" w:cs="Tahoma"/>
                <w:sz w:val="20"/>
                <w:szCs w:val="20"/>
              </w:rPr>
            </w:pPr>
            <w:r>
              <w:rPr>
                <w:rFonts w:ascii="Tahoma" w:hAnsi="Tahoma" w:cs="Tahoma"/>
                <w:sz w:val="20"/>
                <w:szCs w:val="20"/>
              </w:rPr>
              <w:t>плюс</w:t>
            </w:r>
            <w:r w:rsidRPr="00AB541D">
              <w:rPr>
                <w:rFonts w:ascii="Tahoma" w:hAnsi="Tahoma" w:cs="Tahoma"/>
                <w:sz w:val="20"/>
                <w:szCs w:val="20"/>
              </w:rPr>
              <w:t xml:space="preserve"> 0,75</w:t>
            </w:r>
          </w:p>
        </w:tc>
      </w:tr>
    </w:tbl>
    <w:p w14:paraId="72F2CC43" w14:textId="77777777" w:rsidR="00951A61" w:rsidRDefault="00951A61" w:rsidP="00951A61">
      <w:pPr>
        <w:pStyle w:val="affe"/>
        <w:suppressAutoHyphens/>
        <w:spacing w:before="80" w:after="120"/>
        <w:ind w:left="284" w:right="23"/>
        <w:rPr>
          <w:rFonts w:ascii="Tahoma" w:hAnsi="Tahoma" w:cs="Tahoma"/>
          <w:sz w:val="20"/>
          <w:szCs w:val="20"/>
        </w:rPr>
      </w:pPr>
    </w:p>
    <w:p w14:paraId="679308DE" w14:textId="77777777" w:rsidR="00951A61" w:rsidRPr="00953715" w:rsidRDefault="00951A61" w:rsidP="00951A61">
      <w:pPr>
        <w:pStyle w:val="affe"/>
        <w:suppressAutoHyphens/>
        <w:spacing w:before="80" w:after="120"/>
        <w:ind w:left="284" w:right="23"/>
        <w:rPr>
          <w:rFonts w:ascii="Tahoma" w:hAnsi="Tahoma" w:cs="Tahoma"/>
          <w:sz w:val="20"/>
          <w:szCs w:val="20"/>
        </w:rPr>
      </w:pPr>
      <w:r w:rsidRPr="008A5478">
        <w:rPr>
          <w:rFonts w:ascii="Tahoma" w:hAnsi="Tahoma" w:cs="Tahoma"/>
          <w:b/>
          <w:sz w:val="20"/>
          <w:szCs w:val="20"/>
        </w:rPr>
        <w:t>3.</w:t>
      </w:r>
      <w:r w:rsidRPr="008A5478">
        <w:rPr>
          <w:rFonts w:ascii="Tahoma" w:hAnsi="Tahoma" w:cs="Tahoma"/>
          <w:sz w:val="20"/>
          <w:szCs w:val="20"/>
        </w:rPr>
        <w:t xml:space="preserve"> Итоговая процентная ставка по ипотечному кредиту формируется по итогам суммирования дисконтов и надбавок, максимальный размер дисконта по итогам суммирования не может превышать минус 0,4 процентных пункта, за исключением случаев применения специального дисконта, указанного в п. 2.1.6. настоящего </w:t>
      </w:r>
      <w:r w:rsidRPr="008A5478">
        <w:rPr>
          <w:rFonts w:ascii="Tahoma" w:hAnsi="Tahoma" w:cs="Tahoma"/>
          <w:sz w:val="20"/>
          <w:szCs w:val="20"/>
        </w:rPr>
        <w:lastRenderedPageBreak/>
        <w:t xml:space="preserve">документа, при применении любого из которых иные дисконты не применяются и не суммируются. </w:t>
      </w:r>
      <w:r w:rsidRPr="008A5478">
        <w:rPr>
          <w:rFonts w:ascii="Tahoma" w:hAnsi="Tahoma" w:cs="Tahoma"/>
          <w:b/>
          <w:sz w:val="20"/>
          <w:szCs w:val="20"/>
        </w:rPr>
        <w:t>Итоговая процентная ставка по ипотечному кредиту не может быть менее 21,5%(Квартира/Апартаменты) / 22,5%(Таунхаус) годовых для клиентов, подтверждающих доход Выпиской ПФР и зарплатных клиентов, а так же не менее 22,5%(Квартира/Апартаменты) / 23,5%(Таунхаус) для остальных категорий клиентов.</w:t>
      </w:r>
    </w:p>
    <w:p w14:paraId="0EC82776" w14:textId="77777777" w:rsidR="00951A61" w:rsidRDefault="00951A61" w:rsidP="00951A61">
      <w:pPr>
        <w:pStyle w:val="affe"/>
        <w:suppressAutoHyphens/>
        <w:spacing w:before="80" w:after="120"/>
        <w:ind w:left="284" w:right="23"/>
        <w:rPr>
          <w:rFonts w:ascii="Tahoma" w:hAnsi="Tahoma" w:cs="Tahoma"/>
          <w:b/>
          <w:sz w:val="20"/>
          <w:szCs w:val="20"/>
        </w:rPr>
      </w:pPr>
    </w:p>
    <w:p w14:paraId="2F9E822E" w14:textId="77777777" w:rsidR="00951A61" w:rsidRPr="00715A57" w:rsidRDefault="00951A61" w:rsidP="00951A61">
      <w:pPr>
        <w:pageBreakBefore/>
        <w:suppressAutoHyphens/>
        <w:spacing w:before="80" w:after="120"/>
        <w:rPr>
          <w:rFonts w:ascii="Tahoma" w:hAnsi="Tahoma" w:cs="Tahoma"/>
          <w:b/>
          <w:sz w:val="20"/>
          <w:szCs w:val="20"/>
        </w:rPr>
      </w:pPr>
    </w:p>
    <w:tbl>
      <w:tblPr>
        <w:tblpPr w:leftFromText="180" w:rightFromText="180" w:vertAnchor="text" w:horzAnchor="margin" w:tblpY="63"/>
        <w:tblW w:w="15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52"/>
      </w:tblGrid>
      <w:tr w:rsidR="00951A61" w:rsidRPr="00BC7209" w14:paraId="4557DD42" w14:textId="77777777" w:rsidTr="00A4032F">
        <w:trPr>
          <w:trHeight w:val="227"/>
        </w:trPr>
        <w:tc>
          <w:tcPr>
            <w:tcW w:w="15652" w:type="dxa"/>
            <w:tcBorders>
              <w:top w:val="single" w:sz="4" w:space="0" w:color="auto"/>
              <w:left w:val="single" w:sz="4" w:space="0" w:color="auto"/>
              <w:bottom w:val="single" w:sz="4" w:space="0" w:color="auto"/>
              <w:right w:val="single" w:sz="4" w:space="0" w:color="auto"/>
            </w:tcBorders>
            <w:shd w:val="clear" w:color="auto" w:fill="E36C0A"/>
            <w:hideMark/>
          </w:tcPr>
          <w:p w14:paraId="6EF4EDE8" w14:textId="36ADC6ED" w:rsidR="00951A61" w:rsidRPr="00BC7209" w:rsidRDefault="000B3718" w:rsidP="000B3718">
            <w:pPr>
              <w:pStyle w:val="a5"/>
              <w:rPr>
                <w:rFonts w:eastAsia="Calibri"/>
                <w:szCs w:val="22"/>
              </w:rPr>
            </w:pPr>
            <w:r>
              <w:rPr>
                <w:noProof/>
              </w:rPr>
              <w:t xml:space="preserve">2.3.3 </w:t>
            </w:r>
            <w:r w:rsidR="00951A61" w:rsidRPr="00BC7209">
              <w:rPr>
                <w:noProof/>
              </w:rPr>
              <w:t>Тарифный план «Рефинансирование»</w:t>
            </w:r>
            <w:r w:rsidR="00951A61">
              <w:rPr>
                <w:noProof/>
              </w:rPr>
              <w:t xml:space="preserve"> </w:t>
            </w:r>
          </w:p>
        </w:tc>
      </w:tr>
    </w:tbl>
    <w:p w14:paraId="56D0101B" w14:textId="77777777" w:rsidR="00951A61" w:rsidRDefault="00951A61" w:rsidP="00951A61">
      <w:pPr>
        <w:jc w:val="center"/>
        <w:rPr>
          <w:rFonts w:ascii="Tahoma" w:hAnsi="Tahoma" w:cs="Tahoma"/>
          <w:b/>
          <w:noProof/>
          <w:sz w:val="20"/>
          <w:szCs w:val="20"/>
        </w:rPr>
      </w:pPr>
    </w:p>
    <w:p w14:paraId="0706C191" w14:textId="77777777" w:rsidR="00951A61" w:rsidRPr="00F77EED" w:rsidRDefault="00951A61" w:rsidP="00951A61">
      <w:pPr>
        <w:jc w:val="center"/>
        <w:rPr>
          <w:rFonts w:ascii="Tahoma" w:hAnsi="Tahoma" w:cs="Tahoma"/>
          <w:b/>
          <w:noProof/>
          <w:sz w:val="20"/>
          <w:szCs w:val="20"/>
        </w:rPr>
      </w:pPr>
      <w:r w:rsidRPr="00F77EED">
        <w:rPr>
          <w:rFonts w:ascii="Tahoma" w:hAnsi="Tahoma" w:cs="Tahoma"/>
          <w:b/>
          <w:noProof/>
          <w:sz w:val="20"/>
          <w:szCs w:val="20"/>
        </w:rPr>
        <w:t xml:space="preserve">ИНФОРМАЦИЯ ОБ УСЛОВИЯХ ПРЕДОСТАВЛЕНИЯ, ИСПОЛЬЗОВАНИЯ И ВОЗВРАТА ИПОТЕЧНОГО КРЕДИТА </w:t>
      </w:r>
    </w:p>
    <w:p w14:paraId="293C7E6A" w14:textId="77777777" w:rsidR="00951A61" w:rsidRPr="00F77EED" w:rsidRDefault="00951A61" w:rsidP="00951A61">
      <w:pPr>
        <w:jc w:val="center"/>
        <w:rPr>
          <w:rFonts w:ascii="Tahoma" w:hAnsi="Tahoma" w:cs="Tahoma"/>
          <w:b/>
          <w:noProof/>
          <w:sz w:val="20"/>
          <w:szCs w:val="20"/>
        </w:rPr>
      </w:pPr>
      <w:r w:rsidRPr="00F77EED">
        <w:rPr>
          <w:rFonts w:ascii="Tahoma" w:hAnsi="Tahoma" w:cs="Tahoma"/>
          <w:b/>
          <w:noProof/>
        </w:rPr>
        <w:t xml:space="preserve"> </w:t>
      </w:r>
      <w:r w:rsidRPr="00F77EED">
        <w:rPr>
          <w:rFonts w:ascii="Tahoma" w:hAnsi="Tahoma" w:cs="Tahoma"/>
          <w:b/>
          <w:noProof/>
          <w:sz w:val="20"/>
          <w:szCs w:val="20"/>
        </w:rPr>
        <w:t>ПО ТАРИФНОМУ ПЛАНУ «РЕФИНАНСИРОВАНИЕ»</w:t>
      </w:r>
    </w:p>
    <w:p w14:paraId="10CA7ED4" w14:textId="77777777" w:rsidR="00951A61" w:rsidRPr="00F77EED" w:rsidRDefault="00951A61" w:rsidP="00951A61">
      <w:pPr>
        <w:jc w:val="center"/>
        <w:rPr>
          <w:rFonts w:ascii="Tahoma" w:hAnsi="Tahoma" w:cs="Tahoma"/>
          <w:b/>
          <w:bCs/>
          <w:caps/>
          <w:sz w:val="20"/>
          <w:szCs w:val="20"/>
        </w:rPr>
      </w:pPr>
    </w:p>
    <w:p w14:paraId="43704815" w14:textId="77777777" w:rsidR="00951A61" w:rsidRPr="00F77EED" w:rsidRDefault="00951A61" w:rsidP="00B460F9">
      <w:pPr>
        <w:pStyle w:val="affe"/>
        <w:numPr>
          <w:ilvl w:val="0"/>
          <w:numId w:val="184"/>
        </w:numPr>
        <w:tabs>
          <w:tab w:val="left" w:pos="851"/>
        </w:tabs>
        <w:ind w:left="0" w:firstLine="426"/>
        <w:contextualSpacing/>
        <w:jc w:val="both"/>
        <w:rPr>
          <w:rFonts w:ascii="Tahoma" w:hAnsi="Tahoma" w:cs="Tahoma"/>
          <w:noProof/>
          <w:sz w:val="20"/>
          <w:szCs w:val="20"/>
        </w:rPr>
      </w:pPr>
      <w:r w:rsidRPr="00F77EED">
        <w:rPr>
          <w:rFonts w:ascii="Tahoma" w:hAnsi="Tahoma" w:cs="Tahoma"/>
          <w:b/>
          <w:bCs/>
          <w:caps/>
          <w:sz w:val="20"/>
          <w:szCs w:val="20"/>
        </w:rPr>
        <w:t>ОСНОВНЫЕ ПОНЯТИЯ, ИСПОЛЬЗУЕМЫЕ ТЕРМИНЫ и сокращения</w:t>
      </w:r>
    </w:p>
    <w:p w14:paraId="458A28E4" w14:textId="77777777" w:rsidR="00951A61" w:rsidRPr="00F77EED" w:rsidRDefault="00951A61" w:rsidP="00951A61">
      <w:pPr>
        <w:rPr>
          <w:rFonts w:ascii="Tahoma" w:hAnsi="Tahoma" w:cs="Tahoma"/>
          <w:noProof/>
          <w:sz w:val="20"/>
          <w:szCs w:val="20"/>
        </w:rPr>
      </w:pPr>
    </w:p>
    <w:tbl>
      <w:tblPr>
        <w:tblW w:w="498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7"/>
        <w:gridCol w:w="11541"/>
      </w:tblGrid>
      <w:tr w:rsidR="00951A61" w:rsidRPr="0073538C" w14:paraId="0747B4CD" w14:textId="77777777" w:rsidTr="00A4032F">
        <w:tc>
          <w:tcPr>
            <w:tcW w:w="1310" w:type="pct"/>
            <w:vAlign w:val="center"/>
          </w:tcPr>
          <w:p w14:paraId="604F95CF" w14:textId="77777777" w:rsidR="00951A61" w:rsidRPr="0073538C" w:rsidRDefault="00951A61" w:rsidP="00A4032F">
            <w:pPr>
              <w:tabs>
                <w:tab w:val="left" w:pos="851"/>
              </w:tabs>
              <w:jc w:val="center"/>
              <w:rPr>
                <w:rFonts w:ascii="Tahoma" w:hAnsi="Tahoma" w:cs="Tahoma"/>
                <w:sz w:val="20"/>
                <w:szCs w:val="20"/>
              </w:rPr>
            </w:pPr>
            <w:r w:rsidRPr="0073538C">
              <w:rPr>
                <w:rFonts w:ascii="Tahoma" w:hAnsi="Tahoma" w:cs="Tahoma"/>
                <w:sz w:val="20"/>
                <w:szCs w:val="20"/>
              </w:rPr>
              <w:t>Апартаменты</w:t>
            </w:r>
          </w:p>
        </w:tc>
        <w:tc>
          <w:tcPr>
            <w:tcW w:w="3690" w:type="pct"/>
          </w:tcPr>
          <w:p w14:paraId="6832FE03" w14:textId="77777777" w:rsidR="00951A61" w:rsidRPr="0073538C" w:rsidRDefault="00951A61" w:rsidP="00A4032F">
            <w:pPr>
              <w:tabs>
                <w:tab w:val="left" w:pos="851"/>
              </w:tabs>
              <w:ind w:firstLine="425"/>
              <w:jc w:val="both"/>
              <w:rPr>
                <w:rFonts w:ascii="Tahoma" w:hAnsi="Tahoma" w:cs="Tahoma"/>
                <w:sz w:val="20"/>
                <w:szCs w:val="20"/>
              </w:rPr>
            </w:pPr>
            <w:r w:rsidRPr="0073538C">
              <w:rPr>
                <w:rFonts w:ascii="Tahoma" w:hAnsi="Tahoma" w:cs="Tahoma"/>
                <w:sz w:val="20"/>
                <w:szCs w:val="20"/>
              </w:rPr>
              <w:t>Объект нежилой недвижимости, наделенный потребительскими свойствами объекта жилой недвижимости, в силу санитарных норм, установленных законодательством Российской Федерации, не предназначенный для постоянного проживания.</w:t>
            </w:r>
          </w:p>
        </w:tc>
      </w:tr>
      <w:tr w:rsidR="00951A61" w:rsidRPr="0073538C" w14:paraId="369D47CA" w14:textId="77777777" w:rsidTr="00A4032F">
        <w:tc>
          <w:tcPr>
            <w:tcW w:w="1310" w:type="pct"/>
          </w:tcPr>
          <w:p w14:paraId="64EFCBAD" w14:textId="77777777" w:rsidR="00951A61" w:rsidRPr="0073538C" w:rsidRDefault="00951A61" w:rsidP="00A4032F">
            <w:pPr>
              <w:tabs>
                <w:tab w:val="left" w:pos="0"/>
                <w:tab w:val="left" w:pos="9072"/>
                <w:tab w:val="left" w:pos="10549"/>
              </w:tabs>
              <w:jc w:val="center"/>
              <w:rPr>
                <w:rFonts w:ascii="Tahoma" w:hAnsi="Tahoma" w:cs="Tahoma"/>
                <w:sz w:val="20"/>
                <w:szCs w:val="20"/>
              </w:rPr>
            </w:pPr>
            <w:r w:rsidRPr="0073538C">
              <w:rPr>
                <w:rFonts w:ascii="Tahoma" w:hAnsi="Tahoma" w:cs="Tahoma"/>
                <w:sz w:val="20"/>
                <w:szCs w:val="20"/>
              </w:rPr>
              <w:t>Действительная стоимость Предмета ипотеки</w:t>
            </w:r>
          </w:p>
          <w:p w14:paraId="5E659652" w14:textId="77777777" w:rsidR="00951A61" w:rsidRPr="0073538C" w:rsidRDefault="00951A61" w:rsidP="00A4032F">
            <w:pPr>
              <w:tabs>
                <w:tab w:val="left" w:pos="851"/>
              </w:tabs>
              <w:jc w:val="center"/>
              <w:rPr>
                <w:rFonts w:ascii="Tahoma" w:hAnsi="Tahoma" w:cs="Tahoma"/>
                <w:sz w:val="20"/>
                <w:szCs w:val="20"/>
              </w:rPr>
            </w:pPr>
          </w:p>
        </w:tc>
        <w:tc>
          <w:tcPr>
            <w:tcW w:w="3690" w:type="pct"/>
          </w:tcPr>
          <w:p w14:paraId="7A44A5E5" w14:textId="77777777" w:rsidR="00951A61" w:rsidRPr="0073538C" w:rsidRDefault="00951A61" w:rsidP="00A4032F">
            <w:pPr>
              <w:tabs>
                <w:tab w:val="left" w:pos="851"/>
              </w:tabs>
              <w:ind w:firstLine="425"/>
              <w:jc w:val="both"/>
              <w:rPr>
                <w:rFonts w:ascii="Tahoma" w:hAnsi="Tahoma" w:cs="Tahoma"/>
                <w:sz w:val="20"/>
                <w:szCs w:val="20"/>
              </w:rPr>
            </w:pPr>
            <w:r w:rsidRPr="0073538C">
              <w:rPr>
                <w:rFonts w:ascii="Tahoma" w:hAnsi="Tahoma" w:cs="Tahoma"/>
                <w:sz w:val="20"/>
                <w:szCs w:val="20"/>
              </w:rPr>
              <w:t>Рыночная стоимость Предмета ипотеки, определяемая как наименьшая из величин: рыночная стоимость согласно Отчету об оценке; рыночная стоимость Предмета ипотеки в соответствии с заключением ответственного подразделения Банка (при необходимости).</w:t>
            </w:r>
          </w:p>
        </w:tc>
      </w:tr>
      <w:tr w:rsidR="00951A61" w:rsidRPr="0073538C" w14:paraId="12BE4125" w14:textId="77777777" w:rsidTr="00A4032F">
        <w:tc>
          <w:tcPr>
            <w:tcW w:w="1310" w:type="pct"/>
            <w:vAlign w:val="center"/>
          </w:tcPr>
          <w:p w14:paraId="4AD7E520" w14:textId="77777777" w:rsidR="00951A61" w:rsidRPr="0073538C" w:rsidRDefault="00951A61" w:rsidP="00A4032F">
            <w:pPr>
              <w:tabs>
                <w:tab w:val="left" w:pos="851"/>
              </w:tabs>
              <w:jc w:val="center"/>
              <w:rPr>
                <w:rFonts w:ascii="Tahoma" w:hAnsi="Tahoma" w:cs="Tahoma"/>
                <w:sz w:val="20"/>
                <w:szCs w:val="20"/>
              </w:rPr>
            </w:pPr>
            <w:r w:rsidRPr="0073538C">
              <w:rPr>
                <w:rFonts w:ascii="Tahoma" w:hAnsi="Tahoma" w:cs="Tahoma"/>
                <w:sz w:val="20"/>
                <w:szCs w:val="20"/>
              </w:rPr>
              <w:t xml:space="preserve">Заемщик/Созаемщик </w:t>
            </w:r>
          </w:p>
          <w:p w14:paraId="577DE72C" w14:textId="77777777" w:rsidR="00951A61" w:rsidRPr="0073538C" w:rsidRDefault="00951A61" w:rsidP="00A4032F">
            <w:pPr>
              <w:tabs>
                <w:tab w:val="left" w:pos="0"/>
                <w:tab w:val="left" w:pos="9072"/>
                <w:tab w:val="left" w:pos="10549"/>
              </w:tabs>
              <w:jc w:val="center"/>
              <w:rPr>
                <w:rFonts w:ascii="Tahoma" w:hAnsi="Tahoma" w:cs="Tahoma"/>
                <w:sz w:val="20"/>
                <w:szCs w:val="20"/>
              </w:rPr>
            </w:pPr>
            <w:r w:rsidRPr="0073538C">
              <w:rPr>
                <w:rFonts w:ascii="Tahoma" w:hAnsi="Tahoma" w:cs="Tahoma"/>
                <w:sz w:val="20"/>
                <w:szCs w:val="20"/>
              </w:rPr>
              <w:t>(далее по тексту – Заемщик, если применимо для двух сторон)</w:t>
            </w:r>
          </w:p>
        </w:tc>
        <w:tc>
          <w:tcPr>
            <w:tcW w:w="3690" w:type="pct"/>
            <w:vAlign w:val="center"/>
          </w:tcPr>
          <w:p w14:paraId="141A6811" w14:textId="77777777" w:rsidR="00951A61" w:rsidRPr="0073538C" w:rsidRDefault="00951A61" w:rsidP="00A4032F">
            <w:pPr>
              <w:tabs>
                <w:tab w:val="left" w:pos="851"/>
              </w:tabs>
              <w:ind w:firstLine="425"/>
              <w:jc w:val="both"/>
              <w:rPr>
                <w:rFonts w:ascii="Tahoma" w:hAnsi="Tahoma" w:cs="Tahoma"/>
                <w:sz w:val="20"/>
                <w:szCs w:val="20"/>
              </w:rPr>
            </w:pPr>
            <w:r w:rsidRPr="0073538C">
              <w:rPr>
                <w:rFonts w:ascii="Tahoma" w:hAnsi="Tahoma" w:cs="Tahoma"/>
                <w:sz w:val="20"/>
                <w:szCs w:val="20"/>
              </w:rPr>
              <w:t>Физическое лицо, обратившееся в Банк с Заявлением получить, получающее или получившее Ипотечный кредит/потребительский кредит/потребительский кредит (с лимитом кредитования) на основании заключения Кредитного договора/договора потребительского кредитования.</w:t>
            </w:r>
          </w:p>
          <w:p w14:paraId="541708ED" w14:textId="77777777" w:rsidR="00951A61" w:rsidRPr="0073538C" w:rsidRDefault="00951A61" w:rsidP="00A4032F">
            <w:pPr>
              <w:tabs>
                <w:tab w:val="left" w:pos="851"/>
              </w:tabs>
              <w:ind w:firstLine="425"/>
              <w:jc w:val="both"/>
              <w:rPr>
                <w:rFonts w:ascii="Tahoma" w:hAnsi="Tahoma" w:cs="Tahoma"/>
                <w:sz w:val="20"/>
                <w:szCs w:val="20"/>
              </w:rPr>
            </w:pPr>
            <w:r w:rsidRPr="0073538C">
              <w:rPr>
                <w:rFonts w:ascii="Tahoma" w:hAnsi="Tahoma" w:cs="Tahoma"/>
                <w:sz w:val="20"/>
                <w:szCs w:val="20"/>
              </w:rPr>
              <w:t>Созаемщик – лицо, совместно с Заемщиком обратившееся в Банк с Заявлением получить, получающее или получившее Ипотечный кредит по Кредитному договору. Созаемщик имеет равные права и обязанности с Заемщиком, в том числе несет солидарную ответственность перед Банком по погашению. Его доходы также, как и доходы Заемщика, могут быть учтены для расчета максимально возможной суммы кредита.</w:t>
            </w:r>
          </w:p>
        </w:tc>
      </w:tr>
      <w:tr w:rsidR="00951A61" w:rsidRPr="0073538C" w14:paraId="6C440C4F" w14:textId="77777777" w:rsidTr="00A4032F">
        <w:tc>
          <w:tcPr>
            <w:tcW w:w="1310" w:type="pct"/>
            <w:vAlign w:val="center"/>
          </w:tcPr>
          <w:p w14:paraId="27D5E223" w14:textId="77777777" w:rsidR="00951A61" w:rsidRPr="0073538C" w:rsidRDefault="00951A61" w:rsidP="00A4032F">
            <w:pPr>
              <w:tabs>
                <w:tab w:val="left" w:pos="851"/>
              </w:tabs>
              <w:jc w:val="center"/>
              <w:rPr>
                <w:rFonts w:ascii="Tahoma" w:hAnsi="Tahoma" w:cs="Tahoma"/>
                <w:sz w:val="20"/>
                <w:szCs w:val="20"/>
              </w:rPr>
            </w:pPr>
            <w:r w:rsidRPr="0073538C">
              <w:rPr>
                <w:rFonts w:ascii="Tahoma" w:hAnsi="Tahoma" w:cs="Tahoma"/>
                <w:sz w:val="20"/>
                <w:szCs w:val="20"/>
              </w:rPr>
              <w:t>Заемщик с официально подтвержденным доходом</w:t>
            </w:r>
          </w:p>
        </w:tc>
        <w:tc>
          <w:tcPr>
            <w:tcW w:w="3690" w:type="pct"/>
            <w:vAlign w:val="center"/>
          </w:tcPr>
          <w:p w14:paraId="53512D4F" w14:textId="77777777" w:rsidR="00951A61" w:rsidRPr="0073538C" w:rsidRDefault="00951A61" w:rsidP="00A4032F">
            <w:pPr>
              <w:tabs>
                <w:tab w:val="left" w:pos="851"/>
              </w:tabs>
              <w:ind w:firstLine="425"/>
              <w:jc w:val="both"/>
              <w:rPr>
                <w:rFonts w:ascii="Tahoma" w:hAnsi="Tahoma" w:cs="Tahoma"/>
                <w:sz w:val="20"/>
                <w:szCs w:val="20"/>
              </w:rPr>
            </w:pPr>
            <w:r w:rsidRPr="003D1AA4">
              <w:rPr>
                <w:rFonts w:ascii="Tahoma" w:hAnsi="Tahoma" w:cs="Tahoma"/>
                <w:sz w:val="20"/>
                <w:szCs w:val="20"/>
              </w:rPr>
              <w:t xml:space="preserve">Клиент Банка, подтверждающий </w:t>
            </w:r>
            <w:r>
              <w:rPr>
                <w:rFonts w:ascii="Tahoma" w:hAnsi="Tahoma" w:cs="Tahoma"/>
                <w:sz w:val="20"/>
                <w:szCs w:val="20"/>
              </w:rPr>
              <w:t xml:space="preserve">всю </w:t>
            </w:r>
            <w:r w:rsidRPr="003D1AA4">
              <w:rPr>
                <w:rFonts w:ascii="Tahoma" w:hAnsi="Tahoma" w:cs="Tahoma"/>
                <w:sz w:val="20"/>
                <w:szCs w:val="20"/>
              </w:rPr>
              <w:t xml:space="preserve">сумму дохода и занятость выпиской из Социального фонда России или подтверждающий </w:t>
            </w:r>
            <w:r>
              <w:rPr>
                <w:rFonts w:ascii="Tahoma" w:hAnsi="Tahoma" w:cs="Tahoma"/>
                <w:sz w:val="20"/>
                <w:szCs w:val="20"/>
              </w:rPr>
              <w:t xml:space="preserve">всю </w:t>
            </w:r>
            <w:r w:rsidRPr="003D1AA4">
              <w:rPr>
                <w:rFonts w:ascii="Tahoma" w:hAnsi="Tahoma" w:cs="Tahoma"/>
                <w:sz w:val="20"/>
                <w:szCs w:val="20"/>
              </w:rPr>
              <w:t>сумму дохода одним или несколькими вариантами: выписка со счета, на который поступают зарплатные зачисления от работодателя Заемщика и по которой однозначно можно идентифицировать назначение начисления - «заработная плата/ денежное довольствие/ вознаграждение» и/или выписка со счета стороннего банка, на который поступают пенсионные зачисления и/или справка о пенсионных выплатах органа, выплачивающего пенсию.</w:t>
            </w:r>
          </w:p>
        </w:tc>
      </w:tr>
      <w:tr w:rsidR="00951A61" w:rsidRPr="0073538C" w14:paraId="69BDB2AB" w14:textId="77777777" w:rsidTr="00A4032F">
        <w:tc>
          <w:tcPr>
            <w:tcW w:w="1310" w:type="pct"/>
          </w:tcPr>
          <w:p w14:paraId="09992006" w14:textId="77777777" w:rsidR="00951A61" w:rsidRPr="0073538C" w:rsidRDefault="00951A61" w:rsidP="00A4032F">
            <w:pPr>
              <w:tabs>
                <w:tab w:val="left" w:pos="851"/>
              </w:tabs>
              <w:jc w:val="center"/>
              <w:rPr>
                <w:rFonts w:ascii="Tahoma" w:hAnsi="Tahoma" w:cs="Tahoma"/>
                <w:sz w:val="20"/>
                <w:szCs w:val="20"/>
              </w:rPr>
            </w:pPr>
            <w:r w:rsidRPr="0073538C">
              <w:rPr>
                <w:rFonts w:ascii="Tahoma" w:hAnsi="Tahoma" w:cs="Tahoma"/>
                <w:sz w:val="20"/>
                <w:szCs w:val="20"/>
              </w:rPr>
              <w:t>Зарплатные клиенты Банка</w:t>
            </w:r>
          </w:p>
        </w:tc>
        <w:tc>
          <w:tcPr>
            <w:tcW w:w="3690" w:type="pct"/>
          </w:tcPr>
          <w:p w14:paraId="526E3A41" w14:textId="77777777" w:rsidR="00951A61" w:rsidRPr="0073538C" w:rsidRDefault="00951A61" w:rsidP="00A4032F">
            <w:pPr>
              <w:tabs>
                <w:tab w:val="left" w:pos="851"/>
              </w:tabs>
              <w:ind w:firstLine="425"/>
              <w:jc w:val="both"/>
              <w:rPr>
                <w:rFonts w:ascii="Tahoma" w:hAnsi="Tahoma" w:cs="Tahoma"/>
                <w:sz w:val="20"/>
                <w:szCs w:val="20"/>
              </w:rPr>
            </w:pPr>
            <w:r w:rsidRPr="0073538C">
              <w:rPr>
                <w:rFonts w:ascii="Tahoma" w:hAnsi="Tahoma" w:cs="Tahoma"/>
                <w:sz w:val="20"/>
                <w:szCs w:val="20"/>
              </w:rPr>
              <w:t>Клиент Банка, получающий заработную плату на Счет, открытый в «Азиатско-Тихоокеанский Банк» (АО)</w:t>
            </w:r>
          </w:p>
        </w:tc>
      </w:tr>
      <w:tr w:rsidR="00951A61" w:rsidRPr="0073538C" w14:paraId="438AB3CE" w14:textId="77777777" w:rsidTr="00A4032F">
        <w:tc>
          <w:tcPr>
            <w:tcW w:w="1310" w:type="pct"/>
          </w:tcPr>
          <w:p w14:paraId="2D7C28E8" w14:textId="77777777" w:rsidR="00951A61" w:rsidRPr="0073538C" w:rsidRDefault="00951A61" w:rsidP="00A4032F">
            <w:pPr>
              <w:tabs>
                <w:tab w:val="left" w:pos="851"/>
              </w:tabs>
              <w:jc w:val="center"/>
              <w:rPr>
                <w:rFonts w:ascii="Tahoma" w:hAnsi="Tahoma" w:cs="Tahoma"/>
                <w:sz w:val="20"/>
                <w:szCs w:val="20"/>
              </w:rPr>
            </w:pPr>
            <w:r w:rsidRPr="0073538C">
              <w:rPr>
                <w:rFonts w:ascii="Tahoma" w:hAnsi="Tahoma" w:cs="Tahoma"/>
                <w:sz w:val="20"/>
                <w:szCs w:val="20"/>
              </w:rPr>
              <w:t xml:space="preserve">Кредит </w:t>
            </w:r>
          </w:p>
        </w:tc>
        <w:tc>
          <w:tcPr>
            <w:tcW w:w="3690" w:type="pct"/>
          </w:tcPr>
          <w:p w14:paraId="0F3A1D82" w14:textId="77777777" w:rsidR="00951A61" w:rsidRPr="0073538C" w:rsidRDefault="00951A61" w:rsidP="00A4032F">
            <w:pPr>
              <w:tabs>
                <w:tab w:val="left" w:pos="851"/>
              </w:tabs>
              <w:ind w:firstLine="425"/>
              <w:jc w:val="both"/>
              <w:rPr>
                <w:rFonts w:ascii="Tahoma" w:hAnsi="Tahoma" w:cs="Tahoma"/>
                <w:sz w:val="20"/>
                <w:szCs w:val="20"/>
              </w:rPr>
            </w:pPr>
            <w:r w:rsidRPr="0073538C">
              <w:rPr>
                <w:rFonts w:ascii="Tahoma" w:hAnsi="Tahoma" w:cs="Tahoma"/>
                <w:sz w:val="20"/>
                <w:szCs w:val="20"/>
              </w:rPr>
              <w:t xml:space="preserve">Денежные средства, предоставляемые Банком Заемщику на основе возвратности, платности, срочности и обеспеченности в размере и на условиях, предусмотренных </w:t>
            </w:r>
            <w:r w:rsidRPr="00B52A25">
              <w:rPr>
                <w:rFonts w:ascii="Tahoma" w:hAnsi="Tahoma" w:cs="Tahoma"/>
                <w:sz w:val="20"/>
                <w:szCs w:val="20"/>
              </w:rPr>
              <w:t>Кредитным д</w:t>
            </w:r>
            <w:r w:rsidRPr="0073538C">
              <w:rPr>
                <w:rFonts w:ascii="Tahoma" w:hAnsi="Tahoma" w:cs="Tahoma"/>
                <w:sz w:val="20"/>
                <w:szCs w:val="20"/>
              </w:rPr>
              <w:t>оговором.</w:t>
            </w:r>
          </w:p>
        </w:tc>
      </w:tr>
      <w:tr w:rsidR="00951A61" w:rsidRPr="0073538C" w14:paraId="35432793" w14:textId="77777777" w:rsidTr="00A4032F">
        <w:tc>
          <w:tcPr>
            <w:tcW w:w="1310" w:type="pct"/>
            <w:vAlign w:val="center"/>
          </w:tcPr>
          <w:p w14:paraId="3B20CCCA" w14:textId="77777777" w:rsidR="00951A61" w:rsidRPr="0073538C" w:rsidRDefault="00951A61" w:rsidP="00A4032F">
            <w:pPr>
              <w:tabs>
                <w:tab w:val="left" w:pos="851"/>
              </w:tabs>
              <w:jc w:val="center"/>
              <w:rPr>
                <w:rFonts w:ascii="Tahoma" w:hAnsi="Tahoma" w:cs="Tahoma"/>
                <w:sz w:val="20"/>
                <w:szCs w:val="20"/>
              </w:rPr>
            </w:pPr>
            <w:r w:rsidRPr="0073538C">
              <w:rPr>
                <w:rFonts w:ascii="Tahoma" w:hAnsi="Tahoma" w:cs="Tahoma"/>
                <w:sz w:val="20"/>
                <w:szCs w:val="20"/>
              </w:rPr>
              <w:t>Кредитный договор</w:t>
            </w:r>
          </w:p>
        </w:tc>
        <w:tc>
          <w:tcPr>
            <w:tcW w:w="3690" w:type="pct"/>
            <w:vAlign w:val="center"/>
          </w:tcPr>
          <w:p w14:paraId="745D2AE2" w14:textId="77777777" w:rsidR="00951A61" w:rsidRPr="0073538C" w:rsidRDefault="00951A61" w:rsidP="00A4032F">
            <w:pPr>
              <w:tabs>
                <w:tab w:val="left" w:pos="851"/>
              </w:tabs>
              <w:ind w:firstLine="425"/>
              <w:jc w:val="both"/>
              <w:rPr>
                <w:rFonts w:ascii="Tahoma" w:hAnsi="Tahoma" w:cs="Tahoma"/>
                <w:sz w:val="20"/>
                <w:szCs w:val="20"/>
              </w:rPr>
            </w:pPr>
            <w:r w:rsidRPr="0073538C">
              <w:rPr>
                <w:rFonts w:ascii="Tahoma" w:hAnsi="Tahoma" w:cs="Tahoma"/>
                <w:sz w:val="20"/>
                <w:szCs w:val="20"/>
              </w:rPr>
              <w:t>Договор потребительского кредита, который заключен между Банком и физическим лицом в целях, не связанных с осуществлением физическим лицом (Заемщиком) предпринимательской деятельности, и обязательства Заемщика по которым обеспечены ипотекой.</w:t>
            </w:r>
          </w:p>
        </w:tc>
      </w:tr>
      <w:tr w:rsidR="00951A61" w:rsidRPr="0073538C" w14:paraId="59EE30F1" w14:textId="77777777" w:rsidTr="00A4032F">
        <w:tc>
          <w:tcPr>
            <w:tcW w:w="1310" w:type="pct"/>
            <w:vAlign w:val="center"/>
          </w:tcPr>
          <w:p w14:paraId="6C51F576" w14:textId="77777777" w:rsidR="00951A61" w:rsidRPr="0073538C" w:rsidRDefault="00951A61" w:rsidP="00A4032F">
            <w:pPr>
              <w:tabs>
                <w:tab w:val="left" w:pos="851"/>
              </w:tabs>
              <w:jc w:val="center"/>
              <w:rPr>
                <w:rFonts w:ascii="Tahoma" w:hAnsi="Tahoma" w:cs="Tahoma"/>
                <w:sz w:val="20"/>
                <w:szCs w:val="20"/>
              </w:rPr>
            </w:pPr>
            <w:r w:rsidRPr="0073538C">
              <w:rPr>
                <w:rFonts w:ascii="Tahoma" w:hAnsi="Tahoma" w:cs="Tahoma"/>
                <w:sz w:val="20"/>
                <w:szCs w:val="20"/>
              </w:rPr>
              <w:t>Наименование кредитора (Банка), место нахождения постоянно действующего исполнительного органа, контактный телефон, по которому осуществляется связь с Банком, официальный сайт, номер лицензии на осуществление банковских операций.</w:t>
            </w:r>
          </w:p>
        </w:tc>
        <w:tc>
          <w:tcPr>
            <w:tcW w:w="3690" w:type="pct"/>
            <w:vAlign w:val="center"/>
          </w:tcPr>
          <w:p w14:paraId="1F429F83" w14:textId="77777777" w:rsidR="00951A61" w:rsidRPr="0073538C" w:rsidRDefault="00951A61" w:rsidP="00A4032F">
            <w:pPr>
              <w:tabs>
                <w:tab w:val="left" w:pos="851"/>
              </w:tabs>
              <w:ind w:firstLine="425"/>
              <w:jc w:val="both"/>
              <w:rPr>
                <w:rFonts w:ascii="Tahoma" w:hAnsi="Tahoma" w:cs="Tahoma"/>
                <w:sz w:val="20"/>
                <w:szCs w:val="20"/>
              </w:rPr>
            </w:pPr>
            <w:r w:rsidRPr="0073538C">
              <w:rPr>
                <w:rFonts w:ascii="Tahoma" w:hAnsi="Tahoma" w:cs="Tahoma"/>
                <w:sz w:val="20"/>
                <w:szCs w:val="20"/>
              </w:rPr>
              <w:t>«Азиатско-Тихоокеанский Банк» (Акционерное общество)</w:t>
            </w:r>
            <w:r>
              <w:rPr>
                <w:rFonts w:ascii="Tahoma" w:hAnsi="Tahoma" w:cs="Tahoma"/>
                <w:sz w:val="20"/>
                <w:szCs w:val="20"/>
              </w:rPr>
              <w:t xml:space="preserve">, </w:t>
            </w:r>
            <w:r w:rsidRPr="0073538C">
              <w:rPr>
                <w:rFonts w:ascii="Tahoma" w:hAnsi="Tahoma" w:cs="Tahoma"/>
                <w:sz w:val="20"/>
                <w:szCs w:val="20"/>
              </w:rPr>
              <w:t xml:space="preserve">по тексту - Банк. Универсальная лицензия ЦБ РФ № 1810, ОГРН: 1022800000079, ИНН: 2801023444, БИК: 041012765, кор. счет №: 30101810300000000765 в Отделении Благовещенск. Местонахождение Банка и место нахождения его постоянно действующего исполнительного органа: 675004, Амурская область, г. Благовещенск, ул. Амурская, дом 225. Контактный тел.: 8 800 775 8888 (звонок по России бесплатный). Сайт Банка в сети Интернет: </w:t>
            </w:r>
            <w:hyperlink r:id="rId46" w:history="1">
              <w:r w:rsidRPr="0073538C">
                <w:rPr>
                  <w:rFonts w:ascii="Tahoma" w:hAnsi="Tahoma" w:cs="Tahoma"/>
                  <w:sz w:val="20"/>
                  <w:szCs w:val="20"/>
                </w:rPr>
                <w:t>www.atb.su</w:t>
              </w:r>
            </w:hyperlink>
            <w:r w:rsidRPr="0073538C">
              <w:rPr>
                <w:rFonts w:ascii="Tahoma" w:hAnsi="Tahoma" w:cs="Tahoma"/>
                <w:sz w:val="20"/>
                <w:szCs w:val="20"/>
              </w:rPr>
              <w:t>.</w:t>
            </w:r>
          </w:p>
        </w:tc>
      </w:tr>
      <w:tr w:rsidR="00951A61" w:rsidRPr="0073538C" w14:paraId="039BFF41" w14:textId="77777777" w:rsidTr="00A4032F">
        <w:tc>
          <w:tcPr>
            <w:tcW w:w="1310" w:type="pct"/>
            <w:vAlign w:val="center"/>
          </w:tcPr>
          <w:p w14:paraId="21D86AEA" w14:textId="77777777" w:rsidR="00951A61" w:rsidRPr="0073538C" w:rsidRDefault="00951A61" w:rsidP="00A4032F">
            <w:pPr>
              <w:tabs>
                <w:tab w:val="left" w:pos="851"/>
              </w:tabs>
              <w:jc w:val="center"/>
              <w:rPr>
                <w:rFonts w:ascii="Tahoma" w:hAnsi="Tahoma" w:cs="Tahoma"/>
                <w:sz w:val="20"/>
                <w:szCs w:val="20"/>
              </w:rPr>
            </w:pPr>
            <w:r w:rsidRPr="0073538C">
              <w:rPr>
                <w:rFonts w:ascii="Tahoma" w:hAnsi="Tahoma" w:cs="Tahoma"/>
                <w:sz w:val="20"/>
                <w:szCs w:val="20"/>
              </w:rPr>
              <w:lastRenderedPageBreak/>
              <w:t>Предмет ипотеки</w:t>
            </w:r>
          </w:p>
        </w:tc>
        <w:tc>
          <w:tcPr>
            <w:tcW w:w="3690" w:type="pct"/>
            <w:vAlign w:val="center"/>
          </w:tcPr>
          <w:p w14:paraId="068A52ED" w14:textId="77777777" w:rsidR="00951A61" w:rsidRPr="0073538C" w:rsidRDefault="00951A61" w:rsidP="00A4032F">
            <w:pPr>
              <w:tabs>
                <w:tab w:val="left" w:pos="851"/>
              </w:tabs>
              <w:ind w:firstLine="425"/>
              <w:jc w:val="both"/>
              <w:rPr>
                <w:rFonts w:ascii="Tahoma" w:hAnsi="Tahoma" w:cs="Tahoma"/>
                <w:sz w:val="20"/>
                <w:szCs w:val="20"/>
              </w:rPr>
            </w:pPr>
            <w:r w:rsidRPr="0073538C">
              <w:rPr>
                <w:rFonts w:ascii="Tahoma" w:hAnsi="Tahoma" w:cs="Tahoma"/>
                <w:sz w:val="20"/>
                <w:szCs w:val="20"/>
              </w:rPr>
              <w:t>Объект недвижимости, под залог которого осуществляется выдача ипотечного кредита.</w:t>
            </w:r>
          </w:p>
        </w:tc>
      </w:tr>
      <w:tr w:rsidR="00951A61" w:rsidRPr="0073538C" w14:paraId="135F6530" w14:textId="77777777" w:rsidTr="00A4032F">
        <w:tc>
          <w:tcPr>
            <w:tcW w:w="1310" w:type="pct"/>
          </w:tcPr>
          <w:p w14:paraId="129C1A16" w14:textId="77777777" w:rsidR="00951A61" w:rsidRPr="0073538C" w:rsidRDefault="00951A61" w:rsidP="00A4032F">
            <w:pPr>
              <w:tabs>
                <w:tab w:val="left" w:pos="851"/>
              </w:tabs>
              <w:jc w:val="center"/>
              <w:rPr>
                <w:rFonts w:ascii="Tahoma" w:hAnsi="Tahoma" w:cs="Tahoma"/>
                <w:color w:val="000000"/>
                <w:sz w:val="20"/>
                <w:szCs w:val="20"/>
              </w:rPr>
            </w:pPr>
            <w:r w:rsidRPr="0073538C">
              <w:rPr>
                <w:rFonts w:ascii="Tahoma" w:hAnsi="Tahoma" w:cs="Tahoma"/>
                <w:color w:val="000000"/>
                <w:sz w:val="20"/>
                <w:szCs w:val="20"/>
              </w:rPr>
              <w:t>ПСК</w:t>
            </w:r>
          </w:p>
        </w:tc>
        <w:tc>
          <w:tcPr>
            <w:tcW w:w="3690" w:type="pct"/>
          </w:tcPr>
          <w:p w14:paraId="09A17DAF"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 xml:space="preserve">Полная стоимость потребительского кредита определяется как в процентах годовых, </w:t>
            </w:r>
            <w:r w:rsidRPr="0073538C">
              <w:rPr>
                <w:rFonts w:ascii="Tahoma" w:hAnsi="Tahoma" w:cs="Tahoma"/>
                <w:bCs/>
                <w:sz w:val="20"/>
                <w:szCs w:val="20"/>
              </w:rPr>
              <w:t>так и в денежном выражении.</w:t>
            </w:r>
          </w:p>
        </w:tc>
      </w:tr>
      <w:tr w:rsidR="00951A61" w:rsidRPr="0073538C" w14:paraId="55325AD0" w14:textId="77777777" w:rsidTr="00A4032F">
        <w:tc>
          <w:tcPr>
            <w:tcW w:w="1310" w:type="pct"/>
          </w:tcPr>
          <w:p w14:paraId="4DB9A845" w14:textId="77777777" w:rsidR="00951A61" w:rsidRPr="0073538C" w:rsidRDefault="00951A61" w:rsidP="00A4032F">
            <w:pPr>
              <w:jc w:val="center"/>
              <w:rPr>
                <w:rFonts w:ascii="Tahoma" w:hAnsi="Tahoma" w:cs="Tahoma"/>
                <w:bCs/>
                <w:sz w:val="20"/>
                <w:szCs w:val="20"/>
              </w:rPr>
            </w:pPr>
            <w:r w:rsidRPr="0073538C">
              <w:rPr>
                <w:rFonts w:ascii="Tahoma" w:hAnsi="Tahoma" w:cs="Tahoma"/>
                <w:sz w:val="20"/>
                <w:szCs w:val="20"/>
              </w:rPr>
              <w:t>ТБС (либо ТБС Заемщика)</w:t>
            </w:r>
          </w:p>
        </w:tc>
        <w:tc>
          <w:tcPr>
            <w:tcW w:w="3690" w:type="pct"/>
          </w:tcPr>
          <w:p w14:paraId="667943FE" w14:textId="77777777" w:rsidR="00951A61" w:rsidRPr="0073538C" w:rsidRDefault="00951A61" w:rsidP="00A4032F">
            <w:pPr>
              <w:widowControl w:val="0"/>
              <w:tabs>
                <w:tab w:val="left" w:pos="851"/>
              </w:tabs>
              <w:adjustRightInd w:val="0"/>
              <w:ind w:firstLine="425"/>
              <w:jc w:val="both"/>
              <w:rPr>
                <w:rFonts w:ascii="Tahoma" w:hAnsi="Tahoma" w:cs="Tahoma"/>
                <w:bCs/>
                <w:sz w:val="20"/>
                <w:szCs w:val="20"/>
              </w:rPr>
            </w:pPr>
            <w:r w:rsidRPr="0073538C">
              <w:rPr>
                <w:rFonts w:ascii="Tahoma" w:hAnsi="Tahoma" w:cs="Tahoma"/>
                <w:sz w:val="20"/>
                <w:szCs w:val="20"/>
              </w:rPr>
              <w:t>Текущий банковский счет, открытый Банком Заемщику в рамках Кредитного договора.</w:t>
            </w:r>
          </w:p>
        </w:tc>
      </w:tr>
    </w:tbl>
    <w:p w14:paraId="07D2BADA" w14:textId="77777777" w:rsidR="00951A61" w:rsidRPr="000107B6" w:rsidRDefault="00951A61" w:rsidP="00951A61">
      <w:pPr>
        <w:tabs>
          <w:tab w:val="left" w:pos="12600"/>
        </w:tabs>
        <w:rPr>
          <w:rFonts w:ascii="Tahoma" w:hAnsi="Tahoma" w:cs="Tahoma"/>
          <w:noProof/>
          <w:sz w:val="20"/>
          <w:szCs w:val="20"/>
        </w:rPr>
      </w:pPr>
    </w:p>
    <w:p w14:paraId="3A56F624" w14:textId="77777777" w:rsidR="00951A61" w:rsidRPr="000107B6" w:rsidRDefault="00951A61" w:rsidP="00951A61">
      <w:pPr>
        <w:tabs>
          <w:tab w:val="left" w:pos="12600"/>
        </w:tabs>
        <w:jc w:val="both"/>
        <w:rPr>
          <w:rFonts w:ascii="Tahoma" w:hAnsi="Tahoma" w:cs="Tahoma"/>
          <w:noProof/>
          <w:sz w:val="20"/>
          <w:szCs w:val="20"/>
        </w:rPr>
      </w:pPr>
      <w:r w:rsidRPr="001A27DD">
        <w:rPr>
          <w:rFonts w:ascii="Tahoma" w:hAnsi="Tahoma" w:cs="Tahoma"/>
          <w:noProof/>
          <w:sz w:val="20"/>
          <w:szCs w:val="20"/>
        </w:rPr>
        <w:t>Не приведенные в настоящем документе значения терминов, применяются в значении, определенном в Универсальном договоре банковского обслуживания физических лиц «Азиатско-Тихоокеанский Банк» (АО), размещённом на сайте Банка: www.atb.su и в Подразде</w:t>
      </w:r>
      <w:r>
        <w:rPr>
          <w:rFonts w:ascii="Tahoma" w:hAnsi="Tahoma" w:cs="Tahoma"/>
          <w:noProof/>
          <w:sz w:val="20"/>
          <w:szCs w:val="20"/>
        </w:rPr>
        <w:t>л</w:t>
      </w:r>
      <w:r w:rsidRPr="001A27DD">
        <w:rPr>
          <w:rFonts w:ascii="Tahoma" w:hAnsi="Tahoma" w:cs="Tahoma"/>
          <w:noProof/>
          <w:sz w:val="20"/>
          <w:szCs w:val="20"/>
        </w:rPr>
        <w:t>ениях Банка</w:t>
      </w:r>
      <w:r w:rsidRPr="000107B6">
        <w:rPr>
          <w:rFonts w:ascii="Tahoma" w:hAnsi="Tahoma" w:cs="Tahoma"/>
          <w:noProof/>
          <w:sz w:val="20"/>
          <w:szCs w:val="20"/>
        </w:rPr>
        <w:t>.</w:t>
      </w:r>
    </w:p>
    <w:p w14:paraId="352D9EB7" w14:textId="77777777" w:rsidR="00951A61" w:rsidRPr="000107B6" w:rsidRDefault="00951A61" w:rsidP="00951A61">
      <w:pPr>
        <w:tabs>
          <w:tab w:val="left" w:pos="12600"/>
        </w:tabs>
        <w:rPr>
          <w:rFonts w:ascii="Tahoma" w:hAnsi="Tahoma" w:cs="Tahoma"/>
          <w:noProof/>
          <w:sz w:val="20"/>
          <w:szCs w:val="20"/>
        </w:rPr>
      </w:pPr>
      <w:r w:rsidRPr="000107B6">
        <w:rPr>
          <w:rFonts w:ascii="Tahoma" w:hAnsi="Tahoma" w:cs="Tahoma"/>
          <w:noProof/>
          <w:sz w:val="20"/>
          <w:szCs w:val="20"/>
        </w:rPr>
        <w:tab/>
      </w:r>
    </w:p>
    <w:p w14:paraId="322EB1F1" w14:textId="77777777" w:rsidR="00951A61" w:rsidRPr="000107B6" w:rsidRDefault="00951A61" w:rsidP="00951A61">
      <w:pPr>
        <w:tabs>
          <w:tab w:val="left" w:pos="12600"/>
        </w:tabs>
        <w:jc w:val="both"/>
        <w:rPr>
          <w:rFonts w:ascii="Tahoma" w:hAnsi="Tahoma" w:cs="Tahoma"/>
          <w:noProof/>
          <w:sz w:val="20"/>
          <w:szCs w:val="20"/>
        </w:rPr>
      </w:pPr>
      <w:r w:rsidRPr="000107B6">
        <w:rPr>
          <w:rFonts w:ascii="Tahoma" w:hAnsi="Tahoma" w:cs="Tahoma"/>
          <w:noProof/>
          <w:sz w:val="20"/>
          <w:szCs w:val="20"/>
        </w:rPr>
        <w:tab/>
      </w:r>
    </w:p>
    <w:p w14:paraId="446D2DC3" w14:textId="77777777" w:rsidR="00951A61" w:rsidRPr="000107B6" w:rsidRDefault="00951A61" w:rsidP="00B460F9">
      <w:pPr>
        <w:pStyle w:val="affe"/>
        <w:numPr>
          <w:ilvl w:val="0"/>
          <w:numId w:val="184"/>
        </w:numPr>
        <w:tabs>
          <w:tab w:val="left" w:pos="851"/>
        </w:tabs>
        <w:ind w:left="0" w:firstLine="426"/>
        <w:contextualSpacing/>
        <w:jc w:val="both"/>
        <w:rPr>
          <w:rFonts w:ascii="Tahoma" w:hAnsi="Tahoma" w:cs="Tahoma"/>
          <w:b/>
          <w:bCs/>
          <w:caps/>
          <w:sz w:val="20"/>
          <w:szCs w:val="20"/>
        </w:rPr>
      </w:pPr>
      <w:r w:rsidRPr="000107B6">
        <w:rPr>
          <w:rFonts w:ascii="Tahoma" w:hAnsi="Tahoma" w:cs="Tahoma"/>
          <w:b/>
          <w:bCs/>
          <w:caps/>
          <w:sz w:val="20"/>
          <w:szCs w:val="20"/>
        </w:rPr>
        <w:t xml:space="preserve">ИНФОРМАЦИЯ ОБ УСЛОВИЯХ ПРЕДОСТАВЛЕНИЯ, ИСПОЛЬЗОВАНИЯ И ВОЗВРАТА ИПОТЕЧНОГО КРЕДИТА </w:t>
      </w:r>
    </w:p>
    <w:p w14:paraId="2B81690F" w14:textId="77777777" w:rsidR="00951A61" w:rsidRPr="000107B6" w:rsidRDefault="00951A61" w:rsidP="00951A61">
      <w:pPr>
        <w:pStyle w:val="affe"/>
        <w:tabs>
          <w:tab w:val="left" w:pos="851"/>
        </w:tabs>
        <w:ind w:left="426"/>
        <w:jc w:val="both"/>
        <w:rPr>
          <w:rFonts w:ascii="Tahoma" w:hAnsi="Tahoma" w:cs="Tahoma"/>
          <w:b/>
          <w:bCs/>
          <w:caps/>
          <w:sz w:val="20"/>
          <w:szCs w:val="20"/>
        </w:rPr>
      </w:pPr>
    </w:p>
    <w:tbl>
      <w:tblPr>
        <w:tblW w:w="15573" w:type="dxa"/>
        <w:tblInd w:w="35" w:type="dxa"/>
        <w:tblLayout w:type="fixed"/>
        <w:tblLook w:val="04A0" w:firstRow="1" w:lastRow="0" w:firstColumn="1" w:lastColumn="0" w:noHBand="0" w:noVBand="1"/>
      </w:tblPr>
      <w:tblGrid>
        <w:gridCol w:w="4121"/>
        <w:gridCol w:w="11452"/>
      </w:tblGrid>
      <w:tr w:rsidR="00951A61" w:rsidRPr="0073538C" w14:paraId="40CF4EE7"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A82869" w14:textId="77777777" w:rsidR="00951A61" w:rsidRPr="0073538C" w:rsidRDefault="00951A61" w:rsidP="00A4032F">
            <w:pPr>
              <w:jc w:val="center"/>
              <w:rPr>
                <w:rFonts w:ascii="Tahoma" w:hAnsi="Tahoma" w:cs="Tahoma"/>
                <w:b/>
                <w:bCs/>
                <w:sz w:val="20"/>
                <w:szCs w:val="20"/>
              </w:rPr>
            </w:pPr>
            <w:r w:rsidRPr="0073538C">
              <w:rPr>
                <w:rFonts w:ascii="Tahoma" w:hAnsi="Tahoma" w:cs="Tahoma"/>
                <w:b/>
                <w:bCs/>
                <w:sz w:val="20"/>
                <w:szCs w:val="20"/>
              </w:rPr>
              <w:t>Наименование                                    тарифного плана (ТП)</w:t>
            </w:r>
          </w:p>
        </w:tc>
        <w:tc>
          <w:tcPr>
            <w:tcW w:w="11452"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4231452" w14:textId="77777777" w:rsidR="00951A61" w:rsidRPr="0073538C" w:rsidRDefault="00951A61" w:rsidP="00A4032F">
            <w:pPr>
              <w:jc w:val="center"/>
              <w:rPr>
                <w:rFonts w:ascii="Tahoma" w:hAnsi="Tahoma" w:cs="Tahoma"/>
                <w:b/>
                <w:bCs/>
                <w:sz w:val="20"/>
                <w:szCs w:val="20"/>
              </w:rPr>
            </w:pPr>
            <w:r w:rsidRPr="0073538C">
              <w:rPr>
                <w:rFonts w:ascii="Tahoma" w:hAnsi="Tahoma" w:cs="Tahoma"/>
                <w:b/>
                <w:bCs/>
                <w:sz w:val="20"/>
                <w:szCs w:val="20"/>
              </w:rPr>
              <w:t>«</w:t>
            </w:r>
            <w:r w:rsidRPr="0073538C">
              <w:rPr>
                <w:rFonts w:ascii="Tahoma" w:hAnsi="Tahoma" w:cs="Tahoma"/>
                <w:b/>
                <w:noProof/>
                <w:sz w:val="20"/>
                <w:szCs w:val="20"/>
              </w:rPr>
              <w:t>Рефинансирование</w:t>
            </w:r>
            <w:r w:rsidRPr="0073538C">
              <w:rPr>
                <w:rFonts w:ascii="Tahoma" w:hAnsi="Tahoma" w:cs="Tahoma"/>
                <w:b/>
                <w:bCs/>
                <w:sz w:val="20"/>
                <w:szCs w:val="20"/>
              </w:rPr>
              <w:t>»</w:t>
            </w:r>
          </w:p>
        </w:tc>
      </w:tr>
      <w:tr w:rsidR="00951A61" w:rsidRPr="0073538C" w14:paraId="5883A6E8"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12C7D6" w14:textId="77777777" w:rsidR="00951A61" w:rsidRPr="0073538C" w:rsidRDefault="00951A61" w:rsidP="00A4032F">
            <w:pPr>
              <w:jc w:val="center"/>
              <w:rPr>
                <w:rFonts w:ascii="Tahoma" w:hAnsi="Tahoma" w:cs="Tahoma"/>
                <w:b/>
                <w:bCs/>
                <w:sz w:val="20"/>
                <w:szCs w:val="20"/>
              </w:rPr>
            </w:pPr>
            <w:r w:rsidRPr="0073538C">
              <w:rPr>
                <w:rFonts w:ascii="Tahoma" w:hAnsi="Tahoma" w:cs="Tahoma"/>
                <w:b/>
                <w:bCs/>
                <w:sz w:val="20"/>
                <w:szCs w:val="20"/>
              </w:rPr>
              <w:t>Вид потребительского кредита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2789475E"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Жилищный (ипотечный) кредит (на цели, не связанные с осуществлением предпринимательской деятельности, и обязательства, по которому обеспечиваются ипотекой).</w:t>
            </w:r>
          </w:p>
        </w:tc>
      </w:tr>
      <w:tr w:rsidR="00951A61" w:rsidRPr="0073538C" w14:paraId="0195C1E7"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4DA6F03E" w14:textId="77777777" w:rsidR="00951A61" w:rsidRPr="0073538C" w:rsidDel="00ED23AE" w:rsidRDefault="00951A61" w:rsidP="00A4032F">
            <w:pPr>
              <w:jc w:val="center"/>
              <w:rPr>
                <w:rFonts w:ascii="Tahoma" w:hAnsi="Tahoma" w:cs="Tahoma"/>
                <w:b/>
                <w:sz w:val="20"/>
                <w:szCs w:val="20"/>
              </w:rPr>
            </w:pPr>
            <w:r w:rsidRPr="0073538C">
              <w:rPr>
                <w:rFonts w:ascii="Tahoma" w:hAnsi="Tahoma" w:cs="Tahoma"/>
                <w:b/>
                <w:sz w:val="20"/>
                <w:szCs w:val="20"/>
              </w:rPr>
              <w:t>Цель потребительского кредита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185B4BD3" w14:textId="77777777" w:rsidR="00951A61" w:rsidRPr="0073538C" w:rsidRDefault="00951A61" w:rsidP="00951A61">
            <w:pPr>
              <w:pStyle w:val="FooterEven"/>
              <w:numPr>
                <w:ilvl w:val="0"/>
                <w:numId w:val="26"/>
              </w:numPr>
              <w:tabs>
                <w:tab w:val="clear" w:pos="4320"/>
                <w:tab w:val="right" w:pos="0"/>
                <w:tab w:val="left" w:pos="97"/>
                <w:tab w:val="center" w:pos="1407"/>
              </w:tabs>
              <w:ind w:left="0" w:firstLine="425"/>
              <w:jc w:val="both"/>
              <w:rPr>
                <w:rFonts w:ascii="Tahoma" w:eastAsia="Times New Roman" w:hAnsi="Tahoma" w:cs="Tahoma"/>
                <w:bCs/>
                <w:kern w:val="32"/>
                <w:sz w:val="20"/>
                <w:lang w:eastAsia="en-US"/>
              </w:rPr>
            </w:pPr>
            <w:r w:rsidRPr="0073538C">
              <w:rPr>
                <w:rFonts w:ascii="Tahoma" w:eastAsia="Times New Roman" w:hAnsi="Tahoma" w:cs="Tahoma"/>
                <w:bCs/>
                <w:kern w:val="32"/>
                <w:sz w:val="20"/>
                <w:lang w:eastAsia="en-US"/>
              </w:rPr>
              <w:t>Ипотечный кредит представляется на следующие цели:</w:t>
            </w:r>
          </w:p>
          <w:p w14:paraId="01789434" w14:textId="77777777" w:rsidR="00951A61" w:rsidRPr="0073538C" w:rsidRDefault="00951A61" w:rsidP="00951A61">
            <w:pPr>
              <w:pStyle w:val="FooterEven"/>
              <w:numPr>
                <w:ilvl w:val="1"/>
                <w:numId w:val="26"/>
              </w:numPr>
              <w:tabs>
                <w:tab w:val="clear" w:pos="4320"/>
                <w:tab w:val="clear" w:pos="8640"/>
                <w:tab w:val="left" w:pos="380"/>
              </w:tabs>
              <w:ind w:left="0" w:firstLine="425"/>
              <w:jc w:val="both"/>
              <w:rPr>
                <w:rFonts w:ascii="Tahoma" w:eastAsia="Times New Roman" w:hAnsi="Tahoma" w:cs="Tahoma"/>
                <w:bCs/>
                <w:kern w:val="32"/>
                <w:sz w:val="20"/>
                <w:lang w:eastAsia="en-US"/>
              </w:rPr>
            </w:pPr>
            <w:r w:rsidRPr="0073538C">
              <w:rPr>
                <w:rFonts w:ascii="Tahoma" w:hAnsi="Tahoma" w:cs="Tahoma"/>
                <w:b w:val="0"/>
                <w:sz w:val="20"/>
              </w:rPr>
              <w:t>Полное досрочное погашение Рефинансируемого</w:t>
            </w:r>
            <w:r w:rsidRPr="0073538C">
              <w:rPr>
                <w:rStyle w:val="aff3"/>
                <w:rFonts w:ascii="Tahoma" w:hAnsi="Tahoma" w:cs="Tahoma"/>
                <w:b w:val="0"/>
                <w:sz w:val="20"/>
              </w:rPr>
              <w:footnoteReference w:id="59"/>
            </w:r>
            <w:r w:rsidRPr="0073538C">
              <w:rPr>
                <w:rFonts w:ascii="Tahoma" w:hAnsi="Tahoma" w:cs="Tahoma"/>
                <w:b w:val="0"/>
                <w:sz w:val="20"/>
              </w:rPr>
              <w:t xml:space="preserve"> ипотечного кредита;</w:t>
            </w:r>
            <w:bookmarkStart w:id="123" w:name="_Ref532460188"/>
          </w:p>
          <w:p w14:paraId="09DA4B5D" w14:textId="77777777" w:rsidR="00951A61" w:rsidRPr="0073538C" w:rsidRDefault="00951A61" w:rsidP="00951A61">
            <w:pPr>
              <w:pStyle w:val="FooterEven"/>
              <w:numPr>
                <w:ilvl w:val="1"/>
                <w:numId w:val="26"/>
              </w:numPr>
              <w:tabs>
                <w:tab w:val="clear" w:pos="4320"/>
                <w:tab w:val="clear" w:pos="8640"/>
                <w:tab w:val="left" w:pos="380"/>
              </w:tabs>
              <w:ind w:left="0" w:firstLine="425"/>
              <w:jc w:val="both"/>
              <w:rPr>
                <w:rFonts w:ascii="Tahoma" w:eastAsia="Times New Roman" w:hAnsi="Tahoma" w:cs="Tahoma"/>
                <w:bCs/>
                <w:kern w:val="32"/>
                <w:sz w:val="20"/>
                <w:lang w:eastAsia="en-US"/>
              </w:rPr>
            </w:pPr>
            <w:r w:rsidRPr="0073538C">
              <w:rPr>
                <w:rFonts w:ascii="Tahoma" w:hAnsi="Tahoma" w:cs="Tahoma"/>
                <w:b w:val="0"/>
                <w:sz w:val="20"/>
              </w:rPr>
              <w:t>Полное досрочное погашение Рефинансируемого</w:t>
            </w:r>
            <w:r w:rsidRPr="0073538C">
              <w:rPr>
                <w:rFonts w:ascii="Tahoma" w:hAnsi="Tahoma" w:cs="Tahoma"/>
                <w:b w:val="0"/>
                <w:sz w:val="20"/>
                <w:vertAlign w:val="superscript"/>
              </w:rPr>
              <w:t>1</w:t>
            </w:r>
            <w:r w:rsidRPr="0073538C">
              <w:rPr>
                <w:rFonts w:ascii="Tahoma" w:hAnsi="Tahoma" w:cs="Tahoma"/>
                <w:b w:val="0"/>
                <w:sz w:val="20"/>
              </w:rPr>
              <w:t xml:space="preserve"> ипотечного кредита и потребительские цели (не связанные с предпринимательской деятельностью) и/или улучшение жилищных условий (в т.ч. оплата неотделимых улучшений, и/или оплата ремонта Предмета ипотеки) (</w:t>
            </w:r>
            <w:r>
              <w:rPr>
                <w:rFonts w:ascii="Tahoma" w:hAnsi="Tahoma" w:cs="Tahoma"/>
                <w:b w:val="0"/>
                <w:sz w:val="20"/>
              </w:rPr>
              <w:t>денежные средства свыше суммы, необходимой для полного досрочного погашения рефинансируемого ипотечного кредита</w:t>
            </w:r>
            <w:r w:rsidRPr="00603276">
              <w:rPr>
                <w:rFonts w:ascii="Tahoma" w:hAnsi="Tahoma" w:cs="Tahoma"/>
                <w:b w:val="0"/>
                <w:sz w:val="20"/>
              </w:rPr>
              <w:t>)</w:t>
            </w:r>
            <w:r w:rsidRPr="002C714E">
              <w:rPr>
                <w:rStyle w:val="aff3"/>
                <w:rFonts w:ascii="Tahoma" w:hAnsi="Tahoma"/>
                <w:b w:val="0"/>
                <w:sz w:val="20"/>
              </w:rPr>
              <w:footnoteReference w:id="60"/>
            </w:r>
            <w:r w:rsidRPr="00603276">
              <w:rPr>
                <w:rFonts w:ascii="Tahoma" w:hAnsi="Tahoma" w:cs="Tahoma"/>
                <w:b w:val="0"/>
                <w:sz w:val="20"/>
              </w:rPr>
              <w:t>.</w:t>
            </w:r>
            <w:bookmarkEnd w:id="123"/>
            <w:r w:rsidRPr="0073538C" w:rsidDel="007E5EF5">
              <w:rPr>
                <w:rFonts w:ascii="Tahoma" w:hAnsi="Tahoma" w:cs="Tahoma"/>
                <w:bCs/>
                <w:kern w:val="32"/>
                <w:sz w:val="20"/>
                <w:lang w:eastAsia="en-US"/>
              </w:rPr>
              <w:t xml:space="preserve"> </w:t>
            </w:r>
          </w:p>
          <w:p w14:paraId="1689D24E" w14:textId="77777777" w:rsidR="00951A61" w:rsidRPr="0073538C" w:rsidRDefault="00951A61" w:rsidP="00951A61">
            <w:pPr>
              <w:pStyle w:val="FooterEven"/>
              <w:numPr>
                <w:ilvl w:val="1"/>
                <w:numId w:val="26"/>
              </w:numPr>
              <w:tabs>
                <w:tab w:val="clear" w:pos="4320"/>
                <w:tab w:val="clear" w:pos="8640"/>
                <w:tab w:val="left" w:pos="380"/>
              </w:tabs>
              <w:ind w:left="0" w:firstLine="425"/>
              <w:jc w:val="both"/>
              <w:rPr>
                <w:rFonts w:ascii="Tahoma" w:eastAsia="Times New Roman" w:hAnsi="Tahoma" w:cs="Tahoma"/>
                <w:bCs/>
                <w:kern w:val="32"/>
                <w:sz w:val="20"/>
                <w:lang w:eastAsia="en-US"/>
              </w:rPr>
            </w:pPr>
            <w:r w:rsidRPr="0073538C">
              <w:rPr>
                <w:rFonts w:ascii="Tahoma" w:hAnsi="Tahoma" w:cs="Tahoma"/>
                <w:b w:val="0"/>
                <w:sz w:val="20"/>
              </w:rPr>
              <w:t>Полное досрочное погашение Рефинансируемого ипотечного кредита и Рефинансирование потребительского кредита</w:t>
            </w:r>
            <w:r w:rsidRPr="0073538C">
              <w:rPr>
                <w:rStyle w:val="aff3"/>
                <w:rFonts w:ascii="Tahoma" w:hAnsi="Tahoma" w:cs="Tahoma"/>
                <w:b w:val="0"/>
                <w:sz w:val="20"/>
              </w:rPr>
              <w:footnoteReference w:id="61"/>
            </w:r>
            <w:r w:rsidRPr="0073538C">
              <w:rPr>
                <w:rFonts w:ascii="Tahoma" w:hAnsi="Tahoma" w:cs="Tahoma"/>
                <w:b w:val="0"/>
                <w:sz w:val="20"/>
              </w:rPr>
              <w:t xml:space="preserve">; </w:t>
            </w:r>
          </w:p>
          <w:p w14:paraId="4055BD0F" w14:textId="77777777" w:rsidR="00951A61" w:rsidRPr="003C621A" w:rsidRDefault="00951A61" w:rsidP="00951A61">
            <w:pPr>
              <w:pStyle w:val="FooterEven"/>
              <w:numPr>
                <w:ilvl w:val="1"/>
                <w:numId w:val="26"/>
              </w:numPr>
              <w:tabs>
                <w:tab w:val="clear" w:pos="4320"/>
                <w:tab w:val="clear" w:pos="8640"/>
                <w:tab w:val="left" w:pos="380"/>
              </w:tabs>
              <w:ind w:left="0" w:firstLine="425"/>
              <w:jc w:val="both"/>
              <w:rPr>
                <w:rFonts w:ascii="Tahoma" w:eastAsia="Times New Roman" w:hAnsi="Tahoma" w:cs="Tahoma"/>
                <w:bCs/>
                <w:kern w:val="32"/>
                <w:sz w:val="20"/>
                <w:lang w:eastAsia="en-US"/>
              </w:rPr>
            </w:pPr>
            <w:r w:rsidRPr="0073538C">
              <w:rPr>
                <w:rFonts w:ascii="Tahoma" w:hAnsi="Tahoma" w:cs="Tahoma"/>
                <w:b w:val="0"/>
                <w:sz w:val="20"/>
              </w:rPr>
              <w:t>Полное досрочное погашение Рефинансируемого ипотечного кредита, Рефинансирование потребительского кредита</w:t>
            </w:r>
            <w:r w:rsidRPr="0073538C">
              <w:rPr>
                <w:rFonts w:ascii="Tahoma" w:hAnsi="Tahoma" w:cs="Tahoma"/>
                <w:b w:val="0"/>
                <w:sz w:val="20"/>
                <w:vertAlign w:val="superscript"/>
              </w:rPr>
              <w:t>2</w:t>
            </w:r>
            <w:r w:rsidRPr="0073538C">
              <w:rPr>
                <w:rFonts w:ascii="Tahoma" w:hAnsi="Tahoma" w:cs="Tahoma"/>
                <w:b w:val="0"/>
                <w:sz w:val="20"/>
              </w:rPr>
              <w:t xml:space="preserve"> и потребительские цели (не связанные с предпринимательской деятельностью) и/или улучшение жилищных условий (в т.ч. оплата неотделимых улучшений, и/или оплата ремонта Предмета ипотеки) (</w:t>
            </w:r>
            <w:r>
              <w:rPr>
                <w:rFonts w:ascii="Tahoma" w:hAnsi="Tahoma" w:cs="Tahoma"/>
                <w:b w:val="0"/>
                <w:sz w:val="20"/>
              </w:rPr>
              <w:t>денежные средства</w:t>
            </w:r>
            <w:r w:rsidRPr="00D64286">
              <w:rPr>
                <w:rFonts w:ascii="Tahoma" w:hAnsi="Tahoma" w:cs="Tahoma"/>
                <w:b w:val="0"/>
                <w:sz w:val="20"/>
              </w:rPr>
              <w:t xml:space="preserve"> свыше суммы, необходимой для полного досрочного погашения рефинансируемого ипотечного кредита</w:t>
            </w:r>
            <w:r w:rsidRPr="003C621A">
              <w:rPr>
                <w:rFonts w:ascii="Tahoma" w:hAnsi="Tahoma" w:cs="Tahoma"/>
                <w:b w:val="0"/>
                <w:sz w:val="20"/>
              </w:rPr>
              <w:t>)</w:t>
            </w:r>
            <w:r w:rsidRPr="003C621A">
              <w:rPr>
                <w:rStyle w:val="aff3"/>
                <w:rFonts w:ascii="Tahoma" w:hAnsi="Tahoma"/>
                <w:b w:val="0"/>
                <w:sz w:val="20"/>
              </w:rPr>
              <w:footnoteReference w:id="62"/>
            </w:r>
            <w:r w:rsidRPr="003C621A">
              <w:rPr>
                <w:rFonts w:ascii="Tahoma" w:hAnsi="Tahoma" w:cs="Tahoma"/>
                <w:b w:val="0"/>
                <w:sz w:val="20"/>
              </w:rPr>
              <w:t>.</w:t>
            </w:r>
          </w:p>
          <w:p w14:paraId="3442CBEB" w14:textId="77777777" w:rsidR="00951A61" w:rsidRPr="0073538C" w:rsidDel="00ED23AE" w:rsidRDefault="00951A61" w:rsidP="00A4032F">
            <w:pPr>
              <w:pStyle w:val="FooterEven"/>
              <w:tabs>
                <w:tab w:val="clear" w:pos="4320"/>
                <w:tab w:val="clear" w:pos="8640"/>
                <w:tab w:val="left" w:pos="380"/>
              </w:tabs>
              <w:ind w:firstLine="425"/>
              <w:jc w:val="both"/>
              <w:rPr>
                <w:rFonts w:ascii="Tahoma" w:eastAsia="Times New Roman" w:hAnsi="Tahoma" w:cs="Tahoma"/>
                <w:b w:val="0"/>
                <w:sz w:val="20"/>
                <w:lang w:eastAsia="ru-RU"/>
              </w:rPr>
            </w:pPr>
            <w:r w:rsidRPr="0073538C">
              <w:rPr>
                <w:rFonts w:ascii="Tahoma" w:eastAsia="Times New Roman" w:hAnsi="Tahoma" w:cs="Tahoma"/>
                <w:b w:val="0"/>
                <w:sz w:val="20"/>
                <w:lang w:eastAsia="ru-RU"/>
              </w:rPr>
              <w:t>Кредитные средства не могут быть использованы Заемщиком для погашения задолженности по кредитному договору в рамках Тарифного плана «Микро-лайт».</w:t>
            </w:r>
          </w:p>
        </w:tc>
      </w:tr>
      <w:tr w:rsidR="00951A61" w:rsidRPr="0073538C" w14:paraId="672C13A3"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693C71FD" w14:textId="77777777" w:rsidR="00951A61" w:rsidRPr="0073538C" w:rsidRDefault="00951A61" w:rsidP="00A4032F">
            <w:pPr>
              <w:jc w:val="center"/>
              <w:rPr>
                <w:rFonts w:ascii="Tahoma" w:hAnsi="Tahoma" w:cs="Tahoma"/>
                <w:b/>
                <w:sz w:val="20"/>
                <w:szCs w:val="20"/>
              </w:rPr>
            </w:pPr>
            <w:r w:rsidRPr="0073538C">
              <w:rPr>
                <w:rFonts w:ascii="Tahoma" w:hAnsi="Tahoma" w:cs="Tahoma"/>
                <w:b/>
                <w:sz w:val="20"/>
                <w:szCs w:val="20"/>
              </w:rPr>
              <w:t>Требования к рефинансируемому кредиту</w:t>
            </w:r>
          </w:p>
        </w:tc>
        <w:tc>
          <w:tcPr>
            <w:tcW w:w="11452" w:type="dxa"/>
            <w:tcBorders>
              <w:top w:val="single" w:sz="4" w:space="0" w:color="auto"/>
              <w:left w:val="nil"/>
              <w:bottom w:val="single" w:sz="4" w:space="0" w:color="auto"/>
              <w:right w:val="single" w:sz="4" w:space="0" w:color="auto"/>
            </w:tcBorders>
            <w:shd w:val="clear" w:color="auto" w:fill="auto"/>
            <w:vAlign w:val="center"/>
          </w:tcPr>
          <w:p w14:paraId="4EEDE428" w14:textId="77777777" w:rsidR="00951A61" w:rsidRPr="0073538C" w:rsidRDefault="00951A61" w:rsidP="00951A61">
            <w:pPr>
              <w:pStyle w:val="FooterEven"/>
              <w:numPr>
                <w:ilvl w:val="0"/>
                <w:numId w:val="53"/>
              </w:numPr>
              <w:tabs>
                <w:tab w:val="clear" w:pos="4320"/>
                <w:tab w:val="right" w:pos="0"/>
                <w:tab w:val="left" w:pos="97"/>
                <w:tab w:val="center" w:pos="1396"/>
              </w:tabs>
              <w:ind w:left="0" w:firstLine="425"/>
              <w:jc w:val="both"/>
              <w:rPr>
                <w:rFonts w:ascii="Tahoma" w:eastAsia="Times New Roman" w:hAnsi="Tahoma" w:cs="Tahoma"/>
                <w:bCs/>
                <w:kern w:val="32"/>
                <w:sz w:val="20"/>
                <w:lang w:eastAsia="en-US"/>
              </w:rPr>
            </w:pPr>
            <w:r w:rsidRPr="0073538C">
              <w:rPr>
                <w:rFonts w:ascii="Tahoma" w:hAnsi="Tahoma" w:cs="Tahoma"/>
                <w:sz w:val="20"/>
              </w:rPr>
              <w:t>Требования к изначальной цели Рефинансируемого ипотечного кредита, допускаются следующие цели:</w:t>
            </w:r>
            <w:r w:rsidRPr="0073538C">
              <w:rPr>
                <w:rFonts w:ascii="Tahoma" w:eastAsia="Times New Roman" w:hAnsi="Tahoma" w:cs="Tahoma"/>
                <w:bCs/>
                <w:kern w:val="32"/>
                <w:sz w:val="20"/>
                <w:lang w:eastAsia="en-US"/>
              </w:rPr>
              <w:t xml:space="preserve"> </w:t>
            </w:r>
          </w:p>
          <w:p w14:paraId="1756B165" w14:textId="77777777" w:rsidR="00951A61" w:rsidRPr="0073538C" w:rsidRDefault="00951A61" w:rsidP="00951A61">
            <w:pPr>
              <w:pStyle w:val="FooterEven"/>
              <w:numPr>
                <w:ilvl w:val="1"/>
                <w:numId w:val="53"/>
              </w:numPr>
              <w:tabs>
                <w:tab w:val="clear" w:pos="4320"/>
                <w:tab w:val="clear" w:pos="8640"/>
                <w:tab w:val="left" w:pos="341"/>
              </w:tabs>
              <w:ind w:left="0" w:firstLine="425"/>
              <w:jc w:val="both"/>
              <w:rPr>
                <w:rFonts w:ascii="Tahoma" w:hAnsi="Tahoma" w:cs="Tahoma"/>
                <w:b w:val="0"/>
                <w:sz w:val="20"/>
              </w:rPr>
            </w:pPr>
            <w:r w:rsidRPr="0073538C">
              <w:rPr>
                <w:rFonts w:ascii="Tahoma" w:hAnsi="Tahoma" w:cs="Tahoma"/>
                <w:b w:val="0"/>
                <w:sz w:val="20"/>
              </w:rPr>
              <w:t xml:space="preserve">Приобретение </w:t>
            </w:r>
            <w:r w:rsidRPr="0073538C">
              <w:rPr>
                <w:rFonts w:ascii="Tahoma" w:eastAsia="Times New Roman" w:hAnsi="Tahoma" w:cs="Tahoma"/>
                <w:b w:val="0"/>
                <w:sz w:val="20"/>
                <w:lang w:eastAsia="ru-RU"/>
              </w:rPr>
              <w:t>квартиры/апартаментов</w:t>
            </w:r>
            <w:r w:rsidRPr="0073538C">
              <w:rPr>
                <w:rFonts w:ascii="Tahoma" w:hAnsi="Tahoma" w:cs="Tahoma"/>
                <w:b w:val="0"/>
                <w:sz w:val="20"/>
              </w:rPr>
              <w:t xml:space="preserve"> в многоквартирном доме (далее - Объект недвижимости);</w:t>
            </w:r>
          </w:p>
          <w:p w14:paraId="73E02184" w14:textId="77777777" w:rsidR="00951A61" w:rsidRPr="0073538C" w:rsidRDefault="00951A61" w:rsidP="00951A61">
            <w:pPr>
              <w:pStyle w:val="FooterEven"/>
              <w:numPr>
                <w:ilvl w:val="1"/>
                <w:numId w:val="53"/>
              </w:numPr>
              <w:tabs>
                <w:tab w:val="clear" w:pos="4320"/>
                <w:tab w:val="clear" w:pos="8640"/>
                <w:tab w:val="left" w:pos="341"/>
              </w:tabs>
              <w:ind w:left="0" w:firstLine="425"/>
              <w:jc w:val="both"/>
              <w:rPr>
                <w:rFonts w:ascii="Tahoma" w:hAnsi="Tahoma" w:cs="Tahoma"/>
                <w:b w:val="0"/>
                <w:sz w:val="20"/>
              </w:rPr>
            </w:pPr>
            <w:r w:rsidRPr="0073538C">
              <w:rPr>
                <w:rFonts w:ascii="Tahoma" w:hAnsi="Tahoma" w:cs="Tahoma"/>
                <w:b w:val="0"/>
                <w:sz w:val="20"/>
              </w:rPr>
              <w:t xml:space="preserve">Приобретение </w:t>
            </w:r>
            <w:r w:rsidRPr="0073538C">
              <w:rPr>
                <w:rFonts w:ascii="Tahoma" w:eastAsia="Times New Roman" w:hAnsi="Tahoma" w:cs="Tahoma"/>
                <w:b w:val="0"/>
                <w:sz w:val="20"/>
                <w:lang w:eastAsia="ru-RU"/>
              </w:rPr>
              <w:t>квартиры/апартаментов</w:t>
            </w:r>
            <w:r w:rsidRPr="0073538C">
              <w:rPr>
                <w:rFonts w:ascii="Tahoma" w:hAnsi="Tahoma" w:cs="Tahoma"/>
                <w:b w:val="0"/>
                <w:sz w:val="20"/>
              </w:rPr>
              <w:t>, капитальный ремонт и иные неотделимые улучшения Объекта недвижимости;</w:t>
            </w:r>
          </w:p>
          <w:p w14:paraId="7872BD23" w14:textId="77777777" w:rsidR="00951A61" w:rsidRPr="0073538C" w:rsidRDefault="00951A61" w:rsidP="00951A61">
            <w:pPr>
              <w:pStyle w:val="FooterEven"/>
              <w:numPr>
                <w:ilvl w:val="1"/>
                <w:numId w:val="53"/>
              </w:numPr>
              <w:tabs>
                <w:tab w:val="clear" w:pos="4320"/>
                <w:tab w:val="clear" w:pos="8640"/>
                <w:tab w:val="left" w:pos="341"/>
              </w:tabs>
              <w:ind w:left="0" w:firstLine="425"/>
              <w:jc w:val="both"/>
              <w:rPr>
                <w:rFonts w:ascii="Tahoma" w:hAnsi="Tahoma" w:cs="Tahoma"/>
                <w:b w:val="0"/>
                <w:sz w:val="20"/>
              </w:rPr>
            </w:pPr>
            <w:r w:rsidRPr="0073538C">
              <w:rPr>
                <w:rFonts w:ascii="Tahoma" w:hAnsi="Tahoma" w:cs="Tahoma"/>
                <w:b w:val="0"/>
                <w:sz w:val="20"/>
              </w:rPr>
              <w:lastRenderedPageBreak/>
              <w:t xml:space="preserve">Приобретение </w:t>
            </w:r>
            <w:r w:rsidRPr="0073538C">
              <w:rPr>
                <w:rFonts w:ascii="Tahoma" w:eastAsia="Times New Roman" w:hAnsi="Tahoma" w:cs="Tahoma"/>
                <w:b w:val="0"/>
                <w:sz w:val="20"/>
                <w:lang w:eastAsia="ru-RU"/>
              </w:rPr>
              <w:t xml:space="preserve">квартиры/апартаментов </w:t>
            </w:r>
            <w:r w:rsidRPr="0073538C">
              <w:rPr>
                <w:rFonts w:ascii="Tahoma" w:hAnsi="Tahoma" w:cs="Tahoma"/>
                <w:b w:val="0"/>
                <w:sz w:val="20"/>
              </w:rPr>
              <w:t>(Имущественных прав)</w:t>
            </w:r>
            <w:r w:rsidRPr="0073538C">
              <w:rPr>
                <w:rFonts w:ascii="Tahoma" w:eastAsia="Times New Roman" w:hAnsi="Tahoma" w:cs="Tahoma"/>
                <w:b w:val="0"/>
                <w:sz w:val="20"/>
                <w:lang w:eastAsia="ru-RU"/>
              </w:rPr>
              <w:t xml:space="preserve"> в многоквартирном доме на этапе строительства</w:t>
            </w:r>
            <w:r w:rsidRPr="0073538C">
              <w:rPr>
                <w:rStyle w:val="aff3"/>
                <w:rFonts w:ascii="Tahoma" w:eastAsia="Times New Roman" w:hAnsi="Tahoma" w:cs="Tahoma"/>
                <w:b w:val="0"/>
                <w:sz w:val="20"/>
                <w:lang w:eastAsia="ru-RU"/>
              </w:rPr>
              <w:footnoteReference w:id="63"/>
            </w:r>
            <w:r w:rsidRPr="0073538C">
              <w:rPr>
                <w:rFonts w:ascii="Tahoma" w:eastAsia="Times New Roman" w:hAnsi="Tahoma" w:cs="Tahoma"/>
                <w:b w:val="0"/>
                <w:sz w:val="20"/>
                <w:lang w:eastAsia="ru-RU"/>
              </w:rPr>
              <w:t xml:space="preserve"> в соответствии с Федеральным законом от 30.12.2004 года № 214-ФЗ «Об участии в долевом строительстве многоквартирных домов и иных объектов недвижимости и о внесении изменений в некоторые законодательные акты Российской Федерации»;</w:t>
            </w:r>
          </w:p>
          <w:p w14:paraId="64CECF0A" w14:textId="77777777" w:rsidR="00951A61" w:rsidRPr="0073538C" w:rsidRDefault="00951A61" w:rsidP="00951A61">
            <w:pPr>
              <w:pStyle w:val="FooterEven"/>
              <w:numPr>
                <w:ilvl w:val="1"/>
                <w:numId w:val="53"/>
              </w:numPr>
              <w:tabs>
                <w:tab w:val="clear" w:pos="4320"/>
                <w:tab w:val="clear" w:pos="8640"/>
                <w:tab w:val="left" w:pos="341"/>
              </w:tabs>
              <w:ind w:left="0" w:firstLine="425"/>
              <w:jc w:val="both"/>
              <w:rPr>
                <w:rFonts w:ascii="Tahoma" w:hAnsi="Tahoma" w:cs="Tahoma"/>
                <w:b w:val="0"/>
                <w:sz w:val="20"/>
              </w:rPr>
            </w:pPr>
            <w:r w:rsidRPr="0073538C">
              <w:rPr>
                <w:rFonts w:ascii="Tahoma" w:hAnsi="Tahoma" w:cs="Tahoma"/>
                <w:b w:val="0"/>
                <w:sz w:val="20"/>
              </w:rPr>
              <w:t xml:space="preserve">Рефинансирование ипотечного кредита или рефинансирование ипотечного кредита и капитальный ремонт или иные неотъемлемые улучшения </w:t>
            </w:r>
            <w:r w:rsidRPr="0073538C">
              <w:rPr>
                <w:rFonts w:ascii="Tahoma" w:eastAsia="Times New Roman" w:hAnsi="Tahoma" w:cs="Tahoma"/>
                <w:b w:val="0"/>
                <w:sz w:val="20"/>
                <w:lang w:eastAsia="ru-RU"/>
              </w:rPr>
              <w:t>квартиры/апартаментов</w:t>
            </w:r>
            <w:r w:rsidRPr="0073538C">
              <w:rPr>
                <w:rFonts w:ascii="Tahoma" w:hAnsi="Tahoma" w:cs="Tahoma"/>
                <w:b w:val="0"/>
                <w:sz w:val="20"/>
              </w:rPr>
              <w:t>.</w:t>
            </w:r>
          </w:p>
          <w:p w14:paraId="6CE99F0D" w14:textId="77777777" w:rsidR="00951A61" w:rsidRPr="0073538C" w:rsidRDefault="00951A61" w:rsidP="00A4032F">
            <w:pPr>
              <w:pStyle w:val="FooterEven"/>
              <w:tabs>
                <w:tab w:val="clear" w:pos="4320"/>
                <w:tab w:val="clear" w:pos="8640"/>
                <w:tab w:val="left" w:pos="341"/>
              </w:tabs>
              <w:ind w:firstLine="425"/>
              <w:jc w:val="both"/>
              <w:rPr>
                <w:rFonts w:ascii="Tahoma" w:hAnsi="Tahoma" w:cs="Tahoma"/>
                <w:b w:val="0"/>
                <w:sz w:val="20"/>
              </w:rPr>
            </w:pPr>
          </w:p>
          <w:p w14:paraId="5987AF8E" w14:textId="77777777" w:rsidR="00951A61" w:rsidRPr="0073538C" w:rsidRDefault="00951A61" w:rsidP="00951A61">
            <w:pPr>
              <w:pStyle w:val="FooterEven"/>
              <w:numPr>
                <w:ilvl w:val="0"/>
                <w:numId w:val="54"/>
              </w:numPr>
              <w:tabs>
                <w:tab w:val="clear" w:pos="4320"/>
                <w:tab w:val="clear" w:pos="8640"/>
                <w:tab w:val="left" w:pos="97"/>
                <w:tab w:val="right" w:pos="522"/>
              </w:tabs>
              <w:ind w:left="0" w:firstLine="425"/>
              <w:jc w:val="both"/>
              <w:rPr>
                <w:rFonts w:ascii="Tahoma" w:hAnsi="Tahoma" w:cs="Tahoma"/>
                <w:b w:val="0"/>
                <w:sz w:val="20"/>
              </w:rPr>
            </w:pPr>
            <w:r w:rsidRPr="0073538C">
              <w:rPr>
                <w:rFonts w:ascii="Tahoma" w:hAnsi="Tahoma" w:cs="Tahoma"/>
                <w:b w:val="0"/>
                <w:sz w:val="20"/>
              </w:rPr>
              <w:t xml:space="preserve">Количество рефинансирований не ограничено; </w:t>
            </w:r>
          </w:p>
          <w:p w14:paraId="4566C1E9" w14:textId="77777777" w:rsidR="00951A61" w:rsidRPr="0073538C" w:rsidRDefault="00951A61" w:rsidP="00951A61">
            <w:pPr>
              <w:pStyle w:val="FooterEven"/>
              <w:numPr>
                <w:ilvl w:val="0"/>
                <w:numId w:val="54"/>
              </w:numPr>
              <w:tabs>
                <w:tab w:val="clear" w:pos="4320"/>
                <w:tab w:val="clear" w:pos="8640"/>
                <w:tab w:val="left" w:pos="97"/>
                <w:tab w:val="right" w:pos="522"/>
              </w:tabs>
              <w:ind w:left="0" w:firstLine="425"/>
              <w:jc w:val="both"/>
              <w:rPr>
                <w:rFonts w:ascii="Tahoma" w:hAnsi="Tahoma" w:cs="Tahoma"/>
                <w:b w:val="0"/>
                <w:sz w:val="20"/>
              </w:rPr>
            </w:pPr>
            <w:r w:rsidRPr="0073538C">
              <w:rPr>
                <w:rFonts w:ascii="Tahoma" w:hAnsi="Tahoma" w:cs="Tahoma"/>
                <w:b w:val="0"/>
                <w:sz w:val="20"/>
              </w:rPr>
              <w:t>Первый из ранее рефинансированных ипотечных кредитов должен быть изначально</w:t>
            </w:r>
            <w:r w:rsidRPr="0073538C">
              <w:rPr>
                <w:rFonts w:ascii="Tahoma" w:hAnsi="Tahoma" w:cs="Tahoma"/>
                <w:sz w:val="20"/>
              </w:rPr>
              <w:t xml:space="preserve"> </w:t>
            </w:r>
            <w:r w:rsidRPr="0073538C">
              <w:rPr>
                <w:rFonts w:ascii="Tahoma" w:hAnsi="Tahoma" w:cs="Tahoma"/>
                <w:b w:val="0"/>
                <w:sz w:val="20"/>
              </w:rPr>
              <w:t>предоставлен на цели, указанные в пп. 1.1. – 1.3. настоящего пункта. Промежуточные кредиты должны быть предоставлены на цели рефинансирования (рефинансирования и капитального ремонта или иных неотделимых улучшений Объекта недвижимости, указанного в п. 1.4. настоящего пункта);</w:t>
            </w:r>
          </w:p>
          <w:p w14:paraId="1229F3FE" w14:textId="77777777" w:rsidR="00951A61" w:rsidRPr="0073538C" w:rsidRDefault="00951A61" w:rsidP="00951A61">
            <w:pPr>
              <w:pStyle w:val="FooterEven"/>
              <w:numPr>
                <w:ilvl w:val="0"/>
                <w:numId w:val="54"/>
              </w:numPr>
              <w:tabs>
                <w:tab w:val="clear" w:pos="4320"/>
                <w:tab w:val="clear" w:pos="8640"/>
                <w:tab w:val="left" w:pos="97"/>
                <w:tab w:val="right" w:pos="380"/>
              </w:tabs>
              <w:ind w:left="0" w:firstLine="425"/>
              <w:jc w:val="both"/>
              <w:rPr>
                <w:rFonts w:ascii="Tahoma" w:hAnsi="Tahoma" w:cs="Tahoma"/>
                <w:b w:val="0"/>
                <w:sz w:val="20"/>
              </w:rPr>
            </w:pPr>
            <w:r w:rsidRPr="0073538C">
              <w:rPr>
                <w:rFonts w:ascii="Tahoma" w:hAnsi="Tahoma" w:cs="Tahoma"/>
                <w:b w:val="0"/>
                <w:sz w:val="20"/>
              </w:rPr>
              <w:t>Рефинансируемый ипотечный кредит должен быть предоставлен Банком</w:t>
            </w:r>
            <w:r w:rsidRPr="0073538C">
              <w:rPr>
                <w:rStyle w:val="aff3"/>
                <w:rFonts w:ascii="Tahoma" w:hAnsi="Tahoma" w:cs="Tahoma"/>
                <w:b w:val="0"/>
                <w:sz w:val="20"/>
              </w:rPr>
              <w:footnoteReference w:id="64"/>
            </w:r>
            <w:r w:rsidRPr="0073538C">
              <w:rPr>
                <w:rFonts w:ascii="Tahoma" w:hAnsi="Tahoma" w:cs="Tahoma"/>
                <w:b w:val="0"/>
                <w:sz w:val="20"/>
              </w:rPr>
              <w:t>, иным банком/некредитной организацией;</w:t>
            </w:r>
          </w:p>
          <w:p w14:paraId="6E8223C6" w14:textId="77777777" w:rsidR="00951A61" w:rsidRPr="0073538C" w:rsidRDefault="00951A61" w:rsidP="00951A61">
            <w:pPr>
              <w:pStyle w:val="FooterEven"/>
              <w:numPr>
                <w:ilvl w:val="0"/>
                <w:numId w:val="54"/>
              </w:numPr>
              <w:tabs>
                <w:tab w:val="clear" w:pos="4320"/>
                <w:tab w:val="clear" w:pos="8640"/>
                <w:tab w:val="left" w:pos="97"/>
                <w:tab w:val="right" w:pos="522"/>
              </w:tabs>
              <w:ind w:left="0" w:firstLine="425"/>
              <w:jc w:val="both"/>
              <w:rPr>
                <w:rFonts w:ascii="Tahoma" w:hAnsi="Tahoma" w:cs="Tahoma"/>
                <w:b w:val="0"/>
                <w:sz w:val="20"/>
              </w:rPr>
            </w:pPr>
            <w:r w:rsidRPr="0073538C">
              <w:rPr>
                <w:rFonts w:ascii="Tahoma" w:hAnsi="Tahoma" w:cs="Tahoma"/>
                <w:b w:val="0"/>
                <w:sz w:val="20"/>
              </w:rPr>
              <w:t>Состав заемщиков может отличаться от состава заемщиков по рефинансируемому кредиту.</w:t>
            </w:r>
          </w:p>
          <w:p w14:paraId="11A34E3B" w14:textId="77777777" w:rsidR="00951A61" w:rsidRPr="0073538C" w:rsidRDefault="00951A61" w:rsidP="00A4032F">
            <w:pPr>
              <w:pStyle w:val="FooterEven"/>
              <w:tabs>
                <w:tab w:val="left" w:pos="97"/>
              </w:tabs>
              <w:ind w:firstLine="425"/>
              <w:jc w:val="both"/>
              <w:rPr>
                <w:rFonts w:ascii="Tahoma" w:hAnsi="Tahoma" w:cs="Tahoma"/>
                <w:b w:val="0"/>
                <w:sz w:val="20"/>
              </w:rPr>
            </w:pPr>
          </w:p>
          <w:p w14:paraId="40FCE51B" w14:textId="77777777" w:rsidR="00951A61" w:rsidRPr="0073538C" w:rsidRDefault="00951A61" w:rsidP="00951A61">
            <w:pPr>
              <w:pStyle w:val="FooterEven"/>
              <w:numPr>
                <w:ilvl w:val="0"/>
                <w:numId w:val="53"/>
              </w:numPr>
              <w:tabs>
                <w:tab w:val="clear" w:pos="4320"/>
                <w:tab w:val="right" w:pos="0"/>
                <w:tab w:val="left" w:pos="97"/>
                <w:tab w:val="center" w:pos="1113"/>
              </w:tabs>
              <w:ind w:left="0" w:firstLine="425"/>
              <w:jc w:val="both"/>
              <w:rPr>
                <w:rFonts w:ascii="Tahoma" w:hAnsi="Tahoma" w:cs="Tahoma"/>
                <w:sz w:val="20"/>
              </w:rPr>
            </w:pPr>
            <w:r w:rsidRPr="0073538C">
              <w:rPr>
                <w:rFonts w:ascii="Tahoma" w:hAnsi="Tahoma" w:cs="Tahoma"/>
                <w:sz w:val="20"/>
              </w:rPr>
              <w:t>Требования к Кредитной истории по Рефинансируемому ипотечному кредиту, Рефинансируемому потребительскому кредиту в совокупности:</w:t>
            </w:r>
          </w:p>
          <w:p w14:paraId="40EE1513" w14:textId="77777777" w:rsidR="00951A61" w:rsidRPr="0073538C" w:rsidRDefault="00951A61" w:rsidP="00951A61">
            <w:pPr>
              <w:pStyle w:val="FooterEven"/>
              <w:numPr>
                <w:ilvl w:val="1"/>
                <w:numId w:val="53"/>
              </w:numPr>
              <w:tabs>
                <w:tab w:val="clear" w:pos="4320"/>
                <w:tab w:val="clear" w:pos="8640"/>
                <w:tab w:val="left" w:pos="341"/>
              </w:tabs>
              <w:ind w:left="0" w:firstLine="425"/>
              <w:jc w:val="both"/>
              <w:rPr>
                <w:rFonts w:ascii="Tahoma" w:hAnsi="Tahoma" w:cs="Tahoma"/>
                <w:b w:val="0"/>
                <w:sz w:val="20"/>
              </w:rPr>
            </w:pPr>
            <w:r w:rsidRPr="0073538C">
              <w:rPr>
                <w:rFonts w:ascii="Tahoma" w:hAnsi="Tahoma" w:cs="Tahoma"/>
                <w:b w:val="0"/>
                <w:sz w:val="20"/>
              </w:rPr>
              <w:t xml:space="preserve"> Заемщик погасил не менее 6 (Шести)</w:t>
            </w:r>
            <w:r w:rsidRPr="0073538C">
              <w:rPr>
                <w:rStyle w:val="aff3"/>
                <w:rFonts w:ascii="Tahoma" w:hAnsi="Tahoma" w:cs="Tahoma"/>
                <w:b w:val="0"/>
                <w:sz w:val="20"/>
              </w:rPr>
              <w:footnoteReference w:id="65"/>
            </w:r>
            <w:r w:rsidRPr="0073538C">
              <w:rPr>
                <w:rFonts w:ascii="Tahoma" w:hAnsi="Tahoma" w:cs="Tahoma"/>
                <w:b w:val="0"/>
                <w:sz w:val="20"/>
              </w:rPr>
              <w:t xml:space="preserve"> ежемесячных платежей по Рефинансируемого ипотечному кредиту с даты оформления;</w:t>
            </w:r>
          </w:p>
          <w:p w14:paraId="08AB52B2" w14:textId="77777777" w:rsidR="00951A61" w:rsidRPr="0073538C" w:rsidRDefault="00951A61" w:rsidP="00951A61">
            <w:pPr>
              <w:pStyle w:val="FooterEven"/>
              <w:numPr>
                <w:ilvl w:val="1"/>
                <w:numId w:val="53"/>
              </w:numPr>
              <w:tabs>
                <w:tab w:val="clear" w:pos="4320"/>
                <w:tab w:val="clear" w:pos="8640"/>
                <w:tab w:val="left" w:pos="341"/>
              </w:tabs>
              <w:ind w:left="0" w:firstLine="425"/>
              <w:jc w:val="both"/>
              <w:rPr>
                <w:rFonts w:ascii="Tahoma" w:hAnsi="Tahoma" w:cs="Tahoma"/>
                <w:sz w:val="20"/>
              </w:rPr>
            </w:pPr>
            <w:r w:rsidRPr="0073538C">
              <w:rPr>
                <w:rFonts w:ascii="Tahoma" w:hAnsi="Tahoma" w:cs="Tahoma"/>
                <w:b w:val="0"/>
                <w:sz w:val="20"/>
              </w:rPr>
              <w:t>отсутствуют факты просроченной задолженности:</w:t>
            </w:r>
          </w:p>
          <w:p w14:paraId="2F903382" w14:textId="77777777" w:rsidR="00951A61" w:rsidRPr="0073538C" w:rsidRDefault="00951A61" w:rsidP="00951A61">
            <w:pPr>
              <w:pStyle w:val="1-"/>
              <w:numPr>
                <w:ilvl w:val="0"/>
                <w:numId w:val="25"/>
              </w:numPr>
              <w:tabs>
                <w:tab w:val="left" w:pos="664"/>
              </w:tabs>
              <w:spacing w:before="0"/>
              <w:ind w:left="0" w:firstLine="425"/>
              <w:rPr>
                <w:rFonts w:ascii="Tahoma" w:eastAsia="Calibri" w:hAnsi="Tahoma" w:cs="Tahoma"/>
                <w:spacing w:val="0"/>
                <w:sz w:val="20"/>
                <w:szCs w:val="20"/>
                <w:lang w:eastAsia="ar-SA"/>
              </w:rPr>
            </w:pPr>
            <w:r w:rsidRPr="0073538C">
              <w:rPr>
                <w:rFonts w:ascii="Tahoma" w:eastAsia="Calibri" w:hAnsi="Tahoma" w:cs="Tahoma"/>
                <w:spacing w:val="0"/>
                <w:sz w:val="20"/>
                <w:szCs w:val="20"/>
                <w:lang w:eastAsia="ar-SA"/>
              </w:rPr>
              <w:t>более чем 3 (Три) просроченных платежа в течение 6 (Шести) последних месяцев от 5 до 30 календарных дней каждый, но совокупности не более 30 календарных дней просрочки;</w:t>
            </w:r>
          </w:p>
          <w:p w14:paraId="4A14C895" w14:textId="77777777" w:rsidR="00951A61" w:rsidRPr="0073538C" w:rsidRDefault="00951A61" w:rsidP="00951A61">
            <w:pPr>
              <w:pStyle w:val="1-"/>
              <w:numPr>
                <w:ilvl w:val="0"/>
                <w:numId w:val="25"/>
              </w:numPr>
              <w:tabs>
                <w:tab w:val="left" w:pos="664"/>
              </w:tabs>
              <w:spacing w:before="0"/>
              <w:ind w:left="0" w:firstLine="425"/>
              <w:rPr>
                <w:rFonts w:ascii="Tahoma" w:eastAsia="Calibri" w:hAnsi="Tahoma" w:cs="Tahoma"/>
                <w:spacing w:val="0"/>
                <w:sz w:val="20"/>
                <w:szCs w:val="20"/>
                <w:lang w:eastAsia="ar-SA"/>
              </w:rPr>
            </w:pPr>
            <w:r w:rsidRPr="0073538C">
              <w:rPr>
                <w:rFonts w:ascii="Tahoma" w:eastAsia="Calibri" w:hAnsi="Tahoma" w:cs="Tahoma"/>
                <w:spacing w:val="0"/>
                <w:sz w:val="20"/>
                <w:szCs w:val="20"/>
                <w:lang w:eastAsia="ar-SA"/>
              </w:rPr>
              <w:t>более чем на 30 (Тридцать) календарных дней за 3 последних года обслуживания рефинансируемого кредита.</w:t>
            </w:r>
          </w:p>
          <w:p w14:paraId="1A5FEB7A" w14:textId="77777777" w:rsidR="00951A61" w:rsidRPr="0073538C" w:rsidRDefault="00951A61" w:rsidP="00A4032F">
            <w:pPr>
              <w:pStyle w:val="1-"/>
              <w:tabs>
                <w:tab w:val="left" w:pos="664"/>
              </w:tabs>
              <w:spacing w:before="0"/>
              <w:ind w:left="0" w:firstLine="425"/>
              <w:rPr>
                <w:rFonts w:ascii="Tahoma" w:eastAsia="Calibri" w:hAnsi="Tahoma" w:cs="Tahoma"/>
                <w:spacing w:val="0"/>
                <w:sz w:val="20"/>
                <w:szCs w:val="20"/>
                <w:lang w:eastAsia="ar-SA"/>
              </w:rPr>
            </w:pPr>
          </w:p>
          <w:p w14:paraId="6CD957A6" w14:textId="77777777" w:rsidR="00951A61" w:rsidRPr="0073538C" w:rsidRDefault="00951A61" w:rsidP="00951A61">
            <w:pPr>
              <w:pStyle w:val="1-"/>
              <w:numPr>
                <w:ilvl w:val="0"/>
                <w:numId w:val="53"/>
              </w:numPr>
              <w:tabs>
                <w:tab w:val="left" w:pos="664"/>
              </w:tabs>
              <w:spacing w:before="0"/>
              <w:ind w:left="0" w:firstLine="425"/>
              <w:rPr>
                <w:rFonts w:ascii="Tahoma" w:eastAsia="Calibri" w:hAnsi="Tahoma" w:cs="Tahoma"/>
                <w:b/>
                <w:spacing w:val="0"/>
                <w:sz w:val="20"/>
                <w:szCs w:val="20"/>
                <w:lang w:eastAsia="ar-SA"/>
              </w:rPr>
            </w:pPr>
            <w:r w:rsidRPr="00B52A25">
              <w:rPr>
                <w:rFonts w:ascii="Tahoma" w:hAnsi="Tahoma" w:cs="Tahoma"/>
                <w:b/>
                <w:sz w:val="20"/>
                <w:szCs w:val="20"/>
              </w:rPr>
              <w:t>Требования к Кредитору по действующим кредитам Заемщика</w:t>
            </w:r>
          </w:p>
          <w:p w14:paraId="69045B36" w14:textId="77777777" w:rsidR="00951A61" w:rsidRPr="0073538C" w:rsidRDefault="00951A61" w:rsidP="00951A61">
            <w:pPr>
              <w:pStyle w:val="1-"/>
              <w:numPr>
                <w:ilvl w:val="1"/>
                <w:numId w:val="53"/>
              </w:numPr>
              <w:tabs>
                <w:tab w:val="left" w:pos="664"/>
              </w:tabs>
              <w:spacing w:before="0"/>
              <w:ind w:left="0" w:firstLine="425"/>
              <w:rPr>
                <w:rFonts w:ascii="Tahoma" w:eastAsia="Calibri" w:hAnsi="Tahoma" w:cs="Tahoma"/>
                <w:spacing w:val="0"/>
                <w:sz w:val="20"/>
                <w:szCs w:val="20"/>
                <w:lang w:eastAsia="ar-SA"/>
              </w:rPr>
            </w:pPr>
            <w:r w:rsidRPr="00B52A25">
              <w:rPr>
                <w:rFonts w:ascii="Tahoma" w:hAnsi="Tahoma" w:cs="Tahoma"/>
                <w:sz w:val="20"/>
                <w:szCs w:val="20"/>
              </w:rPr>
              <w:t>Кредитором по действующим кредитам Заемщика не может быть банк/иная некредитная организация с отозванной лицензией</w:t>
            </w:r>
            <w:r w:rsidRPr="0073538C">
              <w:rPr>
                <w:rFonts w:ascii="Tahoma" w:eastAsia="Calibri" w:hAnsi="Tahoma" w:cs="Tahoma"/>
                <w:spacing w:val="0"/>
                <w:sz w:val="20"/>
                <w:szCs w:val="20"/>
                <w:lang w:eastAsia="ar-SA"/>
              </w:rPr>
              <w:t>, либо находящаяся в стадии банкротства</w:t>
            </w:r>
          </w:p>
        </w:tc>
      </w:tr>
      <w:tr w:rsidR="00951A61" w:rsidRPr="0073538C" w14:paraId="6323D9CB"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FA3912" w14:textId="77777777" w:rsidR="00951A61" w:rsidRPr="0073538C" w:rsidRDefault="00951A61" w:rsidP="00A4032F">
            <w:pPr>
              <w:jc w:val="center"/>
              <w:rPr>
                <w:rFonts w:ascii="Tahoma" w:hAnsi="Tahoma" w:cs="Tahoma"/>
                <w:b/>
                <w:sz w:val="20"/>
                <w:szCs w:val="20"/>
              </w:rPr>
            </w:pPr>
            <w:r w:rsidRPr="0073538C">
              <w:rPr>
                <w:rFonts w:ascii="Tahoma" w:hAnsi="Tahoma" w:cs="Tahoma"/>
                <w:b/>
                <w:sz w:val="20"/>
                <w:szCs w:val="20"/>
              </w:rPr>
              <w:lastRenderedPageBreak/>
              <w:t>Подразделения Банка, реализующие кредитный продукт</w:t>
            </w:r>
          </w:p>
        </w:tc>
        <w:tc>
          <w:tcPr>
            <w:tcW w:w="11452" w:type="dxa"/>
            <w:tcBorders>
              <w:top w:val="single" w:sz="4" w:space="0" w:color="auto"/>
              <w:left w:val="nil"/>
              <w:bottom w:val="single" w:sz="4" w:space="0" w:color="auto"/>
              <w:right w:val="single" w:sz="4" w:space="0" w:color="auto"/>
            </w:tcBorders>
            <w:shd w:val="clear" w:color="auto" w:fill="auto"/>
            <w:vAlign w:val="center"/>
            <w:hideMark/>
          </w:tcPr>
          <w:p w14:paraId="3A6C2DBF"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Все подразделения Банка.</w:t>
            </w:r>
          </w:p>
        </w:tc>
      </w:tr>
      <w:tr w:rsidR="00951A61" w:rsidRPr="0073538C" w14:paraId="0D074B5E"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671FAD" w14:textId="77777777" w:rsidR="00951A61" w:rsidRPr="0073538C" w:rsidRDefault="00951A61" w:rsidP="00A4032F">
            <w:pPr>
              <w:jc w:val="center"/>
              <w:rPr>
                <w:rFonts w:ascii="Tahoma" w:hAnsi="Tahoma" w:cs="Tahoma"/>
                <w:b/>
                <w:bCs/>
                <w:sz w:val="20"/>
                <w:szCs w:val="20"/>
              </w:rPr>
            </w:pPr>
            <w:r w:rsidRPr="0073538C">
              <w:rPr>
                <w:rFonts w:ascii="Tahoma" w:hAnsi="Tahoma" w:cs="Tahoma"/>
                <w:b/>
                <w:bCs/>
                <w:sz w:val="20"/>
                <w:szCs w:val="20"/>
              </w:rPr>
              <w:t>Категория Заемщика</w:t>
            </w:r>
          </w:p>
        </w:tc>
        <w:tc>
          <w:tcPr>
            <w:tcW w:w="11452" w:type="dxa"/>
            <w:tcBorders>
              <w:top w:val="single" w:sz="4" w:space="0" w:color="auto"/>
              <w:left w:val="nil"/>
              <w:bottom w:val="single" w:sz="4" w:space="0" w:color="auto"/>
              <w:right w:val="single" w:sz="4" w:space="0" w:color="auto"/>
            </w:tcBorders>
            <w:shd w:val="clear" w:color="auto" w:fill="auto"/>
            <w:vAlign w:val="center"/>
            <w:hideMark/>
          </w:tcPr>
          <w:p w14:paraId="1C37355F" w14:textId="77777777" w:rsidR="00951A61" w:rsidRPr="0073538C" w:rsidRDefault="00951A61" w:rsidP="00A4032F">
            <w:pPr>
              <w:ind w:firstLine="425"/>
              <w:jc w:val="both"/>
              <w:rPr>
                <w:rFonts w:ascii="Tahoma" w:hAnsi="Tahoma" w:cs="Tahoma"/>
                <w:color w:val="000000"/>
                <w:sz w:val="20"/>
                <w:szCs w:val="20"/>
              </w:rPr>
            </w:pPr>
            <w:r w:rsidRPr="0073538C">
              <w:rPr>
                <w:rFonts w:ascii="Tahoma" w:hAnsi="Tahoma" w:cs="Tahoma"/>
                <w:color w:val="000000"/>
                <w:sz w:val="20"/>
                <w:szCs w:val="20"/>
              </w:rPr>
              <w:t>Физические лица (</w:t>
            </w:r>
            <w:r w:rsidRPr="0073538C">
              <w:rPr>
                <w:rFonts w:ascii="Tahoma" w:hAnsi="Tahoma" w:cs="Tahoma"/>
                <w:sz w:val="20"/>
                <w:szCs w:val="20"/>
              </w:rPr>
              <w:t>имеющие подтвержденное место работы и постоянный источник дохода, соответствующие требованиям к Заемщику, которые установлены Банком, и выполнение которых является обязательным для предоставления ипотечного кредита</w:t>
            </w:r>
            <w:r w:rsidRPr="0073538C">
              <w:rPr>
                <w:rFonts w:ascii="Tahoma" w:hAnsi="Tahoma" w:cs="Tahoma"/>
                <w:color w:val="000000"/>
                <w:sz w:val="20"/>
                <w:szCs w:val="20"/>
              </w:rPr>
              <w:t>).</w:t>
            </w:r>
          </w:p>
        </w:tc>
      </w:tr>
      <w:tr w:rsidR="00951A61" w:rsidRPr="0073538C" w14:paraId="7B0C1FFD" w14:textId="77777777" w:rsidTr="00A4032F">
        <w:trPr>
          <w:trHeight w:val="255"/>
        </w:trPr>
        <w:tc>
          <w:tcPr>
            <w:tcW w:w="4121" w:type="dxa"/>
            <w:tcBorders>
              <w:top w:val="nil"/>
              <w:left w:val="single" w:sz="4" w:space="0" w:color="auto"/>
              <w:bottom w:val="single" w:sz="4" w:space="0" w:color="auto"/>
              <w:right w:val="single" w:sz="4" w:space="0" w:color="auto"/>
            </w:tcBorders>
            <w:shd w:val="clear" w:color="auto" w:fill="auto"/>
            <w:vAlign w:val="center"/>
          </w:tcPr>
          <w:p w14:paraId="6BE2FE0F" w14:textId="77777777" w:rsidR="00951A61" w:rsidRPr="0073538C" w:rsidRDefault="00951A61" w:rsidP="00A4032F">
            <w:pPr>
              <w:jc w:val="center"/>
              <w:rPr>
                <w:rFonts w:ascii="Tahoma" w:hAnsi="Tahoma" w:cs="Tahoma"/>
                <w:b/>
                <w:bCs/>
                <w:sz w:val="20"/>
                <w:szCs w:val="20"/>
              </w:rPr>
            </w:pPr>
            <w:r w:rsidRPr="0073538C">
              <w:rPr>
                <w:rFonts w:ascii="Tahoma" w:hAnsi="Tahoma" w:cs="Tahoma"/>
                <w:b/>
                <w:bCs/>
                <w:sz w:val="20"/>
                <w:szCs w:val="20"/>
              </w:rPr>
              <w:t>Валюта, в которой предоставляется потребительский кредит</w:t>
            </w:r>
          </w:p>
        </w:tc>
        <w:tc>
          <w:tcPr>
            <w:tcW w:w="11452" w:type="dxa"/>
            <w:tcBorders>
              <w:top w:val="single" w:sz="4" w:space="0" w:color="auto"/>
              <w:left w:val="nil"/>
              <w:bottom w:val="single" w:sz="4" w:space="0" w:color="auto"/>
              <w:right w:val="single" w:sz="4" w:space="0" w:color="auto"/>
            </w:tcBorders>
            <w:shd w:val="clear" w:color="auto" w:fill="auto"/>
            <w:vAlign w:val="center"/>
          </w:tcPr>
          <w:p w14:paraId="7E396607" w14:textId="77777777" w:rsidR="00951A61" w:rsidRPr="0073538C" w:rsidRDefault="00951A61" w:rsidP="00A4032F">
            <w:pPr>
              <w:ind w:firstLine="425"/>
              <w:jc w:val="both"/>
              <w:rPr>
                <w:rFonts w:ascii="Tahoma" w:hAnsi="Tahoma" w:cs="Tahoma"/>
                <w:color w:val="000000"/>
                <w:sz w:val="20"/>
                <w:szCs w:val="20"/>
              </w:rPr>
            </w:pPr>
            <w:r w:rsidRPr="0073538C">
              <w:rPr>
                <w:rFonts w:ascii="Tahoma" w:hAnsi="Tahoma" w:cs="Tahoma"/>
                <w:color w:val="000000"/>
                <w:sz w:val="20"/>
                <w:szCs w:val="20"/>
              </w:rPr>
              <w:t>Рубль Российской Федерации (далее - рубль).</w:t>
            </w:r>
          </w:p>
        </w:tc>
      </w:tr>
      <w:tr w:rsidR="00951A61" w:rsidRPr="0073538C" w14:paraId="06E3314A" w14:textId="77777777" w:rsidTr="00A4032F">
        <w:trPr>
          <w:trHeight w:val="255"/>
        </w:trPr>
        <w:tc>
          <w:tcPr>
            <w:tcW w:w="4121" w:type="dxa"/>
            <w:tcBorders>
              <w:top w:val="nil"/>
              <w:left w:val="single" w:sz="4" w:space="0" w:color="auto"/>
              <w:bottom w:val="single" w:sz="4" w:space="0" w:color="auto"/>
              <w:right w:val="single" w:sz="4" w:space="0" w:color="auto"/>
            </w:tcBorders>
            <w:shd w:val="clear" w:color="auto" w:fill="auto"/>
            <w:vAlign w:val="center"/>
          </w:tcPr>
          <w:p w14:paraId="1B341A15" w14:textId="77777777" w:rsidR="00951A61" w:rsidRPr="0073538C" w:rsidRDefault="00951A61" w:rsidP="00A4032F">
            <w:pPr>
              <w:jc w:val="center"/>
              <w:rPr>
                <w:rFonts w:ascii="Tahoma" w:hAnsi="Tahoma" w:cs="Tahoma"/>
                <w:b/>
                <w:bCs/>
                <w:sz w:val="20"/>
                <w:szCs w:val="20"/>
              </w:rPr>
            </w:pPr>
            <w:r w:rsidRPr="0073538C">
              <w:rPr>
                <w:rFonts w:ascii="Tahoma" w:hAnsi="Tahoma" w:cs="Tahoma"/>
                <w:b/>
                <w:bCs/>
                <w:sz w:val="20"/>
                <w:szCs w:val="20"/>
              </w:rPr>
              <w:t>Срок возврата потребительского кредита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38D96422" w14:textId="77777777" w:rsidR="00951A61" w:rsidRPr="0073538C" w:rsidRDefault="00951A61" w:rsidP="00A4032F">
            <w:pPr>
              <w:ind w:firstLine="425"/>
              <w:jc w:val="both"/>
              <w:rPr>
                <w:rFonts w:ascii="Tahoma" w:hAnsi="Tahoma" w:cs="Tahoma"/>
                <w:color w:val="000000"/>
                <w:sz w:val="20"/>
                <w:szCs w:val="20"/>
              </w:rPr>
            </w:pPr>
            <w:r w:rsidRPr="0073538C">
              <w:rPr>
                <w:rFonts w:ascii="Tahoma" w:hAnsi="Tahoma" w:cs="Tahoma"/>
                <w:color w:val="000000"/>
                <w:sz w:val="20"/>
                <w:szCs w:val="20"/>
              </w:rPr>
              <w:t>От 36 до 360 месяцев.</w:t>
            </w:r>
          </w:p>
        </w:tc>
      </w:tr>
      <w:tr w:rsidR="00951A61" w:rsidRPr="0073538C" w14:paraId="15AB79FD" w14:textId="77777777" w:rsidTr="00A4032F">
        <w:trPr>
          <w:trHeight w:val="255"/>
        </w:trPr>
        <w:tc>
          <w:tcPr>
            <w:tcW w:w="4121" w:type="dxa"/>
            <w:tcBorders>
              <w:top w:val="nil"/>
              <w:left w:val="single" w:sz="4" w:space="0" w:color="auto"/>
              <w:bottom w:val="single" w:sz="4" w:space="0" w:color="auto"/>
              <w:right w:val="single" w:sz="4" w:space="0" w:color="auto"/>
            </w:tcBorders>
            <w:shd w:val="clear" w:color="auto" w:fill="auto"/>
            <w:vAlign w:val="center"/>
            <w:hideMark/>
          </w:tcPr>
          <w:p w14:paraId="54E69B8E" w14:textId="77777777" w:rsidR="00951A61" w:rsidRPr="0073538C" w:rsidRDefault="00951A61" w:rsidP="00A4032F">
            <w:pPr>
              <w:jc w:val="center"/>
              <w:rPr>
                <w:rFonts w:ascii="Tahoma" w:hAnsi="Tahoma" w:cs="Tahoma"/>
                <w:b/>
                <w:sz w:val="20"/>
                <w:szCs w:val="20"/>
              </w:rPr>
            </w:pPr>
            <w:r w:rsidRPr="0073538C">
              <w:rPr>
                <w:rFonts w:ascii="Tahoma" w:hAnsi="Tahoma" w:cs="Tahoma"/>
                <w:b/>
                <w:sz w:val="20"/>
                <w:szCs w:val="20"/>
              </w:rPr>
              <w:lastRenderedPageBreak/>
              <w:t>Минимальная сумма потребительского кредита</w:t>
            </w:r>
          </w:p>
        </w:tc>
        <w:tc>
          <w:tcPr>
            <w:tcW w:w="11452" w:type="dxa"/>
            <w:tcBorders>
              <w:top w:val="single" w:sz="4" w:space="0" w:color="auto"/>
              <w:left w:val="nil"/>
              <w:bottom w:val="single" w:sz="4" w:space="0" w:color="auto"/>
              <w:right w:val="single" w:sz="4" w:space="0" w:color="auto"/>
            </w:tcBorders>
            <w:shd w:val="clear" w:color="auto" w:fill="auto"/>
            <w:vAlign w:val="center"/>
            <w:hideMark/>
          </w:tcPr>
          <w:p w14:paraId="2DEA6EDA"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500 000,00 рублей.</w:t>
            </w:r>
          </w:p>
        </w:tc>
      </w:tr>
      <w:tr w:rsidR="00951A61" w:rsidRPr="0073538C" w14:paraId="3D44398A" w14:textId="77777777" w:rsidTr="00A4032F">
        <w:trPr>
          <w:trHeight w:val="255"/>
        </w:trPr>
        <w:tc>
          <w:tcPr>
            <w:tcW w:w="4121" w:type="dxa"/>
            <w:tcBorders>
              <w:top w:val="nil"/>
              <w:left w:val="single" w:sz="4" w:space="0" w:color="auto"/>
              <w:bottom w:val="single" w:sz="4" w:space="0" w:color="auto"/>
              <w:right w:val="single" w:sz="4" w:space="0" w:color="auto"/>
            </w:tcBorders>
            <w:shd w:val="clear" w:color="auto" w:fill="auto"/>
            <w:vAlign w:val="center"/>
          </w:tcPr>
          <w:p w14:paraId="6E739BC0" w14:textId="77777777" w:rsidR="00951A61" w:rsidRPr="0073538C" w:rsidRDefault="00951A61" w:rsidP="00A4032F">
            <w:pPr>
              <w:jc w:val="center"/>
              <w:rPr>
                <w:rFonts w:ascii="Tahoma" w:hAnsi="Tahoma" w:cs="Tahoma"/>
                <w:b/>
                <w:sz w:val="20"/>
                <w:szCs w:val="20"/>
              </w:rPr>
            </w:pPr>
            <w:r w:rsidRPr="0073538C">
              <w:rPr>
                <w:rFonts w:ascii="Tahoma" w:hAnsi="Tahoma" w:cs="Tahoma"/>
                <w:b/>
                <w:sz w:val="20"/>
                <w:szCs w:val="20"/>
              </w:rPr>
              <w:t>Максимальная сумма потребительского кредита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642B0178"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 xml:space="preserve">Сумма </w:t>
            </w:r>
            <w:r w:rsidRPr="00B52A25">
              <w:rPr>
                <w:rFonts w:ascii="Tahoma" w:hAnsi="Tahoma" w:cs="Tahoma"/>
                <w:sz w:val="20"/>
                <w:szCs w:val="20"/>
              </w:rPr>
              <w:t>К</w:t>
            </w:r>
            <w:r w:rsidRPr="0073538C">
              <w:rPr>
                <w:rFonts w:ascii="Tahoma" w:hAnsi="Tahoma" w:cs="Tahoma"/>
                <w:sz w:val="20"/>
                <w:szCs w:val="20"/>
              </w:rPr>
              <w:t>редита в зависимости от местонахождения Предмета ипотеки не может превышать:</w:t>
            </w:r>
          </w:p>
          <w:p w14:paraId="60E44803" w14:textId="77777777" w:rsidR="00951A61" w:rsidRPr="0073538C" w:rsidRDefault="00951A61" w:rsidP="00951A61">
            <w:pPr>
              <w:pStyle w:val="1-"/>
              <w:numPr>
                <w:ilvl w:val="0"/>
                <w:numId w:val="25"/>
              </w:numPr>
              <w:tabs>
                <w:tab w:val="left" w:pos="664"/>
              </w:tabs>
              <w:spacing w:before="0"/>
              <w:ind w:left="0" w:firstLine="425"/>
              <w:rPr>
                <w:rFonts w:ascii="Tahoma" w:eastAsia="Calibri" w:hAnsi="Tahoma" w:cs="Tahoma"/>
                <w:sz w:val="20"/>
                <w:szCs w:val="20"/>
                <w:lang w:eastAsia="ar-SA"/>
              </w:rPr>
            </w:pPr>
            <w:r w:rsidRPr="0073538C">
              <w:rPr>
                <w:rFonts w:ascii="Tahoma" w:eastAsia="Calibri" w:hAnsi="Tahoma" w:cs="Tahoma"/>
                <w:spacing w:val="0"/>
                <w:sz w:val="20"/>
                <w:szCs w:val="20"/>
                <w:lang w:eastAsia="ar-SA"/>
              </w:rPr>
              <w:t>для г. Москвы, Московской области: 30 000 000,00 руб.</w:t>
            </w:r>
          </w:p>
          <w:p w14:paraId="30AB78C0" w14:textId="77777777" w:rsidR="00951A61" w:rsidRPr="0073538C" w:rsidRDefault="00951A61" w:rsidP="00951A61">
            <w:pPr>
              <w:pStyle w:val="1-"/>
              <w:numPr>
                <w:ilvl w:val="0"/>
                <w:numId w:val="25"/>
              </w:numPr>
              <w:tabs>
                <w:tab w:val="left" w:pos="664"/>
              </w:tabs>
              <w:spacing w:before="0"/>
              <w:ind w:left="0" w:firstLine="425"/>
              <w:rPr>
                <w:rFonts w:ascii="Tahoma" w:hAnsi="Tahoma" w:cs="Tahoma"/>
                <w:sz w:val="20"/>
                <w:szCs w:val="20"/>
              </w:rPr>
            </w:pPr>
            <w:r w:rsidRPr="0073538C">
              <w:rPr>
                <w:rFonts w:ascii="Tahoma" w:eastAsia="Calibri" w:hAnsi="Tahoma" w:cs="Tahoma"/>
                <w:spacing w:val="0"/>
                <w:sz w:val="20"/>
                <w:szCs w:val="20"/>
                <w:lang w:eastAsia="ar-SA"/>
              </w:rPr>
              <w:t>для иных субъектов Российской Федерации: 15 000 000,00 руб.</w:t>
            </w:r>
          </w:p>
        </w:tc>
      </w:tr>
      <w:tr w:rsidR="00951A61" w:rsidRPr="0073538C" w14:paraId="0F256EE6" w14:textId="77777777" w:rsidTr="00A4032F">
        <w:trPr>
          <w:trHeight w:val="255"/>
        </w:trPr>
        <w:tc>
          <w:tcPr>
            <w:tcW w:w="4121" w:type="dxa"/>
            <w:tcBorders>
              <w:top w:val="nil"/>
              <w:left w:val="single" w:sz="4" w:space="0" w:color="auto"/>
              <w:bottom w:val="single" w:sz="4" w:space="0" w:color="auto"/>
              <w:right w:val="single" w:sz="4" w:space="0" w:color="auto"/>
            </w:tcBorders>
            <w:shd w:val="clear" w:color="auto" w:fill="auto"/>
          </w:tcPr>
          <w:p w14:paraId="7D602A29" w14:textId="77777777" w:rsidR="00951A61" w:rsidRPr="0073538C" w:rsidRDefault="00951A61" w:rsidP="00A4032F">
            <w:pPr>
              <w:jc w:val="center"/>
              <w:rPr>
                <w:rFonts w:ascii="Tahoma" w:hAnsi="Tahoma" w:cs="Tahoma"/>
                <w:b/>
                <w:sz w:val="20"/>
                <w:szCs w:val="20"/>
              </w:rPr>
            </w:pPr>
            <w:r w:rsidRPr="0073538C">
              <w:rPr>
                <w:rFonts w:ascii="Tahoma" w:hAnsi="Tahoma" w:cs="Tahoma"/>
                <w:b/>
                <w:sz w:val="20"/>
                <w:szCs w:val="20"/>
              </w:rPr>
              <w:t>Процентные ставки (в процентах годовых)</w:t>
            </w:r>
          </w:p>
        </w:tc>
        <w:tc>
          <w:tcPr>
            <w:tcW w:w="11452" w:type="dxa"/>
            <w:tcBorders>
              <w:top w:val="single" w:sz="4" w:space="0" w:color="auto"/>
              <w:left w:val="nil"/>
              <w:bottom w:val="single" w:sz="4" w:space="0" w:color="auto"/>
              <w:right w:val="single" w:sz="4" w:space="0" w:color="auto"/>
            </w:tcBorders>
            <w:shd w:val="clear" w:color="auto" w:fill="auto"/>
          </w:tcPr>
          <w:p w14:paraId="6D3E6E96" w14:textId="77777777" w:rsidR="00951A61" w:rsidRPr="0073538C" w:rsidRDefault="00951A61" w:rsidP="00A4032F">
            <w:pPr>
              <w:ind w:firstLine="425"/>
              <w:jc w:val="both"/>
              <w:rPr>
                <w:rFonts w:ascii="Tahoma" w:hAnsi="Tahoma" w:cs="Tahoma"/>
                <w:sz w:val="20"/>
                <w:szCs w:val="20"/>
              </w:rPr>
            </w:pPr>
            <w:r w:rsidRPr="0073538C">
              <w:rPr>
                <w:rFonts w:ascii="Tahoma" w:hAnsi="Tahoma" w:cs="Tahoma"/>
                <w:color w:val="000000"/>
                <w:sz w:val="20"/>
                <w:szCs w:val="20"/>
              </w:rPr>
              <w:t>В соответствии с Порядком формирования процентных ставок по ипотечному кредиту по тарифному плану «Рефинансирование», являющимся Приложением 1 к настоящему документу.</w:t>
            </w:r>
          </w:p>
        </w:tc>
      </w:tr>
      <w:tr w:rsidR="00951A61" w:rsidRPr="0073538C" w14:paraId="11B50D5E" w14:textId="77777777" w:rsidTr="00A4032F">
        <w:trPr>
          <w:trHeight w:val="255"/>
        </w:trPr>
        <w:tc>
          <w:tcPr>
            <w:tcW w:w="4121" w:type="dxa"/>
            <w:tcBorders>
              <w:top w:val="nil"/>
              <w:left w:val="single" w:sz="4" w:space="0" w:color="auto"/>
              <w:bottom w:val="single" w:sz="4" w:space="0" w:color="auto"/>
              <w:right w:val="single" w:sz="4" w:space="0" w:color="auto"/>
            </w:tcBorders>
            <w:shd w:val="clear" w:color="auto" w:fill="auto"/>
          </w:tcPr>
          <w:p w14:paraId="2A1C3184" w14:textId="77777777" w:rsidR="00951A61" w:rsidRPr="0073538C" w:rsidRDefault="00951A61" w:rsidP="00A4032F">
            <w:pPr>
              <w:jc w:val="center"/>
              <w:rPr>
                <w:rFonts w:ascii="Tahoma" w:hAnsi="Tahoma" w:cs="Tahoma"/>
                <w:b/>
                <w:sz w:val="20"/>
                <w:szCs w:val="20"/>
              </w:rPr>
            </w:pPr>
            <w:r w:rsidRPr="0073538C">
              <w:rPr>
                <w:rFonts w:ascii="Tahoma" w:hAnsi="Tahoma" w:cs="Tahoma"/>
                <w:b/>
                <w:bCs/>
                <w:color w:val="000000"/>
                <w:sz w:val="20"/>
                <w:szCs w:val="20"/>
              </w:rPr>
              <w:t>Диапазон полной стоимости потребительского кредита в процентном и в денежном выражении</w:t>
            </w:r>
          </w:p>
        </w:tc>
        <w:tc>
          <w:tcPr>
            <w:tcW w:w="11452" w:type="dxa"/>
            <w:tcBorders>
              <w:top w:val="single" w:sz="4" w:space="0" w:color="auto"/>
              <w:left w:val="nil"/>
              <w:bottom w:val="single" w:sz="4" w:space="0" w:color="auto"/>
              <w:right w:val="single" w:sz="4" w:space="0" w:color="auto"/>
            </w:tcBorders>
            <w:shd w:val="clear" w:color="auto" w:fill="auto"/>
          </w:tcPr>
          <w:p w14:paraId="16A46521" w14:textId="77777777" w:rsidR="00951A61" w:rsidRPr="0023145E" w:rsidRDefault="00951A61" w:rsidP="00A4032F">
            <w:pPr>
              <w:jc w:val="center"/>
              <w:rPr>
                <w:rFonts w:ascii="Tahoma" w:hAnsi="Tahoma" w:cs="Tahoma"/>
                <w:color w:val="000000"/>
                <w:sz w:val="20"/>
                <w:szCs w:val="20"/>
              </w:rPr>
            </w:pPr>
            <w:r w:rsidRPr="0023145E">
              <w:rPr>
                <w:rFonts w:ascii="Tahoma" w:hAnsi="Tahoma" w:cs="Tahoma"/>
                <w:color w:val="000000"/>
                <w:sz w:val="20"/>
                <w:szCs w:val="20"/>
              </w:rPr>
              <w:t>24,569</w:t>
            </w:r>
            <w:r w:rsidRPr="0023145E" w:rsidDel="00A01431">
              <w:rPr>
                <w:rFonts w:ascii="Tahoma" w:hAnsi="Tahoma" w:cs="Tahoma"/>
                <w:color w:val="000000"/>
                <w:sz w:val="20"/>
                <w:szCs w:val="20"/>
              </w:rPr>
              <w:t xml:space="preserve"> </w:t>
            </w:r>
            <w:r w:rsidRPr="0023145E">
              <w:rPr>
                <w:rFonts w:ascii="Tahoma" w:hAnsi="Tahoma" w:cs="Tahoma"/>
                <w:color w:val="000000"/>
                <w:sz w:val="20"/>
                <w:szCs w:val="20"/>
              </w:rPr>
              <w:t>% годовых</w:t>
            </w:r>
            <w:r w:rsidRPr="0023145E">
              <w:rPr>
                <w:rStyle w:val="aff3"/>
                <w:rFonts w:ascii="Tahoma" w:hAnsi="Tahoma" w:cs="Tahoma"/>
                <w:color w:val="000000"/>
                <w:sz w:val="20"/>
                <w:szCs w:val="20"/>
              </w:rPr>
              <w:footnoteReference w:id="66"/>
            </w:r>
            <w:r w:rsidRPr="0023145E">
              <w:rPr>
                <w:rFonts w:ascii="Tahoma" w:hAnsi="Tahoma" w:cs="Tahoma"/>
                <w:color w:val="000000"/>
                <w:sz w:val="20"/>
                <w:szCs w:val="20"/>
              </w:rPr>
              <w:t xml:space="preserve"> – 28,624</w:t>
            </w:r>
            <w:r w:rsidRPr="0023145E" w:rsidDel="00F6526A">
              <w:rPr>
                <w:rFonts w:ascii="Tahoma" w:hAnsi="Tahoma" w:cs="Tahoma"/>
                <w:color w:val="000000"/>
                <w:sz w:val="20"/>
                <w:szCs w:val="20"/>
              </w:rPr>
              <w:t xml:space="preserve"> </w:t>
            </w:r>
            <w:r w:rsidRPr="0023145E">
              <w:rPr>
                <w:rFonts w:ascii="Tahoma" w:hAnsi="Tahoma" w:cs="Tahoma"/>
                <w:color w:val="000000"/>
                <w:sz w:val="20"/>
                <w:szCs w:val="20"/>
              </w:rPr>
              <w:t>% годовых</w:t>
            </w:r>
            <w:r w:rsidRPr="0023145E">
              <w:rPr>
                <w:rStyle w:val="aff3"/>
                <w:rFonts w:ascii="Tahoma" w:hAnsi="Tahoma" w:cs="Tahoma"/>
                <w:color w:val="000000"/>
                <w:sz w:val="20"/>
                <w:szCs w:val="20"/>
              </w:rPr>
              <w:footnoteReference w:id="67"/>
            </w:r>
            <w:r w:rsidRPr="0023145E">
              <w:rPr>
                <w:rFonts w:ascii="Tahoma" w:hAnsi="Tahoma" w:cs="Tahoma"/>
                <w:color w:val="000000"/>
                <w:sz w:val="20"/>
                <w:szCs w:val="20"/>
              </w:rPr>
              <w:t>;</w:t>
            </w:r>
          </w:p>
          <w:p w14:paraId="3BC8641A" w14:textId="77777777" w:rsidR="00951A61" w:rsidRPr="0073538C" w:rsidRDefault="00951A61" w:rsidP="00A4032F">
            <w:pPr>
              <w:jc w:val="center"/>
              <w:rPr>
                <w:rFonts w:ascii="Tahoma" w:hAnsi="Tahoma" w:cs="Tahoma"/>
                <w:color w:val="000000"/>
                <w:sz w:val="20"/>
                <w:szCs w:val="20"/>
              </w:rPr>
            </w:pPr>
            <w:r w:rsidRPr="0023145E">
              <w:rPr>
                <w:rFonts w:ascii="Tahoma" w:hAnsi="Tahoma" w:cs="Tahoma"/>
                <w:color w:val="000000"/>
                <w:sz w:val="20"/>
                <w:szCs w:val="20"/>
              </w:rPr>
              <w:t>208 935,48 рублей – 135 033 936,31</w:t>
            </w:r>
            <w:r w:rsidRPr="0023145E" w:rsidDel="007106C3">
              <w:rPr>
                <w:rFonts w:ascii="Tahoma" w:hAnsi="Tahoma" w:cs="Tahoma"/>
                <w:color w:val="000000"/>
                <w:sz w:val="20"/>
                <w:szCs w:val="20"/>
              </w:rPr>
              <w:t xml:space="preserve"> </w:t>
            </w:r>
            <w:r w:rsidRPr="0023145E">
              <w:rPr>
                <w:rFonts w:ascii="Tahoma" w:hAnsi="Tahoma" w:cs="Tahoma"/>
                <w:color w:val="000000"/>
                <w:sz w:val="20"/>
                <w:szCs w:val="20"/>
              </w:rPr>
              <w:t>рублей</w:t>
            </w:r>
          </w:p>
        </w:tc>
      </w:tr>
      <w:tr w:rsidR="00951A61" w:rsidRPr="0073538C" w14:paraId="3BB2EE2C" w14:textId="77777777" w:rsidTr="00A4032F">
        <w:trPr>
          <w:trHeight w:val="255"/>
        </w:trPr>
        <w:tc>
          <w:tcPr>
            <w:tcW w:w="4121" w:type="dxa"/>
            <w:tcBorders>
              <w:top w:val="nil"/>
              <w:left w:val="single" w:sz="4" w:space="0" w:color="auto"/>
              <w:bottom w:val="single" w:sz="4" w:space="0" w:color="auto"/>
              <w:right w:val="single" w:sz="4" w:space="0" w:color="auto"/>
            </w:tcBorders>
            <w:shd w:val="clear" w:color="auto" w:fill="auto"/>
          </w:tcPr>
          <w:p w14:paraId="69CE9368" w14:textId="77777777" w:rsidR="00951A61" w:rsidRPr="0073538C" w:rsidRDefault="00951A61" w:rsidP="00A4032F">
            <w:pPr>
              <w:jc w:val="center"/>
              <w:rPr>
                <w:rFonts w:ascii="Tahoma" w:hAnsi="Tahoma" w:cs="Tahoma"/>
                <w:b/>
                <w:sz w:val="20"/>
                <w:szCs w:val="20"/>
              </w:rPr>
            </w:pPr>
            <w:r w:rsidRPr="0073538C">
              <w:rPr>
                <w:rFonts w:ascii="Tahoma" w:hAnsi="Tahoma" w:cs="Tahoma"/>
                <w:b/>
                <w:bCs/>
                <w:color w:val="000000"/>
                <w:sz w:val="20"/>
                <w:szCs w:val="20"/>
              </w:rPr>
              <w:t>Способы обеспечения исполнения обязательств по Кредитному договору</w:t>
            </w:r>
          </w:p>
        </w:tc>
        <w:tc>
          <w:tcPr>
            <w:tcW w:w="11452" w:type="dxa"/>
            <w:tcBorders>
              <w:top w:val="single" w:sz="4" w:space="0" w:color="auto"/>
              <w:left w:val="nil"/>
              <w:bottom w:val="single" w:sz="4" w:space="0" w:color="auto"/>
              <w:right w:val="single" w:sz="4" w:space="0" w:color="auto"/>
            </w:tcBorders>
            <w:shd w:val="clear" w:color="auto" w:fill="auto"/>
          </w:tcPr>
          <w:p w14:paraId="34F9E8D4" w14:textId="77777777" w:rsidR="00951A61" w:rsidRPr="0073538C" w:rsidRDefault="00951A61" w:rsidP="00A4032F">
            <w:pPr>
              <w:ind w:firstLine="425"/>
              <w:jc w:val="both"/>
              <w:rPr>
                <w:rFonts w:ascii="Tahoma" w:hAnsi="Tahoma" w:cs="Tahoma"/>
                <w:color w:val="000000"/>
                <w:sz w:val="20"/>
                <w:szCs w:val="20"/>
              </w:rPr>
            </w:pPr>
            <w:r w:rsidRPr="0073538C">
              <w:rPr>
                <w:rFonts w:ascii="Tahoma" w:hAnsi="Tahoma" w:cs="Tahoma"/>
                <w:color w:val="000000"/>
                <w:sz w:val="20"/>
                <w:szCs w:val="20"/>
              </w:rPr>
              <w:t>Исполнение обязательств по Кредитному договору обеспечивается:</w:t>
            </w:r>
          </w:p>
          <w:p w14:paraId="7265E401" w14:textId="77777777" w:rsidR="00951A61" w:rsidRPr="0073538C" w:rsidRDefault="00951A61" w:rsidP="00951A61">
            <w:pPr>
              <w:pStyle w:val="affe"/>
              <w:numPr>
                <w:ilvl w:val="0"/>
                <w:numId w:val="56"/>
              </w:numPr>
              <w:ind w:left="0" w:firstLine="425"/>
              <w:contextualSpacing/>
              <w:jc w:val="both"/>
              <w:rPr>
                <w:rFonts w:ascii="Tahoma" w:hAnsi="Tahoma" w:cs="Tahoma"/>
                <w:color w:val="000000"/>
                <w:sz w:val="20"/>
                <w:szCs w:val="20"/>
              </w:rPr>
            </w:pPr>
            <w:r w:rsidRPr="0073538C">
              <w:rPr>
                <w:rFonts w:ascii="Tahoma" w:hAnsi="Tahoma" w:cs="Tahoma"/>
                <w:color w:val="000000"/>
                <w:sz w:val="20"/>
                <w:szCs w:val="20"/>
              </w:rPr>
              <w:t xml:space="preserve">залогом </w:t>
            </w:r>
            <w:r w:rsidRPr="00B52A25">
              <w:rPr>
                <w:rFonts w:ascii="Tahoma" w:hAnsi="Tahoma" w:cs="Tahoma"/>
                <w:color w:val="000000"/>
                <w:sz w:val="20"/>
                <w:szCs w:val="20"/>
              </w:rPr>
              <w:t>объекта недвижимости, на приобретение которого был предоставлен рефинансируемый кредит или первый из ранее рефинансируемых ипотечных кредитов</w:t>
            </w:r>
            <w:r w:rsidRPr="0073538C">
              <w:rPr>
                <w:rFonts w:ascii="Tahoma" w:hAnsi="Tahoma" w:cs="Tahoma"/>
                <w:color w:val="000000"/>
                <w:sz w:val="20"/>
                <w:szCs w:val="20"/>
              </w:rPr>
              <w:t>;</w:t>
            </w:r>
          </w:p>
          <w:p w14:paraId="49E8F625" w14:textId="77777777" w:rsidR="00951A61" w:rsidRPr="0073538C" w:rsidRDefault="00951A61" w:rsidP="00951A61">
            <w:pPr>
              <w:pStyle w:val="affe"/>
              <w:numPr>
                <w:ilvl w:val="0"/>
                <w:numId w:val="56"/>
              </w:numPr>
              <w:ind w:left="0" w:firstLine="425"/>
              <w:contextualSpacing/>
              <w:jc w:val="both"/>
              <w:rPr>
                <w:rFonts w:ascii="Tahoma" w:hAnsi="Tahoma" w:cs="Tahoma"/>
                <w:color w:val="000000"/>
                <w:sz w:val="20"/>
                <w:szCs w:val="20"/>
              </w:rPr>
            </w:pPr>
            <w:r w:rsidRPr="0073538C">
              <w:rPr>
                <w:rFonts w:ascii="Tahoma" w:hAnsi="Tahoma" w:cs="Tahoma"/>
                <w:color w:val="000000"/>
                <w:sz w:val="20"/>
                <w:szCs w:val="20"/>
              </w:rPr>
              <w:t>неустойкой.</w:t>
            </w:r>
          </w:p>
          <w:p w14:paraId="0937C5FB" w14:textId="77777777" w:rsidR="00951A61" w:rsidRPr="0073538C" w:rsidRDefault="00951A61" w:rsidP="00A4032F">
            <w:pPr>
              <w:ind w:firstLine="425"/>
              <w:jc w:val="both"/>
              <w:rPr>
                <w:rFonts w:ascii="Tahoma" w:hAnsi="Tahoma" w:cs="Tahoma"/>
                <w:color w:val="000000"/>
                <w:sz w:val="20"/>
                <w:szCs w:val="20"/>
              </w:rPr>
            </w:pPr>
            <w:r w:rsidRPr="0073538C">
              <w:rPr>
                <w:rFonts w:ascii="Tahoma" w:eastAsia="Calibri" w:hAnsi="Tahoma" w:cs="Tahoma"/>
                <w:sz w:val="20"/>
                <w:szCs w:val="20"/>
              </w:rPr>
              <w:t>Условиями Кредитного договора могут быть предусмотрены дополнительные способы обеспечения исполнения обязательств.</w:t>
            </w:r>
          </w:p>
        </w:tc>
      </w:tr>
      <w:tr w:rsidR="00951A61" w:rsidRPr="0073538C" w14:paraId="0AFABB8C" w14:textId="77777777" w:rsidTr="00A4032F">
        <w:trPr>
          <w:trHeight w:val="255"/>
        </w:trPr>
        <w:tc>
          <w:tcPr>
            <w:tcW w:w="4121" w:type="dxa"/>
            <w:tcBorders>
              <w:top w:val="nil"/>
              <w:left w:val="single" w:sz="4" w:space="0" w:color="auto"/>
              <w:bottom w:val="single" w:sz="4" w:space="0" w:color="auto"/>
              <w:right w:val="single" w:sz="4" w:space="0" w:color="auto"/>
            </w:tcBorders>
            <w:shd w:val="clear" w:color="auto" w:fill="auto"/>
          </w:tcPr>
          <w:p w14:paraId="5A67EC78" w14:textId="77777777" w:rsidR="00951A61" w:rsidRPr="0073538C" w:rsidRDefault="00951A61" w:rsidP="00A4032F">
            <w:pPr>
              <w:jc w:val="center"/>
              <w:rPr>
                <w:rFonts w:ascii="Tahoma" w:hAnsi="Tahoma" w:cs="Tahoma"/>
                <w:b/>
                <w:sz w:val="20"/>
                <w:szCs w:val="20"/>
              </w:rPr>
            </w:pPr>
            <w:r w:rsidRPr="0073538C">
              <w:rPr>
                <w:rFonts w:ascii="Tahoma" w:hAnsi="Tahoma" w:cs="Tahoma"/>
                <w:b/>
                <w:sz w:val="20"/>
                <w:szCs w:val="20"/>
              </w:rPr>
              <w:t>Страхование</w:t>
            </w:r>
            <w:r w:rsidRPr="0073538C">
              <w:rPr>
                <w:rStyle w:val="aff3"/>
                <w:rFonts w:ascii="Tahoma" w:hAnsi="Tahoma" w:cs="Tahoma"/>
                <w:b/>
                <w:sz w:val="20"/>
                <w:szCs w:val="20"/>
              </w:rPr>
              <w:footnoteReference w:id="68"/>
            </w:r>
          </w:p>
        </w:tc>
        <w:tc>
          <w:tcPr>
            <w:tcW w:w="11452" w:type="dxa"/>
            <w:tcBorders>
              <w:top w:val="single" w:sz="4" w:space="0" w:color="auto"/>
              <w:left w:val="nil"/>
              <w:bottom w:val="single" w:sz="4" w:space="0" w:color="auto"/>
              <w:right w:val="single" w:sz="4" w:space="0" w:color="auto"/>
            </w:tcBorders>
            <w:shd w:val="clear" w:color="auto" w:fill="auto"/>
          </w:tcPr>
          <w:p w14:paraId="5FE7934E" w14:textId="77777777" w:rsidR="00951A61" w:rsidRPr="005F46F4" w:rsidRDefault="00951A61" w:rsidP="00951A61">
            <w:pPr>
              <w:pStyle w:val="affe"/>
              <w:numPr>
                <w:ilvl w:val="0"/>
                <w:numId w:val="55"/>
              </w:numPr>
              <w:ind w:left="0" w:firstLine="425"/>
              <w:contextualSpacing/>
              <w:jc w:val="both"/>
              <w:rPr>
                <w:rFonts w:ascii="Tahoma" w:hAnsi="Tahoma" w:cs="Tahoma"/>
                <w:sz w:val="20"/>
                <w:szCs w:val="20"/>
              </w:rPr>
            </w:pPr>
            <w:r w:rsidRPr="005F46F4">
              <w:rPr>
                <w:rFonts w:ascii="Tahoma" w:hAnsi="Tahoma" w:cs="Tahoma"/>
                <w:b/>
                <w:sz w:val="20"/>
                <w:szCs w:val="20"/>
              </w:rPr>
              <w:t>Имущественное страхование</w:t>
            </w:r>
            <w:r w:rsidRPr="005F46F4">
              <w:rPr>
                <w:rFonts w:ascii="Tahoma" w:hAnsi="Tahoma" w:cs="Tahoma"/>
                <w:sz w:val="20"/>
                <w:szCs w:val="20"/>
              </w:rPr>
              <w:t xml:space="preserve"> (страхование рисков, связанных с утратой или повреждением недвижимого имущества, находящегося в залоге);</w:t>
            </w:r>
          </w:p>
          <w:p w14:paraId="520AFDC3" w14:textId="77777777" w:rsidR="00951A61" w:rsidRPr="0073538C" w:rsidRDefault="00951A61" w:rsidP="00951A61">
            <w:pPr>
              <w:pStyle w:val="affe"/>
              <w:numPr>
                <w:ilvl w:val="0"/>
                <w:numId w:val="55"/>
              </w:numPr>
              <w:ind w:left="0" w:firstLine="425"/>
              <w:contextualSpacing/>
              <w:jc w:val="both"/>
              <w:rPr>
                <w:rFonts w:ascii="Tahoma" w:hAnsi="Tahoma" w:cs="Tahoma"/>
                <w:sz w:val="20"/>
                <w:szCs w:val="20"/>
              </w:rPr>
            </w:pPr>
            <w:r w:rsidRPr="005F46F4">
              <w:rPr>
                <w:rFonts w:ascii="Tahoma" w:hAnsi="Tahoma" w:cs="Tahoma"/>
                <w:b/>
                <w:sz w:val="20"/>
                <w:szCs w:val="20"/>
              </w:rPr>
              <w:lastRenderedPageBreak/>
              <w:t>Личное страхование</w:t>
            </w:r>
            <w:r w:rsidRPr="005F46F4">
              <w:rPr>
                <w:rStyle w:val="aff3"/>
                <w:rFonts w:ascii="Tahoma" w:hAnsi="Tahoma" w:cs="Tahoma"/>
                <w:b/>
                <w:sz w:val="20"/>
                <w:szCs w:val="20"/>
              </w:rPr>
              <w:footnoteReference w:id="69"/>
            </w:r>
            <w:r w:rsidRPr="005F46F4">
              <w:rPr>
                <w:rFonts w:ascii="Tahoma" w:hAnsi="Tahoma" w:cs="Tahoma"/>
                <w:sz w:val="20"/>
                <w:szCs w:val="20"/>
              </w:rPr>
              <w:t xml:space="preserve"> (страхование на случай смерти застрахованного лица и установления</w:t>
            </w:r>
            <w:r w:rsidRPr="0073538C">
              <w:rPr>
                <w:rFonts w:ascii="Tahoma" w:hAnsi="Tahoma" w:cs="Tahoma"/>
                <w:sz w:val="20"/>
                <w:szCs w:val="20"/>
              </w:rPr>
              <w:t xml:space="preserve"> застрахованному лицу инвалидности I, II группы, в том числе в результате болезни) — оформляется по желанию заемщика;</w:t>
            </w:r>
          </w:p>
          <w:p w14:paraId="0AB6074C" w14:textId="77777777" w:rsidR="00951A61" w:rsidRPr="0073538C" w:rsidRDefault="00951A61" w:rsidP="00951A61">
            <w:pPr>
              <w:pStyle w:val="affe"/>
              <w:numPr>
                <w:ilvl w:val="0"/>
                <w:numId w:val="55"/>
              </w:numPr>
              <w:ind w:left="0" w:firstLine="425"/>
              <w:contextualSpacing/>
              <w:jc w:val="both"/>
              <w:rPr>
                <w:rFonts w:ascii="Tahoma" w:hAnsi="Tahoma" w:cs="Tahoma"/>
                <w:sz w:val="20"/>
                <w:szCs w:val="20"/>
              </w:rPr>
            </w:pPr>
            <w:r w:rsidRPr="0073538C">
              <w:rPr>
                <w:rFonts w:ascii="Tahoma" w:hAnsi="Tahoma" w:cs="Tahoma"/>
                <w:b/>
                <w:sz w:val="20"/>
                <w:szCs w:val="20"/>
              </w:rPr>
              <w:t>Титульное страхование</w:t>
            </w:r>
            <w:r w:rsidRPr="0073538C">
              <w:rPr>
                <w:rFonts w:ascii="Tahoma" w:hAnsi="Tahoma" w:cs="Tahoma"/>
                <w:sz w:val="20"/>
                <w:szCs w:val="20"/>
              </w:rPr>
              <w:t xml:space="preserve"> (страхование от риска утраты / ограничения права собственности (титула) на Объект недвижимости, осуществляется в течение 3-х лет с момента оформления права собственности Заемщика на Объект недвижимости) — оформляется по желанию заемщика. Риск прекращения или ограничения права собственности на Объект недвижимости не страхуется в случае предоставления кредита по продукту «Рефинансирование» на погашение ранее предоставленного другим банком кредита на цели приобретения Объекта недвижимости на этапе строительства.</w:t>
            </w:r>
          </w:p>
          <w:p w14:paraId="04429FD7"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 xml:space="preserve"> </w:t>
            </w:r>
          </w:p>
        </w:tc>
      </w:tr>
      <w:tr w:rsidR="00951A61" w:rsidRPr="0073538C" w14:paraId="1503A6B8" w14:textId="77777777" w:rsidTr="00A4032F">
        <w:trPr>
          <w:trHeight w:val="4163"/>
        </w:trPr>
        <w:tc>
          <w:tcPr>
            <w:tcW w:w="4121" w:type="dxa"/>
            <w:tcBorders>
              <w:top w:val="nil"/>
              <w:left w:val="single" w:sz="4" w:space="0" w:color="auto"/>
              <w:bottom w:val="single" w:sz="4" w:space="0" w:color="auto"/>
              <w:right w:val="single" w:sz="4" w:space="0" w:color="auto"/>
            </w:tcBorders>
            <w:shd w:val="clear" w:color="auto" w:fill="auto"/>
          </w:tcPr>
          <w:p w14:paraId="4FF9A56D" w14:textId="77777777" w:rsidR="00951A61" w:rsidRPr="0073538C" w:rsidRDefault="00951A61" w:rsidP="00A4032F">
            <w:pPr>
              <w:jc w:val="center"/>
              <w:rPr>
                <w:rFonts w:ascii="Tahoma" w:hAnsi="Tahoma" w:cs="Tahoma"/>
                <w:b/>
                <w:sz w:val="20"/>
                <w:szCs w:val="20"/>
              </w:rPr>
            </w:pPr>
            <w:r w:rsidRPr="0073538C">
              <w:rPr>
                <w:rFonts w:ascii="Tahoma" w:hAnsi="Tahoma" w:cs="Tahoma"/>
                <w:b/>
                <w:sz w:val="20"/>
                <w:szCs w:val="20"/>
              </w:rPr>
              <w:lastRenderedPageBreak/>
              <w:t>Коэффициент кредит/залог (К/З)</w:t>
            </w:r>
          </w:p>
        </w:tc>
        <w:tc>
          <w:tcPr>
            <w:tcW w:w="11452" w:type="dxa"/>
            <w:tcBorders>
              <w:top w:val="single" w:sz="4" w:space="0" w:color="auto"/>
              <w:left w:val="nil"/>
              <w:bottom w:val="single" w:sz="4" w:space="0" w:color="auto"/>
              <w:right w:val="single" w:sz="4" w:space="0" w:color="auto"/>
            </w:tcBorders>
            <w:shd w:val="clear" w:color="auto" w:fill="auto"/>
          </w:tcPr>
          <w:p w14:paraId="374C2FF3" w14:textId="77777777" w:rsidR="00951A61" w:rsidRPr="0073538C" w:rsidRDefault="00951A61" w:rsidP="00A4032F">
            <w:pPr>
              <w:pStyle w:val="affe"/>
              <w:tabs>
                <w:tab w:val="left" w:pos="280"/>
              </w:tabs>
              <w:ind w:left="0" w:firstLine="425"/>
              <w:jc w:val="both"/>
              <w:rPr>
                <w:rFonts w:ascii="Tahoma" w:hAnsi="Tahoma" w:cs="Tahoma"/>
                <w:sz w:val="20"/>
                <w:szCs w:val="20"/>
              </w:rPr>
            </w:pPr>
            <w:r w:rsidRPr="0073538C">
              <w:rPr>
                <w:rFonts w:ascii="Tahoma" w:hAnsi="Tahoma" w:cs="Tahoma"/>
                <w:b/>
                <w:sz w:val="20"/>
                <w:szCs w:val="20"/>
                <w:u w:val="single"/>
              </w:rPr>
              <w:t xml:space="preserve">Коэффициент К/З </w:t>
            </w:r>
            <w:r w:rsidRPr="0073538C">
              <w:rPr>
                <w:rFonts w:ascii="Tahoma" w:hAnsi="Tahoma" w:cs="Tahoma"/>
                <w:sz w:val="20"/>
                <w:szCs w:val="20"/>
              </w:rPr>
              <w:t>определяется как величина расчета возможной суммы кредита в зависимости от Действительной стоимости Предмета ипотеки.</w:t>
            </w:r>
          </w:p>
          <w:p w14:paraId="00D83F98" w14:textId="77777777" w:rsidR="00951A61" w:rsidRPr="0073538C" w:rsidRDefault="00951A61" w:rsidP="00A4032F">
            <w:pPr>
              <w:pStyle w:val="affe"/>
              <w:tabs>
                <w:tab w:val="left" w:pos="0"/>
                <w:tab w:val="left" w:pos="142"/>
              </w:tabs>
              <w:ind w:left="0" w:firstLine="425"/>
              <w:jc w:val="both"/>
              <w:rPr>
                <w:rFonts w:ascii="Tahoma" w:hAnsi="Tahoma" w:cs="Tahoma"/>
                <w:sz w:val="20"/>
                <w:szCs w:val="20"/>
              </w:rPr>
            </w:pPr>
            <w:r w:rsidRPr="0073538C">
              <w:rPr>
                <w:rFonts w:ascii="Tahoma" w:hAnsi="Tahoma" w:cs="Tahoma"/>
                <w:b/>
                <w:sz w:val="20"/>
                <w:szCs w:val="20"/>
                <w:u w:val="single"/>
              </w:rPr>
              <w:t>Предусмотрено повышенное значение К/З в размере 85%</w:t>
            </w:r>
            <w:r w:rsidRPr="0073538C">
              <w:rPr>
                <w:rStyle w:val="aff3"/>
                <w:rFonts w:ascii="Tahoma" w:hAnsi="Tahoma" w:cs="Tahoma"/>
                <w:b/>
                <w:sz w:val="20"/>
                <w:szCs w:val="20"/>
                <w:u w:val="single"/>
              </w:rPr>
              <w:footnoteReference w:id="70"/>
            </w:r>
            <w:r w:rsidRPr="0073538C">
              <w:rPr>
                <w:rFonts w:ascii="Tahoma" w:hAnsi="Tahoma" w:cs="Tahoma"/>
                <w:bCs/>
                <w:sz w:val="20"/>
                <w:szCs w:val="20"/>
              </w:rPr>
              <w:t xml:space="preserve"> - при </w:t>
            </w:r>
            <w:r w:rsidRPr="0073538C">
              <w:rPr>
                <w:rFonts w:ascii="Tahoma" w:hAnsi="Tahoma" w:cs="Tahoma"/>
                <w:sz w:val="20"/>
                <w:szCs w:val="20"/>
              </w:rPr>
              <w:t>наличии Государственного сертификата на материнский (семейный) капитал (далее</w:t>
            </w:r>
            <w:r>
              <w:rPr>
                <w:rFonts w:ascii="Tahoma" w:hAnsi="Tahoma" w:cs="Tahoma"/>
                <w:sz w:val="20"/>
                <w:szCs w:val="20"/>
              </w:rPr>
              <w:t xml:space="preserve"> -</w:t>
            </w:r>
            <w:r w:rsidRPr="0073538C">
              <w:rPr>
                <w:rFonts w:ascii="Tahoma" w:hAnsi="Tahoma" w:cs="Tahoma"/>
                <w:sz w:val="20"/>
                <w:szCs w:val="20"/>
              </w:rPr>
              <w:t xml:space="preserve"> МСК), с учетом произведенного гашения средствами МСК коэффициент К/З будет приведен к стандартному (</w:t>
            </w:r>
            <w:r w:rsidRPr="00AC7083">
              <w:rPr>
                <w:rFonts w:ascii="Tahoma" w:hAnsi="Tahoma" w:cs="Tahoma"/>
                <w:sz w:val="20"/>
                <w:szCs w:val="20"/>
              </w:rPr>
              <w:t xml:space="preserve">но не более </w:t>
            </w:r>
            <w:r w:rsidRPr="00EF029B">
              <w:rPr>
                <w:rFonts w:ascii="Tahoma" w:hAnsi="Tahoma" w:cs="Tahoma"/>
                <w:sz w:val="20"/>
                <w:szCs w:val="20"/>
              </w:rPr>
              <w:t>70</w:t>
            </w:r>
            <w:r w:rsidRPr="00AC7083">
              <w:rPr>
                <w:rFonts w:ascii="Tahoma" w:hAnsi="Tahoma" w:cs="Tahoma"/>
                <w:sz w:val="20"/>
                <w:szCs w:val="20"/>
              </w:rPr>
              <w:t>%):</w:t>
            </w:r>
          </w:p>
          <w:p w14:paraId="030C542F" w14:textId="77777777" w:rsidR="00951A61" w:rsidRPr="0073538C" w:rsidRDefault="00951A61" w:rsidP="00A4032F">
            <w:pPr>
              <w:pStyle w:val="affe"/>
              <w:tabs>
                <w:tab w:val="left" w:pos="280"/>
              </w:tabs>
              <w:ind w:left="0" w:firstLine="425"/>
              <w:jc w:val="both"/>
              <w:rPr>
                <w:rFonts w:ascii="Tahoma" w:hAnsi="Tahoma" w:cs="Tahoma"/>
                <w:b/>
                <w:sz w:val="20"/>
                <w:szCs w:val="20"/>
                <w:u w:val="single"/>
              </w:rPr>
            </w:pPr>
            <w:r w:rsidRPr="0073538C">
              <w:rPr>
                <w:rFonts w:ascii="Tahoma" w:hAnsi="Tahoma" w:cs="Tahoma"/>
                <w:b/>
                <w:sz w:val="20"/>
                <w:szCs w:val="20"/>
                <w:u w:val="single"/>
              </w:rPr>
              <w:t>Требование к стандартному размеру Коэффициента К/З</w:t>
            </w:r>
            <w:r w:rsidRPr="0073538C">
              <w:rPr>
                <w:rStyle w:val="aff3"/>
                <w:rFonts w:ascii="Tahoma" w:hAnsi="Tahoma" w:cs="Tahoma"/>
                <w:b/>
                <w:sz w:val="20"/>
                <w:szCs w:val="20"/>
                <w:u w:val="single"/>
              </w:rPr>
              <w:footnoteReference w:id="71"/>
            </w:r>
            <w:r w:rsidRPr="0073538C">
              <w:rPr>
                <w:rFonts w:ascii="Tahoma" w:hAnsi="Tahoma" w:cs="Tahoma"/>
                <w:b/>
                <w:sz w:val="20"/>
                <w:szCs w:val="20"/>
                <w:u w:val="single"/>
              </w:rPr>
              <w:t>:</w:t>
            </w:r>
          </w:p>
          <w:tbl>
            <w:tblPr>
              <w:tblStyle w:val="aff0"/>
              <w:tblW w:w="11121" w:type="dxa"/>
              <w:tblInd w:w="28" w:type="dxa"/>
              <w:tblLayout w:type="fixed"/>
              <w:tblLook w:val="04A0" w:firstRow="1" w:lastRow="0" w:firstColumn="1" w:lastColumn="0" w:noHBand="0" w:noVBand="1"/>
            </w:tblPr>
            <w:tblGrid>
              <w:gridCol w:w="5876"/>
              <w:gridCol w:w="5245"/>
            </w:tblGrid>
            <w:tr w:rsidR="00951A61" w:rsidRPr="0073538C" w14:paraId="7F317B7A" w14:textId="77777777" w:rsidTr="00A4032F">
              <w:trPr>
                <w:trHeight w:val="212"/>
              </w:trPr>
              <w:tc>
                <w:tcPr>
                  <w:tcW w:w="5876" w:type="dxa"/>
                </w:tcPr>
                <w:p w14:paraId="0B0637C4" w14:textId="77777777" w:rsidR="00951A61" w:rsidRPr="00BA41F4" w:rsidRDefault="00951A61" w:rsidP="00A4032F">
                  <w:pPr>
                    <w:pStyle w:val="affe"/>
                    <w:tabs>
                      <w:tab w:val="left" w:pos="280"/>
                    </w:tabs>
                    <w:ind w:left="0"/>
                    <w:jc w:val="center"/>
                    <w:rPr>
                      <w:rFonts w:ascii="Tahoma" w:hAnsi="Tahoma" w:cs="Tahoma"/>
                      <w:b/>
                      <w:sz w:val="20"/>
                      <w:szCs w:val="20"/>
                    </w:rPr>
                  </w:pPr>
                  <w:r w:rsidRPr="00BA41F4">
                    <w:rPr>
                      <w:rFonts w:ascii="Tahoma" w:hAnsi="Tahoma" w:cs="Tahoma"/>
                      <w:b/>
                      <w:sz w:val="20"/>
                      <w:szCs w:val="20"/>
                    </w:rPr>
                    <w:t>Квартира</w:t>
                  </w:r>
                </w:p>
              </w:tc>
              <w:tc>
                <w:tcPr>
                  <w:tcW w:w="5245" w:type="dxa"/>
                </w:tcPr>
                <w:p w14:paraId="08960B05" w14:textId="77777777" w:rsidR="00951A61" w:rsidRPr="00BA41F4" w:rsidRDefault="00951A61" w:rsidP="00A4032F">
                  <w:pPr>
                    <w:pStyle w:val="affe"/>
                    <w:tabs>
                      <w:tab w:val="left" w:pos="280"/>
                    </w:tabs>
                    <w:ind w:left="0"/>
                    <w:jc w:val="center"/>
                    <w:rPr>
                      <w:rFonts w:ascii="Tahoma" w:hAnsi="Tahoma" w:cs="Tahoma"/>
                      <w:b/>
                      <w:sz w:val="20"/>
                      <w:szCs w:val="20"/>
                    </w:rPr>
                  </w:pPr>
                  <w:r w:rsidRPr="00BA41F4">
                    <w:rPr>
                      <w:rFonts w:ascii="Tahoma" w:hAnsi="Tahoma" w:cs="Tahoma"/>
                      <w:b/>
                      <w:sz w:val="20"/>
                      <w:szCs w:val="20"/>
                    </w:rPr>
                    <w:t>Апартаменты</w:t>
                  </w:r>
                </w:p>
              </w:tc>
            </w:tr>
            <w:tr w:rsidR="00951A61" w:rsidRPr="0073538C" w14:paraId="447821A2" w14:textId="77777777" w:rsidTr="00A4032F">
              <w:trPr>
                <w:trHeight w:val="551"/>
              </w:trPr>
              <w:tc>
                <w:tcPr>
                  <w:tcW w:w="11121" w:type="dxa"/>
                  <w:gridSpan w:val="2"/>
                </w:tcPr>
                <w:p w14:paraId="285AF510" w14:textId="77777777" w:rsidR="00951A61" w:rsidRPr="003C621A" w:rsidRDefault="00951A61" w:rsidP="00A4032F">
                  <w:pPr>
                    <w:pStyle w:val="affe"/>
                    <w:tabs>
                      <w:tab w:val="left" w:pos="280"/>
                    </w:tabs>
                    <w:ind w:left="0" w:firstLine="425"/>
                    <w:jc w:val="both"/>
                    <w:rPr>
                      <w:rFonts w:ascii="Tahoma" w:hAnsi="Tahoma" w:cs="Tahoma"/>
                      <w:sz w:val="20"/>
                      <w:szCs w:val="20"/>
                    </w:rPr>
                  </w:pPr>
                  <w:r w:rsidRPr="003C621A">
                    <w:rPr>
                      <w:rFonts w:ascii="Tahoma" w:hAnsi="Tahoma" w:cs="Tahoma"/>
                      <w:sz w:val="20"/>
                      <w:szCs w:val="20"/>
                    </w:rPr>
                    <w:t>1. для Заемщика с официально подтвержденным доходом, а также для Заемщика, являющегося Зарплатным клиентом Банка:</w:t>
                  </w:r>
                </w:p>
              </w:tc>
            </w:tr>
            <w:tr w:rsidR="00951A61" w:rsidRPr="0073538C" w14:paraId="674442EA" w14:textId="77777777" w:rsidTr="00A4032F">
              <w:trPr>
                <w:trHeight w:val="275"/>
              </w:trPr>
              <w:tc>
                <w:tcPr>
                  <w:tcW w:w="5876" w:type="dxa"/>
                </w:tcPr>
                <w:p w14:paraId="4FAF0DE1" w14:textId="77777777" w:rsidR="00951A61" w:rsidRPr="003C621A" w:rsidRDefault="00951A61" w:rsidP="00A4032F">
                  <w:pPr>
                    <w:pStyle w:val="affe"/>
                    <w:tabs>
                      <w:tab w:val="left" w:pos="280"/>
                    </w:tabs>
                    <w:ind w:left="0"/>
                    <w:jc w:val="center"/>
                    <w:rPr>
                      <w:rFonts w:ascii="Tahoma" w:hAnsi="Tahoma" w:cs="Tahoma"/>
                      <w:sz w:val="20"/>
                      <w:szCs w:val="20"/>
                    </w:rPr>
                  </w:pPr>
                  <w:r w:rsidRPr="003C621A">
                    <w:rPr>
                      <w:rFonts w:ascii="Tahoma" w:hAnsi="Tahoma" w:cs="Tahoma"/>
                      <w:sz w:val="20"/>
                      <w:szCs w:val="20"/>
                    </w:rPr>
                    <w:t>Не более 80%</w:t>
                  </w:r>
                </w:p>
              </w:tc>
              <w:tc>
                <w:tcPr>
                  <w:tcW w:w="5245" w:type="dxa"/>
                </w:tcPr>
                <w:p w14:paraId="09B45C44" w14:textId="77777777" w:rsidR="00951A61" w:rsidRPr="003C621A" w:rsidRDefault="00951A61" w:rsidP="00A4032F">
                  <w:pPr>
                    <w:pStyle w:val="affe"/>
                    <w:tabs>
                      <w:tab w:val="left" w:pos="280"/>
                    </w:tabs>
                    <w:ind w:left="0"/>
                    <w:jc w:val="center"/>
                    <w:rPr>
                      <w:rFonts w:ascii="Tahoma" w:hAnsi="Tahoma" w:cs="Tahoma"/>
                      <w:sz w:val="20"/>
                      <w:szCs w:val="20"/>
                    </w:rPr>
                  </w:pPr>
                  <w:r w:rsidRPr="003C621A">
                    <w:rPr>
                      <w:rFonts w:ascii="Tahoma" w:hAnsi="Tahoma" w:cs="Tahoma"/>
                      <w:sz w:val="20"/>
                      <w:szCs w:val="20"/>
                    </w:rPr>
                    <w:t>Не более 80%</w:t>
                  </w:r>
                </w:p>
              </w:tc>
            </w:tr>
            <w:tr w:rsidR="00951A61" w:rsidRPr="0073538C" w14:paraId="534C4058" w14:textId="77777777" w:rsidTr="00A4032F">
              <w:trPr>
                <w:trHeight w:val="275"/>
              </w:trPr>
              <w:tc>
                <w:tcPr>
                  <w:tcW w:w="11121" w:type="dxa"/>
                  <w:gridSpan w:val="2"/>
                </w:tcPr>
                <w:p w14:paraId="40C7FD46" w14:textId="77777777" w:rsidR="00951A61" w:rsidRPr="00BA41F4" w:rsidRDefault="00951A61" w:rsidP="00A4032F">
                  <w:pPr>
                    <w:pStyle w:val="affe"/>
                    <w:tabs>
                      <w:tab w:val="left" w:pos="280"/>
                    </w:tabs>
                    <w:ind w:left="0" w:firstLine="425"/>
                    <w:jc w:val="both"/>
                    <w:rPr>
                      <w:rFonts w:ascii="Tahoma" w:hAnsi="Tahoma" w:cs="Tahoma"/>
                      <w:sz w:val="20"/>
                      <w:szCs w:val="20"/>
                    </w:rPr>
                  </w:pPr>
                  <w:r w:rsidRPr="003C621A">
                    <w:rPr>
                      <w:rFonts w:ascii="Tahoma" w:hAnsi="Tahoma" w:cs="Tahoma"/>
                      <w:sz w:val="20"/>
                      <w:szCs w:val="20"/>
                    </w:rPr>
                    <w:t>2. для физических лиц, кроме указанных в п. 1 и 3 настоящего раздела:</w:t>
                  </w:r>
                </w:p>
              </w:tc>
            </w:tr>
            <w:tr w:rsidR="00951A61" w:rsidRPr="0073538C" w14:paraId="410BB527" w14:textId="77777777" w:rsidTr="00A4032F">
              <w:trPr>
                <w:trHeight w:val="275"/>
              </w:trPr>
              <w:tc>
                <w:tcPr>
                  <w:tcW w:w="5876" w:type="dxa"/>
                </w:tcPr>
                <w:p w14:paraId="2F4D489C" w14:textId="77777777" w:rsidR="00951A61" w:rsidRPr="003C621A" w:rsidRDefault="00951A61" w:rsidP="00A4032F">
                  <w:pPr>
                    <w:pStyle w:val="affe"/>
                    <w:tabs>
                      <w:tab w:val="left" w:pos="280"/>
                    </w:tabs>
                    <w:ind w:left="0"/>
                    <w:jc w:val="center"/>
                    <w:rPr>
                      <w:rFonts w:ascii="Tahoma" w:hAnsi="Tahoma" w:cs="Tahoma"/>
                      <w:sz w:val="20"/>
                      <w:szCs w:val="20"/>
                    </w:rPr>
                  </w:pPr>
                  <w:r w:rsidRPr="003C621A">
                    <w:rPr>
                      <w:rFonts w:ascii="Tahoma" w:hAnsi="Tahoma" w:cs="Tahoma"/>
                      <w:sz w:val="20"/>
                      <w:szCs w:val="20"/>
                    </w:rPr>
                    <w:t>Не более 70%</w:t>
                  </w:r>
                </w:p>
              </w:tc>
              <w:tc>
                <w:tcPr>
                  <w:tcW w:w="5245" w:type="dxa"/>
                </w:tcPr>
                <w:p w14:paraId="42E75DF1" w14:textId="77777777" w:rsidR="00951A61" w:rsidRPr="003C621A" w:rsidRDefault="00951A61" w:rsidP="00A4032F">
                  <w:pPr>
                    <w:pStyle w:val="affe"/>
                    <w:tabs>
                      <w:tab w:val="left" w:pos="280"/>
                    </w:tabs>
                    <w:ind w:left="0"/>
                    <w:jc w:val="center"/>
                    <w:rPr>
                      <w:rFonts w:ascii="Tahoma" w:hAnsi="Tahoma" w:cs="Tahoma"/>
                      <w:sz w:val="20"/>
                      <w:szCs w:val="20"/>
                    </w:rPr>
                  </w:pPr>
                  <w:r w:rsidRPr="003C621A">
                    <w:rPr>
                      <w:rFonts w:ascii="Tahoma" w:hAnsi="Tahoma" w:cs="Tahoma"/>
                      <w:sz w:val="20"/>
                      <w:szCs w:val="20"/>
                    </w:rPr>
                    <w:t>Не более 70%</w:t>
                  </w:r>
                </w:p>
              </w:tc>
            </w:tr>
            <w:tr w:rsidR="00951A61" w:rsidRPr="0073538C" w14:paraId="767263C9" w14:textId="77777777" w:rsidTr="00A4032F">
              <w:trPr>
                <w:trHeight w:val="567"/>
              </w:trPr>
              <w:tc>
                <w:tcPr>
                  <w:tcW w:w="11121" w:type="dxa"/>
                  <w:gridSpan w:val="2"/>
                </w:tcPr>
                <w:p w14:paraId="79316165" w14:textId="77777777" w:rsidR="00951A61" w:rsidRPr="00BA41F4" w:rsidRDefault="00951A61" w:rsidP="00A4032F">
                  <w:pPr>
                    <w:pStyle w:val="affe"/>
                    <w:tabs>
                      <w:tab w:val="left" w:pos="280"/>
                    </w:tabs>
                    <w:ind w:left="0" w:firstLine="425"/>
                    <w:jc w:val="both"/>
                    <w:rPr>
                      <w:rFonts w:ascii="Tahoma" w:hAnsi="Tahoma" w:cs="Tahoma"/>
                      <w:sz w:val="20"/>
                      <w:szCs w:val="20"/>
                    </w:rPr>
                  </w:pPr>
                  <w:r w:rsidRPr="00BA41F4">
                    <w:rPr>
                      <w:rFonts w:ascii="Tahoma" w:hAnsi="Tahoma" w:cs="Tahoma"/>
                      <w:sz w:val="20"/>
                      <w:szCs w:val="20"/>
                    </w:rPr>
                    <w:t>3. если при определении платежеспособности Заемщика учитывается доход Заемщика от предпринимательской деятельности и/или доход Заемщика-собственника бизнеса (полученный от этого бизнеса) и/или доход самозанятого. составляющий 50% и более от совокупного учитываемого дохода по заявке:</w:t>
                  </w:r>
                </w:p>
              </w:tc>
            </w:tr>
            <w:tr w:rsidR="00951A61" w:rsidRPr="0073538C" w14:paraId="60DC9760" w14:textId="77777777" w:rsidTr="00A4032F">
              <w:trPr>
                <w:trHeight w:val="251"/>
              </w:trPr>
              <w:tc>
                <w:tcPr>
                  <w:tcW w:w="5876" w:type="dxa"/>
                </w:tcPr>
                <w:p w14:paraId="1D6B1F37" w14:textId="77777777" w:rsidR="00951A61" w:rsidRPr="003C621A" w:rsidRDefault="00951A61" w:rsidP="00A4032F">
                  <w:pPr>
                    <w:pStyle w:val="affe"/>
                    <w:tabs>
                      <w:tab w:val="left" w:pos="280"/>
                    </w:tabs>
                    <w:ind w:left="0"/>
                    <w:jc w:val="center"/>
                    <w:rPr>
                      <w:rFonts w:ascii="Tahoma" w:hAnsi="Tahoma" w:cs="Tahoma"/>
                      <w:sz w:val="20"/>
                      <w:szCs w:val="20"/>
                    </w:rPr>
                  </w:pPr>
                  <w:r w:rsidRPr="003C621A">
                    <w:rPr>
                      <w:rFonts w:ascii="Tahoma" w:hAnsi="Tahoma" w:cs="Tahoma"/>
                      <w:sz w:val="20"/>
                      <w:szCs w:val="20"/>
                    </w:rPr>
                    <w:t>Не более 65%</w:t>
                  </w:r>
                </w:p>
              </w:tc>
              <w:tc>
                <w:tcPr>
                  <w:tcW w:w="5245" w:type="dxa"/>
                </w:tcPr>
                <w:p w14:paraId="31994AF0" w14:textId="77777777" w:rsidR="00951A61" w:rsidRPr="003C621A" w:rsidRDefault="00951A61" w:rsidP="00A4032F">
                  <w:pPr>
                    <w:pStyle w:val="affe"/>
                    <w:tabs>
                      <w:tab w:val="left" w:pos="280"/>
                    </w:tabs>
                    <w:ind w:left="0"/>
                    <w:jc w:val="center"/>
                    <w:rPr>
                      <w:rFonts w:ascii="Tahoma" w:hAnsi="Tahoma" w:cs="Tahoma"/>
                      <w:sz w:val="20"/>
                      <w:szCs w:val="20"/>
                    </w:rPr>
                  </w:pPr>
                  <w:r w:rsidRPr="003C621A">
                    <w:rPr>
                      <w:rFonts w:ascii="Tahoma" w:hAnsi="Tahoma" w:cs="Tahoma"/>
                      <w:sz w:val="20"/>
                      <w:szCs w:val="20"/>
                    </w:rPr>
                    <w:t>Не более 65%</w:t>
                  </w:r>
                </w:p>
              </w:tc>
            </w:tr>
          </w:tbl>
          <w:p w14:paraId="09A834F1" w14:textId="77777777" w:rsidR="00951A61" w:rsidRPr="0073538C" w:rsidRDefault="00951A61" w:rsidP="00A4032F">
            <w:pPr>
              <w:pStyle w:val="affe"/>
              <w:ind w:left="0" w:firstLine="425"/>
              <w:jc w:val="both"/>
              <w:rPr>
                <w:rFonts w:ascii="Tahoma" w:hAnsi="Tahoma" w:cs="Tahoma"/>
                <w:sz w:val="20"/>
                <w:szCs w:val="20"/>
              </w:rPr>
            </w:pPr>
          </w:p>
        </w:tc>
      </w:tr>
      <w:tr w:rsidR="00951A61" w:rsidRPr="0073538C" w14:paraId="37826602" w14:textId="77777777" w:rsidTr="00A4032F">
        <w:trPr>
          <w:trHeight w:val="255"/>
        </w:trPr>
        <w:tc>
          <w:tcPr>
            <w:tcW w:w="4121" w:type="dxa"/>
            <w:tcBorders>
              <w:top w:val="nil"/>
              <w:left w:val="single" w:sz="4" w:space="0" w:color="auto"/>
              <w:bottom w:val="single" w:sz="4" w:space="0" w:color="auto"/>
              <w:right w:val="single" w:sz="4" w:space="0" w:color="auto"/>
            </w:tcBorders>
            <w:shd w:val="clear" w:color="auto" w:fill="auto"/>
            <w:vAlign w:val="center"/>
          </w:tcPr>
          <w:p w14:paraId="481F97EA" w14:textId="77777777" w:rsidR="00951A61" w:rsidRPr="0073538C" w:rsidRDefault="00951A61" w:rsidP="00A4032F">
            <w:pPr>
              <w:jc w:val="center"/>
              <w:rPr>
                <w:rFonts w:ascii="Tahoma" w:hAnsi="Tahoma" w:cs="Tahoma"/>
                <w:b/>
                <w:sz w:val="20"/>
                <w:szCs w:val="20"/>
              </w:rPr>
            </w:pPr>
            <w:r w:rsidRPr="0073538C">
              <w:rPr>
                <w:rFonts w:ascii="Tahoma" w:hAnsi="Tahoma" w:cs="Tahoma"/>
                <w:b/>
                <w:sz w:val="20"/>
                <w:szCs w:val="20"/>
              </w:rPr>
              <w:t>Способ предоставления потребительского кредита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7F13D940"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Кредит предоставляется Заемщику в безналичной форме путем перечисления всей суммы кредита единовременно на открытый в Банке ТБС не позднее трех рабочих дней с даты подписания Кредитного договора. В день предоставления Кредита Заемщик осуществляет перевод денежные средства в счет погашения Рефинансируемого кредита, в том числе рефинансируемых потребительских кредитов. Перевод осуществляется в соответствии с порядком и тарифами, предусмотренными Банком для перевода денежных средств.</w:t>
            </w:r>
          </w:p>
        </w:tc>
      </w:tr>
      <w:tr w:rsidR="00951A61" w:rsidRPr="0073538C" w14:paraId="76B37251" w14:textId="77777777" w:rsidTr="00A4032F">
        <w:trPr>
          <w:trHeight w:val="255"/>
        </w:trPr>
        <w:tc>
          <w:tcPr>
            <w:tcW w:w="4121" w:type="dxa"/>
            <w:tcBorders>
              <w:top w:val="nil"/>
              <w:left w:val="single" w:sz="4" w:space="0" w:color="auto"/>
              <w:bottom w:val="single" w:sz="4" w:space="0" w:color="auto"/>
              <w:right w:val="single" w:sz="4" w:space="0" w:color="auto"/>
            </w:tcBorders>
            <w:shd w:val="clear" w:color="auto" w:fill="auto"/>
            <w:vAlign w:val="center"/>
          </w:tcPr>
          <w:p w14:paraId="20903B03" w14:textId="77777777" w:rsidR="00951A61" w:rsidRPr="0073538C" w:rsidRDefault="00951A61" w:rsidP="00A4032F">
            <w:pPr>
              <w:jc w:val="center"/>
              <w:rPr>
                <w:rFonts w:ascii="Tahoma" w:hAnsi="Tahoma" w:cs="Tahoma"/>
                <w:b/>
                <w:sz w:val="20"/>
                <w:szCs w:val="20"/>
              </w:rPr>
            </w:pPr>
            <w:r w:rsidRPr="0073538C">
              <w:rPr>
                <w:rFonts w:ascii="Tahoma" w:hAnsi="Tahoma" w:cs="Tahoma"/>
                <w:b/>
                <w:bCs/>
                <w:sz w:val="20"/>
                <w:szCs w:val="20"/>
              </w:rPr>
              <w:t>Срок рассмотрения оформленного Заёмщиком заявления о предоставлении потребительского кредита и принятия кредитором решения относительно этого заявления</w:t>
            </w:r>
          </w:p>
        </w:tc>
        <w:tc>
          <w:tcPr>
            <w:tcW w:w="11452" w:type="dxa"/>
            <w:tcBorders>
              <w:top w:val="single" w:sz="4" w:space="0" w:color="auto"/>
              <w:left w:val="nil"/>
              <w:bottom w:val="single" w:sz="4" w:space="0" w:color="auto"/>
              <w:right w:val="single" w:sz="4" w:space="0" w:color="auto"/>
            </w:tcBorders>
            <w:shd w:val="clear" w:color="auto" w:fill="auto"/>
            <w:vAlign w:val="center"/>
          </w:tcPr>
          <w:p w14:paraId="5834A539"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2 рабочих дня с момента предоставления Заемщиком полного пакета документов, в случае необходимости запроса у Заёмщика дополнительных документов срок может быть увеличен.</w:t>
            </w:r>
          </w:p>
        </w:tc>
      </w:tr>
      <w:tr w:rsidR="00951A61" w:rsidRPr="0073538C" w14:paraId="476554F0" w14:textId="77777777" w:rsidTr="00A4032F">
        <w:trPr>
          <w:trHeight w:val="255"/>
        </w:trPr>
        <w:tc>
          <w:tcPr>
            <w:tcW w:w="4121" w:type="dxa"/>
            <w:tcBorders>
              <w:top w:val="nil"/>
              <w:left w:val="single" w:sz="4" w:space="0" w:color="auto"/>
              <w:bottom w:val="single" w:sz="4" w:space="0" w:color="auto"/>
              <w:right w:val="single" w:sz="4" w:space="0" w:color="auto"/>
            </w:tcBorders>
            <w:shd w:val="clear" w:color="auto" w:fill="auto"/>
            <w:vAlign w:val="center"/>
          </w:tcPr>
          <w:p w14:paraId="5D357BDE" w14:textId="77777777" w:rsidR="00951A61" w:rsidRPr="0073538C" w:rsidRDefault="00951A61" w:rsidP="00A4032F">
            <w:pPr>
              <w:jc w:val="center"/>
              <w:rPr>
                <w:rFonts w:ascii="Tahoma" w:hAnsi="Tahoma" w:cs="Tahoma"/>
                <w:b/>
                <w:sz w:val="20"/>
                <w:szCs w:val="20"/>
              </w:rPr>
            </w:pPr>
            <w:r w:rsidRPr="0073538C">
              <w:rPr>
                <w:rFonts w:ascii="Tahoma" w:hAnsi="Tahoma" w:cs="Tahoma"/>
                <w:b/>
                <w:color w:val="000000"/>
                <w:sz w:val="20"/>
                <w:szCs w:val="20"/>
              </w:rPr>
              <w:lastRenderedPageBreak/>
              <w:t>Сроки, в течение которых Заемщик вправе отказаться от получения потребительского кредита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67DDE9F5" w14:textId="77777777" w:rsidR="00951A61" w:rsidRPr="0073538C" w:rsidRDefault="00951A61" w:rsidP="00A4032F">
            <w:pPr>
              <w:ind w:firstLine="425"/>
              <w:jc w:val="both"/>
              <w:rPr>
                <w:rFonts w:ascii="Tahoma" w:hAnsi="Tahoma" w:cs="Tahoma"/>
                <w:sz w:val="20"/>
                <w:szCs w:val="20"/>
              </w:rPr>
            </w:pPr>
            <w:r w:rsidRPr="0073538C">
              <w:rPr>
                <w:rFonts w:ascii="Tahoma" w:hAnsi="Tahoma" w:cs="Tahoma"/>
                <w:color w:val="000000"/>
                <w:sz w:val="20"/>
                <w:szCs w:val="20"/>
              </w:rPr>
              <w:t>Заёмщик вправе отказаться от получения Кредита полностью или частично, уведомив об этом Банк до истечения, установленного Кредитным договором, срока его предоставления. Заемщик в течение 30 (тридцати) календарных дней с даты получения Кредита, имеет право вернуть досрочно всю сумму Кредита или ее часть без предварительного уведомления Банка с уплатой процентов за фактический срок кредитования.</w:t>
            </w:r>
          </w:p>
        </w:tc>
      </w:tr>
      <w:tr w:rsidR="00951A61" w:rsidRPr="0073538C" w14:paraId="26F60CF8" w14:textId="77777777" w:rsidTr="00A4032F">
        <w:trPr>
          <w:trHeight w:val="630"/>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15785B79" w14:textId="77777777" w:rsidR="00951A61" w:rsidRPr="0073538C" w:rsidRDefault="00951A61" w:rsidP="00A4032F">
            <w:pPr>
              <w:jc w:val="center"/>
              <w:rPr>
                <w:rFonts w:ascii="Tahoma" w:hAnsi="Tahoma" w:cs="Tahoma"/>
                <w:b/>
                <w:sz w:val="20"/>
                <w:szCs w:val="20"/>
              </w:rPr>
            </w:pPr>
            <w:r w:rsidRPr="0073538C">
              <w:rPr>
                <w:rFonts w:ascii="Tahoma" w:hAnsi="Tahoma" w:cs="Tahoma"/>
                <w:b/>
                <w:sz w:val="20"/>
                <w:szCs w:val="20"/>
              </w:rPr>
              <w:t>Дата, начиная с которой начисляются проценты за пользование Кредитом, или порядок ее определения</w:t>
            </w:r>
          </w:p>
        </w:tc>
        <w:tc>
          <w:tcPr>
            <w:tcW w:w="11452" w:type="dxa"/>
            <w:tcBorders>
              <w:top w:val="single" w:sz="4" w:space="0" w:color="auto"/>
              <w:left w:val="single" w:sz="4" w:space="0" w:color="auto"/>
              <w:bottom w:val="single" w:sz="4" w:space="0" w:color="auto"/>
              <w:right w:val="single" w:sz="4" w:space="0" w:color="auto"/>
            </w:tcBorders>
            <w:shd w:val="clear" w:color="auto" w:fill="auto"/>
            <w:vAlign w:val="center"/>
          </w:tcPr>
          <w:p w14:paraId="4559F418"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Дата, следующая за датой выдачи Банком Заёмщику Кредита.</w:t>
            </w:r>
          </w:p>
        </w:tc>
      </w:tr>
      <w:tr w:rsidR="00951A61" w:rsidRPr="0073538C" w14:paraId="00504A71" w14:textId="77777777" w:rsidTr="00A4032F">
        <w:trPr>
          <w:trHeight w:val="630"/>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485C4E2D" w14:textId="77777777" w:rsidR="00951A61" w:rsidRPr="0073538C" w:rsidRDefault="00951A61" w:rsidP="00A4032F">
            <w:pPr>
              <w:jc w:val="center"/>
              <w:rPr>
                <w:rFonts w:ascii="Tahoma" w:hAnsi="Tahoma" w:cs="Tahoma"/>
                <w:b/>
                <w:sz w:val="20"/>
                <w:szCs w:val="20"/>
              </w:rPr>
            </w:pPr>
            <w:r w:rsidRPr="0073538C">
              <w:rPr>
                <w:rFonts w:ascii="Tahoma" w:hAnsi="Tahoma" w:cs="Tahoma"/>
                <w:b/>
                <w:sz w:val="20"/>
                <w:szCs w:val="20"/>
              </w:rPr>
              <w:t>Периодичность платежей Заемщика при возврате потребительского кредита, уплате процентов и иных платежей по Кредиту</w:t>
            </w:r>
          </w:p>
        </w:tc>
        <w:tc>
          <w:tcPr>
            <w:tcW w:w="11452" w:type="dxa"/>
            <w:tcBorders>
              <w:top w:val="single" w:sz="4" w:space="0" w:color="auto"/>
              <w:left w:val="single" w:sz="4" w:space="0" w:color="auto"/>
              <w:bottom w:val="single" w:sz="4" w:space="0" w:color="auto"/>
              <w:right w:val="single" w:sz="4" w:space="0" w:color="auto"/>
            </w:tcBorders>
            <w:shd w:val="clear" w:color="auto" w:fill="auto"/>
            <w:vAlign w:val="center"/>
          </w:tcPr>
          <w:p w14:paraId="182FE426"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Ежемесячно аннуитетными (равными) платежами (кроме платежей за первый и последний процентные периоды).</w:t>
            </w:r>
          </w:p>
        </w:tc>
      </w:tr>
      <w:tr w:rsidR="00951A61" w:rsidRPr="0073538C" w14:paraId="25E79927" w14:textId="77777777" w:rsidTr="00A4032F">
        <w:trPr>
          <w:trHeight w:val="87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23449337" w14:textId="77777777" w:rsidR="00951A61" w:rsidRPr="0073538C" w:rsidRDefault="00951A61" w:rsidP="00A4032F">
            <w:pPr>
              <w:jc w:val="center"/>
              <w:rPr>
                <w:rFonts w:ascii="Tahoma" w:hAnsi="Tahoma" w:cs="Tahoma"/>
                <w:b/>
                <w:sz w:val="20"/>
                <w:szCs w:val="20"/>
              </w:rPr>
            </w:pPr>
            <w:r w:rsidRPr="0073538C">
              <w:rPr>
                <w:rFonts w:ascii="Tahoma" w:hAnsi="Tahoma" w:cs="Tahoma"/>
                <w:b/>
                <w:sz w:val="20"/>
                <w:szCs w:val="20"/>
              </w:rPr>
              <w:t>Способы возврата Заемщиком потребительского кредита и уплаты процентов по нему</w:t>
            </w:r>
          </w:p>
        </w:tc>
        <w:tc>
          <w:tcPr>
            <w:tcW w:w="11452" w:type="dxa"/>
            <w:tcBorders>
              <w:top w:val="single" w:sz="4" w:space="0" w:color="auto"/>
              <w:left w:val="single" w:sz="4" w:space="0" w:color="auto"/>
              <w:bottom w:val="single" w:sz="4" w:space="0" w:color="auto"/>
              <w:right w:val="single" w:sz="4" w:space="0" w:color="auto"/>
            </w:tcBorders>
            <w:shd w:val="clear" w:color="auto" w:fill="auto"/>
            <w:vAlign w:val="center"/>
          </w:tcPr>
          <w:p w14:paraId="18D0675F"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Банк не ограничивает Заемщиков в выборе способа внесения платежа или организации, оказывающей услуги по перечислению платежей.</w:t>
            </w:r>
          </w:p>
          <w:p w14:paraId="0E1A66D4"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 xml:space="preserve">Исполнение Заемщиком обязательств по Кредитному договору (в т.ч. при досрочном возврате Кредита) производится путем внесения денежных средств на ТБС в сумме обязательства и не позднее срока платежа, указанных в </w:t>
            </w:r>
            <w:r w:rsidRPr="00B52A25">
              <w:rPr>
                <w:rFonts w:ascii="Tahoma" w:hAnsi="Tahoma" w:cs="Tahoma"/>
                <w:sz w:val="20"/>
                <w:szCs w:val="20"/>
              </w:rPr>
              <w:t>Кредитном д</w:t>
            </w:r>
            <w:r w:rsidRPr="0073538C">
              <w:rPr>
                <w:rFonts w:ascii="Tahoma" w:hAnsi="Tahoma" w:cs="Tahoma"/>
                <w:sz w:val="20"/>
                <w:szCs w:val="20"/>
              </w:rPr>
              <w:t xml:space="preserve">оговоре, любым из перечисленных в настоящем пункте, способов: через терминалы самообслуживания, кассы Банка посредством перевода денежных средств через иные кредитные организации, АО «Почта России» (по предусмотренным ими тарифам). Могут использоваться иные, не противоречащие законодательству РФ, способы. Если установленный </w:t>
            </w:r>
            <w:r w:rsidRPr="00B52A25">
              <w:rPr>
                <w:rFonts w:ascii="Tahoma" w:hAnsi="Tahoma" w:cs="Tahoma"/>
                <w:sz w:val="20"/>
                <w:szCs w:val="20"/>
              </w:rPr>
              <w:t>Кредитным д</w:t>
            </w:r>
            <w:r w:rsidRPr="0073538C">
              <w:rPr>
                <w:rFonts w:ascii="Tahoma" w:hAnsi="Tahoma" w:cs="Tahoma"/>
                <w:sz w:val="20"/>
                <w:szCs w:val="20"/>
              </w:rPr>
              <w:t>оговором последний день срока платежа отсутствует в календарном месяце, Заемщик обязан внести денежные средства на ТБС не позднее последнего календарного рабочего дня месяца; если последний день срока платежа приходится на выходные/нерабочие праздничные дни, Заемщик обязан внести денежные средства на ТБС не позднее 1-го рабочего дня, следующего за выходным /нерабочим праздничным днем. Указанная обязанность должна быть исполнена Заемщиком в операционный день Банка.</w:t>
            </w:r>
          </w:p>
        </w:tc>
      </w:tr>
      <w:tr w:rsidR="00951A61" w:rsidRPr="0073538C" w14:paraId="6BD94E8C" w14:textId="77777777" w:rsidTr="00A4032F">
        <w:trPr>
          <w:trHeight w:val="87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40EB213E" w14:textId="77777777" w:rsidR="00951A61" w:rsidRPr="0073538C" w:rsidRDefault="00951A61" w:rsidP="00A4032F">
            <w:pPr>
              <w:jc w:val="center"/>
              <w:rPr>
                <w:rFonts w:ascii="Tahoma" w:hAnsi="Tahoma" w:cs="Tahoma"/>
                <w:b/>
                <w:sz w:val="20"/>
                <w:szCs w:val="20"/>
              </w:rPr>
            </w:pPr>
            <w:r w:rsidRPr="0073538C">
              <w:rPr>
                <w:rFonts w:ascii="Tahoma" w:hAnsi="Tahoma" w:cs="Tahoma"/>
                <w:b/>
                <w:color w:val="000000"/>
                <w:sz w:val="20"/>
                <w:szCs w:val="20"/>
              </w:rPr>
              <w:t>Бесплатный способ исполнения Заемщиком обязательств по договору потребительского кредита</w:t>
            </w:r>
          </w:p>
        </w:tc>
        <w:tc>
          <w:tcPr>
            <w:tcW w:w="11452" w:type="dxa"/>
            <w:tcBorders>
              <w:top w:val="single" w:sz="4" w:space="0" w:color="auto"/>
              <w:left w:val="single" w:sz="4" w:space="0" w:color="auto"/>
              <w:bottom w:val="single" w:sz="4" w:space="0" w:color="auto"/>
              <w:right w:val="single" w:sz="4" w:space="0" w:color="auto"/>
            </w:tcBorders>
            <w:shd w:val="clear" w:color="auto" w:fill="auto"/>
            <w:vAlign w:val="center"/>
          </w:tcPr>
          <w:p w14:paraId="17672A95"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Внесение денежных средств на ТБС через терминалы самообслуживания Банка, перевод через работодателя Заемщика, перевод со счёта в Банке на ТБС Заемщика.</w:t>
            </w:r>
          </w:p>
        </w:tc>
      </w:tr>
      <w:tr w:rsidR="00951A61" w:rsidRPr="0073538C" w14:paraId="3EEF65C4" w14:textId="77777777" w:rsidTr="00A4032F">
        <w:trPr>
          <w:trHeight w:val="64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0AA74873" w14:textId="77777777" w:rsidR="00951A61" w:rsidRPr="0073538C" w:rsidRDefault="00951A61" w:rsidP="00A4032F">
            <w:pPr>
              <w:autoSpaceDE w:val="0"/>
              <w:autoSpaceDN w:val="0"/>
              <w:adjustRightInd w:val="0"/>
              <w:jc w:val="both"/>
              <w:rPr>
                <w:rFonts w:ascii="Tahoma" w:hAnsi="Tahoma" w:cs="Tahoma"/>
                <w:b/>
                <w:bCs/>
                <w:sz w:val="20"/>
                <w:szCs w:val="20"/>
              </w:rPr>
            </w:pPr>
            <w:r w:rsidRPr="0073538C">
              <w:rPr>
                <w:rFonts w:ascii="Tahoma" w:hAnsi="Tahoma" w:cs="Tahoma"/>
                <w:b/>
                <w:sz w:val="20"/>
                <w:szCs w:val="20"/>
              </w:rPr>
              <w:t xml:space="preserve">Ответственность Заемщика за ненадлежащее исполнение договора потребительского кредита, размеры неустойки (штрафа, пени), порядок расчета, </w:t>
            </w:r>
            <w:r w:rsidRPr="0073538C">
              <w:rPr>
                <w:rFonts w:ascii="Tahoma" w:hAnsi="Tahoma" w:cs="Tahoma"/>
                <w:b/>
                <w:bCs/>
                <w:sz w:val="20"/>
                <w:szCs w:val="20"/>
              </w:rPr>
              <w:t>а также информация о том, в каких случаях данные санкции могут быть применены</w:t>
            </w:r>
          </w:p>
          <w:p w14:paraId="4E93135B" w14:textId="77777777" w:rsidR="00951A61" w:rsidRPr="0073538C" w:rsidRDefault="00951A61" w:rsidP="00A4032F">
            <w:pPr>
              <w:jc w:val="center"/>
              <w:rPr>
                <w:rFonts w:ascii="Tahoma" w:hAnsi="Tahoma" w:cs="Tahoma"/>
                <w:b/>
                <w:sz w:val="20"/>
                <w:szCs w:val="20"/>
              </w:rPr>
            </w:pPr>
          </w:p>
        </w:tc>
        <w:tc>
          <w:tcPr>
            <w:tcW w:w="11452" w:type="dxa"/>
            <w:tcBorders>
              <w:top w:val="single" w:sz="4" w:space="0" w:color="auto"/>
              <w:left w:val="nil"/>
              <w:bottom w:val="single" w:sz="4" w:space="0" w:color="auto"/>
              <w:right w:val="single" w:sz="4" w:space="0" w:color="auto"/>
            </w:tcBorders>
            <w:shd w:val="clear" w:color="auto" w:fill="auto"/>
            <w:vAlign w:val="center"/>
          </w:tcPr>
          <w:p w14:paraId="7B5A7102"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При ненадлежащем исполнении Кредитного договора (в соответствии с условиями Кредитного договора и законодательством РФ) Банк вправе:</w:t>
            </w:r>
          </w:p>
          <w:p w14:paraId="57AE4998"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 потребовать от Заемщика полного досрочного исполнения обязательств по Кредитному договору (возврата суммы Кредита, процентов за пользование Кредитом и суммы неустойки (пени);</w:t>
            </w:r>
          </w:p>
          <w:p w14:paraId="544A2D66"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 обратить взыскание на Предмет ипотеки при неисполнении Заемщиком требования о полном досрочном исполнении обязательств по Кредитному договору.</w:t>
            </w:r>
          </w:p>
          <w:p w14:paraId="3CBC9273" w14:textId="77777777" w:rsidR="00951A61" w:rsidRPr="0073538C" w:rsidRDefault="00951A61" w:rsidP="00A4032F">
            <w:pPr>
              <w:ind w:firstLine="425"/>
              <w:jc w:val="both"/>
              <w:rPr>
                <w:rFonts w:ascii="Tahoma" w:hAnsi="Tahoma" w:cs="Tahoma"/>
                <w:sz w:val="20"/>
                <w:szCs w:val="20"/>
              </w:rPr>
            </w:pPr>
          </w:p>
          <w:p w14:paraId="294B0AF0"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 xml:space="preserve">За неисполнение и (или) ненадлежащее исполнение Заемщиком по </w:t>
            </w:r>
            <w:r w:rsidRPr="00B52A25">
              <w:rPr>
                <w:rFonts w:ascii="Tahoma" w:hAnsi="Tahoma" w:cs="Tahoma"/>
                <w:sz w:val="20"/>
                <w:szCs w:val="20"/>
              </w:rPr>
              <w:t>Кредитному д</w:t>
            </w:r>
            <w:r w:rsidRPr="0073538C">
              <w:rPr>
                <w:rFonts w:ascii="Tahoma" w:hAnsi="Tahoma" w:cs="Tahoma"/>
                <w:sz w:val="20"/>
                <w:szCs w:val="20"/>
              </w:rPr>
              <w:t xml:space="preserve">оговору обязательств по возврату Кредита и(или) уплате процентов Заемщик уплачивает Банку неустойку в размере ключевой ставки Банка России, установленной на день заключения </w:t>
            </w:r>
            <w:r w:rsidRPr="00B52A25">
              <w:rPr>
                <w:rFonts w:ascii="Tahoma" w:hAnsi="Tahoma" w:cs="Tahoma"/>
                <w:sz w:val="20"/>
                <w:szCs w:val="20"/>
              </w:rPr>
              <w:t>Кредитного д</w:t>
            </w:r>
            <w:r w:rsidRPr="0073538C">
              <w:rPr>
                <w:rFonts w:ascii="Tahoma" w:hAnsi="Tahoma" w:cs="Tahoma"/>
                <w:sz w:val="20"/>
                <w:szCs w:val="20"/>
              </w:rPr>
              <w:t xml:space="preserve">оговора, с суммы просроченного платежа за период просрочки с даты, следующей за датой наступления исполнения обязательства, установленной </w:t>
            </w:r>
            <w:r w:rsidRPr="00B52A25">
              <w:rPr>
                <w:rFonts w:ascii="Tahoma" w:hAnsi="Tahoma" w:cs="Tahoma"/>
                <w:sz w:val="20"/>
                <w:szCs w:val="20"/>
              </w:rPr>
              <w:t>Кредитным д</w:t>
            </w:r>
            <w:r w:rsidRPr="0073538C">
              <w:rPr>
                <w:rFonts w:ascii="Tahoma" w:hAnsi="Tahoma" w:cs="Tahoma"/>
                <w:sz w:val="20"/>
                <w:szCs w:val="20"/>
              </w:rPr>
              <w:t xml:space="preserve">оговором, по дату погашения Просроченной кредитной задолженности по </w:t>
            </w:r>
            <w:r w:rsidRPr="00B52A25">
              <w:rPr>
                <w:rFonts w:ascii="Tahoma" w:hAnsi="Tahoma" w:cs="Tahoma"/>
                <w:sz w:val="20"/>
                <w:szCs w:val="20"/>
              </w:rPr>
              <w:t>Кредитному д</w:t>
            </w:r>
            <w:r w:rsidRPr="0073538C">
              <w:rPr>
                <w:rFonts w:ascii="Tahoma" w:hAnsi="Tahoma" w:cs="Tahoma"/>
                <w:sz w:val="20"/>
                <w:szCs w:val="20"/>
              </w:rPr>
              <w:t>оговору (включительно).</w:t>
            </w:r>
          </w:p>
        </w:tc>
      </w:tr>
      <w:tr w:rsidR="00951A61" w:rsidRPr="0073538C" w14:paraId="040D41BD" w14:textId="77777777" w:rsidTr="00A4032F">
        <w:tblPrEx>
          <w:tblLook w:val="00A0" w:firstRow="1" w:lastRow="0" w:firstColumn="1" w:lastColumn="0" w:noHBand="0" w:noVBand="0"/>
        </w:tblPrEx>
        <w:trPr>
          <w:trHeight w:val="557"/>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011FDC1C" w14:textId="77777777" w:rsidR="00951A61" w:rsidRPr="0073538C" w:rsidRDefault="00951A61" w:rsidP="00A4032F">
            <w:pPr>
              <w:widowControl w:val="0"/>
              <w:tabs>
                <w:tab w:val="left" w:pos="426"/>
                <w:tab w:val="left" w:pos="851"/>
              </w:tabs>
              <w:jc w:val="center"/>
              <w:rPr>
                <w:rFonts w:ascii="Tahoma" w:hAnsi="Tahoma" w:cs="Tahoma"/>
                <w:b/>
                <w:sz w:val="20"/>
                <w:szCs w:val="20"/>
              </w:rPr>
            </w:pPr>
            <w:r w:rsidRPr="0073538C">
              <w:rPr>
                <w:rFonts w:ascii="Tahoma" w:hAnsi="Tahoma" w:cs="Tahoma"/>
                <w:b/>
                <w:sz w:val="20"/>
                <w:szCs w:val="20"/>
              </w:rPr>
              <w:lastRenderedPageBreak/>
              <w:t>Виды и суммы иных платежей Заемщика по Кредитному договору</w:t>
            </w:r>
          </w:p>
        </w:tc>
        <w:tc>
          <w:tcPr>
            <w:tcW w:w="11452" w:type="dxa"/>
            <w:tcBorders>
              <w:top w:val="single" w:sz="4" w:space="0" w:color="auto"/>
              <w:left w:val="single" w:sz="4" w:space="0" w:color="auto"/>
              <w:bottom w:val="single" w:sz="4" w:space="0" w:color="auto"/>
              <w:right w:val="single" w:sz="4" w:space="0" w:color="auto"/>
            </w:tcBorders>
            <w:noWrap/>
            <w:vAlign w:val="center"/>
          </w:tcPr>
          <w:p w14:paraId="3E4BD1B9" w14:textId="77777777" w:rsidR="00951A61" w:rsidRPr="0023145E" w:rsidRDefault="00951A61" w:rsidP="00A4032F">
            <w:pPr>
              <w:ind w:firstLine="425"/>
              <w:jc w:val="both"/>
              <w:rPr>
                <w:rFonts w:ascii="Tahoma" w:hAnsi="Tahoma" w:cs="Tahoma"/>
                <w:sz w:val="20"/>
                <w:szCs w:val="20"/>
              </w:rPr>
            </w:pPr>
            <w:r w:rsidRPr="0073538C">
              <w:rPr>
                <w:rFonts w:ascii="Tahoma" w:hAnsi="Tahoma" w:cs="Tahoma"/>
                <w:sz w:val="20"/>
                <w:szCs w:val="20"/>
              </w:rPr>
              <w:t xml:space="preserve">При наличии </w:t>
            </w:r>
            <w:r>
              <w:rPr>
                <w:rFonts w:ascii="Tahoma" w:hAnsi="Tahoma" w:cs="Tahoma"/>
                <w:sz w:val="20"/>
                <w:szCs w:val="20"/>
              </w:rPr>
              <w:t>письменного согласия</w:t>
            </w:r>
            <w:r w:rsidRPr="0073538C">
              <w:rPr>
                <w:rFonts w:ascii="Tahoma" w:hAnsi="Tahoma" w:cs="Tahoma"/>
                <w:sz w:val="20"/>
                <w:szCs w:val="20"/>
              </w:rPr>
              <w:t xml:space="preserve"> Заемщика ему могут быть оказаны Банком следующие услуги, не являющиеся обязательными для </w:t>
            </w:r>
            <w:r w:rsidRPr="0023145E">
              <w:rPr>
                <w:rFonts w:ascii="Tahoma" w:hAnsi="Tahoma" w:cs="Tahoma"/>
                <w:sz w:val="20"/>
                <w:szCs w:val="20"/>
              </w:rPr>
              <w:t>заключения или исполнения Кредитного договора:</w:t>
            </w:r>
          </w:p>
          <w:p w14:paraId="7DB97ED8" w14:textId="77777777" w:rsidR="00951A61" w:rsidRPr="0073538C" w:rsidRDefault="00951A61" w:rsidP="00A4032F">
            <w:pPr>
              <w:ind w:firstLine="425"/>
              <w:jc w:val="both"/>
              <w:rPr>
                <w:rFonts w:ascii="Tahoma" w:hAnsi="Tahoma" w:cs="Tahoma"/>
                <w:sz w:val="20"/>
                <w:szCs w:val="20"/>
              </w:rPr>
            </w:pPr>
            <w:r w:rsidRPr="0023145E">
              <w:rPr>
                <w:rFonts w:ascii="Tahoma" w:hAnsi="Tahoma" w:cs="Tahoma"/>
                <w:sz w:val="20"/>
                <w:szCs w:val="20"/>
              </w:rPr>
              <w:t>Открытие аккредитива 1,0% от суммы аккредитива (макс. 5 000 рублей); прием, проверка Банком документов и исполнение аккредитива 1,0% от суммы аккредитива (макс. 5 000 рублей); платеж за выдачу дубликата или восстановление утерянного Кредитного договора 10 000 рублей за один экземпляр Кредитного договора; предлагаемый платеж за осуществление Банком мероприятий при составлении дополнительного</w:t>
            </w:r>
            <w:r w:rsidRPr="0073538C">
              <w:rPr>
                <w:rFonts w:ascii="Tahoma" w:hAnsi="Tahoma" w:cs="Tahoma"/>
                <w:sz w:val="20"/>
                <w:szCs w:val="20"/>
              </w:rPr>
              <w:t xml:space="preserve"> соглашения к </w:t>
            </w:r>
            <w:r w:rsidRPr="00B52A25">
              <w:rPr>
                <w:rFonts w:ascii="Tahoma" w:hAnsi="Tahoma" w:cs="Tahoma"/>
                <w:sz w:val="20"/>
                <w:szCs w:val="20"/>
              </w:rPr>
              <w:t>Кредитному д</w:t>
            </w:r>
            <w:r w:rsidRPr="0073538C">
              <w:rPr>
                <w:rFonts w:ascii="Tahoma" w:hAnsi="Tahoma" w:cs="Tahoma"/>
                <w:sz w:val="20"/>
                <w:szCs w:val="20"/>
              </w:rPr>
              <w:t xml:space="preserve">оговору по внесению изменений по инициативе Заемщика в условия </w:t>
            </w:r>
            <w:r w:rsidRPr="00B52A25">
              <w:rPr>
                <w:rFonts w:ascii="Tahoma" w:hAnsi="Tahoma" w:cs="Tahoma"/>
                <w:sz w:val="20"/>
                <w:szCs w:val="20"/>
              </w:rPr>
              <w:t>Кредитного д</w:t>
            </w:r>
            <w:r w:rsidRPr="0073538C">
              <w:rPr>
                <w:rFonts w:ascii="Tahoma" w:hAnsi="Tahoma" w:cs="Tahoma"/>
                <w:sz w:val="20"/>
                <w:szCs w:val="20"/>
              </w:rPr>
              <w:t xml:space="preserve">оговора ипотечного кредита 500 рублей (плата взимается за услугу вне зависимости от количества измененных параметров </w:t>
            </w:r>
            <w:r w:rsidRPr="00B52A25">
              <w:rPr>
                <w:rFonts w:ascii="Tahoma" w:hAnsi="Tahoma" w:cs="Tahoma"/>
                <w:sz w:val="20"/>
                <w:szCs w:val="20"/>
              </w:rPr>
              <w:t>Кредитного д</w:t>
            </w:r>
            <w:r w:rsidRPr="0073538C">
              <w:rPr>
                <w:rFonts w:ascii="Tahoma" w:hAnsi="Tahoma" w:cs="Tahoma"/>
                <w:sz w:val="20"/>
                <w:szCs w:val="20"/>
              </w:rPr>
              <w:t>оговора одновременно);</w:t>
            </w:r>
            <w:r>
              <w:rPr>
                <w:rFonts w:ascii="Tahoma" w:hAnsi="Tahoma" w:cs="Tahoma"/>
                <w:sz w:val="20"/>
                <w:szCs w:val="20"/>
              </w:rPr>
              <w:t xml:space="preserve"> </w:t>
            </w:r>
            <w:r w:rsidRPr="0073538C">
              <w:rPr>
                <w:rFonts w:ascii="Tahoma" w:hAnsi="Tahoma" w:cs="Tahoma"/>
                <w:sz w:val="20"/>
                <w:szCs w:val="20"/>
              </w:rPr>
              <w:t xml:space="preserve"> платеж за внесение денежных средств на ТБС через терминалы самообслуживания производится бесплатно.</w:t>
            </w:r>
          </w:p>
          <w:p w14:paraId="50442B90"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 xml:space="preserve">Оказание услуги Банком производится в случае выражения Заемщиком </w:t>
            </w:r>
            <w:r>
              <w:rPr>
                <w:rFonts w:ascii="Tahoma" w:hAnsi="Tahoma" w:cs="Tahoma"/>
                <w:sz w:val="20"/>
                <w:szCs w:val="20"/>
              </w:rPr>
              <w:t>согласия</w:t>
            </w:r>
            <w:r w:rsidRPr="0073538C">
              <w:rPr>
                <w:rFonts w:ascii="Tahoma" w:hAnsi="Tahoma" w:cs="Tahoma"/>
                <w:sz w:val="20"/>
                <w:szCs w:val="20"/>
              </w:rPr>
              <w:t xml:space="preserve"> на пользование определенной услугой. Оплата услуг должна быть произведена до момента оказания Банком услуг.</w:t>
            </w:r>
          </w:p>
          <w:p w14:paraId="62482055"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 xml:space="preserve">Помимо перечисленных платежей, Заемщиком, при наличии соответствующего </w:t>
            </w:r>
            <w:r>
              <w:rPr>
                <w:rFonts w:ascii="Tahoma" w:hAnsi="Tahoma" w:cs="Tahoma"/>
                <w:sz w:val="20"/>
                <w:szCs w:val="20"/>
              </w:rPr>
              <w:t>согласия</w:t>
            </w:r>
            <w:r w:rsidRPr="0073538C">
              <w:rPr>
                <w:rFonts w:ascii="Tahoma" w:hAnsi="Tahoma" w:cs="Tahoma"/>
                <w:sz w:val="20"/>
                <w:szCs w:val="20"/>
              </w:rPr>
              <w:t>, должны быть оплачены платежи в пользу третьих лиц: заключение договора с оценщиком на оказание услуг по подготовке отчета об оценке 1 800,00 рублей</w:t>
            </w:r>
            <w:r w:rsidRPr="0073538C">
              <w:rPr>
                <w:rStyle w:val="aff3"/>
                <w:rFonts w:ascii="Tahoma" w:hAnsi="Tahoma" w:cs="Tahoma"/>
                <w:sz w:val="20"/>
                <w:szCs w:val="20"/>
              </w:rPr>
              <w:footnoteReference w:id="72"/>
            </w:r>
            <w:r w:rsidRPr="0073538C">
              <w:rPr>
                <w:rFonts w:ascii="Tahoma" w:hAnsi="Tahoma" w:cs="Tahoma"/>
                <w:sz w:val="20"/>
                <w:szCs w:val="20"/>
              </w:rPr>
              <w:t>; платеж в пользу страховой компании с целью заключения договора/полиса имущественного страхования  в размере 0,1</w:t>
            </w:r>
            <w:r>
              <w:rPr>
                <w:rFonts w:ascii="Tahoma" w:hAnsi="Tahoma" w:cs="Tahoma"/>
                <w:sz w:val="20"/>
                <w:szCs w:val="20"/>
              </w:rPr>
              <w:t>5</w:t>
            </w:r>
            <w:r w:rsidRPr="0073538C">
              <w:rPr>
                <w:rFonts w:ascii="Tahoma" w:hAnsi="Tahoma" w:cs="Tahoma"/>
                <w:sz w:val="20"/>
                <w:szCs w:val="20"/>
              </w:rPr>
              <w:t>%</w:t>
            </w:r>
            <w:r w:rsidRPr="0073538C">
              <w:rPr>
                <w:rStyle w:val="aff3"/>
                <w:rFonts w:ascii="Tahoma" w:hAnsi="Tahoma" w:cs="Tahoma"/>
                <w:sz w:val="20"/>
                <w:szCs w:val="20"/>
              </w:rPr>
              <w:footnoteReference w:id="73"/>
            </w:r>
            <w:r w:rsidRPr="0073538C">
              <w:rPr>
                <w:rFonts w:ascii="Tahoma" w:hAnsi="Tahoma" w:cs="Tahoma"/>
                <w:sz w:val="20"/>
                <w:szCs w:val="20"/>
              </w:rPr>
              <w:t xml:space="preserve"> от денежного обязательства Заемщика, увеличенного на 10 %.</w:t>
            </w:r>
          </w:p>
        </w:tc>
      </w:tr>
      <w:tr w:rsidR="00951A61" w:rsidRPr="0073538C" w14:paraId="08D7A6B1" w14:textId="77777777" w:rsidTr="00A4032F">
        <w:tblPrEx>
          <w:tblLook w:val="00A0" w:firstRow="1" w:lastRow="0" w:firstColumn="1" w:lastColumn="0" w:noHBand="0" w:noVBand="0"/>
        </w:tblPrEx>
        <w:trPr>
          <w:trHeight w:val="841"/>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0B9F8F82" w14:textId="77777777" w:rsidR="00951A61" w:rsidRPr="0073538C" w:rsidRDefault="00951A61" w:rsidP="00A4032F">
            <w:pPr>
              <w:widowControl w:val="0"/>
              <w:tabs>
                <w:tab w:val="left" w:pos="426"/>
                <w:tab w:val="left" w:pos="851"/>
              </w:tabs>
              <w:jc w:val="center"/>
              <w:rPr>
                <w:rFonts w:ascii="Tahoma" w:hAnsi="Tahoma" w:cs="Tahoma"/>
                <w:b/>
                <w:sz w:val="20"/>
                <w:szCs w:val="20"/>
              </w:rPr>
            </w:pPr>
            <w:r w:rsidRPr="0073538C">
              <w:rPr>
                <w:rFonts w:ascii="Tahoma" w:hAnsi="Tahoma" w:cs="Tahoma"/>
                <w:b/>
                <w:sz w:val="20"/>
                <w:szCs w:val="20"/>
              </w:rPr>
              <w:t>Требования к Заемщику, которые установлены Банком, и выполнение которых является обязательным для предоставления потребительского кредита</w:t>
            </w:r>
          </w:p>
        </w:tc>
        <w:tc>
          <w:tcPr>
            <w:tcW w:w="11452" w:type="dxa"/>
            <w:tcBorders>
              <w:top w:val="single" w:sz="4" w:space="0" w:color="auto"/>
              <w:left w:val="single" w:sz="4" w:space="0" w:color="auto"/>
              <w:bottom w:val="single" w:sz="4" w:space="0" w:color="auto"/>
              <w:right w:val="single" w:sz="4" w:space="0" w:color="auto"/>
            </w:tcBorders>
            <w:noWrap/>
            <w:vAlign w:val="center"/>
          </w:tcPr>
          <w:p w14:paraId="03512946"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Гражданство: Российская Федерация;</w:t>
            </w:r>
          </w:p>
          <w:p w14:paraId="5BA91B00"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 xml:space="preserve">Регистрация: наличие регистрации по месту жительства/пребывания, в том числе на территории субъекта РФ, где располагается Объект недвижимости, не является обязательным; </w:t>
            </w:r>
          </w:p>
          <w:p w14:paraId="017DAE2A" w14:textId="77777777" w:rsidR="00951A61" w:rsidRPr="0073538C" w:rsidRDefault="00951A61" w:rsidP="00A4032F">
            <w:pPr>
              <w:ind w:firstLine="425"/>
              <w:jc w:val="both"/>
              <w:rPr>
                <w:rFonts w:ascii="Tahoma" w:hAnsi="Tahoma" w:cs="Tahoma"/>
                <w:sz w:val="20"/>
                <w:szCs w:val="20"/>
              </w:rPr>
            </w:pPr>
            <w:r w:rsidRPr="007106C3">
              <w:rPr>
                <w:rFonts w:ascii="Tahoma" w:hAnsi="Tahoma" w:cs="Tahoma"/>
                <w:sz w:val="20"/>
                <w:szCs w:val="20"/>
              </w:rPr>
              <w:t>Возраст: от 21 года до 75 лет (включительно) на момент полного погашения ипотечного кредита.</w:t>
            </w:r>
            <w:r w:rsidRPr="0073538C">
              <w:rPr>
                <w:rFonts w:ascii="Tahoma" w:hAnsi="Tahoma" w:cs="Tahoma"/>
                <w:sz w:val="20"/>
                <w:szCs w:val="20"/>
              </w:rPr>
              <w:t xml:space="preserve"> </w:t>
            </w:r>
            <w:r>
              <w:rPr>
                <w:rFonts w:ascii="Tahoma" w:hAnsi="Tahoma" w:cs="Tahoma"/>
                <w:sz w:val="20"/>
                <w:szCs w:val="20"/>
              </w:rPr>
              <w:t>Д</w:t>
            </w:r>
            <w:r w:rsidRPr="0073538C">
              <w:rPr>
                <w:rFonts w:ascii="Tahoma" w:hAnsi="Tahoma" w:cs="Tahoma"/>
                <w:sz w:val="20"/>
                <w:szCs w:val="20"/>
              </w:rPr>
              <w:t>опустимо привлечение Созаемщика в возрасте от 18 лет, если данный Созаемщик является Залогодателем либо супругом(-ой) Заемщика без подтверждённого дохода.</w:t>
            </w:r>
          </w:p>
          <w:p w14:paraId="4D8F3F99"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Трудоустройство:</w:t>
            </w:r>
          </w:p>
          <w:p w14:paraId="0B87AF39"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 наемные работники;</w:t>
            </w:r>
          </w:p>
          <w:p w14:paraId="6F59C617"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 индивидуальные предприниматели;</w:t>
            </w:r>
          </w:p>
          <w:p w14:paraId="62115CE2"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 физические лица, занимающиеся частной практикой;</w:t>
            </w:r>
          </w:p>
          <w:p w14:paraId="4F25461B"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 физическое лицо - единоличный учредитель и исполнительный орган организации, ее единственный участник, собственник ее имущества;</w:t>
            </w:r>
          </w:p>
          <w:p w14:paraId="63FF6B40"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 xml:space="preserve">- </w:t>
            </w:r>
            <w:r w:rsidRPr="00B52A25">
              <w:rPr>
                <w:rFonts w:ascii="Tahoma" w:hAnsi="Tahoma" w:cs="Tahoma"/>
                <w:sz w:val="20"/>
                <w:szCs w:val="20"/>
              </w:rPr>
              <w:t>граждане, применяющие специальный налоговый режим «налог на профессиональный доход» (далее – самозанятый)</w:t>
            </w:r>
            <w:r w:rsidRPr="0073538C">
              <w:rPr>
                <w:rFonts w:ascii="Tahoma" w:hAnsi="Tahoma" w:cs="Tahoma"/>
                <w:sz w:val="20"/>
                <w:szCs w:val="20"/>
              </w:rPr>
              <w:t>;</w:t>
            </w:r>
          </w:p>
          <w:p w14:paraId="58C2503D"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 пенсионеры - лица, вышедшие в отставку либо на пенсию.</w:t>
            </w:r>
          </w:p>
          <w:p w14:paraId="318D13C5"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 xml:space="preserve">Требования к доходу: Заемщик имеет подтвержденный доход, соответствует требованиям </w:t>
            </w:r>
            <w:r w:rsidRPr="00B52A25">
              <w:rPr>
                <w:rFonts w:ascii="Tahoma" w:hAnsi="Tahoma" w:cs="Tahoma"/>
                <w:sz w:val="20"/>
                <w:szCs w:val="20"/>
              </w:rPr>
              <w:t>к</w:t>
            </w:r>
            <w:r w:rsidRPr="0073538C">
              <w:rPr>
                <w:rFonts w:ascii="Tahoma" w:hAnsi="Tahoma" w:cs="Tahoma"/>
                <w:sz w:val="20"/>
                <w:szCs w:val="20"/>
              </w:rPr>
              <w:t>редитора к кредитоспособности и платежеспособности.</w:t>
            </w:r>
          </w:p>
          <w:p w14:paraId="0C3C3DB8"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 xml:space="preserve">Требования к трудовому стажу: к работникам по найму - не менее 3-х полных календарных месяцев на последнем месте работы, при условии, что испытательный срок пройден или отсутствует. Общий трудовой стаж Заемщика должен быть не менее 12 (двенадцати) месяцев на дату подачи Заявления/Согласий и заверений Заемщика в Банк (прохождение военной службы, получение пособия по временной нетрудоспособности, уход за ребенком до 1,5 лет, получение пособия </w:t>
            </w:r>
            <w:r w:rsidRPr="0073538C">
              <w:rPr>
                <w:rFonts w:ascii="Tahoma" w:hAnsi="Tahoma" w:cs="Tahoma"/>
                <w:sz w:val="20"/>
                <w:szCs w:val="20"/>
              </w:rPr>
              <w:lastRenderedPageBreak/>
              <w:t>по безработице, время переезда для дальнейшего трудоустройства не учитываются в общем трудовом стаже); к индивидуальным предпринимателям — безубыточная предпринимательская деятельность не менее 12-ти календарных месяцев для сезонного вида деятельности</w:t>
            </w:r>
            <w:r w:rsidRPr="0073538C">
              <w:rPr>
                <w:rStyle w:val="aff3"/>
                <w:rFonts w:ascii="Tahoma" w:hAnsi="Tahoma" w:cs="Tahoma"/>
                <w:sz w:val="20"/>
                <w:szCs w:val="20"/>
              </w:rPr>
              <w:footnoteReference w:id="74"/>
            </w:r>
            <w:r w:rsidRPr="0073538C">
              <w:rPr>
                <w:rFonts w:ascii="Tahoma" w:hAnsi="Tahoma" w:cs="Tahoma"/>
                <w:sz w:val="20"/>
                <w:szCs w:val="20"/>
              </w:rPr>
              <w:t xml:space="preserve">  и не менее 3-х месяцев по видам деятельности, которые не признаются «сезонными»; для самозанятых граждан Общий трудовой стаж должен быть не менее 12 (двенадцати) месяцев на дату подачи Заявления/Согласий и заверений Заемщика в Банк и не менее 6 (Шести) полных календарных месяцев, считая с даты постановки на учет в качестве самозанятого.</w:t>
            </w:r>
          </w:p>
          <w:p w14:paraId="7E186474" w14:textId="77777777" w:rsidR="00951A61" w:rsidRPr="0073538C" w:rsidRDefault="00951A61" w:rsidP="00A4032F">
            <w:pPr>
              <w:ind w:firstLine="425"/>
              <w:jc w:val="both"/>
              <w:rPr>
                <w:rFonts w:ascii="Tahoma" w:hAnsi="Tahoma" w:cs="Tahoma"/>
                <w:sz w:val="20"/>
                <w:szCs w:val="20"/>
              </w:rPr>
            </w:pPr>
          </w:p>
          <w:p w14:paraId="08D2A138"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Состав Заемщиков: число Заемщиков по одному ипотечному кредиту - не более 4 человек.</w:t>
            </w:r>
            <w:r w:rsidRPr="0073538C">
              <w:rPr>
                <w:rFonts w:ascii="Tahoma" w:hAnsi="Tahoma" w:cs="Tahoma"/>
                <w:sz w:val="20"/>
                <w:szCs w:val="20"/>
              </w:rPr>
              <w:br/>
            </w:r>
          </w:p>
          <w:p w14:paraId="137F8430"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Супруг (-а) Заемщика/ Созаемщика, не являющийся (-аяся) сособственником Объекта недвижимости, передаваемого в залог, а также иные лица (по требованию Банка), без перехода к ним прав по обеспечительным сделкам при частичном исполнении основного обязательства за Заемщика.</w:t>
            </w:r>
          </w:p>
          <w:p w14:paraId="1DFEEAAC" w14:textId="77777777" w:rsidR="00951A61" w:rsidRPr="0073538C" w:rsidRDefault="00951A61" w:rsidP="00A4032F">
            <w:pPr>
              <w:ind w:firstLine="425"/>
              <w:jc w:val="both"/>
              <w:rPr>
                <w:rFonts w:ascii="Tahoma" w:hAnsi="Tahoma" w:cs="Tahoma"/>
                <w:sz w:val="20"/>
                <w:szCs w:val="20"/>
              </w:rPr>
            </w:pPr>
          </w:p>
          <w:p w14:paraId="577D9C07" w14:textId="77777777" w:rsidR="00951A61" w:rsidRPr="00B52A25" w:rsidRDefault="00951A61" w:rsidP="00A4032F">
            <w:pPr>
              <w:ind w:firstLine="425"/>
              <w:jc w:val="both"/>
              <w:rPr>
                <w:rFonts w:ascii="Tahoma" w:hAnsi="Tahoma" w:cs="Tahoma"/>
                <w:sz w:val="20"/>
                <w:szCs w:val="20"/>
              </w:rPr>
            </w:pPr>
            <w:r w:rsidRPr="0073538C">
              <w:rPr>
                <w:rFonts w:ascii="Tahoma" w:hAnsi="Tahoma" w:cs="Tahoma"/>
                <w:sz w:val="20"/>
                <w:szCs w:val="20"/>
              </w:rPr>
              <w:t xml:space="preserve">Окончательное решение о соответствии Заемщика требованиям </w:t>
            </w:r>
            <w:r w:rsidRPr="00B52A25">
              <w:rPr>
                <w:rFonts w:ascii="Tahoma" w:hAnsi="Tahoma" w:cs="Tahoma"/>
                <w:sz w:val="20"/>
                <w:szCs w:val="20"/>
              </w:rPr>
              <w:t>к</w:t>
            </w:r>
            <w:r w:rsidRPr="0073538C">
              <w:rPr>
                <w:rFonts w:ascii="Tahoma" w:hAnsi="Tahoma" w:cs="Tahoma"/>
                <w:sz w:val="20"/>
                <w:szCs w:val="20"/>
              </w:rPr>
              <w:t>редитора принимается в отношении каждого Заемщика индивидуально на основании анализа представленных документов.</w:t>
            </w:r>
          </w:p>
        </w:tc>
      </w:tr>
      <w:tr w:rsidR="00951A61" w:rsidRPr="0073538C" w14:paraId="19A18F59" w14:textId="77777777" w:rsidTr="00A4032F">
        <w:tblPrEx>
          <w:tblLook w:val="00A0" w:firstRow="1" w:lastRow="0" w:firstColumn="1" w:lastColumn="0" w:noHBand="0" w:noVBand="0"/>
        </w:tblPrEx>
        <w:trPr>
          <w:trHeight w:val="267"/>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5422883A" w14:textId="77777777" w:rsidR="00951A61" w:rsidRPr="0073538C" w:rsidRDefault="00951A61" w:rsidP="00A4032F">
            <w:pPr>
              <w:widowControl w:val="0"/>
              <w:tabs>
                <w:tab w:val="left" w:pos="426"/>
                <w:tab w:val="left" w:pos="851"/>
              </w:tabs>
              <w:jc w:val="center"/>
              <w:rPr>
                <w:rFonts w:ascii="Tahoma" w:hAnsi="Tahoma" w:cs="Tahoma"/>
                <w:b/>
                <w:sz w:val="20"/>
                <w:szCs w:val="20"/>
              </w:rPr>
            </w:pPr>
            <w:r w:rsidRPr="0073538C">
              <w:rPr>
                <w:rFonts w:ascii="Tahoma" w:hAnsi="Tahoma" w:cs="Tahoma"/>
                <w:b/>
                <w:sz w:val="20"/>
                <w:szCs w:val="20"/>
              </w:rPr>
              <w:lastRenderedPageBreak/>
              <w:t>Требования к Предмету Ипотеки, которые установлены Банком, и выполнение которых является обязательным для предоставления потребительского кредита</w:t>
            </w:r>
          </w:p>
        </w:tc>
        <w:tc>
          <w:tcPr>
            <w:tcW w:w="11452" w:type="dxa"/>
            <w:tcBorders>
              <w:top w:val="single" w:sz="4" w:space="0" w:color="auto"/>
              <w:left w:val="single" w:sz="4" w:space="0" w:color="auto"/>
              <w:bottom w:val="single" w:sz="4" w:space="0" w:color="auto"/>
              <w:right w:val="single" w:sz="4" w:space="0" w:color="auto"/>
            </w:tcBorders>
            <w:noWrap/>
            <w:vAlign w:val="center"/>
          </w:tcPr>
          <w:p w14:paraId="4BD0EE30" w14:textId="77777777" w:rsidR="00951A61" w:rsidRPr="00603276" w:rsidRDefault="00951A61" w:rsidP="00A4032F">
            <w:pPr>
              <w:ind w:firstLine="425"/>
              <w:jc w:val="both"/>
              <w:rPr>
                <w:rFonts w:ascii="Tahoma" w:hAnsi="Tahoma" w:cs="Tahoma"/>
                <w:b/>
                <w:sz w:val="20"/>
                <w:szCs w:val="20"/>
                <w:u w:val="single"/>
              </w:rPr>
            </w:pPr>
            <w:r w:rsidRPr="00603276">
              <w:rPr>
                <w:rFonts w:ascii="Tahoma" w:hAnsi="Tahoma" w:cs="Tahoma"/>
                <w:b/>
                <w:sz w:val="20"/>
                <w:szCs w:val="20"/>
                <w:u w:val="single"/>
              </w:rPr>
              <w:t>Общие требования к Предмету ипотеки:</w:t>
            </w:r>
          </w:p>
          <w:p w14:paraId="294E8E77" w14:textId="77777777" w:rsidR="00951A61" w:rsidRPr="002C714E" w:rsidRDefault="00951A61" w:rsidP="00A4032F">
            <w:pPr>
              <w:ind w:firstLine="425"/>
              <w:jc w:val="both"/>
              <w:rPr>
                <w:rFonts w:ascii="Tahoma" w:hAnsi="Tahoma" w:cs="Tahoma"/>
                <w:sz w:val="20"/>
                <w:szCs w:val="20"/>
              </w:rPr>
            </w:pPr>
            <w:r w:rsidRPr="00603276">
              <w:rPr>
                <w:rFonts w:ascii="Tahoma" w:hAnsi="Tahoma" w:cs="Tahoma"/>
                <w:sz w:val="20"/>
                <w:szCs w:val="20"/>
              </w:rPr>
              <w:t xml:space="preserve">1. </w:t>
            </w:r>
            <w:r w:rsidRPr="002C714E">
              <w:rPr>
                <w:rFonts w:ascii="Tahoma" w:hAnsi="Tahoma" w:cs="Tahoma"/>
                <w:sz w:val="20"/>
                <w:szCs w:val="20"/>
              </w:rPr>
              <w:t>Недвижимое имущество, являющееся Предметом ипотеки, может быть расположено:</w:t>
            </w:r>
          </w:p>
          <w:p w14:paraId="45BC3BB4" w14:textId="77777777" w:rsidR="00951A61" w:rsidRPr="002C714E" w:rsidRDefault="00951A61" w:rsidP="00951A61">
            <w:pPr>
              <w:pStyle w:val="affe"/>
              <w:numPr>
                <w:ilvl w:val="0"/>
                <w:numId w:val="172"/>
              </w:numPr>
              <w:ind w:left="0" w:firstLine="425"/>
              <w:contextualSpacing/>
              <w:jc w:val="both"/>
              <w:rPr>
                <w:rFonts w:ascii="Tahoma" w:hAnsi="Tahoma" w:cs="Tahoma"/>
                <w:i/>
                <w:sz w:val="20"/>
                <w:szCs w:val="20"/>
              </w:rPr>
            </w:pPr>
            <w:r w:rsidRPr="002C714E">
              <w:rPr>
                <w:rFonts w:ascii="Tahoma" w:hAnsi="Tahoma" w:cs="Tahoma"/>
                <w:sz w:val="20"/>
                <w:szCs w:val="20"/>
              </w:rPr>
              <w:t>В пределах территории г. Москва и Московской области –</w:t>
            </w:r>
            <w:r w:rsidRPr="002C714E">
              <w:rPr>
                <w:rFonts w:ascii="Tahoma" w:hAnsi="Tahoma" w:cs="Tahoma"/>
                <w:i/>
                <w:sz w:val="20"/>
                <w:szCs w:val="20"/>
              </w:rPr>
              <w:t>применимо для всех видов объектов недвижимости;</w:t>
            </w:r>
          </w:p>
          <w:p w14:paraId="614B4560" w14:textId="77777777" w:rsidR="00951A61" w:rsidRPr="002C714E" w:rsidRDefault="00951A61" w:rsidP="00951A61">
            <w:pPr>
              <w:pStyle w:val="affe"/>
              <w:numPr>
                <w:ilvl w:val="0"/>
                <w:numId w:val="172"/>
              </w:numPr>
              <w:ind w:left="0" w:firstLine="425"/>
              <w:contextualSpacing/>
              <w:jc w:val="both"/>
              <w:rPr>
                <w:rFonts w:ascii="Tahoma" w:hAnsi="Tahoma" w:cs="Tahoma"/>
                <w:sz w:val="20"/>
                <w:szCs w:val="20"/>
              </w:rPr>
            </w:pPr>
            <w:r w:rsidRPr="002C714E">
              <w:rPr>
                <w:rFonts w:ascii="Tahoma" w:hAnsi="Tahoma" w:cs="Tahoma"/>
                <w:i/>
                <w:sz w:val="20"/>
                <w:szCs w:val="20"/>
              </w:rPr>
              <w:t>Для вида объекта недвижимости «квартира</w:t>
            </w:r>
            <w:r w:rsidRPr="002C714E">
              <w:rPr>
                <w:rFonts w:ascii="Tahoma" w:hAnsi="Tahoma" w:cs="Tahoma"/>
                <w:sz w:val="20"/>
                <w:szCs w:val="20"/>
              </w:rPr>
              <w:t>»: На расстоянии не более 200 км. от населенного пункта, включенного в список населенных пунктов в Приложении № 3. В остальных случаях объект недвижимости «квартира» должен располагаться на расстоянии не более 50 км. от населенного пункта, где располагается Подразделение Банка;</w:t>
            </w:r>
          </w:p>
          <w:p w14:paraId="1FB15DAD" w14:textId="77777777" w:rsidR="00951A61" w:rsidRPr="002C714E" w:rsidRDefault="00951A61" w:rsidP="00951A61">
            <w:pPr>
              <w:pStyle w:val="affe"/>
              <w:numPr>
                <w:ilvl w:val="0"/>
                <w:numId w:val="172"/>
              </w:numPr>
              <w:ind w:left="0" w:firstLine="425"/>
              <w:contextualSpacing/>
              <w:jc w:val="both"/>
              <w:rPr>
                <w:rFonts w:ascii="Tahoma" w:hAnsi="Tahoma" w:cs="Tahoma"/>
                <w:sz w:val="20"/>
                <w:szCs w:val="20"/>
              </w:rPr>
            </w:pPr>
            <w:r w:rsidRPr="002C714E">
              <w:rPr>
                <w:rFonts w:ascii="Tahoma" w:hAnsi="Tahoma" w:cs="Tahoma"/>
                <w:i/>
                <w:sz w:val="20"/>
                <w:szCs w:val="20"/>
              </w:rPr>
              <w:t>Для остальных объектов недвижимости, отличных от вида недвижимости «квартира»</w:t>
            </w:r>
            <w:r w:rsidRPr="002C714E">
              <w:rPr>
                <w:rFonts w:ascii="Tahoma" w:hAnsi="Tahoma" w:cs="Tahoma"/>
                <w:sz w:val="20"/>
                <w:szCs w:val="20"/>
              </w:rPr>
              <w:t>: на расстоянии не более 200 км. от населенного пункта, включенного в список населенных пунктов в Приложении № 3</w:t>
            </w:r>
            <w:r w:rsidRPr="002C714E">
              <w:rPr>
                <w:rStyle w:val="aff3"/>
                <w:rFonts w:ascii="Tahoma" w:hAnsi="Tahoma"/>
                <w:sz w:val="20"/>
                <w:szCs w:val="20"/>
              </w:rPr>
              <w:footnoteReference w:id="75"/>
            </w:r>
            <w:r w:rsidRPr="002C714E">
              <w:rPr>
                <w:rFonts w:ascii="Tahoma" w:hAnsi="Tahoma" w:cs="Tahoma"/>
                <w:sz w:val="20"/>
                <w:szCs w:val="20"/>
              </w:rPr>
              <w:t xml:space="preserve">. В остальных случаях объект недвижимости, отличный от вида недвижимости «квартира», должен располагаться, на расстоянии не более 50 км. от населенного пункта, в котором находится Подразделение Банка. </w:t>
            </w:r>
          </w:p>
          <w:p w14:paraId="72637B9A" w14:textId="77777777" w:rsidR="00951A61" w:rsidRPr="00603276" w:rsidRDefault="00951A61" w:rsidP="00A4032F">
            <w:pPr>
              <w:ind w:firstLine="425"/>
              <w:jc w:val="both"/>
              <w:rPr>
                <w:rFonts w:ascii="Tahoma" w:hAnsi="Tahoma" w:cs="Tahoma"/>
                <w:sz w:val="20"/>
                <w:szCs w:val="20"/>
              </w:rPr>
            </w:pPr>
            <w:r w:rsidRPr="00603276">
              <w:rPr>
                <w:rFonts w:ascii="Tahoma" w:hAnsi="Tahoma" w:cs="Tahoma"/>
                <w:sz w:val="20"/>
                <w:szCs w:val="20"/>
              </w:rPr>
              <w:t>2. Предмет ипотеки не должен располагаться в закрытом административно-территориальном образовании (ЗАТО).</w:t>
            </w:r>
          </w:p>
          <w:p w14:paraId="6D89C744" w14:textId="77777777" w:rsidR="00951A61" w:rsidRPr="00603276" w:rsidRDefault="00951A61" w:rsidP="00A4032F">
            <w:pPr>
              <w:ind w:firstLine="425"/>
              <w:jc w:val="both"/>
              <w:rPr>
                <w:rFonts w:ascii="Tahoma" w:hAnsi="Tahoma" w:cs="Tahoma"/>
                <w:sz w:val="20"/>
                <w:szCs w:val="20"/>
              </w:rPr>
            </w:pPr>
            <w:r w:rsidRPr="00603276">
              <w:rPr>
                <w:rFonts w:ascii="Tahoma" w:hAnsi="Tahoma" w:cs="Tahoma"/>
                <w:sz w:val="20"/>
                <w:szCs w:val="20"/>
              </w:rPr>
              <w:t>3. Недвижимое имущество, являющееся Предметом ипотеки, должно быть подключено к централизованным или автономным системам жизнеобеспечения:</w:t>
            </w:r>
          </w:p>
          <w:p w14:paraId="59AE7383" w14:textId="77777777" w:rsidR="00951A61" w:rsidRPr="00603276" w:rsidRDefault="00951A61" w:rsidP="00951A61">
            <w:pPr>
              <w:pStyle w:val="affe"/>
              <w:numPr>
                <w:ilvl w:val="0"/>
                <w:numId w:val="30"/>
              </w:numPr>
              <w:ind w:left="0" w:firstLine="425"/>
              <w:contextualSpacing/>
              <w:jc w:val="both"/>
              <w:rPr>
                <w:rFonts w:ascii="Tahoma" w:hAnsi="Tahoma" w:cs="Tahoma"/>
                <w:sz w:val="20"/>
                <w:szCs w:val="20"/>
              </w:rPr>
            </w:pPr>
            <w:r w:rsidRPr="00603276">
              <w:rPr>
                <w:rFonts w:ascii="Tahoma" w:hAnsi="Tahoma" w:cs="Tahoma"/>
                <w:sz w:val="20"/>
                <w:szCs w:val="20"/>
              </w:rPr>
              <w:t xml:space="preserve">электрическим, паровым или газовым системам отопления, обеспечивающим подачу тепла на всю его жилую площадь; </w:t>
            </w:r>
          </w:p>
          <w:p w14:paraId="14925384" w14:textId="77777777" w:rsidR="00951A61" w:rsidRPr="00603276" w:rsidRDefault="00951A61" w:rsidP="00951A61">
            <w:pPr>
              <w:pStyle w:val="affe"/>
              <w:numPr>
                <w:ilvl w:val="0"/>
                <w:numId w:val="30"/>
              </w:numPr>
              <w:ind w:left="0" w:firstLine="425"/>
              <w:contextualSpacing/>
              <w:jc w:val="both"/>
              <w:rPr>
                <w:rFonts w:ascii="Tahoma" w:hAnsi="Tahoma" w:cs="Tahoma"/>
                <w:sz w:val="20"/>
                <w:szCs w:val="20"/>
              </w:rPr>
            </w:pPr>
            <w:r w:rsidRPr="00603276">
              <w:rPr>
                <w:rFonts w:ascii="Tahoma" w:hAnsi="Tahoma" w:cs="Tahoma"/>
                <w:sz w:val="20"/>
                <w:szCs w:val="20"/>
              </w:rPr>
              <w:t>сетям электроснабжения;</w:t>
            </w:r>
          </w:p>
          <w:p w14:paraId="4C9AAA25" w14:textId="77777777" w:rsidR="00951A61" w:rsidRPr="00603276" w:rsidRDefault="00951A61" w:rsidP="00951A61">
            <w:pPr>
              <w:pStyle w:val="affe"/>
              <w:numPr>
                <w:ilvl w:val="0"/>
                <w:numId w:val="30"/>
              </w:numPr>
              <w:ind w:left="0" w:firstLine="425"/>
              <w:contextualSpacing/>
              <w:jc w:val="both"/>
              <w:rPr>
                <w:rFonts w:ascii="Tahoma" w:hAnsi="Tahoma" w:cs="Tahoma"/>
                <w:sz w:val="20"/>
                <w:szCs w:val="20"/>
              </w:rPr>
            </w:pPr>
            <w:r w:rsidRPr="00603276">
              <w:rPr>
                <w:rFonts w:ascii="Tahoma" w:hAnsi="Tahoma" w:cs="Tahoma"/>
                <w:sz w:val="20"/>
                <w:szCs w:val="20"/>
              </w:rPr>
              <w:t>системе канализации;</w:t>
            </w:r>
          </w:p>
          <w:p w14:paraId="647E3A4F" w14:textId="77777777" w:rsidR="00951A61" w:rsidRPr="00603276" w:rsidRDefault="00951A61" w:rsidP="00951A61">
            <w:pPr>
              <w:pStyle w:val="affe"/>
              <w:numPr>
                <w:ilvl w:val="0"/>
                <w:numId w:val="30"/>
              </w:numPr>
              <w:ind w:left="0" w:firstLine="425"/>
              <w:contextualSpacing/>
              <w:jc w:val="both"/>
              <w:rPr>
                <w:rFonts w:ascii="Tahoma" w:hAnsi="Tahoma" w:cs="Tahoma"/>
                <w:sz w:val="20"/>
                <w:szCs w:val="20"/>
              </w:rPr>
            </w:pPr>
            <w:r w:rsidRPr="00603276">
              <w:rPr>
                <w:rFonts w:ascii="Tahoma" w:hAnsi="Tahoma" w:cs="Tahoma"/>
                <w:sz w:val="20"/>
                <w:szCs w:val="20"/>
              </w:rPr>
              <w:t>горячему и холодному водоснабжению.</w:t>
            </w:r>
          </w:p>
          <w:p w14:paraId="598FE5FA" w14:textId="77777777" w:rsidR="00951A61" w:rsidRPr="00603276" w:rsidRDefault="00951A61" w:rsidP="00A4032F">
            <w:pPr>
              <w:ind w:firstLine="425"/>
              <w:jc w:val="both"/>
              <w:rPr>
                <w:rFonts w:ascii="Tahoma" w:hAnsi="Tahoma" w:cs="Tahoma"/>
                <w:sz w:val="20"/>
                <w:szCs w:val="20"/>
              </w:rPr>
            </w:pPr>
            <w:r w:rsidRPr="00603276">
              <w:rPr>
                <w:rFonts w:ascii="Tahoma" w:hAnsi="Tahoma" w:cs="Tahoma"/>
                <w:sz w:val="20"/>
                <w:szCs w:val="20"/>
              </w:rPr>
              <w:t xml:space="preserve">При этом в качестве автономных систем жизнеобеспечения </w:t>
            </w:r>
            <w:r w:rsidRPr="00603276">
              <w:rPr>
                <w:rFonts w:ascii="Tahoma" w:hAnsi="Tahoma" w:cs="Tahoma"/>
                <w:sz w:val="20"/>
                <w:szCs w:val="20"/>
                <w:u w:val="single"/>
              </w:rPr>
              <w:t>не допускаются</w:t>
            </w:r>
            <w:r w:rsidRPr="00603276">
              <w:rPr>
                <w:rFonts w:ascii="Tahoma" w:hAnsi="Tahoma" w:cs="Tahoma"/>
                <w:sz w:val="20"/>
                <w:szCs w:val="20"/>
              </w:rPr>
              <w:t xml:space="preserve"> печное отопление, обеспечение водой с использованием коллективных или индивидуальных скважин, не оборудованных автоматизированной системой подачи воды.</w:t>
            </w:r>
          </w:p>
          <w:p w14:paraId="00769CA3" w14:textId="77777777" w:rsidR="00951A61" w:rsidRPr="00603276" w:rsidRDefault="00951A61" w:rsidP="00951A61">
            <w:pPr>
              <w:pStyle w:val="affe"/>
              <w:numPr>
                <w:ilvl w:val="0"/>
                <w:numId w:val="53"/>
              </w:numPr>
              <w:ind w:left="0" w:firstLine="425"/>
              <w:contextualSpacing/>
              <w:jc w:val="both"/>
              <w:rPr>
                <w:rFonts w:ascii="Tahoma" w:hAnsi="Tahoma" w:cs="Tahoma"/>
                <w:sz w:val="20"/>
                <w:szCs w:val="20"/>
              </w:rPr>
            </w:pPr>
            <w:r w:rsidRPr="00603276">
              <w:rPr>
                <w:rFonts w:ascii="Tahoma" w:hAnsi="Tahoma" w:cs="Tahoma"/>
                <w:sz w:val="20"/>
                <w:szCs w:val="20"/>
              </w:rPr>
              <w:t>Недвижимое имущество, являющееся Предметом ипотеки должно:</w:t>
            </w:r>
          </w:p>
          <w:p w14:paraId="6163D382" w14:textId="77777777" w:rsidR="00951A61" w:rsidRPr="00603276" w:rsidRDefault="00951A61" w:rsidP="00951A61">
            <w:pPr>
              <w:pStyle w:val="affe"/>
              <w:numPr>
                <w:ilvl w:val="0"/>
                <w:numId w:val="30"/>
              </w:numPr>
              <w:ind w:left="0" w:firstLine="425"/>
              <w:contextualSpacing/>
              <w:jc w:val="both"/>
              <w:rPr>
                <w:rFonts w:ascii="Tahoma" w:hAnsi="Tahoma" w:cs="Tahoma"/>
                <w:sz w:val="20"/>
                <w:szCs w:val="20"/>
                <w:u w:val="single"/>
              </w:rPr>
            </w:pPr>
            <w:r w:rsidRPr="00603276">
              <w:rPr>
                <w:rFonts w:ascii="Tahoma" w:hAnsi="Tahoma" w:cs="Tahoma"/>
                <w:sz w:val="20"/>
                <w:szCs w:val="20"/>
              </w:rPr>
              <w:t xml:space="preserve">иметь </w:t>
            </w:r>
            <w:r w:rsidRPr="00603276">
              <w:rPr>
                <w:rFonts w:ascii="Tahoma" w:hAnsi="Tahoma" w:cs="Tahoma"/>
                <w:bCs/>
                <w:iCs/>
                <w:sz w:val="20"/>
                <w:szCs w:val="20"/>
              </w:rPr>
              <w:t>железобетонный, каменный или кирпичный фундамент</w:t>
            </w:r>
            <w:r w:rsidRPr="00603276">
              <w:rPr>
                <w:rFonts w:ascii="Tahoma" w:hAnsi="Tahoma" w:cs="Tahoma"/>
                <w:sz w:val="20"/>
                <w:szCs w:val="20"/>
              </w:rPr>
              <w:t>;</w:t>
            </w:r>
          </w:p>
          <w:p w14:paraId="4DB60834" w14:textId="77777777" w:rsidR="00951A61" w:rsidRPr="00603276" w:rsidRDefault="00951A61" w:rsidP="00951A61">
            <w:pPr>
              <w:pStyle w:val="affe"/>
              <w:numPr>
                <w:ilvl w:val="0"/>
                <w:numId w:val="30"/>
              </w:numPr>
              <w:ind w:left="0" w:firstLine="425"/>
              <w:contextualSpacing/>
              <w:jc w:val="both"/>
              <w:rPr>
                <w:rFonts w:ascii="Tahoma" w:hAnsi="Tahoma" w:cs="Tahoma"/>
                <w:sz w:val="20"/>
                <w:szCs w:val="20"/>
              </w:rPr>
            </w:pPr>
            <w:r w:rsidRPr="00603276">
              <w:rPr>
                <w:rFonts w:ascii="Tahoma" w:hAnsi="Tahoma" w:cs="Tahoma"/>
                <w:sz w:val="20"/>
                <w:szCs w:val="20"/>
              </w:rPr>
              <w:lastRenderedPageBreak/>
              <w:t>быть расположено в многоквартирном доме;</w:t>
            </w:r>
          </w:p>
          <w:p w14:paraId="5B65A05C" w14:textId="77777777" w:rsidR="00951A61" w:rsidRPr="00603276" w:rsidRDefault="00951A61" w:rsidP="00951A61">
            <w:pPr>
              <w:pStyle w:val="affe"/>
              <w:numPr>
                <w:ilvl w:val="0"/>
                <w:numId w:val="30"/>
              </w:numPr>
              <w:ind w:left="0" w:firstLine="425"/>
              <w:contextualSpacing/>
              <w:jc w:val="both"/>
              <w:rPr>
                <w:rFonts w:ascii="Tahoma" w:hAnsi="Tahoma" w:cs="Tahoma"/>
                <w:sz w:val="20"/>
                <w:szCs w:val="20"/>
              </w:rPr>
            </w:pPr>
            <w:r w:rsidRPr="00603276">
              <w:rPr>
                <w:rFonts w:ascii="Tahoma" w:hAnsi="Tahoma" w:cs="Tahoma"/>
                <w:sz w:val="20"/>
                <w:szCs w:val="20"/>
              </w:rPr>
              <w:t>не может быть расположено на цокольном или подвальном этаже здания;</w:t>
            </w:r>
          </w:p>
          <w:p w14:paraId="64C5D1B8" w14:textId="77777777" w:rsidR="00951A61" w:rsidRPr="00603276" w:rsidRDefault="00951A61" w:rsidP="00951A61">
            <w:pPr>
              <w:pStyle w:val="affe"/>
              <w:numPr>
                <w:ilvl w:val="0"/>
                <w:numId w:val="30"/>
              </w:numPr>
              <w:ind w:left="0" w:firstLine="425"/>
              <w:contextualSpacing/>
              <w:jc w:val="both"/>
              <w:rPr>
                <w:rFonts w:ascii="Tahoma" w:hAnsi="Tahoma" w:cs="Tahoma"/>
                <w:sz w:val="20"/>
                <w:szCs w:val="20"/>
                <w:u w:val="single"/>
              </w:rPr>
            </w:pPr>
            <w:r w:rsidRPr="00603276">
              <w:rPr>
                <w:rFonts w:ascii="Tahoma" w:hAnsi="Tahoma" w:cs="Tahoma"/>
                <w:sz w:val="20"/>
                <w:szCs w:val="20"/>
              </w:rPr>
              <w:t>целью приобретения апартаментов является проживание, а не обустройство офиса или иные коммерческие цели;</w:t>
            </w:r>
          </w:p>
          <w:p w14:paraId="140B7A0E" w14:textId="77777777" w:rsidR="00951A61" w:rsidRPr="00603276" w:rsidRDefault="00951A61" w:rsidP="00951A61">
            <w:pPr>
              <w:pStyle w:val="affe"/>
              <w:numPr>
                <w:ilvl w:val="0"/>
                <w:numId w:val="30"/>
              </w:numPr>
              <w:ind w:left="0" w:firstLine="425"/>
              <w:contextualSpacing/>
              <w:jc w:val="both"/>
              <w:rPr>
                <w:rFonts w:ascii="Tahoma" w:hAnsi="Tahoma" w:cs="Tahoma"/>
                <w:b/>
                <w:sz w:val="20"/>
                <w:szCs w:val="20"/>
                <w:u w:val="single"/>
              </w:rPr>
            </w:pPr>
            <w:r w:rsidRPr="00603276">
              <w:rPr>
                <w:rFonts w:ascii="Tahoma" w:hAnsi="Tahoma" w:cs="Tahoma"/>
                <w:sz w:val="20"/>
                <w:szCs w:val="20"/>
              </w:rPr>
              <w:t xml:space="preserve">недвижимое имущество должно быть предназначено для постоянного проживания, должно удовлетворять санитарно-техническим нормам по обеспечению здоровья и безопасности жильцов. </w:t>
            </w:r>
          </w:p>
          <w:p w14:paraId="17562861" w14:textId="77777777" w:rsidR="00951A61" w:rsidRPr="00603276" w:rsidRDefault="00951A61" w:rsidP="00951A61">
            <w:pPr>
              <w:pStyle w:val="affe"/>
              <w:numPr>
                <w:ilvl w:val="0"/>
                <w:numId w:val="30"/>
              </w:numPr>
              <w:ind w:left="0" w:firstLine="425"/>
              <w:contextualSpacing/>
              <w:jc w:val="both"/>
              <w:rPr>
                <w:rFonts w:ascii="Tahoma" w:hAnsi="Tahoma" w:cs="Tahoma"/>
                <w:b/>
                <w:sz w:val="20"/>
                <w:szCs w:val="20"/>
                <w:u w:val="single"/>
              </w:rPr>
            </w:pPr>
            <w:r w:rsidRPr="00603276">
              <w:rPr>
                <w:rFonts w:ascii="Tahoma" w:hAnsi="Tahoma" w:cs="Tahoma"/>
                <w:b/>
                <w:sz w:val="20"/>
                <w:szCs w:val="20"/>
                <w:u w:val="single"/>
              </w:rPr>
              <w:t>НЕ МОЖЕТ</w:t>
            </w:r>
            <w:r w:rsidRPr="00603276">
              <w:rPr>
                <w:rFonts w:ascii="Tahoma" w:hAnsi="Tahoma" w:cs="Tahoma"/>
                <w:b/>
                <w:sz w:val="20"/>
                <w:szCs w:val="20"/>
              </w:rPr>
              <w:t xml:space="preserve"> </w:t>
            </w:r>
            <w:r w:rsidRPr="00603276">
              <w:rPr>
                <w:rFonts w:ascii="Tahoma" w:hAnsi="Tahoma" w:cs="Tahoma"/>
                <w:sz w:val="20"/>
                <w:szCs w:val="20"/>
              </w:rPr>
              <w:t>быть принято в залог недвижимое имущество, в котором отсутствует кухня/кухонная зона и санузел, а также отсутствует физическая возможность обустройства данных помещений.</w:t>
            </w:r>
          </w:p>
          <w:p w14:paraId="5F57DB0B" w14:textId="77777777" w:rsidR="00951A61" w:rsidRPr="00603276" w:rsidRDefault="00951A61" w:rsidP="00951A61">
            <w:pPr>
              <w:pStyle w:val="affe"/>
              <w:numPr>
                <w:ilvl w:val="0"/>
                <w:numId w:val="30"/>
              </w:numPr>
              <w:ind w:left="0" w:firstLine="425"/>
              <w:contextualSpacing/>
              <w:jc w:val="both"/>
              <w:rPr>
                <w:rFonts w:ascii="Tahoma" w:hAnsi="Tahoma" w:cs="Tahoma"/>
                <w:b/>
                <w:sz w:val="20"/>
                <w:szCs w:val="20"/>
                <w:u w:val="single"/>
              </w:rPr>
            </w:pPr>
            <w:r w:rsidRPr="00603276">
              <w:rPr>
                <w:rFonts w:ascii="Tahoma" w:hAnsi="Tahoma" w:cs="Tahoma"/>
                <w:b/>
                <w:sz w:val="20"/>
                <w:szCs w:val="20"/>
                <w:u w:val="single"/>
              </w:rPr>
              <w:t>НЕ МОЖЕТ</w:t>
            </w:r>
            <w:r w:rsidRPr="00603276">
              <w:rPr>
                <w:rFonts w:ascii="Tahoma" w:hAnsi="Tahoma" w:cs="Tahoma"/>
                <w:sz w:val="20"/>
                <w:szCs w:val="20"/>
              </w:rPr>
              <w:t xml:space="preserve"> Предметом ипотеки выступать недвижимое имущество, расположенное в многоквартирных домах, межэтажные перекрытия которых полностью состоят из деревянных конструкций. Данная информация указывается в отчете об оценке.</w:t>
            </w:r>
          </w:p>
          <w:p w14:paraId="487B0B9D" w14:textId="77777777" w:rsidR="00951A61" w:rsidRPr="00603276" w:rsidRDefault="00951A61" w:rsidP="00A4032F">
            <w:pPr>
              <w:ind w:firstLine="425"/>
              <w:jc w:val="both"/>
              <w:rPr>
                <w:rFonts w:ascii="Tahoma" w:hAnsi="Tahoma" w:cs="Tahoma"/>
                <w:sz w:val="20"/>
                <w:szCs w:val="20"/>
              </w:rPr>
            </w:pPr>
            <w:r w:rsidRPr="00603276">
              <w:rPr>
                <w:rFonts w:ascii="Tahoma" w:hAnsi="Tahoma" w:cs="Tahoma"/>
                <w:sz w:val="20"/>
                <w:szCs w:val="20"/>
              </w:rPr>
              <w:t>4. Недвижимое имущество должно иметь исправное состояние входной двери и окон, а также исправное состояние крыши (для объектов, расположенных на последних этажах). Информация о технических характеристиках недвижимого имущества указывается в отчете об оценке. В случае если не установлены и не подключены сантехнические приборы, газовая или электрическая плита, отопительные приборы, то необходимо определить возможность их установки и подключения по фотографиям объекта недвижимости, имеющимся в отчете об оценке.</w:t>
            </w:r>
          </w:p>
          <w:p w14:paraId="33795EFA" w14:textId="77777777" w:rsidR="00951A61" w:rsidRPr="00603276" w:rsidRDefault="00951A61" w:rsidP="00A4032F">
            <w:pPr>
              <w:ind w:firstLine="425"/>
              <w:jc w:val="both"/>
              <w:rPr>
                <w:rFonts w:ascii="Tahoma" w:hAnsi="Tahoma" w:cs="Tahoma"/>
                <w:sz w:val="20"/>
                <w:szCs w:val="20"/>
              </w:rPr>
            </w:pPr>
            <w:r w:rsidRPr="00603276">
              <w:rPr>
                <w:rFonts w:ascii="Tahoma" w:hAnsi="Tahoma" w:cs="Tahoma"/>
                <w:sz w:val="20"/>
                <w:szCs w:val="20"/>
              </w:rPr>
              <w:t xml:space="preserve">5. Строящийся многоквартирный дом, в котором располагается Объект недвижимости, должен быть аккредитован Банком. </w:t>
            </w:r>
          </w:p>
          <w:p w14:paraId="523D6799" w14:textId="77777777" w:rsidR="00951A61" w:rsidRPr="00603276" w:rsidRDefault="00951A61" w:rsidP="00A4032F">
            <w:pPr>
              <w:ind w:firstLine="425"/>
              <w:jc w:val="both"/>
              <w:rPr>
                <w:rFonts w:ascii="Tahoma" w:hAnsi="Tahoma" w:cs="Tahoma"/>
                <w:sz w:val="20"/>
                <w:szCs w:val="20"/>
              </w:rPr>
            </w:pPr>
            <w:r w:rsidRPr="00603276">
              <w:rPr>
                <w:rFonts w:ascii="Tahoma" w:hAnsi="Tahoma" w:cs="Tahoma"/>
                <w:sz w:val="20"/>
                <w:szCs w:val="20"/>
              </w:rPr>
              <w:t>6. Многоквартирный дом по проекту должен соответствовать следующим требованиям:</w:t>
            </w:r>
          </w:p>
          <w:p w14:paraId="18BC3D10" w14:textId="77777777" w:rsidR="00951A61" w:rsidRPr="00603276" w:rsidRDefault="00951A61" w:rsidP="00951A61">
            <w:pPr>
              <w:pStyle w:val="affe"/>
              <w:numPr>
                <w:ilvl w:val="0"/>
                <w:numId w:val="30"/>
              </w:numPr>
              <w:ind w:left="0" w:firstLine="425"/>
              <w:contextualSpacing/>
              <w:jc w:val="both"/>
              <w:rPr>
                <w:rFonts w:ascii="Tahoma" w:hAnsi="Tahoma" w:cs="Tahoma"/>
                <w:sz w:val="20"/>
                <w:szCs w:val="20"/>
              </w:rPr>
            </w:pPr>
            <w:r w:rsidRPr="00603276">
              <w:rPr>
                <w:rFonts w:ascii="Tahoma" w:hAnsi="Tahoma" w:cs="Tahoma"/>
                <w:sz w:val="20"/>
                <w:szCs w:val="20"/>
              </w:rPr>
              <w:t>Строительство осуществляется в соответствии с Федеральным законом от 30.12.2004 года № 214-ФЗ «Об участии в долевом строительстве многоквартирных домов и иных объектов недвижимости и о внесении изменений в некоторые законодательные акты Российской Федерации».</w:t>
            </w:r>
          </w:p>
          <w:p w14:paraId="087F588C" w14:textId="77777777" w:rsidR="00951A61" w:rsidRPr="00603276" w:rsidRDefault="00951A61" w:rsidP="00A4032F">
            <w:pPr>
              <w:ind w:firstLine="425"/>
              <w:jc w:val="both"/>
              <w:rPr>
                <w:rFonts w:ascii="Tahoma" w:hAnsi="Tahoma" w:cs="Tahoma"/>
                <w:sz w:val="20"/>
                <w:szCs w:val="20"/>
              </w:rPr>
            </w:pPr>
            <w:r w:rsidRPr="00603276">
              <w:rPr>
                <w:rFonts w:ascii="Tahoma" w:hAnsi="Tahoma" w:cs="Tahoma"/>
                <w:sz w:val="20"/>
                <w:szCs w:val="20"/>
                <w:u w:val="single"/>
              </w:rPr>
              <w:t>Требования к зданию, в котором расположен Предмет ипотеки</w:t>
            </w:r>
            <w:r w:rsidRPr="00603276">
              <w:rPr>
                <w:rFonts w:ascii="Tahoma" w:hAnsi="Tahoma" w:cs="Tahoma"/>
                <w:sz w:val="20"/>
                <w:szCs w:val="20"/>
              </w:rPr>
              <w:t>:</w:t>
            </w:r>
          </w:p>
          <w:p w14:paraId="18749C26" w14:textId="77777777" w:rsidR="00951A61" w:rsidRPr="00603276" w:rsidRDefault="00951A61" w:rsidP="00951A61">
            <w:pPr>
              <w:pStyle w:val="affe"/>
              <w:numPr>
                <w:ilvl w:val="0"/>
                <w:numId w:val="30"/>
              </w:numPr>
              <w:ind w:left="0" w:firstLine="425"/>
              <w:contextualSpacing/>
              <w:jc w:val="both"/>
              <w:rPr>
                <w:rFonts w:ascii="Tahoma" w:hAnsi="Tahoma" w:cs="Tahoma"/>
                <w:sz w:val="20"/>
                <w:szCs w:val="20"/>
              </w:rPr>
            </w:pPr>
            <w:r w:rsidRPr="00603276">
              <w:rPr>
                <w:rFonts w:ascii="Tahoma" w:hAnsi="Tahoma" w:cs="Tahoma"/>
                <w:sz w:val="20"/>
                <w:szCs w:val="20"/>
              </w:rPr>
              <w:t>не находится в ветхом и/или аварийном состоянии;</w:t>
            </w:r>
          </w:p>
          <w:p w14:paraId="4C971480" w14:textId="77777777" w:rsidR="00951A61" w:rsidRPr="00603276" w:rsidRDefault="00951A61" w:rsidP="00951A61">
            <w:pPr>
              <w:pStyle w:val="affe"/>
              <w:numPr>
                <w:ilvl w:val="0"/>
                <w:numId w:val="30"/>
              </w:numPr>
              <w:ind w:left="0" w:firstLine="425"/>
              <w:contextualSpacing/>
              <w:jc w:val="both"/>
              <w:rPr>
                <w:rFonts w:ascii="Tahoma" w:hAnsi="Tahoma" w:cs="Tahoma"/>
                <w:sz w:val="20"/>
                <w:szCs w:val="20"/>
              </w:rPr>
            </w:pPr>
            <w:r w:rsidRPr="00603276">
              <w:rPr>
                <w:rFonts w:ascii="Tahoma" w:hAnsi="Tahoma" w:cs="Tahoma"/>
                <w:sz w:val="20"/>
                <w:szCs w:val="20"/>
              </w:rPr>
              <w:t>не состоит на учете для проведения капитального ремонта с отселением;</w:t>
            </w:r>
          </w:p>
          <w:p w14:paraId="5AFA6344" w14:textId="77777777" w:rsidR="00951A61" w:rsidRPr="00603276" w:rsidRDefault="00951A61" w:rsidP="00951A61">
            <w:pPr>
              <w:pStyle w:val="affe"/>
              <w:numPr>
                <w:ilvl w:val="0"/>
                <w:numId w:val="30"/>
              </w:numPr>
              <w:ind w:left="0" w:firstLine="425"/>
              <w:contextualSpacing/>
              <w:jc w:val="both"/>
              <w:rPr>
                <w:rFonts w:ascii="Tahoma" w:hAnsi="Tahoma" w:cs="Tahoma"/>
                <w:sz w:val="20"/>
                <w:szCs w:val="20"/>
              </w:rPr>
            </w:pPr>
            <w:r w:rsidRPr="00603276">
              <w:rPr>
                <w:rFonts w:ascii="Tahoma" w:hAnsi="Tahoma" w:cs="Tahoma"/>
                <w:sz w:val="20"/>
                <w:szCs w:val="20"/>
              </w:rPr>
              <w:t>не состоит в планах органов местного самоуправления и (или) государственных органов на снос;</w:t>
            </w:r>
          </w:p>
          <w:p w14:paraId="52BF0FB4" w14:textId="77777777" w:rsidR="00951A61" w:rsidRPr="00603276" w:rsidRDefault="00951A61" w:rsidP="00951A61">
            <w:pPr>
              <w:pStyle w:val="affe"/>
              <w:numPr>
                <w:ilvl w:val="0"/>
                <w:numId w:val="30"/>
              </w:numPr>
              <w:ind w:left="0" w:firstLine="425"/>
              <w:contextualSpacing/>
              <w:jc w:val="both"/>
              <w:rPr>
                <w:rFonts w:ascii="Tahoma" w:hAnsi="Tahoma" w:cs="Tahoma"/>
                <w:sz w:val="20"/>
                <w:szCs w:val="20"/>
              </w:rPr>
            </w:pPr>
            <w:r w:rsidRPr="00603276">
              <w:rPr>
                <w:rFonts w:ascii="Tahoma" w:hAnsi="Tahoma" w:cs="Tahoma"/>
                <w:sz w:val="20"/>
                <w:szCs w:val="20"/>
              </w:rPr>
              <w:t>имеет железобетонный, каменный или кирпичный фундамент.</w:t>
            </w:r>
          </w:p>
          <w:p w14:paraId="06CA4ABB" w14:textId="77777777" w:rsidR="00951A61" w:rsidRPr="00603276" w:rsidRDefault="00951A61" w:rsidP="00951A61">
            <w:pPr>
              <w:pStyle w:val="affe"/>
              <w:numPr>
                <w:ilvl w:val="0"/>
                <w:numId w:val="30"/>
              </w:numPr>
              <w:ind w:left="0" w:firstLine="425"/>
              <w:contextualSpacing/>
              <w:jc w:val="both"/>
              <w:rPr>
                <w:rFonts w:ascii="Tahoma" w:hAnsi="Tahoma" w:cs="Tahoma"/>
                <w:sz w:val="20"/>
                <w:szCs w:val="20"/>
              </w:rPr>
            </w:pPr>
            <w:r w:rsidRPr="00603276">
              <w:rPr>
                <w:rFonts w:ascii="Tahoma" w:hAnsi="Tahoma" w:cs="Tahoma"/>
                <w:sz w:val="20"/>
                <w:szCs w:val="20"/>
              </w:rPr>
              <w:t>имеет износ менее 70% (включительно);</w:t>
            </w:r>
          </w:p>
        </w:tc>
      </w:tr>
      <w:tr w:rsidR="00951A61" w:rsidRPr="0073538C" w14:paraId="71F60A4A" w14:textId="77777777" w:rsidTr="00A4032F">
        <w:tblPrEx>
          <w:tblLook w:val="00A0" w:firstRow="1" w:lastRow="0" w:firstColumn="1" w:lastColumn="0" w:noHBand="0" w:noVBand="0"/>
        </w:tblPrEx>
        <w:trPr>
          <w:trHeight w:val="176"/>
        </w:trPr>
        <w:tc>
          <w:tcPr>
            <w:tcW w:w="4121" w:type="dxa"/>
            <w:tcBorders>
              <w:top w:val="single" w:sz="4" w:space="0" w:color="auto"/>
              <w:left w:val="single" w:sz="8" w:space="0" w:color="auto"/>
              <w:bottom w:val="single" w:sz="4" w:space="0" w:color="auto"/>
              <w:right w:val="single" w:sz="4" w:space="0" w:color="auto"/>
            </w:tcBorders>
            <w:vAlign w:val="center"/>
          </w:tcPr>
          <w:p w14:paraId="660511A3" w14:textId="77777777" w:rsidR="00951A61" w:rsidRPr="0073538C" w:rsidRDefault="00951A61" w:rsidP="00A4032F">
            <w:pPr>
              <w:jc w:val="center"/>
              <w:rPr>
                <w:rFonts w:ascii="Tahoma" w:hAnsi="Tahoma" w:cs="Tahoma"/>
                <w:b/>
                <w:sz w:val="20"/>
                <w:szCs w:val="20"/>
              </w:rPr>
            </w:pPr>
            <w:r w:rsidRPr="0073538C">
              <w:rPr>
                <w:rFonts w:ascii="Tahoma" w:hAnsi="Tahoma" w:cs="Tahoma"/>
                <w:b/>
                <w:sz w:val="20"/>
                <w:szCs w:val="20"/>
              </w:rPr>
              <w:lastRenderedPageBreak/>
              <w:t>Перечень документов, необходимых для рассмотрения заявления о предоставлении ипотечного кредита, в том числе для оценки кредитоспособности Заемщика</w:t>
            </w:r>
          </w:p>
          <w:p w14:paraId="6B827EEB" w14:textId="77777777" w:rsidR="00951A61" w:rsidRPr="0073538C" w:rsidRDefault="00951A61" w:rsidP="00A4032F">
            <w:pPr>
              <w:jc w:val="center"/>
              <w:rPr>
                <w:rFonts w:ascii="Tahoma" w:hAnsi="Tahoma" w:cs="Tahoma"/>
                <w:b/>
                <w:sz w:val="20"/>
                <w:szCs w:val="20"/>
              </w:rPr>
            </w:pPr>
          </w:p>
        </w:tc>
        <w:tc>
          <w:tcPr>
            <w:tcW w:w="11452" w:type="dxa"/>
            <w:tcBorders>
              <w:top w:val="single" w:sz="4" w:space="0" w:color="auto"/>
              <w:left w:val="nil"/>
              <w:bottom w:val="single" w:sz="4" w:space="0" w:color="auto"/>
              <w:right w:val="single" w:sz="8" w:space="0" w:color="000000"/>
            </w:tcBorders>
            <w:noWrap/>
            <w:vAlign w:val="center"/>
          </w:tcPr>
          <w:p w14:paraId="084BDC02" w14:textId="77777777" w:rsidR="00951A61" w:rsidRPr="0073538C" w:rsidRDefault="00951A61" w:rsidP="00951A61">
            <w:pPr>
              <w:pStyle w:val="affe"/>
              <w:numPr>
                <w:ilvl w:val="0"/>
                <w:numId w:val="28"/>
              </w:numPr>
              <w:ind w:left="0" w:firstLine="425"/>
              <w:contextualSpacing/>
              <w:jc w:val="both"/>
              <w:rPr>
                <w:rFonts w:ascii="Tahoma" w:hAnsi="Tahoma" w:cs="Tahoma"/>
                <w:sz w:val="20"/>
                <w:szCs w:val="20"/>
              </w:rPr>
            </w:pPr>
            <w:r w:rsidRPr="0073538C">
              <w:rPr>
                <w:rFonts w:ascii="Tahoma" w:hAnsi="Tahoma" w:cs="Tahoma"/>
                <w:sz w:val="20"/>
                <w:szCs w:val="20"/>
              </w:rPr>
              <w:t>Согласия заявителя на обработку его персональных данных и на получение Банком кредитного отчета, в т.ч. получение основной части кредитной истории заявителя в любых бюро кредитных историй;</w:t>
            </w:r>
          </w:p>
          <w:p w14:paraId="6143FC16" w14:textId="77777777" w:rsidR="00951A61" w:rsidRPr="0073538C" w:rsidRDefault="00951A61" w:rsidP="00951A61">
            <w:pPr>
              <w:pStyle w:val="affe"/>
              <w:numPr>
                <w:ilvl w:val="0"/>
                <w:numId w:val="28"/>
              </w:numPr>
              <w:ind w:left="0" w:firstLine="425"/>
              <w:contextualSpacing/>
              <w:jc w:val="both"/>
              <w:rPr>
                <w:rFonts w:ascii="Tahoma" w:hAnsi="Tahoma" w:cs="Tahoma"/>
                <w:sz w:val="20"/>
                <w:szCs w:val="20"/>
              </w:rPr>
            </w:pPr>
            <w:r w:rsidRPr="0073538C">
              <w:rPr>
                <w:rFonts w:ascii="Tahoma" w:hAnsi="Tahoma" w:cs="Tahoma"/>
                <w:sz w:val="20"/>
                <w:szCs w:val="20"/>
              </w:rPr>
              <w:t>Паспорт гражданина РФ;</w:t>
            </w:r>
          </w:p>
          <w:p w14:paraId="082ABD26" w14:textId="77777777" w:rsidR="00951A61" w:rsidRPr="0073538C" w:rsidRDefault="00951A61" w:rsidP="00951A61">
            <w:pPr>
              <w:pStyle w:val="affe"/>
              <w:numPr>
                <w:ilvl w:val="0"/>
                <w:numId w:val="28"/>
              </w:numPr>
              <w:ind w:left="0" w:firstLine="425"/>
              <w:contextualSpacing/>
              <w:jc w:val="both"/>
              <w:rPr>
                <w:rFonts w:ascii="Tahoma" w:hAnsi="Tahoma" w:cs="Tahoma"/>
                <w:sz w:val="20"/>
                <w:szCs w:val="20"/>
              </w:rPr>
            </w:pPr>
            <w:r w:rsidRPr="0073538C">
              <w:rPr>
                <w:rFonts w:ascii="Tahoma" w:hAnsi="Tahoma" w:cs="Tahoma"/>
                <w:sz w:val="20"/>
                <w:szCs w:val="20"/>
              </w:rPr>
              <w:t>Документы, подтверждающие занятость заемщика (в зависимости от вида деятельности заемщика — копия трудовой книжки/трудового договора, заверенная работодателем (за исключением категории – работники Банка), Сведения о состоянии индивидуального лицевого счета застрахованного лица (форма СЗИ-ИЛС) (далее – Выписка из СФР)</w:t>
            </w:r>
            <w:r w:rsidRPr="00AA6F56">
              <w:rPr>
                <w:rStyle w:val="aff3"/>
                <w:rFonts w:ascii="Tahoma" w:hAnsi="Tahoma"/>
                <w:sz w:val="20"/>
                <w:szCs w:val="20"/>
              </w:rPr>
              <w:footnoteReference w:id="76"/>
            </w:r>
            <w:r w:rsidRPr="0073538C">
              <w:rPr>
                <w:rFonts w:ascii="Tahoma" w:hAnsi="Tahoma" w:cs="Tahoma"/>
                <w:sz w:val="20"/>
                <w:szCs w:val="20"/>
              </w:rPr>
              <w:t>, свидетельство/лист записи ЕГРИП о государственной регистрации физического в качестве ИП, свидетельство/уведомление о постановке на налоговый учет и др.).</w:t>
            </w:r>
          </w:p>
          <w:p w14:paraId="6AA71685" w14:textId="77777777" w:rsidR="00951A61" w:rsidRPr="0073538C" w:rsidRDefault="00951A61" w:rsidP="00951A61">
            <w:pPr>
              <w:pStyle w:val="affe"/>
              <w:numPr>
                <w:ilvl w:val="0"/>
                <w:numId w:val="28"/>
              </w:numPr>
              <w:ind w:left="0" w:firstLine="425"/>
              <w:contextualSpacing/>
              <w:jc w:val="both"/>
              <w:rPr>
                <w:rFonts w:ascii="Tahoma" w:hAnsi="Tahoma" w:cs="Tahoma"/>
                <w:sz w:val="20"/>
                <w:szCs w:val="20"/>
              </w:rPr>
            </w:pPr>
            <w:r w:rsidRPr="0073538C">
              <w:rPr>
                <w:rFonts w:ascii="Tahoma" w:hAnsi="Tahoma" w:cs="Tahoma"/>
                <w:sz w:val="20"/>
                <w:szCs w:val="20"/>
              </w:rPr>
              <w:t xml:space="preserve">Документы, подтверждающие доход заемщика (в зависимости от вида деятельности заемщика): </w:t>
            </w:r>
          </w:p>
          <w:p w14:paraId="2717E39B" w14:textId="77777777" w:rsidR="00951A61" w:rsidRPr="0073538C" w:rsidRDefault="00951A61" w:rsidP="00951A61">
            <w:pPr>
              <w:pStyle w:val="affe"/>
              <w:numPr>
                <w:ilvl w:val="0"/>
                <w:numId w:val="40"/>
              </w:numPr>
              <w:ind w:left="0" w:firstLine="425"/>
              <w:contextualSpacing/>
              <w:jc w:val="both"/>
              <w:rPr>
                <w:rFonts w:ascii="Tahoma" w:hAnsi="Tahoma" w:cs="Tahoma"/>
                <w:sz w:val="20"/>
                <w:szCs w:val="20"/>
              </w:rPr>
            </w:pPr>
            <w:r w:rsidRPr="0073538C">
              <w:rPr>
                <w:rFonts w:ascii="Tahoma" w:hAnsi="Tahoma" w:cs="Tahoma"/>
                <w:sz w:val="20"/>
                <w:szCs w:val="20"/>
              </w:rPr>
              <w:lastRenderedPageBreak/>
              <w:t xml:space="preserve">справка по форме 2-НДФЛ или справка о доходах по форме Банка или справка о доходах (любая справка должна содержать ИНН работодателя), заверенная работодателем, содержащая всю информацию, которая предусмотрена справкой о доходах по форме Банка, копия налоговой декларации по форме 3-НДФЛ; </w:t>
            </w:r>
          </w:p>
          <w:p w14:paraId="5A836B60" w14:textId="77777777" w:rsidR="00951A61" w:rsidRPr="0073538C" w:rsidRDefault="00951A61" w:rsidP="00951A61">
            <w:pPr>
              <w:pStyle w:val="affe"/>
              <w:numPr>
                <w:ilvl w:val="0"/>
                <w:numId w:val="40"/>
              </w:numPr>
              <w:ind w:left="0" w:firstLine="425"/>
              <w:contextualSpacing/>
              <w:jc w:val="both"/>
              <w:rPr>
                <w:rFonts w:ascii="Tahoma" w:hAnsi="Tahoma" w:cs="Tahoma"/>
                <w:color w:val="000000" w:themeColor="text1"/>
                <w:sz w:val="20"/>
                <w:szCs w:val="20"/>
              </w:rPr>
            </w:pPr>
            <w:r w:rsidRPr="0073538C">
              <w:rPr>
                <w:rFonts w:ascii="Tahoma" w:hAnsi="Tahoma" w:cs="Tahoma"/>
                <w:sz w:val="20"/>
                <w:szCs w:val="20"/>
              </w:rPr>
              <w:t xml:space="preserve">в </w:t>
            </w:r>
            <w:r w:rsidRPr="0073538C">
              <w:rPr>
                <w:rFonts w:ascii="Tahoma" w:hAnsi="Tahoma" w:cs="Tahoma"/>
                <w:color w:val="000000" w:themeColor="text1"/>
                <w:sz w:val="20"/>
                <w:szCs w:val="20"/>
              </w:rPr>
              <w:t xml:space="preserve">случае, если у Клиента отсутствует возможность оперативного получения справки о заработной плате, размер его заработной платы допускается подтверждать выпиской с зарплатного счета карты Клиента, заверенной печатью подразделения и подписью работника кредитной организации, выдавшего выписку, при этом в выписке обязательно должно быть указано назначение платежа, позволяющее однозначно идентифицировать, что поступления являются заработной платой Клиента; </w:t>
            </w:r>
          </w:p>
          <w:p w14:paraId="7EBB394F" w14:textId="77777777" w:rsidR="00951A61" w:rsidRPr="0073538C" w:rsidRDefault="00951A61" w:rsidP="00951A61">
            <w:pPr>
              <w:pStyle w:val="affe"/>
              <w:numPr>
                <w:ilvl w:val="0"/>
                <w:numId w:val="40"/>
              </w:numPr>
              <w:ind w:left="0" w:firstLine="425"/>
              <w:contextualSpacing/>
              <w:jc w:val="both"/>
              <w:rPr>
                <w:rFonts w:ascii="Tahoma" w:hAnsi="Tahoma" w:cs="Tahoma"/>
                <w:sz w:val="20"/>
                <w:szCs w:val="20"/>
              </w:rPr>
            </w:pPr>
            <w:r w:rsidRPr="0073538C">
              <w:rPr>
                <w:rFonts w:ascii="Tahoma" w:hAnsi="Tahoma" w:cs="Tahoma"/>
                <w:color w:val="000000" w:themeColor="text1"/>
                <w:sz w:val="20"/>
                <w:szCs w:val="20"/>
                <w:lang w:val="en-US"/>
              </w:rPr>
              <w:t>c</w:t>
            </w:r>
            <w:r w:rsidRPr="0073538C">
              <w:rPr>
                <w:rFonts w:ascii="Tahoma" w:hAnsi="Tahoma" w:cs="Tahoma"/>
                <w:color w:val="000000" w:themeColor="text1"/>
                <w:sz w:val="20"/>
                <w:szCs w:val="20"/>
              </w:rPr>
              <w:t>криншот/выписка из мобильного Банка по зарплатному счету Клиента, который (-ая) должна содержать идентификационные данные Клиента, а также назначение платежа, позволяющее однозначно идентифицировать, что поступления являются заработной платой Клиента, скриншот из мобильного Банка по зарплатному счету Клиента должен быть заверен со стороны Клиента (ФИО, дата, подписи);</w:t>
            </w:r>
            <w:r w:rsidRPr="00B52A25">
              <w:rPr>
                <w:rFonts w:ascii="Tahoma" w:hAnsi="Tahoma" w:cs="Tahoma"/>
                <w:color w:val="000000" w:themeColor="text1"/>
                <w:sz w:val="20"/>
                <w:szCs w:val="20"/>
              </w:rPr>
              <w:t xml:space="preserve"> </w:t>
            </w:r>
          </w:p>
          <w:p w14:paraId="6F927A11" w14:textId="77777777" w:rsidR="00951A61" w:rsidRPr="0073538C" w:rsidRDefault="00951A61" w:rsidP="00951A61">
            <w:pPr>
              <w:pStyle w:val="affe"/>
              <w:numPr>
                <w:ilvl w:val="0"/>
                <w:numId w:val="40"/>
              </w:numPr>
              <w:ind w:left="0" w:firstLine="425"/>
              <w:contextualSpacing/>
              <w:jc w:val="both"/>
              <w:rPr>
                <w:rFonts w:ascii="Tahoma" w:hAnsi="Tahoma" w:cs="Tahoma"/>
                <w:sz w:val="20"/>
                <w:szCs w:val="20"/>
              </w:rPr>
            </w:pPr>
            <w:r w:rsidRPr="0073538C">
              <w:rPr>
                <w:rFonts w:ascii="Tahoma" w:hAnsi="Tahoma" w:cs="Tahoma"/>
                <w:color w:val="000000" w:themeColor="text1"/>
                <w:sz w:val="20"/>
                <w:szCs w:val="20"/>
              </w:rPr>
              <w:t>выписка из СФР, сформированная Банком / заверенная клиентом (в случае отсутствия технической возможности сформировать выписку СФР Банком);</w:t>
            </w:r>
          </w:p>
          <w:p w14:paraId="6161CD71" w14:textId="77777777" w:rsidR="00951A61" w:rsidRPr="0073538C" w:rsidRDefault="00951A61" w:rsidP="00951A61">
            <w:pPr>
              <w:pStyle w:val="affe"/>
              <w:numPr>
                <w:ilvl w:val="0"/>
                <w:numId w:val="28"/>
              </w:numPr>
              <w:ind w:left="0" w:firstLine="425"/>
              <w:contextualSpacing/>
              <w:jc w:val="both"/>
              <w:rPr>
                <w:rFonts w:ascii="Tahoma" w:hAnsi="Tahoma" w:cs="Tahoma"/>
                <w:sz w:val="20"/>
                <w:szCs w:val="20"/>
              </w:rPr>
            </w:pPr>
            <w:r w:rsidRPr="0073538C">
              <w:rPr>
                <w:rFonts w:ascii="Tahoma" w:hAnsi="Tahoma" w:cs="Tahoma"/>
                <w:sz w:val="20"/>
                <w:szCs w:val="20"/>
              </w:rPr>
              <w:t>Военный билет (может быть запрошен при необходимости);</w:t>
            </w:r>
          </w:p>
          <w:p w14:paraId="00135E38" w14:textId="77777777" w:rsidR="00951A61" w:rsidRPr="0073538C" w:rsidRDefault="00951A61" w:rsidP="00951A61">
            <w:pPr>
              <w:pStyle w:val="affe"/>
              <w:numPr>
                <w:ilvl w:val="0"/>
                <w:numId w:val="28"/>
              </w:numPr>
              <w:ind w:left="0" w:firstLine="425"/>
              <w:contextualSpacing/>
              <w:jc w:val="both"/>
              <w:rPr>
                <w:rFonts w:ascii="Tahoma" w:hAnsi="Tahoma" w:cs="Tahoma"/>
                <w:sz w:val="20"/>
                <w:szCs w:val="20"/>
              </w:rPr>
            </w:pPr>
            <w:r w:rsidRPr="0073538C">
              <w:rPr>
                <w:rFonts w:ascii="Tahoma" w:hAnsi="Tahoma" w:cs="Tahoma"/>
                <w:sz w:val="20"/>
                <w:szCs w:val="20"/>
              </w:rPr>
              <w:t>Заёмщиком-ИП/физическим лицом, занимающимся в установленном законодательством Российской Федерации порядке частной практикой, дополнительно предоставляются следующие документы:</w:t>
            </w:r>
          </w:p>
          <w:p w14:paraId="0212289E" w14:textId="77777777" w:rsidR="00951A61" w:rsidRPr="0073538C" w:rsidRDefault="00951A61" w:rsidP="00951A61">
            <w:pPr>
              <w:pStyle w:val="affe"/>
              <w:numPr>
                <w:ilvl w:val="1"/>
                <w:numId w:val="28"/>
              </w:numPr>
              <w:ind w:left="0" w:firstLine="425"/>
              <w:contextualSpacing/>
              <w:jc w:val="both"/>
              <w:rPr>
                <w:rFonts w:ascii="Tahoma" w:hAnsi="Tahoma" w:cs="Tahoma"/>
                <w:sz w:val="20"/>
                <w:szCs w:val="20"/>
              </w:rPr>
            </w:pPr>
            <w:r w:rsidRPr="0073538C">
              <w:rPr>
                <w:rFonts w:ascii="Tahoma" w:hAnsi="Tahoma" w:cs="Tahoma"/>
                <w:sz w:val="20"/>
                <w:szCs w:val="20"/>
              </w:rPr>
              <w:t>свидетельство о постановке на учет в качестве ИП/ лицензия на осуществление нотариальной деятельности для частных нотариусов/ удостоверение адвоката для адвокатов, учредивших адвокатский кабинет;</w:t>
            </w:r>
          </w:p>
          <w:p w14:paraId="0DACF791" w14:textId="77777777" w:rsidR="00951A61" w:rsidRPr="0023145E" w:rsidRDefault="00951A61" w:rsidP="00951A61">
            <w:pPr>
              <w:pStyle w:val="affe"/>
              <w:numPr>
                <w:ilvl w:val="1"/>
                <w:numId w:val="28"/>
              </w:numPr>
              <w:ind w:left="0" w:firstLine="425"/>
              <w:contextualSpacing/>
              <w:jc w:val="both"/>
              <w:rPr>
                <w:rFonts w:ascii="Tahoma" w:hAnsi="Tahoma" w:cs="Tahoma"/>
                <w:sz w:val="20"/>
                <w:szCs w:val="20"/>
              </w:rPr>
            </w:pPr>
            <w:r w:rsidRPr="0073538C">
              <w:rPr>
                <w:rFonts w:ascii="Tahoma" w:hAnsi="Tahoma" w:cs="Tahoma"/>
                <w:sz w:val="20"/>
                <w:szCs w:val="20"/>
              </w:rPr>
              <w:t xml:space="preserve">налоговая </w:t>
            </w:r>
            <w:r w:rsidRPr="0023145E">
              <w:rPr>
                <w:rFonts w:ascii="Tahoma" w:hAnsi="Tahoma" w:cs="Tahoma"/>
                <w:sz w:val="20"/>
                <w:szCs w:val="20"/>
              </w:rPr>
              <w:t>декларация/документ, подтверждающий расчет и оплату налога на доходы физических лиц с отметками налогового органа о получении, либо патент;</w:t>
            </w:r>
          </w:p>
          <w:p w14:paraId="3FA21F5B" w14:textId="77777777" w:rsidR="00951A61" w:rsidRPr="0073538C" w:rsidRDefault="00951A61" w:rsidP="00951A61">
            <w:pPr>
              <w:pStyle w:val="affe"/>
              <w:numPr>
                <w:ilvl w:val="1"/>
                <w:numId w:val="28"/>
              </w:numPr>
              <w:ind w:left="0" w:firstLine="425"/>
              <w:contextualSpacing/>
              <w:jc w:val="both"/>
              <w:rPr>
                <w:rFonts w:ascii="Tahoma" w:hAnsi="Tahoma" w:cs="Tahoma"/>
                <w:sz w:val="20"/>
                <w:szCs w:val="20"/>
              </w:rPr>
            </w:pPr>
            <w:r w:rsidRPr="0023145E">
              <w:rPr>
                <w:rFonts w:ascii="Tahoma" w:hAnsi="Tahoma" w:cs="Tahoma"/>
                <w:sz w:val="20"/>
                <w:szCs w:val="20"/>
              </w:rPr>
              <w:t>выписка по счетам Заемщика в формате txt</w:t>
            </w:r>
            <w:r w:rsidRPr="0023145E">
              <w:rPr>
                <w:rStyle w:val="aff3"/>
                <w:rFonts w:ascii="Tahoma" w:hAnsi="Tahoma" w:cs="Tahoma"/>
                <w:sz w:val="20"/>
                <w:szCs w:val="20"/>
              </w:rPr>
              <w:footnoteReference w:id="77"/>
            </w:r>
            <w:r w:rsidRPr="0023145E">
              <w:rPr>
                <w:rFonts w:ascii="Tahoma" w:hAnsi="Tahoma" w:cs="Tahoma"/>
                <w:sz w:val="20"/>
                <w:szCs w:val="20"/>
              </w:rPr>
              <w:t>/ квитанции по уплате авансовых платежей/ выписки по счету с указанием уплаты авансовых платежей, уплате единого налога, либо квитанции об уплате стоимости патента в зависимости от системы налогообложен</w:t>
            </w:r>
            <w:r w:rsidRPr="0073538C">
              <w:rPr>
                <w:rFonts w:ascii="Tahoma" w:hAnsi="Tahoma" w:cs="Tahoma"/>
                <w:sz w:val="20"/>
                <w:szCs w:val="20"/>
              </w:rPr>
              <w:t>ия/ квитанции об уплате отчислений в Социальный фонд РФ и Федеральный фонд обязательного медицинского страхования/иные документы, подтверждающие эти отчисления (для предпринимателей, применяющих ЕНВД, не производящих выплаты, и иные вознаграждения физическим лицам, величина налога на вмененный доход которых равна нулю);</w:t>
            </w:r>
          </w:p>
          <w:p w14:paraId="4999B7C0" w14:textId="77777777" w:rsidR="00951A61" w:rsidRPr="0073538C" w:rsidRDefault="00951A61" w:rsidP="00951A61">
            <w:pPr>
              <w:pStyle w:val="affe"/>
              <w:numPr>
                <w:ilvl w:val="1"/>
                <w:numId w:val="28"/>
              </w:numPr>
              <w:ind w:left="0" w:firstLine="425"/>
              <w:contextualSpacing/>
              <w:jc w:val="both"/>
              <w:rPr>
                <w:rFonts w:ascii="Tahoma" w:hAnsi="Tahoma" w:cs="Tahoma"/>
                <w:sz w:val="20"/>
                <w:szCs w:val="20"/>
              </w:rPr>
            </w:pPr>
            <w:r w:rsidRPr="0073538C">
              <w:rPr>
                <w:rFonts w:ascii="Tahoma" w:hAnsi="Tahoma" w:cs="Tahoma"/>
                <w:sz w:val="20"/>
                <w:szCs w:val="20"/>
              </w:rPr>
              <w:t>при необходимости, документы, которые требуются от ИП для анализа его финансово-хозяйственной деятельности по стандартам и с учетом требований нормативных документов Банка.</w:t>
            </w:r>
          </w:p>
          <w:p w14:paraId="292B1246" w14:textId="77777777" w:rsidR="00951A61" w:rsidRPr="0073538C" w:rsidRDefault="00951A61" w:rsidP="00951A61">
            <w:pPr>
              <w:pStyle w:val="affe"/>
              <w:numPr>
                <w:ilvl w:val="0"/>
                <w:numId w:val="28"/>
              </w:numPr>
              <w:ind w:left="0" w:firstLine="425"/>
              <w:contextualSpacing/>
              <w:jc w:val="both"/>
              <w:rPr>
                <w:rFonts w:ascii="Tahoma" w:hAnsi="Tahoma" w:cs="Tahoma"/>
                <w:sz w:val="20"/>
                <w:szCs w:val="20"/>
              </w:rPr>
            </w:pPr>
            <w:r w:rsidRPr="0073538C">
              <w:rPr>
                <w:rFonts w:ascii="Tahoma" w:hAnsi="Tahoma" w:cs="Tahoma"/>
                <w:sz w:val="20"/>
                <w:szCs w:val="20"/>
              </w:rPr>
              <w:t xml:space="preserve">Для самозанятых граждан: </w:t>
            </w:r>
          </w:p>
          <w:p w14:paraId="7468D2E1" w14:textId="77777777" w:rsidR="00951A61" w:rsidRPr="0073538C" w:rsidRDefault="00951A61" w:rsidP="00951A61">
            <w:pPr>
              <w:pStyle w:val="affe"/>
              <w:numPr>
                <w:ilvl w:val="0"/>
                <w:numId w:val="67"/>
              </w:numPr>
              <w:ind w:left="0" w:firstLine="425"/>
              <w:contextualSpacing/>
              <w:jc w:val="both"/>
              <w:rPr>
                <w:rFonts w:ascii="Tahoma" w:hAnsi="Tahoma" w:cs="Tahoma"/>
                <w:sz w:val="20"/>
                <w:szCs w:val="20"/>
              </w:rPr>
            </w:pPr>
            <w:r w:rsidRPr="0073538C">
              <w:rPr>
                <w:rFonts w:ascii="Tahoma" w:hAnsi="Tahoma" w:cs="Tahoma"/>
                <w:sz w:val="20"/>
                <w:szCs w:val="20"/>
              </w:rPr>
              <w:t>справка о постановке на учет самозанятого. Документ может быть сформирован в специализированном мобильном приложении или в веб-кабинете «Мой налог» на официальном сайте ФНС РФ. При корректном формировании электронная справка подписывается электронной подписью ФНС РФ. Данный документ необходимо распечатать и заверить подписью Заемщика;</w:t>
            </w:r>
          </w:p>
          <w:p w14:paraId="746EFE91" w14:textId="77777777" w:rsidR="00951A61" w:rsidRPr="0073538C" w:rsidRDefault="00951A61" w:rsidP="00951A61">
            <w:pPr>
              <w:pStyle w:val="affe"/>
              <w:numPr>
                <w:ilvl w:val="0"/>
                <w:numId w:val="67"/>
              </w:numPr>
              <w:ind w:left="0" w:firstLine="425"/>
              <w:contextualSpacing/>
              <w:jc w:val="both"/>
              <w:rPr>
                <w:rFonts w:ascii="Tahoma" w:hAnsi="Tahoma" w:cs="Tahoma"/>
                <w:sz w:val="20"/>
                <w:szCs w:val="20"/>
              </w:rPr>
            </w:pPr>
            <w:r w:rsidRPr="0073538C">
              <w:rPr>
                <w:rFonts w:ascii="Tahoma" w:hAnsi="Tahoma" w:cs="Tahoma"/>
                <w:sz w:val="20"/>
                <w:szCs w:val="20"/>
              </w:rPr>
              <w:t>справка о состоянии расчетов (доходах) по налогу на профессиональный доход для самозанятых (копия, заверенная заемщиком) или оригинал;</w:t>
            </w:r>
          </w:p>
          <w:p w14:paraId="6128F231" w14:textId="77777777" w:rsidR="00951A61" w:rsidRPr="0073538C" w:rsidRDefault="00951A61" w:rsidP="00951A61">
            <w:pPr>
              <w:pStyle w:val="affe"/>
              <w:numPr>
                <w:ilvl w:val="0"/>
                <w:numId w:val="40"/>
              </w:numPr>
              <w:ind w:left="0" w:firstLine="425"/>
              <w:contextualSpacing/>
              <w:jc w:val="both"/>
              <w:rPr>
                <w:rFonts w:ascii="Tahoma" w:hAnsi="Tahoma" w:cs="Tahoma"/>
                <w:sz w:val="20"/>
                <w:szCs w:val="20"/>
              </w:rPr>
            </w:pPr>
            <w:r w:rsidRPr="0073538C">
              <w:rPr>
                <w:rFonts w:ascii="Tahoma" w:hAnsi="Tahoma" w:cs="Tahoma"/>
                <w:sz w:val="20"/>
                <w:szCs w:val="20"/>
              </w:rPr>
              <w:t>Выписка по банковскому счету Заемщика (оригинал). На дату принятия предварительного решения о выдаче Ипотечного кредита по Заемщику(ам) срок действия должен составлять не более 30 календарных дней (является не обязательным документом и предоставляется дополнительно по запросу андеррайтера (в случае необходимости)).</w:t>
            </w:r>
          </w:p>
          <w:p w14:paraId="7AE022D4" w14:textId="77777777" w:rsidR="00951A61" w:rsidRPr="0073538C" w:rsidRDefault="00951A61" w:rsidP="00951A61">
            <w:pPr>
              <w:pStyle w:val="affe"/>
              <w:numPr>
                <w:ilvl w:val="0"/>
                <w:numId w:val="28"/>
              </w:numPr>
              <w:ind w:left="0" w:firstLine="425"/>
              <w:contextualSpacing/>
              <w:jc w:val="both"/>
              <w:rPr>
                <w:rFonts w:ascii="Tahoma" w:hAnsi="Tahoma" w:cs="Tahoma"/>
                <w:sz w:val="20"/>
                <w:szCs w:val="20"/>
              </w:rPr>
            </w:pPr>
            <w:r w:rsidRPr="0073538C">
              <w:rPr>
                <w:rFonts w:ascii="Tahoma" w:hAnsi="Tahoma" w:cs="Tahoma"/>
                <w:sz w:val="20"/>
                <w:szCs w:val="20"/>
              </w:rPr>
              <w:lastRenderedPageBreak/>
              <w:t>При необходимости Банком могут быть запрошены иные документы.</w:t>
            </w:r>
          </w:p>
          <w:p w14:paraId="03A527D7" w14:textId="77777777" w:rsidR="00951A61" w:rsidRPr="0073538C" w:rsidRDefault="00951A61" w:rsidP="00951A61">
            <w:pPr>
              <w:pStyle w:val="affe"/>
              <w:numPr>
                <w:ilvl w:val="0"/>
                <w:numId w:val="28"/>
              </w:numPr>
              <w:ind w:left="0" w:firstLine="425"/>
              <w:contextualSpacing/>
              <w:jc w:val="both"/>
              <w:rPr>
                <w:rFonts w:ascii="Tahoma" w:hAnsi="Tahoma" w:cs="Tahoma"/>
                <w:sz w:val="20"/>
                <w:szCs w:val="20"/>
              </w:rPr>
            </w:pPr>
            <w:r w:rsidRPr="0073538C">
              <w:rPr>
                <w:rFonts w:ascii="Tahoma" w:hAnsi="Tahoma" w:cs="Tahoma"/>
                <w:sz w:val="20"/>
                <w:szCs w:val="20"/>
              </w:rPr>
              <w:t>В качестве документов, подтверждающих занятость и доход, Банком могут быть использованы данные из открытых источников или сведения, предоставленные государственными органами. Возможность использования таких сведений в качестве подтверждения занятости и дохода клиента остается на усмотрение Банка.</w:t>
            </w:r>
          </w:p>
        </w:tc>
      </w:tr>
      <w:tr w:rsidR="00951A61" w:rsidRPr="0073538C" w14:paraId="4659C10D" w14:textId="77777777" w:rsidTr="00A4032F">
        <w:tblPrEx>
          <w:tblLook w:val="00A0" w:firstRow="1" w:lastRow="0" w:firstColumn="1" w:lastColumn="0" w:noHBand="0" w:noVBand="0"/>
        </w:tblPrEx>
        <w:trPr>
          <w:trHeight w:val="176"/>
        </w:trPr>
        <w:tc>
          <w:tcPr>
            <w:tcW w:w="4121" w:type="dxa"/>
            <w:tcBorders>
              <w:top w:val="single" w:sz="4" w:space="0" w:color="auto"/>
              <w:left w:val="single" w:sz="8" w:space="0" w:color="auto"/>
              <w:bottom w:val="single" w:sz="4" w:space="0" w:color="auto"/>
              <w:right w:val="single" w:sz="4" w:space="0" w:color="auto"/>
            </w:tcBorders>
            <w:vAlign w:val="center"/>
          </w:tcPr>
          <w:p w14:paraId="06F5B904" w14:textId="77777777" w:rsidR="00951A61" w:rsidRPr="0073538C" w:rsidRDefault="00951A61" w:rsidP="00A4032F">
            <w:pPr>
              <w:jc w:val="center"/>
              <w:rPr>
                <w:rFonts w:ascii="Tahoma" w:hAnsi="Tahoma" w:cs="Tahoma"/>
                <w:b/>
                <w:sz w:val="20"/>
                <w:szCs w:val="20"/>
              </w:rPr>
            </w:pPr>
            <w:r w:rsidRPr="0073538C">
              <w:rPr>
                <w:rFonts w:ascii="Tahoma" w:hAnsi="Tahoma" w:cs="Tahoma"/>
                <w:b/>
                <w:sz w:val="20"/>
                <w:szCs w:val="20"/>
              </w:rPr>
              <w:lastRenderedPageBreak/>
              <w:t>Перечень документов по объекту недвижимости, передаваемому в залог Банку</w:t>
            </w:r>
          </w:p>
          <w:p w14:paraId="1BC772F2" w14:textId="77777777" w:rsidR="00951A61" w:rsidRPr="0073538C" w:rsidRDefault="00951A61" w:rsidP="00A4032F">
            <w:pPr>
              <w:jc w:val="center"/>
              <w:rPr>
                <w:rFonts w:ascii="Tahoma" w:hAnsi="Tahoma" w:cs="Tahoma"/>
                <w:b/>
                <w:sz w:val="20"/>
                <w:szCs w:val="20"/>
              </w:rPr>
            </w:pPr>
          </w:p>
        </w:tc>
        <w:tc>
          <w:tcPr>
            <w:tcW w:w="11452" w:type="dxa"/>
            <w:tcBorders>
              <w:top w:val="single" w:sz="4" w:space="0" w:color="auto"/>
              <w:left w:val="nil"/>
              <w:bottom w:val="single" w:sz="4" w:space="0" w:color="auto"/>
              <w:right w:val="single" w:sz="8" w:space="0" w:color="000000"/>
            </w:tcBorders>
            <w:noWrap/>
            <w:vAlign w:val="center"/>
          </w:tcPr>
          <w:p w14:paraId="4D9172FF" w14:textId="77777777" w:rsidR="00951A61" w:rsidRPr="0073538C" w:rsidRDefault="00951A61" w:rsidP="00951A61">
            <w:pPr>
              <w:pStyle w:val="affe"/>
              <w:numPr>
                <w:ilvl w:val="0"/>
                <w:numId w:val="57"/>
              </w:numPr>
              <w:ind w:left="0" w:firstLine="425"/>
              <w:contextualSpacing/>
              <w:jc w:val="both"/>
              <w:rPr>
                <w:rFonts w:ascii="Tahoma" w:hAnsi="Tahoma" w:cs="Tahoma"/>
                <w:sz w:val="20"/>
                <w:szCs w:val="20"/>
              </w:rPr>
            </w:pPr>
            <w:r w:rsidRPr="0073538C">
              <w:rPr>
                <w:rFonts w:ascii="Tahoma" w:hAnsi="Tahoma" w:cs="Tahoma"/>
                <w:sz w:val="20"/>
                <w:szCs w:val="20"/>
              </w:rPr>
              <w:t>Отчет об оценке Предмета ипотеки  или иной документ, подтверждающий рыночную стоимость Предмета ипотеки (на усмотрение Банка)</w:t>
            </w:r>
            <w:r w:rsidRPr="0073538C">
              <w:rPr>
                <w:rStyle w:val="aff3"/>
                <w:rFonts w:ascii="Tahoma" w:hAnsi="Tahoma" w:cs="Tahoma"/>
                <w:sz w:val="20"/>
                <w:szCs w:val="20"/>
              </w:rPr>
              <w:t xml:space="preserve"> </w:t>
            </w:r>
            <w:r w:rsidRPr="0073538C">
              <w:rPr>
                <w:rStyle w:val="aff3"/>
                <w:rFonts w:ascii="Tahoma" w:hAnsi="Tahoma" w:cs="Tahoma"/>
                <w:sz w:val="20"/>
                <w:szCs w:val="20"/>
              </w:rPr>
              <w:footnoteReference w:id="78"/>
            </w:r>
            <w:r w:rsidRPr="0073538C">
              <w:rPr>
                <w:rFonts w:ascii="Tahoma" w:hAnsi="Tahoma" w:cs="Tahoma"/>
                <w:sz w:val="20"/>
                <w:szCs w:val="20"/>
              </w:rPr>
              <w:t>;</w:t>
            </w:r>
          </w:p>
          <w:p w14:paraId="5FF58C9B" w14:textId="77777777" w:rsidR="00951A61" w:rsidRPr="0073538C" w:rsidRDefault="00951A61" w:rsidP="00951A61">
            <w:pPr>
              <w:pStyle w:val="affe"/>
              <w:numPr>
                <w:ilvl w:val="0"/>
                <w:numId w:val="57"/>
              </w:numPr>
              <w:ind w:left="0" w:firstLine="425"/>
              <w:contextualSpacing/>
              <w:jc w:val="both"/>
              <w:rPr>
                <w:rFonts w:ascii="Tahoma" w:hAnsi="Tahoma" w:cs="Tahoma"/>
                <w:sz w:val="20"/>
                <w:szCs w:val="20"/>
              </w:rPr>
            </w:pPr>
            <w:r w:rsidRPr="0073538C">
              <w:rPr>
                <w:rFonts w:ascii="Tahoma" w:hAnsi="Tahoma" w:cs="Tahoma"/>
                <w:sz w:val="20"/>
                <w:szCs w:val="20"/>
              </w:rPr>
              <w:t>Правоустанавливающие и правоподтверждающие документы на объект недвижимости (договор приобретения (договор купли-продажи/договор долевого участия/договор уступки), свидетельство о государственной регистрации права собственности на недвижимость (при наличии), выписка из ЕГРН);</w:t>
            </w:r>
          </w:p>
          <w:p w14:paraId="6A200CB1" w14:textId="77777777" w:rsidR="00951A61" w:rsidRPr="0073538C" w:rsidRDefault="00951A61" w:rsidP="00951A61">
            <w:pPr>
              <w:pStyle w:val="affe"/>
              <w:numPr>
                <w:ilvl w:val="0"/>
                <w:numId w:val="57"/>
              </w:numPr>
              <w:ind w:left="0" w:firstLine="425"/>
              <w:contextualSpacing/>
              <w:jc w:val="both"/>
              <w:rPr>
                <w:rFonts w:ascii="Tahoma" w:hAnsi="Tahoma" w:cs="Tahoma"/>
                <w:sz w:val="20"/>
                <w:szCs w:val="20"/>
              </w:rPr>
            </w:pPr>
            <w:r w:rsidRPr="0073538C">
              <w:rPr>
                <w:rFonts w:ascii="Tahoma" w:hAnsi="Tahoma" w:cs="Tahoma"/>
                <w:sz w:val="20"/>
                <w:szCs w:val="20"/>
              </w:rPr>
              <w:t>Кадастровый или технический паспорт/план (техническая документация).</w:t>
            </w:r>
          </w:p>
          <w:p w14:paraId="6A93E233" w14:textId="77777777" w:rsidR="00951A61" w:rsidRPr="0073538C" w:rsidRDefault="00951A61" w:rsidP="00951A61">
            <w:pPr>
              <w:pStyle w:val="affe"/>
              <w:numPr>
                <w:ilvl w:val="0"/>
                <w:numId w:val="57"/>
              </w:numPr>
              <w:ind w:left="0" w:firstLine="425"/>
              <w:contextualSpacing/>
              <w:jc w:val="both"/>
              <w:rPr>
                <w:rFonts w:ascii="Tahoma" w:hAnsi="Tahoma" w:cs="Tahoma"/>
                <w:sz w:val="20"/>
                <w:szCs w:val="20"/>
              </w:rPr>
            </w:pPr>
            <w:r w:rsidRPr="0073538C">
              <w:rPr>
                <w:rFonts w:ascii="Tahoma" w:hAnsi="Tahoma" w:cs="Tahoma"/>
                <w:sz w:val="20"/>
                <w:szCs w:val="20"/>
              </w:rPr>
              <w:t>При необходимости Банком могут быть запрошены иные документы.</w:t>
            </w:r>
          </w:p>
        </w:tc>
      </w:tr>
      <w:tr w:rsidR="00951A61" w:rsidRPr="0073538C" w14:paraId="0104379F" w14:textId="77777777" w:rsidTr="00A4032F">
        <w:tblPrEx>
          <w:tblLook w:val="00A0" w:firstRow="1" w:lastRow="0" w:firstColumn="1" w:lastColumn="0" w:noHBand="0" w:noVBand="0"/>
        </w:tblPrEx>
        <w:trPr>
          <w:trHeight w:val="176"/>
        </w:trPr>
        <w:tc>
          <w:tcPr>
            <w:tcW w:w="4121" w:type="dxa"/>
            <w:tcBorders>
              <w:top w:val="single" w:sz="4" w:space="0" w:color="auto"/>
              <w:left w:val="single" w:sz="8" w:space="0" w:color="auto"/>
              <w:bottom w:val="single" w:sz="4" w:space="0" w:color="auto"/>
              <w:right w:val="single" w:sz="4" w:space="0" w:color="auto"/>
            </w:tcBorders>
            <w:vAlign w:val="center"/>
          </w:tcPr>
          <w:p w14:paraId="7C4FF998" w14:textId="77777777" w:rsidR="00951A61" w:rsidRPr="0073538C" w:rsidRDefault="00951A61" w:rsidP="00A4032F">
            <w:pPr>
              <w:jc w:val="center"/>
              <w:rPr>
                <w:rFonts w:ascii="Tahoma" w:hAnsi="Tahoma" w:cs="Tahoma"/>
                <w:b/>
                <w:sz w:val="20"/>
                <w:szCs w:val="20"/>
              </w:rPr>
            </w:pPr>
            <w:r w:rsidRPr="0073538C">
              <w:rPr>
                <w:rFonts w:ascii="Tahoma" w:hAnsi="Tahoma" w:cs="Tahoma"/>
                <w:b/>
                <w:sz w:val="20"/>
                <w:szCs w:val="20"/>
              </w:rPr>
              <w:t>Дополнительные требования к документам и к проведению расчетов по сделке</w:t>
            </w:r>
          </w:p>
        </w:tc>
        <w:tc>
          <w:tcPr>
            <w:tcW w:w="11452" w:type="dxa"/>
            <w:tcBorders>
              <w:top w:val="single" w:sz="4" w:space="0" w:color="auto"/>
              <w:left w:val="nil"/>
              <w:bottom w:val="single" w:sz="4" w:space="0" w:color="auto"/>
              <w:right w:val="single" w:sz="8" w:space="0" w:color="000000"/>
            </w:tcBorders>
            <w:noWrap/>
            <w:vAlign w:val="center"/>
          </w:tcPr>
          <w:p w14:paraId="23272F50" w14:textId="77777777" w:rsidR="00951A61" w:rsidRPr="0073538C" w:rsidRDefault="00951A61" w:rsidP="00951A61">
            <w:pPr>
              <w:pStyle w:val="FooterEven"/>
              <w:numPr>
                <w:ilvl w:val="0"/>
                <w:numId w:val="66"/>
              </w:numPr>
              <w:tabs>
                <w:tab w:val="clear" w:pos="4320"/>
                <w:tab w:val="right" w:pos="0"/>
                <w:tab w:val="left" w:pos="97"/>
                <w:tab w:val="center" w:pos="688"/>
              </w:tabs>
              <w:ind w:left="0" w:firstLine="425"/>
              <w:jc w:val="both"/>
              <w:rPr>
                <w:rFonts w:ascii="Tahoma" w:eastAsia="Times New Roman" w:hAnsi="Tahoma" w:cs="Tahoma"/>
                <w:bCs/>
                <w:kern w:val="32"/>
                <w:sz w:val="20"/>
                <w:lang w:eastAsia="en-US"/>
              </w:rPr>
            </w:pPr>
            <w:r w:rsidRPr="0073538C">
              <w:rPr>
                <w:rFonts w:ascii="Tahoma" w:hAnsi="Tahoma" w:cs="Tahoma"/>
                <w:sz w:val="20"/>
              </w:rPr>
              <w:t>До подписания кредитно-обеспечительной документации по сделке в Банк должен быть дополнительно предоставлен следующий документ:</w:t>
            </w:r>
            <w:r w:rsidRPr="0073538C">
              <w:rPr>
                <w:rFonts w:ascii="Tahoma" w:eastAsia="Times New Roman" w:hAnsi="Tahoma" w:cs="Tahoma"/>
                <w:bCs/>
                <w:kern w:val="32"/>
                <w:sz w:val="20"/>
                <w:lang w:eastAsia="en-US"/>
              </w:rPr>
              <w:t xml:space="preserve"> </w:t>
            </w:r>
          </w:p>
          <w:p w14:paraId="314EC38A" w14:textId="77777777" w:rsidR="00951A61" w:rsidRPr="0073538C" w:rsidRDefault="00951A61" w:rsidP="00951A61">
            <w:pPr>
              <w:pStyle w:val="FooterEven"/>
              <w:numPr>
                <w:ilvl w:val="1"/>
                <w:numId w:val="66"/>
              </w:numPr>
              <w:tabs>
                <w:tab w:val="clear" w:pos="4320"/>
                <w:tab w:val="clear" w:pos="8640"/>
                <w:tab w:val="left" w:pos="341"/>
              </w:tabs>
              <w:ind w:left="0" w:firstLine="425"/>
              <w:jc w:val="both"/>
              <w:rPr>
                <w:rFonts w:ascii="Tahoma" w:hAnsi="Tahoma" w:cs="Tahoma"/>
                <w:b w:val="0"/>
                <w:sz w:val="20"/>
              </w:rPr>
            </w:pPr>
            <w:r w:rsidRPr="0073538C">
              <w:rPr>
                <w:rFonts w:ascii="Tahoma" w:hAnsi="Tahoma" w:cs="Tahoma"/>
                <w:b w:val="0"/>
                <w:sz w:val="20"/>
              </w:rPr>
              <w:t>Нотариально удостоверенная доверенность от Заемщика на имя работника Банка, содержащая полномочия на осуществление действий по полному досрочному погашению задолженности Заемщика перед банком-залогодержателем, на осуществление регистрационных действий, включая снятие обременения банка-залогодержателя, с правом получения погашенной закладной в банке-залогодержателе, в том числе регистрация залога в пользу Банка</w:t>
            </w:r>
            <w:r w:rsidRPr="0073538C">
              <w:rPr>
                <w:rStyle w:val="aff3"/>
                <w:rFonts w:ascii="Tahoma" w:hAnsi="Tahoma" w:cs="Tahoma"/>
                <w:b w:val="0"/>
                <w:sz w:val="20"/>
              </w:rPr>
              <w:footnoteReference w:id="79"/>
            </w:r>
            <w:r w:rsidRPr="0073538C">
              <w:rPr>
                <w:rFonts w:ascii="Tahoma" w:hAnsi="Tahoma" w:cs="Tahoma"/>
                <w:b w:val="0"/>
                <w:sz w:val="20"/>
              </w:rPr>
              <w:t xml:space="preserve"> (дополнительные требования к оформляемой доверенности указаны в Приложение №2 к настоящему документу).</w:t>
            </w:r>
          </w:p>
          <w:p w14:paraId="35B056CE" w14:textId="77777777" w:rsidR="00951A61" w:rsidRPr="0073538C" w:rsidRDefault="00951A61" w:rsidP="00A4032F">
            <w:pPr>
              <w:pStyle w:val="FooterEven"/>
              <w:tabs>
                <w:tab w:val="left" w:pos="97"/>
              </w:tabs>
              <w:ind w:firstLine="425"/>
              <w:jc w:val="both"/>
              <w:rPr>
                <w:rFonts w:ascii="Tahoma" w:hAnsi="Tahoma" w:cs="Tahoma"/>
                <w:b w:val="0"/>
                <w:sz w:val="20"/>
              </w:rPr>
            </w:pPr>
          </w:p>
          <w:p w14:paraId="48FEF63A" w14:textId="77777777" w:rsidR="00951A61" w:rsidRPr="0073538C" w:rsidRDefault="00951A61" w:rsidP="00951A61">
            <w:pPr>
              <w:pStyle w:val="FooterEven"/>
              <w:numPr>
                <w:ilvl w:val="0"/>
                <w:numId w:val="66"/>
              </w:numPr>
              <w:tabs>
                <w:tab w:val="clear" w:pos="4320"/>
                <w:tab w:val="right" w:pos="0"/>
                <w:tab w:val="left" w:pos="97"/>
                <w:tab w:val="center" w:pos="688"/>
              </w:tabs>
              <w:ind w:left="0" w:firstLine="425"/>
              <w:jc w:val="both"/>
              <w:rPr>
                <w:rFonts w:ascii="Tahoma" w:eastAsia="Times New Roman" w:hAnsi="Tahoma" w:cs="Tahoma"/>
                <w:bCs/>
                <w:kern w:val="32"/>
                <w:sz w:val="20"/>
                <w:lang w:eastAsia="en-US"/>
              </w:rPr>
            </w:pPr>
            <w:r w:rsidRPr="0073538C">
              <w:rPr>
                <w:rFonts w:ascii="Tahoma" w:hAnsi="Tahoma" w:cs="Tahoma"/>
                <w:sz w:val="20"/>
              </w:rPr>
              <w:t>Требования к проведению расчетов по сделке:</w:t>
            </w:r>
            <w:r w:rsidRPr="0073538C">
              <w:rPr>
                <w:rFonts w:ascii="Tahoma" w:eastAsia="Times New Roman" w:hAnsi="Tahoma" w:cs="Tahoma"/>
                <w:bCs/>
                <w:kern w:val="32"/>
                <w:sz w:val="20"/>
                <w:lang w:eastAsia="en-US"/>
              </w:rPr>
              <w:t xml:space="preserve"> </w:t>
            </w:r>
          </w:p>
          <w:p w14:paraId="7838DD4B" w14:textId="77777777" w:rsidR="00951A61" w:rsidRPr="0073538C" w:rsidRDefault="00951A61" w:rsidP="00951A61">
            <w:pPr>
              <w:pStyle w:val="FooterEven"/>
              <w:numPr>
                <w:ilvl w:val="1"/>
                <w:numId w:val="66"/>
              </w:numPr>
              <w:tabs>
                <w:tab w:val="clear" w:pos="4320"/>
                <w:tab w:val="clear" w:pos="8640"/>
                <w:tab w:val="left" w:pos="341"/>
              </w:tabs>
              <w:ind w:left="0" w:firstLine="425"/>
              <w:jc w:val="both"/>
              <w:rPr>
                <w:rFonts w:ascii="Tahoma" w:hAnsi="Tahoma" w:cs="Tahoma"/>
                <w:b w:val="0"/>
                <w:sz w:val="20"/>
              </w:rPr>
            </w:pPr>
            <w:r w:rsidRPr="0073538C">
              <w:rPr>
                <w:rFonts w:ascii="Tahoma" w:hAnsi="Tahoma" w:cs="Tahoma"/>
                <w:b w:val="0"/>
                <w:sz w:val="20"/>
              </w:rPr>
              <w:t>В день предоставления Кредита Заемщик осуществляет перевод денежных средств в счет погашения Рефинансируемого кредита, в том числе рефинансируемых потребительских кредитов. Перевод осуществляется в соответствии с порядком и тарифами, предусмотренными Банком для перевода денежных средств.</w:t>
            </w:r>
          </w:p>
          <w:p w14:paraId="388E785D" w14:textId="77777777" w:rsidR="00951A61" w:rsidRPr="0073538C" w:rsidRDefault="00951A61" w:rsidP="00951A61">
            <w:pPr>
              <w:pStyle w:val="FooterEven"/>
              <w:numPr>
                <w:ilvl w:val="1"/>
                <w:numId w:val="66"/>
              </w:numPr>
              <w:tabs>
                <w:tab w:val="clear" w:pos="4320"/>
                <w:tab w:val="clear" w:pos="8640"/>
                <w:tab w:val="left" w:pos="341"/>
              </w:tabs>
              <w:ind w:left="0" w:firstLine="425"/>
              <w:jc w:val="both"/>
              <w:rPr>
                <w:rFonts w:ascii="Tahoma" w:hAnsi="Tahoma" w:cs="Tahoma"/>
                <w:b w:val="0"/>
                <w:sz w:val="20"/>
              </w:rPr>
            </w:pPr>
            <w:r w:rsidRPr="0073538C">
              <w:rPr>
                <w:rFonts w:ascii="Tahoma" w:hAnsi="Tahoma" w:cs="Tahoma"/>
                <w:b w:val="0"/>
                <w:sz w:val="20"/>
              </w:rPr>
              <w:t>В случае предоставления Заемщику Кредита в том числе на потребительские цели (не связанные с предпринимательской деятельностью) и/или улучшение жилищных условий (в т.ч. оплата неотделимых улучшений, и/или оплата ремонта Предмета ипотеки) (</w:t>
            </w:r>
            <w:r>
              <w:rPr>
                <w:rFonts w:ascii="Tahoma" w:hAnsi="Tahoma" w:cs="Tahoma"/>
                <w:b w:val="0"/>
                <w:sz w:val="20"/>
              </w:rPr>
              <w:t>денежные средства свыше суммы, необходимой для полного досрочного погашения рефинансируемого ипотечного кредита</w:t>
            </w:r>
            <w:r w:rsidRPr="0073538C">
              <w:rPr>
                <w:rFonts w:ascii="Tahoma" w:hAnsi="Tahoma" w:cs="Tahoma"/>
                <w:b w:val="0"/>
                <w:sz w:val="20"/>
              </w:rPr>
              <w:t>), в день предоставления Кредита после осуществления Заемщиком перевода денежных средств в счет погашения Рефинансируемого кредита, в том числе рефинансируемых потребительских кредитов, оставшуюся сумму Заемщик должен разместить на аккредитиве Банка;</w:t>
            </w:r>
          </w:p>
          <w:p w14:paraId="4CAC53D6" w14:textId="77777777" w:rsidR="00951A61" w:rsidRPr="0073538C" w:rsidRDefault="00951A61" w:rsidP="00951A61">
            <w:pPr>
              <w:pStyle w:val="FooterEven"/>
              <w:numPr>
                <w:ilvl w:val="1"/>
                <w:numId w:val="66"/>
              </w:numPr>
              <w:tabs>
                <w:tab w:val="clear" w:pos="4320"/>
                <w:tab w:val="clear" w:pos="8640"/>
                <w:tab w:val="left" w:pos="341"/>
              </w:tabs>
              <w:ind w:left="0" w:firstLine="425"/>
              <w:jc w:val="both"/>
              <w:rPr>
                <w:rFonts w:ascii="Tahoma" w:hAnsi="Tahoma" w:cs="Tahoma"/>
                <w:b w:val="0"/>
                <w:sz w:val="20"/>
              </w:rPr>
            </w:pPr>
            <w:r w:rsidRPr="0073538C">
              <w:rPr>
                <w:rFonts w:ascii="Tahoma" w:hAnsi="Tahoma" w:cs="Tahoma"/>
                <w:b w:val="0"/>
                <w:sz w:val="20"/>
              </w:rPr>
              <w:t>Обязательным условием исполнения аккредитива является подтверждение полного досрочного погашения Рефинансируемого ипотечного кредита и погашения рефинансируемых потребительских кредитов.</w:t>
            </w:r>
          </w:p>
          <w:p w14:paraId="0A192099" w14:textId="77777777" w:rsidR="00951A61" w:rsidRPr="0073538C" w:rsidRDefault="00951A61" w:rsidP="00A4032F">
            <w:pPr>
              <w:pStyle w:val="affe"/>
              <w:ind w:left="0" w:firstLine="425"/>
              <w:jc w:val="both"/>
              <w:rPr>
                <w:rFonts w:ascii="Tahoma" w:hAnsi="Tahoma" w:cs="Tahoma"/>
                <w:sz w:val="20"/>
                <w:szCs w:val="20"/>
              </w:rPr>
            </w:pPr>
          </w:p>
        </w:tc>
      </w:tr>
      <w:tr w:rsidR="00951A61" w:rsidRPr="0073538C" w14:paraId="69CCE180" w14:textId="77777777" w:rsidTr="00A4032F">
        <w:tblPrEx>
          <w:tblLook w:val="00A0" w:firstRow="1" w:lastRow="0" w:firstColumn="1" w:lastColumn="0" w:noHBand="0" w:noVBand="0"/>
        </w:tblPrEx>
        <w:trPr>
          <w:trHeight w:val="176"/>
        </w:trPr>
        <w:tc>
          <w:tcPr>
            <w:tcW w:w="4121" w:type="dxa"/>
            <w:tcBorders>
              <w:top w:val="single" w:sz="4" w:space="0" w:color="auto"/>
              <w:left w:val="single" w:sz="8" w:space="0" w:color="auto"/>
              <w:bottom w:val="single" w:sz="4" w:space="0" w:color="auto"/>
              <w:right w:val="single" w:sz="4" w:space="0" w:color="auto"/>
            </w:tcBorders>
            <w:vAlign w:val="center"/>
          </w:tcPr>
          <w:p w14:paraId="19D67E6B" w14:textId="77777777" w:rsidR="00951A61" w:rsidRPr="0073538C" w:rsidRDefault="00951A61" w:rsidP="00A4032F">
            <w:pPr>
              <w:jc w:val="center"/>
              <w:rPr>
                <w:rFonts w:ascii="Tahoma" w:hAnsi="Tahoma" w:cs="Tahoma"/>
                <w:b/>
                <w:sz w:val="20"/>
                <w:szCs w:val="20"/>
              </w:rPr>
            </w:pPr>
            <w:r w:rsidRPr="0073538C">
              <w:rPr>
                <w:rFonts w:ascii="Tahoma" w:hAnsi="Tahoma" w:cs="Tahoma"/>
                <w:b/>
                <w:sz w:val="20"/>
                <w:szCs w:val="20"/>
              </w:rPr>
              <w:t xml:space="preserve">Информация об иных договорах, которые Заемщик обязан заключить, и (или) иных услугах (работах, товарах), которые он обязан приобрести в связи с Кредитным договором, а также </w:t>
            </w:r>
            <w:r w:rsidRPr="0073538C">
              <w:rPr>
                <w:rFonts w:ascii="Tahoma" w:hAnsi="Tahoma" w:cs="Tahoma"/>
                <w:b/>
                <w:sz w:val="20"/>
                <w:szCs w:val="20"/>
              </w:rPr>
              <w:lastRenderedPageBreak/>
              <w:t>информация о возможности Заемщика согласиться с заключением таких договоров и (или) приобретением таких услуг (работ, товаров) либо отказаться от них</w:t>
            </w:r>
          </w:p>
        </w:tc>
        <w:tc>
          <w:tcPr>
            <w:tcW w:w="11452" w:type="dxa"/>
            <w:tcBorders>
              <w:top w:val="single" w:sz="4" w:space="0" w:color="auto"/>
              <w:left w:val="nil"/>
              <w:bottom w:val="single" w:sz="4" w:space="0" w:color="auto"/>
              <w:right w:val="single" w:sz="8" w:space="0" w:color="000000"/>
            </w:tcBorders>
            <w:noWrap/>
            <w:vAlign w:val="center"/>
          </w:tcPr>
          <w:p w14:paraId="54BC966E"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lastRenderedPageBreak/>
              <w:t xml:space="preserve">Заключение между Сторонами договора банковского счета (на основании которого Заемщику Банком открывается ТБС), элементы которого содержатся в </w:t>
            </w:r>
            <w:r w:rsidRPr="00B52A25">
              <w:rPr>
                <w:rFonts w:ascii="Tahoma" w:hAnsi="Tahoma" w:cs="Tahoma"/>
                <w:sz w:val="20"/>
                <w:szCs w:val="20"/>
              </w:rPr>
              <w:t>Кредитном д</w:t>
            </w:r>
            <w:r w:rsidRPr="0073538C">
              <w:rPr>
                <w:rFonts w:ascii="Tahoma" w:hAnsi="Tahoma" w:cs="Tahoma"/>
                <w:sz w:val="20"/>
                <w:szCs w:val="20"/>
              </w:rPr>
              <w:t xml:space="preserve">оговоре, что делает </w:t>
            </w:r>
            <w:r w:rsidRPr="00B52A25">
              <w:rPr>
                <w:rFonts w:ascii="Tahoma" w:hAnsi="Tahoma" w:cs="Tahoma"/>
                <w:sz w:val="20"/>
                <w:szCs w:val="20"/>
              </w:rPr>
              <w:t>Кредитный д</w:t>
            </w:r>
            <w:r w:rsidRPr="0073538C">
              <w:rPr>
                <w:rFonts w:ascii="Tahoma" w:hAnsi="Tahoma" w:cs="Tahoma"/>
                <w:sz w:val="20"/>
                <w:szCs w:val="20"/>
              </w:rPr>
              <w:t>оговор смешанным, содержащим элементы договора банковского счета и Кредитного договора, и обязательным к заключению.</w:t>
            </w:r>
          </w:p>
          <w:p w14:paraId="61E3CAD8"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Договор/полис имущественного страхования/либо дополнительное соглашение к указанным документам (страхование в соответствии с тарифами страховой компании рисков, связанных с утратой или повреждением недвижимого имущества, находящегося в залоге).</w:t>
            </w:r>
          </w:p>
          <w:p w14:paraId="7AE9B08F"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lastRenderedPageBreak/>
              <w:t>Заключение договора о проведении оценки Предмета ипотеки.</w:t>
            </w:r>
          </w:p>
          <w:p w14:paraId="722753F5"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Заемщик может согласиться с заключением выше перечисленных договоров и (или) приобретением таких услуг (работ, товаров) либо отказаться от них</w:t>
            </w:r>
            <w:r w:rsidRPr="0073538C">
              <w:rPr>
                <w:rStyle w:val="aff3"/>
                <w:rFonts w:ascii="Tahoma" w:hAnsi="Tahoma" w:cs="Tahoma"/>
                <w:sz w:val="20"/>
                <w:szCs w:val="20"/>
              </w:rPr>
              <w:footnoteReference w:id="80"/>
            </w:r>
            <w:r w:rsidRPr="0073538C">
              <w:rPr>
                <w:rFonts w:ascii="Tahoma" w:hAnsi="Tahoma" w:cs="Tahoma"/>
                <w:sz w:val="20"/>
                <w:szCs w:val="20"/>
              </w:rPr>
              <w:t>.</w:t>
            </w:r>
          </w:p>
        </w:tc>
      </w:tr>
      <w:tr w:rsidR="00951A61" w:rsidRPr="0073538C" w14:paraId="15DA2D9A" w14:textId="77777777" w:rsidTr="00A4032F">
        <w:tblPrEx>
          <w:tblLook w:val="00A0" w:firstRow="1" w:lastRow="0" w:firstColumn="1" w:lastColumn="0" w:noHBand="0" w:noVBand="0"/>
        </w:tblPrEx>
        <w:trPr>
          <w:trHeight w:val="176"/>
        </w:trPr>
        <w:tc>
          <w:tcPr>
            <w:tcW w:w="4121" w:type="dxa"/>
            <w:tcBorders>
              <w:top w:val="single" w:sz="4" w:space="0" w:color="auto"/>
              <w:left w:val="single" w:sz="8" w:space="0" w:color="auto"/>
              <w:bottom w:val="single" w:sz="4" w:space="0" w:color="auto"/>
              <w:right w:val="single" w:sz="4" w:space="0" w:color="auto"/>
            </w:tcBorders>
            <w:vAlign w:val="center"/>
          </w:tcPr>
          <w:p w14:paraId="73F3E34F" w14:textId="77777777" w:rsidR="00951A61" w:rsidRPr="0073538C" w:rsidRDefault="00951A61" w:rsidP="00A4032F">
            <w:pPr>
              <w:jc w:val="center"/>
              <w:rPr>
                <w:rFonts w:ascii="Tahoma" w:hAnsi="Tahoma" w:cs="Tahoma"/>
                <w:b/>
                <w:sz w:val="20"/>
                <w:szCs w:val="20"/>
              </w:rPr>
            </w:pPr>
            <w:r w:rsidRPr="0073538C">
              <w:rPr>
                <w:rFonts w:ascii="Tahoma" w:hAnsi="Tahoma" w:cs="Tahoma"/>
                <w:b/>
                <w:color w:val="000000"/>
                <w:sz w:val="20"/>
                <w:szCs w:val="20"/>
              </w:rPr>
              <w:lastRenderedPageBreak/>
              <w:t>Информация об определении курс иностранной валюты в случае, если валюта, в которой осуществляется перевод денежных средств Банком третьему лицу, указанному Заемщиком при предоставлении потребительского кредита, отличается от валюты, в которой предоставлен Кредит</w:t>
            </w:r>
          </w:p>
        </w:tc>
        <w:tc>
          <w:tcPr>
            <w:tcW w:w="11452" w:type="dxa"/>
            <w:tcBorders>
              <w:top w:val="single" w:sz="4" w:space="0" w:color="auto"/>
              <w:left w:val="nil"/>
              <w:bottom w:val="single" w:sz="4" w:space="0" w:color="auto"/>
              <w:right w:val="single" w:sz="8" w:space="0" w:color="000000"/>
            </w:tcBorders>
            <w:noWrap/>
            <w:vAlign w:val="center"/>
          </w:tcPr>
          <w:p w14:paraId="6E64388B" w14:textId="77777777" w:rsidR="00951A61" w:rsidRPr="0073538C" w:rsidRDefault="00951A61" w:rsidP="00A4032F">
            <w:pPr>
              <w:ind w:firstLine="425"/>
              <w:jc w:val="both"/>
              <w:rPr>
                <w:rFonts w:ascii="Tahoma" w:hAnsi="Tahoma" w:cs="Tahoma"/>
                <w:sz w:val="20"/>
                <w:szCs w:val="20"/>
              </w:rPr>
            </w:pPr>
            <w:r w:rsidRPr="0073538C">
              <w:rPr>
                <w:rFonts w:ascii="Tahoma" w:hAnsi="Tahoma" w:cs="Tahoma"/>
                <w:color w:val="000000"/>
                <w:sz w:val="20"/>
                <w:szCs w:val="20"/>
              </w:rPr>
              <w:t>Не применимо</w:t>
            </w:r>
          </w:p>
        </w:tc>
      </w:tr>
      <w:tr w:rsidR="00951A61" w:rsidRPr="0073538C" w14:paraId="07BF1F93" w14:textId="77777777" w:rsidTr="00A4032F">
        <w:tblPrEx>
          <w:tblLook w:val="00A0" w:firstRow="1" w:lastRow="0" w:firstColumn="1" w:lastColumn="0" w:noHBand="0" w:noVBand="0"/>
        </w:tblPrEx>
        <w:trPr>
          <w:trHeight w:val="176"/>
        </w:trPr>
        <w:tc>
          <w:tcPr>
            <w:tcW w:w="4121" w:type="dxa"/>
            <w:tcBorders>
              <w:top w:val="single" w:sz="4" w:space="0" w:color="auto"/>
              <w:left w:val="single" w:sz="8" w:space="0" w:color="auto"/>
              <w:bottom w:val="single" w:sz="4" w:space="0" w:color="auto"/>
              <w:right w:val="single" w:sz="4" w:space="0" w:color="auto"/>
            </w:tcBorders>
            <w:vAlign w:val="center"/>
          </w:tcPr>
          <w:p w14:paraId="6E141F38" w14:textId="77777777" w:rsidR="00951A61" w:rsidRPr="0073538C" w:rsidRDefault="00951A61" w:rsidP="00A4032F">
            <w:pPr>
              <w:jc w:val="center"/>
              <w:rPr>
                <w:rFonts w:ascii="Tahoma" w:hAnsi="Tahoma" w:cs="Tahoma"/>
                <w:b/>
                <w:color w:val="000000"/>
                <w:sz w:val="20"/>
                <w:szCs w:val="20"/>
              </w:rPr>
            </w:pPr>
            <w:r w:rsidRPr="0073538C">
              <w:rPr>
                <w:rFonts w:ascii="Tahoma" w:hAnsi="Tahoma" w:cs="Tahoma"/>
                <w:b/>
                <w:color w:val="000000"/>
                <w:sz w:val="20"/>
                <w:szCs w:val="20"/>
              </w:rPr>
              <w:t>Информация о возможном увеличении суммы расходов Заемщика по сравнению с ожидаемой суммой расходов в рублях, в том числе при применении переменной процентной ставки, а также информация о том, что изменение курса иностранной валюты в прошлом не свидетельствует об изменении ее курса в будущем, и информация о повышенных рисках Заемщика, получающего доходы в валюте, отличной от валюты Кредита</w:t>
            </w:r>
          </w:p>
        </w:tc>
        <w:tc>
          <w:tcPr>
            <w:tcW w:w="11452" w:type="dxa"/>
            <w:tcBorders>
              <w:top w:val="single" w:sz="4" w:space="0" w:color="auto"/>
              <w:left w:val="nil"/>
              <w:bottom w:val="single" w:sz="4" w:space="0" w:color="auto"/>
              <w:right w:val="single" w:sz="8" w:space="0" w:color="000000"/>
            </w:tcBorders>
            <w:noWrap/>
            <w:vAlign w:val="center"/>
          </w:tcPr>
          <w:p w14:paraId="14FEA2FA" w14:textId="77777777" w:rsidR="00951A61" w:rsidRPr="0073538C" w:rsidRDefault="00951A61" w:rsidP="00A4032F">
            <w:pPr>
              <w:ind w:firstLine="425"/>
              <w:jc w:val="both"/>
              <w:rPr>
                <w:rFonts w:ascii="Tahoma" w:hAnsi="Tahoma" w:cs="Tahoma"/>
                <w:color w:val="000000"/>
                <w:sz w:val="20"/>
                <w:szCs w:val="20"/>
              </w:rPr>
            </w:pPr>
            <w:r w:rsidRPr="0073538C">
              <w:rPr>
                <w:rFonts w:ascii="Tahoma" w:hAnsi="Tahoma" w:cs="Tahoma"/>
                <w:color w:val="000000"/>
                <w:sz w:val="20"/>
                <w:szCs w:val="20"/>
              </w:rPr>
              <w:t>Не применимо</w:t>
            </w:r>
          </w:p>
        </w:tc>
      </w:tr>
      <w:tr w:rsidR="00951A61" w:rsidRPr="0073538C" w14:paraId="0369BAE5" w14:textId="77777777" w:rsidTr="00A4032F">
        <w:tblPrEx>
          <w:tblLook w:val="00A0" w:firstRow="1" w:lastRow="0" w:firstColumn="1" w:lastColumn="0" w:noHBand="0" w:noVBand="0"/>
        </w:tblPrEx>
        <w:trPr>
          <w:trHeight w:val="176"/>
        </w:trPr>
        <w:tc>
          <w:tcPr>
            <w:tcW w:w="4121" w:type="dxa"/>
            <w:tcBorders>
              <w:top w:val="single" w:sz="4" w:space="0" w:color="auto"/>
              <w:left w:val="single" w:sz="8" w:space="0" w:color="auto"/>
              <w:bottom w:val="single" w:sz="4" w:space="0" w:color="auto"/>
              <w:right w:val="single" w:sz="4" w:space="0" w:color="auto"/>
            </w:tcBorders>
            <w:vAlign w:val="center"/>
          </w:tcPr>
          <w:p w14:paraId="4A2AFA35" w14:textId="77777777" w:rsidR="00951A61" w:rsidRPr="0073538C" w:rsidRDefault="00951A61" w:rsidP="00A4032F">
            <w:pPr>
              <w:widowControl w:val="0"/>
              <w:tabs>
                <w:tab w:val="left" w:pos="426"/>
                <w:tab w:val="left" w:pos="851"/>
              </w:tabs>
              <w:jc w:val="center"/>
              <w:rPr>
                <w:rFonts w:ascii="Tahoma" w:hAnsi="Tahoma" w:cs="Tahoma"/>
                <w:b/>
                <w:color w:val="000000"/>
                <w:sz w:val="20"/>
                <w:szCs w:val="20"/>
              </w:rPr>
            </w:pPr>
            <w:r w:rsidRPr="0073538C">
              <w:rPr>
                <w:rFonts w:ascii="Tahoma" w:hAnsi="Tahoma" w:cs="Tahoma"/>
                <w:b/>
                <w:sz w:val="20"/>
                <w:szCs w:val="20"/>
              </w:rPr>
              <w:t>Информация о возможности запрета уступки кредитором третьим лицам прав (требований) по Кредитному договору</w:t>
            </w:r>
          </w:p>
        </w:tc>
        <w:tc>
          <w:tcPr>
            <w:tcW w:w="11452" w:type="dxa"/>
            <w:tcBorders>
              <w:top w:val="single" w:sz="4" w:space="0" w:color="auto"/>
              <w:left w:val="nil"/>
              <w:bottom w:val="single" w:sz="4" w:space="0" w:color="auto"/>
              <w:right w:val="single" w:sz="8" w:space="0" w:color="000000"/>
            </w:tcBorders>
            <w:noWrap/>
            <w:vAlign w:val="center"/>
          </w:tcPr>
          <w:p w14:paraId="6DCD98BF" w14:textId="77777777" w:rsidR="00951A61" w:rsidRPr="0073538C" w:rsidRDefault="00951A61" w:rsidP="00A4032F">
            <w:pPr>
              <w:widowControl w:val="0"/>
              <w:tabs>
                <w:tab w:val="left" w:pos="426"/>
                <w:tab w:val="left" w:pos="851"/>
              </w:tabs>
              <w:ind w:firstLine="425"/>
              <w:jc w:val="both"/>
              <w:rPr>
                <w:rFonts w:ascii="Tahoma" w:hAnsi="Tahoma" w:cs="Tahoma"/>
                <w:color w:val="000000"/>
                <w:sz w:val="20"/>
                <w:szCs w:val="20"/>
              </w:rPr>
            </w:pPr>
            <w:r w:rsidRPr="0073538C">
              <w:rPr>
                <w:rFonts w:ascii="Tahoma" w:hAnsi="Tahoma" w:cs="Tahoma"/>
                <w:color w:val="000000"/>
                <w:sz w:val="20"/>
                <w:szCs w:val="20"/>
              </w:rPr>
              <w:t>В случае, если при выдаче ипотечного кредита право требования по Кредитному договору и право залога объекта недвижимости удостоверяются закладной, согласно п. 5 ст. 47 Федерального закона от 16.07.1998 N 102-ФЗ «Об ипотеке (залоге недвижимости)» (закон 102-ФЗ), уступка прав по договору об ипотеке или обеспеченному ипотекой обязательству не допускается. Согласно п. 4 ст. 48 закона 102-ФЗ Банк вправе передать права на закладную любым третьим лицам (согласие должника в данном случае не требуется). В случае, если при выдаче ипотечного кредита закладная не оформляется, Заемщик вправе запретить уступку Банком третьим лицам прав (требований) по Кредитному договору.</w:t>
            </w:r>
          </w:p>
        </w:tc>
      </w:tr>
      <w:tr w:rsidR="00951A61" w:rsidRPr="0073538C" w14:paraId="6DF56BE3" w14:textId="77777777" w:rsidTr="00A4032F">
        <w:tblPrEx>
          <w:tblLook w:val="00A0" w:firstRow="1" w:lastRow="0" w:firstColumn="1" w:lastColumn="0" w:noHBand="0" w:noVBand="0"/>
        </w:tblPrEx>
        <w:trPr>
          <w:trHeight w:val="176"/>
        </w:trPr>
        <w:tc>
          <w:tcPr>
            <w:tcW w:w="4121" w:type="dxa"/>
            <w:tcBorders>
              <w:top w:val="single" w:sz="4" w:space="0" w:color="auto"/>
              <w:left w:val="single" w:sz="8" w:space="0" w:color="auto"/>
              <w:bottom w:val="single" w:sz="4" w:space="0" w:color="auto"/>
              <w:right w:val="single" w:sz="4" w:space="0" w:color="auto"/>
            </w:tcBorders>
            <w:vAlign w:val="center"/>
          </w:tcPr>
          <w:p w14:paraId="0A339F10" w14:textId="77777777" w:rsidR="00951A61" w:rsidRPr="0073538C" w:rsidRDefault="00951A61" w:rsidP="00A4032F">
            <w:pPr>
              <w:widowControl w:val="0"/>
              <w:tabs>
                <w:tab w:val="left" w:pos="426"/>
                <w:tab w:val="left" w:pos="851"/>
              </w:tabs>
              <w:jc w:val="center"/>
              <w:rPr>
                <w:rFonts w:ascii="Tahoma" w:hAnsi="Tahoma" w:cs="Tahoma"/>
                <w:b/>
                <w:sz w:val="20"/>
                <w:szCs w:val="20"/>
              </w:rPr>
            </w:pPr>
            <w:r w:rsidRPr="0073538C">
              <w:rPr>
                <w:rFonts w:ascii="Tahoma" w:hAnsi="Tahoma" w:cs="Tahoma"/>
                <w:b/>
                <w:sz w:val="20"/>
                <w:szCs w:val="20"/>
              </w:rPr>
              <w:t>Порядок предоставления Заемщиком информации об использовании ипотечного кредита</w:t>
            </w:r>
          </w:p>
        </w:tc>
        <w:tc>
          <w:tcPr>
            <w:tcW w:w="11452" w:type="dxa"/>
            <w:tcBorders>
              <w:top w:val="single" w:sz="4" w:space="0" w:color="auto"/>
              <w:left w:val="nil"/>
              <w:bottom w:val="single" w:sz="4" w:space="0" w:color="auto"/>
              <w:right w:val="single" w:sz="8" w:space="0" w:color="000000"/>
            </w:tcBorders>
            <w:noWrap/>
            <w:vAlign w:val="center"/>
          </w:tcPr>
          <w:p w14:paraId="7969E14E" w14:textId="77777777" w:rsidR="00951A61" w:rsidRPr="0073538C" w:rsidRDefault="00951A61" w:rsidP="00A4032F">
            <w:pPr>
              <w:widowControl w:val="0"/>
              <w:tabs>
                <w:tab w:val="left" w:pos="426"/>
                <w:tab w:val="left" w:pos="851"/>
              </w:tabs>
              <w:ind w:firstLine="425"/>
              <w:jc w:val="both"/>
              <w:rPr>
                <w:rFonts w:ascii="Tahoma" w:hAnsi="Tahoma" w:cs="Tahoma"/>
                <w:sz w:val="20"/>
                <w:szCs w:val="20"/>
              </w:rPr>
            </w:pPr>
            <w:r w:rsidRPr="0073538C">
              <w:rPr>
                <w:rFonts w:ascii="Tahoma" w:hAnsi="Tahoma" w:cs="Tahoma"/>
                <w:sz w:val="20"/>
                <w:szCs w:val="20"/>
              </w:rPr>
              <w:t>Заемщик обязан в сроки, установленные Кредитным договором, предоставить в Банк документы, подтверждающие погашение Рефинансируемого кредита, а также, в случаях, предусмотренных в Кредитном договоре, документы, подтверждающие регистрацию залога на Объект недвижимости в пользу Банка.</w:t>
            </w:r>
          </w:p>
        </w:tc>
      </w:tr>
      <w:tr w:rsidR="00951A61" w:rsidRPr="0073538C" w14:paraId="6AC85A35" w14:textId="77777777" w:rsidTr="00A4032F">
        <w:tblPrEx>
          <w:tblLook w:val="00A0" w:firstRow="1" w:lastRow="0" w:firstColumn="1" w:lastColumn="0" w:noHBand="0" w:noVBand="0"/>
        </w:tblPrEx>
        <w:trPr>
          <w:trHeight w:val="176"/>
        </w:trPr>
        <w:tc>
          <w:tcPr>
            <w:tcW w:w="4121" w:type="dxa"/>
            <w:tcBorders>
              <w:top w:val="single" w:sz="4" w:space="0" w:color="auto"/>
              <w:left w:val="single" w:sz="8" w:space="0" w:color="auto"/>
              <w:bottom w:val="single" w:sz="4" w:space="0" w:color="auto"/>
              <w:right w:val="single" w:sz="4" w:space="0" w:color="auto"/>
            </w:tcBorders>
            <w:vAlign w:val="center"/>
          </w:tcPr>
          <w:p w14:paraId="7B38DBB9" w14:textId="77777777" w:rsidR="00951A61" w:rsidRPr="0073538C" w:rsidRDefault="00951A61" w:rsidP="00A4032F">
            <w:pPr>
              <w:widowControl w:val="0"/>
              <w:tabs>
                <w:tab w:val="left" w:pos="426"/>
                <w:tab w:val="left" w:pos="851"/>
              </w:tabs>
              <w:jc w:val="center"/>
              <w:rPr>
                <w:rFonts w:ascii="Tahoma" w:hAnsi="Tahoma" w:cs="Tahoma"/>
                <w:b/>
                <w:sz w:val="20"/>
                <w:szCs w:val="20"/>
              </w:rPr>
            </w:pPr>
            <w:r w:rsidRPr="0073538C">
              <w:rPr>
                <w:rFonts w:ascii="Tahoma" w:hAnsi="Tahoma" w:cs="Tahoma"/>
                <w:b/>
                <w:sz w:val="20"/>
                <w:szCs w:val="20"/>
              </w:rPr>
              <w:lastRenderedPageBreak/>
              <w:t>Подсудность споров по искам Банка к Заемщику</w:t>
            </w:r>
          </w:p>
        </w:tc>
        <w:tc>
          <w:tcPr>
            <w:tcW w:w="11452" w:type="dxa"/>
            <w:tcBorders>
              <w:top w:val="single" w:sz="4" w:space="0" w:color="auto"/>
              <w:left w:val="nil"/>
              <w:bottom w:val="single" w:sz="4" w:space="0" w:color="auto"/>
              <w:right w:val="single" w:sz="8" w:space="0" w:color="000000"/>
            </w:tcBorders>
            <w:noWrap/>
            <w:vAlign w:val="center"/>
          </w:tcPr>
          <w:p w14:paraId="4F523693" w14:textId="77777777" w:rsidR="00951A61" w:rsidRPr="0073538C" w:rsidRDefault="00951A61" w:rsidP="00A4032F">
            <w:pPr>
              <w:ind w:firstLine="425"/>
              <w:jc w:val="both"/>
              <w:rPr>
                <w:rFonts w:ascii="Tahoma" w:hAnsi="Tahoma" w:cs="Tahoma"/>
                <w:sz w:val="20"/>
                <w:szCs w:val="20"/>
              </w:rPr>
            </w:pPr>
            <w:r w:rsidRPr="0073538C">
              <w:rPr>
                <w:rFonts w:ascii="Tahoma" w:hAnsi="Tahoma" w:cs="Tahoma"/>
                <w:sz w:val="20"/>
                <w:szCs w:val="20"/>
              </w:rPr>
              <w:t>Порядок разрешения неурегулированных споров по искам Банка определяется Сторонами в Кредитном договоре</w:t>
            </w:r>
          </w:p>
          <w:p w14:paraId="200494AC" w14:textId="77777777" w:rsidR="00951A61" w:rsidRPr="0073538C" w:rsidRDefault="00951A61" w:rsidP="00A4032F">
            <w:pPr>
              <w:widowControl w:val="0"/>
              <w:tabs>
                <w:tab w:val="left" w:pos="426"/>
                <w:tab w:val="left" w:pos="851"/>
              </w:tabs>
              <w:ind w:firstLine="425"/>
              <w:jc w:val="both"/>
              <w:rPr>
                <w:rFonts w:ascii="Tahoma" w:hAnsi="Tahoma" w:cs="Tahoma"/>
                <w:sz w:val="20"/>
                <w:szCs w:val="20"/>
              </w:rPr>
            </w:pPr>
          </w:p>
        </w:tc>
      </w:tr>
      <w:tr w:rsidR="00951A61" w:rsidRPr="0073538C" w14:paraId="51A59DB8" w14:textId="77777777" w:rsidTr="00A4032F">
        <w:tblPrEx>
          <w:tblLook w:val="00A0" w:firstRow="1" w:lastRow="0" w:firstColumn="1" w:lastColumn="0" w:noHBand="0" w:noVBand="0"/>
        </w:tblPrEx>
        <w:trPr>
          <w:trHeight w:val="176"/>
        </w:trPr>
        <w:tc>
          <w:tcPr>
            <w:tcW w:w="4121" w:type="dxa"/>
            <w:tcBorders>
              <w:top w:val="single" w:sz="4" w:space="0" w:color="auto"/>
              <w:left w:val="single" w:sz="8" w:space="0" w:color="auto"/>
              <w:bottom w:val="single" w:sz="4" w:space="0" w:color="auto"/>
              <w:right w:val="single" w:sz="4" w:space="0" w:color="auto"/>
            </w:tcBorders>
            <w:vAlign w:val="center"/>
          </w:tcPr>
          <w:p w14:paraId="23398749" w14:textId="77777777" w:rsidR="00951A61" w:rsidRPr="0073538C" w:rsidRDefault="00951A61" w:rsidP="00A4032F">
            <w:pPr>
              <w:widowControl w:val="0"/>
              <w:tabs>
                <w:tab w:val="left" w:pos="426"/>
                <w:tab w:val="left" w:pos="851"/>
              </w:tabs>
              <w:jc w:val="center"/>
              <w:rPr>
                <w:rFonts w:ascii="Tahoma" w:hAnsi="Tahoma" w:cs="Tahoma"/>
                <w:b/>
                <w:sz w:val="20"/>
                <w:szCs w:val="20"/>
              </w:rPr>
            </w:pPr>
            <w:r w:rsidRPr="0073538C">
              <w:rPr>
                <w:rFonts w:ascii="Tahoma" w:hAnsi="Tahoma" w:cs="Tahoma"/>
                <w:b/>
                <w:sz w:val="20"/>
                <w:szCs w:val="20"/>
              </w:rPr>
              <w:t>Формуляры или иные стандартные формы, в которых определены общие условия Кредитного договора</w:t>
            </w:r>
          </w:p>
        </w:tc>
        <w:tc>
          <w:tcPr>
            <w:tcW w:w="11452" w:type="dxa"/>
            <w:tcBorders>
              <w:top w:val="single" w:sz="4" w:space="0" w:color="auto"/>
              <w:left w:val="nil"/>
              <w:bottom w:val="single" w:sz="4" w:space="0" w:color="auto"/>
              <w:right w:val="single" w:sz="8" w:space="0" w:color="000000"/>
            </w:tcBorders>
            <w:noWrap/>
            <w:vAlign w:val="center"/>
          </w:tcPr>
          <w:p w14:paraId="7107C1E0" w14:textId="77777777" w:rsidR="00951A61" w:rsidRPr="0073538C" w:rsidRDefault="00951A61" w:rsidP="00A4032F">
            <w:pPr>
              <w:widowControl w:val="0"/>
              <w:tabs>
                <w:tab w:val="left" w:pos="426"/>
                <w:tab w:val="left" w:pos="851"/>
              </w:tabs>
              <w:ind w:firstLine="425"/>
              <w:jc w:val="both"/>
              <w:rPr>
                <w:rFonts w:ascii="Tahoma" w:hAnsi="Tahoma" w:cs="Tahoma"/>
                <w:sz w:val="20"/>
                <w:szCs w:val="20"/>
              </w:rPr>
            </w:pPr>
            <w:r w:rsidRPr="00B52A25">
              <w:rPr>
                <w:rFonts w:ascii="Tahoma" w:hAnsi="Tahoma" w:cs="Tahoma"/>
                <w:sz w:val="20"/>
                <w:szCs w:val="20"/>
              </w:rPr>
              <w:t>Общие условия предоставления, обслуживания и погашения ипотечных кредитов в «Азиатско-Тихоокеанский Банк» (АО), являющиеся Приложением 6 к Универсальному договору банковского обслуживания в «Азиатско-Тихоокеанский Банк» (АО), размещённых в местах приема заявлений на предоставление ипотечного Кредита (в Подразделениях Банка и иных местах приема заявлений на предоставление ипотечного Кредита), на сайте Банка в сети Интернет по адресу www.atb.su и могут быть предоставлены Заемщику по его требованию на бумажном носителе.</w:t>
            </w:r>
          </w:p>
        </w:tc>
      </w:tr>
      <w:tr w:rsidR="00951A61" w:rsidRPr="0073538C" w14:paraId="29439AA7" w14:textId="77777777" w:rsidTr="00A4032F">
        <w:tblPrEx>
          <w:tblLook w:val="00A0" w:firstRow="1" w:lastRow="0" w:firstColumn="1" w:lastColumn="0" w:noHBand="0" w:noVBand="0"/>
        </w:tblPrEx>
        <w:trPr>
          <w:trHeight w:val="176"/>
        </w:trPr>
        <w:tc>
          <w:tcPr>
            <w:tcW w:w="4121" w:type="dxa"/>
            <w:tcBorders>
              <w:top w:val="single" w:sz="4" w:space="0" w:color="auto"/>
              <w:left w:val="single" w:sz="8" w:space="0" w:color="auto"/>
              <w:bottom w:val="single" w:sz="4" w:space="0" w:color="auto"/>
              <w:right w:val="single" w:sz="4" w:space="0" w:color="auto"/>
            </w:tcBorders>
            <w:vAlign w:val="center"/>
          </w:tcPr>
          <w:p w14:paraId="59A072AF" w14:textId="77777777" w:rsidR="00951A61" w:rsidRPr="0073538C" w:rsidRDefault="00951A61" w:rsidP="00A4032F">
            <w:pPr>
              <w:ind w:right="-107"/>
              <w:jc w:val="center"/>
              <w:rPr>
                <w:rFonts w:ascii="Tahoma" w:hAnsi="Tahoma" w:cs="Tahoma"/>
                <w:b/>
                <w:bCs/>
                <w:color w:val="000000" w:themeColor="text1"/>
                <w:sz w:val="20"/>
                <w:szCs w:val="20"/>
              </w:rPr>
            </w:pPr>
            <w:r w:rsidRPr="0073538C">
              <w:rPr>
                <w:rFonts w:ascii="Tahoma" w:hAnsi="Tahoma" w:cs="Tahoma"/>
                <w:b/>
                <w:bCs/>
                <w:color w:val="000000" w:themeColor="text1"/>
                <w:sz w:val="20"/>
                <w:szCs w:val="20"/>
              </w:rPr>
              <w:t>Срок действия решения о предоставлении потребительского кредита</w:t>
            </w:r>
          </w:p>
        </w:tc>
        <w:tc>
          <w:tcPr>
            <w:tcW w:w="11452" w:type="dxa"/>
            <w:tcBorders>
              <w:top w:val="single" w:sz="4" w:space="0" w:color="auto"/>
              <w:left w:val="nil"/>
              <w:bottom w:val="single" w:sz="4" w:space="0" w:color="auto"/>
              <w:right w:val="single" w:sz="8" w:space="0" w:color="000000"/>
            </w:tcBorders>
            <w:noWrap/>
            <w:vAlign w:val="center"/>
          </w:tcPr>
          <w:p w14:paraId="7B5C916A" w14:textId="77777777" w:rsidR="00951A61" w:rsidRPr="0073538C" w:rsidRDefault="00951A61" w:rsidP="00A4032F">
            <w:pPr>
              <w:ind w:firstLine="425"/>
              <w:jc w:val="both"/>
              <w:rPr>
                <w:rFonts w:ascii="Tahoma" w:hAnsi="Tahoma" w:cs="Tahoma"/>
                <w:bCs/>
                <w:color w:val="000000" w:themeColor="text1"/>
                <w:sz w:val="20"/>
                <w:szCs w:val="20"/>
              </w:rPr>
            </w:pPr>
            <w:r w:rsidRPr="0073538C">
              <w:rPr>
                <w:rFonts w:ascii="Tahoma" w:hAnsi="Tahoma" w:cs="Tahoma"/>
                <w:bCs/>
                <w:color w:val="000000" w:themeColor="text1"/>
                <w:sz w:val="20"/>
                <w:szCs w:val="20"/>
              </w:rPr>
              <w:t>90 календарных дней.</w:t>
            </w:r>
          </w:p>
        </w:tc>
      </w:tr>
      <w:tr w:rsidR="00951A61" w:rsidRPr="0073538C" w14:paraId="2C16005D" w14:textId="77777777" w:rsidTr="00A4032F">
        <w:tblPrEx>
          <w:tblLook w:val="00A0" w:firstRow="1" w:lastRow="0" w:firstColumn="1" w:lastColumn="0" w:noHBand="0" w:noVBand="0"/>
        </w:tblPrEx>
        <w:trPr>
          <w:trHeight w:val="176"/>
        </w:trPr>
        <w:tc>
          <w:tcPr>
            <w:tcW w:w="4121" w:type="dxa"/>
            <w:tcBorders>
              <w:top w:val="single" w:sz="4" w:space="0" w:color="auto"/>
              <w:left w:val="single" w:sz="8" w:space="0" w:color="auto"/>
              <w:bottom w:val="single" w:sz="4" w:space="0" w:color="auto"/>
              <w:right w:val="single" w:sz="4" w:space="0" w:color="auto"/>
            </w:tcBorders>
            <w:vAlign w:val="center"/>
          </w:tcPr>
          <w:p w14:paraId="2190B7FC" w14:textId="77777777" w:rsidR="00951A61" w:rsidRPr="0073538C" w:rsidRDefault="00951A61" w:rsidP="00A4032F">
            <w:pPr>
              <w:jc w:val="center"/>
              <w:rPr>
                <w:rFonts w:ascii="Tahoma" w:hAnsi="Tahoma" w:cs="Tahoma"/>
                <w:b/>
                <w:bCs/>
                <w:color w:val="000000" w:themeColor="text1"/>
                <w:sz w:val="20"/>
                <w:szCs w:val="20"/>
              </w:rPr>
            </w:pPr>
            <w:r w:rsidRPr="00B52A25">
              <w:rPr>
                <w:rFonts w:ascii="Tahoma" w:hAnsi="Tahoma" w:cs="Tahoma"/>
                <w:b/>
                <w:color w:val="000000"/>
                <w:sz w:val="20"/>
                <w:szCs w:val="20"/>
              </w:rPr>
              <w:t>Право заемщика обратиться к кредитору с требованием, предусмотренным частью 1 статьи 6.1-1 Федерального закона от 21.12.2013 № 353-ФЗ «О потребительском кредите (займе)», и об условиях, при наступлении которых у заемщика возникает соответствующее право.</w:t>
            </w:r>
          </w:p>
        </w:tc>
        <w:tc>
          <w:tcPr>
            <w:tcW w:w="11452" w:type="dxa"/>
            <w:tcBorders>
              <w:top w:val="single" w:sz="4" w:space="0" w:color="auto"/>
              <w:left w:val="nil"/>
              <w:bottom w:val="single" w:sz="4" w:space="0" w:color="auto"/>
              <w:right w:val="single" w:sz="8" w:space="0" w:color="000000"/>
            </w:tcBorders>
            <w:noWrap/>
            <w:vAlign w:val="center"/>
          </w:tcPr>
          <w:p w14:paraId="47EF04AE" w14:textId="77777777" w:rsidR="00951A61" w:rsidRPr="00B52A25" w:rsidRDefault="00951A61" w:rsidP="00A4032F">
            <w:pPr>
              <w:autoSpaceDE w:val="0"/>
              <w:autoSpaceDN w:val="0"/>
              <w:adjustRightInd w:val="0"/>
              <w:ind w:firstLine="425"/>
              <w:jc w:val="both"/>
              <w:rPr>
                <w:rFonts w:ascii="Tahoma" w:hAnsi="Tahoma" w:cs="Tahoma"/>
                <w:sz w:val="20"/>
                <w:szCs w:val="20"/>
              </w:rPr>
            </w:pPr>
            <w:r w:rsidRPr="00B52A25">
              <w:rPr>
                <w:rFonts w:ascii="Tahoma" w:hAnsi="Tahoma" w:cs="Tahoma"/>
                <w:sz w:val="20"/>
                <w:szCs w:val="20"/>
              </w:rPr>
              <w:t xml:space="preserve">Заемщик в любой момент в течение времени действия Кредитного договора, а в случае, указанном в п. 6 ч. 2 ст. 6.1-1 Закона № 353-ФЗ (и (наводнении, пожаре, катастрофе или другом бедствии), в течение шестидесяти дней со дня установления соответствующих фактов, вправе обратиться к кредитору с требованием о предоставлении льготного периода, предусматривающего приостановление исполнения Заемщиком своих обязательств по Кредитному договору, либо указание на размер платежей, уплачиваемых заемщиком в течение льготного периода. </w:t>
            </w:r>
          </w:p>
          <w:p w14:paraId="379361A6" w14:textId="77777777" w:rsidR="00951A61" w:rsidRPr="0073538C" w:rsidRDefault="00951A61" w:rsidP="00A4032F">
            <w:pPr>
              <w:ind w:firstLine="425"/>
              <w:jc w:val="both"/>
              <w:rPr>
                <w:rFonts w:ascii="Tahoma" w:hAnsi="Tahoma" w:cs="Tahoma"/>
                <w:bCs/>
                <w:color w:val="000000" w:themeColor="text1"/>
                <w:sz w:val="20"/>
                <w:szCs w:val="20"/>
              </w:rPr>
            </w:pPr>
            <w:r w:rsidRPr="00B52A25">
              <w:rPr>
                <w:rFonts w:ascii="Tahoma" w:hAnsi="Tahoma" w:cs="Tahoma"/>
                <w:sz w:val="20"/>
                <w:szCs w:val="20"/>
              </w:rPr>
              <w:t xml:space="preserve">С условиями, при наступлении которых у Заемщика возникает такое право, можно ознакомиться в размещаемой Банком информации о кредитных каникулах в рамках 353-ФЗ, в том числе на сайте Банка </w:t>
            </w:r>
            <w:r w:rsidRPr="00B52A25">
              <w:rPr>
                <w:sz w:val="20"/>
                <w:szCs w:val="20"/>
              </w:rPr>
              <w:t>https://w</w:t>
            </w:r>
            <w:r w:rsidRPr="00B52A25">
              <w:rPr>
                <w:rFonts w:ascii="Tahoma" w:hAnsi="Tahoma" w:cs="Tahoma"/>
                <w:sz w:val="20"/>
                <w:szCs w:val="20"/>
              </w:rPr>
              <w:t>ww.atb.su/customer-care-service</w:t>
            </w:r>
          </w:p>
        </w:tc>
      </w:tr>
    </w:tbl>
    <w:p w14:paraId="6318A834" w14:textId="77777777" w:rsidR="00951A61" w:rsidRPr="000107B6" w:rsidRDefault="00951A61" w:rsidP="00951A61">
      <w:pPr>
        <w:pStyle w:val="affe"/>
        <w:tabs>
          <w:tab w:val="left" w:pos="851"/>
        </w:tabs>
        <w:jc w:val="center"/>
        <w:rPr>
          <w:rFonts w:ascii="Tahoma" w:hAnsi="Tahoma" w:cs="Tahoma"/>
          <w:sz w:val="20"/>
          <w:szCs w:val="20"/>
        </w:rPr>
      </w:pPr>
    </w:p>
    <w:p w14:paraId="43F9CA7A" w14:textId="77777777" w:rsidR="00951A61" w:rsidRPr="000107B6" w:rsidRDefault="00951A61" w:rsidP="00951A61">
      <w:pPr>
        <w:jc w:val="right"/>
        <w:rPr>
          <w:rFonts w:ascii="Tahoma" w:hAnsi="Tahoma" w:cs="Tahoma"/>
          <w:sz w:val="20"/>
          <w:szCs w:val="20"/>
        </w:rPr>
      </w:pPr>
    </w:p>
    <w:p w14:paraId="60D98043" w14:textId="77777777" w:rsidR="00951A61" w:rsidRPr="000107B6" w:rsidRDefault="00951A61" w:rsidP="00951A61">
      <w:pPr>
        <w:pageBreakBefore/>
        <w:jc w:val="right"/>
        <w:rPr>
          <w:rFonts w:ascii="Tahoma" w:hAnsi="Tahoma" w:cs="Tahoma"/>
          <w:sz w:val="18"/>
          <w:szCs w:val="20"/>
        </w:rPr>
      </w:pPr>
      <w:r w:rsidRPr="000107B6">
        <w:rPr>
          <w:rFonts w:ascii="Tahoma" w:hAnsi="Tahoma" w:cs="Tahoma"/>
          <w:sz w:val="18"/>
          <w:szCs w:val="20"/>
        </w:rPr>
        <w:lastRenderedPageBreak/>
        <w:t>Приложение №1</w:t>
      </w:r>
    </w:p>
    <w:p w14:paraId="131A714B" w14:textId="77777777" w:rsidR="00951A61" w:rsidRPr="000107B6" w:rsidRDefault="00951A61" w:rsidP="00951A61">
      <w:pPr>
        <w:jc w:val="right"/>
        <w:rPr>
          <w:rFonts w:ascii="Tahoma" w:hAnsi="Tahoma" w:cs="Tahoma"/>
          <w:noProof/>
          <w:sz w:val="18"/>
          <w:szCs w:val="20"/>
        </w:rPr>
      </w:pPr>
      <w:r w:rsidRPr="000107B6">
        <w:rPr>
          <w:rFonts w:ascii="Tahoma" w:hAnsi="Tahoma" w:cs="Tahoma"/>
          <w:noProof/>
          <w:sz w:val="18"/>
          <w:szCs w:val="20"/>
        </w:rPr>
        <w:t xml:space="preserve">к основным условиях предоставления, использования и возврата </w:t>
      </w:r>
    </w:p>
    <w:p w14:paraId="787913BF" w14:textId="77777777" w:rsidR="00951A61" w:rsidRPr="000107B6" w:rsidRDefault="00951A61" w:rsidP="00951A61">
      <w:pPr>
        <w:jc w:val="right"/>
        <w:rPr>
          <w:rFonts w:ascii="Tahoma" w:hAnsi="Tahoma" w:cs="Tahoma"/>
          <w:sz w:val="18"/>
          <w:szCs w:val="20"/>
        </w:rPr>
      </w:pPr>
      <w:r w:rsidRPr="000107B6">
        <w:rPr>
          <w:rFonts w:ascii="Tahoma" w:hAnsi="Tahoma" w:cs="Tahoma"/>
          <w:noProof/>
          <w:sz w:val="18"/>
          <w:szCs w:val="20"/>
        </w:rPr>
        <w:t>ипотечного кредита по тарифному плану «Рефинансирование»</w:t>
      </w:r>
    </w:p>
    <w:p w14:paraId="57F78DDB" w14:textId="77777777" w:rsidR="00951A61" w:rsidRPr="000107B6" w:rsidRDefault="00951A61" w:rsidP="00951A61">
      <w:pPr>
        <w:jc w:val="center"/>
        <w:rPr>
          <w:rFonts w:ascii="Tahoma" w:hAnsi="Tahoma" w:cs="Tahoma"/>
          <w:b/>
          <w:sz w:val="18"/>
          <w:szCs w:val="18"/>
        </w:rPr>
      </w:pPr>
    </w:p>
    <w:p w14:paraId="4F09F3FB" w14:textId="77777777" w:rsidR="00951A61" w:rsidRPr="000107B6" w:rsidRDefault="00951A61" w:rsidP="00951A61">
      <w:pPr>
        <w:jc w:val="center"/>
        <w:rPr>
          <w:rFonts w:ascii="Tahoma" w:hAnsi="Tahoma" w:cs="Tahoma"/>
          <w:b/>
          <w:sz w:val="20"/>
          <w:szCs w:val="20"/>
        </w:rPr>
      </w:pPr>
      <w:r w:rsidRPr="000107B6">
        <w:rPr>
          <w:rFonts w:ascii="Tahoma" w:hAnsi="Tahoma" w:cs="Tahoma"/>
          <w:b/>
          <w:sz w:val="20"/>
          <w:szCs w:val="20"/>
        </w:rPr>
        <w:t xml:space="preserve">ПОРЯДОК ФОРМИРОВАНИЯ ПРОЦЕНТНЫХ СТАВОК ПО ИПОТЕЧНОМУ КРЕДИТУ ПО ТАРИФНОМУ ПЛАНУ </w:t>
      </w:r>
    </w:p>
    <w:p w14:paraId="4BE1D3D4" w14:textId="77777777" w:rsidR="00951A61" w:rsidRPr="000107B6" w:rsidRDefault="00951A61" w:rsidP="00951A61">
      <w:pPr>
        <w:jc w:val="center"/>
        <w:rPr>
          <w:rFonts w:ascii="Tahoma" w:hAnsi="Tahoma" w:cs="Tahoma"/>
          <w:b/>
          <w:sz w:val="20"/>
          <w:szCs w:val="20"/>
        </w:rPr>
      </w:pPr>
      <w:r w:rsidRPr="000107B6">
        <w:rPr>
          <w:rFonts w:ascii="Tahoma" w:hAnsi="Tahoma" w:cs="Tahoma"/>
          <w:b/>
          <w:sz w:val="20"/>
          <w:szCs w:val="20"/>
        </w:rPr>
        <w:t>«РЕФИНАНСИРОВАНИЕ»:</w:t>
      </w:r>
    </w:p>
    <w:p w14:paraId="31883838" w14:textId="77777777" w:rsidR="00951A61" w:rsidRPr="000107B6" w:rsidRDefault="00951A61" w:rsidP="00951A61">
      <w:pPr>
        <w:jc w:val="center"/>
        <w:rPr>
          <w:rFonts w:ascii="Tahoma" w:hAnsi="Tahoma" w:cs="Tahoma"/>
          <w:b/>
          <w:sz w:val="18"/>
          <w:szCs w:val="18"/>
        </w:rPr>
      </w:pPr>
    </w:p>
    <w:tbl>
      <w:tblPr>
        <w:tblStyle w:val="aff0"/>
        <w:tblW w:w="5000" w:type="pct"/>
        <w:tblLook w:val="04A0" w:firstRow="1" w:lastRow="0" w:firstColumn="1" w:lastColumn="0" w:noHBand="0" w:noVBand="1"/>
      </w:tblPr>
      <w:tblGrid>
        <w:gridCol w:w="1039"/>
        <w:gridCol w:w="10998"/>
        <w:gridCol w:w="3657"/>
      </w:tblGrid>
      <w:tr w:rsidR="00951A61" w:rsidRPr="000107B6" w14:paraId="5F375655" w14:textId="77777777" w:rsidTr="00A4032F">
        <w:trPr>
          <w:trHeight w:val="402"/>
        </w:trPr>
        <w:tc>
          <w:tcPr>
            <w:tcW w:w="331" w:type="pct"/>
          </w:tcPr>
          <w:p w14:paraId="51E18BC4" w14:textId="77777777" w:rsidR="00951A61" w:rsidRPr="000107B6" w:rsidRDefault="00951A61" w:rsidP="00A4032F">
            <w:pPr>
              <w:pStyle w:val="affe"/>
              <w:ind w:left="0"/>
              <w:rPr>
                <w:rFonts w:ascii="Tahoma" w:hAnsi="Tahoma" w:cs="Tahoma"/>
                <w:b/>
                <w:sz w:val="20"/>
                <w:szCs w:val="20"/>
              </w:rPr>
            </w:pPr>
            <w:r w:rsidRPr="000107B6">
              <w:rPr>
                <w:rFonts w:ascii="Tahoma" w:hAnsi="Tahoma" w:cs="Tahoma"/>
                <w:b/>
                <w:sz w:val="20"/>
                <w:szCs w:val="20"/>
              </w:rPr>
              <w:t>№ п/п</w:t>
            </w:r>
          </w:p>
        </w:tc>
        <w:tc>
          <w:tcPr>
            <w:tcW w:w="3504" w:type="pct"/>
          </w:tcPr>
          <w:p w14:paraId="54BBCCB9" w14:textId="77777777" w:rsidR="00951A61" w:rsidRPr="000107B6" w:rsidRDefault="00951A61" w:rsidP="00A4032F">
            <w:pPr>
              <w:pStyle w:val="affe"/>
              <w:ind w:left="0"/>
              <w:jc w:val="center"/>
              <w:rPr>
                <w:rFonts w:ascii="Tahoma" w:hAnsi="Tahoma" w:cs="Tahoma"/>
                <w:b/>
                <w:sz w:val="20"/>
                <w:szCs w:val="20"/>
              </w:rPr>
            </w:pPr>
            <w:r w:rsidRPr="000107B6">
              <w:rPr>
                <w:rFonts w:ascii="Tahoma" w:hAnsi="Tahoma" w:cs="Tahoma"/>
                <w:b/>
                <w:sz w:val="20"/>
                <w:szCs w:val="20"/>
              </w:rPr>
              <w:t>Наименование параметра</w:t>
            </w:r>
          </w:p>
        </w:tc>
        <w:tc>
          <w:tcPr>
            <w:tcW w:w="1165" w:type="pct"/>
          </w:tcPr>
          <w:p w14:paraId="43A9ABF9" w14:textId="77777777" w:rsidR="00951A61" w:rsidRPr="000107B6" w:rsidRDefault="00951A61" w:rsidP="00A4032F">
            <w:pPr>
              <w:pStyle w:val="affe"/>
              <w:ind w:left="0"/>
              <w:jc w:val="center"/>
              <w:rPr>
                <w:rFonts w:ascii="Tahoma" w:hAnsi="Tahoma" w:cs="Tahoma"/>
                <w:b/>
                <w:sz w:val="20"/>
                <w:szCs w:val="20"/>
              </w:rPr>
            </w:pPr>
            <w:r w:rsidRPr="000107B6">
              <w:rPr>
                <w:rFonts w:ascii="Tahoma" w:hAnsi="Tahoma" w:cs="Tahoma"/>
                <w:b/>
                <w:sz w:val="20"/>
                <w:szCs w:val="20"/>
              </w:rPr>
              <w:t>Значение, в процентных пунктах</w:t>
            </w:r>
          </w:p>
        </w:tc>
      </w:tr>
      <w:tr w:rsidR="00951A61" w:rsidRPr="000107B6" w14:paraId="0BC71BF4" w14:textId="77777777" w:rsidTr="00A4032F">
        <w:trPr>
          <w:trHeight w:val="235"/>
        </w:trPr>
        <w:tc>
          <w:tcPr>
            <w:tcW w:w="331" w:type="pct"/>
            <w:vAlign w:val="center"/>
          </w:tcPr>
          <w:p w14:paraId="68F7E3C7" w14:textId="77777777" w:rsidR="00951A61" w:rsidRPr="000107B6" w:rsidRDefault="00951A61" w:rsidP="00A4032F">
            <w:pPr>
              <w:pStyle w:val="affe"/>
              <w:ind w:left="0"/>
              <w:rPr>
                <w:rFonts w:ascii="Tahoma" w:hAnsi="Tahoma" w:cs="Tahoma"/>
                <w:b/>
                <w:sz w:val="20"/>
                <w:szCs w:val="20"/>
              </w:rPr>
            </w:pPr>
            <w:r w:rsidRPr="000107B6">
              <w:rPr>
                <w:rFonts w:ascii="Tahoma" w:hAnsi="Tahoma" w:cs="Tahoma"/>
                <w:b/>
                <w:sz w:val="20"/>
                <w:szCs w:val="20"/>
              </w:rPr>
              <w:t>1.</w:t>
            </w:r>
          </w:p>
        </w:tc>
        <w:tc>
          <w:tcPr>
            <w:tcW w:w="3504" w:type="pct"/>
            <w:vAlign w:val="center"/>
          </w:tcPr>
          <w:p w14:paraId="08EA2E86" w14:textId="77777777" w:rsidR="00951A61" w:rsidRPr="000107B6" w:rsidRDefault="00951A61" w:rsidP="00A4032F">
            <w:pPr>
              <w:pStyle w:val="affe"/>
              <w:ind w:left="0"/>
              <w:jc w:val="center"/>
              <w:rPr>
                <w:rFonts w:ascii="Tahoma" w:hAnsi="Tahoma" w:cs="Tahoma"/>
                <w:b/>
                <w:sz w:val="20"/>
                <w:szCs w:val="20"/>
              </w:rPr>
            </w:pPr>
            <w:r w:rsidRPr="000107B6">
              <w:rPr>
                <w:rFonts w:ascii="Tahoma" w:hAnsi="Tahoma" w:cs="Tahoma"/>
                <w:b/>
                <w:sz w:val="20"/>
                <w:szCs w:val="20"/>
              </w:rPr>
              <w:t>БАЗОВАЯ СТАВКА</w:t>
            </w:r>
            <w:r w:rsidRPr="000107B6">
              <w:rPr>
                <w:rStyle w:val="aff3"/>
                <w:rFonts w:ascii="Tahoma" w:hAnsi="Tahoma"/>
                <w:b/>
                <w:sz w:val="20"/>
                <w:szCs w:val="20"/>
              </w:rPr>
              <w:footnoteReference w:id="81"/>
            </w:r>
            <w:r w:rsidRPr="000107B6">
              <w:rPr>
                <w:rFonts w:ascii="Tahoma" w:hAnsi="Tahoma" w:cs="Tahoma"/>
                <w:b/>
                <w:sz w:val="20"/>
                <w:szCs w:val="20"/>
              </w:rPr>
              <w:t>:</w:t>
            </w:r>
          </w:p>
        </w:tc>
        <w:tc>
          <w:tcPr>
            <w:tcW w:w="1165" w:type="pct"/>
            <w:vAlign w:val="center"/>
          </w:tcPr>
          <w:p w14:paraId="1B078D5E" w14:textId="77777777" w:rsidR="00951A61" w:rsidRPr="000107B6" w:rsidRDefault="00951A61" w:rsidP="00A4032F">
            <w:pPr>
              <w:pStyle w:val="affe"/>
              <w:ind w:left="0"/>
              <w:jc w:val="center"/>
              <w:rPr>
                <w:rFonts w:ascii="Tahoma" w:hAnsi="Tahoma" w:cs="Tahoma"/>
                <w:b/>
                <w:sz w:val="20"/>
                <w:szCs w:val="20"/>
              </w:rPr>
            </w:pPr>
            <w:r w:rsidRPr="0023145E">
              <w:rPr>
                <w:rFonts w:ascii="Tahoma" w:hAnsi="Tahoma" w:cs="Tahoma"/>
                <w:sz w:val="20"/>
                <w:szCs w:val="20"/>
              </w:rPr>
              <w:t>24,00 % годовых</w:t>
            </w:r>
          </w:p>
        </w:tc>
      </w:tr>
      <w:tr w:rsidR="00951A61" w:rsidRPr="000107B6" w14:paraId="343B0DEA" w14:textId="77777777" w:rsidTr="00A4032F">
        <w:trPr>
          <w:trHeight w:val="235"/>
        </w:trPr>
        <w:tc>
          <w:tcPr>
            <w:tcW w:w="331" w:type="pct"/>
          </w:tcPr>
          <w:p w14:paraId="70881A15" w14:textId="77777777" w:rsidR="00951A61" w:rsidRPr="000107B6" w:rsidRDefault="00951A61" w:rsidP="00A4032F">
            <w:pPr>
              <w:pStyle w:val="affe"/>
              <w:ind w:left="0"/>
              <w:rPr>
                <w:rFonts w:ascii="Tahoma" w:hAnsi="Tahoma" w:cs="Tahoma"/>
                <w:b/>
                <w:sz w:val="20"/>
                <w:szCs w:val="20"/>
              </w:rPr>
            </w:pPr>
            <w:r w:rsidRPr="000107B6">
              <w:rPr>
                <w:rFonts w:ascii="Tahoma" w:hAnsi="Tahoma" w:cs="Tahoma"/>
                <w:b/>
                <w:sz w:val="20"/>
                <w:szCs w:val="20"/>
              </w:rPr>
              <w:t>2.</w:t>
            </w:r>
          </w:p>
        </w:tc>
        <w:tc>
          <w:tcPr>
            <w:tcW w:w="3504" w:type="pct"/>
          </w:tcPr>
          <w:p w14:paraId="305D8B8B" w14:textId="77777777" w:rsidR="00951A61" w:rsidRPr="000107B6" w:rsidRDefault="00951A61" w:rsidP="00A4032F">
            <w:pPr>
              <w:pStyle w:val="affe"/>
              <w:ind w:left="0"/>
              <w:jc w:val="center"/>
              <w:rPr>
                <w:rFonts w:ascii="Tahoma" w:hAnsi="Tahoma" w:cs="Tahoma"/>
                <w:b/>
                <w:sz w:val="20"/>
                <w:szCs w:val="20"/>
              </w:rPr>
            </w:pPr>
            <w:r w:rsidRPr="000107B6">
              <w:rPr>
                <w:rFonts w:ascii="Tahoma" w:hAnsi="Tahoma" w:cs="Tahoma"/>
                <w:b/>
                <w:sz w:val="20"/>
                <w:szCs w:val="20"/>
              </w:rPr>
              <w:t>ДИСКОНТЫ:</w:t>
            </w:r>
            <w:r w:rsidRPr="000107B6">
              <w:rPr>
                <w:rStyle w:val="aff3"/>
                <w:rFonts w:ascii="Tahoma" w:hAnsi="Tahoma" w:cs="Tahoma"/>
                <w:sz w:val="20"/>
                <w:szCs w:val="20"/>
              </w:rPr>
              <w:footnoteReference w:id="82"/>
            </w:r>
          </w:p>
        </w:tc>
        <w:tc>
          <w:tcPr>
            <w:tcW w:w="1165" w:type="pct"/>
          </w:tcPr>
          <w:p w14:paraId="0FBF2D57" w14:textId="77777777" w:rsidR="00951A61" w:rsidRPr="000107B6" w:rsidRDefault="00951A61" w:rsidP="00A4032F">
            <w:pPr>
              <w:pStyle w:val="affe"/>
              <w:ind w:left="0"/>
              <w:jc w:val="center"/>
              <w:rPr>
                <w:rFonts w:ascii="Tahoma" w:hAnsi="Tahoma" w:cs="Tahoma"/>
                <w:b/>
                <w:sz w:val="20"/>
                <w:szCs w:val="20"/>
              </w:rPr>
            </w:pPr>
          </w:p>
        </w:tc>
      </w:tr>
      <w:tr w:rsidR="00951A61" w:rsidRPr="000107B6" w14:paraId="7D18159E" w14:textId="77777777" w:rsidTr="00A4032F">
        <w:trPr>
          <w:trHeight w:val="235"/>
        </w:trPr>
        <w:tc>
          <w:tcPr>
            <w:tcW w:w="331" w:type="pct"/>
          </w:tcPr>
          <w:p w14:paraId="5891A365" w14:textId="77777777" w:rsidR="00951A61" w:rsidRPr="000107B6" w:rsidRDefault="00951A61" w:rsidP="00A4032F">
            <w:pPr>
              <w:pStyle w:val="affe"/>
              <w:ind w:left="0"/>
              <w:rPr>
                <w:rFonts w:ascii="Tahoma" w:hAnsi="Tahoma" w:cs="Tahoma"/>
                <w:sz w:val="20"/>
                <w:szCs w:val="20"/>
              </w:rPr>
            </w:pPr>
            <w:r w:rsidRPr="000107B6">
              <w:rPr>
                <w:rFonts w:ascii="Tahoma" w:hAnsi="Tahoma" w:cs="Tahoma"/>
                <w:sz w:val="20"/>
                <w:szCs w:val="20"/>
              </w:rPr>
              <w:t>2.1.</w:t>
            </w:r>
          </w:p>
        </w:tc>
        <w:tc>
          <w:tcPr>
            <w:tcW w:w="3504" w:type="pct"/>
          </w:tcPr>
          <w:p w14:paraId="66364E47" w14:textId="77777777" w:rsidR="00951A61" w:rsidRPr="00850F66" w:rsidRDefault="00951A61" w:rsidP="00A4032F">
            <w:pPr>
              <w:pStyle w:val="affe"/>
              <w:ind w:left="0"/>
              <w:jc w:val="both"/>
              <w:rPr>
                <w:rFonts w:ascii="Tahoma" w:hAnsi="Tahoma" w:cs="Tahoma"/>
                <w:b/>
                <w:sz w:val="20"/>
                <w:szCs w:val="20"/>
              </w:rPr>
            </w:pPr>
            <w:r w:rsidRPr="00850F66">
              <w:rPr>
                <w:rFonts w:ascii="Tahoma" w:hAnsi="Tahoma" w:cs="Tahoma"/>
                <w:sz w:val="20"/>
                <w:szCs w:val="20"/>
              </w:rPr>
              <w:t>Заемщик является работником Банка</w:t>
            </w:r>
            <w:r w:rsidRPr="00850F66">
              <w:rPr>
                <w:rStyle w:val="aff3"/>
                <w:rFonts w:ascii="Tahoma" w:hAnsi="Tahoma" w:cs="Tahoma"/>
                <w:sz w:val="20"/>
                <w:szCs w:val="20"/>
              </w:rPr>
              <w:footnoteReference w:id="83"/>
            </w:r>
            <w:r w:rsidRPr="00850F66">
              <w:rPr>
                <w:rFonts w:ascii="Tahoma" w:hAnsi="Tahoma" w:cs="Tahoma"/>
                <w:sz w:val="20"/>
                <w:szCs w:val="20"/>
              </w:rPr>
              <w:t>.</w:t>
            </w:r>
          </w:p>
        </w:tc>
        <w:tc>
          <w:tcPr>
            <w:tcW w:w="1165" w:type="pct"/>
          </w:tcPr>
          <w:p w14:paraId="4C65EBE9" w14:textId="77777777" w:rsidR="00951A61" w:rsidRPr="00AC7083" w:rsidRDefault="00951A61" w:rsidP="00A4032F">
            <w:pPr>
              <w:pStyle w:val="affe"/>
              <w:ind w:left="0"/>
              <w:jc w:val="center"/>
              <w:rPr>
                <w:rFonts w:ascii="Tahoma" w:hAnsi="Tahoma" w:cs="Tahoma"/>
                <w:b/>
                <w:sz w:val="20"/>
                <w:szCs w:val="20"/>
              </w:rPr>
            </w:pPr>
            <w:r w:rsidRPr="00AC7083">
              <w:rPr>
                <w:rFonts w:ascii="Tahoma" w:hAnsi="Tahoma" w:cs="Tahoma"/>
                <w:sz w:val="20"/>
                <w:szCs w:val="20"/>
              </w:rPr>
              <w:t>минус 0,</w:t>
            </w:r>
            <w:r>
              <w:rPr>
                <w:rFonts w:ascii="Tahoma" w:hAnsi="Tahoma" w:cs="Tahoma"/>
                <w:sz w:val="20"/>
                <w:szCs w:val="20"/>
              </w:rPr>
              <w:t>50</w:t>
            </w:r>
          </w:p>
        </w:tc>
      </w:tr>
      <w:tr w:rsidR="00951A61" w:rsidRPr="000107B6" w14:paraId="68DAF18E" w14:textId="77777777" w:rsidTr="00A4032F">
        <w:trPr>
          <w:trHeight w:val="93"/>
        </w:trPr>
        <w:tc>
          <w:tcPr>
            <w:tcW w:w="331" w:type="pct"/>
          </w:tcPr>
          <w:p w14:paraId="200255A5" w14:textId="77777777" w:rsidR="00951A61" w:rsidRPr="000107B6" w:rsidRDefault="00951A61" w:rsidP="00A4032F">
            <w:pPr>
              <w:pStyle w:val="affe"/>
              <w:ind w:left="0"/>
              <w:rPr>
                <w:rFonts w:ascii="Tahoma" w:hAnsi="Tahoma" w:cs="Tahoma"/>
                <w:sz w:val="20"/>
                <w:szCs w:val="20"/>
              </w:rPr>
            </w:pPr>
            <w:r w:rsidRPr="000107B6">
              <w:rPr>
                <w:rFonts w:ascii="Tahoma" w:hAnsi="Tahoma" w:cs="Tahoma"/>
                <w:sz w:val="20"/>
                <w:szCs w:val="20"/>
              </w:rPr>
              <w:t>2.</w:t>
            </w:r>
            <w:r>
              <w:rPr>
                <w:rFonts w:ascii="Tahoma" w:hAnsi="Tahoma" w:cs="Tahoma"/>
                <w:sz w:val="20"/>
                <w:szCs w:val="20"/>
              </w:rPr>
              <w:t>2</w:t>
            </w:r>
            <w:r w:rsidRPr="000107B6">
              <w:rPr>
                <w:rFonts w:ascii="Tahoma" w:hAnsi="Tahoma" w:cs="Tahoma"/>
                <w:sz w:val="20"/>
                <w:szCs w:val="20"/>
              </w:rPr>
              <w:t>.</w:t>
            </w:r>
          </w:p>
        </w:tc>
        <w:tc>
          <w:tcPr>
            <w:tcW w:w="3504" w:type="pct"/>
            <w:vAlign w:val="center"/>
          </w:tcPr>
          <w:p w14:paraId="149C6F8A" w14:textId="77777777" w:rsidR="00951A61" w:rsidRPr="00850F66" w:rsidRDefault="00951A61" w:rsidP="00A4032F">
            <w:pPr>
              <w:pStyle w:val="affe"/>
              <w:ind w:left="0"/>
              <w:jc w:val="both"/>
              <w:rPr>
                <w:rFonts w:ascii="Tahoma" w:hAnsi="Tahoma" w:cs="Tahoma"/>
                <w:sz w:val="20"/>
                <w:szCs w:val="20"/>
              </w:rPr>
            </w:pPr>
            <w:r w:rsidRPr="00850F66">
              <w:rPr>
                <w:rFonts w:ascii="Tahoma" w:hAnsi="Tahoma" w:cs="Tahoma"/>
                <w:sz w:val="20"/>
                <w:szCs w:val="20"/>
              </w:rPr>
              <w:t>Заемщик является клиентом партнеров Банка, оказывающих риэлторские услуги</w:t>
            </w:r>
            <w:r w:rsidRPr="00850F66">
              <w:rPr>
                <w:rStyle w:val="aff3"/>
                <w:rFonts w:ascii="Tahoma" w:hAnsi="Tahoma" w:cs="Tahoma"/>
                <w:sz w:val="20"/>
                <w:szCs w:val="20"/>
              </w:rPr>
              <w:footnoteReference w:id="84"/>
            </w:r>
          </w:p>
        </w:tc>
        <w:tc>
          <w:tcPr>
            <w:tcW w:w="1165" w:type="pct"/>
            <w:vAlign w:val="center"/>
          </w:tcPr>
          <w:p w14:paraId="506FB761" w14:textId="77777777" w:rsidR="00951A61" w:rsidRPr="00AC7083" w:rsidRDefault="00951A61" w:rsidP="00A4032F">
            <w:pPr>
              <w:pStyle w:val="affe"/>
              <w:ind w:left="0"/>
              <w:jc w:val="center"/>
              <w:rPr>
                <w:rFonts w:ascii="Tahoma" w:hAnsi="Tahoma" w:cs="Tahoma"/>
                <w:sz w:val="20"/>
                <w:szCs w:val="20"/>
              </w:rPr>
            </w:pPr>
            <w:r w:rsidRPr="00AC7083">
              <w:rPr>
                <w:rFonts w:ascii="Tahoma" w:hAnsi="Tahoma" w:cs="Tahoma"/>
                <w:sz w:val="20"/>
                <w:szCs w:val="20"/>
              </w:rPr>
              <w:t>минус 0,20</w:t>
            </w:r>
          </w:p>
        </w:tc>
      </w:tr>
      <w:tr w:rsidR="00951A61" w:rsidRPr="000107B6" w14:paraId="323864F7" w14:textId="77777777" w:rsidTr="00A4032F">
        <w:trPr>
          <w:trHeight w:val="93"/>
        </w:trPr>
        <w:tc>
          <w:tcPr>
            <w:tcW w:w="331" w:type="pct"/>
          </w:tcPr>
          <w:p w14:paraId="3271D550" w14:textId="77777777" w:rsidR="00951A61" w:rsidRPr="000107B6" w:rsidRDefault="00951A61" w:rsidP="00A4032F">
            <w:pPr>
              <w:pStyle w:val="affe"/>
              <w:ind w:left="0"/>
              <w:rPr>
                <w:rFonts w:ascii="Tahoma" w:hAnsi="Tahoma" w:cs="Tahoma"/>
                <w:sz w:val="20"/>
                <w:szCs w:val="20"/>
              </w:rPr>
            </w:pPr>
            <w:r>
              <w:rPr>
                <w:rFonts w:ascii="Tahoma" w:hAnsi="Tahoma" w:cs="Tahoma"/>
                <w:sz w:val="20"/>
                <w:szCs w:val="20"/>
              </w:rPr>
              <w:t>2.3.</w:t>
            </w:r>
          </w:p>
        </w:tc>
        <w:tc>
          <w:tcPr>
            <w:tcW w:w="3504" w:type="pct"/>
            <w:vAlign w:val="center"/>
          </w:tcPr>
          <w:p w14:paraId="54113A26" w14:textId="77777777" w:rsidR="00951A61" w:rsidRPr="00850F66" w:rsidRDefault="00951A61" w:rsidP="00A4032F">
            <w:pPr>
              <w:pStyle w:val="affe"/>
              <w:ind w:left="0"/>
              <w:jc w:val="both"/>
              <w:rPr>
                <w:rFonts w:ascii="Tahoma" w:hAnsi="Tahoma" w:cs="Tahoma"/>
                <w:sz w:val="20"/>
                <w:szCs w:val="20"/>
              </w:rPr>
            </w:pPr>
            <w:r w:rsidRPr="00850F66">
              <w:rPr>
                <w:rFonts w:ascii="Tahoma" w:hAnsi="Tahoma" w:cs="Tahoma"/>
                <w:sz w:val="20"/>
                <w:szCs w:val="20"/>
              </w:rPr>
              <w:t>В случае проведения сделки с услугой электронной регистрации</w:t>
            </w:r>
            <w:r w:rsidRPr="00850F66">
              <w:rPr>
                <w:rStyle w:val="aff3"/>
                <w:rFonts w:ascii="Tahoma" w:hAnsi="Tahoma" w:cs="Tahoma"/>
                <w:sz w:val="20"/>
                <w:szCs w:val="20"/>
              </w:rPr>
              <w:footnoteReference w:id="85"/>
            </w:r>
            <w:r w:rsidRPr="00850F66">
              <w:rPr>
                <w:rFonts w:ascii="Tahoma" w:hAnsi="Tahoma" w:cs="Tahoma"/>
                <w:sz w:val="20"/>
                <w:szCs w:val="20"/>
              </w:rPr>
              <w:t>.</w:t>
            </w:r>
          </w:p>
        </w:tc>
        <w:tc>
          <w:tcPr>
            <w:tcW w:w="1165" w:type="pct"/>
            <w:vAlign w:val="center"/>
          </w:tcPr>
          <w:p w14:paraId="33F0A6B6" w14:textId="77777777" w:rsidR="00951A61" w:rsidRPr="00AC7083" w:rsidRDefault="00951A61" w:rsidP="00A4032F">
            <w:pPr>
              <w:pStyle w:val="affe"/>
              <w:ind w:left="0"/>
              <w:jc w:val="center"/>
              <w:rPr>
                <w:rFonts w:ascii="Tahoma" w:hAnsi="Tahoma" w:cs="Tahoma"/>
                <w:sz w:val="20"/>
                <w:szCs w:val="20"/>
              </w:rPr>
            </w:pPr>
            <w:r w:rsidRPr="00AC7083">
              <w:rPr>
                <w:rFonts w:ascii="Tahoma" w:hAnsi="Tahoma" w:cs="Tahoma"/>
                <w:sz w:val="20"/>
                <w:szCs w:val="20"/>
              </w:rPr>
              <w:t>минус 0,20</w:t>
            </w:r>
          </w:p>
        </w:tc>
      </w:tr>
      <w:tr w:rsidR="00951A61" w:rsidRPr="000107B6" w14:paraId="6A5EB270" w14:textId="77777777" w:rsidTr="00A4032F">
        <w:trPr>
          <w:trHeight w:val="189"/>
        </w:trPr>
        <w:tc>
          <w:tcPr>
            <w:tcW w:w="331" w:type="pct"/>
          </w:tcPr>
          <w:p w14:paraId="38863132" w14:textId="77777777" w:rsidR="00951A61" w:rsidRPr="000107B6" w:rsidRDefault="00951A61" w:rsidP="00A4032F">
            <w:pPr>
              <w:pStyle w:val="affe"/>
              <w:ind w:left="0"/>
              <w:rPr>
                <w:rFonts w:ascii="Tahoma" w:hAnsi="Tahoma" w:cs="Tahoma"/>
                <w:sz w:val="20"/>
                <w:szCs w:val="20"/>
              </w:rPr>
            </w:pPr>
            <w:r w:rsidRPr="000107B6">
              <w:rPr>
                <w:rFonts w:ascii="Tahoma" w:hAnsi="Tahoma" w:cs="Tahoma"/>
                <w:b/>
                <w:sz w:val="20"/>
                <w:szCs w:val="20"/>
              </w:rPr>
              <w:t>3.</w:t>
            </w:r>
          </w:p>
        </w:tc>
        <w:tc>
          <w:tcPr>
            <w:tcW w:w="3504" w:type="pct"/>
          </w:tcPr>
          <w:p w14:paraId="0F1A205C" w14:textId="77777777" w:rsidR="00951A61" w:rsidRPr="00850F66" w:rsidRDefault="00951A61" w:rsidP="00A4032F">
            <w:pPr>
              <w:jc w:val="center"/>
              <w:rPr>
                <w:rFonts w:ascii="Tahoma" w:hAnsi="Tahoma" w:cs="Tahoma"/>
                <w:sz w:val="20"/>
                <w:szCs w:val="20"/>
              </w:rPr>
            </w:pPr>
            <w:r w:rsidRPr="00850F66">
              <w:rPr>
                <w:rFonts w:ascii="Tahoma" w:hAnsi="Tahoma" w:cs="Tahoma"/>
                <w:b/>
                <w:sz w:val="20"/>
                <w:szCs w:val="20"/>
              </w:rPr>
              <w:t>НАДБАВКИ</w:t>
            </w:r>
            <w:r w:rsidRPr="00850F66">
              <w:rPr>
                <w:rStyle w:val="aff3"/>
                <w:rFonts w:ascii="Tahoma" w:hAnsi="Tahoma" w:cs="Tahoma"/>
                <w:b/>
                <w:sz w:val="20"/>
                <w:szCs w:val="20"/>
              </w:rPr>
              <w:footnoteReference w:id="86"/>
            </w:r>
            <w:r w:rsidRPr="00850F66">
              <w:rPr>
                <w:rFonts w:ascii="Tahoma" w:hAnsi="Tahoma" w:cs="Tahoma"/>
                <w:b/>
                <w:sz w:val="20"/>
                <w:szCs w:val="20"/>
              </w:rPr>
              <w:t>:</w:t>
            </w:r>
          </w:p>
        </w:tc>
        <w:tc>
          <w:tcPr>
            <w:tcW w:w="1165" w:type="pct"/>
            <w:vAlign w:val="center"/>
          </w:tcPr>
          <w:p w14:paraId="7858310D" w14:textId="77777777" w:rsidR="00951A61" w:rsidRPr="00AC7083" w:rsidRDefault="00951A61" w:rsidP="00A4032F">
            <w:pPr>
              <w:pStyle w:val="affe"/>
              <w:ind w:left="0"/>
              <w:jc w:val="center"/>
              <w:rPr>
                <w:rFonts w:ascii="Tahoma" w:hAnsi="Tahoma" w:cs="Tahoma"/>
                <w:sz w:val="20"/>
                <w:szCs w:val="20"/>
              </w:rPr>
            </w:pPr>
          </w:p>
        </w:tc>
      </w:tr>
      <w:tr w:rsidR="00951A61" w:rsidRPr="000107B6" w14:paraId="1D3C3BF9" w14:textId="77777777" w:rsidTr="00A4032F">
        <w:trPr>
          <w:trHeight w:val="235"/>
        </w:trPr>
        <w:tc>
          <w:tcPr>
            <w:tcW w:w="331" w:type="pct"/>
          </w:tcPr>
          <w:p w14:paraId="4DF0501F" w14:textId="77777777" w:rsidR="00951A61" w:rsidRPr="000107B6" w:rsidRDefault="00951A61" w:rsidP="00A4032F">
            <w:pPr>
              <w:pStyle w:val="affe"/>
              <w:ind w:left="0"/>
              <w:rPr>
                <w:rFonts w:ascii="Tahoma" w:hAnsi="Tahoma" w:cs="Tahoma"/>
                <w:sz w:val="20"/>
                <w:szCs w:val="20"/>
              </w:rPr>
            </w:pPr>
            <w:r w:rsidRPr="000107B6">
              <w:rPr>
                <w:rFonts w:ascii="Tahoma" w:hAnsi="Tahoma" w:cs="Tahoma"/>
                <w:sz w:val="20"/>
                <w:szCs w:val="20"/>
              </w:rPr>
              <w:t>3.</w:t>
            </w:r>
            <w:r>
              <w:rPr>
                <w:rFonts w:ascii="Tahoma" w:hAnsi="Tahoma" w:cs="Tahoma"/>
                <w:sz w:val="20"/>
                <w:szCs w:val="20"/>
              </w:rPr>
              <w:t>1</w:t>
            </w:r>
            <w:r w:rsidRPr="000107B6">
              <w:rPr>
                <w:rFonts w:ascii="Tahoma" w:hAnsi="Tahoma" w:cs="Tahoma"/>
                <w:sz w:val="20"/>
                <w:szCs w:val="20"/>
              </w:rPr>
              <w:t>.</w:t>
            </w:r>
          </w:p>
        </w:tc>
        <w:tc>
          <w:tcPr>
            <w:tcW w:w="3504" w:type="pct"/>
            <w:vAlign w:val="center"/>
          </w:tcPr>
          <w:p w14:paraId="173EA283" w14:textId="77777777" w:rsidR="00951A61" w:rsidRPr="00AC7083" w:rsidRDefault="00951A61" w:rsidP="00A4032F">
            <w:pPr>
              <w:pStyle w:val="affe"/>
              <w:ind w:left="0"/>
              <w:jc w:val="both"/>
              <w:rPr>
                <w:rFonts w:ascii="Tahoma" w:hAnsi="Tahoma" w:cs="Tahoma"/>
                <w:sz w:val="20"/>
                <w:szCs w:val="20"/>
              </w:rPr>
            </w:pPr>
            <w:r w:rsidRPr="00AC7083">
              <w:rPr>
                <w:rFonts w:ascii="Tahoma" w:hAnsi="Tahoma" w:cs="Tahoma"/>
                <w:sz w:val="20"/>
                <w:szCs w:val="20"/>
              </w:rPr>
              <w:t>В случае если клиент, не относится к категории Заемщиков с официально подтвержденным доходом</w:t>
            </w:r>
            <w:r w:rsidRPr="00AC7083">
              <w:rPr>
                <w:rStyle w:val="aff3"/>
                <w:rFonts w:ascii="Tahoma" w:hAnsi="Tahoma"/>
                <w:sz w:val="20"/>
                <w:szCs w:val="20"/>
              </w:rPr>
              <w:footnoteReference w:id="87"/>
            </w:r>
            <w:r w:rsidRPr="00AC7083">
              <w:rPr>
                <w:rFonts w:ascii="Tahoma" w:hAnsi="Tahoma" w:cs="Tahoma"/>
                <w:sz w:val="20"/>
                <w:szCs w:val="20"/>
              </w:rPr>
              <w:t>.</w:t>
            </w:r>
          </w:p>
        </w:tc>
        <w:tc>
          <w:tcPr>
            <w:tcW w:w="1165" w:type="pct"/>
            <w:vAlign w:val="center"/>
          </w:tcPr>
          <w:p w14:paraId="58ED289F" w14:textId="77777777" w:rsidR="00951A61" w:rsidRPr="00EF029B" w:rsidRDefault="00951A61" w:rsidP="00A4032F">
            <w:pPr>
              <w:pStyle w:val="affe"/>
              <w:ind w:left="0"/>
              <w:jc w:val="center"/>
              <w:rPr>
                <w:rFonts w:ascii="Tahoma" w:hAnsi="Tahoma" w:cs="Tahoma"/>
                <w:sz w:val="20"/>
                <w:szCs w:val="20"/>
              </w:rPr>
            </w:pPr>
            <w:r w:rsidRPr="003C621A">
              <w:rPr>
                <w:rFonts w:ascii="Tahoma" w:hAnsi="Tahoma" w:cs="Tahoma"/>
                <w:sz w:val="20"/>
                <w:szCs w:val="20"/>
              </w:rPr>
              <w:t>плюс 0,</w:t>
            </w:r>
            <w:r w:rsidRPr="003C621A" w:rsidDel="00972EA2">
              <w:rPr>
                <w:rFonts w:ascii="Tahoma" w:hAnsi="Tahoma" w:cs="Tahoma"/>
                <w:sz w:val="20"/>
                <w:szCs w:val="20"/>
              </w:rPr>
              <w:t xml:space="preserve"> </w:t>
            </w:r>
            <w:r w:rsidRPr="003C621A">
              <w:rPr>
                <w:rFonts w:ascii="Tahoma" w:hAnsi="Tahoma" w:cs="Tahoma"/>
                <w:sz w:val="20"/>
                <w:szCs w:val="20"/>
              </w:rPr>
              <w:t>50</w:t>
            </w:r>
          </w:p>
        </w:tc>
      </w:tr>
      <w:tr w:rsidR="00951A61" w:rsidRPr="000107B6" w14:paraId="61273169" w14:textId="77777777" w:rsidTr="00A4032F">
        <w:trPr>
          <w:trHeight w:val="1966"/>
        </w:trPr>
        <w:tc>
          <w:tcPr>
            <w:tcW w:w="331" w:type="pct"/>
          </w:tcPr>
          <w:p w14:paraId="2AD57BA0" w14:textId="77777777" w:rsidR="00951A61" w:rsidRPr="000107B6" w:rsidRDefault="00951A61" w:rsidP="00A4032F">
            <w:pPr>
              <w:pStyle w:val="affe"/>
              <w:ind w:left="0"/>
              <w:rPr>
                <w:rFonts w:ascii="Tahoma" w:hAnsi="Tahoma" w:cs="Tahoma"/>
                <w:sz w:val="20"/>
                <w:szCs w:val="20"/>
              </w:rPr>
            </w:pPr>
            <w:r w:rsidRPr="000107B6">
              <w:rPr>
                <w:rFonts w:ascii="Tahoma" w:hAnsi="Tahoma" w:cs="Tahoma"/>
                <w:sz w:val="20"/>
                <w:szCs w:val="20"/>
              </w:rPr>
              <w:t>3.</w:t>
            </w:r>
            <w:r>
              <w:rPr>
                <w:rFonts w:ascii="Tahoma" w:hAnsi="Tahoma" w:cs="Tahoma"/>
                <w:sz w:val="20"/>
                <w:szCs w:val="20"/>
              </w:rPr>
              <w:t>2</w:t>
            </w:r>
            <w:r w:rsidRPr="000107B6">
              <w:rPr>
                <w:rFonts w:ascii="Tahoma" w:hAnsi="Tahoma" w:cs="Tahoma"/>
                <w:sz w:val="20"/>
                <w:szCs w:val="20"/>
              </w:rPr>
              <w:t>.</w:t>
            </w:r>
            <w:r w:rsidRPr="000107B6">
              <w:rPr>
                <w:rStyle w:val="aff3"/>
                <w:rFonts w:ascii="Tahoma" w:hAnsi="Tahoma" w:cs="Tahoma"/>
                <w:sz w:val="20"/>
                <w:szCs w:val="20"/>
              </w:rPr>
              <w:footnoteReference w:id="88"/>
            </w:r>
          </w:p>
        </w:tc>
        <w:tc>
          <w:tcPr>
            <w:tcW w:w="3504" w:type="pct"/>
          </w:tcPr>
          <w:p w14:paraId="5AF47D7E" w14:textId="77777777" w:rsidR="00951A61" w:rsidRPr="00850F66" w:rsidRDefault="00951A61" w:rsidP="00A4032F">
            <w:pPr>
              <w:pStyle w:val="affe"/>
              <w:ind w:left="0"/>
              <w:jc w:val="both"/>
              <w:rPr>
                <w:rFonts w:ascii="Tahoma" w:hAnsi="Tahoma" w:cs="Tahoma"/>
                <w:sz w:val="20"/>
                <w:szCs w:val="20"/>
              </w:rPr>
            </w:pPr>
            <w:r w:rsidRPr="001C7EB1">
              <w:rPr>
                <w:rFonts w:ascii="Tahoma" w:hAnsi="Tahoma" w:cs="Tahoma"/>
                <w:sz w:val="20"/>
                <w:szCs w:val="20"/>
              </w:rPr>
              <w:t xml:space="preserve">В случае отказа Заемщика при заключении </w:t>
            </w:r>
            <w:r>
              <w:rPr>
                <w:rFonts w:ascii="Tahoma" w:hAnsi="Tahoma" w:cs="Tahoma"/>
                <w:sz w:val="20"/>
                <w:szCs w:val="20"/>
              </w:rPr>
              <w:t>К</w:t>
            </w:r>
            <w:r w:rsidRPr="001C7EB1">
              <w:rPr>
                <w:rFonts w:ascii="Tahoma" w:hAnsi="Tahoma" w:cs="Tahoma"/>
                <w:sz w:val="20"/>
                <w:szCs w:val="20"/>
              </w:rPr>
              <w:t xml:space="preserve">редитного договора от </w:t>
            </w:r>
            <w:r w:rsidRPr="005F46F4">
              <w:rPr>
                <w:rFonts w:ascii="Tahoma" w:hAnsi="Tahoma" w:cs="Tahoma"/>
                <w:sz w:val="20"/>
                <w:szCs w:val="20"/>
              </w:rPr>
              <w:t>личного и/или титульного страхования, а также случае отсутствия продления/ расторжения/ прекращения по любым основаниям</w:t>
            </w:r>
            <w:r w:rsidRPr="005F46F4" w:rsidDel="00501BEA">
              <w:rPr>
                <w:rFonts w:ascii="Tahoma" w:hAnsi="Tahoma" w:cs="Tahoma"/>
                <w:sz w:val="20"/>
                <w:szCs w:val="20"/>
              </w:rPr>
              <w:t xml:space="preserve"> </w:t>
            </w:r>
            <w:r w:rsidRPr="005F46F4">
              <w:rPr>
                <w:rFonts w:ascii="Tahoma" w:hAnsi="Tahoma" w:cs="Tahoma"/>
                <w:sz w:val="20"/>
                <w:szCs w:val="20"/>
              </w:rPr>
              <w:t>договоров личного и/или титульного страхования в течение срока действия Кредитного договора, а также отсутствие заключения нового договора страхования в течение 2-х календарных месяцев</w:t>
            </w:r>
            <w:r w:rsidRPr="001C7EB1">
              <w:rPr>
                <w:rFonts w:ascii="Tahoma" w:hAnsi="Tahoma" w:cs="Tahoma"/>
                <w:sz w:val="20"/>
                <w:szCs w:val="20"/>
              </w:rPr>
              <w:t>, со дня истечения срока действия полиса страхования</w:t>
            </w:r>
            <w:r w:rsidRPr="00850F66">
              <w:rPr>
                <w:rFonts w:ascii="Tahoma" w:hAnsi="Tahoma" w:cs="Tahoma"/>
                <w:sz w:val="20"/>
                <w:szCs w:val="20"/>
              </w:rPr>
              <w:t>:</w:t>
            </w:r>
          </w:p>
          <w:p w14:paraId="707F38D7" w14:textId="77777777" w:rsidR="00951A61" w:rsidRPr="00850F66" w:rsidRDefault="00951A61" w:rsidP="00A4032F">
            <w:pPr>
              <w:pStyle w:val="affe"/>
              <w:ind w:left="0"/>
              <w:jc w:val="both"/>
              <w:rPr>
                <w:rFonts w:ascii="Tahoma" w:hAnsi="Tahoma" w:cs="Tahoma"/>
                <w:sz w:val="20"/>
                <w:szCs w:val="20"/>
              </w:rPr>
            </w:pPr>
            <w:r w:rsidRPr="00850F66">
              <w:rPr>
                <w:rFonts w:ascii="Tahoma" w:hAnsi="Tahoma" w:cs="Tahoma"/>
                <w:sz w:val="20"/>
                <w:szCs w:val="20"/>
              </w:rPr>
              <w:t xml:space="preserve">- Личное страхование; </w:t>
            </w:r>
          </w:p>
          <w:p w14:paraId="5BB489CA" w14:textId="77777777" w:rsidR="00951A61" w:rsidRPr="00850F66" w:rsidRDefault="00951A61" w:rsidP="00A4032F">
            <w:pPr>
              <w:pStyle w:val="affe"/>
              <w:ind w:left="0"/>
              <w:jc w:val="both"/>
              <w:rPr>
                <w:rFonts w:ascii="Tahoma" w:hAnsi="Tahoma" w:cs="Tahoma"/>
                <w:sz w:val="20"/>
                <w:szCs w:val="20"/>
              </w:rPr>
            </w:pPr>
            <w:r w:rsidRPr="00850F66">
              <w:rPr>
                <w:rFonts w:ascii="Tahoma" w:hAnsi="Tahoma" w:cs="Tahoma"/>
                <w:sz w:val="20"/>
                <w:szCs w:val="20"/>
              </w:rPr>
              <w:t>- Титульное страхование права собственности на Объект недвижимости (в течение 3 лет с момента оформления права собственности на Объект недвижимости).</w:t>
            </w:r>
          </w:p>
        </w:tc>
        <w:tc>
          <w:tcPr>
            <w:tcW w:w="1165" w:type="pct"/>
            <w:vAlign w:val="center"/>
          </w:tcPr>
          <w:p w14:paraId="3816E3A0" w14:textId="77777777" w:rsidR="00951A61" w:rsidRPr="00AC7083" w:rsidRDefault="00951A61" w:rsidP="00A4032F">
            <w:pPr>
              <w:pStyle w:val="affe"/>
              <w:ind w:left="0"/>
              <w:jc w:val="center"/>
              <w:rPr>
                <w:rFonts w:ascii="Tahoma" w:hAnsi="Tahoma" w:cs="Tahoma"/>
                <w:sz w:val="20"/>
                <w:szCs w:val="20"/>
              </w:rPr>
            </w:pPr>
            <w:r w:rsidRPr="00AC7083">
              <w:rPr>
                <w:rFonts w:ascii="Tahoma" w:hAnsi="Tahoma" w:cs="Tahoma"/>
                <w:sz w:val="20"/>
                <w:szCs w:val="20"/>
              </w:rPr>
              <w:t>плюс 1,00</w:t>
            </w:r>
          </w:p>
        </w:tc>
      </w:tr>
      <w:tr w:rsidR="00951A61" w:rsidRPr="000107B6" w14:paraId="6EB30298" w14:textId="77777777" w:rsidTr="00A4032F">
        <w:trPr>
          <w:trHeight w:val="724"/>
        </w:trPr>
        <w:tc>
          <w:tcPr>
            <w:tcW w:w="331" w:type="pct"/>
          </w:tcPr>
          <w:p w14:paraId="379F8381" w14:textId="77777777" w:rsidR="00951A61" w:rsidRPr="000107B6" w:rsidRDefault="00951A61" w:rsidP="00A4032F">
            <w:pPr>
              <w:pStyle w:val="affe"/>
              <w:ind w:left="0"/>
              <w:rPr>
                <w:rFonts w:ascii="Tahoma" w:hAnsi="Tahoma" w:cs="Tahoma"/>
                <w:sz w:val="20"/>
                <w:szCs w:val="20"/>
              </w:rPr>
            </w:pPr>
            <w:r w:rsidRPr="000107B6">
              <w:rPr>
                <w:rFonts w:ascii="Tahoma" w:hAnsi="Tahoma" w:cs="Tahoma"/>
                <w:sz w:val="20"/>
                <w:szCs w:val="20"/>
              </w:rPr>
              <w:lastRenderedPageBreak/>
              <w:t>3.</w:t>
            </w:r>
            <w:r>
              <w:rPr>
                <w:rFonts w:ascii="Tahoma" w:hAnsi="Tahoma" w:cs="Tahoma"/>
                <w:sz w:val="20"/>
                <w:szCs w:val="20"/>
              </w:rPr>
              <w:t>3</w:t>
            </w:r>
            <w:r w:rsidRPr="000107B6">
              <w:rPr>
                <w:rFonts w:ascii="Tahoma" w:hAnsi="Tahoma" w:cs="Tahoma"/>
                <w:sz w:val="20"/>
                <w:szCs w:val="20"/>
              </w:rPr>
              <w:t>.</w:t>
            </w:r>
            <w:r w:rsidRPr="000107B6">
              <w:rPr>
                <w:rStyle w:val="aff3"/>
                <w:rFonts w:ascii="Tahoma" w:hAnsi="Tahoma"/>
                <w:sz w:val="20"/>
                <w:szCs w:val="20"/>
              </w:rPr>
              <w:footnoteReference w:id="89"/>
            </w:r>
          </w:p>
        </w:tc>
        <w:tc>
          <w:tcPr>
            <w:tcW w:w="3504" w:type="pct"/>
          </w:tcPr>
          <w:p w14:paraId="7D84B716" w14:textId="77777777" w:rsidR="00951A61" w:rsidRPr="005F46F4" w:rsidRDefault="00951A61" w:rsidP="00A4032F">
            <w:pPr>
              <w:pStyle w:val="affe"/>
              <w:ind w:left="0"/>
              <w:jc w:val="both"/>
              <w:rPr>
                <w:rFonts w:ascii="Tahoma" w:hAnsi="Tahoma" w:cs="Tahoma"/>
                <w:sz w:val="20"/>
                <w:szCs w:val="20"/>
              </w:rPr>
            </w:pPr>
            <w:r w:rsidRPr="005F46F4">
              <w:rPr>
                <w:rFonts w:ascii="Tahoma" w:hAnsi="Tahoma" w:cs="Tahoma"/>
                <w:sz w:val="20"/>
                <w:szCs w:val="20"/>
              </w:rPr>
              <w:t>В случае отказа Заемщика при заключении Кредитного договора от имущественного страхования, а также в случае отсутствия продления/ расторжения/ прекращения по любым основаниям договора имущественного страхования в течение срока действия Кредитного договора, а также отсутствие заключения нового договора имущественного страхования в течение 2-х календарных месяцев, со дня истечения срока действия полиса страхования</w:t>
            </w:r>
            <w:r>
              <w:rPr>
                <w:rFonts w:ascii="Tahoma" w:hAnsi="Tahoma" w:cs="Tahoma"/>
                <w:sz w:val="20"/>
                <w:szCs w:val="20"/>
              </w:rPr>
              <w:t>.</w:t>
            </w:r>
          </w:p>
        </w:tc>
        <w:tc>
          <w:tcPr>
            <w:tcW w:w="1165" w:type="pct"/>
            <w:vAlign w:val="center"/>
          </w:tcPr>
          <w:p w14:paraId="6770D547" w14:textId="77777777" w:rsidR="00951A61" w:rsidRPr="00AC7083" w:rsidRDefault="00951A61" w:rsidP="00A4032F">
            <w:pPr>
              <w:pStyle w:val="affe"/>
              <w:ind w:left="0"/>
              <w:jc w:val="center"/>
              <w:rPr>
                <w:rFonts w:ascii="Tahoma" w:hAnsi="Tahoma" w:cs="Tahoma"/>
                <w:sz w:val="20"/>
                <w:szCs w:val="20"/>
              </w:rPr>
            </w:pPr>
            <w:r w:rsidRPr="00AC7083">
              <w:rPr>
                <w:rFonts w:ascii="Tahoma" w:hAnsi="Tahoma" w:cs="Tahoma"/>
                <w:sz w:val="20"/>
                <w:szCs w:val="20"/>
              </w:rPr>
              <w:t xml:space="preserve">плюс </w:t>
            </w:r>
            <w:r w:rsidRPr="00AC7083">
              <w:rPr>
                <w:rFonts w:ascii="Tahoma" w:hAnsi="Tahoma" w:cs="Tahoma"/>
                <w:sz w:val="20"/>
                <w:szCs w:val="20"/>
                <w:lang w:val="en-US"/>
              </w:rPr>
              <w:t>1</w:t>
            </w:r>
            <w:r w:rsidRPr="00AC7083">
              <w:rPr>
                <w:rFonts w:ascii="Tahoma" w:hAnsi="Tahoma" w:cs="Tahoma"/>
                <w:sz w:val="20"/>
                <w:szCs w:val="20"/>
              </w:rPr>
              <w:t>,00</w:t>
            </w:r>
          </w:p>
        </w:tc>
      </w:tr>
      <w:tr w:rsidR="00951A61" w:rsidRPr="000107B6" w14:paraId="174FE3DC" w14:textId="77777777" w:rsidTr="00A4032F">
        <w:trPr>
          <w:trHeight w:val="232"/>
        </w:trPr>
        <w:tc>
          <w:tcPr>
            <w:tcW w:w="331" w:type="pct"/>
          </w:tcPr>
          <w:p w14:paraId="64778072" w14:textId="77777777" w:rsidR="00951A61" w:rsidRPr="000107B6" w:rsidRDefault="00951A61" w:rsidP="00A4032F">
            <w:pPr>
              <w:pStyle w:val="affe"/>
              <w:ind w:left="0"/>
              <w:rPr>
                <w:rFonts w:ascii="Tahoma" w:hAnsi="Tahoma" w:cs="Tahoma"/>
                <w:sz w:val="20"/>
                <w:szCs w:val="20"/>
              </w:rPr>
            </w:pPr>
            <w:r w:rsidRPr="000107B6">
              <w:rPr>
                <w:rFonts w:ascii="Tahoma" w:hAnsi="Tahoma" w:cs="Tahoma"/>
                <w:sz w:val="20"/>
                <w:szCs w:val="20"/>
              </w:rPr>
              <w:t>3.</w:t>
            </w:r>
            <w:r>
              <w:rPr>
                <w:rFonts w:ascii="Tahoma" w:hAnsi="Tahoma" w:cs="Tahoma"/>
                <w:sz w:val="20"/>
                <w:szCs w:val="20"/>
              </w:rPr>
              <w:t>4</w:t>
            </w:r>
            <w:r w:rsidRPr="000107B6">
              <w:rPr>
                <w:rFonts w:ascii="Tahoma" w:hAnsi="Tahoma" w:cs="Tahoma"/>
                <w:sz w:val="20"/>
                <w:szCs w:val="20"/>
              </w:rPr>
              <w:t>.</w:t>
            </w:r>
          </w:p>
        </w:tc>
        <w:tc>
          <w:tcPr>
            <w:tcW w:w="3504" w:type="pct"/>
          </w:tcPr>
          <w:p w14:paraId="57877FBC" w14:textId="77777777" w:rsidR="00951A61" w:rsidRPr="00850F66" w:rsidRDefault="00951A61" w:rsidP="00A4032F">
            <w:pPr>
              <w:pStyle w:val="affe"/>
              <w:ind w:left="0"/>
              <w:jc w:val="both"/>
              <w:rPr>
                <w:rFonts w:ascii="Tahoma" w:hAnsi="Tahoma" w:cs="Tahoma"/>
                <w:sz w:val="20"/>
                <w:szCs w:val="20"/>
              </w:rPr>
            </w:pPr>
            <w:r w:rsidRPr="00850F66">
              <w:rPr>
                <w:rFonts w:ascii="Tahoma" w:hAnsi="Tahoma" w:cs="Tahoma"/>
                <w:sz w:val="20"/>
                <w:szCs w:val="20"/>
              </w:rPr>
              <w:t xml:space="preserve">В случае отказа Заемщика при заключении </w:t>
            </w:r>
            <w:r>
              <w:rPr>
                <w:rFonts w:ascii="Tahoma" w:hAnsi="Tahoma" w:cs="Tahoma"/>
                <w:sz w:val="20"/>
                <w:szCs w:val="20"/>
              </w:rPr>
              <w:t>К</w:t>
            </w:r>
            <w:r w:rsidRPr="00850F66">
              <w:rPr>
                <w:rFonts w:ascii="Tahoma" w:hAnsi="Tahoma" w:cs="Tahoma"/>
                <w:sz w:val="20"/>
                <w:szCs w:val="20"/>
              </w:rPr>
              <w:t>редитного договора от проведения оценки Предмета ипотеки</w:t>
            </w:r>
            <w:r w:rsidRPr="00850F66">
              <w:rPr>
                <w:rStyle w:val="aff3"/>
                <w:rFonts w:ascii="Tahoma" w:hAnsi="Tahoma" w:cs="Tahoma"/>
                <w:sz w:val="20"/>
                <w:szCs w:val="20"/>
              </w:rPr>
              <w:footnoteReference w:id="90"/>
            </w:r>
            <w:r w:rsidRPr="00850F66">
              <w:rPr>
                <w:rFonts w:ascii="Tahoma" w:hAnsi="Tahoma" w:cs="Tahoma"/>
                <w:sz w:val="20"/>
                <w:szCs w:val="20"/>
              </w:rPr>
              <w:t>.</w:t>
            </w:r>
          </w:p>
        </w:tc>
        <w:tc>
          <w:tcPr>
            <w:tcW w:w="1165" w:type="pct"/>
            <w:vAlign w:val="center"/>
          </w:tcPr>
          <w:p w14:paraId="043C45D6" w14:textId="77777777" w:rsidR="00951A61" w:rsidRPr="00BA41F4" w:rsidRDefault="00951A61" w:rsidP="00A4032F">
            <w:pPr>
              <w:pStyle w:val="affe"/>
              <w:ind w:left="0"/>
              <w:jc w:val="center"/>
              <w:rPr>
                <w:rFonts w:ascii="Tahoma" w:hAnsi="Tahoma" w:cs="Tahoma"/>
                <w:sz w:val="20"/>
                <w:szCs w:val="20"/>
              </w:rPr>
            </w:pPr>
            <w:r w:rsidRPr="003C621A">
              <w:rPr>
                <w:rFonts w:ascii="Tahoma" w:hAnsi="Tahoma" w:cs="Tahoma"/>
                <w:sz w:val="20"/>
                <w:szCs w:val="20"/>
              </w:rPr>
              <w:t>плюс 0,30</w:t>
            </w:r>
          </w:p>
        </w:tc>
      </w:tr>
      <w:tr w:rsidR="00951A61" w:rsidRPr="000107B6" w14:paraId="210EB772" w14:textId="77777777" w:rsidTr="00A4032F">
        <w:trPr>
          <w:trHeight w:val="739"/>
        </w:trPr>
        <w:tc>
          <w:tcPr>
            <w:tcW w:w="331" w:type="pct"/>
          </w:tcPr>
          <w:p w14:paraId="6EE51C7A" w14:textId="77777777" w:rsidR="00951A61" w:rsidRPr="000107B6" w:rsidRDefault="00951A61" w:rsidP="00A4032F">
            <w:pPr>
              <w:pStyle w:val="affe"/>
              <w:ind w:left="0"/>
              <w:rPr>
                <w:rFonts w:ascii="Tahoma" w:hAnsi="Tahoma" w:cs="Tahoma"/>
                <w:sz w:val="20"/>
                <w:szCs w:val="20"/>
              </w:rPr>
            </w:pPr>
            <w:r w:rsidRPr="000107B6">
              <w:rPr>
                <w:rFonts w:ascii="Tahoma" w:hAnsi="Tahoma" w:cs="Tahoma"/>
                <w:sz w:val="20"/>
                <w:szCs w:val="20"/>
              </w:rPr>
              <w:t>3.</w:t>
            </w:r>
            <w:r>
              <w:rPr>
                <w:rFonts w:ascii="Tahoma" w:hAnsi="Tahoma" w:cs="Tahoma"/>
                <w:sz w:val="20"/>
                <w:szCs w:val="20"/>
              </w:rPr>
              <w:t>5</w:t>
            </w:r>
            <w:r w:rsidRPr="000107B6">
              <w:rPr>
                <w:rFonts w:ascii="Tahoma" w:hAnsi="Tahoma" w:cs="Tahoma"/>
                <w:sz w:val="20"/>
                <w:szCs w:val="20"/>
              </w:rPr>
              <w:t>.</w:t>
            </w:r>
          </w:p>
        </w:tc>
        <w:tc>
          <w:tcPr>
            <w:tcW w:w="3504" w:type="pct"/>
          </w:tcPr>
          <w:p w14:paraId="66825EF1" w14:textId="77777777" w:rsidR="00951A61" w:rsidRPr="00850F66" w:rsidRDefault="00951A61" w:rsidP="00A4032F">
            <w:pPr>
              <w:pStyle w:val="affe"/>
              <w:ind w:left="0"/>
              <w:jc w:val="both"/>
              <w:rPr>
                <w:rFonts w:ascii="Tahoma" w:hAnsi="Tahoma" w:cs="Tahoma"/>
                <w:sz w:val="20"/>
                <w:szCs w:val="20"/>
              </w:rPr>
            </w:pPr>
            <w:r w:rsidRPr="00850F66">
              <w:rPr>
                <w:rFonts w:ascii="Tahoma" w:hAnsi="Tahoma" w:cs="Tahoma"/>
                <w:sz w:val="20"/>
                <w:szCs w:val="20"/>
              </w:rPr>
              <w:t xml:space="preserve">Надбавка к процентной ставке за соотношение коэффициента К/З более </w:t>
            </w:r>
            <w:r>
              <w:rPr>
                <w:rFonts w:ascii="Tahoma" w:hAnsi="Tahoma" w:cs="Tahoma"/>
                <w:sz w:val="20"/>
                <w:szCs w:val="20"/>
              </w:rPr>
              <w:t>7</w:t>
            </w:r>
            <w:r w:rsidRPr="00850F66">
              <w:rPr>
                <w:rFonts w:ascii="Tahoma" w:hAnsi="Tahoma" w:cs="Tahoma"/>
                <w:sz w:val="20"/>
                <w:szCs w:val="20"/>
              </w:rPr>
              <w:t>0% применяется в случае непогашения средствами МСК части кредита в срок 2 месяца с даты выдачи кредита на период до погашения части кредитных средств за счет МСК</w:t>
            </w:r>
            <w:r w:rsidRPr="00850F66">
              <w:rPr>
                <w:rStyle w:val="aff3"/>
                <w:rFonts w:ascii="Tahoma" w:hAnsi="Tahoma" w:cs="Tahoma"/>
                <w:sz w:val="20"/>
                <w:szCs w:val="20"/>
              </w:rPr>
              <w:footnoteReference w:id="91"/>
            </w:r>
            <w:r>
              <w:rPr>
                <w:rFonts w:ascii="Tahoma" w:hAnsi="Tahoma" w:cs="Tahoma"/>
                <w:sz w:val="20"/>
                <w:szCs w:val="20"/>
              </w:rPr>
              <w:t>.</w:t>
            </w:r>
          </w:p>
        </w:tc>
        <w:tc>
          <w:tcPr>
            <w:tcW w:w="1165" w:type="pct"/>
            <w:vAlign w:val="center"/>
          </w:tcPr>
          <w:p w14:paraId="32812FAC" w14:textId="77777777" w:rsidR="00951A61" w:rsidRPr="00BA41F4" w:rsidRDefault="00951A61" w:rsidP="00A4032F">
            <w:pPr>
              <w:pStyle w:val="affe"/>
              <w:ind w:left="0"/>
              <w:jc w:val="center"/>
              <w:rPr>
                <w:rFonts w:ascii="Tahoma" w:hAnsi="Tahoma" w:cs="Tahoma"/>
                <w:sz w:val="20"/>
                <w:szCs w:val="20"/>
              </w:rPr>
            </w:pPr>
            <w:r w:rsidRPr="00BA41F4">
              <w:rPr>
                <w:rFonts w:ascii="Tahoma" w:hAnsi="Tahoma" w:cs="Tahoma"/>
                <w:sz w:val="20"/>
                <w:szCs w:val="20"/>
              </w:rPr>
              <w:t>плюс 0,30</w:t>
            </w:r>
          </w:p>
        </w:tc>
      </w:tr>
      <w:tr w:rsidR="00951A61" w:rsidRPr="000107B6" w14:paraId="4FE95FC1" w14:textId="77777777" w:rsidTr="00A4032F">
        <w:trPr>
          <w:trHeight w:val="312"/>
        </w:trPr>
        <w:tc>
          <w:tcPr>
            <w:tcW w:w="331" w:type="pct"/>
            <w:vAlign w:val="center"/>
          </w:tcPr>
          <w:p w14:paraId="4CA061B6" w14:textId="77777777" w:rsidR="00951A61" w:rsidRPr="00A17F8B" w:rsidRDefault="00951A61" w:rsidP="00A4032F">
            <w:pPr>
              <w:pStyle w:val="affe"/>
              <w:ind w:left="0"/>
              <w:rPr>
                <w:rFonts w:ascii="Tahoma" w:hAnsi="Tahoma" w:cs="Tahoma"/>
                <w:sz w:val="20"/>
                <w:szCs w:val="20"/>
              </w:rPr>
            </w:pPr>
            <w:r w:rsidRPr="00A17F8B">
              <w:rPr>
                <w:rFonts w:ascii="Tahoma" w:hAnsi="Tahoma" w:cs="Tahoma"/>
                <w:sz w:val="20"/>
                <w:szCs w:val="20"/>
              </w:rPr>
              <w:t>3.</w:t>
            </w:r>
            <w:r>
              <w:rPr>
                <w:rFonts w:ascii="Tahoma" w:hAnsi="Tahoma" w:cs="Tahoma"/>
                <w:sz w:val="20"/>
                <w:szCs w:val="20"/>
              </w:rPr>
              <w:t>6</w:t>
            </w:r>
            <w:r w:rsidRPr="00A17F8B">
              <w:rPr>
                <w:rFonts w:ascii="Tahoma" w:hAnsi="Tahoma" w:cs="Tahoma"/>
                <w:sz w:val="20"/>
                <w:szCs w:val="20"/>
              </w:rPr>
              <w:t xml:space="preserve">. </w:t>
            </w:r>
          </w:p>
        </w:tc>
        <w:tc>
          <w:tcPr>
            <w:tcW w:w="3504" w:type="pct"/>
            <w:vAlign w:val="center"/>
          </w:tcPr>
          <w:p w14:paraId="3FD16007" w14:textId="77777777" w:rsidR="00951A61" w:rsidRPr="00A17F8B" w:rsidRDefault="00951A61" w:rsidP="00A4032F">
            <w:pPr>
              <w:jc w:val="both"/>
              <w:rPr>
                <w:rFonts w:ascii="Tahoma" w:eastAsia="Calibri" w:hAnsi="Tahoma" w:cs="Tahoma"/>
                <w:sz w:val="20"/>
                <w:szCs w:val="20"/>
              </w:rPr>
            </w:pPr>
            <w:r w:rsidRPr="00A17F8B">
              <w:rPr>
                <w:rFonts w:ascii="Tahoma" w:eastAsia="Calibri" w:hAnsi="Tahoma" w:cs="Tahoma"/>
                <w:sz w:val="20"/>
                <w:szCs w:val="20"/>
              </w:rPr>
              <w:t>До момента регистрации ипотеки в пользу Банка</w:t>
            </w:r>
            <w:r w:rsidRPr="00A17F8B">
              <w:rPr>
                <w:rStyle w:val="aff3"/>
                <w:rFonts w:ascii="Tahoma" w:hAnsi="Tahoma" w:cs="Tahoma"/>
                <w:sz w:val="20"/>
                <w:szCs w:val="20"/>
              </w:rPr>
              <w:t xml:space="preserve"> </w:t>
            </w:r>
            <w:r w:rsidRPr="00A17F8B">
              <w:rPr>
                <w:rFonts w:ascii="Tahoma" w:eastAsia="Calibri" w:hAnsi="Tahoma" w:cs="Tahoma"/>
                <w:sz w:val="20"/>
                <w:szCs w:val="20"/>
              </w:rPr>
              <w:t>и погашения Рефинансируемого потребительского кредита</w:t>
            </w:r>
            <w:r w:rsidRPr="00A17F8B">
              <w:rPr>
                <w:rStyle w:val="aff3"/>
                <w:rFonts w:ascii="Tahoma" w:eastAsia="Calibri" w:hAnsi="Tahoma"/>
                <w:sz w:val="20"/>
                <w:szCs w:val="20"/>
              </w:rPr>
              <w:footnoteReference w:id="92"/>
            </w:r>
            <w:r w:rsidRPr="00A17F8B">
              <w:rPr>
                <w:rFonts w:ascii="Tahoma" w:eastAsia="Calibri" w:hAnsi="Tahoma" w:cs="Tahoma"/>
                <w:sz w:val="20"/>
                <w:szCs w:val="20"/>
              </w:rPr>
              <w:t>.</w:t>
            </w:r>
          </w:p>
        </w:tc>
        <w:tc>
          <w:tcPr>
            <w:tcW w:w="1165" w:type="pct"/>
            <w:vAlign w:val="center"/>
          </w:tcPr>
          <w:p w14:paraId="5E5DCF5F" w14:textId="77777777" w:rsidR="00951A61" w:rsidRPr="003C621A" w:rsidRDefault="00951A61" w:rsidP="00A4032F">
            <w:pPr>
              <w:pStyle w:val="affe"/>
              <w:ind w:left="0"/>
              <w:jc w:val="center"/>
              <w:rPr>
                <w:rFonts w:ascii="Tahoma" w:hAnsi="Tahoma" w:cs="Tahoma"/>
                <w:sz w:val="20"/>
                <w:szCs w:val="20"/>
              </w:rPr>
            </w:pPr>
            <w:r w:rsidRPr="003C621A">
              <w:rPr>
                <w:rFonts w:ascii="Tahoma" w:hAnsi="Tahoma" w:cs="Tahoma"/>
                <w:sz w:val="20"/>
                <w:szCs w:val="20"/>
              </w:rPr>
              <w:t>плюс 0,40</w:t>
            </w:r>
          </w:p>
        </w:tc>
      </w:tr>
      <w:tr w:rsidR="00951A61" w:rsidRPr="000107B6" w14:paraId="4067F281" w14:textId="77777777" w:rsidTr="00A4032F">
        <w:trPr>
          <w:trHeight w:val="312"/>
        </w:trPr>
        <w:tc>
          <w:tcPr>
            <w:tcW w:w="331" w:type="pct"/>
            <w:vAlign w:val="center"/>
          </w:tcPr>
          <w:p w14:paraId="470B4CB3" w14:textId="77777777" w:rsidR="00951A61" w:rsidRPr="00A17F8B" w:rsidRDefault="00951A61" w:rsidP="00A4032F">
            <w:pPr>
              <w:pStyle w:val="affe"/>
              <w:ind w:left="0"/>
              <w:rPr>
                <w:rFonts w:ascii="Tahoma" w:hAnsi="Tahoma" w:cs="Tahoma"/>
                <w:sz w:val="20"/>
                <w:szCs w:val="20"/>
              </w:rPr>
            </w:pPr>
            <w:r w:rsidRPr="00A17F8B">
              <w:rPr>
                <w:rFonts w:ascii="Tahoma" w:hAnsi="Tahoma" w:cs="Tahoma"/>
                <w:sz w:val="20"/>
                <w:szCs w:val="20"/>
              </w:rPr>
              <w:t>3.</w:t>
            </w:r>
            <w:r>
              <w:rPr>
                <w:rFonts w:ascii="Tahoma" w:hAnsi="Tahoma" w:cs="Tahoma"/>
                <w:sz w:val="20"/>
                <w:szCs w:val="20"/>
              </w:rPr>
              <w:t>7</w:t>
            </w:r>
            <w:r w:rsidRPr="00A17F8B">
              <w:rPr>
                <w:rFonts w:ascii="Tahoma" w:hAnsi="Tahoma" w:cs="Tahoma"/>
                <w:sz w:val="20"/>
                <w:szCs w:val="20"/>
              </w:rPr>
              <w:t>.</w:t>
            </w:r>
          </w:p>
        </w:tc>
        <w:tc>
          <w:tcPr>
            <w:tcW w:w="3504" w:type="pct"/>
            <w:vAlign w:val="center"/>
          </w:tcPr>
          <w:p w14:paraId="178A43D9" w14:textId="77777777" w:rsidR="00951A61" w:rsidRPr="00A17F8B" w:rsidRDefault="00951A61" w:rsidP="00A4032F">
            <w:pPr>
              <w:jc w:val="both"/>
              <w:rPr>
                <w:rFonts w:ascii="Tahoma" w:eastAsia="Calibri" w:hAnsi="Tahoma" w:cs="Tahoma"/>
                <w:sz w:val="20"/>
                <w:szCs w:val="20"/>
              </w:rPr>
            </w:pPr>
            <w:r w:rsidRPr="00BD5E28">
              <w:rPr>
                <w:rFonts w:ascii="Tahoma" w:hAnsi="Tahoma" w:cs="Tahoma"/>
                <w:sz w:val="20"/>
                <w:szCs w:val="20"/>
              </w:rPr>
              <w:t>Заемщик является клиентом партнера Банка, которому выплачивается вознаграждение по сделке от Банка</w:t>
            </w:r>
            <w:r w:rsidRPr="00BD5E28">
              <w:rPr>
                <w:rStyle w:val="aff3"/>
                <w:rFonts w:ascii="Tahoma" w:hAnsi="Tahoma" w:cs="Tahoma"/>
                <w:sz w:val="20"/>
                <w:szCs w:val="20"/>
              </w:rPr>
              <w:footnoteReference w:id="93"/>
            </w:r>
            <w:r w:rsidRPr="00A17F8B">
              <w:rPr>
                <w:rFonts w:ascii="Tahoma" w:hAnsi="Tahoma" w:cs="Tahoma"/>
                <w:sz w:val="20"/>
                <w:szCs w:val="20"/>
              </w:rPr>
              <w:t>.</w:t>
            </w:r>
          </w:p>
        </w:tc>
        <w:tc>
          <w:tcPr>
            <w:tcW w:w="1165" w:type="pct"/>
            <w:vAlign w:val="center"/>
          </w:tcPr>
          <w:p w14:paraId="2E59A6FD" w14:textId="77777777" w:rsidR="00951A61" w:rsidRPr="003C621A" w:rsidRDefault="00951A61" w:rsidP="00A4032F">
            <w:pPr>
              <w:pStyle w:val="affe"/>
              <w:ind w:left="0"/>
              <w:jc w:val="center"/>
              <w:rPr>
                <w:rFonts w:ascii="Tahoma" w:hAnsi="Tahoma" w:cs="Tahoma"/>
                <w:sz w:val="20"/>
                <w:szCs w:val="20"/>
              </w:rPr>
            </w:pPr>
            <w:r w:rsidRPr="003C621A">
              <w:rPr>
                <w:rFonts w:ascii="Tahoma" w:hAnsi="Tahoma" w:cs="Tahoma"/>
                <w:sz w:val="20"/>
                <w:szCs w:val="20"/>
              </w:rPr>
              <w:t>плюс 0,40</w:t>
            </w:r>
          </w:p>
        </w:tc>
      </w:tr>
    </w:tbl>
    <w:p w14:paraId="6ECF1A59" w14:textId="77777777" w:rsidR="00951A61" w:rsidRPr="000107B6" w:rsidRDefault="00951A61" w:rsidP="00951A61">
      <w:pPr>
        <w:jc w:val="both"/>
        <w:rPr>
          <w:rFonts w:ascii="Tahoma" w:hAnsi="Tahoma" w:cs="Tahoma"/>
          <w:sz w:val="20"/>
          <w:szCs w:val="20"/>
        </w:rPr>
      </w:pPr>
    </w:p>
    <w:p w14:paraId="1A32C038" w14:textId="77777777" w:rsidR="00951A61" w:rsidRPr="000107B6" w:rsidRDefault="00951A61" w:rsidP="00951A61">
      <w:pPr>
        <w:jc w:val="both"/>
        <w:rPr>
          <w:rFonts w:ascii="Tahoma" w:hAnsi="Tahoma" w:cs="Tahoma"/>
          <w:sz w:val="20"/>
          <w:szCs w:val="20"/>
        </w:rPr>
      </w:pPr>
    </w:p>
    <w:p w14:paraId="2804EFCC" w14:textId="77777777" w:rsidR="00951A61" w:rsidRPr="00A17F8B" w:rsidRDefault="00951A61" w:rsidP="00951A61">
      <w:pPr>
        <w:pStyle w:val="affe"/>
        <w:tabs>
          <w:tab w:val="left" w:pos="851"/>
        </w:tabs>
        <w:ind w:left="284" w:right="89"/>
        <w:jc w:val="both"/>
        <w:rPr>
          <w:rFonts w:ascii="Tahoma" w:hAnsi="Tahoma" w:cs="Tahoma"/>
          <w:sz w:val="20"/>
          <w:szCs w:val="20"/>
        </w:rPr>
      </w:pPr>
      <w:r w:rsidRPr="000107B6">
        <w:rPr>
          <w:rFonts w:ascii="Tahoma" w:hAnsi="Tahoma" w:cs="Tahoma"/>
          <w:b/>
          <w:sz w:val="20"/>
          <w:szCs w:val="20"/>
        </w:rPr>
        <w:t>4</w:t>
      </w:r>
      <w:r w:rsidRPr="00A17F8B">
        <w:rPr>
          <w:rFonts w:ascii="Tahoma" w:hAnsi="Tahoma" w:cs="Tahoma"/>
          <w:b/>
          <w:sz w:val="20"/>
          <w:szCs w:val="20"/>
        </w:rPr>
        <w:t>. Итоговая процентная ставка по ипотечному кредиту, сформированная по итогам суммирования дисконтов и надбавок и не может быть менее:</w:t>
      </w:r>
    </w:p>
    <w:p w14:paraId="60703B93" w14:textId="77777777" w:rsidR="00951A61" w:rsidRPr="0023145E" w:rsidRDefault="00951A61" w:rsidP="00951A61">
      <w:pPr>
        <w:pStyle w:val="affe"/>
        <w:numPr>
          <w:ilvl w:val="0"/>
          <w:numId w:val="83"/>
        </w:numPr>
        <w:tabs>
          <w:tab w:val="left" w:pos="851"/>
        </w:tabs>
        <w:ind w:right="89"/>
        <w:contextualSpacing/>
        <w:jc w:val="both"/>
        <w:rPr>
          <w:rFonts w:ascii="Tahoma" w:hAnsi="Tahoma" w:cs="Tahoma"/>
          <w:b/>
          <w:sz w:val="20"/>
          <w:szCs w:val="20"/>
        </w:rPr>
      </w:pPr>
      <w:r w:rsidRPr="0023145E">
        <w:rPr>
          <w:rFonts w:ascii="Tahoma" w:hAnsi="Tahoma" w:cs="Tahoma"/>
          <w:b/>
          <w:sz w:val="20"/>
          <w:szCs w:val="20"/>
        </w:rPr>
        <w:t>23,50% годовых (для категории клиентов, указанных в п. 2.1.);</w:t>
      </w:r>
    </w:p>
    <w:p w14:paraId="4CAA67C5" w14:textId="77777777" w:rsidR="00951A61" w:rsidRPr="0023145E" w:rsidRDefault="00951A61" w:rsidP="00951A61">
      <w:pPr>
        <w:pStyle w:val="affe"/>
        <w:numPr>
          <w:ilvl w:val="0"/>
          <w:numId w:val="83"/>
        </w:numPr>
        <w:tabs>
          <w:tab w:val="left" w:pos="851"/>
        </w:tabs>
        <w:ind w:right="89"/>
        <w:contextualSpacing/>
        <w:jc w:val="both"/>
        <w:rPr>
          <w:rFonts w:ascii="Tahoma" w:hAnsi="Tahoma" w:cs="Tahoma"/>
          <w:b/>
          <w:sz w:val="20"/>
          <w:szCs w:val="20"/>
        </w:rPr>
      </w:pPr>
      <w:r w:rsidRPr="0023145E">
        <w:rPr>
          <w:rFonts w:ascii="Tahoma" w:hAnsi="Tahoma" w:cs="Tahoma"/>
          <w:b/>
          <w:sz w:val="20"/>
          <w:szCs w:val="20"/>
        </w:rPr>
        <w:t>24,00% годовых (для Заемщиков с официально подтвержденным доходом и Зарплатных клиентов Банка);</w:t>
      </w:r>
    </w:p>
    <w:p w14:paraId="405BC396" w14:textId="77777777" w:rsidR="00951A61" w:rsidRPr="00A17F8B" w:rsidRDefault="00951A61" w:rsidP="00951A61">
      <w:pPr>
        <w:pStyle w:val="affe"/>
        <w:numPr>
          <w:ilvl w:val="0"/>
          <w:numId w:val="83"/>
        </w:numPr>
        <w:tabs>
          <w:tab w:val="left" w:pos="851"/>
        </w:tabs>
        <w:ind w:right="89"/>
        <w:contextualSpacing/>
        <w:jc w:val="both"/>
        <w:rPr>
          <w:rFonts w:ascii="Tahoma" w:hAnsi="Tahoma" w:cs="Tahoma"/>
          <w:b/>
          <w:sz w:val="20"/>
          <w:szCs w:val="20"/>
        </w:rPr>
      </w:pPr>
      <w:r w:rsidRPr="0023145E">
        <w:rPr>
          <w:rFonts w:ascii="Tahoma" w:hAnsi="Tahoma" w:cs="Tahoma"/>
          <w:b/>
          <w:sz w:val="20"/>
          <w:szCs w:val="20"/>
        </w:rPr>
        <w:t>24,30% годовых (для клиентов, не относящихся к категории Заемщиков с официально подтвержденным доходом и не являющихся Зарплатным клиентом</w:t>
      </w:r>
      <w:r w:rsidRPr="00A17F8B">
        <w:rPr>
          <w:rFonts w:ascii="Tahoma" w:hAnsi="Tahoma" w:cs="Tahoma"/>
          <w:b/>
          <w:sz w:val="20"/>
          <w:szCs w:val="20"/>
        </w:rPr>
        <w:t xml:space="preserve"> Банка/ работником Банка).</w:t>
      </w:r>
    </w:p>
    <w:p w14:paraId="1B6B3539" w14:textId="77777777" w:rsidR="00951A61" w:rsidRPr="000107B6" w:rsidRDefault="00951A61" w:rsidP="00951A61">
      <w:pPr>
        <w:rPr>
          <w:rFonts w:ascii="Tahoma" w:hAnsi="Tahoma" w:cs="Tahoma"/>
          <w:sz w:val="18"/>
          <w:szCs w:val="20"/>
        </w:rPr>
      </w:pPr>
    </w:p>
    <w:p w14:paraId="7AE59C7A" w14:textId="77777777" w:rsidR="00951A61" w:rsidRPr="000107B6" w:rsidRDefault="00951A61" w:rsidP="00951A61">
      <w:pPr>
        <w:pStyle w:val="affe"/>
        <w:suppressAutoHyphens/>
        <w:spacing w:before="80" w:after="120"/>
        <w:ind w:left="284" w:right="23"/>
        <w:jc w:val="both"/>
        <w:rPr>
          <w:rFonts w:ascii="Tahoma" w:hAnsi="Tahoma" w:cs="Tahoma"/>
          <w:sz w:val="20"/>
          <w:szCs w:val="20"/>
        </w:rPr>
      </w:pPr>
    </w:p>
    <w:p w14:paraId="55B0ED2E" w14:textId="77777777" w:rsidR="00951A61" w:rsidRPr="000107B6" w:rsidRDefault="00951A61" w:rsidP="00951A61">
      <w:pPr>
        <w:pageBreakBefore/>
        <w:jc w:val="right"/>
        <w:rPr>
          <w:rFonts w:ascii="Tahoma" w:hAnsi="Tahoma" w:cs="Tahoma"/>
          <w:sz w:val="18"/>
          <w:szCs w:val="20"/>
        </w:rPr>
      </w:pPr>
      <w:r w:rsidRPr="000107B6">
        <w:rPr>
          <w:rFonts w:ascii="Tahoma" w:hAnsi="Tahoma" w:cs="Tahoma"/>
          <w:sz w:val="18"/>
          <w:szCs w:val="20"/>
        </w:rPr>
        <w:lastRenderedPageBreak/>
        <w:t>Приложение №2</w:t>
      </w:r>
    </w:p>
    <w:p w14:paraId="7F87D719" w14:textId="77777777" w:rsidR="00951A61" w:rsidRPr="000107B6" w:rsidRDefault="00951A61" w:rsidP="00951A61">
      <w:pPr>
        <w:jc w:val="right"/>
        <w:rPr>
          <w:rFonts w:ascii="Tahoma" w:hAnsi="Tahoma" w:cs="Tahoma"/>
          <w:noProof/>
          <w:sz w:val="18"/>
          <w:szCs w:val="20"/>
        </w:rPr>
      </w:pPr>
      <w:r w:rsidRPr="000107B6">
        <w:rPr>
          <w:rFonts w:ascii="Tahoma" w:hAnsi="Tahoma" w:cs="Tahoma"/>
          <w:noProof/>
          <w:sz w:val="18"/>
          <w:szCs w:val="20"/>
        </w:rPr>
        <w:t xml:space="preserve">к основным условиях предоставления, использования и возврата </w:t>
      </w:r>
    </w:p>
    <w:p w14:paraId="1953CEAC" w14:textId="77777777" w:rsidR="00951A61" w:rsidRPr="000107B6" w:rsidRDefault="00951A61" w:rsidP="00951A61">
      <w:pPr>
        <w:jc w:val="right"/>
        <w:rPr>
          <w:rFonts w:ascii="Tahoma" w:hAnsi="Tahoma" w:cs="Tahoma"/>
          <w:sz w:val="18"/>
          <w:szCs w:val="20"/>
        </w:rPr>
      </w:pPr>
      <w:r w:rsidRPr="000107B6">
        <w:rPr>
          <w:rFonts w:ascii="Tahoma" w:hAnsi="Tahoma" w:cs="Tahoma"/>
          <w:noProof/>
          <w:sz w:val="18"/>
          <w:szCs w:val="20"/>
        </w:rPr>
        <w:t>ипотечного кредита по тарифному плану «Рефинансирование»</w:t>
      </w:r>
    </w:p>
    <w:p w14:paraId="3F2C683D" w14:textId="77777777" w:rsidR="00951A61" w:rsidRPr="000107B6" w:rsidRDefault="00951A61" w:rsidP="00951A61">
      <w:pPr>
        <w:pStyle w:val="affe"/>
        <w:suppressAutoHyphens/>
        <w:spacing w:before="80" w:after="120"/>
        <w:ind w:left="284" w:right="23"/>
        <w:jc w:val="both"/>
        <w:rPr>
          <w:rFonts w:ascii="Tahoma" w:hAnsi="Tahoma" w:cs="Tahoma"/>
          <w:b/>
          <w:sz w:val="20"/>
          <w:szCs w:val="20"/>
        </w:rPr>
      </w:pPr>
    </w:p>
    <w:p w14:paraId="25A7B824" w14:textId="77777777" w:rsidR="00951A61" w:rsidRPr="000107B6" w:rsidRDefault="00951A61" w:rsidP="00951A61">
      <w:pPr>
        <w:pStyle w:val="affe"/>
        <w:suppressAutoHyphens/>
        <w:spacing w:before="80" w:after="120"/>
        <w:ind w:left="284" w:right="23"/>
        <w:jc w:val="center"/>
        <w:rPr>
          <w:rFonts w:ascii="Tahoma" w:hAnsi="Tahoma" w:cs="Tahoma"/>
          <w:b/>
          <w:sz w:val="20"/>
          <w:szCs w:val="20"/>
        </w:rPr>
      </w:pPr>
      <w:r w:rsidRPr="000107B6">
        <w:rPr>
          <w:rFonts w:ascii="Tahoma" w:hAnsi="Tahoma" w:cs="Tahoma"/>
          <w:b/>
          <w:sz w:val="20"/>
          <w:szCs w:val="20"/>
        </w:rPr>
        <w:t>ДОПОЛНИТЕЛЬНЫЕ ТРЕБОВАНИЯ К ОФОРМЛЯЕМОЙ ДОВЕРЕННОСТИ</w:t>
      </w:r>
    </w:p>
    <w:p w14:paraId="2E4FF799" w14:textId="77777777" w:rsidR="00951A61" w:rsidRPr="000107B6" w:rsidRDefault="00951A61" w:rsidP="00951A61">
      <w:pPr>
        <w:pStyle w:val="affe"/>
        <w:suppressAutoHyphens/>
        <w:spacing w:before="80" w:after="120"/>
        <w:ind w:left="284" w:right="23"/>
        <w:jc w:val="center"/>
        <w:rPr>
          <w:rFonts w:ascii="Tahoma" w:hAnsi="Tahoma" w:cs="Tahoma"/>
          <w:b/>
          <w:sz w:val="20"/>
          <w:szCs w:val="20"/>
        </w:rPr>
      </w:pPr>
    </w:p>
    <w:p w14:paraId="4CDA7D1A" w14:textId="77777777" w:rsidR="00951A61" w:rsidRPr="000107B6" w:rsidRDefault="00951A61" w:rsidP="00951A61">
      <w:pPr>
        <w:pStyle w:val="affe"/>
        <w:suppressAutoHyphens/>
        <w:spacing w:before="80" w:after="120"/>
        <w:ind w:left="284" w:right="23"/>
        <w:jc w:val="center"/>
        <w:rPr>
          <w:rFonts w:ascii="Tahoma" w:hAnsi="Tahoma" w:cs="Tahoma"/>
          <w:sz w:val="20"/>
          <w:szCs w:val="20"/>
        </w:rPr>
      </w:pPr>
    </w:p>
    <w:p w14:paraId="74FE2416" w14:textId="77777777" w:rsidR="00951A61" w:rsidRPr="000107B6" w:rsidRDefault="00951A61" w:rsidP="00951A61">
      <w:pPr>
        <w:pStyle w:val="affe"/>
        <w:ind w:left="0" w:right="23"/>
        <w:jc w:val="both"/>
      </w:pPr>
      <w:r w:rsidRPr="000107B6">
        <w:rPr>
          <w:rFonts w:ascii="Tahoma" w:hAnsi="Tahoma" w:cs="Tahoma"/>
          <w:sz w:val="20"/>
          <w:szCs w:val="20"/>
        </w:rPr>
        <w:t>Перечень обязательных полномочий в доверенности, предоставленной Заемщиком (</w:t>
      </w:r>
      <w:r w:rsidRPr="000107B6">
        <w:rPr>
          <w:rFonts w:ascii="Tahoma" w:hAnsi="Tahoma" w:cs="Tahoma"/>
          <w:b/>
          <w:bCs/>
          <w:sz w:val="20"/>
          <w:szCs w:val="20"/>
        </w:rPr>
        <w:t>формулировки в оформленной доверенности могут быть изложены иным образом при сохранении смысла и сути полномочий</w:t>
      </w:r>
      <w:r w:rsidRPr="000107B6">
        <w:rPr>
          <w:rFonts w:ascii="Tahoma" w:hAnsi="Tahoma" w:cs="Tahoma"/>
          <w:sz w:val="20"/>
          <w:szCs w:val="20"/>
        </w:rPr>
        <w:t>):</w:t>
      </w:r>
    </w:p>
    <w:p w14:paraId="54BB516F" w14:textId="77777777" w:rsidR="00951A61" w:rsidRPr="000107B6" w:rsidRDefault="00951A61" w:rsidP="00951A61">
      <w:pPr>
        <w:pStyle w:val="affe"/>
        <w:ind w:left="0" w:right="23"/>
        <w:jc w:val="both"/>
      </w:pPr>
      <w:r w:rsidRPr="000107B6">
        <w:rPr>
          <w:rFonts w:ascii="Tahoma" w:hAnsi="Tahoma" w:cs="Tahoma"/>
          <w:b/>
          <w:bCs/>
          <w:sz w:val="20"/>
          <w:szCs w:val="20"/>
        </w:rPr>
        <w:t>1.</w:t>
      </w:r>
      <w:r w:rsidRPr="000107B6">
        <w:rPr>
          <w:rFonts w:ascii="Tahoma" w:hAnsi="Tahoma" w:cs="Tahoma"/>
          <w:sz w:val="20"/>
          <w:szCs w:val="20"/>
        </w:rPr>
        <w:t>      В доверенности должны быть указаны полномочия на осуществление регистрационных действий, на осуществление действий по полному досрочному погашению задолженности перед банком-залогодержателем с правом получения погашенной закладной в банке-залогодержателе, на снятие обременения банка-залогодержателя, полномочия на осуществление регистрационных действий, а именно:</w:t>
      </w:r>
    </w:p>
    <w:p w14:paraId="312FE977" w14:textId="77777777" w:rsidR="00951A61" w:rsidRPr="000107B6" w:rsidRDefault="00951A61" w:rsidP="00951A61">
      <w:pPr>
        <w:pStyle w:val="affe"/>
        <w:ind w:left="0" w:right="23"/>
        <w:jc w:val="both"/>
      </w:pPr>
      <w:r w:rsidRPr="000107B6">
        <w:rPr>
          <w:rFonts w:ascii="Tahoma" w:hAnsi="Tahoma" w:cs="Tahoma"/>
          <w:sz w:val="20"/>
          <w:szCs w:val="20"/>
        </w:rPr>
        <w:t>1.1. Право осуществлять погашение Кредита по Кредитному договору №____ от ____, заключенному с __________ (наименование банка-залогодержателя) в г. ____________, в том числе осуществлять частичное или полное досрочное погашение, подавать и подписывать необходимые заявления, в том числе заявление на полное и (или) частичное досрочное погашение Кредита, уточнять сумму погашения, получать выписки, графики платежей, справки об остатке ссудной задолженности, вести переговоры с __________ (наименование банка-залогодержателя) по вопросам погашения задолженности по Кредиту, получать справки о погашении Кредита, получать в __________ (наименование банка-залогодержателя) все необходимые документы для погашения ипотеки (залога) в отношении следующего имущества: «указывается полный адрес и кадастровый/условный номер (при наличии) недвижимости», получить закладную, погасить регистрационную запись об ипотеке, для чего вправе подавать необходимые документы и заявления в Федеральную службу государственной регистрации, кадастра и картографии и ее любые подразделения, ФГБУ «Федеральная кадастровая палата Федеральной службы государственной регистрации, кадастра и картографии» и ее любые подразделения, Многофункциональный центр предоставления государственных и муниципальных услуг, производить оплату необходимых тарифов, сборов и пошлин, получать любые документы после погашения записи об ипотеке, в том числе закладную, выписку из единого государственного реестра недвижимости и иные документы.</w:t>
      </w:r>
    </w:p>
    <w:p w14:paraId="161C416A" w14:textId="77777777" w:rsidR="00951A61" w:rsidRPr="000107B6" w:rsidRDefault="00951A61" w:rsidP="00951A61">
      <w:pPr>
        <w:pStyle w:val="affe"/>
        <w:ind w:left="0" w:right="23"/>
        <w:jc w:val="both"/>
      </w:pPr>
      <w:r w:rsidRPr="000107B6">
        <w:rPr>
          <w:rFonts w:ascii="Tahoma" w:hAnsi="Tahoma" w:cs="Tahoma"/>
          <w:sz w:val="20"/>
          <w:szCs w:val="20"/>
        </w:rPr>
        <w:t>1.2. Представлять интересы доверителя в органах Федеральной службы государственной регистрации, кадастра и картографии и ее любых подразделениях, ФГБУ «Федеральная кадастровая палата  Федеральной службы государственной регистрации, кадастра и картографии» и ее любых подразделениях, Многофункциональном центре предоставления государственных и муниципальных услуг по вопросам погашения регистрационной записи об ипотеке в пользу ___ (наименование банка-залогодержателя), для чего предоставляю право делать от имени доверителя любые запросы и заявления, в том числе заявления о государственной регистрации права собственности, приостановлении либо прекращении государственной регистрации, о предоставлении информации о зарегистрированных правах на объект недвижимого имущества, о внесении изменений в единый государственный реестр недвижимости, снятии обременений  (ограничений), о погашении регистрационных записей, с правом подачи заявления о приостановлении, прекращении и возобновлении государственной регистрации, сообщения об отказе в государственной регистрации, с правом подачи дополнительных документов, внесения изменений в записи единого государственного реестра недвижимости, внесения изменений в документы, с правом оплаты тарифов, сборов, пошлин, с правом получения выписки из Единого государственного реестра недвижимости и всех необходимых зарегистрированных документов, с правом подачи заявлений об исправлении технических ошибок. Получать в регистрирующем органе любые документы после регистрации: правоустанавливающие документы, выписку из единого государственного реестра недвижимости и иные документы, уплачивать необходимые платежи, пошлины, сборы.</w:t>
      </w:r>
    </w:p>
    <w:p w14:paraId="55064869" w14:textId="77777777" w:rsidR="00951A61" w:rsidRPr="000107B6" w:rsidRDefault="00951A61" w:rsidP="00951A61">
      <w:pPr>
        <w:pStyle w:val="affe"/>
        <w:ind w:left="0" w:right="23"/>
        <w:jc w:val="both"/>
      </w:pPr>
    </w:p>
    <w:p w14:paraId="6D14DA3B" w14:textId="77777777" w:rsidR="00951A61" w:rsidRPr="000107B6" w:rsidRDefault="00951A61" w:rsidP="00951A61">
      <w:pPr>
        <w:pStyle w:val="affe"/>
        <w:ind w:left="0" w:right="23"/>
        <w:jc w:val="both"/>
      </w:pPr>
      <w:r w:rsidRPr="000107B6">
        <w:rPr>
          <w:rFonts w:ascii="Tahoma" w:hAnsi="Tahoma" w:cs="Tahoma"/>
          <w:sz w:val="20"/>
          <w:szCs w:val="20"/>
        </w:rPr>
        <w:t xml:space="preserve">1.3. Представлять интересы доверителя в органах Федеральной службы государственной регистрации, кадастра и картографии и ее любых подразделениях, ФГБУ «Федеральная кадастровая палата Федеральной службы государственной регистрации, кадастра и картографии» и ее любых подразделениях, Многофункциональном центре предоставления государственных и муниципальных услуг, иных учреждениях, осуществляющих государственную регистрацию, в __________ (наименование банка-залогодержателя), в органах государственной власти и местного самоуправления, административных, банковских, кредитных, финансовых, налоговых, </w:t>
      </w:r>
      <w:r w:rsidRPr="000107B6">
        <w:rPr>
          <w:rFonts w:ascii="Tahoma" w:hAnsi="Tahoma" w:cs="Tahoma"/>
          <w:sz w:val="20"/>
          <w:szCs w:val="20"/>
        </w:rPr>
        <w:lastRenderedPageBreak/>
        <w:t>нотариальных и иных компетентных органах по вопросам подписания, заверения, предъявления и получения любых справок и документов, копий, дубликатов документов, необходимых для реализации предоставленных настоящей доверенностью полномочий.</w:t>
      </w:r>
    </w:p>
    <w:p w14:paraId="5404ED76" w14:textId="77777777" w:rsidR="00951A61" w:rsidRPr="000107B6" w:rsidRDefault="00951A61" w:rsidP="00951A61">
      <w:pPr>
        <w:pStyle w:val="affe"/>
        <w:ind w:left="0" w:right="23"/>
        <w:jc w:val="both"/>
      </w:pPr>
      <w:r w:rsidRPr="000107B6">
        <w:rPr>
          <w:rFonts w:ascii="Tahoma" w:hAnsi="Tahoma" w:cs="Tahoma"/>
          <w:sz w:val="20"/>
          <w:szCs w:val="20"/>
        </w:rPr>
        <w:t>1.4. Зарегистрировать обременение на Предмет ипотеки, расположенный по адресу: _______________________ (адрес и кадастровый/условный номер (при наличии)), зарегистрировать ограничения (обременения), в том числе залог (ипотеку в силу закона) в пользу «Азиатско-Тихоокеанский Банк»  (АО), с правом подачи заявления о приостановлении, прекращении и возобновлении государственной регистрации, сообщения об отказе в государственной регистрации, с правом подачи дополнительных документов, внесения изменений в записи единого государственного реестра недвижимости, внесения изменений в документы, с правом оплаты тарифов, сборов, пошлин, с правом получения выписки из Единого государственного реестра недвижимости и всех необходимых зарегистрированных документов, с правом подачи заявлений об исправлении технических ошибок, для чего предоставляю право делать от имени доверителя любые запросы и заявления, в том числе заявления о государственной регистрации права собственности, государственной регистрации ограничений (обременений), в том числе залога (ипотеки в силу закона), приостановлении либо прекращении государственной регистрации, о предоставлении информации о зарегистрированных ограничениях на объект недвижимого имущества, о внесении изменений в единый государственный реестр недвижимости,  запросы о предоставлении сведений, внесенных в государственный кадастр недвижимости, об исправлении технических ошибок, допущенных при регистрации. Получить в регистрирующем органе любые документы после регистрации: правоустанавливающие документы, выписку из единого государственного реестра недвижимости и иные документы, уплачивать необходимые платежи, пошлины, сборы.</w:t>
      </w:r>
    </w:p>
    <w:p w14:paraId="5C16B496" w14:textId="77777777" w:rsidR="00951A61" w:rsidRDefault="00951A61" w:rsidP="00951A61">
      <w:pPr>
        <w:pStyle w:val="affe"/>
        <w:ind w:left="0" w:right="23"/>
        <w:jc w:val="both"/>
      </w:pPr>
      <w:r w:rsidRPr="000107B6">
        <w:rPr>
          <w:rFonts w:ascii="Tahoma" w:hAnsi="Tahoma" w:cs="Tahoma"/>
          <w:sz w:val="20"/>
          <w:szCs w:val="20"/>
        </w:rPr>
        <w:t>1.5. Представлять интересы доверителя в органах Федеральной службы государственной регистрации, кадастра и картографии и ее любых подразделениях, ФГБУ «Федеральная кадастровая палата Федеральной службы государственной регистрации, кадастра и картографии» и ее любых подразделениях, Многофункциональном центре предоставления государственных и муниципальных услуг, иных учреждениях, осуществляющих государственную регистрацию права собственности, в органах государственной власти и местного самоуправления, административных, банковских, кредитных, финансовых, налоговых, нотариальных и иных компетентных органах по вопросам подписания, заверения, предъявления и получения любых справок и документов, копий, дубликатов документов, необходимых для реализации предоставленных настоящей доверенностью полномочий.</w:t>
      </w:r>
    </w:p>
    <w:p w14:paraId="6E1ACDD5" w14:textId="77777777" w:rsidR="00951A61" w:rsidRPr="002C714E" w:rsidRDefault="00951A61" w:rsidP="00951A61">
      <w:pPr>
        <w:pageBreakBefore/>
        <w:jc w:val="right"/>
        <w:rPr>
          <w:rFonts w:ascii="Tahoma" w:hAnsi="Tahoma" w:cs="Tahoma"/>
          <w:sz w:val="18"/>
          <w:szCs w:val="20"/>
        </w:rPr>
      </w:pPr>
      <w:r w:rsidRPr="002C714E">
        <w:rPr>
          <w:rFonts w:ascii="Tahoma" w:hAnsi="Tahoma" w:cs="Tahoma"/>
          <w:sz w:val="18"/>
          <w:szCs w:val="20"/>
        </w:rPr>
        <w:lastRenderedPageBreak/>
        <w:t>Приложение №3</w:t>
      </w:r>
    </w:p>
    <w:p w14:paraId="15576170" w14:textId="77777777" w:rsidR="00951A61" w:rsidRPr="002C714E" w:rsidRDefault="00951A61" w:rsidP="00951A61">
      <w:pPr>
        <w:jc w:val="right"/>
        <w:rPr>
          <w:rFonts w:ascii="Tahoma" w:hAnsi="Tahoma" w:cs="Tahoma"/>
          <w:noProof/>
          <w:sz w:val="18"/>
          <w:szCs w:val="20"/>
        </w:rPr>
      </w:pPr>
      <w:r w:rsidRPr="002C714E">
        <w:rPr>
          <w:rFonts w:ascii="Tahoma" w:hAnsi="Tahoma" w:cs="Tahoma"/>
          <w:noProof/>
          <w:sz w:val="18"/>
          <w:szCs w:val="20"/>
        </w:rPr>
        <w:t xml:space="preserve">к основным условиях предоставления, использования и возврата </w:t>
      </w:r>
    </w:p>
    <w:p w14:paraId="5441BF4E" w14:textId="77777777" w:rsidR="00951A61" w:rsidRPr="002C714E" w:rsidRDefault="00951A61" w:rsidP="00951A61">
      <w:pPr>
        <w:jc w:val="right"/>
        <w:rPr>
          <w:rFonts w:ascii="Tahoma" w:hAnsi="Tahoma" w:cs="Tahoma"/>
          <w:sz w:val="18"/>
          <w:szCs w:val="20"/>
        </w:rPr>
      </w:pPr>
      <w:r w:rsidRPr="002C714E">
        <w:rPr>
          <w:rFonts w:ascii="Tahoma" w:hAnsi="Tahoma" w:cs="Tahoma"/>
          <w:noProof/>
          <w:sz w:val="18"/>
          <w:szCs w:val="20"/>
        </w:rPr>
        <w:t>ипотечного кредита по тарифному плану «Рефинансирование»</w:t>
      </w:r>
    </w:p>
    <w:p w14:paraId="79550752" w14:textId="77777777" w:rsidR="00951A61" w:rsidRPr="002C714E" w:rsidRDefault="00951A61" w:rsidP="00951A61">
      <w:pPr>
        <w:jc w:val="center"/>
        <w:rPr>
          <w:rFonts w:ascii="Tahoma" w:hAnsi="Tahoma" w:cs="Tahoma"/>
          <w:b/>
          <w:sz w:val="18"/>
          <w:szCs w:val="18"/>
        </w:rPr>
      </w:pPr>
    </w:p>
    <w:p w14:paraId="4E06DBE2" w14:textId="77777777" w:rsidR="00951A61" w:rsidRPr="002C714E" w:rsidRDefault="00951A61" w:rsidP="00951A61">
      <w:pPr>
        <w:jc w:val="center"/>
        <w:rPr>
          <w:rFonts w:ascii="Tahoma" w:hAnsi="Tahoma" w:cs="Tahoma"/>
          <w:b/>
          <w:sz w:val="20"/>
          <w:szCs w:val="20"/>
        </w:rPr>
      </w:pPr>
      <w:r w:rsidRPr="002C714E">
        <w:rPr>
          <w:rFonts w:ascii="Tahoma" w:hAnsi="Tahoma" w:cs="Tahoma"/>
          <w:b/>
          <w:sz w:val="20"/>
          <w:szCs w:val="20"/>
        </w:rPr>
        <w:t>СПИСОК НАСЕЛЕННЫХ ПУНКТОВ</w:t>
      </w:r>
    </w:p>
    <w:p w14:paraId="782E5A1E" w14:textId="77777777" w:rsidR="00951A61" w:rsidRPr="002C714E" w:rsidRDefault="00951A61" w:rsidP="00951A61">
      <w:pPr>
        <w:pStyle w:val="affe"/>
        <w:ind w:left="284"/>
        <w:jc w:val="both"/>
        <w:rPr>
          <w:rFonts w:ascii="Tahoma" w:hAnsi="Tahoma" w:cs="Tahoma"/>
          <w:sz w:val="20"/>
          <w:szCs w:val="20"/>
        </w:rPr>
      </w:pPr>
    </w:p>
    <w:tbl>
      <w:tblPr>
        <w:tblW w:w="11088" w:type="dxa"/>
        <w:tblInd w:w="-3" w:type="dxa"/>
        <w:tblCellMar>
          <w:left w:w="0" w:type="dxa"/>
          <w:right w:w="0" w:type="dxa"/>
        </w:tblCellMar>
        <w:tblLook w:val="04A0" w:firstRow="1" w:lastRow="0" w:firstColumn="1" w:lastColumn="0" w:noHBand="0" w:noVBand="1"/>
      </w:tblPr>
      <w:tblGrid>
        <w:gridCol w:w="844"/>
        <w:gridCol w:w="6548"/>
        <w:gridCol w:w="3696"/>
      </w:tblGrid>
      <w:tr w:rsidR="00951A61" w:rsidRPr="00603276" w14:paraId="48AB62B2" w14:textId="77777777" w:rsidTr="00A4032F">
        <w:trPr>
          <w:trHeight w:hRule="exact" w:val="425"/>
        </w:trPr>
        <w:tc>
          <w:tcPr>
            <w:tcW w:w="844" w:type="dxa"/>
            <w:tcBorders>
              <w:top w:val="single" w:sz="8" w:space="0" w:color="808080"/>
              <w:left w:val="single" w:sz="8" w:space="0" w:color="808080"/>
              <w:bottom w:val="single" w:sz="8" w:space="0" w:color="808080"/>
              <w:right w:val="single" w:sz="8" w:space="0" w:color="808080"/>
            </w:tcBorders>
          </w:tcPr>
          <w:p w14:paraId="25443C1E" w14:textId="77777777" w:rsidR="00951A61" w:rsidRPr="002C714E" w:rsidRDefault="00951A61" w:rsidP="00A4032F">
            <w:pPr>
              <w:jc w:val="center"/>
              <w:rPr>
                <w:rFonts w:ascii="Tahoma" w:hAnsi="Tahoma" w:cs="Tahoma"/>
                <w:b/>
                <w:sz w:val="20"/>
                <w:szCs w:val="20"/>
              </w:rPr>
            </w:pPr>
            <w:r w:rsidRPr="002C714E">
              <w:rPr>
                <w:rFonts w:ascii="Tahoma" w:hAnsi="Tahoma" w:cs="Tahoma"/>
                <w:b/>
                <w:sz w:val="20"/>
                <w:szCs w:val="20"/>
              </w:rPr>
              <w:t>№</w:t>
            </w:r>
          </w:p>
        </w:tc>
        <w:tc>
          <w:tcPr>
            <w:tcW w:w="6548" w:type="dxa"/>
            <w:tcBorders>
              <w:top w:val="single" w:sz="8" w:space="0" w:color="808080"/>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45C31142" w14:textId="77777777" w:rsidR="00951A61" w:rsidRPr="002C714E" w:rsidRDefault="00951A61" w:rsidP="00A4032F">
            <w:pPr>
              <w:jc w:val="center"/>
              <w:rPr>
                <w:rFonts w:ascii="Tahoma" w:hAnsi="Tahoma" w:cs="Tahoma"/>
                <w:b/>
                <w:sz w:val="20"/>
                <w:szCs w:val="20"/>
              </w:rPr>
            </w:pPr>
            <w:r w:rsidRPr="002C714E">
              <w:rPr>
                <w:rFonts w:ascii="Tahoma" w:hAnsi="Tahoma" w:cs="Tahoma"/>
                <w:b/>
                <w:sz w:val="20"/>
                <w:szCs w:val="20"/>
              </w:rPr>
              <w:t>Субъекты РФ (регионы)</w:t>
            </w:r>
          </w:p>
        </w:tc>
        <w:tc>
          <w:tcPr>
            <w:tcW w:w="3696" w:type="dxa"/>
            <w:tcBorders>
              <w:top w:val="single" w:sz="8" w:space="0" w:color="808080"/>
              <w:left w:val="nil"/>
              <w:bottom w:val="single" w:sz="8" w:space="0" w:color="808080"/>
              <w:right w:val="single" w:sz="8" w:space="0" w:color="808080"/>
            </w:tcBorders>
            <w:tcMar>
              <w:top w:w="0" w:type="dxa"/>
              <w:left w:w="108" w:type="dxa"/>
              <w:bottom w:w="0" w:type="dxa"/>
              <w:right w:w="108" w:type="dxa"/>
            </w:tcMar>
            <w:hideMark/>
          </w:tcPr>
          <w:p w14:paraId="6779D9F4" w14:textId="77777777" w:rsidR="00951A61" w:rsidRPr="002C714E" w:rsidRDefault="00951A61" w:rsidP="00A4032F">
            <w:pPr>
              <w:jc w:val="center"/>
              <w:rPr>
                <w:rFonts w:ascii="Tahoma" w:hAnsi="Tahoma" w:cs="Tahoma"/>
                <w:b/>
                <w:sz w:val="20"/>
                <w:szCs w:val="20"/>
              </w:rPr>
            </w:pPr>
            <w:r w:rsidRPr="002C714E">
              <w:rPr>
                <w:rFonts w:ascii="Tahoma" w:hAnsi="Tahoma" w:cs="Tahoma"/>
                <w:b/>
                <w:sz w:val="20"/>
                <w:szCs w:val="20"/>
              </w:rPr>
              <w:t>Населённые пункты (города)</w:t>
            </w:r>
          </w:p>
        </w:tc>
      </w:tr>
      <w:tr w:rsidR="00951A61" w:rsidRPr="00603276" w14:paraId="3ADBE66A" w14:textId="77777777" w:rsidTr="00A4032F">
        <w:trPr>
          <w:trHeight w:hRule="exact" w:val="425"/>
        </w:trPr>
        <w:tc>
          <w:tcPr>
            <w:tcW w:w="844" w:type="dxa"/>
            <w:tcBorders>
              <w:top w:val="nil"/>
              <w:left w:val="single" w:sz="8" w:space="0" w:color="808080"/>
              <w:bottom w:val="single" w:sz="8" w:space="0" w:color="808080"/>
              <w:right w:val="single" w:sz="8" w:space="0" w:color="808080"/>
            </w:tcBorders>
          </w:tcPr>
          <w:p w14:paraId="71F62692" w14:textId="77777777" w:rsidR="00951A61" w:rsidRPr="002C714E" w:rsidRDefault="00951A61" w:rsidP="00A4032F">
            <w:pPr>
              <w:jc w:val="center"/>
              <w:rPr>
                <w:rFonts w:ascii="Tahoma" w:hAnsi="Tahoma" w:cs="Tahoma"/>
                <w:sz w:val="20"/>
                <w:szCs w:val="20"/>
              </w:rPr>
            </w:pPr>
            <w:r w:rsidRPr="002C714E">
              <w:rPr>
                <w:rFonts w:ascii="Tahoma" w:hAnsi="Tahoma" w:cs="Tahoma"/>
                <w:sz w:val="20"/>
                <w:szCs w:val="20"/>
              </w:rPr>
              <w:t>1.</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0B329C10" w14:textId="77777777" w:rsidR="00951A61" w:rsidRPr="002C714E" w:rsidRDefault="00951A61" w:rsidP="00A4032F">
            <w:pPr>
              <w:rPr>
                <w:rFonts w:ascii="Tahoma" w:hAnsi="Tahoma" w:cs="Tahoma"/>
                <w:sz w:val="20"/>
                <w:szCs w:val="20"/>
              </w:rPr>
            </w:pPr>
            <w:r w:rsidRPr="002C714E">
              <w:rPr>
                <w:rFonts w:ascii="Tahoma" w:hAnsi="Tahoma" w:cs="Tahoma"/>
                <w:sz w:val="20"/>
                <w:szCs w:val="20"/>
              </w:rPr>
              <w:t>Алтайский край и Республика Алтай</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2F99D061" w14:textId="77777777" w:rsidR="00951A61" w:rsidRPr="002C714E" w:rsidRDefault="00951A61" w:rsidP="00A4032F">
            <w:pPr>
              <w:rPr>
                <w:rFonts w:ascii="Tahoma" w:hAnsi="Tahoma" w:cs="Tahoma"/>
                <w:sz w:val="20"/>
                <w:szCs w:val="20"/>
              </w:rPr>
            </w:pPr>
            <w:r w:rsidRPr="002C714E">
              <w:rPr>
                <w:rFonts w:ascii="Tahoma" w:hAnsi="Tahoma" w:cs="Tahoma"/>
                <w:sz w:val="20"/>
                <w:szCs w:val="20"/>
              </w:rPr>
              <w:t>Барнаул</w:t>
            </w:r>
          </w:p>
        </w:tc>
      </w:tr>
      <w:tr w:rsidR="00951A61" w:rsidRPr="00603276" w14:paraId="1904A0AB" w14:textId="77777777" w:rsidTr="00A4032F">
        <w:trPr>
          <w:trHeight w:hRule="exact" w:val="425"/>
        </w:trPr>
        <w:tc>
          <w:tcPr>
            <w:tcW w:w="844" w:type="dxa"/>
            <w:tcBorders>
              <w:top w:val="nil"/>
              <w:left w:val="single" w:sz="8" w:space="0" w:color="808080"/>
              <w:bottom w:val="single" w:sz="8" w:space="0" w:color="808080"/>
              <w:right w:val="single" w:sz="8" w:space="0" w:color="808080"/>
            </w:tcBorders>
          </w:tcPr>
          <w:p w14:paraId="21234DCC" w14:textId="77777777" w:rsidR="00951A61" w:rsidRPr="002C714E" w:rsidRDefault="00951A61" w:rsidP="00A4032F">
            <w:pPr>
              <w:jc w:val="center"/>
              <w:rPr>
                <w:rFonts w:ascii="Tahoma" w:hAnsi="Tahoma" w:cs="Tahoma"/>
                <w:sz w:val="20"/>
                <w:szCs w:val="20"/>
              </w:rPr>
            </w:pPr>
            <w:r w:rsidRPr="002C714E">
              <w:rPr>
                <w:rFonts w:ascii="Tahoma" w:hAnsi="Tahoma" w:cs="Tahoma"/>
                <w:sz w:val="20"/>
                <w:szCs w:val="20"/>
              </w:rPr>
              <w:t>2.</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626C440E" w14:textId="77777777" w:rsidR="00951A61" w:rsidRPr="002C714E" w:rsidRDefault="00951A61" w:rsidP="00A4032F">
            <w:pPr>
              <w:rPr>
                <w:rFonts w:ascii="Tahoma" w:hAnsi="Tahoma" w:cs="Tahoma"/>
                <w:sz w:val="20"/>
                <w:szCs w:val="20"/>
              </w:rPr>
            </w:pPr>
            <w:r w:rsidRPr="002C714E">
              <w:rPr>
                <w:rFonts w:ascii="Tahoma" w:hAnsi="Tahoma" w:cs="Tahoma"/>
                <w:sz w:val="20"/>
                <w:szCs w:val="20"/>
              </w:rPr>
              <w:t>Амурская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6E7BA8B9" w14:textId="77777777" w:rsidR="00951A61" w:rsidRPr="002C714E" w:rsidRDefault="00951A61" w:rsidP="00A4032F">
            <w:pPr>
              <w:rPr>
                <w:rFonts w:ascii="Tahoma" w:hAnsi="Tahoma" w:cs="Tahoma"/>
                <w:sz w:val="20"/>
                <w:szCs w:val="20"/>
              </w:rPr>
            </w:pPr>
            <w:r w:rsidRPr="002C714E">
              <w:rPr>
                <w:rFonts w:ascii="Tahoma" w:hAnsi="Tahoma" w:cs="Tahoma"/>
                <w:sz w:val="20"/>
                <w:szCs w:val="20"/>
              </w:rPr>
              <w:t>Благовещенск</w:t>
            </w:r>
          </w:p>
        </w:tc>
      </w:tr>
      <w:tr w:rsidR="00951A61" w:rsidRPr="00603276" w14:paraId="66B07093" w14:textId="77777777" w:rsidTr="00A4032F">
        <w:trPr>
          <w:trHeight w:hRule="exact" w:val="425"/>
        </w:trPr>
        <w:tc>
          <w:tcPr>
            <w:tcW w:w="844" w:type="dxa"/>
            <w:tcBorders>
              <w:top w:val="nil"/>
              <w:left w:val="single" w:sz="8" w:space="0" w:color="808080"/>
              <w:bottom w:val="single" w:sz="8" w:space="0" w:color="808080"/>
              <w:right w:val="single" w:sz="8" w:space="0" w:color="808080"/>
            </w:tcBorders>
          </w:tcPr>
          <w:p w14:paraId="6194837B" w14:textId="77777777" w:rsidR="00951A61" w:rsidRPr="002C714E" w:rsidRDefault="00951A61" w:rsidP="00A4032F">
            <w:pPr>
              <w:jc w:val="center"/>
              <w:rPr>
                <w:rFonts w:ascii="Tahoma" w:hAnsi="Tahoma" w:cs="Tahoma"/>
                <w:sz w:val="20"/>
                <w:szCs w:val="20"/>
              </w:rPr>
            </w:pPr>
            <w:r w:rsidRPr="002C714E">
              <w:rPr>
                <w:rFonts w:ascii="Tahoma" w:hAnsi="Tahoma" w:cs="Tahoma"/>
                <w:sz w:val="20"/>
                <w:szCs w:val="20"/>
              </w:rPr>
              <w:t>3.</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1984EAD7" w14:textId="77777777" w:rsidR="00951A61" w:rsidRPr="002C714E" w:rsidRDefault="00951A61" w:rsidP="00A4032F">
            <w:pPr>
              <w:rPr>
                <w:rFonts w:ascii="Tahoma" w:hAnsi="Tahoma" w:cs="Tahoma"/>
                <w:sz w:val="20"/>
                <w:szCs w:val="20"/>
              </w:rPr>
            </w:pPr>
            <w:r w:rsidRPr="002C714E">
              <w:rPr>
                <w:rFonts w:ascii="Tahoma" w:hAnsi="Tahoma" w:cs="Tahoma"/>
                <w:sz w:val="20"/>
                <w:szCs w:val="20"/>
              </w:rPr>
              <w:t>Забайкальский край</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1B31F5D3" w14:textId="77777777" w:rsidR="00951A61" w:rsidRPr="002C714E" w:rsidRDefault="00951A61" w:rsidP="00A4032F">
            <w:pPr>
              <w:rPr>
                <w:rFonts w:ascii="Tahoma" w:hAnsi="Tahoma" w:cs="Tahoma"/>
                <w:sz w:val="20"/>
                <w:szCs w:val="20"/>
              </w:rPr>
            </w:pPr>
            <w:r w:rsidRPr="002C714E">
              <w:rPr>
                <w:rFonts w:ascii="Tahoma" w:hAnsi="Tahoma" w:cs="Tahoma"/>
                <w:sz w:val="20"/>
                <w:szCs w:val="20"/>
              </w:rPr>
              <w:t>Чита</w:t>
            </w:r>
          </w:p>
        </w:tc>
      </w:tr>
      <w:tr w:rsidR="00951A61" w:rsidRPr="00603276" w14:paraId="214513A8" w14:textId="77777777" w:rsidTr="00A4032F">
        <w:trPr>
          <w:trHeight w:hRule="exact" w:val="425"/>
        </w:trPr>
        <w:tc>
          <w:tcPr>
            <w:tcW w:w="844" w:type="dxa"/>
            <w:tcBorders>
              <w:top w:val="nil"/>
              <w:left w:val="single" w:sz="8" w:space="0" w:color="808080"/>
              <w:bottom w:val="single" w:sz="8" w:space="0" w:color="808080"/>
              <w:right w:val="single" w:sz="8" w:space="0" w:color="808080"/>
            </w:tcBorders>
          </w:tcPr>
          <w:p w14:paraId="19DB97D6" w14:textId="77777777" w:rsidR="00951A61" w:rsidRPr="002C714E" w:rsidRDefault="00951A61" w:rsidP="00A4032F">
            <w:pPr>
              <w:jc w:val="center"/>
              <w:rPr>
                <w:rFonts w:ascii="Tahoma" w:hAnsi="Tahoma" w:cs="Tahoma"/>
                <w:sz w:val="20"/>
                <w:szCs w:val="20"/>
              </w:rPr>
            </w:pPr>
            <w:r w:rsidRPr="002C714E">
              <w:rPr>
                <w:rFonts w:ascii="Tahoma" w:hAnsi="Tahoma" w:cs="Tahoma"/>
                <w:sz w:val="20"/>
                <w:szCs w:val="20"/>
              </w:rPr>
              <w:t>4.</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185CBDD1" w14:textId="77777777" w:rsidR="00951A61" w:rsidRPr="002C714E" w:rsidRDefault="00951A61" w:rsidP="00A4032F">
            <w:pPr>
              <w:rPr>
                <w:rFonts w:ascii="Tahoma" w:hAnsi="Tahoma" w:cs="Tahoma"/>
                <w:sz w:val="20"/>
                <w:szCs w:val="20"/>
              </w:rPr>
            </w:pPr>
            <w:r w:rsidRPr="002C714E">
              <w:rPr>
                <w:rFonts w:ascii="Tahoma" w:hAnsi="Tahoma" w:cs="Tahoma"/>
                <w:sz w:val="20"/>
                <w:szCs w:val="20"/>
              </w:rPr>
              <w:t>Иркутская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38EAC2EF" w14:textId="77777777" w:rsidR="00951A61" w:rsidRPr="002C714E" w:rsidRDefault="00951A61" w:rsidP="00A4032F">
            <w:pPr>
              <w:rPr>
                <w:rFonts w:ascii="Tahoma" w:hAnsi="Tahoma" w:cs="Tahoma"/>
                <w:sz w:val="20"/>
                <w:szCs w:val="20"/>
              </w:rPr>
            </w:pPr>
            <w:r w:rsidRPr="002C714E">
              <w:rPr>
                <w:rFonts w:ascii="Tahoma" w:hAnsi="Tahoma" w:cs="Tahoma"/>
                <w:sz w:val="20"/>
                <w:szCs w:val="20"/>
              </w:rPr>
              <w:t>Иркутск</w:t>
            </w:r>
          </w:p>
        </w:tc>
      </w:tr>
      <w:tr w:rsidR="00951A61" w:rsidRPr="00603276" w14:paraId="152E6A78" w14:textId="77777777" w:rsidTr="00A4032F">
        <w:trPr>
          <w:trHeight w:hRule="exact" w:val="425"/>
        </w:trPr>
        <w:tc>
          <w:tcPr>
            <w:tcW w:w="844" w:type="dxa"/>
            <w:tcBorders>
              <w:top w:val="nil"/>
              <w:left w:val="single" w:sz="8" w:space="0" w:color="808080"/>
              <w:bottom w:val="single" w:sz="8" w:space="0" w:color="808080"/>
              <w:right w:val="single" w:sz="8" w:space="0" w:color="808080"/>
            </w:tcBorders>
          </w:tcPr>
          <w:p w14:paraId="720FDCC9" w14:textId="77777777" w:rsidR="00951A61" w:rsidRPr="002C714E" w:rsidRDefault="00951A61" w:rsidP="00A4032F">
            <w:pPr>
              <w:jc w:val="center"/>
              <w:rPr>
                <w:rFonts w:ascii="Tahoma" w:hAnsi="Tahoma" w:cs="Tahoma"/>
                <w:sz w:val="20"/>
                <w:szCs w:val="20"/>
              </w:rPr>
            </w:pPr>
            <w:r w:rsidRPr="002C714E">
              <w:rPr>
                <w:rFonts w:ascii="Tahoma" w:hAnsi="Tahoma" w:cs="Tahoma"/>
                <w:sz w:val="20"/>
                <w:szCs w:val="20"/>
              </w:rPr>
              <w:t>5.</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6595F32B" w14:textId="77777777" w:rsidR="00951A61" w:rsidRPr="002C714E" w:rsidRDefault="00951A61" w:rsidP="00A4032F">
            <w:pPr>
              <w:rPr>
                <w:rFonts w:ascii="Tahoma" w:hAnsi="Tahoma" w:cs="Tahoma"/>
                <w:sz w:val="20"/>
                <w:szCs w:val="20"/>
              </w:rPr>
            </w:pPr>
            <w:r w:rsidRPr="002C714E">
              <w:rPr>
                <w:rFonts w:ascii="Tahoma" w:hAnsi="Tahoma" w:cs="Tahoma"/>
                <w:sz w:val="20"/>
                <w:szCs w:val="20"/>
              </w:rPr>
              <w:t>Камчатский край</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449EA50B" w14:textId="77777777" w:rsidR="00951A61" w:rsidRPr="002C714E" w:rsidRDefault="00951A61" w:rsidP="00A4032F">
            <w:pPr>
              <w:rPr>
                <w:rFonts w:ascii="Tahoma" w:hAnsi="Tahoma" w:cs="Tahoma"/>
                <w:sz w:val="20"/>
                <w:szCs w:val="20"/>
              </w:rPr>
            </w:pPr>
            <w:r w:rsidRPr="002C714E">
              <w:rPr>
                <w:rFonts w:ascii="Tahoma" w:hAnsi="Tahoma" w:cs="Tahoma"/>
                <w:sz w:val="20"/>
                <w:szCs w:val="20"/>
              </w:rPr>
              <w:t>Петропавловск-Камчатский</w:t>
            </w:r>
          </w:p>
        </w:tc>
      </w:tr>
      <w:tr w:rsidR="00951A61" w:rsidRPr="00603276" w14:paraId="7CFD050B" w14:textId="77777777" w:rsidTr="00A4032F">
        <w:trPr>
          <w:trHeight w:hRule="exact" w:val="425"/>
        </w:trPr>
        <w:tc>
          <w:tcPr>
            <w:tcW w:w="844" w:type="dxa"/>
            <w:tcBorders>
              <w:top w:val="nil"/>
              <w:left w:val="single" w:sz="8" w:space="0" w:color="808080"/>
              <w:bottom w:val="single" w:sz="8" w:space="0" w:color="808080"/>
              <w:right w:val="single" w:sz="8" w:space="0" w:color="808080"/>
            </w:tcBorders>
          </w:tcPr>
          <w:p w14:paraId="30B73E68" w14:textId="77777777" w:rsidR="00951A61" w:rsidRPr="002C714E" w:rsidRDefault="00951A61" w:rsidP="00A4032F">
            <w:pPr>
              <w:jc w:val="center"/>
              <w:rPr>
                <w:rFonts w:ascii="Tahoma" w:hAnsi="Tahoma" w:cs="Tahoma"/>
                <w:sz w:val="20"/>
                <w:szCs w:val="20"/>
              </w:rPr>
            </w:pPr>
            <w:r w:rsidRPr="002C714E">
              <w:rPr>
                <w:rFonts w:ascii="Tahoma" w:hAnsi="Tahoma" w:cs="Tahoma"/>
                <w:sz w:val="20"/>
                <w:szCs w:val="20"/>
              </w:rPr>
              <w:t>6.</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00E1FA32" w14:textId="77777777" w:rsidR="00951A61" w:rsidRPr="002C714E" w:rsidRDefault="00951A61" w:rsidP="00A4032F">
            <w:pPr>
              <w:rPr>
                <w:rFonts w:ascii="Tahoma" w:hAnsi="Tahoma" w:cs="Tahoma"/>
                <w:sz w:val="20"/>
                <w:szCs w:val="20"/>
              </w:rPr>
            </w:pPr>
            <w:r w:rsidRPr="002C714E">
              <w:rPr>
                <w:rFonts w:ascii="Tahoma" w:hAnsi="Tahoma" w:cs="Tahoma"/>
                <w:sz w:val="20"/>
                <w:szCs w:val="20"/>
              </w:rPr>
              <w:t>Кемеровская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7847FE8B" w14:textId="77777777" w:rsidR="00951A61" w:rsidRPr="002C714E" w:rsidRDefault="00951A61" w:rsidP="00A4032F">
            <w:pPr>
              <w:rPr>
                <w:rFonts w:ascii="Tahoma" w:hAnsi="Tahoma" w:cs="Tahoma"/>
                <w:sz w:val="20"/>
                <w:szCs w:val="20"/>
              </w:rPr>
            </w:pPr>
            <w:r w:rsidRPr="002C714E">
              <w:rPr>
                <w:rFonts w:ascii="Tahoma" w:hAnsi="Tahoma" w:cs="Tahoma"/>
                <w:sz w:val="20"/>
                <w:szCs w:val="20"/>
              </w:rPr>
              <w:t>Кемерово</w:t>
            </w:r>
          </w:p>
        </w:tc>
      </w:tr>
      <w:tr w:rsidR="00951A61" w:rsidRPr="00603276" w14:paraId="6730A74F" w14:textId="77777777" w:rsidTr="00A4032F">
        <w:trPr>
          <w:trHeight w:hRule="exact" w:val="425"/>
        </w:trPr>
        <w:tc>
          <w:tcPr>
            <w:tcW w:w="844" w:type="dxa"/>
            <w:tcBorders>
              <w:top w:val="nil"/>
              <w:left w:val="single" w:sz="8" w:space="0" w:color="808080"/>
              <w:bottom w:val="single" w:sz="8" w:space="0" w:color="808080"/>
              <w:right w:val="single" w:sz="8" w:space="0" w:color="808080"/>
            </w:tcBorders>
          </w:tcPr>
          <w:p w14:paraId="11B7679E" w14:textId="77777777" w:rsidR="00951A61" w:rsidRPr="002C714E" w:rsidRDefault="00951A61" w:rsidP="00A4032F">
            <w:pPr>
              <w:jc w:val="center"/>
              <w:rPr>
                <w:rFonts w:ascii="Tahoma" w:hAnsi="Tahoma" w:cs="Tahoma"/>
                <w:sz w:val="20"/>
                <w:szCs w:val="20"/>
              </w:rPr>
            </w:pPr>
            <w:r w:rsidRPr="002C714E">
              <w:rPr>
                <w:rFonts w:ascii="Tahoma" w:hAnsi="Tahoma" w:cs="Tahoma"/>
                <w:sz w:val="20"/>
                <w:szCs w:val="20"/>
              </w:rPr>
              <w:t>7.</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440ECC2D" w14:textId="77777777" w:rsidR="00951A61" w:rsidRPr="002C714E" w:rsidRDefault="00951A61" w:rsidP="00A4032F">
            <w:pPr>
              <w:rPr>
                <w:rFonts w:ascii="Tahoma" w:hAnsi="Tahoma" w:cs="Tahoma"/>
                <w:sz w:val="20"/>
                <w:szCs w:val="20"/>
              </w:rPr>
            </w:pPr>
            <w:r w:rsidRPr="002C714E">
              <w:rPr>
                <w:rFonts w:ascii="Tahoma" w:hAnsi="Tahoma" w:cs="Tahoma"/>
                <w:sz w:val="20"/>
                <w:szCs w:val="20"/>
              </w:rPr>
              <w:t>Красноярский край</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06BBA189" w14:textId="77777777" w:rsidR="00951A61" w:rsidRPr="002C714E" w:rsidRDefault="00951A61" w:rsidP="00A4032F">
            <w:pPr>
              <w:rPr>
                <w:rFonts w:ascii="Tahoma" w:hAnsi="Tahoma" w:cs="Tahoma"/>
                <w:sz w:val="20"/>
                <w:szCs w:val="20"/>
              </w:rPr>
            </w:pPr>
            <w:r w:rsidRPr="002C714E">
              <w:rPr>
                <w:rFonts w:ascii="Tahoma" w:hAnsi="Tahoma" w:cs="Tahoma"/>
                <w:sz w:val="20"/>
                <w:szCs w:val="20"/>
              </w:rPr>
              <w:t>Красноярск</w:t>
            </w:r>
          </w:p>
        </w:tc>
      </w:tr>
      <w:tr w:rsidR="00951A61" w:rsidRPr="00603276" w14:paraId="2E9DF1BD" w14:textId="77777777" w:rsidTr="00A4032F">
        <w:trPr>
          <w:trHeight w:hRule="exact" w:val="425"/>
        </w:trPr>
        <w:tc>
          <w:tcPr>
            <w:tcW w:w="844" w:type="dxa"/>
            <w:tcBorders>
              <w:top w:val="nil"/>
              <w:left w:val="single" w:sz="8" w:space="0" w:color="808080"/>
              <w:bottom w:val="single" w:sz="8" w:space="0" w:color="808080"/>
              <w:right w:val="single" w:sz="8" w:space="0" w:color="808080"/>
            </w:tcBorders>
          </w:tcPr>
          <w:p w14:paraId="508F77C9" w14:textId="77777777" w:rsidR="00951A61" w:rsidRPr="002C714E" w:rsidRDefault="00951A61" w:rsidP="00A4032F">
            <w:pPr>
              <w:jc w:val="center"/>
              <w:rPr>
                <w:rFonts w:ascii="Tahoma" w:hAnsi="Tahoma" w:cs="Tahoma"/>
                <w:sz w:val="20"/>
                <w:szCs w:val="20"/>
              </w:rPr>
            </w:pPr>
            <w:r w:rsidRPr="002C714E">
              <w:rPr>
                <w:rFonts w:ascii="Tahoma" w:hAnsi="Tahoma" w:cs="Tahoma"/>
                <w:sz w:val="20"/>
                <w:szCs w:val="20"/>
              </w:rPr>
              <w:t>8.</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2AF33E0D" w14:textId="77777777" w:rsidR="00951A61" w:rsidRPr="002C714E" w:rsidRDefault="00951A61" w:rsidP="00A4032F">
            <w:pPr>
              <w:rPr>
                <w:rFonts w:ascii="Tahoma" w:hAnsi="Tahoma" w:cs="Tahoma"/>
                <w:sz w:val="20"/>
                <w:szCs w:val="20"/>
              </w:rPr>
            </w:pPr>
            <w:r w:rsidRPr="002C714E">
              <w:rPr>
                <w:rFonts w:ascii="Tahoma" w:hAnsi="Tahoma" w:cs="Tahoma"/>
                <w:sz w:val="20"/>
                <w:szCs w:val="20"/>
              </w:rPr>
              <w:t>Магаданская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50A03F01" w14:textId="77777777" w:rsidR="00951A61" w:rsidRPr="002C714E" w:rsidRDefault="00951A61" w:rsidP="00A4032F">
            <w:pPr>
              <w:rPr>
                <w:rFonts w:ascii="Tahoma" w:hAnsi="Tahoma" w:cs="Tahoma"/>
                <w:sz w:val="20"/>
                <w:szCs w:val="20"/>
              </w:rPr>
            </w:pPr>
            <w:r w:rsidRPr="002C714E">
              <w:rPr>
                <w:rFonts w:ascii="Tahoma" w:hAnsi="Tahoma" w:cs="Tahoma"/>
                <w:sz w:val="20"/>
                <w:szCs w:val="20"/>
              </w:rPr>
              <w:t>Магадан</w:t>
            </w:r>
          </w:p>
        </w:tc>
      </w:tr>
      <w:tr w:rsidR="00951A61" w:rsidRPr="00603276" w14:paraId="1C0ACD9C" w14:textId="77777777" w:rsidTr="00A4032F">
        <w:trPr>
          <w:trHeight w:hRule="exact" w:val="425"/>
        </w:trPr>
        <w:tc>
          <w:tcPr>
            <w:tcW w:w="844" w:type="dxa"/>
            <w:tcBorders>
              <w:top w:val="nil"/>
              <w:left w:val="single" w:sz="8" w:space="0" w:color="808080"/>
              <w:bottom w:val="single" w:sz="8" w:space="0" w:color="808080"/>
              <w:right w:val="single" w:sz="8" w:space="0" w:color="808080"/>
            </w:tcBorders>
          </w:tcPr>
          <w:p w14:paraId="7C4FBA78" w14:textId="77777777" w:rsidR="00951A61" w:rsidRPr="002C714E" w:rsidRDefault="00951A61" w:rsidP="00A4032F">
            <w:pPr>
              <w:jc w:val="center"/>
              <w:rPr>
                <w:rFonts w:ascii="Tahoma" w:hAnsi="Tahoma" w:cs="Tahoma"/>
                <w:sz w:val="20"/>
                <w:szCs w:val="20"/>
              </w:rPr>
            </w:pPr>
            <w:r w:rsidRPr="002C714E">
              <w:rPr>
                <w:rFonts w:ascii="Tahoma" w:hAnsi="Tahoma" w:cs="Tahoma"/>
                <w:sz w:val="20"/>
                <w:szCs w:val="20"/>
              </w:rPr>
              <w:t>9.</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tcPr>
          <w:p w14:paraId="19B1937E" w14:textId="77777777" w:rsidR="00951A61" w:rsidRPr="002C714E" w:rsidRDefault="00951A61" w:rsidP="00A4032F">
            <w:pPr>
              <w:rPr>
                <w:rFonts w:ascii="Tahoma" w:hAnsi="Tahoma" w:cs="Tahoma"/>
                <w:sz w:val="20"/>
                <w:szCs w:val="20"/>
              </w:rPr>
            </w:pPr>
            <w:r w:rsidRPr="002C714E">
              <w:rPr>
                <w:rFonts w:ascii="Tahoma" w:hAnsi="Tahoma" w:cs="Tahoma"/>
                <w:sz w:val="20"/>
                <w:szCs w:val="20"/>
              </w:rPr>
              <w:t>Новосибирская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tcPr>
          <w:p w14:paraId="4C741307" w14:textId="77777777" w:rsidR="00951A61" w:rsidRPr="002C714E" w:rsidRDefault="00951A61" w:rsidP="00A4032F">
            <w:pPr>
              <w:rPr>
                <w:rFonts w:ascii="Tahoma" w:hAnsi="Tahoma" w:cs="Tahoma"/>
                <w:sz w:val="20"/>
                <w:szCs w:val="20"/>
              </w:rPr>
            </w:pPr>
            <w:r w:rsidRPr="002C714E">
              <w:rPr>
                <w:rFonts w:ascii="Tahoma" w:hAnsi="Tahoma" w:cs="Tahoma"/>
                <w:sz w:val="20"/>
                <w:szCs w:val="20"/>
              </w:rPr>
              <w:t>Новосибирск</w:t>
            </w:r>
          </w:p>
        </w:tc>
      </w:tr>
      <w:tr w:rsidR="00951A61" w:rsidRPr="00603276" w14:paraId="7EEAEFCF" w14:textId="77777777" w:rsidTr="00A4032F">
        <w:trPr>
          <w:trHeight w:hRule="exact" w:val="425"/>
        </w:trPr>
        <w:tc>
          <w:tcPr>
            <w:tcW w:w="844" w:type="dxa"/>
            <w:tcBorders>
              <w:top w:val="nil"/>
              <w:left w:val="single" w:sz="8" w:space="0" w:color="808080"/>
              <w:bottom w:val="single" w:sz="8" w:space="0" w:color="808080"/>
              <w:right w:val="single" w:sz="8" w:space="0" w:color="808080"/>
            </w:tcBorders>
          </w:tcPr>
          <w:p w14:paraId="657E99E2" w14:textId="77777777" w:rsidR="00951A61" w:rsidRPr="002C714E" w:rsidRDefault="00951A61" w:rsidP="00A4032F">
            <w:pPr>
              <w:jc w:val="center"/>
              <w:rPr>
                <w:rFonts w:ascii="Tahoma" w:hAnsi="Tahoma" w:cs="Tahoma"/>
                <w:sz w:val="20"/>
                <w:szCs w:val="20"/>
              </w:rPr>
            </w:pPr>
            <w:r w:rsidRPr="002C714E">
              <w:rPr>
                <w:rFonts w:ascii="Tahoma" w:hAnsi="Tahoma" w:cs="Tahoma"/>
                <w:sz w:val="20"/>
                <w:szCs w:val="20"/>
              </w:rPr>
              <w:t>10.</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44E2667E" w14:textId="77777777" w:rsidR="00951A61" w:rsidRPr="002C714E" w:rsidRDefault="00951A61" w:rsidP="00A4032F">
            <w:pPr>
              <w:rPr>
                <w:rFonts w:ascii="Tahoma" w:hAnsi="Tahoma" w:cs="Tahoma"/>
                <w:sz w:val="20"/>
                <w:szCs w:val="20"/>
              </w:rPr>
            </w:pPr>
            <w:r w:rsidRPr="002C714E">
              <w:rPr>
                <w:rFonts w:ascii="Tahoma" w:hAnsi="Tahoma" w:cs="Tahoma"/>
                <w:sz w:val="20"/>
                <w:szCs w:val="20"/>
              </w:rPr>
              <w:t>Омская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3C82BF1F" w14:textId="77777777" w:rsidR="00951A61" w:rsidRPr="002C714E" w:rsidRDefault="00951A61" w:rsidP="00A4032F">
            <w:pPr>
              <w:rPr>
                <w:rFonts w:ascii="Tahoma" w:hAnsi="Tahoma" w:cs="Tahoma"/>
                <w:sz w:val="20"/>
                <w:szCs w:val="20"/>
              </w:rPr>
            </w:pPr>
            <w:r w:rsidRPr="002C714E">
              <w:rPr>
                <w:rFonts w:ascii="Tahoma" w:hAnsi="Tahoma" w:cs="Tahoma"/>
                <w:sz w:val="20"/>
                <w:szCs w:val="20"/>
              </w:rPr>
              <w:t>Омск</w:t>
            </w:r>
          </w:p>
        </w:tc>
      </w:tr>
      <w:tr w:rsidR="00951A61" w:rsidRPr="00603276" w14:paraId="2A8FBA58" w14:textId="77777777" w:rsidTr="00A4032F">
        <w:trPr>
          <w:trHeight w:hRule="exact" w:val="425"/>
        </w:trPr>
        <w:tc>
          <w:tcPr>
            <w:tcW w:w="844" w:type="dxa"/>
            <w:tcBorders>
              <w:top w:val="nil"/>
              <w:left w:val="single" w:sz="8" w:space="0" w:color="808080"/>
              <w:bottom w:val="single" w:sz="8" w:space="0" w:color="808080"/>
              <w:right w:val="single" w:sz="8" w:space="0" w:color="808080"/>
            </w:tcBorders>
            <w:shd w:val="clear" w:color="auto" w:fill="FFFFFF"/>
          </w:tcPr>
          <w:p w14:paraId="15FED974" w14:textId="77777777" w:rsidR="00951A61" w:rsidRPr="002C714E" w:rsidRDefault="00951A61" w:rsidP="00A4032F">
            <w:pPr>
              <w:jc w:val="center"/>
              <w:rPr>
                <w:rFonts w:ascii="Tahoma" w:hAnsi="Tahoma" w:cs="Tahoma"/>
                <w:sz w:val="20"/>
                <w:szCs w:val="20"/>
              </w:rPr>
            </w:pPr>
            <w:r w:rsidRPr="002C714E">
              <w:rPr>
                <w:rFonts w:ascii="Tahoma" w:hAnsi="Tahoma" w:cs="Tahoma"/>
                <w:sz w:val="20"/>
                <w:szCs w:val="20"/>
              </w:rPr>
              <w:t>11.</w:t>
            </w:r>
          </w:p>
        </w:tc>
        <w:tc>
          <w:tcPr>
            <w:tcW w:w="6548" w:type="dxa"/>
            <w:tcBorders>
              <w:top w:val="nil"/>
              <w:left w:val="single" w:sz="8" w:space="0" w:color="808080"/>
              <w:bottom w:val="single" w:sz="8" w:space="0" w:color="808080"/>
              <w:right w:val="single" w:sz="8" w:space="0" w:color="808080"/>
            </w:tcBorders>
            <w:shd w:val="clear" w:color="auto" w:fill="FFFFFF"/>
            <w:noWrap/>
            <w:tcMar>
              <w:top w:w="0" w:type="dxa"/>
              <w:left w:w="108" w:type="dxa"/>
              <w:bottom w:w="0" w:type="dxa"/>
              <w:right w:w="108" w:type="dxa"/>
            </w:tcMar>
            <w:vAlign w:val="bottom"/>
            <w:hideMark/>
          </w:tcPr>
          <w:p w14:paraId="6CE8F75A" w14:textId="77777777" w:rsidR="00951A61" w:rsidRPr="002C714E" w:rsidRDefault="00951A61" w:rsidP="00A4032F">
            <w:pPr>
              <w:rPr>
                <w:rFonts w:ascii="Tahoma" w:hAnsi="Tahoma" w:cs="Tahoma"/>
                <w:sz w:val="20"/>
                <w:szCs w:val="20"/>
              </w:rPr>
            </w:pPr>
            <w:r w:rsidRPr="002C714E">
              <w:rPr>
                <w:rFonts w:ascii="Tahoma" w:hAnsi="Tahoma" w:cs="Tahoma"/>
                <w:sz w:val="20"/>
                <w:szCs w:val="20"/>
              </w:rPr>
              <w:t>Приморский край</w:t>
            </w:r>
          </w:p>
        </w:tc>
        <w:tc>
          <w:tcPr>
            <w:tcW w:w="3696" w:type="dxa"/>
            <w:tcBorders>
              <w:top w:val="nil"/>
              <w:left w:val="nil"/>
              <w:bottom w:val="single" w:sz="8" w:space="0" w:color="808080"/>
              <w:right w:val="single" w:sz="8" w:space="0" w:color="808080"/>
            </w:tcBorders>
            <w:shd w:val="clear" w:color="auto" w:fill="FFFFFF"/>
            <w:tcMar>
              <w:top w:w="0" w:type="dxa"/>
              <w:left w:w="108" w:type="dxa"/>
              <w:bottom w:w="0" w:type="dxa"/>
              <w:right w:w="108" w:type="dxa"/>
            </w:tcMar>
            <w:hideMark/>
          </w:tcPr>
          <w:p w14:paraId="40662B16" w14:textId="77777777" w:rsidR="00951A61" w:rsidRPr="002C714E" w:rsidRDefault="00951A61" w:rsidP="00A4032F">
            <w:pPr>
              <w:rPr>
                <w:rFonts w:ascii="Tahoma" w:hAnsi="Tahoma" w:cs="Tahoma"/>
                <w:sz w:val="20"/>
                <w:szCs w:val="20"/>
              </w:rPr>
            </w:pPr>
            <w:r w:rsidRPr="002C714E">
              <w:rPr>
                <w:rFonts w:ascii="Tahoma" w:hAnsi="Tahoma" w:cs="Tahoma"/>
                <w:sz w:val="20"/>
                <w:szCs w:val="20"/>
              </w:rPr>
              <w:t>Владивосток</w:t>
            </w:r>
          </w:p>
        </w:tc>
      </w:tr>
      <w:tr w:rsidR="00951A61" w:rsidRPr="00603276" w14:paraId="150FEBF0" w14:textId="77777777" w:rsidTr="00A4032F">
        <w:trPr>
          <w:trHeight w:hRule="exact" w:val="425"/>
        </w:trPr>
        <w:tc>
          <w:tcPr>
            <w:tcW w:w="844" w:type="dxa"/>
            <w:tcBorders>
              <w:top w:val="nil"/>
              <w:left w:val="single" w:sz="8" w:space="0" w:color="808080"/>
              <w:bottom w:val="single" w:sz="8" w:space="0" w:color="808080"/>
              <w:right w:val="single" w:sz="8" w:space="0" w:color="808080"/>
            </w:tcBorders>
          </w:tcPr>
          <w:p w14:paraId="66EC8328" w14:textId="77777777" w:rsidR="00951A61" w:rsidRPr="002C714E" w:rsidRDefault="00951A61" w:rsidP="00A4032F">
            <w:pPr>
              <w:jc w:val="center"/>
              <w:rPr>
                <w:rFonts w:ascii="Tahoma" w:hAnsi="Tahoma" w:cs="Tahoma"/>
                <w:sz w:val="20"/>
                <w:szCs w:val="20"/>
              </w:rPr>
            </w:pPr>
            <w:r w:rsidRPr="002C714E">
              <w:rPr>
                <w:rFonts w:ascii="Tahoma" w:hAnsi="Tahoma" w:cs="Tahoma"/>
                <w:sz w:val="20"/>
                <w:szCs w:val="20"/>
              </w:rPr>
              <w:t>12.</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1A70706C" w14:textId="77777777" w:rsidR="00951A61" w:rsidRPr="002C714E" w:rsidRDefault="00951A61" w:rsidP="00A4032F">
            <w:pPr>
              <w:rPr>
                <w:rFonts w:ascii="Tahoma" w:hAnsi="Tahoma" w:cs="Tahoma"/>
                <w:sz w:val="20"/>
                <w:szCs w:val="20"/>
              </w:rPr>
            </w:pPr>
            <w:r w:rsidRPr="002C714E">
              <w:rPr>
                <w:rFonts w:ascii="Tahoma" w:hAnsi="Tahoma" w:cs="Tahoma"/>
                <w:sz w:val="20"/>
                <w:szCs w:val="20"/>
              </w:rPr>
              <w:t>Республика Бурятия</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66959F5F" w14:textId="77777777" w:rsidR="00951A61" w:rsidRPr="002C714E" w:rsidRDefault="00951A61" w:rsidP="00A4032F">
            <w:pPr>
              <w:rPr>
                <w:rFonts w:ascii="Tahoma" w:hAnsi="Tahoma" w:cs="Tahoma"/>
                <w:sz w:val="20"/>
                <w:szCs w:val="20"/>
              </w:rPr>
            </w:pPr>
            <w:r w:rsidRPr="002C714E">
              <w:rPr>
                <w:rFonts w:ascii="Tahoma" w:hAnsi="Tahoma" w:cs="Tahoma"/>
                <w:sz w:val="20"/>
                <w:szCs w:val="20"/>
              </w:rPr>
              <w:t>Улан-Удэ</w:t>
            </w:r>
          </w:p>
        </w:tc>
      </w:tr>
      <w:tr w:rsidR="00951A61" w:rsidRPr="00603276" w14:paraId="66C89AAF" w14:textId="77777777" w:rsidTr="00A4032F">
        <w:trPr>
          <w:trHeight w:hRule="exact" w:val="425"/>
        </w:trPr>
        <w:tc>
          <w:tcPr>
            <w:tcW w:w="844" w:type="dxa"/>
            <w:tcBorders>
              <w:top w:val="nil"/>
              <w:left w:val="single" w:sz="8" w:space="0" w:color="808080"/>
              <w:bottom w:val="single" w:sz="8" w:space="0" w:color="808080"/>
              <w:right w:val="single" w:sz="8" w:space="0" w:color="808080"/>
            </w:tcBorders>
          </w:tcPr>
          <w:p w14:paraId="1EDB034C" w14:textId="77777777" w:rsidR="00951A61" w:rsidRPr="002C714E" w:rsidRDefault="00951A61" w:rsidP="00A4032F">
            <w:pPr>
              <w:jc w:val="center"/>
              <w:rPr>
                <w:rFonts w:ascii="Tahoma" w:hAnsi="Tahoma" w:cs="Tahoma"/>
                <w:sz w:val="20"/>
                <w:szCs w:val="20"/>
              </w:rPr>
            </w:pPr>
            <w:r w:rsidRPr="002C714E">
              <w:rPr>
                <w:rFonts w:ascii="Tahoma" w:hAnsi="Tahoma" w:cs="Tahoma"/>
                <w:sz w:val="20"/>
                <w:szCs w:val="20"/>
              </w:rPr>
              <w:t>13.</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531A3B6C" w14:textId="77777777" w:rsidR="00951A61" w:rsidRPr="002C714E" w:rsidRDefault="00951A61" w:rsidP="00A4032F">
            <w:pPr>
              <w:rPr>
                <w:rFonts w:ascii="Tahoma" w:hAnsi="Tahoma" w:cs="Tahoma"/>
                <w:sz w:val="20"/>
                <w:szCs w:val="20"/>
              </w:rPr>
            </w:pPr>
            <w:r w:rsidRPr="002C714E">
              <w:rPr>
                <w:rFonts w:ascii="Tahoma" w:hAnsi="Tahoma" w:cs="Tahoma"/>
                <w:sz w:val="20"/>
                <w:szCs w:val="20"/>
              </w:rPr>
              <w:t>Республика Саха (Якутия)</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30667CA5" w14:textId="77777777" w:rsidR="00951A61" w:rsidRPr="002C714E" w:rsidRDefault="00951A61" w:rsidP="00A4032F">
            <w:pPr>
              <w:rPr>
                <w:rFonts w:ascii="Tahoma" w:hAnsi="Tahoma" w:cs="Tahoma"/>
                <w:sz w:val="20"/>
                <w:szCs w:val="20"/>
              </w:rPr>
            </w:pPr>
            <w:r w:rsidRPr="002C714E">
              <w:rPr>
                <w:rFonts w:ascii="Tahoma" w:hAnsi="Tahoma" w:cs="Tahoma"/>
                <w:sz w:val="20"/>
                <w:szCs w:val="20"/>
              </w:rPr>
              <w:t>Якутск</w:t>
            </w:r>
          </w:p>
        </w:tc>
      </w:tr>
      <w:tr w:rsidR="00951A61" w:rsidRPr="00603276" w14:paraId="1CAF03E4" w14:textId="77777777" w:rsidTr="00A4032F">
        <w:trPr>
          <w:trHeight w:hRule="exact" w:val="425"/>
        </w:trPr>
        <w:tc>
          <w:tcPr>
            <w:tcW w:w="844" w:type="dxa"/>
            <w:tcBorders>
              <w:top w:val="nil"/>
              <w:left w:val="single" w:sz="8" w:space="0" w:color="808080"/>
              <w:bottom w:val="single" w:sz="8" w:space="0" w:color="808080"/>
              <w:right w:val="single" w:sz="8" w:space="0" w:color="808080"/>
            </w:tcBorders>
          </w:tcPr>
          <w:p w14:paraId="38E3161F" w14:textId="77777777" w:rsidR="00951A61" w:rsidRPr="002C714E" w:rsidRDefault="00951A61" w:rsidP="00A4032F">
            <w:pPr>
              <w:jc w:val="center"/>
              <w:rPr>
                <w:rFonts w:ascii="Tahoma" w:hAnsi="Tahoma" w:cs="Tahoma"/>
                <w:sz w:val="20"/>
                <w:szCs w:val="20"/>
              </w:rPr>
            </w:pPr>
            <w:r w:rsidRPr="002C714E">
              <w:rPr>
                <w:rFonts w:ascii="Tahoma" w:hAnsi="Tahoma" w:cs="Tahoma"/>
                <w:sz w:val="20"/>
                <w:szCs w:val="20"/>
              </w:rPr>
              <w:t>14.</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7AD48856" w14:textId="77777777" w:rsidR="00951A61" w:rsidRPr="002C714E" w:rsidRDefault="00951A61" w:rsidP="00A4032F">
            <w:pPr>
              <w:rPr>
                <w:rFonts w:ascii="Tahoma" w:hAnsi="Tahoma" w:cs="Tahoma"/>
                <w:sz w:val="20"/>
                <w:szCs w:val="20"/>
              </w:rPr>
            </w:pPr>
            <w:r w:rsidRPr="002C714E">
              <w:rPr>
                <w:rFonts w:ascii="Tahoma" w:hAnsi="Tahoma" w:cs="Tahoma"/>
                <w:sz w:val="20"/>
                <w:szCs w:val="20"/>
              </w:rPr>
              <w:t>Сахалинская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467F4CB8" w14:textId="77777777" w:rsidR="00951A61" w:rsidRPr="002C714E" w:rsidRDefault="00951A61" w:rsidP="00A4032F">
            <w:pPr>
              <w:rPr>
                <w:rFonts w:ascii="Tahoma" w:hAnsi="Tahoma" w:cs="Tahoma"/>
                <w:sz w:val="20"/>
                <w:szCs w:val="20"/>
              </w:rPr>
            </w:pPr>
            <w:r w:rsidRPr="002C714E">
              <w:rPr>
                <w:rFonts w:ascii="Tahoma" w:hAnsi="Tahoma" w:cs="Tahoma"/>
                <w:sz w:val="20"/>
                <w:szCs w:val="20"/>
              </w:rPr>
              <w:t>Южно-Сахалинск</w:t>
            </w:r>
          </w:p>
        </w:tc>
      </w:tr>
      <w:tr w:rsidR="00951A61" w:rsidRPr="00603276" w14:paraId="24E3026B" w14:textId="77777777" w:rsidTr="00A4032F">
        <w:trPr>
          <w:trHeight w:hRule="exact" w:val="425"/>
        </w:trPr>
        <w:tc>
          <w:tcPr>
            <w:tcW w:w="844" w:type="dxa"/>
            <w:tcBorders>
              <w:top w:val="nil"/>
              <w:left w:val="single" w:sz="8" w:space="0" w:color="808080"/>
              <w:bottom w:val="single" w:sz="8" w:space="0" w:color="808080"/>
              <w:right w:val="single" w:sz="8" w:space="0" w:color="808080"/>
            </w:tcBorders>
          </w:tcPr>
          <w:p w14:paraId="0134FB87" w14:textId="77777777" w:rsidR="00951A61" w:rsidRPr="002C714E" w:rsidRDefault="00951A61" w:rsidP="00A4032F">
            <w:pPr>
              <w:jc w:val="center"/>
              <w:rPr>
                <w:rFonts w:ascii="Tahoma" w:hAnsi="Tahoma" w:cs="Tahoma"/>
                <w:sz w:val="20"/>
                <w:szCs w:val="20"/>
              </w:rPr>
            </w:pPr>
            <w:r w:rsidRPr="002C714E">
              <w:rPr>
                <w:rFonts w:ascii="Tahoma" w:hAnsi="Tahoma" w:cs="Tahoma"/>
                <w:sz w:val="20"/>
                <w:szCs w:val="20"/>
              </w:rPr>
              <w:t>15.</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68A21846" w14:textId="77777777" w:rsidR="00951A61" w:rsidRPr="002C714E" w:rsidRDefault="00951A61" w:rsidP="00A4032F">
            <w:pPr>
              <w:rPr>
                <w:rFonts w:ascii="Tahoma" w:hAnsi="Tahoma" w:cs="Tahoma"/>
                <w:sz w:val="20"/>
                <w:szCs w:val="20"/>
              </w:rPr>
            </w:pPr>
            <w:r w:rsidRPr="002C714E">
              <w:rPr>
                <w:rFonts w:ascii="Tahoma" w:hAnsi="Tahoma" w:cs="Tahoma"/>
                <w:sz w:val="20"/>
                <w:szCs w:val="20"/>
              </w:rPr>
              <w:t>Свердловская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2D8A120B" w14:textId="77777777" w:rsidR="00951A61" w:rsidRPr="002C714E" w:rsidRDefault="00951A61" w:rsidP="00A4032F">
            <w:pPr>
              <w:rPr>
                <w:rFonts w:ascii="Tahoma" w:hAnsi="Tahoma" w:cs="Tahoma"/>
                <w:sz w:val="20"/>
                <w:szCs w:val="20"/>
              </w:rPr>
            </w:pPr>
            <w:r w:rsidRPr="002C714E">
              <w:rPr>
                <w:rFonts w:ascii="Tahoma" w:hAnsi="Tahoma" w:cs="Tahoma"/>
                <w:sz w:val="20"/>
                <w:szCs w:val="20"/>
              </w:rPr>
              <w:t>Екатеринбург</w:t>
            </w:r>
          </w:p>
        </w:tc>
      </w:tr>
      <w:tr w:rsidR="00951A61" w:rsidRPr="00AC7083" w14:paraId="3C3126E1" w14:textId="77777777" w:rsidTr="00A4032F">
        <w:trPr>
          <w:trHeight w:hRule="exact" w:val="425"/>
        </w:trPr>
        <w:tc>
          <w:tcPr>
            <w:tcW w:w="844" w:type="dxa"/>
            <w:tcBorders>
              <w:top w:val="nil"/>
              <w:left w:val="single" w:sz="8" w:space="0" w:color="808080"/>
              <w:bottom w:val="single" w:sz="8" w:space="0" w:color="808080"/>
              <w:right w:val="single" w:sz="8" w:space="0" w:color="808080"/>
            </w:tcBorders>
          </w:tcPr>
          <w:p w14:paraId="33E09538" w14:textId="77777777" w:rsidR="00951A61" w:rsidRPr="002C714E" w:rsidRDefault="00951A61" w:rsidP="00A4032F">
            <w:pPr>
              <w:jc w:val="center"/>
              <w:rPr>
                <w:rFonts w:ascii="Tahoma" w:hAnsi="Tahoma" w:cs="Tahoma"/>
                <w:sz w:val="20"/>
                <w:szCs w:val="20"/>
              </w:rPr>
            </w:pPr>
            <w:r w:rsidRPr="002C714E">
              <w:rPr>
                <w:rFonts w:ascii="Tahoma" w:hAnsi="Tahoma" w:cs="Tahoma"/>
                <w:sz w:val="20"/>
                <w:szCs w:val="20"/>
              </w:rPr>
              <w:t>16.</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49C950B9" w14:textId="77777777" w:rsidR="00951A61" w:rsidRPr="002C714E" w:rsidRDefault="00951A61" w:rsidP="00A4032F">
            <w:pPr>
              <w:rPr>
                <w:rFonts w:ascii="Tahoma" w:hAnsi="Tahoma" w:cs="Tahoma"/>
                <w:sz w:val="20"/>
                <w:szCs w:val="20"/>
              </w:rPr>
            </w:pPr>
            <w:r w:rsidRPr="002C714E">
              <w:rPr>
                <w:rFonts w:ascii="Tahoma" w:hAnsi="Tahoma" w:cs="Tahoma"/>
                <w:sz w:val="20"/>
                <w:szCs w:val="20"/>
              </w:rPr>
              <w:t>Хабаровский край и Еврейская автономная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4B2A98B5" w14:textId="77777777" w:rsidR="00951A61" w:rsidRPr="002C714E" w:rsidRDefault="00951A61" w:rsidP="00A4032F">
            <w:pPr>
              <w:rPr>
                <w:rFonts w:ascii="Tahoma" w:hAnsi="Tahoma" w:cs="Tahoma"/>
                <w:sz w:val="20"/>
                <w:szCs w:val="20"/>
              </w:rPr>
            </w:pPr>
            <w:r w:rsidRPr="002C714E">
              <w:rPr>
                <w:rFonts w:ascii="Tahoma" w:hAnsi="Tahoma" w:cs="Tahoma"/>
                <w:sz w:val="20"/>
                <w:szCs w:val="20"/>
              </w:rPr>
              <w:t>Хабаровск</w:t>
            </w:r>
          </w:p>
        </w:tc>
      </w:tr>
    </w:tbl>
    <w:p w14:paraId="44AD5862" w14:textId="77777777" w:rsidR="00951A61" w:rsidRDefault="00951A61" w:rsidP="00951A61">
      <w:pPr>
        <w:pStyle w:val="affe"/>
        <w:ind w:left="0" w:right="23"/>
        <w:jc w:val="both"/>
      </w:pPr>
    </w:p>
    <w:p w14:paraId="49248EDA" w14:textId="77777777" w:rsidR="00951A61" w:rsidRPr="00221DE0" w:rsidRDefault="00951A61" w:rsidP="00951A61">
      <w:pPr>
        <w:pStyle w:val="affe"/>
        <w:suppressAutoHyphens/>
        <w:spacing w:before="80" w:after="120"/>
        <w:ind w:left="284" w:right="23"/>
        <w:jc w:val="center"/>
        <w:rPr>
          <w:rFonts w:ascii="Tahoma" w:hAnsi="Tahoma" w:cs="Tahoma"/>
          <w:sz w:val="20"/>
          <w:szCs w:val="20"/>
        </w:rPr>
      </w:pPr>
    </w:p>
    <w:p w14:paraId="1A892693" w14:textId="77777777" w:rsidR="00951A61" w:rsidRDefault="00951A61" w:rsidP="00951A61">
      <w:pPr>
        <w:pStyle w:val="affe"/>
        <w:ind w:left="0" w:right="23"/>
        <w:jc w:val="both"/>
      </w:pPr>
    </w:p>
    <w:p w14:paraId="1A99A607" w14:textId="77777777" w:rsidR="00951A61" w:rsidRDefault="00951A61" w:rsidP="00951A61">
      <w:pPr>
        <w:jc w:val="both"/>
        <w:rPr>
          <w:rFonts w:ascii="Tahoma" w:hAnsi="Tahoma" w:cs="Tahoma"/>
          <w:sz w:val="20"/>
          <w:szCs w:val="20"/>
        </w:rPr>
      </w:pPr>
    </w:p>
    <w:p w14:paraId="13831F1B" w14:textId="77777777" w:rsidR="00951A61" w:rsidRPr="00B50DE9" w:rsidRDefault="00951A61" w:rsidP="00951A61">
      <w:pPr>
        <w:pageBreakBefore/>
        <w:jc w:val="both"/>
        <w:rPr>
          <w:rFonts w:ascii="Tahoma" w:hAnsi="Tahoma" w:cs="Tahoma"/>
          <w:sz w:val="20"/>
          <w:szCs w:val="20"/>
        </w:rPr>
      </w:pPr>
    </w:p>
    <w:tbl>
      <w:tblPr>
        <w:tblW w:w="1565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52"/>
      </w:tblGrid>
      <w:tr w:rsidR="00951A61" w:rsidRPr="00BC7209" w14:paraId="2E858EDF" w14:textId="77777777" w:rsidTr="00A4032F">
        <w:trPr>
          <w:trHeight w:val="227"/>
        </w:trPr>
        <w:tc>
          <w:tcPr>
            <w:tcW w:w="15652" w:type="dxa"/>
            <w:tcBorders>
              <w:top w:val="single" w:sz="4" w:space="0" w:color="auto"/>
              <w:left w:val="single" w:sz="4" w:space="0" w:color="auto"/>
              <w:bottom w:val="single" w:sz="4" w:space="0" w:color="auto"/>
              <w:right w:val="single" w:sz="4" w:space="0" w:color="auto"/>
            </w:tcBorders>
            <w:shd w:val="clear" w:color="auto" w:fill="E36C0A"/>
            <w:hideMark/>
          </w:tcPr>
          <w:p w14:paraId="284D0A01" w14:textId="68F9B3A0" w:rsidR="00951A61" w:rsidRPr="00BC7209" w:rsidRDefault="000B3718" w:rsidP="000B3718">
            <w:pPr>
              <w:pStyle w:val="a5"/>
              <w:rPr>
                <w:rFonts w:eastAsia="Calibri"/>
                <w:szCs w:val="22"/>
              </w:rPr>
            </w:pPr>
            <w:r>
              <w:rPr>
                <w:noProof/>
              </w:rPr>
              <w:t xml:space="preserve">2.3.4 </w:t>
            </w:r>
            <w:r w:rsidR="00951A61" w:rsidRPr="00E55B75">
              <w:rPr>
                <w:noProof/>
              </w:rPr>
              <w:t>Тарифный план «Дальневосточная</w:t>
            </w:r>
            <w:r w:rsidR="00951A61">
              <w:rPr>
                <w:noProof/>
              </w:rPr>
              <w:t xml:space="preserve"> и арктическая</w:t>
            </w:r>
            <w:r w:rsidR="00951A61" w:rsidRPr="00E55B75">
              <w:rPr>
                <w:noProof/>
              </w:rPr>
              <w:t xml:space="preserve"> ипотека»</w:t>
            </w:r>
          </w:p>
        </w:tc>
      </w:tr>
    </w:tbl>
    <w:p w14:paraId="54C6D7ED" w14:textId="77777777" w:rsidR="00951A61" w:rsidRPr="00BC7209" w:rsidRDefault="00951A61" w:rsidP="00951A61">
      <w:pPr>
        <w:jc w:val="center"/>
        <w:rPr>
          <w:rFonts w:ascii="Tahoma" w:hAnsi="Tahoma" w:cs="Tahoma"/>
          <w:b/>
          <w:noProof/>
          <w:sz w:val="20"/>
          <w:szCs w:val="20"/>
        </w:rPr>
      </w:pPr>
    </w:p>
    <w:p w14:paraId="6B5693E9" w14:textId="77777777" w:rsidR="00951A61" w:rsidRPr="00234585" w:rsidRDefault="00951A61" w:rsidP="00951A61">
      <w:pPr>
        <w:jc w:val="center"/>
        <w:rPr>
          <w:rFonts w:ascii="Tahoma" w:hAnsi="Tahoma" w:cs="Tahoma"/>
          <w:b/>
          <w:noProof/>
          <w:sz w:val="20"/>
          <w:szCs w:val="20"/>
        </w:rPr>
      </w:pPr>
    </w:p>
    <w:p w14:paraId="7375324D" w14:textId="77777777" w:rsidR="00951A61" w:rsidRPr="00C91780" w:rsidRDefault="00951A61" w:rsidP="00951A61">
      <w:pPr>
        <w:jc w:val="center"/>
        <w:rPr>
          <w:rFonts w:ascii="Tahoma" w:hAnsi="Tahoma" w:cs="Tahoma"/>
          <w:b/>
          <w:noProof/>
          <w:sz w:val="20"/>
          <w:szCs w:val="20"/>
        </w:rPr>
      </w:pPr>
      <w:r w:rsidRPr="00234585">
        <w:rPr>
          <w:rFonts w:ascii="Tahoma" w:hAnsi="Tahoma" w:cs="Tahoma"/>
          <w:b/>
          <w:noProof/>
          <w:sz w:val="20"/>
          <w:szCs w:val="20"/>
        </w:rPr>
        <w:t xml:space="preserve">ИНФОРМАЦИЯ ОБ УСЛОВИЯХ </w:t>
      </w:r>
      <w:r w:rsidRPr="00C91780">
        <w:rPr>
          <w:rFonts w:ascii="Tahoma" w:hAnsi="Tahoma" w:cs="Tahoma"/>
          <w:b/>
          <w:noProof/>
          <w:sz w:val="20"/>
          <w:szCs w:val="20"/>
        </w:rPr>
        <w:t xml:space="preserve">ПРЕДОСТАВЛЕНИЯ, ИСПОЛЬЗОВАНИЯ И ВОЗВРАТА ИПОТЕЧНОГО КРЕДИТА </w:t>
      </w:r>
    </w:p>
    <w:p w14:paraId="72179A19" w14:textId="77777777" w:rsidR="00951A61" w:rsidRPr="00234585" w:rsidRDefault="00951A61" w:rsidP="00951A61">
      <w:pPr>
        <w:jc w:val="center"/>
        <w:rPr>
          <w:rFonts w:ascii="Tahoma" w:hAnsi="Tahoma" w:cs="Tahoma"/>
          <w:b/>
          <w:noProof/>
          <w:sz w:val="20"/>
          <w:szCs w:val="20"/>
        </w:rPr>
      </w:pPr>
      <w:r w:rsidRPr="00C91780">
        <w:rPr>
          <w:rFonts w:ascii="Tahoma" w:hAnsi="Tahoma" w:cs="Tahoma"/>
          <w:b/>
          <w:noProof/>
        </w:rPr>
        <w:t xml:space="preserve"> </w:t>
      </w:r>
      <w:r w:rsidRPr="00C91780">
        <w:rPr>
          <w:rFonts w:ascii="Tahoma" w:hAnsi="Tahoma" w:cs="Tahoma"/>
          <w:b/>
          <w:noProof/>
          <w:sz w:val="20"/>
          <w:szCs w:val="20"/>
        </w:rPr>
        <w:t>«ДАЛЬНЕВОСТОЧНАЯ</w:t>
      </w:r>
      <w:r>
        <w:rPr>
          <w:rFonts w:ascii="Tahoma" w:hAnsi="Tahoma" w:cs="Tahoma"/>
          <w:b/>
          <w:noProof/>
          <w:sz w:val="20"/>
          <w:szCs w:val="20"/>
        </w:rPr>
        <w:t xml:space="preserve"> и АРКТИЧЕСКАЯ</w:t>
      </w:r>
      <w:r w:rsidRPr="00C91780">
        <w:rPr>
          <w:rFonts w:ascii="Tahoma" w:hAnsi="Tahoma" w:cs="Tahoma"/>
          <w:b/>
          <w:noProof/>
          <w:sz w:val="20"/>
          <w:szCs w:val="20"/>
        </w:rPr>
        <w:t xml:space="preserve"> ИПОТЕКА»</w:t>
      </w:r>
      <w:r w:rsidRPr="00C91780">
        <w:rPr>
          <w:rStyle w:val="aff3"/>
          <w:rFonts w:ascii="Tahoma" w:hAnsi="Tahoma"/>
          <w:b/>
          <w:noProof/>
          <w:sz w:val="20"/>
          <w:szCs w:val="20"/>
        </w:rPr>
        <w:footnoteReference w:id="94"/>
      </w:r>
    </w:p>
    <w:p w14:paraId="0E7FA11A" w14:textId="77777777" w:rsidR="00951A61" w:rsidRPr="00234585" w:rsidRDefault="00951A61" w:rsidP="00951A61">
      <w:pPr>
        <w:jc w:val="center"/>
        <w:rPr>
          <w:rFonts w:ascii="Tahoma" w:hAnsi="Tahoma" w:cs="Tahoma"/>
          <w:b/>
          <w:bCs/>
          <w:caps/>
          <w:sz w:val="20"/>
          <w:szCs w:val="20"/>
        </w:rPr>
      </w:pPr>
    </w:p>
    <w:p w14:paraId="51542B33" w14:textId="77777777" w:rsidR="00951A61" w:rsidRPr="00234585" w:rsidRDefault="00951A61" w:rsidP="00B460F9">
      <w:pPr>
        <w:pStyle w:val="affe"/>
        <w:numPr>
          <w:ilvl w:val="0"/>
          <w:numId w:val="184"/>
        </w:numPr>
        <w:tabs>
          <w:tab w:val="left" w:pos="851"/>
        </w:tabs>
        <w:ind w:left="0" w:firstLine="426"/>
        <w:contextualSpacing/>
        <w:jc w:val="both"/>
        <w:rPr>
          <w:rFonts w:ascii="Tahoma" w:hAnsi="Tahoma" w:cs="Tahoma"/>
          <w:noProof/>
          <w:sz w:val="20"/>
          <w:szCs w:val="20"/>
        </w:rPr>
      </w:pPr>
      <w:r w:rsidRPr="00234585">
        <w:rPr>
          <w:rFonts w:ascii="Tahoma" w:hAnsi="Tahoma" w:cs="Tahoma"/>
          <w:b/>
          <w:bCs/>
          <w:caps/>
          <w:sz w:val="20"/>
          <w:szCs w:val="20"/>
        </w:rPr>
        <w:t>ОСНОВНЫЕ ПОНЯТИЯ, ИСПОЛЬЗУЕМЫЕ ТЕРМИНЫ и сокращения</w:t>
      </w:r>
    </w:p>
    <w:p w14:paraId="250A2BAE" w14:textId="77777777" w:rsidR="00951A61" w:rsidRPr="00234585" w:rsidRDefault="00951A61" w:rsidP="00951A61">
      <w:pPr>
        <w:rPr>
          <w:rFonts w:ascii="Tahoma" w:hAnsi="Tahoma" w:cs="Tahoma"/>
          <w:noProof/>
          <w:sz w:val="20"/>
          <w:szCs w:val="20"/>
        </w:rPr>
      </w:pPr>
    </w:p>
    <w:tbl>
      <w:tblPr>
        <w:tblW w:w="507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8"/>
        <w:gridCol w:w="12025"/>
      </w:tblGrid>
      <w:tr w:rsidR="00951A61" w:rsidRPr="008B7EAD" w14:paraId="0C27C9EC" w14:textId="77777777" w:rsidTr="00A4032F">
        <w:tc>
          <w:tcPr>
            <w:tcW w:w="1224" w:type="pct"/>
            <w:vAlign w:val="center"/>
          </w:tcPr>
          <w:p w14:paraId="123A781F" w14:textId="77777777" w:rsidR="00951A61" w:rsidRPr="008B7EAD" w:rsidRDefault="00951A61" w:rsidP="00A4032F">
            <w:pPr>
              <w:tabs>
                <w:tab w:val="left" w:pos="0"/>
                <w:tab w:val="left" w:pos="9072"/>
                <w:tab w:val="left" w:pos="10549"/>
              </w:tabs>
              <w:jc w:val="center"/>
              <w:rPr>
                <w:rFonts w:ascii="Tahoma" w:hAnsi="Tahoma" w:cs="Tahoma"/>
                <w:sz w:val="20"/>
                <w:szCs w:val="20"/>
              </w:rPr>
            </w:pPr>
            <w:r w:rsidRPr="008B7EAD">
              <w:rPr>
                <w:rFonts w:ascii="Tahoma" w:hAnsi="Tahoma" w:cs="Tahoma"/>
                <w:sz w:val="20"/>
                <w:szCs w:val="20"/>
              </w:rPr>
              <w:t>Действительная стоимость Предмета ипотеки</w:t>
            </w:r>
          </w:p>
          <w:p w14:paraId="681F02CB" w14:textId="77777777" w:rsidR="00951A61" w:rsidRPr="008B7EAD" w:rsidRDefault="00951A61" w:rsidP="00A4032F">
            <w:pPr>
              <w:tabs>
                <w:tab w:val="left" w:pos="851"/>
              </w:tabs>
              <w:jc w:val="center"/>
              <w:rPr>
                <w:rFonts w:ascii="Tahoma" w:hAnsi="Tahoma" w:cs="Tahoma"/>
                <w:sz w:val="20"/>
                <w:szCs w:val="20"/>
              </w:rPr>
            </w:pPr>
          </w:p>
        </w:tc>
        <w:tc>
          <w:tcPr>
            <w:tcW w:w="3776" w:type="pct"/>
          </w:tcPr>
          <w:p w14:paraId="08BB152B" w14:textId="77777777" w:rsidR="00951A61" w:rsidRPr="008B7EAD" w:rsidRDefault="00951A61" w:rsidP="00A4032F">
            <w:pPr>
              <w:tabs>
                <w:tab w:val="left" w:pos="851"/>
              </w:tabs>
              <w:ind w:firstLine="425"/>
              <w:jc w:val="both"/>
              <w:rPr>
                <w:rFonts w:ascii="Tahoma" w:hAnsi="Tahoma" w:cs="Tahoma"/>
                <w:sz w:val="20"/>
                <w:szCs w:val="20"/>
              </w:rPr>
            </w:pPr>
            <w:r w:rsidRPr="008B7EAD">
              <w:rPr>
                <w:rFonts w:ascii="Tahoma" w:hAnsi="Tahoma" w:cs="Tahoma"/>
                <w:sz w:val="20"/>
                <w:szCs w:val="20"/>
              </w:rPr>
              <w:t>Рыночная стоимость Предмета ипотеки, определяемая как наименьшая из трех величин: стоимость по Договору приобретения недвижимого имущества; рыночная стоимость согласно Отчету об оценке; рыночная стоимость Предмета ипотеки в соответствии с заключением ответственного подразделения Банка (при необходимости).</w:t>
            </w:r>
          </w:p>
        </w:tc>
      </w:tr>
      <w:tr w:rsidR="00951A61" w:rsidRPr="008B7EAD" w14:paraId="40869C6E" w14:textId="77777777" w:rsidTr="00A4032F">
        <w:tc>
          <w:tcPr>
            <w:tcW w:w="1224" w:type="pct"/>
            <w:vAlign w:val="center"/>
          </w:tcPr>
          <w:p w14:paraId="6D7A1828" w14:textId="77777777" w:rsidR="00951A61" w:rsidRPr="008B7EAD" w:rsidRDefault="00951A61" w:rsidP="00A4032F">
            <w:pPr>
              <w:tabs>
                <w:tab w:val="left" w:pos="851"/>
              </w:tabs>
              <w:jc w:val="center"/>
              <w:rPr>
                <w:rFonts w:ascii="Tahoma" w:hAnsi="Tahoma" w:cs="Tahoma"/>
                <w:sz w:val="20"/>
                <w:szCs w:val="20"/>
              </w:rPr>
            </w:pPr>
            <w:r w:rsidRPr="008B7EAD">
              <w:rPr>
                <w:rFonts w:ascii="Tahoma" w:hAnsi="Tahoma" w:cs="Tahoma"/>
                <w:sz w:val="20"/>
                <w:szCs w:val="20"/>
              </w:rPr>
              <w:t>Жилой дом</w:t>
            </w:r>
          </w:p>
        </w:tc>
        <w:tc>
          <w:tcPr>
            <w:tcW w:w="3776" w:type="pct"/>
          </w:tcPr>
          <w:p w14:paraId="7FFDA3EC" w14:textId="77777777" w:rsidR="00951A61" w:rsidRPr="008B7EAD" w:rsidRDefault="00951A61" w:rsidP="00A4032F">
            <w:pPr>
              <w:tabs>
                <w:tab w:val="left" w:pos="851"/>
              </w:tabs>
              <w:ind w:firstLine="425"/>
              <w:jc w:val="both"/>
              <w:rPr>
                <w:rFonts w:ascii="Tahoma" w:hAnsi="Tahoma" w:cs="Tahoma"/>
                <w:sz w:val="20"/>
                <w:szCs w:val="20"/>
              </w:rPr>
            </w:pPr>
            <w:r w:rsidRPr="008B7EAD">
              <w:rPr>
                <w:rFonts w:ascii="Tahoma" w:hAnsi="Tahoma" w:cs="Tahoma"/>
                <w:sz w:val="20"/>
                <w:szCs w:val="20"/>
              </w:rPr>
              <w:t>Индивидуально-определенное здание, которое состоит из комнат, а также помещений вспомогательного использования,  пригодное для постоянного или временного проживания, имеющее отдельный вход.</w:t>
            </w:r>
          </w:p>
        </w:tc>
      </w:tr>
      <w:tr w:rsidR="00951A61" w:rsidRPr="008B7EAD" w14:paraId="69071134" w14:textId="77777777" w:rsidTr="00A4032F">
        <w:tc>
          <w:tcPr>
            <w:tcW w:w="1224" w:type="pct"/>
            <w:vAlign w:val="center"/>
          </w:tcPr>
          <w:p w14:paraId="072C0001" w14:textId="77777777" w:rsidR="00951A61" w:rsidRPr="008B7EAD" w:rsidRDefault="00951A61" w:rsidP="00A4032F">
            <w:pPr>
              <w:tabs>
                <w:tab w:val="left" w:pos="851"/>
              </w:tabs>
              <w:jc w:val="center"/>
              <w:rPr>
                <w:rFonts w:ascii="Tahoma" w:hAnsi="Tahoma" w:cs="Tahoma"/>
                <w:sz w:val="20"/>
                <w:szCs w:val="20"/>
              </w:rPr>
            </w:pPr>
            <w:r w:rsidRPr="008B7EAD">
              <w:rPr>
                <w:rFonts w:ascii="Tahoma" w:hAnsi="Tahoma" w:cs="Tahoma"/>
                <w:sz w:val="20"/>
                <w:szCs w:val="20"/>
              </w:rPr>
              <w:t xml:space="preserve">Заемщик/Созаемщик </w:t>
            </w:r>
          </w:p>
          <w:p w14:paraId="3E08EA40" w14:textId="77777777" w:rsidR="00951A61" w:rsidRPr="008B7EAD" w:rsidRDefault="00951A61" w:rsidP="00A4032F">
            <w:pPr>
              <w:tabs>
                <w:tab w:val="left" w:pos="851"/>
              </w:tabs>
              <w:jc w:val="center"/>
              <w:rPr>
                <w:rFonts w:ascii="Tahoma" w:hAnsi="Tahoma" w:cs="Tahoma"/>
                <w:sz w:val="20"/>
                <w:szCs w:val="20"/>
              </w:rPr>
            </w:pPr>
            <w:r w:rsidRPr="008B7EAD">
              <w:rPr>
                <w:rFonts w:ascii="Tahoma" w:hAnsi="Tahoma" w:cs="Tahoma"/>
                <w:sz w:val="20"/>
                <w:szCs w:val="20"/>
              </w:rPr>
              <w:t>(далее по тексту – Заемщик, если применимо для двух сторон)</w:t>
            </w:r>
          </w:p>
        </w:tc>
        <w:tc>
          <w:tcPr>
            <w:tcW w:w="3776" w:type="pct"/>
            <w:vAlign w:val="center"/>
          </w:tcPr>
          <w:p w14:paraId="770F6274" w14:textId="77777777" w:rsidR="00951A61" w:rsidRPr="008B7EAD" w:rsidRDefault="00951A61" w:rsidP="00A4032F">
            <w:pPr>
              <w:tabs>
                <w:tab w:val="left" w:pos="851"/>
              </w:tabs>
              <w:ind w:firstLine="425"/>
              <w:jc w:val="both"/>
              <w:rPr>
                <w:rFonts w:ascii="Tahoma" w:hAnsi="Tahoma" w:cs="Tahoma"/>
                <w:sz w:val="20"/>
                <w:szCs w:val="20"/>
              </w:rPr>
            </w:pPr>
            <w:r w:rsidRPr="008B7EAD">
              <w:rPr>
                <w:rFonts w:ascii="Tahoma" w:hAnsi="Tahoma" w:cs="Tahoma"/>
                <w:sz w:val="20"/>
                <w:szCs w:val="20"/>
              </w:rPr>
              <w:t>Физическое лицо, обратившееся в Банк с Заявлением получить, получающее или получившее ипотечный кредит/потребительский кредит/потребительский кредит (с лимитом кредитования) на основании заключения Кредитного договора/договора потребительского кредитования.</w:t>
            </w:r>
          </w:p>
          <w:p w14:paraId="2440E7BD" w14:textId="77777777" w:rsidR="00951A61" w:rsidRPr="008B7EAD" w:rsidRDefault="00951A61" w:rsidP="00A4032F">
            <w:pPr>
              <w:tabs>
                <w:tab w:val="left" w:pos="851"/>
              </w:tabs>
              <w:ind w:firstLine="425"/>
              <w:jc w:val="both"/>
              <w:rPr>
                <w:rFonts w:ascii="Tahoma" w:hAnsi="Tahoma" w:cs="Tahoma"/>
                <w:sz w:val="20"/>
                <w:szCs w:val="20"/>
              </w:rPr>
            </w:pPr>
            <w:r w:rsidRPr="008B7EAD">
              <w:rPr>
                <w:rFonts w:ascii="Tahoma" w:hAnsi="Tahoma" w:cs="Tahoma"/>
                <w:sz w:val="20"/>
                <w:szCs w:val="20"/>
              </w:rPr>
              <w:t>Созаемщик – лицо, совместно с Заемщиком обратившееся в Банк с Заявлением получить, получающее или получившее Ипотечный кредит по Кредитному договору. Созаемщик имеет равные права и обязанности с Заемщиком, в том числе несет солидарную ответственность перед Банком по погашению. Его доходы также, как и доходы Заемщика, могут быть учтены для расчета максимально возможной суммы кредита.</w:t>
            </w:r>
          </w:p>
        </w:tc>
      </w:tr>
      <w:tr w:rsidR="00951A61" w:rsidRPr="008B7EAD" w14:paraId="37226012" w14:textId="77777777" w:rsidTr="00A4032F">
        <w:tc>
          <w:tcPr>
            <w:tcW w:w="1224" w:type="pct"/>
            <w:vAlign w:val="center"/>
          </w:tcPr>
          <w:p w14:paraId="4F2BE609" w14:textId="77777777" w:rsidR="00951A61" w:rsidRPr="001F13E2" w:rsidRDefault="00951A61" w:rsidP="00A4032F">
            <w:pPr>
              <w:tabs>
                <w:tab w:val="left" w:pos="851"/>
              </w:tabs>
              <w:jc w:val="center"/>
              <w:rPr>
                <w:rFonts w:ascii="Tahoma" w:hAnsi="Tahoma" w:cs="Tahoma"/>
                <w:sz w:val="20"/>
                <w:szCs w:val="20"/>
              </w:rPr>
            </w:pPr>
            <w:r w:rsidRPr="001F13E2">
              <w:rPr>
                <w:rFonts w:ascii="Tahoma" w:hAnsi="Tahoma" w:cs="Tahoma"/>
                <w:sz w:val="20"/>
                <w:szCs w:val="20"/>
              </w:rPr>
              <w:t>Заемщик с официально подтвержденным доходом</w:t>
            </w:r>
          </w:p>
        </w:tc>
        <w:tc>
          <w:tcPr>
            <w:tcW w:w="3776" w:type="pct"/>
            <w:vAlign w:val="center"/>
          </w:tcPr>
          <w:p w14:paraId="6224C18E" w14:textId="77777777" w:rsidR="00951A61" w:rsidRPr="001F13E2" w:rsidRDefault="00951A61" w:rsidP="00A4032F">
            <w:pPr>
              <w:tabs>
                <w:tab w:val="left" w:pos="851"/>
              </w:tabs>
              <w:ind w:firstLine="425"/>
              <w:jc w:val="both"/>
              <w:rPr>
                <w:rFonts w:ascii="Tahoma" w:hAnsi="Tahoma" w:cs="Tahoma"/>
                <w:sz w:val="20"/>
                <w:szCs w:val="20"/>
              </w:rPr>
            </w:pPr>
            <w:r w:rsidRPr="001F13E2">
              <w:rPr>
                <w:rFonts w:ascii="Tahoma" w:hAnsi="Tahoma" w:cs="Tahoma"/>
                <w:sz w:val="20"/>
                <w:szCs w:val="20"/>
              </w:rPr>
              <w:t>Клиент Банка, подтверждающий всю сумму дохода и занятость выпиской из Социального фонда России или подтверждающий всю сумму дохода одним или несколькими вариантами: выписка со счета, на который поступают зарплатные зачисления от работодателя Заемщика и по которой однозначно можно идентифицировать назначение начисления - «заработная плата/ денежное довольствие/ вознаграждение» и/или выписка со счета стороннего банка, на который поступают пенсионные зачисления и/или справка о пенсионных выплатах органа, выплачивающего пенсию.</w:t>
            </w:r>
          </w:p>
        </w:tc>
      </w:tr>
      <w:tr w:rsidR="00951A61" w:rsidRPr="008B7EAD" w14:paraId="034D46C6" w14:textId="77777777" w:rsidTr="00A4032F">
        <w:tc>
          <w:tcPr>
            <w:tcW w:w="1224" w:type="pct"/>
            <w:vAlign w:val="center"/>
          </w:tcPr>
          <w:p w14:paraId="3CCC5334" w14:textId="77777777" w:rsidR="00951A61" w:rsidRPr="008B7EAD" w:rsidRDefault="00951A61" w:rsidP="00A4032F">
            <w:pPr>
              <w:tabs>
                <w:tab w:val="left" w:pos="851"/>
              </w:tabs>
              <w:jc w:val="center"/>
              <w:rPr>
                <w:rFonts w:ascii="Tahoma" w:hAnsi="Tahoma" w:cs="Tahoma"/>
                <w:sz w:val="20"/>
                <w:szCs w:val="20"/>
              </w:rPr>
            </w:pPr>
            <w:r w:rsidRPr="008B7EAD">
              <w:rPr>
                <w:rFonts w:ascii="Tahoma" w:hAnsi="Tahoma" w:cs="Tahoma"/>
                <w:sz w:val="20"/>
                <w:szCs w:val="20"/>
              </w:rPr>
              <w:t>Зарплатные клиенты Банка</w:t>
            </w:r>
          </w:p>
        </w:tc>
        <w:tc>
          <w:tcPr>
            <w:tcW w:w="3776" w:type="pct"/>
          </w:tcPr>
          <w:p w14:paraId="05A0C25E" w14:textId="77777777" w:rsidR="00951A61" w:rsidRPr="008B7EAD" w:rsidRDefault="00951A61" w:rsidP="00A4032F">
            <w:pPr>
              <w:tabs>
                <w:tab w:val="left" w:pos="851"/>
              </w:tabs>
              <w:ind w:firstLine="425"/>
              <w:jc w:val="both"/>
              <w:rPr>
                <w:rFonts w:ascii="Tahoma" w:hAnsi="Tahoma" w:cs="Tahoma"/>
                <w:sz w:val="20"/>
                <w:szCs w:val="20"/>
              </w:rPr>
            </w:pPr>
            <w:r w:rsidRPr="008B7EAD">
              <w:rPr>
                <w:rFonts w:ascii="Tahoma" w:hAnsi="Tahoma" w:cs="Tahoma"/>
                <w:sz w:val="20"/>
                <w:szCs w:val="20"/>
              </w:rPr>
              <w:t>Клиент Банка, получающий заработную плату на Счет, открытый в «Азиатско-Тихоокеанский Банк» (АО)</w:t>
            </w:r>
          </w:p>
        </w:tc>
      </w:tr>
      <w:tr w:rsidR="00951A61" w:rsidRPr="008B7EAD" w14:paraId="0AE9CD3F" w14:textId="77777777" w:rsidTr="00A4032F">
        <w:tc>
          <w:tcPr>
            <w:tcW w:w="1224" w:type="pct"/>
            <w:vAlign w:val="center"/>
          </w:tcPr>
          <w:p w14:paraId="46A0DD5D" w14:textId="77777777" w:rsidR="00951A61" w:rsidRPr="008B7EAD" w:rsidRDefault="00951A61" w:rsidP="00A4032F">
            <w:pPr>
              <w:tabs>
                <w:tab w:val="left" w:pos="851"/>
              </w:tabs>
              <w:jc w:val="center"/>
              <w:rPr>
                <w:rFonts w:ascii="Tahoma" w:hAnsi="Tahoma" w:cs="Tahoma"/>
                <w:sz w:val="20"/>
                <w:szCs w:val="20"/>
              </w:rPr>
            </w:pPr>
            <w:r w:rsidRPr="008B7EAD">
              <w:rPr>
                <w:rFonts w:ascii="Tahoma" w:hAnsi="Tahoma" w:cs="Tahoma"/>
                <w:sz w:val="20"/>
                <w:szCs w:val="20"/>
              </w:rPr>
              <w:t>Земельный участок</w:t>
            </w:r>
          </w:p>
        </w:tc>
        <w:tc>
          <w:tcPr>
            <w:tcW w:w="3776" w:type="pct"/>
          </w:tcPr>
          <w:p w14:paraId="245924E9" w14:textId="77777777" w:rsidR="00951A61" w:rsidRPr="008B7EAD" w:rsidRDefault="00951A61" w:rsidP="00A4032F">
            <w:pPr>
              <w:tabs>
                <w:tab w:val="left" w:pos="851"/>
              </w:tabs>
              <w:ind w:firstLine="425"/>
              <w:jc w:val="both"/>
              <w:rPr>
                <w:rFonts w:ascii="Tahoma" w:hAnsi="Tahoma" w:cs="Tahoma"/>
                <w:sz w:val="20"/>
                <w:szCs w:val="20"/>
              </w:rPr>
            </w:pPr>
            <w:r w:rsidRPr="008B7EAD">
              <w:rPr>
                <w:rFonts w:ascii="Tahoma" w:hAnsi="Tahoma" w:cs="Tahoma"/>
                <w:sz w:val="20"/>
                <w:szCs w:val="20"/>
              </w:rPr>
              <w:t>Участок земли, на котором может находится Жилой дом, границы которого и право собственности на который оформлены в установленном российским законодательством порядке</w:t>
            </w:r>
          </w:p>
        </w:tc>
      </w:tr>
      <w:tr w:rsidR="00951A61" w:rsidRPr="008B7EAD" w14:paraId="0D5C579C" w14:textId="77777777" w:rsidTr="00A4032F">
        <w:tc>
          <w:tcPr>
            <w:tcW w:w="1224" w:type="pct"/>
            <w:vAlign w:val="center"/>
          </w:tcPr>
          <w:p w14:paraId="4673B21E" w14:textId="77777777" w:rsidR="00951A61" w:rsidRPr="008B7EAD" w:rsidRDefault="00951A61" w:rsidP="00A4032F">
            <w:pPr>
              <w:tabs>
                <w:tab w:val="left" w:pos="851"/>
              </w:tabs>
              <w:jc w:val="center"/>
              <w:rPr>
                <w:rFonts w:ascii="Tahoma" w:hAnsi="Tahoma" w:cs="Tahoma"/>
                <w:sz w:val="20"/>
                <w:szCs w:val="20"/>
              </w:rPr>
            </w:pPr>
            <w:r w:rsidRPr="008B7EAD">
              <w:rPr>
                <w:rFonts w:ascii="Tahoma" w:hAnsi="Tahoma" w:cs="Tahoma"/>
                <w:sz w:val="20"/>
                <w:szCs w:val="20"/>
              </w:rPr>
              <w:t xml:space="preserve">Кредит </w:t>
            </w:r>
          </w:p>
        </w:tc>
        <w:tc>
          <w:tcPr>
            <w:tcW w:w="3776" w:type="pct"/>
          </w:tcPr>
          <w:p w14:paraId="5F8506A2" w14:textId="77777777" w:rsidR="00951A61" w:rsidRPr="008B7EAD" w:rsidRDefault="00951A61" w:rsidP="00A4032F">
            <w:pPr>
              <w:tabs>
                <w:tab w:val="left" w:pos="851"/>
              </w:tabs>
              <w:ind w:firstLine="425"/>
              <w:jc w:val="both"/>
              <w:rPr>
                <w:rFonts w:ascii="Tahoma" w:hAnsi="Tahoma" w:cs="Tahoma"/>
                <w:sz w:val="20"/>
                <w:szCs w:val="20"/>
              </w:rPr>
            </w:pPr>
            <w:r w:rsidRPr="008B7EAD">
              <w:rPr>
                <w:rFonts w:ascii="Tahoma" w:hAnsi="Tahoma" w:cs="Tahoma"/>
                <w:sz w:val="20"/>
                <w:szCs w:val="20"/>
              </w:rPr>
              <w:t>Денежные средства, предоставляемые Банком Заемщику на основе возвратности, платности, срочности и обеспеченности в размере и на условиях, предусмотренных Кредитным договором</w:t>
            </w:r>
          </w:p>
        </w:tc>
      </w:tr>
      <w:tr w:rsidR="00951A61" w:rsidRPr="008B7EAD" w14:paraId="07BDE11E" w14:textId="77777777" w:rsidTr="00A4032F">
        <w:tc>
          <w:tcPr>
            <w:tcW w:w="1224" w:type="pct"/>
            <w:vAlign w:val="center"/>
          </w:tcPr>
          <w:p w14:paraId="2A99BE96" w14:textId="77777777" w:rsidR="00951A61" w:rsidRPr="008B7EAD" w:rsidRDefault="00951A61" w:rsidP="00A4032F">
            <w:pPr>
              <w:tabs>
                <w:tab w:val="left" w:pos="851"/>
              </w:tabs>
              <w:jc w:val="center"/>
              <w:rPr>
                <w:rFonts w:ascii="Tahoma" w:hAnsi="Tahoma" w:cs="Tahoma"/>
                <w:sz w:val="20"/>
                <w:szCs w:val="20"/>
              </w:rPr>
            </w:pPr>
            <w:r w:rsidRPr="008B7EAD">
              <w:rPr>
                <w:rFonts w:ascii="Tahoma" w:hAnsi="Tahoma" w:cs="Tahoma"/>
                <w:sz w:val="20"/>
                <w:szCs w:val="20"/>
              </w:rPr>
              <w:t xml:space="preserve">Кредитный договор </w:t>
            </w:r>
          </w:p>
        </w:tc>
        <w:tc>
          <w:tcPr>
            <w:tcW w:w="3776" w:type="pct"/>
          </w:tcPr>
          <w:p w14:paraId="67313BD5" w14:textId="77777777" w:rsidR="00951A61" w:rsidRPr="00322454" w:rsidRDefault="00951A61" w:rsidP="00A4032F">
            <w:pPr>
              <w:tabs>
                <w:tab w:val="left" w:pos="851"/>
              </w:tabs>
              <w:ind w:firstLine="425"/>
              <w:jc w:val="both"/>
              <w:rPr>
                <w:rFonts w:ascii="Tahoma" w:hAnsi="Tahoma" w:cs="Tahoma"/>
                <w:sz w:val="20"/>
                <w:szCs w:val="20"/>
              </w:rPr>
            </w:pPr>
            <w:r w:rsidRPr="008B7EAD">
              <w:rPr>
                <w:rFonts w:ascii="Tahoma" w:hAnsi="Tahoma" w:cs="Tahoma"/>
                <w:sz w:val="20"/>
                <w:szCs w:val="20"/>
              </w:rPr>
              <w:t>Договор потребительского кредита, который заключен между Банком и физическим лицом в целях, не связанных с осуществлением физическим лицом (</w:t>
            </w:r>
            <w:r w:rsidRPr="00322454">
              <w:rPr>
                <w:rFonts w:ascii="Tahoma" w:hAnsi="Tahoma" w:cs="Tahoma"/>
                <w:sz w:val="20"/>
                <w:szCs w:val="20"/>
              </w:rPr>
              <w:t xml:space="preserve">Заемщиком) предпринимательской деятельности, и обязательства Заемщика по которым обеспечены ипотекой. </w:t>
            </w:r>
          </w:p>
          <w:p w14:paraId="66D1552F" w14:textId="77777777" w:rsidR="00951A61" w:rsidRPr="00CE1BDB" w:rsidRDefault="00951A61" w:rsidP="00A4032F">
            <w:pPr>
              <w:tabs>
                <w:tab w:val="left" w:pos="851"/>
              </w:tabs>
              <w:ind w:firstLine="425"/>
              <w:jc w:val="both"/>
              <w:rPr>
                <w:rFonts w:ascii="Tahoma" w:hAnsi="Tahoma" w:cs="Tahoma"/>
                <w:sz w:val="20"/>
                <w:szCs w:val="20"/>
              </w:rPr>
            </w:pPr>
            <w:r w:rsidRPr="00322454">
              <w:rPr>
                <w:rFonts w:ascii="Tahoma" w:hAnsi="Tahoma" w:cs="Tahoma"/>
                <w:sz w:val="20"/>
                <w:szCs w:val="20"/>
              </w:rPr>
              <w:t xml:space="preserve">Кредитный договор заключается в соответствии с </w:t>
            </w:r>
            <w:r w:rsidRPr="00101974">
              <w:rPr>
                <w:rFonts w:ascii="Tahoma" w:hAnsi="Tahoma" w:cs="Tahoma"/>
                <w:sz w:val="20"/>
                <w:szCs w:val="20"/>
              </w:rPr>
              <w:t xml:space="preserve">правилами предоставления субсидий, утверждёнными уполномоченным в Российской Федерации федеральным органом исполнительной власти: субсидии акционерному обществу "ДОМ.РФ", г. Москва, в виде вкладов в имущество, не увеличивающих его уставный капитал, для возмещения российским кредитным организациям и иным организациям недополученных доходов по жилищным (ипотечным) кредитам, предоставленным </w:t>
            </w:r>
            <w:r w:rsidRPr="00101974">
              <w:rPr>
                <w:rFonts w:ascii="Tahoma" w:hAnsi="Tahoma" w:cs="Tahoma"/>
                <w:sz w:val="20"/>
                <w:szCs w:val="20"/>
              </w:rPr>
              <w:lastRenderedPageBreak/>
              <w:t>гражданам Российской Федерации на приобретение или строительство жилых помещений на территориях субъектов Российской Федерации, входящих в состав Дальневосточного федерального округа</w:t>
            </w:r>
            <w:r w:rsidRPr="00322454">
              <w:rPr>
                <w:rFonts w:ascii="Tahoma" w:hAnsi="Tahoma" w:cs="Tahoma"/>
                <w:sz w:val="20"/>
                <w:szCs w:val="20"/>
              </w:rPr>
              <w:t>.</w:t>
            </w:r>
          </w:p>
        </w:tc>
      </w:tr>
      <w:tr w:rsidR="00951A61" w:rsidRPr="008B7EAD" w14:paraId="0494A2C7" w14:textId="77777777" w:rsidTr="00A4032F">
        <w:tc>
          <w:tcPr>
            <w:tcW w:w="1224" w:type="pct"/>
            <w:vAlign w:val="center"/>
          </w:tcPr>
          <w:p w14:paraId="1A71E4BD" w14:textId="77777777" w:rsidR="00951A61" w:rsidRPr="008B7EAD" w:rsidRDefault="00951A61" w:rsidP="00A4032F">
            <w:pPr>
              <w:tabs>
                <w:tab w:val="left" w:pos="851"/>
              </w:tabs>
              <w:jc w:val="center"/>
              <w:rPr>
                <w:rFonts w:ascii="Tahoma" w:hAnsi="Tahoma" w:cs="Tahoma"/>
                <w:bCs/>
                <w:iCs/>
                <w:sz w:val="20"/>
                <w:szCs w:val="20"/>
              </w:rPr>
            </w:pPr>
            <w:r w:rsidRPr="008B7EAD">
              <w:rPr>
                <w:rFonts w:ascii="Tahoma" w:hAnsi="Tahoma" w:cs="Tahoma"/>
                <w:sz w:val="20"/>
                <w:szCs w:val="20"/>
              </w:rPr>
              <w:lastRenderedPageBreak/>
              <w:t>Наименование кредитора, место нахождения постоянно действующего исполнительного органа, контактный телефон, по которому осуществляется связь с кредитором, официальный сайт, номер лицензии на осуществление банковских операций.</w:t>
            </w:r>
          </w:p>
        </w:tc>
        <w:tc>
          <w:tcPr>
            <w:tcW w:w="3776" w:type="pct"/>
            <w:vAlign w:val="center"/>
          </w:tcPr>
          <w:p w14:paraId="1E60D9EA" w14:textId="77777777" w:rsidR="00951A61" w:rsidRPr="008B7EAD" w:rsidRDefault="00951A61" w:rsidP="00A4032F">
            <w:pPr>
              <w:tabs>
                <w:tab w:val="left" w:pos="851"/>
              </w:tabs>
              <w:ind w:firstLine="425"/>
              <w:jc w:val="both"/>
              <w:rPr>
                <w:rFonts w:ascii="Tahoma" w:hAnsi="Tahoma" w:cs="Tahoma"/>
                <w:bCs/>
                <w:iCs/>
                <w:sz w:val="20"/>
                <w:szCs w:val="20"/>
              </w:rPr>
            </w:pPr>
            <w:r w:rsidRPr="008B7EAD">
              <w:rPr>
                <w:rFonts w:ascii="Tahoma" w:hAnsi="Tahoma" w:cs="Tahoma"/>
                <w:sz w:val="20"/>
                <w:szCs w:val="20"/>
              </w:rPr>
              <w:t>«Азиатско-Тихоокеанский Банк» (Акционерное общество)</w:t>
            </w:r>
            <w:r>
              <w:rPr>
                <w:rFonts w:ascii="Tahoma" w:hAnsi="Tahoma" w:cs="Tahoma"/>
                <w:sz w:val="20"/>
                <w:szCs w:val="20"/>
              </w:rPr>
              <w:t xml:space="preserve">, </w:t>
            </w:r>
            <w:r w:rsidRPr="008B7EAD">
              <w:rPr>
                <w:rFonts w:ascii="Tahoma" w:hAnsi="Tahoma" w:cs="Tahoma"/>
                <w:sz w:val="20"/>
                <w:szCs w:val="20"/>
              </w:rPr>
              <w:t xml:space="preserve">по тексту - Банк. Универсальная лицензия ЦБ РФ № 1810, ОГРН: 1022800000079, ИНН: 2801023444, БИК: 041012765, кор. счет №: 30101810300000000765 в Отделении Благовещенск. Местонахождение Банка и место нахождения его постоянно действующего исполнительного органа: 675004, Амурская область, г. Благовещенск, ул. Амурская, дом 225. Контактный тел.: 8 800 775 8888 (звонок по России бесплатный). Сайт Банка в сети Интернет: </w:t>
            </w:r>
            <w:hyperlink r:id="rId47" w:history="1">
              <w:r w:rsidRPr="008B7EAD">
                <w:rPr>
                  <w:rFonts w:ascii="Tahoma" w:hAnsi="Tahoma" w:cs="Tahoma"/>
                  <w:sz w:val="20"/>
                  <w:szCs w:val="20"/>
                </w:rPr>
                <w:t>www.atb.su</w:t>
              </w:r>
            </w:hyperlink>
            <w:r w:rsidRPr="008B7EAD">
              <w:rPr>
                <w:rFonts w:ascii="Tahoma" w:hAnsi="Tahoma" w:cs="Tahoma"/>
                <w:sz w:val="20"/>
                <w:szCs w:val="20"/>
              </w:rPr>
              <w:t>.</w:t>
            </w:r>
          </w:p>
        </w:tc>
      </w:tr>
      <w:tr w:rsidR="00951A61" w:rsidRPr="008B7EAD" w14:paraId="6F27F42A" w14:textId="77777777" w:rsidTr="00A4032F">
        <w:tc>
          <w:tcPr>
            <w:tcW w:w="1224" w:type="pct"/>
            <w:vAlign w:val="center"/>
          </w:tcPr>
          <w:p w14:paraId="55356BAE" w14:textId="77777777" w:rsidR="00951A61" w:rsidRPr="008B7EAD" w:rsidRDefault="00951A61" w:rsidP="00A4032F">
            <w:pPr>
              <w:tabs>
                <w:tab w:val="left" w:pos="851"/>
              </w:tabs>
              <w:jc w:val="center"/>
              <w:rPr>
                <w:rFonts w:ascii="Tahoma" w:hAnsi="Tahoma" w:cs="Tahoma"/>
                <w:sz w:val="20"/>
                <w:szCs w:val="20"/>
              </w:rPr>
            </w:pPr>
            <w:r w:rsidRPr="008B7EAD">
              <w:rPr>
                <w:rFonts w:ascii="Tahoma" w:hAnsi="Tahoma" w:cs="Tahoma"/>
                <w:sz w:val="20"/>
                <w:szCs w:val="20"/>
              </w:rPr>
              <w:t>Подразделение Банка</w:t>
            </w:r>
          </w:p>
        </w:tc>
        <w:tc>
          <w:tcPr>
            <w:tcW w:w="3776" w:type="pct"/>
            <w:vAlign w:val="center"/>
          </w:tcPr>
          <w:p w14:paraId="7D70E5AC" w14:textId="77777777" w:rsidR="00951A61" w:rsidRPr="008B7EAD" w:rsidRDefault="00951A61" w:rsidP="00A4032F">
            <w:pPr>
              <w:tabs>
                <w:tab w:val="left" w:pos="851"/>
              </w:tabs>
              <w:ind w:firstLine="425"/>
              <w:jc w:val="both"/>
              <w:rPr>
                <w:rFonts w:ascii="Tahoma" w:hAnsi="Tahoma" w:cs="Tahoma"/>
                <w:sz w:val="20"/>
                <w:szCs w:val="20"/>
              </w:rPr>
            </w:pPr>
            <w:r w:rsidRPr="008B7EAD">
              <w:rPr>
                <w:rFonts w:ascii="Tahoma" w:hAnsi="Tahoma" w:cs="Tahoma"/>
                <w:sz w:val="20"/>
                <w:szCs w:val="20"/>
              </w:rPr>
              <w:t>Внутреннее структурное подразделение/филиал/головной офис Банка.</w:t>
            </w:r>
          </w:p>
        </w:tc>
      </w:tr>
      <w:tr w:rsidR="00951A61" w:rsidRPr="008B7EAD" w14:paraId="7C58F88C" w14:textId="77777777" w:rsidTr="00A4032F">
        <w:tc>
          <w:tcPr>
            <w:tcW w:w="1224" w:type="pct"/>
            <w:vAlign w:val="center"/>
          </w:tcPr>
          <w:p w14:paraId="6ACED2AF" w14:textId="77777777" w:rsidR="00951A61" w:rsidRPr="00322454" w:rsidRDefault="00951A61" w:rsidP="00A4032F">
            <w:pPr>
              <w:tabs>
                <w:tab w:val="left" w:pos="851"/>
              </w:tabs>
              <w:jc w:val="center"/>
              <w:rPr>
                <w:rFonts w:ascii="Tahoma" w:hAnsi="Tahoma" w:cs="Tahoma"/>
                <w:sz w:val="20"/>
                <w:szCs w:val="20"/>
              </w:rPr>
            </w:pPr>
            <w:r w:rsidRPr="00101974">
              <w:rPr>
                <w:rFonts w:ascii="Tahoma" w:hAnsi="Tahoma" w:cs="Tahoma"/>
                <w:sz w:val="20"/>
                <w:szCs w:val="20"/>
              </w:rPr>
              <w:t>Правила предоставления субсидий</w:t>
            </w:r>
          </w:p>
        </w:tc>
        <w:tc>
          <w:tcPr>
            <w:tcW w:w="3776" w:type="pct"/>
            <w:vAlign w:val="center"/>
          </w:tcPr>
          <w:p w14:paraId="1B758547" w14:textId="77777777" w:rsidR="00951A61" w:rsidRPr="00101974" w:rsidRDefault="00951A61" w:rsidP="00A4032F">
            <w:pPr>
              <w:tabs>
                <w:tab w:val="left" w:pos="851"/>
              </w:tabs>
              <w:ind w:firstLine="425"/>
              <w:jc w:val="both"/>
              <w:rPr>
                <w:rFonts w:ascii="Tahoma" w:hAnsi="Tahoma" w:cs="Tahoma"/>
                <w:sz w:val="20"/>
                <w:szCs w:val="20"/>
              </w:rPr>
            </w:pPr>
            <w:r w:rsidRPr="00101974">
              <w:rPr>
                <w:rFonts w:ascii="Tahoma" w:hAnsi="Tahoma" w:cs="Tahoma"/>
                <w:sz w:val="20"/>
                <w:szCs w:val="20"/>
              </w:rPr>
              <w:t>Правила предоставления субсидий, утверждённые уполномоченным в Российской Федерации федеральным органом исполнительной власти:</w:t>
            </w:r>
          </w:p>
          <w:p w14:paraId="0686B875" w14:textId="77777777" w:rsidR="00951A61" w:rsidRPr="00101974" w:rsidRDefault="00951A61" w:rsidP="00951A61">
            <w:pPr>
              <w:pStyle w:val="affe"/>
              <w:numPr>
                <w:ilvl w:val="0"/>
                <w:numId w:val="147"/>
              </w:numPr>
              <w:tabs>
                <w:tab w:val="left" w:pos="851"/>
              </w:tabs>
              <w:ind w:left="0" w:firstLine="425"/>
              <w:contextualSpacing/>
              <w:jc w:val="both"/>
              <w:rPr>
                <w:rFonts w:ascii="Tahoma" w:hAnsi="Tahoma" w:cs="Tahoma"/>
                <w:sz w:val="20"/>
                <w:szCs w:val="20"/>
              </w:rPr>
            </w:pPr>
            <w:r w:rsidRPr="00101974">
              <w:rPr>
                <w:rFonts w:ascii="Tahoma" w:hAnsi="Tahoma" w:cs="Tahoma"/>
                <w:sz w:val="20"/>
                <w:szCs w:val="20"/>
              </w:rPr>
              <w:t>Субсидии акционерному обществу "ДОМ.РФ", г. Москва, в виде вкладов в имущество, не увеличивающих его уставный капитал, для возмещения российским кредитным организациям и иным организациям недополученных доходов по жилищным (ипотечным) кредитам, предоставленным гражданам Российской Федерации на приобретение или строительство жилых помещений на территориях субъектов Российской Федерации, входящих в состав Дальневосточного федерального округа;</w:t>
            </w:r>
          </w:p>
          <w:p w14:paraId="795F14CD" w14:textId="77777777" w:rsidR="00951A61" w:rsidRPr="00101974" w:rsidRDefault="00951A61" w:rsidP="00951A61">
            <w:pPr>
              <w:pStyle w:val="affe"/>
              <w:numPr>
                <w:ilvl w:val="0"/>
                <w:numId w:val="147"/>
              </w:numPr>
              <w:tabs>
                <w:tab w:val="left" w:pos="851"/>
              </w:tabs>
              <w:ind w:left="0" w:firstLine="425"/>
              <w:contextualSpacing/>
              <w:jc w:val="both"/>
              <w:rPr>
                <w:rFonts w:ascii="Tahoma" w:hAnsi="Tahoma" w:cs="Tahoma"/>
                <w:sz w:val="20"/>
                <w:szCs w:val="20"/>
              </w:rPr>
            </w:pPr>
            <w:r w:rsidRPr="00101974">
              <w:rPr>
                <w:rFonts w:ascii="Tahoma" w:hAnsi="Tahoma" w:cs="Tahoma"/>
                <w:sz w:val="20"/>
                <w:szCs w:val="20"/>
              </w:rPr>
              <w:t>Субсидии акционерному обществу "ДОМ.РФ", г. Москва, в виде вкладов в имущество, не увеличивающих его уставный капитал, для возмещения российским кредитным организациям и акционерному обществу "ДОМ.РФ" недополученных доходов по выданным (приобретенным) жилищным (ипотечным) кредитам (займам), предоставленным гражданам Российской Федерации, имеющим детей;</w:t>
            </w:r>
          </w:p>
          <w:p w14:paraId="4FADF46F" w14:textId="77777777" w:rsidR="00951A61" w:rsidRPr="00101974" w:rsidRDefault="00951A61" w:rsidP="00951A61">
            <w:pPr>
              <w:pStyle w:val="affe"/>
              <w:numPr>
                <w:ilvl w:val="0"/>
                <w:numId w:val="147"/>
              </w:numPr>
              <w:tabs>
                <w:tab w:val="left" w:pos="851"/>
              </w:tabs>
              <w:ind w:left="0" w:firstLine="425"/>
              <w:contextualSpacing/>
              <w:jc w:val="both"/>
              <w:rPr>
                <w:rFonts w:ascii="Tahoma" w:hAnsi="Tahoma" w:cs="Tahoma"/>
                <w:sz w:val="20"/>
                <w:szCs w:val="20"/>
              </w:rPr>
            </w:pPr>
            <w:r w:rsidRPr="00101974">
              <w:rPr>
                <w:rFonts w:ascii="Tahoma" w:hAnsi="Tahoma" w:cs="Tahoma"/>
                <w:sz w:val="20"/>
                <w:szCs w:val="20"/>
              </w:rPr>
              <w:t>Субсидии акционерному обществу "ДОМ.РФ", г. Москва, в виде вклада в имущество, не увеличивающего его уставный капитал, на цели возмещения кредитным и иным организациям недополученных доходов по жилищным (ипотечным) кредитам (займам), выданным гражданам Российской Федерации по ставке до 8 процентов годовых;</w:t>
            </w:r>
          </w:p>
          <w:p w14:paraId="5F8718D2" w14:textId="77777777" w:rsidR="00951A61" w:rsidRPr="00101974" w:rsidRDefault="00951A61" w:rsidP="00951A61">
            <w:pPr>
              <w:pStyle w:val="affe"/>
              <w:numPr>
                <w:ilvl w:val="0"/>
                <w:numId w:val="147"/>
              </w:numPr>
              <w:tabs>
                <w:tab w:val="left" w:pos="851"/>
              </w:tabs>
              <w:ind w:left="0" w:firstLine="425"/>
              <w:contextualSpacing/>
              <w:jc w:val="both"/>
              <w:rPr>
                <w:rFonts w:ascii="Tahoma" w:hAnsi="Tahoma" w:cs="Tahoma"/>
                <w:sz w:val="20"/>
                <w:szCs w:val="20"/>
              </w:rPr>
            </w:pPr>
            <w:r w:rsidRPr="00101974">
              <w:rPr>
                <w:rFonts w:ascii="Tahoma" w:hAnsi="Tahoma" w:cs="Tahoma"/>
                <w:sz w:val="20"/>
                <w:szCs w:val="20"/>
              </w:rPr>
              <w:t>Субсидии из федерального бюджета акционерному обществу "ДОМ.РФ" в виде вклада в имущество акционерного общества "ДОМ.РФ", не увеличивающего его уставный капитал, на цели возмещения кредитным и иным организациям недополученных доходов по жилищным (ипотечным) кредитам (займам), выданным работникам аккредитованных организаций, осуществляющих деятельность в области информационных технологий, и Правил возмещения кредитным и иным организациям недополученных доходов по жилищным (ипотечным) кредитам (займам), выданным работникам аккредитованных организаций, осуществляющих деятельность в области информационных технологий";</w:t>
            </w:r>
          </w:p>
          <w:p w14:paraId="5CD0099A" w14:textId="77777777" w:rsidR="00951A61" w:rsidRPr="00101974" w:rsidRDefault="00951A61" w:rsidP="00951A61">
            <w:pPr>
              <w:pStyle w:val="affe"/>
              <w:numPr>
                <w:ilvl w:val="0"/>
                <w:numId w:val="147"/>
              </w:numPr>
              <w:tabs>
                <w:tab w:val="left" w:pos="851"/>
              </w:tabs>
              <w:ind w:left="0" w:firstLine="425"/>
              <w:contextualSpacing/>
              <w:jc w:val="both"/>
              <w:rPr>
                <w:rFonts w:ascii="Tahoma" w:hAnsi="Tahoma" w:cs="Tahoma"/>
                <w:sz w:val="20"/>
                <w:szCs w:val="20"/>
              </w:rPr>
            </w:pPr>
            <w:r w:rsidRPr="00101974">
              <w:rPr>
                <w:rFonts w:ascii="Tahoma" w:hAnsi="Tahoma" w:cs="Tahoma"/>
                <w:sz w:val="20"/>
                <w:szCs w:val="20"/>
              </w:rPr>
              <w:t>Субсидии из федерального бюджета российским кредитным организациям и акционерному обществу "ДОМ.РФ" на возмещение недополученных доходов по выданным (приобретенным) жилищным (ипотечным) кредитам (займам), предоставленным гражданам Российской Федерации на строительство (приобретение) жилого помещения (жилого дома) на сельских территориях (сельских агломерациях)"</w:t>
            </w:r>
          </w:p>
          <w:p w14:paraId="340D4691" w14:textId="77777777" w:rsidR="00951A61" w:rsidRPr="00322454" w:rsidRDefault="00951A61" w:rsidP="00951A61">
            <w:pPr>
              <w:pStyle w:val="affe"/>
              <w:numPr>
                <w:ilvl w:val="0"/>
                <w:numId w:val="147"/>
              </w:numPr>
              <w:tabs>
                <w:tab w:val="left" w:pos="851"/>
              </w:tabs>
              <w:ind w:left="0" w:firstLine="425"/>
              <w:contextualSpacing/>
              <w:jc w:val="both"/>
              <w:rPr>
                <w:rFonts w:ascii="Tahoma" w:hAnsi="Tahoma" w:cs="Tahoma"/>
                <w:sz w:val="20"/>
                <w:szCs w:val="20"/>
              </w:rPr>
            </w:pPr>
            <w:r w:rsidRPr="00101974">
              <w:rPr>
                <w:rFonts w:ascii="Tahoma" w:hAnsi="Tahoma" w:cs="Tahoma"/>
                <w:sz w:val="20"/>
                <w:szCs w:val="20"/>
              </w:rPr>
              <w:t>Субсидии акционерному обществу "ДОМ.РФ", г. Москва, в виде вкладов в имущество, не увеличивающих его уставный капитал, на цели возмещения российским кредитным и иным организациям недополученных ими доходов по кредитам (займам), выданным гражданам Российской Федерации для приобретения или строительства жилых помещений на территориях Донецкой Народной Республики, Луганской Народной Республики, Запорожской и Херсонской областей, а также на территориях иных субъектов Российской Федерации, и возмещения российским страховым организациям понесенных ими расходов на страховые выплаты в связи с гибелью (утратой) либо повреждением объектов недвижимости, расположенных на территориях Донецкой Народной Республики, Луганской Народной Республики, Запорожской и Херсонской областей, и (или) причинением вреда жизни или здоровью заемщиков по указанным кредитам (займам).</w:t>
            </w:r>
          </w:p>
        </w:tc>
      </w:tr>
      <w:tr w:rsidR="00951A61" w:rsidRPr="008B7EAD" w14:paraId="643BDE25" w14:textId="77777777" w:rsidTr="00A4032F">
        <w:tc>
          <w:tcPr>
            <w:tcW w:w="1224" w:type="pct"/>
            <w:vAlign w:val="center"/>
          </w:tcPr>
          <w:p w14:paraId="7C4404D2" w14:textId="77777777" w:rsidR="00951A61" w:rsidRPr="00322454" w:rsidRDefault="00951A61" w:rsidP="00A4032F">
            <w:pPr>
              <w:tabs>
                <w:tab w:val="left" w:pos="851"/>
              </w:tabs>
              <w:jc w:val="center"/>
              <w:rPr>
                <w:rFonts w:ascii="Tahoma" w:hAnsi="Tahoma" w:cs="Tahoma"/>
                <w:sz w:val="20"/>
                <w:szCs w:val="20"/>
              </w:rPr>
            </w:pPr>
            <w:r w:rsidRPr="00101974">
              <w:rPr>
                <w:rFonts w:ascii="Tahoma" w:hAnsi="Tahoma" w:cs="Tahoma"/>
                <w:sz w:val="20"/>
                <w:szCs w:val="20"/>
              </w:rPr>
              <w:lastRenderedPageBreak/>
              <w:t>Решение</w:t>
            </w:r>
          </w:p>
        </w:tc>
        <w:tc>
          <w:tcPr>
            <w:tcW w:w="3776" w:type="pct"/>
            <w:vAlign w:val="center"/>
          </w:tcPr>
          <w:p w14:paraId="5879F721" w14:textId="77777777" w:rsidR="00951A61" w:rsidRPr="00101974" w:rsidRDefault="00951A61" w:rsidP="00A4032F">
            <w:pPr>
              <w:tabs>
                <w:tab w:val="left" w:pos="851"/>
              </w:tabs>
              <w:ind w:firstLine="425"/>
              <w:jc w:val="both"/>
              <w:rPr>
                <w:rFonts w:ascii="Tahoma" w:hAnsi="Tahoma" w:cs="Tahoma"/>
                <w:sz w:val="20"/>
                <w:szCs w:val="20"/>
              </w:rPr>
            </w:pPr>
            <w:r w:rsidRPr="00101974">
              <w:rPr>
                <w:rFonts w:ascii="Tahoma" w:hAnsi="Tahoma" w:cs="Tahoma"/>
                <w:sz w:val="20"/>
                <w:szCs w:val="20"/>
              </w:rPr>
              <w:t>Порядок предоставления субсидии акционерному обществу "ДОМ.РФ", г. Москва, в виде вкладов в имущество, не увеличивающих его уставный капитал, для возмещения российским кредитным организациям и иным организациям недополученных доходов по жилищным (ипотечным) кредитам, предоставленным гражданам Российской Федерации на приобретение или строительство жилых помещений на территориях субъектов Российской Федерации, входящих в состав Дальневосточного федерального округа, утверждённый уполномоченным в Российской Федерации федеральным органом исполнительной власти.</w:t>
            </w:r>
          </w:p>
          <w:p w14:paraId="5A0A9D28" w14:textId="77777777" w:rsidR="00951A61" w:rsidRPr="00101974" w:rsidRDefault="00951A61" w:rsidP="00A4032F">
            <w:pPr>
              <w:tabs>
                <w:tab w:val="left" w:pos="851"/>
              </w:tabs>
              <w:ind w:firstLine="425"/>
              <w:jc w:val="both"/>
              <w:rPr>
                <w:rFonts w:ascii="Tahoma" w:hAnsi="Tahoma" w:cs="Tahoma"/>
                <w:sz w:val="20"/>
                <w:szCs w:val="20"/>
              </w:rPr>
            </w:pPr>
          </w:p>
        </w:tc>
      </w:tr>
      <w:tr w:rsidR="00951A61" w:rsidRPr="008B7EAD" w14:paraId="3AE661BD" w14:textId="77777777" w:rsidTr="00A4032F">
        <w:tc>
          <w:tcPr>
            <w:tcW w:w="1224" w:type="pct"/>
            <w:vAlign w:val="center"/>
          </w:tcPr>
          <w:p w14:paraId="67C630BE" w14:textId="77777777" w:rsidR="00951A61" w:rsidRPr="008B7EAD" w:rsidRDefault="00951A61" w:rsidP="00A4032F">
            <w:pPr>
              <w:tabs>
                <w:tab w:val="left" w:pos="851"/>
              </w:tabs>
              <w:jc w:val="center"/>
              <w:rPr>
                <w:rFonts w:ascii="Tahoma" w:hAnsi="Tahoma" w:cs="Tahoma"/>
                <w:sz w:val="20"/>
                <w:szCs w:val="20"/>
              </w:rPr>
            </w:pPr>
            <w:r w:rsidRPr="008B7EAD">
              <w:rPr>
                <w:rFonts w:ascii="Tahoma" w:hAnsi="Tahoma" w:cs="Tahoma"/>
                <w:sz w:val="20"/>
                <w:szCs w:val="20"/>
              </w:rPr>
              <w:t>Предмет ипотеки/Объект недвижимости</w:t>
            </w:r>
          </w:p>
        </w:tc>
        <w:tc>
          <w:tcPr>
            <w:tcW w:w="3776" w:type="pct"/>
            <w:vAlign w:val="center"/>
          </w:tcPr>
          <w:p w14:paraId="3948DA2A" w14:textId="77777777" w:rsidR="00951A61" w:rsidRPr="008B7EAD" w:rsidRDefault="00951A61" w:rsidP="00A4032F">
            <w:pPr>
              <w:tabs>
                <w:tab w:val="left" w:pos="851"/>
              </w:tabs>
              <w:ind w:firstLine="425"/>
              <w:jc w:val="both"/>
              <w:rPr>
                <w:rFonts w:ascii="Tahoma" w:hAnsi="Tahoma" w:cs="Tahoma"/>
                <w:sz w:val="20"/>
                <w:szCs w:val="20"/>
              </w:rPr>
            </w:pPr>
            <w:r w:rsidRPr="008B7EAD">
              <w:rPr>
                <w:rFonts w:ascii="Tahoma" w:hAnsi="Tahoma" w:cs="Tahoma"/>
                <w:sz w:val="20"/>
                <w:szCs w:val="20"/>
              </w:rPr>
              <w:t>Объект недвижимости, под залог которого осуществляется выдача ипотечного кредита.</w:t>
            </w:r>
          </w:p>
        </w:tc>
      </w:tr>
      <w:tr w:rsidR="00951A61" w:rsidRPr="008B7EAD" w14:paraId="3AA7F3E2" w14:textId="77777777" w:rsidTr="00A4032F">
        <w:tc>
          <w:tcPr>
            <w:tcW w:w="1224" w:type="pct"/>
            <w:vAlign w:val="center"/>
          </w:tcPr>
          <w:p w14:paraId="33405964" w14:textId="77777777" w:rsidR="00951A61" w:rsidRPr="008B7EAD" w:rsidRDefault="00951A61" w:rsidP="00A4032F">
            <w:pPr>
              <w:tabs>
                <w:tab w:val="left" w:pos="851"/>
              </w:tabs>
              <w:jc w:val="center"/>
              <w:rPr>
                <w:rFonts w:ascii="Tahoma" w:hAnsi="Tahoma" w:cs="Tahoma"/>
                <w:color w:val="000000"/>
                <w:sz w:val="20"/>
                <w:szCs w:val="20"/>
              </w:rPr>
            </w:pPr>
            <w:r w:rsidRPr="008B7EAD">
              <w:rPr>
                <w:rFonts w:ascii="Tahoma" w:hAnsi="Tahoma" w:cs="Tahoma"/>
                <w:color w:val="000000"/>
                <w:sz w:val="20"/>
                <w:szCs w:val="20"/>
              </w:rPr>
              <w:t>ПСК</w:t>
            </w:r>
          </w:p>
        </w:tc>
        <w:tc>
          <w:tcPr>
            <w:tcW w:w="3776" w:type="pct"/>
          </w:tcPr>
          <w:p w14:paraId="46B220FA" w14:textId="77777777" w:rsidR="00951A61" w:rsidRPr="008B7EAD" w:rsidRDefault="00951A61" w:rsidP="00A4032F">
            <w:pPr>
              <w:ind w:firstLine="425"/>
              <w:jc w:val="both"/>
              <w:rPr>
                <w:rFonts w:ascii="Tahoma" w:hAnsi="Tahoma" w:cs="Tahoma"/>
                <w:sz w:val="20"/>
                <w:szCs w:val="20"/>
              </w:rPr>
            </w:pPr>
            <w:r w:rsidRPr="008B7EAD">
              <w:rPr>
                <w:rFonts w:ascii="Tahoma" w:hAnsi="Tahoma" w:cs="Tahoma"/>
                <w:sz w:val="20"/>
                <w:szCs w:val="20"/>
              </w:rPr>
              <w:t xml:space="preserve">Полная стоимость потребительского кредита определяется как в процентах годовых, </w:t>
            </w:r>
            <w:r w:rsidRPr="008B7EAD">
              <w:rPr>
                <w:rFonts w:ascii="Tahoma" w:hAnsi="Tahoma" w:cs="Tahoma"/>
                <w:bCs/>
                <w:sz w:val="20"/>
                <w:szCs w:val="20"/>
              </w:rPr>
              <w:t>так и в денежном выражении</w:t>
            </w:r>
          </w:p>
        </w:tc>
      </w:tr>
      <w:tr w:rsidR="00951A61" w:rsidRPr="008B7EAD" w14:paraId="04956FA0" w14:textId="77777777" w:rsidTr="00A4032F">
        <w:tc>
          <w:tcPr>
            <w:tcW w:w="1224" w:type="pct"/>
            <w:vAlign w:val="center"/>
          </w:tcPr>
          <w:p w14:paraId="5843EF81" w14:textId="77777777" w:rsidR="00951A61" w:rsidRPr="008B7EAD" w:rsidRDefault="00951A61" w:rsidP="00A4032F">
            <w:pPr>
              <w:autoSpaceDE w:val="0"/>
              <w:autoSpaceDN w:val="0"/>
              <w:jc w:val="center"/>
            </w:pPr>
            <w:r w:rsidRPr="008B7EAD">
              <w:rPr>
                <w:rFonts w:ascii="Tahoma" w:hAnsi="Tahoma" w:cs="Tahoma"/>
                <w:sz w:val="20"/>
                <w:szCs w:val="20"/>
              </w:rPr>
              <w:t>Таунхаус</w:t>
            </w:r>
          </w:p>
        </w:tc>
        <w:tc>
          <w:tcPr>
            <w:tcW w:w="3776" w:type="pct"/>
          </w:tcPr>
          <w:p w14:paraId="41480FDD" w14:textId="77777777" w:rsidR="00951A61" w:rsidRPr="008B7EAD" w:rsidRDefault="00951A61" w:rsidP="00A4032F">
            <w:pPr>
              <w:ind w:firstLine="425"/>
              <w:jc w:val="both"/>
              <w:rPr>
                <w:rFonts w:ascii="Tahoma" w:hAnsi="Tahoma" w:cs="Tahoma"/>
                <w:sz w:val="20"/>
                <w:szCs w:val="20"/>
              </w:rPr>
            </w:pPr>
            <w:r w:rsidRPr="008B7EAD">
              <w:rPr>
                <w:rFonts w:ascii="Tahoma" w:hAnsi="Tahoma" w:cs="Tahoma"/>
                <w:sz w:val="20"/>
                <w:szCs w:val="20"/>
              </w:rPr>
              <w:t>Малоэтажный жилой дом (не менее 2-х и не более 3-х надземных этажей) на несколько многоуровневых квартир (секций)/ сблокированный из нескольких многоуровневых квартир (секций)), как правило, с изолированными входами (без общего подъезда) для входа в квартиру (секцию), входящий в комплекс однотипных (построенных по одному проекту) жилых домов</w:t>
            </w:r>
          </w:p>
        </w:tc>
      </w:tr>
      <w:tr w:rsidR="00951A61" w:rsidRPr="00234585" w14:paraId="3A0C1F77" w14:textId="77777777" w:rsidTr="00A4032F">
        <w:tc>
          <w:tcPr>
            <w:tcW w:w="1224" w:type="pct"/>
            <w:vAlign w:val="center"/>
          </w:tcPr>
          <w:p w14:paraId="73E7F489" w14:textId="77777777" w:rsidR="00951A61" w:rsidRPr="008B7EAD" w:rsidRDefault="00951A61" w:rsidP="00A4032F">
            <w:pPr>
              <w:jc w:val="center"/>
              <w:rPr>
                <w:rFonts w:ascii="Tahoma" w:hAnsi="Tahoma" w:cs="Tahoma"/>
                <w:bCs/>
                <w:sz w:val="20"/>
                <w:szCs w:val="20"/>
              </w:rPr>
            </w:pPr>
            <w:r w:rsidRPr="008B7EAD">
              <w:rPr>
                <w:rFonts w:ascii="Tahoma" w:hAnsi="Tahoma" w:cs="Tahoma"/>
                <w:sz w:val="20"/>
                <w:szCs w:val="20"/>
              </w:rPr>
              <w:t>ТБС (либо ТБС Заемщика)</w:t>
            </w:r>
          </w:p>
        </w:tc>
        <w:tc>
          <w:tcPr>
            <w:tcW w:w="3776" w:type="pct"/>
          </w:tcPr>
          <w:p w14:paraId="249D1A71" w14:textId="77777777" w:rsidR="00951A61" w:rsidRPr="002D4FB3" w:rsidRDefault="00951A61" w:rsidP="00A4032F">
            <w:pPr>
              <w:widowControl w:val="0"/>
              <w:tabs>
                <w:tab w:val="left" w:pos="851"/>
              </w:tabs>
              <w:adjustRightInd w:val="0"/>
              <w:ind w:firstLine="425"/>
              <w:jc w:val="both"/>
              <w:rPr>
                <w:rFonts w:ascii="Tahoma" w:hAnsi="Tahoma" w:cs="Tahoma"/>
                <w:bCs/>
                <w:sz w:val="20"/>
                <w:szCs w:val="20"/>
              </w:rPr>
            </w:pPr>
            <w:r w:rsidRPr="008B7EAD">
              <w:rPr>
                <w:rFonts w:ascii="Tahoma" w:hAnsi="Tahoma" w:cs="Tahoma"/>
                <w:sz w:val="20"/>
                <w:szCs w:val="20"/>
              </w:rPr>
              <w:t>Текущий банковский счет, открытый Банком Заемщику в рамках Кредитного договора</w:t>
            </w:r>
          </w:p>
        </w:tc>
      </w:tr>
    </w:tbl>
    <w:p w14:paraId="7E1FFDD4" w14:textId="77777777" w:rsidR="00951A61" w:rsidRDefault="00951A61" w:rsidP="00951A61">
      <w:pPr>
        <w:rPr>
          <w:rFonts w:ascii="Tahoma" w:hAnsi="Tahoma" w:cs="Tahoma"/>
          <w:noProof/>
          <w:sz w:val="20"/>
          <w:szCs w:val="20"/>
        </w:rPr>
      </w:pPr>
    </w:p>
    <w:p w14:paraId="2C59B9E9" w14:textId="77777777" w:rsidR="00951A61" w:rsidRDefault="00951A61" w:rsidP="00951A61">
      <w:pPr>
        <w:jc w:val="both"/>
        <w:rPr>
          <w:rFonts w:ascii="Tahoma" w:hAnsi="Tahoma" w:cs="Tahoma"/>
          <w:noProof/>
          <w:sz w:val="20"/>
          <w:szCs w:val="20"/>
        </w:rPr>
      </w:pPr>
      <w:r w:rsidRPr="00E55B20">
        <w:rPr>
          <w:rFonts w:ascii="Tahoma" w:hAnsi="Tahoma" w:cs="Tahoma"/>
          <w:sz w:val="20"/>
          <w:szCs w:val="20"/>
        </w:rPr>
        <w:t>Не приведенные в настоящем документе значения терминов, применяются в значении, определенном в Универсальном договоре банковского обслуживания физических лиц «Азиатско-Тихоокеанский Банк» (АО), размещённом на сайте Банка: www.atb.su и в Подразделениях Банка</w:t>
      </w:r>
      <w:r w:rsidRPr="0007555A">
        <w:rPr>
          <w:rFonts w:ascii="Tahoma" w:hAnsi="Tahoma" w:cs="Tahoma"/>
          <w:noProof/>
          <w:sz w:val="20"/>
          <w:szCs w:val="20"/>
        </w:rPr>
        <w:t>.</w:t>
      </w:r>
    </w:p>
    <w:p w14:paraId="093DD7EB" w14:textId="77777777" w:rsidR="00951A61" w:rsidRPr="00234585" w:rsidRDefault="00951A61" w:rsidP="00951A61">
      <w:pPr>
        <w:rPr>
          <w:rFonts w:ascii="Tahoma" w:hAnsi="Tahoma" w:cs="Tahoma"/>
          <w:noProof/>
          <w:sz w:val="20"/>
          <w:szCs w:val="20"/>
        </w:rPr>
      </w:pPr>
    </w:p>
    <w:p w14:paraId="249115A9" w14:textId="77777777" w:rsidR="00951A61" w:rsidRPr="00234585" w:rsidRDefault="00951A61" w:rsidP="00B460F9">
      <w:pPr>
        <w:pStyle w:val="affe"/>
        <w:numPr>
          <w:ilvl w:val="0"/>
          <w:numId w:val="184"/>
        </w:numPr>
        <w:tabs>
          <w:tab w:val="left" w:pos="851"/>
        </w:tabs>
        <w:ind w:left="0" w:firstLine="426"/>
        <w:contextualSpacing/>
        <w:jc w:val="both"/>
        <w:rPr>
          <w:rFonts w:ascii="Tahoma" w:hAnsi="Tahoma" w:cs="Tahoma"/>
          <w:b/>
          <w:bCs/>
          <w:caps/>
          <w:sz w:val="20"/>
          <w:szCs w:val="20"/>
        </w:rPr>
      </w:pPr>
      <w:r w:rsidRPr="00234585">
        <w:rPr>
          <w:rFonts w:ascii="Tahoma" w:hAnsi="Tahoma" w:cs="Tahoma"/>
          <w:b/>
          <w:bCs/>
          <w:caps/>
          <w:sz w:val="20"/>
          <w:szCs w:val="20"/>
        </w:rPr>
        <w:t xml:space="preserve">ИНФОРМАЦИЯ ОБ УСЛОВИЯХ ПРЕДОСТАВЛЕНИЯ, ИСПОЛЬЗОВАНИЯ И ВОЗВРАТА ИПОТЕЧНОГО КРЕДИТА </w:t>
      </w:r>
    </w:p>
    <w:p w14:paraId="6CF8AC37" w14:textId="77777777" w:rsidR="00951A61" w:rsidRPr="00234585" w:rsidRDefault="00951A61" w:rsidP="00951A61">
      <w:pPr>
        <w:pStyle w:val="affe"/>
        <w:tabs>
          <w:tab w:val="left" w:pos="851"/>
        </w:tabs>
        <w:ind w:left="426"/>
        <w:jc w:val="both"/>
        <w:rPr>
          <w:rFonts w:ascii="Tahoma" w:hAnsi="Tahoma" w:cs="Tahoma"/>
          <w:b/>
          <w:bCs/>
          <w:caps/>
          <w:sz w:val="20"/>
          <w:szCs w:val="20"/>
        </w:rPr>
      </w:pPr>
      <w:r w:rsidRPr="00234585">
        <w:rPr>
          <w:rFonts w:ascii="Tahoma" w:hAnsi="Tahoma" w:cs="Tahoma"/>
          <w:b/>
          <w:bCs/>
          <w:caps/>
          <w:sz w:val="20"/>
          <w:szCs w:val="20"/>
        </w:rPr>
        <w:t xml:space="preserve">  </w:t>
      </w:r>
    </w:p>
    <w:tbl>
      <w:tblPr>
        <w:tblW w:w="15573" w:type="dxa"/>
        <w:tblInd w:w="35" w:type="dxa"/>
        <w:tblLayout w:type="fixed"/>
        <w:tblLook w:val="04A0" w:firstRow="1" w:lastRow="0" w:firstColumn="1" w:lastColumn="0" w:noHBand="0" w:noVBand="1"/>
      </w:tblPr>
      <w:tblGrid>
        <w:gridCol w:w="4121"/>
        <w:gridCol w:w="11452"/>
      </w:tblGrid>
      <w:tr w:rsidR="00951A61" w:rsidRPr="00234585" w14:paraId="4A45E6B7"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F3A02F" w14:textId="77777777" w:rsidR="00951A61" w:rsidRPr="00385D56" w:rsidRDefault="00951A61" w:rsidP="00A4032F">
            <w:pPr>
              <w:jc w:val="center"/>
              <w:rPr>
                <w:rFonts w:ascii="Tahoma" w:hAnsi="Tahoma" w:cs="Tahoma"/>
                <w:b/>
                <w:bCs/>
                <w:sz w:val="20"/>
                <w:szCs w:val="20"/>
              </w:rPr>
            </w:pPr>
            <w:r w:rsidRPr="00385D56">
              <w:rPr>
                <w:rFonts w:ascii="Tahoma" w:hAnsi="Tahoma" w:cs="Tahoma"/>
                <w:b/>
                <w:bCs/>
                <w:sz w:val="20"/>
                <w:szCs w:val="20"/>
              </w:rPr>
              <w:t>Наименование                                    тарифного плана (ТП)</w:t>
            </w:r>
          </w:p>
        </w:tc>
        <w:tc>
          <w:tcPr>
            <w:tcW w:w="11452"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F54FBA0" w14:textId="77777777" w:rsidR="00951A61" w:rsidRPr="00385D56" w:rsidRDefault="00951A61" w:rsidP="00A4032F">
            <w:pPr>
              <w:jc w:val="center"/>
              <w:rPr>
                <w:rFonts w:ascii="Tahoma" w:hAnsi="Tahoma" w:cs="Tahoma"/>
                <w:b/>
                <w:bCs/>
                <w:sz w:val="20"/>
                <w:szCs w:val="20"/>
              </w:rPr>
            </w:pPr>
            <w:r w:rsidRPr="00385D56">
              <w:rPr>
                <w:rFonts w:ascii="Tahoma" w:hAnsi="Tahoma" w:cs="Tahoma"/>
                <w:b/>
                <w:bCs/>
                <w:sz w:val="20"/>
                <w:szCs w:val="20"/>
              </w:rPr>
              <w:t xml:space="preserve"> «</w:t>
            </w:r>
            <w:r w:rsidRPr="00385D56">
              <w:rPr>
                <w:rFonts w:ascii="Tahoma" w:hAnsi="Tahoma" w:cs="Tahoma"/>
                <w:b/>
                <w:noProof/>
                <w:sz w:val="20"/>
                <w:szCs w:val="20"/>
              </w:rPr>
              <w:t>Дальневосточная и арктическая ипотека</w:t>
            </w:r>
            <w:r w:rsidRPr="00385D56">
              <w:rPr>
                <w:rFonts w:ascii="Tahoma" w:hAnsi="Tahoma" w:cs="Tahoma"/>
                <w:b/>
                <w:bCs/>
                <w:sz w:val="20"/>
                <w:szCs w:val="20"/>
              </w:rPr>
              <w:t>»</w:t>
            </w:r>
          </w:p>
        </w:tc>
      </w:tr>
      <w:tr w:rsidR="00951A61" w:rsidRPr="00234585" w14:paraId="260F25FC"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76B0E028" w14:textId="77777777" w:rsidR="00951A61" w:rsidRPr="008B7EAD" w:rsidRDefault="00951A61" w:rsidP="00A4032F">
            <w:pPr>
              <w:pStyle w:val="affe"/>
              <w:ind w:left="-6"/>
              <w:jc w:val="center"/>
              <w:rPr>
                <w:rFonts w:ascii="Tahoma" w:hAnsi="Tahoma" w:cs="Tahoma"/>
                <w:b/>
                <w:bCs/>
                <w:sz w:val="20"/>
                <w:szCs w:val="20"/>
              </w:rPr>
            </w:pPr>
            <w:r w:rsidRPr="008B7EAD">
              <w:rPr>
                <w:rFonts w:ascii="Tahoma" w:hAnsi="Tahoma" w:cs="Tahoma"/>
                <w:b/>
                <w:bCs/>
                <w:sz w:val="20"/>
                <w:szCs w:val="20"/>
              </w:rPr>
              <w:t>Вид потребительского кредита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7A944B06" w14:textId="77777777" w:rsidR="00951A61" w:rsidRPr="0019235D" w:rsidRDefault="00951A61" w:rsidP="00A4032F">
            <w:pPr>
              <w:ind w:firstLine="425"/>
              <w:jc w:val="both"/>
              <w:rPr>
                <w:rFonts w:ascii="Tahoma" w:hAnsi="Tahoma" w:cs="Tahoma"/>
                <w:sz w:val="20"/>
                <w:szCs w:val="20"/>
              </w:rPr>
            </w:pPr>
            <w:r w:rsidRPr="00CE1BDB">
              <w:rPr>
                <w:rFonts w:ascii="Tahoma" w:hAnsi="Tahoma" w:cs="Tahoma"/>
                <w:sz w:val="20"/>
                <w:szCs w:val="20"/>
              </w:rPr>
              <w:t>Жилищный (ипотечный) кредит (на цели, не связанные с осуществлением предпринимательской деятельности, и обязательства, по ко</w:t>
            </w:r>
            <w:r w:rsidRPr="0019235D">
              <w:rPr>
                <w:rFonts w:ascii="Tahoma" w:hAnsi="Tahoma" w:cs="Tahoma"/>
                <w:sz w:val="20"/>
                <w:szCs w:val="20"/>
              </w:rPr>
              <w:t>торому обеспечиваются ипотекой)</w:t>
            </w:r>
          </w:p>
        </w:tc>
      </w:tr>
      <w:tr w:rsidR="00951A61" w:rsidRPr="00234585" w14:paraId="1024D25E"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2E30F151" w14:textId="77777777" w:rsidR="00951A61" w:rsidRPr="008B7EAD" w:rsidRDefault="00951A61" w:rsidP="00A4032F">
            <w:pPr>
              <w:pStyle w:val="affe"/>
              <w:ind w:left="-6"/>
              <w:jc w:val="center"/>
              <w:rPr>
                <w:rFonts w:ascii="Tahoma" w:hAnsi="Tahoma" w:cs="Tahoma"/>
                <w:b/>
                <w:bCs/>
                <w:sz w:val="20"/>
                <w:szCs w:val="20"/>
              </w:rPr>
            </w:pPr>
            <w:r w:rsidRPr="008B7EAD">
              <w:rPr>
                <w:rFonts w:ascii="Tahoma" w:hAnsi="Tahoma" w:cs="Tahoma"/>
                <w:b/>
                <w:sz w:val="20"/>
                <w:szCs w:val="20"/>
              </w:rPr>
              <w:t>Цель потребительского кредита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26A66FD1" w14:textId="77777777" w:rsidR="00951A61" w:rsidRPr="008B7EAD" w:rsidRDefault="00951A61" w:rsidP="00A4032F">
            <w:pPr>
              <w:autoSpaceDE w:val="0"/>
              <w:autoSpaceDN w:val="0"/>
              <w:adjustRightInd w:val="0"/>
              <w:ind w:firstLine="425"/>
              <w:jc w:val="both"/>
              <w:rPr>
                <w:rFonts w:ascii="Tahoma" w:hAnsi="Tahoma" w:cs="Tahoma"/>
                <w:sz w:val="20"/>
                <w:szCs w:val="20"/>
              </w:rPr>
            </w:pPr>
            <w:r w:rsidRPr="008B7EAD">
              <w:rPr>
                <w:rFonts w:ascii="Tahoma" w:hAnsi="Tahoma" w:cs="Tahoma"/>
                <w:b/>
                <w:sz w:val="20"/>
                <w:szCs w:val="20"/>
              </w:rPr>
              <w:t xml:space="preserve">а) </w:t>
            </w:r>
            <w:r w:rsidRPr="00074A60">
              <w:rPr>
                <w:rFonts w:ascii="Tahoma" w:hAnsi="Tahoma" w:cs="Tahoma"/>
                <w:b/>
                <w:sz w:val="20"/>
                <w:szCs w:val="20"/>
              </w:rPr>
              <w:t xml:space="preserve">приобретение по договору купли-продажи </w:t>
            </w:r>
            <w:r w:rsidRPr="00074A60">
              <w:rPr>
                <w:rFonts w:ascii="Tahoma" w:hAnsi="Tahoma" w:cs="Tahoma"/>
                <w:sz w:val="20"/>
                <w:szCs w:val="20"/>
              </w:rPr>
              <w:t xml:space="preserve">расположенных на территории субъекта Российской Федерации, входящего в состав Дальневосточного федерального округа, или на сухопутных территориях Арктической зоны Российской Федерации </w:t>
            </w:r>
            <w:r w:rsidRPr="00074A60">
              <w:rPr>
                <w:rFonts w:ascii="Tahoma" w:hAnsi="Tahoma" w:cs="Tahoma"/>
                <w:b/>
                <w:sz w:val="20"/>
                <w:szCs w:val="20"/>
              </w:rPr>
              <w:t>готового жилого помещения или жилого помещения с земельным участком (включая индивидуальный жилой дом в границах территории малоэтажного жилого комплекса и жилое помещение в доме блокированной застройки, дом блокированной застройки)</w:t>
            </w:r>
            <w:r w:rsidRPr="00074A60">
              <w:rPr>
                <w:rFonts w:ascii="Tahoma" w:hAnsi="Tahoma" w:cs="Tahoma"/>
                <w:sz w:val="20"/>
                <w:szCs w:val="20"/>
              </w:rPr>
              <w:t xml:space="preserve"> </w:t>
            </w:r>
            <w:r w:rsidRPr="00074A60">
              <w:rPr>
                <w:rFonts w:ascii="Tahoma" w:hAnsi="Tahoma" w:cs="Tahoma"/>
                <w:b/>
                <w:sz w:val="20"/>
                <w:szCs w:val="20"/>
              </w:rPr>
              <w:t>у юридического лица или индивидуального предпринимателя</w:t>
            </w:r>
            <w:r w:rsidRPr="00074A60">
              <w:rPr>
                <w:rFonts w:ascii="Tahoma" w:hAnsi="Tahoma" w:cs="Tahoma"/>
                <w:sz w:val="20"/>
                <w:szCs w:val="20"/>
              </w:rPr>
              <w:t xml:space="preserve">, являющихся первыми собственниками таких жилых помещений и зарегистрировавших право собственности на указанные жилые помещения после получения разрешения на ввод соответствующего объекта недвижимости в эксплуатацию (получения разрешения на ввод в эксплуатацию всех индивидуальных жилых домов, построенных в рамках проекта строительства малоэтажного жилого комплекса или его этапа, предусмотренного проектной декларацией, получения уведомления о соответствии построенных или реконструированных объекта индивидуального жилищного строительства или садового дома требованиям законодательства о градостроительной деятельности в соответствующих случаях) , </w:t>
            </w:r>
            <w:r w:rsidRPr="00074A60">
              <w:rPr>
                <w:rFonts w:ascii="Tahoma" w:hAnsi="Tahoma" w:cs="Tahoma"/>
                <w:b/>
                <w:sz w:val="20"/>
                <w:szCs w:val="20"/>
              </w:rPr>
              <w:t>или приобретение по договору купли-продажи</w:t>
            </w:r>
            <w:r w:rsidRPr="00074A60">
              <w:rPr>
                <w:rFonts w:ascii="Tahoma" w:hAnsi="Tahoma" w:cs="Tahoma"/>
                <w:sz w:val="20"/>
                <w:szCs w:val="20"/>
              </w:rPr>
              <w:t xml:space="preserve"> расположенных на территории субъекта Российской Федерации, входящего в состав Дальневосточного федерального округа, или на сухопутных территориях Арктической зоны Российской Федерации готового жилого помещения или жилого помещения с земельным участком (включая индивидуальный жилой дом в границах территории малоэтажного жилого комплекса и жилое помещение в доме блокированной застройки, дом блокированной застройки), входящих в состав имущества закрытого паевого инвестиционного фонда, владельцы инвестиционных паев которого </w:t>
            </w:r>
            <w:r w:rsidRPr="00074A60">
              <w:rPr>
                <w:rFonts w:ascii="Tahoma" w:hAnsi="Tahoma" w:cs="Tahoma"/>
                <w:sz w:val="20"/>
                <w:szCs w:val="20"/>
              </w:rPr>
              <w:lastRenderedPageBreak/>
              <w:t xml:space="preserve">являются первыми собственниками таких жилых помещений, право общей долевой собственности которых на указанные жилые помещения зарегистрировано после получения разрешения на ввод соответствующего объекта недвижимости в эксплуатацию (получения разрешения на ввод в эксплуатацию всех индивидуальных жилых домов, построенных в рамках проекта строительства малоэтажного жилого комплекса или его этапа, предусмотренного проектной декларацией, уведомления о соответствии построенных или реконструированных объекта индивидуального жилищного строительства или садового дома требованиям законодательства о градостроительной деятельности в соответствующих случаях), </w:t>
            </w:r>
            <w:r w:rsidRPr="00074A60">
              <w:rPr>
                <w:rFonts w:ascii="Tahoma" w:hAnsi="Tahoma" w:cs="Tahoma"/>
                <w:b/>
                <w:sz w:val="20"/>
                <w:szCs w:val="20"/>
              </w:rPr>
              <w:t>заключенному с управляющей компанией закрытого паевого инвестиционного фонда</w:t>
            </w:r>
            <w:r w:rsidRPr="00074A60">
              <w:rPr>
                <w:rFonts w:ascii="Tahoma" w:hAnsi="Tahoma" w:cs="Tahoma"/>
                <w:sz w:val="20"/>
                <w:szCs w:val="20"/>
              </w:rPr>
              <w:t xml:space="preserve">, осуществляющей доверительное управление таким закрытым паевым инвестиционным фондом, </w:t>
            </w:r>
            <w:r w:rsidRPr="00074A60">
              <w:rPr>
                <w:rFonts w:ascii="Tahoma" w:hAnsi="Tahoma" w:cs="Tahoma"/>
                <w:b/>
                <w:sz w:val="20"/>
                <w:szCs w:val="20"/>
              </w:rPr>
              <w:t>или приобретение по договору купли-продажи</w:t>
            </w:r>
            <w:r w:rsidRPr="00074A60">
              <w:rPr>
                <w:rFonts w:ascii="Tahoma" w:hAnsi="Tahoma" w:cs="Tahoma"/>
                <w:sz w:val="20"/>
                <w:szCs w:val="20"/>
              </w:rPr>
              <w:t xml:space="preserve"> расположенных на территории субъекта Российской Федерации, входящего в состав Дальневосточного федерального округа, или на сухопутных территориях Арктической зоны Российской Федерации готового жилого помещения или жилого помещения с земельным участком (включая жилое помещение в доме блокированной застройки, дом блокированной застройки), переданных публично-правовой компании "Фонд развития территорий" (далее - Фонд) в соответствии со статьей 13.4 Федерального закона от 29.07.2017 N 218-ФЗ (ред. от 25.12.2023) "О публично-правовой компании "Фонд развития территорий" и о внесении изменений в отдельные законодательные акты Российской Федерации", </w:t>
            </w:r>
            <w:r w:rsidRPr="00074A60">
              <w:rPr>
                <w:rFonts w:ascii="Tahoma" w:hAnsi="Tahoma" w:cs="Tahoma"/>
                <w:b/>
                <w:sz w:val="20"/>
                <w:szCs w:val="20"/>
              </w:rPr>
              <w:t>у Фонда</w:t>
            </w:r>
            <w:r w:rsidRPr="00074A60">
              <w:rPr>
                <w:rFonts w:ascii="Tahoma" w:hAnsi="Tahoma" w:cs="Tahoma"/>
                <w:sz w:val="20"/>
                <w:szCs w:val="20"/>
              </w:rPr>
              <w:t>;</w:t>
            </w:r>
          </w:p>
          <w:p w14:paraId="5A1C7207" w14:textId="77777777" w:rsidR="00951A61" w:rsidRPr="008B7EAD" w:rsidRDefault="00951A61" w:rsidP="00A4032F">
            <w:pPr>
              <w:ind w:firstLine="425"/>
              <w:jc w:val="both"/>
              <w:rPr>
                <w:rFonts w:ascii="Tahoma" w:hAnsi="Tahoma" w:cs="Tahoma"/>
                <w:sz w:val="20"/>
                <w:szCs w:val="20"/>
              </w:rPr>
            </w:pPr>
            <w:r w:rsidRPr="008B7EAD">
              <w:rPr>
                <w:rFonts w:ascii="Tahoma" w:hAnsi="Tahoma" w:cs="Tahoma"/>
                <w:b/>
                <w:sz w:val="20"/>
                <w:szCs w:val="20"/>
              </w:rPr>
              <w:t xml:space="preserve">б) </w:t>
            </w:r>
            <w:r w:rsidRPr="00074A60">
              <w:rPr>
                <w:rFonts w:ascii="Tahoma" w:hAnsi="Tahoma" w:cs="Tahoma"/>
                <w:b/>
                <w:sz w:val="20"/>
                <w:szCs w:val="20"/>
              </w:rPr>
              <w:t>приобретение</w:t>
            </w:r>
            <w:r w:rsidRPr="00074A60">
              <w:rPr>
                <w:rFonts w:ascii="Tahoma" w:hAnsi="Tahoma" w:cs="Tahoma"/>
                <w:sz w:val="20"/>
                <w:szCs w:val="20"/>
              </w:rPr>
              <w:t xml:space="preserve"> жилого помещения, расположенного на территории субъекта Российской Федерации, входящего в состав Дальневосточного федерального округа, или на сухопутных территориях Арктической зоны Российской Федерации, </w:t>
            </w:r>
            <w:r w:rsidRPr="00074A60">
              <w:rPr>
                <w:rFonts w:ascii="Tahoma" w:hAnsi="Tahoma" w:cs="Tahoma"/>
                <w:b/>
                <w:sz w:val="20"/>
                <w:szCs w:val="20"/>
              </w:rPr>
              <w:t>по договорам участия в долевом строительстве</w:t>
            </w:r>
            <w:r w:rsidRPr="00074A60">
              <w:rPr>
                <w:rFonts w:ascii="Tahoma" w:hAnsi="Tahoma" w:cs="Tahoma"/>
                <w:sz w:val="20"/>
                <w:szCs w:val="20"/>
              </w:rPr>
              <w:t>, заключенным в соответствии с положениями Федерального закона "Об участии в долевом строительстве многоквартирных домов и иных объектов недвижимости и о внесении изменений в некоторые законодательные акты Российской Федерации" с юридическими лицами (за исключением управляющих компаний инвестиционных фондов), или по договорам уступки прав требования по указанным договорам участия в долевом строительстве, заключенным в соответствии с положениями указанного в настоящем абзаце Федерального закона с юридическими лицами (за исключением управляющих компаний инвестиционных фондов)</w:t>
            </w:r>
            <w:r w:rsidRPr="008B7EAD">
              <w:rPr>
                <w:rFonts w:ascii="Tahoma" w:hAnsi="Tahoma" w:cs="Tahoma"/>
                <w:sz w:val="20"/>
                <w:szCs w:val="20"/>
              </w:rPr>
              <w:t xml:space="preserve">; </w:t>
            </w:r>
          </w:p>
          <w:p w14:paraId="104F4CDD" w14:textId="77777777" w:rsidR="00951A61" w:rsidRPr="008B7EAD" w:rsidRDefault="00951A61" w:rsidP="00A4032F">
            <w:pPr>
              <w:autoSpaceDE w:val="0"/>
              <w:autoSpaceDN w:val="0"/>
              <w:adjustRightInd w:val="0"/>
              <w:ind w:firstLine="425"/>
              <w:jc w:val="both"/>
              <w:rPr>
                <w:rFonts w:ascii="Tahoma" w:hAnsi="Tahoma" w:cs="Tahoma"/>
                <w:sz w:val="20"/>
                <w:szCs w:val="20"/>
              </w:rPr>
            </w:pPr>
            <w:r w:rsidRPr="008B7EAD">
              <w:rPr>
                <w:rFonts w:ascii="Tahoma" w:hAnsi="Tahoma" w:cs="Tahoma"/>
                <w:b/>
                <w:sz w:val="20"/>
                <w:szCs w:val="20"/>
              </w:rPr>
              <w:t xml:space="preserve">в) </w:t>
            </w:r>
            <w:r w:rsidRPr="00074A60">
              <w:rPr>
                <w:rFonts w:ascii="Tahoma" w:hAnsi="Tahoma" w:cs="Tahoma"/>
                <w:b/>
                <w:sz w:val="20"/>
                <w:szCs w:val="20"/>
              </w:rPr>
              <w:t>приобретение у юридического лица или физического лица, в том числе индивидуального предпринимателя</w:t>
            </w:r>
            <w:r w:rsidRPr="00074A60">
              <w:rPr>
                <w:rFonts w:ascii="Tahoma" w:hAnsi="Tahoma" w:cs="Tahoma"/>
                <w:sz w:val="20"/>
                <w:szCs w:val="20"/>
              </w:rPr>
              <w:t>, по договору купли-продажи на вторичном рынке жилья готового жилого помещения или жилого помещения с земельным участком, расположенного в сельском населенном пункте</w:t>
            </w:r>
            <w:r w:rsidRPr="00074A60">
              <w:rPr>
                <w:rStyle w:val="aff3"/>
                <w:rFonts w:ascii="Tahoma" w:hAnsi="Tahoma" w:cs="Tahoma"/>
                <w:sz w:val="20"/>
                <w:szCs w:val="20"/>
              </w:rPr>
              <w:footnoteReference w:id="95"/>
            </w:r>
            <w:r w:rsidRPr="00074A60">
              <w:rPr>
                <w:rFonts w:ascii="Tahoma" w:hAnsi="Tahoma" w:cs="Tahoma"/>
                <w:sz w:val="20"/>
                <w:szCs w:val="20"/>
              </w:rPr>
              <w:t xml:space="preserve"> на территории субъекта Российской Федерации, входящего в состав Дальневосточного федерального округа, или на сухопутных территориях Арктической зоны Российской Федерации, а в отношении Магаданской области и Чукотского автономного округа - на территории любого муниципального образования, или готового жилого помещения или жилого помещения с земельным участком, расположенного на территории монопрофильного муниципального образования </w:t>
            </w:r>
            <w:r w:rsidRPr="00074A60">
              <w:rPr>
                <w:rFonts w:ascii="Tahoma" w:hAnsi="Tahoma" w:cs="Tahoma"/>
                <w:b/>
                <w:sz w:val="20"/>
                <w:szCs w:val="20"/>
              </w:rPr>
              <w:t>(моногорода)</w:t>
            </w:r>
            <w:r w:rsidRPr="00074A60">
              <w:rPr>
                <w:rFonts w:ascii="Tahoma" w:hAnsi="Tahoma" w:cs="Tahoma"/>
                <w:sz w:val="20"/>
                <w:szCs w:val="20"/>
              </w:rPr>
              <w:t xml:space="preserve"> в субъекте Российской Федерации, входящем в состав Дальневосточного федерального округа, или на сухопутных территориях Арктической зоны Российской Федерации, включенного в перечень монопрофильных муниципальных образований Российской Федерации (моногородов), утвержденный распоряжением Правительства Российской Федерации от 29 июля 2014 г. N 1398-р</w:t>
            </w:r>
            <w:bookmarkStart w:id="124" w:name="_Ref167390467"/>
            <w:r w:rsidRPr="00074A60">
              <w:rPr>
                <w:rStyle w:val="aff3"/>
                <w:rFonts w:ascii="Tahoma" w:hAnsi="Tahoma" w:cs="Tahoma"/>
                <w:sz w:val="20"/>
                <w:szCs w:val="20"/>
              </w:rPr>
              <w:footnoteReference w:id="96"/>
            </w:r>
            <w:bookmarkEnd w:id="124"/>
            <w:r w:rsidRPr="008B7EAD">
              <w:rPr>
                <w:rFonts w:ascii="Tahoma" w:hAnsi="Tahoma" w:cs="Tahoma"/>
                <w:sz w:val="20"/>
                <w:szCs w:val="20"/>
              </w:rPr>
              <w:t>;</w:t>
            </w:r>
          </w:p>
          <w:p w14:paraId="4D44775A" w14:textId="77777777" w:rsidR="00951A61" w:rsidRPr="008B7EAD" w:rsidRDefault="00951A61" w:rsidP="00A4032F">
            <w:pPr>
              <w:ind w:firstLine="425"/>
              <w:jc w:val="both"/>
              <w:rPr>
                <w:rFonts w:ascii="Tahoma" w:hAnsi="Tahoma" w:cs="Tahoma"/>
                <w:sz w:val="20"/>
                <w:szCs w:val="20"/>
              </w:rPr>
            </w:pPr>
            <w:r w:rsidRPr="008B7EAD">
              <w:rPr>
                <w:rFonts w:ascii="Tahoma" w:hAnsi="Tahoma" w:cs="Tahoma"/>
                <w:b/>
                <w:sz w:val="20"/>
                <w:szCs w:val="20"/>
              </w:rPr>
              <w:lastRenderedPageBreak/>
              <w:t>г)</w:t>
            </w:r>
            <w:r w:rsidRPr="008B7EAD">
              <w:rPr>
                <w:rFonts w:ascii="Tahoma" w:hAnsi="Tahoma" w:cs="Tahoma"/>
                <w:sz w:val="20"/>
                <w:szCs w:val="20"/>
              </w:rPr>
              <w:t xml:space="preserve"> </w:t>
            </w:r>
            <w:r w:rsidRPr="008B7EAD">
              <w:rPr>
                <w:rFonts w:ascii="Tahoma" w:hAnsi="Tahoma" w:cs="Tahoma"/>
                <w:b/>
                <w:sz w:val="20"/>
                <w:szCs w:val="20"/>
              </w:rPr>
              <w:t>строительство индивидуального жилого дома на земельном участке</w:t>
            </w:r>
            <w:r w:rsidRPr="00CE1BDB">
              <w:rPr>
                <w:rFonts w:ascii="Tahoma" w:hAnsi="Tahoma" w:cs="Tahoma"/>
                <w:sz w:val="20"/>
                <w:szCs w:val="20"/>
              </w:rPr>
              <w:t>, расположенном на территории субъекта Российской Федерации, входящего в состав Дальневосточного федерального округа</w:t>
            </w:r>
            <w:r w:rsidRPr="008B7EAD">
              <w:rPr>
                <w:rStyle w:val="aff3"/>
                <w:rFonts w:ascii="Tahoma" w:hAnsi="Tahoma" w:cs="Tahoma"/>
                <w:sz w:val="20"/>
                <w:szCs w:val="20"/>
              </w:rPr>
              <w:footnoteReference w:id="97"/>
            </w:r>
            <w:r w:rsidRPr="008B7EAD">
              <w:rPr>
                <w:rFonts w:ascii="Tahoma" w:hAnsi="Tahoma" w:cs="Tahoma"/>
                <w:sz w:val="20"/>
                <w:szCs w:val="20"/>
              </w:rPr>
              <w:t xml:space="preserve">, или на сухопутных территориях Арктической зоны Российской Федерации, </w:t>
            </w:r>
            <w:r w:rsidRPr="008B7EAD">
              <w:rPr>
                <w:rFonts w:ascii="Tahoma" w:hAnsi="Tahoma" w:cs="Tahoma"/>
                <w:b/>
                <w:sz w:val="20"/>
                <w:szCs w:val="20"/>
              </w:rPr>
              <w:t>или приобретение земельного участка</w:t>
            </w:r>
            <w:r w:rsidRPr="008B7EAD">
              <w:rPr>
                <w:rFonts w:ascii="Tahoma" w:hAnsi="Tahoma" w:cs="Tahoma"/>
                <w:sz w:val="20"/>
                <w:szCs w:val="20"/>
              </w:rPr>
              <w:t xml:space="preserve">, расположенного на территории субъекта Российской Федерации, входящего в состав Дальневосточного федерального округа, или на сухопутных территориях Арктической зоны Российской Федерации, </w:t>
            </w:r>
            <w:r w:rsidRPr="00CE1BDB">
              <w:rPr>
                <w:rFonts w:ascii="Tahoma" w:hAnsi="Tahoma" w:cs="Tahoma"/>
                <w:b/>
                <w:sz w:val="20"/>
                <w:szCs w:val="20"/>
              </w:rPr>
              <w:t>и строительство на нем индивидуального жилого дома</w:t>
            </w:r>
            <w:r w:rsidRPr="00CE1BDB">
              <w:rPr>
                <w:rFonts w:ascii="Tahoma" w:hAnsi="Tahoma" w:cs="Tahoma"/>
                <w:sz w:val="20"/>
                <w:szCs w:val="20"/>
              </w:rPr>
              <w:t xml:space="preserve"> с оформлением в залог дополнительного обеспечения – залога (ипотеки) квартиры или таунхауса. Дополнительное обеспечение при этом может быть расположено на территории субъекта Российской Федерации, не входящего в состав Дальневосточного федерального округа (ДФО)</w:t>
            </w:r>
            <w:r w:rsidRPr="00C60110">
              <w:rPr>
                <w:rFonts w:ascii="Tahoma" w:hAnsi="Tahoma" w:cs="Tahoma"/>
                <w:sz w:val="20"/>
                <w:szCs w:val="20"/>
              </w:rPr>
              <w:t>, или на сухопутных территори</w:t>
            </w:r>
            <w:r>
              <w:rPr>
                <w:rFonts w:ascii="Tahoma" w:hAnsi="Tahoma" w:cs="Tahoma"/>
                <w:sz w:val="20"/>
                <w:szCs w:val="20"/>
              </w:rPr>
              <w:t>й</w:t>
            </w:r>
            <w:r w:rsidRPr="00C60110">
              <w:rPr>
                <w:rFonts w:ascii="Tahoma" w:hAnsi="Tahoma" w:cs="Tahoma"/>
                <w:sz w:val="20"/>
                <w:szCs w:val="20"/>
              </w:rPr>
              <w:t xml:space="preserve"> Арктической зоны Российской Федерации</w:t>
            </w:r>
            <w:r w:rsidRPr="008B7EAD">
              <w:rPr>
                <w:rFonts w:ascii="Tahoma" w:hAnsi="Tahoma" w:cs="Tahoma"/>
                <w:sz w:val="20"/>
                <w:szCs w:val="20"/>
              </w:rPr>
              <w:t>.</w:t>
            </w:r>
            <w:r w:rsidRPr="008B7EAD">
              <w:rPr>
                <w:rStyle w:val="aff3"/>
                <w:rFonts w:ascii="Tahoma" w:hAnsi="Tahoma" w:cs="Tahoma"/>
                <w:sz w:val="20"/>
                <w:szCs w:val="20"/>
              </w:rPr>
              <w:footnoteReference w:id="98"/>
            </w:r>
            <w:r w:rsidRPr="008B7EAD">
              <w:rPr>
                <w:rFonts w:ascii="Tahoma" w:hAnsi="Tahoma" w:cs="Tahoma"/>
                <w:sz w:val="20"/>
                <w:szCs w:val="20"/>
              </w:rPr>
              <w:t xml:space="preserve"> Строительство жилого дома должно осуществляться по одному или нескольким договорам подряда, заключенным с юридическими лицами или индивидуальными предпринимателями.</w:t>
            </w:r>
          </w:p>
          <w:p w14:paraId="56A392F5" w14:textId="77777777" w:rsidR="00951A61" w:rsidRPr="00CE1BDB" w:rsidRDefault="00951A61" w:rsidP="00A4032F">
            <w:pPr>
              <w:ind w:firstLine="425"/>
              <w:jc w:val="both"/>
              <w:rPr>
                <w:rFonts w:ascii="Tahoma" w:hAnsi="Tahoma" w:cs="Tahoma"/>
                <w:b/>
                <w:sz w:val="20"/>
                <w:szCs w:val="20"/>
              </w:rPr>
            </w:pPr>
          </w:p>
          <w:p w14:paraId="5C49A3FC" w14:textId="77777777" w:rsidR="00951A61" w:rsidRPr="00017E7D" w:rsidRDefault="00951A61" w:rsidP="00A4032F">
            <w:pPr>
              <w:ind w:firstLine="425"/>
              <w:jc w:val="both"/>
              <w:rPr>
                <w:rFonts w:ascii="Tahoma" w:hAnsi="Tahoma" w:cs="Tahoma"/>
                <w:b/>
                <w:sz w:val="20"/>
                <w:szCs w:val="20"/>
              </w:rPr>
            </w:pPr>
            <w:r w:rsidRPr="0019235D">
              <w:rPr>
                <w:rFonts w:ascii="Tahoma" w:hAnsi="Tahoma" w:cs="Tahoma"/>
                <w:b/>
                <w:sz w:val="20"/>
                <w:szCs w:val="20"/>
              </w:rPr>
              <w:t>Перекредитование (полное погашение) предшествующих ипотечных кредитов/займов не допускается</w:t>
            </w:r>
          </w:p>
        </w:tc>
      </w:tr>
      <w:tr w:rsidR="00951A61" w:rsidRPr="00234585" w14:paraId="455F4435"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6FA70F20" w14:textId="77777777" w:rsidR="00951A61" w:rsidRPr="00CE1BDB" w:rsidRDefault="00951A61" w:rsidP="00A4032F">
            <w:pPr>
              <w:pStyle w:val="affe"/>
              <w:ind w:left="-6"/>
              <w:jc w:val="center"/>
              <w:rPr>
                <w:rFonts w:ascii="Tahoma" w:hAnsi="Tahoma" w:cs="Tahoma"/>
                <w:b/>
                <w:sz w:val="20"/>
                <w:szCs w:val="20"/>
              </w:rPr>
            </w:pPr>
            <w:r w:rsidRPr="008B7EAD">
              <w:rPr>
                <w:rFonts w:ascii="Tahoma" w:hAnsi="Tahoma" w:cs="Tahoma"/>
                <w:b/>
                <w:sz w:val="20"/>
                <w:szCs w:val="20"/>
              </w:rPr>
              <w:lastRenderedPageBreak/>
              <w:t xml:space="preserve">Подразделения Банка, реализующие </w:t>
            </w:r>
            <w:r w:rsidRPr="00CE1BDB">
              <w:rPr>
                <w:rFonts w:ascii="Tahoma" w:hAnsi="Tahoma" w:cs="Tahoma"/>
                <w:b/>
                <w:sz w:val="20"/>
                <w:szCs w:val="20"/>
              </w:rPr>
              <w:t>кредитный продукт</w:t>
            </w:r>
          </w:p>
        </w:tc>
        <w:tc>
          <w:tcPr>
            <w:tcW w:w="11452" w:type="dxa"/>
            <w:tcBorders>
              <w:top w:val="single" w:sz="4" w:space="0" w:color="auto"/>
              <w:left w:val="nil"/>
              <w:bottom w:val="single" w:sz="4" w:space="0" w:color="auto"/>
              <w:right w:val="single" w:sz="4" w:space="0" w:color="auto"/>
            </w:tcBorders>
            <w:shd w:val="clear" w:color="auto" w:fill="auto"/>
            <w:vAlign w:val="center"/>
          </w:tcPr>
          <w:p w14:paraId="76FC3A8E" w14:textId="77777777" w:rsidR="00951A61" w:rsidRPr="00017E7D" w:rsidRDefault="00951A61" w:rsidP="00A4032F">
            <w:pPr>
              <w:ind w:firstLine="425"/>
              <w:jc w:val="both"/>
              <w:rPr>
                <w:rFonts w:ascii="Tahoma" w:hAnsi="Tahoma" w:cs="Tahoma"/>
                <w:sz w:val="20"/>
                <w:szCs w:val="20"/>
              </w:rPr>
            </w:pPr>
            <w:r w:rsidRPr="0019235D">
              <w:rPr>
                <w:rFonts w:ascii="Tahoma" w:hAnsi="Tahoma" w:cs="Tahoma"/>
                <w:sz w:val="20"/>
                <w:szCs w:val="20"/>
              </w:rPr>
              <w:t>Все подразделения Банка</w:t>
            </w:r>
          </w:p>
        </w:tc>
      </w:tr>
      <w:tr w:rsidR="00951A61" w:rsidRPr="00234585" w14:paraId="4216C70D"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72C8915F" w14:textId="77777777" w:rsidR="00951A61" w:rsidRPr="00074A60" w:rsidRDefault="00951A61" w:rsidP="00A4032F">
            <w:pPr>
              <w:pStyle w:val="ConsPlusNormal"/>
              <w:ind w:left="-6"/>
              <w:jc w:val="center"/>
              <w:rPr>
                <w:rFonts w:ascii="Tahoma" w:hAnsi="Tahoma" w:cs="Tahoma"/>
                <w:b/>
                <w:bCs/>
              </w:rPr>
            </w:pPr>
            <w:r w:rsidRPr="008B7EAD">
              <w:rPr>
                <w:rFonts w:ascii="Tahoma" w:hAnsi="Tahoma" w:cs="Tahoma"/>
                <w:b/>
                <w:bCs/>
              </w:rPr>
              <w:t xml:space="preserve">Категория Заемщика/Требования к </w:t>
            </w:r>
            <w:r w:rsidRPr="00CE1BDB">
              <w:rPr>
                <w:rFonts w:ascii="Tahoma" w:hAnsi="Tahoma" w:cs="Tahoma"/>
                <w:b/>
                <w:bCs/>
              </w:rPr>
              <w:t>Заемщику, либо к солидарным Заемщикам (</w:t>
            </w:r>
            <w:r w:rsidRPr="0019235D">
              <w:rPr>
                <w:rFonts w:ascii="Tahoma" w:hAnsi="Tahoma" w:cs="Tahoma"/>
                <w:b/>
                <w:bCs/>
              </w:rPr>
              <w:t>к одному из солидарных З</w:t>
            </w:r>
            <w:r w:rsidRPr="00017E7D">
              <w:rPr>
                <w:rFonts w:ascii="Tahoma" w:hAnsi="Tahoma" w:cs="Tahoma"/>
                <w:b/>
                <w:bCs/>
              </w:rPr>
              <w:t>аемщиков) по Кредитному договору в рамках Тарифного плана «</w:t>
            </w:r>
            <w:r w:rsidRPr="008B7EAD">
              <w:rPr>
                <w:rFonts w:ascii="Tahoma" w:hAnsi="Tahoma" w:cs="Tahoma"/>
                <w:b/>
                <w:noProof/>
              </w:rPr>
              <w:t>Дальневосточная и арктическая ипотека</w:t>
            </w:r>
            <w:r w:rsidRPr="008B7EAD">
              <w:rPr>
                <w:rFonts w:ascii="Tahoma" w:hAnsi="Tahoma" w:cs="Tahoma"/>
                <w:b/>
                <w:bCs/>
              </w:rPr>
              <w:t>»</w:t>
            </w:r>
            <w:r w:rsidRPr="008B7EAD">
              <w:rPr>
                <w:rFonts w:ascii="Tahoma" w:hAnsi="Tahoma" w:cs="Tahoma"/>
                <w:b/>
              </w:rPr>
              <w:t>, которые установлены Банком и выполнение которых является обязательным для предоставления потребительского кредита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137DEDD7" w14:textId="77777777" w:rsidR="00951A61" w:rsidRPr="00322454" w:rsidRDefault="00951A61" w:rsidP="00A4032F">
            <w:pPr>
              <w:ind w:firstLine="425"/>
              <w:jc w:val="both"/>
              <w:rPr>
                <w:rFonts w:ascii="Tahoma" w:hAnsi="Tahoma" w:cs="Tahoma"/>
                <w:sz w:val="20"/>
                <w:szCs w:val="20"/>
              </w:rPr>
            </w:pPr>
            <w:r w:rsidRPr="00322454">
              <w:rPr>
                <w:rFonts w:ascii="Tahoma" w:hAnsi="Tahoma" w:cs="Tahoma"/>
                <w:b/>
                <w:sz w:val="20"/>
                <w:szCs w:val="20"/>
              </w:rPr>
              <w:t xml:space="preserve">1. Физические лица </w:t>
            </w:r>
            <w:r w:rsidRPr="00322454">
              <w:rPr>
                <w:rFonts w:ascii="Tahoma" w:hAnsi="Tahoma" w:cs="Tahoma"/>
                <w:sz w:val="20"/>
                <w:szCs w:val="20"/>
              </w:rPr>
              <w:t>(целевые участники программы "Дальневосточная и арктическая ипотека"):</w:t>
            </w:r>
          </w:p>
          <w:p w14:paraId="6119FC30" w14:textId="77777777" w:rsidR="00951A61" w:rsidRPr="00101974" w:rsidRDefault="00951A61" w:rsidP="00A4032F">
            <w:pPr>
              <w:ind w:firstLine="425"/>
              <w:jc w:val="both"/>
              <w:rPr>
                <w:rFonts w:ascii="Tahoma" w:hAnsi="Tahoma" w:cs="Tahoma"/>
                <w:sz w:val="20"/>
                <w:szCs w:val="20"/>
              </w:rPr>
            </w:pPr>
            <w:r w:rsidRPr="00101974">
              <w:rPr>
                <w:rFonts w:ascii="Tahoma" w:hAnsi="Tahoma" w:cs="Tahoma"/>
                <w:sz w:val="20"/>
                <w:szCs w:val="20"/>
              </w:rPr>
              <w:t xml:space="preserve">1.1. Граждане Российской Федерации, состоящие в браке между собой и возраст обоих супругов, не достиг 36 лет. При этом супруг (супруга) Заемщика является солидарным Заемщиком по Кредитному договору. </w:t>
            </w:r>
          </w:p>
          <w:p w14:paraId="3CECA849" w14:textId="77777777" w:rsidR="00951A61" w:rsidRPr="00101974" w:rsidRDefault="00951A61" w:rsidP="00A4032F">
            <w:pPr>
              <w:ind w:firstLine="425"/>
              <w:jc w:val="both"/>
              <w:rPr>
                <w:rFonts w:ascii="Tahoma" w:hAnsi="Tahoma" w:cs="Tahoma"/>
                <w:sz w:val="20"/>
                <w:szCs w:val="20"/>
              </w:rPr>
            </w:pPr>
            <w:r w:rsidRPr="00101974">
              <w:rPr>
                <w:rFonts w:ascii="Tahoma" w:hAnsi="Tahoma" w:cs="Tahoma"/>
                <w:sz w:val="20"/>
                <w:szCs w:val="20"/>
              </w:rPr>
              <w:t>1.2. Гражданин Российской Федерации, не состоящий в браке, возраст которого не достиг 36 лет, и имеющий ребенка в возрасте не достигшего 19 лет;</w:t>
            </w:r>
          </w:p>
          <w:p w14:paraId="5E00D31B" w14:textId="77777777" w:rsidR="00951A61" w:rsidRPr="00101974" w:rsidRDefault="00951A61" w:rsidP="00A4032F">
            <w:pPr>
              <w:ind w:firstLine="425"/>
              <w:jc w:val="both"/>
              <w:rPr>
                <w:rFonts w:ascii="Tahoma" w:hAnsi="Tahoma" w:cs="Tahoma"/>
                <w:sz w:val="20"/>
                <w:szCs w:val="20"/>
              </w:rPr>
            </w:pPr>
            <w:r w:rsidRPr="00101974">
              <w:rPr>
                <w:rFonts w:ascii="Tahoma" w:hAnsi="Tahoma" w:cs="Tahoma"/>
                <w:sz w:val="20"/>
                <w:szCs w:val="20"/>
              </w:rPr>
              <w:t>1.3. Гражданин Российской Федерации, которому предоставлен земельный участок</w:t>
            </w:r>
            <w:r w:rsidRPr="00322454">
              <w:rPr>
                <w:rStyle w:val="aff3"/>
                <w:rFonts w:ascii="Tahoma" w:hAnsi="Tahoma" w:cs="Tahoma"/>
                <w:sz w:val="20"/>
                <w:szCs w:val="20"/>
              </w:rPr>
              <w:footnoteReference w:id="99"/>
            </w:r>
            <w:r w:rsidRPr="00322454">
              <w:rPr>
                <w:rFonts w:ascii="Tahoma" w:hAnsi="Tahoma" w:cs="Tahoma"/>
                <w:sz w:val="20"/>
                <w:szCs w:val="20"/>
              </w:rPr>
              <w:t xml:space="preserve">, расположенный на территории субъекта Российской Федерации, входящего в состав Дальневосточного федерального округа, или на сухопутных территориях Арктической зоны Российской Федерации, в соответствии с Федеральным законом от 01.05.2016 N 119-ФЗ (ред. от 29.12.2022) "Об особенностях предоставления гражданам земельных участков, находящихся в государственной или муниципальной собственности и расположенных в Арктической зоне Российской Федерации и </w:t>
            </w:r>
            <w:r w:rsidRPr="00101974">
              <w:rPr>
                <w:rFonts w:ascii="Tahoma" w:hAnsi="Tahoma" w:cs="Tahoma"/>
                <w:sz w:val="20"/>
                <w:szCs w:val="20"/>
              </w:rPr>
              <w:t>на других территориях Севера, Сибири и Дальнего Востока Российской Федерации, и о внесении изменений в отдельные законодательные акты Российской Федерации" (с изм. и доп., вступ. в силу с 01.07.2023) (далее - Федеральный закон от 01.05.2016 г. N 119-ФЗ). При этом если заемщик состоит в браке, то супруг (супруга) заемщика является солидарным заемщиком по Кредитному договору;</w:t>
            </w:r>
          </w:p>
          <w:p w14:paraId="60AFA3CC" w14:textId="77777777" w:rsidR="00951A61" w:rsidRPr="00101974" w:rsidRDefault="00951A61" w:rsidP="00A4032F">
            <w:pPr>
              <w:ind w:firstLine="425"/>
              <w:jc w:val="both"/>
              <w:rPr>
                <w:rFonts w:ascii="Tahoma" w:hAnsi="Tahoma" w:cs="Tahoma"/>
                <w:sz w:val="20"/>
                <w:szCs w:val="20"/>
              </w:rPr>
            </w:pPr>
            <w:r w:rsidRPr="00101974">
              <w:rPr>
                <w:rFonts w:ascii="Tahoma" w:hAnsi="Tahoma" w:cs="Tahoma"/>
                <w:sz w:val="20"/>
                <w:szCs w:val="20"/>
              </w:rPr>
              <w:t>1.4. Гражданин Российской Федерации, осуществляющий трудовую деятельность в должности педагогического работника в государственной или муниципальной образовательной организации, расположенной на территории субъекта Российской Федерации, входящего в состав Дальневосточного федерального округа, или на сухопутных территориях Арктической зоны Российской Федерации;</w:t>
            </w:r>
          </w:p>
          <w:p w14:paraId="4D2BC604" w14:textId="77777777" w:rsidR="00951A61" w:rsidRPr="00322454" w:rsidRDefault="00951A61" w:rsidP="00A4032F">
            <w:pPr>
              <w:ind w:firstLine="425"/>
              <w:jc w:val="both"/>
              <w:rPr>
                <w:rFonts w:ascii="Tahoma" w:hAnsi="Tahoma" w:cs="Tahoma"/>
                <w:sz w:val="20"/>
                <w:szCs w:val="20"/>
              </w:rPr>
            </w:pPr>
            <w:r w:rsidRPr="00101974">
              <w:rPr>
                <w:rFonts w:ascii="Tahoma" w:hAnsi="Tahoma" w:cs="Tahoma"/>
                <w:sz w:val="20"/>
                <w:szCs w:val="20"/>
              </w:rPr>
              <w:t xml:space="preserve">1.5. Гражданин Российской Федерации, осуществляющий трудовую деятельность в государственной или муниципальной медицинской организации, расположенной на территории субъекта Российской Федерации, входящего в </w:t>
            </w:r>
            <w:r w:rsidRPr="00101974">
              <w:rPr>
                <w:rFonts w:ascii="Tahoma" w:hAnsi="Tahoma" w:cs="Tahoma"/>
                <w:sz w:val="20"/>
                <w:szCs w:val="20"/>
              </w:rPr>
              <w:lastRenderedPageBreak/>
              <w:t>состав Дальневосточного федерального округа или на сухопутных территориях Арктической зоны Российской Федерации</w:t>
            </w:r>
            <w:r w:rsidRPr="00322454">
              <w:rPr>
                <w:rFonts w:ascii="Tahoma" w:hAnsi="Tahoma" w:cs="Tahoma"/>
                <w:sz w:val="20"/>
                <w:szCs w:val="20"/>
              </w:rPr>
              <w:t>.</w:t>
            </w:r>
          </w:p>
          <w:p w14:paraId="2358596D" w14:textId="77777777" w:rsidR="00951A61" w:rsidRPr="00322454" w:rsidRDefault="00951A61" w:rsidP="00A4032F">
            <w:pPr>
              <w:ind w:firstLine="425"/>
              <w:jc w:val="both"/>
              <w:rPr>
                <w:rFonts w:ascii="Tahoma" w:hAnsi="Tahoma" w:cs="Tahoma"/>
                <w:sz w:val="20"/>
                <w:szCs w:val="20"/>
              </w:rPr>
            </w:pPr>
          </w:p>
          <w:p w14:paraId="0F6B7980" w14:textId="77777777" w:rsidR="00951A61" w:rsidRPr="00101974" w:rsidRDefault="00951A61" w:rsidP="00A4032F">
            <w:pPr>
              <w:ind w:firstLine="425"/>
              <w:jc w:val="both"/>
              <w:rPr>
                <w:rFonts w:ascii="Tahoma" w:hAnsi="Tahoma" w:cs="Tahoma"/>
                <w:sz w:val="20"/>
                <w:szCs w:val="20"/>
              </w:rPr>
            </w:pPr>
            <w:r w:rsidRPr="00101974">
              <w:rPr>
                <w:rFonts w:ascii="Tahoma" w:hAnsi="Tahoma" w:cs="Tahoma"/>
                <w:sz w:val="20"/>
                <w:szCs w:val="20"/>
              </w:rPr>
              <w:t>В состав Залогодателей должны обязательно входить все целевые участники программы.</w:t>
            </w:r>
          </w:p>
          <w:p w14:paraId="2920E13E" w14:textId="77777777" w:rsidR="00951A61" w:rsidRPr="00101974" w:rsidRDefault="00951A61" w:rsidP="00A4032F">
            <w:pPr>
              <w:ind w:firstLine="425"/>
              <w:jc w:val="both"/>
              <w:rPr>
                <w:rFonts w:ascii="Tahoma" w:hAnsi="Tahoma" w:cs="Tahoma"/>
                <w:sz w:val="20"/>
                <w:szCs w:val="20"/>
              </w:rPr>
            </w:pPr>
          </w:p>
          <w:p w14:paraId="6D6DD4C6" w14:textId="77777777" w:rsidR="00951A61" w:rsidRPr="00101974" w:rsidRDefault="00951A61" w:rsidP="00A4032F">
            <w:pPr>
              <w:ind w:firstLine="425"/>
              <w:jc w:val="both"/>
              <w:rPr>
                <w:rFonts w:ascii="Tahoma" w:hAnsi="Tahoma" w:cs="Tahoma"/>
                <w:sz w:val="20"/>
                <w:szCs w:val="20"/>
              </w:rPr>
            </w:pPr>
          </w:p>
          <w:p w14:paraId="2988942F" w14:textId="77777777" w:rsidR="00951A61" w:rsidRPr="00101974" w:rsidRDefault="00951A61" w:rsidP="00A4032F">
            <w:pPr>
              <w:ind w:firstLine="425"/>
              <w:jc w:val="both"/>
              <w:rPr>
                <w:rFonts w:ascii="Tahoma" w:hAnsi="Tahoma" w:cs="Tahoma"/>
                <w:b/>
                <w:sz w:val="20"/>
                <w:szCs w:val="20"/>
              </w:rPr>
            </w:pPr>
            <w:r w:rsidRPr="00101974">
              <w:rPr>
                <w:rFonts w:ascii="Tahoma" w:hAnsi="Tahoma" w:cs="Tahoma"/>
                <w:b/>
                <w:sz w:val="20"/>
                <w:szCs w:val="20"/>
              </w:rPr>
              <w:t>2.</w:t>
            </w:r>
            <w:r w:rsidRPr="00101974">
              <w:rPr>
                <w:rFonts w:ascii="Tahoma" w:hAnsi="Tahoma" w:cs="Tahoma"/>
                <w:b/>
                <w:sz w:val="20"/>
                <w:szCs w:val="20"/>
              </w:rPr>
              <w:tab/>
              <w:t>Требования к Заемщикам, включая целевых участников программы:</w:t>
            </w:r>
          </w:p>
          <w:p w14:paraId="77A9AA69" w14:textId="77777777" w:rsidR="00951A61" w:rsidRPr="00101974" w:rsidRDefault="00951A61" w:rsidP="00A4032F">
            <w:pPr>
              <w:ind w:firstLine="425"/>
              <w:jc w:val="both"/>
              <w:rPr>
                <w:rFonts w:ascii="Tahoma" w:hAnsi="Tahoma" w:cs="Tahoma"/>
                <w:sz w:val="20"/>
                <w:szCs w:val="20"/>
              </w:rPr>
            </w:pPr>
            <w:r w:rsidRPr="00101974">
              <w:rPr>
                <w:rFonts w:ascii="Tahoma" w:hAnsi="Tahoma" w:cs="Tahoma"/>
                <w:sz w:val="20"/>
                <w:szCs w:val="20"/>
              </w:rPr>
              <w:t>Гражданство: Российская Федерация;</w:t>
            </w:r>
          </w:p>
          <w:p w14:paraId="42FB6818" w14:textId="77777777" w:rsidR="00951A61" w:rsidRPr="00101974" w:rsidRDefault="00951A61" w:rsidP="00A4032F">
            <w:pPr>
              <w:ind w:firstLine="425"/>
              <w:jc w:val="both"/>
              <w:rPr>
                <w:rFonts w:ascii="Tahoma" w:hAnsi="Tahoma" w:cs="Tahoma"/>
                <w:sz w:val="20"/>
                <w:szCs w:val="20"/>
              </w:rPr>
            </w:pPr>
            <w:r w:rsidRPr="00101974">
              <w:rPr>
                <w:rFonts w:ascii="Tahoma" w:hAnsi="Tahoma" w:cs="Tahoma"/>
                <w:sz w:val="20"/>
                <w:szCs w:val="20"/>
              </w:rPr>
              <w:t xml:space="preserve">Регистрация: наличие регистрации по месту жительства/пребывания, в том числе на территории субъекта РФ, где располагается Объект недвижимости, не является обязательным; </w:t>
            </w:r>
          </w:p>
          <w:p w14:paraId="41D53490" w14:textId="77777777" w:rsidR="00951A61" w:rsidRPr="00101974" w:rsidRDefault="00951A61" w:rsidP="00A4032F">
            <w:pPr>
              <w:ind w:firstLine="425"/>
              <w:jc w:val="both"/>
              <w:rPr>
                <w:rFonts w:ascii="Tahoma" w:hAnsi="Tahoma" w:cs="Tahoma"/>
                <w:sz w:val="20"/>
                <w:szCs w:val="20"/>
              </w:rPr>
            </w:pPr>
            <w:r w:rsidRPr="00101974">
              <w:rPr>
                <w:rFonts w:ascii="Tahoma" w:hAnsi="Tahoma" w:cs="Tahoma"/>
                <w:sz w:val="20"/>
                <w:szCs w:val="20"/>
              </w:rPr>
              <w:t>Возраст: от 21 года до 75 лет (включительно) на момент полного погашения ипотечного кредита.</w:t>
            </w:r>
          </w:p>
          <w:p w14:paraId="2B4E5BF8" w14:textId="77777777" w:rsidR="00951A61" w:rsidRPr="00101974" w:rsidRDefault="00951A61" w:rsidP="00A4032F">
            <w:pPr>
              <w:ind w:firstLine="425"/>
              <w:jc w:val="both"/>
              <w:rPr>
                <w:rFonts w:ascii="Tahoma" w:hAnsi="Tahoma" w:cs="Tahoma"/>
                <w:sz w:val="20"/>
                <w:szCs w:val="20"/>
              </w:rPr>
            </w:pPr>
            <w:r w:rsidRPr="00101974">
              <w:rPr>
                <w:rFonts w:ascii="Tahoma" w:hAnsi="Tahoma" w:cs="Tahoma"/>
                <w:sz w:val="20"/>
                <w:szCs w:val="20"/>
              </w:rPr>
              <w:t>Трудоустройство:</w:t>
            </w:r>
          </w:p>
          <w:p w14:paraId="782B02E5" w14:textId="77777777" w:rsidR="00951A61" w:rsidRPr="00101974" w:rsidRDefault="00951A61" w:rsidP="00A4032F">
            <w:pPr>
              <w:ind w:firstLine="425"/>
              <w:jc w:val="both"/>
              <w:rPr>
                <w:rFonts w:ascii="Tahoma" w:hAnsi="Tahoma" w:cs="Tahoma"/>
                <w:sz w:val="20"/>
                <w:szCs w:val="20"/>
              </w:rPr>
            </w:pPr>
            <w:r w:rsidRPr="00101974">
              <w:rPr>
                <w:rFonts w:ascii="Tahoma" w:hAnsi="Tahoma" w:cs="Tahoma"/>
                <w:sz w:val="20"/>
                <w:szCs w:val="20"/>
              </w:rPr>
              <w:t>- наемные работники;</w:t>
            </w:r>
          </w:p>
          <w:p w14:paraId="251B082C" w14:textId="77777777" w:rsidR="00951A61" w:rsidRPr="00101974" w:rsidRDefault="00951A61" w:rsidP="00A4032F">
            <w:pPr>
              <w:ind w:firstLine="425"/>
              <w:jc w:val="both"/>
              <w:rPr>
                <w:rFonts w:ascii="Tahoma" w:hAnsi="Tahoma" w:cs="Tahoma"/>
                <w:sz w:val="20"/>
                <w:szCs w:val="20"/>
              </w:rPr>
            </w:pPr>
            <w:r w:rsidRPr="00101974">
              <w:rPr>
                <w:rFonts w:ascii="Tahoma" w:hAnsi="Tahoma" w:cs="Tahoma"/>
                <w:sz w:val="20"/>
                <w:szCs w:val="20"/>
              </w:rPr>
              <w:t>- индивидуальные предприниматели;</w:t>
            </w:r>
          </w:p>
          <w:p w14:paraId="191558ED" w14:textId="77777777" w:rsidR="00951A61" w:rsidRPr="00101974" w:rsidRDefault="00951A61" w:rsidP="00A4032F">
            <w:pPr>
              <w:ind w:firstLine="425"/>
              <w:jc w:val="both"/>
              <w:rPr>
                <w:rFonts w:ascii="Tahoma" w:hAnsi="Tahoma" w:cs="Tahoma"/>
                <w:sz w:val="20"/>
                <w:szCs w:val="20"/>
              </w:rPr>
            </w:pPr>
            <w:r w:rsidRPr="00101974">
              <w:rPr>
                <w:rFonts w:ascii="Tahoma" w:hAnsi="Tahoma" w:cs="Tahoma"/>
                <w:sz w:val="20"/>
                <w:szCs w:val="20"/>
              </w:rPr>
              <w:t>- физические лица, занимающиеся частной практикой;</w:t>
            </w:r>
          </w:p>
          <w:p w14:paraId="630146E0" w14:textId="77777777" w:rsidR="00951A61" w:rsidRPr="00101974" w:rsidRDefault="00951A61" w:rsidP="00A4032F">
            <w:pPr>
              <w:ind w:firstLine="425"/>
              <w:jc w:val="both"/>
              <w:rPr>
                <w:rFonts w:ascii="Tahoma" w:hAnsi="Tahoma" w:cs="Tahoma"/>
                <w:sz w:val="20"/>
                <w:szCs w:val="20"/>
              </w:rPr>
            </w:pPr>
            <w:r w:rsidRPr="00101974">
              <w:rPr>
                <w:rFonts w:ascii="Tahoma" w:hAnsi="Tahoma" w:cs="Tahoma"/>
                <w:sz w:val="20"/>
                <w:szCs w:val="20"/>
              </w:rPr>
              <w:t>- физическое лицо - единоличный учредитель и исполнительный орган организации, ее единственный участник, собственник ее имущества;</w:t>
            </w:r>
          </w:p>
          <w:p w14:paraId="4308E3DB" w14:textId="77777777" w:rsidR="00951A61" w:rsidRPr="00101974" w:rsidRDefault="00951A61" w:rsidP="00A4032F">
            <w:pPr>
              <w:ind w:firstLine="425"/>
              <w:jc w:val="both"/>
              <w:rPr>
                <w:rFonts w:ascii="Tahoma" w:hAnsi="Tahoma" w:cs="Tahoma"/>
                <w:sz w:val="20"/>
                <w:szCs w:val="20"/>
              </w:rPr>
            </w:pPr>
            <w:r w:rsidRPr="00101974">
              <w:rPr>
                <w:rFonts w:ascii="Tahoma" w:hAnsi="Tahoma" w:cs="Tahoma"/>
                <w:sz w:val="20"/>
                <w:szCs w:val="20"/>
              </w:rPr>
              <w:t>- граждане, применяющие специальный налоговый режим «налог на профессиональный доход» (далее – самозанятый);</w:t>
            </w:r>
          </w:p>
          <w:p w14:paraId="471A124A" w14:textId="77777777" w:rsidR="00951A61" w:rsidRPr="00101974" w:rsidRDefault="00951A61" w:rsidP="00A4032F">
            <w:pPr>
              <w:ind w:firstLine="425"/>
              <w:jc w:val="both"/>
              <w:rPr>
                <w:rFonts w:ascii="Tahoma" w:hAnsi="Tahoma" w:cs="Tahoma"/>
                <w:sz w:val="20"/>
                <w:szCs w:val="20"/>
              </w:rPr>
            </w:pPr>
            <w:r w:rsidRPr="00101974">
              <w:rPr>
                <w:rFonts w:ascii="Tahoma" w:hAnsi="Tahoma" w:cs="Tahoma"/>
                <w:sz w:val="20"/>
                <w:szCs w:val="20"/>
              </w:rPr>
              <w:t>- пенсионеры - лица, вышедшие в отставку либо на пенсию.</w:t>
            </w:r>
          </w:p>
          <w:p w14:paraId="4E3C7088" w14:textId="77777777" w:rsidR="00951A61" w:rsidRPr="00101974" w:rsidRDefault="00951A61" w:rsidP="00A4032F">
            <w:pPr>
              <w:ind w:firstLine="425"/>
              <w:jc w:val="both"/>
              <w:rPr>
                <w:rFonts w:ascii="Tahoma" w:hAnsi="Tahoma" w:cs="Tahoma"/>
                <w:sz w:val="20"/>
                <w:szCs w:val="20"/>
              </w:rPr>
            </w:pPr>
            <w:r w:rsidRPr="00101974">
              <w:rPr>
                <w:rFonts w:ascii="Tahoma" w:hAnsi="Tahoma" w:cs="Tahoma"/>
                <w:sz w:val="20"/>
                <w:szCs w:val="20"/>
              </w:rPr>
              <w:t>Требования к доходу: Заемщик имеет подтвержденный доход, соответствует требованиям Кредитора к кредитоспособности и платежеспособности.</w:t>
            </w:r>
          </w:p>
          <w:p w14:paraId="7FB5EE77" w14:textId="77777777" w:rsidR="00951A61" w:rsidRPr="00322454" w:rsidRDefault="00951A61" w:rsidP="00A4032F">
            <w:pPr>
              <w:ind w:firstLine="425"/>
              <w:jc w:val="both"/>
              <w:rPr>
                <w:rFonts w:ascii="Tahoma" w:hAnsi="Tahoma" w:cs="Tahoma"/>
                <w:sz w:val="20"/>
                <w:szCs w:val="20"/>
              </w:rPr>
            </w:pPr>
            <w:r w:rsidRPr="00101974">
              <w:rPr>
                <w:rFonts w:ascii="Tahoma" w:hAnsi="Tahoma" w:cs="Tahoma"/>
                <w:sz w:val="20"/>
                <w:szCs w:val="20"/>
              </w:rPr>
              <w:t>Требования к трудовому стажу: к работникам по найму - не менее 3-х полных календарных месяцев на последнем месте работы, при условии, что испытательный срок пройден или отсутствует. Общий трудовой стаж Заемщика должен быть не менее 12 (двенадцати) месяцев на дату подачи Заявления/Согласий и заверений Заемщика в Банк (прохождение военной службы, получение пособия по временной нетрудоспособности, уход за ребенком до 1,5 лет, получение пособия по безработице, время переезда для дальнейшего трудоустройства не учитываются в общем трудовом стаже); к индивидуальным предпринимателям — безубыточная предпринимательская деятельность не менее 12-ти календарных месяцев для сезонного вида деятельности</w:t>
            </w:r>
            <w:r w:rsidRPr="00322454">
              <w:rPr>
                <w:rStyle w:val="aff3"/>
                <w:rFonts w:ascii="Tahoma" w:hAnsi="Tahoma" w:cs="Tahoma"/>
                <w:sz w:val="20"/>
                <w:szCs w:val="20"/>
              </w:rPr>
              <w:footnoteReference w:id="100"/>
            </w:r>
            <w:r w:rsidRPr="00322454">
              <w:rPr>
                <w:rFonts w:ascii="Tahoma" w:hAnsi="Tahoma" w:cs="Tahoma"/>
                <w:sz w:val="20"/>
                <w:szCs w:val="20"/>
              </w:rPr>
              <w:t xml:space="preserve">  и не менее 3-х месяцев по видам деятельности, которые не признаются «сезонными»; для самозанятых граждан Общий трудовой стаж должен быть не менее 12 (двенадцати) месяцев на дату подачи Заявления/Согласий и заверений Заемщика в Банк и не менее 6 (Шести) полных календарных месяцев, считая с даты постановки на учет в качестве самозанятого.</w:t>
            </w:r>
          </w:p>
          <w:p w14:paraId="018A3C00" w14:textId="77777777" w:rsidR="00951A61" w:rsidRPr="00101974" w:rsidRDefault="00951A61" w:rsidP="00A4032F">
            <w:pPr>
              <w:ind w:firstLine="425"/>
              <w:jc w:val="both"/>
              <w:rPr>
                <w:rFonts w:ascii="Tahoma" w:hAnsi="Tahoma" w:cs="Tahoma"/>
                <w:sz w:val="20"/>
                <w:szCs w:val="20"/>
                <w:u w:val="single"/>
              </w:rPr>
            </w:pPr>
            <w:r w:rsidRPr="00101974">
              <w:rPr>
                <w:rFonts w:ascii="Tahoma" w:hAnsi="Tahoma" w:cs="Tahoma"/>
                <w:sz w:val="20"/>
                <w:szCs w:val="20"/>
                <w:u w:val="single"/>
              </w:rPr>
              <w:t>В число Заемщиков должны обязательно входить все целевые участники программы.</w:t>
            </w:r>
          </w:p>
          <w:p w14:paraId="2F2C8DB7" w14:textId="77777777" w:rsidR="00951A61" w:rsidRPr="00101974" w:rsidRDefault="00951A61" w:rsidP="00A4032F">
            <w:pPr>
              <w:ind w:firstLine="425"/>
              <w:jc w:val="both"/>
              <w:rPr>
                <w:rFonts w:ascii="Tahoma" w:hAnsi="Tahoma" w:cs="Tahoma"/>
                <w:sz w:val="20"/>
                <w:szCs w:val="20"/>
              </w:rPr>
            </w:pPr>
            <w:r w:rsidRPr="00101974">
              <w:rPr>
                <w:rFonts w:ascii="Tahoma" w:hAnsi="Tahoma" w:cs="Tahoma"/>
                <w:sz w:val="20"/>
                <w:szCs w:val="20"/>
              </w:rPr>
              <w:t xml:space="preserve">В состав Заемщиков могут быть включены Дополнительные заемщики - иные лица, из числа Взаимозависимых лиц Заемщика, помимо указанных в п.1 настоящего раздела. Число Заемщиков по одному ипотечному кредиту - не более 4 человек. </w:t>
            </w:r>
          </w:p>
          <w:p w14:paraId="5B45646C" w14:textId="77777777" w:rsidR="00951A61" w:rsidRPr="00101974" w:rsidRDefault="00951A61" w:rsidP="00A4032F">
            <w:pPr>
              <w:ind w:firstLine="425"/>
              <w:jc w:val="both"/>
              <w:rPr>
                <w:rFonts w:ascii="Tahoma" w:hAnsi="Tahoma" w:cs="Tahoma"/>
                <w:sz w:val="20"/>
                <w:szCs w:val="20"/>
              </w:rPr>
            </w:pPr>
            <w:r w:rsidRPr="00101974">
              <w:rPr>
                <w:rFonts w:ascii="Tahoma" w:hAnsi="Tahoma" w:cs="Tahoma"/>
                <w:sz w:val="20"/>
                <w:szCs w:val="20"/>
              </w:rPr>
              <w:t>Допустимо привлечение Созаемщика в возрасте от 18 лет, если данный участник сделки является Залогодателем, либо супругом(-ой) Заемщика без подтверждённого дохода.</w:t>
            </w:r>
          </w:p>
          <w:p w14:paraId="102A5865" w14:textId="77777777" w:rsidR="00951A61" w:rsidRPr="00101974" w:rsidRDefault="00951A61" w:rsidP="00A4032F">
            <w:pPr>
              <w:ind w:firstLine="425"/>
              <w:jc w:val="both"/>
              <w:rPr>
                <w:rFonts w:ascii="Tahoma" w:hAnsi="Tahoma" w:cs="Tahoma"/>
                <w:sz w:val="20"/>
                <w:szCs w:val="20"/>
              </w:rPr>
            </w:pPr>
          </w:p>
          <w:p w14:paraId="438DCBB2" w14:textId="77777777" w:rsidR="00951A61" w:rsidRPr="00101974" w:rsidRDefault="00951A61" w:rsidP="00A4032F">
            <w:pPr>
              <w:ind w:firstLine="425"/>
              <w:jc w:val="both"/>
              <w:rPr>
                <w:rFonts w:ascii="Tahoma" w:hAnsi="Tahoma" w:cs="Tahoma"/>
                <w:sz w:val="20"/>
                <w:szCs w:val="20"/>
              </w:rPr>
            </w:pPr>
            <w:r w:rsidRPr="00101974">
              <w:rPr>
                <w:rFonts w:ascii="Tahoma" w:hAnsi="Tahoma" w:cs="Tahoma"/>
                <w:sz w:val="20"/>
                <w:szCs w:val="20"/>
              </w:rPr>
              <w:lastRenderedPageBreak/>
              <w:t>Окончательное решение о соответствии Заемщика требованиям Кредитора принимается в отношении каждого Заемщика индивидуально на основании анализа представленных документов.</w:t>
            </w:r>
          </w:p>
          <w:p w14:paraId="31CC3D90" w14:textId="77777777" w:rsidR="00951A61" w:rsidRPr="00101974" w:rsidRDefault="00951A61" w:rsidP="00A4032F">
            <w:pPr>
              <w:ind w:firstLine="425"/>
              <w:jc w:val="both"/>
              <w:rPr>
                <w:rFonts w:ascii="Tahoma" w:hAnsi="Tahoma" w:cs="Tahoma"/>
                <w:sz w:val="20"/>
                <w:szCs w:val="20"/>
              </w:rPr>
            </w:pPr>
          </w:p>
          <w:p w14:paraId="0362853F" w14:textId="77777777" w:rsidR="00951A61" w:rsidRPr="00101974" w:rsidRDefault="00951A61" w:rsidP="00A4032F">
            <w:pPr>
              <w:ind w:firstLine="425"/>
              <w:jc w:val="both"/>
              <w:rPr>
                <w:rFonts w:ascii="Tahoma" w:hAnsi="Tahoma" w:cs="Tahoma"/>
                <w:b/>
                <w:sz w:val="20"/>
                <w:szCs w:val="20"/>
              </w:rPr>
            </w:pPr>
            <w:r w:rsidRPr="00101974">
              <w:rPr>
                <w:rFonts w:ascii="Tahoma" w:hAnsi="Tahoma" w:cs="Tahoma"/>
                <w:b/>
                <w:sz w:val="20"/>
                <w:szCs w:val="20"/>
              </w:rPr>
              <w:t>Кредитование не осуществляется:</w:t>
            </w:r>
          </w:p>
          <w:p w14:paraId="759E83BF" w14:textId="77777777" w:rsidR="00951A61" w:rsidRPr="00101974" w:rsidRDefault="00951A61" w:rsidP="00951A61">
            <w:pPr>
              <w:pStyle w:val="affe"/>
              <w:numPr>
                <w:ilvl w:val="0"/>
                <w:numId w:val="106"/>
              </w:numPr>
              <w:ind w:left="0" w:firstLine="425"/>
              <w:contextualSpacing/>
              <w:jc w:val="both"/>
              <w:rPr>
                <w:rFonts w:ascii="Tahoma" w:hAnsi="Tahoma" w:cs="Tahoma"/>
                <w:sz w:val="20"/>
                <w:szCs w:val="20"/>
              </w:rPr>
            </w:pPr>
            <w:r w:rsidRPr="00101974">
              <w:rPr>
                <w:rFonts w:ascii="Tahoma" w:hAnsi="Tahoma" w:cs="Tahoma"/>
                <w:sz w:val="20"/>
                <w:szCs w:val="20"/>
              </w:rPr>
              <w:t>в случае, если Заемщик (любой из солидарных заемщиков) является (ранее являлся) Заемщиком (солидарным заемщиком) и (или) поручителем по другим жилищным (ипотечным) кредитам, предоставленным в соответствии с Решением;</w:t>
            </w:r>
          </w:p>
          <w:p w14:paraId="5D3129A0" w14:textId="77777777" w:rsidR="00951A61" w:rsidRPr="00322454" w:rsidRDefault="00951A61" w:rsidP="00951A61">
            <w:pPr>
              <w:pStyle w:val="affe"/>
              <w:numPr>
                <w:ilvl w:val="0"/>
                <w:numId w:val="106"/>
              </w:numPr>
              <w:ind w:left="0" w:firstLine="425"/>
              <w:contextualSpacing/>
              <w:jc w:val="both"/>
              <w:rPr>
                <w:rFonts w:ascii="Tahoma" w:hAnsi="Tahoma" w:cs="Tahoma"/>
                <w:sz w:val="20"/>
                <w:szCs w:val="20"/>
              </w:rPr>
            </w:pPr>
            <w:r w:rsidRPr="00101974">
              <w:rPr>
                <w:rFonts w:ascii="Tahoma" w:hAnsi="Tahoma" w:cs="Tahoma"/>
                <w:sz w:val="20"/>
                <w:szCs w:val="20"/>
              </w:rPr>
              <w:t>в случае, если Заемщик (любой из солидарных заемщиков) является (ранее являлся) Заемщиком (солидарным заемщиком и (или) поручителем) по другому кредитному договору (договору займа), заключенному с 23.12.2023 г. в соответствии с Правилами предоставления субсидий.</w:t>
            </w:r>
          </w:p>
        </w:tc>
      </w:tr>
      <w:tr w:rsidR="00951A61" w:rsidRPr="00234585" w14:paraId="54BFB69E"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7EDF1516" w14:textId="77777777" w:rsidR="00951A61" w:rsidRPr="00CE1BDB" w:rsidRDefault="00951A61" w:rsidP="00A4032F">
            <w:pPr>
              <w:pStyle w:val="ConsPlusNormal"/>
              <w:jc w:val="center"/>
              <w:rPr>
                <w:rFonts w:ascii="Tahoma" w:hAnsi="Tahoma" w:cs="Tahoma"/>
                <w:b/>
                <w:bCs/>
              </w:rPr>
            </w:pPr>
            <w:r w:rsidRPr="008B7EAD">
              <w:rPr>
                <w:rFonts w:ascii="Tahoma" w:hAnsi="Tahoma" w:cs="Tahoma"/>
                <w:b/>
                <w:bCs/>
              </w:rPr>
              <w:lastRenderedPageBreak/>
              <w:t xml:space="preserve">Валюта, в которой предоставляется </w:t>
            </w:r>
            <w:r w:rsidRPr="00CE1BDB">
              <w:rPr>
                <w:rFonts w:ascii="Tahoma" w:hAnsi="Tahoma" w:cs="Tahoma"/>
                <w:b/>
                <w:bCs/>
              </w:rPr>
              <w:t>потребительский кредит</w:t>
            </w:r>
          </w:p>
        </w:tc>
        <w:tc>
          <w:tcPr>
            <w:tcW w:w="11452" w:type="dxa"/>
            <w:tcBorders>
              <w:top w:val="single" w:sz="4" w:space="0" w:color="auto"/>
              <w:left w:val="nil"/>
              <w:bottom w:val="single" w:sz="4" w:space="0" w:color="auto"/>
              <w:right w:val="single" w:sz="4" w:space="0" w:color="auto"/>
            </w:tcBorders>
            <w:shd w:val="clear" w:color="auto" w:fill="auto"/>
            <w:vAlign w:val="center"/>
          </w:tcPr>
          <w:p w14:paraId="4F38E540" w14:textId="77777777" w:rsidR="00951A61" w:rsidRPr="00322454" w:rsidRDefault="00951A61" w:rsidP="00A4032F">
            <w:pPr>
              <w:ind w:firstLine="425"/>
              <w:jc w:val="both"/>
              <w:rPr>
                <w:rFonts w:ascii="Tahoma" w:hAnsi="Tahoma" w:cs="Tahoma"/>
                <w:sz w:val="20"/>
                <w:szCs w:val="20"/>
              </w:rPr>
            </w:pPr>
            <w:r w:rsidRPr="00322454">
              <w:rPr>
                <w:rFonts w:ascii="Tahoma" w:hAnsi="Tahoma" w:cs="Tahoma"/>
                <w:color w:val="000000"/>
                <w:sz w:val="20"/>
                <w:szCs w:val="20"/>
              </w:rPr>
              <w:t>Рубль Российской Федерации (далее - рубль)</w:t>
            </w:r>
          </w:p>
        </w:tc>
      </w:tr>
      <w:tr w:rsidR="00951A61" w:rsidRPr="00234585" w14:paraId="6930359B"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59CDBA97" w14:textId="77777777" w:rsidR="00951A61" w:rsidRPr="00CE1BDB" w:rsidRDefault="00951A61" w:rsidP="00A4032F">
            <w:pPr>
              <w:pStyle w:val="ConsPlusNormal"/>
              <w:jc w:val="center"/>
              <w:rPr>
                <w:rFonts w:ascii="Tahoma" w:hAnsi="Tahoma" w:cs="Tahoma"/>
                <w:b/>
                <w:bCs/>
              </w:rPr>
            </w:pPr>
            <w:r w:rsidRPr="008B7EAD">
              <w:rPr>
                <w:rFonts w:ascii="Tahoma" w:hAnsi="Tahoma" w:cs="Tahoma"/>
                <w:b/>
                <w:bCs/>
              </w:rPr>
              <w:t>Срок возврата потребительского кредита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447C21F9" w14:textId="77777777" w:rsidR="00951A61" w:rsidRPr="00322454" w:rsidRDefault="00951A61" w:rsidP="00A4032F">
            <w:pPr>
              <w:ind w:firstLine="425"/>
              <w:jc w:val="both"/>
              <w:rPr>
                <w:rFonts w:ascii="Tahoma" w:hAnsi="Tahoma" w:cs="Tahoma"/>
                <w:color w:val="000000"/>
                <w:sz w:val="20"/>
                <w:szCs w:val="20"/>
              </w:rPr>
            </w:pPr>
            <w:r w:rsidRPr="00322454">
              <w:rPr>
                <w:rFonts w:ascii="Tahoma" w:hAnsi="Tahoma" w:cs="Tahoma"/>
                <w:color w:val="000000"/>
                <w:sz w:val="20"/>
                <w:szCs w:val="20"/>
              </w:rPr>
              <w:t>От 36 до 240 месяцев</w:t>
            </w:r>
          </w:p>
        </w:tc>
      </w:tr>
      <w:tr w:rsidR="00951A61" w:rsidRPr="00234585" w14:paraId="6C6536CF"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79856794" w14:textId="77777777" w:rsidR="00951A61" w:rsidRPr="00CE1BDB" w:rsidRDefault="00951A61" w:rsidP="00A4032F">
            <w:pPr>
              <w:pStyle w:val="ConsPlusNormal"/>
              <w:jc w:val="center"/>
              <w:rPr>
                <w:rFonts w:ascii="Tahoma" w:hAnsi="Tahoma" w:cs="Tahoma"/>
                <w:b/>
                <w:bCs/>
              </w:rPr>
            </w:pPr>
            <w:r w:rsidRPr="008B7EAD">
              <w:rPr>
                <w:rFonts w:ascii="Tahoma" w:hAnsi="Tahoma" w:cs="Tahoma"/>
                <w:b/>
              </w:rPr>
              <w:t xml:space="preserve">Минимальная сумма </w:t>
            </w:r>
            <w:r w:rsidRPr="00CE1BDB">
              <w:rPr>
                <w:rFonts w:ascii="Tahoma" w:hAnsi="Tahoma" w:cs="Tahoma"/>
                <w:b/>
              </w:rPr>
              <w:t>потребительского кредита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0DE384AA" w14:textId="77777777" w:rsidR="00951A61" w:rsidRPr="00322454" w:rsidRDefault="00951A61" w:rsidP="00A4032F">
            <w:pPr>
              <w:ind w:firstLine="425"/>
              <w:jc w:val="both"/>
              <w:rPr>
                <w:rFonts w:ascii="Tahoma" w:hAnsi="Tahoma" w:cs="Tahoma"/>
                <w:color w:val="000000"/>
                <w:sz w:val="20"/>
                <w:szCs w:val="20"/>
              </w:rPr>
            </w:pPr>
            <w:r w:rsidRPr="00322454">
              <w:rPr>
                <w:rFonts w:ascii="Tahoma" w:hAnsi="Tahoma" w:cs="Tahoma"/>
                <w:sz w:val="20"/>
                <w:szCs w:val="20"/>
              </w:rPr>
              <w:t>500 000,00 рублей</w:t>
            </w:r>
          </w:p>
        </w:tc>
      </w:tr>
      <w:tr w:rsidR="00951A61" w:rsidRPr="00234585" w14:paraId="4B42274F"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01F4A73A" w14:textId="77777777" w:rsidR="00951A61" w:rsidRPr="00CE1BDB" w:rsidRDefault="00951A61" w:rsidP="00A4032F">
            <w:pPr>
              <w:pStyle w:val="ConsPlusNormal"/>
              <w:jc w:val="center"/>
              <w:rPr>
                <w:rFonts w:ascii="Tahoma" w:hAnsi="Tahoma" w:cs="Tahoma"/>
                <w:b/>
                <w:bCs/>
              </w:rPr>
            </w:pPr>
            <w:r w:rsidRPr="008B7EAD">
              <w:rPr>
                <w:rFonts w:ascii="Tahoma" w:hAnsi="Tahoma" w:cs="Tahoma"/>
                <w:b/>
              </w:rPr>
              <w:t xml:space="preserve">Максимальная сумма </w:t>
            </w:r>
            <w:r w:rsidRPr="00CE1BDB">
              <w:rPr>
                <w:rFonts w:ascii="Tahoma" w:hAnsi="Tahoma" w:cs="Tahoma"/>
                <w:b/>
              </w:rPr>
              <w:t>потребительского кредита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21C011A5" w14:textId="77777777" w:rsidR="00951A61" w:rsidRPr="00101974" w:rsidRDefault="00951A61" w:rsidP="00A4032F">
            <w:pPr>
              <w:ind w:firstLine="425"/>
              <w:jc w:val="both"/>
              <w:rPr>
                <w:rFonts w:ascii="Tahoma" w:hAnsi="Tahoma" w:cs="Tahoma"/>
                <w:sz w:val="20"/>
                <w:szCs w:val="20"/>
              </w:rPr>
            </w:pPr>
            <w:r w:rsidRPr="00322454">
              <w:rPr>
                <w:rFonts w:ascii="Tahoma" w:hAnsi="Tahoma" w:cs="Tahoma"/>
                <w:sz w:val="20"/>
                <w:szCs w:val="20"/>
              </w:rPr>
              <w:t xml:space="preserve">В случае предоставления Кредита на цели, указанные в п. «а» </w:t>
            </w:r>
            <w:r w:rsidRPr="00101974">
              <w:rPr>
                <w:rFonts w:ascii="Tahoma" w:hAnsi="Tahoma" w:cs="Tahoma"/>
                <w:sz w:val="20"/>
                <w:szCs w:val="20"/>
              </w:rPr>
              <w:t>и в п. «в» (в части приобретения готового жилого помещения или жилого помещения с земельным участком, расположенного на территории монопрофильного муниципального образования (моногорода) в субъекте Российской Федерации, входящем в состав Дальневосточного федерального округа, или на сухопутных территориях Арктической зоны Российской Федерации, включенного в перечень монопрофильных муниципальных образований Российской Федерации (моногородов), утвержденный распоряжением Правительства Российской Федерации от 29 июля 2014 г. N 1398-р</w:t>
            </w:r>
            <w:r w:rsidRPr="00101974">
              <w:rPr>
                <w:rFonts w:ascii="Tahoma" w:hAnsi="Tahoma" w:cs="Tahoma"/>
                <w:sz w:val="20"/>
                <w:szCs w:val="20"/>
                <w:vertAlign w:val="superscript"/>
              </w:rPr>
              <w:fldChar w:fldCharType="begin"/>
            </w:r>
            <w:r w:rsidRPr="00101974">
              <w:rPr>
                <w:rFonts w:ascii="Tahoma" w:hAnsi="Tahoma" w:cs="Tahoma"/>
                <w:sz w:val="20"/>
                <w:szCs w:val="20"/>
                <w:vertAlign w:val="superscript"/>
              </w:rPr>
              <w:instrText xml:space="preserve"> NOTEREF _Ref167390467 \h  \* MERGEFORMAT </w:instrText>
            </w:r>
            <w:r w:rsidRPr="00101974">
              <w:rPr>
                <w:rFonts w:ascii="Tahoma" w:hAnsi="Tahoma" w:cs="Tahoma"/>
                <w:sz w:val="20"/>
                <w:szCs w:val="20"/>
                <w:vertAlign w:val="superscript"/>
              </w:rPr>
            </w:r>
            <w:r w:rsidRPr="00101974">
              <w:rPr>
                <w:rFonts w:ascii="Tahoma" w:hAnsi="Tahoma" w:cs="Tahoma"/>
                <w:sz w:val="20"/>
                <w:szCs w:val="20"/>
                <w:vertAlign w:val="superscript"/>
              </w:rPr>
              <w:fldChar w:fldCharType="separate"/>
            </w:r>
            <w:r w:rsidRPr="00101974">
              <w:rPr>
                <w:rFonts w:ascii="Tahoma" w:hAnsi="Tahoma" w:cs="Tahoma"/>
                <w:sz w:val="20"/>
                <w:szCs w:val="20"/>
                <w:vertAlign w:val="superscript"/>
              </w:rPr>
              <w:t>3</w:t>
            </w:r>
            <w:r w:rsidRPr="00101974">
              <w:rPr>
                <w:rFonts w:ascii="Tahoma" w:hAnsi="Tahoma" w:cs="Tahoma"/>
                <w:sz w:val="20"/>
                <w:szCs w:val="20"/>
                <w:vertAlign w:val="superscript"/>
              </w:rPr>
              <w:fldChar w:fldCharType="end"/>
            </w:r>
            <w:r w:rsidRPr="00101974">
              <w:rPr>
                <w:rFonts w:ascii="Tahoma" w:hAnsi="Tahoma" w:cs="Tahoma"/>
                <w:sz w:val="20"/>
                <w:szCs w:val="20"/>
              </w:rPr>
              <w:t>)</w:t>
            </w:r>
            <w:r w:rsidRPr="00322454">
              <w:rPr>
                <w:rFonts w:ascii="Tahoma" w:hAnsi="Tahoma" w:cs="Tahoma"/>
                <w:sz w:val="20"/>
                <w:szCs w:val="20"/>
              </w:rPr>
              <w:t xml:space="preserve"> раздела «Цель Кредита», для приобретения жилого помещения</w:t>
            </w:r>
            <w:r w:rsidRPr="00101974">
              <w:rPr>
                <w:rFonts w:ascii="Tahoma" w:hAnsi="Tahoma" w:cs="Tahoma"/>
                <w:sz w:val="20"/>
                <w:szCs w:val="20"/>
              </w:rPr>
              <w:t>, общая площадь которого составляет 60 кв. метров или более - не более 9 000 000,00 рублей;</w:t>
            </w:r>
          </w:p>
          <w:p w14:paraId="6071BBE9" w14:textId="77777777" w:rsidR="00951A61" w:rsidRPr="00322454" w:rsidRDefault="00951A61" w:rsidP="00A4032F">
            <w:pPr>
              <w:ind w:firstLine="425"/>
              <w:jc w:val="both"/>
              <w:rPr>
                <w:rFonts w:ascii="Tahoma" w:hAnsi="Tahoma" w:cs="Tahoma"/>
                <w:sz w:val="20"/>
                <w:szCs w:val="20"/>
              </w:rPr>
            </w:pPr>
            <w:r w:rsidRPr="00101974">
              <w:rPr>
                <w:rFonts w:ascii="Tahoma" w:hAnsi="Tahoma" w:cs="Tahoma"/>
                <w:sz w:val="20"/>
                <w:szCs w:val="20"/>
              </w:rPr>
              <w:t xml:space="preserve">В случае предоставления Кредита на цели, указанные в пп. «б». «г» раздела «Цель Кредита», для строительства жилого помещения, общая площадь которых составляет </w:t>
            </w:r>
            <w:r>
              <w:rPr>
                <w:rFonts w:ascii="Tahoma" w:hAnsi="Tahoma" w:cs="Tahoma"/>
                <w:sz w:val="20"/>
                <w:szCs w:val="20"/>
              </w:rPr>
              <w:t>63,</w:t>
            </w:r>
            <w:r w:rsidRPr="00322454">
              <w:rPr>
                <w:rFonts w:ascii="Tahoma" w:hAnsi="Tahoma" w:cs="Tahoma"/>
                <w:sz w:val="20"/>
                <w:szCs w:val="20"/>
              </w:rPr>
              <w:t>5</w:t>
            </w:r>
            <w:r>
              <w:rPr>
                <w:rFonts w:ascii="Tahoma" w:hAnsi="Tahoma" w:cs="Tahoma"/>
                <w:sz w:val="20"/>
                <w:szCs w:val="20"/>
              </w:rPr>
              <w:t>0</w:t>
            </w:r>
            <w:r w:rsidRPr="00322454">
              <w:rPr>
                <w:rFonts w:ascii="Tahoma" w:hAnsi="Tahoma" w:cs="Tahoma"/>
                <w:sz w:val="20"/>
                <w:szCs w:val="20"/>
              </w:rPr>
              <w:t xml:space="preserve"> кв. метров или более - не более 9 000 000,00 рублей;</w:t>
            </w:r>
          </w:p>
          <w:p w14:paraId="0642C9BE" w14:textId="77777777" w:rsidR="00951A61" w:rsidRPr="00101974" w:rsidRDefault="00951A61" w:rsidP="00A4032F">
            <w:pPr>
              <w:ind w:firstLine="425"/>
              <w:jc w:val="both"/>
              <w:rPr>
                <w:rFonts w:ascii="Tahoma" w:hAnsi="Tahoma" w:cs="Tahoma"/>
                <w:color w:val="000000"/>
                <w:sz w:val="20"/>
                <w:szCs w:val="20"/>
              </w:rPr>
            </w:pPr>
            <w:r w:rsidRPr="00101974">
              <w:rPr>
                <w:rFonts w:ascii="Tahoma" w:hAnsi="Tahoma" w:cs="Tahoma"/>
                <w:sz w:val="20"/>
                <w:szCs w:val="20"/>
              </w:rPr>
              <w:t>В случае предоставления Кредита на иные цели - не более 6 000 000,00 рублей.</w:t>
            </w:r>
          </w:p>
        </w:tc>
      </w:tr>
      <w:tr w:rsidR="00951A61" w:rsidRPr="00234585" w14:paraId="21FBC8BE"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43EADEC3" w14:textId="77777777" w:rsidR="00951A61" w:rsidRPr="008B7EAD" w:rsidRDefault="00951A61" w:rsidP="00A4032F">
            <w:pPr>
              <w:pStyle w:val="ConsPlusNormal"/>
              <w:jc w:val="center"/>
              <w:rPr>
                <w:rFonts w:ascii="Tahoma" w:hAnsi="Tahoma" w:cs="Tahoma"/>
                <w:b/>
              </w:rPr>
            </w:pPr>
            <w:r w:rsidRPr="008B7EAD">
              <w:rPr>
                <w:rFonts w:ascii="Tahoma" w:hAnsi="Tahoma" w:cs="Tahoma"/>
                <w:b/>
              </w:rPr>
              <w:t>Процентные ставки (в процентах годовых)</w:t>
            </w:r>
          </w:p>
        </w:tc>
        <w:tc>
          <w:tcPr>
            <w:tcW w:w="11452" w:type="dxa"/>
            <w:tcBorders>
              <w:top w:val="single" w:sz="4" w:space="0" w:color="auto"/>
              <w:left w:val="nil"/>
              <w:bottom w:val="single" w:sz="4" w:space="0" w:color="auto"/>
              <w:right w:val="single" w:sz="4" w:space="0" w:color="auto"/>
            </w:tcBorders>
            <w:shd w:val="clear" w:color="auto" w:fill="auto"/>
          </w:tcPr>
          <w:p w14:paraId="2470A93F" w14:textId="77777777" w:rsidR="00951A61" w:rsidRPr="00C72324" w:rsidRDefault="00951A61" w:rsidP="00A4032F">
            <w:pPr>
              <w:ind w:firstLine="425"/>
              <w:jc w:val="both"/>
              <w:rPr>
                <w:rFonts w:ascii="Tahoma" w:hAnsi="Tahoma" w:cs="Tahoma"/>
                <w:b/>
                <w:sz w:val="20"/>
                <w:szCs w:val="20"/>
              </w:rPr>
            </w:pPr>
            <w:r w:rsidRPr="008875B7">
              <w:rPr>
                <w:rFonts w:ascii="Tahoma" w:hAnsi="Tahoma" w:cs="Tahoma"/>
                <w:sz w:val="20"/>
                <w:szCs w:val="20"/>
              </w:rPr>
              <w:t xml:space="preserve">Базовая процентная ставка: </w:t>
            </w:r>
            <w:r w:rsidRPr="008875B7">
              <w:rPr>
                <w:rFonts w:ascii="Tahoma" w:hAnsi="Tahoma" w:cs="Tahoma"/>
                <w:b/>
                <w:sz w:val="20"/>
                <w:szCs w:val="20"/>
              </w:rPr>
              <w:t>2,00% годовых.</w:t>
            </w:r>
          </w:p>
          <w:p w14:paraId="11199787" w14:textId="77777777" w:rsidR="00951A61" w:rsidRPr="00C72324" w:rsidRDefault="00951A61" w:rsidP="00A4032F">
            <w:pPr>
              <w:ind w:firstLine="425"/>
              <w:jc w:val="both"/>
              <w:rPr>
                <w:rFonts w:ascii="Tahoma" w:hAnsi="Tahoma" w:cs="Tahoma"/>
                <w:b/>
                <w:sz w:val="20"/>
                <w:szCs w:val="20"/>
              </w:rPr>
            </w:pPr>
          </w:p>
          <w:p w14:paraId="1DD6CE04" w14:textId="77777777" w:rsidR="00951A61" w:rsidRPr="00C72324" w:rsidRDefault="00951A61" w:rsidP="00A4032F">
            <w:pPr>
              <w:ind w:firstLine="425"/>
              <w:jc w:val="both"/>
              <w:rPr>
                <w:rFonts w:ascii="Tahoma" w:hAnsi="Tahoma" w:cs="Tahoma"/>
                <w:b/>
                <w:sz w:val="20"/>
                <w:szCs w:val="20"/>
              </w:rPr>
            </w:pPr>
            <w:r w:rsidRPr="00C72324">
              <w:rPr>
                <w:rFonts w:ascii="Tahoma" w:hAnsi="Tahoma" w:cs="Tahoma"/>
                <w:b/>
                <w:sz w:val="20"/>
                <w:szCs w:val="20"/>
              </w:rPr>
              <w:t>Надбавки к Базовой процентной ставке:</w:t>
            </w:r>
          </w:p>
          <w:p w14:paraId="54AA3D3A" w14:textId="77777777" w:rsidR="00951A61" w:rsidRPr="00A33B87" w:rsidRDefault="00951A61" w:rsidP="00A4032F">
            <w:pPr>
              <w:ind w:firstLine="425"/>
              <w:jc w:val="both"/>
              <w:rPr>
                <w:rFonts w:ascii="Tahoma" w:hAnsi="Tahoma" w:cs="Tahoma"/>
                <w:sz w:val="20"/>
                <w:szCs w:val="20"/>
              </w:rPr>
            </w:pPr>
            <w:r w:rsidRPr="00A33B87">
              <w:rPr>
                <w:rFonts w:ascii="Tahoma" w:hAnsi="Tahoma" w:cs="Tahoma"/>
                <w:sz w:val="20"/>
                <w:szCs w:val="20"/>
              </w:rPr>
              <w:t xml:space="preserve">В случае незаключения Заемщиком договоров личного страхования </w:t>
            </w:r>
            <w:r w:rsidRPr="00C72324">
              <w:rPr>
                <w:rFonts w:ascii="Tahoma" w:hAnsi="Tahoma" w:cs="Tahoma"/>
                <w:sz w:val="20"/>
                <w:szCs w:val="20"/>
              </w:rPr>
              <w:t>и (или) страхования недвижимого имущества, залогом которого обеспечивается исполнение обязательств Заемщика по Кредитному договору, а также при невыполнении Заемщиком предусмотренных Кредитным договором условий указанных договоров страхования</w:t>
            </w:r>
            <w:r w:rsidRPr="00A33B87">
              <w:rPr>
                <w:rFonts w:ascii="Tahoma" w:hAnsi="Tahoma" w:cs="Tahoma"/>
                <w:sz w:val="20"/>
                <w:szCs w:val="20"/>
              </w:rPr>
              <w:t xml:space="preserve">: </w:t>
            </w:r>
            <w:r w:rsidRPr="00A33B87">
              <w:rPr>
                <w:rFonts w:ascii="Tahoma" w:hAnsi="Tahoma" w:cs="Tahoma"/>
                <w:b/>
                <w:sz w:val="20"/>
                <w:szCs w:val="20"/>
              </w:rPr>
              <w:t>плюс 1</w:t>
            </w:r>
            <w:r>
              <w:rPr>
                <w:rFonts w:ascii="Tahoma" w:hAnsi="Tahoma" w:cs="Tahoma"/>
                <w:b/>
                <w:sz w:val="20"/>
                <w:szCs w:val="20"/>
              </w:rPr>
              <w:t xml:space="preserve"> (Один)</w:t>
            </w:r>
            <w:r w:rsidRPr="00A33B87">
              <w:rPr>
                <w:rFonts w:ascii="Tahoma" w:hAnsi="Tahoma" w:cs="Tahoma"/>
                <w:b/>
                <w:sz w:val="20"/>
                <w:szCs w:val="20"/>
              </w:rPr>
              <w:t xml:space="preserve"> процентный пункт</w:t>
            </w:r>
            <w:r w:rsidRPr="00A33B87">
              <w:rPr>
                <w:rFonts w:ascii="Tahoma" w:hAnsi="Tahoma" w:cs="Tahoma"/>
                <w:sz w:val="20"/>
                <w:szCs w:val="20"/>
              </w:rPr>
              <w:t xml:space="preserve">, </w:t>
            </w:r>
            <w:r w:rsidRPr="00C72324">
              <w:rPr>
                <w:rFonts w:ascii="Tahoma" w:hAnsi="Tahoma" w:cs="Tahoma"/>
                <w:sz w:val="20"/>
                <w:szCs w:val="20"/>
              </w:rPr>
              <w:t xml:space="preserve">но не более процентной ставки, равной размеру ключевой ставки Центрального банка Российской Федерации, установленной на дату заключения Кредитного договора, увеличенной на установленное </w:t>
            </w:r>
            <w:r>
              <w:rPr>
                <w:rFonts w:ascii="Tahoma" w:hAnsi="Tahoma" w:cs="Tahoma"/>
                <w:sz w:val="20"/>
                <w:szCs w:val="20"/>
              </w:rPr>
              <w:t>Решением</w:t>
            </w:r>
            <w:r w:rsidRPr="00C72324">
              <w:rPr>
                <w:rFonts w:ascii="Tahoma" w:hAnsi="Tahoma" w:cs="Tahoma"/>
                <w:sz w:val="20"/>
                <w:szCs w:val="20"/>
              </w:rPr>
              <w:t xml:space="preserve"> на дату заключения Кредитного договора  значение.</w:t>
            </w:r>
          </w:p>
        </w:tc>
      </w:tr>
      <w:tr w:rsidR="00951A61" w:rsidRPr="00234585" w14:paraId="3BEB47C7"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5350DF5D" w14:textId="77777777" w:rsidR="00951A61" w:rsidRPr="00E00EFD" w:rsidRDefault="00951A61" w:rsidP="00A4032F">
            <w:pPr>
              <w:pStyle w:val="ConsPlusNormal"/>
              <w:jc w:val="center"/>
              <w:rPr>
                <w:rFonts w:ascii="Tahoma" w:hAnsi="Tahoma" w:cs="Tahoma"/>
                <w:b/>
              </w:rPr>
            </w:pPr>
            <w:r w:rsidRPr="00E00EFD">
              <w:rPr>
                <w:rFonts w:ascii="Tahoma" w:hAnsi="Tahoma" w:cs="Tahoma"/>
                <w:b/>
                <w:bCs/>
                <w:color w:val="000000"/>
              </w:rPr>
              <w:t>Диапазон полной стоимости потребительского кредита в процентном и в денежном выражении</w:t>
            </w:r>
          </w:p>
        </w:tc>
        <w:tc>
          <w:tcPr>
            <w:tcW w:w="11452" w:type="dxa"/>
            <w:tcBorders>
              <w:top w:val="single" w:sz="4" w:space="0" w:color="auto"/>
              <w:left w:val="nil"/>
              <w:bottom w:val="single" w:sz="4" w:space="0" w:color="auto"/>
              <w:right w:val="single" w:sz="4" w:space="0" w:color="auto"/>
            </w:tcBorders>
            <w:shd w:val="clear" w:color="auto" w:fill="auto"/>
          </w:tcPr>
          <w:p w14:paraId="6095D16B" w14:textId="77777777" w:rsidR="00951A61" w:rsidRPr="00E00EFD" w:rsidRDefault="00951A61" w:rsidP="00A4032F">
            <w:pPr>
              <w:jc w:val="center"/>
              <w:rPr>
                <w:rFonts w:ascii="Tahoma" w:hAnsi="Tahoma" w:cs="Tahoma"/>
                <w:color w:val="000000"/>
                <w:sz w:val="20"/>
                <w:szCs w:val="20"/>
              </w:rPr>
            </w:pPr>
          </w:p>
          <w:p w14:paraId="6E8FDF84" w14:textId="77777777" w:rsidR="00951A61" w:rsidRPr="00AA705E" w:rsidRDefault="00951A61" w:rsidP="00A4032F">
            <w:pPr>
              <w:jc w:val="center"/>
              <w:rPr>
                <w:rFonts w:ascii="Tahoma" w:hAnsi="Tahoma" w:cs="Tahoma"/>
                <w:color w:val="000000"/>
                <w:sz w:val="20"/>
                <w:szCs w:val="20"/>
              </w:rPr>
            </w:pPr>
            <w:r w:rsidRPr="00AA705E">
              <w:rPr>
                <w:rFonts w:ascii="Tahoma" w:hAnsi="Tahoma" w:cs="Tahoma"/>
                <w:color w:val="000000"/>
                <w:sz w:val="20"/>
                <w:szCs w:val="20"/>
              </w:rPr>
              <w:lastRenderedPageBreak/>
              <w:t>2,784</w:t>
            </w:r>
            <w:r w:rsidRPr="00AA705E" w:rsidDel="00F15CB4">
              <w:rPr>
                <w:rFonts w:ascii="Tahoma" w:hAnsi="Tahoma" w:cs="Tahoma"/>
                <w:color w:val="000000"/>
                <w:sz w:val="20"/>
                <w:szCs w:val="20"/>
              </w:rPr>
              <w:t xml:space="preserve"> </w:t>
            </w:r>
            <w:r w:rsidRPr="00AA705E">
              <w:rPr>
                <w:rFonts w:ascii="Tahoma" w:hAnsi="Tahoma" w:cs="Tahoma"/>
                <w:color w:val="000000"/>
                <w:sz w:val="20"/>
                <w:szCs w:val="20"/>
              </w:rPr>
              <w:t>% годовых</w:t>
            </w:r>
            <w:r w:rsidRPr="00AA705E">
              <w:rPr>
                <w:rStyle w:val="aff3"/>
                <w:rFonts w:ascii="Tahoma" w:hAnsi="Tahoma"/>
                <w:color w:val="000000"/>
                <w:sz w:val="20"/>
                <w:szCs w:val="20"/>
              </w:rPr>
              <w:footnoteReference w:id="101"/>
            </w:r>
            <w:r w:rsidRPr="00AA705E">
              <w:rPr>
                <w:rFonts w:ascii="Tahoma" w:hAnsi="Tahoma" w:cs="Tahoma"/>
                <w:color w:val="000000"/>
                <w:sz w:val="20"/>
                <w:szCs w:val="20"/>
              </w:rPr>
              <w:t xml:space="preserve"> – 23,418 % годовых</w:t>
            </w:r>
            <w:r w:rsidRPr="00AA705E">
              <w:rPr>
                <w:rStyle w:val="aff3"/>
                <w:rFonts w:ascii="Tahoma" w:hAnsi="Tahoma" w:cs="Tahoma"/>
                <w:color w:val="000000"/>
                <w:sz w:val="20"/>
                <w:szCs w:val="20"/>
              </w:rPr>
              <w:footnoteReference w:id="102"/>
            </w:r>
            <w:r w:rsidRPr="00AA705E">
              <w:rPr>
                <w:rFonts w:ascii="Tahoma" w:hAnsi="Tahoma" w:cs="Tahoma"/>
                <w:color w:val="000000"/>
                <w:sz w:val="20"/>
                <w:szCs w:val="20"/>
              </w:rPr>
              <w:t>;</w:t>
            </w:r>
          </w:p>
          <w:p w14:paraId="207ECF81" w14:textId="77777777" w:rsidR="00951A61" w:rsidRPr="00E00EFD" w:rsidRDefault="00951A61" w:rsidP="00A4032F">
            <w:pPr>
              <w:jc w:val="center"/>
              <w:rPr>
                <w:rFonts w:ascii="Tahoma" w:hAnsi="Tahoma" w:cs="Tahoma"/>
                <w:sz w:val="20"/>
                <w:szCs w:val="20"/>
              </w:rPr>
            </w:pPr>
            <w:r w:rsidRPr="00AA705E">
              <w:rPr>
                <w:rFonts w:ascii="Tahoma" w:hAnsi="Tahoma" w:cs="Tahoma"/>
                <w:color w:val="000000"/>
                <w:sz w:val="20"/>
                <w:szCs w:val="20"/>
              </w:rPr>
              <w:t>21 511,46  рублей – 32 552 904,21  рублей</w:t>
            </w:r>
          </w:p>
        </w:tc>
      </w:tr>
      <w:tr w:rsidR="00951A61" w:rsidRPr="00234585" w14:paraId="14B23DBF"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4C2D74CF" w14:textId="77777777" w:rsidR="00951A61" w:rsidRPr="008B7EAD" w:rsidRDefault="00951A61" w:rsidP="00A4032F">
            <w:pPr>
              <w:pStyle w:val="ConsPlusNormal"/>
              <w:jc w:val="center"/>
              <w:rPr>
                <w:rFonts w:ascii="Tahoma" w:hAnsi="Tahoma" w:cs="Tahoma"/>
                <w:b/>
                <w:bCs/>
                <w:color w:val="000000"/>
              </w:rPr>
            </w:pPr>
            <w:r w:rsidRPr="008B7EAD">
              <w:rPr>
                <w:rFonts w:ascii="Tahoma" w:hAnsi="Tahoma" w:cs="Tahoma"/>
                <w:b/>
                <w:bCs/>
                <w:color w:val="000000"/>
              </w:rPr>
              <w:lastRenderedPageBreak/>
              <w:t>Способы обеспечения исполнения обязательств по Кредитному договору</w:t>
            </w:r>
          </w:p>
        </w:tc>
        <w:tc>
          <w:tcPr>
            <w:tcW w:w="11452" w:type="dxa"/>
            <w:tcBorders>
              <w:top w:val="single" w:sz="4" w:space="0" w:color="auto"/>
              <w:left w:val="nil"/>
              <w:bottom w:val="single" w:sz="4" w:space="0" w:color="auto"/>
              <w:right w:val="single" w:sz="4" w:space="0" w:color="auto"/>
            </w:tcBorders>
            <w:shd w:val="clear" w:color="auto" w:fill="auto"/>
            <w:vAlign w:val="center"/>
          </w:tcPr>
          <w:p w14:paraId="06E70909" w14:textId="77777777" w:rsidR="00951A61" w:rsidRPr="00CE1BDB" w:rsidRDefault="00951A61" w:rsidP="00A4032F">
            <w:pPr>
              <w:ind w:firstLine="425"/>
              <w:jc w:val="both"/>
              <w:rPr>
                <w:rFonts w:ascii="Tahoma" w:hAnsi="Tahoma" w:cs="Tahoma"/>
                <w:color w:val="000000"/>
                <w:sz w:val="20"/>
                <w:szCs w:val="20"/>
              </w:rPr>
            </w:pPr>
            <w:r w:rsidRPr="00CE1BDB">
              <w:rPr>
                <w:rFonts w:ascii="Tahoma" w:hAnsi="Tahoma" w:cs="Tahoma"/>
                <w:color w:val="000000"/>
                <w:sz w:val="20"/>
                <w:szCs w:val="20"/>
              </w:rPr>
              <w:t>Исполнение обязательств по Кредитному договору обеспечивается:</w:t>
            </w:r>
          </w:p>
          <w:p w14:paraId="68525DF5" w14:textId="77777777" w:rsidR="00951A61" w:rsidRPr="008B7EAD" w:rsidRDefault="00951A61" w:rsidP="00951A61">
            <w:pPr>
              <w:pStyle w:val="affe"/>
              <w:widowControl w:val="0"/>
              <w:numPr>
                <w:ilvl w:val="0"/>
                <w:numId w:val="143"/>
              </w:numPr>
              <w:snapToGrid w:val="0"/>
              <w:ind w:left="0" w:firstLine="425"/>
              <w:jc w:val="both"/>
              <w:rPr>
                <w:rFonts w:ascii="Tahoma" w:hAnsi="Tahoma" w:cs="Tahoma"/>
                <w:sz w:val="20"/>
                <w:szCs w:val="20"/>
              </w:rPr>
            </w:pPr>
            <w:r w:rsidRPr="00CE1BDB">
              <w:rPr>
                <w:rFonts w:ascii="Tahoma" w:hAnsi="Tahoma" w:cs="Tahoma"/>
                <w:sz w:val="20"/>
                <w:szCs w:val="20"/>
              </w:rPr>
              <w:t>до регистрации права собственности на Объект недвижимости (при приобретении находящегося на этапе</w:t>
            </w:r>
            <w:r w:rsidRPr="0019235D">
              <w:rPr>
                <w:rFonts w:ascii="Tahoma" w:hAnsi="Tahoma" w:cs="Tahoma"/>
                <w:sz w:val="20"/>
                <w:szCs w:val="20"/>
              </w:rPr>
              <w:t xml:space="preserve"> строительства жилого помещения) - залог прав требования Заемщика как участника долевого строительства по договору участия в долевом строительстве/ договору уступки права требования по договорам участия в долевом строительстве на приобретаемый Объект недви</w:t>
            </w:r>
            <w:r w:rsidRPr="008B7EAD">
              <w:rPr>
                <w:rFonts w:ascii="Tahoma" w:hAnsi="Tahoma" w:cs="Tahoma"/>
                <w:sz w:val="20"/>
                <w:szCs w:val="20"/>
              </w:rPr>
              <w:t>жимости за счет кредитных средств (залог имущественных прав);</w:t>
            </w:r>
          </w:p>
          <w:p w14:paraId="3AEB68FB" w14:textId="77777777" w:rsidR="00951A61" w:rsidRPr="008B7EAD" w:rsidRDefault="00951A61" w:rsidP="00951A61">
            <w:pPr>
              <w:pStyle w:val="affe"/>
              <w:numPr>
                <w:ilvl w:val="0"/>
                <w:numId w:val="143"/>
              </w:numPr>
              <w:ind w:left="0" w:firstLine="425"/>
              <w:contextualSpacing/>
              <w:jc w:val="both"/>
              <w:rPr>
                <w:rFonts w:ascii="Tahoma" w:hAnsi="Tahoma" w:cs="Tahoma"/>
                <w:sz w:val="20"/>
                <w:szCs w:val="20"/>
              </w:rPr>
            </w:pPr>
            <w:r w:rsidRPr="008B7EAD">
              <w:rPr>
                <w:rFonts w:ascii="Tahoma" w:hAnsi="Tahoma" w:cs="Tahoma"/>
                <w:sz w:val="20"/>
                <w:szCs w:val="20"/>
              </w:rPr>
              <w:t>после регистрации права собственности на Объект недвижимости (при приобретении находящегося на этапе строительства жилого помещения) – залог Объекта недвижимости (с оформлением закладной).</w:t>
            </w:r>
          </w:p>
          <w:p w14:paraId="74272B04" w14:textId="77777777" w:rsidR="00951A61" w:rsidRPr="008B7EAD" w:rsidRDefault="00951A61" w:rsidP="00951A61">
            <w:pPr>
              <w:pStyle w:val="affe"/>
              <w:numPr>
                <w:ilvl w:val="0"/>
                <w:numId w:val="143"/>
              </w:numPr>
              <w:ind w:left="0" w:firstLine="425"/>
              <w:contextualSpacing/>
              <w:jc w:val="both"/>
              <w:rPr>
                <w:rFonts w:ascii="Tahoma" w:hAnsi="Tahoma" w:cs="Tahoma"/>
                <w:sz w:val="20"/>
                <w:szCs w:val="20"/>
              </w:rPr>
            </w:pPr>
            <w:r w:rsidRPr="008B7EAD">
              <w:rPr>
                <w:rFonts w:ascii="Tahoma" w:hAnsi="Tahoma" w:cs="Tahoma"/>
                <w:sz w:val="20"/>
                <w:szCs w:val="20"/>
              </w:rPr>
              <w:t>при приобретении готового жилого помещения</w:t>
            </w:r>
            <w:r w:rsidRPr="008B7EAD">
              <w:rPr>
                <w:rFonts w:ascii="Tahoma" w:hAnsi="Tahoma" w:cs="Tahoma"/>
                <w:color w:val="000000"/>
                <w:sz w:val="20"/>
                <w:szCs w:val="20"/>
              </w:rPr>
              <w:t xml:space="preserve"> - з</w:t>
            </w:r>
            <w:r w:rsidRPr="008B7EAD">
              <w:rPr>
                <w:rFonts w:ascii="Tahoma" w:hAnsi="Tahoma" w:cs="Tahoma"/>
                <w:sz w:val="20"/>
                <w:szCs w:val="20"/>
              </w:rPr>
              <w:t>алог приобретаемого Объекта недвижимости (с оформлением закладной) – по факту оформления права собственности на приобретаемую недвижимость;</w:t>
            </w:r>
          </w:p>
          <w:p w14:paraId="1DAA1D62" w14:textId="77777777" w:rsidR="00951A61" w:rsidRPr="008B7EAD" w:rsidRDefault="00951A61" w:rsidP="00951A61">
            <w:pPr>
              <w:pStyle w:val="affe"/>
              <w:numPr>
                <w:ilvl w:val="0"/>
                <w:numId w:val="143"/>
              </w:numPr>
              <w:ind w:left="0" w:firstLine="425"/>
              <w:contextualSpacing/>
              <w:jc w:val="both"/>
              <w:rPr>
                <w:rFonts w:ascii="Tahoma" w:hAnsi="Tahoma" w:cs="Tahoma"/>
                <w:sz w:val="20"/>
                <w:szCs w:val="20"/>
              </w:rPr>
            </w:pPr>
            <w:r w:rsidRPr="008B7EAD">
              <w:rPr>
                <w:rFonts w:ascii="Tahoma" w:hAnsi="Tahoma" w:cs="Tahoma"/>
                <w:sz w:val="20"/>
                <w:szCs w:val="20"/>
              </w:rPr>
              <w:t>до регистрации права собственности на Жилой дом (при строительстве индивидуального жилого дома/ приобретении земельного участка и строительстве индивидуального жилого дома) - залог земельного участка, а также залог дополнительного недвижимого имущества -  квартиры/таунхауса</w:t>
            </w:r>
            <w:r w:rsidRPr="008B7EAD">
              <w:rPr>
                <w:rStyle w:val="aff3"/>
                <w:rFonts w:ascii="Tahoma" w:hAnsi="Tahoma" w:cs="Tahoma"/>
                <w:sz w:val="20"/>
                <w:szCs w:val="20"/>
              </w:rPr>
              <w:footnoteReference w:id="103"/>
            </w:r>
            <w:r w:rsidRPr="008B7EAD">
              <w:rPr>
                <w:rFonts w:ascii="Tahoma" w:hAnsi="Tahoma" w:cs="Tahoma"/>
                <w:sz w:val="20"/>
                <w:szCs w:val="20"/>
              </w:rPr>
              <w:t xml:space="preserve"> </w:t>
            </w:r>
          </w:p>
          <w:p w14:paraId="223605DB" w14:textId="77777777" w:rsidR="00951A61" w:rsidRPr="0019235D" w:rsidRDefault="00951A61" w:rsidP="00951A61">
            <w:pPr>
              <w:pStyle w:val="affe"/>
              <w:numPr>
                <w:ilvl w:val="0"/>
                <w:numId w:val="143"/>
              </w:numPr>
              <w:ind w:left="0" w:firstLine="425"/>
              <w:contextualSpacing/>
              <w:jc w:val="both"/>
              <w:rPr>
                <w:rFonts w:ascii="Tahoma" w:hAnsi="Tahoma" w:cs="Tahoma"/>
                <w:sz w:val="20"/>
                <w:szCs w:val="20"/>
              </w:rPr>
            </w:pPr>
            <w:r w:rsidRPr="00CE1BDB">
              <w:rPr>
                <w:rFonts w:ascii="Tahoma" w:hAnsi="Tahoma" w:cs="Tahoma"/>
                <w:sz w:val="20"/>
                <w:szCs w:val="20"/>
              </w:rPr>
              <w:t xml:space="preserve">по факту завершения строительства и оформления права собственности на построенный жилой дом (при строительстве индивидуального жилого дома/ приобретении земельного участка и строительстве индивидуального жилого дома) – дополнительно залог </w:t>
            </w:r>
            <w:r w:rsidRPr="0019235D">
              <w:rPr>
                <w:rFonts w:ascii="Tahoma" w:hAnsi="Tahoma" w:cs="Tahoma"/>
                <w:sz w:val="20"/>
                <w:szCs w:val="20"/>
              </w:rPr>
              <w:t>Жилого дома;</w:t>
            </w:r>
          </w:p>
          <w:p w14:paraId="0D8B6074" w14:textId="77777777" w:rsidR="00951A61" w:rsidRPr="0019235D" w:rsidRDefault="00951A61" w:rsidP="00951A61">
            <w:pPr>
              <w:pStyle w:val="affe"/>
              <w:numPr>
                <w:ilvl w:val="0"/>
                <w:numId w:val="144"/>
              </w:numPr>
              <w:ind w:left="0" w:firstLine="425"/>
              <w:contextualSpacing/>
              <w:jc w:val="both"/>
              <w:rPr>
                <w:rFonts w:ascii="Tahoma" w:hAnsi="Tahoma" w:cs="Tahoma"/>
                <w:sz w:val="20"/>
                <w:szCs w:val="20"/>
              </w:rPr>
            </w:pPr>
            <w:r w:rsidRPr="0019235D">
              <w:rPr>
                <w:rFonts w:ascii="Tahoma" w:hAnsi="Tahoma" w:cs="Tahoma"/>
                <w:sz w:val="20"/>
                <w:szCs w:val="20"/>
              </w:rPr>
              <w:t>неустойкой.</w:t>
            </w:r>
          </w:p>
          <w:p w14:paraId="36FFF6F7" w14:textId="77777777" w:rsidR="00951A61" w:rsidRPr="008B7EAD" w:rsidRDefault="00951A61" w:rsidP="00A4032F">
            <w:pPr>
              <w:ind w:firstLine="425"/>
              <w:jc w:val="both"/>
              <w:rPr>
                <w:rFonts w:ascii="Tahoma" w:eastAsia="Calibri" w:hAnsi="Tahoma" w:cs="Tahoma"/>
                <w:sz w:val="20"/>
                <w:szCs w:val="20"/>
              </w:rPr>
            </w:pPr>
            <w:r w:rsidRPr="008B7EAD">
              <w:rPr>
                <w:rFonts w:ascii="Tahoma" w:eastAsia="Calibri" w:hAnsi="Tahoma" w:cs="Tahoma"/>
                <w:sz w:val="20"/>
                <w:szCs w:val="20"/>
              </w:rPr>
              <w:t>Условиями Кредитного договора могут быть предусмотрены дополнительные способы обеспечения исполнения обязательств</w:t>
            </w:r>
          </w:p>
        </w:tc>
      </w:tr>
      <w:tr w:rsidR="00951A61" w:rsidRPr="00234585" w14:paraId="5DAF581F"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14F77DF7" w14:textId="77777777" w:rsidR="00951A61" w:rsidRPr="008B7EAD" w:rsidRDefault="00951A61" w:rsidP="00A4032F">
            <w:pPr>
              <w:pStyle w:val="ConsPlusNormal"/>
              <w:jc w:val="center"/>
              <w:rPr>
                <w:rFonts w:ascii="Tahoma" w:hAnsi="Tahoma" w:cs="Tahoma"/>
                <w:b/>
              </w:rPr>
            </w:pPr>
            <w:r w:rsidRPr="008B7EAD">
              <w:rPr>
                <w:rFonts w:ascii="Tahoma" w:hAnsi="Tahoma" w:cs="Tahoma"/>
                <w:b/>
              </w:rPr>
              <w:t>Страхование</w:t>
            </w:r>
          </w:p>
        </w:tc>
        <w:tc>
          <w:tcPr>
            <w:tcW w:w="11452" w:type="dxa"/>
            <w:tcBorders>
              <w:top w:val="single" w:sz="4" w:space="0" w:color="auto"/>
              <w:left w:val="nil"/>
              <w:bottom w:val="single" w:sz="4" w:space="0" w:color="auto"/>
              <w:right w:val="single" w:sz="4" w:space="0" w:color="auto"/>
            </w:tcBorders>
            <w:shd w:val="clear" w:color="auto" w:fill="auto"/>
          </w:tcPr>
          <w:p w14:paraId="75A81B55" w14:textId="77777777" w:rsidR="00951A61" w:rsidRPr="00CE1BDB" w:rsidRDefault="00951A61" w:rsidP="00A4032F">
            <w:pPr>
              <w:widowControl w:val="0"/>
              <w:snapToGrid w:val="0"/>
              <w:ind w:firstLine="425"/>
              <w:jc w:val="both"/>
              <w:rPr>
                <w:rFonts w:ascii="Tahoma" w:hAnsi="Tahoma" w:cs="Tahoma"/>
                <w:b/>
                <w:sz w:val="20"/>
                <w:szCs w:val="20"/>
              </w:rPr>
            </w:pPr>
            <w:r w:rsidRPr="00CE1BDB">
              <w:rPr>
                <w:rFonts w:ascii="Tahoma" w:hAnsi="Tahoma" w:cs="Tahoma"/>
                <w:b/>
                <w:sz w:val="20"/>
                <w:szCs w:val="20"/>
              </w:rPr>
              <w:t>При приобретении находящегося на этапе строительства жилого помещения:</w:t>
            </w:r>
          </w:p>
          <w:p w14:paraId="4D2D8B55" w14:textId="77777777" w:rsidR="00951A61" w:rsidRPr="0019235D" w:rsidRDefault="00951A61" w:rsidP="00A4032F">
            <w:pPr>
              <w:widowControl w:val="0"/>
              <w:snapToGrid w:val="0"/>
              <w:ind w:firstLine="425"/>
              <w:jc w:val="both"/>
              <w:rPr>
                <w:rFonts w:ascii="Tahoma" w:hAnsi="Tahoma" w:cs="Tahoma"/>
                <w:sz w:val="20"/>
                <w:szCs w:val="20"/>
                <w:u w:val="single"/>
              </w:rPr>
            </w:pPr>
            <w:r w:rsidRPr="0019235D">
              <w:rPr>
                <w:rFonts w:ascii="Tahoma" w:hAnsi="Tahoma" w:cs="Tahoma"/>
                <w:b/>
                <w:sz w:val="20"/>
                <w:szCs w:val="20"/>
              </w:rPr>
              <w:t>а) До регистрации права собственности на Объект недвижимости:</w:t>
            </w:r>
          </w:p>
          <w:p w14:paraId="674714AB" w14:textId="77777777" w:rsidR="00951A61" w:rsidRPr="008B7EAD" w:rsidRDefault="00951A61" w:rsidP="00951A61">
            <w:pPr>
              <w:pStyle w:val="FooterEven"/>
              <w:numPr>
                <w:ilvl w:val="0"/>
                <w:numId w:val="18"/>
              </w:numPr>
              <w:tabs>
                <w:tab w:val="left" w:pos="720"/>
              </w:tabs>
              <w:ind w:left="0" w:firstLine="425"/>
              <w:jc w:val="both"/>
              <w:rPr>
                <w:rFonts w:ascii="Tahoma" w:hAnsi="Tahoma" w:cs="Tahoma"/>
                <w:b w:val="0"/>
                <w:color w:val="000000"/>
                <w:sz w:val="20"/>
              </w:rPr>
            </w:pPr>
            <w:r w:rsidRPr="0019235D">
              <w:rPr>
                <w:rFonts w:ascii="Tahoma" w:hAnsi="Tahoma" w:cs="Tahoma"/>
                <w:b w:val="0"/>
                <w:color w:val="000000"/>
                <w:sz w:val="20"/>
              </w:rPr>
              <w:lastRenderedPageBreak/>
              <w:t>Личное страхование (</w:t>
            </w:r>
            <w:r w:rsidRPr="0019235D">
              <w:rPr>
                <w:rFonts w:ascii="Tahoma" w:eastAsia="Times New Roman" w:hAnsi="Tahoma" w:cs="Tahoma"/>
                <w:b w:val="0"/>
                <w:sz w:val="20"/>
                <w:lang w:eastAsia="ru-RU"/>
              </w:rPr>
              <w:t xml:space="preserve">страхование на случай </w:t>
            </w:r>
            <w:r w:rsidRPr="00017E7D">
              <w:rPr>
                <w:rFonts w:ascii="Tahoma" w:eastAsia="Times New Roman" w:hAnsi="Tahoma" w:cs="Tahoma"/>
                <w:b w:val="0"/>
                <w:sz w:val="20"/>
                <w:lang w:eastAsia="ru-RU"/>
              </w:rPr>
              <w:t>смерти застрахованного лица и установления застрахованному лицу инвалидности I, II группы, в том числе в результате болезни</w:t>
            </w:r>
            <w:r w:rsidRPr="008B7EAD">
              <w:rPr>
                <w:rFonts w:ascii="Tahoma" w:hAnsi="Tahoma" w:cs="Tahoma"/>
                <w:b w:val="0"/>
                <w:color w:val="000000"/>
                <w:sz w:val="20"/>
              </w:rPr>
              <w:t>) — оформляется по желанию Заемщика</w:t>
            </w:r>
            <w:bookmarkStart w:id="125" w:name="_Ref154499034"/>
            <w:r w:rsidRPr="008B7EAD">
              <w:rPr>
                <w:rStyle w:val="aff3"/>
                <w:rFonts w:ascii="Tahoma" w:eastAsia="Times New Roman" w:hAnsi="Tahoma" w:cs="Tahoma"/>
                <w:b w:val="0"/>
                <w:sz w:val="20"/>
                <w:lang w:eastAsia="ru-RU"/>
              </w:rPr>
              <w:footnoteReference w:id="104"/>
            </w:r>
            <w:bookmarkEnd w:id="125"/>
            <w:r w:rsidRPr="008B7EAD">
              <w:rPr>
                <w:rFonts w:ascii="Tahoma" w:eastAsia="Times New Roman" w:hAnsi="Tahoma" w:cs="Tahoma"/>
                <w:sz w:val="20"/>
                <w:lang w:eastAsia="ru-RU"/>
              </w:rPr>
              <w:t>.</w:t>
            </w:r>
            <w:r w:rsidRPr="008B7EAD">
              <w:rPr>
                <w:rFonts w:ascii="Tahoma" w:hAnsi="Tahoma" w:cs="Tahoma"/>
                <w:b w:val="0"/>
                <w:color w:val="000000"/>
                <w:sz w:val="20"/>
              </w:rPr>
              <w:t xml:space="preserve">; </w:t>
            </w:r>
          </w:p>
          <w:p w14:paraId="2CF0C754" w14:textId="77777777" w:rsidR="00951A61" w:rsidRPr="00CE1BDB" w:rsidRDefault="00951A61" w:rsidP="00A4032F">
            <w:pPr>
              <w:widowControl w:val="0"/>
              <w:snapToGrid w:val="0"/>
              <w:ind w:firstLine="425"/>
              <w:jc w:val="both"/>
              <w:rPr>
                <w:rFonts w:ascii="Tahoma" w:hAnsi="Tahoma" w:cs="Tahoma"/>
                <w:b/>
                <w:color w:val="000000"/>
                <w:sz w:val="20"/>
                <w:szCs w:val="20"/>
              </w:rPr>
            </w:pPr>
            <w:r w:rsidRPr="00CE1BDB">
              <w:rPr>
                <w:rFonts w:ascii="Tahoma" w:hAnsi="Tahoma" w:cs="Tahoma"/>
                <w:b/>
                <w:sz w:val="20"/>
                <w:szCs w:val="20"/>
              </w:rPr>
              <w:t>б) После регистрации права собственности на Объект недвижимости</w:t>
            </w:r>
            <w:r w:rsidRPr="00CE1BDB">
              <w:rPr>
                <w:rFonts w:ascii="Tahoma" w:hAnsi="Tahoma" w:cs="Tahoma"/>
                <w:b/>
                <w:color w:val="000000"/>
                <w:sz w:val="20"/>
                <w:szCs w:val="20"/>
              </w:rPr>
              <w:t xml:space="preserve">: </w:t>
            </w:r>
          </w:p>
          <w:p w14:paraId="2C1BA7E0" w14:textId="77777777" w:rsidR="00951A61" w:rsidRPr="00121BAA" w:rsidRDefault="00951A61" w:rsidP="00951A61">
            <w:pPr>
              <w:pStyle w:val="affe"/>
              <w:numPr>
                <w:ilvl w:val="0"/>
                <w:numId w:val="55"/>
              </w:numPr>
              <w:ind w:left="0" w:firstLine="425"/>
              <w:contextualSpacing/>
              <w:jc w:val="both"/>
              <w:rPr>
                <w:rFonts w:ascii="Tahoma" w:hAnsi="Tahoma" w:cs="Tahoma"/>
                <w:sz w:val="20"/>
                <w:szCs w:val="20"/>
              </w:rPr>
            </w:pPr>
            <w:r w:rsidRPr="0019235D">
              <w:rPr>
                <w:rFonts w:ascii="Tahoma" w:hAnsi="Tahoma" w:cs="Tahoma"/>
                <w:color w:val="000000"/>
                <w:sz w:val="20"/>
              </w:rPr>
              <w:t>Имущественное страхование (страхование рисков, связанных с утратой или повреждением недвижимого имущества, находящегося в залоге)</w:t>
            </w:r>
            <w:r w:rsidRPr="00121BAA">
              <w:rPr>
                <w:rFonts w:ascii="Tahoma" w:hAnsi="Tahoma" w:cs="Tahoma"/>
                <w:sz w:val="20"/>
                <w:szCs w:val="20"/>
              </w:rPr>
              <w:t>;</w:t>
            </w:r>
          </w:p>
          <w:p w14:paraId="3C04055B" w14:textId="77777777" w:rsidR="00951A61" w:rsidRPr="008B7EAD" w:rsidRDefault="00951A61" w:rsidP="00951A61">
            <w:pPr>
              <w:pStyle w:val="affe"/>
              <w:numPr>
                <w:ilvl w:val="0"/>
                <w:numId w:val="17"/>
              </w:numPr>
              <w:ind w:left="0" w:firstLine="425"/>
              <w:contextualSpacing/>
              <w:jc w:val="both"/>
              <w:rPr>
                <w:rFonts w:ascii="Tahoma" w:hAnsi="Tahoma" w:cs="Tahoma"/>
                <w:color w:val="000000"/>
                <w:sz w:val="20"/>
                <w:szCs w:val="20"/>
                <w:lang w:eastAsia="ar-SA"/>
              </w:rPr>
            </w:pPr>
            <w:r w:rsidRPr="0019235D">
              <w:rPr>
                <w:rFonts w:ascii="Tahoma" w:hAnsi="Tahoma" w:cs="Tahoma"/>
                <w:color w:val="000000"/>
                <w:sz w:val="20"/>
                <w:szCs w:val="20"/>
                <w:lang w:eastAsia="ar-SA"/>
              </w:rPr>
              <w:t>Личное страхование (</w:t>
            </w:r>
            <w:r w:rsidRPr="0019235D">
              <w:rPr>
                <w:rFonts w:ascii="Tahoma" w:hAnsi="Tahoma" w:cs="Tahoma"/>
                <w:sz w:val="20"/>
                <w:szCs w:val="20"/>
              </w:rPr>
              <w:t>страхование на случай смерти застрахованного лица и установления застрахованному лицу инвалидности I,</w:t>
            </w:r>
            <w:r w:rsidRPr="00017E7D">
              <w:rPr>
                <w:rFonts w:ascii="Tahoma" w:hAnsi="Tahoma" w:cs="Tahoma"/>
                <w:sz w:val="20"/>
                <w:szCs w:val="20"/>
              </w:rPr>
              <w:t xml:space="preserve"> II группы, в том числе в результате болезни</w:t>
            </w:r>
            <w:r w:rsidRPr="00017E7D">
              <w:rPr>
                <w:rFonts w:ascii="Tahoma" w:hAnsi="Tahoma" w:cs="Tahoma"/>
                <w:color w:val="000000"/>
                <w:sz w:val="20"/>
                <w:szCs w:val="20"/>
                <w:lang w:eastAsia="ar-SA"/>
              </w:rPr>
              <w:t>) — оформляется по желанию Заемщика</w:t>
            </w:r>
            <w:r w:rsidRPr="00AE08A2">
              <w:rPr>
                <w:rFonts w:ascii="Tahoma" w:hAnsi="Tahoma" w:cs="Tahoma"/>
                <w:sz w:val="20"/>
                <w:szCs w:val="20"/>
                <w:vertAlign w:val="superscript"/>
              </w:rPr>
              <w:fldChar w:fldCharType="begin"/>
            </w:r>
            <w:r w:rsidRPr="00AE08A2">
              <w:rPr>
                <w:rFonts w:ascii="Tahoma" w:hAnsi="Tahoma" w:cs="Tahoma"/>
                <w:color w:val="000000"/>
                <w:sz w:val="20"/>
                <w:szCs w:val="20"/>
                <w:vertAlign w:val="superscript"/>
                <w:lang w:eastAsia="ar-SA"/>
              </w:rPr>
              <w:instrText xml:space="preserve"> NOTEREF _Ref154499034 \h </w:instrText>
            </w:r>
            <w:r w:rsidRPr="00AE08A2">
              <w:rPr>
                <w:rFonts w:ascii="Tahoma" w:hAnsi="Tahoma" w:cs="Tahoma"/>
                <w:sz w:val="20"/>
                <w:szCs w:val="20"/>
                <w:vertAlign w:val="superscript"/>
              </w:rPr>
            </w:r>
            <w:r w:rsidRPr="00AE08A2">
              <w:rPr>
                <w:rFonts w:ascii="Tahoma" w:hAnsi="Tahoma" w:cs="Tahoma"/>
                <w:sz w:val="20"/>
                <w:szCs w:val="20"/>
                <w:vertAlign w:val="superscript"/>
              </w:rPr>
              <w:fldChar w:fldCharType="separate"/>
            </w:r>
            <w:r w:rsidRPr="00AE08A2">
              <w:rPr>
                <w:rFonts w:ascii="Tahoma" w:hAnsi="Tahoma" w:cs="Tahoma"/>
                <w:color w:val="000000"/>
                <w:sz w:val="20"/>
                <w:szCs w:val="20"/>
                <w:vertAlign w:val="superscript"/>
                <w:lang w:eastAsia="ar-SA"/>
              </w:rPr>
              <w:t>12</w:t>
            </w:r>
            <w:r w:rsidRPr="00AE08A2">
              <w:rPr>
                <w:rFonts w:ascii="Tahoma" w:hAnsi="Tahoma" w:cs="Tahoma"/>
                <w:sz w:val="20"/>
                <w:szCs w:val="20"/>
                <w:vertAlign w:val="superscript"/>
              </w:rPr>
              <w:fldChar w:fldCharType="end"/>
            </w:r>
            <w:r w:rsidRPr="008B7EAD">
              <w:rPr>
                <w:rFonts w:ascii="Tahoma" w:hAnsi="Tahoma" w:cs="Tahoma"/>
                <w:color w:val="000000"/>
                <w:sz w:val="20"/>
                <w:szCs w:val="20"/>
                <w:lang w:eastAsia="ar-SA"/>
              </w:rPr>
              <w:t xml:space="preserve">. </w:t>
            </w:r>
          </w:p>
          <w:p w14:paraId="014E4AC1" w14:textId="77777777" w:rsidR="00951A61" w:rsidRPr="00CE1BDB" w:rsidRDefault="00951A61" w:rsidP="00A4032F">
            <w:pPr>
              <w:ind w:firstLine="425"/>
              <w:jc w:val="both"/>
              <w:rPr>
                <w:rFonts w:ascii="Tahoma" w:hAnsi="Tahoma" w:cs="Tahoma"/>
                <w:color w:val="000000"/>
                <w:sz w:val="20"/>
                <w:szCs w:val="20"/>
                <w:lang w:eastAsia="ar-SA"/>
              </w:rPr>
            </w:pPr>
          </w:p>
          <w:p w14:paraId="339687A9" w14:textId="77777777" w:rsidR="00951A61" w:rsidRPr="0019235D" w:rsidRDefault="00951A61" w:rsidP="00A4032F">
            <w:pPr>
              <w:ind w:firstLine="425"/>
              <w:jc w:val="both"/>
              <w:rPr>
                <w:rFonts w:ascii="Tahoma" w:hAnsi="Tahoma" w:cs="Tahoma"/>
                <w:b/>
                <w:sz w:val="20"/>
                <w:szCs w:val="20"/>
              </w:rPr>
            </w:pPr>
            <w:r w:rsidRPr="0019235D">
              <w:rPr>
                <w:rFonts w:ascii="Tahoma" w:hAnsi="Tahoma" w:cs="Tahoma"/>
                <w:b/>
                <w:sz w:val="20"/>
                <w:szCs w:val="20"/>
              </w:rPr>
              <w:t>При приобретении готового жилого помещения:</w:t>
            </w:r>
          </w:p>
          <w:p w14:paraId="30DF250E" w14:textId="77777777" w:rsidR="00951A61" w:rsidRDefault="00951A61" w:rsidP="00951A61">
            <w:pPr>
              <w:pStyle w:val="affe"/>
              <w:numPr>
                <w:ilvl w:val="0"/>
                <w:numId w:val="55"/>
              </w:numPr>
              <w:ind w:left="0" w:firstLine="425"/>
              <w:contextualSpacing/>
              <w:jc w:val="both"/>
              <w:rPr>
                <w:rFonts w:ascii="Tahoma" w:hAnsi="Tahoma" w:cs="Tahoma"/>
                <w:sz w:val="20"/>
                <w:szCs w:val="20"/>
              </w:rPr>
            </w:pPr>
            <w:r w:rsidRPr="0019235D">
              <w:rPr>
                <w:rFonts w:ascii="Tahoma" w:hAnsi="Tahoma" w:cs="Tahoma"/>
                <w:sz w:val="20"/>
                <w:szCs w:val="20"/>
              </w:rPr>
              <w:t>Имущественное страхование (страхование рисков, связанных с утратой или поврежд</w:t>
            </w:r>
            <w:r w:rsidRPr="00017E7D">
              <w:rPr>
                <w:rFonts w:ascii="Tahoma" w:hAnsi="Tahoma" w:cs="Tahoma"/>
                <w:sz w:val="20"/>
                <w:szCs w:val="20"/>
              </w:rPr>
              <w:t>ением недвижимого имущества, находящегося в залоге)</w:t>
            </w:r>
            <w:r w:rsidRPr="0089418D">
              <w:rPr>
                <w:rFonts w:ascii="Tahoma" w:hAnsi="Tahoma" w:cs="Tahoma"/>
                <w:sz w:val="20"/>
                <w:szCs w:val="20"/>
              </w:rPr>
              <w:t>;</w:t>
            </w:r>
          </w:p>
          <w:p w14:paraId="7B9D5413" w14:textId="77777777" w:rsidR="00951A61" w:rsidRPr="008B7EAD" w:rsidRDefault="00951A61" w:rsidP="00A4032F">
            <w:pPr>
              <w:ind w:firstLine="425"/>
              <w:jc w:val="both"/>
              <w:rPr>
                <w:rFonts w:ascii="Tahoma" w:hAnsi="Tahoma" w:cs="Tahoma"/>
                <w:sz w:val="20"/>
                <w:szCs w:val="20"/>
              </w:rPr>
            </w:pPr>
            <w:r w:rsidRPr="008B7EAD">
              <w:rPr>
                <w:rFonts w:ascii="Tahoma" w:hAnsi="Tahoma" w:cs="Tahoma"/>
                <w:sz w:val="20"/>
                <w:szCs w:val="20"/>
              </w:rPr>
              <w:t>- Личное страхование (страхование на случай смерти застрахованного лица и установления застрахованному лицу инвалидности I, II группы, в том числе в результате болезни) — оформляется по желанию заемщика</w:t>
            </w:r>
            <w:r w:rsidRPr="00AE08A2">
              <w:rPr>
                <w:rFonts w:ascii="Tahoma" w:hAnsi="Tahoma" w:cs="Tahoma"/>
                <w:sz w:val="20"/>
                <w:szCs w:val="20"/>
                <w:vertAlign w:val="superscript"/>
              </w:rPr>
              <w:fldChar w:fldCharType="begin"/>
            </w:r>
            <w:r w:rsidRPr="00AE08A2">
              <w:rPr>
                <w:rFonts w:ascii="Tahoma" w:hAnsi="Tahoma" w:cs="Tahoma"/>
                <w:sz w:val="20"/>
                <w:szCs w:val="20"/>
                <w:vertAlign w:val="superscript"/>
              </w:rPr>
              <w:instrText xml:space="preserve"> NOTEREF _Ref154499034 \h </w:instrText>
            </w:r>
            <w:r>
              <w:rPr>
                <w:rFonts w:ascii="Tahoma" w:hAnsi="Tahoma" w:cs="Tahoma"/>
                <w:sz w:val="20"/>
                <w:szCs w:val="20"/>
                <w:vertAlign w:val="superscript"/>
              </w:rPr>
              <w:instrText xml:space="preserve"> \* MERGEFORMAT </w:instrText>
            </w:r>
            <w:r w:rsidRPr="00AE08A2">
              <w:rPr>
                <w:rFonts w:ascii="Tahoma" w:hAnsi="Tahoma" w:cs="Tahoma"/>
                <w:sz w:val="20"/>
                <w:szCs w:val="20"/>
                <w:vertAlign w:val="superscript"/>
              </w:rPr>
            </w:r>
            <w:r w:rsidRPr="00AE08A2">
              <w:rPr>
                <w:rFonts w:ascii="Tahoma" w:hAnsi="Tahoma" w:cs="Tahoma"/>
                <w:sz w:val="20"/>
                <w:szCs w:val="20"/>
                <w:vertAlign w:val="superscript"/>
              </w:rPr>
              <w:fldChar w:fldCharType="separate"/>
            </w:r>
            <w:r w:rsidRPr="00AE08A2">
              <w:rPr>
                <w:rFonts w:ascii="Tahoma" w:hAnsi="Tahoma" w:cs="Tahoma"/>
                <w:sz w:val="20"/>
                <w:szCs w:val="20"/>
                <w:vertAlign w:val="superscript"/>
              </w:rPr>
              <w:t>12</w:t>
            </w:r>
            <w:r w:rsidRPr="00AE08A2">
              <w:rPr>
                <w:rFonts w:ascii="Tahoma" w:hAnsi="Tahoma" w:cs="Tahoma"/>
                <w:sz w:val="20"/>
                <w:szCs w:val="20"/>
                <w:vertAlign w:val="superscript"/>
              </w:rPr>
              <w:fldChar w:fldCharType="end"/>
            </w:r>
            <w:r w:rsidRPr="008B7EAD">
              <w:rPr>
                <w:rFonts w:ascii="Tahoma" w:hAnsi="Tahoma" w:cs="Tahoma"/>
                <w:sz w:val="20"/>
                <w:szCs w:val="20"/>
              </w:rPr>
              <w:t>.</w:t>
            </w:r>
          </w:p>
        </w:tc>
      </w:tr>
      <w:tr w:rsidR="00951A61" w:rsidRPr="00234585" w14:paraId="50C2E3D1"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2AD47F32" w14:textId="77777777" w:rsidR="00951A61" w:rsidRPr="008B7EAD" w:rsidRDefault="00951A61" w:rsidP="00A4032F">
            <w:pPr>
              <w:pStyle w:val="ConsPlusNormal"/>
              <w:ind w:left="-6"/>
              <w:jc w:val="center"/>
              <w:rPr>
                <w:rFonts w:ascii="Tahoma" w:hAnsi="Tahoma" w:cs="Tahoma"/>
                <w:b/>
              </w:rPr>
            </w:pPr>
            <w:r w:rsidRPr="008B7EAD">
              <w:rPr>
                <w:rFonts w:ascii="Tahoma" w:hAnsi="Tahoma" w:cs="Tahoma"/>
                <w:b/>
              </w:rPr>
              <w:lastRenderedPageBreak/>
              <w:t>Коэффициент Кредит/Залог</w:t>
            </w:r>
          </w:p>
        </w:tc>
        <w:tc>
          <w:tcPr>
            <w:tcW w:w="11452" w:type="dxa"/>
            <w:tcBorders>
              <w:top w:val="single" w:sz="4" w:space="0" w:color="auto"/>
              <w:left w:val="nil"/>
              <w:bottom w:val="single" w:sz="4" w:space="0" w:color="auto"/>
              <w:right w:val="single" w:sz="4" w:space="0" w:color="auto"/>
            </w:tcBorders>
            <w:shd w:val="clear" w:color="auto" w:fill="auto"/>
            <w:vAlign w:val="center"/>
          </w:tcPr>
          <w:p w14:paraId="35206427" w14:textId="77777777" w:rsidR="00951A61" w:rsidRPr="00CE1BDB" w:rsidRDefault="00951A61" w:rsidP="00A4032F">
            <w:pPr>
              <w:pStyle w:val="affe"/>
              <w:tabs>
                <w:tab w:val="left" w:pos="280"/>
              </w:tabs>
              <w:ind w:left="0" w:firstLine="425"/>
              <w:jc w:val="both"/>
              <w:rPr>
                <w:rFonts w:ascii="Tahoma" w:hAnsi="Tahoma" w:cs="Tahoma"/>
                <w:b/>
                <w:sz w:val="20"/>
                <w:szCs w:val="20"/>
                <w:u w:val="single"/>
              </w:rPr>
            </w:pPr>
            <w:r w:rsidRPr="00CE1BDB">
              <w:rPr>
                <w:rFonts w:ascii="Tahoma" w:hAnsi="Tahoma" w:cs="Tahoma"/>
                <w:b/>
                <w:sz w:val="20"/>
                <w:szCs w:val="20"/>
                <w:u w:val="single"/>
              </w:rPr>
              <w:t>Требование к размеру Коэффициента К/З:</w:t>
            </w:r>
          </w:p>
          <w:p w14:paraId="36AEEE7B" w14:textId="77777777" w:rsidR="00951A61" w:rsidRPr="0019235D" w:rsidRDefault="00951A61" w:rsidP="00A4032F">
            <w:pPr>
              <w:pStyle w:val="affe"/>
              <w:tabs>
                <w:tab w:val="left" w:pos="280"/>
              </w:tabs>
              <w:ind w:left="0" w:firstLine="425"/>
              <w:jc w:val="both"/>
              <w:rPr>
                <w:rFonts w:ascii="Tahoma" w:hAnsi="Tahoma" w:cs="Tahoma"/>
                <w:b/>
                <w:sz w:val="20"/>
                <w:szCs w:val="20"/>
                <w:u w:val="single"/>
              </w:rPr>
            </w:pPr>
            <w:r w:rsidRPr="0019235D">
              <w:rPr>
                <w:rFonts w:ascii="Tahoma" w:hAnsi="Tahoma" w:cs="Tahoma"/>
                <w:b/>
                <w:sz w:val="20"/>
                <w:szCs w:val="20"/>
                <w:u w:val="single"/>
              </w:rPr>
              <w:t xml:space="preserve">Коэффициент К/З </w:t>
            </w:r>
            <w:r w:rsidRPr="0019235D">
              <w:rPr>
                <w:rFonts w:ascii="Tahoma" w:hAnsi="Tahoma" w:cs="Tahoma"/>
                <w:sz w:val="20"/>
                <w:szCs w:val="20"/>
              </w:rPr>
              <w:t>определяется как величина расчета возможной суммы Кредита в зависимости от Действительной стоимости объекта недвижимости.</w:t>
            </w:r>
          </w:p>
          <w:tbl>
            <w:tblPr>
              <w:tblStyle w:val="aff0"/>
              <w:tblW w:w="11199" w:type="dxa"/>
              <w:tblInd w:w="28" w:type="dxa"/>
              <w:tblLayout w:type="fixed"/>
              <w:tblLook w:val="04A0" w:firstRow="1" w:lastRow="0" w:firstColumn="1" w:lastColumn="0" w:noHBand="0" w:noVBand="1"/>
            </w:tblPr>
            <w:tblGrid>
              <w:gridCol w:w="4203"/>
              <w:gridCol w:w="3686"/>
              <w:gridCol w:w="3310"/>
            </w:tblGrid>
            <w:tr w:rsidR="00951A61" w:rsidRPr="008B7EAD" w14:paraId="009DBA57" w14:textId="77777777" w:rsidTr="00A4032F">
              <w:trPr>
                <w:trHeight w:val="436"/>
              </w:trPr>
              <w:tc>
                <w:tcPr>
                  <w:tcW w:w="4203" w:type="dxa"/>
                </w:tcPr>
                <w:p w14:paraId="6FFFB501" w14:textId="77777777" w:rsidR="00951A61" w:rsidRPr="0048424C" w:rsidRDefault="00951A61" w:rsidP="00A4032F">
                  <w:pPr>
                    <w:pStyle w:val="affe"/>
                    <w:tabs>
                      <w:tab w:val="left" w:pos="280"/>
                    </w:tabs>
                    <w:ind w:left="0"/>
                    <w:jc w:val="center"/>
                    <w:rPr>
                      <w:rFonts w:ascii="Tahoma" w:hAnsi="Tahoma" w:cs="Tahoma"/>
                      <w:b/>
                      <w:sz w:val="20"/>
                      <w:szCs w:val="20"/>
                    </w:rPr>
                  </w:pPr>
                  <w:r w:rsidRPr="0048424C">
                    <w:rPr>
                      <w:rFonts w:ascii="Tahoma" w:hAnsi="Tahoma" w:cs="Tahoma"/>
                      <w:b/>
                      <w:sz w:val="20"/>
                      <w:szCs w:val="20"/>
                    </w:rPr>
                    <w:t>Квартира, в том числе квартира –дополнительный залог</w:t>
                  </w:r>
                </w:p>
              </w:tc>
              <w:tc>
                <w:tcPr>
                  <w:tcW w:w="3686" w:type="dxa"/>
                </w:tcPr>
                <w:p w14:paraId="3FCFDCC7" w14:textId="77777777" w:rsidR="00951A61" w:rsidRPr="0048424C" w:rsidRDefault="00951A61" w:rsidP="00A4032F">
                  <w:pPr>
                    <w:pStyle w:val="affe"/>
                    <w:tabs>
                      <w:tab w:val="left" w:pos="280"/>
                    </w:tabs>
                    <w:ind w:left="0"/>
                    <w:jc w:val="center"/>
                    <w:rPr>
                      <w:rFonts w:ascii="Tahoma" w:hAnsi="Tahoma" w:cs="Tahoma"/>
                      <w:b/>
                      <w:sz w:val="20"/>
                      <w:szCs w:val="20"/>
                    </w:rPr>
                  </w:pPr>
                  <w:r w:rsidRPr="0048424C">
                    <w:rPr>
                      <w:rFonts w:ascii="Tahoma" w:hAnsi="Tahoma" w:cs="Tahoma"/>
                      <w:b/>
                      <w:sz w:val="20"/>
                      <w:szCs w:val="20"/>
                    </w:rPr>
                    <w:t xml:space="preserve">Жилой дом с земельным участком/Земельный участок </w:t>
                  </w:r>
                </w:p>
              </w:tc>
              <w:tc>
                <w:tcPr>
                  <w:tcW w:w="3310" w:type="dxa"/>
                </w:tcPr>
                <w:p w14:paraId="24558A0C" w14:textId="77777777" w:rsidR="00951A61" w:rsidRPr="0048424C" w:rsidRDefault="00951A61" w:rsidP="00A4032F">
                  <w:pPr>
                    <w:pStyle w:val="affe"/>
                    <w:tabs>
                      <w:tab w:val="left" w:pos="280"/>
                    </w:tabs>
                    <w:ind w:left="0"/>
                    <w:jc w:val="center"/>
                    <w:rPr>
                      <w:rFonts w:ascii="Tahoma" w:hAnsi="Tahoma" w:cs="Tahoma"/>
                      <w:sz w:val="20"/>
                      <w:szCs w:val="20"/>
                    </w:rPr>
                  </w:pPr>
                  <w:r w:rsidRPr="0048424C">
                    <w:rPr>
                      <w:rFonts w:ascii="Tahoma" w:hAnsi="Tahoma" w:cs="Tahoma"/>
                      <w:b/>
                      <w:sz w:val="20"/>
                      <w:szCs w:val="20"/>
                    </w:rPr>
                    <w:t>Таунхаус, в том числе дополнительный залог</w:t>
                  </w:r>
                </w:p>
              </w:tc>
            </w:tr>
            <w:tr w:rsidR="00951A61" w:rsidRPr="008B7EAD" w14:paraId="7AAEDE24" w14:textId="77777777" w:rsidTr="00A4032F">
              <w:trPr>
                <w:trHeight w:val="193"/>
              </w:trPr>
              <w:tc>
                <w:tcPr>
                  <w:tcW w:w="11199" w:type="dxa"/>
                  <w:gridSpan w:val="3"/>
                </w:tcPr>
                <w:p w14:paraId="3E025620" w14:textId="77777777" w:rsidR="00951A61" w:rsidRPr="001F13E2" w:rsidRDefault="00951A61" w:rsidP="00A4032F">
                  <w:pPr>
                    <w:pStyle w:val="affe"/>
                    <w:tabs>
                      <w:tab w:val="left" w:pos="280"/>
                    </w:tabs>
                    <w:ind w:left="0" w:firstLine="425"/>
                    <w:jc w:val="both"/>
                    <w:rPr>
                      <w:rFonts w:ascii="Tahoma" w:hAnsi="Tahoma" w:cs="Tahoma"/>
                      <w:sz w:val="20"/>
                      <w:szCs w:val="20"/>
                    </w:rPr>
                  </w:pPr>
                  <w:r w:rsidRPr="001F13E2">
                    <w:rPr>
                      <w:rFonts w:ascii="Tahoma" w:hAnsi="Tahoma" w:cs="Tahoma"/>
                      <w:sz w:val="20"/>
                      <w:szCs w:val="20"/>
                    </w:rPr>
                    <w:t>1. для Заемщика с официально подтвержденным доходом, а также для Заемщика, являющегося Зарплатным клиентом Банка:</w:t>
                  </w:r>
                </w:p>
              </w:tc>
            </w:tr>
            <w:tr w:rsidR="00951A61" w:rsidRPr="008B7EAD" w14:paraId="1B0117AD" w14:textId="77777777" w:rsidTr="00A4032F">
              <w:trPr>
                <w:trHeight w:val="233"/>
              </w:trPr>
              <w:tc>
                <w:tcPr>
                  <w:tcW w:w="4203" w:type="dxa"/>
                </w:tcPr>
                <w:p w14:paraId="218D128D" w14:textId="77777777" w:rsidR="00951A61" w:rsidRPr="0048424C" w:rsidRDefault="00951A61" w:rsidP="00A4032F">
                  <w:pPr>
                    <w:pStyle w:val="affe"/>
                    <w:tabs>
                      <w:tab w:val="left" w:pos="280"/>
                    </w:tabs>
                    <w:ind w:left="0" w:firstLine="425"/>
                    <w:jc w:val="center"/>
                    <w:rPr>
                      <w:rFonts w:ascii="Tahoma" w:hAnsi="Tahoma" w:cs="Tahoma"/>
                      <w:sz w:val="20"/>
                      <w:szCs w:val="20"/>
                    </w:rPr>
                  </w:pPr>
                  <w:r w:rsidRPr="0048424C">
                    <w:rPr>
                      <w:rFonts w:ascii="Tahoma" w:hAnsi="Tahoma" w:cs="Tahoma"/>
                      <w:sz w:val="20"/>
                      <w:szCs w:val="20"/>
                    </w:rPr>
                    <w:t>Не более 79,99%</w:t>
                  </w:r>
                  <w:r w:rsidRPr="0048424C">
                    <w:rPr>
                      <w:rStyle w:val="aff3"/>
                      <w:rFonts w:ascii="Tahoma" w:hAnsi="Tahoma" w:cs="Tahoma"/>
                      <w:sz w:val="20"/>
                      <w:szCs w:val="20"/>
                    </w:rPr>
                    <w:footnoteReference w:id="105"/>
                  </w:r>
                </w:p>
              </w:tc>
              <w:tc>
                <w:tcPr>
                  <w:tcW w:w="3686" w:type="dxa"/>
                </w:tcPr>
                <w:p w14:paraId="3C0D6E49" w14:textId="77777777" w:rsidR="00951A61" w:rsidRPr="0048424C" w:rsidRDefault="00951A61" w:rsidP="00A4032F">
                  <w:pPr>
                    <w:pStyle w:val="affe"/>
                    <w:tabs>
                      <w:tab w:val="left" w:pos="280"/>
                    </w:tabs>
                    <w:ind w:left="0" w:firstLine="425"/>
                    <w:jc w:val="center"/>
                    <w:rPr>
                      <w:rFonts w:ascii="Tahoma" w:hAnsi="Tahoma" w:cs="Tahoma"/>
                      <w:sz w:val="20"/>
                      <w:szCs w:val="20"/>
                    </w:rPr>
                  </w:pPr>
                  <w:r w:rsidRPr="0048424C">
                    <w:rPr>
                      <w:rFonts w:ascii="Tahoma" w:hAnsi="Tahoma" w:cs="Tahoma"/>
                      <w:sz w:val="20"/>
                      <w:szCs w:val="20"/>
                    </w:rPr>
                    <w:t>Не более 60%</w:t>
                  </w:r>
                  <w:r w:rsidRPr="0048424C">
                    <w:rPr>
                      <w:rStyle w:val="aff3"/>
                      <w:rFonts w:ascii="Tahoma" w:hAnsi="Tahoma" w:cs="Tahoma"/>
                      <w:sz w:val="20"/>
                      <w:szCs w:val="20"/>
                    </w:rPr>
                    <w:footnoteReference w:id="106"/>
                  </w:r>
                </w:p>
              </w:tc>
              <w:tc>
                <w:tcPr>
                  <w:tcW w:w="3310" w:type="dxa"/>
                </w:tcPr>
                <w:p w14:paraId="6A4CAFCC" w14:textId="77777777" w:rsidR="00951A61" w:rsidRPr="0048424C" w:rsidRDefault="00951A61" w:rsidP="00A4032F">
                  <w:pPr>
                    <w:pStyle w:val="affe"/>
                    <w:tabs>
                      <w:tab w:val="left" w:pos="280"/>
                    </w:tabs>
                    <w:ind w:left="0" w:firstLine="425"/>
                    <w:jc w:val="center"/>
                    <w:rPr>
                      <w:rFonts w:ascii="Tahoma" w:hAnsi="Tahoma" w:cs="Tahoma"/>
                      <w:sz w:val="20"/>
                      <w:szCs w:val="20"/>
                    </w:rPr>
                  </w:pPr>
                  <w:r w:rsidRPr="0048424C">
                    <w:rPr>
                      <w:rFonts w:ascii="Tahoma" w:hAnsi="Tahoma" w:cs="Tahoma"/>
                      <w:sz w:val="20"/>
                      <w:szCs w:val="20"/>
                    </w:rPr>
                    <w:t>Не более 70%</w:t>
                  </w:r>
                  <w:r w:rsidRPr="0048424C">
                    <w:rPr>
                      <w:rStyle w:val="aff3"/>
                      <w:rFonts w:ascii="Tahoma" w:hAnsi="Tahoma" w:cs="Tahoma"/>
                      <w:sz w:val="20"/>
                      <w:szCs w:val="20"/>
                    </w:rPr>
                    <w:footnoteReference w:id="107"/>
                  </w:r>
                </w:p>
              </w:tc>
            </w:tr>
            <w:tr w:rsidR="00951A61" w:rsidRPr="008B7EAD" w14:paraId="62E7A095" w14:textId="77777777" w:rsidTr="00A4032F">
              <w:trPr>
                <w:trHeight w:val="233"/>
              </w:trPr>
              <w:tc>
                <w:tcPr>
                  <w:tcW w:w="11199" w:type="dxa"/>
                  <w:gridSpan w:val="3"/>
                </w:tcPr>
                <w:p w14:paraId="13F61746" w14:textId="77777777" w:rsidR="00951A61" w:rsidRPr="001F13E2" w:rsidRDefault="00951A61" w:rsidP="00A4032F">
                  <w:pPr>
                    <w:pStyle w:val="affe"/>
                    <w:tabs>
                      <w:tab w:val="left" w:pos="280"/>
                    </w:tabs>
                    <w:ind w:left="0" w:firstLine="425"/>
                    <w:jc w:val="both"/>
                    <w:rPr>
                      <w:rFonts w:ascii="Tahoma" w:hAnsi="Tahoma" w:cs="Tahoma"/>
                      <w:sz w:val="20"/>
                      <w:szCs w:val="20"/>
                    </w:rPr>
                  </w:pPr>
                  <w:r w:rsidRPr="001F13E2">
                    <w:rPr>
                      <w:rFonts w:ascii="Tahoma" w:hAnsi="Tahoma" w:cs="Tahoma"/>
                      <w:sz w:val="20"/>
                      <w:szCs w:val="20"/>
                    </w:rPr>
                    <w:t>2. для физических лиц, кроме указанных в п. 1 и 3 настоящего раздела:</w:t>
                  </w:r>
                </w:p>
              </w:tc>
            </w:tr>
            <w:tr w:rsidR="00951A61" w:rsidRPr="008B7EAD" w14:paraId="5F12F0D1" w14:textId="77777777" w:rsidTr="00A4032F">
              <w:trPr>
                <w:trHeight w:val="233"/>
              </w:trPr>
              <w:tc>
                <w:tcPr>
                  <w:tcW w:w="4203" w:type="dxa"/>
                </w:tcPr>
                <w:p w14:paraId="6B087142" w14:textId="77777777" w:rsidR="00951A61" w:rsidRPr="001F13E2" w:rsidRDefault="00951A61" w:rsidP="00A4032F">
                  <w:pPr>
                    <w:pStyle w:val="affe"/>
                    <w:tabs>
                      <w:tab w:val="left" w:pos="280"/>
                    </w:tabs>
                    <w:ind w:left="0" w:firstLine="425"/>
                    <w:jc w:val="center"/>
                    <w:rPr>
                      <w:rFonts w:ascii="Tahoma" w:hAnsi="Tahoma" w:cs="Tahoma"/>
                      <w:sz w:val="20"/>
                      <w:szCs w:val="20"/>
                    </w:rPr>
                  </w:pPr>
                  <w:r w:rsidRPr="001F13E2">
                    <w:rPr>
                      <w:rFonts w:ascii="Tahoma" w:hAnsi="Tahoma" w:cs="Tahoma"/>
                      <w:sz w:val="20"/>
                      <w:szCs w:val="20"/>
                    </w:rPr>
                    <w:t>Не более 70%</w:t>
                  </w:r>
                </w:p>
              </w:tc>
              <w:tc>
                <w:tcPr>
                  <w:tcW w:w="3686" w:type="dxa"/>
                </w:tcPr>
                <w:p w14:paraId="3DEDD7DB" w14:textId="77777777" w:rsidR="00951A61" w:rsidRPr="001F13E2" w:rsidRDefault="00951A61" w:rsidP="00A4032F">
                  <w:pPr>
                    <w:pStyle w:val="affe"/>
                    <w:tabs>
                      <w:tab w:val="left" w:pos="280"/>
                    </w:tabs>
                    <w:ind w:left="0" w:firstLine="425"/>
                    <w:jc w:val="center"/>
                    <w:rPr>
                      <w:rFonts w:ascii="Tahoma" w:hAnsi="Tahoma" w:cs="Tahoma"/>
                      <w:sz w:val="20"/>
                      <w:szCs w:val="20"/>
                    </w:rPr>
                  </w:pPr>
                  <w:r w:rsidRPr="001F13E2">
                    <w:rPr>
                      <w:rFonts w:ascii="Tahoma" w:hAnsi="Tahoma" w:cs="Tahoma"/>
                      <w:sz w:val="20"/>
                      <w:szCs w:val="20"/>
                    </w:rPr>
                    <w:t>Не более 60%</w:t>
                  </w:r>
                </w:p>
              </w:tc>
              <w:tc>
                <w:tcPr>
                  <w:tcW w:w="3310" w:type="dxa"/>
                </w:tcPr>
                <w:p w14:paraId="687EAF2B" w14:textId="77777777" w:rsidR="00951A61" w:rsidRPr="001F13E2" w:rsidRDefault="00951A61" w:rsidP="00A4032F">
                  <w:pPr>
                    <w:pStyle w:val="affe"/>
                    <w:tabs>
                      <w:tab w:val="left" w:pos="280"/>
                    </w:tabs>
                    <w:ind w:left="0" w:firstLine="425"/>
                    <w:jc w:val="center"/>
                    <w:rPr>
                      <w:rFonts w:ascii="Tahoma" w:hAnsi="Tahoma" w:cs="Tahoma"/>
                      <w:sz w:val="20"/>
                      <w:szCs w:val="20"/>
                    </w:rPr>
                  </w:pPr>
                  <w:r w:rsidRPr="001F13E2">
                    <w:rPr>
                      <w:rFonts w:ascii="Tahoma" w:hAnsi="Tahoma" w:cs="Tahoma"/>
                      <w:sz w:val="20"/>
                      <w:szCs w:val="20"/>
                    </w:rPr>
                    <w:t>Не более 70%</w:t>
                  </w:r>
                </w:p>
              </w:tc>
            </w:tr>
            <w:tr w:rsidR="00951A61" w:rsidRPr="008B7EAD" w14:paraId="3B4FACBC" w14:textId="77777777" w:rsidTr="00A4032F">
              <w:trPr>
                <w:trHeight w:val="374"/>
              </w:trPr>
              <w:tc>
                <w:tcPr>
                  <w:tcW w:w="11199" w:type="dxa"/>
                  <w:gridSpan w:val="3"/>
                </w:tcPr>
                <w:p w14:paraId="74AD66DA" w14:textId="77777777" w:rsidR="00951A61" w:rsidRPr="0048424C" w:rsidRDefault="00951A61" w:rsidP="00A4032F">
                  <w:pPr>
                    <w:tabs>
                      <w:tab w:val="left" w:pos="280"/>
                    </w:tabs>
                    <w:ind w:firstLine="425"/>
                    <w:jc w:val="both"/>
                    <w:rPr>
                      <w:rFonts w:ascii="Tahoma" w:hAnsi="Tahoma" w:cs="Tahoma"/>
                      <w:sz w:val="20"/>
                      <w:szCs w:val="20"/>
                    </w:rPr>
                  </w:pPr>
                  <w:r w:rsidRPr="0048424C">
                    <w:rPr>
                      <w:rFonts w:ascii="Tahoma" w:hAnsi="Tahoma" w:cs="Tahoma"/>
                      <w:sz w:val="20"/>
                      <w:szCs w:val="20"/>
                    </w:rPr>
                    <w:t>3. если при определении платежеспособности Заемщика учитывается доход Заемщика только от предпринимательской деятельности и/или доход Заемщика-собственника бизнеса (полученный от этого бизнеса) и/или дохода самозанятого. Доля дохода от предпринимательской деятельности должна составлять 50% и более от совокупного учитываемого дохода по заявке.</w:t>
                  </w:r>
                </w:p>
              </w:tc>
            </w:tr>
            <w:tr w:rsidR="00951A61" w:rsidRPr="008B7EAD" w14:paraId="3632E7C2" w14:textId="77777777" w:rsidTr="00A4032F">
              <w:trPr>
                <w:trHeight w:val="193"/>
              </w:trPr>
              <w:tc>
                <w:tcPr>
                  <w:tcW w:w="4203" w:type="dxa"/>
                </w:tcPr>
                <w:p w14:paraId="7AA285BB" w14:textId="77777777" w:rsidR="00951A61" w:rsidRPr="0048424C" w:rsidRDefault="00951A61" w:rsidP="00A4032F">
                  <w:pPr>
                    <w:pStyle w:val="affe"/>
                    <w:tabs>
                      <w:tab w:val="left" w:pos="280"/>
                    </w:tabs>
                    <w:ind w:left="0"/>
                    <w:jc w:val="center"/>
                    <w:rPr>
                      <w:rFonts w:ascii="Tahoma" w:hAnsi="Tahoma" w:cs="Tahoma"/>
                      <w:sz w:val="20"/>
                      <w:szCs w:val="20"/>
                    </w:rPr>
                  </w:pPr>
                  <w:r w:rsidRPr="0048424C">
                    <w:rPr>
                      <w:rFonts w:ascii="Tahoma" w:hAnsi="Tahoma" w:cs="Tahoma"/>
                      <w:sz w:val="20"/>
                      <w:szCs w:val="20"/>
                    </w:rPr>
                    <w:t>Не более 65%</w:t>
                  </w:r>
                </w:p>
              </w:tc>
              <w:tc>
                <w:tcPr>
                  <w:tcW w:w="3686" w:type="dxa"/>
                </w:tcPr>
                <w:p w14:paraId="47F1442E" w14:textId="77777777" w:rsidR="00951A61" w:rsidRPr="001F13E2" w:rsidRDefault="00951A61" w:rsidP="00A4032F">
                  <w:pPr>
                    <w:pStyle w:val="affe"/>
                    <w:tabs>
                      <w:tab w:val="left" w:pos="280"/>
                    </w:tabs>
                    <w:ind w:left="0"/>
                    <w:jc w:val="center"/>
                    <w:rPr>
                      <w:rFonts w:ascii="Tahoma" w:hAnsi="Tahoma" w:cs="Tahoma"/>
                      <w:sz w:val="20"/>
                      <w:szCs w:val="20"/>
                    </w:rPr>
                  </w:pPr>
                  <w:r w:rsidRPr="001F13E2">
                    <w:rPr>
                      <w:rFonts w:ascii="Tahoma" w:hAnsi="Tahoma" w:cs="Tahoma"/>
                      <w:sz w:val="20"/>
                      <w:szCs w:val="20"/>
                    </w:rPr>
                    <w:t>Не более 60%</w:t>
                  </w:r>
                </w:p>
              </w:tc>
              <w:tc>
                <w:tcPr>
                  <w:tcW w:w="3310" w:type="dxa"/>
                </w:tcPr>
                <w:p w14:paraId="0DD16C42" w14:textId="77777777" w:rsidR="00951A61" w:rsidRPr="001F13E2" w:rsidRDefault="00951A61" w:rsidP="00A4032F">
                  <w:pPr>
                    <w:pStyle w:val="affe"/>
                    <w:tabs>
                      <w:tab w:val="left" w:pos="280"/>
                    </w:tabs>
                    <w:ind w:left="0"/>
                    <w:jc w:val="center"/>
                    <w:rPr>
                      <w:rFonts w:ascii="Tahoma" w:hAnsi="Tahoma" w:cs="Tahoma"/>
                      <w:sz w:val="20"/>
                      <w:szCs w:val="20"/>
                    </w:rPr>
                  </w:pPr>
                  <w:r w:rsidRPr="001F13E2">
                    <w:rPr>
                      <w:rFonts w:ascii="Tahoma" w:hAnsi="Tahoma" w:cs="Tahoma"/>
                      <w:sz w:val="20"/>
                      <w:szCs w:val="20"/>
                    </w:rPr>
                    <w:t>Не более 65%</w:t>
                  </w:r>
                </w:p>
              </w:tc>
            </w:tr>
          </w:tbl>
          <w:p w14:paraId="59F1D7C4" w14:textId="77777777" w:rsidR="00951A61" w:rsidRPr="008B7EAD" w:rsidRDefault="00951A61" w:rsidP="00A4032F">
            <w:pPr>
              <w:ind w:firstLine="425"/>
              <w:jc w:val="both"/>
              <w:rPr>
                <w:rFonts w:ascii="Tahoma" w:hAnsi="Tahoma" w:cs="Tahoma"/>
                <w:sz w:val="20"/>
                <w:szCs w:val="20"/>
              </w:rPr>
            </w:pPr>
          </w:p>
          <w:p w14:paraId="2DEF4F53" w14:textId="77777777" w:rsidR="00951A61" w:rsidRPr="008B7EAD" w:rsidRDefault="00951A61" w:rsidP="00A4032F">
            <w:pPr>
              <w:ind w:firstLine="425"/>
              <w:jc w:val="both"/>
              <w:rPr>
                <w:rFonts w:ascii="Tahoma" w:hAnsi="Tahoma" w:cs="Tahoma"/>
                <w:sz w:val="20"/>
                <w:szCs w:val="20"/>
              </w:rPr>
            </w:pPr>
          </w:p>
        </w:tc>
      </w:tr>
      <w:tr w:rsidR="00951A61" w:rsidRPr="00234585" w14:paraId="2D0E0D12" w14:textId="77777777" w:rsidTr="00A4032F">
        <w:trPr>
          <w:trHeight w:val="697"/>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5FAA9966" w14:textId="77777777" w:rsidR="00951A61" w:rsidRPr="008B7EAD" w:rsidRDefault="00951A61" w:rsidP="00A4032F">
            <w:pPr>
              <w:pStyle w:val="ConsPlusNormal"/>
              <w:ind w:left="-6"/>
              <w:jc w:val="center"/>
              <w:rPr>
                <w:rFonts w:ascii="Tahoma" w:hAnsi="Tahoma" w:cs="Tahoma"/>
                <w:b/>
              </w:rPr>
            </w:pPr>
            <w:r w:rsidRPr="008B7EAD">
              <w:rPr>
                <w:rFonts w:ascii="Tahoma" w:hAnsi="Tahoma" w:cs="Tahoma"/>
                <w:b/>
              </w:rPr>
              <w:lastRenderedPageBreak/>
              <w:t>Размер первоначального взноса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2ECBBB0B" w14:textId="77777777" w:rsidR="00951A61" w:rsidRPr="0019235D" w:rsidRDefault="00951A61" w:rsidP="00A4032F">
            <w:pPr>
              <w:pStyle w:val="affe"/>
              <w:tabs>
                <w:tab w:val="left" w:pos="280"/>
              </w:tabs>
              <w:ind w:left="0" w:firstLine="425"/>
              <w:jc w:val="both"/>
              <w:rPr>
                <w:rFonts w:ascii="Tahoma" w:hAnsi="Tahoma" w:cs="Tahoma"/>
                <w:sz w:val="20"/>
                <w:szCs w:val="20"/>
              </w:rPr>
            </w:pPr>
            <w:r w:rsidRPr="00CE1BDB">
              <w:rPr>
                <w:rFonts w:ascii="Tahoma" w:hAnsi="Tahoma" w:cs="Tahoma"/>
                <w:b/>
                <w:sz w:val="20"/>
                <w:szCs w:val="20"/>
                <w:u w:val="single"/>
              </w:rPr>
              <w:t>Размер первоначального взноса</w:t>
            </w:r>
            <w:r w:rsidRPr="00CE1BDB">
              <w:rPr>
                <w:rFonts w:ascii="Tahoma" w:hAnsi="Tahoma" w:cs="Tahoma"/>
                <w:sz w:val="20"/>
                <w:szCs w:val="20"/>
              </w:rPr>
              <w:t xml:space="preserve"> определяется как разница между суммой предоставляемого Кредита и стоимостью приобретаемой недвижимости. </w:t>
            </w:r>
            <w:r w:rsidRPr="0019235D">
              <w:rPr>
                <w:rFonts w:ascii="Tahoma" w:hAnsi="Tahoma" w:cs="Tahoma"/>
                <w:sz w:val="20"/>
                <w:szCs w:val="20"/>
              </w:rPr>
              <w:t>Первоначальный взнос может быть сформирован с учетом средств субсидии бюджетов различных уровней. Порядок оплаты первоначального взноса с учетом средств субсидий определяется Банком.</w:t>
            </w:r>
          </w:p>
          <w:p w14:paraId="58D3586E" w14:textId="77777777" w:rsidR="00951A61" w:rsidRPr="008B7EAD" w:rsidRDefault="00951A61" w:rsidP="00A4032F">
            <w:pPr>
              <w:pStyle w:val="affe"/>
              <w:tabs>
                <w:tab w:val="left" w:pos="280"/>
              </w:tabs>
              <w:ind w:left="0" w:firstLine="425"/>
              <w:jc w:val="both"/>
              <w:rPr>
                <w:rFonts w:ascii="Tahoma" w:hAnsi="Tahoma" w:cs="Tahoma"/>
                <w:b/>
                <w:sz w:val="20"/>
                <w:szCs w:val="20"/>
                <w:u w:val="single"/>
              </w:rPr>
            </w:pPr>
            <w:r w:rsidRPr="0019235D">
              <w:rPr>
                <w:rFonts w:ascii="Tahoma" w:hAnsi="Tahoma" w:cs="Tahoma"/>
                <w:b/>
                <w:sz w:val="20"/>
                <w:szCs w:val="20"/>
                <w:u w:val="single"/>
              </w:rPr>
              <w:t>Требование к размеру первоначального взноса:</w:t>
            </w:r>
          </w:p>
          <w:tbl>
            <w:tblPr>
              <w:tblStyle w:val="aff0"/>
              <w:tblW w:w="11184" w:type="dxa"/>
              <w:tblInd w:w="28" w:type="dxa"/>
              <w:tblLayout w:type="fixed"/>
              <w:tblLook w:val="04A0" w:firstRow="1" w:lastRow="0" w:firstColumn="1" w:lastColumn="0" w:noHBand="0" w:noVBand="1"/>
            </w:tblPr>
            <w:tblGrid>
              <w:gridCol w:w="4203"/>
              <w:gridCol w:w="3686"/>
              <w:gridCol w:w="3295"/>
            </w:tblGrid>
            <w:tr w:rsidR="00951A61" w:rsidRPr="008B7EAD" w14:paraId="4E6E5A14" w14:textId="77777777" w:rsidTr="00A4032F">
              <w:trPr>
                <w:trHeight w:val="70"/>
              </w:trPr>
              <w:tc>
                <w:tcPr>
                  <w:tcW w:w="4203" w:type="dxa"/>
                </w:tcPr>
                <w:p w14:paraId="3EF46015" w14:textId="77777777" w:rsidR="00951A61" w:rsidRPr="00CE1BDB" w:rsidRDefault="00951A61" w:rsidP="00A4032F">
                  <w:pPr>
                    <w:pStyle w:val="affe"/>
                    <w:tabs>
                      <w:tab w:val="left" w:pos="280"/>
                    </w:tabs>
                    <w:ind w:left="0"/>
                    <w:jc w:val="center"/>
                    <w:rPr>
                      <w:rFonts w:ascii="Tahoma" w:hAnsi="Tahoma" w:cs="Tahoma"/>
                      <w:b/>
                      <w:sz w:val="20"/>
                      <w:szCs w:val="20"/>
                    </w:rPr>
                  </w:pPr>
                  <w:r w:rsidRPr="00CE1BDB">
                    <w:rPr>
                      <w:rFonts w:ascii="Tahoma" w:hAnsi="Tahoma" w:cs="Tahoma"/>
                      <w:b/>
                      <w:sz w:val="20"/>
                      <w:szCs w:val="20"/>
                    </w:rPr>
                    <w:t>Квартира, в том числе дополнительный залог</w:t>
                  </w:r>
                </w:p>
              </w:tc>
              <w:tc>
                <w:tcPr>
                  <w:tcW w:w="3686" w:type="dxa"/>
                  <w:tcBorders>
                    <w:right w:val="single" w:sz="4" w:space="0" w:color="auto"/>
                  </w:tcBorders>
                </w:tcPr>
                <w:p w14:paraId="4016E397" w14:textId="77777777" w:rsidR="00951A61" w:rsidRPr="0019235D" w:rsidRDefault="00951A61" w:rsidP="00A4032F">
                  <w:pPr>
                    <w:pStyle w:val="affe"/>
                    <w:tabs>
                      <w:tab w:val="left" w:pos="280"/>
                    </w:tabs>
                    <w:ind w:left="0"/>
                    <w:jc w:val="center"/>
                    <w:rPr>
                      <w:rFonts w:ascii="Tahoma" w:hAnsi="Tahoma" w:cs="Tahoma"/>
                      <w:b/>
                      <w:sz w:val="20"/>
                      <w:szCs w:val="20"/>
                    </w:rPr>
                  </w:pPr>
                  <w:r w:rsidRPr="0019235D">
                    <w:rPr>
                      <w:rFonts w:ascii="Tahoma" w:hAnsi="Tahoma" w:cs="Tahoma"/>
                      <w:b/>
                      <w:sz w:val="20"/>
                      <w:szCs w:val="20"/>
                    </w:rPr>
                    <w:t>Жилой дом с земельным участком/земельный участок</w:t>
                  </w:r>
                </w:p>
              </w:tc>
              <w:tc>
                <w:tcPr>
                  <w:tcW w:w="3295" w:type="dxa"/>
                  <w:tcBorders>
                    <w:top w:val="single" w:sz="4" w:space="0" w:color="auto"/>
                    <w:left w:val="single" w:sz="4" w:space="0" w:color="auto"/>
                    <w:right w:val="single" w:sz="4" w:space="0" w:color="auto"/>
                  </w:tcBorders>
                </w:tcPr>
                <w:p w14:paraId="4925E927" w14:textId="77777777" w:rsidR="00951A61" w:rsidRPr="008B7EAD" w:rsidRDefault="00951A61" w:rsidP="00A4032F">
                  <w:pPr>
                    <w:pStyle w:val="affe"/>
                    <w:tabs>
                      <w:tab w:val="left" w:pos="280"/>
                    </w:tabs>
                    <w:ind w:left="0"/>
                    <w:jc w:val="center"/>
                    <w:rPr>
                      <w:rFonts w:ascii="Tahoma" w:hAnsi="Tahoma" w:cs="Tahoma"/>
                      <w:sz w:val="20"/>
                      <w:szCs w:val="20"/>
                    </w:rPr>
                  </w:pPr>
                  <w:r w:rsidRPr="008B7EAD">
                    <w:rPr>
                      <w:rFonts w:ascii="Tahoma" w:hAnsi="Tahoma" w:cs="Tahoma"/>
                      <w:b/>
                      <w:sz w:val="20"/>
                      <w:szCs w:val="20"/>
                    </w:rPr>
                    <w:t>Таунхаус, в том числе дополнительный залог</w:t>
                  </w:r>
                </w:p>
              </w:tc>
            </w:tr>
            <w:tr w:rsidR="00951A61" w:rsidRPr="00F8133C" w14:paraId="7E784CF5" w14:textId="77777777" w:rsidTr="00A4032F">
              <w:trPr>
                <w:trHeight w:val="154"/>
              </w:trPr>
              <w:tc>
                <w:tcPr>
                  <w:tcW w:w="11184" w:type="dxa"/>
                  <w:gridSpan w:val="3"/>
                </w:tcPr>
                <w:p w14:paraId="7A829418" w14:textId="77777777" w:rsidR="00951A61" w:rsidRPr="001F13E2" w:rsidRDefault="00951A61" w:rsidP="00A4032F">
                  <w:pPr>
                    <w:pStyle w:val="affe"/>
                    <w:tabs>
                      <w:tab w:val="left" w:pos="280"/>
                    </w:tabs>
                    <w:ind w:left="0" w:firstLine="425"/>
                    <w:jc w:val="both"/>
                    <w:rPr>
                      <w:rFonts w:ascii="Tahoma" w:hAnsi="Tahoma" w:cs="Tahoma"/>
                      <w:sz w:val="20"/>
                      <w:szCs w:val="20"/>
                    </w:rPr>
                  </w:pPr>
                  <w:r w:rsidRPr="001F13E2">
                    <w:rPr>
                      <w:rFonts w:ascii="Tahoma" w:hAnsi="Tahoma" w:cs="Tahoma"/>
                      <w:sz w:val="20"/>
                      <w:szCs w:val="20"/>
                    </w:rPr>
                    <w:t>1. для Заемщика с официально подтвержденным доходом, а также для Заемщика, являющегося Зарплатным клиентом Банка:</w:t>
                  </w:r>
                </w:p>
              </w:tc>
            </w:tr>
            <w:tr w:rsidR="00951A61" w:rsidRPr="008B7EAD" w14:paraId="7286F811" w14:textId="77777777" w:rsidTr="00A4032F">
              <w:trPr>
                <w:trHeight w:val="298"/>
              </w:trPr>
              <w:tc>
                <w:tcPr>
                  <w:tcW w:w="4203" w:type="dxa"/>
                </w:tcPr>
                <w:p w14:paraId="682D571A" w14:textId="77777777" w:rsidR="00951A61" w:rsidRPr="0019235D" w:rsidRDefault="00951A61" w:rsidP="00A4032F">
                  <w:pPr>
                    <w:pStyle w:val="affe"/>
                    <w:tabs>
                      <w:tab w:val="left" w:pos="280"/>
                    </w:tabs>
                    <w:ind w:left="0"/>
                    <w:jc w:val="center"/>
                    <w:rPr>
                      <w:rFonts w:ascii="Tahoma" w:hAnsi="Tahoma" w:cs="Tahoma"/>
                      <w:sz w:val="20"/>
                      <w:szCs w:val="20"/>
                    </w:rPr>
                  </w:pPr>
                  <w:r w:rsidRPr="008B7EAD">
                    <w:rPr>
                      <w:rFonts w:ascii="Tahoma" w:hAnsi="Tahoma" w:cs="Tahoma"/>
                      <w:sz w:val="20"/>
                      <w:szCs w:val="20"/>
                    </w:rPr>
                    <w:t xml:space="preserve">Не </w:t>
                  </w:r>
                  <w:r w:rsidRPr="00121BAA">
                    <w:rPr>
                      <w:rFonts w:ascii="Tahoma" w:hAnsi="Tahoma" w:cs="Tahoma"/>
                      <w:sz w:val="20"/>
                      <w:szCs w:val="20"/>
                    </w:rPr>
                    <w:t>менее 20,01%</w:t>
                  </w:r>
                </w:p>
              </w:tc>
              <w:tc>
                <w:tcPr>
                  <w:tcW w:w="3686" w:type="dxa"/>
                </w:tcPr>
                <w:p w14:paraId="2E736347" w14:textId="77777777" w:rsidR="00951A61" w:rsidRPr="0048424C" w:rsidRDefault="00951A61" w:rsidP="00A4032F">
                  <w:pPr>
                    <w:pStyle w:val="affe"/>
                    <w:tabs>
                      <w:tab w:val="left" w:pos="280"/>
                    </w:tabs>
                    <w:ind w:left="0"/>
                    <w:jc w:val="center"/>
                    <w:rPr>
                      <w:rFonts w:ascii="Tahoma" w:hAnsi="Tahoma" w:cs="Tahoma"/>
                      <w:sz w:val="20"/>
                      <w:szCs w:val="20"/>
                    </w:rPr>
                  </w:pPr>
                  <w:r w:rsidRPr="0048424C">
                    <w:rPr>
                      <w:rFonts w:ascii="Tahoma" w:hAnsi="Tahoma" w:cs="Tahoma"/>
                      <w:sz w:val="20"/>
                      <w:szCs w:val="20"/>
                    </w:rPr>
                    <w:t>Не менее 40%</w:t>
                  </w:r>
                  <w:r w:rsidRPr="0048424C">
                    <w:rPr>
                      <w:rStyle w:val="aff3"/>
                      <w:rFonts w:ascii="Tahoma" w:hAnsi="Tahoma" w:cs="Tahoma"/>
                      <w:sz w:val="20"/>
                      <w:szCs w:val="20"/>
                    </w:rPr>
                    <w:footnoteReference w:id="108"/>
                  </w:r>
                </w:p>
              </w:tc>
              <w:tc>
                <w:tcPr>
                  <w:tcW w:w="3295" w:type="dxa"/>
                </w:tcPr>
                <w:p w14:paraId="1BB464AD" w14:textId="77777777" w:rsidR="00951A61" w:rsidRPr="0048424C" w:rsidRDefault="00951A61" w:rsidP="00A4032F">
                  <w:pPr>
                    <w:pStyle w:val="affe"/>
                    <w:tabs>
                      <w:tab w:val="left" w:pos="280"/>
                    </w:tabs>
                    <w:ind w:left="0"/>
                    <w:jc w:val="center"/>
                    <w:rPr>
                      <w:rFonts w:ascii="Tahoma" w:hAnsi="Tahoma" w:cs="Tahoma"/>
                      <w:sz w:val="20"/>
                      <w:szCs w:val="20"/>
                    </w:rPr>
                  </w:pPr>
                  <w:r w:rsidRPr="0048424C">
                    <w:rPr>
                      <w:rFonts w:ascii="Tahoma" w:hAnsi="Tahoma" w:cs="Tahoma"/>
                      <w:sz w:val="20"/>
                      <w:szCs w:val="20"/>
                    </w:rPr>
                    <w:t>Не менее 30%</w:t>
                  </w:r>
                  <w:r w:rsidRPr="0048424C">
                    <w:rPr>
                      <w:rStyle w:val="aff3"/>
                      <w:rFonts w:ascii="Tahoma" w:hAnsi="Tahoma" w:cs="Tahoma"/>
                      <w:sz w:val="20"/>
                      <w:szCs w:val="20"/>
                    </w:rPr>
                    <w:footnoteReference w:id="109"/>
                  </w:r>
                </w:p>
              </w:tc>
            </w:tr>
            <w:tr w:rsidR="00951A61" w:rsidRPr="008B7EAD" w14:paraId="56D95793" w14:textId="77777777" w:rsidTr="00A4032F">
              <w:trPr>
                <w:trHeight w:val="298"/>
              </w:trPr>
              <w:tc>
                <w:tcPr>
                  <w:tcW w:w="11184" w:type="dxa"/>
                  <w:gridSpan w:val="3"/>
                </w:tcPr>
                <w:p w14:paraId="3EE79F5C" w14:textId="77777777" w:rsidR="00951A61" w:rsidRPr="001F13E2" w:rsidRDefault="00951A61" w:rsidP="00A4032F">
                  <w:pPr>
                    <w:pStyle w:val="affe"/>
                    <w:tabs>
                      <w:tab w:val="left" w:pos="280"/>
                    </w:tabs>
                    <w:ind w:left="0" w:firstLine="425"/>
                    <w:jc w:val="both"/>
                    <w:rPr>
                      <w:rFonts w:ascii="Tahoma" w:hAnsi="Tahoma" w:cs="Tahoma"/>
                      <w:sz w:val="20"/>
                      <w:szCs w:val="20"/>
                    </w:rPr>
                  </w:pPr>
                  <w:r w:rsidRPr="001F13E2">
                    <w:rPr>
                      <w:rFonts w:ascii="Tahoma" w:hAnsi="Tahoma" w:cs="Tahoma"/>
                      <w:sz w:val="20"/>
                      <w:szCs w:val="20"/>
                    </w:rPr>
                    <w:t>2. для физических лиц, кроме указанных в п. 1 и 3 настоящего раздела:</w:t>
                  </w:r>
                </w:p>
              </w:tc>
            </w:tr>
            <w:tr w:rsidR="00951A61" w:rsidRPr="008B7EAD" w14:paraId="1EB3BBF2" w14:textId="77777777" w:rsidTr="00A4032F">
              <w:trPr>
                <w:trHeight w:val="298"/>
              </w:trPr>
              <w:tc>
                <w:tcPr>
                  <w:tcW w:w="4203" w:type="dxa"/>
                </w:tcPr>
                <w:p w14:paraId="6B01835B" w14:textId="77777777" w:rsidR="00951A61" w:rsidRPr="006D6406" w:rsidRDefault="00951A61" w:rsidP="00A4032F">
                  <w:pPr>
                    <w:pStyle w:val="affe"/>
                    <w:tabs>
                      <w:tab w:val="left" w:pos="280"/>
                    </w:tabs>
                    <w:ind w:left="0"/>
                    <w:jc w:val="center"/>
                    <w:rPr>
                      <w:rFonts w:ascii="Tahoma" w:hAnsi="Tahoma" w:cs="Tahoma"/>
                      <w:sz w:val="20"/>
                      <w:szCs w:val="20"/>
                      <w:highlight w:val="lightGray"/>
                    </w:rPr>
                  </w:pPr>
                  <w:r w:rsidRPr="001F13E2">
                    <w:rPr>
                      <w:rFonts w:ascii="Tahoma" w:hAnsi="Tahoma" w:cs="Tahoma"/>
                      <w:sz w:val="20"/>
                      <w:szCs w:val="20"/>
                    </w:rPr>
                    <w:t>Не менее 30%</w:t>
                  </w:r>
                </w:p>
              </w:tc>
              <w:tc>
                <w:tcPr>
                  <w:tcW w:w="3686" w:type="dxa"/>
                </w:tcPr>
                <w:p w14:paraId="34193BE9" w14:textId="77777777" w:rsidR="00951A61" w:rsidRPr="001F13E2" w:rsidRDefault="00951A61" w:rsidP="00A4032F">
                  <w:pPr>
                    <w:pStyle w:val="affe"/>
                    <w:tabs>
                      <w:tab w:val="left" w:pos="280"/>
                    </w:tabs>
                    <w:ind w:left="0"/>
                    <w:jc w:val="center"/>
                    <w:rPr>
                      <w:rFonts w:ascii="Tahoma" w:hAnsi="Tahoma" w:cs="Tahoma"/>
                      <w:sz w:val="20"/>
                      <w:szCs w:val="20"/>
                    </w:rPr>
                  </w:pPr>
                  <w:r w:rsidRPr="001F13E2">
                    <w:rPr>
                      <w:rFonts w:ascii="Tahoma" w:hAnsi="Tahoma" w:cs="Tahoma"/>
                      <w:sz w:val="20"/>
                      <w:szCs w:val="20"/>
                    </w:rPr>
                    <w:t>Не менее 40%</w:t>
                  </w:r>
                </w:p>
              </w:tc>
              <w:tc>
                <w:tcPr>
                  <w:tcW w:w="3295" w:type="dxa"/>
                </w:tcPr>
                <w:p w14:paraId="471C2B3E" w14:textId="77777777" w:rsidR="00951A61" w:rsidRPr="001F13E2" w:rsidRDefault="00951A61" w:rsidP="00A4032F">
                  <w:pPr>
                    <w:pStyle w:val="affe"/>
                    <w:tabs>
                      <w:tab w:val="left" w:pos="280"/>
                    </w:tabs>
                    <w:ind w:left="0"/>
                    <w:jc w:val="center"/>
                    <w:rPr>
                      <w:rFonts w:ascii="Tahoma" w:hAnsi="Tahoma" w:cs="Tahoma"/>
                      <w:sz w:val="20"/>
                      <w:szCs w:val="20"/>
                    </w:rPr>
                  </w:pPr>
                  <w:r w:rsidRPr="001F13E2">
                    <w:rPr>
                      <w:rFonts w:ascii="Tahoma" w:hAnsi="Tahoma" w:cs="Tahoma"/>
                      <w:sz w:val="20"/>
                      <w:szCs w:val="20"/>
                    </w:rPr>
                    <w:t>Не менее 30%</w:t>
                  </w:r>
                </w:p>
              </w:tc>
            </w:tr>
            <w:tr w:rsidR="00951A61" w:rsidRPr="008B7EAD" w14:paraId="165CA6B8" w14:textId="77777777" w:rsidTr="00A4032F">
              <w:trPr>
                <w:trHeight w:val="300"/>
              </w:trPr>
              <w:tc>
                <w:tcPr>
                  <w:tcW w:w="11184" w:type="dxa"/>
                  <w:gridSpan w:val="3"/>
                </w:tcPr>
                <w:p w14:paraId="703E0542" w14:textId="77777777" w:rsidR="00951A61" w:rsidRPr="0048424C" w:rsidRDefault="00951A61" w:rsidP="00A4032F">
                  <w:pPr>
                    <w:tabs>
                      <w:tab w:val="left" w:pos="280"/>
                    </w:tabs>
                    <w:ind w:firstLine="425"/>
                    <w:jc w:val="both"/>
                    <w:rPr>
                      <w:rFonts w:ascii="Tahoma" w:hAnsi="Tahoma" w:cs="Tahoma"/>
                      <w:sz w:val="20"/>
                      <w:szCs w:val="20"/>
                    </w:rPr>
                  </w:pPr>
                  <w:r w:rsidRPr="0048424C">
                    <w:rPr>
                      <w:rFonts w:ascii="Tahoma" w:hAnsi="Tahoma" w:cs="Tahoma"/>
                      <w:sz w:val="20"/>
                      <w:szCs w:val="20"/>
                    </w:rPr>
                    <w:t>3. если при определении платежеспособности Заемщика учитывается доход Заемщика только от предпринимательской деятельности и/или доход Заемщика-собственника бизнеса (полученный от этого бизнеса) и/или дохода самозанятого. Доля дохода от предпринимательской деятельности должна составлять 50% и более от совокупного учитываемого дохода по заявке.</w:t>
                  </w:r>
                </w:p>
              </w:tc>
            </w:tr>
            <w:tr w:rsidR="00951A61" w:rsidRPr="008B7EAD" w14:paraId="4305BD2F" w14:textId="77777777" w:rsidTr="00A4032F">
              <w:trPr>
                <w:trHeight w:val="154"/>
              </w:trPr>
              <w:tc>
                <w:tcPr>
                  <w:tcW w:w="4203" w:type="dxa"/>
                </w:tcPr>
                <w:p w14:paraId="7B74B07D" w14:textId="77777777" w:rsidR="00951A61" w:rsidRPr="008B7EAD" w:rsidRDefault="00951A61" w:rsidP="00A4032F">
                  <w:pPr>
                    <w:pStyle w:val="affe"/>
                    <w:tabs>
                      <w:tab w:val="left" w:pos="280"/>
                    </w:tabs>
                    <w:ind w:left="0"/>
                    <w:jc w:val="center"/>
                    <w:rPr>
                      <w:rFonts w:ascii="Tahoma" w:hAnsi="Tahoma" w:cs="Tahoma"/>
                      <w:sz w:val="20"/>
                      <w:szCs w:val="20"/>
                    </w:rPr>
                  </w:pPr>
                  <w:r w:rsidRPr="008B7EAD">
                    <w:rPr>
                      <w:rFonts w:ascii="Tahoma" w:hAnsi="Tahoma" w:cs="Tahoma"/>
                      <w:sz w:val="20"/>
                      <w:szCs w:val="20"/>
                    </w:rPr>
                    <w:t>Не менее 35%</w:t>
                  </w:r>
                </w:p>
              </w:tc>
              <w:tc>
                <w:tcPr>
                  <w:tcW w:w="3686" w:type="dxa"/>
                </w:tcPr>
                <w:p w14:paraId="46A3AED6" w14:textId="77777777" w:rsidR="00951A61" w:rsidRPr="001F13E2" w:rsidRDefault="00951A61" w:rsidP="00A4032F">
                  <w:pPr>
                    <w:pStyle w:val="affe"/>
                    <w:tabs>
                      <w:tab w:val="left" w:pos="280"/>
                    </w:tabs>
                    <w:ind w:left="0"/>
                    <w:jc w:val="center"/>
                    <w:rPr>
                      <w:rFonts w:ascii="Tahoma" w:hAnsi="Tahoma" w:cs="Tahoma"/>
                      <w:sz w:val="20"/>
                      <w:szCs w:val="20"/>
                    </w:rPr>
                  </w:pPr>
                  <w:r w:rsidRPr="001F13E2">
                    <w:rPr>
                      <w:rFonts w:ascii="Tahoma" w:hAnsi="Tahoma" w:cs="Tahoma"/>
                      <w:sz w:val="20"/>
                      <w:szCs w:val="20"/>
                    </w:rPr>
                    <w:t>Не менее 40%</w:t>
                  </w:r>
                </w:p>
              </w:tc>
              <w:tc>
                <w:tcPr>
                  <w:tcW w:w="3295" w:type="dxa"/>
                </w:tcPr>
                <w:p w14:paraId="1077124D" w14:textId="77777777" w:rsidR="00951A61" w:rsidRPr="001F13E2" w:rsidRDefault="00951A61" w:rsidP="00A4032F">
                  <w:pPr>
                    <w:pStyle w:val="affe"/>
                    <w:tabs>
                      <w:tab w:val="left" w:pos="280"/>
                    </w:tabs>
                    <w:ind w:left="0"/>
                    <w:jc w:val="center"/>
                    <w:rPr>
                      <w:rFonts w:ascii="Tahoma" w:hAnsi="Tahoma" w:cs="Tahoma"/>
                      <w:sz w:val="20"/>
                      <w:szCs w:val="20"/>
                    </w:rPr>
                  </w:pPr>
                  <w:r w:rsidRPr="001F13E2">
                    <w:rPr>
                      <w:rFonts w:ascii="Tahoma" w:hAnsi="Tahoma" w:cs="Tahoma"/>
                      <w:sz w:val="20"/>
                      <w:szCs w:val="20"/>
                    </w:rPr>
                    <w:t>Не менее 35%</w:t>
                  </w:r>
                </w:p>
              </w:tc>
            </w:tr>
          </w:tbl>
          <w:p w14:paraId="4E378A2B" w14:textId="77777777" w:rsidR="00951A61" w:rsidRPr="008B7EAD" w:rsidRDefault="00951A61" w:rsidP="00A4032F">
            <w:pPr>
              <w:tabs>
                <w:tab w:val="left" w:pos="280"/>
              </w:tabs>
              <w:ind w:firstLine="425"/>
              <w:jc w:val="both"/>
              <w:rPr>
                <w:rFonts w:ascii="Tahoma" w:hAnsi="Tahoma" w:cs="Tahoma"/>
                <w:sz w:val="20"/>
                <w:szCs w:val="20"/>
              </w:rPr>
            </w:pPr>
          </w:p>
          <w:p w14:paraId="43BC6225" w14:textId="77777777" w:rsidR="00951A61" w:rsidRPr="008B7EAD" w:rsidRDefault="00951A61" w:rsidP="00A4032F">
            <w:pPr>
              <w:pStyle w:val="affe"/>
              <w:tabs>
                <w:tab w:val="left" w:pos="280"/>
              </w:tabs>
              <w:ind w:left="0" w:firstLine="425"/>
              <w:jc w:val="both"/>
              <w:rPr>
                <w:rFonts w:ascii="Tahoma" w:hAnsi="Tahoma" w:cs="Tahoma"/>
                <w:sz w:val="20"/>
                <w:szCs w:val="20"/>
              </w:rPr>
            </w:pPr>
          </w:p>
        </w:tc>
      </w:tr>
      <w:tr w:rsidR="00951A61" w:rsidRPr="00234585" w14:paraId="1B127C60"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0F182709" w14:textId="77777777" w:rsidR="00951A61" w:rsidRPr="00CE1BDB" w:rsidRDefault="00951A61" w:rsidP="00A4032F">
            <w:pPr>
              <w:autoSpaceDE w:val="0"/>
              <w:autoSpaceDN w:val="0"/>
              <w:adjustRightInd w:val="0"/>
              <w:ind w:left="-6"/>
              <w:jc w:val="center"/>
              <w:rPr>
                <w:rFonts w:ascii="Tahoma" w:hAnsi="Tahoma" w:cs="Tahoma"/>
                <w:b/>
                <w:sz w:val="20"/>
                <w:szCs w:val="20"/>
              </w:rPr>
            </w:pPr>
            <w:r w:rsidRPr="008B7EAD">
              <w:rPr>
                <w:rFonts w:ascii="Tahoma" w:hAnsi="Tahoma" w:cs="Tahoma"/>
                <w:b/>
                <w:sz w:val="20"/>
                <w:szCs w:val="20"/>
              </w:rPr>
              <w:t xml:space="preserve">Способ предоставления </w:t>
            </w:r>
            <w:r w:rsidRPr="00CE1BDB">
              <w:rPr>
                <w:rFonts w:ascii="Tahoma" w:hAnsi="Tahoma" w:cs="Tahoma"/>
                <w:b/>
                <w:sz w:val="20"/>
                <w:szCs w:val="20"/>
              </w:rPr>
              <w:t>потребительского кредита</w:t>
            </w:r>
          </w:p>
          <w:p w14:paraId="2C9E404A" w14:textId="77777777" w:rsidR="00951A61" w:rsidRPr="00AB08B7" w:rsidRDefault="00951A61" w:rsidP="00A4032F">
            <w:pPr>
              <w:pStyle w:val="ConsPlusNormal"/>
              <w:ind w:left="-6"/>
              <w:jc w:val="center"/>
              <w:rPr>
                <w:rFonts w:ascii="Tahoma" w:hAnsi="Tahoma" w:cs="Tahoma"/>
                <w:b/>
              </w:rPr>
            </w:pPr>
          </w:p>
        </w:tc>
        <w:tc>
          <w:tcPr>
            <w:tcW w:w="11452" w:type="dxa"/>
            <w:tcBorders>
              <w:top w:val="single" w:sz="4" w:space="0" w:color="auto"/>
              <w:left w:val="nil"/>
              <w:bottom w:val="single" w:sz="4" w:space="0" w:color="auto"/>
              <w:right w:val="single" w:sz="4" w:space="0" w:color="auto"/>
            </w:tcBorders>
            <w:shd w:val="clear" w:color="auto" w:fill="auto"/>
            <w:vAlign w:val="center"/>
          </w:tcPr>
          <w:p w14:paraId="4E151D51" w14:textId="77777777" w:rsidR="00951A61" w:rsidRPr="008B7EAD" w:rsidRDefault="00951A61" w:rsidP="00A4032F">
            <w:pPr>
              <w:ind w:firstLine="425"/>
              <w:jc w:val="both"/>
              <w:rPr>
                <w:rFonts w:ascii="Tahoma" w:hAnsi="Tahoma" w:cs="Tahoma"/>
                <w:sz w:val="20"/>
                <w:szCs w:val="20"/>
              </w:rPr>
            </w:pPr>
            <w:r w:rsidRPr="008B7EAD">
              <w:rPr>
                <w:rFonts w:ascii="Tahoma" w:hAnsi="Tahoma" w:cs="Tahoma"/>
                <w:sz w:val="20"/>
                <w:szCs w:val="20"/>
              </w:rPr>
              <w:t>Кредит предоставляется Заемщику в безналичной форме путем перечисления всей суммы Кредита единовременно на открытый в Банке ТБС. Если впоследствии сумму Кредита, предоставленную на счет Заемщика, открытый в Банке, необходимо перевести третьему лицу, указанному Заемщиком, то перевод осуществляются в соответствии с порядком и Тарифами, предусмотренными Банком для перевода денежных средств</w:t>
            </w:r>
          </w:p>
        </w:tc>
      </w:tr>
      <w:tr w:rsidR="00951A61" w:rsidRPr="00234585" w14:paraId="7D21A029"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2F3A4173" w14:textId="77777777" w:rsidR="00951A61" w:rsidRPr="008B7EAD" w:rsidRDefault="00951A61" w:rsidP="00A4032F">
            <w:pPr>
              <w:ind w:left="-6"/>
              <w:jc w:val="center"/>
              <w:rPr>
                <w:rFonts w:ascii="Tahoma" w:hAnsi="Tahoma" w:cs="Tahoma"/>
                <w:b/>
                <w:sz w:val="20"/>
                <w:szCs w:val="20"/>
              </w:rPr>
            </w:pPr>
            <w:r w:rsidRPr="008B7EAD">
              <w:rPr>
                <w:rFonts w:ascii="Tahoma" w:hAnsi="Tahoma" w:cs="Tahoma"/>
                <w:b/>
                <w:bCs/>
                <w:sz w:val="20"/>
                <w:szCs w:val="20"/>
              </w:rPr>
              <w:t xml:space="preserve">Срок рассмотрения оформленного </w:t>
            </w:r>
            <w:r w:rsidRPr="00CE1BDB">
              <w:rPr>
                <w:rFonts w:ascii="Tahoma" w:hAnsi="Tahoma" w:cs="Tahoma"/>
                <w:b/>
                <w:bCs/>
                <w:sz w:val="20"/>
                <w:szCs w:val="20"/>
              </w:rPr>
              <w:t xml:space="preserve">Заёмщиком заявления о предоставлении потребительского кредита и принятия кредитором </w:t>
            </w:r>
            <w:r w:rsidRPr="00CE1BDB">
              <w:rPr>
                <w:rFonts w:ascii="Tahoma" w:hAnsi="Tahoma" w:cs="Tahoma"/>
                <w:b/>
                <w:bCs/>
                <w:sz w:val="20"/>
                <w:szCs w:val="20"/>
              </w:rPr>
              <w:lastRenderedPageBreak/>
              <w:t>решения относительно этого зая</w:t>
            </w:r>
            <w:r w:rsidRPr="00AB08B7">
              <w:rPr>
                <w:rFonts w:ascii="Tahoma" w:hAnsi="Tahoma" w:cs="Tahoma"/>
                <w:b/>
                <w:bCs/>
                <w:sz w:val="20"/>
                <w:szCs w:val="20"/>
              </w:rPr>
              <w:t>вления</w:t>
            </w:r>
            <w:r w:rsidRPr="00AB08B7" w:rsidDel="001D7F39">
              <w:rPr>
                <w:rFonts w:ascii="Tahoma" w:hAnsi="Tahoma" w:cs="Tahoma"/>
                <w:b/>
                <w:sz w:val="20"/>
                <w:szCs w:val="20"/>
              </w:rPr>
              <w:t xml:space="preserve"> </w:t>
            </w:r>
          </w:p>
        </w:tc>
        <w:tc>
          <w:tcPr>
            <w:tcW w:w="11452" w:type="dxa"/>
            <w:tcBorders>
              <w:top w:val="single" w:sz="4" w:space="0" w:color="auto"/>
              <w:left w:val="nil"/>
              <w:bottom w:val="single" w:sz="4" w:space="0" w:color="auto"/>
              <w:right w:val="single" w:sz="4" w:space="0" w:color="auto"/>
            </w:tcBorders>
            <w:shd w:val="clear" w:color="auto" w:fill="auto"/>
            <w:vAlign w:val="center"/>
          </w:tcPr>
          <w:p w14:paraId="68ED92B2" w14:textId="77777777" w:rsidR="00951A61" w:rsidRPr="008B7EAD" w:rsidRDefault="00951A61" w:rsidP="00A4032F">
            <w:pPr>
              <w:ind w:firstLine="425"/>
              <w:jc w:val="both"/>
              <w:rPr>
                <w:rFonts w:ascii="Tahoma" w:hAnsi="Tahoma" w:cs="Tahoma"/>
                <w:sz w:val="20"/>
                <w:szCs w:val="20"/>
              </w:rPr>
            </w:pPr>
            <w:r w:rsidRPr="008B7EAD">
              <w:rPr>
                <w:rFonts w:ascii="Tahoma" w:hAnsi="Tahoma" w:cs="Tahoma"/>
                <w:sz w:val="20"/>
                <w:szCs w:val="20"/>
              </w:rPr>
              <w:lastRenderedPageBreak/>
              <w:t>2 рабочих дня с момента предоставления Заемщиком полного пакета документов, в случае необходимости запроса у Заёмщика дополнительных документов срок может быть увеличен</w:t>
            </w:r>
          </w:p>
        </w:tc>
      </w:tr>
      <w:tr w:rsidR="00951A61" w:rsidRPr="00234585" w14:paraId="0A156D07"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0E0A3B82" w14:textId="77777777" w:rsidR="00951A61" w:rsidRPr="00CE1BDB" w:rsidRDefault="00951A61" w:rsidP="00A4032F">
            <w:pPr>
              <w:ind w:left="-6"/>
              <w:jc w:val="center"/>
              <w:rPr>
                <w:rFonts w:ascii="Tahoma" w:hAnsi="Tahoma" w:cs="Tahoma"/>
                <w:b/>
                <w:bCs/>
                <w:sz w:val="20"/>
                <w:szCs w:val="20"/>
              </w:rPr>
            </w:pPr>
            <w:r w:rsidRPr="008B7EAD">
              <w:rPr>
                <w:rFonts w:ascii="Tahoma" w:hAnsi="Tahoma" w:cs="Tahoma"/>
                <w:b/>
                <w:color w:val="000000"/>
                <w:sz w:val="20"/>
                <w:szCs w:val="20"/>
              </w:rPr>
              <w:t xml:space="preserve">Сроки, в течение которых Заемщик вправе отказаться от получения </w:t>
            </w:r>
            <w:r w:rsidRPr="00CE1BDB">
              <w:rPr>
                <w:rFonts w:ascii="Tahoma" w:hAnsi="Tahoma" w:cs="Tahoma"/>
                <w:b/>
                <w:color w:val="000000"/>
                <w:sz w:val="20"/>
                <w:szCs w:val="20"/>
              </w:rPr>
              <w:t>потребительского кредита</w:t>
            </w:r>
            <w:r w:rsidRPr="00CE1BDB" w:rsidDel="00FF4CE2">
              <w:rPr>
                <w:rFonts w:ascii="Tahoma" w:hAnsi="Tahoma" w:cs="Tahoma"/>
                <w:sz w:val="20"/>
                <w:szCs w:val="20"/>
              </w:rPr>
              <w:t xml:space="preserve"> </w:t>
            </w:r>
          </w:p>
        </w:tc>
        <w:tc>
          <w:tcPr>
            <w:tcW w:w="11452" w:type="dxa"/>
            <w:tcBorders>
              <w:top w:val="single" w:sz="4" w:space="0" w:color="auto"/>
              <w:left w:val="nil"/>
              <w:bottom w:val="single" w:sz="4" w:space="0" w:color="auto"/>
              <w:right w:val="single" w:sz="4" w:space="0" w:color="auto"/>
            </w:tcBorders>
            <w:shd w:val="clear" w:color="auto" w:fill="auto"/>
            <w:vAlign w:val="center"/>
          </w:tcPr>
          <w:p w14:paraId="3999B262" w14:textId="77777777" w:rsidR="00951A61" w:rsidRPr="00AB08B7" w:rsidRDefault="00951A61" w:rsidP="00A4032F">
            <w:pPr>
              <w:ind w:firstLine="425"/>
              <w:jc w:val="both"/>
              <w:rPr>
                <w:rFonts w:ascii="Tahoma" w:hAnsi="Tahoma" w:cs="Tahoma"/>
                <w:color w:val="000000"/>
                <w:sz w:val="20"/>
                <w:szCs w:val="20"/>
              </w:rPr>
            </w:pPr>
            <w:r w:rsidRPr="00AB08B7">
              <w:rPr>
                <w:rFonts w:ascii="Tahoma" w:hAnsi="Tahoma" w:cs="Tahoma"/>
                <w:color w:val="000000"/>
                <w:sz w:val="20"/>
                <w:szCs w:val="20"/>
              </w:rPr>
              <w:t xml:space="preserve">Заёмщик вправе отказаться от получения Кредита полностью или частично, уведомив об этом Банк до истечения, установленного Кредитным договором, срока его предоставления. </w:t>
            </w:r>
          </w:p>
          <w:p w14:paraId="585D305E" w14:textId="77777777" w:rsidR="00951A61" w:rsidRPr="00074A60" w:rsidRDefault="00951A61" w:rsidP="00A4032F">
            <w:pPr>
              <w:ind w:firstLine="425"/>
              <w:jc w:val="both"/>
              <w:rPr>
                <w:rFonts w:ascii="Tahoma" w:hAnsi="Tahoma" w:cs="Tahoma"/>
                <w:sz w:val="20"/>
                <w:szCs w:val="20"/>
              </w:rPr>
            </w:pPr>
            <w:r w:rsidRPr="008B7EAD">
              <w:rPr>
                <w:rFonts w:ascii="Tahoma" w:hAnsi="Tahoma" w:cs="Tahoma"/>
                <w:color w:val="000000"/>
                <w:sz w:val="20"/>
                <w:szCs w:val="20"/>
              </w:rPr>
              <w:t>Заемщик в течение 30 (тридцати) календарных дней с даты получения Кредита, имеет право вернуть досрочно всю сумму Кредита или ее часть без предварительного уведомления Банка с уплатой процентов за фактический срок кредитования</w:t>
            </w:r>
          </w:p>
        </w:tc>
      </w:tr>
      <w:tr w:rsidR="00951A61" w:rsidRPr="00234585" w14:paraId="72FB46E5"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73046814" w14:textId="77777777" w:rsidR="00951A61" w:rsidRPr="008B7EAD" w:rsidRDefault="00951A61" w:rsidP="00A4032F">
            <w:pPr>
              <w:autoSpaceDE w:val="0"/>
              <w:autoSpaceDN w:val="0"/>
              <w:adjustRightInd w:val="0"/>
              <w:ind w:left="-6"/>
              <w:jc w:val="center"/>
              <w:rPr>
                <w:rFonts w:ascii="Tahoma" w:hAnsi="Tahoma" w:cs="Tahoma"/>
                <w:sz w:val="20"/>
                <w:szCs w:val="20"/>
              </w:rPr>
            </w:pPr>
            <w:r w:rsidRPr="008B7EAD">
              <w:rPr>
                <w:rFonts w:ascii="Tahoma" w:hAnsi="Tahoma" w:cs="Tahoma"/>
                <w:b/>
                <w:sz w:val="20"/>
                <w:szCs w:val="20"/>
              </w:rPr>
              <w:t>Дата, начиная с которой начисляются проценты за пользование Кредитом, или порядок ее определения</w:t>
            </w:r>
          </w:p>
        </w:tc>
        <w:tc>
          <w:tcPr>
            <w:tcW w:w="11452" w:type="dxa"/>
            <w:tcBorders>
              <w:top w:val="single" w:sz="4" w:space="0" w:color="auto"/>
              <w:left w:val="nil"/>
              <w:bottom w:val="single" w:sz="4" w:space="0" w:color="auto"/>
              <w:right w:val="single" w:sz="4" w:space="0" w:color="auto"/>
            </w:tcBorders>
            <w:shd w:val="clear" w:color="auto" w:fill="auto"/>
            <w:vAlign w:val="center"/>
          </w:tcPr>
          <w:p w14:paraId="0B19AC7F" w14:textId="77777777" w:rsidR="00951A61" w:rsidRPr="00CE1BDB" w:rsidRDefault="00951A61" w:rsidP="00A4032F">
            <w:pPr>
              <w:ind w:firstLine="425"/>
              <w:jc w:val="both"/>
              <w:rPr>
                <w:rFonts w:ascii="Tahoma" w:hAnsi="Tahoma" w:cs="Tahoma"/>
                <w:color w:val="000000"/>
                <w:sz w:val="20"/>
                <w:szCs w:val="20"/>
              </w:rPr>
            </w:pPr>
            <w:r w:rsidRPr="00CE1BDB">
              <w:rPr>
                <w:rFonts w:ascii="Tahoma" w:hAnsi="Tahoma" w:cs="Tahoma"/>
                <w:sz w:val="20"/>
                <w:szCs w:val="20"/>
              </w:rPr>
              <w:t>Дата, следующая за датой выдачи Банком Заёмщику Кредита</w:t>
            </w:r>
          </w:p>
        </w:tc>
      </w:tr>
      <w:tr w:rsidR="00951A61" w:rsidRPr="00234585" w14:paraId="2BC4A2C6"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2CDBB953" w14:textId="77777777" w:rsidR="00951A61" w:rsidRPr="00CE1BDB" w:rsidRDefault="00951A61" w:rsidP="00A4032F">
            <w:pPr>
              <w:autoSpaceDE w:val="0"/>
              <w:autoSpaceDN w:val="0"/>
              <w:adjustRightInd w:val="0"/>
              <w:ind w:left="-6"/>
              <w:jc w:val="center"/>
              <w:rPr>
                <w:rFonts w:ascii="Tahoma" w:hAnsi="Tahoma" w:cs="Tahoma"/>
                <w:sz w:val="20"/>
                <w:szCs w:val="20"/>
              </w:rPr>
            </w:pPr>
            <w:r w:rsidRPr="008B7EAD">
              <w:rPr>
                <w:rFonts w:ascii="Tahoma" w:hAnsi="Tahoma" w:cs="Tahoma"/>
                <w:b/>
                <w:sz w:val="20"/>
                <w:szCs w:val="20"/>
              </w:rPr>
              <w:t>Периодичность платежей Заемщика при возврате потребительского кредита, уплате процентов и иных платежей по Кредиту</w:t>
            </w:r>
          </w:p>
        </w:tc>
        <w:tc>
          <w:tcPr>
            <w:tcW w:w="11452" w:type="dxa"/>
            <w:tcBorders>
              <w:top w:val="single" w:sz="4" w:space="0" w:color="auto"/>
              <w:left w:val="nil"/>
              <w:bottom w:val="single" w:sz="4" w:space="0" w:color="auto"/>
              <w:right w:val="single" w:sz="4" w:space="0" w:color="auto"/>
            </w:tcBorders>
            <w:shd w:val="clear" w:color="auto" w:fill="auto"/>
            <w:vAlign w:val="center"/>
          </w:tcPr>
          <w:p w14:paraId="046181FE" w14:textId="77777777" w:rsidR="00951A61" w:rsidRPr="008B7EAD" w:rsidRDefault="00951A61" w:rsidP="00A4032F">
            <w:pPr>
              <w:ind w:firstLine="425"/>
              <w:jc w:val="both"/>
              <w:rPr>
                <w:rFonts w:ascii="Tahoma" w:hAnsi="Tahoma" w:cs="Tahoma"/>
                <w:sz w:val="20"/>
                <w:szCs w:val="20"/>
              </w:rPr>
            </w:pPr>
            <w:r w:rsidRPr="00AB08B7">
              <w:rPr>
                <w:rFonts w:ascii="Tahoma" w:hAnsi="Tahoma" w:cs="Tahoma"/>
                <w:sz w:val="20"/>
                <w:szCs w:val="20"/>
              </w:rPr>
              <w:t xml:space="preserve"> Ежемесячно аннуитетными (равными) платежами в течение всего срока действия Кредита (за исключением первого и последнего месяцев) без возможности увеличения остатка ссудной задолженности. Изменение размера ежемесячного платежа допускается в случаях, пред</w:t>
            </w:r>
            <w:r w:rsidRPr="008B7EAD">
              <w:rPr>
                <w:rFonts w:ascii="Tahoma" w:hAnsi="Tahoma" w:cs="Tahoma"/>
                <w:sz w:val="20"/>
                <w:szCs w:val="20"/>
              </w:rPr>
              <w:t>усмотренных Кредитным договором</w:t>
            </w:r>
          </w:p>
        </w:tc>
      </w:tr>
      <w:tr w:rsidR="00951A61" w:rsidRPr="00234585" w14:paraId="237F826A"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31A553EE" w14:textId="77777777" w:rsidR="00951A61" w:rsidRPr="00AB08B7" w:rsidRDefault="00951A61" w:rsidP="00A4032F">
            <w:pPr>
              <w:autoSpaceDE w:val="0"/>
              <w:autoSpaceDN w:val="0"/>
              <w:adjustRightInd w:val="0"/>
              <w:jc w:val="center"/>
              <w:rPr>
                <w:rFonts w:ascii="Tahoma" w:hAnsi="Tahoma" w:cs="Tahoma"/>
                <w:b/>
                <w:sz w:val="20"/>
                <w:szCs w:val="20"/>
              </w:rPr>
            </w:pPr>
            <w:r w:rsidRPr="008B7EAD">
              <w:rPr>
                <w:rFonts w:ascii="Tahoma" w:hAnsi="Tahoma" w:cs="Tahoma"/>
                <w:b/>
                <w:sz w:val="20"/>
                <w:szCs w:val="20"/>
              </w:rPr>
              <w:t xml:space="preserve">Способы возврата Заемщиком потребительского кредита </w:t>
            </w:r>
            <w:r w:rsidRPr="00CE1BDB">
              <w:rPr>
                <w:rFonts w:ascii="Tahoma" w:hAnsi="Tahoma" w:cs="Tahoma"/>
                <w:b/>
                <w:sz w:val="20"/>
                <w:szCs w:val="20"/>
              </w:rPr>
              <w:t>и уплаты процентов</w:t>
            </w:r>
            <w:r w:rsidRPr="00AB08B7">
              <w:rPr>
                <w:rFonts w:ascii="Tahoma" w:hAnsi="Tahoma" w:cs="Tahoma"/>
                <w:b/>
                <w:sz w:val="20"/>
                <w:szCs w:val="20"/>
              </w:rPr>
              <w:t xml:space="preserve"> и иных платежей по нему</w:t>
            </w:r>
          </w:p>
        </w:tc>
        <w:tc>
          <w:tcPr>
            <w:tcW w:w="11452" w:type="dxa"/>
            <w:tcBorders>
              <w:top w:val="single" w:sz="4" w:space="0" w:color="auto"/>
              <w:left w:val="nil"/>
              <w:bottom w:val="single" w:sz="4" w:space="0" w:color="auto"/>
              <w:right w:val="single" w:sz="4" w:space="0" w:color="auto"/>
            </w:tcBorders>
            <w:shd w:val="clear" w:color="auto" w:fill="auto"/>
            <w:vAlign w:val="center"/>
          </w:tcPr>
          <w:p w14:paraId="2E91AEAC" w14:textId="77777777" w:rsidR="00951A61" w:rsidRPr="008B7EAD" w:rsidRDefault="00951A61" w:rsidP="00A4032F">
            <w:pPr>
              <w:ind w:firstLine="425"/>
              <w:jc w:val="both"/>
              <w:rPr>
                <w:rFonts w:ascii="Tahoma" w:hAnsi="Tahoma" w:cs="Tahoma"/>
                <w:sz w:val="20"/>
                <w:szCs w:val="20"/>
              </w:rPr>
            </w:pPr>
            <w:r w:rsidRPr="008B7EAD">
              <w:rPr>
                <w:rFonts w:ascii="Tahoma" w:hAnsi="Tahoma" w:cs="Tahoma"/>
                <w:sz w:val="20"/>
                <w:szCs w:val="20"/>
              </w:rPr>
              <w:t>Банк не ограничивает Заемщиков в выборе способа внесения платежа или организации, оказывающей услуги по перечислению платежей.</w:t>
            </w:r>
          </w:p>
          <w:p w14:paraId="25E6D4D4" w14:textId="77777777" w:rsidR="00951A61" w:rsidRPr="008B7EAD" w:rsidRDefault="00951A61" w:rsidP="00A4032F">
            <w:pPr>
              <w:ind w:firstLine="425"/>
              <w:jc w:val="both"/>
              <w:rPr>
                <w:rFonts w:ascii="Tahoma" w:hAnsi="Tahoma" w:cs="Tahoma"/>
                <w:sz w:val="20"/>
                <w:szCs w:val="20"/>
              </w:rPr>
            </w:pPr>
            <w:r w:rsidRPr="008B7EAD">
              <w:rPr>
                <w:rFonts w:ascii="Tahoma" w:hAnsi="Tahoma" w:cs="Tahoma"/>
                <w:sz w:val="20"/>
                <w:szCs w:val="20"/>
              </w:rPr>
              <w:t>Исполнение Заемщиком обязательств по Кредитному договору (в т.ч. при досрочном возврате Кредита) производится путем внесения денежных средств на ТБС в сумме обязательства и не позднее срока платежа, указанных в Кредитном договоре, любым из перечисленных в настоящем пункте, способов: через терминалы самообслуживания, кассы Банка посредством перевода денежных средств через иные кредитные организации, ФГУП «Почта России» (по предусмотренным ими тарифам). Могут использоваться иные, не противоречащие законодательству РФ, способы. Если установленный Кредитным договором последний день срока платежа отсутствует в календарном месяце, Заемщик обязан внести денежные средства на ТБС не позднее последнего календарного рабочего дня месяца; если последний день срока платежа приходится на выходные/нерабочие праздничные дни, Заемщик обязан внести денежные средства на ТБС не позднее 1-го рабочего дня, следующего за выходным /нерабочим праздничным днем. Указанная обязанность должна быть исполнена Заемщиком в операционный день Банка</w:t>
            </w:r>
          </w:p>
        </w:tc>
      </w:tr>
      <w:tr w:rsidR="00951A61" w:rsidRPr="00234585" w14:paraId="2953DA15"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6DBAD53A" w14:textId="77777777" w:rsidR="00951A61" w:rsidRPr="008B7EAD" w:rsidRDefault="00951A61" w:rsidP="00A4032F">
            <w:pPr>
              <w:autoSpaceDE w:val="0"/>
              <w:autoSpaceDN w:val="0"/>
              <w:adjustRightInd w:val="0"/>
              <w:jc w:val="center"/>
              <w:rPr>
                <w:rFonts w:ascii="Tahoma" w:hAnsi="Tahoma" w:cs="Tahoma"/>
                <w:b/>
                <w:sz w:val="20"/>
                <w:szCs w:val="20"/>
              </w:rPr>
            </w:pPr>
            <w:r w:rsidRPr="008B7EAD">
              <w:rPr>
                <w:rFonts w:ascii="Tahoma" w:hAnsi="Tahoma" w:cs="Tahoma"/>
                <w:b/>
                <w:color w:val="000000"/>
                <w:sz w:val="20"/>
                <w:szCs w:val="20"/>
              </w:rPr>
              <w:t>Бесплатный способ исполнения Заемщиком обязательств по договору потребительского кредита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3392FF2B" w14:textId="77777777" w:rsidR="00951A61" w:rsidRPr="00CE1BDB" w:rsidRDefault="00951A61" w:rsidP="00A4032F">
            <w:pPr>
              <w:ind w:firstLine="425"/>
              <w:jc w:val="both"/>
              <w:rPr>
                <w:rFonts w:ascii="Tahoma" w:hAnsi="Tahoma" w:cs="Tahoma"/>
                <w:sz w:val="20"/>
                <w:szCs w:val="20"/>
              </w:rPr>
            </w:pPr>
            <w:r w:rsidRPr="00CE1BDB">
              <w:rPr>
                <w:rFonts w:ascii="Tahoma" w:hAnsi="Tahoma" w:cs="Tahoma"/>
                <w:sz w:val="20"/>
                <w:szCs w:val="20"/>
              </w:rPr>
              <w:t>Внесение денежных средств на ТБС через терминалы самообслуживания Банка, перевод через работодателя Заемщика, перевод со счёта в Банке на ТБС Заемщика</w:t>
            </w:r>
          </w:p>
        </w:tc>
      </w:tr>
      <w:tr w:rsidR="00951A61" w:rsidRPr="00234585" w14:paraId="0B5923A1"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10E219B8" w14:textId="77777777" w:rsidR="00951A61" w:rsidRPr="00CE1BDB" w:rsidRDefault="00951A61" w:rsidP="00A4032F">
            <w:pPr>
              <w:autoSpaceDE w:val="0"/>
              <w:autoSpaceDN w:val="0"/>
              <w:adjustRightInd w:val="0"/>
              <w:jc w:val="center"/>
              <w:rPr>
                <w:rFonts w:ascii="Tahoma" w:hAnsi="Tahoma" w:cs="Tahoma"/>
                <w:b/>
                <w:bCs/>
                <w:sz w:val="20"/>
                <w:szCs w:val="20"/>
              </w:rPr>
            </w:pPr>
            <w:r w:rsidRPr="008B7EAD">
              <w:rPr>
                <w:rFonts w:ascii="Tahoma" w:hAnsi="Tahoma" w:cs="Tahoma"/>
                <w:b/>
                <w:sz w:val="20"/>
                <w:szCs w:val="20"/>
              </w:rPr>
              <w:t xml:space="preserve">Ответственность Заемщика за ненадлежащее исполнение договора потребительского кредита, размеры неустойки (штрафа, пени), порядок ее расчета, </w:t>
            </w:r>
            <w:r w:rsidRPr="008B7EAD">
              <w:rPr>
                <w:rFonts w:ascii="Tahoma" w:hAnsi="Tahoma" w:cs="Tahoma"/>
                <w:b/>
                <w:bCs/>
                <w:sz w:val="20"/>
                <w:szCs w:val="20"/>
              </w:rPr>
              <w:t>а также информация о том, в каких случаях данные санкции могут быть применены</w:t>
            </w:r>
          </w:p>
          <w:p w14:paraId="4D016343" w14:textId="77777777" w:rsidR="00951A61" w:rsidRPr="00AB08B7" w:rsidRDefault="00951A61" w:rsidP="00A4032F">
            <w:pPr>
              <w:autoSpaceDE w:val="0"/>
              <w:autoSpaceDN w:val="0"/>
              <w:adjustRightInd w:val="0"/>
              <w:jc w:val="center"/>
              <w:rPr>
                <w:rFonts w:ascii="Tahoma" w:hAnsi="Tahoma" w:cs="Tahoma"/>
                <w:b/>
                <w:color w:val="000000"/>
                <w:sz w:val="20"/>
                <w:szCs w:val="20"/>
              </w:rPr>
            </w:pPr>
          </w:p>
        </w:tc>
        <w:tc>
          <w:tcPr>
            <w:tcW w:w="11452" w:type="dxa"/>
            <w:tcBorders>
              <w:top w:val="single" w:sz="4" w:space="0" w:color="auto"/>
              <w:left w:val="nil"/>
              <w:bottom w:val="single" w:sz="4" w:space="0" w:color="auto"/>
              <w:right w:val="single" w:sz="4" w:space="0" w:color="auto"/>
            </w:tcBorders>
            <w:shd w:val="clear" w:color="auto" w:fill="auto"/>
            <w:vAlign w:val="center"/>
          </w:tcPr>
          <w:p w14:paraId="4949DCC1" w14:textId="77777777" w:rsidR="00951A61" w:rsidRPr="008B7EAD" w:rsidRDefault="00951A61" w:rsidP="00A4032F">
            <w:pPr>
              <w:ind w:firstLine="425"/>
              <w:jc w:val="both"/>
              <w:rPr>
                <w:rFonts w:ascii="Tahoma" w:hAnsi="Tahoma" w:cs="Tahoma"/>
                <w:sz w:val="20"/>
                <w:szCs w:val="20"/>
              </w:rPr>
            </w:pPr>
            <w:r w:rsidRPr="008B7EAD">
              <w:rPr>
                <w:rFonts w:ascii="Tahoma" w:hAnsi="Tahoma" w:cs="Tahoma"/>
                <w:sz w:val="20"/>
                <w:szCs w:val="20"/>
              </w:rPr>
              <w:t>При ненадлежащем исполнении Кредитного договора (в соответствии с условиями Кредитного договора и законодательством РФ) Кредитор вправе:</w:t>
            </w:r>
          </w:p>
          <w:p w14:paraId="31A6A2AB" w14:textId="77777777" w:rsidR="00951A61" w:rsidRPr="008B7EAD" w:rsidRDefault="00951A61" w:rsidP="00A4032F">
            <w:pPr>
              <w:ind w:firstLine="425"/>
              <w:jc w:val="both"/>
              <w:rPr>
                <w:rFonts w:ascii="Tahoma" w:hAnsi="Tahoma" w:cs="Tahoma"/>
                <w:sz w:val="20"/>
                <w:szCs w:val="20"/>
              </w:rPr>
            </w:pPr>
            <w:r w:rsidRPr="008B7EAD">
              <w:rPr>
                <w:rFonts w:ascii="Tahoma" w:hAnsi="Tahoma" w:cs="Tahoma"/>
                <w:sz w:val="20"/>
                <w:szCs w:val="20"/>
              </w:rPr>
              <w:t>- потребовать от Заемщика полного досрочного исполнения обязательств по Кредитному договору (возврата суммы Кредита, процентов за пользование Кредитом и суммы неустойки (пени);</w:t>
            </w:r>
          </w:p>
          <w:p w14:paraId="60BB49B1" w14:textId="77777777" w:rsidR="00951A61" w:rsidRPr="008B7EAD" w:rsidRDefault="00951A61" w:rsidP="00A4032F">
            <w:pPr>
              <w:ind w:firstLine="425"/>
              <w:jc w:val="both"/>
              <w:rPr>
                <w:rFonts w:ascii="Tahoma" w:hAnsi="Tahoma" w:cs="Tahoma"/>
                <w:sz w:val="20"/>
                <w:szCs w:val="20"/>
              </w:rPr>
            </w:pPr>
            <w:r w:rsidRPr="008B7EAD">
              <w:rPr>
                <w:rFonts w:ascii="Tahoma" w:hAnsi="Tahoma" w:cs="Tahoma"/>
                <w:sz w:val="20"/>
                <w:szCs w:val="20"/>
              </w:rPr>
              <w:t>- обратить взыскание на Предмет ипотеки при неисполнении Заемщиком требования о полном досрочном исполнении обязательств по Кредитному договору.</w:t>
            </w:r>
          </w:p>
          <w:p w14:paraId="0C0707C3" w14:textId="77777777" w:rsidR="00951A61" w:rsidRPr="008B7EAD" w:rsidRDefault="00951A61" w:rsidP="00A4032F">
            <w:pPr>
              <w:ind w:firstLine="425"/>
              <w:jc w:val="both"/>
              <w:rPr>
                <w:rFonts w:ascii="Tahoma" w:hAnsi="Tahoma" w:cs="Tahoma"/>
                <w:sz w:val="20"/>
                <w:szCs w:val="20"/>
              </w:rPr>
            </w:pPr>
          </w:p>
          <w:p w14:paraId="04C16C01" w14:textId="77777777" w:rsidR="00951A61" w:rsidRPr="008B7EAD" w:rsidRDefault="00951A61" w:rsidP="00A4032F">
            <w:pPr>
              <w:ind w:firstLine="425"/>
              <w:jc w:val="both"/>
              <w:rPr>
                <w:rFonts w:ascii="Tahoma" w:hAnsi="Tahoma" w:cs="Tahoma"/>
                <w:sz w:val="20"/>
                <w:szCs w:val="20"/>
              </w:rPr>
            </w:pPr>
            <w:r w:rsidRPr="008B7EAD">
              <w:rPr>
                <w:rFonts w:ascii="Tahoma" w:hAnsi="Tahoma" w:cs="Tahoma"/>
                <w:sz w:val="20"/>
                <w:szCs w:val="20"/>
              </w:rPr>
              <w:t xml:space="preserve">За неисполнение и (или) ненадлежащее исполнение Заемщиком по Кредитному договору обязательств по возврату Кредита и(или) уплате процентов Заемщик уплачивает Кредитору неустойку в размере ключевой ставки Банка России, установленной на день заключения Кредитного договора, с суммы просроченного платежа за период просрочки с даты, </w:t>
            </w:r>
            <w:r w:rsidRPr="008B7EAD">
              <w:rPr>
                <w:rFonts w:ascii="Tahoma" w:hAnsi="Tahoma" w:cs="Tahoma"/>
                <w:sz w:val="20"/>
                <w:szCs w:val="20"/>
              </w:rPr>
              <w:lastRenderedPageBreak/>
              <w:t>следующей за датой наступления исполнения обязательства, установленной Кредитным договором, по дату погашения Просроченной кредитной задолженности по Кредитному договору (включительно).</w:t>
            </w:r>
          </w:p>
        </w:tc>
      </w:tr>
      <w:tr w:rsidR="00951A61" w:rsidRPr="00234585" w14:paraId="502E46DD"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75B892FA" w14:textId="77777777" w:rsidR="00951A61" w:rsidRPr="008B7EAD" w:rsidRDefault="00951A61" w:rsidP="00A4032F">
            <w:pPr>
              <w:autoSpaceDE w:val="0"/>
              <w:autoSpaceDN w:val="0"/>
              <w:adjustRightInd w:val="0"/>
              <w:jc w:val="center"/>
              <w:rPr>
                <w:rFonts w:ascii="Tahoma" w:hAnsi="Tahoma" w:cs="Tahoma"/>
                <w:b/>
                <w:sz w:val="20"/>
                <w:szCs w:val="20"/>
              </w:rPr>
            </w:pPr>
            <w:r w:rsidRPr="008B7EAD">
              <w:rPr>
                <w:rFonts w:ascii="Tahoma" w:hAnsi="Tahoma" w:cs="Tahoma"/>
                <w:b/>
                <w:sz w:val="20"/>
                <w:szCs w:val="20"/>
              </w:rPr>
              <w:lastRenderedPageBreak/>
              <w:t xml:space="preserve">Виды и суммы иных платежей Заемщика по Кредитному договору </w:t>
            </w:r>
          </w:p>
        </w:tc>
        <w:tc>
          <w:tcPr>
            <w:tcW w:w="11452" w:type="dxa"/>
            <w:tcBorders>
              <w:top w:val="single" w:sz="4" w:space="0" w:color="auto"/>
              <w:left w:val="nil"/>
              <w:bottom w:val="single" w:sz="4" w:space="0" w:color="auto"/>
              <w:right w:val="single" w:sz="4" w:space="0" w:color="auto"/>
            </w:tcBorders>
            <w:shd w:val="clear" w:color="auto" w:fill="auto"/>
            <w:vAlign w:val="center"/>
          </w:tcPr>
          <w:p w14:paraId="44EB8991" w14:textId="77777777" w:rsidR="00951A61" w:rsidRPr="00AA705E" w:rsidRDefault="00951A61" w:rsidP="00A4032F">
            <w:pPr>
              <w:ind w:firstLine="425"/>
              <w:jc w:val="both"/>
              <w:rPr>
                <w:rFonts w:ascii="Tahoma" w:hAnsi="Tahoma" w:cs="Tahoma"/>
                <w:sz w:val="20"/>
                <w:szCs w:val="20"/>
              </w:rPr>
            </w:pPr>
            <w:r w:rsidRPr="00CE1BDB">
              <w:rPr>
                <w:rFonts w:ascii="Tahoma" w:hAnsi="Tahoma" w:cs="Tahoma"/>
                <w:sz w:val="20"/>
                <w:szCs w:val="20"/>
              </w:rPr>
              <w:t xml:space="preserve">При </w:t>
            </w:r>
            <w:r w:rsidRPr="00AA705E">
              <w:rPr>
                <w:rFonts w:ascii="Tahoma" w:hAnsi="Tahoma" w:cs="Tahoma"/>
                <w:sz w:val="20"/>
                <w:szCs w:val="20"/>
              </w:rPr>
              <w:t>наличии письменного согласия Заемщика ему могут быть оказаны Банком следующие услуги, не являющиеся обязательными для заключения или исполнения Кредитного договора:</w:t>
            </w:r>
          </w:p>
          <w:p w14:paraId="1B094630" w14:textId="77777777" w:rsidR="00951A61" w:rsidRPr="008B7EAD" w:rsidRDefault="00951A61" w:rsidP="00A4032F">
            <w:pPr>
              <w:ind w:firstLine="425"/>
              <w:jc w:val="both"/>
              <w:rPr>
                <w:rFonts w:ascii="Tahoma" w:hAnsi="Tahoma" w:cs="Tahoma"/>
                <w:sz w:val="20"/>
                <w:szCs w:val="20"/>
              </w:rPr>
            </w:pPr>
            <w:r w:rsidRPr="00AA705E">
              <w:rPr>
                <w:rFonts w:ascii="Tahoma" w:hAnsi="Tahoma" w:cs="Tahoma"/>
                <w:sz w:val="20"/>
                <w:szCs w:val="20"/>
              </w:rPr>
              <w:t>Открытие аккредитива 1,0% от суммы аккредитива (макс. 5 000 рублей); прием, проверка Банком документов и исполнение аккредитива 1,0% от суммы аккредитива (макс. 5 000 рублей); платеж за выдачу дубликата или восстановление утерянного Кредитного договора 10 000 рублей за один экземпляр Кредитного договора; предлагаемый платеж за осуществление Банком мероприятий при составлении дополнительного соглашения к Кредитному договору по внесению изменений по инициативе Заемщика в условия Кредитного договора 500 рублей (плата взимается за услугу вне зависимости от количества измененных</w:t>
            </w:r>
            <w:r w:rsidRPr="008B7EAD">
              <w:rPr>
                <w:rFonts w:ascii="Tahoma" w:hAnsi="Tahoma" w:cs="Tahoma"/>
                <w:sz w:val="20"/>
                <w:szCs w:val="20"/>
              </w:rPr>
              <w:t xml:space="preserve"> параметров Кредитного договора одновременно); платеж за внесение денежных средств на ТБС через терминалы самообслуживания производится бесплатно.</w:t>
            </w:r>
          </w:p>
          <w:p w14:paraId="4DD64FFE" w14:textId="77777777" w:rsidR="00951A61" w:rsidRPr="008B7EAD" w:rsidRDefault="00951A61" w:rsidP="00A4032F">
            <w:pPr>
              <w:widowControl w:val="0"/>
              <w:tabs>
                <w:tab w:val="left" w:pos="426"/>
                <w:tab w:val="left" w:pos="851"/>
              </w:tabs>
              <w:ind w:firstLine="425"/>
              <w:jc w:val="both"/>
              <w:rPr>
                <w:rFonts w:ascii="Tahoma" w:hAnsi="Tahoma" w:cs="Tahoma"/>
                <w:sz w:val="20"/>
                <w:szCs w:val="20"/>
              </w:rPr>
            </w:pPr>
            <w:r w:rsidRPr="008B7EAD">
              <w:rPr>
                <w:rFonts w:ascii="Tahoma" w:hAnsi="Tahoma" w:cs="Tahoma"/>
                <w:sz w:val="20"/>
                <w:szCs w:val="20"/>
              </w:rPr>
              <w:t xml:space="preserve">Оказание услуги Банком производится в случае выражения Заемщиком </w:t>
            </w:r>
            <w:r>
              <w:rPr>
                <w:rFonts w:ascii="Tahoma" w:hAnsi="Tahoma" w:cs="Tahoma"/>
                <w:sz w:val="20"/>
                <w:szCs w:val="20"/>
              </w:rPr>
              <w:t>согласия</w:t>
            </w:r>
            <w:r w:rsidRPr="008B7EAD">
              <w:rPr>
                <w:rFonts w:ascii="Tahoma" w:hAnsi="Tahoma" w:cs="Tahoma"/>
                <w:sz w:val="20"/>
                <w:szCs w:val="20"/>
              </w:rPr>
              <w:t xml:space="preserve"> на пользование определенной услугой. Оплата услуг должна быть произведена до момента оказания Банком услуг.</w:t>
            </w:r>
          </w:p>
          <w:p w14:paraId="31C791B9" w14:textId="77777777" w:rsidR="00951A61" w:rsidRPr="008B7EAD" w:rsidRDefault="00951A61" w:rsidP="00A4032F">
            <w:pPr>
              <w:autoSpaceDE w:val="0"/>
              <w:autoSpaceDN w:val="0"/>
              <w:adjustRightInd w:val="0"/>
              <w:ind w:firstLine="425"/>
              <w:jc w:val="both"/>
              <w:rPr>
                <w:rFonts w:ascii="Tahoma" w:hAnsi="Tahoma" w:cs="Tahoma"/>
                <w:sz w:val="20"/>
                <w:szCs w:val="20"/>
              </w:rPr>
            </w:pPr>
            <w:r w:rsidRPr="008B7EAD">
              <w:rPr>
                <w:rFonts w:ascii="Tahoma" w:hAnsi="Tahoma" w:cs="Tahoma"/>
                <w:sz w:val="20"/>
                <w:szCs w:val="20"/>
              </w:rPr>
              <w:t xml:space="preserve">Помимо перечисленных платежей, Заемщиком, при наличии соответствующего </w:t>
            </w:r>
            <w:r>
              <w:rPr>
                <w:rFonts w:ascii="Tahoma" w:hAnsi="Tahoma" w:cs="Tahoma"/>
                <w:sz w:val="20"/>
                <w:szCs w:val="20"/>
              </w:rPr>
              <w:t>согласия</w:t>
            </w:r>
            <w:r w:rsidRPr="008B7EAD">
              <w:rPr>
                <w:rFonts w:ascii="Tahoma" w:hAnsi="Tahoma" w:cs="Tahoma"/>
                <w:sz w:val="20"/>
                <w:szCs w:val="20"/>
              </w:rPr>
              <w:t>, должны быть оплачены платежи в пользу третьих лиц: заключение договора с оценщиком на оказание услуг по подготовке отчета об оценке 1 800,00 рублей</w:t>
            </w:r>
            <w:r w:rsidRPr="008B7EAD">
              <w:rPr>
                <w:rStyle w:val="aff3"/>
                <w:rFonts w:ascii="Tahoma" w:hAnsi="Tahoma" w:cs="Tahoma"/>
                <w:sz w:val="20"/>
                <w:szCs w:val="20"/>
              </w:rPr>
              <w:footnoteReference w:id="110"/>
            </w:r>
            <w:r w:rsidRPr="008B7EAD">
              <w:rPr>
                <w:rFonts w:ascii="Tahoma" w:hAnsi="Tahoma" w:cs="Tahoma"/>
                <w:sz w:val="20"/>
                <w:szCs w:val="20"/>
              </w:rPr>
              <w:t>; платеж в пользу страховой компании с целью заключения договора/полиса имущественного страхования  в размере 0,15%</w:t>
            </w:r>
            <w:r w:rsidRPr="008B7EAD">
              <w:rPr>
                <w:rStyle w:val="aff3"/>
                <w:rFonts w:ascii="Tahoma" w:hAnsi="Tahoma" w:cs="Tahoma"/>
                <w:sz w:val="20"/>
                <w:szCs w:val="20"/>
              </w:rPr>
              <w:footnoteReference w:id="111"/>
            </w:r>
            <w:r w:rsidRPr="008B7EAD">
              <w:rPr>
                <w:rFonts w:ascii="Tahoma" w:hAnsi="Tahoma" w:cs="Tahoma"/>
                <w:sz w:val="20"/>
                <w:szCs w:val="20"/>
              </w:rPr>
              <w:t xml:space="preserve"> от денежного обязательства Заемщика, увеличенного на 10 %.</w:t>
            </w:r>
          </w:p>
        </w:tc>
      </w:tr>
      <w:tr w:rsidR="00951A61" w:rsidRPr="00234585" w14:paraId="5C2DBEBE"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1A617244" w14:textId="77777777" w:rsidR="00951A61" w:rsidRPr="00CE1BDB" w:rsidRDefault="00951A61" w:rsidP="00A4032F">
            <w:pPr>
              <w:autoSpaceDE w:val="0"/>
              <w:autoSpaceDN w:val="0"/>
              <w:adjustRightInd w:val="0"/>
              <w:jc w:val="center"/>
              <w:rPr>
                <w:rFonts w:ascii="Tahoma" w:hAnsi="Tahoma" w:cs="Tahoma"/>
                <w:b/>
                <w:sz w:val="20"/>
                <w:szCs w:val="20"/>
              </w:rPr>
            </w:pPr>
            <w:r w:rsidRPr="008B7EAD">
              <w:rPr>
                <w:rFonts w:ascii="Tahoma" w:hAnsi="Tahoma" w:cs="Tahoma"/>
                <w:b/>
                <w:sz w:val="20"/>
                <w:szCs w:val="20"/>
              </w:rPr>
              <w:t xml:space="preserve">Требования к Предмету Ипотеки, которые установлены Кредитором, и выполнение которых является обязательным для предоставления </w:t>
            </w:r>
            <w:r w:rsidRPr="00CE1BDB">
              <w:rPr>
                <w:rFonts w:ascii="Tahoma" w:hAnsi="Tahoma" w:cs="Tahoma"/>
                <w:b/>
                <w:sz w:val="20"/>
                <w:szCs w:val="20"/>
              </w:rPr>
              <w:t>потребительского кредита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27695659" w14:textId="77777777" w:rsidR="00951A61" w:rsidRPr="00A86CBE" w:rsidRDefault="00951A61" w:rsidP="00A4032F">
            <w:pPr>
              <w:ind w:firstLine="425"/>
              <w:jc w:val="both"/>
              <w:rPr>
                <w:rFonts w:ascii="Tahoma" w:hAnsi="Tahoma" w:cs="Tahoma"/>
                <w:b/>
                <w:sz w:val="20"/>
                <w:szCs w:val="20"/>
                <w:u w:val="single"/>
              </w:rPr>
            </w:pPr>
            <w:r w:rsidRPr="00A86CBE">
              <w:rPr>
                <w:rFonts w:ascii="Tahoma" w:hAnsi="Tahoma" w:cs="Tahoma"/>
                <w:b/>
                <w:sz w:val="20"/>
                <w:szCs w:val="20"/>
                <w:u w:val="single"/>
              </w:rPr>
              <w:t>Общие требования к Предмету ипотеки:</w:t>
            </w:r>
          </w:p>
          <w:p w14:paraId="0F225E4A" w14:textId="77777777" w:rsidR="00951A61" w:rsidRPr="006D6406" w:rsidRDefault="00951A61" w:rsidP="00A4032F">
            <w:pPr>
              <w:ind w:firstLine="425"/>
              <w:jc w:val="both"/>
              <w:rPr>
                <w:rFonts w:ascii="Tahoma" w:hAnsi="Tahoma" w:cs="Tahoma"/>
                <w:sz w:val="20"/>
                <w:szCs w:val="20"/>
              </w:rPr>
            </w:pPr>
            <w:r w:rsidRPr="00A86CBE">
              <w:rPr>
                <w:rFonts w:ascii="Tahoma" w:hAnsi="Tahoma" w:cs="Tahoma"/>
                <w:sz w:val="20"/>
                <w:szCs w:val="20"/>
              </w:rPr>
              <w:t xml:space="preserve">1. </w:t>
            </w:r>
            <w:r w:rsidRPr="006D6406">
              <w:rPr>
                <w:rFonts w:ascii="Tahoma" w:hAnsi="Tahoma" w:cs="Tahoma"/>
                <w:sz w:val="20"/>
                <w:szCs w:val="20"/>
              </w:rPr>
              <w:t>Недвижимое имущество, являющееся Предметом ипотеки, может быть расположено:</w:t>
            </w:r>
          </w:p>
          <w:p w14:paraId="3487FB13" w14:textId="77777777" w:rsidR="00951A61" w:rsidRPr="006D6406" w:rsidRDefault="00951A61" w:rsidP="00951A61">
            <w:pPr>
              <w:pStyle w:val="affe"/>
              <w:numPr>
                <w:ilvl w:val="0"/>
                <w:numId w:val="172"/>
              </w:numPr>
              <w:ind w:left="0" w:firstLine="425"/>
              <w:contextualSpacing/>
              <w:jc w:val="both"/>
              <w:rPr>
                <w:rFonts w:ascii="Tahoma" w:hAnsi="Tahoma" w:cs="Tahoma"/>
                <w:sz w:val="20"/>
                <w:szCs w:val="20"/>
              </w:rPr>
            </w:pPr>
            <w:r w:rsidRPr="006D6406">
              <w:rPr>
                <w:rFonts w:ascii="Tahoma" w:hAnsi="Tahoma" w:cs="Tahoma"/>
                <w:i/>
                <w:sz w:val="20"/>
                <w:szCs w:val="20"/>
              </w:rPr>
              <w:t>Для вида объекта недвижимости «квартира</w:t>
            </w:r>
            <w:r w:rsidRPr="006D6406">
              <w:rPr>
                <w:rFonts w:ascii="Tahoma" w:hAnsi="Tahoma" w:cs="Tahoma"/>
                <w:sz w:val="20"/>
                <w:szCs w:val="20"/>
              </w:rPr>
              <w:t>»: на расстоянии не более 200 км. от населенного пункта, включенного в список населенных пунктов в Приложении № 1 (в пределах территорий субъектов Российской Федерации, входящих в состав Дальневосточного федерального округа, а также на сухопутных территориях Арктической зоны Российской Федерации). В остальных случаях приобретаемый объект недвижимости «квартира» должен располагаться на расстоянии не более 50 км. от населенного пункта, где располагается Подразделение Банка (расположенных на территориях субъектов Российской Федерации, входящих в состав Дальневосточного федерального округа, а также на сухопутных территориях Арктической зоны Российской Федерации);</w:t>
            </w:r>
          </w:p>
          <w:p w14:paraId="5FB7D899" w14:textId="77777777" w:rsidR="00951A61" w:rsidRPr="00A86CBE" w:rsidRDefault="00951A61" w:rsidP="00951A61">
            <w:pPr>
              <w:pStyle w:val="affe"/>
              <w:numPr>
                <w:ilvl w:val="0"/>
                <w:numId w:val="172"/>
              </w:numPr>
              <w:ind w:left="0" w:firstLine="425"/>
              <w:contextualSpacing/>
              <w:jc w:val="both"/>
              <w:rPr>
                <w:rFonts w:ascii="Tahoma" w:hAnsi="Tahoma" w:cs="Tahoma"/>
                <w:sz w:val="20"/>
                <w:szCs w:val="20"/>
              </w:rPr>
            </w:pPr>
            <w:r w:rsidRPr="006D6406">
              <w:rPr>
                <w:rFonts w:ascii="Tahoma" w:hAnsi="Tahoma" w:cs="Tahoma"/>
                <w:i/>
                <w:sz w:val="20"/>
                <w:szCs w:val="20"/>
              </w:rPr>
              <w:t>Для остальных объектов недвижимости, отличных от вида недвижимости «квартира»</w:t>
            </w:r>
            <w:r w:rsidRPr="006D6406">
              <w:rPr>
                <w:rFonts w:ascii="Tahoma" w:hAnsi="Tahoma" w:cs="Tahoma"/>
                <w:sz w:val="20"/>
                <w:szCs w:val="20"/>
              </w:rPr>
              <w:t>: на расстоянии не более 200 км. от населенного пункта, включенного в список населенных пунктов в Приложении № 1 (в пределах территорий субъектов Российской Федерации, входящих в состав Дальневосточного федерального округа, а также на сухопутных территориях Арктической зоны Российской Федерации)</w:t>
            </w:r>
            <w:r w:rsidRPr="006D6406">
              <w:rPr>
                <w:rStyle w:val="aff3"/>
                <w:rFonts w:ascii="Tahoma" w:hAnsi="Tahoma"/>
                <w:sz w:val="20"/>
                <w:szCs w:val="20"/>
              </w:rPr>
              <w:footnoteReference w:id="112"/>
            </w:r>
            <w:r w:rsidRPr="006D6406">
              <w:rPr>
                <w:rFonts w:ascii="Tahoma" w:hAnsi="Tahoma" w:cs="Tahoma"/>
                <w:sz w:val="20"/>
                <w:szCs w:val="20"/>
              </w:rPr>
              <w:t>. В остальных случаях приобретаемый объект недвижимости, отличный от вида недвижимости «квартира», должен располагаться, на расстоянии не более 50 км. от населенного пункта, где располагается Подразделение Банка</w:t>
            </w:r>
            <w:r w:rsidRPr="006D6406" w:rsidDel="005543D6">
              <w:rPr>
                <w:rFonts w:ascii="Tahoma" w:hAnsi="Tahoma" w:cs="Tahoma"/>
                <w:sz w:val="20"/>
                <w:szCs w:val="20"/>
              </w:rPr>
              <w:t xml:space="preserve"> </w:t>
            </w:r>
            <w:r w:rsidRPr="006D6406">
              <w:rPr>
                <w:rFonts w:ascii="Tahoma" w:hAnsi="Tahoma" w:cs="Tahoma"/>
                <w:sz w:val="20"/>
                <w:szCs w:val="20"/>
              </w:rPr>
              <w:t>(расположенных на территориях субъектов Российской Федерации, входящих в состав Дальневосточного федерального округа, а также на сухопутных территориях Арктической зоны Российской Федерации).</w:t>
            </w:r>
            <w:r w:rsidRPr="00A86CBE">
              <w:rPr>
                <w:rFonts w:ascii="Tahoma" w:hAnsi="Tahoma" w:cs="Tahoma"/>
                <w:sz w:val="20"/>
                <w:szCs w:val="20"/>
              </w:rPr>
              <w:t xml:space="preserve"> </w:t>
            </w:r>
          </w:p>
          <w:p w14:paraId="2AFD577A" w14:textId="77777777" w:rsidR="00951A61" w:rsidRPr="00A86CBE" w:rsidRDefault="00951A61" w:rsidP="00A4032F">
            <w:pPr>
              <w:ind w:firstLine="425"/>
              <w:jc w:val="both"/>
              <w:rPr>
                <w:rFonts w:ascii="Tahoma" w:hAnsi="Tahoma" w:cs="Tahoma"/>
                <w:sz w:val="20"/>
                <w:szCs w:val="20"/>
              </w:rPr>
            </w:pPr>
            <w:r w:rsidRPr="00A86CBE">
              <w:rPr>
                <w:rFonts w:ascii="Tahoma" w:hAnsi="Tahoma" w:cs="Tahoma"/>
                <w:sz w:val="20"/>
                <w:szCs w:val="20"/>
              </w:rPr>
              <w:t>2. Предмет ипотеки не должен располагаться в закрытом административно-территориальном образовании (ЗАТО).</w:t>
            </w:r>
          </w:p>
          <w:p w14:paraId="54119A64" w14:textId="77777777" w:rsidR="00951A61" w:rsidRPr="00A86CBE" w:rsidRDefault="00951A61" w:rsidP="00A4032F">
            <w:pPr>
              <w:ind w:firstLine="425"/>
              <w:jc w:val="both"/>
              <w:rPr>
                <w:rFonts w:ascii="Tahoma" w:hAnsi="Tahoma" w:cs="Tahoma"/>
                <w:sz w:val="20"/>
                <w:szCs w:val="20"/>
              </w:rPr>
            </w:pPr>
            <w:r w:rsidRPr="00A86CBE">
              <w:rPr>
                <w:rFonts w:ascii="Tahoma" w:hAnsi="Tahoma" w:cs="Tahoma"/>
                <w:sz w:val="20"/>
                <w:szCs w:val="20"/>
              </w:rPr>
              <w:lastRenderedPageBreak/>
              <w:t>3. Недвижимое имущество, являющееся предметом ипотеки, должно быть подключено к централизованным или автономным системам жизнеобеспечения:</w:t>
            </w:r>
          </w:p>
          <w:p w14:paraId="425CDB93" w14:textId="77777777" w:rsidR="00951A61" w:rsidRPr="00A86CBE" w:rsidRDefault="00951A61" w:rsidP="00951A61">
            <w:pPr>
              <w:pStyle w:val="affe"/>
              <w:numPr>
                <w:ilvl w:val="0"/>
                <w:numId w:val="30"/>
              </w:numPr>
              <w:ind w:left="0" w:firstLine="425"/>
              <w:contextualSpacing/>
              <w:jc w:val="both"/>
              <w:rPr>
                <w:rFonts w:ascii="Tahoma" w:hAnsi="Tahoma" w:cs="Tahoma"/>
                <w:sz w:val="20"/>
                <w:szCs w:val="20"/>
              </w:rPr>
            </w:pPr>
            <w:r w:rsidRPr="00A86CBE">
              <w:rPr>
                <w:rFonts w:ascii="Tahoma" w:hAnsi="Tahoma" w:cs="Tahoma"/>
                <w:sz w:val="20"/>
                <w:szCs w:val="20"/>
              </w:rPr>
              <w:t xml:space="preserve">электрическим, паровым или газовым системам отопления, обеспечивающим подачу тепла на всю его жилую площадь; </w:t>
            </w:r>
          </w:p>
          <w:p w14:paraId="7F6069CB" w14:textId="77777777" w:rsidR="00951A61" w:rsidRPr="00A86CBE" w:rsidRDefault="00951A61" w:rsidP="00951A61">
            <w:pPr>
              <w:pStyle w:val="affe"/>
              <w:numPr>
                <w:ilvl w:val="0"/>
                <w:numId w:val="30"/>
              </w:numPr>
              <w:ind w:left="0" w:firstLine="425"/>
              <w:contextualSpacing/>
              <w:jc w:val="both"/>
              <w:rPr>
                <w:rFonts w:ascii="Tahoma" w:hAnsi="Tahoma" w:cs="Tahoma"/>
                <w:sz w:val="20"/>
                <w:szCs w:val="20"/>
              </w:rPr>
            </w:pPr>
            <w:r w:rsidRPr="00A86CBE">
              <w:rPr>
                <w:rFonts w:ascii="Tahoma" w:hAnsi="Tahoma" w:cs="Tahoma"/>
                <w:sz w:val="20"/>
                <w:szCs w:val="20"/>
              </w:rPr>
              <w:t>сетям электроснабжения;</w:t>
            </w:r>
          </w:p>
          <w:p w14:paraId="30C79752" w14:textId="77777777" w:rsidR="00951A61" w:rsidRPr="00A86CBE" w:rsidRDefault="00951A61" w:rsidP="00951A61">
            <w:pPr>
              <w:pStyle w:val="affe"/>
              <w:numPr>
                <w:ilvl w:val="0"/>
                <w:numId w:val="30"/>
              </w:numPr>
              <w:ind w:left="0" w:firstLine="425"/>
              <w:contextualSpacing/>
              <w:jc w:val="both"/>
              <w:rPr>
                <w:rFonts w:ascii="Tahoma" w:hAnsi="Tahoma" w:cs="Tahoma"/>
                <w:sz w:val="20"/>
                <w:szCs w:val="20"/>
              </w:rPr>
            </w:pPr>
            <w:r w:rsidRPr="00A86CBE">
              <w:rPr>
                <w:rFonts w:ascii="Tahoma" w:hAnsi="Tahoma" w:cs="Tahoma"/>
                <w:sz w:val="20"/>
                <w:szCs w:val="20"/>
              </w:rPr>
              <w:t>системе канализации;</w:t>
            </w:r>
          </w:p>
          <w:p w14:paraId="7404E0F4" w14:textId="77777777" w:rsidR="00951A61" w:rsidRPr="00A86CBE" w:rsidRDefault="00951A61" w:rsidP="00951A61">
            <w:pPr>
              <w:pStyle w:val="affe"/>
              <w:numPr>
                <w:ilvl w:val="0"/>
                <w:numId w:val="30"/>
              </w:numPr>
              <w:ind w:left="0" w:firstLine="425"/>
              <w:contextualSpacing/>
              <w:jc w:val="both"/>
              <w:rPr>
                <w:rFonts w:ascii="Tahoma" w:hAnsi="Tahoma" w:cs="Tahoma"/>
                <w:sz w:val="20"/>
                <w:szCs w:val="20"/>
              </w:rPr>
            </w:pPr>
            <w:r w:rsidRPr="00A86CBE">
              <w:rPr>
                <w:rFonts w:ascii="Tahoma" w:hAnsi="Tahoma" w:cs="Tahoma"/>
                <w:sz w:val="20"/>
                <w:szCs w:val="20"/>
              </w:rPr>
              <w:t>горячему и холодному водоснабжению;</w:t>
            </w:r>
          </w:p>
          <w:p w14:paraId="7A36EB5F" w14:textId="77777777" w:rsidR="00951A61" w:rsidRPr="00A86CBE" w:rsidRDefault="00951A61" w:rsidP="00951A61">
            <w:pPr>
              <w:pStyle w:val="affe"/>
              <w:numPr>
                <w:ilvl w:val="0"/>
                <w:numId w:val="30"/>
              </w:numPr>
              <w:ind w:left="0" w:firstLine="425"/>
              <w:contextualSpacing/>
              <w:jc w:val="both"/>
              <w:rPr>
                <w:rFonts w:ascii="Tahoma" w:hAnsi="Tahoma" w:cs="Tahoma"/>
                <w:sz w:val="20"/>
                <w:szCs w:val="20"/>
                <w:u w:val="single"/>
              </w:rPr>
            </w:pPr>
            <w:r w:rsidRPr="00A86CBE">
              <w:rPr>
                <w:rFonts w:ascii="Tahoma" w:hAnsi="Tahoma" w:cs="Tahoma"/>
                <w:sz w:val="20"/>
                <w:szCs w:val="20"/>
              </w:rPr>
              <w:t xml:space="preserve">недвижимое имущество должно иметь </w:t>
            </w:r>
            <w:r w:rsidRPr="00A86CBE">
              <w:rPr>
                <w:rFonts w:ascii="Tahoma" w:hAnsi="Tahoma" w:cs="Tahoma"/>
                <w:bCs/>
                <w:iCs/>
                <w:sz w:val="20"/>
                <w:szCs w:val="20"/>
              </w:rPr>
              <w:t>железобетонный, каменный или кирпичный фундамент</w:t>
            </w:r>
            <w:r w:rsidRPr="00A86CBE">
              <w:rPr>
                <w:rFonts w:ascii="Tahoma" w:hAnsi="Tahoma" w:cs="Tahoma"/>
                <w:sz w:val="20"/>
                <w:szCs w:val="20"/>
              </w:rPr>
              <w:t>;</w:t>
            </w:r>
          </w:p>
          <w:p w14:paraId="27F089BC" w14:textId="77777777" w:rsidR="00951A61" w:rsidRPr="00A86CBE" w:rsidRDefault="00951A61" w:rsidP="00951A61">
            <w:pPr>
              <w:pStyle w:val="affe"/>
              <w:numPr>
                <w:ilvl w:val="0"/>
                <w:numId w:val="30"/>
              </w:numPr>
              <w:ind w:left="0" w:firstLine="425"/>
              <w:contextualSpacing/>
              <w:jc w:val="both"/>
              <w:rPr>
                <w:rFonts w:ascii="Tahoma" w:hAnsi="Tahoma" w:cs="Tahoma"/>
                <w:sz w:val="20"/>
                <w:szCs w:val="20"/>
              </w:rPr>
            </w:pPr>
            <w:r w:rsidRPr="00A86CBE">
              <w:rPr>
                <w:rFonts w:ascii="Tahoma" w:hAnsi="Tahoma" w:cs="Tahoma"/>
                <w:sz w:val="20"/>
                <w:szCs w:val="20"/>
              </w:rPr>
              <w:t>пригодно для постоянного проживания граждан, отвечать санитарно-техническим нормам по обеспечению здоровья и безопасности жильцов;</w:t>
            </w:r>
          </w:p>
          <w:p w14:paraId="51E0AC44" w14:textId="77777777" w:rsidR="00951A61" w:rsidRPr="00A86CBE" w:rsidRDefault="00951A61" w:rsidP="00951A61">
            <w:pPr>
              <w:pStyle w:val="affe"/>
              <w:numPr>
                <w:ilvl w:val="0"/>
                <w:numId w:val="30"/>
              </w:numPr>
              <w:ind w:left="0" w:firstLine="425"/>
              <w:contextualSpacing/>
              <w:jc w:val="both"/>
              <w:rPr>
                <w:rFonts w:ascii="Tahoma" w:hAnsi="Tahoma" w:cs="Tahoma"/>
                <w:sz w:val="20"/>
                <w:szCs w:val="20"/>
              </w:rPr>
            </w:pPr>
            <w:r w:rsidRPr="00A86CBE">
              <w:rPr>
                <w:rFonts w:ascii="Tahoma" w:hAnsi="Tahoma" w:cs="Tahoma"/>
                <w:sz w:val="20"/>
                <w:szCs w:val="20"/>
              </w:rPr>
              <w:t>расположена в многоквартирном доме;</w:t>
            </w:r>
          </w:p>
          <w:p w14:paraId="333D84AC" w14:textId="77777777" w:rsidR="00951A61" w:rsidRPr="00A86CBE" w:rsidRDefault="00951A61" w:rsidP="00951A61">
            <w:pPr>
              <w:pStyle w:val="affe"/>
              <w:numPr>
                <w:ilvl w:val="0"/>
                <w:numId w:val="30"/>
              </w:numPr>
              <w:ind w:left="0" w:firstLine="425"/>
              <w:contextualSpacing/>
              <w:jc w:val="both"/>
              <w:rPr>
                <w:rFonts w:ascii="Tahoma" w:hAnsi="Tahoma" w:cs="Tahoma"/>
                <w:sz w:val="20"/>
                <w:szCs w:val="20"/>
              </w:rPr>
            </w:pPr>
            <w:r w:rsidRPr="00A86CBE">
              <w:rPr>
                <w:rFonts w:ascii="Tahoma" w:hAnsi="Tahoma" w:cs="Tahoma"/>
                <w:sz w:val="20"/>
                <w:szCs w:val="20"/>
              </w:rPr>
              <w:t>не может быть расположена на цокольном или подвальном этаже здания;</w:t>
            </w:r>
          </w:p>
          <w:p w14:paraId="5A177766" w14:textId="77777777" w:rsidR="00951A61" w:rsidRPr="00A86CBE" w:rsidRDefault="00951A61" w:rsidP="00951A61">
            <w:pPr>
              <w:pStyle w:val="affe"/>
              <w:numPr>
                <w:ilvl w:val="0"/>
                <w:numId w:val="30"/>
              </w:numPr>
              <w:ind w:left="0" w:firstLine="425"/>
              <w:contextualSpacing/>
              <w:jc w:val="both"/>
              <w:rPr>
                <w:rFonts w:ascii="Tahoma" w:hAnsi="Tahoma" w:cs="Tahoma"/>
                <w:b/>
                <w:sz w:val="20"/>
                <w:szCs w:val="20"/>
                <w:u w:val="single"/>
              </w:rPr>
            </w:pPr>
            <w:r w:rsidRPr="00A86CBE">
              <w:rPr>
                <w:rFonts w:ascii="Tahoma" w:hAnsi="Tahoma" w:cs="Tahoma"/>
                <w:sz w:val="20"/>
                <w:szCs w:val="20"/>
              </w:rPr>
              <w:t xml:space="preserve">недвижимое имущество должно быть предназначено для постоянного проживания, должно удовлетворять санитарно-техническим нормам по обеспечению здоровья и безопасности жильцов. </w:t>
            </w:r>
            <w:r w:rsidRPr="00A86CBE">
              <w:rPr>
                <w:rFonts w:ascii="Tahoma" w:hAnsi="Tahoma" w:cs="Tahoma"/>
                <w:b/>
                <w:sz w:val="20"/>
                <w:szCs w:val="20"/>
                <w:u w:val="single"/>
              </w:rPr>
              <w:t>НЕ МОЖЕТ</w:t>
            </w:r>
            <w:r w:rsidRPr="00A86CBE">
              <w:rPr>
                <w:rFonts w:ascii="Tahoma" w:hAnsi="Tahoma" w:cs="Tahoma"/>
                <w:b/>
                <w:sz w:val="20"/>
                <w:szCs w:val="20"/>
              </w:rPr>
              <w:t xml:space="preserve"> </w:t>
            </w:r>
            <w:r w:rsidRPr="00A86CBE">
              <w:rPr>
                <w:rFonts w:ascii="Tahoma" w:hAnsi="Tahoma" w:cs="Tahoma"/>
                <w:sz w:val="20"/>
                <w:szCs w:val="20"/>
              </w:rPr>
              <w:t>быть принято в залог недвижимое имущество, в котором отсутствует кухня/кухонная зона и санузел, а также отсутствует физическая возможность обустройства данных помещений.</w:t>
            </w:r>
          </w:p>
          <w:p w14:paraId="514C77BE" w14:textId="77777777" w:rsidR="00951A61" w:rsidRPr="00A86CBE" w:rsidRDefault="00951A61" w:rsidP="00A4032F">
            <w:pPr>
              <w:ind w:firstLine="425"/>
              <w:jc w:val="both"/>
              <w:rPr>
                <w:rFonts w:ascii="Tahoma" w:hAnsi="Tahoma" w:cs="Tahoma"/>
                <w:sz w:val="20"/>
                <w:szCs w:val="20"/>
              </w:rPr>
            </w:pPr>
            <w:r w:rsidRPr="00A86CBE">
              <w:rPr>
                <w:rFonts w:ascii="Tahoma" w:hAnsi="Tahoma" w:cs="Tahoma"/>
                <w:sz w:val="20"/>
                <w:szCs w:val="20"/>
              </w:rPr>
              <w:t>4. Недвижимое имущество должно иметь исправное состояние входной двери и окон, а также исправное состояние крыши (для объектов, расположенных на последних этажах). Информация о технических характеристиках недвижимого имущества указывается в отчете об оценке. В случае если не установлены и не подключены сантехнические приборы, газовая или электрическая плита, отопительные приборы, то необходимо определить возможность их установки и подключения по фотографиям объекта недвижимости, имеющимся в отчете об оценке.</w:t>
            </w:r>
          </w:p>
          <w:p w14:paraId="7D9A9F3E" w14:textId="77777777" w:rsidR="00951A61" w:rsidRPr="00A86CBE" w:rsidRDefault="00951A61" w:rsidP="00A4032F">
            <w:pPr>
              <w:ind w:firstLine="425"/>
              <w:jc w:val="both"/>
              <w:rPr>
                <w:rFonts w:ascii="Tahoma" w:hAnsi="Tahoma" w:cs="Tahoma"/>
                <w:sz w:val="20"/>
                <w:szCs w:val="20"/>
              </w:rPr>
            </w:pPr>
            <w:r w:rsidRPr="00A86CBE">
              <w:rPr>
                <w:rFonts w:ascii="Tahoma" w:hAnsi="Tahoma" w:cs="Tahoma"/>
                <w:sz w:val="20"/>
                <w:szCs w:val="20"/>
              </w:rPr>
              <w:t xml:space="preserve">5. Строящийся многоквартирный дом, в котором располагается Объект недвижимости, должен быть аккредитован Банком. </w:t>
            </w:r>
          </w:p>
          <w:p w14:paraId="2FDC0AF4" w14:textId="77777777" w:rsidR="00951A61" w:rsidRPr="00A86CBE" w:rsidRDefault="00951A61" w:rsidP="00A4032F">
            <w:pPr>
              <w:ind w:firstLine="425"/>
              <w:jc w:val="both"/>
              <w:rPr>
                <w:rFonts w:ascii="Tahoma" w:hAnsi="Tahoma" w:cs="Tahoma"/>
                <w:sz w:val="20"/>
                <w:szCs w:val="20"/>
              </w:rPr>
            </w:pPr>
            <w:r w:rsidRPr="00A86CBE">
              <w:rPr>
                <w:rFonts w:ascii="Tahoma" w:hAnsi="Tahoma" w:cs="Tahoma"/>
                <w:sz w:val="20"/>
                <w:szCs w:val="20"/>
              </w:rPr>
              <w:t>6. Многоквартирный дом по проекту должен соответствовать следующим требованиям:</w:t>
            </w:r>
          </w:p>
          <w:p w14:paraId="279D0F2E" w14:textId="77777777" w:rsidR="00951A61" w:rsidRPr="00A86CBE" w:rsidRDefault="00951A61" w:rsidP="00951A61">
            <w:pPr>
              <w:pStyle w:val="affe"/>
              <w:numPr>
                <w:ilvl w:val="0"/>
                <w:numId w:val="30"/>
              </w:numPr>
              <w:ind w:left="0" w:firstLine="425"/>
              <w:contextualSpacing/>
              <w:jc w:val="both"/>
              <w:rPr>
                <w:rFonts w:ascii="Tahoma" w:hAnsi="Tahoma" w:cs="Tahoma"/>
                <w:sz w:val="20"/>
                <w:szCs w:val="20"/>
              </w:rPr>
            </w:pPr>
            <w:r w:rsidRPr="00A86CBE">
              <w:rPr>
                <w:rFonts w:ascii="Tahoma" w:hAnsi="Tahoma" w:cs="Tahoma"/>
                <w:sz w:val="20"/>
                <w:szCs w:val="20"/>
              </w:rPr>
              <w:t>Строительство осуществляется в соответствии с Федеральным законом от 30.12.2004 года № 214-ФЗ «Об участии в долевом строительстве многоквартирных домов и иных объектов недвижимости и о внесении изменений в некоторые законодательные акты Российской Федерации».</w:t>
            </w:r>
          </w:p>
          <w:p w14:paraId="4F5C17B3" w14:textId="77777777" w:rsidR="00951A61" w:rsidRPr="00A86CBE" w:rsidRDefault="00951A61" w:rsidP="00A4032F">
            <w:pPr>
              <w:ind w:firstLine="425"/>
              <w:jc w:val="both"/>
              <w:rPr>
                <w:rFonts w:ascii="Tahoma" w:hAnsi="Tahoma" w:cs="Tahoma"/>
                <w:sz w:val="20"/>
                <w:szCs w:val="20"/>
              </w:rPr>
            </w:pPr>
            <w:r w:rsidRPr="00A86CBE">
              <w:rPr>
                <w:rFonts w:ascii="Tahoma" w:hAnsi="Tahoma" w:cs="Tahoma"/>
                <w:sz w:val="20"/>
                <w:szCs w:val="20"/>
                <w:u w:val="single"/>
              </w:rPr>
              <w:t>Требования к зданию, в котором расположен предмет ипотеки</w:t>
            </w:r>
            <w:r w:rsidRPr="00A86CBE">
              <w:rPr>
                <w:rFonts w:ascii="Tahoma" w:hAnsi="Tahoma" w:cs="Tahoma"/>
                <w:sz w:val="20"/>
                <w:szCs w:val="20"/>
              </w:rPr>
              <w:t>:</w:t>
            </w:r>
          </w:p>
          <w:p w14:paraId="1B060C84" w14:textId="77777777" w:rsidR="00951A61" w:rsidRPr="00A86CBE" w:rsidRDefault="00951A61" w:rsidP="00951A61">
            <w:pPr>
              <w:pStyle w:val="affe"/>
              <w:numPr>
                <w:ilvl w:val="0"/>
                <w:numId w:val="30"/>
              </w:numPr>
              <w:ind w:left="0" w:firstLine="425"/>
              <w:contextualSpacing/>
              <w:jc w:val="both"/>
              <w:rPr>
                <w:rFonts w:ascii="Tahoma" w:hAnsi="Tahoma" w:cs="Tahoma"/>
                <w:sz w:val="20"/>
                <w:szCs w:val="20"/>
              </w:rPr>
            </w:pPr>
            <w:r w:rsidRPr="00A86CBE">
              <w:rPr>
                <w:rFonts w:ascii="Tahoma" w:hAnsi="Tahoma" w:cs="Tahoma"/>
                <w:sz w:val="20"/>
                <w:szCs w:val="20"/>
              </w:rPr>
              <w:t>не находится в ветхом и/или аварийном состоянии;</w:t>
            </w:r>
          </w:p>
          <w:p w14:paraId="521AD94D" w14:textId="77777777" w:rsidR="00951A61" w:rsidRPr="00A86CBE" w:rsidRDefault="00951A61" w:rsidP="00951A61">
            <w:pPr>
              <w:pStyle w:val="affe"/>
              <w:numPr>
                <w:ilvl w:val="0"/>
                <w:numId w:val="30"/>
              </w:numPr>
              <w:ind w:left="0" w:firstLine="425"/>
              <w:contextualSpacing/>
              <w:jc w:val="both"/>
              <w:rPr>
                <w:rFonts w:ascii="Tahoma" w:hAnsi="Tahoma" w:cs="Tahoma"/>
                <w:sz w:val="20"/>
                <w:szCs w:val="20"/>
              </w:rPr>
            </w:pPr>
            <w:r w:rsidRPr="00A86CBE">
              <w:rPr>
                <w:rFonts w:ascii="Tahoma" w:hAnsi="Tahoma" w:cs="Tahoma"/>
                <w:sz w:val="20"/>
                <w:szCs w:val="20"/>
              </w:rPr>
              <w:t>не состоит на учете для проведения капитального ремонта с отселением;</w:t>
            </w:r>
          </w:p>
          <w:p w14:paraId="6B0F4566" w14:textId="77777777" w:rsidR="00951A61" w:rsidRPr="00A86CBE" w:rsidRDefault="00951A61" w:rsidP="00951A61">
            <w:pPr>
              <w:pStyle w:val="affe"/>
              <w:numPr>
                <w:ilvl w:val="0"/>
                <w:numId w:val="30"/>
              </w:numPr>
              <w:ind w:left="0" w:firstLine="425"/>
              <w:contextualSpacing/>
              <w:jc w:val="both"/>
              <w:rPr>
                <w:rFonts w:ascii="Tahoma" w:hAnsi="Tahoma" w:cs="Tahoma"/>
                <w:sz w:val="20"/>
                <w:szCs w:val="20"/>
              </w:rPr>
            </w:pPr>
            <w:r w:rsidRPr="00A86CBE">
              <w:rPr>
                <w:rFonts w:ascii="Tahoma" w:hAnsi="Tahoma" w:cs="Tahoma"/>
                <w:sz w:val="20"/>
                <w:szCs w:val="20"/>
              </w:rPr>
              <w:t>не состоит в планах органов местного самоуправления и (или) государственных органов на снос;</w:t>
            </w:r>
          </w:p>
          <w:p w14:paraId="43E63F82" w14:textId="77777777" w:rsidR="00951A61" w:rsidRPr="00A86CBE" w:rsidRDefault="00951A61" w:rsidP="00951A61">
            <w:pPr>
              <w:pStyle w:val="affe"/>
              <w:numPr>
                <w:ilvl w:val="0"/>
                <w:numId w:val="30"/>
              </w:numPr>
              <w:ind w:left="0" w:firstLine="425"/>
              <w:contextualSpacing/>
              <w:jc w:val="both"/>
              <w:rPr>
                <w:rFonts w:ascii="Tahoma" w:hAnsi="Tahoma" w:cs="Tahoma"/>
                <w:sz w:val="20"/>
                <w:szCs w:val="20"/>
              </w:rPr>
            </w:pPr>
            <w:r w:rsidRPr="00A86CBE">
              <w:rPr>
                <w:rFonts w:ascii="Tahoma" w:hAnsi="Tahoma" w:cs="Tahoma"/>
                <w:sz w:val="20"/>
                <w:szCs w:val="20"/>
              </w:rPr>
              <w:t>имеет железобетонный, каменный или кирпичный фундамент.</w:t>
            </w:r>
          </w:p>
          <w:p w14:paraId="731F35F7" w14:textId="77777777" w:rsidR="00951A61" w:rsidRPr="00A86CBE" w:rsidRDefault="00951A61" w:rsidP="00951A61">
            <w:pPr>
              <w:pStyle w:val="affe"/>
              <w:numPr>
                <w:ilvl w:val="0"/>
                <w:numId w:val="30"/>
              </w:numPr>
              <w:ind w:left="0" w:firstLine="425"/>
              <w:contextualSpacing/>
              <w:jc w:val="both"/>
              <w:rPr>
                <w:rFonts w:ascii="Tahoma" w:hAnsi="Tahoma" w:cs="Tahoma"/>
                <w:sz w:val="20"/>
                <w:szCs w:val="20"/>
              </w:rPr>
            </w:pPr>
            <w:r w:rsidRPr="00A86CBE">
              <w:rPr>
                <w:rFonts w:ascii="Tahoma" w:hAnsi="Tahoma" w:cs="Tahoma"/>
                <w:sz w:val="20"/>
                <w:szCs w:val="20"/>
              </w:rPr>
              <w:t>имеет износ менее 70% (включительно);</w:t>
            </w:r>
          </w:p>
          <w:p w14:paraId="0F663979" w14:textId="77777777" w:rsidR="00951A61" w:rsidRPr="00A86CBE" w:rsidRDefault="00951A61" w:rsidP="00A4032F">
            <w:pPr>
              <w:pStyle w:val="affe"/>
              <w:ind w:left="0" w:firstLine="425"/>
              <w:jc w:val="both"/>
              <w:rPr>
                <w:rFonts w:ascii="Tahoma" w:hAnsi="Tahoma" w:cs="Tahoma"/>
                <w:sz w:val="20"/>
                <w:szCs w:val="20"/>
              </w:rPr>
            </w:pPr>
            <w:r w:rsidRPr="00A86CBE">
              <w:rPr>
                <w:rFonts w:ascii="Tahoma" w:hAnsi="Tahoma" w:cs="Tahoma"/>
                <w:sz w:val="20"/>
                <w:szCs w:val="20"/>
              </w:rPr>
              <w:t>7. Недвижимое имущество, являющееся предметом ипотеки:</w:t>
            </w:r>
          </w:p>
          <w:p w14:paraId="5FB78A6E" w14:textId="77777777" w:rsidR="00951A61" w:rsidRPr="00A86CBE" w:rsidRDefault="00951A61" w:rsidP="00951A61">
            <w:pPr>
              <w:pStyle w:val="affe"/>
              <w:numPr>
                <w:ilvl w:val="0"/>
                <w:numId w:val="35"/>
              </w:numPr>
              <w:ind w:left="0" w:firstLine="425"/>
              <w:contextualSpacing/>
              <w:jc w:val="both"/>
              <w:rPr>
                <w:rFonts w:ascii="Tahoma" w:hAnsi="Tahoma" w:cs="Tahoma"/>
                <w:sz w:val="20"/>
                <w:szCs w:val="20"/>
              </w:rPr>
            </w:pPr>
            <w:r w:rsidRPr="00A86CBE">
              <w:rPr>
                <w:rFonts w:ascii="Tahoma" w:hAnsi="Tahoma" w:cs="Tahoma"/>
                <w:sz w:val="20"/>
                <w:szCs w:val="20"/>
              </w:rPr>
              <w:t>должно быть свободно от любых прав третьих лиц;</w:t>
            </w:r>
          </w:p>
          <w:p w14:paraId="1F469600" w14:textId="77777777" w:rsidR="00951A61" w:rsidRPr="00A86CBE" w:rsidRDefault="00951A61" w:rsidP="00951A61">
            <w:pPr>
              <w:pStyle w:val="affe"/>
              <w:numPr>
                <w:ilvl w:val="0"/>
                <w:numId w:val="35"/>
              </w:numPr>
              <w:ind w:left="0" w:firstLine="425"/>
              <w:contextualSpacing/>
              <w:jc w:val="both"/>
              <w:rPr>
                <w:rFonts w:ascii="Tahoma" w:hAnsi="Tahoma" w:cs="Tahoma"/>
                <w:sz w:val="20"/>
                <w:szCs w:val="20"/>
              </w:rPr>
            </w:pPr>
            <w:r w:rsidRPr="00A86CBE">
              <w:rPr>
                <w:rFonts w:ascii="Tahoma" w:hAnsi="Tahoma" w:cs="Tahoma"/>
                <w:sz w:val="20"/>
                <w:szCs w:val="20"/>
              </w:rPr>
              <w:t>не должны быть заключены/подписаны какие-либо договоры, в том числе предварительные, направленные на отчуждение/обременение недвижимого имущества третьим лицам, третьи лица не предъявляют никаких требований в отношении недвижимого имущества, в том числе иски об аресте или обращении взыскания на недвижимое имущество;</w:t>
            </w:r>
          </w:p>
          <w:p w14:paraId="71F53106" w14:textId="77777777" w:rsidR="00951A61" w:rsidRPr="00A86CBE" w:rsidRDefault="00951A61" w:rsidP="00A4032F">
            <w:pPr>
              <w:ind w:firstLine="425"/>
              <w:jc w:val="both"/>
              <w:rPr>
                <w:rFonts w:ascii="Tahoma" w:hAnsi="Tahoma" w:cs="Tahoma"/>
                <w:sz w:val="20"/>
                <w:szCs w:val="20"/>
              </w:rPr>
            </w:pPr>
            <w:r w:rsidRPr="00A86CBE">
              <w:rPr>
                <w:rFonts w:ascii="Tahoma" w:hAnsi="Tahoma" w:cs="Tahoma"/>
                <w:sz w:val="20"/>
                <w:szCs w:val="20"/>
              </w:rPr>
              <w:t xml:space="preserve">8. В случае если Кредит предоставляется на одну из целей, предусмотренных п. «а», п. «б», п. «в»- раздела «Цель кредита» в отношении расположенного на сухопутных территориях Арктической зоны Российской Федерации готового жилого помещения или жилого помещения с земельным участком или находящихся на этапе строительства жилого </w:t>
            </w:r>
            <w:r w:rsidRPr="00A86CBE">
              <w:rPr>
                <w:rFonts w:ascii="Tahoma" w:hAnsi="Tahoma" w:cs="Tahoma"/>
                <w:sz w:val="20"/>
                <w:szCs w:val="20"/>
              </w:rPr>
              <w:lastRenderedPageBreak/>
              <w:t>помещения или жилого помещения с земельным участком, стоимость одного квадратного метра общей площади такого жилого помещения или жилого помещения с земельным участком на дату заключения Кредитного договора не должна превышать показателя средней рыночной стоимости одного квадратного метра общей площади жилого помещения по соответствующему субъекту Российской Федерации, определяемого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строительства, архитектуры, градостроительства.</w:t>
            </w:r>
          </w:p>
          <w:p w14:paraId="6666A7C4" w14:textId="77777777" w:rsidR="00951A61" w:rsidRPr="00A86CBE" w:rsidRDefault="00951A61" w:rsidP="00A4032F">
            <w:pPr>
              <w:pStyle w:val="affe"/>
              <w:ind w:left="0" w:firstLine="425"/>
              <w:jc w:val="both"/>
              <w:rPr>
                <w:rFonts w:ascii="Tahoma" w:hAnsi="Tahoma" w:cs="Tahoma"/>
                <w:b/>
                <w:sz w:val="20"/>
                <w:szCs w:val="20"/>
                <w:u w:val="single"/>
              </w:rPr>
            </w:pPr>
          </w:p>
          <w:p w14:paraId="0B3EFC53" w14:textId="77777777" w:rsidR="00951A61" w:rsidRPr="00A86CBE" w:rsidRDefault="00951A61" w:rsidP="00A4032F">
            <w:pPr>
              <w:pStyle w:val="affe"/>
              <w:ind w:left="0" w:firstLine="425"/>
              <w:jc w:val="both"/>
              <w:rPr>
                <w:rFonts w:ascii="Tahoma" w:hAnsi="Tahoma" w:cs="Tahoma"/>
                <w:b/>
                <w:sz w:val="20"/>
                <w:szCs w:val="20"/>
                <w:u w:val="single"/>
              </w:rPr>
            </w:pPr>
            <w:r w:rsidRPr="00A86CBE">
              <w:rPr>
                <w:rFonts w:ascii="Tahoma" w:hAnsi="Tahoma" w:cs="Tahoma"/>
                <w:b/>
                <w:sz w:val="20"/>
                <w:szCs w:val="20"/>
                <w:u w:val="single"/>
              </w:rPr>
              <w:t xml:space="preserve">Отдельные требования к Предмету ипотеки: </w:t>
            </w:r>
          </w:p>
          <w:p w14:paraId="0A62A1C5" w14:textId="77777777" w:rsidR="00951A61" w:rsidRPr="00A86CBE" w:rsidRDefault="00951A61" w:rsidP="00A4032F">
            <w:pPr>
              <w:ind w:firstLine="425"/>
              <w:jc w:val="both"/>
              <w:rPr>
                <w:rFonts w:ascii="Tahoma" w:hAnsi="Tahoma" w:cs="Tahoma"/>
                <w:b/>
                <w:sz w:val="20"/>
                <w:szCs w:val="20"/>
                <w:u w:val="single"/>
              </w:rPr>
            </w:pPr>
          </w:p>
          <w:p w14:paraId="04E4BD17" w14:textId="77777777" w:rsidR="00951A61" w:rsidRPr="00A86CBE" w:rsidRDefault="00951A61" w:rsidP="00A4032F">
            <w:pPr>
              <w:ind w:firstLine="425"/>
              <w:jc w:val="both"/>
              <w:rPr>
                <w:rFonts w:ascii="Tahoma" w:hAnsi="Tahoma" w:cs="Tahoma"/>
                <w:sz w:val="20"/>
                <w:szCs w:val="20"/>
              </w:rPr>
            </w:pPr>
            <w:r w:rsidRPr="00A86CBE">
              <w:rPr>
                <w:rFonts w:ascii="Tahoma" w:hAnsi="Tahoma" w:cs="Tahoma"/>
                <w:b/>
                <w:sz w:val="20"/>
                <w:szCs w:val="20"/>
                <w:u w:val="single"/>
              </w:rPr>
              <w:t>Квартира</w:t>
            </w:r>
            <w:r w:rsidRPr="00A86CBE">
              <w:rPr>
                <w:rFonts w:ascii="Tahoma" w:hAnsi="Tahoma" w:cs="Tahoma"/>
                <w:sz w:val="20"/>
                <w:szCs w:val="20"/>
              </w:rPr>
              <w:t xml:space="preserve"> должна быть:</w:t>
            </w:r>
          </w:p>
          <w:p w14:paraId="5636C983" w14:textId="77777777" w:rsidR="00951A61" w:rsidRPr="00A86CBE" w:rsidRDefault="00951A61" w:rsidP="00951A61">
            <w:pPr>
              <w:pStyle w:val="affe"/>
              <w:numPr>
                <w:ilvl w:val="0"/>
                <w:numId w:val="29"/>
              </w:numPr>
              <w:ind w:left="0" w:firstLine="425"/>
              <w:contextualSpacing/>
              <w:jc w:val="both"/>
              <w:rPr>
                <w:rFonts w:ascii="Tahoma" w:hAnsi="Tahoma" w:cs="Tahoma"/>
                <w:sz w:val="20"/>
                <w:szCs w:val="20"/>
              </w:rPr>
            </w:pPr>
            <w:r w:rsidRPr="00A86CBE">
              <w:rPr>
                <w:rFonts w:ascii="Tahoma" w:hAnsi="Tahoma" w:cs="Tahoma"/>
                <w:sz w:val="20"/>
                <w:szCs w:val="20"/>
              </w:rPr>
              <w:t>пригодна для постоянного проживания граждан, отвечать санитарно-техническим нормам по обеспечению здоровья и безопасности жильцов.</w:t>
            </w:r>
          </w:p>
          <w:p w14:paraId="0EDD7C3C" w14:textId="77777777" w:rsidR="00951A61" w:rsidRPr="00A86CBE" w:rsidRDefault="00951A61" w:rsidP="00951A61">
            <w:pPr>
              <w:pStyle w:val="affe"/>
              <w:numPr>
                <w:ilvl w:val="0"/>
                <w:numId w:val="29"/>
              </w:numPr>
              <w:ind w:left="0" w:firstLine="425"/>
              <w:contextualSpacing/>
              <w:jc w:val="both"/>
              <w:rPr>
                <w:rFonts w:ascii="Tahoma" w:hAnsi="Tahoma" w:cs="Tahoma"/>
                <w:sz w:val="20"/>
                <w:szCs w:val="20"/>
              </w:rPr>
            </w:pPr>
            <w:r w:rsidRPr="00A86CBE">
              <w:rPr>
                <w:rFonts w:ascii="Tahoma" w:hAnsi="Tahoma" w:cs="Tahoma"/>
                <w:sz w:val="20"/>
                <w:szCs w:val="20"/>
              </w:rPr>
              <w:t>расположена в многоквартирном доме.</w:t>
            </w:r>
          </w:p>
          <w:p w14:paraId="61F3D4E0" w14:textId="77777777" w:rsidR="00951A61" w:rsidRPr="00A86CBE" w:rsidRDefault="00951A61" w:rsidP="00951A61">
            <w:pPr>
              <w:pStyle w:val="affe"/>
              <w:numPr>
                <w:ilvl w:val="0"/>
                <w:numId w:val="29"/>
              </w:numPr>
              <w:ind w:left="0" w:firstLine="425"/>
              <w:contextualSpacing/>
              <w:jc w:val="both"/>
              <w:rPr>
                <w:rFonts w:ascii="Tahoma" w:hAnsi="Tahoma" w:cs="Tahoma"/>
                <w:sz w:val="20"/>
                <w:szCs w:val="20"/>
              </w:rPr>
            </w:pPr>
            <w:r w:rsidRPr="00A86CBE">
              <w:rPr>
                <w:rFonts w:ascii="Tahoma" w:hAnsi="Tahoma" w:cs="Tahoma"/>
                <w:sz w:val="20"/>
                <w:szCs w:val="20"/>
              </w:rPr>
              <w:t>не может быть расположена на цокольном или подвальном этаже здания.</w:t>
            </w:r>
          </w:p>
          <w:p w14:paraId="623A6F5D" w14:textId="77777777" w:rsidR="00951A61" w:rsidRPr="00A86CBE" w:rsidRDefault="00951A61" w:rsidP="00A4032F">
            <w:pPr>
              <w:ind w:firstLine="425"/>
              <w:jc w:val="both"/>
              <w:rPr>
                <w:rFonts w:ascii="Tahoma" w:hAnsi="Tahoma" w:cs="Tahoma"/>
                <w:b/>
                <w:sz w:val="20"/>
                <w:szCs w:val="20"/>
                <w:u w:val="single"/>
              </w:rPr>
            </w:pPr>
          </w:p>
          <w:p w14:paraId="76CF2264" w14:textId="77777777" w:rsidR="00951A61" w:rsidRPr="00A86CBE" w:rsidRDefault="00951A61" w:rsidP="00A4032F">
            <w:pPr>
              <w:ind w:firstLine="425"/>
              <w:jc w:val="both"/>
              <w:rPr>
                <w:rFonts w:ascii="Tahoma" w:hAnsi="Tahoma" w:cs="Tahoma"/>
                <w:sz w:val="20"/>
                <w:szCs w:val="20"/>
              </w:rPr>
            </w:pPr>
            <w:r w:rsidRPr="00A86CBE">
              <w:rPr>
                <w:rFonts w:ascii="Tahoma" w:hAnsi="Tahoma" w:cs="Tahoma"/>
                <w:b/>
                <w:sz w:val="20"/>
                <w:szCs w:val="20"/>
                <w:u w:val="single"/>
              </w:rPr>
              <w:t>Таунхаус должен быть:</w:t>
            </w:r>
          </w:p>
          <w:p w14:paraId="03674DD8" w14:textId="77777777" w:rsidR="00951A61" w:rsidRPr="00A86CBE" w:rsidRDefault="00951A61" w:rsidP="00951A61">
            <w:pPr>
              <w:pStyle w:val="affe"/>
              <w:numPr>
                <w:ilvl w:val="0"/>
                <w:numId w:val="31"/>
              </w:numPr>
              <w:ind w:left="0" w:firstLine="425"/>
              <w:contextualSpacing/>
              <w:jc w:val="both"/>
              <w:rPr>
                <w:rFonts w:ascii="Tahoma" w:hAnsi="Tahoma" w:cs="Tahoma"/>
                <w:sz w:val="20"/>
                <w:szCs w:val="20"/>
              </w:rPr>
            </w:pPr>
            <w:r w:rsidRPr="00A86CBE">
              <w:rPr>
                <w:rFonts w:ascii="Tahoma" w:hAnsi="Tahoma" w:cs="Tahoma"/>
                <w:sz w:val="20"/>
                <w:szCs w:val="20"/>
              </w:rPr>
              <w:t>предназначен для проживания одной семьи.</w:t>
            </w:r>
          </w:p>
          <w:p w14:paraId="2D220028" w14:textId="77777777" w:rsidR="00951A61" w:rsidRPr="00A86CBE" w:rsidRDefault="00951A61" w:rsidP="00951A61">
            <w:pPr>
              <w:pStyle w:val="affe"/>
              <w:numPr>
                <w:ilvl w:val="0"/>
                <w:numId w:val="31"/>
              </w:numPr>
              <w:ind w:left="0" w:firstLine="425"/>
              <w:contextualSpacing/>
              <w:jc w:val="both"/>
              <w:rPr>
                <w:rFonts w:ascii="Tahoma" w:hAnsi="Tahoma" w:cs="Tahoma"/>
                <w:sz w:val="20"/>
                <w:szCs w:val="20"/>
              </w:rPr>
            </w:pPr>
            <w:r w:rsidRPr="00A86CBE">
              <w:rPr>
                <w:rFonts w:ascii="Tahoma" w:hAnsi="Tahoma" w:cs="Tahoma"/>
                <w:sz w:val="20"/>
                <w:szCs w:val="20"/>
              </w:rPr>
              <w:t>представляет собой отдельную или многоуровневую квартиру в многоквартирном доме блокированной застройки.</w:t>
            </w:r>
          </w:p>
          <w:p w14:paraId="0C6CCA36" w14:textId="77777777" w:rsidR="00951A61" w:rsidRPr="00A86CBE" w:rsidRDefault="00951A61" w:rsidP="00951A61">
            <w:pPr>
              <w:pStyle w:val="affe"/>
              <w:numPr>
                <w:ilvl w:val="0"/>
                <w:numId w:val="31"/>
              </w:numPr>
              <w:ind w:left="0" w:firstLine="425"/>
              <w:contextualSpacing/>
              <w:jc w:val="both"/>
              <w:rPr>
                <w:rFonts w:ascii="Tahoma" w:hAnsi="Tahoma" w:cs="Tahoma"/>
                <w:sz w:val="20"/>
                <w:szCs w:val="20"/>
              </w:rPr>
            </w:pPr>
            <w:r w:rsidRPr="00A86CBE">
              <w:rPr>
                <w:rFonts w:ascii="Tahoma" w:hAnsi="Tahoma" w:cs="Tahoma"/>
                <w:sz w:val="20"/>
                <w:szCs w:val="20"/>
              </w:rPr>
              <w:t xml:space="preserve">подключен к общим коммуникациям (электроснабжение, водоснабжение, канализация) комплекса данных домов. </w:t>
            </w:r>
          </w:p>
          <w:p w14:paraId="44963EA0" w14:textId="77777777" w:rsidR="00951A61" w:rsidRPr="00A86CBE" w:rsidRDefault="00951A61" w:rsidP="00951A61">
            <w:pPr>
              <w:pStyle w:val="affe"/>
              <w:numPr>
                <w:ilvl w:val="0"/>
                <w:numId w:val="31"/>
              </w:numPr>
              <w:ind w:left="0" w:firstLine="425"/>
              <w:contextualSpacing/>
              <w:jc w:val="both"/>
              <w:rPr>
                <w:rFonts w:ascii="Tahoma" w:hAnsi="Tahoma" w:cs="Tahoma"/>
                <w:sz w:val="20"/>
                <w:szCs w:val="20"/>
              </w:rPr>
            </w:pPr>
            <w:r w:rsidRPr="00A86CBE">
              <w:rPr>
                <w:rFonts w:ascii="Tahoma" w:hAnsi="Tahoma" w:cs="Tahoma"/>
                <w:sz w:val="20"/>
                <w:szCs w:val="20"/>
              </w:rPr>
              <w:t>согласно правоустанавливающим документам может быть определен в том числе как «квартира».</w:t>
            </w:r>
          </w:p>
          <w:p w14:paraId="52ED6521" w14:textId="77777777" w:rsidR="00951A61" w:rsidRPr="00A86CBE" w:rsidRDefault="00951A61" w:rsidP="00951A61">
            <w:pPr>
              <w:pStyle w:val="affe"/>
              <w:numPr>
                <w:ilvl w:val="0"/>
                <w:numId w:val="31"/>
              </w:numPr>
              <w:ind w:left="0" w:firstLine="425"/>
              <w:contextualSpacing/>
              <w:jc w:val="both"/>
              <w:rPr>
                <w:rFonts w:ascii="Tahoma" w:hAnsi="Tahoma" w:cs="Tahoma"/>
                <w:sz w:val="20"/>
                <w:szCs w:val="20"/>
              </w:rPr>
            </w:pPr>
            <w:r w:rsidRPr="00A86CBE">
              <w:rPr>
                <w:rFonts w:ascii="Tahoma" w:hAnsi="Tahoma" w:cs="Tahoma"/>
                <w:sz w:val="20"/>
                <w:szCs w:val="20"/>
              </w:rPr>
              <w:t>год постройки/ввода в эксплуатацию – не ранее 1995.</w:t>
            </w:r>
          </w:p>
          <w:p w14:paraId="784D7721" w14:textId="77777777" w:rsidR="00951A61" w:rsidRPr="00A86CBE" w:rsidRDefault="00951A61" w:rsidP="00951A61">
            <w:pPr>
              <w:pStyle w:val="affe"/>
              <w:numPr>
                <w:ilvl w:val="0"/>
                <w:numId w:val="31"/>
              </w:numPr>
              <w:ind w:left="0" w:firstLine="425"/>
              <w:contextualSpacing/>
              <w:jc w:val="both"/>
              <w:rPr>
                <w:rFonts w:ascii="Tahoma" w:hAnsi="Tahoma" w:cs="Tahoma"/>
                <w:sz w:val="20"/>
                <w:szCs w:val="20"/>
              </w:rPr>
            </w:pPr>
            <w:r w:rsidRPr="00A86CBE">
              <w:rPr>
                <w:rFonts w:ascii="Tahoma" w:hAnsi="Tahoma" w:cs="Tahoma"/>
                <w:sz w:val="20"/>
                <w:szCs w:val="20"/>
              </w:rPr>
              <w:t>материал стен – кирпич/бетон (в т.ч. материал на основе бетона: газоблок, пеноблок, твинблок и т.п.).</w:t>
            </w:r>
          </w:p>
          <w:p w14:paraId="4EE02C84" w14:textId="77777777" w:rsidR="00951A61" w:rsidRPr="00A86CBE" w:rsidRDefault="00951A61" w:rsidP="00951A61">
            <w:pPr>
              <w:pStyle w:val="affe"/>
              <w:numPr>
                <w:ilvl w:val="0"/>
                <w:numId w:val="31"/>
              </w:numPr>
              <w:ind w:left="0" w:firstLine="425"/>
              <w:contextualSpacing/>
              <w:jc w:val="both"/>
              <w:rPr>
                <w:rFonts w:ascii="Tahoma" w:hAnsi="Tahoma" w:cs="Tahoma"/>
                <w:sz w:val="20"/>
                <w:szCs w:val="20"/>
              </w:rPr>
            </w:pPr>
            <w:r w:rsidRPr="00A86CBE">
              <w:rPr>
                <w:rFonts w:ascii="Tahoma" w:hAnsi="Tahoma" w:cs="Tahoma"/>
                <w:sz w:val="20"/>
                <w:szCs w:val="20"/>
              </w:rPr>
              <w:t>в общей собственности владельцев квартир должно находиться иное общее имущество многоквартирного дома;</w:t>
            </w:r>
          </w:p>
          <w:p w14:paraId="0918A3CA" w14:textId="77777777" w:rsidR="00951A61" w:rsidRPr="00A86CBE" w:rsidRDefault="00951A61" w:rsidP="00951A61">
            <w:pPr>
              <w:pStyle w:val="affe"/>
              <w:numPr>
                <w:ilvl w:val="0"/>
                <w:numId w:val="31"/>
              </w:numPr>
              <w:ind w:left="0" w:firstLine="425"/>
              <w:contextualSpacing/>
              <w:jc w:val="both"/>
              <w:rPr>
                <w:rFonts w:ascii="Tahoma" w:hAnsi="Tahoma" w:cs="Tahoma"/>
                <w:sz w:val="20"/>
                <w:szCs w:val="20"/>
              </w:rPr>
            </w:pPr>
            <w:r w:rsidRPr="00A86CBE">
              <w:rPr>
                <w:rFonts w:ascii="Tahoma" w:hAnsi="Tahoma" w:cs="Tahoma"/>
                <w:sz w:val="20"/>
                <w:szCs w:val="20"/>
              </w:rPr>
              <w:t>земельный участок, на котором располагается таунхаус, должен находиться в общей собственности всех собственников квартир многоквартирного дома (земельный участок не должен быть разделен/размежеван на отдельные части и оформлен в собственность). Отдельное приобретение такого земельного участка или его части невозможно.</w:t>
            </w:r>
          </w:p>
          <w:p w14:paraId="11503C13" w14:textId="77777777" w:rsidR="00951A61" w:rsidRPr="00A86CBE" w:rsidRDefault="00951A61" w:rsidP="00951A61">
            <w:pPr>
              <w:pStyle w:val="affe"/>
              <w:numPr>
                <w:ilvl w:val="0"/>
                <w:numId w:val="31"/>
              </w:numPr>
              <w:ind w:left="0" w:firstLine="425"/>
              <w:contextualSpacing/>
              <w:jc w:val="both"/>
              <w:rPr>
                <w:rFonts w:ascii="Tahoma" w:hAnsi="Tahoma" w:cs="Tahoma"/>
                <w:sz w:val="20"/>
                <w:szCs w:val="20"/>
              </w:rPr>
            </w:pPr>
            <w:r w:rsidRPr="00A86CBE">
              <w:rPr>
                <w:rFonts w:ascii="Tahoma" w:hAnsi="Tahoma" w:cs="Tahoma"/>
                <w:sz w:val="20"/>
                <w:szCs w:val="20"/>
              </w:rPr>
              <w:t>допустимая категория земельного участка «Земли населенных пунктов».</w:t>
            </w:r>
          </w:p>
          <w:p w14:paraId="4E1D6783" w14:textId="77777777" w:rsidR="00951A61" w:rsidRPr="00A86CBE" w:rsidRDefault="00951A61" w:rsidP="00951A61">
            <w:pPr>
              <w:pStyle w:val="affe"/>
              <w:numPr>
                <w:ilvl w:val="0"/>
                <w:numId w:val="31"/>
              </w:numPr>
              <w:ind w:left="0" w:firstLine="425"/>
              <w:contextualSpacing/>
              <w:jc w:val="both"/>
              <w:rPr>
                <w:rFonts w:ascii="Tahoma" w:hAnsi="Tahoma" w:cs="Tahoma"/>
                <w:sz w:val="20"/>
                <w:szCs w:val="20"/>
              </w:rPr>
            </w:pPr>
            <w:r w:rsidRPr="00A86CBE">
              <w:rPr>
                <w:rFonts w:ascii="Tahoma" w:hAnsi="Tahoma" w:cs="Tahoma"/>
                <w:sz w:val="20"/>
                <w:szCs w:val="20"/>
              </w:rPr>
              <w:t>допустимое разрешенное использование земельного участка:</w:t>
            </w:r>
          </w:p>
          <w:p w14:paraId="5918F8C9" w14:textId="77777777" w:rsidR="00951A61" w:rsidRPr="00A86CBE" w:rsidRDefault="00951A61" w:rsidP="00951A61">
            <w:pPr>
              <w:pStyle w:val="affe"/>
              <w:numPr>
                <w:ilvl w:val="0"/>
                <w:numId w:val="33"/>
              </w:numPr>
              <w:ind w:left="0" w:firstLine="425"/>
              <w:contextualSpacing/>
              <w:jc w:val="both"/>
              <w:rPr>
                <w:rFonts w:ascii="Tahoma" w:hAnsi="Tahoma" w:cs="Tahoma"/>
                <w:sz w:val="20"/>
                <w:szCs w:val="20"/>
              </w:rPr>
            </w:pPr>
            <w:r w:rsidRPr="00A86CBE">
              <w:rPr>
                <w:rFonts w:ascii="Tahoma" w:hAnsi="Tahoma" w:cs="Tahoma"/>
                <w:sz w:val="20"/>
                <w:szCs w:val="20"/>
              </w:rPr>
              <w:t>малоэтажная многоквартирная жилая застройка;</w:t>
            </w:r>
          </w:p>
          <w:p w14:paraId="2E0D1BF3" w14:textId="77777777" w:rsidR="00951A61" w:rsidRPr="00A86CBE" w:rsidRDefault="00951A61" w:rsidP="00951A61">
            <w:pPr>
              <w:pStyle w:val="affe"/>
              <w:numPr>
                <w:ilvl w:val="0"/>
                <w:numId w:val="33"/>
              </w:numPr>
              <w:ind w:left="0" w:firstLine="425"/>
              <w:contextualSpacing/>
              <w:jc w:val="both"/>
              <w:rPr>
                <w:rFonts w:ascii="Tahoma" w:hAnsi="Tahoma" w:cs="Tahoma"/>
                <w:sz w:val="20"/>
                <w:szCs w:val="20"/>
              </w:rPr>
            </w:pPr>
            <w:r w:rsidRPr="00A86CBE">
              <w:rPr>
                <w:rFonts w:ascii="Tahoma" w:hAnsi="Tahoma" w:cs="Tahoma"/>
                <w:sz w:val="20"/>
                <w:szCs w:val="20"/>
              </w:rPr>
              <w:t>малоэтажное жилищное строительство;</w:t>
            </w:r>
          </w:p>
          <w:p w14:paraId="47F60674" w14:textId="77777777" w:rsidR="00951A61" w:rsidRPr="00A86CBE" w:rsidRDefault="00951A61" w:rsidP="00951A61">
            <w:pPr>
              <w:pStyle w:val="affe"/>
              <w:numPr>
                <w:ilvl w:val="0"/>
                <w:numId w:val="33"/>
              </w:numPr>
              <w:ind w:left="0" w:firstLine="425"/>
              <w:contextualSpacing/>
              <w:jc w:val="both"/>
              <w:rPr>
                <w:rFonts w:ascii="Tahoma" w:hAnsi="Tahoma" w:cs="Tahoma"/>
                <w:sz w:val="20"/>
                <w:szCs w:val="20"/>
              </w:rPr>
            </w:pPr>
            <w:r w:rsidRPr="00A86CBE">
              <w:rPr>
                <w:rFonts w:ascii="Tahoma" w:hAnsi="Tahoma" w:cs="Tahoma"/>
                <w:sz w:val="20"/>
                <w:szCs w:val="20"/>
              </w:rPr>
              <w:t>размещение домов малоэтажной жилой застройки;</w:t>
            </w:r>
          </w:p>
          <w:p w14:paraId="44626D6D" w14:textId="77777777" w:rsidR="00951A61" w:rsidRPr="00A86CBE" w:rsidRDefault="00951A61" w:rsidP="00951A61">
            <w:pPr>
              <w:pStyle w:val="affe"/>
              <w:numPr>
                <w:ilvl w:val="0"/>
                <w:numId w:val="33"/>
              </w:numPr>
              <w:ind w:left="0" w:firstLine="425"/>
              <w:contextualSpacing/>
              <w:jc w:val="both"/>
              <w:rPr>
                <w:rFonts w:ascii="Tahoma" w:hAnsi="Tahoma" w:cs="Tahoma"/>
                <w:sz w:val="20"/>
                <w:szCs w:val="20"/>
              </w:rPr>
            </w:pPr>
            <w:r w:rsidRPr="00A86CBE">
              <w:rPr>
                <w:rFonts w:ascii="Tahoma" w:hAnsi="Tahoma" w:cs="Tahoma"/>
                <w:sz w:val="20"/>
                <w:szCs w:val="20"/>
              </w:rPr>
              <w:t>малоэтажная жилая застройка;</w:t>
            </w:r>
          </w:p>
          <w:p w14:paraId="0F0CCDE9" w14:textId="77777777" w:rsidR="00951A61" w:rsidRPr="00A86CBE" w:rsidRDefault="00951A61" w:rsidP="00951A61">
            <w:pPr>
              <w:pStyle w:val="affe"/>
              <w:numPr>
                <w:ilvl w:val="0"/>
                <w:numId w:val="33"/>
              </w:numPr>
              <w:ind w:left="0" w:firstLine="425"/>
              <w:contextualSpacing/>
              <w:jc w:val="both"/>
              <w:rPr>
                <w:rFonts w:ascii="Tahoma" w:hAnsi="Tahoma" w:cs="Tahoma"/>
                <w:sz w:val="20"/>
                <w:szCs w:val="20"/>
              </w:rPr>
            </w:pPr>
            <w:r w:rsidRPr="00A86CBE">
              <w:rPr>
                <w:rFonts w:ascii="Tahoma" w:hAnsi="Tahoma" w:cs="Tahoma"/>
                <w:sz w:val="20"/>
                <w:szCs w:val="20"/>
              </w:rPr>
              <w:t>многоквартирные жилые дома не выше 3 этажей;</w:t>
            </w:r>
          </w:p>
          <w:p w14:paraId="794418EA" w14:textId="77777777" w:rsidR="00951A61" w:rsidRPr="00A86CBE" w:rsidRDefault="00951A61" w:rsidP="00951A61">
            <w:pPr>
              <w:pStyle w:val="affe"/>
              <w:numPr>
                <w:ilvl w:val="0"/>
                <w:numId w:val="33"/>
              </w:numPr>
              <w:ind w:left="0" w:firstLine="425"/>
              <w:contextualSpacing/>
              <w:jc w:val="both"/>
              <w:rPr>
                <w:rFonts w:ascii="Tahoma" w:hAnsi="Tahoma" w:cs="Tahoma"/>
                <w:sz w:val="20"/>
                <w:szCs w:val="20"/>
              </w:rPr>
            </w:pPr>
            <w:r w:rsidRPr="00A86CBE">
              <w:rPr>
                <w:rFonts w:ascii="Tahoma" w:hAnsi="Tahoma" w:cs="Tahoma"/>
                <w:sz w:val="20"/>
                <w:szCs w:val="20"/>
              </w:rPr>
              <w:t>жилая застройка;</w:t>
            </w:r>
          </w:p>
          <w:p w14:paraId="447CCED4" w14:textId="77777777" w:rsidR="00951A61" w:rsidRPr="00A86CBE" w:rsidRDefault="00951A61" w:rsidP="00951A61">
            <w:pPr>
              <w:pStyle w:val="affe"/>
              <w:numPr>
                <w:ilvl w:val="0"/>
                <w:numId w:val="33"/>
              </w:numPr>
              <w:ind w:left="0" w:firstLine="425"/>
              <w:contextualSpacing/>
              <w:jc w:val="both"/>
              <w:rPr>
                <w:rFonts w:ascii="Tahoma" w:hAnsi="Tahoma" w:cs="Tahoma"/>
                <w:sz w:val="20"/>
                <w:szCs w:val="20"/>
              </w:rPr>
            </w:pPr>
            <w:r w:rsidRPr="00A86CBE">
              <w:rPr>
                <w:rFonts w:ascii="Tahoma" w:hAnsi="Tahoma" w:cs="Tahoma"/>
                <w:sz w:val="20"/>
                <w:szCs w:val="20"/>
              </w:rPr>
              <w:t>малоэтажная многоквартирная застройка;</w:t>
            </w:r>
          </w:p>
          <w:p w14:paraId="031784BE" w14:textId="77777777" w:rsidR="00951A61" w:rsidRPr="00A86CBE" w:rsidRDefault="00951A61" w:rsidP="00951A61">
            <w:pPr>
              <w:pStyle w:val="affe"/>
              <w:numPr>
                <w:ilvl w:val="0"/>
                <w:numId w:val="33"/>
              </w:numPr>
              <w:ind w:left="0" w:firstLine="425"/>
              <w:contextualSpacing/>
              <w:jc w:val="both"/>
              <w:rPr>
                <w:rFonts w:ascii="Tahoma" w:hAnsi="Tahoma" w:cs="Tahoma"/>
                <w:sz w:val="20"/>
                <w:szCs w:val="20"/>
              </w:rPr>
            </w:pPr>
            <w:r w:rsidRPr="00A86CBE">
              <w:rPr>
                <w:rFonts w:ascii="Tahoma" w:hAnsi="Tahoma" w:cs="Tahoma"/>
                <w:sz w:val="20"/>
                <w:szCs w:val="20"/>
              </w:rPr>
              <w:t>жилищное строительство;</w:t>
            </w:r>
          </w:p>
          <w:p w14:paraId="384C2BD0" w14:textId="77777777" w:rsidR="00951A61" w:rsidRPr="00A86CBE" w:rsidRDefault="00951A61" w:rsidP="00951A61">
            <w:pPr>
              <w:pStyle w:val="affe"/>
              <w:numPr>
                <w:ilvl w:val="0"/>
                <w:numId w:val="33"/>
              </w:numPr>
              <w:ind w:left="0" w:firstLine="425"/>
              <w:contextualSpacing/>
              <w:jc w:val="both"/>
              <w:rPr>
                <w:rFonts w:ascii="Tahoma" w:hAnsi="Tahoma" w:cs="Tahoma"/>
                <w:sz w:val="20"/>
                <w:szCs w:val="20"/>
              </w:rPr>
            </w:pPr>
            <w:r w:rsidRPr="00A86CBE">
              <w:rPr>
                <w:rFonts w:ascii="Tahoma" w:hAnsi="Tahoma" w:cs="Tahoma"/>
                <w:sz w:val="20"/>
                <w:szCs w:val="20"/>
              </w:rPr>
              <w:t>малоэтажное строительство;</w:t>
            </w:r>
          </w:p>
          <w:p w14:paraId="5D39ACA5" w14:textId="77777777" w:rsidR="00951A61" w:rsidRPr="00A86CBE" w:rsidRDefault="00951A61" w:rsidP="00951A61">
            <w:pPr>
              <w:pStyle w:val="affe"/>
              <w:numPr>
                <w:ilvl w:val="0"/>
                <w:numId w:val="33"/>
              </w:numPr>
              <w:ind w:left="0" w:firstLine="425"/>
              <w:contextualSpacing/>
              <w:jc w:val="both"/>
              <w:rPr>
                <w:rFonts w:ascii="Tahoma" w:hAnsi="Tahoma" w:cs="Tahoma"/>
                <w:sz w:val="20"/>
                <w:szCs w:val="20"/>
              </w:rPr>
            </w:pPr>
            <w:r w:rsidRPr="00A86CBE">
              <w:rPr>
                <w:rFonts w:ascii="Tahoma" w:hAnsi="Tahoma" w:cs="Tahoma"/>
                <w:sz w:val="20"/>
                <w:szCs w:val="20"/>
              </w:rPr>
              <w:t>возможно иное разрешенное использование земельного участка при условии возможности строительства на нем многоквартирного жилого дома блокированной застройки.</w:t>
            </w:r>
          </w:p>
          <w:p w14:paraId="08A11DDF" w14:textId="77777777" w:rsidR="00951A61" w:rsidRPr="00A86CBE" w:rsidRDefault="00951A61" w:rsidP="00A4032F">
            <w:pPr>
              <w:ind w:firstLine="425"/>
              <w:jc w:val="both"/>
              <w:rPr>
                <w:rFonts w:ascii="Tahoma" w:hAnsi="Tahoma" w:cs="Tahoma"/>
                <w:b/>
                <w:sz w:val="20"/>
                <w:szCs w:val="20"/>
                <w:u w:val="single"/>
              </w:rPr>
            </w:pPr>
          </w:p>
          <w:p w14:paraId="2803A504" w14:textId="77777777" w:rsidR="00951A61" w:rsidRPr="00A86CBE" w:rsidRDefault="00951A61" w:rsidP="00A4032F">
            <w:pPr>
              <w:ind w:firstLine="425"/>
              <w:jc w:val="both"/>
              <w:rPr>
                <w:rFonts w:ascii="Tahoma" w:hAnsi="Tahoma" w:cs="Tahoma"/>
                <w:sz w:val="20"/>
                <w:szCs w:val="20"/>
              </w:rPr>
            </w:pPr>
            <w:r w:rsidRPr="00A86CBE">
              <w:rPr>
                <w:rFonts w:ascii="Tahoma" w:hAnsi="Tahoma" w:cs="Tahoma"/>
                <w:b/>
                <w:sz w:val="20"/>
                <w:szCs w:val="20"/>
                <w:u w:val="single"/>
              </w:rPr>
              <w:lastRenderedPageBreak/>
              <w:t>Жилой дом, в том числе жилой дом (его часть) блокированной застройки с земельным участком</w:t>
            </w:r>
            <w:r w:rsidRPr="00A86CBE">
              <w:rPr>
                <w:rFonts w:ascii="Tahoma" w:hAnsi="Tahoma" w:cs="Tahoma"/>
                <w:sz w:val="20"/>
                <w:szCs w:val="20"/>
              </w:rPr>
              <w:t>:</w:t>
            </w:r>
          </w:p>
          <w:p w14:paraId="2EDE5C5A" w14:textId="77777777" w:rsidR="00951A61" w:rsidRPr="00A86CBE" w:rsidRDefault="00951A61" w:rsidP="00A4032F">
            <w:pPr>
              <w:ind w:firstLine="425"/>
              <w:jc w:val="both"/>
              <w:rPr>
                <w:rFonts w:ascii="Tahoma" w:hAnsi="Tahoma" w:cs="Tahoma"/>
                <w:sz w:val="20"/>
                <w:szCs w:val="20"/>
                <w:u w:val="single"/>
              </w:rPr>
            </w:pPr>
            <w:r w:rsidRPr="00A86CBE">
              <w:rPr>
                <w:rFonts w:ascii="Tahoma" w:hAnsi="Tahoma" w:cs="Tahoma"/>
                <w:sz w:val="20"/>
                <w:szCs w:val="20"/>
                <w:u w:val="single"/>
              </w:rPr>
              <w:t>Требования, предъявляемые к жилому дому:</w:t>
            </w:r>
          </w:p>
          <w:p w14:paraId="2389B0A1" w14:textId="77777777" w:rsidR="00951A61" w:rsidRPr="00A86CBE" w:rsidRDefault="00951A61" w:rsidP="00951A61">
            <w:pPr>
              <w:pStyle w:val="affe"/>
              <w:numPr>
                <w:ilvl w:val="0"/>
                <w:numId w:val="36"/>
              </w:numPr>
              <w:ind w:left="0" w:firstLine="425"/>
              <w:contextualSpacing/>
              <w:jc w:val="both"/>
              <w:rPr>
                <w:rFonts w:ascii="Tahoma" w:hAnsi="Tahoma" w:cs="Tahoma"/>
                <w:sz w:val="20"/>
                <w:szCs w:val="20"/>
              </w:rPr>
            </w:pPr>
            <w:r w:rsidRPr="00A86CBE">
              <w:rPr>
                <w:rFonts w:ascii="Tahoma" w:hAnsi="Tahoma" w:cs="Tahoma"/>
                <w:sz w:val="20"/>
                <w:szCs w:val="20"/>
              </w:rPr>
              <w:t>жилой дом находится в собственности Продавца (при этом право собственности должно быть зарегистрировано как на объект недвижимости, завершенный строительством);</w:t>
            </w:r>
          </w:p>
          <w:p w14:paraId="7449D259" w14:textId="77777777" w:rsidR="00951A61" w:rsidRPr="00A86CBE" w:rsidRDefault="00951A61" w:rsidP="00951A61">
            <w:pPr>
              <w:pStyle w:val="affe"/>
              <w:numPr>
                <w:ilvl w:val="0"/>
                <w:numId w:val="36"/>
              </w:numPr>
              <w:ind w:left="0" w:firstLine="425"/>
              <w:contextualSpacing/>
              <w:jc w:val="both"/>
              <w:rPr>
                <w:rFonts w:ascii="Tahoma" w:hAnsi="Tahoma" w:cs="Tahoma"/>
                <w:sz w:val="20"/>
                <w:szCs w:val="20"/>
              </w:rPr>
            </w:pPr>
            <w:r w:rsidRPr="00A86CBE">
              <w:rPr>
                <w:rFonts w:ascii="Tahoma" w:hAnsi="Tahoma" w:cs="Tahoma"/>
                <w:sz w:val="20"/>
                <w:szCs w:val="20"/>
              </w:rPr>
              <w:t>площадь жилого дома не менее 60 кв. м.</w:t>
            </w:r>
          </w:p>
          <w:p w14:paraId="4F179392" w14:textId="77777777" w:rsidR="00951A61" w:rsidRPr="00A86CBE" w:rsidRDefault="00951A61" w:rsidP="00951A61">
            <w:pPr>
              <w:pStyle w:val="affe"/>
              <w:numPr>
                <w:ilvl w:val="0"/>
                <w:numId w:val="36"/>
              </w:numPr>
              <w:ind w:left="0" w:firstLine="425"/>
              <w:contextualSpacing/>
              <w:jc w:val="both"/>
              <w:rPr>
                <w:rFonts w:ascii="Tahoma" w:hAnsi="Tahoma" w:cs="Tahoma"/>
                <w:sz w:val="20"/>
                <w:szCs w:val="20"/>
              </w:rPr>
            </w:pPr>
            <w:r w:rsidRPr="00A86CBE">
              <w:rPr>
                <w:rFonts w:ascii="Tahoma" w:hAnsi="Tahoma" w:cs="Tahoma"/>
                <w:sz w:val="20"/>
                <w:szCs w:val="20"/>
              </w:rPr>
              <w:t>пригоден для круглогодичного проживания, доступ возможен в любое время года;</w:t>
            </w:r>
          </w:p>
          <w:p w14:paraId="56852FF7" w14:textId="77777777" w:rsidR="00951A61" w:rsidRPr="00A86CBE" w:rsidRDefault="00951A61" w:rsidP="00951A61">
            <w:pPr>
              <w:pStyle w:val="affe"/>
              <w:numPr>
                <w:ilvl w:val="0"/>
                <w:numId w:val="36"/>
              </w:numPr>
              <w:ind w:left="0" w:firstLine="425"/>
              <w:contextualSpacing/>
              <w:jc w:val="both"/>
              <w:rPr>
                <w:rFonts w:ascii="Tahoma" w:hAnsi="Tahoma" w:cs="Tahoma"/>
                <w:sz w:val="20"/>
                <w:szCs w:val="20"/>
              </w:rPr>
            </w:pPr>
            <w:r w:rsidRPr="00A86CBE">
              <w:rPr>
                <w:rFonts w:ascii="Tahoma" w:hAnsi="Tahoma" w:cs="Tahoma"/>
                <w:sz w:val="20"/>
                <w:szCs w:val="20"/>
              </w:rPr>
              <w:t>фундамент - каменный (бутовый, бутобетонный или кирпичный), железный или железобетонный;</w:t>
            </w:r>
          </w:p>
          <w:p w14:paraId="4E8DEE19" w14:textId="77777777" w:rsidR="00951A61" w:rsidRPr="00A86CBE" w:rsidRDefault="00951A61" w:rsidP="00951A61">
            <w:pPr>
              <w:pStyle w:val="affe"/>
              <w:numPr>
                <w:ilvl w:val="0"/>
                <w:numId w:val="36"/>
              </w:numPr>
              <w:ind w:left="0" w:firstLine="425"/>
              <w:contextualSpacing/>
              <w:jc w:val="both"/>
              <w:rPr>
                <w:rFonts w:ascii="Tahoma" w:hAnsi="Tahoma" w:cs="Tahoma"/>
                <w:sz w:val="20"/>
                <w:szCs w:val="20"/>
              </w:rPr>
            </w:pPr>
            <w:r w:rsidRPr="00A86CBE">
              <w:rPr>
                <w:rFonts w:ascii="Tahoma" w:hAnsi="Tahoma" w:cs="Tahoma"/>
                <w:sz w:val="20"/>
                <w:szCs w:val="20"/>
              </w:rPr>
              <w:t>материал стен – кирпич/ бетон (в т. ч. материал на основе бетона: газоблок, пеноблок, твинблок и т. п.), брус/ клееный брус или аналогичные материалы;</w:t>
            </w:r>
          </w:p>
          <w:p w14:paraId="35F406FB" w14:textId="77777777" w:rsidR="00951A61" w:rsidRPr="00A86CBE" w:rsidRDefault="00951A61" w:rsidP="00951A61">
            <w:pPr>
              <w:pStyle w:val="affe"/>
              <w:numPr>
                <w:ilvl w:val="0"/>
                <w:numId w:val="36"/>
              </w:numPr>
              <w:ind w:left="0" w:firstLine="425"/>
              <w:contextualSpacing/>
              <w:jc w:val="both"/>
              <w:rPr>
                <w:rFonts w:ascii="Tahoma" w:hAnsi="Tahoma" w:cs="Tahoma"/>
                <w:sz w:val="20"/>
                <w:szCs w:val="20"/>
              </w:rPr>
            </w:pPr>
            <w:r w:rsidRPr="00A86CBE">
              <w:rPr>
                <w:rFonts w:ascii="Tahoma" w:hAnsi="Tahoma" w:cs="Tahoma"/>
                <w:sz w:val="20"/>
                <w:szCs w:val="20"/>
              </w:rPr>
              <w:t>год постройки – не более 20 лет до даты проведения оценки;</w:t>
            </w:r>
          </w:p>
          <w:p w14:paraId="6DBC931D" w14:textId="77777777" w:rsidR="00951A61" w:rsidRPr="00A86CBE" w:rsidRDefault="00951A61" w:rsidP="00951A61">
            <w:pPr>
              <w:pStyle w:val="affe"/>
              <w:numPr>
                <w:ilvl w:val="0"/>
                <w:numId w:val="36"/>
              </w:numPr>
              <w:ind w:left="0" w:firstLine="425"/>
              <w:contextualSpacing/>
              <w:jc w:val="both"/>
              <w:rPr>
                <w:rFonts w:ascii="Tahoma" w:hAnsi="Tahoma" w:cs="Tahoma"/>
                <w:sz w:val="20"/>
                <w:szCs w:val="20"/>
              </w:rPr>
            </w:pPr>
            <w:r w:rsidRPr="00A86CBE">
              <w:rPr>
                <w:rFonts w:ascii="Tahoma" w:hAnsi="Tahoma" w:cs="Tahoma"/>
                <w:sz w:val="20"/>
                <w:szCs w:val="20"/>
              </w:rPr>
              <w:t>наличие остекления оконных проемов, установленных входных дверей;</w:t>
            </w:r>
          </w:p>
          <w:p w14:paraId="7664A7C2" w14:textId="77777777" w:rsidR="00951A61" w:rsidRPr="00A86CBE" w:rsidRDefault="00951A61" w:rsidP="00951A61">
            <w:pPr>
              <w:pStyle w:val="affe"/>
              <w:numPr>
                <w:ilvl w:val="0"/>
                <w:numId w:val="36"/>
              </w:numPr>
              <w:ind w:left="0" w:firstLine="425"/>
              <w:contextualSpacing/>
              <w:jc w:val="both"/>
              <w:rPr>
                <w:rFonts w:ascii="Tahoma" w:hAnsi="Tahoma" w:cs="Tahoma"/>
                <w:sz w:val="20"/>
                <w:szCs w:val="20"/>
              </w:rPr>
            </w:pPr>
            <w:r w:rsidRPr="00A86CBE">
              <w:rPr>
                <w:rFonts w:ascii="Tahoma" w:hAnsi="Tahoma" w:cs="Tahoma"/>
                <w:sz w:val="20"/>
                <w:szCs w:val="20"/>
              </w:rPr>
              <w:t>оборудование следующими инженерными коммуникациями:</w:t>
            </w:r>
          </w:p>
          <w:p w14:paraId="0E84B0CB" w14:textId="77777777" w:rsidR="00951A61" w:rsidRPr="00A86CBE" w:rsidRDefault="00951A61" w:rsidP="00951A61">
            <w:pPr>
              <w:pStyle w:val="affe"/>
              <w:numPr>
                <w:ilvl w:val="0"/>
                <w:numId w:val="42"/>
              </w:numPr>
              <w:ind w:left="0" w:firstLine="425"/>
              <w:contextualSpacing/>
              <w:jc w:val="both"/>
              <w:rPr>
                <w:rFonts w:ascii="Tahoma" w:hAnsi="Tahoma" w:cs="Tahoma"/>
                <w:sz w:val="20"/>
                <w:szCs w:val="20"/>
              </w:rPr>
            </w:pPr>
            <w:r w:rsidRPr="00A86CBE">
              <w:rPr>
                <w:rFonts w:ascii="Tahoma" w:hAnsi="Tahoma" w:cs="Tahoma"/>
                <w:sz w:val="20"/>
                <w:szCs w:val="20"/>
              </w:rPr>
              <w:t>подключение к электросети, осуществлена разводка электропроводки, установлены счетчики учета электроэнергии;</w:t>
            </w:r>
          </w:p>
          <w:p w14:paraId="137F2434" w14:textId="77777777" w:rsidR="00951A61" w:rsidRPr="00A86CBE" w:rsidRDefault="00951A61" w:rsidP="00951A61">
            <w:pPr>
              <w:pStyle w:val="affe"/>
              <w:numPr>
                <w:ilvl w:val="0"/>
                <w:numId w:val="42"/>
              </w:numPr>
              <w:ind w:left="0" w:firstLine="425"/>
              <w:contextualSpacing/>
              <w:jc w:val="both"/>
              <w:rPr>
                <w:rFonts w:ascii="Tahoma" w:hAnsi="Tahoma" w:cs="Tahoma"/>
                <w:sz w:val="20"/>
                <w:szCs w:val="20"/>
              </w:rPr>
            </w:pPr>
            <w:r w:rsidRPr="00A86CBE">
              <w:rPr>
                <w:rFonts w:ascii="Tahoma" w:hAnsi="Tahoma" w:cs="Tahoma"/>
                <w:sz w:val="20"/>
                <w:szCs w:val="20"/>
              </w:rPr>
              <w:t>подключение к центральному отоплению или оборудование автономной системой отопления, осуществлена разводка труб для теплоносителя и установлены радиаторы отопления;</w:t>
            </w:r>
          </w:p>
          <w:p w14:paraId="0F9CAB2C" w14:textId="77777777" w:rsidR="00951A61" w:rsidRPr="00A86CBE" w:rsidRDefault="00951A61" w:rsidP="00951A61">
            <w:pPr>
              <w:pStyle w:val="affe"/>
              <w:numPr>
                <w:ilvl w:val="0"/>
                <w:numId w:val="42"/>
              </w:numPr>
              <w:ind w:left="0" w:firstLine="425"/>
              <w:contextualSpacing/>
              <w:jc w:val="both"/>
              <w:rPr>
                <w:rFonts w:ascii="Tahoma" w:hAnsi="Tahoma" w:cs="Tahoma"/>
                <w:sz w:val="20"/>
                <w:szCs w:val="20"/>
              </w:rPr>
            </w:pPr>
            <w:r w:rsidRPr="00A86CBE">
              <w:rPr>
                <w:rFonts w:ascii="Tahoma" w:hAnsi="Tahoma" w:cs="Tahoma"/>
                <w:sz w:val="20"/>
                <w:szCs w:val="20"/>
              </w:rPr>
              <w:t>подключение к всесезонному водопроводу или к скважине, осуществлена разводка труб водоснабжения;</w:t>
            </w:r>
          </w:p>
          <w:p w14:paraId="085F6704" w14:textId="77777777" w:rsidR="00951A61" w:rsidRPr="00A86CBE" w:rsidRDefault="00951A61" w:rsidP="00951A61">
            <w:pPr>
              <w:pStyle w:val="affe"/>
              <w:numPr>
                <w:ilvl w:val="0"/>
                <w:numId w:val="42"/>
              </w:numPr>
              <w:ind w:left="0" w:firstLine="425"/>
              <w:contextualSpacing/>
              <w:jc w:val="both"/>
              <w:rPr>
                <w:rFonts w:ascii="Tahoma" w:hAnsi="Tahoma" w:cs="Tahoma"/>
                <w:sz w:val="20"/>
                <w:szCs w:val="20"/>
              </w:rPr>
            </w:pPr>
            <w:r w:rsidRPr="00A86CBE">
              <w:rPr>
                <w:rFonts w:ascii="Tahoma" w:hAnsi="Tahoma" w:cs="Tahoma"/>
                <w:sz w:val="20"/>
                <w:szCs w:val="20"/>
              </w:rPr>
              <w:t>подключение к канализационной сети или локальному очистному сооружению, осуществлена разводка канализационных труб.</w:t>
            </w:r>
          </w:p>
          <w:p w14:paraId="4EFFC87D" w14:textId="77777777" w:rsidR="00951A61" w:rsidRPr="00A86CBE" w:rsidRDefault="00951A61" w:rsidP="00A4032F">
            <w:pPr>
              <w:ind w:firstLine="425"/>
              <w:jc w:val="both"/>
              <w:rPr>
                <w:rFonts w:ascii="Tahoma" w:hAnsi="Tahoma" w:cs="Tahoma"/>
                <w:sz w:val="20"/>
                <w:szCs w:val="20"/>
                <w:u w:val="single"/>
              </w:rPr>
            </w:pPr>
          </w:p>
          <w:p w14:paraId="45BB3A8D" w14:textId="77777777" w:rsidR="00951A61" w:rsidRPr="00A86CBE" w:rsidRDefault="00951A61" w:rsidP="00A4032F">
            <w:pPr>
              <w:ind w:firstLine="425"/>
              <w:jc w:val="both"/>
              <w:rPr>
                <w:rFonts w:ascii="Tahoma" w:hAnsi="Tahoma" w:cs="Tahoma"/>
                <w:sz w:val="20"/>
                <w:szCs w:val="20"/>
                <w:u w:val="single"/>
              </w:rPr>
            </w:pPr>
            <w:r w:rsidRPr="00A86CBE">
              <w:rPr>
                <w:rFonts w:ascii="Tahoma" w:hAnsi="Tahoma" w:cs="Tahoma"/>
                <w:sz w:val="20"/>
                <w:szCs w:val="20"/>
                <w:u w:val="single"/>
              </w:rPr>
              <w:t>Дополнительные требования к жилому дому блокированной застройки:</w:t>
            </w:r>
          </w:p>
          <w:p w14:paraId="3AC21694" w14:textId="77777777" w:rsidR="00951A61" w:rsidRPr="00A86CBE" w:rsidRDefault="00951A61" w:rsidP="00951A61">
            <w:pPr>
              <w:pStyle w:val="affe"/>
              <w:numPr>
                <w:ilvl w:val="0"/>
                <w:numId w:val="34"/>
              </w:numPr>
              <w:autoSpaceDE w:val="0"/>
              <w:autoSpaceDN w:val="0"/>
              <w:adjustRightInd w:val="0"/>
              <w:ind w:left="0" w:firstLine="425"/>
              <w:contextualSpacing/>
              <w:jc w:val="both"/>
              <w:rPr>
                <w:rFonts w:ascii="Tahoma" w:hAnsi="Tahoma" w:cs="Tahoma"/>
                <w:sz w:val="20"/>
                <w:szCs w:val="20"/>
              </w:rPr>
            </w:pPr>
            <w:r w:rsidRPr="00A86CBE">
              <w:rPr>
                <w:rFonts w:ascii="Tahoma" w:hAnsi="Tahoma" w:cs="Tahoma"/>
                <w:sz w:val="20"/>
                <w:szCs w:val="20"/>
              </w:rPr>
              <w:t xml:space="preserve">количество этажей не более 3 (трех); </w:t>
            </w:r>
          </w:p>
          <w:p w14:paraId="42E9000F" w14:textId="77777777" w:rsidR="00951A61" w:rsidRPr="00A86CBE" w:rsidRDefault="00951A61" w:rsidP="00951A61">
            <w:pPr>
              <w:pStyle w:val="affe"/>
              <w:numPr>
                <w:ilvl w:val="0"/>
                <w:numId w:val="34"/>
              </w:numPr>
              <w:autoSpaceDE w:val="0"/>
              <w:autoSpaceDN w:val="0"/>
              <w:adjustRightInd w:val="0"/>
              <w:ind w:left="0" w:firstLine="425"/>
              <w:contextualSpacing/>
              <w:jc w:val="both"/>
              <w:rPr>
                <w:rFonts w:ascii="Tahoma" w:hAnsi="Tahoma" w:cs="Tahoma"/>
                <w:sz w:val="20"/>
                <w:szCs w:val="20"/>
              </w:rPr>
            </w:pPr>
            <w:r w:rsidRPr="00A86CBE">
              <w:rPr>
                <w:rFonts w:ascii="Tahoma" w:hAnsi="Tahoma" w:cs="Tahoma"/>
                <w:sz w:val="20"/>
                <w:szCs w:val="20"/>
              </w:rPr>
              <w:t xml:space="preserve">должен состоять из нескольких блоков, количество которых не должно превышать 10 (десять); </w:t>
            </w:r>
          </w:p>
          <w:p w14:paraId="7FB4268C" w14:textId="77777777" w:rsidR="00951A61" w:rsidRPr="00A86CBE" w:rsidRDefault="00951A61" w:rsidP="00951A61">
            <w:pPr>
              <w:pStyle w:val="affe"/>
              <w:numPr>
                <w:ilvl w:val="0"/>
                <w:numId w:val="34"/>
              </w:numPr>
              <w:autoSpaceDE w:val="0"/>
              <w:autoSpaceDN w:val="0"/>
              <w:adjustRightInd w:val="0"/>
              <w:ind w:left="0" w:firstLine="425"/>
              <w:contextualSpacing/>
              <w:jc w:val="both"/>
              <w:rPr>
                <w:rFonts w:ascii="Tahoma" w:hAnsi="Tahoma" w:cs="Tahoma"/>
                <w:sz w:val="20"/>
                <w:szCs w:val="20"/>
              </w:rPr>
            </w:pPr>
            <w:r w:rsidRPr="00A86CBE">
              <w:rPr>
                <w:rFonts w:ascii="Tahoma" w:hAnsi="Tahoma" w:cs="Tahoma"/>
                <w:sz w:val="20"/>
                <w:szCs w:val="20"/>
              </w:rPr>
              <w:t xml:space="preserve">жилой дом блокированной застройки с земельным участком может находиться как в готовом, так и в строящемся объекте недвижимости; </w:t>
            </w:r>
          </w:p>
          <w:p w14:paraId="3D37C6AA" w14:textId="77777777" w:rsidR="00951A61" w:rsidRPr="00A86CBE" w:rsidRDefault="00951A61" w:rsidP="00951A61">
            <w:pPr>
              <w:pStyle w:val="affe"/>
              <w:numPr>
                <w:ilvl w:val="0"/>
                <w:numId w:val="34"/>
              </w:numPr>
              <w:autoSpaceDE w:val="0"/>
              <w:autoSpaceDN w:val="0"/>
              <w:adjustRightInd w:val="0"/>
              <w:ind w:left="0" w:firstLine="425"/>
              <w:contextualSpacing/>
              <w:jc w:val="both"/>
              <w:rPr>
                <w:rFonts w:ascii="Tahoma" w:hAnsi="Tahoma" w:cs="Tahoma"/>
                <w:sz w:val="20"/>
                <w:szCs w:val="20"/>
              </w:rPr>
            </w:pPr>
            <w:r w:rsidRPr="00A86CBE">
              <w:rPr>
                <w:rFonts w:ascii="Tahoma" w:hAnsi="Tahoma" w:cs="Tahoma"/>
                <w:sz w:val="20"/>
                <w:szCs w:val="20"/>
              </w:rPr>
              <w:t xml:space="preserve">при приобретении жилого дома на этапе строительства должен также отдельно приобретаться по ДКП земельный участок, расположенный под кредитуемой частью жилого дома или непосредственно прилегающий к кредитуемой части жилого дома, в этом случае если земельный участок не приобретается отдельно, то заявка при приобретении жилого дома на этапе строительства не рассматривается; </w:t>
            </w:r>
          </w:p>
          <w:p w14:paraId="1FCD40B3" w14:textId="77777777" w:rsidR="00951A61" w:rsidRPr="00A86CBE" w:rsidRDefault="00951A61" w:rsidP="00951A61">
            <w:pPr>
              <w:pStyle w:val="affe"/>
              <w:numPr>
                <w:ilvl w:val="0"/>
                <w:numId w:val="34"/>
              </w:numPr>
              <w:autoSpaceDE w:val="0"/>
              <w:autoSpaceDN w:val="0"/>
              <w:adjustRightInd w:val="0"/>
              <w:ind w:left="0" w:firstLine="425"/>
              <w:contextualSpacing/>
              <w:jc w:val="both"/>
              <w:rPr>
                <w:rFonts w:ascii="Tahoma" w:hAnsi="Tahoma" w:cs="Tahoma"/>
                <w:sz w:val="20"/>
                <w:szCs w:val="20"/>
              </w:rPr>
            </w:pPr>
            <w:r w:rsidRPr="00A86CBE">
              <w:rPr>
                <w:rFonts w:ascii="Tahoma" w:hAnsi="Tahoma" w:cs="Tahoma"/>
                <w:sz w:val="20"/>
                <w:szCs w:val="20"/>
              </w:rPr>
              <w:t xml:space="preserve">в свидетельстве о государственной регистрации права собственности или выписке ЕГРН в качестве объекта права может быть указано: </w:t>
            </w:r>
          </w:p>
          <w:p w14:paraId="2037DDCF" w14:textId="77777777" w:rsidR="00951A61" w:rsidRPr="00A86CBE" w:rsidRDefault="00951A61" w:rsidP="00951A61">
            <w:pPr>
              <w:pStyle w:val="affe"/>
              <w:numPr>
                <w:ilvl w:val="0"/>
                <w:numId w:val="41"/>
              </w:numPr>
              <w:autoSpaceDE w:val="0"/>
              <w:autoSpaceDN w:val="0"/>
              <w:adjustRightInd w:val="0"/>
              <w:ind w:left="0" w:firstLine="425"/>
              <w:contextualSpacing/>
              <w:jc w:val="both"/>
              <w:rPr>
                <w:rFonts w:ascii="Tahoma" w:hAnsi="Tahoma" w:cs="Tahoma"/>
                <w:sz w:val="20"/>
                <w:szCs w:val="20"/>
              </w:rPr>
            </w:pPr>
            <w:r w:rsidRPr="00A86CBE">
              <w:rPr>
                <w:rFonts w:ascii="Tahoma" w:hAnsi="Tahoma" w:cs="Tahoma"/>
                <w:sz w:val="20"/>
                <w:szCs w:val="20"/>
              </w:rPr>
              <w:t xml:space="preserve">жилой дом; </w:t>
            </w:r>
          </w:p>
          <w:p w14:paraId="1A450C51" w14:textId="77777777" w:rsidR="00951A61" w:rsidRPr="00A86CBE" w:rsidRDefault="00951A61" w:rsidP="00951A61">
            <w:pPr>
              <w:pStyle w:val="affe"/>
              <w:numPr>
                <w:ilvl w:val="0"/>
                <w:numId w:val="41"/>
              </w:numPr>
              <w:autoSpaceDE w:val="0"/>
              <w:autoSpaceDN w:val="0"/>
              <w:adjustRightInd w:val="0"/>
              <w:ind w:left="0" w:firstLine="425"/>
              <w:contextualSpacing/>
              <w:jc w:val="both"/>
              <w:rPr>
                <w:rFonts w:ascii="Tahoma" w:hAnsi="Tahoma" w:cs="Tahoma"/>
                <w:sz w:val="20"/>
                <w:szCs w:val="20"/>
              </w:rPr>
            </w:pPr>
            <w:r w:rsidRPr="00A86CBE">
              <w:rPr>
                <w:rFonts w:ascii="Tahoma" w:hAnsi="Tahoma" w:cs="Tahoma"/>
                <w:sz w:val="20"/>
                <w:szCs w:val="20"/>
              </w:rPr>
              <w:t xml:space="preserve">жилое помещение; </w:t>
            </w:r>
          </w:p>
          <w:p w14:paraId="65F64927" w14:textId="77777777" w:rsidR="00951A61" w:rsidRPr="00A86CBE" w:rsidRDefault="00951A61" w:rsidP="00951A61">
            <w:pPr>
              <w:pStyle w:val="affe"/>
              <w:numPr>
                <w:ilvl w:val="0"/>
                <w:numId w:val="41"/>
              </w:numPr>
              <w:autoSpaceDE w:val="0"/>
              <w:autoSpaceDN w:val="0"/>
              <w:adjustRightInd w:val="0"/>
              <w:ind w:left="0" w:firstLine="425"/>
              <w:contextualSpacing/>
              <w:jc w:val="both"/>
              <w:rPr>
                <w:rFonts w:ascii="Tahoma" w:hAnsi="Tahoma" w:cs="Tahoma"/>
                <w:sz w:val="20"/>
                <w:szCs w:val="20"/>
              </w:rPr>
            </w:pPr>
            <w:r w:rsidRPr="00A86CBE">
              <w:rPr>
                <w:rFonts w:ascii="Tahoma" w:hAnsi="Tahoma" w:cs="Tahoma"/>
                <w:sz w:val="20"/>
                <w:szCs w:val="20"/>
              </w:rPr>
              <w:t xml:space="preserve">жилой блок; </w:t>
            </w:r>
          </w:p>
          <w:p w14:paraId="3461532E" w14:textId="77777777" w:rsidR="00951A61" w:rsidRPr="00A86CBE" w:rsidRDefault="00951A61" w:rsidP="00951A61">
            <w:pPr>
              <w:pStyle w:val="affe"/>
              <w:numPr>
                <w:ilvl w:val="0"/>
                <w:numId w:val="41"/>
              </w:numPr>
              <w:autoSpaceDE w:val="0"/>
              <w:autoSpaceDN w:val="0"/>
              <w:adjustRightInd w:val="0"/>
              <w:ind w:left="0" w:firstLine="425"/>
              <w:contextualSpacing/>
              <w:jc w:val="both"/>
              <w:rPr>
                <w:rFonts w:ascii="Tahoma" w:hAnsi="Tahoma" w:cs="Tahoma"/>
                <w:sz w:val="20"/>
                <w:szCs w:val="20"/>
              </w:rPr>
            </w:pPr>
            <w:r w:rsidRPr="00A86CBE">
              <w:rPr>
                <w:rFonts w:ascii="Tahoma" w:hAnsi="Tahoma" w:cs="Tahoma"/>
                <w:sz w:val="20"/>
                <w:szCs w:val="20"/>
              </w:rPr>
              <w:t xml:space="preserve">часть жилого дома; </w:t>
            </w:r>
          </w:p>
          <w:p w14:paraId="14C0E8C6" w14:textId="77777777" w:rsidR="00951A61" w:rsidRPr="00A86CBE" w:rsidRDefault="00951A61" w:rsidP="00951A61">
            <w:pPr>
              <w:pStyle w:val="affe"/>
              <w:numPr>
                <w:ilvl w:val="0"/>
                <w:numId w:val="41"/>
              </w:numPr>
              <w:autoSpaceDE w:val="0"/>
              <w:autoSpaceDN w:val="0"/>
              <w:adjustRightInd w:val="0"/>
              <w:ind w:left="0" w:firstLine="425"/>
              <w:contextualSpacing/>
              <w:jc w:val="both"/>
              <w:rPr>
                <w:rFonts w:ascii="Tahoma" w:hAnsi="Tahoma" w:cs="Tahoma"/>
                <w:sz w:val="20"/>
                <w:szCs w:val="20"/>
              </w:rPr>
            </w:pPr>
            <w:r w:rsidRPr="00A86CBE">
              <w:rPr>
                <w:rFonts w:ascii="Tahoma" w:hAnsi="Tahoma" w:cs="Tahoma"/>
                <w:sz w:val="20"/>
                <w:szCs w:val="20"/>
              </w:rPr>
              <w:t xml:space="preserve">жилой дом блокированной застройки; </w:t>
            </w:r>
          </w:p>
          <w:p w14:paraId="47AEBE55" w14:textId="77777777" w:rsidR="00951A61" w:rsidRPr="00A86CBE" w:rsidRDefault="00951A61" w:rsidP="00951A61">
            <w:pPr>
              <w:pStyle w:val="affe"/>
              <w:numPr>
                <w:ilvl w:val="0"/>
                <w:numId w:val="41"/>
              </w:numPr>
              <w:autoSpaceDE w:val="0"/>
              <w:autoSpaceDN w:val="0"/>
              <w:adjustRightInd w:val="0"/>
              <w:ind w:left="0" w:firstLine="425"/>
              <w:contextualSpacing/>
              <w:jc w:val="both"/>
              <w:rPr>
                <w:rFonts w:ascii="Tahoma" w:hAnsi="Tahoma" w:cs="Tahoma"/>
                <w:sz w:val="20"/>
                <w:szCs w:val="20"/>
              </w:rPr>
            </w:pPr>
            <w:r w:rsidRPr="00A86CBE">
              <w:rPr>
                <w:rFonts w:ascii="Tahoma" w:hAnsi="Tahoma" w:cs="Tahoma"/>
                <w:sz w:val="20"/>
                <w:szCs w:val="20"/>
              </w:rPr>
              <w:t xml:space="preserve">жилая блок-секция; </w:t>
            </w:r>
          </w:p>
          <w:p w14:paraId="15C8AAE2" w14:textId="77777777" w:rsidR="00951A61" w:rsidRPr="00A86CBE" w:rsidRDefault="00951A61" w:rsidP="00951A61">
            <w:pPr>
              <w:pStyle w:val="affe"/>
              <w:numPr>
                <w:ilvl w:val="0"/>
                <w:numId w:val="41"/>
              </w:numPr>
              <w:autoSpaceDE w:val="0"/>
              <w:autoSpaceDN w:val="0"/>
              <w:adjustRightInd w:val="0"/>
              <w:ind w:left="0" w:firstLine="425"/>
              <w:contextualSpacing/>
              <w:jc w:val="both"/>
              <w:rPr>
                <w:rFonts w:ascii="Tahoma" w:hAnsi="Tahoma" w:cs="Tahoma"/>
                <w:sz w:val="20"/>
                <w:szCs w:val="20"/>
              </w:rPr>
            </w:pPr>
            <w:r w:rsidRPr="00A86CBE">
              <w:rPr>
                <w:rFonts w:ascii="Tahoma" w:hAnsi="Tahoma" w:cs="Tahoma"/>
                <w:sz w:val="20"/>
                <w:szCs w:val="20"/>
              </w:rPr>
              <w:t xml:space="preserve">блок-секция; </w:t>
            </w:r>
          </w:p>
          <w:p w14:paraId="4E505813" w14:textId="77777777" w:rsidR="00951A61" w:rsidRPr="00A86CBE" w:rsidRDefault="00951A61" w:rsidP="00951A61">
            <w:pPr>
              <w:pStyle w:val="affe"/>
              <w:numPr>
                <w:ilvl w:val="0"/>
                <w:numId w:val="41"/>
              </w:numPr>
              <w:autoSpaceDE w:val="0"/>
              <w:autoSpaceDN w:val="0"/>
              <w:adjustRightInd w:val="0"/>
              <w:ind w:left="0" w:firstLine="425"/>
              <w:contextualSpacing/>
              <w:jc w:val="both"/>
              <w:rPr>
                <w:rFonts w:ascii="Tahoma" w:hAnsi="Tahoma" w:cs="Tahoma"/>
                <w:sz w:val="20"/>
                <w:szCs w:val="20"/>
              </w:rPr>
            </w:pPr>
            <w:r w:rsidRPr="00A86CBE">
              <w:rPr>
                <w:rFonts w:ascii="Tahoma" w:hAnsi="Tahoma" w:cs="Tahoma"/>
                <w:sz w:val="20"/>
                <w:szCs w:val="20"/>
              </w:rPr>
              <w:t xml:space="preserve">иное, при этом в свидетельстве о государственной регистрации права собственности или выписке ЕГРН в качестве объекта права не может быть указано «квартира». </w:t>
            </w:r>
          </w:p>
          <w:p w14:paraId="7B4F9EAD" w14:textId="77777777" w:rsidR="00951A61" w:rsidRPr="00A86CBE" w:rsidRDefault="00951A61" w:rsidP="00A4032F">
            <w:pPr>
              <w:ind w:firstLine="425"/>
              <w:jc w:val="both"/>
              <w:rPr>
                <w:rFonts w:ascii="Tahoma" w:hAnsi="Tahoma" w:cs="Tahoma"/>
                <w:sz w:val="20"/>
                <w:szCs w:val="20"/>
                <w:u w:val="single"/>
              </w:rPr>
            </w:pPr>
            <w:r w:rsidRPr="00A86CBE">
              <w:rPr>
                <w:rFonts w:ascii="Tahoma" w:hAnsi="Tahoma" w:cs="Tahoma"/>
                <w:sz w:val="20"/>
                <w:szCs w:val="20"/>
                <w:u w:val="single"/>
              </w:rPr>
              <w:t>Требования, предъявляемые к земельному участку:</w:t>
            </w:r>
          </w:p>
          <w:p w14:paraId="38874184" w14:textId="77777777" w:rsidR="00951A61" w:rsidRPr="00A86CBE" w:rsidRDefault="00951A61" w:rsidP="00951A61">
            <w:pPr>
              <w:pStyle w:val="affe"/>
              <w:numPr>
                <w:ilvl w:val="0"/>
                <w:numId w:val="39"/>
              </w:numPr>
              <w:ind w:left="0" w:firstLine="425"/>
              <w:contextualSpacing/>
              <w:jc w:val="both"/>
              <w:rPr>
                <w:rFonts w:ascii="Tahoma" w:hAnsi="Tahoma" w:cs="Tahoma"/>
                <w:sz w:val="20"/>
                <w:szCs w:val="20"/>
              </w:rPr>
            </w:pPr>
            <w:r w:rsidRPr="00A86CBE">
              <w:rPr>
                <w:rFonts w:ascii="Tahoma" w:hAnsi="Tahoma" w:cs="Tahoma"/>
                <w:sz w:val="20"/>
                <w:szCs w:val="20"/>
              </w:rPr>
              <w:lastRenderedPageBreak/>
              <w:t>находится в собственности Продавца/Заемщика</w:t>
            </w:r>
            <w:r w:rsidRPr="00A86CBE">
              <w:rPr>
                <w:rStyle w:val="aff3"/>
                <w:rFonts w:ascii="Tahoma" w:hAnsi="Tahoma" w:cs="Tahoma"/>
                <w:sz w:val="20"/>
                <w:szCs w:val="20"/>
              </w:rPr>
              <w:footnoteReference w:id="113"/>
            </w:r>
            <w:r w:rsidRPr="00A86CBE">
              <w:rPr>
                <w:rFonts w:ascii="Tahoma" w:hAnsi="Tahoma" w:cs="Tahoma"/>
                <w:sz w:val="20"/>
                <w:szCs w:val="20"/>
              </w:rPr>
              <w:t>;</w:t>
            </w:r>
          </w:p>
          <w:p w14:paraId="37E949BC" w14:textId="77777777" w:rsidR="00951A61" w:rsidRPr="00A86CBE" w:rsidRDefault="00951A61" w:rsidP="00951A61">
            <w:pPr>
              <w:pStyle w:val="affe"/>
              <w:numPr>
                <w:ilvl w:val="0"/>
                <w:numId w:val="39"/>
              </w:numPr>
              <w:ind w:left="0" w:firstLine="425"/>
              <w:contextualSpacing/>
              <w:jc w:val="both"/>
              <w:rPr>
                <w:rFonts w:ascii="Tahoma" w:hAnsi="Tahoma" w:cs="Tahoma"/>
                <w:sz w:val="20"/>
                <w:szCs w:val="20"/>
              </w:rPr>
            </w:pPr>
            <w:r w:rsidRPr="00A86CBE">
              <w:rPr>
                <w:rFonts w:ascii="Tahoma" w:hAnsi="Tahoma" w:cs="Tahoma"/>
                <w:sz w:val="20"/>
                <w:szCs w:val="20"/>
              </w:rPr>
              <w:t>категория использования земельного участка – земли населенных пунктов/поселений/сельскохозяйственного назначения. Разрешенное использование земельного участка - любой из видов использования для соответствующей категории, предусмотренный законодательством РФ и разрешающий возведение жилого строения с правом проживания/регистрации;</w:t>
            </w:r>
          </w:p>
          <w:p w14:paraId="0BBE708A" w14:textId="77777777" w:rsidR="00951A61" w:rsidRPr="00A86CBE" w:rsidRDefault="00951A61" w:rsidP="00951A61">
            <w:pPr>
              <w:pStyle w:val="affe"/>
              <w:numPr>
                <w:ilvl w:val="0"/>
                <w:numId w:val="39"/>
              </w:numPr>
              <w:ind w:left="0" w:firstLine="425"/>
              <w:contextualSpacing/>
              <w:jc w:val="both"/>
              <w:rPr>
                <w:rFonts w:ascii="Tahoma" w:hAnsi="Tahoma" w:cs="Tahoma"/>
                <w:sz w:val="20"/>
                <w:szCs w:val="20"/>
              </w:rPr>
            </w:pPr>
            <w:r w:rsidRPr="00A86CBE">
              <w:rPr>
                <w:rFonts w:ascii="Tahoma" w:hAnsi="Tahoma" w:cs="Tahoma"/>
                <w:sz w:val="20"/>
                <w:szCs w:val="20"/>
              </w:rPr>
              <w:t>не должен находиться в водоохранной, резервной зоне или зоне национального парка;</w:t>
            </w:r>
          </w:p>
          <w:p w14:paraId="23F01D4D" w14:textId="77777777" w:rsidR="00951A61" w:rsidRPr="00A86CBE" w:rsidRDefault="00951A61" w:rsidP="00951A61">
            <w:pPr>
              <w:pStyle w:val="affe"/>
              <w:numPr>
                <w:ilvl w:val="0"/>
                <w:numId w:val="39"/>
              </w:numPr>
              <w:ind w:left="0" w:firstLine="425"/>
              <w:contextualSpacing/>
              <w:jc w:val="both"/>
              <w:rPr>
                <w:rFonts w:ascii="Tahoma" w:hAnsi="Tahoma" w:cs="Tahoma"/>
                <w:sz w:val="20"/>
                <w:szCs w:val="20"/>
              </w:rPr>
            </w:pPr>
            <w:r w:rsidRPr="00A86CBE">
              <w:rPr>
                <w:rFonts w:ascii="Tahoma" w:hAnsi="Tahoma" w:cs="Tahoma"/>
                <w:sz w:val="20"/>
                <w:szCs w:val="20"/>
              </w:rPr>
              <w:t xml:space="preserve">земельный участок </w:t>
            </w:r>
            <w:r w:rsidRPr="00A86CBE">
              <w:rPr>
                <w:rFonts w:ascii="Tahoma" w:hAnsi="Tahoma" w:cs="Tahoma"/>
                <w:sz w:val="20"/>
                <w:szCs w:val="20"/>
                <w:u w:val="single"/>
              </w:rPr>
              <w:t>не должен находиться</w:t>
            </w:r>
            <w:r w:rsidRPr="00A86CBE">
              <w:rPr>
                <w:rFonts w:ascii="Tahoma" w:hAnsi="Tahoma" w:cs="Tahoma"/>
                <w:sz w:val="20"/>
                <w:szCs w:val="20"/>
              </w:rPr>
              <w:t xml:space="preserve"> на землях особо охраняемых природных территорий (например, государственные природные заповедники, биосферные и государственные природные заказники, памятники природы, национальные парки, природные парки, дендрологические парки, ботанические сады, территории традиционного природопользования коренных малочисленных народов Севера, Сибири и Дальнего Востока Российской Федерации), на землях природоохранного назначения, на землях рекреационного назначения, на особо ценных землях (земли, в пределах которых имеются природные объекты и объекты культурного наследия, представляющие особую научную, историко-культурную ценность – типичные или редкие ландшафты, культурные ландшафты, сообщества растительных, животных организмов, редкие геологические образования), а также в охранных, санитарно-защитных зонах, зонах санитарной охраны источников питьевого и хозяйственно-бытового водоснабжения, зонах охраняемых объектов;</w:t>
            </w:r>
          </w:p>
          <w:p w14:paraId="4DA0CB2B" w14:textId="77777777" w:rsidR="00951A61" w:rsidRPr="00A86CBE" w:rsidRDefault="00951A61" w:rsidP="00951A61">
            <w:pPr>
              <w:pStyle w:val="affe"/>
              <w:numPr>
                <w:ilvl w:val="0"/>
                <w:numId w:val="39"/>
              </w:numPr>
              <w:contextualSpacing/>
              <w:jc w:val="both"/>
              <w:rPr>
                <w:rFonts w:ascii="Tahoma" w:hAnsi="Tahoma" w:cs="Tahoma"/>
                <w:sz w:val="20"/>
                <w:szCs w:val="20"/>
              </w:rPr>
            </w:pPr>
            <w:r w:rsidRPr="00A86CBE">
              <w:rPr>
                <w:rFonts w:ascii="Tahoma" w:hAnsi="Tahoma" w:cs="Tahoma"/>
                <w:sz w:val="20"/>
                <w:szCs w:val="20"/>
              </w:rPr>
              <w:t>Если земельный участок находится во владении Заемщика на праве аренды в соответствии с Федеральным законом от 01.05.2016 г. N 119-ФЗ, то вид разрешенного использования зем. участка должен предусматривать индивидуальное жилищное строительство или ведение личного подсобного хозяйства;</w:t>
            </w:r>
          </w:p>
          <w:p w14:paraId="2C9F134E" w14:textId="77777777" w:rsidR="00951A61" w:rsidRPr="00A86CBE" w:rsidRDefault="00951A61" w:rsidP="00951A61">
            <w:pPr>
              <w:pStyle w:val="affe"/>
              <w:numPr>
                <w:ilvl w:val="0"/>
                <w:numId w:val="39"/>
              </w:numPr>
              <w:ind w:left="0" w:firstLine="425"/>
              <w:contextualSpacing/>
              <w:jc w:val="both"/>
              <w:rPr>
                <w:rFonts w:ascii="Tahoma" w:hAnsi="Tahoma" w:cs="Tahoma"/>
                <w:sz w:val="20"/>
                <w:szCs w:val="20"/>
              </w:rPr>
            </w:pPr>
            <w:r w:rsidRPr="00A86CBE">
              <w:rPr>
                <w:rFonts w:ascii="Tahoma" w:hAnsi="Tahoma" w:cs="Tahoma"/>
                <w:sz w:val="20"/>
                <w:szCs w:val="20"/>
              </w:rPr>
              <w:t>площадь земельного участка не должна быть ограничена габаритами жилого дома и превышать 5000 кв. м.</w:t>
            </w:r>
          </w:p>
          <w:p w14:paraId="6DB45347" w14:textId="77777777" w:rsidR="00951A61" w:rsidRPr="00A86CBE" w:rsidRDefault="00951A61" w:rsidP="00A4032F">
            <w:pPr>
              <w:pStyle w:val="affe"/>
              <w:ind w:left="0" w:firstLine="425"/>
              <w:jc w:val="both"/>
              <w:rPr>
                <w:rFonts w:ascii="Tahoma" w:hAnsi="Tahoma" w:cs="Tahoma"/>
                <w:sz w:val="20"/>
                <w:szCs w:val="20"/>
                <w:u w:val="single"/>
              </w:rPr>
            </w:pPr>
          </w:p>
          <w:p w14:paraId="39EBB09F" w14:textId="77777777" w:rsidR="00951A61" w:rsidRPr="00A86CBE" w:rsidRDefault="00951A61" w:rsidP="00A4032F">
            <w:pPr>
              <w:pStyle w:val="affe"/>
              <w:ind w:left="0" w:firstLine="425"/>
              <w:jc w:val="both"/>
              <w:rPr>
                <w:rFonts w:ascii="Tahoma" w:hAnsi="Tahoma" w:cs="Tahoma"/>
                <w:sz w:val="20"/>
                <w:szCs w:val="20"/>
                <w:u w:val="single"/>
              </w:rPr>
            </w:pPr>
            <w:r w:rsidRPr="00A86CBE">
              <w:rPr>
                <w:rFonts w:ascii="Tahoma" w:hAnsi="Tahoma" w:cs="Tahoma"/>
                <w:sz w:val="20"/>
                <w:szCs w:val="20"/>
                <w:u w:val="single"/>
              </w:rPr>
              <w:t>Не могут быть приняты в залог жилые дома/таунхаусы:</w:t>
            </w:r>
          </w:p>
          <w:p w14:paraId="21E397E9" w14:textId="77777777" w:rsidR="00951A61" w:rsidRPr="00A86CBE" w:rsidRDefault="00951A61" w:rsidP="00951A61">
            <w:pPr>
              <w:pStyle w:val="affe"/>
              <w:numPr>
                <w:ilvl w:val="0"/>
                <w:numId w:val="32"/>
              </w:numPr>
              <w:ind w:left="0" w:firstLine="425"/>
              <w:contextualSpacing/>
              <w:jc w:val="both"/>
              <w:rPr>
                <w:rFonts w:ascii="Tahoma" w:hAnsi="Tahoma" w:cs="Tahoma"/>
                <w:sz w:val="20"/>
                <w:szCs w:val="20"/>
              </w:rPr>
            </w:pPr>
            <w:r w:rsidRPr="00A86CBE">
              <w:rPr>
                <w:rFonts w:ascii="Tahoma" w:hAnsi="Tahoma" w:cs="Tahoma"/>
                <w:sz w:val="20"/>
                <w:szCs w:val="20"/>
              </w:rPr>
              <w:t>не предназначенные для постоянного проживания (летние, дачные, садовые домики, а также иные строения).</w:t>
            </w:r>
          </w:p>
          <w:p w14:paraId="33477872" w14:textId="77777777" w:rsidR="00951A61" w:rsidRPr="00A86CBE" w:rsidRDefault="00951A61" w:rsidP="00951A61">
            <w:pPr>
              <w:pStyle w:val="affe"/>
              <w:numPr>
                <w:ilvl w:val="0"/>
                <w:numId w:val="32"/>
              </w:numPr>
              <w:ind w:left="0" w:firstLine="425"/>
              <w:contextualSpacing/>
              <w:jc w:val="both"/>
              <w:rPr>
                <w:rFonts w:ascii="Tahoma" w:hAnsi="Tahoma" w:cs="Tahoma"/>
                <w:sz w:val="20"/>
                <w:szCs w:val="20"/>
              </w:rPr>
            </w:pPr>
            <w:r w:rsidRPr="00A86CBE">
              <w:rPr>
                <w:rFonts w:ascii="Tahoma" w:hAnsi="Tahoma" w:cs="Tahoma"/>
                <w:sz w:val="20"/>
                <w:szCs w:val="20"/>
              </w:rPr>
              <w:t>расположенные на землях категории «земли сельскохозяйственного назначения» и разрешенное использование которых не предусматривает возведение жилого строения.</w:t>
            </w:r>
          </w:p>
          <w:p w14:paraId="57E48D19" w14:textId="77777777" w:rsidR="00951A61" w:rsidRPr="00A86CBE" w:rsidRDefault="00951A61" w:rsidP="00951A61">
            <w:pPr>
              <w:pStyle w:val="affe"/>
              <w:numPr>
                <w:ilvl w:val="0"/>
                <w:numId w:val="32"/>
              </w:numPr>
              <w:ind w:left="0" w:firstLine="425"/>
              <w:contextualSpacing/>
              <w:jc w:val="both"/>
              <w:rPr>
                <w:rFonts w:ascii="Tahoma" w:hAnsi="Tahoma" w:cs="Tahoma"/>
                <w:sz w:val="20"/>
                <w:szCs w:val="20"/>
              </w:rPr>
            </w:pPr>
            <w:r w:rsidRPr="00A86CBE">
              <w:rPr>
                <w:rFonts w:ascii="Tahoma" w:hAnsi="Tahoma" w:cs="Tahoma"/>
                <w:sz w:val="20"/>
                <w:szCs w:val="20"/>
              </w:rPr>
              <w:t>расположенные на землях категории «земли промышленности, энергетики, транспорта, связи, радиовещания, телевидения, информатики, земли для обеспечения космической деятельности, земли обороны, безопасности и земли иного специального назначения».</w:t>
            </w:r>
          </w:p>
          <w:p w14:paraId="7605D032" w14:textId="77777777" w:rsidR="00951A61" w:rsidRPr="00A86CBE" w:rsidRDefault="00951A61" w:rsidP="00951A61">
            <w:pPr>
              <w:pStyle w:val="affe"/>
              <w:numPr>
                <w:ilvl w:val="0"/>
                <w:numId w:val="32"/>
              </w:numPr>
              <w:ind w:left="0" w:firstLine="425"/>
              <w:contextualSpacing/>
              <w:jc w:val="both"/>
              <w:rPr>
                <w:rFonts w:ascii="Tahoma" w:hAnsi="Tahoma" w:cs="Tahoma"/>
                <w:sz w:val="20"/>
                <w:szCs w:val="20"/>
              </w:rPr>
            </w:pPr>
            <w:r w:rsidRPr="00A86CBE">
              <w:rPr>
                <w:rFonts w:ascii="Tahoma" w:hAnsi="Tahoma" w:cs="Tahoma"/>
                <w:sz w:val="20"/>
                <w:szCs w:val="20"/>
              </w:rPr>
              <w:t>построенные на земельных участках, принадлежащих Продавцу на правах аренды;</w:t>
            </w:r>
          </w:p>
          <w:p w14:paraId="5810FF61" w14:textId="77777777" w:rsidR="00951A61" w:rsidRPr="00A86CBE" w:rsidRDefault="00951A61" w:rsidP="00951A61">
            <w:pPr>
              <w:pStyle w:val="affe"/>
              <w:numPr>
                <w:ilvl w:val="0"/>
                <w:numId w:val="32"/>
              </w:numPr>
              <w:ind w:left="0" w:firstLine="425"/>
              <w:contextualSpacing/>
              <w:jc w:val="both"/>
              <w:rPr>
                <w:rFonts w:ascii="Tahoma" w:hAnsi="Tahoma" w:cs="Tahoma"/>
                <w:sz w:val="20"/>
                <w:szCs w:val="20"/>
              </w:rPr>
            </w:pPr>
            <w:r w:rsidRPr="00A86CBE">
              <w:rPr>
                <w:rFonts w:ascii="Tahoma" w:hAnsi="Tahoma" w:cs="Tahoma"/>
                <w:sz w:val="20"/>
                <w:szCs w:val="20"/>
              </w:rPr>
              <w:t>расположенные на расстоянии более 50 км от Подразделений Банка.</w:t>
            </w:r>
          </w:p>
          <w:p w14:paraId="1F2217C3" w14:textId="77777777" w:rsidR="00951A61" w:rsidRPr="00A86CBE" w:rsidRDefault="00951A61" w:rsidP="00A4032F">
            <w:pPr>
              <w:ind w:firstLine="425"/>
              <w:jc w:val="both"/>
              <w:rPr>
                <w:rFonts w:ascii="Tahoma" w:hAnsi="Tahoma" w:cs="Tahoma"/>
                <w:sz w:val="20"/>
                <w:szCs w:val="20"/>
              </w:rPr>
            </w:pPr>
          </w:p>
          <w:p w14:paraId="79F6606A" w14:textId="77777777" w:rsidR="00951A61" w:rsidRPr="00A86CBE" w:rsidRDefault="00951A61" w:rsidP="00A4032F">
            <w:pPr>
              <w:ind w:firstLine="425"/>
              <w:jc w:val="both"/>
              <w:rPr>
                <w:rFonts w:ascii="Tahoma" w:hAnsi="Tahoma" w:cs="Tahoma"/>
                <w:sz w:val="20"/>
                <w:szCs w:val="20"/>
              </w:rPr>
            </w:pPr>
            <w:r w:rsidRPr="00A86CBE">
              <w:rPr>
                <w:rFonts w:ascii="Tahoma" w:hAnsi="Tahoma" w:cs="Tahoma"/>
                <w:sz w:val="20"/>
                <w:szCs w:val="20"/>
              </w:rPr>
              <w:t>Все вышеперечисленные в настоящем пункте объекты недвижимости должны соответствовать характеристикам, установленным Решением.</w:t>
            </w:r>
          </w:p>
          <w:p w14:paraId="7BDDB4C5" w14:textId="77777777" w:rsidR="00951A61" w:rsidRPr="00A86CBE" w:rsidRDefault="00951A61" w:rsidP="00A4032F">
            <w:pPr>
              <w:ind w:firstLine="425"/>
              <w:jc w:val="both"/>
              <w:rPr>
                <w:rFonts w:ascii="Tahoma" w:hAnsi="Tahoma" w:cs="Tahoma"/>
                <w:sz w:val="20"/>
                <w:szCs w:val="20"/>
              </w:rPr>
            </w:pPr>
          </w:p>
          <w:p w14:paraId="036CE9EC" w14:textId="77777777" w:rsidR="00951A61" w:rsidRPr="00A86CBE" w:rsidRDefault="00951A61" w:rsidP="00A4032F">
            <w:pPr>
              <w:ind w:firstLine="425"/>
              <w:jc w:val="both"/>
              <w:rPr>
                <w:rFonts w:ascii="Tahoma" w:hAnsi="Tahoma" w:cs="Tahoma"/>
                <w:b/>
                <w:sz w:val="20"/>
                <w:szCs w:val="20"/>
              </w:rPr>
            </w:pPr>
            <w:r w:rsidRPr="00A86CBE">
              <w:rPr>
                <w:rFonts w:ascii="Tahoma" w:hAnsi="Tahoma" w:cs="Tahoma"/>
                <w:b/>
                <w:sz w:val="20"/>
                <w:szCs w:val="20"/>
              </w:rPr>
              <w:t>Иной (некредитуемый) объект недвижимости, предлагаемый в залог, должен:</w:t>
            </w:r>
          </w:p>
          <w:p w14:paraId="0456BC0F" w14:textId="77777777" w:rsidR="00951A61" w:rsidRPr="00A86CBE" w:rsidRDefault="00951A61" w:rsidP="00951A61">
            <w:pPr>
              <w:pStyle w:val="affe"/>
              <w:numPr>
                <w:ilvl w:val="0"/>
                <w:numId w:val="77"/>
              </w:numPr>
              <w:ind w:left="0" w:firstLine="425"/>
              <w:jc w:val="both"/>
              <w:rPr>
                <w:rFonts w:ascii="Tahoma" w:hAnsi="Tahoma" w:cs="Tahoma"/>
                <w:sz w:val="20"/>
                <w:szCs w:val="20"/>
              </w:rPr>
            </w:pPr>
            <w:r w:rsidRPr="00A86CBE">
              <w:rPr>
                <w:rFonts w:ascii="Tahoma" w:hAnsi="Tahoma" w:cs="Tahoma"/>
                <w:sz w:val="20"/>
                <w:szCs w:val="20"/>
              </w:rPr>
              <w:t>быть расположен на территории Российской Федерации;</w:t>
            </w:r>
          </w:p>
          <w:p w14:paraId="0E793D34" w14:textId="77777777" w:rsidR="00951A61" w:rsidRPr="00A86CBE" w:rsidRDefault="00951A61" w:rsidP="00A4032F">
            <w:pPr>
              <w:ind w:firstLine="425"/>
              <w:jc w:val="both"/>
              <w:rPr>
                <w:rFonts w:ascii="Tahoma" w:hAnsi="Tahoma" w:cs="Tahoma"/>
                <w:sz w:val="20"/>
                <w:szCs w:val="20"/>
              </w:rPr>
            </w:pPr>
            <w:r w:rsidRPr="00A86CBE">
              <w:rPr>
                <w:rFonts w:ascii="Tahoma" w:hAnsi="Tahoma" w:cs="Tahoma"/>
                <w:sz w:val="20"/>
                <w:szCs w:val="20"/>
              </w:rPr>
              <w:t>находиться в собственности одного из заемщиков. Среди собственников объекта недвижимости не должно быть несовершеннолетних детей, и/или недееспособных (ограниченно дееспособных) лиц.</w:t>
            </w:r>
          </w:p>
        </w:tc>
      </w:tr>
      <w:tr w:rsidR="00951A61" w:rsidRPr="00234585" w14:paraId="7E127796"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61FB6A78" w14:textId="77777777" w:rsidR="00951A61" w:rsidRPr="00CE1BDB" w:rsidRDefault="00951A61" w:rsidP="00A4032F">
            <w:pPr>
              <w:jc w:val="center"/>
              <w:rPr>
                <w:rFonts w:ascii="Tahoma" w:hAnsi="Tahoma" w:cs="Tahoma"/>
                <w:b/>
                <w:sz w:val="20"/>
                <w:szCs w:val="20"/>
              </w:rPr>
            </w:pPr>
            <w:r w:rsidRPr="008B7EAD">
              <w:rPr>
                <w:rFonts w:ascii="Tahoma" w:hAnsi="Tahoma" w:cs="Tahoma"/>
                <w:b/>
                <w:sz w:val="20"/>
                <w:szCs w:val="20"/>
              </w:rPr>
              <w:lastRenderedPageBreak/>
              <w:t xml:space="preserve">Перечень документов, необходимых для рассмотрения заявления о </w:t>
            </w:r>
            <w:r w:rsidRPr="00CE1BDB">
              <w:rPr>
                <w:rFonts w:ascii="Tahoma" w:hAnsi="Tahoma" w:cs="Tahoma"/>
                <w:b/>
                <w:sz w:val="20"/>
                <w:szCs w:val="20"/>
              </w:rPr>
              <w:lastRenderedPageBreak/>
              <w:t>предоставлении ипотечного кредита, в том числе для оценки кредитоспособности Заемщика</w:t>
            </w:r>
          </w:p>
          <w:p w14:paraId="05306992" w14:textId="77777777" w:rsidR="00951A61" w:rsidRPr="00AB08B7" w:rsidRDefault="00951A61" w:rsidP="00A4032F">
            <w:pPr>
              <w:autoSpaceDE w:val="0"/>
              <w:autoSpaceDN w:val="0"/>
              <w:adjustRightInd w:val="0"/>
              <w:jc w:val="both"/>
              <w:rPr>
                <w:rFonts w:ascii="Tahoma" w:hAnsi="Tahoma" w:cs="Tahoma"/>
                <w:b/>
                <w:sz w:val="20"/>
                <w:szCs w:val="20"/>
              </w:rPr>
            </w:pPr>
          </w:p>
        </w:tc>
        <w:tc>
          <w:tcPr>
            <w:tcW w:w="11452" w:type="dxa"/>
            <w:tcBorders>
              <w:top w:val="single" w:sz="4" w:space="0" w:color="auto"/>
              <w:left w:val="nil"/>
              <w:bottom w:val="single" w:sz="4" w:space="0" w:color="auto"/>
              <w:right w:val="single" w:sz="4" w:space="0" w:color="auto"/>
            </w:tcBorders>
            <w:shd w:val="clear" w:color="auto" w:fill="auto"/>
            <w:vAlign w:val="center"/>
          </w:tcPr>
          <w:p w14:paraId="2D4EAFB3" w14:textId="77777777" w:rsidR="00951A61" w:rsidRPr="008B7EAD" w:rsidRDefault="00951A61" w:rsidP="00951A61">
            <w:pPr>
              <w:pStyle w:val="affe"/>
              <w:numPr>
                <w:ilvl w:val="0"/>
                <w:numId w:val="28"/>
              </w:numPr>
              <w:ind w:left="0" w:firstLine="425"/>
              <w:contextualSpacing/>
              <w:jc w:val="both"/>
              <w:rPr>
                <w:rFonts w:ascii="Tahoma" w:hAnsi="Tahoma" w:cs="Tahoma"/>
                <w:sz w:val="20"/>
                <w:szCs w:val="20"/>
              </w:rPr>
            </w:pPr>
            <w:r w:rsidRPr="008B7EAD">
              <w:rPr>
                <w:rFonts w:ascii="Tahoma" w:hAnsi="Tahoma" w:cs="Tahoma"/>
                <w:sz w:val="20"/>
                <w:szCs w:val="20"/>
              </w:rPr>
              <w:lastRenderedPageBreak/>
              <w:t>Заявление на банковское обслуживание в «Азиатско-Тихоокеанский Банк» (АО);</w:t>
            </w:r>
          </w:p>
          <w:p w14:paraId="3EB73F91" w14:textId="77777777" w:rsidR="00951A61" w:rsidRPr="008B7EAD" w:rsidRDefault="00951A61" w:rsidP="00951A61">
            <w:pPr>
              <w:pStyle w:val="affe"/>
              <w:numPr>
                <w:ilvl w:val="0"/>
                <w:numId w:val="28"/>
              </w:numPr>
              <w:ind w:left="0" w:firstLine="425"/>
              <w:contextualSpacing/>
              <w:jc w:val="both"/>
              <w:rPr>
                <w:rFonts w:ascii="Tahoma" w:hAnsi="Tahoma" w:cs="Tahoma"/>
                <w:sz w:val="20"/>
                <w:szCs w:val="20"/>
              </w:rPr>
            </w:pPr>
            <w:r w:rsidRPr="008B7EAD">
              <w:rPr>
                <w:rFonts w:ascii="Tahoma" w:hAnsi="Tahoma" w:cs="Tahoma"/>
                <w:sz w:val="20"/>
                <w:szCs w:val="20"/>
              </w:rPr>
              <w:t>Паспорт гражданина РФ;</w:t>
            </w:r>
          </w:p>
          <w:p w14:paraId="170E79D7" w14:textId="77777777" w:rsidR="00951A61" w:rsidRPr="008B7EAD" w:rsidRDefault="00951A61" w:rsidP="00951A61">
            <w:pPr>
              <w:pStyle w:val="affe"/>
              <w:numPr>
                <w:ilvl w:val="0"/>
                <w:numId w:val="28"/>
              </w:numPr>
              <w:ind w:left="0" w:firstLine="425"/>
              <w:contextualSpacing/>
              <w:jc w:val="both"/>
              <w:rPr>
                <w:rFonts w:ascii="Tahoma" w:hAnsi="Tahoma" w:cs="Tahoma"/>
                <w:sz w:val="20"/>
                <w:szCs w:val="20"/>
              </w:rPr>
            </w:pPr>
            <w:r w:rsidRPr="008B7EAD">
              <w:rPr>
                <w:rFonts w:ascii="Tahoma" w:hAnsi="Tahoma" w:cs="Tahoma"/>
                <w:sz w:val="20"/>
                <w:szCs w:val="20"/>
              </w:rPr>
              <w:lastRenderedPageBreak/>
              <w:t xml:space="preserve">СНИЛС (для Заемщиков, указанных в п. 1 раздела «Категория Заемщика/Требования к Заемщику, либо к солидарным Заемщикам (к одному из солидарных Заемщиков) по Кредитному договору в рамках Тарифного плана «Дальневосточная </w:t>
            </w:r>
            <w:r w:rsidRPr="00074A60">
              <w:rPr>
                <w:rFonts w:ascii="Tahoma" w:hAnsi="Tahoma" w:cs="Tahoma"/>
                <w:sz w:val="20"/>
                <w:szCs w:val="20"/>
              </w:rPr>
              <w:t xml:space="preserve">и арктическая </w:t>
            </w:r>
            <w:r w:rsidRPr="008B7EAD">
              <w:rPr>
                <w:rFonts w:ascii="Tahoma" w:hAnsi="Tahoma" w:cs="Tahoma"/>
                <w:sz w:val="20"/>
                <w:szCs w:val="20"/>
              </w:rPr>
              <w:t>ипотека» настоящего документа);</w:t>
            </w:r>
          </w:p>
          <w:p w14:paraId="2164F09E" w14:textId="77777777" w:rsidR="00951A61" w:rsidRPr="008B7EAD" w:rsidRDefault="00951A61" w:rsidP="00951A61">
            <w:pPr>
              <w:pStyle w:val="affe"/>
              <w:numPr>
                <w:ilvl w:val="0"/>
                <w:numId w:val="28"/>
              </w:numPr>
              <w:ind w:left="0" w:firstLine="425"/>
              <w:contextualSpacing/>
              <w:jc w:val="both"/>
              <w:rPr>
                <w:rFonts w:ascii="Tahoma" w:hAnsi="Tahoma" w:cs="Tahoma"/>
                <w:sz w:val="20"/>
                <w:szCs w:val="20"/>
              </w:rPr>
            </w:pPr>
            <w:r w:rsidRPr="00CE1BDB">
              <w:rPr>
                <w:rFonts w:ascii="Tahoma" w:hAnsi="Tahoma" w:cs="Tahoma"/>
                <w:sz w:val="20"/>
                <w:szCs w:val="20"/>
              </w:rPr>
              <w:t>свидетельство о рождении - для целей подтверждения даты рождения ребенка заемщика (только в отношении несовершеннолетних детей, для заемщиков, возраст которых не превышает 35 лет, не состоящих в браке и имеющих ребенка в возрасте до 18 лет</w:t>
            </w:r>
            <w:r w:rsidRPr="0019235D">
              <w:rPr>
                <w:rFonts w:ascii="Tahoma" w:hAnsi="Tahoma" w:cs="Tahoma"/>
                <w:sz w:val="20"/>
                <w:szCs w:val="20"/>
              </w:rPr>
              <w:t>) (для Заемщиков, указанных в п. 1 раздела «Категория Заемщика/Требования к Заемщику, либо к солидарны</w:t>
            </w:r>
            <w:r w:rsidRPr="00AB08B7">
              <w:rPr>
                <w:rFonts w:ascii="Tahoma" w:hAnsi="Tahoma" w:cs="Tahoma"/>
                <w:sz w:val="20"/>
                <w:szCs w:val="20"/>
              </w:rPr>
              <w:t>м Заемщикам (к одному из солидарных Заемщиков) по Кредитному договору в рамках Тарифного плана «</w:t>
            </w:r>
            <w:r w:rsidRPr="008B7EAD">
              <w:rPr>
                <w:rFonts w:ascii="Tahoma" w:hAnsi="Tahoma" w:cs="Tahoma"/>
                <w:sz w:val="20"/>
                <w:szCs w:val="20"/>
              </w:rPr>
              <w:t xml:space="preserve">Дальневосточная </w:t>
            </w:r>
            <w:r w:rsidRPr="00074A60">
              <w:rPr>
                <w:rFonts w:ascii="Tahoma" w:hAnsi="Tahoma" w:cs="Tahoma"/>
                <w:sz w:val="20"/>
                <w:szCs w:val="20"/>
              </w:rPr>
              <w:t>и арктическая</w:t>
            </w:r>
            <w:r w:rsidRPr="008B7EAD">
              <w:rPr>
                <w:rFonts w:ascii="Tahoma" w:hAnsi="Tahoma" w:cs="Tahoma"/>
                <w:sz w:val="20"/>
                <w:szCs w:val="20"/>
              </w:rPr>
              <w:t xml:space="preserve"> ипотека» настоящего документа);</w:t>
            </w:r>
          </w:p>
          <w:p w14:paraId="386FAA20" w14:textId="77777777" w:rsidR="00951A61" w:rsidRPr="008B7EAD" w:rsidRDefault="00951A61" w:rsidP="00951A61">
            <w:pPr>
              <w:pStyle w:val="affe"/>
              <w:numPr>
                <w:ilvl w:val="0"/>
                <w:numId w:val="28"/>
              </w:numPr>
              <w:ind w:left="0" w:firstLine="425"/>
              <w:contextualSpacing/>
              <w:jc w:val="both"/>
              <w:rPr>
                <w:rFonts w:ascii="Tahoma" w:hAnsi="Tahoma" w:cs="Tahoma"/>
                <w:sz w:val="20"/>
                <w:szCs w:val="20"/>
              </w:rPr>
            </w:pPr>
            <w:r w:rsidRPr="00CE1BDB">
              <w:rPr>
                <w:rFonts w:ascii="Tahoma" w:hAnsi="Tahoma" w:cs="Tahoma"/>
                <w:sz w:val="20"/>
                <w:szCs w:val="20"/>
              </w:rPr>
              <w:t>свидетельство о регистрации брака - для целей подтверждения регистрации брака (только в отношении заемщиков,</w:t>
            </w:r>
            <w:r w:rsidRPr="0019235D">
              <w:rPr>
                <w:rFonts w:ascii="Tahoma" w:hAnsi="Tahoma" w:cs="Tahoma"/>
                <w:sz w:val="20"/>
                <w:szCs w:val="20"/>
              </w:rPr>
              <w:t xml:space="preserve"> состоящих в браке) (для Заемщиков, указанных в п. 1 раздела «Категория Заемщика/Требования к Заемщику, либо к солидарным Заемщикам (к одному из солидарных Заемщиков) по Кредитному договору в рамках Тарифного плана «</w:t>
            </w:r>
            <w:r w:rsidRPr="00AB08B7">
              <w:rPr>
                <w:rFonts w:ascii="Tahoma" w:hAnsi="Tahoma" w:cs="Tahoma"/>
                <w:sz w:val="20"/>
                <w:szCs w:val="20"/>
              </w:rPr>
              <w:t xml:space="preserve">Дальневосточная </w:t>
            </w:r>
            <w:r w:rsidRPr="00074A60">
              <w:rPr>
                <w:rFonts w:ascii="Tahoma" w:hAnsi="Tahoma" w:cs="Tahoma"/>
                <w:sz w:val="20"/>
                <w:szCs w:val="20"/>
              </w:rPr>
              <w:t>и арктическая</w:t>
            </w:r>
            <w:r w:rsidRPr="008B7EAD">
              <w:rPr>
                <w:rFonts w:ascii="Tahoma" w:hAnsi="Tahoma" w:cs="Tahoma"/>
                <w:sz w:val="20"/>
                <w:szCs w:val="20"/>
              </w:rPr>
              <w:t xml:space="preserve"> ипотека» настоящего документа);</w:t>
            </w:r>
          </w:p>
          <w:p w14:paraId="2EDE6777" w14:textId="77777777" w:rsidR="00951A61" w:rsidRPr="00CE1BDB" w:rsidRDefault="00951A61" w:rsidP="00951A61">
            <w:pPr>
              <w:pStyle w:val="affe"/>
              <w:numPr>
                <w:ilvl w:val="0"/>
                <w:numId w:val="28"/>
              </w:numPr>
              <w:ind w:left="0" w:firstLine="425"/>
              <w:contextualSpacing/>
              <w:jc w:val="both"/>
              <w:rPr>
                <w:rFonts w:ascii="Tahoma" w:hAnsi="Tahoma" w:cs="Tahoma"/>
                <w:sz w:val="20"/>
                <w:szCs w:val="20"/>
              </w:rPr>
            </w:pPr>
            <w:r w:rsidRPr="00CE1BDB">
              <w:rPr>
                <w:rFonts w:ascii="Tahoma" w:hAnsi="Tahoma" w:cs="Tahoma"/>
                <w:sz w:val="20"/>
                <w:szCs w:val="20"/>
              </w:rPr>
              <w:t xml:space="preserve">Документы, подтверждающие занятость заемщика (в зависимости от вида деятельности заемщика — копия трудовой книжки/трудового договора, заверенная работодателем (за исключением категории – </w:t>
            </w:r>
            <w:r w:rsidRPr="0019235D">
              <w:rPr>
                <w:rFonts w:ascii="Tahoma" w:hAnsi="Tahoma" w:cs="Tahoma"/>
                <w:sz w:val="20"/>
                <w:szCs w:val="20"/>
              </w:rPr>
              <w:t>работники Банка),</w:t>
            </w:r>
            <w:r w:rsidRPr="00AB08B7">
              <w:rPr>
                <w:rFonts w:ascii="Tahoma" w:hAnsi="Tahoma" w:cs="Tahoma"/>
                <w:sz w:val="20"/>
                <w:szCs w:val="20"/>
              </w:rPr>
              <w:t xml:space="preserve"> </w:t>
            </w:r>
            <w:r w:rsidRPr="008B7EAD">
              <w:rPr>
                <w:rFonts w:ascii="Tahoma" w:hAnsi="Tahoma" w:cs="Tahoma"/>
                <w:sz w:val="20"/>
                <w:szCs w:val="20"/>
              </w:rPr>
              <w:t>Сведения о состоянии индивидуального лицевого счета застрахованного лица (форма СЗИ-ИЛС) (далее – Выписка из СФР)</w:t>
            </w:r>
            <w:r w:rsidRPr="00AA6F56">
              <w:rPr>
                <w:rFonts w:ascii="Tahoma" w:hAnsi="Tahoma"/>
                <w:sz w:val="20"/>
                <w:szCs w:val="20"/>
              </w:rPr>
              <w:t xml:space="preserve"> </w:t>
            </w:r>
            <w:r w:rsidRPr="00AA6F56">
              <w:rPr>
                <w:rStyle w:val="aff3"/>
                <w:rFonts w:ascii="Tahoma" w:hAnsi="Tahoma"/>
                <w:sz w:val="20"/>
                <w:szCs w:val="20"/>
              </w:rPr>
              <w:footnoteReference w:id="114"/>
            </w:r>
            <w:r w:rsidRPr="008B7EAD">
              <w:rPr>
                <w:rFonts w:ascii="Tahoma" w:hAnsi="Tahoma" w:cs="Tahoma"/>
                <w:sz w:val="20"/>
                <w:szCs w:val="20"/>
              </w:rPr>
              <w:t>, свидетельство о государственной регистрации физического в качестве ИП, свидетельство/уведомление о постановке на налоговый</w:t>
            </w:r>
            <w:r w:rsidRPr="00CE1BDB">
              <w:rPr>
                <w:rFonts w:ascii="Tahoma" w:hAnsi="Tahoma" w:cs="Tahoma"/>
                <w:sz w:val="20"/>
                <w:szCs w:val="20"/>
              </w:rPr>
              <w:t xml:space="preserve"> учет и др.).</w:t>
            </w:r>
          </w:p>
          <w:p w14:paraId="253411E7" w14:textId="77777777" w:rsidR="00951A61" w:rsidRPr="008B7EAD" w:rsidRDefault="00951A61" w:rsidP="00951A61">
            <w:pPr>
              <w:pStyle w:val="affe"/>
              <w:numPr>
                <w:ilvl w:val="0"/>
                <w:numId w:val="28"/>
              </w:numPr>
              <w:ind w:left="0" w:firstLine="425"/>
              <w:contextualSpacing/>
              <w:jc w:val="both"/>
              <w:rPr>
                <w:rFonts w:ascii="Tahoma" w:hAnsi="Tahoma" w:cs="Tahoma"/>
                <w:sz w:val="20"/>
                <w:szCs w:val="20"/>
              </w:rPr>
            </w:pPr>
            <w:r w:rsidRPr="00AB08B7">
              <w:rPr>
                <w:rFonts w:ascii="Tahoma" w:hAnsi="Tahoma" w:cs="Tahoma"/>
                <w:sz w:val="20"/>
                <w:szCs w:val="20"/>
              </w:rPr>
              <w:t>Документы, подтверждающ</w:t>
            </w:r>
            <w:r w:rsidRPr="008B7EAD">
              <w:rPr>
                <w:rFonts w:ascii="Tahoma" w:hAnsi="Tahoma" w:cs="Tahoma"/>
                <w:sz w:val="20"/>
                <w:szCs w:val="20"/>
              </w:rPr>
              <w:t xml:space="preserve">ие доход заемщика (в зависимости от вида деятельности заемщика): </w:t>
            </w:r>
          </w:p>
          <w:p w14:paraId="599FA44E" w14:textId="77777777" w:rsidR="00951A61" w:rsidRPr="008B7EAD" w:rsidRDefault="00951A61" w:rsidP="00951A61">
            <w:pPr>
              <w:pStyle w:val="affe"/>
              <w:numPr>
                <w:ilvl w:val="0"/>
                <w:numId w:val="40"/>
              </w:numPr>
              <w:ind w:left="0" w:firstLine="425"/>
              <w:contextualSpacing/>
              <w:jc w:val="both"/>
              <w:rPr>
                <w:rFonts w:ascii="Tahoma" w:hAnsi="Tahoma" w:cs="Tahoma"/>
                <w:sz w:val="20"/>
                <w:szCs w:val="20"/>
              </w:rPr>
            </w:pPr>
            <w:r w:rsidRPr="008B7EAD">
              <w:rPr>
                <w:rFonts w:ascii="Tahoma" w:hAnsi="Tahoma" w:cs="Tahoma"/>
                <w:sz w:val="20"/>
                <w:szCs w:val="20"/>
              </w:rPr>
              <w:t xml:space="preserve">справка о доходах и суммах налога Заемщика или справка о доходах по форме Банка (любая справка должна содержать ИНН работодателя) или справка о доходах, заверенная работодателем, содержащая всю информацию, которая предусмотрена справкой о доходах по форме Банка, копия налоговой декларации по форме 3-НДФЛ; </w:t>
            </w:r>
          </w:p>
          <w:p w14:paraId="5C6F38EC" w14:textId="77777777" w:rsidR="00951A61" w:rsidRPr="008B7EAD" w:rsidRDefault="00951A61" w:rsidP="00951A61">
            <w:pPr>
              <w:pStyle w:val="affe"/>
              <w:numPr>
                <w:ilvl w:val="0"/>
                <w:numId w:val="40"/>
              </w:numPr>
              <w:ind w:left="0" w:firstLine="425"/>
              <w:contextualSpacing/>
              <w:jc w:val="both"/>
              <w:rPr>
                <w:rFonts w:ascii="Tahoma" w:hAnsi="Tahoma" w:cs="Tahoma"/>
                <w:color w:val="000000" w:themeColor="text1"/>
                <w:sz w:val="20"/>
                <w:szCs w:val="20"/>
              </w:rPr>
            </w:pPr>
            <w:r w:rsidRPr="008B7EAD">
              <w:rPr>
                <w:rFonts w:ascii="Tahoma" w:hAnsi="Tahoma" w:cs="Tahoma"/>
                <w:sz w:val="20"/>
                <w:szCs w:val="20"/>
              </w:rPr>
              <w:t xml:space="preserve">в </w:t>
            </w:r>
            <w:r w:rsidRPr="008B7EAD">
              <w:rPr>
                <w:rFonts w:ascii="Tahoma" w:hAnsi="Tahoma" w:cs="Tahoma"/>
                <w:color w:val="000000" w:themeColor="text1"/>
                <w:sz w:val="20"/>
                <w:szCs w:val="20"/>
              </w:rPr>
              <w:t xml:space="preserve">случае, если у Клиента отсутствует возможность оперативного получения справки о заработной плате, размер его заработной платы допускается подтверждать выпиской с зарплатного счета карты Клиента, заверенной печатью подразделения и подписью работника кредитной организации, выдавшего выписку, при этом в выписке обязательно должно быть указано назначение платежа, позволяющее однозначно идентифицировать, что поступления являются заработной платой Клиента; </w:t>
            </w:r>
          </w:p>
          <w:p w14:paraId="31E7A7DA" w14:textId="77777777" w:rsidR="00951A61" w:rsidRPr="008B7EAD" w:rsidRDefault="00951A61" w:rsidP="00951A61">
            <w:pPr>
              <w:pStyle w:val="affe"/>
              <w:numPr>
                <w:ilvl w:val="0"/>
                <w:numId w:val="40"/>
              </w:numPr>
              <w:ind w:left="0" w:firstLine="425"/>
              <w:contextualSpacing/>
              <w:jc w:val="both"/>
              <w:rPr>
                <w:rFonts w:ascii="Tahoma" w:hAnsi="Tahoma" w:cs="Tahoma"/>
                <w:sz w:val="20"/>
                <w:szCs w:val="20"/>
              </w:rPr>
            </w:pPr>
            <w:r w:rsidRPr="008B7EAD">
              <w:rPr>
                <w:rFonts w:ascii="Tahoma" w:hAnsi="Tahoma" w:cs="Tahoma"/>
                <w:color w:val="000000" w:themeColor="text1"/>
                <w:sz w:val="20"/>
                <w:szCs w:val="20"/>
                <w:lang w:val="en-US"/>
              </w:rPr>
              <w:t>c</w:t>
            </w:r>
            <w:r w:rsidRPr="008B7EAD">
              <w:rPr>
                <w:rFonts w:ascii="Tahoma" w:hAnsi="Tahoma" w:cs="Tahoma"/>
                <w:color w:val="000000" w:themeColor="text1"/>
                <w:sz w:val="20"/>
                <w:szCs w:val="20"/>
              </w:rPr>
              <w:t xml:space="preserve">криншот/выписка из мобильного Банка по зарплатному счету Клиента, который (-ая) должна содержать идентификационные данные Клиента, а также назначение платежа, позволяющее однозначно идентифицировать, что поступления являются заработной платой Клиента, скриншот из мобильного Банка по зарплатному счету Клиента должен быть заверен со стороны Клиента (ФИО, дата, подписи); </w:t>
            </w:r>
          </w:p>
          <w:p w14:paraId="1F1F222D" w14:textId="77777777" w:rsidR="00951A61" w:rsidRPr="008B7EAD" w:rsidRDefault="00951A61" w:rsidP="00951A61">
            <w:pPr>
              <w:pStyle w:val="affe"/>
              <w:numPr>
                <w:ilvl w:val="0"/>
                <w:numId w:val="40"/>
              </w:numPr>
              <w:ind w:left="0" w:firstLine="425"/>
              <w:contextualSpacing/>
              <w:jc w:val="both"/>
              <w:rPr>
                <w:rFonts w:ascii="Tahoma" w:hAnsi="Tahoma" w:cs="Tahoma"/>
                <w:sz w:val="20"/>
                <w:szCs w:val="20"/>
              </w:rPr>
            </w:pPr>
            <w:r w:rsidRPr="008B7EAD">
              <w:rPr>
                <w:rFonts w:ascii="Tahoma" w:hAnsi="Tahoma" w:cs="Tahoma"/>
                <w:color w:val="000000" w:themeColor="text1"/>
                <w:sz w:val="20"/>
                <w:szCs w:val="20"/>
              </w:rPr>
              <w:t>выписка из СФР, сформированная Банком / заверенная Заемщиком;</w:t>
            </w:r>
          </w:p>
          <w:p w14:paraId="086ED2DF" w14:textId="77777777" w:rsidR="00951A61" w:rsidRPr="008B7EAD" w:rsidRDefault="00951A61" w:rsidP="00951A61">
            <w:pPr>
              <w:pStyle w:val="affe"/>
              <w:numPr>
                <w:ilvl w:val="0"/>
                <w:numId w:val="28"/>
              </w:numPr>
              <w:ind w:left="0" w:firstLine="425"/>
              <w:contextualSpacing/>
              <w:jc w:val="both"/>
              <w:rPr>
                <w:rFonts w:ascii="Tahoma" w:hAnsi="Tahoma" w:cs="Tahoma"/>
                <w:sz w:val="20"/>
                <w:szCs w:val="20"/>
              </w:rPr>
            </w:pPr>
            <w:r w:rsidRPr="008B7EAD">
              <w:rPr>
                <w:rFonts w:ascii="Tahoma" w:hAnsi="Tahoma" w:cs="Tahoma"/>
                <w:sz w:val="20"/>
                <w:szCs w:val="20"/>
              </w:rPr>
              <w:t>Военный билет (может быть запрошен в случае необходимости);</w:t>
            </w:r>
          </w:p>
          <w:p w14:paraId="1E9C632B" w14:textId="77777777" w:rsidR="00951A61" w:rsidRPr="008B7EAD" w:rsidRDefault="00951A61" w:rsidP="00951A61">
            <w:pPr>
              <w:pStyle w:val="affe"/>
              <w:numPr>
                <w:ilvl w:val="0"/>
                <w:numId w:val="28"/>
              </w:numPr>
              <w:ind w:left="0" w:firstLine="425"/>
              <w:contextualSpacing/>
              <w:jc w:val="both"/>
              <w:rPr>
                <w:rFonts w:ascii="Tahoma" w:hAnsi="Tahoma" w:cs="Tahoma"/>
                <w:sz w:val="20"/>
                <w:szCs w:val="20"/>
              </w:rPr>
            </w:pPr>
            <w:bookmarkStart w:id="126" w:name="_Ref164697512"/>
            <w:r w:rsidRPr="008B7EAD">
              <w:rPr>
                <w:rFonts w:ascii="Tahoma" w:hAnsi="Tahoma" w:cs="Tahoma"/>
                <w:sz w:val="20"/>
                <w:szCs w:val="20"/>
              </w:rPr>
              <w:t>Заёмщиком-ИП дополнительно предоставляются следующие документы:</w:t>
            </w:r>
            <w:bookmarkEnd w:id="126"/>
          </w:p>
          <w:p w14:paraId="70953E43" w14:textId="77777777" w:rsidR="00951A61" w:rsidRPr="00AA705E" w:rsidRDefault="00951A61" w:rsidP="00951A61">
            <w:pPr>
              <w:pStyle w:val="affe"/>
              <w:numPr>
                <w:ilvl w:val="1"/>
                <w:numId w:val="28"/>
              </w:numPr>
              <w:ind w:left="0" w:firstLine="425"/>
              <w:contextualSpacing/>
              <w:jc w:val="both"/>
              <w:rPr>
                <w:rFonts w:ascii="Tahoma" w:hAnsi="Tahoma" w:cs="Tahoma"/>
                <w:sz w:val="20"/>
                <w:szCs w:val="20"/>
              </w:rPr>
            </w:pPr>
            <w:r w:rsidRPr="008B7EAD">
              <w:rPr>
                <w:rFonts w:ascii="Tahoma" w:hAnsi="Tahoma" w:cs="Tahoma"/>
                <w:sz w:val="20"/>
                <w:szCs w:val="20"/>
              </w:rPr>
              <w:t xml:space="preserve">свидетельство о постановке на учет в качестве ИП/ лицензия на осуществление нотариальной деятельности для </w:t>
            </w:r>
            <w:r w:rsidRPr="00AA705E">
              <w:rPr>
                <w:rFonts w:ascii="Tahoma" w:hAnsi="Tahoma" w:cs="Tahoma"/>
                <w:sz w:val="20"/>
                <w:szCs w:val="20"/>
              </w:rPr>
              <w:t>частных нотариусов/ удостоверение адвоката для адвокатов, учредивших адвокатский кабинет;</w:t>
            </w:r>
          </w:p>
          <w:p w14:paraId="288281C8" w14:textId="77777777" w:rsidR="00951A61" w:rsidRPr="00AA705E" w:rsidRDefault="00951A61" w:rsidP="00951A61">
            <w:pPr>
              <w:pStyle w:val="affe"/>
              <w:numPr>
                <w:ilvl w:val="1"/>
                <w:numId w:val="28"/>
              </w:numPr>
              <w:ind w:left="0" w:firstLine="425"/>
              <w:contextualSpacing/>
              <w:jc w:val="both"/>
              <w:rPr>
                <w:rFonts w:ascii="Tahoma" w:hAnsi="Tahoma" w:cs="Tahoma"/>
                <w:sz w:val="20"/>
                <w:szCs w:val="20"/>
              </w:rPr>
            </w:pPr>
            <w:r w:rsidRPr="00AA705E">
              <w:rPr>
                <w:rFonts w:ascii="Tahoma" w:hAnsi="Tahoma" w:cs="Tahoma"/>
                <w:sz w:val="20"/>
                <w:szCs w:val="20"/>
              </w:rPr>
              <w:t>налоговая декларация/документ, подтверждающий расчет и оплату налога на доходы физических лиц с отметками налогового органа о получении, либо патент;</w:t>
            </w:r>
          </w:p>
          <w:p w14:paraId="31B9AFCC" w14:textId="77777777" w:rsidR="00951A61" w:rsidRPr="008B7EAD" w:rsidRDefault="00951A61" w:rsidP="00951A61">
            <w:pPr>
              <w:pStyle w:val="affe"/>
              <w:numPr>
                <w:ilvl w:val="1"/>
                <w:numId w:val="28"/>
              </w:numPr>
              <w:ind w:left="0" w:firstLine="425"/>
              <w:contextualSpacing/>
              <w:jc w:val="both"/>
              <w:rPr>
                <w:rFonts w:ascii="Tahoma" w:hAnsi="Tahoma" w:cs="Tahoma"/>
                <w:sz w:val="20"/>
                <w:szCs w:val="20"/>
              </w:rPr>
            </w:pPr>
            <w:r w:rsidRPr="00AA705E">
              <w:rPr>
                <w:rFonts w:ascii="Tahoma" w:hAnsi="Tahoma" w:cs="Tahoma"/>
                <w:sz w:val="20"/>
                <w:szCs w:val="20"/>
              </w:rPr>
              <w:lastRenderedPageBreak/>
              <w:t>выписка по счетам Заемщика в формате txt</w:t>
            </w:r>
            <w:r w:rsidRPr="00AA705E">
              <w:rPr>
                <w:rStyle w:val="aff3"/>
                <w:rFonts w:ascii="Tahoma" w:hAnsi="Tahoma" w:cs="Tahoma"/>
                <w:sz w:val="20"/>
                <w:szCs w:val="20"/>
              </w:rPr>
              <w:footnoteReference w:id="115"/>
            </w:r>
            <w:r w:rsidRPr="00AA705E">
              <w:rPr>
                <w:rFonts w:ascii="Tahoma" w:hAnsi="Tahoma" w:cs="Tahoma"/>
                <w:sz w:val="20"/>
                <w:szCs w:val="20"/>
              </w:rPr>
              <w:t>/ квитанции по уплате авансовых платежей/ выписки по счету с указанием уплаты авансовых платежей, уплате единого налога, либо квитанции об уплате стоимости патента в зависимости от системы налогообложения/ квитанции об уплате отчислений в Социальный фонд РФ и Федеральный фонд обязательного медицинского страхования/иные документы, подтверждающие эти отчисления (для предпринимателей, не производящих</w:t>
            </w:r>
            <w:r w:rsidRPr="008B7EAD">
              <w:rPr>
                <w:rFonts w:ascii="Tahoma" w:hAnsi="Tahoma" w:cs="Tahoma"/>
                <w:sz w:val="20"/>
                <w:szCs w:val="20"/>
              </w:rPr>
              <w:t xml:space="preserve"> выплаты, и иные вознаграждения физическим лицам, величина налога на вмененный доход которых равна нулю);</w:t>
            </w:r>
          </w:p>
          <w:p w14:paraId="3B99EC4B" w14:textId="77777777" w:rsidR="00951A61" w:rsidRPr="008B7EAD" w:rsidRDefault="00951A61" w:rsidP="00951A61">
            <w:pPr>
              <w:pStyle w:val="affe"/>
              <w:numPr>
                <w:ilvl w:val="1"/>
                <w:numId w:val="28"/>
              </w:numPr>
              <w:ind w:left="0" w:firstLine="425"/>
              <w:contextualSpacing/>
              <w:jc w:val="both"/>
              <w:rPr>
                <w:rFonts w:ascii="Tahoma" w:hAnsi="Tahoma" w:cs="Tahoma"/>
                <w:sz w:val="20"/>
                <w:szCs w:val="20"/>
              </w:rPr>
            </w:pPr>
            <w:r w:rsidRPr="008B7EAD">
              <w:rPr>
                <w:rFonts w:ascii="Tahoma" w:hAnsi="Tahoma" w:cs="Tahoma"/>
                <w:sz w:val="20"/>
                <w:szCs w:val="20"/>
              </w:rPr>
              <w:t>при необходимости, документы, которые требуются от ИП для анализа его финансово-хозяйственной деятельности по стандартам и с учетом требований нормативных документов Банка.</w:t>
            </w:r>
          </w:p>
          <w:p w14:paraId="1B0AC227" w14:textId="77777777" w:rsidR="00951A61" w:rsidRPr="008B7EAD" w:rsidRDefault="00951A61" w:rsidP="00951A61">
            <w:pPr>
              <w:pStyle w:val="affe"/>
              <w:numPr>
                <w:ilvl w:val="0"/>
                <w:numId w:val="28"/>
              </w:numPr>
              <w:ind w:left="0" w:firstLine="425"/>
              <w:contextualSpacing/>
              <w:jc w:val="both"/>
              <w:rPr>
                <w:rFonts w:ascii="Tahoma" w:hAnsi="Tahoma" w:cs="Tahoma"/>
                <w:sz w:val="20"/>
                <w:szCs w:val="20"/>
              </w:rPr>
            </w:pPr>
            <w:r w:rsidRPr="008B7EAD">
              <w:rPr>
                <w:rFonts w:ascii="Tahoma" w:hAnsi="Tahoma" w:cs="Tahoma"/>
                <w:sz w:val="20"/>
                <w:szCs w:val="20"/>
              </w:rPr>
              <w:t xml:space="preserve">Для самозанятых граждан: </w:t>
            </w:r>
          </w:p>
          <w:p w14:paraId="06C721E5" w14:textId="77777777" w:rsidR="00951A61" w:rsidRPr="008B7EAD" w:rsidRDefault="00951A61" w:rsidP="00951A61">
            <w:pPr>
              <w:pStyle w:val="affe"/>
              <w:numPr>
                <w:ilvl w:val="0"/>
                <w:numId w:val="67"/>
              </w:numPr>
              <w:ind w:left="0" w:firstLine="425"/>
              <w:contextualSpacing/>
              <w:jc w:val="both"/>
              <w:rPr>
                <w:rFonts w:ascii="Tahoma" w:hAnsi="Tahoma" w:cs="Tahoma"/>
                <w:sz w:val="20"/>
                <w:szCs w:val="20"/>
              </w:rPr>
            </w:pPr>
            <w:r w:rsidRPr="008B7EAD">
              <w:rPr>
                <w:rFonts w:ascii="Tahoma" w:hAnsi="Tahoma" w:cs="Tahoma"/>
                <w:sz w:val="20"/>
                <w:szCs w:val="20"/>
              </w:rPr>
              <w:t>справка о постановке на учет самозанятого. Документ может быть сформирован в специализированном мобильном приложении или в веб-кабинете «Мой налог» на официальном сайте ФНС РФ. При корректном формировании электронная справка подписывается электронной подписью ФНС РФ. Данный документ необходимо распечатать и заверить подписью Заемщика;</w:t>
            </w:r>
          </w:p>
          <w:p w14:paraId="206C0BDC" w14:textId="77777777" w:rsidR="00951A61" w:rsidRPr="008B7EAD" w:rsidRDefault="00951A61" w:rsidP="00951A61">
            <w:pPr>
              <w:pStyle w:val="affe"/>
              <w:numPr>
                <w:ilvl w:val="0"/>
                <w:numId w:val="67"/>
              </w:numPr>
              <w:ind w:left="0" w:firstLine="425"/>
              <w:contextualSpacing/>
              <w:jc w:val="both"/>
              <w:rPr>
                <w:rFonts w:ascii="Tahoma" w:hAnsi="Tahoma" w:cs="Tahoma"/>
                <w:sz w:val="20"/>
                <w:szCs w:val="20"/>
              </w:rPr>
            </w:pPr>
            <w:r w:rsidRPr="008B7EAD">
              <w:rPr>
                <w:rFonts w:ascii="Tahoma" w:hAnsi="Tahoma" w:cs="Tahoma"/>
                <w:sz w:val="20"/>
                <w:szCs w:val="20"/>
              </w:rPr>
              <w:t>справка о состоянии расчетов (доходах) по налогу на профессиональный доход для самозанятых (копия, заверенная заемщиком) или оригинал;</w:t>
            </w:r>
          </w:p>
          <w:p w14:paraId="6C0FBD34" w14:textId="77777777" w:rsidR="00951A61" w:rsidRPr="008B7EAD" w:rsidRDefault="00951A61" w:rsidP="00951A61">
            <w:pPr>
              <w:pStyle w:val="affe"/>
              <w:numPr>
                <w:ilvl w:val="0"/>
                <w:numId w:val="40"/>
              </w:numPr>
              <w:ind w:left="0" w:firstLine="425"/>
              <w:contextualSpacing/>
              <w:jc w:val="both"/>
              <w:rPr>
                <w:rFonts w:ascii="Tahoma" w:hAnsi="Tahoma" w:cs="Tahoma"/>
                <w:sz w:val="20"/>
                <w:szCs w:val="20"/>
              </w:rPr>
            </w:pPr>
            <w:r w:rsidRPr="008B7EAD">
              <w:rPr>
                <w:rFonts w:ascii="Tahoma" w:hAnsi="Tahoma" w:cs="Tahoma"/>
                <w:sz w:val="20"/>
                <w:szCs w:val="20"/>
              </w:rPr>
              <w:t>Выписка по банковскому счету Заемщика (оригинал). На дату принятия предварительного решения о выдаче Ипотечного кредита по Заемщику(ам) срок действия должен составлять не более 30 календарных дней (является не обязательным документом и предоставляется дополнительно по запросу работника Банка (в случае необходимости)).</w:t>
            </w:r>
          </w:p>
          <w:p w14:paraId="32DA5C44" w14:textId="77777777" w:rsidR="00951A61" w:rsidRPr="008B7EAD" w:rsidRDefault="00951A61" w:rsidP="00951A61">
            <w:pPr>
              <w:pStyle w:val="affe"/>
              <w:numPr>
                <w:ilvl w:val="0"/>
                <w:numId w:val="28"/>
              </w:numPr>
              <w:ind w:left="0" w:firstLine="425"/>
              <w:contextualSpacing/>
              <w:jc w:val="both"/>
              <w:rPr>
                <w:rFonts w:ascii="Tahoma" w:hAnsi="Tahoma" w:cs="Tahoma"/>
                <w:sz w:val="20"/>
                <w:szCs w:val="20"/>
              </w:rPr>
            </w:pPr>
            <w:r w:rsidRPr="008B7EAD">
              <w:rPr>
                <w:rFonts w:ascii="Tahoma" w:hAnsi="Tahoma" w:cs="Tahoma"/>
                <w:sz w:val="20"/>
                <w:szCs w:val="20"/>
              </w:rPr>
              <w:t>При необходимости Банком могут быть запрошены иные документы.</w:t>
            </w:r>
            <w:r w:rsidRPr="00074A60">
              <w:rPr>
                <w:rFonts w:ascii="Tahoma" w:hAnsi="Tahoma" w:cs="Tahoma"/>
                <w:sz w:val="20"/>
                <w:szCs w:val="20"/>
              </w:rPr>
              <w:fldChar w:fldCharType="begin"/>
            </w:r>
            <w:r w:rsidRPr="008B7EAD">
              <w:rPr>
                <w:rFonts w:ascii="Tahoma" w:hAnsi="Tahoma" w:cs="Tahoma"/>
                <w:sz w:val="20"/>
                <w:szCs w:val="20"/>
              </w:rPr>
              <w:instrText xml:space="preserve"> DOCVARIABLE  ATB_ADDRESS_REG </w:instrText>
            </w:r>
            <w:r w:rsidRPr="00074A60">
              <w:rPr>
                <w:rFonts w:ascii="Tahoma" w:hAnsi="Tahoma" w:cs="Tahoma"/>
                <w:sz w:val="20"/>
                <w:szCs w:val="20"/>
              </w:rPr>
              <w:fldChar w:fldCharType="end"/>
            </w:r>
          </w:p>
        </w:tc>
      </w:tr>
      <w:tr w:rsidR="00951A61" w:rsidRPr="00234585" w14:paraId="005F0924"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2582C25C" w14:textId="77777777" w:rsidR="00951A61" w:rsidRPr="008B7EAD" w:rsidRDefault="00951A61" w:rsidP="00A4032F">
            <w:pPr>
              <w:jc w:val="center"/>
              <w:rPr>
                <w:rFonts w:ascii="Tahoma" w:hAnsi="Tahoma" w:cs="Tahoma"/>
                <w:b/>
                <w:sz w:val="20"/>
                <w:szCs w:val="20"/>
              </w:rPr>
            </w:pPr>
            <w:r w:rsidRPr="008B7EAD">
              <w:rPr>
                <w:rFonts w:ascii="Tahoma" w:hAnsi="Tahoma" w:cs="Tahoma"/>
                <w:b/>
                <w:sz w:val="20"/>
                <w:szCs w:val="20"/>
              </w:rPr>
              <w:lastRenderedPageBreak/>
              <w:t>Перечень документов по объекту недвижимости, передаваемому в залог Банку</w:t>
            </w:r>
          </w:p>
          <w:p w14:paraId="2467097B" w14:textId="77777777" w:rsidR="00951A61" w:rsidRPr="00CE1BDB" w:rsidRDefault="00951A61" w:rsidP="00A4032F">
            <w:pPr>
              <w:jc w:val="center"/>
              <w:rPr>
                <w:rFonts w:ascii="Tahoma" w:hAnsi="Tahoma" w:cs="Tahoma"/>
                <w:b/>
                <w:sz w:val="20"/>
                <w:szCs w:val="20"/>
              </w:rPr>
            </w:pPr>
          </w:p>
        </w:tc>
        <w:tc>
          <w:tcPr>
            <w:tcW w:w="11452" w:type="dxa"/>
            <w:tcBorders>
              <w:top w:val="single" w:sz="4" w:space="0" w:color="auto"/>
              <w:left w:val="nil"/>
              <w:bottom w:val="single" w:sz="4" w:space="0" w:color="auto"/>
              <w:right w:val="single" w:sz="4" w:space="0" w:color="auto"/>
            </w:tcBorders>
            <w:shd w:val="clear" w:color="auto" w:fill="auto"/>
            <w:vAlign w:val="center"/>
          </w:tcPr>
          <w:p w14:paraId="1FE38728" w14:textId="77777777" w:rsidR="00951A61" w:rsidRPr="00AB08B7" w:rsidRDefault="00951A61" w:rsidP="00A4032F">
            <w:pPr>
              <w:ind w:firstLine="425"/>
              <w:jc w:val="both"/>
              <w:rPr>
                <w:rFonts w:ascii="Tahoma" w:hAnsi="Tahoma" w:cs="Tahoma"/>
                <w:b/>
                <w:sz w:val="20"/>
                <w:szCs w:val="20"/>
              </w:rPr>
            </w:pPr>
            <w:r w:rsidRPr="00AB08B7">
              <w:rPr>
                <w:rFonts w:ascii="Tahoma" w:hAnsi="Tahoma" w:cs="Tahoma"/>
                <w:b/>
                <w:sz w:val="20"/>
                <w:szCs w:val="20"/>
              </w:rPr>
              <w:t>При приобретении находящегося на этапе строительства жилого помещения</w:t>
            </w:r>
          </w:p>
          <w:p w14:paraId="76C4CA57" w14:textId="77777777" w:rsidR="00951A61" w:rsidRPr="008B7EAD" w:rsidRDefault="00951A61" w:rsidP="00A4032F">
            <w:pPr>
              <w:ind w:firstLine="425"/>
              <w:jc w:val="both"/>
              <w:rPr>
                <w:rFonts w:ascii="Tahoma" w:hAnsi="Tahoma" w:cs="Tahoma"/>
                <w:sz w:val="20"/>
                <w:szCs w:val="20"/>
              </w:rPr>
            </w:pPr>
            <w:r w:rsidRPr="008B7EAD">
              <w:rPr>
                <w:rFonts w:ascii="Tahoma" w:hAnsi="Tahoma" w:cs="Tahoma"/>
                <w:sz w:val="20"/>
                <w:szCs w:val="20"/>
              </w:rPr>
              <w:t>Проект Договора долевого участия в строительстве/проект Договора долевого участия в строительстве (в случае приобретения имущественных прав по договору уступки прав - проект договора уступки прав требования по договору участия в долевом строительстве многоквартирного дома, а также копия Договора долевого участия в строительстве, согласно которому цедент обладает Имущественными правами).</w:t>
            </w:r>
          </w:p>
          <w:p w14:paraId="76937060" w14:textId="77777777" w:rsidR="00951A61" w:rsidRPr="008B7EAD" w:rsidRDefault="00951A61" w:rsidP="00A4032F">
            <w:pPr>
              <w:ind w:firstLine="425"/>
              <w:jc w:val="both"/>
              <w:rPr>
                <w:rFonts w:ascii="Tahoma" w:hAnsi="Tahoma" w:cs="Tahoma"/>
                <w:sz w:val="20"/>
                <w:szCs w:val="20"/>
              </w:rPr>
            </w:pPr>
            <w:r w:rsidRPr="008B7EAD">
              <w:rPr>
                <w:rFonts w:ascii="Tahoma" w:hAnsi="Tahoma" w:cs="Tahoma"/>
                <w:b/>
                <w:sz w:val="20"/>
                <w:szCs w:val="20"/>
              </w:rPr>
              <w:t>При приобретении готового жилого помещения и/или строительстве индивидуального жилого дома:</w:t>
            </w:r>
          </w:p>
          <w:p w14:paraId="114B0DFC" w14:textId="77777777" w:rsidR="00951A61" w:rsidRPr="008B7EAD" w:rsidRDefault="00951A61" w:rsidP="00A4032F">
            <w:pPr>
              <w:ind w:firstLine="425"/>
              <w:jc w:val="both"/>
              <w:rPr>
                <w:rFonts w:ascii="Tahoma" w:hAnsi="Tahoma" w:cs="Tahoma"/>
                <w:sz w:val="20"/>
                <w:szCs w:val="20"/>
              </w:rPr>
            </w:pPr>
            <w:r w:rsidRPr="008B7EAD">
              <w:rPr>
                <w:rFonts w:ascii="Tahoma" w:hAnsi="Tahoma" w:cs="Tahoma"/>
                <w:sz w:val="20"/>
                <w:szCs w:val="20"/>
              </w:rPr>
              <w:t>Отчет об оценке предмета ипотеки</w:t>
            </w:r>
            <w:r w:rsidRPr="008B7EAD">
              <w:rPr>
                <w:rStyle w:val="aff3"/>
                <w:rFonts w:ascii="Tahoma" w:hAnsi="Tahoma" w:cs="Tahoma"/>
                <w:sz w:val="20"/>
                <w:szCs w:val="20"/>
              </w:rPr>
              <w:footnoteReference w:id="116"/>
            </w:r>
            <w:r w:rsidRPr="008B7EAD">
              <w:rPr>
                <w:rFonts w:ascii="Tahoma" w:hAnsi="Tahoma" w:cs="Tahoma"/>
                <w:sz w:val="20"/>
                <w:szCs w:val="20"/>
              </w:rPr>
              <w:t>;</w:t>
            </w:r>
          </w:p>
          <w:p w14:paraId="076440CF" w14:textId="77777777" w:rsidR="00951A61" w:rsidRPr="00CE1BDB" w:rsidRDefault="00951A61" w:rsidP="00A4032F">
            <w:pPr>
              <w:ind w:firstLine="425"/>
              <w:jc w:val="both"/>
              <w:rPr>
                <w:rFonts w:ascii="Tahoma" w:hAnsi="Tahoma" w:cs="Tahoma"/>
                <w:sz w:val="20"/>
                <w:szCs w:val="20"/>
              </w:rPr>
            </w:pPr>
            <w:r w:rsidRPr="00CE1BDB">
              <w:rPr>
                <w:rFonts w:ascii="Tahoma" w:hAnsi="Tahoma" w:cs="Tahoma"/>
                <w:sz w:val="20"/>
                <w:szCs w:val="20"/>
              </w:rPr>
              <w:t>Правоустанавливающие и правоподтверждающие документы на объект недвижимости (договор купли-продажи, мены, дарения и т. п., свидетельство о государственной регистрации права собственности на недвижимость (при наличии) или выписка из ЕГРН);</w:t>
            </w:r>
          </w:p>
          <w:p w14:paraId="2C170AE2" w14:textId="77777777" w:rsidR="00951A61" w:rsidRPr="00AB08B7" w:rsidRDefault="00951A61" w:rsidP="00A4032F">
            <w:pPr>
              <w:ind w:firstLine="425"/>
              <w:jc w:val="both"/>
              <w:rPr>
                <w:rFonts w:ascii="Tahoma" w:hAnsi="Tahoma" w:cs="Tahoma"/>
                <w:sz w:val="20"/>
                <w:szCs w:val="20"/>
              </w:rPr>
            </w:pPr>
            <w:r w:rsidRPr="00AB08B7">
              <w:rPr>
                <w:rFonts w:ascii="Tahoma" w:hAnsi="Tahoma" w:cs="Tahoma"/>
                <w:sz w:val="20"/>
                <w:szCs w:val="20"/>
              </w:rPr>
              <w:t>Кадастровый или технический паспорт/план (техническая документация).</w:t>
            </w:r>
          </w:p>
          <w:p w14:paraId="0B095719" w14:textId="77777777" w:rsidR="00951A61" w:rsidRPr="008B7EAD" w:rsidRDefault="00951A61" w:rsidP="00A4032F">
            <w:pPr>
              <w:ind w:firstLine="425"/>
              <w:jc w:val="both"/>
              <w:rPr>
                <w:rFonts w:ascii="Tahoma" w:hAnsi="Tahoma" w:cs="Tahoma"/>
                <w:sz w:val="20"/>
                <w:szCs w:val="20"/>
              </w:rPr>
            </w:pPr>
            <w:r w:rsidRPr="008B7EAD">
              <w:rPr>
                <w:rFonts w:ascii="Tahoma" w:hAnsi="Tahoma" w:cs="Tahoma"/>
                <w:sz w:val="20"/>
                <w:szCs w:val="20"/>
              </w:rPr>
              <w:t>При необходимости Банком могут быть запрошены иные документы.</w:t>
            </w:r>
          </w:p>
        </w:tc>
      </w:tr>
      <w:tr w:rsidR="00951A61" w:rsidRPr="00234585" w14:paraId="6FE1D91B"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58EE6040" w14:textId="77777777" w:rsidR="00951A61" w:rsidRPr="00CE1BDB" w:rsidRDefault="00951A61" w:rsidP="00A4032F">
            <w:pPr>
              <w:jc w:val="center"/>
              <w:rPr>
                <w:rFonts w:ascii="Tahoma" w:hAnsi="Tahoma" w:cs="Tahoma"/>
                <w:b/>
                <w:sz w:val="20"/>
                <w:szCs w:val="20"/>
              </w:rPr>
            </w:pPr>
            <w:r w:rsidRPr="008B7EAD">
              <w:rPr>
                <w:rFonts w:ascii="Tahoma" w:hAnsi="Tahoma" w:cs="Tahoma"/>
                <w:b/>
                <w:sz w:val="20"/>
                <w:szCs w:val="20"/>
              </w:rPr>
              <w:t xml:space="preserve">Информация об иных договорах, которые Заемщик обязан заключить, и (или) иных услугах (работах, товарах), которые он обязан приобрести в связи с Кредитным договором, а также информация о возможности </w:t>
            </w:r>
            <w:r w:rsidRPr="008B7EAD">
              <w:rPr>
                <w:rFonts w:ascii="Tahoma" w:hAnsi="Tahoma" w:cs="Tahoma"/>
                <w:b/>
                <w:sz w:val="20"/>
                <w:szCs w:val="20"/>
              </w:rPr>
              <w:lastRenderedPageBreak/>
              <w:t>Заемщика согласиться с заключением таких договоров и (или) приобретением таких услуг (работ, товаров) либо отказаться от них</w:t>
            </w:r>
          </w:p>
        </w:tc>
        <w:tc>
          <w:tcPr>
            <w:tcW w:w="11452" w:type="dxa"/>
            <w:tcBorders>
              <w:top w:val="single" w:sz="4" w:space="0" w:color="auto"/>
              <w:left w:val="nil"/>
              <w:bottom w:val="single" w:sz="4" w:space="0" w:color="auto"/>
              <w:right w:val="single" w:sz="4" w:space="0" w:color="auto"/>
            </w:tcBorders>
            <w:shd w:val="clear" w:color="auto" w:fill="auto"/>
            <w:vAlign w:val="center"/>
          </w:tcPr>
          <w:p w14:paraId="4BEF5D9A" w14:textId="77777777" w:rsidR="00951A61" w:rsidRPr="008B7EAD" w:rsidRDefault="00951A61" w:rsidP="00A4032F">
            <w:pPr>
              <w:ind w:firstLine="425"/>
              <w:jc w:val="both"/>
              <w:rPr>
                <w:rFonts w:ascii="Tahoma" w:hAnsi="Tahoma" w:cs="Tahoma"/>
                <w:sz w:val="20"/>
                <w:szCs w:val="20"/>
              </w:rPr>
            </w:pPr>
            <w:r w:rsidRPr="00AB08B7">
              <w:rPr>
                <w:rFonts w:ascii="Tahoma" w:hAnsi="Tahoma" w:cs="Tahoma"/>
                <w:sz w:val="20"/>
                <w:szCs w:val="20"/>
              </w:rPr>
              <w:lastRenderedPageBreak/>
              <w:t xml:space="preserve">Заключение между </w:t>
            </w:r>
            <w:r w:rsidRPr="008B7EAD">
              <w:rPr>
                <w:rFonts w:ascii="Tahoma" w:hAnsi="Tahoma" w:cs="Tahoma"/>
                <w:sz w:val="20"/>
                <w:szCs w:val="20"/>
              </w:rPr>
              <w:t>Банком и Заемщиком договора банковского счета (на основании которого Заемщику Банком открывается ТБС), элементы которого содержатся в Договоре, что делает Договор смешанным, содержащим элементы договора банковского счета и Кредитного договора, и обязательным к заключению.</w:t>
            </w:r>
          </w:p>
          <w:p w14:paraId="38E6C9D1" w14:textId="77777777" w:rsidR="00951A61" w:rsidRPr="008B7EAD" w:rsidRDefault="00951A61" w:rsidP="00A4032F">
            <w:pPr>
              <w:ind w:firstLine="425"/>
              <w:jc w:val="both"/>
              <w:rPr>
                <w:rFonts w:ascii="Tahoma" w:hAnsi="Tahoma" w:cs="Tahoma"/>
                <w:sz w:val="20"/>
                <w:szCs w:val="20"/>
              </w:rPr>
            </w:pPr>
            <w:r w:rsidRPr="008B7EAD">
              <w:rPr>
                <w:rFonts w:ascii="Tahoma" w:hAnsi="Tahoma" w:cs="Tahoma"/>
                <w:b/>
                <w:sz w:val="20"/>
                <w:szCs w:val="20"/>
              </w:rPr>
              <w:t>При приобретении находящегося на этапе строительства жилого помещения:</w:t>
            </w:r>
          </w:p>
          <w:p w14:paraId="08D92DD9" w14:textId="77777777" w:rsidR="00951A61" w:rsidRPr="008B7EAD" w:rsidRDefault="00951A61" w:rsidP="00A4032F">
            <w:pPr>
              <w:ind w:firstLine="425"/>
              <w:jc w:val="both"/>
              <w:rPr>
                <w:rFonts w:ascii="Tahoma" w:hAnsi="Tahoma" w:cs="Tahoma"/>
                <w:sz w:val="20"/>
                <w:szCs w:val="20"/>
              </w:rPr>
            </w:pPr>
            <w:r w:rsidRPr="008B7EAD">
              <w:rPr>
                <w:rFonts w:ascii="Tahoma" w:hAnsi="Tahoma" w:cs="Tahoma"/>
                <w:sz w:val="20"/>
                <w:szCs w:val="20"/>
              </w:rPr>
              <w:t>После завершения строительства Объекта недвижимости заключение Договора/полиса имущественного страхования (страхование в соответствии с тарифами страховой компании рисков, связанных с утратой или повреждением недвижимого имущества, находящегося в залоге).</w:t>
            </w:r>
          </w:p>
          <w:p w14:paraId="0EC085EC" w14:textId="77777777" w:rsidR="00951A61" w:rsidRPr="008B7EAD" w:rsidRDefault="00951A61" w:rsidP="00A4032F">
            <w:pPr>
              <w:ind w:firstLine="425"/>
              <w:jc w:val="both"/>
              <w:rPr>
                <w:rFonts w:ascii="Tahoma" w:hAnsi="Tahoma" w:cs="Tahoma"/>
                <w:sz w:val="20"/>
                <w:szCs w:val="20"/>
              </w:rPr>
            </w:pPr>
            <w:r w:rsidRPr="008B7EAD">
              <w:rPr>
                <w:rFonts w:ascii="Tahoma" w:hAnsi="Tahoma" w:cs="Tahoma"/>
                <w:b/>
                <w:sz w:val="20"/>
                <w:szCs w:val="20"/>
              </w:rPr>
              <w:lastRenderedPageBreak/>
              <w:t>При приобретении/передаче в залог готового жилого помещения:</w:t>
            </w:r>
          </w:p>
          <w:p w14:paraId="0ADE6908" w14:textId="77777777" w:rsidR="00951A61" w:rsidRPr="008B7EAD" w:rsidRDefault="00951A61" w:rsidP="00A4032F">
            <w:pPr>
              <w:ind w:firstLine="425"/>
              <w:jc w:val="both"/>
              <w:rPr>
                <w:rFonts w:ascii="Tahoma" w:hAnsi="Tahoma" w:cs="Tahoma"/>
                <w:sz w:val="20"/>
                <w:szCs w:val="20"/>
              </w:rPr>
            </w:pPr>
            <w:r w:rsidRPr="008B7EAD">
              <w:rPr>
                <w:rFonts w:ascii="Tahoma" w:hAnsi="Tahoma" w:cs="Tahoma"/>
                <w:sz w:val="20"/>
                <w:szCs w:val="20"/>
              </w:rPr>
              <w:t xml:space="preserve">Договор/полис имущественного страхования, страхования рисков, связанных с утратой или повреждением недвижимого имущества, находящегося в залоге (в соответствии с тарифами страховой компании). </w:t>
            </w:r>
          </w:p>
          <w:p w14:paraId="11701786" w14:textId="77777777" w:rsidR="00951A61" w:rsidRPr="008B7EAD" w:rsidRDefault="00951A61" w:rsidP="00A4032F">
            <w:pPr>
              <w:ind w:firstLine="425"/>
              <w:jc w:val="both"/>
              <w:rPr>
                <w:rFonts w:ascii="Tahoma" w:hAnsi="Tahoma" w:cs="Tahoma"/>
                <w:sz w:val="20"/>
                <w:szCs w:val="20"/>
              </w:rPr>
            </w:pPr>
            <w:r w:rsidRPr="008B7EAD">
              <w:rPr>
                <w:rFonts w:ascii="Tahoma" w:hAnsi="Tahoma" w:cs="Tahoma"/>
                <w:sz w:val="20"/>
                <w:szCs w:val="20"/>
              </w:rPr>
              <w:t>Заключение договора о проведении оценки предмета ипотеки (при приобретении Объекта недвижимости на этапе строительства заключение договора осуществляется после завершения строительства).</w:t>
            </w:r>
          </w:p>
          <w:p w14:paraId="14432B53" w14:textId="77777777" w:rsidR="00951A61" w:rsidRPr="008B7EAD" w:rsidRDefault="00951A61" w:rsidP="00A4032F">
            <w:pPr>
              <w:ind w:firstLine="425"/>
              <w:jc w:val="both"/>
              <w:rPr>
                <w:rFonts w:ascii="Tahoma" w:hAnsi="Tahoma" w:cs="Tahoma"/>
                <w:sz w:val="20"/>
                <w:szCs w:val="20"/>
              </w:rPr>
            </w:pPr>
            <w:r w:rsidRPr="008B7EAD">
              <w:rPr>
                <w:rFonts w:ascii="Tahoma" w:hAnsi="Tahoma" w:cs="Tahoma"/>
                <w:sz w:val="20"/>
                <w:szCs w:val="20"/>
              </w:rPr>
              <w:t>Заемщик может согласиться с заключением выше перечисленных договоров и (или) приобретением таких услуг (работ, товаров) либо отказаться от них</w:t>
            </w:r>
            <w:r w:rsidRPr="008B7EAD">
              <w:rPr>
                <w:rStyle w:val="aff3"/>
                <w:rFonts w:ascii="Tahoma" w:hAnsi="Tahoma" w:cs="Tahoma"/>
                <w:sz w:val="20"/>
                <w:szCs w:val="20"/>
              </w:rPr>
              <w:footnoteReference w:id="117"/>
            </w:r>
            <w:r w:rsidRPr="008B7EAD">
              <w:rPr>
                <w:rFonts w:ascii="Tahoma" w:hAnsi="Tahoma" w:cs="Tahoma"/>
                <w:sz w:val="20"/>
                <w:szCs w:val="20"/>
              </w:rPr>
              <w:t>.</w:t>
            </w:r>
          </w:p>
        </w:tc>
      </w:tr>
      <w:tr w:rsidR="00951A61" w:rsidRPr="00234585" w14:paraId="39CA8D51"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4652C55D" w14:textId="77777777" w:rsidR="00951A61" w:rsidRPr="008B7EAD" w:rsidRDefault="00951A61" w:rsidP="00A4032F">
            <w:pPr>
              <w:autoSpaceDE w:val="0"/>
              <w:autoSpaceDN w:val="0"/>
              <w:adjustRightInd w:val="0"/>
              <w:jc w:val="center"/>
              <w:rPr>
                <w:rFonts w:ascii="Tahoma" w:hAnsi="Tahoma" w:cs="Tahoma"/>
                <w:sz w:val="20"/>
                <w:szCs w:val="20"/>
              </w:rPr>
            </w:pPr>
            <w:r w:rsidRPr="008B7EAD">
              <w:rPr>
                <w:rFonts w:ascii="Tahoma" w:hAnsi="Tahoma" w:cs="Tahoma"/>
                <w:b/>
                <w:color w:val="000000"/>
                <w:sz w:val="20"/>
                <w:szCs w:val="20"/>
              </w:rPr>
              <w:lastRenderedPageBreak/>
              <w:t xml:space="preserve">Информация об определении курса </w:t>
            </w:r>
            <w:r w:rsidRPr="00CE1BDB">
              <w:rPr>
                <w:rFonts w:ascii="Tahoma" w:hAnsi="Tahoma" w:cs="Tahoma"/>
                <w:b/>
                <w:color w:val="000000"/>
                <w:sz w:val="20"/>
                <w:szCs w:val="20"/>
              </w:rPr>
              <w:t xml:space="preserve">иностранной валюты в случае, если валюта, в которой осуществляется перевод денежных средств Банком третьему лицу, указанному Заемщиком при предоставлении </w:t>
            </w:r>
            <w:r w:rsidRPr="00AB08B7">
              <w:rPr>
                <w:rFonts w:ascii="Tahoma" w:hAnsi="Tahoma" w:cs="Tahoma"/>
                <w:b/>
                <w:color w:val="000000"/>
                <w:sz w:val="20"/>
                <w:szCs w:val="20"/>
              </w:rPr>
              <w:t>потребительского кредита</w:t>
            </w:r>
            <w:r w:rsidRPr="008B7EAD">
              <w:rPr>
                <w:rFonts w:ascii="Tahoma" w:hAnsi="Tahoma" w:cs="Tahoma"/>
                <w:b/>
                <w:color w:val="000000"/>
                <w:sz w:val="20"/>
                <w:szCs w:val="20"/>
              </w:rPr>
              <w:t>, отличается от валюты, в которой предоставлен Кредит</w:t>
            </w:r>
          </w:p>
        </w:tc>
        <w:tc>
          <w:tcPr>
            <w:tcW w:w="11452" w:type="dxa"/>
            <w:tcBorders>
              <w:top w:val="single" w:sz="4" w:space="0" w:color="auto"/>
              <w:left w:val="nil"/>
              <w:bottom w:val="single" w:sz="4" w:space="0" w:color="auto"/>
              <w:right w:val="single" w:sz="4" w:space="0" w:color="auto"/>
            </w:tcBorders>
            <w:shd w:val="clear" w:color="auto" w:fill="auto"/>
            <w:vAlign w:val="center"/>
          </w:tcPr>
          <w:p w14:paraId="706A51A1" w14:textId="77777777" w:rsidR="00951A61" w:rsidRPr="008B7EAD" w:rsidRDefault="00951A61" w:rsidP="00A4032F">
            <w:pPr>
              <w:ind w:firstLine="425"/>
              <w:jc w:val="both"/>
              <w:rPr>
                <w:rFonts w:ascii="Tahoma" w:hAnsi="Tahoma" w:cs="Tahoma"/>
                <w:sz w:val="20"/>
                <w:szCs w:val="20"/>
              </w:rPr>
            </w:pPr>
            <w:r w:rsidRPr="008B7EAD">
              <w:rPr>
                <w:rFonts w:ascii="Tahoma" w:hAnsi="Tahoma" w:cs="Tahoma"/>
                <w:color w:val="000000"/>
                <w:sz w:val="20"/>
                <w:szCs w:val="20"/>
              </w:rPr>
              <w:t>Не применимо</w:t>
            </w:r>
          </w:p>
        </w:tc>
      </w:tr>
      <w:tr w:rsidR="00951A61" w:rsidRPr="00234585" w14:paraId="59C89EC3"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2A9C31C5" w14:textId="77777777" w:rsidR="00951A61" w:rsidRPr="00CE1BDB" w:rsidRDefault="00951A61" w:rsidP="00A4032F">
            <w:pPr>
              <w:autoSpaceDE w:val="0"/>
              <w:autoSpaceDN w:val="0"/>
              <w:adjustRightInd w:val="0"/>
              <w:jc w:val="center"/>
              <w:rPr>
                <w:rFonts w:ascii="Tahoma" w:hAnsi="Tahoma" w:cs="Tahoma"/>
                <w:sz w:val="20"/>
                <w:szCs w:val="20"/>
              </w:rPr>
            </w:pPr>
            <w:r w:rsidRPr="008B7EAD">
              <w:rPr>
                <w:rFonts w:ascii="Tahoma" w:hAnsi="Tahoma" w:cs="Tahoma"/>
                <w:b/>
                <w:color w:val="000000"/>
                <w:sz w:val="20"/>
                <w:szCs w:val="20"/>
              </w:rPr>
              <w:t>Информация о возможном увеличении суммы расходов Заемщика по сравнению с ожидаемой суммой расходов в рублях, в том числе при применении переменной процентной ставки, а также информация о том, что изменение курса иностранной валюты в прошлом не свидетельствует об изм</w:t>
            </w:r>
            <w:r w:rsidRPr="00CE1BDB">
              <w:rPr>
                <w:rFonts w:ascii="Tahoma" w:hAnsi="Tahoma" w:cs="Tahoma"/>
                <w:b/>
                <w:color w:val="000000"/>
                <w:sz w:val="20"/>
                <w:szCs w:val="20"/>
              </w:rPr>
              <w:t>енении ее курса в будущем, и информация о повышенных рисках Заемщика, получающего доходы в валюте, отличной от валюты Кредита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452E2822" w14:textId="77777777" w:rsidR="00951A61" w:rsidRPr="00AB08B7" w:rsidRDefault="00951A61" w:rsidP="00A4032F">
            <w:pPr>
              <w:ind w:firstLine="425"/>
              <w:jc w:val="both"/>
              <w:rPr>
                <w:rFonts w:ascii="Tahoma" w:hAnsi="Tahoma" w:cs="Tahoma"/>
                <w:color w:val="000000"/>
                <w:sz w:val="20"/>
                <w:szCs w:val="20"/>
              </w:rPr>
            </w:pPr>
          </w:p>
          <w:p w14:paraId="16C68AD4" w14:textId="77777777" w:rsidR="00951A61" w:rsidRPr="008B7EAD" w:rsidRDefault="00951A61" w:rsidP="00A4032F">
            <w:pPr>
              <w:ind w:firstLine="425"/>
              <w:jc w:val="both"/>
              <w:rPr>
                <w:rFonts w:ascii="Tahoma" w:hAnsi="Tahoma" w:cs="Tahoma"/>
                <w:color w:val="000000"/>
                <w:sz w:val="20"/>
                <w:szCs w:val="20"/>
              </w:rPr>
            </w:pPr>
            <w:r w:rsidRPr="008B7EAD">
              <w:rPr>
                <w:rFonts w:ascii="Tahoma" w:hAnsi="Tahoma" w:cs="Tahoma"/>
                <w:color w:val="000000"/>
                <w:sz w:val="20"/>
                <w:szCs w:val="20"/>
              </w:rPr>
              <w:t>Не применимо</w:t>
            </w:r>
          </w:p>
        </w:tc>
      </w:tr>
      <w:tr w:rsidR="00951A61" w:rsidRPr="00234585" w14:paraId="7BD3210F"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007F7E14" w14:textId="77777777" w:rsidR="00951A61" w:rsidRPr="00CE1BDB" w:rsidRDefault="00951A61" w:rsidP="00A4032F">
            <w:pPr>
              <w:autoSpaceDE w:val="0"/>
              <w:autoSpaceDN w:val="0"/>
              <w:adjustRightInd w:val="0"/>
              <w:jc w:val="center"/>
              <w:rPr>
                <w:rFonts w:ascii="Tahoma" w:hAnsi="Tahoma" w:cs="Tahoma"/>
                <w:sz w:val="20"/>
                <w:szCs w:val="20"/>
              </w:rPr>
            </w:pPr>
            <w:r w:rsidRPr="008B7EAD">
              <w:rPr>
                <w:rFonts w:ascii="Tahoma" w:hAnsi="Tahoma" w:cs="Tahoma"/>
                <w:b/>
                <w:sz w:val="20"/>
                <w:szCs w:val="20"/>
              </w:rPr>
              <w:t>Информация о возможности запрета уступки кредитором третьим лицам прав (требований) по Кредитному договору</w:t>
            </w:r>
          </w:p>
          <w:p w14:paraId="36147392" w14:textId="77777777" w:rsidR="00951A61" w:rsidRPr="00AB08B7" w:rsidRDefault="00951A61" w:rsidP="00A4032F">
            <w:pPr>
              <w:autoSpaceDE w:val="0"/>
              <w:autoSpaceDN w:val="0"/>
              <w:adjustRightInd w:val="0"/>
              <w:jc w:val="center"/>
              <w:rPr>
                <w:rFonts w:ascii="Tahoma" w:hAnsi="Tahoma" w:cs="Tahoma"/>
                <w:b/>
                <w:color w:val="000000"/>
                <w:sz w:val="20"/>
                <w:szCs w:val="20"/>
              </w:rPr>
            </w:pPr>
          </w:p>
        </w:tc>
        <w:tc>
          <w:tcPr>
            <w:tcW w:w="11452" w:type="dxa"/>
            <w:tcBorders>
              <w:top w:val="single" w:sz="4" w:space="0" w:color="auto"/>
              <w:left w:val="nil"/>
              <w:bottom w:val="single" w:sz="4" w:space="0" w:color="auto"/>
              <w:right w:val="single" w:sz="4" w:space="0" w:color="auto"/>
            </w:tcBorders>
            <w:shd w:val="clear" w:color="auto" w:fill="auto"/>
            <w:vAlign w:val="center"/>
          </w:tcPr>
          <w:p w14:paraId="49A28B9F" w14:textId="77777777" w:rsidR="00951A61" w:rsidRPr="008B7EAD" w:rsidRDefault="00951A61" w:rsidP="00A4032F">
            <w:pPr>
              <w:ind w:firstLine="425"/>
              <w:jc w:val="both"/>
              <w:rPr>
                <w:rFonts w:ascii="Tahoma" w:hAnsi="Tahoma" w:cs="Tahoma"/>
                <w:color w:val="000000"/>
                <w:sz w:val="20"/>
                <w:szCs w:val="20"/>
              </w:rPr>
            </w:pPr>
            <w:r w:rsidRPr="008B7EAD">
              <w:rPr>
                <w:rFonts w:ascii="Tahoma" w:hAnsi="Tahoma" w:cs="Tahoma"/>
                <w:color w:val="000000"/>
                <w:sz w:val="20"/>
                <w:szCs w:val="20"/>
              </w:rPr>
              <w:t>В случае, если при выдаче ипотечного кредита право требования по Кредитному договору и право залога объекта недвижимости удостоверяются закладной, согласно п. 5 ст. 47 Федерального закона от 16.07.1998 N 102-ФЗ «Об ипотеке (залоге недвижимости)» (закон 102-ФЗ), уступка прав по договору об ипотеке или обеспеченному ипотекой обязательству не допускается. Согласно п. 4 ст. 48 закона 102-ФЗ Кредитор вправе передать права на закладную любым третьим лицам (согласие должника в данном случае не требуется). В случае, если при выдаче ипотечного кредита закладная не оформляется, Заемщик вправе запретить уступку Банком третьим лицам прав (требований) по Кредитному договору</w:t>
            </w:r>
          </w:p>
        </w:tc>
      </w:tr>
      <w:tr w:rsidR="00951A61" w:rsidRPr="00234585" w14:paraId="46FC3F9D"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6DA83588" w14:textId="77777777" w:rsidR="00951A61" w:rsidRPr="008B7EAD" w:rsidRDefault="00951A61" w:rsidP="00A4032F">
            <w:pPr>
              <w:autoSpaceDE w:val="0"/>
              <w:autoSpaceDN w:val="0"/>
              <w:adjustRightInd w:val="0"/>
              <w:jc w:val="center"/>
              <w:rPr>
                <w:rFonts w:ascii="Tahoma" w:hAnsi="Tahoma" w:cs="Tahoma"/>
                <w:sz w:val="20"/>
                <w:szCs w:val="20"/>
              </w:rPr>
            </w:pPr>
            <w:r w:rsidRPr="008B7EAD">
              <w:rPr>
                <w:rFonts w:ascii="Tahoma" w:hAnsi="Tahoma" w:cs="Tahoma"/>
                <w:b/>
                <w:sz w:val="20"/>
                <w:szCs w:val="20"/>
              </w:rPr>
              <w:lastRenderedPageBreak/>
              <w:t>Порядок предоставления Заемщиком информации об использовании ипотечного кредита</w:t>
            </w:r>
          </w:p>
          <w:p w14:paraId="691A90A0" w14:textId="77777777" w:rsidR="00951A61" w:rsidRPr="00CE1BDB" w:rsidRDefault="00951A61" w:rsidP="00A4032F">
            <w:pPr>
              <w:autoSpaceDE w:val="0"/>
              <w:autoSpaceDN w:val="0"/>
              <w:adjustRightInd w:val="0"/>
              <w:jc w:val="center"/>
              <w:rPr>
                <w:rFonts w:ascii="Tahoma" w:hAnsi="Tahoma" w:cs="Tahoma"/>
                <w:b/>
                <w:sz w:val="20"/>
                <w:szCs w:val="20"/>
              </w:rPr>
            </w:pPr>
          </w:p>
        </w:tc>
        <w:tc>
          <w:tcPr>
            <w:tcW w:w="11452" w:type="dxa"/>
            <w:tcBorders>
              <w:top w:val="single" w:sz="4" w:space="0" w:color="auto"/>
              <w:left w:val="nil"/>
              <w:bottom w:val="single" w:sz="4" w:space="0" w:color="auto"/>
              <w:right w:val="single" w:sz="4" w:space="0" w:color="auto"/>
            </w:tcBorders>
            <w:shd w:val="clear" w:color="auto" w:fill="auto"/>
            <w:vAlign w:val="center"/>
          </w:tcPr>
          <w:p w14:paraId="3B2B2B75" w14:textId="77777777" w:rsidR="00951A61" w:rsidRPr="00AB08B7" w:rsidRDefault="00951A61" w:rsidP="00A4032F">
            <w:pPr>
              <w:ind w:firstLine="425"/>
              <w:jc w:val="both"/>
              <w:rPr>
                <w:rFonts w:ascii="Tahoma" w:hAnsi="Tahoma" w:cs="Tahoma"/>
                <w:sz w:val="20"/>
                <w:szCs w:val="20"/>
              </w:rPr>
            </w:pPr>
            <w:r w:rsidRPr="00AB08B7">
              <w:rPr>
                <w:rFonts w:ascii="Tahoma" w:hAnsi="Tahoma" w:cs="Tahoma"/>
                <w:b/>
                <w:sz w:val="20"/>
                <w:szCs w:val="20"/>
              </w:rPr>
              <w:t>При приобретении находящегося на этапе строительства жилого помещения:</w:t>
            </w:r>
          </w:p>
          <w:p w14:paraId="022EFF79" w14:textId="77777777" w:rsidR="00951A61" w:rsidRPr="008B7EAD" w:rsidRDefault="00951A61" w:rsidP="00A4032F">
            <w:pPr>
              <w:ind w:firstLine="425"/>
              <w:jc w:val="both"/>
              <w:rPr>
                <w:rFonts w:ascii="Tahoma" w:hAnsi="Tahoma" w:cs="Tahoma"/>
                <w:sz w:val="20"/>
                <w:szCs w:val="20"/>
              </w:rPr>
            </w:pPr>
            <w:r w:rsidRPr="008B7EAD">
              <w:rPr>
                <w:rFonts w:ascii="Tahoma" w:hAnsi="Tahoma" w:cs="Tahoma"/>
                <w:sz w:val="20"/>
                <w:szCs w:val="20"/>
              </w:rPr>
              <w:t>Заемщик обязан в сроки, установленные Кредитным договором, предоставить в Банк документы, подтверждающие целевое использование Кредита (документы об оплате приобретаемого Объекта недвижимости (Имущественных прав), оригинал прошедшего государственную регистрацию Договора долевого участия в строительстве).</w:t>
            </w:r>
          </w:p>
          <w:p w14:paraId="600B81DF" w14:textId="77777777" w:rsidR="00951A61" w:rsidRPr="008B7EAD" w:rsidRDefault="00951A61" w:rsidP="00A4032F">
            <w:pPr>
              <w:ind w:firstLine="425"/>
              <w:jc w:val="both"/>
              <w:rPr>
                <w:rFonts w:ascii="Tahoma" w:hAnsi="Tahoma" w:cs="Tahoma"/>
                <w:sz w:val="20"/>
                <w:szCs w:val="20"/>
              </w:rPr>
            </w:pPr>
            <w:r w:rsidRPr="008B7EAD">
              <w:rPr>
                <w:rFonts w:ascii="Tahoma" w:hAnsi="Tahoma" w:cs="Tahoma"/>
                <w:b/>
                <w:sz w:val="20"/>
                <w:szCs w:val="20"/>
              </w:rPr>
              <w:t>При приобретении готового жилого помещения:</w:t>
            </w:r>
          </w:p>
          <w:p w14:paraId="34823BB4" w14:textId="77777777" w:rsidR="00951A61" w:rsidRPr="008B7EAD" w:rsidRDefault="00951A61" w:rsidP="00A4032F">
            <w:pPr>
              <w:ind w:firstLine="425"/>
              <w:jc w:val="both"/>
              <w:rPr>
                <w:rFonts w:ascii="Tahoma" w:hAnsi="Tahoma" w:cs="Tahoma"/>
                <w:sz w:val="20"/>
                <w:szCs w:val="20"/>
              </w:rPr>
            </w:pPr>
            <w:r w:rsidRPr="008B7EAD">
              <w:rPr>
                <w:rFonts w:ascii="Tahoma" w:hAnsi="Tahoma" w:cs="Tahoma"/>
                <w:sz w:val="20"/>
                <w:szCs w:val="20"/>
              </w:rPr>
              <w:t>Заемщик обязан в сроки, установленные Кредитным договором, предоставить в Банк документы, подтверждающие целевое использование Кредита (документы об оплате приобретаемого Недвижимого имущества, оригинал договора приобретения Недвижимого имущества с отметкой о государственной регистрации перехода права собственности на приобретаемое Недвижимое имущество (Предмет ипотеки) залогодателю и ипотеки в пользу Банка).</w:t>
            </w:r>
          </w:p>
          <w:p w14:paraId="03394442" w14:textId="77777777" w:rsidR="00951A61" w:rsidRPr="008B7EAD" w:rsidRDefault="00951A61" w:rsidP="00A4032F">
            <w:pPr>
              <w:ind w:firstLine="425"/>
              <w:jc w:val="both"/>
              <w:rPr>
                <w:rFonts w:ascii="Tahoma" w:hAnsi="Tahoma" w:cs="Tahoma"/>
                <w:sz w:val="20"/>
                <w:szCs w:val="20"/>
              </w:rPr>
            </w:pPr>
            <w:r w:rsidRPr="008B7EAD">
              <w:rPr>
                <w:rFonts w:ascii="Tahoma" w:hAnsi="Tahoma" w:cs="Tahoma"/>
                <w:sz w:val="20"/>
                <w:szCs w:val="20"/>
              </w:rPr>
              <w:t>При строительстве Жилого дома: заемщик обязан в сроки, установленные Кредитным договором, предоставить в Банк документы, подтверждающие целевое использование Кредита - оригиналы документов, подтверждающих зарегистрированное в установленном порядке право Заемщика на Жилой дом.</w:t>
            </w:r>
          </w:p>
        </w:tc>
      </w:tr>
      <w:tr w:rsidR="00951A61" w:rsidRPr="00234585" w14:paraId="6F024D20"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5621473F" w14:textId="77777777" w:rsidR="00951A61" w:rsidRPr="008B7EAD" w:rsidRDefault="00951A61" w:rsidP="00A4032F">
            <w:pPr>
              <w:autoSpaceDE w:val="0"/>
              <w:autoSpaceDN w:val="0"/>
              <w:adjustRightInd w:val="0"/>
              <w:jc w:val="center"/>
              <w:rPr>
                <w:rFonts w:ascii="Tahoma" w:hAnsi="Tahoma" w:cs="Tahoma"/>
                <w:b/>
                <w:sz w:val="20"/>
                <w:szCs w:val="20"/>
              </w:rPr>
            </w:pPr>
            <w:r w:rsidRPr="008B7EAD">
              <w:rPr>
                <w:rFonts w:ascii="Tahoma" w:hAnsi="Tahoma" w:cs="Tahoma"/>
                <w:b/>
                <w:sz w:val="20"/>
                <w:szCs w:val="20"/>
              </w:rPr>
              <w:t>Подсудность споров по искам Кредитора к Заемщику</w:t>
            </w:r>
            <w:r w:rsidRPr="008B7EAD" w:rsidDel="00C738DF">
              <w:rPr>
                <w:rFonts w:ascii="Tahoma" w:hAnsi="Tahoma" w:cs="Tahoma"/>
                <w:sz w:val="20"/>
                <w:szCs w:val="20"/>
              </w:rPr>
              <w:t xml:space="preserve"> </w:t>
            </w:r>
          </w:p>
        </w:tc>
        <w:tc>
          <w:tcPr>
            <w:tcW w:w="11452" w:type="dxa"/>
            <w:tcBorders>
              <w:top w:val="single" w:sz="4" w:space="0" w:color="auto"/>
              <w:left w:val="nil"/>
              <w:bottom w:val="single" w:sz="4" w:space="0" w:color="auto"/>
              <w:right w:val="single" w:sz="4" w:space="0" w:color="auto"/>
            </w:tcBorders>
            <w:shd w:val="clear" w:color="auto" w:fill="auto"/>
            <w:vAlign w:val="center"/>
          </w:tcPr>
          <w:p w14:paraId="55B72B3B" w14:textId="77777777" w:rsidR="00951A61" w:rsidRPr="00CE1BDB" w:rsidRDefault="00951A61" w:rsidP="00A4032F">
            <w:pPr>
              <w:ind w:firstLine="425"/>
              <w:jc w:val="both"/>
              <w:rPr>
                <w:rFonts w:ascii="Tahoma" w:hAnsi="Tahoma" w:cs="Tahoma"/>
                <w:sz w:val="20"/>
                <w:szCs w:val="20"/>
              </w:rPr>
            </w:pPr>
            <w:r w:rsidRPr="00CE1BDB">
              <w:rPr>
                <w:rFonts w:ascii="Tahoma" w:hAnsi="Tahoma" w:cs="Tahoma"/>
                <w:sz w:val="20"/>
                <w:szCs w:val="20"/>
              </w:rPr>
              <w:t>Порядок разрешения неурегулированных споров по искам Банка определяется Сторонами в Кредитном договоре</w:t>
            </w:r>
          </w:p>
        </w:tc>
      </w:tr>
      <w:tr w:rsidR="00951A61" w:rsidRPr="00234585" w14:paraId="371C5474"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4655A488" w14:textId="77777777" w:rsidR="00951A61" w:rsidRPr="008B7EAD" w:rsidRDefault="00951A61" w:rsidP="00A4032F">
            <w:pPr>
              <w:autoSpaceDE w:val="0"/>
              <w:autoSpaceDN w:val="0"/>
              <w:adjustRightInd w:val="0"/>
              <w:jc w:val="center"/>
              <w:rPr>
                <w:rFonts w:ascii="Tahoma" w:hAnsi="Tahoma" w:cs="Tahoma"/>
                <w:b/>
                <w:sz w:val="20"/>
                <w:szCs w:val="20"/>
              </w:rPr>
            </w:pPr>
            <w:r w:rsidRPr="008B7EAD">
              <w:rPr>
                <w:rFonts w:ascii="Tahoma" w:hAnsi="Tahoma" w:cs="Tahoma"/>
                <w:b/>
                <w:sz w:val="20"/>
                <w:szCs w:val="20"/>
              </w:rPr>
              <w:t xml:space="preserve"> Формуляры или иные стандартные формы, в которых определены общие условия Кредитного договора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5E95E26D" w14:textId="77777777" w:rsidR="00951A61" w:rsidRPr="00AB08B7" w:rsidRDefault="00951A61" w:rsidP="00A4032F">
            <w:pPr>
              <w:ind w:firstLine="425"/>
              <w:jc w:val="both"/>
              <w:rPr>
                <w:rFonts w:ascii="Tahoma" w:hAnsi="Tahoma" w:cs="Tahoma"/>
                <w:sz w:val="20"/>
                <w:szCs w:val="20"/>
              </w:rPr>
            </w:pPr>
            <w:r w:rsidRPr="00CE1BDB">
              <w:rPr>
                <w:rFonts w:ascii="Tahoma" w:hAnsi="Tahoma" w:cs="Tahoma"/>
                <w:sz w:val="20"/>
                <w:szCs w:val="20"/>
              </w:rPr>
              <w:t>Общие условия предоставления, обслуживания и погашения ипотечных кредитов в «Азиатско-Тихоокеанский Банк» (АО), являющиеся Приложением 6 к Универсальному договору банковского обслуживания в «Азиатско-Тихоокеанский Банк» (АО), размещённых в местах приема заявлений на предоставление ипотечного Кредита (в Подразделениях Банка и иных местах приема заявлений на предоставление ипотечного Кредита), на сайте Банка в сети Интернет</w:t>
            </w:r>
            <w:r w:rsidRPr="00AB08B7">
              <w:rPr>
                <w:rFonts w:ascii="Tahoma" w:hAnsi="Tahoma" w:cs="Tahoma"/>
                <w:sz w:val="20"/>
                <w:szCs w:val="20"/>
              </w:rPr>
              <w:t xml:space="preserve"> по адресу www.atb.su и могут быть предоставлены Заемщику по его требованию на бумажном носителе</w:t>
            </w:r>
          </w:p>
        </w:tc>
      </w:tr>
      <w:tr w:rsidR="00951A61" w:rsidRPr="00234585" w14:paraId="2F3C3898"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54E0AC59" w14:textId="77777777" w:rsidR="00951A61" w:rsidRPr="00CE1BDB" w:rsidRDefault="00951A61" w:rsidP="00A4032F">
            <w:pPr>
              <w:autoSpaceDE w:val="0"/>
              <w:autoSpaceDN w:val="0"/>
              <w:adjustRightInd w:val="0"/>
              <w:jc w:val="center"/>
              <w:rPr>
                <w:rStyle w:val="aff9"/>
                <w:rFonts w:ascii="Tahoma" w:hAnsi="Tahoma" w:cs="Tahoma"/>
                <w:sz w:val="20"/>
                <w:szCs w:val="20"/>
              </w:rPr>
            </w:pPr>
            <w:r w:rsidRPr="008B7EAD">
              <w:rPr>
                <w:rFonts w:ascii="Tahoma" w:hAnsi="Tahoma" w:cs="Tahoma"/>
                <w:b/>
                <w:bCs/>
                <w:color w:val="000000" w:themeColor="text1"/>
                <w:sz w:val="20"/>
                <w:szCs w:val="20"/>
              </w:rPr>
              <w:t>Срок действия решения о предоставлении потребительского кредита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4A40B3BD" w14:textId="77777777" w:rsidR="00951A61" w:rsidRPr="008B7EAD" w:rsidRDefault="00951A61" w:rsidP="00A4032F">
            <w:pPr>
              <w:ind w:firstLine="425"/>
              <w:jc w:val="both"/>
              <w:rPr>
                <w:rFonts w:ascii="Tahoma" w:hAnsi="Tahoma" w:cs="Tahoma"/>
                <w:sz w:val="20"/>
                <w:szCs w:val="20"/>
              </w:rPr>
            </w:pPr>
            <w:r w:rsidRPr="00AB08B7">
              <w:rPr>
                <w:rFonts w:ascii="Tahoma" w:hAnsi="Tahoma" w:cs="Tahoma"/>
                <w:bCs/>
                <w:color w:val="000000" w:themeColor="text1"/>
                <w:sz w:val="20"/>
                <w:szCs w:val="20"/>
              </w:rPr>
              <w:t>90 календарных дней</w:t>
            </w:r>
          </w:p>
        </w:tc>
      </w:tr>
      <w:tr w:rsidR="00951A61" w:rsidRPr="00234585" w14:paraId="1D5B8AE4"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3453FE61" w14:textId="77777777" w:rsidR="00951A61" w:rsidRPr="00AB08B7" w:rsidRDefault="00951A61" w:rsidP="00A4032F">
            <w:pPr>
              <w:autoSpaceDE w:val="0"/>
              <w:autoSpaceDN w:val="0"/>
              <w:adjustRightInd w:val="0"/>
              <w:jc w:val="center"/>
              <w:rPr>
                <w:rFonts w:ascii="Tahoma" w:hAnsi="Tahoma" w:cs="Tahoma"/>
                <w:b/>
                <w:bCs/>
                <w:color w:val="000000" w:themeColor="text1"/>
                <w:sz w:val="20"/>
                <w:szCs w:val="20"/>
              </w:rPr>
            </w:pPr>
            <w:r w:rsidRPr="008B7EAD">
              <w:rPr>
                <w:rFonts w:ascii="Tahoma" w:hAnsi="Tahoma" w:cs="Tahoma"/>
                <w:b/>
                <w:sz w:val="20"/>
                <w:szCs w:val="20"/>
              </w:rPr>
              <w:t>Период предоставления Кредитов в рамках Программы кредитования «Дальневосточная</w:t>
            </w:r>
            <w:r w:rsidRPr="00CE1BDB">
              <w:rPr>
                <w:rFonts w:ascii="Tahoma" w:hAnsi="Tahoma" w:cs="Tahoma"/>
                <w:b/>
                <w:sz w:val="20"/>
                <w:szCs w:val="20"/>
              </w:rPr>
              <w:t xml:space="preserve"> и арктическая ипотека</w:t>
            </w:r>
            <w:r w:rsidRPr="00AB08B7">
              <w:rPr>
                <w:rFonts w:ascii="Tahoma" w:hAnsi="Tahoma" w:cs="Tahoma"/>
                <w:b/>
                <w:sz w:val="20"/>
                <w:szCs w:val="20"/>
              </w:rPr>
              <w:t xml:space="preserve">» </w:t>
            </w:r>
          </w:p>
        </w:tc>
        <w:tc>
          <w:tcPr>
            <w:tcW w:w="11452" w:type="dxa"/>
            <w:tcBorders>
              <w:top w:val="single" w:sz="4" w:space="0" w:color="auto"/>
              <w:left w:val="nil"/>
              <w:bottom w:val="single" w:sz="4" w:space="0" w:color="auto"/>
              <w:right w:val="single" w:sz="4" w:space="0" w:color="auto"/>
            </w:tcBorders>
            <w:shd w:val="clear" w:color="auto" w:fill="auto"/>
            <w:vAlign w:val="center"/>
          </w:tcPr>
          <w:p w14:paraId="15529CF1" w14:textId="77777777" w:rsidR="00951A61" w:rsidRPr="008B7EAD" w:rsidRDefault="00951A61" w:rsidP="00A4032F">
            <w:pPr>
              <w:ind w:firstLine="425"/>
              <w:jc w:val="both"/>
              <w:rPr>
                <w:rFonts w:ascii="Tahoma" w:hAnsi="Tahoma" w:cs="Tahoma"/>
                <w:bCs/>
                <w:color w:val="000000" w:themeColor="text1"/>
                <w:sz w:val="20"/>
                <w:szCs w:val="20"/>
              </w:rPr>
            </w:pPr>
            <w:r w:rsidRPr="008B7EAD">
              <w:rPr>
                <w:rFonts w:ascii="Tahoma" w:hAnsi="Tahoma" w:cs="Tahoma"/>
                <w:color w:val="000000"/>
                <w:sz w:val="20"/>
                <w:szCs w:val="20"/>
              </w:rPr>
              <w:t xml:space="preserve">с 1 декабря 2019 года по </w:t>
            </w:r>
            <w:r w:rsidRPr="008B7EAD">
              <w:rPr>
                <w:rFonts w:ascii="Tahoma" w:hAnsi="Tahoma" w:cs="Tahoma"/>
                <w:b/>
                <w:color w:val="000000"/>
                <w:sz w:val="20"/>
                <w:szCs w:val="20"/>
              </w:rPr>
              <w:t>31 декабря 2030 года (включительно)</w:t>
            </w:r>
          </w:p>
        </w:tc>
      </w:tr>
      <w:tr w:rsidR="00951A61" w:rsidRPr="00234585" w14:paraId="6FE9C850"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5BEC0F4A" w14:textId="77777777" w:rsidR="00951A61" w:rsidRPr="008B7EAD" w:rsidRDefault="00951A61" w:rsidP="00A4032F">
            <w:pPr>
              <w:autoSpaceDE w:val="0"/>
              <w:autoSpaceDN w:val="0"/>
              <w:adjustRightInd w:val="0"/>
              <w:jc w:val="center"/>
              <w:rPr>
                <w:rFonts w:ascii="Tahoma" w:hAnsi="Tahoma" w:cs="Tahoma"/>
                <w:b/>
                <w:sz w:val="20"/>
                <w:szCs w:val="20"/>
              </w:rPr>
            </w:pPr>
            <w:r w:rsidRPr="008B7EAD">
              <w:rPr>
                <w:rFonts w:ascii="Tahoma" w:hAnsi="Tahoma" w:cs="Tahoma"/>
                <w:b/>
                <w:sz w:val="20"/>
                <w:szCs w:val="20"/>
              </w:rPr>
              <w:t>Специальные условия Кредита</w:t>
            </w:r>
          </w:p>
        </w:tc>
        <w:tc>
          <w:tcPr>
            <w:tcW w:w="11452" w:type="dxa"/>
            <w:tcBorders>
              <w:top w:val="single" w:sz="4" w:space="0" w:color="auto"/>
              <w:left w:val="nil"/>
              <w:bottom w:val="single" w:sz="4" w:space="0" w:color="auto"/>
              <w:right w:val="single" w:sz="4" w:space="0" w:color="auto"/>
            </w:tcBorders>
            <w:shd w:val="clear" w:color="auto" w:fill="auto"/>
          </w:tcPr>
          <w:p w14:paraId="0A136825" w14:textId="77777777" w:rsidR="00951A61" w:rsidRPr="008B7EAD" w:rsidRDefault="00951A61" w:rsidP="00A4032F">
            <w:pPr>
              <w:autoSpaceDE w:val="0"/>
              <w:autoSpaceDN w:val="0"/>
              <w:adjustRightInd w:val="0"/>
              <w:ind w:firstLine="425"/>
              <w:jc w:val="both"/>
              <w:rPr>
                <w:rFonts w:ascii="Tahoma" w:hAnsi="Tahoma" w:cs="Tahoma"/>
                <w:sz w:val="20"/>
                <w:szCs w:val="20"/>
              </w:rPr>
            </w:pPr>
            <w:r w:rsidRPr="00074A60">
              <w:rPr>
                <w:rFonts w:ascii="Tahoma" w:hAnsi="Tahoma" w:cs="Tahoma"/>
                <w:sz w:val="20"/>
                <w:szCs w:val="20"/>
              </w:rPr>
              <w:t xml:space="preserve">В случае если заемщик, указанный в пп. 1.1., 1.2., 1.4., 1.5. раздела «Категория Заемщика/Требования к Заемщику, либо к солидарным Заемщикам (к одному из солидарных Заемщиков)», а также супруг (супруга) заемщика, указанного в п. 1.1., на дату заключения Кредитного договора не </w:t>
            </w:r>
            <w:r w:rsidRPr="00A33B87">
              <w:rPr>
                <w:rFonts w:ascii="Tahoma" w:hAnsi="Tahoma" w:cs="Tahoma"/>
                <w:sz w:val="20"/>
                <w:szCs w:val="20"/>
              </w:rPr>
              <w:t xml:space="preserve">были </w:t>
            </w:r>
            <w:r w:rsidRPr="00C72324">
              <w:rPr>
                <w:rFonts w:ascii="Tahoma" w:hAnsi="Tahoma" w:cs="Tahoma"/>
                <w:sz w:val="20"/>
                <w:szCs w:val="20"/>
              </w:rPr>
              <w:t>постоянно</w:t>
            </w:r>
            <w:r w:rsidRPr="00A33B87">
              <w:rPr>
                <w:rFonts w:ascii="Tahoma" w:hAnsi="Tahoma" w:cs="Tahoma"/>
                <w:sz w:val="20"/>
                <w:szCs w:val="20"/>
              </w:rPr>
              <w:t xml:space="preserve"> заре</w:t>
            </w:r>
            <w:r w:rsidRPr="00074A60">
              <w:rPr>
                <w:rFonts w:ascii="Tahoma" w:hAnsi="Tahoma" w:cs="Tahoma"/>
                <w:sz w:val="20"/>
                <w:szCs w:val="20"/>
              </w:rPr>
              <w:t xml:space="preserve">гистрированы по месту жительства на территориях субъектов Российской Федерации, входящих в состав Дальневосточного федерального округа (по кредитам, предоставленным на приобретение или строительство жилого помещения на территориях субъектов Российской Федерации, входящих в состав Дальневосточного федерального округа), или на сухопутных территориях Арктической зоны Российской Федерации (по кредитам, предоставленным на приобретение или строительство жилого помещения на сухопутных территориях Арктической зоны Российской Федерации), то такой заемщик или супруг (супруга) заемщика (указанного в п. 1.1.) обязуются зарегистрироваться по месту жительства по адресу Объекта недвижимости, приобретенного с использованием кредитных средств в течение 270 дней, считая с даты государственной регистрации права собственности Заемщика (одного из солидарных Заемщиков) на Объект недвижимости и не сниматься с регистрационного учета по месту жительства по адресу Объекта недвижимости, приобретенного с использованием кредитных средств до даты, отстоящей на 5 лет от даты выдачи Кредита. </w:t>
            </w:r>
            <w:r w:rsidRPr="008B7EAD">
              <w:rPr>
                <w:rFonts w:ascii="Tahoma" w:hAnsi="Tahoma" w:cs="Tahoma"/>
                <w:sz w:val="20"/>
                <w:szCs w:val="20"/>
              </w:rPr>
              <w:t>Заемщик или супруг (супруга) Заемщика (</w:t>
            </w:r>
            <w:r w:rsidRPr="00074A60">
              <w:rPr>
                <w:rFonts w:ascii="Tahoma" w:hAnsi="Tahoma" w:cs="Tahoma"/>
                <w:sz w:val="20"/>
                <w:szCs w:val="20"/>
              </w:rPr>
              <w:t>указанного в п. 1.1.</w:t>
            </w:r>
            <w:r w:rsidRPr="008B7EAD">
              <w:rPr>
                <w:rFonts w:ascii="Tahoma" w:hAnsi="Tahoma" w:cs="Tahoma"/>
                <w:sz w:val="20"/>
                <w:szCs w:val="20"/>
              </w:rPr>
              <w:t xml:space="preserve">) обязуются представлять Банку информацию в отношении себя, по форме, согласованной с Банком, о факте регистрации по месту жительства и о факте снятия с регистрационного учета по месту жительства по адресу </w:t>
            </w:r>
            <w:r w:rsidRPr="008B7EAD">
              <w:rPr>
                <w:rFonts w:ascii="Tahoma" w:hAnsi="Tahoma" w:cs="Tahoma"/>
                <w:sz w:val="20"/>
                <w:szCs w:val="20"/>
              </w:rPr>
              <w:lastRenderedPageBreak/>
              <w:t>Объекта недвижимости, построенного или приобретенного с использованием кредитных средств</w:t>
            </w:r>
            <w:r w:rsidRPr="00CE1BDB">
              <w:rPr>
                <w:rFonts w:ascii="Tahoma" w:hAnsi="Tahoma" w:cs="Tahoma"/>
                <w:sz w:val="20"/>
                <w:szCs w:val="20"/>
              </w:rPr>
              <w:t xml:space="preserve"> в период начиная с 271-го календарного дня со дня государственной регистрации права собственности Заемщика на указанное жилое помещение до даты, отстоящей на 5 лет от даты выдачи кредита. Указанный период продл</w:t>
            </w:r>
            <w:r w:rsidRPr="0019235D">
              <w:rPr>
                <w:rFonts w:ascii="Tahoma" w:hAnsi="Tahoma" w:cs="Tahoma"/>
                <w:sz w:val="20"/>
                <w:szCs w:val="20"/>
              </w:rPr>
              <w:t xml:space="preserve">евается на период приостановления исполнения заемщиком (солидарным заемщиком) своих обязательств по </w:t>
            </w:r>
            <w:r w:rsidRPr="00AB08B7">
              <w:rPr>
                <w:rFonts w:ascii="Tahoma" w:hAnsi="Tahoma" w:cs="Tahoma"/>
                <w:sz w:val="20"/>
                <w:szCs w:val="20"/>
              </w:rPr>
              <w:t>Кредитному договору в соответствии с Федеральным законом "Об особенностях исполнения обязательств по кредитным договорам (договорам займа) лицами, призванны</w:t>
            </w:r>
            <w:r w:rsidRPr="008B7EAD">
              <w:rPr>
                <w:rFonts w:ascii="Tahoma" w:hAnsi="Tahoma" w:cs="Tahoma"/>
                <w:sz w:val="20"/>
                <w:szCs w:val="20"/>
              </w:rPr>
              <w:t>ми на военную службу по мобилизации в Вооруженные Силы Российской Федерации, лицами, принимающими участие в специальной военной операции, а также членами их семей и о внесении изменений в отдельные законодательные акты Российской Федерации".</w:t>
            </w:r>
          </w:p>
          <w:p w14:paraId="258F1A40" w14:textId="77777777" w:rsidR="00951A61" w:rsidRPr="008B7EAD" w:rsidRDefault="00951A61" w:rsidP="00A4032F">
            <w:pPr>
              <w:autoSpaceDE w:val="0"/>
              <w:autoSpaceDN w:val="0"/>
              <w:adjustRightInd w:val="0"/>
              <w:ind w:firstLine="425"/>
              <w:jc w:val="both"/>
              <w:rPr>
                <w:rFonts w:ascii="Tahoma" w:hAnsi="Tahoma" w:cs="Tahoma"/>
                <w:sz w:val="20"/>
                <w:szCs w:val="20"/>
              </w:rPr>
            </w:pPr>
            <w:r w:rsidRPr="008B7EAD">
              <w:rPr>
                <w:rFonts w:ascii="Tahoma" w:hAnsi="Tahoma" w:cs="Tahoma"/>
                <w:sz w:val="20"/>
                <w:szCs w:val="20"/>
              </w:rPr>
              <w:t>Кредитным договором предусматривается увеличение процентной ставки в ниже перечисленных случаях. При этом размер процентной ставки по Кредитному договору, увеличенный в ниже перечисленных случаях не может превышать размер ключевой ставки Центрального банка Российской Федерации, установленной на дату заключения в соответствии с настоящим документом Кредитного договора, увеличенной на 1,5 процентных пункта в следующих:</w:t>
            </w:r>
          </w:p>
          <w:p w14:paraId="7DEED5AC" w14:textId="77777777" w:rsidR="00951A61" w:rsidRPr="00322454" w:rsidRDefault="00951A61" w:rsidP="00A4032F">
            <w:pPr>
              <w:autoSpaceDE w:val="0"/>
              <w:autoSpaceDN w:val="0"/>
              <w:adjustRightInd w:val="0"/>
              <w:ind w:firstLine="425"/>
              <w:jc w:val="both"/>
              <w:rPr>
                <w:rFonts w:ascii="Tahoma" w:hAnsi="Tahoma" w:cs="Tahoma"/>
                <w:sz w:val="20"/>
                <w:szCs w:val="20"/>
              </w:rPr>
            </w:pPr>
            <w:r w:rsidRPr="008B7EAD">
              <w:rPr>
                <w:rFonts w:ascii="Tahoma" w:hAnsi="Tahoma" w:cs="Tahoma"/>
                <w:sz w:val="20"/>
                <w:szCs w:val="20"/>
              </w:rPr>
              <w:t xml:space="preserve">а) в случае, если Заемщик (любой из солидарных Заемщиков) или супруг (супруга) Заемщика (любого из солидарных Заемщиков) является/ранее являлся заемщиком (солидарным заемщиком) и (или) поручителем по другому жилищному (ипотечному) кредиту (кредитам), по которым кредитор получает (ранее получал) возмещение недополученных доходов в соответствии с условиями Правил, а также если Заемщик (любой из солидарных заемщиков) является (ранее являлся) </w:t>
            </w:r>
            <w:r w:rsidRPr="00322454">
              <w:rPr>
                <w:rFonts w:ascii="Tahoma" w:hAnsi="Tahoma" w:cs="Tahoma"/>
                <w:sz w:val="20"/>
                <w:szCs w:val="20"/>
              </w:rPr>
              <w:t xml:space="preserve">Заемщиком (солидарным заемщиком и (или) поручителем) по другому кредитному договору (договору займа), заключенному </w:t>
            </w:r>
            <w:r w:rsidRPr="00101974">
              <w:rPr>
                <w:rFonts w:ascii="Tahoma" w:hAnsi="Tahoma" w:cs="Tahoma"/>
                <w:sz w:val="20"/>
                <w:szCs w:val="20"/>
              </w:rPr>
              <w:t>с 23.12.2023 г. в соответствии с Правилами предоставления субсидий</w:t>
            </w:r>
            <w:r w:rsidRPr="00322454">
              <w:rPr>
                <w:rFonts w:ascii="Tahoma" w:hAnsi="Tahoma" w:cs="Tahoma"/>
                <w:sz w:val="20"/>
                <w:szCs w:val="20"/>
              </w:rPr>
              <w:t>;</w:t>
            </w:r>
          </w:p>
          <w:p w14:paraId="4E88322D" w14:textId="77777777" w:rsidR="00951A61" w:rsidRPr="00101974" w:rsidRDefault="00951A61" w:rsidP="00A4032F">
            <w:pPr>
              <w:ind w:firstLine="425"/>
              <w:jc w:val="both"/>
              <w:rPr>
                <w:rFonts w:ascii="Tahoma" w:hAnsi="Tahoma" w:cs="Tahoma"/>
                <w:sz w:val="20"/>
                <w:szCs w:val="20"/>
              </w:rPr>
            </w:pPr>
            <w:r w:rsidRPr="00101974">
              <w:rPr>
                <w:rFonts w:ascii="Tahoma" w:hAnsi="Tahoma" w:cs="Tahoma"/>
                <w:sz w:val="20"/>
                <w:szCs w:val="20"/>
              </w:rPr>
              <w:t>б) в случае если Заемщик или супруг (супруга) Заемщика, которые на дату заключения Кредитного договора не были постоянно зарегистрированы по месту жительства на территориях субъектов Российской Федерации, входящих в состав Дальневосточного федерального округа, или на сухопутных территориях Арктической зоны Российской Федерации, не представил Банку документ в отношении себя, подтверждающий факт регистрации по месту жительства по адресу жилого помещения, построенного или приобретенного с использованием кредитных средств, предоставленных по Кредитному договору. Указанный период продлевается на период приостановления исполнения заемщиком (солидарным заемщиком) своих обязательств по Кредитному договору в соответствии с Федеральным законом "Об особенностях исполнения обязательств по Кредитным договорам (договорам займа) лицами, призванными на военную службу по мобилизации в Вооруженные Силы Российской Федерации, лицами, принимающими участие в специальной военной операции, а также членами их семей и о внесении изменений в отдельные законодательные акты Российской Федерации;</w:t>
            </w:r>
          </w:p>
          <w:p w14:paraId="59F9CA94" w14:textId="77777777" w:rsidR="00951A61" w:rsidRPr="00101974" w:rsidRDefault="00951A61" w:rsidP="00A4032F">
            <w:pPr>
              <w:ind w:firstLine="425"/>
              <w:jc w:val="both"/>
              <w:rPr>
                <w:rFonts w:ascii="Tahoma" w:hAnsi="Tahoma" w:cs="Tahoma"/>
                <w:sz w:val="20"/>
                <w:szCs w:val="20"/>
              </w:rPr>
            </w:pPr>
            <w:r w:rsidRPr="00101974">
              <w:rPr>
                <w:rFonts w:ascii="Tahoma" w:hAnsi="Tahoma" w:cs="Tahoma"/>
                <w:sz w:val="20"/>
                <w:szCs w:val="20"/>
              </w:rPr>
              <w:t>в) в случае отсутствия информации о подтверждении целевого использования кредитных средств, если целью Кредита является строительство индивидуального жилого дома на земельном участке, расположенном на территории субъекта Российской Федерации, входящего в состав Дальневосточного федерального округа, или в состав сухопутных территорий Арктической зоны Российской Федерации, или приобретение земельного участка, расположенного на территории субъекта Российской Федерации, входящего в состав Дальневосточного федерального округа, или сухопутных территорий Арктической зоны Российской Федерации, и строительство на нем индивидуального жилого дома;</w:t>
            </w:r>
          </w:p>
          <w:p w14:paraId="5EDD6EA0" w14:textId="77777777" w:rsidR="00951A61" w:rsidRPr="008B7EAD" w:rsidRDefault="00951A61" w:rsidP="00A4032F">
            <w:pPr>
              <w:ind w:firstLine="425"/>
              <w:jc w:val="both"/>
              <w:rPr>
                <w:rFonts w:ascii="Tahoma" w:hAnsi="Tahoma" w:cs="Tahoma"/>
                <w:sz w:val="20"/>
                <w:szCs w:val="20"/>
              </w:rPr>
            </w:pPr>
            <w:r w:rsidRPr="00101974">
              <w:rPr>
                <w:rFonts w:ascii="Tahoma" w:hAnsi="Tahoma" w:cs="Tahoma"/>
                <w:sz w:val="20"/>
                <w:szCs w:val="20"/>
              </w:rPr>
              <w:t xml:space="preserve">г) по истечении 6 месяцев после прекращения Заемщиком, указанным в пп. 1.4., 1.5. раздела «Категория Заемщика/Требования к Заемщику, либо к солидарным Заемщикам (к одному из солидарных Заемщиков) по Кредитному договору в рамках Тарифного плана «Дальневосточная и арктическая ипотека», трудовой деятельности в организации, указанной в пп. 1.4., 1.5. раздела «Категория Заемщика/Требования к Заемщику, либо к солидарным Заемщикам (к одному из солидарных Заемщиков) по Кредитному договору в рамках Тарифного плана «Дальневосточная и арктическая ипотека» соответственно, по любому из предусмотренных трудовым законодательством оснований при отсутствии у </w:t>
            </w:r>
            <w:r w:rsidRPr="00101974">
              <w:rPr>
                <w:rFonts w:ascii="Tahoma" w:hAnsi="Tahoma" w:cs="Tahoma"/>
                <w:sz w:val="20"/>
                <w:szCs w:val="20"/>
              </w:rPr>
              <w:lastRenderedPageBreak/>
              <w:t>Банка до истечения указанного срока предоставленных ему Заемщиком по форме, установленной Кредитным договором, если такой договор заключен с 01.06.2024 г., сведений о трудоустройстве Заемщика в эту же или иную организацию, указанную в пп. 1.4., 1.5. раздела «Категория Заемщика/Требования к Заемщику, либо к солидарным Заемщикам (к одному из солидарных Заемщиков) по Кредитному договору в рамках Тарифного плана «Дальневосточная и арктическая ипотека» соответственно.</w:t>
            </w:r>
          </w:p>
        </w:tc>
      </w:tr>
      <w:tr w:rsidR="00951A61" w:rsidRPr="00234585" w14:paraId="54DCD22D" w14:textId="77777777" w:rsidTr="00A4032F">
        <w:trPr>
          <w:trHeight w:val="4423"/>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76B69D3F" w14:textId="77777777" w:rsidR="00951A61" w:rsidRPr="008B7EAD" w:rsidRDefault="00951A61" w:rsidP="00A4032F">
            <w:pPr>
              <w:autoSpaceDE w:val="0"/>
              <w:autoSpaceDN w:val="0"/>
              <w:adjustRightInd w:val="0"/>
              <w:jc w:val="center"/>
              <w:rPr>
                <w:rFonts w:ascii="Tahoma" w:hAnsi="Tahoma" w:cs="Tahoma"/>
                <w:b/>
                <w:sz w:val="20"/>
                <w:szCs w:val="20"/>
              </w:rPr>
            </w:pPr>
            <w:r w:rsidRPr="008B7EAD">
              <w:rPr>
                <w:rFonts w:ascii="Tahoma" w:hAnsi="Tahoma" w:cs="Tahoma"/>
                <w:b/>
                <w:bCs/>
                <w:color w:val="000000"/>
                <w:sz w:val="20"/>
                <w:szCs w:val="20"/>
              </w:rPr>
              <w:lastRenderedPageBreak/>
              <w:t>Иные положения</w:t>
            </w:r>
          </w:p>
        </w:tc>
        <w:tc>
          <w:tcPr>
            <w:tcW w:w="11452" w:type="dxa"/>
            <w:tcBorders>
              <w:top w:val="single" w:sz="4" w:space="0" w:color="auto"/>
              <w:left w:val="nil"/>
              <w:bottom w:val="single" w:sz="4" w:space="0" w:color="auto"/>
              <w:right w:val="single" w:sz="4" w:space="0" w:color="auto"/>
            </w:tcBorders>
            <w:shd w:val="clear" w:color="auto" w:fill="auto"/>
          </w:tcPr>
          <w:p w14:paraId="56BB6136" w14:textId="77777777" w:rsidR="00951A61" w:rsidRPr="00CE1BDB" w:rsidRDefault="00951A61" w:rsidP="00A4032F">
            <w:pPr>
              <w:ind w:firstLine="425"/>
              <w:jc w:val="both"/>
              <w:rPr>
                <w:rFonts w:ascii="Tahoma" w:hAnsi="Tahoma" w:cs="Tahoma"/>
                <w:sz w:val="20"/>
                <w:szCs w:val="20"/>
              </w:rPr>
            </w:pPr>
            <w:r w:rsidRPr="00CE1BDB">
              <w:rPr>
                <w:rFonts w:ascii="Tahoma" w:hAnsi="Tahoma" w:cs="Tahoma"/>
                <w:b/>
                <w:sz w:val="20"/>
                <w:szCs w:val="20"/>
              </w:rPr>
              <w:t>1)</w:t>
            </w:r>
            <w:r w:rsidRPr="00CE1BDB">
              <w:rPr>
                <w:rFonts w:ascii="Tahoma" w:hAnsi="Tahoma" w:cs="Tahoma"/>
                <w:sz w:val="20"/>
                <w:szCs w:val="20"/>
              </w:rPr>
              <w:t xml:space="preserve"> Кредит предоставляется в соответствии с условиями Правил;</w:t>
            </w:r>
          </w:p>
          <w:p w14:paraId="6D8D4109" w14:textId="77777777" w:rsidR="00951A61" w:rsidRPr="008B7EAD" w:rsidRDefault="00951A61" w:rsidP="00A4032F">
            <w:pPr>
              <w:ind w:firstLine="425"/>
              <w:jc w:val="both"/>
              <w:rPr>
                <w:rFonts w:ascii="Tahoma" w:hAnsi="Tahoma" w:cs="Tahoma"/>
                <w:sz w:val="20"/>
                <w:szCs w:val="20"/>
              </w:rPr>
            </w:pPr>
            <w:r w:rsidRPr="00AB08B7">
              <w:rPr>
                <w:rFonts w:ascii="Tahoma" w:hAnsi="Tahoma" w:cs="Tahoma"/>
                <w:b/>
                <w:sz w:val="20"/>
                <w:szCs w:val="20"/>
              </w:rPr>
              <w:t>2)</w:t>
            </w:r>
            <w:r w:rsidRPr="00AB08B7">
              <w:rPr>
                <w:rFonts w:ascii="Tahoma" w:hAnsi="Tahoma" w:cs="Tahoma"/>
                <w:sz w:val="20"/>
                <w:szCs w:val="20"/>
              </w:rPr>
              <w:t xml:space="preserve"> Кредит на цели приобретения объекта недвижимости у членов семьи заемщика (детей, родите</w:t>
            </w:r>
            <w:r w:rsidRPr="008B7EAD">
              <w:rPr>
                <w:rFonts w:ascii="Tahoma" w:hAnsi="Tahoma" w:cs="Tahoma"/>
                <w:sz w:val="20"/>
                <w:szCs w:val="20"/>
              </w:rPr>
              <w:t>лей, братьев, сестер, бабушек, дедушек, усыновителей и усыновленных), а также бывшего (-ей) супруга (-и) может предоставляться только в случае, когда кредитуемый объект недвижимости одновременно является реализуемым объектом недвижимости в рамках альтернативных сделок купли-продажи, совершаемых продавцом кредитуемого объекта недвижимости;</w:t>
            </w:r>
          </w:p>
          <w:p w14:paraId="5F04F01A" w14:textId="77777777" w:rsidR="00951A61" w:rsidRPr="008B7EAD" w:rsidRDefault="00951A61" w:rsidP="00A4032F">
            <w:pPr>
              <w:ind w:firstLine="425"/>
              <w:jc w:val="both"/>
              <w:rPr>
                <w:rFonts w:ascii="Tahoma" w:hAnsi="Tahoma" w:cs="Tahoma"/>
                <w:sz w:val="20"/>
                <w:szCs w:val="20"/>
              </w:rPr>
            </w:pPr>
            <w:r w:rsidRPr="008B7EAD">
              <w:rPr>
                <w:rFonts w:ascii="Tahoma" w:hAnsi="Tahoma" w:cs="Tahoma"/>
                <w:b/>
                <w:sz w:val="20"/>
                <w:szCs w:val="20"/>
              </w:rPr>
              <w:t xml:space="preserve">3) </w:t>
            </w:r>
            <w:r w:rsidRPr="008B7EAD">
              <w:rPr>
                <w:rFonts w:ascii="Tahoma" w:hAnsi="Tahoma" w:cs="Tahoma"/>
                <w:sz w:val="20"/>
                <w:szCs w:val="20"/>
              </w:rPr>
              <w:t>Кредит не предоставляется, если лицо, осуществляющее продажу/ строительство объекта недвижимости, одновременно является заемщиком по кредиту/ супругом (-ой) заемщика, залогодателем.</w:t>
            </w:r>
          </w:p>
          <w:p w14:paraId="5B7BFCC5" w14:textId="77777777" w:rsidR="00951A61" w:rsidRPr="008B7EAD" w:rsidRDefault="00951A61" w:rsidP="00A4032F">
            <w:pPr>
              <w:ind w:firstLine="425"/>
              <w:jc w:val="both"/>
              <w:rPr>
                <w:rFonts w:ascii="Tahoma" w:hAnsi="Tahoma" w:cs="Tahoma"/>
                <w:sz w:val="20"/>
                <w:szCs w:val="20"/>
              </w:rPr>
            </w:pPr>
            <w:r w:rsidRPr="008B7EAD">
              <w:rPr>
                <w:rFonts w:ascii="Tahoma" w:hAnsi="Tahoma" w:cs="Tahoma"/>
                <w:b/>
                <w:sz w:val="20"/>
                <w:szCs w:val="20"/>
              </w:rPr>
              <w:t>4)</w:t>
            </w:r>
            <w:r w:rsidRPr="008B7EAD">
              <w:rPr>
                <w:rFonts w:ascii="Tahoma" w:hAnsi="Tahoma" w:cs="Tahoma"/>
                <w:sz w:val="20"/>
                <w:szCs w:val="20"/>
              </w:rPr>
              <w:t xml:space="preserve"> Кредит предоставлен при условии, что в договорах, на основании которых жилые помещения приобретаются с привлечением средств по Кредитному договору заемщиком (-ами) в собственность, в том числе по завершении строительства, отсутствуют условия об оказании заемщику (-ам) услуг (выполнении работ) по ремонту и (или) перепланировке жилых помещений, изменению их назначения, приобретению мебели, отделимого от жилых помещений бытового оборудования и элементов внутреннего обустройства;</w:t>
            </w:r>
          </w:p>
          <w:p w14:paraId="3E9CFDEA" w14:textId="77777777" w:rsidR="00951A61" w:rsidRPr="008B7EAD" w:rsidRDefault="00951A61" w:rsidP="00A4032F">
            <w:pPr>
              <w:ind w:firstLine="425"/>
              <w:jc w:val="both"/>
              <w:rPr>
                <w:rFonts w:ascii="Tahoma" w:hAnsi="Tahoma" w:cs="Tahoma"/>
                <w:sz w:val="20"/>
                <w:szCs w:val="20"/>
              </w:rPr>
            </w:pPr>
            <w:r w:rsidRPr="008B7EAD">
              <w:rPr>
                <w:rFonts w:ascii="Tahoma" w:hAnsi="Tahoma" w:cs="Tahoma"/>
                <w:b/>
                <w:sz w:val="20"/>
                <w:szCs w:val="20"/>
              </w:rPr>
              <w:t>5)</w:t>
            </w:r>
            <w:r w:rsidRPr="008B7EAD">
              <w:rPr>
                <w:rFonts w:ascii="Tahoma" w:hAnsi="Tahoma" w:cs="Tahoma"/>
                <w:sz w:val="20"/>
                <w:szCs w:val="20"/>
              </w:rPr>
              <w:t xml:space="preserve"> Кредит предоставляется:</w:t>
            </w:r>
          </w:p>
          <w:p w14:paraId="27C5C683" w14:textId="77777777" w:rsidR="00951A61" w:rsidRPr="008B7EAD" w:rsidRDefault="00951A61" w:rsidP="00951A61">
            <w:pPr>
              <w:pStyle w:val="affe"/>
              <w:numPr>
                <w:ilvl w:val="0"/>
                <w:numId w:val="78"/>
              </w:numPr>
              <w:ind w:left="0" w:firstLine="425"/>
              <w:jc w:val="both"/>
              <w:rPr>
                <w:rFonts w:ascii="Tahoma" w:hAnsi="Tahoma" w:cs="Tahoma"/>
                <w:sz w:val="20"/>
                <w:szCs w:val="20"/>
              </w:rPr>
            </w:pPr>
            <w:r w:rsidRPr="008B7EAD">
              <w:rPr>
                <w:rFonts w:ascii="Tahoma" w:hAnsi="Tahoma" w:cs="Tahoma"/>
                <w:sz w:val="20"/>
                <w:szCs w:val="20"/>
              </w:rPr>
              <w:t>на приобретение/ инвестирование строительства одного жилого помещения;</w:t>
            </w:r>
          </w:p>
          <w:p w14:paraId="695D5486" w14:textId="77777777" w:rsidR="00951A61" w:rsidRPr="008B7EAD" w:rsidRDefault="00951A61" w:rsidP="00951A61">
            <w:pPr>
              <w:pStyle w:val="affe"/>
              <w:numPr>
                <w:ilvl w:val="0"/>
                <w:numId w:val="78"/>
              </w:numPr>
              <w:ind w:left="0" w:firstLine="425"/>
              <w:jc w:val="both"/>
              <w:rPr>
                <w:rFonts w:ascii="Tahoma" w:hAnsi="Tahoma" w:cs="Tahoma"/>
                <w:sz w:val="20"/>
                <w:szCs w:val="20"/>
              </w:rPr>
            </w:pPr>
            <w:r w:rsidRPr="008B7EAD">
              <w:rPr>
                <w:rFonts w:ascii="Tahoma" w:hAnsi="Tahoma" w:cs="Tahoma"/>
                <w:sz w:val="20"/>
                <w:szCs w:val="20"/>
              </w:rPr>
              <w:t>на индивидуальное строительство одного жилого дома;</w:t>
            </w:r>
          </w:p>
          <w:p w14:paraId="3C8076B7" w14:textId="77777777" w:rsidR="00951A61" w:rsidRPr="008B7EAD" w:rsidRDefault="00951A61" w:rsidP="00A4032F">
            <w:pPr>
              <w:ind w:firstLine="425"/>
              <w:jc w:val="both"/>
              <w:rPr>
                <w:rFonts w:ascii="Tahoma" w:hAnsi="Tahoma" w:cs="Tahoma"/>
                <w:sz w:val="20"/>
                <w:szCs w:val="20"/>
              </w:rPr>
            </w:pPr>
            <w:r w:rsidRPr="008B7EAD">
              <w:rPr>
                <w:rFonts w:ascii="Tahoma" w:hAnsi="Tahoma" w:cs="Tahoma"/>
                <w:b/>
                <w:sz w:val="20"/>
                <w:szCs w:val="20"/>
              </w:rPr>
              <w:t>6)</w:t>
            </w:r>
            <w:r w:rsidRPr="008B7EAD">
              <w:rPr>
                <w:rFonts w:ascii="Tahoma" w:hAnsi="Tahoma" w:cs="Tahoma"/>
                <w:sz w:val="20"/>
                <w:szCs w:val="20"/>
              </w:rPr>
              <w:t xml:space="preserve"> В случае несоответствия каких-либо частей настоящего документа </w:t>
            </w:r>
            <w:r>
              <w:rPr>
                <w:rFonts w:ascii="Tahoma" w:hAnsi="Tahoma" w:cs="Tahoma"/>
                <w:sz w:val="20"/>
                <w:szCs w:val="20"/>
              </w:rPr>
              <w:t>Решению</w:t>
            </w:r>
            <w:r w:rsidRPr="008B7EAD">
              <w:rPr>
                <w:rFonts w:ascii="Tahoma" w:hAnsi="Tahoma" w:cs="Tahoma"/>
                <w:sz w:val="20"/>
                <w:szCs w:val="20"/>
              </w:rPr>
              <w:t xml:space="preserve"> (вследствие принятия новой редакции Правил/их изменения) приоритетную силу для применения име</w:t>
            </w:r>
            <w:r>
              <w:rPr>
                <w:rFonts w:ascii="Tahoma" w:hAnsi="Tahoma" w:cs="Tahoma"/>
                <w:sz w:val="20"/>
                <w:szCs w:val="20"/>
              </w:rPr>
              <w:t>е</w:t>
            </w:r>
            <w:r w:rsidRPr="008B7EAD">
              <w:rPr>
                <w:rFonts w:ascii="Tahoma" w:hAnsi="Tahoma" w:cs="Tahoma"/>
                <w:sz w:val="20"/>
                <w:szCs w:val="20"/>
              </w:rPr>
              <w:t xml:space="preserve">т </w:t>
            </w:r>
            <w:r>
              <w:rPr>
                <w:rFonts w:ascii="Tahoma" w:hAnsi="Tahoma" w:cs="Tahoma"/>
                <w:sz w:val="20"/>
                <w:szCs w:val="20"/>
              </w:rPr>
              <w:t>Решение</w:t>
            </w:r>
            <w:r w:rsidRPr="008B7EAD">
              <w:rPr>
                <w:rFonts w:ascii="Tahoma" w:hAnsi="Tahoma" w:cs="Tahoma"/>
                <w:sz w:val="20"/>
                <w:szCs w:val="20"/>
              </w:rPr>
              <w:t>.</w:t>
            </w:r>
          </w:p>
          <w:p w14:paraId="275722BF" w14:textId="77777777" w:rsidR="00951A61" w:rsidRPr="008B7EAD" w:rsidRDefault="00951A61" w:rsidP="00A4032F">
            <w:pPr>
              <w:ind w:firstLine="425"/>
              <w:jc w:val="both"/>
              <w:rPr>
                <w:rFonts w:ascii="Tahoma" w:hAnsi="Tahoma" w:cs="Tahoma"/>
                <w:sz w:val="20"/>
                <w:szCs w:val="20"/>
              </w:rPr>
            </w:pPr>
          </w:p>
        </w:tc>
      </w:tr>
      <w:tr w:rsidR="00951A61" w:rsidRPr="00234585" w14:paraId="590D4FE2" w14:textId="77777777" w:rsidTr="00A4032F">
        <w:trPr>
          <w:trHeight w:val="2368"/>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3677EB8E" w14:textId="77777777" w:rsidR="00951A61" w:rsidRPr="00AB08B7" w:rsidRDefault="00951A61" w:rsidP="00A4032F">
            <w:pPr>
              <w:autoSpaceDE w:val="0"/>
              <w:autoSpaceDN w:val="0"/>
              <w:adjustRightInd w:val="0"/>
              <w:ind w:firstLine="425"/>
              <w:jc w:val="center"/>
              <w:rPr>
                <w:rFonts w:ascii="Tahoma" w:hAnsi="Tahoma" w:cs="Tahoma"/>
                <w:b/>
                <w:bCs/>
                <w:color w:val="000000"/>
                <w:sz w:val="20"/>
                <w:szCs w:val="20"/>
              </w:rPr>
            </w:pPr>
            <w:r w:rsidRPr="008B7EAD">
              <w:rPr>
                <w:rFonts w:ascii="Tahoma" w:hAnsi="Tahoma" w:cs="Tahoma"/>
                <w:b/>
                <w:color w:val="000000"/>
                <w:sz w:val="20"/>
                <w:szCs w:val="20"/>
              </w:rPr>
              <w:t xml:space="preserve">Право заемщика обратиться к кредитору с требованием, предусмотренным частью 1 статьи 6.1-1 Федерального закона от 21.12.2013 № 353-ФЗ «О </w:t>
            </w:r>
            <w:r w:rsidRPr="00CE1BDB">
              <w:rPr>
                <w:rFonts w:ascii="Tahoma" w:hAnsi="Tahoma" w:cs="Tahoma"/>
                <w:b/>
                <w:color w:val="000000"/>
                <w:sz w:val="20"/>
                <w:szCs w:val="20"/>
              </w:rPr>
              <w:t>потребительском кредите (займе)», и об условиях, при наступлении которых у заемщика возникает соответствующее право.</w:t>
            </w:r>
          </w:p>
        </w:tc>
        <w:tc>
          <w:tcPr>
            <w:tcW w:w="11452" w:type="dxa"/>
            <w:tcBorders>
              <w:top w:val="single" w:sz="4" w:space="0" w:color="auto"/>
              <w:left w:val="nil"/>
              <w:bottom w:val="single" w:sz="4" w:space="0" w:color="auto"/>
              <w:right w:val="single" w:sz="4" w:space="0" w:color="auto"/>
            </w:tcBorders>
            <w:shd w:val="clear" w:color="auto" w:fill="auto"/>
            <w:vAlign w:val="center"/>
          </w:tcPr>
          <w:p w14:paraId="31946CF2" w14:textId="77777777" w:rsidR="00951A61" w:rsidRPr="008B7EAD" w:rsidRDefault="00951A61" w:rsidP="00A4032F">
            <w:pPr>
              <w:autoSpaceDE w:val="0"/>
              <w:autoSpaceDN w:val="0"/>
              <w:adjustRightInd w:val="0"/>
              <w:ind w:firstLine="425"/>
              <w:jc w:val="both"/>
              <w:rPr>
                <w:rFonts w:ascii="Tahoma" w:hAnsi="Tahoma" w:cs="Tahoma"/>
                <w:sz w:val="20"/>
                <w:szCs w:val="20"/>
              </w:rPr>
            </w:pPr>
            <w:r w:rsidRPr="008B7EAD">
              <w:rPr>
                <w:rFonts w:ascii="Tahoma" w:hAnsi="Tahoma" w:cs="Tahoma"/>
                <w:sz w:val="20"/>
                <w:szCs w:val="20"/>
              </w:rPr>
              <w:t xml:space="preserve">Заемщик в любой момент в течение времени действия Кредитного договора, а в случае, указанном в п. 6 ч. 2 ст. 6.1-1 Закона № 353-ФЗ (и (наводнении, пожаре, катастрофе или другом бедствии), в течение шестидесяти дней со дня установления соответствующих фактов, вправе обратиться к кредитору с требованием о предоставлении льготного периода, предусматривающего приостановление исполнения Заемщиком своих обязательств по Кредитному договору, либо указание на размер платежей, уплачиваемых заемщиком в течение льготного периода. </w:t>
            </w:r>
          </w:p>
          <w:p w14:paraId="262448E5" w14:textId="77777777" w:rsidR="00951A61" w:rsidRPr="008B7EAD" w:rsidRDefault="00951A61" w:rsidP="00A4032F">
            <w:pPr>
              <w:ind w:firstLine="425"/>
              <w:jc w:val="both"/>
              <w:rPr>
                <w:rFonts w:ascii="Tahoma" w:hAnsi="Tahoma" w:cs="Tahoma"/>
                <w:b/>
                <w:sz w:val="20"/>
                <w:szCs w:val="20"/>
              </w:rPr>
            </w:pPr>
            <w:r w:rsidRPr="008B7EAD">
              <w:rPr>
                <w:rFonts w:ascii="Tahoma" w:hAnsi="Tahoma" w:cs="Tahoma"/>
                <w:sz w:val="20"/>
                <w:szCs w:val="20"/>
              </w:rPr>
              <w:t xml:space="preserve">С условиями, при наступлении которых у Заемщика возникает такое право, можно ознакомиться в размещаемой Банком информации о кредитных каникулах в рамках 353-ФЗ, в том числе на сайте Банка </w:t>
            </w:r>
            <w:hyperlink r:id="rId48" w:history="1">
              <w:r w:rsidRPr="008B7EAD">
                <w:rPr>
                  <w:rStyle w:val="aff"/>
                  <w:rFonts w:ascii="Tahoma" w:hAnsi="Tahoma" w:cs="Tahoma"/>
                  <w:sz w:val="20"/>
                  <w:szCs w:val="20"/>
                </w:rPr>
                <w:t>https://www.atb.su/customer-care-service/</w:t>
              </w:r>
            </w:hyperlink>
          </w:p>
        </w:tc>
      </w:tr>
    </w:tbl>
    <w:p w14:paraId="6EBE7102" w14:textId="77777777" w:rsidR="00951A61" w:rsidRDefault="00951A61" w:rsidP="00951A61">
      <w:pPr>
        <w:tabs>
          <w:tab w:val="left" w:pos="851"/>
        </w:tabs>
        <w:rPr>
          <w:rFonts w:ascii="Tahoma" w:hAnsi="Tahoma" w:cs="Tahoma"/>
          <w:sz w:val="20"/>
          <w:szCs w:val="20"/>
        </w:rPr>
      </w:pPr>
      <w:r>
        <w:rPr>
          <w:rFonts w:ascii="Tahoma" w:hAnsi="Tahoma" w:cs="Tahoma"/>
          <w:sz w:val="20"/>
          <w:szCs w:val="20"/>
        </w:rPr>
        <w:t xml:space="preserve">        </w:t>
      </w:r>
    </w:p>
    <w:p w14:paraId="1B0246C0" w14:textId="77777777" w:rsidR="00951A61" w:rsidRPr="006D6406" w:rsidRDefault="00951A61" w:rsidP="00951A61">
      <w:pPr>
        <w:pageBreakBefore/>
        <w:jc w:val="right"/>
        <w:rPr>
          <w:rFonts w:ascii="Tahoma" w:hAnsi="Tahoma" w:cs="Tahoma"/>
          <w:sz w:val="18"/>
          <w:szCs w:val="20"/>
        </w:rPr>
      </w:pPr>
      <w:r w:rsidRPr="006D6406">
        <w:rPr>
          <w:rFonts w:ascii="Tahoma" w:hAnsi="Tahoma" w:cs="Tahoma"/>
          <w:sz w:val="18"/>
          <w:szCs w:val="20"/>
        </w:rPr>
        <w:lastRenderedPageBreak/>
        <w:t>Приложение №1</w:t>
      </w:r>
    </w:p>
    <w:p w14:paraId="4160F251" w14:textId="77777777" w:rsidR="00951A61" w:rsidRPr="006D6406" w:rsidRDefault="00951A61" w:rsidP="00951A61">
      <w:pPr>
        <w:jc w:val="right"/>
        <w:rPr>
          <w:rFonts w:ascii="Tahoma" w:hAnsi="Tahoma" w:cs="Tahoma"/>
          <w:noProof/>
          <w:sz w:val="18"/>
          <w:szCs w:val="20"/>
        </w:rPr>
      </w:pPr>
      <w:r w:rsidRPr="006D6406">
        <w:rPr>
          <w:rFonts w:ascii="Tahoma" w:hAnsi="Tahoma" w:cs="Tahoma"/>
          <w:noProof/>
          <w:sz w:val="18"/>
          <w:szCs w:val="20"/>
        </w:rPr>
        <w:t xml:space="preserve">к основным условиях предоставления, использования и возврата </w:t>
      </w:r>
    </w:p>
    <w:p w14:paraId="3F3CDA9A" w14:textId="77777777" w:rsidR="00951A61" w:rsidRPr="006D6406" w:rsidRDefault="00951A61" w:rsidP="00951A61">
      <w:pPr>
        <w:jc w:val="right"/>
        <w:rPr>
          <w:rFonts w:ascii="Tahoma" w:hAnsi="Tahoma" w:cs="Tahoma"/>
          <w:sz w:val="18"/>
          <w:szCs w:val="20"/>
        </w:rPr>
      </w:pPr>
      <w:r w:rsidRPr="006D6406">
        <w:rPr>
          <w:rFonts w:ascii="Tahoma" w:hAnsi="Tahoma" w:cs="Tahoma"/>
          <w:noProof/>
          <w:sz w:val="18"/>
          <w:szCs w:val="20"/>
        </w:rPr>
        <w:t>ипотечного кредита по тарифному плану «Дальневосточная и арктическая ипотека»</w:t>
      </w:r>
    </w:p>
    <w:p w14:paraId="1C9B233C" w14:textId="77777777" w:rsidR="00951A61" w:rsidRPr="006D6406" w:rsidRDefault="00951A61" w:rsidP="00951A61">
      <w:pPr>
        <w:jc w:val="center"/>
        <w:rPr>
          <w:rFonts w:ascii="Tahoma" w:hAnsi="Tahoma" w:cs="Tahoma"/>
          <w:b/>
          <w:sz w:val="18"/>
          <w:szCs w:val="18"/>
        </w:rPr>
      </w:pPr>
    </w:p>
    <w:p w14:paraId="06A36DBF" w14:textId="77777777" w:rsidR="00951A61" w:rsidRPr="006D6406" w:rsidRDefault="00951A61" w:rsidP="00951A61">
      <w:pPr>
        <w:jc w:val="center"/>
        <w:rPr>
          <w:rFonts w:ascii="Tahoma" w:hAnsi="Tahoma" w:cs="Tahoma"/>
          <w:b/>
          <w:sz w:val="20"/>
          <w:szCs w:val="20"/>
        </w:rPr>
      </w:pPr>
      <w:r w:rsidRPr="006D6406">
        <w:rPr>
          <w:rFonts w:ascii="Tahoma" w:hAnsi="Tahoma" w:cs="Tahoma"/>
          <w:b/>
          <w:sz w:val="20"/>
          <w:szCs w:val="20"/>
        </w:rPr>
        <w:t>СПИСОК НАСЕЛЕННЫХ ПУНКТОВ</w:t>
      </w:r>
    </w:p>
    <w:p w14:paraId="46B5EDA9" w14:textId="77777777" w:rsidR="00951A61" w:rsidRPr="006D6406" w:rsidRDefault="00951A61" w:rsidP="00951A61">
      <w:pPr>
        <w:pStyle w:val="affe"/>
        <w:ind w:left="284"/>
        <w:jc w:val="both"/>
        <w:rPr>
          <w:rFonts w:ascii="Tahoma" w:hAnsi="Tahoma" w:cs="Tahoma"/>
          <w:sz w:val="20"/>
          <w:szCs w:val="20"/>
        </w:rPr>
      </w:pPr>
    </w:p>
    <w:tbl>
      <w:tblPr>
        <w:tblW w:w="11088" w:type="dxa"/>
        <w:tblInd w:w="-3" w:type="dxa"/>
        <w:tblCellMar>
          <w:left w:w="0" w:type="dxa"/>
          <w:right w:w="0" w:type="dxa"/>
        </w:tblCellMar>
        <w:tblLook w:val="04A0" w:firstRow="1" w:lastRow="0" w:firstColumn="1" w:lastColumn="0" w:noHBand="0" w:noVBand="1"/>
      </w:tblPr>
      <w:tblGrid>
        <w:gridCol w:w="844"/>
        <w:gridCol w:w="6548"/>
        <w:gridCol w:w="3696"/>
      </w:tblGrid>
      <w:tr w:rsidR="00951A61" w:rsidRPr="00A86CBE" w14:paraId="4DF3F9FB" w14:textId="77777777" w:rsidTr="00A4032F">
        <w:trPr>
          <w:trHeight w:val="255"/>
        </w:trPr>
        <w:tc>
          <w:tcPr>
            <w:tcW w:w="844" w:type="dxa"/>
            <w:tcBorders>
              <w:top w:val="single" w:sz="8" w:space="0" w:color="808080"/>
              <w:left w:val="single" w:sz="8" w:space="0" w:color="808080"/>
              <w:bottom w:val="single" w:sz="8" w:space="0" w:color="808080"/>
              <w:right w:val="single" w:sz="8" w:space="0" w:color="808080"/>
            </w:tcBorders>
          </w:tcPr>
          <w:p w14:paraId="4C6B4BDA" w14:textId="77777777" w:rsidR="00951A61" w:rsidRPr="006D6406" w:rsidRDefault="00951A61" w:rsidP="00A4032F">
            <w:pPr>
              <w:jc w:val="center"/>
              <w:rPr>
                <w:rFonts w:ascii="Tahoma" w:hAnsi="Tahoma" w:cs="Tahoma"/>
                <w:b/>
                <w:sz w:val="20"/>
                <w:szCs w:val="20"/>
              </w:rPr>
            </w:pPr>
            <w:r w:rsidRPr="006D6406">
              <w:rPr>
                <w:rFonts w:ascii="Tahoma" w:hAnsi="Tahoma" w:cs="Tahoma"/>
                <w:b/>
                <w:sz w:val="20"/>
                <w:szCs w:val="20"/>
              </w:rPr>
              <w:t>№</w:t>
            </w:r>
          </w:p>
        </w:tc>
        <w:tc>
          <w:tcPr>
            <w:tcW w:w="6548" w:type="dxa"/>
            <w:tcBorders>
              <w:top w:val="single" w:sz="8" w:space="0" w:color="808080"/>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4B49D3C5" w14:textId="77777777" w:rsidR="00951A61" w:rsidRPr="006D6406" w:rsidRDefault="00951A61" w:rsidP="00A4032F">
            <w:pPr>
              <w:jc w:val="center"/>
              <w:rPr>
                <w:rFonts w:ascii="Tahoma" w:hAnsi="Tahoma" w:cs="Tahoma"/>
                <w:b/>
                <w:sz w:val="20"/>
                <w:szCs w:val="20"/>
              </w:rPr>
            </w:pPr>
            <w:r w:rsidRPr="006D6406">
              <w:rPr>
                <w:rFonts w:ascii="Tahoma" w:hAnsi="Tahoma" w:cs="Tahoma"/>
                <w:b/>
                <w:sz w:val="20"/>
                <w:szCs w:val="20"/>
              </w:rPr>
              <w:t>Субъекты РФ (регионы)</w:t>
            </w:r>
          </w:p>
        </w:tc>
        <w:tc>
          <w:tcPr>
            <w:tcW w:w="3696" w:type="dxa"/>
            <w:tcBorders>
              <w:top w:val="single" w:sz="8" w:space="0" w:color="808080"/>
              <w:left w:val="nil"/>
              <w:bottom w:val="single" w:sz="8" w:space="0" w:color="808080"/>
              <w:right w:val="single" w:sz="8" w:space="0" w:color="808080"/>
            </w:tcBorders>
            <w:tcMar>
              <w:top w:w="0" w:type="dxa"/>
              <w:left w:w="108" w:type="dxa"/>
              <w:bottom w:w="0" w:type="dxa"/>
              <w:right w:w="108" w:type="dxa"/>
            </w:tcMar>
            <w:hideMark/>
          </w:tcPr>
          <w:p w14:paraId="6A4E03C8" w14:textId="77777777" w:rsidR="00951A61" w:rsidRPr="006D6406" w:rsidRDefault="00951A61" w:rsidP="00A4032F">
            <w:pPr>
              <w:jc w:val="center"/>
              <w:rPr>
                <w:rFonts w:ascii="Tahoma" w:hAnsi="Tahoma" w:cs="Tahoma"/>
                <w:b/>
                <w:sz w:val="20"/>
                <w:szCs w:val="20"/>
              </w:rPr>
            </w:pPr>
            <w:r w:rsidRPr="006D6406">
              <w:rPr>
                <w:rFonts w:ascii="Tahoma" w:hAnsi="Tahoma" w:cs="Tahoma"/>
                <w:b/>
                <w:sz w:val="20"/>
                <w:szCs w:val="20"/>
              </w:rPr>
              <w:t>Населённые пункты (города)</w:t>
            </w:r>
          </w:p>
        </w:tc>
      </w:tr>
      <w:tr w:rsidR="00951A61" w:rsidRPr="00A86CBE" w14:paraId="71011D8F" w14:textId="77777777" w:rsidTr="00A4032F">
        <w:trPr>
          <w:trHeight w:val="255"/>
        </w:trPr>
        <w:tc>
          <w:tcPr>
            <w:tcW w:w="844" w:type="dxa"/>
            <w:tcBorders>
              <w:top w:val="nil"/>
              <w:left w:val="single" w:sz="8" w:space="0" w:color="808080"/>
              <w:bottom w:val="single" w:sz="8" w:space="0" w:color="808080"/>
              <w:right w:val="single" w:sz="8" w:space="0" w:color="808080"/>
            </w:tcBorders>
          </w:tcPr>
          <w:p w14:paraId="23C9E25C" w14:textId="77777777" w:rsidR="00951A61" w:rsidRPr="006D6406" w:rsidRDefault="00951A61" w:rsidP="00A4032F">
            <w:pPr>
              <w:jc w:val="center"/>
              <w:rPr>
                <w:rFonts w:ascii="Tahoma" w:hAnsi="Tahoma" w:cs="Tahoma"/>
                <w:sz w:val="20"/>
                <w:szCs w:val="20"/>
              </w:rPr>
            </w:pPr>
            <w:r w:rsidRPr="006D6406">
              <w:rPr>
                <w:rFonts w:ascii="Tahoma" w:hAnsi="Tahoma" w:cs="Tahoma"/>
                <w:sz w:val="20"/>
                <w:szCs w:val="20"/>
              </w:rPr>
              <w:t>1.</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12FDA48A" w14:textId="77777777" w:rsidR="00951A61" w:rsidRPr="006D6406" w:rsidRDefault="00951A61" w:rsidP="00A4032F">
            <w:pPr>
              <w:rPr>
                <w:rFonts w:ascii="Tahoma" w:hAnsi="Tahoma" w:cs="Tahoma"/>
                <w:sz w:val="20"/>
                <w:szCs w:val="20"/>
              </w:rPr>
            </w:pPr>
            <w:r w:rsidRPr="006D6406">
              <w:rPr>
                <w:rFonts w:ascii="Tahoma" w:hAnsi="Tahoma" w:cs="Tahoma"/>
                <w:sz w:val="20"/>
                <w:szCs w:val="20"/>
              </w:rPr>
              <w:t>Амурская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279DEFB1" w14:textId="77777777" w:rsidR="00951A61" w:rsidRPr="006D6406" w:rsidRDefault="00951A61" w:rsidP="00A4032F">
            <w:pPr>
              <w:rPr>
                <w:rFonts w:ascii="Tahoma" w:hAnsi="Tahoma" w:cs="Tahoma"/>
                <w:sz w:val="20"/>
                <w:szCs w:val="20"/>
              </w:rPr>
            </w:pPr>
            <w:r w:rsidRPr="006D6406">
              <w:rPr>
                <w:rFonts w:ascii="Tahoma" w:hAnsi="Tahoma" w:cs="Tahoma"/>
                <w:sz w:val="20"/>
                <w:szCs w:val="20"/>
              </w:rPr>
              <w:t>Благовещенск</w:t>
            </w:r>
          </w:p>
        </w:tc>
      </w:tr>
      <w:tr w:rsidR="00951A61" w:rsidRPr="00A86CBE" w14:paraId="1BFD149A" w14:textId="77777777" w:rsidTr="00A4032F">
        <w:trPr>
          <w:trHeight w:val="255"/>
        </w:trPr>
        <w:tc>
          <w:tcPr>
            <w:tcW w:w="844" w:type="dxa"/>
            <w:tcBorders>
              <w:top w:val="nil"/>
              <w:left w:val="single" w:sz="8" w:space="0" w:color="808080"/>
              <w:bottom w:val="single" w:sz="8" w:space="0" w:color="808080"/>
              <w:right w:val="single" w:sz="8" w:space="0" w:color="808080"/>
            </w:tcBorders>
          </w:tcPr>
          <w:p w14:paraId="52D7E2FF" w14:textId="77777777" w:rsidR="00951A61" w:rsidRPr="006D6406" w:rsidRDefault="00951A61" w:rsidP="00A4032F">
            <w:pPr>
              <w:jc w:val="center"/>
              <w:rPr>
                <w:rFonts w:ascii="Tahoma" w:hAnsi="Tahoma" w:cs="Tahoma"/>
                <w:sz w:val="20"/>
                <w:szCs w:val="20"/>
              </w:rPr>
            </w:pPr>
            <w:r w:rsidRPr="006D6406">
              <w:rPr>
                <w:rFonts w:ascii="Tahoma" w:hAnsi="Tahoma" w:cs="Tahoma"/>
                <w:sz w:val="20"/>
                <w:szCs w:val="20"/>
              </w:rPr>
              <w:t>2.</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3F2C27C7" w14:textId="77777777" w:rsidR="00951A61" w:rsidRPr="006D6406" w:rsidRDefault="00951A61" w:rsidP="00A4032F">
            <w:pPr>
              <w:rPr>
                <w:rFonts w:ascii="Tahoma" w:hAnsi="Tahoma" w:cs="Tahoma"/>
                <w:sz w:val="20"/>
                <w:szCs w:val="20"/>
              </w:rPr>
            </w:pPr>
            <w:r w:rsidRPr="006D6406">
              <w:rPr>
                <w:rFonts w:ascii="Tahoma" w:hAnsi="Tahoma" w:cs="Tahoma"/>
                <w:sz w:val="20"/>
                <w:szCs w:val="20"/>
              </w:rPr>
              <w:t>Забайкальский край</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1BFEE0A7" w14:textId="77777777" w:rsidR="00951A61" w:rsidRPr="006D6406" w:rsidRDefault="00951A61" w:rsidP="00A4032F">
            <w:pPr>
              <w:rPr>
                <w:rFonts w:ascii="Tahoma" w:hAnsi="Tahoma" w:cs="Tahoma"/>
                <w:sz w:val="20"/>
                <w:szCs w:val="20"/>
              </w:rPr>
            </w:pPr>
            <w:r w:rsidRPr="006D6406">
              <w:rPr>
                <w:rFonts w:ascii="Tahoma" w:hAnsi="Tahoma" w:cs="Tahoma"/>
                <w:sz w:val="20"/>
                <w:szCs w:val="20"/>
              </w:rPr>
              <w:t>Чита</w:t>
            </w:r>
          </w:p>
        </w:tc>
      </w:tr>
      <w:tr w:rsidR="00951A61" w:rsidRPr="00A86CBE" w14:paraId="341D489A" w14:textId="77777777" w:rsidTr="00A4032F">
        <w:trPr>
          <w:trHeight w:val="255"/>
        </w:trPr>
        <w:tc>
          <w:tcPr>
            <w:tcW w:w="844" w:type="dxa"/>
            <w:tcBorders>
              <w:top w:val="nil"/>
              <w:left w:val="single" w:sz="8" w:space="0" w:color="808080"/>
              <w:bottom w:val="single" w:sz="8" w:space="0" w:color="808080"/>
              <w:right w:val="single" w:sz="8" w:space="0" w:color="808080"/>
            </w:tcBorders>
          </w:tcPr>
          <w:p w14:paraId="570C18AF" w14:textId="77777777" w:rsidR="00951A61" w:rsidRPr="006D6406" w:rsidRDefault="00951A61" w:rsidP="00A4032F">
            <w:pPr>
              <w:jc w:val="center"/>
              <w:rPr>
                <w:rFonts w:ascii="Tahoma" w:hAnsi="Tahoma" w:cs="Tahoma"/>
                <w:sz w:val="20"/>
                <w:szCs w:val="20"/>
              </w:rPr>
            </w:pPr>
            <w:r w:rsidRPr="006D6406">
              <w:rPr>
                <w:rFonts w:ascii="Tahoma" w:hAnsi="Tahoma" w:cs="Tahoma"/>
                <w:sz w:val="20"/>
                <w:szCs w:val="20"/>
              </w:rPr>
              <w:t>3.</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061BC905" w14:textId="77777777" w:rsidR="00951A61" w:rsidRPr="006D6406" w:rsidRDefault="00951A61" w:rsidP="00A4032F">
            <w:pPr>
              <w:rPr>
                <w:rFonts w:ascii="Tahoma" w:hAnsi="Tahoma" w:cs="Tahoma"/>
                <w:sz w:val="20"/>
                <w:szCs w:val="20"/>
              </w:rPr>
            </w:pPr>
            <w:r w:rsidRPr="006D6406">
              <w:rPr>
                <w:rFonts w:ascii="Tahoma" w:hAnsi="Tahoma" w:cs="Tahoma"/>
                <w:sz w:val="20"/>
                <w:szCs w:val="20"/>
              </w:rPr>
              <w:t>Камчатский край</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72FB7751" w14:textId="77777777" w:rsidR="00951A61" w:rsidRPr="006D6406" w:rsidRDefault="00951A61" w:rsidP="00A4032F">
            <w:pPr>
              <w:rPr>
                <w:rFonts w:ascii="Tahoma" w:hAnsi="Tahoma" w:cs="Tahoma"/>
                <w:sz w:val="20"/>
                <w:szCs w:val="20"/>
              </w:rPr>
            </w:pPr>
            <w:r w:rsidRPr="006D6406">
              <w:rPr>
                <w:rFonts w:ascii="Tahoma" w:hAnsi="Tahoma" w:cs="Tahoma"/>
                <w:sz w:val="20"/>
                <w:szCs w:val="20"/>
              </w:rPr>
              <w:t>Петропавловск-Камчатский</w:t>
            </w:r>
          </w:p>
        </w:tc>
      </w:tr>
      <w:tr w:rsidR="00951A61" w:rsidRPr="00A86CBE" w14:paraId="209650DC" w14:textId="77777777" w:rsidTr="00A4032F">
        <w:trPr>
          <w:trHeight w:val="255"/>
        </w:trPr>
        <w:tc>
          <w:tcPr>
            <w:tcW w:w="844" w:type="dxa"/>
            <w:tcBorders>
              <w:top w:val="nil"/>
              <w:left w:val="single" w:sz="8" w:space="0" w:color="808080"/>
              <w:bottom w:val="single" w:sz="8" w:space="0" w:color="808080"/>
              <w:right w:val="single" w:sz="8" w:space="0" w:color="808080"/>
            </w:tcBorders>
          </w:tcPr>
          <w:p w14:paraId="6276FE41" w14:textId="77777777" w:rsidR="00951A61" w:rsidRPr="006D6406" w:rsidRDefault="00951A61" w:rsidP="00A4032F">
            <w:pPr>
              <w:jc w:val="center"/>
              <w:rPr>
                <w:rFonts w:ascii="Tahoma" w:hAnsi="Tahoma" w:cs="Tahoma"/>
                <w:sz w:val="20"/>
                <w:szCs w:val="20"/>
              </w:rPr>
            </w:pPr>
            <w:r w:rsidRPr="006D6406">
              <w:rPr>
                <w:rFonts w:ascii="Tahoma" w:hAnsi="Tahoma" w:cs="Tahoma"/>
                <w:sz w:val="20"/>
                <w:szCs w:val="20"/>
              </w:rPr>
              <w:t>4.</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0A04FA4E" w14:textId="77777777" w:rsidR="00951A61" w:rsidRPr="006D6406" w:rsidRDefault="00951A61" w:rsidP="00A4032F">
            <w:pPr>
              <w:rPr>
                <w:rFonts w:ascii="Tahoma" w:hAnsi="Tahoma" w:cs="Tahoma"/>
                <w:sz w:val="20"/>
                <w:szCs w:val="20"/>
              </w:rPr>
            </w:pPr>
            <w:r w:rsidRPr="006D6406">
              <w:rPr>
                <w:rFonts w:ascii="Tahoma" w:hAnsi="Tahoma" w:cs="Tahoma"/>
                <w:sz w:val="20"/>
                <w:szCs w:val="20"/>
              </w:rPr>
              <w:t>Магаданская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7C032B05" w14:textId="77777777" w:rsidR="00951A61" w:rsidRPr="006D6406" w:rsidRDefault="00951A61" w:rsidP="00A4032F">
            <w:pPr>
              <w:rPr>
                <w:rFonts w:ascii="Tahoma" w:hAnsi="Tahoma" w:cs="Tahoma"/>
                <w:sz w:val="20"/>
                <w:szCs w:val="20"/>
              </w:rPr>
            </w:pPr>
            <w:r w:rsidRPr="006D6406">
              <w:rPr>
                <w:rFonts w:ascii="Tahoma" w:hAnsi="Tahoma" w:cs="Tahoma"/>
                <w:sz w:val="20"/>
                <w:szCs w:val="20"/>
              </w:rPr>
              <w:t>Магадан</w:t>
            </w:r>
          </w:p>
        </w:tc>
      </w:tr>
      <w:tr w:rsidR="00951A61" w:rsidRPr="00A86CBE" w14:paraId="384C8472" w14:textId="77777777" w:rsidTr="00A4032F">
        <w:trPr>
          <w:trHeight w:val="255"/>
        </w:trPr>
        <w:tc>
          <w:tcPr>
            <w:tcW w:w="844" w:type="dxa"/>
            <w:tcBorders>
              <w:top w:val="nil"/>
              <w:left w:val="single" w:sz="8" w:space="0" w:color="808080"/>
              <w:bottom w:val="single" w:sz="8" w:space="0" w:color="808080"/>
              <w:right w:val="single" w:sz="8" w:space="0" w:color="808080"/>
            </w:tcBorders>
          </w:tcPr>
          <w:p w14:paraId="41A8CD15" w14:textId="77777777" w:rsidR="00951A61" w:rsidRPr="006D6406" w:rsidRDefault="00951A61" w:rsidP="00A4032F">
            <w:pPr>
              <w:jc w:val="center"/>
              <w:rPr>
                <w:rFonts w:ascii="Tahoma" w:hAnsi="Tahoma" w:cs="Tahoma"/>
                <w:sz w:val="20"/>
                <w:szCs w:val="20"/>
              </w:rPr>
            </w:pPr>
            <w:r w:rsidRPr="006D6406">
              <w:rPr>
                <w:rFonts w:ascii="Tahoma" w:hAnsi="Tahoma" w:cs="Tahoma"/>
                <w:sz w:val="20"/>
                <w:szCs w:val="20"/>
              </w:rPr>
              <w:t>5.</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03D06B36" w14:textId="77777777" w:rsidR="00951A61" w:rsidRPr="006D6406" w:rsidRDefault="00951A61" w:rsidP="00A4032F">
            <w:pPr>
              <w:rPr>
                <w:rFonts w:ascii="Tahoma" w:hAnsi="Tahoma" w:cs="Tahoma"/>
                <w:sz w:val="20"/>
                <w:szCs w:val="20"/>
              </w:rPr>
            </w:pPr>
            <w:r w:rsidRPr="006D6406">
              <w:rPr>
                <w:rFonts w:ascii="Tahoma" w:hAnsi="Tahoma" w:cs="Tahoma"/>
                <w:sz w:val="20"/>
                <w:szCs w:val="20"/>
              </w:rPr>
              <w:t>Приморский край</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6DAD9C27" w14:textId="77777777" w:rsidR="00951A61" w:rsidRPr="006D6406" w:rsidRDefault="00951A61" w:rsidP="00A4032F">
            <w:pPr>
              <w:rPr>
                <w:rFonts w:ascii="Tahoma" w:hAnsi="Tahoma" w:cs="Tahoma"/>
                <w:sz w:val="20"/>
                <w:szCs w:val="20"/>
              </w:rPr>
            </w:pPr>
            <w:r w:rsidRPr="006D6406">
              <w:rPr>
                <w:rFonts w:ascii="Tahoma" w:hAnsi="Tahoma" w:cs="Tahoma"/>
                <w:sz w:val="20"/>
                <w:szCs w:val="20"/>
              </w:rPr>
              <w:t>Владивосток</w:t>
            </w:r>
          </w:p>
        </w:tc>
      </w:tr>
      <w:tr w:rsidR="00951A61" w:rsidRPr="00A86CBE" w14:paraId="0A0F70A1" w14:textId="77777777" w:rsidTr="00A4032F">
        <w:trPr>
          <w:trHeight w:val="255"/>
        </w:trPr>
        <w:tc>
          <w:tcPr>
            <w:tcW w:w="844" w:type="dxa"/>
            <w:tcBorders>
              <w:top w:val="nil"/>
              <w:left w:val="single" w:sz="8" w:space="0" w:color="808080"/>
              <w:bottom w:val="single" w:sz="8" w:space="0" w:color="808080"/>
              <w:right w:val="single" w:sz="8" w:space="0" w:color="808080"/>
            </w:tcBorders>
          </w:tcPr>
          <w:p w14:paraId="6A81E20D" w14:textId="77777777" w:rsidR="00951A61" w:rsidRPr="006D6406" w:rsidRDefault="00951A61" w:rsidP="00A4032F">
            <w:pPr>
              <w:jc w:val="center"/>
              <w:rPr>
                <w:rFonts w:ascii="Tahoma" w:hAnsi="Tahoma" w:cs="Tahoma"/>
                <w:sz w:val="20"/>
                <w:szCs w:val="20"/>
              </w:rPr>
            </w:pPr>
            <w:r w:rsidRPr="006D6406">
              <w:rPr>
                <w:rFonts w:ascii="Tahoma" w:hAnsi="Tahoma" w:cs="Tahoma"/>
                <w:sz w:val="20"/>
                <w:szCs w:val="20"/>
              </w:rPr>
              <w:t>6.</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13CA085B" w14:textId="77777777" w:rsidR="00951A61" w:rsidRPr="006D6406" w:rsidRDefault="00951A61" w:rsidP="00A4032F">
            <w:pPr>
              <w:rPr>
                <w:rFonts w:ascii="Tahoma" w:hAnsi="Tahoma" w:cs="Tahoma"/>
                <w:sz w:val="20"/>
                <w:szCs w:val="20"/>
              </w:rPr>
            </w:pPr>
            <w:r w:rsidRPr="006D6406">
              <w:rPr>
                <w:rFonts w:ascii="Tahoma" w:hAnsi="Tahoma" w:cs="Tahoma"/>
                <w:sz w:val="20"/>
                <w:szCs w:val="20"/>
              </w:rPr>
              <w:t>Республика Бурятия</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48AF59A8" w14:textId="77777777" w:rsidR="00951A61" w:rsidRPr="006D6406" w:rsidRDefault="00951A61" w:rsidP="00A4032F">
            <w:pPr>
              <w:rPr>
                <w:rFonts w:ascii="Tahoma" w:hAnsi="Tahoma" w:cs="Tahoma"/>
                <w:sz w:val="20"/>
                <w:szCs w:val="20"/>
              </w:rPr>
            </w:pPr>
            <w:r w:rsidRPr="006D6406">
              <w:rPr>
                <w:rFonts w:ascii="Tahoma" w:hAnsi="Tahoma" w:cs="Tahoma"/>
                <w:sz w:val="20"/>
                <w:szCs w:val="20"/>
              </w:rPr>
              <w:t>Улан-Удэ</w:t>
            </w:r>
          </w:p>
        </w:tc>
      </w:tr>
      <w:tr w:rsidR="00951A61" w:rsidRPr="00A86CBE" w14:paraId="043E11F9" w14:textId="77777777" w:rsidTr="00A4032F">
        <w:trPr>
          <w:trHeight w:val="255"/>
        </w:trPr>
        <w:tc>
          <w:tcPr>
            <w:tcW w:w="844" w:type="dxa"/>
            <w:tcBorders>
              <w:top w:val="nil"/>
              <w:left w:val="single" w:sz="8" w:space="0" w:color="808080"/>
              <w:bottom w:val="single" w:sz="8" w:space="0" w:color="808080"/>
              <w:right w:val="single" w:sz="8" w:space="0" w:color="808080"/>
            </w:tcBorders>
          </w:tcPr>
          <w:p w14:paraId="0D6087DD" w14:textId="77777777" w:rsidR="00951A61" w:rsidRPr="006D6406" w:rsidRDefault="00951A61" w:rsidP="00A4032F">
            <w:pPr>
              <w:jc w:val="center"/>
              <w:rPr>
                <w:rFonts w:ascii="Tahoma" w:hAnsi="Tahoma" w:cs="Tahoma"/>
                <w:sz w:val="20"/>
                <w:szCs w:val="20"/>
              </w:rPr>
            </w:pPr>
            <w:r w:rsidRPr="006D6406">
              <w:rPr>
                <w:rFonts w:ascii="Tahoma" w:hAnsi="Tahoma" w:cs="Tahoma"/>
                <w:sz w:val="20"/>
                <w:szCs w:val="20"/>
              </w:rPr>
              <w:t>7.</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4B48E5AD" w14:textId="77777777" w:rsidR="00951A61" w:rsidRPr="006D6406" w:rsidRDefault="00951A61" w:rsidP="00A4032F">
            <w:pPr>
              <w:rPr>
                <w:rFonts w:ascii="Tahoma" w:hAnsi="Tahoma" w:cs="Tahoma"/>
                <w:sz w:val="20"/>
                <w:szCs w:val="20"/>
              </w:rPr>
            </w:pPr>
            <w:r w:rsidRPr="006D6406">
              <w:rPr>
                <w:rFonts w:ascii="Tahoma" w:hAnsi="Tahoma" w:cs="Tahoma"/>
                <w:sz w:val="20"/>
                <w:szCs w:val="20"/>
              </w:rPr>
              <w:t>Республика Саха (Якутия)</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46A0071F" w14:textId="77777777" w:rsidR="00951A61" w:rsidRPr="006D6406" w:rsidRDefault="00951A61" w:rsidP="00A4032F">
            <w:pPr>
              <w:rPr>
                <w:rFonts w:ascii="Tahoma" w:hAnsi="Tahoma" w:cs="Tahoma"/>
                <w:sz w:val="20"/>
                <w:szCs w:val="20"/>
              </w:rPr>
            </w:pPr>
            <w:r w:rsidRPr="006D6406">
              <w:rPr>
                <w:rFonts w:ascii="Tahoma" w:hAnsi="Tahoma" w:cs="Tahoma"/>
                <w:sz w:val="20"/>
                <w:szCs w:val="20"/>
              </w:rPr>
              <w:t>Якутск</w:t>
            </w:r>
          </w:p>
        </w:tc>
      </w:tr>
      <w:tr w:rsidR="00951A61" w:rsidRPr="00A86CBE" w14:paraId="054359AC" w14:textId="77777777" w:rsidTr="00A4032F">
        <w:trPr>
          <w:trHeight w:val="255"/>
        </w:trPr>
        <w:tc>
          <w:tcPr>
            <w:tcW w:w="844" w:type="dxa"/>
            <w:tcBorders>
              <w:top w:val="nil"/>
              <w:left w:val="single" w:sz="8" w:space="0" w:color="808080"/>
              <w:bottom w:val="single" w:sz="8" w:space="0" w:color="808080"/>
              <w:right w:val="single" w:sz="8" w:space="0" w:color="808080"/>
            </w:tcBorders>
          </w:tcPr>
          <w:p w14:paraId="5C442B89" w14:textId="77777777" w:rsidR="00951A61" w:rsidRPr="006D6406" w:rsidRDefault="00951A61" w:rsidP="00A4032F">
            <w:pPr>
              <w:jc w:val="center"/>
              <w:rPr>
                <w:rFonts w:ascii="Tahoma" w:hAnsi="Tahoma" w:cs="Tahoma"/>
                <w:sz w:val="20"/>
                <w:szCs w:val="20"/>
              </w:rPr>
            </w:pPr>
            <w:r w:rsidRPr="006D6406">
              <w:rPr>
                <w:rFonts w:ascii="Tahoma" w:hAnsi="Tahoma" w:cs="Tahoma"/>
                <w:sz w:val="20"/>
                <w:szCs w:val="20"/>
              </w:rPr>
              <w:t>8.</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3E471BCF" w14:textId="77777777" w:rsidR="00951A61" w:rsidRPr="006D6406" w:rsidRDefault="00951A61" w:rsidP="00A4032F">
            <w:pPr>
              <w:rPr>
                <w:rFonts w:ascii="Tahoma" w:hAnsi="Tahoma" w:cs="Tahoma"/>
                <w:sz w:val="20"/>
                <w:szCs w:val="20"/>
              </w:rPr>
            </w:pPr>
            <w:r w:rsidRPr="006D6406">
              <w:rPr>
                <w:rFonts w:ascii="Tahoma" w:hAnsi="Tahoma" w:cs="Tahoma"/>
                <w:sz w:val="20"/>
                <w:szCs w:val="20"/>
              </w:rPr>
              <w:t>Сахалинская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4902A366" w14:textId="77777777" w:rsidR="00951A61" w:rsidRPr="006D6406" w:rsidRDefault="00951A61" w:rsidP="00A4032F">
            <w:pPr>
              <w:rPr>
                <w:rFonts w:ascii="Tahoma" w:hAnsi="Tahoma" w:cs="Tahoma"/>
                <w:sz w:val="20"/>
                <w:szCs w:val="20"/>
              </w:rPr>
            </w:pPr>
            <w:r w:rsidRPr="006D6406">
              <w:rPr>
                <w:rFonts w:ascii="Tahoma" w:hAnsi="Tahoma" w:cs="Tahoma"/>
                <w:sz w:val="20"/>
                <w:szCs w:val="20"/>
              </w:rPr>
              <w:t>Южно-Сахалинск</w:t>
            </w:r>
          </w:p>
        </w:tc>
      </w:tr>
      <w:tr w:rsidR="00951A61" w:rsidRPr="004E4693" w14:paraId="18B94FA0" w14:textId="77777777" w:rsidTr="00A4032F">
        <w:trPr>
          <w:trHeight w:val="255"/>
        </w:trPr>
        <w:tc>
          <w:tcPr>
            <w:tcW w:w="844" w:type="dxa"/>
            <w:tcBorders>
              <w:top w:val="nil"/>
              <w:left w:val="single" w:sz="8" w:space="0" w:color="808080"/>
              <w:bottom w:val="single" w:sz="8" w:space="0" w:color="808080"/>
              <w:right w:val="single" w:sz="8" w:space="0" w:color="808080"/>
            </w:tcBorders>
          </w:tcPr>
          <w:p w14:paraId="03D3D841" w14:textId="77777777" w:rsidR="00951A61" w:rsidRPr="006D6406" w:rsidRDefault="00951A61" w:rsidP="00A4032F">
            <w:pPr>
              <w:jc w:val="center"/>
              <w:rPr>
                <w:rFonts w:ascii="Tahoma" w:hAnsi="Tahoma" w:cs="Tahoma"/>
                <w:sz w:val="20"/>
                <w:szCs w:val="20"/>
              </w:rPr>
            </w:pPr>
            <w:r w:rsidRPr="006D6406">
              <w:rPr>
                <w:rFonts w:ascii="Tahoma" w:hAnsi="Tahoma" w:cs="Tahoma"/>
                <w:sz w:val="20"/>
                <w:szCs w:val="20"/>
              </w:rPr>
              <w:t>9.</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711BF500" w14:textId="77777777" w:rsidR="00951A61" w:rsidRPr="006D6406" w:rsidRDefault="00951A61" w:rsidP="00A4032F">
            <w:pPr>
              <w:rPr>
                <w:rFonts w:ascii="Tahoma" w:hAnsi="Tahoma" w:cs="Tahoma"/>
                <w:sz w:val="20"/>
                <w:szCs w:val="20"/>
              </w:rPr>
            </w:pPr>
            <w:r w:rsidRPr="006D6406">
              <w:rPr>
                <w:rFonts w:ascii="Tahoma" w:hAnsi="Tahoma" w:cs="Tahoma"/>
                <w:sz w:val="20"/>
                <w:szCs w:val="20"/>
              </w:rPr>
              <w:t>Хабаровский край и Еврейская автономная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5892F477" w14:textId="77777777" w:rsidR="00951A61" w:rsidRPr="004E4693" w:rsidRDefault="00951A61" w:rsidP="00A4032F">
            <w:pPr>
              <w:rPr>
                <w:rFonts w:ascii="Tahoma" w:hAnsi="Tahoma" w:cs="Tahoma"/>
                <w:sz w:val="20"/>
                <w:szCs w:val="20"/>
              </w:rPr>
            </w:pPr>
            <w:r w:rsidRPr="006D6406">
              <w:rPr>
                <w:rFonts w:ascii="Tahoma" w:hAnsi="Tahoma" w:cs="Tahoma"/>
                <w:sz w:val="20"/>
                <w:szCs w:val="20"/>
              </w:rPr>
              <w:t>Хабаровск</w:t>
            </w:r>
          </w:p>
        </w:tc>
      </w:tr>
    </w:tbl>
    <w:p w14:paraId="1830712A" w14:textId="77777777" w:rsidR="00951A61" w:rsidRPr="00196769" w:rsidRDefault="00951A61" w:rsidP="00951A61">
      <w:pPr>
        <w:tabs>
          <w:tab w:val="left" w:pos="851"/>
        </w:tabs>
        <w:rPr>
          <w:rFonts w:ascii="Tahoma" w:hAnsi="Tahoma" w:cs="Tahoma"/>
          <w:sz w:val="20"/>
          <w:szCs w:val="20"/>
        </w:rPr>
      </w:pPr>
    </w:p>
    <w:p w14:paraId="1572090A" w14:textId="77777777" w:rsidR="00951A61" w:rsidRPr="00F0794A" w:rsidRDefault="00951A61" w:rsidP="00951A61">
      <w:pPr>
        <w:tabs>
          <w:tab w:val="left" w:pos="851"/>
        </w:tabs>
        <w:rPr>
          <w:rFonts w:ascii="Tahoma" w:hAnsi="Tahoma" w:cs="Tahoma"/>
          <w:sz w:val="20"/>
          <w:szCs w:val="20"/>
        </w:rPr>
      </w:pPr>
    </w:p>
    <w:p w14:paraId="52D181A0" w14:textId="77777777" w:rsidR="00951A61" w:rsidRDefault="00951A61" w:rsidP="00951A61">
      <w:pPr>
        <w:tabs>
          <w:tab w:val="left" w:pos="851"/>
        </w:tabs>
        <w:rPr>
          <w:rFonts w:ascii="Tahoma" w:hAnsi="Tahoma" w:cs="Tahoma"/>
          <w:sz w:val="20"/>
          <w:szCs w:val="20"/>
        </w:rPr>
      </w:pPr>
      <w:r>
        <w:rPr>
          <w:rFonts w:ascii="Tahoma" w:hAnsi="Tahoma" w:cs="Tahoma"/>
          <w:sz w:val="20"/>
          <w:szCs w:val="20"/>
        </w:rPr>
        <w:t xml:space="preserve">        </w:t>
      </w:r>
    </w:p>
    <w:p w14:paraId="4A66AB6B" w14:textId="77777777" w:rsidR="00951A61" w:rsidRPr="00F0794A" w:rsidRDefault="00951A61" w:rsidP="00951A61">
      <w:pPr>
        <w:tabs>
          <w:tab w:val="left" w:pos="851"/>
        </w:tabs>
        <w:rPr>
          <w:rFonts w:ascii="Tahoma" w:hAnsi="Tahoma" w:cs="Tahoma"/>
          <w:sz w:val="20"/>
          <w:szCs w:val="20"/>
        </w:rPr>
      </w:pPr>
    </w:p>
    <w:p w14:paraId="5FCB0EF9" w14:textId="77777777" w:rsidR="00951A61" w:rsidRDefault="00951A61" w:rsidP="00951A61">
      <w:pPr>
        <w:tabs>
          <w:tab w:val="left" w:pos="851"/>
        </w:tabs>
        <w:rPr>
          <w:rFonts w:ascii="Tahoma" w:hAnsi="Tahoma" w:cs="Tahoma"/>
          <w:sz w:val="20"/>
          <w:szCs w:val="20"/>
        </w:rPr>
      </w:pPr>
      <w:r>
        <w:rPr>
          <w:rFonts w:ascii="Tahoma" w:hAnsi="Tahoma" w:cs="Tahoma"/>
          <w:sz w:val="20"/>
          <w:szCs w:val="20"/>
        </w:rPr>
        <w:t xml:space="preserve">        </w:t>
      </w:r>
    </w:p>
    <w:p w14:paraId="0C0A3DE7" w14:textId="77777777" w:rsidR="00951A61" w:rsidRPr="00F0794A" w:rsidRDefault="00951A61" w:rsidP="00951A61">
      <w:pPr>
        <w:tabs>
          <w:tab w:val="left" w:pos="851"/>
        </w:tabs>
        <w:rPr>
          <w:rFonts w:ascii="Tahoma" w:hAnsi="Tahoma" w:cs="Tahoma"/>
          <w:sz w:val="20"/>
          <w:szCs w:val="20"/>
        </w:rPr>
      </w:pPr>
    </w:p>
    <w:p w14:paraId="7FF5796B" w14:textId="77777777" w:rsidR="00951A61" w:rsidRDefault="00951A61" w:rsidP="00951A61">
      <w:pPr>
        <w:tabs>
          <w:tab w:val="left" w:pos="851"/>
        </w:tabs>
        <w:rPr>
          <w:rFonts w:ascii="Tahoma" w:hAnsi="Tahoma" w:cs="Tahoma"/>
          <w:sz w:val="20"/>
          <w:szCs w:val="20"/>
        </w:rPr>
      </w:pPr>
    </w:p>
    <w:p w14:paraId="073FE80C" w14:textId="77777777" w:rsidR="00951A61" w:rsidRDefault="00951A61" w:rsidP="00951A61">
      <w:pPr>
        <w:tabs>
          <w:tab w:val="left" w:pos="851"/>
        </w:tabs>
        <w:rPr>
          <w:rFonts w:ascii="Tahoma" w:hAnsi="Tahoma" w:cs="Tahoma"/>
          <w:sz w:val="20"/>
          <w:szCs w:val="20"/>
        </w:rPr>
      </w:pPr>
    </w:p>
    <w:p w14:paraId="39B5D6AC" w14:textId="77777777" w:rsidR="00951A61" w:rsidRDefault="00951A61" w:rsidP="00951A61">
      <w:pPr>
        <w:tabs>
          <w:tab w:val="left" w:pos="851"/>
        </w:tabs>
        <w:rPr>
          <w:rFonts w:ascii="Tahoma" w:hAnsi="Tahoma" w:cs="Tahoma"/>
          <w:sz w:val="20"/>
          <w:szCs w:val="20"/>
        </w:rPr>
      </w:pPr>
    </w:p>
    <w:p w14:paraId="0FF954D0" w14:textId="77777777" w:rsidR="00951A61" w:rsidRDefault="00951A61" w:rsidP="00951A61">
      <w:pPr>
        <w:pageBreakBefore/>
        <w:tabs>
          <w:tab w:val="left" w:pos="851"/>
        </w:tabs>
        <w:rPr>
          <w:rFonts w:ascii="Tahoma" w:hAnsi="Tahoma" w:cs="Tahoma"/>
          <w:sz w:val="20"/>
          <w:szCs w:val="20"/>
        </w:rPr>
      </w:pPr>
    </w:p>
    <w:tbl>
      <w:tblPr>
        <w:tblW w:w="1565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52"/>
      </w:tblGrid>
      <w:tr w:rsidR="00951A61" w:rsidRPr="00BC7209" w14:paraId="45415AED" w14:textId="77777777" w:rsidTr="00A4032F">
        <w:trPr>
          <w:trHeight w:val="227"/>
        </w:trPr>
        <w:tc>
          <w:tcPr>
            <w:tcW w:w="15652" w:type="dxa"/>
            <w:tcBorders>
              <w:top w:val="single" w:sz="4" w:space="0" w:color="auto"/>
              <w:left w:val="single" w:sz="4" w:space="0" w:color="auto"/>
              <w:bottom w:val="single" w:sz="4" w:space="0" w:color="auto"/>
              <w:right w:val="single" w:sz="4" w:space="0" w:color="auto"/>
            </w:tcBorders>
            <w:shd w:val="clear" w:color="auto" w:fill="E36C0A"/>
            <w:hideMark/>
          </w:tcPr>
          <w:p w14:paraId="6B37583F" w14:textId="48E03231" w:rsidR="00951A61" w:rsidRPr="00BC7209" w:rsidRDefault="000B3718" w:rsidP="000B3718">
            <w:pPr>
              <w:pStyle w:val="a5"/>
              <w:rPr>
                <w:rFonts w:eastAsia="Calibri"/>
                <w:szCs w:val="22"/>
              </w:rPr>
            </w:pPr>
            <w:r>
              <w:rPr>
                <w:noProof/>
              </w:rPr>
              <w:t xml:space="preserve">2.3.5 </w:t>
            </w:r>
            <w:r w:rsidR="00951A61" w:rsidRPr="00BC7209">
              <w:rPr>
                <w:noProof/>
              </w:rPr>
              <w:t>Тарифный план «</w:t>
            </w:r>
            <w:r w:rsidR="00951A61">
              <w:rPr>
                <w:noProof/>
              </w:rPr>
              <w:t>Семейная ипотека»</w:t>
            </w:r>
          </w:p>
        </w:tc>
      </w:tr>
    </w:tbl>
    <w:p w14:paraId="774A219E" w14:textId="77777777" w:rsidR="00951A61" w:rsidRDefault="00951A61" w:rsidP="00951A61">
      <w:pPr>
        <w:rPr>
          <w:rFonts w:ascii="Tahoma" w:eastAsiaTheme="minorHAnsi" w:hAnsi="Tahoma" w:cs="Tahoma"/>
          <w:b/>
          <w:noProof/>
          <w:sz w:val="20"/>
          <w:szCs w:val="20"/>
        </w:rPr>
      </w:pPr>
    </w:p>
    <w:p w14:paraId="71F89D56" w14:textId="77777777" w:rsidR="00951A61" w:rsidRDefault="00951A61" w:rsidP="00951A61">
      <w:pPr>
        <w:rPr>
          <w:rFonts w:ascii="Tahoma" w:eastAsiaTheme="minorHAnsi" w:hAnsi="Tahoma" w:cs="Tahoma"/>
          <w:b/>
          <w:noProof/>
          <w:sz w:val="20"/>
          <w:szCs w:val="20"/>
        </w:rPr>
      </w:pPr>
    </w:p>
    <w:p w14:paraId="69B8DEA8" w14:textId="77777777" w:rsidR="00951A61" w:rsidRPr="000A3C50" w:rsidRDefault="00951A61" w:rsidP="00951A61">
      <w:pPr>
        <w:jc w:val="center"/>
        <w:rPr>
          <w:rFonts w:ascii="Tahoma" w:hAnsi="Tahoma" w:cs="Tahoma"/>
          <w:b/>
          <w:noProof/>
          <w:sz w:val="20"/>
          <w:szCs w:val="20"/>
        </w:rPr>
      </w:pPr>
      <w:r w:rsidRPr="000A3C50">
        <w:rPr>
          <w:rFonts w:ascii="Tahoma" w:hAnsi="Tahoma" w:cs="Tahoma"/>
          <w:b/>
          <w:noProof/>
          <w:sz w:val="20"/>
          <w:szCs w:val="20"/>
        </w:rPr>
        <w:t xml:space="preserve">ИНФОРМАЦИЯ ОБ УСЛОВИЯХ ПРЕДОСТАВЛЕНИЯ, ИСПОЛЬЗОВАНИЯ И ВОЗВРАТА ИПОТЕЧНОГО КРЕДИТА </w:t>
      </w:r>
    </w:p>
    <w:p w14:paraId="7442BAF4" w14:textId="77777777" w:rsidR="00951A61" w:rsidRPr="000A3C50" w:rsidRDefault="00951A61" w:rsidP="00951A61">
      <w:pPr>
        <w:jc w:val="center"/>
        <w:rPr>
          <w:rFonts w:ascii="Tahoma" w:hAnsi="Tahoma" w:cs="Tahoma"/>
          <w:b/>
          <w:noProof/>
          <w:sz w:val="20"/>
          <w:szCs w:val="20"/>
        </w:rPr>
      </w:pPr>
      <w:r w:rsidRPr="000A3C50">
        <w:rPr>
          <w:rFonts w:ascii="Tahoma" w:hAnsi="Tahoma" w:cs="Tahoma"/>
          <w:b/>
          <w:noProof/>
        </w:rPr>
        <w:t xml:space="preserve"> </w:t>
      </w:r>
      <w:r w:rsidRPr="00865545">
        <w:rPr>
          <w:rFonts w:ascii="Tahoma" w:hAnsi="Tahoma" w:cs="Tahoma"/>
          <w:b/>
          <w:noProof/>
          <w:sz w:val="20"/>
          <w:szCs w:val="20"/>
        </w:rPr>
        <w:t>«</w:t>
      </w:r>
      <w:r>
        <w:rPr>
          <w:rFonts w:ascii="Tahoma" w:hAnsi="Tahoma" w:cs="Tahoma"/>
          <w:b/>
          <w:noProof/>
          <w:sz w:val="20"/>
          <w:szCs w:val="20"/>
        </w:rPr>
        <w:t>СЕМЕЙНАЯ ИПОТЕКА</w:t>
      </w:r>
      <w:r w:rsidRPr="00865545">
        <w:rPr>
          <w:rFonts w:ascii="Tahoma" w:hAnsi="Tahoma" w:cs="Tahoma"/>
          <w:b/>
          <w:noProof/>
          <w:sz w:val="20"/>
          <w:szCs w:val="20"/>
        </w:rPr>
        <w:t>»</w:t>
      </w:r>
    </w:p>
    <w:p w14:paraId="3F0B205F" w14:textId="77777777" w:rsidR="00951A61" w:rsidRPr="000A3C50" w:rsidRDefault="00951A61" w:rsidP="00951A61">
      <w:pPr>
        <w:jc w:val="center"/>
        <w:rPr>
          <w:rFonts w:ascii="Tahoma" w:hAnsi="Tahoma" w:cs="Tahoma"/>
          <w:b/>
          <w:bCs/>
          <w:caps/>
          <w:sz w:val="20"/>
          <w:szCs w:val="20"/>
        </w:rPr>
      </w:pPr>
    </w:p>
    <w:p w14:paraId="28E5AE8F" w14:textId="77777777" w:rsidR="00951A61" w:rsidRPr="00BA2069" w:rsidRDefault="00951A61" w:rsidP="00B460F9">
      <w:pPr>
        <w:pStyle w:val="affe"/>
        <w:numPr>
          <w:ilvl w:val="0"/>
          <w:numId w:val="184"/>
        </w:numPr>
        <w:tabs>
          <w:tab w:val="left" w:pos="851"/>
        </w:tabs>
        <w:ind w:left="0" w:firstLine="426"/>
        <w:contextualSpacing/>
        <w:jc w:val="both"/>
        <w:rPr>
          <w:rFonts w:ascii="Tahoma" w:hAnsi="Tahoma" w:cs="Tahoma"/>
          <w:noProof/>
          <w:sz w:val="20"/>
          <w:szCs w:val="20"/>
        </w:rPr>
      </w:pPr>
      <w:r w:rsidRPr="00BA2069">
        <w:rPr>
          <w:rFonts w:ascii="Tahoma" w:hAnsi="Tahoma" w:cs="Tahoma"/>
          <w:b/>
          <w:bCs/>
          <w:caps/>
          <w:sz w:val="20"/>
          <w:szCs w:val="20"/>
        </w:rPr>
        <w:t>ОСНОВНЫЕ ПОНЯТИЯ, ИСПОЛЬЗУЕМЫЕ ТЕРМИНЫ и сокращения</w:t>
      </w:r>
    </w:p>
    <w:p w14:paraId="0E6679D2" w14:textId="77777777" w:rsidR="00951A61" w:rsidRPr="00BA2069" w:rsidRDefault="00951A61" w:rsidP="00951A61">
      <w:pPr>
        <w:rPr>
          <w:rFonts w:ascii="Tahoma" w:hAnsi="Tahoma" w:cs="Tahoma"/>
          <w:noProof/>
          <w:sz w:val="20"/>
          <w:szCs w:val="20"/>
        </w:rPr>
      </w:pPr>
    </w:p>
    <w:tbl>
      <w:tblPr>
        <w:tblW w:w="507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8"/>
        <w:gridCol w:w="12025"/>
      </w:tblGrid>
      <w:tr w:rsidR="00951A61" w:rsidRPr="0068696D" w14:paraId="4D90B00E" w14:textId="77777777" w:rsidTr="00A4032F">
        <w:tc>
          <w:tcPr>
            <w:tcW w:w="1224" w:type="pct"/>
          </w:tcPr>
          <w:p w14:paraId="0C5C26EA" w14:textId="77777777" w:rsidR="00951A61" w:rsidRPr="0068696D" w:rsidRDefault="00951A61" w:rsidP="00A4032F">
            <w:pPr>
              <w:tabs>
                <w:tab w:val="left" w:pos="0"/>
                <w:tab w:val="left" w:pos="9072"/>
                <w:tab w:val="left" w:pos="10549"/>
              </w:tabs>
              <w:jc w:val="center"/>
              <w:rPr>
                <w:rFonts w:ascii="Tahoma" w:hAnsi="Tahoma" w:cs="Tahoma"/>
                <w:sz w:val="20"/>
                <w:szCs w:val="20"/>
              </w:rPr>
            </w:pPr>
            <w:r w:rsidRPr="0068696D">
              <w:rPr>
                <w:rFonts w:ascii="Tahoma" w:hAnsi="Tahoma" w:cs="Tahoma"/>
                <w:sz w:val="20"/>
                <w:szCs w:val="20"/>
              </w:rPr>
              <w:t>Действительная стоимость Предмета ипотеки</w:t>
            </w:r>
          </w:p>
          <w:p w14:paraId="464D8645" w14:textId="77777777" w:rsidR="00951A61" w:rsidRPr="0068696D" w:rsidRDefault="00951A61" w:rsidP="00A4032F">
            <w:pPr>
              <w:tabs>
                <w:tab w:val="left" w:pos="851"/>
              </w:tabs>
              <w:jc w:val="center"/>
              <w:rPr>
                <w:rFonts w:ascii="Tahoma" w:hAnsi="Tahoma" w:cs="Tahoma"/>
                <w:sz w:val="20"/>
                <w:szCs w:val="20"/>
              </w:rPr>
            </w:pPr>
          </w:p>
        </w:tc>
        <w:tc>
          <w:tcPr>
            <w:tcW w:w="3776" w:type="pct"/>
          </w:tcPr>
          <w:p w14:paraId="2724E5CD" w14:textId="77777777" w:rsidR="00951A61" w:rsidRPr="0068696D" w:rsidRDefault="00951A61" w:rsidP="00A4032F">
            <w:pPr>
              <w:tabs>
                <w:tab w:val="left" w:pos="851"/>
              </w:tabs>
              <w:ind w:firstLine="425"/>
              <w:jc w:val="both"/>
              <w:rPr>
                <w:rFonts w:ascii="Tahoma" w:hAnsi="Tahoma" w:cs="Tahoma"/>
                <w:sz w:val="20"/>
                <w:szCs w:val="20"/>
              </w:rPr>
            </w:pPr>
            <w:r w:rsidRPr="0068696D">
              <w:rPr>
                <w:rFonts w:ascii="Tahoma" w:hAnsi="Tahoma" w:cs="Tahoma"/>
                <w:sz w:val="20"/>
                <w:szCs w:val="20"/>
              </w:rPr>
              <w:t>Рыночная стоимость Предмета ипотеки, определяемая как наименьшая из трех величин: стоимость по Договору приобретения недвижимого имущества; рыночная стоимость согласно Отчету об оценке; рыночная стоимость Предмета ипотеки в соответствии с заключением ответственного подразделения Банка (при необходимости).</w:t>
            </w:r>
          </w:p>
        </w:tc>
      </w:tr>
      <w:tr w:rsidR="00951A61" w:rsidRPr="0068696D" w14:paraId="5DEB080D" w14:textId="77777777" w:rsidTr="00A4032F">
        <w:tc>
          <w:tcPr>
            <w:tcW w:w="1224" w:type="pct"/>
          </w:tcPr>
          <w:p w14:paraId="42BEE6F9" w14:textId="77777777" w:rsidR="00951A61" w:rsidRPr="0068696D" w:rsidRDefault="00951A61" w:rsidP="00A4032F">
            <w:pPr>
              <w:tabs>
                <w:tab w:val="left" w:pos="851"/>
              </w:tabs>
              <w:jc w:val="center"/>
              <w:rPr>
                <w:rFonts w:ascii="Tahoma" w:hAnsi="Tahoma" w:cs="Tahoma"/>
                <w:sz w:val="20"/>
                <w:szCs w:val="20"/>
              </w:rPr>
            </w:pPr>
            <w:r w:rsidRPr="0068696D">
              <w:rPr>
                <w:rFonts w:ascii="Tahoma" w:hAnsi="Tahoma" w:cs="Tahoma"/>
                <w:sz w:val="20"/>
                <w:szCs w:val="20"/>
              </w:rPr>
              <w:t>Жилой дом</w:t>
            </w:r>
          </w:p>
        </w:tc>
        <w:tc>
          <w:tcPr>
            <w:tcW w:w="3776" w:type="pct"/>
          </w:tcPr>
          <w:p w14:paraId="30AFA8CA" w14:textId="77777777" w:rsidR="00951A61" w:rsidRPr="0068696D" w:rsidRDefault="00951A61" w:rsidP="00A4032F">
            <w:pPr>
              <w:tabs>
                <w:tab w:val="left" w:pos="851"/>
              </w:tabs>
              <w:ind w:firstLine="425"/>
              <w:jc w:val="both"/>
              <w:rPr>
                <w:rFonts w:ascii="Tahoma" w:hAnsi="Tahoma" w:cs="Tahoma"/>
                <w:sz w:val="20"/>
                <w:szCs w:val="20"/>
              </w:rPr>
            </w:pPr>
            <w:r w:rsidRPr="0068696D">
              <w:rPr>
                <w:rFonts w:ascii="Tahoma" w:hAnsi="Tahoma" w:cs="Tahoma"/>
                <w:sz w:val="20"/>
                <w:szCs w:val="20"/>
              </w:rPr>
              <w:t>Индивидуально-определенное здание, которое состоит из комнат, а также помещений вспомогательного использования,  пригодное для постоянного или временного проживания, имеющее отдельный вход.</w:t>
            </w:r>
          </w:p>
        </w:tc>
      </w:tr>
      <w:tr w:rsidR="00951A61" w:rsidRPr="0068696D" w14:paraId="7C6E67B1" w14:textId="77777777" w:rsidTr="00A4032F">
        <w:tc>
          <w:tcPr>
            <w:tcW w:w="1224" w:type="pct"/>
            <w:vAlign w:val="center"/>
          </w:tcPr>
          <w:p w14:paraId="1CA0BD2E" w14:textId="77777777" w:rsidR="00951A61" w:rsidRPr="0068696D" w:rsidRDefault="00951A61" w:rsidP="00A4032F">
            <w:pPr>
              <w:tabs>
                <w:tab w:val="left" w:pos="851"/>
              </w:tabs>
              <w:jc w:val="center"/>
              <w:rPr>
                <w:rFonts w:ascii="Tahoma" w:hAnsi="Tahoma" w:cs="Tahoma"/>
                <w:sz w:val="20"/>
                <w:szCs w:val="20"/>
              </w:rPr>
            </w:pPr>
            <w:r w:rsidRPr="0068696D">
              <w:rPr>
                <w:rFonts w:ascii="Tahoma" w:hAnsi="Tahoma" w:cs="Tahoma"/>
                <w:sz w:val="20"/>
                <w:szCs w:val="20"/>
              </w:rPr>
              <w:t xml:space="preserve">Заемщик/Созаемщик </w:t>
            </w:r>
          </w:p>
          <w:p w14:paraId="5D865B1C" w14:textId="77777777" w:rsidR="00951A61" w:rsidRPr="0068696D" w:rsidRDefault="00951A61" w:rsidP="00A4032F">
            <w:pPr>
              <w:tabs>
                <w:tab w:val="left" w:pos="851"/>
              </w:tabs>
              <w:jc w:val="center"/>
              <w:rPr>
                <w:rFonts w:ascii="Tahoma" w:hAnsi="Tahoma" w:cs="Tahoma"/>
                <w:sz w:val="20"/>
                <w:szCs w:val="20"/>
              </w:rPr>
            </w:pPr>
            <w:r w:rsidRPr="0068696D">
              <w:rPr>
                <w:rFonts w:ascii="Tahoma" w:hAnsi="Tahoma" w:cs="Tahoma"/>
                <w:sz w:val="20"/>
                <w:szCs w:val="20"/>
              </w:rPr>
              <w:t>(далее по тексту – Заемщик, если применимо для двух сторон)</w:t>
            </w:r>
          </w:p>
        </w:tc>
        <w:tc>
          <w:tcPr>
            <w:tcW w:w="3776" w:type="pct"/>
            <w:vAlign w:val="center"/>
          </w:tcPr>
          <w:p w14:paraId="0662335E" w14:textId="77777777" w:rsidR="00951A61" w:rsidRPr="0068696D" w:rsidRDefault="00951A61" w:rsidP="00A4032F">
            <w:pPr>
              <w:tabs>
                <w:tab w:val="left" w:pos="851"/>
              </w:tabs>
              <w:ind w:firstLine="425"/>
              <w:jc w:val="both"/>
              <w:rPr>
                <w:rFonts w:ascii="Tahoma" w:hAnsi="Tahoma" w:cs="Tahoma"/>
                <w:sz w:val="20"/>
                <w:szCs w:val="20"/>
              </w:rPr>
            </w:pPr>
            <w:r w:rsidRPr="0068696D">
              <w:rPr>
                <w:rFonts w:ascii="Tahoma" w:hAnsi="Tahoma" w:cs="Tahoma"/>
                <w:sz w:val="20"/>
                <w:szCs w:val="20"/>
              </w:rPr>
              <w:t>Физическое лицо, обратившееся в Банк с Заявлением получить, получающее или получившее ипотечный кредит/потребительский кредит/потребительский кредит (с лимитом кредитования) на основании заключения Кредитного договора/договора потребительского кредитования.</w:t>
            </w:r>
          </w:p>
          <w:p w14:paraId="005949BC" w14:textId="77777777" w:rsidR="00951A61" w:rsidRPr="0068696D" w:rsidRDefault="00951A61" w:rsidP="00A4032F">
            <w:pPr>
              <w:tabs>
                <w:tab w:val="left" w:pos="851"/>
              </w:tabs>
              <w:ind w:firstLine="425"/>
              <w:jc w:val="both"/>
              <w:rPr>
                <w:rFonts w:ascii="Tahoma" w:hAnsi="Tahoma" w:cs="Tahoma"/>
                <w:sz w:val="20"/>
                <w:szCs w:val="20"/>
              </w:rPr>
            </w:pPr>
            <w:r w:rsidRPr="0068696D">
              <w:rPr>
                <w:rFonts w:ascii="Tahoma" w:hAnsi="Tahoma" w:cs="Tahoma"/>
                <w:sz w:val="20"/>
                <w:szCs w:val="20"/>
              </w:rPr>
              <w:t>Созаемщик – лицо, совместно с Заемщиком обратившееся в Банк с Заявлением получить, получающее или получившее Ипотечный кредит по Кредитному договору. Созаемщик имеет равные права и обязанности с Заемщиком, в том числе несет солидарную ответственность перед Банком по погашению. Его доходы также, как и доходы Заемщика, могут быть учтены для расчета максимально возможной суммы кредита.</w:t>
            </w:r>
          </w:p>
        </w:tc>
      </w:tr>
      <w:tr w:rsidR="00951A61" w:rsidRPr="0068696D" w14:paraId="5D0CE26A" w14:textId="77777777" w:rsidTr="00A4032F">
        <w:tc>
          <w:tcPr>
            <w:tcW w:w="1224" w:type="pct"/>
            <w:vAlign w:val="center"/>
          </w:tcPr>
          <w:p w14:paraId="328CEC8F" w14:textId="77777777" w:rsidR="00951A61" w:rsidRPr="00C72CDA" w:rsidRDefault="00951A61" w:rsidP="00A4032F">
            <w:pPr>
              <w:tabs>
                <w:tab w:val="left" w:pos="851"/>
              </w:tabs>
              <w:jc w:val="center"/>
              <w:rPr>
                <w:rFonts w:ascii="Tahoma" w:hAnsi="Tahoma" w:cs="Tahoma"/>
                <w:sz w:val="20"/>
                <w:szCs w:val="20"/>
              </w:rPr>
            </w:pPr>
            <w:r w:rsidRPr="00C72CDA">
              <w:rPr>
                <w:rFonts w:ascii="Tahoma" w:hAnsi="Tahoma" w:cs="Tahoma"/>
                <w:sz w:val="20"/>
                <w:szCs w:val="20"/>
              </w:rPr>
              <w:t>Заемщик с официально подтвержденным доходом</w:t>
            </w:r>
          </w:p>
        </w:tc>
        <w:tc>
          <w:tcPr>
            <w:tcW w:w="3776" w:type="pct"/>
            <w:vAlign w:val="center"/>
          </w:tcPr>
          <w:p w14:paraId="635C0A88" w14:textId="77777777" w:rsidR="00951A61" w:rsidRPr="00C72CDA" w:rsidRDefault="00951A61" w:rsidP="00A4032F">
            <w:pPr>
              <w:tabs>
                <w:tab w:val="left" w:pos="851"/>
              </w:tabs>
              <w:ind w:firstLine="425"/>
              <w:jc w:val="both"/>
              <w:rPr>
                <w:rFonts w:ascii="Tahoma" w:hAnsi="Tahoma" w:cs="Tahoma"/>
                <w:sz w:val="20"/>
                <w:szCs w:val="20"/>
              </w:rPr>
            </w:pPr>
            <w:r w:rsidRPr="008859AC">
              <w:rPr>
                <w:rFonts w:ascii="Tahoma" w:hAnsi="Tahoma" w:cs="Tahoma"/>
                <w:sz w:val="20"/>
                <w:szCs w:val="20"/>
              </w:rPr>
              <w:t>Клиент Банка, подтверждающий всю сумму дохода и занятость выпиской из Социального фонда России или подтверждающий всю сумму дохода одним или несколькими вариантами: выписка со счета, на который поступают зарплатные зачисления от работодателя Заемщика и по которой однозначно можно идентифицировать назначение начисления - «заработная плата/ денежное довольствие/ вознаграждение» и/или выписка со счета стороннего банка, на который поступают пенсионные зачисления и/или справка о пенсионных выплатах органа, выплачивающего пенсию.</w:t>
            </w:r>
          </w:p>
        </w:tc>
      </w:tr>
      <w:tr w:rsidR="00951A61" w:rsidRPr="0068696D" w14:paraId="66C563D2" w14:textId="77777777" w:rsidTr="00A4032F">
        <w:tc>
          <w:tcPr>
            <w:tcW w:w="1224" w:type="pct"/>
          </w:tcPr>
          <w:p w14:paraId="5256E2A2" w14:textId="77777777" w:rsidR="00951A61" w:rsidRPr="00C72CDA" w:rsidRDefault="00951A61" w:rsidP="00A4032F">
            <w:pPr>
              <w:tabs>
                <w:tab w:val="left" w:pos="851"/>
              </w:tabs>
              <w:jc w:val="center"/>
              <w:rPr>
                <w:rFonts w:ascii="Tahoma" w:hAnsi="Tahoma" w:cs="Tahoma"/>
                <w:sz w:val="20"/>
                <w:szCs w:val="20"/>
              </w:rPr>
            </w:pPr>
            <w:r w:rsidRPr="00C72CDA">
              <w:rPr>
                <w:rFonts w:ascii="Tahoma" w:hAnsi="Tahoma" w:cs="Tahoma"/>
                <w:sz w:val="20"/>
                <w:szCs w:val="20"/>
              </w:rPr>
              <w:t>Зарплатные клиенты Банка</w:t>
            </w:r>
          </w:p>
        </w:tc>
        <w:tc>
          <w:tcPr>
            <w:tcW w:w="3776" w:type="pct"/>
          </w:tcPr>
          <w:p w14:paraId="6A4150CB" w14:textId="77777777" w:rsidR="00951A61" w:rsidRPr="00C72CDA" w:rsidRDefault="00951A61" w:rsidP="00A4032F">
            <w:pPr>
              <w:tabs>
                <w:tab w:val="left" w:pos="851"/>
              </w:tabs>
              <w:ind w:firstLine="425"/>
              <w:jc w:val="both"/>
              <w:rPr>
                <w:rFonts w:ascii="Tahoma" w:hAnsi="Tahoma" w:cs="Tahoma"/>
                <w:sz w:val="20"/>
                <w:szCs w:val="20"/>
              </w:rPr>
            </w:pPr>
            <w:r w:rsidRPr="00C72CDA">
              <w:rPr>
                <w:rFonts w:ascii="Tahoma" w:hAnsi="Tahoma" w:cs="Tahoma"/>
                <w:sz w:val="20"/>
                <w:szCs w:val="20"/>
              </w:rPr>
              <w:t>Клиент Банка, получающий заработную плату на Счет, открытый в «Азиатско-Тихоокеанский Банк» (АО)</w:t>
            </w:r>
          </w:p>
        </w:tc>
      </w:tr>
      <w:tr w:rsidR="00951A61" w:rsidRPr="0068696D" w14:paraId="082A9E0F" w14:textId="77777777" w:rsidTr="00A4032F">
        <w:tc>
          <w:tcPr>
            <w:tcW w:w="1224" w:type="pct"/>
          </w:tcPr>
          <w:p w14:paraId="3D935498" w14:textId="77777777" w:rsidR="00951A61" w:rsidRPr="0068696D" w:rsidRDefault="00951A61" w:rsidP="00A4032F">
            <w:pPr>
              <w:tabs>
                <w:tab w:val="left" w:pos="851"/>
              </w:tabs>
              <w:jc w:val="center"/>
              <w:rPr>
                <w:rFonts w:ascii="Tahoma" w:hAnsi="Tahoma" w:cs="Tahoma"/>
                <w:sz w:val="20"/>
                <w:szCs w:val="20"/>
              </w:rPr>
            </w:pPr>
            <w:r w:rsidRPr="0068696D">
              <w:rPr>
                <w:rFonts w:ascii="Tahoma" w:hAnsi="Tahoma" w:cs="Tahoma"/>
                <w:sz w:val="20"/>
                <w:szCs w:val="20"/>
              </w:rPr>
              <w:t>Земельный участок</w:t>
            </w:r>
          </w:p>
        </w:tc>
        <w:tc>
          <w:tcPr>
            <w:tcW w:w="3776" w:type="pct"/>
          </w:tcPr>
          <w:p w14:paraId="582114DF" w14:textId="77777777" w:rsidR="00951A61" w:rsidRPr="0068696D" w:rsidRDefault="00951A61" w:rsidP="00A4032F">
            <w:pPr>
              <w:tabs>
                <w:tab w:val="left" w:pos="851"/>
              </w:tabs>
              <w:ind w:firstLine="425"/>
              <w:jc w:val="both"/>
              <w:rPr>
                <w:rFonts w:ascii="Tahoma" w:hAnsi="Tahoma" w:cs="Tahoma"/>
                <w:sz w:val="20"/>
                <w:szCs w:val="20"/>
              </w:rPr>
            </w:pPr>
            <w:r w:rsidRPr="0068696D">
              <w:rPr>
                <w:rFonts w:ascii="Tahoma" w:hAnsi="Tahoma" w:cs="Tahoma"/>
                <w:sz w:val="20"/>
                <w:szCs w:val="20"/>
              </w:rPr>
              <w:t>Участок земли, на котором может находится Жилой дом, границы которого и право собственности на который оформлены в установленном российским законодательством порядке.</w:t>
            </w:r>
          </w:p>
        </w:tc>
      </w:tr>
      <w:tr w:rsidR="00951A61" w:rsidRPr="0068696D" w14:paraId="62F6E13D" w14:textId="77777777" w:rsidTr="00A4032F">
        <w:tc>
          <w:tcPr>
            <w:tcW w:w="1224" w:type="pct"/>
          </w:tcPr>
          <w:p w14:paraId="65FE6044" w14:textId="77777777" w:rsidR="00951A61" w:rsidRPr="0068696D" w:rsidRDefault="00951A61" w:rsidP="00A4032F">
            <w:pPr>
              <w:tabs>
                <w:tab w:val="left" w:pos="851"/>
              </w:tabs>
              <w:jc w:val="center"/>
              <w:rPr>
                <w:rFonts w:ascii="Tahoma" w:hAnsi="Tahoma" w:cs="Tahoma"/>
                <w:sz w:val="20"/>
                <w:szCs w:val="20"/>
              </w:rPr>
            </w:pPr>
            <w:r w:rsidRPr="0068696D">
              <w:rPr>
                <w:rFonts w:ascii="Tahoma" w:hAnsi="Tahoma" w:cs="Tahoma"/>
                <w:sz w:val="20"/>
                <w:szCs w:val="20"/>
              </w:rPr>
              <w:t xml:space="preserve">Кредит </w:t>
            </w:r>
          </w:p>
        </w:tc>
        <w:tc>
          <w:tcPr>
            <w:tcW w:w="3776" w:type="pct"/>
          </w:tcPr>
          <w:p w14:paraId="6AC00118" w14:textId="77777777" w:rsidR="00951A61" w:rsidRPr="0068696D" w:rsidRDefault="00951A61" w:rsidP="00A4032F">
            <w:pPr>
              <w:tabs>
                <w:tab w:val="left" w:pos="851"/>
              </w:tabs>
              <w:ind w:firstLine="425"/>
              <w:jc w:val="both"/>
              <w:rPr>
                <w:rFonts w:ascii="Tahoma" w:hAnsi="Tahoma" w:cs="Tahoma"/>
                <w:sz w:val="20"/>
                <w:szCs w:val="20"/>
              </w:rPr>
            </w:pPr>
            <w:r w:rsidRPr="0068696D">
              <w:rPr>
                <w:rFonts w:ascii="Tahoma" w:hAnsi="Tahoma" w:cs="Tahoma"/>
                <w:sz w:val="20"/>
                <w:szCs w:val="20"/>
              </w:rPr>
              <w:t>Денежные средства, предоставляемые Банком Заемщику на основе возвратности, платности, срочности и обеспеченности в размере и на условиях, предусмотренных Кредитным договором.</w:t>
            </w:r>
          </w:p>
        </w:tc>
      </w:tr>
      <w:tr w:rsidR="00951A61" w:rsidRPr="0068696D" w14:paraId="76FCD686" w14:textId="77777777" w:rsidTr="00A4032F">
        <w:tc>
          <w:tcPr>
            <w:tcW w:w="1224" w:type="pct"/>
          </w:tcPr>
          <w:p w14:paraId="342BD41A" w14:textId="77777777" w:rsidR="00951A61" w:rsidRPr="00F369B0" w:rsidRDefault="00951A61" w:rsidP="00A4032F">
            <w:pPr>
              <w:tabs>
                <w:tab w:val="left" w:pos="851"/>
              </w:tabs>
              <w:jc w:val="center"/>
              <w:rPr>
                <w:rFonts w:ascii="Tahoma" w:hAnsi="Tahoma" w:cs="Tahoma"/>
                <w:sz w:val="20"/>
                <w:szCs w:val="20"/>
              </w:rPr>
            </w:pPr>
            <w:r w:rsidRPr="00F369B0">
              <w:rPr>
                <w:rFonts w:ascii="Tahoma" w:hAnsi="Tahoma" w:cs="Tahoma"/>
                <w:sz w:val="20"/>
                <w:szCs w:val="20"/>
              </w:rPr>
              <w:t xml:space="preserve">Кредитный договор </w:t>
            </w:r>
          </w:p>
        </w:tc>
        <w:tc>
          <w:tcPr>
            <w:tcW w:w="3776" w:type="pct"/>
          </w:tcPr>
          <w:p w14:paraId="1074B55A" w14:textId="77777777" w:rsidR="00951A61" w:rsidRPr="00F369B0" w:rsidRDefault="00951A61" w:rsidP="00A4032F">
            <w:pPr>
              <w:tabs>
                <w:tab w:val="left" w:pos="851"/>
              </w:tabs>
              <w:ind w:firstLine="425"/>
              <w:jc w:val="both"/>
              <w:rPr>
                <w:rFonts w:ascii="Tahoma" w:hAnsi="Tahoma" w:cs="Tahoma"/>
                <w:sz w:val="20"/>
                <w:szCs w:val="20"/>
              </w:rPr>
            </w:pPr>
            <w:r w:rsidRPr="00F369B0">
              <w:rPr>
                <w:rFonts w:ascii="Tahoma" w:hAnsi="Tahoma" w:cs="Tahoma"/>
                <w:sz w:val="20"/>
                <w:szCs w:val="20"/>
              </w:rPr>
              <w:t xml:space="preserve">Договор потребительского кредита, который заключен между Банком и физическим лицом в целях, не связанных с осуществлением физическим лицом (Заемщиком) предпринимательской деятельности, и обязательства Заемщика по которым обеспечены ипотекой. </w:t>
            </w:r>
          </w:p>
          <w:p w14:paraId="685DF13E" w14:textId="77777777" w:rsidR="00951A61" w:rsidRPr="00F369B0" w:rsidRDefault="00951A61" w:rsidP="00A4032F">
            <w:pPr>
              <w:tabs>
                <w:tab w:val="left" w:pos="851"/>
              </w:tabs>
              <w:ind w:firstLine="425"/>
              <w:jc w:val="both"/>
              <w:rPr>
                <w:rFonts w:ascii="Tahoma" w:hAnsi="Tahoma" w:cs="Tahoma"/>
                <w:sz w:val="20"/>
                <w:szCs w:val="20"/>
              </w:rPr>
            </w:pPr>
            <w:r w:rsidRPr="00F369B0">
              <w:rPr>
                <w:rFonts w:ascii="Tahoma" w:hAnsi="Tahoma" w:cs="Tahoma"/>
                <w:sz w:val="20"/>
                <w:szCs w:val="20"/>
              </w:rPr>
              <w:t>Кредитный договор заключается в соответствии правилами предоставления субсидий, утверждёнными уполномоченным в Российской Федерации федеральным органом исполнительной власти: субсидии акционерному обществу "ДОМ.РФ", г. Москва, в виде вкладов в имущество, не увеличивающих его уставный капитал, для возмещения российским кредитным организациям и акционерному обществу "ДОМ.РФ" недополученных доходов по выданным (приобретенным) жилищным (ипотечным) кредитам (займам), предоставленным гражданам Российской Федерации, имеющим детей.</w:t>
            </w:r>
          </w:p>
        </w:tc>
      </w:tr>
      <w:tr w:rsidR="00951A61" w:rsidRPr="0068696D" w14:paraId="03357EBC" w14:textId="77777777" w:rsidTr="00A4032F">
        <w:tc>
          <w:tcPr>
            <w:tcW w:w="1224" w:type="pct"/>
            <w:vAlign w:val="center"/>
          </w:tcPr>
          <w:p w14:paraId="5CBECE4F" w14:textId="77777777" w:rsidR="00951A61" w:rsidRPr="0068696D" w:rsidRDefault="00951A61" w:rsidP="00A4032F">
            <w:pPr>
              <w:tabs>
                <w:tab w:val="left" w:pos="851"/>
              </w:tabs>
              <w:jc w:val="center"/>
              <w:rPr>
                <w:rFonts w:ascii="Tahoma" w:hAnsi="Tahoma" w:cs="Tahoma"/>
                <w:bCs/>
                <w:iCs/>
                <w:sz w:val="20"/>
                <w:szCs w:val="20"/>
              </w:rPr>
            </w:pPr>
            <w:r w:rsidRPr="0068696D">
              <w:rPr>
                <w:rFonts w:ascii="Tahoma" w:hAnsi="Tahoma" w:cs="Tahoma"/>
                <w:sz w:val="20"/>
                <w:szCs w:val="20"/>
              </w:rPr>
              <w:lastRenderedPageBreak/>
              <w:t>Наименование кредитора, место нахождения постоянно действующего исполнительного органа, контактный телефон, по которому осуществляется связь с кредитором, официальный сайт, номер лицензии на осуществление банковских операций.</w:t>
            </w:r>
          </w:p>
        </w:tc>
        <w:tc>
          <w:tcPr>
            <w:tcW w:w="3776" w:type="pct"/>
            <w:vAlign w:val="center"/>
          </w:tcPr>
          <w:p w14:paraId="1EFDA1D1" w14:textId="77777777" w:rsidR="00951A61" w:rsidRPr="0068696D" w:rsidRDefault="00951A61" w:rsidP="00A4032F">
            <w:pPr>
              <w:tabs>
                <w:tab w:val="left" w:pos="851"/>
              </w:tabs>
              <w:ind w:firstLine="425"/>
              <w:jc w:val="both"/>
              <w:rPr>
                <w:rFonts w:ascii="Tahoma" w:hAnsi="Tahoma" w:cs="Tahoma"/>
                <w:bCs/>
                <w:iCs/>
                <w:sz w:val="20"/>
                <w:szCs w:val="20"/>
              </w:rPr>
            </w:pPr>
            <w:r w:rsidRPr="0068696D">
              <w:rPr>
                <w:rFonts w:ascii="Tahoma" w:hAnsi="Tahoma" w:cs="Tahoma"/>
                <w:sz w:val="20"/>
                <w:szCs w:val="20"/>
              </w:rPr>
              <w:t xml:space="preserve">«Азиатско-Тихоокеанский Банк» (Акционерное общество) (по тексту - Банк). Универсальная лицензия ЦБ РФ № 1810, ОГРН: 1022800000079, ИНН: 2801023444, БИК: 041012765, кор. счет №: 30101810300000000765 в Отделении Благовещенск. Местонахождение Банка и место нахождения его постоянно действующего исполнительного органа: 675004, Амурская область, г. Благовещенск, ул. Амурская, дом 225. Контактный тел.: 8 800 775 8888 (звонок по России бесплатный). Сайт Банка в сети Интернет: </w:t>
            </w:r>
            <w:hyperlink r:id="rId49" w:history="1">
              <w:r w:rsidRPr="0068696D">
                <w:rPr>
                  <w:rFonts w:ascii="Tahoma" w:hAnsi="Tahoma" w:cs="Tahoma"/>
                  <w:sz w:val="20"/>
                  <w:szCs w:val="20"/>
                </w:rPr>
                <w:t>www.atb.su</w:t>
              </w:r>
            </w:hyperlink>
            <w:r w:rsidRPr="0068696D">
              <w:rPr>
                <w:rFonts w:ascii="Tahoma" w:hAnsi="Tahoma" w:cs="Tahoma"/>
                <w:sz w:val="20"/>
                <w:szCs w:val="20"/>
              </w:rPr>
              <w:t>.</w:t>
            </w:r>
          </w:p>
        </w:tc>
      </w:tr>
      <w:tr w:rsidR="00951A61" w:rsidRPr="0068696D" w14:paraId="6162FCAD" w14:textId="77777777" w:rsidTr="00A4032F">
        <w:tc>
          <w:tcPr>
            <w:tcW w:w="1224" w:type="pct"/>
            <w:vAlign w:val="center"/>
          </w:tcPr>
          <w:p w14:paraId="364BA16D" w14:textId="77777777" w:rsidR="00951A61" w:rsidRPr="0068696D" w:rsidRDefault="00951A61" w:rsidP="00A4032F">
            <w:pPr>
              <w:tabs>
                <w:tab w:val="left" w:pos="851"/>
              </w:tabs>
              <w:jc w:val="center"/>
              <w:rPr>
                <w:rFonts w:ascii="Tahoma" w:hAnsi="Tahoma" w:cs="Tahoma"/>
                <w:sz w:val="20"/>
                <w:szCs w:val="20"/>
              </w:rPr>
            </w:pPr>
            <w:r w:rsidRPr="0068696D">
              <w:rPr>
                <w:rFonts w:ascii="Tahoma" w:hAnsi="Tahoma" w:cs="Tahoma"/>
                <w:sz w:val="20"/>
                <w:szCs w:val="20"/>
              </w:rPr>
              <w:t>Подразделение Банка</w:t>
            </w:r>
          </w:p>
        </w:tc>
        <w:tc>
          <w:tcPr>
            <w:tcW w:w="3776" w:type="pct"/>
            <w:vAlign w:val="center"/>
          </w:tcPr>
          <w:p w14:paraId="0E7CB61C" w14:textId="77777777" w:rsidR="00951A61" w:rsidRPr="0068696D" w:rsidRDefault="00951A61" w:rsidP="00A4032F">
            <w:pPr>
              <w:tabs>
                <w:tab w:val="left" w:pos="851"/>
              </w:tabs>
              <w:ind w:firstLine="425"/>
              <w:jc w:val="both"/>
              <w:rPr>
                <w:rFonts w:ascii="Tahoma" w:hAnsi="Tahoma" w:cs="Tahoma"/>
                <w:sz w:val="20"/>
                <w:szCs w:val="20"/>
              </w:rPr>
            </w:pPr>
            <w:r w:rsidRPr="0068696D">
              <w:rPr>
                <w:rFonts w:ascii="Tahoma" w:hAnsi="Tahoma" w:cs="Tahoma"/>
                <w:sz w:val="20"/>
                <w:szCs w:val="20"/>
              </w:rPr>
              <w:t>Внутреннее структурное подразделение/филиал/головной офис Банка.</w:t>
            </w:r>
          </w:p>
        </w:tc>
      </w:tr>
      <w:tr w:rsidR="00951A61" w:rsidRPr="0068696D" w14:paraId="596A6484" w14:textId="77777777" w:rsidTr="00A4032F">
        <w:tc>
          <w:tcPr>
            <w:tcW w:w="1224" w:type="pct"/>
            <w:vAlign w:val="center"/>
          </w:tcPr>
          <w:p w14:paraId="2D847501" w14:textId="77777777" w:rsidR="00951A61" w:rsidRPr="00F369B0" w:rsidRDefault="00951A61" w:rsidP="00A4032F">
            <w:pPr>
              <w:tabs>
                <w:tab w:val="left" w:pos="851"/>
              </w:tabs>
              <w:jc w:val="center"/>
              <w:rPr>
                <w:rFonts w:ascii="Tahoma" w:hAnsi="Tahoma" w:cs="Tahoma"/>
                <w:sz w:val="20"/>
                <w:szCs w:val="20"/>
              </w:rPr>
            </w:pPr>
            <w:r w:rsidRPr="00F369B0">
              <w:rPr>
                <w:rFonts w:ascii="Tahoma" w:hAnsi="Tahoma" w:cs="Tahoma"/>
                <w:sz w:val="20"/>
                <w:szCs w:val="20"/>
              </w:rPr>
              <w:t>Правила предоставления субсидий</w:t>
            </w:r>
          </w:p>
        </w:tc>
        <w:tc>
          <w:tcPr>
            <w:tcW w:w="3776" w:type="pct"/>
            <w:vAlign w:val="center"/>
          </w:tcPr>
          <w:p w14:paraId="4D898061" w14:textId="77777777" w:rsidR="00951A61" w:rsidRPr="00F369B0" w:rsidRDefault="00951A61" w:rsidP="00A4032F">
            <w:pPr>
              <w:tabs>
                <w:tab w:val="left" w:pos="851"/>
              </w:tabs>
              <w:ind w:firstLine="425"/>
              <w:jc w:val="both"/>
              <w:rPr>
                <w:rFonts w:ascii="Tahoma" w:hAnsi="Tahoma" w:cs="Tahoma"/>
                <w:sz w:val="20"/>
                <w:szCs w:val="20"/>
              </w:rPr>
            </w:pPr>
            <w:r w:rsidRPr="00F369B0">
              <w:rPr>
                <w:rFonts w:ascii="Tahoma" w:hAnsi="Tahoma" w:cs="Tahoma"/>
                <w:sz w:val="20"/>
                <w:szCs w:val="20"/>
              </w:rPr>
              <w:t>Правила предоставления субсидий, утверждённые уполномоченным в Российской Федерации федеральным органом исполнительной власти:</w:t>
            </w:r>
          </w:p>
          <w:p w14:paraId="2F0EDAFD" w14:textId="77777777" w:rsidR="00951A61" w:rsidRPr="00F369B0" w:rsidRDefault="00951A61" w:rsidP="00951A61">
            <w:pPr>
              <w:pStyle w:val="affe"/>
              <w:numPr>
                <w:ilvl w:val="0"/>
                <w:numId w:val="147"/>
              </w:numPr>
              <w:tabs>
                <w:tab w:val="left" w:pos="851"/>
              </w:tabs>
              <w:ind w:left="0" w:firstLine="425"/>
              <w:contextualSpacing/>
              <w:jc w:val="both"/>
              <w:rPr>
                <w:rFonts w:ascii="Tahoma" w:hAnsi="Tahoma" w:cs="Tahoma"/>
                <w:sz w:val="20"/>
                <w:szCs w:val="20"/>
              </w:rPr>
            </w:pPr>
            <w:r w:rsidRPr="00F369B0">
              <w:rPr>
                <w:rFonts w:ascii="Tahoma" w:hAnsi="Tahoma" w:cs="Tahoma"/>
                <w:sz w:val="20"/>
                <w:szCs w:val="20"/>
              </w:rPr>
              <w:t>Субсидии акционерному обществу "ДОМ.РФ", г. Москва, в виде вкладов в имущество, не увеличивающих его уставный капитал, для возмещения российским кредитным организациям и иным организациям недополученных доходов по жилищным (ипотечным) кредитам, предоставленным гражданам Российской Федерации на приобретение или строительство жилых помещений на территориях субъектов Российской Федерации, входящих в состав Дальневосточного федерального округа;</w:t>
            </w:r>
          </w:p>
          <w:p w14:paraId="67F3D5E7" w14:textId="77777777" w:rsidR="00951A61" w:rsidRPr="00F369B0" w:rsidRDefault="00951A61" w:rsidP="00951A61">
            <w:pPr>
              <w:pStyle w:val="affe"/>
              <w:numPr>
                <w:ilvl w:val="0"/>
                <w:numId w:val="147"/>
              </w:numPr>
              <w:tabs>
                <w:tab w:val="left" w:pos="851"/>
              </w:tabs>
              <w:ind w:left="0" w:firstLine="425"/>
              <w:contextualSpacing/>
              <w:jc w:val="both"/>
              <w:rPr>
                <w:rFonts w:ascii="Tahoma" w:hAnsi="Tahoma" w:cs="Tahoma"/>
                <w:sz w:val="20"/>
                <w:szCs w:val="20"/>
              </w:rPr>
            </w:pPr>
            <w:r w:rsidRPr="00F369B0">
              <w:rPr>
                <w:rFonts w:ascii="Tahoma" w:hAnsi="Tahoma" w:cs="Tahoma"/>
                <w:sz w:val="20"/>
                <w:szCs w:val="20"/>
              </w:rPr>
              <w:t>Субсидии акционерному обществу "ДОМ.РФ", г. Москва, в виде вкладов в имущество, не увеличивающих его уставный капитал, для возмещения российским кредитным организациям и акционерному обществу "ДОМ.РФ" недополученных доходов по выданным (приобретенным) жилищным (ипотечным) кредитам (займам), предоставленным гражданам Российской Федерации, имеющим детей;</w:t>
            </w:r>
          </w:p>
          <w:p w14:paraId="1061EF63" w14:textId="77777777" w:rsidR="00951A61" w:rsidRPr="00F369B0" w:rsidRDefault="00951A61" w:rsidP="00951A61">
            <w:pPr>
              <w:pStyle w:val="affe"/>
              <w:numPr>
                <w:ilvl w:val="0"/>
                <w:numId w:val="147"/>
              </w:numPr>
              <w:tabs>
                <w:tab w:val="left" w:pos="851"/>
              </w:tabs>
              <w:ind w:left="0" w:firstLine="425"/>
              <w:contextualSpacing/>
              <w:jc w:val="both"/>
              <w:rPr>
                <w:rFonts w:ascii="Tahoma" w:hAnsi="Tahoma" w:cs="Tahoma"/>
                <w:sz w:val="20"/>
                <w:szCs w:val="20"/>
              </w:rPr>
            </w:pPr>
            <w:r w:rsidRPr="00F369B0">
              <w:rPr>
                <w:rFonts w:ascii="Tahoma" w:hAnsi="Tahoma" w:cs="Tahoma"/>
                <w:sz w:val="20"/>
                <w:szCs w:val="20"/>
              </w:rPr>
              <w:t>Субсидии акционерному обществу "ДОМ.РФ", г. Москва, в виде вклада в имущество, не увеличивающего его уставный капитал, на цели возмещения кредитным и иным организациям недополученных доходов по жилищным (ипотечным) кредитам (займам), выданным гражданам Российской Федерации по ставке до 8 процентов годовых;</w:t>
            </w:r>
          </w:p>
          <w:p w14:paraId="18297518" w14:textId="77777777" w:rsidR="00951A61" w:rsidRPr="00F369B0" w:rsidRDefault="00951A61" w:rsidP="00951A61">
            <w:pPr>
              <w:pStyle w:val="affe"/>
              <w:numPr>
                <w:ilvl w:val="0"/>
                <w:numId w:val="147"/>
              </w:numPr>
              <w:tabs>
                <w:tab w:val="left" w:pos="851"/>
              </w:tabs>
              <w:ind w:left="0" w:firstLine="425"/>
              <w:contextualSpacing/>
              <w:jc w:val="both"/>
              <w:rPr>
                <w:rFonts w:ascii="Tahoma" w:hAnsi="Tahoma" w:cs="Tahoma"/>
                <w:sz w:val="20"/>
                <w:szCs w:val="20"/>
              </w:rPr>
            </w:pPr>
            <w:r w:rsidRPr="00F369B0">
              <w:rPr>
                <w:rFonts w:ascii="Tahoma" w:hAnsi="Tahoma" w:cs="Tahoma"/>
                <w:sz w:val="20"/>
                <w:szCs w:val="20"/>
              </w:rPr>
              <w:t>Субсидии из федерального бюджета акционерному обществу "ДОМ.РФ" в виде вклада в имущество акционерного общества "ДОМ.РФ", не увеличивающего его уставный капитал, на цели возмещения кредитным и иным организациям недополученных доходов по жилищным (ипотечным) кредитам (займам), выданным работникам аккредитованных организаций, осуществляющих деятельность в области информационных технологий, и Правил возмещения кредитным и иным организациям недополученных доходов по жилищным (ипотечным) кредитам (займам), выданным работникам аккредитованных организаций, осуществляющих деятельность в области информационных технологий";</w:t>
            </w:r>
          </w:p>
          <w:p w14:paraId="097DE22E" w14:textId="77777777" w:rsidR="00951A61" w:rsidRPr="00F369B0" w:rsidRDefault="00951A61" w:rsidP="00951A61">
            <w:pPr>
              <w:pStyle w:val="affe"/>
              <w:numPr>
                <w:ilvl w:val="0"/>
                <w:numId w:val="147"/>
              </w:numPr>
              <w:tabs>
                <w:tab w:val="left" w:pos="851"/>
              </w:tabs>
              <w:ind w:left="0" w:firstLine="425"/>
              <w:contextualSpacing/>
              <w:jc w:val="both"/>
              <w:rPr>
                <w:rFonts w:ascii="Tahoma" w:hAnsi="Tahoma" w:cs="Tahoma"/>
                <w:sz w:val="20"/>
                <w:szCs w:val="20"/>
              </w:rPr>
            </w:pPr>
            <w:r w:rsidRPr="00F369B0">
              <w:rPr>
                <w:rFonts w:ascii="Tahoma" w:hAnsi="Tahoma" w:cs="Tahoma"/>
                <w:sz w:val="20"/>
                <w:szCs w:val="20"/>
              </w:rPr>
              <w:t>Субсидии из федерального бюджета российским кредитным организациям и акционерному обществу "ДОМ.РФ" на возмещение недополученных доходов по выданным (приобретенным) жилищным (ипотечным) кредитам (займам), предоставленным гражданам Российской Федерации на строительство (приобретение) жилого помещения (жилого дома) на сельских территориях (сельских агломерациях)";</w:t>
            </w:r>
          </w:p>
          <w:p w14:paraId="3D5AA4A0" w14:textId="77777777" w:rsidR="00951A61" w:rsidRPr="003A0CB9" w:rsidRDefault="00951A61" w:rsidP="00951A61">
            <w:pPr>
              <w:pStyle w:val="affe"/>
              <w:numPr>
                <w:ilvl w:val="0"/>
                <w:numId w:val="147"/>
              </w:numPr>
              <w:tabs>
                <w:tab w:val="left" w:pos="851"/>
              </w:tabs>
              <w:ind w:left="0" w:firstLine="425"/>
              <w:contextualSpacing/>
              <w:jc w:val="both"/>
              <w:rPr>
                <w:rFonts w:ascii="Tahoma" w:hAnsi="Tahoma" w:cs="Tahoma"/>
                <w:sz w:val="20"/>
                <w:szCs w:val="20"/>
              </w:rPr>
            </w:pPr>
            <w:r w:rsidRPr="003A0CB9">
              <w:rPr>
                <w:rFonts w:ascii="Tahoma" w:hAnsi="Tahoma" w:cs="Tahoma"/>
                <w:sz w:val="20"/>
                <w:szCs w:val="20"/>
              </w:rPr>
              <w:t>Субсидии акционерному обществу "ДОМ.РФ", г. Москва, в виде вкладов в имущество, не увеличивающих его уставный капитал, на цели возмещения российским кредитным и иным организациям недополученных ими доходов по кредитам (займам), выданным гражданам Российской Федерации для приобретения или строительства жилых помещений на территориях Донецкой Народной Республики, Луганской Народной Республики, Запорожской и Херсонской областей, а также на территориях иных субъектов Российской Федерации, и возмещения российским страховым организациям понесенных ими расходов на страховые выплаты в связи с гибелью (утратой) либо повреждением объектов недвижимости, расположенных на территориях Донецкой Народной Республики, Луганской Народной Республики, Запорожской и Херсонской областей, и (или) причинением вреда жизни или здоровью заемщиков по указанным кредитам (займам).</w:t>
            </w:r>
          </w:p>
        </w:tc>
      </w:tr>
      <w:tr w:rsidR="00951A61" w:rsidRPr="0068696D" w14:paraId="6358D218" w14:textId="77777777" w:rsidTr="00A4032F">
        <w:tc>
          <w:tcPr>
            <w:tcW w:w="1224" w:type="pct"/>
            <w:vAlign w:val="center"/>
          </w:tcPr>
          <w:p w14:paraId="619F0659" w14:textId="77777777" w:rsidR="00951A61" w:rsidRPr="0068696D" w:rsidRDefault="00951A61" w:rsidP="00A4032F">
            <w:pPr>
              <w:tabs>
                <w:tab w:val="left" w:pos="851"/>
              </w:tabs>
              <w:jc w:val="center"/>
              <w:rPr>
                <w:rFonts w:ascii="Tahoma" w:hAnsi="Tahoma" w:cs="Tahoma"/>
                <w:sz w:val="20"/>
                <w:szCs w:val="20"/>
              </w:rPr>
            </w:pPr>
            <w:r w:rsidRPr="0068696D">
              <w:rPr>
                <w:rFonts w:ascii="Tahoma" w:hAnsi="Tahoma" w:cs="Tahoma"/>
                <w:sz w:val="20"/>
                <w:szCs w:val="20"/>
              </w:rPr>
              <w:t>Предмет ипотеки/Объект недвижимости</w:t>
            </w:r>
          </w:p>
        </w:tc>
        <w:tc>
          <w:tcPr>
            <w:tcW w:w="3776" w:type="pct"/>
            <w:vAlign w:val="center"/>
          </w:tcPr>
          <w:p w14:paraId="2CC381D7" w14:textId="77777777" w:rsidR="00951A61" w:rsidRPr="0068696D" w:rsidRDefault="00951A61" w:rsidP="00A4032F">
            <w:pPr>
              <w:tabs>
                <w:tab w:val="left" w:pos="851"/>
              </w:tabs>
              <w:ind w:firstLine="425"/>
              <w:jc w:val="both"/>
              <w:rPr>
                <w:rFonts w:ascii="Tahoma" w:hAnsi="Tahoma" w:cs="Tahoma"/>
                <w:sz w:val="20"/>
                <w:szCs w:val="20"/>
              </w:rPr>
            </w:pPr>
            <w:r w:rsidRPr="0068696D">
              <w:rPr>
                <w:rFonts w:ascii="Tahoma" w:hAnsi="Tahoma" w:cs="Tahoma"/>
                <w:sz w:val="20"/>
                <w:szCs w:val="20"/>
              </w:rPr>
              <w:t>Объект недвижимости, под залог которого осуществляется выдача ипотечного кредита.</w:t>
            </w:r>
          </w:p>
        </w:tc>
      </w:tr>
      <w:tr w:rsidR="00951A61" w:rsidRPr="0068696D" w14:paraId="15485844" w14:textId="77777777" w:rsidTr="00A4032F">
        <w:tc>
          <w:tcPr>
            <w:tcW w:w="1224" w:type="pct"/>
          </w:tcPr>
          <w:p w14:paraId="6180DD60" w14:textId="77777777" w:rsidR="00951A61" w:rsidRPr="0068696D" w:rsidRDefault="00951A61" w:rsidP="00A4032F">
            <w:pPr>
              <w:tabs>
                <w:tab w:val="left" w:pos="851"/>
              </w:tabs>
              <w:jc w:val="center"/>
              <w:rPr>
                <w:rFonts w:ascii="Tahoma" w:hAnsi="Tahoma" w:cs="Tahoma"/>
                <w:color w:val="000000"/>
                <w:sz w:val="20"/>
                <w:szCs w:val="20"/>
              </w:rPr>
            </w:pPr>
            <w:r w:rsidRPr="0068696D">
              <w:rPr>
                <w:rFonts w:ascii="Tahoma" w:hAnsi="Tahoma" w:cs="Tahoma"/>
                <w:color w:val="000000"/>
                <w:sz w:val="20"/>
                <w:szCs w:val="20"/>
              </w:rPr>
              <w:lastRenderedPageBreak/>
              <w:t>ПСК</w:t>
            </w:r>
          </w:p>
        </w:tc>
        <w:tc>
          <w:tcPr>
            <w:tcW w:w="3776" w:type="pct"/>
          </w:tcPr>
          <w:p w14:paraId="27B992FA" w14:textId="77777777" w:rsidR="00951A61" w:rsidRPr="0068696D" w:rsidRDefault="00951A61" w:rsidP="00A4032F">
            <w:pPr>
              <w:ind w:firstLine="425"/>
              <w:jc w:val="both"/>
              <w:rPr>
                <w:rFonts w:ascii="Tahoma" w:hAnsi="Tahoma" w:cs="Tahoma"/>
                <w:sz w:val="20"/>
                <w:szCs w:val="20"/>
              </w:rPr>
            </w:pPr>
            <w:r w:rsidRPr="0068696D">
              <w:rPr>
                <w:rFonts w:ascii="Tahoma" w:hAnsi="Tahoma" w:cs="Tahoma"/>
                <w:sz w:val="20"/>
                <w:szCs w:val="20"/>
              </w:rPr>
              <w:t xml:space="preserve">Полная стоимость потребительского кредита определяется как в процентах годовых, </w:t>
            </w:r>
            <w:r w:rsidRPr="0068696D">
              <w:rPr>
                <w:rFonts w:ascii="Tahoma" w:hAnsi="Tahoma" w:cs="Tahoma"/>
                <w:bCs/>
                <w:sz w:val="20"/>
                <w:szCs w:val="20"/>
              </w:rPr>
              <w:t>так и в денежном выражении</w:t>
            </w:r>
          </w:p>
        </w:tc>
      </w:tr>
      <w:tr w:rsidR="00951A61" w:rsidRPr="0068696D" w14:paraId="032C026B" w14:textId="77777777" w:rsidTr="00A4032F">
        <w:tc>
          <w:tcPr>
            <w:tcW w:w="1224" w:type="pct"/>
          </w:tcPr>
          <w:p w14:paraId="136EDB35" w14:textId="77777777" w:rsidR="00951A61" w:rsidRPr="0068696D" w:rsidRDefault="00951A61" w:rsidP="00A4032F">
            <w:pPr>
              <w:tabs>
                <w:tab w:val="left" w:pos="851"/>
              </w:tabs>
              <w:jc w:val="center"/>
              <w:rPr>
                <w:rFonts w:ascii="Tahoma" w:hAnsi="Tahoma" w:cs="Tahoma"/>
                <w:color w:val="000000"/>
                <w:sz w:val="20"/>
                <w:szCs w:val="20"/>
              </w:rPr>
            </w:pPr>
            <w:r w:rsidRPr="0068696D">
              <w:rPr>
                <w:rFonts w:ascii="Tahoma" w:hAnsi="Tahoma" w:cs="Tahoma"/>
                <w:sz w:val="20"/>
                <w:szCs w:val="20"/>
              </w:rPr>
              <w:t>Таунхаус</w:t>
            </w:r>
          </w:p>
        </w:tc>
        <w:tc>
          <w:tcPr>
            <w:tcW w:w="3776" w:type="pct"/>
          </w:tcPr>
          <w:p w14:paraId="1EDC4411" w14:textId="77777777" w:rsidR="00951A61" w:rsidRPr="0068696D" w:rsidRDefault="00951A61" w:rsidP="00A4032F">
            <w:pPr>
              <w:ind w:firstLine="425"/>
              <w:jc w:val="both"/>
              <w:rPr>
                <w:rFonts w:ascii="Tahoma" w:hAnsi="Tahoma" w:cs="Tahoma"/>
                <w:sz w:val="20"/>
                <w:szCs w:val="20"/>
              </w:rPr>
            </w:pPr>
            <w:r w:rsidRPr="0068696D">
              <w:rPr>
                <w:rFonts w:ascii="Tahoma" w:hAnsi="Tahoma" w:cs="Tahoma"/>
                <w:sz w:val="20"/>
                <w:szCs w:val="20"/>
              </w:rPr>
              <w:t>Малоэтажный жилой дом (не менее 2-х и не более 3-х надземных этажей) на несколько многоуровневых квартир (секций)/ сблокированный из нескольких многоуровневых квартир (секций)), как правило, с изолированными входами (без общего подъезда) для входа в квартиру (секцию), входящий в комплекс однотипных (построенных по одному проекту) жилых домов.</w:t>
            </w:r>
          </w:p>
        </w:tc>
      </w:tr>
      <w:tr w:rsidR="00951A61" w:rsidRPr="00234585" w14:paraId="6CC244CF" w14:textId="77777777" w:rsidTr="00A4032F">
        <w:tc>
          <w:tcPr>
            <w:tcW w:w="1224" w:type="pct"/>
          </w:tcPr>
          <w:p w14:paraId="4A6565DD" w14:textId="77777777" w:rsidR="00951A61" w:rsidRPr="0068696D" w:rsidRDefault="00951A61" w:rsidP="00A4032F">
            <w:pPr>
              <w:jc w:val="center"/>
              <w:rPr>
                <w:rFonts w:ascii="Tahoma" w:hAnsi="Tahoma" w:cs="Tahoma"/>
                <w:bCs/>
                <w:sz w:val="20"/>
                <w:szCs w:val="20"/>
              </w:rPr>
            </w:pPr>
            <w:r w:rsidRPr="0068696D">
              <w:rPr>
                <w:rFonts w:ascii="Tahoma" w:hAnsi="Tahoma" w:cs="Tahoma"/>
                <w:sz w:val="20"/>
                <w:szCs w:val="20"/>
              </w:rPr>
              <w:t>ТБС (либо ТБС Заемщика)</w:t>
            </w:r>
          </w:p>
        </w:tc>
        <w:tc>
          <w:tcPr>
            <w:tcW w:w="3776" w:type="pct"/>
          </w:tcPr>
          <w:p w14:paraId="2F01A276" w14:textId="77777777" w:rsidR="00951A61" w:rsidRPr="002D4FB3" w:rsidRDefault="00951A61" w:rsidP="00A4032F">
            <w:pPr>
              <w:widowControl w:val="0"/>
              <w:tabs>
                <w:tab w:val="left" w:pos="851"/>
              </w:tabs>
              <w:adjustRightInd w:val="0"/>
              <w:ind w:firstLine="425"/>
              <w:jc w:val="both"/>
              <w:rPr>
                <w:rFonts w:ascii="Tahoma" w:hAnsi="Tahoma" w:cs="Tahoma"/>
                <w:bCs/>
                <w:sz w:val="20"/>
                <w:szCs w:val="20"/>
              </w:rPr>
            </w:pPr>
            <w:r w:rsidRPr="0068696D">
              <w:rPr>
                <w:rFonts w:ascii="Tahoma" w:hAnsi="Tahoma" w:cs="Tahoma"/>
                <w:sz w:val="20"/>
                <w:szCs w:val="20"/>
              </w:rPr>
              <w:t>Текущий банковский счет, открытый Банком Заемщику в рамках Кредитного договора.</w:t>
            </w:r>
          </w:p>
        </w:tc>
      </w:tr>
    </w:tbl>
    <w:p w14:paraId="73D69F06" w14:textId="77777777" w:rsidR="00951A61" w:rsidRDefault="00951A61" w:rsidP="00951A61">
      <w:pPr>
        <w:rPr>
          <w:rFonts w:ascii="Tahoma" w:hAnsi="Tahoma" w:cs="Tahoma"/>
          <w:noProof/>
          <w:sz w:val="20"/>
          <w:szCs w:val="20"/>
        </w:rPr>
      </w:pPr>
    </w:p>
    <w:p w14:paraId="0B9FA3B1" w14:textId="77777777" w:rsidR="00951A61" w:rsidRDefault="00951A61" w:rsidP="00951A61">
      <w:pPr>
        <w:jc w:val="both"/>
        <w:rPr>
          <w:rFonts w:ascii="Tahoma" w:hAnsi="Tahoma" w:cs="Tahoma"/>
          <w:noProof/>
          <w:sz w:val="20"/>
          <w:szCs w:val="20"/>
        </w:rPr>
      </w:pPr>
      <w:r w:rsidRPr="00E3096B">
        <w:rPr>
          <w:rFonts w:ascii="Tahoma" w:hAnsi="Tahoma" w:cs="Tahoma"/>
          <w:sz w:val="20"/>
          <w:szCs w:val="20"/>
        </w:rPr>
        <w:t>Не приведенные в настоящем документе значения терминов, применяются в значении, определенном в Универсальном договоре банковского обслуживания физических лиц «Азиатско-Тихоокеанский Банк» (АО), размещённом на сайте Банка: www.atb.su и в Подразделениях Банка</w:t>
      </w:r>
      <w:r w:rsidRPr="00CC637B">
        <w:rPr>
          <w:rFonts w:ascii="Tahoma" w:hAnsi="Tahoma" w:cs="Tahoma"/>
          <w:noProof/>
          <w:sz w:val="20"/>
          <w:szCs w:val="20"/>
        </w:rPr>
        <w:t>.</w:t>
      </w:r>
    </w:p>
    <w:p w14:paraId="0657702E" w14:textId="77777777" w:rsidR="00951A61" w:rsidRPr="00234585" w:rsidRDefault="00951A61" w:rsidP="00951A61">
      <w:pPr>
        <w:rPr>
          <w:rFonts w:ascii="Tahoma" w:hAnsi="Tahoma" w:cs="Tahoma"/>
          <w:noProof/>
          <w:sz w:val="20"/>
          <w:szCs w:val="20"/>
        </w:rPr>
      </w:pPr>
    </w:p>
    <w:p w14:paraId="637754FF" w14:textId="77777777" w:rsidR="00951A61" w:rsidRPr="00234585" w:rsidRDefault="00951A61" w:rsidP="00B460F9">
      <w:pPr>
        <w:pStyle w:val="affe"/>
        <w:numPr>
          <w:ilvl w:val="0"/>
          <w:numId w:val="184"/>
        </w:numPr>
        <w:tabs>
          <w:tab w:val="left" w:pos="851"/>
        </w:tabs>
        <w:ind w:left="0" w:firstLine="426"/>
        <w:contextualSpacing/>
        <w:jc w:val="both"/>
        <w:rPr>
          <w:rFonts w:ascii="Tahoma" w:hAnsi="Tahoma" w:cs="Tahoma"/>
          <w:b/>
          <w:bCs/>
          <w:caps/>
          <w:sz w:val="20"/>
          <w:szCs w:val="20"/>
        </w:rPr>
      </w:pPr>
      <w:r w:rsidRPr="00234585">
        <w:rPr>
          <w:rFonts w:ascii="Tahoma" w:hAnsi="Tahoma" w:cs="Tahoma"/>
          <w:b/>
          <w:bCs/>
          <w:caps/>
          <w:sz w:val="20"/>
          <w:szCs w:val="20"/>
        </w:rPr>
        <w:t xml:space="preserve">ИНФОРМАЦИЯ ОБ УСЛОВИЯХ ПРЕДОСТАВЛЕНИЯ, ИСПОЛЬЗОВАНИЯ И ВОЗВРАТА ИПОТЕЧНОГО КРЕДИТА </w:t>
      </w:r>
    </w:p>
    <w:p w14:paraId="7404B4FE" w14:textId="77777777" w:rsidR="00951A61" w:rsidRPr="00234585" w:rsidRDefault="00951A61" w:rsidP="00951A61">
      <w:pPr>
        <w:pStyle w:val="affe"/>
        <w:tabs>
          <w:tab w:val="left" w:pos="851"/>
        </w:tabs>
        <w:ind w:left="426"/>
        <w:jc w:val="both"/>
        <w:rPr>
          <w:rFonts w:ascii="Tahoma" w:hAnsi="Tahoma" w:cs="Tahoma"/>
          <w:b/>
          <w:bCs/>
          <w:caps/>
          <w:sz w:val="20"/>
          <w:szCs w:val="20"/>
        </w:rPr>
      </w:pPr>
      <w:r w:rsidRPr="00234585">
        <w:rPr>
          <w:rFonts w:ascii="Tahoma" w:hAnsi="Tahoma" w:cs="Tahoma"/>
          <w:b/>
          <w:bCs/>
          <w:caps/>
          <w:sz w:val="20"/>
          <w:szCs w:val="20"/>
        </w:rPr>
        <w:t xml:space="preserve">  </w:t>
      </w:r>
    </w:p>
    <w:tbl>
      <w:tblPr>
        <w:tblW w:w="15573" w:type="dxa"/>
        <w:tblInd w:w="35" w:type="dxa"/>
        <w:tblLayout w:type="fixed"/>
        <w:tblLook w:val="04A0" w:firstRow="1" w:lastRow="0" w:firstColumn="1" w:lastColumn="0" w:noHBand="0" w:noVBand="1"/>
      </w:tblPr>
      <w:tblGrid>
        <w:gridCol w:w="4121"/>
        <w:gridCol w:w="11452"/>
      </w:tblGrid>
      <w:tr w:rsidR="00951A61" w:rsidRPr="00234585" w14:paraId="5E316A0F"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3A065DD" w14:textId="77777777" w:rsidR="00951A61" w:rsidRPr="00234585" w:rsidRDefault="00951A61" w:rsidP="00A4032F">
            <w:pPr>
              <w:jc w:val="center"/>
              <w:rPr>
                <w:rFonts w:ascii="Tahoma" w:hAnsi="Tahoma" w:cs="Tahoma"/>
                <w:b/>
                <w:bCs/>
                <w:sz w:val="20"/>
                <w:szCs w:val="20"/>
              </w:rPr>
            </w:pPr>
            <w:r w:rsidRPr="00234585">
              <w:rPr>
                <w:rFonts w:ascii="Tahoma" w:hAnsi="Tahoma" w:cs="Tahoma"/>
                <w:b/>
                <w:bCs/>
                <w:sz w:val="20"/>
                <w:szCs w:val="20"/>
              </w:rPr>
              <w:t>Наименование                                    тарифного плана (ТП)</w:t>
            </w:r>
          </w:p>
        </w:tc>
        <w:tc>
          <w:tcPr>
            <w:tcW w:w="11452"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B70B735" w14:textId="77777777" w:rsidR="00951A61" w:rsidRPr="00234585" w:rsidRDefault="00951A61" w:rsidP="00A4032F">
            <w:pPr>
              <w:jc w:val="center"/>
              <w:rPr>
                <w:rFonts w:ascii="Tahoma" w:hAnsi="Tahoma" w:cs="Tahoma"/>
                <w:b/>
                <w:bCs/>
                <w:sz w:val="20"/>
                <w:szCs w:val="20"/>
              </w:rPr>
            </w:pPr>
            <w:r w:rsidRPr="00A542FA">
              <w:rPr>
                <w:rFonts w:ascii="Tahoma" w:hAnsi="Tahoma" w:cs="Tahoma"/>
                <w:b/>
                <w:bCs/>
                <w:sz w:val="20"/>
                <w:szCs w:val="20"/>
              </w:rPr>
              <w:t>«</w:t>
            </w:r>
            <w:r>
              <w:rPr>
                <w:rFonts w:ascii="Tahoma" w:hAnsi="Tahoma" w:cs="Tahoma"/>
                <w:b/>
                <w:noProof/>
                <w:sz w:val="20"/>
                <w:szCs w:val="20"/>
              </w:rPr>
              <w:t>Семейная ипотека</w:t>
            </w:r>
            <w:r w:rsidRPr="00A542FA">
              <w:rPr>
                <w:rFonts w:ascii="Tahoma" w:hAnsi="Tahoma" w:cs="Tahoma"/>
                <w:b/>
                <w:bCs/>
                <w:sz w:val="20"/>
                <w:szCs w:val="20"/>
              </w:rPr>
              <w:t>»</w:t>
            </w:r>
          </w:p>
        </w:tc>
      </w:tr>
      <w:tr w:rsidR="00951A61" w:rsidRPr="0068696D" w14:paraId="2F0B254A"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28BE9A64" w14:textId="77777777" w:rsidR="00951A61" w:rsidRPr="0068696D" w:rsidRDefault="00951A61" w:rsidP="00A4032F">
            <w:pPr>
              <w:pStyle w:val="affe"/>
              <w:ind w:left="-6"/>
              <w:jc w:val="center"/>
              <w:rPr>
                <w:rFonts w:ascii="Tahoma" w:hAnsi="Tahoma" w:cs="Tahoma"/>
                <w:b/>
                <w:bCs/>
                <w:sz w:val="20"/>
                <w:szCs w:val="20"/>
              </w:rPr>
            </w:pPr>
            <w:r w:rsidRPr="0068696D">
              <w:rPr>
                <w:rFonts w:ascii="Tahoma" w:hAnsi="Tahoma" w:cs="Tahoma"/>
                <w:b/>
                <w:bCs/>
                <w:sz w:val="20"/>
                <w:szCs w:val="20"/>
              </w:rPr>
              <w:t>Вид потребительского кредита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3335B91C" w14:textId="77777777" w:rsidR="00951A61" w:rsidRPr="00050F34" w:rsidRDefault="00951A61" w:rsidP="00A4032F">
            <w:pPr>
              <w:ind w:firstLine="425"/>
              <w:jc w:val="both"/>
              <w:rPr>
                <w:rFonts w:ascii="Tahoma" w:hAnsi="Tahoma" w:cs="Tahoma"/>
                <w:sz w:val="20"/>
                <w:szCs w:val="20"/>
              </w:rPr>
            </w:pPr>
            <w:r w:rsidRPr="00050F34">
              <w:rPr>
                <w:rFonts w:ascii="Tahoma" w:hAnsi="Tahoma" w:cs="Tahoma"/>
                <w:sz w:val="20"/>
                <w:szCs w:val="20"/>
              </w:rPr>
              <w:t>Жилищный (ипотечный) кредит (на цели, не связанные с осуществлением предпринимательской деятельности, и обязательства, по которому обеспечиваются ипотекой)</w:t>
            </w:r>
          </w:p>
        </w:tc>
      </w:tr>
      <w:tr w:rsidR="00951A61" w:rsidRPr="00F369B0" w14:paraId="7D7CBDB5"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59A2519C" w14:textId="77777777" w:rsidR="00951A61" w:rsidRPr="00BF1C29" w:rsidRDefault="00951A61" w:rsidP="00A4032F">
            <w:pPr>
              <w:pStyle w:val="affe"/>
              <w:ind w:left="-6"/>
              <w:jc w:val="center"/>
              <w:rPr>
                <w:rFonts w:ascii="Tahoma" w:hAnsi="Tahoma" w:cs="Tahoma"/>
                <w:b/>
                <w:bCs/>
                <w:sz w:val="20"/>
                <w:szCs w:val="20"/>
              </w:rPr>
            </w:pPr>
            <w:r w:rsidRPr="00BF1C29">
              <w:rPr>
                <w:rFonts w:ascii="Tahoma" w:hAnsi="Tahoma" w:cs="Tahoma"/>
                <w:b/>
                <w:sz w:val="20"/>
                <w:szCs w:val="20"/>
              </w:rPr>
              <w:t>Цель потребительского кредита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4321C3AF" w14:textId="77777777" w:rsidR="00951A61" w:rsidRPr="009C4568" w:rsidRDefault="00951A61" w:rsidP="00951A61">
            <w:pPr>
              <w:pStyle w:val="affe"/>
              <w:numPr>
                <w:ilvl w:val="0"/>
                <w:numId w:val="103"/>
              </w:numPr>
              <w:ind w:left="0" w:firstLine="425"/>
              <w:contextualSpacing/>
              <w:jc w:val="both"/>
              <w:rPr>
                <w:rFonts w:ascii="Tahoma" w:hAnsi="Tahoma" w:cs="Tahoma"/>
                <w:sz w:val="20"/>
                <w:szCs w:val="20"/>
              </w:rPr>
            </w:pPr>
            <w:bookmarkStart w:id="127" w:name="_Ref98957996"/>
            <w:bookmarkStart w:id="128" w:name="_Ref98957994"/>
            <w:r w:rsidRPr="009C4568">
              <w:rPr>
                <w:rFonts w:ascii="Tahoma" w:hAnsi="Tahoma" w:cs="Tahoma"/>
                <w:b/>
                <w:i/>
                <w:color w:val="1F497D" w:themeColor="text2"/>
                <w:sz w:val="20"/>
                <w:szCs w:val="20"/>
                <w:u w:val="single"/>
              </w:rPr>
              <w:t>Для категории Заемщиков – целевых участников программы, указанных в п. 1.1.</w:t>
            </w:r>
            <w:r w:rsidRPr="009C4568">
              <w:rPr>
                <w:rFonts w:ascii="Tahoma" w:hAnsi="Tahoma" w:cs="Tahoma"/>
                <w:color w:val="1F497D" w:themeColor="text2"/>
                <w:sz w:val="20"/>
                <w:szCs w:val="20"/>
              </w:rPr>
              <w:t xml:space="preserve"> </w:t>
            </w:r>
            <w:r w:rsidRPr="009C4568">
              <w:rPr>
                <w:rFonts w:ascii="Tahoma" w:hAnsi="Tahoma" w:cs="Tahoma"/>
                <w:sz w:val="20"/>
                <w:szCs w:val="20"/>
              </w:rPr>
              <w:t>раздела «Категория Заемщика/Требования к Заемщику, либо к солидарным Заемщикам (к одному из солидарных Заемщиков), которые установлены Банком и выполнение которых является обязательным для предоставления потребительского кредита»:</w:t>
            </w:r>
          </w:p>
          <w:p w14:paraId="015CEDA4" w14:textId="77777777" w:rsidR="00951A61" w:rsidRPr="009C4568" w:rsidRDefault="00951A61" w:rsidP="00951A61">
            <w:pPr>
              <w:pStyle w:val="affe"/>
              <w:numPr>
                <w:ilvl w:val="1"/>
                <w:numId w:val="103"/>
              </w:numPr>
              <w:ind w:left="0" w:firstLine="425"/>
              <w:contextualSpacing/>
              <w:jc w:val="both"/>
              <w:rPr>
                <w:rFonts w:ascii="Tahoma" w:hAnsi="Tahoma" w:cs="Tahoma"/>
                <w:sz w:val="20"/>
                <w:szCs w:val="20"/>
              </w:rPr>
            </w:pPr>
            <w:r w:rsidRPr="009C4568">
              <w:rPr>
                <w:rFonts w:ascii="Tahoma" w:hAnsi="Tahoma" w:cs="Tahoma"/>
                <w:b/>
                <w:sz w:val="20"/>
                <w:szCs w:val="20"/>
              </w:rPr>
              <w:t>Приобретение у юридического лица, находящегося на этапе строительства</w:t>
            </w:r>
            <w:r w:rsidRPr="009C4568">
              <w:rPr>
                <w:rFonts w:ascii="Tahoma" w:hAnsi="Tahoma" w:cs="Tahoma"/>
                <w:sz w:val="20"/>
                <w:szCs w:val="20"/>
              </w:rPr>
              <w:t xml:space="preserve"> жилого помещения в многоквартирном доме, в доме блокированной застройки, дома блокированной застройки, в том числе с земельным участком (</w:t>
            </w:r>
            <w:r w:rsidRPr="009C4568">
              <w:rPr>
                <w:rFonts w:ascii="Tahoma" w:hAnsi="Tahoma" w:cs="Tahoma"/>
                <w:b/>
                <w:sz w:val="20"/>
                <w:szCs w:val="20"/>
              </w:rPr>
              <w:t>квартиры в многоквартирном доме; таунхауса</w:t>
            </w:r>
            <w:r w:rsidRPr="009C4568">
              <w:rPr>
                <w:rFonts w:ascii="Tahoma" w:hAnsi="Tahoma" w:cs="Tahoma"/>
                <w:sz w:val="20"/>
                <w:szCs w:val="20"/>
              </w:rPr>
              <w:t xml:space="preserve">), расположенного на территории Российской Федерации, </w:t>
            </w:r>
            <w:r w:rsidRPr="009C4568">
              <w:rPr>
                <w:rFonts w:ascii="Tahoma" w:hAnsi="Tahoma" w:cs="Tahoma"/>
                <w:b/>
                <w:sz w:val="20"/>
                <w:szCs w:val="20"/>
              </w:rPr>
              <w:t>по договору участия в долевом строительстве</w:t>
            </w:r>
            <w:r w:rsidRPr="009C4568">
              <w:rPr>
                <w:rFonts w:ascii="Tahoma" w:hAnsi="Tahoma" w:cs="Tahoma"/>
                <w:sz w:val="20"/>
                <w:szCs w:val="20"/>
              </w:rPr>
              <w:t xml:space="preserve"> в соответствии с положениями Федерального закона "Об участии в долевом строительстве многоквартирных домов и иных объектов недвижимости и о внесении изменений в некоторые законодательные акты Российской Федерации".</w:t>
            </w:r>
          </w:p>
          <w:p w14:paraId="6515509E" w14:textId="77777777" w:rsidR="00951A61" w:rsidRPr="009C4568" w:rsidRDefault="00951A61" w:rsidP="00951A61">
            <w:pPr>
              <w:pStyle w:val="affe"/>
              <w:numPr>
                <w:ilvl w:val="1"/>
                <w:numId w:val="103"/>
              </w:numPr>
              <w:ind w:left="0" w:firstLine="425"/>
              <w:contextualSpacing/>
              <w:jc w:val="both"/>
              <w:rPr>
                <w:rFonts w:ascii="Tahoma" w:hAnsi="Tahoma" w:cs="Tahoma"/>
                <w:sz w:val="20"/>
                <w:szCs w:val="20"/>
              </w:rPr>
            </w:pPr>
            <w:r w:rsidRPr="009C4568">
              <w:rPr>
                <w:rFonts w:ascii="Tahoma" w:hAnsi="Tahoma" w:cs="Tahoma"/>
                <w:b/>
                <w:sz w:val="20"/>
                <w:szCs w:val="20"/>
              </w:rPr>
              <w:t>Приобретение жилого помещения</w:t>
            </w:r>
            <w:r w:rsidRPr="009C4568">
              <w:rPr>
                <w:rFonts w:ascii="Tahoma" w:hAnsi="Tahoma" w:cs="Tahoma"/>
                <w:sz w:val="20"/>
                <w:szCs w:val="20"/>
              </w:rPr>
              <w:t xml:space="preserve"> в многоквартирном доме, в доме блокированной застройки, дома блокированной застройки, в том числе с земельным участком (</w:t>
            </w:r>
            <w:r w:rsidRPr="009C4568">
              <w:rPr>
                <w:rFonts w:ascii="Tahoma" w:hAnsi="Tahoma" w:cs="Tahoma"/>
                <w:b/>
                <w:sz w:val="20"/>
                <w:szCs w:val="20"/>
              </w:rPr>
              <w:t>квартиры в многоквартирном доме; таунхауса</w:t>
            </w:r>
            <w:r w:rsidRPr="009C4568">
              <w:rPr>
                <w:rFonts w:ascii="Tahoma" w:hAnsi="Tahoma" w:cs="Tahoma"/>
                <w:sz w:val="20"/>
                <w:szCs w:val="20"/>
              </w:rPr>
              <w:t xml:space="preserve">), расположенного на территории Российской Федерации, </w:t>
            </w:r>
            <w:r w:rsidRPr="009C4568">
              <w:rPr>
                <w:rFonts w:ascii="Tahoma" w:hAnsi="Tahoma" w:cs="Tahoma"/>
                <w:b/>
                <w:sz w:val="20"/>
                <w:szCs w:val="20"/>
              </w:rPr>
              <w:t>по договору купли-продажи, заключенным с</w:t>
            </w:r>
            <w:r w:rsidRPr="009C4568">
              <w:rPr>
                <w:rFonts w:ascii="Tahoma" w:hAnsi="Tahoma" w:cs="Tahoma"/>
                <w:sz w:val="20"/>
                <w:szCs w:val="20"/>
              </w:rPr>
              <w:t>:</w:t>
            </w:r>
          </w:p>
          <w:p w14:paraId="7DC2A566" w14:textId="77777777" w:rsidR="00951A61" w:rsidRPr="009C4568" w:rsidRDefault="00951A61" w:rsidP="00A4032F">
            <w:pPr>
              <w:ind w:firstLine="425"/>
              <w:jc w:val="both"/>
              <w:rPr>
                <w:rFonts w:ascii="Tahoma" w:hAnsi="Tahoma" w:cs="Tahoma"/>
                <w:sz w:val="20"/>
                <w:szCs w:val="20"/>
              </w:rPr>
            </w:pPr>
            <w:r w:rsidRPr="009C4568">
              <w:rPr>
                <w:rFonts w:ascii="Tahoma" w:hAnsi="Tahoma" w:cs="Tahoma"/>
                <w:sz w:val="20"/>
                <w:szCs w:val="20"/>
              </w:rPr>
              <w:t xml:space="preserve">- </w:t>
            </w:r>
            <w:r w:rsidRPr="009C4568">
              <w:rPr>
                <w:rFonts w:ascii="Tahoma" w:hAnsi="Tahoma" w:cs="Tahoma"/>
                <w:b/>
                <w:sz w:val="20"/>
                <w:szCs w:val="20"/>
              </w:rPr>
              <w:t>индивидуальным предпринимателем</w:t>
            </w:r>
            <w:r w:rsidRPr="009C4568">
              <w:rPr>
                <w:rFonts w:ascii="Tahoma" w:hAnsi="Tahoma" w:cs="Tahoma"/>
                <w:sz w:val="20"/>
                <w:szCs w:val="20"/>
              </w:rPr>
              <w:t xml:space="preserve">, </w:t>
            </w:r>
            <w:r w:rsidRPr="009C4568">
              <w:rPr>
                <w:rFonts w:ascii="Tahoma" w:hAnsi="Tahoma" w:cs="Tahoma"/>
                <w:b/>
                <w:sz w:val="20"/>
                <w:szCs w:val="20"/>
              </w:rPr>
              <w:t>являющимся первым собственником</w:t>
            </w:r>
            <w:r w:rsidRPr="009C4568">
              <w:rPr>
                <w:rFonts w:ascii="Tahoma" w:hAnsi="Tahoma" w:cs="Tahoma"/>
                <w:sz w:val="20"/>
                <w:szCs w:val="20"/>
              </w:rPr>
              <w:t xml:space="preserve"> указанного объекта недвижимости </w:t>
            </w:r>
            <w:r w:rsidRPr="009C4568">
              <w:rPr>
                <w:rFonts w:ascii="Tahoma" w:hAnsi="Tahoma" w:cs="Tahoma"/>
                <w:b/>
                <w:sz w:val="20"/>
                <w:szCs w:val="20"/>
              </w:rPr>
              <w:t>и зарегистрировавшим право собственности на указанный объект недвижимости после получения таким индивидуальным предпринимателем разрешения на ввод соответствующего объекта недвижимости в эксплуатацию и построившим</w:t>
            </w:r>
            <w:r w:rsidRPr="009C4568">
              <w:rPr>
                <w:rFonts w:ascii="Tahoma" w:hAnsi="Tahoma" w:cs="Tahoma"/>
                <w:sz w:val="20"/>
                <w:szCs w:val="20"/>
              </w:rPr>
              <w:t xml:space="preserve"> (создавшим) </w:t>
            </w:r>
            <w:r w:rsidRPr="009C4568">
              <w:rPr>
                <w:rFonts w:ascii="Tahoma" w:hAnsi="Tahoma" w:cs="Tahoma"/>
                <w:b/>
                <w:sz w:val="20"/>
                <w:szCs w:val="20"/>
              </w:rPr>
              <w:t>указанное жилое помещение</w:t>
            </w:r>
            <w:r w:rsidRPr="009C4568">
              <w:rPr>
                <w:rFonts w:ascii="Tahoma" w:hAnsi="Tahoma" w:cs="Tahoma"/>
                <w:sz w:val="20"/>
                <w:szCs w:val="20"/>
              </w:rPr>
              <w:t xml:space="preserve">, дом блокированной застройки </w:t>
            </w:r>
            <w:r w:rsidRPr="009C4568">
              <w:rPr>
                <w:rFonts w:ascii="Tahoma" w:hAnsi="Tahoma" w:cs="Tahoma"/>
                <w:b/>
                <w:sz w:val="20"/>
                <w:szCs w:val="20"/>
              </w:rPr>
              <w:t>в связи с осуществлением им предпринимательской деятельности по строительству</w:t>
            </w:r>
            <w:r w:rsidRPr="009C4568">
              <w:rPr>
                <w:rFonts w:ascii="Tahoma" w:hAnsi="Tahoma" w:cs="Tahoma"/>
                <w:sz w:val="20"/>
                <w:szCs w:val="20"/>
              </w:rPr>
              <w:t xml:space="preserve"> в соответствии с содержащимся в составе сведений о таком индивидуальном предпринимателе в едином государственном реестре индивидуальных предпринимателей кодом вида (кодами видов) экономической деятельности по Общероссийскому классификатору видов экономической деятельности;</w:t>
            </w:r>
          </w:p>
          <w:p w14:paraId="2F5023DB" w14:textId="77777777" w:rsidR="00951A61" w:rsidRPr="009C4568" w:rsidRDefault="00951A61" w:rsidP="00A4032F">
            <w:pPr>
              <w:ind w:firstLine="425"/>
              <w:jc w:val="both"/>
              <w:rPr>
                <w:rFonts w:ascii="Tahoma" w:hAnsi="Tahoma" w:cs="Tahoma"/>
                <w:sz w:val="20"/>
                <w:szCs w:val="20"/>
              </w:rPr>
            </w:pPr>
            <w:r w:rsidRPr="009C4568">
              <w:rPr>
                <w:rFonts w:ascii="Tahoma" w:hAnsi="Tahoma" w:cs="Tahoma"/>
                <w:sz w:val="20"/>
                <w:szCs w:val="20"/>
              </w:rPr>
              <w:t xml:space="preserve">- </w:t>
            </w:r>
            <w:r w:rsidRPr="009C4568">
              <w:rPr>
                <w:rFonts w:ascii="Tahoma" w:hAnsi="Tahoma" w:cs="Tahoma"/>
                <w:b/>
                <w:sz w:val="20"/>
                <w:szCs w:val="20"/>
              </w:rPr>
              <w:t>юридическим лицом</w:t>
            </w:r>
            <w:r w:rsidRPr="009C4568">
              <w:rPr>
                <w:rFonts w:ascii="Tahoma" w:hAnsi="Tahoma" w:cs="Tahoma"/>
                <w:sz w:val="20"/>
                <w:szCs w:val="20"/>
              </w:rPr>
              <w:t xml:space="preserve">, являющимся первым собственником указанного объекта недвижимости </w:t>
            </w:r>
            <w:r w:rsidRPr="009C4568">
              <w:rPr>
                <w:rFonts w:ascii="Tahoma" w:hAnsi="Tahoma" w:cs="Tahoma"/>
                <w:b/>
                <w:sz w:val="20"/>
                <w:szCs w:val="20"/>
              </w:rPr>
              <w:t>и зарегистрировавшим право собственности на указанный объект недвижимости после получения таким юридическим лицом разрешения на ввод соответствующего объекта недвижимости в эксплуатацию</w:t>
            </w:r>
            <w:r w:rsidRPr="009C4568">
              <w:rPr>
                <w:rFonts w:ascii="Tahoma" w:hAnsi="Tahoma" w:cs="Tahoma"/>
                <w:sz w:val="20"/>
                <w:szCs w:val="20"/>
              </w:rPr>
              <w:t>.</w:t>
            </w:r>
          </w:p>
          <w:p w14:paraId="307C4E51" w14:textId="77777777" w:rsidR="00951A61" w:rsidRPr="009C4568" w:rsidRDefault="00951A61" w:rsidP="00951A61">
            <w:pPr>
              <w:pStyle w:val="affe"/>
              <w:numPr>
                <w:ilvl w:val="1"/>
                <w:numId w:val="103"/>
              </w:numPr>
              <w:ind w:left="0" w:firstLine="425"/>
              <w:contextualSpacing/>
              <w:jc w:val="both"/>
              <w:rPr>
                <w:rFonts w:ascii="Tahoma" w:hAnsi="Tahoma" w:cs="Tahoma"/>
                <w:sz w:val="20"/>
                <w:szCs w:val="20"/>
              </w:rPr>
            </w:pPr>
            <w:r w:rsidRPr="009C4568">
              <w:rPr>
                <w:rFonts w:ascii="Tahoma" w:hAnsi="Tahoma" w:cs="Tahoma"/>
                <w:b/>
                <w:sz w:val="20"/>
                <w:szCs w:val="20"/>
              </w:rPr>
              <w:t>Приобретение индивидуального жилого дома, в том числе с земельным участком</w:t>
            </w:r>
            <w:r w:rsidRPr="009C4568">
              <w:rPr>
                <w:rFonts w:ascii="Tahoma" w:hAnsi="Tahoma" w:cs="Tahoma"/>
                <w:sz w:val="20"/>
                <w:szCs w:val="20"/>
              </w:rPr>
              <w:t xml:space="preserve">, расположенного на территории Российской Федерации, </w:t>
            </w:r>
            <w:r w:rsidRPr="009C4568">
              <w:rPr>
                <w:rFonts w:ascii="Tahoma" w:hAnsi="Tahoma" w:cs="Tahoma"/>
                <w:b/>
                <w:sz w:val="20"/>
                <w:szCs w:val="20"/>
              </w:rPr>
              <w:t>по договору купли-продажи</w:t>
            </w:r>
            <w:r w:rsidRPr="009C4568">
              <w:rPr>
                <w:rFonts w:ascii="Tahoma" w:hAnsi="Tahoma" w:cs="Tahoma"/>
                <w:sz w:val="20"/>
                <w:szCs w:val="20"/>
              </w:rPr>
              <w:t xml:space="preserve">, </w:t>
            </w:r>
            <w:r w:rsidRPr="009C4568">
              <w:rPr>
                <w:rFonts w:ascii="Tahoma" w:hAnsi="Tahoma" w:cs="Tahoma"/>
                <w:b/>
                <w:sz w:val="20"/>
                <w:szCs w:val="20"/>
              </w:rPr>
              <w:t>заключенному с индивидуальным предпринимателем, являющимся первым собственником</w:t>
            </w:r>
            <w:r w:rsidRPr="009C4568">
              <w:rPr>
                <w:rFonts w:ascii="Tahoma" w:hAnsi="Tahoma" w:cs="Tahoma"/>
                <w:sz w:val="20"/>
                <w:szCs w:val="20"/>
              </w:rPr>
              <w:t xml:space="preserve"> такого дома, </w:t>
            </w:r>
            <w:r w:rsidRPr="009C4568">
              <w:rPr>
                <w:rFonts w:ascii="Tahoma" w:hAnsi="Tahoma" w:cs="Tahoma"/>
                <w:b/>
                <w:sz w:val="20"/>
                <w:szCs w:val="20"/>
              </w:rPr>
              <w:t xml:space="preserve">зарегистрировавшим право </w:t>
            </w:r>
            <w:r w:rsidRPr="009C4568">
              <w:rPr>
                <w:rFonts w:ascii="Tahoma" w:hAnsi="Tahoma" w:cs="Tahoma"/>
                <w:b/>
                <w:sz w:val="20"/>
                <w:szCs w:val="20"/>
              </w:rPr>
              <w:lastRenderedPageBreak/>
              <w:t>собственности на указанный жилой дом после получения таким индивидуальным предпринимателем уведомления о соответствии</w:t>
            </w:r>
            <w:r w:rsidRPr="009C4568">
              <w:rPr>
                <w:rFonts w:ascii="Tahoma" w:hAnsi="Tahoma" w:cs="Tahoma"/>
                <w:sz w:val="20"/>
                <w:szCs w:val="20"/>
              </w:rPr>
              <w:t xml:space="preserve"> построенного или реконструированного </w:t>
            </w:r>
            <w:r w:rsidRPr="009C4568">
              <w:rPr>
                <w:rFonts w:ascii="Tahoma" w:hAnsi="Tahoma" w:cs="Tahoma"/>
                <w:b/>
                <w:sz w:val="20"/>
                <w:szCs w:val="20"/>
              </w:rPr>
              <w:t>объекта</w:t>
            </w:r>
            <w:r w:rsidRPr="009C4568">
              <w:rPr>
                <w:rFonts w:ascii="Tahoma" w:hAnsi="Tahoma" w:cs="Tahoma"/>
                <w:sz w:val="20"/>
                <w:szCs w:val="20"/>
              </w:rPr>
              <w:t xml:space="preserve"> индивидуального жилищного строительства </w:t>
            </w:r>
            <w:r w:rsidRPr="009C4568">
              <w:rPr>
                <w:rFonts w:ascii="Tahoma" w:hAnsi="Tahoma" w:cs="Tahoma"/>
                <w:b/>
                <w:sz w:val="20"/>
                <w:szCs w:val="20"/>
              </w:rPr>
              <w:t>требованиям законодательства</w:t>
            </w:r>
            <w:r w:rsidRPr="009C4568">
              <w:rPr>
                <w:rFonts w:ascii="Tahoma" w:hAnsi="Tahoma" w:cs="Tahoma"/>
                <w:sz w:val="20"/>
                <w:szCs w:val="20"/>
              </w:rPr>
              <w:t xml:space="preserve"> о градостроительной деятельности и построившим (создавшим) указанный жилой дом в связи с осуществлением им предпринимательской деятельности по строительству в соответствии с содержащимся в составе сведений о таком индивидуальном предпринимателе в едином государственном реестре индивидуальных предпринимателей кодом вида (кодами видов) экономической деятельности по Общероссийскому классификатору видов экономической деятельности, </w:t>
            </w:r>
            <w:r w:rsidRPr="009C4568">
              <w:rPr>
                <w:rFonts w:ascii="Tahoma" w:hAnsi="Tahoma" w:cs="Tahoma"/>
                <w:b/>
                <w:sz w:val="20"/>
                <w:szCs w:val="20"/>
              </w:rPr>
              <w:t>или для приобретения</w:t>
            </w:r>
            <w:r w:rsidRPr="009C4568">
              <w:rPr>
                <w:rFonts w:ascii="Tahoma" w:hAnsi="Tahoma" w:cs="Tahoma"/>
                <w:sz w:val="20"/>
                <w:szCs w:val="20"/>
              </w:rPr>
              <w:t xml:space="preserve"> </w:t>
            </w:r>
            <w:r w:rsidRPr="009C4568">
              <w:rPr>
                <w:rFonts w:ascii="Tahoma" w:hAnsi="Tahoma" w:cs="Tahoma"/>
                <w:b/>
                <w:sz w:val="20"/>
                <w:szCs w:val="20"/>
              </w:rPr>
              <w:t>индивидуального жилого дома, в том числе с земельным участком</w:t>
            </w:r>
            <w:r w:rsidRPr="009C4568">
              <w:rPr>
                <w:rFonts w:ascii="Tahoma" w:hAnsi="Tahoma" w:cs="Tahoma"/>
                <w:sz w:val="20"/>
                <w:szCs w:val="20"/>
              </w:rPr>
              <w:t xml:space="preserve">, </w:t>
            </w:r>
            <w:r w:rsidRPr="009C4568">
              <w:rPr>
                <w:rFonts w:ascii="Tahoma" w:hAnsi="Tahoma" w:cs="Tahoma"/>
                <w:b/>
                <w:sz w:val="20"/>
                <w:szCs w:val="20"/>
              </w:rPr>
              <w:t>включая индивидуальный жилой дом в границах территории малоэтажного жилого комплекса</w:t>
            </w:r>
            <w:r w:rsidRPr="009C4568">
              <w:rPr>
                <w:rFonts w:ascii="Tahoma" w:hAnsi="Tahoma" w:cs="Tahoma"/>
                <w:sz w:val="20"/>
                <w:szCs w:val="20"/>
              </w:rPr>
              <w:t xml:space="preserve">, расположенного на территории Российской Федерации, </w:t>
            </w:r>
            <w:r w:rsidRPr="009C4568">
              <w:rPr>
                <w:rFonts w:ascii="Tahoma" w:hAnsi="Tahoma" w:cs="Tahoma"/>
                <w:b/>
                <w:sz w:val="20"/>
                <w:szCs w:val="20"/>
              </w:rPr>
              <w:t>по договору купли-продажи, заключенному с юридическим лицом</w:t>
            </w:r>
            <w:r w:rsidRPr="009C4568">
              <w:rPr>
                <w:rFonts w:ascii="Tahoma" w:hAnsi="Tahoma" w:cs="Tahoma"/>
                <w:sz w:val="20"/>
                <w:szCs w:val="20"/>
              </w:rPr>
              <w:t xml:space="preserve">, </w:t>
            </w:r>
            <w:r w:rsidRPr="009C4568">
              <w:rPr>
                <w:rFonts w:ascii="Tahoma" w:hAnsi="Tahoma" w:cs="Tahoma"/>
                <w:b/>
                <w:sz w:val="20"/>
                <w:szCs w:val="20"/>
              </w:rPr>
              <w:t>являющимся первым собственником</w:t>
            </w:r>
            <w:r w:rsidRPr="009C4568">
              <w:rPr>
                <w:rFonts w:ascii="Tahoma" w:hAnsi="Tahoma" w:cs="Tahoma"/>
                <w:sz w:val="20"/>
                <w:szCs w:val="20"/>
              </w:rPr>
              <w:t xml:space="preserve"> такого жилого дома </w:t>
            </w:r>
            <w:r w:rsidRPr="009C4568">
              <w:rPr>
                <w:rFonts w:ascii="Tahoma" w:hAnsi="Tahoma" w:cs="Tahoma"/>
                <w:b/>
                <w:sz w:val="20"/>
                <w:szCs w:val="20"/>
              </w:rPr>
              <w:t>и зарегистрировавшим право собственности на указанный жилой дом после получения таким юридическим лицом уведомлени</w:t>
            </w:r>
            <w:r w:rsidRPr="009C4568">
              <w:rPr>
                <w:rFonts w:ascii="Tahoma" w:hAnsi="Tahoma" w:cs="Tahoma"/>
                <w:sz w:val="20"/>
                <w:szCs w:val="20"/>
              </w:rPr>
              <w:t xml:space="preserve">я </w:t>
            </w:r>
            <w:r w:rsidRPr="009C4568">
              <w:rPr>
                <w:rFonts w:ascii="Tahoma" w:hAnsi="Tahoma" w:cs="Tahoma"/>
                <w:b/>
                <w:sz w:val="20"/>
                <w:szCs w:val="20"/>
              </w:rPr>
              <w:t>о соответствии</w:t>
            </w:r>
            <w:r w:rsidRPr="009C4568">
              <w:rPr>
                <w:rFonts w:ascii="Tahoma" w:hAnsi="Tahoma" w:cs="Tahoma"/>
                <w:sz w:val="20"/>
                <w:szCs w:val="20"/>
              </w:rPr>
              <w:t xml:space="preserve"> построенных или реконструированных объекта индивидуального жилищного строительства или садового дома </w:t>
            </w:r>
            <w:r w:rsidRPr="009C4568">
              <w:rPr>
                <w:rFonts w:ascii="Tahoma" w:hAnsi="Tahoma" w:cs="Tahoma"/>
                <w:b/>
                <w:sz w:val="20"/>
                <w:szCs w:val="20"/>
              </w:rPr>
              <w:t>требованиям законодательства</w:t>
            </w:r>
            <w:r w:rsidRPr="009C4568">
              <w:rPr>
                <w:rFonts w:ascii="Tahoma" w:hAnsi="Tahoma" w:cs="Tahoma"/>
                <w:sz w:val="20"/>
                <w:szCs w:val="20"/>
              </w:rPr>
              <w:t xml:space="preserve"> о градостроительной деятельности (получения разрешения на ввод соответствующего объекта недвижимости в эксплуатацию).</w:t>
            </w:r>
          </w:p>
          <w:p w14:paraId="2BD55763" w14:textId="77777777" w:rsidR="00951A61" w:rsidRPr="009C4568" w:rsidRDefault="00951A61" w:rsidP="00951A61">
            <w:pPr>
              <w:pStyle w:val="affe"/>
              <w:numPr>
                <w:ilvl w:val="1"/>
                <w:numId w:val="103"/>
              </w:numPr>
              <w:ind w:left="0" w:firstLine="425"/>
              <w:contextualSpacing/>
              <w:jc w:val="both"/>
              <w:rPr>
                <w:rFonts w:ascii="Tahoma" w:hAnsi="Tahoma" w:cs="Tahoma"/>
                <w:sz w:val="20"/>
                <w:szCs w:val="20"/>
              </w:rPr>
            </w:pPr>
            <w:r w:rsidRPr="009C4568">
              <w:rPr>
                <w:rFonts w:ascii="Tahoma" w:hAnsi="Tahoma" w:cs="Tahoma"/>
                <w:b/>
                <w:sz w:val="20"/>
                <w:szCs w:val="20"/>
              </w:rPr>
              <w:t>Приобретение</w:t>
            </w:r>
            <w:r w:rsidRPr="009C4568">
              <w:rPr>
                <w:rFonts w:ascii="Tahoma" w:hAnsi="Tahoma" w:cs="Tahoma"/>
                <w:sz w:val="20"/>
                <w:szCs w:val="20"/>
              </w:rPr>
              <w:t xml:space="preserve"> </w:t>
            </w:r>
            <w:r w:rsidRPr="009C4568">
              <w:rPr>
                <w:rFonts w:ascii="Tahoma" w:hAnsi="Tahoma" w:cs="Tahoma"/>
                <w:b/>
                <w:sz w:val="20"/>
                <w:szCs w:val="20"/>
              </w:rPr>
              <w:t>жилого помещения</w:t>
            </w:r>
            <w:r w:rsidRPr="009C4568">
              <w:rPr>
                <w:rFonts w:ascii="Tahoma" w:hAnsi="Tahoma" w:cs="Tahoma"/>
                <w:sz w:val="20"/>
                <w:szCs w:val="20"/>
              </w:rPr>
              <w:t xml:space="preserve"> в многоквартирном доме, в доме блокированной застройки, дома блокированной застройки, в том числе с земельным участком (</w:t>
            </w:r>
            <w:r w:rsidRPr="009C4568">
              <w:rPr>
                <w:rFonts w:ascii="Tahoma" w:hAnsi="Tahoma" w:cs="Tahoma"/>
                <w:b/>
                <w:sz w:val="20"/>
                <w:szCs w:val="20"/>
              </w:rPr>
              <w:t>квартиры в многоквартирном доме; таунхауса</w:t>
            </w:r>
            <w:r w:rsidRPr="009C4568">
              <w:rPr>
                <w:rFonts w:ascii="Tahoma" w:hAnsi="Tahoma" w:cs="Tahoma"/>
                <w:sz w:val="20"/>
                <w:szCs w:val="20"/>
              </w:rPr>
              <w:t xml:space="preserve">), </w:t>
            </w:r>
            <w:r w:rsidRPr="009C4568">
              <w:rPr>
                <w:rFonts w:ascii="Tahoma" w:hAnsi="Tahoma" w:cs="Tahoma"/>
                <w:b/>
                <w:sz w:val="20"/>
                <w:szCs w:val="20"/>
              </w:rPr>
              <w:t>расположенного</w:t>
            </w:r>
            <w:r w:rsidRPr="009C4568">
              <w:rPr>
                <w:rFonts w:ascii="Tahoma" w:hAnsi="Tahoma" w:cs="Tahoma"/>
                <w:sz w:val="20"/>
                <w:szCs w:val="20"/>
              </w:rPr>
              <w:t xml:space="preserve"> на территории Российской Федерации </w:t>
            </w:r>
            <w:r w:rsidRPr="009C4568">
              <w:rPr>
                <w:rFonts w:ascii="Tahoma" w:hAnsi="Tahoma" w:cs="Tahoma"/>
                <w:b/>
                <w:sz w:val="20"/>
                <w:szCs w:val="20"/>
              </w:rPr>
              <w:t>и входящего в состав имущества закрытого паевого инвестиционного фонда (далее – ЗПИФ)</w:t>
            </w:r>
            <w:r w:rsidRPr="009C4568">
              <w:rPr>
                <w:rFonts w:ascii="Tahoma" w:hAnsi="Tahoma" w:cs="Tahoma"/>
                <w:sz w:val="20"/>
                <w:szCs w:val="20"/>
              </w:rPr>
              <w:t xml:space="preserve">, </w:t>
            </w:r>
            <w:r w:rsidRPr="009C4568">
              <w:rPr>
                <w:rFonts w:ascii="Tahoma" w:hAnsi="Tahoma" w:cs="Tahoma"/>
                <w:b/>
                <w:sz w:val="20"/>
                <w:szCs w:val="20"/>
              </w:rPr>
              <w:t>владельцы инвестиционных паев которого являются первыми собственниками такого жилого помещения</w:t>
            </w:r>
            <w:r w:rsidRPr="009C4568">
              <w:rPr>
                <w:rFonts w:ascii="Tahoma" w:hAnsi="Tahoma" w:cs="Tahoma"/>
                <w:sz w:val="20"/>
                <w:szCs w:val="20"/>
              </w:rPr>
              <w:t xml:space="preserve">, дома блокированной застройки, </w:t>
            </w:r>
            <w:r w:rsidRPr="009C4568">
              <w:rPr>
                <w:rFonts w:ascii="Tahoma" w:hAnsi="Tahoma" w:cs="Tahoma"/>
                <w:b/>
                <w:sz w:val="20"/>
                <w:szCs w:val="20"/>
              </w:rPr>
              <w:t>право общей долевой собственности которых на указанные жилые помещения</w:t>
            </w:r>
            <w:r w:rsidRPr="009C4568">
              <w:rPr>
                <w:rFonts w:ascii="Tahoma" w:hAnsi="Tahoma" w:cs="Tahoma"/>
                <w:sz w:val="20"/>
                <w:szCs w:val="20"/>
              </w:rPr>
              <w:t xml:space="preserve">, дома блокированной застройки </w:t>
            </w:r>
            <w:r w:rsidRPr="009C4568">
              <w:rPr>
                <w:rFonts w:ascii="Tahoma" w:hAnsi="Tahoma" w:cs="Tahoma"/>
                <w:b/>
                <w:sz w:val="20"/>
                <w:szCs w:val="20"/>
              </w:rPr>
              <w:t>зарегистрировано после получения разрешения на ввод объекта недвижимости в эксплуатацию, по договорам купли-продажи</w:t>
            </w:r>
            <w:r w:rsidRPr="009C4568">
              <w:rPr>
                <w:rFonts w:ascii="Tahoma" w:hAnsi="Tahoma" w:cs="Tahoma"/>
                <w:sz w:val="20"/>
                <w:szCs w:val="20"/>
              </w:rPr>
              <w:t xml:space="preserve">, заключенным </w:t>
            </w:r>
            <w:r w:rsidRPr="009C4568">
              <w:rPr>
                <w:rFonts w:ascii="Tahoma" w:hAnsi="Tahoma" w:cs="Tahoma"/>
                <w:b/>
                <w:sz w:val="20"/>
                <w:szCs w:val="20"/>
              </w:rPr>
              <w:t>с управляющей компанией ЗПИФ</w:t>
            </w:r>
            <w:r w:rsidRPr="009C4568">
              <w:rPr>
                <w:rFonts w:ascii="Tahoma" w:hAnsi="Tahoma" w:cs="Tahoma"/>
                <w:sz w:val="20"/>
                <w:szCs w:val="20"/>
              </w:rPr>
              <w:t>, осуществляющей доверительное управление таким ЗПИФ.</w:t>
            </w:r>
          </w:p>
          <w:p w14:paraId="32864243" w14:textId="77777777" w:rsidR="00951A61" w:rsidRPr="009C4568" w:rsidRDefault="00951A61" w:rsidP="00951A61">
            <w:pPr>
              <w:pStyle w:val="affe"/>
              <w:numPr>
                <w:ilvl w:val="1"/>
                <w:numId w:val="103"/>
              </w:numPr>
              <w:ind w:left="0" w:firstLine="425"/>
              <w:contextualSpacing/>
              <w:jc w:val="both"/>
              <w:rPr>
                <w:rFonts w:ascii="Tahoma" w:hAnsi="Tahoma" w:cs="Tahoma"/>
                <w:sz w:val="20"/>
                <w:szCs w:val="20"/>
              </w:rPr>
            </w:pPr>
            <w:r w:rsidRPr="009C4568">
              <w:rPr>
                <w:rFonts w:ascii="Tahoma" w:hAnsi="Tahoma" w:cs="Tahoma"/>
                <w:b/>
                <w:sz w:val="20"/>
                <w:szCs w:val="20"/>
              </w:rPr>
              <w:t>Приобретение индивидуального жилого дома</w:t>
            </w:r>
            <w:r w:rsidRPr="009C4568">
              <w:rPr>
                <w:rFonts w:ascii="Tahoma" w:hAnsi="Tahoma" w:cs="Tahoma"/>
                <w:sz w:val="20"/>
                <w:szCs w:val="20"/>
              </w:rPr>
              <w:t xml:space="preserve">, в том числе </w:t>
            </w:r>
            <w:r w:rsidRPr="009C4568">
              <w:rPr>
                <w:rFonts w:ascii="Tahoma" w:hAnsi="Tahoma" w:cs="Tahoma"/>
                <w:b/>
                <w:sz w:val="20"/>
                <w:szCs w:val="20"/>
              </w:rPr>
              <w:t>с земельным участком</w:t>
            </w:r>
            <w:r w:rsidRPr="009C4568">
              <w:rPr>
                <w:rFonts w:ascii="Tahoma" w:hAnsi="Tahoma" w:cs="Tahoma"/>
                <w:sz w:val="20"/>
                <w:szCs w:val="20"/>
              </w:rPr>
              <w:t xml:space="preserve">, расположенного на территории Российской Федерации и </w:t>
            </w:r>
            <w:r w:rsidRPr="009C4568">
              <w:rPr>
                <w:rFonts w:ascii="Tahoma" w:hAnsi="Tahoma" w:cs="Tahoma"/>
                <w:b/>
                <w:sz w:val="20"/>
                <w:szCs w:val="20"/>
              </w:rPr>
              <w:t>входящего в состав имущества ЗПИФ</w:t>
            </w:r>
            <w:r w:rsidRPr="009C4568">
              <w:rPr>
                <w:rFonts w:ascii="Tahoma" w:hAnsi="Tahoma" w:cs="Tahoma"/>
                <w:sz w:val="20"/>
                <w:szCs w:val="20"/>
              </w:rPr>
              <w:t xml:space="preserve">, </w:t>
            </w:r>
            <w:r w:rsidRPr="009C4568">
              <w:rPr>
                <w:rFonts w:ascii="Tahoma" w:hAnsi="Tahoma" w:cs="Tahoma"/>
                <w:b/>
                <w:sz w:val="20"/>
                <w:szCs w:val="20"/>
              </w:rPr>
              <w:t>владельцы инвестиционных паев которого являются первыми собственниками такого жилого дома</w:t>
            </w:r>
            <w:r w:rsidRPr="009C4568">
              <w:rPr>
                <w:rFonts w:ascii="Tahoma" w:hAnsi="Tahoma" w:cs="Tahoma"/>
                <w:sz w:val="20"/>
                <w:szCs w:val="20"/>
              </w:rPr>
              <w:t xml:space="preserve">, в том числе </w:t>
            </w:r>
            <w:r w:rsidRPr="009C4568">
              <w:rPr>
                <w:rFonts w:ascii="Tahoma" w:hAnsi="Tahoma" w:cs="Tahoma"/>
                <w:b/>
                <w:sz w:val="20"/>
                <w:szCs w:val="20"/>
              </w:rPr>
              <w:t>с земельным участком</w:t>
            </w:r>
            <w:r w:rsidRPr="009C4568">
              <w:rPr>
                <w:rFonts w:ascii="Tahoma" w:hAnsi="Tahoma" w:cs="Tahoma"/>
                <w:sz w:val="20"/>
                <w:szCs w:val="20"/>
              </w:rPr>
              <w:t xml:space="preserve">, </w:t>
            </w:r>
            <w:r w:rsidRPr="009C4568">
              <w:rPr>
                <w:rFonts w:ascii="Tahoma" w:hAnsi="Tahoma" w:cs="Tahoma"/>
                <w:b/>
                <w:sz w:val="20"/>
                <w:szCs w:val="20"/>
              </w:rPr>
              <w:t xml:space="preserve">право общей долевой собственности которого </w:t>
            </w:r>
            <w:r w:rsidRPr="009C4568">
              <w:rPr>
                <w:rFonts w:ascii="Tahoma" w:hAnsi="Tahoma" w:cs="Tahoma"/>
                <w:sz w:val="20"/>
                <w:szCs w:val="20"/>
              </w:rPr>
              <w:t>на указанный жилой дом</w:t>
            </w:r>
            <w:r w:rsidRPr="009C4568">
              <w:rPr>
                <w:rFonts w:ascii="Tahoma" w:hAnsi="Tahoma" w:cs="Tahoma"/>
                <w:b/>
                <w:sz w:val="20"/>
                <w:szCs w:val="20"/>
              </w:rPr>
              <w:t xml:space="preserve"> зарегистрировано</w:t>
            </w:r>
            <w:r w:rsidRPr="009C4568">
              <w:rPr>
                <w:rFonts w:ascii="Tahoma" w:hAnsi="Tahoma" w:cs="Tahoma"/>
                <w:sz w:val="20"/>
                <w:szCs w:val="20"/>
              </w:rPr>
              <w:t xml:space="preserve"> </w:t>
            </w:r>
            <w:r w:rsidRPr="009C4568">
              <w:rPr>
                <w:rFonts w:ascii="Tahoma" w:hAnsi="Tahoma" w:cs="Tahoma"/>
                <w:b/>
                <w:sz w:val="20"/>
                <w:szCs w:val="20"/>
              </w:rPr>
              <w:t>после получения уведомления о соответствии построенного или реконструированного объекта индивидуального жилищного строительства требованиям законодательства о градостроительной деятельности, по договору купли-продажи</w:t>
            </w:r>
            <w:r w:rsidRPr="009C4568">
              <w:rPr>
                <w:rFonts w:ascii="Tahoma" w:hAnsi="Tahoma" w:cs="Tahoma"/>
                <w:sz w:val="20"/>
                <w:szCs w:val="20"/>
              </w:rPr>
              <w:t xml:space="preserve">, заключенным </w:t>
            </w:r>
            <w:r w:rsidRPr="009C4568">
              <w:rPr>
                <w:rFonts w:ascii="Tahoma" w:hAnsi="Tahoma" w:cs="Tahoma"/>
                <w:b/>
                <w:sz w:val="20"/>
                <w:szCs w:val="20"/>
              </w:rPr>
              <w:t>с управляющей компанией ЗПИФ</w:t>
            </w:r>
            <w:r w:rsidRPr="009C4568">
              <w:rPr>
                <w:rFonts w:ascii="Tahoma" w:hAnsi="Tahoma" w:cs="Tahoma"/>
                <w:sz w:val="20"/>
                <w:szCs w:val="20"/>
              </w:rPr>
              <w:t>, осуществляющей доверительное управление таким ЗПИФ.</w:t>
            </w:r>
          </w:p>
          <w:p w14:paraId="63A8E140" w14:textId="77777777" w:rsidR="00951A61" w:rsidRPr="009C4568" w:rsidRDefault="00951A61" w:rsidP="00951A61">
            <w:pPr>
              <w:pStyle w:val="affe"/>
              <w:numPr>
                <w:ilvl w:val="1"/>
                <w:numId w:val="103"/>
              </w:numPr>
              <w:ind w:left="0" w:firstLine="425"/>
              <w:contextualSpacing/>
              <w:jc w:val="both"/>
              <w:rPr>
                <w:rFonts w:ascii="Tahoma" w:hAnsi="Tahoma" w:cs="Tahoma"/>
                <w:sz w:val="20"/>
                <w:szCs w:val="20"/>
              </w:rPr>
            </w:pPr>
            <w:r w:rsidRPr="009C4568">
              <w:rPr>
                <w:rFonts w:ascii="Tahoma" w:hAnsi="Tahoma" w:cs="Tahoma"/>
                <w:b/>
                <w:sz w:val="20"/>
                <w:szCs w:val="20"/>
              </w:rPr>
              <w:t>Приобретение</w:t>
            </w:r>
            <w:r w:rsidRPr="009C4568">
              <w:rPr>
                <w:rFonts w:ascii="Tahoma" w:hAnsi="Tahoma" w:cs="Tahoma"/>
                <w:sz w:val="20"/>
                <w:szCs w:val="20"/>
              </w:rPr>
              <w:t xml:space="preserve"> </w:t>
            </w:r>
            <w:r w:rsidRPr="009C4568">
              <w:rPr>
                <w:rFonts w:ascii="Tahoma" w:hAnsi="Tahoma" w:cs="Tahoma"/>
                <w:b/>
                <w:sz w:val="20"/>
                <w:szCs w:val="20"/>
              </w:rPr>
              <w:t>жилого помещения</w:t>
            </w:r>
            <w:r w:rsidRPr="009C4568">
              <w:rPr>
                <w:rFonts w:ascii="Tahoma" w:hAnsi="Tahoma" w:cs="Tahoma"/>
                <w:sz w:val="20"/>
                <w:szCs w:val="20"/>
              </w:rPr>
              <w:t xml:space="preserve"> в многоквартирном доме, в доме блокированной застройки, дома блокированной застройки, в том числе с земельным участком (</w:t>
            </w:r>
            <w:r w:rsidRPr="009C4568">
              <w:rPr>
                <w:rFonts w:ascii="Tahoma" w:hAnsi="Tahoma" w:cs="Tahoma"/>
                <w:b/>
                <w:sz w:val="20"/>
                <w:szCs w:val="20"/>
              </w:rPr>
              <w:t>квартиры в многоквартирном доме; таунхауса</w:t>
            </w:r>
            <w:r w:rsidRPr="009C4568">
              <w:rPr>
                <w:rFonts w:ascii="Tahoma" w:hAnsi="Tahoma" w:cs="Tahoma"/>
                <w:sz w:val="20"/>
                <w:szCs w:val="20"/>
              </w:rPr>
              <w:t>), расположенного на территории Российской Федерации и</w:t>
            </w:r>
            <w:r w:rsidRPr="009C4568">
              <w:rPr>
                <w:rFonts w:ascii="Tahoma" w:hAnsi="Tahoma" w:cs="Tahoma"/>
                <w:b/>
                <w:sz w:val="20"/>
                <w:szCs w:val="20"/>
              </w:rPr>
              <w:t xml:space="preserve"> переданного публично-правовой компании "Фонд развития территорий" (далее - Фонд)</w:t>
            </w:r>
            <w:r w:rsidRPr="009C4568">
              <w:rPr>
                <w:rFonts w:ascii="Tahoma" w:hAnsi="Tahoma" w:cs="Tahoma"/>
                <w:sz w:val="20"/>
                <w:szCs w:val="20"/>
              </w:rPr>
              <w:t xml:space="preserve"> в соответствии со статьей 13.4 Федерального закона "О публично-правовой компании "Фонд развития территорий" и о внесении изменений в отдельные законодательные акты Российской Федерации", </w:t>
            </w:r>
            <w:r w:rsidRPr="009C4568">
              <w:rPr>
                <w:rFonts w:ascii="Tahoma" w:hAnsi="Tahoma" w:cs="Tahoma"/>
                <w:b/>
                <w:sz w:val="20"/>
                <w:szCs w:val="20"/>
              </w:rPr>
              <w:t>по договорам купли-продажи, заключенным с Фондом</w:t>
            </w:r>
            <w:r w:rsidRPr="009C4568">
              <w:rPr>
                <w:rFonts w:ascii="Tahoma" w:hAnsi="Tahoma" w:cs="Tahoma"/>
                <w:sz w:val="20"/>
                <w:szCs w:val="20"/>
              </w:rPr>
              <w:t>.</w:t>
            </w:r>
          </w:p>
          <w:p w14:paraId="60D63714" w14:textId="77777777" w:rsidR="00951A61" w:rsidRPr="009C4568" w:rsidRDefault="00951A61" w:rsidP="00951A61">
            <w:pPr>
              <w:pStyle w:val="affe"/>
              <w:numPr>
                <w:ilvl w:val="1"/>
                <w:numId w:val="103"/>
              </w:numPr>
              <w:ind w:left="0" w:firstLine="425"/>
              <w:contextualSpacing/>
              <w:jc w:val="both"/>
              <w:rPr>
                <w:rFonts w:ascii="Tahoma" w:hAnsi="Tahoma" w:cs="Tahoma"/>
                <w:sz w:val="20"/>
                <w:szCs w:val="20"/>
              </w:rPr>
            </w:pPr>
            <w:r w:rsidRPr="009C4568">
              <w:rPr>
                <w:rFonts w:ascii="Tahoma" w:hAnsi="Tahoma" w:cs="Tahoma"/>
                <w:b/>
                <w:sz w:val="20"/>
                <w:szCs w:val="20"/>
              </w:rPr>
              <w:t>Приобретение</w:t>
            </w:r>
            <w:r w:rsidRPr="009C4568">
              <w:rPr>
                <w:rFonts w:ascii="Tahoma" w:hAnsi="Tahoma" w:cs="Tahoma"/>
                <w:sz w:val="20"/>
                <w:szCs w:val="20"/>
              </w:rPr>
              <w:t xml:space="preserve"> жилого помещения в многоквартирном доме (</w:t>
            </w:r>
            <w:r w:rsidRPr="009C4568">
              <w:rPr>
                <w:rFonts w:ascii="Tahoma" w:hAnsi="Tahoma" w:cs="Tahoma"/>
                <w:b/>
                <w:sz w:val="20"/>
                <w:szCs w:val="20"/>
              </w:rPr>
              <w:t>квартиры</w:t>
            </w:r>
            <w:r w:rsidRPr="009C4568">
              <w:rPr>
                <w:rFonts w:ascii="Tahoma" w:hAnsi="Tahoma" w:cs="Tahoma"/>
                <w:sz w:val="20"/>
                <w:szCs w:val="20"/>
              </w:rPr>
              <w:t xml:space="preserve">), </w:t>
            </w:r>
            <w:r w:rsidRPr="009C4568">
              <w:rPr>
                <w:rFonts w:ascii="Tahoma" w:hAnsi="Tahoma" w:cs="Tahoma"/>
                <w:b/>
                <w:sz w:val="20"/>
                <w:szCs w:val="20"/>
              </w:rPr>
              <w:t>разрешение на ввод в эксплуатацию которого получено Московским фондом реновации жилой застройки (далее – Фонд реновации), по договорам купли-продажи, заключенным с Фондом реновации</w:t>
            </w:r>
            <w:r w:rsidRPr="009C4568">
              <w:rPr>
                <w:rFonts w:ascii="Tahoma" w:hAnsi="Tahoma" w:cs="Tahoma"/>
                <w:sz w:val="20"/>
                <w:szCs w:val="20"/>
              </w:rPr>
              <w:t>.</w:t>
            </w:r>
          </w:p>
          <w:p w14:paraId="150BEA83" w14:textId="77777777" w:rsidR="00951A61" w:rsidRPr="009C4568" w:rsidRDefault="00951A61" w:rsidP="00951A61">
            <w:pPr>
              <w:pStyle w:val="affe"/>
              <w:numPr>
                <w:ilvl w:val="1"/>
                <w:numId w:val="103"/>
              </w:numPr>
              <w:ind w:left="0" w:firstLine="425"/>
              <w:contextualSpacing/>
              <w:jc w:val="both"/>
              <w:rPr>
                <w:rFonts w:ascii="Tahoma" w:hAnsi="Tahoma" w:cs="Tahoma"/>
                <w:sz w:val="20"/>
                <w:szCs w:val="20"/>
              </w:rPr>
            </w:pPr>
            <w:r w:rsidRPr="009C4568">
              <w:rPr>
                <w:rFonts w:ascii="Tahoma" w:hAnsi="Tahoma" w:cs="Tahoma"/>
                <w:b/>
                <w:sz w:val="20"/>
                <w:szCs w:val="20"/>
              </w:rPr>
              <w:lastRenderedPageBreak/>
              <w:t>Погашение ранее выданного кредита</w:t>
            </w:r>
            <w:r w:rsidRPr="009C4568">
              <w:rPr>
                <w:rFonts w:ascii="Tahoma" w:hAnsi="Tahoma" w:cs="Tahoma"/>
                <w:sz w:val="20"/>
                <w:szCs w:val="20"/>
              </w:rPr>
              <w:t xml:space="preserve"> (займа) независимо от даты его выдачи на цели, указанные в пп. 1.1.–1.7.  настоящего пункта, в том числе кредита (займа), по которому ранее были изменены условия кредитного договора (кроме целей кредита (займа)) (</w:t>
            </w:r>
            <w:r w:rsidRPr="009C4568">
              <w:rPr>
                <w:rFonts w:ascii="Tahoma" w:hAnsi="Tahoma" w:cs="Tahoma"/>
                <w:b/>
                <w:sz w:val="20"/>
                <w:szCs w:val="20"/>
              </w:rPr>
              <w:t>первое рефинансирование</w:t>
            </w:r>
            <w:r w:rsidRPr="009C4568">
              <w:rPr>
                <w:rFonts w:ascii="Tahoma" w:hAnsi="Tahoma" w:cs="Tahoma"/>
                <w:sz w:val="20"/>
                <w:szCs w:val="20"/>
              </w:rPr>
              <w:t>)</w:t>
            </w:r>
            <w:r w:rsidRPr="009C4568">
              <w:rPr>
                <w:rStyle w:val="aff3"/>
                <w:rFonts w:ascii="Tahoma" w:hAnsi="Tahoma"/>
                <w:sz w:val="20"/>
                <w:szCs w:val="20"/>
              </w:rPr>
              <w:footnoteReference w:id="118"/>
            </w:r>
            <w:r w:rsidRPr="009C4568">
              <w:rPr>
                <w:rFonts w:ascii="Tahoma" w:hAnsi="Tahoma" w:cs="Tahoma"/>
                <w:sz w:val="20"/>
                <w:szCs w:val="20"/>
              </w:rPr>
              <w:t>.</w:t>
            </w:r>
          </w:p>
          <w:p w14:paraId="05305AD1" w14:textId="77777777" w:rsidR="00951A61" w:rsidRPr="009C4568" w:rsidRDefault="00951A61" w:rsidP="00951A61">
            <w:pPr>
              <w:pStyle w:val="affe"/>
              <w:numPr>
                <w:ilvl w:val="1"/>
                <w:numId w:val="103"/>
              </w:numPr>
              <w:ind w:left="0" w:firstLine="425"/>
              <w:contextualSpacing/>
              <w:jc w:val="both"/>
              <w:rPr>
                <w:rFonts w:ascii="Tahoma" w:hAnsi="Tahoma" w:cs="Tahoma"/>
                <w:sz w:val="20"/>
                <w:szCs w:val="20"/>
              </w:rPr>
            </w:pPr>
            <w:r w:rsidRPr="009C4568">
              <w:rPr>
                <w:rFonts w:ascii="Tahoma" w:hAnsi="Tahoma" w:cs="Tahoma"/>
                <w:b/>
                <w:sz w:val="20"/>
                <w:szCs w:val="20"/>
              </w:rPr>
              <w:t>Погашение ранее выданного кредита</w:t>
            </w:r>
            <w:r w:rsidRPr="009C4568">
              <w:rPr>
                <w:rFonts w:ascii="Tahoma" w:hAnsi="Tahoma" w:cs="Tahoma"/>
                <w:sz w:val="20"/>
                <w:szCs w:val="20"/>
              </w:rPr>
              <w:t xml:space="preserve"> (займа) независимо от даты его выдачи на цели, указанные в п. 1.8. настоящего раздела (</w:t>
            </w:r>
            <w:r w:rsidRPr="009C4568">
              <w:rPr>
                <w:rFonts w:ascii="Tahoma" w:hAnsi="Tahoma" w:cs="Tahoma"/>
                <w:b/>
                <w:sz w:val="20"/>
                <w:szCs w:val="20"/>
              </w:rPr>
              <w:t>последующее рефинансирование</w:t>
            </w:r>
            <w:r w:rsidRPr="009C4568">
              <w:rPr>
                <w:rFonts w:ascii="Tahoma" w:hAnsi="Tahoma" w:cs="Tahoma"/>
                <w:sz w:val="20"/>
                <w:szCs w:val="20"/>
              </w:rPr>
              <w:t>)</w:t>
            </w:r>
            <w:r w:rsidRPr="009C4568">
              <w:rPr>
                <w:rStyle w:val="aff3"/>
                <w:rFonts w:ascii="Tahoma" w:hAnsi="Tahoma"/>
                <w:sz w:val="20"/>
                <w:szCs w:val="20"/>
              </w:rPr>
              <w:t xml:space="preserve"> </w:t>
            </w:r>
            <w:r w:rsidRPr="009C4568">
              <w:rPr>
                <w:rStyle w:val="aff3"/>
                <w:rFonts w:ascii="Tahoma" w:hAnsi="Tahoma"/>
                <w:sz w:val="20"/>
                <w:szCs w:val="20"/>
              </w:rPr>
              <w:footnoteReference w:id="119"/>
            </w:r>
            <w:r w:rsidRPr="009C4568">
              <w:rPr>
                <w:rFonts w:ascii="Tahoma" w:hAnsi="Tahoma" w:cs="Tahoma"/>
                <w:sz w:val="20"/>
                <w:szCs w:val="20"/>
              </w:rPr>
              <w:t>.</w:t>
            </w:r>
          </w:p>
          <w:p w14:paraId="2B18B262" w14:textId="77777777" w:rsidR="00951A61" w:rsidRPr="009C4568" w:rsidRDefault="00951A61" w:rsidP="00A4032F">
            <w:pPr>
              <w:pStyle w:val="affe"/>
              <w:ind w:left="425"/>
              <w:jc w:val="both"/>
              <w:rPr>
                <w:rFonts w:ascii="Tahoma" w:hAnsi="Tahoma" w:cs="Tahoma"/>
                <w:sz w:val="20"/>
                <w:szCs w:val="20"/>
              </w:rPr>
            </w:pPr>
          </w:p>
          <w:p w14:paraId="6D8024C1" w14:textId="77777777" w:rsidR="00951A61" w:rsidRPr="009C4568" w:rsidRDefault="00951A61" w:rsidP="00951A61">
            <w:pPr>
              <w:pStyle w:val="affe"/>
              <w:numPr>
                <w:ilvl w:val="0"/>
                <w:numId w:val="103"/>
              </w:numPr>
              <w:ind w:left="0" w:firstLine="425"/>
              <w:contextualSpacing/>
              <w:jc w:val="both"/>
              <w:rPr>
                <w:rFonts w:ascii="Tahoma" w:hAnsi="Tahoma" w:cs="Tahoma"/>
                <w:sz w:val="20"/>
                <w:szCs w:val="20"/>
              </w:rPr>
            </w:pPr>
            <w:r w:rsidRPr="009C4568">
              <w:rPr>
                <w:rFonts w:ascii="Tahoma" w:hAnsi="Tahoma" w:cs="Tahoma"/>
                <w:b/>
                <w:i/>
                <w:color w:val="1F497D" w:themeColor="text2"/>
                <w:sz w:val="20"/>
                <w:szCs w:val="20"/>
                <w:u w:val="single"/>
              </w:rPr>
              <w:t>Для категории Заемщиков – целевых участников программы, указанных в п. 1.2.</w:t>
            </w:r>
            <w:r w:rsidRPr="009C4568">
              <w:rPr>
                <w:rFonts w:ascii="Tahoma" w:hAnsi="Tahoma" w:cs="Tahoma"/>
                <w:sz w:val="20"/>
                <w:szCs w:val="20"/>
              </w:rPr>
              <w:t xml:space="preserve"> раздела «Категория Заемщика/Требования к Заемщику, либо к солидарным Заемщикам (к одному из солидарных Заемщиков), которые установлены Банком и выполнение которых является обязательным для предоставления потребительского кредита»:</w:t>
            </w:r>
          </w:p>
          <w:p w14:paraId="680EE112" w14:textId="77777777" w:rsidR="00951A61" w:rsidRPr="009C4568" w:rsidRDefault="00951A61" w:rsidP="00951A61">
            <w:pPr>
              <w:pStyle w:val="affe"/>
              <w:numPr>
                <w:ilvl w:val="1"/>
                <w:numId w:val="103"/>
              </w:numPr>
              <w:ind w:left="0" w:firstLine="425"/>
              <w:contextualSpacing/>
              <w:jc w:val="both"/>
              <w:rPr>
                <w:rFonts w:ascii="Tahoma" w:hAnsi="Tahoma" w:cs="Tahoma"/>
                <w:sz w:val="20"/>
                <w:szCs w:val="20"/>
              </w:rPr>
            </w:pPr>
            <w:r w:rsidRPr="009C4568">
              <w:rPr>
                <w:rFonts w:ascii="Tahoma" w:hAnsi="Tahoma" w:cs="Tahoma"/>
                <w:b/>
                <w:sz w:val="20"/>
                <w:szCs w:val="20"/>
              </w:rPr>
              <w:t>Приобретение у юридического лица</w:t>
            </w:r>
            <w:r w:rsidRPr="009C4568">
              <w:rPr>
                <w:rFonts w:ascii="Tahoma" w:hAnsi="Tahoma" w:cs="Tahoma"/>
                <w:sz w:val="20"/>
                <w:szCs w:val="20"/>
              </w:rPr>
              <w:t xml:space="preserve">, находящегося </w:t>
            </w:r>
            <w:r w:rsidRPr="009C4568">
              <w:rPr>
                <w:rFonts w:ascii="Tahoma" w:hAnsi="Tahoma" w:cs="Tahoma"/>
                <w:b/>
                <w:sz w:val="20"/>
                <w:szCs w:val="20"/>
              </w:rPr>
              <w:t>на этапе строительства</w:t>
            </w:r>
            <w:r w:rsidRPr="009C4568">
              <w:rPr>
                <w:rFonts w:ascii="Tahoma" w:hAnsi="Tahoma" w:cs="Tahoma"/>
                <w:sz w:val="20"/>
                <w:szCs w:val="20"/>
              </w:rPr>
              <w:t xml:space="preserve"> жилого помещения в многоквартирном доме, в доме блокированной застройки, дома блокированной застройки, в том числе с земельными участком </w:t>
            </w:r>
            <w:r w:rsidRPr="009C4568">
              <w:rPr>
                <w:rFonts w:ascii="Tahoma" w:hAnsi="Tahoma" w:cs="Tahoma"/>
                <w:b/>
                <w:sz w:val="20"/>
                <w:szCs w:val="20"/>
              </w:rPr>
              <w:t>(квартиры в многоквартирном доме; таунхауса)</w:t>
            </w:r>
            <w:r w:rsidRPr="009C4568">
              <w:rPr>
                <w:rFonts w:ascii="Tahoma" w:hAnsi="Tahoma" w:cs="Tahoma"/>
                <w:sz w:val="20"/>
                <w:szCs w:val="20"/>
              </w:rPr>
              <w:t xml:space="preserve">, </w:t>
            </w:r>
            <w:r w:rsidRPr="009C4568">
              <w:rPr>
                <w:rFonts w:ascii="Tahoma" w:hAnsi="Tahoma" w:cs="Tahoma"/>
                <w:b/>
                <w:sz w:val="20"/>
                <w:szCs w:val="20"/>
              </w:rPr>
              <w:t>расположенного на территории обслуживания Банком и в том числе в пределах территории субъектов Российской Федерации, указанных в Приложении № 2</w:t>
            </w:r>
            <w:r w:rsidRPr="009C4568">
              <w:rPr>
                <w:rFonts w:ascii="Tahoma" w:hAnsi="Tahoma" w:cs="Tahoma"/>
                <w:sz w:val="20"/>
                <w:szCs w:val="20"/>
              </w:rPr>
              <w:t xml:space="preserve"> к настоящему документу или на территории населенного пункта, имеющего статус города в соответствии с нормативным правовым актом субъекта Российской Федерации, расположенного в границах субъектов Российской Федерации за исключением городов федерального значения Москва и Санкт-Петербург, Московской области и Ленинградской области и численность населения которого на начало календарного года, предшествовавшего году заключения кредитного договора, не превышала 50 тыс. человек в соответствии с официальной статистической информацией, сформированной федеральным органом исполнительной власти, осуществляющим функции по формированию официальной статистической информации о социальных, экономических, демографических, экологических и других общественных процессах в Российской Федерации, а также в порядке и случаях, установленных законодательством Российской Федерации, по контролю в сфере официального статистического учета (далее – </w:t>
            </w:r>
            <w:r w:rsidRPr="009C4568">
              <w:rPr>
                <w:rFonts w:ascii="Tahoma" w:hAnsi="Tahoma" w:cs="Tahoma"/>
                <w:b/>
                <w:sz w:val="20"/>
                <w:szCs w:val="20"/>
              </w:rPr>
              <w:t>малые населенные пункты</w:t>
            </w:r>
            <w:r w:rsidRPr="009C4568">
              <w:rPr>
                <w:rFonts w:ascii="Tahoma" w:hAnsi="Tahoma" w:cs="Tahoma"/>
                <w:sz w:val="20"/>
                <w:szCs w:val="20"/>
              </w:rPr>
              <w:t xml:space="preserve">), </w:t>
            </w:r>
            <w:r w:rsidRPr="009C4568">
              <w:rPr>
                <w:rFonts w:ascii="Tahoma" w:hAnsi="Tahoma" w:cs="Tahoma"/>
                <w:b/>
                <w:sz w:val="20"/>
                <w:szCs w:val="20"/>
              </w:rPr>
              <w:t>по договору участия в долевом строительстве</w:t>
            </w:r>
            <w:r w:rsidRPr="009C4568">
              <w:rPr>
                <w:rFonts w:ascii="Tahoma" w:hAnsi="Tahoma" w:cs="Tahoma"/>
                <w:sz w:val="20"/>
                <w:szCs w:val="20"/>
              </w:rPr>
              <w:t xml:space="preserve"> в соответствии с положениями Федерального закона "Об участии в долевом строительстве многоквартирных домов и иных объектов недвижимости и о внесении изменений в некоторые законодательные акты Российской Федерации.</w:t>
            </w:r>
          </w:p>
          <w:p w14:paraId="1DDD4B2E" w14:textId="77777777" w:rsidR="00951A61" w:rsidRPr="009C4568" w:rsidRDefault="00951A61" w:rsidP="00951A61">
            <w:pPr>
              <w:pStyle w:val="affe"/>
              <w:numPr>
                <w:ilvl w:val="1"/>
                <w:numId w:val="103"/>
              </w:numPr>
              <w:ind w:left="0" w:firstLine="425"/>
              <w:contextualSpacing/>
              <w:jc w:val="both"/>
              <w:rPr>
                <w:rFonts w:ascii="Tahoma" w:hAnsi="Tahoma" w:cs="Tahoma"/>
                <w:sz w:val="20"/>
                <w:szCs w:val="20"/>
              </w:rPr>
            </w:pPr>
            <w:r w:rsidRPr="009C4568">
              <w:rPr>
                <w:rFonts w:ascii="Tahoma" w:hAnsi="Tahoma" w:cs="Tahoma"/>
                <w:b/>
                <w:sz w:val="20"/>
                <w:szCs w:val="20"/>
              </w:rPr>
              <w:t>Приобретение</w:t>
            </w:r>
            <w:r w:rsidRPr="009C4568">
              <w:rPr>
                <w:rFonts w:ascii="Tahoma" w:hAnsi="Tahoma" w:cs="Tahoma"/>
                <w:sz w:val="20"/>
                <w:szCs w:val="20"/>
              </w:rPr>
              <w:t xml:space="preserve"> жилого помещения в многоквартирном доме, в доме блокированной застройки, дома блокированной застройки, в том числе с земельным участком (</w:t>
            </w:r>
            <w:r w:rsidRPr="009C4568">
              <w:rPr>
                <w:rFonts w:ascii="Tahoma" w:hAnsi="Tahoma" w:cs="Tahoma"/>
                <w:b/>
                <w:sz w:val="20"/>
                <w:szCs w:val="20"/>
              </w:rPr>
              <w:t>квартиры в многоквартирном доме; таунхауса</w:t>
            </w:r>
            <w:r w:rsidRPr="009C4568">
              <w:rPr>
                <w:rFonts w:ascii="Tahoma" w:hAnsi="Tahoma" w:cs="Tahoma"/>
                <w:sz w:val="20"/>
                <w:szCs w:val="20"/>
              </w:rPr>
              <w:t xml:space="preserve">), </w:t>
            </w:r>
            <w:r w:rsidRPr="009C4568">
              <w:rPr>
                <w:rFonts w:ascii="Tahoma" w:hAnsi="Tahoma" w:cs="Tahoma"/>
                <w:b/>
                <w:sz w:val="20"/>
                <w:szCs w:val="20"/>
              </w:rPr>
              <w:t>расположенных на территории обслуживания Банком и в том числе в пределах территории субъектов Российской Федерации, указанных в Приложении № 2 к настоящему документу или на территории малого населенного пункта, по договору купли-продажи</w:t>
            </w:r>
            <w:r w:rsidRPr="009C4568">
              <w:rPr>
                <w:rFonts w:ascii="Tahoma" w:hAnsi="Tahoma" w:cs="Tahoma"/>
                <w:sz w:val="20"/>
                <w:szCs w:val="20"/>
              </w:rPr>
              <w:t xml:space="preserve">, </w:t>
            </w:r>
            <w:r w:rsidRPr="009C4568">
              <w:rPr>
                <w:rFonts w:ascii="Tahoma" w:hAnsi="Tahoma" w:cs="Tahoma"/>
                <w:b/>
                <w:sz w:val="20"/>
                <w:szCs w:val="20"/>
              </w:rPr>
              <w:t>заключенному с индивидуальным предпринимателем</w:t>
            </w:r>
            <w:r w:rsidRPr="009C4568">
              <w:rPr>
                <w:rFonts w:ascii="Tahoma" w:hAnsi="Tahoma" w:cs="Tahoma"/>
                <w:sz w:val="20"/>
                <w:szCs w:val="20"/>
              </w:rPr>
              <w:t xml:space="preserve">, </w:t>
            </w:r>
            <w:r w:rsidRPr="009C4568">
              <w:rPr>
                <w:rFonts w:ascii="Tahoma" w:hAnsi="Tahoma" w:cs="Tahoma"/>
                <w:b/>
                <w:sz w:val="20"/>
                <w:szCs w:val="20"/>
              </w:rPr>
              <w:t>являющимся первым собственником</w:t>
            </w:r>
            <w:r w:rsidRPr="009C4568">
              <w:rPr>
                <w:rFonts w:ascii="Tahoma" w:hAnsi="Tahoma" w:cs="Tahoma"/>
                <w:sz w:val="20"/>
                <w:szCs w:val="20"/>
              </w:rPr>
              <w:t xml:space="preserve"> указанного жилого помещения, дома блокированной застройки </w:t>
            </w:r>
            <w:r w:rsidRPr="009C4568">
              <w:rPr>
                <w:rFonts w:ascii="Tahoma" w:hAnsi="Tahoma" w:cs="Tahoma"/>
                <w:b/>
                <w:sz w:val="20"/>
                <w:szCs w:val="20"/>
              </w:rPr>
              <w:t>и зарегистрировавшим право собственности</w:t>
            </w:r>
            <w:r w:rsidRPr="009C4568">
              <w:rPr>
                <w:rFonts w:ascii="Tahoma" w:hAnsi="Tahoma" w:cs="Tahoma"/>
                <w:sz w:val="20"/>
                <w:szCs w:val="20"/>
              </w:rPr>
              <w:t xml:space="preserve"> на указанное жилое помещение, дом блокированной застройки </w:t>
            </w:r>
            <w:r w:rsidRPr="009C4568">
              <w:rPr>
                <w:rFonts w:ascii="Tahoma" w:hAnsi="Tahoma" w:cs="Tahoma"/>
                <w:b/>
                <w:sz w:val="20"/>
                <w:szCs w:val="20"/>
              </w:rPr>
              <w:t>после</w:t>
            </w:r>
            <w:r w:rsidRPr="009C4568">
              <w:rPr>
                <w:rFonts w:ascii="Tahoma" w:hAnsi="Tahoma" w:cs="Tahoma"/>
                <w:sz w:val="20"/>
                <w:szCs w:val="20"/>
              </w:rPr>
              <w:t xml:space="preserve"> </w:t>
            </w:r>
            <w:r w:rsidRPr="009C4568">
              <w:rPr>
                <w:rFonts w:ascii="Tahoma" w:hAnsi="Tahoma" w:cs="Tahoma"/>
                <w:b/>
                <w:sz w:val="20"/>
                <w:szCs w:val="20"/>
              </w:rPr>
              <w:t>получения таким индивидуальным предпринимателем разрешения на ввод соответствующего объекта недвижимости в эксплуатацию и построившим (создавшим)</w:t>
            </w:r>
            <w:r w:rsidRPr="009C4568">
              <w:rPr>
                <w:rFonts w:ascii="Tahoma" w:hAnsi="Tahoma" w:cs="Tahoma"/>
                <w:sz w:val="20"/>
                <w:szCs w:val="20"/>
              </w:rPr>
              <w:t xml:space="preserve"> </w:t>
            </w:r>
            <w:r w:rsidRPr="009C4568">
              <w:rPr>
                <w:rFonts w:ascii="Tahoma" w:hAnsi="Tahoma" w:cs="Tahoma"/>
                <w:b/>
                <w:sz w:val="20"/>
                <w:szCs w:val="20"/>
              </w:rPr>
              <w:t>указанное жилое помещение</w:t>
            </w:r>
            <w:r w:rsidRPr="009C4568">
              <w:rPr>
                <w:rFonts w:ascii="Tahoma" w:hAnsi="Tahoma" w:cs="Tahoma"/>
                <w:sz w:val="20"/>
                <w:szCs w:val="20"/>
              </w:rPr>
              <w:t xml:space="preserve">, дом блокированной застройки в связи с осуществлением им предпринимательской деятельности по строительству в соответствии с содержащимся в составе сведений о таких индивидуальных предпринимателях в едином государственном реестре индивидуальных предпринимателей кодом вида (кодами видов) экономической деятельности по </w:t>
            </w:r>
            <w:r w:rsidRPr="009C4568">
              <w:rPr>
                <w:rFonts w:ascii="Tahoma" w:hAnsi="Tahoma" w:cs="Tahoma"/>
                <w:sz w:val="20"/>
                <w:szCs w:val="20"/>
              </w:rPr>
              <w:lastRenderedPageBreak/>
              <w:t xml:space="preserve">Общероссийскому классификатору видов экономической деятельности, </w:t>
            </w:r>
            <w:r w:rsidRPr="009C4568">
              <w:rPr>
                <w:rFonts w:ascii="Tahoma" w:hAnsi="Tahoma" w:cs="Tahoma"/>
                <w:b/>
                <w:sz w:val="20"/>
                <w:szCs w:val="20"/>
              </w:rPr>
              <w:t>или с юридическим лицом, являющимся первым собственником указанного жилого помещения</w:t>
            </w:r>
            <w:r w:rsidRPr="009C4568">
              <w:rPr>
                <w:rFonts w:ascii="Tahoma" w:hAnsi="Tahoma" w:cs="Tahoma"/>
                <w:sz w:val="20"/>
                <w:szCs w:val="20"/>
              </w:rPr>
              <w:t xml:space="preserve">, дома блокированной застройки </w:t>
            </w:r>
            <w:r w:rsidRPr="009C4568">
              <w:rPr>
                <w:rFonts w:ascii="Tahoma" w:hAnsi="Tahoma" w:cs="Tahoma"/>
                <w:b/>
                <w:sz w:val="20"/>
                <w:szCs w:val="20"/>
              </w:rPr>
              <w:t>и зарегистрировавшим право собственности на указанное жилое помещение</w:t>
            </w:r>
            <w:r w:rsidRPr="009C4568">
              <w:rPr>
                <w:rFonts w:ascii="Tahoma" w:hAnsi="Tahoma" w:cs="Tahoma"/>
                <w:sz w:val="20"/>
                <w:szCs w:val="20"/>
              </w:rPr>
              <w:t xml:space="preserve">, дом блокированной застройки </w:t>
            </w:r>
            <w:r w:rsidRPr="009C4568">
              <w:rPr>
                <w:rFonts w:ascii="Tahoma" w:hAnsi="Tahoma" w:cs="Tahoma"/>
                <w:b/>
                <w:sz w:val="20"/>
                <w:szCs w:val="20"/>
              </w:rPr>
              <w:t>после получения таким юридическим лицом разрешения на ввод соответствующего объекта недвижимости в эксплуатацию</w:t>
            </w:r>
            <w:r w:rsidRPr="009C4568">
              <w:rPr>
                <w:rFonts w:ascii="Tahoma" w:hAnsi="Tahoma" w:cs="Tahoma"/>
                <w:sz w:val="20"/>
                <w:szCs w:val="20"/>
              </w:rPr>
              <w:t>.</w:t>
            </w:r>
          </w:p>
          <w:p w14:paraId="4D99DCCE" w14:textId="77777777" w:rsidR="00951A61" w:rsidRPr="009C4568" w:rsidRDefault="00951A61" w:rsidP="00951A61">
            <w:pPr>
              <w:pStyle w:val="affe"/>
              <w:numPr>
                <w:ilvl w:val="1"/>
                <w:numId w:val="103"/>
              </w:numPr>
              <w:ind w:left="0" w:firstLine="425"/>
              <w:contextualSpacing/>
              <w:jc w:val="both"/>
              <w:rPr>
                <w:rFonts w:ascii="Tahoma" w:hAnsi="Tahoma" w:cs="Tahoma"/>
                <w:sz w:val="20"/>
                <w:szCs w:val="20"/>
              </w:rPr>
            </w:pPr>
            <w:r w:rsidRPr="009C4568">
              <w:rPr>
                <w:rFonts w:ascii="Tahoma" w:hAnsi="Tahoma" w:cs="Tahoma"/>
                <w:b/>
                <w:sz w:val="20"/>
                <w:szCs w:val="20"/>
              </w:rPr>
              <w:t xml:space="preserve">Приобретение </w:t>
            </w:r>
            <w:r w:rsidRPr="009C4568">
              <w:rPr>
                <w:rFonts w:ascii="Tahoma" w:hAnsi="Tahoma" w:cs="Tahoma"/>
                <w:sz w:val="20"/>
                <w:szCs w:val="20"/>
              </w:rPr>
              <w:t xml:space="preserve">индивидуального </w:t>
            </w:r>
            <w:r w:rsidRPr="009C4568">
              <w:rPr>
                <w:rFonts w:ascii="Tahoma" w:hAnsi="Tahoma" w:cs="Tahoma"/>
                <w:b/>
                <w:sz w:val="20"/>
                <w:szCs w:val="20"/>
              </w:rPr>
              <w:t>жилого дома</w:t>
            </w:r>
            <w:r w:rsidRPr="009C4568">
              <w:rPr>
                <w:rFonts w:ascii="Tahoma" w:hAnsi="Tahoma" w:cs="Tahoma"/>
                <w:sz w:val="20"/>
                <w:szCs w:val="20"/>
              </w:rPr>
              <w:t xml:space="preserve">, в том числе </w:t>
            </w:r>
            <w:r w:rsidRPr="009C4568">
              <w:rPr>
                <w:rFonts w:ascii="Tahoma" w:hAnsi="Tahoma" w:cs="Tahoma"/>
                <w:b/>
                <w:sz w:val="20"/>
                <w:szCs w:val="20"/>
              </w:rPr>
              <w:t>с земельным участком</w:t>
            </w:r>
            <w:r w:rsidRPr="009C4568">
              <w:rPr>
                <w:rFonts w:ascii="Tahoma" w:hAnsi="Tahoma" w:cs="Tahoma"/>
                <w:sz w:val="20"/>
                <w:szCs w:val="20"/>
              </w:rPr>
              <w:t xml:space="preserve">, </w:t>
            </w:r>
            <w:r w:rsidRPr="009C4568">
              <w:rPr>
                <w:rFonts w:ascii="Tahoma" w:hAnsi="Tahoma" w:cs="Tahoma"/>
                <w:b/>
                <w:sz w:val="20"/>
                <w:szCs w:val="20"/>
              </w:rPr>
              <w:t>по договору купли-продажи, заключенным с индивидуальным предпринимателем, являющимся первым собственником такого дома, зарегистрировавшим право собственности на указанный жилой дом</w:t>
            </w:r>
            <w:r w:rsidRPr="009C4568">
              <w:rPr>
                <w:rFonts w:ascii="Tahoma" w:hAnsi="Tahoma" w:cs="Tahoma"/>
                <w:sz w:val="20"/>
                <w:szCs w:val="20"/>
              </w:rPr>
              <w:t xml:space="preserve"> </w:t>
            </w:r>
            <w:r w:rsidRPr="009C4568">
              <w:rPr>
                <w:rFonts w:ascii="Tahoma" w:hAnsi="Tahoma" w:cs="Tahoma"/>
                <w:b/>
                <w:sz w:val="20"/>
                <w:szCs w:val="20"/>
              </w:rPr>
              <w:t>после получения</w:t>
            </w:r>
            <w:r w:rsidRPr="009C4568">
              <w:rPr>
                <w:rFonts w:ascii="Tahoma" w:hAnsi="Tahoma" w:cs="Tahoma"/>
                <w:sz w:val="20"/>
                <w:szCs w:val="20"/>
              </w:rPr>
              <w:t xml:space="preserve"> таким индивидуальным предпринимателем </w:t>
            </w:r>
            <w:r w:rsidRPr="009C4568">
              <w:rPr>
                <w:rFonts w:ascii="Tahoma" w:hAnsi="Tahoma" w:cs="Tahoma"/>
                <w:b/>
                <w:sz w:val="20"/>
                <w:szCs w:val="20"/>
              </w:rPr>
              <w:t>уведомления о соответствии</w:t>
            </w:r>
            <w:r w:rsidRPr="009C4568">
              <w:rPr>
                <w:rFonts w:ascii="Tahoma" w:hAnsi="Tahoma" w:cs="Tahoma"/>
                <w:sz w:val="20"/>
                <w:szCs w:val="20"/>
              </w:rPr>
              <w:t xml:space="preserve"> построенного или реконструированного </w:t>
            </w:r>
            <w:r w:rsidRPr="009C4568">
              <w:rPr>
                <w:rFonts w:ascii="Tahoma" w:hAnsi="Tahoma" w:cs="Tahoma"/>
                <w:b/>
                <w:sz w:val="20"/>
                <w:szCs w:val="20"/>
              </w:rPr>
              <w:t xml:space="preserve">объекта </w:t>
            </w:r>
            <w:r w:rsidRPr="009C4568">
              <w:rPr>
                <w:rFonts w:ascii="Tahoma" w:hAnsi="Tahoma" w:cs="Tahoma"/>
                <w:sz w:val="20"/>
                <w:szCs w:val="20"/>
              </w:rPr>
              <w:t xml:space="preserve">индивидуального жилищного строительства </w:t>
            </w:r>
            <w:r w:rsidRPr="009C4568">
              <w:rPr>
                <w:rFonts w:ascii="Tahoma" w:hAnsi="Tahoma" w:cs="Tahoma"/>
                <w:b/>
                <w:sz w:val="20"/>
                <w:szCs w:val="20"/>
              </w:rPr>
              <w:t xml:space="preserve">требованиям законодательства </w:t>
            </w:r>
            <w:r w:rsidRPr="009C4568">
              <w:rPr>
                <w:rFonts w:ascii="Tahoma" w:hAnsi="Tahoma" w:cs="Tahoma"/>
                <w:sz w:val="20"/>
                <w:szCs w:val="20"/>
              </w:rPr>
              <w:t xml:space="preserve">о градостроительной деятельности </w:t>
            </w:r>
            <w:r w:rsidRPr="009C4568">
              <w:rPr>
                <w:rFonts w:ascii="Tahoma" w:hAnsi="Tahoma" w:cs="Tahoma"/>
                <w:b/>
                <w:sz w:val="20"/>
                <w:szCs w:val="20"/>
              </w:rPr>
              <w:t xml:space="preserve">и построившим </w:t>
            </w:r>
            <w:r w:rsidRPr="009C4568">
              <w:rPr>
                <w:rFonts w:ascii="Tahoma" w:hAnsi="Tahoma" w:cs="Tahoma"/>
                <w:sz w:val="20"/>
                <w:szCs w:val="20"/>
              </w:rPr>
              <w:t xml:space="preserve">(создавшим) </w:t>
            </w:r>
            <w:r w:rsidRPr="009C4568">
              <w:rPr>
                <w:rFonts w:ascii="Tahoma" w:hAnsi="Tahoma" w:cs="Tahoma"/>
                <w:b/>
                <w:sz w:val="20"/>
                <w:szCs w:val="20"/>
              </w:rPr>
              <w:t xml:space="preserve">указанный жилой дом </w:t>
            </w:r>
            <w:r w:rsidRPr="009C4568">
              <w:rPr>
                <w:rFonts w:ascii="Tahoma" w:hAnsi="Tahoma" w:cs="Tahoma"/>
                <w:sz w:val="20"/>
                <w:szCs w:val="20"/>
              </w:rPr>
              <w:t xml:space="preserve">в связи с осуществлением им предпринимательской деятельности по строительству в соответствии с содержащимся в составе сведений о таком индивидуальном предпринимателе в едином государственном реестре индивидуальных предпринимателей кодом вида (кодами видов) экономической деятельности по Общероссийскому классификатору видов экономической деятельности, </w:t>
            </w:r>
            <w:r w:rsidRPr="009C4568">
              <w:rPr>
                <w:rFonts w:ascii="Tahoma" w:hAnsi="Tahoma" w:cs="Tahoma"/>
                <w:b/>
                <w:sz w:val="20"/>
                <w:szCs w:val="20"/>
              </w:rPr>
              <w:t>или для приобретения</w:t>
            </w:r>
            <w:r w:rsidRPr="009C4568">
              <w:rPr>
                <w:rFonts w:ascii="Tahoma" w:hAnsi="Tahoma" w:cs="Tahoma"/>
                <w:sz w:val="20"/>
                <w:szCs w:val="20"/>
              </w:rPr>
              <w:t xml:space="preserve"> индивидуального жилого дома, в том числе с земельным участком, включая индивидуальный жилой дом в границах территорий малоэтажных жилых комплексов, </w:t>
            </w:r>
            <w:r w:rsidRPr="009C4568">
              <w:rPr>
                <w:rFonts w:ascii="Tahoma" w:hAnsi="Tahoma" w:cs="Tahoma"/>
                <w:b/>
                <w:sz w:val="20"/>
                <w:szCs w:val="20"/>
              </w:rPr>
              <w:t>по договору купли-продажи, заключенным с юридическим лицом, являющимся первым собственником такого жилого дома и зарегистрировавшим право собственности на указанный жилой дом</w:t>
            </w:r>
            <w:r w:rsidRPr="009C4568">
              <w:rPr>
                <w:rFonts w:ascii="Tahoma" w:hAnsi="Tahoma" w:cs="Tahoma"/>
                <w:sz w:val="20"/>
                <w:szCs w:val="20"/>
              </w:rPr>
              <w:t xml:space="preserve"> </w:t>
            </w:r>
            <w:r w:rsidRPr="009C4568">
              <w:rPr>
                <w:rFonts w:ascii="Tahoma" w:hAnsi="Tahoma" w:cs="Tahoma"/>
                <w:b/>
                <w:sz w:val="20"/>
                <w:szCs w:val="20"/>
              </w:rPr>
              <w:t>после получения</w:t>
            </w:r>
            <w:r w:rsidRPr="009C4568">
              <w:rPr>
                <w:rFonts w:ascii="Tahoma" w:hAnsi="Tahoma" w:cs="Tahoma"/>
                <w:sz w:val="20"/>
                <w:szCs w:val="20"/>
              </w:rPr>
              <w:t xml:space="preserve"> таким </w:t>
            </w:r>
            <w:r w:rsidRPr="009C4568">
              <w:rPr>
                <w:rFonts w:ascii="Tahoma" w:hAnsi="Tahoma" w:cs="Tahoma"/>
                <w:b/>
                <w:sz w:val="20"/>
                <w:szCs w:val="20"/>
              </w:rPr>
              <w:t>юридическим лицом уведомления о соответствии</w:t>
            </w:r>
            <w:r w:rsidRPr="009C4568">
              <w:rPr>
                <w:rFonts w:ascii="Tahoma" w:hAnsi="Tahoma" w:cs="Tahoma"/>
                <w:sz w:val="20"/>
                <w:szCs w:val="20"/>
              </w:rPr>
              <w:t xml:space="preserve"> построенного или реконструированного </w:t>
            </w:r>
            <w:r w:rsidRPr="009C4568">
              <w:rPr>
                <w:rFonts w:ascii="Tahoma" w:hAnsi="Tahoma" w:cs="Tahoma"/>
                <w:b/>
                <w:sz w:val="20"/>
                <w:szCs w:val="20"/>
              </w:rPr>
              <w:t>объекта</w:t>
            </w:r>
            <w:r w:rsidRPr="009C4568">
              <w:rPr>
                <w:rFonts w:ascii="Tahoma" w:hAnsi="Tahoma" w:cs="Tahoma"/>
                <w:sz w:val="20"/>
                <w:szCs w:val="20"/>
              </w:rPr>
              <w:t xml:space="preserve"> индивидуального жилищного строительства </w:t>
            </w:r>
            <w:r w:rsidRPr="009C4568">
              <w:rPr>
                <w:rFonts w:ascii="Tahoma" w:hAnsi="Tahoma" w:cs="Tahoma"/>
                <w:b/>
                <w:sz w:val="20"/>
                <w:szCs w:val="20"/>
              </w:rPr>
              <w:t>требованиям законодательства</w:t>
            </w:r>
            <w:r w:rsidRPr="009C4568">
              <w:rPr>
                <w:rFonts w:ascii="Tahoma" w:hAnsi="Tahoma" w:cs="Tahoma"/>
                <w:sz w:val="20"/>
                <w:szCs w:val="20"/>
              </w:rPr>
              <w:t xml:space="preserve"> о градостроительной деятельности (разрешения на ввод соответствующего объекта недвижимости в эксплуатацию).</w:t>
            </w:r>
          </w:p>
          <w:p w14:paraId="22B8B469" w14:textId="77777777" w:rsidR="00951A61" w:rsidRPr="009C4568" w:rsidRDefault="00951A61" w:rsidP="00951A61">
            <w:pPr>
              <w:pStyle w:val="affe"/>
              <w:numPr>
                <w:ilvl w:val="1"/>
                <w:numId w:val="103"/>
              </w:numPr>
              <w:ind w:left="0" w:firstLine="425"/>
              <w:contextualSpacing/>
              <w:jc w:val="both"/>
              <w:rPr>
                <w:rFonts w:ascii="Tahoma" w:hAnsi="Tahoma" w:cs="Tahoma"/>
                <w:sz w:val="20"/>
                <w:szCs w:val="20"/>
              </w:rPr>
            </w:pPr>
            <w:r w:rsidRPr="009C4568">
              <w:rPr>
                <w:rFonts w:ascii="Tahoma" w:hAnsi="Tahoma" w:cs="Tahoma"/>
                <w:b/>
                <w:sz w:val="20"/>
                <w:szCs w:val="20"/>
              </w:rPr>
              <w:t>Приобретение</w:t>
            </w:r>
            <w:r w:rsidRPr="009C4568">
              <w:rPr>
                <w:rFonts w:ascii="Tahoma" w:hAnsi="Tahoma" w:cs="Tahoma"/>
                <w:sz w:val="20"/>
                <w:szCs w:val="20"/>
              </w:rPr>
              <w:t xml:space="preserve"> жилого помещения в многоквартирном доме, в доме блокированной застройки, дома блокированной застройки, в том числе с земельным участком (</w:t>
            </w:r>
            <w:r w:rsidRPr="009C4568">
              <w:rPr>
                <w:rFonts w:ascii="Tahoma" w:hAnsi="Tahoma" w:cs="Tahoma"/>
                <w:b/>
                <w:sz w:val="20"/>
                <w:szCs w:val="20"/>
              </w:rPr>
              <w:t>квартиры в многоквартирном доме; таунхауса</w:t>
            </w:r>
            <w:r w:rsidRPr="009C4568">
              <w:rPr>
                <w:rFonts w:ascii="Tahoma" w:hAnsi="Tahoma" w:cs="Tahoma"/>
                <w:sz w:val="20"/>
                <w:szCs w:val="20"/>
              </w:rPr>
              <w:t xml:space="preserve">), </w:t>
            </w:r>
            <w:r w:rsidRPr="009C4568">
              <w:rPr>
                <w:rFonts w:ascii="Tahoma" w:hAnsi="Tahoma" w:cs="Tahoma"/>
                <w:b/>
                <w:sz w:val="20"/>
                <w:szCs w:val="20"/>
              </w:rPr>
              <w:t>расположенного на территории обслуживания Банком и в том числе в пределах территории субъектов Российской Федерации, указанных в Приложении № 2 к настоящему документу или на территории малого населенного пункта</w:t>
            </w:r>
            <w:r w:rsidRPr="009C4568">
              <w:rPr>
                <w:rFonts w:ascii="Tahoma" w:hAnsi="Tahoma" w:cs="Tahoma"/>
                <w:sz w:val="20"/>
                <w:szCs w:val="20"/>
              </w:rPr>
              <w:t xml:space="preserve">, и </w:t>
            </w:r>
            <w:r w:rsidRPr="009C4568">
              <w:rPr>
                <w:rFonts w:ascii="Tahoma" w:hAnsi="Tahoma" w:cs="Tahoma"/>
                <w:b/>
                <w:sz w:val="20"/>
                <w:szCs w:val="20"/>
              </w:rPr>
              <w:t>входящих в состав имущества ЗПИФ</w:t>
            </w:r>
            <w:r w:rsidRPr="009C4568">
              <w:rPr>
                <w:rFonts w:ascii="Tahoma" w:hAnsi="Tahoma" w:cs="Tahoma"/>
                <w:sz w:val="20"/>
                <w:szCs w:val="20"/>
              </w:rPr>
              <w:t xml:space="preserve">, владельцы инвестиционных паев которого являются первым собственником такого жилого помещения, дома блокированной застройки, </w:t>
            </w:r>
            <w:r w:rsidRPr="009C4568">
              <w:rPr>
                <w:rFonts w:ascii="Tahoma" w:hAnsi="Tahoma" w:cs="Tahoma"/>
                <w:b/>
                <w:sz w:val="20"/>
                <w:szCs w:val="20"/>
              </w:rPr>
              <w:t>право общей долевой собственности</w:t>
            </w:r>
            <w:r w:rsidRPr="009C4568">
              <w:rPr>
                <w:rFonts w:ascii="Tahoma" w:hAnsi="Tahoma" w:cs="Tahoma"/>
                <w:sz w:val="20"/>
                <w:szCs w:val="20"/>
              </w:rPr>
              <w:t xml:space="preserve"> которых на указанное жилое помещение, дом блокированной застройки </w:t>
            </w:r>
            <w:r w:rsidRPr="009C4568">
              <w:rPr>
                <w:rFonts w:ascii="Tahoma" w:hAnsi="Tahoma" w:cs="Tahoma"/>
                <w:b/>
                <w:sz w:val="20"/>
                <w:szCs w:val="20"/>
              </w:rPr>
              <w:t>зарегистрировано после получения разрешения на ввод объекта недвижимости в эксплуатацию, по договору купли-продажи, заключенному с управляющей компанией ЗПИФ</w:t>
            </w:r>
            <w:r w:rsidRPr="009C4568">
              <w:rPr>
                <w:rFonts w:ascii="Tahoma" w:hAnsi="Tahoma" w:cs="Tahoma"/>
                <w:sz w:val="20"/>
                <w:szCs w:val="20"/>
              </w:rPr>
              <w:t>, осуществляющей доверительное управление таким ЗПИФ.</w:t>
            </w:r>
          </w:p>
          <w:p w14:paraId="22EDF75D" w14:textId="77777777" w:rsidR="00951A61" w:rsidRPr="009C4568" w:rsidRDefault="00951A61" w:rsidP="00951A61">
            <w:pPr>
              <w:pStyle w:val="affe"/>
              <w:numPr>
                <w:ilvl w:val="1"/>
                <w:numId w:val="103"/>
              </w:numPr>
              <w:ind w:left="0" w:firstLine="425"/>
              <w:contextualSpacing/>
              <w:jc w:val="both"/>
              <w:rPr>
                <w:rFonts w:ascii="Tahoma" w:hAnsi="Tahoma" w:cs="Tahoma"/>
                <w:sz w:val="20"/>
                <w:szCs w:val="20"/>
              </w:rPr>
            </w:pPr>
            <w:r w:rsidRPr="009C4568">
              <w:rPr>
                <w:rFonts w:ascii="Tahoma" w:hAnsi="Tahoma" w:cs="Tahoma"/>
                <w:b/>
                <w:sz w:val="20"/>
                <w:szCs w:val="20"/>
              </w:rPr>
              <w:t>Приобретение</w:t>
            </w:r>
            <w:r w:rsidRPr="009C4568">
              <w:rPr>
                <w:rFonts w:ascii="Tahoma" w:hAnsi="Tahoma" w:cs="Tahoma"/>
                <w:sz w:val="20"/>
                <w:szCs w:val="20"/>
              </w:rPr>
              <w:t xml:space="preserve"> индивидуального </w:t>
            </w:r>
            <w:r w:rsidRPr="009C4568">
              <w:rPr>
                <w:rFonts w:ascii="Tahoma" w:hAnsi="Tahoma" w:cs="Tahoma"/>
                <w:b/>
                <w:sz w:val="20"/>
                <w:szCs w:val="20"/>
              </w:rPr>
              <w:t>жилого дома</w:t>
            </w:r>
            <w:r w:rsidRPr="009C4568">
              <w:rPr>
                <w:rFonts w:ascii="Tahoma" w:hAnsi="Tahoma" w:cs="Tahoma"/>
                <w:sz w:val="20"/>
                <w:szCs w:val="20"/>
              </w:rPr>
              <w:t xml:space="preserve">, в том числе </w:t>
            </w:r>
            <w:r w:rsidRPr="009C4568">
              <w:rPr>
                <w:rFonts w:ascii="Tahoma" w:hAnsi="Tahoma" w:cs="Tahoma"/>
                <w:b/>
                <w:sz w:val="20"/>
                <w:szCs w:val="20"/>
              </w:rPr>
              <w:t>с земельным участком</w:t>
            </w:r>
            <w:r w:rsidRPr="009C4568">
              <w:rPr>
                <w:rFonts w:ascii="Tahoma" w:hAnsi="Tahoma" w:cs="Tahoma"/>
                <w:sz w:val="20"/>
                <w:szCs w:val="20"/>
              </w:rPr>
              <w:t xml:space="preserve">, </w:t>
            </w:r>
            <w:r w:rsidRPr="009C4568">
              <w:rPr>
                <w:rFonts w:ascii="Tahoma" w:hAnsi="Tahoma" w:cs="Tahoma"/>
                <w:b/>
                <w:sz w:val="20"/>
                <w:szCs w:val="20"/>
              </w:rPr>
              <w:t>входящего в состав имущества ЗПИФ</w:t>
            </w:r>
            <w:r w:rsidRPr="009C4568">
              <w:rPr>
                <w:rFonts w:ascii="Tahoma" w:hAnsi="Tahoma" w:cs="Tahoma"/>
                <w:sz w:val="20"/>
                <w:szCs w:val="20"/>
              </w:rPr>
              <w:t xml:space="preserve">, </w:t>
            </w:r>
            <w:r w:rsidRPr="009C4568">
              <w:rPr>
                <w:rFonts w:ascii="Tahoma" w:hAnsi="Tahoma" w:cs="Tahoma"/>
                <w:b/>
                <w:sz w:val="20"/>
                <w:szCs w:val="20"/>
              </w:rPr>
              <w:t>владельцы инвестиционных паев которого являются первыми собственниками</w:t>
            </w:r>
            <w:r w:rsidRPr="009C4568">
              <w:rPr>
                <w:rFonts w:ascii="Tahoma" w:hAnsi="Tahoma" w:cs="Tahoma"/>
                <w:sz w:val="20"/>
                <w:szCs w:val="20"/>
              </w:rPr>
              <w:t xml:space="preserve"> такого жилого дома, в том числе с земельным участком, </w:t>
            </w:r>
            <w:r w:rsidRPr="009C4568">
              <w:rPr>
                <w:rFonts w:ascii="Tahoma" w:hAnsi="Tahoma" w:cs="Tahoma"/>
                <w:b/>
                <w:sz w:val="20"/>
                <w:szCs w:val="20"/>
              </w:rPr>
              <w:t>право общей долевой собственности которых на указанный жилой дом зарегистрировано после получения уведомления о соответствии</w:t>
            </w:r>
            <w:r w:rsidRPr="009C4568">
              <w:rPr>
                <w:rFonts w:ascii="Tahoma" w:hAnsi="Tahoma" w:cs="Tahoma"/>
                <w:sz w:val="20"/>
                <w:szCs w:val="20"/>
              </w:rPr>
              <w:t xml:space="preserve"> построенного или реконструированного </w:t>
            </w:r>
            <w:r w:rsidRPr="009C4568">
              <w:rPr>
                <w:rFonts w:ascii="Tahoma" w:hAnsi="Tahoma" w:cs="Tahoma"/>
                <w:b/>
                <w:sz w:val="20"/>
                <w:szCs w:val="20"/>
              </w:rPr>
              <w:t>объекта</w:t>
            </w:r>
            <w:r w:rsidRPr="009C4568">
              <w:rPr>
                <w:rFonts w:ascii="Tahoma" w:hAnsi="Tahoma" w:cs="Tahoma"/>
                <w:sz w:val="20"/>
                <w:szCs w:val="20"/>
              </w:rPr>
              <w:t xml:space="preserve"> индивидуального жилищного строительства </w:t>
            </w:r>
            <w:r w:rsidRPr="009C4568">
              <w:rPr>
                <w:rFonts w:ascii="Tahoma" w:hAnsi="Tahoma" w:cs="Tahoma"/>
                <w:b/>
                <w:sz w:val="20"/>
                <w:szCs w:val="20"/>
              </w:rPr>
              <w:t>требованиям законодательства</w:t>
            </w:r>
            <w:r w:rsidRPr="009C4568">
              <w:rPr>
                <w:rFonts w:ascii="Tahoma" w:hAnsi="Tahoma" w:cs="Tahoma"/>
                <w:sz w:val="20"/>
                <w:szCs w:val="20"/>
              </w:rPr>
              <w:t xml:space="preserve"> о градостроительной деятельности, </w:t>
            </w:r>
            <w:r w:rsidRPr="009C4568">
              <w:rPr>
                <w:rFonts w:ascii="Tahoma" w:hAnsi="Tahoma" w:cs="Tahoma"/>
                <w:b/>
                <w:sz w:val="20"/>
                <w:szCs w:val="20"/>
              </w:rPr>
              <w:t>по договору купли-продажи, заключенному с управляющей компанией ЗПИФ</w:t>
            </w:r>
            <w:r w:rsidRPr="009C4568">
              <w:rPr>
                <w:rFonts w:ascii="Tahoma" w:hAnsi="Tahoma" w:cs="Tahoma"/>
                <w:sz w:val="20"/>
                <w:szCs w:val="20"/>
              </w:rPr>
              <w:t>, осуществляющей доверительное управление таким ЗПИФ.</w:t>
            </w:r>
          </w:p>
          <w:p w14:paraId="1E376EBF" w14:textId="77777777" w:rsidR="00951A61" w:rsidRPr="009C4568" w:rsidRDefault="00951A61" w:rsidP="00951A61">
            <w:pPr>
              <w:pStyle w:val="affe"/>
              <w:numPr>
                <w:ilvl w:val="1"/>
                <w:numId w:val="103"/>
              </w:numPr>
              <w:ind w:left="0" w:firstLine="425"/>
              <w:contextualSpacing/>
              <w:jc w:val="both"/>
              <w:rPr>
                <w:rFonts w:ascii="Tahoma" w:hAnsi="Tahoma" w:cs="Tahoma"/>
                <w:sz w:val="20"/>
                <w:szCs w:val="20"/>
              </w:rPr>
            </w:pPr>
            <w:r w:rsidRPr="009C4568">
              <w:rPr>
                <w:rFonts w:ascii="Tahoma" w:hAnsi="Tahoma" w:cs="Tahoma"/>
                <w:b/>
                <w:sz w:val="20"/>
                <w:szCs w:val="20"/>
              </w:rPr>
              <w:t>Приобретение</w:t>
            </w:r>
            <w:r w:rsidRPr="009C4568">
              <w:rPr>
                <w:rFonts w:ascii="Tahoma" w:hAnsi="Tahoma" w:cs="Tahoma"/>
                <w:sz w:val="20"/>
                <w:szCs w:val="20"/>
              </w:rPr>
              <w:t xml:space="preserve"> жилого помещения в многоквартирном доме, в доме блокированной застройки, дома блокированной застройки, в том числе с земельным участком (</w:t>
            </w:r>
            <w:r w:rsidRPr="009C4568">
              <w:rPr>
                <w:rFonts w:ascii="Tahoma" w:hAnsi="Tahoma" w:cs="Tahoma"/>
                <w:b/>
                <w:sz w:val="20"/>
                <w:szCs w:val="20"/>
              </w:rPr>
              <w:t>квартиры в многоквартирном доме; таунхауса</w:t>
            </w:r>
            <w:r w:rsidRPr="009C4568">
              <w:rPr>
                <w:rFonts w:ascii="Tahoma" w:hAnsi="Tahoma" w:cs="Tahoma"/>
                <w:sz w:val="20"/>
                <w:szCs w:val="20"/>
              </w:rPr>
              <w:t xml:space="preserve">), </w:t>
            </w:r>
            <w:r w:rsidRPr="009C4568">
              <w:rPr>
                <w:rFonts w:ascii="Tahoma" w:hAnsi="Tahoma" w:cs="Tahoma"/>
                <w:b/>
                <w:sz w:val="20"/>
                <w:szCs w:val="20"/>
              </w:rPr>
              <w:t>расположенного на территории обслуживания Банком и в том числе в пределах территории субъектов Российской Федерации, указанных в Приложении № 2 к настоящему документу или на территории малого населенного пункта</w:t>
            </w:r>
            <w:r w:rsidRPr="009C4568">
              <w:rPr>
                <w:rFonts w:ascii="Tahoma" w:hAnsi="Tahoma" w:cs="Tahoma"/>
                <w:sz w:val="20"/>
                <w:szCs w:val="20"/>
              </w:rPr>
              <w:t xml:space="preserve">, и </w:t>
            </w:r>
            <w:r w:rsidRPr="009C4568">
              <w:rPr>
                <w:rFonts w:ascii="Tahoma" w:hAnsi="Tahoma" w:cs="Tahoma"/>
                <w:b/>
                <w:sz w:val="20"/>
                <w:szCs w:val="20"/>
              </w:rPr>
              <w:t xml:space="preserve">переданных Фонду </w:t>
            </w:r>
            <w:r w:rsidRPr="009C4568">
              <w:rPr>
                <w:rFonts w:ascii="Tahoma" w:hAnsi="Tahoma" w:cs="Tahoma"/>
                <w:sz w:val="20"/>
                <w:szCs w:val="20"/>
              </w:rPr>
              <w:t>в соответствии со статьей 13.4 Федерального закона "О публично-</w:t>
            </w:r>
            <w:r w:rsidRPr="009C4568">
              <w:rPr>
                <w:rFonts w:ascii="Tahoma" w:hAnsi="Tahoma" w:cs="Tahoma"/>
                <w:sz w:val="20"/>
                <w:szCs w:val="20"/>
              </w:rPr>
              <w:lastRenderedPageBreak/>
              <w:t xml:space="preserve">правовой компании "Фонд развития территорий" и о внесении изменений в отдельные законодательные акты Российской Федерации", </w:t>
            </w:r>
            <w:r w:rsidRPr="009C4568">
              <w:rPr>
                <w:rFonts w:ascii="Tahoma" w:hAnsi="Tahoma" w:cs="Tahoma"/>
                <w:b/>
                <w:sz w:val="20"/>
                <w:szCs w:val="20"/>
              </w:rPr>
              <w:t>по договору купли-продажи, заключенному с Фондом</w:t>
            </w:r>
            <w:r w:rsidRPr="009C4568">
              <w:rPr>
                <w:rFonts w:ascii="Tahoma" w:hAnsi="Tahoma" w:cs="Tahoma"/>
                <w:sz w:val="20"/>
                <w:szCs w:val="20"/>
              </w:rPr>
              <w:t>.</w:t>
            </w:r>
          </w:p>
          <w:p w14:paraId="4FA0658F" w14:textId="77777777" w:rsidR="00951A61" w:rsidRPr="009C4568" w:rsidRDefault="00951A61" w:rsidP="00A4032F">
            <w:pPr>
              <w:pStyle w:val="affe"/>
              <w:ind w:left="425"/>
              <w:jc w:val="both"/>
              <w:rPr>
                <w:rFonts w:ascii="Tahoma" w:hAnsi="Tahoma" w:cs="Tahoma"/>
                <w:sz w:val="20"/>
                <w:szCs w:val="20"/>
              </w:rPr>
            </w:pPr>
          </w:p>
          <w:p w14:paraId="5765066D" w14:textId="77777777" w:rsidR="00951A61" w:rsidRPr="009C4568" w:rsidRDefault="00951A61" w:rsidP="00951A61">
            <w:pPr>
              <w:pStyle w:val="affe"/>
              <w:numPr>
                <w:ilvl w:val="0"/>
                <w:numId w:val="103"/>
              </w:numPr>
              <w:ind w:left="0" w:firstLine="425"/>
              <w:contextualSpacing/>
              <w:jc w:val="both"/>
              <w:rPr>
                <w:rFonts w:ascii="Tahoma" w:hAnsi="Tahoma" w:cs="Tahoma"/>
                <w:sz w:val="20"/>
                <w:szCs w:val="20"/>
              </w:rPr>
            </w:pPr>
            <w:r w:rsidRPr="009C4568">
              <w:rPr>
                <w:rFonts w:ascii="Tahoma" w:hAnsi="Tahoma" w:cs="Tahoma"/>
                <w:b/>
                <w:i/>
                <w:color w:val="1F497D" w:themeColor="text2"/>
                <w:sz w:val="20"/>
                <w:szCs w:val="20"/>
                <w:u w:val="single"/>
              </w:rPr>
              <w:t>Для категории Заемщиков – целевых участников программы, указанных в п. 1.3.</w:t>
            </w:r>
            <w:r w:rsidRPr="009C4568">
              <w:rPr>
                <w:rFonts w:ascii="Tahoma" w:hAnsi="Tahoma" w:cs="Tahoma"/>
                <w:sz w:val="20"/>
                <w:szCs w:val="20"/>
              </w:rPr>
              <w:t xml:space="preserve"> раздела «Категория Заемщика/Требования к Заемщику, либо к солидарным Заемщикам (к одному из солидарных Заемщиков), которые установлены Банком и выполнение которых является обязательным для предоставления потребительского кредита»:</w:t>
            </w:r>
          </w:p>
          <w:p w14:paraId="59B45784" w14:textId="77777777" w:rsidR="00951A61" w:rsidRPr="009C4568" w:rsidRDefault="00951A61" w:rsidP="00951A61">
            <w:pPr>
              <w:pStyle w:val="affe"/>
              <w:numPr>
                <w:ilvl w:val="1"/>
                <w:numId w:val="103"/>
              </w:numPr>
              <w:ind w:left="0" w:firstLine="425"/>
              <w:contextualSpacing/>
              <w:jc w:val="both"/>
              <w:rPr>
                <w:rFonts w:ascii="Tahoma" w:hAnsi="Tahoma" w:cs="Tahoma"/>
                <w:sz w:val="20"/>
                <w:szCs w:val="20"/>
              </w:rPr>
            </w:pPr>
            <w:r w:rsidRPr="009C4568">
              <w:rPr>
                <w:rFonts w:ascii="Tahoma" w:hAnsi="Tahoma" w:cs="Tahoma"/>
                <w:b/>
                <w:sz w:val="20"/>
                <w:szCs w:val="20"/>
              </w:rPr>
              <w:t>Приобретение у юридического лица, находящегося на этапе строительства</w:t>
            </w:r>
            <w:r w:rsidRPr="009C4568">
              <w:rPr>
                <w:rFonts w:ascii="Tahoma" w:hAnsi="Tahoma" w:cs="Tahoma"/>
                <w:sz w:val="20"/>
                <w:szCs w:val="20"/>
              </w:rPr>
              <w:t xml:space="preserve"> жилого помещения в многоквартирном доме, в доме блокированной застройки, дома блокированной застройки, в том числе с земельным участком (</w:t>
            </w:r>
            <w:r w:rsidRPr="009C4568">
              <w:rPr>
                <w:rFonts w:ascii="Tahoma" w:hAnsi="Tahoma" w:cs="Tahoma"/>
                <w:b/>
                <w:sz w:val="20"/>
                <w:szCs w:val="20"/>
              </w:rPr>
              <w:t>квартиры в многоквартирном доме; таунхауса</w:t>
            </w:r>
            <w:r w:rsidRPr="009C4568">
              <w:rPr>
                <w:rFonts w:ascii="Tahoma" w:hAnsi="Tahoma" w:cs="Tahoma"/>
                <w:sz w:val="20"/>
                <w:szCs w:val="20"/>
              </w:rPr>
              <w:t xml:space="preserve">), расположенного на территории Российской Федерации, </w:t>
            </w:r>
            <w:r w:rsidRPr="009C4568">
              <w:rPr>
                <w:rFonts w:ascii="Tahoma" w:hAnsi="Tahoma" w:cs="Tahoma"/>
                <w:b/>
                <w:sz w:val="20"/>
                <w:szCs w:val="20"/>
              </w:rPr>
              <w:t>по договору участия в долевом строительстве</w:t>
            </w:r>
            <w:r w:rsidRPr="009C4568">
              <w:rPr>
                <w:rFonts w:ascii="Tahoma" w:hAnsi="Tahoma" w:cs="Tahoma"/>
                <w:sz w:val="20"/>
                <w:szCs w:val="20"/>
              </w:rPr>
              <w:t xml:space="preserve"> в соответствии с положениями Федерального закона "Об участии в долевом строительстве многоквартирных домов и иных объектов недвижимости и о внесении изменений в некоторые законодательные акты Российской Федерации"</w:t>
            </w:r>
            <w:r w:rsidRPr="009C4568">
              <w:rPr>
                <w:rFonts w:ascii="Tahoma" w:hAnsi="Tahoma" w:cs="Tahoma"/>
                <w:b/>
                <w:sz w:val="20"/>
                <w:szCs w:val="20"/>
              </w:rPr>
              <w:t xml:space="preserve"> Приобретение у юридического лица, находящегося на этапе строительства</w:t>
            </w:r>
            <w:r w:rsidRPr="009C4568">
              <w:rPr>
                <w:rFonts w:ascii="Tahoma" w:hAnsi="Tahoma" w:cs="Tahoma"/>
                <w:sz w:val="20"/>
                <w:szCs w:val="20"/>
              </w:rPr>
              <w:t xml:space="preserve"> жилого помещения в многоквартирном доме, в доме блокированной застройки, дома блокированной застройки, в том числе с земельным участком (</w:t>
            </w:r>
            <w:r w:rsidRPr="009C4568">
              <w:rPr>
                <w:rFonts w:ascii="Tahoma" w:hAnsi="Tahoma" w:cs="Tahoma"/>
                <w:b/>
                <w:sz w:val="20"/>
                <w:szCs w:val="20"/>
              </w:rPr>
              <w:t>квартиры в многоквартирном доме; таунхауса</w:t>
            </w:r>
            <w:r w:rsidRPr="009C4568">
              <w:rPr>
                <w:rFonts w:ascii="Tahoma" w:hAnsi="Tahoma" w:cs="Tahoma"/>
                <w:sz w:val="20"/>
                <w:szCs w:val="20"/>
              </w:rPr>
              <w:t xml:space="preserve">), расположенного на территории Российской Федерации, </w:t>
            </w:r>
            <w:r w:rsidRPr="009C4568">
              <w:rPr>
                <w:rFonts w:ascii="Tahoma" w:hAnsi="Tahoma" w:cs="Tahoma"/>
                <w:b/>
                <w:sz w:val="20"/>
                <w:szCs w:val="20"/>
              </w:rPr>
              <w:t>по договору участия в долевом строительстве</w:t>
            </w:r>
            <w:r w:rsidRPr="009C4568">
              <w:rPr>
                <w:rFonts w:ascii="Tahoma" w:hAnsi="Tahoma" w:cs="Tahoma"/>
                <w:sz w:val="20"/>
                <w:szCs w:val="20"/>
              </w:rPr>
              <w:t xml:space="preserve"> в соответствии с положениями Федерального закона "Об участии в долевом строительстве многоквартирных домов и иных объектов недвижимости и о внесении изменений в некоторые законодательные акты Российской Федерации".</w:t>
            </w:r>
          </w:p>
          <w:p w14:paraId="768E4D93" w14:textId="77777777" w:rsidR="00951A61" w:rsidRPr="009C4568" w:rsidRDefault="00951A61" w:rsidP="00951A61">
            <w:pPr>
              <w:pStyle w:val="affe"/>
              <w:numPr>
                <w:ilvl w:val="1"/>
                <w:numId w:val="103"/>
              </w:numPr>
              <w:ind w:left="0" w:firstLine="425"/>
              <w:contextualSpacing/>
              <w:jc w:val="both"/>
              <w:rPr>
                <w:rFonts w:ascii="Tahoma" w:hAnsi="Tahoma" w:cs="Tahoma"/>
                <w:sz w:val="20"/>
                <w:szCs w:val="20"/>
              </w:rPr>
            </w:pPr>
            <w:r w:rsidRPr="009C4568">
              <w:rPr>
                <w:rFonts w:ascii="Tahoma" w:hAnsi="Tahoma" w:cs="Tahoma"/>
                <w:b/>
                <w:sz w:val="20"/>
                <w:szCs w:val="20"/>
              </w:rPr>
              <w:t>Приобретение жилого помещения</w:t>
            </w:r>
            <w:r w:rsidRPr="009C4568">
              <w:rPr>
                <w:rFonts w:ascii="Tahoma" w:hAnsi="Tahoma" w:cs="Tahoma"/>
                <w:sz w:val="20"/>
                <w:szCs w:val="20"/>
              </w:rPr>
              <w:t xml:space="preserve"> в многоквартирном доме, в доме блокированной застройки, дома блокированной застройки, в том числе с земельным участком (</w:t>
            </w:r>
            <w:r w:rsidRPr="009C4568">
              <w:rPr>
                <w:rFonts w:ascii="Tahoma" w:hAnsi="Tahoma" w:cs="Tahoma"/>
                <w:b/>
                <w:sz w:val="20"/>
                <w:szCs w:val="20"/>
              </w:rPr>
              <w:t>квартиры в многоквартирном доме; таунхауса</w:t>
            </w:r>
            <w:r w:rsidRPr="009C4568">
              <w:rPr>
                <w:rFonts w:ascii="Tahoma" w:hAnsi="Tahoma" w:cs="Tahoma"/>
                <w:sz w:val="20"/>
                <w:szCs w:val="20"/>
              </w:rPr>
              <w:t xml:space="preserve">), расположенного на территории Российской Федерации, </w:t>
            </w:r>
            <w:r w:rsidRPr="009C4568">
              <w:rPr>
                <w:rFonts w:ascii="Tahoma" w:hAnsi="Tahoma" w:cs="Tahoma"/>
                <w:b/>
                <w:sz w:val="20"/>
                <w:szCs w:val="20"/>
              </w:rPr>
              <w:t>по договору купли-продажи, заключенным с</w:t>
            </w:r>
            <w:r w:rsidRPr="009C4568">
              <w:rPr>
                <w:rFonts w:ascii="Tahoma" w:hAnsi="Tahoma" w:cs="Tahoma"/>
                <w:sz w:val="20"/>
                <w:szCs w:val="20"/>
              </w:rPr>
              <w:t>:</w:t>
            </w:r>
          </w:p>
          <w:p w14:paraId="4C42EC73" w14:textId="77777777" w:rsidR="00951A61" w:rsidRPr="009C4568" w:rsidRDefault="00951A61" w:rsidP="00A4032F">
            <w:pPr>
              <w:ind w:firstLine="425"/>
              <w:jc w:val="both"/>
              <w:rPr>
                <w:rFonts w:ascii="Tahoma" w:hAnsi="Tahoma" w:cs="Tahoma"/>
                <w:sz w:val="20"/>
                <w:szCs w:val="20"/>
              </w:rPr>
            </w:pPr>
            <w:r w:rsidRPr="009C4568">
              <w:rPr>
                <w:rFonts w:ascii="Tahoma" w:hAnsi="Tahoma" w:cs="Tahoma"/>
                <w:sz w:val="20"/>
                <w:szCs w:val="20"/>
              </w:rPr>
              <w:t xml:space="preserve">- </w:t>
            </w:r>
            <w:r w:rsidRPr="009C4568">
              <w:rPr>
                <w:rFonts w:ascii="Tahoma" w:hAnsi="Tahoma" w:cs="Tahoma"/>
                <w:b/>
                <w:sz w:val="20"/>
                <w:szCs w:val="20"/>
              </w:rPr>
              <w:t>индивидуальным предпринимателем</w:t>
            </w:r>
            <w:r w:rsidRPr="009C4568">
              <w:rPr>
                <w:rFonts w:ascii="Tahoma" w:hAnsi="Tahoma" w:cs="Tahoma"/>
                <w:sz w:val="20"/>
                <w:szCs w:val="20"/>
              </w:rPr>
              <w:t xml:space="preserve">, </w:t>
            </w:r>
            <w:r w:rsidRPr="009C4568">
              <w:rPr>
                <w:rFonts w:ascii="Tahoma" w:hAnsi="Tahoma" w:cs="Tahoma"/>
                <w:b/>
                <w:sz w:val="20"/>
                <w:szCs w:val="20"/>
              </w:rPr>
              <w:t>являющимся первым собственником</w:t>
            </w:r>
            <w:r w:rsidRPr="009C4568">
              <w:rPr>
                <w:rFonts w:ascii="Tahoma" w:hAnsi="Tahoma" w:cs="Tahoma"/>
                <w:sz w:val="20"/>
                <w:szCs w:val="20"/>
              </w:rPr>
              <w:t xml:space="preserve"> указанного объекта недвижимости </w:t>
            </w:r>
            <w:r w:rsidRPr="009C4568">
              <w:rPr>
                <w:rFonts w:ascii="Tahoma" w:hAnsi="Tahoma" w:cs="Tahoma"/>
                <w:b/>
                <w:sz w:val="20"/>
                <w:szCs w:val="20"/>
              </w:rPr>
              <w:t>и зарегистрировавшим право собственности на указанный объект недвижимости после получения таким индивидуальным предпринимателем разрешения на ввод соответствующего объекта недвижимости в эксплуатацию и построившим</w:t>
            </w:r>
            <w:r w:rsidRPr="009C4568">
              <w:rPr>
                <w:rFonts w:ascii="Tahoma" w:hAnsi="Tahoma" w:cs="Tahoma"/>
                <w:sz w:val="20"/>
                <w:szCs w:val="20"/>
              </w:rPr>
              <w:t xml:space="preserve"> (создавшим) </w:t>
            </w:r>
            <w:r w:rsidRPr="009C4568">
              <w:rPr>
                <w:rFonts w:ascii="Tahoma" w:hAnsi="Tahoma" w:cs="Tahoma"/>
                <w:b/>
                <w:sz w:val="20"/>
                <w:szCs w:val="20"/>
              </w:rPr>
              <w:t>указанное жилое помещение</w:t>
            </w:r>
            <w:r w:rsidRPr="009C4568">
              <w:rPr>
                <w:rFonts w:ascii="Tahoma" w:hAnsi="Tahoma" w:cs="Tahoma"/>
                <w:sz w:val="20"/>
                <w:szCs w:val="20"/>
              </w:rPr>
              <w:t xml:space="preserve">, дом блокированной застройки </w:t>
            </w:r>
            <w:r w:rsidRPr="009C4568">
              <w:rPr>
                <w:rFonts w:ascii="Tahoma" w:hAnsi="Tahoma" w:cs="Tahoma"/>
                <w:b/>
                <w:sz w:val="20"/>
                <w:szCs w:val="20"/>
              </w:rPr>
              <w:t>в связи с осуществлением им предпринимательской деятельности по строительству</w:t>
            </w:r>
            <w:r w:rsidRPr="009C4568">
              <w:rPr>
                <w:rFonts w:ascii="Tahoma" w:hAnsi="Tahoma" w:cs="Tahoma"/>
                <w:sz w:val="20"/>
                <w:szCs w:val="20"/>
              </w:rPr>
              <w:t xml:space="preserve"> в соответствии с содержащимся в составе сведений о таком индивидуальном предпринимателе в едином государственном реестре индивидуальных предпринимателей кодом вида (кодами видов) экономической деятельности по Общероссийскому классификатору видов экономической деятельности;</w:t>
            </w:r>
          </w:p>
          <w:p w14:paraId="3E75CEEB" w14:textId="77777777" w:rsidR="00951A61" w:rsidRPr="009C4568" w:rsidRDefault="00951A61" w:rsidP="00A4032F">
            <w:pPr>
              <w:ind w:firstLine="425"/>
              <w:jc w:val="both"/>
              <w:rPr>
                <w:rFonts w:ascii="Tahoma" w:hAnsi="Tahoma" w:cs="Tahoma"/>
                <w:sz w:val="20"/>
                <w:szCs w:val="20"/>
              </w:rPr>
            </w:pPr>
            <w:r w:rsidRPr="009C4568">
              <w:rPr>
                <w:rFonts w:ascii="Tahoma" w:hAnsi="Tahoma" w:cs="Tahoma"/>
                <w:sz w:val="20"/>
                <w:szCs w:val="20"/>
              </w:rPr>
              <w:t xml:space="preserve">- </w:t>
            </w:r>
            <w:r w:rsidRPr="009C4568">
              <w:rPr>
                <w:rFonts w:ascii="Tahoma" w:hAnsi="Tahoma" w:cs="Tahoma"/>
                <w:b/>
                <w:sz w:val="20"/>
                <w:szCs w:val="20"/>
              </w:rPr>
              <w:t>юридическим лицом</w:t>
            </w:r>
            <w:r w:rsidRPr="009C4568">
              <w:rPr>
                <w:rFonts w:ascii="Tahoma" w:hAnsi="Tahoma" w:cs="Tahoma"/>
                <w:sz w:val="20"/>
                <w:szCs w:val="20"/>
              </w:rPr>
              <w:t xml:space="preserve">, являющимся первым собственником указанного объекта недвижимости </w:t>
            </w:r>
            <w:r w:rsidRPr="009C4568">
              <w:rPr>
                <w:rFonts w:ascii="Tahoma" w:hAnsi="Tahoma" w:cs="Tahoma"/>
                <w:b/>
                <w:sz w:val="20"/>
                <w:szCs w:val="20"/>
              </w:rPr>
              <w:t>и зарегистрировавшим право собственности на указанный объект недвижимости после получения таким юридическим лицом разрешения на ввод соответствующего объекта недвижимости в эксплуатацию</w:t>
            </w:r>
            <w:r w:rsidRPr="009C4568">
              <w:rPr>
                <w:rFonts w:ascii="Tahoma" w:hAnsi="Tahoma" w:cs="Tahoma"/>
                <w:sz w:val="20"/>
                <w:szCs w:val="20"/>
              </w:rPr>
              <w:t>.</w:t>
            </w:r>
          </w:p>
          <w:p w14:paraId="488FF0BA" w14:textId="77777777" w:rsidR="00951A61" w:rsidRPr="009C4568" w:rsidRDefault="00951A61" w:rsidP="00951A61">
            <w:pPr>
              <w:pStyle w:val="affe"/>
              <w:numPr>
                <w:ilvl w:val="1"/>
                <w:numId w:val="103"/>
              </w:numPr>
              <w:ind w:left="0" w:firstLine="425"/>
              <w:contextualSpacing/>
              <w:jc w:val="both"/>
              <w:rPr>
                <w:rFonts w:ascii="Tahoma" w:hAnsi="Tahoma" w:cs="Tahoma"/>
                <w:sz w:val="20"/>
                <w:szCs w:val="20"/>
              </w:rPr>
            </w:pPr>
            <w:r w:rsidRPr="009C4568">
              <w:rPr>
                <w:rFonts w:ascii="Tahoma" w:hAnsi="Tahoma" w:cs="Tahoma"/>
                <w:b/>
                <w:sz w:val="20"/>
                <w:szCs w:val="20"/>
              </w:rPr>
              <w:t>Приобретение индивидуального жилого дома, в том числе с земельным участком</w:t>
            </w:r>
            <w:r w:rsidRPr="009C4568">
              <w:rPr>
                <w:rFonts w:ascii="Tahoma" w:hAnsi="Tahoma" w:cs="Tahoma"/>
                <w:sz w:val="20"/>
                <w:szCs w:val="20"/>
              </w:rPr>
              <w:t xml:space="preserve">, расположенного на территории Российской Федерации, </w:t>
            </w:r>
            <w:r w:rsidRPr="009C4568">
              <w:rPr>
                <w:rFonts w:ascii="Tahoma" w:hAnsi="Tahoma" w:cs="Tahoma"/>
                <w:b/>
                <w:sz w:val="20"/>
                <w:szCs w:val="20"/>
              </w:rPr>
              <w:t>по договору купли-продажи</w:t>
            </w:r>
            <w:r w:rsidRPr="009C4568">
              <w:rPr>
                <w:rFonts w:ascii="Tahoma" w:hAnsi="Tahoma" w:cs="Tahoma"/>
                <w:sz w:val="20"/>
                <w:szCs w:val="20"/>
              </w:rPr>
              <w:t xml:space="preserve">, </w:t>
            </w:r>
            <w:r w:rsidRPr="009C4568">
              <w:rPr>
                <w:rFonts w:ascii="Tahoma" w:hAnsi="Tahoma" w:cs="Tahoma"/>
                <w:b/>
                <w:sz w:val="20"/>
                <w:szCs w:val="20"/>
              </w:rPr>
              <w:t>заключенному с индивидуальным предпринимателем, являющимся первым собственником</w:t>
            </w:r>
            <w:r w:rsidRPr="009C4568">
              <w:rPr>
                <w:rFonts w:ascii="Tahoma" w:hAnsi="Tahoma" w:cs="Tahoma"/>
                <w:sz w:val="20"/>
                <w:szCs w:val="20"/>
              </w:rPr>
              <w:t xml:space="preserve"> такого дома, </w:t>
            </w:r>
            <w:r w:rsidRPr="009C4568">
              <w:rPr>
                <w:rFonts w:ascii="Tahoma" w:hAnsi="Tahoma" w:cs="Tahoma"/>
                <w:b/>
                <w:sz w:val="20"/>
                <w:szCs w:val="20"/>
              </w:rPr>
              <w:t>зарегистрировавшим право собственности на указанный жилой дом после получения таким индивидуальным предпринимателем уведомления о соответствии</w:t>
            </w:r>
            <w:r w:rsidRPr="009C4568">
              <w:rPr>
                <w:rFonts w:ascii="Tahoma" w:hAnsi="Tahoma" w:cs="Tahoma"/>
                <w:sz w:val="20"/>
                <w:szCs w:val="20"/>
              </w:rPr>
              <w:t xml:space="preserve"> построенного или реконструированного </w:t>
            </w:r>
            <w:r w:rsidRPr="009C4568">
              <w:rPr>
                <w:rFonts w:ascii="Tahoma" w:hAnsi="Tahoma" w:cs="Tahoma"/>
                <w:b/>
                <w:sz w:val="20"/>
                <w:szCs w:val="20"/>
              </w:rPr>
              <w:t>объекта</w:t>
            </w:r>
            <w:r w:rsidRPr="009C4568">
              <w:rPr>
                <w:rFonts w:ascii="Tahoma" w:hAnsi="Tahoma" w:cs="Tahoma"/>
                <w:sz w:val="20"/>
                <w:szCs w:val="20"/>
              </w:rPr>
              <w:t xml:space="preserve"> индивидуального жилищного строительства </w:t>
            </w:r>
            <w:r w:rsidRPr="009C4568">
              <w:rPr>
                <w:rFonts w:ascii="Tahoma" w:hAnsi="Tahoma" w:cs="Tahoma"/>
                <w:b/>
                <w:sz w:val="20"/>
                <w:szCs w:val="20"/>
              </w:rPr>
              <w:t>требованиям законодательства</w:t>
            </w:r>
            <w:r w:rsidRPr="009C4568">
              <w:rPr>
                <w:rFonts w:ascii="Tahoma" w:hAnsi="Tahoma" w:cs="Tahoma"/>
                <w:sz w:val="20"/>
                <w:szCs w:val="20"/>
              </w:rPr>
              <w:t xml:space="preserve"> о градостроительной деятельности и построившим (создавшим) указанный жилой дом в связи с осуществлением им предпринимательской деятельности по строительству в соответствии с содержащимся в составе сведений о таком индивидуальном предпринимателе в едином государственном реестре индивидуальных предпринимателей кодом вида (кодами видов) экономической деятельности по Общероссийскому классификатору видов экономической деятельности, </w:t>
            </w:r>
            <w:r w:rsidRPr="009C4568">
              <w:rPr>
                <w:rFonts w:ascii="Tahoma" w:hAnsi="Tahoma" w:cs="Tahoma"/>
                <w:b/>
                <w:sz w:val="20"/>
                <w:szCs w:val="20"/>
              </w:rPr>
              <w:t>или для приобретения</w:t>
            </w:r>
            <w:r w:rsidRPr="009C4568">
              <w:rPr>
                <w:rFonts w:ascii="Tahoma" w:hAnsi="Tahoma" w:cs="Tahoma"/>
                <w:sz w:val="20"/>
                <w:szCs w:val="20"/>
              </w:rPr>
              <w:t xml:space="preserve"> </w:t>
            </w:r>
            <w:r w:rsidRPr="009C4568">
              <w:rPr>
                <w:rFonts w:ascii="Tahoma" w:hAnsi="Tahoma" w:cs="Tahoma"/>
                <w:b/>
                <w:sz w:val="20"/>
                <w:szCs w:val="20"/>
              </w:rPr>
              <w:t xml:space="preserve">индивидуального жилого дома, в </w:t>
            </w:r>
            <w:r w:rsidRPr="009C4568">
              <w:rPr>
                <w:rFonts w:ascii="Tahoma" w:hAnsi="Tahoma" w:cs="Tahoma"/>
                <w:b/>
                <w:sz w:val="20"/>
                <w:szCs w:val="20"/>
              </w:rPr>
              <w:lastRenderedPageBreak/>
              <w:t>том числе с земельным участком</w:t>
            </w:r>
            <w:r w:rsidRPr="009C4568">
              <w:rPr>
                <w:rFonts w:ascii="Tahoma" w:hAnsi="Tahoma" w:cs="Tahoma"/>
                <w:sz w:val="20"/>
                <w:szCs w:val="20"/>
              </w:rPr>
              <w:t xml:space="preserve">, </w:t>
            </w:r>
            <w:r w:rsidRPr="009C4568">
              <w:rPr>
                <w:rFonts w:ascii="Tahoma" w:hAnsi="Tahoma" w:cs="Tahoma"/>
                <w:b/>
                <w:sz w:val="20"/>
                <w:szCs w:val="20"/>
              </w:rPr>
              <w:t>включая индивидуальный жилой дом в границах территории малоэтажного жилого комплекса</w:t>
            </w:r>
            <w:r w:rsidRPr="009C4568">
              <w:rPr>
                <w:rFonts w:ascii="Tahoma" w:hAnsi="Tahoma" w:cs="Tahoma"/>
                <w:sz w:val="20"/>
                <w:szCs w:val="20"/>
              </w:rPr>
              <w:t xml:space="preserve">, расположенного на территории Российской Федерации, </w:t>
            </w:r>
            <w:r w:rsidRPr="009C4568">
              <w:rPr>
                <w:rFonts w:ascii="Tahoma" w:hAnsi="Tahoma" w:cs="Tahoma"/>
                <w:b/>
                <w:sz w:val="20"/>
                <w:szCs w:val="20"/>
              </w:rPr>
              <w:t>по договору купли-продажи, заключенному с юридическим лицом</w:t>
            </w:r>
            <w:r w:rsidRPr="009C4568">
              <w:rPr>
                <w:rFonts w:ascii="Tahoma" w:hAnsi="Tahoma" w:cs="Tahoma"/>
                <w:sz w:val="20"/>
                <w:szCs w:val="20"/>
              </w:rPr>
              <w:t xml:space="preserve">, </w:t>
            </w:r>
            <w:r w:rsidRPr="009C4568">
              <w:rPr>
                <w:rFonts w:ascii="Tahoma" w:hAnsi="Tahoma" w:cs="Tahoma"/>
                <w:b/>
                <w:sz w:val="20"/>
                <w:szCs w:val="20"/>
              </w:rPr>
              <w:t>являющимся первым собственником</w:t>
            </w:r>
            <w:r w:rsidRPr="009C4568">
              <w:rPr>
                <w:rFonts w:ascii="Tahoma" w:hAnsi="Tahoma" w:cs="Tahoma"/>
                <w:sz w:val="20"/>
                <w:szCs w:val="20"/>
              </w:rPr>
              <w:t xml:space="preserve"> такого жилого дома </w:t>
            </w:r>
            <w:r w:rsidRPr="009C4568">
              <w:rPr>
                <w:rFonts w:ascii="Tahoma" w:hAnsi="Tahoma" w:cs="Tahoma"/>
                <w:b/>
                <w:sz w:val="20"/>
                <w:szCs w:val="20"/>
              </w:rPr>
              <w:t>и зарегистрировавшим право собственности на указанный жилой дом после получения таким юридическим лицом уведомлени</w:t>
            </w:r>
            <w:r w:rsidRPr="009C4568">
              <w:rPr>
                <w:rFonts w:ascii="Tahoma" w:hAnsi="Tahoma" w:cs="Tahoma"/>
                <w:sz w:val="20"/>
                <w:szCs w:val="20"/>
              </w:rPr>
              <w:t xml:space="preserve">я </w:t>
            </w:r>
            <w:r w:rsidRPr="009C4568">
              <w:rPr>
                <w:rFonts w:ascii="Tahoma" w:hAnsi="Tahoma" w:cs="Tahoma"/>
                <w:b/>
                <w:sz w:val="20"/>
                <w:szCs w:val="20"/>
              </w:rPr>
              <w:t>о соответствии</w:t>
            </w:r>
            <w:r w:rsidRPr="009C4568">
              <w:rPr>
                <w:rFonts w:ascii="Tahoma" w:hAnsi="Tahoma" w:cs="Tahoma"/>
                <w:sz w:val="20"/>
                <w:szCs w:val="20"/>
              </w:rPr>
              <w:t xml:space="preserve"> построенных или реконструированных объекта индивидуального жилищного строительства или садового дома </w:t>
            </w:r>
            <w:r w:rsidRPr="009C4568">
              <w:rPr>
                <w:rFonts w:ascii="Tahoma" w:hAnsi="Tahoma" w:cs="Tahoma"/>
                <w:b/>
                <w:sz w:val="20"/>
                <w:szCs w:val="20"/>
              </w:rPr>
              <w:t>требованиям законодательства</w:t>
            </w:r>
            <w:r w:rsidRPr="009C4568">
              <w:rPr>
                <w:rFonts w:ascii="Tahoma" w:hAnsi="Tahoma" w:cs="Tahoma"/>
                <w:sz w:val="20"/>
                <w:szCs w:val="20"/>
              </w:rPr>
              <w:t xml:space="preserve"> о градостроительной деятельности (получения разрешения на ввод соответствующего объекта недвижимости в эксплуатацию).</w:t>
            </w:r>
          </w:p>
          <w:p w14:paraId="5512E3DD" w14:textId="77777777" w:rsidR="00951A61" w:rsidRPr="009C4568" w:rsidRDefault="00951A61" w:rsidP="00951A61">
            <w:pPr>
              <w:pStyle w:val="affe"/>
              <w:numPr>
                <w:ilvl w:val="1"/>
                <w:numId w:val="103"/>
              </w:numPr>
              <w:ind w:left="0" w:firstLine="425"/>
              <w:contextualSpacing/>
              <w:jc w:val="both"/>
              <w:rPr>
                <w:rFonts w:ascii="Tahoma" w:hAnsi="Tahoma" w:cs="Tahoma"/>
                <w:sz w:val="20"/>
                <w:szCs w:val="20"/>
              </w:rPr>
            </w:pPr>
            <w:r w:rsidRPr="009C4568">
              <w:rPr>
                <w:rFonts w:ascii="Tahoma" w:hAnsi="Tahoma" w:cs="Tahoma"/>
                <w:b/>
                <w:sz w:val="20"/>
                <w:szCs w:val="20"/>
              </w:rPr>
              <w:t>Приобретение</w:t>
            </w:r>
            <w:r w:rsidRPr="009C4568">
              <w:rPr>
                <w:rFonts w:ascii="Tahoma" w:hAnsi="Tahoma" w:cs="Tahoma"/>
                <w:sz w:val="20"/>
                <w:szCs w:val="20"/>
              </w:rPr>
              <w:t xml:space="preserve"> </w:t>
            </w:r>
            <w:r w:rsidRPr="009C4568">
              <w:rPr>
                <w:rFonts w:ascii="Tahoma" w:hAnsi="Tahoma" w:cs="Tahoma"/>
                <w:b/>
                <w:sz w:val="20"/>
                <w:szCs w:val="20"/>
              </w:rPr>
              <w:t>жилого помещения</w:t>
            </w:r>
            <w:r w:rsidRPr="009C4568">
              <w:rPr>
                <w:rFonts w:ascii="Tahoma" w:hAnsi="Tahoma" w:cs="Tahoma"/>
                <w:sz w:val="20"/>
                <w:szCs w:val="20"/>
              </w:rPr>
              <w:t xml:space="preserve"> в многоквартирном доме, в доме блокированной застройки, дома блокированной застройки, в том числе с земельным участком (</w:t>
            </w:r>
            <w:r w:rsidRPr="009C4568">
              <w:rPr>
                <w:rFonts w:ascii="Tahoma" w:hAnsi="Tahoma" w:cs="Tahoma"/>
                <w:b/>
                <w:sz w:val="20"/>
                <w:szCs w:val="20"/>
              </w:rPr>
              <w:t>квартиры в многоквартирном доме; таунхауса</w:t>
            </w:r>
            <w:r w:rsidRPr="009C4568">
              <w:rPr>
                <w:rFonts w:ascii="Tahoma" w:hAnsi="Tahoma" w:cs="Tahoma"/>
                <w:sz w:val="20"/>
                <w:szCs w:val="20"/>
              </w:rPr>
              <w:t xml:space="preserve">), </w:t>
            </w:r>
            <w:r w:rsidRPr="009C4568">
              <w:rPr>
                <w:rFonts w:ascii="Tahoma" w:hAnsi="Tahoma" w:cs="Tahoma"/>
                <w:b/>
                <w:sz w:val="20"/>
                <w:szCs w:val="20"/>
              </w:rPr>
              <w:t>расположенного</w:t>
            </w:r>
            <w:r w:rsidRPr="009C4568">
              <w:rPr>
                <w:rFonts w:ascii="Tahoma" w:hAnsi="Tahoma" w:cs="Tahoma"/>
                <w:sz w:val="20"/>
                <w:szCs w:val="20"/>
              </w:rPr>
              <w:t xml:space="preserve"> на территории Российской Федерации </w:t>
            </w:r>
            <w:r w:rsidRPr="009C4568">
              <w:rPr>
                <w:rFonts w:ascii="Tahoma" w:hAnsi="Tahoma" w:cs="Tahoma"/>
                <w:b/>
                <w:sz w:val="20"/>
                <w:szCs w:val="20"/>
              </w:rPr>
              <w:t>и входящего в состав имущества ЗПИФ</w:t>
            </w:r>
            <w:r w:rsidRPr="009C4568">
              <w:rPr>
                <w:rFonts w:ascii="Tahoma" w:hAnsi="Tahoma" w:cs="Tahoma"/>
                <w:sz w:val="20"/>
                <w:szCs w:val="20"/>
              </w:rPr>
              <w:t xml:space="preserve">, </w:t>
            </w:r>
            <w:r w:rsidRPr="009C4568">
              <w:rPr>
                <w:rFonts w:ascii="Tahoma" w:hAnsi="Tahoma" w:cs="Tahoma"/>
                <w:b/>
                <w:sz w:val="20"/>
                <w:szCs w:val="20"/>
              </w:rPr>
              <w:t>владельцы инвестиционных паев которого являются первыми собственниками такого жилого помещения</w:t>
            </w:r>
            <w:r w:rsidRPr="009C4568">
              <w:rPr>
                <w:rFonts w:ascii="Tahoma" w:hAnsi="Tahoma" w:cs="Tahoma"/>
                <w:sz w:val="20"/>
                <w:szCs w:val="20"/>
              </w:rPr>
              <w:t xml:space="preserve">, дома блокированной застройки, </w:t>
            </w:r>
            <w:r w:rsidRPr="009C4568">
              <w:rPr>
                <w:rFonts w:ascii="Tahoma" w:hAnsi="Tahoma" w:cs="Tahoma"/>
                <w:b/>
                <w:sz w:val="20"/>
                <w:szCs w:val="20"/>
              </w:rPr>
              <w:t>право общей долевой собственности которых на указанные жилые помещения</w:t>
            </w:r>
            <w:r w:rsidRPr="009C4568">
              <w:rPr>
                <w:rFonts w:ascii="Tahoma" w:hAnsi="Tahoma" w:cs="Tahoma"/>
                <w:sz w:val="20"/>
                <w:szCs w:val="20"/>
              </w:rPr>
              <w:t xml:space="preserve">, дома блокированной застройки </w:t>
            </w:r>
            <w:r w:rsidRPr="009C4568">
              <w:rPr>
                <w:rFonts w:ascii="Tahoma" w:hAnsi="Tahoma" w:cs="Tahoma"/>
                <w:b/>
                <w:sz w:val="20"/>
                <w:szCs w:val="20"/>
              </w:rPr>
              <w:t>зарегистрировано после получения разрешения на ввод объекта недвижимости в эксплуатацию, по договорам купли-продажи</w:t>
            </w:r>
            <w:r w:rsidRPr="009C4568">
              <w:rPr>
                <w:rFonts w:ascii="Tahoma" w:hAnsi="Tahoma" w:cs="Tahoma"/>
                <w:sz w:val="20"/>
                <w:szCs w:val="20"/>
              </w:rPr>
              <w:t xml:space="preserve">, заключенным </w:t>
            </w:r>
            <w:r w:rsidRPr="009C4568">
              <w:rPr>
                <w:rFonts w:ascii="Tahoma" w:hAnsi="Tahoma" w:cs="Tahoma"/>
                <w:b/>
                <w:sz w:val="20"/>
                <w:szCs w:val="20"/>
              </w:rPr>
              <w:t>с управляющей компанией ЗПИФ</w:t>
            </w:r>
            <w:r w:rsidRPr="009C4568">
              <w:rPr>
                <w:rFonts w:ascii="Tahoma" w:hAnsi="Tahoma" w:cs="Tahoma"/>
                <w:sz w:val="20"/>
                <w:szCs w:val="20"/>
              </w:rPr>
              <w:t>, осуществляющей доверительное управление таким ЗПИФ.</w:t>
            </w:r>
          </w:p>
          <w:p w14:paraId="50BC7C63" w14:textId="77777777" w:rsidR="00951A61" w:rsidRPr="009C4568" w:rsidRDefault="00951A61" w:rsidP="00951A61">
            <w:pPr>
              <w:pStyle w:val="affe"/>
              <w:numPr>
                <w:ilvl w:val="1"/>
                <w:numId w:val="103"/>
              </w:numPr>
              <w:ind w:left="0" w:firstLine="425"/>
              <w:contextualSpacing/>
              <w:jc w:val="both"/>
              <w:rPr>
                <w:rFonts w:ascii="Tahoma" w:hAnsi="Tahoma" w:cs="Tahoma"/>
                <w:sz w:val="20"/>
                <w:szCs w:val="20"/>
              </w:rPr>
            </w:pPr>
            <w:r w:rsidRPr="009C4568">
              <w:rPr>
                <w:rFonts w:ascii="Tahoma" w:hAnsi="Tahoma" w:cs="Tahoma"/>
                <w:b/>
                <w:sz w:val="20"/>
                <w:szCs w:val="20"/>
              </w:rPr>
              <w:t>Приобретение индивидуального жилого дома</w:t>
            </w:r>
            <w:r w:rsidRPr="009C4568">
              <w:rPr>
                <w:rFonts w:ascii="Tahoma" w:hAnsi="Tahoma" w:cs="Tahoma"/>
                <w:sz w:val="20"/>
                <w:szCs w:val="20"/>
              </w:rPr>
              <w:t xml:space="preserve">, в том числе </w:t>
            </w:r>
            <w:r w:rsidRPr="009C4568">
              <w:rPr>
                <w:rFonts w:ascii="Tahoma" w:hAnsi="Tahoma" w:cs="Tahoma"/>
                <w:b/>
                <w:sz w:val="20"/>
                <w:szCs w:val="20"/>
              </w:rPr>
              <w:t>с земельным участком</w:t>
            </w:r>
            <w:r w:rsidRPr="009C4568">
              <w:rPr>
                <w:rFonts w:ascii="Tahoma" w:hAnsi="Tahoma" w:cs="Tahoma"/>
                <w:sz w:val="20"/>
                <w:szCs w:val="20"/>
              </w:rPr>
              <w:t xml:space="preserve">, расположенного на территории Российской Федерации и </w:t>
            </w:r>
            <w:r w:rsidRPr="009C4568">
              <w:rPr>
                <w:rFonts w:ascii="Tahoma" w:hAnsi="Tahoma" w:cs="Tahoma"/>
                <w:b/>
                <w:sz w:val="20"/>
                <w:szCs w:val="20"/>
              </w:rPr>
              <w:t>входящего в состав имущества ЗПИФ</w:t>
            </w:r>
            <w:r w:rsidRPr="009C4568">
              <w:rPr>
                <w:rFonts w:ascii="Tahoma" w:hAnsi="Tahoma" w:cs="Tahoma"/>
                <w:sz w:val="20"/>
                <w:szCs w:val="20"/>
              </w:rPr>
              <w:t xml:space="preserve">, </w:t>
            </w:r>
            <w:r w:rsidRPr="009C4568">
              <w:rPr>
                <w:rFonts w:ascii="Tahoma" w:hAnsi="Tahoma" w:cs="Tahoma"/>
                <w:b/>
                <w:sz w:val="20"/>
                <w:szCs w:val="20"/>
              </w:rPr>
              <w:t>владельцы инвестиционных паев которого являются первыми собственниками такого жилого дома</w:t>
            </w:r>
            <w:r w:rsidRPr="009C4568">
              <w:rPr>
                <w:rFonts w:ascii="Tahoma" w:hAnsi="Tahoma" w:cs="Tahoma"/>
                <w:sz w:val="20"/>
                <w:szCs w:val="20"/>
              </w:rPr>
              <w:t xml:space="preserve">, в том числе </w:t>
            </w:r>
            <w:r w:rsidRPr="009C4568">
              <w:rPr>
                <w:rFonts w:ascii="Tahoma" w:hAnsi="Tahoma" w:cs="Tahoma"/>
                <w:b/>
                <w:sz w:val="20"/>
                <w:szCs w:val="20"/>
              </w:rPr>
              <w:t>с земельным участком</w:t>
            </w:r>
            <w:r w:rsidRPr="009C4568">
              <w:rPr>
                <w:rFonts w:ascii="Tahoma" w:hAnsi="Tahoma" w:cs="Tahoma"/>
                <w:sz w:val="20"/>
                <w:szCs w:val="20"/>
              </w:rPr>
              <w:t xml:space="preserve">, </w:t>
            </w:r>
            <w:r w:rsidRPr="009C4568">
              <w:rPr>
                <w:rFonts w:ascii="Tahoma" w:hAnsi="Tahoma" w:cs="Tahoma"/>
                <w:b/>
                <w:sz w:val="20"/>
                <w:szCs w:val="20"/>
              </w:rPr>
              <w:t xml:space="preserve">право общей долевой собственности которого </w:t>
            </w:r>
            <w:r w:rsidRPr="009C4568">
              <w:rPr>
                <w:rFonts w:ascii="Tahoma" w:hAnsi="Tahoma" w:cs="Tahoma"/>
                <w:sz w:val="20"/>
                <w:szCs w:val="20"/>
              </w:rPr>
              <w:t>на указанный жилой дом</w:t>
            </w:r>
            <w:r w:rsidRPr="009C4568">
              <w:rPr>
                <w:rFonts w:ascii="Tahoma" w:hAnsi="Tahoma" w:cs="Tahoma"/>
                <w:b/>
                <w:sz w:val="20"/>
                <w:szCs w:val="20"/>
              </w:rPr>
              <w:t xml:space="preserve"> зарегистрировано</w:t>
            </w:r>
            <w:r w:rsidRPr="009C4568">
              <w:rPr>
                <w:rFonts w:ascii="Tahoma" w:hAnsi="Tahoma" w:cs="Tahoma"/>
                <w:sz w:val="20"/>
                <w:szCs w:val="20"/>
              </w:rPr>
              <w:t xml:space="preserve"> </w:t>
            </w:r>
            <w:r w:rsidRPr="009C4568">
              <w:rPr>
                <w:rFonts w:ascii="Tahoma" w:hAnsi="Tahoma" w:cs="Tahoma"/>
                <w:b/>
                <w:sz w:val="20"/>
                <w:szCs w:val="20"/>
              </w:rPr>
              <w:t>после получения уведомления о соответствии построенного или реконструированного объекта индивидуального жилищного строительства требованиям законодательства о градостроительной деятельности, по договору купли-продажи</w:t>
            </w:r>
            <w:r w:rsidRPr="009C4568">
              <w:rPr>
                <w:rFonts w:ascii="Tahoma" w:hAnsi="Tahoma" w:cs="Tahoma"/>
                <w:sz w:val="20"/>
                <w:szCs w:val="20"/>
              </w:rPr>
              <w:t xml:space="preserve">, заключенным </w:t>
            </w:r>
            <w:r w:rsidRPr="009C4568">
              <w:rPr>
                <w:rFonts w:ascii="Tahoma" w:hAnsi="Tahoma" w:cs="Tahoma"/>
                <w:b/>
                <w:sz w:val="20"/>
                <w:szCs w:val="20"/>
              </w:rPr>
              <w:t>с управляющей компанией ЗПИФ</w:t>
            </w:r>
            <w:r w:rsidRPr="009C4568">
              <w:rPr>
                <w:rFonts w:ascii="Tahoma" w:hAnsi="Tahoma" w:cs="Tahoma"/>
                <w:sz w:val="20"/>
                <w:szCs w:val="20"/>
              </w:rPr>
              <w:t>, осуществляющей доверительное управление таким ЗПИФ.</w:t>
            </w:r>
          </w:p>
          <w:p w14:paraId="69FCB967" w14:textId="77777777" w:rsidR="00951A61" w:rsidRPr="009C4568" w:rsidRDefault="00951A61" w:rsidP="00951A61">
            <w:pPr>
              <w:pStyle w:val="affe"/>
              <w:numPr>
                <w:ilvl w:val="1"/>
                <w:numId w:val="103"/>
              </w:numPr>
              <w:ind w:left="0" w:firstLine="425"/>
              <w:contextualSpacing/>
              <w:jc w:val="both"/>
              <w:rPr>
                <w:rFonts w:ascii="Tahoma" w:hAnsi="Tahoma" w:cs="Tahoma"/>
                <w:sz w:val="20"/>
                <w:szCs w:val="20"/>
              </w:rPr>
            </w:pPr>
            <w:r w:rsidRPr="009C4568">
              <w:rPr>
                <w:rFonts w:ascii="Tahoma" w:hAnsi="Tahoma" w:cs="Tahoma"/>
                <w:b/>
                <w:sz w:val="20"/>
                <w:szCs w:val="20"/>
              </w:rPr>
              <w:t>Приобретение</w:t>
            </w:r>
            <w:r w:rsidRPr="009C4568">
              <w:rPr>
                <w:rFonts w:ascii="Tahoma" w:hAnsi="Tahoma" w:cs="Tahoma"/>
                <w:sz w:val="20"/>
                <w:szCs w:val="20"/>
              </w:rPr>
              <w:t xml:space="preserve"> жилого помещения в многоквартирном доме, в доме блокированной застройки, дома блокированной застройки, в том числе с земельным участком (</w:t>
            </w:r>
            <w:r w:rsidRPr="009C4568">
              <w:rPr>
                <w:rFonts w:ascii="Tahoma" w:hAnsi="Tahoma" w:cs="Tahoma"/>
                <w:b/>
                <w:sz w:val="20"/>
                <w:szCs w:val="20"/>
              </w:rPr>
              <w:t>квартиры в многоквартирном доме; таунхауса</w:t>
            </w:r>
            <w:r w:rsidRPr="009C4568">
              <w:rPr>
                <w:rFonts w:ascii="Tahoma" w:hAnsi="Tahoma" w:cs="Tahoma"/>
                <w:sz w:val="20"/>
                <w:szCs w:val="20"/>
              </w:rPr>
              <w:t xml:space="preserve">), расположенного на территории Российской Федерации и </w:t>
            </w:r>
            <w:r w:rsidRPr="009C4568">
              <w:rPr>
                <w:rFonts w:ascii="Tahoma" w:hAnsi="Tahoma" w:cs="Tahoma"/>
                <w:b/>
                <w:sz w:val="20"/>
                <w:szCs w:val="20"/>
              </w:rPr>
              <w:t>переданных Фонду</w:t>
            </w:r>
            <w:r w:rsidRPr="009C4568">
              <w:rPr>
                <w:rFonts w:ascii="Tahoma" w:hAnsi="Tahoma" w:cs="Tahoma"/>
                <w:sz w:val="20"/>
                <w:szCs w:val="20"/>
              </w:rPr>
              <w:t xml:space="preserve"> в соответствии со статьей 13.4 Федерального закона "О публично-правовой компании "Фонд развития территорий" и о внесении изменений в отдельные законодательные акты Российской Федерации", </w:t>
            </w:r>
            <w:r w:rsidRPr="009C4568">
              <w:rPr>
                <w:rFonts w:ascii="Tahoma" w:hAnsi="Tahoma" w:cs="Tahoma"/>
                <w:b/>
                <w:sz w:val="20"/>
                <w:szCs w:val="20"/>
              </w:rPr>
              <w:t>по договорам купли-продажи, заключенному с Фондом</w:t>
            </w:r>
            <w:r w:rsidRPr="009C4568">
              <w:rPr>
                <w:rFonts w:ascii="Tahoma" w:hAnsi="Tahoma" w:cs="Tahoma"/>
                <w:sz w:val="20"/>
                <w:szCs w:val="20"/>
              </w:rPr>
              <w:t>.</w:t>
            </w:r>
          </w:p>
          <w:p w14:paraId="1F61A3A6" w14:textId="77777777" w:rsidR="00951A61" w:rsidRPr="009C4568" w:rsidRDefault="00951A61" w:rsidP="00951A61">
            <w:pPr>
              <w:pStyle w:val="affe"/>
              <w:numPr>
                <w:ilvl w:val="1"/>
                <w:numId w:val="103"/>
              </w:numPr>
              <w:ind w:left="0" w:firstLine="425"/>
              <w:contextualSpacing/>
              <w:jc w:val="both"/>
              <w:rPr>
                <w:rFonts w:ascii="Tahoma" w:hAnsi="Tahoma" w:cs="Tahoma"/>
                <w:sz w:val="20"/>
                <w:szCs w:val="20"/>
              </w:rPr>
            </w:pPr>
            <w:r w:rsidRPr="009C4568">
              <w:rPr>
                <w:rFonts w:ascii="Tahoma" w:hAnsi="Tahoma" w:cs="Tahoma"/>
                <w:b/>
                <w:sz w:val="20"/>
                <w:szCs w:val="20"/>
              </w:rPr>
              <w:t>Приобретение</w:t>
            </w:r>
            <w:r w:rsidRPr="009C4568">
              <w:rPr>
                <w:rFonts w:ascii="Tahoma" w:hAnsi="Tahoma" w:cs="Tahoma"/>
                <w:sz w:val="20"/>
                <w:szCs w:val="20"/>
              </w:rPr>
              <w:t xml:space="preserve"> жилого помещения в многоквартирном доме (</w:t>
            </w:r>
            <w:r w:rsidRPr="009C4568">
              <w:rPr>
                <w:rFonts w:ascii="Tahoma" w:hAnsi="Tahoma" w:cs="Tahoma"/>
                <w:b/>
                <w:sz w:val="20"/>
                <w:szCs w:val="20"/>
              </w:rPr>
              <w:t>квартиры</w:t>
            </w:r>
            <w:r w:rsidRPr="009C4568">
              <w:rPr>
                <w:rFonts w:ascii="Tahoma" w:hAnsi="Tahoma" w:cs="Tahoma"/>
                <w:sz w:val="20"/>
                <w:szCs w:val="20"/>
              </w:rPr>
              <w:t xml:space="preserve">), </w:t>
            </w:r>
            <w:r w:rsidRPr="009C4568">
              <w:rPr>
                <w:rFonts w:ascii="Tahoma" w:hAnsi="Tahoma" w:cs="Tahoma"/>
                <w:b/>
                <w:sz w:val="20"/>
                <w:szCs w:val="20"/>
              </w:rPr>
              <w:t>разрешение на ввод в эксплуатацию которого получено Московским фондом реновации жилой застройки (далее – Фонд реновации), по договорам купли-продажи, заключенному с Фондом реновации</w:t>
            </w:r>
            <w:r w:rsidRPr="009C4568">
              <w:rPr>
                <w:rFonts w:ascii="Tahoma" w:hAnsi="Tahoma" w:cs="Tahoma"/>
                <w:sz w:val="20"/>
                <w:szCs w:val="20"/>
              </w:rPr>
              <w:t>.</w:t>
            </w:r>
          </w:p>
          <w:p w14:paraId="7FCFDB1C" w14:textId="77777777" w:rsidR="00951A61" w:rsidRPr="009C4568" w:rsidRDefault="00951A61" w:rsidP="00951A61">
            <w:pPr>
              <w:pStyle w:val="affe"/>
              <w:numPr>
                <w:ilvl w:val="1"/>
                <w:numId w:val="103"/>
              </w:numPr>
              <w:ind w:left="0" w:firstLine="425"/>
              <w:contextualSpacing/>
              <w:jc w:val="both"/>
              <w:rPr>
                <w:rFonts w:ascii="Tahoma" w:hAnsi="Tahoma" w:cs="Tahoma"/>
                <w:sz w:val="20"/>
                <w:szCs w:val="20"/>
              </w:rPr>
            </w:pPr>
            <w:r w:rsidRPr="009C4568">
              <w:rPr>
                <w:rFonts w:ascii="Tahoma" w:hAnsi="Tahoma" w:cs="Tahoma"/>
                <w:b/>
                <w:sz w:val="20"/>
                <w:szCs w:val="20"/>
              </w:rPr>
              <w:t xml:space="preserve">Приобретение готового жилого помещения </w:t>
            </w:r>
            <w:r w:rsidRPr="009C4568">
              <w:rPr>
                <w:rFonts w:ascii="Tahoma" w:hAnsi="Tahoma" w:cs="Tahoma"/>
                <w:sz w:val="20"/>
                <w:szCs w:val="20"/>
              </w:rPr>
              <w:t>(</w:t>
            </w:r>
            <w:r w:rsidRPr="009C4568">
              <w:rPr>
                <w:rFonts w:ascii="Tahoma" w:hAnsi="Tahoma" w:cs="Tahoma"/>
                <w:b/>
                <w:sz w:val="20"/>
                <w:szCs w:val="20"/>
              </w:rPr>
              <w:t>квартиры в многоквартирном доме; таунхауса</w:t>
            </w:r>
            <w:r w:rsidRPr="009C4568">
              <w:rPr>
                <w:rFonts w:ascii="Tahoma" w:hAnsi="Tahoma" w:cs="Tahoma"/>
                <w:sz w:val="20"/>
                <w:szCs w:val="20"/>
              </w:rPr>
              <w:t>)</w:t>
            </w:r>
            <w:r w:rsidRPr="009C4568">
              <w:rPr>
                <w:rFonts w:ascii="Tahoma" w:hAnsi="Tahoma" w:cs="Tahoma"/>
                <w:b/>
                <w:sz w:val="20"/>
                <w:szCs w:val="20"/>
              </w:rPr>
              <w:t>, расположенного в границах субъекта Российской Федерации, в том числе на территории обслуживания Банком, на территории которого по состоянию на последнее число месяца, предшествующего месяцу, в котором планируется заключение кредитного договора, отсутствуют строящиеся многоквартирные дома</w:t>
            </w:r>
            <w:r w:rsidRPr="009C4568">
              <w:rPr>
                <w:rFonts w:ascii="Tahoma" w:hAnsi="Tahoma" w:cs="Tahoma"/>
                <w:sz w:val="20"/>
                <w:szCs w:val="20"/>
              </w:rPr>
              <w:t xml:space="preserve"> согласно данным проектных деклараций, размещенных в единой информационной системе жилищного строительства, без учета многоквартирных домов, сведения о которых включены в единый реестр проблемных объектов в соответствии со статьей 23.1 Федерального закона "Об участии в долевом строительстве многоквартирных домов и иных объектов недвижимости и о внесении изменений в некоторые законодательные акты Российской Федерации", </w:t>
            </w:r>
            <w:r w:rsidRPr="009C4568">
              <w:rPr>
                <w:rFonts w:ascii="Tahoma" w:hAnsi="Tahoma" w:cs="Tahoma"/>
                <w:b/>
                <w:sz w:val="20"/>
                <w:szCs w:val="20"/>
              </w:rPr>
              <w:t>по договору купли-продажи</w:t>
            </w:r>
            <w:r w:rsidRPr="009C4568">
              <w:rPr>
                <w:rFonts w:ascii="Tahoma" w:hAnsi="Tahoma" w:cs="Tahoma"/>
                <w:sz w:val="20"/>
                <w:szCs w:val="20"/>
              </w:rPr>
              <w:t xml:space="preserve">, </w:t>
            </w:r>
            <w:r w:rsidRPr="009C4568">
              <w:rPr>
                <w:rFonts w:ascii="Tahoma" w:hAnsi="Tahoma" w:cs="Tahoma"/>
                <w:b/>
                <w:sz w:val="20"/>
                <w:szCs w:val="20"/>
              </w:rPr>
              <w:t>заключенному с юридическим лицом, или с управляющей компанией ЗПИФ</w:t>
            </w:r>
            <w:r w:rsidRPr="009C4568">
              <w:rPr>
                <w:rFonts w:ascii="Tahoma" w:hAnsi="Tahoma" w:cs="Tahoma"/>
                <w:sz w:val="20"/>
                <w:szCs w:val="20"/>
              </w:rPr>
              <w:t xml:space="preserve">, осуществляющей доверительное управление ЗПИФ, в состав имущества которого входит указанное жилое помещение, </w:t>
            </w:r>
            <w:r w:rsidRPr="009C4568">
              <w:rPr>
                <w:rFonts w:ascii="Tahoma" w:hAnsi="Tahoma" w:cs="Tahoma"/>
                <w:sz w:val="20"/>
                <w:szCs w:val="20"/>
              </w:rPr>
              <w:lastRenderedPageBreak/>
              <w:t xml:space="preserve">право общей долевой собственности на которое принадлежит владельцам инвестиционных паев такого ЗПИФ, </w:t>
            </w:r>
            <w:r w:rsidRPr="009C4568">
              <w:rPr>
                <w:rFonts w:ascii="Tahoma" w:hAnsi="Tahoma" w:cs="Tahoma"/>
                <w:b/>
                <w:sz w:val="20"/>
                <w:szCs w:val="20"/>
              </w:rPr>
              <w:t>или с индивидуальным предпринимателем, или с физическим лицом</w:t>
            </w:r>
            <w:r w:rsidRPr="009C4568">
              <w:rPr>
                <w:rFonts w:ascii="Tahoma" w:hAnsi="Tahoma" w:cs="Tahoma"/>
                <w:sz w:val="20"/>
                <w:szCs w:val="20"/>
              </w:rPr>
              <w:t>.</w:t>
            </w:r>
          </w:p>
          <w:p w14:paraId="6415D022" w14:textId="77777777" w:rsidR="00951A61" w:rsidRPr="009C4568" w:rsidRDefault="00951A61" w:rsidP="00951A61">
            <w:pPr>
              <w:pStyle w:val="affe"/>
              <w:numPr>
                <w:ilvl w:val="1"/>
                <w:numId w:val="103"/>
              </w:numPr>
              <w:ind w:left="0" w:firstLine="425"/>
              <w:contextualSpacing/>
              <w:jc w:val="both"/>
              <w:rPr>
                <w:rFonts w:ascii="Tahoma" w:hAnsi="Tahoma" w:cs="Tahoma"/>
                <w:sz w:val="20"/>
                <w:szCs w:val="20"/>
              </w:rPr>
            </w:pPr>
            <w:r w:rsidRPr="009C4568">
              <w:rPr>
                <w:rFonts w:ascii="Tahoma" w:hAnsi="Tahoma" w:cs="Tahoma"/>
                <w:b/>
                <w:sz w:val="20"/>
                <w:szCs w:val="20"/>
              </w:rPr>
              <w:t>Погашение ранее выданного кредита</w:t>
            </w:r>
            <w:r w:rsidRPr="009C4568">
              <w:rPr>
                <w:rFonts w:ascii="Tahoma" w:hAnsi="Tahoma" w:cs="Tahoma"/>
                <w:sz w:val="20"/>
                <w:szCs w:val="20"/>
              </w:rPr>
              <w:t xml:space="preserve"> (займа) независимо от даты его выдачи на цели, указанные в пп. 3.1.–3.7.  настоящего пункта, в том числе кредита (займа), по которому ранее были изменены условия кредитного договора (кроме целей кредита (займа)) (</w:t>
            </w:r>
            <w:r w:rsidRPr="009C4568">
              <w:rPr>
                <w:rFonts w:ascii="Tahoma" w:hAnsi="Tahoma" w:cs="Tahoma"/>
                <w:b/>
                <w:sz w:val="20"/>
                <w:szCs w:val="20"/>
              </w:rPr>
              <w:t>первое рефинансирование</w:t>
            </w:r>
            <w:r w:rsidRPr="009C4568">
              <w:rPr>
                <w:rFonts w:ascii="Tahoma" w:hAnsi="Tahoma" w:cs="Tahoma"/>
                <w:sz w:val="20"/>
                <w:szCs w:val="20"/>
              </w:rPr>
              <w:t>)</w:t>
            </w:r>
            <w:r w:rsidRPr="009C4568">
              <w:rPr>
                <w:rStyle w:val="aff3"/>
                <w:rFonts w:ascii="Tahoma" w:hAnsi="Tahoma"/>
                <w:sz w:val="20"/>
                <w:szCs w:val="20"/>
              </w:rPr>
              <w:footnoteReference w:id="120"/>
            </w:r>
            <w:r w:rsidRPr="009C4568">
              <w:rPr>
                <w:rFonts w:ascii="Tahoma" w:hAnsi="Tahoma" w:cs="Tahoma"/>
                <w:sz w:val="20"/>
                <w:szCs w:val="20"/>
              </w:rPr>
              <w:t>.</w:t>
            </w:r>
          </w:p>
          <w:p w14:paraId="33DE9812" w14:textId="77777777" w:rsidR="00951A61" w:rsidRPr="009C4568" w:rsidRDefault="00951A61" w:rsidP="00A4032F">
            <w:pPr>
              <w:pStyle w:val="affe"/>
              <w:ind w:left="425"/>
              <w:jc w:val="both"/>
              <w:rPr>
                <w:rFonts w:ascii="Tahoma" w:hAnsi="Tahoma" w:cs="Tahoma"/>
                <w:sz w:val="20"/>
                <w:szCs w:val="20"/>
              </w:rPr>
            </w:pPr>
            <w:bookmarkStart w:id="129" w:name="P66"/>
            <w:bookmarkStart w:id="130" w:name="P67"/>
            <w:bookmarkEnd w:id="127"/>
            <w:bookmarkEnd w:id="128"/>
            <w:bookmarkEnd w:id="129"/>
            <w:bookmarkEnd w:id="130"/>
          </w:p>
        </w:tc>
      </w:tr>
      <w:tr w:rsidR="00951A61" w:rsidRPr="00F369B0" w14:paraId="0576D753"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3586BA6C" w14:textId="77777777" w:rsidR="00951A61" w:rsidRPr="00F369B0" w:rsidRDefault="00951A61" w:rsidP="00A4032F">
            <w:pPr>
              <w:pStyle w:val="affe"/>
              <w:ind w:left="-6"/>
              <w:jc w:val="center"/>
              <w:rPr>
                <w:rFonts w:ascii="Tahoma" w:hAnsi="Tahoma" w:cs="Tahoma"/>
                <w:b/>
                <w:sz w:val="20"/>
                <w:szCs w:val="20"/>
              </w:rPr>
            </w:pPr>
            <w:r w:rsidRPr="00F369B0">
              <w:rPr>
                <w:rFonts w:ascii="Tahoma" w:hAnsi="Tahoma" w:cs="Tahoma"/>
                <w:b/>
                <w:sz w:val="20"/>
                <w:szCs w:val="20"/>
              </w:rPr>
              <w:lastRenderedPageBreak/>
              <w:t>Подразделения Банка, реализующие кредитный продукт</w:t>
            </w:r>
          </w:p>
        </w:tc>
        <w:tc>
          <w:tcPr>
            <w:tcW w:w="11452" w:type="dxa"/>
            <w:tcBorders>
              <w:top w:val="single" w:sz="4" w:space="0" w:color="auto"/>
              <w:left w:val="nil"/>
              <w:bottom w:val="single" w:sz="4" w:space="0" w:color="auto"/>
              <w:right w:val="single" w:sz="4" w:space="0" w:color="auto"/>
            </w:tcBorders>
            <w:shd w:val="clear" w:color="auto" w:fill="auto"/>
            <w:vAlign w:val="center"/>
          </w:tcPr>
          <w:p w14:paraId="0CAA89D8" w14:textId="77777777" w:rsidR="00951A61" w:rsidRPr="00F369B0" w:rsidRDefault="00951A61" w:rsidP="00A4032F">
            <w:pPr>
              <w:ind w:firstLine="425"/>
              <w:jc w:val="both"/>
              <w:rPr>
                <w:rFonts w:ascii="Tahoma" w:hAnsi="Tahoma" w:cs="Tahoma"/>
                <w:sz w:val="20"/>
                <w:szCs w:val="20"/>
              </w:rPr>
            </w:pPr>
            <w:r w:rsidRPr="00F369B0">
              <w:rPr>
                <w:rFonts w:ascii="Tahoma" w:hAnsi="Tahoma" w:cs="Tahoma"/>
                <w:sz w:val="20"/>
                <w:szCs w:val="20"/>
              </w:rPr>
              <w:t>Все подразделения Банка</w:t>
            </w:r>
          </w:p>
        </w:tc>
      </w:tr>
      <w:tr w:rsidR="00951A61" w:rsidRPr="00F369B0" w14:paraId="47ABBA4F"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3B2F32F1" w14:textId="77777777" w:rsidR="00951A61" w:rsidRPr="00F369B0" w:rsidRDefault="00951A61" w:rsidP="00A4032F">
            <w:pPr>
              <w:pStyle w:val="ConsPlusNormal"/>
              <w:ind w:left="-6"/>
              <w:jc w:val="center"/>
              <w:rPr>
                <w:rFonts w:ascii="Tahoma" w:hAnsi="Tahoma" w:cs="Tahoma"/>
                <w:b/>
                <w:bCs/>
              </w:rPr>
            </w:pPr>
            <w:r w:rsidRPr="00F369B0">
              <w:rPr>
                <w:rFonts w:ascii="Tahoma" w:hAnsi="Tahoma" w:cs="Tahoma"/>
                <w:b/>
                <w:bCs/>
              </w:rPr>
              <w:t xml:space="preserve">Категория Заемщика/Требования к Заемщику, либо к солидарным Заемщикам (к одному из солидарных Заемщиков), </w:t>
            </w:r>
            <w:r w:rsidRPr="00F369B0">
              <w:rPr>
                <w:rFonts w:ascii="Tahoma" w:hAnsi="Tahoma" w:cs="Tahoma"/>
                <w:b/>
              </w:rPr>
              <w:t>которые установлены Банком и выполнение которых является обязательным для предоставления потребительского кредита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1CC20C56" w14:textId="77777777" w:rsidR="00951A61" w:rsidRPr="009C4568" w:rsidRDefault="00951A61" w:rsidP="00A4032F">
            <w:pPr>
              <w:ind w:firstLine="425"/>
              <w:jc w:val="both"/>
              <w:rPr>
                <w:rFonts w:ascii="Tahoma" w:hAnsi="Tahoma" w:cs="Tahoma"/>
                <w:b/>
                <w:sz w:val="20"/>
                <w:szCs w:val="20"/>
              </w:rPr>
            </w:pPr>
            <w:r w:rsidRPr="009C4568">
              <w:rPr>
                <w:rFonts w:ascii="Tahoma" w:hAnsi="Tahoma" w:cs="Tahoma"/>
                <w:b/>
                <w:sz w:val="20"/>
                <w:szCs w:val="20"/>
              </w:rPr>
              <w:t>1. Категории Заемщиков - целевых участников программы:</w:t>
            </w:r>
          </w:p>
          <w:p w14:paraId="5B600F57" w14:textId="77777777" w:rsidR="00951A61" w:rsidRPr="009C4568" w:rsidRDefault="00951A61" w:rsidP="00A4032F">
            <w:pPr>
              <w:ind w:firstLine="425"/>
              <w:jc w:val="both"/>
              <w:rPr>
                <w:rFonts w:ascii="Tahoma" w:hAnsi="Tahoma" w:cs="Tahoma"/>
                <w:sz w:val="20"/>
                <w:szCs w:val="20"/>
              </w:rPr>
            </w:pPr>
            <w:r w:rsidRPr="009C4568">
              <w:rPr>
                <w:rFonts w:ascii="Tahoma" w:hAnsi="Tahoma" w:cs="Tahoma"/>
                <w:sz w:val="20"/>
                <w:szCs w:val="20"/>
              </w:rPr>
              <w:t xml:space="preserve">1.1. </w:t>
            </w:r>
            <w:r w:rsidRPr="009C4568">
              <w:rPr>
                <w:rFonts w:ascii="Tahoma" w:hAnsi="Tahoma" w:cs="Tahoma"/>
                <w:b/>
                <w:sz w:val="20"/>
                <w:szCs w:val="20"/>
              </w:rPr>
              <w:t>Граждане</w:t>
            </w:r>
            <w:r w:rsidRPr="009C4568">
              <w:rPr>
                <w:rFonts w:ascii="Tahoma" w:hAnsi="Tahoma" w:cs="Tahoma"/>
                <w:sz w:val="20"/>
                <w:szCs w:val="20"/>
              </w:rPr>
              <w:t xml:space="preserve"> Российской Федерации, </w:t>
            </w:r>
            <w:r w:rsidRPr="009C4568">
              <w:rPr>
                <w:rFonts w:ascii="Tahoma" w:hAnsi="Tahoma" w:cs="Tahoma"/>
                <w:b/>
                <w:sz w:val="20"/>
                <w:szCs w:val="20"/>
              </w:rPr>
              <w:t>имеющие ребенка</w:t>
            </w:r>
            <w:r w:rsidRPr="009C4568">
              <w:rPr>
                <w:rFonts w:ascii="Tahoma" w:hAnsi="Tahoma" w:cs="Tahoma"/>
                <w:sz w:val="20"/>
                <w:szCs w:val="20"/>
              </w:rPr>
              <w:t xml:space="preserve">, который является гражданином Российской Федерации и </w:t>
            </w:r>
            <w:r w:rsidRPr="009C4568">
              <w:rPr>
                <w:rFonts w:ascii="Tahoma" w:hAnsi="Tahoma" w:cs="Tahoma"/>
                <w:b/>
                <w:sz w:val="20"/>
                <w:szCs w:val="20"/>
              </w:rPr>
              <w:t>возраст которого не достиг 7 лет</w:t>
            </w:r>
            <w:r w:rsidRPr="009C4568">
              <w:rPr>
                <w:rFonts w:ascii="Tahoma" w:hAnsi="Tahoma" w:cs="Tahoma"/>
                <w:sz w:val="20"/>
                <w:szCs w:val="20"/>
              </w:rPr>
              <w:t xml:space="preserve"> </w:t>
            </w:r>
            <w:r w:rsidRPr="009C4568">
              <w:rPr>
                <w:rFonts w:ascii="Tahoma" w:hAnsi="Tahoma" w:cs="Tahoma"/>
                <w:b/>
                <w:sz w:val="20"/>
                <w:szCs w:val="20"/>
              </w:rPr>
              <w:t>на дату заключения кредитного договора</w:t>
            </w:r>
            <w:r w:rsidRPr="009C4568">
              <w:rPr>
                <w:rFonts w:ascii="Tahoma" w:hAnsi="Tahoma" w:cs="Tahoma"/>
                <w:sz w:val="20"/>
                <w:szCs w:val="20"/>
              </w:rPr>
              <w:t>;</w:t>
            </w:r>
          </w:p>
          <w:p w14:paraId="0F395D1E" w14:textId="77777777" w:rsidR="00951A61" w:rsidRPr="009C4568" w:rsidRDefault="00951A61" w:rsidP="00A4032F">
            <w:pPr>
              <w:ind w:firstLine="425"/>
              <w:jc w:val="both"/>
              <w:rPr>
                <w:rFonts w:ascii="Tahoma" w:hAnsi="Tahoma" w:cs="Tahoma"/>
                <w:sz w:val="20"/>
                <w:szCs w:val="20"/>
              </w:rPr>
            </w:pPr>
            <w:r w:rsidRPr="009C4568">
              <w:rPr>
                <w:rFonts w:ascii="Tahoma" w:hAnsi="Tahoma" w:cs="Tahoma"/>
                <w:sz w:val="20"/>
                <w:szCs w:val="20"/>
              </w:rPr>
              <w:t xml:space="preserve">1.2. </w:t>
            </w:r>
            <w:r w:rsidRPr="009C4568">
              <w:rPr>
                <w:rFonts w:ascii="Tahoma" w:hAnsi="Tahoma" w:cs="Tahoma"/>
                <w:b/>
                <w:sz w:val="20"/>
                <w:szCs w:val="20"/>
              </w:rPr>
              <w:t>Граждане</w:t>
            </w:r>
            <w:r w:rsidRPr="009C4568">
              <w:rPr>
                <w:rFonts w:ascii="Tahoma" w:hAnsi="Tahoma" w:cs="Tahoma"/>
                <w:sz w:val="20"/>
                <w:szCs w:val="20"/>
              </w:rPr>
              <w:t xml:space="preserve"> Российской Федерации, </w:t>
            </w:r>
            <w:r w:rsidRPr="009C4568">
              <w:rPr>
                <w:rFonts w:ascii="Tahoma" w:hAnsi="Tahoma" w:cs="Tahoma"/>
                <w:b/>
                <w:sz w:val="20"/>
                <w:szCs w:val="20"/>
              </w:rPr>
              <w:t>имеющие двух или более детей</w:t>
            </w:r>
            <w:r w:rsidRPr="009C4568">
              <w:rPr>
                <w:rFonts w:ascii="Tahoma" w:hAnsi="Tahoma" w:cs="Tahoma"/>
                <w:sz w:val="20"/>
                <w:szCs w:val="20"/>
              </w:rPr>
              <w:t xml:space="preserve">, </w:t>
            </w:r>
            <w:r w:rsidRPr="009C4568">
              <w:rPr>
                <w:rFonts w:ascii="Tahoma" w:hAnsi="Tahoma" w:cs="Tahoma"/>
                <w:b/>
                <w:sz w:val="20"/>
                <w:szCs w:val="20"/>
              </w:rPr>
              <w:t>которые</w:t>
            </w:r>
            <w:r w:rsidRPr="009C4568">
              <w:rPr>
                <w:rFonts w:ascii="Tahoma" w:hAnsi="Tahoma" w:cs="Tahoma"/>
                <w:sz w:val="20"/>
                <w:szCs w:val="20"/>
              </w:rPr>
              <w:t xml:space="preserve"> являются гражданами Российской Федерации и </w:t>
            </w:r>
            <w:r w:rsidRPr="009C4568">
              <w:rPr>
                <w:rFonts w:ascii="Tahoma" w:hAnsi="Tahoma" w:cs="Tahoma"/>
                <w:b/>
                <w:sz w:val="20"/>
                <w:szCs w:val="20"/>
              </w:rPr>
              <w:t>не достигли возраста 18 лет на дату заключения кредитного договора</w:t>
            </w:r>
            <w:r w:rsidRPr="009C4568">
              <w:rPr>
                <w:rFonts w:ascii="Tahoma" w:hAnsi="Tahoma" w:cs="Tahoma"/>
                <w:sz w:val="20"/>
                <w:szCs w:val="20"/>
              </w:rPr>
              <w:t>;</w:t>
            </w:r>
          </w:p>
          <w:p w14:paraId="26B5F994" w14:textId="77777777" w:rsidR="00951A61" w:rsidRPr="00BF1C29" w:rsidRDefault="00951A61" w:rsidP="00A4032F">
            <w:pPr>
              <w:ind w:firstLine="425"/>
              <w:jc w:val="both"/>
              <w:rPr>
                <w:rFonts w:ascii="Tahoma" w:hAnsi="Tahoma" w:cs="Tahoma"/>
                <w:sz w:val="20"/>
                <w:szCs w:val="20"/>
              </w:rPr>
            </w:pPr>
            <w:r w:rsidRPr="009C4568">
              <w:rPr>
                <w:rFonts w:ascii="Tahoma" w:hAnsi="Tahoma" w:cs="Tahoma"/>
                <w:sz w:val="20"/>
                <w:szCs w:val="20"/>
              </w:rPr>
              <w:t xml:space="preserve">1.3. </w:t>
            </w:r>
            <w:r w:rsidRPr="009C4568">
              <w:rPr>
                <w:rFonts w:ascii="Tahoma" w:hAnsi="Tahoma" w:cs="Tahoma"/>
                <w:b/>
                <w:sz w:val="20"/>
                <w:szCs w:val="20"/>
              </w:rPr>
              <w:t>Граждане</w:t>
            </w:r>
            <w:r w:rsidRPr="009C4568">
              <w:rPr>
                <w:rFonts w:ascii="Tahoma" w:hAnsi="Tahoma" w:cs="Tahoma"/>
                <w:sz w:val="20"/>
                <w:szCs w:val="20"/>
              </w:rPr>
              <w:t xml:space="preserve"> Российской Федерации, </w:t>
            </w:r>
            <w:r w:rsidRPr="009C4568">
              <w:rPr>
                <w:rFonts w:ascii="Tahoma" w:hAnsi="Tahoma" w:cs="Tahoma"/>
                <w:b/>
                <w:sz w:val="20"/>
                <w:szCs w:val="20"/>
              </w:rPr>
              <w:t>имеющие ребенка</w:t>
            </w:r>
            <w:r w:rsidRPr="009C4568">
              <w:rPr>
                <w:rFonts w:ascii="Tahoma" w:hAnsi="Tahoma" w:cs="Tahoma"/>
                <w:sz w:val="20"/>
                <w:szCs w:val="20"/>
              </w:rPr>
              <w:t xml:space="preserve">, который является гражданином Российской Федерации, и </w:t>
            </w:r>
            <w:r w:rsidRPr="009C4568">
              <w:rPr>
                <w:rFonts w:ascii="Tahoma" w:hAnsi="Tahoma" w:cs="Tahoma"/>
                <w:b/>
                <w:sz w:val="20"/>
                <w:szCs w:val="20"/>
              </w:rPr>
              <w:t>которому установлена категория "ребенок-инвалид"</w:t>
            </w:r>
            <w:r w:rsidRPr="00BF1C29">
              <w:rPr>
                <w:rFonts w:ascii="Tahoma" w:hAnsi="Tahoma" w:cs="Tahoma"/>
                <w:sz w:val="20"/>
                <w:szCs w:val="20"/>
              </w:rPr>
              <w:t>.</w:t>
            </w:r>
          </w:p>
          <w:p w14:paraId="2E3466A7" w14:textId="77777777" w:rsidR="00951A61" w:rsidRPr="00BF1C29" w:rsidRDefault="00951A61" w:rsidP="00A4032F">
            <w:pPr>
              <w:ind w:firstLine="425"/>
              <w:jc w:val="both"/>
              <w:rPr>
                <w:rFonts w:ascii="Tahoma" w:hAnsi="Tahoma" w:cs="Tahoma"/>
                <w:sz w:val="20"/>
                <w:szCs w:val="20"/>
              </w:rPr>
            </w:pPr>
          </w:p>
          <w:p w14:paraId="2B52DDE0" w14:textId="77777777" w:rsidR="00951A61" w:rsidRPr="00BF1C29" w:rsidRDefault="00951A61" w:rsidP="00A4032F">
            <w:pPr>
              <w:ind w:firstLine="425"/>
              <w:jc w:val="both"/>
              <w:rPr>
                <w:rFonts w:ascii="Tahoma" w:hAnsi="Tahoma" w:cs="Tahoma"/>
                <w:sz w:val="20"/>
                <w:szCs w:val="20"/>
              </w:rPr>
            </w:pPr>
            <w:r w:rsidRPr="00BF1C29">
              <w:rPr>
                <w:rFonts w:ascii="Tahoma" w:hAnsi="Tahoma" w:cs="Tahoma"/>
                <w:sz w:val="20"/>
                <w:szCs w:val="20"/>
              </w:rPr>
              <w:t>Право на получение кредита в соответствии с настоящим разделом возникает как у матери, так и у отца первого ребенка и (или) последующих детей, а также как у матери, так и у отца ребенка, которому установлена категория «ребенок-инвалид».</w:t>
            </w:r>
          </w:p>
          <w:p w14:paraId="25169F9C" w14:textId="77777777" w:rsidR="00951A61" w:rsidRPr="00BF1C29" w:rsidRDefault="00951A61" w:rsidP="00A4032F">
            <w:pPr>
              <w:ind w:firstLine="425"/>
              <w:jc w:val="both"/>
              <w:rPr>
                <w:rFonts w:ascii="Tahoma" w:hAnsi="Tahoma" w:cs="Tahoma"/>
                <w:sz w:val="20"/>
                <w:szCs w:val="20"/>
              </w:rPr>
            </w:pPr>
          </w:p>
          <w:p w14:paraId="6FF5F737" w14:textId="77777777" w:rsidR="00951A61" w:rsidRPr="00BF1C29" w:rsidRDefault="00951A61" w:rsidP="00A4032F">
            <w:pPr>
              <w:ind w:firstLine="425"/>
              <w:jc w:val="both"/>
              <w:rPr>
                <w:rFonts w:ascii="Tahoma" w:hAnsi="Tahoma" w:cs="Tahoma"/>
                <w:sz w:val="20"/>
                <w:szCs w:val="20"/>
              </w:rPr>
            </w:pPr>
            <w:r w:rsidRPr="009C4568">
              <w:rPr>
                <w:rFonts w:ascii="Tahoma" w:hAnsi="Tahoma" w:cs="Tahoma"/>
                <w:sz w:val="20"/>
                <w:szCs w:val="20"/>
              </w:rPr>
              <w:t>В состав Залогодателей на протяжении всего срока кредитования должны обязательно входить все целевые участники программы</w:t>
            </w:r>
            <w:r w:rsidRPr="00BF1C29">
              <w:rPr>
                <w:rFonts w:ascii="Tahoma" w:hAnsi="Tahoma" w:cs="Tahoma"/>
                <w:sz w:val="20"/>
                <w:szCs w:val="20"/>
              </w:rPr>
              <w:t xml:space="preserve">. </w:t>
            </w:r>
          </w:p>
          <w:p w14:paraId="4A19E720" w14:textId="77777777" w:rsidR="00951A61" w:rsidRPr="00BF1C29" w:rsidRDefault="00951A61" w:rsidP="00A4032F">
            <w:pPr>
              <w:ind w:firstLine="425"/>
              <w:jc w:val="both"/>
              <w:rPr>
                <w:rFonts w:ascii="Tahoma" w:hAnsi="Tahoma" w:cs="Tahoma"/>
                <w:sz w:val="20"/>
                <w:szCs w:val="20"/>
              </w:rPr>
            </w:pPr>
          </w:p>
          <w:p w14:paraId="5EC49110" w14:textId="77777777" w:rsidR="00951A61" w:rsidRPr="00BF1C29" w:rsidRDefault="00951A61" w:rsidP="00951A61">
            <w:pPr>
              <w:pStyle w:val="affe"/>
              <w:numPr>
                <w:ilvl w:val="0"/>
                <w:numId w:val="107"/>
              </w:numPr>
              <w:ind w:left="0" w:firstLine="425"/>
              <w:contextualSpacing/>
              <w:jc w:val="both"/>
              <w:rPr>
                <w:rFonts w:ascii="Tahoma" w:hAnsi="Tahoma" w:cs="Tahoma"/>
                <w:b/>
                <w:sz w:val="20"/>
                <w:szCs w:val="20"/>
              </w:rPr>
            </w:pPr>
            <w:r w:rsidRPr="00BF1C29">
              <w:rPr>
                <w:rFonts w:ascii="Tahoma" w:hAnsi="Tahoma" w:cs="Tahoma"/>
                <w:b/>
                <w:sz w:val="20"/>
                <w:szCs w:val="20"/>
              </w:rPr>
              <w:t>Требования к Заемщикам, включая целевых участников программы:</w:t>
            </w:r>
          </w:p>
          <w:p w14:paraId="35FDF5DE" w14:textId="77777777" w:rsidR="00951A61" w:rsidRPr="00BF1C29" w:rsidRDefault="00951A61" w:rsidP="00A4032F">
            <w:pPr>
              <w:ind w:firstLine="425"/>
              <w:jc w:val="both"/>
              <w:rPr>
                <w:rFonts w:ascii="Tahoma" w:hAnsi="Tahoma" w:cs="Tahoma"/>
                <w:sz w:val="20"/>
                <w:szCs w:val="20"/>
              </w:rPr>
            </w:pPr>
            <w:r w:rsidRPr="00BF1C29">
              <w:rPr>
                <w:rFonts w:ascii="Tahoma" w:hAnsi="Tahoma" w:cs="Tahoma"/>
                <w:sz w:val="20"/>
                <w:szCs w:val="20"/>
              </w:rPr>
              <w:t>Гражданство: Российская Федерация,</w:t>
            </w:r>
          </w:p>
          <w:p w14:paraId="6ACE246E" w14:textId="77777777" w:rsidR="00951A61" w:rsidRPr="00BF1C29" w:rsidRDefault="00951A61" w:rsidP="00A4032F">
            <w:pPr>
              <w:ind w:firstLine="425"/>
              <w:jc w:val="both"/>
              <w:rPr>
                <w:rFonts w:ascii="Tahoma" w:hAnsi="Tahoma" w:cs="Tahoma"/>
                <w:sz w:val="20"/>
                <w:szCs w:val="20"/>
              </w:rPr>
            </w:pPr>
            <w:r w:rsidRPr="00BF1C29">
              <w:rPr>
                <w:rFonts w:ascii="Tahoma" w:hAnsi="Tahoma" w:cs="Tahoma"/>
                <w:sz w:val="20"/>
                <w:szCs w:val="20"/>
              </w:rPr>
              <w:t xml:space="preserve">Регистрация: наличие регистрации по месту жительства/пребывания, в том числе на территории субъекта РФ, где располагается Объект недвижимости, не является обязательным; </w:t>
            </w:r>
          </w:p>
          <w:p w14:paraId="0158878D" w14:textId="77777777" w:rsidR="00951A61" w:rsidRPr="00BF1C29" w:rsidRDefault="00951A61" w:rsidP="00A4032F">
            <w:pPr>
              <w:ind w:firstLine="425"/>
              <w:jc w:val="both"/>
              <w:rPr>
                <w:rFonts w:ascii="Tahoma" w:hAnsi="Tahoma" w:cs="Tahoma"/>
                <w:sz w:val="20"/>
                <w:szCs w:val="20"/>
              </w:rPr>
            </w:pPr>
            <w:r w:rsidRPr="00BF1C29">
              <w:rPr>
                <w:rFonts w:ascii="Tahoma" w:hAnsi="Tahoma" w:cs="Tahoma"/>
                <w:sz w:val="20"/>
                <w:szCs w:val="20"/>
              </w:rPr>
              <w:t>Возраст: от 21 года до 75 лет (включительно) на момент полного погашения ипотечного кредита.</w:t>
            </w:r>
          </w:p>
          <w:p w14:paraId="3C54DBCD" w14:textId="77777777" w:rsidR="00951A61" w:rsidRPr="00BF1C29" w:rsidRDefault="00951A61" w:rsidP="00A4032F">
            <w:pPr>
              <w:ind w:firstLine="425"/>
              <w:jc w:val="both"/>
              <w:rPr>
                <w:rFonts w:ascii="Tahoma" w:hAnsi="Tahoma" w:cs="Tahoma"/>
                <w:sz w:val="20"/>
                <w:szCs w:val="20"/>
              </w:rPr>
            </w:pPr>
            <w:r w:rsidRPr="00BF1C29">
              <w:rPr>
                <w:rFonts w:ascii="Tahoma" w:hAnsi="Tahoma" w:cs="Tahoma"/>
                <w:sz w:val="20"/>
                <w:szCs w:val="20"/>
              </w:rPr>
              <w:t>Трудоустройство:</w:t>
            </w:r>
          </w:p>
          <w:p w14:paraId="1E812E6D" w14:textId="77777777" w:rsidR="00951A61" w:rsidRPr="00BF1C29" w:rsidRDefault="00951A61" w:rsidP="00A4032F">
            <w:pPr>
              <w:ind w:firstLine="425"/>
              <w:jc w:val="both"/>
              <w:rPr>
                <w:rFonts w:ascii="Tahoma" w:hAnsi="Tahoma" w:cs="Tahoma"/>
                <w:sz w:val="20"/>
                <w:szCs w:val="20"/>
              </w:rPr>
            </w:pPr>
            <w:r w:rsidRPr="00BF1C29">
              <w:rPr>
                <w:rFonts w:ascii="Tahoma" w:hAnsi="Tahoma" w:cs="Tahoma"/>
                <w:sz w:val="20"/>
                <w:szCs w:val="20"/>
              </w:rPr>
              <w:t>- наемные работники;</w:t>
            </w:r>
          </w:p>
          <w:p w14:paraId="5CDEE091" w14:textId="77777777" w:rsidR="00951A61" w:rsidRPr="00BF1C29" w:rsidRDefault="00951A61" w:rsidP="00A4032F">
            <w:pPr>
              <w:ind w:firstLine="425"/>
              <w:jc w:val="both"/>
              <w:rPr>
                <w:rFonts w:ascii="Tahoma" w:hAnsi="Tahoma" w:cs="Tahoma"/>
                <w:sz w:val="20"/>
                <w:szCs w:val="20"/>
              </w:rPr>
            </w:pPr>
            <w:r w:rsidRPr="00BF1C29">
              <w:rPr>
                <w:rFonts w:ascii="Tahoma" w:hAnsi="Tahoma" w:cs="Tahoma"/>
                <w:sz w:val="20"/>
                <w:szCs w:val="20"/>
              </w:rPr>
              <w:t>- индивидуальные предприниматели;</w:t>
            </w:r>
          </w:p>
          <w:p w14:paraId="6D59F3C3" w14:textId="77777777" w:rsidR="00951A61" w:rsidRPr="00BF1C29" w:rsidRDefault="00951A61" w:rsidP="00A4032F">
            <w:pPr>
              <w:ind w:firstLine="425"/>
              <w:jc w:val="both"/>
              <w:rPr>
                <w:rFonts w:ascii="Tahoma" w:hAnsi="Tahoma" w:cs="Tahoma"/>
                <w:sz w:val="20"/>
                <w:szCs w:val="20"/>
              </w:rPr>
            </w:pPr>
            <w:r w:rsidRPr="00BF1C29">
              <w:rPr>
                <w:rFonts w:ascii="Tahoma" w:hAnsi="Tahoma" w:cs="Tahoma"/>
                <w:sz w:val="20"/>
                <w:szCs w:val="20"/>
              </w:rPr>
              <w:t>- физические лица, занимающиеся частной практикой;</w:t>
            </w:r>
          </w:p>
          <w:p w14:paraId="2EE97EEB" w14:textId="77777777" w:rsidR="00951A61" w:rsidRPr="00BF1C29" w:rsidRDefault="00951A61" w:rsidP="00A4032F">
            <w:pPr>
              <w:ind w:firstLine="425"/>
              <w:jc w:val="both"/>
              <w:rPr>
                <w:rFonts w:ascii="Tahoma" w:hAnsi="Tahoma" w:cs="Tahoma"/>
                <w:sz w:val="20"/>
                <w:szCs w:val="20"/>
              </w:rPr>
            </w:pPr>
            <w:r w:rsidRPr="00BF1C29">
              <w:rPr>
                <w:rFonts w:ascii="Tahoma" w:hAnsi="Tahoma" w:cs="Tahoma"/>
                <w:sz w:val="20"/>
                <w:szCs w:val="20"/>
              </w:rPr>
              <w:t>- физическое лицо - единоличный учредитель и исполнительный орган организации, ее единственный участник, собственник ее имущества;</w:t>
            </w:r>
          </w:p>
          <w:p w14:paraId="4EB6D99B" w14:textId="77777777" w:rsidR="00951A61" w:rsidRPr="00BF1C29" w:rsidRDefault="00951A61" w:rsidP="00A4032F">
            <w:pPr>
              <w:ind w:firstLine="425"/>
              <w:jc w:val="both"/>
              <w:rPr>
                <w:rFonts w:ascii="Tahoma" w:hAnsi="Tahoma" w:cs="Tahoma"/>
                <w:sz w:val="20"/>
                <w:szCs w:val="20"/>
              </w:rPr>
            </w:pPr>
            <w:r w:rsidRPr="00BF1C29">
              <w:rPr>
                <w:rFonts w:ascii="Tahoma" w:hAnsi="Tahoma" w:cs="Tahoma"/>
                <w:sz w:val="20"/>
                <w:szCs w:val="20"/>
              </w:rPr>
              <w:t>- граждане</w:t>
            </w:r>
            <w:r w:rsidRPr="00BF1C29">
              <w:rPr>
                <w:rFonts w:ascii="Tahoma" w:hAnsi="Tahoma" w:cs="Tahoma"/>
                <w:sz w:val="20"/>
              </w:rPr>
              <w:t>, применяющие специальный налоговый режим «налог на профессиональный доход» (далее – самозанятый)</w:t>
            </w:r>
            <w:r w:rsidRPr="00BF1C29">
              <w:rPr>
                <w:rFonts w:ascii="Tahoma" w:hAnsi="Tahoma" w:cs="Tahoma"/>
                <w:sz w:val="20"/>
                <w:szCs w:val="20"/>
              </w:rPr>
              <w:t>;</w:t>
            </w:r>
          </w:p>
          <w:p w14:paraId="57C70026" w14:textId="77777777" w:rsidR="00951A61" w:rsidRPr="00BF1C29" w:rsidRDefault="00951A61" w:rsidP="00A4032F">
            <w:pPr>
              <w:ind w:firstLine="425"/>
              <w:jc w:val="both"/>
              <w:rPr>
                <w:rFonts w:ascii="Tahoma" w:hAnsi="Tahoma" w:cs="Tahoma"/>
                <w:sz w:val="20"/>
                <w:szCs w:val="20"/>
              </w:rPr>
            </w:pPr>
            <w:r w:rsidRPr="00BF1C29">
              <w:rPr>
                <w:rFonts w:ascii="Tahoma" w:hAnsi="Tahoma" w:cs="Tahoma"/>
                <w:sz w:val="20"/>
                <w:szCs w:val="20"/>
              </w:rPr>
              <w:t>- пенсионеры - лица, вышедшие в отставку либо на пенсию.</w:t>
            </w:r>
          </w:p>
          <w:p w14:paraId="085DA0C7" w14:textId="77777777" w:rsidR="00951A61" w:rsidRPr="00BF1C29" w:rsidRDefault="00951A61" w:rsidP="00A4032F">
            <w:pPr>
              <w:ind w:firstLine="425"/>
              <w:jc w:val="both"/>
              <w:rPr>
                <w:rFonts w:ascii="Tahoma" w:hAnsi="Tahoma" w:cs="Tahoma"/>
                <w:sz w:val="20"/>
                <w:szCs w:val="20"/>
              </w:rPr>
            </w:pPr>
            <w:r w:rsidRPr="00BF1C29">
              <w:rPr>
                <w:rFonts w:ascii="Tahoma" w:hAnsi="Tahoma" w:cs="Tahoma"/>
                <w:sz w:val="20"/>
                <w:szCs w:val="20"/>
              </w:rPr>
              <w:lastRenderedPageBreak/>
              <w:t>Требования к доходу: Заемщик имеет подтвержденный доход, соответствует требованиям Банка к кредитоспособности и платежеспособности.</w:t>
            </w:r>
          </w:p>
          <w:p w14:paraId="0AEDA626" w14:textId="77777777" w:rsidR="00951A61" w:rsidRPr="00BF1C29" w:rsidRDefault="00951A61" w:rsidP="00A4032F">
            <w:pPr>
              <w:ind w:firstLine="425"/>
              <w:jc w:val="both"/>
              <w:rPr>
                <w:rFonts w:ascii="Tahoma" w:hAnsi="Tahoma" w:cs="Tahoma"/>
                <w:sz w:val="20"/>
                <w:szCs w:val="20"/>
              </w:rPr>
            </w:pPr>
            <w:r w:rsidRPr="00BF1C29">
              <w:rPr>
                <w:rFonts w:ascii="Tahoma" w:hAnsi="Tahoma" w:cs="Tahoma"/>
                <w:sz w:val="20"/>
                <w:szCs w:val="20"/>
              </w:rPr>
              <w:t>Требования к трудовому стажу: к работникам по найму - не менее 3-х полных календарных месяцев на последнем месте работы, при условии, что испытательный срок пройден или отсутствует. Общий трудовой стаж Заемщика должен быть не менее 12 (двенадцати) месяцев на дату подачи Заявления/Согласий и заверений Заемщика в Банк (прохождение военной службы, получение пособия по временной нетрудоспособности, уход за ребенком до 1,5 лет, получение пособия по безработице, время переезда для дальнейшего трудоустройства не учитываются в общем трудовом стаже); к индивидуальным предпринимателям — безубыточная предпринимательская деятельность не менее 12-ти календарных месяцев для сезонного вида деятельности</w:t>
            </w:r>
            <w:r w:rsidRPr="00BF1C29">
              <w:rPr>
                <w:rStyle w:val="aff3"/>
                <w:rFonts w:ascii="Tahoma" w:hAnsi="Tahoma" w:cs="Tahoma"/>
                <w:sz w:val="20"/>
                <w:szCs w:val="20"/>
              </w:rPr>
              <w:footnoteReference w:id="121"/>
            </w:r>
            <w:r w:rsidRPr="00BF1C29">
              <w:rPr>
                <w:rFonts w:ascii="Tahoma" w:hAnsi="Tahoma" w:cs="Tahoma"/>
                <w:sz w:val="20"/>
                <w:szCs w:val="20"/>
              </w:rPr>
              <w:t xml:space="preserve">  и не менее 3-х месяцев по видам деятельности, которые не признаются «сезонными»; для самозанятых граждан Общий трудовой стаж должен быть не менее 12 (двенадцати) месяцев на дату подачи Заявления/Согласий и заверений Заемщика в Банк и не менее 6 (Шести) полных календарных месяцев, считая с даты постановки на учет в качестве самозанятого. </w:t>
            </w:r>
          </w:p>
          <w:p w14:paraId="5A0BA797" w14:textId="77777777" w:rsidR="00951A61" w:rsidRPr="00BF1C29" w:rsidRDefault="00951A61" w:rsidP="00A4032F">
            <w:pPr>
              <w:ind w:firstLine="425"/>
              <w:jc w:val="both"/>
              <w:rPr>
                <w:rFonts w:ascii="Tahoma" w:hAnsi="Tahoma" w:cs="Tahoma"/>
                <w:sz w:val="20"/>
                <w:szCs w:val="20"/>
              </w:rPr>
            </w:pPr>
            <w:r w:rsidRPr="00BF1C29">
              <w:rPr>
                <w:rFonts w:ascii="Tahoma" w:hAnsi="Tahoma" w:cs="Tahoma"/>
                <w:sz w:val="20"/>
                <w:szCs w:val="20"/>
              </w:rPr>
              <w:t>В число Заемщиков должны обязательно входить целевые участники программы.</w:t>
            </w:r>
          </w:p>
          <w:p w14:paraId="0C293702" w14:textId="77777777" w:rsidR="00951A61" w:rsidRPr="00BF1C29" w:rsidRDefault="00951A61" w:rsidP="00A4032F">
            <w:pPr>
              <w:ind w:firstLine="425"/>
              <w:jc w:val="both"/>
              <w:rPr>
                <w:rFonts w:ascii="Tahoma" w:hAnsi="Tahoma" w:cs="Tahoma"/>
                <w:sz w:val="20"/>
                <w:szCs w:val="20"/>
              </w:rPr>
            </w:pPr>
            <w:r w:rsidRPr="00BF1C29">
              <w:rPr>
                <w:rFonts w:ascii="Tahoma" w:hAnsi="Tahoma" w:cs="Tahoma"/>
                <w:sz w:val="20"/>
                <w:szCs w:val="20"/>
              </w:rPr>
              <w:t>Допустимо привлечение Созаемщика в возрасте от 18 лет (являющийся гражданином Российской Федерации, на которого требование к наличию детей не распространяется).</w:t>
            </w:r>
          </w:p>
          <w:p w14:paraId="242FF177" w14:textId="77777777" w:rsidR="00951A61" w:rsidRPr="00BF1C29" w:rsidRDefault="00951A61" w:rsidP="00A4032F">
            <w:pPr>
              <w:ind w:firstLine="425"/>
              <w:jc w:val="both"/>
              <w:rPr>
                <w:rFonts w:ascii="Tahoma" w:hAnsi="Tahoma" w:cs="Tahoma"/>
                <w:sz w:val="20"/>
                <w:szCs w:val="20"/>
              </w:rPr>
            </w:pPr>
            <w:r w:rsidRPr="00BF1C29">
              <w:rPr>
                <w:rFonts w:ascii="Tahoma" w:hAnsi="Tahoma" w:cs="Tahoma"/>
                <w:sz w:val="20"/>
                <w:szCs w:val="20"/>
              </w:rPr>
              <w:t>В состав Заемщиков могут быть включены дополнительные заемщики - иные лица, из числа Взаимозависимых лиц Заемщика, помимо указанных в п.1 настоящего раздела. Число Заемщиков по одному ипотечному кредиту - не более 4 человек.</w:t>
            </w:r>
          </w:p>
          <w:p w14:paraId="5E4F1C60" w14:textId="77777777" w:rsidR="00951A61" w:rsidRPr="00BF1C29" w:rsidRDefault="00951A61" w:rsidP="00A4032F">
            <w:pPr>
              <w:ind w:firstLine="425"/>
              <w:jc w:val="both"/>
              <w:rPr>
                <w:rFonts w:ascii="Tahoma" w:hAnsi="Tahoma" w:cs="Tahoma"/>
                <w:sz w:val="20"/>
                <w:szCs w:val="20"/>
              </w:rPr>
            </w:pPr>
          </w:p>
          <w:p w14:paraId="1C0066EB" w14:textId="77777777" w:rsidR="00951A61" w:rsidRPr="00BF1C29" w:rsidRDefault="00951A61" w:rsidP="00A4032F">
            <w:pPr>
              <w:ind w:firstLine="425"/>
              <w:jc w:val="both"/>
              <w:rPr>
                <w:rFonts w:ascii="Tahoma" w:hAnsi="Tahoma" w:cs="Tahoma"/>
                <w:sz w:val="20"/>
                <w:szCs w:val="20"/>
              </w:rPr>
            </w:pPr>
            <w:r w:rsidRPr="00BF1C29">
              <w:rPr>
                <w:rFonts w:ascii="Tahoma" w:hAnsi="Tahoma" w:cs="Tahoma"/>
                <w:sz w:val="20"/>
                <w:szCs w:val="20"/>
              </w:rPr>
              <w:t>Окончательное решение о соответствии Заемщика требованиям Банка принимается в отношении каждого Заемщика индивидуально на основании анализа представленных документов.</w:t>
            </w:r>
          </w:p>
          <w:p w14:paraId="56790941" w14:textId="77777777" w:rsidR="00951A61" w:rsidRPr="00BF1C29" w:rsidRDefault="00951A61" w:rsidP="00A4032F">
            <w:pPr>
              <w:ind w:firstLine="425"/>
              <w:jc w:val="both"/>
              <w:rPr>
                <w:rFonts w:ascii="Tahoma" w:hAnsi="Tahoma" w:cs="Tahoma"/>
                <w:sz w:val="20"/>
                <w:szCs w:val="20"/>
              </w:rPr>
            </w:pPr>
          </w:p>
          <w:p w14:paraId="7C64F22E" w14:textId="77777777" w:rsidR="00951A61" w:rsidRPr="00BF1C29" w:rsidRDefault="00951A61" w:rsidP="00A4032F">
            <w:pPr>
              <w:ind w:firstLine="425"/>
              <w:jc w:val="both"/>
              <w:rPr>
                <w:rFonts w:ascii="Tahoma" w:hAnsi="Tahoma" w:cs="Tahoma"/>
                <w:sz w:val="20"/>
                <w:szCs w:val="20"/>
              </w:rPr>
            </w:pPr>
            <w:r w:rsidRPr="00BF1C29">
              <w:rPr>
                <w:rFonts w:ascii="Tahoma" w:hAnsi="Tahoma" w:cs="Tahoma"/>
                <w:b/>
                <w:sz w:val="20"/>
                <w:szCs w:val="20"/>
              </w:rPr>
              <w:t>Кредитование не осуществляется</w:t>
            </w:r>
            <w:r w:rsidRPr="00BF1C29">
              <w:rPr>
                <w:rFonts w:ascii="Tahoma" w:hAnsi="Tahoma" w:cs="Tahoma"/>
                <w:sz w:val="20"/>
                <w:szCs w:val="20"/>
              </w:rPr>
              <w:t xml:space="preserve"> в случае, если Заемщик (любой из солидарных заемщиков) является (ранее являлся) Заемщиком (солидарным заемщиком и (или) поручителем) по другому кредитному договору (договору займа), заключенному с 23.12.2023 г. по которому кредитор получает (ранее получал) возмещение недополученных доходов в соответствии с Правилами предоставления субсидий, за исключением случая рождения у заемщика (солидарного заемщика и (или) поручителя) по выше указанному кредитному договору (договору займа), заключенному с 23.12.2023 г.,  ребенка после даты заключения соответствующего кредитного договора (договора займа) и его полного погашения. Такой кредитный договор (договор займа) или дополнительное соглашение о рефинансировании не учитываются при определении соответствия условию, предусмотренному настоящим подпунктом, при заключении нового кредитного договора (договора займа) с таким заемщиком (солидарным заемщиком и (или) поручителем) на условиях, определенных порядком предоставления субсидии акционерному обществу "ДОМ.РФ", г. Москва, в виде вкладов в имущество, не увеличивающих его уставный капитал, для возмещения российским кредитным организациям и акционерному обществу "ДОМ.РФ" недополученных доходов по выданным (приобретенным) жилищным (ипотечным) кредитам (займам), предоставленным гражданам Российской Федерации, имеющим детей, утвержденным уполномоченным в Российской Федерации федеральным органом исполнительной власти.</w:t>
            </w:r>
          </w:p>
        </w:tc>
      </w:tr>
      <w:tr w:rsidR="00951A61" w:rsidRPr="00F369B0" w14:paraId="6E12EE68"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22173C3F" w14:textId="77777777" w:rsidR="00951A61" w:rsidRPr="00F369B0" w:rsidRDefault="00951A61" w:rsidP="00A4032F">
            <w:pPr>
              <w:pStyle w:val="ConsPlusNormal"/>
              <w:jc w:val="center"/>
              <w:rPr>
                <w:rFonts w:ascii="Tahoma" w:hAnsi="Tahoma" w:cs="Tahoma"/>
                <w:b/>
                <w:bCs/>
              </w:rPr>
            </w:pPr>
            <w:r w:rsidRPr="00F369B0">
              <w:rPr>
                <w:rFonts w:ascii="Tahoma" w:hAnsi="Tahoma" w:cs="Tahoma"/>
                <w:b/>
                <w:bCs/>
              </w:rPr>
              <w:lastRenderedPageBreak/>
              <w:t>Валюта, в которой предоставляется потребительский кредит</w:t>
            </w:r>
          </w:p>
        </w:tc>
        <w:tc>
          <w:tcPr>
            <w:tcW w:w="11452" w:type="dxa"/>
            <w:tcBorders>
              <w:top w:val="single" w:sz="4" w:space="0" w:color="auto"/>
              <w:left w:val="nil"/>
              <w:bottom w:val="single" w:sz="4" w:space="0" w:color="auto"/>
              <w:right w:val="single" w:sz="4" w:space="0" w:color="auto"/>
            </w:tcBorders>
            <w:shd w:val="clear" w:color="auto" w:fill="auto"/>
            <w:vAlign w:val="center"/>
          </w:tcPr>
          <w:p w14:paraId="706F04AA" w14:textId="77777777" w:rsidR="00951A61" w:rsidRPr="00F369B0" w:rsidRDefault="00951A61" w:rsidP="00A4032F">
            <w:pPr>
              <w:ind w:firstLine="425"/>
              <w:jc w:val="both"/>
              <w:rPr>
                <w:rFonts w:ascii="Tahoma" w:hAnsi="Tahoma" w:cs="Tahoma"/>
                <w:sz w:val="20"/>
                <w:szCs w:val="20"/>
              </w:rPr>
            </w:pPr>
            <w:r w:rsidRPr="00F369B0">
              <w:rPr>
                <w:rFonts w:ascii="Tahoma" w:hAnsi="Tahoma" w:cs="Tahoma"/>
                <w:color w:val="000000"/>
                <w:sz w:val="20"/>
                <w:szCs w:val="20"/>
              </w:rPr>
              <w:t>Рубль Российской Федерации (далее - рубль)</w:t>
            </w:r>
          </w:p>
        </w:tc>
      </w:tr>
      <w:tr w:rsidR="00951A61" w:rsidRPr="00F369B0" w14:paraId="72493C61"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67510756" w14:textId="77777777" w:rsidR="00951A61" w:rsidRPr="00F369B0" w:rsidRDefault="00951A61" w:rsidP="00A4032F">
            <w:pPr>
              <w:pStyle w:val="ConsPlusNormal"/>
              <w:jc w:val="center"/>
              <w:rPr>
                <w:rFonts w:ascii="Tahoma" w:hAnsi="Tahoma" w:cs="Tahoma"/>
                <w:b/>
                <w:bCs/>
              </w:rPr>
            </w:pPr>
            <w:r w:rsidRPr="00F369B0">
              <w:rPr>
                <w:rFonts w:ascii="Tahoma" w:hAnsi="Tahoma" w:cs="Tahoma"/>
                <w:b/>
                <w:bCs/>
              </w:rPr>
              <w:lastRenderedPageBreak/>
              <w:t>Срок возврата потребительского кредита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2A935C50" w14:textId="77777777" w:rsidR="00951A61" w:rsidRPr="00F369B0" w:rsidRDefault="00951A61" w:rsidP="00A4032F">
            <w:pPr>
              <w:ind w:firstLine="425"/>
              <w:jc w:val="both"/>
              <w:rPr>
                <w:rFonts w:ascii="Tahoma" w:hAnsi="Tahoma" w:cs="Tahoma"/>
                <w:color w:val="000000"/>
                <w:sz w:val="20"/>
                <w:szCs w:val="20"/>
              </w:rPr>
            </w:pPr>
            <w:r w:rsidRPr="00F369B0">
              <w:rPr>
                <w:rFonts w:ascii="Tahoma" w:hAnsi="Tahoma" w:cs="Tahoma"/>
                <w:color w:val="000000"/>
                <w:sz w:val="20"/>
                <w:szCs w:val="20"/>
              </w:rPr>
              <w:t>От 36 до 360 месяцев</w:t>
            </w:r>
          </w:p>
        </w:tc>
      </w:tr>
      <w:tr w:rsidR="00951A61" w:rsidRPr="00F369B0" w14:paraId="2758A06B"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7E9E54D6" w14:textId="77777777" w:rsidR="00951A61" w:rsidRPr="00F369B0" w:rsidRDefault="00951A61" w:rsidP="00A4032F">
            <w:pPr>
              <w:pStyle w:val="ConsPlusNormal"/>
              <w:jc w:val="center"/>
              <w:rPr>
                <w:rFonts w:ascii="Tahoma" w:hAnsi="Tahoma" w:cs="Tahoma"/>
                <w:b/>
                <w:bCs/>
              </w:rPr>
            </w:pPr>
            <w:r w:rsidRPr="00F369B0">
              <w:rPr>
                <w:rFonts w:ascii="Tahoma" w:hAnsi="Tahoma" w:cs="Tahoma"/>
                <w:b/>
              </w:rPr>
              <w:t>Минимальная сумма потребительского кредита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1B29A2D6" w14:textId="77777777" w:rsidR="00951A61" w:rsidRPr="00F369B0" w:rsidRDefault="00951A61" w:rsidP="00A4032F">
            <w:pPr>
              <w:ind w:firstLine="425"/>
              <w:jc w:val="both"/>
              <w:rPr>
                <w:rFonts w:ascii="Tahoma" w:hAnsi="Tahoma" w:cs="Tahoma"/>
                <w:color w:val="000000"/>
                <w:sz w:val="20"/>
                <w:szCs w:val="20"/>
              </w:rPr>
            </w:pPr>
            <w:r w:rsidRPr="00F369B0">
              <w:rPr>
                <w:rFonts w:ascii="Tahoma" w:hAnsi="Tahoma" w:cs="Tahoma"/>
                <w:sz w:val="20"/>
                <w:szCs w:val="20"/>
              </w:rPr>
              <w:t>500 000,00 рублей</w:t>
            </w:r>
          </w:p>
        </w:tc>
      </w:tr>
      <w:tr w:rsidR="00951A61" w:rsidRPr="00F369B0" w14:paraId="14CB4953"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0E0EF6F3" w14:textId="77777777" w:rsidR="00951A61" w:rsidRPr="00F369B0" w:rsidRDefault="00951A61" w:rsidP="00A4032F">
            <w:pPr>
              <w:pStyle w:val="ConsPlusNormal"/>
              <w:jc w:val="center"/>
              <w:rPr>
                <w:rFonts w:ascii="Tahoma" w:hAnsi="Tahoma" w:cs="Tahoma"/>
                <w:b/>
                <w:bCs/>
              </w:rPr>
            </w:pPr>
            <w:r w:rsidRPr="00F369B0">
              <w:rPr>
                <w:rFonts w:ascii="Tahoma" w:hAnsi="Tahoma" w:cs="Tahoma"/>
                <w:b/>
              </w:rPr>
              <w:t>Максимальная сумма потребительского кредита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6F248617" w14:textId="77777777" w:rsidR="00951A61" w:rsidRPr="00F369B0" w:rsidRDefault="00951A61" w:rsidP="00A4032F">
            <w:pPr>
              <w:ind w:firstLine="425"/>
              <w:jc w:val="both"/>
              <w:rPr>
                <w:rFonts w:ascii="Tahoma" w:hAnsi="Tahoma" w:cs="Tahoma"/>
                <w:sz w:val="20"/>
                <w:szCs w:val="20"/>
              </w:rPr>
            </w:pPr>
            <w:r w:rsidRPr="00F369B0">
              <w:rPr>
                <w:rFonts w:ascii="Tahoma" w:hAnsi="Tahoma" w:cs="Tahoma"/>
                <w:sz w:val="20"/>
                <w:szCs w:val="20"/>
              </w:rPr>
              <w:t xml:space="preserve">12 000 000,00 рублей - для жилых помещений, расположенных на территориях г. Москвы, Московской области. </w:t>
            </w:r>
          </w:p>
          <w:p w14:paraId="67391AF0" w14:textId="77777777" w:rsidR="00951A61" w:rsidRPr="00F369B0" w:rsidRDefault="00951A61" w:rsidP="00A4032F">
            <w:pPr>
              <w:ind w:firstLine="425"/>
              <w:jc w:val="both"/>
              <w:rPr>
                <w:rFonts w:ascii="Tahoma" w:hAnsi="Tahoma" w:cs="Tahoma"/>
                <w:color w:val="000000"/>
                <w:sz w:val="20"/>
                <w:szCs w:val="20"/>
              </w:rPr>
            </w:pPr>
            <w:r w:rsidRPr="00F369B0">
              <w:rPr>
                <w:rFonts w:ascii="Tahoma" w:hAnsi="Tahoma" w:cs="Tahoma"/>
                <w:sz w:val="20"/>
                <w:szCs w:val="20"/>
              </w:rPr>
              <w:t>6 000 000,00 рублей - для жилых помещений, расположенных на территориях субъектов Российской Федерации, за исключением г. Москвы, Московской области.</w:t>
            </w:r>
          </w:p>
        </w:tc>
      </w:tr>
      <w:tr w:rsidR="00951A61" w:rsidRPr="00F369B0" w14:paraId="0BF09399"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55C8AA5A" w14:textId="77777777" w:rsidR="00951A61" w:rsidRPr="00F369B0" w:rsidRDefault="00951A61" w:rsidP="00A4032F">
            <w:pPr>
              <w:pStyle w:val="ConsPlusNormal"/>
              <w:jc w:val="center"/>
              <w:rPr>
                <w:rFonts w:ascii="Tahoma" w:hAnsi="Tahoma" w:cs="Tahoma"/>
                <w:b/>
              </w:rPr>
            </w:pPr>
            <w:r w:rsidRPr="00F369B0">
              <w:rPr>
                <w:rFonts w:ascii="Tahoma" w:hAnsi="Tahoma" w:cs="Tahoma"/>
                <w:b/>
              </w:rPr>
              <w:t>Процентные ставки (в процентах годовых)</w:t>
            </w:r>
          </w:p>
        </w:tc>
        <w:tc>
          <w:tcPr>
            <w:tcW w:w="11452" w:type="dxa"/>
            <w:tcBorders>
              <w:top w:val="single" w:sz="4" w:space="0" w:color="auto"/>
              <w:left w:val="nil"/>
              <w:bottom w:val="single" w:sz="4" w:space="0" w:color="auto"/>
              <w:right w:val="single" w:sz="4" w:space="0" w:color="auto"/>
            </w:tcBorders>
            <w:shd w:val="clear" w:color="auto" w:fill="auto"/>
          </w:tcPr>
          <w:p w14:paraId="0E3C1730" w14:textId="77777777" w:rsidR="00951A61" w:rsidRPr="009C4568" w:rsidRDefault="00951A61" w:rsidP="00A4032F">
            <w:pPr>
              <w:ind w:firstLine="425"/>
              <w:jc w:val="both"/>
              <w:rPr>
                <w:rFonts w:ascii="Tahoma" w:hAnsi="Tahoma" w:cs="Tahoma"/>
                <w:b/>
                <w:sz w:val="20"/>
                <w:szCs w:val="20"/>
              </w:rPr>
            </w:pPr>
            <w:r w:rsidRPr="00BA2260">
              <w:rPr>
                <w:rFonts w:ascii="Tahoma" w:hAnsi="Tahoma" w:cs="Tahoma"/>
                <w:b/>
                <w:sz w:val="20"/>
                <w:szCs w:val="20"/>
              </w:rPr>
              <w:t>Базовая процентная ставка:</w:t>
            </w:r>
            <w:r w:rsidRPr="00BA2260">
              <w:rPr>
                <w:rFonts w:ascii="Tahoma" w:hAnsi="Tahoma" w:cs="Tahoma"/>
                <w:sz w:val="20"/>
                <w:szCs w:val="20"/>
              </w:rPr>
              <w:t xml:space="preserve"> </w:t>
            </w:r>
            <w:r w:rsidRPr="00BA2260">
              <w:rPr>
                <w:rFonts w:ascii="Tahoma" w:hAnsi="Tahoma" w:cs="Tahoma"/>
                <w:b/>
                <w:sz w:val="20"/>
                <w:szCs w:val="20"/>
              </w:rPr>
              <w:t>6,00 % годовых.</w:t>
            </w:r>
          </w:p>
          <w:p w14:paraId="325253C5" w14:textId="77777777" w:rsidR="00951A61" w:rsidRPr="009C4568" w:rsidRDefault="00951A61" w:rsidP="00A4032F">
            <w:pPr>
              <w:ind w:firstLine="425"/>
              <w:jc w:val="both"/>
              <w:rPr>
                <w:rFonts w:ascii="Tahoma" w:hAnsi="Tahoma" w:cs="Tahoma"/>
                <w:b/>
                <w:sz w:val="20"/>
                <w:szCs w:val="20"/>
              </w:rPr>
            </w:pPr>
          </w:p>
          <w:p w14:paraId="1B648369" w14:textId="77777777" w:rsidR="00951A61" w:rsidRPr="009C4568" w:rsidRDefault="00951A61" w:rsidP="00A4032F">
            <w:pPr>
              <w:ind w:firstLine="425"/>
              <w:jc w:val="both"/>
              <w:rPr>
                <w:rFonts w:ascii="Tahoma" w:hAnsi="Tahoma" w:cs="Tahoma"/>
                <w:sz w:val="20"/>
                <w:szCs w:val="20"/>
                <w:u w:val="single"/>
              </w:rPr>
            </w:pPr>
            <w:r w:rsidRPr="009C4568">
              <w:rPr>
                <w:rFonts w:ascii="Tahoma" w:hAnsi="Tahoma" w:cs="Tahoma"/>
                <w:sz w:val="20"/>
                <w:szCs w:val="20"/>
                <w:u w:val="single"/>
              </w:rPr>
              <w:t>Надбавки к Базовой процентной ставке:</w:t>
            </w:r>
          </w:p>
          <w:p w14:paraId="7A121A9F" w14:textId="77777777" w:rsidR="00951A61" w:rsidRPr="009C4568" w:rsidRDefault="00951A61" w:rsidP="00951A61">
            <w:pPr>
              <w:pStyle w:val="affe"/>
              <w:numPr>
                <w:ilvl w:val="0"/>
                <w:numId w:val="20"/>
              </w:numPr>
              <w:ind w:left="0" w:firstLine="425"/>
              <w:contextualSpacing/>
              <w:jc w:val="both"/>
              <w:rPr>
                <w:rFonts w:ascii="Tahoma" w:hAnsi="Tahoma" w:cs="Tahoma"/>
                <w:sz w:val="20"/>
                <w:szCs w:val="20"/>
              </w:rPr>
            </w:pPr>
            <w:r w:rsidRPr="009C4568">
              <w:rPr>
                <w:rFonts w:ascii="Tahoma" w:hAnsi="Tahoma" w:cs="Tahoma"/>
                <w:sz w:val="20"/>
                <w:szCs w:val="20"/>
              </w:rPr>
              <w:t xml:space="preserve">В случае незаключения Заемщиком договора личного страхования </w:t>
            </w:r>
            <w:r w:rsidRPr="009C4568">
              <w:rPr>
                <w:rFonts w:ascii="Tahoma" w:eastAsiaTheme="minorHAnsi" w:hAnsi="Tahoma" w:cs="Tahoma"/>
                <w:sz w:val="20"/>
                <w:szCs w:val="20"/>
                <w:u w:val="single"/>
              </w:rPr>
              <w:t>и (или) страхования недвижимого имущества, залогом которого обеспечивается исполнение обязательств Заемщика по Кредитному договору, а также при невыполнении Заемщиком предусмотренных Кредитным договором условий указанных договоров страхования</w:t>
            </w:r>
            <w:r w:rsidRPr="009C4568">
              <w:rPr>
                <w:rFonts w:ascii="Tahoma" w:hAnsi="Tahoma" w:cs="Tahoma"/>
                <w:sz w:val="20"/>
                <w:szCs w:val="20"/>
              </w:rPr>
              <w:t xml:space="preserve">: </w:t>
            </w:r>
            <w:r w:rsidRPr="009C4568">
              <w:rPr>
                <w:rFonts w:ascii="Tahoma" w:hAnsi="Tahoma" w:cs="Tahoma"/>
                <w:b/>
                <w:sz w:val="20"/>
                <w:szCs w:val="20"/>
              </w:rPr>
              <w:t xml:space="preserve">плюс 1,00 (Один) процентный пункт, </w:t>
            </w:r>
            <w:r w:rsidRPr="009C4568">
              <w:rPr>
                <w:rFonts w:ascii="Tahoma" w:hAnsi="Tahoma" w:cs="Tahoma"/>
                <w:sz w:val="20"/>
                <w:szCs w:val="20"/>
                <w:u w:val="single"/>
              </w:rPr>
              <w:t>но не более процентной ставки, равной размеру ключевой ставки Центрального банка Российской Федерации, установленной на дату заключения Кредитного договора, увеличенной на 2,00 процентных пункта;</w:t>
            </w:r>
          </w:p>
          <w:p w14:paraId="239450E8" w14:textId="77777777" w:rsidR="00951A61" w:rsidRPr="009C4568" w:rsidRDefault="00951A61" w:rsidP="00951A61">
            <w:pPr>
              <w:pStyle w:val="affe"/>
              <w:numPr>
                <w:ilvl w:val="0"/>
                <w:numId w:val="20"/>
              </w:numPr>
              <w:ind w:left="0" w:firstLine="425"/>
              <w:contextualSpacing/>
              <w:jc w:val="both"/>
              <w:rPr>
                <w:rFonts w:ascii="Tahoma" w:hAnsi="Tahoma" w:cs="Tahoma"/>
                <w:sz w:val="20"/>
                <w:szCs w:val="20"/>
              </w:rPr>
            </w:pPr>
            <w:r w:rsidRPr="009C4568">
              <w:rPr>
                <w:rFonts w:ascii="Tahoma" w:hAnsi="Tahoma" w:cs="Tahoma"/>
                <w:sz w:val="20"/>
                <w:szCs w:val="20"/>
              </w:rPr>
              <w:t xml:space="preserve">В случае предоставления Кредита на погашение Рефинансируемого кредита, в период с даты выдачи Кредита до даты окончания календарного месяца, в котором Заемщик уведомил Банк об осуществлении государственной регистрации ипотеки в пользу Азиатско-Тихоокеанского Банка (АО): </w:t>
            </w:r>
            <w:r w:rsidRPr="009C4568">
              <w:rPr>
                <w:rFonts w:ascii="Tahoma" w:hAnsi="Tahoma" w:cs="Tahoma"/>
                <w:b/>
                <w:sz w:val="20"/>
                <w:szCs w:val="20"/>
              </w:rPr>
              <w:t>плюс 1,00 (Один) процентный пункт</w:t>
            </w:r>
            <w:r w:rsidRPr="009C4568">
              <w:rPr>
                <w:rFonts w:ascii="Tahoma" w:hAnsi="Tahoma" w:cs="Tahoma"/>
                <w:sz w:val="20"/>
                <w:szCs w:val="20"/>
              </w:rPr>
              <w:t xml:space="preserve">, </w:t>
            </w:r>
            <w:r w:rsidRPr="009C4568">
              <w:rPr>
                <w:rFonts w:ascii="Tahoma" w:hAnsi="Tahoma" w:cs="Tahoma"/>
                <w:sz w:val="20"/>
                <w:szCs w:val="20"/>
                <w:u w:val="single"/>
              </w:rPr>
              <w:t>но не более процентной ставки, равной размеру ключевой ставки Центрального банка Российской Федерации, установленной на дату заключения Кредитного договора, увеличенной на 2,00 процентных пункта.</w:t>
            </w:r>
          </w:p>
        </w:tc>
      </w:tr>
      <w:tr w:rsidR="00951A61" w:rsidRPr="00F369B0" w14:paraId="46D71E88"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275B1AB7" w14:textId="77777777" w:rsidR="00951A61" w:rsidRPr="00F369B0" w:rsidRDefault="00951A61" w:rsidP="00A4032F">
            <w:pPr>
              <w:pStyle w:val="ConsPlusNormal"/>
              <w:jc w:val="center"/>
              <w:rPr>
                <w:rFonts w:ascii="Tahoma" w:hAnsi="Tahoma" w:cs="Tahoma"/>
                <w:b/>
              </w:rPr>
            </w:pPr>
            <w:r w:rsidRPr="00F369B0">
              <w:rPr>
                <w:rFonts w:ascii="Tahoma" w:hAnsi="Tahoma" w:cs="Tahoma"/>
                <w:b/>
                <w:bCs/>
                <w:color w:val="000000"/>
              </w:rPr>
              <w:t xml:space="preserve">Диапазон полной стоимости потребительского кредита в </w:t>
            </w:r>
            <w:r w:rsidRPr="00F369B0">
              <w:rPr>
                <w:rFonts w:ascii="Tahoma" w:hAnsi="Tahoma" w:cs="Tahoma"/>
                <w:b/>
                <w:bCs/>
                <w:color w:val="000000"/>
              </w:rPr>
              <w:lastRenderedPageBreak/>
              <w:t>процентном и в денежном выражении</w:t>
            </w:r>
          </w:p>
        </w:tc>
        <w:tc>
          <w:tcPr>
            <w:tcW w:w="11452" w:type="dxa"/>
            <w:tcBorders>
              <w:top w:val="single" w:sz="4" w:space="0" w:color="auto"/>
              <w:left w:val="nil"/>
              <w:bottom w:val="single" w:sz="4" w:space="0" w:color="auto"/>
              <w:right w:val="single" w:sz="4" w:space="0" w:color="auto"/>
            </w:tcBorders>
            <w:shd w:val="clear" w:color="auto" w:fill="auto"/>
            <w:vAlign w:val="center"/>
          </w:tcPr>
          <w:p w14:paraId="6D1CB8EB" w14:textId="77777777" w:rsidR="00951A61" w:rsidRPr="005350B3" w:rsidRDefault="00951A61" w:rsidP="00A4032F">
            <w:pPr>
              <w:jc w:val="center"/>
              <w:rPr>
                <w:rFonts w:ascii="Tahoma" w:hAnsi="Tahoma" w:cs="Tahoma"/>
                <w:color w:val="000000"/>
                <w:sz w:val="20"/>
                <w:szCs w:val="20"/>
              </w:rPr>
            </w:pPr>
            <w:r w:rsidRPr="005350B3">
              <w:rPr>
                <w:rFonts w:ascii="Tahoma" w:hAnsi="Tahoma" w:cs="Tahoma"/>
                <w:color w:val="000000"/>
                <w:sz w:val="20"/>
                <w:szCs w:val="20"/>
              </w:rPr>
              <w:lastRenderedPageBreak/>
              <w:t>6,798 % годовых</w:t>
            </w:r>
            <w:r w:rsidRPr="005350B3">
              <w:rPr>
                <w:rStyle w:val="aff3"/>
                <w:rFonts w:ascii="Tahoma" w:hAnsi="Tahoma" w:cs="Tahoma"/>
                <w:color w:val="000000"/>
                <w:sz w:val="20"/>
                <w:szCs w:val="20"/>
              </w:rPr>
              <w:footnoteReference w:id="122"/>
            </w:r>
            <w:r w:rsidRPr="005350B3">
              <w:rPr>
                <w:rFonts w:ascii="Tahoma" w:hAnsi="Tahoma" w:cs="Tahoma"/>
                <w:color w:val="000000"/>
                <w:sz w:val="20"/>
                <w:szCs w:val="20"/>
              </w:rPr>
              <w:t xml:space="preserve"> – 23,908 % годовых</w:t>
            </w:r>
            <w:r w:rsidRPr="005350B3">
              <w:rPr>
                <w:rStyle w:val="aff3"/>
                <w:rFonts w:ascii="Tahoma" w:hAnsi="Tahoma" w:cs="Tahoma"/>
                <w:color w:val="000000"/>
                <w:sz w:val="20"/>
                <w:szCs w:val="20"/>
              </w:rPr>
              <w:footnoteReference w:id="123"/>
            </w:r>
            <w:r w:rsidRPr="005350B3">
              <w:rPr>
                <w:rFonts w:ascii="Tahoma" w:hAnsi="Tahoma" w:cs="Tahoma"/>
                <w:color w:val="000000"/>
                <w:sz w:val="20"/>
                <w:szCs w:val="20"/>
              </w:rPr>
              <w:t>;</w:t>
            </w:r>
          </w:p>
          <w:p w14:paraId="01EEF26E" w14:textId="77777777" w:rsidR="00951A61" w:rsidRPr="00F369B0" w:rsidRDefault="00951A61" w:rsidP="00A4032F">
            <w:pPr>
              <w:jc w:val="center"/>
              <w:rPr>
                <w:rFonts w:ascii="Tahoma" w:hAnsi="Tahoma" w:cs="Tahoma"/>
                <w:sz w:val="20"/>
                <w:szCs w:val="20"/>
              </w:rPr>
            </w:pPr>
            <w:r w:rsidRPr="005350B3">
              <w:rPr>
                <w:rFonts w:ascii="Tahoma" w:hAnsi="Tahoma" w:cs="Tahoma"/>
                <w:color w:val="000000"/>
                <w:sz w:val="20"/>
                <w:szCs w:val="20"/>
              </w:rPr>
              <w:t>53 535,28 рублей – 53 508 908,24рублей</w:t>
            </w:r>
          </w:p>
        </w:tc>
      </w:tr>
      <w:tr w:rsidR="00951A61" w:rsidRPr="00F369B0" w14:paraId="51D68BF6"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45BB2691" w14:textId="77777777" w:rsidR="00951A61" w:rsidRPr="00F369B0" w:rsidRDefault="00951A61" w:rsidP="00A4032F">
            <w:pPr>
              <w:pStyle w:val="ConsPlusNormal"/>
              <w:jc w:val="center"/>
              <w:rPr>
                <w:rFonts w:ascii="Tahoma" w:hAnsi="Tahoma" w:cs="Tahoma"/>
                <w:b/>
                <w:bCs/>
                <w:color w:val="000000"/>
              </w:rPr>
            </w:pPr>
            <w:r w:rsidRPr="00F369B0">
              <w:rPr>
                <w:rFonts w:ascii="Tahoma" w:hAnsi="Tahoma" w:cs="Tahoma"/>
                <w:b/>
                <w:bCs/>
                <w:color w:val="000000"/>
              </w:rPr>
              <w:t>Способы обеспечения исполнения обязательств по Кредитному договору</w:t>
            </w:r>
          </w:p>
        </w:tc>
        <w:tc>
          <w:tcPr>
            <w:tcW w:w="11452" w:type="dxa"/>
            <w:tcBorders>
              <w:top w:val="single" w:sz="4" w:space="0" w:color="auto"/>
              <w:left w:val="nil"/>
              <w:bottom w:val="single" w:sz="4" w:space="0" w:color="auto"/>
              <w:right w:val="single" w:sz="4" w:space="0" w:color="auto"/>
            </w:tcBorders>
            <w:shd w:val="clear" w:color="auto" w:fill="auto"/>
            <w:vAlign w:val="center"/>
          </w:tcPr>
          <w:p w14:paraId="37C36D61" w14:textId="77777777" w:rsidR="00951A61" w:rsidRPr="00F369B0" w:rsidRDefault="00951A61" w:rsidP="00A4032F">
            <w:pPr>
              <w:ind w:firstLine="425"/>
              <w:jc w:val="both"/>
              <w:rPr>
                <w:rFonts w:ascii="Tahoma" w:hAnsi="Tahoma" w:cs="Tahoma"/>
                <w:color w:val="000000"/>
                <w:sz w:val="20"/>
                <w:szCs w:val="20"/>
              </w:rPr>
            </w:pPr>
            <w:r w:rsidRPr="00F369B0">
              <w:rPr>
                <w:rFonts w:ascii="Tahoma" w:hAnsi="Tahoma" w:cs="Tahoma"/>
                <w:color w:val="000000"/>
                <w:sz w:val="20"/>
                <w:szCs w:val="20"/>
              </w:rPr>
              <w:t>Исполнение обязательств по Кредитному договору обеспечивается:</w:t>
            </w:r>
          </w:p>
          <w:p w14:paraId="5F4800DF" w14:textId="77777777" w:rsidR="00951A61" w:rsidRPr="00F369B0" w:rsidRDefault="00951A61" w:rsidP="00951A61">
            <w:pPr>
              <w:pStyle w:val="affe"/>
              <w:widowControl w:val="0"/>
              <w:numPr>
                <w:ilvl w:val="0"/>
                <w:numId w:val="143"/>
              </w:numPr>
              <w:snapToGrid w:val="0"/>
              <w:ind w:left="0" w:firstLine="425"/>
              <w:jc w:val="both"/>
              <w:rPr>
                <w:rFonts w:ascii="Tahoma" w:hAnsi="Tahoma" w:cs="Tahoma"/>
                <w:sz w:val="20"/>
                <w:szCs w:val="20"/>
              </w:rPr>
            </w:pPr>
            <w:r w:rsidRPr="00F369B0">
              <w:rPr>
                <w:rFonts w:ascii="Tahoma" w:hAnsi="Tahoma" w:cs="Tahoma"/>
                <w:sz w:val="20"/>
                <w:szCs w:val="20"/>
              </w:rPr>
              <w:t>до регистрации права собственности на Объект недвижимости (при приобретении находящегося на этапе строительства жилого помещения) - залог прав требования Заемщика как участника долевого строительства по договору участия в долевом строительстве/</w:t>
            </w:r>
            <w:r w:rsidRPr="00F369B0">
              <w:t xml:space="preserve"> </w:t>
            </w:r>
            <w:r w:rsidRPr="00F369B0">
              <w:rPr>
                <w:rFonts w:ascii="Tahoma" w:hAnsi="Tahoma" w:cs="Tahoma"/>
                <w:sz w:val="20"/>
                <w:szCs w:val="20"/>
              </w:rPr>
              <w:t xml:space="preserve">договору уступки права требования по договорам участия в долевом строительстве на </w:t>
            </w:r>
            <w:r w:rsidRPr="00F369B0">
              <w:rPr>
                <w:rFonts w:ascii="Tahoma" w:hAnsi="Tahoma" w:cs="Tahoma"/>
                <w:sz w:val="20"/>
              </w:rPr>
              <w:t>приобретаемый Объект недвижимости</w:t>
            </w:r>
            <w:r w:rsidRPr="00F369B0">
              <w:rPr>
                <w:rFonts w:ascii="Tahoma" w:hAnsi="Tahoma" w:cs="Tahoma"/>
                <w:sz w:val="20"/>
                <w:szCs w:val="20"/>
              </w:rPr>
              <w:t xml:space="preserve"> за счет кредитных средств (залог имущественных прав);</w:t>
            </w:r>
          </w:p>
          <w:p w14:paraId="685654A9" w14:textId="77777777" w:rsidR="00951A61" w:rsidRPr="00F369B0" w:rsidRDefault="00951A61" w:rsidP="00951A61">
            <w:pPr>
              <w:pStyle w:val="affe"/>
              <w:numPr>
                <w:ilvl w:val="0"/>
                <w:numId w:val="143"/>
              </w:numPr>
              <w:ind w:left="0" w:firstLine="425"/>
              <w:contextualSpacing/>
              <w:jc w:val="both"/>
              <w:rPr>
                <w:rFonts w:ascii="Tahoma" w:hAnsi="Tahoma" w:cs="Tahoma"/>
                <w:sz w:val="20"/>
                <w:szCs w:val="20"/>
              </w:rPr>
            </w:pPr>
            <w:r w:rsidRPr="00F369B0">
              <w:rPr>
                <w:rFonts w:ascii="Tahoma" w:hAnsi="Tahoma" w:cs="Tahoma"/>
                <w:sz w:val="20"/>
                <w:szCs w:val="20"/>
              </w:rPr>
              <w:t>после регистрации права собственности на Объект недвижимости (при приобретении находящегося на этапе строительства жилого помещения) – залог Объекта недвижимости (с оформлением закладной).</w:t>
            </w:r>
          </w:p>
          <w:p w14:paraId="52FAB594" w14:textId="77777777" w:rsidR="00951A61" w:rsidRPr="00F369B0" w:rsidRDefault="00951A61" w:rsidP="00951A61">
            <w:pPr>
              <w:pStyle w:val="affe"/>
              <w:numPr>
                <w:ilvl w:val="0"/>
                <w:numId w:val="143"/>
              </w:numPr>
              <w:ind w:left="0" w:firstLine="425"/>
              <w:contextualSpacing/>
              <w:jc w:val="both"/>
              <w:rPr>
                <w:rFonts w:ascii="Tahoma" w:hAnsi="Tahoma" w:cs="Tahoma"/>
                <w:sz w:val="20"/>
                <w:szCs w:val="20"/>
              </w:rPr>
            </w:pPr>
            <w:r w:rsidRPr="00F369B0">
              <w:rPr>
                <w:rFonts w:ascii="Tahoma" w:hAnsi="Tahoma" w:cs="Tahoma"/>
                <w:sz w:val="20"/>
                <w:szCs w:val="20"/>
              </w:rPr>
              <w:t>при приобретении готового жилого помещения</w:t>
            </w:r>
            <w:r w:rsidRPr="00F369B0">
              <w:rPr>
                <w:rFonts w:ascii="Tahoma" w:hAnsi="Tahoma" w:cs="Tahoma"/>
                <w:color w:val="000000"/>
                <w:sz w:val="20"/>
                <w:szCs w:val="20"/>
              </w:rPr>
              <w:t xml:space="preserve"> - з</w:t>
            </w:r>
            <w:r w:rsidRPr="00F369B0">
              <w:rPr>
                <w:rFonts w:ascii="Tahoma" w:hAnsi="Tahoma" w:cs="Tahoma"/>
                <w:sz w:val="20"/>
                <w:szCs w:val="20"/>
              </w:rPr>
              <w:t>алог приобретаемого Объекта недвижимости (с оформлением закладной) – по факту оформления права собственности на приобретаемую недвижимость;</w:t>
            </w:r>
          </w:p>
          <w:p w14:paraId="7714D4F7" w14:textId="77777777" w:rsidR="00951A61" w:rsidRPr="00F369B0" w:rsidRDefault="00951A61" w:rsidP="00951A61">
            <w:pPr>
              <w:pStyle w:val="affe"/>
              <w:numPr>
                <w:ilvl w:val="0"/>
                <w:numId w:val="143"/>
              </w:numPr>
              <w:ind w:left="0" w:firstLine="425"/>
              <w:contextualSpacing/>
              <w:jc w:val="both"/>
              <w:rPr>
                <w:rFonts w:ascii="Tahoma" w:hAnsi="Tahoma" w:cs="Tahoma"/>
                <w:sz w:val="20"/>
                <w:szCs w:val="20"/>
              </w:rPr>
            </w:pPr>
            <w:r w:rsidRPr="00F369B0">
              <w:rPr>
                <w:rFonts w:ascii="Tahoma" w:hAnsi="Tahoma" w:cs="Tahoma"/>
                <w:sz w:val="20"/>
                <w:szCs w:val="20"/>
              </w:rPr>
              <w:t>при рефинансировании кредита - залог Объекта недвижимости (с оформлением закладной), на приобретение которого был предоставлен Рефинансируемый кредит или первый из ранее рефинансируемых ипотечных кредитов</w:t>
            </w:r>
          </w:p>
          <w:p w14:paraId="753AFEA4" w14:textId="77777777" w:rsidR="00951A61" w:rsidRPr="00F369B0" w:rsidRDefault="00951A61" w:rsidP="00951A61">
            <w:pPr>
              <w:pStyle w:val="affe"/>
              <w:numPr>
                <w:ilvl w:val="0"/>
                <w:numId w:val="143"/>
              </w:numPr>
              <w:ind w:left="0" w:firstLine="425"/>
              <w:contextualSpacing/>
              <w:jc w:val="both"/>
              <w:rPr>
                <w:rFonts w:ascii="Tahoma" w:hAnsi="Tahoma" w:cs="Tahoma"/>
                <w:sz w:val="20"/>
                <w:szCs w:val="20"/>
              </w:rPr>
            </w:pPr>
            <w:r w:rsidRPr="00F369B0">
              <w:rPr>
                <w:rFonts w:ascii="Tahoma" w:hAnsi="Tahoma" w:cs="Tahoma"/>
                <w:color w:val="000000"/>
                <w:sz w:val="20"/>
                <w:szCs w:val="20"/>
              </w:rPr>
              <w:t>неустойкой.</w:t>
            </w:r>
          </w:p>
          <w:p w14:paraId="7347BD9B" w14:textId="77777777" w:rsidR="00951A61" w:rsidRPr="00F369B0" w:rsidRDefault="00951A61" w:rsidP="00A4032F">
            <w:pPr>
              <w:ind w:firstLine="425"/>
              <w:jc w:val="both"/>
              <w:rPr>
                <w:rFonts w:ascii="Tahoma" w:eastAsia="Calibri" w:hAnsi="Tahoma" w:cs="Tahoma"/>
                <w:sz w:val="20"/>
                <w:szCs w:val="20"/>
              </w:rPr>
            </w:pPr>
          </w:p>
          <w:p w14:paraId="2241D008" w14:textId="77777777" w:rsidR="00951A61" w:rsidRPr="00F369B0" w:rsidRDefault="00951A61" w:rsidP="00A4032F">
            <w:pPr>
              <w:ind w:firstLine="425"/>
              <w:jc w:val="both"/>
              <w:rPr>
                <w:rFonts w:ascii="Tahoma" w:eastAsia="Calibri" w:hAnsi="Tahoma" w:cs="Tahoma"/>
                <w:sz w:val="20"/>
                <w:szCs w:val="20"/>
              </w:rPr>
            </w:pPr>
            <w:r w:rsidRPr="00F369B0">
              <w:rPr>
                <w:rFonts w:ascii="Tahoma" w:eastAsia="Calibri" w:hAnsi="Tahoma" w:cs="Tahoma"/>
                <w:sz w:val="20"/>
                <w:szCs w:val="20"/>
              </w:rPr>
              <w:t>Условиями Кредитного договора могут быть предусмотрены дополнительные способы обеспечения исполнения обязательств</w:t>
            </w:r>
          </w:p>
        </w:tc>
      </w:tr>
      <w:tr w:rsidR="00951A61" w:rsidRPr="00F369B0" w14:paraId="73E80EB6"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2EC43A07" w14:textId="77777777" w:rsidR="00951A61" w:rsidRPr="00F369B0" w:rsidRDefault="00951A61" w:rsidP="00A4032F">
            <w:pPr>
              <w:pStyle w:val="ConsPlusNormal"/>
              <w:jc w:val="center"/>
              <w:rPr>
                <w:rFonts w:ascii="Tahoma" w:hAnsi="Tahoma" w:cs="Tahoma"/>
                <w:b/>
              </w:rPr>
            </w:pPr>
            <w:r w:rsidRPr="00F369B0">
              <w:rPr>
                <w:rFonts w:ascii="Tahoma" w:hAnsi="Tahoma" w:cs="Tahoma"/>
                <w:b/>
              </w:rPr>
              <w:t>Страхование</w:t>
            </w:r>
            <w:r w:rsidRPr="00F369B0">
              <w:rPr>
                <w:rStyle w:val="aff3"/>
                <w:rFonts w:ascii="Tahoma" w:hAnsi="Tahoma"/>
                <w:b/>
              </w:rPr>
              <w:footnoteReference w:id="124"/>
            </w:r>
          </w:p>
        </w:tc>
        <w:tc>
          <w:tcPr>
            <w:tcW w:w="11452" w:type="dxa"/>
            <w:tcBorders>
              <w:top w:val="single" w:sz="4" w:space="0" w:color="auto"/>
              <w:left w:val="nil"/>
              <w:bottom w:val="single" w:sz="4" w:space="0" w:color="auto"/>
              <w:right w:val="single" w:sz="4" w:space="0" w:color="auto"/>
            </w:tcBorders>
            <w:shd w:val="clear" w:color="auto" w:fill="auto"/>
          </w:tcPr>
          <w:p w14:paraId="38F2FA55" w14:textId="77777777" w:rsidR="00951A61" w:rsidRPr="00F369B0" w:rsidRDefault="00951A61" w:rsidP="00A4032F">
            <w:pPr>
              <w:widowControl w:val="0"/>
              <w:snapToGrid w:val="0"/>
              <w:ind w:firstLine="425"/>
              <w:jc w:val="both"/>
              <w:rPr>
                <w:rFonts w:ascii="Tahoma" w:hAnsi="Tahoma" w:cs="Tahoma"/>
                <w:b/>
                <w:sz w:val="20"/>
                <w:szCs w:val="20"/>
              </w:rPr>
            </w:pPr>
            <w:r w:rsidRPr="00F369B0">
              <w:rPr>
                <w:rFonts w:ascii="Tahoma" w:hAnsi="Tahoma" w:cs="Tahoma"/>
                <w:b/>
                <w:sz w:val="20"/>
              </w:rPr>
              <w:t xml:space="preserve">При </w:t>
            </w:r>
            <w:r w:rsidRPr="00F369B0">
              <w:rPr>
                <w:rFonts w:ascii="Tahoma" w:hAnsi="Tahoma" w:cs="Tahoma"/>
                <w:b/>
                <w:sz w:val="20"/>
                <w:szCs w:val="20"/>
              </w:rPr>
              <w:t>приобретени</w:t>
            </w:r>
            <w:r w:rsidRPr="00F369B0">
              <w:rPr>
                <w:rFonts w:ascii="Tahoma" w:hAnsi="Tahoma" w:cs="Tahoma"/>
                <w:b/>
                <w:sz w:val="20"/>
              </w:rPr>
              <w:t>и</w:t>
            </w:r>
            <w:r w:rsidRPr="00F369B0">
              <w:rPr>
                <w:rFonts w:ascii="Tahoma" w:hAnsi="Tahoma" w:cs="Tahoma"/>
                <w:b/>
                <w:sz w:val="20"/>
                <w:szCs w:val="20"/>
              </w:rPr>
              <w:t xml:space="preserve"> находящегося на этапе строительства жилого помещения:</w:t>
            </w:r>
          </w:p>
          <w:p w14:paraId="5C7A55E9" w14:textId="77777777" w:rsidR="00951A61" w:rsidRPr="00F369B0" w:rsidRDefault="00951A61" w:rsidP="00A4032F">
            <w:pPr>
              <w:widowControl w:val="0"/>
              <w:snapToGrid w:val="0"/>
              <w:ind w:firstLine="425"/>
              <w:jc w:val="both"/>
              <w:rPr>
                <w:rFonts w:ascii="Tahoma" w:hAnsi="Tahoma" w:cs="Tahoma"/>
                <w:sz w:val="20"/>
                <w:szCs w:val="20"/>
                <w:u w:val="single"/>
              </w:rPr>
            </w:pPr>
            <w:r w:rsidRPr="00F369B0">
              <w:rPr>
                <w:rFonts w:ascii="Tahoma" w:hAnsi="Tahoma" w:cs="Tahoma"/>
                <w:b/>
                <w:sz w:val="20"/>
                <w:szCs w:val="20"/>
              </w:rPr>
              <w:t>а) До регистрации права собственности на Объект недвижимости:</w:t>
            </w:r>
          </w:p>
          <w:p w14:paraId="5C3EACFA" w14:textId="77777777" w:rsidR="00951A61" w:rsidRPr="00F369B0" w:rsidRDefault="00951A61" w:rsidP="00951A61">
            <w:pPr>
              <w:pStyle w:val="FooterEven"/>
              <w:numPr>
                <w:ilvl w:val="0"/>
                <w:numId w:val="18"/>
              </w:numPr>
              <w:tabs>
                <w:tab w:val="left" w:pos="720"/>
              </w:tabs>
              <w:ind w:left="0" w:firstLine="425"/>
              <w:jc w:val="both"/>
              <w:rPr>
                <w:rFonts w:ascii="Tahoma" w:hAnsi="Tahoma" w:cs="Tahoma"/>
                <w:b w:val="0"/>
                <w:color w:val="000000"/>
                <w:sz w:val="20"/>
              </w:rPr>
            </w:pPr>
            <w:r w:rsidRPr="00F369B0">
              <w:rPr>
                <w:rFonts w:ascii="Tahoma" w:hAnsi="Tahoma" w:cs="Tahoma"/>
                <w:b w:val="0"/>
                <w:color w:val="000000"/>
                <w:sz w:val="20"/>
              </w:rPr>
              <w:t>Личное страхование (</w:t>
            </w:r>
            <w:r w:rsidRPr="00F369B0">
              <w:rPr>
                <w:rFonts w:ascii="Tahoma" w:eastAsia="Times New Roman" w:hAnsi="Tahoma" w:cs="Tahoma"/>
                <w:b w:val="0"/>
                <w:sz w:val="20"/>
                <w:lang w:eastAsia="ru-RU"/>
              </w:rPr>
              <w:t>страхование на случай смерти застрахованного лица и установления застрахованному лицу инвалидности I, II группы, в том числе в результате болезни</w:t>
            </w:r>
            <w:r w:rsidRPr="00F369B0">
              <w:rPr>
                <w:rFonts w:ascii="Tahoma" w:hAnsi="Tahoma" w:cs="Tahoma"/>
                <w:b w:val="0"/>
                <w:color w:val="000000"/>
                <w:sz w:val="20"/>
              </w:rPr>
              <w:t>) — оформляется по желанию Заемщика</w:t>
            </w:r>
            <w:bookmarkStart w:id="131" w:name="_Ref154499971"/>
            <w:r w:rsidRPr="00F369B0">
              <w:rPr>
                <w:rStyle w:val="aff3"/>
                <w:rFonts w:ascii="Tahoma" w:eastAsia="Times New Roman" w:hAnsi="Tahoma"/>
                <w:b w:val="0"/>
                <w:sz w:val="20"/>
                <w:lang w:eastAsia="ru-RU"/>
              </w:rPr>
              <w:footnoteReference w:id="125"/>
            </w:r>
            <w:bookmarkEnd w:id="131"/>
            <w:r w:rsidRPr="00F369B0">
              <w:rPr>
                <w:rFonts w:ascii="Tahoma" w:hAnsi="Tahoma" w:cs="Tahoma"/>
                <w:b w:val="0"/>
                <w:color w:val="000000"/>
                <w:sz w:val="20"/>
              </w:rPr>
              <w:t xml:space="preserve">; </w:t>
            </w:r>
          </w:p>
          <w:p w14:paraId="6B7ECAC9" w14:textId="77777777" w:rsidR="00951A61" w:rsidRPr="00F369B0" w:rsidRDefault="00951A61" w:rsidP="00A4032F">
            <w:pPr>
              <w:widowControl w:val="0"/>
              <w:snapToGrid w:val="0"/>
              <w:ind w:firstLine="425"/>
              <w:jc w:val="both"/>
              <w:rPr>
                <w:rFonts w:ascii="Tahoma" w:hAnsi="Tahoma" w:cs="Tahoma"/>
                <w:b/>
                <w:color w:val="000000"/>
                <w:sz w:val="20"/>
                <w:szCs w:val="20"/>
              </w:rPr>
            </w:pPr>
            <w:r w:rsidRPr="00F369B0">
              <w:rPr>
                <w:rFonts w:ascii="Tahoma" w:hAnsi="Tahoma" w:cs="Tahoma"/>
                <w:b/>
                <w:sz w:val="20"/>
                <w:szCs w:val="20"/>
              </w:rPr>
              <w:t>б) После регистрации права собственности на Объект недвижимости</w:t>
            </w:r>
            <w:r w:rsidRPr="00F369B0">
              <w:rPr>
                <w:rFonts w:ascii="Tahoma" w:hAnsi="Tahoma" w:cs="Tahoma"/>
                <w:b/>
                <w:color w:val="000000"/>
                <w:sz w:val="20"/>
                <w:szCs w:val="20"/>
              </w:rPr>
              <w:t xml:space="preserve">: </w:t>
            </w:r>
          </w:p>
          <w:p w14:paraId="7A36644C" w14:textId="77777777" w:rsidR="00951A61" w:rsidRPr="00F369B0" w:rsidRDefault="00951A61" w:rsidP="00951A61">
            <w:pPr>
              <w:pStyle w:val="FooterEven"/>
              <w:numPr>
                <w:ilvl w:val="0"/>
                <w:numId w:val="19"/>
              </w:numPr>
              <w:tabs>
                <w:tab w:val="left" w:pos="720"/>
              </w:tabs>
              <w:ind w:left="0" w:firstLine="425"/>
              <w:jc w:val="both"/>
              <w:rPr>
                <w:rFonts w:ascii="Tahoma" w:hAnsi="Tahoma" w:cs="Tahoma"/>
                <w:b w:val="0"/>
                <w:color w:val="000000"/>
                <w:sz w:val="20"/>
              </w:rPr>
            </w:pPr>
            <w:r w:rsidRPr="00F369B0">
              <w:rPr>
                <w:rFonts w:ascii="Tahoma" w:eastAsia="Times New Roman" w:hAnsi="Tahoma" w:cs="Tahoma"/>
                <w:b w:val="0"/>
                <w:sz w:val="20"/>
                <w:lang w:eastAsia="ru-RU"/>
              </w:rPr>
              <w:t>Имущественное страхование (страхование рисков, связанных с утратой или повреждением недвижимого имущества, находящегося в залоге) — оформляется по желанию заемщика</w:t>
            </w:r>
            <w:r w:rsidRPr="00F369B0">
              <w:rPr>
                <w:rFonts w:ascii="Tahoma" w:hAnsi="Tahoma" w:cs="Tahoma"/>
                <w:b w:val="0"/>
                <w:color w:val="000000"/>
                <w:sz w:val="20"/>
              </w:rPr>
              <w:t>;</w:t>
            </w:r>
          </w:p>
          <w:p w14:paraId="13B2AB60" w14:textId="77777777" w:rsidR="00951A61" w:rsidRPr="00F369B0" w:rsidRDefault="00951A61" w:rsidP="00951A61">
            <w:pPr>
              <w:pStyle w:val="affe"/>
              <w:numPr>
                <w:ilvl w:val="0"/>
                <w:numId w:val="17"/>
              </w:numPr>
              <w:ind w:left="0" w:firstLine="425"/>
              <w:contextualSpacing/>
              <w:jc w:val="both"/>
              <w:rPr>
                <w:rFonts w:ascii="Tahoma" w:hAnsi="Tahoma" w:cs="Tahoma"/>
                <w:color w:val="000000"/>
                <w:sz w:val="20"/>
                <w:szCs w:val="20"/>
                <w:lang w:eastAsia="ar-SA"/>
              </w:rPr>
            </w:pPr>
            <w:r w:rsidRPr="00F369B0">
              <w:rPr>
                <w:rFonts w:ascii="Tahoma" w:hAnsi="Tahoma" w:cs="Tahoma"/>
                <w:color w:val="000000"/>
                <w:sz w:val="20"/>
                <w:szCs w:val="20"/>
                <w:lang w:eastAsia="ar-SA"/>
              </w:rPr>
              <w:t>Личное страхование (</w:t>
            </w:r>
            <w:r w:rsidRPr="00F369B0">
              <w:rPr>
                <w:rFonts w:ascii="Tahoma" w:hAnsi="Tahoma" w:cs="Tahoma"/>
                <w:sz w:val="20"/>
                <w:szCs w:val="20"/>
              </w:rPr>
              <w:t>страхование на случай смерти застрахованного лица и установления застрахованному лицу инвалидности I, II группы, в том числе в результате болезни</w:t>
            </w:r>
            <w:r w:rsidRPr="00F369B0">
              <w:rPr>
                <w:rFonts w:ascii="Tahoma" w:hAnsi="Tahoma" w:cs="Tahoma"/>
                <w:color w:val="000000"/>
                <w:sz w:val="20"/>
                <w:szCs w:val="20"/>
                <w:lang w:eastAsia="ar-SA"/>
              </w:rPr>
              <w:t>) — оформляется по желанию Заемщика</w:t>
            </w:r>
            <w:r w:rsidRPr="00F369B0">
              <w:rPr>
                <w:rFonts w:ascii="Tahoma" w:hAnsi="Tahoma" w:cs="Tahoma"/>
                <w:color w:val="000000"/>
                <w:sz w:val="20"/>
                <w:szCs w:val="20"/>
                <w:vertAlign w:val="superscript"/>
                <w:lang w:eastAsia="ar-SA"/>
              </w:rPr>
              <w:fldChar w:fldCharType="begin"/>
            </w:r>
            <w:r w:rsidRPr="00F369B0">
              <w:rPr>
                <w:rFonts w:ascii="Tahoma" w:hAnsi="Tahoma" w:cs="Tahoma"/>
                <w:color w:val="000000"/>
                <w:sz w:val="20"/>
                <w:szCs w:val="20"/>
                <w:vertAlign w:val="superscript"/>
                <w:lang w:eastAsia="ar-SA"/>
              </w:rPr>
              <w:instrText xml:space="preserve"> NOTEREF _Ref154499971 \h  \* MERGEFORMAT </w:instrText>
            </w:r>
            <w:r w:rsidRPr="00F369B0">
              <w:rPr>
                <w:rFonts w:ascii="Tahoma" w:hAnsi="Tahoma" w:cs="Tahoma"/>
                <w:color w:val="000000"/>
                <w:sz w:val="20"/>
                <w:szCs w:val="20"/>
                <w:vertAlign w:val="superscript"/>
                <w:lang w:eastAsia="ar-SA"/>
              </w:rPr>
            </w:r>
            <w:r w:rsidRPr="00F369B0">
              <w:rPr>
                <w:rFonts w:ascii="Tahoma" w:hAnsi="Tahoma" w:cs="Tahoma"/>
                <w:color w:val="000000"/>
                <w:sz w:val="20"/>
                <w:szCs w:val="20"/>
                <w:vertAlign w:val="superscript"/>
                <w:lang w:eastAsia="ar-SA"/>
              </w:rPr>
              <w:fldChar w:fldCharType="separate"/>
            </w:r>
            <w:r>
              <w:rPr>
                <w:rFonts w:ascii="Tahoma" w:hAnsi="Tahoma" w:cs="Tahoma"/>
                <w:color w:val="000000"/>
                <w:sz w:val="20"/>
                <w:szCs w:val="20"/>
                <w:vertAlign w:val="superscript"/>
                <w:lang w:eastAsia="ar-SA"/>
              </w:rPr>
              <w:t>13</w:t>
            </w:r>
            <w:r w:rsidRPr="00F369B0">
              <w:rPr>
                <w:rFonts w:ascii="Tahoma" w:hAnsi="Tahoma" w:cs="Tahoma"/>
                <w:color w:val="000000"/>
                <w:sz w:val="20"/>
                <w:szCs w:val="20"/>
                <w:vertAlign w:val="superscript"/>
                <w:lang w:eastAsia="ar-SA"/>
              </w:rPr>
              <w:fldChar w:fldCharType="end"/>
            </w:r>
            <w:r w:rsidRPr="00F369B0">
              <w:rPr>
                <w:rFonts w:ascii="Tahoma" w:hAnsi="Tahoma" w:cs="Tahoma"/>
                <w:color w:val="000000"/>
                <w:sz w:val="20"/>
                <w:szCs w:val="20"/>
                <w:lang w:eastAsia="ar-SA"/>
              </w:rPr>
              <w:t xml:space="preserve">. </w:t>
            </w:r>
          </w:p>
          <w:p w14:paraId="48654DC7" w14:textId="77777777" w:rsidR="00951A61" w:rsidRPr="00F369B0" w:rsidRDefault="00951A61" w:rsidP="00A4032F">
            <w:pPr>
              <w:ind w:firstLine="425"/>
              <w:jc w:val="both"/>
              <w:rPr>
                <w:rFonts w:ascii="Tahoma" w:hAnsi="Tahoma" w:cs="Tahoma"/>
                <w:color w:val="000000"/>
                <w:sz w:val="20"/>
                <w:szCs w:val="20"/>
                <w:lang w:eastAsia="ar-SA"/>
              </w:rPr>
            </w:pPr>
          </w:p>
          <w:p w14:paraId="7165A534" w14:textId="77777777" w:rsidR="00951A61" w:rsidRPr="00F369B0" w:rsidRDefault="00951A61" w:rsidP="00A4032F">
            <w:pPr>
              <w:ind w:firstLine="425"/>
              <w:jc w:val="both"/>
              <w:rPr>
                <w:rFonts w:ascii="Tahoma" w:hAnsi="Tahoma" w:cs="Tahoma"/>
                <w:b/>
                <w:sz w:val="20"/>
                <w:szCs w:val="20"/>
              </w:rPr>
            </w:pPr>
            <w:r w:rsidRPr="00F369B0">
              <w:rPr>
                <w:rFonts w:ascii="Tahoma" w:hAnsi="Tahoma" w:cs="Tahoma"/>
                <w:b/>
                <w:sz w:val="20"/>
                <w:szCs w:val="20"/>
              </w:rPr>
              <w:t>При приобретении готового жилого помещения:</w:t>
            </w:r>
          </w:p>
          <w:p w14:paraId="637FBAE4" w14:textId="77777777" w:rsidR="00951A61" w:rsidRPr="00F369B0" w:rsidRDefault="00951A61" w:rsidP="00951A61">
            <w:pPr>
              <w:pStyle w:val="affe"/>
              <w:numPr>
                <w:ilvl w:val="0"/>
                <w:numId w:val="55"/>
              </w:numPr>
              <w:ind w:left="0" w:firstLine="425"/>
              <w:contextualSpacing/>
              <w:jc w:val="both"/>
              <w:rPr>
                <w:rFonts w:ascii="Tahoma" w:hAnsi="Tahoma" w:cs="Tahoma"/>
                <w:sz w:val="20"/>
                <w:szCs w:val="20"/>
              </w:rPr>
            </w:pPr>
            <w:r w:rsidRPr="00F369B0">
              <w:rPr>
                <w:rFonts w:ascii="Tahoma" w:hAnsi="Tahoma" w:cs="Tahoma"/>
                <w:sz w:val="20"/>
                <w:szCs w:val="20"/>
              </w:rPr>
              <w:t>Имущественное страхование (страхование рисков, связанных с утратой или повреждением недвижимого имущества, находящегося в залоге) — оформляется по желанию заемщика;</w:t>
            </w:r>
          </w:p>
          <w:p w14:paraId="3631B889" w14:textId="77777777" w:rsidR="00951A61" w:rsidRPr="00F369B0" w:rsidRDefault="00951A61" w:rsidP="00A4032F">
            <w:pPr>
              <w:ind w:firstLine="425"/>
              <w:jc w:val="both"/>
              <w:rPr>
                <w:rFonts w:ascii="Tahoma" w:hAnsi="Tahoma" w:cs="Tahoma"/>
                <w:sz w:val="20"/>
                <w:szCs w:val="20"/>
              </w:rPr>
            </w:pPr>
            <w:r w:rsidRPr="00F369B0">
              <w:rPr>
                <w:rFonts w:ascii="Tahoma" w:hAnsi="Tahoma" w:cs="Tahoma"/>
                <w:sz w:val="20"/>
                <w:szCs w:val="20"/>
              </w:rPr>
              <w:t>- Личное страхование (страхование на случай смерти застрахованного лица и установления застрахованному лицу инвалидности I, II группы, в том числе в результате болезни) — оформляется по желанию заемщика</w:t>
            </w:r>
            <w:r w:rsidRPr="00F369B0">
              <w:rPr>
                <w:rFonts w:ascii="Tahoma" w:hAnsi="Tahoma" w:cs="Tahoma"/>
                <w:sz w:val="20"/>
                <w:szCs w:val="20"/>
                <w:vertAlign w:val="superscript"/>
              </w:rPr>
              <w:fldChar w:fldCharType="begin"/>
            </w:r>
            <w:r w:rsidRPr="00F369B0">
              <w:rPr>
                <w:rFonts w:ascii="Tahoma" w:hAnsi="Tahoma" w:cs="Tahoma"/>
                <w:sz w:val="20"/>
                <w:szCs w:val="20"/>
                <w:vertAlign w:val="superscript"/>
              </w:rPr>
              <w:instrText xml:space="preserve"> NOTEREF _Ref154499971 \h </w:instrText>
            </w:r>
            <w:r>
              <w:rPr>
                <w:rFonts w:ascii="Tahoma" w:hAnsi="Tahoma" w:cs="Tahoma"/>
                <w:sz w:val="20"/>
                <w:szCs w:val="20"/>
                <w:vertAlign w:val="superscript"/>
              </w:rPr>
              <w:instrText xml:space="preserve"> \* MERGEFORMAT </w:instrText>
            </w:r>
            <w:r w:rsidRPr="00F369B0">
              <w:rPr>
                <w:rFonts w:ascii="Tahoma" w:hAnsi="Tahoma" w:cs="Tahoma"/>
                <w:sz w:val="20"/>
                <w:szCs w:val="20"/>
                <w:vertAlign w:val="superscript"/>
              </w:rPr>
            </w:r>
            <w:r w:rsidRPr="00F369B0">
              <w:rPr>
                <w:rFonts w:ascii="Tahoma" w:hAnsi="Tahoma" w:cs="Tahoma"/>
                <w:sz w:val="20"/>
                <w:szCs w:val="20"/>
                <w:vertAlign w:val="superscript"/>
              </w:rPr>
              <w:fldChar w:fldCharType="separate"/>
            </w:r>
            <w:r>
              <w:rPr>
                <w:rFonts w:ascii="Tahoma" w:hAnsi="Tahoma" w:cs="Tahoma"/>
                <w:sz w:val="20"/>
                <w:szCs w:val="20"/>
                <w:vertAlign w:val="superscript"/>
              </w:rPr>
              <w:t>13</w:t>
            </w:r>
            <w:r w:rsidRPr="00F369B0">
              <w:rPr>
                <w:rFonts w:ascii="Tahoma" w:hAnsi="Tahoma" w:cs="Tahoma"/>
                <w:sz w:val="20"/>
                <w:szCs w:val="20"/>
                <w:vertAlign w:val="superscript"/>
              </w:rPr>
              <w:fldChar w:fldCharType="end"/>
            </w:r>
            <w:r w:rsidRPr="00F369B0">
              <w:rPr>
                <w:rFonts w:ascii="Tahoma" w:hAnsi="Tahoma" w:cs="Tahoma"/>
                <w:sz w:val="20"/>
                <w:szCs w:val="20"/>
              </w:rPr>
              <w:t>.</w:t>
            </w:r>
          </w:p>
          <w:p w14:paraId="2C813557" w14:textId="77777777" w:rsidR="00951A61" w:rsidRPr="00F369B0" w:rsidRDefault="00951A61" w:rsidP="00A4032F">
            <w:pPr>
              <w:ind w:firstLine="425"/>
              <w:jc w:val="both"/>
              <w:rPr>
                <w:rFonts w:ascii="Tahoma" w:hAnsi="Tahoma" w:cs="Tahoma"/>
                <w:sz w:val="20"/>
                <w:szCs w:val="20"/>
              </w:rPr>
            </w:pPr>
          </w:p>
        </w:tc>
      </w:tr>
      <w:tr w:rsidR="00951A61" w:rsidRPr="00F369B0" w14:paraId="745B64E6"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28896098" w14:textId="77777777" w:rsidR="00951A61" w:rsidRPr="00F369B0" w:rsidRDefault="00951A61" w:rsidP="00A4032F">
            <w:pPr>
              <w:pStyle w:val="ConsPlusNormal"/>
              <w:ind w:left="-6"/>
              <w:jc w:val="center"/>
              <w:rPr>
                <w:rFonts w:ascii="Tahoma" w:hAnsi="Tahoma" w:cs="Tahoma"/>
                <w:b/>
              </w:rPr>
            </w:pPr>
            <w:r w:rsidRPr="00F369B0">
              <w:rPr>
                <w:rFonts w:ascii="Tahoma" w:hAnsi="Tahoma" w:cs="Tahoma"/>
                <w:b/>
              </w:rPr>
              <w:t>Коэффициент Кредит/Залог</w:t>
            </w:r>
          </w:p>
        </w:tc>
        <w:tc>
          <w:tcPr>
            <w:tcW w:w="11452" w:type="dxa"/>
            <w:tcBorders>
              <w:top w:val="single" w:sz="4" w:space="0" w:color="auto"/>
              <w:left w:val="nil"/>
              <w:bottom w:val="single" w:sz="4" w:space="0" w:color="auto"/>
              <w:right w:val="single" w:sz="4" w:space="0" w:color="auto"/>
            </w:tcBorders>
            <w:shd w:val="clear" w:color="auto" w:fill="auto"/>
            <w:vAlign w:val="center"/>
          </w:tcPr>
          <w:p w14:paraId="394B6017" w14:textId="77777777" w:rsidR="00951A61" w:rsidRPr="003F3CBD" w:rsidRDefault="00951A61" w:rsidP="00A4032F">
            <w:pPr>
              <w:pStyle w:val="affe"/>
              <w:tabs>
                <w:tab w:val="left" w:pos="280"/>
              </w:tabs>
              <w:ind w:left="0" w:firstLine="425"/>
              <w:jc w:val="both"/>
              <w:rPr>
                <w:rFonts w:ascii="Tahoma" w:hAnsi="Tahoma" w:cs="Tahoma"/>
                <w:b/>
                <w:sz w:val="20"/>
                <w:szCs w:val="20"/>
                <w:u w:val="single"/>
              </w:rPr>
            </w:pPr>
            <w:r w:rsidRPr="003F3CBD">
              <w:rPr>
                <w:rFonts w:ascii="Tahoma" w:hAnsi="Tahoma" w:cs="Tahoma"/>
                <w:b/>
                <w:sz w:val="20"/>
                <w:szCs w:val="20"/>
                <w:u w:val="single"/>
              </w:rPr>
              <w:t>Требование к размеру Коэффициента К/З:</w:t>
            </w:r>
          </w:p>
          <w:p w14:paraId="1BB22707" w14:textId="77777777" w:rsidR="00951A61" w:rsidRPr="003F3CBD" w:rsidRDefault="00951A61" w:rsidP="00A4032F">
            <w:pPr>
              <w:pStyle w:val="affe"/>
              <w:tabs>
                <w:tab w:val="left" w:pos="280"/>
              </w:tabs>
              <w:ind w:left="0" w:firstLine="425"/>
              <w:jc w:val="both"/>
              <w:rPr>
                <w:rFonts w:ascii="Tahoma" w:hAnsi="Tahoma" w:cs="Tahoma"/>
                <w:b/>
                <w:sz w:val="20"/>
                <w:szCs w:val="20"/>
                <w:u w:val="single"/>
              </w:rPr>
            </w:pPr>
            <w:r w:rsidRPr="003F3CBD">
              <w:rPr>
                <w:rFonts w:ascii="Tahoma" w:hAnsi="Tahoma" w:cs="Tahoma"/>
                <w:b/>
                <w:sz w:val="20"/>
                <w:szCs w:val="20"/>
                <w:u w:val="single"/>
              </w:rPr>
              <w:t xml:space="preserve">Коэффициент К/З </w:t>
            </w:r>
            <w:r w:rsidRPr="003F3CBD">
              <w:rPr>
                <w:rFonts w:ascii="Tahoma" w:hAnsi="Tahoma" w:cs="Tahoma"/>
                <w:sz w:val="20"/>
                <w:szCs w:val="20"/>
              </w:rPr>
              <w:t>определяется как величина расчета возможной суммы Кредита в зависимости от Действительной стоимости Предмета ипотеки.</w:t>
            </w:r>
          </w:p>
          <w:tbl>
            <w:tblPr>
              <w:tblStyle w:val="aff0"/>
              <w:tblW w:w="11199" w:type="dxa"/>
              <w:tblInd w:w="28" w:type="dxa"/>
              <w:tblLayout w:type="fixed"/>
              <w:tblLook w:val="04A0" w:firstRow="1" w:lastRow="0" w:firstColumn="1" w:lastColumn="0" w:noHBand="0" w:noVBand="1"/>
            </w:tblPr>
            <w:tblGrid>
              <w:gridCol w:w="4203"/>
              <w:gridCol w:w="3686"/>
              <w:gridCol w:w="3310"/>
            </w:tblGrid>
            <w:tr w:rsidR="00951A61" w:rsidRPr="003F3CBD" w14:paraId="7278750E" w14:textId="77777777" w:rsidTr="00A4032F">
              <w:trPr>
                <w:trHeight w:val="436"/>
              </w:trPr>
              <w:tc>
                <w:tcPr>
                  <w:tcW w:w="4203" w:type="dxa"/>
                </w:tcPr>
                <w:p w14:paraId="1C8FF4C3" w14:textId="77777777" w:rsidR="00951A61" w:rsidRPr="003F3CBD" w:rsidRDefault="00951A61" w:rsidP="00A4032F">
                  <w:pPr>
                    <w:pStyle w:val="affe"/>
                    <w:tabs>
                      <w:tab w:val="left" w:pos="280"/>
                    </w:tabs>
                    <w:jc w:val="center"/>
                    <w:rPr>
                      <w:rFonts w:ascii="Tahoma" w:hAnsi="Tahoma" w:cs="Tahoma"/>
                      <w:b/>
                      <w:sz w:val="20"/>
                      <w:szCs w:val="20"/>
                    </w:rPr>
                  </w:pPr>
                  <w:r w:rsidRPr="003F3CBD">
                    <w:rPr>
                      <w:rFonts w:ascii="Tahoma" w:hAnsi="Tahoma" w:cs="Tahoma"/>
                      <w:b/>
                      <w:sz w:val="20"/>
                      <w:szCs w:val="20"/>
                    </w:rPr>
                    <w:lastRenderedPageBreak/>
                    <w:t>Квартира</w:t>
                  </w:r>
                </w:p>
              </w:tc>
              <w:tc>
                <w:tcPr>
                  <w:tcW w:w="3686" w:type="dxa"/>
                </w:tcPr>
                <w:p w14:paraId="59AD9FAD" w14:textId="77777777" w:rsidR="00951A61" w:rsidRPr="003F3CBD" w:rsidRDefault="00951A61" w:rsidP="00A4032F">
                  <w:pPr>
                    <w:pStyle w:val="affe"/>
                    <w:tabs>
                      <w:tab w:val="left" w:pos="280"/>
                    </w:tabs>
                    <w:jc w:val="center"/>
                    <w:rPr>
                      <w:rFonts w:ascii="Tahoma" w:hAnsi="Tahoma" w:cs="Tahoma"/>
                      <w:b/>
                      <w:sz w:val="20"/>
                      <w:szCs w:val="20"/>
                    </w:rPr>
                  </w:pPr>
                  <w:r w:rsidRPr="003F3CBD">
                    <w:rPr>
                      <w:rFonts w:ascii="Tahoma" w:hAnsi="Tahoma" w:cs="Tahoma"/>
                      <w:b/>
                      <w:sz w:val="20"/>
                      <w:szCs w:val="20"/>
                    </w:rPr>
                    <w:t>Жилой дом с земельным участком</w:t>
                  </w:r>
                </w:p>
              </w:tc>
              <w:tc>
                <w:tcPr>
                  <w:tcW w:w="3310" w:type="dxa"/>
                </w:tcPr>
                <w:p w14:paraId="74D38A95" w14:textId="77777777" w:rsidR="00951A61" w:rsidRPr="003F3CBD" w:rsidRDefault="00951A61" w:rsidP="00A4032F">
                  <w:pPr>
                    <w:pStyle w:val="affe"/>
                    <w:tabs>
                      <w:tab w:val="left" w:pos="280"/>
                    </w:tabs>
                    <w:jc w:val="center"/>
                    <w:rPr>
                      <w:rFonts w:ascii="Tahoma" w:hAnsi="Tahoma" w:cs="Tahoma"/>
                    </w:rPr>
                  </w:pPr>
                  <w:r w:rsidRPr="003F3CBD">
                    <w:rPr>
                      <w:rFonts w:ascii="Tahoma" w:hAnsi="Tahoma" w:cs="Tahoma"/>
                      <w:b/>
                      <w:sz w:val="20"/>
                      <w:szCs w:val="20"/>
                    </w:rPr>
                    <w:t>Таунхаус</w:t>
                  </w:r>
                </w:p>
              </w:tc>
            </w:tr>
            <w:tr w:rsidR="00951A61" w:rsidRPr="000B6E36" w14:paraId="7D99DA1D" w14:textId="77777777" w:rsidTr="00A4032F">
              <w:trPr>
                <w:trHeight w:val="233"/>
              </w:trPr>
              <w:tc>
                <w:tcPr>
                  <w:tcW w:w="4203" w:type="dxa"/>
                </w:tcPr>
                <w:p w14:paraId="122F8EE7" w14:textId="77777777" w:rsidR="00951A61" w:rsidRPr="003F3CBD" w:rsidRDefault="00951A61" w:rsidP="00A4032F">
                  <w:pPr>
                    <w:pStyle w:val="affe"/>
                    <w:tabs>
                      <w:tab w:val="left" w:pos="280"/>
                    </w:tabs>
                    <w:ind w:firstLine="425"/>
                    <w:jc w:val="center"/>
                    <w:rPr>
                      <w:rFonts w:ascii="Tahoma" w:hAnsi="Tahoma" w:cs="Tahoma"/>
                      <w:sz w:val="20"/>
                      <w:szCs w:val="20"/>
                    </w:rPr>
                  </w:pPr>
                  <w:r w:rsidRPr="000B6E36">
                    <w:rPr>
                      <w:rFonts w:ascii="Tahoma" w:hAnsi="Tahoma" w:cs="Tahoma"/>
                      <w:sz w:val="20"/>
                      <w:szCs w:val="20"/>
                    </w:rPr>
                    <w:t xml:space="preserve">Не более </w:t>
                  </w:r>
                  <w:r>
                    <w:rPr>
                      <w:rFonts w:ascii="Tahoma" w:hAnsi="Tahoma" w:cs="Tahoma"/>
                      <w:sz w:val="20"/>
                      <w:szCs w:val="20"/>
                    </w:rPr>
                    <w:t>49,99</w:t>
                  </w:r>
                </w:p>
              </w:tc>
              <w:tc>
                <w:tcPr>
                  <w:tcW w:w="3686" w:type="dxa"/>
                </w:tcPr>
                <w:p w14:paraId="4589EE49" w14:textId="77777777" w:rsidR="00951A61" w:rsidRPr="003F3CBD" w:rsidRDefault="00951A61" w:rsidP="00A4032F">
                  <w:pPr>
                    <w:pStyle w:val="affe"/>
                    <w:tabs>
                      <w:tab w:val="left" w:pos="280"/>
                    </w:tabs>
                    <w:ind w:firstLine="425"/>
                    <w:jc w:val="center"/>
                    <w:rPr>
                      <w:rFonts w:ascii="Tahoma" w:hAnsi="Tahoma" w:cs="Tahoma"/>
                      <w:sz w:val="20"/>
                      <w:szCs w:val="20"/>
                    </w:rPr>
                  </w:pPr>
                  <w:r w:rsidRPr="003F3CBD">
                    <w:rPr>
                      <w:rFonts w:ascii="Tahoma" w:hAnsi="Tahoma" w:cs="Tahoma"/>
                      <w:sz w:val="20"/>
                      <w:szCs w:val="20"/>
                    </w:rPr>
                    <w:t xml:space="preserve">Не более </w:t>
                  </w:r>
                  <w:r>
                    <w:rPr>
                      <w:rFonts w:ascii="Tahoma" w:hAnsi="Tahoma" w:cs="Tahoma"/>
                      <w:sz w:val="20"/>
                      <w:szCs w:val="20"/>
                    </w:rPr>
                    <w:t>49,99</w:t>
                  </w:r>
                </w:p>
              </w:tc>
              <w:tc>
                <w:tcPr>
                  <w:tcW w:w="3310" w:type="dxa"/>
                </w:tcPr>
                <w:p w14:paraId="57875377" w14:textId="77777777" w:rsidR="00951A61" w:rsidRPr="003F3CBD" w:rsidRDefault="00951A61" w:rsidP="00A4032F">
                  <w:pPr>
                    <w:pStyle w:val="affe"/>
                    <w:tabs>
                      <w:tab w:val="left" w:pos="280"/>
                    </w:tabs>
                    <w:ind w:firstLine="425"/>
                    <w:jc w:val="center"/>
                    <w:rPr>
                      <w:rFonts w:ascii="Tahoma" w:hAnsi="Tahoma" w:cs="Tahoma"/>
                      <w:sz w:val="20"/>
                      <w:szCs w:val="20"/>
                    </w:rPr>
                  </w:pPr>
                  <w:r w:rsidRPr="003F3CBD">
                    <w:rPr>
                      <w:rFonts w:ascii="Tahoma" w:hAnsi="Tahoma" w:cs="Tahoma"/>
                      <w:sz w:val="20"/>
                      <w:szCs w:val="20"/>
                    </w:rPr>
                    <w:t xml:space="preserve">Не более </w:t>
                  </w:r>
                  <w:r>
                    <w:rPr>
                      <w:rFonts w:ascii="Tahoma" w:hAnsi="Tahoma" w:cs="Tahoma"/>
                      <w:sz w:val="20"/>
                      <w:szCs w:val="20"/>
                    </w:rPr>
                    <w:t>49,99</w:t>
                  </w:r>
                </w:p>
              </w:tc>
            </w:tr>
          </w:tbl>
          <w:p w14:paraId="12517B3B" w14:textId="77777777" w:rsidR="00951A61" w:rsidRPr="000B6E36" w:rsidRDefault="00951A61" w:rsidP="00A4032F">
            <w:pPr>
              <w:ind w:firstLine="425"/>
              <w:jc w:val="both"/>
              <w:rPr>
                <w:rFonts w:ascii="Tahoma" w:hAnsi="Tahoma" w:cs="Tahoma"/>
                <w:sz w:val="20"/>
                <w:szCs w:val="20"/>
              </w:rPr>
            </w:pPr>
          </w:p>
          <w:p w14:paraId="5AF1411A" w14:textId="77777777" w:rsidR="00951A61" w:rsidRPr="000B6E36" w:rsidRDefault="00951A61" w:rsidP="00A4032F">
            <w:pPr>
              <w:ind w:firstLine="425"/>
              <w:jc w:val="both"/>
              <w:rPr>
                <w:rFonts w:ascii="Tahoma" w:hAnsi="Tahoma" w:cs="Tahoma"/>
                <w:sz w:val="20"/>
                <w:szCs w:val="20"/>
              </w:rPr>
            </w:pPr>
          </w:p>
        </w:tc>
      </w:tr>
      <w:tr w:rsidR="00951A61" w:rsidRPr="00F369B0" w14:paraId="11B6A1E4" w14:textId="77777777" w:rsidTr="00A4032F">
        <w:trPr>
          <w:trHeight w:val="697"/>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713ABF51" w14:textId="77777777" w:rsidR="00951A61" w:rsidRPr="00F369B0" w:rsidRDefault="00951A61" w:rsidP="00A4032F">
            <w:pPr>
              <w:pStyle w:val="ConsPlusNormal"/>
              <w:ind w:left="-6"/>
              <w:jc w:val="center"/>
              <w:rPr>
                <w:rFonts w:ascii="Tahoma" w:hAnsi="Tahoma" w:cs="Tahoma"/>
                <w:b/>
              </w:rPr>
            </w:pPr>
            <w:r w:rsidRPr="00F369B0">
              <w:rPr>
                <w:rFonts w:ascii="Tahoma" w:hAnsi="Tahoma" w:cs="Tahoma"/>
                <w:b/>
              </w:rPr>
              <w:lastRenderedPageBreak/>
              <w:t>Размер первоначального взноса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75CA78B0" w14:textId="77777777" w:rsidR="00951A61" w:rsidRPr="003F3CBD" w:rsidRDefault="00951A61" w:rsidP="00A4032F">
            <w:pPr>
              <w:pStyle w:val="affe"/>
              <w:tabs>
                <w:tab w:val="left" w:pos="280"/>
              </w:tabs>
              <w:ind w:left="0" w:firstLine="425"/>
              <w:jc w:val="both"/>
              <w:rPr>
                <w:rFonts w:ascii="Tahoma" w:hAnsi="Tahoma" w:cs="Tahoma"/>
                <w:sz w:val="20"/>
                <w:szCs w:val="20"/>
              </w:rPr>
            </w:pPr>
            <w:r w:rsidRPr="003F3CBD">
              <w:rPr>
                <w:rFonts w:ascii="Tahoma" w:hAnsi="Tahoma" w:cs="Tahoma"/>
                <w:b/>
                <w:sz w:val="20"/>
                <w:szCs w:val="20"/>
                <w:u w:val="single"/>
              </w:rPr>
              <w:t>Размер первоначального взноса</w:t>
            </w:r>
            <w:r w:rsidRPr="003F3CBD">
              <w:rPr>
                <w:rFonts w:ascii="Tahoma" w:hAnsi="Tahoma" w:cs="Tahoma"/>
                <w:sz w:val="20"/>
                <w:szCs w:val="20"/>
              </w:rPr>
              <w:t xml:space="preserve"> определяется как разница между суммой предоставляемого Кредита и стоимостью приобретаемой недвижимости. Первоначальный взнос может быть сформирован с учетом средств субсидии бюджетов различных уровней. Порядок оплаты первоначального взноса с учетом средств субсидий определяется Банком.</w:t>
            </w:r>
          </w:p>
          <w:p w14:paraId="7384F849" w14:textId="77777777" w:rsidR="00951A61" w:rsidRPr="003F3CBD" w:rsidRDefault="00951A61" w:rsidP="00A4032F">
            <w:pPr>
              <w:pStyle w:val="affe"/>
              <w:tabs>
                <w:tab w:val="left" w:pos="280"/>
              </w:tabs>
              <w:ind w:left="0" w:firstLine="425"/>
              <w:jc w:val="both"/>
              <w:rPr>
                <w:rFonts w:ascii="Tahoma" w:hAnsi="Tahoma" w:cs="Tahoma"/>
                <w:b/>
                <w:sz w:val="20"/>
                <w:szCs w:val="20"/>
                <w:u w:val="single"/>
              </w:rPr>
            </w:pPr>
            <w:r w:rsidRPr="000B6E36">
              <w:rPr>
                <w:rFonts w:ascii="Tahoma" w:hAnsi="Tahoma" w:cs="Tahoma"/>
                <w:b/>
                <w:sz w:val="20"/>
                <w:szCs w:val="20"/>
                <w:u w:val="single"/>
              </w:rPr>
              <w:t>Требование к размеру первоначального взноса</w:t>
            </w:r>
            <w:r w:rsidRPr="003F3CBD">
              <w:rPr>
                <w:rStyle w:val="aff3"/>
                <w:rFonts w:ascii="Tahoma" w:hAnsi="Tahoma"/>
                <w:b/>
                <w:sz w:val="20"/>
                <w:szCs w:val="20"/>
                <w:u w:val="single"/>
              </w:rPr>
              <w:footnoteReference w:id="126"/>
            </w:r>
            <w:r w:rsidRPr="003F3CBD">
              <w:rPr>
                <w:rFonts w:ascii="Tahoma" w:hAnsi="Tahoma" w:cs="Tahoma"/>
                <w:b/>
                <w:sz w:val="20"/>
                <w:szCs w:val="20"/>
                <w:u w:val="single"/>
              </w:rPr>
              <w:t>:</w:t>
            </w:r>
          </w:p>
          <w:tbl>
            <w:tblPr>
              <w:tblStyle w:val="aff0"/>
              <w:tblW w:w="11184" w:type="dxa"/>
              <w:tblInd w:w="28" w:type="dxa"/>
              <w:tblLayout w:type="fixed"/>
              <w:tblLook w:val="04A0" w:firstRow="1" w:lastRow="0" w:firstColumn="1" w:lastColumn="0" w:noHBand="0" w:noVBand="1"/>
            </w:tblPr>
            <w:tblGrid>
              <w:gridCol w:w="4203"/>
              <w:gridCol w:w="3686"/>
              <w:gridCol w:w="3295"/>
            </w:tblGrid>
            <w:tr w:rsidR="00951A61" w:rsidRPr="000B6E36" w14:paraId="650DC8EB" w14:textId="77777777" w:rsidTr="00A4032F">
              <w:trPr>
                <w:trHeight w:val="70"/>
              </w:trPr>
              <w:tc>
                <w:tcPr>
                  <w:tcW w:w="4203" w:type="dxa"/>
                </w:tcPr>
                <w:p w14:paraId="4F360E91" w14:textId="77777777" w:rsidR="00951A61" w:rsidRPr="003F3CBD" w:rsidRDefault="00951A61" w:rsidP="00A4032F">
                  <w:pPr>
                    <w:pStyle w:val="affe"/>
                    <w:tabs>
                      <w:tab w:val="left" w:pos="280"/>
                    </w:tabs>
                    <w:jc w:val="center"/>
                    <w:rPr>
                      <w:rFonts w:ascii="Tahoma" w:hAnsi="Tahoma" w:cs="Tahoma"/>
                      <w:b/>
                      <w:sz w:val="20"/>
                      <w:szCs w:val="20"/>
                    </w:rPr>
                  </w:pPr>
                  <w:r w:rsidRPr="003F3CBD">
                    <w:rPr>
                      <w:rFonts w:ascii="Tahoma" w:hAnsi="Tahoma" w:cs="Tahoma"/>
                      <w:b/>
                      <w:sz w:val="20"/>
                      <w:szCs w:val="20"/>
                    </w:rPr>
                    <w:t>Квартира</w:t>
                  </w:r>
                </w:p>
              </w:tc>
              <w:tc>
                <w:tcPr>
                  <w:tcW w:w="3686" w:type="dxa"/>
                  <w:tcBorders>
                    <w:right w:val="single" w:sz="4" w:space="0" w:color="auto"/>
                  </w:tcBorders>
                </w:tcPr>
                <w:p w14:paraId="67D9A8DD" w14:textId="77777777" w:rsidR="00951A61" w:rsidRPr="003F3CBD" w:rsidRDefault="00951A61" w:rsidP="00A4032F">
                  <w:pPr>
                    <w:pStyle w:val="affe"/>
                    <w:tabs>
                      <w:tab w:val="left" w:pos="280"/>
                    </w:tabs>
                    <w:jc w:val="center"/>
                    <w:rPr>
                      <w:rFonts w:ascii="Tahoma" w:hAnsi="Tahoma" w:cs="Tahoma"/>
                      <w:b/>
                      <w:sz w:val="20"/>
                      <w:szCs w:val="20"/>
                    </w:rPr>
                  </w:pPr>
                  <w:r w:rsidRPr="003F3CBD">
                    <w:rPr>
                      <w:rFonts w:ascii="Tahoma" w:hAnsi="Tahoma" w:cs="Tahoma"/>
                      <w:b/>
                      <w:sz w:val="20"/>
                      <w:szCs w:val="20"/>
                    </w:rPr>
                    <w:t>Жилой дом с земельным участком</w:t>
                  </w:r>
                </w:p>
              </w:tc>
              <w:tc>
                <w:tcPr>
                  <w:tcW w:w="3295" w:type="dxa"/>
                  <w:tcBorders>
                    <w:top w:val="single" w:sz="4" w:space="0" w:color="auto"/>
                    <w:left w:val="single" w:sz="4" w:space="0" w:color="auto"/>
                    <w:right w:val="single" w:sz="4" w:space="0" w:color="auto"/>
                  </w:tcBorders>
                </w:tcPr>
                <w:p w14:paraId="24301E79" w14:textId="77777777" w:rsidR="00951A61" w:rsidRPr="003F3CBD" w:rsidRDefault="00951A61" w:rsidP="00A4032F">
                  <w:pPr>
                    <w:pStyle w:val="affe"/>
                    <w:tabs>
                      <w:tab w:val="left" w:pos="280"/>
                    </w:tabs>
                    <w:jc w:val="center"/>
                    <w:rPr>
                      <w:rFonts w:ascii="Tahoma" w:hAnsi="Tahoma" w:cs="Tahoma"/>
                    </w:rPr>
                  </w:pPr>
                  <w:r w:rsidRPr="003F3CBD">
                    <w:rPr>
                      <w:rFonts w:ascii="Tahoma" w:hAnsi="Tahoma" w:cs="Tahoma"/>
                      <w:b/>
                      <w:sz w:val="20"/>
                      <w:szCs w:val="20"/>
                    </w:rPr>
                    <w:t>Таунхаус</w:t>
                  </w:r>
                </w:p>
              </w:tc>
            </w:tr>
            <w:tr w:rsidR="00951A61" w:rsidRPr="000B6E36" w14:paraId="5D6B6BBD" w14:textId="77777777" w:rsidTr="00A4032F">
              <w:trPr>
                <w:trHeight w:val="298"/>
              </w:trPr>
              <w:tc>
                <w:tcPr>
                  <w:tcW w:w="4203" w:type="dxa"/>
                </w:tcPr>
                <w:p w14:paraId="5CE1CBB7" w14:textId="77777777" w:rsidR="00951A61" w:rsidRPr="003F3CBD" w:rsidRDefault="00951A61" w:rsidP="00A4032F">
                  <w:pPr>
                    <w:pStyle w:val="affe"/>
                    <w:tabs>
                      <w:tab w:val="left" w:pos="280"/>
                    </w:tabs>
                    <w:ind w:firstLine="425"/>
                    <w:jc w:val="center"/>
                    <w:rPr>
                      <w:rFonts w:ascii="Tahoma" w:hAnsi="Tahoma" w:cs="Tahoma"/>
                      <w:sz w:val="20"/>
                      <w:szCs w:val="20"/>
                    </w:rPr>
                  </w:pPr>
                  <w:r w:rsidRPr="000B6E36">
                    <w:rPr>
                      <w:rFonts w:ascii="Tahoma" w:hAnsi="Tahoma" w:cs="Tahoma"/>
                      <w:sz w:val="20"/>
                      <w:szCs w:val="20"/>
                    </w:rPr>
                    <w:t xml:space="preserve">Не менее </w:t>
                  </w:r>
                  <w:r>
                    <w:rPr>
                      <w:rFonts w:ascii="Tahoma" w:hAnsi="Tahoma" w:cs="Tahoma"/>
                      <w:sz w:val="20"/>
                      <w:szCs w:val="20"/>
                    </w:rPr>
                    <w:t>50</w:t>
                  </w:r>
                  <w:r w:rsidRPr="003F3CBD">
                    <w:rPr>
                      <w:rFonts w:ascii="Tahoma" w:hAnsi="Tahoma" w:cs="Tahoma"/>
                      <w:sz w:val="20"/>
                      <w:szCs w:val="20"/>
                    </w:rPr>
                    <w:t>,01%</w:t>
                  </w:r>
                </w:p>
              </w:tc>
              <w:tc>
                <w:tcPr>
                  <w:tcW w:w="3686" w:type="dxa"/>
                </w:tcPr>
                <w:p w14:paraId="5D511E58" w14:textId="77777777" w:rsidR="00951A61" w:rsidRPr="003F3CBD" w:rsidRDefault="00951A61" w:rsidP="00A4032F">
                  <w:pPr>
                    <w:pStyle w:val="affe"/>
                    <w:tabs>
                      <w:tab w:val="left" w:pos="280"/>
                    </w:tabs>
                    <w:ind w:firstLine="425"/>
                    <w:jc w:val="center"/>
                    <w:rPr>
                      <w:rFonts w:ascii="Tahoma" w:hAnsi="Tahoma" w:cs="Tahoma"/>
                      <w:sz w:val="20"/>
                      <w:szCs w:val="20"/>
                    </w:rPr>
                  </w:pPr>
                  <w:r w:rsidRPr="003F3CBD">
                    <w:rPr>
                      <w:rFonts w:ascii="Tahoma" w:hAnsi="Tahoma" w:cs="Tahoma"/>
                      <w:sz w:val="20"/>
                      <w:szCs w:val="20"/>
                    </w:rPr>
                    <w:t xml:space="preserve">Не менее </w:t>
                  </w:r>
                  <w:r>
                    <w:rPr>
                      <w:rFonts w:ascii="Tahoma" w:hAnsi="Tahoma" w:cs="Tahoma"/>
                      <w:sz w:val="20"/>
                      <w:szCs w:val="20"/>
                    </w:rPr>
                    <w:t>5</w:t>
                  </w:r>
                  <w:r w:rsidRPr="003F3CBD">
                    <w:rPr>
                      <w:rFonts w:ascii="Tahoma" w:hAnsi="Tahoma" w:cs="Tahoma"/>
                      <w:sz w:val="20"/>
                      <w:szCs w:val="20"/>
                    </w:rPr>
                    <w:t>0</w:t>
                  </w:r>
                  <w:r>
                    <w:rPr>
                      <w:rFonts w:ascii="Tahoma" w:hAnsi="Tahoma" w:cs="Tahoma"/>
                      <w:sz w:val="20"/>
                      <w:szCs w:val="20"/>
                    </w:rPr>
                    <w:t>,01</w:t>
                  </w:r>
                  <w:r w:rsidRPr="003F3CBD">
                    <w:rPr>
                      <w:rFonts w:ascii="Tahoma" w:hAnsi="Tahoma" w:cs="Tahoma"/>
                      <w:sz w:val="20"/>
                      <w:szCs w:val="20"/>
                    </w:rPr>
                    <w:t>%</w:t>
                  </w:r>
                </w:p>
              </w:tc>
              <w:tc>
                <w:tcPr>
                  <w:tcW w:w="3295" w:type="dxa"/>
                </w:tcPr>
                <w:p w14:paraId="0C060145" w14:textId="77777777" w:rsidR="00951A61" w:rsidRPr="003F3CBD" w:rsidRDefault="00951A61" w:rsidP="00A4032F">
                  <w:pPr>
                    <w:pStyle w:val="affe"/>
                    <w:tabs>
                      <w:tab w:val="left" w:pos="280"/>
                    </w:tabs>
                    <w:ind w:firstLine="425"/>
                    <w:jc w:val="center"/>
                    <w:rPr>
                      <w:rFonts w:ascii="Tahoma" w:hAnsi="Tahoma" w:cs="Tahoma"/>
                      <w:sz w:val="20"/>
                      <w:szCs w:val="20"/>
                    </w:rPr>
                  </w:pPr>
                  <w:r w:rsidRPr="003F3CBD">
                    <w:rPr>
                      <w:rFonts w:ascii="Tahoma" w:hAnsi="Tahoma" w:cs="Tahoma"/>
                      <w:sz w:val="20"/>
                      <w:szCs w:val="20"/>
                    </w:rPr>
                    <w:t xml:space="preserve">Не менее </w:t>
                  </w:r>
                  <w:r>
                    <w:rPr>
                      <w:rFonts w:ascii="Tahoma" w:hAnsi="Tahoma" w:cs="Tahoma"/>
                      <w:sz w:val="20"/>
                      <w:szCs w:val="20"/>
                    </w:rPr>
                    <w:t>50,01</w:t>
                  </w:r>
                  <w:r w:rsidRPr="003F3CBD">
                    <w:rPr>
                      <w:rFonts w:ascii="Tahoma" w:hAnsi="Tahoma" w:cs="Tahoma"/>
                      <w:sz w:val="20"/>
                      <w:szCs w:val="20"/>
                    </w:rPr>
                    <w:t>%</w:t>
                  </w:r>
                </w:p>
              </w:tc>
            </w:tr>
          </w:tbl>
          <w:p w14:paraId="7D1109EC" w14:textId="77777777" w:rsidR="00951A61" w:rsidRPr="000B6E36" w:rsidRDefault="00951A61" w:rsidP="00A4032F">
            <w:pPr>
              <w:pStyle w:val="affe"/>
              <w:tabs>
                <w:tab w:val="left" w:pos="280"/>
              </w:tabs>
              <w:ind w:left="0" w:firstLine="425"/>
              <w:jc w:val="both"/>
              <w:rPr>
                <w:rFonts w:ascii="Tahoma" w:hAnsi="Tahoma" w:cs="Tahoma"/>
                <w:sz w:val="20"/>
                <w:szCs w:val="20"/>
              </w:rPr>
            </w:pPr>
          </w:p>
        </w:tc>
      </w:tr>
      <w:tr w:rsidR="00951A61" w:rsidRPr="00F369B0" w14:paraId="3EFFB26D"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266D64BF" w14:textId="77777777" w:rsidR="00951A61" w:rsidRPr="00F369B0" w:rsidRDefault="00951A61" w:rsidP="00A4032F">
            <w:pPr>
              <w:autoSpaceDE w:val="0"/>
              <w:autoSpaceDN w:val="0"/>
              <w:adjustRightInd w:val="0"/>
              <w:ind w:left="-6"/>
              <w:jc w:val="center"/>
              <w:rPr>
                <w:rFonts w:ascii="Tahoma" w:hAnsi="Tahoma" w:cs="Tahoma"/>
                <w:b/>
                <w:sz w:val="20"/>
                <w:szCs w:val="20"/>
              </w:rPr>
            </w:pPr>
            <w:r w:rsidRPr="00F369B0">
              <w:rPr>
                <w:rFonts w:ascii="Tahoma" w:hAnsi="Tahoma" w:cs="Tahoma"/>
                <w:b/>
                <w:sz w:val="20"/>
                <w:szCs w:val="20"/>
              </w:rPr>
              <w:t>Способ предоставления потребительского кредита</w:t>
            </w:r>
          </w:p>
          <w:p w14:paraId="4DBEC0B6" w14:textId="77777777" w:rsidR="00951A61" w:rsidRPr="00F369B0" w:rsidRDefault="00951A61" w:rsidP="00A4032F">
            <w:pPr>
              <w:pStyle w:val="ConsPlusNormal"/>
              <w:ind w:left="-6"/>
              <w:jc w:val="center"/>
              <w:rPr>
                <w:rFonts w:ascii="Tahoma" w:hAnsi="Tahoma" w:cs="Tahoma"/>
                <w:b/>
              </w:rPr>
            </w:pPr>
          </w:p>
        </w:tc>
        <w:tc>
          <w:tcPr>
            <w:tcW w:w="11452" w:type="dxa"/>
            <w:tcBorders>
              <w:top w:val="single" w:sz="4" w:space="0" w:color="auto"/>
              <w:left w:val="nil"/>
              <w:bottom w:val="single" w:sz="4" w:space="0" w:color="auto"/>
              <w:right w:val="single" w:sz="4" w:space="0" w:color="auto"/>
            </w:tcBorders>
            <w:shd w:val="clear" w:color="auto" w:fill="auto"/>
            <w:vAlign w:val="center"/>
          </w:tcPr>
          <w:p w14:paraId="29F3F157" w14:textId="77777777" w:rsidR="00951A61" w:rsidRPr="00F369B0" w:rsidRDefault="00951A61" w:rsidP="00A4032F">
            <w:pPr>
              <w:ind w:firstLine="425"/>
              <w:jc w:val="both"/>
              <w:rPr>
                <w:rFonts w:ascii="Tahoma" w:hAnsi="Tahoma" w:cs="Tahoma"/>
                <w:sz w:val="20"/>
                <w:szCs w:val="20"/>
              </w:rPr>
            </w:pPr>
            <w:r w:rsidRPr="00F369B0">
              <w:rPr>
                <w:rFonts w:ascii="Tahoma" w:hAnsi="Tahoma" w:cs="Tahoma"/>
                <w:sz w:val="20"/>
                <w:szCs w:val="20"/>
              </w:rPr>
              <w:t>Кредит предоставляется Заемщику в безналичной форме путем перечисления всей суммы Кредита единовременно на открытый в Банке ТБС не позднее трех рабочих дней с даты подписания Кредитного договора. Если впоследствии сумму Кредита, предоставленную на счет Заемщика, открытый в Банке, необходимо перевести третьему лицу, указанному Заемщиком, то перевод осуществляется в соответствии с порядком и Тарифами, предусмотренными Банком для перевода денежных средств</w:t>
            </w:r>
          </w:p>
          <w:p w14:paraId="0E7E6DAD" w14:textId="77777777" w:rsidR="00951A61" w:rsidRPr="00F369B0" w:rsidRDefault="00951A61" w:rsidP="00A4032F">
            <w:pPr>
              <w:ind w:firstLine="425"/>
              <w:jc w:val="both"/>
              <w:rPr>
                <w:rFonts w:ascii="Tahoma" w:hAnsi="Tahoma" w:cs="Tahoma"/>
                <w:sz w:val="20"/>
                <w:szCs w:val="20"/>
              </w:rPr>
            </w:pPr>
            <w:r w:rsidRPr="00F369B0">
              <w:rPr>
                <w:rFonts w:ascii="Tahoma" w:hAnsi="Tahoma" w:cs="Tahoma"/>
                <w:b/>
                <w:sz w:val="20"/>
                <w:szCs w:val="20"/>
              </w:rPr>
              <w:t>При цели кредита рефинансирование</w:t>
            </w:r>
            <w:r w:rsidRPr="00F369B0">
              <w:rPr>
                <w:rFonts w:ascii="Tahoma" w:hAnsi="Tahoma" w:cs="Tahoma"/>
                <w:sz w:val="20"/>
                <w:szCs w:val="20"/>
              </w:rPr>
              <w:t xml:space="preserve"> Кредит предоставляется Заемщику в безналичной форме путем перечисления всей суммы Кредита единовременно на открытый в Банке ТБС не позднее трех рабочих дней с даты подписания Кредитного договора. В день предоставления Кредита Заемщик осуществляет перевод денежных средств в счет погашения Рефинансируемого кредита. Перевод осуществляется в соответствии с порядком и тарифами, предусмотренными Банком для перевода денежных средств.</w:t>
            </w:r>
          </w:p>
          <w:p w14:paraId="23423BDF" w14:textId="77777777" w:rsidR="00951A61" w:rsidRPr="00F369B0" w:rsidRDefault="00951A61" w:rsidP="00A4032F">
            <w:pPr>
              <w:ind w:firstLine="425"/>
              <w:jc w:val="both"/>
              <w:rPr>
                <w:rFonts w:ascii="Tahoma" w:hAnsi="Tahoma" w:cs="Tahoma"/>
                <w:sz w:val="20"/>
                <w:szCs w:val="20"/>
              </w:rPr>
            </w:pPr>
          </w:p>
        </w:tc>
      </w:tr>
      <w:tr w:rsidR="00951A61" w:rsidRPr="00F369B0" w14:paraId="0BB21B29"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726CE652" w14:textId="77777777" w:rsidR="00951A61" w:rsidRPr="00F369B0" w:rsidRDefault="00951A61" w:rsidP="00A4032F">
            <w:pPr>
              <w:ind w:left="-6"/>
              <w:jc w:val="center"/>
              <w:rPr>
                <w:rFonts w:ascii="Tahoma" w:hAnsi="Tahoma" w:cs="Tahoma"/>
                <w:b/>
                <w:sz w:val="20"/>
                <w:szCs w:val="20"/>
              </w:rPr>
            </w:pPr>
            <w:r w:rsidRPr="00F369B0">
              <w:rPr>
                <w:rFonts w:ascii="Tahoma" w:hAnsi="Tahoma" w:cs="Tahoma"/>
                <w:b/>
                <w:bCs/>
                <w:sz w:val="20"/>
                <w:szCs w:val="20"/>
              </w:rPr>
              <w:t>Срок рассмотрения оформленного Заёмщиком заявления о предоставлении потребительского кредита и принятия кредитором решения относительно этого заявления</w:t>
            </w:r>
          </w:p>
        </w:tc>
        <w:tc>
          <w:tcPr>
            <w:tcW w:w="11452" w:type="dxa"/>
            <w:tcBorders>
              <w:top w:val="single" w:sz="4" w:space="0" w:color="auto"/>
              <w:left w:val="nil"/>
              <w:bottom w:val="single" w:sz="4" w:space="0" w:color="auto"/>
              <w:right w:val="single" w:sz="4" w:space="0" w:color="auto"/>
            </w:tcBorders>
            <w:shd w:val="clear" w:color="auto" w:fill="auto"/>
            <w:vAlign w:val="center"/>
          </w:tcPr>
          <w:p w14:paraId="56CCD91D" w14:textId="77777777" w:rsidR="00951A61" w:rsidRPr="00F369B0" w:rsidRDefault="00951A61" w:rsidP="00A4032F">
            <w:pPr>
              <w:ind w:firstLine="425"/>
              <w:jc w:val="both"/>
              <w:rPr>
                <w:rFonts w:ascii="Tahoma" w:hAnsi="Tahoma" w:cs="Tahoma"/>
                <w:sz w:val="20"/>
                <w:szCs w:val="20"/>
              </w:rPr>
            </w:pPr>
            <w:r w:rsidRPr="00F369B0">
              <w:rPr>
                <w:rFonts w:ascii="Tahoma" w:hAnsi="Tahoma" w:cs="Tahoma"/>
                <w:sz w:val="20"/>
                <w:szCs w:val="20"/>
              </w:rPr>
              <w:t>2 рабочих дня с момента предоставления Заемщиком полного пакета документов, в случае необходимости запроса у Заёмщика дополнительных документов срок может быть увеличен</w:t>
            </w:r>
          </w:p>
        </w:tc>
      </w:tr>
      <w:tr w:rsidR="00951A61" w:rsidRPr="00F369B0" w14:paraId="3F820D7D"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4AC89D68" w14:textId="77777777" w:rsidR="00951A61" w:rsidRPr="00F369B0" w:rsidRDefault="00951A61" w:rsidP="00A4032F">
            <w:pPr>
              <w:ind w:left="-6"/>
              <w:jc w:val="center"/>
              <w:rPr>
                <w:rFonts w:ascii="Tahoma" w:hAnsi="Tahoma" w:cs="Tahoma"/>
                <w:b/>
                <w:bCs/>
                <w:sz w:val="20"/>
                <w:szCs w:val="20"/>
              </w:rPr>
            </w:pPr>
            <w:r w:rsidRPr="00F369B0">
              <w:rPr>
                <w:rFonts w:ascii="Tahoma" w:hAnsi="Tahoma" w:cs="Tahoma"/>
                <w:b/>
                <w:color w:val="000000"/>
                <w:sz w:val="20"/>
                <w:szCs w:val="20"/>
              </w:rPr>
              <w:t>Сроки, в течение которых Заемщик вправе отказаться от получения потребительского кредита</w:t>
            </w:r>
            <w:r w:rsidRPr="00F369B0" w:rsidDel="00FF4CE2">
              <w:rPr>
                <w:rFonts w:ascii="Tahoma" w:hAnsi="Tahoma" w:cs="Tahoma"/>
                <w:sz w:val="20"/>
                <w:szCs w:val="20"/>
              </w:rPr>
              <w:t xml:space="preserve"> </w:t>
            </w:r>
          </w:p>
        </w:tc>
        <w:tc>
          <w:tcPr>
            <w:tcW w:w="11452" w:type="dxa"/>
            <w:tcBorders>
              <w:top w:val="single" w:sz="4" w:space="0" w:color="auto"/>
              <w:left w:val="nil"/>
              <w:bottom w:val="single" w:sz="4" w:space="0" w:color="auto"/>
              <w:right w:val="single" w:sz="4" w:space="0" w:color="auto"/>
            </w:tcBorders>
            <w:shd w:val="clear" w:color="auto" w:fill="auto"/>
            <w:vAlign w:val="center"/>
          </w:tcPr>
          <w:p w14:paraId="0D4B6A63" w14:textId="77777777" w:rsidR="00951A61" w:rsidRPr="00F369B0" w:rsidRDefault="00951A61" w:rsidP="00A4032F">
            <w:pPr>
              <w:ind w:firstLine="425"/>
              <w:jc w:val="both"/>
              <w:rPr>
                <w:rFonts w:ascii="Tahoma" w:hAnsi="Tahoma" w:cs="Tahoma"/>
                <w:color w:val="000000"/>
                <w:sz w:val="20"/>
                <w:szCs w:val="20"/>
              </w:rPr>
            </w:pPr>
            <w:r w:rsidRPr="00F369B0">
              <w:rPr>
                <w:rFonts w:ascii="Tahoma" w:hAnsi="Tahoma" w:cs="Tahoma"/>
                <w:color w:val="000000"/>
                <w:sz w:val="20"/>
                <w:szCs w:val="20"/>
              </w:rPr>
              <w:t>Заёмщик вправе отказаться от получения Кредита полностью или частично, уведомив об этом Банк до истечения, установленного Кредитным договором, срока его предоставления.</w:t>
            </w:r>
          </w:p>
          <w:p w14:paraId="213D1602" w14:textId="77777777" w:rsidR="00951A61" w:rsidRPr="00F369B0" w:rsidRDefault="00951A61" w:rsidP="00A4032F">
            <w:pPr>
              <w:ind w:firstLine="425"/>
              <w:jc w:val="both"/>
              <w:rPr>
                <w:rFonts w:ascii="Tahoma" w:hAnsi="Tahoma" w:cs="Tahoma"/>
                <w:sz w:val="20"/>
                <w:szCs w:val="20"/>
              </w:rPr>
            </w:pPr>
            <w:r w:rsidRPr="00F369B0">
              <w:rPr>
                <w:rFonts w:ascii="Tahoma" w:hAnsi="Tahoma" w:cs="Tahoma"/>
                <w:color w:val="000000"/>
                <w:sz w:val="20"/>
                <w:szCs w:val="20"/>
              </w:rPr>
              <w:t>Заёмщик вправе отказаться от получения Кредита полностью или частично, уведомив об этом Банк до истечения, установленного Кредитным договором срока его предоставления. Заемщик в течение 30 (тридцати) календарных дней с даты получения Кредита, имеет право вернуть досрочно всю сумму Кредита или ее часть без предварительного уведомления Банка с уплатой процентов за фактический срок кредитования</w:t>
            </w:r>
          </w:p>
        </w:tc>
      </w:tr>
      <w:tr w:rsidR="00951A61" w:rsidRPr="00F369B0" w14:paraId="37FBBC0E"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7B4C482D" w14:textId="77777777" w:rsidR="00951A61" w:rsidRPr="00F369B0" w:rsidRDefault="00951A61" w:rsidP="00A4032F">
            <w:pPr>
              <w:autoSpaceDE w:val="0"/>
              <w:autoSpaceDN w:val="0"/>
              <w:adjustRightInd w:val="0"/>
              <w:ind w:left="-6"/>
              <w:jc w:val="center"/>
              <w:rPr>
                <w:rFonts w:ascii="Tahoma" w:hAnsi="Tahoma" w:cs="Tahoma"/>
                <w:sz w:val="20"/>
                <w:szCs w:val="20"/>
              </w:rPr>
            </w:pPr>
            <w:r w:rsidRPr="00F369B0">
              <w:rPr>
                <w:rFonts w:ascii="Tahoma" w:hAnsi="Tahoma" w:cs="Tahoma"/>
                <w:b/>
                <w:sz w:val="20"/>
                <w:szCs w:val="20"/>
              </w:rPr>
              <w:t xml:space="preserve">Дата, начиная с которой начисляются проценты за </w:t>
            </w:r>
            <w:r w:rsidRPr="00F369B0">
              <w:rPr>
                <w:rFonts w:ascii="Tahoma" w:hAnsi="Tahoma" w:cs="Tahoma"/>
                <w:b/>
                <w:sz w:val="20"/>
                <w:szCs w:val="20"/>
              </w:rPr>
              <w:lastRenderedPageBreak/>
              <w:t>пользование Кредитом, или порядок ее определения</w:t>
            </w:r>
          </w:p>
        </w:tc>
        <w:tc>
          <w:tcPr>
            <w:tcW w:w="11452" w:type="dxa"/>
            <w:tcBorders>
              <w:top w:val="single" w:sz="4" w:space="0" w:color="auto"/>
              <w:left w:val="nil"/>
              <w:bottom w:val="single" w:sz="4" w:space="0" w:color="auto"/>
              <w:right w:val="single" w:sz="4" w:space="0" w:color="auto"/>
            </w:tcBorders>
            <w:shd w:val="clear" w:color="auto" w:fill="auto"/>
            <w:vAlign w:val="center"/>
          </w:tcPr>
          <w:p w14:paraId="3879E966" w14:textId="77777777" w:rsidR="00951A61" w:rsidRPr="00F369B0" w:rsidRDefault="00951A61" w:rsidP="00A4032F">
            <w:pPr>
              <w:ind w:firstLine="425"/>
              <w:jc w:val="both"/>
              <w:rPr>
                <w:rFonts w:ascii="Tahoma" w:hAnsi="Tahoma" w:cs="Tahoma"/>
                <w:color w:val="000000"/>
                <w:sz w:val="20"/>
                <w:szCs w:val="20"/>
              </w:rPr>
            </w:pPr>
            <w:r w:rsidRPr="00F369B0">
              <w:rPr>
                <w:rFonts w:ascii="Tahoma" w:hAnsi="Tahoma" w:cs="Tahoma"/>
                <w:sz w:val="20"/>
                <w:szCs w:val="20"/>
              </w:rPr>
              <w:lastRenderedPageBreak/>
              <w:t>Дата, следующая за датой выдачи Банком Заёмщику Кредита</w:t>
            </w:r>
          </w:p>
        </w:tc>
      </w:tr>
      <w:tr w:rsidR="00951A61" w:rsidRPr="00F369B0" w14:paraId="16E88B0A"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4F6A424C" w14:textId="77777777" w:rsidR="00951A61" w:rsidRPr="00F369B0" w:rsidRDefault="00951A61" w:rsidP="00A4032F">
            <w:pPr>
              <w:autoSpaceDE w:val="0"/>
              <w:autoSpaceDN w:val="0"/>
              <w:adjustRightInd w:val="0"/>
              <w:ind w:left="-6"/>
              <w:jc w:val="center"/>
              <w:rPr>
                <w:rFonts w:ascii="Tahoma" w:hAnsi="Tahoma" w:cs="Tahoma"/>
                <w:sz w:val="20"/>
                <w:szCs w:val="20"/>
              </w:rPr>
            </w:pPr>
            <w:r w:rsidRPr="00F369B0">
              <w:rPr>
                <w:rFonts w:ascii="Tahoma" w:hAnsi="Tahoma" w:cs="Tahoma"/>
                <w:b/>
                <w:sz w:val="20"/>
                <w:szCs w:val="20"/>
              </w:rPr>
              <w:t>Периодичность платежей Заемщика при возврате ипотечного Кредита, уплате процентов и иных платежей по Кредиту</w:t>
            </w:r>
          </w:p>
        </w:tc>
        <w:tc>
          <w:tcPr>
            <w:tcW w:w="11452" w:type="dxa"/>
            <w:tcBorders>
              <w:top w:val="single" w:sz="4" w:space="0" w:color="auto"/>
              <w:left w:val="nil"/>
              <w:bottom w:val="single" w:sz="4" w:space="0" w:color="auto"/>
              <w:right w:val="single" w:sz="4" w:space="0" w:color="auto"/>
            </w:tcBorders>
            <w:shd w:val="clear" w:color="auto" w:fill="auto"/>
            <w:vAlign w:val="center"/>
          </w:tcPr>
          <w:p w14:paraId="3A7E35F3" w14:textId="77777777" w:rsidR="00951A61" w:rsidRPr="00F369B0" w:rsidRDefault="00951A61" w:rsidP="00A4032F">
            <w:pPr>
              <w:ind w:firstLine="425"/>
              <w:jc w:val="both"/>
              <w:rPr>
                <w:rFonts w:ascii="Tahoma" w:hAnsi="Tahoma" w:cs="Tahoma"/>
                <w:sz w:val="20"/>
                <w:szCs w:val="20"/>
              </w:rPr>
            </w:pPr>
            <w:r w:rsidRPr="00F369B0">
              <w:rPr>
                <w:rFonts w:ascii="Tahoma" w:hAnsi="Tahoma" w:cs="Tahoma"/>
                <w:sz w:val="20"/>
                <w:szCs w:val="20"/>
              </w:rPr>
              <w:t>Ежемесячно аннуитетными (равными) платежами (кроме платежей за первый и последний процентные периоды).</w:t>
            </w:r>
          </w:p>
        </w:tc>
      </w:tr>
      <w:tr w:rsidR="00951A61" w:rsidRPr="00F369B0" w14:paraId="701A846A"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722AB75A" w14:textId="77777777" w:rsidR="00951A61" w:rsidRPr="00F369B0" w:rsidRDefault="00951A61" w:rsidP="00A4032F">
            <w:pPr>
              <w:autoSpaceDE w:val="0"/>
              <w:autoSpaceDN w:val="0"/>
              <w:adjustRightInd w:val="0"/>
              <w:jc w:val="center"/>
              <w:rPr>
                <w:rFonts w:ascii="Tahoma" w:hAnsi="Tahoma" w:cs="Tahoma"/>
                <w:b/>
                <w:sz w:val="20"/>
                <w:szCs w:val="20"/>
              </w:rPr>
            </w:pPr>
            <w:r w:rsidRPr="00F369B0">
              <w:rPr>
                <w:rFonts w:ascii="Tahoma" w:hAnsi="Tahoma" w:cs="Tahoma"/>
                <w:b/>
                <w:sz w:val="20"/>
                <w:szCs w:val="20"/>
              </w:rPr>
              <w:t>Способы возврата Заемщиком потребительского кредита и уплаты процентов и иных платежей по нему</w:t>
            </w:r>
          </w:p>
        </w:tc>
        <w:tc>
          <w:tcPr>
            <w:tcW w:w="11452" w:type="dxa"/>
            <w:tcBorders>
              <w:top w:val="single" w:sz="4" w:space="0" w:color="auto"/>
              <w:left w:val="nil"/>
              <w:bottom w:val="single" w:sz="4" w:space="0" w:color="auto"/>
              <w:right w:val="single" w:sz="4" w:space="0" w:color="auto"/>
            </w:tcBorders>
            <w:shd w:val="clear" w:color="auto" w:fill="auto"/>
            <w:vAlign w:val="center"/>
          </w:tcPr>
          <w:p w14:paraId="6BC8E4CA" w14:textId="77777777" w:rsidR="00951A61" w:rsidRPr="00F369B0" w:rsidRDefault="00951A61" w:rsidP="00A4032F">
            <w:pPr>
              <w:ind w:firstLine="425"/>
              <w:jc w:val="both"/>
              <w:rPr>
                <w:rFonts w:ascii="Tahoma" w:hAnsi="Tahoma" w:cs="Tahoma"/>
                <w:sz w:val="20"/>
                <w:szCs w:val="20"/>
              </w:rPr>
            </w:pPr>
            <w:r w:rsidRPr="00F369B0">
              <w:rPr>
                <w:rFonts w:ascii="Tahoma" w:hAnsi="Tahoma" w:cs="Tahoma"/>
                <w:sz w:val="20"/>
                <w:szCs w:val="20"/>
              </w:rPr>
              <w:t>Банк не ограничивает Заемщиков в выборе способа внесения платежа или организации, оказывающей услуги по перечислению платежей.</w:t>
            </w:r>
          </w:p>
          <w:p w14:paraId="14FE0535" w14:textId="77777777" w:rsidR="00951A61" w:rsidRPr="00F369B0" w:rsidRDefault="00951A61" w:rsidP="00A4032F">
            <w:pPr>
              <w:ind w:firstLine="425"/>
              <w:jc w:val="both"/>
              <w:rPr>
                <w:rFonts w:ascii="Tahoma" w:hAnsi="Tahoma" w:cs="Tahoma"/>
                <w:sz w:val="20"/>
                <w:szCs w:val="20"/>
              </w:rPr>
            </w:pPr>
            <w:r w:rsidRPr="00F369B0">
              <w:rPr>
                <w:rFonts w:ascii="Tahoma" w:hAnsi="Tahoma" w:cs="Tahoma"/>
                <w:sz w:val="20"/>
                <w:szCs w:val="20"/>
              </w:rPr>
              <w:t>Исполнение Заемщиком обязательств по Кредитному договору (в т.ч. при досрочном возврате Кредита) производится путем внесения денежных средств на ТБС в сумме обязательства и не позднее срока платежа, указанных в Кредитном договоре, любым из перечисленных в настоящем пункте, способов: через терминалы самообслуживания, кассы Банка</w:t>
            </w:r>
            <w:r>
              <w:rPr>
                <w:rFonts w:ascii="Tahoma" w:hAnsi="Tahoma" w:cs="Tahoma"/>
                <w:sz w:val="20"/>
                <w:szCs w:val="20"/>
              </w:rPr>
              <w:t>,</w:t>
            </w:r>
            <w:r w:rsidRPr="00F369B0">
              <w:rPr>
                <w:rFonts w:ascii="Tahoma" w:hAnsi="Tahoma" w:cs="Tahoma"/>
                <w:sz w:val="20"/>
                <w:szCs w:val="20"/>
              </w:rPr>
              <w:t xml:space="preserve"> посредством перевода денежных средств через иные кредитные организации, ФГУП «Почта России» (по предусмотренным ими тарифам). Могут использоваться иные, не противоречащие законодательству РФ, способы. Если установленный Кредитным договором последний день срока платежа отсутствует в календарном месяце, Заемщик обязан внести денежные средства на ТБС не позднее последнего календарного рабочего дня месяца; если последний день срока платежа приходится на выходные/нерабочие праздничные дни, Заемщик обязан внести денежные средства на ТБС не позднее 1-го рабочего дня, следующего за выходным /нерабочим праздничным днем. Указанная обязанность должна быть исполнена Заемщиком в операционный день Банка</w:t>
            </w:r>
          </w:p>
        </w:tc>
      </w:tr>
      <w:tr w:rsidR="00951A61" w:rsidRPr="00F369B0" w14:paraId="063FC7BD"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4456BF42" w14:textId="77777777" w:rsidR="00951A61" w:rsidRPr="00F369B0" w:rsidRDefault="00951A61" w:rsidP="00A4032F">
            <w:pPr>
              <w:autoSpaceDE w:val="0"/>
              <w:autoSpaceDN w:val="0"/>
              <w:adjustRightInd w:val="0"/>
              <w:jc w:val="center"/>
              <w:rPr>
                <w:rFonts w:ascii="Tahoma" w:hAnsi="Tahoma" w:cs="Tahoma"/>
                <w:b/>
                <w:sz w:val="20"/>
                <w:szCs w:val="20"/>
              </w:rPr>
            </w:pPr>
            <w:r w:rsidRPr="00F369B0">
              <w:rPr>
                <w:rFonts w:ascii="Tahoma" w:hAnsi="Tahoma" w:cs="Tahoma"/>
                <w:b/>
                <w:color w:val="000000"/>
                <w:sz w:val="20"/>
                <w:szCs w:val="20"/>
              </w:rPr>
              <w:t>Бесплатный способ исполнения Заемщиком обязательств по договору потребительского кредита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4EF41E6B" w14:textId="77777777" w:rsidR="00951A61" w:rsidRPr="00F369B0" w:rsidRDefault="00951A61" w:rsidP="00A4032F">
            <w:pPr>
              <w:ind w:firstLine="425"/>
              <w:jc w:val="both"/>
              <w:rPr>
                <w:rFonts w:ascii="Tahoma" w:hAnsi="Tahoma" w:cs="Tahoma"/>
                <w:sz w:val="20"/>
                <w:szCs w:val="20"/>
              </w:rPr>
            </w:pPr>
            <w:r w:rsidRPr="00F369B0">
              <w:rPr>
                <w:rFonts w:ascii="Tahoma" w:hAnsi="Tahoma" w:cs="Tahoma"/>
                <w:sz w:val="20"/>
                <w:szCs w:val="20"/>
              </w:rPr>
              <w:t>Внесение денежных средств на ТБС через терминалы самообслуживания Банка, перевод через работодателя Заемщика, перевод со счёта в Банке на ТБС Заемщика</w:t>
            </w:r>
          </w:p>
        </w:tc>
      </w:tr>
      <w:tr w:rsidR="00951A61" w:rsidRPr="00F369B0" w14:paraId="420FE383"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57DE6178" w14:textId="77777777" w:rsidR="00951A61" w:rsidRPr="00F369B0" w:rsidRDefault="00951A61" w:rsidP="00A4032F">
            <w:pPr>
              <w:autoSpaceDE w:val="0"/>
              <w:autoSpaceDN w:val="0"/>
              <w:adjustRightInd w:val="0"/>
              <w:jc w:val="center"/>
              <w:rPr>
                <w:rFonts w:ascii="Tahoma" w:hAnsi="Tahoma" w:cs="Tahoma"/>
                <w:b/>
                <w:bCs/>
                <w:sz w:val="20"/>
                <w:szCs w:val="20"/>
              </w:rPr>
            </w:pPr>
            <w:r w:rsidRPr="00F369B0">
              <w:rPr>
                <w:rFonts w:ascii="Tahoma" w:hAnsi="Tahoma" w:cs="Tahoma"/>
                <w:b/>
                <w:sz w:val="20"/>
                <w:szCs w:val="20"/>
              </w:rPr>
              <w:t xml:space="preserve">Ответственность Заемщика за ненадлежащее исполнение договора потребительского кредита, размеры неустойки (штрафа, пени), порядок ее расчета, </w:t>
            </w:r>
            <w:r w:rsidRPr="00F369B0">
              <w:rPr>
                <w:rFonts w:ascii="Tahoma" w:hAnsi="Tahoma" w:cs="Tahoma"/>
                <w:b/>
                <w:bCs/>
                <w:sz w:val="20"/>
                <w:szCs w:val="20"/>
              </w:rPr>
              <w:t>а также информация о том, в каких случаях данные санкции могут быть применены</w:t>
            </w:r>
          </w:p>
          <w:p w14:paraId="094E2133" w14:textId="77777777" w:rsidR="00951A61" w:rsidRPr="00F369B0" w:rsidRDefault="00951A61" w:rsidP="00A4032F">
            <w:pPr>
              <w:autoSpaceDE w:val="0"/>
              <w:autoSpaceDN w:val="0"/>
              <w:adjustRightInd w:val="0"/>
              <w:jc w:val="center"/>
              <w:rPr>
                <w:rFonts w:ascii="Tahoma" w:hAnsi="Tahoma" w:cs="Tahoma"/>
                <w:b/>
                <w:color w:val="000000"/>
                <w:sz w:val="20"/>
                <w:szCs w:val="20"/>
              </w:rPr>
            </w:pPr>
          </w:p>
        </w:tc>
        <w:tc>
          <w:tcPr>
            <w:tcW w:w="11452" w:type="dxa"/>
            <w:tcBorders>
              <w:top w:val="single" w:sz="4" w:space="0" w:color="auto"/>
              <w:left w:val="nil"/>
              <w:bottom w:val="single" w:sz="4" w:space="0" w:color="auto"/>
              <w:right w:val="single" w:sz="4" w:space="0" w:color="auto"/>
            </w:tcBorders>
            <w:shd w:val="clear" w:color="auto" w:fill="auto"/>
            <w:vAlign w:val="center"/>
          </w:tcPr>
          <w:p w14:paraId="155C4486" w14:textId="77777777" w:rsidR="00951A61" w:rsidRPr="00F369B0" w:rsidRDefault="00951A61" w:rsidP="00A4032F">
            <w:pPr>
              <w:ind w:firstLine="425"/>
              <w:jc w:val="both"/>
              <w:rPr>
                <w:rFonts w:ascii="Tahoma" w:hAnsi="Tahoma" w:cs="Tahoma"/>
                <w:sz w:val="20"/>
                <w:szCs w:val="20"/>
              </w:rPr>
            </w:pPr>
            <w:r w:rsidRPr="00F369B0">
              <w:rPr>
                <w:rFonts w:ascii="Tahoma" w:hAnsi="Tahoma" w:cs="Tahoma"/>
                <w:sz w:val="20"/>
                <w:szCs w:val="20"/>
              </w:rPr>
              <w:t>При ненадлежащем исполнении Кредитного договора (в соответствии с условиями Кредитного договора и законодательством РФ) Кредитор вправе:</w:t>
            </w:r>
          </w:p>
          <w:p w14:paraId="0FBD757D" w14:textId="77777777" w:rsidR="00951A61" w:rsidRPr="00F369B0" w:rsidRDefault="00951A61" w:rsidP="00A4032F">
            <w:pPr>
              <w:ind w:firstLine="425"/>
              <w:jc w:val="both"/>
              <w:rPr>
                <w:rFonts w:ascii="Tahoma" w:hAnsi="Tahoma" w:cs="Tahoma"/>
                <w:sz w:val="20"/>
                <w:szCs w:val="20"/>
              </w:rPr>
            </w:pPr>
            <w:r w:rsidRPr="00F369B0">
              <w:rPr>
                <w:rFonts w:ascii="Tahoma" w:hAnsi="Tahoma" w:cs="Tahoma"/>
                <w:sz w:val="20"/>
                <w:szCs w:val="20"/>
              </w:rPr>
              <w:t>- потребовать от Заемщика полного досрочного исполнения обязательств по Кредитному договору (возврата суммы Кредита, процентов за пользование Кредитом и суммы неустойки (пени);</w:t>
            </w:r>
          </w:p>
          <w:p w14:paraId="725107B6" w14:textId="77777777" w:rsidR="00951A61" w:rsidRPr="00F369B0" w:rsidRDefault="00951A61" w:rsidP="00A4032F">
            <w:pPr>
              <w:ind w:firstLine="425"/>
              <w:jc w:val="both"/>
              <w:rPr>
                <w:rFonts w:ascii="Tahoma" w:hAnsi="Tahoma" w:cs="Tahoma"/>
                <w:sz w:val="20"/>
                <w:szCs w:val="20"/>
              </w:rPr>
            </w:pPr>
            <w:r w:rsidRPr="00F369B0">
              <w:rPr>
                <w:rFonts w:ascii="Tahoma" w:hAnsi="Tahoma" w:cs="Tahoma"/>
                <w:sz w:val="20"/>
                <w:szCs w:val="20"/>
              </w:rPr>
              <w:t>- обратить взыскание на Предмет ипотеки при неисполнении Заемщиком требования о полном досрочном исполнении обязательств по Кредитному договору.</w:t>
            </w:r>
          </w:p>
          <w:p w14:paraId="29A1C003" w14:textId="77777777" w:rsidR="00951A61" w:rsidRPr="00F369B0" w:rsidRDefault="00951A61" w:rsidP="00A4032F">
            <w:pPr>
              <w:ind w:firstLine="425"/>
              <w:jc w:val="both"/>
              <w:rPr>
                <w:rFonts w:ascii="Tahoma" w:hAnsi="Tahoma" w:cs="Tahoma"/>
                <w:sz w:val="20"/>
                <w:szCs w:val="20"/>
              </w:rPr>
            </w:pPr>
          </w:p>
          <w:p w14:paraId="3D500656" w14:textId="77777777" w:rsidR="00951A61" w:rsidRPr="00F369B0" w:rsidRDefault="00951A61" w:rsidP="00A4032F">
            <w:pPr>
              <w:ind w:firstLine="425"/>
              <w:jc w:val="both"/>
              <w:rPr>
                <w:rFonts w:ascii="Tahoma" w:hAnsi="Tahoma" w:cs="Tahoma"/>
                <w:sz w:val="20"/>
                <w:szCs w:val="20"/>
              </w:rPr>
            </w:pPr>
            <w:r w:rsidRPr="00F369B0">
              <w:rPr>
                <w:rFonts w:ascii="Tahoma" w:hAnsi="Tahoma" w:cs="Tahoma"/>
                <w:sz w:val="20"/>
                <w:szCs w:val="20"/>
              </w:rPr>
              <w:t>За неисполнение и (или) ненадлежащее исполнение Заемщиком по Кредитному договору обязательств по возврату Кредита и(или) уплате процентов Заемщик уплачивает Кредитору неустойку в размере ключевой ставки Банка России, установленной на день заключения Кредитного договора, с суммы просроченного платежа за период просрочки с даты, следующей за датой наступления исполнения обязательства, установленной Кредитным договором, по дату погашения Просроченной кредитной задолженности по Кредитному договору (включительно).</w:t>
            </w:r>
          </w:p>
        </w:tc>
      </w:tr>
      <w:tr w:rsidR="00951A61" w:rsidRPr="00F369B0" w14:paraId="5D1B4929"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7698035C" w14:textId="77777777" w:rsidR="00951A61" w:rsidRPr="00F369B0" w:rsidRDefault="00951A61" w:rsidP="00A4032F">
            <w:pPr>
              <w:autoSpaceDE w:val="0"/>
              <w:autoSpaceDN w:val="0"/>
              <w:adjustRightInd w:val="0"/>
              <w:jc w:val="center"/>
              <w:rPr>
                <w:rFonts w:ascii="Tahoma" w:hAnsi="Tahoma" w:cs="Tahoma"/>
                <w:b/>
                <w:sz w:val="20"/>
                <w:szCs w:val="20"/>
              </w:rPr>
            </w:pPr>
            <w:r w:rsidRPr="00F369B0">
              <w:rPr>
                <w:rFonts w:ascii="Tahoma" w:hAnsi="Tahoma" w:cs="Tahoma"/>
                <w:b/>
                <w:sz w:val="20"/>
                <w:szCs w:val="20"/>
              </w:rPr>
              <w:t>Виды и суммы иных платежей Заемщика по Кредитному договору</w:t>
            </w:r>
          </w:p>
        </w:tc>
        <w:tc>
          <w:tcPr>
            <w:tcW w:w="11452" w:type="dxa"/>
            <w:tcBorders>
              <w:top w:val="single" w:sz="4" w:space="0" w:color="auto"/>
              <w:left w:val="nil"/>
              <w:bottom w:val="single" w:sz="4" w:space="0" w:color="auto"/>
              <w:right w:val="single" w:sz="4" w:space="0" w:color="auto"/>
            </w:tcBorders>
            <w:shd w:val="clear" w:color="auto" w:fill="auto"/>
            <w:vAlign w:val="center"/>
          </w:tcPr>
          <w:p w14:paraId="40C5DA68" w14:textId="77777777" w:rsidR="00951A61" w:rsidRPr="005350B3" w:rsidRDefault="00951A61" w:rsidP="00A4032F">
            <w:pPr>
              <w:ind w:firstLine="425"/>
              <w:jc w:val="both"/>
              <w:rPr>
                <w:rFonts w:ascii="Tahoma" w:hAnsi="Tahoma" w:cs="Tahoma"/>
                <w:sz w:val="20"/>
                <w:szCs w:val="20"/>
              </w:rPr>
            </w:pPr>
            <w:r w:rsidRPr="00F369B0">
              <w:rPr>
                <w:rFonts w:ascii="Tahoma" w:hAnsi="Tahoma" w:cs="Tahoma"/>
                <w:sz w:val="20"/>
                <w:szCs w:val="20"/>
              </w:rPr>
              <w:t xml:space="preserve">При наличии </w:t>
            </w:r>
            <w:r w:rsidRPr="005350B3">
              <w:rPr>
                <w:rFonts w:ascii="Tahoma" w:hAnsi="Tahoma" w:cs="Tahoma"/>
                <w:sz w:val="20"/>
                <w:szCs w:val="20"/>
              </w:rPr>
              <w:t>письменного согласия Заемщика ему могут быть оказаны Банком следующие услуги, не являющиеся обязательными для заключения или исполнения Кредитного договора:</w:t>
            </w:r>
          </w:p>
          <w:p w14:paraId="01589689" w14:textId="77777777" w:rsidR="00951A61" w:rsidRPr="00F369B0" w:rsidRDefault="00951A61" w:rsidP="00A4032F">
            <w:pPr>
              <w:ind w:firstLine="425"/>
              <w:jc w:val="both"/>
              <w:rPr>
                <w:rFonts w:ascii="Tahoma" w:hAnsi="Tahoma" w:cs="Tahoma"/>
                <w:sz w:val="20"/>
                <w:szCs w:val="20"/>
              </w:rPr>
            </w:pPr>
            <w:r w:rsidRPr="005350B3">
              <w:rPr>
                <w:rFonts w:ascii="Tahoma" w:hAnsi="Tahoma" w:cs="Tahoma"/>
                <w:sz w:val="20"/>
                <w:szCs w:val="20"/>
              </w:rPr>
              <w:t>Открытие аккредитива 1,0% от суммы аккредитива (макс. 5 000 рублей); прием, проверка Банком документов и исполнение аккредитива 1,0% от суммы аккредитива (макс. 5 000 рублей); платеж за выдачу дубликата или восстановление утерянного Кредитного договора 10 000 рублей за один экземпляр Кредитного договора; предлагаемый платеж за осуществление Банком мероприятий при составлении дополнительного соглашения к Кредитному договору по внесению изменений</w:t>
            </w:r>
            <w:r w:rsidRPr="00F369B0">
              <w:rPr>
                <w:rFonts w:ascii="Tahoma" w:hAnsi="Tahoma" w:cs="Tahoma"/>
                <w:sz w:val="20"/>
                <w:szCs w:val="20"/>
              </w:rPr>
              <w:t xml:space="preserve"> по инициативе Заемщика в условия Кредитного договора 500 рублей (плата взимается за услугу </w:t>
            </w:r>
            <w:r w:rsidRPr="00F369B0">
              <w:rPr>
                <w:rFonts w:ascii="Tahoma" w:hAnsi="Tahoma" w:cs="Tahoma"/>
                <w:sz w:val="20"/>
                <w:szCs w:val="20"/>
              </w:rPr>
              <w:lastRenderedPageBreak/>
              <w:t>вне зависимости от количества измененных параметров Кредитного договора одновременно); платеж за внесение денежных средств на ТБС через терминалы самообслуживания производится бесплатно.</w:t>
            </w:r>
          </w:p>
          <w:p w14:paraId="3E93B593" w14:textId="77777777" w:rsidR="00951A61" w:rsidRPr="00F369B0" w:rsidRDefault="00951A61" w:rsidP="00A4032F">
            <w:pPr>
              <w:widowControl w:val="0"/>
              <w:tabs>
                <w:tab w:val="left" w:pos="426"/>
                <w:tab w:val="left" w:pos="851"/>
              </w:tabs>
              <w:ind w:firstLine="425"/>
              <w:jc w:val="both"/>
              <w:rPr>
                <w:rFonts w:ascii="Tahoma" w:hAnsi="Tahoma" w:cs="Tahoma"/>
                <w:sz w:val="20"/>
                <w:szCs w:val="20"/>
              </w:rPr>
            </w:pPr>
            <w:r w:rsidRPr="00F369B0">
              <w:rPr>
                <w:rFonts w:ascii="Tahoma" w:hAnsi="Tahoma" w:cs="Tahoma"/>
                <w:sz w:val="20"/>
                <w:szCs w:val="20"/>
              </w:rPr>
              <w:t>Оказание услуги Банком производится в случае выражения Заемщиком согласия на пользование определенной услугой. Оплата услуг должна быть произведена до момента оказания Банком услуг.</w:t>
            </w:r>
          </w:p>
          <w:p w14:paraId="43A99DE6" w14:textId="77777777" w:rsidR="00951A61" w:rsidRPr="00F369B0" w:rsidRDefault="00951A61" w:rsidP="00A4032F">
            <w:pPr>
              <w:autoSpaceDE w:val="0"/>
              <w:autoSpaceDN w:val="0"/>
              <w:adjustRightInd w:val="0"/>
              <w:ind w:firstLine="425"/>
              <w:jc w:val="both"/>
              <w:rPr>
                <w:rFonts w:ascii="Tahoma" w:hAnsi="Tahoma" w:cs="Tahoma"/>
                <w:sz w:val="20"/>
                <w:szCs w:val="20"/>
              </w:rPr>
            </w:pPr>
            <w:r w:rsidRPr="00F369B0">
              <w:rPr>
                <w:rFonts w:ascii="Tahoma" w:hAnsi="Tahoma" w:cs="Tahoma"/>
                <w:sz w:val="20"/>
                <w:szCs w:val="20"/>
              </w:rPr>
              <w:t>Помимо перечисленных платежей, Заемщиком, при наличии соответствующего согласия, должны быть оплачены платежи в пользу третьих лиц: заключение договора с оценщиком на оказание услуг по подготовке отчета об оценке 1 800,00 рублей</w:t>
            </w:r>
            <w:r w:rsidRPr="00F369B0">
              <w:rPr>
                <w:rStyle w:val="aff3"/>
                <w:rFonts w:ascii="Tahoma" w:hAnsi="Tahoma" w:cs="Tahoma"/>
                <w:sz w:val="20"/>
                <w:szCs w:val="20"/>
              </w:rPr>
              <w:footnoteReference w:id="127"/>
            </w:r>
            <w:r w:rsidRPr="00F369B0">
              <w:rPr>
                <w:rFonts w:ascii="Tahoma" w:hAnsi="Tahoma" w:cs="Tahoma"/>
                <w:sz w:val="20"/>
                <w:szCs w:val="20"/>
              </w:rPr>
              <w:t>; платеж в пользу страховой компании с целью заключения договора/полиса имущественного страхования  в размере 0,15%</w:t>
            </w:r>
            <w:r w:rsidRPr="00F369B0">
              <w:rPr>
                <w:rStyle w:val="aff3"/>
                <w:rFonts w:ascii="Tahoma" w:hAnsi="Tahoma" w:cs="Tahoma"/>
                <w:sz w:val="20"/>
                <w:szCs w:val="20"/>
              </w:rPr>
              <w:footnoteReference w:id="128"/>
            </w:r>
            <w:r w:rsidRPr="00F369B0">
              <w:rPr>
                <w:rFonts w:ascii="Tahoma" w:hAnsi="Tahoma" w:cs="Tahoma"/>
                <w:sz w:val="20"/>
                <w:szCs w:val="20"/>
              </w:rPr>
              <w:t xml:space="preserve"> от денежного обязательства Заемщика, увеличенного на 10 %.</w:t>
            </w:r>
          </w:p>
        </w:tc>
      </w:tr>
      <w:tr w:rsidR="00951A61" w:rsidRPr="00F369B0" w14:paraId="22260ADC"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7AD2841B" w14:textId="77777777" w:rsidR="00951A61" w:rsidRPr="00F369B0" w:rsidRDefault="00951A61" w:rsidP="00A4032F">
            <w:pPr>
              <w:autoSpaceDE w:val="0"/>
              <w:autoSpaceDN w:val="0"/>
              <w:adjustRightInd w:val="0"/>
              <w:jc w:val="center"/>
              <w:rPr>
                <w:rFonts w:ascii="Tahoma" w:hAnsi="Tahoma" w:cs="Tahoma"/>
                <w:b/>
                <w:sz w:val="20"/>
                <w:szCs w:val="20"/>
              </w:rPr>
            </w:pPr>
            <w:r w:rsidRPr="00F369B0">
              <w:rPr>
                <w:rFonts w:ascii="Tahoma" w:hAnsi="Tahoma" w:cs="Tahoma"/>
                <w:b/>
                <w:sz w:val="20"/>
                <w:szCs w:val="20"/>
              </w:rPr>
              <w:lastRenderedPageBreak/>
              <w:t>Требования к Предмету Ипотеки, которые установлены Кредитором, и выполнение которых является обязательным для предоставления потребительского кредита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7922F452" w14:textId="77777777" w:rsidR="00951A61" w:rsidRPr="001F0EB5" w:rsidRDefault="00951A61" w:rsidP="00A4032F">
            <w:pPr>
              <w:ind w:firstLine="425"/>
              <w:jc w:val="both"/>
              <w:rPr>
                <w:rFonts w:ascii="Tahoma" w:hAnsi="Tahoma" w:cs="Tahoma"/>
                <w:b/>
                <w:sz w:val="20"/>
                <w:szCs w:val="20"/>
                <w:u w:val="single"/>
              </w:rPr>
            </w:pPr>
            <w:r w:rsidRPr="001F0EB5">
              <w:rPr>
                <w:rFonts w:ascii="Tahoma" w:hAnsi="Tahoma" w:cs="Tahoma"/>
                <w:b/>
                <w:sz w:val="20"/>
                <w:szCs w:val="20"/>
                <w:u w:val="single"/>
              </w:rPr>
              <w:t>Общие требования к Предмету ипотеки:</w:t>
            </w:r>
          </w:p>
          <w:p w14:paraId="4D03D903" w14:textId="77777777" w:rsidR="00951A61" w:rsidRPr="005D5BA6" w:rsidRDefault="00951A61" w:rsidP="00951A61">
            <w:pPr>
              <w:pStyle w:val="affe"/>
              <w:numPr>
                <w:ilvl w:val="0"/>
                <w:numId w:val="104"/>
              </w:numPr>
              <w:ind w:left="0" w:firstLine="425"/>
              <w:contextualSpacing/>
              <w:jc w:val="both"/>
              <w:rPr>
                <w:rFonts w:ascii="Tahoma" w:hAnsi="Tahoma" w:cs="Tahoma"/>
                <w:sz w:val="20"/>
                <w:szCs w:val="20"/>
              </w:rPr>
            </w:pPr>
            <w:r w:rsidRPr="005D5BA6">
              <w:rPr>
                <w:rFonts w:ascii="Tahoma" w:hAnsi="Tahoma" w:cs="Tahoma"/>
                <w:sz w:val="20"/>
                <w:szCs w:val="20"/>
              </w:rPr>
              <w:t>Недвижимое имущество, являющееся Предметом ипотеки, с учетом выполнения требований к Объекту недвижимости, описанных в разделе «Цель потребительского кредита», может быть расположено:</w:t>
            </w:r>
          </w:p>
          <w:p w14:paraId="27A91F3C" w14:textId="77777777" w:rsidR="00951A61" w:rsidRPr="005D5BA6" w:rsidRDefault="00951A61" w:rsidP="00951A61">
            <w:pPr>
              <w:pStyle w:val="affe"/>
              <w:numPr>
                <w:ilvl w:val="0"/>
                <w:numId w:val="172"/>
              </w:numPr>
              <w:ind w:left="0" w:firstLine="425"/>
              <w:contextualSpacing/>
              <w:jc w:val="both"/>
              <w:rPr>
                <w:rFonts w:ascii="Tahoma" w:hAnsi="Tahoma" w:cs="Tahoma"/>
                <w:sz w:val="20"/>
                <w:szCs w:val="20"/>
              </w:rPr>
            </w:pPr>
            <w:r w:rsidRPr="005D5BA6">
              <w:rPr>
                <w:rFonts w:ascii="Tahoma" w:hAnsi="Tahoma" w:cs="Tahoma"/>
                <w:sz w:val="20"/>
                <w:szCs w:val="20"/>
              </w:rPr>
              <w:t>В пределах территории г. Москва и Московской области – применимо для всех видов приобретаемых объектов недвижимости;</w:t>
            </w:r>
          </w:p>
          <w:p w14:paraId="1E1FFDCA" w14:textId="77777777" w:rsidR="00951A61" w:rsidRPr="005D5BA6" w:rsidRDefault="00951A61" w:rsidP="00951A61">
            <w:pPr>
              <w:pStyle w:val="affe"/>
              <w:numPr>
                <w:ilvl w:val="0"/>
                <w:numId w:val="172"/>
              </w:numPr>
              <w:ind w:left="0" w:firstLine="425"/>
              <w:contextualSpacing/>
              <w:jc w:val="both"/>
              <w:rPr>
                <w:rFonts w:ascii="Tahoma" w:hAnsi="Tahoma" w:cs="Tahoma"/>
                <w:sz w:val="20"/>
                <w:szCs w:val="20"/>
              </w:rPr>
            </w:pPr>
            <w:r w:rsidRPr="005D5BA6">
              <w:rPr>
                <w:rFonts w:ascii="Tahoma" w:hAnsi="Tahoma" w:cs="Tahoma"/>
                <w:i/>
                <w:sz w:val="20"/>
                <w:szCs w:val="20"/>
              </w:rPr>
              <w:t>Для вида объекта недвижимости «квартира</w:t>
            </w:r>
            <w:r w:rsidRPr="005D5BA6">
              <w:rPr>
                <w:rFonts w:ascii="Tahoma" w:hAnsi="Tahoma" w:cs="Tahoma"/>
                <w:sz w:val="20"/>
                <w:szCs w:val="20"/>
              </w:rPr>
              <w:t>»: на расстоянии не более 200 км. от населенного пункта, включенного в список населенных пунктов в Приложении № 3. В остальных случаях приобретаемый объект недвижимости «квартира» должен располагаться на расстоянии не более 50 км. от населенного пункта, где располагается Подразделение Банка;</w:t>
            </w:r>
          </w:p>
          <w:p w14:paraId="4C5802AD" w14:textId="77777777" w:rsidR="00951A61" w:rsidRPr="001F0EB5" w:rsidRDefault="00951A61" w:rsidP="00951A61">
            <w:pPr>
              <w:pStyle w:val="affe"/>
              <w:numPr>
                <w:ilvl w:val="0"/>
                <w:numId w:val="172"/>
              </w:numPr>
              <w:ind w:left="0" w:firstLine="425"/>
              <w:contextualSpacing/>
              <w:jc w:val="both"/>
              <w:rPr>
                <w:rFonts w:ascii="Tahoma" w:hAnsi="Tahoma" w:cs="Tahoma"/>
                <w:sz w:val="20"/>
                <w:szCs w:val="20"/>
              </w:rPr>
            </w:pPr>
            <w:r w:rsidRPr="005D5BA6">
              <w:rPr>
                <w:rFonts w:ascii="Tahoma" w:hAnsi="Tahoma" w:cs="Tahoma"/>
                <w:i/>
                <w:sz w:val="20"/>
                <w:szCs w:val="20"/>
              </w:rPr>
              <w:t>Для остальных объектов недвижимости, отличных от вида недвижимости «квартира»</w:t>
            </w:r>
            <w:r w:rsidRPr="005D5BA6">
              <w:rPr>
                <w:rFonts w:ascii="Tahoma" w:hAnsi="Tahoma" w:cs="Tahoma"/>
                <w:sz w:val="20"/>
                <w:szCs w:val="20"/>
              </w:rPr>
              <w:t>: на расстоянии не более 200 км. от населенного пункта, включенного в список населенных пунктов в Приложении № 3</w:t>
            </w:r>
            <w:r w:rsidRPr="005D5BA6">
              <w:rPr>
                <w:rStyle w:val="aff3"/>
                <w:rFonts w:ascii="Tahoma" w:hAnsi="Tahoma"/>
                <w:sz w:val="20"/>
                <w:szCs w:val="20"/>
              </w:rPr>
              <w:footnoteReference w:id="129"/>
            </w:r>
            <w:r w:rsidRPr="005D5BA6">
              <w:rPr>
                <w:rFonts w:ascii="Tahoma" w:hAnsi="Tahoma" w:cs="Tahoma"/>
                <w:sz w:val="20"/>
                <w:szCs w:val="20"/>
              </w:rPr>
              <w:t>. В остальных случаях приобретаемый объект недвижимости, отличный от вида недвижимости «квартира», должен располагаться, на расстоянии не более 50 км. от населенного пункта, где располагается Подразделение Банка</w:t>
            </w:r>
            <w:r w:rsidRPr="001F0EB5">
              <w:rPr>
                <w:rFonts w:ascii="Tahoma" w:hAnsi="Tahoma" w:cs="Tahoma"/>
                <w:sz w:val="20"/>
                <w:szCs w:val="20"/>
              </w:rPr>
              <w:t>.</w:t>
            </w:r>
          </w:p>
          <w:p w14:paraId="676B8DF2" w14:textId="77777777" w:rsidR="00951A61" w:rsidRPr="00843F89" w:rsidRDefault="00951A61" w:rsidP="00951A61">
            <w:pPr>
              <w:pStyle w:val="affe"/>
              <w:numPr>
                <w:ilvl w:val="0"/>
                <w:numId w:val="104"/>
              </w:numPr>
              <w:ind w:left="0" w:firstLine="425"/>
              <w:contextualSpacing/>
              <w:jc w:val="both"/>
              <w:rPr>
                <w:rFonts w:ascii="Tahoma" w:hAnsi="Tahoma" w:cs="Tahoma"/>
                <w:sz w:val="20"/>
                <w:szCs w:val="20"/>
              </w:rPr>
            </w:pPr>
            <w:r w:rsidRPr="00843F89">
              <w:rPr>
                <w:rFonts w:ascii="Tahoma" w:hAnsi="Tahoma" w:cs="Tahoma"/>
                <w:sz w:val="20"/>
                <w:szCs w:val="20"/>
              </w:rPr>
              <w:t>Предмет ипотеки не должен располагаться в закрытом административно-территориальном образовании (ЗАТО).</w:t>
            </w:r>
          </w:p>
          <w:p w14:paraId="24317AB8" w14:textId="77777777" w:rsidR="00951A61" w:rsidRPr="001F0EB5" w:rsidRDefault="00951A61" w:rsidP="00951A61">
            <w:pPr>
              <w:pStyle w:val="affe"/>
              <w:numPr>
                <w:ilvl w:val="0"/>
                <w:numId w:val="104"/>
              </w:numPr>
              <w:ind w:left="0" w:firstLine="425"/>
              <w:contextualSpacing/>
              <w:jc w:val="both"/>
              <w:rPr>
                <w:rFonts w:ascii="Tahoma" w:hAnsi="Tahoma" w:cs="Tahoma"/>
                <w:sz w:val="20"/>
                <w:szCs w:val="20"/>
              </w:rPr>
            </w:pPr>
            <w:r w:rsidRPr="001F0EB5">
              <w:rPr>
                <w:rFonts w:ascii="Tahoma" w:hAnsi="Tahoma" w:cs="Tahoma"/>
                <w:sz w:val="20"/>
                <w:szCs w:val="20"/>
              </w:rPr>
              <w:t>Недвижимое имущество, являющееся предметом ипотеки, должно быть подключено к централизованным или автономным</w:t>
            </w:r>
            <w:r w:rsidRPr="001F0EB5">
              <w:rPr>
                <w:rStyle w:val="aff3"/>
                <w:rFonts w:ascii="Tahoma" w:hAnsi="Tahoma"/>
                <w:sz w:val="20"/>
                <w:szCs w:val="20"/>
              </w:rPr>
              <w:footnoteReference w:id="130"/>
            </w:r>
            <w:r w:rsidRPr="001F0EB5">
              <w:rPr>
                <w:rFonts w:ascii="Tahoma" w:hAnsi="Tahoma" w:cs="Tahoma"/>
                <w:sz w:val="20"/>
                <w:szCs w:val="20"/>
              </w:rPr>
              <w:t xml:space="preserve"> системам жизнеобеспечения:</w:t>
            </w:r>
          </w:p>
          <w:p w14:paraId="193DBDB6" w14:textId="77777777" w:rsidR="00951A61" w:rsidRPr="00843F89" w:rsidRDefault="00951A61" w:rsidP="00951A61">
            <w:pPr>
              <w:pStyle w:val="affe"/>
              <w:numPr>
                <w:ilvl w:val="0"/>
                <w:numId w:val="30"/>
              </w:numPr>
              <w:ind w:left="0" w:firstLine="425"/>
              <w:contextualSpacing/>
              <w:jc w:val="both"/>
              <w:rPr>
                <w:rFonts w:ascii="Tahoma" w:hAnsi="Tahoma" w:cs="Tahoma"/>
                <w:sz w:val="20"/>
                <w:szCs w:val="20"/>
              </w:rPr>
            </w:pPr>
            <w:r w:rsidRPr="00843F89">
              <w:rPr>
                <w:rFonts w:ascii="Tahoma" w:hAnsi="Tahoma" w:cs="Tahoma"/>
                <w:sz w:val="20"/>
                <w:szCs w:val="20"/>
              </w:rPr>
              <w:t xml:space="preserve">электрическим, паровым или газовым системам отопления, обеспечивающим подачу тепла на всю его жилую площадь; </w:t>
            </w:r>
          </w:p>
          <w:p w14:paraId="70A3B2ED" w14:textId="77777777" w:rsidR="00951A61" w:rsidRPr="001F0EB5" w:rsidRDefault="00951A61" w:rsidP="00951A61">
            <w:pPr>
              <w:pStyle w:val="affe"/>
              <w:numPr>
                <w:ilvl w:val="0"/>
                <w:numId w:val="30"/>
              </w:numPr>
              <w:ind w:left="0" w:firstLine="425"/>
              <w:contextualSpacing/>
              <w:jc w:val="both"/>
              <w:rPr>
                <w:rFonts w:ascii="Tahoma" w:hAnsi="Tahoma" w:cs="Tahoma"/>
                <w:sz w:val="20"/>
                <w:szCs w:val="20"/>
              </w:rPr>
            </w:pPr>
            <w:r w:rsidRPr="001F0EB5">
              <w:rPr>
                <w:rFonts w:ascii="Tahoma" w:hAnsi="Tahoma" w:cs="Tahoma"/>
                <w:sz w:val="20"/>
                <w:szCs w:val="20"/>
              </w:rPr>
              <w:t>сетям электроснабжения;</w:t>
            </w:r>
          </w:p>
          <w:p w14:paraId="531416B2" w14:textId="77777777" w:rsidR="00951A61" w:rsidRPr="001F0EB5" w:rsidRDefault="00951A61" w:rsidP="00951A61">
            <w:pPr>
              <w:pStyle w:val="affe"/>
              <w:numPr>
                <w:ilvl w:val="0"/>
                <w:numId w:val="30"/>
              </w:numPr>
              <w:ind w:left="0" w:firstLine="425"/>
              <w:contextualSpacing/>
              <w:jc w:val="both"/>
              <w:rPr>
                <w:rFonts w:ascii="Tahoma" w:hAnsi="Tahoma" w:cs="Tahoma"/>
                <w:sz w:val="20"/>
                <w:szCs w:val="20"/>
              </w:rPr>
            </w:pPr>
            <w:r w:rsidRPr="001F0EB5">
              <w:rPr>
                <w:rFonts w:ascii="Tahoma" w:hAnsi="Tahoma" w:cs="Tahoma"/>
                <w:sz w:val="20"/>
                <w:szCs w:val="20"/>
              </w:rPr>
              <w:t>системе канализации;</w:t>
            </w:r>
          </w:p>
          <w:p w14:paraId="44B79A62" w14:textId="77777777" w:rsidR="00951A61" w:rsidRPr="001F0EB5" w:rsidRDefault="00951A61" w:rsidP="00951A61">
            <w:pPr>
              <w:pStyle w:val="affe"/>
              <w:numPr>
                <w:ilvl w:val="0"/>
                <w:numId w:val="30"/>
              </w:numPr>
              <w:ind w:left="0" w:firstLine="425"/>
              <w:contextualSpacing/>
              <w:jc w:val="both"/>
              <w:rPr>
                <w:rFonts w:ascii="Tahoma" w:hAnsi="Tahoma" w:cs="Tahoma"/>
                <w:sz w:val="20"/>
                <w:szCs w:val="20"/>
              </w:rPr>
            </w:pPr>
            <w:r w:rsidRPr="001F0EB5">
              <w:rPr>
                <w:rFonts w:ascii="Tahoma" w:hAnsi="Tahoma" w:cs="Tahoma"/>
                <w:sz w:val="20"/>
                <w:szCs w:val="20"/>
              </w:rPr>
              <w:t>горячему и холодному водоснабжению.</w:t>
            </w:r>
          </w:p>
          <w:p w14:paraId="52AA74C5" w14:textId="77777777" w:rsidR="00951A61" w:rsidRPr="001F0EB5" w:rsidRDefault="00951A61" w:rsidP="00951A61">
            <w:pPr>
              <w:pStyle w:val="affe"/>
              <w:numPr>
                <w:ilvl w:val="0"/>
                <w:numId w:val="104"/>
              </w:numPr>
              <w:ind w:left="0" w:firstLine="425"/>
              <w:contextualSpacing/>
              <w:jc w:val="both"/>
              <w:rPr>
                <w:rFonts w:ascii="Tahoma" w:hAnsi="Tahoma" w:cs="Tahoma"/>
                <w:sz w:val="20"/>
                <w:szCs w:val="20"/>
              </w:rPr>
            </w:pPr>
            <w:r w:rsidRPr="001F0EB5">
              <w:rPr>
                <w:rFonts w:ascii="Tahoma" w:hAnsi="Tahoma" w:cs="Tahoma"/>
                <w:sz w:val="20"/>
                <w:szCs w:val="20"/>
              </w:rPr>
              <w:t xml:space="preserve">Недвижимое имущество должно быть предназначено для постоянного проживания, должно удовлетворять санитарно-техническим нормам по обеспечению здоровья и безопасности жильцов. </w:t>
            </w:r>
            <w:r w:rsidRPr="001F0EB5">
              <w:rPr>
                <w:rFonts w:ascii="Tahoma" w:hAnsi="Tahoma" w:cs="Tahoma"/>
                <w:b/>
                <w:sz w:val="20"/>
                <w:szCs w:val="20"/>
                <w:u w:val="single"/>
              </w:rPr>
              <w:t>НЕ МОЖЕТ</w:t>
            </w:r>
            <w:r w:rsidRPr="001F0EB5">
              <w:rPr>
                <w:rFonts w:ascii="Tahoma" w:hAnsi="Tahoma" w:cs="Tahoma"/>
                <w:b/>
                <w:sz w:val="20"/>
                <w:szCs w:val="20"/>
              </w:rPr>
              <w:t xml:space="preserve"> </w:t>
            </w:r>
            <w:r w:rsidRPr="001F0EB5">
              <w:rPr>
                <w:rFonts w:ascii="Tahoma" w:hAnsi="Tahoma" w:cs="Tahoma"/>
                <w:sz w:val="20"/>
                <w:szCs w:val="20"/>
              </w:rPr>
              <w:t>быть принято в залог недвижимое имущество, в котором отсутствует кухня/кухонная зона и санузел, а также отсутствует физическая возможность обустройства данных помещений.</w:t>
            </w:r>
          </w:p>
          <w:p w14:paraId="704E9B3B" w14:textId="77777777" w:rsidR="00951A61" w:rsidRPr="001F0EB5" w:rsidRDefault="00951A61" w:rsidP="00951A61">
            <w:pPr>
              <w:pStyle w:val="affe"/>
              <w:numPr>
                <w:ilvl w:val="0"/>
                <w:numId w:val="104"/>
              </w:numPr>
              <w:ind w:left="0" w:firstLine="425"/>
              <w:contextualSpacing/>
              <w:jc w:val="both"/>
              <w:rPr>
                <w:rFonts w:ascii="Tahoma" w:hAnsi="Tahoma" w:cs="Tahoma"/>
                <w:sz w:val="20"/>
                <w:szCs w:val="20"/>
              </w:rPr>
            </w:pPr>
            <w:r w:rsidRPr="001F0EB5">
              <w:rPr>
                <w:rFonts w:ascii="Tahoma" w:hAnsi="Tahoma" w:cs="Tahoma"/>
                <w:sz w:val="20"/>
                <w:szCs w:val="20"/>
              </w:rPr>
              <w:lastRenderedPageBreak/>
              <w:t>Недвижимое имущество должно иметь исправное состояние входной двери и окон, а также исправное состояние крыши (для объектов, расположенных на последних этажах). Информация о технических характеристиках недвижимого имущества указывается в отчете об оценке. В случае если не установлены и не подключены сантехнические приборы, газовая или электрическая плита, отопительные приборы, то необходимо определить возможность их установки и подключения по фотографиям Объекта недвижимости, имеющимся в отчете об оценке.</w:t>
            </w:r>
          </w:p>
          <w:p w14:paraId="12A61555" w14:textId="77777777" w:rsidR="00951A61" w:rsidRPr="001F0EB5" w:rsidRDefault="00951A61" w:rsidP="00951A61">
            <w:pPr>
              <w:pStyle w:val="affe"/>
              <w:numPr>
                <w:ilvl w:val="0"/>
                <w:numId w:val="104"/>
              </w:numPr>
              <w:ind w:left="0" w:firstLine="425"/>
              <w:contextualSpacing/>
              <w:jc w:val="both"/>
              <w:rPr>
                <w:rFonts w:ascii="Tahoma" w:hAnsi="Tahoma" w:cs="Tahoma"/>
                <w:sz w:val="20"/>
                <w:szCs w:val="20"/>
              </w:rPr>
            </w:pPr>
            <w:r w:rsidRPr="001F0EB5">
              <w:rPr>
                <w:rFonts w:ascii="Tahoma" w:hAnsi="Tahoma" w:cs="Tahoma"/>
                <w:sz w:val="20"/>
                <w:szCs w:val="20"/>
              </w:rPr>
              <w:t>Недвижимое имущество, являющееся предметом ипотеки, должно быть свободно от любых прав третьих лиц (за исключением цели кредита: погашение ранее выданного кредита (займа)).</w:t>
            </w:r>
          </w:p>
          <w:p w14:paraId="088D0AC4" w14:textId="77777777" w:rsidR="00951A61" w:rsidRPr="001F0EB5" w:rsidRDefault="00951A61" w:rsidP="00951A61">
            <w:pPr>
              <w:pStyle w:val="affe"/>
              <w:numPr>
                <w:ilvl w:val="0"/>
                <w:numId w:val="104"/>
              </w:numPr>
              <w:ind w:left="0" w:firstLine="425"/>
              <w:contextualSpacing/>
              <w:jc w:val="both"/>
              <w:rPr>
                <w:rFonts w:ascii="Tahoma" w:hAnsi="Tahoma" w:cs="Tahoma"/>
                <w:sz w:val="20"/>
                <w:szCs w:val="20"/>
              </w:rPr>
            </w:pPr>
            <w:r w:rsidRPr="001F0EB5">
              <w:rPr>
                <w:rFonts w:ascii="Tahoma" w:hAnsi="Tahoma" w:cs="Tahoma"/>
                <w:sz w:val="20"/>
                <w:szCs w:val="20"/>
              </w:rPr>
              <w:t>Не должны быть заключены/подписаны какие-либо договоры, в том числе предварительные, направленные на отчуждение/ обременение недвижимого имущества третьим лицам, третьи лица не предъявляют никаких требований в отношении недвижимого имущества, в том числе иски об аресте или обращении взыскания на недвижимое имущество.</w:t>
            </w:r>
          </w:p>
          <w:p w14:paraId="25E2AD1D" w14:textId="77777777" w:rsidR="00951A61" w:rsidRPr="001F0EB5" w:rsidRDefault="00951A61" w:rsidP="00951A61">
            <w:pPr>
              <w:pStyle w:val="affe"/>
              <w:numPr>
                <w:ilvl w:val="0"/>
                <w:numId w:val="104"/>
              </w:numPr>
              <w:ind w:left="0" w:firstLine="425"/>
              <w:contextualSpacing/>
              <w:jc w:val="both"/>
              <w:rPr>
                <w:rFonts w:ascii="Tahoma" w:hAnsi="Tahoma" w:cs="Tahoma"/>
                <w:sz w:val="20"/>
                <w:szCs w:val="20"/>
              </w:rPr>
            </w:pPr>
            <w:r w:rsidRPr="001F0EB5">
              <w:rPr>
                <w:rFonts w:ascii="Tahoma" w:hAnsi="Tahoma" w:cs="Tahoma"/>
                <w:sz w:val="20"/>
                <w:szCs w:val="20"/>
              </w:rPr>
              <w:t>Строящийся многоквартирный дом, в котором располагается Объект недвижимости, должен быть аккредитован Банком.</w:t>
            </w:r>
          </w:p>
          <w:p w14:paraId="0417F5F3" w14:textId="77777777" w:rsidR="00951A61" w:rsidRPr="001F0EB5" w:rsidRDefault="00951A61" w:rsidP="00951A61">
            <w:pPr>
              <w:pStyle w:val="affe"/>
              <w:numPr>
                <w:ilvl w:val="0"/>
                <w:numId w:val="104"/>
              </w:numPr>
              <w:ind w:left="0" w:firstLine="425"/>
              <w:contextualSpacing/>
              <w:jc w:val="both"/>
              <w:rPr>
                <w:rFonts w:ascii="Tahoma" w:hAnsi="Tahoma" w:cs="Tahoma"/>
                <w:sz w:val="20"/>
                <w:szCs w:val="20"/>
              </w:rPr>
            </w:pPr>
            <w:r w:rsidRPr="001F0EB5">
              <w:rPr>
                <w:rFonts w:ascii="Tahoma" w:hAnsi="Tahoma" w:cs="Tahoma"/>
                <w:sz w:val="20"/>
                <w:szCs w:val="20"/>
              </w:rPr>
              <w:t>Многоквартирный дом по проекту должен соответствовать следующим требованиям: строительство осуществляется в соответствии с Федеральным законом от 30.12.2004 года № 214-ФЗ «Об участии в долевом строительстве многоквартирных домов и иных объектов недвижимости и о внесении изменений в некоторые законодательные акты Российской Федерации».</w:t>
            </w:r>
          </w:p>
          <w:p w14:paraId="26431889" w14:textId="77777777" w:rsidR="00951A61" w:rsidRPr="001F0EB5" w:rsidRDefault="00951A61" w:rsidP="00951A61">
            <w:pPr>
              <w:pStyle w:val="affe"/>
              <w:numPr>
                <w:ilvl w:val="0"/>
                <w:numId w:val="104"/>
              </w:numPr>
              <w:ind w:left="0" w:firstLine="425"/>
              <w:contextualSpacing/>
              <w:jc w:val="both"/>
              <w:rPr>
                <w:rFonts w:ascii="Tahoma" w:hAnsi="Tahoma" w:cs="Tahoma"/>
                <w:sz w:val="20"/>
                <w:szCs w:val="20"/>
              </w:rPr>
            </w:pPr>
            <w:r w:rsidRPr="001F0EB5">
              <w:rPr>
                <w:rFonts w:ascii="Tahoma" w:hAnsi="Tahoma" w:cs="Tahoma"/>
                <w:sz w:val="20"/>
                <w:szCs w:val="20"/>
              </w:rPr>
              <w:t>Требования к зданию, в котором расположен предмет ипотеки:</w:t>
            </w:r>
          </w:p>
          <w:p w14:paraId="77110E84" w14:textId="77777777" w:rsidR="00951A61" w:rsidRPr="001F0EB5" w:rsidRDefault="00951A61" w:rsidP="00951A61">
            <w:pPr>
              <w:pStyle w:val="affe"/>
              <w:numPr>
                <w:ilvl w:val="0"/>
                <w:numId w:val="105"/>
              </w:numPr>
              <w:ind w:left="0" w:firstLine="425"/>
              <w:contextualSpacing/>
              <w:jc w:val="both"/>
              <w:rPr>
                <w:rFonts w:ascii="Tahoma" w:hAnsi="Tahoma" w:cs="Tahoma"/>
                <w:sz w:val="20"/>
                <w:szCs w:val="20"/>
              </w:rPr>
            </w:pPr>
            <w:r w:rsidRPr="001F0EB5">
              <w:rPr>
                <w:rFonts w:ascii="Tahoma" w:hAnsi="Tahoma" w:cs="Tahoma"/>
                <w:sz w:val="20"/>
                <w:szCs w:val="20"/>
              </w:rPr>
              <w:t>не находится в ветхом и/или аварийном состоянии;</w:t>
            </w:r>
          </w:p>
          <w:p w14:paraId="6466DA7B" w14:textId="77777777" w:rsidR="00951A61" w:rsidRPr="001F0EB5" w:rsidRDefault="00951A61" w:rsidP="00951A61">
            <w:pPr>
              <w:pStyle w:val="affe"/>
              <w:numPr>
                <w:ilvl w:val="0"/>
                <w:numId w:val="105"/>
              </w:numPr>
              <w:ind w:left="0" w:firstLine="425"/>
              <w:contextualSpacing/>
              <w:jc w:val="both"/>
              <w:rPr>
                <w:rFonts w:ascii="Tahoma" w:hAnsi="Tahoma" w:cs="Tahoma"/>
                <w:sz w:val="20"/>
                <w:szCs w:val="20"/>
              </w:rPr>
            </w:pPr>
            <w:r w:rsidRPr="001F0EB5">
              <w:rPr>
                <w:rFonts w:ascii="Tahoma" w:hAnsi="Tahoma" w:cs="Tahoma"/>
                <w:sz w:val="20"/>
                <w:szCs w:val="20"/>
              </w:rPr>
              <w:t>не состоит на учете для проведения капитального ремонта с отселением;</w:t>
            </w:r>
          </w:p>
          <w:p w14:paraId="58D89CB0" w14:textId="77777777" w:rsidR="00951A61" w:rsidRPr="001F0EB5" w:rsidRDefault="00951A61" w:rsidP="00951A61">
            <w:pPr>
              <w:pStyle w:val="affe"/>
              <w:numPr>
                <w:ilvl w:val="0"/>
                <w:numId w:val="105"/>
              </w:numPr>
              <w:ind w:left="0" w:firstLine="425"/>
              <w:contextualSpacing/>
              <w:jc w:val="both"/>
              <w:rPr>
                <w:rFonts w:ascii="Tahoma" w:hAnsi="Tahoma" w:cs="Tahoma"/>
                <w:sz w:val="20"/>
                <w:szCs w:val="20"/>
              </w:rPr>
            </w:pPr>
            <w:r w:rsidRPr="001F0EB5">
              <w:rPr>
                <w:rFonts w:ascii="Tahoma" w:hAnsi="Tahoma" w:cs="Tahoma"/>
                <w:sz w:val="20"/>
                <w:szCs w:val="20"/>
              </w:rPr>
              <w:t>не состоит в планах органов местного самоуправления и (или) государственных органов на снос;</w:t>
            </w:r>
          </w:p>
          <w:p w14:paraId="08FFFD62" w14:textId="77777777" w:rsidR="00951A61" w:rsidRPr="001F0EB5" w:rsidRDefault="00951A61" w:rsidP="00951A61">
            <w:pPr>
              <w:pStyle w:val="affe"/>
              <w:numPr>
                <w:ilvl w:val="0"/>
                <w:numId w:val="105"/>
              </w:numPr>
              <w:ind w:left="0" w:firstLine="425"/>
              <w:contextualSpacing/>
              <w:jc w:val="both"/>
              <w:rPr>
                <w:rFonts w:ascii="Tahoma" w:hAnsi="Tahoma" w:cs="Tahoma"/>
                <w:sz w:val="20"/>
                <w:szCs w:val="20"/>
              </w:rPr>
            </w:pPr>
            <w:r w:rsidRPr="001F0EB5">
              <w:rPr>
                <w:rFonts w:ascii="Tahoma" w:hAnsi="Tahoma" w:cs="Tahoma"/>
                <w:sz w:val="20"/>
                <w:szCs w:val="20"/>
              </w:rPr>
              <w:t>имеет железобетонный, каменный или кирпичный фундамент.</w:t>
            </w:r>
          </w:p>
          <w:p w14:paraId="5FA84C3A" w14:textId="77777777" w:rsidR="00951A61" w:rsidRPr="001F0EB5" w:rsidRDefault="00951A61" w:rsidP="00951A61">
            <w:pPr>
              <w:pStyle w:val="affe"/>
              <w:numPr>
                <w:ilvl w:val="0"/>
                <w:numId w:val="105"/>
              </w:numPr>
              <w:ind w:left="0" w:firstLine="425"/>
              <w:contextualSpacing/>
              <w:jc w:val="both"/>
              <w:rPr>
                <w:rFonts w:ascii="Tahoma" w:hAnsi="Tahoma" w:cs="Tahoma"/>
                <w:sz w:val="20"/>
                <w:szCs w:val="20"/>
              </w:rPr>
            </w:pPr>
            <w:r w:rsidRPr="001F0EB5">
              <w:rPr>
                <w:rFonts w:ascii="Tahoma" w:hAnsi="Tahoma" w:cs="Tahoma"/>
                <w:sz w:val="20"/>
                <w:szCs w:val="20"/>
              </w:rPr>
              <w:t>имеет износ менее 70% (включительно).</w:t>
            </w:r>
          </w:p>
          <w:p w14:paraId="56812CAE" w14:textId="77777777" w:rsidR="00951A61" w:rsidRPr="001F0EB5" w:rsidRDefault="00951A61" w:rsidP="00951A61">
            <w:pPr>
              <w:pStyle w:val="affe"/>
              <w:numPr>
                <w:ilvl w:val="0"/>
                <w:numId w:val="104"/>
              </w:numPr>
              <w:ind w:left="0" w:firstLine="425"/>
              <w:contextualSpacing/>
              <w:jc w:val="both"/>
              <w:rPr>
                <w:rFonts w:ascii="Tahoma" w:hAnsi="Tahoma" w:cs="Tahoma"/>
                <w:sz w:val="20"/>
                <w:szCs w:val="20"/>
              </w:rPr>
            </w:pPr>
            <w:r w:rsidRPr="001F0EB5">
              <w:rPr>
                <w:rFonts w:ascii="Tahoma" w:hAnsi="Tahoma" w:cs="Tahoma"/>
                <w:sz w:val="20"/>
                <w:szCs w:val="20"/>
              </w:rPr>
              <w:t>Не может предметом ипотеки выступать недвижимое имущество, расположенное в многоквартирных домах, межэтажные перекрытия которых полностью состоят из деревянных конструкций. Данная информация указывается в отчете об оценке.</w:t>
            </w:r>
          </w:p>
          <w:p w14:paraId="349BE05C" w14:textId="77777777" w:rsidR="00951A61" w:rsidRPr="001F0EB5" w:rsidRDefault="00951A61" w:rsidP="00A4032F">
            <w:pPr>
              <w:ind w:firstLine="425"/>
              <w:jc w:val="both"/>
              <w:rPr>
                <w:rFonts w:ascii="Tahoma" w:hAnsi="Tahoma" w:cs="Tahoma"/>
                <w:sz w:val="20"/>
                <w:szCs w:val="20"/>
              </w:rPr>
            </w:pPr>
          </w:p>
          <w:p w14:paraId="5AFAF865" w14:textId="77777777" w:rsidR="00951A61" w:rsidRPr="001F0EB5" w:rsidRDefault="00951A61" w:rsidP="00A4032F">
            <w:pPr>
              <w:pStyle w:val="affe"/>
              <w:ind w:left="0" w:firstLine="425"/>
              <w:jc w:val="both"/>
              <w:rPr>
                <w:rFonts w:ascii="Tahoma" w:hAnsi="Tahoma" w:cs="Tahoma"/>
                <w:b/>
                <w:sz w:val="20"/>
                <w:szCs w:val="20"/>
                <w:u w:val="single"/>
              </w:rPr>
            </w:pPr>
            <w:r w:rsidRPr="001F0EB5">
              <w:rPr>
                <w:rFonts w:ascii="Tahoma" w:hAnsi="Tahoma" w:cs="Tahoma"/>
                <w:b/>
                <w:sz w:val="20"/>
                <w:szCs w:val="20"/>
                <w:u w:val="single"/>
              </w:rPr>
              <w:t xml:space="preserve">Отдельные требования к Предмету ипотеки: </w:t>
            </w:r>
          </w:p>
          <w:p w14:paraId="691825C3" w14:textId="77777777" w:rsidR="00951A61" w:rsidRPr="001F0EB5" w:rsidRDefault="00951A61" w:rsidP="00A4032F">
            <w:pPr>
              <w:ind w:firstLine="425"/>
              <w:jc w:val="both"/>
              <w:rPr>
                <w:rFonts w:ascii="Tahoma" w:hAnsi="Tahoma" w:cs="Tahoma"/>
                <w:b/>
                <w:sz w:val="20"/>
                <w:szCs w:val="20"/>
                <w:u w:val="single"/>
              </w:rPr>
            </w:pPr>
          </w:p>
          <w:p w14:paraId="5E6D9955" w14:textId="77777777" w:rsidR="00951A61" w:rsidRPr="001F0EB5" w:rsidRDefault="00951A61" w:rsidP="00A4032F">
            <w:pPr>
              <w:ind w:firstLine="425"/>
              <w:jc w:val="both"/>
              <w:rPr>
                <w:rFonts w:ascii="Tahoma" w:hAnsi="Tahoma" w:cs="Tahoma"/>
                <w:sz w:val="20"/>
                <w:szCs w:val="20"/>
              </w:rPr>
            </w:pPr>
            <w:r w:rsidRPr="001F0EB5">
              <w:rPr>
                <w:rFonts w:ascii="Tahoma" w:hAnsi="Tahoma" w:cs="Tahoma"/>
                <w:b/>
                <w:sz w:val="20"/>
                <w:szCs w:val="20"/>
                <w:u w:val="single"/>
              </w:rPr>
              <w:t>Квартира</w:t>
            </w:r>
            <w:r w:rsidRPr="001F0EB5">
              <w:rPr>
                <w:rFonts w:ascii="Tahoma" w:hAnsi="Tahoma" w:cs="Tahoma"/>
                <w:sz w:val="20"/>
                <w:szCs w:val="20"/>
              </w:rPr>
              <w:t xml:space="preserve"> должна быть:</w:t>
            </w:r>
          </w:p>
          <w:p w14:paraId="2DA03682" w14:textId="77777777" w:rsidR="00951A61" w:rsidRPr="001F0EB5" w:rsidRDefault="00951A61" w:rsidP="00951A61">
            <w:pPr>
              <w:pStyle w:val="affe"/>
              <w:numPr>
                <w:ilvl w:val="0"/>
                <w:numId w:val="29"/>
              </w:numPr>
              <w:ind w:left="0" w:firstLine="425"/>
              <w:contextualSpacing/>
              <w:jc w:val="both"/>
              <w:rPr>
                <w:rFonts w:ascii="Tahoma" w:hAnsi="Tahoma" w:cs="Tahoma"/>
                <w:sz w:val="20"/>
                <w:szCs w:val="20"/>
              </w:rPr>
            </w:pPr>
            <w:r w:rsidRPr="001F0EB5">
              <w:rPr>
                <w:rFonts w:ascii="Tahoma" w:hAnsi="Tahoma" w:cs="Tahoma"/>
                <w:sz w:val="20"/>
                <w:szCs w:val="20"/>
              </w:rPr>
              <w:t>пригодна для постоянного проживания граждан, отвечать санитарно-техническим нормам по обеспечению здоровья и безопасности жильцов.</w:t>
            </w:r>
          </w:p>
          <w:p w14:paraId="7657F0E4" w14:textId="77777777" w:rsidR="00951A61" w:rsidRPr="001F0EB5" w:rsidRDefault="00951A61" w:rsidP="00951A61">
            <w:pPr>
              <w:pStyle w:val="affe"/>
              <w:numPr>
                <w:ilvl w:val="0"/>
                <w:numId w:val="29"/>
              </w:numPr>
              <w:ind w:left="0" w:firstLine="425"/>
              <w:contextualSpacing/>
              <w:jc w:val="both"/>
              <w:rPr>
                <w:rFonts w:ascii="Tahoma" w:hAnsi="Tahoma" w:cs="Tahoma"/>
                <w:sz w:val="20"/>
                <w:szCs w:val="20"/>
              </w:rPr>
            </w:pPr>
            <w:r w:rsidRPr="001F0EB5">
              <w:rPr>
                <w:rFonts w:ascii="Tahoma" w:hAnsi="Tahoma" w:cs="Tahoma"/>
                <w:sz w:val="20"/>
                <w:szCs w:val="20"/>
              </w:rPr>
              <w:t>расположена в многоквартирном доме.</w:t>
            </w:r>
          </w:p>
          <w:p w14:paraId="26C1489A" w14:textId="77777777" w:rsidR="00951A61" w:rsidRPr="001F0EB5" w:rsidRDefault="00951A61" w:rsidP="00951A61">
            <w:pPr>
              <w:pStyle w:val="affe"/>
              <w:numPr>
                <w:ilvl w:val="0"/>
                <w:numId w:val="29"/>
              </w:numPr>
              <w:ind w:left="0" w:firstLine="425"/>
              <w:contextualSpacing/>
              <w:jc w:val="both"/>
              <w:rPr>
                <w:rFonts w:ascii="Tahoma" w:hAnsi="Tahoma" w:cs="Tahoma"/>
                <w:sz w:val="20"/>
                <w:szCs w:val="20"/>
              </w:rPr>
            </w:pPr>
            <w:r w:rsidRPr="001F0EB5">
              <w:rPr>
                <w:rFonts w:ascii="Tahoma" w:hAnsi="Tahoma" w:cs="Tahoma"/>
                <w:sz w:val="20"/>
                <w:szCs w:val="20"/>
              </w:rPr>
              <w:t>не может быть расположена на цокольном или подвальном этаже здания.</w:t>
            </w:r>
          </w:p>
          <w:p w14:paraId="600AF377" w14:textId="77777777" w:rsidR="00951A61" w:rsidRPr="001F0EB5" w:rsidRDefault="00951A61" w:rsidP="00A4032F">
            <w:pPr>
              <w:ind w:firstLine="425"/>
              <w:jc w:val="both"/>
              <w:rPr>
                <w:rFonts w:ascii="Tahoma" w:hAnsi="Tahoma" w:cs="Tahoma"/>
                <w:b/>
                <w:sz w:val="20"/>
                <w:szCs w:val="20"/>
                <w:u w:val="single"/>
              </w:rPr>
            </w:pPr>
          </w:p>
          <w:p w14:paraId="1F2B0CED" w14:textId="77777777" w:rsidR="00951A61" w:rsidRPr="001F0EB5" w:rsidRDefault="00951A61" w:rsidP="00A4032F">
            <w:pPr>
              <w:ind w:firstLine="425"/>
              <w:jc w:val="both"/>
              <w:rPr>
                <w:rFonts w:ascii="Tahoma" w:hAnsi="Tahoma" w:cs="Tahoma"/>
                <w:sz w:val="20"/>
                <w:szCs w:val="20"/>
              </w:rPr>
            </w:pPr>
            <w:r w:rsidRPr="001F0EB5">
              <w:rPr>
                <w:rFonts w:ascii="Tahoma" w:hAnsi="Tahoma" w:cs="Tahoma"/>
                <w:b/>
                <w:sz w:val="20"/>
                <w:szCs w:val="20"/>
                <w:u w:val="single"/>
              </w:rPr>
              <w:t>Таунхаус должен быть:</w:t>
            </w:r>
          </w:p>
          <w:p w14:paraId="519B9AC4" w14:textId="77777777" w:rsidR="00951A61" w:rsidRPr="001F0EB5" w:rsidRDefault="00951A61" w:rsidP="00951A61">
            <w:pPr>
              <w:pStyle w:val="affe"/>
              <w:numPr>
                <w:ilvl w:val="0"/>
                <w:numId w:val="31"/>
              </w:numPr>
              <w:ind w:left="0" w:firstLine="425"/>
              <w:contextualSpacing/>
              <w:jc w:val="both"/>
              <w:rPr>
                <w:rFonts w:ascii="Tahoma" w:hAnsi="Tahoma" w:cs="Tahoma"/>
                <w:sz w:val="20"/>
                <w:szCs w:val="20"/>
              </w:rPr>
            </w:pPr>
            <w:r w:rsidRPr="001F0EB5">
              <w:rPr>
                <w:rFonts w:ascii="Tahoma" w:hAnsi="Tahoma" w:cs="Tahoma"/>
                <w:sz w:val="20"/>
                <w:szCs w:val="20"/>
              </w:rPr>
              <w:t>предназначен для проживания одной семьи.</w:t>
            </w:r>
          </w:p>
          <w:p w14:paraId="598D33A8" w14:textId="77777777" w:rsidR="00951A61" w:rsidRPr="001F0EB5" w:rsidRDefault="00951A61" w:rsidP="00951A61">
            <w:pPr>
              <w:pStyle w:val="affe"/>
              <w:numPr>
                <w:ilvl w:val="0"/>
                <w:numId w:val="31"/>
              </w:numPr>
              <w:ind w:left="0" w:firstLine="425"/>
              <w:contextualSpacing/>
              <w:jc w:val="both"/>
              <w:rPr>
                <w:rFonts w:ascii="Tahoma" w:hAnsi="Tahoma" w:cs="Tahoma"/>
                <w:sz w:val="20"/>
                <w:szCs w:val="20"/>
              </w:rPr>
            </w:pPr>
            <w:r w:rsidRPr="001F0EB5">
              <w:rPr>
                <w:rFonts w:ascii="Tahoma" w:hAnsi="Tahoma" w:cs="Tahoma"/>
                <w:sz w:val="20"/>
                <w:szCs w:val="20"/>
              </w:rPr>
              <w:t>представляет собой отдельную многоуровневую квартиру в многоквартирном доме блокированной застройки.</w:t>
            </w:r>
          </w:p>
          <w:p w14:paraId="1903A7CC" w14:textId="77777777" w:rsidR="00951A61" w:rsidRPr="001F0EB5" w:rsidRDefault="00951A61" w:rsidP="00951A61">
            <w:pPr>
              <w:pStyle w:val="affe"/>
              <w:numPr>
                <w:ilvl w:val="0"/>
                <w:numId w:val="31"/>
              </w:numPr>
              <w:ind w:left="0" w:firstLine="425"/>
              <w:contextualSpacing/>
              <w:jc w:val="both"/>
              <w:rPr>
                <w:rFonts w:ascii="Tahoma" w:hAnsi="Tahoma" w:cs="Tahoma"/>
                <w:sz w:val="20"/>
                <w:szCs w:val="20"/>
              </w:rPr>
            </w:pPr>
            <w:r w:rsidRPr="001F0EB5">
              <w:rPr>
                <w:rFonts w:ascii="Tahoma" w:hAnsi="Tahoma" w:cs="Tahoma"/>
                <w:sz w:val="20"/>
                <w:szCs w:val="20"/>
              </w:rPr>
              <w:t xml:space="preserve">подключен к общим коммуникациям (электроснабжение, водоснабжение, канализация) комплекса данных домов. </w:t>
            </w:r>
          </w:p>
          <w:p w14:paraId="3C4908F0" w14:textId="77777777" w:rsidR="00951A61" w:rsidRPr="001F0EB5" w:rsidRDefault="00951A61" w:rsidP="00951A61">
            <w:pPr>
              <w:pStyle w:val="affe"/>
              <w:numPr>
                <w:ilvl w:val="0"/>
                <w:numId w:val="31"/>
              </w:numPr>
              <w:ind w:left="0" w:firstLine="425"/>
              <w:contextualSpacing/>
              <w:jc w:val="both"/>
              <w:rPr>
                <w:rFonts w:ascii="Tahoma" w:hAnsi="Tahoma" w:cs="Tahoma"/>
                <w:sz w:val="20"/>
                <w:szCs w:val="20"/>
              </w:rPr>
            </w:pPr>
            <w:r w:rsidRPr="001F0EB5">
              <w:rPr>
                <w:rFonts w:ascii="Tahoma" w:hAnsi="Tahoma" w:cs="Tahoma"/>
                <w:sz w:val="20"/>
                <w:szCs w:val="20"/>
              </w:rPr>
              <w:t>согласно правоустанавливающим документам может быть определен в том числе как «квартира».</w:t>
            </w:r>
          </w:p>
          <w:p w14:paraId="58E8B222" w14:textId="77777777" w:rsidR="00951A61" w:rsidRPr="001F0EB5" w:rsidRDefault="00951A61" w:rsidP="00951A61">
            <w:pPr>
              <w:pStyle w:val="affe"/>
              <w:numPr>
                <w:ilvl w:val="0"/>
                <w:numId w:val="31"/>
              </w:numPr>
              <w:ind w:left="0" w:firstLine="425"/>
              <w:contextualSpacing/>
              <w:jc w:val="both"/>
              <w:rPr>
                <w:rFonts w:ascii="Tahoma" w:hAnsi="Tahoma" w:cs="Tahoma"/>
                <w:sz w:val="20"/>
                <w:szCs w:val="20"/>
              </w:rPr>
            </w:pPr>
            <w:r w:rsidRPr="001F0EB5">
              <w:rPr>
                <w:rFonts w:ascii="Tahoma" w:hAnsi="Tahoma" w:cs="Tahoma"/>
                <w:sz w:val="20"/>
                <w:szCs w:val="20"/>
              </w:rPr>
              <w:t>год постройки/ввода в эксплуатацию – не ранее 1995.</w:t>
            </w:r>
          </w:p>
          <w:p w14:paraId="72069F1C" w14:textId="77777777" w:rsidR="00951A61" w:rsidRPr="001F0EB5" w:rsidRDefault="00951A61" w:rsidP="00951A61">
            <w:pPr>
              <w:pStyle w:val="affe"/>
              <w:numPr>
                <w:ilvl w:val="0"/>
                <w:numId w:val="31"/>
              </w:numPr>
              <w:ind w:left="0" w:firstLine="425"/>
              <w:contextualSpacing/>
              <w:jc w:val="both"/>
              <w:rPr>
                <w:rFonts w:ascii="Tahoma" w:hAnsi="Tahoma" w:cs="Tahoma"/>
                <w:sz w:val="20"/>
                <w:szCs w:val="20"/>
              </w:rPr>
            </w:pPr>
            <w:r w:rsidRPr="001F0EB5">
              <w:rPr>
                <w:rFonts w:ascii="Tahoma" w:hAnsi="Tahoma" w:cs="Tahoma"/>
                <w:sz w:val="20"/>
                <w:szCs w:val="20"/>
              </w:rPr>
              <w:t>материал стен – кирпич/бетон (в т.ч. материал на основе бетона: газоблок, пеноблок, твинблок и т.п.).</w:t>
            </w:r>
          </w:p>
          <w:p w14:paraId="0312F06F" w14:textId="77777777" w:rsidR="00951A61" w:rsidRPr="001F0EB5" w:rsidRDefault="00951A61" w:rsidP="00951A61">
            <w:pPr>
              <w:pStyle w:val="affe"/>
              <w:numPr>
                <w:ilvl w:val="0"/>
                <w:numId w:val="31"/>
              </w:numPr>
              <w:ind w:left="0" w:firstLine="425"/>
              <w:contextualSpacing/>
              <w:jc w:val="both"/>
              <w:rPr>
                <w:rFonts w:ascii="Tahoma" w:hAnsi="Tahoma" w:cs="Tahoma"/>
                <w:sz w:val="20"/>
                <w:szCs w:val="20"/>
              </w:rPr>
            </w:pPr>
            <w:r w:rsidRPr="001F0EB5">
              <w:rPr>
                <w:rFonts w:ascii="Tahoma" w:hAnsi="Tahoma" w:cs="Tahoma"/>
                <w:sz w:val="20"/>
                <w:szCs w:val="20"/>
              </w:rPr>
              <w:lastRenderedPageBreak/>
              <w:t>в общей собственности владельцев квартир должно находиться иное общее имущество многоквартирного дома;</w:t>
            </w:r>
          </w:p>
          <w:p w14:paraId="089E7E29" w14:textId="77777777" w:rsidR="00951A61" w:rsidRPr="001F0EB5" w:rsidRDefault="00951A61" w:rsidP="00951A61">
            <w:pPr>
              <w:pStyle w:val="affe"/>
              <w:numPr>
                <w:ilvl w:val="0"/>
                <w:numId w:val="31"/>
              </w:numPr>
              <w:ind w:left="0" w:firstLine="425"/>
              <w:contextualSpacing/>
              <w:jc w:val="both"/>
              <w:rPr>
                <w:rFonts w:ascii="Tahoma" w:hAnsi="Tahoma" w:cs="Tahoma"/>
                <w:sz w:val="20"/>
                <w:szCs w:val="20"/>
              </w:rPr>
            </w:pPr>
            <w:r w:rsidRPr="001F0EB5">
              <w:rPr>
                <w:rFonts w:ascii="Tahoma" w:hAnsi="Tahoma" w:cs="Tahoma"/>
                <w:sz w:val="20"/>
                <w:szCs w:val="20"/>
              </w:rPr>
              <w:t>земельный участок, на котором располагается таунхаус, должен находиться в общей собственности всех собственников квартир многоквартирного дома (земельный участок не должен быть разделен/размежеван на отдельные части и оформлен в собственность). Отдельное приобретение такого земельного участка или его части невозможно.</w:t>
            </w:r>
          </w:p>
          <w:p w14:paraId="435AA857" w14:textId="77777777" w:rsidR="00951A61" w:rsidRPr="001F0EB5" w:rsidRDefault="00951A61" w:rsidP="00951A61">
            <w:pPr>
              <w:pStyle w:val="affe"/>
              <w:numPr>
                <w:ilvl w:val="0"/>
                <w:numId w:val="31"/>
              </w:numPr>
              <w:ind w:left="0" w:firstLine="425"/>
              <w:contextualSpacing/>
              <w:jc w:val="both"/>
              <w:rPr>
                <w:rFonts w:ascii="Tahoma" w:hAnsi="Tahoma" w:cs="Tahoma"/>
                <w:sz w:val="20"/>
                <w:szCs w:val="20"/>
              </w:rPr>
            </w:pPr>
            <w:r w:rsidRPr="001F0EB5">
              <w:rPr>
                <w:rFonts w:ascii="Tahoma" w:hAnsi="Tahoma" w:cs="Tahoma"/>
                <w:sz w:val="20"/>
                <w:szCs w:val="20"/>
              </w:rPr>
              <w:t>допустимая категория земельного участка «Земли населенных пунктов».</w:t>
            </w:r>
          </w:p>
          <w:p w14:paraId="07F8D9FB" w14:textId="77777777" w:rsidR="00951A61" w:rsidRPr="001F0EB5" w:rsidRDefault="00951A61" w:rsidP="00951A61">
            <w:pPr>
              <w:pStyle w:val="affe"/>
              <w:numPr>
                <w:ilvl w:val="0"/>
                <w:numId w:val="31"/>
              </w:numPr>
              <w:ind w:left="0" w:firstLine="425"/>
              <w:contextualSpacing/>
              <w:jc w:val="both"/>
              <w:rPr>
                <w:rFonts w:ascii="Tahoma" w:hAnsi="Tahoma" w:cs="Tahoma"/>
                <w:sz w:val="20"/>
                <w:szCs w:val="20"/>
              </w:rPr>
            </w:pPr>
            <w:r w:rsidRPr="001F0EB5">
              <w:rPr>
                <w:rFonts w:ascii="Tahoma" w:hAnsi="Tahoma" w:cs="Tahoma"/>
                <w:sz w:val="20"/>
                <w:szCs w:val="20"/>
              </w:rPr>
              <w:t>допустимое разрешенное использование земельного участка:</w:t>
            </w:r>
          </w:p>
          <w:p w14:paraId="70CF2834" w14:textId="77777777" w:rsidR="00951A61" w:rsidRPr="001F0EB5" w:rsidRDefault="00951A61" w:rsidP="00951A61">
            <w:pPr>
              <w:pStyle w:val="affe"/>
              <w:numPr>
                <w:ilvl w:val="0"/>
                <w:numId w:val="33"/>
              </w:numPr>
              <w:ind w:left="0" w:firstLine="425"/>
              <w:contextualSpacing/>
              <w:jc w:val="both"/>
              <w:rPr>
                <w:rFonts w:ascii="Tahoma" w:hAnsi="Tahoma" w:cs="Tahoma"/>
                <w:sz w:val="20"/>
                <w:szCs w:val="20"/>
              </w:rPr>
            </w:pPr>
            <w:r w:rsidRPr="001F0EB5">
              <w:rPr>
                <w:rFonts w:ascii="Tahoma" w:hAnsi="Tahoma" w:cs="Tahoma"/>
                <w:sz w:val="20"/>
                <w:szCs w:val="20"/>
              </w:rPr>
              <w:t>малоэтажная многоквартирная жилая застройка;</w:t>
            </w:r>
          </w:p>
          <w:p w14:paraId="564651AB" w14:textId="77777777" w:rsidR="00951A61" w:rsidRPr="001F0EB5" w:rsidRDefault="00951A61" w:rsidP="00951A61">
            <w:pPr>
              <w:pStyle w:val="affe"/>
              <w:numPr>
                <w:ilvl w:val="0"/>
                <w:numId w:val="33"/>
              </w:numPr>
              <w:ind w:left="0" w:firstLine="425"/>
              <w:contextualSpacing/>
              <w:jc w:val="both"/>
              <w:rPr>
                <w:rFonts w:ascii="Tahoma" w:hAnsi="Tahoma" w:cs="Tahoma"/>
                <w:sz w:val="20"/>
                <w:szCs w:val="20"/>
              </w:rPr>
            </w:pPr>
            <w:r w:rsidRPr="001F0EB5">
              <w:rPr>
                <w:rFonts w:ascii="Tahoma" w:hAnsi="Tahoma" w:cs="Tahoma"/>
                <w:sz w:val="20"/>
                <w:szCs w:val="20"/>
              </w:rPr>
              <w:t>малоэтажное жилищное строительство;</w:t>
            </w:r>
          </w:p>
          <w:p w14:paraId="62B7F3D9" w14:textId="77777777" w:rsidR="00951A61" w:rsidRPr="001F0EB5" w:rsidRDefault="00951A61" w:rsidP="00951A61">
            <w:pPr>
              <w:pStyle w:val="affe"/>
              <w:numPr>
                <w:ilvl w:val="0"/>
                <w:numId w:val="33"/>
              </w:numPr>
              <w:ind w:left="0" w:firstLine="425"/>
              <w:contextualSpacing/>
              <w:jc w:val="both"/>
              <w:rPr>
                <w:rFonts w:ascii="Tahoma" w:hAnsi="Tahoma" w:cs="Tahoma"/>
                <w:sz w:val="20"/>
                <w:szCs w:val="20"/>
              </w:rPr>
            </w:pPr>
            <w:r w:rsidRPr="001F0EB5">
              <w:rPr>
                <w:rFonts w:ascii="Tahoma" w:hAnsi="Tahoma" w:cs="Tahoma"/>
                <w:sz w:val="20"/>
                <w:szCs w:val="20"/>
              </w:rPr>
              <w:t>размещение домов малоэтажной жилой застройки;</w:t>
            </w:r>
          </w:p>
          <w:p w14:paraId="4612A6CC" w14:textId="77777777" w:rsidR="00951A61" w:rsidRPr="001F0EB5" w:rsidRDefault="00951A61" w:rsidP="00951A61">
            <w:pPr>
              <w:pStyle w:val="affe"/>
              <w:numPr>
                <w:ilvl w:val="0"/>
                <w:numId w:val="33"/>
              </w:numPr>
              <w:ind w:left="0" w:firstLine="425"/>
              <w:contextualSpacing/>
              <w:jc w:val="both"/>
              <w:rPr>
                <w:rFonts w:ascii="Tahoma" w:hAnsi="Tahoma" w:cs="Tahoma"/>
                <w:sz w:val="20"/>
                <w:szCs w:val="20"/>
              </w:rPr>
            </w:pPr>
            <w:r w:rsidRPr="001F0EB5">
              <w:rPr>
                <w:rFonts w:ascii="Tahoma" w:hAnsi="Tahoma" w:cs="Tahoma"/>
                <w:sz w:val="20"/>
                <w:szCs w:val="20"/>
              </w:rPr>
              <w:t>малоэтажная жилая застройка;</w:t>
            </w:r>
          </w:p>
          <w:p w14:paraId="5495A737" w14:textId="77777777" w:rsidR="00951A61" w:rsidRPr="001F0EB5" w:rsidRDefault="00951A61" w:rsidP="00951A61">
            <w:pPr>
              <w:pStyle w:val="affe"/>
              <w:numPr>
                <w:ilvl w:val="0"/>
                <w:numId w:val="33"/>
              </w:numPr>
              <w:ind w:left="0" w:firstLine="425"/>
              <w:contextualSpacing/>
              <w:jc w:val="both"/>
              <w:rPr>
                <w:rFonts w:ascii="Tahoma" w:hAnsi="Tahoma" w:cs="Tahoma"/>
                <w:sz w:val="20"/>
                <w:szCs w:val="20"/>
              </w:rPr>
            </w:pPr>
            <w:r w:rsidRPr="001F0EB5">
              <w:rPr>
                <w:rFonts w:ascii="Tahoma" w:hAnsi="Tahoma" w:cs="Tahoma"/>
                <w:sz w:val="20"/>
                <w:szCs w:val="20"/>
              </w:rPr>
              <w:t>многоквартирные жилые дома не выше 3 этажей;</w:t>
            </w:r>
          </w:p>
          <w:p w14:paraId="0C3CD149" w14:textId="77777777" w:rsidR="00951A61" w:rsidRPr="001F0EB5" w:rsidRDefault="00951A61" w:rsidP="00951A61">
            <w:pPr>
              <w:pStyle w:val="affe"/>
              <w:numPr>
                <w:ilvl w:val="0"/>
                <w:numId w:val="33"/>
              </w:numPr>
              <w:ind w:left="0" w:firstLine="425"/>
              <w:contextualSpacing/>
              <w:jc w:val="both"/>
              <w:rPr>
                <w:rFonts w:ascii="Tahoma" w:hAnsi="Tahoma" w:cs="Tahoma"/>
                <w:sz w:val="20"/>
                <w:szCs w:val="20"/>
              </w:rPr>
            </w:pPr>
            <w:r w:rsidRPr="001F0EB5">
              <w:rPr>
                <w:rFonts w:ascii="Tahoma" w:hAnsi="Tahoma" w:cs="Tahoma"/>
                <w:sz w:val="20"/>
                <w:szCs w:val="20"/>
              </w:rPr>
              <w:t>жилая застройка;</w:t>
            </w:r>
          </w:p>
          <w:p w14:paraId="14358B01" w14:textId="77777777" w:rsidR="00951A61" w:rsidRPr="001F0EB5" w:rsidRDefault="00951A61" w:rsidP="00951A61">
            <w:pPr>
              <w:pStyle w:val="affe"/>
              <w:numPr>
                <w:ilvl w:val="0"/>
                <w:numId w:val="33"/>
              </w:numPr>
              <w:ind w:left="0" w:firstLine="425"/>
              <w:contextualSpacing/>
              <w:jc w:val="both"/>
              <w:rPr>
                <w:rFonts w:ascii="Tahoma" w:hAnsi="Tahoma" w:cs="Tahoma"/>
                <w:sz w:val="20"/>
                <w:szCs w:val="20"/>
              </w:rPr>
            </w:pPr>
            <w:r w:rsidRPr="001F0EB5">
              <w:rPr>
                <w:rFonts w:ascii="Tahoma" w:hAnsi="Tahoma" w:cs="Tahoma"/>
                <w:sz w:val="20"/>
                <w:szCs w:val="20"/>
              </w:rPr>
              <w:t>малоэтажная многоквартирная застройка;</w:t>
            </w:r>
          </w:p>
          <w:p w14:paraId="652262A7" w14:textId="77777777" w:rsidR="00951A61" w:rsidRPr="001F0EB5" w:rsidRDefault="00951A61" w:rsidP="00951A61">
            <w:pPr>
              <w:pStyle w:val="affe"/>
              <w:numPr>
                <w:ilvl w:val="0"/>
                <w:numId w:val="33"/>
              </w:numPr>
              <w:ind w:left="0" w:firstLine="425"/>
              <w:contextualSpacing/>
              <w:jc w:val="both"/>
              <w:rPr>
                <w:rFonts w:ascii="Tahoma" w:hAnsi="Tahoma" w:cs="Tahoma"/>
                <w:sz w:val="20"/>
                <w:szCs w:val="20"/>
              </w:rPr>
            </w:pPr>
            <w:r w:rsidRPr="001F0EB5">
              <w:rPr>
                <w:rFonts w:ascii="Tahoma" w:hAnsi="Tahoma" w:cs="Tahoma"/>
                <w:sz w:val="20"/>
                <w:szCs w:val="20"/>
              </w:rPr>
              <w:t>жилищное строительство;</w:t>
            </w:r>
          </w:p>
          <w:p w14:paraId="732F90D5" w14:textId="77777777" w:rsidR="00951A61" w:rsidRPr="001F0EB5" w:rsidRDefault="00951A61" w:rsidP="00951A61">
            <w:pPr>
              <w:pStyle w:val="affe"/>
              <w:numPr>
                <w:ilvl w:val="0"/>
                <w:numId w:val="33"/>
              </w:numPr>
              <w:ind w:left="0" w:firstLine="425"/>
              <w:contextualSpacing/>
              <w:jc w:val="both"/>
              <w:rPr>
                <w:rFonts w:ascii="Tahoma" w:hAnsi="Tahoma" w:cs="Tahoma"/>
                <w:sz w:val="20"/>
                <w:szCs w:val="20"/>
              </w:rPr>
            </w:pPr>
            <w:r w:rsidRPr="001F0EB5">
              <w:rPr>
                <w:rFonts w:ascii="Tahoma" w:hAnsi="Tahoma" w:cs="Tahoma"/>
                <w:sz w:val="20"/>
                <w:szCs w:val="20"/>
              </w:rPr>
              <w:t>малоэтажное строительство;</w:t>
            </w:r>
          </w:p>
          <w:p w14:paraId="02D4385D" w14:textId="77777777" w:rsidR="00951A61" w:rsidRPr="001F0EB5" w:rsidRDefault="00951A61" w:rsidP="00951A61">
            <w:pPr>
              <w:pStyle w:val="affe"/>
              <w:numPr>
                <w:ilvl w:val="0"/>
                <w:numId w:val="33"/>
              </w:numPr>
              <w:ind w:left="0" w:firstLine="425"/>
              <w:contextualSpacing/>
              <w:jc w:val="both"/>
              <w:rPr>
                <w:rFonts w:ascii="Tahoma" w:hAnsi="Tahoma" w:cs="Tahoma"/>
                <w:sz w:val="20"/>
                <w:szCs w:val="20"/>
              </w:rPr>
            </w:pPr>
            <w:r w:rsidRPr="001F0EB5">
              <w:rPr>
                <w:rFonts w:ascii="Tahoma" w:hAnsi="Tahoma" w:cs="Tahoma"/>
                <w:sz w:val="20"/>
                <w:szCs w:val="20"/>
              </w:rPr>
              <w:t>возможно иное разрешенное использование земельного участка при условии возможности строительства на нем многоквартирного жилого дома блокированной застройки.</w:t>
            </w:r>
          </w:p>
          <w:p w14:paraId="2282FA5D" w14:textId="77777777" w:rsidR="00951A61" w:rsidRPr="001F0EB5" w:rsidRDefault="00951A61" w:rsidP="00A4032F">
            <w:pPr>
              <w:ind w:firstLine="425"/>
              <w:jc w:val="both"/>
              <w:rPr>
                <w:rFonts w:ascii="Tahoma" w:hAnsi="Tahoma" w:cs="Tahoma"/>
                <w:b/>
                <w:sz w:val="20"/>
                <w:szCs w:val="20"/>
                <w:u w:val="single"/>
              </w:rPr>
            </w:pPr>
          </w:p>
          <w:p w14:paraId="15CB8C92" w14:textId="77777777" w:rsidR="00951A61" w:rsidRPr="001F0EB5" w:rsidRDefault="00951A61" w:rsidP="00A4032F">
            <w:pPr>
              <w:ind w:firstLine="425"/>
              <w:jc w:val="both"/>
              <w:rPr>
                <w:rFonts w:ascii="Tahoma" w:hAnsi="Tahoma" w:cs="Tahoma"/>
                <w:sz w:val="20"/>
                <w:szCs w:val="20"/>
              </w:rPr>
            </w:pPr>
            <w:r w:rsidRPr="001F0EB5">
              <w:rPr>
                <w:rFonts w:ascii="Tahoma" w:hAnsi="Tahoma" w:cs="Tahoma"/>
                <w:b/>
                <w:sz w:val="20"/>
                <w:szCs w:val="20"/>
                <w:u w:val="single"/>
              </w:rPr>
              <w:t>Жилой дом, в том числе жилой дом (его часть) блокированной застройки с земельным участком</w:t>
            </w:r>
            <w:r w:rsidRPr="001F0EB5">
              <w:rPr>
                <w:rFonts w:ascii="Tahoma" w:hAnsi="Tahoma" w:cs="Tahoma"/>
                <w:sz w:val="20"/>
                <w:szCs w:val="20"/>
              </w:rPr>
              <w:t>.</w:t>
            </w:r>
          </w:p>
          <w:p w14:paraId="3CDC6BCB" w14:textId="77777777" w:rsidR="00951A61" w:rsidRPr="001F0EB5" w:rsidRDefault="00951A61" w:rsidP="00A4032F">
            <w:pPr>
              <w:ind w:firstLine="425"/>
              <w:jc w:val="both"/>
              <w:rPr>
                <w:rFonts w:ascii="Tahoma" w:hAnsi="Tahoma" w:cs="Tahoma"/>
                <w:b/>
                <w:sz w:val="20"/>
                <w:szCs w:val="20"/>
                <w:u w:val="single"/>
              </w:rPr>
            </w:pPr>
            <w:r w:rsidRPr="001F0EB5">
              <w:rPr>
                <w:rFonts w:ascii="Tahoma" w:hAnsi="Tahoma" w:cs="Tahoma"/>
                <w:b/>
                <w:sz w:val="20"/>
                <w:szCs w:val="20"/>
                <w:u w:val="single"/>
              </w:rPr>
              <w:t>Требования, предъявляемые к жилому дому:</w:t>
            </w:r>
          </w:p>
          <w:p w14:paraId="6F2031C5" w14:textId="77777777" w:rsidR="00951A61" w:rsidRPr="001F0EB5" w:rsidRDefault="00951A61" w:rsidP="00951A61">
            <w:pPr>
              <w:pStyle w:val="affe"/>
              <w:numPr>
                <w:ilvl w:val="0"/>
                <w:numId w:val="36"/>
              </w:numPr>
              <w:ind w:left="0" w:firstLine="425"/>
              <w:contextualSpacing/>
              <w:jc w:val="both"/>
              <w:rPr>
                <w:rFonts w:ascii="Tahoma" w:hAnsi="Tahoma" w:cs="Tahoma"/>
                <w:sz w:val="20"/>
                <w:szCs w:val="20"/>
              </w:rPr>
            </w:pPr>
            <w:r w:rsidRPr="001F0EB5">
              <w:rPr>
                <w:rFonts w:ascii="Tahoma" w:hAnsi="Tahoma" w:cs="Tahoma"/>
                <w:sz w:val="20"/>
                <w:szCs w:val="20"/>
              </w:rPr>
              <w:t>жилой дом находится в собственности Продавца (при этом право собственности должно быть зарегистрировано как на объект недвижимости, завершенный строительством);</w:t>
            </w:r>
          </w:p>
          <w:p w14:paraId="41224967" w14:textId="77777777" w:rsidR="00951A61" w:rsidRPr="001F0EB5" w:rsidRDefault="00951A61" w:rsidP="00951A61">
            <w:pPr>
              <w:pStyle w:val="affe"/>
              <w:numPr>
                <w:ilvl w:val="0"/>
                <w:numId w:val="36"/>
              </w:numPr>
              <w:ind w:left="0" w:firstLine="425"/>
              <w:contextualSpacing/>
              <w:jc w:val="both"/>
              <w:rPr>
                <w:rFonts w:ascii="Tahoma" w:hAnsi="Tahoma" w:cs="Tahoma"/>
                <w:sz w:val="20"/>
                <w:szCs w:val="20"/>
              </w:rPr>
            </w:pPr>
            <w:r w:rsidRPr="001F0EB5">
              <w:rPr>
                <w:rFonts w:ascii="Tahoma" w:hAnsi="Tahoma" w:cs="Tahoma"/>
                <w:sz w:val="20"/>
                <w:szCs w:val="20"/>
              </w:rPr>
              <w:t>площадь жилого дома не менее 60 кв. м.</w:t>
            </w:r>
          </w:p>
          <w:p w14:paraId="5B66D18D" w14:textId="77777777" w:rsidR="00951A61" w:rsidRPr="001F0EB5" w:rsidRDefault="00951A61" w:rsidP="00951A61">
            <w:pPr>
              <w:pStyle w:val="affe"/>
              <w:numPr>
                <w:ilvl w:val="0"/>
                <w:numId w:val="36"/>
              </w:numPr>
              <w:ind w:left="0" w:firstLine="425"/>
              <w:contextualSpacing/>
              <w:jc w:val="both"/>
              <w:rPr>
                <w:rFonts w:ascii="Tahoma" w:hAnsi="Tahoma" w:cs="Tahoma"/>
                <w:sz w:val="20"/>
                <w:szCs w:val="20"/>
              </w:rPr>
            </w:pPr>
            <w:r w:rsidRPr="001F0EB5">
              <w:rPr>
                <w:rFonts w:ascii="Tahoma" w:hAnsi="Tahoma" w:cs="Tahoma"/>
                <w:sz w:val="20"/>
                <w:szCs w:val="20"/>
              </w:rPr>
              <w:t>пригоден для круглогодичного проживания, доступ возможен в любое время года;</w:t>
            </w:r>
          </w:p>
          <w:p w14:paraId="128205F6" w14:textId="77777777" w:rsidR="00951A61" w:rsidRPr="001F0EB5" w:rsidRDefault="00951A61" w:rsidP="00951A61">
            <w:pPr>
              <w:pStyle w:val="affe"/>
              <w:numPr>
                <w:ilvl w:val="0"/>
                <w:numId w:val="36"/>
              </w:numPr>
              <w:ind w:left="0" w:firstLine="425"/>
              <w:contextualSpacing/>
              <w:jc w:val="both"/>
              <w:rPr>
                <w:rFonts w:ascii="Tahoma" w:hAnsi="Tahoma" w:cs="Tahoma"/>
                <w:sz w:val="20"/>
                <w:szCs w:val="20"/>
              </w:rPr>
            </w:pPr>
            <w:r w:rsidRPr="001F0EB5">
              <w:rPr>
                <w:rFonts w:ascii="Tahoma" w:hAnsi="Tahoma" w:cs="Tahoma"/>
                <w:sz w:val="20"/>
                <w:szCs w:val="20"/>
              </w:rPr>
              <w:t>фундамент - каменный (бутовый, бутобетонный или кирпичный), железный или железобетонный;</w:t>
            </w:r>
          </w:p>
          <w:p w14:paraId="212B6BE3" w14:textId="77777777" w:rsidR="00951A61" w:rsidRPr="001F0EB5" w:rsidRDefault="00951A61" w:rsidP="00951A61">
            <w:pPr>
              <w:pStyle w:val="affe"/>
              <w:numPr>
                <w:ilvl w:val="0"/>
                <w:numId w:val="36"/>
              </w:numPr>
              <w:ind w:left="0" w:firstLine="425"/>
              <w:contextualSpacing/>
              <w:jc w:val="both"/>
              <w:rPr>
                <w:rFonts w:ascii="Tahoma" w:hAnsi="Tahoma" w:cs="Tahoma"/>
                <w:sz w:val="20"/>
                <w:szCs w:val="20"/>
              </w:rPr>
            </w:pPr>
            <w:r w:rsidRPr="001F0EB5">
              <w:rPr>
                <w:rFonts w:ascii="Tahoma" w:hAnsi="Tahoma" w:cs="Tahoma"/>
                <w:sz w:val="20"/>
                <w:szCs w:val="20"/>
              </w:rPr>
              <w:t>материал стен – кирпич/ бетон (в т. ч. материал на основе бетона: газоблок, пеноблок, твинблок и т. п.), брус/ клееный брус или аналогичные материалы;</w:t>
            </w:r>
          </w:p>
          <w:p w14:paraId="19D69BD0" w14:textId="77777777" w:rsidR="00951A61" w:rsidRPr="001F0EB5" w:rsidRDefault="00951A61" w:rsidP="00951A61">
            <w:pPr>
              <w:pStyle w:val="affe"/>
              <w:numPr>
                <w:ilvl w:val="0"/>
                <w:numId w:val="36"/>
              </w:numPr>
              <w:ind w:left="0" w:firstLine="425"/>
              <w:contextualSpacing/>
              <w:jc w:val="both"/>
              <w:rPr>
                <w:rFonts w:ascii="Tahoma" w:hAnsi="Tahoma" w:cs="Tahoma"/>
                <w:sz w:val="20"/>
                <w:szCs w:val="20"/>
              </w:rPr>
            </w:pPr>
            <w:r w:rsidRPr="001F0EB5">
              <w:rPr>
                <w:rFonts w:ascii="Tahoma" w:hAnsi="Tahoma" w:cs="Tahoma"/>
                <w:sz w:val="20"/>
                <w:szCs w:val="20"/>
              </w:rPr>
              <w:t>год постройки – не более 20 лет до даты проведения оценки;</w:t>
            </w:r>
          </w:p>
          <w:p w14:paraId="592444D1" w14:textId="77777777" w:rsidR="00951A61" w:rsidRPr="001F0EB5" w:rsidRDefault="00951A61" w:rsidP="00951A61">
            <w:pPr>
              <w:pStyle w:val="affe"/>
              <w:numPr>
                <w:ilvl w:val="0"/>
                <w:numId w:val="36"/>
              </w:numPr>
              <w:ind w:left="0" w:firstLine="425"/>
              <w:contextualSpacing/>
              <w:jc w:val="both"/>
              <w:rPr>
                <w:rFonts w:ascii="Tahoma" w:hAnsi="Tahoma" w:cs="Tahoma"/>
                <w:sz w:val="20"/>
                <w:szCs w:val="20"/>
              </w:rPr>
            </w:pPr>
            <w:r w:rsidRPr="001F0EB5">
              <w:rPr>
                <w:rFonts w:ascii="Tahoma" w:hAnsi="Tahoma" w:cs="Tahoma"/>
                <w:sz w:val="20"/>
                <w:szCs w:val="20"/>
              </w:rPr>
              <w:t>наличие остекления оконных проемов, установленных входных дверей;</w:t>
            </w:r>
          </w:p>
          <w:p w14:paraId="5F70DFFD" w14:textId="77777777" w:rsidR="00951A61" w:rsidRPr="001F0EB5" w:rsidRDefault="00951A61" w:rsidP="00951A61">
            <w:pPr>
              <w:pStyle w:val="affe"/>
              <w:numPr>
                <w:ilvl w:val="0"/>
                <w:numId w:val="36"/>
              </w:numPr>
              <w:ind w:left="0" w:firstLine="425"/>
              <w:contextualSpacing/>
              <w:jc w:val="both"/>
              <w:rPr>
                <w:rFonts w:ascii="Tahoma" w:hAnsi="Tahoma" w:cs="Tahoma"/>
                <w:sz w:val="20"/>
                <w:szCs w:val="20"/>
              </w:rPr>
            </w:pPr>
            <w:r w:rsidRPr="001F0EB5">
              <w:rPr>
                <w:rFonts w:ascii="Tahoma" w:hAnsi="Tahoma" w:cs="Tahoma"/>
                <w:sz w:val="20"/>
                <w:szCs w:val="20"/>
              </w:rPr>
              <w:t>оборудование следующими инженерными коммуникациями:</w:t>
            </w:r>
          </w:p>
          <w:p w14:paraId="084DD37E" w14:textId="77777777" w:rsidR="00951A61" w:rsidRPr="001F0EB5" w:rsidRDefault="00951A61" w:rsidP="00951A61">
            <w:pPr>
              <w:pStyle w:val="affe"/>
              <w:numPr>
                <w:ilvl w:val="0"/>
                <w:numId w:val="42"/>
              </w:numPr>
              <w:ind w:left="0" w:firstLine="425"/>
              <w:contextualSpacing/>
              <w:jc w:val="both"/>
              <w:rPr>
                <w:rFonts w:ascii="Tahoma" w:hAnsi="Tahoma" w:cs="Tahoma"/>
                <w:sz w:val="20"/>
                <w:szCs w:val="20"/>
              </w:rPr>
            </w:pPr>
            <w:r w:rsidRPr="001F0EB5">
              <w:rPr>
                <w:rFonts w:ascii="Tahoma" w:hAnsi="Tahoma" w:cs="Tahoma"/>
                <w:sz w:val="20"/>
                <w:szCs w:val="20"/>
              </w:rPr>
              <w:t>подключение к электросети, осуществлена разводка электропроводки, установлены счетчики учета электроэнергии;</w:t>
            </w:r>
          </w:p>
          <w:p w14:paraId="2CB72F70" w14:textId="77777777" w:rsidR="00951A61" w:rsidRPr="001F0EB5" w:rsidRDefault="00951A61" w:rsidP="00951A61">
            <w:pPr>
              <w:pStyle w:val="affe"/>
              <w:numPr>
                <w:ilvl w:val="0"/>
                <w:numId w:val="42"/>
              </w:numPr>
              <w:ind w:left="0" w:firstLine="425"/>
              <w:contextualSpacing/>
              <w:jc w:val="both"/>
              <w:rPr>
                <w:rFonts w:ascii="Tahoma" w:hAnsi="Tahoma" w:cs="Tahoma"/>
                <w:sz w:val="20"/>
                <w:szCs w:val="20"/>
              </w:rPr>
            </w:pPr>
            <w:r w:rsidRPr="001F0EB5">
              <w:rPr>
                <w:rFonts w:ascii="Tahoma" w:hAnsi="Tahoma" w:cs="Tahoma"/>
                <w:sz w:val="20"/>
                <w:szCs w:val="20"/>
              </w:rPr>
              <w:t>подключение к центральному отоплению или оборудование автономной системой отопления, осуществлена разводка труб для теплоносителя и установлены радиаторы отопления;</w:t>
            </w:r>
          </w:p>
          <w:p w14:paraId="0AA3AB0A" w14:textId="77777777" w:rsidR="00951A61" w:rsidRPr="001F0EB5" w:rsidRDefault="00951A61" w:rsidP="00951A61">
            <w:pPr>
              <w:pStyle w:val="affe"/>
              <w:numPr>
                <w:ilvl w:val="0"/>
                <w:numId w:val="42"/>
              </w:numPr>
              <w:ind w:left="0" w:firstLine="425"/>
              <w:contextualSpacing/>
              <w:jc w:val="both"/>
              <w:rPr>
                <w:rFonts w:ascii="Tahoma" w:hAnsi="Tahoma" w:cs="Tahoma"/>
                <w:sz w:val="20"/>
                <w:szCs w:val="20"/>
              </w:rPr>
            </w:pPr>
            <w:r w:rsidRPr="001F0EB5">
              <w:rPr>
                <w:rFonts w:ascii="Tahoma" w:hAnsi="Tahoma" w:cs="Tahoma"/>
                <w:sz w:val="20"/>
                <w:szCs w:val="20"/>
              </w:rPr>
              <w:t>подключение к всесезонному водопроводу или к скважине, осуществлена разводка труб водоснабжения;</w:t>
            </w:r>
          </w:p>
          <w:p w14:paraId="43E55FD2" w14:textId="77777777" w:rsidR="00951A61" w:rsidRPr="001F0EB5" w:rsidRDefault="00951A61" w:rsidP="00951A61">
            <w:pPr>
              <w:pStyle w:val="affe"/>
              <w:numPr>
                <w:ilvl w:val="0"/>
                <w:numId w:val="42"/>
              </w:numPr>
              <w:ind w:left="0" w:firstLine="425"/>
              <w:contextualSpacing/>
              <w:jc w:val="both"/>
              <w:rPr>
                <w:rFonts w:ascii="Tahoma" w:hAnsi="Tahoma" w:cs="Tahoma"/>
                <w:sz w:val="20"/>
                <w:szCs w:val="20"/>
              </w:rPr>
            </w:pPr>
            <w:r w:rsidRPr="001F0EB5">
              <w:rPr>
                <w:rFonts w:ascii="Tahoma" w:hAnsi="Tahoma" w:cs="Tahoma"/>
                <w:sz w:val="20"/>
                <w:szCs w:val="20"/>
              </w:rPr>
              <w:t>подключение к канализационной сети или локальному очистному сооружению, осуществлена разводка канализационных труб.</w:t>
            </w:r>
          </w:p>
          <w:p w14:paraId="5199D62D" w14:textId="77777777" w:rsidR="00951A61" w:rsidRPr="001F0EB5" w:rsidRDefault="00951A61" w:rsidP="00A4032F">
            <w:pPr>
              <w:ind w:firstLine="425"/>
              <w:jc w:val="both"/>
              <w:rPr>
                <w:rFonts w:ascii="Tahoma" w:hAnsi="Tahoma" w:cs="Tahoma"/>
                <w:sz w:val="20"/>
                <w:szCs w:val="20"/>
                <w:u w:val="single"/>
              </w:rPr>
            </w:pPr>
          </w:p>
          <w:p w14:paraId="15BA62DA" w14:textId="77777777" w:rsidR="00951A61" w:rsidRPr="001F0EB5" w:rsidRDefault="00951A61" w:rsidP="00A4032F">
            <w:pPr>
              <w:ind w:firstLine="425"/>
              <w:jc w:val="both"/>
              <w:rPr>
                <w:rFonts w:ascii="Tahoma" w:hAnsi="Tahoma" w:cs="Tahoma"/>
                <w:b/>
                <w:sz w:val="20"/>
                <w:szCs w:val="20"/>
                <w:u w:val="single"/>
              </w:rPr>
            </w:pPr>
            <w:r w:rsidRPr="001F0EB5">
              <w:rPr>
                <w:rFonts w:ascii="Tahoma" w:hAnsi="Tahoma" w:cs="Tahoma"/>
                <w:b/>
                <w:sz w:val="20"/>
                <w:szCs w:val="20"/>
                <w:u w:val="single"/>
              </w:rPr>
              <w:t>Дополнительные требования к жилому дому блокированной застройки:</w:t>
            </w:r>
          </w:p>
          <w:p w14:paraId="2A6F0B41" w14:textId="77777777" w:rsidR="00951A61" w:rsidRPr="001F0EB5" w:rsidRDefault="00951A61" w:rsidP="00951A61">
            <w:pPr>
              <w:pStyle w:val="affe"/>
              <w:numPr>
                <w:ilvl w:val="0"/>
                <w:numId w:val="34"/>
              </w:numPr>
              <w:autoSpaceDE w:val="0"/>
              <w:autoSpaceDN w:val="0"/>
              <w:adjustRightInd w:val="0"/>
              <w:ind w:left="0" w:firstLine="425"/>
              <w:contextualSpacing/>
              <w:jc w:val="both"/>
              <w:rPr>
                <w:rFonts w:ascii="Tahoma" w:hAnsi="Tahoma" w:cs="Tahoma"/>
                <w:sz w:val="20"/>
                <w:szCs w:val="20"/>
              </w:rPr>
            </w:pPr>
            <w:r w:rsidRPr="001F0EB5">
              <w:rPr>
                <w:rFonts w:ascii="Tahoma" w:hAnsi="Tahoma" w:cs="Tahoma"/>
                <w:sz w:val="20"/>
                <w:szCs w:val="20"/>
              </w:rPr>
              <w:t xml:space="preserve">количество этажей не более 3 (трех); </w:t>
            </w:r>
          </w:p>
          <w:p w14:paraId="010F9016" w14:textId="77777777" w:rsidR="00951A61" w:rsidRPr="001F0EB5" w:rsidRDefault="00951A61" w:rsidP="00951A61">
            <w:pPr>
              <w:pStyle w:val="affe"/>
              <w:numPr>
                <w:ilvl w:val="0"/>
                <w:numId w:val="34"/>
              </w:numPr>
              <w:autoSpaceDE w:val="0"/>
              <w:autoSpaceDN w:val="0"/>
              <w:adjustRightInd w:val="0"/>
              <w:ind w:left="0" w:firstLine="425"/>
              <w:contextualSpacing/>
              <w:jc w:val="both"/>
              <w:rPr>
                <w:rFonts w:ascii="Tahoma" w:hAnsi="Tahoma" w:cs="Tahoma"/>
                <w:sz w:val="20"/>
                <w:szCs w:val="20"/>
              </w:rPr>
            </w:pPr>
            <w:r w:rsidRPr="001F0EB5">
              <w:rPr>
                <w:rFonts w:ascii="Tahoma" w:hAnsi="Tahoma" w:cs="Tahoma"/>
                <w:sz w:val="20"/>
                <w:szCs w:val="20"/>
              </w:rPr>
              <w:t xml:space="preserve">должен состоять из нескольких блоков, количество которых не должно превышать 10 (десять); </w:t>
            </w:r>
          </w:p>
          <w:p w14:paraId="4D175CCE" w14:textId="77777777" w:rsidR="00951A61" w:rsidRPr="001F0EB5" w:rsidRDefault="00951A61" w:rsidP="00951A61">
            <w:pPr>
              <w:pStyle w:val="affe"/>
              <w:numPr>
                <w:ilvl w:val="0"/>
                <w:numId w:val="34"/>
              </w:numPr>
              <w:autoSpaceDE w:val="0"/>
              <w:autoSpaceDN w:val="0"/>
              <w:adjustRightInd w:val="0"/>
              <w:ind w:left="0" w:firstLine="425"/>
              <w:contextualSpacing/>
              <w:jc w:val="both"/>
              <w:rPr>
                <w:rFonts w:ascii="Tahoma" w:hAnsi="Tahoma" w:cs="Tahoma"/>
                <w:sz w:val="20"/>
                <w:szCs w:val="20"/>
              </w:rPr>
            </w:pPr>
            <w:r w:rsidRPr="001F0EB5">
              <w:rPr>
                <w:rFonts w:ascii="Tahoma" w:hAnsi="Tahoma" w:cs="Tahoma"/>
                <w:sz w:val="20"/>
                <w:szCs w:val="20"/>
              </w:rPr>
              <w:lastRenderedPageBreak/>
              <w:t xml:space="preserve">жилой дом блокированной застройки с земельным участком может находиться как в готовом, так и в строящемся объекте недвижимости; </w:t>
            </w:r>
          </w:p>
          <w:p w14:paraId="14502940" w14:textId="77777777" w:rsidR="00951A61" w:rsidRPr="001F0EB5" w:rsidRDefault="00951A61" w:rsidP="00951A61">
            <w:pPr>
              <w:pStyle w:val="affe"/>
              <w:numPr>
                <w:ilvl w:val="0"/>
                <w:numId w:val="34"/>
              </w:numPr>
              <w:autoSpaceDE w:val="0"/>
              <w:autoSpaceDN w:val="0"/>
              <w:adjustRightInd w:val="0"/>
              <w:ind w:left="0" w:firstLine="425"/>
              <w:contextualSpacing/>
              <w:jc w:val="both"/>
              <w:rPr>
                <w:rFonts w:ascii="Tahoma" w:hAnsi="Tahoma" w:cs="Tahoma"/>
                <w:sz w:val="20"/>
                <w:szCs w:val="20"/>
              </w:rPr>
            </w:pPr>
            <w:r w:rsidRPr="001F0EB5">
              <w:rPr>
                <w:rFonts w:ascii="Tahoma" w:hAnsi="Tahoma" w:cs="Tahoma"/>
                <w:sz w:val="20"/>
                <w:szCs w:val="20"/>
              </w:rPr>
              <w:t xml:space="preserve">при приобретении жилого дома на этапе строительства должен также отдельно приобретаться по ДКП земельный участок, расположенный под кредитуемой частью жилого дома или непосредственно прилегающий к кредитуемой части жилого дома, в этом случае если земельный участок не приобретается отдельно, то заявка при приобретении жилого дома на этапе строительства не рассматривается; </w:t>
            </w:r>
          </w:p>
          <w:p w14:paraId="624B3618" w14:textId="77777777" w:rsidR="00951A61" w:rsidRPr="001F0EB5" w:rsidRDefault="00951A61" w:rsidP="00951A61">
            <w:pPr>
              <w:pStyle w:val="affe"/>
              <w:numPr>
                <w:ilvl w:val="0"/>
                <w:numId w:val="34"/>
              </w:numPr>
              <w:autoSpaceDE w:val="0"/>
              <w:autoSpaceDN w:val="0"/>
              <w:adjustRightInd w:val="0"/>
              <w:ind w:left="0" w:firstLine="425"/>
              <w:contextualSpacing/>
              <w:jc w:val="both"/>
              <w:rPr>
                <w:rFonts w:ascii="Tahoma" w:hAnsi="Tahoma" w:cs="Tahoma"/>
                <w:sz w:val="20"/>
                <w:szCs w:val="20"/>
              </w:rPr>
            </w:pPr>
            <w:r w:rsidRPr="001F0EB5">
              <w:rPr>
                <w:rFonts w:ascii="Tahoma" w:hAnsi="Tahoma" w:cs="Tahoma"/>
                <w:sz w:val="20"/>
                <w:szCs w:val="20"/>
              </w:rPr>
              <w:t xml:space="preserve">в свидетельстве о государственной регистрации права собственности или выписке ЕГРН в качестве объекта права может быть указано: </w:t>
            </w:r>
          </w:p>
          <w:p w14:paraId="7A67193F" w14:textId="77777777" w:rsidR="00951A61" w:rsidRPr="001F0EB5" w:rsidRDefault="00951A61" w:rsidP="00951A61">
            <w:pPr>
              <w:pStyle w:val="affe"/>
              <w:numPr>
                <w:ilvl w:val="0"/>
                <w:numId w:val="41"/>
              </w:numPr>
              <w:autoSpaceDE w:val="0"/>
              <w:autoSpaceDN w:val="0"/>
              <w:adjustRightInd w:val="0"/>
              <w:ind w:left="0" w:firstLine="425"/>
              <w:contextualSpacing/>
              <w:jc w:val="both"/>
              <w:rPr>
                <w:rFonts w:ascii="Tahoma" w:hAnsi="Tahoma" w:cs="Tahoma"/>
                <w:sz w:val="20"/>
                <w:szCs w:val="20"/>
              </w:rPr>
            </w:pPr>
            <w:r w:rsidRPr="001F0EB5">
              <w:rPr>
                <w:rFonts w:ascii="Tahoma" w:hAnsi="Tahoma" w:cs="Tahoma"/>
                <w:sz w:val="20"/>
                <w:szCs w:val="20"/>
              </w:rPr>
              <w:t xml:space="preserve">жилой дом; </w:t>
            </w:r>
          </w:p>
          <w:p w14:paraId="6040809E" w14:textId="77777777" w:rsidR="00951A61" w:rsidRPr="001F0EB5" w:rsidRDefault="00951A61" w:rsidP="00951A61">
            <w:pPr>
              <w:pStyle w:val="affe"/>
              <w:numPr>
                <w:ilvl w:val="0"/>
                <w:numId w:val="41"/>
              </w:numPr>
              <w:autoSpaceDE w:val="0"/>
              <w:autoSpaceDN w:val="0"/>
              <w:adjustRightInd w:val="0"/>
              <w:ind w:left="0" w:firstLine="425"/>
              <w:contextualSpacing/>
              <w:jc w:val="both"/>
              <w:rPr>
                <w:rFonts w:ascii="Tahoma" w:hAnsi="Tahoma" w:cs="Tahoma"/>
                <w:sz w:val="20"/>
                <w:szCs w:val="20"/>
              </w:rPr>
            </w:pPr>
            <w:r w:rsidRPr="001F0EB5">
              <w:rPr>
                <w:rFonts w:ascii="Tahoma" w:hAnsi="Tahoma" w:cs="Tahoma"/>
                <w:sz w:val="20"/>
                <w:szCs w:val="20"/>
              </w:rPr>
              <w:t xml:space="preserve">жилое помещение; </w:t>
            </w:r>
          </w:p>
          <w:p w14:paraId="25931B9F" w14:textId="77777777" w:rsidR="00951A61" w:rsidRPr="001F0EB5" w:rsidRDefault="00951A61" w:rsidP="00951A61">
            <w:pPr>
              <w:pStyle w:val="affe"/>
              <w:numPr>
                <w:ilvl w:val="0"/>
                <w:numId w:val="41"/>
              </w:numPr>
              <w:autoSpaceDE w:val="0"/>
              <w:autoSpaceDN w:val="0"/>
              <w:adjustRightInd w:val="0"/>
              <w:ind w:left="0" w:firstLine="425"/>
              <w:contextualSpacing/>
              <w:jc w:val="both"/>
              <w:rPr>
                <w:rFonts w:ascii="Tahoma" w:hAnsi="Tahoma" w:cs="Tahoma"/>
                <w:sz w:val="20"/>
                <w:szCs w:val="20"/>
              </w:rPr>
            </w:pPr>
            <w:r w:rsidRPr="001F0EB5">
              <w:rPr>
                <w:rFonts w:ascii="Tahoma" w:hAnsi="Tahoma" w:cs="Tahoma"/>
                <w:sz w:val="20"/>
                <w:szCs w:val="20"/>
              </w:rPr>
              <w:t xml:space="preserve">жилой блок; </w:t>
            </w:r>
          </w:p>
          <w:p w14:paraId="17975DA8" w14:textId="77777777" w:rsidR="00951A61" w:rsidRPr="001F0EB5" w:rsidRDefault="00951A61" w:rsidP="00951A61">
            <w:pPr>
              <w:pStyle w:val="affe"/>
              <w:numPr>
                <w:ilvl w:val="0"/>
                <w:numId w:val="41"/>
              </w:numPr>
              <w:autoSpaceDE w:val="0"/>
              <w:autoSpaceDN w:val="0"/>
              <w:adjustRightInd w:val="0"/>
              <w:ind w:left="0" w:firstLine="425"/>
              <w:contextualSpacing/>
              <w:jc w:val="both"/>
              <w:rPr>
                <w:rFonts w:ascii="Tahoma" w:hAnsi="Tahoma" w:cs="Tahoma"/>
                <w:sz w:val="20"/>
                <w:szCs w:val="20"/>
              </w:rPr>
            </w:pPr>
            <w:r w:rsidRPr="001F0EB5">
              <w:rPr>
                <w:rFonts w:ascii="Tahoma" w:hAnsi="Tahoma" w:cs="Tahoma"/>
                <w:sz w:val="20"/>
                <w:szCs w:val="20"/>
              </w:rPr>
              <w:t xml:space="preserve">часть жилого дома; </w:t>
            </w:r>
          </w:p>
          <w:p w14:paraId="24F0C708" w14:textId="77777777" w:rsidR="00951A61" w:rsidRPr="001F0EB5" w:rsidRDefault="00951A61" w:rsidP="00951A61">
            <w:pPr>
              <w:pStyle w:val="affe"/>
              <w:numPr>
                <w:ilvl w:val="0"/>
                <w:numId w:val="41"/>
              </w:numPr>
              <w:autoSpaceDE w:val="0"/>
              <w:autoSpaceDN w:val="0"/>
              <w:adjustRightInd w:val="0"/>
              <w:ind w:left="0" w:firstLine="425"/>
              <w:contextualSpacing/>
              <w:jc w:val="both"/>
              <w:rPr>
                <w:rFonts w:ascii="Tahoma" w:hAnsi="Tahoma" w:cs="Tahoma"/>
                <w:sz w:val="20"/>
                <w:szCs w:val="20"/>
              </w:rPr>
            </w:pPr>
            <w:r w:rsidRPr="001F0EB5">
              <w:rPr>
                <w:rFonts w:ascii="Tahoma" w:hAnsi="Tahoma" w:cs="Tahoma"/>
                <w:sz w:val="20"/>
                <w:szCs w:val="20"/>
              </w:rPr>
              <w:t xml:space="preserve">жилой дом блокированной застройки; </w:t>
            </w:r>
          </w:p>
          <w:p w14:paraId="44103EF2" w14:textId="77777777" w:rsidR="00951A61" w:rsidRPr="001F0EB5" w:rsidRDefault="00951A61" w:rsidP="00951A61">
            <w:pPr>
              <w:pStyle w:val="affe"/>
              <w:numPr>
                <w:ilvl w:val="0"/>
                <w:numId w:val="41"/>
              </w:numPr>
              <w:autoSpaceDE w:val="0"/>
              <w:autoSpaceDN w:val="0"/>
              <w:adjustRightInd w:val="0"/>
              <w:ind w:left="0" w:firstLine="425"/>
              <w:contextualSpacing/>
              <w:jc w:val="both"/>
              <w:rPr>
                <w:rFonts w:ascii="Tahoma" w:hAnsi="Tahoma" w:cs="Tahoma"/>
                <w:sz w:val="20"/>
                <w:szCs w:val="20"/>
              </w:rPr>
            </w:pPr>
            <w:r w:rsidRPr="001F0EB5">
              <w:rPr>
                <w:rFonts w:ascii="Tahoma" w:hAnsi="Tahoma" w:cs="Tahoma"/>
                <w:sz w:val="20"/>
                <w:szCs w:val="20"/>
              </w:rPr>
              <w:t xml:space="preserve">жилая блок-секция; </w:t>
            </w:r>
          </w:p>
          <w:p w14:paraId="3E4B96DE" w14:textId="77777777" w:rsidR="00951A61" w:rsidRPr="001F0EB5" w:rsidRDefault="00951A61" w:rsidP="00951A61">
            <w:pPr>
              <w:pStyle w:val="affe"/>
              <w:numPr>
                <w:ilvl w:val="0"/>
                <w:numId w:val="41"/>
              </w:numPr>
              <w:autoSpaceDE w:val="0"/>
              <w:autoSpaceDN w:val="0"/>
              <w:adjustRightInd w:val="0"/>
              <w:ind w:left="0" w:firstLine="425"/>
              <w:contextualSpacing/>
              <w:jc w:val="both"/>
              <w:rPr>
                <w:rFonts w:ascii="Tahoma" w:hAnsi="Tahoma" w:cs="Tahoma"/>
                <w:sz w:val="20"/>
                <w:szCs w:val="20"/>
              </w:rPr>
            </w:pPr>
            <w:r w:rsidRPr="001F0EB5">
              <w:rPr>
                <w:rFonts w:ascii="Tahoma" w:hAnsi="Tahoma" w:cs="Tahoma"/>
                <w:sz w:val="20"/>
                <w:szCs w:val="20"/>
              </w:rPr>
              <w:t xml:space="preserve">блок-секция; </w:t>
            </w:r>
          </w:p>
          <w:p w14:paraId="74E78B07" w14:textId="77777777" w:rsidR="00951A61" w:rsidRPr="001F0EB5" w:rsidRDefault="00951A61" w:rsidP="00951A61">
            <w:pPr>
              <w:pStyle w:val="affe"/>
              <w:numPr>
                <w:ilvl w:val="0"/>
                <w:numId w:val="41"/>
              </w:numPr>
              <w:autoSpaceDE w:val="0"/>
              <w:autoSpaceDN w:val="0"/>
              <w:adjustRightInd w:val="0"/>
              <w:ind w:left="0" w:firstLine="425"/>
              <w:contextualSpacing/>
              <w:jc w:val="both"/>
              <w:rPr>
                <w:rFonts w:ascii="Tahoma" w:hAnsi="Tahoma" w:cs="Tahoma"/>
                <w:sz w:val="20"/>
                <w:szCs w:val="20"/>
              </w:rPr>
            </w:pPr>
            <w:r w:rsidRPr="001F0EB5">
              <w:rPr>
                <w:rFonts w:ascii="Tahoma" w:hAnsi="Tahoma" w:cs="Tahoma"/>
                <w:sz w:val="20"/>
                <w:szCs w:val="20"/>
              </w:rPr>
              <w:t xml:space="preserve">иное, при этом в свидетельстве о государственной регистрации права собственности или выписке ЕГРН в качестве объекта права не может быть указано «квартира». </w:t>
            </w:r>
          </w:p>
          <w:p w14:paraId="71CD7736" w14:textId="77777777" w:rsidR="00951A61" w:rsidRPr="001F0EB5" w:rsidRDefault="00951A61" w:rsidP="00A4032F">
            <w:pPr>
              <w:ind w:firstLine="425"/>
              <w:jc w:val="both"/>
              <w:rPr>
                <w:rFonts w:ascii="Tahoma" w:hAnsi="Tahoma" w:cs="Tahoma"/>
                <w:b/>
                <w:sz w:val="20"/>
                <w:szCs w:val="20"/>
                <w:u w:val="single"/>
              </w:rPr>
            </w:pPr>
            <w:r w:rsidRPr="001F0EB5">
              <w:rPr>
                <w:rFonts w:ascii="Tahoma" w:hAnsi="Tahoma" w:cs="Tahoma"/>
                <w:b/>
                <w:sz w:val="20"/>
                <w:szCs w:val="20"/>
                <w:u w:val="single"/>
              </w:rPr>
              <w:t>Требования, предъявляемые к земельному участку:</w:t>
            </w:r>
          </w:p>
          <w:p w14:paraId="72635391" w14:textId="77777777" w:rsidR="00951A61" w:rsidRPr="001F0EB5" w:rsidRDefault="00951A61" w:rsidP="00951A61">
            <w:pPr>
              <w:pStyle w:val="affe"/>
              <w:numPr>
                <w:ilvl w:val="0"/>
                <w:numId w:val="39"/>
              </w:numPr>
              <w:ind w:left="0" w:firstLine="425"/>
              <w:contextualSpacing/>
              <w:jc w:val="both"/>
              <w:rPr>
                <w:rFonts w:ascii="Tahoma" w:hAnsi="Tahoma" w:cs="Tahoma"/>
                <w:sz w:val="20"/>
                <w:szCs w:val="20"/>
              </w:rPr>
            </w:pPr>
            <w:r w:rsidRPr="001F0EB5">
              <w:rPr>
                <w:rFonts w:ascii="Tahoma" w:hAnsi="Tahoma" w:cs="Tahoma"/>
                <w:sz w:val="20"/>
                <w:szCs w:val="20"/>
              </w:rPr>
              <w:t>находится в собственности Продавца/Заемщика;</w:t>
            </w:r>
          </w:p>
          <w:p w14:paraId="6789D2BE" w14:textId="77777777" w:rsidR="00951A61" w:rsidRPr="001F0EB5" w:rsidRDefault="00951A61" w:rsidP="00951A61">
            <w:pPr>
              <w:pStyle w:val="affe"/>
              <w:numPr>
                <w:ilvl w:val="0"/>
                <w:numId w:val="39"/>
              </w:numPr>
              <w:ind w:left="0" w:firstLine="425"/>
              <w:contextualSpacing/>
              <w:jc w:val="both"/>
              <w:rPr>
                <w:rFonts w:ascii="Tahoma" w:hAnsi="Tahoma" w:cs="Tahoma"/>
                <w:sz w:val="20"/>
                <w:szCs w:val="20"/>
              </w:rPr>
            </w:pPr>
            <w:r w:rsidRPr="001F0EB5">
              <w:rPr>
                <w:rFonts w:ascii="Tahoma" w:hAnsi="Tahoma" w:cs="Tahoma"/>
                <w:sz w:val="20"/>
                <w:szCs w:val="20"/>
              </w:rPr>
              <w:t>категория использования земельного участка – земли населенных пунктов/поселений/сельскохозяйственного назначения. Разрешенное использование земельного участка - любой из видов использования для соответствующей категории, предусмотренный законодательством РФ и разрешающий возведение жилого строения с правом проживания/регистрации;</w:t>
            </w:r>
          </w:p>
          <w:p w14:paraId="2D66A09C" w14:textId="77777777" w:rsidR="00951A61" w:rsidRPr="001F0EB5" w:rsidRDefault="00951A61" w:rsidP="00951A61">
            <w:pPr>
              <w:pStyle w:val="affe"/>
              <w:numPr>
                <w:ilvl w:val="0"/>
                <w:numId w:val="39"/>
              </w:numPr>
              <w:ind w:left="0" w:firstLine="425"/>
              <w:contextualSpacing/>
              <w:jc w:val="both"/>
              <w:rPr>
                <w:rFonts w:ascii="Tahoma" w:hAnsi="Tahoma" w:cs="Tahoma"/>
                <w:sz w:val="20"/>
                <w:szCs w:val="20"/>
              </w:rPr>
            </w:pPr>
            <w:r w:rsidRPr="001F0EB5">
              <w:rPr>
                <w:rFonts w:ascii="Tahoma" w:hAnsi="Tahoma" w:cs="Tahoma"/>
                <w:sz w:val="20"/>
                <w:szCs w:val="20"/>
              </w:rPr>
              <w:t>не должен находиться в водоохранной, резервной зоне или зоне национального парка;</w:t>
            </w:r>
          </w:p>
          <w:p w14:paraId="552C557D" w14:textId="77777777" w:rsidR="00951A61" w:rsidRPr="001F0EB5" w:rsidRDefault="00951A61" w:rsidP="00951A61">
            <w:pPr>
              <w:pStyle w:val="affe"/>
              <w:numPr>
                <w:ilvl w:val="0"/>
                <w:numId w:val="39"/>
              </w:numPr>
              <w:ind w:left="0" w:firstLine="425"/>
              <w:contextualSpacing/>
              <w:jc w:val="both"/>
              <w:rPr>
                <w:rFonts w:ascii="Tahoma" w:hAnsi="Tahoma" w:cs="Tahoma"/>
                <w:sz w:val="20"/>
                <w:szCs w:val="20"/>
              </w:rPr>
            </w:pPr>
            <w:r w:rsidRPr="001F0EB5">
              <w:rPr>
                <w:rFonts w:ascii="Tahoma" w:hAnsi="Tahoma" w:cs="Tahoma"/>
                <w:sz w:val="20"/>
                <w:szCs w:val="20"/>
              </w:rPr>
              <w:t xml:space="preserve">земельный участок </w:t>
            </w:r>
            <w:r w:rsidRPr="001F0EB5">
              <w:rPr>
                <w:rFonts w:ascii="Tahoma" w:hAnsi="Tahoma" w:cs="Tahoma"/>
                <w:sz w:val="20"/>
                <w:szCs w:val="20"/>
                <w:u w:val="single"/>
              </w:rPr>
              <w:t>не должен находиться</w:t>
            </w:r>
            <w:r w:rsidRPr="001F0EB5">
              <w:rPr>
                <w:rFonts w:ascii="Tahoma" w:hAnsi="Tahoma" w:cs="Tahoma"/>
                <w:sz w:val="20"/>
                <w:szCs w:val="20"/>
              </w:rPr>
              <w:t xml:space="preserve"> на землях особо охраняемых природных территорий (например, государственные природные заповедники, биосферные и государственные природные заказники, памятники природы, национальные парки, природные парки, дендрологические парки, ботанические сады, территории традиционного природопользования коренных малочисленных народов Севера, Сибири и Дальнего Востока Российской Федерации), на землях природоохранного назначения, на землях рекреационного назначения, на особо ценных землях (земли, в пределах которых имеются природные объекты и объекты культурного наследия, представляющие особую научную, историко-культурную ценность – типичные или редкие ландшафты, культурные ландшафты, сообщества растительных, животных организмов, редкие геологические образования), а также в охранных, санитарно-защитных зонах, зонах санитарной охраны источников питьевого и хозяйственно-бытового водоснабжения, зонах охраняемых объектов;</w:t>
            </w:r>
          </w:p>
          <w:p w14:paraId="20D88DEE" w14:textId="77777777" w:rsidR="00951A61" w:rsidRPr="001F0EB5" w:rsidRDefault="00951A61" w:rsidP="00951A61">
            <w:pPr>
              <w:pStyle w:val="affe"/>
              <w:numPr>
                <w:ilvl w:val="0"/>
                <w:numId w:val="39"/>
              </w:numPr>
              <w:ind w:left="0" w:firstLine="425"/>
              <w:contextualSpacing/>
              <w:jc w:val="both"/>
              <w:rPr>
                <w:rFonts w:ascii="Tahoma" w:hAnsi="Tahoma" w:cs="Tahoma"/>
                <w:sz w:val="20"/>
                <w:szCs w:val="20"/>
              </w:rPr>
            </w:pPr>
            <w:r w:rsidRPr="001F0EB5">
              <w:rPr>
                <w:rFonts w:ascii="Tahoma" w:hAnsi="Tahoma" w:cs="Tahoma"/>
                <w:sz w:val="20"/>
                <w:szCs w:val="20"/>
              </w:rPr>
              <w:t>площадь земельного участка не должна быть ограничена габаритами жилого дома и превышать 5000 кв. м.</w:t>
            </w:r>
          </w:p>
          <w:p w14:paraId="2EC99E0E" w14:textId="77777777" w:rsidR="00951A61" w:rsidRPr="001F0EB5" w:rsidRDefault="00951A61" w:rsidP="00A4032F">
            <w:pPr>
              <w:pStyle w:val="affe"/>
              <w:ind w:left="0" w:firstLine="425"/>
              <w:jc w:val="both"/>
              <w:rPr>
                <w:rFonts w:ascii="Tahoma" w:hAnsi="Tahoma" w:cs="Tahoma"/>
                <w:sz w:val="20"/>
                <w:szCs w:val="20"/>
                <w:u w:val="single"/>
              </w:rPr>
            </w:pPr>
          </w:p>
          <w:p w14:paraId="07C15A94" w14:textId="77777777" w:rsidR="00951A61" w:rsidRPr="001F0EB5" w:rsidRDefault="00951A61" w:rsidP="00A4032F">
            <w:pPr>
              <w:pStyle w:val="affe"/>
              <w:ind w:left="0" w:firstLine="425"/>
              <w:jc w:val="both"/>
              <w:rPr>
                <w:rFonts w:ascii="Tahoma" w:hAnsi="Tahoma" w:cs="Tahoma"/>
                <w:b/>
                <w:sz w:val="20"/>
                <w:szCs w:val="20"/>
                <w:u w:val="single"/>
              </w:rPr>
            </w:pPr>
            <w:r w:rsidRPr="001F0EB5">
              <w:rPr>
                <w:rFonts w:ascii="Tahoma" w:hAnsi="Tahoma" w:cs="Tahoma"/>
                <w:b/>
                <w:sz w:val="20"/>
                <w:szCs w:val="20"/>
                <w:u w:val="single"/>
              </w:rPr>
              <w:t>Не могут быть приняты в залог жилые дома/таунхаусы:</w:t>
            </w:r>
          </w:p>
          <w:p w14:paraId="1FBC8AED" w14:textId="77777777" w:rsidR="00951A61" w:rsidRPr="001F0EB5" w:rsidRDefault="00951A61" w:rsidP="00951A61">
            <w:pPr>
              <w:pStyle w:val="affe"/>
              <w:numPr>
                <w:ilvl w:val="0"/>
                <w:numId w:val="32"/>
              </w:numPr>
              <w:ind w:left="0" w:firstLine="425"/>
              <w:contextualSpacing/>
              <w:jc w:val="both"/>
              <w:rPr>
                <w:rFonts w:ascii="Tahoma" w:hAnsi="Tahoma" w:cs="Tahoma"/>
                <w:sz w:val="20"/>
                <w:szCs w:val="20"/>
              </w:rPr>
            </w:pPr>
            <w:r w:rsidRPr="001F0EB5">
              <w:rPr>
                <w:rFonts w:ascii="Tahoma" w:hAnsi="Tahoma" w:cs="Tahoma"/>
                <w:sz w:val="20"/>
                <w:szCs w:val="20"/>
              </w:rPr>
              <w:t>не предназначенные для постоянного проживания (летние, дачные, садовые домики, а также иные строения).</w:t>
            </w:r>
          </w:p>
          <w:p w14:paraId="1F2A718E" w14:textId="77777777" w:rsidR="00951A61" w:rsidRPr="001F0EB5" w:rsidRDefault="00951A61" w:rsidP="00951A61">
            <w:pPr>
              <w:pStyle w:val="affe"/>
              <w:numPr>
                <w:ilvl w:val="0"/>
                <w:numId w:val="32"/>
              </w:numPr>
              <w:ind w:left="0" w:firstLine="425"/>
              <w:contextualSpacing/>
              <w:jc w:val="both"/>
              <w:rPr>
                <w:rFonts w:ascii="Tahoma" w:hAnsi="Tahoma" w:cs="Tahoma"/>
                <w:sz w:val="20"/>
                <w:szCs w:val="20"/>
              </w:rPr>
            </w:pPr>
            <w:r w:rsidRPr="001F0EB5">
              <w:rPr>
                <w:rFonts w:ascii="Tahoma" w:hAnsi="Tahoma" w:cs="Tahoma"/>
                <w:sz w:val="20"/>
                <w:szCs w:val="20"/>
              </w:rPr>
              <w:t>расположенные на землях категории «земли сельскохозяйственного назначения» и разрешенное использование которых не предусматривает возведение жилого строения.</w:t>
            </w:r>
          </w:p>
          <w:p w14:paraId="3A5304B1" w14:textId="77777777" w:rsidR="00951A61" w:rsidRPr="001F0EB5" w:rsidRDefault="00951A61" w:rsidP="00951A61">
            <w:pPr>
              <w:pStyle w:val="affe"/>
              <w:numPr>
                <w:ilvl w:val="0"/>
                <w:numId w:val="32"/>
              </w:numPr>
              <w:ind w:left="0" w:firstLine="425"/>
              <w:contextualSpacing/>
              <w:jc w:val="both"/>
              <w:rPr>
                <w:rFonts w:ascii="Tahoma" w:hAnsi="Tahoma" w:cs="Tahoma"/>
                <w:sz w:val="20"/>
                <w:szCs w:val="20"/>
              </w:rPr>
            </w:pPr>
            <w:r w:rsidRPr="001F0EB5">
              <w:rPr>
                <w:rFonts w:ascii="Tahoma" w:hAnsi="Tahoma" w:cs="Tahoma"/>
                <w:sz w:val="20"/>
                <w:szCs w:val="20"/>
              </w:rPr>
              <w:lastRenderedPageBreak/>
              <w:t>расположенные на землях категории «земли промышленности, энергетики, транспорта, связи, радиовещания, телевидения, информатики, земли для обеспечения космической деятельности, земли обороны, безопасности и земли иного специального назначения».</w:t>
            </w:r>
          </w:p>
          <w:p w14:paraId="1DE7C54E" w14:textId="77777777" w:rsidR="00951A61" w:rsidRPr="001F0EB5" w:rsidRDefault="00951A61" w:rsidP="00951A61">
            <w:pPr>
              <w:pStyle w:val="affe"/>
              <w:numPr>
                <w:ilvl w:val="0"/>
                <w:numId w:val="32"/>
              </w:numPr>
              <w:ind w:left="0" w:firstLine="425"/>
              <w:contextualSpacing/>
              <w:jc w:val="both"/>
              <w:rPr>
                <w:rFonts w:ascii="Tahoma" w:hAnsi="Tahoma" w:cs="Tahoma"/>
                <w:sz w:val="20"/>
                <w:szCs w:val="20"/>
              </w:rPr>
            </w:pPr>
            <w:r w:rsidRPr="001F0EB5">
              <w:rPr>
                <w:rFonts w:ascii="Tahoma" w:hAnsi="Tahoma" w:cs="Tahoma"/>
                <w:sz w:val="20"/>
                <w:szCs w:val="20"/>
              </w:rPr>
              <w:t>построенные на земельных участках, принадлежащих Продавцу на правах аренды;</w:t>
            </w:r>
          </w:p>
          <w:p w14:paraId="5F89145B" w14:textId="77777777" w:rsidR="00951A61" w:rsidRPr="001F0EB5" w:rsidRDefault="00951A61" w:rsidP="00951A61">
            <w:pPr>
              <w:pStyle w:val="affe"/>
              <w:numPr>
                <w:ilvl w:val="0"/>
                <w:numId w:val="32"/>
              </w:numPr>
              <w:ind w:left="0" w:firstLine="425"/>
              <w:contextualSpacing/>
              <w:jc w:val="both"/>
              <w:rPr>
                <w:rFonts w:ascii="Tahoma" w:hAnsi="Tahoma" w:cs="Tahoma"/>
                <w:sz w:val="20"/>
                <w:szCs w:val="20"/>
              </w:rPr>
            </w:pPr>
            <w:r w:rsidRPr="001F0EB5">
              <w:rPr>
                <w:rFonts w:ascii="Tahoma" w:hAnsi="Tahoma" w:cs="Tahoma"/>
                <w:sz w:val="20"/>
                <w:szCs w:val="20"/>
              </w:rPr>
              <w:t>расположенные на расстоянии более 50 км от населенного пункта, где располагается Подразделение Банка (для Москвы расстояние считается от МКАД и может составлять не более 70 км).</w:t>
            </w:r>
          </w:p>
          <w:p w14:paraId="28DECACA" w14:textId="77777777" w:rsidR="00951A61" w:rsidRPr="001F0EB5" w:rsidRDefault="00951A61" w:rsidP="00A4032F">
            <w:pPr>
              <w:ind w:firstLine="425"/>
              <w:jc w:val="both"/>
              <w:rPr>
                <w:rFonts w:ascii="Tahoma" w:hAnsi="Tahoma" w:cs="Tahoma"/>
                <w:sz w:val="20"/>
                <w:szCs w:val="20"/>
              </w:rPr>
            </w:pPr>
          </w:p>
          <w:p w14:paraId="06167829" w14:textId="77777777" w:rsidR="00951A61" w:rsidRPr="001F0EB5" w:rsidRDefault="00951A61" w:rsidP="00A4032F">
            <w:pPr>
              <w:ind w:firstLine="425"/>
              <w:jc w:val="both"/>
              <w:rPr>
                <w:rFonts w:ascii="Tahoma" w:hAnsi="Tahoma" w:cs="Tahoma"/>
                <w:sz w:val="20"/>
                <w:szCs w:val="20"/>
              </w:rPr>
            </w:pPr>
            <w:r w:rsidRPr="001F0EB5">
              <w:rPr>
                <w:rFonts w:ascii="Tahoma" w:hAnsi="Tahoma" w:cs="Tahoma"/>
                <w:sz w:val="20"/>
                <w:szCs w:val="20"/>
              </w:rPr>
              <w:t>Все вышеперечисленные в настоящем пункте объекты недвижимости должны соответствовать характеристикам, установленным порядком предоставления субсидии акционерному обществу "ДОМ.РФ", г. Москва, в виде вкладов в имущество, не увеличивающих его уставный капитал, для возмещения российским кредитным организациям и акционерному обществу "ДОМ.РФ" недополученных доходов по выданным (приобретенным) жилищным (ипотечным) кредитам (займам), предоставленным гражданам Российской Федерации, имеющим детей, утвержденным уполномоченным в Российской Федерации федеральным органом исполнительной власти.</w:t>
            </w:r>
          </w:p>
          <w:p w14:paraId="270C6907" w14:textId="77777777" w:rsidR="00951A61" w:rsidRPr="001F0EB5" w:rsidRDefault="00951A61" w:rsidP="00A4032F">
            <w:pPr>
              <w:ind w:firstLine="425"/>
              <w:jc w:val="both"/>
              <w:rPr>
                <w:rFonts w:ascii="Tahoma" w:hAnsi="Tahoma" w:cs="Tahoma"/>
                <w:sz w:val="20"/>
                <w:szCs w:val="20"/>
              </w:rPr>
            </w:pPr>
          </w:p>
        </w:tc>
      </w:tr>
      <w:tr w:rsidR="00951A61" w:rsidRPr="00F369B0" w14:paraId="623A695E"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287B612E" w14:textId="77777777" w:rsidR="00951A61" w:rsidRPr="00F369B0" w:rsidRDefault="00951A61" w:rsidP="00A4032F">
            <w:pPr>
              <w:jc w:val="center"/>
              <w:rPr>
                <w:rFonts w:ascii="Tahoma" w:hAnsi="Tahoma" w:cs="Tahoma"/>
                <w:b/>
                <w:sz w:val="20"/>
                <w:szCs w:val="20"/>
              </w:rPr>
            </w:pPr>
            <w:r w:rsidRPr="00F369B0">
              <w:rPr>
                <w:rFonts w:ascii="Tahoma" w:hAnsi="Tahoma" w:cs="Tahoma"/>
                <w:b/>
                <w:sz w:val="20"/>
                <w:szCs w:val="20"/>
              </w:rPr>
              <w:lastRenderedPageBreak/>
              <w:t>Перечень документов, необходимых для рассмотрения заявления о предоставлении ипотечного кредита, в том числе для оценки кредитоспособности Заемщика</w:t>
            </w:r>
          </w:p>
          <w:p w14:paraId="204BF196" w14:textId="77777777" w:rsidR="00951A61" w:rsidRPr="00F369B0" w:rsidRDefault="00951A61" w:rsidP="00A4032F">
            <w:pPr>
              <w:autoSpaceDE w:val="0"/>
              <w:autoSpaceDN w:val="0"/>
              <w:adjustRightInd w:val="0"/>
              <w:jc w:val="both"/>
              <w:rPr>
                <w:rFonts w:ascii="Tahoma" w:hAnsi="Tahoma" w:cs="Tahoma"/>
                <w:b/>
                <w:sz w:val="20"/>
                <w:szCs w:val="20"/>
              </w:rPr>
            </w:pPr>
          </w:p>
        </w:tc>
        <w:tc>
          <w:tcPr>
            <w:tcW w:w="11452" w:type="dxa"/>
            <w:tcBorders>
              <w:top w:val="single" w:sz="4" w:space="0" w:color="auto"/>
              <w:left w:val="nil"/>
              <w:bottom w:val="single" w:sz="4" w:space="0" w:color="auto"/>
              <w:right w:val="single" w:sz="4" w:space="0" w:color="auto"/>
            </w:tcBorders>
            <w:shd w:val="clear" w:color="auto" w:fill="auto"/>
            <w:vAlign w:val="center"/>
          </w:tcPr>
          <w:p w14:paraId="1C7FD319" w14:textId="77777777" w:rsidR="00951A61" w:rsidRPr="00F369B0" w:rsidRDefault="00951A61" w:rsidP="00951A61">
            <w:pPr>
              <w:pStyle w:val="affe"/>
              <w:numPr>
                <w:ilvl w:val="0"/>
                <w:numId w:val="28"/>
              </w:numPr>
              <w:ind w:left="0" w:firstLine="425"/>
              <w:contextualSpacing/>
              <w:jc w:val="both"/>
              <w:rPr>
                <w:rFonts w:ascii="Tahoma" w:hAnsi="Tahoma" w:cs="Tahoma"/>
                <w:sz w:val="20"/>
                <w:szCs w:val="20"/>
              </w:rPr>
            </w:pPr>
            <w:r w:rsidRPr="00F369B0">
              <w:rPr>
                <w:rFonts w:ascii="Tahoma" w:hAnsi="Tahoma" w:cs="Tahoma"/>
                <w:sz w:val="20"/>
                <w:szCs w:val="20"/>
              </w:rPr>
              <w:t>Согласия заявителя на обработку его персональных данных и на получение Банком кредитного отчета, в т.ч. получение основной части кредитной истории заявителя в любых бюро кредитных историй;</w:t>
            </w:r>
          </w:p>
          <w:p w14:paraId="6ED2241F" w14:textId="77777777" w:rsidR="00951A61" w:rsidRPr="00F369B0" w:rsidRDefault="00951A61" w:rsidP="00951A61">
            <w:pPr>
              <w:pStyle w:val="affe"/>
              <w:numPr>
                <w:ilvl w:val="0"/>
                <w:numId w:val="28"/>
              </w:numPr>
              <w:ind w:left="0" w:firstLine="425"/>
              <w:contextualSpacing/>
              <w:jc w:val="both"/>
              <w:rPr>
                <w:rFonts w:ascii="Tahoma" w:hAnsi="Tahoma" w:cs="Tahoma"/>
                <w:sz w:val="20"/>
                <w:szCs w:val="20"/>
              </w:rPr>
            </w:pPr>
            <w:r w:rsidRPr="00F369B0">
              <w:rPr>
                <w:rFonts w:ascii="Tahoma" w:hAnsi="Tahoma" w:cs="Tahoma"/>
                <w:sz w:val="20"/>
                <w:szCs w:val="20"/>
              </w:rPr>
              <w:t>Паспорт гражданина РФ;</w:t>
            </w:r>
          </w:p>
          <w:p w14:paraId="0EC0A264" w14:textId="77777777" w:rsidR="00951A61" w:rsidRPr="00F369B0" w:rsidRDefault="00951A61" w:rsidP="00951A61">
            <w:pPr>
              <w:pStyle w:val="affe"/>
              <w:numPr>
                <w:ilvl w:val="0"/>
                <w:numId w:val="28"/>
              </w:numPr>
              <w:ind w:left="0" w:firstLine="425"/>
              <w:contextualSpacing/>
              <w:jc w:val="both"/>
              <w:rPr>
                <w:rFonts w:ascii="Tahoma" w:hAnsi="Tahoma" w:cs="Tahoma"/>
                <w:sz w:val="20"/>
                <w:szCs w:val="20"/>
              </w:rPr>
            </w:pPr>
            <w:r w:rsidRPr="00F369B0">
              <w:rPr>
                <w:rFonts w:ascii="Tahoma" w:hAnsi="Tahoma" w:cs="Tahoma"/>
                <w:sz w:val="20"/>
                <w:szCs w:val="20"/>
              </w:rPr>
              <w:t>Справка, подтверждающая факт установления инвалидности, с указанием группы инвалидности (категории "ребенок-инвалид"). Справка должна содержать «идентификатор (дату и время) размещения записи об инвалиде» в Федеральном реестре инвалидов</w:t>
            </w:r>
            <w:r w:rsidRPr="00F369B0">
              <w:rPr>
                <w:rStyle w:val="aff3"/>
                <w:rFonts w:ascii="Tahoma" w:hAnsi="Tahoma"/>
                <w:sz w:val="20"/>
                <w:szCs w:val="20"/>
              </w:rPr>
              <w:footnoteReference w:id="131"/>
            </w:r>
            <w:r w:rsidRPr="00F369B0">
              <w:rPr>
                <w:rFonts w:ascii="Tahoma" w:hAnsi="Tahoma" w:cs="Tahoma"/>
                <w:sz w:val="20"/>
                <w:szCs w:val="20"/>
              </w:rPr>
              <w:t>;</w:t>
            </w:r>
          </w:p>
          <w:p w14:paraId="0F2283D0" w14:textId="77777777" w:rsidR="00951A61" w:rsidRPr="00F369B0" w:rsidRDefault="00951A61" w:rsidP="00951A61">
            <w:pPr>
              <w:pStyle w:val="affe"/>
              <w:numPr>
                <w:ilvl w:val="0"/>
                <w:numId w:val="28"/>
              </w:numPr>
              <w:ind w:left="0" w:firstLine="425"/>
              <w:contextualSpacing/>
              <w:jc w:val="both"/>
              <w:rPr>
                <w:rFonts w:ascii="Tahoma" w:hAnsi="Tahoma" w:cs="Tahoma"/>
                <w:sz w:val="20"/>
                <w:szCs w:val="20"/>
              </w:rPr>
            </w:pPr>
            <w:r w:rsidRPr="00F369B0">
              <w:rPr>
                <w:rFonts w:ascii="Tahoma" w:hAnsi="Tahoma" w:cs="Tahoma"/>
                <w:sz w:val="20"/>
                <w:szCs w:val="20"/>
              </w:rPr>
              <w:t>Свидетельство о рождении ребенка/ детей;</w:t>
            </w:r>
          </w:p>
          <w:p w14:paraId="3A277FDB" w14:textId="77777777" w:rsidR="00951A61" w:rsidRPr="00F369B0" w:rsidRDefault="00951A61" w:rsidP="00951A61">
            <w:pPr>
              <w:pStyle w:val="affe"/>
              <w:numPr>
                <w:ilvl w:val="0"/>
                <w:numId w:val="28"/>
              </w:numPr>
              <w:ind w:left="0" w:firstLine="425"/>
              <w:contextualSpacing/>
              <w:jc w:val="both"/>
              <w:rPr>
                <w:rFonts w:ascii="Tahoma" w:hAnsi="Tahoma" w:cs="Tahoma"/>
                <w:sz w:val="20"/>
                <w:szCs w:val="20"/>
              </w:rPr>
            </w:pPr>
            <w:r w:rsidRPr="00F369B0">
              <w:rPr>
                <w:rFonts w:ascii="Tahoma" w:hAnsi="Tahoma" w:cs="Tahoma"/>
                <w:sz w:val="20"/>
                <w:szCs w:val="20"/>
              </w:rPr>
              <w:t>Документы, подтверждающие занятость заемщика (в зависимости от вида деятельности заемщика — копия трудовой книжки/трудового договора, заверенная работодателем (за исключением категории – работники Банка), Сведения о состоянии индивидуального лицевого счета застрахованного лица (форма СЗИ-ИЛС) (далее – Выписка из СФР)</w:t>
            </w:r>
            <w:r w:rsidRPr="00F369B0">
              <w:rPr>
                <w:rStyle w:val="aff3"/>
                <w:rFonts w:ascii="Tahoma" w:hAnsi="Tahoma"/>
                <w:sz w:val="20"/>
                <w:szCs w:val="20"/>
              </w:rPr>
              <w:footnoteReference w:id="132"/>
            </w:r>
            <w:r w:rsidRPr="00F369B0">
              <w:rPr>
                <w:rFonts w:ascii="Tahoma" w:hAnsi="Tahoma" w:cs="Tahoma"/>
                <w:sz w:val="20"/>
                <w:szCs w:val="20"/>
              </w:rPr>
              <w:t>, свидетельство/лист записи ЕГРИП о государственной регистрации физического в качестве ИП, свидетельство/уведомление о постановке на налоговый учет и др.).</w:t>
            </w:r>
          </w:p>
          <w:p w14:paraId="1860BE5E" w14:textId="77777777" w:rsidR="00951A61" w:rsidRPr="00F369B0" w:rsidRDefault="00951A61" w:rsidP="00951A61">
            <w:pPr>
              <w:pStyle w:val="affe"/>
              <w:numPr>
                <w:ilvl w:val="0"/>
                <w:numId w:val="28"/>
              </w:numPr>
              <w:ind w:left="0" w:firstLine="425"/>
              <w:contextualSpacing/>
              <w:jc w:val="both"/>
              <w:rPr>
                <w:rFonts w:ascii="Tahoma" w:hAnsi="Tahoma" w:cs="Tahoma"/>
                <w:sz w:val="20"/>
                <w:szCs w:val="20"/>
              </w:rPr>
            </w:pPr>
            <w:r w:rsidRPr="00F369B0">
              <w:rPr>
                <w:rFonts w:ascii="Tahoma" w:hAnsi="Tahoma" w:cs="Tahoma"/>
                <w:sz w:val="20"/>
                <w:szCs w:val="20"/>
              </w:rPr>
              <w:t xml:space="preserve">Документы, подтверждающие доход заемщика (в зависимости от вида деятельности заемщика): </w:t>
            </w:r>
          </w:p>
          <w:p w14:paraId="5273CC67" w14:textId="77777777" w:rsidR="00951A61" w:rsidRPr="00F369B0" w:rsidRDefault="00951A61" w:rsidP="00951A61">
            <w:pPr>
              <w:pStyle w:val="affe"/>
              <w:numPr>
                <w:ilvl w:val="0"/>
                <w:numId w:val="40"/>
              </w:numPr>
              <w:ind w:left="0" w:firstLine="425"/>
              <w:contextualSpacing/>
              <w:jc w:val="both"/>
              <w:rPr>
                <w:rFonts w:ascii="Tahoma" w:hAnsi="Tahoma" w:cs="Tahoma"/>
                <w:sz w:val="20"/>
                <w:szCs w:val="20"/>
              </w:rPr>
            </w:pPr>
            <w:r w:rsidRPr="00F369B0">
              <w:rPr>
                <w:rFonts w:ascii="Tahoma" w:hAnsi="Tahoma" w:cs="Tahoma"/>
                <w:sz w:val="20"/>
                <w:szCs w:val="20"/>
              </w:rPr>
              <w:t xml:space="preserve">Справка о доходах и суммах налога физического лица или справка о доходах по форме Банка или справка о доходах (любая справка должна содержать ИНН работодателя), заверенная работодателем, содержащая всю информацию, которая предусмотрена справкой о доходах по форме Банка, копия налоговой декларации по форме 3-НДФЛ; </w:t>
            </w:r>
          </w:p>
          <w:p w14:paraId="3F75645C" w14:textId="77777777" w:rsidR="00951A61" w:rsidRPr="00F369B0" w:rsidRDefault="00951A61" w:rsidP="00951A61">
            <w:pPr>
              <w:pStyle w:val="affe"/>
              <w:numPr>
                <w:ilvl w:val="0"/>
                <w:numId w:val="40"/>
              </w:numPr>
              <w:ind w:left="0" w:firstLine="425"/>
              <w:contextualSpacing/>
              <w:jc w:val="both"/>
              <w:rPr>
                <w:rFonts w:ascii="Tahoma" w:hAnsi="Tahoma" w:cs="Tahoma"/>
                <w:color w:val="000000" w:themeColor="text1"/>
                <w:sz w:val="20"/>
                <w:szCs w:val="20"/>
              </w:rPr>
            </w:pPr>
            <w:r w:rsidRPr="00F369B0">
              <w:rPr>
                <w:rFonts w:ascii="Tahoma" w:hAnsi="Tahoma" w:cs="Tahoma"/>
                <w:sz w:val="20"/>
                <w:szCs w:val="20"/>
              </w:rPr>
              <w:t xml:space="preserve">в </w:t>
            </w:r>
            <w:r w:rsidRPr="00F369B0">
              <w:rPr>
                <w:rFonts w:ascii="Tahoma" w:hAnsi="Tahoma" w:cs="Tahoma"/>
                <w:color w:val="000000" w:themeColor="text1"/>
                <w:sz w:val="20"/>
                <w:szCs w:val="20"/>
              </w:rPr>
              <w:t xml:space="preserve">случае, если у Клиента отсутствует возможность оперативного получения справки о заработной плате, размер его заработной платы допускается подтверждать выпиской с зарплатного счета карты Клиента, заверенной печатью подразделения и подписью работника кредитной организации, выдавшего выписку, при этом в выписке обязательно должно быть указано назначение платежа, позволяющее однозначно идентифицировать, что поступления являются заработной платой Клиента; </w:t>
            </w:r>
          </w:p>
          <w:p w14:paraId="1597E834" w14:textId="77777777" w:rsidR="00951A61" w:rsidRPr="00F369B0" w:rsidRDefault="00951A61" w:rsidP="00951A61">
            <w:pPr>
              <w:pStyle w:val="affe"/>
              <w:numPr>
                <w:ilvl w:val="0"/>
                <w:numId w:val="40"/>
              </w:numPr>
              <w:ind w:left="0" w:firstLine="425"/>
              <w:contextualSpacing/>
              <w:jc w:val="both"/>
              <w:rPr>
                <w:rFonts w:ascii="Tahoma" w:hAnsi="Tahoma" w:cs="Tahoma"/>
                <w:sz w:val="20"/>
                <w:szCs w:val="20"/>
              </w:rPr>
            </w:pPr>
            <w:r w:rsidRPr="00F369B0">
              <w:rPr>
                <w:rFonts w:ascii="Tahoma" w:hAnsi="Tahoma" w:cs="Tahoma"/>
                <w:color w:val="000000" w:themeColor="text1"/>
                <w:sz w:val="20"/>
                <w:szCs w:val="20"/>
                <w:lang w:val="en-US"/>
              </w:rPr>
              <w:lastRenderedPageBreak/>
              <w:t>c</w:t>
            </w:r>
            <w:r w:rsidRPr="00F369B0">
              <w:rPr>
                <w:rFonts w:ascii="Tahoma" w:hAnsi="Tahoma" w:cs="Tahoma"/>
                <w:color w:val="000000" w:themeColor="text1"/>
                <w:sz w:val="20"/>
                <w:szCs w:val="20"/>
              </w:rPr>
              <w:t>криншот/выписка из мобильного Банка по зарплатному счету Клиента, который (-ая) должна содержать идентификационные данные Клиента, а также назначение платежа, позволяющее однозначно идентифицировать, что поступления являются заработной платой Клиента, скриншот из мобильного Банка по зарплатному счету Клиента должен быть заверен со стороны Клиента (ФИО, дата, подписи);</w:t>
            </w:r>
            <w:r w:rsidRPr="00F369B0">
              <w:rPr>
                <w:rFonts w:ascii="Tahoma" w:hAnsi="Tahoma" w:cs="Tahoma"/>
                <w:color w:val="000000" w:themeColor="text1"/>
              </w:rPr>
              <w:t xml:space="preserve"> </w:t>
            </w:r>
          </w:p>
          <w:p w14:paraId="7FB3D101" w14:textId="77777777" w:rsidR="00951A61" w:rsidRPr="00F369B0" w:rsidRDefault="00951A61" w:rsidP="00951A61">
            <w:pPr>
              <w:pStyle w:val="affe"/>
              <w:numPr>
                <w:ilvl w:val="0"/>
                <w:numId w:val="40"/>
              </w:numPr>
              <w:ind w:left="0" w:firstLine="425"/>
              <w:contextualSpacing/>
              <w:jc w:val="both"/>
              <w:rPr>
                <w:rFonts w:ascii="Tahoma" w:hAnsi="Tahoma" w:cs="Tahoma"/>
                <w:sz w:val="20"/>
                <w:szCs w:val="20"/>
              </w:rPr>
            </w:pPr>
            <w:r w:rsidRPr="00F369B0">
              <w:rPr>
                <w:rFonts w:ascii="Tahoma" w:hAnsi="Tahoma" w:cs="Tahoma"/>
                <w:color w:val="000000" w:themeColor="text1"/>
                <w:sz w:val="20"/>
                <w:szCs w:val="20"/>
              </w:rPr>
              <w:t>выписка из СФР, сформированная Банком / заверенная клиентом (в случае отсутствия технической возможности сформировать выписку СФР Банком);</w:t>
            </w:r>
          </w:p>
          <w:p w14:paraId="30660375" w14:textId="77777777" w:rsidR="00951A61" w:rsidRPr="00F369B0" w:rsidRDefault="00951A61" w:rsidP="00951A61">
            <w:pPr>
              <w:pStyle w:val="affe"/>
              <w:numPr>
                <w:ilvl w:val="0"/>
                <w:numId w:val="28"/>
              </w:numPr>
              <w:ind w:left="0" w:firstLine="425"/>
              <w:contextualSpacing/>
              <w:jc w:val="both"/>
              <w:rPr>
                <w:rFonts w:ascii="Tahoma" w:hAnsi="Tahoma" w:cs="Tahoma"/>
                <w:sz w:val="20"/>
                <w:szCs w:val="20"/>
              </w:rPr>
            </w:pPr>
            <w:r w:rsidRPr="00F369B0">
              <w:rPr>
                <w:rFonts w:ascii="Tahoma" w:hAnsi="Tahoma" w:cs="Tahoma"/>
                <w:sz w:val="20"/>
                <w:szCs w:val="20"/>
              </w:rPr>
              <w:t>Военный билет (не обязательный документ, может быть запрошен при необходимости);</w:t>
            </w:r>
          </w:p>
          <w:p w14:paraId="549F6F27" w14:textId="77777777" w:rsidR="00951A61" w:rsidRPr="00F369B0" w:rsidRDefault="00951A61" w:rsidP="00951A61">
            <w:pPr>
              <w:pStyle w:val="affe"/>
              <w:numPr>
                <w:ilvl w:val="0"/>
                <w:numId w:val="28"/>
              </w:numPr>
              <w:ind w:left="0" w:firstLine="425"/>
              <w:contextualSpacing/>
              <w:jc w:val="both"/>
              <w:rPr>
                <w:rFonts w:ascii="Tahoma" w:hAnsi="Tahoma" w:cs="Tahoma"/>
                <w:sz w:val="20"/>
                <w:szCs w:val="20"/>
              </w:rPr>
            </w:pPr>
            <w:r w:rsidRPr="00F369B0">
              <w:rPr>
                <w:rFonts w:ascii="Tahoma" w:hAnsi="Tahoma" w:cs="Tahoma"/>
                <w:sz w:val="20"/>
                <w:szCs w:val="20"/>
              </w:rPr>
              <w:t>Заёмщиком-ИП/физическим лицом, занимающимся в установленном законодательством Российской Федерации порядке частной практикой, дополнительно предоставляются следующие документы:</w:t>
            </w:r>
          </w:p>
          <w:p w14:paraId="0378083C" w14:textId="77777777" w:rsidR="00951A61" w:rsidRPr="00F369B0" w:rsidRDefault="00951A61" w:rsidP="00951A61">
            <w:pPr>
              <w:pStyle w:val="affe"/>
              <w:numPr>
                <w:ilvl w:val="1"/>
                <w:numId w:val="28"/>
              </w:numPr>
              <w:ind w:left="0" w:firstLine="425"/>
              <w:contextualSpacing/>
              <w:jc w:val="both"/>
              <w:rPr>
                <w:rFonts w:ascii="Tahoma" w:hAnsi="Tahoma" w:cs="Tahoma"/>
                <w:sz w:val="20"/>
                <w:szCs w:val="20"/>
              </w:rPr>
            </w:pPr>
            <w:r w:rsidRPr="00F369B0">
              <w:rPr>
                <w:rFonts w:ascii="Tahoma" w:hAnsi="Tahoma" w:cs="Tahoma"/>
                <w:sz w:val="20"/>
                <w:szCs w:val="20"/>
              </w:rPr>
              <w:t>свидетельство о постановке на учет в качестве ИП/ лицензия на осуществление нотариальной деятельности для частных нотариусов/ удостоверение адвоката для адвокатов, учредивших адвокатский кабинет;</w:t>
            </w:r>
          </w:p>
          <w:p w14:paraId="2EE089D7" w14:textId="77777777" w:rsidR="00951A61" w:rsidRPr="00F369B0" w:rsidRDefault="00951A61" w:rsidP="00951A61">
            <w:pPr>
              <w:pStyle w:val="affe"/>
              <w:numPr>
                <w:ilvl w:val="1"/>
                <w:numId w:val="28"/>
              </w:numPr>
              <w:ind w:left="0" w:firstLine="425"/>
              <w:contextualSpacing/>
              <w:jc w:val="both"/>
              <w:rPr>
                <w:rFonts w:ascii="Tahoma" w:hAnsi="Tahoma" w:cs="Tahoma"/>
                <w:sz w:val="20"/>
                <w:szCs w:val="20"/>
              </w:rPr>
            </w:pPr>
            <w:r w:rsidRPr="00F369B0">
              <w:rPr>
                <w:rFonts w:ascii="Tahoma" w:hAnsi="Tahoma" w:cs="Tahoma"/>
                <w:sz w:val="20"/>
                <w:szCs w:val="20"/>
              </w:rPr>
              <w:t>налоговая декларация/документ, подтверждающий расчет и оплату налога на доходы физических лиц с отметками налогового органа о получении, либо патент;</w:t>
            </w:r>
          </w:p>
          <w:p w14:paraId="7714BEBD" w14:textId="77777777" w:rsidR="00951A61" w:rsidRPr="00F369B0" w:rsidRDefault="00951A61" w:rsidP="00951A61">
            <w:pPr>
              <w:pStyle w:val="affe"/>
              <w:numPr>
                <w:ilvl w:val="1"/>
                <w:numId w:val="28"/>
              </w:numPr>
              <w:ind w:left="0" w:firstLine="425"/>
              <w:contextualSpacing/>
              <w:jc w:val="both"/>
              <w:rPr>
                <w:rFonts w:ascii="Tahoma" w:hAnsi="Tahoma" w:cs="Tahoma"/>
                <w:sz w:val="20"/>
                <w:szCs w:val="20"/>
              </w:rPr>
            </w:pPr>
            <w:r w:rsidRPr="00FD795E">
              <w:rPr>
                <w:rFonts w:ascii="Tahoma" w:hAnsi="Tahoma" w:cs="Tahoma"/>
                <w:sz w:val="20"/>
                <w:szCs w:val="20"/>
                <w:highlight w:val="lightGray"/>
              </w:rPr>
              <w:t>выписка по счетам Заемщика в формате txt</w:t>
            </w:r>
            <w:r>
              <w:rPr>
                <w:rStyle w:val="aff3"/>
                <w:rFonts w:ascii="Tahoma" w:hAnsi="Tahoma" w:cs="Tahoma"/>
                <w:sz w:val="20"/>
                <w:szCs w:val="20"/>
                <w:highlight w:val="lightGray"/>
              </w:rPr>
              <w:footnoteReference w:id="133"/>
            </w:r>
            <w:r w:rsidRPr="00FD795E">
              <w:rPr>
                <w:rFonts w:ascii="Tahoma" w:hAnsi="Tahoma" w:cs="Tahoma"/>
                <w:sz w:val="20"/>
                <w:szCs w:val="20"/>
                <w:highlight w:val="lightGray"/>
              </w:rPr>
              <w:t>/</w:t>
            </w:r>
            <w:r>
              <w:rPr>
                <w:rFonts w:ascii="Tahoma" w:hAnsi="Tahoma" w:cs="Tahoma"/>
                <w:sz w:val="20"/>
                <w:szCs w:val="20"/>
              </w:rPr>
              <w:t xml:space="preserve"> </w:t>
            </w:r>
            <w:r w:rsidRPr="00F369B0">
              <w:rPr>
                <w:rFonts w:ascii="Tahoma" w:hAnsi="Tahoma" w:cs="Tahoma"/>
                <w:sz w:val="20"/>
                <w:szCs w:val="20"/>
              </w:rPr>
              <w:t>квитанции по уплате авансовых платежей/ выписки по счету с указанием уплаты авансовых платежей, уплате единого налога, либо квитанции об уплате стоимости патента в зависимости от системы налогообложения/ квитанции об уплате отчислений в Социальный фонд РФ и Федеральный фонд обязательного медицинского страхования/иные документы, подтверждающие эти отчисления (для предпринимателей, применяющих ЕНВД, не производящих выплаты, и иные вознаграждения физическим лицам, величина налога на вмененный доход которых равна нулю);</w:t>
            </w:r>
          </w:p>
          <w:p w14:paraId="71E65D5B" w14:textId="77777777" w:rsidR="00951A61" w:rsidRPr="00F369B0" w:rsidRDefault="00951A61" w:rsidP="00951A61">
            <w:pPr>
              <w:pStyle w:val="affe"/>
              <w:numPr>
                <w:ilvl w:val="1"/>
                <w:numId w:val="28"/>
              </w:numPr>
              <w:ind w:left="0" w:firstLine="425"/>
              <w:contextualSpacing/>
              <w:jc w:val="both"/>
              <w:rPr>
                <w:rFonts w:ascii="Tahoma" w:hAnsi="Tahoma" w:cs="Tahoma"/>
                <w:sz w:val="20"/>
                <w:szCs w:val="20"/>
              </w:rPr>
            </w:pPr>
            <w:r w:rsidRPr="00F369B0">
              <w:rPr>
                <w:rFonts w:ascii="Tahoma" w:hAnsi="Tahoma" w:cs="Tahoma"/>
                <w:sz w:val="20"/>
                <w:szCs w:val="20"/>
              </w:rPr>
              <w:t>при необходимости, документы, которые требуются от ИП для анализа его финансово-хозяйственной деятельности по стандартам и с учетом требований нормативных документов Банка.</w:t>
            </w:r>
          </w:p>
          <w:p w14:paraId="2D986046" w14:textId="77777777" w:rsidR="00951A61" w:rsidRPr="00F369B0" w:rsidRDefault="00951A61" w:rsidP="00951A61">
            <w:pPr>
              <w:pStyle w:val="affe"/>
              <w:numPr>
                <w:ilvl w:val="0"/>
                <w:numId w:val="28"/>
              </w:numPr>
              <w:ind w:left="0" w:firstLine="425"/>
              <w:contextualSpacing/>
              <w:jc w:val="both"/>
              <w:rPr>
                <w:rFonts w:ascii="Tahoma" w:hAnsi="Tahoma" w:cs="Tahoma"/>
                <w:sz w:val="20"/>
                <w:szCs w:val="20"/>
              </w:rPr>
            </w:pPr>
            <w:r w:rsidRPr="00F369B0">
              <w:rPr>
                <w:rFonts w:ascii="Tahoma" w:hAnsi="Tahoma" w:cs="Tahoma"/>
                <w:sz w:val="20"/>
                <w:szCs w:val="20"/>
              </w:rPr>
              <w:t xml:space="preserve">Для самозанятых граждан: </w:t>
            </w:r>
          </w:p>
          <w:p w14:paraId="49B22CC7" w14:textId="77777777" w:rsidR="00951A61" w:rsidRPr="00F369B0" w:rsidRDefault="00951A61" w:rsidP="00951A61">
            <w:pPr>
              <w:pStyle w:val="affe"/>
              <w:numPr>
                <w:ilvl w:val="0"/>
                <w:numId w:val="67"/>
              </w:numPr>
              <w:ind w:left="0" w:firstLine="425"/>
              <w:contextualSpacing/>
              <w:jc w:val="both"/>
              <w:rPr>
                <w:rFonts w:ascii="Tahoma" w:hAnsi="Tahoma" w:cs="Tahoma"/>
                <w:sz w:val="20"/>
                <w:szCs w:val="20"/>
              </w:rPr>
            </w:pPr>
            <w:r w:rsidRPr="00F369B0">
              <w:rPr>
                <w:rFonts w:ascii="Tahoma" w:hAnsi="Tahoma" w:cs="Tahoma"/>
                <w:sz w:val="20"/>
                <w:szCs w:val="20"/>
              </w:rPr>
              <w:t>справка о постановке на учет самозанятого. Документ может быть сформирован в специализированном мобильном приложении или в веб-кабинете «Мой налог» на официальном сайте ФНС РФ. При корректном формировании электронная справка подписывается электронной подписью ФНС РФ. Данный документ необходимо распечатать и заверить подписью Заемщика;</w:t>
            </w:r>
          </w:p>
          <w:p w14:paraId="536CB5D8" w14:textId="77777777" w:rsidR="00951A61" w:rsidRPr="00F369B0" w:rsidRDefault="00951A61" w:rsidP="00951A61">
            <w:pPr>
              <w:pStyle w:val="affe"/>
              <w:numPr>
                <w:ilvl w:val="0"/>
                <w:numId w:val="67"/>
              </w:numPr>
              <w:ind w:left="0" w:firstLine="425"/>
              <w:contextualSpacing/>
              <w:jc w:val="both"/>
              <w:rPr>
                <w:rFonts w:ascii="Tahoma" w:hAnsi="Tahoma" w:cs="Tahoma"/>
                <w:sz w:val="20"/>
                <w:szCs w:val="20"/>
              </w:rPr>
            </w:pPr>
            <w:r w:rsidRPr="00F369B0">
              <w:rPr>
                <w:rFonts w:ascii="Tahoma" w:hAnsi="Tahoma" w:cs="Tahoma"/>
                <w:sz w:val="20"/>
                <w:szCs w:val="20"/>
              </w:rPr>
              <w:t>справка о состоянии расчетов (доходах) по налогу на профессиональный доход для самозанятых (копия, заверенная заемщиком) или оригинал.</w:t>
            </w:r>
          </w:p>
          <w:p w14:paraId="0C88FA5C" w14:textId="77777777" w:rsidR="00951A61" w:rsidRPr="00F369B0" w:rsidRDefault="00951A61" w:rsidP="00951A61">
            <w:pPr>
              <w:pStyle w:val="affe"/>
              <w:numPr>
                <w:ilvl w:val="0"/>
                <w:numId w:val="28"/>
              </w:numPr>
              <w:ind w:left="0" w:firstLine="425"/>
              <w:contextualSpacing/>
              <w:jc w:val="both"/>
              <w:rPr>
                <w:rFonts w:ascii="Tahoma" w:hAnsi="Tahoma" w:cs="Tahoma"/>
                <w:sz w:val="20"/>
                <w:szCs w:val="20"/>
              </w:rPr>
            </w:pPr>
            <w:r w:rsidRPr="00F369B0">
              <w:rPr>
                <w:rFonts w:ascii="Tahoma" w:hAnsi="Tahoma" w:cs="Tahoma"/>
                <w:sz w:val="20"/>
                <w:szCs w:val="20"/>
              </w:rPr>
              <w:t xml:space="preserve"> При необходимости Банком могут быть запрошены иные документы.</w:t>
            </w:r>
          </w:p>
          <w:p w14:paraId="7DF95B8F" w14:textId="77777777" w:rsidR="00951A61" w:rsidRPr="00F369B0" w:rsidRDefault="00951A61" w:rsidP="00951A61">
            <w:pPr>
              <w:pStyle w:val="affe"/>
              <w:numPr>
                <w:ilvl w:val="0"/>
                <w:numId w:val="28"/>
              </w:numPr>
              <w:ind w:left="0" w:firstLine="425"/>
              <w:contextualSpacing/>
              <w:jc w:val="both"/>
              <w:rPr>
                <w:rFonts w:ascii="Tahoma" w:hAnsi="Tahoma" w:cs="Tahoma"/>
                <w:sz w:val="20"/>
                <w:szCs w:val="20"/>
              </w:rPr>
            </w:pPr>
            <w:r w:rsidRPr="00F369B0">
              <w:rPr>
                <w:rFonts w:ascii="Tahoma" w:hAnsi="Tahoma" w:cs="Tahoma"/>
                <w:sz w:val="20"/>
                <w:szCs w:val="20"/>
              </w:rPr>
              <w:t xml:space="preserve"> В качестве документов, подтверждающих занятость и доход, Банком могут быть использованы данные из открытых источников или сведения, предоставленные государственными органами. Возможность использования таких сведений в качестве подтверждения занятости и дохода клиента остается на усмотрение Банка.</w:t>
            </w:r>
          </w:p>
        </w:tc>
      </w:tr>
      <w:tr w:rsidR="00951A61" w:rsidRPr="00F369B0" w14:paraId="075ED6E2"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75E9350E" w14:textId="77777777" w:rsidR="00951A61" w:rsidRPr="00F369B0" w:rsidRDefault="00951A61" w:rsidP="00A4032F">
            <w:pPr>
              <w:jc w:val="center"/>
              <w:rPr>
                <w:rFonts w:ascii="Tahoma" w:hAnsi="Tahoma" w:cs="Tahoma"/>
                <w:b/>
                <w:sz w:val="20"/>
                <w:szCs w:val="20"/>
              </w:rPr>
            </w:pPr>
            <w:r w:rsidRPr="00F369B0">
              <w:rPr>
                <w:rFonts w:ascii="Tahoma" w:hAnsi="Tahoma" w:cs="Tahoma"/>
                <w:b/>
                <w:sz w:val="20"/>
                <w:szCs w:val="20"/>
              </w:rPr>
              <w:lastRenderedPageBreak/>
              <w:t>Перечень документов по Объекту недвижимости, передаваемому в залог Банку</w:t>
            </w:r>
          </w:p>
          <w:p w14:paraId="0EA5483C" w14:textId="77777777" w:rsidR="00951A61" w:rsidRPr="00F369B0" w:rsidRDefault="00951A61" w:rsidP="00A4032F">
            <w:pPr>
              <w:jc w:val="center"/>
              <w:rPr>
                <w:rFonts w:ascii="Tahoma" w:hAnsi="Tahoma" w:cs="Tahoma"/>
                <w:b/>
                <w:sz w:val="20"/>
                <w:szCs w:val="20"/>
              </w:rPr>
            </w:pPr>
          </w:p>
        </w:tc>
        <w:tc>
          <w:tcPr>
            <w:tcW w:w="11452" w:type="dxa"/>
            <w:tcBorders>
              <w:top w:val="single" w:sz="4" w:space="0" w:color="auto"/>
              <w:left w:val="nil"/>
              <w:bottom w:val="single" w:sz="4" w:space="0" w:color="auto"/>
              <w:right w:val="single" w:sz="4" w:space="0" w:color="auto"/>
            </w:tcBorders>
            <w:shd w:val="clear" w:color="auto" w:fill="auto"/>
            <w:vAlign w:val="center"/>
          </w:tcPr>
          <w:p w14:paraId="75D0D9DE" w14:textId="77777777" w:rsidR="00951A61" w:rsidRPr="00F369B0" w:rsidRDefault="00951A61" w:rsidP="00A4032F">
            <w:pPr>
              <w:ind w:firstLine="425"/>
              <w:jc w:val="both"/>
              <w:rPr>
                <w:rFonts w:ascii="Tahoma" w:hAnsi="Tahoma" w:cs="Tahoma"/>
                <w:b/>
                <w:sz w:val="20"/>
                <w:szCs w:val="20"/>
              </w:rPr>
            </w:pPr>
            <w:r w:rsidRPr="00F369B0">
              <w:rPr>
                <w:rFonts w:ascii="Tahoma" w:hAnsi="Tahoma" w:cs="Tahoma"/>
                <w:b/>
                <w:sz w:val="20"/>
              </w:rPr>
              <w:t xml:space="preserve">При </w:t>
            </w:r>
            <w:r w:rsidRPr="00F369B0">
              <w:rPr>
                <w:rFonts w:ascii="Tahoma" w:hAnsi="Tahoma" w:cs="Tahoma"/>
                <w:b/>
                <w:sz w:val="20"/>
                <w:szCs w:val="20"/>
              </w:rPr>
              <w:t>приобретени</w:t>
            </w:r>
            <w:r w:rsidRPr="00F369B0">
              <w:rPr>
                <w:rFonts w:ascii="Tahoma" w:hAnsi="Tahoma" w:cs="Tahoma"/>
                <w:b/>
                <w:sz w:val="20"/>
              </w:rPr>
              <w:t>и</w:t>
            </w:r>
            <w:r w:rsidRPr="00F369B0">
              <w:rPr>
                <w:rFonts w:ascii="Tahoma" w:hAnsi="Tahoma" w:cs="Tahoma"/>
                <w:b/>
                <w:sz w:val="20"/>
                <w:szCs w:val="20"/>
              </w:rPr>
              <w:t xml:space="preserve"> находящегося на этапе строительства жилого помещения</w:t>
            </w:r>
          </w:p>
          <w:p w14:paraId="68432311" w14:textId="77777777" w:rsidR="00951A61" w:rsidRPr="00F369B0" w:rsidRDefault="00951A61" w:rsidP="00A4032F">
            <w:pPr>
              <w:ind w:firstLine="425"/>
              <w:jc w:val="both"/>
              <w:rPr>
                <w:rFonts w:ascii="Tahoma" w:hAnsi="Tahoma" w:cs="Tahoma"/>
                <w:sz w:val="20"/>
                <w:szCs w:val="20"/>
              </w:rPr>
            </w:pPr>
            <w:r w:rsidRPr="00F369B0">
              <w:rPr>
                <w:rFonts w:ascii="Tahoma" w:hAnsi="Tahoma" w:cs="Tahoma"/>
                <w:sz w:val="20"/>
                <w:szCs w:val="20"/>
              </w:rPr>
              <w:t>Проект договора долевого участия в строительстве.</w:t>
            </w:r>
          </w:p>
          <w:p w14:paraId="72A5221B" w14:textId="77777777" w:rsidR="00951A61" w:rsidRPr="00F369B0" w:rsidRDefault="00951A61" w:rsidP="00A4032F">
            <w:pPr>
              <w:ind w:firstLine="425"/>
              <w:jc w:val="both"/>
              <w:rPr>
                <w:rFonts w:ascii="Tahoma" w:hAnsi="Tahoma" w:cs="Tahoma"/>
                <w:sz w:val="20"/>
                <w:szCs w:val="20"/>
              </w:rPr>
            </w:pPr>
            <w:r w:rsidRPr="00F369B0">
              <w:rPr>
                <w:rFonts w:ascii="Tahoma" w:hAnsi="Tahoma" w:cs="Tahoma"/>
                <w:b/>
                <w:sz w:val="20"/>
                <w:szCs w:val="20"/>
              </w:rPr>
              <w:t>При приобретении готового жилого помещения/ рефинансировании кредита:</w:t>
            </w:r>
          </w:p>
          <w:p w14:paraId="441A6B55" w14:textId="77777777" w:rsidR="00951A61" w:rsidRPr="00F369B0" w:rsidRDefault="00951A61" w:rsidP="00A4032F">
            <w:pPr>
              <w:ind w:firstLine="425"/>
              <w:jc w:val="both"/>
              <w:rPr>
                <w:rFonts w:ascii="Tahoma" w:hAnsi="Tahoma" w:cs="Tahoma"/>
                <w:sz w:val="20"/>
                <w:szCs w:val="20"/>
              </w:rPr>
            </w:pPr>
            <w:r w:rsidRPr="00F369B0">
              <w:rPr>
                <w:rFonts w:ascii="Tahoma" w:hAnsi="Tahoma" w:cs="Tahoma"/>
                <w:sz w:val="20"/>
                <w:szCs w:val="20"/>
              </w:rPr>
              <w:t>Отчет об оценке предмета ипотеки</w:t>
            </w:r>
            <w:r w:rsidRPr="00F369B0">
              <w:rPr>
                <w:rStyle w:val="aff3"/>
                <w:rFonts w:ascii="Tahoma" w:hAnsi="Tahoma"/>
                <w:sz w:val="20"/>
                <w:szCs w:val="20"/>
              </w:rPr>
              <w:footnoteReference w:id="134"/>
            </w:r>
            <w:r w:rsidRPr="00F369B0">
              <w:rPr>
                <w:rFonts w:ascii="Tahoma" w:hAnsi="Tahoma" w:cs="Tahoma"/>
                <w:sz w:val="20"/>
                <w:szCs w:val="20"/>
              </w:rPr>
              <w:t>;</w:t>
            </w:r>
          </w:p>
          <w:p w14:paraId="449469BB" w14:textId="77777777" w:rsidR="00951A61" w:rsidRPr="00BF1C29" w:rsidRDefault="00951A61" w:rsidP="00A4032F">
            <w:pPr>
              <w:ind w:firstLine="425"/>
              <w:jc w:val="both"/>
              <w:rPr>
                <w:rFonts w:ascii="Tahoma" w:hAnsi="Tahoma" w:cs="Tahoma"/>
                <w:sz w:val="20"/>
                <w:szCs w:val="20"/>
              </w:rPr>
            </w:pPr>
            <w:r w:rsidRPr="00BF1C29">
              <w:rPr>
                <w:rFonts w:ascii="Tahoma" w:hAnsi="Tahoma" w:cs="Tahoma"/>
                <w:sz w:val="20"/>
                <w:szCs w:val="20"/>
              </w:rPr>
              <w:lastRenderedPageBreak/>
              <w:t>Правоустанавливающие и правоподтверждающие документы на Объект недвижимости (договор купли-продажи, мены, дарения и т. п., свидетельство о государственной регистрации права собственности на недвижимость (при наличии) или выписка из ЕГРН);</w:t>
            </w:r>
          </w:p>
          <w:p w14:paraId="0CA8FA36" w14:textId="77777777" w:rsidR="00951A61" w:rsidRPr="00F369B0" w:rsidRDefault="00951A61" w:rsidP="00A4032F">
            <w:pPr>
              <w:ind w:firstLine="425"/>
              <w:jc w:val="both"/>
              <w:rPr>
                <w:rFonts w:ascii="Tahoma" w:hAnsi="Tahoma" w:cs="Tahoma"/>
                <w:sz w:val="20"/>
                <w:szCs w:val="20"/>
              </w:rPr>
            </w:pPr>
            <w:r w:rsidRPr="009C4568">
              <w:rPr>
                <w:rFonts w:ascii="Tahoma" w:hAnsi="Tahoma" w:cs="Tahoma"/>
                <w:sz w:val="20"/>
                <w:szCs w:val="20"/>
              </w:rPr>
              <w:t>Уведомление о соответствии построенного или реконструированного объекта индивидуального жилищного строительства требованиям законодательства (для индивидуального предпринимателя – застройщика и первого собственника).</w:t>
            </w:r>
          </w:p>
          <w:p w14:paraId="4993A3D6" w14:textId="77777777" w:rsidR="00951A61" w:rsidRPr="00F369B0" w:rsidRDefault="00951A61" w:rsidP="00A4032F">
            <w:pPr>
              <w:ind w:firstLine="425"/>
              <w:jc w:val="both"/>
              <w:rPr>
                <w:rFonts w:ascii="Tahoma" w:hAnsi="Tahoma" w:cs="Tahoma"/>
                <w:sz w:val="20"/>
                <w:szCs w:val="20"/>
              </w:rPr>
            </w:pPr>
            <w:r w:rsidRPr="00F369B0">
              <w:rPr>
                <w:rFonts w:ascii="Tahoma" w:hAnsi="Tahoma" w:cs="Tahoma"/>
                <w:sz w:val="20"/>
                <w:szCs w:val="20"/>
              </w:rPr>
              <w:t>Кадастровый или технический паспорт/план (техническая документация).</w:t>
            </w:r>
          </w:p>
          <w:p w14:paraId="400127C0" w14:textId="77777777" w:rsidR="00951A61" w:rsidRPr="00F369B0" w:rsidRDefault="00951A61" w:rsidP="00A4032F">
            <w:pPr>
              <w:ind w:firstLine="425"/>
              <w:jc w:val="both"/>
              <w:rPr>
                <w:rFonts w:ascii="Tahoma" w:hAnsi="Tahoma" w:cs="Tahoma"/>
                <w:sz w:val="20"/>
                <w:szCs w:val="20"/>
              </w:rPr>
            </w:pPr>
            <w:r w:rsidRPr="00F369B0">
              <w:rPr>
                <w:rFonts w:ascii="Tahoma" w:hAnsi="Tahoma" w:cs="Tahoma"/>
                <w:sz w:val="20"/>
                <w:szCs w:val="20"/>
              </w:rPr>
              <w:t>При необходимости Банком могут быть запрошены иные документы.</w:t>
            </w:r>
          </w:p>
        </w:tc>
      </w:tr>
      <w:tr w:rsidR="00951A61" w:rsidRPr="00F369B0" w14:paraId="1B1167D4"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5C663F51" w14:textId="77777777" w:rsidR="00951A61" w:rsidRPr="00A6616E" w:rsidRDefault="00951A61" w:rsidP="00A4032F">
            <w:pPr>
              <w:jc w:val="center"/>
              <w:rPr>
                <w:rFonts w:ascii="Tahoma" w:hAnsi="Tahoma" w:cs="Tahoma"/>
                <w:b/>
                <w:sz w:val="20"/>
                <w:szCs w:val="20"/>
              </w:rPr>
            </w:pPr>
            <w:r w:rsidRPr="00A6616E">
              <w:rPr>
                <w:rFonts w:ascii="Tahoma" w:hAnsi="Tahoma" w:cs="Tahoma"/>
                <w:b/>
                <w:sz w:val="20"/>
                <w:szCs w:val="20"/>
              </w:rPr>
              <w:lastRenderedPageBreak/>
              <w:t xml:space="preserve">Дополнительные требования к Рефинансируемому кредиту, к </w:t>
            </w:r>
            <w:r w:rsidRPr="00D44360">
              <w:rPr>
                <w:rFonts w:ascii="Tahoma" w:hAnsi="Tahoma" w:cs="Tahoma"/>
                <w:b/>
                <w:sz w:val="20"/>
                <w:szCs w:val="20"/>
              </w:rPr>
              <w:t>Кредиту на погашение ранее выданного Рефинансируемого кредита,</w:t>
            </w:r>
            <w:r w:rsidRPr="00A6616E">
              <w:rPr>
                <w:rFonts w:ascii="Tahoma" w:hAnsi="Tahoma" w:cs="Tahoma"/>
                <w:b/>
                <w:sz w:val="20"/>
                <w:szCs w:val="20"/>
              </w:rPr>
              <w:t xml:space="preserve"> к документам и к проведению расчетов по сделке, если целью кредита является Рефинансирование ипотечного кредита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5997EE80" w14:textId="77777777" w:rsidR="00951A61" w:rsidRPr="00F369B0" w:rsidRDefault="00951A61" w:rsidP="00951A61">
            <w:pPr>
              <w:pStyle w:val="FooterEven"/>
              <w:numPr>
                <w:ilvl w:val="0"/>
                <w:numId w:val="66"/>
              </w:numPr>
              <w:tabs>
                <w:tab w:val="clear" w:pos="4320"/>
                <w:tab w:val="clear" w:pos="8640"/>
                <w:tab w:val="right" w:pos="0"/>
                <w:tab w:val="left" w:pos="97"/>
                <w:tab w:val="right" w:pos="982"/>
              </w:tabs>
              <w:ind w:left="0" w:firstLine="425"/>
              <w:jc w:val="both"/>
              <w:rPr>
                <w:rFonts w:ascii="Tahoma" w:hAnsi="Tahoma" w:cs="Tahoma"/>
                <w:sz w:val="20"/>
              </w:rPr>
            </w:pPr>
            <w:r w:rsidRPr="00F369B0">
              <w:rPr>
                <w:rFonts w:ascii="Tahoma" w:hAnsi="Tahoma" w:cs="Tahoma"/>
                <w:sz w:val="20"/>
              </w:rPr>
              <w:t>Требования к кредитной истории по Рефинансируемому кредиту, Кредиту на погашение ранее выданного Рефинансируемого кредита:</w:t>
            </w:r>
          </w:p>
          <w:p w14:paraId="34A589CE" w14:textId="77777777" w:rsidR="00951A61" w:rsidRPr="00F369B0" w:rsidRDefault="00951A61" w:rsidP="00951A61">
            <w:pPr>
              <w:pStyle w:val="FooterEven"/>
              <w:numPr>
                <w:ilvl w:val="1"/>
                <w:numId w:val="66"/>
              </w:numPr>
              <w:tabs>
                <w:tab w:val="clear" w:pos="4320"/>
                <w:tab w:val="clear" w:pos="8640"/>
                <w:tab w:val="left" w:pos="341"/>
                <w:tab w:val="left" w:pos="982"/>
              </w:tabs>
              <w:ind w:left="0" w:firstLine="425"/>
              <w:jc w:val="both"/>
              <w:rPr>
                <w:rFonts w:ascii="Tahoma" w:hAnsi="Tahoma" w:cs="Tahoma"/>
                <w:b w:val="0"/>
                <w:sz w:val="20"/>
              </w:rPr>
            </w:pPr>
            <w:r w:rsidRPr="00F369B0">
              <w:rPr>
                <w:rFonts w:ascii="Tahoma" w:hAnsi="Tahoma" w:cs="Tahoma"/>
                <w:b w:val="0"/>
                <w:sz w:val="20"/>
              </w:rPr>
              <w:t>Заемщиком погашено не менее 6 (Шести)</w:t>
            </w:r>
            <w:r w:rsidRPr="00F369B0">
              <w:rPr>
                <w:rStyle w:val="aff3"/>
                <w:rFonts w:ascii="Tahoma" w:hAnsi="Tahoma"/>
                <w:b w:val="0"/>
                <w:sz w:val="20"/>
              </w:rPr>
              <w:footnoteReference w:id="135"/>
            </w:r>
            <w:r w:rsidRPr="00F369B0">
              <w:rPr>
                <w:rFonts w:ascii="Tahoma" w:hAnsi="Tahoma" w:cs="Tahoma"/>
                <w:b w:val="0"/>
                <w:sz w:val="20"/>
              </w:rPr>
              <w:t xml:space="preserve"> ежемесячных платежей по Рефинансируемого ипотечному кредиту с даты оформления;</w:t>
            </w:r>
          </w:p>
          <w:p w14:paraId="4DA46D7D" w14:textId="77777777" w:rsidR="00951A61" w:rsidRPr="00F369B0" w:rsidRDefault="00951A61" w:rsidP="00951A61">
            <w:pPr>
              <w:pStyle w:val="FooterEven"/>
              <w:numPr>
                <w:ilvl w:val="1"/>
                <w:numId w:val="66"/>
              </w:numPr>
              <w:tabs>
                <w:tab w:val="clear" w:pos="4320"/>
                <w:tab w:val="clear" w:pos="8640"/>
                <w:tab w:val="left" w:pos="341"/>
                <w:tab w:val="left" w:pos="982"/>
              </w:tabs>
              <w:ind w:left="0" w:firstLine="425"/>
              <w:jc w:val="both"/>
              <w:rPr>
                <w:rFonts w:ascii="Tahoma" w:hAnsi="Tahoma" w:cs="Tahoma"/>
                <w:sz w:val="20"/>
              </w:rPr>
            </w:pPr>
            <w:r w:rsidRPr="00F369B0">
              <w:rPr>
                <w:rFonts w:ascii="Tahoma" w:hAnsi="Tahoma" w:cs="Tahoma"/>
                <w:b w:val="0"/>
                <w:sz w:val="20"/>
              </w:rPr>
              <w:t>Отсутствуют факты просроченной задолженности:</w:t>
            </w:r>
          </w:p>
          <w:p w14:paraId="38094374" w14:textId="77777777" w:rsidR="00951A61" w:rsidRPr="00F369B0" w:rsidRDefault="00951A61" w:rsidP="00951A61">
            <w:pPr>
              <w:pStyle w:val="1-"/>
              <w:numPr>
                <w:ilvl w:val="0"/>
                <w:numId w:val="25"/>
              </w:numPr>
              <w:tabs>
                <w:tab w:val="left" w:pos="664"/>
              </w:tabs>
              <w:spacing w:before="0"/>
              <w:ind w:left="0" w:firstLine="425"/>
              <w:rPr>
                <w:rFonts w:ascii="Tahoma" w:eastAsia="Calibri" w:hAnsi="Tahoma" w:cs="Tahoma"/>
                <w:spacing w:val="0"/>
                <w:sz w:val="20"/>
                <w:szCs w:val="20"/>
                <w:lang w:eastAsia="ar-SA"/>
              </w:rPr>
            </w:pPr>
            <w:r w:rsidRPr="00F369B0">
              <w:rPr>
                <w:rFonts w:ascii="Tahoma" w:eastAsia="Calibri" w:hAnsi="Tahoma" w:cs="Tahoma"/>
                <w:spacing w:val="0"/>
                <w:sz w:val="20"/>
                <w:szCs w:val="20"/>
                <w:lang w:eastAsia="ar-SA"/>
              </w:rPr>
              <w:t>более чем 3 (Три) просроченных платежа в течение 6 (Шести) последних месяцев от 5 до 30 календарных дней каждый, но совокупности не более 30 календарных дней просрочки</w:t>
            </w:r>
          </w:p>
          <w:p w14:paraId="566D9A52" w14:textId="77777777" w:rsidR="00951A61" w:rsidRPr="00F369B0" w:rsidRDefault="00951A61" w:rsidP="00951A61">
            <w:pPr>
              <w:pStyle w:val="1-"/>
              <w:numPr>
                <w:ilvl w:val="0"/>
                <w:numId w:val="25"/>
              </w:numPr>
              <w:tabs>
                <w:tab w:val="left" w:pos="664"/>
              </w:tabs>
              <w:spacing w:before="0"/>
              <w:ind w:left="0" w:firstLine="425"/>
              <w:rPr>
                <w:rFonts w:ascii="Tahoma" w:eastAsia="Calibri" w:hAnsi="Tahoma" w:cs="Tahoma"/>
                <w:spacing w:val="0"/>
                <w:sz w:val="20"/>
                <w:szCs w:val="20"/>
                <w:lang w:eastAsia="ar-SA"/>
              </w:rPr>
            </w:pPr>
            <w:r w:rsidRPr="00F369B0">
              <w:rPr>
                <w:rFonts w:ascii="Tahoma" w:eastAsia="Calibri" w:hAnsi="Tahoma" w:cs="Tahoma"/>
                <w:spacing w:val="0"/>
                <w:sz w:val="20"/>
                <w:szCs w:val="20"/>
                <w:lang w:eastAsia="ar-SA"/>
              </w:rPr>
              <w:t>более чем на 30 (Тридцать) календарных дней за 3 последних года обслуживания рефинансируемого кредита.</w:t>
            </w:r>
          </w:p>
          <w:p w14:paraId="45C62C2E" w14:textId="77777777" w:rsidR="00951A61" w:rsidRPr="00F369B0" w:rsidRDefault="00951A61" w:rsidP="00A4032F">
            <w:pPr>
              <w:pStyle w:val="1-"/>
              <w:tabs>
                <w:tab w:val="left" w:pos="664"/>
              </w:tabs>
              <w:spacing w:before="0"/>
              <w:ind w:left="0" w:firstLine="425"/>
              <w:rPr>
                <w:rFonts w:ascii="Tahoma" w:eastAsia="Calibri" w:hAnsi="Tahoma" w:cs="Tahoma"/>
                <w:spacing w:val="0"/>
                <w:sz w:val="20"/>
                <w:szCs w:val="20"/>
                <w:lang w:eastAsia="ar-SA"/>
              </w:rPr>
            </w:pPr>
          </w:p>
          <w:p w14:paraId="5E99CC3B" w14:textId="77777777" w:rsidR="00951A61" w:rsidRPr="00F369B0" w:rsidRDefault="00951A61" w:rsidP="00951A61">
            <w:pPr>
              <w:pStyle w:val="1-"/>
              <w:numPr>
                <w:ilvl w:val="0"/>
                <w:numId w:val="66"/>
              </w:numPr>
              <w:tabs>
                <w:tab w:val="left" w:pos="664"/>
              </w:tabs>
              <w:spacing w:before="0"/>
              <w:ind w:left="0" w:firstLine="425"/>
              <w:rPr>
                <w:rFonts w:ascii="Tahoma" w:eastAsia="Calibri" w:hAnsi="Tahoma" w:cs="Tahoma"/>
                <w:b/>
                <w:spacing w:val="0"/>
                <w:sz w:val="20"/>
                <w:szCs w:val="20"/>
                <w:lang w:eastAsia="ar-SA"/>
              </w:rPr>
            </w:pPr>
            <w:r w:rsidRPr="00F369B0">
              <w:rPr>
                <w:rFonts w:ascii="Tahoma" w:hAnsi="Tahoma" w:cs="Tahoma"/>
                <w:b/>
                <w:sz w:val="20"/>
              </w:rPr>
              <w:t>Требования к Кредитору по действующим кредитам Заемщика:</w:t>
            </w:r>
          </w:p>
          <w:p w14:paraId="4D3CE660" w14:textId="77777777" w:rsidR="00951A61" w:rsidRPr="00F369B0" w:rsidRDefault="00951A61" w:rsidP="00A4032F">
            <w:pPr>
              <w:pStyle w:val="FooterEven"/>
              <w:tabs>
                <w:tab w:val="clear" w:pos="4320"/>
                <w:tab w:val="right" w:pos="0"/>
                <w:tab w:val="left" w:pos="97"/>
                <w:tab w:val="center" w:pos="688"/>
              </w:tabs>
              <w:ind w:firstLine="425"/>
              <w:jc w:val="both"/>
              <w:rPr>
                <w:rFonts w:ascii="Tahoma" w:eastAsia="Times New Roman" w:hAnsi="Tahoma" w:cs="Tahoma"/>
                <w:bCs/>
                <w:kern w:val="32"/>
                <w:sz w:val="20"/>
                <w:lang w:eastAsia="en-US"/>
              </w:rPr>
            </w:pPr>
            <w:r w:rsidRPr="00F369B0">
              <w:rPr>
                <w:rFonts w:ascii="Tahoma" w:hAnsi="Tahoma" w:cs="Tahoma"/>
                <w:b w:val="0"/>
                <w:sz w:val="20"/>
              </w:rPr>
              <w:t>Кредитором по действующим кредитам Заемщика не может быть банк/иная некредитная организация с отозванной лицензией, либо находящаяся в стадии банкротства</w:t>
            </w:r>
          </w:p>
          <w:p w14:paraId="345EBCC7" w14:textId="77777777" w:rsidR="00951A61" w:rsidRPr="00F369B0" w:rsidRDefault="00951A61" w:rsidP="00951A61">
            <w:pPr>
              <w:pStyle w:val="FooterEven"/>
              <w:numPr>
                <w:ilvl w:val="0"/>
                <w:numId w:val="66"/>
              </w:numPr>
              <w:tabs>
                <w:tab w:val="clear" w:pos="4320"/>
                <w:tab w:val="right" w:pos="0"/>
                <w:tab w:val="left" w:pos="97"/>
                <w:tab w:val="center" w:pos="688"/>
              </w:tabs>
              <w:ind w:left="0" w:firstLine="425"/>
              <w:jc w:val="both"/>
              <w:rPr>
                <w:rFonts w:ascii="Tahoma" w:hAnsi="Tahoma" w:cs="Tahoma"/>
                <w:b w:val="0"/>
                <w:sz w:val="20"/>
              </w:rPr>
            </w:pPr>
            <w:r w:rsidRPr="00F369B0">
              <w:rPr>
                <w:rFonts w:ascii="Tahoma" w:hAnsi="Tahoma" w:cs="Tahoma"/>
                <w:sz w:val="20"/>
              </w:rPr>
              <w:t>До подписания кредитно-обеспечительной документации по сделке в Банк должен быть дополнительно предоставлен следующий документ:</w:t>
            </w:r>
            <w:r w:rsidRPr="00F369B0">
              <w:rPr>
                <w:rFonts w:ascii="Tahoma" w:hAnsi="Tahoma" w:cs="Tahoma"/>
                <w:b w:val="0"/>
                <w:sz w:val="20"/>
              </w:rPr>
              <w:t xml:space="preserve"> нотариально удостоверенная доверенность от Заемщика на имя работника Банка, содержащая полномочия на осуществление действий по полному досрочному погашению задолженности Заемщика перед банком-залогодержателем, на осуществление регистрационных действий, включая снятие обременения банка-залогодержателя, с правом получения погашенной закладной в банке-залогодержателе, в том числе регистрация залога в пользу Банка</w:t>
            </w:r>
            <w:r w:rsidRPr="00F369B0">
              <w:rPr>
                <w:rStyle w:val="aff3"/>
                <w:rFonts w:ascii="Tahoma" w:hAnsi="Tahoma"/>
                <w:b w:val="0"/>
                <w:sz w:val="20"/>
              </w:rPr>
              <w:footnoteReference w:id="136"/>
            </w:r>
            <w:r w:rsidRPr="00F369B0">
              <w:rPr>
                <w:rFonts w:ascii="Tahoma" w:hAnsi="Tahoma" w:cs="Tahoma"/>
                <w:b w:val="0"/>
                <w:sz w:val="20"/>
              </w:rPr>
              <w:t xml:space="preserve"> (дополнительные требования к оформляемой доверенности указаны в Приложение №1 к настоящему документу).</w:t>
            </w:r>
          </w:p>
          <w:p w14:paraId="317CF835" w14:textId="77777777" w:rsidR="00951A61" w:rsidRPr="00F369B0" w:rsidRDefault="00951A61" w:rsidP="00A4032F">
            <w:pPr>
              <w:pStyle w:val="FooterEven"/>
              <w:tabs>
                <w:tab w:val="left" w:pos="97"/>
              </w:tabs>
              <w:ind w:firstLine="425"/>
              <w:jc w:val="both"/>
              <w:rPr>
                <w:rFonts w:ascii="Tahoma" w:hAnsi="Tahoma" w:cs="Tahoma"/>
                <w:b w:val="0"/>
                <w:sz w:val="20"/>
              </w:rPr>
            </w:pPr>
          </w:p>
          <w:p w14:paraId="224AE1E5" w14:textId="77777777" w:rsidR="00951A61" w:rsidRPr="00F369B0" w:rsidRDefault="00951A61" w:rsidP="00951A61">
            <w:pPr>
              <w:pStyle w:val="FooterEven"/>
              <w:numPr>
                <w:ilvl w:val="0"/>
                <w:numId w:val="66"/>
              </w:numPr>
              <w:tabs>
                <w:tab w:val="clear" w:pos="4320"/>
                <w:tab w:val="right" w:pos="0"/>
                <w:tab w:val="left" w:pos="97"/>
                <w:tab w:val="center" w:pos="688"/>
              </w:tabs>
              <w:ind w:left="0" w:firstLine="425"/>
              <w:jc w:val="both"/>
              <w:rPr>
                <w:rFonts w:ascii="Tahoma" w:eastAsia="Times New Roman" w:hAnsi="Tahoma" w:cs="Tahoma"/>
                <w:bCs/>
                <w:kern w:val="32"/>
                <w:sz w:val="20"/>
                <w:lang w:eastAsia="en-US"/>
              </w:rPr>
            </w:pPr>
            <w:r w:rsidRPr="00F369B0">
              <w:rPr>
                <w:rFonts w:ascii="Tahoma" w:hAnsi="Tahoma" w:cs="Tahoma"/>
                <w:sz w:val="20"/>
              </w:rPr>
              <w:t>Требования к проведению расчетов по сделке:</w:t>
            </w:r>
          </w:p>
          <w:p w14:paraId="2DC8E376" w14:textId="77777777" w:rsidR="00951A61" w:rsidRPr="00F369B0" w:rsidRDefault="00951A61" w:rsidP="00A4032F">
            <w:pPr>
              <w:pStyle w:val="FooterEven"/>
              <w:tabs>
                <w:tab w:val="clear" w:pos="4320"/>
                <w:tab w:val="clear" w:pos="8640"/>
                <w:tab w:val="left" w:pos="341"/>
              </w:tabs>
              <w:ind w:firstLine="425"/>
              <w:jc w:val="both"/>
              <w:rPr>
                <w:rFonts w:ascii="Tahoma" w:hAnsi="Tahoma" w:cs="Tahoma"/>
                <w:b w:val="0"/>
                <w:sz w:val="20"/>
              </w:rPr>
            </w:pPr>
            <w:r w:rsidRPr="00F369B0">
              <w:rPr>
                <w:rFonts w:ascii="Tahoma" w:hAnsi="Tahoma" w:cs="Tahoma"/>
                <w:b w:val="0"/>
                <w:sz w:val="20"/>
              </w:rPr>
              <w:t>В день предоставления Кредита Заемщик осуществляет перевод денежных средств в счет погашения Рефинансируемого кредита. Перевод осуществляется в соответствии с порядком и тарифами, предусмотренными Банком для перевода денежных средств.</w:t>
            </w:r>
          </w:p>
          <w:p w14:paraId="0ECAF478" w14:textId="77777777" w:rsidR="00951A61" w:rsidRPr="00F369B0" w:rsidRDefault="00951A61" w:rsidP="00A4032F">
            <w:pPr>
              <w:pStyle w:val="FooterEven"/>
              <w:tabs>
                <w:tab w:val="clear" w:pos="4320"/>
                <w:tab w:val="clear" w:pos="8640"/>
                <w:tab w:val="left" w:pos="121"/>
              </w:tabs>
              <w:ind w:firstLine="425"/>
              <w:jc w:val="both"/>
              <w:rPr>
                <w:rFonts w:ascii="Tahoma" w:hAnsi="Tahoma" w:cs="Tahoma"/>
                <w:b w:val="0"/>
                <w:sz w:val="20"/>
              </w:rPr>
            </w:pPr>
          </w:p>
        </w:tc>
      </w:tr>
      <w:tr w:rsidR="00951A61" w:rsidRPr="00F369B0" w14:paraId="0A78994B"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05C8E764" w14:textId="77777777" w:rsidR="00951A61" w:rsidRPr="00F369B0" w:rsidRDefault="00951A61" w:rsidP="00A4032F">
            <w:pPr>
              <w:autoSpaceDE w:val="0"/>
              <w:autoSpaceDN w:val="0"/>
              <w:adjustRightInd w:val="0"/>
              <w:jc w:val="center"/>
              <w:rPr>
                <w:rFonts w:ascii="Tahoma" w:hAnsi="Tahoma" w:cs="Tahoma"/>
                <w:sz w:val="20"/>
                <w:szCs w:val="20"/>
              </w:rPr>
            </w:pPr>
            <w:r w:rsidRPr="00F369B0">
              <w:rPr>
                <w:rFonts w:ascii="Tahoma" w:hAnsi="Tahoma" w:cs="Tahoma"/>
                <w:b/>
                <w:sz w:val="20"/>
                <w:szCs w:val="20"/>
              </w:rPr>
              <w:t xml:space="preserve">Информация об иных договорах, которые Заемщик обязан заключить, и (или) иных услугах (работах, товарах), которые он </w:t>
            </w:r>
            <w:r w:rsidRPr="00F369B0">
              <w:rPr>
                <w:rFonts w:ascii="Tahoma" w:hAnsi="Tahoma" w:cs="Tahoma"/>
                <w:b/>
                <w:sz w:val="20"/>
                <w:szCs w:val="20"/>
              </w:rPr>
              <w:lastRenderedPageBreak/>
              <w:t>обязан приобрести в связи с Кредитным договором, а также информация о возможности Заемщика согласиться с заключением таких договоров и (или) приобретением таких услуг (работ, товаров) либо отказаться от них</w:t>
            </w:r>
          </w:p>
          <w:p w14:paraId="0761A3B9" w14:textId="77777777" w:rsidR="00951A61" w:rsidRPr="00F369B0" w:rsidRDefault="00951A61" w:rsidP="00A4032F">
            <w:pPr>
              <w:jc w:val="center"/>
              <w:rPr>
                <w:rFonts w:ascii="Tahoma" w:hAnsi="Tahoma" w:cs="Tahoma"/>
                <w:b/>
                <w:sz w:val="20"/>
                <w:szCs w:val="20"/>
              </w:rPr>
            </w:pPr>
          </w:p>
        </w:tc>
        <w:tc>
          <w:tcPr>
            <w:tcW w:w="11452" w:type="dxa"/>
            <w:tcBorders>
              <w:top w:val="single" w:sz="4" w:space="0" w:color="auto"/>
              <w:left w:val="nil"/>
              <w:bottom w:val="single" w:sz="4" w:space="0" w:color="auto"/>
              <w:right w:val="single" w:sz="4" w:space="0" w:color="auto"/>
            </w:tcBorders>
            <w:shd w:val="clear" w:color="auto" w:fill="auto"/>
            <w:vAlign w:val="center"/>
          </w:tcPr>
          <w:p w14:paraId="47D2B31E" w14:textId="77777777" w:rsidR="00951A61" w:rsidRPr="00F369B0" w:rsidRDefault="00951A61" w:rsidP="00A4032F">
            <w:pPr>
              <w:ind w:firstLine="425"/>
              <w:jc w:val="both"/>
              <w:rPr>
                <w:rFonts w:ascii="Tahoma" w:hAnsi="Tahoma" w:cs="Tahoma"/>
                <w:sz w:val="20"/>
                <w:szCs w:val="20"/>
              </w:rPr>
            </w:pPr>
            <w:r w:rsidRPr="00F369B0">
              <w:rPr>
                <w:rFonts w:ascii="Tahoma" w:hAnsi="Tahoma" w:cs="Tahoma"/>
                <w:sz w:val="20"/>
                <w:szCs w:val="20"/>
              </w:rPr>
              <w:lastRenderedPageBreak/>
              <w:t>Заключение между Банком и Заемщиком договора банковского счета (на основании которого Заемщику Банком открывается ТБС), элементы которого содержатся в Кредитном договоре, что делает Кредитный договор смешанным, содержащим элементы договора банковского счета и Кредитного договора, и обязательным к заключению.</w:t>
            </w:r>
          </w:p>
          <w:p w14:paraId="792E679A" w14:textId="77777777" w:rsidR="00951A61" w:rsidRPr="00F369B0" w:rsidRDefault="00951A61" w:rsidP="00A4032F">
            <w:pPr>
              <w:ind w:firstLine="425"/>
              <w:jc w:val="both"/>
              <w:rPr>
                <w:rFonts w:ascii="Tahoma" w:hAnsi="Tahoma" w:cs="Tahoma"/>
                <w:sz w:val="20"/>
                <w:szCs w:val="20"/>
              </w:rPr>
            </w:pPr>
            <w:r w:rsidRPr="00F369B0">
              <w:rPr>
                <w:rFonts w:ascii="Tahoma" w:hAnsi="Tahoma" w:cs="Tahoma"/>
                <w:b/>
                <w:sz w:val="20"/>
              </w:rPr>
              <w:t xml:space="preserve">При </w:t>
            </w:r>
            <w:r w:rsidRPr="00F369B0">
              <w:rPr>
                <w:rFonts w:ascii="Tahoma" w:hAnsi="Tahoma" w:cs="Tahoma"/>
                <w:b/>
                <w:sz w:val="20"/>
                <w:szCs w:val="20"/>
              </w:rPr>
              <w:t>приобретени</w:t>
            </w:r>
            <w:r w:rsidRPr="00F369B0">
              <w:rPr>
                <w:rFonts w:ascii="Tahoma" w:hAnsi="Tahoma" w:cs="Tahoma"/>
                <w:b/>
                <w:sz w:val="20"/>
              </w:rPr>
              <w:t>и</w:t>
            </w:r>
            <w:r w:rsidRPr="00F369B0">
              <w:rPr>
                <w:rFonts w:ascii="Tahoma" w:hAnsi="Tahoma" w:cs="Tahoma"/>
                <w:b/>
                <w:sz w:val="20"/>
                <w:szCs w:val="20"/>
              </w:rPr>
              <w:t xml:space="preserve"> находящегося на этапе строительства жилого помещения:</w:t>
            </w:r>
          </w:p>
          <w:p w14:paraId="044979C2" w14:textId="77777777" w:rsidR="00951A61" w:rsidRPr="00F369B0" w:rsidRDefault="00951A61" w:rsidP="00A4032F">
            <w:pPr>
              <w:ind w:firstLine="425"/>
              <w:jc w:val="both"/>
              <w:rPr>
                <w:rFonts w:ascii="Tahoma" w:hAnsi="Tahoma" w:cs="Tahoma"/>
                <w:sz w:val="20"/>
                <w:szCs w:val="20"/>
              </w:rPr>
            </w:pPr>
            <w:r w:rsidRPr="00F369B0">
              <w:rPr>
                <w:rFonts w:ascii="Tahoma" w:hAnsi="Tahoma" w:cs="Tahoma"/>
                <w:sz w:val="20"/>
                <w:szCs w:val="20"/>
              </w:rPr>
              <w:lastRenderedPageBreak/>
              <w:t>После завершения строительства Объекта недвижимости заключение Договора/полиса имущественного страхования (страхование в соответствии с тарифами страховой компании рисков, связанных с утратой или повреждением недвижимого имущества, находящегося в залоге).</w:t>
            </w:r>
          </w:p>
          <w:p w14:paraId="11D0AFDE" w14:textId="77777777" w:rsidR="00951A61" w:rsidRPr="00F369B0" w:rsidRDefault="00951A61" w:rsidP="00A4032F">
            <w:pPr>
              <w:ind w:firstLine="425"/>
              <w:jc w:val="both"/>
              <w:rPr>
                <w:rFonts w:ascii="Tahoma" w:hAnsi="Tahoma" w:cs="Tahoma"/>
                <w:sz w:val="20"/>
                <w:szCs w:val="20"/>
              </w:rPr>
            </w:pPr>
            <w:r w:rsidRPr="00F369B0">
              <w:rPr>
                <w:rFonts w:ascii="Tahoma" w:hAnsi="Tahoma" w:cs="Tahoma"/>
                <w:b/>
                <w:sz w:val="20"/>
                <w:szCs w:val="20"/>
              </w:rPr>
              <w:t>При приобретении/передаче в залог готового жилого помещения:</w:t>
            </w:r>
          </w:p>
          <w:p w14:paraId="0DF78775" w14:textId="77777777" w:rsidR="00951A61" w:rsidRPr="00F369B0" w:rsidRDefault="00951A61" w:rsidP="00A4032F">
            <w:pPr>
              <w:ind w:firstLine="425"/>
              <w:jc w:val="both"/>
              <w:rPr>
                <w:rFonts w:ascii="Tahoma" w:hAnsi="Tahoma" w:cs="Tahoma"/>
                <w:sz w:val="20"/>
                <w:szCs w:val="20"/>
              </w:rPr>
            </w:pPr>
            <w:r w:rsidRPr="00F369B0">
              <w:rPr>
                <w:rFonts w:ascii="Tahoma" w:hAnsi="Tahoma" w:cs="Tahoma"/>
                <w:sz w:val="20"/>
                <w:szCs w:val="20"/>
              </w:rPr>
              <w:t xml:space="preserve">Договор/полис имущественного страхования, страхования рисков, связанных с утратой или повреждением недвижимого имущества, находящегося в залоге (в соответствии с тарифами страховой компании). </w:t>
            </w:r>
          </w:p>
          <w:p w14:paraId="6C1442A2" w14:textId="77777777" w:rsidR="00951A61" w:rsidRPr="00F369B0" w:rsidRDefault="00951A61" w:rsidP="00A4032F">
            <w:pPr>
              <w:ind w:firstLine="425"/>
              <w:jc w:val="both"/>
              <w:rPr>
                <w:rFonts w:ascii="Tahoma" w:hAnsi="Tahoma" w:cs="Tahoma"/>
                <w:sz w:val="20"/>
                <w:szCs w:val="20"/>
              </w:rPr>
            </w:pPr>
            <w:r w:rsidRPr="00F369B0">
              <w:rPr>
                <w:rFonts w:ascii="Tahoma" w:hAnsi="Tahoma" w:cs="Tahoma"/>
                <w:sz w:val="20"/>
                <w:szCs w:val="20"/>
              </w:rPr>
              <w:t>Заключение договора о проведении оценки предмета ипотеки (при приобретении Объекта недвижимости на этапе строительства заключение договора осуществляется после завершения строительства).</w:t>
            </w:r>
          </w:p>
          <w:p w14:paraId="604D245B" w14:textId="77777777" w:rsidR="00951A61" w:rsidRPr="00F369B0" w:rsidRDefault="00951A61" w:rsidP="00A4032F">
            <w:pPr>
              <w:ind w:firstLine="425"/>
              <w:jc w:val="both"/>
              <w:rPr>
                <w:rFonts w:ascii="Tahoma" w:hAnsi="Tahoma" w:cs="Tahoma"/>
                <w:sz w:val="20"/>
                <w:szCs w:val="20"/>
              </w:rPr>
            </w:pPr>
            <w:r w:rsidRPr="00F369B0">
              <w:rPr>
                <w:rFonts w:ascii="Tahoma" w:hAnsi="Tahoma" w:cs="Tahoma"/>
                <w:sz w:val="20"/>
                <w:szCs w:val="20"/>
              </w:rPr>
              <w:t>Заемщик может согласиться с заключением выше перечисленных договоров и (или) приобретением таких услуг (работ, товаров) либо отказаться от них</w:t>
            </w:r>
            <w:r w:rsidRPr="00F369B0">
              <w:rPr>
                <w:rStyle w:val="aff3"/>
                <w:rFonts w:ascii="Tahoma" w:hAnsi="Tahoma"/>
                <w:sz w:val="20"/>
                <w:szCs w:val="20"/>
              </w:rPr>
              <w:footnoteReference w:id="137"/>
            </w:r>
            <w:r w:rsidRPr="00F369B0">
              <w:rPr>
                <w:rFonts w:ascii="Tahoma" w:hAnsi="Tahoma" w:cs="Tahoma"/>
                <w:sz w:val="20"/>
                <w:szCs w:val="20"/>
              </w:rPr>
              <w:t>.</w:t>
            </w:r>
          </w:p>
        </w:tc>
      </w:tr>
      <w:tr w:rsidR="00951A61" w:rsidRPr="00F369B0" w14:paraId="62B0D6CD"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4F9D8ABE" w14:textId="77777777" w:rsidR="00951A61" w:rsidRPr="00F369B0" w:rsidRDefault="00951A61" w:rsidP="00A4032F">
            <w:pPr>
              <w:autoSpaceDE w:val="0"/>
              <w:autoSpaceDN w:val="0"/>
              <w:adjustRightInd w:val="0"/>
              <w:jc w:val="center"/>
              <w:rPr>
                <w:rFonts w:ascii="Tahoma" w:hAnsi="Tahoma" w:cs="Tahoma"/>
                <w:sz w:val="20"/>
                <w:szCs w:val="20"/>
              </w:rPr>
            </w:pPr>
            <w:r w:rsidRPr="00F369B0">
              <w:rPr>
                <w:rFonts w:ascii="Tahoma" w:hAnsi="Tahoma" w:cs="Tahoma"/>
                <w:b/>
                <w:color w:val="000000"/>
                <w:sz w:val="20"/>
                <w:szCs w:val="20"/>
              </w:rPr>
              <w:lastRenderedPageBreak/>
              <w:t>Информация об определении курса иностранной валюты в случае, если валюта, в которой осуществляется перевод денежных средств Банком третьему лицу, указанному Заемщиком при предоставлении потребительского кредита, отличается от валюты, в которой предоставлен Кредит</w:t>
            </w:r>
          </w:p>
        </w:tc>
        <w:tc>
          <w:tcPr>
            <w:tcW w:w="11452" w:type="dxa"/>
            <w:tcBorders>
              <w:top w:val="single" w:sz="4" w:space="0" w:color="auto"/>
              <w:left w:val="nil"/>
              <w:bottom w:val="single" w:sz="4" w:space="0" w:color="auto"/>
              <w:right w:val="single" w:sz="4" w:space="0" w:color="auto"/>
            </w:tcBorders>
            <w:shd w:val="clear" w:color="auto" w:fill="auto"/>
            <w:vAlign w:val="center"/>
          </w:tcPr>
          <w:p w14:paraId="69E07336" w14:textId="77777777" w:rsidR="00951A61" w:rsidRPr="00F369B0" w:rsidRDefault="00951A61" w:rsidP="00A4032F">
            <w:pPr>
              <w:ind w:firstLine="425"/>
              <w:jc w:val="both"/>
              <w:rPr>
                <w:rFonts w:ascii="Tahoma" w:hAnsi="Tahoma" w:cs="Tahoma"/>
                <w:sz w:val="20"/>
                <w:szCs w:val="20"/>
              </w:rPr>
            </w:pPr>
            <w:r w:rsidRPr="00F369B0">
              <w:rPr>
                <w:rFonts w:ascii="Tahoma" w:hAnsi="Tahoma" w:cs="Tahoma"/>
                <w:color w:val="000000"/>
                <w:sz w:val="20"/>
                <w:szCs w:val="20"/>
              </w:rPr>
              <w:t>Не применимо</w:t>
            </w:r>
          </w:p>
        </w:tc>
      </w:tr>
      <w:tr w:rsidR="00951A61" w:rsidRPr="00F369B0" w14:paraId="0A66B1AA"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352D5DCD" w14:textId="77777777" w:rsidR="00951A61" w:rsidRPr="00F369B0" w:rsidRDefault="00951A61" w:rsidP="00A4032F">
            <w:pPr>
              <w:autoSpaceDE w:val="0"/>
              <w:autoSpaceDN w:val="0"/>
              <w:adjustRightInd w:val="0"/>
              <w:jc w:val="center"/>
              <w:rPr>
                <w:rFonts w:ascii="Tahoma" w:hAnsi="Tahoma" w:cs="Tahoma"/>
                <w:sz w:val="20"/>
                <w:szCs w:val="20"/>
              </w:rPr>
            </w:pPr>
            <w:r w:rsidRPr="00F369B0">
              <w:rPr>
                <w:rFonts w:ascii="Tahoma" w:hAnsi="Tahoma" w:cs="Tahoma"/>
                <w:b/>
                <w:color w:val="000000"/>
                <w:sz w:val="20"/>
                <w:szCs w:val="20"/>
              </w:rPr>
              <w:t>Информация о возможном увеличении суммы расходов Заемщика по сравнению с ожидаемой суммой расходов в рублях, в том числе при применении переменной процентной ставки, а также информация о том, что изменение курса иностранной валюты в прошлом не свидетельствует об изменении ее курса в будущем, и информация о повышенных рисках Заемщика, получающего доходы в валюте, отличной от валюты Кредита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28744775" w14:textId="77777777" w:rsidR="00951A61" w:rsidRPr="00F369B0" w:rsidRDefault="00951A61" w:rsidP="00A4032F">
            <w:pPr>
              <w:ind w:firstLine="425"/>
              <w:jc w:val="both"/>
              <w:rPr>
                <w:rFonts w:ascii="Tahoma" w:hAnsi="Tahoma" w:cs="Tahoma"/>
                <w:color w:val="000000"/>
                <w:sz w:val="20"/>
                <w:szCs w:val="20"/>
              </w:rPr>
            </w:pPr>
          </w:p>
          <w:p w14:paraId="0FE62002" w14:textId="77777777" w:rsidR="00951A61" w:rsidRPr="00F369B0" w:rsidRDefault="00951A61" w:rsidP="00A4032F">
            <w:pPr>
              <w:ind w:firstLine="425"/>
              <w:jc w:val="both"/>
              <w:rPr>
                <w:rFonts w:ascii="Tahoma" w:hAnsi="Tahoma" w:cs="Tahoma"/>
                <w:color w:val="000000"/>
                <w:sz w:val="20"/>
                <w:szCs w:val="20"/>
              </w:rPr>
            </w:pPr>
            <w:r w:rsidRPr="00F369B0">
              <w:rPr>
                <w:rFonts w:ascii="Tahoma" w:hAnsi="Tahoma" w:cs="Tahoma"/>
                <w:color w:val="000000"/>
                <w:sz w:val="20"/>
                <w:szCs w:val="20"/>
              </w:rPr>
              <w:t>Не применимо</w:t>
            </w:r>
          </w:p>
        </w:tc>
      </w:tr>
      <w:tr w:rsidR="00951A61" w:rsidRPr="00F369B0" w14:paraId="71760A20"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20BA7E6F" w14:textId="77777777" w:rsidR="00951A61" w:rsidRPr="00F369B0" w:rsidRDefault="00951A61" w:rsidP="00A4032F">
            <w:pPr>
              <w:autoSpaceDE w:val="0"/>
              <w:autoSpaceDN w:val="0"/>
              <w:adjustRightInd w:val="0"/>
              <w:jc w:val="center"/>
              <w:rPr>
                <w:rFonts w:ascii="Tahoma" w:hAnsi="Tahoma" w:cs="Tahoma"/>
                <w:sz w:val="20"/>
                <w:szCs w:val="20"/>
              </w:rPr>
            </w:pPr>
            <w:r w:rsidRPr="00F369B0">
              <w:rPr>
                <w:rFonts w:ascii="Tahoma" w:hAnsi="Tahoma" w:cs="Tahoma"/>
                <w:b/>
                <w:sz w:val="20"/>
                <w:szCs w:val="20"/>
              </w:rPr>
              <w:t>Информация о возможности запрета уступки кредитором третьим лицам прав (требований) по Кредитному договору</w:t>
            </w:r>
          </w:p>
          <w:p w14:paraId="2D911A3A" w14:textId="77777777" w:rsidR="00951A61" w:rsidRPr="00F369B0" w:rsidRDefault="00951A61" w:rsidP="00A4032F">
            <w:pPr>
              <w:autoSpaceDE w:val="0"/>
              <w:autoSpaceDN w:val="0"/>
              <w:adjustRightInd w:val="0"/>
              <w:jc w:val="center"/>
              <w:rPr>
                <w:rFonts w:ascii="Tahoma" w:hAnsi="Tahoma" w:cs="Tahoma"/>
                <w:b/>
                <w:color w:val="000000"/>
                <w:sz w:val="20"/>
                <w:szCs w:val="20"/>
              </w:rPr>
            </w:pPr>
          </w:p>
        </w:tc>
        <w:tc>
          <w:tcPr>
            <w:tcW w:w="11452" w:type="dxa"/>
            <w:tcBorders>
              <w:top w:val="single" w:sz="4" w:space="0" w:color="auto"/>
              <w:left w:val="nil"/>
              <w:bottom w:val="single" w:sz="4" w:space="0" w:color="auto"/>
              <w:right w:val="single" w:sz="4" w:space="0" w:color="auto"/>
            </w:tcBorders>
            <w:shd w:val="clear" w:color="auto" w:fill="auto"/>
            <w:vAlign w:val="center"/>
          </w:tcPr>
          <w:p w14:paraId="32A7FBDD" w14:textId="77777777" w:rsidR="00951A61" w:rsidRPr="00F369B0" w:rsidRDefault="00951A61" w:rsidP="00A4032F">
            <w:pPr>
              <w:ind w:firstLine="425"/>
              <w:jc w:val="both"/>
              <w:rPr>
                <w:rFonts w:ascii="Tahoma" w:hAnsi="Tahoma" w:cs="Tahoma"/>
                <w:color w:val="000000"/>
                <w:sz w:val="20"/>
                <w:szCs w:val="20"/>
              </w:rPr>
            </w:pPr>
            <w:r w:rsidRPr="00F369B0">
              <w:rPr>
                <w:rFonts w:ascii="Tahoma" w:hAnsi="Tahoma" w:cs="Tahoma"/>
                <w:color w:val="000000"/>
                <w:sz w:val="20"/>
                <w:szCs w:val="20"/>
              </w:rPr>
              <w:t xml:space="preserve">В случае, если при выдаче ипотечного кредита право требования по Кредитному договору и право залога объекта недвижимости удостоверяются закладной, согласно п. 5 ст. 47 Федерального закона от 16.07.1998 N 102-ФЗ «Об ипотеке (залоге недвижимости)» (закон 102-ФЗ), уступка прав по договору об ипотеке или обеспеченному ипотекой обязательству не допускается. Согласно п. 4 ст. 48 закона 102-ФЗ Кредитор вправе передать права на закладную любым третьим лицам (согласие должника в данном случае не требуется). В случае, если при выдаче ипотечного кредита </w:t>
            </w:r>
            <w:r w:rsidRPr="00F369B0">
              <w:rPr>
                <w:rFonts w:ascii="Tahoma" w:hAnsi="Tahoma" w:cs="Tahoma"/>
                <w:color w:val="000000"/>
                <w:sz w:val="20"/>
                <w:szCs w:val="20"/>
              </w:rPr>
              <w:lastRenderedPageBreak/>
              <w:t>закладная не оформляется, Заемщик вправе запретить уступку Банком третьим лицам прав (требований) по Кредитному договору</w:t>
            </w:r>
          </w:p>
        </w:tc>
      </w:tr>
      <w:tr w:rsidR="00951A61" w:rsidRPr="00F369B0" w14:paraId="667A6A21"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586F5A58" w14:textId="77777777" w:rsidR="00951A61" w:rsidRPr="00F369B0" w:rsidRDefault="00951A61" w:rsidP="00A4032F">
            <w:pPr>
              <w:autoSpaceDE w:val="0"/>
              <w:autoSpaceDN w:val="0"/>
              <w:adjustRightInd w:val="0"/>
              <w:jc w:val="center"/>
              <w:rPr>
                <w:rFonts w:ascii="Tahoma" w:hAnsi="Tahoma" w:cs="Tahoma"/>
                <w:sz w:val="20"/>
                <w:szCs w:val="20"/>
              </w:rPr>
            </w:pPr>
            <w:r w:rsidRPr="00F369B0">
              <w:rPr>
                <w:rFonts w:ascii="Tahoma" w:hAnsi="Tahoma" w:cs="Tahoma"/>
                <w:b/>
                <w:sz w:val="20"/>
                <w:szCs w:val="20"/>
              </w:rPr>
              <w:lastRenderedPageBreak/>
              <w:t>Порядок предоставления Заемщиком информации об использовании ипотечного кредита</w:t>
            </w:r>
          </w:p>
          <w:p w14:paraId="42E9D163" w14:textId="77777777" w:rsidR="00951A61" w:rsidRPr="00F369B0" w:rsidRDefault="00951A61" w:rsidP="00A4032F">
            <w:pPr>
              <w:autoSpaceDE w:val="0"/>
              <w:autoSpaceDN w:val="0"/>
              <w:adjustRightInd w:val="0"/>
              <w:jc w:val="center"/>
              <w:rPr>
                <w:rFonts w:ascii="Tahoma" w:hAnsi="Tahoma" w:cs="Tahoma"/>
                <w:b/>
                <w:sz w:val="20"/>
                <w:szCs w:val="20"/>
              </w:rPr>
            </w:pPr>
          </w:p>
        </w:tc>
        <w:tc>
          <w:tcPr>
            <w:tcW w:w="11452" w:type="dxa"/>
            <w:tcBorders>
              <w:top w:val="single" w:sz="4" w:space="0" w:color="auto"/>
              <w:left w:val="nil"/>
              <w:bottom w:val="single" w:sz="4" w:space="0" w:color="auto"/>
              <w:right w:val="single" w:sz="4" w:space="0" w:color="auto"/>
            </w:tcBorders>
            <w:shd w:val="clear" w:color="auto" w:fill="auto"/>
            <w:vAlign w:val="center"/>
          </w:tcPr>
          <w:p w14:paraId="1F12A0A1" w14:textId="77777777" w:rsidR="00951A61" w:rsidRPr="00F369B0" w:rsidRDefault="00951A61" w:rsidP="00A4032F">
            <w:pPr>
              <w:ind w:firstLine="425"/>
              <w:jc w:val="both"/>
              <w:rPr>
                <w:rFonts w:ascii="Tahoma" w:hAnsi="Tahoma" w:cs="Tahoma"/>
                <w:sz w:val="20"/>
                <w:szCs w:val="20"/>
              </w:rPr>
            </w:pPr>
            <w:r w:rsidRPr="00F369B0">
              <w:rPr>
                <w:rFonts w:ascii="Tahoma" w:hAnsi="Tahoma" w:cs="Tahoma"/>
                <w:b/>
                <w:sz w:val="20"/>
              </w:rPr>
              <w:t xml:space="preserve">При </w:t>
            </w:r>
            <w:r w:rsidRPr="00F369B0">
              <w:rPr>
                <w:rFonts w:ascii="Tahoma" w:hAnsi="Tahoma" w:cs="Tahoma"/>
                <w:b/>
                <w:sz w:val="20"/>
                <w:szCs w:val="20"/>
              </w:rPr>
              <w:t>приобретени</w:t>
            </w:r>
            <w:r w:rsidRPr="00F369B0">
              <w:rPr>
                <w:rFonts w:ascii="Tahoma" w:hAnsi="Tahoma" w:cs="Tahoma"/>
                <w:b/>
                <w:sz w:val="20"/>
              </w:rPr>
              <w:t>и</w:t>
            </w:r>
            <w:r w:rsidRPr="00F369B0">
              <w:rPr>
                <w:rFonts w:ascii="Tahoma" w:hAnsi="Tahoma" w:cs="Tahoma"/>
                <w:b/>
                <w:sz w:val="20"/>
                <w:szCs w:val="20"/>
              </w:rPr>
              <w:t xml:space="preserve"> находящегося на этапе строительства жилого помещения:</w:t>
            </w:r>
          </w:p>
          <w:p w14:paraId="28A8F5EA" w14:textId="77777777" w:rsidR="00951A61" w:rsidRPr="00F369B0" w:rsidRDefault="00951A61" w:rsidP="00A4032F">
            <w:pPr>
              <w:ind w:firstLine="425"/>
              <w:jc w:val="both"/>
              <w:rPr>
                <w:rFonts w:ascii="Tahoma" w:hAnsi="Tahoma" w:cs="Tahoma"/>
                <w:sz w:val="20"/>
                <w:szCs w:val="20"/>
              </w:rPr>
            </w:pPr>
            <w:r w:rsidRPr="00F369B0">
              <w:rPr>
                <w:rFonts w:ascii="Tahoma" w:hAnsi="Tahoma" w:cs="Tahoma"/>
                <w:sz w:val="20"/>
                <w:szCs w:val="20"/>
              </w:rPr>
              <w:t>Заемщик обязан в сроки, установленные Кредитным договором, предоставить в Банк документы, подтверждающие целевое использование Кредита (документы об оплате приобретаемого Объекта недвижимости (Имущественных прав), оригинал прошедшего государственную регистрацию договора долевого участия в строительстве).</w:t>
            </w:r>
          </w:p>
          <w:p w14:paraId="74EED909" w14:textId="77777777" w:rsidR="00951A61" w:rsidRPr="00F369B0" w:rsidRDefault="00951A61" w:rsidP="00A4032F">
            <w:pPr>
              <w:ind w:firstLine="425"/>
              <w:jc w:val="both"/>
              <w:rPr>
                <w:rFonts w:ascii="Tahoma" w:hAnsi="Tahoma" w:cs="Tahoma"/>
                <w:sz w:val="20"/>
                <w:szCs w:val="20"/>
              </w:rPr>
            </w:pPr>
            <w:r w:rsidRPr="00F369B0">
              <w:rPr>
                <w:rFonts w:ascii="Tahoma" w:hAnsi="Tahoma" w:cs="Tahoma"/>
                <w:b/>
                <w:sz w:val="20"/>
                <w:szCs w:val="20"/>
              </w:rPr>
              <w:t>При приобретении готового жилого помещения:</w:t>
            </w:r>
          </w:p>
          <w:p w14:paraId="0A0935F8" w14:textId="77777777" w:rsidR="00951A61" w:rsidRPr="00F369B0" w:rsidRDefault="00951A61" w:rsidP="00A4032F">
            <w:pPr>
              <w:ind w:firstLine="425"/>
              <w:jc w:val="both"/>
              <w:rPr>
                <w:rFonts w:ascii="Tahoma" w:hAnsi="Tahoma" w:cs="Tahoma"/>
                <w:sz w:val="20"/>
                <w:szCs w:val="20"/>
              </w:rPr>
            </w:pPr>
            <w:r w:rsidRPr="00F369B0">
              <w:rPr>
                <w:rFonts w:ascii="Tahoma" w:hAnsi="Tahoma" w:cs="Tahoma"/>
                <w:sz w:val="20"/>
                <w:szCs w:val="20"/>
              </w:rPr>
              <w:t>Заемщик обязан в сроки, установленные Кредитным договором, предоставить в Банк документы, подтверждающие целевое использование Кредита (документы об оплате приобретаемого Недвижимого имущества, оригинал Договора приобретения Недвижимого имущества с отметкой о государственной регистрации перехода права собственности на приобретаемое Недвижимое имущество (Предмет ипотеки) залогодателю и ипотеки в пользу Банка).</w:t>
            </w:r>
          </w:p>
          <w:p w14:paraId="1E681CC6" w14:textId="77777777" w:rsidR="00951A61" w:rsidRPr="00F369B0" w:rsidRDefault="00951A61" w:rsidP="00A4032F">
            <w:pPr>
              <w:ind w:firstLine="425"/>
              <w:jc w:val="both"/>
              <w:rPr>
                <w:rFonts w:ascii="Tahoma" w:hAnsi="Tahoma" w:cs="Tahoma"/>
                <w:sz w:val="20"/>
                <w:szCs w:val="20"/>
              </w:rPr>
            </w:pPr>
            <w:r w:rsidRPr="00F369B0">
              <w:rPr>
                <w:rFonts w:ascii="Tahoma" w:hAnsi="Tahoma" w:cs="Tahoma"/>
                <w:b/>
                <w:sz w:val="20"/>
                <w:szCs w:val="20"/>
              </w:rPr>
              <w:t>При рефинансировании ипотечного кредита:</w:t>
            </w:r>
          </w:p>
          <w:p w14:paraId="1B249BD1" w14:textId="77777777" w:rsidR="00951A61" w:rsidRPr="00F369B0" w:rsidRDefault="00951A61" w:rsidP="00A4032F">
            <w:pPr>
              <w:ind w:firstLine="425"/>
              <w:jc w:val="both"/>
              <w:rPr>
                <w:rFonts w:ascii="Tahoma" w:hAnsi="Tahoma" w:cs="Tahoma"/>
                <w:sz w:val="20"/>
                <w:szCs w:val="20"/>
              </w:rPr>
            </w:pPr>
            <w:r w:rsidRPr="00F369B0">
              <w:rPr>
                <w:rFonts w:ascii="Tahoma" w:hAnsi="Tahoma" w:cs="Tahoma"/>
                <w:sz w:val="20"/>
                <w:szCs w:val="20"/>
              </w:rPr>
              <w:t>Заемщик обязан в сроки, установленные Кредитным договором, предоставить в Банк документы, подтверждающие погашение Рефинансируемого кредита, Кредита на погашение ранее выданного Рефинансируемого кредита, а также, в случаях, предусмотренных в Кредитном договоре, документы, подтверждающие регистрацию залога на Объект недвижимости в пользу Банка.</w:t>
            </w:r>
          </w:p>
        </w:tc>
      </w:tr>
      <w:tr w:rsidR="00951A61" w:rsidRPr="00F369B0" w14:paraId="09D9346B"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01465F97" w14:textId="77777777" w:rsidR="00951A61" w:rsidRPr="00F369B0" w:rsidRDefault="00951A61" w:rsidP="00A4032F">
            <w:pPr>
              <w:autoSpaceDE w:val="0"/>
              <w:autoSpaceDN w:val="0"/>
              <w:adjustRightInd w:val="0"/>
              <w:jc w:val="center"/>
              <w:rPr>
                <w:rFonts w:ascii="Tahoma" w:hAnsi="Tahoma" w:cs="Tahoma"/>
                <w:b/>
                <w:sz w:val="20"/>
                <w:szCs w:val="20"/>
              </w:rPr>
            </w:pPr>
            <w:r w:rsidRPr="00F369B0">
              <w:rPr>
                <w:rFonts w:ascii="Tahoma" w:hAnsi="Tahoma" w:cs="Tahoma"/>
                <w:b/>
                <w:sz w:val="20"/>
                <w:szCs w:val="20"/>
              </w:rPr>
              <w:t>Подсудность споров по искам Кредитора к Заемщику</w:t>
            </w:r>
            <w:r w:rsidRPr="00F369B0" w:rsidDel="00C738DF">
              <w:rPr>
                <w:rFonts w:ascii="Tahoma" w:hAnsi="Tahoma" w:cs="Tahoma"/>
                <w:sz w:val="20"/>
                <w:szCs w:val="20"/>
              </w:rPr>
              <w:t xml:space="preserve"> </w:t>
            </w:r>
          </w:p>
        </w:tc>
        <w:tc>
          <w:tcPr>
            <w:tcW w:w="11452" w:type="dxa"/>
            <w:tcBorders>
              <w:top w:val="single" w:sz="4" w:space="0" w:color="auto"/>
              <w:left w:val="nil"/>
              <w:bottom w:val="single" w:sz="4" w:space="0" w:color="auto"/>
              <w:right w:val="single" w:sz="4" w:space="0" w:color="auto"/>
            </w:tcBorders>
            <w:shd w:val="clear" w:color="auto" w:fill="auto"/>
            <w:vAlign w:val="center"/>
          </w:tcPr>
          <w:p w14:paraId="03CDD10B" w14:textId="77777777" w:rsidR="00951A61" w:rsidRPr="00F369B0" w:rsidRDefault="00951A61" w:rsidP="00A4032F">
            <w:pPr>
              <w:ind w:firstLine="425"/>
              <w:jc w:val="both"/>
              <w:rPr>
                <w:rFonts w:ascii="Tahoma" w:hAnsi="Tahoma" w:cs="Tahoma"/>
                <w:sz w:val="20"/>
                <w:szCs w:val="20"/>
              </w:rPr>
            </w:pPr>
            <w:r w:rsidRPr="00F369B0">
              <w:rPr>
                <w:rFonts w:ascii="Tahoma" w:hAnsi="Tahoma" w:cs="Tahoma"/>
                <w:sz w:val="20"/>
                <w:szCs w:val="20"/>
              </w:rPr>
              <w:t>Порядок разрешения неурегулированных споров по искам Банка определяется Сторонами в Кредитном договоре</w:t>
            </w:r>
          </w:p>
        </w:tc>
      </w:tr>
      <w:tr w:rsidR="00951A61" w:rsidRPr="00F369B0" w14:paraId="05B1E8C9"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6CBCAC4A" w14:textId="77777777" w:rsidR="00951A61" w:rsidRPr="00F369B0" w:rsidRDefault="00951A61" w:rsidP="00A4032F">
            <w:pPr>
              <w:autoSpaceDE w:val="0"/>
              <w:autoSpaceDN w:val="0"/>
              <w:adjustRightInd w:val="0"/>
              <w:jc w:val="center"/>
              <w:rPr>
                <w:rFonts w:ascii="Tahoma" w:hAnsi="Tahoma" w:cs="Tahoma"/>
                <w:b/>
                <w:sz w:val="20"/>
                <w:szCs w:val="20"/>
              </w:rPr>
            </w:pPr>
            <w:r w:rsidRPr="00F369B0">
              <w:rPr>
                <w:rFonts w:ascii="Tahoma" w:hAnsi="Tahoma" w:cs="Tahoma"/>
                <w:b/>
                <w:sz w:val="20"/>
                <w:szCs w:val="20"/>
              </w:rPr>
              <w:t xml:space="preserve"> Формуляры или иные стандартные формы, в которых определены общие условия Кредитного договора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1D2A9564" w14:textId="77777777" w:rsidR="00951A61" w:rsidRPr="00F369B0" w:rsidRDefault="00951A61" w:rsidP="00A4032F">
            <w:pPr>
              <w:ind w:firstLine="425"/>
              <w:jc w:val="both"/>
              <w:rPr>
                <w:rFonts w:ascii="Tahoma" w:hAnsi="Tahoma" w:cs="Tahoma"/>
                <w:sz w:val="20"/>
                <w:szCs w:val="20"/>
              </w:rPr>
            </w:pPr>
            <w:r w:rsidRPr="00F369B0">
              <w:rPr>
                <w:rFonts w:ascii="Tahoma" w:hAnsi="Tahoma" w:cs="Tahoma"/>
                <w:sz w:val="20"/>
                <w:szCs w:val="20"/>
              </w:rPr>
              <w:t>Общие условия предоставления, обслуживания и погашения ипотечных кредитов в «Азиатско-Тихоокеанский Банк» (АО), являющиеся Приложением 6 к Универсальному договору банковского обслуживания в «Азиатско-Тихоокеанский Банк» (АО), размещённых в местах приема заявлений на предоставление ипотечного Кредита (в Подразделениях Банка и иных местах приема заявлений на предоставление ипотечного Кредита), на сайте Банка в сети Интернет по адресу www.atb.su и могут быть предоставлены Заемщику по его требованию на бумажном носителе</w:t>
            </w:r>
          </w:p>
        </w:tc>
      </w:tr>
      <w:tr w:rsidR="00951A61" w:rsidRPr="00F369B0" w14:paraId="3EF58082"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153C1720" w14:textId="77777777" w:rsidR="00951A61" w:rsidRPr="00F369B0" w:rsidRDefault="00951A61" w:rsidP="00A4032F">
            <w:pPr>
              <w:autoSpaceDE w:val="0"/>
              <w:autoSpaceDN w:val="0"/>
              <w:adjustRightInd w:val="0"/>
              <w:jc w:val="center"/>
              <w:rPr>
                <w:rStyle w:val="aff9"/>
                <w:rFonts w:ascii="Tahoma" w:hAnsi="Tahoma" w:cs="Tahoma"/>
              </w:rPr>
            </w:pPr>
            <w:r w:rsidRPr="00F369B0">
              <w:rPr>
                <w:rFonts w:ascii="Tahoma" w:hAnsi="Tahoma" w:cs="Tahoma"/>
                <w:b/>
                <w:bCs/>
                <w:color w:val="000000" w:themeColor="text1"/>
                <w:sz w:val="20"/>
                <w:szCs w:val="20"/>
              </w:rPr>
              <w:t>Срок действия решения о предоставлении потребительского кредита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3D4FF1A1" w14:textId="77777777" w:rsidR="00951A61" w:rsidRPr="00F369B0" w:rsidRDefault="00951A61" w:rsidP="00A4032F">
            <w:pPr>
              <w:ind w:firstLine="425"/>
              <w:jc w:val="both"/>
              <w:rPr>
                <w:rFonts w:ascii="Tahoma" w:hAnsi="Tahoma" w:cs="Tahoma"/>
                <w:sz w:val="20"/>
                <w:szCs w:val="20"/>
              </w:rPr>
            </w:pPr>
            <w:r w:rsidRPr="00F369B0">
              <w:rPr>
                <w:rFonts w:ascii="Tahoma" w:hAnsi="Tahoma" w:cs="Tahoma"/>
                <w:bCs/>
                <w:color w:val="000000" w:themeColor="text1"/>
                <w:sz w:val="20"/>
                <w:szCs w:val="20"/>
              </w:rPr>
              <w:t>90 календарных дней</w:t>
            </w:r>
          </w:p>
        </w:tc>
      </w:tr>
      <w:tr w:rsidR="00951A61" w:rsidRPr="00F369B0" w14:paraId="30CDFDF1"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6B4FDEF4" w14:textId="77777777" w:rsidR="00951A61" w:rsidRPr="00BF1C29" w:rsidRDefault="00951A61" w:rsidP="00A4032F">
            <w:pPr>
              <w:autoSpaceDE w:val="0"/>
              <w:autoSpaceDN w:val="0"/>
              <w:adjustRightInd w:val="0"/>
              <w:jc w:val="center"/>
              <w:rPr>
                <w:rFonts w:ascii="Tahoma" w:hAnsi="Tahoma" w:cs="Tahoma"/>
                <w:b/>
                <w:bCs/>
                <w:color w:val="000000" w:themeColor="text1"/>
                <w:sz w:val="20"/>
                <w:szCs w:val="20"/>
              </w:rPr>
            </w:pPr>
            <w:r w:rsidRPr="00BF1C29">
              <w:rPr>
                <w:rFonts w:ascii="Tahoma" w:hAnsi="Tahoma" w:cs="Tahoma"/>
                <w:b/>
                <w:sz w:val="20"/>
                <w:szCs w:val="20"/>
              </w:rPr>
              <w:t xml:space="preserve">Период предоставления Кредитов в рамках Программы кредитования «Семейная ипотека» </w:t>
            </w:r>
          </w:p>
        </w:tc>
        <w:tc>
          <w:tcPr>
            <w:tcW w:w="11452" w:type="dxa"/>
            <w:tcBorders>
              <w:top w:val="single" w:sz="4" w:space="0" w:color="auto"/>
              <w:left w:val="nil"/>
              <w:bottom w:val="single" w:sz="4" w:space="0" w:color="auto"/>
              <w:right w:val="single" w:sz="4" w:space="0" w:color="auto"/>
            </w:tcBorders>
            <w:shd w:val="clear" w:color="auto" w:fill="auto"/>
            <w:vAlign w:val="center"/>
          </w:tcPr>
          <w:p w14:paraId="72292DC6" w14:textId="77777777" w:rsidR="00951A61" w:rsidRPr="009C4568" w:rsidRDefault="00951A61" w:rsidP="00A4032F">
            <w:pPr>
              <w:ind w:firstLine="425"/>
              <w:jc w:val="both"/>
              <w:rPr>
                <w:rFonts w:ascii="Tahoma" w:hAnsi="Tahoma" w:cs="Tahoma"/>
                <w:bCs/>
                <w:color w:val="000000" w:themeColor="text1"/>
                <w:sz w:val="20"/>
                <w:szCs w:val="20"/>
              </w:rPr>
            </w:pPr>
            <w:r w:rsidRPr="009C4568">
              <w:rPr>
                <w:rFonts w:ascii="Tahoma" w:hAnsi="Tahoma" w:cs="Tahoma"/>
                <w:color w:val="000000"/>
                <w:sz w:val="20"/>
                <w:szCs w:val="20"/>
              </w:rPr>
              <w:t>Кредиты предоставляются по кредитным договорам, заключенным по 31 декабря 2030 г. (включительно)</w:t>
            </w:r>
          </w:p>
        </w:tc>
      </w:tr>
      <w:tr w:rsidR="00951A61" w:rsidRPr="00F369B0" w14:paraId="573F6DD5"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6993C783" w14:textId="77777777" w:rsidR="00951A61" w:rsidRPr="009C4568" w:rsidRDefault="00951A61" w:rsidP="00A4032F">
            <w:pPr>
              <w:autoSpaceDE w:val="0"/>
              <w:autoSpaceDN w:val="0"/>
              <w:adjustRightInd w:val="0"/>
              <w:jc w:val="center"/>
              <w:rPr>
                <w:rFonts w:ascii="Tahoma" w:hAnsi="Tahoma" w:cs="Tahoma"/>
                <w:b/>
                <w:sz w:val="20"/>
                <w:szCs w:val="20"/>
              </w:rPr>
            </w:pPr>
            <w:r w:rsidRPr="009C4568">
              <w:rPr>
                <w:rFonts w:ascii="Tahoma" w:hAnsi="Tahoma" w:cs="Tahoma"/>
                <w:b/>
                <w:sz w:val="20"/>
                <w:szCs w:val="20"/>
              </w:rPr>
              <w:t>Специальные условия Кредита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6559D8EF" w14:textId="77777777" w:rsidR="00951A61" w:rsidRPr="009C4568" w:rsidRDefault="00951A61" w:rsidP="00A4032F">
            <w:pPr>
              <w:ind w:firstLine="425"/>
              <w:jc w:val="both"/>
              <w:rPr>
                <w:rFonts w:ascii="Tahoma" w:hAnsi="Tahoma" w:cs="Tahoma"/>
                <w:color w:val="000000"/>
                <w:sz w:val="20"/>
                <w:szCs w:val="20"/>
              </w:rPr>
            </w:pPr>
            <w:r w:rsidRPr="009C4568">
              <w:rPr>
                <w:rFonts w:ascii="Tahoma" w:hAnsi="Tahoma" w:cs="Tahoma"/>
                <w:color w:val="000000"/>
                <w:sz w:val="20"/>
                <w:szCs w:val="20"/>
              </w:rPr>
              <w:t>Кредитным договором предусматривается увеличение процентной ставки в ниже перечисленном случае:</w:t>
            </w:r>
          </w:p>
          <w:p w14:paraId="42E43BB0" w14:textId="77777777" w:rsidR="00951A61" w:rsidRPr="009C4568" w:rsidRDefault="00951A61" w:rsidP="00A4032F">
            <w:pPr>
              <w:pStyle w:val="affe"/>
              <w:ind w:left="0" w:firstLine="425"/>
              <w:jc w:val="both"/>
              <w:rPr>
                <w:rFonts w:ascii="Tahoma" w:hAnsi="Tahoma" w:cs="Tahoma"/>
                <w:color w:val="000000"/>
                <w:sz w:val="20"/>
                <w:szCs w:val="20"/>
              </w:rPr>
            </w:pPr>
            <w:r w:rsidRPr="009C4568">
              <w:rPr>
                <w:rFonts w:ascii="Tahoma" w:hAnsi="Tahoma" w:cs="Tahoma"/>
                <w:color w:val="000000"/>
                <w:sz w:val="20"/>
                <w:szCs w:val="20"/>
              </w:rPr>
              <w:t>в случае, если Заемщик (любой из солидарных Заемщиков) является/ранее являлся заемщиком (солидарным заемщиком) и (или) поручителем по другому жилищному (ипотечному) кредиту (кредитам),</w:t>
            </w:r>
            <w:r w:rsidRPr="009C4568">
              <w:t xml:space="preserve"> </w:t>
            </w:r>
            <w:r w:rsidRPr="009C4568">
              <w:rPr>
                <w:rFonts w:ascii="Tahoma" w:hAnsi="Tahoma" w:cs="Tahoma"/>
                <w:color w:val="000000"/>
                <w:sz w:val="20"/>
                <w:szCs w:val="20"/>
              </w:rPr>
              <w:t xml:space="preserve">заключенному с 23 декабря 2023 г., по которым кредитор получает (ранее получал) возмещение недополученных доходов в соответствии с Правилами предоставления субсидий. </w:t>
            </w:r>
          </w:p>
          <w:p w14:paraId="48D2BA3C" w14:textId="77777777" w:rsidR="00951A61" w:rsidRPr="009C4568" w:rsidRDefault="00951A61" w:rsidP="00A4032F">
            <w:pPr>
              <w:ind w:firstLine="425"/>
              <w:jc w:val="both"/>
              <w:rPr>
                <w:rFonts w:ascii="Tahoma" w:hAnsi="Tahoma" w:cs="Tahoma"/>
                <w:color w:val="000000"/>
                <w:sz w:val="20"/>
                <w:szCs w:val="20"/>
              </w:rPr>
            </w:pPr>
            <w:r w:rsidRPr="009C4568">
              <w:rPr>
                <w:rFonts w:ascii="Tahoma" w:hAnsi="Tahoma" w:cs="Tahoma"/>
                <w:color w:val="000000"/>
                <w:sz w:val="20"/>
                <w:szCs w:val="20"/>
              </w:rPr>
              <w:t>При этом размер процентной ставки по Кредитному договору, увеличенный в ниже перечисленном случае не может превышать размер ключевой ставки Центрального банка Российской Федерации, установленной на дату заключения в соответствии с настоящим документом Кредитного договора, увеличенной на 2,00 процентных пункта:</w:t>
            </w:r>
          </w:p>
        </w:tc>
      </w:tr>
      <w:tr w:rsidR="00951A61" w:rsidRPr="00F369B0" w14:paraId="1AD6D610" w14:textId="77777777" w:rsidTr="00A4032F">
        <w:trPr>
          <w:trHeight w:val="1258"/>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37655CA5" w14:textId="77777777" w:rsidR="00951A61" w:rsidRPr="00F369B0" w:rsidRDefault="00951A61" w:rsidP="00A4032F">
            <w:pPr>
              <w:autoSpaceDE w:val="0"/>
              <w:autoSpaceDN w:val="0"/>
              <w:adjustRightInd w:val="0"/>
              <w:jc w:val="center"/>
              <w:rPr>
                <w:rFonts w:ascii="Tahoma" w:hAnsi="Tahoma" w:cs="Tahoma"/>
                <w:b/>
                <w:sz w:val="20"/>
                <w:szCs w:val="20"/>
              </w:rPr>
            </w:pPr>
            <w:r w:rsidRPr="00F369B0">
              <w:rPr>
                <w:rFonts w:ascii="Tahoma" w:hAnsi="Tahoma" w:cs="Tahoma"/>
                <w:b/>
                <w:bCs/>
                <w:color w:val="000000"/>
                <w:sz w:val="20"/>
                <w:szCs w:val="20"/>
              </w:rPr>
              <w:lastRenderedPageBreak/>
              <w:t>Иные положения</w:t>
            </w:r>
          </w:p>
        </w:tc>
        <w:tc>
          <w:tcPr>
            <w:tcW w:w="11452" w:type="dxa"/>
            <w:tcBorders>
              <w:top w:val="single" w:sz="4" w:space="0" w:color="auto"/>
              <w:left w:val="nil"/>
              <w:bottom w:val="single" w:sz="4" w:space="0" w:color="auto"/>
              <w:right w:val="single" w:sz="4" w:space="0" w:color="auto"/>
            </w:tcBorders>
            <w:shd w:val="clear" w:color="auto" w:fill="auto"/>
          </w:tcPr>
          <w:p w14:paraId="469FFEBB" w14:textId="77777777" w:rsidR="00951A61" w:rsidRPr="00F369B0" w:rsidRDefault="00951A61" w:rsidP="00A4032F">
            <w:pPr>
              <w:ind w:firstLine="425"/>
              <w:jc w:val="both"/>
              <w:rPr>
                <w:rFonts w:ascii="Tahoma" w:hAnsi="Tahoma" w:cs="Tahoma"/>
                <w:sz w:val="20"/>
                <w:szCs w:val="20"/>
              </w:rPr>
            </w:pPr>
            <w:r w:rsidRPr="00F369B0">
              <w:rPr>
                <w:rFonts w:ascii="Tahoma" w:hAnsi="Tahoma" w:cs="Tahoma"/>
                <w:sz w:val="20"/>
                <w:szCs w:val="20"/>
              </w:rPr>
              <w:t>1) Кредит предоставляется в соответствии с требованиями Правил;</w:t>
            </w:r>
          </w:p>
          <w:p w14:paraId="02FC2F25" w14:textId="77777777" w:rsidR="00951A61" w:rsidRPr="00F369B0" w:rsidRDefault="00951A61" w:rsidP="00A4032F">
            <w:pPr>
              <w:ind w:firstLine="425"/>
              <w:jc w:val="both"/>
              <w:rPr>
                <w:rFonts w:ascii="Tahoma" w:hAnsi="Tahoma" w:cs="Tahoma"/>
                <w:sz w:val="20"/>
              </w:rPr>
            </w:pPr>
            <w:r w:rsidRPr="00F369B0">
              <w:rPr>
                <w:rFonts w:ascii="Tahoma" w:hAnsi="Tahoma" w:cs="Tahoma"/>
                <w:sz w:val="20"/>
                <w:szCs w:val="20"/>
              </w:rPr>
              <w:t xml:space="preserve">2) </w:t>
            </w:r>
            <w:r w:rsidRPr="00F369B0">
              <w:rPr>
                <w:rFonts w:ascii="Tahoma" w:hAnsi="Tahoma" w:cs="Tahoma"/>
                <w:sz w:val="20"/>
              </w:rPr>
              <w:t>Кредит на цели приобретения Объекта недвижимости у членов семьи заемщика (детей, родителей, братьев, сестер, бабушек, дедушек, усыновителей и усыновленных), а также бывшего (-ей) супруга (-и) может предоставляться только в случае, когда кредитуемый Объект недвижимости одновременно является реализуемым объектом недвижимости в рамках альтернативных сделок купли-продажи, совершаемых продавцом кредитуемого Объекта недвижимости;</w:t>
            </w:r>
          </w:p>
          <w:p w14:paraId="1FA93E70" w14:textId="77777777" w:rsidR="00951A61" w:rsidRPr="00F369B0" w:rsidRDefault="00951A61" w:rsidP="00A4032F">
            <w:pPr>
              <w:ind w:firstLine="425"/>
              <w:jc w:val="both"/>
              <w:rPr>
                <w:rFonts w:ascii="Tahoma" w:hAnsi="Tahoma" w:cs="Tahoma"/>
                <w:sz w:val="20"/>
              </w:rPr>
            </w:pPr>
            <w:r w:rsidRPr="00F369B0">
              <w:rPr>
                <w:rFonts w:ascii="Tahoma" w:hAnsi="Tahoma" w:cs="Tahoma"/>
                <w:sz w:val="20"/>
              </w:rPr>
              <w:t>3) Кредит не предоставляется, если лицо, осуществляющее продажу/ строительство объекта недвижимости, одновременно является заемщиком по кредиту/ супругом (-ой) заемщика, залогодателем.</w:t>
            </w:r>
          </w:p>
          <w:p w14:paraId="3ACD17AC" w14:textId="77777777" w:rsidR="00951A61" w:rsidRPr="00F369B0" w:rsidRDefault="00951A61" w:rsidP="00A4032F">
            <w:pPr>
              <w:ind w:firstLine="425"/>
              <w:jc w:val="both"/>
              <w:rPr>
                <w:rFonts w:ascii="Tahoma" w:hAnsi="Tahoma" w:cs="Tahoma"/>
                <w:sz w:val="20"/>
              </w:rPr>
            </w:pPr>
            <w:r w:rsidRPr="00F369B0">
              <w:rPr>
                <w:rFonts w:ascii="Tahoma" w:hAnsi="Tahoma" w:cs="Tahoma"/>
                <w:sz w:val="20"/>
              </w:rPr>
              <w:t xml:space="preserve">4) Кредит </w:t>
            </w:r>
            <w:r>
              <w:rPr>
                <w:rFonts w:ascii="Tahoma" w:hAnsi="Tahoma" w:cs="Tahoma"/>
                <w:sz w:val="20"/>
              </w:rPr>
              <w:t xml:space="preserve">не </w:t>
            </w:r>
            <w:r w:rsidRPr="00F369B0">
              <w:rPr>
                <w:rFonts w:ascii="Tahoma" w:hAnsi="Tahoma" w:cs="Tahoma"/>
                <w:sz w:val="20"/>
              </w:rPr>
              <w:t>предоставл</w:t>
            </w:r>
            <w:r>
              <w:rPr>
                <w:rFonts w:ascii="Tahoma" w:hAnsi="Tahoma" w:cs="Tahoma"/>
                <w:sz w:val="20"/>
              </w:rPr>
              <w:t xml:space="preserve">яется, </w:t>
            </w:r>
            <w:r w:rsidRPr="00A869E2">
              <w:rPr>
                <w:rFonts w:ascii="Tahoma" w:hAnsi="Tahoma" w:cs="Tahoma"/>
                <w:sz w:val="20"/>
              </w:rPr>
              <w:t xml:space="preserve">если договоры, в соответствии с которыми жилые помещения приобретаются </w:t>
            </w:r>
            <w:r>
              <w:rPr>
                <w:rFonts w:ascii="Tahoma" w:hAnsi="Tahoma" w:cs="Tahoma"/>
                <w:sz w:val="20"/>
              </w:rPr>
              <w:t>З</w:t>
            </w:r>
            <w:r w:rsidRPr="00A869E2">
              <w:rPr>
                <w:rFonts w:ascii="Tahoma" w:hAnsi="Tahoma" w:cs="Tahoma"/>
                <w:sz w:val="20"/>
              </w:rPr>
              <w:t xml:space="preserve">аемщиками в собственность, в том числе по завершении их строительства (создания), содержат условия об оказании </w:t>
            </w:r>
            <w:r>
              <w:rPr>
                <w:rFonts w:ascii="Tahoma" w:hAnsi="Tahoma" w:cs="Tahoma"/>
                <w:sz w:val="20"/>
              </w:rPr>
              <w:t>З</w:t>
            </w:r>
            <w:r w:rsidRPr="00A869E2">
              <w:rPr>
                <w:rFonts w:ascii="Tahoma" w:hAnsi="Tahoma" w:cs="Tahoma"/>
                <w:sz w:val="20"/>
              </w:rPr>
              <w:t>аемщикам услуг по выполнению работ по ремонту и (или) перепланировке (переустройству) жилых помещений, изменению их назначения, приобретению мебели, отделимого от жилых помещений бытового оборудования и предметов интерьера</w:t>
            </w:r>
            <w:r w:rsidRPr="00F369B0">
              <w:rPr>
                <w:rFonts w:ascii="Tahoma" w:hAnsi="Tahoma" w:cs="Tahoma"/>
                <w:sz w:val="20"/>
              </w:rPr>
              <w:t>;</w:t>
            </w:r>
          </w:p>
          <w:p w14:paraId="6911E8D0" w14:textId="77777777" w:rsidR="00951A61" w:rsidRPr="00F369B0" w:rsidRDefault="00951A61" w:rsidP="00A4032F">
            <w:pPr>
              <w:ind w:firstLine="425"/>
              <w:jc w:val="both"/>
              <w:rPr>
                <w:rFonts w:ascii="Tahoma" w:hAnsi="Tahoma" w:cs="Tahoma"/>
                <w:sz w:val="20"/>
              </w:rPr>
            </w:pPr>
            <w:r w:rsidRPr="00F369B0">
              <w:rPr>
                <w:rFonts w:ascii="Tahoma" w:hAnsi="Tahoma" w:cs="Tahoma"/>
                <w:sz w:val="20"/>
              </w:rPr>
              <w:t>5) Кредит предоставляется:</w:t>
            </w:r>
          </w:p>
          <w:p w14:paraId="6F1D70C4" w14:textId="77777777" w:rsidR="00951A61" w:rsidRPr="00F369B0" w:rsidRDefault="00951A61" w:rsidP="00951A61">
            <w:pPr>
              <w:pStyle w:val="affe"/>
              <w:numPr>
                <w:ilvl w:val="0"/>
                <w:numId w:val="78"/>
              </w:numPr>
              <w:ind w:left="0" w:firstLine="425"/>
              <w:jc w:val="both"/>
              <w:rPr>
                <w:rFonts w:ascii="Tahoma" w:hAnsi="Tahoma" w:cs="Tahoma"/>
                <w:sz w:val="20"/>
              </w:rPr>
            </w:pPr>
            <w:r w:rsidRPr="00F369B0">
              <w:rPr>
                <w:rFonts w:ascii="Tahoma" w:hAnsi="Tahoma" w:cs="Tahoma"/>
                <w:sz w:val="20"/>
              </w:rPr>
              <w:t>на приобретение/ инвестирование строительства одного жилого помещения;</w:t>
            </w:r>
          </w:p>
          <w:p w14:paraId="577BFD0C" w14:textId="77777777" w:rsidR="00951A61" w:rsidRPr="00F369B0" w:rsidRDefault="00951A61" w:rsidP="00951A61">
            <w:pPr>
              <w:pStyle w:val="affe"/>
              <w:numPr>
                <w:ilvl w:val="0"/>
                <w:numId w:val="78"/>
              </w:numPr>
              <w:ind w:left="0" w:firstLine="425"/>
              <w:jc w:val="both"/>
              <w:rPr>
                <w:rFonts w:ascii="Tahoma" w:hAnsi="Tahoma" w:cs="Tahoma"/>
                <w:sz w:val="20"/>
              </w:rPr>
            </w:pPr>
            <w:r w:rsidRPr="00F369B0">
              <w:rPr>
                <w:rFonts w:ascii="Tahoma" w:hAnsi="Tahoma" w:cs="Tahoma"/>
                <w:sz w:val="20"/>
              </w:rPr>
              <w:t>рефинансирование одного ипотечного кредита.</w:t>
            </w:r>
          </w:p>
          <w:p w14:paraId="4AA79A4A" w14:textId="77777777" w:rsidR="00951A61" w:rsidRPr="00F369B0" w:rsidRDefault="00951A61" w:rsidP="00A4032F">
            <w:pPr>
              <w:ind w:firstLine="425"/>
              <w:jc w:val="both"/>
              <w:rPr>
                <w:rFonts w:ascii="Tahoma" w:hAnsi="Tahoma" w:cs="Tahoma"/>
                <w:sz w:val="20"/>
              </w:rPr>
            </w:pPr>
            <w:r w:rsidRPr="00F369B0">
              <w:rPr>
                <w:rFonts w:ascii="Tahoma" w:hAnsi="Tahoma" w:cs="Tahoma"/>
                <w:sz w:val="20"/>
              </w:rPr>
              <w:t xml:space="preserve">6) В случае несоответствия каких либо частей настоящего документа </w:t>
            </w:r>
            <w:r w:rsidRPr="00F369B0">
              <w:rPr>
                <w:rFonts w:ascii="Tahoma" w:hAnsi="Tahoma" w:cs="Tahoma"/>
                <w:sz w:val="20"/>
                <w:szCs w:val="20"/>
              </w:rPr>
              <w:t>порядку предоставления субсидии акционерному обществу "ДОМ.РФ", г. Москва, в виде вкладов в имущество, не увеличивающих его уставный капитал, для возмещения российским кредитным организациям и акционерному обществу "ДОМ.РФ" недополученных доходов по выданным (приобретенным) жилищным (ипотечным) кредитам (займам), предоставленным гражданам Российской Федерации, имеющим детей, утвержденному уполномоченным в Российской Федерации федеральным органом исполнительной власти</w:t>
            </w:r>
            <w:r w:rsidRPr="00F369B0">
              <w:rPr>
                <w:rFonts w:ascii="Tahoma" w:hAnsi="Tahoma" w:cs="Tahoma"/>
                <w:sz w:val="20"/>
              </w:rPr>
              <w:t xml:space="preserve"> (вследствие принятия новой редакции Правил/их изменения) приоритетную силу для применения имеет </w:t>
            </w:r>
            <w:r w:rsidRPr="00F369B0">
              <w:rPr>
                <w:rFonts w:ascii="Tahoma" w:hAnsi="Tahoma" w:cs="Tahoma"/>
                <w:sz w:val="20"/>
                <w:szCs w:val="20"/>
              </w:rPr>
              <w:t>порядок предоставления субсидии акционерному обществу "ДОМ.РФ", г. Москва, в виде вкладов в имущество, не увеличивающих его уставный капитал, для возмещения российским кредитным организациям и акционерному обществу "ДОМ.РФ" недополученных доходов по выданным (приобретенным) жилищным (ипотечным) кредитам (займам), предоставленным гражданам Российской Федерации, имеющим детей, утвержденный уполномоченным в Российской Федерации федеральным органом исполнительной власти</w:t>
            </w:r>
            <w:r w:rsidRPr="00F369B0">
              <w:rPr>
                <w:rFonts w:ascii="Tahoma" w:hAnsi="Tahoma" w:cs="Tahoma"/>
                <w:sz w:val="20"/>
              </w:rPr>
              <w:t>.</w:t>
            </w:r>
          </w:p>
        </w:tc>
      </w:tr>
      <w:tr w:rsidR="00951A61" w:rsidRPr="0068696D" w14:paraId="2A6DA960" w14:textId="77777777" w:rsidTr="00A4032F">
        <w:trPr>
          <w:trHeight w:val="247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3EDEDABC" w14:textId="77777777" w:rsidR="00951A61" w:rsidRPr="00F369B0" w:rsidRDefault="00951A61" w:rsidP="00A4032F">
            <w:pPr>
              <w:autoSpaceDE w:val="0"/>
              <w:autoSpaceDN w:val="0"/>
              <w:adjustRightInd w:val="0"/>
              <w:jc w:val="center"/>
              <w:rPr>
                <w:rFonts w:ascii="Tahoma" w:hAnsi="Tahoma" w:cs="Tahoma"/>
                <w:b/>
                <w:bCs/>
                <w:color w:val="000000"/>
                <w:sz w:val="20"/>
                <w:szCs w:val="20"/>
              </w:rPr>
            </w:pPr>
            <w:r w:rsidRPr="00F369B0">
              <w:rPr>
                <w:rFonts w:ascii="Tahoma" w:hAnsi="Tahoma" w:cs="Tahoma"/>
                <w:b/>
                <w:color w:val="000000"/>
                <w:sz w:val="20"/>
                <w:szCs w:val="20"/>
              </w:rPr>
              <w:t>Право заемщика обратиться к кредитору с требованием, предусмотренным частью 1 статьи 6.1-1 Федерального закона от 21.12.2013 № 353-ФЗ «О потребительском кредите (займе)», и об условиях, при наступлении которых у заемщика возникает соответствующее право.</w:t>
            </w:r>
          </w:p>
        </w:tc>
        <w:tc>
          <w:tcPr>
            <w:tcW w:w="11452" w:type="dxa"/>
            <w:tcBorders>
              <w:top w:val="single" w:sz="4" w:space="0" w:color="auto"/>
              <w:left w:val="nil"/>
              <w:bottom w:val="single" w:sz="4" w:space="0" w:color="auto"/>
              <w:right w:val="single" w:sz="4" w:space="0" w:color="auto"/>
            </w:tcBorders>
            <w:shd w:val="clear" w:color="auto" w:fill="auto"/>
            <w:vAlign w:val="center"/>
          </w:tcPr>
          <w:p w14:paraId="067A3D9C" w14:textId="77777777" w:rsidR="00951A61" w:rsidRPr="00F369B0" w:rsidRDefault="00951A61" w:rsidP="00A4032F">
            <w:pPr>
              <w:autoSpaceDE w:val="0"/>
              <w:autoSpaceDN w:val="0"/>
              <w:adjustRightInd w:val="0"/>
              <w:jc w:val="both"/>
              <w:rPr>
                <w:rFonts w:ascii="Tahoma" w:hAnsi="Tahoma" w:cs="Tahoma"/>
                <w:sz w:val="20"/>
                <w:szCs w:val="20"/>
              </w:rPr>
            </w:pPr>
            <w:r w:rsidRPr="00F369B0">
              <w:rPr>
                <w:rFonts w:ascii="Tahoma" w:hAnsi="Tahoma" w:cs="Tahoma"/>
                <w:sz w:val="20"/>
                <w:szCs w:val="20"/>
              </w:rPr>
              <w:t xml:space="preserve">Заемщик в любой момент в течение времени действия Кредитного договора, а в случае, указанном в п. 6 ч. 2 ст. 6.1-1 Закона № 353-ФЗ (и (наводнении, пожаре, катастрофе или другом бедствии), в течение шестидесяти дней со дня установления соответствующих фактов, вправе обратиться к кредитору с требованием о предоставлении льготного периода, предусматривающего приостановление исполнения Заемщиком своих обязательств по Кредитному договору, либо указание на размер платежей, уплачиваемых заемщиком в течение льготного периода. </w:t>
            </w:r>
          </w:p>
          <w:p w14:paraId="1A9A3EF3" w14:textId="77777777" w:rsidR="00951A61" w:rsidRPr="0068696D" w:rsidRDefault="00951A61" w:rsidP="00A4032F">
            <w:pPr>
              <w:ind w:firstLine="425"/>
              <w:jc w:val="both"/>
              <w:rPr>
                <w:rFonts w:ascii="Tahoma" w:hAnsi="Tahoma" w:cs="Tahoma"/>
                <w:sz w:val="20"/>
                <w:szCs w:val="20"/>
              </w:rPr>
            </w:pPr>
            <w:r w:rsidRPr="00F369B0">
              <w:rPr>
                <w:rFonts w:ascii="Tahoma" w:hAnsi="Tahoma" w:cs="Tahoma"/>
                <w:sz w:val="20"/>
                <w:szCs w:val="20"/>
              </w:rPr>
              <w:t xml:space="preserve">С условиями, при наступлении которых у Заемщика возникает такое право, можно ознакомиться в размещаемой Банком информации о кредитных каникулах в рамках 353-ФЗ, в том числе на сайте Банка </w:t>
            </w:r>
            <w:hyperlink r:id="rId50" w:history="1">
              <w:r w:rsidRPr="00F369B0">
                <w:rPr>
                  <w:rStyle w:val="aff"/>
                  <w:rFonts w:ascii="Tahoma" w:hAnsi="Tahoma" w:cs="Tahoma"/>
                  <w:sz w:val="20"/>
                  <w:szCs w:val="20"/>
                </w:rPr>
                <w:t>https://www.atb.su/customer-care-service/</w:t>
              </w:r>
            </w:hyperlink>
          </w:p>
        </w:tc>
      </w:tr>
    </w:tbl>
    <w:p w14:paraId="4C078B16" w14:textId="77777777" w:rsidR="00951A61" w:rsidRPr="0068696D" w:rsidRDefault="00951A61" w:rsidP="00951A61">
      <w:pPr>
        <w:tabs>
          <w:tab w:val="left" w:pos="851"/>
        </w:tabs>
        <w:rPr>
          <w:rFonts w:ascii="Tahoma" w:hAnsi="Tahoma" w:cs="Tahoma"/>
          <w:sz w:val="20"/>
          <w:szCs w:val="20"/>
        </w:rPr>
      </w:pPr>
    </w:p>
    <w:p w14:paraId="586FA235" w14:textId="77777777" w:rsidR="00951A61" w:rsidRPr="0068696D" w:rsidRDefault="00951A61" w:rsidP="00951A61">
      <w:pPr>
        <w:pageBreakBefore/>
        <w:jc w:val="right"/>
        <w:rPr>
          <w:rFonts w:ascii="Tahoma" w:hAnsi="Tahoma" w:cs="Tahoma"/>
          <w:sz w:val="18"/>
          <w:szCs w:val="20"/>
        </w:rPr>
      </w:pPr>
      <w:r w:rsidRPr="0068696D">
        <w:rPr>
          <w:rFonts w:ascii="Tahoma" w:hAnsi="Tahoma" w:cs="Tahoma"/>
          <w:sz w:val="18"/>
          <w:szCs w:val="20"/>
        </w:rPr>
        <w:lastRenderedPageBreak/>
        <w:t>Приложение №1</w:t>
      </w:r>
    </w:p>
    <w:p w14:paraId="4DAEB594" w14:textId="77777777" w:rsidR="00951A61" w:rsidRPr="0068696D" w:rsidRDefault="00951A61" w:rsidP="00951A61">
      <w:pPr>
        <w:jc w:val="right"/>
        <w:rPr>
          <w:rFonts w:ascii="Tahoma" w:hAnsi="Tahoma" w:cs="Tahoma"/>
          <w:noProof/>
          <w:sz w:val="18"/>
          <w:szCs w:val="20"/>
        </w:rPr>
      </w:pPr>
      <w:r w:rsidRPr="0068696D">
        <w:rPr>
          <w:rFonts w:ascii="Tahoma" w:hAnsi="Tahoma" w:cs="Tahoma"/>
          <w:noProof/>
          <w:sz w:val="18"/>
          <w:szCs w:val="20"/>
        </w:rPr>
        <w:t xml:space="preserve">к основным условиях предоставления, использования и возврата </w:t>
      </w:r>
    </w:p>
    <w:p w14:paraId="4278BEF0" w14:textId="77777777" w:rsidR="00951A61" w:rsidRPr="0068696D" w:rsidRDefault="00951A61" w:rsidP="00951A61">
      <w:pPr>
        <w:jc w:val="right"/>
        <w:rPr>
          <w:rFonts w:ascii="Tahoma" w:hAnsi="Tahoma" w:cs="Tahoma"/>
          <w:sz w:val="18"/>
          <w:szCs w:val="20"/>
        </w:rPr>
      </w:pPr>
      <w:r w:rsidRPr="0068696D">
        <w:rPr>
          <w:rFonts w:ascii="Tahoma" w:hAnsi="Tahoma" w:cs="Tahoma"/>
          <w:noProof/>
          <w:sz w:val="18"/>
          <w:szCs w:val="20"/>
        </w:rPr>
        <w:t>ипотечного кредита по тарифному плану «Семейная ипотека»</w:t>
      </w:r>
    </w:p>
    <w:p w14:paraId="2D41E4AA" w14:textId="77777777" w:rsidR="00951A61" w:rsidRPr="0068696D" w:rsidRDefault="00951A61" w:rsidP="00951A61">
      <w:pPr>
        <w:pStyle w:val="affe"/>
        <w:suppressAutoHyphens/>
        <w:spacing w:before="80" w:after="120"/>
        <w:ind w:left="284" w:right="23"/>
        <w:jc w:val="both"/>
        <w:rPr>
          <w:rFonts w:ascii="Tahoma" w:hAnsi="Tahoma" w:cs="Tahoma"/>
          <w:b/>
          <w:sz w:val="20"/>
          <w:szCs w:val="20"/>
        </w:rPr>
      </w:pPr>
    </w:p>
    <w:p w14:paraId="53EE21AD" w14:textId="77777777" w:rsidR="00951A61" w:rsidRPr="0068696D" w:rsidRDefault="00951A61" w:rsidP="00951A61">
      <w:pPr>
        <w:pStyle w:val="affe"/>
        <w:suppressAutoHyphens/>
        <w:spacing w:before="80" w:after="120"/>
        <w:ind w:left="284" w:right="23"/>
        <w:jc w:val="center"/>
        <w:rPr>
          <w:rFonts w:ascii="Tahoma" w:hAnsi="Tahoma" w:cs="Tahoma"/>
          <w:b/>
          <w:sz w:val="20"/>
          <w:szCs w:val="20"/>
        </w:rPr>
      </w:pPr>
      <w:r w:rsidRPr="0068696D">
        <w:rPr>
          <w:rFonts w:ascii="Tahoma" w:hAnsi="Tahoma" w:cs="Tahoma"/>
          <w:b/>
          <w:sz w:val="20"/>
          <w:szCs w:val="20"/>
        </w:rPr>
        <w:t>ДОПОЛНИТЕЛЬНЫЕ ТРЕБОВАНИЯ К ОФОРМЛЯЕМОЙ ДОВЕРЕННОСТИ</w:t>
      </w:r>
    </w:p>
    <w:p w14:paraId="718ED478" w14:textId="77777777" w:rsidR="00951A61" w:rsidRPr="0068696D" w:rsidRDefault="00951A61" w:rsidP="00951A61">
      <w:pPr>
        <w:pStyle w:val="affe"/>
        <w:suppressAutoHyphens/>
        <w:spacing w:before="80" w:after="120"/>
        <w:ind w:left="284" w:right="23"/>
        <w:jc w:val="center"/>
        <w:rPr>
          <w:rFonts w:ascii="Tahoma" w:hAnsi="Tahoma" w:cs="Tahoma"/>
          <w:b/>
          <w:sz w:val="20"/>
          <w:szCs w:val="20"/>
        </w:rPr>
      </w:pPr>
    </w:p>
    <w:p w14:paraId="0F79EBA5" w14:textId="77777777" w:rsidR="00951A61" w:rsidRPr="0068696D" w:rsidRDefault="00951A61" w:rsidP="00951A61">
      <w:pPr>
        <w:pStyle w:val="affe"/>
        <w:suppressAutoHyphens/>
        <w:spacing w:before="80" w:after="120"/>
        <w:ind w:left="284" w:right="23"/>
        <w:jc w:val="center"/>
        <w:rPr>
          <w:rFonts w:ascii="Tahoma" w:hAnsi="Tahoma" w:cs="Tahoma"/>
          <w:sz w:val="20"/>
          <w:szCs w:val="20"/>
        </w:rPr>
      </w:pPr>
    </w:p>
    <w:p w14:paraId="5351C9B8" w14:textId="77777777" w:rsidR="00951A61" w:rsidRPr="0068696D" w:rsidRDefault="00951A61" w:rsidP="00951A61">
      <w:pPr>
        <w:pStyle w:val="affe"/>
        <w:ind w:left="0" w:firstLine="425"/>
        <w:jc w:val="both"/>
      </w:pPr>
      <w:r w:rsidRPr="0068696D">
        <w:rPr>
          <w:rFonts w:ascii="Tahoma" w:hAnsi="Tahoma" w:cs="Tahoma"/>
          <w:sz w:val="20"/>
          <w:szCs w:val="20"/>
        </w:rPr>
        <w:t>Перечень обязательных полномочий в доверенности, предоставленной Заемщиком (</w:t>
      </w:r>
      <w:r w:rsidRPr="0068696D">
        <w:rPr>
          <w:rFonts w:ascii="Tahoma" w:hAnsi="Tahoma" w:cs="Tahoma"/>
          <w:b/>
          <w:bCs/>
          <w:sz w:val="20"/>
          <w:szCs w:val="20"/>
        </w:rPr>
        <w:t>формулировки в оформленной доверенности могут быть изложены иным образом при сохранении смысла и сути полномочий</w:t>
      </w:r>
      <w:r w:rsidRPr="0068696D">
        <w:rPr>
          <w:rFonts w:ascii="Tahoma" w:hAnsi="Tahoma" w:cs="Tahoma"/>
          <w:sz w:val="20"/>
          <w:szCs w:val="20"/>
        </w:rPr>
        <w:t>):</w:t>
      </w:r>
    </w:p>
    <w:p w14:paraId="03B47B34" w14:textId="77777777" w:rsidR="00951A61" w:rsidRPr="0068696D" w:rsidRDefault="00951A61" w:rsidP="00951A61">
      <w:pPr>
        <w:pStyle w:val="affe"/>
        <w:ind w:left="0" w:firstLine="425"/>
        <w:jc w:val="both"/>
      </w:pPr>
      <w:r w:rsidRPr="0068696D">
        <w:rPr>
          <w:rFonts w:ascii="Tahoma" w:hAnsi="Tahoma" w:cs="Tahoma"/>
          <w:b/>
          <w:bCs/>
          <w:sz w:val="20"/>
          <w:szCs w:val="20"/>
        </w:rPr>
        <w:t>1.</w:t>
      </w:r>
      <w:r w:rsidRPr="0068696D">
        <w:rPr>
          <w:rFonts w:ascii="Tahoma" w:hAnsi="Tahoma" w:cs="Tahoma"/>
          <w:sz w:val="20"/>
          <w:szCs w:val="20"/>
        </w:rPr>
        <w:t>      В доверенности должны быть указаны полномочия на осуществление регистрационных действий, на осуществление действий по полному досрочному погашению задолженности перед банком-залогодержателем с правом получения погашенной закладной в банке-залогодержателе, на снятие обременения банка-залогодержателя, полномочия на осуществление регистрационных действий, а именно:</w:t>
      </w:r>
    </w:p>
    <w:p w14:paraId="3DE727D2" w14:textId="77777777" w:rsidR="00951A61" w:rsidRPr="0068696D" w:rsidRDefault="00951A61" w:rsidP="00951A61">
      <w:pPr>
        <w:pStyle w:val="affe"/>
        <w:ind w:left="0" w:firstLine="425"/>
        <w:jc w:val="both"/>
      </w:pPr>
      <w:r w:rsidRPr="0068696D">
        <w:rPr>
          <w:rFonts w:ascii="Tahoma" w:hAnsi="Tahoma" w:cs="Tahoma"/>
          <w:sz w:val="20"/>
          <w:szCs w:val="20"/>
        </w:rPr>
        <w:t>1.1. Право осуществлять погашение Кредита по Кредитному договору №____ от ____, заключенному с __________ (наименование банка-залогодержателя) в г. ____________, в том числе осуществлять частичное или полное досрочное погашение, подавать и подписывать необходимые заявления, в том числе заявление на полное и (или) частичное досрочное погашение Кредита, уточнять сумму погашения, получать выписки, графики платежей, справки об остатке ссудной задолженности, вести переговоры с __________ (наименование банка-залогодержателя) по вопросам погашения задолженности по Кредиту, получать справки о погашении Кредита, получать в __________ (наименование банка-залогодержателя) все необходимые документы для погашения ипотеки (залога) в отношении следующего имущества: «указывается полный адрес и кадастровый/условный номер (при наличии) недвижимости», получить закладную, погасить регистрационную запись об ипотеке, для чего вправе подавать необходимые документы и заявления в Федеральную службу государственной регистрации, кадастра и картографии и ее любые подразделения, ФГБУ «Федеральная кадастровая палата Федеральной службы государственной регистрации, кадастра и картографии» и ее любые подразделения, Многофункциональный центр предоставления государственных и муниципальных услуг, производить оплату необходимых тарифов, сборов и пошлин, получать любые документы после погашения записи об ипотеке, в том числе закладную, выписку из единого государственного реестра недвижимости и иные документы.</w:t>
      </w:r>
    </w:p>
    <w:p w14:paraId="67EF8A63" w14:textId="77777777" w:rsidR="00951A61" w:rsidRPr="0068696D" w:rsidRDefault="00951A61" w:rsidP="00951A61">
      <w:pPr>
        <w:pStyle w:val="affe"/>
        <w:ind w:left="0" w:firstLine="425"/>
        <w:jc w:val="both"/>
      </w:pPr>
      <w:r w:rsidRPr="0068696D">
        <w:rPr>
          <w:rFonts w:ascii="Tahoma" w:hAnsi="Tahoma" w:cs="Tahoma"/>
          <w:sz w:val="20"/>
          <w:szCs w:val="20"/>
        </w:rPr>
        <w:t>1.2. Представлять интересы доверителя в органах Федеральной службы государственной регистрации, кадастра и картографии и ее любых подразделениях, ФГБУ «Федеральная кадастровая палата  Федеральной службы государственной регистрации, кадастра и картографии» и ее любых подразделениях, Многофункциональном центре предоставления государственных и муниципальных услуг по вопросам погашения регистрационной записи об ипотеке в пользу ___ (наименование банка-залогодержателя), для чего предоставляю право делать от имени доверителя любые запросы и заявления, в том числе заявления о государственной регистрации права собственности, приостановлении либо прекращении государственной регистрации, о предоставлении информации о зарегистрированных правах на объект недвижимого имущества, о внесении изменений в единый государственный реестр недвижимости, снятии обременений  (ограничений), о погашении регистрационных записей, с правом подачи заявления о приостановлении, прекращении и возобновлении государственной регистрации, сообщения об отказе в государственной регистрации, с правом подачи дополнительных документов, внесения изменений в записи единого государственного реестра недвижимости, внесения изменений в документы, с правом оплаты тарифов, сборов, пошлин, с правом получения выписки из Единого государственного реестра недвижимости и всех необходимых зарегистрированных документов, с правом подачи заявлений об исправлении технических ошибок. Получать в регистрирующем органе любые документы после регистрации: правоустанавливающие документы, выписку из единого государственного реестра недвижимости и иные документы, уплачивать необходимые платежи, пошлины, сборы.</w:t>
      </w:r>
    </w:p>
    <w:p w14:paraId="6B9CF5C4" w14:textId="77777777" w:rsidR="00951A61" w:rsidRPr="0068696D" w:rsidRDefault="00951A61" w:rsidP="00951A61">
      <w:pPr>
        <w:pStyle w:val="affe"/>
        <w:ind w:left="0" w:firstLine="425"/>
        <w:jc w:val="both"/>
      </w:pPr>
    </w:p>
    <w:p w14:paraId="7F8D5F6E" w14:textId="77777777" w:rsidR="00951A61" w:rsidRPr="0068696D" w:rsidRDefault="00951A61" w:rsidP="00951A61">
      <w:pPr>
        <w:pStyle w:val="affe"/>
        <w:ind w:left="0" w:firstLine="425"/>
        <w:jc w:val="both"/>
      </w:pPr>
      <w:r w:rsidRPr="0068696D">
        <w:rPr>
          <w:rFonts w:ascii="Tahoma" w:hAnsi="Tahoma" w:cs="Tahoma"/>
          <w:sz w:val="20"/>
          <w:szCs w:val="20"/>
        </w:rPr>
        <w:t xml:space="preserve">1.3. Представлять интересы доверителя в органах Федеральной службы государственной регистрации, кадастра и картографии и ее любых подразделениях, ФГБУ «Федеральная кадастровая палата Федеральной службы государственной регистрации, кадастра и картографии» и ее любых подразделениях, Многофункциональном центре предоставления государственных и муниципальных услуг, иных учреждениях, осуществляющих государственную регистрацию, в __________ (наименование банка-залогодержателя), в органах государственной власти и местного самоуправления, административных, банковских, кредитных, финансовых, налоговых, </w:t>
      </w:r>
      <w:r w:rsidRPr="0068696D">
        <w:rPr>
          <w:rFonts w:ascii="Tahoma" w:hAnsi="Tahoma" w:cs="Tahoma"/>
          <w:sz w:val="20"/>
          <w:szCs w:val="20"/>
        </w:rPr>
        <w:lastRenderedPageBreak/>
        <w:t>нотариальных и иных компетентных органах по вопросам подписания, заверения, предъявления и получения любых справок и документов, копий, дубликатов документов, необходимых для реализации предоставленных настоящей доверенностью полномочий.</w:t>
      </w:r>
    </w:p>
    <w:p w14:paraId="6D92E948" w14:textId="77777777" w:rsidR="00951A61" w:rsidRPr="0068696D" w:rsidRDefault="00951A61" w:rsidP="00951A61">
      <w:pPr>
        <w:pStyle w:val="affe"/>
        <w:ind w:left="0" w:firstLine="425"/>
        <w:jc w:val="both"/>
      </w:pPr>
      <w:r w:rsidRPr="0068696D">
        <w:rPr>
          <w:rFonts w:ascii="Tahoma" w:hAnsi="Tahoma" w:cs="Tahoma"/>
          <w:sz w:val="20"/>
          <w:szCs w:val="20"/>
        </w:rPr>
        <w:t>1.4. Зарегистрировать обременение на Предмет ипотеки, расположенный по адресу: _______________________ (адрес и кадастровый/условный номер (при наличии)), зарегистрировать ограничения (обременения), в том числе залог (ипотеку в силу закона) в пользу «Азиатско-Тихоокеанский Банк»  (АО), с правом подачи заявления о приостановлении, прекращении и возобновлении государственной регистрации, сообщения об отказе в государственной регистрации, с правом подачи дополнительных документов, внесения изменений в записи единого государственного реестра недвижимости, внесения изменений в документы, с правом оплаты тарифов, сборов, пошлин, с правом получения выписки из Единого государственного реестра недвижимости и всех необходимых зарегистрированных документов, с правом подачи заявлений об исправлении технических ошибок, для чего предоставляю право делать от имени доверителя любые запросы и заявления, в том числе заявления о государственной регистрации права собственности, государственной регистрации ограничений (обременений), в том числе залога (ипотеки в силу закона), приостановлении либо прекращении государственной регистрации, о предоставлении информации о зарегистрированных ограничениях на объект недвижимого имущества, о внесении изменений в единый государственный реестр недвижимости,  запросы о предоставлении сведений, внесенных в государственный кадастр недвижимости, об исправлении технических ошибок, допущенных при регистрации. Получить в регистрирующем органе любые документы после регистрации: правоустанавливающие документы, выписку из единого государственного реестра недвижимости и иные документы, уплачивать необходимые платежи, пошлины, сборы.</w:t>
      </w:r>
    </w:p>
    <w:p w14:paraId="380C65C5" w14:textId="77777777" w:rsidR="00951A61" w:rsidRDefault="00951A61" w:rsidP="00951A61">
      <w:pPr>
        <w:pStyle w:val="affe"/>
        <w:ind w:left="0" w:firstLine="425"/>
        <w:jc w:val="both"/>
        <w:rPr>
          <w:rFonts w:ascii="Tahoma" w:hAnsi="Tahoma" w:cs="Tahoma"/>
          <w:sz w:val="20"/>
          <w:szCs w:val="20"/>
        </w:rPr>
      </w:pPr>
      <w:r w:rsidRPr="0068696D">
        <w:rPr>
          <w:rFonts w:ascii="Tahoma" w:hAnsi="Tahoma" w:cs="Tahoma"/>
          <w:sz w:val="20"/>
          <w:szCs w:val="20"/>
        </w:rPr>
        <w:t>1.5. Представлять интересы доверителя в органах Федеральной службы государственной регистрации, кадастра и картографии и ее любых подразделениях, ФГБУ «Федеральная кадастровая палата Федеральной службы государственной регистрации, кадастра и картографии» и ее любых подразделениях, Многофункциональном центре предоставления государственных и муниципальных услуг, иных учреждениях, осуществляющих государственную регистрацию права собственности, в органах государственной власти и местного самоуправления, административных, банковских, кредитных, финансовых, налоговых, нотариальных и иных компетентных органах по вопросам подписания, заверения, предъявления и получения любых справок и документов, копий, дубликатов документов, необходимых для реализации предоставленных настоящей доверенностью полномочий.</w:t>
      </w:r>
    </w:p>
    <w:p w14:paraId="4EA8FEB9" w14:textId="77777777" w:rsidR="00951A61" w:rsidRDefault="00951A61" w:rsidP="00951A61">
      <w:pPr>
        <w:pStyle w:val="affe"/>
        <w:ind w:left="0" w:firstLine="425"/>
        <w:jc w:val="both"/>
        <w:rPr>
          <w:rFonts w:ascii="Tahoma" w:hAnsi="Tahoma" w:cs="Tahoma"/>
          <w:sz w:val="20"/>
          <w:szCs w:val="20"/>
        </w:rPr>
      </w:pPr>
    </w:p>
    <w:p w14:paraId="4440D5F9" w14:textId="77777777" w:rsidR="00951A61" w:rsidRDefault="00951A61" w:rsidP="00951A61">
      <w:pPr>
        <w:pStyle w:val="affe"/>
        <w:ind w:left="0" w:firstLine="425"/>
        <w:jc w:val="both"/>
        <w:rPr>
          <w:rFonts w:ascii="Tahoma" w:hAnsi="Tahoma" w:cs="Tahoma"/>
          <w:sz w:val="20"/>
          <w:szCs w:val="20"/>
        </w:rPr>
      </w:pPr>
    </w:p>
    <w:p w14:paraId="065D9856" w14:textId="77777777" w:rsidR="00951A61" w:rsidRPr="009C4568" w:rsidRDefault="00951A61" w:rsidP="00951A61">
      <w:pPr>
        <w:pageBreakBefore/>
        <w:jc w:val="right"/>
        <w:rPr>
          <w:rFonts w:ascii="Tahoma" w:hAnsi="Tahoma" w:cs="Tahoma"/>
          <w:sz w:val="18"/>
          <w:szCs w:val="20"/>
        </w:rPr>
      </w:pPr>
      <w:r w:rsidRPr="009C4568">
        <w:rPr>
          <w:rFonts w:ascii="Tahoma" w:hAnsi="Tahoma" w:cs="Tahoma"/>
          <w:sz w:val="18"/>
          <w:szCs w:val="20"/>
        </w:rPr>
        <w:lastRenderedPageBreak/>
        <w:t>Приложение №2</w:t>
      </w:r>
    </w:p>
    <w:p w14:paraId="4FA9DDC7" w14:textId="77777777" w:rsidR="00951A61" w:rsidRPr="009C4568" w:rsidRDefault="00951A61" w:rsidP="00951A61">
      <w:pPr>
        <w:jc w:val="right"/>
        <w:rPr>
          <w:rFonts w:ascii="Tahoma" w:hAnsi="Tahoma" w:cs="Tahoma"/>
          <w:noProof/>
          <w:sz w:val="18"/>
          <w:szCs w:val="20"/>
        </w:rPr>
      </w:pPr>
      <w:r w:rsidRPr="009C4568">
        <w:rPr>
          <w:rFonts w:ascii="Tahoma" w:hAnsi="Tahoma" w:cs="Tahoma"/>
          <w:noProof/>
          <w:sz w:val="18"/>
          <w:szCs w:val="20"/>
        </w:rPr>
        <w:t xml:space="preserve">к основным условиях предоставления, использования и возврата </w:t>
      </w:r>
    </w:p>
    <w:p w14:paraId="42AE0085" w14:textId="77777777" w:rsidR="00951A61" w:rsidRPr="009C4568" w:rsidRDefault="00951A61" w:rsidP="00951A61">
      <w:pPr>
        <w:jc w:val="right"/>
        <w:rPr>
          <w:rFonts w:ascii="Tahoma" w:hAnsi="Tahoma" w:cs="Tahoma"/>
          <w:sz w:val="18"/>
          <w:szCs w:val="20"/>
        </w:rPr>
      </w:pPr>
      <w:r w:rsidRPr="009C4568">
        <w:rPr>
          <w:rFonts w:ascii="Tahoma" w:hAnsi="Tahoma" w:cs="Tahoma"/>
          <w:noProof/>
          <w:sz w:val="18"/>
          <w:szCs w:val="20"/>
        </w:rPr>
        <w:t>ипотечного кредита по тарифному плану «Семейная ипотека»</w:t>
      </w:r>
    </w:p>
    <w:p w14:paraId="2856D75E" w14:textId="77777777" w:rsidR="00951A61" w:rsidRPr="009C4568" w:rsidRDefault="00951A61" w:rsidP="00951A61">
      <w:pPr>
        <w:pStyle w:val="affe"/>
        <w:ind w:left="0" w:firstLine="425"/>
        <w:jc w:val="both"/>
      </w:pPr>
    </w:p>
    <w:p w14:paraId="2690FDF4" w14:textId="77777777" w:rsidR="00951A61" w:rsidRPr="009C4568" w:rsidRDefault="00951A61" w:rsidP="00951A61">
      <w:pPr>
        <w:tabs>
          <w:tab w:val="left" w:pos="851"/>
        </w:tabs>
        <w:ind w:firstLine="425"/>
        <w:jc w:val="center"/>
        <w:rPr>
          <w:rFonts w:ascii="Tahoma" w:hAnsi="Tahoma" w:cs="Tahoma"/>
          <w:b/>
          <w:sz w:val="20"/>
          <w:szCs w:val="20"/>
        </w:rPr>
      </w:pPr>
      <w:r w:rsidRPr="009C4568">
        <w:rPr>
          <w:rFonts w:ascii="Tahoma" w:hAnsi="Tahoma" w:cs="Tahoma"/>
          <w:b/>
          <w:sz w:val="20"/>
          <w:szCs w:val="20"/>
        </w:rPr>
        <w:t>ПЕРЕЧЕНЬ</w:t>
      </w:r>
    </w:p>
    <w:p w14:paraId="236B3416" w14:textId="77777777" w:rsidR="00951A61" w:rsidRPr="009C4568" w:rsidRDefault="00951A61" w:rsidP="00951A61">
      <w:pPr>
        <w:tabs>
          <w:tab w:val="left" w:pos="851"/>
        </w:tabs>
        <w:ind w:firstLine="425"/>
        <w:jc w:val="center"/>
        <w:rPr>
          <w:rFonts w:ascii="Tahoma" w:hAnsi="Tahoma" w:cs="Tahoma"/>
          <w:b/>
          <w:sz w:val="20"/>
          <w:szCs w:val="20"/>
        </w:rPr>
      </w:pPr>
      <w:r w:rsidRPr="009C4568">
        <w:rPr>
          <w:rFonts w:ascii="Tahoma" w:hAnsi="Tahoma" w:cs="Tahoma"/>
          <w:b/>
          <w:sz w:val="20"/>
          <w:szCs w:val="20"/>
        </w:rPr>
        <w:t>субъектов Российской Федерации, на территории которых доступно приобретение</w:t>
      </w:r>
    </w:p>
    <w:p w14:paraId="62B9FD8B" w14:textId="77777777" w:rsidR="00951A61" w:rsidRPr="009C4568" w:rsidRDefault="00951A61" w:rsidP="00951A61">
      <w:pPr>
        <w:tabs>
          <w:tab w:val="left" w:pos="851"/>
        </w:tabs>
        <w:ind w:firstLine="425"/>
        <w:jc w:val="center"/>
        <w:rPr>
          <w:rFonts w:ascii="Tahoma" w:hAnsi="Tahoma" w:cs="Tahoma"/>
          <w:b/>
          <w:sz w:val="20"/>
          <w:szCs w:val="20"/>
        </w:rPr>
      </w:pPr>
      <w:r w:rsidRPr="009C4568">
        <w:rPr>
          <w:rFonts w:ascii="Tahoma" w:hAnsi="Tahoma" w:cs="Tahoma"/>
          <w:b/>
          <w:sz w:val="20"/>
          <w:szCs w:val="20"/>
        </w:rPr>
        <w:t>(строительство) жилых помещений, в том числе с земельным участком, гражданам</w:t>
      </w:r>
    </w:p>
    <w:p w14:paraId="14409743" w14:textId="77777777" w:rsidR="00951A61" w:rsidRPr="009C4568" w:rsidRDefault="00951A61" w:rsidP="00951A61">
      <w:pPr>
        <w:tabs>
          <w:tab w:val="left" w:pos="851"/>
        </w:tabs>
        <w:ind w:firstLine="425"/>
        <w:jc w:val="center"/>
        <w:rPr>
          <w:rFonts w:ascii="Tahoma" w:hAnsi="Tahoma" w:cs="Tahoma"/>
          <w:b/>
          <w:sz w:val="20"/>
          <w:szCs w:val="20"/>
        </w:rPr>
      </w:pPr>
      <w:r w:rsidRPr="009C4568">
        <w:rPr>
          <w:rFonts w:ascii="Tahoma" w:hAnsi="Tahoma" w:cs="Tahoma"/>
          <w:b/>
          <w:sz w:val="20"/>
          <w:szCs w:val="20"/>
        </w:rPr>
        <w:t>Российской Федерации</w:t>
      </w:r>
    </w:p>
    <w:p w14:paraId="0CF7B00C" w14:textId="77777777" w:rsidR="00951A61" w:rsidRPr="009C4568" w:rsidRDefault="00951A61" w:rsidP="00951A61">
      <w:pPr>
        <w:tabs>
          <w:tab w:val="left" w:pos="851"/>
        </w:tabs>
        <w:ind w:firstLine="425"/>
        <w:jc w:val="center"/>
        <w:rPr>
          <w:rFonts w:ascii="Tahoma" w:hAnsi="Tahoma" w:cs="Tahoma"/>
          <w:sz w:val="20"/>
          <w:szCs w:val="20"/>
        </w:rPr>
      </w:pPr>
    </w:p>
    <w:p w14:paraId="15297382"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1. Еврейская автономная область;</w:t>
      </w:r>
    </w:p>
    <w:p w14:paraId="72411013"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2. Чукотский автономный округ;</w:t>
      </w:r>
    </w:p>
    <w:p w14:paraId="45129E8A"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3. Ненецкий автономный округ;</w:t>
      </w:r>
    </w:p>
    <w:p w14:paraId="7658F4DD"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4. Мурманская область;</w:t>
      </w:r>
    </w:p>
    <w:p w14:paraId="4DB6AF3B"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5. Республика Ингушетия;</w:t>
      </w:r>
    </w:p>
    <w:p w14:paraId="746D4877"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6. Республика Коми;</w:t>
      </w:r>
    </w:p>
    <w:p w14:paraId="1F81FBDD"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7. Новгородская область;</w:t>
      </w:r>
    </w:p>
    <w:p w14:paraId="58A7FFDC"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8. Республика Дагестан;</w:t>
      </w:r>
    </w:p>
    <w:p w14:paraId="400F8C10"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9. Белгородская область;</w:t>
      </w:r>
    </w:p>
    <w:p w14:paraId="2F7D264B"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10. Саратовская область;</w:t>
      </w:r>
    </w:p>
    <w:p w14:paraId="6F32D4F9"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11. Республика Алтай;</w:t>
      </w:r>
    </w:p>
    <w:p w14:paraId="0C214A79"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12. Город Севастополь;</w:t>
      </w:r>
    </w:p>
    <w:p w14:paraId="7432BABA"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13. Кемеровская область – Кузбасс;</w:t>
      </w:r>
    </w:p>
    <w:p w14:paraId="5932694E"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14. Республика Мордовия;</w:t>
      </w:r>
    </w:p>
    <w:p w14:paraId="7DFEB95D"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15. Республика Калмыкия;</w:t>
      </w:r>
    </w:p>
    <w:p w14:paraId="301A116F"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16. Курская область;</w:t>
      </w:r>
    </w:p>
    <w:p w14:paraId="731B917C"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17. Забайкальский край;</w:t>
      </w:r>
    </w:p>
    <w:p w14:paraId="03A92ACD"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18. Томская область;</w:t>
      </w:r>
    </w:p>
    <w:p w14:paraId="0BDBAB8E"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19. Костромская область;</w:t>
      </w:r>
    </w:p>
    <w:p w14:paraId="05511917"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20. Омская область;</w:t>
      </w:r>
    </w:p>
    <w:p w14:paraId="133C4B2B"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21. Оренбургская область;</w:t>
      </w:r>
    </w:p>
    <w:p w14:paraId="0B1C72DC"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22. Карачаево-Черкесская Республика;</w:t>
      </w:r>
    </w:p>
    <w:p w14:paraId="5D6F2B46"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23. Алтайский край;</w:t>
      </w:r>
    </w:p>
    <w:p w14:paraId="0CDC15F8"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24. Тамбовская область;</w:t>
      </w:r>
    </w:p>
    <w:p w14:paraId="72437008"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25. Чеченская Республика;</w:t>
      </w:r>
    </w:p>
    <w:p w14:paraId="202DD1CD"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26. Магаданская область;</w:t>
      </w:r>
    </w:p>
    <w:p w14:paraId="18D678B9"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27. Кировская область;</w:t>
      </w:r>
    </w:p>
    <w:p w14:paraId="76E1FD1D"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28. Нижегородская область;</w:t>
      </w:r>
    </w:p>
    <w:p w14:paraId="56B82C4F"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29. Псковская область;</w:t>
      </w:r>
    </w:p>
    <w:p w14:paraId="7288A664"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30. Республика Марий Эл;</w:t>
      </w:r>
    </w:p>
    <w:p w14:paraId="7F644668"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31. Курганская область;</w:t>
      </w:r>
    </w:p>
    <w:p w14:paraId="44EDFC31"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32. Республика Хакасия;</w:t>
      </w:r>
    </w:p>
    <w:p w14:paraId="78F0B9BE"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t>33. Республика Тыва;</w:t>
      </w:r>
    </w:p>
    <w:p w14:paraId="461294FA" w14:textId="77777777" w:rsidR="00951A61" w:rsidRPr="009C4568" w:rsidRDefault="00951A61" w:rsidP="00951A61">
      <w:pPr>
        <w:tabs>
          <w:tab w:val="left" w:pos="851"/>
        </w:tabs>
        <w:ind w:firstLine="425"/>
        <w:rPr>
          <w:rFonts w:ascii="Tahoma" w:hAnsi="Tahoma" w:cs="Tahoma"/>
          <w:sz w:val="20"/>
          <w:szCs w:val="20"/>
        </w:rPr>
      </w:pPr>
      <w:r w:rsidRPr="009C4568">
        <w:rPr>
          <w:rFonts w:ascii="Tahoma" w:hAnsi="Tahoma" w:cs="Tahoma"/>
          <w:sz w:val="20"/>
          <w:szCs w:val="20"/>
        </w:rPr>
        <w:lastRenderedPageBreak/>
        <w:t>34. Чувашская Республика;</w:t>
      </w:r>
    </w:p>
    <w:p w14:paraId="51EA0479" w14:textId="77777777" w:rsidR="00951A61" w:rsidRDefault="00951A61" w:rsidP="00951A61">
      <w:pPr>
        <w:tabs>
          <w:tab w:val="left" w:pos="851"/>
        </w:tabs>
        <w:ind w:firstLine="425"/>
        <w:rPr>
          <w:rFonts w:ascii="Tahoma" w:hAnsi="Tahoma" w:cs="Tahoma"/>
          <w:sz w:val="20"/>
          <w:szCs w:val="20"/>
        </w:rPr>
      </w:pPr>
      <w:r w:rsidRPr="009C4568">
        <w:rPr>
          <w:rFonts w:ascii="Tahoma" w:hAnsi="Tahoma" w:cs="Tahoma"/>
          <w:sz w:val="20"/>
          <w:szCs w:val="20"/>
        </w:rPr>
        <w:t>35. Республика Адыгея.</w:t>
      </w:r>
    </w:p>
    <w:p w14:paraId="19BA8501" w14:textId="77777777" w:rsidR="00951A61" w:rsidRPr="005D5BA6" w:rsidRDefault="00951A61" w:rsidP="00951A61">
      <w:pPr>
        <w:pageBreakBefore/>
        <w:jc w:val="right"/>
        <w:rPr>
          <w:rFonts w:ascii="Tahoma" w:hAnsi="Tahoma" w:cs="Tahoma"/>
          <w:sz w:val="18"/>
          <w:szCs w:val="20"/>
        </w:rPr>
      </w:pPr>
      <w:r w:rsidRPr="005D5BA6">
        <w:rPr>
          <w:rFonts w:ascii="Tahoma" w:hAnsi="Tahoma" w:cs="Tahoma"/>
          <w:sz w:val="18"/>
          <w:szCs w:val="20"/>
        </w:rPr>
        <w:lastRenderedPageBreak/>
        <w:t>Приложение №3</w:t>
      </w:r>
    </w:p>
    <w:p w14:paraId="238D322F" w14:textId="77777777" w:rsidR="00951A61" w:rsidRPr="005D5BA6" w:rsidRDefault="00951A61" w:rsidP="00951A61">
      <w:pPr>
        <w:jc w:val="right"/>
        <w:rPr>
          <w:rFonts w:ascii="Tahoma" w:hAnsi="Tahoma" w:cs="Tahoma"/>
          <w:noProof/>
          <w:sz w:val="18"/>
          <w:szCs w:val="20"/>
        </w:rPr>
      </w:pPr>
      <w:r w:rsidRPr="005D5BA6">
        <w:rPr>
          <w:rFonts w:ascii="Tahoma" w:hAnsi="Tahoma" w:cs="Tahoma"/>
          <w:noProof/>
          <w:sz w:val="18"/>
          <w:szCs w:val="20"/>
        </w:rPr>
        <w:t xml:space="preserve">к основным условиях предоставления, использования и возврата </w:t>
      </w:r>
    </w:p>
    <w:p w14:paraId="7ACAFF1A" w14:textId="77777777" w:rsidR="00951A61" w:rsidRPr="005D5BA6" w:rsidRDefault="00951A61" w:rsidP="00951A61">
      <w:pPr>
        <w:tabs>
          <w:tab w:val="left" w:pos="851"/>
        </w:tabs>
        <w:ind w:firstLine="425"/>
        <w:jc w:val="right"/>
        <w:rPr>
          <w:rFonts w:ascii="Tahoma" w:hAnsi="Tahoma" w:cs="Tahoma"/>
          <w:noProof/>
          <w:sz w:val="18"/>
          <w:szCs w:val="20"/>
        </w:rPr>
      </w:pPr>
      <w:r w:rsidRPr="005D5BA6">
        <w:rPr>
          <w:rFonts w:ascii="Tahoma" w:hAnsi="Tahoma" w:cs="Tahoma"/>
          <w:noProof/>
          <w:sz w:val="18"/>
          <w:szCs w:val="20"/>
        </w:rPr>
        <w:t>ипотечного кредита по тарифному плану «Семейная ипотека»</w:t>
      </w:r>
    </w:p>
    <w:p w14:paraId="58A973F7" w14:textId="77777777" w:rsidR="00951A61" w:rsidRPr="005D5BA6" w:rsidRDefault="00951A61" w:rsidP="00951A61">
      <w:pPr>
        <w:tabs>
          <w:tab w:val="left" w:pos="851"/>
        </w:tabs>
        <w:ind w:firstLine="425"/>
        <w:jc w:val="right"/>
        <w:rPr>
          <w:rFonts w:ascii="Tahoma" w:hAnsi="Tahoma" w:cs="Tahoma"/>
          <w:noProof/>
          <w:sz w:val="18"/>
          <w:szCs w:val="20"/>
        </w:rPr>
      </w:pPr>
    </w:p>
    <w:p w14:paraId="77D2BDBE" w14:textId="77777777" w:rsidR="00951A61" w:rsidRPr="005D5BA6" w:rsidRDefault="00951A61" w:rsidP="00951A61">
      <w:pPr>
        <w:jc w:val="center"/>
        <w:rPr>
          <w:rFonts w:ascii="Tahoma" w:hAnsi="Tahoma" w:cs="Tahoma"/>
          <w:b/>
          <w:sz w:val="20"/>
          <w:szCs w:val="20"/>
        </w:rPr>
      </w:pPr>
      <w:r w:rsidRPr="005D5BA6">
        <w:rPr>
          <w:rFonts w:ascii="Tahoma" w:hAnsi="Tahoma" w:cs="Tahoma"/>
          <w:b/>
          <w:sz w:val="20"/>
          <w:szCs w:val="20"/>
        </w:rPr>
        <w:t>СПИСОК НАСЕЛЕННЫХ ПУНКТОВ</w:t>
      </w:r>
    </w:p>
    <w:p w14:paraId="6AC61B41" w14:textId="77777777" w:rsidR="00951A61" w:rsidRPr="005D5BA6" w:rsidRDefault="00951A61" w:rsidP="00951A61">
      <w:pPr>
        <w:pStyle w:val="affe"/>
        <w:ind w:left="284"/>
        <w:jc w:val="both"/>
        <w:rPr>
          <w:rFonts w:ascii="Tahoma" w:hAnsi="Tahoma" w:cs="Tahoma"/>
          <w:sz w:val="20"/>
          <w:szCs w:val="20"/>
        </w:rPr>
      </w:pPr>
    </w:p>
    <w:tbl>
      <w:tblPr>
        <w:tblW w:w="11088" w:type="dxa"/>
        <w:tblInd w:w="-3" w:type="dxa"/>
        <w:tblCellMar>
          <w:left w:w="0" w:type="dxa"/>
          <w:right w:w="0" w:type="dxa"/>
        </w:tblCellMar>
        <w:tblLook w:val="04A0" w:firstRow="1" w:lastRow="0" w:firstColumn="1" w:lastColumn="0" w:noHBand="0" w:noVBand="1"/>
      </w:tblPr>
      <w:tblGrid>
        <w:gridCol w:w="844"/>
        <w:gridCol w:w="6548"/>
        <w:gridCol w:w="3696"/>
      </w:tblGrid>
      <w:tr w:rsidR="00951A61" w:rsidRPr="001F0EB5" w14:paraId="648C6307" w14:textId="77777777" w:rsidTr="00A4032F">
        <w:trPr>
          <w:trHeight w:val="300"/>
        </w:trPr>
        <w:tc>
          <w:tcPr>
            <w:tcW w:w="844" w:type="dxa"/>
            <w:tcBorders>
              <w:top w:val="single" w:sz="8" w:space="0" w:color="808080"/>
              <w:left w:val="single" w:sz="8" w:space="0" w:color="808080"/>
              <w:bottom w:val="single" w:sz="8" w:space="0" w:color="808080"/>
              <w:right w:val="single" w:sz="8" w:space="0" w:color="808080"/>
            </w:tcBorders>
          </w:tcPr>
          <w:p w14:paraId="4D1088EB" w14:textId="77777777" w:rsidR="00951A61" w:rsidRPr="005D5BA6" w:rsidRDefault="00951A61" w:rsidP="00A4032F">
            <w:pPr>
              <w:jc w:val="center"/>
              <w:rPr>
                <w:rFonts w:ascii="Tahoma" w:hAnsi="Tahoma" w:cs="Tahoma"/>
                <w:b/>
                <w:sz w:val="20"/>
                <w:szCs w:val="20"/>
              </w:rPr>
            </w:pPr>
            <w:r w:rsidRPr="005D5BA6">
              <w:rPr>
                <w:rFonts w:ascii="Tahoma" w:hAnsi="Tahoma" w:cs="Tahoma"/>
                <w:b/>
                <w:sz w:val="20"/>
                <w:szCs w:val="20"/>
              </w:rPr>
              <w:t>№</w:t>
            </w:r>
          </w:p>
        </w:tc>
        <w:tc>
          <w:tcPr>
            <w:tcW w:w="6548" w:type="dxa"/>
            <w:tcBorders>
              <w:top w:val="single" w:sz="8" w:space="0" w:color="808080"/>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0E618667" w14:textId="77777777" w:rsidR="00951A61" w:rsidRPr="005D5BA6" w:rsidRDefault="00951A61" w:rsidP="00A4032F">
            <w:pPr>
              <w:jc w:val="center"/>
              <w:rPr>
                <w:rFonts w:ascii="Tahoma" w:hAnsi="Tahoma" w:cs="Tahoma"/>
                <w:b/>
                <w:sz w:val="20"/>
                <w:szCs w:val="20"/>
              </w:rPr>
            </w:pPr>
            <w:r w:rsidRPr="005D5BA6">
              <w:rPr>
                <w:rFonts w:ascii="Tahoma" w:hAnsi="Tahoma" w:cs="Tahoma"/>
                <w:b/>
                <w:sz w:val="20"/>
                <w:szCs w:val="20"/>
              </w:rPr>
              <w:t>Субъекты РФ (регионы)</w:t>
            </w:r>
          </w:p>
        </w:tc>
        <w:tc>
          <w:tcPr>
            <w:tcW w:w="3696" w:type="dxa"/>
            <w:tcBorders>
              <w:top w:val="single" w:sz="8" w:space="0" w:color="808080"/>
              <w:left w:val="nil"/>
              <w:bottom w:val="single" w:sz="8" w:space="0" w:color="808080"/>
              <w:right w:val="single" w:sz="8" w:space="0" w:color="808080"/>
            </w:tcBorders>
            <w:tcMar>
              <w:top w:w="0" w:type="dxa"/>
              <w:left w:w="108" w:type="dxa"/>
              <w:bottom w:w="0" w:type="dxa"/>
              <w:right w:w="108" w:type="dxa"/>
            </w:tcMar>
            <w:hideMark/>
          </w:tcPr>
          <w:p w14:paraId="4E6DC787" w14:textId="77777777" w:rsidR="00951A61" w:rsidRPr="005D5BA6" w:rsidRDefault="00951A61" w:rsidP="00A4032F">
            <w:pPr>
              <w:jc w:val="center"/>
              <w:rPr>
                <w:rFonts w:ascii="Tahoma" w:hAnsi="Tahoma" w:cs="Tahoma"/>
                <w:b/>
                <w:sz w:val="20"/>
                <w:szCs w:val="20"/>
              </w:rPr>
            </w:pPr>
            <w:r w:rsidRPr="005D5BA6">
              <w:rPr>
                <w:rFonts w:ascii="Tahoma" w:hAnsi="Tahoma" w:cs="Tahoma"/>
                <w:b/>
                <w:sz w:val="20"/>
                <w:szCs w:val="20"/>
              </w:rPr>
              <w:t>Населённые пункты (города)</w:t>
            </w:r>
          </w:p>
        </w:tc>
      </w:tr>
      <w:tr w:rsidR="00951A61" w:rsidRPr="001F0EB5" w14:paraId="6528B9A6" w14:textId="77777777" w:rsidTr="00A4032F">
        <w:trPr>
          <w:trHeight w:val="255"/>
        </w:trPr>
        <w:tc>
          <w:tcPr>
            <w:tcW w:w="844" w:type="dxa"/>
            <w:tcBorders>
              <w:top w:val="nil"/>
              <w:left w:val="single" w:sz="8" w:space="0" w:color="808080"/>
              <w:bottom w:val="single" w:sz="8" w:space="0" w:color="808080"/>
              <w:right w:val="single" w:sz="8" w:space="0" w:color="808080"/>
            </w:tcBorders>
          </w:tcPr>
          <w:p w14:paraId="78BFED57" w14:textId="77777777" w:rsidR="00951A61" w:rsidRPr="005D5BA6" w:rsidRDefault="00951A61" w:rsidP="00A4032F">
            <w:pPr>
              <w:jc w:val="center"/>
              <w:rPr>
                <w:rFonts w:ascii="Tahoma" w:hAnsi="Tahoma" w:cs="Tahoma"/>
                <w:sz w:val="20"/>
                <w:szCs w:val="20"/>
              </w:rPr>
            </w:pPr>
            <w:r w:rsidRPr="005D5BA6">
              <w:rPr>
                <w:rFonts w:ascii="Tahoma" w:hAnsi="Tahoma" w:cs="Tahoma"/>
                <w:sz w:val="20"/>
                <w:szCs w:val="20"/>
              </w:rPr>
              <w:t>1.</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76010EB9" w14:textId="77777777" w:rsidR="00951A61" w:rsidRPr="005D5BA6" w:rsidRDefault="00951A61" w:rsidP="00A4032F">
            <w:pPr>
              <w:rPr>
                <w:rFonts w:ascii="Tahoma" w:hAnsi="Tahoma" w:cs="Tahoma"/>
                <w:sz w:val="20"/>
                <w:szCs w:val="20"/>
              </w:rPr>
            </w:pPr>
            <w:r w:rsidRPr="005D5BA6">
              <w:rPr>
                <w:rFonts w:ascii="Tahoma" w:hAnsi="Tahoma" w:cs="Tahoma"/>
                <w:sz w:val="20"/>
                <w:szCs w:val="20"/>
              </w:rPr>
              <w:t>Алтайский край и Республика Алтай</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219ED39C" w14:textId="77777777" w:rsidR="00951A61" w:rsidRPr="005D5BA6" w:rsidRDefault="00951A61" w:rsidP="00A4032F">
            <w:pPr>
              <w:rPr>
                <w:rFonts w:ascii="Tahoma" w:hAnsi="Tahoma" w:cs="Tahoma"/>
                <w:sz w:val="20"/>
                <w:szCs w:val="20"/>
              </w:rPr>
            </w:pPr>
            <w:r w:rsidRPr="005D5BA6">
              <w:rPr>
                <w:rFonts w:ascii="Tahoma" w:hAnsi="Tahoma" w:cs="Tahoma"/>
                <w:sz w:val="20"/>
                <w:szCs w:val="20"/>
              </w:rPr>
              <w:t>Барнаул</w:t>
            </w:r>
          </w:p>
        </w:tc>
      </w:tr>
      <w:tr w:rsidR="00951A61" w:rsidRPr="001F0EB5" w14:paraId="1D108F58" w14:textId="77777777" w:rsidTr="00A4032F">
        <w:trPr>
          <w:trHeight w:val="255"/>
        </w:trPr>
        <w:tc>
          <w:tcPr>
            <w:tcW w:w="844" w:type="dxa"/>
            <w:tcBorders>
              <w:top w:val="nil"/>
              <w:left w:val="single" w:sz="8" w:space="0" w:color="808080"/>
              <w:bottom w:val="single" w:sz="8" w:space="0" w:color="808080"/>
              <w:right w:val="single" w:sz="8" w:space="0" w:color="808080"/>
            </w:tcBorders>
          </w:tcPr>
          <w:p w14:paraId="6666F510" w14:textId="77777777" w:rsidR="00951A61" w:rsidRPr="005D5BA6" w:rsidRDefault="00951A61" w:rsidP="00A4032F">
            <w:pPr>
              <w:jc w:val="center"/>
              <w:rPr>
                <w:rFonts w:ascii="Tahoma" w:hAnsi="Tahoma" w:cs="Tahoma"/>
                <w:sz w:val="20"/>
                <w:szCs w:val="20"/>
              </w:rPr>
            </w:pPr>
            <w:r w:rsidRPr="005D5BA6">
              <w:rPr>
                <w:rFonts w:ascii="Tahoma" w:hAnsi="Tahoma" w:cs="Tahoma"/>
                <w:sz w:val="20"/>
                <w:szCs w:val="20"/>
              </w:rPr>
              <w:t>2.</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16D445E6" w14:textId="77777777" w:rsidR="00951A61" w:rsidRPr="005D5BA6" w:rsidRDefault="00951A61" w:rsidP="00A4032F">
            <w:pPr>
              <w:rPr>
                <w:rFonts w:ascii="Tahoma" w:hAnsi="Tahoma" w:cs="Tahoma"/>
                <w:sz w:val="20"/>
                <w:szCs w:val="20"/>
              </w:rPr>
            </w:pPr>
            <w:r w:rsidRPr="005D5BA6">
              <w:rPr>
                <w:rFonts w:ascii="Tahoma" w:hAnsi="Tahoma" w:cs="Tahoma"/>
                <w:sz w:val="20"/>
                <w:szCs w:val="20"/>
              </w:rPr>
              <w:t>Амурская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688A4F49" w14:textId="77777777" w:rsidR="00951A61" w:rsidRPr="005D5BA6" w:rsidRDefault="00951A61" w:rsidP="00A4032F">
            <w:pPr>
              <w:rPr>
                <w:rFonts w:ascii="Tahoma" w:hAnsi="Tahoma" w:cs="Tahoma"/>
                <w:sz w:val="20"/>
                <w:szCs w:val="20"/>
              </w:rPr>
            </w:pPr>
            <w:r w:rsidRPr="005D5BA6">
              <w:rPr>
                <w:rFonts w:ascii="Tahoma" w:hAnsi="Tahoma" w:cs="Tahoma"/>
                <w:sz w:val="20"/>
                <w:szCs w:val="20"/>
              </w:rPr>
              <w:t>Благовещенск</w:t>
            </w:r>
          </w:p>
        </w:tc>
      </w:tr>
      <w:tr w:rsidR="00951A61" w:rsidRPr="001F0EB5" w14:paraId="2D84935E" w14:textId="77777777" w:rsidTr="00A4032F">
        <w:trPr>
          <w:trHeight w:val="255"/>
        </w:trPr>
        <w:tc>
          <w:tcPr>
            <w:tcW w:w="844" w:type="dxa"/>
            <w:tcBorders>
              <w:top w:val="nil"/>
              <w:left w:val="single" w:sz="8" w:space="0" w:color="808080"/>
              <w:bottom w:val="single" w:sz="8" w:space="0" w:color="808080"/>
              <w:right w:val="single" w:sz="8" w:space="0" w:color="808080"/>
            </w:tcBorders>
          </w:tcPr>
          <w:p w14:paraId="1F57E50F" w14:textId="77777777" w:rsidR="00951A61" w:rsidRPr="005D5BA6" w:rsidRDefault="00951A61" w:rsidP="00A4032F">
            <w:pPr>
              <w:jc w:val="center"/>
              <w:rPr>
                <w:rFonts w:ascii="Tahoma" w:hAnsi="Tahoma" w:cs="Tahoma"/>
                <w:sz w:val="20"/>
                <w:szCs w:val="20"/>
              </w:rPr>
            </w:pPr>
            <w:r w:rsidRPr="005D5BA6">
              <w:rPr>
                <w:rFonts w:ascii="Tahoma" w:hAnsi="Tahoma" w:cs="Tahoma"/>
                <w:sz w:val="20"/>
                <w:szCs w:val="20"/>
              </w:rPr>
              <w:t>3.</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09FB2BDF" w14:textId="77777777" w:rsidR="00951A61" w:rsidRPr="005D5BA6" w:rsidRDefault="00951A61" w:rsidP="00A4032F">
            <w:pPr>
              <w:rPr>
                <w:rFonts w:ascii="Tahoma" w:hAnsi="Tahoma" w:cs="Tahoma"/>
                <w:sz w:val="20"/>
                <w:szCs w:val="20"/>
              </w:rPr>
            </w:pPr>
            <w:r w:rsidRPr="005D5BA6">
              <w:rPr>
                <w:rFonts w:ascii="Tahoma" w:hAnsi="Tahoma" w:cs="Tahoma"/>
                <w:sz w:val="20"/>
                <w:szCs w:val="20"/>
              </w:rPr>
              <w:t>Забайкальский край</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03CEBF11" w14:textId="77777777" w:rsidR="00951A61" w:rsidRPr="005D5BA6" w:rsidRDefault="00951A61" w:rsidP="00A4032F">
            <w:pPr>
              <w:rPr>
                <w:rFonts w:ascii="Tahoma" w:hAnsi="Tahoma" w:cs="Tahoma"/>
                <w:sz w:val="20"/>
                <w:szCs w:val="20"/>
              </w:rPr>
            </w:pPr>
            <w:r w:rsidRPr="005D5BA6">
              <w:rPr>
                <w:rFonts w:ascii="Tahoma" w:hAnsi="Tahoma" w:cs="Tahoma"/>
                <w:sz w:val="20"/>
                <w:szCs w:val="20"/>
              </w:rPr>
              <w:t>Чита</w:t>
            </w:r>
          </w:p>
        </w:tc>
      </w:tr>
      <w:tr w:rsidR="00951A61" w:rsidRPr="001F0EB5" w14:paraId="2F42AAC4" w14:textId="77777777" w:rsidTr="00A4032F">
        <w:trPr>
          <w:trHeight w:val="255"/>
        </w:trPr>
        <w:tc>
          <w:tcPr>
            <w:tcW w:w="844" w:type="dxa"/>
            <w:tcBorders>
              <w:top w:val="nil"/>
              <w:left w:val="single" w:sz="8" w:space="0" w:color="808080"/>
              <w:bottom w:val="single" w:sz="8" w:space="0" w:color="808080"/>
              <w:right w:val="single" w:sz="8" w:space="0" w:color="808080"/>
            </w:tcBorders>
          </w:tcPr>
          <w:p w14:paraId="52164CB9" w14:textId="77777777" w:rsidR="00951A61" w:rsidRPr="005D5BA6" w:rsidRDefault="00951A61" w:rsidP="00A4032F">
            <w:pPr>
              <w:jc w:val="center"/>
              <w:rPr>
                <w:rFonts w:ascii="Tahoma" w:hAnsi="Tahoma" w:cs="Tahoma"/>
                <w:sz w:val="20"/>
                <w:szCs w:val="20"/>
              </w:rPr>
            </w:pPr>
            <w:r w:rsidRPr="005D5BA6">
              <w:rPr>
                <w:rFonts w:ascii="Tahoma" w:hAnsi="Tahoma" w:cs="Tahoma"/>
                <w:sz w:val="20"/>
                <w:szCs w:val="20"/>
              </w:rPr>
              <w:t>4.</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3C8A2B4D" w14:textId="77777777" w:rsidR="00951A61" w:rsidRPr="005D5BA6" w:rsidRDefault="00951A61" w:rsidP="00A4032F">
            <w:pPr>
              <w:rPr>
                <w:rFonts w:ascii="Tahoma" w:hAnsi="Tahoma" w:cs="Tahoma"/>
                <w:sz w:val="20"/>
                <w:szCs w:val="20"/>
              </w:rPr>
            </w:pPr>
            <w:r w:rsidRPr="005D5BA6">
              <w:rPr>
                <w:rFonts w:ascii="Tahoma" w:hAnsi="Tahoma" w:cs="Tahoma"/>
                <w:sz w:val="20"/>
                <w:szCs w:val="20"/>
              </w:rPr>
              <w:t>Иркутская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1BABF780" w14:textId="77777777" w:rsidR="00951A61" w:rsidRPr="005D5BA6" w:rsidRDefault="00951A61" w:rsidP="00A4032F">
            <w:pPr>
              <w:rPr>
                <w:rFonts w:ascii="Tahoma" w:hAnsi="Tahoma" w:cs="Tahoma"/>
                <w:sz w:val="20"/>
                <w:szCs w:val="20"/>
              </w:rPr>
            </w:pPr>
            <w:r w:rsidRPr="005D5BA6">
              <w:rPr>
                <w:rFonts w:ascii="Tahoma" w:hAnsi="Tahoma" w:cs="Tahoma"/>
                <w:sz w:val="20"/>
                <w:szCs w:val="20"/>
              </w:rPr>
              <w:t>Иркутск</w:t>
            </w:r>
          </w:p>
        </w:tc>
      </w:tr>
      <w:tr w:rsidR="00951A61" w:rsidRPr="001F0EB5" w14:paraId="52B9D8B2" w14:textId="77777777" w:rsidTr="00A4032F">
        <w:trPr>
          <w:trHeight w:val="255"/>
        </w:trPr>
        <w:tc>
          <w:tcPr>
            <w:tcW w:w="844" w:type="dxa"/>
            <w:tcBorders>
              <w:top w:val="nil"/>
              <w:left w:val="single" w:sz="8" w:space="0" w:color="808080"/>
              <w:bottom w:val="single" w:sz="8" w:space="0" w:color="808080"/>
              <w:right w:val="single" w:sz="8" w:space="0" w:color="808080"/>
            </w:tcBorders>
          </w:tcPr>
          <w:p w14:paraId="2B9DDCB3" w14:textId="77777777" w:rsidR="00951A61" w:rsidRPr="005D5BA6" w:rsidRDefault="00951A61" w:rsidP="00A4032F">
            <w:pPr>
              <w:jc w:val="center"/>
              <w:rPr>
                <w:rFonts w:ascii="Tahoma" w:hAnsi="Tahoma" w:cs="Tahoma"/>
                <w:sz w:val="20"/>
                <w:szCs w:val="20"/>
              </w:rPr>
            </w:pPr>
            <w:r w:rsidRPr="005D5BA6">
              <w:rPr>
                <w:rFonts w:ascii="Tahoma" w:hAnsi="Tahoma" w:cs="Tahoma"/>
                <w:sz w:val="20"/>
                <w:szCs w:val="20"/>
              </w:rPr>
              <w:t>5.</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62287B0B" w14:textId="77777777" w:rsidR="00951A61" w:rsidRPr="005D5BA6" w:rsidRDefault="00951A61" w:rsidP="00A4032F">
            <w:pPr>
              <w:rPr>
                <w:rFonts w:ascii="Tahoma" w:hAnsi="Tahoma" w:cs="Tahoma"/>
                <w:sz w:val="20"/>
                <w:szCs w:val="20"/>
              </w:rPr>
            </w:pPr>
            <w:r w:rsidRPr="005D5BA6">
              <w:rPr>
                <w:rFonts w:ascii="Tahoma" w:hAnsi="Tahoma" w:cs="Tahoma"/>
                <w:sz w:val="20"/>
                <w:szCs w:val="20"/>
              </w:rPr>
              <w:t>Камчатский край</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460541CB" w14:textId="77777777" w:rsidR="00951A61" w:rsidRPr="005D5BA6" w:rsidRDefault="00951A61" w:rsidP="00A4032F">
            <w:pPr>
              <w:rPr>
                <w:rFonts w:ascii="Tahoma" w:hAnsi="Tahoma" w:cs="Tahoma"/>
                <w:sz w:val="20"/>
                <w:szCs w:val="20"/>
              </w:rPr>
            </w:pPr>
            <w:r w:rsidRPr="005D5BA6">
              <w:rPr>
                <w:rFonts w:ascii="Tahoma" w:hAnsi="Tahoma" w:cs="Tahoma"/>
                <w:sz w:val="20"/>
                <w:szCs w:val="20"/>
              </w:rPr>
              <w:t>Петропавловск-Камчатский</w:t>
            </w:r>
          </w:p>
        </w:tc>
      </w:tr>
      <w:tr w:rsidR="00951A61" w:rsidRPr="001F0EB5" w14:paraId="37119874" w14:textId="77777777" w:rsidTr="00A4032F">
        <w:trPr>
          <w:trHeight w:val="255"/>
        </w:trPr>
        <w:tc>
          <w:tcPr>
            <w:tcW w:w="844" w:type="dxa"/>
            <w:tcBorders>
              <w:top w:val="nil"/>
              <w:left w:val="single" w:sz="8" w:space="0" w:color="808080"/>
              <w:bottom w:val="single" w:sz="8" w:space="0" w:color="808080"/>
              <w:right w:val="single" w:sz="8" w:space="0" w:color="808080"/>
            </w:tcBorders>
          </w:tcPr>
          <w:p w14:paraId="3EBAF73C" w14:textId="77777777" w:rsidR="00951A61" w:rsidRPr="005D5BA6" w:rsidRDefault="00951A61" w:rsidP="00A4032F">
            <w:pPr>
              <w:jc w:val="center"/>
              <w:rPr>
                <w:rFonts w:ascii="Tahoma" w:hAnsi="Tahoma" w:cs="Tahoma"/>
                <w:sz w:val="20"/>
                <w:szCs w:val="20"/>
              </w:rPr>
            </w:pPr>
            <w:r w:rsidRPr="005D5BA6">
              <w:rPr>
                <w:rFonts w:ascii="Tahoma" w:hAnsi="Tahoma" w:cs="Tahoma"/>
                <w:sz w:val="20"/>
                <w:szCs w:val="20"/>
              </w:rPr>
              <w:t>6.</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25AB9915" w14:textId="77777777" w:rsidR="00951A61" w:rsidRPr="005D5BA6" w:rsidRDefault="00951A61" w:rsidP="00A4032F">
            <w:pPr>
              <w:rPr>
                <w:rFonts w:ascii="Tahoma" w:hAnsi="Tahoma" w:cs="Tahoma"/>
                <w:sz w:val="20"/>
                <w:szCs w:val="20"/>
              </w:rPr>
            </w:pPr>
            <w:r w:rsidRPr="005D5BA6">
              <w:rPr>
                <w:rFonts w:ascii="Tahoma" w:hAnsi="Tahoma" w:cs="Tahoma"/>
                <w:sz w:val="20"/>
                <w:szCs w:val="20"/>
              </w:rPr>
              <w:t>Кемеровская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431C7DC4" w14:textId="77777777" w:rsidR="00951A61" w:rsidRPr="005D5BA6" w:rsidRDefault="00951A61" w:rsidP="00A4032F">
            <w:pPr>
              <w:rPr>
                <w:rFonts w:ascii="Tahoma" w:hAnsi="Tahoma" w:cs="Tahoma"/>
                <w:sz w:val="20"/>
                <w:szCs w:val="20"/>
              </w:rPr>
            </w:pPr>
            <w:r w:rsidRPr="005D5BA6">
              <w:rPr>
                <w:rFonts w:ascii="Tahoma" w:hAnsi="Tahoma" w:cs="Tahoma"/>
                <w:sz w:val="20"/>
                <w:szCs w:val="20"/>
              </w:rPr>
              <w:t>Кемерово</w:t>
            </w:r>
          </w:p>
        </w:tc>
      </w:tr>
      <w:tr w:rsidR="00951A61" w:rsidRPr="001F0EB5" w14:paraId="2C605773" w14:textId="77777777" w:rsidTr="00A4032F">
        <w:trPr>
          <w:trHeight w:val="255"/>
        </w:trPr>
        <w:tc>
          <w:tcPr>
            <w:tcW w:w="844" w:type="dxa"/>
            <w:tcBorders>
              <w:top w:val="nil"/>
              <w:left w:val="single" w:sz="8" w:space="0" w:color="808080"/>
              <w:bottom w:val="single" w:sz="8" w:space="0" w:color="808080"/>
              <w:right w:val="single" w:sz="8" w:space="0" w:color="808080"/>
            </w:tcBorders>
          </w:tcPr>
          <w:p w14:paraId="39126239" w14:textId="77777777" w:rsidR="00951A61" w:rsidRPr="005D5BA6" w:rsidRDefault="00951A61" w:rsidP="00A4032F">
            <w:pPr>
              <w:jc w:val="center"/>
              <w:rPr>
                <w:rFonts w:ascii="Tahoma" w:hAnsi="Tahoma" w:cs="Tahoma"/>
                <w:sz w:val="20"/>
                <w:szCs w:val="20"/>
              </w:rPr>
            </w:pPr>
            <w:r w:rsidRPr="005D5BA6">
              <w:rPr>
                <w:rFonts w:ascii="Tahoma" w:hAnsi="Tahoma" w:cs="Tahoma"/>
                <w:sz w:val="20"/>
                <w:szCs w:val="20"/>
              </w:rPr>
              <w:t>7.</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114EF482" w14:textId="77777777" w:rsidR="00951A61" w:rsidRPr="005D5BA6" w:rsidRDefault="00951A61" w:rsidP="00A4032F">
            <w:pPr>
              <w:rPr>
                <w:rFonts w:ascii="Tahoma" w:hAnsi="Tahoma" w:cs="Tahoma"/>
                <w:sz w:val="20"/>
                <w:szCs w:val="20"/>
              </w:rPr>
            </w:pPr>
            <w:r w:rsidRPr="005D5BA6">
              <w:rPr>
                <w:rFonts w:ascii="Tahoma" w:hAnsi="Tahoma" w:cs="Tahoma"/>
                <w:sz w:val="20"/>
                <w:szCs w:val="20"/>
              </w:rPr>
              <w:t>Красноярский край</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1D06E3DD" w14:textId="77777777" w:rsidR="00951A61" w:rsidRPr="005D5BA6" w:rsidRDefault="00951A61" w:rsidP="00A4032F">
            <w:pPr>
              <w:rPr>
                <w:rFonts w:ascii="Tahoma" w:hAnsi="Tahoma" w:cs="Tahoma"/>
                <w:sz w:val="20"/>
                <w:szCs w:val="20"/>
              </w:rPr>
            </w:pPr>
            <w:r w:rsidRPr="005D5BA6">
              <w:rPr>
                <w:rFonts w:ascii="Tahoma" w:hAnsi="Tahoma" w:cs="Tahoma"/>
                <w:sz w:val="20"/>
                <w:szCs w:val="20"/>
              </w:rPr>
              <w:t>Красноярск</w:t>
            </w:r>
          </w:p>
        </w:tc>
      </w:tr>
      <w:tr w:rsidR="00951A61" w:rsidRPr="001F0EB5" w14:paraId="6D3B0F38" w14:textId="77777777" w:rsidTr="00A4032F">
        <w:trPr>
          <w:trHeight w:val="255"/>
        </w:trPr>
        <w:tc>
          <w:tcPr>
            <w:tcW w:w="844" w:type="dxa"/>
            <w:tcBorders>
              <w:top w:val="nil"/>
              <w:left w:val="single" w:sz="8" w:space="0" w:color="808080"/>
              <w:bottom w:val="single" w:sz="8" w:space="0" w:color="808080"/>
              <w:right w:val="single" w:sz="8" w:space="0" w:color="808080"/>
            </w:tcBorders>
          </w:tcPr>
          <w:p w14:paraId="0707992B" w14:textId="77777777" w:rsidR="00951A61" w:rsidRPr="005D5BA6" w:rsidRDefault="00951A61" w:rsidP="00A4032F">
            <w:pPr>
              <w:jc w:val="center"/>
              <w:rPr>
                <w:rFonts w:ascii="Tahoma" w:hAnsi="Tahoma" w:cs="Tahoma"/>
                <w:sz w:val="20"/>
                <w:szCs w:val="20"/>
              </w:rPr>
            </w:pPr>
            <w:r w:rsidRPr="005D5BA6">
              <w:rPr>
                <w:rFonts w:ascii="Tahoma" w:hAnsi="Tahoma" w:cs="Tahoma"/>
                <w:sz w:val="20"/>
                <w:szCs w:val="20"/>
              </w:rPr>
              <w:t>8.</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498BB78D" w14:textId="77777777" w:rsidR="00951A61" w:rsidRPr="005D5BA6" w:rsidRDefault="00951A61" w:rsidP="00A4032F">
            <w:pPr>
              <w:rPr>
                <w:rFonts w:ascii="Tahoma" w:hAnsi="Tahoma" w:cs="Tahoma"/>
                <w:sz w:val="20"/>
                <w:szCs w:val="20"/>
              </w:rPr>
            </w:pPr>
            <w:r w:rsidRPr="005D5BA6">
              <w:rPr>
                <w:rFonts w:ascii="Tahoma" w:hAnsi="Tahoma" w:cs="Tahoma"/>
                <w:sz w:val="20"/>
                <w:szCs w:val="20"/>
              </w:rPr>
              <w:t>Магаданская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100D6727" w14:textId="77777777" w:rsidR="00951A61" w:rsidRPr="005D5BA6" w:rsidRDefault="00951A61" w:rsidP="00A4032F">
            <w:pPr>
              <w:rPr>
                <w:rFonts w:ascii="Tahoma" w:hAnsi="Tahoma" w:cs="Tahoma"/>
                <w:sz w:val="20"/>
                <w:szCs w:val="20"/>
              </w:rPr>
            </w:pPr>
            <w:r w:rsidRPr="005D5BA6">
              <w:rPr>
                <w:rFonts w:ascii="Tahoma" w:hAnsi="Tahoma" w:cs="Tahoma"/>
                <w:sz w:val="20"/>
                <w:szCs w:val="20"/>
              </w:rPr>
              <w:t>Магадан</w:t>
            </w:r>
          </w:p>
        </w:tc>
      </w:tr>
      <w:tr w:rsidR="00951A61" w:rsidRPr="001F0EB5" w14:paraId="0074D339" w14:textId="77777777" w:rsidTr="00A4032F">
        <w:trPr>
          <w:trHeight w:val="255"/>
        </w:trPr>
        <w:tc>
          <w:tcPr>
            <w:tcW w:w="844" w:type="dxa"/>
            <w:tcBorders>
              <w:top w:val="nil"/>
              <w:left w:val="single" w:sz="8" w:space="0" w:color="808080"/>
              <w:bottom w:val="single" w:sz="8" w:space="0" w:color="808080"/>
              <w:right w:val="single" w:sz="8" w:space="0" w:color="808080"/>
            </w:tcBorders>
          </w:tcPr>
          <w:p w14:paraId="0DC3BF33" w14:textId="77777777" w:rsidR="00951A61" w:rsidRPr="005D5BA6" w:rsidRDefault="00951A61" w:rsidP="00A4032F">
            <w:pPr>
              <w:jc w:val="center"/>
              <w:rPr>
                <w:rFonts w:ascii="Tahoma" w:hAnsi="Tahoma" w:cs="Tahoma"/>
                <w:sz w:val="20"/>
                <w:szCs w:val="20"/>
              </w:rPr>
            </w:pPr>
            <w:r w:rsidRPr="005D5BA6">
              <w:rPr>
                <w:rFonts w:ascii="Tahoma" w:hAnsi="Tahoma" w:cs="Tahoma"/>
                <w:sz w:val="20"/>
                <w:szCs w:val="20"/>
              </w:rPr>
              <w:t>9.</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298AB1B7" w14:textId="77777777" w:rsidR="00951A61" w:rsidRPr="005D5BA6" w:rsidRDefault="00951A61" w:rsidP="00A4032F">
            <w:pPr>
              <w:rPr>
                <w:rFonts w:ascii="Tahoma" w:hAnsi="Tahoma" w:cs="Tahoma"/>
                <w:sz w:val="20"/>
                <w:szCs w:val="20"/>
              </w:rPr>
            </w:pPr>
            <w:r w:rsidRPr="005D5BA6">
              <w:rPr>
                <w:rFonts w:ascii="Tahoma" w:hAnsi="Tahoma" w:cs="Tahoma"/>
                <w:sz w:val="20"/>
                <w:szCs w:val="20"/>
              </w:rPr>
              <w:t>Новосибирская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48D07712" w14:textId="77777777" w:rsidR="00951A61" w:rsidRPr="005D5BA6" w:rsidRDefault="00951A61" w:rsidP="00A4032F">
            <w:pPr>
              <w:rPr>
                <w:rFonts w:ascii="Tahoma" w:hAnsi="Tahoma" w:cs="Tahoma"/>
                <w:sz w:val="20"/>
                <w:szCs w:val="20"/>
              </w:rPr>
            </w:pPr>
            <w:r w:rsidRPr="005D5BA6">
              <w:rPr>
                <w:rFonts w:ascii="Tahoma" w:hAnsi="Tahoma" w:cs="Tahoma"/>
                <w:sz w:val="20"/>
                <w:szCs w:val="20"/>
              </w:rPr>
              <w:t>Новосибирск</w:t>
            </w:r>
          </w:p>
        </w:tc>
      </w:tr>
      <w:tr w:rsidR="00951A61" w:rsidRPr="001F0EB5" w14:paraId="49814457" w14:textId="77777777" w:rsidTr="00A4032F">
        <w:trPr>
          <w:trHeight w:val="255"/>
        </w:trPr>
        <w:tc>
          <w:tcPr>
            <w:tcW w:w="844" w:type="dxa"/>
            <w:tcBorders>
              <w:top w:val="nil"/>
              <w:left w:val="single" w:sz="8" w:space="0" w:color="808080"/>
              <w:bottom w:val="single" w:sz="8" w:space="0" w:color="808080"/>
              <w:right w:val="single" w:sz="8" w:space="0" w:color="808080"/>
            </w:tcBorders>
            <w:shd w:val="clear" w:color="auto" w:fill="FFFFFF"/>
          </w:tcPr>
          <w:p w14:paraId="1CD7D17B" w14:textId="77777777" w:rsidR="00951A61" w:rsidRPr="005D5BA6" w:rsidRDefault="00951A61" w:rsidP="00A4032F">
            <w:pPr>
              <w:jc w:val="center"/>
              <w:rPr>
                <w:rFonts w:ascii="Tahoma" w:hAnsi="Tahoma" w:cs="Tahoma"/>
                <w:sz w:val="20"/>
                <w:szCs w:val="20"/>
              </w:rPr>
            </w:pPr>
            <w:r w:rsidRPr="005D5BA6">
              <w:rPr>
                <w:rFonts w:ascii="Tahoma" w:hAnsi="Tahoma" w:cs="Tahoma"/>
                <w:sz w:val="20"/>
                <w:szCs w:val="20"/>
              </w:rPr>
              <w:t>10.</w:t>
            </w:r>
          </w:p>
        </w:tc>
        <w:tc>
          <w:tcPr>
            <w:tcW w:w="6548" w:type="dxa"/>
            <w:tcBorders>
              <w:top w:val="nil"/>
              <w:left w:val="single" w:sz="8" w:space="0" w:color="808080"/>
              <w:bottom w:val="single" w:sz="8" w:space="0" w:color="808080"/>
              <w:right w:val="single" w:sz="8" w:space="0" w:color="808080"/>
            </w:tcBorders>
            <w:shd w:val="clear" w:color="auto" w:fill="FFFFFF"/>
            <w:noWrap/>
            <w:tcMar>
              <w:top w:w="0" w:type="dxa"/>
              <w:left w:w="108" w:type="dxa"/>
              <w:bottom w:w="0" w:type="dxa"/>
              <w:right w:w="108" w:type="dxa"/>
            </w:tcMar>
            <w:vAlign w:val="bottom"/>
            <w:hideMark/>
          </w:tcPr>
          <w:p w14:paraId="1E8C0FC3" w14:textId="77777777" w:rsidR="00951A61" w:rsidRPr="005D5BA6" w:rsidRDefault="00951A61" w:rsidP="00A4032F">
            <w:pPr>
              <w:rPr>
                <w:rFonts w:ascii="Tahoma" w:hAnsi="Tahoma" w:cs="Tahoma"/>
                <w:sz w:val="20"/>
                <w:szCs w:val="20"/>
              </w:rPr>
            </w:pPr>
            <w:r w:rsidRPr="005D5BA6">
              <w:rPr>
                <w:rFonts w:ascii="Tahoma" w:hAnsi="Tahoma" w:cs="Tahoma"/>
                <w:sz w:val="20"/>
                <w:szCs w:val="20"/>
              </w:rPr>
              <w:t>Омская область</w:t>
            </w:r>
          </w:p>
        </w:tc>
        <w:tc>
          <w:tcPr>
            <w:tcW w:w="3696" w:type="dxa"/>
            <w:tcBorders>
              <w:top w:val="nil"/>
              <w:left w:val="nil"/>
              <w:bottom w:val="single" w:sz="8" w:space="0" w:color="808080"/>
              <w:right w:val="single" w:sz="8" w:space="0" w:color="808080"/>
            </w:tcBorders>
            <w:shd w:val="clear" w:color="auto" w:fill="FFFFFF"/>
            <w:tcMar>
              <w:top w:w="0" w:type="dxa"/>
              <w:left w:w="108" w:type="dxa"/>
              <w:bottom w:w="0" w:type="dxa"/>
              <w:right w:w="108" w:type="dxa"/>
            </w:tcMar>
            <w:hideMark/>
          </w:tcPr>
          <w:p w14:paraId="7E457408" w14:textId="77777777" w:rsidR="00951A61" w:rsidRPr="005D5BA6" w:rsidRDefault="00951A61" w:rsidP="00A4032F">
            <w:pPr>
              <w:rPr>
                <w:rFonts w:ascii="Tahoma" w:hAnsi="Tahoma" w:cs="Tahoma"/>
                <w:sz w:val="20"/>
                <w:szCs w:val="20"/>
              </w:rPr>
            </w:pPr>
            <w:r w:rsidRPr="005D5BA6">
              <w:rPr>
                <w:rFonts w:ascii="Tahoma" w:hAnsi="Tahoma" w:cs="Tahoma"/>
                <w:sz w:val="20"/>
                <w:szCs w:val="20"/>
              </w:rPr>
              <w:t>Омск</w:t>
            </w:r>
          </w:p>
        </w:tc>
      </w:tr>
      <w:tr w:rsidR="00951A61" w:rsidRPr="001F0EB5" w14:paraId="070E2AAC" w14:textId="77777777" w:rsidTr="00A4032F">
        <w:trPr>
          <w:trHeight w:val="255"/>
        </w:trPr>
        <w:tc>
          <w:tcPr>
            <w:tcW w:w="844" w:type="dxa"/>
            <w:tcBorders>
              <w:top w:val="nil"/>
              <w:left w:val="single" w:sz="8" w:space="0" w:color="808080"/>
              <w:bottom w:val="single" w:sz="8" w:space="0" w:color="808080"/>
              <w:right w:val="single" w:sz="8" w:space="0" w:color="808080"/>
            </w:tcBorders>
          </w:tcPr>
          <w:p w14:paraId="7F278F59" w14:textId="77777777" w:rsidR="00951A61" w:rsidRPr="005D5BA6" w:rsidRDefault="00951A61" w:rsidP="00A4032F">
            <w:pPr>
              <w:jc w:val="center"/>
              <w:rPr>
                <w:rFonts w:ascii="Tahoma" w:hAnsi="Tahoma" w:cs="Tahoma"/>
                <w:sz w:val="20"/>
                <w:szCs w:val="20"/>
              </w:rPr>
            </w:pPr>
            <w:r w:rsidRPr="005D5BA6">
              <w:rPr>
                <w:rFonts w:ascii="Tahoma" w:hAnsi="Tahoma" w:cs="Tahoma"/>
                <w:sz w:val="20"/>
                <w:szCs w:val="20"/>
              </w:rPr>
              <w:t>11.</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2BB3500E" w14:textId="77777777" w:rsidR="00951A61" w:rsidRPr="005D5BA6" w:rsidRDefault="00951A61" w:rsidP="00A4032F">
            <w:pPr>
              <w:rPr>
                <w:rFonts w:ascii="Tahoma" w:hAnsi="Tahoma" w:cs="Tahoma"/>
                <w:sz w:val="20"/>
                <w:szCs w:val="20"/>
              </w:rPr>
            </w:pPr>
            <w:r w:rsidRPr="005D5BA6">
              <w:rPr>
                <w:rFonts w:ascii="Tahoma" w:hAnsi="Tahoma" w:cs="Tahoma"/>
                <w:sz w:val="20"/>
                <w:szCs w:val="20"/>
              </w:rPr>
              <w:t>Приморский край</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1912F358" w14:textId="77777777" w:rsidR="00951A61" w:rsidRPr="005D5BA6" w:rsidRDefault="00951A61" w:rsidP="00A4032F">
            <w:pPr>
              <w:rPr>
                <w:rFonts w:ascii="Tahoma" w:hAnsi="Tahoma" w:cs="Tahoma"/>
                <w:sz w:val="20"/>
                <w:szCs w:val="20"/>
              </w:rPr>
            </w:pPr>
            <w:r w:rsidRPr="005D5BA6">
              <w:rPr>
                <w:rFonts w:ascii="Tahoma" w:hAnsi="Tahoma" w:cs="Tahoma"/>
                <w:sz w:val="20"/>
                <w:szCs w:val="20"/>
              </w:rPr>
              <w:t>Владивосток</w:t>
            </w:r>
          </w:p>
        </w:tc>
      </w:tr>
      <w:tr w:rsidR="00951A61" w:rsidRPr="001F0EB5" w14:paraId="611B59E0" w14:textId="77777777" w:rsidTr="00A4032F">
        <w:trPr>
          <w:trHeight w:val="255"/>
        </w:trPr>
        <w:tc>
          <w:tcPr>
            <w:tcW w:w="844" w:type="dxa"/>
            <w:tcBorders>
              <w:top w:val="nil"/>
              <w:left w:val="single" w:sz="8" w:space="0" w:color="808080"/>
              <w:bottom w:val="single" w:sz="8" w:space="0" w:color="808080"/>
              <w:right w:val="single" w:sz="8" w:space="0" w:color="808080"/>
            </w:tcBorders>
          </w:tcPr>
          <w:p w14:paraId="4587C8B3" w14:textId="77777777" w:rsidR="00951A61" w:rsidRPr="005D5BA6" w:rsidRDefault="00951A61" w:rsidP="00A4032F">
            <w:pPr>
              <w:jc w:val="center"/>
              <w:rPr>
                <w:rFonts w:ascii="Tahoma" w:hAnsi="Tahoma" w:cs="Tahoma"/>
                <w:sz w:val="20"/>
                <w:szCs w:val="20"/>
              </w:rPr>
            </w:pPr>
            <w:r w:rsidRPr="005D5BA6">
              <w:rPr>
                <w:rFonts w:ascii="Tahoma" w:hAnsi="Tahoma" w:cs="Tahoma"/>
                <w:sz w:val="20"/>
                <w:szCs w:val="20"/>
              </w:rPr>
              <w:t>12.</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052B480F" w14:textId="77777777" w:rsidR="00951A61" w:rsidRPr="005D5BA6" w:rsidRDefault="00951A61" w:rsidP="00A4032F">
            <w:pPr>
              <w:rPr>
                <w:rFonts w:ascii="Tahoma" w:hAnsi="Tahoma" w:cs="Tahoma"/>
                <w:sz w:val="20"/>
                <w:szCs w:val="20"/>
              </w:rPr>
            </w:pPr>
            <w:r w:rsidRPr="005D5BA6">
              <w:rPr>
                <w:rFonts w:ascii="Tahoma" w:hAnsi="Tahoma" w:cs="Tahoma"/>
                <w:sz w:val="20"/>
                <w:szCs w:val="20"/>
              </w:rPr>
              <w:t>Республика Бурятия</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6878106F" w14:textId="77777777" w:rsidR="00951A61" w:rsidRPr="005D5BA6" w:rsidRDefault="00951A61" w:rsidP="00A4032F">
            <w:pPr>
              <w:rPr>
                <w:rFonts w:ascii="Tahoma" w:hAnsi="Tahoma" w:cs="Tahoma"/>
                <w:sz w:val="20"/>
                <w:szCs w:val="20"/>
              </w:rPr>
            </w:pPr>
            <w:r w:rsidRPr="005D5BA6">
              <w:rPr>
                <w:rFonts w:ascii="Tahoma" w:hAnsi="Tahoma" w:cs="Tahoma"/>
                <w:sz w:val="20"/>
                <w:szCs w:val="20"/>
              </w:rPr>
              <w:t>Улан-Удэ</w:t>
            </w:r>
          </w:p>
        </w:tc>
      </w:tr>
      <w:tr w:rsidR="00951A61" w:rsidRPr="001F0EB5" w14:paraId="2A7C5784" w14:textId="77777777" w:rsidTr="00A4032F">
        <w:trPr>
          <w:trHeight w:val="255"/>
        </w:trPr>
        <w:tc>
          <w:tcPr>
            <w:tcW w:w="844" w:type="dxa"/>
            <w:tcBorders>
              <w:top w:val="nil"/>
              <w:left w:val="single" w:sz="8" w:space="0" w:color="808080"/>
              <w:bottom w:val="single" w:sz="8" w:space="0" w:color="808080"/>
              <w:right w:val="single" w:sz="8" w:space="0" w:color="808080"/>
            </w:tcBorders>
          </w:tcPr>
          <w:p w14:paraId="7153C143" w14:textId="77777777" w:rsidR="00951A61" w:rsidRPr="005D5BA6" w:rsidRDefault="00951A61" w:rsidP="00A4032F">
            <w:pPr>
              <w:jc w:val="center"/>
              <w:rPr>
                <w:rFonts w:ascii="Tahoma" w:hAnsi="Tahoma" w:cs="Tahoma"/>
                <w:sz w:val="20"/>
                <w:szCs w:val="20"/>
              </w:rPr>
            </w:pPr>
            <w:r w:rsidRPr="005D5BA6">
              <w:rPr>
                <w:rFonts w:ascii="Tahoma" w:hAnsi="Tahoma" w:cs="Tahoma"/>
                <w:sz w:val="20"/>
                <w:szCs w:val="20"/>
              </w:rPr>
              <w:t>13.</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352A0DD8" w14:textId="77777777" w:rsidR="00951A61" w:rsidRPr="005D5BA6" w:rsidRDefault="00951A61" w:rsidP="00A4032F">
            <w:pPr>
              <w:rPr>
                <w:rFonts w:ascii="Tahoma" w:hAnsi="Tahoma" w:cs="Tahoma"/>
                <w:sz w:val="20"/>
                <w:szCs w:val="20"/>
              </w:rPr>
            </w:pPr>
            <w:r w:rsidRPr="005D5BA6">
              <w:rPr>
                <w:rFonts w:ascii="Tahoma" w:hAnsi="Tahoma" w:cs="Tahoma"/>
                <w:sz w:val="20"/>
                <w:szCs w:val="20"/>
              </w:rPr>
              <w:t>Республика Саха (Якутия)</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2961DD87" w14:textId="77777777" w:rsidR="00951A61" w:rsidRPr="005D5BA6" w:rsidRDefault="00951A61" w:rsidP="00A4032F">
            <w:pPr>
              <w:rPr>
                <w:rFonts w:ascii="Tahoma" w:hAnsi="Tahoma" w:cs="Tahoma"/>
                <w:sz w:val="20"/>
                <w:szCs w:val="20"/>
              </w:rPr>
            </w:pPr>
            <w:r w:rsidRPr="005D5BA6">
              <w:rPr>
                <w:rFonts w:ascii="Tahoma" w:hAnsi="Tahoma" w:cs="Tahoma"/>
                <w:sz w:val="20"/>
                <w:szCs w:val="20"/>
              </w:rPr>
              <w:t>Якутск</w:t>
            </w:r>
          </w:p>
        </w:tc>
      </w:tr>
      <w:tr w:rsidR="00951A61" w:rsidRPr="001F0EB5" w14:paraId="037B5FD8" w14:textId="77777777" w:rsidTr="00A4032F">
        <w:trPr>
          <w:trHeight w:val="255"/>
        </w:trPr>
        <w:tc>
          <w:tcPr>
            <w:tcW w:w="844" w:type="dxa"/>
            <w:tcBorders>
              <w:top w:val="nil"/>
              <w:left w:val="single" w:sz="8" w:space="0" w:color="808080"/>
              <w:bottom w:val="single" w:sz="8" w:space="0" w:color="808080"/>
              <w:right w:val="single" w:sz="8" w:space="0" w:color="808080"/>
            </w:tcBorders>
          </w:tcPr>
          <w:p w14:paraId="7F3623C3" w14:textId="77777777" w:rsidR="00951A61" w:rsidRPr="005D5BA6" w:rsidRDefault="00951A61" w:rsidP="00A4032F">
            <w:pPr>
              <w:jc w:val="center"/>
              <w:rPr>
                <w:rFonts w:ascii="Tahoma" w:hAnsi="Tahoma" w:cs="Tahoma"/>
                <w:sz w:val="20"/>
                <w:szCs w:val="20"/>
              </w:rPr>
            </w:pPr>
            <w:r w:rsidRPr="005D5BA6">
              <w:rPr>
                <w:rFonts w:ascii="Tahoma" w:hAnsi="Tahoma" w:cs="Tahoma"/>
                <w:sz w:val="20"/>
                <w:szCs w:val="20"/>
              </w:rPr>
              <w:t>14.</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5B06F49D" w14:textId="77777777" w:rsidR="00951A61" w:rsidRPr="005D5BA6" w:rsidRDefault="00951A61" w:rsidP="00A4032F">
            <w:pPr>
              <w:rPr>
                <w:rFonts w:ascii="Tahoma" w:hAnsi="Tahoma" w:cs="Tahoma"/>
                <w:sz w:val="20"/>
                <w:szCs w:val="20"/>
              </w:rPr>
            </w:pPr>
            <w:r w:rsidRPr="005D5BA6">
              <w:rPr>
                <w:rFonts w:ascii="Tahoma" w:hAnsi="Tahoma" w:cs="Tahoma"/>
                <w:sz w:val="20"/>
                <w:szCs w:val="20"/>
              </w:rPr>
              <w:t>Сахалинская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34E2FFC8" w14:textId="77777777" w:rsidR="00951A61" w:rsidRPr="005D5BA6" w:rsidRDefault="00951A61" w:rsidP="00A4032F">
            <w:pPr>
              <w:rPr>
                <w:rFonts w:ascii="Tahoma" w:hAnsi="Tahoma" w:cs="Tahoma"/>
                <w:sz w:val="20"/>
                <w:szCs w:val="20"/>
              </w:rPr>
            </w:pPr>
            <w:r w:rsidRPr="005D5BA6">
              <w:rPr>
                <w:rFonts w:ascii="Tahoma" w:hAnsi="Tahoma" w:cs="Tahoma"/>
                <w:sz w:val="20"/>
                <w:szCs w:val="20"/>
              </w:rPr>
              <w:t>Южно-Сахалинск</w:t>
            </w:r>
          </w:p>
        </w:tc>
      </w:tr>
      <w:tr w:rsidR="00951A61" w:rsidRPr="001F0EB5" w14:paraId="003232BF" w14:textId="77777777" w:rsidTr="00A4032F">
        <w:trPr>
          <w:trHeight w:val="255"/>
        </w:trPr>
        <w:tc>
          <w:tcPr>
            <w:tcW w:w="844" w:type="dxa"/>
            <w:tcBorders>
              <w:top w:val="nil"/>
              <w:left w:val="single" w:sz="8" w:space="0" w:color="808080"/>
              <w:bottom w:val="single" w:sz="8" w:space="0" w:color="808080"/>
              <w:right w:val="single" w:sz="8" w:space="0" w:color="808080"/>
            </w:tcBorders>
          </w:tcPr>
          <w:p w14:paraId="2F18A02F" w14:textId="77777777" w:rsidR="00951A61" w:rsidRPr="005D5BA6" w:rsidRDefault="00951A61" w:rsidP="00A4032F">
            <w:pPr>
              <w:jc w:val="center"/>
              <w:rPr>
                <w:rFonts w:ascii="Tahoma" w:hAnsi="Tahoma" w:cs="Tahoma"/>
                <w:sz w:val="20"/>
                <w:szCs w:val="20"/>
              </w:rPr>
            </w:pPr>
            <w:r w:rsidRPr="005D5BA6">
              <w:rPr>
                <w:rFonts w:ascii="Tahoma" w:hAnsi="Tahoma" w:cs="Tahoma"/>
                <w:sz w:val="20"/>
                <w:szCs w:val="20"/>
              </w:rPr>
              <w:t>15.</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5EC6062F" w14:textId="77777777" w:rsidR="00951A61" w:rsidRPr="005D5BA6" w:rsidRDefault="00951A61" w:rsidP="00A4032F">
            <w:pPr>
              <w:rPr>
                <w:rFonts w:ascii="Tahoma" w:hAnsi="Tahoma" w:cs="Tahoma"/>
                <w:sz w:val="20"/>
                <w:szCs w:val="20"/>
              </w:rPr>
            </w:pPr>
            <w:r w:rsidRPr="005D5BA6">
              <w:rPr>
                <w:rFonts w:ascii="Tahoma" w:hAnsi="Tahoma" w:cs="Tahoma"/>
                <w:sz w:val="20"/>
                <w:szCs w:val="20"/>
              </w:rPr>
              <w:t>Свердловская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6DE8347B" w14:textId="77777777" w:rsidR="00951A61" w:rsidRPr="005D5BA6" w:rsidRDefault="00951A61" w:rsidP="00A4032F">
            <w:pPr>
              <w:rPr>
                <w:rFonts w:ascii="Tahoma" w:hAnsi="Tahoma" w:cs="Tahoma"/>
                <w:sz w:val="20"/>
                <w:szCs w:val="20"/>
              </w:rPr>
            </w:pPr>
            <w:r w:rsidRPr="005D5BA6">
              <w:rPr>
                <w:rFonts w:ascii="Tahoma" w:hAnsi="Tahoma" w:cs="Tahoma"/>
                <w:sz w:val="20"/>
                <w:szCs w:val="20"/>
              </w:rPr>
              <w:t>Екатеринбург</w:t>
            </w:r>
          </w:p>
        </w:tc>
      </w:tr>
      <w:tr w:rsidR="00951A61" w:rsidRPr="004E4693" w14:paraId="0BDAED4D" w14:textId="77777777" w:rsidTr="00A4032F">
        <w:trPr>
          <w:trHeight w:val="255"/>
        </w:trPr>
        <w:tc>
          <w:tcPr>
            <w:tcW w:w="844" w:type="dxa"/>
            <w:tcBorders>
              <w:top w:val="nil"/>
              <w:left w:val="single" w:sz="8" w:space="0" w:color="808080"/>
              <w:bottom w:val="single" w:sz="8" w:space="0" w:color="808080"/>
              <w:right w:val="single" w:sz="8" w:space="0" w:color="808080"/>
            </w:tcBorders>
          </w:tcPr>
          <w:p w14:paraId="20D177C5" w14:textId="77777777" w:rsidR="00951A61" w:rsidRPr="005D5BA6" w:rsidRDefault="00951A61" w:rsidP="00A4032F">
            <w:pPr>
              <w:jc w:val="center"/>
              <w:rPr>
                <w:rFonts w:ascii="Tahoma" w:hAnsi="Tahoma" w:cs="Tahoma"/>
                <w:sz w:val="20"/>
                <w:szCs w:val="20"/>
              </w:rPr>
            </w:pPr>
            <w:r w:rsidRPr="005D5BA6">
              <w:rPr>
                <w:rFonts w:ascii="Tahoma" w:hAnsi="Tahoma" w:cs="Tahoma"/>
                <w:sz w:val="20"/>
                <w:szCs w:val="20"/>
              </w:rPr>
              <w:t>16.</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1EEC84C1" w14:textId="77777777" w:rsidR="00951A61" w:rsidRPr="005D5BA6" w:rsidRDefault="00951A61" w:rsidP="00A4032F">
            <w:pPr>
              <w:rPr>
                <w:rFonts w:ascii="Tahoma" w:hAnsi="Tahoma" w:cs="Tahoma"/>
                <w:sz w:val="20"/>
                <w:szCs w:val="20"/>
              </w:rPr>
            </w:pPr>
            <w:r w:rsidRPr="005D5BA6">
              <w:rPr>
                <w:rFonts w:ascii="Tahoma" w:hAnsi="Tahoma" w:cs="Tahoma"/>
                <w:sz w:val="20"/>
                <w:szCs w:val="20"/>
              </w:rPr>
              <w:t>Хабаровский край и Еврейская автономная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72ADAD36" w14:textId="77777777" w:rsidR="00951A61" w:rsidRPr="004E4693" w:rsidRDefault="00951A61" w:rsidP="00A4032F">
            <w:pPr>
              <w:rPr>
                <w:rFonts w:ascii="Tahoma" w:hAnsi="Tahoma" w:cs="Tahoma"/>
                <w:sz w:val="20"/>
                <w:szCs w:val="20"/>
              </w:rPr>
            </w:pPr>
            <w:r w:rsidRPr="005D5BA6">
              <w:rPr>
                <w:rFonts w:ascii="Tahoma" w:hAnsi="Tahoma" w:cs="Tahoma"/>
                <w:sz w:val="20"/>
                <w:szCs w:val="20"/>
              </w:rPr>
              <w:t>Хабаровск</w:t>
            </w:r>
          </w:p>
        </w:tc>
      </w:tr>
    </w:tbl>
    <w:p w14:paraId="68CE6009" w14:textId="77777777" w:rsidR="00951A61" w:rsidRPr="00F0794A" w:rsidRDefault="00951A61" w:rsidP="00951A61">
      <w:pPr>
        <w:tabs>
          <w:tab w:val="left" w:pos="851"/>
        </w:tabs>
        <w:ind w:firstLine="425"/>
        <w:rPr>
          <w:rFonts w:ascii="Tahoma" w:hAnsi="Tahoma" w:cs="Tahoma"/>
          <w:sz w:val="20"/>
          <w:szCs w:val="20"/>
        </w:rPr>
      </w:pPr>
    </w:p>
    <w:p w14:paraId="50473AE5" w14:textId="77777777" w:rsidR="00951A61" w:rsidRPr="00F0794A" w:rsidRDefault="00951A61" w:rsidP="00951A61">
      <w:pPr>
        <w:tabs>
          <w:tab w:val="left" w:pos="851"/>
        </w:tabs>
        <w:ind w:firstLine="425"/>
        <w:rPr>
          <w:rFonts w:ascii="Tahoma" w:hAnsi="Tahoma" w:cs="Tahoma"/>
          <w:sz w:val="20"/>
          <w:szCs w:val="20"/>
        </w:rPr>
      </w:pPr>
    </w:p>
    <w:p w14:paraId="57AB462C" w14:textId="77777777" w:rsidR="00951A61" w:rsidRDefault="00951A61" w:rsidP="00951A61">
      <w:pPr>
        <w:pStyle w:val="affe"/>
        <w:ind w:left="0" w:firstLine="425"/>
        <w:jc w:val="both"/>
      </w:pPr>
    </w:p>
    <w:p w14:paraId="60AFDDCC" w14:textId="77777777" w:rsidR="00951A61" w:rsidRPr="00F0794A" w:rsidRDefault="00951A61" w:rsidP="00951A61">
      <w:pPr>
        <w:tabs>
          <w:tab w:val="left" w:pos="851"/>
        </w:tabs>
        <w:ind w:firstLine="425"/>
        <w:rPr>
          <w:rFonts w:ascii="Tahoma" w:hAnsi="Tahoma" w:cs="Tahoma"/>
          <w:sz w:val="20"/>
          <w:szCs w:val="20"/>
        </w:rPr>
      </w:pPr>
    </w:p>
    <w:p w14:paraId="55DCD6D1" w14:textId="77777777" w:rsidR="00951A61" w:rsidRDefault="00951A61" w:rsidP="00951A61">
      <w:pPr>
        <w:pStyle w:val="affe"/>
        <w:ind w:left="0" w:firstLine="425"/>
        <w:jc w:val="both"/>
      </w:pPr>
    </w:p>
    <w:p w14:paraId="1429E57F" w14:textId="77777777" w:rsidR="00951A61" w:rsidRPr="00F0794A" w:rsidRDefault="00951A61" w:rsidP="00951A61">
      <w:pPr>
        <w:tabs>
          <w:tab w:val="left" w:pos="851"/>
        </w:tabs>
        <w:ind w:firstLine="425"/>
        <w:rPr>
          <w:rFonts w:ascii="Tahoma" w:hAnsi="Tahoma" w:cs="Tahoma"/>
          <w:sz w:val="20"/>
          <w:szCs w:val="20"/>
        </w:rPr>
      </w:pPr>
    </w:p>
    <w:p w14:paraId="2655FD40" w14:textId="77777777" w:rsidR="00951A61" w:rsidRDefault="00951A61" w:rsidP="00951A61">
      <w:pPr>
        <w:pStyle w:val="affe"/>
        <w:ind w:left="0" w:firstLine="425"/>
        <w:jc w:val="both"/>
      </w:pPr>
    </w:p>
    <w:p w14:paraId="4BE137FF" w14:textId="77777777" w:rsidR="00951A61" w:rsidRPr="00F0794A" w:rsidRDefault="00951A61" w:rsidP="00951A61">
      <w:pPr>
        <w:tabs>
          <w:tab w:val="left" w:pos="851"/>
        </w:tabs>
        <w:ind w:firstLine="425"/>
        <w:rPr>
          <w:rFonts w:ascii="Tahoma" w:hAnsi="Tahoma" w:cs="Tahoma"/>
          <w:sz w:val="20"/>
          <w:szCs w:val="20"/>
        </w:rPr>
      </w:pPr>
    </w:p>
    <w:p w14:paraId="1A2E10E0" w14:textId="77777777" w:rsidR="00951A61" w:rsidRPr="00B50DE9" w:rsidRDefault="00951A61" w:rsidP="00951A61">
      <w:pPr>
        <w:pageBreakBefore/>
        <w:rPr>
          <w:rFonts w:ascii="Tahoma" w:eastAsiaTheme="minorHAnsi" w:hAnsi="Tahoma" w:cs="Tahoma"/>
          <w:b/>
          <w:noProof/>
          <w:sz w:val="20"/>
          <w:szCs w:val="20"/>
        </w:rPr>
      </w:pPr>
    </w:p>
    <w:tbl>
      <w:tblPr>
        <w:tblpPr w:leftFromText="180" w:rightFromText="180" w:vertAnchor="text" w:horzAnchor="margin" w:tblpY="18"/>
        <w:tblW w:w="15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52"/>
      </w:tblGrid>
      <w:tr w:rsidR="00951A61" w:rsidRPr="00BC7209" w14:paraId="584869CA" w14:textId="77777777" w:rsidTr="00A4032F">
        <w:trPr>
          <w:trHeight w:val="227"/>
        </w:trPr>
        <w:tc>
          <w:tcPr>
            <w:tcW w:w="15652" w:type="dxa"/>
            <w:tcBorders>
              <w:top w:val="single" w:sz="4" w:space="0" w:color="auto"/>
              <w:left w:val="single" w:sz="4" w:space="0" w:color="auto"/>
              <w:bottom w:val="single" w:sz="4" w:space="0" w:color="auto"/>
              <w:right w:val="single" w:sz="4" w:space="0" w:color="auto"/>
            </w:tcBorders>
            <w:shd w:val="clear" w:color="auto" w:fill="E36C0A"/>
            <w:hideMark/>
          </w:tcPr>
          <w:p w14:paraId="744A0FAE" w14:textId="551DC466" w:rsidR="00951A61" w:rsidRPr="00BC7209" w:rsidRDefault="000B3718" w:rsidP="000B3718">
            <w:pPr>
              <w:pStyle w:val="a5"/>
              <w:rPr>
                <w:rFonts w:eastAsia="Calibri"/>
                <w:szCs w:val="22"/>
              </w:rPr>
            </w:pPr>
            <w:r>
              <w:rPr>
                <w:noProof/>
              </w:rPr>
              <w:t xml:space="preserve">2.3.6 </w:t>
            </w:r>
            <w:r w:rsidR="00951A61" w:rsidRPr="00BC7209">
              <w:rPr>
                <w:noProof/>
              </w:rPr>
              <w:t>Клиентское предложение «Простая ипотека»</w:t>
            </w:r>
          </w:p>
        </w:tc>
      </w:tr>
    </w:tbl>
    <w:p w14:paraId="6D0F53A8" w14:textId="77777777" w:rsidR="00951A61" w:rsidRPr="00BC7209" w:rsidRDefault="00951A61" w:rsidP="00951A61">
      <w:pPr>
        <w:tabs>
          <w:tab w:val="left" w:pos="2115"/>
        </w:tabs>
        <w:rPr>
          <w:rFonts w:ascii="Tahoma" w:hAnsi="Tahoma" w:cs="Tahoma"/>
          <w:sz w:val="22"/>
          <w:lang w:val="x-none"/>
        </w:rPr>
      </w:pPr>
      <w:r w:rsidRPr="00BC7209">
        <w:rPr>
          <w:rFonts w:ascii="Tahoma" w:hAnsi="Tahoma" w:cs="Tahoma"/>
          <w:sz w:val="22"/>
          <w:lang w:val="x-none"/>
        </w:rPr>
        <w:tab/>
      </w:r>
    </w:p>
    <w:p w14:paraId="000935BE" w14:textId="77777777" w:rsidR="00951A61" w:rsidRDefault="00951A61" w:rsidP="00951A61">
      <w:pPr>
        <w:jc w:val="center"/>
        <w:rPr>
          <w:rFonts w:ascii="Tahoma" w:hAnsi="Tahoma" w:cs="Tahoma"/>
          <w:b/>
          <w:noProof/>
          <w:sz w:val="20"/>
          <w:szCs w:val="20"/>
        </w:rPr>
      </w:pPr>
      <w:r w:rsidRPr="003B2106">
        <w:rPr>
          <w:rFonts w:ascii="Tahoma" w:hAnsi="Tahoma" w:cs="Tahoma"/>
          <w:b/>
          <w:noProof/>
          <w:sz w:val="20"/>
          <w:szCs w:val="20"/>
        </w:rPr>
        <w:t xml:space="preserve">ИНФОРМАЦИЯ ОБ УСЛОВИЯХ </w:t>
      </w:r>
      <w:r>
        <w:rPr>
          <w:rFonts w:ascii="Tahoma" w:hAnsi="Tahoma" w:cs="Tahoma"/>
          <w:b/>
          <w:noProof/>
          <w:sz w:val="20"/>
          <w:szCs w:val="20"/>
        </w:rPr>
        <w:t>КЛИЕНТСКОГО ПРЕДЛОЖЕНИЯ «ПРОСТАЯ ИПОТЕКА»</w:t>
      </w:r>
      <w:r>
        <w:rPr>
          <w:rStyle w:val="aff3"/>
          <w:rFonts w:ascii="Tahoma" w:hAnsi="Tahoma" w:cs="Tahoma"/>
          <w:b/>
          <w:noProof/>
          <w:sz w:val="20"/>
          <w:szCs w:val="20"/>
        </w:rPr>
        <w:footnoteReference w:id="138"/>
      </w:r>
      <w:r>
        <w:rPr>
          <w:rFonts w:ascii="Tahoma" w:hAnsi="Tahoma" w:cs="Tahoma"/>
          <w:b/>
          <w:noProof/>
          <w:sz w:val="20"/>
          <w:szCs w:val="20"/>
        </w:rPr>
        <w:t xml:space="preserve"> </w:t>
      </w:r>
    </w:p>
    <w:p w14:paraId="7C5F681A" w14:textId="77777777" w:rsidR="00951A61" w:rsidRPr="00F474DA" w:rsidRDefault="00951A61" w:rsidP="00951A61">
      <w:pPr>
        <w:jc w:val="center"/>
        <w:rPr>
          <w:rFonts w:ascii="Tahoma" w:hAnsi="Tahoma" w:cs="Tahoma"/>
          <w:b/>
          <w:noProof/>
          <w:sz w:val="20"/>
          <w:szCs w:val="20"/>
        </w:rPr>
      </w:pPr>
      <w:r>
        <w:rPr>
          <w:rFonts w:ascii="Tahoma" w:hAnsi="Tahoma" w:cs="Tahoma"/>
          <w:b/>
          <w:noProof/>
        </w:rPr>
        <w:t xml:space="preserve"> </w:t>
      </w:r>
      <w:r>
        <w:rPr>
          <w:rFonts w:ascii="Tahoma" w:hAnsi="Tahoma" w:cs="Tahoma"/>
          <w:b/>
          <w:noProof/>
          <w:sz w:val="20"/>
          <w:szCs w:val="20"/>
        </w:rPr>
        <w:t>ПО ТАРИФНЫМ</w:t>
      </w:r>
      <w:r w:rsidRPr="003B2106">
        <w:rPr>
          <w:rFonts w:ascii="Tahoma" w:hAnsi="Tahoma" w:cs="Tahoma"/>
          <w:b/>
          <w:noProof/>
          <w:sz w:val="20"/>
          <w:szCs w:val="20"/>
        </w:rPr>
        <w:t xml:space="preserve"> ПЛАН</w:t>
      </w:r>
      <w:r>
        <w:rPr>
          <w:rFonts w:ascii="Tahoma" w:hAnsi="Tahoma" w:cs="Tahoma"/>
          <w:b/>
          <w:noProof/>
          <w:sz w:val="20"/>
          <w:szCs w:val="20"/>
        </w:rPr>
        <w:t>АМ</w:t>
      </w:r>
      <w:r w:rsidRPr="003B2106">
        <w:rPr>
          <w:rFonts w:ascii="Tahoma" w:hAnsi="Tahoma" w:cs="Tahoma"/>
          <w:b/>
          <w:noProof/>
          <w:sz w:val="20"/>
          <w:szCs w:val="20"/>
        </w:rPr>
        <w:t xml:space="preserve"> «</w:t>
      </w:r>
      <w:r>
        <w:rPr>
          <w:rFonts w:ascii="Tahoma" w:hAnsi="Tahoma" w:cs="Tahoma"/>
          <w:b/>
          <w:noProof/>
          <w:sz w:val="20"/>
          <w:szCs w:val="20"/>
        </w:rPr>
        <w:t>ГОТОВОЕ ЖИЛЬЕ</w:t>
      </w:r>
      <w:r w:rsidRPr="003B2106">
        <w:rPr>
          <w:rFonts w:ascii="Tahoma" w:hAnsi="Tahoma" w:cs="Tahoma"/>
          <w:b/>
          <w:noProof/>
          <w:sz w:val="20"/>
          <w:szCs w:val="20"/>
        </w:rPr>
        <w:t>»</w:t>
      </w:r>
      <w:r>
        <w:rPr>
          <w:rFonts w:ascii="Tahoma" w:hAnsi="Tahoma" w:cs="Tahoma"/>
          <w:b/>
          <w:noProof/>
          <w:sz w:val="20"/>
          <w:szCs w:val="20"/>
        </w:rPr>
        <w:t xml:space="preserve">, «РЕФИНАНСИРОВАНИЕ» </w:t>
      </w:r>
      <w:r w:rsidRPr="00803D8C">
        <w:rPr>
          <w:rFonts w:ascii="Tahoma" w:hAnsi="Tahoma" w:cs="Tahoma"/>
          <w:b/>
          <w:noProof/>
          <w:sz w:val="20"/>
          <w:szCs w:val="20"/>
        </w:rPr>
        <w:t>и</w:t>
      </w:r>
      <w:r w:rsidRPr="009A2448">
        <w:rPr>
          <w:rFonts w:ascii="Tahoma" w:hAnsi="Tahoma" w:cs="Tahoma"/>
          <w:b/>
          <w:noProof/>
          <w:sz w:val="20"/>
          <w:szCs w:val="20"/>
        </w:rPr>
        <w:t xml:space="preserve"> </w:t>
      </w:r>
      <w:r w:rsidRPr="00F4594B">
        <w:rPr>
          <w:rFonts w:ascii="Tahoma" w:hAnsi="Tahoma" w:cs="Tahoma"/>
          <w:b/>
          <w:noProof/>
          <w:sz w:val="20"/>
          <w:szCs w:val="20"/>
        </w:rPr>
        <w:t>«ДАЛЬНЕВОСТОЧНАЯ</w:t>
      </w:r>
      <w:r>
        <w:rPr>
          <w:rFonts w:ascii="Tahoma" w:hAnsi="Tahoma" w:cs="Tahoma"/>
          <w:b/>
          <w:noProof/>
          <w:sz w:val="20"/>
          <w:szCs w:val="20"/>
        </w:rPr>
        <w:t xml:space="preserve"> И АРКТИЧЕСКАЯ</w:t>
      </w:r>
      <w:r w:rsidRPr="00F4594B">
        <w:rPr>
          <w:rFonts w:ascii="Tahoma" w:hAnsi="Tahoma" w:cs="Tahoma"/>
          <w:b/>
          <w:noProof/>
          <w:sz w:val="20"/>
          <w:szCs w:val="20"/>
        </w:rPr>
        <w:t xml:space="preserve"> ИПОТЕКА»</w:t>
      </w:r>
    </w:p>
    <w:p w14:paraId="7329A27B" w14:textId="77777777" w:rsidR="00951A61" w:rsidRPr="003B2106" w:rsidRDefault="00951A61" w:rsidP="00951A61">
      <w:pPr>
        <w:jc w:val="center"/>
        <w:rPr>
          <w:rFonts w:ascii="Tahoma" w:hAnsi="Tahoma" w:cs="Tahoma"/>
          <w:b/>
          <w:bCs/>
          <w:caps/>
          <w:sz w:val="20"/>
          <w:szCs w:val="20"/>
        </w:rPr>
      </w:pPr>
    </w:p>
    <w:p w14:paraId="1F4B4C09" w14:textId="77777777" w:rsidR="00951A61" w:rsidRPr="00FB4640" w:rsidRDefault="00951A61" w:rsidP="00B460F9">
      <w:pPr>
        <w:pStyle w:val="affe"/>
        <w:numPr>
          <w:ilvl w:val="0"/>
          <w:numId w:val="184"/>
        </w:numPr>
        <w:tabs>
          <w:tab w:val="left" w:pos="851"/>
        </w:tabs>
        <w:ind w:left="0" w:firstLine="426"/>
        <w:contextualSpacing/>
        <w:jc w:val="both"/>
        <w:rPr>
          <w:rFonts w:ascii="Tahoma" w:hAnsi="Tahoma" w:cs="Tahoma"/>
          <w:noProof/>
          <w:sz w:val="20"/>
          <w:szCs w:val="20"/>
        </w:rPr>
      </w:pPr>
      <w:r w:rsidRPr="003B2106">
        <w:rPr>
          <w:rFonts w:ascii="Tahoma" w:hAnsi="Tahoma" w:cs="Tahoma"/>
          <w:b/>
          <w:bCs/>
          <w:caps/>
          <w:sz w:val="20"/>
          <w:szCs w:val="20"/>
        </w:rPr>
        <w:t>ОСНОВНЫЕ ПОНЯТИЯ, ИСПОЛЬЗУЕМЫЕ ТЕРМИНЫ и сокращения</w:t>
      </w:r>
    </w:p>
    <w:tbl>
      <w:tblPr>
        <w:tblW w:w="507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8"/>
        <w:gridCol w:w="11735"/>
      </w:tblGrid>
      <w:tr w:rsidR="00951A61" w:rsidRPr="003B2106" w14:paraId="737B9270" w14:textId="77777777" w:rsidTr="00A4032F">
        <w:trPr>
          <w:trHeight w:val="153"/>
        </w:trPr>
        <w:tc>
          <w:tcPr>
            <w:tcW w:w="1315" w:type="pct"/>
            <w:shd w:val="clear" w:color="auto" w:fill="auto"/>
          </w:tcPr>
          <w:p w14:paraId="26B0B8C8" w14:textId="77777777" w:rsidR="00951A61" w:rsidRPr="000C687D" w:rsidRDefault="00951A61" w:rsidP="00A4032F">
            <w:pPr>
              <w:jc w:val="center"/>
              <w:rPr>
                <w:rFonts w:ascii="Tahoma" w:hAnsi="Tahoma" w:cs="Tahoma"/>
                <w:sz w:val="20"/>
                <w:szCs w:val="20"/>
              </w:rPr>
            </w:pPr>
            <w:r w:rsidRPr="000C687D">
              <w:rPr>
                <w:rFonts w:ascii="Tahoma" w:hAnsi="Tahoma" w:cs="Tahoma"/>
                <w:sz w:val="20"/>
                <w:szCs w:val="20"/>
              </w:rPr>
              <w:t>Апартаменты</w:t>
            </w:r>
          </w:p>
        </w:tc>
        <w:tc>
          <w:tcPr>
            <w:tcW w:w="3685" w:type="pct"/>
            <w:shd w:val="clear" w:color="auto" w:fill="auto"/>
            <w:vAlign w:val="center"/>
          </w:tcPr>
          <w:p w14:paraId="64AD9D62" w14:textId="77777777" w:rsidR="00951A61" w:rsidRPr="0089418D" w:rsidRDefault="00951A61" w:rsidP="00A4032F">
            <w:pPr>
              <w:tabs>
                <w:tab w:val="left" w:pos="851"/>
              </w:tabs>
              <w:jc w:val="both"/>
              <w:rPr>
                <w:rFonts w:ascii="Tahoma" w:hAnsi="Tahoma" w:cs="Tahoma"/>
                <w:sz w:val="20"/>
                <w:szCs w:val="20"/>
              </w:rPr>
            </w:pPr>
            <w:r w:rsidRPr="0089418D">
              <w:rPr>
                <w:rFonts w:ascii="Tahoma" w:hAnsi="Tahoma" w:cs="Tahoma"/>
                <w:sz w:val="20"/>
                <w:szCs w:val="20"/>
              </w:rPr>
              <w:t>Объект нежилой недвижимости, наделенный потребительскими свойствами объекта жилой недвижимости, в силу санитарных норм, установленных законодательством Российской Федерации, не предназначенный для постоянного проживания</w:t>
            </w:r>
          </w:p>
        </w:tc>
      </w:tr>
      <w:tr w:rsidR="00951A61" w:rsidRPr="003B2106" w14:paraId="21281F8D" w14:textId="77777777" w:rsidTr="00A4032F">
        <w:trPr>
          <w:trHeight w:val="153"/>
        </w:trPr>
        <w:tc>
          <w:tcPr>
            <w:tcW w:w="1315" w:type="pct"/>
            <w:shd w:val="clear" w:color="auto" w:fill="auto"/>
          </w:tcPr>
          <w:p w14:paraId="66ADCAB8" w14:textId="77777777" w:rsidR="00951A61" w:rsidRPr="000C687D" w:rsidRDefault="00951A61" w:rsidP="00A4032F">
            <w:pPr>
              <w:jc w:val="center"/>
              <w:rPr>
                <w:rFonts w:ascii="Tahoma" w:hAnsi="Tahoma" w:cs="Tahoma"/>
                <w:sz w:val="20"/>
                <w:szCs w:val="20"/>
              </w:rPr>
            </w:pPr>
            <w:r w:rsidRPr="000C687D">
              <w:rPr>
                <w:rFonts w:ascii="Tahoma" w:hAnsi="Tahoma" w:cs="Tahoma"/>
                <w:sz w:val="20"/>
                <w:szCs w:val="20"/>
              </w:rPr>
              <w:t>Жилой дом</w:t>
            </w:r>
          </w:p>
        </w:tc>
        <w:tc>
          <w:tcPr>
            <w:tcW w:w="3685" w:type="pct"/>
            <w:shd w:val="clear" w:color="auto" w:fill="auto"/>
          </w:tcPr>
          <w:p w14:paraId="3446F4BF" w14:textId="77777777" w:rsidR="00951A61" w:rsidRPr="002C1D77" w:rsidRDefault="00951A61" w:rsidP="00A4032F">
            <w:pPr>
              <w:tabs>
                <w:tab w:val="left" w:pos="851"/>
              </w:tabs>
              <w:jc w:val="both"/>
              <w:rPr>
                <w:rFonts w:ascii="Tahoma" w:hAnsi="Tahoma" w:cs="Tahoma"/>
                <w:sz w:val="20"/>
                <w:szCs w:val="20"/>
              </w:rPr>
            </w:pPr>
            <w:r w:rsidRPr="008850DE">
              <w:rPr>
                <w:rFonts w:ascii="Tahoma" w:hAnsi="Tahoma" w:cs="Tahoma"/>
                <w:sz w:val="20"/>
                <w:szCs w:val="20"/>
              </w:rPr>
              <w:t>Индивидуально-определенное здание, которое состоит из комнат, а также помещений вспомогательного использования,  пригодное для постоянного или временного проживания, имеющее отдельный вход.</w:t>
            </w:r>
          </w:p>
        </w:tc>
      </w:tr>
      <w:tr w:rsidR="00951A61" w:rsidRPr="003B2106" w14:paraId="07D6D406" w14:textId="77777777" w:rsidTr="00A4032F">
        <w:trPr>
          <w:trHeight w:val="153"/>
        </w:trPr>
        <w:tc>
          <w:tcPr>
            <w:tcW w:w="1315" w:type="pct"/>
            <w:shd w:val="clear" w:color="auto" w:fill="auto"/>
          </w:tcPr>
          <w:p w14:paraId="1B4F27BC" w14:textId="77777777" w:rsidR="00951A61" w:rsidRPr="000C687D" w:rsidRDefault="00951A61" w:rsidP="00A4032F">
            <w:pPr>
              <w:jc w:val="center"/>
              <w:rPr>
                <w:rFonts w:ascii="Tahoma" w:hAnsi="Tahoma" w:cs="Tahoma"/>
                <w:sz w:val="20"/>
                <w:szCs w:val="20"/>
              </w:rPr>
            </w:pPr>
            <w:r w:rsidRPr="00DA45E9">
              <w:rPr>
                <w:rFonts w:ascii="Tahoma" w:hAnsi="Tahoma" w:cs="Tahoma"/>
                <w:sz w:val="20"/>
                <w:szCs w:val="20"/>
              </w:rPr>
              <w:t>Зарплатные клиенты «Азиатско-Тихоокеанский Банк</w:t>
            </w:r>
            <w:r>
              <w:rPr>
                <w:rFonts w:ascii="Tahoma" w:hAnsi="Tahoma" w:cs="Tahoma"/>
                <w:sz w:val="20"/>
                <w:szCs w:val="20"/>
              </w:rPr>
              <w:t>»</w:t>
            </w:r>
            <w:r w:rsidRPr="00DA45E9">
              <w:rPr>
                <w:rFonts w:ascii="Tahoma" w:hAnsi="Tahoma" w:cs="Tahoma"/>
                <w:sz w:val="20"/>
                <w:szCs w:val="20"/>
              </w:rPr>
              <w:t xml:space="preserve"> (АО)</w:t>
            </w:r>
          </w:p>
        </w:tc>
        <w:tc>
          <w:tcPr>
            <w:tcW w:w="3685" w:type="pct"/>
            <w:shd w:val="clear" w:color="auto" w:fill="auto"/>
          </w:tcPr>
          <w:p w14:paraId="46B42406" w14:textId="77777777" w:rsidR="00951A61" w:rsidRPr="008850DE" w:rsidRDefault="00951A61" w:rsidP="00A4032F">
            <w:pPr>
              <w:tabs>
                <w:tab w:val="left" w:pos="851"/>
              </w:tabs>
              <w:jc w:val="both"/>
              <w:rPr>
                <w:rFonts w:ascii="Tahoma" w:hAnsi="Tahoma" w:cs="Tahoma"/>
                <w:sz w:val="20"/>
                <w:szCs w:val="20"/>
              </w:rPr>
            </w:pPr>
            <w:r w:rsidRPr="00DA45E9">
              <w:rPr>
                <w:rFonts w:ascii="Tahoma" w:hAnsi="Tahoma" w:cs="Tahoma"/>
                <w:sz w:val="20"/>
                <w:szCs w:val="20"/>
              </w:rPr>
              <w:t>Клиент Банка, получающий заработную плату на Счет, открытый в Банке.</w:t>
            </w:r>
          </w:p>
        </w:tc>
      </w:tr>
      <w:tr w:rsidR="00951A61" w:rsidRPr="003B2106" w14:paraId="4F2247B2" w14:textId="77777777" w:rsidTr="00A4032F">
        <w:trPr>
          <w:trHeight w:val="153"/>
        </w:trPr>
        <w:tc>
          <w:tcPr>
            <w:tcW w:w="1315" w:type="pct"/>
            <w:shd w:val="clear" w:color="auto" w:fill="auto"/>
          </w:tcPr>
          <w:p w14:paraId="5790957D" w14:textId="77777777" w:rsidR="00951A61" w:rsidRPr="000C687D" w:rsidRDefault="00951A61" w:rsidP="00A4032F">
            <w:pPr>
              <w:jc w:val="center"/>
              <w:rPr>
                <w:rFonts w:ascii="Tahoma" w:hAnsi="Tahoma" w:cs="Tahoma"/>
                <w:sz w:val="20"/>
                <w:szCs w:val="20"/>
              </w:rPr>
            </w:pPr>
            <w:r w:rsidRPr="000C687D">
              <w:rPr>
                <w:rFonts w:ascii="Tahoma" w:hAnsi="Tahoma" w:cs="Tahoma"/>
                <w:sz w:val="20"/>
                <w:szCs w:val="20"/>
              </w:rPr>
              <w:t>Земельный участок</w:t>
            </w:r>
          </w:p>
        </w:tc>
        <w:tc>
          <w:tcPr>
            <w:tcW w:w="3685" w:type="pct"/>
            <w:shd w:val="clear" w:color="auto" w:fill="auto"/>
          </w:tcPr>
          <w:p w14:paraId="60C3B5CC" w14:textId="77777777" w:rsidR="00951A61" w:rsidRPr="00341751" w:rsidRDefault="00951A61" w:rsidP="00A4032F">
            <w:pPr>
              <w:tabs>
                <w:tab w:val="left" w:pos="851"/>
              </w:tabs>
              <w:jc w:val="both"/>
              <w:rPr>
                <w:rFonts w:ascii="Tahoma" w:hAnsi="Tahoma" w:cs="Tahoma"/>
                <w:sz w:val="20"/>
                <w:szCs w:val="20"/>
              </w:rPr>
            </w:pPr>
            <w:r w:rsidRPr="002D4FB3">
              <w:rPr>
                <w:rFonts w:ascii="Tahoma" w:hAnsi="Tahoma" w:cs="Tahoma"/>
                <w:sz w:val="20"/>
                <w:szCs w:val="20"/>
              </w:rPr>
              <w:t>Участок земли, на котором может находится Жилой дом, границы которого и право собственности на который оформлены в установленном росси</w:t>
            </w:r>
            <w:r w:rsidRPr="00E060FC">
              <w:rPr>
                <w:rFonts w:ascii="Tahoma" w:hAnsi="Tahoma" w:cs="Tahoma"/>
                <w:sz w:val="20"/>
                <w:szCs w:val="20"/>
              </w:rPr>
              <w:t>йским законодательством порядке</w:t>
            </w:r>
          </w:p>
        </w:tc>
      </w:tr>
      <w:tr w:rsidR="00951A61" w:rsidRPr="003B2106" w14:paraId="1EAACCE3" w14:textId="77777777" w:rsidTr="00A4032F">
        <w:trPr>
          <w:trHeight w:val="153"/>
        </w:trPr>
        <w:tc>
          <w:tcPr>
            <w:tcW w:w="1315" w:type="pct"/>
            <w:shd w:val="clear" w:color="auto" w:fill="auto"/>
          </w:tcPr>
          <w:p w14:paraId="712569C7" w14:textId="77777777" w:rsidR="00951A61" w:rsidRPr="000C687D" w:rsidRDefault="00951A61" w:rsidP="00A4032F">
            <w:pPr>
              <w:jc w:val="center"/>
              <w:rPr>
                <w:rFonts w:ascii="Tahoma" w:hAnsi="Tahoma" w:cs="Tahoma"/>
                <w:sz w:val="20"/>
                <w:szCs w:val="20"/>
              </w:rPr>
            </w:pPr>
            <w:r w:rsidRPr="00234585">
              <w:rPr>
                <w:rFonts w:ascii="Tahoma" w:hAnsi="Tahoma" w:cs="Tahoma"/>
                <w:sz w:val="20"/>
                <w:szCs w:val="20"/>
              </w:rPr>
              <w:t xml:space="preserve">Кредит </w:t>
            </w:r>
          </w:p>
        </w:tc>
        <w:tc>
          <w:tcPr>
            <w:tcW w:w="3685" w:type="pct"/>
            <w:shd w:val="clear" w:color="auto" w:fill="auto"/>
          </w:tcPr>
          <w:p w14:paraId="4357E9A2" w14:textId="77777777" w:rsidR="00951A61" w:rsidRPr="002D4FB3" w:rsidRDefault="00951A61" w:rsidP="00A4032F">
            <w:pPr>
              <w:tabs>
                <w:tab w:val="left" w:pos="851"/>
              </w:tabs>
              <w:jc w:val="both"/>
              <w:rPr>
                <w:rFonts w:ascii="Tahoma" w:hAnsi="Tahoma" w:cs="Tahoma"/>
                <w:sz w:val="20"/>
                <w:szCs w:val="20"/>
              </w:rPr>
            </w:pPr>
            <w:r w:rsidRPr="002D4FB3">
              <w:rPr>
                <w:rFonts w:ascii="Tahoma" w:hAnsi="Tahoma" w:cs="Tahoma"/>
                <w:sz w:val="20"/>
                <w:szCs w:val="20"/>
              </w:rPr>
              <w:t xml:space="preserve">Денежные средства, предоставляемые Банком Заемщику на основе возвратности, платности, срочности и обеспеченности в размере и на условиях, предусмотренных </w:t>
            </w:r>
            <w:r>
              <w:rPr>
                <w:rFonts w:ascii="Tahoma" w:hAnsi="Tahoma" w:cs="Tahoma"/>
                <w:sz w:val="20"/>
                <w:szCs w:val="20"/>
              </w:rPr>
              <w:t>Кредитным д</w:t>
            </w:r>
            <w:r w:rsidRPr="002D4FB3">
              <w:rPr>
                <w:rFonts w:ascii="Tahoma" w:hAnsi="Tahoma" w:cs="Tahoma"/>
                <w:sz w:val="20"/>
                <w:szCs w:val="20"/>
              </w:rPr>
              <w:t>оговором</w:t>
            </w:r>
            <w:r>
              <w:rPr>
                <w:rFonts w:ascii="Tahoma" w:hAnsi="Tahoma" w:cs="Tahoma"/>
                <w:sz w:val="20"/>
                <w:szCs w:val="20"/>
              </w:rPr>
              <w:t>.</w:t>
            </w:r>
          </w:p>
        </w:tc>
      </w:tr>
      <w:tr w:rsidR="00951A61" w:rsidRPr="003B2106" w14:paraId="53767386" w14:textId="77777777" w:rsidTr="00A4032F">
        <w:trPr>
          <w:trHeight w:val="153"/>
        </w:trPr>
        <w:tc>
          <w:tcPr>
            <w:tcW w:w="1315" w:type="pct"/>
            <w:shd w:val="clear" w:color="auto" w:fill="auto"/>
          </w:tcPr>
          <w:p w14:paraId="1982DC8F" w14:textId="77777777" w:rsidR="00951A61" w:rsidRPr="000C687D" w:rsidRDefault="00951A61" w:rsidP="00A4032F">
            <w:pPr>
              <w:jc w:val="center"/>
              <w:rPr>
                <w:rFonts w:ascii="Tahoma" w:hAnsi="Tahoma" w:cs="Tahoma"/>
                <w:sz w:val="20"/>
                <w:szCs w:val="20"/>
              </w:rPr>
            </w:pPr>
            <w:r w:rsidRPr="00C87A1E">
              <w:rPr>
                <w:rFonts w:ascii="Tahoma" w:hAnsi="Tahoma" w:cs="Tahoma"/>
                <w:sz w:val="20"/>
                <w:szCs w:val="20"/>
              </w:rPr>
              <w:t>Кредитный договор</w:t>
            </w:r>
          </w:p>
        </w:tc>
        <w:tc>
          <w:tcPr>
            <w:tcW w:w="3685" w:type="pct"/>
            <w:shd w:val="clear" w:color="auto" w:fill="auto"/>
            <w:vAlign w:val="center"/>
          </w:tcPr>
          <w:p w14:paraId="4C54275A" w14:textId="77777777" w:rsidR="00951A61" w:rsidRPr="002D4FB3" w:rsidRDefault="00951A61" w:rsidP="00A4032F">
            <w:pPr>
              <w:tabs>
                <w:tab w:val="left" w:pos="851"/>
              </w:tabs>
              <w:jc w:val="both"/>
              <w:rPr>
                <w:rFonts w:ascii="Tahoma" w:hAnsi="Tahoma" w:cs="Tahoma"/>
                <w:sz w:val="20"/>
                <w:szCs w:val="20"/>
              </w:rPr>
            </w:pPr>
            <w:r>
              <w:rPr>
                <w:rFonts w:ascii="Tahoma" w:hAnsi="Tahoma" w:cs="Tahoma"/>
                <w:sz w:val="20"/>
                <w:szCs w:val="20"/>
              </w:rPr>
              <w:t>Д</w:t>
            </w:r>
            <w:r w:rsidRPr="0089418D">
              <w:rPr>
                <w:rFonts w:ascii="Tahoma" w:hAnsi="Tahoma" w:cs="Tahoma"/>
                <w:sz w:val="20"/>
                <w:szCs w:val="20"/>
              </w:rPr>
              <w:t>оговор</w:t>
            </w:r>
            <w:r>
              <w:rPr>
                <w:rFonts w:ascii="Tahoma" w:hAnsi="Tahoma" w:cs="Tahoma"/>
                <w:sz w:val="20"/>
                <w:szCs w:val="20"/>
              </w:rPr>
              <w:t xml:space="preserve"> потребительского кредита</w:t>
            </w:r>
            <w:r w:rsidRPr="0089418D">
              <w:rPr>
                <w:rFonts w:ascii="Tahoma" w:hAnsi="Tahoma" w:cs="Tahoma"/>
                <w:sz w:val="20"/>
                <w:szCs w:val="20"/>
              </w:rPr>
              <w:t>, который заключен между Банком и физическим лицом в целях, не связанных с осуществлением физическим лицом (Заемщиком) предпринимательской деятельности, и обязательства Заемщика по которым обеспечены ипотекой</w:t>
            </w:r>
          </w:p>
        </w:tc>
      </w:tr>
      <w:tr w:rsidR="00951A61" w:rsidRPr="003B2106" w14:paraId="53DD355C" w14:textId="77777777" w:rsidTr="00A4032F">
        <w:trPr>
          <w:trHeight w:val="153"/>
        </w:trPr>
        <w:tc>
          <w:tcPr>
            <w:tcW w:w="1315" w:type="pct"/>
            <w:shd w:val="clear" w:color="auto" w:fill="auto"/>
            <w:vAlign w:val="center"/>
          </w:tcPr>
          <w:p w14:paraId="023AAEA1" w14:textId="77777777" w:rsidR="00951A61" w:rsidRPr="00A654ED" w:rsidRDefault="00951A61" w:rsidP="00A4032F">
            <w:pPr>
              <w:jc w:val="center"/>
              <w:rPr>
                <w:rFonts w:ascii="Tahoma" w:hAnsi="Tahoma" w:cs="Tahoma"/>
                <w:sz w:val="20"/>
                <w:szCs w:val="20"/>
              </w:rPr>
            </w:pPr>
            <w:r w:rsidRPr="00A654ED">
              <w:rPr>
                <w:rFonts w:ascii="Tahoma" w:hAnsi="Tahoma" w:cs="Tahoma"/>
                <w:sz w:val="20"/>
                <w:szCs w:val="20"/>
              </w:rPr>
              <w:t>Наименование кредитора, место нахождения постоянно действующего исполнительного органа, контактный телефон, по которому осуществляется связь с кредитором, официальный сайт, номер лицензии на осуществление банковских операций.</w:t>
            </w:r>
          </w:p>
        </w:tc>
        <w:tc>
          <w:tcPr>
            <w:tcW w:w="3685" w:type="pct"/>
            <w:shd w:val="clear" w:color="auto" w:fill="auto"/>
            <w:vAlign w:val="center"/>
          </w:tcPr>
          <w:p w14:paraId="204A0CE3" w14:textId="77777777" w:rsidR="00951A61" w:rsidRPr="00A654ED" w:rsidRDefault="00951A61" w:rsidP="00A4032F">
            <w:pPr>
              <w:tabs>
                <w:tab w:val="left" w:pos="851"/>
              </w:tabs>
              <w:jc w:val="both"/>
              <w:rPr>
                <w:rFonts w:ascii="Tahoma" w:hAnsi="Tahoma" w:cs="Tahoma"/>
                <w:sz w:val="20"/>
                <w:szCs w:val="20"/>
              </w:rPr>
            </w:pPr>
            <w:r w:rsidRPr="006F10E3">
              <w:rPr>
                <w:rFonts w:ascii="Tahoma" w:hAnsi="Tahoma" w:cs="Tahoma"/>
                <w:sz w:val="20"/>
                <w:szCs w:val="20"/>
              </w:rPr>
              <w:t>«Азиатско-Тихоокеанский Банк» (Акционерное общество)</w:t>
            </w:r>
            <w:r>
              <w:rPr>
                <w:rFonts w:ascii="Tahoma" w:hAnsi="Tahoma" w:cs="Tahoma"/>
                <w:sz w:val="20"/>
                <w:szCs w:val="20"/>
              </w:rPr>
              <w:t>, по тексту</w:t>
            </w:r>
            <w:r w:rsidRPr="006F10E3">
              <w:rPr>
                <w:rFonts w:ascii="Tahoma" w:hAnsi="Tahoma" w:cs="Tahoma"/>
                <w:sz w:val="20"/>
                <w:szCs w:val="20"/>
              </w:rPr>
              <w:t xml:space="preserve"> - Банк. Универсальная лицензия ЦБ РФ № 1810, ОГРН: 1022800000079, ИНН: 2801023444, БИК: 041012765, кор. счет №: 30101810300000000765 в Отделении Благовещенск. Местонахождение Банка и место нахождения его постоянно действующего исполнительного органа: 675004, Амурская область, г. Благовещенск, ул. Амурская, дом 225. Контактный тел.: 8 800 775 8888 (звонок по России бесплатный). Сайт Банка в сети Интернет: </w:t>
            </w:r>
            <w:hyperlink r:id="rId51" w:history="1">
              <w:r w:rsidRPr="006F10E3">
                <w:rPr>
                  <w:rFonts w:ascii="Tahoma" w:hAnsi="Tahoma" w:cs="Tahoma"/>
                  <w:sz w:val="20"/>
                  <w:szCs w:val="20"/>
                </w:rPr>
                <w:t>www.atb.su</w:t>
              </w:r>
            </w:hyperlink>
            <w:r w:rsidRPr="006F10E3">
              <w:rPr>
                <w:rFonts w:ascii="Tahoma" w:hAnsi="Tahoma" w:cs="Tahoma"/>
                <w:sz w:val="20"/>
                <w:szCs w:val="20"/>
              </w:rPr>
              <w:t>.</w:t>
            </w:r>
          </w:p>
        </w:tc>
      </w:tr>
      <w:tr w:rsidR="00951A61" w:rsidRPr="003B2106" w14:paraId="6A1A9E2C" w14:textId="77777777" w:rsidTr="00A4032F">
        <w:trPr>
          <w:trHeight w:val="153"/>
        </w:trPr>
        <w:tc>
          <w:tcPr>
            <w:tcW w:w="1315" w:type="pct"/>
            <w:shd w:val="clear" w:color="auto" w:fill="auto"/>
          </w:tcPr>
          <w:p w14:paraId="6854F38B" w14:textId="77777777" w:rsidR="00951A61" w:rsidRPr="000C687D" w:rsidRDefault="00951A61" w:rsidP="00A4032F">
            <w:pPr>
              <w:jc w:val="center"/>
              <w:rPr>
                <w:rFonts w:ascii="Tahoma" w:hAnsi="Tahoma" w:cs="Tahoma"/>
                <w:sz w:val="20"/>
                <w:szCs w:val="20"/>
              </w:rPr>
            </w:pPr>
            <w:r w:rsidRPr="000C687D">
              <w:rPr>
                <w:rFonts w:ascii="Tahoma" w:hAnsi="Tahoma" w:cs="Tahoma"/>
                <w:sz w:val="20"/>
                <w:szCs w:val="20"/>
              </w:rPr>
              <w:t>Таунхаус</w:t>
            </w:r>
          </w:p>
        </w:tc>
        <w:tc>
          <w:tcPr>
            <w:tcW w:w="3685" w:type="pct"/>
            <w:shd w:val="clear" w:color="auto" w:fill="auto"/>
          </w:tcPr>
          <w:p w14:paraId="1E1015A2" w14:textId="77777777" w:rsidR="00951A61" w:rsidRPr="002D4FB3" w:rsidRDefault="00951A61" w:rsidP="00A4032F">
            <w:pPr>
              <w:jc w:val="both"/>
              <w:rPr>
                <w:rFonts w:ascii="Tahoma" w:hAnsi="Tahoma" w:cs="Tahoma"/>
                <w:sz w:val="20"/>
                <w:szCs w:val="20"/>
              </w:rPr>
            </w:pPr>
            <w:r w:rsidRPr="002D4FB3">
              <w:rPr>
                <w:rFonts w:ascii="Tahoma" w:hAnsi="Tahoma" w:cs="Tahoma"/>
                <w:sz w:val="20"/>
                <w:szCs w:val="20"/>
              </w:rPr>
              <w:t>Малоэтажный жилой дом (не менее 2-х и не более 3-х надземных этажей) на несколько многоуровневых квартир (секций)/ сблокированный из нескольких многоуровневых квартир (секций)), как правило, с изолированными входами (без общего подъезда) для входа в квартиру (секцию), входящий в комплекс однотипных (построенных по одному проекту) жилых домов</w:t>
            </w:r>
          </w:p>
        </w:tc>
      </w:tr>
      <w:tr w:rsidR="00951A61" w:rsidRPr="003B2106" w14:paraId="259BCBF3" w14:textId="77777777" w:rsidTr="00A4032F">
        <w:trPr>
          <w:trHeight w:val="153"/>
        </w:trPr>
        <w:tc>
          <w:tcPr>
            <w:tcW w:w="1315" w:type="pct"/>
            <w:shd w:val="clear" w:color="auto" w:fill="auto"/>
          </w:tcPr>
          <w:p w14:paraId="1A32F247" w14:textId="77777777" w:rsidR="00951A61" w:rsidRPr="000C687D" w:rsidRDefault="00951A61" w:rsidP="00A4032F">
            <w:pPr>
              <w:jc w:val="center"/>
              <w:rPr>
                <w:rFonts w:ascii="Tahoma" w:hAnsi="Tahoma" w:cs="Tahoma"/>
                <w:sz w:val="20"/>
                <w:szCs w:val="20"/>
              </w:rPr>
            </w:pPr>
            <w:r w:rsidRPr="00F060FD">
              <w:rPr>
                <w:rFonts w:ascii="Tahoma" w:hAnsi="Tahoma" w:cs="Tahoma"/>
                <w:sz w:val="20"/>
                <w:szCs w:val="20"/>
              </w:rPr>
              <w:t>ТБС (либо ТБС Заемщика)</w:t>
            </w:r>
          </w:p>
        </w:tc>
        <w:tc>
          <w:tcPr>
            <w:tcW w:w="3685" w:type="pct"/>
            <w:shd w:val="clear" w:color="auto" w:fill="auto"/>
          </w:tcPr>
          <w:p w14:paraId="2F853DAC" w14:textId="77777777" w:rsidR="00951A61" w:rsidRPr="002D4FB3" w:rsidRDefault="00951A61" w:rsidP="00A4032F">
            <w:pPr>
              <w:jc w:val="both"/>
              <w:rPr>
                <w:rFonts w:ascii="Tahoma" w:hAnsi="Tahoma" w:cs="Tahoma"/>
                <w:sz w:val="20"/>
                <w:szCs w:val="20"/>
              </w:rPr>
            </w:pPr>
            <w:r>
              <w:rPr>
                <w:rFonts w:ascii="Tahoma" w:hAnsi="Tahoma" w:cs="Tahoma"/>
                <w:sz w:val="20"/>
                <w:szCs w:val="20"/>
              </w:rPr>
              <w:t>Т</w:t>
            </w:r>
            <w:r w:rsidRPr="00F060FD">
              <w:rPr>
                <w:rFonts w:ascii="Tahoma" w:hAnsi="Tahoma" w:cs="Tahoma"/>
                <w:sz w:val="20"/>
                <w:szCs w:val="20"/>
              </w:rPr>
              <w:t xml:space="preserve">екущий банковский счет, открытый Банком Заемщику в рамках </w:t>
            </w:r>
            <w:r>
              <w:rPr>
                <w:rFonts w:ascii="Tahoma" w:hAnsi="Tahoma" w:cs="Tahoma"/>
                <w:sz w:val="20"/>
                <w:szCs w:val="20"/>
              </w:rPr>
              <w:t>Кредитного договора.</w:t>
            </w:r>
          </w:p>
        </w:tc>
      </w:tr>
    </w:tbl>
    <w:p w14:paraId="64EBE24C" w14:textId="77777777" w:rsidR="00951A61" w:rsidRDefault="00951A61" w:rsidP="00951A61">
      <w:pPr>
        <w:jc w:val="both"/>
        <w:rPr>
          <w:rFonts w:ascii="Tahoma" w:hAnsi="Tahoma" w:cs="Tahoma"/>
          <w:noProof/>
          <w:sz w:val="20"/>
          <w:szCs w:val="20"/>
        </w:rPr>
      </w:pPr>
    </w:p>
    <w:p w14:paraId="48556037" w14:textId="77777777" w:rsidR="00951A61" w:rsidRDefault="00951A61" w:rsidP="00951A61">
      <w:pPr>
        <w:jc w:val="both"/>
        <w:rPr>
          <w:rFonts w:ascii="Tahoma" w:hAnsi="Tahoma" w:cs="Tahoma"/>
          <w:noProof/>
          <w:sz w:val="20"/>
          <w:szCs w:val="20"/>
        </w:rPr>
      </w:pPr>
      <w:r w:rsidRPr="00ED0E91">
        <w:rPr>
          <w:rFonts w:ascii="Tahoma" w:hAnsi="Tahoma" w:cs="Tahoma"/>
          <w:noProof/>
          <w:sz w:val="20"/>
          <w:szCs w:val="20"/>
        </w:rPr>
        <w:t>Не приведенные в настоящем документе значения терминов, применяются в значении, определенном в Универсальном договоре банковского обслуживания физических лиц «Азиатско-Тихоокеанский Банк» (АО), размещённом на сайте Банка: www.atb.su и в Подразделениях Банка</w:t>
      </w:r>
      <w:r w:rsidRPr="006F10E3">
        <w:rPr>
          <w:rFonts w:ascii="Tahoma" w:hAnsi="Tahoma" w:cs="Tahoma"/>
          <w:noProof/>
          <w:sz w:val="20"/>
          <w:szCs w:val="20"/>
        </w:rPr>
        <w:t>.</w:t>
      </w:r>
    </w:p>
    <w:p w14:paraId="0E58F952" w14:textId="77777777" w:rsidR="00951A61" w:rsidRPr="003B2106" w:rsidRDefault="00951A61" w:rsidP="00951A61">
      <w:pPr>
        <w:rPr>
          <w:rFonts w:ascii="Tahoma" w:hAnsi="Tahoma" w:cs="Tahoma"/>
          <w:noProof/>
          <w:sz w:val="20"/>
          <w:szCs w:val="20"/>
        </w:rPr>
      </w:pPr>
    </w:p>
    <w:p w14:paraId="06618261" w14:textId="77777777" w:rsidR="00951A61" w:rsidRDefault="00951A61" w:rsidP="00B460F9">
      <w:pPr>
        <w:pStyle w:val="affe"/>
        <w:numPr>
          <w:ilvl w:val="0"/>
          <w:numId w:val="184"/>
        </w:numPr>
        <w:tabs>
          <w:tab w:val="left" w:pos="851"/>
        </w:tabs>
        <w:contextualSpacing/>
        <w:jc w:val="both"/>
        <w:rPr>
          <w:rFonts w:ascii="Tahoma" w:hAnsi="Tahoma" w:cs="Tahoma"/>
          <w:b/>
          <w:bCs/>
          <w:caps/>
          <w:sz w:val="20"/>
          <w:szCs w:val="20"/>
        </w:rPr>
      </w:pPr>
      <w:r w:rsidRPr="003D5FDC">
        <w:rPr>
          <w:rFonts w:ascii="Tahoma" w:hAnsi="Tahoma" w:cs="Tahoma"/>
          <w:b/>
          <w:bCs/>
          <w:caps/>
          <w:sz w:val="20"/>
          <w:szCs w:val="20"/>
        </w:rPr>
        <w:t xml:space="preserve">ИНФОРМАЦИЯ </w:t>
      </w:r>
      <w:r w:rsidRPr="00A654ED">
        <w:rPr>
          <w:rFonts w:ascii="Tahoma" w:hAnsi="Tahoma" w:cs="Tahoma"/>
          <w:b/>
          <w:bCs/>
          <w:caps/>
          <w:sz w:val="20"/>
          <w:szCs w:val="20"/>
        </w:rPr>
        <w:t>ОБ УСЛОВИЯХ</w:t>
      </w:r>
      <w:r>
        <w:rPr>
          <w:rFonts w:ascii="Tahoma" w:hAnsi="Tahoma" w:cs="Tahoma"/>
          <w:b/>
          <w:bCs/>
          <w:caps/>
          <w:sz w:val="20"/>
          <w:szCs w:val="20"/>
        </w:rPr>
        <w:t xml:space="preserve"> ПРИМЕНЕНИЯ</w:t>
      </w:r>
      <w:r w:rsidRPr="00A654ED">
        <w:rPr>
          <w:rFonts w:ascii="Tahoma" w:hAnsi="Tahoma" w:cs="Tahoma"/>
          <w:b/>
          <w:bCs/>
          <w:caps/>
          <w:sz w:val="20"/>
          <w:szCs w:val="20"/>
        </w:rPr>
        <w:t xml:space="preserve"> КЛИЕНТСКОГО ПРЕДЛОЖЕНИЯ «ПРОСТАЯ ИПОТЕКА»</w:t>
      </w:r>
    </w:p>
    <w:tbl>
      <w:tblPr>
        <w:tblW w:w="15665" w:type="dxa"/>
        <w:tblInd w:w="35" w:type="dxa"/>
        <w:tblLayout w:type="fixed"/>
        <w:tblLook w:val="04A0" w:firstRow="1" w:lastRow="0" w:firstColumn="1" w:lastColumn="0" w:noHBand="0" w:noVBand="1"/>
      </w:tblPr>
      <w:tblGrid>
        <w:gridCol w:w="4071"/>
        <w:gridCol w:w="11594"/>
      </w:tblGrid>
      <w:tr w:rsidR="00951A61" w:rsidRPr="006F10E3" w14:paraId="3A7CF286" w14:textId="77777777" w:rsidTr="00A4032F">
        <w:trPr>
          <w:trHeight w:val="255"/>
        </w:trPr>
        <w:tc>
          <w:tcPr>
            <w:tcW w:w="40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5D37091" w14:textId="77777777" w:rsidR="00951A61" w:rsidRPr="00A654ED" w:rsidRDefault="00951A61" w:rsidP="00A4032F">
            <w:pPr>
              <w:jc w:val="center"/>
              <w:rPr>
                <w:rFonts w:ascii="Tahoma" w:hAnsi="Tahoma" w:cs="Tahoma"/>
                <w:b/>
                <w:bCs/>
                <w:sz w:val="20"/>
                <w:szCs w:val="20"/>
              </w:rPr>
            </w:pPr>
            <w:r w:rsidRPr="00A654ED">
              <w:rPr>
                <w:rFonts w:ascii="Tahoma" w:hAnsi="Tahoma" w:cs="Tahoma"/>
                <w:b/>
                <w:bCs/>
                <w:sz w:val="20"/>
                <w:szCs w:val="20"/>
              </w:rPr>
              <w:t xml:space="preserve">Наименование                                    </w:t>
            </w:r>
          </w:p>
        </w:tc>
        <w:tc>
          <w:tcPr>
            <w:tcW w:w="11594"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B9266C1" w14:textId="77777777" w:rsidR="00951A61" w:rsidRPr="00A654ED" w:rsidRDefault="00951A61" w:rsidP="00A4032F">
            <w:pPr>
              <w:jc w:val="center"/>
              <w:rPr>
                <w:rFonts w:ascii="Tahoma" w:hAnsi="Tahoma" w:cs="Tahoma"/>
                <w:b/>
                <w:bCs/>
                <w:sz w:val="20"/>
                <w:szCs w:val="20"/>
              </w:rPr>
            </w:pPr>
            <w:r w:rsidRPr="00A654ED">
              <w:rPr>
                <w:rFonts w:ascii="Tahoma" w:hAnsi="Tahoma" w:cs="Tahoma"/>
                <w:b/>
                <w:bCs/>
                <w:sz w:val="20"/>
                <w:szCs w:val="20"/>
              </w:rPr>
              <w:t>Клиентское предложение «Простая ипотека»</w:t>
            </w:r>
          </w:p>
        </w:tc>
      </w:tr>
      <w:tr w:rsidR="00951A61" w:rsidRPr="006F10E3" w14:paraId="52363BFC" w14:textId="77777777" w:rsidTr="00A4032F">
        <w:trPr>
          <w:trHeight w:val="255"/>
        </w:trPr>
        <w:tc>
          <w:tcPr>
            <w:tcW w:w="40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70D49F" w14:textId="77777777" w:rsidR="00951A61" w:rsidRPr="00A654ED" w:rsidRDefault="00951A61" w:rsidP="00A4032F">
            <w:pPr>
              <w:jc w:val="center"/>
              <w:rPr>
                <w:rFonts w:ascii="Tahoma" w:hAnsi="Tahoma" w:cs="Tahoma"/>
                <w:b/>
                <w:bCs/>
                <w:sz w:val="20"/>
                <w:szCs w:val="20"/>
              </w:rPr>
            </w:pPr>
            <w:r w:rsidRPr="00A654ED">
              <w:rPr>
                <w:rFonts w:ascii="Tahoma" w:hAnsi="Tahoma" w:cs="Tahoma"/>
                <w:b/>
                <w:bCs/>
                <w:sz w:val="20"/>
                <w:szCs w:val="20"/>
              </w:rPr>
              <w:lastRenderedPageBreak/>
              <w:t>Категория заемщика</w:t>
            </w:r>
          </w:p>
        </w:tc>
        <w:tc>
          <w:tcPr>
            <w:tcW w:w="11594" w:type="dxa"/>
            <w:tcBorders>
              <w:top w:val="single" w:sz="4" w:space="0" w:color="auto"/>
              <w:left w:val="nil"/>
              <w:bottom w:val="single" w:sz="4" w:space="0" w:color="auto"/>
              <w:right w:val="single" w:sz="4" w:space="0" w:color="auto"/>
            </w:tcBorders>
            <w:shd w:val="clear" w:color="auto" w:fill="auto"/>
            <w:vAlign w:val="center"/>
            <w:hideMark/>
          </w:tcPr>
          <w:p w14:paraId="1199BEB7" w14:textId="77777777" w:rsidR="00951A61" w:rsidRPr="00A654ED" w:rsidRDefault="00951A61" w:rsidP="00A4032F">
            <w:pPr>
              <w:ind w:firstLine="425"/>
              <w:jc w:val="both"/>
              <w:rPr>
                <w:rFonts w:ascii="Tahoma" w:hAnsi="Tahoma" w:cs="Tahoma"/>
                <w:color w:val="000000"/>
                <w:sz w:val="20"/>
                <w:szCs w:val="20"/>
              </w:rPr>
            </w:pPr>
            <w:r w:rsidRPr="00A654ED">
              <w:rPr>
                <w:rFonts w:ascii="Tahoma" w:hAnsi="Tahoma" w:cs="Tahoma"/>
                <w:color w:val="000000"/>
                <w:sz w:val="20"/>
                <w:szCs w:val="20"/>
              </w:rPr>
              <w:t>Физические лица (</w:t>
            </w:r>
            <w:r w:rsidRPr="00A654ED">
              <w:rPr>
                <w:rFonts w:ascii="Tahoma" w:hAnsi="Tahoma" w:cs="Tahoma"/>
                <w:sz w:val="20"/>
                <w:szCs w:val="20"/>
              </w:rPr>
              <w:t>имеющие место работы и постоянный источник дохода</w:t>
            </w:r>
            <w:r w:rsidRPr="00A654ED">
              <w:rPr>
                <w:rFonts w:ascii="Tahoma" w:hAnsi="Tahoma" w:cs="Tahoma"/>
                <w:color w:val="000000"/>
                <w:sz w:val="20"/>
                <w:szCs w:val="20"/>
              </w:rPr>
              <w:t>)</w:t>
            </w:r>
          </w:p>
        </w:tc>
      </w:tr>
      <w:tr w:rsidR="00951A61" w:rsidRPr="006F10E3" w14:paraId="4D767D00" w14:textId="77777777" w:rsidTr="00A4032F">
        <w:trPr>
          <w:trHeight w:val="255"/>
        </w:trPr>
        <w:tc>
          <w:tcPr>
            <w:tcW w:w="4071" w:type="dxa"/>
            <w:tcBorders>
              <w:top w:val="nil"/>
              <w:left w:val="single" w:sz="4" w:space="0" w:color="auto"/>
              <w:bottom w:val="single" w:sz="4" w:space="0" w:color="auto"/>
              <w:right w:val="single" w:sz="4" w:space="0" w:color="auto"/>
            </w:tcBorders>
            <w:shd w:val="clear" w:color="auto" w:fill="auto"/>
            <w:vAlign w:val="center"/>
          </w:tcPr>
          <w:p w14:paraId="05A813A8" w14:textId="77777777" w:rsidR="00951A61" w:rsidRPr="00A654ED" w:rsidRDefault="00951A61" w:rsidP="00A4032F">
            <w:pPr>
              <w:jc w:val="center"/>
              <w:rPr>
                <w:rFonts w:ascii="Tahoma" w:hAnsi="Tahoma" w:cs="Tahoma"/>
                <w:b/>
                <w:bCs/>
                <w:sz w:val="20"/>
                <w:szCs w:val="20"/>
              </w:rPr>
            </w:pPr>
            <w:r w:rsidRPr="00A654ED">
              <w:rPr>
                <w:rFonts w:ascii="Tahoma" w:hAnsi="Tahoma" w:cs="Tahoma"/>
                <w:b/>
                <w:bCs/>
                <w:sz w:val="20"/>
                <w:szCs w:val="20"/>
              </w:rPr>
              <w:t>Валюта, в которой предоставляется потребительский кредит</w:t>
            </w:r>
          </w:p>
        </w:tc>
        <w:tc>
          <w:tcPr>
            <w:tcW w:w="11594" w:type="dxa"/>
            <w:tcBorders>
              <w:top w:val="single" w:sz="4" w:space="0" w:color="auto"/>
              <w:left w:val="nil"/>
              <w:bottom w:val="single" w:sz="4" w:space="0" w:color="auto"/>
              <w:right w:val="single" w:sz="4" w:space="0" w:color="auto"/>
            </w:tcBorders>
            <w:shd w:val="clear" w:color="auto" w:fill="auto"/>
            <w:vAlign w:val="center"/>
          </w:tcPr>
          <w:p w14:paraId="1C06D718" w14:textId="77777777" w:rsidR="00951A61" w:rsidRPr="00A654ED" w:rsidRDefault="00951A61" w:rsidP="00A4032F">
            <w:pPr>
              <w:ind w:firstLine="425"/>
              <w:jc w:val="both"/>
              <w:rPr>
                <w:rFonts w:ascii="Tahoma" w:hAnsi="Tahoma" w:cs="Tahoma"/>
                <w:color w:val="000000"/>
                <w:sz w:val="20"/>
                <w:szCs w:val="20"/>
              </w:rPr>
            </w:pPr>
            <w:r w:rsidRPr="00A654ED">
              <w:rPr>
                <w:rFonts w:ascii="Tahoma" w:hAnsi="Tahoma" w:cs="Tahoma"/>
                <w:color w:val="000000"/>
                <w:sz w:val="20"/>
                <w:szCs w:val="20"/>
              </w:rPr>
              <w:t>Рубли Российской Федерации (далее - рубли)</w:t>
            </w:r>
          </w:p>
        </w:tc>
      </w:tr>
      <w:tr w:rsidR="00951A61" w:rsidRPr="006F10E3" w14:paraId="39987CE6" w14:textId="77777777" w:rsidTr="00A4032F">
        <w:trPr>
          <w:trHeight w:val="255"/>
        </w:trPr>
        <w:tc>
          <w:tcPr>
            <w:tcW w:w="4071" w:type="dxa"/>
            <w:tcBorders>
              <w:top w:val="nil"/>
              <w:left w:val="single" w:sz="4" w:space="0" w:color="auto"/>
              <w:bottom w:val="single" w:sz="4" w:space="0" w:color="auto"/>
              <w:right w:val="single" w:sz="4" w:space="0" w:color="auto"/>
            </w:tcBorders>
            <w:shd w:val="clear" w:color="auto" w:fill="auto"/>
            <w:vAlign w:val="center"/>
          </w:tcPr>
          <w:p w14:paraId="55A63533" w14:textId="77777777" w:rsidR="00951A61" w:rsidRPr="00A654ED" w:rsidRDefault="00951A61" w:rsidP="00A4032F">
            <w:pPr>
              <w:jc w:val="center"/>
              <w:rPr>
                <w:rFonts w:ascii="Tahoma" w:hAnsi="Tahoma" w:cs="Tahoma"/>
                <w:b/>
                <w:sz w:val="20"/>
                <w:szCs w:val="20"/>
              </w:rPr>
            </w:pPr>
            <w:r w:rsidRPr="00A654ED">
              <w:rPr>
                <w:rFonts w:ascii="Tahoma" w:hAnsi="Tahoma" w:cs="Tahoma"/>
                <w:b/>
                <w:sz w:val="20"/>
                <w:szCs w:val="20"/>
              </w:rPr>
              <w:t>Максимальная сумма потребительского кредита</w:t>
            </w:r>
          </w:p>
        </w:tc>
        <w:tc>
          <w:tcPr>
            <w:tcW w:w="11594" w:type="dxa"/>
            <w:tcBorders>
              <w:top w:val="single" w:sz="4" w:space="0" w:color="auto"/>
              <w:left w:val="nil"/>
              <w:bottom w:val="single" w:sz="4" w:space="0" w:color="auto"/>
              <w:right w:val="single" w:sz="4" w:space="0" w:color="auto"/>
            </w:tcBorders>
            <w:shd w:val="clear" w:color="auto" w:fill="auto"/>
            <w:vAlign w:val="center"/>
          </w:tcPr>
          <w:p w14:paraId="6453DB50" w14:textId="77777777" w:rsidR="00951A61" w:rsidRPr="00A654ED" w:rsidRDefault="00951A61" w:rsidP="00A4032F">
            <w:pPr>
              <w:ind w:firstLine="425"/>
              <w:jc w:val="both"/>
              <w:rPr>
                <w:rFonts w:ascii="Tahoma" w:hAnsi="Tahoma" w:cs="Tahoma"/>
                <w:sz w:val="20"/>
                <w:szCs w:val="20"/>
              </w:rPr>
            </w:pPr>
            <w:r w:rsidRPr="00A654ED">
              <w:rPr>
                <w:rFonts w:ascii="Tahoma" w:hAnsi="Tahoma" w:cs="Tahoma"/>
                <w:sz w:val="20"/>
                <w:szCs w:val="20"/>
              </w:rPr>
              <w:t xml:space="preserve">Устанавливается соответствующим тарифным планом, в рамках которого предоставляется </w:t>
            </w:r>
            <w:r>
              <w:rPr>
                <w:rFonts w:ascii="Tahoma" w:hAnsi="Tahoma" w:cs="Tahoma"/>
                <w:sz w:val="20"/>
                <w:szCs w:val="20"/>
              </w:rPr>
              <w:t>К</w:t>
            </w:r>
            <w:r w:rsidRPr="00A654ED">
              <w:rPr>
                <w:rFonts w:ascii="Tahoma" w:hAnsi="Tahoma" w:cs="Tahoma"/>
                <w:sz w:val="20"/>
                <w:szCs w:val="20"/>
              </w:rPr>
              <w:t>редит</w:t>
            </w:r>
          </w:p>
          <w:p w14:paraId="00117A96" w14:textId="77777777" w:rsidR="00951A61" w:rsidRPr="00A654ED" w:rsidRDefault="00951A61" w:rsidP="00A4032F">
            <w:pPr>
              <w:ind w:firstLine="425"/>
              <w:jc w:val="both"/>
              <w:rPr>
                <w:rFonts w:ascii="Tahoma" w:hAnsi="Tahoma" w:cs="Tahoma"/>
                <w:sz w:val="20"/>
                <w:szCs w:val="20"/>
              </w:rPr>
            </w:pPr>
          </w:p>
        </w:tc>
      </w:tr>
      <w:tr w:rsidR="00951A61" w:rsidRPr="006F10E3" w14:paraId="4F8F5E4A" w14:textId="77777777" w:rsidTr="00A4032F">
        <w:trPr>
          <w:trHeight w:val="255"/>
        </w:trPr>
        <w:tc>
          <w:tcPr>
            <w:tcW w:w="4071" w:type="dxa"/>
            <w:tcBorders>
              <w:top w:val="nil"/>
              <w:left w:val="single" w:sz="4" w:space="0" w:color="auto"/>
              <w:bottom w:val="single" w:sz="4" w:space="0" w:color="auto"/>
              <w:right w:val="single" w:sz="4" w:space="0" w:color="auto"/>
            </w:tcBorders>
            <w:shd w:val="clear" w:color="auto" w:fill="auto"/>
          </w:tcPr>
          <w:p w14:paraId="29FC4412" w14:textId="77777777" w:rsidR="00951A61" w:rsidRPr="00A654ED" w:rsidRDefault="00951A61" w:rsidP="00A4032F">
            <w:pPr>
              <w:jc w:val="center"/>
              <w:rPr>
                <w:rFonts w:ascii="Tahoma" w:hAnsi="Tahoma" w:cs="Tahoma"/>
                <w:b/>
                <w:color w:val="000000"/>
                <w:sz w:val="20"/>
                <w:szCs w:val="20"/>
              </w:rPr>
            </w:pPr>
            <w:r w:rsidRPr="00A654ED">
              <w:rPr>
                <w:rFonts w:ascii="Tahoma" w:hAnsi="Tahoma" w:cs="Tahoma"/>
                <w:b/>
                <w:color w:val="000000"/>
                <w:sz w:val="20"/>
                <w:szCs w:val="20"/>
              </w:rPr>
              <w:t xml:space="preserve">Процентная ставка </w:t>
            </w:r>
          </w:p>
          <w:p w14:paraId="4DCC36B6" w14:textId="77777777" w:rsidR="00951A61" w:rsidRPr="00A654ED" w:rsidRDefault="00951A61" w:rsidP="00A4032F">
            <w:pPr>
              <w:jc w:val="center"/>
              <w:rPr>
                <w:rFonts w:ascii="Tahoma" w:hAnsi="Tahoma" w:cs="Tahoma"/>
                <w:b/>
                <w:bCs/>
                <w:color w:val="000000" w:themeColor="text1"/>
                <w:sz w:val="20"/>
                <w:szCs w:val="20"/>
              </w:rPr>
            </w:pPr>
            <w:r w:rsidRPr="00A654ED">
              <w:rPr>
                <w:rFonts w:ascii="Tahoma" w:hAnsi="Tahoma" w:cs="Tahoma"/>
                <w:b/>
                <w:color w:val="000000"/>
                <w:sz w:val="20"/>
                <w:szCs w:val="20"/>
              </w:rPr>
              <w:t>(в процентах годовых)</w:t>
            </w:r>
          </w:p>
        </w:tc>
        <w:tc>
          <w:tcPr>
            <w:tcW w:w="11594" w:type="dxa"/>
            <w:tcBorders>
              <w:top w:val="single" w:sz="4" w:space="0" w:color="auto"/>
              <w:left w:val="nil"/>
              <w:bottom w:val="single" w:sz="4" w:space="0" w:color="auto"/>
              <w:right w:val="single" w:sz="4" w:space="0" w:color="auto"/>
            </w:tcBorders>
            <w:shd w:val="clear" w:color="auto" w:fill="auto"/>
          </w:tcPr>
          <w:p w14:paraId="2E5BCB98" w14:textId="77777777" w:rsidR="00951A61" w:rsidRPr="00A654ED" w:rsidRDefault="00951A61" w:rsidP="00A4032F">
            <w:pPr>
              <w:ind w:firstLine="425"/>
              <w:jc w:val="both"/>
              <w:rPr>
                <w:rFonts w:ascii="Tahoma" w:hAnsi="Tahoma" w:cs="Tahoma"/>
                <w:color w:val="000000"/>
                <w:sz w:val="20"/>
                <w:szCs w:val="20"/>
              </w:rPr>
            </w:pPr>
            <w:r>
              <w:rPr>
                <w:rFonts w:ascii="Tahoma" w:hAnsi="Tahoma" w:cs="Tahoma"/>
                <w:color w:val="000000"/>
                <w:sz w:val="20"/>
                <w:szCs w:val="20"/>
              </w:rPr>
              <w:t xml:space="preserve">В отношении </w:t>
            </w:r>
            <w:r w:rsidRPr="00A654ED">
              <w:rPr>
                <w:rFonts w:ascii="Tahoma" w:hAnsi="Tahoma" w:cs="Tahoma"/>
                <w:color w:val="000000"/>
                <w:sz w:val="20"/>
                <w:szCs w:val="20"/>
              </w:rPr>
              <w:t>тарифн</w:t>
            </w:r>
            <w:r>
              <w:rPr>
                <w:rFonts w:ascii="Tahoma" w:hAnsi="Tahoma" w:cs="Tahoma"/>
                <w:color w:val="000000"/>
                <w:sz w:val="20"/>
                <w:szCs w:val="20"/>
              </w:rPr>
              <w:t>ого</w:t>
            </w:r>
            <w:r w:rsidRPr="00A654ED">
              <w:rPr>
                <w:rFonts w:ascii="Tahoma" w:hAnsi="Tahoma" w:cs="Tahoma"/>
                <w:color w:val="000000"/>
                <w:sz w:val="20"/>
                <w:szCs w:val="20"/>
              </w:rPr>
              <w:t xml:space="preserve"> план</w:t>
            </w:r>
            <w:r>
              <w:rPr>
                <w:rFonts w:ascii="Tahoma" w:hAnsi="Tahoma" w:cs="Tahoma"/>
                <w:color w:val="000000"/>
                <w:sz w:val="20"/>
                <w:szCs w:val="20"/>
              </w:rPr>
              <w:t>а</w:t>
            </w:r>
            <w:r w:rsidRPr="00A654ED">
              <w:rPr>
                <w:rFonts w:ascii="Tahoma" w:hAnsi="Tahoma" w:cs="Tahoma"/>
                <w:color w:val="000000"/>
                <w:sz w:val="20"/>
                <w:szCs w:val="20"/>
              </w:rPr>
              <w:t xml:space="preserve"> «Готовое жилье», тарифн</w:t>
            </w:r>
            <w:r>
              <w:rPr>
                <w:rFonts w:ascii="Tahoma" w:hAnsi="Tahoma" w:cs="Tahoma"/>
                <w:color w:val="000000"/>
                <w:sz w:val="20"/>
                <w:szCs w:val="20"/>
              </w:rPr>
              <w:t>ого</w:t>
            </w:r>
            <w:r w:rsidRPr="00A654ED">
              <w:rPr>
                <w:rFonts w:ascii="Tahoma" w:hAnsi="Tahoma" w:cs="Tahoma"/>
                <w:color w:val="000000"/>
                <w:sz w:val="20"/>
                <w:szCs w:val="20"/>
              </w:rPr>
              <w:t xml:space="preserve"> план</w:t>
            </w:r>
            <w:r>
              <w:rPr>
                <w:rFonts w:ascii="Tahoma" w:hAnsi="Tahoma" w:cs="Tahoma"/>
                <w:color w:val="000000"/>
                <w:sz w:val="20"/>
                <w:szCs w:val="20"/>
              </w:rPr>
              <w:t>а</w:t>
            </w:r>
            <w:r w:rsidRPr="00A654ED">
              <w:rPr>
                <w:rFonts w:ascii="Tahoma" w:hAnsi="Tahoma" w:cs="Tahoma"/>
                <w:color w:val="000000"/>
                <w:sz w:val="20"/>
                <w:szCs w:val="20"/>
              </w:rPr>
              <w:t xml:space="preserve"> «Рефинансирование»</w:t>
            </w:r>
            <w:r>
              <w:rPr>
                <w:rFonts w:ascii="Tahoma" w:hAnsi="Tahoma" w:cs="Tahoma"/>
                <w:color w:val="000000"/>
                <w:sz w:val="20"/>
                <w:szCs w:val="20"/>
              </w:rPr>
              <w:t xml:space="preserve"> п</w:t>
            </w:r>
            <w:r w:rsidRPr="00A654ED">
              <w:rPr>
                <w:rFonts w:ascii="Tahoma" w:hAnsi="Tahoma" w:cs="Tahoma"/>
                <w:color w:val="000000"/>
                <w:sz w:val="20"/>
                <w:szCs w:val="20"/>
              </w:rPr>
              <w:t xml:space="preserve">рименяется надбавка в размере 0,5 </w:t>
            </w:r>
            <w:r>
              <w:rPr>
                <w:rFonts w:ascii="Tahoma" w:hAnsi="Tahoma" w:cs="Tahoma"/>
                <w:color w:val="000000"/>
                <w:sz w:val="20"/>
                <w:szCs w:val="20"/>
              </w:rPr>
              <w:t>процентных пункта</w:t>
            </w:r>
            <w:r w:rsidRPr="00A654ED">
              <w:rPr>
                <w:rFonts w:ascii="Tahoma" w:hAnsi="Tahoma" w:cs="Tahoma"/>
                <w:color w:val="000000"/>
                <w:sz w:val="20"/>
                <w:szCs w:val="20"/>
              </w:rPr>
              <w:t xml:space="preserve"> к ставке кредитования, устанавливаемой в соответствии с порядком формирования процентных ставок по ипотечному кредиту по соответствующему тарифному плану</w:t>
            </w:r>
            <w:r>
              <w:rPr>
                <w:rFonts w:ascii="Tahoma" w:hAnsi="Tahoma" w:cs="Tahoma"/>
                <w:color w:val="000000"/>
                <w:sz w:val="20"/>
                <w:szCs w:val="20"/>
              </w:rPr>
              <w:t>.</w:t>
            </w:r>
            <w:r w:rsidRPr="00A654ED">
              <w:rPr>
                <w:rFonts w:ascii="Tahoma" w:hAnsi="Tahoma" w:cs="Tahoma"/>
                <w:color w:val="000000"/>
                <w:sz w:val="20"/>
                <w:szCs w:val="20"/>
              </w:rPr>
              <w:t xml:space="preserve"> </w:t>
            </w:r>
          </w:p>
          <w:p w14:paraId="129E5A24" w14:textId="77777777" w:rsidR="00951A61" w:rsidRPr="00A654ED" w:rsidRDefault="00951A61" w:rsidP="00A4032F">
            <w:pPr>
              <w:ind w:firstLine="425"/>
              <w:jc w:val="both"/>
              <w:rPr>
                <w:rFonts w:ascii="Tahoma" w:hAnsi="Tahoma" w:cs="Tahoma"/>
                <w:color w:val="000000"/>
                <w:sz w:val="20"/>
                <w:szCs w:val="20"/>
              </w:rPr>
            </w:pPr>
            <w:r w:rsidRPr="00A654ED">
              <w:rPr>
                <w:rFonts w:ascii="Tahoma" w:hAnsi="Tahoma" w:cs="Tahoma"/>
                <w:color w:val="000000"/>
                <w:sz w:val="20"/>
                <w:szCs w:val="20"/>
              </w:rPr>
              <w:t xml:space="preserve">Надбавка к ставке не применяется </w:t>
            </w:r>
            <w:r>
              <w:rPr>
                <w:rFonts w:ascii="Tahoma" w:hAnsi="Tahoma" w:cs="Tahoma"/>
                <w:color w:val="000000"/>
                <w:sz w:val="20"/>
                <w:szCs w:val="20"/>
              </w:rPr>
              <w:t>по тарифному плану</w:t>
            </w:r>
            <w:r w:rsidRPr="00A654ED">
              <w:rPr>
                <w:rFonts w:ascii="Tahoma" w:hAnsi="Tahoma" w:cs="Tahoma"/>
                <w:color w:val="000000"/>
                <w:sz w:val="20"/>
                <w:szCs w:val="20"/>
              </w:rPr>
              <w:t xml:space="preserve"> «Дальневосточная и арктическая ипотека».</w:t>
            </w:r>
          </w:p>
          <w:p w14:paraId="5FF4DB56" w14:textId="77777777" w:rsidR="00951A61" w:rsidRPr="00A654ED" w:rsidRDefault="00951A61" w:rsidP="00A4032F">
            <w:pPr>
              <w:ind w:firstLine="425"/>
              <w:jc w:val="both"/>
              <w:rPr>
                <w:rFonts w:ascii="Tahoma" w:eastAsia="Calibri" w:hAnsi="Tahoma" w:cs="Tahoma"/>
                <w:sz w:val="20"/>
                <w:szCs w:val="20"/>
              </w:rPr>
            </w:pPr>
          </w:p>
        </w:tc>
      </w:tr>
      <w:tr w:rsidR="00951A61" w:rsidRPr="006F10E3" w14:paraId="238249C0" w14:textId="77777777" w:rsidTr="00A4032F">
        <w:trPr>
          <w:trHeight w:val="255"/>
        </w:trPr>
        <w:tc>
          <w:tcPr>
            <w:tcW w:w="4071" w:type="dxa"/>
            <w:tcBorders>
              <w:top w:val="nil"/>
              <w:left w:val="single" w:sz="4" w:space="0" w:color="auto"/>
              <w:bottom w:val="single" w:sz="4" w:space="0" w:color="auto"/>
              <w:right w:val="single" w:sz="4" w:space="0" w:color="auto"/>
            </w:tcBorders>
            <w:shd w:val="clear" w:color="auto" w:fill="auto"/>
            <w:vAlign w:val="center"/>
          </w:tcPr>
          <w:p w14:paraId="4A2113E0" w14:textId="77777777" w:rsidR="00951A61" w:rsidRPr="00A654ED" w:rsidRDefault="00951A61" w:rsidP="00A4032F">
            <w:pPr>
              <w:jc w:val="center"/>
              <w:rPr>
                <w:rFonts w:ascii="Tahoma" w:hAnsi="Tahoma" w:cs="Tahoma"/>
                <w:b/>
                <w:sz w:val="20"/>
                <w:szCs w:val="20"/>
              </w:rPr>
            </w:pPr>
            <w:r w:rsidRPr="00A654ED">
              <w:rPr>
                <w:rFonts w:ascii="Tahoma" w:hAnsi="Tahoma" w:cs="Tahoma"/>
                <w:b/>
                <w:sz w:val="20"/>
                <w:szCs w:val="20"/>
              </w:rPr>
              <w:t>Размер первоначального взноса</w:t>
            </w:r>
          </w:p>
        </w:tc>
        <w:tc>
          <w:tcPr>
            <w:tcW w:w="11594" w:type="dxa"/>
            <w:tcBorders>
              <w:top w:val="single" w:sz="4" w:space="0" w:color="auto"/>
              <w:left w:val="nil"/>
              <w:bottom w:val="single" w:sz="4" w:space="0" w:color="auto"/>
              <w:right w:val="single" w:sz="4" w:space="0" w:color="auto"/>
            </w:tcBorders>
            <w:shd w:val="clear" w:color="auto" w:fill="auto"/>
          </w:tcPr>
          <w:p w14:paraId="72044DCA" w14:textId="77777777" w:rsidR="00951A61" w:rsidRPr="00A654ED" w:rsidRDefault="00951A61" w:rsidP="00A4032F">
            <w:pPr>
              <w:pStyle w:val="affe"/>
              <w:tabs>
                <w:tab w:val="left" w:pos="280"/>
              </w:tabs>
              <w:ind w:left="33"/>
              <w:jc w:val="center"/>
              <w:rPr>
                <w:rFonts w:ascii="Tahoma" w:hAnsi="Tahoma" w:cs="Tahoma"/>
                <w:b/>
                <w:sz w:val="20"/>
                <w:szCs w:val="20"/>
                <w:u w:val="single"/>
              </w:rPr>
            </w:pPr>
            <w:r w:rsidRPr="00A654ED">
              <w:rPr>
                <w:rFonts w:ascii="Tahoma" w:hAnsi="Tahoma" w:cs="Tahoma"/>
                <w:b/>
                <w:sz w:val="20"/>
                <w:szCs w:val="20"/>
                <w:u w:val="single"/>
              </w:rPr>
              <w:t>Требование к стандартному размеру первоначального взноса:</w:t>
            </w:r>
          </w:p>
          <w:tbl>
            <w:tblPr>
              <w:tblStyle w:val="aff0"/>
              <w:tblW w:w="11170" w:type="dxa"/>
              <w:tblInd w:w="28" w:type="dxa"/>
              <w:tblLayout w:type="fixed"/>
              <w:tblLook w:val="04A0" w:firstRow="1" w:lastRow="0" w:firstColumn="1" w:lastColumn="0" w:noHBand="0" w:noVBand="1"/>
            </w:tblPr>
            <w:tblGrid>
              <w:gridCol w:w="2835"/>
              <w:gridCol w:w="2835"/>
              <w:gridCol w:w="2835"/>
              <w:gridCol w:w="2665"/>
            </w:tblGrid>
            <w:tr w:rsidR="00951A61" w:rsidRPr="006F10E3" w14:paraId="04774DE0" w14:textId="77777777" w:rsidTr="00A4032F">
              <w:trPr>
                <w:trHeight w:val="426"/>
              </w:trPr>
              <w:tc>
                <w:tcPr>
                  <w:tcW w:w="2835" w:type="dxa"/>
                </w:tcPr>
                <w:p w14:paraId="2A294149" w14:textId="77777777" w:rsidR="00951A61" w:rsidRPr="00A654ED" w:rsidRDefault="00951A61" w:rsidP="00A4032F">
                  <w:pPr>
                    <w:pStyle w:val="affe"/>
                    <w:tabs>
                      <w:tab w:val="left" w:pos="280"/>
                    </w:tabs>
                    <w:ind w:left="33"/>
                    <w:jc w:val="center"/>
                    <w:rPr>
                      <w:rFonts w:ascii="Tahoma" w:hAnsi="Tahoma" w:cs="Tahoma"/>
                      <w:b/>
                      <w:sz w:val="20"/>
                      <w:szCs w:val="20"/>
                    </w:rPr>
                  </w:pPr>
                  <w:r w:rsidRPr="00A654ED">
                    <w:rPr>
                      <w:rFonts w:ascii="Tahoma" w:hAnsi="Tahoma" w:cs="Tahoma"/>
                      <w:b/>
                      <w:sz w:val="20"/>
                      <w:szCs w:val="20"/>
                    </w:rPr>
                    <w:t>Квартира</w:t>
                  </w:r>
                </w:p>
              </w:tc>
              <w:tc>
                <w:tcPr>
                  <w:tcW w:w="2835" w:type="dxa"/>
                </w:tcPr>
                <w:p w14:paraId="0BBA4D96" w14:textId="77777777" w:rsidR="00951A61" w:rsidRPr="00A654ED" w:rsidRDefault="00951A61" w:rsidP="00A4032F">
                  <w:pPr>
                    <w:pStyle w:val="affe"/>
                    <w:tabs>
                      <w:tab w:val="left" w:pos="280"/>
                    </w:tabs>
                    <w:ind w:left="33"/>
                    <w:jc w:val="center"/>
                    <w:rPr>
                      <w:rFonts w:ascii="Tahoma" w:hAnsi="Tahoma" w:cs="Tahoma"/>
                      <w:b/>
                      <w:sz w:val="20"/>
                      <w:szCs w:val="20"/>
                    </w:rPr>
                  </w:pPr>
                  <w:r w:rsidRPr="00A654ED">
                    <w:rPr>
                      <w:rFonts w:ascii="Tahoma" w:hAnsi="Tahoma" w:cs="Tahoma"/>
                      <w:b/>
                      <w:sz w:val="20"/>
                      <w:szCs w:val="20"/>
                    </w:rPr>
                    <w:t>Апартаменты</w:t>
                  </w:r>
                </w:p>
              </w:tc>
              <w:tc>
                <w:tcPr>
                  <w:tcW w:w="2835" w:type="dxa"/>
                </w:tcPr>
                <w:p w14:paraId="053F3296" w14:textId="77777777" w:rsidR="00951A61" w:rsidRPr="00A654ED" w:rsidRDefault="00951A61" w:rsidP="00A4032F">
                  <w:pPr>
                    <w:pStyle w:val="affe"/>
                    <w:tabs>
                      <w:tab w:val="left" w:pos="280"/>
                    </w:tabs>
                    <w:ind w:left="33"/>
                    <w:jc w:val="center"/>
                    <w:rPr>
                      <w:rFonts w:ascii="Tahoma" w:hAnsi="Tahoma" w:cs="Tahoma"/>
                      <w:b/>
                      <w:sz w:val="20"/>
                      <w:szCs w:val="20"/>
                    </w:rPr>
                  </w:pPr>
                  <w:r w:rsidRPr="00A654ED">
                    <w:rPr>
                      <w:rFonts w:ascii="Tahoma" w:hAnsi="Tahoma" w:cs="Tahoma"/>
                      <w:b/>
                      <w:sz w:val="20"/>
                      <w:szCs w:val="20"/>
                    </w:rPr>
                    <w:t>Жилой дом с зем.участком</w:t>
                  </w:r>
                </w:p>
              </w:tc>
              <w:tc>
                <w:tcPr>
                  <w:tcW w:w="2665" w:type="dxa"/>
                </w:tcPr>
                <w:p w14:paraId="648455B8" w14:textId="77777777" w:rsidR="00951A61" w:rsidRPr="006F10E3" w:rsidRDefault="00951A61" w:rsidP="00A4032F">
                  <w:pPr>
                    <w:pStyle w:val="affe"/>
                    <w:tabs>
                      <w:tab w:val="left" w:pos="280"/>
                    </w:tabs>
                    <w:ind w:left="33"/>
                    <w:jc w:val="center"/>
                    <w:rPr>
                      <w:rFonts w:ascii="Tahoma" w:hAnsi="Tahoma" w:cs="Tahoma"/>
                      <w:b/>
                      <w:sz w:val="20"/>
                      <w:szCs w:val="20"/>
                    </w:rPr>
                  </w:pPr>
                  <w:r w:rsidRPr="006F10E3">
                    <w:rPr>
                      <w:rFonts w:ascii="Tahoma" w:hAnsi="Tahoma" w:cs="Tahoma"/>
                      <w:b/>
                      <w:sz w:val="20"/>
                      <w:szCs w:val="20"/>
                    </w:rPr>
                    <w:t>Таунхаус</w:t>
                  </w:r>
                </w:p>
                <w:p w14:paraId="43D95AA5" w14:textId="77777777" w:rsidR="00951A61" w:rsidRPr="006F10E3" w:rsidRDefault="00951A61" w:rsidP="00A4032F">
                  <w:pPr>
                    <w:tabs>
                      <w:tab w:val="left" w:pos="280"/>
                    </w:tabs>
                    <w:rPr>
                      <w:rFonts w:ascii="Tahoma" w:hAnsi="Tahoma" w:cs="Tahoma"/>
                      <w:b/>
                      <w:sz w:val="20"/>
                      <w:szCs w:val="20"/>
                    </w:rPr>
                  </w:pPr>
                </w:p>
              </w:tc>
            </w:tr>
            <w:tr w:rsidR="00951A61" w:rsidRPr="006F10E3" w14:paraId="466112F2" w14:textId="77777777" w:rsidTr="00A4032F">
              <w:trPr>
                <w:trHeight w:val="395"/>
              </w:trPr>
              <w:tc>
                <w:tcPr>
                  <w:tcW w:w="2835" w:type="dxa"/>
                </w:tcPr>
                <w:p w14:paraId="6FF34D5C" w14:textId="77777777" w:rsidR="00951A61" w:rsidRPr="00A654ED" w:rsidRDefault="00951A61" w:rsidP="00A4032F">
                  <w:pPr>
                    <w:pStyle w:val="affe"/>
                    <w:tabs>
                      <w:tab w:val="left" w:pos="280"/>
                    </w:tabs>
                    <w:ind w:left="33"/>
                    <w:jc w:val="center"/>
                    <w:rPr>
                      <w:rFonts w:ascii="Tahoma" w:hAnsi="Tahoma" w:cs="Tahoma"/>
                      <w:b/>
                      <w:sz w:val="20"/>
                      <w:szCs w:val="20"/>
                    </w:rPr>
                  </w:pPr>
                  <w:r w:rsidRPr="00A654ED">
                    <w:rPr>
                      <w:rFonts w:ascii="Tahoma" w:hAnsi="Tahoma" w:cs="Tahoma"/>
                      <w:sz w:val="20"/>
                      <w:szCs w:val="20"/>
                    </w:rPr>
                    <w:t>Не менее 35%</w:t>
                  </w:r>
                </w:p>
              </w:tc>
              <w:tc>
                <w:tcPr>
                  <w:tcW w:w="2835" w:type="dxa"/>
                </w:tcPr>
                <w:p w14:paraId="63EBAB18" w14:textId="77777777" w:rsidR="00951A61" w:rsidRPr="00A654ED" w:rsidRDefault="00951A61" w:rsidP="00A4032F">
                  <w:pPr>
                    <w:pStyle w:val="affe"/>
                    <w:tabs>
                      <w:tab w:val="left" w:pos="280"/>
                    </w:tabs>
                    <w:ind w:left="33"/>
                    <w:jc w:val="center"/>
                    <w:rPr>
                      <w:rFonts w:ascii="Tahoma" w:hAnsi="Tahoma" w:cs="Tahoma"/>
                      <w:b/>
                      <w:sz w:val="20"/>
                      <w:szCs w:val="20"/>
                    </w:rPr>
                  </w:pPr>
                  <w:r w:rsidRPr="00A654ED">
                    <w:rPr>
                      <w:rFonts w:ascii="Tahoma" w:hAnsi="Tahoma" w:cs="Tahoma"/>
                      <w:sz w:val="20"/>
                      <w:szCs w:val="20"/>
                    </w:rPr>
                    <w:t>Не менее 35%</w:t>
                  </w:r>
                </w:p>
              </w:tc>
              <w:tc>
                <w:tcPr>
                  <w:tcW w:w="2835" w:type="dxa"/>
                </w:tcPr>
                <w:p w14:paraId="630FAE7A" w14:textId="77777777" w:rsidR="00951A61" w:rsidRPr="00A654ED" w:rsidRDefault="00951A61" w:rsidP="00A4032F">
                  <w:pPr>
                    <w:pStyle w:val="affe"/>
                    <w:tabs>
                      <w:tab w:val="left" w:pos="280"/>
                    </w:tabs>
                    <w:ind w:left="33"/>
                    <w:jc w:val="center"/>
                    <w:rPr>
                      <w:rFonts w:ascii="Tahoma" w:hAnsi="Tahoma" w:cs="Tahoma"/>
                      <w:b/>
                      <w:sz w:val="20"/>
                      <w:szCs w:val="20"/>
                    </w:rPr>
                  </w:pPr>
                  <w:r w:rsidRPr="00A654ED">
                    <w:rPr>
                      <w:rFonts w:ascii="Tahoma" w:hAnsi="Tahoma" w:cs="Tahoma"/>
                      <w:sz w:val="20"/>
                      <w:szCs w:val="20"/>
                    </w:rPr>
                    <w:t>Не менее 50%</w:t>
                  </w:r>
                </w:p>
              </w:tc>
              <w:tc>
                <w:tcPr>
                  <w:tcW w:w="2665" w:type="dxa"/>
                </w:tcPr>
                <w:p w14:paraId="6BA57AB3" w14:textId="77777777" w:rsidR="00951A61" w:rsidRPr="00A654ED" w:rsidRDefault="00951A61" w:rsidP="00A4032F">
                  <w:pPr>
                    <w:pStyle w:val="affe"/>
                    <w:tabs>
                      <w:tab w:val="left" w:pos="280"/>
                    </w:tabs>
                    <w:ind w:left="33"/>
                    <w:jc w:val="center"/>
                    <w:rPr>
                      <w:rFonts w:ascii="Tahoma" w:hAnsi="Tahoma" w:cs="Tahoma"/>
                      <w:b/>
                      <w:sz w:val="20"/>
                      <w:szCs w:val="20"/>
                    </w:rPr>
                  </w:pPr>
                  <w:r w:rsidRPr="00A654ED">
                    <w:rPr>
                      <w:rFonts w:ascii="Tahoma" w:hAnsi="Tahoma" w:cs="Tahoma"/>
                      <w:sz w:val="20"/>
                      <w:szCs w:val="20"/>
                    </w:rPr>
                    <w:t>Не менее 40%</w:t>
                  </w:r>
                </w:p>
              </w:tc>
            </w:tr>
          </w:tbl>
          <w:p w14:paraId="1520B9BD" w14:textId="77777777" w:rsidR="00951A61" w:rsidRPr="00A654ED" w:rsidRDefault="00951A61" w:rsidP="00A4032F">
            <w:pPr>
              <w:tabs>
                <w:tab w:val="left" w:pos="280"/>
              </w:tabs>
              <w:jc w:val="both"/>
              <w:rPr>
                <w:rFonts w:ascii="Tahoma" w:hAnsi="Tahoma" w:cs="Tahoma"/>
                <w:sz w:val="20"/>
                <w:szCs w:val="20"/>
              </w:rPr>
            </w:pPr>
          </w:p>
        </w:tc>
      </w:tr>
      <w:tr w:rsidR="00951A61" w:rsidRPr="006F10E3" w14:paraId="345D68E6" w14:textId="77777777" w:rsidTr="00A4032F">
        <w:trPr>
          <w:trHeight w:val="255"/>
        </w:trPr>
        <w:tc>
          <w:tcPr>
            <w:tcW w:w="4071" w:type="dxa"/>
            <w:tcBorders>
              <w:top w:val="nil"/>
              <w:left w:val="single" w:sz="4" w:space="0" w:color="auto"/>
              <w:bottom w:val="single" w:sz="4" w:space="0" w:color="auto"/>
              <w:right w:val="single" w:sz="4" w:space="0" w:color="auto"/>
            </w:tcBorders>
            <w:shd w:val="clear" w:color="auto" w:fill="auto"/>
            <w:vAlign w:val="center"/>
          </w:tcPr>
          <w:p w14:paraId="5854062B" w14:textId="77777777" w:rsidR="00951A61" w:rsidRPr="00A654ED" w:rsidRDefault="00951A61" w:rsidP="00A4032F">
            <w:pPr>
              <w:jc w:val="center"/>
              <w:rPr>
                <w:rFonts w:ascii="Tahoma" w:hAnsi="Tahoma" w:cs="Tahoma"/>
                <w:b/>
                <w:sz w:val="20"/>
                <w:szCs w:val="20"/>
              </w:rPr>
            </w:pPr>
            <w:r w:rsidRPr="00A654ED">
              <w:rPr>
                <w:rFonts w:ascii="Tahoma" w:hAnsi="Tahoma" w:cs="Tahoma"/>
                <w:b/>
                <w:sz w:val="20"/>
                <w:szCs w:val="20"/>
              </w:rPr>
              <w:t>Коэффициент кредит/залог (К/З)</w:t>
            </w:r>
          </w:p>
        </w:tc>
        <w:tc>
          <w:tcPr>
            <w:tcW w:w="11594" w:type="dxa"/>
            <w:tcBorders>
              <w:top w:val="single" w:sz="4" w:space="0" w:color="auto"/>
              <w:left w:val="nil"/>
              <w:bottom w:val="single" w:sz="4" w:space="0" w:color="auto"/>
              <w:right w:val="single" w:sz="4" w:space="0" w:color="auto"/>
            </w:tcBorders>
            <w:shd w:val="clear" w:color="auto" w:fill="auto"/>
          </w:tcPr>
          <w:p w14:paraId="2A7D7B09" w14:textId="77777777" w:rsidR="00951A61" w:rsidRPr="00A654ED" w:rsidRDefault="00951A61" w:rsidP="00A4032F">
            <w:pPr>
              <w:pStyle w:val="affe"/>
              <w:tabs>
                <w:tab w:val="left" w:pos="280"/>
              </w:tabs>
              <w:ind w:left="33"/>
              <w:jc w:val="center"/>
              <w:rPr>
                <w:rFonts w:ascii="Tahoma" w:hAnsi="Tahoma" w:cs="Tahoma"/>
                <w:b/>
                <w:sz w:val="20"/>
                <w:szCs w:val="20"/>
                <w:u w:val="single"/>
              </w:rPr>
            </w:pPr>
            <w:r w:rsidRPr="00A654ED">
              <w:rPr>
                <w:rFonts w:ascii="Tahoma" w:hAnsi="Tahoma" w:cs="Tahoma"/>
                <w:b/>
                <w:sz w:val="20"/>
                <w:szCs w:val="20"/>
                <w:u w:val="single"/>
              </w:rPr>
              <w:t>Требование к стандартному размеру Коэффициента К/З:</w:t>
            </w:r>
          </w:p>
          <w:tbl>
            <w:tblPr>
              <w:tblStyle w:val="aff0"/>
              <w:tblW w:w="11170" w:type="dxa"/>
              <w:tblInd w:w="28" w:type="dxa"/>
              <w:tblLayout w:type="fixed"/>
              <w:tblLook w:val="04A0" w:firstRow="1" w:lastRow="0" w:firstColumn="1" w:lastColumn="0" w:noHBand="0" w:noVBand="1"/>
            </w:tblPr>
            <w:tblGrid>
              <w:gridCol w:w="2835"/>
              <w:gridCol w:w="2835"/>
              <w:gridCol w:w="2835"/>
              <w:gridCol w:w="2665"/>
            </w:tblGrid>
            <w:tr w:rsidR="00951A61" w:rsidRPr="006F10E3" w14:paraId="7FC58802" w14:textId="77777777" w:rsidTr="00A4032F">
              <w:trPr>
                <w:trHeight w:val="384"/>
              </w:trPr>
              <w:tc>
                <w:tcPr>
                  <w:tcW w:w="2835" w:type="dxa"/>
                </w:tcPr>
                <w:p w14:paraId="2AE5D2D3" w14:textId="77777777" w:rsidR="00951A61" w:rsidRPr="00A654ED" w:rsidRDefault="00951A61" w:rsidP="00A4032F">
                  <w:pPr>
                    <w:pStyle w:val="affe"/>
                    <w:tabs>
                      <w:tab w:val="left" w:pos="280"/>
                    </w:tabs>
                    <w:ind w:left="33"/>
                    <w:jc w:val="center"/>
                    <w:rPr>
                      <w:rFonts w:ascii="Tahoma" w:hAnsi="Tahoma" w:cs="Tahoma"/>
                      <w:b/>
                      <w:sz w:val="20"/>
                      <w:szCs w:val="20"/>
                    </w:rPr>
                  </w:pPr>
                  <w:r w:rsidRPr="00A654ED">
                    <w:rPr>
                      <w:rFonts w:ascii="Tahoma" w:hAnsi="Tahoma" w:cs="Tahoma"/>
                      <w:b/>
                      <w:sz w:val="20"/>
                      <w:szCs w:val="20"/>
                    </w:rPr>
                    <w:t>Квартира</w:t>
                  </w:r>
                </w:p>
              </w:tc>
              <w:tc>
                <w:tcPr>
                  <w:tcW w:w="2835" w:type="dxa"/>
                </w:tcPr>
                <w:p w14:paraId="4DD5B83A" w14:textId="77777777" w:rsidR="00951A61" w:rsidRPr="00A654ED" w:rsidRDefault="00951A61" w:rsidP="00A4032F">
                  <w:pPr>
                    <w:pStyle w:val="affe"/>
                    <w:tabs>
                      <w:tab w:val="left" w:pos="280"/>
                    </w:tabs>
                    <w:ind w:left="33"/>
                    <w:jc w:val="center"/>
                    <w:rPr>
                      <w:rFonts w:ascii="Tahoma" w:hAnsi="Tahoma" w:cs="Tahoma"/>
                      <w:b/>
                      <w:sz w:val="20"/>
                      <w:szCs w:val="20"/>
                    </w:rPr>
                  </w:pPr>
                  <w:r w:rsidRPr="00A654ED">
                    <w:rPr>
                      <w:rFonts w:ascii="Tahoma" w:hAnsi="Tahoma" w:cs="Tahoma"/>
                      <w:b/>
                      <w:sz w:val="20"/>
                      <w:szCs w:val="20"/>
                    </w:rPr>
                    <w:t>Апартаменты</w:t>
                  </w:r>
                </w:p>
              </w:tc>
              <w:tc>
                <w:tcPr>
                  <w:tcW w:w="2835" w:type="dxa"/>
                </w:tcPr>
                <w:p w14:paraId="1B095F2A" w14:textId="77777777" w:rsidR="00951A61" w:rsidRPr="00A654ED" w:rsidRDefault="00951A61" w:rsidP="00A4032F">
                  <w:pPr>
                    <w:pStyle w:val="affe"/>
                    <w:tabs>
                      <w:tab w:val="left" w:pos="280"/>
                    </w:tabs>
                    <w:ind w:left="33"/>
                    <w:jc w:val="center"/>
                    <w:rPr>
                      <w:rFonts w:ascii="Tahoma" w:hAnsi="Tahoma" w:cs="Tahoma"/>
                      <w:b/>
                      <w:sz w:val="20"/>
                      <w:szCs w:val="20"/>
                    </w:rPr>
                  </w:pPr>
                  <w:r w:rsidRPr="00A654ED">
                    <w:rPr>
                      <w:rFonts w:ascii="Tahoma" w:hAnsi="Tahoma" w:cs="Tahoma"/>
                      <w:b/>
                      <w:sz w:val="20"/>
                      <w:szCs w:val="20"/>
                    </w:rPr>
                    <w:t>Жилой дом с зем.участком</w:t>
                  </w:r>
                </w:p>
              </w:tc>
              <w:tc>
                <w:tcPr>
                  <w:tcW w:w="2665" w:type="dxa"/>
                </w:tcPr>
                <w:p w14:paraId="51949CC8" w14:textId="77777777" w:rsidR="00951A61" w:rsidRPr="006F10E3" w:rsidRDefault="00951A61" w:rsidP="00A4032F">
                  <w:pPr>
                    <w:pStyle w:val="affe"/>
                    <w:tabs>
                      <w:tab w:val="left" w:pos="280"/>
                    </w:tabs>
                    <w:ind w:left="33"/>
                    <w:jc w:val="center"/>
                    <w:rPr>
                      <w:rFonts w:ascii="Tahoma" w:hAnsi="Tahoma" w:cs="Tahoma"/>
                      <w:b/>
                      <w:sz w:val="20"/>
                      <w:szCs w:val="20"/>
                    </w:rPr>
                  </w:pPr>
                  <w:r w:rsidRPr="006F10E3">
                    <w:rPr>
                      <w:rFonts w:ascii="Tahoma" w:hAnsi="Tahoma" w:cs="Tahoma"/>
                      <w:b/>
                      <w:sz w:val="20"/>
                      <w:szCs w:val="20"/>
                    </w:rPr>
                    <w:t>Таунхаус</w:t>
                  </w:r>
                </w:p>
                <w:p w14:paraId="4D4F8C48" w14:textId="77777777" w:rsidR="00951A61" w:rsidRPr="006F10E3" w:rsidRDefault="00951A61" w:rsidP="00A4032F">
                  <w:pPr>
                    <w:tabs>
                      <w:tab w:val="left" w:pos="280"/>
                    </w:tabs>
                    <w:rPr>
                      <w:rFonts w:ascii="Tahoma" w:hAnsi="Tahoma" w:cs="Tahoma"/>
                      <w:b/>
                      <w:sz w:val="20"/>
                      <w:szCs w:val="20"/>
                    </w:rPr>
                  </w:pPr>
                </w:p>
              </w:tc>
            </w:tr>
            <w:tr w:rsidR="00951A61" w:rsidRPr="006F10E3" w14:paraId="358EFF59" w14:textId="77777777" w:rsidTr="00A4032F">
              <w:trPr>
                <w:trHeight w:val="395"/>
              </w:trPr>
              <w:tc>
                <w:tcPr>
                  <w:tcW w:w="2835" w:type="dxa"/>
                </w:tcPr>
                <w:p w14:paraId="57FFBD78" w14:textId="77777777" w:rsidR="00951A61" w:rsidRPr="00A654ED" w:rsidRDefault="00951A61" w:rsidP="00A4032F">
                  <w:pPr>
                    <w:pStyle w:val="affe"/>
                    <w:tabs>
                      <w:tab w:val="left" w:pos="280"/>
                    </w:tabs>
                    <w:ind w:left="33"/>
                    <w:jc w:val="center"/>
                    <w:rPr>
                      <w:rFonts w:ascii="Tahoma" w:hAnsi="Tahoma" w:cs="Tahoma"/>
                      <w:b/>
                      <w:sz w:val="20"/>
                      <w:szCs w:val="20"/>
                    </w:rPr>
                  </w:pPr>
                  <w:r w:rsidRPr="00A654ED">
                    <w:rPr>
                      <w:rFonts w:ascii="Tahoma" w:hAnsi="Tahoma" w:cs="Tahoma"/>
                      <w:sz w:val="20"/>
                      <w:szCs w:val="20"/>
                    </w:rPr>
                    <w:t>Не более 65%</w:t>
                  </w:r>
                </w:p>
              </w:tc>
              <w:tc>
                <w:tcPr>
                  <w:tcW w:w="2835" w:type="dxa"/>
                </w:tcPr>
                <w:p w14:paraId="09149178" w14:textId="77777777" w:rsidR="00951A61" w:rsidRPr="00A654ED" w:rsidRDefault="00951A61" w:rsidP="00A4032F">
                  <w:pPr>
                    <w:pStyle w:val="affe"/>
                    <w:tabs>
                      <w:tab w:val="left" w:pos="280"/>
                    </w:tabs>
                    <w:ind w:left="33"/>
                    <w:jc w:val="center"/>
                    <w:rPr>
                      <w:rFonts w:ascii="Tahoma" w:hAnsi="Tahoma" w:cs="Tahoma"/>
                      <w:b/>
                      <w:sz w:val="20"/>
                      <w:szCs w:val="20"/>
                    </w:rPr>
                  </w:pPr>
                  <w:r w:rsidRPr="00A654ED">
                    <w:rPr>
                      <w:rFonts w:ascii="Tahoma" w:hAnsi="Tahoma" w:cs="Tahoma"/>
                      <w:sz w:val="20"/>
                      <w:szCs w:val="20"/>
                    </w:rPr>
                    <w:t>Не более 65%</w:t>
                  </w:r>
                </w:p>
              </w:tc>
              <w:tc>
                <w:tcPr>
                  <w:tcW w:w="2835" w:type="dxa"/>
                </w:tcPr>
                <w:p w14:paraId="751D5925" w14:textId="77777777" w:rsidR="00951A61" w:rsidRPr="00A654ED" w:rsidRDefault="00951A61" w:rsidP="00A4032F">
                  <w:pPr>
                    <w:pStyle w:val="affe"/>
                    <w:tabs>
                      <w:tab w:val="left" w:pos="280"/>
                    </w:tabs>
                    <w:ind w:left="33"/>
                    <w:jc w:val="center"/>
                    <w:rPr>
                      <w:rFonts w:ascii="Tahoma" w:hAnsi="Tahoma" w:cs="Tahoma"/>
                      <w:b/>
                      <w:sz w:val="20"/>
                      <w:szCs w:val="20"/>
                    </w:rPr>
                  </w:pPr>
                  <w:r w:rsidRPr="00A654ED">
                    <w:rPr>
                      <w:rFonts w:ascii="Tahoma" w:hAnsi="Tahoma" w:cs="Tahoma"/>
                      <w:sz w:val="20"/>
                      <w:szCs w:val="20"/>
                    </w:rPr>
                    <w:t>Не более 50%</w:t>
                  </w:r>
                </w:p>
              </w:tc>
              <w:tc>
                <w:tcPr>
                  <w:tcW w:w="2665" w:type="dxa"/>
                </w:tcPr>
                <w:p w14:paraId="01F1D542" w14:textId="77777777" w:rsidR="00951A61" w:rsidRPr="00A654ED" w:rsidRDefault="00951A61" w:rsidP="00A4032F">
                  <w:pPr>
                    <w:pStyle w:val="affe"/>
                    <w:tabs>
                      <w:tab w:val="left" w:pos="280"/>
                    </w:tabs>
                    <w:ind w:left="33"/>
                    <w:jc w:val="center"/>
                    <w:rPr>
                      <w:rFonts w:ascii="Tahoma" w:hAnsi="Tahoma" w:cs="Tahoma"/>
                      <w:b/>
                      <w:sz w:val="20"/>
                      <w:szCs w:val="20"/>
                    </w:rPr>
                  </w:pPr>
                  <w:r w:rsidRPr="00A654ED">
                    <w:rPr>
                      <w:rFonts w:ascii="Tahoma" w:hAnsi="Tahoma" w:cs="Tahoma"/>
                      <w:sz w:val="20"/>
                      <w:szCs w:val="20"/>
                    </w:rPr>
                    <w:t>Не более 60%</w:t>
                  </w:r>
                </w:p>
              </w:tc>
            </w:tr>
          </w:tbl>
          <w:p w14:paraId="49E6BFEB" w14:textId="77777777" w:rsidR="00951A61" w:rsidRPr="00A654ED" w:rsidRDefault="00951A61" w:rsidP="00A4032F">
            <w:pPr>
              <w:tabs>
                <w:tab w:val="left" w:pos="280"/>
              </w:tabs>
              <w:jc w:val="both"/>
              <w:rPr>
                <w:rFonts w:ascii="Tahoma" w:hAnsi="Tahoma" w:cs="Tahoma"/>
                <w:sz w:val="20"/>
                <w:szCs w:val="20"/>
              </w:rPr>
            </w:pPr>
          </w:p>
        </w:tc>
      </w:tr>
      <w:tr w:rsidR="00951A61" w:rsidRPr="006F10E3" w14:paraId="3D496230" w14:textId="77777777" w:rsidTr="00A4032F">
        <w:trPr>
          <w:trHeight w:val="255"/>
        </w:trPr>
        <w:tc>
          <w:tcPr>
            <w:tcW w:w="4071" w:type="dxa"/>
            <w:tcBorders>
              <w:top w:val="nil"/>
              <w:left w:val="single" w:sz="4" w:space="0" w:color="auto"/>
              <w:bottom w:val="single" w:sz="4" w:space="0" w:color="auto"/>
              <w:right w:val="single" w:sz="4" w:space="0" w:color="auto"/>
            </w:tcBorders>
            <w:shd w:val="clear" w:color="auto" w:fill="auto"/>
            <w:vAlign w:val="center"/>
          </w:tcPr>
          <w:p w14:paraId="7E8E00D0" w14:textId="77777777" w:rsidR="00951A61" w:rsidRPr="00A654ED" w:rsidRDefault="00951A61" w:rsidP="00A4032F">
            <w:pPr>
              <w:ind w:firstLine="425"/>
              <w:jc w:val="both"/>
              <w:rPr>
                <w:rFonts w:ascii="Tahoma" w:hAnsi="Tahoma" w:cs="Tahoma"/>
                <w:b/>
                <w:sz w:val="20"/>
                <w:szCs w:val="20"/>
              </w:rPr>
            </w:pPr>
            <w:r w:rsidRPr="00A654ED">
              <w:rPr>
                <w:rFonts w:ascii="Tahoma" w:hAnsi="Tahoma" w:cs="Tahoma"/>
                <w:b/>
                <w:bCs/>
                <w:sz w:val="20"/>
                <w:szCs w:val="20"/>
              </w:rPr>
              <w:t>Срок рассмотрения Банком заявления Заёмщика о предоставлении потребительского кредита</w:t>
            </w:r>
          </w:p>
        </w:tc>
        <w:tc>
          <w:tcPr>
            <w:tcW w:w="11594" w:type="dxa"/>
            <w:tcBorders>
              <w:top w:val="single" w:sz="4" w:space="0" w:color="auto"/>
              <w:left w:val="nil"/>
              <w:bottom w:val="single" w:sz="4" w:space="0" w:color="auto"/>
              <w:right w:val="single" w:sz="4" w:space="0" w:color="auto"/>
            </w:tcBorders>
            <w:shd w:val="clear" w:color="auto" w:fill="auto"/>
            <w:vAlign w:val="center"/>
          </w:tcPr>
          <w:p w14:paraId="28C233C9" w14:textId="77777777" w:rsidR="00951A61" w:rsidRPr="00A654ED" w:rsidRDefault="00951A61" w:rsidP="00A4032F">
            <w:pPr>
              <w:ind w:firstLine="425"/>
              <w:jc w:val="both"/>
              <w:rPr>
                <w:rFonts w:ascii="Tahoma" w:hAnsi="Tahoma" w:cs="Tahoma"/>
                <w:sz w:val="20"/>
                <w:szCs w:val="20"/>
              </w:rPr>
            </w:pPr>
            <w:r w:rsidRPr="00A654ED">
              <w:rPr>
                <w:rFonts w:ascii="Tahoma" w:hAnsi="Tahoma" w:cs="Tahoma"/>
                <w:sz w:val="20"/>
                <w:szCs w:val="20"/>
              </w:rPr>
              <w:t>2 рабочих дня с момента предоставления Заемщиком полного пакета документов, в случае необходимости запроса у Заёмщика дополнительных документов срок может быть увеличен</w:t>
            </w:r>
          </w:p>
        </w:tc>
      </w:tr>
      <w:tr w:rsidR="00951A61" w:rsidRPr="006F10E3" w14:paraId="047A0F30" w14:textId="77777777" w:rsidTr="00A4032F">
        <w:tblPrEx>
          <w:tblLook w:val="00A0" w:firstRow="1" w:lastRow="0" w:firstColumn="1" w:lastColumn="0" w:noHBand="0" w:noVBand="0"/>
        </w:tblPrEx>
        <w:trPr>
          <w:trHeight w:val="564"/>
        </w:trPr>
        <w:tc>
          <w:tcPr>
            <w:tcW w:w="4071" w:type="dxa"/>
            <w:tcBorders>
              <w:top w:val="single" w:sz="4" w:space="0" w:color="auto"/>
              <w:left w:val="single" w:sz="4" w:space="0" w:color="auto"/>
              <w:bottom w:val="single" w:sz="4" w:space="0" w:color="auto"/>
              <w:right w:val="single" w:sz="4" w:space="0" w:color="auto"/>
            </w:tcBorders>
            <w:shd w:val="clear" w:color="auto" w:fill="auto"/>
            <w:vAlign w:val="center"/>
          </w:tcPr>
          <w:p w14:paraId="43489FCF" w14:textId="77777777" w:rsidR="00951A61" w:rsidRPr="00A654ED" w:rsidRDefault="00951A61" w:rsidP="00A4032F">
            <w:pPr>
              <w:widowControl w:val="0"/>
              <w:tabs>
                <w:tab w:val="left" w:pos="426"/>
                <w:tab w:val="left" w:pos="851"/>
              </w:tabs>
              <w:ind w:firstLine="425"/>
              <w:jc w:val="both"/>
              <w:rPr>
                <w:rFonts w:ascii="Tahoma" w:hAnsi="Tahoma" w:cs="Tahoma"/>
                <w:b/>
                <w:sz w:val="20"/>
                <w:szCs w:val="20"/>
              </w:rPr>
            </w:pPr>
            <w:r w:rsidRPr="00A654ED">
              <w:rPr>
                <w:rFonts w:ascii="Tahoma" w:hAnsi="Tahoma" w:cs="Tahoma"/>
                <w:b/>
                <w:sz w:val="20"/>
                <w:szCs w:val="20"/>
              </w:rPr>
              <w:t>Требования к Заемщику, которые установлены Банком, и выполнение которых является обязательным для предоставления потребительского кредита</w:t>
            </w:r>
          </w:p>
        </w:tc>
        <w:tc>
          <w:tcPr>
            <w:tcW w:w="11594" w:type="dxa"/>
            <w:tcBorders>
              <w:top w:val="single" w:sz="4" w:space="0" w:color="auto"/>
              <w:left w:val="single" w:sz="4" w:space="0" w:color="auto"/>
              <w:bottom w:val="single" w:sz="4" w:space="0" w:color="auto"/>
              <w:right w:val="single" w:sz="4" w:space="0" w:color="auto"/>
            </w:tcBorders>
            <w:noWrap/>
            <w:vAlign w:val="center"/>
          </w:tcPr>
          <w:p w14:paraId="54278FE8" w14:textId="77777777" w:rsidR="00951A61" w:rsidRPr="00A654ED" w:rsidRDefault="00951A61" w:rsidP="00A4032F">
            <w:pPr>
              <w:ind w:firstLine="425"/>
              <w:jc w:val="both"/>
              <w:rPr>
                <w:rFonts w:ascii="Tahoma" w:hAnsi="Tahoma" w:cs="Tahoma"/>
                <w:sz w:val="20"/>
                <w:szCs w:val="20"/>
              </w:rPr>
            </w:pPr>
            <w:r>
              <w:rPr>
                <w:rFonts w:ascii="Tahoma" w:hAnsi="Tahoma" w:cs="Tahoma"/>
                <w:sz w:val="20"/>
                <w:szCs w:val="20"/>
              </w:rPr>
              <w:t>Устанавливаются соответствующим тарифным планом, в рамках которого предоставляется Кредит, за исключением т</w:t>
            </w:r>
            <w:r w:rsidRPr="00A654ED">
              <w:rPr>
                <w:rFonts w:ascii="Tahoma" w:hAnsi="Tahoma" w:cs="Tahoma"/>
                <w:sz w:val="20"/>
                <w:szCs w:val="20"/>
              </w:rPr>
              <w:t>ребования к трудовому стажу/ к деятельности индивидуальных предпринимателей</w:t>
            </w:r>
            <w:r>
              <w:rPr>
                <w:rFonts w:ascii="Tahoma" w:hAnsi="Tahoma" w:cs="Tahoma"/>
                <w:sz w:val="20"/>
                <w:szCs w:val="20"/>
              </w:rPr>
              <w:t xml:space="preserve"> -</w:t>
            </w:r>
            <w:r w:rsidRPr="00A654ED">
              <w:rPr>
                <w:rFonts w:ascii="Tahoma" w:hAnsi="Tahoma" w:cs="Tahoma"/>
                <w:sz w:val="20"/>
                <w:szCs w:val="20"/>
              </w:rPr>
              <w:t xml:space="preserve"> </w:t>
            </w:r>
            <w:r w:rsidRPr="0089418D">
              <w:rPr>
                <w:rFonts w:ascii="Tahoma" w:hAnsi="Tahoma" w:cs="Tahoma"/>
                <w:sz w:val="20"/>
                <w:szCs w:val="20"/>
              </w:rPr>
              <w:t xml:space="preserve"> не менее 3-х полных календарных месяцев</w:t>
            </w:r>
            <w:r w:rsidRPr="00A654ED">
              <w:rPr>
                <w:rFonts w:ascii="Tahoma" w:hAnsi="Tahoma" w:cs="Tahoma"/>
                <w:sz w:val="20"/>
                <w:szCs w:val="20"/>
              </w:rPr>
              <w:t xml:space="preserve">. </w:t>
            </w:r>
          </w:p>
          <w:p w14:paraId="0CC88A9B" w14:textId="77777777" w:rsidR="00951A61" w:rsidRPr="006F10E3" w:rsidRDefault="00951A61" w:rsidP="00A4032F">
            <w:pPr>
              <w:ind w:firstLine="425"/>
              <w:jc w:val="both"/>
              <w:rPr>
                <w:rFonts w:ascii="Tahoma" w:hAnsi="Tahoma" w:cs="Tahoma"/>
                <w:sz w:val="20"/>
                <w:szCs w:val="20"/>
              </w:rPr>
            </w:pPr>
          </w:p>
        </w:tc>
      </w:tr>
      <w:tr w:rsidR="00951A61" w:rsidRPr="006F10E3" w14:paraId="491F374B" w14:textId="77777777" w:rsidTr="00A4032F">
        <w:tblPrEx>
          <w:tblLook w:val="00A0" w:firstRow="1" w:lastRow="0" w:firstColumn="1" w:lastColumn="0" w:noHBand="0" w:noVBand="0"/>
        </w:tblPrEx>
        <w:trPr>
          <w:trHeight w:val="176"/>
        </w:trPr>
        <w:tc>
          <w:tcPr>
            <w:tcW w:w="4071" w:type="dxa"/>
            <w:tcBorders>
              <w:top w:val="single" w:sz="4" w:space="0" w:color="auto"/>
              <w:left w:val="single" w:sz="8" w:space="0" w:color="auto"/>
              <w:bottom w:val="single" w:sz="4" w:space="0" w:color="auto"/>
              <w:right w:val="single" w:sz="4" w:space="0" w:color="auto"/>
            </w:tcBorders>
            <w:vAlign w:val="center"/>
          </w:tcPr>
          <w:p w14:paraId="59A564BA" w14:textId="77777777" w:rsidR="00951A61" w:rsidRPr="00A654ED" w:rsidRDefault="00951A61" w:rsidP="00A4032F">
            <w:pPr>
              <w:ind w:firstLine="425"/>
              <w:jc w:val="both"/>
              <w:rPr>
                <w:rFonts w:ascii="Tahoma" w:hAnsi="Tahoma" w:cs="Tahoma"/>
                <w:b/>
                <w:sz w:val="20"/>
                <w:szCs w:val="20"/>
              </w:rPr>
            </w:pPr>
            <w:r w:rsidRPr="00A654ED">
              <w:rPr>
                <w:rFonts w:ascii="Tahoma" w:hAnsi="Tahoma" w:cs="Tahoma"/>
                <w:b/>
                <w:sz w:val="20"/>
                <w:szCs w:val="20"/>
              </w:rPr>
              <w:t>Перечень документов, необходимых для рассмотрения заявления о предоставлении Кредита, в том числе для оценки кредитоспособности Заемщика</w:t>
            </w:r>
          </w:p>
          <w:p w14:paraId="39160791" w14:textId="77777777" w:rsidR="00951A61" w:rsidRPr="00A654ED" w:rsidRDefault="00951A61" w:rsidP="00A4032F">
            <w:pPr>
              <w:ind w:firstLine="425"/>
              <w:jc w:val="both"/>
              <w:rPr>
                <w:rFonts w:ascii="Tahoma" w:hAnsi="Tahoma" w:cs="Tahoma"/>
                <w:b/>
                <w:sz w:val="20"/>
                <w:szCs w:val="20"/>
              </w:rPr>
            </w:pPr>
          </w:p>
        </w:tc>
        <w:tc>
          <w:tcPr>
            <w:tcW w:w="11594" w:type="dxa"/>
            <w:tcBorders>
              <w:top w:val="single" w:sz="4" w:space="0" w:color="auto"/>
              <w:left w:val="nil"/>
              <w:bottom w:val="single" w:sz="4" w:space="0" w:color="auto"/>
              <w:right w:val="single" w:sz="8" w:space="0" w:color="000000"/>
            </w:tcBorders>
            <w:noWrap/>
            <w:vAlign w:val="center"/>
          </w:tcPr>
          <w:p w14:paraId="1D2D10E8" w14:textId="77777777" w:rsidR="00951A61" w:rsidRPr="00A654ED" w:rsidRDefault="00951A61" w:rsidP="00951A61">
            <w:pPr>
              <w:pStyle w:val="affe"/>
              <w:numPr>
                <w:ilvl w:val="0"/>
                <w:numId w:val="28"/>
              </w:numPr>
              <w:ind w:left="0" w:firstLine="425"/>
              <w:contextualSpacing/>
              <w:jc w:val="both"/>
              <w:rPr>
                <w:rFonts w:ascii="Tahoma" w:hAnsi="Tahoma" w:cs="Tahoma"/>
                <w:sz w:val="20"/>
                <w:szCs w:val="20"/>
              </w:rPr>
            </w:pPr>
            <w:r w:rsidRPr="00A654ED">
              <w:rPr>
                <w:rFonts w:ascii="Tahoma" w:hAnsi="Tahoma" w:cs="Tahoma"/>
                <w:sz w:val="20"/>
                <w:szCs w:val="20"/>
              </w:rPr>
              <w:t>Заявление на банковское обслуживание в «Азиатско-Тихоокеанский Банк» (АО)</w:t>
            </w:r>
            <w:r>
              <w:rPr>
                <w:rFonts w:ascii="Tahoma" w:hAnsi="Tahoma" w:cs="Tahoma"/>
                <w:sz w:val="20"/>
                <w:szCs w:val="20"/>
              </w:rPr>
              <w:t>.</w:t>
            </w:r>
          </w:p>
          <w:p w14:paraId="64EE55D7" w14:textId="77777777" w:rsidR="00951A61" w:rsidRPr="00A654ED" w:rsidRDefault="00951A61" w:rsidP="00951A61">
            <w:pPr>
              <w:pStyle w:val="affe"/>
              <w:numPr>
                <w:ilvl w:val="0"/>
                <w:numId w:val="28"/>
              </w:numPr>
              <w:ind w:left="0" w:firstLine="425"/>
              <w:contextualSpacing/>
              <w:jc w:val="both"/>
              <w:rPr>
                <w:rFonts w:ascii="Tahoma" w:hAnsi="Tahoma" w:cs="Tahoma"/>
                <w:sz w:val="20"/>
                <w:szCs w:val="20"/>
              </w:rPr>
            </w:pPr>
            <w:r w:rsidRPr="00A654ED">
              <w:rPr>
                <w:rFonts w:ascii="Tahoma" w:hAnsi="Tahoma" w:cs="Tahoma"/>
                <w:sz w:val="20"/>
                <w:szCs w:val="20"/>
              </w:rPr>
              <w:t>Паспорт гражданина РФ</w:t>
            </w:r>
            <w:r>
              <w:rPr>
                <w:rFonts w:ascii="Tahoma" w:hAnsi="Tahoma" w:cs="Tahoma"/>
                <w:sz w:val="20"/>
                <w:szCs w:val="20"/>
              </w:rPr>
              <w:t>.</w:t>
            </w:r>
          </w:p>
          <w:p w14:paraId="266016D6" w14:textId="77777777" w:rsidR="00951A61" w:rsidRPr="00A654ED" w:rsidRDefault="00951A61" w:rsidP="00951A61">
            <w:pPr>
              <w:pStyle w:val="affe"/>
              <w:numPr>
                <w:ilvl w:val="0"/>
                <w:numId w:val="28"/>
              </w:numPr>
              <w:ind w:left="0" w:firstLine="425"/>
              <w:contextualSpacing/>
              <w:jc w:val="both"/>
              <w:rPr>
                <w:rFonts w:ascii="Tahoma" w:hAnsi="Tahoma" w:cs="Tahoma"/>
                <w:sz w:val="20"/>
                <w:szCs w:val="20"/>
              </w:rPr>
            </w:pPr>
            <w:r w:rsidRPr="00A654ED">
              <w:rPr>
                <w:rFonts w:ascii="Tahoma" w:hAnsi="Tahoma" w:cs="Tahoma"/>
                <w:sz w:val="20"/>
                <w:szCs w:val="20"/>
              </w:rPr>
              <w:t xml:space="preserve">Документы, подтверждающие доход заемщика (в зависимости от вида деятельности заемщика): </w:t>
            </w:r>
          </w:p>
          <w:p w14:paraId="4F58E1A3" w14:textId="77777777" w:rsidR="00951A61" w:rsidRPr="006F10E3" w:rsidRDefault="00951A61" w:rsidP="00951A61">
            <w:pPr>
              <w:pStyle w:val="affe"/>
              <w:numPr>
                <w:ilvl w:val="0"/>
                <w:numId w:val="40"/>
              </w:numPr>
              <w:ind w:left="0" w:firstLine="425"/>
              <w:contextualSpacing/>
              <w:jc w:val="both"/>
              <w:rPr>
                <w:rFonts w:ascii="Tahoma" w:hAnsi="Tahoma" w:cs="Tahoma"/>
                <w:sz w:val="20"/>
                <w:szCs w:val="20"/>
              </w:rPr>
            </w:pPr>
            <w:r w:rsidRPr="00A654ED">
              <w:rPr>
                <w:rFonts w:ascii="Tahoma" w:hAnsi="Tahoma" w:cs="Tahoma"/>
                <w:sz w:val="20"/>
                <w:szCs w:val="20"/>
              </w:rPr>
              <w:t>Справка о доходах и суммах налога физического лица или справка о доходах по форме Кредитора или справка о доходах, заверенная работодателем, содержащая информацию, которая предусмотрена справкой о доходах по форме Кредитора, копия налоговой декларации по форме 3-НДФЛ</w:t>
            </w:r>
            <w:r w:rsidRPr="006F10E3">
              <w:rPr>
                <w:rFonts w:ascii="Tahoma" w:hAnsi="Tahoma" w:cs="Tahoma"/>
                <w:sz w:val="20"/>
                <w:szCs w:val="20"/>
              </w:rPr>
              <w:t xml:space="preserve"> или выписка из СФР, сформированная Банком/заверенная клиентом; </w:t>
            </w:r>
          </w:p>
          <w:p w14:paraId="1FD51883" w14:textId="77777777" w:rsidR="00951A61" w:rsidRPr="006F10E3" w:rsidRDefault="00951A61" w:rsidP="00951A61">
            <w:pPr>
              <w:pStyle w:val="affe"/>
              <w:numPr>
                <w:ilvl w:val="0"/>
                <w:numId w:val="40"/>
              </w:numPr>
              <w:ind w:left="0" w:firstLine="425"/>
              <w:contextualSpacing/>
              <w:jc w:val="both"/>
              <w:rPr>
                <w:rFonts w:ascii="Tahoma" w:hAnsi="Tahoma" w:cs="Tahoma"/>
                <w:color w:val="000000" w:themeColor="text1"/>
                <w:sz w:val="20"/>
                <w:szCs w:val="20"/>
              </w:rPr>
            </w:pPr>
            <w:r w:rsidRPr="006F10E3">
              <w:rPr>
                <w:rFonts w:ascii="Tahoma" w:hAnsi="Tahoma" w:cs="Tahoma"/>
                <w:sz w:val="20"/>
                <w:szCs w:val="20"/>
              </w:rPr>
              <w:t xml:space="preserve">в </w:t>
            </w:r>
            <w:r w:rsidRPr="006F10E3">
              <w:rPr>
                <w:rFonts w:ascii="Tahoma" w:hAnsi="Tahoma" w:cs="Tahoma"/>
                <w:color w:val="000000" w:themeColor="text1"/>
                <w:sz w:val="20"/>
                <w:szCs w:val="20"/>
              </w:rPr>
              <w:t xml:space="preserve">случае, если у Клиента отсутствует возможность оперативного получения справки о заработной плате, размер его заработной платы допускается подтверждать выпиской с зарплатного счета карты Клиента, заверенной печатью подразделения и подписью работника кредитной организации, выдавшего выписку, при этом в выписке обязательно должно быть указано назначение платежа, позволяющее однозначно идентифицировать, что поступления являются заработной платой Клиента; </w:t>
            </w:r>
          </w:p>
          <w:p w14:paraId="4D1A1B74" w14:textId="77777777" w:rsidR="00951A61" w:rsidRPr="006F10E3" w:rsidRDefault="00951A61" w:rsidP="00951A61">
            <w:pPr>
              <w:pStyle w:val="affe"/>
              <w:numPr>
                <w:ilvl w:val="0"/>
                <w:numId w:val="40"/>
              </w:numPr>
              <w:ind w:left="0" w:firstLine="425"/>
              <w:contextualSpacing/>
              <w:jc w:val="both"/>
              <w:rPr>
                <w:rFonts w:ascii="Tahoma" w:hAnsi="Tahoma" w:cs="Tahoma"/>
                <w:sz w:val="20"/>
                <w:szCs w:val="20"/>
              </w:rPr>
            </w:pPr>
            <w:r w:rsidRPr="006F10E3">
              <w:rPr>
                <w:rFonts w:ascii="Tahoma" w:hAnsi="Tahoma" w:cs="Tahoma"/>
                <w:color w:val="000000" w:themeColor="text1"/>
                <w:sz w:val="20"/>
                <w:szCs w:val="20"/>
                <w:lang w:val="en-US"/>
              </w:rPr>
              <w:lastRenderedPageBreak/>
              <w:t>c</w:t>
            </w:r>
            <w:r w:rsidRPr="006F10E3">
              <w:rPr>
                <w:rFonts w:ascii="Tahoma" w:hAnsi="Tahoma" w:cs="Tahoma"/>
                <w:color w:val="000000" w:themeColor="text1"/>
                <w:sz w:val="20"/>
                <w:szCs w:val="20"/>
              </w:rPr>
              <w:t>криншот/выписка из мобильного Банка по зарплатному счету Клиента, который (-ая) должна содержать идентификационные данные Клиента, а также назначение платежа, позволяющее однозначно идентифицировать, что поступления являются заработной платой Клиента, скриншот из мобильного Банка по зарплатному счету Клиента должен быть заверен со стороны Клиента (ФИО, дата, подписи).</w:t>
            </w:r>
          </w:p>
          <w:p w14:paraId="7D9BFE03" w14:textId="77777777" w:rsidR="00951A61" w:rsidRPr="006F10E3" w:rsidRDefault="00951A61" w:rsidP="00951A61">
            <w:pPr>
              <w:pStyle w:val="affe"/>
              <w:numPr>
                <w:ilvl w:val="0"/>
                <w:numId w:val="40"/>
              </w:numPr>
              <w:ind w:left="0" w:firstLine="425"/>
              <w:contextualSpacing/>
              <w:jc w:val="both"/>
              <w:rPr>
                <w:rFonts w:ascii="Tahoma" w:hAnsi="Tahoma" w:cs="Tahoma"/>
                <w:sz w:val="20"/>
                <w:szCs w:val="20"/>
              </w:rPr>
            </w:pPr>
            <w:r w:rsidRPr="006F10E3">
              <w:rPr>
                <w:rFonts w:ascii="Tahoma" w:hAnsi="Tahoma" w:cs="Tahoma"/>
                <w:sz w:val="20"/>
                <w:szCs w:val="20"/>
              </w:rPr>
              <w:t>справка о состоянии расчетов (доходах) по налогу на профессиональный доход для самозанятых (копия, заверенная заемщиком) или оригинал;</w:t>
            </w:r>
          </w:p>
          <w:p w14:paraId="646CC73A" w14:textId="77777777" w:rsidR="00951A61" w:rsidRDefault="00951A61" w:rsidP="00951A61">
            <w:pPr>
              <w:pStyle w:val="affe"/>
              <w:numPr>
                <w:ilvl w:val="0"/>
                <w:numId w:val="40"/>
              </w:numPr>
              <w:ind w:left="0" w:firstLine="425"/>
              <w:contextualSpacing/>
              <w:jc w:val="both"/>
              <w:rPr>
                <w:rFonts w:ascii="Tahoma" w:hAnsi="Tahoma" w:cs="Tahoma"/>
                <w:sz w:val="20"/>
                <w:szCs w:val="20"/>
              </w:rPr>
            </w:pPr>
            <w:r w:rsidRPr="006F10E3">
              <w:rPr>
                <w:rFonts w:ascii="Tahoma" w:hAnsi="Tahoma" w:cs="Tahoma"/>
                <w:sz w:val="20"/>
                <w:szCs w:val="20"/>
              </w:rPr>
              <w:t xml:space="preserve">Выписка по банковскому счету Заемщика (оригинал). На дату принятия предварительного решения о выдаче  </w:t>
            </w:r>
            <w:r>
              <w:rPr>
                <w:rFonts w:ascii="Tahoma" w:hAnsi="Tahoma" w:cs="Tahoma"/>
                <w:sz w:val="20"/>
                <w:szCs w:val="20"/>
              </w:rPr>
              <w:t>и</w:t>
            </w:r>
            <w:r w:rsidRPr="006F10E3">
              <w:rPr>
                <w:rFonts w:ascii="Tahoma" w:hAnsi="Tahoma" w:cs="Tahoma"/>
                <w:sz w:val="20"/>
                <w:szCs w:val="20"/>
              </w:rPr>
              <w:t>потечного кредита по Заемщику(ам) срок действия должен составлять не более 30 календарных дней.</w:t>
            </w:r>
          </w:p>
          <w:p w14:paraId="3C23EBF0" w14:textId="77777777" w:rsidR="00951A61" w:rsidRPr="00A654ED" w:rsidRDefault="00951A61" w:rsidP="00A4032F">
            <w:pPr>
              <w:pStyle w:val="affe"/>
              <w:ind w:left="0" w:firstLine="425"/>
              <w:jc w:val="both"/>
              <w:rPr>
                <w:rFonts w:ascii="Tahoma" w:hAnsi="Tahoma" w:cs="Tahoma"/>
                <w:sz w:val="20"/>
                <w:szCs w:val="20"/>
              </w:rPr>
            </w:pPr>
            <w:r>
              <w:rPr>
                <w:rFonts w:ascii="Tahoma" w:hAnsi="Tahoma" w:cs="Tahoma"/>
                <w:sz w:val="20"/>
                <w:szCs w:val="20"/>
              </w:rPr>
              <w:t>4. Иные документы в соответствии с индивидуальными условиями тарифных планов (при необходимости).</w:t>
            </w:r>
            <w:r w:rsidRPr="006F10E3">
              <w:rPr>
                <w:rFonts w:ascii="Tahoma" w:hAnsi="Tahoma" w:cs="Tahoma"/>
                <w:sz w:val="20"/>
                <w:szCs w:val="20"/>
              </w:rPr>
              <w:fldChar w:fldCharType="begin"/>
            </w:r>
            <w:r w:rsidRPr="006F10E3">
              <w:rPr>
                <w:rFonts w:ascii="Tahoma" w:hAnsi="Tahoma" w:cs="Tahoma"/>
                <w:sz w:val="20"/>
                <w:szCs w:val="20"/>
              </w:rPr>
              <w:instrText xml:space="preserve"> DOCVARIABLE  ATB_ADDRESS_REG </w:instrText>
            </w:r>
            <w:r w:rsidRPr="006F10E3">
              <w:rPr>
                <w:rFonts w:ascii="Tahoma" w:hAnsi="Tahoma" w:cs="Tahoma"/>
                <w:sz w:val="20"/>
                <w:szCs w:val="20"/>
              </w:rPr>
              <w:fldChar w:fldCharType="end"/>
            </w:r>
          </w:p>
        </w:tc>
      </w:tr>
      <w:tr w:rsidR="00951A61" w:rsidRPr="006F10E3" w14:paraId="0E6EF035" w14:textId="77777777" w:rsidTr="00A4032F">
        <w:tblPrEx>
          <w:tblLook w:val="00A0" w:firstRow="1" w:lastRow="0" w:firstColumn="1" w:lastColumn="0" w:noHBand="0" w:noVBand="0"/>
        </w:tblPrEx>
        <w:trPr>
          <w:trHeight w:val="176"/>
        </w:trPr>
        <w:tc>
          <w:tcPr>
            <w:tcW w:w="4071" w:type="dxa"/>
            <w:tcBorders>
              <w:top w:val="single" w:sz="4" w:space="0" w:color="auto"/>
              <w:left w:val="single" w:sz="8" w:space="0" w:color="auto"/>
              <w:bottom w:val="single" w:sz="4" w:space="0" w:color="auto"/>
              <w:right w:val="single" w:sz="4" w:space="0" w:color="auto"/>
            </w:tcBorders>
            <w:vAlign w:val="center"/>
          </w:tcPr>
          <w:p w14:paraId="4D9921AB" w14:textId="77777777" w:rsidR="00951A61" w:rsidRPr="00A654ED" w:rsidRDefault="00951A61" w:rsidP="00A4032F">
            <w:pPr>
              <w:ind w:firstLine="425"/>
              <w:jc w:val="both"/>
              <w:rPr>
                <w:rFonts w:ascii="Tahoma" w:hAnsi="Tahoma" w:cs="Tahoma"/>
                <w:b/>
                <w:bCs/>
                <w:color w:val="000000" w:themeColor="text1"/>
                <w:sz w:val="20"/>
                <w:szCs w:val="20"/>
              </w:rPr>
            </w:pPr>
            <w:r w:rsidRPr="00A654ED">
              <w:rPr>
                <w:rFonts w:ascii="Tahoma" w:hAnsi="Tahoma" w:cs="Tahoma"/>
                <w:b/>
                <w:bCs/>
                <w:color w:val="000000" w:themeColor="text1"/>
                <w:sz w:val="20"/>
                <w:szCs w:val="20"/>
              </w:rPr>
              <w:lastRenderedPageBreak/>
              <w:t>Остальные условия предоставления, использования и возврата кредита</w:t>
            </w:r>
            <w:r w:rsidRPr="00A654ED">
              <w:rPr>
                <w:rFonts w:ascii="Tahoma" w:hAnsi="Tahoma" w:cs="Tahoma"/>
                <w:b/>
                <w:bCs/>
                <w:caps/>
                <w:sz w:val="20"/>
                <w:szCs w:val="20"/>
              </w:rPr>
              <w:t xml:space="preserve"> </w:t>
            </w:r>
          </w:p>
        </w:tc>
        <w:tc>
          <w:tcPr>
            <w:tcW w:w="11594" w:type="dxa"/>
            <w:tcBorders>
              <w:top w:val="single" w:sz="4" w:space="0" w:color="auto"/>
              <w:left w:val="nil"/>
              <w:bottom w:val="single" w:sz="4" w:space="0" w:color="auto"/>
              <w:right w:val="single" w:sz="8" w:space="0" w:color="000000"/>
            </w:tcBorders>
            <w:noWrap/>
            <w:vAlign w:val="center"/>
          </w:tcPr>
          <w:p w14:paraId="06AD8CC5" w14:textId="77777777" w:rsidR="00951A61" w:rsidRPr="00A654ED" w:rsidRDefault="00951A61" w:rsidP="00A4032F">
            <w:pPr>
              <w:ind w:firstLine="425"/>
              <w:jc w:val="both"/>
              <w:rPr>
                <w:rFonts w:ascii="Tahoma" w:hAnsi="Tahoma" w:cs="Tahoma"/>
                <w:color w:val="000000"/>
                <w:sz w:val="20"/>
                <w:szCs w:val="20"/>
              </w:rPr>
            </w:pPr>
            <w:r w:rsidRPr="00A654ED">
              <w:rPr>
                <w:rFonts w:ascii="Tahoma" w:hAnsi="Tahoma" w:cs="Tahoma"/>
                <w:bCs/>
                <w:color w:val="000000"/>
                <w:sz w:val="20"/>
                <w:szCs w:val="20"/>
              </w:rPr>
              <w:t>Определены соответствующим тарифным планом Банка, в рамках которого происходит рассмотрение возможности выдачи кредита.</w:t>
            </w:r>
          </w:p>
          <w:p w14:paraId="4AFE0768" w14:textId="77777777" w:rsidR="00951A61" w:rsidRPr="00A654ED" w:rsidRDefault="00951A61" w:rsidP="00A4032F">
            <w:pPr>
              <w:ind w:firstLine="425"/>
              <w:jc w:val="both"/>
              <w:rPr>
                <w:rFonts w:ascii="Tahoma" w:hAnsi="Tahoma" w:cs="Tahoma"/>
                <w:bCs/>
                <w:color w:val="000000" w:themeColor="text1"/>
                <w:sz w:val="20"/>
                <w:szCs w:val="20"/>
              </w:rPr>
            </w:pPr>
            <w:r w:rsidRPr="00A654ED">
              <w:rPr>
                <w:rFonts w:ascii="Tahoma" w:hAnsi="Tahoma" w:cs="Tahoma"/>
                <w:color w:val="000000"/>
                <w:sz w:val="20"/>
                <w:szCs w:val="20"/>
              </w:rPr>
              <w:t>Перечень тарифных планов Банка: тарифный план «Готовое жилье», тарифный план «Рефинансирование», тарифный план «Дальневосточная</w:t>
            </w:r>
            <w:r>
              <w:rPr>
                <w:rFonts w:ascii="Tahoma" w:hAnsi="Tahoma" w:cs="Tahoma"/>
                <w:color w:val="000000"/>
                <w:sz w:val="20"/>
                <w:szCs w:val="20"/>
              </w:rPr>
              <w:t xml:space="preserve"> </w:t>
            </w:r>
            <w:r w:rsidRPr="00A654ED">
              <w:rPr>
                <w:rFonts w:ascii="Tahoma" w:hAnsi="Tahoma" w:cs="Tahoma"/>
                <w:color w:val="000000"/>
                <w:sz w:val="20"/>
                <w:szCs w:val="20"/>
              </w:rPr>
              <w:t>и арктическая ипотека»</w:t>
            </w:r>
          </w:p>
        </w:tc>
      </w:tr>
    </w:tbl>
    <w:p w14:paraId="5101E969" w14:textId="77777777" w:rsidR="00951A61" w:rsidRDefault="00951A61" w:rsidP="00951A61">
      <w:pPr>
        <w:pStyle w:val="affe"/>
        <w:tabs>
          <w:tab w:val="left" w:pos="851"/>
        </w:tabs>
        <w:jc w:val="center"/>
        <w:rPr>
          <w:rFonts w:ascii="Tahoma" w:hAnsi="Tahoma" w:cs="Tahoma"/>
          <w:sz w:val="20"/>
          <w:szCs w:val="20"/>
        </w:rPr>
      </w:pPr>
    </w:p>
    <w:p w14:paraId="516437E9" w14:textId="77777777" w:rsidR="00951A61" w:rsidRPr="002201DF" w:rsidRDefault="00951A61" w:rsidP="00951A61">
      <w:pPr>
        <w:jc w:val="center"/>
        <w:rPr>
          <w:rFonts w:ascii="Tahoma" w:hAnsi="Tahoma" w:cs="Tahoma"/>
          <w:b/>
          <w:noProof/>
          <w:sz w:val="20"/>
          <w:szCs w:val="20"/>
        </w:rPr>
      </w:pPr>
    </w:p>
    <w:p w14:paraId="0CC1CC86" w14:textId="77777777" w:rsidR="00951A61" w:rsidRPr="002201DF" w:rsidRDefault="00951A61" w:rsidP="00951A61">
      <w:pPr>
        <w:jc w:val="center"/>
        <w:rPr>
          <w:rFonts w:ascii="Tahoma" w:hAnsi="Tahoma" w:cs="Tahoma"/>
          <w:b/>
          <w:noProof/>
          <w:sz w:val="20"/>
          <w:szCs w:val="20"/>
        </w:rPr>
      </w:pPr>
    </w:p>
    <w:p w14:paraId="01CFF338" w14:textId="77777777" w:rsidR="00951A61" w:rsidRPr="002201DF" w:rsidRDefault="00951A61" w:rsidP="00951A61">
      <w:pPr>
        <w:jc w:val="center"/>
        <w:rPr>
          <w:rFonts w:ascii="Tahoma" w:hAnsi="Tahoma" w:cs="Tahoma"/>
          <w:b/>
          <w:noProof/>
          <w:sz w:val="20"/>
          <w:szCs w:val="20"/>
        </w:rPr>
      </w:pPr>
    </w:p>
    <w:p w14:paraId="21B26A36" w14:textId="77777777" w:rsidR="00951A61" w:rsidRPr="002201DF" w:rsidRDefault="00951A61" w:rsidP="00951A61">
      <w:pPr>
        <w:jc w:val="center"/>
        <w:rPr>
          <w:rFonts w:ascii="Tahoma" w:hAnsi="Tahoma" w:cs="Tahoma"/>
          <w:b/>
          <w:noProof/>
          <w:sz w:val="20"/>
          <w:szCs w:val="20"/>
        </w:rPr>
      </w:pPr>
    </w:p>
    <w:p w14:paraId="54A15C4E" w14:textId="77777777" w:rsidR="00951A61" w:rsidRPr="002201DF" w:rsidRDefault="00951A61" w:rsidP="00951A61">
      <w:pPr>
        <w:jc w:val="center"/>
        <w:rPr>
          <w:rFonts w:ascii="Tahoma" w:hAnsi="Tahoma" w:cs="Tahoma"/>
          <w:b/>
          <w:noProof/>
          <w:sz w:val="20"/>
          <w:szCs w:val="20"/>
        </w:rPr>
      </w:pPr>
    </w:p>
    <w:p w14:paraId="4D5F0024" w14:textId="77777777" w:rsidR="00951A61" w:rsidRPr="002201DF" w:rsidRDefault="00951A61" w:rsidP="00951A61">
      <w:pPr>
        <w:jc w:val="center"/>
        <w:rPr>
          <w:rFonts w:ascii="Tahoma" w:hAnsi="Tahoma" w:cs="Tahoma"/>
          <w:b/>
          <w:noProof/>
          <w:sz w:val="20"/>
          <w:szCs w:val="20"/>
        </w:rPr>
      </w:pPr>
    </w:p>
    <w:p w14:paraId="50953CD2" w14:textId="77777777" w:rsidR="00951A61" w:rsidRPr="002201DF" w:rsidRDefault="00951A61" w:rsidP="00951A61">
      <w:pPr>
        <w:jc w:val="center"/>
        <w:rPr>
          <w:rFonts w:ascii="Tahoma" w:hAnsi="Tahoma" w:cs="Tahoma"/>
          <w:b/>
          <w:noProof/>
          <w:sz w:val="20"/>
          <w:szCs w:val="20"/>
        </w:rPr>
      </w:pPr>
    </w:p>
    <w:p w14:paraId="084B12AB" w14:textId="77777777" w:rsidR="00951A61" w:rsidRPr="002201DF" w:rsidRDefault="00951A61" w:rsidP="00951A61">
      <w:pPr>
        <w:jc w:val="center"/>
        <w:rPr>
          <w:rFonts w:ascii="Tahoma" w:hAnsi="Tahoma" w:cs="Tahoma"/>
          <w:b/>
          <w:noProof/>
          <w:sz w:val="20"/>
          <w:szCs w:val="20"/>
        </w:rPr>
      </w:pPr>
    </w:p>
    <w:p w14:paraId="4317DD72" w14:textId="77777777" w:rsidR="00951A61" w:rsidRPr="002201DF" w:rsidRDefault="00951A61" w:rsidP="00951A61">
      <w:pPr>
        <w:jc w:val="center"/>
        <w:rPr>
          <w:rFonts w:ascii="Tahoma" w:hAnsi="Tahoma" w:cs="Tahoma"/>
          <w:b/>
          <w:noProof/>
          <w:sz w:val="20"/>
          <w:szCs w:val="20"/>
        </w:rPr>
      </w:pPr>
    </w:p>
    <w:p w14:paraId="05974884" w14:textId="77777777" w:rsidR="00951A61" w:rsidRPr="002201DF" w:rsidRDefault="00951A61" w:rsidP="00951A61">
      <w:pPr>
        <w:jc w:val="center"/>
        <w:rPr>
          <w:rFonts w:ascii="Tahoma" w:hAnsi="Tahoma" w:cs="Tahoma"/>
          <w:b/>
          <w:noProof/>
          <w:sz w:val="20"/>
          <w:szCs w:val="20"/>
        </w:rPr>
      </w:pPr>
    </w:p>
    <w:p w14:paraId="17C5AB39" w14:textId="77777777" w:rsidR="00951A61" w:rsidRPr="002201DF" w:rsidRDefault="00951A61" w:rsidP="00951A61">
      <w:pPr>
        <w:jc w:val="center"/>
        <w:rPr>
          <w:rFonts w:ascii="Tahoma" w:hAnsi="Tahoma" w:cs="Tahoma"/>
          <w:b/>
          <w:noProof/>
          <w:sz w:val="20"/>
          <w:szCs w:val="20"/>
        </w:rPr>
      </w:pPr>
    </w:p>
    <w:p w14:paraId="15467730" w14:textId="77777777" w:rsidR="00951A61" w:rsidRPr="002201DF" w:rsidRDefault="00951A61" w:rsidP="00951A61">
      <w:pPr>
        <w:jc w:val="center"/>
        <w:rPr>
          <w:rFonts w:ascii="Tahoma" w:hAnsi="Tahoma" w:cs="Tahoma"/>
          <w:b/>
          <w:noProof/>
          <w:sz w:val="20"/>
          <w:szCs w:val="20"/>
        </w:rPr>
      </w:pPr>
    </w:p>
    <w:p w14:paraId="4B5718DF" w14:textId="77777777" w:rsidR="00951A61" w:rsidRDefault="00951A61" w:rsidP="00951A61">
      <w:pPr>
        <w:jc w:val="center"/>
        <w:rPr>
          <w:rFonts w:ascii="Tahoma" w:hAnsi="Tahoma" w:cs="Tahoma"/>
          <w:b/>
          <w:noProof/>
          <w:sz w:val="20"/>
          <w:szCs w:val="20"/>
        </w:rPr>
      </w:pPr>
    </w:p>
    <w:p w14:paraId="6761F1D6" w14:textId="77777777" w:rsidR="00951A61" w:rsidRDefault="00951A61" w:rsidP="00951A61">
      <w:pPr>
        <w:jc w:val="center"/>
        <w:rPr>
          <w:rFonts w:ascii="Tahoma" w:hAnsi="Tahoma" w:cs="Tahoma"/>
          <w:b/>
          <w:noProof/>
          <w:sz w:val="20"/>
          <w:szCs w:val="20"/>
        </w:rPr>
      </w:pPr>
    </w:p>
    <w:p w14:paraId="33877BE1" w14:textId="77777777" w:rsidR="00951A61" w:rsidRDefault="00951A61" w:rsidP="00951A61">
      <w:pPr>
        <w:jc w:val="center"/>
        <w:rPr>
          <w:rFonts w:ascii="Tahoma" w:hAnsi="Tahoma" w:cs="Tahoma"/>
          <w:b/>
          <w:noProof/>
          <w:sz w:val="20"/>
          <w:szCs w:val="20"/>
        </w:rPr>
      </w:pPr>
    </w:p>
    <w:p w14:paraId="6FA8381C" w14:textId="77777777" w:rsidR="00951A61" w:rsidRDefault="00951A61" w:rsidP="00951A61">
      <w:pPr>
        <w:jc w:val="center"/>
        <w:rPr>
          <w:rFonts w:ascii="Tahoma" w:hAnsi="Tahoma" w:cs="Tahoma"/>
          <w:b/>
          <w:noProof/>
          <w:sz w:val="20"/>
          <w:szCs w:val="20"/>
        </w:rPr>
      </w:pPr>
    </w:p>
    <w:p w14:paraId="1DF3C782" w14:textId="77777777" w:rsidR="00951A61" w:rsidRPr="00B50DE9" w:rsidRDefault="00951A61" w:rsidP="00951A61">
      <w:pPr>
        <w:pageBreakBefore/>
        <w:jc w:val="center"/>
        <w:rPr>
          <w:rFonts w:ascii="Tahoma" w:hAnsi="Tahoma" w:cs="Tahoma"/>
          <w:b/>
          <w:noProof/>
          <w:sz w:val="20"/>
          <w:szCs w:val="20"/>
        </w:rPr>
      </w:pPr>
    </w:p>
    <w:p w14:paraId="2C399773" w14:textId="77777777" w:rsidR="00951A61" w:rsidRPr="00B50DE9" w:rsidRDefault="00951A61" w:rsidP="00951A61">
      <w:pPr>
        <w:jc w:val="center"/>
        <w:rPr>
          <w:rFonts w:ascii="Tahoma" w:hAnsi="Tahoma" w:cs="Tahoma"/>
          <w:b/>
          <w:noProof/>
          <w:sz w:val="20"/>
          <w:szCs w:val="20"/>
        </w:rPr>
      </w:pPr>
    </w:p>
    <w:tbl>
      <w:tblPr>
        <w:tblpPr w:leftFromText="180" w:rightFromText="180" w:vertAnchor="text" w:horzAnchor="margin" w:tblpY="-120"/>
        <w:tblW w:w="15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52"/>
      </w:tblGrid>
      <w:tr w:rsidR="00951A61" w:rsidRPr="00BC7209" w14:paraId="524D35CB" w14:textId="77777777" w:rsidTr="00A4032F">
        <w:trPr>
          <w:trHeight w:val="227"/>
        </w:trPr>
        <w:tc>
          <w:tcPr>
            <w:tcW w:w="15652" w:type="dxa"/>
            <w:tcBorders>
              <w:top w:val="single" w:sz="4" w:space="0" w:color="auto"/>
              <w:left w:val="single" w:sz="4" w:space="0" w:color="auto"/>
              <w:bottom w:val="single" w:sz="4" w:space="0" w:color="auto"/>
              <w:right w:val="single" w:sz="4" w:space="0" w:color="auto"/>
            </w:tcBorders>
            <w:shd w:val="clear" w:color="auto" w:fill="E36C0A"/>
            <w:hideMark/>
          </w:tcPr>
          <w:p w14:paraId="3873ECB9" w14:textId="6C9DB03E" w:rsidR="00951A61" w:rsidRPr="00BC7209" w:rsidRDefault="000B3718" w:rsidP="000B3718">
            <w:pPr>
              <w:pStyle w:val="a5"/>
              <w:rPr>
                <w:rFonts w:eastAsia="Calibri"/>
                <w:szCs w:val="22"/>
              </w:rPr>
            </w:pPr>
            <w:r>
              <w:rPr>
                <w:noProof/>
              </w:rPr>
              <w:t xml:space="preserve">2.3.7 </w:t>
            </w:r>
            <w:r w:rsidR="00951A61">
              <w:rPr>
                <w:noProof/>
              </w:rPr>
              <w:t>Тарифный план</w:t>
            </w:r>
            <w:r w:rsidR="00951A61" w:rsidRPr="00BC7209">
              <w:rPr>
                <w:noProof/>
              </w:rPr>
              <w:t xml:space="preserve"> «</w:t>
            </w:r>
            <w:r w:rsidR="00951A61">
              <w:rPr>
                <w:noProof/>
              </w:rPr>
              <w:t>Нецелевой</w:t>
            </w:r>
            <w:r w:rsidR="00951A61" w:rsidRPr="00BC7209">
              <w:rPr>
                <w:noProof/>
              </w:rPr>
              <w:t>»</w:t>
            </w:r>
          </w:p>
        </w:tc>
      </w:tr>
    </w:tbl>
    <w:p w14:paraId="77159C9C" w14:textId="77777777" w:rsidR="00951A61" w:rsidRDefault="00951A61" w:rsidP="00951A61">
      <w:pPr>
        <w:jc w:val="center"/>
        <w:rPr>
          <w:rFonts w:ascii="Tahoma" w:hAnsi="Tahoma" w:cs="Tahoma"/>
          <w:b/>
          <w:noProof/>
          <w:sz w:val="20"/>
          <w:szCs w:val="20"/>
          <w:lang w:val="en-US"/>
        </w:rPr>
      </w:pPr>
    </w:p>
    <w:p w14:paraId="13261425" w14:textId="77777777" w:rsidR="00951A61" w:rsidRPr="00F77EED" w:rsidRDefault="00951A61" w:rsidP="00951A61">
      <w:pPr>
        <w:jc w:val="center"/>
        <w:rPr>
          <w:rFonts w:ascii="Tahoma" w:hAnsi="Tahoma" w:cs="Tahoma"/>
          <w:b/>
          <w:noProof/>
          <w:sz w:val="20"/>
          <w:szCs w:val="20"/>
        </w:rPr>
      </w:pPr>
      <w:r w:rsidRPr="00F77EED">
        <w:rPr>
          <w:rFonts w:ascii="Tahoma" w:hAnsi="Tahoma" w:cs="Tahoma"/>
          <w:b/>
          <w:noProof/>
          <w:sz w:val="20"/>
          <w:szCs w:val="20"/>
        </w:rPr>
        <w:t xml:space="preserve">ИНФОРМАЦИЯ ОБ УСЛОВИЯХ ПРЕДОСТАВЛЕНИЯ, ИСПОЛЬЗОВАНИЯ И ВОЗВРАТА ИПОТЕЧНОГО КРЕДИТА </w:t>
      </w:r>
    </w:p>
    <w:p w14:paraId="36DF9281" w14:textId="77777777" w:rsidR="00951A61" w:rsidRPr="00F77EED" w:rsidRDefault="00951A61" w:rsidP="00951A61">
      <w:pPr>
        <w:jc w:val="center"/>
        <w:rPr>
          <w:rFonts w:ascii="Tahoma" w:hAnsi="Tahoma" w:cs="Tahoma"/>
          <w:b/>
          <w:noProof/>
          <w:sz w:val="20"/>
          <w:szCs w:val="20"/>
        </w:rPr>
      </w:pPr>
      <w:r w:rsidRPr="00F77EED">
        <w:rPr>
          <w:rFonts w:ascii="Tahoma" w:hAnsi="Tahoma" w:cs="Tahoma"/>
          <w:b/>
          <w:noProof/>
        </w:rPr>
        <w:t xml:space="preserve"> </w:t>
      </w:r>
      <w:r w:rsidRPr="00F77EED">
        <w:rPr>
          <w:rFonts w:ascii="Tahoma" w:hAnsi="Tahoma" w:cs="Tahoma"/>
          <w:b/>
          <w:noProof/>
          <w:sz w:val="20"/>
          <w:szCs w:val="20"/>
        </w:rPr>
        <w:t>ПО ТАРИФНОМУ ПЛАНУ «</w:t>
      </w:r>
      <w:r>
        <w:rPr>
          <w:rFonts w:ascii="Tahoma" w:hAnsi="Tahoma" w:cs="Tahoma"/>
          <w:b/>
          <w:noProof/>
          <w:sz w:val="20"/>
          <w:szCs w:val="20"/>
        </w:rPr>
        <w:t>НЕЦЕЛЕВОЙ</w:t>
      </w:r>
      <w:r w:rsidRPr="00F77EED">
        <w:rPr>
          <w:rFonts w:ascii="Tahoma" w:hAnsi="Tahoma" w:cs="Tahoma"/>
          <w:b/>
          <w:noProof/>
          <w:sz w:val="20"/>
          <w:szCs w:val="20"/>
        </w:rPr>
        <w:t>»</w:t>
      </w:r>
    </w:p>
    <w:p w14:paraId="3A042825" w14:textId="77777777" w:rsidR="00951A61" w:rsidRPr="00F77EED" w:rsidRDefault="00951A61" w:rsidP="00951A61">
      <w:pPr>
        <w:jc w:val="center"/>
        <w:rPr>
          <w:rFonts w:ascii="Tahoma" w:hAnsi="Tahoma" w:cs="Tahoma"/>
          <w:b/>
          <w:bCs/>
          <w:caps/>
          <w:sz w:val="20"/>
          <w:szCs w:val="20"/>
        </w:rPr>
      </w:pPr>
    </w:p>
    <w:p w14:paraId="4C84DFA5" w14:textId="77777777" w:rsidR="00951A61" w:rsidRPr="00786DE5" w:rsidRDefault="00951A61" w:rsidP="00B460F9">
      <w:pPr>
        <w:pStyle w:val="affe"/>
        <w:numPr>
          <w:ilvl w:val="0"/>
          <w:numId w:val="184"/>
        </w:numPr>
        <w:tabs>
          <w:tab w:val="left" w:pos="851"/>
        </w:tabs>
        <w:ind w:left="0" w:firstLine="426"/>
        <w:contextualSpacing/>
        <w:jc w:val="both"/>
        <w:rPr>
          <w:rFonts w:ascii="Tahoma" w:hAnsi="Tahoma" w:cs="Tahoma"/>
          <w:noProof/>
          <w:sz w:val="20"/>
          <w:szCs w:val="20"/>
        </w:rPr>
      </w:pPr>
      <w:r w:rsidRPr="00786DE5">
        <w:rPr>
          <w:rFonts w:ascii="Tahoma" w:hAnsi="Tahoma" w:cs="Tahoma"/>
          <w:b/>
          <w:bCs/>
          <w:caps/>
          <w:sz w:val="20"/>
          <w:szCs w:val="20"/>
        </w:rPr>
        <w:t>ОСНОВНЫЕ ПОНЯТИЯ, ИСПОЛЬЗУЕМЫЕ ТЕРМИНЫ и сокращения</w:t>
      </w:r>
    </w:p>
    <w:p w14:paraId="20848C5E" w14:textId="77777777" w:rsidR="00951A61" w:rsidRPr="00786DE5" w:rsidRDefault="00951A61" w:rsidP="00951A61">
      <w:pPr>
        <w:rPr>
          <w:rFonts w:ascii="Tahoma" w:hAnsi="Tahoma" w:cs="Tahoma"/>
          <w:noProof/>
          <w:sz w:val="20"/>
          <w:szCs w:val="20"/>
        </w:rPr>
      </w:pPr>
    </w:p>
    <w:tbl>
      <w:tblPr>
        <w:tblW w:w="498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7"/>
        <w:gridCol w:w="11541"/>
      </w:tblGrid>
      <w:tr w:rsidR="00951A61" w:rsidRPr="00786DE5" w14:paraId="6AF8E152" w14:textId="77777777" w:rsidTr="00A4032F">
        <w:tc>
          <w:tcPr>
            <w:tcW w:w="1310" w:type="pct"/>
            <w:vAlign w:val="center"/>
          </w:tcPr>
          <w:p w14:paraId="1809BA4F" w14:textId="77777777" w:rsidR="00951A61" w:rsidRPr="00786DE5" w:rsidRDefault="00951A61" w:rsidP="00A4032F">
            <w:pPr>
              <w:tabs>
                <w:tab w:val="left" w:pos="851"/>
              </w:tabs>
              <w:jc w:val="center"/>
              <w:rPr>
                <w:rFonts w:ascii="Tahoma" w:hAnsi="Tahoma" w:cs="Tahoma"/>
                <w:sz w:val="20"/>
                <w:szCs w:val="20"/>
              </w:rPr>
            </w:pPr>
            <w:r w:rsidRPr="00786DE5">
              <w:rPr>
                <w:rFonts w:ascii="Tahoma" w:hAnsi="Tahoma" w:cs="Tahoma"/>
                <w:sz w:val="20"/>
                <w:szCs w:val="20"/>
              </w:rPr>
              <w:t>Апартаменты</w:t>
            </w:r>
          </w:p>
        </w:tc>
        <w:tc>
          <w:tcPr>
            <w:tcW w:w="3690" w:type="pct"/>
          </w:tcPr>
          <w:p w14:paraId="483D191A" w14:textId="77777777" w:rsidR="00951A61" w:rsidRPr="000E311F" w:rsidRDefault="00951A61" w:rsidP="00A4032F">
            <w:pPr>
              <w:tabs>
                <w:tab w:val="left" w:pos="851"/>
              </w:tabs>
              <w:ind w:firstLine="425"/>
              <w:jc w:val="both"/>
              <w:rPr>
                <w:rFonts w:ascii="Tahoma" w:hAnsi="Tahoma" w:cs="Tahoma"/>
                <w:sz w:val="20"/>
                <w:szCs w:val="20"/>
              </w:rPr>
            </w:pPr>
            <w:r w:rsidRPr="000E311F">
              <w:rPr>
                <w:rFonts w:ascii="Tahoma" w:hAnsi="Tahoma" w:cs="Tahoma"/>
                <w:sz w:val="20"/>
                <w:szCs w:val="20"/>
              </w:rPr>
              <w:t>Объект нежилой недвижимости, наделенный потребительскими свойствами объекта жилой недвижимости, в силу санитарных норм, установленных законодательством Российской Федерации, не предназначенный для постоянного проживания</w:t>
            </w:r>
          </w:p>
        </w:tc>
      </w:tr>
      <w:tr w:rsidR="00951A61" w:rsidRPr="00786DE5" w14:paraId="19D55F81" w14:textId="77777777" w:rsidTr="00A4032F">
        <w:tc>
          <w:tcPr>
            <w:tcW w:w="1310" w:type="pct"/>
          </w:tcPr>
          <w:p w14:paraId="68E8EFB0" w14:textId="77777777" w:rsidR="00951A61" w:rsidRPr="00786DE5" w:rsidRDefault="00951A61" w:rsidP="00A4032F">
            <w:pPr>
              <w:tabs>
                <w:tab w:val="left" w:pos="0"/>
                <w:tab w:val="left" w:pos="9072"/>
                <w:tab w:val="left" w:pos="10549"/>
              </w:tabs>
              <w:jc w:val="center"/>
              <w:rPr>
                <w:rFonts w:ascii="Tahoma" w:hAnsi="Tahoma" w:cs="Tahoma"/>
                <w:sz w:val="20"/>
                <w:szCs w:val="20"/>
              </w:rPr>
            </w:pPr>
            <w:r w:rsidRPr="00786DE5">
              <w:rPr>
                <w:rFonts w:ascii="Tahoma" w:hAnsi="Tahoma" w:cs="Tahoma"/>
                <w:sz w:val="20"/>
                <w:szCs w:val="20"/>
              </w:rPr>
              <w:t>Действительная стоимость Предмета ипотеки</w:t>
            </w:r>
          </w:p>
          <w:p w14:paraId="4B40182A" w14:textId="77777777" w:rsidR="00951A61" w:rsidRPr="00786DE5" w:rsidRDefault="00951A61" w:rsidP="00A4032F">
            <w:pPr>
              <w:tabs>
                <w:tab w:val="left" w:pos="851"/>
              </w:tabs>
              <w:jc w:val="center"/>
              <w:rPr>
                <w:rFonts w:ascii="Tahoma" w:hAnsi="Tahoma" w:cs="Tahoma"/>
                <w:sz w:val="20"/>
                <w:szCs w:val="20"/>
              </w:rPr>
            </w:pPr>
          </w:p>
        </w:tc>
        <w:tc>
          <w:tcPr>
            <w:tcW w:w="3690" w:type="pct"/>
          </w:tcPr>
          <w:p w14:paraId="74EBEC4E" w14:textId="77777777" w:rsidR="00951A61" w:rsidRPr="000E311F" w:rsidRDefault="00951A61" w:rsidP="00A4032F">
            <w:pPr>
              <w:tabs>
                <w:tab w:val="left" w:pos="851"/>
              </w:tabs>
              <w:ind w:firstLine="425"/>
              <w:jc w:val="both"/>
              <w:rPr>
                <w:rFonts w:ascii="Tahoma" w:hAnsi="Tahoma" w:cs="Tahoma"/>
                <w:sz w:val="20"/>
                <w:szCs w:val="20"/>
              </w:rPr>
            </w:pPr>
            <w:r w:rsidRPr="000E311F">
              <w:rPr>
                <w:rFonts w:ascii="Tahoma" w:hAnsi="Tahoma" w:cs="Tahoma"/>
                <w:sz w:val="20"/>
                <w:szCs w:val="20"/>
              </w:rPr>
              <w:t>Рыночная стоимость Предмета ипотеки, определяемая как наименьшая из трех величин: стоимость по Договору приобретения недвижимого имущества; рыночная стоимость согласно Отчету об оценке; рыночная стоимость Предмета ипотеки в соответствии с заключением ответственного подразделения Банка (при необходимости).</w:t>
            </w:r>
          </w:p>
        </w:tc>
      </w:tr>
      <w:tr w:rsidR="00951A61" w:rsidRPr="00CC155A" w14:paraId="324A10E8" w14:textId="77777777" w:rsidTr="00A4032F">
        <w:tc>
          <w:tcPr>
            <w:tcW w:w="1310" w:type="pct"/>
            <w:vAlign w:val="center"/>
          </w:tcPr>
          <w:p w14:paraId="29BD9262" w14:textId="77777777" w:rsidR="00951A61" w:rsidRPr="000531EA" w:rsidRDefault="00951A61" w:rsidP="00A4032F">
            <w:pPr>
              <w:tabs>
                <w:tab w:val="left" w:pos="851"/>
              </w:tabs>
              <w:jc w:val="center"/>
              <w:rPr>
                <w:rFonts w:ascii="Tahoma" w:hAnsi="Tahoma" w:cs="Tahoma"/>
                <w:sz w:val="20"/>
                <w:szCs w:val="20"/>
              </w:rPr>
            </w:pPr>
            <w:r w:rsidRPr="000531EA">
              <w:rPr>
                <w:rFonts w:ascii="Tahoma" w:hAnsi="Tahoma" w:cs="Tahoma"/>
                <w:sz w:val="20"/>
                <w:szCs w:val="20"/>
              </w:rPr>
              <w:t>Жилой дом</w:t>
            </w:r>
          </w:p>
        </w:tc>
        <w:tc>
          <w:tcPr>
            <w:tcW w:w="3690" w:type="pct"/>
            <w:vAlign w:val="center"/>
          </w:tcPr>
          <w:p w14:paraId="68A58E1E" w14:textId="77777777" w:rsidR="00951A61" w:rsidRPr="000E311F" w:rsidRDefault="00951A61" w:rsidP="00A4032F">
            <w:pPr>
              <w:tabs>
                <w:tab w:val="left" w:pos="851"/>
              </w:tabs>
              <w:ind w:firstLine="425"/>
              <w:jc w:val="both"/>
              <w:rPr>
                <w:rFonts w:ascii="Tahoma" w:hAnsi="Tahoma" w:cs="Tahoma"/>
                <w:sz w:val="20"/>
                <w:szCs w:val="20"/>
              </w:rPr>
            </w:pPr>
            <w:r w:rsidRPr="000E311F">
              <w:rPr>
                <w:rFonts w:ascii="Tahoma" w:hAnsi="Tahoma" w:cs="Tahoma"/>
                <w:sz w:val="20"/>
                <w:szCs w:val="20"/>
              </w:rPr>
              <w:t>Индивидуально-определенное здание, которое состоит из комнат, а также помещений вспомогательного использования,  пригодное для постоянного или временного проживания, имеющее отдельный вход.</w:t>
            </w:r>
          </w:p>
        </w:tc>
      </w:tr>
      <w:tr w:rsidR="00951A61" w:rsidRPr="00CC155A" w14:paraId="6EBDF350" w14:textId="77777777" w:rsidTr="00A4032F">
        <w:tc>
          <w:tcPr>
            <w:tcW w:w="1310" w:type="pct"/>
            <w:vAlign w:val="center"/>
          </w:tcPr>
          <w:p w14:paraId="5E775F5C" w14:textId="77777777" w:rsidR="00951A61" w:rsidRPr="00CC155A" w:rsidRDefault="00951A61" w:rsidP="00A4032F">
            <w:pPr>
              <w:tabs>
                <w:tab w:val="left" w:pos="851"/>
              </w:tabs>
              <w:jc w:val="center"/>
              <w:rPr>
                <w:rFonts w:ascii="Tahoma" w:hAnsi="Tahoma" w:cs="Tahoma"/>
                <w:sz w:val="20"/>
                <w:szCs w:val="20"/>
              </w:rPr>
            </w:pPr>
            <w:r w:rsidRPr="00CC155A">
              <w:rPr>
                <w:rFonts w:ascii="Tahoma" w:hAnsi="Tahoma" w:cs="Tahoma"/>
                <w:sz w:val="20"/>
                <w:szCs w:val="20"/>
              </w:rPr>
              <w:t xml:space="preserve">Заемщик/Созаемщик </w:t>
            </w:r>
          </w:p>
          <w:p w14:paraId="2492266A" w14:textId="77777777" w:rsidR="00951A61" w:rsidRPr="00CC155A" w:rsidRDefault="00951A61" w:rsidP="00A4032F">
            <w:pPr>
              <w:tabs>
                <w:tab w:val="left" w:pos="851"/>
              </w:tabs>
              <w:jc w:val="center"/>
              <w:rPr>
                <w:rFonts w:ascii="Tahoma" w:hAnsi="Tahoma" w:cs="Tahoma"/>
                <w:sz w:val="20"/>
                <w:szCs w:val="20"/>
              </w:rPr>
            </w:pPr>
            <w:r w:rsidRPr="00CC155A">
              <w:rPr>
                <w:rFonts w:ascii="Tahoma" w:hAnsi="Tahoma" w:cs="Tahoma"/>
                <w:sz w:val="20"/>
                <w:szCs w:val="20"/>
              </w:rPr>
              <w:t>(далее по тексту – Заемщик, если применимо для двух сторон)</w:t>
            </w:r>
          </w:p>
        </w:tc>
        <w:tc>
          <w:tcPr>
            <w:tcW w:w="3690" w:type="pct"/>
            <w:vAlign w:val="center"/>
          </w:tcPr>
          <w:p w14:paraId="15D869C2" w14:textId="77777777" w:rsidR="00951A61" w:rsidRPr="000E311F" w:rsidRDefault="00951A61" w:rsidP="00A4032F">
            <w:pPr>
              <w:tabs>
                <w:tab w:val="left" w:pos="851"/>
              </w:tabs>
              <w:ind w:firstLine="425"/>
              <w:jc w:val="both"/>
              <w:rPr>
                <w:rFonts w:ascii="Tahoma" w:hAnsi="Tahoma" w:cs="Tahoma"/>
                <w:sz w:val="20"/>
                <w:szCs w:val="20"/>
              </w:rPr>
            </w:pPr>
            <w:r w:rsidRPr="000E311F">
              <w:rPr>
                <w:rFonts w:ascii="Tahoma" w:hAnsi="Tahoma" w:cs="Tahoma"/>
                <w:sz w:val="20"/>
                <w:szCs w:val="20"/>
              </w:rPr>
              <w:t>Физическое лицо, обратившееся в Банк с Заявлением получить, получающее или получившее Ипотечный кредит/потребительский кредит/потребительский кредит (с лимитом кредитования) на основании заключения Кредитного договора/договора потребительского кредитования.</w:t>
            </w:r>
          </w:p>
          <w:p w14:paraId="2A5DE243" w14:textId="77777777" w:rsidR="00951A61" w:rsidRPr="000E311F" w:rsidRDefault="00951A61" w:rsidP="00A4032F">
            <w:pPr>
              <w:tabs>
                <w:tab w:val="left" w:pos="851"/>
              </w:tabs>
              <w:ind w:firstLine="425"/>
              <w:jc w:val="both"/>
              <w:rPr>
                <w:rFonts w:ascii="Tahoma" w:hAnsi="Tahoma" w:cs="Tahoma"/>
                <w:sz w:val="20"/>
                <w:szCs w:val="20"/>
              </w:rPr>
            </w:pPr>
            <w:r w:rsidRPr="000E311F">
              <w:rPr>
                <w:rFonts w:ascii="Tahoma" w:hAnsi="Tahoma" w:cs="Tahoma"/>
                <w:sz w:val="20"/>
                <w:szCs w:val="20"/>
              </w:rPr>
              <w:t>Созаемщик – лицо, совместно с Заемщиком обратившееся в Банк с Заявлением получить, получающее или получившее Ипотечный кредит по Кредитному договору. Созаемщик имеет равные права и обязанности с Заемщиком, в том числе несет солидарную ответственность перед Банком по погашению. Его доходы также, как и доходы Заемщика, могут быть учтены для расчета максимально возможной суммы кредита.</w:t>
            </w:r>
          </w:p>
        </w:tc>
      </w:tr>
      <w:tr w:rsidR="00951A61" w:rsidRPr="00CC155A" w14:paraId="382A94F8" w14:textId="77777777" w:rsidTr="00A4032F">
        <w:tc>
          <w:tcPr>
            <w:tcW w:w="1310" w:type="pct"/>
            <w:vAlign w:val="center"/>
          </w:tcPr>
          <w:p w14:paraId="082C2F24" w14:textId="77777777" w:rsidR="00951A61" w:rsidRPr="006807B9" w:rsidRDefault="00951A61" w:rsidP="00A4032F">
            <w:pPr>
              <w:tabs>
                <w:tab w:val="left" w:pos="851"/>
              </w:tabs>
              <w:jc w:val="center"/>
              <w:rPr>
                <w:rFonts w:ascii="Tahoma" w:hAnsi="Tahoma" w:cs="Tahoma"/>
                <w:sz w:val="20"/>
                <w:szCs w:val="20"/>
              </w:rPr>
            </w:pPr>
            <w:r w:rsidRPr="003D6C0E">
              <w:rPr>
                <w:rFonts w:ascii="Tahoma" w:hAnsi="Tahoma" w:cs="Tahoma"/>
                <w:sz w:val="20"/>
                <w:szCs w:val="20"/>
              </w:rPr>
              <w:t>Заемщик с официально подтвержденным доходом</w:t>
            </w:r>
          </w:p>
        </w:tc>
        <w:tc>
          <w:tcPr>
            <w:tcW w:w="3690" w:type="pct"/>
            <w:vAlign w:val="center"/>
          </w:tcPr>
          <w:p w14:paraId="22191AEC" w14:textId="77777777" w:rsidR="00951A61" w:rsidRPr="000E311F" w:rsidRDefault="00951A61" w:rsidP="00A4032F">
            <w:pPr>
              <w:tabs>
                <w:tab w:val="left" w:pos="851"/>
              </w:tabs>
              <w:ind w:firstLine="425"/>
              <w:jc w:val="both"/>
              <w:rPr>
                <w:rFonts w:ascii="Tahoma" w:hAnsi="Tahoma" w:cs="Tahoma"/>
                <w:sz w:val="20"/>
                <w:szCs w:val="20"/>
              </w:rPr>
            </w:pPr>
            <w:r w:rsidRPr="000E311F">
              <w:rPr>
                <w:rFonts w:ascii="Tahoma" w:hAnsi="Tahoma" w:cs="Tahoma"/>
                <w:sz w:val="20"/>
                <w:szCs w:val="20"/>
              </w:rPr>
              <w:t>Клиент Банка, подтверждающий всю сумму дохода и занятость выпиской из Социального фонда России или подтверждающий всю сумму дохода одним или несколькими вариантами: выписка со счета, на который поступают зарплатные зачисления от работодателя Заемщика и по которой однозначно можно идентифицировать назначение начисления - «заработная плата/ денежное довольствие/ вознаграждение» и/или выписка со счета стороннего банка, на который поступают пенсионные зачисления и/или справка о пенсионных выплатах органа, выплачивающего пенсию.</w:t>
            </w:r>
          </w:p>
        </w:tc>
      </w:tr>
      <w:tr w:rsidR="00951A61" w:rsidRPr="00CC155A" w14:paraId="60AC3BB5" w14:textId="77777777" w:rsidTr="00A4032F">
        <w:tc>
          <w:tcPr>
            <w:tcW w:w="1310" w:type="pct"/>
          </w:tcPr>
          <w:p w14:paraId="54A1C1A3" w14:textId="77777777" w:rsidR="00951A61" w:rsidRPr="00CC155A" w:rsidRDefault="00951A61" w:rsidP="00A4032F">
            <w:pPr>
              <w:tabs>
                <w:tab w:val="left" w:pos="851"/>
              </w:tabs>
              <w:jc w:val="center"/>
              <w:rPr>
                <w:rFonts w:ascii="Tahoma" w:hAnsi="Tahoma" w:cs="Tahoma"/>
                <w:sz w:val="20"/>
                <w:szCs w:val="20"/>
              </w:rPr>
            </w:pPr>
            <w:r w:rsidRPr="00CC155A">
              <w:rPr>
                <w:rFonts w:ascii="Tahoma" w:hAnsi="Tahoma" w:cs="Tahoma"/>
                <w:sz w:val="20"/>
                <w:szCs w:val="20"/>
              </w:rPr>
              <w:t>Зарплатные клиенты Банка</w:t>
            </w:r>
          </w:p>
        </w:tc>
        <w:tc>
          <w:tcPr>
            <w:tcW w:w="3690" w:type="pct"/>
          </w:tcPr>
          <w:p w14:paraId="5C8E785C" w14:textId="77777777" w:rsidR="00951A61" w:rsidRPr="000E311F" w:rsidRDefault="00951A61" w:rsidP="00A4032F">
            <w:pPr>
              <w:tabs>
                <w:tab w:val="left" w:pos="851"/>
              </w:tabs>
              <w:ind w:firstLine="425"/>
              <w:jc w:val="both"/>
              <w:rPr>
                <w:rFonts w:ascii="Tahoma" w:hAnsi="Tahoma" w:cs="Tahoma"/>
                <w:sz w:val="20"/>
                <w:szCs w:val="20"/>
              </w:rPr>
            </w:pPr>
            <w:r w:rsidRPr="000E311F">
              <w:rPr>
                <w:rFonts w:ascii="Tahoma" w:hAnsi="Tahoma" w:cs="Tahoma"/>
                <w:sz w:val="20"/>
                <w:szCs w:val="20"/>
              </w:rPr>
              <w:t>Клиент Банка, получающий заработную плату на Счет, открытый в «Азиатско-Тихоокеанский Банк» (АО)</w:t>
            </w:r>
          </w:p>
        </w:tc>
      </w:tr>
      <w:tr w:rsidR="00951A61" w:rsidRPr="00CC155A" w14:paraId="57D99D20" w14:textId="77777777" w:rsidTr="00A4032F">
        <w:tc>
          <w:tcPr>
            <w:tcW w:w="1310" w:type="pct"/>
            <w:vAlign w:val="center"/>
          </w:tcPr>
          <w:p w14:paraId="4A7B8A3C" w14:textId="77777777" w:rsidR="00951A61" w:rsidRPr="00CC155A" w:rsidRDefault="00951A61" w:rsidP="00A4032F">
            <w:pPr>
              <w:tabs>
                <w:tab w:val="left" w:pos="851"/>
              </w:tabs>
              <w:jc w:val="center"/>
              <w:rPr>
                <w:rFonts w:ascii="Tahoma" w:hAnsi="Tahoma" w:cs="Tahoma"/>
                <w:sz w:val="20"/>
                <w:szCs w:val="20"/>
              </w:rPr>
            </w:pPr>
            <w:r w:rsidRPr="00CC155A">
              <w:rPr>
                <w:rFonts w:ascii="Tahoma" w:hAnsi="Tahoma" w:cs="Tahoma"/>
                <w:sz w:val="20"/>
                <w:szCs w:val="20"/>
              </w:rPr>
              <w:t>Земельный участок</w:t>
            </w:r>
          </w:p>
        </w:tc>
        <w:tc>
          <w:tcPr>
            <w:tcW w:w="3690" w:type="pct"/>
            <w:vAlign w:val="center"/>
          </w:tcPr>
          <w:p w14:paraId="007306D4" w14:textId="77777777" w:rsidR="00951A61" w:rsidRPr="000E311F" w:rsidRDefault="00951A61" w:rsidP="00A4032F">
            <w:pPr>
              <w:tabs>
                <w:tab w:val="left" w:pos="851"/>
              </w:tabs>
              <w:ind w:firstLine="425"/>
              <w:jc w:val="both"/>
              <w:rPr>
                <w:rFonts w:ascii="Tahoma" w:hAnsi="Tahoma" w:cs="Tahoma"/>
                <w:sz w:val="20"/>
                <w:szCs w:val="20"/>
              </w:rPr>
            </w:pPr>
            <w:r w:rsidRPr="000E311F">
              <w:rPr>
                <w:rFonts w:ascii="Tahoma" w:hAnsi="Tahoma" w:cs="Tahoma"/>
                <w:sz w:val="20"/>
                <w:szCs w:val="20"/>
              </w:rPr>
              <w:t>Участок земли, на котором находится Жилой дом, границы которого и право собственности на который оформлены в установленном российским законодательством порядке</w:t>
            </w:r>
          </w:p>
        </w:tc>
      </w:tr>
      <w:tr w:rsidR="00951A61" w:rsidRPr="00CC155A" w14:paraId="1ECE8EEE" w14:textId="77777777" w:rsidTr="00A4032F">
        <w:tc>
          <w:tcPr>
            <w:tcW w:w="1310" w:type="pct"/>
            <w:vAlign w:val="center"/>
          </w:tcPr>
          <w:p w14:paraId="526DB19D" w14:textId="77777777" w:rsidR="00951A61" w:rsidRPr="00CC155A" w:rsidRDefault="00951A61" w:rsidP="00A4032F">
            <w:pPr>
              <w:tabs>
                <w:tab w:val="left" w:pos="851"/>
              </w:tabs>
              <w:jc w:val="center"/>
              <w:rPr>
                <w:rFonts w:ascii="Tahoma" w:hAnsi="Tahoma" w:cs="Tahoma"/>
                <w:sz w:val="20"/>
                <w:szCs w:val="20"/>
              </w:rPr>
            </w:pPr>
            <w:r w:rsidRPr="00CC155A">
              <w:rPr>
                <w:rFonts w:ascii="Tahoma" w:hAnsi="Tahoma" w:cs="Tahoma"/>
                <w:sz w:val="20"/>
                <w:szCs w:val="20"/>
              </w:rPr>
              <w:t>Коммерческая недвижимость</w:t>
            </w:r>
          </w:p>
        </w:tc>
        <w:tc>
          <w:tcPr>
            <w:tcW w:w="3690" w:type="pct"/>
            <w:vAlign w:val="center"/>
          </w:tcPr>
          <w:p w14:paraId="5543A2EF" w14:textId="77777777" w:rsidR="00951A61" w:rsidRPr="000E311F" w:rsidRDefault="00951A61" w:rsidP="00A4032F">
            <w:pPr>
              <w:tabs>
                <w:tab w:val="left" w:pos="851"/>
              </w:tabs>
              <w:ind w:firstLine="425"/>
              <w:jc w:val="both"/>
              <w:rPr>
                <w:rFonts w:ascii="Tahoma" w:hAnsi="Tahoma" w:cs="Tahoma"/>
                <w:sz w:val="20"/>
                <w:szCs w:val="20"/>
              </w:rPr>
            </w:pPr>
            <w:r w:rsidRPr="000E311F">
              <w:rPr>
                <w:rFonts w:ascii="Tahoma" w:hAnsi="Tahoma" w:cs="Tahoma"/>
                <w:sz w:val="20"/>
                <w:szCs w:val="20"/>
              </w:rPr>
              <w:t>Помещения, которые используются для коммерческой деятельности с целью получения прибыли.</w:t>
            </w:r>
          </w:p>
        </w:tc>
      </w:tr>
      <w:tr w:rsidR="00951A61" w:rsidRPr="00CC155A" w14:paraId="5BCF8ED9" w14:textId="77777777" w:rsidTr="00A4032F">
        <w:tc>
          <w:tcPr>
            <w:tcW w:w="1310" w:type="pct"/>
          </w:tcPr>
          <w:p w14:paraId="754E0DB6" w14:textId="77777777" w:rsidR="00951A61" w:rsidRPr="00CC155A" w:rsidRDefault="00951A61" w:rsidP="00A4032F">
            <w:pPr>
              <w:tabs>
                <w:tab w:val="left" w:pos="851"/>
              </w:tabs>
              <w:jc w:val="center"/>
              <w:rPr>
                <w:rFonts w:ascii="Tahoma" w:hAnsi="Tahoma" w:cs="Tahoma"/>
                <w:sz w:val="20"/>
                <w:szCs w:val="20"/>
              </w:rPr>
            </w:pPr>
            <w:r w:rsidRPr="00CC155A">
              <w:rPr>
                <w:rFonts w:ascii="Tahoma" w:hAnsi="Tahoma" w:cs="Tahoma"/>
                <w:sz w:val="20"/>
                <w:szCs w:val="20"/>
              </w:rPr>
              <w:t xml:space="preserve">Кредит </w:t>
            </w:r>
          </w:p>
        </w:tc>
        <w:tc>
          <w:tcPr>
            <w:tcW w:w="3690" w:type="pct"/>
          </w:tcPr>
          <w:p w14:paraId="4E70E35F" w14:textId="77777777" w:rsidR="00951A61" w:rsidRPr="000E311F" w:rsidRDefault="00951A61" w:rsidP="00A4032F">
            <w:pPr>
              <w:tabs>
                <w:tab w:val="left" w:pos="851"/>
              </w:tabs>
              <w:ind w:firstLine="425"/>
              <w:jc w:val="both"/>
              <w:rPr>
                <w:rFonts w:ascii="Tahoma" w:hAnsi="Tahoma" w:cs="Tahoma"/>
                <w:sz w:val="20"/>
                <w:szCs w:val="20"/>
              </w:rPr>
            </w:pPr>
            <w:r w:rsidRPr="000E311F">
              <w:rPr>
                <w:rFonts w:ascii="Tahoma" w:hAnsi="Tahoma" w:cs="Tahoma"/>
                <w:sz w:val="20"/>
                <w:szCs w:val="20"/>
              </w:rPr>
              <w:t>Денежные средства, предоставляемые Банком Заемщику на основе возвратности, платности, срочности и обеспеченности в размере и на условиях, предусмотренных Кредитным договором</w:t>
            </w:r>
          </w:p>
        </w:tc>
      </w:tr>
      <w:tr w:rsidR="00951A61" w:rsidRPr="00CC155A" w14:paraId="42CD926A" w14:textId="77777777" w:rsidTr="00A4032F">
        <w:tc>
          <w:tcPr>
            <w:tcW w:w="1310" w:type="pct"/>
            <w:vAlign w:val="center"/>
          </w:tcPr>
          <w:p w14:paraId="44A804C8" w14:textId="77777777" w:rsidR="00951A61" w:rsidRPr="00CC155A" w:rsidRDefault="00951A61" w:rsidP="00A4032F">
            <w:pPr>
              <w:tabs>
                <w:tab w:val="left" w:pos="851"/>
              </w:tabs>
              <w:jc w:val="center"/>
              <w:rPr>
                <w:rFonts w:ascii="Tahoma" w:hAnsi="Tahoma" w:cs="Tahoma"/>
                <w:sz w:val="20"/>
                <w:szCs w:val="20"/>
              </w:rPr>
            </w:pPr>
            <w:r w:rsidRPr="003D6C0E">
              <w:rPr>
                <w:rFonts w:ascii="Tahoma" w:hAnsi="Tahoma" w:cs="Tahoma"/>
                <w:sz w:val="20"/>
                <w:szCs w:val="20"/>
              </w:rPr>
              <w:t>Кредитный договор</w:t>
            </w:r>
          </w:p>
        </w:tc>
        <w:tc>
          <w:tcPr>
            <w:tcW w:w="3690" w:type="pct"/>
            <w:vAlign w:val="center"/>
          </w:tcPr>
          <w:p w14:paraId="7CCC4059" w14:textId="77777777" w:rsidR="00951A61" w:rsidRPr="000E311F" w:rsidRDefault="00951A61" w:rsidP="00A4032F">
            <w:pPr>
              <w:tabs>
                <w:tab w:val="left" w:pos="851"/>
              </w:tabs>
              <w:ind w:firstLine="425"/>
              <w:jc w:val="both"/>
              <w:rPr>
                <w:rFonts w:ascii="Tahoma" w:hAnsi="Tahoma" w:cs="Tahoma"/>
                <w:sz w:val="20"/>
                <w:szCs w:val="20"/>
              </w:rPr>
            </w:pPr>
            <w:r w:rsidRPr="000E311F">
              <w:rPr>
                <w:rFonts w:ascii="Tahoma" w:hAnsi="Tahoma" w:cs="Tahoma"/>
                <w:sz w:val="20"/>
                <w:szCs w:val="20"/>
              </w:rPr>
              <w:t>Договор потребительского кредита, который заключен между Банком и физическим лицом в целях, не связанных с осуществлением физическим лицом (Заемщиком) предпринимательской деятельности, и обязательства Заемщика по которым обеспечены ипотекой</w:t>
            </w:r>
          </w:p>
        </w:tc>
      </w:tr>
      <w:tr w:rsidR="00951A61" w:rsidRPr="00CC155A" w14:paraId="0B51F921" w14:textId="77777777" w:rsidTr="00A4032F">
        <w:tc>
          <w:tcPr>
            <w:tcW w:w="1310" w:type="pct"/>
            <w:vAlign w:val="center"/>
          </w:tcPr>
          <w:p w14:paraId="6376BE8D" w14:textId="77777777" w:rsidR="00951A61" w:rsidRPr="00CC155A" w:rsidRDefault="00951A61" w:rsidP="00A4032F">
            <w:pPr>
              <w:tabs>
                <w:tab w:val="left" w:pos="851"/>
              </w:tabs>
              <w:jc w:val="center"/>
              <w:rPr>
                <w:rFonts w:ascii="Tahoma" w:hAnsi="Tahoma" w:cs="Tahoma"/>
                <w:bCs/>
                <w:iCs/>
                <w:sz w:val="20"/>
                <w:szCs w:val="20"/>
              </w:rPr>
            </w:pPr>
            <w:r w:rsidRPr="00CC155A">
              <w:rPr>
                <w:rFonts w:ascii="Tahoma" w:hAnsi="Tahoma" w:cs="Tahoma"/>
                <w:sz w:val="20"/>
                <w:szCs w:val="20"/>
              </w:rPr>
              <w:lastRenderedPageBreak/>
              <w:t>Наименование кредитора (Банка), место нахождения постоянно действующего исполнительного органа, контактный телефон, по которому осуществляется связь с Банком, официальный сайт, номер лицензии на осуществление банковских операций.</w:t>
            </w:r>
          </w:p>
        </w:tc>
        <w:tc>
          <w:tcPr>
            <w:tcW w:w="3690" w:type="pct"/>
            <w:vAlign w:val="center"/>
          </w:tcPr>
          <w:p w14:paraId="5D792374" w14:textId="77777777" w:rsidR="00951A61" w:rsidRPr="000E311F" w:rsidRDefault="00951A61" w:rsidP="00A4032F">
            <w:pPr>
              <w:tabs>
                <w:tab w:val="left" w:pos="851"/>
              </w:tabs>
              <w:ind w:firstLine="425"/>
              <w:jc w:val="both"/>
              <w:rPr>
                <w:rFonts w:ascii="Tahoma" w:hAnsi="Tahoma" w:cs="Tahoma"/>
                <w:bCs/>
                <w:iCs/>
                <w:sz w:val="20"/>
                <w:szCs w:val="20"/>
              </w:rPr>
            </w:pPr>
            <w:r w:rsidRPr="000E311F">
              <w:rPr>
                <w:rFonts w:ascii="Tahoma" w:hAnsi="Tahoma" w:cs="Tahoma"/>
                <w:sz w:val="20"/>
                <w:szCs w:val="20"/>
              </w:rPr>
              <w:t xml:space="preserve">«Азиатско-Тихоокеанский Банк» (Акционерное общество), по тексту - Банк. Универсальная лицензия ЦБ РФ № 1810, ОГРН: 1022800000079, ИНН: 2801023444, БИК: 041012765, кор. счет №: 30101810300000000765 в Отделении Благовещенск. Местонахождение Банка и место нахождения его постоянно действующего исполнительного органа: 675004, Амурская область, г. Благовещенск, ул. Амурская, дом 225. Контактный тел.: 8 800 775 8888 (звонок по России бесплатный). Сайт Банка в сети Интернет: </w:t>
            </w:r>
            <w:hyperlink r:id="rId52" w:history="1">
              <w:r w:rsidRPr="000E311F">
                <w:rPr>
                  <w:rFonts w:ascii="Tahoma" w:hAnsi="Tahoma" w:cs="Tahoma"/>
                  <w:sz w:val="20"/>
                  <w:szCs w:val="20"/>
                </w:rPr>
                <w:t>www.atb.su</w:t>
              </w:r>
            </w:hyperlink>
            <w:r w:rsidRPr="000E311F">
              <w:rPr>
                <w:rFonts w:ascii="Tahoma" w:hAnsi="Tahoma" w:cs="Tahoma"/>
                <w:sz w:val="20"/>
                <w:szCs w:val="20"/>
              </w:rPr>
              <w:t>.</w:t>
            </w:r>
          </w:p>
        </w:tc>
      </w:tr>
      <w:tr w:rsidR="00951A61" w:rsidRPr="00CC155A" w14:paraId="2BEDC322" w14:textId="77777777" w:rsidTr="00A4032F">
        <w:tc>
          <w:tcPr>
            <w:tcW w:w="1310" w:type="pct"/>
            <w:vAlign w:val="center"/>
          </w:tcPr>
          <w:p w14:paraId="62CF0E40" w14:textId="77777777" w:rsidR="00951A61" w:rsidRPr="00CC155A" w:rsidRDefault="00951A61" w:rsidP="00A4032F">
            <w:pPr>
              <w:tabs>
                <w:tab w:val="left" w:pos="851"/>
              </w:tabs>
              <w:jc w:val="center"/>
              <w:rPr>
                <w:rFonts w:ascii="Tahoma" w:hAnsi="Tahoma" w:cs="Tahoma"/>
                <w:sz w:val="20"/>
                <w:szCs w:val="20"/>
              </w:rPr>
            </w:pPr>
            <w:r w:rsidRPr="00CC155A">
              <w:rPr>
                <w:rFonts w:ascii="Tahoma" w:hAnsi="Tahoma" w:cs="Tahoma"/>
                <w:sz w:val="20"/>
                <w:szCs w:val="20"/>
              </w:rPr>
              <w:t>Предмет ипотеки</w:t>
            </w:r>
          </w:p>
        </w:tc>
        <w:tc>
          <w:tcPr>
            <w:tcW w:w="3690" w:type="pct"/>
            <w:vAlign w:val="center"/>
          </w:tcPr>
          <w:p w14:paraId="3C628DFC" w14:textId="77777777" w:rsidR="00951A61" w:rsidRPr="000E311F" w:rsidRDefault="00951A61" w:rsidP="00A4032F">
            <w:pPr>
              <w:tabs>
                <w:tab w:val="left" w:pos="851"/>
              </w:tabs>
              <w:ind w:firstLine="425"/>
              <w:jc w:val="both"/>
              <w:rPr>
                <w:rFonts w:ascii="Tahoma" w:hAnsi="Tahoma" w:cs="Tahoma"/>
                <w:sz w:val="20"/>
                <w:szCs w:val="20"/>
              </w:rPr>
            </w:pPr>
            <w:r w:rsidRPr="000E311F">
              <w:rPr>
                <w:rFonts w:ascii="Tahoma" w:hAnsi="Tahoma" w:cs="Tahoma"/>
                <w:sz w:val="20"/>
                <w:szCs w:val="20"/>
              </w:rPr>
              <w:t>Объект недвижимости, под залог которого осуществляется выдача ипотечного кредита</w:t>
            </w:r>
          </w:p>
        </w:tc>
      </w:tr>
      <w:tr w:rsidR="00951A61" w:rsidRPr="00CC155A" w14:paraId="094C3F6D" w14:textId="77777777" w:rsidTr="00A4032F">
        <w:tc>
          <w:tcPr>
            <w:tcW w:w="1310" w:type="pct"/>
          </w:tcPr>
          <w:p w14:paraId="5B63A6DF" w14:textId="77777777" w:rsidR="00951A61" w:rsidRPr="00CC155A" w:rsidRDefault="00951A61" w:rsidP="00A4032F">
            <w:pPr>
              <w:tabs>
                <w:tab w:val="left" w:pos="851"/>
              </w:tabs>
              <w:jc w:val="center"/>
              <w:rPr>
                <w:rFonts w:ascii="Tahoma" w:hAnsi="Tahoma" w:cs="Tahoma"/>
                <w:color w:val="000000"/>
                <w:sz w:val="20"/>
                <w:szCs w:val="20"/>
              </w:rPr>
            </w:pPr>
            <w:r w:rsidRPr="00CC155A">
              <w:rPr>
                <w:rFonts w:ascii="Tahoma" w:hAnsi="Tahoma" w:cs="Tahoma"/>
                <w:color w:val="000000"/>
                <w:sz w:val="20"/>
                <w:szCs w:val="20"/>
              </w:rPr>
              <w:t>ПСК</w:t>
            </w:r>
          </w:p>
        </w:tc>
        <w:tc>
          <w:tcPr>
            <w:tcW w:w="3690" w:type="pct"/>
          </w:tcPr>
          <w:p w14:paraId="1905A9B5" w14:textId="77777777" w:rsidR="00951A61" w:rsidRPr="000E311F" w:rsidRDefault="00951A61" w:rsidP="00A4032F">
            <w:pPr>
              <w:ind w:firstLine="425"/>
              <w:jc w:val="both"/>
              <w:rPr>
                <w:rFonts w:ascii="Tahoma" w:hAnsi="Tahoma" w:cs="Tahoma"/>
                <w:sz w:val="20"/>
                <w:szCs w:val="20"/>
              </w:rPr>
            </w:pPr>
            <w:r w:rsidRPr="000E311F">
              <w:rPr>
                <w:rFonts w:ascii="Tahoma" w:hAnsi="Tahoma" w:cs="Tahoma"/>
                <w:sz w:val="20"/>
                <w:szCs w:val="20"/>
              </w:rPr>
              <w:t xml:space="preserve">Полная стоимость потребительского кредита определяется как в процентах годовых, </w:t>
            </w:r>
            <w:r w:rsidRPr="000E311F">
              <w:rPr>
                <w:rFonts w:ascii="Tahoma" w:hAnsi="Tahoma" w:cs="Tahoma"/>
                <w:bCs/>
                <w:sz w:val="20"/>
                <w:szCs w:val="20"/>
              </w:rPr>
              <w:t>так и в денежном выражении</w:t>
            </w:r>
          </w:p>
        </w:tc>
      </w:tr>
      <w:tr w:rsidR="00951A61" w:rsidRPr="00CC155A" w14:paraId="69D78037" w14:textId="77777777" w:rsidTr="00A4032F">
        <w:tc>
          <w:tcPr>
            <w:tcW w:w="1310" w:type="pct"/>
            <w:vAlign w:val="center"/>
          </w:tcPr>
          <w:p w14:paraId="4D29F4B1" w14:textId="77777777" w:rsidR="00951A61" w:rsidRPr="00CC155A" w:rsidRDefault="00951A61" w:rsidP="00A4032F">
            <w:pPr>
              <w:tabs>
                <w:tab w:val="left" w:pos="851"/>
              </w:tabs>
              <w:jc w:val="center"/>
              <w:rPr>
                <w:rFonts w:ascii="Tahoma" w:hAnsi="Tahoma" w:cs="Tahoma"/>
                <w:color w:val="000000"/>
                <w:sz w:val="20"/>
                <w:szCs w:val="20"/>
              </w:rPr>
            </w:pPr>
            <w:r w:rsidRPr="00CC155A">
              <w:rPr>
                <w:rFonts w:ascii="Tahoma" w:hAnsi="Tahoma" w:cs="Tahoma"/>
                <w:sz w:val="20"/>
                <w:szCs w:val="20"/>
              </w:rPr>
              <w:t>Таунхаус</w:t>
            </w:r>
          </w:p>
        </w:tc>
        <w:tc>
          <w:tcPr>
            <w:tcW w:w="3690" w:type="pct"/>
            <w:vAlign w:val="center"/>
          </w:tcPr>
          <w:p w14:paraId="5D9CF7B3" w14:textId="77777777" w:rsidR="00951A61" w:rsidRPr="000E311F" w:rsidRDefault="00951A61" w:rsidP="00A4032F">
            <w:pPr>
              <w:ind w:firstLine="425"/>
              <w:jc w:val="both"/>
              <w:rPr>
                <w:rFonts w:ascii="Tahoma" w:hAnsi="Tahoma" w:cs="Tahoma"/>
                <w:sz w:val="20"/>
                <w:szCs w:val="20"/>
              </w:rPr>
            </w:pPr>
            <w:r w:rsidRPr="000E311F">
              <w:rPr>
                <w:rFonts w:ascii="Tahoma" w:hAnsi="Tahoma" w:cs="Tahoma"/>
                <w:sz w:val="20"/>
                <w:szCs w:val="20"/>
              </w:rPr>
              <w:t>Малоэтажный жилой дом (не менее 2-х и не более 3-х надземных этажей) на несколько многоуровневых квартир (секций)/ сблокированный из нескольких многоуровневых квартир (секций)), как правило, с изолированными входами (без общего подъезда) для входа в квартиру (секцию), входящий в комплекс однотипных (построенных по одному проекту) жилых домов</w:t>
            </w:r>
          </w:p>
        </w:tc>
      </w:tr>
      <w:tr w:rsidR="00951A61" w:rsidRPr="00CC155A" w14:paraId="646384D5" w14:textId="77777777" w:rsidTr="00A4032F">
        <w:tc>
          <w:tcPr>
            <w:tcW w:w="1310" w:type="pct"/>
          </w:tcPr>
          <w:p w14:paraId="0B5EB74B" w14:textId="77777777" w:rsidR="00951A61" w:rsidRPr="00CC155A" w:rsidRDefault="00951A61" w:rsidP="00A4032F">
            <w:pPr>
              <w:jc w:val="center"/>
              <w:rPr>
                <w:rFonts w:ascii="Tahoma" w:hAnsi="Tahoma" w:cs="Tahoma"/>
                <w:bCs/>
                <w:sz w:val="20"/>
                <w:szCs w:val="20"/>
              </w:rPr>
            </w:pPr>
            <w:r w:rsidRPr="00CC155A">
              <w:rPr>
                <w:rFonts w:ascii="Tahoma" w:hAnsi="Tahoma" w:cs="Tahoma"/>
                <w:sz w:val="20"/>
                <w:szCs w:val="20"/>
              </w:rPr>
              <w:t>ТБС (либо ТБС Заемщика)</w:t>
            </w:r>
          </w:p>
        </w:tc>
        <w:tc>
          <w:tcPr>
            <w:tcW w:w="3690" w:type="pct"/>
          </w:tcPr>
          <w:p w14:paraId="4BAA6EA5" w14:textId="77777777" w:rsidR="00951A61" w:rsidRPr="000E311F" w:rsidRDefault="00951A61" w:rsidP="00A4032F">
            <w:pPr>
              <w:widowControl w:val="0"/>
              <w:tabs>
                <w:tab w:val="left" w:pos="851"/>
              </w:tabs>
              <w:adjustRightInd w:val="0"/>
              <w:ind w:firstLine="425"/>
              <w:jc w:val="both"/>
              <w:rPr>
                <w:rFonts w:ascii="Tahoma" w:hAnsi="Tahoma" w:cs="Tahoma"/>
                <w:bCs/>
                <w:sz w:val="20"/>
                <w:szCs w:val="20"/>
              </w:rPr>
            </w:pPr>
            <w:r w:rsidRPr="000E311F">
              <w:rPr>
                <w:rFonts w:ascii="Tahoma" w:hAnsi="Tahoma" w:cs="Tahoma"/>
                <w:sz w:val="20"/>
                <w:szCs w:val="20"/>
              </w:rPr>
              <w:t>Текущий банковский счет, открытый Банком Заемщику в рамках Кредитного договора</w:t>
            </w:r>
          </w:p>
        </w:tc>
      </w:tr>
    </w:tbl>
    <w:p w14:paraId="58EBD7DD" w14:textId="77777777" w:rsidR="00951A61" w:rsidRPr="00CC155A" w:rsidRDefault="00951A61" w:rsidP="00951A61">
      <w:pPr>
        <w:tabs>
          <w:tab w:val="left" w:pos="12600"/>
        </w:tabs>
        <w:rPr>
          <w:rFonts w:ascii="Tahoma" w:hAnsi="Tahoma" w:cs="Tahoma"/>
          <w:noProof/>
          <w:sz w:val="20"/>
          <w:szCs w:val="20"/>
        </w:rPr>
      </w:pPr>
    </w:p>
    <w:p w14:paraId="6AC5161E" w14:textId="77777777" w:rsidR="00951A61" w:rsidRPr="00786DE5" w:rsidRDefault="00951A61" w:rsidP="00951A61">
      <w:pPr>
        <w:tabs>
          <w:tab w:val="left" w:pos="12600"/>
        </w:tabs>
        <w:jc w:val="both"/>
        <w:rPr>
          <w:rFonts w:ascii="Tahoma" w:hAnsi="Tahoma" w:cs="Tahoma"/>
          <w:noProof/>
          <w:sz w:val="20"/>
          <w:szCs w:val="20"/>
        </w:rPr>
      </w:pPr>
      <w:r w:rsidRPr="00705610">
        <w:rPr>
          <w:rFonts w:ascii="Tahoma" w:hAnsi="Tahoma" w:cs="Tahoma"/>
          <w:noProof/>
          <w:sz w:val="20"/>
          <w:szCs w:val="20"/>
        </w:rPr>
        <w:t>Не приведенные в настоящем документе значения терминов, применяются в значении, определенном в Универсальном договоре банковского обслуживания физических лиц «Азиатско-Тихоокеанский Банк» (АО), размещённом на сайте Банка: www.atb.su и в Подразде</w:t>
      </w:r>
      <w:r>
        <w:rPr>
          <w:rFonts w:ascii="Tahoma" w:hAnsi="Tahoma" w:cs="Tahoma"/>
          <w:noProof/>
          <w:sz w:val="20"/>
          <w:szCs w:val="20"/>
        </w:rPr>
        <w:t>л</w:t>
      </w:r>
      <w:r w:rsidRPr="00705610">
        <w:rPr>
          <w:rFonts w:ascii="Tahoma" w:hAnsi="Tahoma" w:cs="Tahoma"/>
          <w:noProof/>
          <w:sz w:val="20"/>
          <w:szCs w:val="20"/>
        </w:rPr>
        <w:t>ениях Банка</w:t>
      </w:r>
      <w:r w:rsidRPr="00CC155A">
        <w:rPr>
          <w:rFonts w:ascii="Tahoma" w:hAnsi="Tahoma" w:cs="Tahoma"/>
          <w:noProof/>
          <w:sz w:val="20"/>
          <w:szCs w:val="20"/>
        </w:rPr>
        <w:t>.</w:t>
      </w:r>
    </w:p>
    <w:p w14:paraId="25EE7F20" w14:textId="77777777" w:rsidR="00951A61" w:rsidRPr="00CC155A" w:rsidRDefault="00951A61" w:rsidP="00951A61">
      <w:pPr>
        <w:tabs>
          <w:tab w:val="left" w:pos="12600"/>
        </w:tabs>
        <w:rPr>
          <w:rFonts w:ascii="Tahoma" w:hAnsi="Tahoma" w:cs="Tahoma"/>
          <w:noProof/>
          <w:sz w:val="20"/>
          <w:szCs w:val="20"/>
        </w:rPr>
      </w:pPr>
      <w:r w:rsidRPr="00CC155A">
        <w:rPr>
          <w:rFonts w:ascii="Tahoma" w:hAnsi="Tahoma" w:cs="Tahoma"/>
          <w:noProof/>
          <w:sz w:val="20"/>
          <w:szCs w:val="20"/>
        </w:rPr>
        <w:tab/>
      </w:r>
    </w:p>
    <w:p w14:paraId="498FBCC6" w14:textId="77777777" w:rsidR="00951A61" w:rsidRPr="00CC155A" w:rsidRDefault="00951A61" w:rsidP="00B460F9">
      <w:pPr>
        <w:pStyle w:val="affe"/>
        <w:numPr>
          <w:ilvl w:val="0"/>
          <w:numId w:val="184"/>
        </w:numPr>
        <w:tabs>
          <w:tab w:val="left" w:pos="851"/>
        </w:tabs>
        <w:ind w:left="0" w:firstLine="426"/>
        <w:contextualSpacing/>
        <w:jc w:val="both"/>
        <w:rPr>
          <w:rFonts w:ascii="Tahoma" w:hAnsi="Tahoma" w:cs="Tahoma"/>
          <w:b/>
          <w:bCs/>
          <w:caps/>
          <w:sz w:val="20"/>
          <w:szCs w:val="20"/>
        </w:rPr>
      </w:pPr>
      <w:r w:rsidRPr="00CC155A">
        <w:rPr>
          <w:rFonts w:ascii="Tahoma" w:hAnsi="Tahoma" w:cs="Tahoma"/>
          <w:b/>
          <w:bCs/>
          <w:caps/>
          <w:sz w:val="20"/>
          <w:szCs w:val="20"/>
        </w:rPr>
        <w:t xml:space="preserve">ИНФОРМАЦИЯ ОБ УСЛОВИЯХ ПРЕДОСТАВЛЕНИЯ, ИСПОЛЬЗОВАНИЯ И ВОЗВРАТА ИПОТЕЧНОГО КРЕДИТА </w:t>
      </w:r>
    </w:p>
    <w:p w14:paraId="2A49E314" w14:textId="77777777" w:rsidR="00951A61" w:rsidRPr="00CC155A" w:rsidRDefault="00951A61" w:rsidP="00951A61">
      <w:pPr>
        <w:pStyle w:val="affe"/>
        <w:tabs>
          <w:tab w:val="left" w:pos="851"/>
        </w:tabs>
        <w:ind w:left="426"/>
        <w:jc w:val="both"/>
        <w:rPr>
          <w:rFonts w:ascii="Tahoma" w:hAnsi="Tahoma" w:cs="Tahoma"/>
          <w:b/>
          <w:bCs/>
          <w:caps/>
          <w:sz w:val="20"/>
          <w:szCs w:val="20"/>
        </w:rPr>
      </w:pPr>
    </w:p>
    <w:tbl>
      <w:tblPr>
        <w:tblW w:w="15573" w:type="dxa"/>
        <w:tblInd w:w="35" w:type="dxa"/>
        <w:tblLayout w:type="fixed"/>
        <w:tblLook w:val="04A0" w:firstRow="1" w:lastRow="0" w:firstColumn="1" w:lastColumn="0" w:noHBand="0" w:noVBand="1"/>
      </w:tblPr>
      <w:tblGrid>
        <w:gridCol w:w="4121"/>
        <w:gridCol w:w="11452"/>
      </w:tblGrid>
      <w:tr w:rsidR="00951A61" w:rsidRPr="00CC155A" w14:paraId="70BB9B49"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F99465D" w14:textId="77777777" w:rsidR="00951A61" w:rsidRPr="00CC155A" w:rsidRDefault="00951A61" w:rsidP="00A4032F">
            <w:pPr>
              <w:jc w:val="center"/>
              <w:rPr>
                <w:rFonts w:ascii="Tahoma" w:hAnsi="Tahoma" w:cs="Tahoma"/>
                <w:b/>
                <w:bCs/>
                <w:sz w:val="20"/>
                <w:szCs w:val="20"/>
              </w:rPr>
            </w:pPr>
            <w:r w:rsidRPr="00CC155A">
              <w:rPr>
                <w:rFonts w:ascii="Tahoma" w:hAnsi="Tahoma" w:cs="Tahoma"/>
                <w:b/>
                <w:bCs/>
                <w:sz w:val="20"/>
                <w:szCs w:val="20"/>
              </w:rPr>
              <w:t>Наименование                                    тарифного плана (ТП)</w:t>
            </w:r>
          </w:p>
        </w:tc>
        <w:tc>
          <w:tcPr>
            <w:tcW w:w="11452"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62D3E4A" w14:textId="77777777" w:rsidR="00951A61" w:rsidRPr="00CC155A" w:rsidRDefault="00951A61" w:rsidP="00A4032F">
            <w:pPr>
              <w:jc w:val="center"/>
              <w:rPr>
                <w:rFonts w:ascii="Tahoma" w:hAnsi="Tahoma" w:cs="Tahoma"/>
                <w:b/>
                <w:bCs/>
                <w:sz w:val="20"/>
                <w:szCs w:val="20"/>
              </w:rPr>
            </w:pPr>
            <w:r w:rsidRPr="00CC155A">
              <w:rPr>
                <w:rFonts w:ascii="Tahoma" w:hAnsi="Tahoma" w:cs="Tahoma"/>
                <w:b/>
                <w:bCs/>
                <w:sz w:val="20"/>
                <w:szCs w:val="20"/>
              </w:rPr>
              <w:t>«</w:t>
            </w:r>
            <w:r w:rsidRPr="00CC155A">
              <w:rPr>
                <w:rFonts w:ascii="Tahoma" w:hAnsi="Tahoma" w:cs="Tahoma"/>
                <w:b/>
                <w:noProof/>
                <w:sz w:val="20"/>
                <w:szCs w:val="20"/>
              </w:rPr>
              <w:t>НЕЦЕЛЕВОЙ</w:t>
            </w:r>
            <w:r w:rsidRPr="00CC155A">
              <w:rPr>
                <w:rFonts w:ascii="Tahoma" w:hAnsi="Tahoma" w:cs="Tahoma"/>
                <w:b/>
                <w:bCs/>
                <w:sz w:val="20"/>
                <w:szCs w:val="20"/>
              </w:rPr>
              <w:t>»</w:t>
            </w:r>
          </w:p>
        </w:tc>
      </w:tr>
      <w:tr w:rsidR="00951A61" w:rsidRPr="00CC155A" w14:paraId="4E90B7E7"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4129C4" w14:textId="77777777" w:rsidR="00951A61" w:rsidRPr="00CC155A" w:rsidRDefault="00951A61" w:rsidP="00A4032F">
            <w:pPr>
              <w:jc w:val="center"/>
              <w:rPr>
                <w:rFonts w:ascii="Tahoma" w:hAnsi="Tahoma" w:cs="Tahoma"/>
                <w:b/>
                <w:bCs/>
                <w:sz w:val="20"/>
                <w:szCs w:val="20"/>
              </w:rPr>
            </w:pPr>
            <w:r w:rsidRPr="00CC155A">
              <w:rPr>
                <w:rFonts w:ascii="Tahoma" w:hAnsi="Tahoma" w:cs="Tahoma"/>
                <w:b/>
                <w:bCs/>
                <w:sz w:val="20"/>
                <w:szCs w:val="20"/>
              </w:rPr>
              <w:t xml:space="preserve">Вид </w:t>
            </w:r>
            <w:r>
              <w:rPr>
                <w:rFonts w:ascii="Tahoma" w:hAnsi="Tahoma" w:cs="Tahoma"/>
                <w:b/>
                <w:bCs/>
                <w:sz w:val="20"/>
                <w:szCs w:val="20"/>
              </w:rPr>
              <w:t>потребительского к</w:t>
            </w:r>
            <w:r w:rsidRPr="00CC155A">
              <w:rPr>
                <w:rFonts w:ascii="Tahoma" w:hAnsi="Tahoma" w:cs="Tahoma"/>
                <w:b/>
                <w:bCs/>
                <w:sz w:val="20"/>
                <w:szCs w:val="20"/>
              </w:rPr>
              <w:t>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26EC33EC" w14:textId="77777777" w:rsidR="00951A61" w:rsidRPr="00CC155A" w:rsidRDefault="00951A61" w:rsidP="00A4032F">
            <w:pPr>
              <w:ind w:firstLine="425"/>
              <w:jc w:val="both"/>
              <w:rPr>
                <w:rFonts w:ascii="Tahoma" w:hAnsi="Tahoma" w:cs="Tahoma"/>
                <w:sz w:val="20"/>
                <w:szCs w:val="20"/>
              </w:rPr>
            </w:pPr>
            <w:r w:rsidRPr="00BF07F6">
              <w:rPr>
                <w:rFonts w:ascii="Tahoma" w:hAnsi="Tahoma" w:cs="Tahoma"/>
                <w:sz w:val="20"/>
                <w:szCs w:val="20"/>
              </w:rPr>
              <w:t xml:space="preserve">Жилищный (ипотечный) кредит (на цели, не связанные с осуществлением предпринимательской деятельности, и </w:t>
            </w:r>
            <w:r w:rsidRPr="00564551">
              <w:rPr>
                <w:rFonts w:ascii="Tahoma" w:hAnsi="Tahoma" w:cs="Tahoma"/>
                <w:sz w:val="20"/>
                <w:szCs w:val="20"/>
              </w:rPr>
              <w:t>обязательства, по которому обеспечиваются ипотекой)</w:t>
            </w:r>
          </w:p>
        </w:tc>
      </w:tr>
      <w:tr w:rsidR="00951A61" w:rsidRPr="00CC155A" w14:paraId="4EF546DB"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20EC0A96" w14:textId="77777777" w:rsidR="00951A61" w:rsidRPr="00CC155A" w:rsidDel="00ED23AE" w:rsidRDefault="00951A61" w:rsidP="00A4032F">
            <w:pPr>
              <w:jc w:val="center"/>
              <w:rPr>
                <w:rFonts w:ascii="Tahoma" w:hAnsi="Tahoma" w:cs="Tahoma"/>
                <w:b/>
                <w:sz w:val="20"/>
                <w:szCs w:val="20"/>
              </w:rPr>
            </w:pPr>
            <w:r w:rsidRPr="00CC155A">
              <w:rPr>
                <w:rFonts w:ascii="Tahoma" w:hAnsi="Tahoma" w:cs="Tahoma"/>
                <w:b/>
                <w:sz w:val="20"/>
                <w:szCs w:val="20"/>
              </w:rPr>
              <w:t xml:space="preserve">Цель </w:t>
            </w:r>
            <w:r>
              <w:rPr>
                <w:rFonts w:ascii="Tahoma" w:hAnsi="Tahoma" w:cs="Tahoma"/>
                <w:b/>
                <w:sz w:val="20"/>
                <w:szCs w:val="20"/>
              </w:rPr>
              <w:t>потребительского к</w:t>
            </w:r>
            <w:r w:rsidRPr="00CC155A">
              <w:rPr>
                <w:rFonts w:ascii="Tahoma" w:hAnsi="Tahoma" w:cs="Tahoma"/>
                <w:b/>
                <w:sz w:val="20"/>
                <w:szCs w:val="20"/>
              </w:rPr>
              <w:t>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1A5EE507" w14:textId="77777777" w:rsidR="00951A61" w:rsidRPr="00786DE5" w:rsidRDefault="00951A61" w:rsidP="00951A61">
            <w:pPr>
              <w:pStyle w:val="FooterEven"/>
              <w:numPr>
                <w:ilvl w:val="0"/>
                <w:numId w:val="85"/>
              </w:numPr>
              <w:tabs>
                <w:tab w:val="clear" w:pos="4320"/>
                <w:tab w:val="clear" w:pos="8640"/>
                <w:tab w:val="left" w:pos="380"/>
              </w:tabs>
              <w:ind w:left="0" w:firstLine="425"/>
              <w:jc w:val="both"/>
              <w:rPr>
                <w:rFonts w:ascii="Tahoma" w:eastAsia="Times New Roman" w:hAnsi="Tahoma" w:cs="Tahoma"/>
                <w:b w:val="0"/>
                <w:sz w:val="20"/>
                <w:lang w:eastAsia="ru-RU"/>
              </w:rPr>
            </w:pPr>
            <w:r w:rsidRPr="00CC155A">
              <w:rPr>
                <w:rFonts w:ascii="Tahoma" w:eastAsia="Times New Roman" w:hAnsi="Tahoma" w:cs="Tahoma"/>
                <w:b w:val="0"/>
                <w:sz w:val="20"/>
                <w:lang w:eastAsia="ru-RU"/>
              </w:rPr>
              <w:t xml:space="preserve">Любые цели, не связанные с осуществлением предпринимательской деятельности, в том числе </w:t>
            </w:r>
            <w:r w:rsidRPr="00CC155A">
              <w:rPr>
                <w:rFonts w:ascii="Tahoma" w:hAnsi="Tahoma" w:cs="Tahoma"/>
                <w:b w:val="0"/>
                <w:sz w:val="20"/>
              </w:rPr>
              <w:t>полное досрочное погашение</w:t>
            </w:r>
            <w:r w:rsidRPr="00CC155A">
              <w:rPr>
                <w:rStyle w:val="aff3"/>
                <w:rFonts w:ascii="Tahoma" w:hAnsi="Tahoma"/>
                <w:b w:val="0"/>
                <w:sz w:val="20"/>
              </w:rPr>
              <w:footnoteReference w:id="139"/>
            </w:r>
            <w:r w:rsidRPr="00CC155A">
              <w:rPr>
                <w:rFonts w:ascii="Tahoma" w:hAnsi="Tahoma" w:cs="Tahoma"/>
                <w:b w:val="0"/>
                <w:sz w:val="20"/>
              </w:rPr>
              <w:t xml:space="preserve"> ипотечного кредита и/или рефинансирование потребительских кредитов</w:t>
            </w:r>
            <w:r w:rsidRPr="00CC155A">
              <w:rPr>
                <w:rStyle w:val="aff3"/>
                <w:rFonts w:ascii="Tahoma" w:hAnsi="Tahoma"/>
                <w:b w:val="0"/>
                <w:sz w:val="20"/>
              </w:rPr>
              <w:footnoteReference w:id="140"/>
            </w:r>
            <w:r w:rsidRPr="00786DE5">
              <w:rPr>
                <w:rFonts w:ascii="Tahoma" w:hAnsi="Tahoma" w:cs="Tahoma"/>
                <w:b w:val="0"/>
                <w:sz w:val="20"/>
              </w:rPr>
              <w:t>;</w:t>
            </w:r>
          </w:p>
          <w:p w14:paraId="4584EA6D" w14:textId="77777777" w:rsidR="00951A61" w:rsidRPr="00CC155A" w:rsidRDefault="00951A61" w:rsidP="00951A61">
            <w:pPr>
              <w:pStyle w:val="FooterEven"/>
              <w:numPr>
                <w:ilvl w:val="0"/>
                <w:numId w:val="85"/>
              </w:numPr>
              <w:tabs>
                <w:tab w:val="clear" w:pos="4320"/>
                <w:tab w:val="clear" w:pos="8640"/>
                <w:tab w:val="left" w:pos="380"/>
              </w:tabs>
              <w:ind w:left="0" w:firstLine="425"/>
              <w:jc w:val="both"/>
              <w:rPr>
                <w:rFonts w:ascii="Tahoma" w:eastAsia="Times New Roman" w:hAnsi="Tahoma" w:cs="Tahoma"/>
                <w:b w:val="0"/>
                <w:sz w:val="20"/>
                <w:lang w:eastAsia="ru-RU"/>
              </w:rPr>
            </w:pPr>
            <w:r w:rsidRPr="00786DE5">
              <w:rPr>
                <w:rFonts w:ascii="Tahoma" w:eastAsia="Times New Roman" w:hAnsi="Tahoma" w:cs="Tahoma"/>
                <w:b w:val="0"/>
                <w:sz w:val="20"/>
                <w:lang w:eastAsia="ru-RU"/>
              </w:rPr>
              <w:t>Любые цели, не связанные с осуществлением п</w:t>
            </w:r>
            <w:r w:rsidRPr="00CC155A">
              <w:rPr>
                <w:rFonts w:ascii="Tahoma" w:eastAsia="Times New Roman" w:hAnsi="Tahoma" w:cs="Tahoma"/>
                <w:b w:val="0"/>
                <w:sz w:val="20"/>
                <w:lang w:eastAsia="ru-RU"/>
              </w:rPr>
              <w:t>редпринимательской деятельности</w:t>
            </w:r>
            <w:r w:rsidRPr="00CC155A">
              <w:rPr>
                <w:rFonts w:ascii="Tahoma" w:hAnsi="Tahoma" w:cs="Tahoma"/>
                <w:b w:val="0"/>
                <w:sz w:val="20"/>
              </w:rPr>
              <w:t>.</w:t>
            </w:r>
          </w:p>
          <w:p w14:paraId="172229DF" w14:textId="77777777" w:rsidR="00951A61" w:rsidRPr="00CC155A" w:rsidRDefault="00951A61" w:rsidP="00A4032F">
            <w:pPr>
              <w:pStyle w:val="FooterEven"/>
              <w:tabs>
                <w:tab w:val="clear" w:pos="4320"/>
                <w:tab w:val="clear" w:pos="8640"/>
                <w:tab w:val="left" w:pos="380"/>
              </w:tabs>
              <w:ind w:firstLine="425"/>
              <w:jc w:val="both"/>
              <w:rPr>
                <w:rFonts w:ascii="Tahoma" w:eastAsia="Times New Roman" w:hAnsi="Tahoma" w:cs="Tahoma"/>
                <w:b w:val="0"/>
                <w:sz w:val="20"/>
                <w:lang w:eastAsia="ru-RU"/>
              </w:rPr>
            </w:pPr>
          </w:p>
          <w:p w14:paraId="14AD146D" w14:textId="77777777" w:rsidR="00951A61" w:rsidRPr="00CC155A" w:rsidDel="00ED23AE" w:rsidRDefault="00951A61" w:rsidP="00A4032F">
            <w:pPr>
              <w:pStyle w:val="FooterEven"/>
              <w:tabs>
                <w:tab w:val="clear" w:pos="4320"/>
                <w:tab w:val="clear" w:pos="8640"/>
                <w:tab w:val="left" w:pos="380"/>
              </w:tabs>
              <w:ind w:firstLine="425"/>
              <w:jc w:val="both"/>
              <w:rPr>
                <w:rFonts w:ascii="Tahoma" w:eastAsia="Times New Roman" w:hAnsi="Tahoma" w:cs="Tahoma"/>
                <w:b w:val="0"/>
                <w:sz w:val="20"/>
                <w:lang w:eastAsia="ru-RU"/>
              </w:rPr>
            </w:pPr>
            <w:r w:rsidRPr="00CC155A">
              <w:rPr>
                <w:rFonts w:ascii="Tahoma" w:eastAsia="Times New Roman" w:hAnsi="Tahoma" w:cs="Tahoma"/>
                <w:b w:val="0"/>
                <w:sz w:val="20"/>
                <w:lang w:eastAsia="ru-RU"/>
              </w:rPr>
              <w:t>Кредитные средства не могут быть использованы Заемщиком для погашения задолженности по Тарифному плану «Микро-лайт».</w:t>
            </w:r>
          </w:p>
        </w:tc>
      </w:tr>
      <w:tr w:rsidR="00951A61" w:rsidRPr="00CC155A" w14:paraId="5E199424"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AC0E4F" w14:textId="77777777" w:rsidR="00951A61" w:rsidRPr="00CC155A" w:rsidRDefault="00951A61" w:rsidP="00A4032F">
            <w:pPr>
              <w:jc w:val="center"/>
              <w:rPr>
                <w:rFonts w:ascii="Tahoma" w:hAnsi="Tahoma" w:cs="Tahoma"/>
                <w:b/>
                <w:sz w:val="20"/>
                <w:szCs w:val="20"/>
              </w:rPr>
            </w:pPr>
            <w:r w:rsidRPr="00CC155A">
              <w:rPr>
                <w:rFonts w:ascii="Tahoma" w:hAnsi="Tahoma" w:cs="Tahoma"/>
                <w:b/>
                <w:sz w:val="20"/>
                <w:szCs w:val="20"/>
              </w:rPr>
              <w:t xml:space="preserve">Подразделения </w:t>
            </w:r>
            <w:r>
              <w:rPr>
                <w:rFonts w:ascii="Tahoma" w:hAnsi="Tahoma" w:cs="Tahoma"/>
                <w:b/>
                <w:sz w:val="20"/>
                <w:szCs w:val="20"/>
              </w:rPr>
              <w:t>Банка</w:t>
            </w:r>
            <w:r w:rsidRPr="00CC155A">
              <w:rPr>
                <w:rFonts w:ascii="Tahoma" w:hAnsi="Tahoma" w:cs="Tahoma"/>
                <w:b/>
                <w:sz w:val="20"/>
                <w:szCs w:val="20"/>
              </w:rPr>
              <w:t>, реализующие кредитный продукт</w:t>
            </w:r>
          </w:p>
        </w:tc>
        <w:tc>
          <w:tcPr>
            <w:tcW w:w="11452" w:type="dxa"/>
            <w:tcBorders>
              <w:top w:val="single" w:sz="4" w:space="0" w:color="auto"/>
              <w:left w:val="nil"/>
              <w:bottom w:val="single" w:sz="4" w:space="0" w:color="auto"/>
              <w:right w:val="single" w:sz="4" w:space="0" w:color="auto"/>
            </w:tcBorders>
            <w:shd w:val="clear" w:color="auto" w:fill="auto"/>
            <w:vAlign w:val="center"/>
            <w:hideMark/>
          </w:tcPr>
          <w:p w14:paraId="0DADC2DF" w14:textId="77777777" w:rsidR="00951A61" w:rsidRPr="00CC155A" w:rsidRDefault="00951A61" w:rsidP="00A4032F">
            <w:pPr>
              <w:ind w:firstLine="425"/>
              <w:jc w:val="both"/>
              <w:rPr>
                <w:rFonts w:ascii="Tahoma" w:hAnsi="Tahoma" w:cs="Tahoma"/>
                <w:sz w:val="20"/>
                <w:szCs w:val="20"/>
                <w:lang w:val="en-US"/>
              </w:rPr>
            </w:pPr>
            <w:r w:rsidRPr="00CC155A">
              <w:rPr>
                <w:rFonts w:ascii="Tahoma" w:hAnsi="Tahoma" w:cs="Tahoma"/>
                <w:sz w:val="20"/>
                <w:szCs w:val="20"/>
              </w:rPr>
              <w:t>Все подразделения Банка</w:t>
            </w:r>
          </w:p>
        </w:tc>
      </w:tr>
      <w:tr w:rsidR="00951A61" w:rsidRPr="00CC155A" w14:paraId="778BB247" w14:textId="77777777" w:rsidTr="00A4032F">
        <w:trPr>
          <w:trHeight w:val="25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550C96" w14:textId="77777777" w:rsidR="00951A61" w:rsidRPr="00CC155A" w:rsidRDefault="00951A61" w:rsidP="00A4032F">
            <w:pPr>
              <w:jc w:val="center"/>
              <w:rPr>
                <w:rFonts w:ascii="Tahoma" w:hAnsi="Tahoma" w:cs="Tahoma"/>
                <w:b/>
                <w:bCs/>
                <w:sz w:val="20"/>
                <w:szCs w:val="20"/>
              </w:rPr>
            </w:pPr>
            <w:r w:rsidRPr="00CC155A">
              <w:rPr>
                <w:rFonts w:ascii="Tahoma" w:hAnsi="Tahoma" w:cs="Tahoma"/>
                <w:b/>
                <w:bCs/>
                <w:sz w:val="20"/>
                <w:szCs w:val="20"/>
              </w:rPr>
              <w:t>Категория Заемщика</w:t>
            </w:r>
          </w:p>
        </w:tc>
        <w:tc>
          <w:tcPr>
            <w:tcW w:w="11452" w:type="dxa"/>
            <w:tcBorders>
              <w:top w:val="single" w:sz="4" w:space="0" w:color="auto"/>
              <w:left w:val="nil"/>
              <w:bottom w:val="single" w:sz="4" w:space="0" w:color="auto"/>
              <w:right w:val="single" w:sz="4" w:space="0" w:color="auto"/>
            </w:tcBorders>
            <w:shd w:val="clear" w:color="auto" w:fill="auto"/>
            <w:vAlign w:val="center"/>
            <w:hideMark/>
          </w:tcPr>
          <w:p w14:paraId="57D0925C" w14:textId="77777777" w:rsidR="00951A61" w:rsidRPr="00CC155A" w:rsidRDefault="00951A61" w:rsidP="00A4032F">
            <w:pPr>
              <w:ind w:firstLine="425"/>
              <w:jc w:val="both"/>
              <w:rPr>
                <w:rFonts w:ascii="Tahoma" w:hAnsi="Tahoma" w:cs="Tahoma"/>
                <w:color w:val="000000"/>
                <w:sz w:val="20"/>
                <w:szCs w:val="20"/>
              </w:rPr>
            </w:pPr>
            <w:r w:rsidRPr="00CC155A">
              <w:rPr>
                <w:rFonts w:ascii="Tahoma" w:hAnsi="Tahoma" w:cs="Tahoma"/>
                <w:color w:val="000000"/>
                <w:sz w:val="20"/>
                <w:szCs w:val="20"/>
              </w:rPr>
              <w:t>Физические лица (</w:t>
            </w:r>
            <w:r w:rsidRPr="00CC155A">
              <w:rPr>
                <w:rFonts w:ascii="Tahoma" w:hAnsi="Tahoma" w:cs="Tahoma"/>
                <w:sz w:val="20"/>
                <w:szCs w:val="20"/>
              </w:rPr>
              <w:t>имеющие подтвержденное место работы и постоянный источник дохода</w:t>
            </w:r>
            <w:r w:rsidRPr="00CC155A">
              <w:rPr>
                <w:rFonts w:ascii="Tahoma" w:hAnsi="Tahoma" w:cs="Tahoma"/>
                <w:color w:val="000000"/>
                <w:sz w:val="20"/>
                <w:szCs w:val="20"/>
              </w:rPr>
              <w:t>)</w:t>
            </w:r>
          </w:p>
        </w:tc>
      </w:tr>
      <w:tr w:rsidR="00951A61" w:rsidRPr="00CC155A" w14:paraId="1A78D35E" w14:textId="77777777" w:rsidTr="00A4032F">
        <w:trPr>
          <w:trHeight w:val="255"/>
        </w:trPr>
        <w:tc>
          <w:tcPr>
            <w:tcW w:w="4121" w:type="dxa"/>
            <w:tcBorders>
              <w:top w:val="nil"/>
              <w:left w:val="single" w:sz="4" w:space="0" w:color="auto"/>
              <w:bottom w:val="single" w:sz="4" w:space="0" w:color="auto"/>
              <w:right w:val="single" w:sz="4" w:space="0" w:color="auto"/>
            </w:tcBorders>
            <w:shd w:val="clear" w:color="auto" w:fill="auto"/>
            <w:vAlign w:val="center"/>
          </w:tcPr>
          <w:p w14:paraId="45434C59" w14:textId="77777777" w:rsidR="00951A61" w:rsidRPr="00CC155A" w:rsidRDefault="00951A61" w:rsidP="00A4032F">
            <w:pPr>
              <w:jc w:val="center"/>
              <w:rPr>
                <w:rFonts w:ascii="Tahoma" w:hAnsi="Tahoma" w:cs="Tahoma"/>
                <w:b/>
                <w:bCs/>
                <w:sz w:val="20"/>
                <w:szCs w:val="20"/>
              </w:rPr>
            </w:pPr>
            <w:r w:rsidRPr="00CC155A">
              <w:rPr>
                <w:rFonts w:ascii="Tahoma" w:hAnsi="Tahoma" w:cs="Tahoma"/>
                <w:b/>
                <w:bCs/>
                <w:sz w:val="20"/>
                <w:szCs w:val="20"/>
              </w:rPr>
              <w:t xml:space="preserve">Валюта, в которой предоставляется </w:t>
            </w:r>
            <w:r>
              <w:rPr>
                <w:rFonts w:ascii="Tahoma" w:hAnsi="Tahoma" w:cs="Tahoma"/>
                <w:b/>
                <w:bCs/>
                <w:sz w:val="20"/>
                <w:szCs w:val="20"/>
              </w:rPr>
              <w:t>потребительский к</w:t>
            </w:r>
            <w:r w:rsidRPr="00CC155A">
              <w:rPr>
                <w:rFonts w:ascii="Tahoma" w:hAnsi="Tahoma" w:cs="Tahoma"/>
                <w:b/>
                <w:bCs/>
                <w:sz w:val="20"/>
                <w:szCs w:val="20"/>
              </w:rPr>
              <w:t>редит</w:t>
            </w:r>
          </w:p>
        </w:tc>
        <w:tc>
          <w:tcPr>
            <w:tcW w:w="11452" w:type="dxa"/>
            <w:tcBorders>
              <w:top w:val="single" w:sz="4" w:space="0" w:color="auto"/>
              <w:left w:val="nil"/>
              <w:bottom w:val="single" w:sz="4" w:space="0" w:color="auto"/>
              <w:right w:val="single" w:sz="4" w:space="0" w:color="auto"/>
            </w:tcBorders>
            <w:shd w:val="clear" w:color="auto" w:fill="auto"/>
            <w:vAlign w:val="center"/>
          </w:tcPr>
          <w:p w14:paraId="41D4C43B" w14:textId="77777777" w:rsidR="00951A61" w:rsidRPr="00CC155A" w:rsidRDefault="00951A61" w:rsidP="00A4032F">
            <w:pPr>
              <w:ind w:firstLine="425"/>
              <w:jc w:val="both"/>
              <w:rPr>
                <w:rFonts w:ascii="Tahoma" w:hAnsi="Tahoma" w:cs="Tahoma"/>
                <w:color w:val="000000"/>
                <w:sz w:val="20"/>
                <w:szCs w:val="20"/>
              </w:rPr>
            </w:pPr>
            <w:r w:rsidRPr="00CC155A">
              <w:rPr>
                <w:rFonts w:ascii="Tahoma" w:hAnsi="Tahoma" w:cs="Tahoma"/>
                <w:color w:val="000000"/>
                <w:sz w:val="20"/>
                <w:szCs w:val="20"/>
              </w:rPr>
              <w:t>Рубл</w:t>
            </w:r>
            <w:r>
              <w:rPr>
                <w:rFonts w:ascii="Tahoma" w:hAnsi="Tahoma" w:cs="Tahoma"/>
                <w:color w:val="000000"/>
                <w:sz w:val="20"/>
                <w:szCs w:val="20"/>
              </w:rPr>
              <w:t>ь</w:t>
            </w:r>
            <w:r w:rsidRPr="00CC155A">
              <w:rPr>
                <w:rFonts w:ascii="Tahoma" w:hAnsi="Tahoma" w:cs="Tahoma"/>
                <w:color w:val="000000"/>
                <w:sz w:val="20"/>
                <w:szCs w:val="20"/>
              </w:rPr>
              <w:t xml:space="preserve"> Российской Федерации (далее - рубл</w:t>
            </w:r>
            <w:r>
              <w:rPr>
                <w:rFonts w:ascii="Tahoma" w:hAnsi="Tahoma" w:cs="Tahoma"/>
                <w:color w:val="000000"/>
                <w:sz w:val="20"/>
                <w:szCs w:val="20"/>
              </w:rPr>
              <w:t>ь</w:t>
            </w:r>
            <w:r w:rsidRPr="00CC155A">
              <w:rPr>
                <w:rFonts w:ascii="Tahoma" w:hAnsi="Tahoma" w:cs="Tahoma"/>
                <w:color w:val="000000"/>
                <w:sz w:val="20"/>
                <w:szCs w:val="20"/>
              </w:rPr>
              <w:t>)</w:t>
            </w:r>
          </w:p>
        </w:tc>
      </w:tr>
      <w:tr w:rsidR="00951A61" w:rsidRPr="00CC155A" w14:paraId="7A1B8581" w14:textId="77777777" w:rsidTr="00A4032F">
        <w:trPr>
          <w:trHeight w:val="255"/>
        </w:trPr>
        <w:tc>
          <w:tcPr>
            <w:tcW w:w="4121" w:type="dxa"/>
            <w:tcBorders>
              <w:top w:val="nil"/>
              <w:left w:val="single" w:sz="4" w:space="0" w:color="auto"/>
              <w:bottom w:val="single" w:sz="4" w:space="0" w:color="auto"/>
              <w:right w:val="single" w:sz="4" w:space="0" w:color="auto"/>
            </w:tcBorders>
            <w:shd w:val="clear" w:color="auto" w:fill="auto"/>
            <w:vAlign w:val="center"/>
          </w:tcPr>
          <w:p w14:paraId="28517F03" w14:textId="77777777" w:rsidR="00951A61" w:rsidRPr="00CC155A" w:rsidRDefault="00951A61" w:rsidP="00A4032F">
            <w:pPr>
              <w:jc w:val="center"/>
              <w:rPr>
                <w:rFonts w:ascii="Tahoma" w:hAnsi="Tahoma" w:cs="Tahoma"/>
                <w:b/>
                <w:bCs/>
                <w:sz w:val="20"/>
                <w:szCs w:val="20"/>
              </w:rPr>
            </w:pPr>
            <w:r w:rsidRPr="00CC155A">
              <w:rPr>
                <w:rFonts w:ascii="Tahoma" w:hAnsi="Tahoma" w:cs="Tahoma"/>
                <w:b/>
                <w:bCs/>
                <w:sz w:val="20"/>
                <w:szCs w:val="20"/>
              </w:rPr>
              <w:t xml:space="preserve">Срок возврата </w:t>
            </w:r>
            <w:r>
              <w:rPr>
                <w:rFonts w:ascii="Tahoma" w:hAnsi="Tahoma" w:cs="Tahoma"/>
                <w:b/>
                <w:bCs/>
                <w:sz w:val="20"/>
                <w:szCs w:val="20"/>
              </w:rPr>
              <w:t xml:space="preserve">потребительского </w:t>
            </w:r>
            <w:r w:rsidRPr="00CC155A">
              <w:rPr>
                <w:rFonts w:ascii="Tahoma" w:hAnsi="Tahoma" w:cs="Tahoma"/>
                <w:b/>
                <w:bCs/>
                <w:sz w:val="20"/>
                <w:szCs w:val="20"/>
              </w:rPr>
              <w:t>кредита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598262F7" w14:textId="77777777" w:rsidR="00951A61" w:rsidRPr="00CC155A" w:rsidRDefault="00951A61" w:rsidP="00A4032F">
            <w:pPr>
              <w:ind w:firstLine="425"/>
              <w:jc w:val="both"/>
              <w:rPr>
                <w:rFonts w:ascii="Tahoma" w:hAnsi="Tahoma" w:cs="Tahoma"/>
                <w:color w:val="000000"/>
                <w:sz w:val="20"/>
                <w:szCs w:val="20"/>
              </w:rPr>
            </w:pPr>
            <w:r w:rsidRPr="00CC155A">
              <w:rPr>
                <w:rFonts w:ascii="Tahoma" w:hAnsi="Tahoma" w:cs="Tahoma"/>
                <w:color w:val="000000"/>
                <w:sz w:val="20"/>
                <w:szCs w:val="20"/>
              </w:rPr>
              <w:t xml:space="preserve">От 36 до </w:t>
            </w:r>
            <w:r w:rsidRPr="00CC155A">
              <w:rPr>
                <w:rFonts w:ascii="Tahoma" w:hAnsi="Tahoma" w:cs="Tahoma"/>
                <w:color w:val="000000"/>
                <w:sz w:val="20"/>
                <w:szCs w:val="20"/>
                <w:lang w:val="en-US"/>
              </w:rPr>
              <w:t>24</w:t>
            </w:r>
            <w:r w:rsidRPr="00CC155A">
              <w:rPr>
                <w:rFonts w:ascii="Tahoma" w:hAnsi="Tahoma" w:cs="Tahoma"/>
                <w:color w:val="000000"/>
                <w:sz w:val="20"/>
                <w:szCs w:val="20"/>
              </w:rPr>
              <w:t>0 месяцев</w:t>
            </w:r>
          </w:p>
        </w:tc>
      </w:tr>
      <w:tr w:rsidR="00951A61" w:rsidRPr="00CC155A" w14:paraId="78E8E72A" w14:textId="77777777" w:rsidTr="00A4032F">
        <w:trPr>
          <w:trHeight w:val="255"/>
        </w:trPr>
        <w:tc>
          <w:tcPr>
            <w:tcW w:w="4121" w:type="dxa"/>
            <w:tcBorders>
              <w:top w:val="nil"/>
              <w:left w:val="single" w:sz="4" w:space="0" w:color="auto"/>
              <w:bottom w:val="single" w:sz="4" w:space="0" w:color="auto"/>
              <w:right w:val="single" w:sz="4" w:space="0" w:color="auto"/>
            </w:tcBorders>
            <w:shd w:val="clear" w:color="auto" w:fill="auto"/>
            <w:vAlign w:val="center"/>
            <w:hideMark/>
          </w:tcPr>
          <w:p w14:paraId="0CDD95A9" w14:textId="77777777" w:rsidR="00951A61" w:rsidRPr="00CC155A" w:rsidRDefault="00951A61" w:rsidP="00A4032F">
            <w:pPr>
              <w:jc w:val="center"/>
              <w:rPr>
                <w:rFonts w:ascii="Tahoma" w:hAnsi="Tahoma" w:cs="Tahoma"/>
                <w:b/>
                <w:sz w:val="20"/>
                <w:szCs w:val="20"/>
              </w:rPr>
            </w:pPr>
            <w:r w:rsidRPr="00CC155A">
              <w:rPr>
                <w:rFonts w:ascii="Tahoma" w:hAnsi="Tahoma" w:cs="Tahoma"/>
                <w:b/>
                <w:sz w:val="20"/>
                <w:szCs w:val="20"/>
              </w:rPr>
              <w:lastRenderedPageBreak/>
              <w:t xml:space="preserve">Минимальная сумма </w:t>
            </w:r>
            <w:r>
              <w:rPr>
                <w:rFonts w:ascii="Tahoma" w:hAnsi="Tahoma" w:cs="Tahoma"/>
                <w:b/>
                <w:sz w:val="20"/>
                <w:szCs w:val="20"/>
              </w:rPr>
              <w:t>потребительского к</w:t>
            </w:r>
            <w:r w:rsidRPr="00CC155A">
              <w:rPr>
                <w:rFonts w:ascii="Tahoma" w:hAnsi="Tahoma" w:cs="Tahoma"/>
                <w:b/>
                <w:sz w:val="20"/>
                <w:szCs w:val="20"/>
              </w:rPr>
              <w:t>редита</w:t>
            </w:r>
          </w:p>
        </w:tc>
        <w:tc>
          <w:tcPr>
            <w:tcW w:w="11452" w:type="dxa"/>
            <w:tcBorders>
              <w:top w:val="single" w:sz="4" w:space="0" w:color="auto"/>
              <w:left w:val="nil"/>
              <w:bottom w:val="single" w:sz="4" w:space="0" w:color="auto"/>
              <w:right w:val="single" w:sz="4" w:space="0" w:color="auto"/>
            </w:tcBorders>
            <w:shd w:val="clear" w:color="auto" w:fill="auto"/>
            <w:vAlign w:val="center"/>
            <w:hideMark/>
          </w:tcPr>
          <w:p w14:paraId="2BC3282C" w14:textId="77777777" w:rsidR="00951A61" w:rsidRPr="00CC155A" w:rsidRDefault="00951A61" w:rsidP="00A4032F">
            <w:pPr>
              <w:ind w:firstLine="425"/>
              <w:jc w:val="both"/>
              <w:rPr>
                <w:rFonts w:ascii="Tahoma" w:hAnsi="Tahoma" w:cs="Tahoma"/>
                <w:sz w:val="20"/>
                <w:szCs w:val="20"/>
              </w:rPr>
            </w:pPr>
            <w:r w:rsidRPr="00CC155A">
              <w:rPr>
                <w:rFonts w:ascii="Tahoma" w:hAnsi="Tahoma" w:cs="Tahoma"/>
                <w:sz w:val="20"/>
                <w:szCs w:val="20"/>
              </w:rPr>
              <w:t>500</w:t>
            </w:r>
            <w:r>
              <w:rPr>
                <w:rFonts w:ascii="Tahoma" w:hAnsi="Tahoma" w:cs="Tahoma"/>
                <w:sz w:val="20"/>
                <w:szCs w:val="20"/>
              </w:rPr>
              <w:t> </w:t>
            </w:r>
            <w:r w:rsidRPr="00CC155A">
              <w:rPr>
                <w:rFonts w:ascii="Tahoma" w:hAnsi="Tahoma" w:cs="Tahoma"/>
                <w:sz w:val="20"/>
                <w:szCs w:val="20"/>
              </w:rPr>
              <w:t>000</w:t>
            </w:r>
            <w:r>
              <w:rPr>
                <w:rFonts w:ascii="Tahoma" w:hAnsi="Tahoma" w:cs="Tahoma"/>
                <w:sz w:val="20"/>
                <w:szCs w:val="20"/>
              </w:rPr>
              <w:t>,00</w:t>
            </w:r>
            <w:r w:rsidRPr="00CC155A">
              <w:rPr>
                <w:rFonts w:ascii="Tahoma" w:hAnsi="Tahoma" w:cs="Tahoma"/>
                <w:sz w:val="20"/>
                <w:szCs w:val="20"/>
              </w:rPr>
              <w:t xml:space="preserve"> рублей</w:t>
            </w:r>
          </w:p>
        </w:tc>
      </w:tr>
      <w:tr w:rsidR="00951A61" w:rsidRPr="00CC155A" w14:paraId="4D98D21A" w14:textId="77777777" w:rsidTr="00A4032F">
        <w:trPr>
          <w:trHeight w:val="255"/>
        </w:trPr>
        <w:tc>
          <w:tcPr>
            <w:tcW w:w="4121" w:type="dxa"/>
            <w:tcBorders>
              <w:top w:val="nil"/>
              <w:left w:val="single" w:sz="4" w:space="0" w:color="auto"/>
              <w:bottom w:val="single" w:sz="4" w:space="0" w:color="auto"/>
              <w:right w:val="single" w:sz="4" w:space="0" w:color="auto"/>
            </w:tcBorders>
            <w:shd w:val="clear" w:color="auto" w:fill="auto"/>
            <w:vAlign w:val="center"/>
          </w:tcPr>
          <w:p w14:paraId="19F92587" w14:textId="77777777" w:rsidR="00951A61" w:rsidRPr="00CC155A" w:rsidRDefault="00951A61" w:rsidP="00A4032F">
            <w:pPr>
              <w:jc w:val="center"/>
              <w:rPr>
                <w:rFonts w:ascii="Tahoma" w:hAnsi="Tahoma" w:cs="Tahoma"/>
                <w:b/>
                <w:sz w:val="20"/>
                <w:szCs w:val="20"/>
              </w:rPr>
            </w:pPr>
            <w:r w:rsidRPr="00CC155A">
              <w:rPr>
                <w:rFonts w:ascii="Tahoma" w:hAnsi="Tahoma" w:cs="Tahoma"/>
                <w:b/>
                <w:sz w:val="20"/>
                <w:szCs w:val="20"/>
              </w:rPr>
              <w:t xml:space="preserve">Максимальная сумма </w:t>
            </w:r>
            <w:r>
              <w:rPr>
                <w:rFonts w:ascii="Tahoma" w:hAnsi="Tahoma" w:cs="Tahoma"/>
                <w:b/>
                <w:sz w:val="20"/>
                <w:szCs w:val="20"/>
              </w:rPr>
              <w:t>потребительского к</w:t>
            </w:r>
            <w:r w:rsidRPr="00CC155A">
              <w:rPr>
                <w:rFonts w:ascii="Tahoma" w:hAnsi="Tahoma" w:cs="Tahoma"/>
                <w:b/>
                <w:sz w:val="20"/>
                <w:szCs w:val="20"/>
              </w:rPr>
              <w:t>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06217BD8" w14:textId="77777777" w:rsidR="00951A61" w:rsidRPr="00CC155A" w:rsidRDefault="00951A61" w:rsidP="00A4032F">
            <w:pPr>
              <w:ind w:firstLine="425"/>
              <w:jc w:val="both"/>
              <w:rPr>
                <w:rFonts w:ascii="Tahoma" w:hAnsi="Tahoma" w:cs="Tahoma"/>
                <w:sz w:val="20"/>
                <w:szCs w:val="20"/>
              </w:rPr>
            </w:pPr>
            <w:r w:rsidRPr="00CC155A">
              <w:rPr>
                <w:rFonts w:ascii="Tahoma" w:hAnsi="Tahoma" w:cs="Tahoma"/>
                <w:sz w:val="20"/>
                <w:szCs w:val="20"/>
              </w:rPr>
              <w:t>15 000</w:t>
            </w:r>
            <w:r>
              <w:rPr>
                <w:rFonts w:ascii="Tahoma" w:hAnsi="Tahoma" w:cs="Tahoma"/>
                <w:sz w:val="20"/>
                <w:szCs w:val="20"/>
              </w:rPr>
              <w:t> </w:t>
            </w:r>
            <w:r w:rsidRPr="00CC155A">
              <w:rPr>
                <w:rFonts w:ascii="Tahoma" w:hAnsi="Tahoma" w:cs="Tahoma"/>
                <w:sz w:val="20"/>
                <w:szCs w:val="20"/>
              </w:rPr>
              <w:t>000</w:t>
            </w:r>
            <w:r>
              <w:rPr>
                <w:rFonts w:ascii="Tahoma" w:hAnsi="Tahoma" w:cs="Tahoma"/>
                <w:sz w:val="20"/>
                <w:szCs w:val="20"/>
              </w:rPr>
              <w:t>,00</w:t>
            </w:r>
            <w:r w:rsidRPr="00CC155A">
              <w:rPr>
                <w:rFonts w:ascii="Tahoma" w:hAnsi="Tahoma" w:cs="Tahoma"/>
                <w:sz w:val="20"/>
                <w:szCs w:val="20"/>
              </w:rPr>
              <w:t xml:space="preserve"> рублей</w:t>
            </w:r>
          </w:p>
        </w:tc>
      </w:tr>
      <w:tr w:rsidR="00951A61" w:rsidRPr="00CC155A" w14:paraId="039FCEEA" w14:textId="77777777" w:rsidTr="00A4032F">
        <w:trPr>
          <w:trHeight w:val="255"/>
        </w:trPr>
        <w:tc>
          <w:tcPr>
            <w:tcW w:w="4121" w:type="dxa"/>
            <w:tcBorders>
              <w:top w:val="nil"/>
              <w:left w:val="single" w:sz="4" w:space="0" w:color="auto"/>
              <w:bottom w:val="single" w:sz="4" w:space="0" w:color="auto"/>
              <w:right w:val="single" w:sz="4" w:space="0" w:color="auto"/>
            </w:tcBorders>
            <w:shd w:val="clear" w:color="auto" w:fill="auto"/>
          </w:tcPr>
          <w:p w14:paraId="7AC117F8" w14:textId="77777777" w:rsidR="00951A61" w:rsidRPr="00CC155A" w:rsidRDefault="00951A61" w:rsidP="00A4032F">
            <w:pPr>
              <w:jc w:val="center"/>
              <w:rPr>
                <w:rFonts w:ascii="Tahoma" w:hAnsi="Tahoma" w:cs="Tahoma"/>
                <w:b/>
                <w:sz w:val="20"/>
                <w:szCs w:val="20"/>
              </w:rPr>
            </w:pPr>
            <w:r w:rsidRPr="00CC155A">
              <w:rPr>
                <w:rFonts w:ascii="Tahoma" w:hAnsi="Tahoma" w:cs="Tahoma"/>
                <w:b/>
                <w:sz w:val="20"/>
                <w:szCs w:val="20"/>
              </w:rPr>
              <w:t>Процентные ставки (в процентах годовых)</w:t>
            </w:r>
          </w:p>
        </w:tc>
        <w:tc>
          <w:tcPr>
            <w:tcW w:w="11452" w:type="dxa"/>
            <w:tcBorders>
              <w:top w:val="single" w:sz="4" w:space="0" w:color="auto"/>
              <w:left w:val="nil"/>
              <w:bottom w:val="single" w:sz="4" w:space="0" w:color="auto"/>
              <w:right w:val="single" w:sz="4" w:space="0" w:color="auto"/>
            </w:tcBorders>
            <w:shd w:val="clear" w:color="auto" w:fill="auto"/>
          </w:tcPr>
          <w:p w14:paraId="5CC16DD8" w14:textId="77777777" w:rsidR="00951A61" w:rsidRPr="00CC155A" w:rsidRDefault="00951A61" w:rsidP="00A4032F">
            <w:pPr>
              <w:ind w:firstLine="425"/>
              <w:jc w:val="both"/>
              <w:rPr>
                <w:rFonts w:ascii="Tahoma" w:hAnsi="Tahoma" w:cs="Tahoma"/>
                <w:sz w:val="20"/>
                <w:szCs w:val="20"/>
              </w:rPr>
            </w:pPr>
            <w:r w:rsidRPr="00CC155A">
              <w:rPr>
                <w:rFonts w:ascii="Tahoma" w:hAnsi="Tahoma" w:cs="Tahoma"/>
                <w:color w:val="000000"/>
                <w:sz w:val="20"/>
                <w:szCs w:val="20"/>
              </w:rPr>
              <w:t>В соответствии с Порядком формирования процентных ставок по ипотечному кредиту по тарифному плану «НЕЦЕЛЕВОЙ», являющимся Приложением 1 к настоящему документу</w:t>
            </w:r>
          </w:p>
        </w:tc>
      </w:tr>
      <w:tr w:rsidR="00951A61" w:rsidRPr="00CC155A" w14:paraId="484A0D63" w14:textId="77777777" w:rsidTr="00A4032F">
        <w:trPr>
          <w:trHeight w:val="255"/>
        </w:trPr>
        <w:tc>
          <w:tcPr>
            <w:tcW w:w="4121" w:type="dxa"/>
            <w:tcBorders>
              <w:top w:val="nil"/>
              <w:left w:val="single" w:sz="4" w:space="0" w:color="auto"/>
              <w:bottom w:val="single" w:sz="4" w:space="0" w:color="auto"/>
              <w:right w:val="single" w:sz="4" w:space="0" w:color="auto"/>
            </w:tcBorders>
            <w:shd w:val="clear" w:color="auto" w:fill="auto"/>
          </w:tcPr>
          <w:p w14:paraId="24D19983" w14:textId="77777777" w:rsidR="00951A61" w:rsidRPr="00CC155A" w:rsidRDefault="00951A61" w:rsidP="00A4032F">
            <w:pPr>
              <w:jc w:val="center"/>
              <w:rPr>
                <w:rFonts w:ascii="Tahoma" w:hAnsi="Tahoma" w:cs="Tahoma"/>
                <w:b/>
                <w:sz w:val="20"/>
                <w:szCs w:val="20"/>
              </w:rPr>
            </w:pPr>
            <w:r w:rsidRPr="00CC155A">
              <w:rPr>
                <w:rFonts w:ascii="Tahoma" w:hAnsi="Tahoma" w:cs="Tahoma"/>
                <w:b/>
                <w:bCs/>
                <w:color w:val="000000"/>
                <w:sz w:val="20"/>
                <w:szCs w:val="20"/>
              </w:rPr>
              <w:t>Диапазон полной стоимости Кредита в процентном и в денежном выражении</w:t>
            </w:r>
          </w:p>
        </w:tc>
        <w:tc>
          <w:tcPr>
            <w:tcW w:w="11452" w:type="dxa"/>
            <w:tcBorders>
              <w:top w:val="single" w:sz="4" w:space="0" w:color="auto"/>
              <w:left w:val="nil"/>
              <w:bottom w:val="single" w:sz="4" w:space="0" w:color="auto"/>
              <w:right w:val="single" w:sz="4" w:space="0" w:color="auto"/>
            </w:tcBorders>
            <w:shd w:val="clear" w:color="auto" w:fill="auto"/>
            <w:vAlign w:val="center"/>
          </w:tcPr>
          <w:p w14:paraId="17FAFA67" w14:textId="77777777" w:rsidR="00951A61" w:rsidRPr="0052567F" w:rsidRDefault="00951A61" w:rsidP="00A4032F">
            <w:pPr>
              <w:jc w:val="center"/>
              <w:rPr>
                <w:rFonts w:ascii="Tahoma" w:hAnsi="Tahoma" w:cs="Tahoma"/>
                <w:color w:val="000000"/>
                <w:sz w:val="20"/>
                <w:szCs w:val="20"/>
              </w:rPr>
            </w:pPr>
            <w:r w:rsidRPr="0052567F">
              <w:rPr>
                <w:rFonts w:ascii="Tahoma" w:hAnsi="Tahoma" w:cs="Tahoma"/>
                <w:color w:val="000000"/>
                <w:sz w:val="20"/>
                <w:szCs w:val="20"/>
              </w:rPr>
              <w:t>24,117</w:t>
            </w:r>
            <w:r w:rsidRPr="0052567F" w:rsidDel="00295D14">
              <w:rPr>
                <w:rFonts w:ascii="Tahoma" w:hAnsi="Tahoma" w:cs="Tahoma"/>
                <w:color w:val="000000"/>
                <w:sz w:val="20"/>
                <w:szCs w:val="20"/>
              </w:rPr>
              <w:t xml:space="preserve"> </w:t>
            </w:r>
            <w:r w:rsidRPr="0052567F" w:rsidDel="0092039A">
              <w:rPr>
                <w:rFonts w:ascii="Tahoma" w:hAnsi="Tahoma" w:cs="Tahoma"/>
                <w:color w:val="000000"/>
                <w:sz w:val="20"/>
                <w:szCs w:val="20"/>
              </w:rPr>
              <w:t xml:space="preserve"> </w:t>
            </w:r>
            <w:r w:rsidRPr="0052567F">
              <w:rPr>
                <w:rFonts w:ascii="Tahoma" w:hAnsi="Tahoma" w:cs="Tahoma"/>
                <w:color w:val="000000"/>
                <w:sz w:val="20"/>
                <w:szCs w:val="20"/>
              </w:rPr>
              <w:t>% годовых</w:t>
            </w:r>
            <w:r w:rsidRPr="0052567F">
              <w:rPr>
                <w:rStyle w:val="aff3"/>
                <w:rFonts w:ascii="Tahoma" w:hAnsi="Tahoma" w:cs="Tahoma"/>
                <w:color w:val="000000"/>
                <w:sz w:val="20"/>
                <w:szCs w:val="20"/>
              </w:rPr>
              <w:footnoteReference w:id="141"/>
            </w:r>
            <w:r w:rsidRPr="0052567F">
              <w:rPr>
                <w:rFonts w:ascii="Tahoma" w:hAnsi="Tahoma" w:cs="Tahoma"/>
                <w:color w:val="000000"/>
                <w:sz w:val="20"/>
                <w:szCs w:val="20"/>
              </w:rPr>
              <w:t xml:space="preserve"> – 28,329</w:t>
            </w:r>
            <w:r w:rsidRPr="0052567F" w:rsidDel="005A4E06">
              <w:rPr>
                <w:rFonts w:ascii="Tahoma" w:hAnsi="Tahoma" w:cs="Tahoma"/>
                <w:color w:val="000000"/>
                <w:sz w:val="20"/>
                <w:szCs w:val="20"/>
              </w:rPr>
              <w:t xml:space="preserve"> </w:t>
            </w:r>
            <w:r w:rsidRPr="0052567F">
              <w:rPr>
                <w:rFonts w:ascii="Tahoma" w:hAnsi="Tahoma" w:cs="Tahoma"/>
                <w:color w:val="000000"/>
                <w:sz w:val="20"/>
                <w:szCs w:val="20"/>
              </w:rPr>
              <w:t>% годовых</w:t>
            </w:r>
            <w:r w:rsidRPr="0052567F">
              <w:rPr>
                <w:rStyle w:val="aff3"/>
                <w:rFonts w:ascii="Tahoma" w:hAnsi="Tahoma" w:cs="Tahoma"/>
                <w:color w:val="000000"/>
                <w:sz w:val="20"/>
                <w:szCs w:val="20"/>
              </w:rPr>
              <w:footnoteReference w:id="142"/>
            </w:r>
            <w:r w:rsidRPr="0052567F">
              <w:rPr>
                <w:rFonts w:ascii="Tahoma" w:hAnsi="Tahoma" w:cs="Tahoma"/>
                <w:color w:val="000000"/>
                <w:sz w:val="20"/>
                <w:szCs w:val="20"/>
              </w:rPr>
              <w:t>;</w:t>
            </w:r>
          </w:p>
          <w:p w14:paraId="126503A8" w14:textId="77777777" w:rsidR="00951A61" w:rsidRPr="00CC155A" w:rsidRDefault="00951A61" w:rsidP="00A4032F">
            <w:pPr>
              <w:jc w:val="center"/>
              <w:rPr>
                <w:rFonts w:ascii="Tahoma" w:hAnsi="Tahoma" w:cs="Tahoma"/>
                <w:color w:val="000000"/>
                <w:sz w:val="20"/>
                <w:szCs w:val="20"/>
              </w:rPr>
            </w:pPr>
            <w:r w:rsidRPr="0052567F">
              <w:rPr>
                <w:rFonts w:ascii="Tahoma" w:hAnsi="Tahoma" w:cs="Tahoma"/>
                <w:color w:val="000000"/>
                <w:sz w:val="20"/>
                <w:szCs w:val="20"/>
              </w:rPr>
              <w:t>205 935,48</w:t>
            </w:r>
            <w:r w:rsidRPr="0052567F" w:rsidDel="00295D14">
              <w:rPr>
                <w:rFonts w:ascii="Tahoma" w:hAnsi="Tahoma" w:cs="Tahoma"/>
                <w:color w:val="000000"/>
                <w:sz w:val="20"/>
                <w:szCs w:val="20"/>
              </w:rPr>
              <w:t xml:space="preserve"> </w:t>
            </w:r>
            <w:r w:rsidRPr="0052567F">
              <w:rPr>
                <w:rFonts w:ascii="Tahoma" w:hAnsi="Tahoma" w:cs="Tahoma"/>
                <w:color w:val="000000"/>
                <w:sz w:val="20"/>
                <w:szCs w:val="20"/>
              </w:rPr>
              <w:t xml:space="preserve">  рублей – 61 778 592,52 рублей</w:t>
            </w:r>
          </w:p>
        </w:tc>
      </w:tr>
      <w:tr w:rsidR="00951A61" w:rsidRPr="00CC155A" w14:paraId="665B010A" w14:textId="77777777" w:rsidTr="00A4032F">
        <w:trPr>
          <w:trHeight w:val="255"/>
        </w:trPr>
        <w:tc>
          <w:tcPr>
            <w:tcW w:w="4121" w:type="dxa"/>
            <w:tcBorders>
              <w:top w:val="nil"/>
              <w:left w:val="single" w:sz="4" w:space="0" w:color="auto"/>
              <w:bottom w:val="single" w:sz="4" w:space="0" w:color="auto"/>
              <w:right w:val="single" w:sz="4" w:space="0" w:color="auto"/>
            </w:tcBorders>
            <w:shd w:val="clear" w:color="auto" w:fill="auto"/>
          </w:tcPr>
          <w:p w14:paraId="5BF06222" w14:textId="77777777" w:rsidR="00951A61" w:rsidRPr="00CC155A" w:rsidRDefault="00951A61" w:rsidP="00A4032F">
            <w:pPr>
              <w:jc w:val="center"/>
              <w:rPr>
                <w:rFonts w:ascii="Tahoma" w:hAnsi="Tahoma" w:cs="Tahoma"/>
                <w:b/>
                <w:sz w:val="20"/>
                <w:szCs w:val="20"/>
              </w:rPr>
            </w:pPr>
            <w:r w:rsidRPr="00CC155A">
              <w:rPr>
                <w:rFonts w:ascii="Tahoma" w:hAnsi="Tahoma" w:cs="Tahoma"/>
                <w:b/>
                <w:bCs/>
                <w:color w:val="000000"/>
                <w:sz w:val="20"/>
                <w:szCs w:val="20"/>
              </w:rPr>
              <w:t>Способы обеспечения исполнения обязательств по Кредитному договору</w:t>
            </w:r>
          </w:p>
        </w:tc>
        <w:tc>
          <w:tcPr>
            <w:tcW w:w="11452" w:type="dxa"/>
            <w:tcBorders>
              <w:top w:val="single" w:sz="4" w:space="0" w:color="auto"/>
              <w:left w:val="nil"/>
              <w:bottom w:val="single" w:sz="4" w:space="0" w:color="auto"/>
              <w:right w:val="single" w:sz="4" w:space="0" w:color="auto"/>
            </w:tcBorders>
            <w:shd w:val="clear" w:color="auto" w:fill="auto"/>
          </w:tcPr>
          <w:p w14:paraId="2FF1A405" w14:textId="77777777" w:rsidR="00951A61" w:rsidRPr="00CC155A" w:rsidRDefault="00951A61" w:rsidP="00A4032F">
            <w:pPr>
              <w:ind w:firstLine="425"/>
              <w:jc w:val="both"/>
              <w:rPr>
                <w:rFonts w:ascii="Tahoma" w:hAnsi="Tahoma" w:cs="Tahoma"/>
                <w:color w:val="000000"/>
                <w:sz w:val="20"/>
                <w:szCs w:val="20"/>
              </w:rPr>
            </w:pPr>
            <w:r w:rsidRPr="00CC155A">
              <w:rPr>
                <w:rFonts w:ascii="Tahoma" w:hAnsi="Tahoma" w:cs="Tahoma"/>
                <w:color w:val="000000"/>
                <w:sz w:val="20"/>
                <w:szCs w:val="20"/>
              </w:rPr>
              <w:t>Исполнение обязательств по Кредитному договору обеспечивается:</w:t>
            </w:r>
          </w:p>
          <w:p w14:paraId="642E1C58" w14:textId="77777777" w:rsidR="00951A61" w:rsidRPr="00CC155A" w:rsidRDefault="00951A61" w:rsidP="00951A61">
            <w:pPr>
              <w:pStyle w:val="affe"/>
              <w:numPr>
                <w:ilvl w:val="0"/>
                <w:numId w:val="145"/>
              </w:numPr>
              <w:contextualSpacing/>
              <w:jc w:val="both"/>
              <w:rPr>
                <w:rFonts w:ascii="Tahoma" w:hAnsi="Tahoma" w:cs="Tahoma"/>
                <w:color w:val="000000"/>
                <w:sz w:val="20"/>
                <w:szCs w:val="20"/>
              </w:rPr>
            </w:pPr>
            <w:r w:rsidRPr="00CC155A">
              <w:rPr>
                <w:rFonts w:ascii="Tahoma" w:hAnsi="Tahoma" w:cs="Tahoma"/>
                <w:color w:val="000000"/>
                <w:sz w:val="20"/>
                <w:szCs w:val="20"/>
              </w:rPr>
              <w:t>залогом имеющейся в собственности Заемщика (одного из Заемщиков) квартиры</w:t>
            </w:r>
            <w:r>
              <w:rPr>
                <w:rFonts w:ascii="Tahoma" w:hAnsi="Tahoma" w:cs="Tahoma"/>
                <w:color w:val="000000"/>
                <w:sz w:val="20"/>
                <w:szCs w:val="20"/>
              </w:rPr>
              <w:t xml:space="preserve">/ </w:t>
            </w:r>
            <w:r w:rsidRPr="00CC155A">
              <w:rPr>
                <w:rFonts w:ascii="Tahoma" w:hAnsi="Tahoma" w:cs="Tahoma"/>
                <w:color w:val="000000"/>
                <w:sz w:val="20"/>
                <w:szCs w:val="20"/>
              </w:rPr>
              <w:t>нежилого помещения (апартаментов)/ Жилого дома с земельным участком/ Таунхауса/ Коммерческой недвижимости.</w:t>
            </w:r>
          </w:p>
          <w:p w14:paraId="58025594" w14:textId="77777777" w:rsidR="00951A61" w:rsidRPr="00CC155A" w:rsidRDefault="00951A61" w:rsidP="00951A61">
            <w:pPr>
              <w:pStyle w:val="affe"/>
              <w:numPr>
                <w:ilvl w:val="0"/>
                <w:numId w:val="145"/>
              </w:numPr>
              <w:contextualSpacing/>
              <w:jc w:val="both"/>
              <w:rPr>
                <w:rFonts w:ascii="Tahoma" w:hAnsi="Tahoma" w:cs="Tahoma"/>
                <w:color w:val="000000"/>
                <w:sz w:val="20"/>
                <w:szCs w:val="20"/>
              </w:rPr>
            </w:pPr>
            <w:r w:rsidRPr="00CC155A">
              <w:rPr>
                <w:rFonts w:ascii="Tahoma" w:hAnsi="Tahoma" w:cs="Tahoma"/>
                <w:color w:val="000000"/>
                <w:sz w:val="20"/>
                <w:szCs w:val="20"/>
              </w:rPr>
              <w:t>неустойкой.</w:t>
            </w:r>
          </w:p>
          <w:p w14:paraId="6C99E109" w14:textId="77777777" w:rsidR="00951A61" w:rsidRPr="00CC155A" w:rsidRDefault="00951A61" w:rsidP="00A4032F">
            <w:pPr>
              <w:ind w:firstLine="425"/>
              <w:jc w:val="both"/>
              <w:rPr>
                <w:rFonts w:ascii="Tahoma" w:hAnsi="Tahoma" w:cs="Tahoma"/>
                <w:color w:val="000000"/>
                <w:sz w:val="20"/>
                <w:szCs w:val="20"/>
              </w:rPr>
            </w:pPr>
            <w:r w:rsidRPr="00CC155A">
              <w:rPr>
                <w:rFonts w:ascii="Tahoma" w:eastAsia="Calibri" w:hAnsi="Tahoma" w:cs="Tahoma"/>
                <w:sz w:val="20"/>
                <w:szCs w:val="20"/>
              </w:rPr>
              <w:t>Условиями Кредитного договора могут быть предусмотрены дополнительные способы обеспечения исполнения обязательств</w:t>
            </w:r>
          </w:p>
        </w:tc>
      </w:tr>
      <w:tr w:rsidR="00951A61" w:rsidRPr="00CC155A" w14:paraId="27D0B74E" w14:textId="77777777" w:rsidTr="00A4032F">
        <w:trPr>
          <w:trHeight w:val="255"/>
        </w:trPr>
        <w:tc>
          <w:tcPr>
            <w:tcW w:w="4121" w:type="dxa"/>
            <w:tcBorders>
              <w:top w:val="nil"/>
              <w:left w:val="single" w:sz="4" w:space="0" w:color="auto"/>
              <w:bottom w:val="single" w:sz="4" w:space="0" w:color="auto"/>
              <w:right w:val="single" w:sz="4" w:space="0" w:color="auto"/>
            </w:tcBorders>
            <w:shd w:val="clear" w:color="auto" w:fill="auto"/>
          </w:tcPr>
          <w:p w14:paraId="4C43D6B1" w14:textId="77777777" w:rsidR="00951A61" w:rsidRPr="00786DE5" w:rsidRDefault="00951A61" w:rsidP="00A4032F">
            <w:pPr>
              <w:jc w:val="center"/>
              <w:rPr>
                <w:rFonts w:ascii="Tahoma" w:hAnsi="Tahoma" w:cs="Tahoma"/>
                <w:b/>
                <w:sz w:val="20"/>
                <w:szCs w:val="20"/>
              </w:rPr>
            </w:pPr>
            <w:r w:rsidRPr="00CC155A">
              <w:rPr>
                <w:rFonts w:ascii="Tahoma" w:hAnsi="Tahoma" w:cs="Tahoma"/>
                <w:b/>
                <w:sz w:val="20"/>
                <w:szCs w:val="20"/>
              </w:rPr>
              <w:t>Страхование</w:t>
            </w:r>
            <w:r w:rsidRPr="00786DE5">
              <w:rPr>
                <w:rStyle w:val="aff3"/>
                <w:rFonts w:ascii="Tahoma" w:hAnsi="Tahoma"/>
                <w:b/>
                <w:sz w:val="20"/>
                <w:szCs w:val="20"/>
              </w:rPr>
              <w:footnoteReference w:id="143"/>
            </w:r>
          </w:p>
        </w:tc>
        <w:tc>
          <w:tcPr>
            <w:tcW w:w="11452" w:type="dxa"/>
            <w:tcBorders>
              <w:top w:val="single" w:sz="4" w:space="0" w:color="auto"/>
              <w:left w:val="nil"/>
              <w:bottom w:val="single" w:sz="4" w:space="0" w:color="auto"/>
              <w:right w:val="single" w:sz="4" w:space="0" w:color="auto"/>
            </w:tcBorders>
            <w:shd w:val="clear" w:color="auto" w:fill="auto"/>
          </w:tcPr>
          <w:p w14:paraId="61901A04" w14:textId="77777777" w:rsidR="00951A61" w:rsidRPr="00102DF3" w:rsidRDefault="00951A61" w:rsidP="00951A61">
            <w:pPr>
              <w:pStyle w:val="affe"/>
              <w:numPr>
                <w:ilvl w:val="0"/>
                <w:numId w:val="55"/>
              </w:numPr>
              <w:ind w:left="0" w:firstLine="425"/>
              <w:contextualSpacing/>
              <w:jc w:val="both"/>
              <w:rPr>
                <w:rFonts w:ascii="Tahoma" w:hAnsi="Tahoma" w:cs="Tahoma"/>
                <w:sz w:val="20"/>
                <w:szCs w:val="20"/>
              </w:rPr>
            </w:pPr>
            <w:r w:rsidRPr="00786DE5">
              <w:rPr>
                <w:rFonts w:ascii="Tahoma" w:hAnsi="Tahoma" w:cs="Tahoma"/>
                <w:b/>
                <w:sz w:val="20"/>
                <w:szCs w:val="20"/>
              </w:rPr>
              <w:t>Имущественное страхование</w:t>
            </w:r>
            <w:r w:rsidRPr="00CC155A">
              <w:rPr>
                <w:rFonts w:ascii="Tahoma" w:hAnsi="Tahoma" w:cs="Tahoma"/>
                <w:sz w:val="20"/>
                <w:szCs w:val="20"/>
              </w:rPr>
              <w:t xml:space="preserve"> (страхование рисков, связанных с утратой или повреждением недвижимого </w:t>
            </w:r>
            <w:r w:rsidRPr="00102DF3">
              <w:rPr>
                <w:rFonts w:ascii="Tahoma" w:hAnsi="Tahoma" w:cs="Tahoma"/>
                <w:sz w:val="20"/>
                <w:szCs w:val="20"/>
              </w:rPr>
              <w:t>имущества, находящегося в залоге);</w:t>
            </w:r>
          </w:p>
          <w:p w14:paraId="704303DC" w14:textId="77777777" w:rsidR="00951A61" w:rsidRPr="00CC155A" w:rsidRDefault="00951A61" w:rsidP="00951A61">
            <w:pPr>
              <w:pStyle w:val="affe"/>
              <w:numPr>
                <w:ilvl w:val="0"/>
                <w:numId w:val="55"/>
              </w:numPr>
              <w:ind w:left="0" w:firstLine="425"/>
              <w:contextualSpacing/>
              <w:jc w:val="both"/>
              <w:rPr>
                <w:rFonts w:ascii="Tahoma" w:hAnsi="Tahoma" w:cs="Tahoma"/>
                <w:sz w:val="20"/>
                <w:szCs w:val="20"/>
              </w:rPr>
            </w:pPr>
            <w:r w:rsidRPr="00CC155A">
              <w:rPr>
                <w:rFonts w:ascii="Tahoma" w:hAnsi="Tahoma" w:cs="Tahoma"/>
                <w:b/>
                <w:sz w:val="20"/>
                <w:szCs w:val="20"/>
              </w:rPr>
              <w:t>Личное страхование</w:t>
            </w:r>
            <w:r w:rsidRPr="00786DE5">
              <w:rPr>
                <w:rStyle w:val="aff3"/>
                <w:rFonts w:ascii="Tahoma" w:hAnsi="Tahoma"/>
                <w:b/>
                <w:sz w:val="20"/>
                <w:szCs w:val="20"/>
              </w:rPr>
              <w:footnoteReference w:id="144"/>
            </w:r>
            <w:r w:rsidRPr="00786DE5">
              <w:rPr>
                <w:rFonts w:ascii="Tahoma" w:hAnsi="Tahoma" w:cs="Tahoma"/>
                <w:sz w:val="20"/>
                <w:szCs w:val="20"/>
              </w:rPr>
              <w:t xml:space="preserve"> (</w:t>
            </w:r>
            <w:r w:rsidRPr="0092039A">
              <w:rPr>
                <w:rFonts w:ascii="Tahoma" w:hAnsi="Tahoma" w:cs="Tahoma"/>
                <w:sz w:val="20"/>
                <w:szCs w:val="20"/>
              </w:rPr>
              <w:t>страхование на случай смерти застрахованного лица и установления застрахованному лицу инвалидности I, II группы, в том числе в результате болезни</w:t>
            </w:r>
            <w:r w:rsidRPr="00786DE5">
              <w:rPr>
                <w:rFonts w:ascii="Tahoma" w:hAnsi="Tahoma" w:cs="Tahoma"/>
                <w:sz w:val="20"/>
                <w:szCs w:val="20"/>
              </w:rPr>
              <w:t>) — оформляется</w:t>
            </w:r>
            <w:r w:rsidRPr="00CC155A">
              <w:rPr>
                <w:rFonts w:ascii="Tahoma" w:hAnsi="Tahoma" w:cs="Tahoma"/>
                <w:sz w:val="20"/>
                <w:szCs w:val="20"/>
              </w:rPr>
              <w:t xml:space="preserve"> по желанию заемщика;</w:t>
            </w:r>
          </w:p>
          <w:p w14:paraId="55F80B27" w14:textId="77777777" w:rsidR="00951A61" w:rsidRPr="00CC155A" w:rsidRDefault="00951A61" w:rsidP="00951A61">
            <w:pPr>
              <w:pStyle w:val="affe"/>
              <w:numPr>
                <w:ilvl w:val="0"/>
                <w:numId w:val="55"/>
              </w:numPr>
              <w:ind w:left="0" w:firstLine="425"/>
              <w:contextualSpacing/>
              <w:jc w:val="both"/>
              <w:rPr>
                <w:rFonts w:ascii="Tahoma" w:hAnsi="Tahoma" w:cs="Tahoma"/>
                <w:sz w:val="20"/>
                <w:szCs w:val="20"/>
              </w:rPr>
            </w:pPr>
            <w:r w:rsidRPr="00CC155A">
              <w:rPr>
                <w:rFonts w:ascii="Tahoma" w:hAnsi="Tahoma" w:cs="Tahoma"/>
                <w:b/>
                <w:sz w:val="20"/>
                <w:szCs w:val="20"/>
              </w:rPr>
              <w:lastRenderedPageBreak/>
              <w:t>Титульное страхование</w:t>
            </w:r>
            <w:r w:rsidRPr="00CC155A">
              <w:rPr>
                <w:rFonts w:ascii="Tahoma" w:hAnsi="Tahoma" w:cs="Tahoma"/>
                <w:sz w:val="20"/>
                <w:szCs w:val="20"/>
              </w:rPr>
              <w:t xml:space="preserve"> (страхование от риска утраты / ограничения права собственности (титула) на Объект недвижимости, осуществляется в течение 3-х лет с момента оформления права собственности Заемщика </w:t>
            </w:r>
            <w:r w:rsidRPr="00CC155A">
              <w:rPr>
                <w:rFonts w:ascii="Tahoma" w:hAnsi="Tahoma" w:cs="Tahoma"/>
                <w:color w:val="000000"/>
                <w:sz w:val="20"/>
                <w:szCs w:val="20"/>
              </w:rPr>
              <w:t>(Заемщика и иных лиц)</w:t>
            </w:r>
            <w:r w:rsidRPr="00CC155A">
              <w:rPr>
                <w:rFonts w:ascii="Tahoma" w:hAnsi="Tahoma" w:cs="Tahoma"/>
                <w:sz w:val="20"/>
                <w:szCs w:val="20"/>
              </w:rPr>
              <w:t xml:space="preserve"> на Объект недвижимости) — оформляется по желанию заемщика.  </w:t>
            </w:r>
          </w:p>
        </w:tc>
      </w:tr>
      <w:tr w:rsidR="00951A61" w:rsidRPr="00CC155A" w14:paraId="6CFA65B1" w14:textId="77777777" w:rsidTr="00A4032F">
        <w:trPr>
          <w:trHeight w:val="255"/>
        </w:trPr>
        <w:tc>
          <w:tcPr>
            <w:tcW w:w="4121" w:type="dxa"/>
            <w:tcBorders>
              <w:top w:val="nil"/>
              <w:left w:val="single" w:sz="4" w:space="0" w:color="auto"/>
              <w:bottom w:val="single" w:sz="4" w:space="0" w:color="auto"/>
              <w:right w:val="single" w:sz="4" w:space="0" w:color="auto"/>
            </w:tcBorders>
            <w:shd w:val="clear" w:color="auto" w:fill="auto"/>
          </w:tcPr>
          <w:p w14:paraId="0D14E08A" w14:textId="77777777" w:rsidR="00951A61" w:rsidRPr="00CC155A" w:rsidRDefault="00951A61" w:rsidP="00A4032F">
            <w:pPr>
              <w:jc w:val="center"/>
              <w:rPr>
                <w:rFonts w:ascii="Tahoma" w:hAnsi="Tahoma" w:cs="Tahoma"/>
                <w:b/>
                <w:sz w:val="20"/>
                <w:szCs w:val="20"/>
              </w:rPr>
            </w:pPr>
            <w:r w:rsidRPr="00CC155A">
              <w:rPr>
                <w:rFonts w:ascii="Tahoma" w:hAnsi="Tahoma" w:cs="Tahoma"/>
                <w:b/>
                <w:sz w:val="20"/>
                <w:szCs w:val="20"/>
              </w:rPr>
              <w:lastRenderedPageBreak/>
              <w:t>Коэффициент кредит/залог (К/З)</w:t>
            </w:r>
          </w:p>
        </w:tc>
        <w:tc>
          <w:tcPr>
            <w:tcW w:w="11452" w:type="dxa"/>
            <w:tcBorders>
              <w:top w:val="single" w:sz="4" w:space="0" w:color="auto"/>
              <w:left w:val="nil"/>
              <w:bottom w:val="single" w:sz="4" w:space="0" w:color="auto"/>
              <w:right w:val="single" w:sz="4" w:space="0" w:color="auto"/>
            </w:tcBorders>
            <w:shd w:val="clear" w:color="auto" w:fill="auto"/>
          </w:tcPr>
          <w:p w14:paraId="74F6C042" w14:textId="77777777" w:rsidR="00951A61" w:rsidRPr="00695F11" w:rsidRDefault="00951A61" w:rsidP="00A4032F">
            <w:pPr>
              <w:pStyle w:val="affe"/>
              <w:tabs>
                <w:tab w:val="left" w:pos="280"/>
              </w:tabs>
              <w:ind w:left="0" w:firstLine="425"/>
              <w:jc w:val="both"/>
              <w:rPr>
                <w:rFonts w:ascii="Tahoma" w:hAnsi="Tahoma" w:cs="Tahoma"/>
                <w:sz w:val="20"/>
                <w:szCs w:val="20"/>
              </w:rPr>
            </w:pPr>
            <w:r w:rsidRPr="00695F11">
              <w:rPr>
                <w:rFonts w:ascii="Tahoma" w:hAnsi="Tahoma" w:cs="Tahoma"/>
                <w:b/>
                <w:sz w:val="20"/>
                <w:szCs w:val="20"/>
                <w:u w:val="single"/>
              </w:rPr>
              <w:t xml:space="preserve">Коэффициент К/З </w:t>
            </w:r>
            <w:r w:rsidRPr="00695F11">
              <w:rPr>
                <w:rFonts w:ascii="Tahoma" w:hAnsi="Tahoma" w:cs="Tahoma"/>
                <w:sz w:val="20"/>
                <w:szCs w:val="20"/>
              </w:rPr>
              <w:t>определяется как величина расчета возможной суммы кредита в зависимости от действительной стоимости объекта.</w:t>
            </w:r>
          </w:p>
          <w:p w14:paraId="393A91AC" w14:textId="77777777" w:rsidR="00951A61" w:rsidRPr="00695F11" w:rsidRDefault="00951A61" w:rsidP="00A4032F">
            <w:pPr>
              <w:pStyle w:val="affe"/>
              <w:tabs>
                <w:tab w:val="left" w:pos="280"/>
              </w:tabs>
              <w:ind w:left="0" w:firstLine="425"/>
              <w:jc w:val="both"/>
              <w:rPr>
                <w:rFonts w:ascii="Tahoma" w:hAnsi="Tahoma" w:cs="Tahoma"/>
                <w:b/>
                <w:sz w:val="20"/>
                <w:szCs w:val="20"/>
                <w:u w:val="single"/>
              </w:rPr>
            </w:pPr>
            <w:r w:rsidRPr="00695F11">
              <w:rPr>
                <w:rFonts w:ascii="Tahoma" w:hAnsi="Tahoma" w:cs="Tahoma"/>
                <w:b/>
                <w:sz w:val="20"/>
                <w:szCs w:val="20"/>
                <w:u w:val="single"/>
              </w:rPr>
              <w:t>Требование к стандартному размеру Коэффициента К/З</w:t>
            </w:r>
            <w:r w:rsidRPr="00695F11">
              <w:rPr>
                <w:rStyle w:val="aff3"/>
                <w:rFonts w:ascii="Tahoma" w:hAnsi="Tahoma" w:cs="Tahoma"/>
                <w:b/>
                <w:sz w:val="20"/>
                <w:szCs w:val="20"/>
                <w:u w:val="single"/>
              </w:rPr>
              <w:footnoteReference w:id="145"/>
            </w:r>
            <w:r w:rsidRPr="00695F11">
              <w:rPr>
                <w:rFonts w:ascii="Tahoma" w:hAnsi="Tahoma" w:cs="Tahoma"/>
                <w:b/>
                <w:sz w:val="20"/>
                <w:szCs w:val="20"/>
                <w:u w:val="single"/>
              </w:rPr>
              <w:t>:</w:t>
            </w:r>
          </w:p>
          <w:tbl>
            <w:tblPr>
              <w:tblStyle w:val="aff0"/>
              <w:tblW w:w="11226" w:type="dxa"/>
              <w:tblInd w:w="33" w:type="dxa"/>
              <w:tblLayout w:type="fixed"/>
              <w:tblLook w:val="04A0" w:firstRow="1" w:lastRow="0" w:firstColumn="1" w:lastColumn="0" w:noHBand="0" w:noVBand="1"/>
            </w:tblPr>
            <w:tblGrid>
              <w:gridCol w:w="2806"/>
              <w:gridCol w:w="2806"/>
              <w:gridCol w:w="2807"/>
              <w:gridCol w:w="2807"/>
            </w:tblGrid>
            <w:tr w:rsidR="00951A61" w:rsidRPr="00695F11" w14:paraId="1AD30AAA" w14:textId="77777777" w:rsidTr="00A4032F">
              <w:tc>
                <w:tcPr>
                  <w:tcW w:w="2806" w:type="dxa"/>
                  <w:vAlign w:val="center"/>
                </w:tcPr>
                <w:p w14:paraId="16F34A54" w14:textId="77777777" w:rsidR="00951A61" w:rsidRPr="00695F11" w:rsidRDefault="00951A61" w:rsidP="00A4032F">
                  <w:pPr>
                    <w:pStyle w:val="affe"/>
                    <w:tabs>
                      <w:tab w:val="left" w:pos="280"/>
                    </w:tabs>
                    <w:ind w:left="0" w:firstLine="425"/>
                    <w:jc w:val="both"/>
                    <w:rPr>
                      <w:rFonts w:ascii="Tahoma" w:hAnsi="Tahoma" w:cs="Tahoma"/>
                      <w:b/>
                      <w:sz w:val="20"/>
                      <w:szCs w:val="20"/>
                      <w:u w:val="single"/>
                    </w:rPr>
                  </w:pPr>
                  <w:r w:rsidRPr="00695F11">
                    <w:rPr>
                      <w:rFonts w:ascii="Tahoma" w:hAnsi="Tahoma" w:cs="Tahoma"/>
                      <w:b/>
                      <w:sz w:val="20"/>
                      <w:szCs w:val="20"/>
                    </w:rPr>
                    <w:t>Квартира/Апартаменты</w:t>
                  </w:r>
                </w:p>
              </w:tc>
              <w:tc>
                <w:tcPr>
                  <w:tcW w:w="2806" w:type="dxa"/>
                  <w:vAlign w:val="center"/>
                </w:tcPr>
                <w:p w14:paraId="0E774000" w14:textId="77777777" w:rsidR="00951A61" w:rsidRPr="00695F11" w:rsidRDefault="00951A61" w:rsidP="00A4032F">
                  <w:pPr>
                    <w:pStyle w:val="affe"/>
                    <w:tabs>
                      <w:tab w:val="left" w:pos="280"/>
                    </w:tabs>
                    <w:ind w:left="0" w:firstLine="425"/>
                    <w:jc w:val="both"/>
                    <w:rPr>
                      <w:rFonts w:ascii="Tahoma" w:hAnsi="Tahoma" w:cs="Tahoma"/>
                      <w:b/>
                      <w:sz w:val="20"/>
                      <w:szCs w:val="20"/>
                      <w:u w:val="single"/>
                    </w:rPr>
                  </w:pPr>
                  <w:r w:rsidRPr="00695F11">
                    <w:rPr>
                      <w:rFonts w:ascii="Tahoma" w:hAnsi="Tahoma" w:cs="Tahoma"/>
                      <w:b/>
                      <w:sz w:val="20"/>
                      <w:szCs w:val="20"/>
                    </w:rPr>
                    <w:t>Жилой дом с Зем. участком</w:t>
                  </w:r>
                </w:p>
              </w:tc>
              <w:tc>
                <w:tcPr>
                  <w:tcW w:w="2807" w:type="dxa"/>
                </w:tcPr>
                <w:p w14:paraId="0FDEFE6B" w14:textId="77777777" w:rsidR="00951A61" w:rsidRPr="00695F11" w:rsidRDefault="00951A61" w:rsidP="00A4032F">
                  <w:pPr>
                    <w:pStyle w:val="affe"/>
                    <w:tabs>
                      <w:tab w:val="left" w:pos="280"/>
                    </w:tabs>
                    <w:ind w:left="0" w:firstLine="425"/>
                    <w:jc w:val="both"/>
                    <w:rPr>
                      <w:rFonts w:ascii="Tahoma" w:hAnsi="Tahoma" w:cs="Tahoma"/>
                      <w:b/>
                      <w:sz w:val="20"/>
                      <w:szCs w:val="20"/>
                    </w:rPr>
                  </w:pPr>
                  <w:r w:rsidRPr="00695F11">
                    <w:rPr>
                      <w:rFonts w:ascii="Tahoma" w:hAnsi="Tahoma" w:cs="Tahoma"/>
                      <w:b/>
                      <w:sz w:val="20"/>
                      <w:szCs w:val="20"/>
                    </w:rPr>
                    <w:t>Таунхаус</w:t>
                  </w:r>
                </w:p>
                <w:p w14:paraId="78D30E1C" w14:textId="77777777" w:rsidR="00951A61" w:rsidRPr="00695F11" w:rsidRDefault="00951A61" w:rsidP="00A4032F">
                  <w:pPr>
                    <w:pStyle w:val="affe"/>
                    <w:tabs>
                      <w:tab w:val="left" w:pos="280"/>
                    </w:tabs>
                    <w:ind w:left="0" w:firstLine="425"/>
                    <w:jc w:val="both"/>
                    <w:rPr>
                      <w:rFonts w:ascii="Tahoma" w:hAnsi="Tahoma" w:cs="Tahoma"/>
                      <w:b/>
                      <w:sz w:val="20"/>
                      <w:szCs w:val="20"/>
                      <w:u w:val="single"/>
                    </w:rPr>
                  </w:pPr>
                </w:p>
              </w:tc>
              <w:tc>
                <w:tcPr>
                  <w:tcW w:w="2807" w:type="dxa"/>
                </w:tcPr>
                <w:p w14:paraId="53D12DB3" w14:textId="77777777" w:rsidR="00951A61" w:rsidRPr="00695F11" w:rsidRDefault="00951A61" w:rsidP="00A4032F">
                  <w:pPr>
                    <w:pStyle w:val="affe"/>
                    <w:tabs>
                      <w:tab w:val="left" w:pos="280"/>
                    </w:tabs>
                    <w:ind w:left="0" w:firstLine="425"/>
                    <w:jc w:val="both"/>
                    <w:rPr>
                      <w:rFonts w:ascii="Tahoma" w:hAnsi="Tahoma" w:cs="Tahoma"/>
                      <w:b/>
                      <w:sz w:val="20"/>
                      <w:szCs w:val="20"/>
                      <w:u w:val="single"/>
                    </w:rPr>
                  </w:pPr>
                  <w:r w:rsidRPr="00695F11">
                    <w:rPr>
                      <w:rFonts w:ascii="Tahoma" w:hAnsi="Tahoma" w:cs="Tahoma"/>
                      <w:b/>
                      <w:sz w:val="20"/>
                      <w:szCs w:val="20"/>
                    </w:rPr>
                    <w:t>Коммерческая недвижимость</w:t>
                  </w:r>
                  <w:r w:rsidRPr="00695F11">
                    <w:rPr>
                      <w:rStyle w:val="aff3"/>
                      <w:rFonts w:ascii="Tahoma" w:hAnsi="Tahoma"/>
                      <w:b/>
                      <w:sz w:val="20"/>
                      <w:szCs w:val="20"/>
                    </w:rPr>
                    <w:footnoteReference w:id="146"/>
                  </w:r>
                </w:p>
              </w:tc>
            </w:tr>
            <w:tr w:rsidR="00951A61" w:rsidRPr="00695F11" w14:paraId="1F7C258B" w14:textId="77777777" w:rsidTr="00A4032F">
              <w:tc>
                <w:tcPr>
                  <w:tcW w:w="2806" w:type="dxa"/>
                  <w:vAlign w:val="center"/>
                </w:tcPr>
                <w:p w14:paraId="2D4CDF0B" w14:textId="77777777" w:rsidR="00951A61" w:rsidRPr="00695F11" w:rsidRDefault="00951A61" w:rsidP="00A4032F">
                  <w:pPr>
                    <w:pStyle w:val="affe"/>
                    <w:tabs>
                      <w:tab w:val="left" w:pos="280"/>
                    </w:tabs>
                    <w:ind w:left="0" w:firstLine="425"/>
                    <w:jc w:val="both"/>
                    <w:rPr>
                      <w:rFonts w:ascii="Tahoma" w:hAnsi="Tahoma" w:cs="Tahoma"/>
                      <w:b/>
                      <w:sz w:val="20"/>
                      <w:szCs w:val="20"/>
                      <w:u w:val="single"/>
                    </w:rPr>
                  </w:pPr>
                  <w:r w:rsidRPr="00054740">
                    <w:rPr>
                      <w:rFonts w:ascii="Tahoma" w:hAnsi="Tahoma" w:cs="Tahoma"/>
                      <w:sz w:val="20"/>
                      <w:szCs w:val="20"/>
                    </w:rPr>
                    <w:t>Не более 70%</w:t>
                  </w:r>
                </w:p>
              </w:tc>
              <w:tc>
                <w:tcPr>
                  <w:tcW w:w="2806" w:type="dxa"/>
                  <w:vAlign w:val="center"/>
                </w:tcPr>
                <w:p w14:paraId="7915872E" w14:textId="77777777" w:rsidR="00951A61" w:rsidRPr="00695F11" w:rsidRDefault="00951A61" w:rsidP="00A4032F">
                  <w:pPr>
                    <w:pStyle w:val="affe"/>
                    <w:tabs>
                      <w:tab w:val="left" w:pos="280"/>
                    </w:tabs>
                    <w:ind w:left="0" w:firstLine="425"/>
                    <w:jc w:val="both"/>
                    <w:rPr>
                      <w:rFonts w:ascii="Tahoma" w:hAnsi="Tahoma" w:cs="Tahoma"/>
                      <w:b/>
                      <w:sz w:val="20"/>
                      <w:szCs w:val="20"/>
                      <w:u w:val="single"/>
                    </w:rPr>
                  </w:pPr>
                  <w:r w:rsidRPr="00695F11">
                    <w:rPr>
                      <w:rFonts w:ascii="Tahoma" w:hAnsi="Tahoma" w:cs="Tahoma"/>
                      <w:sz w:val="20"/>
                      <w:szCs w:val="20"/>
                    </w:rPr>
                    <w:t>Не более 60%</w:t>
                  </w:r>
                  <w:r w:rsidRPr="00695F11">
                    <w:rPr>
                      <w:rStyle w:val="aff3"/>
                      <w:rFonts w:ascii="Tahoma" w:hAnsi="Tahoma"/>
                      <w:sz w:val="20"/>
                      <w:szCs w:val="20"/>
                    </w:rPr>
                    <w:footnoteReference w:id="147"/>
                  </w:r>
                </w:p>
              </w:tc>
              <w:tc>
                <w:tcPr>
                  <w:tcW w:w="2807" w:type="dxa"/>
                </w:tcPr>
                <w:p w14:paraId="49EFD5EA" w14:textId="77777777" w:rsidR="00951A61" w:rsidRPr="00695F11" w:rsidRDefault="00951A61" w:rsidP="00A4032F">
                  <w:pPr>
                    <w:pStyle w:val="affe"/>
                    <w:tabs>
                      <w:tab w:val="left" w:pos="280"/>
                    </w:tabs>
                    <w:ind w:left="0" w:firstLine="425"/>
                    <w:jc w:val="both"/>
                    <w:rPr>
                      <w:rFonts w:ascii="Tahoma" w:hAnsi="Tahoma" w:cs="Tahoma"/>
                      <w:b/>
                      <w:sz w:val="20"/>
                      <w:szCs w:val="20"/>
                      <w:u w:val="single"/>
                    </w:rPr>
                  </w:pPr>
                  <w:r w:rsidRPr="00054740">
                    <w:rPr>
                      <w:rFonts w:ascii="Tahoma" w:hAnsi="Tahoma" w:cs="Tahoma"/>
                      <w:sz w:val="20"/>
                      <w:szCs w:val="20"/>
                    </w:rPr>
                    <w:t>Не более 60%</w:t>
                  </w:r>
                  <w:r w:rsidRPr="00054740">
                    <w:rPr>
                      <w:rStyle w:val="aff3"/>
                      <w:rFonts w:ascii="Tahoma" w:hAnsi="Tahoma" w:cs="Tahoma"/>
                      <w:sz w:val="20"/>
                      <w:szCs w:val="20"/>
                    </w:rPr>
                    <w:footnoteReference w:id="148"/>
                  </w:r>
                </w:p>
              </w:tc>
              <w:tc>
                <w:tcPr>
                  <w:tcW w:w="2807" w:type="dxa"/>
                </w:tcPr>
                <w:p w14:paraId="10EE428F" w14:textId="77777777" w:rsidR="00951A61" w:rsidRPr="00695F11" w:rsidRDefault="00951A61" w:rsidP="00A4032F">
                  <w:pPr>
                    <w:pStyle w:val="affe"/>
                    <w:tabs>
                      <w:tab w:val="left" w:pos="280"/>
                    </w:tabs>
                    <w:ind w:left="0" w:firstLine="425"/>
                    <w:jc w:val="both"/>
                    <w:rPr>
                      <w:rFonts w:ascii="Tahoma" w:hAnsi="Tahoma" w:cs="Tahoma"/>
                      <w:b/>
                      <w:sz w:val="20"/>
                      <w:szCs w:val="20"/>
                      <w:u w:val="single"/>
                    </w:rPr>
                  </w:pPr>
                  <w:r w:rsidRPr="00695F11">
                    <w:rPr>
                      <w:rFonts w:ascii="Tahoma" w:hAnsi="Tahoma" w:cs="Tahoma"/>
                      <w:sz w:val="20"/>
                      <w:szCs w:val="20"/>
                    </w:rPr>
                    <w:t>Не более 60%</w:t>
                  </w:r>
                </w:p>
              </w:tc>
            </w:tr>
          </w:tbl>
          <w:p w14:paraId="78B904CF" w14:textId="77777777" w:rsidR="00951A61" w:rsidRPr="00695F11" w:rsidRDefault="00951A61" w:rsidP="00A4032F">
            <w:pPr>
              <w:jc w:val="both"/>
              <w:rPr>
                <w:rFonts w:ascii="Tahoma" w:hAnsi="Tahoma" w:cs="Tahoma"/>
                <w:sz w:val="20"/>
                <w:szCs w:val="20"/>
              </w:rPr>
            </w:pPr>
          </w:p>
        </w:tc>
      </w:tr>
      <w:tr w:rsidR="00951A61" w:rsidRPr="00CC155A" w14:paraId="7FA5912A" w14:textId="77777777" w:rsidTr="00A4032F">
        <w:trPr>
          <w:trHeight w:val="255"/>
        </w:trPr>
        <w:tc>
          <w:tcPr>
            <w:tcW w:w="4121" w:type="dxa"/>
            <w:tcBorders>
              <w:top w:val="nil"/>
              <w:left w:val="single" w:sz="4" w:space="0" w:color="auto"/>
              <w:bottom w:val="single" w:sz="4" w:space="0" w:color="auto"/>
              <w:right w:val="single" w:sz="4" w:space="0" w:color="auto"/>
            </w:tcBorders>
            <w:shd w:val="clear" w:color="auto" w:fill="auto"/>
            <w:vAlign w:val="center"/>
          </w:tcPr>
          <w:p w14:paraId="5D1C381A" w14:textId="77777777" w:rsidR="00951A61" w:rsidRPr="00CC155A" w:rsidRDefault="00951A61" w:rsidP="00A4032F">
            <w:pPr>
              <w:jc w:val="both"/>
              <w:rPr>
                <w:rFonts w:ascii="Tahoma" w:hAnsi="Tahoma" w:cs="Tahoma"/>
                <w:b/>
                <w:sz w:val="20"/>
                <w:szCs w:val="20"/>
              </w:rPr>
            </w:pPr>
            <w:r w:rsidRPr="00CC155A">
              <w:rPr>
                <w:rFonts w:ascii="Tahoma" w:hAnsi="Tahoma" w:cs="Tahoma"/>
                <w:b/>
                <w:sz w:val="20"/>
                <w:szCs w:val="20"/>
              </w:rPr>
              <w:t xml:space="preserve">Способ предоставления </w:t>
            </w:r>
            <w:r>
              <w:rPr>
                <w:rFonts w:ascii="Tahoma" w:hAnsi="Tahoma" w:cs="Tahoma"/>
                <w:b/>
                <w:sz w:val="20"/>
                <w:szCs w:val="20"/>
              </w:rPr>
              <w:t>потребительского к</w:t>
            </w:r>
            <w:r w:rsidRPr="00CC155A">
              <w:rPr>
                <w:rFonts w:ascii="Tahoma" w:hAnsi="Tahoma" w:cs="Tahoma"/>
                <w:b/>
                <w:sz w:val="20"/>
                <w:szCs w:val="20"/>
              </w:rPr>
              <w:t>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1EA12094" w14:textId="77777777" w:rsidR="00951A61" w:rsidRPr="00CC155A" w:rsidRDefault="00951A61" w:rsidP="00A4032F">
            <w:pPr>
              <w:ind w:firstLine="425"/>
              <w:jc w:val="both"/>
              <w:rPr>
                <w:rFonts w:ascii="Tahoma" w:hAnsi="Tahoma" w:cs="Tahoma"/>
                <w:sz w:val="20"/>
                <w:szCs w:val="20"/>
              </w:rPr>
            </w:pPr>
            <w:r w:rsidRPr="00CC155A">
              <w:rPr>
                <w:rFonts w:ascii="Tahoma" w:hAnsi="Tahoma" w:cs="Tahoma"/>
                <w:sz w:val="20"/>
                <w:szCs w:val="20"/>
              </w:rPr>
              <w:t xml:space="preserve">Кредит предоставляется Заемщику в безналичной форме путем перечисления всей суммы Кредита единовременно на открытый в Банке счет ТБС. </w:t>
            </w:r>
          </w:p>
          <w:p w14:paraId="266B8D28" w14:textId="77777777" w:rsidR="00951A61" w:rsidRPr="00CC155A" w:rsidRDefault="00951A61" w:rsidP="00A4032F">
            <w:pPr>
              <w:ind w:firstLine="425"/>
              <w:jc w:val="both"/>
              <w:rPr>
                <w:rFonts w:ascii="Tahoma" w:hAnsi="Tahoma" w:cs="Tahoma"/>
                <w:sz w:val="20"/>
                <w:szCs w:val="20"/>
              </w:rPr>
            </w:pPr>
            <w:r w:rsidRPr="00CC155A">
              <w:rPr>
                <w:rFonts w:ascii="Tahoma" w:hAnsi="Tahoma" w:cs="Tahoma"/>
                <w:sz w:val="20"/>
                <w:szCs w:val="20"/>
              </w:rPr>
              <w:t xml:space="preserve">Если впоследствии сумму Кредита, предоставленную на счет Заемщика, открытый в Банке необходимо перевести третьему лицу, указанному Заемщиком, то перевод осуществляются в соответствии с порядком и тарифами, предусмотренными Банком для перевода денежных средств. </w:t>
            </w:r>
          </w:p>
          <w:p w14:paraId="071304A3" w14:textId="77777777" w:rsidR="00951A61" w:rsidRPr="00CC155A" w:rsidRDefault="00951A61" w:rsidP="00A4032F">
            <w:pPr>
              <w:ind w:firstLine="425"/>
              <w:jc w:val="both"/>
              <w:rPr>
                <w:rFonts w:ascii="Tahoma" w:hAnsi="Tahoma" w:cs="Tahoma"/>
                <w:sz w:val="20"/>
                <w:szCs w:val="20"/>
              </w:rPr>
            </w:pPr>
          </w:p>
        </w:tc>
      </w:tr>
      <w:tr w:rsidR="00951A61" w:rsidRPr="00CC155A" w14:paraId="6F769165" w14:textId="77777777" w:rsidTr="00A4032F">
        <w:trPr>
          <w:trHeight w:val="255"/>
        </w:trPr>
        <w:tc>
          <w:tcPr>
            <w:tcW w:w="4121" w:type="dxa"/>
            <w:tcBorders>
              <w:top w:val="nil"/>
              <w:left w:val="single" w:sz="4" w:space="0" w:color="auto"/>
              <w:bottom w:val="single" w:sz="4" w:space="0" w:color="auto"/>
              <w:right w:val="single" w:sz="4" w:space="0" w:color="auto"/>
            </w:tcBorders>
            <w:shd w:val="clear" w:color="auto" w:fill="auto"/>
            <w:vAlign w:val="center"/>
          </w:tcPr>
          <w:p w14:paraId="0DBF020E" w14:textId="77777777" w:rsidR="00951A61" w:rsidRPr="00CC155A" w:rsidRDefault="00951A61" w:rsidP="00A4032F">
            <w:pPr>
              <w:jc w:val="center"/>
              <w:rPr>
                <w:rFonts w:ascii="Tahoma" w:hAnsi="Tahoma" w:cs="Tahoma"/>
                <w:b/>
                <w:sz w:val="20"/>
                <w:szCs w:val="20"/>
              </w:rPr>
            </w:pPr>
            <w:r w:rsidRPr="00527278">
              <w:rPr>
                <w:rFonts w:ascii="Tahoma" w:hAnsi="Tahoma" w:cs="Tahoma"/>
                <w:b/>
                <w:bCs/>
                <w:sz w:val="20"/>
                <w:szCs w:val="20"/>
              </w:rPr>
              <w:t xml:space="preserve">Срок рассмотрения </w:t>
            </w:r>
            <w:r w:rsidRPr="00BF07F6">
              <w:rPr>
                <w:rFonts w:ascii="Tahoma" w:hAnsi="Tahoma" w:cs="Tahoma"/>
                <w:b/>
                <w:bCs/>
                <w:sz w:val="20"/>
                <w:szCs w:val="20"/>
              </w:rPr>
              <w:t xml:space="preserve">оформленного </w:t>
            </w:r>
            <w:r w:rsidRPr="00564551">
              <w:rPr>
                <w:rFonts w:ascii="Tahoma" w:hAnsi="Tahoma" w:cs="Tahoma"/>
                <w:b/>
                <w:bCs/>
                <w:sz w:val="20"/>
                <w:szCs w:val="20"/>
              </w:rPr>
              <w:t xml:space="preserve">Заёмщиком заявления о предоставлении потребительского кредита и принятия </w:t>
            </w:r>
            <w:r w:rsidRPr="00A83D1C">
              <w:rPr>
                <w:rFonts w:ascii="Tahoma" w:hAnsi="Tahoma" w:cs="Tahoma"/>
                <w:b/>
                <w:bCs/>
                <w:sz w:val="20"/>
                <w:szCs w:val="20"/>
              </w:rPr>
              <w:t>кредитором решения относительно этого заявления</w:t>
            </w:r>
          </w:p>
        </w:tc>
        <w:tc>
          <w:tcPr>
            <w:tcW w:w="11452" w:type="dxa"/>
            <w:tcBorders>
              <w:top w:val="single" w:sz="4" w:space="0" w:color="auto"/>
              <w:left w:val="nil"/>
              <w:bottom w:val="single" w:sz="4" w:space="0" w:color="auto"/>
              <w:right w:val="single" w:sz="4" w:space="0" w:color="auto"/>
            </w:tcBorders>
            <w:shd w:val="clear" w:color="auto" w:fill="auto"/>
            <w:vAlign w:val="center"/>
          </w:tcPr>
          <w:p w14:paraId="73BE880F" w14:textId="77777777" w:rsidR="00951A61" w:rsidRPr="00CC155A" w:rsidRDefault="00951A61" w:rsidP="00A4032F">
            <w:pPr>
              <w:ind w:firstLine="425"/>
              <w:jc w:val="both"/>
              <w:rPr>
                <w:rFonts w:ascii="Tahoma" w:hAnsi="Tahoma" w:cs="Tahoma"/>
                <w:sz w:val="20"/>
                <w:szCs w:val="20"/>
              </w:rPr>
            </w:pPr>
            <w:r w:rsidRPr="00CC155A">
              <w:rPr>
                <w:rFonts w:ascii="Tahoma" w:hAnsi="Tahoma" w:cs="Tahoma"/>
                <w:sz w:val="20"/>
                <w:szCs w:val="20"/>
              </w:rPr>
              <w:t>2 рабочих дня с момента предоставления Заемщиком полного пакета документов, в случае необходимости запроса у Заёмщика дополнительных документов срок может быть увеличен</w:t>
            </w:r>
          </w:p>
        </w:tc>
      </w:tr>
      <w:tr w:rsidR="00951A61" w:rsidRPr="00CC155A" w14:paraId="1DC02E57" w14:textId="77777777" w:rsidTr="00A4032F">
        <w:trPr>
          <w:trHeight w:val="255"/>
        </w:trPr>
        <w:tc>
          <w:tcPr>
            <w:tcW w:w="4121" w:type="dxa"/>
            <w:tcBorders>
              <w:top w:val="nil"/>
              <w:left w:val="single" w:sz="4" w:space="0" w:color="auto"/>
              <w:bottom w:val="single" w:sz="4" w:space="0" w:color="auto"/>
              <w:right w:val="single" w:sz="4" w:space="0" w:color="auto"/>
            </w:tcBorders>
            <w:shd w:val="clear" w:color="auto" w:fill="auto"/>
            <w:vAlign w:val="center"/>
          </w:tcPr>
          <w:p w14:paraId="32B4C9E7" w14:textId="77777777" w:rsidR="00951A61" w:rsidRPr="00CC155A" w:rsidRDefault="00951A61" w:rsidP="00A4032F">
            <w:pPr>
              <w:jc w:val="center"/>
              <w:rPr>
                <w:rFonts w:ascii="Tahoma" w:hAnsi="Tahoma" w:cs="Tahoma"/>
                <w:b/>
                <w:sz w:val="20"/>
                <w:szCs w:val="20"/>
              </w:rPr>
            </w:pPr>
            <w:r w:rsidRPr="00527278">
              <w:rPr>
                <w:rFonts w:ascii="Tahoma" w:hAnsi="Tahoma" w:cs="Tahoma"/>
                <w:b/>
                <w:color w:val="000000"/>
                <w:sz w:val="20"/>
                <w:szCs w:val="20"/>
              </w:rPr>
              <w:t xml:space="preserve">Сроки, в течение </w:t>
            </w:r>
            <w:r w:rsidRPr="00BF07F6">
              <w:rPr>
                <w:rFonts w:ascii="Tahoma" w:hAnsi="Tahoma" w:cs="Tahoma"/>
                <w:b/>
                <w:color w:val="000000"/>
                <w:sz w:val="20"/>
                <w:szCs w:val="20"/>
              </w:rPr>
              <w:t xml:space="preserve">которых </w:t>
            </w:r>
            <w:r w:rsidRPr="00564551">
              <w:rPr>
                <w:rFonts w:ascii="Tahoma" w:hAnsi="Tahoma" w:cs="Tahoma"/>
                <w:b/>
                <w:color w:val="000000"/>
                <w:sz w:val="20"/>
                <w:szCs w:val="20"/>
              </w:rPr>
              <w:t>Заемщик вправе отказаться от получения потребительского кредита</w:t>
            </w:r>
          </w:p>
        </w:tc>
        <w:tc>
          <w:tcPr>
            <w:tcW w:w="11452" w:type="dxa"/>
            <w:tcBorders>
              <w:top w:val="single" w:sz="4" w:space="0" w:color="auto"/>
              <w:left w:val="nil"/>
              <w:bottom w:val="single" w:sz="4" w:space="0" w:color="auto"/>
              <w:right w:val="single" w:sz="4" w:space="0" w:color="auto"/>
            </w:tcBorders>
            <w:shd w:val="clear" w:color="auto" w:fill="auto"/>
            <w:vAlign w:val="center"/>
          </w:tcPr>
          <w:p w14:paraId="5CB26048" w14:textId="77777777" w:rsidR="00951A61" w:rsidRDefault="00951A61" w:rsidP="00A4032F">
            <w:pPr>
              <w:ind w:firstLine="425"/>
              <w:jc w:val="both"/>
              <w:rPr>
                <w:rFonts w:ascii="Tahoma" w:hAnsi="Tahoma" w:cs="Tahoma"/>
                <w:color w:val="000000"/>
                <w:sz w:val="20"/>
                <w:szCs w:val="20"/>
              </w:rPr>
            </w:pPr>
            <w:r w:rsidRPr="00BF07F6">
              <w:rPr>
                <w:rFonts w:ascii="Tahoma" w:hAnsi="Tahoma" w:cs="Tahoma"/>
                <w:color w:val="000000"/>
                <w:sz w:val="20"/>
                <w:szCs w:val="20"/>
              </w:rPr>
              <w:t>Заёмщик вправе отказаться от получения Кредита полностью или частично, уведомив об этом Банк до истечения, установленного Кредитным договором, срока его предоставления.</w:t>
            </w:r>
          </w:p>
          <w:p w14:paraId="4224A14B" w14:textId="77777777" w:rsidR="00951A61" w:rsidRPr="00786DE5" w:rsidRDefault="00951A61" w:rsidP="00A4032F">
            <w:pPr>
              <w:ind w:firstLine="425"/>
              <w:jc w:val="both"/>
              <w:rPr>
                <w:rFonts w:ascii="Tahoma" w:hAnsi="Tahoma" w:cs="Tahoma"/>
                <w:color w:val="000000"/>
                <w:sz w:val="20"/>
                <w:szCs w:val="20"/>
              </w:rPr>
            </w:pPr>
            <w:r w:rsidRPr="00CC155A">
              <w:rPr>
                <w:rFonts w:ascii="Tahoma" w:hAnsi="Tahoma" w:cs="Tahoma"/>
                <w:color w:val="000000"/>
                <w:sz w:val="20"/>
                <w:szCs w:val="20"/>
              </w:rPr>
              <w:t>При получении Кредита в том числе на полное досрочное погашение ипотечного кредита и/или рефинансирование потребительских кредита Заемщик в течение 30 (Тридцати) календарных дней с даты получения Кредита, имеет право вернуть досрочно всю сумму Кредита или ее часть без предварительного уведомления Банка с уплатой процентов за фактический срок кредитования</w:t>
            </w:r>
            <w:r w:rsidRPr="00786DE5">
              <w:rPr>
                <w:rFonts w:ascii="Tahoma" w:hAnsi="Tahoma" w:cs="Tahoma"/>
                <w:color w:val="000000"/>
                <w:sz w:val="20"/>
                <w:szCs w:val="20"/>
              </w:rPr>
              <w:t>.</w:t>
            </w:r>
          </w:p>
          <w:p w14:paraId="124C8CBF" w14:textId="77777777" w:rsidR="00951A61" w:rsidRPr="00786DE5" w:rsidRDefault="00951A61" w:rsidP="00A4032F">
            <w:pPr>
              <w:ind w:firstLine="425"/>
              <w:jc w:val="both"/>
              <w:rPr>
                <w:rFonts w:ascii="Tahoma" w:hAnsi="Tahoma" w:cs="Tahoma"/>
                <w:sz w:val="20"/>
                <w:szCs w:val="20"/>
              </w:rPr>
            </w:pPr>
            <w:r w:rsidRPr="00CC155A">
              <w:rPr>
                <w:rFonts w:ascii="Tahoma" w:hAnsi="Tahoma" w:cs="Tahoma"/>
                <w:color w:val="000000"/>
                <w:sz w:val="20"/>
                <w:szCs w:val="20"/>
              </w:rPr>
              <w:t xml:space="preserve">При получении Кредита на любые цели, не связанные с осуществлением предпринимательской деятельности Заемщик в течение 14 (Четырнадцать) календарных дней с даты получения Кредита, имеет право вернуть досрочно всю </w:t>
            </w:r>
            <w:r w:rsidRPr="00CC155A">
              <w:rPr>
                <w:rFonts w:ascii="Tahoma" w:hAnsi="Tahoma" w:cs="Tahoma"/>
                <w:color w:val="000000"/>
                <w:sz w:val="20"/>
                <w:szCs w:val="20"/>
              </w:rPr>
              <w:lastRenderedPageBreak/>
              <w:t>сумму Кредита или ее часть без предварительного уведомления Банка с уплатой процентов за фактический срок кредитования</w:t>
            </w:r>
            <w:r w:rsidRPr="00786DE5">
              <w:rPr>
                <w:rFonts w:ascii="Tahoma" w:hAnsi="Tahoma" w:cs="Tahoma"/>
                <w:color w:val="000000"/>
                <w:sz w:val="20"/>
                <w:szCs w:val="20"/>
              </w:rPr>
              <w:t>.</w:t>
            </w:r>
          </w:p>
        </w:tc>
      </w:tr>
      <w:tr w:rsidR="00951A61" w:rsidRPr="00CC155A" w14:paraId="749B9CA5" w14:textId="77777777" w:rsidTr="00A4032F">
        <w:trPr>
          <w:trHeight w:val="630"/>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70BE86DC" w14:textId="77777777" w:rsidR="00951A61" w:rsidRPr="00CC155A" w:rsidRDefault="00951A61" w:rsidP="00A4032F">
            <w:pPr>
              <w:jc w:val="center"/>
              <w:rPr>
                <w:rFonts w:ascii="Tahoma" w:hAnsi="Tahoma" w:cs="Tahoma"/>
                <w:b/>
                <w:sz w:val="20"/>
                <w:szCs w:val="20"/>
              </w:rPr>
            </w:pPr>
            <w:r w:rsidRPr="00CC155A">
              <w:rPr>
                <w:rFonts w:ascii="Tahoma" w:hAnsi="Tahoma" w:cs="Tahoma"/>
                <w:b/>
                <w:sz w:val="20"/>
                <w:szCs w:val="20"/>
              </w:rPr>
              <w:lastRenderedPageBreak/>
              <w:t>Дата, начиная с которой начисляются проценты за пользование Кредитом, или порядок ее определения</w:t>
            </w:r>
          </w:p>
        </w:tc>
        <w:tc>
          <w:tcPr>
            <w:tcW w:w="11452" w:type="dxa"/>
            <w:tcBorders>
              <w:top w:val="single" w:sz="4" w:space="0" w:color="auto"/>
              <w:left w:val="single" w:sz="4" w:space="0" w:color="auto"/>
              <w:bottom w:val="single" w:sz="4" w:space="0" w:color="auto"/>
              <w:right w:val="single" w:sz="4" w:space="0" w:color="auto"/>
            </w:tcBorders>
            <w:shd w:val="clear" w:color="auto" w:fill="auto"/>
            <w:vAlign w:val="center"/>
          </w:tcPr>
          <w:p w14:paraId="58489C28" w14:textId="77777777" w:rsidR="00951A61" w:rsidRPr="00CC155A" w:rsidRDefault="00951A61" w:rsidP="00A4032F">
            <w:pPr>
              <w:ind w:firstLine="425"/>
              <w:jc w:val="both"/>
              <w:rPr>
                <w:rFonts w:ascii="Tahoma" w:hAnsi="Tahoma" w:cs="Tahoma"/>
                <w:sz w:val="20"/>
                <w:szCs w:val="20"/>
              </w:rPr>
            </w:pPr>
            <w:r w:rsidRPr="00CC155A">
              <w:rPr>
                <w:rFonts w:ascii="Tahoma" w:hAnsi="Tahoma" w:cs="Tahoma"/>
                <w:sz w:val="20"/>
                <w:szCs w:val="20"/>
              </w:rPr>
              <w:t>Дата, следующая за датой выдачи Банком Заёмщику Кредита</w:t>
            </w:r>
          </w:p>
        </w:tc>
      </w:tr>
      <w:tr w:rsidR="00951A61" w:rsidRPr="00CC155A" w14:paraId="57894AE4" w14:textId="77777777" w:rsidTr="00A4032F">
        <w:trPr>
          <w:trHeight w:val="630"/>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10D55849" w14:textId="77777777" w:rsidR="00951A61" w:rsidRPr="00CC155A" w:rsidRDefault="00951A61" w:rsidP="00A4032F">
            <w:pPr>
              <w:jc w:val="center"/>
              <w:rPr>
                <w:rFonts w:ascii="Tahoma" w:hAnsi="Tahoma" w:cs="Tahoma"/>
                <w:b/>
                <w:sz w:val="20"/>
                <w:szCs w:val="20"/>
              </w:rPr>
            </w:pPr>
            <w:r w:rsidRPr="00CC155A">
              <w:rPr>
                <w:rFonts w:ascii="Tahoma" w:hAnsi="Tahoma" w:cs="Tahoma"/>
                <w:b/>
                <w:sz w:val="20"/>
                <w:szCs w:val="20"/>
              </w:rPr>
              <w:t xml:space="preserve">Периодичность платежей Заемщика при возврате </w:t>
            </w:r>
            <w:r>
              <w:rPr>
                <w:rFonts w:ascii="Tahoma" w:hAnsi="Tahoma" w:cs="Tahoma"/>
                <w:b/>
                <w:sz w:val="20"/>
                <w:szCs w:val="20"/>
              </w:rPr>
              <w:t>потребительского</w:t>
            </w:r>
            <w:r w:rsidRPr="00CC155A">
              <w:rPr>
                <w:rFonts w:ascii="Tahoma" w:hAnsi="Tahoma" w:cs="Tahoma"/>
                <w:b/>
                <w:sz w:val="20"/>
                <w:szCs w:val="20"/>
              </w:rPr>
              <w:t xml:space="preserve"> кредита, уплате процентов и иных платежей по Кредиту</w:t>
            </w:r>
          </w:p>
        </w:tc>
        <w:tc>
          <w:tcPr>
            <w:tcW w:w="11452" w:type="dxa"/>
            <w:tcBorders>
              <w:top w:val="single" w:sz="4" w:space="0" w:color="auto"/>
              <w:left w:val="single" w:sz="4" w:space="0" w:color="auto"/>
              <w:bottom w:val="single" w:sz="4" w:space="0" w:color="auto"/>
              <w:right w:val="single" w:sz="4" w:space="0" w:color="auto"/>
            </w:tcBorders>
            <w:shd w:val="clear" w:color="auto" w:fill="auto"/>
            <w:vAlign w:val="center"/>
          </w:tcPr>
          <w:p w14:paraId="63A8A330" w14:textId="77777777" w:rsidR="00951A61" w:rsidRPr="00CC155A" w:rsidRDefault="00951A61" w:rsidP="00A4032F">
            <w:pPr>
              <w:ind w:firstLine="425"/>
              <w:jc w:val="both"/>
              <w:rPr>
                <w:rFonts w:ascii="Tahoma" w:hAnsi="Tahoma" w:cs="Tahoma"/>
                <w:sz w:val="20"/>
                <w:szCs w:val="20"/>
              </w:rPr>
            </w:pPr>
            <w:r w:rsidRPr="00CC155A">
              <w:rPr>
                <w:rFonts w:ascii="Tahoma" w:hAnsi="Tahoma" w:cs="Tahoma"/>
                <w:sz w:val="20"/>
                <w:szCs w:val="20"/>
              </w:rPr>
              <w:t>Ежемесячно аннуитетными (равными) платежами (кроме платежей за первый и последний процентные периоды)</w:t>
            </w:r>
          </w:p>
        </w:tc>
      </w:tr>
      <w:tr w:rsidR="00951A61" w:rsidRPr="00CC155A" w14:paraId="5FAEBB18" w14:textId="77777777" w:rsidTr="00A4032F">
        <w:trPr>
          <w:trHeight w:val="87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490B0098" w14:textId="77777777" w:rsidR="00951A61" w:rsidRPr="00CC155A" w:rsidRDefault="00951A61" w:rsidP="00A4032F">
            <w:pPr>
              <w:jc w:val="center"/>
              <w:rPr>
                <w:rFonts w:ascii="Tahoma" w:hAnsi="Tahoma" w:cs="Tahoma"/>
                <w:b/>
                <w:sz w:val="20"/>
                <w:szCs w:val="20"/>
              </w:rPr>
            </w:pPr>
            <w:r w:rsidRPr="00CC155A">
              <w:rPr>
                <w:rFonts w:ascii="Tahoma" w:hAnsi="Tahoma" w:cs="Tahoma"/>
                <w:b/>
                <w:sz w:val="20"/>
                <w:szCs w:val="20"/>
              </w:rPr>
              <w:t xml:space="preserve">Способы возврата </w:t>
            </w:r>
            <w:r>
              <w:rPr>
                <w:rFonts w:ascii="Tahoma" w:hAnsi="Tahoma" w:cs="Tahoma"/>
                <w:b/>
                <w:sz w:val="20"/>
                <w:szCs w:val="20"/>
              </w:rPr>
              <w:t>Заемщиком потребительского кредита</w:t>
            </w:r>
            <w:r w:rsidRPr="00CC155A">
              <w:rPr>
                <w:rFonts w:ascii="Tahoma" w:hAnsi="Tahoma" w:cs="Tahoma"/>
                <w:b/>
                <w:sz w:val="20"/>
                <w:szCs w:val="20"/>
              </w:rPr>
              <w:t xml:space="preserve"> и уплаты процентов</w:t>
            </w:r>
            <w:r>
              <w:rPr>
                <w:rFonts w:ascii="Tahoma" w:hAnsi="Tahoma" w:cs="Tahoma"/>
                <w:b/>
                <w:sz w:val="20"/>
                <w:szCs w:val="20"/>
              </w:rPr>
              <w:t xml:space="preserve"> и иных платежей</w:t>
            </w:r>
            <w:r w:rsidRPr="00CC155A">
              <w:rPr>
                <w:rFonts w:ascii="Tahoma" w:hAnsi="Tahoma" w:cs="Tahoma"/>
                <w:b/>
                <w:sz w:val="20"/>
                <w:szCs w:val="20"/>
              </w:rPr>
              <w:t xml:space="preserve"> по нему</w:t>
            </w:r>
          </w:p>
        </w:tc>
        <w:tc>
          <w:tcPr>
            <w:tcW w:w="11452" w:type="dxa"/>
            <w:tcBorders>
              <w:top w:val="single" w:sz="4" w:space="0" w:color="auto"/>
              <w:left w:val="single" w:sz="4" w:space="0" w:color="auto"/>
              <w:bottom w:val="single" w:sz="4" w:space="0" w:color="auto"/>
              <w:right w:val="single" w:sz="4" w:space="0" w:color="auto"/>
            </w:tcBorders>
            <w:shd w:val="clear" w:color="auto" w:fill="auto"/>
            <w:vAlign w:val="center"/>
          </w:tcPr>
          <w:p w14:paraId="4622930C" w14:textId="77777777" w:rsidR="00951A61" w:rsidRPr="00CC155A" w:rsidRDefault="00951A61" w:rsidP="00A4032F">
            <w:pPr>
              <w:ind w:firstLine="425"/>
              <w:jc w:val="both"/>
              <w:rPr>
                <w:rFonts w:ascii="Tahoma" w:hAnsi="Tahoma" w:cs="Tahoma"/>
                <w:sz w:val="20"/>
                <w:szCs w:val="20"/>
              </w:rPr>
            </w:pPr>
            <w:r w:rsidRPr="00CC155A">
              <w:rPr>
                <w:rFonts w:ascii="Tahoma" w:hAnsi="Tahoma" w:cs="Tahoma"/>
                <w:sz w:val="20"/>
                <w:szCs w:val="20"/>
              </w:rPr>
              <w:t>Банк не ограничивает Заемщиков в выборе способа внесения платежа или организации, оказывающей услуги по перечислению платежей.</w:t>
            </w:r>
          </w:p>
          <w:p w14:paraId="3770064E" w14:textId="77777777" w:rsidR="00951A61" w:rsidRPr="00CC155A" w:rsidRDefault="00951A61" w:rsidP="00A4032F">
            <w:pPr>
              <w:ind w:firstLine="425"/>
              <w:jc w:val="both"/>
              <w:rPr>
                <w:rFonts w:ascii="Tahoma" w:hAnsi="Tahoma" w:cs="Tahoma"/>
                <w:sz w:val="20"/>
                <w:szCs w:val="20"/>
              </w:rPr>
            </w:pPr>
            <w:r w:rsidRPr="00CC155A">
              <w:rPr>
                <w:rFonts w:ascii="Tahoma" w:hAnsi="Tahoma" w:cs="Tahoma"/>
                <w:sz w:val="20"/>
                <w:szCs w:val="20"/>
              </w:rPr>
              <w:t xml:space="preserve">Исполнения Заемщиком обязательств по Кредитному договору (в т.ч. при досрочном возврате Кредита) производится путем внесения денежных средств на ТБС в сумме обязательства и не позднее срока платежа, указанных в </w:t>
            </w:r>
            <w:r>
              <w:rPr>
                <w:rFonts w:ascii="Tahoma" w:hAnsi="Tahoma" w:cs="Tahoma"/>
                <w:sz w:val="20"/>
                <w:szCs w:val="20"/>
              </w:rPr>
              <w:t>Кредитном д</w:t>
            </w:r>
            <w:r w:rsidRPr="00CC155A">
              <w:rPr>
                <w:rFonts w:ascii="Tahoma" w:hAnsi="Tahoma" w:cs="Tahoma"/>
                <w:sz w:val="20"/>
                <w:szCs w:val="20"/>
              </w:rPr>
              <w:t xml:space="preserve">оговоре, любым из перечисленных в настоящем пункте, способов: через терминалы самообслуживания, кассы Банка посредством перевода денежных средств через иные кредитные организации, АО «Почта России» (по предусмотренным ими тарифам). Могут использоваться иные, не противоречащие законодательству РФ, способы. Если установленный </w:t>
            </w:r>
            <w:r>
              <w:rPr>
                <w:rFonts w:ascii="Tahoma" w:hAnsi="Tahoma" w:cs="Tahoma"/>
                <w:sz w:val="20"/>
                <w:szCs w:val="20"/>
              </w:rPr>
              <w:t>Кредитным д</w:t>
            </w:r>
            <w:r w:rsidRPr="00CC155A">
              <w:rPr>
                <w:rFonts w:ascii="Tahoma" w:hAnsi="Tahoma" w:cs="Tahoma"/>
                <w:sz w:val="20"/>
                <w:szCs w:val="20"/>
              </w:rPr>
              <w:t>оговором последний день срока платежа отсутствует в календарном месяце, Заемщик обязан внести денежные средства на ТБС не позднее последнего календарного рабочего дня месяца; если последний день срока платежа приходится на выходные/нерабочие праздничные дни, Заемщик обязан внести денежные средства на ТБС не позднее 1-го рабочего дня, следующего за выходным /нерабочим праздничным днем. Указанная обязанность должна быть исполнена Заемщиком в операционный день Банка</w:t>
            </w:r>
          </w:p>
        </w:tc>
      </w:tr>
      <w:tr w:rsidR="00951A61" w:rsidRPr="00CC155A" w14:paraId="1E313464" w14:textId="77777777" w:rsidTr="00A4032F">
        <w:trPr>
          <w:trHeight w:val="87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4D4C82FA" w14:textId="77777777" w:rsidR="00951A61" w:rsidRPr="00CC155A" w:rsidRDefault="00951A61" w:rsidP="00A4032F">
            <w:pPr>
              <w:jc w:val="center"/>
              <w:rPr>
                <w:rFonts w:ascii="Tahoma" w:hAnsi="Tahoma" w:cs="Tahoma"/>
                <w:b/>
                <w:sz w:val="20"/>
                <w:szCs w:val="20"/>
              </w:rPr>
            </w:pPr>
            <w:r w:rsidRPr="00CC155A">
              <w:rPr>
                <w:rFonts w:ascii="Tahoma" w:hAnsi="Tahoma" w:cs="Tahoma"/>
                <w:b/>
                <w:color w:val="000000"/>
                <w:sz w:val="20"/>
                <w:szCs w:val="20"/>
              </w:rPr>
              <w:t>Бесплатный способ исполнения Заемщиком обязательств по договору</w:t>
            </w:r>
            <w:r>
              <w:rPr>
                <w:rFonts w:ascii="Tahoma" w:hAnsi="Tahoma" w:cs="Tahoma"/>
                <w:b/>
                <w:color w:val="000000"/>
                <w:sz w:val="20"/>
                <w:szCs w:val="20"/>
              </w:rPr>
              <w:t xml:space="preserve"> потребительского кредита</w:t>
            </w:r>
          </w:p>
        </w:tc>
        <w:tc>
          <w:tcPr>
            <w:tcW w:w="11452" w:type="dxa"/>
            <w:tcBorders>
              <w:top w:val="single" w:sz="4" w:space="0" w:color="auto"/>
              <w:left w:val="single" w:sz="4" w:space="0" w:color="auto"/>
              <w:bottom w:val="single" w:sz="4" w:space="0" w:color="auto"/>
              <w:right w:val="single" w:sz="4" w:space="0" w:color="auto"/>
            </w:tcBorders>
            <w:shd w:val="clear" w:color="auto" w:fill="auto"/>
            <w:vAlign w:val="center"/>
          </w:tcPr>
          <w:p w14:paraId="0B4982F2" w14:textId="77777777" w:rsidR="00951A61" w:rsidRPr="00CC155A" w:rsidRDefault="00951A61" w:rsidP="00A4032F">
            <w:pPr>
              <w:ind w:firstLine="425"/>
              <w:jc w:val="both"/>
              <w:rPr>
                <w:rFonts w:ascii="Tahoma" w:hAnsi="Tahoma" w:cs="Tahoma"/>
                <w:sz w:val="20"/>
                <w:szCs w:val="20"/>
              </w:rPr>
            </w:pPr>
            <w:r w:rsidRPr="00CC155A">
              <w:rPr>
                <w:rFonts w:ascii="Tahoma" w:hAnsi="Tahoma" w:cs="Tahoma"/>
                <w:sz w:val="20"/>
                <w:szCs w:val="20"/>
              </w:rPr>
              <w:t>Внесение денежных средств на ТБС через терминалы самообслуживания Банка, перевод через работодателя Заемщика, перевод со счёта в Банке на ТБС Заемщика</w:t>
            </w:r>
          </w:p>
        </w:tc>
      </w:tr>
      <w:tr w:rsidR="00951A61" w:rsidRPr="00CC155A" w14:paraId="72AA1B88" w14:textId="77777777" w:rsidTr="00A4032F">
        <w:trPr>
          <w:trHeight w:val="645"/>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60B395D3" w14:textId="77777777" w:rsidR="00951A61" w:rsidRPr="00A83D1C" w:rsidRDefault="00951A61" w:rsidP="00A4032F">
            <w:pPr>
              <w:autoSpaceDE w:val="0"/>
              <w:autoSpaceDN w:val="0"/>
              <w:adjustRightInd w:val="0"/>
              <w:jc w:val="center"/>
              <w:rPr>
                <w:rFonts w:ascii="Tahoma" w:hAnsi="Tahoma" w:cs="Tahoma"/>
                <w:b/>
                <w:bCs/>
                <w:sz w:val="20"/>
                <w:szCs w:val="20"/>
              </w:rPr>
            </w:pPr>
            <w:r w:rsidRPr="00527278">
              <w:rPr>
                <w:rFonts w:ascii="Tahoma" w:hAnsi="Tahoma" w:cs="Tahoma"/>
                <w:b/>
                <w:sz w:val="20"/>
                <w:szCs w:val="20"/>
              </w:rPr>
              <w:t xml:space="preserve">Ответственность Заемщика за ненадлежащее исполнение </w:t>
            </w:r>
            <w:r w:rsidRPr="00BF07F6">
              <w:rPr>
                <w:rFonts w:ascii="Tahoma" w:hAnsi="Tahoma" w:cs="Tahoma"/>
                <w:b/>
                <w:sz w:val="20"/>
                <w:szCs w:val="20"/>
              </w:rPr>
              <w:t>договора</w:t>
            </w:r>
            <w:r w:rsidRPr="00564551">
              <w:rPr>
                <w:rFonts w:ascii="Tahoma" w:hAnsi="Tahoma" w:cs="Tahoma"/>
                <w:b/>
                <w:sz w:val="20"/>
                <w:szCs w:val="20"/>
              </w:rPr>
              <w:t xml:space="preserve"> потребительского кредита, размеры неустойки (штрафа, пени), порядок </w:t>
            </w:r>
            <w:r w:rsidRPr="00A83D1C">
              <w:rPr>
                <w:rFonts w:ascii="Tahoma" w:hAnsi="Tahoma" w:cs="Tahoma"/>
                <w:b/>
                <w:sz w:val="20"/>
                <w:szCs w:val="20"/>
              </w:rPr>
              <w:t xml:space="preserve">ее расчета, </w:t>
            </w:r>
            <w:r w:rsidRPr="00A83D1C">
              <w:rPr>
                <w:rFonts w:ascii="Tahoma" w:hAnsi="Tahoma" w:cs="Tahoma"/>
                <w:b/>
                <w:bCs/>
                <w:sz w:val="20"/>
                <w:szCs w:val="20"/>
              </w:rPr>
              <w:t>а также информация о том, в каких случаях данн</w:t>
            </w:r>
            <w:r>
              <w:rPr>
                <w:rFonts w:ascii="Tahoma" w:hAnsi="Tahoma" w:cs="Tahoma"/>
                <w:b/>
                <w:bCs/>
                <w:sz w:val="20"/>
                <w:szCs w:val="20"/>
              </w:rPr>
              <w:t>ые санкции могут быть применены</w:t>
            </w:r>
          </w:p>
          <w:p w14:paraId="6487B404" w14:textId="77777777" w:rsidR="00951A61" w:rsidRPr="00CC155A" w:rsidRDefault="00951A61" w:rsidP="00A4032F">
            <w:pPr>
              <w:jc w:val="center"/>
              <w:rPr>
                <w:rFonts w:ascii="Tahoma" w:hAnsi="Tahoma" w:cs="Tahoma"/>
                <w:b/>
                <w:sz w:val="20"/>
                <w:szCs w:val="20"/>
              </w:rPr>
            </w:pPr>
          </w:p>
        </w:tc>
        <w:tc>
          <w:tcPr>
            <w:tcW w:w="11452" w:type="dxa"/>
            <w:tcBorders>
              <w:top w:val="single" w:sz="4" w:space="0" w:color="auto"/>
              <w:left w:val="nil"/>
              <w:bottom w:val="single" w:sz="4" w:space="0" w:color="auto"/>
              <w:right w:val="single" w:sz="4" w:space="0" w:color="auto"/>
            </w:tcBorders>
            <w:shd w:val="clear" w:color="auto" w:fill="auto"/>
            <w:vAlign w:val="center"/>
          </w:tcPr>
          <w:p w14:paraId="4511DAAA" w14:textId="77777777" w:rsidR="00951A61" w:rsidRPr="00CC155A" w:rsidRDefault="00951A61" w:rsidP="00A4032F">
            <w:pPr>
              <w:ind w:firstLine="425"/>
              <w:jc w:val="both"/>
              <w:rPr>
                <w:rFonts w:ascii="Tahoma" w:hAnsi="Tahoma" w:cs="Tahoma"/>
                <w:sz w:val="20"/>
                <w:szCs w:val="20"/>
              </w:rPr>
            </w:pPr>
            <w:r w:rsidRPr="00CC155A">
              <w:rPr>
                <w:rFonts w:ascii="Tahoma" w:hAnsi="Tahoma" w:cs="Tahoma"/>
                <w:sz w:val="20"/>
                <w:szCs w:val="20"/>
              </w:rPr>
              <w:t>При ненадлежащем исполнении Кредитного договора (в соответствии с условиями Кредитного договора и законодательством РФ) Банк вправе:</w:t>
            </w:r>
          </w:p>
          <w:p w14:paraId="58FE8419" w14:textId="77777777" w:rsidR="00951A61" w:rsidRPr="00CC155A" w:rsidRDefault="00951A61" w:rsidP="00A4032F">
            <w:pPr>
              <w:ind w:firstLine="425"/>
              <w:jc w:val="both"/>
              <w:rPr>
                <w:rFonts w:ascii="Tahoma" w:hAnsi="Tahoma" w:cs="Tahoma"/>
                <w:sz w:val="20"/>
                <w:szCs w:val="20"/>
              </w:rPr>
            </w:pPr>
            <w:r w:rsidRPr="00CC155A">
              <w:rPr>
                <w:rFonts w:ascii="Tahoma" w:hAnsi="Tahoma" w:cs="Tahoma"/>
                <w:sz w:val="20"/>
                <w:szCs w:val="20"/>
              </w:rPr>
              <w:t>- потребовать от Заемщика полного досрочного исполнения обязательств по Кредитному договору (возврата суммы Кредита, процентов за пользование Кредитом и суммы неустойки (пени);</w:t>
            </w:r>
          </w:p>
          <w:p w14:paraId="371E92D7" w14:textId="77777777" w:rsidR="00951A61" w:rsidRPr="00CC155A" w:rsidRDefault="00951A61" w:rsidP="00A4032F">
            <w:pPr>
              <w:ind w:firstLine="425"/>
              <w:jc w:val="both"/>
              <w:rPr>
                <w:rFonts w:ascii="Tahoma" w:hAnsi="Tahoma" w:cs="Tahoma"/>
                <w:sz w:val="20"/>
                <w:szCs w:val="20"/>
              </w:rPr>
            </w:pPr>
            <w:r w:rsidRPr="00CC155A">
              <w:rPr>
                <w:rFonts w:ascii="Tahoma" w:hAnsi="Tahoma" w:cs="Tahoma"/>
                <w:sz w:val="20"/>
                <w:szCs w:val="20"/>
              </w:rPr>
              <w:t>- обратить взыскание на Предмет ипотеки при неисполнении Заемщиком требования о полном досрочном исполнении обязательств по Кредитному договору.</w:t>
            </w:r>
          </w:p>
          <w:p w14:paraId="2AF42131" w14:textId="77777777" w:rsidR="00951A61" w:rsidRPr="00CC155A" w:rsidRDefault="00951A61" w:rsidP="00A4032F">
            <w:pPr>
              <w:ind w:firstLine="425"/>
              <w:jc w:val="both"/>
              <w:rPr>
                <w:rFonts w:ascii="Tahoma" w:hAnsi="Tahoma" w:cs="Tahoma"/>
                <w:sz w:val="20"/>
                <w:szCs w:val="20"/>
              </w:rPr>
            </w:pPr>
            <w:r w:rsidRPr="00CC155A">
              <w:rPr>
                <w:rFonts w:ascii="Tahoma" w:hAnsi="Tahoma" w:cs="Tahoma"/>
                <w:sz w:val="20"/>
                <w:szCs w:val="20"/>
              </w:rPr>
              <w:t xml:space="preserve">За неисполнение и (или) ненадлежащее исполнение Заемщиком по </w:t>
            </w:r>
            <w:r>
              <w:rPr>
                <w:rFonts w:ascii="Tahoma" w:hAnsi="Tahoma" w:cs="Tahoma"/>
                <w:sz w:val="20"/>
                <w:szCs w:val="20"/>
              </w:rPr>
              <w:t>Кредитному до</w:t>
            </w:r>
            <w:r w:rsidRPr="00CC155A">
              <w:rPr>
                <w:rFonts w:ascii="Tahoma" w:hAnsi="Tahoma" w:cs="Tahoma"/>
                <w:sz w:val="20"/>
                <w:szCs w:val="20"/>
              </w:rPr>
              <w:t xml:space="preserve">говору обязательств по возврату Кредита и(или) уплате процентов Заемщик уплачивает Банку неустойку в размере ключевой ставки Банка России, установленной на день заключения </w:t>
            </w:r>
            <w:r>
              <w:rPr>
                <w:rFonts w:ascii="Tahoma" w:hAnsi="Tahoma" w:cs="Tahoma"/>
                <w:sz w:val="20"/>
                <w:szCs w:val="20"/>
              </w:rPr>
              <w:t>Кредитного д</w:t>
            </w:r>
            <w:r w:rsidRPr="00CC155A">
              <w:rPr>
                <w:rFonts w:ascii="Tahoma" w:hAnsi="Tahoma" w:cs="Tahoma"/>
                <w:sz w:val="20"/>
                <w:szCs w:val="20"/>
              </w:rPr>
              <w:t xml:space="preserve">оговора, с суммы просроченного платежа за период просрочки с даты, следующей за датой наступления исполнения обязательства, установленной </w:t>
            </w:r>
            <w:r>
              <w:rPr>
                <w:rFonts w:ascii="Tahoma" w:hAnsi="Tahoma" w:cs="Tahoma"/>
                <w:sz w:val="20"/>
                <w:szCs w:val="20"/>
              </w:rPr>
              <w:t>Кредитным д</w:t>
            </w:r>
            <w:r w:rsidRPr="00CC155A">
              <w:rPr>
                <w:rFonts w:ascii="Tahoma" w:hAnsi="Tahoma" w:cs="Tahoma"/>
                <w:sz w:val="20"/>
                <w:szCs w:val="20"/>
              </w:rPr>
              <w:t xml:space="preserve">оговором, по дату погашения Просроченной кредитной задолженности по </w:t>
            </w:r>
            <w:r>
              <w:rPr>
                <w:rFonts w:ascii="Tahoma" w:hAnsi="Tahoma" w:cs="Tahoma"/>
                <w:sz w:val="20"/>
                <w:szCs w:val="20"/>
              </w:rPr>
              <w:t>Кредитному д</w:t>
            </w:r>
            <w:r w:rsidRPr="00CC155A">
              <w:rPr>
                <w:rFonts w:ascii="Tahoma" w:hAnsi="Tahoma" w:cs="Tahoma"/>
                <w:sz w:val="20"/>
                <w:szCs w:val="20"/>
              </w:rPr>
              <w:t>оговору (включительно).</w:t>
            </w:r>
            <w:r w:rsidRPr="00CC155A" w:rsidDel="00042C3E">
              <w:rPr>
                <w:rFonts w:ascii="Tahoma" w:hAnsi="Tahoma" w:cs="Tahoma"/>
                <w:sz w:val="20"/>
                <w:szCs w:val="20"/>
              </w:rPr>
              <w:t xml:space="preserve"> </w:t>
            </w:r>
          </w:p>
        </w:tc>
      </w:tr>
      <w:tr w:rsidR="00951A61" w:rsidRPr="00CC155A" w14:paraId="3AF142AE" w14:textId="77777777" w:rsidTr="00A4032F">
        <w:tblPrEx>
          <w:tblLook w:val="00A0" w:firstRow="1" w:lastRow="0" w:firstColumn="1" w:lastColumn="0" w:noHBand="0" w:noVBand="0"/>
        </w:tblPrEx>
        <w:trPr>
          <w:trHeight w:val="281"/>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02EF1C3B" w14:textId="77777777" w:rsidR="00951A61" w:rsidRPr="00CC155A" w:rsidRDefault="00951A61" w:rsidP="00A4032F">
            <w:pPr>
              <w:widowControl w:val="0"/>
              <w:tabs>
                <w:tab w:val="left" w:pos="426"/>
                <w:tab w:val="left" w:pos="851"/>
              </w:tabs>
              <w:jc w:val="center"/>
              <w:rPr>
                <w:rFonts w:ascii="Tahoma" w:hAnsi="Tahoma" w:cs="Tahoma"/>
                <w:b/>
                <w:sz w:val="20"/>
                <w:szCs w:val="20"/>
              </w:rPr>
            </w:pPr>
            <w:r w:rsidRPr="00CC155A">
              <w:rPr>
                <w:rFonts w:ascii="Tahoma" w:hAnsi="Tahoma" w:cs="Tahoma"/>
                <w:b/>
                <w:sz w:val="20"/>
                <w:szCs w:val="20"/>
              </w:rPr>
              <w:t xml:space="preserve">Виды и суммы иных платежей Заемщика по </w:t>
            </w:r>
            <w:r>
              <w:rPr>
                <w:rFonts w:ascii="Tahoma" w:hAnsi="Tahoma" w:cs="Tahoma"/>
                <w:b/>
                <w:sz w:val="20"/>
                <w:szCs w:val="20"/>
              </w:rPr>
              <w:t>Кредитному д</w:t>
            </w:r>
            <w:r w:rsidRPr="00CC155A">
              <w:rPr>
                <w:rFonts w:ascii="Tahoma" w:hAnsi="Tahoma" w:cs="Tahoma"/>
                <w:b/>
                <w:sz w:val="20"/>
                <w:szCs w:val="20"/>
              </w:rPr>
              <w:t xml:space="preserve">оговору </w:t>
            </w:r>
          </w:p>
        </w:tc>
        <w:tc>
          <w:tcPr>
            <w:tcW w:w="11452" w:type="dxa"/>
            <w:tcBorders>
              <w:top w:val="single" w:sz="4" w:space="0" w:color="auto"/>
              <w:left w:val="single" w:sz="4" w:space="0" w:color="auto"/>
              <w:bottom w:val="single" w:sz="4" w:space="0" w:color="auto"/>
              <w:right w:val="single" w:sz="4" w:space="0" w:color="auto"/>
            </w:tcBorders>
            <w:noWrap/>
            <w:vAlign w:val="center"/>
          </w:tcPr>
          <w:p w14:paraId="2A1AC599" w14:textId="77777777" w:rsidR="00951A61" w:rsidRPr="0052567F" w:rsidRDefault="00951A61" w:rsidP="00A4032F">
            <w:pPr>
              <w:ind w:firstLine="425"/>
              <w:jc w:val="both"/>
              <w:rPr>
                <w:rFonts w:ascii="Tahoma" w:hAnsi="Tahoma" w:cs="Tahoma"/>
                <w:sz w:val="20"/>
                <w:szCs w:val="20"/>
              </w:rPr>
            </w:pPr>
            <w:r w:rsidRPr="00CC155A">
              <w:rPr>
                <w:rFonts w:ascii="Tahoma" w:hAnsi="Tahoma" w:cs="Tahoma"/>
                <w:sz w:val="20"/>
                <w:szCs w:val="20"/>
              </w:rPr>
              <w:t xml:space="preserve">При наличии </w:t>
            </w:r>
            <w:r w:rsidRPr="0052567F">
              <w:rPr>
                <w:rFonts w:ascii="Tahoma" w:hAnsi="Tahoma" w:cs="Tahoma"/>
                <w:sz w:val="20"/>
                <w:szCs w:val="20"/>
              </w:rPr>
              <w:t>письменного согласия Заемщика ему могут быть оказаны Банком следующие услуги, не являющиеся обязательными для заключения или исполнения Кредитного договора:</w:t>
            </w:r>
          </w:p>
          <w:p w14:paraId="601B40F8" w14:textId="77777777" w:rsidR="00951A61" w:rsidRPr="00CC155A" w:rsidRDefault="00951A61" w:rsidP="00A4032F">
            <w:pPr>
              <w:ind w:firstLine="425"/>
              <w:jc w:val="both"/>
              <w:rPr>
                <w:rFonts w:ascii="Tahoma" w:hAnsi="Tahoma" w:cs="Tahoma"/>
                <w:sz w:val="20"/>
                <w:szCs w:val="20"/>
              </w:rPr>
            </w:pPr>
            <w:r w:rsidRPr="0052567F">
              <w:rPr>
                <w:rFonts w:ascii="Tahoma" w:hAnsi="Tahoma" w:cs="Tahoma"/>
                <w:sz w:val="20"/>
                <w:szCs w:val="20"/>
              </w:rPr>
              <w:t>Открытие аккредитива 1,0% от суммы аккредитива (макс. 5 000 рублей); прием, проверка Банком документов и исполнение аккредитива 1,0% от суммы аккредитива (макс. 5 000 рублей); платеж за выдачу</w:t>
            </w:r>
            <w:r w:rsidRPr="00CC155A">
              <w:rPr>
                <w:rFonts w:ascii="Tahoma" w:hAnsi="Tahoma" w:cs="Tahoma"/>
                <w:sz w:val="20"/>
                <w:szCs w:val="20"/>
              </w:rPr>
              <w:t xml:space="preserve"> дубликата или </w:t>
            </w:r>
            <w:r w:rsidRPr="00CC155A">
              <w:rPr>
                <w:rFonts w:ascii="Tahoma" w:hAnsi="Tahoma" w:cs="Tahoma"/>
                <w:sz w:val="20"/>
                <w:szCs w:val="20"/>
              </w:rPr>
              <w:lastRenderedPageBreak/>
              <w:t xml:space="preserve">восстановление утерянного </w:t>
            </w:r>
            <w:r>
              <w:rPr>
                <w:rFonts w:ascii="Tahoma" w:hAnsi="Tahoma" w:cs="Tahoma"/>
                <w:sz w:val="20"/>
                <w:szCs w:val="20"/>
              </w:rPr>
              <w:t>Кредитного д</w:t>
            </w:r>
            <w:r w:rsidRPr="00CC155A">
              <w:rPr>
                <w:rFonts w:ascii="Tahoma" w:hAnsi="Tahoma" w:cs="Tahoma"/>
                <w:sz w:val="20"/>
                <w:szCs w:val="20"/>
              </w:rPr>
              <w:t xml:space="preserve">оговора 10 000 рублей за </w:t>
            </w:r>
            <w:r w:rsidRPr="003D6C0E">
              <w:rPr>
                <w:rFonts w:ascii="Tahoma" w:hAnsi="Tahoma" w:cs="Tahoma"/>
                <w:sz w:val="20"/>
                <w:szCs w:val="20"/>
              </w:rPr>
              <w:t xml:space="preserve">один экземпляр </w:t>
            </w:r>
            <w:r>
              <w:rPr>
                <w:rFonts w:ascii="Tahoma" w:hAnsi="Tahoma" w:cs="Tahoma"/>
                <w:sz w:val="20"/>
                <w:szCs w:val="20"/>
              </w:rPr>
              <w:t>Кредитного д</w:t>
            </w:r>
            <w:r w:rsidRPr="003D6C0E">
              <w:rPr>
                <w:rFonts w:ascii="Tahoma" w:hAnsi="Tahoma" w:cs="Tahoma"/>
                <w:sz w:val="20"/>
                <w:szCs w:val="20"/>
              </w:rPr>
              <w:t>оговора; предлагаемый</w:t>
            </w:r>
            <w:r w:rsidRPr="00CC155A">
              <w:rPr>
                <w:rFonts w:ascii="Tahoma" w:hAnsi="Tahoma" w:cs="Tahoma"/>
                <w:sz w:val="20"/>
                <w:szCs w:val="20"/>
              </w:rPr>
              <w:t xml:space="preserve"> платеж за осуществление Банком мероприятий при составлении дополнительного соглашения к </w:t>
            </w:r>
            <w:r>
              <w:rPr>
                <w:rFonts w:ascii="Tahoma" w:hAnsi="Tahoma" w:cs="Tahoma"/>
                <w:sz w:val="20"/>
                <w:szCs w:val="20"/>
              </w:rPr>
              <w:t>Кредитному д</w:t>
            </w:r>
            <w:r w:rsidRPr="00CC155A">
              <w:rPr>
                <w:rFonts w:ascii="Tahoma" w:hAnsi="Tahoma" w:cs="Tahoma"/>
                <w:sz w:val="20"/>
                <w:szCs w:val="20"/>
              </w:rPr>
              <w:t xml:space="preserve">оговору по внесению изменений по инициативе Заемщика в условия </w:t>
            </w:r>
            <w:r>
              <w:rPr>
                <w:rFonts w:ascii="Tahoma" w:hAnsi="Tahoma" w:cs="Tahoma"/>
                <w:sz w:val="20"/>
                <w:szCs w:val="20"/>
              </w:rPr>
              <w:t>Кредитного д</w:t>
            </w:r>
            <w:r w:rsidRPr="00CC155A">
              <w:rPr>
                <w:rFonts w:ascii="Tahoma" w:hAnsi="Tahoma" w:cs="Tahoma"/>
                <w:sz w:val="20"/>
                <w:szCs w:val="20"/>
              </w:rPr>
              <w:t xml:space="preserve">оговора ипотечного кредита  500 рублей (плата взимается за услугу вне зависимости от количества измененных параметров </w:t>
            </w:r>
            <w:r>
              <w:rPr>
                <w:rFonts w:ascii="Tahoma" w:hAnsi="Tahoma" w:cs="Tahoma"/>
                <w:sz w:val="20"/>
                <w:szCs w:val="20"/>
              </w:rPr>
              <w:t>Кредитного д</w:t>
            </w:r>
            <w:r w:rsidRPr="00CC155A">
              <w:rPr>
                <w:rFonts w:ascii="Tahoma" w:hAnsi="Tahoma" w:cs="Tahoma"/>
                <w:sz w:val="20"/>
                <w:szCs w:val="20"/>
              </w:rPr>
              <w:t>оговора одновременно);</w:t>
            </w:r>
            <w:r>
              <w:rPr>
                <w:rFonts w:ascii="Tahoma" w:hAnsi="Tahoma" w:cs="Tahoma"/>
                <w:sz w:val="20"/>
                <w:szCs w:val="20"/>
              </w:rPr>
              <w:t xml:space="preserve"> </w:t>
            </w:r>
            <w:r w:rsidRPr="00CC155A">
              <w:rPr>
                <w:rFonts w:ascii="Tahoma" w:hAnsi="Tahoma" w:cs="Tahoma"/>
                <w:sz w:val="20"/>
                <w:szCs w:val="20"/>
              </w:rPr>
              <w:t xml:space="preserve"> платеж за внесение денежных средств на ТБС через терминалы самообслуживания производится бесплатно.</w:t>
            </w:r>
          </w:p>
          <w:p w14:paraId="10985864" w14:textId="77777777" w:rsidR="00951A61" w:rsidRPr="00CC155A" w:rsidRDefault="00951A61" w:rsidP="00A4032F">
            <w:pPr>
              <w:ind w:firstLine="425"/>
              <w:jc w:val="both"/>
              <w:rPr>
                <w:rFonts w:ascii="Tahoma" w:hAnsi="Tahoma" w:cs="Tahoma"/>
                <w:sz w:val="20"/>
                <w:szCs w:val="20"/>
              </w:rPr>
            </w:pPr>
            <w:r w:rsidRPr="00CC155A">
              <w:rPr>
                <w:rFonts w:ascii="Tahoma" w:hAnsi="Tahoma" w:cs="Tahoma"/>
                <w:sz w:val="20"/>
                <w:szCs w:val="20"/>
              </w:rPr>
              <w:t xml:space="preserve">Оказание услуги Банком производится в случае выражения Заемщиком </w:t>
            </w:r>
            <w:r>
              <w:rPr>
                <w:rFonts w:ascii="Tahoma" w:hAnsi="Tahoma" w:cs="Tahoma"/>
                <w:sz w:val="20"/>
                <w:szCs w:val="20"/>
              </w:rPr>
              <w:t>согласия</w:t>
            </w:r>
            <w:r w:rsidRPr="00CC155A">
              <w:rPr>
                <w:rFonts w:ascii="Tahoma" w:hAnsi="Tahoma" w:cs="Tahoma"/>
                <w:sz w:val="20"/>
                <w:szCs w:val="20"/>
              </w:rPr>
              <w:t xml:space="preserve"> на пользование определенной услугой. Оплата услуг должна быть произведена до момента оказания Банком услуг.</w:t>
            </w:r>
          </w:p>
          <w:p w14:paraId="3F83B631" w14:textId="77777777" w:rsidR="00951A61" w:rsidRPr="00786DE5" w:rsidRDefault="00951A61" w:rsidP="00A4032F">
            <w:pPr>
              <w:ind w:firstLine="425"/>
              <w:jc w:val="both"/>
              <w:rPr>
                <w:rFonts w:ascii="Tahoma" w:hAnsi="Tahoma" w:cs="Tahoma"/>
                <w:sz w:val="20"/>
                <w:szCs w:val="20"/>
              </w:rPr>
            </w:pPr>
            <w:r w:rsidRPr="00CC155A">
              <w:rPr>
                <w:rFonts w:ascii="Tahoma" w:hAnsi="Tahoma" w:cs="Tahoma"/>
                <w:sz w:val="20"/>
                <w:szCs w:val="20"/>
              </w:rPr>
              <w:t xml:space="preserve">Помимо перечисленных платежей, Заемщиком, при наличии соответствующего </w:t>
            </w:r>
            <w:r>
              <w:rPr>
                <w:rFonts w:ascii="Tahoma" w:hAnsi="Tahoma" w:cs="Tahoma"/>
                <w:sz w:val="20"/>
                <w:szCs w:val="20"/>
              </w:rPr>
              <w:t>согласия</w:t>
            </w:r>
            <w:r w:rsidRPr="00CC155A">
              <w:rPr>
                <w:rFonts w:ascii="Tahoma" w:hAnsi="Tahoma" w:cs="Tahoma"/>
                <w:sz w:val="20"/>
                <w:szCs w:val="20"/>
              </w:rPr>
              <w:t xml:space="preserve">, должны быть оплачены платежи в пользу третьих лиц: заключение договора с оценщиком на оказание услуг по подготовке отчета об оценке </w:t>
            </w:r>
            <w:r>
              <w:rPr>
                <w:rFonts w:ascii="Tahoma" w:hAnsi="Tahoma" w:cs="Tahoma"/>
                <w:sz w:val="20"/>
                <w:szCs w:val="20"/>
              </w:rPr>
              <w:t>1 8</w:t>
            </w:r>
            <w:r w:rsidRPr="00CC155A">
              <w:rPr>
                <w:rFonts w:ascii="Tahoma" w:hAnsi="Tahoma" w:cs="Tahoma"/>
                <w:sz w:val="20"/>
                <w:szCs w:val="20"/>
              </w:rPr>
              <w:t>00,00 рублей</w:t>
            </w:r>
            <w:r w:rsidRPr="00CC155A">
              <w:rPr>
                <w:rStyle w:val="aff3"/>
                <w:rFonts w:ascii="Tahoma" w:hAnsi="Tahoma" w:cs="Tahoma"/>
                <w:sz w:val="20"/>
                <w:szCs w:val="20"/>
              </w:rPr>
              <w:footnoteReference w:id="149"/>
            </w:r>
            <w:r w:rsidRPr="00CC155A">
              <w:rPr>
                <w:rFonts w:ascii="Tahoma" w:hAnsi="Tahoma" w:cs="Tahoma"/>
                <w:sz w:val="20"/>
                <w:szCs w:val="20"/>
              </w:rPr>
              <w:t>; платеж в пользу страховой компании с целью заключения договора/полиса имущественного страхования  в размере 0,1</w:t>
            </w:r>
            <w:r>
              <w:rPr>
                <w:rFonts w:ascii="Tahoma" w:hAnsi="Tahoma" w:cs="Tahoma"/>
                <w:sz w:val="20"/>
                <w:szCs w:val="20"/>
              </w:rPr>
              <w:t>5</w:t>
            </w:r>
            <w:r w:rsidRPr="00CC155A">
              <w:rPr>
                <w:rFonts w:ascii="Tahoma" w:hAnsi="Tahoma" w:cs="Tahoma"/>
                <w:sz w:val="20"/>
                <w:szCs w:val="20"/>
              </w:rPr>
              <w:t>%</w:t>
            </w:r>
            <w:r w:rsidRPr="00CC155A">
              <w:rPr>
                <w:rStyle w:val="aff3"/>
                <w:rFonts w:ascii="Tahoma" w:hAnsi="Tahoma" w:cs="Tahoma"/>
                <w:sz w:val="20"/>
                <w:szCs w:val="20"/>
              </w:rPr>
              <w:footnoteReference w:id="150"/>
            </w:r>
            <w:r w:rsidRPr="00CC155A">
              <w:rPr>
                <w:rFonts w:ascii="Tahoma" w:hAnsi="Tahoma" w:cs="Tahoma"/>
                <w:sz w:val="20"/>
                <w:szCs w:val="20"/>
              </w:rPr>
              <w:t xml:space="preserve"> от денежного обязательства Заемщика, увеличенного на 10 %.</w:t>
            </w:r>
          </w:p>
        </w:tc>
      </w:tr>
      <w:tr w:rsidR="00951A61" w:rsidRPr="00CC155A" w14:paraId="0E702FE3" w14:textId="77777777" w:rsidTr="00A4032F">
        <w:tblPrEx>
          <w:tblLook w:val="00A0" w:firstRow="1" w:lastRow="0" w:firstColumn="1" w:lastColumn="0" w:noHBand="0" w:noVBand="0"/>
        </w:tblPrEx>
        <w:trPr>
          <w:trHeight w:val="281"/>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5497CE9F" w14:textId="77777777" w:rsidR="00951A61" w:rsidRPr="00CC155A" w:rsidRDefault="00951A61" w:rsidP="00A4032F">
            <w:pPr>
              <w:widowControl w:val="0"/>
              <w:tabs>
                <w:tab w:val="left" w:pos="426"/>
                <w:tab w:val="left" w:pos="851"/>
              </w:tabs>
              <w:jc w:val="center"/>
              <w:rPr>
                <w:rFonts w:ascii="Tahoma" w:hAnsi="Tahoma" w:cs="Tahoma"/>
                <w:b/>
                <w:sz w:val="20"/>
                <w:szCs w:val="20"/>
              </w:rPr>
            </w:pPr>
            <w:r w:rsidRPr="00CC155A">
              <w:rPr>
                <w:rFonts w:ascii="Tahoma" w:hAnsi="Tahoma" w:cs="Tahoma"/>
                <w:b/>
                <w:sz w:val="20"/>
                <w:szCs w:val="20"/>
              </w:rPr>
              <w:lastRenderedPageBreak/>
              <w:t xml:space="preserve">Требования к Заемщику, которые установлены Банком, и выполнение которых является обязательным для предоставления </w:t>
            </w:r>
            <w:r>
              <w:rPr>
                <w:rFonts w:ascii="Tahoma" w:hAnsi="Tahoma" w:cs="Tahoma"/>
                <w:b/>
                <w:sz w:val="20"/>
                <w:szCs w:val="20"/>
              </w:rPr>
              <w:t>потребительского</w:t>
            </w:r>
            <w:r w:rsidRPr="00CC155A">
              <w:rPr>
                <w:rFonts w:ascii="Tahoma" w:hAnsi="Tahoma" w:cs="Tahoma"/>
                <w:b/>
                <w:sz w:val="20"/>
                <w:szCs w:val="20"/>
              </w:rPr>
              <w:t xml:space="preserve"> кредита</w:t>
            </w:r>
          </w:p>
        </w:tc>
        <w:tc>
          <w:tcPr>
            <w:tcW w:w="11452" w:type="dxa"/>
            <w:tcBorders>
              <w:top w:val="single" w:sz="4" w:space="0" w:color="auto"/>
              <w:left w:val="single" w:sz="4" w:space="0" w:color="auto"/>
              <w:bottom w:val="single" w:sz="4" w:space="0" w:color="auto"/>
              <w:right w:val="single" w:sz="4" w:space="0" w:color="auto"/>
            </w:tcBorders>
            <w:noWrap/>
            <w:vAlign w:val="center"/>
          </w:tcPr>
          <w:p w14:paraId="5EDE998E" w14:textId="77777777" w:rsidR="00951A61" w:rsidRPr="005C2077" w:rsidRDefault="00951A61" w:rsidP="00A4032F">
            <w:pPr>
              <w:ind w:firstLine="425"/>
              <w:jc w:val="both"/>
              <w:rPr>
                <w:rFonts w:ascii="Tahoma" w:hAnsi="Tahoma" w:cs="Tahoma"/>
                <w:sz w:val="20"/>
                <w:szCs w:val="20"/>
              </w:rPr>
            </w:pPr>
            <w:r w:rsidRPr="005C2077">
              <w:rPr>
                <w:rFonts w:ascii="Tahoma" w:hAnsi="Tahoma" w:cs="Tahoma"/>
                <w:sz w:val="20"/>
                <w:szCs w:val="20"/>
              </w:rPr>
              <w:t>Гражданство: Российская Федерация;</w:t>
            </w:r>
          </w:p>
          <w:p w14:paraId="1CB5B6BA" w14:textId="77777777" w:rsidR="00951A61" w:rsidRPr="005C2077" w:rsidRDefault="00951A61" w:rsidP="00A4032F">
            <w:pPr>
              <w:ind w:firstLine="425"/>
              <w:jc w:val="both"/>
              <w:rPr>
                <w:rFonts w:ascii="Tahoma" w:hAnsi="Tahoma" w:cs="Tahoma"/>
                <w:sz w:val="20"/>
                <w:szCs w:val="20"/>
              </w:rPr>
            </w:pPr>
            <w:r w:rsidRPr="005C2077">
              <w:rPr>
                <w:rFonts w:ascii="Tahoma" w:hAnsi="Tahoma" w:cs="Tahoma"/>
                <w:sz w:val="20"/>
                <w:szCs w:val="20"/>
              </w:rPr>
              <w:t xml:space="preserve">Регистрация: наличие регистрации по месту жительства/пребывания, в том числе на территории субъекта РФ, где располагается Объект недвижимости, не является обязательным; </w:t>
            </w:r>
          </w:p>
          <w:p w14:paraId="022FC4C2" w14:textId="77777777" w:rsidR="00951A61" w:rsidRPr="005C2077" w:rsidRDefault="00951A61" w:rsidP="00A4032F">
            <w:pPr>
              <w:ind w:firstLine="425"/>
              <w:jc w:val="both"/>
              <w:rPr>
                <w:rFonts w:ascii="Tahoma" w:hAnsi="Tahoma" w:cs="Tahoma"/>
                <w:sz w:val="20"/>
                <w:szCs w:val="20"/>
              </w:rPr>
            </w:pPr>
            <w:r w:rsidRPr="007D5098">
              <w:rPr>
                <w:rFonts w:ascii="Tahoma" w:hAnsi="Tahoma" w:cs="Tahoma"/>
                <w:sz w:val="20"/>
                <w:szCs w:val="20"/>
              </w:rPr>
              <w:t>Возраст: от 21 года до 75 лет (включительно) на момент полного погашения ипотечного кредита.</w:t>
            </w:r>
            <w:r w:rsidRPr="005C2077">
              <w:rPr>
                <w:rFonts w:ascii="Tahoma" w:hAnsi="Tahoma" w:cs="Tahoma"/>
                <w:sz w:val="20"/>
                <w:szCs w:val="20"/>
              </w:rPr>
              <w:t xml:space="preserve"> </w:t>
            </w:r>
            <w:r>
              <w:rPr>
                <w:rFonts w:ascii="Tahoma" w:hAnsi="Tahoma" w:cs="Tahoma"/>
                <w:sz w:val="20"/>
                <w:szCs w:val="20"/>
              </w:rPr>
              <w:t>Д</w:t>
            </w:r>
            <w:r w:rsidRPr="005C2077">
              <w:rPr>
                <w:rFonts w:ascii="Tahoma" w:hAnsi="Tahoma" w:cs="Tahoma"/>
                <w:sz w:val="20"/>
                <w:szCs w:val="20"/>
              </w:rPr>
              <w:t>опустимо привлечение Созаемщика в возрасте от 18 лет, если данный Созаемщик является Залогодателем либо супругом(-ой) Заемщика без подтверждённого дохода.</w:t>
            </w:r>
          </w:p>
          <w:p w14:paraId="7D9BE904" w14:textId="77777777" w:rsidR="00951A61" w:rsidRPr="005C2077" w:rsidRDefault="00951A61" w:rsidP="00A4032F">
            <w:pPr>
              <w:ind w:firstLine="425"/>
              <w:jc w:val="both"/>
              <w:rPr>
                <w:rFonts w:ascii="Tahoma" w:hAnsi="Tahoma" w:cs="Tahoma"/>
                <w:sz w:val="20"/>
                <w:szCs w:val="20"/>
              </w:rPr>
            </w:pPr>
            <w:r w:rsidRPr="005C2077">
              <w:rPr>
                <w:rFonts w:ascii="Tahoma" w:hAnsi="Tahoma" w:cs="Tahoma"/>
                <w:sz w:val="20"/>
                <w:szCs w:val="20"/>
              </w:rPr>
              <w:t>Трудоустройство:</w:t>
            </w:r>
          </w:p>
          <w:p w14:paraId="6147348A" w14:textId="77777777" w:rsidR="00951A61" w:rsidRPr="005C2077" w:rsidRDefault="00951A61" w:rsidP="00A4032F">
            <w:pPr>
              <w:ind w:firstLine="425"/>
              <w:jc w:val="both"/>
              <w:rPr>
                <w:rFonts w:ascii="Tahoma" w:hAnsi="Tahoma" w:cs="Tahoma"/>
                <w:sz w:val="20"/>
                <w:szCs w:val="20"/>
              </w:rPr>
            </w:pPr>
            <w:r w:rsidRPr="005C2077">
              <w:rPr>
                <w:rFonts w:ascii="Tahoma" w:hAnsi="Tahoma" w:cs="Tahoma"/>
                <w:sz w:val="20"/>
                <w:szCs w:val="20"/>
              </w:rPr>
              <w:t>- наемные работники;</w:t>
            </w:r>
          </w:p>
          <w:p w14:paraId="03B78D3E" w14:textId="77777777" w:rsidR="00951A61" w:rsidRPr="005C2077" w:rsidRDefault="00951A61" w:rsidP="00A4032F">
            <w:pPr>
              <w:ind w:firstLine="425"/>
              <w:jc w:val="both"/>
              <w:rPr>
                <w:rFonts w:ascii="Tahoma" w:hAnsi="Tahoma" w:cs="Tahoma"/>
                <w:sz w:val="20"/>
                <w:szCs w:val="20"/>
              </w:rPr>
            </w:pPr>
            <w:r w:rsidRPr="005C2077">
              <w:rPr>
                <w:rFonts w:ascii="Tahoma" w:hAnsi="Tahoma" w:cs="Tahoma"/>
                <w:sz w:val="20"/>
                <w:szCs w:val="20"/>
              </w:rPr>
              <w:t>- индивидуальные предприниматели;</w:t>
            </w:r>
          </w:p>
          <w:p w14:paraId="33B247B6" w14:textId="77777777" w:rsidR="00951A61" w:rsidRPr="005C2077" w:rsidRDefault="00951A61" w:rsidP="00A4032F">
            <w:pPr>
              <w:ind w:firstLine="425"/>
              <w:jc w:val="both"/>
              <w:rPr>
                <w:rFonts w:ascii="Tahoma" w:hAnsi="Tahoma" w:cs="Tahoma"/>
                <w:sz w:val="20"/>
                <w:szCs w:val="20"/>
              </w:rPr>
            </w:pPr>
            <w:r w:rsidRPr="005C2077">
              <w:rPr>
                <w:rFonts w:ascii="Tahoma" w:hAnsi="Tahoma" w:cs="Tahoma"/>
                <w:sz w:val="20"/>
                <w:szCs w:val="20"/>
              </w:rPr>
              <w:t>- физические лица, занимающиеся частной практикой;</w:t>
            </w:r>
          </w:p>
          <w:p w14:paraId="5975CFD5" w14:textId="77777777" w:rsidR="00951A61" w:rsidRPr="005C2077" w:rsidRDefault="00951A61" w:rsidP="00A4032F">
            <w:pPr>
              <w:ind w:firstLine="425"/>
              <w:jc w:val="both"/>
              <w:rPr>
                <w:rFonts w:ascii="Tahoma" w:hAnsi="Tahoma" w:cs="Tahoma"/>
                <w:sz w:val="20"/>
                <w:szCs w:val="20"/>
              </w:rPr>
            </w:pPr>
            <w:r w:rsidRPr="005C2077">
              <w:rPr>
                <w:rFonts w:ascii="Tahoma" w:hAnsi="Tahoma" w:cs="Tahoma"/>
                <w:sz w:val="20"/>
                <w:szCs w:val="20"/>
              </w:rPr>
              <w:t>- физическое лицо - единоличный учредитель и исполнительный орган организации, ее единственный участник, собственник ее имущества;</w:t>
            </w:r>
          </w:p>
          <w:p w14:paraId="17B2F97F" w14:textId="77777777" w:rsidR="00951A61" w:rsidRPr="005C2077" w:rsidRDefault="00951A61" w:rsidP="00A4032F">
            <w:pPr>
              <w:ind w:firstLine="425"/>
              <w:jc w:val="both"/>
              <w:rPr>
                <w:rFonts w:ascii="Tahoma" w:hAnsi="Tahoma" w:cs="Tahoma"/>
                <w:sz w:val="20"/>
                <w:szCs w:val="20"/>
              </w:rPr>
            </w:pPr>
            <w:r w:rsidRPr="005C2077">
              <w:rPr>
                <w:rFonts w:ascii="Tahoma" w:hAnsi="Tahoma" w:cs="Tahoma"/>
                <w:sz w:val="20"/>
                <w:szCs w:val="20"/>
              </w:rPr>
              <w:t>- граждане, применяющие специальный налоговый режим «налог на профессиональный доход» (далее – самозанятый);</w:t>
            </w:r>
          </w:p>
          <w:p w14:paraId="481A2BD1" w14:textId="77777777" w:rsidR="00951A61" w:rsidRPr="005C2077" w:rsidRDefault="00951A61" w:rsidP="00A4032F">
            <w:pPr>
              <w:ind w:firstLine="425"/>
              <w:jc w:val="both"/>
              <w:rPr>
                <w:rFonts w:ascii="Tahoma" w:hAnsi="Tahoma" w:cs="Tahoma"/>
                <w:sz w:val="20"/>
                <w:szCs w:val="20"/>
              </w:rPr>
            </w:pPr>
            <w:r w:rsidRPr="005C2077">
              <w:rPr>
                <w:rFonts w:ascii="Tahoma" w:hAnsi="Tahoma" w:cs="Tahoma"/>
                <w:sz w:val="20"/>
                <w:szCs w:val="20"/>
              </w:rPr>
              <w:t>- пенсионеры - лица, вышедшие в отставку либо на пенсию.</w:t>
            </w:r>
          </w:p>
          <w:p w14:paraId="2F0FD0FC" w14:textId="77777777" w:rsidR="00951A61" w:rsidRPr="005C2077" w:rsidRDefault="00951A61" w:rsidP="00A4032F">
            <w:pPr>
              <w:ind w:firstLine="425"/>
              <w:jc w:val="both"/>
              <w:rPr>
                <w:rFonts w:ascii="Tahoma" w:hAnsi="Tahoma" w:cs="Tahoma"/>
                <w:sz w:val="20"/>
                <w:szCs w:val="20"/>
              </w:rPr>
            </w:pPr>
            <w:r w:rsidRPr="005C2077">
              <w:rPr>
                <w:rFonts w:ascii="Tahoma" w:hAnsi="Tahoma" w:cs="Tahoma"/>
                <w:sz w:val="20"/>
                <w:szCs w:val="20"/>
              </w:rPr>
              <w:t>Требования к доходу: Заемщик имеет подтвержденный доход, соответствует требованиям Банка к кредитоспособности и платежеспособности.</w:t>
            </w:r>
          </w:p>
          <w:p w14:paraId="0CD12825" w14:textId="77777777" w:rsidR="00951A61" w:rsidRPr="005C2077" w:rsidRDefault="00951A61" w:rsidP="00A4032F">
            <w:pPr>
              <w:ind w:firstLine="425"/>
              <w:jc w:val="both"/>
              <w:rPr>
                <w:rFonts w:ascii="Tahoma" w:hAnsi="Tahoma" w:cs="Tahoma"/>
                <w:sz w:val="20"/>
                <w:szCs w:val="20"/>
              </w:rPr>
            </w:pPr>
            <w:r w:rsidRPr="005C2077">
              <w:rPr>
                <w:rFonts w:ascii="Tahoma" w:hAnsi="Tahoma" w:cs="Tahoma"/>
                <w:sz w:val="20"/>
                <w:szCs w:val="20"/>
              </w:rPr>
              <w:t>Требования к трудовому стажу: к работникам по найму—не менее 3-х полных календарных месяцев на последнем месте работы, при условии, что испытательный срок пройден или отсутствует. Общий трудовой стаж Заемщика должен быть не менее 12 (двенадцати) месяцев на дату подачи Заявления/Согласий и заверений Заемщика в Банк (прохождение военной службы, получение пособия по временной нетрудоспособности, уход за ребенком до 1,5 лет, получение пособия по безработице, время переезда для дальнейшего трудоустройства не учитываются в общем трудовом стаже); к индивидуальным предпринимателям — безубыточная предпринимательская деятельность не менее 12-ти календарных месяцев для сезонного вида деятельности</w:t>
            </w:r>
            <w:r w:rsidRPr="005C2077">
              <w:rPr>
                <w:rStyle w:val="aff3"/>
                <w:rFonts w:ascii="Tahoma" w:hAnsi="Tahoma" w:cs="Tahoma"/>
                <w:sz w:val="20"/>
                <w:szCs w:val="20"/>
              </w:rPr>
              <w:footnoteReference w:id="151"/>
            </w:r>
            <w:r w:rsidRPr="005C2077">
              <w:rPr>
                <w:rFonts w:ascii="Tahoma" w:hAnsi="Tahoma" w:cs="Tahoma"/>
                <w:sz w:val="20"/>
                <w:szCs w:val="20"/>
              </w:rPr>
              <w:t xml:space="preserve">  и не менее 3-х месяцев по видам деятельности, которые не признаются </w:t>
            </w:r>
            <w:r w:rsidRPr="005C2077">
              <w:rPr>
                <w:rFonts w:ascii="Tahoma" w:hAnsi="Tahoma" w:cs="Tahoma"/>
                <w:sz w:val="20"/>
                <w:szCs w:val="20"/>
              </w:rPr>
              <w:lastRenderedPageBreak/>
              <w:t>«сезонными»; для самозанятых граждан Общий трудовой стаж должен быть не менее 12 (двенадцати) месяцев на дату подачи Заявления/Согласий и заверений Заемщика в Банк и не менее 6 (Шести) полных календарных месяцев, считая с даты постановки на учет в качестве самозанятого.</w:t>
            </w:r>
          </w:p>
          <w:p w14:paraId="4EFDC9B0" w14:textId="77777777" w:rsidR="00951A61" w:rsidRPr="005C2077" w:rsidRDefault="00951A61" w:rsidP="00A4032F">
            <w:pPr>
              <w:ind w:firstLine="425"/>
              <w:jc w:val="both"/>
              <w:rPr>
                <w:rFonts w:ascii="Tahoma" w:hAnsi="Tahoma" w:cs="Tahoma"/>
                <w:sz w:val="20"/>
                <w:szCs w:val="20"/>
              </w:rPr>
            </w:pPr>
          </w:p>
          <w:p w14:paraId="792F5241" w14:textId="77777777" w:rsidR="00951A61" w:rsidRPr="005C2077" w:rsidRDefault="00951A61" w:rsidP="00A4032F">
            <w:pPr>
              <w:ind w:firstLine="425"/>
              <w:jc w:val="both"/>
              <w:rPr>
                <w:rFonts w:ascii="Tahoma" w:hAnsi="Tahoma" w:cs="Tahoma"/>
                <w:sz w:val="20"/>
                <w:szCs w:val="20"/>
              </w:rPr>
            </w:pPr>
            <w:r w:rsidRPr="005C2077">
              <w:rPr>
                <w:rFonts w:ascii="Tahoma" w:hAnsi="Tahoma" w:cs="Tahoma"/>
                <w:sz w:val="20"/>
                <w:szCs w:val="20"/>
              </w:rPr>
              <w:t xml:space="preserve">Состав Заемщиков: число Заемщиков по одному ипотечному кредиту - не более 4 человек. </w:t>
            </w:r>
            <w:r w:rsidRPr="005C2077">
              <w:rPr>
                <w:rFonts w:ascii="Tahoma" w:hAnsi="Tahoma" w:cs="Tahoma"/>
                <w:sz w:val="20"/>
                <w:szCs w:val="20"/>
              </w:rPr>
              <w:br/>
            </w:r>
          </w:p>
          <w:p w14:paraId="27738858" w14:textId="77777777" w:rsidR="00951A61" w:rsidRPr="005C2077" w:rsidRDefault="00951A61" w:rsidP="00A4032F">
            <w:pPr>
              <w:ind w:firstLine="425"/>
              <w:jc w:val="both"/>
              <w:rPr>
                <w:rFonts w:ascii="Tahoma" w:hAnsi="Tahoma" w:cs="Tahoma"/>
                <w:sz w:val="20"/>
                <w:szCs w:val="20"/>
              </w:rPr>
            </w:pPr>
            <w:r w:rsidRPr="005C2077">
              <w:rPr>
                <w:rFonts w:ascii="Tahoma" w:hAnsi="Tahoma" w:cs="Tahoma"/>
                <w:sz w:val="20"/>
                <w:szCs w:val="20"/>
              </w:rPr>
              <w:t xml:space="preserve">Все залогодателя должны являться Заемщиками. </w:t>
            </w:r>
          </w:p>
          <w:p w14:paraId="16424DD8" w14:textId="77777777" w:rsidR="00951A61" w:rsidRPr="005C2077" w:rsidRDefault="00951A61" w:rsidP="00A4032F">
            <w:pPr>
              <w:ind w:firstLine="425"/>
              <w:jc w:val="both"/>
              <w:rPr>
                <w:rFonts w:ascii="Tahoma" w:hAnsi="Tahoma" w:cs="Tahoma"/>
                <w:sz w:val="20"/>
                <w:szCs w:val="20"/>
              </w:rPr>
            </w:pPr>
          </w:p>
          <w:p w14:paraId="08B121F4" w14:textId="77777777" w:rsidR="00951A61" w:rsidRPr="005C2077" w:rsidRDefault="00951A61" w:rsidP="00A4032F">
            <w:pPr>
              <w:ind w:firstLine="425"/>
              <w:jc w:val="both"/>
              <w:rPr>
                <w:rFonts w:ascii="Tahoma" w:hAnsi="Tahoma" w:cs="Tahoma"/>
              </w:rPr>
            </w:pPr>
            <w:r w:rsidRPr="005C2077">
              <w:rPr>
                <w:rFonts w:ascii="Tahoma" w:hAnsi="Tahoma" w:cs="Tahoma"/>
                <w:sz w:val="20"/>
                <w:szCs w:val="20"/>
              </w:rPr>
              <w:t>Окончательное решение о соответствии Заемщика требованиям Банка принимается в отношении каждого Заемщика индивидуально на основании анализа представленных документов</w:t>
            </w:r>
          </w:p>
        </w:tc>
      </w:tr>
      <w:tr w:rsidR="00951A61" w:rsidRPr="00CC155A" w14:paraId="73D230A4" w14:textId="77777777" w:rsidTr="00A4032F">
        <w:tblPrEx>
          <w:tblLook w:val="00A0" w:firstRow="1" w:lastRow="0" w:firstColumn="1" w:lastColumn="0" w:noHBand="0" w:noVBand="0"/>
        </w:tblPrEx>
        <w:trPr>
          <w:trHeight w:val="267"/>
        </w:trPr>
        <w:tc>
          <w:tcPr>
            <w:tcW w:w="4121" w:type="dxa"/>
            <w:tcBorders>
              <w:top w:val="single" w:sz="4" w:space="0" w:color="auto"/>
              <w:left w:val="single" w:sz="4" w:space="0" w:color="auto"/>
              <w:bottom w:val="single" w:sz="4" w:space="0" w:color="auto"/>
              <w:right w:val="single" w:sz="4" w:space="0" w:color="auto"/>
            </w:tcBorders>
            <w:shd w:val="clear" w:color="auto" w:fill="auto"/>
            <w:vAlign w:val="center"/>
          </w:tcPr>
          <w:p w14:paraId="00E9CB52" w14:textId="77777777" w:rsidR="00951A61" w:rsidRPr="00CC155A" w:rsidRDefault="00951A61" w:rsidP="00A4032F">
            <w:pPr>
              <w:widowControl w:val="0"/>
              <w:tabs>
                <w:tab w:val="left" w:pos="426"/>
                <w:tab w:val="left" w:pos="851"/>
              </w:tabs>
              <w:jc w:val="center"/>
              <w:rPr>
                <w:rFonts w:ascii="Tahoma" w:hAnsi="Tahoma" w:cs="Tahoma"/>
                <w:b/>
                <w:sz w:val="20"/>
                <w:szCs w:val="20"/>
              </w:rPr>
            </w:pPr>
            <w:r w:rsidRPr="00CC155A">
              <w:rPr>
                <w:rFonts w:ascii="Tahoma" w:hAnsi="Tahoma" w:cs="Tahoma"/>
                <w:b/>
                <w:sz w:val="20"/>
                <w:szCs w:val="20"/>
              </w:rPr>
              <w:lastRenderedPageBreak/>
              <w:t>Требования к Предмету Ипотеки, которые установлены Банком, и выполнение которых является обязательным для предоставления ипотечного кредита</w:t>
            </w:r>
          </w:p>
        </w:tc>
        <w:tc>
          <w:tcPr>
            <w:tcW w:w="11452" w:type="dxa"/>
            <w:tcBorders>
              <w:top w:val="single" w:sz="4" w:space="0" w:color="auto"/>
              <w:left w:val="single" w:sz="4" w:space="0" w:color="auto"/>
              <w:bottom w:val="single" w:sz="4" w:space="0" w:color="auto"/>
              <w:right w:val="single" w:sz="4" w:space="0" w:color="auto"/>
            </w:tcBorders>
            <w:noWrap/>
            <w:vAlign w:val="center"/>
          </w:tcPr>
          <w:p w14:paraId="2429B094" w14:textId="77777777" w:rsidR="00951A61" w:rsidRPr="008148A9" w:rsidRDefault="00951A61" w:rsidP="00A4032F">
            <w:pPr>
              <w:ind w:firstLine="425"/>
              <w:jc w:val="both"/>
              <w:rPr>
                <w:rFonts w:ascii="Tahoma" w:hAnsi="Tahoma" w:cs="Tahoma"/>
                <w:b/>
                <w:sz w:val="20"/>
                <w:szCs w:val="20"/>
                <w:u w:val="single"/>
              </w:rPr>
            </w:pPr>
            <w:r w:rsidRPr="008148A9">
              <w:rPr>
                <w:rFonts w:ascii="Tahoma" w:hAnsi="Tahoma" w:cs="Tahoma"/>
                <w:b/>
                <w:sz w:val="20"/>
                <w:szCs w:val="20"/>
                <w:u w:val="single"/>
              </w:rPr>
              <w:t>Общие требования к Предмету ипотеки (Квартира, Апартаменты, Таунхаус, Жилой дом с земельным участком):</w:t>
            </w:r>
          </w:p>
          <w:p w14:paraId="6E67E28C" w14:textId="77777777" w:rsidR="00951A61" w:rsidRPr="00287C21" w:rsidRDefault="00951A61" w:rsidP="00A4032F">
            <w:pPr>
              <w:ind w:firstLine="425"/>
              <w:jc w:val="both"/>
              <w:rPr>
                <w:rFonts w:ascii="Tahoma" w:hAnsi="Tahoma" w:cs="Tahoma"/>
                <w:sz w:val="20"/>
                <w:szCs w:val="20"/>
              </w:rPr>
            </w:pPr>
            <w:r w:rsidRPr="008148A9">
              <w:rPr>
                <w:rFonts w:ascii="Tahoma" w:hAnsi="Tahoma" w:cs="Tahoma"/>
                <w:sz w:val="20"/>
                <w:szCs w:val="20"/>
              </w:rPr>
              <w:t xml:space="preserve">1. </w:t>
            </w:r>
            <w:r w:rsidRPr="00287C21">
              <w:rPr>
                <w:rFonts w:ascii="Tahoma" w:hAnsi="Tahoma" w:cs="Tahoma"/>
                <w:sz w:val="20"/>
                <w:szCs w:val="20"/>
              </w:rPr>
              <w:t>Недвижимое имущество, являющееся Предметом ипотеки, может быть расположено:</w:t>
            </w:r>
          </w:p>
          <w:p w14:paraId="226B16D3" w14:textId="77777777" w:rsidR="00951A61" w:rsidRPr="00287C21" w:rsidRDefault="00951A61" w:rsidP="00951A61">
            <w:pPr>
              <w:pStyle w:val="affe"/>
              <w:numPr>
                <w:ilvl w:val="0"/>
                <w:numId w:val="172"/>
              </w:numPr>
              <w:ind w:left="0" w:firstLine="425"/>
              <w:contextualSpacing/>
              <w:jc w:val="both"/>
              <w:rPr>
                <w:rFonts w:ascii="Tahoma" w:hAnsi="Tahoma" w:cs="Tahoma"/>
                <w:sz w:val="20"/>
                <w:szCs w:val="20"/>
              </w:rPr>
            </w:pPr>
            <w:r w:rsidRPr="00287C21">
              <w:rPr>
                <w:rFonts w:ascii="Tahoma" w:hAnsi="Tahoma" w:cs="Tahoma"/>
                <w:sz w:val="20"/>
                <w:szCs w:val="20"/>
              </w:rPr>
              <w:t>В пределах территории г. Москва и Московской области –</w:t>
            </w:r>
            <w:r w:rsidRPr="00287C21">
              <w:rPr>
                <w:rFonts w:ascii="Tahoma" w:hAnsi="Tahoma" w:cs="Tahoma"/>
                <w:i/>
                <w:sz w:val="20"/>
                <w:szCs w:val="20"/>
              </w:rPr>
              <w:t>применимо для всех видов объектов недвижимости</w:t>
            </w:r>
            <w:r w:rsidRPr="00287C21">
              <w:rPr>
                <w:rFonts w:ascii="Tahoma" w:hAnsi="Tahoma" w:cs="Tahoma"/>
                <w:sz w:val="20"/>
                <w:szCs w:val="20"/>
              </w:rPr>
              <w:t>;</w:t>
            </w:r>
          </w:p>
          <w:p w14:paraId="01576590" w14:textId="77777777" w:rsidR="00951A61" w:rsidRPr="00287C21" w:rsidRDefault="00951A61" w:rsidP="00951A61">
            <w:pPr>
              <w:pStyle w:val="affe"/>
              <w:numPr>
                <w:ilvl w:val="0"/>
                <w:numId w:val="172"/>
              </w:numPr>
              <w:ind w:left="0" w:firstLine="425"/>
              <w:contextualSpacing/>
              <w:jc w:val="both"/>
              <w:rPr>
                <w:rFonts w:ascii="Tahoma" w:hAnsi="Tahoma" w:cs="Tahoma"/>
                <w:sz w:val="20"/>
                <w:szCs w:val="20"/>
              </w:rPr>
            </w:pPr>
            <w:r w:rsidRPr="00287C21">
              <w:rPr>
                <w:rFonts w:ascii="Tahoma" w:hAnsi="Tahoma" w:cs="Tahoma"/>
                <w:i/>
                <w:sz w:val="20"/>
                <w:szCs w:val="20"/>
              </w:rPr>
              <w:t>Для вида объекта недвижимости «квартира</w:t>
            </w:r>
            <w:r w:rsidRPr="00287C21">
              <w:rPr>
                <w:rFonts w:ascii="Tahoma" w:hAnsi="Tahoma" w:cs="Tahoma"/>
                <w:sz w:val="20"/>
                <w:szCs w:val="20"/>
              </w:rPr>
              <w:t>»: на расстоянии не более 200 км. от населенного пункта, включенного в список населенных пунктов в Приложении № 3. В остальных случаях объект недвижимости «квартира» должен располагаться на расстоянии не более 50 км. от населенного пункта, где располагается Подразделение Банка;</w:t>
            </w:r>
          </w:p>
          <w:p w14:paraId="10DFEEAD" w14:textId="77777777" w:rsidR="00951A61" w:rsidRPr="008148A9" w:rsidRDefault="00951A61" w:rsidP="00951A61">
            <w:pPr>
              <w:pStyle w:val="affe"/>
              <w:numPr>
                <w:ilvl w:val="0"/>
                <w:numId w:val="172"/>
              </w:numPr>
              <w:ind w:left="0" w:firstLine="425"/>
              <w:contextualSpacing/>
              <w:jc w:val="both"/>
              <w:rPr>
                <w:rFonts w:ascii="Tahoma" w:hAnsi="Tahoma" w:cs="Tahoma"/>
                <w:sz w:val="20"/>
                <w:szCs w:val="20"/>
              </w:rPr>
            </w:pPr>
            <w:r w:rsidRPr="00287C21">
              <w:rPr>
                <w:rFonts w:ascii="Tahoma" w:hAnsi="Tahoma" w:cs="Tahoma"/>
                <w:i/>
                <w:sz w:val="20"/>
                <w:szCs w:val="20"/>
              </w:rPr>
              <w:t>Для остальных объектов недвижимости, отличных от вида недвижимости «квартира»</w:t>
            </w:r>
            <w:r w:rsidRPr="00287C21">
              <w:rPr>
                <w:rFonts w:ascii="Tahoma" w:hAnsi="Tahoma" w:cs="Tahoma"/>
                <w:sz w:val="20"/>
                <w:szCs w:val="20"/>
              </w:rPr>
              <w:t>: на расстоянии не более 200 км. от населенного пункта, включенного в список населенных пунктов в Приложении № 3</w:t>
            </w:r>
            <w:r w:rsidRPr="00287C21">
              <w:rPr>
                <w:rStyle w:val="aff3"/>
                <w:rFonts w:ascii="Tahoma" w:hAnsi="Tahoma"/>
                <w:sz w:val="20"/>
                <w:szCs w:val="20"/>
              </w:rPr>
              <w:footnoteReference w:id="152"/>
            </w:r>
            <w:r w:rsidRPr="00287C21">
              <w:rPr>
                <w:rFonts w:ascii="Tahoma" w:hAnsi="Tahoma" w:cs="Tahoma"/>
                <w:sz w:val="20"/>
                <w:szCs w:val="20"/>
              </w:rPr>
              <w:t>. В остальных случаях объект недвижимости, отличный от вида недвижимости «квартира», должен располагаться на расстоянии не более 50 км. от населенного пункта, в котором находится Подразделение Банка.</w:t>
            </w:r>
          </w:p>
          <w:p w14:paraId="79D42083" w14:textId="77777777" w:rsidR="00951A61" w:rsidRPr="008148A9" w:rsidRDefault="00951A61" w:rsidP="00A4032F">
            <w:pPr>
              <w:ind w:firstLine="425"/>
              <w:jc w:val="both"/>
              <w:rPr>
                <w:rFonts w:ascii="Tahoma" w:hAnsi="Tahoma" w:cs="Tahoma"/>
                <w:sz w:val="20"/>
                <w:szCs w:val="20"/>
              </w:rPr>
            </w:pPr>
            <w:r w:rsidRPr="008148A9">
              <w:rPr>
                <w:rFonts w:ascii="Tahoma" w:hAnsi="Tahoma" w:cs="Tahoma"/>
                <w:sz w:val="20"/>
                <w:szCs w:val="20"/>
              </w:rPr>
              <w:t>2. Предмет ипотеки не должен располагаться в закрытом административно-территориальном образовании (ЗАТО).</w:t>
            </w:r>
          </w:p>
          <w:p w14:paraId="59F039BC" w14:textId="77777777" w:rsidR="00951A61" w:rsidRPr="008148A9" w:rsidRDefault="00951A61" w:rsidP="00A4032F">
            <w:pPr>
              <w:ind w:firstLine="425"/>
              <w:jc w:val="both"/>
              <w:rPr>
                <w:rFonts w:ascii="Tahoma" w:hAnsi="Tahoma" w:cs="Tahoma"/>
                <w:sz w:val="20"/>
                <w:szCs w:val="20"/>
              </w:rPr>
            </w:pPr>
            <w:r w:rsidRPr="008148A9">
              <w:rPr>
                <w:rFonts w:ascii="Tahoma" w:hAnsi="Tahoma" w:cs="Tahoma"/>
                <w:sz w:val="20"/>
                <w:szCs w:val="20"/>
              </w:rPr>
              <w:t>3. Недвижимое имущество, являющееся Предметом ипотеки, должно быть подключено к централизованным или автономным системам жизнеобеспечения:</w:t>
            </w:r>
          </w:p>
          <w:p w14:paraId="6FE3D85B" w14:textId="77777777" w:rsidR="00951A61" w:rsidRPr="008148A9" w:rsidRDefault="00951A61" w:rsidP="00951A61">
            <w:pPr>
              <w:pStyle w:val="affe"/>
              <w:numPr>
                <w:ilvl w:val="0"/>
                <w:numId w:val="30"/>
              </w:numPr>
              <w:ind w:left="0" w:firstLine="425"/>
              <w:contextualSpacing/>
              <w:jc w:val="both"/>
              <w:rPr>
                <w:rFonts w:ascii="Tahoma" w:hAnsi="Tahoma" w:cs="Tahoma"/>
                <w:sz w:val="20"/>
                <w:szCs w:val="20"/>
              </w:rPr>
            </w:pPr>
            <w:r w:rsidRPr="008148A9">
              <w:rPr>
                <w:rFonts w:ascii="Tahoma" w:hAnsi="Tahoma" w:cs="Tahoma"/>
                <w:sz w:val="20"/>
                <w:szCs w:val="20"/>
              </w:rPr>
              <w:t xml:space="preserve">электрическим, паровым или газовым системам отопления, обеспечивающим подачу тепла на всю его жилую площадь; </w:t>
            </w:r>
          </w:p>
          <w:p w14:paraId="12F00CF4" w14:textId="77777777" w:rsidR="00951A61" w:rsidRPr="008148A9" w:rsidRDefault="00951A61" w:rsidP="00951A61">
            <w:pPr>
              <w:pStyle w:val="affe"/>
              <w:numPr>
                <w:ilvl w:val="0"/>
                <w:numId w:val="30"/>
              </w:numPr>
              <w:ind w:left="0" w:firstLine="425"/>
              <w:contextualSpacing/>
              <w:jc w:val="both"/>
              <w:rPr>
                <w:rFonts w:ascii="Tahoma" w:hAnsi="Tahoma" w:cs="Tahoma"/>
                <w:sz w:val="20"/>
                <w:szCs w:val="20"/>
              </w:rPr>
            </w:pPr>
            <w:r w:rsidRPr="008148A9">
              <w:rPr>
                <w:rFonts w:ascii="Tahoma" w:hAnsi="Tahoma" w:cs="Tahoma"/>
                <w:sz w:val="20"/>
                <w:szCs w:val="20"/>
              </w:rPr>
              <w:t>сетям электроснабжения;</w:t>
            </w:r>
          </w:p>
          <w:p w14:paraId="1E2DA3B7" w14:textId="77777777" w:rsidR="00951A61" w:rsidRPr="008148A9" w:rsidRDefault="00951A61" w:rsidP="00951A61">
            <w:pPr>
              <w:pStyle w:val="affe"/>
              <w:numPr>
                <w:ilvl w:val="0"/>
                <w:numId w:val="30"/>
              </w:numPr>
              <w:ind w:left="0" w:firstLine="425"/>
              <w:contextualSpacing/>
              <w:jc w:val="both"/>
              <w:rPr>
                <w:rFonts w:ascii="Tahoma" w:hAnsi="Tahoma" w:cs="Tahoma"/>
                <w:sz w:val="20"/>
                <w:szCs w:val="20"/>
              </w:rPr>
            </w:pPr>
            <w:r w:rsidRPr="008148A9">
              <w:rPr>
                <w:rFonts w:ascii="Tahoma" w:hAnsi="Tahoma" w:cs="Tahoma"/>
                <w:sz w:val="20"/>
                <w:szCs w:val="20"/>
              </w:rPr>
              <w:t>системе канализации;</w:t>
            </w:r>
          </w:p>
          <w:p w14:paraId="57EE6A5D" w14:textId="77777777" w:rsidR="00951A61" w:rsidRPr="008148A9" w:rsidRDefault="00951A61" w:rsidP="00951A61">
            <w:pPr>
              <w:pStyle w:val="affe"/>
              <w:numPr>
                <w:ilvl w:val="0"/>
                <w:numId w:val="30"/>
              </w:numPr>
              <w:ind w:left="0" w:firstLine="425"/>
              <w:contextualSpacing/>
              <w:jc w:val="both"/>
              <w:rPr>
                <w:rFonts w:ascii="Tahoma" w:hAnsi="Tahoma" w:cs="Tahoma"/>
                <w:sz w:val="20"/>
                <w:szCs w:val="20"/>
              </w:rPr>
            </w:pPr>
            <w:r w:rsidRPr="008148A9">
              <w:rPr>
                <w:rFonts w:ascii="Tahoma" w:hAnsi="Tahoma" w:cs="Tahoma"/>
                <w:sz w:val="20"/>
                <w:szCs w:val="20"/>
              </w:rPr>
              <w:t>горячему и холодному водоснабжению.</w:t>
            </w:r>
          </w:p>
          <w:p w14:paraId="7073452D" w14:textId="77777777" w:rsidR="00951A61" w:rsidRPr="008148A9" w:rsidRDefault="00951A61" w:rsidP="00A4032F">
            <w:pPr>
              <w:ind w:firstLine="425"/>
              <w:jc w:val="both"/>
              <w:rPr>
                <w:rFonts w:ascii="Tahoma" w:hAnsi="Tahoma" w:cs="Tahoma"/>
                <w:sz w:val="20"/>
                <w:szCs w:val="20"/>
              </w:rPr>
            </w:pPr>
            <w:r w:rsidRPr="008148A9">
              <w:rPr>
                <w:rFonts w:ascii="Tahoma" w:hAnsi="Tahoma" w:cs="Tahoma"/>
                <w:sz w:val="20"/>
                <w:szCs w:val="20"/>
              </w:rPr>
              <w:t xml:space="preserve">При этом в качестве автономных систем жизнеобеспечения </w:t>
            </w:r>
            <w:r w:rsidRPr="008148A9">
              <w:rPr>
                <w:rFonts w:ascii="Tahoma" w:hAnsi="Tahoma" w:cs="Tahoma"/>
                <w:sz w:val="20"/>
                <w:szCs w:val="20"/>
                <w:u w:val="single"/>
              </w:rPr>
              <w:t>не допускаются</w:t>
            </w:r>
            <w:r w:rsidRPr="008148A9">
              <w:rPr>
                <w:rFonts w:ascii="Tahoma" w:hAnsi="Tahoma" w:cs="Tahoma"/>
                <w:sz w:val="20"/>
                <w:szCs w:val="20"/>
              </w:rPr>
              <w:t xml:space="preserve"> печное отопление, обеспечение водой с использованием коллективных или индивидуальных скважин, не оборудованных автоматизированной системой подачи воды.</w:t>
            </w:r>
          </w:p>
          <w:p w14:paraId="1131D5EC" w14:textId="77777777" w:rsidR="00951A61" w:rsidRPr="008148A9" w:rsidRDefault="00951A61" w:rsidP="00A4032F">
            <w:pPr>
              <w:ind w:firstLine="425"/>
              <w:jc w:val="both"/>
              <w:rPr>
                <w:rFonts w:ascii="Tahoma" w:hAnsi="Tahoma" w:cs="Tahoma"/>
                <w:sz w:val="20"/>
                <w:szCs w:val="20"/>
              </w:rPr>
            </w:pPr>
            <w:r w:rsidRPr="008148A9">
              <w:rPr>
                <w:rFonts w:ascii="Tahoma" w:hAnsi="Tahoma" w:cs="Tahoma"/>
                <w:sz w:val="20"/>
                <w:szCs w:val="20"/>
              </w:rPr>
              <w:t>4. Недвижимое имущество должно иметь исправное состояние входной двери и окон, а также исправное состояние крыши (для объектов, расположенных на последних этажах). Информация о технических характеристиках недвижимого имущества указывается в отчете об оценке. В случае если не установлены и не подключены сантехнические приборы, газовая или электрическая плита, отопительные приборы, то необходимо определить возможность их установки и подключения по фотографиям объекта недвижимости, имеющимся в отчете об оценке.</w:t>
            </w:r>
          </w:p>
          <w:p w14:paraId="3FE87AE7" w14:textId="77777777" w:rsidR="00951A61" w:rsidRPr="008148A9" w:rsidRDefault="00951A61" w:rsidP="00A4032F">
            <w:pPr>
              <w:ind w:firstLine="425"/>
              <w:jc w:val="both"/>
              <w:rPr>
                <w:rFonts w:ascii="Tahoma" w:hAnsi="Tahoma" w:cs="Tahoma"/>
                <w:sz w:val="20"/>
                <w:szCs w:val="20"/>
              </w:rPr>
            </w:pPr>
            <w:r w:rsidRPr="008148A9">
              <w:rPr>
                <w:rFonts w:ascii="Tahoma" w:hAnsi="Tahoma" w:cs="Tahoma"/>
                <w:sz w:val="20"/>
                <w:szCs w:val="20"/>
              </w:rPr>
              <w:t>5. Недвижимое имущество, являющееся Предметом ипотеки, должно быть свободно от любых прав третьих лиц (за исключением залога «Азиатско-Тихоокеанский Банк» (АО);</w:t>
            </w:r>
          </w:p>
          <w:p w14:paraId="54BFC449" w14:textId="77777777" w:rsidR="00951A61" w:rsidRPr="008148A9" w:rsidRDefault="00951A61" w:rsidP="00951A61">
            <w:pPr>
              <w:pStyle w:val="affe"/>
              <w:numPr>
                <w:ilvl w:val="0"/>
                <w:numId w:val="38"/>
              </w:numPr>
              <w:ind w:left="0" w:firstLine="425"/>
              <w:contextualSpacing/>
              <w:jc w:val="both"/>
              <w:rPr>
                <w:rFonts w:ascii="Tahoma" w:hAnsi="Tahoma" w:cs="Tahoma"/>
                <w:sz w:val="20"/>
                <w:szCs w:val="20"/>
              </w:rPr>
            </w:pPr>
            <w:r w:rsidRPr="008148A9">
              <w:rPr>
                <w:rFonts w:ascii="Tahoma" w:hAnsi="Tahoma" w:cs="Tahoma"/>
                <w:sz w:val="20"/>
                <w:szCs w:val="20"/>
              </w:rPr>
              <w:lastRenderedPageBreak/>
              <w:t>не должны быть заключены/подписаны какие-либо договоры, в том числе предварительные, направленные на отчуждение/обременение недвижимого имущества третьим лицам, третьи лица не предъявляют никаких требований в отношении недвижимого имущества, в том числе иски об аресте или обращении взыскания на недвижимое имущество.</w:t>
            </w:r>
          </w:p>
          <w:p w14:paraId="5BDA1296" w14:textId="77777777" w:rsidR="00951A61" w:rsidRPr="008148A9" w:rsidRDefault="00951A61" w:rsidP="00A4032F">
            <w:pPr>
              <w:ind w:firstLine="425"/>
              <w:jc w:val="both"/>
              <w:rPr>
                <w:rFonts w:ascii="Tahoma" w:hAnsi="Tahoma" w:cs="Tahoma"/>
                <w:sz w:val="20"/>
                <w:szCs w:val="20"/>
              </w:rPr>
            </w:pPr>
            <w:r w:rsidRPr="008148A9">
              <w:rPr>
                <w:rFonts w:ascii="Tahoma" w:hAnsi="Tahoma" w:cs="Tahoma"/>
                <w:sz w:val="20"/>
                <w:szCs w:val="20"/>
                <w:u w:val="single"/>
              </w:rPr>
              <w:t>Требования к зданию, в котором расположен Предмет ипотеки</w:t>
            </w:r>
            <w:r w:rsidRPr="008148A9">
              <w:rPr>
                <w:rFonts w:ascii="Tahoma" w:hAnsi="Tahoma" w:cs="Tahoma"/>
                <w:sz w:val="20"/>
                <w:szCs w:val="20"/>
              </w:rPr>
              <w:t>:</w:t>
            </w:r>
          </w:p>
          <w:p w14:paraId="5807FE2D" w14:textId="77777777" w:rsidR="00951A61" w:rsidRPr="008148A9" w:rsidRDefault="00951A61" w:rsidP="00951A61">
            <w:pPr>
              <w:pStyle w:val="affe"/>
              <w:numPr>
                <w:ilvl w:val="0"/>
                <w:numId w:val="37"/>
              </w:numPr>
              <w:ind w:left="0" w:firstLine="425"/>
              <w:contextualSpacing/>
              <w:jc w:val="both"/>
              <w:rPr>
                <w:rFonts w:ascii="Tahoma" w:hAnsi="Tahoma" w:cs="Tahoma"/>
                <w:sz w:val="20"/>
                <w:szCs w:val="20"/>
              </w:rPr>
            </w:pPr>
            <w:r w:rsidRPr="008148A9">
              <w:rPr>
                <w:rFonts w:ascii="Tahoma" w:hAnsi="Tahoma" w:cs="Tahoma"/>
                <w:sz w:val="20"/>
                <w:szCs w:val="20"/>
              </w:rPr>
              <w:t>не находится в ветхом и/или аварийном состоянии;</w:t>
            </w:r>
          </w:p>
          <w:p w14:paraId="45AEDD96" w14:textId="77777777" w:rsidR="00951A61" w:rsidRPr="008148A9" w:rsidRDefault="00951A61" w:rsidP="00951A61">
            <w:pPr>
              <w:pStyle w:val="affe"/>
              <w:numPr>
                <w:ilvl w:val="0"/>
                <w:numId w:val="37"/>
              </w:numPr>
              <w:ind w:left="0" w:firstLine="425"/>
              <w:contextualSpacing/>
              <w:jc w:val="both"/>
              <w:rPr>
                <w:rFonts w:ascii="Tahoma" w:hAnsi="Tahoma" w:cs="Tahoma"/>
                <w:sz w:val="20"/>
                <w:szCs w:val="20"/>
              </w:rPr>
            </w:pPr>
            <w:r w:rsidRPr="008148A9">
              <w:rPr>
                <w:rFonts w:ascii="Tahoma" w:hAnsi="Tahoma" w:cs="Tahoma"/>
                <w:sz w:val="20"/>
                <w:szCs w:val="20"/>
              </w:rPr>
              <w:t>не состоит на учете для проведения капитального ремонта с отселением;</w:t>
            </w:r>
          </w:p>
          <w:p w14:paraId="6077AA24" w14:textId="77777777" w:rsidR="00951A61" w:rsidRPr="008148A9" w:rsidRDefault="00951A61" w:rsidP="00951A61">
            <w:pPr>
              <w:pStyle w:val="affe"/>
              <w:numPr>
                <w:ilvl w:val="0"/>
                <w:numId w:val="37"/>
              </w:numPr>
              <w:ind w:left="0" w:firstLine="425"/>
              <w:contextualSpacing/>
              <w:jc w:val="both"/>
              <w:rPr>
                <w:rFonts w:ascii="Tahoma" w:hAnsi="Tahoma" w:cs="Tahoma"/>
                <w:sz w:val="20"/>
                <w:szCs w:val="20"/>
              </w:rPr>
            </w:pPr>
            <w:r w:rsidRPr="008148A9">
              <w:rPr>
                <w:rFonts w:ascii="Tahoma" w:hAnsi="Tahoma" w:cs="Tahoma"/>
                <w:sz w:val="20"/>
                <w:szCs w:val="20"/>
              </w:rPr>
              <w:t>не состоит в планах органов местного самоуправления и (или) государственных органов на снос;</w:t>
            </w:r>
          </w:p>
          <w:p w14:paraId="69C7216F" w14:textId="77777777" w:rsidR="00951A61" w:rsidRPr="008148A9" w:rsidRDefault="00951A61" w:rsidP="00951A61">
            <w:pPr>
              <w:pStyle w:val="affe"/>
              <w:numPr>
                <w:ilvl w:val="0"/>
                <w:numId w:val="37"/>
              </w:numPr>
              <w:ind w:left="0" w:firstLine="425"/>
              <w:contextualSpacing/>
              <w:jc w:val="both"/>
              <w:rPr>
                <w:rFonts w:ascii="Tahoma" w:hAnsi="Tahoma" w:cs="Tahoma"/>
                <w:sz w:val="20"/>
                <w:szCs w:val="20"/>
              </w:rPr>
            </w:pPr>
            <w:r w:rsidRPr="008148A9">
              <w:rPr>
                <w:rFonts w:ascii="Tahoma" w:hAnsi="Tahoma" w:cs="Tahoma"/>
                <w:sz w:val="20"/>
                <w:szCs w:val="20"/>
              </w:rPr>
              <w:t>имеет железобетонный, каменный или кирпичный фундамент.</w:t>
            </w:r>
          </w:p>
          <w:p w14:paraId="175A90EB" w14:textId="77777777" w:rsidR="00951A61" w:rsidRPr="008148A9" w:rsidRDefault="00951A61" w:rsidP="00951A61">
            <w:pPr>
              <w:pStyle w:val="affe"/>
              <w:numPr>
                <w:ilvl w:val="0"/>
                <w:numId w:val="37"/>
              </w:numPr>
              <w:ind w:left="0" w:firstLine="425"/>
              <w:contextualSpacing/>
              <w:jc w:val="both"/>
              <w:rPr>
                <w:rFonts w:ascii="Tahoma" w:hAnsi="Tahoma" w:cs="Tahoma"/>
                <w:sz w:val="20"/>
                <w:szCs w:val="20"/>
              </w:rPr>
            </w:pPr>
            <w:r w:rsidRPr="008148A9">
              <w:rPr>
                <w:rFonts w:ascii="Tahoma" w:hAnsi="Tahoma" w:cs="Tahoma"/>
                <w:sz w:val="20"/>
                <w:szCs w:val="20"/>
              </w:rPr>
              <w:t>имеет износ менее 70% (включительно);</w:t>
            </w:r>
          </w:p>
          <w:p w14:paraId="087648F0" w14:textId="77777777" w:rsidR="00951A61" w:rsidRPr="008148A9" w:rsidRDefault="00951A61" w:rsidP="00951A61">
            <w:pPr>
              <w:pStyle w:val="affe"/>
              <w:numPr>
                <w:ilvl w:val="0"/>
                <w:numId w:val="37"/>
              </w:numPr>
              <w:ind w:left="0" w:firstLine="425"/>
              <w:contextualSpacing/>
              <w:jc w:val="both"/>
              <w:rPr>
                <w:rFonts w:ascii="Tahoma" w:hAnsi="Tahoma" w:cs="Tahoma"/>
                <w:b/>
                <w:sz w:val="20"/>
                <w:szCs w:val="20"/>
                <w:u w:val="single"/>
              </w:rPr>
            </w:pPr>
            <w:r w:rsidRPr="008148A9">
              <w:rPr>
                <w:rFonts w:ascii="Tahoma" w:hAnsi="Tahoma" w:cs="Tahoma"/>
                <w:sz w:val="20"/>
                <w:szCs w:val="20"/>
              </w:rPr>
              <w:t xml:space="preserve">недвижимое имущество должно быть предназначено для постоянного проживания, должно удовлетворять санитарно-техническим нормам по обеспечению здоровья и безопасности жильцов. </w:t>
            </w:r>
          </w:p>
          <w:p w14:paraId="3CD8D031" w14:textId="77777777" w:rsidR="00951A61" w:rsidRPr="008148A9" w:rsidRDefault="00951A61" w:rsidP="00951A61">
            <w:pPr>
              <w:pStyle w:val="affe"/>
              <w:numPr>
                <w:ilvl w:val="0"/>
                <w:numId w:val="37"/>
              </w:numPr>
              <w:ind w:left="0" w:firstLine="425"/>
              <w:contextualSpacing/>
              <w:jc w:val="both"/>
              <w:rPr>
                <w:rFonts w:ascii="Tahoma" w:hAnsi="Tahoma" w:cs="Tahoma"/>
                <w:b/>
                <w:sz w:val="20"/>
                <w:szCs w:val="20"/>
                <w:u w:val="single"/>
              </w:rPr>
            </w:pPr>
            <w:r w:rsidRPr="008148A9">
              <w:rPr>
                <w:rFonts w:ascii="Tahoma" w:hAnsi="Tahoma" w:cs="Tahoma"/>
                <w:b/>
                <w:sz w:val="20"/>
                <w:szCs w:val="20"/>
                <w:u w:val="single"/>
              </w:rPr>
              <w:t>НЕ МОЖЕТ</w:t>
            </w:r>
            <w:r w:rsidRPr="008148A9">
              <w:rPr>
                <w:rFonts w:ascii="Tahoma" w:hAnsi="Tahoma" w:cs="Tahoma"/>
                <w:b/>
                <w:sz w:val="20"/>
                <w:szCs w:val="20"/>
              </w:rPr>
              <w:t xml:space="preserve"> </w:t>
            </w:r>
            <w:r w:rsidRPr="008148A9">
              <w:rPr>
                <w:rFonts w:ascii="Tahoma" w:hAnsi="Tahoma" w:cs="Tahoma"/>
                <w:sz w:val="20"/>
                <w:szCs w:val="20"/>
              </w:rPr>
              <w:t xml:space="preserve">быть принято в залог недвижимое имущество, в котором отсутствует кухня/кухонная зона и санузел, а также отсутствует физическая возможность обустройства данных помещений. </w:t>
            </w:r>
          </w:p>
          <w:p w14:paraId="64B7B9B2" w14:textId="77777777" w:rsidR="00951A61" w:rsidRPr="008148A9" w:rsidRDefault="00951A61" w:rsidP="00951A61">
            <w:pPr>
              <w:pStyle w:val="affe"/>
              <w:numPr>
                <w:ilvl w:val="0"/>
                <w:numId w:val="37"/>
              </w:numPr>
              <w:ind w:left="0" w:firstLine="425"/>
              <w:contextualSpacing/>
              <w:jc w:val="both"/>
              <w:rPr>
                <w:rFonts w:ascii="Tahoma" w:hAnsi="Tahoma" w:cs="Tahoma"/>
                <w:b/>
                <w:sz w:val="20"/>
                <w:szCs w:val="20"/>
                <w:u w:val="single"/>
              </w:rPr>
            </w:pPr>
            <w:r w:rsidRPr="008148A9">
              <w:rPr>
                <w:rFonts w:ascii="Tahoma" w:hAnsi="Tahoma" w:cs="Tahoma"/>
                <w:b/>
                <w:sz w:val="20"/>
                <w:szCs w:val="20"/>
                <w:u w:val="single"/>
              </w:rPr>
              <w:t>НЕ МОЖЕТ</w:t>
            </w:r>
            <w:r w:rsidRPr="008148A9">
              <w:rPr>
                <w:rFonts w:ascii="Tahoma" w:hAnsi="Tahoma" w:cs="Tahoma"/>
                <w:sz w:val="20"/>
                <w:szCs w:val="20"/>
              </w:rPr>
              <w:t xml:space="preserve"> Предметом ипотеки выступать недвижимое имущество, расположенное в многоквартирных домах, межэтажные перекрытия которых полностью состоят из деревянных конструкций. Данная информация указывается в отчете об оценке.</w:t>
            </w:r>
          </w:p>
          <w:p w14:paraId="775BCFF5" w14:textId="77777777" w:rsidR="00951A61" w:rsidRPr="008148A9" w:rsidRDefault="00951A61" w:rsidP="00A4032F">
            <w:pPr>
              <w:pStyle w:val="affe"/>
              <w:ind w:left="0" w:firstLine="425"/>
              <w:jc w:val="both"/>
              <w:rPr>
                <w:rFonts w:ascii="Tahoma" w:hAnsi="Tahoma" w:cs="Tahoma"/>
                <w:b/>
                <w:sz w:val="20"/>
                <w:szCs w:val="20"/>
                <w:u w:val="single"/>
              </w:rPr>
            </w:pPr>
            <w:r w:rsidRPr="008148A9">
              <w:rPr>
                <w:rFonts w:ascii="Tahoma" w:hAnsi="Tahoma" w:cs="Tahoma"/>
                <w:b/>
                <w:sz w:val="20"/>
                <w:szCs w:val="20"/>
                <w:u w:val="single"/>
              </w:rPr>
              <w:t xml:space="preserve">Отдельные требования к Предмету ипотеки: </w:t>
            </w:r>
          </w:p>
          <w:p w14:paraId="1845D23B" w14:textId="77777777" w:rsidR="00951A61" w:rsidRPr="008148A9" w:rsidRDefault="00951A61" w:rsidP="00A4032F">
            <w:pPr>
              <w:ind w:firstLine="425"/>
              <w:jc w:val="both"/>
              <w:rPr>
                <w:rFonts w:ascii="Tahoma" w:hAnsi="Tahoma" w:cs="Tahoma"/>
                <w:sz w:val="20"/>
                <w:szCs w:val="20"/>
              </w:rPr>
            </w:pPr>
            <w:r w:rsidRPr="008148A9">
              <w:rPr>
                <w:rFonts w:ascii="Tahoma" w:hAnsi="Tahoma" w:cs="Tahoma"/>
                <w:b/>
                <w:sz w:val="20"/>
                <w:szCs w:val="20"/>
                <w:u w:val="single"/>
              </w:rPr>
              <w:t>Квартира/Апартаменты</w:t>
            </w:r>
            <w:r w:rsidRPr="008148A9">
              <w:rPr>
                <w:rFonts w:ascii="Tahoma" w:hAnsi="Tahoma" w:cs="Tahoma"/>
                <w:sz w:val="20"/>
                <w:szCs w:val="20"/>
              </w:rPr>
              <w:t xml:space="preserve"> должны быть:</w:t>
            </w:r>
          </w:p>
          <w:p w14:paraId="499EEE62" w14:textId="77777777" w:rsidR="00951A61" w:rsidRPr="008148A9" w:rsidRDefault="00951A61" w:rsidP="00951A61">
            <w:pPr>
              <w:pStyle w:val="affe"/>
              <w:numPr>
                <w:ilvl w:val="0"/>
                <w:numId w:val="29"/>
              </w:numPr>
              <w:ind w:left="0" w:firstLine="425"/>
              <w:contextualSpacing/>
              <w:jc w:val="both"/>
              <w:rPr>
                <w:rFonts w:ascii="Tahoma" w:hAnsi="Tahoma" w:cs="Tahoma"/>
                <w:sz w:val="20"/>
                <w:szCs w:val="20"/>
              </w:rPr>
            </w:pPr>
            <w:r w:rsidRPr="008148A9">
              <w:rPr>
                <w:rFonts w:ascii="Tahoma" w:hAnsi="Tahoma" w:cs="Tahoma"/>
                <w:sz w:val="20"/>
                <w:szCs w:val="20"/>
              </w:rPr>
              <w:t>пригодны для постоянного проживания граждан, отвечать санитарно-техническим нормам по обеспечению здоровья и безопасности жильцов.</w:t>
            </w:r>
          </w:p>
          <w:p w14:paraId="712C1458" w14:textId="77777777" w:rsidR="00951A61" w:rsidRPr="008148A9" w:rsidRDefault="00951A61" w:rsidP="00951A61">
            <w:pPr>
              <w:pStyle w:val="affe"/>
              <w:numPr>
                <w:ilvl w:val="0"/>
                <w:numId w:val="29"/>
              </w:numPr>
              <w:ind w:left="0" w:firstLine="425"/>
              <w:contextualSpacing/>
              <w:jc w:val="both"/>
              <w:rPr>
                <w:rFonts w:ascii="Tahoma" w:hAnsi="Tahoma" w:cs="Tahoma"/>
                <w:sz w:val="20"/>
                <w:szCs w:val="20"/>
              </w:rPr>
            </w:pPr>
            <w:r w:rsidRPr="008148A9">
              <w:rPr>
                <w:rFonts w:ascii="Tahoma" w:hAnsi="Tahoma" w:cs="Tahoma"/>
                <w:sz w:val="20"/>
                <w:szCs w:val="20"/>
              </w:rPr>
              <w:t>расположена в многоквартирном доме.</w:t>
            </w:r>
          </w:p>
          <w:p w14:paraId="43155FA4" w14:textId="77777777" w:rsidR="00951A61" w:rsidRPr="008148A9" w:rsidRDefault="00951A61" w:rsidP="00951A61">
            <w:pPr>
              <w:pStyle w:val="affe"/>
              <w:numPr>
                <w:ilvl w:val="0"/>
                <w:numId w:val="29"/>
              </w:numPr>
              <w:ind w:left="0" w:firstLine="425"/>
              <w:contextualSpacing/>
              <w:jc w:val="both"/>
              <w:rPr>
                <w:rFonts w:ascii="Tahoma" w:hAnsi="Tahoma" w:cs="Tahoma"/>
                <w:sz w:val="20"/>
                <w:szCs w:val="20"/>
              </w:rPr>
            </w:pPr>
            <w:r w:rsidRPr="008148A9">
              <w:rPr>
                <w:rFonts w:ascii="Tahoma" w:hAnsi="Tahoma" w:cs="Tahoma"/>
                <w:sz w:val="20"/>
                <w:szCs w:val="20"/>
              </w:rPr>
              <w:t>не может быть расположена на цокольном или подвальном этаже здания.</w:t>
            </w:r>
          </w:p>
          <w:p w14:paraId="2602F12B" w14:textId="77777777" w:rsidR="00951A61" w:rsidRPr="008148A9" w:rsidRDefault="00951A61" w:rsidP="00951A61">
            <w:pPr>
              <w:pStyle w:val="affe"/>
              <w:numPr>
                <w:ilvl w:val="0"/>
                <w:numId w:val="29"/>
              </w:numPr>
              <w:ind w:left="0" w:firstLine="425"/>
              <w:contextualSpacing/>
              <w:jc w:val="both"/>
              <w:rPr>
                <w:rFonts w:ascii="Tahoma" w:hAnsi="Tahoma" w:cs="Tahoma"/>
                <w:sz w:val="20"/>
                <w:szCs w:val="20"/>
              </w:rPr>
            </w:pPr>
            <w:r w:rsidRPr="008148A9">
              <w:rPr>
                <w:rFonts w:ascii="Tahoma" w:hAnsi="Tahoma" w:cs="Tahoma"/>
                <w:sz w:val="20"/>
                <w:szCs w:val="20"/>
              </w:rPr>
              <w:t>целью приобретения апартаментов является проживание, а не обустройство офиса или иные коммерческие цели.</w:t>
            </w:r>
          </w:p>
          <w:p w14:paraId="59EAC940" w14:textId="77777777" w:rsidR="00951A61" w:rsidRPr="008148A9" w:rsidRDefault="00951A61" w:rsidP="00A4032F">
            <w:pPr>
              <w:ind w:firstLine="425"/>
              <w:jc w:val="both"/>
              <w:rPr>
                <w:rFonts w:ascii="Tahoma" w:hAnsi="Tahoma" w:cs="Tahoma"/>
                <w:sz w:val="20"/>
                <w:szCs w:val="20"/>
              </w:rPr>
            </w:pPr>
          </w:p>
          <w:p w14:paraId="1F3772CB" w14:textId="77777777" w:rsidR="00951A61" w:rsidRPr="008148A9" w:rsidRDefault="00951A61" w:rsidP="00A4032F">
            <w:pPr>
              <w:ind w:firstLine="425"/>
              <w:jc w:val="both"/>
              <w:rPr>
                <w:rFonts w:ascii="Tahoma" w:hAnsi="Tahoma" w:cs="Tahoma"/>
                <w:sz w:val="20"/>
                <w:szCs w:val="20"/>
              </w:rPr>
            </w:pPr>
            <w:r w:rsidRPr="008148A9">
              <w:rPr>
                <w:rFonts w:ascii="Tahoma" w:hAnsi="Tahoma" w:cs="Tahoma"/>
                <w:b/>
                <w:sz w:val="20"/>
                <w:szCs w:val="20"/>
                <w:u w:val="single"/>
              </w:rPr>
              <w:t>Таунхаус должен быть:</w:t>
            </w:r>
          </w:p>
          <w:p w14:paraId="2D3BA7B8" w14:textId="77777777" w:rsidR="00951A61" w:rsidRPr="008148A9" w:rsidRDefault="00951A61" w:rsidP="00951A61">
            <w:pPr>
              <w:pStyle w:val="affe"/>
              <w:numPr>
                <w:ilvl w:val="0"/>
                <w:numId w:val="31"/>
              </w:numPr>
              <w:ind w:left="0" w:firstLine="425"/>
              <w:contextualSpacing/>
              <w:jc w:val="both"/>
              <w:rPr>
                <w:rFonts w:ascii="Tahoma" w:hAnsi="Tahoma" w:cs="Tahoma"/>
                <w:sz w:val="20"/>
                <w:szCs w:val="20"/>
              </w:rPr>
            </w:pPr>
            <w:r w:rsidRPr="008148A9">
              <w:rPr>
                <w:rFonts w:ascii="Tahoma" w:hAnsi="Tahoma" w:cs="Tahoma"/>
                <w:sz w:val="20"/>
                <w:szCs w:val="20"/>
              </w:rPr>
              <w:t>предназначен для проживания одной семьи.</w:t>
            </w:r>
          </w:p>
          <w:p w14:paraId="649E0CBE" w14:textId="77777777" w:rsidR="00951A61" w:rsidRPr="008148A9" w:rsidRDefault="00951A61" w:rsidP="00951A61">
            <w:pPr>
              <w:pStyle w:val="affe"/>
              <w:numPr>
                <w:ilvl w:val="0"/>
                <w:numId w:val="31"/>
              </w:numPr>
              <w:ind w:left="0" w:firstLine="425"/>
              <w:contextualSpacing/>
              <w:jc w:val="both"/>
              <w:rPr>
                <w:rFonts w:ascii="Tahoma" w:hAnsi="Tahoma" w:cs="Tahoma"/>
                <w:sz w:val="20"/>
                <w:szCs w:val="20"/>
              </w:rPr>
            </w:pPr>
            <w:r w:rsidRPr="008148A9">
              <w:rPr>
                <w:rFonts w:ascii="Tahoma" w:hAnsi="Tahoma" w:cs="Tahoma"/>
                <w:sz w:val="20"/>
                <w:szCs w:val="20"/>
              </w:rPr>
              <w:t>представляет собой отдельную многоуровневую квартиру в многоквартирном доме блокированной застройки.</w:t>
            </w:r>
          </w:p>
          <w:p w14:paraId="1E5BB921" w14:textId="77777777" w:rsidR="00951A61" w:rsidRPr="008148A9" w:rsidRDefault="00951A61" w:rsidP="00951A61">
            <w:pPr>
              <w:pStyle w:val="affe"/>
              <w:numPr>
                <w:ilvl w:val="0"/>
                <w:numId w:val="31"/>
              </w:numPr>
              <w:ind w:left="0" w:firstLine="425"/>
              <w:contextualSpacing/>
              <w:jc w:val="both"/>
              <w:rPr>
                <w:rFonts w:ascii="Tahoma" w:hAnsi="Tahoma" w:cs="Tahoma"/>
                <w:sz w:val="20"/>
                <w:szCs w:val="20"/>
              </w:rPr>
            </w:pPr>
            <w:r w:rsidRPr="008148A9">
              <w:rPr>
                <w:rFonts w:ascii="Tahoma" w:hAnsi="Tahoma" w:cs="Tahoma"/>
                <w:sz w:val="20"/>
                <w:szCs w:val="20"/>
              </w:rPr>
              <w:t xml:space="preserve">подключен к общим коммуникациям (электроснабжение, водоснабжение, канализация) комплекса данных домов. </w:t>
            </w:r>
          </w:p>
          <w:p w14:paraId="3FD9F43D" w14:textId="77777777" w:rsidR="00951A61" w:rsidRPr="008148A9" w:rsidRDefault="00951A61" w:rsidP="00951A61">
            <w:pPr>
              <w:pStyle w:val="affe"/>
              <w:numPr>
                <w:ilvl w:val="0"/>
                <w:numId w:val="31"/>
              </w:numPr>
              <w:ind w:left="0" w:firstLine="425"/>
              <w:contextualSpacing/>
              <w:jc w:val="both"/>
              <w:rPr>
                <w:rFonts w:ascii="Tahoma" w:hAnsi="Tahoma" w:cs="Tahoma"/>
                <w:sz w:val="20"/>
                <w:szCs w:val="20"/>
              </w:rPr>
            </w:pPr>
            <w:r w:rsidRPr="008148A9">
              <w:rPr>
                <w:rFonts w:ascii="Tahoma" w:hAnsi="Tahoma" w:cs="Tahoma"/>
                <w:sz w:val="20"/>
                <w:szCs w:val="20"/>
              </w:rPr>
              <w:t>согласно правоустанавливающим документам может быть определен в том числе как «квартира».</w:t>
            </w:r>
          </w:p>
          <w:p w14:paraId="277BAC6B" w14:textId="77777777" w:rsidR="00951A61" w:rsidRPr="008148A9" w:rsidRDefault="00951A61" w:rsidP="00951A61">
            <w:pPr>
              <w:pStyle w:val="affe"/>
              <w:numPr>
                <w:ilvl w:val="0"/>
                <w:numId w:val="31"/>
              </w:numPr>
              <w:ind w:left="0" w:firstLine="425"/>
              <w:contextualSpacing/>
              <w:jc w:val="both"/>
              <w:rPr>
                <w:rFonts w:ascii="Tahoma" w:hAnsi="Tahoma" w:cs="Tahoma"/>
                <w:sz w:val="20"/>
                <w:szCs w:val="20"/>
              </w:rPr>
            </w:pPr>
            <w:r w:rsidRPr="008148A9">
              <w:rPr>
                <w:rFonts w:ascii="Tahoma" w:hAnsi="Tahoma" w:cs="Tahoma"/>
                <w:sz w:val="20"/>
                <w:szCs w:val="20"/>
              </w:rPr>
              <w:t>год постройки/ввода в эксплуатацию – не ранее 1995.</w:t>
            </w:r>
          </w:p>
          <w:p w14:paraId="4E9239B2" w14:textId="77777777" w:rsidR="00951A61" w:rsidRPr="008148A9" w:rsidRDefault="00951A61" w:rsidP="00951A61">
            <w:pPr>
              <w:pStyle w:val="affe"/>
              <w:numPr>
                <w:ilvl w:val="0"/>
                <w:numId w:val="31"/>
              </w:numPr>
              <w:ind w:left="0" w:firstLine="425"/>
              <w:contextualSpacing/>
              <w:jc w:val="both"/>
              <w:rPr>
                <w:rFonts w:ascii="Tahoma" w:hAnsi="Tahoma" w:cs="Tahoma"/>
                <w:sz w:val="20"/>
                <w:szCs w:val="20"/>
              </w:rPr>
            </w:pPr>
            <w:r w:rsidRPr="008148A9">
              <w:rPr>
                <w:rFonts w:ascii="Tahoma" w:hAnsi="Tahoma" w:cs="Tahoma"/>
                <w:sz w:val="20"/>
                <w:szCs w:val="20"/>
              </w:rPr>
              <w:t>материал стен – кирпич/бетон (в т.ч. материал на основе бетона: газоблок, пеноблок, твинблок и т.п.).</w:t>
            </w:r>
          </w:p>
          <w:p w14:paraId="5ABC3DAD" w14:textId="77777777" w:rsidR="00951A61" w:rsidRPr="008148A9" w:rsidRDefault="00951A61" w:rsidP="00951A61">
            <w:pPr>
              <w:pStyle w:val="affe"/>
              <w:numPr>
                <w:ilvl w:val="0"/>
                <w:numId w:val="31"/>
              </w:numPr>
              <w:ind w:left="0" w:firstLine="425"/>
              <w:contextualSpacing/>
              <w:jc w:val="both"/>
              <w:rPr>
                <w:rFonts w:ascii="Tahoma" w:hAnsi="Tahoma" w:cs="Tahoma"/>
                <w:sz w:val="20"/>
                <w:szCs w:val="20"/>
              </w:rPr>
            </w:pPr>
            <w:r w:rsidRPr="008148A9">
              <w:rPr>
                <w:rFonts w:ascii="Tahoma" w:hAnsi="Tahoma" w:cs="Tahoma"/>
                <w:sz w:val="20"/>
                <w:szCs w:val="20"/>
              </w:rPr>
              <w:t>в общей собственности владельцев квартир должно находиться иное общее имущество многоквартирного дома;</w:t>
            </w:r>
          </w:p>
          <w:p w14:paraId="0296F1CA" w14:textId="77777777" w:rsidR="00951A61" w:rsidRPr="008148A9" w:rsidRDefault="00951A61" w:rsidP="00951A61">
            <w:pPr>
              <w:pStyle w:val="affe"/>
              <w:numPr>
                <w:ilvl w:val="0"/>
                <w:numId w:val="31"/>
              </w:numPr>
              <w:ind w:left="0" w:firstLine="425"/>
              <w:contextualSpacing/>
              <w:jc w:val="both"/>
              <w:rPr>
                <w:rFonts w:ascii="Tahoma" w:hAnsi="Tahoma" w:cs="Tahoma"/>
                <w:sz w:val="20"/>
                <w:szCs w:val="20"/>
              </w:rPr>
            </w:pPr>
            <w:r w:rsidRPr="008148A9">
              <w:rPr>
                <w:rFonts w:ascii="Tahoma" w:hAnsi="Tahoma" w:cs="Tahoma"/>
                <w:sz w:val="20"/>
                <w:szCs w:val="20"/>
              </w:rPr>
              <w:t>земельный участок, на котором располагается таунхаус, должен находиться в общей собственности всех собственников квартир многоквартирного дома (земельный участок не должен быть разделен/размежеван на отдельные части и оформлен в собственность). Отдельное приобретение такого земельного участка или его части невозможно.</w:t>
            </w:r>
          </w:p>
          <w:p w14:paraId="73C680FC" w14:textId="77777777" w:rsidR="00951A61" w:rsidRPr="008148A9" w:rsidRDefault="00951A61" w:rsidP="00951A61">
            <w:pPr>
              <w:pStyle w:val="affe"/>
              <w:numPr>
                <w:ilvl w:val="0"/>
                <w:numId w:val="31"/>
              </w:numPr>
              <w:ind w:left="0" w:firstLine="425"/>
              <w:contextualSpacing/>
              <w:jc w:val="both"/>
              <w:rPr>
                <w:rFonts w:ascii="Tahoma" w:hAnsi="Tahoma" w:cs="Tahoma"/>
                <w:sz w:val="20"/>
                <w:szCs w:val="20"/>
              </w:rPr>
            </w:pPr>
            <w:r w:rsidRPr="008148A9">
              <w:rPr>
                <w:rFonts w:ascii="Tahoma" w:hAnsi="Tahoma" w:cs="Tahoma"/>
                <w:sz w:val="20"/>
                <w:szCs w:val="20"/>
              </w:rPr>
              <w:t>допустимая категория земельного участка «Земли населенных пунктов».</w:t>
            </w:r>
          </w:p>
          <w:p w14:paraId="214F4301" w14:textId="77777777" w:rsidR="00951A61" w:rsidRPr="008148A9" w:rsidRDefault="00951A61" w:rsidP="00951A61">
            <w:pPr>
              <w:pStyle w:val="affe"/>
              <w:numPr>
                <w:ilvl w:val="0"/>
                <w:numId w:val="31"/>
              </w:numPr>
              <w:ind w:left="0" w:firstLine="425"/>
              <w:contextualSpacing/>
              <w:jc w:val="both"/>
              <w:rPr>
                <w:rFonts w:ascii="Tahoma" w:hAnsi="Tahoma" w:cs="Tahoma"/>
                <w:sz w:val="20"/>
                <w:szCs w:val="20"/>
              </w:rPr>
            </w:pPr>
            <w:r w:rsidRPr="008148A9">
              <w:rPr>
                <w:rFonts w:ascii="Tahoma" w:hAnsi="Tahoma" w:cs="Tahoma"/>
                <w:sz w:val="20"/>
                <w:szCs w:val="20"/>
              </w:rPr>
              <w:t>допустимое разрешенное использование земельного участка:</w:t>
            </w:r>
          </w:p>
          <w:p w14:paraId="78CA46B7" w14:textId="77777777" w:rsidR="00951A61" w:rsidRPr="008148A9" w:rsidRDefault="00951A61" w:rsidP="00951A61">
            <w:pPr>
              <w:pStyle w:val="affe"/>
              <w:numPr>
                <w:ilvl w:val="0"/>
                <w:numId w:val="33"/>
              </w:numPr>
              <w:ind w:left="0" w:firstLine="425"/>
              <w:contextualSpacing/>
              <w:jc w:val="both"/>
              <w:rPr>
                <w:rFonts w:ascii="Tahoma" w:hAnsi="Tahoma" w:cs="Tahoma"/>
                <w:sz w:val="20"/>
                <w:szCs w:val="20"/>
              </w:rPr>
            </w:pPr>
            <w:r w:rsidRPr="008148A9">
              <w:rPr>
                <w:rFonts w:ascii="Tahoma" w:hAnsi="Tahoma" w:cs="Tahoma"/>
                <w:sz w:val="20"/>
                <w:szCs w:val="20"/>
              </w:rPr>
              <w:t>малоэтажная многоквартирная жилая застройка;</w:t>
            </w:r>
          </w:p>
          <w:p w14:paraId="0307D405" w14:textId="77777777" w:rsidR="00951A61" w:rsidRPr="008148A9" w:rsidRDefault="00951A61" w:rsidP="00951A61">
            <w:pPr>
              <w:pStyle w:val="affe"/>
              <w:numPr>
                <w:ilvl w:val="0"/>
                <w:numId w:val="33"/>
              </w:numPr>
              <w:ind w:left="0" w:firstLine="425"/>
              <w:contextualSpacing/>
              <w:jc w:val="both"/>
              <w:rPr>
                <w:rFonts w:ascii="Tahoma" w:hAnsi="Tahoma" w:cs="Tahoma"/>
                <w:sz w:val="20"/>
                <w:szCs w:val="20"/>
              </w:rPr>
            </w:pPr>
            <w:r w:rsidRPr="008148A9">
              <w:rPr>
                <w:rFonts w:ascii="Tahoma" w:hAnsi="Tahoma" w:cs="Tahoma"/>
                <w:sz w:val="20"/>
                <w:szCs w:val="20"/>
              </w:rPr>
              <w:t>малоэтажное жилищное строительство;</w:t>
            </w:r>
          </w:p>
          <w:p w14:paraId="5E5D68E8" w14:textId="77777777" w:rsidR="00951A61" w:rsidRPr="008148A9" w:rsidRDefault="00951A61" w:rsidP="00951A61">
            <w:pPr>
              <w:pStyle w:val="affe"/>
              <w:numPr>
                <w:ilvl w:val="0"/>
                <w:numId w:val="33"/>
              </w:numPr>
              <w:ind w:left="0" w:firstLine="425"/>
              <w:contextualSpacing/>
              <w:jc w:val="both"/>
              <w:rPr>
                <w:rFonts w:ascii="Tahoma" w:hAnsi="Tahoma" w:cs="Tahoma"/>
                <w:sz w:val="20"/>
                <w:szCs w:val="20"/>
              </w:rPr>
            </w:pPr>
            <w:r w:rsidRPr="008148A9">
              <w:rPr>
                <w:rFonts w:ascii="Tahoma" w:hAnsi="Tahoma" w:cs="Tahoma"/>
                <w:sz w:val="20"/>
                <w:szCs w:val="20"/>
              </w:rPr>
              <w:t>размещение домов малоэтажной жилой застройки;</w:t>
            </w:r>
          </w:p>
          <w:p w14:paraId="408E62C0" w14:textId="77777777" w:rsidR="00951A61" w:rsidRPr="008148A9" w:rsidRDefault="00951A61" w:rsidP="00951A61">
            <w:pPr>
              <w:pStyle w:val="affe"/>
              <w:numPr>
                <w:ilvl w:val="0"/>
                <w:numId w:val="33"/>
              </w:numPr>
              <w:ind w:left="0" w:firstLine="425"/>
              <w:contextualSpacing/>
              <w:jc w:val="both"/>
              <w:rPr>
                <w:rFonts w:ascii="Tahoma" w:hAnsi="Tahoma" w:cs="Tahoma"/>
                <w:sz w:val="20"/>
                <w:szCs w:val="20"/>
              </w:rPr>
            </w:pPr>
            <w:r w:rsidRPr="008148A9">
              <w:rPr>
                <w:rFonts w:ascii="Tahoma" w:hAnsi="Tahoma" w:cs="Tahoma"/>
                <w:sz w:val="20"/>
                <w:szCs w:val="20"/>
              </w:rPr>
              <w:t>малоэтажная жилая застройка;</w:t>
            </w:r>
          </w:p>
          <w:p w14:paraId="316F41C2" w14:textId="77777777" w:rsidR="00951A61" w:rsidRPr="008148A9" w:rsidRDefault="00951A61" w:rsidP="00951A61">
            <w:pPr>
              <w:pStyle w:val="affe"/>
              <w:numPr>
                <w:ilvl w:val="0"/>
                <w:numId w:val="33"/>
              </w:numPr>
              <w:ind w:left="0" w:firstLine="425"/>
              <w:contextualSpacing/>
              <w:jc w:val="both"/>
              <w:rPr>
                <w:rFonts w:ascii="Tahoma" w:hAnsi="Tahoma" w:cs="Tahoma"/>
                <w:sz w:val="20"/>
                <w:szCs w:val="20"/>
              </w:rPr>
            </w:pPr>
            <w:r w:rsidRPr="008148A9">
              <w:rPr>
                <w:rFonts w:ascii="Tahoma" w:hAnsi="Tahoma" w:cs="Tahoma"/>
                <w:sz w:val="20"/>
                <w:szCs w:val="20"/>
              </w:rPr>
              <w:lastRenderedPageBreak/>
              <w:t>многоквартирные жилые дома не выше 3 этажей;</w:t>
            </w:r>
          </w:p>
          <w:p w14:paraId="143A796F" w14:textId="77777777" w:rsidR="00951A61" w:rsidRPr="008148A9" w:rsidRDefault="00951A61" w:rsidP="00951A61">
            <w:pPr>
              <w:pStyle w:val="affe"/>
              <w:numPr>
                <w:ilvl w:val="0"/>
                <w:numId w:val="33"/>
              </w:numPr>
              <w:ind w:left="0" w:firstLine="425"/>
              <w:contextualSpacing/>
              <w:jc w:val="both"/>
              <w:rPr>
                <w:rFonts w:ascii="Tahoma" w:hAnsi="Tahoma" w:cs="Tahoma"/>
                <w:sz w:val="20"/>
                <w:szCs w:val="20"/>
              </w:rPr>
            </w:pPr>
            <w:r w:rsidRPr="008148A9">
              <w:rPr>
                <w:rFonts w:ascii="Tahoma" w:hAnsi="Tahoma" w:cs="Tahoma"/>
                <w:sz w:val="20"/>
                <w:szCs w:val="20"/>
              </w:rPr>
              <w:t>жилая застройка;</w:t>
            </w:r>
          </w:p>
          <w:p w14:paraId="22515584" w14:textId="77777777" w:rsidR="00951A61" w:rsidRPr="008148A9" w:rsidRDefault="00951A61" w:rsidP="00951A61">
            <w:pPr>
              <w:pStyle w:val="affe"/>
              <w:numPr>
                <w:ilvl w:val="0"/>
                <w:numId w:val="33"/>
              </w:numPr>
              <w:ind w:left="0" w:firstLine="425"/>
              <w:contextualSpacing/>
              <w:jc w:val="both"/>
              <w:rPr>
                <w:rFonts w:ascii="Tahoma" w:hAnsi="Tahoma" w:cs="Tahoma"/>
                <w:sz w:val="20"/>
                <w:szCs w:val="20"/>
              </w:rPr>
            </w:pPr>
            <w:r w:rsidRPr="008148A9">
              <w:rPr>
                <w:rFonts w:ascii="Tahoma" w:hAnsi="Tahoma" w:cs="Tahoma"/>
                <w:sz w:val="20"/>
                <w:szCs w:val="20"/>
              </w:rPr>
              <w:t>малоэтажная многоквартирная застройка;</w:t>
            </w:r>
          </w:p>
          <w:p w14:paraId="254A79A7" w14:textId="77777777" w:rsidR="00951A61" w:rsidRPr="008148A9" w:rsidRDefault="00951A61" w:rsidP="00951A61">
            <w:pPr>
              <w:pStyle w:val="affe"/>
              <w:numPr>
                <w:ilvl w:val="0"/>
                <w:numId w:val="33"/>
              </w:numPr>
              <w:ind w:left="0" w:firstLine="425"/>
              <w:contextualSpacing/>
              <w:jc w:val="both"/>
              <w:rPr>
                <w:rFonts w:ascii="Tahoma" w:hAnsi="Tahoma" w:cs="Tahoma"/>
                <w:sz w:val="20"/>
                <w:szCs w:val="20"/>
              </w:rPr>
            </w:pPr>
            <w:r w:rsidRPr="008148A9">
              <w:rPr>
                <w:rFonts w:ascii="Tahoma" w:hAnsi="Tahoma" w:cs="Tahoma"/>
                <w:sz w:val="20"/>
                <w:szCs w:val="20"/>
              </w:rPr>
              <w:t>жилищное строительство;</w:t>
            </w:r>
          </w:p>
          <w:p w14:paraId="3529C732" w14:textId="77777777" w:rsidR="00951A61" w:rsidRPr="008148A9" w:rsidRDefault="00951A61" w:rsidP="00951A61">
            <w:pPr>
              <w:pStyle w:val="affe"/>
              <w:numPr>
                <w:ilvl w:val="0"/>
                <w:numId w:val="33"/>
              </w:numPr>
              <w:ind w:left="0" w:firstLine="425"/>
              <w:contextualSpacing/>
              <w:jc w:val="both"/>
              <w:rPr>
                <w:rFonts w:ascii="Tahoma" w:hAnsi="Tahoma" w:cs="Tahoma"/>
                <w:sz w:val="20"/>
                <w:szCs w:val="20"/>
              </w:rPr>
            </w:pPr>
            <w:r w:rsidRPr="008148A9">
              <w:rPr>
                <w:rFonts w:ascii="Tahoma" w:hAnsi="Tahoma" w:cs="Tahoma"/>
                <w:sz w:val="20"/>
                <w:szCs w:val="20"/>
              </w:rPr>
              <w:t>малоэтажное строительство;</w:t>
            </w:r>
          </w:p>
          <w:p w14:paraId="1ECBA69A" w14:textId="77777777" w:rsidR="00951A61" w:rsidRPr="008148A9" w:rsidRDefault="00951A61" w:rsidP="00951A61">
            <w:pPr>
              <w:pStyle w:val="affe"/>
              <w:numPr>
                <w:ilvl w:val="0"/>
                <w:numId w:val="33"/>
              </w:numPr>
              <w:ind w:left="0" w:firstLine="425"/>
              <w:contextualSpacing/>
              <w:jc w:val="both"/>
              <w:rPr>
                <w:rFonts w:ascii="Tahoma" w:hAnsi="Tahoma" w:cs="Tahoma"/>
                <w:sz w:val="20"/>
                <w:szCs w:val="20"/>
              </w:rPr>
            </w:pPr>
            <w:r w:rsidRPr="008148A9">
              <w:rPr>
                <w:rFonts w:ascii="Tahoma" w:hAnsi="Tahoma" w:cs="Tahoma"/>
                <w:sz w:val="20"/>
                <w:szCs w:val="20"/>
              </w:rPr>
              <w:t>возможно иное разрешенное использование земельного участка при условии возможности строительства на нем многоквартирного жилого дома блокированной застройки.</w:t>
            </w:r>
          </w:p>
          <w:p w14:paraId="05C328D5" w14:textId="77777777" w:rsidR="00951A61" w:rsidRPr="008148A9" w:rsidRDefault="00951A61" w:rsidP="00A4032F">
            <w:pPr>
              <w:ind w:firstLine="425"/>
              <w:jc w:val="both"/>
              <w:rPr>
                <w:rFonts w:ascii="Tahoma" w:hAnsi="Tahoma" w:cs="Tahoma"/>
                <w:b/>
                <w:sz w:val="20"/>
                <w:szCs w:val="20"/>
                <w:u w:val="single"/>
              </w:rPr>
            </w:pPr>
          </w:p>
          <w:p w14:paraId="2B02206A" w14:textId="77777777" w:rsidR="00951A61" w:rsidRPr="008148A9" w:rsidRDefault="00951A61" w:rsidP="00A4032F">
            <w:pPr>
              <w:ind w:firstLine="425"/>
              <w:jc w:val="both"/>
              <w:rPr>
                <w:rFonts w:ascii="Tahoma" w:hAnsi="Tahoma" w:cs="Tahoma"/>
                <w:sz w:val="20"/>
                <w:szCs w:val="20"/>
              </w:rPr>
            </w:pPr>
            <w:r w:rsidRPr="008148A9">
              <w:rPr>
                <w:rFonts w:ascii="Tahoma" w:hAnsi="Tahoma" w:cs="Tahoma"/>
                <w:b/>
                <w:sz w:val="20"/>
                <w:szCs w:val="20"/>
                <w:u w:val="single"/>
              </w:rPr>
              <w:t>Жилой дом, в том числе жилой дом (его часть) блокированной застройки с земельным участком</w:t>
            </w:r>
            <w:r w:rsidRPr="008148A9">
              <w:rPr>
                <w:rFonts w:ascii="Tahoma" w:hAnsi="Tahoma" w:cs="Tahoma"/>
                <w:sz w:val="20"/>
                <w:szCs w:val="20"/>
              </w:rPr>
              <w:t>:</w:t>
            </w:r>
          </w:p>
          <w:p w14:paraId="0BA23C5B" w14:textId="77777777" w:rsidR="00951A61" w:rsidRPr="008148A9" w:rsidRDefault="00951A61" w:rsidP="00A4032F">
            <w:pPr>
              <w:ind w:firstLine="425"/>
              <w:jc w:val="both"/>
              <w:rPr>
                <w:rFonts w:ascii="Tahoma" w:hAnsi="Tahoma" w:cs="Tahoma"/>
                <w:sz w:val="20"/>
                <w:szCs w:val="20"/>
                <w:u w:val="single"/>
              </w:rPr>
            </w:pPr>
            <w:r w:rsidRPr="008148A9">
              <w:rPr>
                <w:rFonts w:ascii="Tahoma" w:hAnsi="Tahoma" w:cs="Tahoma"/>
                <w:sz w:val="20"/>
                <w:szCs w:val="20"/>
                <w:u w:val="single"/>
              </w:rPr>
              <w:t>Требования, предъявляемые к жилому дому:</w:t>
            </w:r>
          </w:p>
          <w:p w14:paraId="69F22B39" w14:textId="77777777" w:rsidR="00951A61" w:rsidRPr="008148A9" w:rsidRDefault="00951A61" w:rsidP="00951A61">
            <w:pPr>
              <w:pStyle w:val="affe"/>
              <w:numPr>
                <w:ilvl w:val="0"/>
                <w:numId w:val="36"/>
              </w:numPr>
              <w:ind w:left="0" w:firstLine="425"/>
              <w:contextualSpacing/>
              <w:jc w:val="both"/>
              <w:rPr>
                <w:rFonts w:ascii="Tahoma" w:hAnsi="Tahoma" w:cs="Tahoma"/>
                <w:sz w:val="20"/>
                <w:szCs w:val="20"/>
              </w:rPr>
            </w:pPr>
            <w:r w:rsidRPr="008148A9">
              <w:rPr>
                <w:rFonts w:ascii="Tahoma" w:hAnsi="Tahoma" w:cs="Tahoma"/>
                <w:sz w:val="20"/>
                <w:szCs w:val="20"/>
              </w:rPr>
              <w:t>жилой дом находится в собственности Продавца (при этом право собственности должно быть зарегистрировано как на объект недвижимости, завершенный строительством);</w:t>
            </w:r>
          </w:p>
          <w:p w14:paraId="0A712471" w14:textId="77777777" w:rsidR="00951A61" w:rsidRPr="008148A9" w:rsidRDefault="00951A61" w:rsidP="00951A61">
            <w:pPr>
              <w:pStyle w:val="affe"/>
              <w:numPr>
                <w:ilvl w:val="0"/>
                <w:numId w:val="36"/>
              </w:numPr>
              <w:ind w:left="0" w:firstLine="425"/>
              <w:contextualSpacing/>
              <w:jc w:val="both"/>
              <w:rPr>
                <w:rFonts w:ascii="Tahoma" w:hAnsi="Tahoma" w:cs="Tahoma"/>
                <w:sz w:val="20"/>
                <w:szCs w:val="20"/>
              </w:rPr>
            </w:pPr>
            <w:r w:rsidRPr="008148A9">
              <w:rPr>
                <w:rFonts w:ascii="Tahoma" w:hAnsi="Tahoma" w:cs="Tahoma"/>
                <w:sz w:val="20"/>
                <w:szCs w:val="20"/>
              </w:rPr>
              <w:t>пригоден для круглогодичного проживания, доступ возможен в любое время года;</w:t>
            </w:r>
          </w:p>
          <w:p w14:paraId="318FCAC2" w14:textId="77777777" w:rsidR="00951A61" w:rsidRPr="008148A9" w:rsidRDefault="00951A61" w:rsidP="00951A61">
            <w:pPr>
              <w:pStyle w:val="affe"/>
              <w:numPr>
                <w:ilvl w:val="0"/>
                <w:numId w:val="36"/>
              </w:numPr>
              <w:ind w:left="0" w:firstLine="425"/>
              <w:contextualSpacing/>
              <w:jc w:val="both"/>
              <w:rPr>
                <w:rFonts w:ascii="Tahoma" w:hAnsi="Tahoma" w:cs="Tahoma"/>
                <w:sz w:val="20"/>
                <w:szCs w:val="20"/>
              </w:rPr>
            </w:pPr>
            <w:r w:rsidRPr="008148A9">
              <w:rPr>
                <w:rFonts w:ascii="Tahoma" w:hAnsi="Tahoma" w:cs="Tahoma"/>
                <w:sz w:val="20"/>
                <w:szCs w:val="20"/>
              </w:rPr>
              <w:t>площадь жилого дома не менее 60 кв. м;</w:t>
            </w:r>
          </w:p>
          <w:p w14:paraId="746247CB" w14:textId="77777777" w:rsidR="00951A61" w:rsidRPr="008148A9" w:rsidRDefault="00951A61" w:rsidP="00951A61">
            <w:pPr>
              <w:pStyle w:val="affe"/>
              <w:numPr>
                <w:ilvl w:val="0"/>
                <w:numId w:val="36"/>
              </w:numPr>
              <w:ind w:left="0" w:firstLine="425"/>
              <w:contextualSpacing/>
              <w:jc w:val="both"/>
              <w:rPr>
                <w:rFonts w:ascii="Tahoma" w:hAnsi="Tahoma" w:cs="Tahoma"/>
                <w:sz w:val="20"/>
                <w:szCs w:val="20"/>
              </w:rPr>
            </w:pPr>
            <w:r w:rsidRPr="008148A9">
              <w:rPr>
                <w:rFonts w:ascii="Tahoma" w:hAnsi="Tahoma" w:cs="Tahoma"/>
                <w:sz w:val="20"/>
                <w:szCs w:val="20"/>
              </w:rPr>
              <w:t>фундамент - каменный (бутовый, бутобетонный или кирпичный), железный или железобетонный;</w:t>
            </w:r>
          </w:p>
          <w:p w14:paraId="79693659" w14:textId="77777777" w:rsidR="00951A61" w:rsidRPr="008148A9" w:rsidRDefault="00951A61" w:rsidP="00951A61">
            <w:pPr>
              <w:pStyle w:val="affe"/>
              <w:numPr>
                <w:ilvl w:val="0"/>
                <w:numId w:val="36"/>
              </w:numPr>
              <w:ind w:left="0" w:firstLine="425"/>
              <w:contextualSpacing/>
              <w:jc w:val="both"/>
              <w:rPr>
                <w:rFonts w:ascii="Tahoma" w:hAnsi="Tahoma" w:cs="Tahoma"/>
                <w:sz w:val="20"/>
                <w:szCs w:val="20"/>
              </w:rPr>
            </w:pPr>
            <w:r w:rsidRPr="008148A9">
              <w:rPr>
                <w:rFonts w:ascii="Tahoma" w:hAnsi="Tahoma" w:cs="Tahoma"/>
                <w:sz w:val="20"/>
                <w:szCs w:val="20"/>
              </w:rPr>
              <w:t>материал стен – кирпич/ бетон (в т. ч. материал на основе бетона: газоблок, пеноблок, твинблок и т. п.), брус/ клееный брус или аналогичные материалы;</w:t>
            </w:r>
          </w:p>
          <w:p w14:paraId="5456DB0F" w14:textId="77777777" w:rsidR="00951A61" w:rsidRPr="008148A9" w:rsidRDefault="00951A61" w:rsidP="00951A61">
            <w:pPr>
              <w:pStyle w:val="affe"/>
              <w:numPr>
                <w:ilvl w:val="0"/>
                <w:numId w:val="36"/>
              </w:numPr>
              <w:ind w:left="0" w:firstLine="425"/>
              <w:contextualSpacing/>
              <w:jc w:val="both"/>
              <w:rPr>
                <w:rFonts w:ascii="Tahoma" w:hAnsi="Tahoma" w:cs="Tahoma"/>
                <w:sz w:val="20"/>
                <w:szCs w:val="20"/>
              </w:rPr>
            </w:pPr>
            <w:r w:rsidRPr="008148A9">
              <w:rPr>
                <w:rFonts w:ascii="Tahoma" w:hAnsi="Tahoma" w:cs="Tahoma"/>
                <w:sz w:val="20"/>
                <w:szCs w:val="20"/>
              </w:rPr>
              <w:t>год постройки – не более 20 лет до даты проведения оценки;</w:t>
            </w:r>
          </w:p>
          <w:p w14:paraId="231EA97D" w14:textId="77777777" w:rsidR="00951A61" w:rsidRPr="008148A9" w:rsidRDefault="00951A61" w:rsidP="00951A61">
            <w:pPr>
              <w:pStyle w:val="affe"/>
              <w:numPr>
                <w:ilvl w:val="0"/>
                <w:numId w:val="36"/>
              </w:numPr>
              <w:ind w:left="0" w:firstLine="425"/>
              <w:contextualSpacing/>
              <w:jc w:val="both"/>
              <w:rPr>
                <w:rFonts w:ascii="Tahoma" w:hAnsi="Tahoma" w:cs="Tahoma"/>
                <w:sz w:val="20"/>
                <w:szCs w:val="20"/>
              </w:rPr>
            </w:pPr>
            <w:r w:rsidRPr="008148A9">
              <w:rPr>
                <w:rFonts w:ascii="Tahoma" w:hAnsi="Tahoma" w:cs="Tahoma"/>
                <w:sz w:val="20"/>
                <w:szCs w:val="20"/>
              </w:rPr>
              <w:t>наличие остекления оконных проемов, установленных входных дверей;</w:t>
            </w:r>
          </w:p>
          <w:p w14:paraId="6A58EE7C" w14:textId="77777777" w:rsidR="00951A61" w:rsidRPr="008148A9" w:rsidRDefault="00951A61" w:rsidP="00951A61">
            <w:pPr>
              <w:pStyle w:val="affe"/>
              <w:numPr>
                <w:ilvl w:val="0"/>
                <w:numId w:val="36"/>
              </w:numPr>
              <w:ind w:left="0" w:firstLine="425"/>
              <w:contextualSpacing/>
              <w:jc w:val="both"/>
              <w:rPr>
                <w:rFonts w:ascii="Tahoma" w:hAnsi="Tahoma" w:cs="Tahoma"/>
                <w:sz w:val="20"/>
                <w:szCs w:val="20"/>
              </w:rPr>
            </w:pPr>
            <w:r w:rsidRPr="008148A9">
              <w:rPr>
                <w:rFonts w:ascii="Tahoma" w:hAnsi="Tahoma" w:cs="Tahoma"/>
                <w:sz w:val="20"/>
                <w:szCs w:val="20"/>
              </w:rPr>
              <w:t>оборудование следующими инженерными коммуникациями:</w:t>
            </w:r>
          </w:p>
          <w:p w14:paraId="70C1EF39" w14:textId="77777777" w:rsidR="00951A61" w:rsidRPr="008148A9" w:rsidRDefault="00951A61" w:rsidP="00951A61">
            <w:pPr>
              <w:pStyle w:val="affe"/>
              <w:numPr>
                <w:ilvl w:val="0"/>
                <w:numId w:val="42"/>
              </w:numPr>
              <w:ind w:left="0" w:firstLine="425"/>
              <w:contextualSpacing/>
              <w:jc w:val="both"/>
              <w:rPr>
                <w:rFonts w:ascii="Tahoma" w:hAnsi="Tahoma" w:cs="Tahoma"/>
                <w:sz w:val="20"/>
                <w:szCs w:val="20"/>
              </w:rPr>
            </w:pPr>
            <w:r w:rsidRPr="008148A9">
              <w:rPr>
                <w:rFonts w:ascii="Tahoma" w:hAnsi="Tahoma" w:cs="Tahoma"/>
                <w:sz w:val="20"/>
                <w:szCs w:val="20"/>
              </w:rPr>
              <w:t>подключение к электросети, осуществлена разводка электропроводки, установлены счетчики учета электроэнергии;</w:t>
            </w:r>
          </w:p>
          <w:p w14:paraId="5B03584A" w14:textId="77777777" w:rsidR="00951A61" w:rsidRPr="008148A9" w:rsidRDefault="00951A61" w:rsidP="00951A61">
            <w:pPr>
              <w:pStyle w:val="affe"/>
              <w:numPr>
                <w:ilvl w:val="0"/>
                <w:numId w:val="42"/>
              </w:numPr>
              <w:ind w:left="0" w:firstLine="425"/>
              <w:contextualSpacing/>
              <w:jc w:val="both"/>
              <w:rPr>
                <w:rFonts w:ascii="Tahoma" w:hAnsi="Tahoma" w:cs="Tahoma"/>
                <w:sz w:val="20"/>
                <w:szCs w:val="20"/>
              </w:rPr>
            </w:pPr>
            <w:r w:rsidRPr="008148A9">
              <w:rPr>
                <w:rFonts w:ascii="Tahoma" w:hAnsi="Tahoma" w:cs="Tahoma"/>
                <w:sz w:val="20"/>
                <w:szCs w:val="20"/>
              </w:rPr>
              <w:t>подключение к центральному отоплению или оборудование автономной системой отопления, осуществлена разводка труб для теплоносителя и установлены радиаторы отопления;</w:t>
            </w:r>
          </w:p>
          <w:p w14:paraId="2A5EEF04" w14:textId="77777777" w:rsidR="00951A61" w:rsidRPr="008148A9" w:rsidRDefault="00951A61" w:rsidP="00951A61">
            <w:pPr>
              <w:pStyle w:val="affe"/>
              <w:numPr>
                <w:ilvl w:val="0"/>
                <w:numId w:val="42"/>
              </w:numPr>
              <w:ind w:left="0" w:firstLine="425"/>
              <w:contextualSpacing/>
              <w:jc w:val="both"/>
              <w:rPr>
                <w:rFonts w:ascii="Tahoma" w:hAnsi="Tahoma" w:cs="Tahoma"/>
                <w:sz w:val="20"/>
                <w:szCs w:val="20"/>
              </w:rPr>
            </w:pPr>
            <w:r w:rsidRPr="008148A9">
              <w:rPr>
                <w:rFonts w:ascii="Tahoma" w:hAnsi="Tahoma" w:cs="Tahoma"/>
                <w:sz w:val="20"/>
                <w:szCs w:val="20"/>
              </w:rPr>
              <w:t>подключение к всесезонному водопроводу или к скважине, осуществлена разводка труб водоснабжения;</w:t>
            </w:r>
          </w:p>
          <w:p w14:paraId="17044805" w14:textId="77777777" w:rsidR="00951A61" w:rsidRPr="008148A9" w:rsidRDefault="00951A61" w:rsidP="00951A61">
            <w:pPr>
              <w:pStyle w:val="affe"/>
              <w:numPr>
                <w:ilvl w:val="0"/>
                <w:numId w:val="42"/>
              </w:numPr>
              <w:ind w:left="0" w:firstLine="425"/>
              <w:contextualSpacing/>
              <w:jc w:val="both"/>
              <w:rPr>
                <w:rFonts w:ascii="Tahoma" w:hAnsi="Tahoma" w:cs="Tahoma"/>
                <w:sz w:val="20"/>
                <w:szCs w:val="20"/>
              </w:rPr>
            </w:pPr>
            <w:r w:rsidRPr="008148A9">
              <w:rPr>
                <w:rFonts w:ascii="Tahoma" w:hAnsi="Tahoma" w:cs="Tahoma"/>
                <w:sz w:val="20"/>
                <w:szCs w:val="20"/>
              </w:rPr>
              <w:t>подключение к канализационной сети или локальному очистному сооружению, осуществлена разводка канализационных труб.</w:t>
            </w:r>
          </w:p>
          <w:p w14:paraId="1A4B99F2" w14:textId="77777777" w:rsidR="00951A61" w:rsidRPr="008148A9" w:rsidRDefault="00951A61" w:rsidP="00A4032F">
            <w:pPr>
              <w:ind w:firstLine="425"/>
              <w:jc w:val="both"/>
              <w:rPr>
                <w:rFonts w:ascii="Tahoma" w:hAnsi="Tahoma" w:cs="Tahoma"/>
                <w:sz w:val="20"/>
                <w:szCs w:val="20"/>
                <w:u w:val="single"/>
              </w:rPr>
            </w:pPr>
          </w:p>
          <w:p w14:paraId="615DA03E" w14:textId="77777777" w:rsidR="00951A61" w:rsidRPr="008148A9" w:rsidRDefault="00951A61" w:rsidP="00A4032F">
            <w:pPr>
              <w:ind w:firstLine="425"/>
              <w:jc w:val="both"/>
              <w:rPr>
                <w:rFonts w:ascii="Tahoma" w:hAnsi="Tahoma" w:cs="Tahoma"/>
                <w:sz w:val="20"/>
                <w:szCs w:val="20"/>
                <w:u w:val="single"/>
              </w:rPr>
            </w:pPr>
            <w:r w:rsidRPr="008148A9">
              <w:rPr>
                <w:rFonts w:ascii="Tahoma" w:hAnsi="Tahoma" w:cs="Tahoma"/>
                <w:sz w:val="20"/>
                <w:szCs w:val="20"/>
                <w:u w:val="single"/>
              </w:rPr>
              <w:t>Дополнительные требования к жилому дому блокированной застройки:</w:t>
            </w:r>
          </w:p>
          <w:p w14:paraId="5FD967BA" w14:textId="77777777" w:rsidR="00951A61" w:rsidRPr="008148A9" w:rsidRDefault="00951A61" w:rsidP="00951A61">
            <w:pPr>
              <w:pStyle w:val="affe"/>
              <w:numPr>
                <w:ilvl w:val="0"/>
                <w:numId w:val="34"/>
              </w:numPr>
              <w:autoSpaceDE w:val="0"/>
              <w:autoSpaceDN w:val="0"/>
              <w:adjustRightInd w:val="0"/>
              <w:ind w:left="0" w:firstLine="425"/>
              <w:contextualSpacing/>
              <w:jc w:val="both"/>
              <w:rPr>
                <w:rFonts w:ascii="Tahoma" w:hAnsi="Tahoma" w:cs="Tahoma"/>
                <w:sz w:val="20"/>
                <w:szCs w:val="20"/>
              </w:rPr>
            </w:pPr>
            <w:r w:rsidRPr="008148A9">
              <w:rPr>
                <w:rFonts w:ascii="Tahoma" w:hAnsi="Tahoma" w:cs="Tahoma"/>
                <w:sz w:val="20"/>
                <w:szCs w:val="20"/>
              </w:rPr>
              <w:t xml:space="preserve">количество этажей не более 3 (трех); </w:t>
            </w:r>
          </w:p>
          <w:p w14:paraId="326D386B" w14:textId="77777777" w:rsidR="00951A61" w:rsidRPr="008148A9" w:rsidRDefault="00951A61" w:rsidP="00951A61">
            <w:pPr>
              <w:pStyle w:val="affe"/>
              <w:numPr>
                <w:ilvl w:val="0"/>
                <w:numId w:val="34"/>
              </w:numPr>
              <w:autoSpaceDE w:val="0"/>
              <w:autoSpaceDN w:val="0"/>
              <w:adjustRightInd w:val="0"/>
              <w:ind w:left="0" w:firstLine="425"/>
              <w:contextualSpacing/>
              <w:jc w:val="both"/>
              <w:rPr>
                <w:rFonts w:ascii="Tahoma" w:hAnsi="Tahoma" w:cs="Tahoma"/>
                <w:sz w:val="20"/>
                <w:szCs w:val="20"/>
              </w:rPr>
            </w:pPr>
            <w:r w:rsidRPr="008148A9">
              <w:rPr>
                <w:rFonts w:ascii="Tahoma" w:hAnsi="Tahoma" w:cs="Tahoma"/>
                <w:sz w:val="20"/>
                <w:szCs w:val="20"/>
              </w:rPr>
              <w:t xml:space="preserve">должен состоять из нескольких блоков, количество которых не должно превышать 10 (десять); </w:t>
            </w:r>
          </w:p>
          <w:p w14:paraId="231A1F4A" w14:textId="77777777" w:rsidR="00951A61" w:rsidRPr="008148A9" w:rsidRDefault="00951A61" w:rsidP="00951A61">
            <w:pPr>
              <w:pStyle w:val="affe"/>
              <w:numPr>
                <w:ilvl w:val="0"/>
                <w:numId w:val="34"/>
              </w:numPr>
              <w:autoSpaceDE w:val="0"/>
              <w:autoSpaceDN w:val="0"/>
              <w:adjustRightInd w:val="0"/>
              <w:ind w:left="0" w:firstLine="425"/>
              <w:contextualSpacing/>
              <w:jc w:val="both"/>
              <w:rPr>
                <w:rFonts w:ascii="Tahoma" w:hAnsi="Tahoma" w:cs="Tahoma"/>
                <w:sz w:val="20"/>
                <w:szCs w:val="20"/>
              </w:rPr>
            </w:pPr>
            <w:r w:rsidRPr="008148A9">
              <w:rPr>
                <w:rFonts w:ascii="Tahoma" w:hAnsi="Tahoma" w:cs="Tahoma"/>
                <w:sz w:val="20"/>
                <w:szCs w:val="20"/>
              </w:rPr>
              <w:t xml:space="preserve">жилой дом блокированной застройки с земельным участком может находиться как в готовом, так и в строящемся объекте недвижимости; </w:t>
            </w:r>
          </w:p>
          <w:p w14:paraId="3C2F191F" w14:textId="77777777" w:rsidR="00951A61" w:rsidRPr="008148A9" w:rsidRDefault="00951A61" w:rsidP="00951A61">
            <w:pPr>
              <w:pStyle w:val="affe"/>
              <w:numPr>
                <w:ilvl w:val="0"/>
                <w:numId w:val="34"/>
              </w:numPr>
              <w:autoSpaceDE w:val="0"/>
              <w:autoSpaceDN w:val="0"/>
              <w:adjustRightInd w:val="0"/>
              <w:ind w:left="0" w:firstLine="425"/>
              <w:contextualSpacing/>
              <w:jc w:val="both"/>
              <w:rPr>
                <w:rFonts w:ascii="Tahoma" w:hAnsi="Tahoma" w:cs="Tahoma"/>
                <w:sz w:val="20"/>
                <w:szCs w:val="20"/>
              </w:rPr>
            </w:pPr>
            <w:r w:rsidRPr="008148A9">
              <w:rPr>
                <w:rFonts w:ascii="Tahoma" w:hAnsi="Tahoma" w:cs="Tahoma"/>
                <w:sz w:val="20"/>
                <w:szCs w:val="20"/>
              </w:rPr>
              <w:t xml:space="preserve">при приобретении жилого дома на этапе строительства должен также отдельно приобретаться по ДКП земельный участок, расположенный под кредитуемой частью жилого дома или непосредственно прилегающий к кредитуемой части жилого дома, в этом случае если земельный участок не приобретается отдельно, то заявка при приобретении жилого дома на этапе строительства не рассматривается; </w:t>
            </w:r>
          </w:p>
          <w:p w14:paraId="75E39FC9" w14:textId="77777777" w:rsidR="00951A61" w:rsidRPr="008148A9" w:rsidRDefault="00951A61" w:rsidP="00951A61">
            <w:pPr>
              <w:pStyle w:val="affe"/>
              <w:numPr>
                <w:ilvl w:val="0"/>
                <w:numId w:val="34"/>
              </w:numPr>
              <w:autoSpaceDE w:val="0"/>
              <w:autoSpaceDN w:val="0"/>
              <w:adjustRightInd w:val="0"/>
              <w:ind w:left="0" w:firstLine="425"/>
              <w:contextualSpacing/>
              <w:jc w:val="both"/>
              <w:rPr>
                <w:rFonts w:ascii="Tahoma" w:hAnsi="Tahoma" w:cs="Tahoma"/>
                <w:sz w:val="20"/>
                <w:szCs w:val="20"/>
              </w:rPr>
            </w:pPr>
            <w:r w:rsidRPr="008148A9">
              <w:rPr>
                <w:rFonts w:ascii="Tahoma" w:hAnsi="Tahoma" w:cs="Tahoma"/>
                <w:sz w:val="20"/>
                <w:szCs w:val="20"/>
              </w:rPr>
              <w:t xml:space="preserve">в свидетельстве о государственной регистрации права собственности или выписке ЕГРН в качестве объекта права может быть указано: </w:t>
            </w:r>
          </w:p>
          <w:p w14:paraId="3875E6F1" w14:textId="77777777" w:rsidR="00951A61" w:rsidRPr="008148A9" w:rsidRDefault="00951A61" w:rsidP="00951A61">
            <w:pPr>
              <w:pStyle w:val="affe"/>
              <w:numPr>
                <w:ilvl w:val="0"/>
                <w:numId w:val="41"/>
              </w:numPr>
              <w:autoSpaceDE w:val="0"/>
              <w:autoSpaceDN w:val="0"/>
              <w:adjustRightInd w:val="0"/>
              <w:ind w:left="0" w:firstLine="425"/>
              <w:contextualSpacing/>
              <w:jc w:val="both"/>
              <w:rPr>
                <w:rFonts w:ascii="Tahoma" w:hAnsi="Tahoma" w:cs="Tahoma"/>
                <w:sz w:val="20"/>
                <w:szCs w:val="20"/>
              </w:rPr>
            </w:pPr>
            <w:r w:rsidRPr="008148A9">
              <w:rPr>
                <w:rFonts w:ascii="Tahoma" w:hAnsi="Tahoma" w:cs="Tahoma"/>
                <w:sz w:val="20"/>
                <w:szCs w:val="20"/>
              </w:rPr>
              <w:t xml:space="preserve">жилой дом; </w:t>
            </w:r>
          </w:p>
          <w:p w14:paraId="1E298E62" w14:textId="77777777" w:rsidR="00951A61" w:rsidRPr="008148A9" w:rsidRDefault="00951A61" w:rsidP="00951A61">
            <w:pPr>
              <w:pStyle w:val="affe"/>
              <w:numPr>
                <w:ilvl w:val="0"/>
                <w:numId w:val="41"/>
              </w:numPr>
              <w:autoSpaceDE w:val="0"/>
              <w:autoSpaceDN w:val="0"/>
              <w:adjustRightInd w:val="0"/>
              <w:ind w:left="0" w:firstLine="425"/>
              <w:contextualSpacing/>
              <w:jc w:val="both"/>
              <w:rPr>
                <w:rFonts w:ascii="Tahoma" w:hAnsi="Tahoma" w:cs="Tahoma"/>
                <w:sz w:val="20"/>
                <w:szCs w:val="20"/>
              </w:rPr>
            </w:pPr>
            <w:r w:rsidRPr="008148A9">
              <w:rPr>
                <w:rFonts w:ascii="Tahoma" w:hAnsi="Tahoma" w:cs="Tahoma"/>
                <w:sz w:val="20"/>
                <w:szCs w:val="20"/>
              </w:rPr>
              <w:t xml:space="preserve">жилое помещение; </w:t>
            </w:r>
          </w:p>
          <w:p w14:paraId="3B480F7B" w14:textId="77777777" w:rsidR="00951A61" w:rsidRPr="008148A9" w:rsidRDefault="00951A61" w:rsidP="00951A61">
            <w:pPr>
              <w:pStyle w:val="affe"/>
              <w:numPr>
                <w:ilvl w:val="0"/>
                <w:numId w:val="41"/>
              </w:numPr>
              <w:autoSpaceDE w:val="0"/>
              <w:autoSpaceDN w:val="0"/>
              <w:adjustRightInd w:val="0"/>
              <w:ind w:left="0" w:firstLine="425"/>
              <w:contextualSpacing/>
              <w:jc w:val="both"/>
              <w:rPr>
                <w:rFonts w:ascii="Tahoma" w:hAnsi="Tahoma" w:cs="Tahoma"/>
                <w:sz w:val="20"/>
                <w:szCs w:val="20"/>
              </w:rPr>
            </w:pPr>
            <w:r w:rsidRPr="008148A9">
              <w:rPr>
                <w:rFonts w:ascii="Tahoma" w:hAnsi="Tahoma" w:cs="Tahoma"/>
                <w:sz w:val="20"/>
                <w:szCs w:val="20"/>
              </w:rPr>
              <w:lastRenderedPageBreak/>
              <w:t xml:space="preserve">жилой блок; </w:t>
            </w:r>
          </w:p>
          <w:p w14:paraId="5686BF45" w14:textId="77777777" w:rsidR="00951A61" w:rsidRPr="008148A9" w:rsidRDefault="00951A61" w:rsidP="00951A61">
            <w:pPr>
              <w:pStyle w:val="affe"/>
              <w:numPr>
                <w:ilvl w:val="0"/>
                <w:numId w:val="41"/>
              </w:numPr>
              <w:autoSpaceDE w:val="0"/>
              <w:autoSpaceDN w:val="0"/>
              <w:adjustRightInd w:val="0"/>
              <w:ind w:left="0" w:firstLine="425"/>
              <w:contextualSpacing/>
              <w:jc w:val="both"/>
              <w:rPr>
                <w:rFonts w:ascii="Tahoma" w:hAnsi="Tahoma" w:cs="Tahoma"/>
                <w:sz w:val="20"/>
                <w:szCs w:val="20"/>
              </w:rPr>
            </w:pPr>
            <w:r w:rsidRPr="008148A9">
              <w:rPr>
                <w:rFonts w:ascii="Tahoma" w:hAnsi="Tahoma" w:cs="Tahoma"/>
                <w:sz w:val="20"/>
                <w:szCs w:val="20"/>
              </w:rPr>
              <w:t xml:space="preserve">часть жилого дома; </w:t>
            </w:r>
          </w:p>
          <w:p w14:paraId="0A648EE4" w14:textId="77777777" w:rsidR="00951A61" w:rsidRPr="008148A9" w:rsidRDefault="00951A61" w:rsidP="00951A61">
            <w:pPr>
              <w:pStyle w:val="affe"/>
              <w:numPr>
                <w:ilvl w:val="0"/>
                <w:numId w:val="41"/>
              </w:numPr>
              <w:autoSpaceDE w:val="0"/>
              <w:autoSpaceDN w:val="0"/>
              <w:adjustRightInd w:val="0"/>
              <w:ind w:left="0" w:firstLine="425"/>
              <w:contextualSpacing/>
              <w:jc w:val="both"/>
              <w:rPr>
                <w:rFonts w:ascii="Tahoma" w:hAnsi="Tahoma" w:cs="Tahoma"/>
                <w:sz w:val="20"/>
                <w:szCs w:val="20"/>
              </w:rPr>
            </w:pPr>
            <w:r w:rsidRPr="008148A9">
              <w:rPr>
                <w:rFonts w:ascii="Tahoma" w:hAnsi="Tahoma" w:cs="Tahoma"/>
                <w:sz w:val="20"/>
                <w:szCs w:val="20"/>
              </w:rPr>
              <w:t xml:space="preserve">жилой дом блокированной застройки; </w:t>
            </w:r>
          </w:p>
          <w:p w14:paraId="4ECA659E" w14:textId="77777777" w:rsidR="00951A61" w:rsidRPr="008148A9" w:rsidRDefault="00951A61" w:rsidP="00951A61">
            <w:pPr>
              <w:pStyle w:val="affe"/>
              <w:numPr>
                <w:ilvl w:val="0"/>
                <w:numId w:val="41"/>
              </w:numPr>
              <w:autoSpaceDE w:val="0"/>
              <w:autoSpaceDN w:val="0"/>
              <w:adjustRightInd w:val="0"/>
              <w:ind w:left="0" w:firstLine="425"/>
              <w:contextualSpacing/>
              <w:jc w:val="both"/>
              <w:rPr>
                <w:rFonts w:ascii="Tahoma" w:hAnsi="Tahoma" w:cs="Tahoma"/>
                <w:sz w:val="20"/>
                <w:szCs w:val="20"/>
              </w:rPr>
            </w:pPr>
            <w:r w:rsidRPr="008148A9">
              <w:rPr>
                <w:rFonts w:ascii="Tahoma" w:hAnsi="Tahoma" w:cs="Tahoma"/>
                <w:sz w:val="20"/>
                <w:szCs w:val="20"/>
              </w:rPr>
              <w:t xml:space="preserve">жилая блок-секция; </w:t>
            </w:r>
          </w:p>
          <w:p w14:paraId="45A93F5B" w14:textId="77777777" w:rsidR="00951A61" w:rsidRPr="008148A9" w:rsidRDefault="00951A61" w:rsidP="00951A61">
            <w:pPr>
              <w:pStyle w:val="affe"/>
              <w:numPr>
                <w:ilvl w:val="0"/>
                <w:numId w:val="41"/>
              </w:numPr>
              <w:autoSpaceDE w:val="0"/>
              <w:autoSpaceDN w:val="0"/>
              <w:adjustRightInd w:val="0"/>
              <w:ind w:left="0" w:firstLine="425"/>
              <w:contextualSpacing/>
              <w:jc w:val="both"/>
              <w:rPr>
                <w:rFonts w:ascii="Tahoma" w:hAnsi="Tahoma" w:cs="Tahoma"/>
                <w:sz w:val="20"/>
                <w:szCs w:val="20"/>
              </w:rPr>
            </w:pPr>
            <w:r w:rsidRPr="008148A9">
              <w:rPr>
                <w:rFonts w:ascii="Tahoma" w:hAnsi="Tahoma" w:cs="Tahoma"/>
                <w:sz w:val="20"/>
                <w:szCs w:val="20"/>
              </w:rPr>
              <w:t xml:space="preserve">блок-секция; </w:t>
            </w:r>
          </w:p>
          <w:p w14:paraId="08F0618D" w14:textId="77777777" w:rsidR="00951A61" w:rsidRPr="008148A9" w:rsidRDefault="00951A61" w:rsidP="00951A61">
            <w:pPr>
              <w:pStyle w:val="affe"/>
              <w:numPr>
                <w:ilvl w:val="0"/>
                <w:numId w:val="41"/>
              </w:numPr>
              <w:autoSpaceDE w:val="0"/>
              <w:autoSpaceDN w:val="0"/>
              <w:adjustRightInd w:val="0"/>
              <w:ind w:left="0" w:firstLine="425"/>
              <w:contextualSpacing/>
              <w:jc w:val="both"/>
              <w:rPr>
                <w:rFonts w:ascii="Tahoma" w:hAnsi="Tahoma" w:cs="Tahoma"/>
                <w:sz w:val="20"/>
                <w:szCs w:val="20"/>
              </w:rPr>
            </w:pPr>
            <w:r w:rsidRPr="008148A9">
              <w:rPr>
                <w:rFonts w:ascii="Tahoma" w:hAnsi="Tahoma" w:cs="Tahoma"/>
                <w:sz w:val="20"/>
                <w:szCs w:val="20"/>
              </w:rPr>
              <w:t xml:space="preserve">иное, при этом в свидетельстве о государственной регистрации права собственности или выписке ЕГРН в качестве объекта права не может быть указано «квартира». </w:t>
            </w:r>
          </w:p>
          <w:p w14:paraId="08DB0963" w14:textId="77777777" w:rsidR="00951A61" w:rsidRPr="008148A9" w:rsidRDefault="00951A61" w:rsidP="00A4032F">
            <w:pPr>
              <w:ind w:firstLine="425"/>
              <w:jc w:val="both"/>
              <w:rPr>
                <w:rFonts w:ascii="Tahoma" w:hAnsi="Tahoma" w:cs="Tahoma"/>
                <w:sz w:val="20"/>
                <w:szCs w:val="20"/>
                <w:u w:val="single"/>
              </w:rPr>
            </w:pPr>
            <w:r w:rsidRPr="008148A9">
              <w:rPr>
                <w:rFonts w:ascii="Tahoma" w:hAnsi="Tahoma" w:cs="Tahoma"/>
                <w:sz w:val="20"/>
                <w:szCs w:val="20"/>
                <w:u w:val="single"/>
              </w:rPr>
              <w:t>Требования, предъявляемые к земельному участку:</w:t>
            </w:r>
          </w:p>
          <w:p w14:paraId="5603C00E" w14:textId="77777777" w:rsidR="00951A61" w:rsidRPr="008148A9" w:rsidRDefault="00951A61" w:rsidP="00951A61">
            <w:pPr>
              <w:pStyle w:val="affe"/>
              <w:numPr>
                <w:ilvl w:val="0"/>
                <w:numId w:val="39"/>
              </w:numPr>
              <w:ind w:left="0" w:firstLine="425"/>
              <w:contextualSpacing/>
              <w:jc w:val="both"/>
              <w:rPr>
                <w:rFonts w:ascii="Tahoma" w:hAnsi="Tahoma" w:cs="Tahoma"/>
                <w:sz w:val="20"/>
                <w:szCs w:val="20"/>
              </w:rPr>
            </w:pPr>
            <w:r w:rsidRPr="008148A9">
              <w:rPr>
                <w:rFonts w:ascii="Tahoma" w:hAnsi="Tahoma" w:cs="Tahoma"/>
                <w:sz w:val="20"/>
                <w:szCs w:val="20"/>
              </w:rPr>
              <w:t>находится в собственности Продавца;</w:t>
            </w:r>
          </w:p>
          <w:p w14:paraId="68EBAF8D" w14:textId="77777777" w:rsidR="00951A61" w:rsidRPr="008148A9" w:rsidRDefault="00951A61" w:rsidP="00951A61">
            <w:pPr>
              <w:pStyle w:val="affe"/>
              <w:numPr>
                <w:ilvl w:val="0"/>
                <w:numId w:val="39"/>
              </w:numPr>
              <w:ind w:left="0" w:firstLine="425"/>
              <w:contextualSpacing/>
              <w:jc w:val="both"/>
              <w:rPr>
                <w:rFonts w:ascii="Tahoma" w:hAnsi="Tahoma" w:cs="Tahoma"/>
                <w:sz w:val="20"/>
                <w:szCs w:val="20"/>
              </w:rPr>
            </w:pPr>
            <w:r w:rsidRPr="008148A9">
              <w:rPr>
                <w:rFonts w:ascii="Tahoma" w:hAnsi="Tahoma" w:cs="Tahoma"/>
                <w:sz w:val="20"/>
                <w:szCs w:val="20"/>
              </w:rPr>
              <w:t>категория использования земельного участка – земли населенных пунктов/поселений/сельскохозяйственного назначения. Разрешенное использование земельного участка - любой из видов использования для соответствующей категории, предусмотренный законодательством РФ и разрешающий возведение жилого строения с правом проживания/регистрации;</w:t>
            </w:r>
          </w:p>
          <w:p w14:paraId="34BAA597" w14:textId="77777777" w:rsidR="00951A61" w:rsidRPr="008148A9" w:rsidRDefault="00951A61" w:rsidP="00951A61">
            <w:pPr>
              <w:pStyle w:val="affe"/>
              <w:numPr>
                <w:ilvl w:val="0"/>
                <w:numId w:val="39"/>
              </w:numPr>
              <w:ind w:left="0" w:firstLine="425"/>
              <w:contextualSpacing/>
              <w:jc w:val="both"/>
              <w:rPr>
                <w:rFonts w:ascii="Tahoma" w:hAnsi="Tahoma" w:cs="Tahoma"/>
                <w:sz w:val="20"/>
                <w:szCs w:val="20"/>
              </w:rPr>
            </w:pPr>
            <w:r w:rsidRPr="008148A9">
              <w:rPr>
                <w:rFonts w:ascii="Tahoma" w:hAnsi="Tahoma" w:cs="Tahoma"/>
                <w:sz w:val="20"/>
                <w:szCs w:val="20"/>
              </w:rPr>
              <w:t>не должен находиться в водоохранной, резервной зоне или зоне национального парка;</w:t>
            </w:r>
          </w:p>
          <w:p w14:paraId="776F64DF" w14:textId="77777777" w:rsidR="00951A61" w:rsidRPr="008148A9" w:rsidRDefault="00951A61" w:rsidP="00951A61">
            <w:pPr>
              <w:pStyle w:val="affe"/>
              <w:numPr>
                <w:ilvl w:val="0"/>
                <w:numId w:val="39"/>
              </w:numPr>
              <w:ind w:left="0" w:firstLine="425"/>
              <w:contextualSpacing/>
              <w:jc w:val="both"/>
              <w:rPr>
                <w:rFonts w:ascii="Tahoma" w:hAnsi="Tahoma" w:cs="Tahoma"/>
                <w:sz w:val="20"/>
                <w:szCs w:val="20"/>
              </w:rPr>
            </w:pPr>
            <w:r w:rsidRPr="008148A9">
              <w:rPr>
                <w:rFonts w:ascii="Tahoma" w:hAnsi="Tahoma" w:cs="Tahoma"/>
                <w:sz w:val="20"/>
                <w:szCs w:val="20"/>
              </w:rPr>
              <w:t xml:space="preserve">земельный участок </w:t>
            </w:r>
            <w:r w:rsidRPr="008148A9">
              <w:rPr>
                <w:rFonts w:ascii="Tahoma" w:hAnsi="Tahoma" w:cs="Tahoma"/>
                <w:sz w:val="20"/>
                <w:szCs w:val="20"/>
                <w:u w:val="single"/>
              </w:rPr>
              <w:t>не должен находиться</w:t>
            </w:r>
            <w:r w:rsidRPr="008148A9">
              <w:rPr>
                <w:rFonts w:ascii="Tahoma" w:hAnsi="Tahoma" w:cs="Tahoma"/>
                <w:sz w:val="20"/>
                <w:szCs w:val="20"/>
              </w:rPr>
              <w:t xml:space="preserve"> на землях особо охраняемых природных территорий (например, государственные природные заповедники, биосферные и государственные природные заказники, памятники природы, национальные парки, природные парки, дендрологические парки, ботанические сады, территории традиционного природопользования коренных малочисленных народов Севера, Сибири и Дальнего Востока Российской Федерации), на землях природоохранного назначения, на землях рекреационного назначения, на особо ценных землях (земли, в пределах которых имеются природные объекты и объекты культурного наследия, представляющие особую научную, историко-культурную ценность – типичные или редкие ландшафты, культурные ландшафты, сообщества растительных, животных организмов, редкие геологические образования), а также в охранных, санитарно-защитных зонах, зонах санитарной охраны источников питьевого и хозяйственно-бытового водоснабжения, зонах охраняемых объектов.</w:t>
            </w:r>
          </w:p>
          <w:p w14:paraId="077DC91C" w14:textId="77777777" w:rsidR="00951A61" w:rsidRPr="008148A9" w:rsidRDefault="00951A61" w:rsidP="00951A61">
            <w:pPr>
              <w:pStyle w:val="affe"/>
              <w:numPr>
                <w:ilvl w:val="0"/>
                <w:numId w:val="39"/>
              </w:numPr>
              <w:ind w:left="0" w:firstLine="425"/>
              <w:contextualSpacing/>
              <w:jc w:val="both"/>
              <w:rPr>
                <w:rFonts w:ascii="Tahoma" w:hAnsi="Tahoma" w:cs="Tahoma"/>
                <w:sz w:val="20"/>
                <w:szCs w:val="20"/>
              </w:rPr>
            </w:pPr>
            <w:r w:rsidRPr="008148A9">
              <w:rPr>
                <w:rFonts w:ascii="Tahoma" w:hAnsi="Tahoma" w:cs="Tahoma"/>
                <w:sz w:val="20"/>
                <w:szCs w:val="20"/>
              </w:rPr>
              <w:t>площадь земельного участка не должна быть ограничена габаритами жилого дома и превышать 5000 кв. м.</w:t>
            </w:r>
          </w:p>
          <w:p w14:paraId="7F98E1A7" w14:textId="77777777" w:rsidR="00951A61" w:rsidRPr="008148A9" w:rsidRDefault="00951A61" w:rsidP="00A4032F">
            <w:pPr>
              <w:pStyle w:val="affe"/>
              <w:ind w:left="0" w:firstLine="425"/>
              <w:jc w:val="both"/>
              <w:rPr>
                <w:rFonts w:ascii="Tahoma" w:hAnsi="Tahoma" w:cs="Tahoma"/>
                <w:u w:val="single"/>
              </w:rPr>
            </w:pPr>
          </w:p>
          <w:p w14:paraId="2715C37F" w14:textId="77777777" w:rsidR="00951A61" w:rsidRPr="008148A9" w:rsidRDefault="00951A61" w:rsidP="00A4032F">
            <w:pPr>
              <w:pStyle w:val="affe"/>
              <w:ind w:left="0" w:firstLine="425"/>
              <w:jc w:val="both"/>
              <w:rPr>
                <w:rFonts w:ascii="Tahoma" w:hAnsi="Tahoma" w:cs="Tahoma"/>
                <w:b/>
                <w:sz w:val="20"/>
                <w:szCs w:val="20"/>
                <w:u w:val="single"/>
              </w:rPr>
            </w:pPr>
            <w:r w:rsidRPr="008148A9">
              <w:rPr>
                <w:rFonts w:ascii="Tahoma" w:hAnsi="Tahoma" w:cs="Tahoma"/>
                <w:b/>
                <w:sz w:val="20"/>
                <w:szCs w:val="20"/>
                <w:u w:val="single"/>
              </w:rPr>
              <w:t>Не могут быть приняты в залог жилые дома:</w:t>
            </w:r>
          </w:p>
          <w:p w14:paraId="08F9B47C" w14:textId="77777777" w:rsidR="00951A61" w:rsidRPr="008148A9" w:rsidRDefault="00951A61" w:rsidP="00951A61">
            <w:pPr>
              <w:pStyle w:val="affe"/>
              <w:numPr>
                <w:ilvl w:val="0"/>
                <w:numId w:val="32"/>
              </w:numPr>
              <w:ind w:left="0" w:firstLine="425"/>
              <w:contextualSpacing/>
              <w:jc w:val="both"/>
              <w:rPr>
                <w:rFonts w:ascii="Tahoma" w:hAnsi="Tahoma" w:cs="Tahoma"/>
                <w:sz w:val="20"/>
                <w:szCs w:val="20"/>
              </w:rPr>
            </w:pPr>
            <w:r w:rsidRPr="008148A9">
              <w:rPr>
                <w:rFonts w:ascii="Tahoma" w:hAnsi="Tahoma" w:cs="Tahoma"/>
                <w:sz w:val="20"/>
                <w:szCs w:val="20"/>
              </w:rPr>
              <w:t>не предназначенные для постоянного проживания (летние, дачные, садовые домики, а также иные строения).</w:t>
            </w:r>
          </w:p>
          <w:p w14:paraId="6E8DA840" w14:textId="77777777" w:rsidR="00951A61" w:rsidRPr="008148A9" w:rsidRDefault="00951A61" w:rsidP="00951A61">
            <w:pPr>
              <w:pStyle w:val="affe"/>
              <w:numPr>
                <w:ilvl w:val="0"/>
                <w:numId w:val="32"/>
              </w:numPr>
              <w:ind w:left="0" w:firstLine="425"/>
              <w:contextualSpacing/>
              <w:jc w:val="both"/>
              <w:rPr>
                <w:rFonts w:ascii="Tahoma" w:hAnsi="Tahoma" w:cs="Tahoma"/>
                <w:sz w:val="20"/>
                <w:szCs w:val="20"/>
              </w:rPr>
            </w:pPr>
            <w:r w:rsidRPr="008148A9">
              <w:rPr>
                <w:rFonts w:ascii="Tahoma" w:hAnsi="Tahoma" w:cs="Tahoma"/>
                <w:sz w:val="20"/>
                <w:szCs w:val="20"/>
              </w:rPr>
              <w:t>расположенные на землях категории «земли сельскохозяйственного назначения» и разрешенное использование которых не предусматривает возведение жилого строения.</w:t>
            </w:r>
          </w:p>
          <w:p w14:paraId="4B7C89B9" w14:textId="77777777" w:rsidR="00951A61" w:rsidRPr="008148A9" w:rsidRDefault="00951A61" w:rsidP="00951A61">
            <w:pPr>
              <w:pStyle w:val="affe"/>
              <w:numPr>
                <w:ilvl w:val="0"/>
                <w:numId w:val="32"/>
              </w:numPr>
              <w:ind w:left="0" w:firstLine="425"/>
              <w:contextualSpacing/>
              <w:jc w:val="both"/>
              <w:rPr>
                <w:rFonts w:ascii="Tahoma" w:hAnsi="Tahoma" w:cs="Tahoma"/>
                <w:sz w:val="20"/>
                <w:szCs w:val="20"/>
              </w:rPr>
            </w:pPr>
            <w:r w:rsidRPr="008148A9">
              <w:rPr>
                <w:rFonts w:ascii="Tahoma" w:hAnsi="Tahoma" w:cs="Tahoma"/>
                <w:sz w:val="20"/>
                <w:szCs w:val="20"/>
              </w:rPr>
              <w:t>расположенные на землях категории «земли промышленности, энергетики, транспорта, связи, радиовещания, телевидения, информатики, земли для обеспечения космической деятельности, земли обороны, безопасности и земли иного специального назначения».</w:t>
            </w:r>
          </w:p>
          <w:p w14:paraId="03BC5C65" w14:textId="77777777" w:rsidR="00951A61" w:rsidRPr="008148A9" w:rsidRDefault="00951A61" w:rsidP="00951A61">
            <w:pPr>
              <w:pStyle w:val="affe"/>
              <w:numPr>
                <w:ilvl w:val="0"/>
                <w:numId w:val="32"/>
              </w:numPr>
              <w:ind w:left="0" w:firstLine="425"/>
              <w:contextualSpacing/>
              <w:jc w:val="both"/>
              <w:rPr>
                <w:rFonts w:ascii="Tahoma" w:hAnsi="Tahoma" w:cs="Tahoma"/>
                <w:sz w:val="20"/>
                <w:szCs w:val="20"/>
              </w:rPr>
            </w:pPr>
            <w:r w:rsidRPr="008148A9">
              <w:rPr>
                <w:rFonts w:ascii="Tahoma" w:hAnsi="Tahoma" w:cs="Tahoma"/>
                <w:sz w:val="20"/>
                <w:szCs w:val="20"/>
              </w:rPr>
              <w:t>построенные на земельных участках, принадлежащих Продавцу на правах аренды.</w:t>
            </w:r>
          </w:p>
          <w:p w14:paraId="6C314E87" w14:textId="77777777" w:rsidR="00951A61" w:rsidRPr="008148A9" w:rsidRDefault="00951A61" w:rsidP="00A4032F">
            <w:pPr>
              <w:ind w:firstLine="425"/>
              <w:jc w:val="both"/>
              <w:rPr>
                <w:rFonts w:ascii="Tahoma" w:hAnsi="Tahoma" w:cs="Tahoma"/>
                <w:sz w:val="20"/>
                <w:szCs w:val="20"/>
              </w:rPr>
            </w:pPr>
            <w:r w:rsidRPr="008148A9">
              <w:rPr>
                <w:rFonts w:ascii="Tahoma" w:hAnsi="Tahoma" w:cs="Tahoma"/>
                <w:sz w:val="20"/>
                <w:szCs w:val="20"/>
              </w:rPr>
              <w:t xml:space="preserve">расположенные на расстоянии более 50 км от населенного пункта, где располагается Подразделение Банка (для Москвы расстояние считается от МКАД и может составлять не более 70 км).  </w:t>
            </w:r>
          </w:p>
          <w:p w14:paraId="3A9E87F4" w14:textId="77777777" w:rsidR="00951A61" w:rsidRPr="008148A9" w:rsidRDefault="00951A61" w:rsidP="00A4032F">
            <w:pPr>
              <w:ind w:firstLine="425"/>
              <w:jc w:val="both"/>
              <w:rPr>
                <w:rFonts w:ascii="Tahoma" w:hAnsi="Tahoma" w:cs="Tahoma"/>
                <w:sz w:val="20"/>
                <w:szCs w:val="20"/>
              </w:rPr>
            </w:pPr>
          </w:p>
          <w:p w14:paraId="6ED27FAB" w14:textId="77777777" w:rsidR="00951A61" w:rsidRPr="008148A9" w:rsidRDefault="00951A61" w:rsidP="00A4032F">
            <w:pPr>
              <w:ind w:firstLine="425"/>
              <w:jc w:val="both"/>
              <w:rPr>
                <w:rFonts w:ascii="Tahoma" w:hAnsi="Tahoma" w:cs="Tahoma"/>
                <w:sz w:val="20"/>
                <w:szCs w:val="20"/>
              </w:rPr>
            </w:pPr>
            <w:r w:rsidRPr="008148A9">
              <w:rPr>
                <w:rFonts w:ascii="Tahoma" w:hAnsi="Tahoma" w:cs="Tahoma"/>
                <w:b/>
                <w:sz w:val="20"/>
                <w:szCs w:val="20"/>
                <w:u w:val="single"/>
              </w:rPr>
              <w:t>Требования к Предмету ипотеки - Коммерческая недвижимость</w:t>
            </w:r>
            <w:r w:rsidRPr="008148A9">
              <w:rPr>
                <w:rFonts w:ascii="Tahoma" w:hAnsi="Tahoma" w:cs="Tahoma"/>
                <w:sz w:val="20"/>
                <w:szCs w:val="20"/>
              </w:rPr>
              <w:t>:</w:t>
            </w:r>
          </w:p>
          <w:p w14:paraId="1C78AFC5" w14:textId="77777777" w:rsidR="00951A61" w:rsidRPr="008148A9" w:rsidRDefault="00951A61" w:rsidP="00A4032F">
            <w:pPr>
              <w:ind w:firstLine="425"/>
              <w:jc w:val="both"/>
              <w:rPr>
                <w:rFonts w:ascii="Tahoma" w:hAnsi="Tahoma" w:cs="Tahoma"/>
                <w:sz w:val="20"/>
                <w:szCs w:val="20"/>
              </w:rPr>
            </w:pPr>
          </w:p>
          <w:p w14:paraId="5CFBDABA" w14:textId="77777777" w:rsidR="00951A61" w:rsidRPr="008148A9" w:rsidRDefault="00951A61" w:rsidP="00A4032F">
            <w:pPr>
              <w:ind w:firstLine="425"/>
              <w:jc w:val="both"/>
              <w:rPr>
                <w:rFonts w:ascii="Tahoma" w:hAnsi="Tahoma" w:cs="Tahoma"/>
                <w:sz w:val="20"/>
                <w:szCs w:val="20"/>
              </w:rPr>
            </w:pPr>
            <w:r w:rsidRPr="008148A9">
              <w:rPr>
                <w:rFonts w:ascii="Tahoma" w:hAnsi="Tahoma" w:cs="Tahoma"/>
                <w:sz w:val="20"/>
                <w:szCs w:val="20"/>
              </w:rPr>
              <w:t xml:space="preserve">1. Предмет ипотеки должен быть расположен на территории обслуживания Банком, удаленностью не более 50 км от населенного пункта, где располагается Подразделение Банка (для Москвы расстояние считается от МКАД). В </w:t>
            </w:r>
            <w:r w:rsidRPr="008148A9">
              <w:rPr>
                <w:rFonts w:ascii="Tahoma" w:hAnsi="Tahoma" w:cs="Tahoma"/>
                <w:sz w:val="20"/>
                <w:szCs w:val="20"/>
              </w:rPr>
              <w:lastRenderedPageBreak/>
              <w:t>Московской области возможно принятие в залог объектов, расположенных в населенных пунктах численность более 50 тыс. жителей.</w:t>
            </w:r>
          </w:p>
          <w:p w14:paraId="4502FA52" w14:textId="77777777" w:rsidR="00951A61" w:rsidRPr="008148A9" w:rsidRDefault="00951A61" w:rsidP="00A4032F">
            <w:pPr>
              <w:ind w:firstLine="425"/>
              <w:jc w:val="both"/>
              <w:rPr>
                <w:rFonts w:ascii="Tahoma" w:hAnsi="Tahoma" w:cs="Tahoma"/>
                <w:sz w:val="20"/>
                <w:szCs w:val="20"/>
              </w:rPr>
            </w:pPr>
            <w:r w:rsidRPr="008148A9">
              <w:rPr>
                <w:rFonts w:ascii="Tahoma" w:hAnsi="Tahoma" w:cs="Tahoma"/>
                <w:sz w:val="20"/>
                <w:szCs w:val="20"/>
              </w:rPr>
              <w:t xml:space="preserve">2. Предмет ипотеки </w:t>
            </w:r>
            <w:r w:rsidRPr="008148A9">
              <w:rPr>
                <w:rFonts w:ascii="Tahoma" w:hAnsi="Tahoma" w:cs="Tahoma"/>
                <w:b/>
                <w:sz w:val="20"/>
                <w:szCs w:val="20"/>
              </w:rPr>
              <w:t>НЕ ДОЛЖЕН</w:t>
            </w:r>
            <w:r w:rsidRPr="008148A9">
              <w:rPr>
                <w:rFonts w:ascii="Tahoma" w:hAnsi="Tahoma" w:cs="Tahoma"/>
                <w:sz w:val="20"/>
                <w:szCs w:val="20"/>
              </w:rPr>
              <w:t xml:space="preserve"> располагаться в закрытом административно-территориальном образовании (ЗАТО).</w:t>
            </w:r>
          </w:p>
          <w:p w14:paraId="1E49F315" w14:textId="77777777" w:rsidR="00951A61" w:rsidRPr="008148A9" w:rsidRDefault="00951A61" w:rsidP="00A4032F">
            <w:pPr>
              <w:pStyle w:val="affe"/>
              <w:ind w:left="0" w:firstLine="425"/>
              <w:jc w:val="both"/>
              <w:rPr>
                <w:rFonts w:ascii="Tahoma" w:hAnsi="Tahoma" w:cs="Tahoma"/>
                <w:sz w:val="20"/>
                <w:szCs w:val="20"/>
              </w:rPr>
            </w:pPr>
            <w:r w:rsidRPr="008148A9">
              <w:rPr>
                <w:rFonts w:ascii="Tahoma" w:hAnsi="Tahoma" w:cs="Tahoma"/>
                <w:sz w:val="20"/>
                <w:szCs w:val="20"/>
              </w:rPr>
              <w:t>3. Предмет ипотеки должен быть расположен на первом или цокольном этаже многоквартирного дома. Возможно принятие в залог недвижимости, расположенной на втором или третьем этаже, при условии, что под Предметом ипотеки расположено нежилое помещение, а также принятие в залог недвижимости, расположенной в офисных/торговых центрах.</w:t>
            </w:r>
          </w:p>
          <w:p w14:paraId="15FF378F" w14:textId="77777777" w:rsidR="00951A61" w:rsidRPr="008148A9" w:rsidRDefault="00951A61" w:rsidP="00A4032F">
            <w:pPr>
              <w:pStyle w:val="affe"/>
              <w:ind w:left="0" w:firstLine="425"/>
              <w:jc w:val="both"/>
              <w:rPr>
                <w:rFonts w:ascii="Tahoma" w:hAnsi="Tahoma" w:cs="Tahoma"/>
                <w:sz w:val="20"/>
                <w:szCs w:val="20"/>
              </w:rPr>
            </w:pPr>
            <w:r w:rsidRPr="008148A9">
              <w:rPr>
                <w:rFonts w:ascii="Tahoma" w:hAnsi="Tahoma" w:cs="Tahoma"/>
                <w:sz w:val="20"/>
                <w:szCs w:val="20"/>
              </w:rPr>
              <w:t>4. Общая площадь Предмета ипотеки должна быть от 15 кв.м. до 200 кв.м. Для объектов недвижимости, расположенных в населенных пунктах численностью населения свыше 1 млн. – до 500 кв.м.</w:t>
            </w:r>
          </w:p>
          <w:p w14:paraId="7B033500" w14:textId="77777777" w:rsidR="00951A61" w:rsidRPr="008148A9" w:rsidRDefault="00951A61" w:rsidP="00A4032F">
            <w:pPr>
              <w:pStyle w:val="affe"/>
              <w:ind w:left="0" w:firstLine="425"/>
              <w:jc w:val="both"/>
              <w:rPr>
                <w:rFonts w:ascii="Tahoma" w:hAnsi="Tahoma" w:cs="Tahoma"/>
                <w:sz w:val="20"/>
                <w:szCs w:val="20"/>
              </w:rPr>
            </w:pPr>
            <w:r w:rsidRPr="008148A9">
              <w:rPr>
                <w:rFonts w:ascii="Tahoma" w:hAnsi="Tahoma" w:cs="Tahoma"/>
                <w:sz w:val="20"/>
                <w:szCs w:val="20"/>
              </w:rPr>
              <w:t>5. Предмет ипотеки должен быть предназначен для использования в сфере торговли/предоставления услуг (офис, торговая площадка, помещение свободного назначения, общепит, готовый бизнес, бытовые услуги и др.).</w:t>
            </w:r>
          </w:p>
          <w:p w14:paraId="451528DA" w14:textId="77777777" w:rsidR="00951A61" w:rsidRPr="008148A9" w:rsidRDefault="00951A61" w:rsidP="00A4032F">
            <w:pPr>
              <w:ind w:firstLine="425"/>
              <w:jc w:val="both"/>
              <w:rPr>
                <w:rFonts w:ascii="Tahoma" w:hAnsi="Tahoma" w:cs="Tahoma"/>
                <w:sz w:val="20"/>
                <w:szCs w:val="20"/>
              </w:rPr>
            </w:pPr>
            <w:r w:rsidRPr="008148A9">
              <w:rPr>
                <w:rFonts w:ascii="Tahoma" w:hAnsi="Tahoma" w:cs="Tahoma"/>
                <w:sz w:val="20"/>
                <w:szCs w:val="20"/>
              </w:rPr>
              <w:t>6. Требования к зданию, в котором расположен Предмет ипотеки:</w:t>
            </w:r>
          </w:p>
          <w:p w14:paraId="57CD03BE" w14:textId="77777777" w:rsidR="00951A61" w:rsidRPr="008148A9" w:rsidRDefault="00951A61" w:rsidP="00951A61">
            <w:pPr>
              <w:pStyle w:val="affe"/>
              <w:numPr>
                <w:ilvl w:val="0"/>
                <w:numId w:val="37"/>
              </w:numPr>
              <w:ind w:left="0" w:firstLine="425"/>
              <w:contextualSpacing/>
              <w:jc w:val="both"/>
              <w:rPr>
                <w:rFonts w:ascii="Tahoma" w:hAnsi="Tahoma" w:cs="Tahoma"/>
                <w:sz w:val="20"/>
                <w:szCs w:val="20"/>
              </w:rPr>
            </w:pPr>
            <w:r w:rsidRPr="008148A9">
              <w:rPr>
                <w:rFonts w:ascii="Tahoma" w:hAnsi="Tahoma" w:cs="Tahoma"/>
                <w:sz w:val="20"/>
                <w:szCs w:val="20"/>
              </w:rPr>
              <w:t>не находится в ветхом и/или аварийном состоянии;</w:t>
            </w:r>
          </w:p>
          <w:p w14:paraId="6F1573FA" w14:textId="77777777" w:rsidR="00951A61" w:rsidRPr="008148A9" w:rsidRDefault="00951A61" w:rsidP="00951A61">
            <w:pPr>
              <w:pStyle w:val="affe"/>
              <w:numPr>
                <w:ilvl w:val="0"/>
                <w:numId w:val="37"/>
              </w:numPr>
              <w:ind w:left="0" w:firstLine="425"/>
              <w:contextualSpacing/>
              <w:jc w:val="both"/>
              <w:rPr>
                <w:rFonts w:ascii="Tahoma" w:hAnsi="Tahoma" w:cs="Tahoma"/>
                <w:sz w:val="20"/>
                <w:szCs w:val="20"/>
              </w:rPr>
            </w:pPr>
            <w:r w:rsidRPr="008148A9">
              <w:rPr>
                <w:rFonts w:ascii="Tahoma" w:hAnsi="Tahoma" w:cs="Tahoma"/>
                <w:sz w:val="20"/>
                <w:szCs w:val="20"/>
              </w:rPr>
              <w:t>не является зданием барачного типа;</w:t>
            </w:r>
          </w:p>
          <w:p w14:paraId="250F2380" w14:textId="77777777" w:rsidR="00951A61" w:rsidRPr="008148A9" w:rsidRDefault="00951A61" w:rsidP="00951A61">
            <w:pPr>
              <w:pStyle w:val="affe"/>
              <w:numPr>
                <w:ilvl w:val="0"/>
                <w:numId w:val="37"/>
              </w:numPr>
              <w:ind w:left="0" w:firstLine="425"/>
              <w:contextualSpacing/>
              <w:jc w:val="both"/>
              <w:rPr>
                <w:rFonts w:ascii="Tahoma" w:hAnsi="Tahoma" w:cs="Tahoma"/>
                <w:sz w:val="20"/>
                <w:szCs w:val="20"/>
              </w:rPr>
            </w:pPr>
            <w:r w:rsidRPr="008148A9">
              <w:rPr>
                <w:rFonts w:ascii="Tahoma" w:hAnsi="Tahoma" w:cs="Tahoma"/>
                <w:sz w:val="20"/>
                <w:szCs w:val="20"/>
              </w:rPr>
              <w:t>не является промышленным зданием или сооружением;</w:t>
            </w:r>
          </w:p>
          <w:p w14:paraId="50D1ABB5" w14:textId="77777777" w:rsidR="00951A61" w:rsidRPr="008148A9" w:rsidRDefault="00951A61" w:rsidP="00951A61">
            <w:pPr>
              <w:pStyle w:val="affe"/>
              <w:numPr>
                <w:ilvl w:val="0"/>
                <w:numId w:val="37"/>
              </w:numPr>
              <w:ind w:left="0" w:firstLine="425"/>
              <w:contextualSpacing/>
              <w:jc w:val="both"/>
              <w:rPr>
                <w:rFonts w:ascii="Tahoma" w:hAnsi="Tahoma" w:cs="Tahoma"/>
                <w:sz w:val="20"/>
                <w:szCs w:val="20"/>
              </w:rPr>
            </w:pPr>
            <w:r w:rsidRPr="008148A9">
              <w:rPr>
                <w:rFonts w:ascii="Tahoma" w:hAnsi="Tahoma" w:cs="Tahoma"/>
                <w:sz w:val="20"/>
                <w:szCs w:val="20"/>
              </w:rPr>
              <w:t>не имеет признаков заброшенности, ветхости;</w:t>
            </w:r>
          </w:p>
          <w:p w14:paraId="16B5202A" w14:textId="77777777" w:rsidR="00951A61" w:rsidRPr="008148A9" w:rsidRDefault="00951A61" w:rsidP="00951A61">
            <w:pPr>
              <w:pStyle w:val="affe"/>
              <w:numPr>
                <w:ilvl w:val="0"/>
                <w:numId w:val="37"/>
              </w:numPr>
              <w:ind w:left="0" w:firstLine="425"/>
              <w:contextualSpacing/>
              <w:jc w:val="both"/>
              <w:rPr>
                <w:rFonts w:ascii="Tahoma" w:hAnsi="Tahoma" w:cs="Tahoma"/>
                <w:sz w:val="20"/>
                <w:szCs w:val="20"/>
              </w:rPr>
            </w:pPr>
            <w:r w:rsidRPr="008148A9">
              <w:rPr>
                <w:rFonts w:ascii="Tahoma" w:hAnsi="Tahoma" w:cs="Tahoma"/>
                <w:sz w:val="20"/>
                <w:szCs w:val="20"/>
              </w:rPr>
              <w:t>не является объектом незавершенного строительства;</w:t>
            </w:r>
          </w:p>
          <w:p w14:paraId="3D9FA3D4" w14:textId="77777777" w:rsidR="00951A61" w:rsidRPr="008148A9" w:rsidRDefault="00951A61" w:rsidP="00951A61">
            <w:pPr>
              <w:pStyle w:val="affe"/>
              <w:numPr>
                <w:ilvl w:val="0"/>
                <w:numId w:val="37"/>
              </w:numPr>
              <w:ind w:left="0" w:firstLine="425"/>
              <w:contextualSpacing/>
              <w:jc w:val="both"/>
              <w:rPr>
                <w:rFonts w:ascii="Tahoma" w:hAnsi="Tahoma" w:cs="Tahoma"/>
                <w:sz w:val="20"/>
                <w:szCs w:val="20"/>
              </w:rPr>
            </w:pPr>
            <w:r w:rsidRPr="008148A9">
              <w:rPr>
                <w:rFonts w:ascii="Tahoma" w:hAnsi="Tahoma" w:cs="Tahoma"/>
                <w:sz w:val="20"/>
                <w:szCs w:val="20"/>
              </w:rPr>
              <w:t>не состоит из легковозводимых конструкций;</w:t>
            </w:r>
          </w:p>
          <w:p w14:paraId="305CDB2D" w14:textId="77777777" w:rsidR="00951A61" w:rsidRPr="008148A9" w:rsidRDefault="00951A61" w:rsidP="00951A61">
            <w:pPr>
              <w:pStyle w:val="affe"/>
              <w:numPr>
                <w:ilvl w:val="0"/>
                <w:numId w:val="37"/>
              </w:numPr>
              <w:ind w:left="0" w:firstLine="425"/>
              <w:contextualSpacing/>
              <w:jc w:val="both"/>
              <w:rPr>
                <w:rFonts w:ascii="Tahoma" w:hAnsi="Tahoma" w:cs="Tahoma"/>
                <w:sz w:val="20"/>
                <w:szCs w:val="20"/>
              </w:rPr>
            </w:pPr>
            <w:r w:rsidRPr="008148A9">
              <w:rPr>
                <w:rFonts w:ascii="Tahoma" w:hAnsi="Tahoma" w:cs="Tahoma"/>
                <w:sz w:val="20"/>
                <w:szCs w:val="20"/>
              </w:rPr>
              <w:t>не является социально значимым объектом коммунального хозяйства;</w:t>
            </w:r>
          </w:p>
          <w:p w14:paraId="75511B0C" w14:textId="77777777" w:rsidR="00951A61" w:rsidRPr="008148A9" w:rsidRDefault="00951A61" w:rsidP="00951A61">
            <w:pPr>
              <w:pStyle w:val="affe"/>
              <w:numPr>
                <w:ilvl w:val="0"/>
                <w:numId w:val="37"/>
              </w:numPr>
              <w:ind w:left="0" w:firstLine="425"/>
              <w:contextualSpacing/>
              <w:jc w:val="both"/>
              <w:rPr>
                <w:rFonts w:ascii="Tahoma" w:hAnsi="Tahoma" w:cs="Tahoma"/>
                <w:sz w:val="20"/>
                <w:szCs w:val="20"/>
              </w:rPr>
            </w:pPr>
            <w:r w:rsidRPr="008148A9">
              <w:rPr>
                <w:rFonts w:ascii="Tahoma" w:hAnsi="Tahoma" w:cs="Tahoma"/>
                <w:sz w:val="20"/>
                <w:szCs w:val="20"/>
              </w:rPr>
              <w:t>является капитальным строением;</w:t>
            </w:r>
          </w:p>
          <w:p w14:paraId="4387830F" w14:textId="77777777" w:rsidR="00951A61" w:rsidRPr="008148A9" w:rsidRDefault="00951A61" w:rsidP="00951A61">
            <w:pPr>
              <w:pStyle w:val="affe"/>
              <w:numPr>
                <w:ilvl w:val="0"/>
                <w:numId w:val="37"/>
              </w:numPr>
              <w:ind w:left="0" w:firstLine="425"/>
              <w:contextualSpacing/>
              <w:jc w:val="both"/>
              <w:rPr>
                <w:rFonts w:ascii="Tahoma" w:hAnsi="Tahoma" w:cs="Tahoma"/>
                <w:sz w:val="20"/>
                <w:szCs w:val="20"/>
              </w:rPr>
            </w:pPr>
            <w:r w:rsidRPr="008148A9">
              <w:rPr>
                <w:rFonts w:ascii="Tahoma" w:hAnsi="Tahoma" w:cs="Tahoma"/>
                <w:sz w:val="20"/>
                <w:szCs w:val="20"/>
              </w:rPr>
              <w:t>не состоит на учете для проведения капитального ремонта с отселением;</w:t>
            </w:r>
          </w:p>
          <w:p w14:paraId="40BBBF46" w14:textId="77777777" w:rsidR="00951A61" w:rsidRPr="008148A9" w:rsidRDefault="00951A61" w:rsidP="00951A61">
            <w:pPr>
              <w:pStyle w:val="affe"/>
              <w:numPr>
                <w:ilvl w:val="0"/>
                <w:numId w:val="37"/>
              </w:numPr>
              <w:ind w:left="0" w:firstLine="425"/>
              <w:contextualSpacing/>
              <w:jc w:val="both"/>
              <w:rPr>
                <w:rFonts w:ascii="Tahoma" w:hAnsi="Tahoma" w:cs="Tahoma"/>
                <w:sz w:val="20"/>
                <w:szCs w:val="20"/>
              </w:rPr>
            </w:pPr>
            <w:r w:rsidRPr="008148A9">
              <w:rPr>
                <w:rFonts w:ascii="Tahoma" w:hAnsi="Tahoma" w:cs="Tahoma"/>
                <w:sz w:val="20"/>
                <w:szCs w:val="20"/>
              </w:rPr>
              <w:t>не имеет деревянные перекрытия;</w:t>
            </w:r>
          </w:p>
          <w:p w14:paraId="7DA5BEB0" w14:textId="77777777" w:rsidR="00951A61" w:rsidRPr="008148A9" w:rsidRDefault="00951A61" w:rsidP="00951A61">
            <w:pPr>
              <w:pStyle w:val="affe"/>
              <w:numPr>
                <w:ilvl w:val="0"/>
                <w:numId w:val="37"/>
              </w:numPr>
              <w:ind w:left="0" w:firstLine="425"/>
              <w:contextualSpacing/>
              <w:jc w:val="both"/>
              <w:rPr>
                <w:rFonts w:ascii="Tahoma" w:hAnsi="Tahoma" w:cs="Tahoma"/>
                <w:sz w:val="20"/>
                <w:szCs w:val="20"/>
              </w:rPr>
            </w:pPr>
            <w:r w:rsidRPr="008148A9">
              <w:rPr>
                <w:rFonts w:ascii="Tahoma" w:hAnsi="Tahoma" w:cs="Tahoma"/>
                <w:sz w:val="20"/>
                <w:szCs w:val="20"/>
              </w:rPr>
              <w:t>не состоит в планах органов местного самоуправления и (или) государственных органов на снос, в том числе по программе «Реновация»;</w:t>
            </w:r>
          </w:p>
          <w:p w14:paraId="5A91531B" w14:textId="77777777" w:rsidR="00951A61" w:rsidRPr="008148A9" w:rsidRDefault="00951A61" w:rsidP="00951A61">
            <w:pPr>
              <w:pStyle w:val="affe"/>
              <w:numPr>
                <w:ilvl w:val="0"/>
                <w:numId w:val="37"/>
              </w:numPr>
              <w:ind w:left="0" w:firstLine="425"/>
              <w:contextualSpacing/>
              <w:jc w:val="both"/>
              <w:rPr>
                <w:rFonts w:ascii="Tahoma" w:hAnsi="Tahoma" w:cs="Tahoma"/>
                <w:sz w:val="20"/>
                <w:szCs w:val="20"/>
              </w:rPr>
            </w:pPr>
            <w:r w:rsidRPr="008148A9">
              <w:rPr>
                <w:rFonts w:ascii="Tahoma" w:hAnsi="Tahoma" w:cs="Tahoma"/>
                <w:sz w:val="20"/>
                <w:szCs w:val="20"/>
              </w:rPr>
              <w:t>имеет железобетонный, каменный или кирпичный фундамент.</w:t>
            </w:r>
          </w:p>
          <w:p w14:paraId="142E25AD" w14:textId="77777777" w:rsidR="00951A61" w:rsidRPr="008148A9" w:rsidRDefault="00951A61" w:rsidP="00951A61">
            <w:pPr>
              <w:pStyle w:val="affe"/>
              <w:numPr>
                <w:ilvl w:val="0"/>
                <w:numId w:val="37"/>
              </w:numPr>
              <w:ind w:left="0" w:firstLine="425"/>
              <w:contextualSpacing/>
              <w:jc w:val="both"/>
              <w:rPr>
                <w:rFonts w:ascii="Tahoma" w:hAnsi="Tahoma" w:cs="Tahoma"/>
                <w:sz w:val="20"/>
                <w:szCs w:val="20"/>
              </w:rPr>
            </w:pPr>
            <w:r w:rsidRPr="008148A9">
              <w:rPr>
                <w:rFonts w:ascii="Tahoma" w:hAnsi="Tahoma" w:cs="Tahoma"/>
                <w:sz w:val="20"/>
                <w:szCs w:val="20"/>
              </w:rPr>
              <w:t>имеет износ менее 70% (включительно).</w:t>
            </w:r>
          </w:p>
          <w:p w14:paraId="496822C8" w14:textId="77777777" w:rsidR="00951A61" w:rsidRPr="008148A9" w:rsidRDefault="00951A61" w:rsidP="00A4032F">
            <w:pPr>
              <w:pStyle w:val="affe"/>
              <w:ind w:left="0" w:firstLine="425"/>
              <w:jc w:val="both"/>
              <w:rPr>
                <w:rFonts w:ascii="Tahoma" w:hAnsi="Tahoma" w:cs="Tahoma"/>
                <w:sz w:val="20"/>
                <w:szCs w:val="20"/>
              </w:rPr>
            </w:pPr>
            <w:r w:rsidRPr="008148A9">
              <w:rPr>
                <w:rFonts w:ascii="Tahoma" w:hAnsi="Tahoma" w:cs="Tahoma"/>
                <w:sz w:val="20"/>
                <w:szCs w:val="20"/>
              </w:rPr>
              <w:t xml:space="preserve">7. Предмет ипотеки должен быть подключен к системе водоснабжения, к системе канализации, к системе электропитания и отопления (электрическим, паровым или газовым системам отопления), обеспечивающим подачу тепла на всю площадь нежилого помещения, иметь в исправном состоянии окна (при наличии), двери, крышу. При этом в качестве автономных систем жизнеобеспечения </w:t>
            </w:r>
            <w:r w:rsidRPr="008148A9">
              <w:rPr>
                <w:rFonts w:ascii="Tahoma" w:hAnsi="Tahoma" w:cs="Tahoma"/>
                <w:b/>
                <w:sz w:val="20"/>
                <w:szCs w:val="20"/>
              </w:rPr>
              <w:t>НЕ ДОПУСКАЮТСЯ</w:t>
            </w:r>
            <w:r w:rsidRPr="008148A9">
              <w:rPr>
                <w:rFonts w:ascii="Tahoma" w:hAnsi="Tahoma" w:cs="Tahoma"/>
                <w:sz w:val="20"/>
                <w:szCs w:val="20"/>
              </w:rPr>
              <w:t xml:space="preserve"> печное отопление, обеспечение водой с использованием коллективных или индивидуальных скважин, не оборудованных автоматизированной системой подачи воды.</w:t>
            </w:r>
          </w:p>
          <w:p w14:paraId="3B0B30B1" w14:textId="77777777" w:rsidR="00951A61" w:rsidRPr="008148A9" w:rsidRDefault="00951A61" w:rsidP="00A4032F">
            <w:pPr>
              <w:pStyle w:val="affe"/>
              <w:ind w:left="0" w:firstLine="425"/>
              <w:jc w:val="both"/>
              <w:rPr>
                <w:rFonts w:ascii="Tahoma" w:hAnsi="Tahoma" w:cs="Tahoma"/>
                <w:sz w:val="20"/>
                <w:szCs w:val="20"/>
              </w:rPr>
            </w:pPr>
            <w:r w:rsidRPr="008148A9">
              <w:rPr>
                <w:rFonts w:ascii="Tahoma" w:hAnsi="Tahoma" w:cs="Tahoma"/>
                <w:sz w:val="20"/>
                <w:szCs w:val="20"/>
              </w:rPr>
              <w:t>8. Предмет ипотеки должен являться самостоятельной нежилой недвижимостью (отдельным помещением), на него должно быть зарегистрировано право собственности как на самостоятельный объект нежилой недвижимости в ЕГРН.</w:t>
            </w:r>
          </w:p>
          <w:p w14:paraId="3757CE91" w14:textId="77777777" w:rsidR="00951A61" w:rsidRPr="008148A9" w:rsidRDefault="00951A61" w:rsidP="00A4032F">
            <w:pPr>
              <w:pStyle w:val="affe"/>
              <w:ind w:left="0" w:firstLine="425"/>
              <w:jc w:val="both"/>
              <w:rPr>
                <w:rFonts w:ascii="Tahoma" w:hAnsi="Tahoma" w:cs="Tahoma"/>
                <w:sz w:val="20"/>
                <w:szCs w:val="20"/>
              </w:rPr>
            </w:pPr>
            <w:r w:rsidRPr="008148A9">
              <w:rPr>
                <w:rFonts w:ascii="Tahoma" w:hAnsi="Tahoma" w:cs="Tahoma"/>
                <w:sz w:val="20"/>
                <w:szCs w:val="20"/>
              </w:rPr>
              <w:t>9. Зданию, в котором расположен Предмет ипотеки, должен быть присвоен почтовый адрес.</w:t>
            </w:r>
          </w:p>
          <w:p w14:paraId="3E9C6977" w14:textId="77777777" w:rsidR="00951A61" w:rsidRPr="008148A9" w:rsidRDefault="00951A61" w:rsidP="00A4032F">
            <w:pPr>
              <w:pStyle w:val="affe"/>
              <w:ind w:left="0" w:firstLine="425"/>
              <w:jc w:val="both"/>
              <w:rPr>
                <w:rFonts w:ascii="Tahoma" w:hAnsi="Tahoma" w:cs="Tahoma"/>
                <w:sz w:val="20"/>
                <w:szCs w:val="20"/>
              </w:rPr>
            </w:pPr>
            <w:r w:rsidRPr="008148A9">
              <w:rPr>
                <w:rFonts w:ascii="Tahoma" w:hAnsi="Tahoma" w:cs="Tahoma"/>
                <w:sz w:val="20"/>
                <w:szCs w:val="20"/>
              </w:rPr>
              <w:t>10. В Предмете ипотеки должна быть произведена отделка помещения (за исключением объектов недвижимости, введенных в эксплуатацию менее одного года назад).</w:t>
            </w:r>
          </w:p>
          <w:p w14:paraId="1186DD70" w14:textId="77777777" w:rsidR="00951A61" w:rsidRPr="008148A9" w:rsidRDefault="00951A61" w:rsidP="00A4032F">
            <w:pPr>
              <w:ind w:firstLine="425"/>
              <w:jc w:val="both"/>
              <w:rPr>
                <w:rFonts w:ascii="Tahoma" w:hAnsi="Tahoma" w:cs="Tahoma"/>
                <w:sz w:val="20"/>
                <w:szCs w:val="20"/>
              </w:rPr>
            </w:pPr>
            <w:r w:rsidRPr="008148A9">
              <w:rPr>
                <w:rFonts w:ascii="Tahoma" w:hAnsi="Tahoma" w:cs="Tahoma"/>
                <w:sz w:val="20"/>
                <w:szCs w:val="20"/>
              </w:rPr>
              <w:t>11. Предмет ипотеки должен быть свободен от любых прав третьих лиц, за исключением:</w:t>
            </w:r>
          </w:p>
          <w:p w14:paraId="7DE9D80B" w14:textId="77777777" w:rsidR="00951A61" w:rsidRPr="008148A9" w:rsidRDefault="00951A61" w:rsidP="00A4032F">
            <w:pPr>
              <w:ind w:firstLine="425"/>
              <w:jc w:val="both"/>
              <w:rPr>
                <w:rFonts w:ascii="Tahoma" w:hAnsi="Tahoma" w:cs="Tahoma"/>
                <w:sz w:val="20"/>
                <w:szCs w:val="20"/>
              </w:rPr>
            </w:pPr>
            <w:r w:rsidRPr="008148A9">
              <w:rPr>
                <w:rFonts w:ascii="Tahoma" w:hAnsi="Tahoma" w:cs="Tahoma"/>
                <w:sz w:val="20"/>
                <w:szCs w:val="20"/>
              </w:rPr>
              <w:t>-  аренды на срок до 11 мес. включительно;</w:t>
            </w:r>
          </w:p>
          <w:p w14:paraId="0F120D58" w14:textId="77777777" w:rsidR="00951A61" w:rsidRPr="008148A9" w:rsidRDefault="00951A61" w:rsidP="00A4032F">
            <w:pPr>
              <w:pStyle w:val="affe"/>
              <w:ind w:left="0" w:firstLine="425"/>
              <w:jc w:val="both"/>
              <w:rPr>
                <w:rFonts w:ascii="Tahoma" w:hAnsi="Tahoma" w:cs="Tahoma"/>
                <w:sz w:val="20"/>
                <w:szCs w:val="20"/>
              </w:rPr>
            </w:pPr>
            <w:r w:rsidRPr="008148A9">
              <w:rPr>
                <w:rFonts w:ascii="Tahoma" w:hAnsi="Tahoma" w:cs="Tahoma"/>
                <w:sz w:val="20"/>
                <w:szCs w:val="20"/>
              </w:rPr>
              <w:lastRenderedPageBreak/>
              <w:t>- аренды на любой срок при условии наличия в договоре аренды условия о возможности расторжения договора аренды по требованию арендодателя.</w:t>
            </w:r>
          </w:p>
          <w:p w14:paraId="42969973" w14:textId="77777777" w:rsidR="00951A61" w:rsidRPr="008148A9" w:rsidRDefault="00951A61" w:rsidP="00A4032F">
            <w:pPr>
              <w:pStyle w:val="affe"/>
              <w:ind w:left="0" w:firstLine="425"/>
              <w:jc w:val="both"/>
              <w:rPr>
                <w:rFonts w:ascii="Tahoma" w:hAnsi="Tahoma" w:cs="Tahoma"/>
                <w:sz w:val="20"/>
                <w:szCs w:val="20"/>
              </w:rPr>
            </w:pPr>
            <w:r w:rsidRPr="008148A9">
              <w:rPr>
                <w:rFonts w:ascii="Tahoma" w:hAnsi="Tahoma" w:cs="Tahoma"/>
                <w:sz w:val="20"/>
                <w:szCs w:val="20"/>
              </w:rPr>
              <w:t xml:space="preserve">12. В число собственников Предмета ипотеки </w:t>
            </w:r>
            <w:r w:rsidRPr="008148A9">
              <w:rPr>
                <w:rFonts w:ascii="Tahoma" w:hAnsi="Tahoma" w:cs="Tahoma"/>
                <w:sz w:val="20"/>
                <w:szCs w:val="20"/>
                <w:u w:val="single"/>
              </w:rPr>
              <w:t>НЕ ДОЛЖНЫ</w:t>
            </w:r>
            <w:r w:rsidRPr="008148A9">
              <w:rPr>
                <w:rFonts w:ascii="Tahoma" w:hAnsi="Tahoma" w:cs="Tahoma"/>
                <w:sz w:val="20"/>
                <w:szCs w:val="20"/>
              </w:rPr>
              <w:t xml:space="preserve"> входить несовершеннолетние/недееспособные/ограниченно дееспособные лица.</w:t>
            </w:r>
          </w:p>
          <w:p w14:paraId="26899843" w14:textId="77777777" w:rsidR="00951A61" w:rsidRPr="008148A9" w:rsidRDefault="00951A61" w:rsidP="00A4032F">
            <w:pPr>
              <w:pStyle w:val="affe"/>
              <w:ind w:left="0" w:firstLine="425"/>
              <w:jc w:val="both"/>
              <w:rPr>
                <w:rFonts w:ascii="Tahoma" w:hAnsi="Tahoma" w:cs="Tahoma"/>
                <w:sz w:val="20"/>
                <w:szCs w:val="20"/>
              </w:rPr>
            </w:pPr>
            <w:r w:rsidRPr="008148A9">
              <w:rPr>
                <w:rFonts w:ascii="Tahoma" w:hAnsi="Tahoma" w:cs="Tahoma"/>
                <w:sz w:val="20"/>
                <w:szCs w:val="20"/>
              </w:rPr>
              <w:t xml:space="preserve">13. Предметом ипотеки </w:t>
            </w:r>
            <w:r w:rsidRPr="008148A9">
              <w:rPr>
                <w:rFonts w:ascii="Tahoma" w:hAnsi="Tahoma" w:cs="Tahoma"/>
                <w:b/>
                <w:sz w:val="20"/>
                <w:szCs w:val="20"/>
              </w:rPr>
              <w:t>НЕ МОЖЕТ</w:t>
            </w:r>
            <w:r w:rsidRPr="008148A9">
              <w:rPr>
                <w:rFonts w:ascii="Tahoma" w:hAnsi="Tahoma" w:cs="Tahoma"/>
                <w:sz w:val="20"/>
                <w:szCs w:val="20"/>
              </w:rPr>
              <w:t xml:space="preserve"> выступать отдельно стоящее здание.</w:t>
            </w:r>
          </w:p>
          <w:p w14:paraId="07A300C2" w14:textId="77777777" w:rsidR="00951A61" w:rsidRPr="008148A9" w:rsidRDefault="00951A61" w:rsidP="00A4032F">
            <w:pPr>
              <w:pStyle w:val="affe"/>
              <w:ind w:left="0" w:firstLine="425"/>
              <w:jc w:val="both"/>
              <w:rPr>
                <w:rFonts w:ascii="Tahoma" w:hAnsi="Tahoma" w:cs="Tahoma"/>
                <w:sz w:val="20"/>
                <w:szCs w:val="20"/>
              </w:rPr>
            </w:pPr>
            <w:r w:rsidRPr="008148A9">
              <w:rPr>
                <w:rFonts w:ascii="Tahoma" w:hAnsi="Tahoma" w:cs="Tahoma"/>
                <w:sz w:val="20"/>
                <w:szCs w:val="20"/>
              </w:rPr>
              <w:t xml:space="preserve">14. </w:t>
            </w:r>
            <w:r w:rsidRPr="008148A9">
              <w:rPr>
                <w:rFonts w:ascii="Tahoma" w:hAnsi="Tahoma" w:cs="Tahoma"/>
                <w:b/>
                <w:sz w:val="20"/>
                <w:szCs w:val="20"/>
              </w:rPr>
              <w:t>НЕ ДОПУСКАЕТСЯ</w:t>
            </w:r>
            <w:r w:rsidRPr="008148A9">
              <w:rPr>
                <w:rFonts w:ascii="Tahoma" w:hAnsi="Tahoma" w:cs="Tahoma"/>
                <w:sz w:val="20"/>
                <w:szCs w:val="20"/>
              </w:rPr>
              <w:t xml:space="preserve"> залог помещений, требующих капитального ремонта, в том числе с заменой перекрытий, несущих перегородок, ремонта кровли, ремонта фасада. Допускается залог помещений, требующих косметического ремонта, в том числе замены/ремонта отделочных покрытий стен, полов и потолка, электропроводки и слаботочных систем, оконных рам и дверей; </w:t>
            </w:r>
          </w:p>
          <w:p w14:paraId="1360D1B8" w14:textId="77777777" w:rsidR="00951A61" w:rsidRPr="008148A9" w:rsidRDefault="00951A61" w:rsidP="00A4032F">
            <w:pPr>
              <w:ind w:firstLine="425"/>
              <w:jc w:val="both"/>
            </w:pPr>
            <w:r w:rsidRPr="008148A9">
              <w:rPr>
                <w:rFonts w:ascii="Tahoma" w:hAnsi="Tahoma" w:cs="Tahoma"/>
                <w:sz w:val="20"/>
                <w:szCs w:val="20"/>
              </w:rPr>
              <w:t>15. К Предмету ипотеки могут применяться иные требования и ограничения, выявленные после проверки Экспертом по титулу.</w:t>
            </w:r>
          </w:p>
          <w:p w14:paraId="045A3F03" w14:textId="77777777" w:rsidR="00951A61" w:rsidRPr="008148A9" w:rsidRDefault="00951A61" w:rsidP="00A4032F">
            <w:pPr>
              <w:ind w:firstLine="425"/>
              <w:jc w:val="both"/>
              <w:rPr>
                <w:rFonts w:ascii="Tahoma" w:hAnsi="Tahoma" w:cs="Tahoma"/>
                <w:sz w:val="20"/>
                <w:szCs w:val="20"/>
              </w:rPr>
            </w:pPr>
            <w:r w:rsidRPr="008148A9">
              <w:rPr>
                <w:rFonts w:ascii="Tahoma" w:hAnsi="Tahoma" w:cs="Tahoma"/>
                <w:b/>
                <w:sz w:val="20"/>
                <w:szCs w:val="20"/>
              </w:rPr>
              <w:t>При этом в качестве Предмета ипотеки Коммерческая недвижимость не принимается</w:t>
            </w:r>
            <w:r w:rsidRPr="008148A9">
              <w:rPr>
                <w:rFonts w:ascii="Tahoma" w:hAnsi="Tahoma" w:cs="Tahoma"/>
                <w:sz w:val="20"/>
                <w:szCs w:val="20"/>
              </w:rPr>
              <w:t>:</w:t>
            </w:r>
          </w:p>
          <w:p w14:paraId="15300E4A" w14:textId="77777777" w:rsidR="00951A61" w:rsidRPr="008148A9" w:rsidRDefault="00951A61" w:rsidP="00951A61">
            <w:pPr>
              <w:pStyle w:val="affe"/>
              <w:numPr>
                <w:ilvl w:val="1"/>
                <w:numId w:val="89"/>
              </w:numPr>
              <w:ind w:left="0" w:firstLine="425"/>
              <w:contextualSpacing/>
              <w:jc w:val="both"/>
              <w:rPr>
                <w:rFonts w:ascii="Tahoma" w:hAnsi="Tahoma" w:cs="Tahoma"/>
                <w:sz w:val="20"/>
                <w:szCs w:val="20"/>
              </w:rPr>
            </w:pPr>
            <w:r w:rsidRPr="008148A9">
              <w:rPr>
                <w:rFonts w:ascii="Tahoma" w:hAnsi="Tahoma" w:cs="Tahoma"/>
                <w:sz w:val="20"/>
                <w:szCs w:val="20"/>
              </w:rPr>
              <w:t>При наличии недопустимых перепланировок:</w:t>
            </w:r>
          </w:p>
          <w:p w14:paraId="6FA0E933" w14:textId="77777777" w:rsidR="00951A61" w:rsidRPr="008148A9" w:rsidRDefault="00951A61" w:rsidP="00951A61">
            <w:pPr>
              <w:pStyle w:val="affe"/>
              <w:numPr>
                <w:ilvl w:val="0"/>
                <w:numId w:val="86"/>
              </w:numPr>
              <w:ind w:left="0" w:firstLine="425"/>
              <w:contextualSpacing/>
              <w:jc w:val="both"/>
              <w:rPr>
                <w:rFonts w:ascii="Tahoma" w:hAnsi="Tahoma" w:cs="Tahoma"/>
                <w:sz w:val="20"/>
                <w:szCs w:val="20"/>
              </w:rPr>
            </w:pPr>
            <w:r w:rsidRPr="008148A9">
              <w:rPr>
                <w:rFonts w:ascii="Tahoma" w:hAnsi="Tahoma" w:cs="Tahoma"/>
                <w:sz w:val="20"/>
                <w:szCs w:val="20"/>
              </w:rPr>
              <w:t>изменение внешних границ объекта недвижимости;</w:t>
            </w:r>
          </w:p>
          <w:p w14:paraId="0B1F2BD6" w14:textId="77777777" w:rsidR="00951A61" w:rsidRPr="008148A9" w:rsidRDefault="00951A61" w:rsidP="00951A61">
            <w:pPr>
              <w:pStyle w:val="affe"/>
              <w:numPr>
                <w:ilvl w:val="0"/>
                <w:numId w:val="86"/>
              </w:numPr>
              <w:ind w:left="0" w:firstLine="425"/>
              <w:contextualSpacing/>
              <w:jc w:val="both"/>
              <w:rPr>
                <w:rFonts w:ascii="Tahoma" w:hAnsi="Tahoma" w:cs="Tahoma"/>
                <w:sz w:val="20"/>
                <w:szCs w:val="20"/>
              </w:rPr>
            </w:pPr>
            <w:r w:rsidRPr="008148A9">
              <w:rPr>
                <w:rFonts w:ascii="Tahoma" w:hAnsi="Tahoma" w:cs="Tahoma"/>
                <w:sz w:val="20"/>
                <w:szCs w:val="20"/>
              </w:rPr>
              <w:t>изменение количества этажей;</w:t>
            </w:r>
          </w:p>
          <w:p w14:paraId="45E17035" w14:textId="77777777" w:rsidR="00951A61" w:rsidRPr="008148A9" w:rsidRDefault="00951A61" w:rsidP="00951A61">
            <w:pPr>
              <w:pStyle w:val="affe"/>
              <w:numPr>
                <w:ilvl w:val="0"/>
                <w:numId w:val="86"/>
              </w:numPr>
              <w:ind w:left="0" w:firstLine="425"/>
              <w:contextualSpacing/>
              <w:jc w:val="both"/>
              <w:rPr>
                <w:rFonts w:ascii="Tahoma" w:hAnsi="Tahoma" w:cs="Tahoma"/>
                <w:sz w:val="20"/>
                <w:szCs w:val="20"/>
              </w:rPr>
            </w:pPr>
            <w:r w:rsidRPr="008148A9">
              <w:rPr>
                <w:rFonts w:ascii="Tahoma" w:hAnsi="Tahoma" w:cs="Tahoma"/>
                <w:sz w:val="20"/>
                <w:szCs w:val="20"/>
              </w:rPr>
              <w:t>устройство лестниц, лифтовых шахт;</w:t>
            </w:r>
          </w:p>
          <w:p w14:paraId="749A7552" w14:textId="77777777" w:rsidR="00951A61" w:rsidRPr="008148A9" w:rsidRDefault="00951A61" w:rsidP="00951A61">
            <w:pPr>
              <w:pStyle w:val="affe"/>
              <w:numPr>
                <w:ilvl w:val="0"/>
                <w:numId w:val="86"/>
              </w:numPr>
              <w:ind w:left="0" w:firstLine="425"/>
              <w:contextualSpacing/>
              <w:jc w:val="both"/>
              <w:rPr>
                <w:rFonts w:ascii="Tahoma" w:hAnsi="Tahoma" w:cs="Tahoma"/>
                <w:sz w:val="20"/>
                <w:szCs w:val="20"/>
              </w:rPr>
            </w:pPr>
            <w:r w:rsidRPr="008148A9">
              <w:rPr>
                <w:rFonts w:ascii="Tahoma" w:hAnsi="Tahoma" w:cs="Tahoma"/>
                <w:sz w:val="20"/>
                <w:szCs w:val="20"/>
              </w:rPr>
              <w:t>демонтаж капитальных стен;</w:t>
            </w:r>
          </w:p>
          <w:p w14:paraId="6493C359" w14:textId="77777777" w:rsidR="00951A61" w:rsidRPr="008148A9" w:rsidRDefault="00951A61" w:rsidP="00951A61">
            <w:pPr>
              <w:pStyle w:val="affe"/>
              <w:numPr>
                <w:ilvl w:val="0"/>
                <w:numId w:val="86"/>
              </w:numPr>
              <w:ind w:left="0" w:firstLine="425"/>
              <w:contextualSpacing/>
              <w:jc w:val="both"/>
              <w:rPr>
                <w:rFonts w:ascii="Tahoma" w:hAnsi="Tahoma" w:cs="Tahoma"/>
                <w:sz w:val="20"/>
                <w:szCs w:val="20"/>
              </w:rPr>
            </w:pPr>
            <w:r w:rsidRPr="008148A9">
              <w:rPr>
                <w:rFonts w:ascii="Tahoma" w:hAnsi="Tahoma" w:cs="Tahoma"/>
                <w:sz w:val="20"/>
                <w:szCs w:val="20"/>
              </w:rPr>
              <w:t>иные недопустимые перепланировки, ведущие к нарушению прочности или разрушению несущих конструкций здания, нарушению в работе инженерных систем и (или) установленного на нем оборудования, ухудшению сохранности и внешнего вида фасадов, нарушению противопожарных устройств.</w:t>
            </w:r>
          </w:p>
          <w:p w14:paraId="13BA1137" w14:textId="77777777" w:rsidR="00951A61" w:rsidRPr="008148A9" w:rsidRDefault="00951A61" w:rsidP="00951A61">
            <w:pPr>
              <w:pStyle w:val="affe"/>
              <w:numPr>
                <w:ilvl w:val="1"/>
                <w:numId w:val="89"/>
              </w:numPr>
              <w:ind w:left="0" w:firstLine="425"/>
              <w:contextualSpacing/>
              <w:jc w:val="both"/>
              <w:rPr>
                <w:rFonts w:ascii="Tahoma" w:hAnsi="Tahoma" w:cs="Tahoma"/>
                <w:sz w:val="20"/>
                <w:szCs w:val="20"/>
              </w:rPr>
            </w:pPr>
            <w:r w:rsidRPr="008148A9">
              <w:rPr>
                <w:rFonts w:ascii="Tahoma" w:hAnsi="Tahoma" w:cs="Tahoma"/>
                <w:sz w:val="20"/>
                <w:szCs w:val="20"/>
              </w:rPr>
              <w:t>При наличии заключенных договоров долгосрочной аренды, за исключением случаев, когда Клиент обязуется предоставить в Банк в течение 30 календарных дней зарегистрированное дополнительное соглашение с включением пунктов о применении права досрочного расторжения договора долгосрочной аренды (согласно Информационного письма №1558-ВА от 11.03.2019г.), подтверждающее регистрацию дополнительного соглашения к договору аренды недвижимого имущества, предлагаемого в залог Банку, при условии предоставления в Банк расписки о сдаче дополнительного соглашения на государственную регистрацию в регистрирующий орган до выдачи кредита</w:t>
            </w:r>
            <w:r w:rsidRPr="008148A9">
              <w:rPr>
                <w:rStyle w:val="aff3"/>
                <w:rFonts w:ascii="Tahoma" w:hAnsi="Tahoma"/>
                <w:sz w:val="20"/>
                <w:szCs w:val="20"/>
              </w:rPr>
              <w:footnoteReference w:id="153"/>
            </w:r>
            <w:r w:rsidRPr="008148A9">
              <w:rPr>
                <w:rFonts w:ascii="Tahoma" w:hAnsi="Tahoma" w:cs="Tahoma"/>
                <w:sz w:val="20"/>
                <w:szCs w:val="20"/>
              </w:rPr>
              <w:t xml:space="preserve">. </w:t>
            </w:r>
          </w:p>
          <w:p w14:paraId="64332353" w14:textId="77777777" w:rsidR="00951A61" w:rsidRPr="008148A9" w:rsidRDefault="00951A61" w:rsidP="00A4032F">
            <w:pPr>
              <w:ind w:firstLine="425"/>
              <w:jc w:val="both"/>
              <w:rPr>
                <w:rFonts w:ascii="Tahoma" w:hAnsi="Tahoma" w:cs="Tahoma"/>
                <w:sz w:val="20"/>
                <w:szCs w:val="20"/>
              </w:rPr>
            </w:pPr>
            <w:r w:rsidRPr="008148A9">
              <w:rPr>
                <w:rFonts w:ascii="Tahoma" w:hAnsi="Tahoma" w:cs="Tahoma"/>
                <w:sz w:val="20"/>
                <w:szCs w:val="20"/>
              </w:rPr>
              <w:t>При этом, договор долгосрочной аренды недвижимого имущества, предлагаемого в залог Банку, должен соответствовать следующим требованиям (выполняются одновременно):</w:t>
            </w:r>
          </w:p>
          <w:p w14:paraId="18DF17C6" w14:textId="77777777" w:rsidR="00951A61" w:rsidRPr="008148A9" w:rsidRDefault="00951A61" w:rsidP="00951A61">
            <w:pPr>
              <w:pStyle w:val="affe"/>
              <w:numPr>
                <w:ilvl w:val="0"/>
                <w:numId w:val="87"/>
              </w:numPr>
              <w:ind w:left="0" w:firstLine="425"/>
              <w:contextualSpacing/>
              <w:jc w:val="both"/>
              <w:rPr>
                <w:rFonts w:ascii="Tahoma" w:hAnsi="Tahoma" w:cs="Tahoma"/>
                <w:sz w:val="20"/>
                <w:szCs w:val="20"/>
              </w:rPr>
            </w:pPr>
            <w:r w:rsidRPr="008148A9">
              <w:rPr>
                <w:rFonts w:ascii="Tahoma" w:hAnsi="Tahoma" w:cs="Tahoma"/>
                <w:sz w:val="20"/>
                <w:szCs w:val="20"/>
              </w:rPr>
              <w:t>отсутствует условие об уплате авансовых платежей за пользование объектом недвижимости за период более 30 календарных дней;</w:t>
            </w:r>
          </w:p>
          <w:p w14:paraId="419FBAA1" w14:textId="77777777" w:rsidR="00951A61" w:rsidRPr="008148A9" w:rsidRDefault="00951A61" w:rsidP="00951A61">
            <w:pPr>
              <w:pStyle w:val="affe"/>
              <w:numPr>
                <w:ilvl w:val="0"/>
                <w:numId w:val="88"/>
              </w:numPr>
              <w:ind w:left="0" w:firstLine="425"/>
              <w:contextualSpacing/>
              <w:jc w:val="both"/>
              <w:rPr>
                <w:rFonts w:ascii="Tahoma" w:hAnsi="Tahoma" w:cs="Tahoma"/>
                <w:sz w:val="20"/>
                <w:szCs w:val="20"/>
              </w:rPr>
            </w:pPr>
            <w:r w:rsidRPr="008148A9">
              <w:rPr>
                <w:rFonts w:ascii="Tahoma" w:hAnsi="Tahoma" w:cs="Tahoma"/>
                <w:sz w:val="20"/>
                <w:szCs w:val="20"/>
              </w:rPr>
              <w:t>базовая (постоянная) ставка арендной платы за пользование 1 кв. м объекта аренды (суммарная за 12 месяцев, с учетом НДС) должна составлять не менее 10% от рыночной стоимости 1 кв. м объекта аренды.</w:t>
            </w:r>
          </w:p>
          <w:p w14:paraId="27C79911" w14:textId="77777777" w:rsidR="00951A61" w:rsidRPr="008148A9" w:rsidRDefault="00951A61" w:rsidP="00951A61">
            <w:pPr>
              <w:pStyle w:val="affe"/>
              <w:numPr>
                <w:ilvl w:val="1"/>
                <w:numId w:val="89"/>
              </w:numPr>
              <w:ind w:left="0" w:firstLine="425"/>
              <w:contextualSpacing/>
              <w:jc w:val="both"/>
              <w:rPr>
                <w:rFonts w:ascii="Tahoma" w:hAnsi="Tahoma" w:cs="Tahoma"/>
                <w:sz w:val="20"/>
                <w:szCs w:val="20"/>
              </w:rPr>
            </w:pPr>
            <w:r w:rsidRPr="008148A9">
              <w:rPr>
                <w:rFonts w:ascii="Tahoma" w:hAnsi="Tahoma" w:cs="Tahoma"/>
                <w:sz w:val="20"/>
                <w:szCs w:val="20"/>
              </w:rPr>
              <w:t>При наличии на земельном участке иных строений, которые не оформляются в качестве залога;</w:t>
            </w:r>
          </w:p>
          <w:p w14:paraId="2F47EE34" w14:textId="77777777" w:rsidR="00951A61" w:rsidRPr="008148A9" w:rsidRDefault="00951A61" w:rsidP="00951A61">
            <w:pPr>
              <w:pStyle w:val="affe"/>
              <w:numPr>
                <w:ilvl w:val="1"/>
                <w:numId w:val="89"/>
              </w:numPr>
              <w:ind w:left="0" w:firstLine="425"/>
              <w:contextualSpacing/>
              <w:jc w:val="both"/>
              <w:rPr>
                <w:rFonts w:ascii="Tahoma" w:hAnsi="Tahoma" w:cs="Tahoma"/>
                <w:sz w:val="20"/>
                <w:szCs w:val="20"/>
              </w:rPr>
            </w:pPr>
            <w:r w:rsidRPr="008148A9">
              <w:rPr>
                <w:rFonts w:ascii="Tahoma" w:hAnsi="Tahoma" w:cs="Tahoma"/>
                <w:sz w:val="20"/>
                <w:szCs w:val="20"/>
              </w:rPr>
              <w:t>При наличии информации о залогах в пользу третьих лиц;</w:t>
            </w:r>
          </w:p>
          <w:p w14:paraId="758A103D" w14:textId="77777777" w:rsidR="00951A61" w:rsidRPr="008148A9" w:rsidRDefault="00951A61" w:rsidP="00951A61">
            <w:pPr>
              <w:pStyle w:val="affe"/>
              <w:numPr>
                <w:ilvl w:val="1"/>
                <w:numId w:val="89"/>
              </w:numPr>
              <w:ind w:left="0" w:firstLine="425"/>
              <w:contextualSpacing/>
              <w:jc w:val="both"/>
              <w:rPr>
                <w:rFonts w:ascii="Tahoma" w:hAnsi="Tahoma" w:cs="Tahoma"/>
                <w:sz w:val="20"/>
                <w:szCs w:val="20"/>
              </w:rPr>
            </w:pPr>
            <w:r w:rsidRPr="008148A9">
              <w:rPr>
                <w:rFonts w:ascii="Tahoma" w:hAnsi="Tahoma" w:cs="Tahoma"/>
                <w:sz w:val="20"/>
                <w:szCs w:val="20"/>
              </w:rPr>
              <w:t>Если недвижимое имущество является объектом культурного наследия;</w:t>
            </w:r>
          </w:p>
          <w:p w14:paraId="4C9DDBB6" w14:textId="77777777" w:rsidR="00951A61" w:rsidRPr="008148A9" w:rsidRDefault="00951A61" w:rsidP="00951A61">
            <w:pPr>
              <w:pStyle w:val="affe"/>
              <w:numPr>
                <w:ilvl w:val="1"/>
                <w:numId w:val="89"/>
              </w:numPr>
              <w:ind w:left="0" w:firstLine="425"/>
              <w:contextualSpacing/>
              <w:jc w:val="both"/>
              <w:rPr>
                <w:rFonts w:ascii="Tahoma" w:hAnsi="Tahoma" w:cs="Tahoma"/>
                <w:sz w:val="20"/>
                <w:szCs w:val="20"/>
              </w:rPr>
            </w:pPr>
            <w:r w:rsidRPr="008148A9">
              <w:rPr>
                <w:rFonts w:ascii="Tahoma" w:hAnsi="Tahoma" w:cs="Tahoma"/>
                <w:sz w:val="20"/>
                <w:szCs w:val="20"/>
              </w:rPr>
              <w:t xml:space="preserve">Если объект недвижимого имущества находится в закрытом административно-территориальном образовании (ЗАТО) при условии отсутствия офиса Банка в регионе расположения объекта недвижимого имущества; </w:t>
            </w:r>
          </w:p>
          <w:p w14:paraId="5F02B027" w14:textId="77777777" w:rsidR="00951A61" w:rsidRPr="008148A9" w:rsidRDefault="00951A61" w:rsidP="00951A61">
            <w:pPr>
              <w:pStyle w:val="affe"/>
              <w:numPr>
                <w:ilvl w:val="1"/>
                <w:numId w:val="89"/>
              </w:numPr>
              <w:ind w:left="0" w:firstLine="425"/>
              <w:contextualSpacing/>
              <w:jc w:val="both"/>
              <w:rPr>
                <w:rFonts w:ascii="Tahoma" w:hAnsi="Tahoma" w:cs="Tahoma"/>
                <w:sz w:val="20"/>
                <w:szCs w:val="20"/>
              </w:rPr>
            </w:pPr>
            <w:r w:rsidRPr="008148A9">
              <w:rPr>
                <w:rFonts w:ascii="Tahoma" w:hAnsi="Tahoma" w:cs="Tahoma"/>
                <w:sz w:val="20"/>
                <w:szCs w:val="20"/>
              </w:rPr>
              <w:lastRenderedPageBreak/>
              <w:t>Находящиеся в заброшенном состоянии, либо не используемое собственником (пустующее/неиспользуемое на 50% и более);</w:t>
            </w:r>
          </w:p>
          <w:p w14:paraId="052CBC9C" w14:textId="77777777" w:rsidR="00951A61" w:rsidRPr="008148A9" w:rsidRDefault="00951A61" w:rsidP="00951A61">
            <w:pPr>
              <w:pStyle w:val="affe"/>
              <w:numPr>
                <w:ilvl w:val="1"/>
                <w:numId w:val="89"/>
              </w:numPr>
              <w:ind w:left="0" w:firstLine="425"/>
              <w:contextualSpacing/>
              <w:jc w:val="both"/>
              <w:rPr>
                <w:rFonts w:ascii="Tahoma" w:hAnsi="Tahoma" w:cs="Tahoma"/>
                <w:sz w:val="20"/>
                <w:szCs w:val="20"/>
              </w:rPr>
            </w:pPr>
            <w:r w:rsidRPr="008148A9">
              <w:rPr>
                <w:rFonts w:ascii="Tahoma" w:hAnsi="Tahoma" w:cs="Tahoma"/>
                <w:sz w:val="20"/>
                <w:szCs w:val="20"/>
              </w:rPr>
              <w:t>Находящиеся в неудовлетворительном состоянии (требующем капитального ремонта);</w:t>
            </w:r>
          </w:p>
          <w:p w14:paraId="204C6A7D" w14:textId="77777777" w:rsidR="00951A61" w:rsidRPr="008148A9" w:rsidRDefault="00951A61" w:rsidP="00951A61">
            <w:pPr>
              <w:pStyle w:val="affe"/>
              <w:numPr>
                <w:ilvl w:val="1"/>
                <w:numId w:val="89"/>
              </w:numPr>
              <w:ind w:left="0" w:firstLine="425"/>
              <w:contextualSpacing/>
              <w:jc w:val="both"/>
              <w:rPr>
                <w:rFonts w:ascii="Tahoma" w:hAnsi="Tahoma" w:cs="Tahoma"/>
                <w:sz w:val="20"/>
                <w:szCs w:val="20"/>
              </w:rPr>
            </w:pPr>
            <w:r w:rsidRPr="008148A9">
              <w:rPr>
                <w:rFonts w:ascii="Tahoma" w:hAnsi="Tahoma" w:cs="Tahoma"/>
                <w:sz w:val="20"/>
                <w:szCs w:val="20"/>
              </w:rPr>
              <w:t>Здания (помещения), обеспечивающие инженерные коммуникации (например, трансформаторная подстанция, котельная и т.п.), социально-значимые объекты (здания: музеев, театров, детских садов, больниц и т.п.), объекты социальной и транспортной инфраструктуры (здания авто- и ж/д вокзалов, авиа- и морских портов и пр.);</w:t>
            </w:r>
          </w:p>
          <w:p w14:paraId="2E9E11A2" w14:textId="77777777" w:rsidR="00951A61" w:rsidRPr="008148A9" w:rsidRDefault="00951A61" w:rsidP="00951A61">
            <w:pPr>
              <w:pStyle w:val="affe"/>
              <w:numPr>
                <w:ilvl w:val="1"/>
                <w:numId w:val="89"/>
              </w:numPr>
              <w:ind w:left="0" w:firstLine="425"/>
              <w:contextualSpacing/>
              <w:jc w:val="both"/>
              <w:rPr>
                <w:rFonts w:ascii="Tahoma" w:hAnsi="Tahoma" w:cs="Tahoma"/>
                <w:sz w:val="20"/>
                <w:szCs w:val="20"/>
              </w:rPr>
            </w:pPr>
            <w:r w:rsidRPr="008148A9">
              <w:rPr>
                <w:rFonts w:ascii="Tahoma" w:hAnsi="Tahoma" w:cs="Tahoma"/>
                <w:sz w:val="20"/>
                <w:szCs w:val="20"/>
              </w:rPr>
              <w:t>Не выделенные в натуре доли в праве собственности на здания, сооружения, помещения (физические границы объекта не определены, не присвоен кадастровый (учетный) номер и отсутствует государственная регистрация права собственности на выделенные в натуре доли в праве собственности);</w:t>
            </w:r>
          </w:p>
          <w:p w14:paraId="01172DA0" w14:textId="77777777" w:rsidR="00951A61" w:rsidRPr="008148A9" w:rsidRDefault="00951A61" w:rsidP="00951A61">
            <w:pPr>
              <w:pStyle w:val="affe"/>
              <w:numPr>
                <w:ilvl w:val="1"/>
                <w:numId w:val="89"/>
              </w:numPr>
              <w:ind w:left="0" w:firstLine="425"/>
              <w:contextualSpacing/>
              <w:jc w:val="both"/>
              <w:rPr>
                <w:rFonts w:ascii="Tahoma" w:hAnsi="Tahoma" w:cs="Tahoma"/>
                <w:sz w:val="20"/>
                <w:szCs w:val="20"/>
              </w:rPr>
            </w:pPr>
            <w:r w:rsidRPr="008148A9">
              <w:rPr>
                <w:rFonts w:ascii="Tahoma" w:hAnsi="Tahoma" w:cs="Tahoma"/>
                <w:sz w:val="20"/>
                <w:szCs w:val="20"/>
              </w:rPr>
              <w:t>Если является предприятием.</w:t>
            </w:r>
          </w:p>
          <w:p w14:paraId="713E0852" w14:textId="77777777" w:rsidR="00951A61" w:rsidRPr="008148A9" w:rsidRDefault="00951A61" w:rsidP="00A4032F">
            <w:pPr>
              <w:ind w:firstLine="425"/>
              <w:jc w:val="both"/>
              <w:rPr>
                <w:rFonts w:ascii="Tahoma" w:hAnsi="Tahoma" w:cs="Tahoma"/>
                <w:sz w:val="20"/>
                <w:szCs w:val="20"/>
              </w:rPr>
            </w:pPr>
          </w:p>
        </w:tc>
      </w:tr>
      <w:tr w:rsidR="00951A61" w:rsidRPr="00CC155A" w14:paraId="1DC5579A" w14:textId="77777777" w:rsidTr="00A4032F">
        <w:tblPrEx>
          <w:tblLook w:val="00A0" w:firstRow="1" w:lastRow="0" w:firstColumn="1" w:lastColumn="0" w:noHBand="0" w:noVBand="0"/>
        </w:tblPrEx>
        <w:trPr>
          <w:trHeight w:val="176"/>
        </w:trPr>
        <w:tc>
          <w:tcPr>
            <w:tcW w:w="4121" w:type="dxa"/>
            <w:tcBorders>
              <w:top w:val="single" w:sz="4" w:space="0" w:color="auto"/>
              <w:left w:val="single" w:sz="8" w:space="0" w:color="auto"/>
              <w:bottom w:val="single" w:sz="4" w:space="0" w:color="auto"/>
              <w:right w:val="single" w:sz="4" w:space="0" w:color="auto"/>
            </w:tcBorders>
            <w:vAlign w:val="center"/>
          </w:tcPr>
          <w:p w14:paraId="61A0FCE3" w14:textId="77777777" w:rsidR="00951A61" w:rsidRPr="00CC155A" w:rsidRDefault="00951A61" w:rsidP="00A4032F">
            <w:pPr>
              <w:jc w:val="center"/>
              <w:rPr>
                <w:rFonts w:ascii="Tahoma" w:hAnsi="Tahoma" w:cs="Tahoma"/>
                <w:b/>
                <w:sz w:val="20"/>
                <w:szCs w:val="20"/>
              </w:rPr>
            </w:pPr>
            <w:r w:rsidRPr="00CC155A">
              <w:rPr>
                <w:rFonts w:ascii="Tahoma" w:hAnsi="Tahoma" w:cs="Tahoma"/>
                <w:b/>
                <w:sz w:val="20"/>
                <w:szCs w:val="20"/>
              </w:rPr>
              <w:lastRenderedPageBreak/>
              <w:t>Перечень документов, необходимых для рассмотрения заявления о предоставлении ипотечного кредита, в том числе для оценки кредитоспособности Заемщика</w:t>
            </w:r>
          </w:p>
          <w:p w14:paraId="78126D4C" w14:textId="77777777" w:rsidR="00951A61" w:rsidRPr="00CC155A" w:rsidRDefault="00951A61" w:rsidP="00A4032F">
            <w:pPr>
              <w:jc w:val="center"/>
              <w:rPr>
                <w:rFonts w:ascii="Tahoma" w:hAnsi="Tahoma" w:cs="Tahoma"/>
                <w:b/>
                <w:sz w:val="20"/>
                <w:szCs w:val="20"/>
              </w:rPr>
            </w:pPr>
          </w:p>
        </w:tc>
        <w:tc>
          <w:tcPr>
            <w:tcW w:w="11452" w:type="dxa"/>
            <w:tcBorders>
              <w:top w:val="single" w:sz="4" w:space="0" w:color="auto"/>
              <w:left w:val="nil"/>
              <w:bottom w:val="single" w:sz="4" w:space="0" w:color="auto"/>
              <w:right w:val="single" w:sz="8" w:space="0" w:color="000000"/>
            </w:tcBorders>
            <w:noWrap/>
            <w:vAlign w:val="center"/>
          </w:tcPr>
          <w:p w14:paraId="75F7FED5" w14:textId="77777777" w:rsidR="00951A61" w:rsidRPr="004762B0" w:rsidRDefault="00951A61" w:rsidP="00951A61">
            <w:pPr>
              <w:pStyle w:val="affe"/>
              <w:numPr>
                <w:ilvl w:val="0"/>
                <w:numId w:val="28"/>
              </w:numPr>
              <w:ind w:left="0" w:firstLine="425"/>
              <w:contextualSpacing/>
              <w:jc w:val="both"/>
              <w:rPr>
                <w:rFonts w:ascii="Tahoma" w:hAnsi="Tahoma" w:cs="Tahoma"/>
                <w:sz w:val="20"/>
                <w:szCs w:val="20"/>
              </w:rPr>
            </w:pPr>
            <w:r w:rsidRPr="004762B0">
              <w:rPr>
                <w:rFonts w:ascii="Tahoma" w:hAnsi="Tahoma" w:cs="Tahoma"/>
                <w:sz w:val="20"/>
                <w:szCs w:val="20"/>
              </w:rPr>
              <w:t>Согласия заявителя на обработку его персональных данных и на получение Банком кредитного отчета, в т.ч. получение основной части кредитной истории заявителя в любых бюро кредитных историй;</w:t>
            </w:r>
          </w:p>
          <w:p w14:paraId="45F825E4" w14:textId="77777777" w:rsidR="00951A61" w:rsidRPr="004762B0" w:rsidRDefault="00951A61" w:rsidP="00951A61">
            <w:pPr>
              <w:pStyle w:val="affe"/>
              <w:numPr>
                <w:ilvl w:val="0"/>
                <w:numId w:val="28"/>
              </w:numPr>
              <w:ind w:left="0" w:firstLine="425"/>
              <w:contextualSpacing/>
              <w:jc w:val="both"/>
              <w:rPr>
                <w:rFonts w:ascii="Tahoma" w:hAnsi="Tahoma" w:cs="Tahoma"/>
                <w:sz w:val="20"/>
                <w:szCs w:val="20"/>
              </w:rPr>
            </w:pPr>
            <w:r w:rsidRPr="004762B0">
              <w:rPr>
                <w:rFonts w:ascii="Tahoma" w:hAnsi="Tahoma" w:cs="Tahoma"/>
                <w:sz w:val="20"/>
                <w:szCs w:val="20"/>
              </w:rPr>
              <w:t>Паспорт гражданина РФ;</w:t>
            </w:r>
          </w:p>
          <w:p w14:paraId="5BD2870D" w14:textId="77777777" w:rsidR="00951A61" w:rsidRPr="00786DE5" w:rsidRDefault="00951A61" w:rsidP="00951A61">
            <w:pPr>
              <w:pStyle w:val="affe"/>
              <w:numPr>
                <w:ilvl w:val="0"/>
                <w:numId w:val="28"/>
              </w:numPr>
              <w:ind w:left="0" w:firstLine="425"/>
              <w:contextualSpacing/>
              <w:jc w:val="both"/>
              <w:rPr>
                <w:rFonts w:ascii="Tahoma" w:hAnsi="Tahoma" w:cs="Tahoma"/>
                <w:sz w:val="20"/>
                <w:szCs w:val="20"/>
              </w:rPr>
            </w:pPr>
            <w:r w:rsidRPr="004762B0">
              <w:rPr>
                <w:rFonts w:ascii="Tahoma" w:hAnsi="Tahoma" w:cs="Tahoma"/>
                <w:sz w:val="20"/>
                <w:szCs w:val="20"/>
              </w:rPr>
              <w:t xml:space="preserve">Документы, </w:t>
            </w:r>
            <w:r w:rsidRPr="00CC155A">
              <w:rPr>
                <w:rFonts w:ascii="Tahoma" w:hAnsi="Tahoma" w:cs="Tahoma"/>
                <w:sz w:val="20"/>
                <w:szCs w:val="20"/>
              </w:rPr>
              <w:t xml:space="preserve">подтверждающие занятость заемщика (в зависимости от вида деятельности заемщика — копия трудовой книжки/трудового договора, заверенная работодателем (за исключением </w:t>
            </w:r>
            <w:r w:rsidRPr="003D6C0E">
              <w:rPr>
                <w:rFonts w:ascii="Tahoma" w:hAnsi="Tahoma" w:cs="Tahoma"/>
                <w:sz w:val="20"/>
                <w:szCs w:val="20"/>
              </w:rPr>
              <w:t>категории – работники Банка), Сведения о состоянии индивидуального лицевого счета застрахованного лица (форма СЗИ-ИЛС) (далее – Выписка из СФР)</w:t>
            </w:r>
            <w:r w:rsidRPr="00AA6F56">
              <w:rPr>
                <w:rStyle w:val="aff3"/>
                <w:rFonts w:ascii="Tahoma" w:hAnsi="Tahoma"/>
                <w:sz w:val="20"/>
                <w:szCs w:val="20"/>
              </w:rPr>
              <w:footnoteReference w:id="154"/>
            </w:r>
            <w:r w:rsidRPr="003D6C0E">
              <w:rPr>
                <w:rFonts w:ascii="Tahoma" w:hAnsi="Tahoma" w:cs="Tahoma"/>
                <w:sz w:val="20"/>
                <w:szCs w:val="20"/>
              </w:rPr>
              <w:t>, свидетельство/лист записи ЕГРИП о государственной регистрации физического</w:t>
            </w:r>
            <w:r w:rsidRPr="00786DE5">
              <w:rPr>
                <w:rFonts w:ascii="Tahoma" w:hAnsi="Tahoma" w:cs="Tahoma"/>
                <w:sz w:val="20"/>
                <w:szCs w:val="20"/>
              </w:rPr>
              <w:t xml:space="preserve"> в качестве ИП, свидетельство/уведомление о постановке на налоговый учет и др.).</w:t>
            </w:r>
          </w:p>
          <w:p w14:paraId="3693D4CA" w14:textId="77777777" w:rsidR="00951A61" w:rsidRPr="00CC155A" w:rsidRDefault="00951A61" w:rsidP="00951A61">
            <w:pPr>
              <w:pStyle w:val="affe"/>
              <w:numPr>
                <w:ilvl w:val="0"/>
                <w:numId w:val="28"/>
              </w:numPr>
              <w:ind w:left="0" w:firstLine="425"/>
              <w:contextualSpacing/>
              <w:jc w:val="both"/>
              <w:rPr>
                <w:rFonts w:ascii="Tahoma" w:hAnsi="Tahoma" w:cs="Tahoma"/>
                <w:sz w:val="20"/>
                <w:szCs w:val="20"/>
              </w:rPr>
            </w:pPr>
            <w:r w:rsidRPr="00CC155A">
              <w:rPr>
                <w:rFonts w:ascii="Tahoma" w:hAnsi="Tahoma" w:cs="Tahoma"/>
                <w:sz w:val="20"/>
                <w:szCs w:val="20"/>
              </w:rPr>
              <w:t xml:space="preserve">Документы, подтверждающие доход заемщика (в зависимости от вида деятельности заемщика): </w:t>
            </w:r>
          </w:p>
          <w:p w14:paraId="605725C5" w14:textId="77777777" w:rsidR="00951A61" w:rsidRPr="00CC155A" w:rsidRDefault="00951A61" w:rsidP="00951A61">
            <w:pPr>
              <w:pStyle w:val="affe"/>
              <w:numPr>
                <w:ilvl w:val="0"/>
                <w:numId w:val="40"/>
              </w:numPr>
              <w:ind w:left="0" w:firstLine="425"/>
              <w:contextualSpacing/>
              <w:jc w:val="both"/>
              <w:rPr>
                <w:rFonts w:ascii="Tahoma" w:hAnsi="Tahoma" w:cs="Tahoma"/>
                <w:sz w:val="20"/>
                <w:szCs w:val="20"/>
              </w:rPr>
            </w:pPr>
            <w:r w:rsidRPr="00CC155A">
              <w:rPr>
                <w:rFonts w:ascii="Tahoma" w:hAnsi="Tahoma" w:cs="Tahoma"/>
                <w:sz w:val="20"/>
                <w:szCs w:val="20"/>
              </w:rPr>
              <w:t>Справка о доходах и суммах налога физического лица или справка о доходах по форме Банка или справка о доходах (любая справка должна содержать ИНН работодателя)</w:t>
            </w:r>
            <w:r w:rsidRPr="00786DE5">
              <w:rPr>
                <w:rFonts w:ascii="Tahoma" w:hAnsi="Tahoma" w:cs="Tahoma"/>
                <w:sz w:val="20"/>
                <w:szCs w:val="20"/>
              </w:rPr>
              <w:t xml:space="preserve">, заверенная работодателем, содержащая всю информацию, которая предусмотрена справкой о доходах по форме </w:t>
            </w:r>
            <w:r w:rsidRPr="00CC155A">
              <w:rPr>
                <w:rFonts w:ascii="Tahoma" w:hAnsi="Tahoma" w:cs="Tahoma"/>
                <w:sz w:val="20"/>
                <w:szCs w:val="20"/>
              </w:rPr>
              <w:t xml:space="preserve">Банка, копия налоговой декларации по форме 3-НДФЛ; </w:t>
            </w:r>
          </w:p>
          <w:p w14:paraId="0A50CEFC" w14:textId="77777777" w:rsidR="00951A61" w:rsidRPr="00CC155A" w:rsidRDefault="00951A61" w:rsidP="00951A61">
            <w:pPr>
              <w:pStyle w:val="affe"/>
              <w:numPr>
                <w:ilvl w:val="0"/>
                <w:numId w:val="40"/>
              </w:numPr>
              <w:ind w:left="0" w:firstLine="425"/>
              <w:contextualSpacing/>
              <w:jc w:val="both"/>
              <w:rPr>
                <w:rFonts w:ascii="Tahoma" w:hAnsi="Tahoma" w:cs="Tahoma"/>
                <w:color w:val="000000" w:themeColor="text1"/>
                <w:sz w:val="20"/>
                <w:szCs w:val="20"/>
              </w:rPr>
            </w:pPr>
            <w:r w:rsidRPr="00CC155A">
              <w:rPr>
                <w:rFonts w:ascii="Tahoma" w:hAnsi="Tahoma" w:cs="Tahoma"/>
                <w:sz w:val="20"/>
                <w:szCs w:val="20"/>
              </w:rPr>
              <w:t xml:space="preserve">в </w:t>
            </w:r>
            <w:r w:rsidRPr="00CC155A">
              <w:rPr>
                <w:rFonts w:ascii="Tahoma" w:hAnsi="Tahoma" w:cs="Tahoma"/>
                <w:color w:val="000000" w:themeColor="text1"/>
                <w:sz w:val="20"/>
                <w:szCs w:val="20"/>
              </w:rPr>
              <w:t xml:space="preserve">случае, если у Клиента отсутствует возможность оперативного получения справки о заработной плате, размер его заработной платы допускается подтверждать выпиской с зарплатного счета карты Клиента, заверенной печатью подразделения и подписью работника кредитной организации, выдавшего выписку, при этом в выписке обязательно должно быть указано назначение платежа, позволяющее однозначно идентифицировать, что поступления являются заработной платой Клиента; </w:t>
            </w:r>
          </w:p>
          <w:p w14:paraId="592159E9" w14:textId="77777777" w:rsidR="00951A61" w:rsidRPr="00CC155A" w:rsidRDefault="00951A61" w:rsidP="00951A61">
            <w:pPr>
              <w:pStyle w:val="affe"/>
              <w:numPr>
                <w:ilvl w:val="0"/>
                <w:numId w:val="40"/>
              </w:numPr>
              <w:ind w:left="0" w:firstLine="425"/>
              <w:contextualSpacing/>
              <w:jc w:val="both"/>
              <w:rPr>
                <w:rFonts w:ascii="Tahoma" w:hAnsi="Tahoma" w:cs="Tahoma"/>
                <w:sz w:val="20"/>
                <w:szCs w:val="20"/>
              </w:rPr>
            </w:pPr>
            <w:r w:rsidRPr="00CC155A">
              <w:rPr>
                <w:rFonts w:ascii="Tahoma" w:hAnsi="Tahoma" w:cs="Tahoma"/>
                <w:color w:val="000000" w:themeColor="text1"/>
                <w:sz w:val="20"/>
                <w:szCs w:val="20"/>
                <w:lang w:val="en-US"/>
              </w:rPr>
              <w:t>c</w:t>
            </w:r>
            <w:r w:rsidRPr="00CC155A">
              <w:rPr>
                <w:rFonts w:ascii="Tahoma" w:hAnsi="Tahoma" w:cs="Tahoma"/>
                <w:color w:val="000000" w:themeColor="text1"/>
                <w:sz w:val="20"/>
                <w:szCs w:val="20"/>
              </w:rPr>
              <w:t>криншот/выписка из мобильного Банка по зарплатному счету Клиента, который (-ая) должна содержать идентификационные данные Клиента, а также назначение платежа, позволяющее однозначно идентифицировать, что поступления являются заработной платой Клиента, скриншот из мобильного Банка по зарплатному счету Клиента должен быть заверен со стороны Клиента (ФИО, дата, подписи);</w:t>
            </w:r>
            <w:r w:rsidRPr="00CC155A">
              <w:rPr>
                <w:rFonts w:ascii="Tahoma" w:hAnsi="Tahoma" w:cs="Tahoma"/>
                <w:color w:val="000000" w:themeColor="text1"/>
              </w:rPr>
              <w:t xml:space="preserve"> </w:t>
            </w:r>
          </w:p>
          <w:p w14:paraId="6F831A9B" w14:textId="77777777" w:rsidR="00951A61" w:rsidRPr="00786DE5" w:rsidRDefault="00951A61" w:rsidP="00951A61">
            <w:pPr>
              <w:pStyle w:val="affe"/>
              <w:numPr>
                <w:ilvl w:val="0"/>
                <w:numId w:val="40"/>
              </w:numPr>
              <w:ind w:left="0" w:firstLine="425"/>
              <w:contextualSpacing/>
              <w:jc w:val="both"/>
              <w:rPr>
                <w:rFonts w:ascii="Tahoma" w:hAnsi="Tahoma" w:cs="Tahoma"/>
                <w:sz w:val="20"/>
                <w:szCs w:val="20"/>
              </w:rPr>
            </w:pPr>
            <w:r w:rsidRPr="00CC155A">
              <w:rPr>
                <w:rFonts w:ascii="Tahoma" w:hAnsi="Tahoma" w:cs="Tahoma"/>
                <w:color w:val="000000" w:themeColor="text1"/>
                <w:sz w:val="20"/>
                <w:szCs w:val="20"/>
              </w:rPr>
              <w:t>выписка из СФР, сформированная Банком / заверенная клиентом (в случае отсутствия технической возможности сформировать выписку СФР Банком)</w:t>
            </w:r>
            <w:r w:rsidRPr="00CC155A" w:rsidDel="00A47D55">
              <w:rPr>
                <w:rFonts w:ascii="Tahoma" w:hAnsi="Tahoma" w:cs="Tahoma"/>
                <w:color w:val="000000" w:themeColor="text1"/>
                <w:sz w:val="20"/>
                <w:szCs w:val="20"/>
              </w:rPr>
              <w:t>;</w:t>
            </w:r>
          </w:p>
          <w:p w14:paraId="13A099C8" w14:textId="77777777" w:rsidR="00951A61" w:rsidRPr="00CC155A" w:rsidRDefault="00951A61" w:rsidP="00951A61">
            <w:pPr>
              <w:pStyle w:val="affe"/>
              <w:numPr>
                <w:ilvl w:val="0"/>
                <w:numId w:val="28"/>
              </w:numPr>
              <w:ind w:left="0" w:firstLine="425"/>
              <w:contextualSpacing/>
              <w:jc w:val="both"/>
              <w:rPr>
                <w:rFonts w:ascii="Tahoma" w:hAnsi="Tahoma" w:cs="Tahoma"/>
                <w:sz w:val="20"/>
                <w:szCs w:val="20"/>
              </w:rPr>
            </w:pPr>
            <w:r w:rsidRPr="00786DE5">
              <w:rPr>
                <w:rFonts w:ascii="Tahoma" w:hAnsi="Tahoma" w:cs="Tahoma"/>
                <w:sz w:val="20"/>
                <w:szCs w:val="20"/>
              </w:rPr>
              <w:t>Военный</w:t>
            </w:r>
            <w:r w:rsidRPr="00CC155A">
              <w:rPr>
                <w:rFonts w:ascii="Tahoma" w:hAnsi="Tahoma" w:cs="Tahoma"/>
                <w:sz w:val="20"/>
                <w:szCs w:val="20"/>
              </w:rPr>
              <w:t xml:space="preserve"> </w:t>
            </w:r>
            <w:r w:rsidRPr="00CA29BA">
              <w:rPr>
                <w:rFonts w:ascii="Tahoma" w:hAnsi="Tahoma" w:cs="Tahoma"/>
                <w:sz w:val="20"/>
                <w:szCs w:val="20"/>
              </w:rPr>
              <w:t>билет (</w:t>
            </w:r>
            <w:r w:rsidRPr="004A4396">
              <w:rPr>
                <w:rFonts w:ascii="Tahoma" w:hAnsi="Tahoma" w:cs="Tahoma"/>
                <w:sz w:val="20"/>
                <w:szCs w:val="20"/>
              </w:rPr>
              <w:t>может быть запрошен при необходимости</w:t>
            </w:r>
            <w:r w:rsidRPr="00CA29BA">
              <w:rPr>
                <w:rFonts w:ascii="Tahoma" w:hAnsi="Tahoma" w:cs="Tahoma"/>
                <w:sz w:val="20"/>
                <w:szCs w:val="20"/>
              </w:rPr>
              <w:t>);</w:t>
            </w:r>
          </w:p>
          <w:p w14:paraId="13384FAC" w14:textId="77777777" w:rsidR="00951A61" w:rsidRPr="00CC155A" w:rsidRDefault="00951A61" w:rsidP="00951A61">
            <w:pPr>
              <w:pStyle w:val="affe"/>
              <w:numPr>
                <w:ilvl w:val="0"/>
                <w:numId w:val="28"/>
              </w:numPr>
              <w:ind w:left="0" w:firstLine="425"/>
              <w:contextualSpacing/>
              <w:jc w:val="both"/>
              <w:rPr>
                <w:rFonts w:ascii="Tahoma" w:hAnsi="Tahoma" w:cs="Tahoma"/>
                <w:sz w:val="20"/>
                <w:szCs w:val="20"/>
              </w:rPr>
            </w:pPr>
            <w:r w:rsidRPr="00CC155A">
              <w:rPr>
                <w:rFonts w:ascii="Tahoma" w:hAnsi="Tahoma" w:cs="Tahoma"/>
                <w:sz w:val="20"/>
                <w:szCs w:val="20"/>
              </w:rPr>
              <w:t>Заёмщиком</w:t>
            </w:r>
            <w:r w:rsidRPr="003D6C0E">
              <w:rPr>
                <w:rFonts w:ascii="Tahoma" w:hAnsi="Tahoma" w:cs="Tahoma"/>
                <w:sz w:val="20"/>
                <w:szCs w:val="20"/>
              </w:rPr>
              <w:t>-ИП/физическим лицом, занимающимся в установленном законодательством Российской Федерации порядке частной практикой, дополнительно</w:t>
            </w:r>
            <w:r w:rsidRPr="00CC155A">
              <w:rPr>
                <w:rFonts w:ascii="Tahoma" w:hAnsi="Tahoma" w:cs="Tahoma"/>
                <w:sz w:val="20"/>
                <w:szCs w:val="20"/>
              </w:rPr>
              <w:t xml:space="preserve"> предоставляются следующие документы:</w:t>
            </w:r>
          </w:p>
          <w:p w14:paraId="72552DEE" w14:textId="77777777" w:rsidR="00951A61" w:rsidRPr="00CC155A" w:rsidRDefault="00951A61" w:rsidP="00951A61">
            <w:pPr>
              <w:pStyle w:val="affe"/>
              <w:numPr>
                <w:ilvl w:val="1"/>
                <w:numId w:val="28"/>
              </w:numPr>
              <w:ind w:left="0" w:firstLine="425"/>
              <w:contextualSpacing/>
              <w:jc w:val="both"/>
              <w:rPr>
                <w:rFonts w:ascii="Tahoma" w:hAnsi="Tahoma" w:cs="Tahoma"/>
                <w:sz w:val="20"/>
                <w:szCs w:val="20"/>
              </w:rPr>
            </w:pPr>
            <w:r w:rsidRPr="00CC155A">
              <w:rPr>
                <w:rFonts w:ascii="Tahoma" w:hAnsi="Tahoma" w:cs="Tahoma"/>
                <w:sz w:val="20"/>
                <w:szCs w:val="20"/>
              </w:rPr>
              <w:lastRenderedPageBreak/>
              <w:t>свидетельство о постановке на учет в качестве ИП/ лицензия на осуществление нотариальной деятельности для частных нотариусов/ удостоверение адвоката для адвокатов, учредивших адвокатский кабинет;</w:t>
            </w:r>
          </w:p>
          <w:p w14:paraId="48D0095C" w14:textId="77777777" w:rsidR="00951A61" w:rsidRPr="00786DE5" w:rsidRDefault="00951A61" w:rsidP="00951A61">
            <w:pPr>
              <w:pStyle w:val="affe"/>
              <w:numPr>
                <w:ilvl w:val="1"/>
                <w:numId w:val="28"/>
              </w:numPr>
              <w:ind w:left="0" w:firstLine="425"/>
              <w:contextualSpacing/>
              <w:jc w:val="both"/>
              <w:rPr>
                <w:rFonts w:ascii="Tahoma" w:hAnsi="Tahoma" w:cs="Tahoma"/>
                <w:sz w:val="20"/>
                <w:szCs w:val="20"/>
              </w:rPr>
            </w:pPr>
            <w:r w:rsidRPr="00CC155A">
              <w:rPr>
                <w:rFonts w:ascii="Tahoma" w:hAnsi="Tahoma" w:cs="Tahoma"/>
                <w:sz w:val="20"/>
                <w:szCs w:val="20"/>
              </w:rPr>
              <w:t>налоговая декларация/документ, подтверждающий расчет и оплату налога на доходы физических лиц с отметками налогового органа о получении, либо патент</w:t>
            </w:r>
            <w:r w:rsidRPr="00786DE5">
              <w:rPr>
                <w:rFonts w:ascii="Tahoma" w:hAnsi="Tahoma" w:cs="Tahoma"/>
                <w:sz w:val="20"/>
                <w:szCs w:val="20"/>
              </w:rPr>
              <w:t>;</w:t>
            </w:r>
          </w:p>
          <w:p w14:paraId="7003D8AC" w14:textId="77777777" w:rsidR="00951A61" w:rsidRPr="00CC155A" w:rsidRDefault="00951A61" w:rsidP="00951A61">
            <w:pPr>
              <w:pStyle w:val="affe"/>
              <w:numPr>
                <w:ilvl w:val="1"/>
                <w:numId w:val="28"/>
              </w:numPr>
              <w:ind w:left="0" w:firstLine="425"/>
              <w:contextualSpacing/>
              <w:jc w:val="both"/>
              <w:rPr>
                <w:rFonts w:ascii="Tahoma" w:hAnsi="Tahoma" w:cs="Tahoma"/>
                <w:sz w:val="20"/>
                <w:szCs w:val="20"/>
              </w:rPr>
            </w:pPr>
            <w:r w:rsidRPr="00054740">
              <w:rPr>
                <w:rFonts w:ascii="Tahoma" w:hAnsi="Tahoma" w:cs="Tahoma"/>
                <w:sz w:val="20"/>
                <w:szCs w:val="20"/>
                <w:highlight w:val="lightGray"/>
              </w:rPr>
              <w:t>выписка по счетам Заемщика в формате txt</w:t>
            </w:r>
            <w:r>
              <w:rPr>
                <w:rStyle w:val="aff3"/>
                <w:rFonts w:ascii="Tahoma" w:hAnsi="Tahoma" w:cs="Tahoma"/>
                <w:sz w:val="20"/>
                <w:szCs w:val="20"/>
                <w:highlight w:val="lightGray"/>
              </w:rPr>
              <w:footnoteReference w:id="155"/>
            </w:r>
            <w:r w:rsidRPr="00054740">
              <w:rPr>
                <w:rFonts w:ascii="Tahoma" w:hAnsi="Tahoma" w:cs="Tahoma"/>
                <w:sz w:val="20"/>
                <w:szCs w:val="20"/>
                <w:highlight w:val="lightGray"/>
              </w:rPr>
              <w:t>/</w:t>
            </w:r>
            <w:r>
              <w:rPr>
                <w:rFonts w:ascii="Tahoma" w:hAnsi="Tahoma" w:cs="Tahoma"/>
                <w:sz w:val="20"/>
                <w:szCs w:val="20"/>
              </w:rPr>
              <w:t xml:space="preserve"> </w:t>
            </w:r>
            <w:r w:rsidRPr="00786DE5">
              <w:rPr>
                <w:rFonts w:ascii="Tahoma" w:hAnsi="Tahoma" w:cs="Tahoma"/>
                <w:sz w:val="20"/>
                <w:szCs w:val="20"/>
              </w:rPr>
              <w:t xml:space="preserve">квитанции по уплате авансовых платежей/ выписки по счету с указанием уплаты авансовых платежей, уплате единого налога, либо квитанции об уплате стоимости патента в зависимости от системы налогообложения/ квитанции об уплате отчислений в </w:t>
            </w:r>
            <w:r w:rsidRPr="00CC155A">
              <w:rPr>
                <w:rFonts w:ascii="Tahoma" w:hAnsi="Tahoma" w:cs="Tahoma"/>
                <w:sz w:val="20"/>
                <w:szCs w:val="20"/>
              </w:rPr>
              <w:t>Социальный фонд РФ и Федеральный фонд обязательного медицинского страхования/иные документы, подтверждающие эти отчисления (для предпринимателей, не производящих выплаты, и иные вознаграждения физическим лицам, величина налога на вмененный доход которых равна нулю);</w:t>
            </w:r>
          </w:p>
          <w:p w14:paraId="5E9C3EE9" w14:textId="77777777" w:rsidR="00951A61" w:rsidRPr="00CC155A" w:rsidRDefault="00951A61" w:rsidP="00951A61">
            <w:pPr>
              <w:pStyle w:val="affe"/>
              <w:numPr>
                <w:ilvl w:val="1"/>
                <w:numId w:val="28"/>
              </w:numPr>
              <w:ind w:left="0" w:firstLine="425"/>
              <w:contextualSpacing/>
              <w:jc w:val="both"/>
              <w:rPr>
                <w:rFonts w:ascii="Tahoma" w:hAnsi="Tahoma" w:cs="Tahoma"/>
                <w:sz w:val="20"/>
                <w:szCs w:val="20"/>
              </w:rPr>
            </w:pPr>
            <w:r w:rsidRPr="00CC155A">
              <w:rPr>
                <w:rFonts w:ascii="Tahoma" w:hAnsi="Tahoma" w:cs="Tahoma"/>
                <w:sz w:val="20"/>
                <w:szCs w:val="20"/>
              </w:rPr>
              <w:t>при необходимости, документы, которые требуются от ИП для анализа его финансово-хозяйственной деятельности по стандартам и с учетом требований нормативных документов Банка.</w:t>
            </w:r>
          </w:p>
          <w:p w14:paraId="2B26575F" w14:textId="77777777" w:rsidR="00951A61" w:rsidRPr="00CC155A" w:rsidRDefault="00951A61" w:rsidP="00951A61">
            <w:pPr>
              <w:pStyle w:val="affe"/>
              <w:numPr>
                <w:ilvl w:val="1"/>
                <w:numId w:val="28"/>
              </w:numPr>
              <w:ind w:left="0" w:firstLine="425"/>
              <w:contextualSpacing/>
              <w:jc w:val="both"/>
              <w:rPr>
                <w:rFonts w:ascii="Tahoma" w:hAnsi="Tahoma" w:cs="Tahoma"/>
                <w:sz w:val="20"/>
                <w:szCs w:val="20"/>
              </w:rPr>
            </w:pPr>
            <w:r w:rsidRPr="00CC155A">
              <w:rPr>
                <w:rFonts w:ascii="Tahoma" w:hAnsi="Tahoma" w:cs="Tahoma"/>
                <w:sz w:val="20"/>
                <w:szCs w:val="20"/>
              </w:rPr>
              <w:t xml:space="preserve">Для самозанятых граждан: </w:t>
            </w:r>
          </w:p>
          <w:p w14:paraId="78F2B279" w14:textId="77777777" w:rsidR="00951A61" w:rsidRPr="00CC155A" w:rsidRDefault="00951A61" w:rsidP="00951A61">
            <w:pPr>
              <w:pStyle w:val="affe"/>
              <w:numPr>
                <w:ilvl w:val="0"/>
                <w:numId w:val="67"/>
              </w:numPr>
              <w:ind w:left="0" w:firstLine="425"/>
              <w:contextualSpacing/>
              <w:jc w:val="both"/>
              <w:rPr>
                <w:rFonts w:ascii="Tahoma" w:hAnsi="Tahoma" w:cs="Tahoma"/>
                <w:sz w:val="20"/>
                <w:szCs w:val="20"/>
              </w:rPr>
            </w:pPr>
            <w:r w:rsidRPr="00CC155A">
              <w:rPr>
                <w:rFonts w:ascii="Tahoma" w:hAnsi="Tahoma" w:cs="Tahoma"/>
                <w:sz w:val="20"/>
                <w:szCs w:val="20"/>
              </w:rPr>
              <w:t>справка о постановке на учет самозанятого. Документ может быть сформирован в специализированном мобильном приложении или в веб-кабинете «Мой налог» на официальном сайте ФНС РФ. При корректном формировании электронная справка подписывается электронной подписью ФНС РФ. Данный документ необходимо распечатать и заверить подписью Заемщика;</w:t>
            </w:r>
          </w:p>
          <w:p w14:paraId="11B5B96E" w14:textId="77777777" w:rsidR="00951A61" w:rsidRPr="00CC155A" w:rsidRDefault="00951A61" w:rsidP="00951A61">
            <w:pPr>
              <w:pStyle w:val="affe"/>
              <w:numPr>
                <w:ilvl w:val="0"/>
                <w:numId w:val="67"/>
              </w:numPr>
              <w:ind w:left="0" w:firstLine="425"/>
              <w:contextualSpacing/>
              <w:jc w:val="both"/>
              <w:rPr>
                <w:rFonts w:ascii="Tahoma" w:hAnsi="Tahoma" w:cs="Tahoma"/>
                <w:sz w:val="20"/>
                <w:szCs w:val="20"/>
              </w:rPr>
            </w:pPr>
            <w:r w:rsidRPr="00CC155A">
              <w:rPr>
                <w:rFonts w:ascii="Tahoma" w:hAnsi="Tahoma" w:cs="Tahoma"/>
                <w:sz w:val="20"/>
                <w:szCs w:val="20"/>
              </w:rPr>
              <w:t>справка о состоянии расчетов (доходах) по налогу на профессиональный доход для самозанятых (копия, заверенная заемщиком) или оригинал;</w:t>
            </w:r>
          </w:p>
          <w:p w14:paraId="039772FA" w14:textId="77777777" w:rsidR="00951A61" w:rsidRPr="00786DE5" w:rsidRDefault="00951A61" w:rsidP="00951A61">
            <w:pPr>
              <w:pStyle w:val="affe"/>
              <w:numPr>
                <w:ilvl w:val="0"/>
                <w:numId w:val="40"/>
              </w:numPr>
              <w:ind w:left="0" w:firstLine="425"/>
              <w:contextualSpacing/>
              <w:jc w:val="both"/>
              <w:rPr>
                <w:rFonts w:ascii="Tahoma" w:hAnsi="Tahoma" w:cs="Tahoma"/>
                <w:sz w:val="20"/>
                <w:szCs w:val="20"/>
              </w:rPr>
            </w:pPr>
            <w:r w:rsidRPr="00CC155A">
              <w:rPr>
                <w:rFonts w:ascii="Tahoma" w:hAnsi="Tahoma" w:cs="Tahoma"/>
                <w:sz w:val="20"/>
                <w:szCs w:val="20"/>
              </w:rPr>
              <w:t>Выписка по банковскому счету Заемщика (оригинал). На дату принятия предварительного решения о выдаче Ипотечного кредита по Заемщику(ам) срок действия должен составлять не более 30 календарных дней (является не обязательным документом и предоставляется дополнительно по запросу андеррайтера (в случае необходимости))</w:t>
            </w:r>
            <w:r w:rsidRPr="00786DE5">
              <w:rPr>
                <w:rFonts w:ascii="Tahoma" w:hAnsi="Tahoma" w:cs="Tahoma"/>
                <w:sz w:val="20"/>
                <w:szCs w:val="20"/>
              </w:rPr>
              <w:t>.</w:t>
            </w:r>
          </w:p>
          <w:p w14:paraId="64229545" w14:textId="77777777" w:rsidR="00951A61" w:rsidRPr="00CC155A" w:rsidRDefault="00951A61" w:rsidP="00951A61">
            <w:pPr>
              <w:pStyle w:val="affe"/>
              <w:numPr>
                <w:ilvl w:val="1"/>
                <w:numId w:val="28"/>
              </w:numPr>
              <w:ind w:left="0" w:firstLine="425"/>
              <w:contextualSpacing/>
              <w:jc w:val="both"/>
              <w:rPr>
                <w:rFonts w:ascii="Tahoma" w:hAnsi="Tahoma" w:cs="Tahoma"/>
                <w:sz w:val="20"/>
                <w:szCs w:val="20"/>
              </w:rPr>
            </w:pPr>
            <w:r w:rsidRPr="00786DE5">
              <w:rPr>
                <w:rFonts w:ascii="Tahoma" w:hAnsi="Tahoma" w:cs="Tahoma"/>
                <w:sz w:val="20"/>
                <w:szCs w:val="20"/>
              </w:rPr>
              <w:t>При необходимости Банком могут быть запро</w:t>
            </w:r>
            <w:r w:rsidRPr="00CC155A">
              <w:rPr>
                <w:rFonts w:ascii="Tahoma" w:hAnsi="Tahoma" w:cs="Tahoma"/>
                <w:sz w:val="20"/>
                <w:szCs w:val="20"/>
              </w:rPr>
              <w:t>шены иные документы.</w:t>
            </w:r>
          </w:p>
        </w:tc>
      </w:tr>
      <w:tr w:rsidR="00951A61" w:rsidRPr="00CC155A" w14:paraId="5E587382" w14:textId="77777777" w:rsidTr="00A4032F">
        <w:tblPrEx>
          <w:tblLook w:val="00A0" w:firstRow="1" w:lastRow="0" w:firstColumn="1" w:lastColumn="0" w:noHBand="0" w:noVBand="0"/>
        </w:tblPrEx>
        <w:trPr>
          <w:trHeight w:val="1648"/>
        </w:trPr>
        <w:tc>
          <w:tcPr>
            <w:tcW w:w="4121" w:type="dxa"/>
            <w:tcBorders>
              <w:top w:val="single" w:sz="4" w:space="0" w:color="auto"/>
              <w:left w:val="single" w:sz="8" w:space="0" w:color="auto"/>
              <w:bottom w:val="single" w:sz="4" w:space="0" w:color="auto"/>
              <w:right w:val="single" w:sz="4" w:space="0" w:color="auto"/>
            </w:tcBorders>
            <w:vAlign w:val="center"/>
          </w:tcPr>
          <w:p w14:paraId="36BE7920" w14:textId="77777777" w:rsidR="00951A61" w:rsidRPr="00CC155A" w:rsidRDefault="00951A61" w:rsidP="00A4032F">
            <w:pPr>
              <w:jc w:val="center"/>
              <w:rPr>
                <w:rFonts w:ascii="Tahoma" w:hAnsi="Tahoma" w:cs="Tahoma"/>
                <w:b/>
                <w:sz w:val="20"/>
                <w:szCs w:val="20"/>
              </w:rPr>
            </w:pPr>
            <w:r w:rsidRPr="00CC155A">
              <w:rPr>
                <w:rFonts w:ascii="Tahoma" w:hAnsi="Tahoma" w:cs="Tahoma"/>
                <w:b/>
                <w:sz w:val="20"/>
                <w:szCs w:val="20"/>
              </w:rPr>
              <w:lastRenderedPageBreak/>
              <w:t>Перечень документов по объекту недвижимости, передаваемому в залог Банку</w:t>
            </w:r>
          </w:p>
        </w:tc>
        <w:tc>
          <w:tcPr>
            <w:tcW w:w="11452" w:type="dxa"/>
            <w:tcBorders>
              <w:top w:val="single" w:sz="4" w:space="0" w:color="auto"/>
              <w:left w:val="nil"/>
              <w:bottom w:val="single" w:sz="4" w:space="0" w:color="auto"/>
              <w:right w:val="single" w:sz="8" w:space="0" w:color="000000"/>
            </w:tcBorders>
            <w:noWrap/>
            <w:vAlign w:val="center"/>
          </w:tcPr>
          <w:p w14:paraId="443993B8" w14:textId="77777777" w:rsidR="00951A61" w:rsidRPr="00786DE5" w:rsidRDefault="00951A61" w:rsidP="00951A61">
            <w:pPr>
              <w:pStyle w:val="affe"/>
              <w:numPr>
                <w:ilvl w:val="0"/>
                <w:numId w:val="57"/>
              </w:numPr>
              <w:ind w:left="0" w:firstLine="425"/>
              <w:contextualSpacing/>
              <w:jc w:val="both"/>
              <w:rPr>
                <w:rFonts w:ascii="Tahoma" w:hAnsi="Tahoma" w:cs="Tahoma"/>
                <w:sz w:val="20"/>
                <w:szCs w:val="20"/>
              </w:rPr>
            </w:pPr>
            <w:r w:rsidRPr="00CC155A">
              <w:rPr>
                <w:rFonts w:ascii="Tahoma" w:hAnsi="Tahoma" w:cs="Tahoma"/>
                <w:sz w:val="20"/>
                <w:szCs w:val="20"/>
              </w:rPr>
              <w:t xml:space="preserve">Отчет об оценке </w:t>
            </w:r>
            <w:r>
              <w:rPr>
                <w:rFonts w:ascii="Tahoma" w:hAnsi="Tahoma" w:cs="Tahoma"/>
                <w:sz w:val="20"/>
                <w:szCs w:val="20"/>
              </w:rPr>
              <w:t>П</w:t>
            </w:r>
            <w:r w:rsidRPr="00CC155A">
              <w:rPr>
                <w:rFonts w:ascii="Tahoma" w:hAnsi="Tahoma" w:cs="Tahoma"/>
                <w:sz w:val="20"/>
                <w:szCs w:val="20"/>
              </w:rPr>
              <w:t>редмета ипотеки</w:t>
            </w:r>
            <w:r w:rsidRPr="00786DE5">
              <w:rPr>
                <w:rStyle w:val="aff3"/>
                <w:rFonts w:ascii="Tahoma" w:hAnsi="Tahoma" w:cs="Tahoma"/>
                <w:sz w:val="20"/>
                <w:szCs w:val="20"/>
              </w:rPr>
              <w:footnoteReference w:id="156"/>
            </w:r>
            <w:r w:rsidRPr="00786DE5">
              <w:rPr>
                <w:rFonts w:ascii="Tahoma" w:hAnsi="Tahoma" w:cs="Tahoma"/>
                <w:sz w:val="20"/>
                <w:szCs w:val="20"/>
              </w:rPr>
              <w:t>;</w:t>
            </w:r>
          </w:p>
          <w:p w14:paraId="6FE4E48A" w14:textId="77777777" w:rsidR="00951A61" w:rsidRPr="00CC155A" w:rsidRDefault="00951A61" w:rsidP="00951A61">
            <w:pPr>
              <w:pStyle w:val="affe"/>
              <w:numPr>
                <w:ilvl w:val="0"/>
                <w:numId w:val="57"/>
              </w:numPr>
              <w:ind w:left="0" w:firstLine="425"/>
              <w:contextualSpacing/>
              <w:jc w:val="both"/>
              <w:rPr>
                <w:rFonts w:ascii="Tahoma" w:hAnsi="Tahoma" w:cs="Tahoma"/>
                <w:sz w:val="20"/>
                <w:szCs w:val="20"/>
              </w:rPr>
            </w:pPr>
            <w:r w:rsidRPr="00786DE5">
              <w:rPr>
                <w:rFonts w:ascii="Tahoma" w:hAnsi="Tahoma" w:cs="Tahoma"/>
                <w:sz w:val="20"/>
                <w:szCs w:val="20"/>
              </w:rPr>
              <w:t>П</w:t>
            </w:r>
            <w:r w:rsidRPr="00CC155A">
              <w:rPr>
                <w:rFonts w:ascii="Tahoma" w:hAnsi="Tahoma" w:cs="Tahoma"/>
                <w:sz w:val="20"/>
                <w:szCs w:val="20"/>
              </w:rPr>
              <w:t>равоустанавливающие и правоподтверждающие документы на объект недвижимости (договор приобретения (договор купли-продажи/договор долевого участия/договор уступки), свидетельство о государственной регистрации права собственности на недвижимость (при наличии), выписка из ЕГРН);</w:t>
            </w:r>
          </w:p>
          <w:p w14:paraId="3B207526" w14:textId="77777777" w:rsidR="00951A61" w:rsidRPr="00CC155A" w:rsidRDefault="00951A61" w:rsidP="00951A61">
            <w:pPr>
              <w:pStyle w:val="affe"/>
              <w:numPr>
                <w:ilvl w:val="0"/>
                <w:numId w:val="57"/>
              </w:numPr>
              <w:ind w:left="0" w:firstLine="425"/>
              <w:contextualSpacing/>
              <w:jc w:val="both"/>
              <w:rPr>
                <w:rFonts w:ascii="Tahoma" w:hAnsi="Tahoma" w:cs="Tahoma"/>
                <w:sz w:val="20"/>
                <w:szCs w:val="20"/>
              </w:rPr>
            </w:pPr>
            <w:r w:rsidRPr="00CC155A">
              <w:rPr>
                <w:rFonts w:ascii="Tahoma" w:hAnsi="Tahoma" w:cs="Tahoma"/>
                <w:sz w:val="20"/>
                <w:szCs w:val="20"/>
              </w:rPr>
              <w:t>Кадастровый или технический паспорт/план (техническая документация);</w:t>
            </w:r>
          </w:p>
          <w:p w14:paraId="673B05C0" w14:textId="77777777" w:rsidR="00951A61" w:rsidRPr="00CC155A" w:rsidRDefault="00951A61" w:rsidP="00951A61">
            <w:pPr>
              <w:pStyle w:val="affe"/>
              <w:numPr>
                <w:ilvl w:val="0"/>
                <w:numId w:val="57"/>
              </w:numPr>
              <w:ind w:left="0" w:firstLine="425"/>
              <w:contextualSpacing/>
              <w:jc w:val="both"/>
              <w:rPr>
                <w:rFonts w:ascii="Tahoma" w:hAnsi="Tahoma" w:cs="Tahoma"/>
                <w:sz w:val="20"/>
                <w:szCs w:val="20"/>
              </w:rPr>
            </w:pPr>
            <w:r w:rsidRPr="00CC155A">
              <w:rPr>
                <w:rFonts w:ascii="Tahoma" w:hAnsi="Tahoma" w:cs="Tahoma"/>
                <w:sz w:val="20"/>
                <w:szCs w:val="20"/>
              </w:rPr>
              <w:t xml:space="preserve">При необходимости Банком могут быть запрошены иные документы. </w:t>
            </w:r>
          </w:p>
        </w:tc>
      </w:tr>
      <w:tr w:rsidR="00951A61" w:rsidRPr="00CC155A" w14:paraId="72025939" w14:textId="77777777" w:rsidTr="00A4032F">
        <w:tblPrEx>
          <w:tblLook w:val="00A0" w:firstRow="1" w:lastRow="0" w:firstColumn="1" w:lastColumn="0" w:noHBand="0" w:noVBand="0"/>
        </w:tblPrEx>
        <w:trPr>
          <w:trHeight w:val="1648"/>
        </w:trPr>
        <w:tc>
          <w:tcPr>
            <w:tcW w:w="4121" w:type="dxa"/>
            <w:tcBorders>
              <w:top w:val="single" w:sz="4" w:space="0" w:color="auto"/>
              <w:left w:val="single" w:sz="8" w:space="0" w:color="auto"/>
              <w:bottom w:val="single" w:sz="4" w:space="0" w:color="auto"/>
              <w:right w:val="single" w:sz="4" w:space="0" w:color="auto"/>
            </w:tcBorders>
            <w:vAlign w:val="center"/>
          </w:tcPr>
          <w:p w14:paraId="02543D7D" w14:textId="77777777" w:rsidR="00951A61" w:rsidRPr="00786DE5" w:rsidRDefault="00951A61" w:rsidP="00A4032F">
            <w:pPr>
              <w:jc w:val="center"/>
              <w:rPr>
                <w:rFonts w:ascii="Tahoma" w:hAnsi="Tahoma" w:cs="Tahoma"/>
                <w:b/>
                <w:sz w:val="20"/>
                <w:szCs w:val="20"/>
              </w:rPr>
            </w:pPr>
            <w:r w:rsidRPr="00CC155A">
              <w:rPr>
                <w:rFonts w:ascii="Tahoma" w:hAnsi="Tahoma" w:cs="Tahoma"/>
                <w:b/>
                <w:sz w:val="20"/>
                <w:szCs w:val="20"/>
              </w:rPr>
              <w:t>Дополнительные требования к документам и к проведению расчетов по сделке</w:t>
            </w:r>
          </w:p>
        </w:tc>
        <w:tc>
          <w:tcPr>
            <w:tcW w:w="11452" w:type="dxa"/>
            <w:tcBorders>
              <w:top w:val="single" w:sz="4" w:space="0" w:color="auto"/>
              <w:left w:val="nil"/>
              <w:bottom w:val="single" w:sz="4" w:space="0" w:color="auto"/>
              <w:right w:val="single" w:sz="8" w:space="0" w:color="000000"/>
            </w:tcBorders>
            <w:noWrap/>
            <w:vAlign w:val="center"/>
          </w:tcPr>
          <w:p w14:paraId="74C7902A" w14:textId="77777777" w:rsidR="00951A61" w:rsidRPr="00CC155A" w:rsidRDefault="00951A61" w:rsidP="00951A61">
            <w:pPr>
              <w:pStyle w:val="FooterEven"/>
              <w:numPr>
                <w:ilvl w:val="0"/>
                <w:numId w:val="66"/>
              </w:numPr>
              <w:tabs>
                <w:tab w:val="clear" w:pos="4320"/>
                <w:tab w:val="right" w:pos="0"/>
                <w:tab w:val="left" w:pos="97"/>
                <w:tab w:val="center" w:pos="688"/>
              </w:tabs>
              <w:ind w:left="0" w:firstLine="425"/>
              <w:jc w:val="both"/>
              <w:rPr>
                <w:rFonts w:ascii="Tahoma" w:eastAsia="Times New Roman" w:hAnsi="Tahoma" w:cs="Tahoma"/>
                <w:bCs/>
                <w:kern w:val="32"/>
                <w:sz w:val="20"/>
                <w:lang w:eastAsia="en-US"/>
              </w:rPr>
            </w:pPr>
            <w:r w:rsidRPr="00CC155A">
              <w:rPr>
                <w:rFonts w:ascii="Tahoma" w:hAnsi="Tahoma" w:cs="Tahoma"/>
                <w:sz w:val="20"/>
              </w:rPr>
              <w:t>В случае предоставления Кредита в том числе на цели «полное досрочное погашение ипотечного кредита и/или рефинансирование потребительских кредитов» до подписания кредитно-обеспечительной документации по сделке в Банк должен быть дополнительно предоставлен следующий документ:</w:t>
            </w:r>
            <w:r w:rsidRPr="00CC155A">
              <w:rPr>
                <w:rFonts w:ascii="Tahoma" w:eastAsia="Times New Roman" w:hAnsi="Tahoma" w:cs="Tahoma"/>
                <w:bCs/>
                <w:kern w:val="32"/>
                <w:sz w:val="20"/>
                <w:lang w:eastAsia="en-US"/>
              </w:rPr>
              <w:t xml:space="preserve"> </w:t>
            </w:r>
          </w:p>
          <w:p w14:paraId="26F29E76" w14:textId="77777777" w:rsidR="00951A61" w:rsidRPr="00CC155A" w:rsidRDefault="00951A61" w:rsidP="00951A61">
            <w:pPr>
              <w:pStyle w:val="FooterEven"/>
              <w:numPr>
                <w:ilvl w:val="1"/>
                <w:numId w:val="66"/>
              </w:numPr>
              <w:tabs>
                <w:tab w:val="clear" w:pos="4320"/>
                <w:tab w:val="clear" w:pos="8640"/>
                <w:tab w:val="left" w:pos="341"/>
                <w:tab w:val="center" w:pos="546"/>
              </w:tabs>
              <w:ind w:left="0" w:firstLine="425"/>
              <w:jc w:val="both"/>
              <w:rPr>
                <w:rFonts w:ascii="Tahoma" w:hAnsi="Tahoma" w:cs="Tahoma"/>
                <w:b w:val="0"/>
                <w:sz w:val="20"/>
              </w:rPr>
            </w:pPr>
            <w:r w:rsidRPr="00CC155A">
              <w:rPr>
                <w:rFonts w:ascii="Tahoma" w:hAnsi="Tahoma" w:cs="Tahoma"/>
                <w:b w:val="0"/>
                <w:sz w:val="20"/>
              </w:rPr>
              <w:t xml:space="preserve">Нотариально удостоверенная доверенность от Заемщика на имя </w:t>
            </w:r>
            <w:r>
              <w:rPr>
                <w:rFonts w:ascii="Tahoma" w:hAnsi="Tahoma" w:cs="Tahoma"/>
                <w:b w:val="0"/>
                <w:sz w:val="20"/>
              </w:rPr>
              <w:t>работник</w:t>
            </w:r>
            <w:r w:rsidRPr="00CC155A">
              <w:rPr>
                <w:rFonts w:ascii="Tahoma" w:hAnsi="Tahoma" w:cs="Tahoma"/>
                <w:b w:val="0"/>
                <w:sz w:val="20"/>
              </w:rPr>
              <w:t xml:space="preserve">а Банка, содержащая полномочия на осуществление действий по полному досрочному погашению задолженности Заемщика по ипотечному кредиту и/или рефинансируемым потребительским кредитам, на осуществление регистрационных действий, в том числе </w:t>
            </w:r>
            <w:r w:rsidRPr="00CC155A">
              <w:rPr>
                <w:rFonts w:ascii="Tahoma" w:hAnsi="Tahoma" w:cs="Tahoma"/>
                <w:b w:val="0"/>
                <w:sz w:val="20"/>
              </w:rPr>
              <w:lastRenderedPageBreak/>
              <w:t>регистрация залога в пользу Банка</w:t>
            </w:r>
            <w:r w:rsidRPr="00CC155A">
              <w:rPr>
                <w:rStyle w:val="aff3"/>
                <w:rFonts w:ascii="Tahoma" w:hAnsi="Tahoma"/>
                <w:b w:val="0"/>
                <w:sz w:val="20"/>
              </w:rPr>
              <w:footnoteReference w:id="157"/>
            </w:r>
            <w:r w:rsidRPr="00CC155A">
              <w:rPr>
                <w:rFonts w:ascii="Tahoma" w:hAnsi="Tahoma" w:cs="Tahoma"/>
                <w:b w:val="0"/>
                <w:sz w:val="20"/>
              </w:rPr>
              <w:t xml:space="preserve"> (дополнительные требования к оформляемой доверенности указаны в Приложение №2 к </w:t>
            </w:r>
            <w:r>
              <w:rPr>
                <w:rFonts w:ascii="Tahoma" w:hAnsi="Tahoma" w:cs="Tahoma"/>
                <w:b w:val="0"/>
                <w:sz w:val="20"/>
              </w:rPr>
              <w:t>настоящему документу</w:t>
            </w:r>
            <w:r w:rsidRPr="00CC155A">
              <w:rPr>
                <w:rFonts w:ascii="Tahoma" w:hAnsi="Tahoma" w:cs="Tahoma"/>
                <w:b w:val="0"/>
                <w:sz w:val="20"/>
              </w:rPr>
              <w:t>).</w:t>
            </w:r>
          </w:p>
          <w:p w14:paraId="44B5E15E" w14:textId="77777777" w:rsidR="00951A61" w:rsidRPr="00CC155A" w:rsidRDefault="00951A61" w:rsidP="00A4032F">
            <w:pPr>
              <w:pStyle w:val="FooterEven"/>
              <w:tabs>
                <w:tab w:val="left" w:pos="97"/>
              </w:tabs>
              <w:ind w:firstLine="425"/>
              <w:jc w:val="both"/>
              <w:rPr>
                <w:rFonts w:ascii="Tahoma" w:hAnsi="Tahoma" w:cs="Tahoma"/>
                <w:b w:val="0"/>
                <w:sz w:val="20"/>
              </w:rPr>
            </w:pPr>
          </w:p>
          <w:p w14:paraId="1093BE73" w14:textId="77777777" w:rsidR="00951A61" w:rsidRPr="00CC155A" w:rsidRDefault="00951A61" w:rsidP="00951A61">
            <w:pPr>
              <w:pStyle w:val="FooterEven"/>
              <w:numPr>
                <w:ilvl w:val="0"/>
                <w:numId w:val="66"/>
              </w:numPr>
              <w:tabs>
                <w:tab w:val="clear" w:pos="4320"/>
                <w:tab w:val="clear" w:pos="8640"/>
                <w:tab w:val="right" w:pos="0"/>
                <w:tab w:val="left" w:pos="97"/>
                <w:tab w:val="right" w:pos="688"/>
              </w:tabs>
              <w:ind w:left="0" w:firstLine="425"/>
              <w:jc w:val="both"/>
              <w:rPr>
                <w:rFonts w:ascii="Tahoma" w:eastAsia="Times New Roman" w:hAnsi="Tahoma" w:cs="Tahoma"/>
                <w:bCs/>
                <w:kern w:val="32"/>
                <w:sz w:val="20"/>
                <w:lang w:eastAsia="en-US"/>
              </w:rPr>
            </w:pPr>
            <w:r w:rsidRPr="00CC155A">
              <w:rPr>
                <w:rFonts w:ascii="Tahoma" w:hAnsi="Tahoma" w:cs="Tahoma"/>
                <w:sz w:val="20"/>
              </w:rPr>
              <w:t>Требования к проведению расчетов по сделке:</w:t>
            </w:r>
            <w:r w:rsidRPr="00CC155A">
              <w:rPr>
                <w:rFonts w:ascii="Tahoma" w:eastAsia="Times New Roman" w:hAnsi="Tahoma" w:cs="Tahoma"/>
                <w:bCs/>
                <w:kern w:val="32"/>
                <w:sz w:val="20"/>
                <w:lang w:eastAsia="en-US"/>
              </w:rPr>
              <w:t xml:space="preserve"> </w:t>
            </w:r>
          </w:p>
          <w:p w14:paraId="0EFDF974" w14:textId="77777777" w:rsidR="00951A61" w:rsidRPr="00CC155A" w:rsidRDefault="00951A61" w:rsidP="00951A61">
            <w:pPr>
              <w:pStyle w:val="FooterEven"/>
              <w:numPr>
                <w:ilvl w:val="1"/>
                <w:numId w:val="66"/>
              </w:numPr>
              <w:tabs>
                <w:tab w:val="clear" w:pos="4320"/>
                <w:tab w:val="clear" w:pos="8640"/>
                <w:tab w:val="left" w:pos="341"/>
              </w:tabs>
              <w:ind w:left="0" w:firstLine="425"/>
              <w:jc w:val="both"/>
              <w:rPr>
                <w:rFonts w:ascii="Tahoma" w:hAnsi="Tahoma" w:cs="Tahoma"/>
                <w:b w:val="0"/>
                <w:sz w:val="20"/>
              </w:rPr>
            </w:pPr>
            <w:r w:rsidRPr="00CC155A">
              <w:rPr>
                <w:rFonts w:ascii="Tahoma" w:hAnsi="Tahoma" w:cs="Tahoma"/>
                <w:b w:val="0"/>
                <w:sz w:val="20"/>
              </w:rPr>
              <w:t>В день предоставления Кредита Заемщик осуществляет перевод денежных средств в счет полного досрочного погашение ипотечного кредита и/или рефинансирования потребительских кредитов. Перевод осуществляется в соответствии с порядком и тарифами, предусмотренными Банком для перевода денежных средств.</w:t>
            </w:r>
          </w:p>
          <w:p w14:paraId="4057890B" w14:textId="77777777" w:rsidR="00951A61" w:rsidRPr="00CC155A" w:rsidRDefault="00951A61" w:rsidP="00951A61">
            <w:pPr>
              <w:pStyle w:val="FooterEven"/>
              <w:numPr>
                <w:ilvl w:val="1"/>
                <w:numId w:val="66"/>
              </w:numPr>
              <w:tabs>
                <w:tab w:val="clear" w:pos="4320"/>
                <w:tab w:val="clear" w:pos="8640"/>
                <w:tab w:val="left" w:pos="341"/>
              </w:tabs>
              <w:ind w:left="0" w:firstLine="425"/>
              <w:jc w:val="both"/>
              <w:rPr>
                <w:rFonts w:ascii="Tahoma" w:hAnsi="Tahoma" w:cs="Tahoma"/>
                <w:b w:val="0"/>
                <w:sz w:val="20"/>
              </w:rPr>
            </w:pPr>
            <w:r w:rsidRPr="00CC155A">
              <w:rPr>
                <w:rFonts w:ascii="Tahoma" w:hAnsi="Tahoma" w:cs="Tahoma"/>
                <w:b w:val="0"/>
                <w:sz w:val="20"/>
              </w:rPr>
              <w:t>В день предоставления Кредита после осуществления Заемщиком перевода денежных средств в счет полного досрочного погашение ипотечного кредита и/или рефинансирования потребительских кредитов, оставшуюся сумму Кредита Заемщик должен разместить на аккредитиве Банка;</w:t>
            </w:r>
          </w:p>
          <w:p w14:paraId="793143C8" w14:textId="77777777" w:rsidR="00951A61" w:rsidRPr="00786DE5" w:rsidRDefault="00951A61" w:rsidP="00951A61">
            <w:pPr>
              <w:pStyle w:val="FooterEven"/>
              <w:numPr>
                <w:ilvl w:val="1"/>
                <w:numId w:val="66"/>
              </w:numPr>
              <w:tabs>
                <w:tab w:val="clear" w:pos="4320"/>
                <w:tab w:val="clear" w:pos="8640"/>
                <w:tab w:val="left" w:pos="341"/>
              </w:tabs>
              <w:ind w:left="0" w:firstLine="425"/>
              <w:jc w:val="both"/>
              <w:rPr>
                <w:rFonts w:ascii="Tahoma" w:hAnsi="Tahoma" w:cs="Tahoma"/>
                <w:sz w:val="20"/>
              </w:rPr>
            </w:pPr>
            <w:r w:rsidRPr="00CC155A">
              <w:rPr>
                <w:rFonts w:ascii="Tahoma" w:hAnsi="Tahoma" w:cs="Tahoma"/>
                <w:b w:val="0"/>
                <w:sz w:val="20"/>
              </w:rPr>
              <w:t>Обязательным условием исполнения аккредитива является подтверждение регистрации залога Предмета ипотеки в пользу Банка, а также полного досрочного погашения Рефинансируемого ипотечного кредита и/или погашения рефинансируемых потребительских кредитов.</w:t>
            </w:r>
          </w:p>
        </w:tc>
      </w:tr>
      <w:tr w:rsidR="00951A61" w:rsidRPr="00CC155A" w14:paraId="1BFE3F69" w14:textId="77777777" w:rsidTr="00A4032F">
        <w:tblPrEx>
          <w:tblLook w:val="00A0" w:firstRow="1" w:lastRow="0" w:firstColumn="1" w:lastColumn="0" w:noHBand="0" w:noVBand="0"/>
        </w:tblPrEx>
        <w:trPr>
          <w:trHeight w:val="176"/>
        </w:trPr>
        <w:tc>
          <w:tcPr>
            <w:tcW w:w="4121" w:type="dxa"/>
            <w:tcBorders>
              <w:top w:val="single" w:sz="4" w:space="0" w:color="auto"/>
              <w:left w:val="single" w:sz="8" w:space="0" w:color="auto"/>
              <w:bottom w:val="single" w:sz="4" w:space="0" w:color="auto"/>
              <w:right w:val="single" w:sz="4" w:space="0" w:color="auto"/>
            </w:tcBorders>
            <w:vAlign w:val="center"/>
          </w:tcPr>
          <w:p w14:paraId="5F25CC6D" w14:textId="77777777" w:rsidR="00951A61" w:rsidRPr="00CC155A" w:rsidRDefault="00951A61" w:rsidP="00A4032F">
            <w:pPr>
              <w:jc w:val="center"/>
              <w:rPr>
                <w:rFonts w:ascii="Tahoma" w:hAnsi="Tahoma" w:cs="Tahoma"/>
                <w:b/>
                <w:sz w:val="20"/>
                <w:szCs w:val="20"/>
              </w:rPr>
            </w:pPr>
            <w:r w:rsidRPr="0014440C">
              <w:rPr>
                <w:rFonts w:ascii="Tahoma" w:hAnsi="Tahoma" w:cs="Tahoma"/>
                <w:b/>
                <w:sz w:val="20"/>
                <w:szCs w:val="20"/>
              </w:rPr>
              <w:lastRenderedPageBreak/>
              <w:t>Информация об иных договорах, которые Заемщик обязан заключить, и (или) иных услугах (работах, товарах), которые он обязан приобрести в связи с Кредитным договором, а также информация о возможности Заемщика согласиться с заключением таких договоров и (или) приобретением таких услуг (работ, товаров) либо отказаться от них</w:t>
            </w:r>
          </w:p>
        </w:tc>
        <w:tc>
          <w:tcPr>
            <w:tcW w:w="11452" w:type="dxa"/>
            <w:tcBorders>
              <w:top w:val="single" w:sz="4" w:space="0" w:color="auto"/>
              <w:left w:val="nil"/>
              <w:bottom w:val="single" w:sz="4" w:space="0" w:color="auto"/>
              <w:right w:val="single" w:sz="8" w:space="0" w:color="000000"/>
            </w:tcBorders>
            <w:noWrap/>
            <w:vAlign w:val="center"/>
          </w:tcPr>
          <w:p w14:paraId="48206104" w14:textId="77777777" w:rsidR="00951A61" w:rsidRPr="00CC155A" w:rsidRDefault="00951A61" w:rsidP="00A4032F">
            <w:pPr>
              <w:ind w:firstLine="425"/>
              <w:jc w:val="both"/>
              <w:rPr>
                <w:rFonts w:ascii="Tahoma" w:hAnsi="Tahoma" w:cs="Tahoma"/>
                <w:sz w:val="20"/>
                <w:szCs w:val="20"/>
              </w:rPr>
            </w:pPr>
            <w:r w:rsidRPr="00CC155A">
              <w:rPr>
                <w:rFonts w:ascii="Tahoma" w:hAnsi="Tahoma" w:cs="Tahoma"/>
                <w:sz w:val="20"/>
                <w:szCs w:val="20"/>
              </w:rPr>
              <w:t xml:space="preserve">Заключение между Сторонами договора банковского счета (на основании которого Заемщику Банком открывается ТБС), элементы которого содержатся в </w:t>
            </w:r>
            <w:r>
              <w:rPr>
                <w:rFonts w:ascii="Tahoma" w:hAnsi="Tahoma" w:cs="Tahoma"/>
                <w:sz w:val="20"/>
                <w:szCs w:val="20"/>
              </w:rPr>
              <w:t>Кредитном д</w:t>
            </w:r>
            <w:r w:rsidRPr="00CC155A">
              <w:rPr>
                <w:rFonts w:ascii="Tahoma" w:hAnsi="Tahoma" w:cs="Tahoma"/>
                <w:sz w:val="20"/>
                <w:szCs w:val="20"/>
              </w:rPr>
              <w:t xml:space="preserve">оговоре, что делает </w:t>
            </w:r>
            <w:r>
              <w:rPr>
                <w:rFonts w:ascii="Tahoma" w:hAnsi="Tahoma" w:cs="Tahoma"/>
                <w:sz w:val="20"/>
                <w:szCs w:val="20"/>
              </w:rPr>
              <w:t>Кредитный д</w:t>
            </w:r>
            <w:r w:rsidRPr="00CC155A">
              <w:rPr>
                <w:rFonts w:ascii="Tahoma" w:hAnsi="Tahoma" w:cs="Tahoma"/>
                <w:sz w:val="20"/>
                <w:szCs w:val="20"/>
              </w:rPr>
              <w:t>оговор смешанным, содержащим элементы договора банковского счета и Кредитного договора, и обязательным к заключению</w:t>
            </w:r>
          </w:p>
          <w:p w14:paraId="1D36B41E" w14:textId="77777777" w:rsidR="00951A61" w:rsidRPr="00CC155A" w:rsidRDefault="00951A61" w:rsidP="00A4032F">
            <w:pPr>
              <w:ind w:firstLine="425"/>
              <w:jc w:val="both"/>
              <w:rPr>
                <w:rFonts w:ascii="Tahoma" w:hAnsi="Tahoma" w:cs="Tahoma"/>
                <w:sz w:val="20"/>
                <w:szCs w:val="20"/>
              </w:rPr>
            </w:pPr>
            <w:r w:rsidRPr="00CC155A">
              <w:rPr>
                <w:rFonts w:ascii="Tahoma" w:hAnsi="Tahoma" w:cs="Tahoma"/>
                <w:sz w:val="20"/>
                <w:szCs w:val="20"/>
              </w:rPr>
              <w:t>Договор/полис имущественного страхования (страхование в соответствии с тарифами страховой компании рисков, связанных с утратой или повреждением недвижимого имущества, находящегося в залоге).</w:t>
            </w:r>
          </w:p>
          <w:p w14:paraId="56A89852" w14:textId="77777777" w:rsidR="00951A61" w:rsidRDefault="00951A61" w:rsidP="00A4032F">
            <w:pPr>
              <w:ind w:firstLine="425"/>
              <w:jc w:val="both"/>
              <w:rPr>
                <w:rFonts w:ascii="Tahoma" w:hAnsi="Tahoma" w:cs="Tahoma"/>
                <w:sz w:val="20"/>
                <w:szCs w:val="20"/>
              </w:rPr>
            </w:pPr>
            <w:r w:rsidRPr="00CC155A">
              <w:rPr>
                <w:rFonts w:ascii="Tahoma" w:hAnsi="Tahoma" w:cs="Tahoma"/>
                <w:sz w:val="20"/>
                <w:szCs w:val="20"/>
              </w:rPr>
              <w:t xml:space="preserve">Заключение договора о проведении оценки </w:t>
            </w:r>
            <w:r>
              <w:rPr>
                <w:rFonts w:ascii="Tahoma" w:hAnsi="Tahoma" w:cs="Tahoma"/>
                <w:sz w:val="20"/>
                <w:szCs w:val="20"/>
              </w:rPr>
              <w:t>П</w:t>
            </w:r>
            <w:r w:rsidRPr="00CC155A">
              <w:rPr>
                <w:rFonts w:ascii="Tahoma" w:hAnsi="Tahoma" w:cs="Tahoma"/>
                <w:sz w:val="20"/>
                <w:szCs w:val="20"/>
              </w:rPr>
              <w:t>редмета ипотеки.</w:t>
            </w:r>
          </w:p>
          <w:p w14:paraId="1CE86F30" w14:textId="77777777" w:rsidR="00951A61" w:rsidRPr="00786DE5" w:rsidRDefault="00951A61" w:rsidP="00A4032F">
            <w:pPr>
              <w:ind w:firstLine="425"/>
              <w:jc w:val="both"/>
              <w:rPr>
                <w:rFonts w:ascii="Tahoma" w:hAnsi="Tahoma" w:cs="Tahoma"/>
                <w:sz w:val="20"/>
                <w:szCs w:val="20"/>
              </w:rPr>
            </w:pPr>
            <w:r w:rsidRPr="0013119A">
              <w:rPr>
                <w:rFonts w:ascii="Tahoma" w:hAnsi="Tahoma" w:cs="Tahoma"/>
                <w:sz w:val="20"/>
                <w:szCs w:val="20"/>
              </w:rPr>
              <w:t>Заемщик может согласиться с заключением выше перечисленных договоров и (или) приобретением таких услуг (работ, товаров) либо отказаться от них</w:t>
            </w:r>
            <w:r>
              <w:rPr>
                <w:rStyle w:val="aff3"/>
                <w:rFonts w:ascii="Tahoma" w:hAnsi="Tahoma"/>
                <w:sz w:val="20"/>
                <w:szCs w:val="20"/>
              </w:rPr>
              <w:footnoteReference w:id="158"/>
            </w:r>
            <w:r w:rsidRPr="0013119A">
              <w:rPr>
                <w:rFonts w:ascii="Tahoma" w:hAnsi="Tahoma" w:cs="Tahoma"/>
                <w:sz w:val="20"/>
                <w:szCs w:val="20"/>
              </w:rPr>
              <w:t>.</w:t>
            </w:r>
          </w:p>
        </w:tc>
      </w:tr>
      <w:tr w:rsidR="00951A61" w:rsidRPr="00F77EED" w14:paraId="55807772" w14:textId="77777777" w:rsidTr="00A4032F">
        <w:tblPrEx>
          <w:tblLook w:val="00A0" w:firstRow="1" w:lastRow="0" w:firstColumn="1" w:lastColumn="0" w:noHBand="0" w:noVBand="0"/>
        </w:tblPrEx>
        <w:trPr>
          <w:trHeight w:val="176"/>
        </w:trPr>
        <w:tc>
          <w:tcPr>
            <w:tcW w:w="4121" w:type="dxa"/>
            <w:tcBorders>
              <w:top w:val="single" w:sz="4" w:space="0" w:color="auto"/>
              <w:left w:val="single" w:sz="8" w:space="0" w:color="auto"/>
              <w:bottom w:val="single" w:sz="4" w:space="0" w:color="auto"/>
              <w:right w:val="single" w:sz="4" w:space="0" w:color="auto"/>
            </w:tcBorders>
            <w:vAlign w:val="center"/>
          </w:tcPr>
          <w:p w14:paraId="03D350C0" w14:textId="77777777" w:rsidR="00951A61" w:rsidRPr="00CC155A" w:rsidRDefault="00951A61" w:rsidP="00A4032F">
            <w:pPr>
              <w:jc w:val="center"/>
              <w:rPr>
                <w:rFonts w:ascii="Tahoma" w:hAnsi="Tahoma" w:cs="Tahoma"/>
                <w:b/>
                <w:sz w:val="20"/>
                <w:szCs w:val="20"/>
              </w:rPr>
            </w:pPr>
            <w:r>
              <w:rPr>
                <w:rFonts w:ascii="Tahoma" w:hAnsi="Tahoma" w:cs="Tahoma"/>
                <w:b/>
                <w:color w:val="000000"/>
                <w:sz w:val="20"/>
                <w:szCs w:val="20"/>
              </w:rPr>
              <w:t>Информация об определении курса</w:t>
            </w:r>
            <w:r w:rsidRPr="00CC155A">
              <w:rPr>
                <w:rFonts w:ascii="Tahoma" w:hAnsi="Tahoma" w:cs="Tahoma"/>
                <w:b/>
                <w:color w:val="000000"/>
                <w:sz w:val="20"/>
                <w:szCs w:val="20"/>
              </w:rPr>
              <w:t xml:space="preserve"> иностранной валюты в случае, если валюта, в которой осуществляется перевод денежных средств Банком третьему лицу, указанному Заемщиком при предоставлении </w:t>
            </w:r>
            <w:r>
              <w:rPr>
                <w:rFonts w:ascii="Tahoma" w:hAnsi="Tahoma" w:cs="Tahoma"/>
                <w:b/>
                <w:color w:val="000000"/>
                <w:sz w:val="20"/>
                <w:szCs w:val="20"/>
              </w:rPr>
              <w:t>потребительского к</w:t>
            </w:r>
            <w:r w:rsidRPr="00CC155A">
              <w:rPr>
                <w:rFonts w:ascii="Tahoma" w:hAnsi="Tahoma" w:cs="Tahoma"/>
                <w:b/>
                <w:color w:val="000000"/>
                <w:sz w:val="20"/>
                <w:szCs w:val="20"/>
              </w:rPr>
              <w:t>редита, отличается от валюты, в которой предоставлен Кредит</w:t>
            </w:r>
          </w:p>
        </w:tc>
        <w:tc>
          <w:tcPr>
            <w:tcW w:w="11452" w:type="dxa"/>
            <w:tcBorders>
              <w:top w:val="single" w:sz="4" w:space="0" w:color="auto"/>
              <w:left w:val="nil"/>
              <w:bottom w:val="single" w:sz="4" w:space="0" w:color="auto"/>
              <w:right w:val="single" w:sz="8" w:space="0" w:color="000000"/>
            </w:tcBorders>
            <w:noWrap/>
            <w:vAlign w:val="center"/>
          </w:tcPr>
          <w:p w14:paraId="5CCD92AA" w14:textId="77777777" w:rsidR="00951A61" w:rsidRPr="00F77EED" w:rsidRDefault="00951A61" w:rsidP="00A4032F">
            <w:pPr>
              <w:ind w:firstLine="425"/>
              <w:jc w:val="both"/>
              <w:rPr>
                <w:rFonts w:ascii="Tahoma" w:hAnsi="Tahoma" w:cs="Tahoma"/>
                <w:sz w:val="20"/>
                <w:szCs w:val="20"/>
              </w:rPr>
            </w:pPr>
            <w:r w:rsidRPr="00CC155A">
              <w:rPr>
                <w:rFonts w:ascii="Tahoma" w:hAnsi="Tahoma" w:cs="Tahoma"/>
                <w:color w:val="000000"/>
                <w:sz w:val="20"/>
                <w:szCs w:val="20"/>
              </w:rPr>
              <w:t>Не применимо</w:t>
            </w:r>
          </w:p>
        </w:tc>
      </w:tr>
      <w:tr w:rsidR="00951A61" w:rsidRPr="00F77EED" w14:paraId="0DC1AD8C" w14:textId="77777777" w:rsidTr="00A4032F">
        <w:tblPrEx>
          <w:tblLook w:val="00A0" w:firstRow="1" w:lastRow="0" w:firstColumn="1" w:lastColumn="0" w:noHBand="0" w:noVBand="0"/>
        </w:tblPrEx>
        <w:trPr>
          <w:trHeight w:val="176"/>
        </w:trPr>
        <w:tc>
          <w:tcPr>
            <w:tcW w:w="4121" w:type="dxa"/>
            <w:tcBorders>
              <w:top w:val="single" w:sz="4" w:space="0" w:color="auto"/>
              <w:left w:val="single" w:sz="8" w:space="0" w:color="auto"/>
              <w:bottom w:val="single" w:sz="4" w:space="0" w:color="auto"/>
              <w:right w:val="single" w:sz="4" w:space="0" w:color="auto"/>
            </w:tcBorders>
            <w:vAlign w:val="center"/>
          </w:tcPr>
          <w:p w14:paraId="3C733BA3" w14:textId="77777777" w:rsidR="00951A61" w:rsidRPr="00657248" w:rsidRDefault="00951A61" w:rsidP="00A4032F">
            <w:pPr>
              <w:jc w:val="center"/>
              <w:rPr>
                <w:rFonts w:ascii="Tahoma" w:hAnsi="Tahoma" w:cs="Tahoma"/>
                <w:b/>
                <w:color w:val="000000"/>
                <w:sz w:val="20"/>
                <w:szCs w:val="20"/>
              </w:rPr>
            </w:pPr>
            <w:r w:rsidRPr="00DF7A78">
              <w:rPr>
                <w:rFonts w:ascii="Tahoma" w:hAnsi="Tahoma" w:cs="Tahoma"/>
                <w:b/>
                <w:color w:val="000000"/>
                <w:sz w:val="20"/>
                <w:szCs w:val="20"/>
              </w:rPr>
              <w:t xml:space="preserve">Информация о возможном увеличении суммы расходов Заемщика по сравнению с ожидаемой суммой расходов в </w:t>
            </w:r>
            <w:r w:rsidRPr="00DF7A78">
              <w:rPr>
                <w:rFonts w:ascii="Tahoma" w:hAnsi="Tahoma" w:cs="Tahoma"/>
                <w:b/>
                <w:color w:val="000000"/>
                <w:sz w:val="20"/>
                <w:szCs w:val="20"/>
              </w:rPr>
              <w:lastRenderedPageBreak/>
              <w:t>рублях, в том числе при применении переменной процентной ставки, а также информация о том, что изменение курса иностранной валюты в прошлом не свидетельствует об изменении ее курса в будущем, и информация о повышенных рисках Заемщика, получающего доходы в валюте, отличной от валюты Кредита</w:t>
            </w:r>
          </w:p>
        </w:tc>
        <w:tc>
          <w:tcPr>
            <w:tcW w:w="11452" w:type="dxa"/>
            <w:tcBorders>
              <w:top w:val="single" w:sz="4" w:space="0" w:color="auto"/>
              <w:left w:val="nil"/>
              <w:bottom w:val="single" w:sz="4" w:space="0" w:color="auto"/>
              <w:right w:val="single" w:sz="8" w:space="0" w:color="000000"/>
            </w:tcBorders>
            <w:noWrap/>
            <w:vAlign w:val="center"/>
          </w:tcPr>
          <w:p w14:paraId="2BC3B348" w14:textId="77777777" w:rsidR="00951A61" w:rsidRPr="00F77EED" w:rsidRDefault="00951A61" w:rsidP="00A4032F">
            <w:pPr>
              <w:ind w:firstLine="425"/>
              <w:jc w:val="both"/>
              <w:rPr>
                <w:rFonts w:ascii="Tahoma" w:hAnsi="Tahoma" w:cs="Tahoma"/>
                <w:color w:val="000000"/>
                <w:sz w:val="20"/>
                <w:szCs w:val="20"/>
              </w:rPr>
            </w:pPr>
            <w:r>
              <w:rPr>
                <w:rFonts w:ascii="Tahoma" w:hAnsi="Tahoma" w:cs="Tahoma"/>
                <w:color w:val="000000"/>
                <w:sz w:val="20"/>
                <w:szCs w:val="20"/>
              </w:rPr>
              <w:lastRenderedPageBreak/>
              <w:t>Не применимо</w:t>
            </w:r>
          </w:p>
        </w:tc>
      </w:tr>
      <w:tr w:rsidR="00951A61" w:rsidRPr="00F77EED" w14:paraId="3CDC717A" w14:textId="77777777" w:rsidTr="00A4032F">
        <w:tblPrEx>
          <w:tblLook w:val="00A0" w:firstRow="1" w:lastRow="0" w:firstColumn="1" w:lastColumn="0" w:noHBand="0" w:noVBand="0"/>
        </w:tblPrEx>
        <w:trPr>
          <w:trHeight w:val="176"/>
        </w:trPr>
        <w:tc>
          <w:tcPr>
            <w:tcW w:w="4121" w:type="dxa"/>
            <w:tcBorders>
              <w:top w:val="single" w:sz="4" w:space="0" w:color="auto"/>
              <w:left w:val="single" w:sz="8" w:space="0" w:color="auto"/>
              <w:bottom w:val="single" w:sz="4" w:space="0" w:color="auto"/>
              <w:right w:val="single" w:sz="4" w:space="0" w:color="auto"/>
            </w:tcBorders>
            <w:vAlign w:val="center"/>
          </w:tcPr>
          <w:p w14:paraId="5A2B85E9" w14:textId="77777777" w:rsidR="00951A61" w:rsidRPr="003C6510" w:rsidRDefault="00951A61" w:rsidP="00A4032F">
            <w:pPr>
              <w:widowControl w:val="0"/>
              <w:tabs>
                <w:tab w:val="left" w:pos="426"/>
                <w:tab w:val="left" w:pos="851"/>
              </w:tabs>
              <w:jc w:val="center"/>
              <w:rPr>
                <w:rFonts w:ascii="Tahoma" w:hAnsi="Tahoma" w:cs="Tahoma"/>
                <w:b/>
                <w:color w:val="000000"/>
                <w:sz w:val="20"/>
                <w:szCs w:val="20"/>
              </w:rPr>
            </w:pPr>
            <w:r w:rsidRPr="003C6510">
              <w:rPr>
                <w:rFonts w:ascii="Tahoma" w:hAnsi="Tahoma" w:cs="Tahoma"/>
                <w:b/>
                <w:sz w:val="20"/>
                <w:szCs w:val="20"/>
              </w:rPr>
              <w:t>Информация о возможности запрета уступки кредитором третьим лицам прав (требований) по Кредитному договору</w:t>
            </w:r>
          </w:p>
        </w:tc>
        <w:tc>
          <w:tcPr>
            <w:tcW w:w="11452" w:type="dxa"/>
            <w:tcBorders>
              <w:top w:val="single" w:sz="4" w:space="0" w:color="auto"/>
              <w:left w:val="nil"/>
              <w:bottom w:val="single" w:sz="4" w:space="0" w:color="auto"/>
              <w:right w:val="single" w:sz="8" w:space="0" w:color="000000"/>
            </w:tcBorders>
            <w:noWrap/>
            <w:vAlign w:val="center"/>
          </w:tcPr>
          <w:p w14:paraId="52BD225F" w14:textId="77777777" w:rsidR="00951A61" w:rsidRPr="003C6510" w:rsidRDefault="00951A61" w:rsidP="00A4032F">
            <w:pPr>
              <w:widowControl w:val="0"/>
              <w:tabs>
                <w:tab w:val="left" w:pos="426"/>
                <w:tab w:val="left" w:pos="851"/>
              </w:tabs>
              <w:ind w:firstLine="425"/>
              <w:jc w:val="both"/>
              <w:rPr>
                <w:rFonts w:ascii="Tahoma" w:hAnsi="Tahoma" w:cs="Tahoma"/>
                <w:color w:val="000000"/>
                <w:sz w:val="20"/>
                <w:szCs w:val="20"/>
              </w:rPr>
            </w:pPr>
            <w:r w:rsidRPr="003C6510">
              <w:rPr>
                <w:rFonts w:ascii="Tahoma" w:hAnsi="Tahoma" w:cs="Tahoma"/>
                <w:color w:val="000000"/>
                <w:sz w:val="20"/>
                <w:szCs w:val="20"/>
              </w:rPr>
              <w:t>В случае, если при выдаче ипотечного кредита право требования по Кредитному договору и право залога объекта недвижимости удостоверяются закладной, согласно п. 5 ст. 47 Федерального закона от 16.07.1998 N 102-ФЗ «Об ипотеке (залоге недвижимости)» (закон 102-ФЗ), уступка прав по договору об ипотеке или обеспеченному ипотекой обязательству не допускается. Согласно п. 4 ст. 48 закона 102-ФЗ Банк вправе передать права на закладную любым третьим лицам (согласие должника в данном случае не требуется). В случае, если при выдаче ипотечного кредита закладная не оформляется, Заемщик вправе запретить уступку Банком третьим лицам прав (требований) по Кредитному договору</w:t>
            </w:r>
          </w:p>
        </w:tc>
      </w:tr>
      <w:tr w:rsidR="00951A61" w:rsidRPr="00F77EED" w14:paraId="41E87066" w14:textId="77777777" w:rsidTr="00A4032F">
        <w:tblPrEx>
          <w:tblLook w:val="00A0" w:firstRow="1" w:lastRow="0" w:firstColumn="1" w:lastColumn="0" w:noHBand="0" w:noVBand="0"/>
        </w:tblPrEx>
        <w:trPr>
          <w:trHeight w:val="176"/>
        </w:trPr>
        <w:tc>
          <w:tcPr>
            <w:tcW w:w="4121" w:type="dxa"/>
            <w:tcBorders>
              <w:top w:val="single" w:sz="4" w:space="0" w:color="auto"/>
              <w:left w:val="single" w:sz="8" w:space="0" w:color="auto"/>
              <w:bottom w:val="single" w:sz="4" w:space="0" w:color="auto"/>
              <w:right w:val="single" w:sz="4" w:space="0" w:color="auto"/>
            </w:tcBorders>
            <w:vAlign w:val="center"/>
          </w:tcPr>
          <w:p w14:paraId="6FFA1C6D" w14:textId="77777777" w:rsidR="00951A61" w:rsidRPr="003C6510" w:rsidRDefault="00951A61" w:rsidP="00A4032F">
            <w:pPr>
              <w:widowControl w:val="0"/>
              <w:tabs>
                <w:tab w:val="left" w:pos="426"/>
                <w:tab w:val="left" w:pos="851"/>
              </w:tabs>
              <w:jc w:val="center"/>
              <w:rPr>
                <w:rFonts w:ascii="Tahoma" w:hAnsi="Tahoma" w:cs="Tahoma"/>
                <w:b/>
                <w:sz w:val="20"/>
                <w:szCs w:val="20"/>
              </w:rPr>
            </w:pPr>
            <w:r w:rsidRPr="003C6510">
              <w:rPr>
                <w:rFonts w:ascii="Tahoma" w:hAnsi="Tahoma" w:cs="Tahoma"/>
                <w:b/>
                <w:sz w:val="20"/>
                <w:szCs w:val="20"/>
              </w:rPr>
              <w:t>Порядок предоставления Заемщиком информации об использовании ипотечного кредита</w:t>
            </w:r>
          </w:p>
        </w:tc>
        <w:tc>
          <w:tcPr>
            <w:tcW w:w="11452" w:type="dxa"/>
            <w:tcBorders>
              <w:top w:val="single" w:sz="4" w:space="0" w:color="auto"/>
              <w:left w:val="nil"/>
              <w:bottom w:val="single" w:sz="4" w:space="0" w:color="auto"/>
              <w:right w:val="single" w:sz="8" w:space="0" w:color="000000"/>
            </w:tcBorders>
            <w:noWrap/>
            <w:vAlign w:val="center"/>
          </w:tcPr>
          <w:p w14:paraId="692169E5" w14:textId="77777777" w:rsidR="00951A61" w:rsidRPr="003C6510" w:rsidRDefault="00951A61" w:rsidP="00A4032F">
            <w:pPr>
              <w:widowControl w:val="0"/>
              <w:tabs>
                <w:tab w:val="left" w:pos="426"/>
                <w:tab w:val="left" w:pos="851"/>
              </w:tabs>
              <w:ind w:firstLine="425"/>
              <w:jc w:val="both"/>
              <w:rPr>
                <w:rFonts w:ascii="Tahoma" w:hAnsi="Tahoma" w:cs="Tahoma"/>
                <w:sz w:val="20"/>
                <w:szCs w:val="20"/>
              </w:rPr>
            </w:pPr>
            <w:r w:rsidRPr="003C6510">
              <w:rPr>
                <w:rFonts w:ascii="Tahoma" w:hAnsi="Tahoma" w:cs="Tahoma"/>
                <w:sz w:val="20"/>
                <w:szCs w:val="20"/>
              </w:rPr>
              <w:t>Заемщик обязан в сроки, установленные Кредитным договором, предоставить в Банк документы, подтверждающие государственную регистрацию ипотеки в пользу Банка</w:t>
            </w:r>
          </w:p>
        </w:tc>
      </w:tr>
      <w:tr w:rsidR="00951A61" w:rsidRPr="00F77EED" w14:paraId="5B9C4CA2" w14:textId="77777777" w:rsidTr="00A4032F">
        <w:tblPrEx>
          <w:tblLook w:val="00A0" w:firstRow="1" w:lastRow="0" w:firstColumn="1" w:lastColumn="0" w:noHBand="0" w:noVBand="0"/>
        </w:tblPrEx>
        <w:trPr>
          <w:trHeight w:val="176"/>
        </w:trPr>
        <w:tc>
          <w:tcPr>
            <w:tcW w:w="4121" w:type="dxa"/>
            <w:tcBorders>
              <w:top w:val="single" w:sz="4" w:space="0" w:color="auto"/>
              <w:left w:val="single" w:sz="8" w:space="0" w:color="auto"/>
              <w:bottom w:val="single" w:sz="4" w:space="0" w:color="auto"/>
              <w:right w:val="single" w:sz="4" w:space="0" w:color="auto"/>
            </w:tcBorders>
            <w:vAlign w:val="center"/>
          </w:tcPr>
          <w:p w14:paraId="0D2CDCB6" w14:textId="77777777" w:rsidR="00951A61" w:rsidRPr="003C6510" w:rsidRDefault="00951A61" w:rsidP="00A4032F">
            <w:pPr>
              <w:widowControl w:val="0"/>
              <w:tabs>
                <w:tab w:val="left" w:pos="426"/>
                <w:tab w:val="left" w:pos="851"/>
              </w:tabs>
              <w:jc w:val="center"/>
              <w:rPr>
                <w:rFonts w:ascii="Tahoma" w:hAnsi="Tahoma" w:cs="Tahoma"/>
                <w:b/>
                <w:sz w:val="20"/>
                <w:szCs w:val="20"/>
              </w:rPr>
            </w:pPr>
            <w:r w:rsidRPr="003C6510">
              <w:rPr>
                <w:rFonts w:ascii="Tahoma" w:hAnsi="Tahoma" w:cs="Tahoma"/>
                <w:b/>
                <w:sz w:val="20"/>
                <w:szCs w:val="20"/>
              </w:rPr>
              <w:t>Подсудность споров по искам Банка к Заемщику</w:t>
            </w:r>
          </w:p>
        </w:tc>
        <w:tc>
          <w:tcPr>
            <w:tcW w:w="11452" w:type="dxa"/>
            <w:tcBorders>
              <w:top w:val="single" w:sz="4" w:space="0" w:color="auto"/>
              <w:left w:val="nil"/>
              <w:bottom w:val="single" w:sz="4" w:space="0" w:color="auto"/>
              <w:right w:val="single" w:sz="8" w:space="0" w:color="000000"/>
            </w:tcBorders>
            <w:noWrap/>
            <w:vAlign w:val="center"/>
          </w:tcPr>
          <w:p w14:paraId="0D1BFBED" w14:textId="77777777" w:rsidR="00951A61" w:rsidRPr="003C6510" w:rsidRDefault="00951A61" w:rsidP="00A4032F">
            <w:pPr>
              <w:ind w:firstLine="425"/>
              <w:jc w:val="both"/>
              <w:rPr>
                <w:rFonts w:ascii="Tahoma" w:hAnsi="Tahoma" w:cs="Tahoma"/>
                <w:sz w:val="20"/>
                <w:szCs w:val="20"/>
              </w:rPr>
            </w:pPr>
            <w:r w:rsidRPr="003C6510">
              <w:rPr>
                <w:rFonts w:ascii="Tahoma" w:hAnsi="Tahoma" w:cs="Tahoma"/>
                <w:sz w:val="20"/>
                <w:szCs w:val="20"/>
              </w:rPr>
              <w:t>Порядок разрешения неурегулированных споров по искам Банка определяется Сторонами в Кредитном договоре</w:t>
            </w:r>
          </w:p>
          <w:p w14:paraId="059C635B" w14:textId="77777777" w:rsidR="00951A61" w:rsidRPr="003C6510" w:rsidRDefault="00951A61" w:rsidP="00A4032F">
            <w:pPr>
              <w:widowControl w:val="0"/>
              <w:tabs>
                <w:tab w:val="left" w:pos="426"/>
                <w:tab w:val="left" w:pos="851"/>
              </w:tabs>
              <w:ind w:firstLine="425"/>
              <w:jc w:val="both"/>
              <w:rPr>
                <w:rFonts w:ascii="Tahoma" w:hAnsi="Tahoma" w:cs="Tahoma"/>
                <w:sz w:val="20"/>
                <w:szCs w:val="20"/>
              </w:rPr>
            </w:pPr>
          </w:p>
        </w:tc>
      </w:tr>
      <w:tr w:rsidR="00951A61" w:rsidRPr="00F77EED" w14:paraId="692504D7" w14:textId="77777777" w:rsidTr="00A4032F">
        <w:tblPrEx>
          <w:tblLook w:val="00A0" w:firstRow="1" w:lastRow="0" w:firstColumn="1" w:lastColumn="0" w:noHBand="0" w:noVBand="0"/>
        </w:tblPrEx>
        <w:trPr>
          <w:trHeight w:val="176"/>
        </w:trPr>
        <w:tc>
          <w:tcPr>
            <w:tcW w:w="4121" w:type="dxa"/>
            <w:tcBorders>
              <w:top w:val="single" w:sz="4" w:space="0" w:color="auto"/>
              <w:left w:val="single" w:sz="8" w:space="0" w:color="auto"/>
              <w:bottom w:val="single" w:sz="4" w:space="0" w:color="auto"/>
              <w:right w:val="single" w:sz="4" w:space="0" w:color="auto"/>
            </w:tcBorders>
            <w:vAlign w:val="center"/>
          </w:tcPr>
          <w:p w14:paraId="1634D3FF" w14:textId="77777777" w:rsidR="00951A61" w:rsidRPr="003C6510" w:rsidRDefault="00951A61" w:rsidP="00A4032F">
            <w:pPr>
              <w:widowControl w:val="0"/>
              <w:tabs>
                <w:tab w:val="left" w:pos="426"/>
                <w:tab w:val="left" w:pos="851"/>
              </w:tabs>
              <w:jc w:val="center"/>
              <w:rPr>
                <w:rFonts w:ascii="Tahoma" w:hAnsi="Tahoma" w:cs="Tahoma"/>
                <w:b/>
                <w:sz w:val="20"/>
                <w:szCs w:val="20"/>
              </w:rPr>
            </w:pPr>
            <w:r w:rsidRPr="003C6510">
              <w:rPr>
                <w:rFonts w:ascii="Tahoma" w:hAnsi="Tahoma" w:cs="Tahoma"/>
                <w:b/>
                <w:sz w:val="20"/>
                <w:szCs w:val="20"/>
              </w:rPr>
              <w:t>Формуляры или иные стандартные формы, в которых определены общие условия Кредитного договора</w:t>
            </w:r>
          </w:p>
        </w:tc>
        <w:tc>
          <w:tcPr>
            <w:tcW w:w="11452" w:type="dxa"/>
            <w:tcBorders>
              <w:top w:val="single" w:sz="4" w:space="0" w:color="auto"/>
              <w:left w:val="nil"/>
              <w:bottom w:val="single" w:sz="4" w:space="0" w:color="auto"/>
              <w:right w:val="single" w:sz="8" w:space="0" w:color="000000"/>
            </w:tcBorders>
            <w:noWrap/>
            <w:vAlign w:val="center"/>
          </w:tcPr>
          <w:p w14:paraId="03B59BC2" w14:textId="77777777" w:rsidR="00951A61" w:rsidRPr="003C6510" w:rsidRDefault="00951A61" w:rsidP="00A4032F">
            <w:pPr>
              <w:widowControl w:val="0"/>
              <w:tabs>
                <w:tab w:val="left" w:pos="426"/>
                <w:tab w:val="left" w:pos="851"/>
              </w:tabs>
              <w:ind w:firstLine="425"/>
              <w:jc w:val="both"/>
              <w:rPr>
                <w:rFonts w:ascii="Tahoma" w:hAnsi="Tahoma" w:cs="Tahoma"/>
                <w:sz w:val="20"/>
                <w:szCs w:val="20"/>
              </w:rPr>
            </w:pPr>
            <w:r w:rsidRPr="003C6510">
              <w:rPr>
                <w:rFonts w:ascii="Tahoma" w:hAnsi="Tahoma" w:cs="Tahoma"/>
                <w:sz w:val="20"/>
                <w:szCs w:val="20"/>
              </w:rPr>
              <w:t>Общие условия предоставления, обслуживания и погашения ипотечных кредитов в «Азиатско-Тихоокеанский Банк» (АО), являющиеся Приложением 6 к Универсальному договору банковского обслуживания в «Азиатско-Тихоокеанский Банк» (АО), размещённых в местах приема заявлений на предоставление ипотечного Кредита (в Подразделениях Банка и иных местах приема заявлений на предоставление ипотечного Кредита), на сайте Банка в сети Интернет по адресу www.atb.su и могут быть предоставлены Заемщику по его требованию на бумажном носителе.</w:t>
            </w:r>
          </w:p>
        </w:tc>
      </w:tr>
      <w:tr w:rsidR="00951A61" w:rsidRPr="00F77EED" w14:paraId="4C49E8C5" w14:textId="77777777" w:rsidTr="00A4032F">
        <w:tblPrEx>
          <w:tblLook w:val="00A0" w:firstRow="1" w:lastRow="0" w:firstColumn="1" w:lastColumn="0" w:noHBand="0" w:noVBand="0"/>
        </w:tblPrEx>
        <w:trPr>
          <w:trHeight w:val="176"/>
        </w:trPr>
        <w:tc>
          <w:tcPr>
            <w:tcW w:w="4121" w:type="dxa"/>
            <w:tcBorders>
              <w:top w:val="single" w:sz="4" w:space="0" w:color="auto"/>
              <w:left w:val="single" w:sz="8" w:space="0" w:color="auto"/>
              <w:bottom w:val="single" w:sz="4" w:space="0" w:color="auto"/>
              <w:right w:val="single" w:sz="4" w:space="0" w:color="auto"/>
            </w:tcBorders>
            <w:vAlign w:val="center"/>
          </w:tcPr>
          <w:p w14:paraId="4C37A21E" w14:textId="77777777" w:rsidR="00951A61" w:rsidRPr="003C6510" w:rsidRDefault="00951A61" w:rsidP="00A4032F">
            <w:pPr>
              <w:widowControl w:val="0"/>
              <w:tabs>
                <w:tab w:val="left" w:pos="426"/>
                <w:tab w:val="left" w:pos="851"/>
              </w:tabs>
              <w:jc w:val="center"/>
              <w:rPr>
                <w:rFonts w:ascii="Tahoma" w:hAnsi="Tahoma" w:cs="Tahoma"/>
                <w:b/>
                <w:sz w:val="20"/>
                <w:szCs w:val="20"/>
              </w:rPr>
            </w:pPr>
            <w:r w:rsidRPr="003C6510">
              <w:rPr>
                <w:rFonts w:ascii="Tahoma" w:hAnsi="Tahoma" w:cs="Tahoma"/>
                <w:b/>
                <w:bCs/>
                <w:color w:val="000000" w:themeColor="text1"/>
                <w:sz w:val="20"/>
                <w:szCs w:val="20"/>
              </w:rPr>
              <w:t>Срок действия решения уполномоченного органа о предоставлении потребительского кредита</w:t>
            </w:r>
          </w:p>
        </w:tc>
        <w:tc>
          <w:tcPr>
            <w:tcW w:w="11452" w:type="dxa"/>
            <w:tcBorders>
              <w:top w:val="single" w:sz="4" w:space="0" w:color="auto"/>
              <w:left w:val="nil"/>
              <w:bottom w:val="single" w:sz="4" w:space="0" w:color="auto"/>
              <w:right w:val="single" w:sz="8" w:space="0" w:color="000000"/>
            </w:tcBorders>
            <w:noWrap/>
            <w:vAlign w:val="center"/>
          </w:tcPr>
          <w:p w14:paraId="0D5335F6" w14:textId="77777777" w:rsidR="00951A61" w:rsidRPr="003C6510" w:rsidRDefault="00951A61" w:rsidP="00A4032F">
            <w:pPr>
              <w:widowControl w:val="0"/>
              <w:tabs>
                <w:tab w:val="left" w:pos="426"/>
                <w:tab w:val="left" w:pos="851"/>
              </w:tabs>
              <w:ind w:firstLine="425"/>
              <w:jc w:val="both"/>
              <w:rPr>
                <w:rFonts w:ascii="Tahoma" w:hAnsi="Tahoma" w:cs="Tahoma"/>
                <w:sz w:val="20"/>
                <w:szCs w:val="20"/>
              </w:rPr>
            </w:pPr>
            <w:r w:rsidRPr="003C6510">
              <w:rPr>
                <w:rFonts w:ascii="Tahoma" w:hAnsi="Tahoma" w:cs="Tahoma"/>
                <w:bCs/>
                <w:color w:val="000000" w:themeColor="text1"/>
                <w:sz w:val="20"/>
                <w:szCs w:val="20"/>
              </w:rPr>
              <w:t>90 календарных дней</w:t>
            </w:r>
          </w:p>
        </w:tc>
      </w:tr>
      <w:tr w:rsidR="00951A61" w:rsidRPr="00F77EED" w14:paraId="6F47F6F4" w14:textId="77777777" w:rsidTr="00A4032F">
        <w:tblPrEx>
          <w:tblLook w:val="00A0" w:firstRow="1" w:lastRow="0" w:firstColumn="1" w:lastColumn="0" w:noHBand="0" w:noVBand="0"/>
        </w:tblPrEx>
        <w:trPr>
          <w:trHeight w:val="176"/>
        </w:trPr>
        <w:tc>
          <w:tcPr>
            <w:tcW w:w="4121" w:type="dxa"/>
            <w:tcBorders>
              <w:top w:val="single" w:sz="4" w:space="0" w:color="auto"/>
              <w:left w:val="single" w:sz="8" w:space="0" w:color="auto"/>
              <w:bottom w:val="single" w:sz="4" w:space="0" w:color="auto"/>
              <w:right w:val="single" w:sz="4" w:space="0" w:color="auto"/>
            </w:tcBorders>
            <w:vAlign w:val="center"/>
          </w:tcPr>
          <w:p w14:paraId="4A73B591" w14:textId="77777777" w:rsidR="00951A61" w:rsidRPr="003C6510" w:rsidRDefault="00951A61" w:rsidP="00A4032F">
            <w:pPr>
              <w:widowControl w:val="0"/>
              <w:tabs>
                <w:tab w:val="left" w:pos="426"/>
                <w:tab w:val="left" w:pos="851"/>
              </w:tabs>
              <w:jc w:val="center"/>
              <w:rPr>
                <w:rFonts w:ascii="Tahoma" w:hAnsi="Tahoma" w:cs="Tahoma"/>
                <w:b/>
                <w:bCs/>
                <w:color w:val="000000" w:themeColor="text1"/>
                <w:sz w:val="20"/>
                <w:szCs w:val="20"/>
              </w:rPr>
            </w:pPr>
            <w:r w:rsidRPr="003C6510">
              <w:rPr>
                <w:rFonts w:ascii="Tahoma" w:hAnsi="Tahoma" w:cs="Tahoma"/>
                <w:b/>
                <w:color w:val="000000"/>
                <w:sz w:val="20"/>
                <w:szCs w:val="20"/>
              </w:rPr>
              <w:t>Право заемщика обратиться к кредитору с требованием, предусмотренным частью 1 статьи 6.1-1 Федерального закона от 21.12.2013 № 353-ФЗ «О потребительском кредите (займе)», и об условиях, при наступлении которых у заемщика возникает соответствующее право.</w:t>
            </w:r>
          </w:p>
        </w:tc>
        <w:tc>
          <w:tcPr>
            <w:tcW w:w="11452" w:type="dxa"/>
            <w:tcBorders>
              <w:top w:val="single" w:sz="4" w:space="0" w:color="auto"/>
              <w:left w:val="nil"/>
              <w:bottom w:val="single" w:sz="4" w:space="0" w:color="auto"/>
              <w:right w:val="single" w:sz="8" w:space="0" w:color="000000"/>
            </w:tcBorders>
            <w:noWrap/>
            <w:vAlign w:val="center"/>
          </w:tcPr>
          <w:p w14:paraId="54095A02" w14:textId="77777777" w:rsidR="00951A61" w:rsidRPr="003C6510" w:rsidRDefault="00951A61" w:rsidP="00A4032F">
            <w:pPr>
              <w:autoSpaceDE w:val="0"/>
              <w:autoSpaceDN w:val="0"/>
              <w:adjustRightInd w:val="0"/>
              <w:jc w:val="both"/>
              <w:rPr>
                <w:rFonts w:ascii="Tahoma" w:hAnsi="Tahoma" w:cs="Tahoma"/>
                <w:sz w:val="20"/>
                <w:szCs w:val="20"/>
              </w:rPr>
            </w:pPr>
            <w:r w:rsidRPr="003C6510">
              <w:rPr>
                <w:rFonts w:ascii="Tahoma" w:hAnsi="Tahoma" w:cs="Tahoma"/>
                <w:sz w:val="20"/>
                <w:szCs w:val="20"/>
              </w:rPr>
              <w:t xml:space="preserve">Заемщик в любой момент в течение времени действия Кредитного договора, а в случае, указанном в п. 6 ч. 2 ст. 6.1-1 Закона № 353-ФЗ (и (наводнении, пожаре, катастрофе или другом бедствии), в течение шестидесяти дней со дня установления соответствующих фактов, вправе обратиться к кредитору с требованием о предоставлении льготного периода, предусматривающего приостановление исполнения Заемщиком своих обязательств по Кредитному договору, либо указание на размер платежей, уплачиваемых заемщиком в течение льготного периода. </w:t>
            </w:r>
          </w:p>
          <w:p w14:paraId="05CEF2DF" w14:textId="77777777" w:rsidR="00951A61" w:rsidRPr="003C6510" w:rsidRDefault="00951A61" w:rsidP="00A4032F">
            <w:pPr>
              <w:widowControl w:val="0"/>
              <w:tabs>
                <w:tab w:val="left" w:pos="426"/>
                <w:tab w:val="left" w:pos="851"/>
              </w:tabs>
              <w:ind w:firstLine="425"/>
              <w:jc w:val="both"/>
              <w:rPr>
                <w:rFonts w:ascii="Tahoma" w:hAnsi="Tahoma" w:cs="Tahoma"/>
                <w:bCs/>
                <w:color w:val="000000" w:themeColor="text1"/>
                <w:sz w:val="20"/>
                <w:szCs w:val="20"/>
              </w:rPr>
            </w:pPr>
            <w:r w:rsidRPr="003C6510">
              <w:rPr>
                <w:rFonts w:ascii="Tahoma" w:hAnsi="Tahoma" w:cs="Tahoma"/>
                <w:sz w:val="20"/>
                <w:szCs w:val="20"/>
              </w:rPr>
              <w:t xml:space="preserve">С условиями, при наступлении которых у Заемщика возникает такое право, можно ознакомиться в размещаемой Банком информации о кредитных каникулах в рамках 353-ФЗ, в том числе на сайте Банка </w:t>
            </w:r>
            <w:hyperlink r:id="rId53" w:history="1">
              <w:r w:rsidRPr="003C6510">
                <w:rPr>
                  <w:rStyle w:val="aff"/>
                  <w:rFonts w:ascii="Tahoma" w:hAnsi="Tahoma" w:cs="Tahoma"/>
                  <w:sz w:val="20"/>
                  <w:szCs w:val="20"/>
                </w:rPr>
                <w:t>https://www.atb.su/customer-care-service/</w:t>
              </w:r>
            </w:hyperlink>
          </w:p>
        </w:tc>
      </w:tr>
    </w:tbl>
    <w:p w14:paraId="36D9D358" w14:textId="77777777" w:rsidR="00951A61" w:rsidRPr="003C1A96" w:rsidRDefault="00951A61" w:rsidP="00951A61">
      <w:pPr>
        <w:pageBreakBefore/>
        <w:jc w:val="right"/>
        <w:rPr>
          <w:rFonts w:ascii="Tahoma" w:hAnsi="Tahoma" w:cs="Tahoma"/>
          <w:sz w:val="18"/>
          <w:szCs w:val="20"/>
        </w:rPr>
      </w:pPr>
      <w:r w:rsidRPr="003C1A96">
        <w:rPr>
          <w:rFonts w:ascii="Tahoma" w:hAnsi="Tahoma" w:cs="Tahoma"/>
          <w:sz w:val="18"/>
          <w:szCs w:val="20"/>
        </w:rPr>
        <w:lastRenderedPageBreak/>
        <w:t>Приложение №1</w:t>
      </w:r>
    </w:p>
    <w:p w14:paraId="5D8DB59A" w14:textId="77777777" w:rsidR="00951A61" w:rsidRPr="003C1A96" w:rsidRDefault="00951A61" w:rsidP="00951A61">
      <w:pPr>
        <w:jc w:val="right"/>
        <w:rPr>
          <w:rFonts w:ascii="Tahoma" w:hAnsi="Tahoma" w:cs="Tahoma"/>
          <w:noProof/>
          <w:sz w:val="18"/>
          <w:szCs w:val="20"/>
        </w:rPr>
      </w:pPr>
      <w:r w:rsidRPr="003C1A96">
        <w:rPr>
          <w:rFonts w:ascii="Tahoma" w:hAnsi="Tahoma" w:cs="Tahoma"/>
          <w:noProof/>
          <w:sz w:val="18"/>
          <w:szCs w:val="20"/>
        </w:rPr>
        <w:t xml:space="preserve">к основным условиях предоставления, использования и возврата </w:t>
      </w:r>
    </w:p>
    <w:p w14:paraId="207CBE99" w14:textId="77777777" w:rsidR="00951A61" w:rsidRPr="00CA7A33" w:rsidRDefault="00951A61" w:rsidP="00951A61">
      <w:pPr>
        <w:jc w:val="right"/>
        <w:rPr>
          <w:rFonts w:ascii="Tahoma" w:hAnsi="Tahoma" w:cs="Tahoma"/>
          <w:sz w:val="18"/>
          <w:szCs w:val="20"/>
        </w:rPr>
      </w:pPr>
      <w:r w:rsidRPr="003C1A96">
        <w:rPr>
          <w:rFonts w:ascii="Tahoma" w:hAnsi="Tahoma" w:cs="Tahoma"/>
          <w:noProof/>
          <w:sz w:val="18"/>
          <w:szCs w:val="20"/>
        </w:rPr>
        <w:t>ипотечного кредита по тарифному плану «Нецелевой»</w:t>
      </w:r>
    </w:p>
    <w:p w14:paraId="6CA8AB67" w14:textId="77777777" w:rsidR="00951A61" w:rsidRPr="00C20E61" w:rsidRDefault="00951A61" w:rsidP="00951A61">
      <w:pPr>
        <w:jc w:val="center"/>
        <w:rPr>
          <w:rFonts w:ascii="Tahoma" w:hAnsi="Tahoma" w:cs="Tahoma"/>
          <w:b/>
          <w:sz w:val="18"/>
          <w:szCs w:val="18"/>
        </w:rPr>
      </w:pPr>
    </w:p>
    <w:p w14:paraId="1DC4749F" w14:textId="77777777" w:rsidR="00951A61" w:rsidRPr="00C20E61" w:rsidRDefault="00951A61" w:rsidP="00951A61">
      <w:pPr>
        <w:jc w:val="center"/>
        <w:rPr>
          <w:rFonts w:ascii="Tahoma" w:hAnsi="Tahoma" w:cs="Tahoma"/>
          <w:b/>
          <w:sz w:val="20"/>
          <w:szCs w:val="20"/>
        </w:rPr>
      </w:pPr>
      <w:r w:rsidRPr="00C20E61">
        <w:rPr>
          <w:rFonts w:ascii="Tahoma" w:hAnsi="Tahoma" w:cs="Tahoma"/>
          <w:b/>
          <w:sz w:val="20"/>
          <w:szCs w:val="20"/>
        </w:rPr>
        <w:t xml:space="preserve">ПОРЯДОК ФОРМИРОВАНИЯ ПРОЦЕНТНЫХ СТАВОК ПО ИПОТЕЧНОМУ КРЕДИТУ ПО ТАРИФНОМУ ПЛАНУ </w:t>
      </w:r>
    </w:p>
    <w:p w14:paraId="14BAC850" w14:textId="77777777" w:rsidR="00951A61" w:rsidRDefault="00951A61" w:rsidP="00951A61">
      <w:pPr>
        <w:jc w:val="center"/>
        <w:rPr>
          <w:rFonts w:ascii="Tahoma" w:hAnsi="Tahoma" w:cs="Tahoma"/>
          <w:b/>
          <w:sz w:val="20"/>
          <w:szCs w:val="20"/>
        </w:rPr>
      </w:pPr>
      <w:r w:rsidRPr="00C20E61">
        <w:rPr>
          <w:rFonts w:ascii="Tahoma" w:hAnsi="Tahoma" w:cs="Tahoma"/>
          <w:b/>
          <w:sz w:val="20"/>
          <w:szCs w:val="20"/>
        </w:rPr>
        <w:t>«НЕЦЕЛЕВОЙ»:</w:t>
      </w:r>
    </w:p>
    <w:p w14:paraId="5CA362A7" w14:textId="77777777" w:rsidR="00951A61" w:rsidRPr="00D42020" w:rsidRDefault="00951A61" w:rsidP="00951A61">
      <w:pPr>
        <w:jc w:val="center"/>
        <w:rPr>
          <w:rFonts w:ascii="Tahoma" w:hAnsi="Tahoma" w:cs="Tahoma"/>
          <w:b/>
          <w:sz w:val="20"/>
          <w:szCs w:val="20"/>
        </w:rPr>
      </w:pPr>
    </w:p>
    <w:p w14:paraId="030C865A" w14:textId="77777777" w:rsidR="00951A61" w:rsidRDefault="00951A61" w:rsidP="00951A61">
      <w:pPr>
        <w:pStyle w:val="affe"/>
        <w:ind w:left="284"/>
        <w:jc w:val="both"/>
        <w:rPr>
          <w:rFonts w:ascii="Tahoma" w:hAnsi="Tahoma" w:cs="Tahoma"/>
          <w:sz w:val="20"/>
          <w:szCs w:val="20"/>
        </w:rPr>
      </w:pPr>
    </w:p>
    <w:tbl>
      <w:tblPr>
        <w:tblStyle w:val="aff0"/>
        <w:tblW w:w="5000" w:type="pct"/>
        <w:tblLook w:val="04A0" w:firstRow="1" w:lastRow="0" w:firstColumn="1" w:lastColumn="0" w:noHBand="0" w:noVBand="1"/>
      </w:tblPr>
      <w:tblGrid>
        <w:gridCol w:w="1039"/>
        <w:gridCol w:w="10735"/>
        <w:gridCol w:w="3920"/>
      </w:tblGrid>
      <w:tr w:rsidR="00951A61" w:rsidRPr="00CC155A" w14:paraId="7EC60580" w14:textId="77777777" w:rsidTr="00A4032F">
        <w:trPr>
          <w:trHeight w:val="235"/>
        </w:trPr>
        <w:tc>
          <w:tcPr>
            <w:tcW w:w="331" w:type="pct"/>
          </w:tcPr>
          <w:p w14:paraId="128ACA78" w14:textId="77777777" w:rsidR="00951A61" w:rsidRPr="00CC155A" w:rsidRDefault="00951A61" w:rsidP="00A4032F">
            <w:pPr>
              <w:pStyle w:val="affe"/>
              <w:ind w:left="0"/>
              <w:rPr>
                <w:rFonts w:ascii="Tahoma" w:hAnsi="Tahoma" w:cs="Tahoma"/>
                <w:b/>
                <w:sz w:val="20"/>
                <w:szCs w:val="20"/>
              </w:rPr>
            </w:pPr>
            <w:r w:rsidRPr="00CC155A">
              <w:rPr>
                <w:rFonts w:ascii="Tahoma" w:hAnsi="Tahoma" w:cs="Tahoma"/>
                <w:b/>
                <w:sz w:val="20"/>
                <w:szCs w:val="20"/>
              </w:rPr>
              <w:t>№ п/п</w:t>
            </w:r>
          </w:p>
        </w:tc>
        <w:tc>
          <w:tcPr>
            <w:tcW w:w="3420" w:type="pct"/>
          </w:tcPr>
          <w:p w14:paraId="718611AB" w14:textId="77777777" w:rsidR="00951A61" w:rsidRPr="00CC155A" w:rsidRDefault="00951A61" w:rsidP="00A4032F">
            <w:pPr>
              <w:pStyle w:val="affe"/>
              <w:ind w:left="0"/>
              <w:jc w:val="center"/>
              <w:rPr>
                <w:rFonts w:ascii="Tahoma" w:hAnsi="Tahoma" w:cs="Tahoma"/>
                <w:b/>
                <w:sz w:val="20"/>
                <w:szCs w:val="20"/>
              </w:rPr>
            </w:pPr>
            <w:r w:rsidRPr="00CC155A">
              <w:rPr>
                <w:rFonts w:ascii="Tahoma" w:hAnsi="Tahoma" w:cs="Tahoma"/>
                <w:b/>
                <w:sz w:val="20"/>
                <w:szCs w:val="20"/>
              </w:rPr>
              <w:t>Наименование параметра</w:t>
            </w:r>
          </w:p>
        </w:tc>
        <w:tc>
          <w:tcPr>
            <w:tcW w:w="1249" w:type="pct"/>
          </w:tcPr>
          <w:p w14:paraId="3F60C72E" w14:textId="77777777" w:rsidR="00951A61" w:rsidRPr="00CC155A" w:rsidRDefault="00951A61" w:rsidP="00A4032F">
            <w:pPr>
              <w:pStyle w:val="affe"/>
              <w:ind w:left="0"/>
              <w:jc w:val="center"/>
              <w:rPr>
                <w:rFonts w:ascii="Tahoma" w:hAnsi="Tahoma" w:cs="Tahoma"/>
                <w:b/>
                <w:sz w:val="20"/>
                <w:szCs w:val="20"/>
              </w:rPr>
            </w:pPr>
            <w:r w:rsidRPr="00CC155A">
              <w:rPr>
                <w:rFonts w:ascii="Tahoma" w:hAnsi="Tahoma" w:cs="Tahoma"/>
                <w:b/>
                <w:sz w:val="20"/>
                <w:szCs w:val="20"/>
              </w:rPr>
              <w:t>Значение, в процентных пунктах</w:t>
            </w:r>
          </w:p>
        </w:tc>
      </w:tr>
      <w:tr w:rsidR="00951A61" w:rsidRPr="00CC155A" w14:paraId="180C67E3" w14:textId="77777777" w:rsidTr="00A4032F">
        <w:trPr>
          <w:trHeight w:val="235"/>
        </w:trPr>
        <w:tc>
          <w:tcPr>
            <w:tcW w:w="331" w:type="pct"/>
            <w:vAlign w:val="center"/>
          </w:tcPr>
          <w:p w14:paraId="0DCDFEE2" w14:textId="77777777" w:rsidR="00951A61" w:rsidRPr="00CC155A" w:rsidRDefault="00951A61" w:rsidP="00A4032F">
            <w:pPr>
              <w:pStyle w:val="affe"/>
              <w:ind w:left="0"/>
              <w:rPr>
                <w:rFonts w:ascii="Tahoma" w:hAnsi="Tahoma" w:cs="Tahoma"/>
                <w:b/>
                <w:sz w:val="20"/>
                <w:szCs w:val="20"/>
              </w:rPr>
            </w:pPr>
            <w:r w:rsidRPr="00CC155A">
              <w:rPr>
                <w:rFonts w:ascii="Tahoma" w:hAnsi="Tahoma" w:cs="Tahoma"/>
                <w:b/>
                <w:sz w:val="20"/>
                <w:szCs w:val="20"/>
              </w:rPr>
              <w:t>1.</w:t>
            </w:r>
          </w:p>
        </w:tc>
        <w:tc>
          <w:tcPr>
            <w:tcW w:w="3420" w:type="pct"/>
            <w:vAlign w:val="center"/>
          </w:tcPr>
          <w:p w14:paraId="32B7CF7C" w14:textId="77777777" w:rsidR="00951A61" w:rsidRPr="00CC155A" w:rsidRDefault="00951A61" w:rsidP="00A4032F">
            <w:pPr>
              <w:pStyle w:val="affe"/>
              <w:ind w:left="0"/>
              <w:jc w:val="center"/>
              <w:rPr>
                <w:rFonts w:ascii="Tahoma" w:hAnsi="Tahoma" w:cs="Tahoma"/>
                <w:b/>
                <w:sz w:val="20"/>
                <w:szCs w:val="20"/>
              </w:rPr>
            </w:pPr>
            <w:r w:rsidRPr="00CC155A">
              <w:rPr>
                <w:rFonts w:ascii="Tahoma" w:hAnsi="Tahoma" w:cs="Tahoma"/>
                <w:b/>
                <w:sz w:val="20"/>
                <w:szCs w:val="20"/>
              </w:rPr>
              <w:t>БАЗОВАЯ СТАВКА</w:t>
            </w:r>
            <w:r w:rsidRPr="00CC155A">
              <w:rPr>
                <w:rStyle w:val="aff3"/>
                <w:rFonts w:ascii="Tahoma" w:hAnsi="Tahoma"/>
                <w:b/>
                <w:sz w:val="20"/>
                <w:szCs w:val="20"/>
              </w:rPr>
              <w:footnoteReference w:id="159"/>
            </w:r>
            <w:r w:rsidRPr="00CC155A">
              <w:rPr>
                <w:rFonts w:ascii="Tahoma" w:hAnsi="Tahoma" w:cs="Tahoma"/>
                <w:b/>
                <w:sz w:val="20"/>
                <w:szCs w:val="20"/>
              </w:rPr>
              <w:t>:</w:t>
            </w:r>
          </w:p>
        </w:tc>
        <w:tc>
          <w:tcPr>
            <w:tcW w:w="1249" w:type="pct"/>
            <w:vAlign w:val="center"/>
          </w:tcPr>
          <w:p w14:paraId="509FA867" w14:textId="77777777" w:rsidR="00951A61" w:rsidRPr="007D5098" w:rsidRDefault="00951A61" w:rsidP="00A4032F">
            <w:pPr>
              <w:pStyle w:val="affe"/>
              <w:ind w:left="0"/>
              <w:jc w:val="center"/>
              <w:rPr>
                <w:rFonts w:ascii="Tahoma" w:hAnsi="Tahoma" w:cs="Tahoma"/>
                <w:b/>
                <w:sz w:val="20"/>
                <w:szCs w:val="20"/>
              </w:rPr>
            </w:pPr>
            <w:r w:rsidRPr="004E4ED9">
              <w:rPr>
                <w:rFonts w:ascii="Tahoma" w:hAnsi="Tahoma" w:cs="Tahoma"/>
                <w:sz w:val="20"/>
                <w:szCs w:val="20"/>
              </w:rPr>
              <w:t>24,00 % годовых</w:t>
            </w:r>
          </w:p>
        </w:tc>
      </w:tr>
      <w:tr w:rsidR="00951A61" w:rsidRPr="00CC155A" w14:paraId="02124505" w14:textId="77777777" w:rsidTr="00A4032F">
        <w:trPr>
          <w:trHeight w:val="235"/>
        </w:trPr>
        <w:tc>
          <w:tcPr>
            <w:tcW w:w="331" w:type="pct"/>
          </w:tcPr>
          <w:p w14:paraId="2EFA3B98" w14:textId="77777777" w:rsidR="00951A61" w:rsidRPr="00CC155A" w:rsidRDefault="00951A61" w:rsidP="00A4032F">
            <w:pPr>
              <w:pStyle w:val="affe"/>
              <w:ind w:left="0"/>
              <w:rPr>
                <w:rFonts w:ascii="Tahoma" w:hAnsi="Tahoma" w:cs="Tahoma"/>
                <w:b/>
                <w:sz w:val="20"/>
                <w:szCs w:val="20"/>
              </w:rPr>
            </w:pPr>
            <w:r w:rsidRPr="00CC155A">
              <w:rPr>
                <w:rFonts w:ascii="Tahoma" w:hAnsi="Tahoma" w:cs="Tahoma"/>
                <w:b/>
                <w:sz w:val="20"/>
                <w:szCs w:val="20"/>
              </w:rPr>
              <w:t>2.</w:t>
            </w:r>
          </w:p>
        </w:tc>
        <w:tc>
          <w:tcPr>
            <w:tcW w:w="3420" w:type="pct"/>
          </w:tcPr>
          <w:p w14:paraId="50CCFEAC" w14:textId="77777777" w:rsidR="00951A61" w:rsidRPr="00CC155A" w:rsidRDefault="00951A61" w:rsidP="00A4032F">
            <w:pPr>
              <w:pStyle w:val="affe"/>
              <w:ind w:left="0"/>
              <w:jc w:val="center"/>
              <w:rPr>
                <w:rFonts w:ascii="Tahoma" w:hAnsi="Tahoma" w:cs="Tahoma"/>
                <w:b/>
                <w:sz w:val="20"/>
                <w:szCs w:val="20"/>
              </w:rPr>
            </w:pPr>
            <w:r w:rsidRPr="00CC155A">
              <w:rPr>
                <w:rFonts w:ascii="Tahoma" w:hAnsi="Tahoma" w:cs="Tahoma"/>
                <w:b/>
                <w:sz w:val="20"/>
                <w:szCs w:val="20"/>
              </w:rPr>
              <w:t>ДИСКОНТЫ:</w:t>
            </w:r>
            <w:r w:rsidRPr="00CC155A">
              <w:rPr>
                <w:rStyle w:val="aff3"/>
                <w:rFonts w:ascii="Tahoma" w:hAnsi="Tahoma" w:cs="Tahoma"/>
                <w:sz w:val="20"/>
                <w:szCs w:val="20"/>
              </w:rPr>
              <w:footnoteReference w:id="160"/>
            </w:r>
          </w:p>
        </w:tc>
        <w:tc>
          <w:tcPr>
            <w:tcW w:w="1249" w:type="pct"/>
          </w:tcPr>
          <w:p w14:paraId="6352FF1F" w14:textId="77777777" w:rsidR="00951A61" w:rsidRPr="007D5098" w:rsidRDefault="00951A61" w:rsidP="00A4032F">
            <w:pPr>
              <w:pStyle w:val="affe"/>
              <w:ind w:left="0"/>
              <w:jc w:val="center"/>
              <w:rPr>
                <w:rFonts w:ascii="Tahoma" w:hAnsi="Tahoma" w:cs="Tahoma"/>
                <w:b/>
                <w:sz w:val="20"/>
                <w:szCs w:val="20"/>
              </w:rPr>
            </w:pPr>
          </w:p>
        </w:tc>
      </w:tr>
      <w:tr w:rsidR="00951A61" w:rsidRPr="00CA29BA" w14:paraId="71551E2C" w14:textId="77777777" w:rsidTr="00A4032F">
        <w:trPr>
          <w:trHeight w:val="235"/>
        </w:trPr>
        <w:tc>
          <w:tcPr>
            <w:tcW w:w="331" w:type="pct"/>
          </w:tcPr>
          <w:p w14:paraId="11EE94DB" w14:textId="77777777" w:rsidR="00951A61" w:rsidRPr="00CA29BA" w:rsidRDefault="00951A61" w:rsidP="00A4032F">
            <w:pPr>
              <w:pStyle w:val="affe"/>
              <w:ind w:left="0"/>
              <w:rPr>
                <w:rFonts w:ascii="Tahoma" w:hAnsi="Tahoma" w:cs="Tahoma"/>
                <w:sz w:val="20"/>
                <w:szCs w:val="20"/>
              </w:rPr>
            </w:pPr>
            <w:r w:rsidRPr="00CA29BA">
              <w:rPr>
                <w:rFonts w:ascii="Tahoma" w:hAnsi="Tahoma" w:cs="Tahoma"/>
                <w:sz w:val="20"/>
                <w:szCs w:val="20"/>
              </w:rPr>
              <w:t>2.1.</w:t>
            </w:r>
          </w:p>
        </w:tc>
        <w:tc>
          <w:tcPr>
            <w:tcW w:w="3420" w:type="pct"/>
          </w:tcPr>
          <w:p w14:paraId="08D14658" w14:textId="77777777" w:rsidR="00951A61" w:rsidRPr="00CA29BA" w:rsidRDefault="00951A61" w:rsidP="00A4032F">
            <w:pPr>
              <w:pStyle w:val="affe"/>
              <w:ind w:left="0"/>
              <w:jc w:val="both"/>
              <w:rPr>
                <w:rFonts w:ascii="Tahoma" w:hAnsi="Tahoma" w:cs="Tahoma"/>
                <w:b/>
                <w:sz w:val="20"/>
                <w:szCs w:val="20"/>
              </w:rPr>
            </w:pPr>
            <w:r w:rsidRPr="00CA29BA">
              <w:rPr>
                <w:rFonts w:ascii="Tahoma" w:hAnsi="Tahoma" w:cs="Tahoma"/>
                <w:sz w:val="20"/>
                <w:szCs w:val="20"/>
              </w:rPr>
              <w:t>Заемщик является работником Банка</w:t>
            </w:r>
            <w:r w:rsidRPr="004A4396">
              <w:rPr>
                <w:rStyle w:val="aff3"/>
                <w:rFonts w:ascii="Tahoma" w:hAnsi="Tahoma" w:cs="Tahoma"/>
                <w:sz w:val="20"/>
                <w:szCs w:val="20"/>
              </w:rPr>
              <w:footnoteReference w:id="161"/>
            </w:r>
            <w:r w:rsidRPr="00CA29BA">
              <w:rPr>
                <w:rFonts w:ascii="Tahoma" w:hAnsi="Tahoma" w:cs="Tahoma"/>
                <w:sz w:val="20"/>
                <w:szCs w:val="20"/>
              </w:rPr>
              <w:t>.</w:t>
            </w:r>
          </w:p>
        </w:tc>
        <w:tc>
          <w:tcPr>
            <w:tcW w:w="1249" w:type="pct"/>
          </w:tcPr>
          <w:p w14:paraId="5F844B99" w14:textId="77777777" w:rsidR="00951A61" w:rsidRPr="008148A9" w:rsidRDefault="00951A61" w:rsidP="00A4032F">
            <w:pPr>
              <w:pStyle w:val="affe"/>
              <w:ind w:left="0"/>
              <w:jc w:val="center"/>
              <w:rPr>
                <w:rFonts w:ascii="Tahoma" w:hAnsi="Tahoma" w:cs="Tahoma"/>
                <w:b/>
                <w:sz w:val="20"/>
                <w:szCs w:val="20"/>
              </w:rPr>
            </w:pPr>
            <w:r w:rsidRPr="00287C21">
              <w:rPr>
                <w:rFonts w:ascii="Tahoma" w:hAnsi="Tahoma" w:cs="Tahoma"/>
                <w:sz w:val="20"/>
                <w:szCs w:val="20"/>
              </w:rPr>
              <w:t>минус 0,50</w:t>
            </w:r>
          </w:p>
        </w:tc>
      </w:tr>
      <w:tr w:rsidR="00951A61" w:rsidRPr="00CA29BA" w14:paraId="23451ABC" w14:textId="77777777" w:rsidTr="00A4032F">
        <w:trPr>
          <w:trHeight w:val="93"/>
        </w:trPr>
        <w:tc>
          <w:tcPr>
            <w:tcW w:w="331" w:type="pct"/>
          </w:tcPr>
          <w:p w14:paraId="697365E8" w14:textId="77777777" w:rsidR="00951A61" w:rsidRPr="00CA29BA" w:rsidRDefault="00951A61" w:rsidP="00A4032F">
            <w:pPr>
              <w:pStyle w:val="affe"/>
              <w:ind w:left="0"/>
              <w:rPr>
                <w:rFonts w:ascii="Tahoma" w:hAnsi="Tahoma" w:cs="Tahoma"/>
                <w:sz w:val="20"/>
                <w:szCs w:val="20"/>
              </w:rPr>
            </w:pPr>
            <w:r w:rsidRPr="00CA29BA">
              <w:rPr>
                <w:rFonts w:ascii="Tahoma" w:hAnsi="Tahoma" w:cs="Tahoma"/>
                <w:sz w:val="20"/>
                <w:szCs w:val="20"/>
              </w:rPr>
              <w:t>2.</w:t>
            </w:r>
            <w:r>
              <w:rPr>
                <w:rFonts w:ascii="Tahoma" w:hAnsi="Tahoma" w:cs="Tahoma"/>
                <w:sz w:val="20"/>
                <w:szCs w:val="20"/>
              </w:rPr>
              <w:t>2</w:t>
            </w:r>
            <w:r w:rsidRPr="00CA29BA">
              <w:rPr>
                <w:rFonts w:ascii="Tahoma" w:hAnsi="Tahoma" w:cs="Tahoma"/>
                <w:sz w:val="20"/>
                <w:szCs w:val="20"/>
              </w:rPr>
              <w:t>.</w:t>
            </w:r>
          </w:p>
        </w:tc>
        <w:tc>
          <w:tcPr>
            <w:tcW w:w="3420" w:type="pct"/>
            <w:vAlign w:val="center"/>
          </w:tcPr>
          <w:p w14:paraId="0B197317" w14:textId="77777777" w:rsidR="00951A61" w:rsidRPr="00CA29BA" w:rsidRDefault="00951A61" w:rsidP="00A4032F">
            <w:pPr>
              <w:pStyle w:val="affe"/>
              <w:ind w:left="0"/>
              <w:jc w:val="both"/>
              <w:rPr>
                <w:rFonts w:ascii="Tahoma" w:hAnsi="Tahoma" w:cs="Tahoma"/>
                <w:sz w:val="20"/>
                <w:szCs w:val="20"/>
              </w:rPr>
            </w:pPr>
            <w:r w:rsidRPr="00CA29BA">
              <w:rPr>
                <w:rFonts w:ascii="Tahoma" w:hAnsi="Tahoma" w:cs="Tahoma"/>
                <w:sz w:val="20"/>
                <w:szCs w:val="20"/>
              </w:rPr>
              <w:t>Заемщик является клиентом партнеров Банка, оказывающих риэлторские услуги</w:t>
            </w:r>
            <w:r w:rsidRPr="00CA29BA">
              <w:rPr>
                <w:rStyle w:val="aff3"/>
                <w:rFonts w:ascii="Tahoma" w:hAnsi="Tahoma" w:cs="Tahoma"/>
                <w:sz w:val="20"/>
                <w:szCs w:val="20"/>
              </w:rPr>
              <w:footnoteReference w:id="162"/>
            </w:r>
          </w:p>
        </w:tc>
        <w:tc>
          <w:tcPr>
            <w:tcW w:w="1249" w:type="pct"/>
            <w:vAlign w:val="center"/>
          </w:tcPr>
          <w:p w14:paraId="6A60EBDB" w14:textId="77777777" w:rsidR="00951A61" w:rsidRPr="008148A9" w:rsidRDefault="00951A61" w:rsidP="00A4032F">
            <w:pPr>
              <w:pStyle w:val="affe"/>
              <w:ind w:left="0"/>
              <w:jc w:val="center"/>
              <w:rPr>
                <w:rFonts w:ascii="Tahoma" w:hAnsi="Tahoma" w:cs="Tahoma"/>
                <w:sz w:val="20"/>
                <w:szCs w:val="20"/>
              </w:rPr>
            </w:pPr>
            <w:r w:rsidRPr="008148A9">
              <w:rPr>
                <w:rFonts w:ascii="Tahoma" w:hAnsi="Tahoma" w:cs="Tahoma"/>
                <w:sz w:val="20"/>
                <w:szCs w:val="20"/>
              </w:rPr>
              <w:t>минус 0,20</w:t>
            </w:r>
          </w:p>
        </w:tc>
      </w:tr>
      <w:tr w:rsidR="00951A61" w:rsidRPr="00CA29BA" w14:paraId="67983C69" w14:textId="77777777" w:rsidTr="00A4032F">
        <w:trPr>
          <w:trHeight w:val="93"/>
        </w:trPr>
        <w:tc>
          <w:tcPr>
            <w:tcW w:w="331" w:type="pct"/>
          </w:tcPr>
          <w:p w14:paraId="2D1F6089" w14:textId="77777777" w:rsidR="00951A61" w:rsidRPr="00CA29BA" w:rsidRDefault="00951A61" w:rsidP="00A4032F">
            <w:pPr>
              <w:pStyle w:val="affe"/>
              <w:ind w:left="0"/>
              <w:rPr>
                <w:rFonts w:ascii="Tahoma" w:hAnsi="Tahoma" w:cs="Tahoma"/>
                <w:sz w:val="20"/>
                <w:szCs w:val="20"/>
              </w:rPr>
            </w:pPr>
            <w:r w:rsidRPr="00CA29BA">
              <w:rPr>
                <w:rFonts w:ascii="Tahoma" w:hAnsi="Tahoma" w:cs="Tahoma"/>
                <w:sz w:val="20"/>
                <w:szCs w:val="20"/>
              </w:rPr>
              <w:t>2.</w:t>
            </w:r>
            <w:r>
              <w:rPr>
                <w:rFonts w:ascii="Tahoma" w:hAnsi="Tahoma" w:cs="Tahoma"/>
                <w:sz w:val="20"/>
                <w:szCs w:val="20"/>
              </w:rPr>
              <w:t>3</w:t>
            </w:r>
            <w:r w:rsidRPr="00CA29BA">
              <w:rPr>
                <w:rFonts w:ascii="Tahoma" w:hAnsi="Tahoma" w:cs="Tahoma"/>
                <w:sz w:val="20"/>
                <w:szCs w:val="20"/>
              </w:rPr>
              <w:t>.</w:t>
            </w:r>
          </w:p>
        </w:tc>
        <w:tc>
          <w:tcPr>
            <w:tcW w:w="3420" w:type="pct"/>
            <w:vAlign w:val="center"/>
          </w:tcPr>
          <w:p w14:paraId="27C73120" w14:textId="77777777" w:rsidR="00951A61" w:rsidRPr="00CA29BA" w:rsidRDefault="00951A61" w:rsidP="00A4032F">
            <w:pPr>
              <w:pStyle w:val="affe"/>
              <w:ind w:left="0"/>
              <w:jc w:val="both"/>
              <w:rPr>
                <w:rFonts w:ascii="Tahoma" w:hAnsi="Tahoma" w:cs="Tahoma"/>
                <w:sz w:val="20"/>
                <w:szCs w:val="20"/>
              </w:rPr>
            </w:pPr>
            <w:r w:rsidRPr="00CA29BA">
              <w:rPr>
                <w:rFonts w:ascii="Tahoma" w:hAnsi="Tahoma" w:cs="Tahoma"/>
                <w:sz w:val="20"/>
                <w:szCs w:val="20"/>
              </w:rPr>
              <w:t>В случае проведения сделки с услугой электронной регистрации</w:t>
            </w:r>
            <w:r w:rsidRPr="00CA29BA">
              <w:rPr>
                <w:rStyle w:val="aff3"/>
                <w:rFonts w:ascii="Tahoma" w:hAnsi="Tahoma" w:cs="Tahoma"/>
                <w:sz w:val="20"/>
                <w:szCs w:val="20"/>
              </w:rPr>
              <w:footnoteReference w:id="163"/>
            </w:r>
            <w:r w:rsidRPr="00CA29BA">
              <w:rPr>
                <w:rFonts w:ascii="Tahoma" w:hAnsi="Tahoma" w:cs="Tahoma"/>
                <w:sz w:val="20"/>
                <w:szCs w:val="20"/>
              </w:rPr>
              <w:t>.</w:t>
            </w:r>
          </w:p>
        </w:tc>
        <w:tc>
          <w:tcPr>
            <w:tcW w:w="1249" w:type="pct"/>
            <w:vAlign w:val="center"/>
          </w:tcPr>
          <w:p w14:paraId="1FB46BCC" w14:textId="77777777" w:rsidR="00951A61" w:rsidRPr="00CA29BA" w:rsidRDefault="00951A61" w:rsidP="00A4032F">
            <w:pPr>
              <w:pStyle w:val="affe"/>
              <w:ind w:left="0"/>
              <w:jc w:val="center"/>
              <w:rPr>
                <w:rFonts w:ascii="Tahoma" w:hAnsi="Tahoma" w:cs="Tahoma"/>
                <w:sz w:val="20"/>
                <w:szCs w:val="20"/>
              </w:rPr>
            </w:pPr>
            <w:r w:rsidRPr="00CA29BA">
              <w:rPr>
                <w:rFonts w:ascii="Tahoma" w:hAnsi="Tahoma" w:cs="Tahoma"/>
                <w:sz w:val="20"/>
                <w:szCs w:val="20"/>
              </w:rPr>
              <w:t>минус 0,20</w:t>
            </w:r>
          </w:p>
        </w:tc>
      </w:tr>
      <w:tr w:rsidR="00951A61" w:rsidRPr="00CA29BA" w14:paraId="13CE0E81" w14:textId="77777777" w:rsidTr="00A4032F">
        <w:trPr>
          <w:trHeight w:val="189"/>
        </w:trPr>
        <w:tc>
          <w:tcPr>
            <w:tcW w:w="331" w:type="pct"/>
          </w:tcPr>
          <w:p w14:paraId="5652770A" w14:textId="77777777" w:rsidR="00951A61" w:rsidRPr="00CA29BA" w:rsidRDefault="00951A61" w:rsidP="00A4032F">
            <w:pPr>
              <w:pStyle w:val="affe"/>
              <w:ind w:left="0"/>
              <w:rPr>
                <w:rFonts w:ascii="Tahoma" w:hAnsi="Tahoma" w:cs="Tahoma"/>
                <w:sz w:val="20"/>
                <w:szCs w:val="20"/>
              </w:rPr>
            </w:pPr>
            <w:r w:rsidRPr="00CA29BA">
              <w:rPr>
                <w:rFonts w:ascii="Tahoma" w:hAnsi="Tahoma" w:cs="Tahoma"/>
                <w:b/>
                <w:sz w:val="20"/>
                <w:szCs w:val="20"/>
              </w:rPr>
              <w:t>3.</w:t>
            </w:r>
          </w:p>
        </w:tc>
        <w:tc>
          <w:tcPr>
            <w:tcW w:w="3420" w:type="pct"/>
          </w:tcPr>
          <w:p w14:paraId="34AD8DE1" w14:textId="77777777" w:rsidR="00951A61" w:rsidRPr="00CA29BA" w:rsidRDefault="00951A61" w:rsidP="00A4032F">
            <w:pPr>
              <w:jc w:val="center"/>
              <w:rPr>
                <w:rFonts w:ascii="Tahoma" w:hAnsi="Tahoma" w:cs="Tahoma"/>
                <w:sz w:val="20"/>
                <w:szCs w:val="20"/>
              </w:rPr>
            </w:pPr>
            <w:r w:rsidRPr="00CA29BA">
              <w:rPr>
                <w:rFonts w:ascii="Tahoma" w:hAnsi="Tahoma" w:cs="Tahoma"/>
                <w:b/>
                <w:sz w:val="20"/>
                <w:szCs w:val="20"/>
              </w:rPr>
              <w:t>НАДБАВКИ</w:t>
            </w:r>
            <w:r w:rsidRPr="00CA29BA">
              <w:rPr>
                <w:rStyle w:val="aff3"/>
                <w:rFonts w:ascii="Tahoma" w:hAnsi="Tahoma" w:cs="Tahoma"/>
                <w:b/>
                <w:sz w:val="20"/>
                <w:szCs w:val="20"/>
              </w:rPr>
              <w:footnoteReference w:id="164"/>
            </w:r>
            <w:r w:rsidRPr="00CA29BA">
              <w:rPr>
                <w:rFonts w:ascii="Tahoma" w:hAnsi="Tahoma" w:cs="Tahoma"/>
                <w:b/>
                <w:sz w:val="20"/>
                <w:szCs w:val="20"/>
              </w:rPr>
              <w:t>:</w:t>
            </w:r>
          </w:p>
        </w:tc>
        <w:tc>
          <w:tcPr>
            <w:tcW w:w="1249" w:type="pct"/>
            <w:vAlign w:val="center"/>
          </w:tcPr>
          <w:p w14:paraId="0128C304" w14:textId="77777777" w:rsidR="00951A61" w:rsidRPr="00CA29BA" w:rsidRDefault="00951A61" w:rsidP="00A4032F">
            <w:pPr>
              <w:pStyle w:val="affe"/>
              <w:ind w:left="0"/>
              <w:jc w:val="center"/>
              <w:rPr>
                <w:rFonts w:ascii="Tahoma" w:hAnsi="Tahoma" w:cs="Tahoma"/>
                <w:sz w:val="20"/>
                <w:szCs w:val="20"/>
              </w:rPr>
            </w:pPr>
          </w:p>
        </w:tc>
      </w:tr>
      <w:tr w:rsidR="00951A61" w:rsidRPr="00CA29BA" w14:paraId="385DB89F" w14:textId="77777777" w:rsidTr="00A4032F">
        <w:trPr>
          <w:trHeight w:val="235"/>
        </w:trPr>
        <w:tc>
          <w:tcPr>
            <w:tcW w:w="331" w:type="pct"/>
          </w:tcPr>
          <w:p w14:paraId="630F181F" w14:textId="77777777" w:rsidR="00951A61" w:rsidRPr="00CA29BA" w:rsidRDefault="00951A61" w:rsidP="00A4032F">
            <w:pPr>
              <w:pStyle w:val="affe"/>
              <w:ind w:left="0"/>
              <w:rPr>
                <w:rFonts w:ascii="Tahoma" w:hAnsi="Tahoma" w:cs="Tahoma"/>
                <w:sz w:val="20"/>
                <w:szCs w:val="20"/>
              </w:rPr>
            </w:pPr>
            <w:r w:rsidRPr="00CA29BA">
              <w:rPr>
                <w:rFonts w:ascii="Tahoma" w:hAnsi="Tahoma" w:cs="Tahoma"/>
                <w:sz w:val="20"/>
                <w:szCs w:val="20"/>
              </w:rPr>
              <w:t>3.</w:t>
            </w:r>
            <w:r>
              <w:rPr>
                <w:rFonts w:ascii="Tahoma" w:hAnsi="Tahoma" w:cs="Tahoma"/>
                <w:sz w:val="20"/>
                <w:szCs w:val="20"/>
              </w:rPr>
              <w:t>1</w:t>
            </w:r>
            <w:r w:rsidRPr="00CA29BA">
              <w:rPr>
                <w:rFonts w:ascii="Tahoma" w:hAnsi="Tahoma" w:cs="Tahoma"/>
                <w:sz w:val="20"/>
                <w:szCs w:val="20"/>
              </w:rPr>
              <w:t>.</w:t>
            </w:r>
          </w:p>
        </w:tc>
        <w:tc>
          <w:tcPr>
            <w:tcW w:w="3420" w:type="pct"/>
            <w:vAlign w:val="center"/>
          </w:tcPr>
          <w:p w14:paraId="551D3783" w14:textId="77777777" w:rsidR="00951A61" w:rsidRPr="00CA29BA" w:rsidRDefault="00951A61" w:rsidP="00A4032F">
            <w:pPr>
              <w:pStyle w:val="affe"/>
              <w:ind w:left="0"/>
              <w:jc w:val="both"/>
              <w:rPr>
                <w:rFonts w:ascii="Tahoma" w:hAnsi="Tahoma" w:cs="Tahoma"/>
                <w:sz w:val="20"/>
                <w:szCs w:val="20"/>
              </w:rPr>
            </w:pPr>
            <w:r w:rsidRPr="00CA29BA">
              <w:rPr>
                <w:rFonts w:ascii="Tahoma" w:hAnsi="Tahoma" w:cs="Tahoma"/>
                <w:sz w:val="20"/>
                <w:szCs w:val="20"/>
              </w:rPr>
              <w:t xml:space="preserve">В случае если </w:t>
            </w:r>
            <w:r w:rsidRPr="004A4396">
              <w:rPr>
                <w:rFonts w:ascii="Tahoma" w:hAnsi="Tahoma" w:cs="Tahoma"/>
                <w:sz w:val="20"/>
                <w:szCs w:val="20"/>
              </w:rPr>
              <w:t>клиент, не относится к категории Заемщиков с официально подтвержденным доходом</w:t>
            </w:r>
            <w:r w:rsidRPr="00CA29BA" w:rsidDel="001714A0">
              <w:rPr>
                <w:rFonts w:ascii="Tahoma" w:hAnsi="Tahoma" w:cs="Tahoma"/>
                <w:sz w:val="20"/>
                <w:szCs w:val="20"/>
              </w:rPr>
              <w:t xml:space="preserve"> </w:t>
            </w:r>
            <w:r w:rsidRPr="00CA29BA">
              <w:rPr>
                <w:rStyle w:val="aff3"/>
                <w:rFonts w:ascii="Tahoma" w:hAnsi="Tahoma"/>
                <w:sz w:val="20"/>
                <w:szCs w:val="20"/>
              </w:rPr>
              <w:footnoteReference w:id="165"/>
            </w:r>
            <w:r w:rsidRPr="00CA29BA">
              <w:rPr>
                <w:rFonts w:ascii="Tahoma" w:hAnsi="Tahoma" w:cs="Tahoma"/>
                <w:sz w:val="20"/>
                <w:szCs w:val="20"/>
              </w:rPr>
              <w:t>.</w:t>
            </w:r>
          </w:p>
        </w:tc>
        <w:tc>
          <w:tcPr>
            <w:tcW w:w="1249" w:type="pct"/>
            <w:vAlign w:val="center"/>
          </w:tcPr>
          <w:p w14:paraId="5CE78171" w14:textId="77777777" w:rsidR="00951A61" w:rsidRPr="00126D02" w:rsidRDefault="00951A61" w:rsidP="00A4032F">
            <w:pPr>
              <w:pStyle w:val="affe"/>
              <w:ind w:left="0"/>
              <w:jc w:val="center"/>
              <w:rPr>
                <w:rFonts w:ascii="Tahoma" w:hAnsi="Tahoma" w:cs="Tahoma"/>
                <w:sz w:val="20"/>
                <w:szCs w:val="20"/>
              </w:rPr>
            </w:pPr>
            <w:r w:rsidRPr="00054740">
              <w:rPr>
                <w:rFonts w:ascii="Tahoma" w:hAnsi="Tahoma" w:cs="Tahoma"/>
                <w:sz w:val="20"/>
                <w:szCs w:val="20"/>
              </w:rPr>
              <w:t>плюс 0,50</w:t>
            </w:r>
          </w:p>
        </w:tc>
      </w:tr>
      <w:tr w:rsidR="00951A61" w:rsidRPr="00CA29BA" w14:paraId="58C57254" w14:textId="77777777" w:rsidTr="00A4032F">
        <w:trPr>
          <w:trHeight w:val="1966"/>
        </w:trPr>
        <w:tc>
          <w:tcPr>
            <w:tcW w:w="331" w:type="pct"/>
          </w:tcPr>
          <w:p w14:paraId="7E808D2A" w14:textId="77777777" w:rsidR="00951A61" w:rsidRPr="00CA29BA" w:rsidRDefault="00951A61" w:rsidP="00A4032F">
            <w:pPr>
              <w:pStyle w:val="affe"/>
              <w:ind w:left="0"/>
              <w:rPr>
                <w:rFonts w:ascii="Tahoma" w:hAnsi="Tahoma" w:cs="Tahoma"/>
                <w:sz w:val="20"/>
                <w:szCs w:val="20"/>
              </w:rPr>
            </w:pPr>
            <w:r w:rsidRPr="00CA29BA">
              <w:rPr>
                <w:rFonts w:ascii="Tahoma" w:hAnsi="Tahoma" w:cs="Tahoma"/>
                <w:sz w:val="20"/>
                <w:szCs w:val="20"/>
              </w:rPr>
              <w:t>3.</w:t>
            </w:r>
            <w:r>
              <w:rPr>
                <w:rFonts w:ascii="Tahoma" w:hAnsi="Tahoma" w:cs="Tahoma"/>
                <w:sz w:val="20"/>
                <w:szCs w:val="20"/>
              </w:rPr>
              <w:t>2</w:t>
            </w:r>
            <w:r w:rsidRPr="00CA29BA">
              <w:rPr>
                <w:rFonts w:ascii="Tahoma" w:hAnsi="Tahoma" w:cs="Tahoma"/>
                <w:sz w:val="20"/>
                <w:szCs w:val="20"/>
              </w:rPr>
              <w:t>.</w:t>
            </w:r>
            <w:r w:rsidRPr="00CA29BA">
              <w:rPr>
                <w:rStyle w:val="aff3"/>
                <w:rFonts w:ascii="Tahoma" w:hAnsi="Tahoma" w:cs="Tahoma"/>
                <w:sz w:val="20"/>
                <w:szCs w:val="20"/>
              </w:rPr>
              <w:footnoteReference w:id="166"/>
            </w:r>
          </w:p>
        </w:tc>
        <w:tc>
          <w:tcPr>
            <w:tcW w:w="3420" w:type="pct"/>
          </w:tcPr>
          <w:p w14:paraId="24B4898F" w14:textId="77777777" w:rsidR="00951A61" w:rsidRPr="00102DF3" w:rsidRDefault="00951A61" w:rsidP="00A4032F">
            <w:pPr>
              <w:pStyle w:val="affe"/>
              <w:ind w:left="0"/>
              <w:jc w:val="both"/>
              <w:rPr>
                <w:rFonts w:ascii="Tahoma" w:hAnsi="Tahoma" w:cs="Tahoma"/>
                <w:sz w:val="20"/>
                <w:szCs w:val="20"/>
              </w:rPr>
            </w:pPr>
            <w:r w:rsidRPr="00102DF3">
              <w:rPr>
                <w:rFonts w:ascii="Tahoma" w:hAnsi="Tahoma" w:cs="Tahoma"/>
                <w:sz w:val="20"/>
                <w:szCs w:val="20"/>
              </w:rPr>
              <w:t>В случае отказа Заемщика при заключении Кредитного договора от личного и/или титульного страхования, а также случае отсутствия продления/ расторжения/ прекращения по любым основаниям</w:t>
            </w:r>
            <w:r w:rsidRPr="00102DF3" w:rsidDel="00501BEA">
              <w:rPr>
                <w:rFonts w:ascii="Tahoma" w:hAnsi="Tahoma" w:cs="Tahoma"/>
                <w:sz w:val="20"/>
                <w:szCs w:val="20"/>
              </w:rPr>
              <w:t xml:space="preserve"> </w:t>
            </w:r>
            <w:r w:rsidRPr="00102DF3">
              <w:rPr>
                <w:rFonts w:ascii="Tahoma" w:hAnsi="Tahoma" w:cs="Tahoma"/>
                <w:sz w:val="20"/>
                <w:szCs w:val="20"/>
              </w:rPr>
              <w:t>договоров личного и/или титульного страхования в течение срока действия Кредитного договора, а также отсутствие заключения нового договора страхования в течение 2-х календарных месяцев, со дня истечения срока действия полиса страхования:</w:t>
            </w:r>
          </w:p>
          <w:p w14:paraId="3D0DEBD2" w14:textId="77777777" w:rsidR="00951A61" w:rsidRPr="00102DF3" w:rsidRDefault="00951A61" w:rsidP="00A4032F">
            <w:pPr>
              <w:pStyle w:val="affe"/>
              <w:ind w:left="0"/>
              <w:jc w:val="both"/>
              <w:rPr>
                <w:rFonts w:ascii="Tahoma" w:hAnsi="Tahoma" w:cs="Tahoma"/>
                <w:sz w:val="20"/>
                <w:szCs w:val="20"/>
              </w:rPr>
            </w:pPr>
            <w:r w:rsidRPr="00102DF3">
              <w:rPr>
                <w:rFonts w:ascii="Tahoma" w:hAnsi="Tahoma" w:cs="Tahoma"/>
                <w:sz w:val="20"/>
                <w:szCs w:val="20"/>
              </w:rPr>
              <w:t xml:space="preserve">- Личное страхование; </w:t>
            </w:r>
          </w:p>
          <w:p w14:paraId="5A1CABF5" w14:textId="77777777" w:rsidR="00951A61" w:rsidRPr="00102DF3" w:rsidRDefault="00951A61" w:rsidP="00A4032F">
            <w:pPr>
              <w:pStyle w:val="affe"/>
              <w:ind w:left="0"/>
              <w:jc w:val="both"/>
              <w:rPr>
                <w:rFonts w:ascii="Tahoma" w:hAnsi="Tahoma" w:cs="Tahoma"/>
                <w:sz w:val="20"/>
                <w:szCs w:val="20"/>
              </w:rPr>
            </w:pPr>
            <w:r w:rsidRPr="00102DF3">
              <w:rPr>
                <w:rFonts w:ascii="Tahoma" w:hAnsi="Tahoma" w:cs="Tahoma"/>
                <w:sz w:val="20"/>
                <w:szCs w:val="20"/>
              </w:rPr>
              <w:t>- Титульное страхование права собственности на Объект недвижимости (в течение 3 лет с момента оформления права собственности на Объект недвижимости).</w:t>
            </w:r>
          </w:p>
        </w:tc>
        <w:tc>
          <w:tcPr>
            <w:tcW w:w="1249" w:type="pct"/>
            <w:vAlign w:val="center"/>
          </w:tcPr>
          <w:p w14:paraId="18FDB996" w14:textId="77777777" w:rsidR="00951A61" w:rsidRPr="00F32FFD" w:rsidRDefault="00951A61" w:rsidP="00A4032F">
            <w:pPr>
              <w:pStyle w:val="affe"/>
              <w:ind w:left="0"/>
              <w:jc w:val="center"/>
              <w:rPr>
                <w:rFonts w:ascii="Tahoma" w:hAnsi="Tahoma" w:cs="Tahoma"/>
                <w:sz w:val="20"/>
                <w:szCs w:val="20"/>
              </w:rPr>
            </w:pPr>
            <w:r w:rsidRPr="00F32FFD">
              <w:rPr>
                <w:rFonts w:ascii="Tahoma" w:hAnsi="Tahoma" w:cs="Tahoma"/>
                <w:sz w:val="20"/>
                <w:szCs w:val="20"/>
              </w:rPr>
              <w:t>плюс 1,00</w:t>
            </w:r>
          </w:p>
        </w:tc>
      </w:tr>
      <w:tr w:rsidR="00951A61" w:rsidRPr="00CA29BA" w14:paraId="6E1859CF" w14:textId="77777777" w:rsidTr="00A4032F">
        <w:trPr>
          <w:trHeight w:val="724"/>
        </w:trPr>
        <w:tc>
          <w:tcPr>
            <w:tcW w:w="331" w:type="pct"/>
          </w:tcPr>
          <w:p w14:paraId="29BFDB41" w14:textId="77777777" w:rsidR="00951A61" w:rsidRPr="00CA29BA" w:rsidRDefault="00951A61" w:rsidP="00A4032F">
            <w:pPr>
              <w:pStyle w:val="affe"/>
              <w:ind w:left="0"/>
              <w:rPr>
                <w:rFonts w:ascii="Tahoma" w:hAnsi="Tahoma" w:cs="Tahoma"/>
                <w:sz w:val="20"/>
                <w:szCs w:val="20"/>
              </w:rPr>
            </w:pPr>
            <w:r w:rsidRPr="00CA29BA">
              <w:rPr>
                <w:rFonts w:ascii="Tahoma" w:hAnsi="Tahoma" w:cs="Tahoma"/>
                <w:sz w:val="20"/>
                <w:szCs w:val="20"/>
              </w:rPr>
              <w:lastRenderedPageBreak/>
              <w:t>3.</w:t>
            </w:r>
            <w:r>
              <w:rPr>
                <w:rFonts w:ascii="Tahoma" w:hAnsi="Tahoma" w:cs="Tahoma"/>
                <w:sz w:val="20"/>
                <w:szCs w:val="20"/>
              </w:rPr>
              <w:t>3</w:t>
            </w:r>
            <w:r w:rsidRPr="00CA29BA">
              <w:rPr>
                <w:rFonts w:ascii="Tahoma" w:hAnsi="Tahoma" w:cs="Tahoma"/>
                <w:sz w:val="20"/>
                <w:szCs w:val="20"/>
              </w:rPr>
              <w:t>.</w:t>
            </w:r>
            <w:r w:rsidRPr="00CA29BA">
              <w:rPr>
                <w:rStyle w:val="aff3"/>
                <w:rFonts w:ascii="Tahoma" w:hAnsi="Tahoma"/>
                <w:sz w:val="20"/>
                <w:szCs w:val="20"/>
              </w:rPr>
              <w:footnoteReference w:id="167"/>
            </w:r>
          </w:p>
        </w:tc>
        <w:tc>
          <w:tcPr>
            <w:tcW w:w="3420" w:type="pct"/>
          </w:tcPr>
          <w:p w14:paraId="404B252E" w14:textId="77777777" w:rsidR="00951A61" w:rsidRPr="00102DF3" w:rsidRDefault="00951A61" w:rsidP="00A4032F">
            <w:pPr>
              <w:pStyle w:val="affe"/>
              <w:ind w:left="0"/>
              <w:jc w:val="both"/>
              <w:rPr>
                <w:rFonts w:ascii="Tahoma" w:hAnsi="Tahoma" w:cs="Tahoma"/>
                <w:sz w:val="20"/>
                <w:szCs w:val="20"/>
              </w:rPr>
            </w:pPr>
            <w:r w:rsidRPr="00102DF3">
              <w:rPr>
                <w:rFonts w:ascii="Tahoma" w:hAnsi="Tahoma" w:cs="Tahoma"/>
                <w:sz w:val="20"/>
                <w:szCs w:val="20"/>
              </w:rPr>
              <w:t>В случае отказа Заемщика при заключении Кредитного договора от имущественного страхования, а также в случае отсутствия продления/ расторжения/ прекращения по любым основаниям договора имущественного страхования в течение срока действия Кредитного договора, а также отсутствие заключения нового договора имущественного страхования в течение 2-х календарных месяцев, со дня истечения срока действия полиса страхования.</w:t>
            </w:r>
          </w:p>
        </w:tc>
        <w:tc>
          <w:tcPr>
            <w:tcW w:w="1249" w:type="pct"/>
            <w:vAlign w:val="center"/>
          </w:tcPr>
          <w:p w14:paraId="1DDE2403" w14:textId="77777777" w:rsidR="00951A61" w:rsidRPr="00CA29BA" w:rsidRDefault="00951A61" w:rsidP="00A4032F">
            <w:pPr>
              <w:pStyle w:val="affe"/>
              <w:ind w:left="0"/>
              <w:jc w:val="center"/>
              <w:rPr>
                <w:rFonts w:ascii="Tahoma" w:hAnsi="Tahoma" w:cs="Tahoma"/>
                <w:sz w:val="20"/>
                <w:szCs w:val="20"/>
              </w:rPr>
            </w:pPr>
            <w:r w:rsidRPr="00CA29BA">
              <w:rPr>
                <w:rFonts w:ascii="Tahoma" w:hAnsi="Tahoma" w:cs="Tahoma"/>
                <w:sz w:val="20"/>
                <w:szCs w:val="20"/>
              </w:rPr>
              <w:t xml:space="preserve">плюс </w:t>
            </w:r>
            <w:r w:rsidRPr="00CA29BA">
              <w:rPr>
                <w:rFonts w:ascii="Tahoma" w:hAnsi="Tahoma" w:cs="Tahoma"/>
                <w:sz w:val="20"/>
                <w:szCs w:val="20"/>
                <w:lang w:val="en-US"/>
              </w:rPr>
              <w:t>1</w:t>
            </w:r>
            <w:r w:rsidRPr="00CA29BA">
              <w:rPr>
                <w:rFonts w:ascii="Tahoma" w:hAnsi="Tahoma" w:cs="Tahoma"/>
                <w:sz w:val="20"/>
                <w:szCs w:val="20"/>
              </w:rPr>
              <w:t>,00</w:t>
            </w:r>
          </w:p>
        </w:tc>
      </w:tr>
      <w:tr w:rsidR="00951A61" w:rsidRPr="00CA29BA" w14:paraId="2E91B0D7" w14:textId="77777777" w:rsidTr="00A4032F">
        <w:trPr>
          <w:trHeight w:val="232"/>
        </w:trPr>
        <w:tc>
          <w:tcPr>
            <w:tcW w:w="331" w:type="pct"/>
          </w:tcPr>
          <w:p w14:paraId="373A486B" w14:textId="77777777" w:rsidR="00951A61" w:rsidRPr="00CA29BA" w:rsidRDefault="00951A61" w:rsidP="00A4032F">
            <w:pPr>
              <w:pStyle w:val="affe"/>
              <w:ind w:left="0"/>
              <w:rPr>
                <w:rFonts w:ascii="Tahoma" w:hAnsi="Tahoma" w:cs="Tahoma"/>
                <w:sz w:val="20"/>
                <w:szCs w:val="20"/>
              </w:rPr>
            </w:pPr>
            <w:r w:rsidRPr="00CA29BA">
              <w:rPr>
                <w:rFonts w:ascii="Tahoma" w:hAnsi="Tahoma" w:cs="Tahoma"/>
                <w:sz w:val="20"/>
                <w:szCs w:val="20"/>
              </w:rPr>
              <w:t>3.</w:t>
            </w:r>
            <w:r>
              <w:rPr>
                <w:rFonts w:ascii="Tahoma" w:hAnsi="Tahoma" w:cs="Tahoma"/>
                <w:sz w:val="20"/>
                <w:szCs w:val="20"/>
              </w:rPr>
              <w:t>4</w:t>
            </w:r>
            <w:r w:rsidRPr="00CA29BA">
              <w:rPr>
                <w:rFonts w:ascii="Tahoma" w:hAnsi="Tahoma" w:cs="Tahoma"/>
                <w:sz w:val="20"/>
                <w:szCs w:val="20"/>
              </w:rPr>
              <w:t>.</w:t>
            </w:r>
          </w:p>
        </w:tc>
        <w:tc>
          <w:tcPr>
            <w:tcW w:w="3420" w:type="pct"/>
          </w:tcPr>
          <w:p w14:paraId="51F91234" w14:textId="77777777" w:rsidR="00951A61" w:rsidRPr="00CA29BA" w:rsidRDefault="00951A61" w:rsidP="00A4032F">
            <w:pPr>
              <w:pStyle w:val="affe"/>
              <w:ind w:left="0"/>
              <w:jc w:val="both"/>
              <w:rPr>
                <w:rFonts w:ascii="Tahoma" w:hAnsi="Tahoma" w:cs="Tahoma"/>
                <w:sz w:val="20"/>
                <w:szCs w:val="20"/>
              </w:rPr>
            </w:pPr>
            <w:r w:rsidRPr="00CA29BA">
              <w:rPr>
                <w:rFonts w:ascii="Tahoma" w:hAnsi="Tahoma" w:cs="Tahoma"/>
                <w:sz w:val="20"/>
                <w:szCs w:val="20"/>
              </w:rPr>
              <w:t xml:space="preserve">В случае отказа Заемщика при заключении </w:t>
            </w:r>
            <w:r>
              <w:rPr>
                <w:rFonts w:ascii="Tahoma" w:hAnsi="Tahoma" w:cs="Tahoma"/>
                <w:sz w:val="20"/>
                <w:szCs w:val="20"/>
              </w:rPr>
              <w:t>К</w:t>
            </w:r>
            <w:r w:rsidRPr="00CA29BA">
              <w:rPr>
                <w:rFonts w:ascii="Tahoma" w:hAnsi="Tahoma" w:cs="Tahoma"/>
                <w:sz w:val="20"/>
                <w:szCs w:val="20"/>
              </w:rPr>
              <w:t>редитного договора от проведения оценки Предмета ипотеки</w:t>
            </w:r>
            <w:r w:rsidRPr="004A4396">
              <w:rPr>
                <w:rStyle w:val="aff3"/>
                <w:rFonts w:ascii="Tahoma" w:hAnsi="Tahoma" w:cs="Tahoma"/>
                <w:sz w:val="20"/>
                <w:szCs w:val="20"/>
              </w:rPr>
              <w:footnoteReference w:id="168"/>
            </w:r>
            <w:r w:rsidRPr="00CA29BA">
              <w:rPr>
                <w:rFonts w:ascii="Tahoma" w:hAnsi="Tahoma" w:cs="Tahoma"/>
                <w:sz w:val="20"/>
                <w:szCs w:val="20"/>
              </w:rPr>
              <w:t>.</w:t>
            </w:r>
          </w:p>
        </w:tc>
        <w:tc>
          <w:tcPr>
            <w:tcW w:w="1249" w:type="pct"/>
            <w:vAlign w:val="center"/>
          </w:tcPr>
          <w:p w14:paraId="5B3C2CDB" w14:textId="77777777" w:rsidR="00951A61" w:rsidRPr="00695F11" w:rsidRDefault="00951A61" w:rsidP="00A4032F">
            <w:pPr>
              <w:pStyle w:val="affe"/>
              <w:ind w:left="0"/>
              <w:jc w:val="center"/>
              <w:rPr>
                <w:rFonts w:ascii="Tahoma" w:hAnsi="Tahoma" w:cs="Tahoma"/>
                <w:sz w:val="20"/>
                <w:szCs w:val="20"/>
              </w:rPr>
            </w:pPr>
            <w:r w:rsidRPr="00054740">
              <w:rPr>
                <w:rFonts w:ascii="Tahoma" w:hAnsi="Tahoma" w:cs="Tahoma"/>
                <w:sz w:val="20"/>
                <w:szCs w:val="20"/>
              </w:rPr>
              <w:t>плюс 0,30</w:t>
            </w:r>
          </w:p>
        </w:tc>
      </w:tr>
      <w:tr w:rsidR="00951A61" w:rsidRPr="00CA29BA" w14:paraId="32820377" w14:textId="77777777" w:rsidTr="00A4032F">
        <w:trPr>
          <w:trHeight w:val="312"/>
        </w:trPr>
        <w:tc>
          <w:tcPr>
            <w:tcW w:w="331" w:type="pct"/>
            <w:vAlign w:val="center"/>
          </w:tcPr>
          <w:p w14:paraId="2639F56F" w14:textId="77777777" w:rsidR="00951A61" w:rsidRPr="0025009B" w:rsidRDefault="00951A61" w:rsidP="00A4032F">
            <w:pPr>
              <w:pStyle w:val="affe"/>
              <w:ind w:left="0"/>
              <w:rPr>
                <w:rFonts w:ascii="Tahoma" w:hAnsi="Tahoma" w:cs="Tahoma"/>
                <w:sz w:val="20"/>
                <w:szCs w:val="20"/>
              </w:rPr>
            </w:pPr>
            <w:r w:rsidRPr="0025009B">
              <w:rPr>
                <w:rFonts w:ascii="Tahoma" w:hAnsi="Tahoma" w:cs="Tahoma"/>
                <w:sz w:val="20"/>
                <w:szCs w:val="20"/>
              </w:rPr>
              <w:t>3.</w:t>
            </w:r>
            <w:r>
              <w:rPr>
                <w:rFonts w:ascii="Tahoma" w:hAnsi="Tahoma" w:cs="Tahoma"/>
                <w:sz w:val="20"/>
                <w:szCs w:val="20"/>
              </w:rPr>
              <w:t>5</w:t>
            </w:r>
            <w:r w:rsidRPr="0025009B">
              <w:rPr>
                <w:rFonts w:ascii="Tahoma" w:hAnsi="Tahoma" w:cs="Tahoma"/>
                <w:sz w:val="20"/>
                <w:szCs w:val="20"/>
              </w:rPr>
              <w:t>.</w:t>
            </w:r>
          </w:p>
        </w:tc>
        <w:tc>
          <w:tcPr>
            <w:tcW w:w="3420" w:type="pct"/>
          </w:tcPr>
          <w:p w14:paraId="18896830" w14:textId="77777777" w:rsidR="00951A61" w:rsidRPr="0025009B" w:rsidRDefault="00951A61" w:rsidP="00A4032F">
            <w:pPr>
              <w:jc w:val="both"/>
              <w:rPr>
                <w:rFonts w:ascii="Tahoma" w:eastAsia="Calibri" w:hAnsi="Tahoma" w:cs="Tahoma"/>
                <w:sz w:val="20"/>
                <w:szCs w:val="20"/>
              </w:rPr>
            </w:pPr>
            <w:r w:rsidRPr="0025009B">
              <w:rPr>
                <w:rFonts w:ascii="Tahoma" w:hAnsi="Tahoma" w:cs="Tahoma"/>
                <w:sz w:val="20"/>
                <w:szCs w:val="20"/>
              </w:rPr>
              <w:t xml:space="preserve">Надбавка применяется в случае использования Жилого дома с Земельным участком/Таунхауса/ Коммерческой недвижимости </w:t>
            </w:r>
            <w:r w:rsidRPr="0004632F">
              <w:rPr>
                <w:rFonts w:ascii="Tahoma" w:hAnsi="Tahoma" w:cs="Tahoma"/>
                <w:sz w:val="20"/>
                <w:szCs w:val="20"/>
              </w:rPr>
              <w:t>в качестве Предмета ипотеки</w:t>
            </w:r>
            <w:r w:rsidRPr="0025009B">
              <w:rPr>
                <w:rStyle w:val="aff3"/>
                <w:rFonts w:ascii="Tahoma" w:hAnsi="Tahoma" w:cs="Tahoma"/>
                <w:sz w:val="20"/>
                <w:szCs w:val="20"/>
              </w:rPr>
              <w:footnoteReference w:id="169"/>
            </w:r>
            <w:r w:rsidRPr="0025009B">
              <w:rPr>
                <w:rFonts w:ascii="Tahoma" w:hAnsi="Tahoma" w:cs="Tahoma"/>
                <w:sz w:val="20"/>
                <w:szCs w:val="20"/>
              </w:rPr>
              <w:t>.</w:t>
            </w:r>
          </w:p>
        </w:tc>
        <w:tc>
          <w:tcPr>
            <w:tcW w:w="1249" w:type="pct"/>
          </w:tcPr>
          <w:p w14:paraId="6A6EAA23" w14:textId="77777777" w:rsidR="00951A61" w:rsidRPr="00695F11" w:rsidRDefault="00951A61" w:rsidP="00A4032F">
            <w:pPr>
              <w:pStyle w:val="affe"/>
              <w:ind w:left="0"/>
              <w:jc w:val="center"/>
              <w:rPr>
                <w:rFonts w:ascii="Tahoma" w:hAnsi="Tahoma" w:cs="Tahoma"/>
                <w:sz w:val="20"/>
                <w:szCs w:val="20"/>
              </w:rPr>
            </w:pPr>
            <w:r w:rsidRPr="00695F11">
              <w:rPr>
                <w:rFonts w:ascii="Tahoma" w:hAnsi="Tahoma" w:cs="Tahoma"/>
                <w:sz w:val="20"/>
                <w:szCs w:val="20"/>
              </w:rPr>
              <w:t>плюс 0,40</w:t>
            </w:r>
          </w:p>
        </w:tc>
      </w:tr>
      <w:tr w:rsidR="00951A61" w:rsidRPr="00CA29BA" w14:paraId="2712361A" w14:textId="77777777" w:rsidTr="00A4032F">
        <w:trPr>
          <w:trHeight w:val="312"/>
        </w:trPr>
        <w:tc>
          <w:tcPr>
            <w:tcW w:w="331" w:type="pct"/>
            <w:vAlign w:val="center"/>
          </w:tcPr>
          <w:p w14:paraId="40CBC4A5" w14:textId="77777777" w:rsidR="00951A61" w:rsidRPr="0025009B" w:rsidRDefault="00951A61" w:rsidP="00A4032F">
            <w:pPr>
              <w:pStyle w:val="affe"/>
              <w:ind w:left="0"/>
              <w:rPr>
                <w:rFonts w:ascii="Tahoma" w:hAnsi="Tahoma" w:cs="Tahoma"/>
                <w:sz w:val="20"/>
                <w:szCs w:val="20"/>
                <w:highlight w:val="lightGray"/>
              </w:rPr>
            </w:pPr>
            <w:r w:rsidRPr="00160BFD">
              <w:rPr>
                <w:rFonts w:ascii="Tahoma" w:hAnsi="Tahoma" w:cs="Tahoma"/>
                <w:sz w:val="20"/>
                <w:szCs w:val="20"/>
              </w:rPr>
              <w:t>3.</w:t>
            </w:r>
            <w:r>
              <w:rPr>
                <w:rFonts w:ascii="Tahoma" w:hAnsi="Tahoma" w:cs="Tahoma"/>
                <w:sz w:val="20"/>
                <w:szCs w:val="20"/>
              </w:rPr>
              <w:t>6</w:t>
            </w:r>
            <w:r w:rsidRPr="00160BFD">
              <w:rPr>
                <w:rFonts w:ascii="Tahoma" w:hAnsi="Tahoma" w:cs="Tahoma"/>
                <w:sz w:val="20"/>
                <w:szCs w:val="20"/>
              </w:rPr>
              <w:t>.</w:t>
            </w:r>
          </w:p>
        </w:tc>
        <w:tc>
          <w:tcPr>
            <w:tcW w:w="3420" w:type="pct"/>
          </w:tcPr>
          <w:p w14:paraId="6443D4AB" w14:textId="77777777" w:rsidR="00951A61" w:rsidRPr="00160BFD" w:rsidRDefault="00951A61" w:rsidP="00A4032F">
            <w:pPr>
              <w:jc w:val="both"/>
              <w:rPr>
                <w:rFonts w:ascii="Tahoma" w:hAnsi="Tahoma" w:cs="Tahoma"/>
                <w:sz w:val="20"/>
                <w:szCs w:val="20"/>
              </w:rPr>
            </w:pPr>
            <w:r w:rsidRPr="00160BFD">
              <w:rPr>
                <w:rFonts w:ascii="Tahoma" w:hAnsi="Tahoma" w:cs="Tahoma"/>
                <w:sz w:val="20"/>
                <w:szCs w:val="20"/>
              </w:rPr>
              <w:t>Заемщик является клиентом партнера Банка, которому выплачивается вознаграждение по сделке от Банка</w:t>
            </w:r>
            <w:r w:rsidRPr="00160BFD">
              <w:rPr>
                <w:rStyle w:val="aff3"/>
                <w:rFonts w:ascii="Tahoma" w:hAnsi="Tahoma" w:cs="Tahoma"/>
                <w:sz w:val="20"/>
                <w:szCs w:val="20"/>
              </w:rPr>
              <w:footnoteReference w:id="170"/>
            </w:r>
            <w:r w:rsidRPr="00160BFD">
              <w:rPr>
                <w:rFonts w:ascii="Tahoma" w:hAnsi="Tahoma" w:cs="Tahoma"/>
                <w:sz w:val="20"/>
                <w:szCs w:val="20"/>
              </w:rPr>
              <w:t>.</w:t>
            </w:r>
          </w:p>
        </w:tc>
        <w:tc>
          <w:tcPr>
            <w:tcW w:w="1249" w:type="pct"/>
          </w:tcPr>
          <w:p w14:paraId="19427F16" w14:textId="77777777" w:rsidR="00951A61" w:rsidRPr="00695F11" w:rsidRDefault="00951A61" w:rsidP="00A4032F">
            <w:pPr>
              <w:pStyle w:val="affe"/>
              <w:ind w:left="0"/>
              <w:jc w:val="center"/>
              <w:rPr>
                <w:rFonts w:ascii="Tahoma" w:hAnsi="Tahoma" w:cs="Tahoma"/>
                <w:sz w:val="20"/>
                <w:szCs w:val="20"/>
              </w:rPr>
            </w:pPr>
            <w:r w:rsidRPr="00054740">
              <w:rPr>
                <w:rFonts w:ascii="Tahoma" w:hAnsi="Tahoma" w:cs="Tahoma"/>
                <w:sz w:val="20"/>
                <w:szCs w:val="20"/>
              </w:rPr>
              <w:t>плюс 0,40</w:t>
            </w:r>
          </w:p>
        </w:tc>
      </w:tr>
    </w:tbl>
    <w:p w14:paraId="00B24563" w14:textId="77777777" w:rsidR="00951A61" w:rsidRPr="00CA29BA" w:rsidRDefault="00951A61" w:rsidP="00951A61">
      <w:pPr>
        <w:jc w:val="both"/>
        <w:rPr>
          <w:rFonts w:ascii="Tahoma" w:hAnsi="Tahoma" w:cs="Tahoma"/>
          <w:sz w:val="20"/>
          <w:szCs w:val="20"/>
        </w:rPr>
      </w:pPr>
    </w:p>
    <w:p w14:paraId="521C9472" w14:textId="77777777" w:rsidR="00951A61" w:rsidRPr="007D5098" w:rsidRDefault="00951A61" w:rsidP="00951A61">
      <w:pPr>
        <w:pStyle w:val="affe"/>
        <w:tabs>
          <w:tab w:val="left" w:pos="851"/>
        </w:tabs>
        <w:ind w:left="284" w:right="91"/>
        <w:jc w:val="both"/>
        <w:rPr>
          <w:rFonts w:ascii="Tahoma" w:hAnsi="Tahoma" w:cs="Tahoma"/>
          <w:b/>
          <w:sz w:val="20"/>
          <w:szCs w:val="20"/>
        </w:rPr>
      </w:pPr>
      <w:r w:rsidRPr="00CA29BA">
        <w:rPr>
          <w:rFonts w:ascii="Tahoma" w:hAnsi="Tahoma" w:cs="Tahoma"/>
          <w:b/>
          <w:sz w:val="20"/>
          <w:szCs w:val="20"/>
        </w:rPr>
        <w:t xml:space="preserve">4. </w:t>
      </w:r>
      <w:r w:rsidRPr="007D5098">
        <w:rPr>
          <w:rFonts w:ascii="Tahoma" w:hAnsi="Tahoma" w:cs="Tahoma"/>
          <w:b/>
          <w:sz w:val="20"/>
          <w:szCs w:val="20"/>
        </w:rPr>
        <w:t>Итоговая процентная ставка по ипотечному кредиту, сформированная по итогам суммирования дисконтов и надбавок</w:t>
      </w:r>
      <w:r>
        <w:rPr>
          <w:rFonts w:ascii="Tahoma" w:hAnsi="Tahoma" w:cs="Tahoma"/>
          <w:b/>
          <w:sz w:val="20"/>
          <w:szCs w:val="20"/>
        </w:rPr>
        <w:t xml:space="preserve"> и</w:t>
      </w:r>
      <w:r w:rsidRPr="007D5098">
        <w:rPr>
          <w:rFonts w:ascii="Tahoma" w:hAnsi="Tahoma" w:cs="Tahoma"/>
          <w:b/>
          <w:sz w:val="20"/>
          <w:szCs w:val="20"/>
        </w:rPr>
        <w:t xml:space="preserve"> не может быть менее:</w:t>
      </w:r>
    </w:p>
    <w:p w14:paraId="2D77BD12" w14:textId="77777777" w:rsidR="00951A61" w:rsidRPr="004E4ED9" w:rsidRDefault="00951A61" w:rsidP="00951A61">
      <w:pPr>
        <w:pStyle w:val="affe"/>
        <w:numPr>
          <w:ilvl w:val="0"/>
          <w:numId w:val="91"/>
        </w:numPr>
        <w:tabs>
          <w:tab w:val="left" w:pos="851"/>
        </w:tabs>
        <w:ind w:left="1054" w:right="91" w:hanging="357"/>
        <w:contextualSpacing/>
        <w:jc w:val="both"/>
        <w:rPr>
          <w:rFonts w:ascii="Tahoma" w:hAnsi="Tahoma" w:cs="Tahoma"/>
          <w:b/>
          <w:sz w:val="20"/>
          <w:szCs w:val="20"/>
        </w:rPr>
      </w:pPr>
      <w:r w:rsidRPr="004E4ED9">
        <w:rPr>
          <w:rFonts w:ascii="Tahoma" w:hAnsi="Tahoma" w:cs="Tahoma"/>
          <w:b/>
          <w:sz w:val="20"/>
          <w:szCs w:val="20"/>
        </w:rPr>
        <w:t>23,50% годовых (для категории клиентов, указанных в п. 2.1.);</w:t>
      </w:r>
    </w:p>
    <w:p w14:paraId="659D30CE" w14:textId="77777777" w:rsidR="00951A61" w:rsidRPr="007D5098" w:rsidRDefault="00951A61" w:rsidP="00951A61">
      <w:pPr>
        <w:pStyle w:val="affe"/>
        <w:numPr>
          <w:ilvl w:val="0"/>
          <w:numId w:val="92"/>
        </w:numPr>
        <w:tabs>
          <w:tab w:val="left" w:pos="851"/>
        </w:tabs>
        <w:ind w:left="1054" w:right="91" w:hanging="357"/>
        <w:contextualSpacing/>
        <w:jc w:val="both"/>
        <w:rPr>
          <w:rFonts w:ascii="Tahoma" w:hAnsi="Tahoma" w:cs="Tahoma"/>
          <w:b/>
          <w:sz w:val="20"/>
          <w:szCs w:val="20"/>
        </w:rPr>
      </w:pPr>
      <w:r w:rsidRPr="004E4ED9">
        <w:rPr>
          <w:rFonts w:ascii="Tahoma" w:hAnsi="Tahoma" w:cs="Tahoma"/>
          <w:b/>
          <w:sz w:val="20"/>
          <w:szCs w:val="20"/>
        </w:rPr>
        <w:t>24,00% годовых в случае залога Квартиры или Апартаментов/24,20% годовых</w:t>
      </w:r>
      <w:r w:rsidRPr="007D5098">
        <w:rPr>
          <w:rFonts w:ascii="Tahoma" w:hAnsi="Tahoma" w:cs="Tahoma"/>
          <w:b/>
          <w:sz w:val="20"/>
          <w:szCs w:val="20"/>
        </w:rPr>
        <w:t xml:space="preserve"> в случае залога Жилого дома с Земельным участком или Таунхауса или Коммерческой недвижимости (для Заемщиков с официально подтвержденным доходом и Зарплатных клиентов Банка);</w:t>
      </w:r>
    </w:p>
    <w:p w14:paraId="5A6643CC" w14:textId="77777777" w:rsidR="00951A61" w:rsidRPr="007D5098" w:rsidRDefault="00951A61" w:rsidP="00951A61">
      <w:pPr>
        <w:pStyle w:val="affe"/>
        <w:numPr>
          <w:ilvl w:val="0"/>
          <w:numId w:val="93"/>
        </w:numPr>
        <w:tabs>
          <w:tab w:val="left" w:pos="851"/>
        </w:tabs>
        <w:ind w:left="1054" w:right="91" w:hanging="357"/>
        <w:contextualSpacing/>
        <w:jc w:val="both"/>
        <w:rPr>
          <w:rFonts w:ascii="Tahoma" w:hAnsi="Tahoma" w:cs="Tahoma"/>
          <w:b/>
          <w:sz w:val="20"/>
          <w:szCs w:val="20"/>
        </w:rPr>
      </w:pPr>
      <w:r w:rsidRPr="004E4ED9">
        <w:rPr>
          <w:rFonts w:ascii="Tahoma" w:hAnsi="Tahoma" w:cs="Tahoma"/>
          <w:b/>
          <w:sz w:val="20"/>
          <w:szCs w:val="20"/>
        </w:rPr>
        <w:t>24,30% годовых в случае залога Квартиры или Апартаментов/24,70% годовых в случае залога Жилого дома с Земельным участком или Таунхауса или Коммерческой недвижимости (для клиентов, не относящихся к категории Заемщиков с официально подтвержденным доходом и не являющихся Зарплатным клиентом Банка/ работником</w:t>
      </w:r>
      <w:r w:rsidRPr="007D5098">
        <w:rPr>
          <w:rFonts w:ascii="Tahoma" w:hAnsi="Tahoma" w:cs="Tahoma"/>
          <w:b/>
          <w:sz w:val="20"/>
          <w:szCs w:val="20"/>
        </w:rPr>
        <w:t xml:space="preserve"> Банка).</w:t>
      </w:r>
    </w:p>
    <w:p w14:paraId="2043D7B5" w14:textId="77777777" w:rsidR="00951A61" w:rsidRPr="00CC155A" w:rsidRDefault="00951A61" w:rsidP="00951A61">
      <w:pPr>
        <w:pageBreakBefore/>
        <w:jc w:val="right"/>
        <w:rPr>
          <w:rFonts w:ascii="Tahoma" w:hAnsi="Tahoma" w:cs="Tahoma"/>
          <w:sz w:val="18"/>
          <w:szCs w:val="20"/>
        </w:rPr>
      </w:pPr>
      <w:r w:rsidRPr="00CC155A">
        <w:rPr>
          <w:rFonts w:ascii="Tahoma" w:hAnsi="Tahoma" w:cs="Tahoma"/>
          <w:sz w:val="18"/>
          <w:szCs w:val="20"/>
        </w:rPr>
        <w:lastRenderedPageBreak/>
        <w:t>Приложение №2</w:t>
      </w:r>
    </w:p>
    <w:p w14:paraId="65B6F220" w14:textId="77777777" w:rsidR="00951A61" w:rsidRPr="00CC155A" w:rsidRDefault="00951A61" w:rsidP="00951A61">
      <w:pPr>
        <w:jc w:val="right"/>
        <w:rPr>
          <w:rFonts w:ascii="Tahoma" w:hAnsi="Tahoma" w:cs="Tahoma"/>
          <w:noProof/>
          <w:sz w:val="18"/>
          <w:szCs w:val="20"/>
        </w:rPr>
      </w:pPr>
      <w:r w:rsidRPr="00CC155A">
        <w:rPr>
          <w:rFonts w:ascii="Tahoma" w:hAnsi="Tahoma" w:cs="Tahoma"/>
          <w:noProof/>
          <w:sz w:val="18"/>
          <w:szCs w:val="20"/>
        </w:rPr>
        <w:t xml:space="preserve">к основным условиях предоставления, использования и возврата </w:t>
      </w:r>
    </w:p>
    <w:p w14:paraId="36739862" w14:textId="77777777" w:rsidR="00951A61" w:rsidRPr="00CC155A" w:rsidRDefault="00951A61" w:rsidP="00951A61">
      <w:pPr>
        <w:jc w:val="right"/>
        <w:rPr>
          <w:rFonts w:ascii="Tahoma" w:hAnsi="Tahoma" w:cs="Tahoma"/>
          <w:sz w:val="18"/>
          <w:szCs w:val="20"/>
        </w:rPr>
      </w:pPr>
      <w:r w:rsidRPr="00CC155A">
        <w:rPr>
          <w:rFonts w:ascii="Tahoma" w:hAnsi="Tahoma" w:cs="Tahoma"/>
          <w:noProof/>
          <w:sz w:val="18"/>
          <w:szCs w:val="20"/>
        </w:rPr>
        <w:t>ипотечного кредита по тарифному плану «Нецелевой»</w:t>
      </w:r>
    </w:p>
    <w:p w14:paraId="0BA9AA84" w14:textId="77777777" w:rsidR="00951A61" w:rsidRPr="00CC155A" w:rsidRDefault="00951A61" w:rsidP="00951A61">
      <w:pPr>
        <w:pStyle w:val="affe"/>
        <w:suppressAutoHyphens/>
        <w:spacing w:before="80" w:after="120"/>
        <w:ind w:left="284" w:right="23"/>
        <w:jc w:val="both"/>
        <w:rPr>
          <w:rFonts w:ascii="Tahoma" w:hAnsi="Tahoma" w:cs="Tahoma"/>
          <w:b/>
          <w:sz w:val="20"/>
          <w:szCs w:val="20"/>
        </w:rPr>
      </w:pPr>
    </w:p>
    <w:p w14:paraId="06FF454D" w14:textId="77777777" w:rsidR="00951A61" w:rsidRPr="00CC155A" w:rsidRDefault="00951A61" w:rsidP="00951A61">
      <w:pPr>
        <w:pStyle w:val="affe"/>
        <w:suppressAutoHyphens/>
        <w:spacing w:before="80" w:after="120"/>
        <w:ind w:left="284" w:right="23"/>
        <w:jc w:val="center"/>
        <w:rPr>
          <w:rFonts w:ascii="Tahoma" w:hAnsi="Tahoma" w:cs="Tahoma"/>
          <w:b/>
          <w:sz w:val="20"/>
          <w:szCs w:val="20"/>
        </w:rPr>
      </w:pPr>
      <w:r w:rsidRPr="00CC155A">
        <w:rPr>
          <w:rFonts w:ascii="Tahoma" w:hAnsi="Tahoma" w:cs="Tahoma"/>
          <w:b/>
          <w:sz w:val="20"/>
          <w:szCs w:val="20"/>
        </w:rPr>
        <w:t>ДОПОЛНИТЕЛЬНЫЕ ТРЕБОВАНИЯ К ОФОРМЛЯЕМОЙ ДОВЕРЕННОСТИ</w:t>
      </w:r>
    </w:p>
    <w:p w14:paraId="0A12490F" w14:textId="77777777" w:rsidR="00951A61" w:rsidRPr="00CC155A" w:rsidRDefault="00951A61" w:rsidP="00951A61">
      <w:pPr>
        <w:pStyle w:val="affe"/>
        <w:suppressAutoHyphens/>
        <w:spacing w:before="80" w:after="120"/>
        <w:ind w:left="284" w:right="23"/>
        <w:jc w:val="center"/>
        <w:rPr>
          <w:rFonts w:ascii="Tahoma" w:hAnsi="Tahoma" w:cs="Tahoma"/>
          <w:b/>
          <w:sz w:val="20"/>
          <w:szCs w:val="20"/>
        </w:rPr>
      </w:pPr>
    </w:p>
    <w:p w14:paraId="7A896CC2" w14:textId="77777777" w:rsidR="00951A61" w:rsidRPr="00CC155A" w:rsidRDefault="00951A61" w:rsidP="00951A61">
      <w:pPr>
        <w:pStyle w:val="affe"/>
        <w:suppressAutoHyphens/>
        <w:spacing w:before="80" w:after="120"/>
        <w:ind w:left="284" w:right="23"/>
        <w:jc w:val="center"/>
        <w:rPr>
          <w:rFonts w:ascii="Tahoma" w:hAnsi="Tahoma" w:cs="Tahoma"/>
          <w:sz w:val="20"/>
          <w:szCs w:val="20"/>
        </w:rPr>
      </w:pPr>
    </w:p>
    <w:p w14:paraId="051E440B" w14:textId="77777777" w:rsidR="00951A61" w:rsidRPr="00CC155A" w:rsidRDefault="00951A61" w:rsidP="00951A61">
      <w:pPr>
        <w:pStyle w:val="affe"/>
        <w:ind w:left="0" w:right="23"/>
        <w:jc w:val="both"/>
      </w:pPr>
      <w:r w:rsidRPr="00CC155A">
        <w:rPr>
          <w:rFonts w:ascii="Tahoma" w:hAnsi="Tahoma" w:cs="Tahoma"/>
          <w:sz w:val="20"/>
          <w:szCs w:val="20"/>
        </w:rPr>
        <w:t>Перечень обязательных полномочий в доверенности, предоставленной Заемщиком (</w:t>
      </w:r>
      <w:r w:rsidRPr="00CC155A">
        <w:rPr>
          <w:rFonts w:ascii="Tahoma" w:hAnsi="Tahoma" w:cs="Tahoma"/>
          <w:b/>
          <w:bCs/>
          <w:sz w:val="20"/>
          <w:szCs w:val="20"/>
        </w:rPr>
        <w:t>формулировки в оформленной доверенности могут быть изложены иным образом при сохранении смысла и сути полномочий</w:t>
      </w:r>
      <w:r w:rsidRPr="00CC155A">
        <w:rPr>
          <w:rFonts w:ascii="Tahoma" w:hAnsi="Tahoma" w:cs="Tahoma"/>
          <w:sz w:val="20"/>
          <w:szCs w:val="20"/>
        </w:rPr>
        <w:t>):</w:t>
      </w:r>
    </w:p>
    <w:p w14:paraId="75250D52" w14:textId="77777777" w:rsidR="00951A61" w:rsidRPr="00CC155A" w:rsidRDefault="00951A61" w:rsidP="00951A61">
      <w:pPr>
        <w:pStyle w:val="affe"/>
        <w:ind w:left="0" w:right="23"/>
        <w:jc w:val="both"/>
      </w:pPr>
      <w:r w:rsidRPr="00CC155A">
        <w:rPr>
          <w:rFonts w:ascii="Tahoma" w:hAnsi="Tahoma" w:cs="Tahoma"/>
          <w:b/>
          <w:bCs/>
          <w:sz w:val="20"/>
          <w:szCs w:val="20"/>
        </w:rPr>
        <w:t>1.</w:t>
      </w:r>
      <w:r w:rsidRPr="00CC155A">
        <w:rPr>
          <w:rFonts w:ascii="Tahoma" w:hAnsi="Tahoma" w:cs="Tahoma"/>
          <w:sz w:val="20"/>
          <w:szCs w:val="20"/>
        </w:rPr>
        <w:t>      В доверенности должны быть указаны полномочия на осуществление действий по полному досрочному погашению задолженности Заемщика по ипотечному кредиту и/или рефинансируемым потребительским кредитам, полномочия на осуществление регистрационных действий, а именно:</w:t>
      </w:r>
    </w:p>
    <w:p w14:paraId="297CECE4" w14:textId="77777777" w:rsidR="00951A61" w:rsidRPr="00CC155A" w:rsidRDefault="00951A61" w:rsidP="00951A61">
      <w:pPr>
        <w:pStyle w:val="affe"/>
        <w:ind w:left="0" w:right="23"/>
        <w:jc w:val="both"/>
      </w:pPr>
      <w:r w:rsidRPr="00CC155A">
        <w:rPr>
          <w:rFonts w:ascii="Tahoma" w:hAnsi="Tahoma" w:cs="Tahoma"/>
          <w:sz w:val="20"/>
          <w:szCs w:val="20"/>
        </w:rPr>
        <w:t>1.1. Право осуществлять погашение Кредита по Кредитному договору №____ от ____, заключенному с __________ (наименование банка-кредитора/залогодержателя) в г. ____________, в том числе осуществлять частичное или полное досрочное погашение, подавать и подписывать необходимые заявления, в том числе заявление на полное и (или) частичное досрочное погашение Кредита, уточнять сумму погашения, получать выписки, графики платежей, справки об остатке ссудной задолженности, вести переговоры с __________ (наименование банка-залогодержателя) по вопросам погашения задолженности по Кредиту, получать справки о погашении Кредита.</w:t>
      </w:r>
    </w:p>
    <w:p w14:paraId="3898A219" w14:textId="77777777" w:rsidR="00951A61" w:rsidRPr="00CC155A" w:rsidRDefault="00951A61" w:rsidP="00951A61">
      <w:pPr>
        <w:pStyle w:val="affe"/>
        <w:ind w:left="0" w:right="23"/>
        <w:jc w:val="both"/>
      </w:pPr>
      <w:r w:rsidRPr="00CC155A">
        <w:rPr>
          <w:rFonts w:ascii="Tahoma" w:hAnsi="Tahoma" w:cs="Tahoma"/>
          <w:sz w:val="20"/>
          <w:szCs w:val="20"/>
        </w:rPr>
        <w:t>1.2. Представлять интересы доверителя в органах Федеральной службы государственной регистрации, кадастра и картографии и ее любых подразделениях, ФГБУ «Федеральная кадастровая палата Федеральной службы государственной регистрации, кадастра и картографии» и ее любых подразделениях, Многофункциональном центре предоставления государственных и муниципальных услуг, иных учреждениях, осуществляющих государственную регистрацию, в __________ (наименование банка-залогодержателя), в органах государственной власти и местного самоуправления, административных, банковских, кредитных, финансовых, налоговых, нотариальных и иных компетентных органах по вопросам подписания, заверения, предъявления и получения любых справок и документов, копий, дубликатов документов, необходимых для реализации предоставленных настоящей доверенностью полномочий.</w:t>
      </w:r>
    </w:p>
    <w:p w14:paraId="528F668F" w14:textId="77777777" w:rsidR="00951A61" w:rsidRPr="00CC155A" w:rsidRDefault="00951A61" w:rsidP="00951A61">
      <w:pPr>
        <w:pStyle w:val="affe"/>
        <w:ind w:left="0" w:right="23"/>
        <w:jc w:val="both"/>
      </w:pPr>
      <w:r w:rsidRPr="00CC155A">
        <w:rPr>
          <w:rFonts w:ascii="Tahoma" w:hAnsi="Tahoma" w:cs="Tahoma"/>
          <w:sz w:val="20"/>
          <w:szCs w:val="20"/>
        </w:rPr>
        <w:t>1.3. Зарегистрировать обременение на Предмет ипотеки, расположенный по адресу: _______________________ (адрес и кадастровый/условный номер (при наличии)), зарегистрировать ограничения (обременения), в том числе залог (ипотеку в силу закона) в пользу «Азиатско-Тихоокеанский Банк»  (АО), с правом подачи заявления о приостановлении, прекращении и возобновлении государственной регистрации, сообщения об отказе в государственной регистрации, с правом подачи дополнительных документов, внесения изменений в записи единого государственного реестра недвижимости, внесения изменений в документы, с правом оплаты тарифов, сборов, пошлин, с правом получения выписки из Единого государственного реестра недвижимости и всех необходимых зарегистрированных документов, с правом подачи заявлений об исправлении технических ошибок, для чего предоставляю право делать от имени доверителя любые запросы и заявления, в том числе заявления о государственной регистрации права собственности, государственной регистрации ограничений (обременений), в том числе залога (ипотеки в силу закона), приостановлении либо прекращении государственной регистрации, о предоставлении информации о зарегистрированных ограничениях на объект недвижимого имущества, о внесении изменений в единый государственный реестр недвижимости,  запросы о предоставлении сведений, внесенных в государственный кадастр недвижимости, об исправлении технических ошибок, допущенных при регистрации. Получить в регистрирующем органе любые документы после регистрации: правоустанавливающие документы, выписку из единого государственного реестра недвижимости и иные документы, уплачивать необходимые платежи, пошлины, сборы.</w:t>
      </w:r>
    </w:p>
    <w:p w14:paraId="625E4EBE" w14:textId="77777777" w:rsidR="00951A61" w:rsidRDefault="00951A61" w:rsidP="00951A61">
      <w:pPr>
        <w:pStyle w:val="affe"/>
        <w:ind w:left="0" w:right="23"/>
        <w:jc w:val="both"/>
      </w:pPr>
      <w:r w:rsidRPr="00CC155A">
        <w:rPr>
          <w:rFonts w:ascii="Tahoma" w:hAnsi="Tahoma" w:cs="Tahoma"/>
          <w:sz w:val="20"/>
          <w:szCs w:val="20"/>
        </w:rPr>
        <w:t>1.4. Представлять интересы доверителя в органах Федеральной службы государственной регистрации, кадастра и картографии и ее любых подразделениях, ФГБУ «Федеральная кадастровая палата Федеральной службы государственной регистрации, кадастра и картографии» и ее любых подразделениях, Многофункциональном центре предоставления государственных и муниципальных услуг, иных учреждениях, осуществляющих государственную регистрацию права собственности, в органах государственной власти и местного самоуправления, административных, банковских, кредитных, финансовых, налоговых, нотариальных и иных компетентных органах по вопросам подписания, заверения, предъявления и получения любых справок и документов, копий, дубликатов документов, необходимых для реализации предоставленных настоящей доверенностью полномочий.</w:t>
      </w:r>
    </w:p>
    <w:p w14:paraId="56FFC436" w14:textId="77777777" w:rsidR="00951A61" w:rsidRPr="00221DE0" w:rsidRDefault="00951A61" w:rsidP="00951A61">
      <w:pPr>
        <w:pStyle w:val="affe"/>
        <w:suppressAutoHyphens/>
        <w:spacing w:before="80" w:after="120"/>
        <w:ind w:left="284" w:right="23"/>
        <w:jc w:val="center"/>
        <w:rPr>
          <w:rFonts w:ascii="Tahoma" w:hAnsi="Tahoma" w:cs="Tahoma"/>
          <w:sz w:val="20"/>
          <w:szCs w:val="20"/>
        </w:rPr>
      </w:pPr>
    </w:p>
    <w:p w14:paraId="2D1728C1" w14:textId="77777777" w:rsidR="00951A61" w:rsidRPr="00287C21" w:rsidRDefault="00951A61" w:rsidP="00951A61">
      <w:pPr>
        <w:pageBreakBefore/>
        <w:jc w:val="right"/>
        <w:rPr>
          <w:rFonts w:ascii="Tahoma" w:hAnsi="Tahoma" w:cs="Tahoma"/>
          <w:sz w:val="18"/>
          <w:szCs w:val="20"/>
        </w:rPr>
      </w:pPr>
      <w:r w:rsidRPr="00287C21">
        <w:rPr>
          <w:rFonts w:ascii="Tahoma" w:hAnsi="Tahoma" w:cs="Tahoma"/>
          <w:sz w:val="18"/>
          <w:szCs w:val="20"/>
        </w:rPr>
        <w:lastRenderedPageBreak/>
        <w:t>Приложение №3</w:t>
      </w:r>
    </w:p>
    <w:p w14:paraId="6C83457C" w14:textId="77777777" w:rsidR="00951A61" w:rsidRPr="00287C21" w:rsidRDefault="00951A61" w:rsidP="00951A61">
      <w:pPr>
        <w:jc w:val="right"/>
        <w:rPr>
          <w:rFonts w:ascii="Tahoma" w:hAnsi="Tahoma" w:cs="Tahoma"/>
          <w:noProof/>
          <w:sz w:val="18"/>
          <w:szCs w:val="20"/>
        </w:rPr>
      </w:pPr>
      <w:r w:rsidRPr="00287C21">
        <w:rPr>
          <w:rFonts w:ascii="Tahoma" w:hAnsi="Tahoma" w:cs="Tahoma"/>
          <w:noProof/>
          <w:sz w:val="18"/>
          <w:szCs w:val="20"/>
        </w:rPr>
        <w:t xml:space="preserve">к основным условиях предоставления, использования и возврата </w:t>
      </w:r>
    </w:p>
    <w:p w14:paraId="030D89EE" w14:textId="77777777" w:rsidR="00951A61" w:rsidRPr="00287C21" w:rsidRDefault="00951A61" w:rsidP="00951A61">
      <w:pPr>
        <w:jc w:val="right"/>
        <w:rPr>
          <w:rFonts w:ascii="Tahoma" w:hAnsi="Tahoma" w:cs="Tahoma"/>
          <w:sz w:val="18"/>
          <w:szCs w:val="20"/>
        </w:rPr>
      </w:pPr>
      <w:r w:rsidRPr="00287C21">
        <w:rPr>
          <w:rFonts w:ascii="Tahoma" w:hAnsi="Tahoma" w:cs="Tahoma"/>
          <w:noProof/>
          <w:sz w:val="18"/>
          <w:szCs w:val="20"/>
        </w:rPr>
        <w:t>ипотечного кредита по тарифному плану «Нецелевой»</w:t>
      </w:r>
    </w:p>
    <w:p w14:paraId="397127E2" w14:textId="77777777" w:rsidR="00951A61" w:rsidRPr="00287C21" w:rsidRDefault="00951A61" w:rsidP="00951A61">
      <w:pPr>
        <w:jc w:val="center"/>
        <w:rPr>
          <w:rFonts w:ascii="Tahoma" w:hAnsi="Tahoma" w:cs="Tahoma"/>
          <w:b/>
          <w:sz w:val="18"/>
          <w:szCs w:val="18"/>
        </w:rPr>
      </w:pPr>
    </w:p>
    <w:p w14:paraId="4513DA54" w14:textId="77777777" w:rsidR="00951A61" w:rsidRPr="00287C21" w:rsidRDefault="00951A61" w:rsidP="00951A61">
      <w:pPr>
        <w:jc w:val="center"/>
        <w:rPr>
          <w:rFonts w:ascii="Tahoma" w:hAnsi="Tahoma" w:cs="Tahoma"/>
          <w:b/>
          <w:sz w:val="20"/>
          <w:szCs w:val="20"/>
        </w:rPr>
      </w:pPr>
      <w:r w:rsidRPr="00287C21">
        <w:rPr>
          <w:rFonts w:ascii="Tahoma" w:hAnsi="Tahoma" w:cs="Tahoma"/>
          <w:b/>
          <w:sz w:val="20"/>
          <w:szCs w:val="20"/>
        </w:rPr>
        <w:t>СПИСОК НАСЕЛЕННЫХ ПУНКТОВ</w:t>
      </w:r>
    </w:p>
    <w:p w14:paraId="25AB8F1A" w14:textId="77777777" w:rsidR="00951A61" w:rsidRPr="00287C21" w:rsidRDefault="00951A61" w:rsidP="00951A61">
      <w:pPr>
        <w:pStyle w:val="affe"/>
        <w:ind w:left="284"/>
        <w:jc w:val="both"/>
        <w:rPr>
          <w:rFonts w:ascii="Tahoma" w:hAnsi="Tahoma" w:cs="Tahoma"/>
          <w:sz w:val="20"/>
          <w:szCs w:val="20"/>
        </w:rPr>
      </w:pPr>
    </w:p>
    <w:tbl>
      <w:tblPr>
        <w:tblW w:w="11088" w:type="dxa"/>
        <w:tblInd w:w="-3" w:type="dxa"/>
        <w:tblCellMar>
          <w:left w:w="0" w:type="dxa"/>
          <w:right w:w="0" w:type="dxa"/>
        </w:tblCellMar>
        <w:tblLook w:val="04A0" w:firstRow="1" w:lastRow="0" w:firstColumn="1" w:lastColumn="0" w:noHBand="0" w:noVBand="1"/>
      </w:tblPr>
      <w:tblGrid>
        <w:gridCol w:w="844"/>
        <w:gridCol w:w="6548"/>
        <w:gridCol w:w="3696"/>
      </w:tblGrid>
      <w:tr w:rsidR="00951A61" w:rsidRPr="008148A9" w14:paraId="492E4229" w14:textId="77777777" w:rsidTr="00A4032F">
        <w:trPr>
          <w:trHeight w:hRule="exact" w:val="425"/>
        </w:trPr>
        <w:tc>
          <w:tcPr>
            <w:tcW w:w="844" w:type="dxa"/>
            <w:tcBorders>
              <w:top w:val="single" w:sz="8" w:space="0" w:color="808080"/>
              <w:left w:val="single" w:sz="8" w:space="0" w:color="808080"/>
              <w:bottom w:val="single" w:sz="8" w:space="0" w:color="808080"/>
              <w:right w:val="single" w:sz="8" w:space="0" w:color="808080"/>
            </w:tcBorders>
          </w:tcPr>
          <w:p w14:paraId="419D8FF8" w14:textId="77777777" w:rsidR="00951A61" w:rsidRPr="00287C21" w:rsidRDefault="00951A61" w:rsidP="00A4032F">
            <w:pPr>
              <w:jc w:val="center"/>
              <w:rPr>
                <w:rFonts w:ascii="Tahoma" w:hAnsi="Tahoma" w:cs="Tahoma"/>
                <w:b/>
                <w:sz w:val="20"/>
                <w:szCs w:val="20"/>
              </w:rPr>
            </w:pPr>
            <w:r w:rsidRPr="00287C21">
              <w:rPr>
                <w:rFonts w:ascii="Tahoma" w:hAnsi="Tahoma" w:cs="Tahoma"/>
                <w:b/>
                <w:sz w:val="20"/>
                <w:szCs w:val="20"/>
              </w:rPr>
              <w:t>№</w:t>
            </w:r>
          </w:p>
        </w:tc>
        <w:tc>
          <w:tcPr>
            <w:tcW w:w="6548" w:type="dxa"/>
            <w:tcBorders>
              <w:top w:val="single" w:sz="8" w:space="0" w:color="808080"/>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54A8E76C" w14:textId="77777777" w:rsidR="00951A61" w:rsidRPr="00287C21" w:rsidRDefault="00951A61" w:rsidP="00A4032F">
            <w:pPr>
              <w:jc w:val="center"/>
              <w:rPr>
                <w:rFonts w:ascii="Tahoma" w:hAnsi="Tahoma" w:cs="Tahoma"/>
                <w:b/>
                <w:sz w:val="20"/>
                <w:szCs w:val="20"/>
              </w:rPr>
            </w:pPr>
            <w:r w:rsidRPr="00287C21">
              <w:rPr>
                <w:rFonts w:ascii="Tahoma" w:hAnsi="Tahoma" w:cs="Tahoma"/>
                <w:b/>
                <w:sz w:val="20"/>
                <w:szCs w:val="20"/>
              </w:rPr>
              <w:t>Субъекты РФ (регионы)</w:t>
            </w:r>
          </w:p>
        </w:tc>
        <w:tc>
          <w:tcPr>
            <w:tcW w:w="3696" w:type="dxa"/>
            <w:tcBorders>
              <w:top w:val="single" w:sz="8" w:space="0" w:color="808080"/>
              <w:left w:val="nil"/>
              <w:bottom w:val="single" w:sz="8" w:space="0" w:color="808080"/>
              <w:right w:val="single" w:sz="8" w:space="0" w:color="808080"/>
            </w:tcBorders>
            <w:tcMar>
              <w:top w:w="0" w:type="dxa"/>
              <w:left w:w="108" w:type="dxa"/>
              <w:bottom w:w="0" w:type="dxa"/>
              <w:right w:w="108" w:type="dxa"/>
            </w:tcMar>
            <w:hideMark/>
          </w:tcPr>
          <w:p w14:paraId="6EC2FB44" w14:textId="77777777" w:rsidR="00951A61" w:rsidRPr="00287C21" w:rsidRDefault="00951A61" w:rsidP="00A4032F">
            <w:pPr>
              <w:jc w:val="center"/>
              <w:rPr>
                <w:rFonts w:ascii="Tahoma" w:hAnsi="Tahoma" w:cs="Tahoma"/>
                <w:b/>
                <w:sz w:val="20"/>
                <w:szCs w:val="20"/>
              </w:rPr>
            </w:pPr>
            <w:r w:rsidRPr="00287C21">
              <w:rPr>
                <w:rFonts w:ascii="Tahoma" w:hAnsi="Tahoma" w:cs="Tahoma"/>
                <w:b/>
                <w:sz w:val="20"/>
                <w:szCs w:val="20"/>
              </w:rPr>
              <w:t>Населённые пункты (города)</w:t>
            </w:r>
          </w:p>
        </w:tc>
      </w:tr>
      <w:tr w:rsidR="00951A61" w:rsidRPr="008148A9" w14:paraId="77F19604" w14:textId="77777777" w:rsidTr="00A4032F">
        <w:trPr>
          <w:trHeight w:hRule="exact" w:val="425"/>
        </w:trPr>
        <w:tc>
          <w:tcPr>
            <w:tcW w:w="844" w:type="dxa"/>
            <w:tcBorders>
              <w:top w:val="nil"/>
              <w:left w:val="single" w:sz="8" w:space="0" w:color="808080"/>
              <w:bottom w:val="single" w:sz="8" w:space="0" w:color="808080"/>
              <w:right w:val="single" w:sz="8" w:space="0" w:color="808080"/>
            </w:tcBorders>
          </w:tcPr>
          <w:p w14:paraId="0EACEC73" w14:textId="77777777" w:rsidR="00951A61" w:rsidRPr="00287C21" w:rsidRDefault="00951A61" w:rsidP="00A4032F">
            <w:pPr>
              <w:jc w:val="center"/>
              <w:rPr>
                <w:rFonts w:ascii="Tahoma" w:hAnsi="Tahoma" w:cs="Tahoma"/>
                <w:sz w:val="20"/>
                <w:szCs w:val="20"/>
              </w:rPr>
            </w:pPr>
            <w:r w:rsidRPr="00287C21">
              <w:rPr>
                <w:rFonts w:ascii="Tahoma" w:hAnsi="Tahoma" w:cs="Tahoma"/>
                <w:sz w:val="20"/>
                <w:szCs w:val="20"/>
              </w:rPr>
              <w:t>1.</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1AF7AB2E" w14:textId="77777777" w:rsidR="00951A61" w:rsidRPr="00287C21" w:rsidRDefault="00951A61" w:rsidP="00A4032F">
            <w:pPr>
              <w:rPr>
                <w:rFonts w:ascii="Tahoma" w:hAnsi="Tahoma" w:cs="Tahoma"/>
                <w:sz w:val="20"/>
                <w:szCs w:val="20"/>
              </w:rPr>
            </w:pPr>
            <w:r w:rsidRPr="00287C21">
              <w:rPr>
                <w:rFonts w:ascii="Tahoma" w:hAnsi="Tahoma" w:cs="Tahoma"/>
                <w:sz w:val="20"/>
                <w:szCs w:val="20"/>
              </w:rPr>
              <w:t>Алтайский край и Республика Алтай</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2A6ECE6B" w14:textId="77777777" w:rsidR="00951A61" w:rsidRPr="00287C21" w:rsidRDefault="00951A61" w:rsidP="00A4032F">
            <w:pPr>
              <w:rPr>
                <w:rFonts w:ascii="Tahoma" w:hAnsi="Tahoma" w:cs="Tahoma"/>
                <w:sz w:val="20"/>
                <w:szCs w:val="20"/>
              </w:rPr>
            </w:pPr>
            <w:r w:rsidRPr="00287C21">
              <w:rPr>
                <w:rFonts w:ascii="Tahoma" w:hAnsi="Tahoma" w:cs="Tahoma"/>
                <w:sz w:val="20"/>
                <w:szCs w:val="20"/>
              </w:rPr>
              <w:t>Барнаул</w:t>
            </w:r>
          </w:p>
        </w:tc>
      </w:tr>
      <w:tr w:rsidR="00951A61" w:rsidRPr="008148A9" w14:paraId="411E3B54" w14:textId="77777777" w:rsidTr="00A4032F">
        <w:trPr>
          <w:trHeight w:hRule="exact" w:val="425"/>
        </w:trPr>
        <w:tc>
          <w:tcPr>
            <w:tcW w:w="844" w:type="dxa"/>
            <w:tcBorders>
              <w:top w:val="nil"/>
              <w:left w:val="single" w:sz="8" w:space="0" w:color="808080"/>
              <w:bottom w:val="single" w:sz="8" w:space="0" w:color="808080"/>
              <w:right w:val="single" w:sz="8" w:space="0" w:color="808080"/>
            </w:tcBorders>
          </w:tcPr>
          <w:p w14:paraId="0A150BAC" w14:textId="77777777" w:rsidR="00951A61" w:rsidRPr="00287C21" w:rsidRDefault="00951A61" w:rsidP="00A4032F">
            <w:pPr>
              <w:jc w:val="center"/>
              <w:rPr>
                <w:rFonts w:ascii="Tahoma" w:hAnsi="Tahoma" w:cs="Tahoma"/>
                <w:sz w:val="20"/>
                <w:szCs w:val="20"/>
              </w:rPr>
            </w:pPr>
            <w:r w:rsidRPr="00287C21">
              <w:rPr>
                <w:rFonts w:ascii="Tahoma" w:hAnsi="Tahoma" w:cs="Tahoma"/>
                <w:sz w:val="20"/>
                <w:szCs w:val="20"/>
              </w:rPr>
              <w:t>2.</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646D6E78" w14:textId="77777777" w:rsidR="00951A61" w:rsidRPr="00287C21" w:rsidRDefault="00951A61" w:rsidP="00A4032F">
            <w:pPr>
              <w:rPr>
                <w:rFonts w:ascii="Tahoma" w:hAnsi="Tahoma" w:cs="Tahoma"/>
                <w:sz w:val="20"/>
                <w:szCs w:val="20"/>
              </w:rPr>
            </w:pPr>
            <w:r w:rsidRPr="00287C21">
              <w:rPr>
                <w:rFonts w:ascii="Tahoma" w:hAnsi="Tahoma" w:cs="Tahoma"/>
                <w:sz w:val="20"/>
                <w:szCs w:val="20"/>
              </w:rPr>
              <w:t>Амурская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5533D925" w14:textId="77777777" w:rsidR="00951A61" w:rsidRPr="00287C21" w:rsidRDefault="00951A61" w:rsidP="00A4032F">
            <w:pPr>
              <w:rPr>
                <w:rFonts w:ascii="Tahoma" w:hAnsi="Tahoma" w:cs="Tahoma"/>
                <w:sz w:val="20"/>
                <w:szCs w:val="20"/>
              </w:rPr>
            </w:pPr>
            <w:r w:rsidRPr="00287C21">
              <w:rPr>
                <w:rFonts w:ascii="Tahoma" w:hAnsi="Tahoma" w:cs="Tahoma"/>
                <w:sz w:val="20"/>
                <w:szCs w:val="20"/>
              </w:rPr>
              <w:t>Благовещенск</w:t>
            </w:r>
          </w:p>
        </w:tc>
      </w:tr>
      <w:tr w:rsidR="00951A61" w:rsidRPr="008148A9" w14:paraId="7D40A2A4" w14:textId="77777777" w:rsidTr="00A4032F">
        <w:trPr>
          <w:trHeight w:hRule="exact" w:val="425"/>
        </w:trPr>
        <w:tc>
          <w:tcPr>
            <w:tcW w:w="844" w:type="dxa"/>
            <w:tcBorders>
              <w:top w:val="nil"/>
              <w:left w:val="single" w:sz="8" w:space="0" w:color="808080"/>
              <w:bottom w:val="single" w:sz="8" w:space="0" w:color="808080"/>
              <w:right w:val="single" w:sz="8" w:space="0" w:color="808080"/>
            </w:tcBorders>
          </w:tcPr>
          <w:p w14:paraId="3FD6EC05" w14:textId="77777777" w:rsidR="00951A61" w:rsidRPr="00287C21" w:rsidRDefault="00951A61" w:rsidP="00A4032F">
            <w:pPr>
              <w:jc w:val="center"/>
              <w:rPr>
                <w:rFonts w:ascii="Tahoma" w:hAnsi="Tahoma" w:cs="Tahoma"/>
                <w:sz w:val="20"/>
                <w:szCs w:val="20"/>
              </w:rPr>
            </w:pPr>
            <w:r w:rsidRPr="00287C21">
              <w:rPr>
                <w:rFonts w:ascii="Tahoma" w:hAnsi="Tahoma" w:cs="Tahoma"/>
                <w:sz w:val="20"/>
                <w:szCs w:val="20"/>
              </w:rPr>
              <w:t>3.</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332941E0" w14:textId="77777777" w:rsidR="00951A61" w:rsidRPr="00287C21" w:rsidRDefault="00951A61" w:rsidP="00A4032F">
            <w:pPr>
              <w:rPr>
                <w:rFonts w:ascii="Tahoma" w:hAnsi="Tahoma" w:cs="Tahoma"/>
                <w:sz w:val="20"/>
                <w:szCs w:val="20"/>
              </w:rPr>
            </w:pPr>
            <w:r w:rsidRPr="00287C21">
              <w:rPr>
                <w:rFonts w:ascii="Tahoma" w:hAnsi="Tahoma" w:cs="Tahoma"/>
                <w:sz w:val="20"/>
                <w:szCs w:val="20"/>
              </w:rPr>
              <w:t>Забайкальский край</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50D101D8" w14:textId="77777777" w:rsidR="00951A61" w:rsidRPr="00287C21" w:rsidRDefault="00951A61" w:rsidP="00A4032F">
            <w:pPr>
              <w:rPr>
                <w:rFonts w:ascii="Tahoma" w:hAnsi="Tahoma" w:cs="Tahoma"/>
                <w:sz w:val="20"/>
                <w:szCs w:val="20"/>
              </w:rPr>
            </w:pPr>
            <w:r w:rsidRPr="00287C21">
              <w:rPr>
                <w:rFonts w:ascii="Tahoma" w:hAnsi="Tahoma" w:cs="Tahoma"/>
                <w:sz w:val="20"/>
                <w:szCs w:val="20"/>
              </w:rPr>
              <w:t>Чита</w:t>
            </w:r>
          </w:p>
        </w:tc>
      </w:tr>
      <w:tr w:rsidR="00951A61" w:rsidRPr="008148A9" w14:paraId="3356BD07" w14:textId="77777777" w:rsidTr="00A4032F">
        <w:trPr>
          <w:trHeight w:hRule="exact" w:val="425"/>
        </w:trPr>
        <w:tc>
          <w:tcPr>
            <w:tcW w:w="844" w:type="dxa"/>
            <w:tcBorders>
              <w:top w:val="nil"/>
              <w:left w:val="single" w:sz="8" w:space="0" w:color="808080"/>
              <w:bottom w:val="single" w:sz="8" w:space="0" w:color="808080"/>
              <w:right w:val="single" w:sz="8" w:space="0" w:color="808080"/>
            </w:tcBorders>
          </w:tcPr>
          <w:p w14:paraId="33AC725A" w14:textId="77777777" w:rsidR="00951A61" w:rsidRPr="00287C21" w:rsidRDefault="00951A61" w:rsidP="00A4032F">
            <w:pPr>
              <w:jc w:val="center"/>
              <w:rPr>
                <w:rFonts w:ascii="Tahoma" w:hAnsi="Tahoma" w:cs="Tahoma"/>
                <w:sz w:val="20"/>
                <w:szCs w:val="20"/>
              </w:rPr>
            </w:pPr>
            <w:r w:rsidRPr="00287C21">
              <w:rPr>
                <w:rFonts w:ascii="Tahoma" w:hAnsi="Tahoma" w:cs="Tahoma"/>
                <w:sz w:val="20"/>
                <w:szCs w:val="20"/>
              </w:rPr>
              <w:t>4.</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79ABBB70" w14:textId="77777777" w:rsidR="00951A61" w:rsidRPr="00287C21" w:rsidRDefault="00951A61" w:rsidP="00A4032F">
            <w:pPr>
              <w:rPr>
                <w:rFonts w:ascii="Tahoma" w:hAnsi="Tahoma" w:cs="Tahoma"/>
                <w:sz w:val="20"/>
                <w:szCs w:val="20"/>
              </w:rPr>
            </w:pPr>
            <w:r w:rsidRPr="00287C21">
              <w:rPr>
                <w:rFonts w:ascii="Tahoma" w:hAnsi="Tahoma" w:cs="Tahoma"/>
                <w:sz w:val="20"/>
                <w:szCs w:val="20"/>
              </w:rPr>
              <w:t>Иркутская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4C42A23C" w14:textId="77777777" w:rsidR="00951A61" w:rsidRPr="00287C21" w:rsidRDefault="00951A61" w:rsidP="00A4032F">
            <w:pPr>
              <w:rPr>
                <w:rFonts w:ascii="Tahoma" w:hAnsi="Tahoma" w:cs="Tahoma"/>
                <w:sz w:val="20"/>
                <w:szCs w:val="20"/>
              </w:rPr>
            </w:pPr>
            <w:r w:rsidRPr="00287C21">
              <w:rPr>
                <w:rFonts w:ascii="Tahoma" w:hAnsi="Tahoma" w:cs="Tahoma"/>
                <w:sz w:val="20"/>
                <w:szCs w:val="20"/>
              </w:rPr>
              <w:t>Иркутск</w:t>
            </w:r>
          </w:p>
        </w:tc>
      </w:tr>
      <w:tr w:rsidR="00951A61" w:rsidRPr="008148A9" w14:paraId="28F3C9DC" w14:textId="77777777" w:rsidTr="00A4032F">
        <w:trPr>
          <w:trHeight w:hRule="exact" w:val="425"/>
        </w:trPr>
        <w:tc>
          <w:tcPr>
            <w:tcW w:w="844" w:type="dxa"/>
            <w:tcBorders>
              <w:top w:val="nil"/>
              <w:left w:val="single" w:sz="8" w:space="0" w:color="808080"/>
              <w:bottom w:val="single" w:sz="8" w:space="0" w:color="808080"/>
              <w:right w:val="single" w:sz="8" w:space="0" w:color="808080"/>
            </w:tcBorders>
          </w:tcPr>
          <w:p w14:paraId="219E783B" w14:textId="77777777" w:rsidR="00951A61" w:rsidRPr="00287C21" w:rsidRDefault="00951A61" w:rsidP="00A4032F">
            <w:pPr>
              <w:jc w:val="center"/>
              <w:rPr>
                <w:rFonts w:ascii="Tahoma" w:hAnsi="Tahoma" w:cs="Tahoma"/>
                <w:sz w:val="20"/>
                <w:szCs w:val="20"/>
              </w:rPr>
            </w:pPr>
            <w:r w:rsidRPr="00287C21">
              <w:rPr>
                <w:rFonts w:ascii="Tahoma" w:hAnsi="Tahoma" w:cs="Tahoma"/>
                <w:sz w:val="20"/>
                <w:szCs w:val="20"/>
              </w:rPr>
              <w:t>5.</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57773C3C" w14:textId="77777777" w:rsidR="00951A61" w:rsidRPr="00287C21" w:rsidRDefault="00951A61" w:rsidP="00A4032F">
            <w:pPr>
              <w:rPr>
                <w:rFonts w:ascii="Tahoma" w:hAnsi="Tahoma" w:cs="Tahoma"/>
                <w:sz w:val="20"/>
                <w:szCs w:val="20"/>
              </w:rPr>
            </w:pPr>
            <w:r w:rsidRPr="00287C21">
              <w:rPr>
                <w:rFonts w:ascii="Tahoma" w:hAnsi="Tahoma" w:cs="Tahoma"/>
                <w:sz w:val="20"/>
                <w:szCs w:val="20"/>
              </w:rPr>
              <w:t>Камчатский край</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144EAA9B" w14:textId="77777777" w:rsidR="00951A61" w:rsidRPr="00287C21" w:rsidRDefault="00951A61" w:rsidP="00A4032F">
            <w:pPr>
              <w:rPr>
                <w:rFonts w:ascii="Tahoma" w:hAnsi="Tahoma" w:cs="Tahoma"/>
                <w:sz w:val="20"/>
                <w:szCs w:val="20"/>
              </w:rPr>
            </w:pPr>
            <w:r w:rsidRPr="00287C21">
              <w:rPr>
                <w:rFonts w:ascii="Tahoma" w:hAnsi="Tahoma" w:cs="Tahoma"/>
                <w:sz w:val="20"/>
                <w:szCs w:val="20"/>
              </w:rPr>
              <w:t>Петропавловск-Камчатский</w:t>
            </w:r>
          </w:p>
        </w:tc>
      </w:tr>
      <w:tr w:rsidR="00951A61" w:rsidRPr="008148A9" w14:paraId="53457535" w14:textId="77777777" w:rsidTr="00A4032F">
        <w:trPr>
          <w:trHeight w:hRule="exact" w:val="425"/>
        </w:trPr>
        <w:tc>
          <w:tcPr>
            <w:tcW w:w="844" w:type="dxa"/>
            <w:tcBorders>
              <w:top w:val="nil"/>
              <w:left w:val="single" w:sz="8" w:space="0" w:color="808080"/>
              <w:bottom w:val="single" w:sz="8" w:space="0" w:color="808080"/>
              <w:right w:val="single" w:sz="8" w:space="0" w:color="808080"/>
            </w:tcBorders>
          </w:tcPr>
          <w:p w14:paraId="2B93D6B0" w14:textId="77777777" w:rsidR="00951A61" w:rsidRPr="00287C21" w:rsidRDefault="00951A61" w:rsidP="00A4032F">
            <w:pPr>
              <w:jc w:val="center"/>
              <w:rPr>
                <w:rFonts w:ascii="Tahoma" w:hAnsi="Tahoma" w:cs="Tahoma"/>
                <w:sz w:val="20"/>
                <w:szCs w:val="20"/>
              </w:rPr>
            </w:pPr>
            <w:r w:rsidRPr="00287C21">
              <w:rPr>
                <w:rFonts w:ascii="Tahoma" w:hAnsi="Tahoma" w:cs="Tahoma"/>
                <w:sz w:val="20"/>
                <w:szCs w:val="20"/>
              </w:rPr>
              <w:t>6.</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619FE8A4" w14:textId="77777777" w:rsidR="00951A61" w:rsidRPr="00287C21" w:rsidRDefault="00951A61" w:rsidP="00A4032F">
            <w:pPr>
              <w:rPr>
                <w:rFonts w:ascii="Tahoma" w:hAnsi="Tahoma" w:cs="Tahoma"/>
                <w:sz w:val="20"/>
                <w:szCs w:val="20"/>
              </w:rPr>
            </w:pPr>
            <w:r w:rsidRPr="00287C21">
              <w:rPr>
                <w:rFonts w:ascii="Tahoma" w:hAnsi="Tahoma" w:cs="Tahoma"/>
                <w:sz w:val="20"/>
                <w:szCs w:val="20"/>
              </w:rPr>
              <w:t>Кемеровская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4EACB917" w14:textId="77777777" w:rsidR="00951A61" w:rsidRPr="00287C21" w:rsidRDefault="00951A61" w:rsidP="00A4032F">
            <w:pPr>
              <w:rPr>
                <w:rFonts w:ascii="Tahoma" w:hAnsi="Tahoma" w:cs="Tahoma"/>
                <w:sz w:val="20"/>
                <w:szCs w:val="20"/>
              </w:rPr>
            </w:pPr>
            <w:r w:rsidRPr="00287C21">
              <w:rPr>
                <w:rFonts w:ascii="Tahoma" w:hAnsi="Tahoma" w:cs="Tahoma"/>
                <w:sz w:val="20"/>
                <w:szCs w:val="20"/>
              </w:rPr>
              <w:t>Кемерово</w:t>
            </w:r>
          </w:p>
        </w:tc>
      </w:tr>
      <w:tr w:rsidR="00951A61" w:rsidRPr="008148A9" w14:paraId="5DC74B7A" w14:textId="77777777" w:rsidTr="00A4032F">
        <w:trPr>
          <w:trHeight w:hRule="exact" w:val="425"/>
        </w:trPr>
        <w:tc>
          <w:tcPr>
            <w:tcW w:w="844" w:type="dxa"/>
            <w:tcBorders>
              <w:top w:val="nil"/>
              <w:left w:val="single" w:sz="8" w:space="0" w:color="808080"/>
              <w:bottom w:val="single" w:sz="8" w:space="0" w:color="808080"/>
              <w:right w:val="single" w:sz="8" w:space="0" w:color="808080"/>
            </w:tcBorders>
          </w:tcPr>
          <w:p w14:paraId="2AAE4188" w14:textId="77777777" w:rsidR="00951A61" w:rsidRPr="00287C21" w:rsidRDefault="00951A61" w:rsidP="00A4032F">
            <w:pPr>
              <w:jc w:val="center"/>
              <w:rPr>
                <w:rFonts w:ascii="Tahoma" w:hAnsi="Tahoma" w:cs="Tahoma"/>
                <w:sz w:val="20"/>
                <w:szCs w:val="20"/>
              </w:rPr>
            </w:pPr>
            <w:r w:rsidRPr="00287C21">
              <w:rPr>
                <w:rFonts w:ascii="Tahoma" w:hAnsi="Tahoma" w:cs="Tahoma"/>
                <w:sz w:val="20"/>
                <w:szCs w:val="20"/>
              </w:rPr>
              <w:t>7.</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7A14B89F" w14:textId="77777777" w:rsidR="00951A61" w:rsidRPr="00287C21" w:rsidRDefault="00951A61" w:rsidP="00A4032F">
            <w:pPr>
              <w:rPr>
                <w:rFonts w:ascii="Tahoma" w:hAnsi="Tahoma" w:cs="Tahoma"/>
                <w:sz w:val="20"/>
                <w:szCs w:val="20"/>
              </w:rPr>
            </w:pPr>
            <w:r w:rsidRPr="00287C21">
              <w:rPr>
                <w:rFonts w:ascii="Tahoma" w:hAnsi="Tahoma" w:cs="Tahoma"/>
                <w:sz w:val="20"/>
                <w:szCs w:val="20"/>
              </w:rPr>
              <w:t>Красноярский край</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07FBB123" w14:textId="77777777" w:rsidR="00951A61" w:rsidRPr="00287C21" w:rsidRDefault="00951A61" w:rsidP="00A4032F">
            <w:pPr>
              <w:rPr>
                <w:rFonts w:ascii="Tahoma" w:hAnsi="Tahoma" w:cs="Tahoma"/>
                <w:sz w:val="20"/>
                <w:szCs w:val="20"/>
              </w:rPr>
            </w:pPr>
            <w:r w:rsidRPr="00287C21">
              <w:rPr>
                <w:rFonts w:ascii="Tahoma" w:hAnsi="Tahoma" w:cs="Tahoma"/>
                <w:sz w:val="20"/>
                <w:szCs w:val="20"/>
              </w:rPr>
              <w:t>Красноярск</w:t>
            </w:r>
          </w:p>
        </w:tc>
      </w:tr>
      <w:tr w:rsidR="00951A61" w:rsidRPr="008148A9" w14:paraId="30159538" w14:textId="77777777" w:rsidTr="00A4032F">
        <w:trPr>
          <w:trHeight w:hRule="exact" w:val="425"/>
        </w:trPr>
        <w:tc>
          <w:tcPr>
            <w:tcW w:w="844" w:type="dxa"/>
            <w:tcBorders>
              <w:top w:val="nil"/>
              <w:left w:val="single" w:sz="8" w:space="0" w:color="808080"/>
              <w:bottom w:val="single" w:sz="8" w:space="0" w:color="808080"/>
              <w:right w:val="single" w:sz="8" w:space="0" w:color="808080"/>
            </w:tcBorders>
          </w:tcPr>
          <w:p w14:paraId="41A77743" w14:textId="77777777" w:rsidR="00951A61" w:rsidRPr="00287C21" w:rsidRDefault="00951A61" w:rsidP="00A4032F">
            <w:pPr>
              <w:jc w:val="center"/>
              <w:rPr>
                <w:rFonts w:ascii="Tahoma" w:hAnsi="Tahoma" w:cs="Tahoma"/>
                <w:sz w:val="20"/>
                <w:szCs w:val="20"/>
              </w:rPr>
            </w:pPr>
            <w:r w:rsidRPr="00287C21">
              <w:rPr>
                <w:rFonts w:ascii="Tahoma" w:hAnsi="Tahoma" w:cs="Tahoma"/>
                <w:sz w:val="20"/>
                <w:szCs w:val="20"/>
              </w:rPr>
              <w:t>8.</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50972D6A" w14:textId="77777777" w:rsidR="00951A61" w:rsidRPr="00287C21" w:rsidRDefault="00951A61" w:rsidP="00A4032F">
            <w:pPr>
              <w:rPr>
                <w:rFonts w:ascii="Tahoma" w:hAnsi="Tahoma" w:cs="Tahoma"/>
                <w:sz w:val="20"/>
                <w:szCs w:val="20"/>
              </w:rPr>
            </w:pPr>
            <w:r w:rsidRPr="00287C21">
              <w:rPr>
                <w:rFonts w:ascii="Tahoma" w:hAnsi="Tahoma" w:cs="Tahoma"/>
                <w:sz w:val="20"/>
                <w:szCs w:val="20"/>
              </w:rPr>
              <w:t>Магаданская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52B620CF" w14:textId="77777777" w:rsidR="00951A61" w:rsidRPr="00287C21" w:rsidRDefault="00951A61" w:rsidP="00A4032F">
            <w:pPr>
              <w:rPr>
                <w:rFonts w:ascii="Tahoma" w:hAnsi="Tahoma" w:cs="Tahoma"/>
                <w:sz w:val="20"/>
                <w:szCs w:val="20"/>
              </w:rPr>
            </w:pPr>
            <w:r w:rsidRPr="00287C21">
              <w:rPr>
                <w:rFonts w:ascii="Tahoma" w:hAnsi="Tahoma" w:cs="Tahoma"/>
                <w:sz w:val="20"/>
                <w:szCs w:val="20"/>
              </w:rPr>
              <w:t>Магадан</w:t>
            </w:r>
          </w:p>
        </w:tc>
      </w:tr>
      <w:tr w:rsidR="00951A61" w:rsidRPr="008148A9" w14:paraId="08371117" w14:textId="77777777" w:rsidTr="00A4032F">
        <w:trPr>
          <w:trHeight w:hRule="exact" w:val="425"/>
        </w:trPr>
        <w:tc>
          <w:tcPr>
            <w:tcW w:w="844" w:type="dxa"/>
            <w:tcBorders>
              <w:top w:val="nil"/>
              <w:left w:val="single" w:sz="8" w:space="0" w:color="808080"/>
              <w:bottom w:val="single" w:sz="8" w:space="0" w:color="808080"/>
              <w:right w:val="single" w:sz="8" w:space="0" w:color="808080"/>
            </w:tcBorders>
          </w:tcPr>
          <w:p w14:paraId="470A4E06" w14:textId="77777777" w:rsidR="00951A61" w:rsidRPr="00287C21" w:rsidRDefault="00951A61" w:rsidP="00A4032F">
            <w:pPr>
              <w:jc w:val="center"/>
              <w:rPr>
                <w:rFonts w:ascii="Tahoma" w:hAnsi="Tahoma" w:cs="Tahoma"/>
                <w:sz w:val="20"/>
                <w:szCs w:val="20"/>
              </w:rPr>
            </w:pPr>
            <w:r w:rsidRPr="00287C21">
              <w:rPr>
                <w:rFonts w:ascii="Tahoma" w:hAnsi="Tahoma" w:cs="Tahoma"/>
                <w:sz w:val="20"/>
                <w:szCs w:val="20"/>
              </w:rPr>
              <w:t>9.</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tcPr>
          <w:p w14:paraId="71601D5C" w14:textId="77777777" w:rsidR="00951A61" w:rsidRPr="00287C21" w:rsidRDefault="00951A61" w:rsidP="00A4032F">
            <w:pPr>
              <w:rPr>
                <w:rFonts w:ascii="Tahoma" w:hAnsi="Tahoma" w:cs="Tahoma"/>
                <w:sz w:val="20"/>
                <w:szCs w:val="20"/>
              </w:rPr>
            </w:pPr>
            <w:r w:rsidRPr="00287C21">
              <w:rPr>
                <w:rFonts w:ascii="Tahoma" w:hAnsi="Tahoma" w:cs="Tahoma"/>
                <w:sz w:val="20"/>
                <w:szCs w:val="20"/>
              </w:rPr>
              <w:t>Новосибирская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tcPr>
          <w:p w14:paraId="0F5342D1" w14:textId="77777777" w:rsidR="00951A61" w:rsidRPr="00287C21" w:rsidRDefault="00951A61" w:rsidP="00A4032F">
            <w:pPr>
              <w:rPr>
                <w:rFonts w:ascii="Tahoma" w:hAnsi="Tahoma" w:cs="Tahoma"/>
                <w:sz w:val="20"/>
                <w:szCs w:val="20"/>
              </w:rPr>
            </w:pPr>
            <w:r w:rsidRPr="00287C21">
              <w:rPr>
                <w:rFonts w:ascii="Tahoma" w:hAnsi="Tahoma" w:cs="Tahoma"/>
                <w:sz w:val="20"/>
                <w:szCs w:val="20"/>
              </w:rPr>
              <w:t>Новосибирск</w:t>
            </w:r>
          </w:p>
        </w:tc>
      </w:tr>
      <w:tr w:rsidR="00951A61" w:rsidRPr="008148A9" w14:paraId="5AA3CDDF" w14:textId="77777777" w:rsidTr="00A4032F">
        <w:trPr>
          <w:trHeight w:hRule="exact" w:val="425"/>
        </w:trPr>
        <w:tc>
          <w:tcPr>
            <w:tcW w:w="844" w:type="dxa"/>
            <w:tcBorders>
              <w:top w:val="nil"/>
              <w:left w:val="single" w:sz="8" w:space="0" w:color="808080"/>
              <w:bottom w:val="single" w:sz="8" w:space="0" w:color="808080"/>
              <w:right w:val="single" w:sz="8" w:space="0" w:color="808080"/>
            </w:tcBorders>
          </w:tcPr>
          <w:p w14:paraId="43974592" w14:textId="77777777" w:rsidR="00951A61" w:rsidRPr="00287C21" w:rsidRDefault="00951A61" w:rsidP="00A4032F">
            <w:pPr>
              <w:jc w:val="center"/>
              <w:rPr>
                <w:rFonts w:ascii="Tahoma" w:hAnsi="Tahoma" w:cs="Tahoma"/>
                <w:sz w:val="20"/>
                <w:szCs w:val="20"/>
              </w:rPr>
            </w:pPr>
            <w:r w:rsidRPr="00287C21">
              <w:rPr>
                <w:rFonts w:ascii="Tahoma" w:hAnsi="Tahoma" w:cs="Tahoma"/>
                <w:sz w:val="20"/>
                <w:szCs w:val="20"/>
              </w:rPr>
              <w:t>10.</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1D54BDF2" w14:textId="77777777" w:rsidR="00951A61" w:rsidRPr="00287C21" w:rsidRDefault="00951A61" w:rsidP="00A4032F">
            <w:pPr>
              <w:rPr>
                <w:rFonts w:ascii="Tahoma" w:hAnsi="Tahoma" w:cs="Tahoma"/>
                <w:sz w:val="20"/>
                <w:szCs w:val="20"/>
              </w:rPr>
            </w:pPr>
            <w:r w:rsidRPr="00287C21">
              <w:rPr>
                <w:rFonts w:ascii="Tahoma" w:hAnsi="Tahoma" w:cs="Tahoma"/>
                <w:sz w:val="20"/>
                <w:szCs w:val="20"/>
              </w:rPr>
              <w:t>Омская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5707A077" w14:textId="77777777" w:rsidR="00951A61" w:rsidRPr="00287C21" w:rsidRDefault="00951A61" w:rsidP="00A4032F">
            <w:pPr>
              <w:rPr>
                <w:rFonts w:ascii="Tahoma" w:hAnsi="Tahoma" w:cs="Tahoma"/>
                <w:sz w:val="20"/>
                <w:szCs w:val="20"/>
              </w:rPr>
            </w:pPr>
            <w:r w:rsidRPr="00287C21">
              <w:rPr>
                <w:rFonts w:ascii="Tahoma" w:hAnsi="Tahoma" w:cs="Tahoma"/>
                <w:sz w:val="20"/>
                <w:szCs w:val="20"/>
              </w:rPr>
              <w:t>Омск</w:t>
            </w:r>
          </w:p>
        </w:tc>
      </w:tr>
      <w:tr w:rsidR="00951A61" w:rsidRPr="008148A9" w14:paraId="3993247D" w14:textId="77777777" w:rsidTr="00A4032F">
        <w:trPr>
          <w:trHeight w:hRule="exact" w:val="425"/>
        </w:trPr>
        <w:tc>
          <w:tcPr>
            <w:tcW w:w="844" w:type="dxa"/>
            <w:tcBorders>
              <w:top w:val="nil"/>
              <w:left w:val="single" w:sz="8" w:space="0" w:color="808080"/>
              <w:bottom w:val="single" w:sz="8" w:space="0" w:color="808080"/>
              <w:right w:val="single" w:sz="8" w:space="0" w:color="808080"/>
            </w:tcBorders>
            <w:shd w:val="clear" w:color="auto" w:fill="FFFFFF"/>
          </w:tcPr>
          <w:p w14:paraId="591DB947" w14:textId="77777777" w:rsidR="00951A61" w:rsidRPr="00287C21" w:rsidRDefault="00951A61" w:rsidP="00A4032F">
            <w:pPr>
              <w:jc w:val="center"/>
              <w:rPr>
                <w:rFonts w:ascii="Tahoma" w:hAnsi="Tahoma" w:cs="Tahoma"/>
                <w:sz w:val="20"/>
                <w:szCs w:val="20"/>
              </w:rPr>
            </w:pPr>
            <w:r w:rsidRPr="00287C21">
              <w:rPr>
                <w:rFonts w:ascii="Tahoma" w:hAnsi="Tahoma" w:cs="Tahoma"/>
                <w:sz w:val="20"/>
                <w:szCs w:val="20"/>
              </w:rPr>
              <w:t>11.</w:t>
            </w:r>
          </w:p>
        </w:tc>
        <w:tc>
          <w:tcPr>
            <w:tcW w:w="6548" w:type="dxa"/>
            <w:tcBorders>
              <w:top w:val="nil"/>
              <w:left w:val="single" w:sz="8" w:space="0" w:color="808080"/>
              <w:bottom w:val="single" w:sz="8" w:space="0" w:color="808080"/>
              <w:right w:val="single" w:sz="8" w:space="0" w:color="808080"/>
            </w:tcBorders>
            <w:shd w:val="clear" w:color="auto" w:fill="FFFFFF"/>
            <w:noWrap/>
            <w:tcMar>
              <w:top w:w="0" w:type="dxa"/>
              <w:left w:w="108" w:type="dxa"/>
              <w:bottom w:w="0" w:type="dxa"/>
              <w:right w:w="108" w:type="dxa"/>
            </w:tcMar>
            <w:vAlign w:val="bottom"/>
            <w:hideMark/>
          </w:tcPr>
          <w:p w14:paraId="6459CDC1" w14:textId="77777777" w:rsidR="00951A61" w:rsidRPr="00287C21" w:rsidRDefault="00951A61" w:rsidP="00A4032F">
            <w:pPr>
              <w:rPr>
                <w:rFonts w:ascii="Tahoma" w:hAnsi="Tahoma" w:cs="Tahoma"/>
                <w:sz w:val="20"/>
                <w:szCs w:val="20"/>
              </w:rPr>
            </w:pPr>
            <w:r w:rsidRPr="00287C21">
              <w:rPr>
                <w:rFonts w:ascii="Tahoma" w:hAnsi="Tahoma" w:cs="Tahoma"/>
                <w:sz w:val="20"/>
                <w:szCs w:val="20"/>
              </w:rPr>
              <w:t>Приморский край</w:t>
            </w:r>
          </w:p>
        </w:tc>
        <w:tc>
          <w:tcPr>
            <w:tcW w:w="3696" w:type="dxa"/>
            <w:tcBorders>
              <w:top w:val="nil"/>
              <w:left w:val="nil"/>
              <w:bottom w:val="single" w:sz="8" w:space="0" w:color="808080"/>
              <w:right w:val="single" w:sz="8" w:space="0" w:color="808080"/>
            </w:tcBorders>
            <w:shd w:val="clear" w:color="auto" w:fill="FFFFFF"/>
            <w:tcMar>
              <w:top w:w="0" w:type="dxa"/>
              <w:left w:w="108" w:type="dxa"/>
              <w:bottom w:w="0" w:type="dxa"/>
              <w:right w:w="108" w:type="dxa"/>
            </w:tcMar>
            <w:hideMark/>
          </w:tcPr>
          <w:p w14:paraId="643753B5" w14:textId="77777777" w:rsidR="00951A61" w:rsidRPr="00287C21" w:rsidRDefault="00951A61" w:rsidP="00A4032F">
            <w:pPr>
              <w:rPr>
                <w:rFonts w:ascii="Tahoma" w:hAnsi="Tahoma" w:cs="Tahoma"/>
                <w:sz w:val="20"/>
                <w:szCs w:val="20"/>
              </w:rPr>
            </w:pPr>
            <w:r w:rsidRPr="00287C21">
              <w:rPr>
                <w:rFonts w:ascii="Tahoma" w:hAnsi="Tahoma" w:cs="Tahoma"/>
                <w:sz w:val="20"/>
                <w:szCs w:val="20"/>
              </w:rPr>
              <w:t>Владивосток</w:t>
            </w:r>
          </w:p>
        </w:tc>
      </w:tr>
      <w:tr w:rsidR="00951A61" w:rsidRPr="008148A9" w14:paraId="4B3AD1FB" w14:textId="77777777" w:rsidTr="00A4032F">
        <w:trPr>
          <w:trHeight w:hRule="exact" w:val="425"/>
        </w:trPr>
        <w:tc>
          <w:tcPr>
            <w:tcW w:w="844" w:type="dxa"/>
            <w:tcBorders>
              <w:top w:val="nil"/>
              <w:left w:val="single" w:sz="8" w:space="0" w:color="808080"/>
              <w:bottom w:val="single" w:sz="8" w:space="0" w:color="808080"/>
              <w:right w:val="single" w:sz="8" w:space="0" w:color="808080"/>
            </w:tcBorders>
          </w:tcPr>
          <w:p w14:paraId="5CEBB22A" w14:textId="77777777" w:rsidR="00951A61" w:rsidRPr="00287C21" w:rsidRDefault="00951A61" w:rsidP="00A4032F">
            <w:pPr>
              <w:jc w:val="center"/>
              <w:rPr>
                <w:rFonts w:ascii="Tahoma" w:hAnsi="Tahoma" w:cs="Tahoma"/>
                <w:sz w:val="20"/>
                <w:szCs w:val="20"/>
              </w:rPr>
            </w:pPr>
            <w:r w:rsidRPr="00287C21">
              <w:rPr>
                <w:rFonts w:ascii="Tahoma" w:hAnsi="Tahoma" w:cs="Tahoma"/>
                <w:sz w:val="20"/>
                <w:szCs w:val="20"/>
              </w:rPr>
              <w:t>12.</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591EDE88" w14:textId="77777777" w:rsidR="00951A61" w:rsidRPr="00287C21" w:rsidRDefault="00951A61" w:rsidP="00A4032F">
            <w:pPr>
              <w:rPr>
                <w:rFonts w:ascii="Tahoma" w:hAnsi="Tahoma" w:cs="Tahoma"/>
                <w:sz w:val="20"/>
                <w:szCs w:val="20"/>
              </w:rPr>
            </w:pPr>
            <w:r w:rsidRPr="00287C21">
              <w:rPr>
                <w:rFonts w:ascii="Tahoma" w:hAnsi="Tahoma" w:cs="Tahoma"/>
                <w:sz w:val="20"/>
                <w:szCs w:val="20"/>
              </w:rPr>
              <w:t>Республика Бурятия</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104BE91E" w14:textId="77777777" w:rsidR="00951A61" w:rsidRPr="00287C21" w:rsidRDefault="00951A61" w:rsidP="00A4032F">
            <w:pPr>
              <w:rPr>
                <w:rFonts w:ascii="Tahoma" w:hAnsi="Tahoma" w:cs="Tahoma"/>
                <w:sz w:val="20"/>
                <w:szCs w:val="20"/>
              </w:rPr>
            </w:pPr>
            <w:r w:rsidRPr="00287C21">
              <w:rPr>
                <w:rFonts w:ascii="Tahoma" w:hAnsi="Tahoma" w:cs="Tahoma"/>
                <w:sz w:val="20"/>
                <w:szCs w:val="20"/>
              </w:rPr>
              <w:t>Улан-Удэ</w:t>
            </w:r>
          </w:p>
        </w:tc>
      </w:tr>
      <w:tr w:rsidR="00951A61" w:rsidRPr="008148A9" w14:paraId="76C93181" w14:textId="77777777" w:rsidTr="00A4032F">
        <w:trPr>
          <w:trHeight w:hRule="exact" w:val="425"/>
        </w:trPr>
        <w:tc>
          <w:tcPr>
            <w:tcW w:w="844" w:type="dxa"/>
            <w:tcBorders>
              <w:top w:val="nil"/>
              <w:left w:val="single" w:sz="8" w:space="0" w:color="808080"/>
              <w:bottom w:val="single" w:sz="8" w:space="0" w:color="808080"/>
              <w:right w:val="single" w:sz="8" w:space="0" w:color="808080"/>
            </w:tcBorders>
          </w:tcPr>
          <w:p w14:paraId="2A9658DC" w14:textId="77777777" w:rsidR="00951A61" w:rsidRPr="00287C21" w:rsidRDefault="00951A61" w:rsidP="00A4032F">
            <w:pPr>
              <w:jc w:val="center"/>
              <w:rPr>
                <w:rFonts w:ascii="Tahoma" w:hAnsi="Tahoma" w:cs="Tahoma"/>
                <w:sz w:val="20"/>
                <w:szCs w:val="20"/>
              </w:rPr>
            </w:pPr>
            <w:r w:rsidRPr="00287C21">
              <w:rPr>
                <w:rFonts w:ascii="Tahoma" w:hAnsi="Tahoma" w:cs="Tahoma"/>
                <w:sz w:val="20"/>
                <w:szCs w:val="20"/>
              </w:rPr>
              <w:t>13.</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64DBBF1F" w14:textId="77777777" w:rsidR="00951A61" w:rsidRPr="00287C21" w:rsidRDefault="00951A61" w:rsidP="00A4032F">
            <w:pPr>
              <w:rPr>
                <w:rFonts w:ascii="Tahoma" w:hAnsi="Tahoma" w:cs="Tahoma"/>
                <w:sz w:val="20"/>
                <w:szCs w:val="20"/>
              </w:rPr>
            </w:pPr>
            <w:r w:rsidRPr="00287C21">
              <w:rPr>
                <w:rFonts w:ascii="Tahoma" w:hAnsi="Tahoma" w:cs="Tahoma"/>
                <w:sz w:val="20"/>
                <w:szCs w:val="20"/>
              </w:rPr>
              <w:t>Республика Саха (Якутия)</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5D3FE1E0" w14:textId="77777777" w:rsidR="00951A61" w:rsidRPr="00287C21" w:rsidRDefault="00951A61" w:rsidP="00A4032F">
            <w:pPr>
              <w:rPr>
                <w:rFonts w:ascii="Tahoma" w:hAnsi="Tahoma" w:cs="Tahoma"/>
                <w:sz w:val="20"/>
                <w:szCs w:val="20"/>
              </w:rPr>
            </w:pPr>
            <w:r w:rsidRPr="00287C21">
              <w:rPr>
                <w:rFonts w:ascii="Tahoma" w:hAnsi="Tahoma" w:cs="Tahoma"/>
                <w:sz w:val="20"/>
                <w:szCs w:val="20"/>
              </w:rPr>
              <w:t>Якутск</w:t>
            </w:r>
          </w:p>
        </w:tc>
      </w:tr>
      <w:tr w:rsidR="00951A61" w:rsidRPr="008148A9" w14:paraId="66916A23" w14:textId="77777777" w:rsidTr="00A4032F">
        <w:trPr>
          <w:trHeight w:hRule="exact" w:val="425"/>
        </w:trPr>
        <w:tc>
          <w:tcPr>
            <w:tcW w:w="844" w:type="dxa"/>
            <w:tcBorders>
              <w:top w:val="nil"/>
              <w:left w:val="single" w:sz="8" w:space="0" w:color="808080"/>
              <w:bottom w:val="single" w:sz="8" w:space="0" w:color="808080"/>
              <w:right w:val="single" w:sz="8" w:space="0" w:color="808080"/>
            </w:tcBorders>
          </w:tcPr>
          <w:p w14:paraId="1F7D079E" w14:textId="77777777" w:rsidR="00951A61" w:rsidRPr="00287C21" w:rsidRDefault="00951A61" w:rsidP="00A4032F">
            <w:pPr>
              <w:jc w:val="center"/>
              <w:rPr>
                <w:rFonts w:ascii="Tahoma" w:hAnsi="Tahoma" w:cs="Tahoma"/>
                <w:sz w:val="20"/>
                <w:szCs w:val="20"/>
              </w:rPr>
            </w:pPr>
            <w:r w:rsidRPr="00287C21">
              <w:rPr>
                <w:rFonts w:ascii="Tahoma" w:hAnsi="Tahoma" w:cs="Tahoma"/>
                <w:sz w:val="20"/>
                <w:szCs w:val="20"/>
              </w:rPr>
              <w:t>14.</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1A9A05A7" w14:textId="77777777" w:rsidR="00951A61" w:rsidRPr="00287C21" w:rsidRDefault="00951A61" w:rsidP="00A4032F">
            <w:pPr>
              <w:rPr>
                <w:rFonts w:ascii="Tahoma" w:hAnsi="Tahoma" w:cs="Tahoma"/>
                <w:sz w:val="20"/>
                <w:szCs w:val="20"/>
              </w:rPr>
            </w:pPr>
            <w:r w:rsidRPr="00287C21">
              <w:rPr>
                <w:rFonts w:ascii="Tahoma" w:hAnsi="Tahoma" w:cs="Tahoma"/>
                <w:sz w:val="20"/>
                <w:szCs w:val="20"/>
              </w:rPr>
              <w:t>Сахалинская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21D79590" w14:textId="77777777" w:rsidR="00951A61" w:rsidRPr="00287C21" w:rsidRDefault="00951A61" w:rsidP="00A4032F">
            <w:pPr>
              <w:rPr>
                <w:rFonts w:ascii="Tahoma" w:hAnsi="Tahoma" w:cs="Tahoma"/>
                <w:sz w:val="20"/>
                <w:szCs w:val="20"/>
              </w:rPr>
            </w:pPr>
            <w:r w:rsidRPr="00287C21">
              <w:rPr>
                <w:rFonts w:ascii="Tahoma" w:hAnsi="Tahoma" w:cs="Tahoma"/>
                <w:sz w:val="20"/>
                <w:szCs w:val="20"/>
              </w:rPr>
              <w:t>Южно-Сахалинск</w:t>
            </w:r>
          </w:p>
        </w:tc>
      </w:tr>
      <w:tr w:rsidR="00951A61" w:rsidRPr="008148A9" w14:paraId="43C62620" w14:textId="77777777" w:rsidTr="00A4032F">
        <w:trPr>
          <w:trHeight w:hRule="exact" w:val="425"/>
        </w:trPr>
        <w:tc>
          <w:tcPr>
            <w:tcW w:w="844" w:type="dxa"/>
            <w:tcBorders>
              <w:top w:val="nil"/>
              <w:left w:val="single" w:sz="8" w:space="0" w:color="808080"/>
              <w:bottom w:val="single" w:sz="8" w:space="0" w:color="808080"/>
              <w:right w:val="single" w:sz="8" w:space="0" w:color="808080"/>
            </w:tcBorders>
          </w:tcPr>
          <w:p w14:paraId="73A19CB9" w14:textId="77777777" w:rsidR="00951A61" w:rsidRPr="00287C21" w:rsidRDefault="00951A61" w:rsidP="00A4032F">
            <w:pPr>
              <w:jc w:val="center"/>
              <w:rPr>
                <w:rFonts w:ascii="Tahoma" w:hAnsi="Tahoma" w:cs="Tahoma"/>
                <w:sz w:val="20"/>
                <w:szCs w:val="20"/>
              </w:rPr>
            </w:pPr>
            <w:r w:rsidRPr="00287C21">
              <w:rPr>
                <w:rFonts w:ascii="Tahoma" w:hAnsi="Tahoma" w:cs="Tahoma"/>
                <w:sz w:val="20"/>
                <w:szCs w:val="20"/>
              </w:rPr>
              <w:t>15.</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1A066783" w14:textId="77777777" w:rsidR="00951A61" w:rsidRPr="00287C21" w:rsidRDefault="00951A61" w:rsidP="00A4032F">
            <w:pPr>
              <w:rPr>
                <w:rFonts w:ascii="Tahoma" w:hAnsi="Tahoma" w:cs="Tahoma"/>
                <w:sz w:val="20"/>
                <w:szCs w:val="20"/>
              </w:rPr>
            </w:pPr>
            <w:r w:rsidRPr="00287C21">
              <w:rPr>
                <w:rFonts w:ascii="Tahoma" w:hAnsi="Tahoma" w:cs="Tahoma"/>
                <w:sz w:val="20"/>
                <w:szCs w:val="20"/>
              </w:rPr>
              <w:t>Свердловская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02BDBB46" w14:textId="77777777" w:rsidR="00951A61" w:rsidRPr="00287C21" w:rsidRDefault="00951A61" w:rsidP="00A4032F">
            <w:pPr>
              <w:rPr>
                <w:rFonts w:ascii="Tahoma" w:hAnsi="Tahoma" w:cs="Tahoma"/>
                <w:sz w:val="20"/>
                <w:szCs w:val="20"/>
              </w:rPr>
            </w:pPr>
            <w:r w:rsidRPr="00287C21">
              <w:rPr>
                <w:rFonts w:ascii="Tahoma" w:hAnsi="Tahoma" w:cs="Tahoma"/>
                <w:sz w:val="20"/>
                <w:szCs w:val="20"/>
              </w:rPr>
              <w:t>Екатеринбург</w:t>
            </w:r>
          </w:p>
        </w:tc>
      </w:tr>
      <w:tr w:rsidR="00951A61" w:rsidRPr="00F32FFD" w14:paraId="4181832A" w14:textId="77777777" w:rsidTr="00A4032F">
        <w:trPr>
          <w:trHeight w:hRule="exact" w:val="425"/>
        </w:trPr>
        <w:tc>
          <w:tcPr>
            <w:tcW w:w="844" w:type="dxa"/>
            <w:tcBorders>
              <w:top w:val="nil"/>
              <w:left w:val="single" w:sz="8" w:space="0" w:color="808080"/>
              <w:bottom w:val="single" w:sz="8" w:space="0" w:color="808080"/>
              <w:right w:val="single" w:sz="8" w:space="0" w:color="808080"/>
            </w:tcBorders>
          </w:tcPr>
          <w:p w14:paraId="23B16E39" w14:textId="77777777" w:rsidR="00951A61" w:rsidRPr="00287C21" w:rsidRDefault="00951A61" w:rsidP="00A4032F">
            <w:pPr>
              <w:jc w:val="center"/>
              <w:rPr>
                <w:rFonts w:ascii="Tahoma" w:hAnsi="Tahoma" w:cs="Tahoma"/>
                <w:sz w:val="20"/>
                <w:szCs w:val="20"/>
              </w:rPr>
            </w:pPr>
            <w:r w:rsidRPr="00287C21">
              <w:rPr>
                <w:rFonts w:ascii="Tahoma" w:hAnsi="Tahoma" w:cs="Tahoma"/>
                <w:sz w:val="20"/>
                <w:szCs w:val="20"/>
              </w:rPr>
              <w:t>16.</w:t>
            </w:r>
          </w:p>
        </w:tc>
        <w:tc>
          <w:tcPr>
            <w:tcW w:w="6548"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bottom"/>
            <w:hideMark/>
          </w:tcPr>
          <w:p w14:paraId="68DE4DF5" w14:textId="77777777" w:rsidR="00951A61" w:rsidRPr="00287C21" w:rsidRDefault="00951A61" w:rsidP="00A4032F">
            <w:pPr>
              <w:rPr>
                <w:rFonts w:ascii="Tahoma" w:hAnsi="Tahoma" w:cs="Tahoma"/>
                <w:sz w:val="20"/>
                <w:szCs w:val="20"/>
              </w:rPr>
            </w:pPr>
            <w:r w:rsidRPr="00287C21">
              <w:rPr>
                <w:rFonts w:ascii="Tahoma" w:hAnsi="Tahoma" w:cs="Tahoma"/>
                <w:sz w:val="20"/>
                <w:szCs w:val="20"/>
              </w:rPr>
              <w:t>Хабаровский край и Еврейская автономная область</w:t>
            </w:r>
          </w:p>
        </w:tc>
        <w:tc>
          <w:tcPr>
            <w:tcW w:w="3696" w:type="dxa"/>
            <w:tcBorders>
              <w:top w:val="nil"/>
              <w:left w:val="nil"/>
              <w:bottom w:val="single" w:sz="8" w:space="0" w:color="808080"/>
              <w:right w:val="single" w:sz="8" w:space="0" w:color="808080"/>
            </w:tcBorders>
            <w:tcMar>
              <w:top w:w="0" w:type="dxa"/>
              <w:left w:w="108" w:type="dxa"/>
              <w:bottom w:w="0" w:type="dxa"/>
              <w:right w:w="108" w:type="dxa"/>
            </w:tcMar>
            <w:hideMark/>
          </w:tcPr>
          <w:p w14:paraId="33619442" w14:textId="77777777" w:rsidR="00951A61" w:rsidRPr="00287C21" w:rsidRDefault="00951A61" w:rsidP="00A4032F">
            <w:pPr>
              <w:rPr>
                <w:rFonts w:ascii="Tahoma" w:hAnsi="Tahoma" w:cs="Tahoma"/>
                <w:sz w:val="20"/>
                <w:szCs w:val="20"/>
              </w:rPr>
            </w:pPr>
            <w:r w:rsidRPr="00287C21">
              <w:rPr>
                <w:rFonts w:ascii="Tahoma" w:hAnsi="Tahoma" w:cs="Tahoma"/>
                <w:sz w:val="20"/>
                <w:szCs w:val="20"/>
              </w:rPr>
              <w:t>Хабаровск</w:t>
            </w:r>
          </w:p>
        </w:tc>
      </w:tr>
    </w:tbl>
    <w:p w14:paraId="74A162E8" w14:textId="31B45D77" w:rsidR="001004BC" w:rsidRDefault="001004BC" w:rsidP="001004BC">
      <w:pPr>
        <w:pStyle w:val="affe"/>
        <w:ind w:left="0" w:right="23"/>
        <w:jc w:val="both"/>
      </w:pPr>
    </w:p>
    <w:p w14:paraId="6F727B37" w14:textId="2A8195CB" w:rsidR="004E4ED9" w:rsidRDefault="004E4ED9" w:rsidP="001004BC">
      <w:pPr>
        <w:pStyle w:val="affe"/>
        <w:ind w:left="0" w:right="23"/>
        <w:jc w:val="both"/>
      </w:pPr>
    </w:p>
    <w:p w14:paraId="485C6529" w14:textId="77777777" w:rsidR="004E4ED9" w:rsidRDefault="004E4ED9" w:rsidP="001004BC">
      <w:pPr>
        <w:pStyle w:val="affe"/>
        <w:ind w:left="0" w:right="23"/>
        <w:jc w:val="both"/>
      </w:pPr>
    </w:p>
    <w:p w14:paraId="1E4568F3" w14:textId="77777777" w:rsidR="00951A61" w:rsidRPr="00264A5F" w:rsidRDefault="00951A61" w:rsidP="001004BC">
      <w:pPr>
        <w:pStyle w:val="affe"/>
        <w:ind w:left="0" w:right="23"/>
        <w:jc w:val="both"/>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3"/>
        <w:gridCol w:w="12730"/>
      </w:tblGrid>
      <w:tr w:rsidR="001004BC" w:rsidRPr="00BC7209" w14:paraId="6917676A" w14:textId="77777777" w:rsidTr="00DD2371">
        <w:trPr>
          <w:trHeight w:val="227"/>
        </w:trPr>
        <w:tc>
          <w:tcPr>
            <w:tcW w:w="15593" w:type="dxa"/>
            <w:gridSpan w:val="2"/>
            <w:tcBorders>
              <w:top w:val="single" w:sz="4" w:space="0" w:color="auto"/>
              <w:left w:val="single" w:sz="4" w:space="0" w:color="auto"/>
              <w:bottom w:val="single" w:sz="4" w:space="0" w:color="auto"/>
              <w:right w:val="single" w:sz="4" w:space="0" w:color="auto"/>
            </w:tcBorders>
            <w:shd w:val="clear" w:color="auto" w:fill="E36C0A"/>
            <w:hideMark/>
          </w:tcPr>
          <w:p w14:paraId="6E5C618E" w14:textId="0D809B81" w:rsidR="001004BC" w:rsidRPr="00BC7209" w:rsidRDefault="000B3718" w:rsidP="000B3718">
            <w:pPr>
              <w:pStyle w:val="a5"/>
              <w:rPr>
                <w:color w:val="FFFFFF"/>
                <w:sz w:val="20"/>
                <w:lang w:eastAsia="en-US"/>
              </w:rPr>
            </w:pPr>
            <w:r>
              <w:rPr>
                <w:lang w:val="ru-RU"/>
              </w:rPr>
              <w:lastRenderedPageBreak/>
              <w:t xml:space="preserve">2.3.8 </w:t>
            </w:r>
            <w:r w:rsidR="001004BC" w:rsidRPr="00BC7209">
              <w:t>Тарифный план «Материнский капитал»</w:t>
            </w:r>
          </w:p>
        </w:tc>
      </w:tr>
      <w:tr w:rsidR="001004BC" w:rsidRPr="00BC7209" w14:paraId="04EC5E47" w14:textId="77777777" w:rsidTr="00DD2371">
        <w:trPr>
          <w:trHeight w:val="272"/>
        </w:trPr>
        <w:tc>
          <w:tcPr>
            <w:tcW w:w="2863" w:type="dxa"/>
            <w:tcBorders>
              <w:top w:val="single" w:sz="4" w:space="0" w:color="auto"/>
              <w:left w:val="single" w:sz="4" w:space="0" w:color="auto"/>
              <w:bottom w:val="single" w:sz="4" w:space="0" w:color="auto"/>
              <w:right w:val="single" w:sz="4" w:space="0" w:color="auto"/>
            </w:tcBorders>
            <w:shd w:val="clear" w:color="auto" w:fill="auto"/>
            <w:hideMark/>
          </w:tcPr>
          <w:p w14:paraId="41E73DD3" w14:textId="77777777" w:rsidR="001004BC" w:rsidRPr="00BC7209" w:rsidRDefault="001004BC" w:rsidP="00DD2371">
            <w:pPr>
              <w:tabs>
                <w:tab w:val="left" w:pos="3341"/>
              </w:tabs>
              <w:jc w:val="both"/>
              <w:rPr>
                <w:rFonts w:ascii="Tahoma" w:hAnsi="Tahoma" w:cs="Tahoma"/>
                <w:sz w:val="20"/>
                <w:szCs w:val="22"/>
                <w:lang w:eastAsia="en-US"/>
              </w:rPr>
            </w:pPr>
            <w:r w:rsidRPr="00BC7209">
              <w:rPr>
                <w:rFonts w:ascii="Tahoma" w:hAnsi="Tahoma" w:cs="Tahoma"/>
                <w:sz w:val="20"/>
                <w:szCs w:val="22"/>
              </w:rPr>
              <w:t>Цель кредитования</w:t>
            </w:r>
          </w:p>
        </w:tc>
        <w:tc>
          <w:tcPr>
            <w:tcW w:w="12730" w:type="dxa"/>
            <w:tcBorders>
              <w:top w:val="single" w:sz="4" w:space="0" w:color="auto"/>
              <w:left w:val="single" w:sz="4" w:space="0" w:color="auto"/>
              <w:bottom w:val="single" w:sz="4" w:space="0" w:color="auto"/>
              <w:right w:val="single" w:sz="4" w:space="0" w:color="auto"/>
            </w:tcBorders>
            <w:shd w:val="clear" w:color="auto" w:fill="auto"/>
            <w:hideMark/>
          </w:tcPr>
          <w:p w14:paraId="5F3BAC34" w14:textId="77777777" w:rsidR="001004BC" w:rsidRPr="00BC7209" w:rsidRDefault="001004BC" w:rsidP="001004BC">
            <w:pPr>
              <w:pStyle w:val="affe"/>
              <w:numPr>
                <w:ilvl w:val="0"/>
                <w:numId w:val="4"/>
              </w:numPr>
              <w:tabs>
                <w:tab w:val="left" w:pos="275"/>
                <w:tab w:val="left" w:pos="3341"/>
              </w:tabs>
              <w:ind w:left="34" w:firstLine="0"/>
              <w:contextualSpacing/>
              <w:jc w:val="both"/>
              <w:rPr>
                <w:rFonts w:ascii="Tahoma" w:hAnsi="Tahoma" w:cs="Tahoma"/>
                <w:sz w:val="20"/>
                <w:szCs w:val="22"/>
              </w:rPr>
            </w:pPr>
            <w:r w:rsidRPr="00BC7209">
              <w:rPr>
                <w:rFonts w:ascii="Tahoma" w:hAnsi="Tahoma" w:cs="Tahoma"/>
                <w:sz w:val="20"/>
                <w:szCs w:val="22"/>
              </w:rPr>
              <w:t>1. Приобретение, путем заключения договора купли-продажи готового жилья на вторичном рынке недвижимости:</w:t>
            </w:r>
          </w:p>
          <w:p w14:paraId="0F4A3DF4" w14:textId="77777777" w:rsidR="001004BC" w:rsidRPr="00BC7209" w:rsidRDefault="001004BC" w:rsidP="00DD2371">
            <w:pPr>
              <w:tabs>
                <w:tab w:val="left" w:pos="275"/>
                <w:tab w:val="left" w:pos="3341"/>
              </w:tabs>
              <w:ind w:left="34"/>
              <w:jc w:val="both"/>
              <w:rPr>
                <w:rFonts w:ascii="Tahoma" w:hAnsi="Tahoma" w:cs="Tahoma"/>
                <w:sz w:val="20"/>
                <w:szCs w:val="22"/>
              </w:rPr>
            </w:pPr>
            <w:r w:rsidRPr="00BC7209">
              <w:rPr>
                <w:rFonts w:ascii="Tahoma" w:hAnsi="Tahoma" w:cs="Tahoma"/>
                <w:sz w:val="20"/>
                <w:szCs w:val="22"/>
              </w:rPr>
              <w:t>- отдельного жилого помещения (квартиры) в многоквартирном доме;</w:t>
            </w:r>
          </w:p>
          <w:p w14:paraId="2E37852B" w14:textId="77777777" w:rsidR="001004BC" w:rsidRPr="00BC7209" w:rsidRDefault="001004BC" w:rsidP="00DD2371">
            <w:pPr>
              <w:tabs>
                <w:tab w:val="left" w:pos="275"/>
                <w:tab w:val="left" w:pos="3341"/>
              </w:tabs>
              <w:ind w:left="34"/>
              <w:jc w:val="both"/>
              <w:rPr>
                <w:rFonts w:ascii="Tahoma" w:hAnsi="Tahoma" w:cs="Tahoma"/>
                <w:sz w:val="20"/>
                <w:szCs w:val="22"/>
              </w:rPr>
            </w:pPr>
            <w:r w:rsidRPr="00BC7209">
              <w:rPr>
                <w:rFonts w:ascii="Tahoma" w:hAnsi="Tahoma" w:cs="Tahoma"/>
                <w:sz w:val="20"/>
                <w:szCs w:val="22"/>
              </w:rPr>
              <w:t>- загородной жилой недвижимости (жилого дома с земельным участком или части жилого дома (в том числе квартира, таунхаус, блок-секция) с земельным участком);</w:t>
            </w:r>
          </w:p>
          <w:p w14:paraId="22FCA00F" w14:textId="77777777" w:rsidR="001004BC" w:rsidRPr="00BC7209" w:rsidRDefault="001004BC" w:rsidP="00DD2371">
            <w:pPr>
              <w:tabs>
                <w:tab w:val="left" w:pos="275"/>
              </w:tabs>
              <w:ind w:left="34"/>
              <w:rPr>
                <w:rFonts w:ascii="Tahoma" w:hAnsi="Tahoma" w:cs="Tahoma"/>
                <w:sz w:val="20"/>
                <w:szCs w:val="22"/>
              </w:rPr>
            </w:pPr>
            <w:r w:rsidRPr="00BC7209">
              <w:rPr>
                <w:rFonts w:ascii="Tahoma" w:hAnsi="Tahoma" w:cs="Tahoma"/>
                <w:sz w:val="20"/>
                <w:szCs w:val="22"/>
              </w:rPr>
              <w:t xml:space="preserve">- последней доли/комнаты (допускается, при условии если Заемщик становится собственником всей приобретаемой недвижимости) </w:t>
            </w:r>
          </w:p>
          <w:p w14:paraId="50952655" w14:textId="77777777" w:rsidR="001004BC" w:rsidRPr="00BC7209" w:rsidRDefault="001004BC" w:rsidP="001004BC">
            <w:pPr>
              <w:pStyle w:val="affe"/>
              <w:numPr>
                <w:ilvl w:val="0"/>
                <w:numId w:val="4"/>
              </w:numPr>
              <w:tabs>
                <w:tab w:val="left" w:pos="275"/>
              </w:tabs>
              <w:ind w:left="34" w:firstLine="0"/>
              <w:contextualSpacing/>
              <w:jc w:val="both"/>
              <w:rPr>
                <w:rFonts w:ascii="Tahoma" w:hAnsi="Tahoma" w:cs="Tahoma"/>
                <w:sz w:val="20"/>
                <w:szCs w:val="22"/>
                <w:lang w:eastAsia="en-US"/>
              </w:rPr>
            </w:pPr>
            <w:r w:rsidRPr="00BC7209">
              <w:rPr>
                <w:rFonts w:ascii="Tahoma" w:hAnsi="Tahoma" w:cs="Tahoma"/>
                <w:sz w:val="20"/>
                <w:szCs w:val="22"/>
              </w:rPr>
              <w:t>2. Приобретение квартиры в строящемся многоквартирном доме под залог права требования передачи квартиры в собственность (жилье на стадии строительства) путем заключения договора участия в долевом строительстве или договора уступки прав требования.</w:t>
            </w:r>
          </w:p>
        </w:tc>
      </w:tr>
      <w:tr w:rsidR="001004BC" w:rsidRPr="00BC7209" w14:paraId="258001D5" w14:textId="77777777" w:rsidTr="00DD2371">
        <w:trPr>
          <w:trHeight w:val="272"/>
        </w:trPr>
        <w:tc>
          <w:tcPr>
            <w:tcW w:w="2863" w:type="dxa"/>
            <w:tcBorders>
              <w:top w:val="single" w:sz="4" w:space="0" w:color="auto"/>
              <w:left w:val="single" w:sz="4" w:space="0" w:color="auto"/>
              <w:bottom w:val="single" w:sz="4" w:space="0" w:color="auto"/>
              <w:right w:val="single" w:sz="4" w:space="0" w:color="auto"/>
            </w:tcBorders>
            <w:shd w:val="clear" w:color="auto" w:fill="auto"/>
            <w:hideMark/>
          </w:tcPr>
          <w:p w14:paraId="7AE983A2" w14:textId="77777777" w:rsidR="001004BC" w:rsidRPr="00BC7209" w:rsidRDefault="001004BC" w:rsidP="00DD2371">
            <w:pPr>
              <w:tabs>
                <w:tab w:val="left" w:pos="3341"/>
              </w:tabs>
              <w:rPr>
                <w:rFonts w:ascii="Tahoma" w:hAnsi="Tahoma" w:cs="Tahoma"/>
                <w:sz w:val="20"/>
                <w:szCs w:val="22"/>
                <w:lang w:eastAsia="en-US"/>
              </w:rPr>
            </w:pPr>
            <w:r w:rsidRPr="00BC7209">
              <w:rPr>
                <w:rFonts w:ascii="Tahoma" w:hAnsi="Tahoma" w:cs="Tahoma"/>
                <w:sz w:val="20"/>
                <w:szCs w:val="22"/>
              </w:rPr>
              <w:t>Валюта кредита</w:t>
            </w:r>
          </w:p>
        </w:tc>
        <w:tc>
          <w:tcPr>
            <w:tcW w:w="12730" w:type="dxa"/>
            <w:tcBorders>
              <w:top w:val="single" w:sz="4" w:space="0" w:color="auto"/>
              <w:left w:val="single" w:sz="4" w:space="0" w:color="auto"/>
              <w:bottom w:val="single" w:sz="4" w:space="0" w:color="auto"/>
              <w:right w:val="single" w:sz="4" w:space="0" w:color="auto"/>
            </w:tcBorders>
            <w:shd w:val="clear" w:color="auto" w:fill="auto"/>
            <w:hideMark/>
          </w:tcPr>
          <w:p w14:paraId="6B6BE6BE" w14:textId="77777777" w:rsidR="001004BC" w:rsidRPr="00BC7209" w:rsidRDefault="001004BC" w:rsidP="00DD2371">
            <w:pPr>
              <w:tabs>
                <w:tab w:val="left" w:pos="3341"/>
              </w:tabs>
              <w:jc w:val="both"/>
              <w:rPr>
                <w:rFonts w:ascii="Tahoma" w:hAnsi="Tahoma" w:cs="Tahoma"/>
                <w:sz w:val="20"/>
                <w:szCs w:val="22"/>
                <w:lang w:eastAsia="en-US"/>
              </w:rPr>
            </w:pPr>
            <w:r w:rsidRPr="00BC7209">
              <w:rPr>
                <w:rFonts w:ascii="Tahoma" w:hAnsi="Tahoma" w:cs="Tahoma"/>
                <w:sz w:val="20"/>
                <w:szCs w:val="22"/>
              </w:rPr>
              <w:t>Рубли РФ</w:t>
            </w:r>
          </w:p>
        </w:tc>
      </w:tr>
      <w:tr w:rsidR="001004BC" w:rsidRPr="00BC7209" w14:paraId="44F08B06" w14:textId="77777777" w:rsidTr="00DD2371">
        <w:trPr>
          <w:trHeight w:val="272"/>
        </w:trPr>
        <w:tc>
          <w:tcPr>
            <w:tcW w:w="2863" w:type="dxa"/>
            <w:tcBorders>
              <w:top w:val="single" w:sz="4" w:space="0" w:color="auto"/>
              <w:left w:val="single" w:sz="4" w:space="0" w:color="auto"/>
              <w:bottom w:val="single" w:sz="4" w:space="0" w:color="auto"/>
              <w:right w:val="single" w:sz="4" w:space="0" w:color="auto"/>
            </w:tcBorders>
            <w:shd w:val="clear" w:color="auto" w:fill="auto"/>
            <w:hideMark/>
          </w:tcPr>
          <w:p w14:paraId="3AD31721" w14:textId="77777777" w:rsidR="001004BC" w:rsidRPr="00BC7209" w:rsidRDefault="001004BC" w:rsidP="00DD2371">
            <w:pPr>
              <w:tabs>
                <w:tab w:val="left" w:pos="3341"/>
              </w:tabs>
              <w:rPr>
                <w:rFonts w:ascii="Tahoma" w:hAnsi="Tahoma" w:cs="Tahoma"/>
                <w:sz w:val="20"/>
                <w:szCs w:val="22"/>
                <w:lang w:eastAsia="en-US"/>
              </w:rPr>
            </w:pPr>
            <w:r w:rsidRPr="00EC2BAA">
              <w:rPr>
                <w:rFonts w:ascii="Tahoma" w:hAnsi="Tahoma" w:cs="Tahoma"/>
                <w:sz w:val="20"/>
                <w:szCs w:val="22"/>
              </w:rPr>
              <w:t>Срок возврата кредита</w:t>
            </w:r>
          </w:p>
        </w:tc>
        <w:tc>
          <w:tcPr>
            <w:tcW w:w="12730" w:type="dxa"/>
            <w:tcBorders>
              <w:top w:val="single" w:sz="4" w:space="0" w:color="auto"/>
              <w:left w:val="single" w:sz="4" w:space="0" w:color="auto"/>
              <w:bottom w:val="single" w:sz="4" w:space="0" w:color="auto"/>
              <w:right w:val="single" w:sz="4" w:space="0" w:color="auto"/>
            </w:tcBorders>
            <w:shd w:val="clear" w:color="auto" w:fill="auto"/>
            <w:hideMark/>
          </w:tcPr>
          <w:p w14:paraId="4F2B2328" w14:textId="77777777" w:rsidR="001004BC" w:rsidRPr="00BC7209" w:rsidRDefault="001004BC" w:rsidP="00DD2371">
            <w:pPr>
              <w:tabs>
                <w:tab w:val="left" w:pos="3341"/>
              </w:tabs>
              <w:jc w:val="both"/>
              <w:rPr>
                <w:rFonts w:ascii="Tahoma" w:hAnsi="Tahoma" w:cs="Tahoma"/>
                <w:sz w:val="20"/>
                <w:szCs w:val="22"/>
                <w:lang w:eastAsia="en-US"/>
              </w:rPr>
            </w:pPr>
            <w:r w:rsidRPr="00BC7209">
              <w:rPr>
                <w:rFonts w:ascii="Tahoma" w:hAnsi="Tahoma" w:cs="Tahoma"/>
                <w:sz w:val="20"/>
                <w:szCs w:val="22"/>
              </w:rPr>
              <w:t xml:space="preserve">150 дней </w:t>
            </w:r>
          </w:p>
        </w:tc>
      </w:tr>
      <w:tr w:rsidR="001004BC" w:rsidRPr="00BC7209" w14:paraId="7EE514B1" w14:textId="77777777" w:rsidTr="00DD2371">
        <w:trPr>
          <w:trHeight w:val="272"/>
        </w:trPr>
        <w:tc>
          <w:tcPr>
            <w:tcW w:w="2863" w:type="dxa"/>
            <w:tcBorders>
              <w:top w:val="single" w:sz="4" w:space="0" w:color="auto"/>
              <w:left w:val="single" w:sz="4" w:space="0" w:color="auto"/>
              <w:bottom w:val="single" w:sz="4" w:space="0" w:color="auto"/>
              <w:right w:val="single" w:sz="4" w:space="0" w:color="auto"/>
            </w:tcBorders>
            <w:shd w:val="clear" w:color="auto" w:fill="auto"/>
            <w:hideMark/>
          </w:tcPr>
          <w:p w14:paraId="5B1248AF" w14:textId="77777777" w:rsidR="001004BC" w:rsidRPr="00BC7209" w:rsidRDefault="001004BC" w:rsidP="00DD2371">
            <w:pPr>
              <w:tabs>
                <w:tab w:val="left" w:pos="3341"/>
              </w:tabs>
              <w:rPr>
                <w:rFonts w:ascii="Tahoma" w:hAnsi="Tahoma" w:cs="Tahoma"/>
                <w:sz w:val="20"/>
                <w:szCs w:val="22"/>
                <w:lang w:eastAsia="en-US"/>
              </w:rPr>
            </w:pPr>
            <w:r w:rsidRPr="00BC7209">
              <w:rPr>
                <w:rFonts w:ascii="Tahoma" w:hAnsi="Tahoma" w:cs="Tahoma"/>
                <w:sz w:val="20"/>
                <w:szCs w:val="22"/>
              </w:rPr>
              <w:t>Порядок получения кредита</w:t>
            </w:r>
          </w:p>
        </w:tc>
        <w:tc>
          <w:tcPr>
            <w:tcW w:w="12730" w:type="dxa"/>
            <w:tcBorders>
              <w:top w:val="single" w:sz="4" w:space="0" w:color="auto"/>
              <w:left w:val="single" w:sz="4" w:space="0" w:color="auto"/>
              <w:bottom w:val="single" w:sz="4" w:space="0" w:color="auto"/>
              <w:right w:val="single" w:sz="4" w:space="0" w:color="auto"/>
            </w:tcBorders>
            <w:shd w:val="clear" w:color="auto" w:fill="auto"/>
            <w:hideMark/>
          </w:tcPr>
          <w:p w14:paraId="677B43CE" w14:textId="77777777" w:rsidR="001004BC" w:rsidRPr="00BC7209" w:rsidRDefault="001004BC" w:rsidP="00DD2371">
            <w:pPr>
              <w:tabs>
                <w:tab w:val="left" w:pos="3341"/>
              </w:tabs>
              <w:jc w:val="both"/>
              <w:rPr>
                <w:rFonts w:ascii="Tahoma" w:hAnsi="Tahoma" w:cs="Tahoma"/>
                <w:sz w:val="20"/>
                <w:szCs w:val="22"/>
                <w:lang w:eastAsia="en-US"/>
              </w:rPr>
            </w:pPr>
            <w:r w:rsidRPr="00BC7209">
              <w:rPr>
                <w:rFonts w:ascii="Tahoma" w:hAnsi="Tahoma" w:cs="Tahoma"/>
                <w:sz w:val="20"/>
                <w:szCs w:val="22"/>
              </w:rPr>
              <w:t>В течение 30 календарных дней с даты принятия Банком положительного решения о предоставлении кредита</w:t>
            </w:r>
          </w:p>
        </w:tc>
      </w:tr>
      <w:tr w:rsidR="001004BC" w:rsidRPr="00BC7209" w14:paraId="29788F70" w14:textId="77777777" w:rsidTr="00DD2371">
        <w:trPr>
          <w:trHeight w:val="272"/>
        </w:trPr>
        <w:tc>
          <w:tcPr>
            <w:tcW w:w="2863" w:type="dxa"/>
            <w:tcBorders>
              <w:top w:val="single" w:sz="4" w:space="0" w:color="auto"/>
              <w:left w:val="single" w:sz="4" w:space="0" w:color="auto"/>
              <w:bottom w:val="single" w:sz="4" w:space="0" w:color="auto"/>
              <w:right w:val="single" w:sz="4" w:space="0" w:color="auto"/>
            </w:tcBorders>
            <w:shd w:val="clear" w:color="auto" w:fill="auto"/>
            <w:hideMark/>
          </w:tcPr>
          <w:p w14:paraId="3557C8DB" w14:textId="77777777" w:rsidR="001004BC" w:rsidRPr="00BC7209" w:rsidRDefault="001004BC" w:rsidP="00DD2371">
            <w:pPr>
              <w:tabs>
                <w:tab w:val="left" w:pos="3341"/>
              </w:tabs>
              <w:rPr>
                <w:rFonts w:ascii="Tahoma" w:hAnsi="Tahoma" w:cs="Tahoma"/>
                <w:sz w:val="20"/>
                <w:szCs w:val="22"/>
                <w:lang w:eastAsia="en-US"/>
              </w:rPr>
            </w:pPr>
            <w:r w:rsidRPr="00BC7209">
              <w:rPr>
                <w:rFonts w:ascii="Tahoma" w:hAnsi="Tahoma" w:cs="Tahoma"/>
                <w:sz w:val="20"/>
                <w:szCs w:val="22"/>
              </w:rPr>
              <w:t>Размер первоначального взноса</w:t>
            </w:r>
          </w:p>
        </w:tc>
        <w:tc>
          <w:tcPr>
            <w:tcW w:w="12730" w:type="dxa"/>
            <w:tcBorders>
              <w:top w:val="single" w:sz="4" w:space="0" w:color="auto"/>
              <w:left w:val="single" w:sz="4" w:space="0" w:color="auto"/>
              <w:bottom w:val="single" w:sz="4" w:space="0" w:color="auto"/>
              <w:right w:val="single" w:sz="4" w:space="0" w:color="auto"/>
            </w:tcBorders>
            <w:shd w:val="clear" w:color="auto" w:fill="auto"/>
            <w:hideMark/>
          </w:tcPr>
          <w:p w14:paraId="03C14B76" w14:textId="77777777" w:rsidR="001004BC" w:rsidRPr="00BC7209" w:rsidRDefault="001004BC" w:rsidP="00DD2371">
            <w:pPr>
              <w:tabs>
                <w:tab w:val="left" w:pos="3341"/>
              </w:tabs>
              <w:jc w:val="both"/>
              <w:rPr>
                <w:rFonts w:ascii="Tahoma" w:hAnsi="Tahoma" w:cs="Tahoma"/>
                <w:sz w:val="20"/>
                <w:szCs w:val="22"/>
                <w:lang w:eastAsia="en-US"/>
              </w:rPr>
            </w:pPr>
            <w:r w:rsidRPr="00BC7209">
              <w:rPr>
                <w:rFonts w:ascii="Tahoma" w:hAnsi="Tahoma" w:cs="Tahoma"/>
                <w:sz w:val="20"/>
                <w:szCs w:val="22"/>
              </w:rPr>
              <w:t>Размер первоначального взноса составляет разницу между суммой предоставляемого кредита и стоимостью приобретаемой недвижимости.</w:t>
            </w:r>
          </w:p>
        </w:tc>
      </w:tr>
      <w:tr w:rsidR="001004BC" w:rsidRPr="00BC7209" w14:paraId="6ADE41DB" w14:textId="77777777" w:rsidTr="00DD2371">
        <w:trPr>
          <w:trHeight w:val="272"/>
        </w:trPr>
        <w:tc>
          <w:tcPr>
            <w:tcW w:w="2863" w:type="dxa"/>
            <w:tcBorders>
              <w:top w:val="single" w:sz="4" w:space="0" w:color="auto"/>
              <w:left w:val="single" w:sz="4" w:space="0" w:color="auto"/>
              <w:bottom w:val="single" w:sz="4" w:space="0" w:color="auto"/>
              <w:right w:val="single" w:sz="4" w:space="0" w:color="auto"/>
            </w:tcBorders>
            <w:shd w:val="clear" w:color="auto" w:fill="auto"/>
            <w:hideMark/>
          </w:tcPr>
          <w:p w14:paraId="11237D8D" w14:textId="77777777" w:rsidR="001004BC" w:rsidRPr="00BC7209" w:rsidRDefault="001004BC" w:rsidP="00DD2371">
            <w:pPr>
              <w:tabs>
                <w:tab w:val="left" w:pos="3341"/>
              </w:tabs>
              <w:rPr>
                <w:rFonts w:ascii="Tahoma" w:hAnsi="Tahoma" w:cs="Tahoma"/>
                <w:sz w:val="20"/>
                <w:szCs w:val="22"/>
                <w:lang w:eastAsia="en-US"/>
              </w:rPr>
            </w:pPr>
            <w:r w:rsidRPr="00BC7209">
              <w:rPr>
                <w:rFonts w:ascii="Tahoma" w:hAnsi="Tahoma" w:cs="Tahoma"/>
                <w:sz w:val="20"/>
                <w:szCs w:val="22"/>
              </w:rPr>
              <w:t>Минимальный размер кредита</w:t>
            </w:r>
          </w:p>
        </w:tc>
        <w:tc>
          <w:tcPr>
            <w:tcW w:w="12730" w:type="dxa"/>
            <w:tcBorders>
              <w:top w:val="single" w:sz="4" w:space="0" w:color="auto"/>
              <w:left w:val="single" w:sz="4" w:space="0" w:color="auto"/>
              <w:bottom w:val="single" w:sz="4" w:space="0" w:color="auto"/>
              <w:right w:val="single" w:sz="4" w:space="0" w:color="auto"/>
            </w:tcBorders>
            <w:shd w:val="clear" w:color="auto" w:fill="auto"/>
            <w:hideMark/>
          </w:tcPr>
          <w:p w14:paraId="1994571A" w14:textId="77777777" w:rsidR="001004BC" w:rsidRPr="00BC7209" w:rsidRDefault="001004BC" w:rsidP="00DD2371">
            <w:pPr>
              <w:tabs>
                <w:tab w:val="left" w:pos="3341"/>
              </w:tabs>
              <w:jc w:val="both"/>
              <w:rPr>
                <w:rFonts w:ascii="Tahoma" w:hAnsi="Tahoma" w:cs="Tahoma"/>
                <w:sz w:val="20"/>
                <w:szCs w:val="22"/>
                <w:lang w:eastAsia="en-US"/>
              </w:rPr>
            </w:pPr>
            <w:r w:rsidRPr="00BC7209">
              <w:rPr>
                <w:rFonts w:ascii="Tahoma" w:hAnsi="Tahoma" w:cs="Tahoma"/>
                <w:sz w:val="20"/>
                <w:szCs w:val="22"/>
              </w:rPr>
              <w:t>150 000 рублей.</w:t>
            </w:r>
          </w:p>
        </w:tc>
      </w:tr>
      <w:tr w:rsidR="001004BC" w:rsidRPr="00BC7209" w14:paraId="0234BED6" w14:textId="77777777" w:rsidTr="00DD2371">
        <w:trPr>
          <w:trHeight w:val="272"/>
        </w:trPr>
        <w:tc>
          <w:tcPr>
            <w:tcW w:w="2863" w:type="dxa"/>
            <w:tcBorders>
              <w:top w:val="single" w:sz="4" w:space="0" w:color="auto"/>
              <w:left w:val="single" w:sz="4" w:space="0" w:color="auto"/>
              <w:bottom w:val="single" w:sz="4" w:space="0" w:color="auto"/>
              <w:right w:val="single" w:sz="4" w:space="0" w:color="auto"/>
            </w:tcBorders>
            <w:shd w:val="clear" w:color="auto" w:fill="auto"/>
            <w:hideMark/>
          </w:tcPr>
          <w:p w14:paraId="6B915E59" w14:textId="77777777" w:rsidR="001004BC" w:rsidRPr="00BC7209" w:rsidRDefault="001004BC" w:rsidP="00DD2371">
            <w:pPr>
              <w:tabs>
                <w:tab w:val="left" w:pos="3341"/>
              </w:tabs>
              <w:rPr>
                <w:rFonts w:ascii="Tahoma" w:hAnsi="Tahoma" w:cs="Tahoma"/>
                <w:sz w:val="20"/>
                <w:szCs w:val="22"/>
                <w:lang w:eastAsia="en-US"/>
              </w:rPr>
            </w:pPr>
            <w:r w:rsidRPr="00BC7209">
              <w:rPr>
                <w:rFonts w:ascii="Tahoma" w:hAnsi="Tahoma" w:cs="Tahoma"/>
                <w:sz w:val="20"/>
                <w:szCs w:val="22"/>
              </w:rPr>
              <w:t>Максимальный размер кредита</w:t>
            </w:r>
          </w:p>
        </w:tc>
        <w:tc>
          <w:tcPr>
            <w:tcW w:w="12730" w:type="dxa"/>
            <w:tcBorders>
              <w:top w:val="single" w:sz="4" w:space="0" w:color="auto"/>
              <w:left w:val="single" w:sz="4" w:space="0" w:color="auto"/>
              <w:bottom w:val="single" w:sz="4" w:space="0" w:color="auto"/>
              <w:right w:val="single" w:sz="4" w:space="0" w:color="auto"/>
            </w:tcBorders>
            <w:shd w:val="clear" w:color="auto" w:fill="auto"/>
            <w:hideMark/>
          </w:tcPr>
          <w:p w14:paraId="42DD7CD6" w14:textId="77777777" w:rsidR="001004BC" w:rsidRPr="00BC7209" w:rsidRDefault="001004BC" w:rsidP="00DD2371">
            <w:pPr>
              <w:tabs>
                <w:tab w:val="left" w:pos="3341"/>
              </w:tabs>
              <w:jc w:val="both"/>
              <w:rPr>
                <w:rFonts w:ascii="Tahoma" w:hAnsi="Tahoma" w:cs="Tahoma"/>
                <w:sz w:val="20"/>
                <w:szCs w:val="22"/>
              </w:rPr>
            </w:pPr>
            <w:r w:rsidRPr="00BC7209">
              <w:rPr>
                <w:rFonts w:ascii="Tahoma" w:hAnsi="Tahoma" w:cs="Tahoma"/>
                <w:sz w:val="20"/>
                <w:szCs w:val="22"/>
              </w:rPr>
              <w:t>Сумма  кредита не должна превышать меньшую из величин:</w:t>
            </w:r>
          </w:p>
          <w:p w14:paraId="460AE500" w14:textId="77777777" w:rsidR="001004BC" w:rsidRPr="00BC7209" w:rsidRDefault="001004BC" w:rsidP="00DD2371">
            <w:pPr>
              <w:tabs>
                <w:tab w:val="left" w:pos="3341"/>
              </w:tabs>
              <w:jc w:val="both"/>
              <w:rPr>
                <w:rFonts w:ascii="Tahoma" w:hAnsi="Tahoma" w:cs="Tahoma"/>
                <w:sz w:val="20"/>
                <w:szCs w:val="22"/>
              </w:rPr>
            </w:pPr>
            <w:r w:rsidRPr="00BC7209">
              <w:rPr>
                <w:rFonts w:ascii="Tahoma" w:hAnsi="Tahoma" w:cs="Tahoma"/>
                <w:sz w:val="20"/>
                <w:szCs w:val="22"/>
              </w:rPr>
              <w:t>-  суммы остатка средств МСК;</w:t>
            </w:r>
          </w:p>
          <w:p w14:paraId="2B0000E0" w14:textId="77777777" w:rsidR="001004BC" w:rsidRPr="00BC7209" w:rsidRDefault="001004BC" w:rsidP="00DD2371">
            <w:pPr>
              <w:tabs>
                <w:tab w:val="left" w:pos="3341"/>
              </w:tabs>
              <w:jc w:val="both"/>
              <w:rPr>
                <w:rFonts w:ascii="Tahoma" w:hAnsi="Tahoma" w:cs="Tahoma"/>
                <w:sz w:val="20"/>
                <w:szCs w:val="22"/>
              </w:rPr>
            </w:pPr>
            <w:r w:rsidRPr="00BC7209">
              <w:rPr>
                <w:rFonts w:ascii="Tahoma" w:hAnsi="Tahoma" w:cs="Tahoma"/>
                <w:sz w:val="20"/>
                <w:szCs w:val="22"/>
              </w:rPr>
              <w:t>-  рыночной стоимости приобретаемой недвижимости определенной отчетом независимого оценщика</w:t>
            </w:r>
            <w:r w:rsidRPr="00BC7209">
              <w:rPr>
                <w:rStyle w:val="aff3"/>
                <w:rFonts w:ascii="Tahoma" w:hAnsi="Tahoma" w:cs="Tahoma"/>
                <w:sz w:val="20"/>
                <w:szCs w:val="22"/>
              </w:rPr>
              <w:footnoteReference w:id="171"/>
            </w:r>
            <w:r w:rsidRPr="00BC7209">
              <w:rPr>
                <w:rFonts w:ascii="Tahoma" w:hAnsi="Tahoma" w:cs="Tahoma"/>
                <w:sz w:val="20"/>
                <w:szCs w:val="22"/>
              </w:rPr>
              <w:t>;</w:t>
            </w:r>
          </w:p>
          <w:p w14:paraId="3A2E5CFA" w14:textId="77777777" w:rsidR="001004BC" w:rsidRPr="00BC7209" w:rsidRDefault="001004BC" w:rsidP="00DD2371">
            <w:pPr>
              <w:tabs>
                <w:tab w:val="left" w:pos="3341"/>
              </w:tabs>
              <w:jc w:val="both"/>
              <w:rPr>
                <w:rFonts w:ascii="Tahoma" w:hAnsi="Tahoma" w:cs="Tahoma"/>
                <w:sz w:val="20"/>
                <w:szCs w:val="22"/>
              </w:rPr>
            </w:pPr>
            <w:r w:rsidRPr="00BC7209">
              <w:rPr>
                <w:rFonts w:ascii="Tahoma" w:hAnsi="Tahoma" w:cs="Tahoma"/>
                <w:sz w:val="20"/>
                <w:szCs w:val="22"/>
              </w:rPr>
              <w:t>-  стоимости приобретаемой недвижимости по договору приобретения</w:t>
            </w:r>
          </w:p>
          <w:p w14:paraId="1FB1C73A" w14:textId="77777777" w:rsidR="001004BC" w:rsidRPr="00BC7209" w:rsidRDefault="001004BC" w:rsidP="00DD2371">
            <w:pPr>
              <w:tabs>
                <w:tab w:val="left" w:pos="3341"/>
              </w:tabs>
              <w:jc w:val="both"/>
              <w:rPr>
                <w:rFonts w:ascii="Tahoma" w:hAnsi="Tahoma" w:cs="Tahoma"/>
                <w:sz w:val="20"/>
                <w:szCs w:val="22"/>
                <w:lang w:eastAsia="en-US"/>
              </w:rPr>
            </w:pPr>
            <w:r w:rsidRPr="00BC7209">
              <w:rPr>
                <w:rFonts w:ascii="Tahoma" w:hAnsi="Tahoma" w:cs="Tahoma"/>
                <w:sz w:val="20"/>
                <w:szCs w:val="22"/>
              </w:rPr>
              <w:t>В случае если расчетная сумма кредита  превышает  одну из указанных величин стоимости, то для расчета максимальной суммы кредита, в формуле используется значение  меньшей из величин стоимости.</w:t>
            </w:r>
          </w:p>
        </w:tc>
      </w:tr>
      <w:tr w:rsidR="001004BC" w:rsidRPr="00BC7209" w14:paraId="6B8E09B3" w14:textId="77777777" w:rsidTr="00DD2371">
        <w:trPr>
          <w:trHeight w:val="272"/>
        </w:trPr>
        <w:tc>
          <w:tcPr>
            <w:tcW w:w="28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89C526" w14:textId="77777777" w:rsidR="001004BC" w:rsidRPr="00BC7209" w:rsidRDefault="001004BC" w:rsidP="00DD2371">
            <w:pPr>
              <w:rPr>
                <w:rFonts w:ascii="Tahoma" w:hAnsi="Tahoma" w:cs="Tahoma"/>
                <w:sz w:val="20"/>
                <w:szCs w:val="22"/>
                <w:lang w:eastAsia="en-US"/>
              </w:rPr>
            </w:pPr>
            <w:r w:rsidRPr="00BC7209">
              <w:rPr>
                <w:rFonts w:ascii="Tahoma" w:hAnsi="Tahoma" w:cs="Tahoma"/>
                <w:sz w:val="20"/>
                <w:szCs w:val="22"/>
              </w:rPr>
              <w:t>Способы предоставления ипотечного кредита</w:t>
            </w:r>
          </w:p>
        </w:tc>
        <w:tc>
          <w:tcPr>
            <w:tcW w:w="12730" w:type="dxa"/>
            <w:tcBorders>
              <w:top w:val="single" w:sz="4" w:space="0" w:color="auto"/>
              <w:left w:val="single" w:sz="4" w:space="0" w:color="auto"/>
              <w:bottom w:val="single" w:sz="4" w:space="0" w:color="auto"/>
              <w:right w:val="single" w:sz="4" w:space="0" w:color="auto"/>
            </w:tcBorders>
            <w:shd w:val="clear" w:color="auto" w:fill="auto"/>
            <w:hideMark/>
          </w:tcPr>
          <w:p w14:paraId="0C5D1F7F" w14:textId="77777777" w:rsidR="001004BC" w:rsidRPr="00BC7209" w:rsidRDefault="001004BC" w:rsidP="00DD2371">
            <w:pPr>
              <w:rPr>
                <w:rFonts w:ascii="Tahoma" w:hAnsi="Tahoma" w:cs="Tahoma"/>
                <w:sz w:val="20"/>
                <w:szCs w:val="22"/>
                <w:lang w:eastAsia="en-US"/>
              </w:rPr>
            </w:pPr>
            <w:r w:rsidRPr="00BC7209">
              <w:rPr>
                <w:rFonts w:ascii="Tahoma" w:hAnsi="Tahoma" w:cs="Tahoma"/>
                <w:sz w:val="20"/>
                <w:szCs w:val="22"/>
              </w:rPr>
              <w:t>Кредит предоставляется в безналичной форме на текущий счет Заемщика, открытый в Банке</w:t>
            </w:r>
          </w:p>
        </w:tc>
      </w:tr>
      <w:tr w:rsidR="001004BC" w:rsidRPr="00BC7209" w14:paraId="24651B0C" w14:textId="77777777" w:rsidTr="00DD2371">
        <w:trPr>
          <w:trHeight w:val="272"/>
        </w:trPr>
        <w:tc>
          <w:tcPr>
            <w:tcW w:w="2863" w:type="dxa"/>
            <w:tcBorders>
              <w:top w:val="single" w:sz="4" w:space="0" w:color="auto"/>
              <w:left w:val="single" w:sz="4" w:space="0" w:color="auto"/>
              <w:bottom w:val="single" w:sz="4" w:space="0" w:color="auto"/>
              <w:right w:val="single" w:sz="4" w:space="0" w:color="auto"/>
            </w:tcBorders>
            <w:shd w:val="clear" w:color="auto" w:fill="auto"/>
            <w:hideMark/>
          </w:tcPr>
          <w:p w14:paraId="43170B91" w14:textId="77777777" w:rsidR="001004BC" w:rsidRPr="00BC7209" w:rsidRDefault="001004BC" w:rsidP="00DD2371">
            <w:pPr>
              <w:rPr>
                <w:rFonts w:ascii="Tahoma" w:hAnsi="Tahoma" w:cs="Tahoma"/>
                <w:sz w:val="20"/>
                <w:szCs w:val="22"/>
                <w:lang w:eastAsia="en-US"/>
              </w:rPr>
            </w:pPr>
            <w:r w:rsidRPr="00BC7209">
              <w:rPr>
                <w:rFonts w:ascii="Tahoma" w:hAnsi="Tahoma" w:cs="Tahoma"/>
                <w:sz w:val="20"/>
                <w:szCs w:val="22"/>
              </w:rPr>
              <w:t>Порядок и периодичность погашения основного долга и процентов по кредиту</w:t>
            </w:r>
          </w:p>
        </w:tc>
        <w:tc>
          <w:tcPr>
            <w:tcW w:w="12730" w:type="dxa"/>
            <w:tcBorders>
              <w:top w:val="single" w:sz="4" w:space="0" w:color="auto"/>
              <w:left w:val="single" w:sz="4" w:space="0" w:color="auto"/>
              <w:bottom w:val="single" w:sz="4" w:space="0" w:color="auto"/>
              <w:right w:val="single" w:sz="4" w:space="0" w:color="auto"/>
            </w:tcBorders>
            <w:shd w:val="clear" w:color="auto" w:fill="auto"/>
          </w:tcPr>
          <w:p w14:paraId="6623971C" w14:textId="77777777" w:rsidR="001004BC" w:rsidRPr="00BC7209" w:rsidRDefault="001004BC" w:rsidP="00DD2371">
            <w:pPr>
              <w:jc w:val="both"/>
              <w:rPr>
                <w:rFonts w:ascii="Tahoma" w:hAnsi="Tahoma" w:cs="Tahoma"/>
                <w:sz w:val="20"/>
                <w:szCs w:val="22"/>
              </w:rPr>
            </w:pPr>
            <w:r w:rsidRPr="00BC7209">
              <w:rPr>
                <w:rFonts w:ascii="Tahoma" w:hAnsi="Tahoma" w:cs="Tahoma"/>
                <w:sz w:val="20"/>
                <w:szCs w:val="22"/>
              </w:rPr>
              <w:t>Ежемесячное исполнение обязательств Заемщиком не производится.</w:t>
            </w:r>
          </w:p>
          <w:p w14:paraId="7E68FA6A" w14:textId="77777777" w:rsidR="001004BC" w:rsidRPr="00BC7209" w:rsidRDefault="001004BC" w:rsidP="00DD2371">
            <w:pPr>
              <w:pStyle w:val="12"/>
              <w:tabs>
                <w:tab w:val="left" w:pos="851"/>
              </w:tabs>
              <w:jc w:val="both"/>
              <w:rPr>
                <w:rFonts w:ascii="Tahoma" w:eastAsia="Calibri" w:hAnsi="Tahoma" w:cs="Tahoma"/>
                <w:szCs w:val="22"/>
                <w:lang w:eastAsia="en-US"/>
              </w:rPr>
            </w:pPr>
            <w:r w:rsidRPr="00BC7209">
              <w:rPr>
                <w:rFonts w:ascii="Tahoma" w:eastAsia="Calibri" w:hAnsi="Tahoma" w:cs="Tahoma"/>
                <w:szCs w:val="22"/>
                <w:lang w:eastAsia="en-US"/>
              </w:rPr>
              <w:t xml:space="preserve">Погашение кредита и начисленных процентов производится путем осуществления разового планового платежа за счет перечисления средств МСК и /или за счет собственных средств заемщика начиная со дня, следующего за днем фактического предоставления Кредита, и по день окончательного возврата Кредита включительно. </w:t>
            </w:r>
          </w:p>
          <w:p w14:paraId="1C5BAE45" w14:textId="77777777" w:rsidR="001004BC" w:rsidRPr="00BC7209" w:rsidRDefault="001004BC" w:rsidP="00DD2371">
            <w:pPr>
              <w:pStyle w:val="12"/>
              <w:tabs>
                <w:tab w:val="left" w:pos="851"/>
              </w:tabs>
              <w:jc w:val="both"/>
              <w:rPr>
                <w:rFonts w:ascii="Tahoma" w:eastAsia="Calibri" w:hAnsi="Tahoma" w:cs="Tahoma"/>
                <w:szCs w:val="22"/>
                <w:lang w:eastAsia="en-US"/>
              </w:rPr>
            </w:pPr>
            <w:r w:rsidRPr="00BC7209">
              <w:rPr>
                <w:rFonts w:ascii="Tahoma" w:eastAsia="Calibri" w:hAnsi="Tahoma" w:cs="Tahoma"/>
                <w:szCs w:val="22"/>
                <w:lang w:eastAsia="en-US"/>
              </w:rPr>
              <w:t>В случае не перечисления либо перечисления не в полном объеме Пенсионным фондом РФ средств МСК  в установленный настоящим паспортом срок кредитования, ЗАЕМЩИК обязан произвести в указанный срок гашение Кредита и процентов на него из собственных средств.</w:t>
            </w:r>
          </w:p>
          <w:p w14:paraId="043946FD" w14:textId="77777777" w:rsidR="001004BC" w:rsidRPr="00BC7209" w:rsidRDefault="001004BC" w:rsidP="00DD2371">
            <w:pPr>
              <w:tabs>
                <w:tab w:val="left" w:pos="459"/>
              </w:tabs>
              <w:jc w:val="both"/>
              <w:rPr>
                <w:rFonts w:ascii="Tahoma" w:hAnsi="Tahoma" w:cs="Tahoma"/>
                <w:sz w:val="20"/>
                <w:szCs w:val="22"/>
                <w:lang w:eastAsia="en-US"/>
              </w:rPr>
            </w:pPr>
          </w:p>
        </w:tc>
      </w:tr>
      <w:tr w:rsidR="001004BC" w:rsidRPr="00BC7209" w14:paraId="5C5626A8" w14:textId="77777777" w:rsidTr="00DD2371">
        <w:trPr>
          <w:trHeight w:val="272"/>
        </w:trPr>
        <w:tc>
          <w:tcPr>
            <w:tcW w:w="2863" w:type="dxa"/>
            <w:tcBorders>
              <w:top w:val="single" w:sz="4" w:space="0" w:color="auto"/>
              <w:left w:val="single" w:sz="4" w:space="0" w:color="auto"/>
              <w:bottom w:val="single" w:sz="4" w:space="0" w:color="auto"/>
              <w:right w:val="single" w:sz="4" w:space="0" w:color="auto"/>
            </w:tcBorders>
            <w:shd w:val="clear" w:color="auto" w:fill="auto"/>
            <w:hideMark/>
          </w:tcPr>
          <w:p w14:paraId="55CB6B9B" w14:textId="77777777" w:rsidR="001004BC" w:rsidRPr="00BC7209" w:rsidRDefault="001004BC" w:rsidP="00DD2371">
            <w:pPr>
              <w:rPr>
                <w:rFonts w:ascii="Tahoma" w:hAnsi="Tahoma" w:cs="Tahoma"/>
                <w:sz w:val="20"/>
                <w:szCs w:val="22"/>
                <w:lang w:eastAsia="en-US"/>
              </w:rPr>
            </w:pPr>
            <w:r w:rsidRPr="00BC7209">
              <w:rPr>
                <w:rFonts w:ascii="Tahoma" w:hAnsi="Tahoma" w:cs="Tahoma"/>
                <w:sz w:val="20"/>
                <w:szCs w:val="22"/>
              </w:rPr>
              <w:t>Досрочное погашение</w:t>
            </w:r>
          </w:p>
        </w:tc>
        <w:tc>
          <w:tcPr>
            <w:tcW w:w="12730" w:type="dxa"/>
            <w:tcBorders>
              <w:top w:val="single" w:sz="4" w:space="0" w:color="auto"/>
              <w:left w:val="single" w:sz="4" w:space="0" w:color="auto"/>
              <w:bottom w:val="single" w:sz="4" w:space="0" w:color="auto"/>
              <w:right w:val="single" w:sz="4" w:space="0" w:color="auto"/>
            </w:tcBorders>
            <w:shd w:val="clear" w:color="auto" w:fill="auto"/>
            <w:hideMark/>
          </w:tcPr>
          <w:p w14:paraId="77EC07C0" w14:textId="77777777" w:rsidR="001004BC" w:rsidRPr="00BC7209" w:rsidRDefault="001004BC" w:rsidP="00DD2371">
            <w:pPr>
              <w:jc w:val="both"/>
              <w:rPr>
                <w:rFonts w:ascii="Tahoma" w:hAnsi="Tahoma" w:cs="Tahoma"/>
                <w:sz w:val="20"/>
                <w:szCs w:val="22"/>
              </w:rPr>
            </w:pPr>
            <w:r w:rsidRPr="00BC7209">
              <w:rPr>
                <w:rFonts w:ascii="Tahoma" w:hAnsi="Tahoma" w:cs="Tahoma"/>
                <w:sz w:val="20"/>
                <w:szCs w:val="22"/>
              </w:rPr>
              <w:t>Досрочное полное или частичное исполнение обязательств по возврату кредита возможно в следующем порядке:</w:t>
            </w:r>
          </w:p>
          <w:p w14:paraId="34F246EA" w14:textId="77777777" w:rsidR="001004BC" w:rsidRPr="00BC7209" w:rsidRDefault="001004BC" w:rsidP="001004BC">
            <w:pPr>
              <w:pStyle w:val="affe"/>
              <w:numPr>
                <w:ilvl w:val="0"/>
                <w:numId w:val="5"/>
              </w:numPr>
              <w:ind w:left="318" w:hanging="284"/>
              <w:contextualSpacing/>
              <w:jc w:val="both"/>
              <w:rPr>
                <w:rFonts w:ascii="Tahoma" w:hAnsi="Tahoma" w:cs="Tahoma"/>
                <w:sz w:val="20"/>
                <w:szCs w:val="22"/>
              </w:rPr>
            </w:pPr>
            <w:r w:rsidRPr="00BC7209">
              <w:rPr>
                <w:rFonts w:ascii="Tahoma" w:hAnsi="Tahoma" w:cs="Tahoma"/>
                <w:sz w:val="20"/>
                <w:szCs w:val="22"/>
              </w:rPr>
              <w:t xml:space="preserve">При направлении Заемщиком Банку заявления-обязательства о досрочном возврате кредита содержащего информацию о сумме и дате предполагаемого досрочного платежа. </w:t>
            </w:r>
          </w:p>
          <w:p w14:paraId="4D9743B7" w14:textId="77777777" w:rsidR="001004BC" w:rsidRPr="00BC7209" w:rsidRDefault="001004BC" w:rsidP="00DD2371">
            <w:pPr>
              <w:ind w:left="34"/>
              <w:jc w:val="both"/>
              <w:rPr>
                <w:rFonts w:ascii="Tahoma" w:hAnsi="Tahoma" w:cs="Tahoma"/>
                <w:sz w:val="20"/>
                <w:szCs w:val="22"/>
              </w:rPr>
            </w:pPr>
            <w:r w:rsidRPr="00BC7209">
              <w:rPr>
                <w:rFonts w:ascii="Tahoma" w:hAnsi="Tahoma" w:cs="Tahoma"/>
                <w:sz w:val="20"/>
                <w:szCs w:val="22"/>
              </w:rPr>
              <w:t>или</w:t>
            </w:r>
          </w:p>
          <w:p w14:paraId="3F0DB2F9" w14:textId="77777777" w:rsidR="001004BC" w:rsidRPr="00BC7209" w:rsidRDefault="001004BC" w:rsidP="001004BC">
            <w:pPr>
              <w:pStyle w:val="affe"/>
              <w:numPr>
                <w:ilvl w:val="0"/>
                <w:numId w:val="5"/>
              </w:numPr>
              <w:ind w:left="359" w:hanging="284"/>
              <w:contextualSpacing/>
              <w:jc w:val="both"/>
              <w:rPr>
                <w:rFonts w:ascii="Tahoma" w:hAnsi="Tahoma" w:cs="Tahoma"/>
                <w:sz w:val="20"/>
                <w:szCs w:val="22"/>
              </w:rPr>
            </w:pPr>
            <w:r w:rsidRPr="00BC7209">
              <w:rPr>
                <w:rFonts w:ascii="Tahoma" w:hAnsi="Tahoma" w:cs="Tahoma"/>
                <w:sz w:val="20"/>
                <w:szCs w:val="22"/>
              </w:rPr>
              <w:t xml:space="preserve">Путем списания Банком поступившей из ПФ РФ на счет банка суммы МСК, на основании акцепта Заемщика </w:t>
            </w:r>
          </w:p>
          <w:p w14:paraId="0B97DF17" w14:textId="77777777" w:rsidR="001004BC" w:rsidRPr="00BC7209" w:rsidRDefault="001004BC" w:rsidP="00DD2371">
            <w:pPr>
              <w:jc w:val="both"/>
              <w:rPr>
                <w:rFonts w:ascii="Tahoma" w:hAnsi="Tahoma" w:cs="Tahoma"/>
                <w:sz w:val="20"/>
                <w:szCs w:val="22"/>
                <w:lang w:eastAsia="en-US"/>
              </w:rPr>
            </w:pPr>
            <w:r w:rsidRPr="00BC7209">
              <w:rPr>
                <w:rFonts w:ascii="Tahoma" w:hAnsi="Tahoma" w:cs="Tahoma"/>
                <w:sz w:val="20"/>
                <w:szCs w:val="22"/>
              </w:rPr>
              <w:t xml:space="preserve">При осуществлении досрочного полного исполнения обязательств Заемщиков по возврату кредита, календарный месяц, в котором осуществлен указанный возврат кредита, считается Последним процентным периодом. </w:t>
            </w:r>
          </w:p>
        </w:tc>
      </w:tr>
      <w:tr w:rsidR="001004BC" w:rsidRPr="00BC7209" w14:paraId="6A00F1E4" w14:textId="77777777" w:rsidTr="00DD2371">
        <w:trPr>
          <w:trHeight w:val="511"/>
        </w:trPr>
        <w:tc>
          <w:tcPr>
            <w:tcW w:w="28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15E8CC" w14:textId="77777777" w:rsidR="001004BC" w:rsidRPr="00BC7209" w:rsidRDefault="001004BC" w:rsidP="00DD2371">
            <w:pPr>
              <w:tabs>
                <w:tab w:val="left" w:pos="3341"/>
              </w:tabs>
              <w:rPr>
                <w:rFonts w:ascii="Tahoma" w:hAnsi="Tahoma" w:cs="Tahoma"/>
                <w:sz w:val="20"/>
                <w:szCs w:val="22"/>
              </w:rPr>
            </w:pPr>
            <w:r w:rsidRPr="00BC7209">
              <w:rPr>
                <w:rFonts w:ascii="Tahoma" w:hAnsi="Tahoma" w:cs="Tahoma"/>
                <w:sz w:val="20"/>
                <w:szCs w:val="22"/>
              </w:rPr>
              <w:lastRenderedPageBreak/>
              <w:t>Базовые</w:t>
            </w:r>
          </w:p>
          <w:p w14:paraId="1390DE49" w14:textId="77777777" w:rsidR="001004BC" w:rsidRPr="00BC7209" w:rsidRDefault="001004BC" w:rsidP="00DD2371">
            <w:pPr>
              <w:tabs>
                <w:tab w:val="left" w:pos="3341"/>
              </w:tabs>
              <w:rPr>
                <w:rFonts w:ascii="Tahoma" w:hAnsi="Tahoma" w:cs="Tahoma"/>
                <w:sz w:val="20"/>
                <w:szCs w:val="22"/>
                <w:lang w:eastAsia="en-US"/>
              </w:rPr>
            </w:pPr>
            <w:r w:rsidRPr="00BC7209">
              <w:rPr>
                <w:rFonts w:ascii="Tahoma" w:hAnsi="Tahoma" w:cs="Tahoma"/>
                <w:sz w:val="20"/>
                <w:szCs w:val="22"/>
              </w:rPr>
              <w:t>процентные ставки</w:t>
            </w:r>
          </w:p>
        </w:tc>
        <w:tc>
          <w:tcPr>
            <w:tcW w:w="127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AC59E2" w14:textId="77777777" w:rsidR="001004BC" w:rsidRPr="00BC7209" w:rsidRDefault="001004BC" w:rsidP="00DD2371">
            <w:pPr>
              <w:tabs>
                <w:tab w:val="left" w:pos="3341"/>
              </w:tabs>
              <w:rPr>
                <w:rFonts w:ascii="Tahoma" w:hAnsi="Tahoma" w:cs="Tahoma"/>
                <w:sz w:val="20"/>
                <w:szCs w:val="22"/>
                <w:lang w:eastAsia="en-US"/>
              </w:rPr>
            </w:pPr>
            <w:r w:rsidRPr="00BC7209">
              <w:rPr>
                <w:rFonts w:ascii="Tahoma" w:hAnsi="Tahoma" w:cs="Tahoma"/>
                <w:sz w:val="20"/>
                <w:szCs w:val="22"/>
              </w:rPr>
              <w:t>19% годовых</w:t>
            </w:r>
          </w:p>
        </w:tc>
      </w:tr>
      <w:tr w:rsidR="001004BC" w:rsidRPr="00BC7209" w14:paraId="0A54AB1D" w14:textId="77777777" w:rsidTr="00DD2371">
        <w:trPr>
          <w:trHeight w:val="272"/>
        </w:trPr>
        <w:tc>
          <w:tcPr>
            <w:tcW w:w="286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14C99E9" w14:textId="77777777" w:rsidR="001004BC" w:rsidRPr="00BC7209" w:rsidRDefault="001004BC" w:rsidP="00DD2371">
            <w:pPr>
              <w:tabs>
                <w:tab w:val="left" w:pos="3341"/>
              </w:tabs>
              <w:rPr>
                <w:rFonts w:ascii="Tahoma" w:hAnsi="Tahoma" w:cs="Tahoma"/>
                <w:sz w:val="20"/>
                <w:szCs w:val="22"/>
                <w:lang w:eastAsia="en-US"/>
              </w:rPr>
            </w:pPr>
            <w:r w:rsidRPr="00BC7209">
              <w:rPr>
                <w:rFonts w:ascii="Tahoma" w:hAnsi="Tahoma" w:cs="Tahoma"/>
                <w:sz w:val="20"/>
                <w:szCs w:val="22"/>
              </w:rPr>
              <w:t>Страхование</w:t>
            </w:r>
          </w:p>
        </w:tc>
        <w:tc>
          <w:tcPr>
            <w:tcW w:w="127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B95091" w14:textId="77777777" w:rsidR="001004BC" w:rsidRPr="00BC7209" w:rsidRDefault="001004BC" w:rsidP="00DD2371">
            <w:pPr>
              <w:tabs>
                <w:tab w:val="left" w:pos="3341"/>
              </w:tabs>
              <w:rPr>
                <w:rFonts w:ascii="Tahoma" w:hAnsi="Tahoma" w:cs="Tahoma"/>
                <w:sz w:val="20"/>
                <w:szCs w:val="22"/>
                <w:lang w:eastAsia="en-US"/>
              </w:rPr>
            </w:pPr>
            <w:r w:rsidRPr="00BC7209">
              <w:rPr>
                <w:rFonts w:ascii="Tahoma" w:hAnsi="Tahoma" w:cs="Tahoma"/>
                <w:sz w:val="20"/>
                <w:szCs w:val="22"/>
              </w:rPr>
              <w:t>Виды добровольного страхования:</w:t>
            </w:r>
          </w:p>
        </w:tc>
      </w:tr>
      <w:tr w:rsidR="001004BC" w:rsidRPr="00BC7209" w14:paraId="3DAE9CDE" w14:textId="77777777" w:rsidTr="00DD2371">
        <w:trPr>
          <w:trHeight w:val="836"/>
        </w:trPr>
        <w:tc>
          <w:tcPr>
            <w:tcW w:w="28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35223E" w14:textId="77777777" w:rsidR="001004BC" w:rsidRPr="00BC7209" w:rsidRDefault="001004BC" w:rsidP="00DD2371">
            <w:pPr>
              <w:rPr>
                <w:rFonts w:ascii="Tahoma" w:hAnsi="Tahoma" w:cs="Tahoma"/>
                <w:sz w:val="20"/>
                <w:szCs w:val="22"/>
                <w:lang w:eastAsia="en-US"/>
              </w:rPr>
            </w:pPr>
          </w:p>
        </w:tc>
        <w:tc>
          <w:tcPr>
            <w:tcW w:w="127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6F92E5" w14:textId="77777777" w:rsidR="001004BC" w:rsidRPr="00BC7209" w:rsidRDefault="001004BC" w:rsidP="001004BC">
            <w:pPr>
              <w:pStyle w:val="affe"/>
              <w:numPr>
                <w:ilvl w:val="0"/>
                <w:numId w:val="6"/>
              </w:numPr>
              <w:tabs>
                <w:tab w:val="left" w:pos="715"/>
              </w:tabs>
              <w:contextualSpacing/>
              <w:jc w:val="both"/>
              <w:rPr>
                <w:rFonts w:ascii="Tahoma" w:hAnsi="Tahoma" w:cs="Tahoma"/>
                <w:color w:val="000000"/>
                <w:sz w:val="20"/>
                <w:szCs w:val="22"/>
              </w:rPr>
            </w:pPr>
            <w:r w:rsidRPr="00BC7209">
              <w:rPr>
                <w:rFonts w:ascii="Tahoma" w:hAnsi="Tahoma" w:cs="Tahoma"/>
                <w:color w:val="000000"/>
                <w:sz w:val="20"/>
                <w:szCs w:val="22"/>
              </w:rPr>
              <w:t>страхование жизни, постоянной потери трудоспособности;</w:t>
            </w:r>
          </w:p>
          <w:p w14:paraId="15632419" w14:textId="77777777" w:rsidR="001004BC" w:rsidRPr="00BC7209" w:rsidRDefault="001004BC" w:rsidP="001004BC">
            <w:pPr>
              <w:pStyle w:val="affe"/>
              <w:numPr>
                <w:ilvl w:val="0"/>
                <w:numId w:val="6"/>
              </w:numPr>
              <w:tabs>
                <w:tab w:val="left" w:pos="715"/>
              </w:tabs>
              <w:contextualSpacing/>
              <w:jc w:val="both"/>
              <w:rPr>
                <w:rFonts w:ascii="Tahoma" w:hAnsi="Tahoma" w:cs="Tahoma"/>
                <w:color w:val="000000"/>
                <w:sz w:val="20"/>
                <w:szCs w:val="22"/>
              </w:rPr>
            </w:pPr>
            <w:r w:rsidRPr="00BC7209">
              <w:rPr>
                <w:rFonts w:ascii="Tahoma" w:hAnsi="Tahoma" w:cs="Tahoma"/>
                <w:color w:val="000000"/>
                <w:sz w:val="20"/>
                <w:szCs w:val="22"/>
              </w:rPr>
              <w:t>страхование утраты права собственности на квартиру;</w:t>
            </w:r>
          </w:p>
          <w:p w14:paraId="176CA2CF" w14:textId="77777777" w:rsidR="001004BC" w:rsidRPr="00BC7209" w:rsidRDefault="001004BC" w:rsidP="001004BC">
            <w:pPr>
              <w:pStyle w:val="affe"/>
              <w:numPr>
                <w:ilvl w:val="0"/>
                <w:numId w:val="6"/>
              </w:numPr>
              <w:tabs>
                <w:tab w:val="left" w:pos="715"/>
              </w:tabs>
              <w:contextualSpacing/>
              <w:jc w:val="both"/>
              <w:rPr>
                <w:rFonts w:ascii="Tahoma" w:hAnsi="Tahoma" w:cs="Tahoma"/>
                <w:color w:val="000000"/>
                <w:sz w:val="20"/>
                <w:szCs w:val="22"/>
              </w:rPr>
            </w:pPr>
            <w:r w:rsidRPr="00BC7209">
              <w:rPr>
                <w:rFonts w:ascii="Tahoma" w:hAnsi="Tahoma" w:cs="Tahoma"/>
                <w:color w:val="000000"/>
                <w:sz w:val="20"/>
                <w:szCs w:val="22"/>
              </w:rPr>
              <w:t>имущественное страхование</w:t>
            </w:r>
          </w:p>
        </w:tc>
      </w:tr>
      <w:tr w:rsidR="001004BC" w:rsidRPr="00BC7209" w14:paraId="2E4EDCA2" w14:textId="77777777" w:rsidTr="00DD2371">
        <w:trPr>
          <w:trHeight w:val="272"/>
        </w:trPr>
        <w:tc>
          <w:tcPr>
            <w:tcW w:w="28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EC4B6EE" w14:textId="77777777" w:rsidR="001004BC" w:rsidRPr="00BC7209" w:rsidRDefault="001004BC" w:rsidP="00DD2371">
            <w:pPr>
              <w:rPr>
                <w:rFonts w:ascii="Tahoma" w:hAnsi="Tahoma" w:cs="Tahoma"/>
                <w:sz w:val="20"/>
                <w:szCs w:val="22"/>
                <w:lang w:eastAsia="en-US"/>
              </w:rPr>
            </w:pPr>
          </w:p>
        </w:tc>
        <w:tc>
          <w:tcPr>
            <w:tcW w:w="12730" w:type="dxa"/>
            <w:tcBorders>
              <w:top w:val="single" w:sz="4" w:space="0" w:color="auto"/>
              <w:left w:val="single" w:sz="4" w:space="0" w:color="auto"/>
              <w:bottom w:val="single" w:sz="4" w:space="0" w:color="auto"/>
              <w:right w:val="single" w:sz="4" w:space="0" w:color="auto"/>
            </w:tcBorders>
            <w:shd w:val="clear" w:color="auto" w:fill="auto"/>
            <w:hideMark/>
          </w:tcPr>
          <w:p w14:paraId="0BAAB0D7" w14:textId="77777777" w:rsidR="001004BC" w:rsidRPr="00BC7209" w:rsidRDefault="001004BC" w:rsidP="00DD2371">
            <w:pPr>
              <w:tabs>
                <w:tab w:val="left" w:pos="3341"/>
              </w:tabs>
              <w:jc w:val="both"/>
              <w:rPr>
                <w:rFonts w:ascii="Tahoma" w:hAnsi="Tahoma" w:cs="Tahoma"/>
                <w:color w:val="000000"/>
                <w:sz w:val="20"/>
                <w:szCs w:val="22"/>
              </w:rPr>
            </w:pPr>
            <w:r w:rsidRPr="00BC7209">
              <w:rPr>
                <w:rFonts w:ascii="Tahoma" w:hAnsi="Tahoma" w:cs="Tahoma"/>
                <w:color w:val="000000"/>
                <w:sz w:val="20"/>
                <w:szCs w:val="22"/>
              </w:rPr>
              <w:t>Применяемые надбавки в случае отказа от страхования:</w:t>
            </w:r>
          </w:p>
        </w:tc>
      </w:tr>
      <w:tr w:rsidR="001004BC" w:rsidRPr="00BC7209" w14:paraId="7F3F5058" w14:textId="77777777" w:rsidTr="00DD2371">
        <w:trPr>
          <w:trHeight w:val="287"/>
        </w:trPr>
        <w:tc>
          <w:tcPr>
            <w:tcW w:w="28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272F2FE" w14:textId="77777777" w:rsidR="001004BC" w:rsidRPr="00BC7209" w:rsidRDefault="001004BC" w:rsidP="00DD2371">
            <w:pPr>
              <w:rPr>
                <w:rFonts w:ascii="Tahoma" w:hAnsi="Tahoma" w:cs="Tahoma"/>
                <w:sz w:val="20"/>
                <w:szCs w:val="22"/>
                <w:lang w:eastAsia="en-US"/>
              </w:rPr>
            </w:pPr>
          </w:p>
        </w:tc>
        <w:tc>
          <w:tcPr>
            <w:tcW w:w="12730" w:type="dxa"/>
            <w:tcBorders>
              <w:top w:val="single" w:sz="4" w:space="0" w:color="auto"/>
              <w:left w:val="single" w:sz="4" w:space="0" w:color="auto"/>
              <w:bottom w:val="single" w:sz="4" w:space="0" w:color="auto"/>
              <w:right w:val="single" w:sz="4" w:space="0" w:color="auto"/>
            </w:tcBorders>
            <w:shd w:val="clear" w:color="auto" w:fill="auto"/>
            <w:hideMark/>
          </w:tcPr>
          <w:p w14:paraId="2EE0C055" w14:textId="77777777" w:rsidR="001004BC" w:rsidRPr="00BC7209" w:rsidRDefault="001004BC" w:rsidP="00DD2371">
            <w:pPr>
              <w:tabs>
                <w:tab w:val="left" w:pos="3341"/>
              </w:tabs>
              <w:jc w:val="both"/>
              <w:rPr>
                <w:rFonts w:ascii="Tahoma" w:hAnsi="Tahoma" w:cs="Tahoma"/>
                <w:sz w:val="20"/>
                <w:szCs w:val="22"/>
                <w:lang w:eastAsia="en-US"/>
              </w:rPr>
            </w:pPr>
            <w:r w:rsidRPr="00BC7209">
              <w:rPr>
                <w:rFonts w:ascii="Tahoma" w:hAnsi="Tahoma" w:cs="Tahoma"/>
                <w:sz w:val="20"/>
                <w:szCs w:val="22"/>
              </w:rPr>
              <w:t>В случае отсутствия одного и более видов страхования, к базовой процентной ставке применяется надбавка 3,5 процентных пунктов</w:t>
            </w:r>
          </w:p>
        </w:tc>
      </w:tr>
      <w:tr w:rsidR="001004BC" w:rsidRPr="00CE5927" w14:paraId="2CCD0A72" w14:textId="77777777" w:rsidTr="00DD2371">
        <w:trPr>
          <w:trHeight w:val="287"/>
        </w:trPr>
        <w:tc>
          <w:tcPr>
            <w:tcW w:w="2863" w:type="dxa"/>
            <w:tcBorders>
              <w:top w:val="single" w:sz="4" w:space="0" w:color="auto"/>
              <w:left w:val="single" w:sz="4" w:space="0" w:color="auto"/>
              <w:bottom w:val="single" w:sz="4" w:space="0" w:color="auto"/>
              <w:right w:val="single" w:sz="4" w:space="0" w:color="auto"/>
            </w:tcBorders>
            <w:shd w:val="clear" w:color="auto" w:fill="auto"/>
            <w:hideMark/>
          </w:tcPr>
          <w:p w14:paraId="3AFA4D82" w14:textId="77777777" w:rsidR="001004BC" w:rsidRPr="00BC7209" w:rsidRDefault="001004BC" w:rsidP="00DD2371">
            <w:pPr>
              <w:tabs>
                <w:tab w:val="left" w:pos="3341"/>
              </w:tabs>
              <w:jc w:val="both"/>
              <w:rPr>
                <w:rFonts w:ascii="Tahoma" w:hAnsi="Tahoma" w:cs="Tahoma"/>
                <w:sz w:val="20"/>
                <w:szCs w:val="22"/>
                <w:lang w:eastAsia="en-US"/>
              </w:rPr>
            </w:pPr>
            <w:r w:rsidRPr="00BC7209">
              <w:rPr>
                <w:rFonts w:ascii="Tahoma" w:hAnsi="Tahoma" w:cs="Tahoma"/>
                <w:sz w:val="20"/>
                <w:szCs w:val="22"/>
              </w:rPr>
              <w:t>Обеспечение кредита</w:t>
            </w:r>
          </w:p>
        </w:tc>
        <w:tc>
          <w:tcPr>
            <w:tcW w:w="12730" w:type="dxa"/>
            <w:tcBorders>
              <w:top w:val="single" w:sz="4" w:space="0" w:color="auto"/>
              <w:left w:val="single" w:sz="4" w:space="0" w:color="auto"/>
              <w:bottom w:val="single" w:sz="4" w:space="0" w:color="auto"/>
              <w:right w:val="single" w:sz="4" w:space="0" w:color="auto"/>
            </w:tcBorders>
            <w:shd w:val="clear" w:color="auto" w:fill="auto"/>
            <w:hideMark/>
          </w:tcPr>
          <w:p w14:paraId="2F7C52B6" w14:textId="77777777" w:rsidR="001004BC" w:rsidRPr="00BC7209" w:rsidRDefault="001004BC" w:rsidP="001004BC">
            <w:pPr>
              <w:pStyle w:val="affe"/>
              <w:numPr>
                <w:ilvl w:val="0"/>
                <w:numId w:val="7"/>
              </w:numPr>
              <w:tabs>
                <w:tab w:val="left" w:pos="702"/>
              </w:tabs>
              <w:contextualSpacing/>
              <w:jc w:val="both"/>
              <w:rPr>
                <w:rFonts w:ascii="Tahoma" w:hAnsi="Tahoma" w:cs="Tahoma"/>
                <w:sz w:val="20"/>
                <w:szCs w:val="22"/>
              </w:rPr>
            </w:pPr>
            <w:r w:rsidRPr="00BC7209">
              <w:rPr>
                <w:rFonts w:ascii="Tahoma" w:hAnsi="Tahoma" w:cs="Tahoma"/>
                <w:sz w:val="20"/>
                <w:szCs w:val="22"/>
              </w:rPr>
              <w:t xml:space="preserve">залог недвижимого имущества; </w:t>
            </w:r>
          </w:p>
          <w:p w14:paraId="4F7DEBD4" w14:textId="77777777" w:rsidR="001004BC" w:rsidRPr="00BC7209" w:rsidRDefault="001004BC" w:rsidP="001004BC">
            <w:pPr>
              <w:pStyle w:val="affe"/>
              <w:numPr>
                <w:ilvl w:val="0"/>
                <w:numId w:val="7"/>
              </w:numPr>
              <w:tabs>
                <w:tab w:val="left" w:pos="702"/>
              </w:tabs>
              <w:contextualSpacing/>
              <w:jc w:val="both"/>
              <w:rPr>
                <w:rFonts w:ascii="Tahoma" w:hAnsi="Tahoma" w:cs="Tahoma"/>
                <w:sz w:val="20"/>
                <w:szCs w:val="22"/>
                <w:lang w:eastAsia="en-US"/>
              </w:rPr>
            </w:pPr>
            <w:r w:rsidRPr="00BC7209">
              <w:rPr>
                <w:rFonts w:ascii="Tahoma" w:hAnsi="Tahoma" w:cs="Tahoma"/>
                <w:sz w:val="20"/>
                <w:szCs w:val="22"/>
              </w:rPr>
              <w:t xml:space="preserve">залог прав требования по договору участия в долевом строительстве </w:t>
            </w:r>
          </w:p>
        </w:tc>
      </w:tr>
    </w:tbl>
    <w:p w14:paraId="6D1D0A88" w14:textId="77777777" w:rsidR="005057E7" w:rsidRPr="002201DF" w:rsidRDefault="005057E7" w:rsidP="005057E7">
      <w:pPr>
        <w:jc w:val="center"/>
        <w:rPr>
          <w:rFonts w:ascii="Tahoma" w:hAnsi="Tahoma" w:cs="Tahoma"/>
          <w:b/>
          <w:noProof/>
          <w:sz w:val="20"/>
          <w:szCs w:val="20"/>
        </w:rPr>
      </w:pPr>
    </w:p>
    <w:p w14:paraId="0E29F740" w14:textId="77777777" w:rsidR="005057E7" w:rsidRPr="002201DF" w:rsidRDefault="005057E7" w:rsidP="005057E7">
      <w:pPr>
        <w:jc w:val="center"/>
        <w:rPr>
          <w:rFonts w:ascii="Tahoma" w:hAnsi="Tahoma" w:cs="Tahoma"/>
          <w:b/>
          <w:noProof/>
          <w:sz w:val="20"/>
          <w:szCs w:val="20"/>
        </w:rPr>
      </w:pPr>
    </w:p>
    <w:p w14:paraId="7AFEFED4" w14:textId="657B80F5" w:rsidR="002E2263" w:rsidRDefault="002E2263">
      <w:pPr>
        <w:rPr>
          <w:rFonts w:ascii="Tahoma" w:hAnsi="Tahoma" w:cs="Tahoma"/>
          <w:b/>
          <w:noProof/>
          <w:sz w:val="20"/>
          <w:szCs w:val="20"/>
        </w:rPr>
      </w:pPr>
      <w:r>
        <w:rPr>
          <w:rFonts w:ascii="Tahoma" w:hAnsi="Tahoma" w:cs="Tahoma"/>
          <w:b/>
          <w:noProof/>
          <w:sz w:val="20"/>
          <w:szCs w:val="20"/>
        </w:rPr>
        <w:br w:type="page"/>
      </w:r>
    </w:p>
    <w:p w14:paraId="0AA28F61" w14:textId="310088D7" w:rsidR="00EE45CD" w:rsidRPr="00CE5927" w:rsidRDefault="00EE45CD" w:rsidP="000B3718">
      <w:pPr>
        <w:pStyle w:val="a5"/>
      </w:pPr>
      <w:r w:rsidRPr="00CE5927">
        <w:lastRenderedPageBreak/>
        <w:t>2.</w:t>
      </w:r>
      <w:r>
        <w:t>4</w:t>
      </w:r>
      <w:r w:rsidRPr="00CE5927">
        <w:t xml:space="preserve">. </w:t>
      </w:r>
      <w:r>
        <w:t>ТАРИФНЫЕ ПЛАНЫ ПО КРЕДИТОВАНИЮ ФИЗИЧЕСКИХ ЛИЦ ПОД ЗАЛОГ ТРАНСПОРТНого СРЕДСТВа</w:t>
      </w:r>
    </w:p>
    <w:p w14:paraId="196343A6" w14:textId="77777777" w:rsidR="00EE45CD" w:rsidRPr="00CE5927" w:rsidRDefault="00EE45CD" w:rsidP="00EE45CD">
      <w:pPr>
        <w:widowControl w:val="0"/>
        <w:tabs>
          <w:tab w:val="left" w:pos="851"/>
        </w:tabs>
        <w:autoSpaceDE w:val="0"/>
        <w:autoSpaceDN w:val="0"/>
        <w:adjustRightInd w:val="0"/>
        <w:ind w:right="-426" w:hanging="142"/>
        <w:rPr>
          <w:rFonts w:ascii="Tahoma" w:hAnsi="Tahoma" w:cs="Tahoma"/>
          <w:b/>
          <w:i/>
          <w:color w:val="E36C0A"/>
          <w:sz w:val="22"/>
          <w:szCs w:val="22"/>
        </w:rPr>
      </w:pPr>
    </w:p>
    <w:p w14:paraId="5FF0BFA7" w14:textId="77777777" w:rsidR="009D1253" w:rsidRPr="00C9310A" w:rsidRDefault="009D1253" w:rsidP="000B3718">
      <w:pPr>
        <w:pStyle w:val="a5"/>
      </w:pPr>
      <w:bookmarkStart w:id="132" w:name="_Toc174636541"/>
      <w:r w:rsidRPr="00C9310A">
        <w:t>2.4.1.Тарифный план «Лёгкий старт»</w:t>
      </w:r>
      <w:bookmarkEnd w:id="132"/>
    </w:p>
    <w:tbl>
      <w:tblPr>
        <w:tblW w:w="4886"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24"/>
        <w:gridCol w:w="10812"/>
      </w:tblGrid>
      <w:tr w:rsidR="009D1253" w:rsidRPr="005A07E7" w14:paraId="1DDC021F" w14:textId="77777777" w:rsidTr="009D1253">
        <w:trPr>
          <w:trHeight w:val="455"/>
        </w:trPr>
        <w:tc>
          <w:tcPr>
            <w:tcW w:w="1475" w:type="pct"/>
            <w:shd w:val="clear" w:color="auto" w:fill="D9D9D9" w:themeFill="background1" w:themeFillShade="D9"/>
            <w:vAlign w:val="center"/>
          </w:tcPr>
          <w:p w14:paraId="31F54621" w14:textId="77777777" w:rsidR="009D1253" w:rsidRPr="005A07E7" w:rsidRDefault="009D1253" w:rsidP="009D1253">
            <w:pPr>
              <w:jc w:val="center"/>
              <w:rPr>
                <w:rFonts w:ascii="Tahoma" w:hAnsi="Tahoma" w:cs="Tahoma"/>
                <w:b/>
                <w:sz w:val="20"/>
                <w:szCs w:val="20"/>
              </w:rPr>
            </w:pPr>
            <w:r w:rsidRPr="005A07E7">
              <w:rPr>
                <w:rFonts w:ascii="Tahoma" w:hAnsi="Tahoma" w:cs="Tahoma"/>
                <w:b/>
                <w:sz w:val="20"/>
                <w:szCs w:val="20"/>
              </w:rPr>
              <w:t>Наименование продукта/</w:t>
            </w:r>
            <w:r w:rsidRPr="005A07E7" w:rsidDel="00A134C4">
              <w:rPr>
                <w:rFonts w:ascii="Tahoma" w:hAnsi="Tahoma" w:cs="Tahoma"/>
                <w:b/>
                <w:sz w:val="20"/>
                <w:szCs w:val="20"/>
              </w:rPr>
              <w:t xml:space="preserve"> </w:t>
            </w:r>
            <w:r w:rsidRPr="005A07E7">
              <w:rPr>
                <w:rFonts w:ascii="Tahoma" w:hAnsi="Tahoma" w:cs="Tahoma"/>
                <w:b/>
                <w:sz w:val="20"/>
                <w:szCs w:val="20"/>
              </w:rPr>
              <w:t>тарифного плана (ТП)</w:t>
            </w:r>
          </w:p>
        </w:tc>
        <w:tc>
          <w:tcPr>
            <w:tcW w:w="3525" w:type="pct"/>
            <w:shd w:val="clear" w:color="auto" w:fill="D9D9D9" w:themeFill="background1" w:themeFillShade="D9"/>
            <w:vAlign w:val="center"/>
          </w:tcPr>
          <w:p w14:paraId="29903F60" w14:textId="77777777" w:rsidR="009D1253" w:rsidRPr="005A07E7" w:rsidRDefault="009D1253" w:rsidP="009D1253">
            <w:pPr>
              <w:pStyle w:val="a9"/>
              <w:tabs>
                <w:tab w:val="left" w:pos="-284"/>
                <w:tab w:val="left" w:pos="851"/>
              </w:tabs>
              <w:spacing w:before="0" w:after="0"/>
              <w:ind w:right="849"/>
              <w:jc w:val="center"/>
              <w:rPr>
                <w:rFonts w:ascii="Tahoma" w:hAnsi="Tahoma" w:cs="Tahoma"/>
                <w:b/>
              </w:rPr>
            </w:pPr>
            <w:r w:rsidRPr="005A07E7">
              <w:rPr>
                <w:rFonts w:ascii="Tahoma" w:hAnsi="Tahoma" w:cs="Tahoma"/>
                <w:b/>
              </w:rPr>
              <w:t>«ЛЁГКИЙ СТАРТ»</w:t>
            </w:r>
          </w:p>
        </w:tc>
      </w:tr>
      <w:tr w:rsidR="009D1253" w:rsidRPr="005A07E7" w14:paraId="05561216" w14:textId="77777777" w:rsidTr="009D1253">
        <w:trPr>
          <w:trHeight w:val="455"/>
        </w:trPr>
        <w:tc>
          <w:tcPr>
            <w:tcW w:w="1475" w:type="pct"/>
            <w:shd w:val="clear" w:color="auto" w:fill="auto"/>
            <w:vAlign w:val="center"/>
          </w:tcPr>
          <w:p w14:paraId="1C4A143D" w14:textId="77777777" w:rsidR="009D1253" w:rsidRPr="005A07E7" w:rsidRDefault="009D1253" w:rsidP="009D1253">
            <w:pPr>
              <w:rPr>
                <w:rFonts w:ascii="Tahoma" w:hAnsi="Tahoma" w:cs="Tahoma"/>
                <w:b/>
                <w:sz w:val="20"/>
                <w:szCs w:val="20"/>
              </w:rPr>
            </w:pPr>
            <w:r w:rsidRPr="005A07E7">
              <w:rPr>
                <w:rFonts w:ascii="Tahoma" w:hAnsi="Tahoma" w:cs="Tahoma"/>
                <w:b/>
                <w:bCs/>
                <w:sz w:val="20"/>
                <w:szCs w:val="20"/>
              </w:rPr>
              <w:t>Категория Заёмщика</w:t>
            </w:r>
          </w:p>
        </w:tc>
        <w:tc>
          <w:tcPr>
            <w:tcW w:w="3525" w:type="pct"/>
            <w:shd w:val="clear" w:color="auto" w:fill="auto"/>
            <w:vAlign w:val="center"/>
          </w:tcPr>
          <w:p w14:paraId="60F72BBE" w14:textId="77777777" w:rsidR="009D1253" w:rsidRPr="005A07E7" w:rsidRDefault="009D1253" w:rsidP="009D1253">
            <w:pPr>
              <w:pStyle w:val="a9"/>
              <w:tabs>
                <w:tab w:val="left" w:pos="-284"/>
                <w:tab w:val="left" w:pos="851"/>
              </w:tabs>
              <w:spacing w:before="0" w:after="0"/>
              <w:ind w:right="849"/>
              <w:jc w:val="center"/>
              <w:rPr>
                <w:rFonts w:ascii="Tahoma" w:hAnsi="Tahoma" w:cs="Tahoma"/>
              </w:rPr>
            </w:pPr>
            <w:r w:rsidRPr="005A07E7">
              <w:rPr>
                <w:rFonts w:ascii="Tahoma" w:hAnsi="Tahoma" w:cs="Tahoma"/>
              </w:rPr>
              <w:t>Физические лица (имеющие официальное место работы и/или постоянный источник дохода)</w:t>
            </w:r>
          </w:p>
        </w:tc>
      </w:tr>
      <w:tr w:rsidR="009D1253" w:rsidRPr="005A07E7" w14:paraId="5525541B" w14:textId="77777777" w:rsidTr="009D1253">
        <w:trPr>
          <w:trHeight w:val="250"/>
        </w:trPr>
        <w:tc>
          <w:tcPr>
            <w:tcW w:w="1475" w:type="pct"/>
            <w:vAlign w:val="center"/>
          </w:tcPr>
          <w:p w14:paraId="52008559"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Вид Кредита</w:t>
            </w:r>
          </w:p>
        </w:tc>
        <w:tc>
          <w:tcPr>
            <w:tcW w:w="3525" w:type="pct"/>
            <w:vAlign w:val="center"/>
          </w:tcPr>
          <w:p w14:paraId="79087960" w14:textId="77777777" w:rsidR="009D1253" w:rsidRPr="005A07E7" w:rsidRDefault="009D1253" w:rsidP="009D1253">
            <w:pPr>
              <w:pStyle w:val="a9"/>
              <w:tabs>
                <w:tab w:val="left" w:pos="-284"/>
                <w:tab w:val="left" w:pos="851"/>
              </w:tabs>
              <w:spacing w:before="0" w:after="0"/>
              <w:ind w:right="849"/>
              <w:jc w:val="center"/>
              <w:rPr>
                <w:rFonts w:ascii="Tahoma" w:hAnsi="Tahoma" w:cs="Tahoma"/>
              </w:rPr>
            </w:pPr>
            <w:r w:rsidRPr="005A07E7">
              <w:rPr>
                <w:rFonts w:ascii="Tahoma" w:hAnsi="Tahoma" w:cs="Tahoma"/>
              </w:rPr>
              <w:t>Потребительский кредит</w:t>
            </w:r>
          </w:p>
        </w:tc>
      </w:tr>
      <w:tr w:rsidR="009D1253" w:rsidRPr="005A07E7" w14:paraId="62F3CD06" w14:textId="77777777" w:rsidTr="009D1253">
        <w:trPr>
          <w:trHeight w:val="250"/>
        </w:trPr>
        <w:tc>
          <w:tcPr>
            <w:tcW w:w="1475" w:type="pct"/>
            <w:vAlign w:val="center"/>
          </w:tcPr>
          <w:p w14:paraId="14186FF2"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Тип Кредита</w:t>
            </w:r>
          </w:p>
        </w:tc>
        <w:tc>
          <w:tcPr>
            <w:tcW w:w="3525" w:type="pct"/>
            <w:vAlign w:val="center"/>
          </w:tcPr>
          <w:p w14:paraId="088B4C1E" w14:textId="77777777" w:rsidR="009D1253" w:rsidRPr="005A07E7" w:rsidRDefault="009D1253" w:rsidP="009D1253">
            <w:pPr>
              <w:pStyle w:val="a9"/>
              <w:tabs>
                <w:tab w:val="left" w:pos="-284"/>
                <w:tab w:val="left" w:pos="851"/>
              </w:tabs>
              <w:spacing w:before="0" w:after="0"/>
              <w:ind w:right="849"/>
              <w:jc w:val="center"/>
              <w:rPr>
                <w:rFonts w:ascii="Tahoma" w:hAnsi="Tahoma" w:cs="Tahoma"/>
              </w:rPr>
            </w:pPr>
            <w:r w:rsidRPr="005A07E7">
              <w:rPr>
                <w:rFonts w:ascii="Tahoma" w:hAnsi="Tahoma" w:cs="Tahoma"/>
              </w:rPr>
              <w:t>Потребительский кредит под залог приобретенного ТС</w:t>
            </w:r>
          </w:p>
        </w:tc>
      </w:tr>
      <w:tr w:rsidR="009D1253" w:rsidRPr="005A07E7" w14:paraId="1BED9FD4" w14:textId="77777777" w:rsidTr="009D1253">
        <w:trPr>
          <w:trHeight w:val="512"/>
        </w:trPr>
        <w:tc>
          <w:tcPr>
            <w:tcW w:w="1475" w:type="pct"/>
            <w:vAlign w:val="center"/>
          </w:tcPr>
          <w:p w14:paraId="3E0D4CE0"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 xml:space="preserve">Цель Кредита </w:t>
            </w:r>
          </w:p>
        </w:tc>
        <w:tc>
          <w:tcPr>
            <w:tcW w:w="3525" w:type="pct"/>
            <w:vAlign w:val="center"/>
          </w:tcPr>
          <w:p w14:paraId="1F4B0438" w14:textId="77777777" w:rsidR="009D1253" w:rsidRPr="005A07E7" w:rsidRDefault="009D1253" w:rsidP="009D1253">
            <w:pPr>
              <w:pStyle w:val="a9"/>
              <w:tabs>
                <w:tab w:val="left" w:pos="-284"/>
                <w:tab w:val="left" w:pos="851"/>
              </w:tabs>
              <w:spacing w:before="0" w:after="0"/>
              <w:jc w:val="center"/>
              <w:rPr>
                <w:rFonts w:ascii="Tahoma" w:hAnsi="Tahoma" w:cs="Tahoma"/>
              </w:rPr>
            </w:pPr>
            <w:r w:rsidRPr="005A07E7">
              <w:rPr>
                <w:rFonts w:ascii="Tahoma" w:hAnsi="Tahoma" w:cs="Tahoma"/>
              </w:rPr>
              <w:t xml:space="preserve">Приобретение транспортного средства (ТС) (нового или подержанного) отечественной или иностранной марки категории В, или иностранной марки категории </w:t>
            </w:r>
            <w:r w:rsidRPr="005A07E7">
              <w:rPr>
                <w:rFonts w:ascii="Tahoma" w:hAnsi="Tahoma" w:cs="Tahoma"/>
                <w:lang w:val="en-US"/>
              </w:rPr>
              <w:t>D</w:t>
            </w:r>
            <w:r w:rsidRPr="005A07E7">
              <w:rPr>
                <w:rFonts w:ascii="Tahoma" w:hAnsi="Tahoma" w:cs="Tahoma"/>
              </w:rPr>
              <w:t>, а также дополнительно на оплату иных товаров, работ и услуг по выбору Заёмщика</w:t>
            </w:r>
          </w:p>
        </w:tc>
      </w:tr>
      <w:tr w:rsidR="009D1253" w:rsidRPr="005A07E7" w14:paraId="7DBAACD6" w14:textId="77777777" w:rsidTr="009D1253">
        <w:trPr>
          <w:trHeight w:val="455"/>
        </w:trPr>
        <w:tc>
          <w:tcPr>
            <w:tcW w:w="1475" w:type="pct"/>
            <w:vAlign w:val="center"/>
          </w:tcPr>
          <w:p w14:paraId="0619466F"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Подразделения сети/точки продаж, реализующие кредитный продукт</w:t>
            </w:r>
          </w:p>
        </w:tc>
        <w:tc>
          <w:tcPr>
            <w:tcW w:w="3525" w:type="pct"/>
            <w:vAlign w:val="center"/>
          </w:tcPr>
          <w:p w14:paraId="12AFCF91" w14:textId="77777777" w:rsidR="009D1253" w:rsidRPr="005A07E7" w:rsidRDefault="009D1253" w:rsidP="009D1253">
            <w:pPr>
              <w:pStyle w:val="a9"/>
              <w:tabs>
                <w:tab w:val="left" w:pos="-284"/>
                <w:tab w:val="left" w:pos="851"/>
              </w:tabs>
              <w:spacing w:before="0" w:after="0"/>
              <w:jc w:val="center"/>
              <w:rPr>
                <w:rFonts w:ascii="Tahoma" w:hAnsi="Tahoma" w:cs="Tahoma"/>
              </w:rPr>
            </w:pPr>
            <w:r w:rsidRPr="005A07E7">
              <w:rPr>
                <w:rFonts w:ascii="Tahoma" w:hAnsi="Tahoma" w:cs="Tahoma"/>
              </w:rPr>
              <w:t>Все подразделения Банка</w:t>
            </w:r>
          </w:p>
        </w:tc>
      </w:tr>
      <w:tr w:rsidR="009D1253" w:rsidRPr="005A07E7" w14:paraId="426478CF" w14:textId="77777777" w:rsidTr="009D1253">
        <w:trPr>
          <w:trHeight w:val="455"/>
        </w:trPr>
        <w:tc>
          <w:tcPr>
            <w:tcW w:w="1475" w:type="pct"/>
            <w:vAlign w:val="center"/>
          </w:tcPr>
          <w:p w14:paraId="7D8592A9" w14:textId="77777777" w:rsidR="009D1253" w:rsidRPr="005A07E7" w:rsidRDefault="009D1253" w:rsidP="009D1253">
            <w:pPr>
              <w:rPr>
                <w:rFonts w:ascii="Tahoma" w:hAnsi="Tahoma" w:cs="Tahoma"/>
                <w:b/>
                <w:bCs/>
                <w:sz w:val="20"/>
                <w:szCs w:val="20"/>
              </w:rPr>
            </w:pPr>
            <w:r w:rsidRPr="005A07E7">
              <w:rPr>
                <w:rFonts w:ascii="Tahoma" w:hAnsi="Tahoma" w:cs="Tahoma"/>
                <w:b/>
                <w:bCs/>
                <w:sz w:val="20"/>
                <w:szCs w:val="20"/>
              </w:rPr>
              <w:t>Валюта, в которой предоставляется Кредит</w:t>
            </w:r>
          </w:p>
        </w:tc>
        <w:tc>
          <w:tcPr>
            <w:tcW w:w="3525" w:type="pct"/>
            <w:vAlign w:val="center"/>
          </w:tcPr>
          <w:p w14:paraId="08586698" w14:textId="77777777" w:rsidR="009D1253" w:rsidRPr="005A07E7" w:rsidRDefault="009D1253" w:rsidP="009D1253">
            <w:pPr>
              <w:pStyle w:val="a9"/>
              <w:tabs>
                <w:tab w:val="left" w:pos="-284"/>
                <w:tab w:val="left" w:pos="851"/>
              </w:tabs>
              <w:spacing w:before="0" w:after="0"/>
              <w:ind w:right="849"/>
              <w:jc w:val="center"/>
              <w:rPr>
                <w:rFonts w:ascii="Tahoma" w:hAnsi="Tahoma" w:cs="Tahoma"/>
              </w:rPr>
            </w:pPr>
            <w:r w:rsidRPr="005A07E7">
              <w:rPr>
                <w:rFonts w:ascii="Tahoma" w:hAnsi="Tahoma" w:cs="Tahoma"/>
                <w:color w:val="000000"/>
              </w:rPr>
              <w:t>Рубл</w:t>
            </w:r>
            <w:r>
              <w:rPr>
                <w:rFonts w:ascii="Tahoma" w:hAnsi="Tahoma" w:cs="Tahoma"/>
                <w:color w:val="000000"/>
              </w:rPr>
              <w:t>ь</w:t>
            </w:r>
            <w:r w:rsidRPr="005A07E7">
              <w:rPr>
                <w:rFonts w:ascii="Tahoma" w:hAnsi="Tahoma" w:cs="Tahoma"/>
                <w:color w:val="000000"/>
              </w:rPr>
              <w:t xml:space="preserve"> Российской Федерации (далее - рубл</w:t>
            </w:r>
            <w:r>
              <w:rPr>
                <w:rFonts w:ascii="Tahoma" w:hAnsi="Tahoma" w:cs="Tahoma"/>
                <w:color w:val="000000"/>
              </w:rPr>
              <w:t>ь</w:t>
            </w:r>
            <w:r w:rsidRPr="005A07E7">
              <w:rPr>
                <w:rFonts w:ascii="Tahoma" w:hAnsi="Tahoma" w:cs="Tahoma"/>
                <w:color w:val="000000"/>
              </w:rPr>
              <w:t>)</w:t>
            </w:r>
          </w:p>
        </w:tc>
      </w:tr>
      <w:tr w:rsidR="009D1253" w:rsidRPr="005A07E7" w14:paraId="74728C16" w14:textId="77777777" w:rsidTr="009D1253">
        <w:trPr>
          <w:trHeight w:val="455"/>
        </w:trPr>
        <w:tc>
          <w:tcPr>
            <w:tcW w:w="1475" w:type="pct"/>
            <w:shd w:val="clear" w:color="auto" w:fill="auto"/>
            <w:vAlign w:val="center"/>
          </w:tcPr>
          <w:p w14:paraId="237B81C1" w14:textId="77777777" w:rsidR="009D1253" w:rsidRPr="005A07E7" w:rsidRDefault="009D1253" w:rsidP="009D1253">
            <w:pPr>
              <w:rPr>
                <w:rFonts w:ascii="Tahoma" w:hAnsi="Tahoma" w:cs="Tahoma"/>
                <w:b/>
                <w:bCs/>
                <w:sz w:val="20"/>
                <w:szCs w:val="20"/>
              </w:rPr>
            </w:pPr>
            <w:r w:rsidRPr="005A07E7">
              <w:rPr>
                <w:rFonts w:ascii="Tahoma" w:hAnsi="Tahoma" w:cs="Tahoma"/>
                <w:b/>
                <w:sz w:val="20"/>
                <w:szCs w:val="20"/>
              </w:rPr>
              <w:t>Минимальная сумма Кредита</w:t>
            </w:r>
          </w:p>
        </w:tc>
        <w:tc>
          <w:tcPr>
            <w:tcW w:w="3525" w:type="pct"/>
            <w:shd w:val="clear" w:color="auto" w:fill="auto"/>
            <w:vAlign w:val="center"/>
          </w:tcPr>
          <w:p w14:paraId="542D99CF" w14:textId="77777777" w:rsidR="009D1253" w:rsidRPr="005A07E7" w:rsidRDefault="009D1253" w:rsidP="009D1253">
            <w:pPr>
              <w:pStyle w:val="a9"/>
              <w:tabs>
                <w:tab w:val="left" w:pos="-284"/>
                <w:tab w:val="left" w:pos="851"/>
              </w:tabs>
              <w:spacing w:before="0" w:after="0"/>
              <w:ind w:right="849"/>
              <w:jc w:val="center"/>
              <w:rPr>
                <w:rFonts w:ascii="Tahoma" w:hAnsi="Tahoma" w:cs="Tahoma"/>
                <w:color w:val="000000"/>
              </w:rPr>
            </w:pPr>
            <w:r w:rsidRPr="005A07E7">
              <w:rPr>
                <w:rFonts w:ascii="Tahoma" w:hAnsi="Tahoma" w:cs="Tahoma"/>
                <w:color w:val="000000"/>
              </w:rPr>
              <w:t>200 000 рублей</w:t>
            </w:r>
          </w:p>
        </w:tc>
      </w:tr>
      <w:tr w:rsidR="009D1253" w:rsidRPr="005A07E7" w14:paraId="4602C0C1" w14:textId="77777777" w:rsidTr="009D1253">
        <w:trPr>
          <w:trHeight w:val="363"/>
        </w:trPr>
        <w:tc>
          <w:tcPr>
            <w:tcW w:w="1475" w:type="pct"/>
            <w:shd w:val="clear" w:color="auto" w:fill="auto"/>
            <w:vAlign w:val="center"/>
          </w:tcPr>
          <w:p w14:paraId="69752BCA"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Максимальная сумма Кредита</w:t>
            </w:r>
          </w:p>
        </w:tc>
        <w:tc>
          <w:tcPr>
            <w:tcW w:w="3525" w:type="pct"/>
            <w:shd w:val="clear" w:color="auto" w:fill="auto"/>
            <w:vAlign w:val="center"/>
          </w:tcPr>
          <w:p w14:paraId="4F1DD1B4" w14:textId="77777777" w:rsidR="009D1253" w:rsidRPr="005A07E7" w:rsidRDefault="009D1253" w:rsidP="009D1253">
            <w:pPr>
              <w:pStyle w:val="a9"/>
              <w:tabs>
                <w:tab w:val="left" w:pos="-284"/>
                <w:tab w:val="left" w:pos="851"/>
              </w:tabs>
              <w:spacing w:before="0" w:after="0"/>
              <w:ind w:right="849"/>
              <w:jc w:val="center"/>
              <w:rPr>
                <w:rFonts w:ascii="Tahoma" w:hAnsi="Tahoma" w:cs="Tahoma"/>
                <w:color w:val="000000"/>
              </w:rPr>
            </w:pPr>
            <w:r w:rsidRPr="00A96A41">
              <w:rPr>
                <w:rFonts w:ascii="Tahoma" w:hAnsi="Tahoma" w:cs="Tahoma"/>
                <w:color w:val="000000"/>
              </w:rPr>
              <w:t xml:space="preserve">7 000 000 рублей </w:t>
            </w:r>
          </w:p>
        </w:tc>
      </w:tr>
      <w:tr w:rsidR="009D1253" w:rsidRPr="005A07E7" w14:paraId="3F30DF86" w14:textId="77777777" w:rsidTr="009D1253">
        <w:trPr>
          <w:trHeight w:val="558"/>
        </w:trPr>
        <w:tc>
          <w:tcPr>
            <w:tcW w:w="1475" w:type="pct"/>
            <w:shd w:val="clear" w:color="auto" w:fill="auto"/>
            <w:vAlign w:val="center"/>
          </w:tcPr>
          <w:p w14:paraId="72A98833"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 xml:space="preserve">Размер первоначального взноса (ПВ) </w:t>
            </w:r>
          </w:p>
          <w:p w14:paraId="6CDAEF6E"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в % от стоимости ТС</w:t>
            </w:r>
          </w:p>
        </w:tc>
        <w:tc>
          <w:tcPr>
            <w:tcW w:w="3525" w:type="pct"/>
            <w:shd w:val="clear" w:color="auto" w:fill="auto"/>
            <w:vAlign w:val="center"/>
          </w:tcPr>
          <w:p w14:paraId="2620462C" w14:textId="77777777" w:rsidR="009D1253" w:rsidRPr="005A07E7" w:rsidRDefault="009D1253" w:rsidP="009D1253">
            <w:pPr>
              <w:pStyle w:val="a9"/>
              <w:tabs>
                <w:tab w:val="left" w:pos="-284"/>
                <w:tab w:val="left" w:pos="851"/>
              </w:tabs>
              <w:spacing w:before="0" w:after="0"/>
              <w:ind w:right="849"/>
              <w:jc w:val="center"/>
              <w:rPr>
                <w:rFonts w:ascii="Tahoma" w:hAnsi="Tahoma" w:cs="Tahoma"/>
                <w:color w:val="000000"/>
              </w:rPr>
            </w:pPr>
            <w:r w:rsidRPr="005A07E7">
              <w:rPr>
                <w:rFonts w:ascii="Tahoma" w:hAnsi="Tahoma" w:cs="Tahoma"/>
                <w:color w:val="000000"/>
              </w:rPr>
              <w:t>от 0%</w:t>
            </w:r>
          </w:p>
        </w:tc>
      </w:tr>
      <w:tr w:rsidR="009D1253" w:rsidRPr="005A07E7" w14:paraId="12B631EA" w14:textId="77777777" w:rsidTr="009D1253">
        <w:trPr>
          <w:trHeight w:val="408"/>
        </w:trPr>
        <w:tc>
          <w:tcPr>
            <w:tcW w:w="1475" w:type="pct"/>
            <w:shd w:val="clear" w:color="auto" w:fill="auto"/>
            <w:vAlign w:val="center"/>
          </w:tcPr>
          <w:p w14:paraId="50FBF3D7"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Диапазон сроков возврата Кредита</w:t>
            </w:r>
          </w:p>
        </w:tc>
        <w:tc>
          <w:tcPr>
            <w:tcW w:w="3525" w:type="pct"/>
            <w:shd w:val="clear" w:color="auto" w:fill="auto"/>
            <w:vAlign w:val="center"/>
          </w:tcPr>
          <w:p w14:paraId="6CC668FA" w14:textId="77777777" w:rsidR="009D1253" w:rsidRPr="005A07E7" w:rsidRDefault="009D1253" w:rsidP="009D1253">
            <w:pPr>
              <w:tabs>
                <w:tab w:val="left" w:pos="851"/>
              </w:tabs>
              <w:jc w:val="center"/>
              <w:rPr>
                <w:rFonts w:ascii="Tahoma" w:hAnsi="Tahoma" w:cs="Tahoma"/>
                <w:sz w:val="20"/>
                <w:szCs w:val="20"/>
              </w:rPr>
            </w:pPr>
            <w:r w:rsidRPr="005A07E7">
              <w:rPr>
                <w:rFonts w:ascii="Tahoma" w:hAnsi="Tahoma" w:cs="Tahoma"/>
                <w:sz w:val="20"/>
                <w:szCs w:val="20"/>
              </w:rPr>
              <w:t xml:space="preserve">от 24 (двадцати четырех) до </w:t>
            </w:r>
            <w:r>
              <w:rPr>
                <w:rFonts w:ascii="Tahoma" w:hAnsi="Tahoma" w:cs="Tahoma"/>
                <w:sz w:val="20"/>
                <w:szCs w:val="20"/>
              </w:rPr>
              <w:t>120</w:t>
            </w:r>
            <w:r w:rsidRPr="005A07E7">
              <w:rPr>
                <w:rFonts w:ascii="Tahoma" w:hAnsi="Tahoma" w:cs="Tahoma"/>
                <w:sz w:val="20"/>
                <w:szCs w:val="20"/>
              </w:rPr>
              <w:t xml:space="preserve"> (</w:t>
            </w:r>
            <w:r>
              <w:rPr>
                <w:rFonts w:ascii="Tahoma" w:hAnsi="Tahoma" w:cs="Tahoma"/>
                <w:sz w:val="20"/>
                <w:szCs w:val="20"/>
              </w:rPr>
              <w:t>ста двадцати</w:t>
            </w:r>
            <w:r w:rsidRPr="005A07E7">
              <w:rPr>
                <w:rFonts w:ascii="Tahoma" w:hAnsi="Tahoma" w:cs="Tahoma"/>
                <w:sz w:val="20"/>
                <w:szCs w:val="20"/>
              </w:rPr>
              <w:t>) месяцев с шагом в 1 (один) год</w:t>
            </w:r>
          </w:p>
        </w:tc>
      </w:tr>
      <w:tr w:rsidR="009D1253" w:rsidRPr="005A07E7" w14:paraId="121BAE43" w14:textId="77777777" w:rsidTr="009D1253">
        <w:trPr>
          <w:trHeight w:val="834"/>
        </w:trPr>
        <w:tc>
          <w:tcPr>
            <w:tcW w:w="1475" w:type="pct"/>
            <w:vAlign w:val="center"/>
          </w:tcPr>
          <w:p w14:paraId="72A5917B" w14:textId="77777777" w:rsidR="009D1253" w:rsidRPr="005A07E7" w:rsidRDefault="009D1253" w:rsidP="009D1253">
            <w:pPr>
              <w:spacing w:line="216" w:lineRule="auto"/>
              <w:rPr>
                <w:rFonts w:ascii="Tahoma" w:hAnsi="Tahoma" w:cs="Tahoma"/>
                <w:b/>
                <w:sz w:val="20"/>
                <w:szCs w:val="20"/>
              </w:rPr>
            </w:pPr>
            <w:r w:rsidRPr="005A07E7">
              <w:rPr>
                <w:rFonts w:ascii="Tahoma" w:hAnsi="Tahoma" w:cs="Tahoma"/>
                <w:b/>
                <w:sz w:val="20"/>
                <w:szCs w:val="20"/>
              </w:rPr>
              <w:t>Процентная ставка (в процентах годовых)</w:t>
            </w:r>
          </w:p>
        </w:tc>
        <w:tc>
          <w:tcPr>
            <w:tcW w:w="3525" w:type="pct"/>
            <w:shd w:val="clear" w:color="auto" w:fill="auto"/>
            <w:vAlign w:val="center"/>
          </w:tcPr>
          <w:tbl>
            <w:tblPr>
              <w:tblStyle w:val="aff0"/>
              <w:tblpPr w:leftFromText="180" w:rightFromText="180" w:horzAnchor="margin" w:tblpY="1"/>
              <w:tblOverlap w:val="never"/>
              <w:tblW w:w="10543" w:type="dxa"/>
              <w:tblLayout w:type="fixed"/>
              <w:tblLook w:val="05A0" w:firstRow="1" w:lastRow="0" w:firstColumn="1" w:lastColumn="1" w:noHBand="0" w:noVBand="1"/>
            </w:tblPr>
            <w:tblGrid>
              <w:gridCol w:w="2321"/>
              <w:gridCol w:w="2438"/>
              <w:gridCol w:w="1928"/>
              <w:gridCol w:w="1928"/>
              <w:gridCol w:w="1928"/>
            </w:tblGrid>
            <w:tr w:rsidR="009D1253" w:rsidRPr="005A07E7" w14:paraId="56E0AC18" w14:textId="77777777" w:rsidTr="009D1253">
              <w:tc>
                <w:tcPr>
                  <w:tcW w:w="2321" w:type="dxa"/>
                </w:tcPr>
                <w:p w14:paraId="54CB13B8" w14:textId="77777777" w:rsidR="009D1253" w:rsidRPr="005A07E7" w:rsidRDefault="009D1253" w:rsidP="009D1253">
                  <w:pPr>
                    <w:tabs>
                      <w:tab w:val="left" w:pos="6979"/>
                    </w:tabs>
                    <w:ind w:right="176"/>
                    <w:jc w:val="both"/>
                    <w:rPr>
                      <w:rFonts w:ascii="Tahoma" w:hAnsi="Tahoma" w:cs="Tahoma"/>
                      <w:color w:val="000000"/>
                      <w:sz w:val="20"/>
                      <w:szCs w:val="20"/>
                    </w:rPr>
                  </w:pPr>
                </w:p>
              </w:tc>
              <w:tc>
                <w:tcPr>
                  <w:tcW w:w="2438" w:type="dxa"/>
                </w:tcPr>
                <w:p w14:paraId="0DC05363" w14:textId="77777777" w:rsidR="009D1253" w:rsidRPr="005A07E7" w:rsidRDefault="009D1253" w:rsidP="009D1253">
                  <w:pPr>
                    <w:autoSpaceDE w:val="0"/>
                    <w:autoSpaceDN w:val="0"/>
                    <w:adjustRightInd w:val="0"/>
                    <w:jc w:val="center"/>
                    <w:rPr>
                      <w:rFonts w:ascii="Tahoma" w:hAnsi="Tahoma" w:cs="Tahoma"/>
                      <w:color w:val="000000"/>
                      <w:sz w:val="20"/>
                      <w:szCs w:val="20"/>
                    </w:rPr>
                  </w:pPr>
                  <w:r w:rsidRPr="005A07E7">
                    <w:rPr>
                      <w:rFonts w:ascii="Tahoma" w:hAnsi="Tahoma" w:cs="Tahoma"/>
                      <w:color w:val="000000"/>
                      <w:sz w:val="20"/>
                      <w:szCs w:val="20"/>
                    </w:rPr>
                    <w:t>Ставка по Кредиту при отказе от заключения или досрочном*** прекращении договора страхования КАСКО* и личного страхования**</w:t>
                  </w:r>
                </w:p>
              </w:tc>
              <w:tc>
                <w:tcPr>
                  <w:tcW w:w="1928" w:type="dxa"/>
                </w:tcPr>
                <w:p w14:paraId="264BB2C4" w14:textId="77777777" w:rsidR="009D1253" w:rsidRPr="005A07E7" w:rsidRDefault="009D1253" w:rsidP="009D1253">
                  <w:pPr>
                    <w:tabs>
                      <w:tab w:val="left" w:pos="6979"/>
                    </w:tabs>
                    <w:ind w:right="176"/>
                    <w:jc w:val="center"/>
                    <w:rPr>
                      <w:rFonts w:ascii="Tahoma" w:hAnsi="Tahoma" w:cs="Tahoma"/>
                      <w:color w:val="000000"/>
                      <w:sz w:val="20"/>
                      <w:szCs w:val="20"/>
                    </w:rPr>
                  </w:pPr>
                  <w:r w:rsidRPr="005A07E7">
                    <w:rPr>
                      <w:rFonts w:ascii="Tahoma" w:hAnsi="Tahoma" w:cs="Tahoma"/>
                      <w:color w:val="000000"/>
                      <w:sz w:val="20"/>
                      <w:szCs w:val="20"/>
                    </w:rPr>
                    <w:t>Ставка по Кредиту при заключении договора страхования КАСКО*</w:t>
                  </w:r>
                </w:p>
              </w:tc>
              <w:tc>
                <w:tcPr>
                  <w:tcW w:w="1928" w:type="dxa"/>
                </w:tcPr>
                <w:p w14:paraId="4115CCB7" w14:textId="77777777" w:rsidR="009D1253" w:rsidRPr="005A07E7" w:rsidRDefault="009D1253" w:rsidP="009D1253">
                  <w:pPr>
                    <w:tabs>
                      <w:tab w:val="left" w:pos="6979"/>
                    </w:tabs>
                    <w:ind w:right="176"/>
                    <w:jc w:val="center"/>
                    <w:rPr>
                      <w:rFonts w:ascii="Tahoma" w:hAnsi="Tahoma" w:cs="Tahoma"/>
                      <w:color w:val="000000"/>
                      <w:sz w:val="20"/>
                      <w:szCs w:val="20"/>
                    </w:rPr>
                  </w:pPr>
                  <w:r w:rsidRPr="005A07E7">
                    <w:rPr>
                      <w:rFonts w:ascii="Tahoma" w:hAnsi="Tahoma" w:cs="Tahoma"/>
                      <w:color w:val="000000"/>
                      <w:sz w:val="20"/>
                      <w:szCs w:val="20"/>
                    </w:rPr>
                    <w:t>Ставка по Кредиту при заключении договора личного страхования**</w:t>
                  </w:r>
                  <w:r>
                    <w:rPr>
                      <w:rFonts w:ascii="Tahoma" w:hAnsi="Tahoma" w:cs="Tahoma"/>
                      <w:color w:val="000000"/>
                      <w:sz w:val="20"/>
                      <w:szCs w:val="20"/>
                    </w:rPr>
                    <w:t xml:space="preserve"> на срок 12 месяцев</w:t>
                  </w:r>
                </w:p>
              </w:tc>
              <w:tc>
                <w:tcPr>
                  <w:tcW w:w="1928" w:type="dxa"/>
                </w:tcPr>
                <w:p w14:paraId="7C5B5534" w14:textId="77777777" w:rsidR="009D1253" w:rsidRPr="005A07E7" w:rsidRDefault="009D1253" w:rsidP="009D1253">
                  <w:pPr>
                    <w:tabs>
                      <w:tab w:val="left" w:pos="6979"/>
                    </w:tabs>
                    <w:ind w:right="176"/>
                    <w:jc w:val="center"/>
                    <w:rPr>
                      <w:rFonts w:ascii="Tahoma" w:hAnsi="Tahoma" w:cs="Tahoma"/>
                      <w:color w:val="000000"/>
                      <w:sz w:val="20"/>
                      <w:szCs w:val="20"/>
                    </w:rPr>
                  </w:pPr>
                  <w:r w:rsidRPr="005A07E7">
                    <w:rPr>
                      <w:rFonts w:ascii="Tahoma" w:hAnsi="Tahoma" w:cs="Tahoma"/>
                      <w:color w:val="000000"/>
                      <w:sz w:val="20"/>
                      <w:szCs w:val="20"/>
                    </w:rPr>
                    <w:t>Ставка по Кредиту при заключении договора личного страхования**</w:t>
                  </w:r>
                  <w:r>
                    <w:rPr>
                      <w:rFonts w:ascii="Tahoma" w:hAnsi="Tahoma" w:cs="Tahoma"/>
                      <w:color w:val="000000"/>
                      <w:sz w:val="20"/>
                      <w:szCs w:val="20"/>
                    </w:rPr>
                    <w:t xml:space="preserve"> на срок 24 месяца</w:t>
                  </w:r>
                </w:p>
              </w:tc>
            </w:tr>
            <w:tr w:rsidR="009D1253" w:rsidRPr="005A07E7" w14:paraId="04759980" w14:textId="77777777" w:rsidTr="009D1253">
              <w:tc>
                <w:tcPr>
                  <w:tcW w:w="2321" w:type="dxa"/>
                </w:tcPr>
                <w:p w14:paraId="0436E678" w14:textId="77777777" w:rsidR="009D1253" w:rsidRPr="005A07E7" w:rsidRDefault="009D1253" w:rsidP="009D1253">
                  <w:pPr>
                    <w:tabs>
                      <w:tab w:val="left" w:pos="6979"/>
                    </w:tabs>
                    <w:ind w:right="176"/>
                    <w:rPr>
                      <w:rFonts w:ascii="Tahoma" w:hAnsi="Tahoma" w:cs="Tahoma"/>
                      <w:color w:val="000000"/>
                      <w:sz w:val="20"/>
                      <w:szCs w:val="20"/>
                    </w:rPr>
                  </w:pPr>
                  <w:r w:rsidRPr="005A07E7">
                    <w:rPr>
                      <w:rFonts w:ascii="Tahoma" w:hAnsi="Tahoma" w:cs="Tahoma"/>
                      <w:color w:val="000000"/>
                      <w:sz w:val="20"/>
                      <w:szCs w:val="20"/>
                    </w:rPr>
                    <w:t>Для новых ТС</w:t>
                  </w:r>
                </w:p>
              </w:tc>
              <w:tc>
                <w:tcPr>
                  <w:tcW w:w="2438" w:type="dxa"/>
                </w:tcPr>
                <w:p w14:paraId="49344397" w14:textId="77777777" w:rsidR="009D1253" w:rsidRPr="004744FD"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27.99%</w:t>
                  </w:r>
                </w:p>
              </w:tc>
              <w:tc>
                <w:tcPr>
                  <w:tcW w:w="1928" w:type="dxa"/>
                </w:tcPr>
                <w:p w14:paraId="7511C1F5" w14:textId="77777777" w:rsidR="009D1253" w:rsidRPr="004744FD" w:rsidRDefault="009D1253" w:rsidP="009D1253">
                  <w:pPr>
                    <w:tabs>
                      <w:tab w:val="left" w:pos="6979"/>
                    </w:tabs>
                    <w:jc w:val="center"/>
                    <w:rPr>
                      <w:rFonts w:ascii="Tahoma" w:hAnsi="Tahoma" w:cs="Tahoma"/>
                      <w:b/>
                      <w:color w:val="000000"/>
                      <w:sz w:val="20"/>
                      <w:szCs w:val="20"/>
                    </w:rPr>
                  </w:pPr>
                  <w:r>
                    <w:rPr>
                      <w:rFonts w:ascii="Tahoma" w:hAnsi="Tahoma" w:cs="Tahoma"/>
                      <w:b/>
                      <w:color w:val="000000"/>
                      <w:sz w:val="20"/>
                      <w:szCs w:val="20"/>
                    </w:rPr>
                    <w:t>25.99%</w:t>
                  </w:r>
                </w:p>
              </w:tc>
              <w:tc>
                <w:tcPr>
                  <w:tcW w:w="1928" w:type="dxa"/>
                </w:tcPr>
                <w:p w14:paraId="454AC67F" w14:textId="77777777" w:rsidR="009D1253" w:rsidRPr="004744FD"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25.99%</w:t>
                  </w:r>
                </w:p>
              </w:tc>
              <w:tc>
                <w:tcPr>
                  <w:tcW w:w="1928" w:type="dxa"/>
                </w:tcPr>
                <w:p w14:paraId="60ADBE97" w14:textId="77777777" w:rsidR="009D1253"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23.99%</w:t>
                  </w:r>
                </w:p>
              </w:tc>
            </w:tr>
            <w:tr w:rsidR="009D1253" w:rsidRPr="005A07E7" w14:paraId="6C2BACC0" w14:textId="77777777" w:rsidTr="009D1253">
              <w:trPr>
                <w:trHeight w:val="219"/>
              </w:trPr>
              <w:tc>
                <w:tcPr>
                  <w:tcW w:w="2321" w:type="dxa"/>
                </w:tcPr>
                <w:p w14:paraId="2E8E7388" w14:textId="77777777" w:rsidR="009D1253" w:rsidRPr="005A07E7" w:rsidRDefault="009D1253" w:rsidP="009D1253">
                  <w:pPr>
                    <w:tabs>
                      <w:tab w:val="left" w:pos="6979"/>
                    </w:tabs>
                    <w:ind w:right="176"/>
                    <w:rPr>
                      <w:rFonts w:ascii="Tahoma" w:hAnsi="Tahoma" w:cs="Tahoma"/>
                      <w:color w:val="000000"/>
                      <w:sz w:val="20"/>
                      <w:szCs w:val="20"/>
                    </w:rPr>
                  </w:pPr>
                  <w:r w:rsidRPr="005A07E7">
                    <w:rPr>
                      <w:rFonts w:ascii="Tahoma" w:hAnsi="Tahoma" w:cs="Tahoma"/>
                      <w:color w:val="000000"/>
                      <w:sz w:val="20"/>
                      <w:szCs w:val="20"/>
                    </w:rPr>
                    <w:t>Для подержанных ТС</w:t>
                  </w:r>
                </w:p>
              </w:tc>
              <w:tc>
                <w:tcPr>
                  <w:tcW w:w="2438" w:type="dxa"/>
                </w:tcPr>
                <w:p w14:paraId="29F2EC71" w14:textId="77777777" w:rsidR="009D1253" w:rsidRPr="004744FD"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28.99%</w:t>
                  </w:r>
                </w:p>
              </w:tc>
              <w:tc>
                <w:tcPr>
                  <w:tcW w:w="1928" w:type="dxa"/>
                </w:tcPr>
                <w:p w14:paraId="67658231" w14:textId="77777777" w:rsidR="009D1253" w:rsidRPr="004744FD"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26.99%</w:t>
                  </w:r>
                </w:p>
              </w:tc>
              <w:tc>
                <w:tcPr>
                  <w:tcW w:w="1928" w:type="dxa"/>
                </w:tcPr>
                <w:p w14:paraId="3C407528" w14:textId="77777777" w:rsidR="009D1253" w:rsidRPr="004744FD"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26.99%</w:t>
                  </w:r>
                </w:p>
              </w:tc>
              <w:tc>
                <w:tcPr>
                  <w:tcW w:w="1928" w:type="dxa"/>
                </w:tcPr>
                <w:p w14:paraId="0FDB53D4" w14:textId="77777777" w:rsidR="009D1253"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24.99%</w:t>
                  </w:r>
                </w:p>
              </w:tc>
            </w:tr>
          </w:tbl>
          <w:p w14:paraId="628F3F8E" w14:textId="77777777" w:rsidR="009D1253" w:rsidRDefault="009D1253" w:rsidP="009D1253">
            <w:pPr>
              <w:tabs>
                <w:tab w:val="left" w:pos="6979"/>
              </w:tabs>
              <w:ind w:right="176"/>
              <w:jc w:val="both"/>
              <w:rPr>
                <w:rFonts w:ascii="Tahoma" w:hAnsi="Tahoma" w:cs="Tahoma"/>
                <w:color w:val="000000"/>
                <w:sz w:val="20"/>
                <w:szCs w:val="20"/>
              </w:rPr>
            </w:pPr>
          </w:p>
          <w:p w14:paraId="2C860387" w14:textId="77777777" w:rsidR="009D1253" w:rsidRPr="005A07E7" w:rsidRDefault="009D1253" w:rsidP="009D1253">
            <w:pPr>
              <w:tabs>
                <w:tab w:val="left" w:pos="6979"/>
              </w:tabs>
              <w:ind w:right="176"/>
              <w:jc w:val="both"/>
              <w:rPr>
                <w:rFonts w:ascii="Tahoma" w:hAnsi="Tahoma" w:cs="Tahoma"/>
                <w:color w:val="000000"/>
                <w:sz w:val="20"/>
                <w:szCs w:val="20"/>
              </w:rPr>
            </w:pPr>
            <w:r w:rsidRPr="005A07E7">
              <w:rPr>
                <w:rFonts w:ascii="Tahoma" w:hAnsi="Tahoma" w:cs="Tahoma"/>
                <w:color w:val="000000"/>
                <w:sz w:val="20"/>
                <w:szCs w:val="20"/>
              </w:rPr>
              <w:t xml:space="preserve">При предоставлении </w:t>
            </w:r>
            <w:r>
              <w:rPr>
                <w:rFonts w:ascii="Tahoma" w:hAnsi="Tahoma" w:cs="Tahoma"/>
                <w:color w:val="000000"/>
                <w:sz w:val="20"/>
                <w:szCs w:val="20"/>
              </w:rPr>
              <w:t>Банку</w:t>
            </w:r>
            <w:r w:rsidRPr="005A07E7">
              <w:rPr>
                <w:rFonts w:ascii="Tahoma" w:hAnsi="Tahoma" w:cs="Tahoma"/>
                <w:color w:val="000000"/>
                <w:sz w:val="20"/>
                <w:szCs w:val="20"/>
              </w:rPr>
              <w:t xml:space="preserve"> сведений о состоянии индивидуального лицевого счета застрахованного лица (форма СЗИ-ИЛС) процентная ставка снижается на 1 процентный пункт единоразово на момент рассмотрения заявки на Кредит.</w:t>
            </w:r>
          </w:p>
          <w:p w14:paraId="2C421CD3" w14:textId="77777777" w:rsidR="009D1253" w:rsidRPr="00ED6334" w:rsidRDefault="009D1253" w:rsidP="009D1253">
            <w:pPr>
              <w:tabs>
                <w:tab w:val="left" w:pos="1080"/>
                <w:tab w:val="left" w:pos="7548"/>
              </w:tabs>
              <w:ind w:right="208"/>
              <w:jc w:val="both"/>
              <w:rPr>
                <w:rFonts w:ascii="Tahoma" w:hAnsi="Tahoma" w:cs="Tahoma"/>
                <w:sz w:val="16"/>
                <w:szCs w:val="18"/>
              </w:rPr>
            </w:pPr>
            <w:r w:rsidRPr="00ED6334">
              <w:rPr>
                <w:rFonts w:ascii="Tahoma" w:hAnsi="Tahoma" w:cs="Tahoma"/>
                <w:sz w:val="16"/>
                <w:szCs w:val="18"/>
              </w:rPr>
              <w:lastRenderedPageBreak/>
              <w:t xml:space="preserve">*При оформлении страхового продукта КАСКО, на срок не менее 12 (двенадцати) месяцев, с рисками, описанными в п.п.1-3 раздела «Информация о страховании» настоящего документа. </w:t>
            </w:r>
          </w:p>
          <w:p w14:paraId="7F5888C4" w14:textId="77777777" w:rsidR="009D1253" w:rsidRPr="00ED6334" w:rsidRDefault="009D1253" w:rsidP="009D1253">
            <w:pPr>
              <w:tabs>
                <w:tab w:val="left" w:pos="6979"/>
                <w:tab w:val="left" w:pos="7548"/>
              </w:tabs>
              <w:ind w:right="176"/>
              <w:jc w:val="both"/>
              <w:rPr>
                <w:rFonts w:ascii="Tahoma" w:hAnsi="Tahoma" w:cs="Tahoma"/>
                <w:sz w:val="16"/>
                <w:szCs w:val="18"/>
              </w:rPr>
            </w:pPr>
            <w:r w:rsidRPr="00ED6334">
              <w:rPr>
                <w:rFonts w:ascii="Tahoma" w:hAnsi="Tahoma" w:cs="Tahoma"/>
                <w:sz w:val="16"/>
                <w:szCs w:val="18"/>
              </w:rPr>
              <w:t>**Личное страхование с рисками, указанными в п.4 раздела «Информация о страховании» настоящего документа.</w:t>
            </w:r>
            <w:r w:rsidRPr="00ED6334">
              <w:rPr>
                <w:rFonts w:ascii="Tahoma" w:hAnsi="Tahoma" w:cs="Tahoma"/>
                <w:sz w:val="22"/>
              </w:rPr>
              <w:t xml:space="preserve"> </w:t>
            </w:r>
          </w:p>
          <w:p w14:paraId="0283B74D" w14:textId="77777777" w:rsidR="009D1253" w:rsidRPr="005A07E7" w:rsidRDefault="009D1253" w:rsidP="009D1253">
            <w:pPr>
              <w:tabs>
                <w:tab w:val="left" w:pos="6979"/>
              </w:tabs>
              <w:ind w:right="176"/>
              <w:jc w:val="both"/>
              <w:rPr>
                <w:rFonts w:ascii="Tahoma" w:hAnsi="Tahoma" w:cs="Tahoma"/>
                <w:color w:val="000000"/>
                <w:sz w:val="20"/>
                <w:szCs w:val="20"/>
              </w:rPr>
            </w:pPr>
            <w:r w:rsidRPr="00ED6334">
              <w:rPr>
                <w:rFonts w:ascii="Tahoma" w:hAnsi="Tahoma" w:cs="Tahoma"/>
                <w:sz w:val="16"/>
                <w:szCs w:val="18"/>
              </w:rPr>
              <w:t>*** В случае досрочного прекращения Заёмщиком Договора страхования КАСКО или Личного страхования, а также в случае заключения Договора страхования КАСКО или Личного страхования, не соответствующего требованиям, указанным в разделе «Информация о страховании» настоящего документа, Банк вправе принять решение об увеличении процентной ставки. Процентная ставка определяется в соответствии с условиями кредитной программы Банка до меньшей из величин процентной ставки на момент принятия решения об увеличении процентной ставки: до уровня процентной ставки, действовавшей на момент заключения договора потребительского кредита или на момент принятия решения об увеличении процентной ставки по договору потребительского кредита на сопоставимых (сумма, срок возврата потребительского кредита, размер первоначального взноса) условиях потребительского кредита без учета заключения договора страхования, начиная с тридцать первого дня, следующего за днем прекращения договора страхового продукта.</w:t>
            </w:r>
          </w:p>
        </w:tc>
      </w:tr>
      <w:tr w:rsidR="009D1253" w:rsidRPr="005A07E7" w14:paraId="7E00ACC0" w14:textId="77777777" w:rsidTr="009D1253">
        <w:trPr>
          <w:trHeight w:val="554"/>
        </w:trPr>
        <w:tc>
          <w:tcPr>
            <w:tcW w:w="1475" w:type="pct"/>
            <w:vAlign w:val="center"/>
          </w:tcPr>
          <w:p w14:paraId="4AF8F70A" w14:textId="77777777" w:rsidR="009D1253" w:rsidRPr="005A07E7" w:rsidRDefault="009D1253" w:rsidP="009D1253">
            <w:pPr>
              <w:rPr>
                <w:rFonts w:ascii="Tahoma" w:hAnsi="Tahoma" w:cs="Tahoma"/>
                <w:b/>
                <w:sz w:val="20"/>
                <w:szCs w:val="20"/>
              </w:rPr>
            </w:pPr>
            <w:r w:rsidRPr="005A07E7">
              <w:rPr>
                <w:rFonts w:ascii="Tahoma" w:hAnsi="Tahoma" w:cs="Tahoma"/>
                <w:b/>
                <w:bCs/>
                <w:color w:val="000000" w:themeColor="text1"/>
                <w:sz w:val="20"/>
                <w:szCs w:val="20"/>
              </w:rPr>
              <w:lastRenderedPageBreak/>
              <w:t>Диапазон полной стоимости Кредита в процентном  и денежном выражении в порядке, установленном Федеральным законом от 21.12.2013 №353-ФЗ «О потребительском кредите (займе)»</w:t>
            </w:r>
          </w:p>
        </w:tc>
        <w:tc>
          <w:tcPr>
            <w:tcW w:w="3525" w:type="pct"/>
            <w:shd w:val="clear" w:color="auto" w:fill="auto"/>
            <w:vAlign w:val="center"/>
          </w:tcPr>
          <w:p w14:paraId="4C2A1C0A" w14:textId="77777777" w:rsidR="009D1253" w:rsidRPr="00C02E6F" w:rsidRDefault="009D1253" w:rsidP="009D1253">
            <w:pPr>
              <w:jc w:val="center"/>
              <w:rPr>
                <w:rFonts w:ascii="Tahoma" w:hAnsi="Tahoma" w:cs="Tahoma"/>
                <w:color w:val="000000"/>
                <w:sz w:val="20"/>
                <w:szCs w:val="20"/>
              </w:rPr>
            </w:pPr>
            <w:r>
              <w:rPr>
                <w:rFonts w:ascii="Tahoma" w:hAnsi="Tahoma" w:cs="Tahoma"/>
                <w:color w:val="000000"/>
                <w:sz w:val="20"/>
                <w:szCs w:val="20"/>
              </w:rPr>
              <w:t>22.973</w:t>
            </w:r>
            <w:r w:rsidRPr="00C02E6F">
              <w:rPr>
                <w:rFonts w:ascii="Tahoma" w:hAnsi="Tahoma" w:cs="Tahoma"/>
                <w:color w:val="000000"/>
                <w:sz w:val="20"/>
                <w:szCs w:val="20"/>
              </w:rPr>
              <w:t>% –</w:t>
            </w:r>
            <w:r>
              <w:rPr>
                <w:rFonts w:ascii="Tahoma" w:hAnsi="Tahoma" w:cs="Tahoma"/>
                <w:color w:val="000000"/>
                <w:sz w:val="20"/>
                <w:szCs w:val="20"/>
              </w:rPr>
              <w:t>28.969</w:t>
            </w:r>
            <w:r w:rsidRPr="00C02E6F">
              <w:rPr>
                <w:rFonts w:ascii="Tahoma" w:hAnsi="Tahoma" w:cs="Tahoma"/>
                <w:color w:val="000000"/>
                <w:sz w:val="20"/>
                <w:szCs w:val="20"/>
              </w:rPr>
              <w:t>% годовых;</w:t>
            </w:r>
          </w:p>
          <w:p w14:paraId="06828A92" w14:textId="77777777" w:rsidR="009D1253" w:rsidRDefault="009D1253" w:rsidP="009D1253">
            <w:pPr>
              <w:jc w:val="center"/>
              <w:rPr>
                <w:rFonts w:ascii="Tahoma" w:hAnsi="Tahoma" w:cs="Tahoma"/>
                <w:color w:val="000000"/>
                <w:sz w:val="20"/>
                <w:szCs w:val="20"/>
              </w:rPr>
            </w:pPr>
            <w:r>
              <w:rPr>
                <w:rFonts w:ascii="Tahoma" w:hAnsi="Tahoma" w:cs="Tahoma"/>
                <w:color w:val="000000"/>
                <w:sz w:val="20"/>
                <w:szCs w:val="20"/>
              </w:rPr>
              <w:t xml:space="preserve">51 327.36 </w:t>
            </w:r>
            <w:r w:rsidRPr="00C02E6F">
              <w:rPr>
                <w:rFonts w:ascii="Tahoma" w:hAnsi="Tahoma" w:cs="Tahoma"/>
                <w:color w:val="000000"/>
                <w:sz w:val="20"/>
                <w:szCs w:val="20"/>
              </w:rPr>
              <w:t xml:space="preserve"> руб. –</w:t>
            </w:r>
            <w:r w:rsidRPr="005F7378">
              <w:rPr>
                <w:rFonts w:ascii="Tahoma" w:hAnsi="Tahoma" w:cs="Tahoma"/>
                <w:color w:val="000000"/>
                <w:sz w:val="20"/>
                <w:szCs w:val="20"/>
              </w:rPr>
              <w:t xml:space="preserve"> </w:t>
            </w:r>
            <w:r w:rsidRPr="004A2661">
              <w:rPr>
                <w:rFonts w:ascii="Tahoma" w:hAnsi="Tahoma" w:cs="Tahoma"/>
                <w:color w:val="000000"/>
                <w:sz w:val="20"/>
                <w:szCs w:val="20"/>
              </w:rPr>
              <w:t>14 504 465,48</w:t>
            </w:r>
            <w:r>
              <w:rPr>
                <w:rFonts w:ascii="Tahoma" w:hAnsi="Tahoma" w:cs="Tahoma"/>
                <w:color w:val="000000"/>
                <w:sz w:val="20"/>
                <w:szCs w:val="20"/>
              </w:rPr>
              <w:t xml:space="preserve"> </w:t>
            </w:r>
            <w:r w:rsidRPr="00C02E6F">
              <w:rPr>
                <w:rFonts w:ascii="Tahoma" w:hAnsi="Tahoma" w:cs="Tahoma"/>
                <w:color w:val="000000"/>
                <w:sz w:val="20"/>
                <w:szCs w:val="20"/>
              </w:rPr>
              <w:t>руб.</w:t>
            </w:r>
          </w:p>
          <w:p w14:paraId="590ABBD5" w14:textId="77777777" w:rsidR="009D1253" w:rsidRDefault="009D1253" w:rsidP="009D1253">
            <w:pPr>
              <w:pStyle w:val="aff1"/>
              <w:jc w:val="both"/>
              <w:rPr>
                <w:rFonts w:ascii="Tahoma" w:eastAsiaTheme="minorHAnsi" w:hAnsi="Tahoma" w:cs="Tahoma"/>
                <w:sz w:val="18"/>
                <w:szCs w:val="18"/>
                <w:lang w:eastAsia="en-US"/>
              </w:rPr>
            </w:pPr>
            <w:r w:rsidRPr="00AE1093">
              <w:rPr>
                <w:rFonts w:ascii="Tahoma" w:eastAsiaTheme="minorHAnsi" w:hAnsi="Tahoma" w:cs="Tahoma"/>
                <w:sz w:val="18"/>
                <w:szCs w:val="18"/>
                <w:lang w:eastAsia="en-US"/>
              </w:rPr>
              <w:t>Расчет минимального значения ПСК произведен с использованием параметров: минимальная сумма Кредита (</w:t>
            </w:r>
            <w:r>
              <w:rPr>
                <w:rFonts w:ascii="Tahoma" w:eastAsiaTheme="minorHAnsi" w:hAnsi="Tahoma" w:cs="Tahoma"/>
                <w:sz w:val="18"/>
                <w:szCs w:val="18"/>
                <w:lang w:eastAsia="en-US"/>
              </w:rPr>
              <w:t>2</w:t>
            </w:r>
            <w:r w:rsidRPr="00AE1093">
              <w:rPr>
                <w:rFonts w:ascii="Tahoma" w:eastAsiaTheme="minorHAnsi" w:hAnsi="Tahoma" w:cs="Tahoma"/>
                <w:sz w:val="18"/>
                <w:szCs w:val="18"/>
                <w:lang w:eastAsia="en-US"/>
              </w:rPr>
              <w:t>00 000 рублей), минимальный срок (</w:t>
            </w:r>
            <w:r>
              <w:rPr>
                <w:rFonts w:ascii="Tahoma" w:eastAsiaTheme="minorHAnsi" w:hAnsi="Tahoma" w:cs="Tahoma"/>
                <w:sz w:val="18"/>
                <w:szCs w:val="18"/>
                <w:lang w:eastAsia="en-US"/>
              </w:rPr>
              <w:t>24</w:t>
            </w:r>
            <w:r w:rsidRPr="00AE1093">
              <w:rPr>
                <w:rFonts w:ascii="Tahoma" w:eastAsiaTheme="minorHAnsi" w:hAnsi="Tahoma" w:cs="Tahoma"/>
                <w:sz w:val="18"/>
                <w:szCs w:val="18"/>
                <w:lang w:eastAsia="en-US"/>
              </w:rPr>
              <w:t xml:space="preserve"> мес</w:t>
            </w:r>
            <w:r>
              <w:rPr>
                <w:rFonts w:ascii="Tahoma" w:eastAsiaTheme="minorHAnsi" w:hAnsi="Tahoma" w:cs="Tahoma"/>
                <w:sz w:val="18"/>
                <w:szCs w:val="18"/>
                <w:lang w:eastAsia="en-US"/>
              </w:rPr>
              <w:t>яца), минимальная ставка (22.99</w:t>
            </w:r>
            <w:r w:rsidRPr="00AE1093">
              <w:rPr>
                <w:rFonts w:ascii="Tahoma" w:eastAsiaTheme="minorHAnsi" w:hAnsi="Tahoma" w:cs="Tahoma"/>
                <w:sz w:val="18"/>
                <w:szCs w:val="18"/>
                <w:lang w:eastAsia="en-US"/>
              </w:rPr>
              <w:t>% годовых</w:t>
            </w:r>
            <w:r>
              <w:rPr>
                <w:rFonts w:ascii="Tahoma" w:eastAsiaTheme="minorHAnsi" w:hAnsi="Tahoma" w:cs="Tahoma"/>
                <w:sz w:val="18"/>
                <w:szCs w:val="18"/>
                <w:lang w:eastAsia="en-US"/>
              </w:rPr>
              <w:t xml:space="preserve"> </w:t>
            </w:r>
            <w:r w:rsidRPr="00AE1093">
              <w:rPr>
                <w:rFonts w:ascii="Tahoma" w:eastAsiaTheme="minorHAnsi" w:hAnsi="Tahoma" w:cs="Tahoma"/>
                <w:sz w:val="18"/>
                <w:szCs w:val="18"/>
                <w:lang w:eastAsia="en-US"/>
              </w:rPr>
              <w:t>для лиц с инвалидностью</w:t>
            </w:r>
            <w:r>
              <w:rPr>
                <w:rFonts w:ascii="Tahoma" w:eastAsiaTheme="minorHAnsi" w:hAnsi="Tahoma" w:cs="Tahoma"/>
                <w:sz w:val="18"/>
                <w:szCs w:val="18"/>
                <w:lang w:eastAsia="en-US"/>
              </w:rPr>
              <w:t xml:space="preserve"> и с учетом </w:t>
            </w:r>
            <w:r w:rsidRPr="00CA5973">
              <w:rPr>
                <w:rFonts w:ascii="Tahoma" w:eastAsiaTheme="minorHAnsi" w:hAnsi="Tahoma" w:cs="Tahoma"/>
                <w:sz w:val="18"/>
                <w:szCs w:val="18"/>
                <w:lang w:eastAsia="en-US"/>
              </w:rPr>
              <w:t xml:space="preserve">снижения процентной ставки при предоставлении </w:t>
            </w:r>
            <w:r>
              <w:rPr>
                <w:rFonts w:ascii="Tahoma" w:eastAsiaTheme="minorHAnsi" w:hAnsi="Tahoma" w:cs="Tahoma"/>
                <w:sz w:val="18"/>
                <w:szCs w:val="18"/>
                <w:lang w:eastAsia="en-US"/>
              </w:rPr>
              <w:t>Банку</w:t>
            </w:r>
            <w:r w:rsidRPr="00CA5973">
              <w:rPr>
                <w:rFonts w:ascii="Tahoma" w:eastAsiaTheme="minorHAnsi" w:hAnsi="Tahoma" w:cs="Tahoma"/>
                <w:sz w:val="18"/>
                <w:szCs w:val="18"/>
                <w:lang w:eastAsia="en-US"/>
              </w:rPr>
              <w:t xml:space="preserve"> сведений о состоянии индивидуального лицевого счета застрахованного лица (форма СЗИ-ИЛС))</w:t>
            </w:r>
            <w:r>
              <w:rPr>
                <w:rFonts w:ascii="Tahoma" w:eastAsiaTheme="minorHAnsi" w:hAnsi="Tahoma" w:cs="Tahoma"/>
                <w:sz w:val="18"/>
                <w:szCs w:val="18"/>
                <w:lang w:eastAsia="en-US"/>
              </w:rPr>
              <w:t>.</w:t>
            </w:r>
          </w:p>
          <w:p w14:paraId="0BD4CE72" w14:textId="77777777" w:rsidR="009D1253" w:rsidRPr="00B975F2" w:rsidRDefault="009D1253" w:rsidP="009D1253">
            <w:pPr>
              <w:jc w:val="both"/>
              <w:rPr>
                <w:rFonts w:ascii="Tahoma" w:hAnsi="Tahoma" w:cs="Tahoma"/>
                <w:sz w:val="18"/>
                <w:szCs w:val="18"/>
              </w:rPr>
            </w:pPr>
            <w:r w:rsidRPr="00AE1093">
              <w:rPr>
                <w:rFonts w:ascii="Tahoma" w:hAnsi="Tahoma" w:cs="Tahoma"/>
                <w:sz w:val="18"/>
                <w:szCs w:val="18"/>
              </w:rPr>
              <w:t>Расчет максимального значения ПСК произведен с использованием параметров: максимальная сумма Кредита (</w:t>
            </w:r>
            <w:r>
              <w:rPr>
                <w:rFonts w:ascii="Tahoma" w:hAnsi="Tahoma" w:cs="Tahoma"/>
                <w:sz w:val="18"/>
                <w:szCs w:val="18"/>
              </w:rPr>
              <w:t>7 0</w:t>
            </w:r>
            <w:r w:rsidRPr="00AE1093">
              <w:rPr>
                <w:rFonts w:ascii="Tahoma" w:hAnsi="Tahoma" w:cs="Tahoma"/>
                <w:sz w:val="18"/>
                <w:szCs w:val="18"/>
              </w:rPr>
              <w:t>00 000 рублей), максимальный срок (</w:t>
            </w:r>
            <w:r>
              <w:rPr>
                <w:rFonts w:ascii="Tahoma" w:hAnsi="Tahoma" w:cs="Tahoma"/>
                <w:sz w:val="18"/>
                <w:szCs w:val="18"/>
              </w:rPr>
              <w:t>120 месяцев), максимальная ставка (28.99</w:t>
            </w:r>
            <w:r w:rsidRPr="00AE1093">
              <w:rPr>
                <w:rFonts w:ascii="Tahoma" w:hAnsi="Tahoma" w:cs="Tahoma"/>
                <w:sz w:val="18"/>
                <w:szCs w:val="18"/>
              </w:rPr>
              <w:t>%</w:t>
            </w:r>
            <w:r>
              <w:rPr>
                <w:rFonts w:ascii="Tahoma" w:hAnsi="Tahoma" w:cs="Tahoma"/>
                <w:sz w:val="18"/>
                <w:szCs w:val="18"/>
              </w:rPr>
              <w:t xml:space="preserve"> </w:t>
            </w:r>
            <w:r w:rsidRPr="00AE1093">
              <w:rPr>
                <w:rFonts w:ascii="Tahoma" w:hAnsi="Tahoma" w:cs="Tahoma"/>
                <w:sz w:val="18"/>
                <w:szCs w:val="18"/>
              </w:rPr>
              <w:t>годовых</w:t>
            </w:r>
            <w:r>
              <w:rPr>
                <w:rFonts w:ascii="Tahoma" w:hAnsi="Tahoma" w:cs="Tahoma"/>
                <w:sz w:val="18"/>
                <w:szCs w:val="18"/>
              </w:rPr>
              <w:t>)</w:t>
            </w:r>
          </w:p>
        </w:tc>
      </w:tr>
      <w:tr w:rsidR="009D1253" w:rsidRPr="005A07E7" w14:paraId="1E200584" w14:textId="77777777" w:rsidTr="009D1253">
        <w:trPr>
          <w:trHeight w:val="554"/>
        </w:trPr>
        <w:tc>
          <w:tcPr>
            <w:tcW w:w="1475" w:type="pct"/>
          </w:tcPr>
          <w:p w14:paraId="7AF02A92" w14:textId="77777777" w:rsidR="009D1253" w:rsidRPr="005A07E7" w:rsidRDefault="009D1253" w:rsidP="009D1253">
            <w:pPr>
              <w:tabs>
                <w:tab w:val="left" w:pos="851"/>
              </w:tabs>
              <w:rPr>
                <w:rFonts w:ascii="Tahoma" w:hAnsi="Tahoma" w:cs="Tahoma"/>
                <w:b/>
                <w:sz w:val="20"/>
                <w:szCs w:val="20"/>
              </w:rPr>
            </w:pPr>
            <w:r w:rsidRPr="005A07E7">
              <w:rPr>
                <w:rFonts w:ascii="Tahoma" w:hAnsi="Tahoma" w:cs="Tahoma"/>
                <w:b/>
                <w:sz w:val="20"/>
                <w:szCs w:val="20"/>
              </w:rPr>
              <w:t>Информация о страховании</w:t>
            </w:r>
          </w:p>
        </w:tc>
        <w:tc>
          <w:tcPr>
            <w:tcW w:w="3525" w:type="pct"/>
            <w:shd w:val="clear" w:color="auto" w:fill="auto"/>
          </w:tcPr>
          <w:p w14:paraId="6A9E27BC" w14:textId="77777777" w:rsidR="009D1253" w:rsidRDefault="009D1253" w:rsidP="009D1253">
            <w:pPr>
              <w:tabs>
                <w:tab w:val="left" w:pos="6979"/>
              </w:tabs>
              <w:ind w:right="176"/>
              <w:jc w:val="both"/>
              <w:rPr>
                <w:rFonts w:ascii="Tahoma" w:hAnsi="Tahoma" w:cs="Tahoma"/>
                <w:color w:val="000000"/>
                <w:sz w:val="20"/>
                <w:szCs w:val="20"/>
                <w:u w:val="single"/>
              </w:rPr>
            </w:pPr>
            <w:r w:rsidRPr="005A07E7">
              <w:rPr>
                <w:rFonts w:ascii="Tahoma" w:hAnsi="Tahoma" w:cs="Tahoma"/>
                <w:color w:val="000000"/>
                <w:sz w:val="20"/>
                <w:szCs w:val="20"/>
              </w:rPr>
              <w:t xml:space="preserve">При выборе Заёмщиком условий кредитования для приобретения нового или подержанного ТС с заключением Договора страхования КАСКО или Личного страхования, необходимо оформление договора (полиса) страхования </w:t>
            </w:r>
            <w:r>
              <w:rPr>
                <w:rFonts w:ascii="Tahoma" w:hAnsi="Tahoma" w:cs="Tahoma"/>
                <w:color w:val="000000"/>
                <w:sz w:val="20"/>
                <w:szCs w:val="20"/>
              </w:rPr>
              <w:t>в котором в</w:t>
            </w:r>
            <w:r w:rsidRPr="008D26EE">
              <w:rPr>
                <w:rFonts w:ascii="Tahoma" w:hAnsi="Tahoma" w:cs="Tahoma"/>
                <w:color w:val="000000"/>
                <w:sz w:val="20"/>
                <w:szCs w:val="20"/>
              </w:rPr>
              <w:t xml:space="preserve">ыгодоприобретателем в размере задолженности Заемщика </w:t>
            </w:r>
            <w:r>
              <w:rPr>
                <w:rFonts w:ascii="Tahoma" w:hAnsi="Tahoma" w:cs="Tahoma"/>
                <w:color w:val="000000"/>
                <w:sz w:val="20"/>
                <w:szCs w:val="20"/>
              </w:rPr>
              <w:t xml:space="preserve">будет </w:t>
            </w:r>
            <w:r w:rsidRPr="008D26EE">
              <w:rPr>
                <w:rFonts w:ascii="Tahoma" w:hAnsi="Tahoma" w:cs="Tahoma"/>
                <w:color w:val="000000"/>
                <w:sz w:val="20"/>
                <w:szCs w:val="20"/>
              </w:rPr>
              <w:t xml:space="preserve">указан </w:t>
            </w:r>
            <w:r w:rsidRPr="00B2133F">
              <w:rPr>
                <w:rFonts w:ascii="Tahoma" w:hAnsi="Tahoma" w:cs="Tahoma"/>
                <w:color w:val="000000"/>
                <w:sz w:val="20"/>
                <w:szCs w:val="20"/>
              </w:rPr>
              <w:t>«Аз</w:t>
            </w:r>
            <w:r>
              <w:rPr>
                <w:rFonts w:ascii="Tahoma" w:hAnsi="Tahoma" w:cs="Tahoma"/>
                <w:color w:val="000000"/>
                <w:sz w:val="20"/>
                <w:szCs w:val="20"/>
              </w:rPr>
              <w:t>иатско-Тихоокеанский Банк» (АО)</w:t>
            </w:r>
            <w:r w:rsidRPr="008D26EE">
              <w:rPr>
                <w:rFonts w:ascii="Tahoma" w:hAnsi="Tahoma" w:cs="Tahoma"/>
                <w:color w:val="000000"/>
                <w:sz w:val="20"/>
                <w:szCs w:val="20"/>
              </w:rPr>
              <w:t>, за исключением случаев, когда он выступает страховым агентом при заключении договора страхования</w:t>
            </w:r>
            <w:r>
              <w:rPr>
                <w:rFonts w:ascii="Tahoma" w:hAnsi="Tahoma" w:cs="Tahoma"/>
                <w:color w:val="000000"/>
                <w:sz w:val="20"/>
                <w:szCs w:val="20"/>
              </w:rPr>
              <w:t>.</w:t>
            </w:r>
          </w:p>
          <w:p w14:paraId="50674B83" w14:textId="77777777" w:rsidR="009D1253" w:rsidRPr="005A07E7" w:rsidRDefault="009D1253" w:rsidP="009D1253">
            <w:pPr>
              <w:ind w:right="176"/>
              <w:jc w:val="both"/>
              <w:rPr>
                <w:rFonts w:ascii="Tahoma" w:hAnsi="Tahoma" w:cs="Tahoma"/>
                <w:color w:val="00B050"/>
                <w:sz w:val="20"/>
                <w:szCs w:val="20"/>
              </w:rPr>
            </w:pPr>
            <w:r w:rsidRPr="005A07E7">
              <w:rPr>
                <w:rFonts w:ascii="Tahoma" w:hAnsi="Tahoma" w:cs="Tahoma"/>
                <w:color w:val="000000"/>
                <w:sz w:val="20"/>
                <w:szCs w:val="20"/>
                <w:u w:val="single"/>
              </w:rPr>
              <w:t>КАСКО:</w:t>
            </w:r>
            <w:r w:rsidRPr="005A07E7">
              <w:rPr>
                <w:rFonts w:ascii="Tahoma" w:hAnsi="Tahoma" w:cs="Tahoma"/>
                <w:color w:val="000000"/>
                <w:sz w:val="20"/>
                <w:szCs w:val="20"/>
              </w:rPr>
              <w:t xml:space="preserve"> </w:t>
            </w:r>
          </w:p>
          <w:p w14:paraId="25C8AFDE" w14:textId="77777777" w:rsidR="009D1253" w:rsidRPr="005A07E7" w:rsidRDefault="009D1253" w:rsidP="009D1253">
            <w:pPr>
              <w:tabs>
                <w:tab w:val="left" w:pos="6979"/>
              </w:tabs>
              <w:ind w:right="176"/>
              <w:jc w:val="both"/>
              <w:rPr>
                <w:rFonts w:ascii="Tahoma" w:hAnsi="Tahoma" w:cs="Tahoma"/>
                <w:color w:val="000000"/>
                <w:sz w:val="20"/>
                <w:szCs w:val="20"/>
              </w:rPr>
            </w:pPr>
            <w:r w:rsidRPr="005A07E7">
              <w:rPr>
                <w:rFonts w:ascii="Tahoma" w:hAnsi="Tahoma" w:cs="Tahoma"/>
                <w:color w:val="000000"/>
                <w:sz w:val="20"/>
                <w:szCs w:val="20"/>
              </w:rPr>
              <w:t>Покрываемые риски</w:t>
            </w:r>
            <w:r>
              <w:rPr>
                <w:rFonts w:ascii="Tahoma" w:hAnsi="Tahoma" w:cs="Tahoma"/>
                <w:color w:val="000000"/>
                <w:sz w:val="20"/>
                <w:szCs w:val="20"/>
              </w:rPr>
              <w:t>, которые должны быть указаны в договоре страхования</w:t>
            </w:r>
            <w:r w:rsidRPr="005A07E7">
              <w:rPr>
                <w:rFonts w:ascii="Tahoma" w:hAnsi="Tahoma" w:cs="Tahoma"/>
                <w:color w:val="000000"/>
                <w:sz w:val="20"/>
                <w:szCs w:val="20"/>
              </w:rPr>
              <w:t xml:space="preserve">: </w:t>
            </w:r>
          </w:p>
          <w:p w14:paraId="1F0F91DF" w14:textId="77777777" w:rsidR="009D1253" w:rsidRPr="005A07E7" w:rsidRDefault="009D1253" w:rsidP="009D1253">
            <w:pPr>
              <w:tabs>
                <w:tab w:val="left" w:pos="6979"/>
              </w:tabs>
              <w:ind w:right="176"/>
              <w:jc w:val="both"/>
              <w:rPr>
                <w:rFonts w:ascii="Tahoma" w:hAnsi="Tahoma" w:cs="Tahoma"/>
                <w:color w:val="000000"/>
                <w:sz w:val="20"/>
                <w:szCs w:val="20"/>
              </w:rPr>
            </w:pPr>
            <w:r w:rsidRPr="005A07E7">
              <w:rPr>
                <w:rFonts w:ascii="Tahoma" w:hAnsi="Tahoma" w:cs="Tahoma"/>
                <w:color w:val="000000"/>
                <w:sz w:val="20"/>
                <w:szCs w:val="20"/>
              </w:rPr>
              <w:t xml:space="preserve">1. Ущерб с выплатой на условиях </w:t>
            </w:r>
            <w:r>
              <w:rPr>
                <w:rFonts w:ascii="Tahoma" w:hAnsi="Tahoma" w:cs="Tahoma"/>
                <w:color w:val="000000"/>
                <w:sz w:val="20"/>
                <w:szCs w:val="20"/>
              </w:rPr>
              <w:t>п</w:t>
            </w:r>
            <w:r w:rsidRPr="005A07E7">
              <w:rPr>
                <w:rFonts w:ascii="Tahoma" w:hAnsi="Tahoma" w:cs="Tahoma"/>
                <w:color w:val="000000"/>
                <w:sz w:val="20"/>
                <w:szCs w:val="20"/>
              </w:rPr>
              <w:t>олная гибель</w:t>
            </w:r>
            <w:r>
              <w:rPr>
                <w:rFonts w:ascii="Tahoma" w:hAnsi="Tahoma" w:cs="Tahoma"/>
                <w:color w:val="000000"/>
                <w:sz w:val="20"/>
                <w:szCs w:val="20"/>
              </w:rPr>
              <w:t xml:space="preserve"> ТС</w:t>
            </w:r>
            <w:r w:rsidRPr="005A07E7">
              <w:rPr>
                <w:rFonts w:ascii="Tahoma" w:hAnsi="Tahoma" w:cs="Tahoma"/>
                <w:color w:val="000000"/>
                <w:sz w:val="20"/>
                <w:szCs w:val="20"/>
              </w:rPr>
              <w:t xml:space="preserve">; </w:t>
            </w:r>
          </w:p>
          <w:p w14:paraId="335BD0A9" w14:textId="77777777" w:rsidR="009D1253" w:rsidRPr="005A07E7" w:rsidRDefault="009D1253" w:rsidP="009D1253">
            <w:pPr>
              <w:tabs>
                <w:tab w:val="left" w:pos="6979"/>
              </w:tabs>
              <w:ind w:right="176"/>
              <w:jc w:val="both"/>
              <w:rPr>
                <w:rFonts w:ascii="Tahoma" w:hAnsi="Tahoma" w:cs="Tahoma"/>
                <w:color w:val="000000"/>
                <w:sz w:val="20"/>
                <w:szCs w:val="20"/>
              </w:rPr>
            </w:pPr>
            <w:r w:rsidRPr="005A07E7">
              <w:rPr>
                <w:rFonts w:ascii="Tahoma" w:hAnsi="Tahoma" w:cs="Tahoma"/>
                <w:color w:val="000000"/>
                <w:sz w:val="20"/>
                <w:szCs w:val="20"/>
              </w:rPr>
              <w:t>2. Хищение по ст.158, 161, 162 УК РФ, Угон;</w:t>
            </w:r>
          </w:p>
          <w:p w14:paraId="6460A328" w14:textId="77777777" w:rsidR="009D1253" w:rsidRPr="005A07E7" w:rsidRDefault="009D1253" w:rsidP="009D1253">
            <w:pPr>
              <w:tabs>
                <w:tab w:val="left" w:pos="6979"/>
              </w:tabs>
              <w:ind w:right="176"/>
              <w:jc w:val="both"/>
              <w:rPr>
                <w:rFonts w:ascii="Tahoma" w:hAnsi="Tahoma" w:cs="Tahoma"/>
                <w:color w:val="000000"/>
                <w:sz w:val="20"/>
                <w:szCs w:val="20"/>
                <w:u w:val="single"/>
              </w:rPr>
            </w:pPr>
            <w:r w:rsidRPr="005A07E7">
              <w:rPr>
                <w:rFonts w:ascii="Tahoma" w:hAnsi="Tahoma" w:cs="Tahoma"/>
                <w:color w:val="000000"/>
                <w:sz w:val="20"/>
                <w:szCs w:val="20"/>
              </w:rPr>
              <w:t xml:space="preserve">3. Ущерб в результате самовозгорания с выплатой в случае </w:t>
            </w:r>
            <w:r>
              <w:rPr>
                <w:rFonts w:ascii="Tahoma" w:hAnsi="Tahoma" w:cs="Tahoma"/>
                <w:color w:val="000000"/>
                <w:sz w:val="20"/>
                <w:szCs w:val="20"/>
              </w:rPr>
              <w:t>п</w:t>
            </w:r>
            <w:r w:rsidRPr="005A07E7">
              <w:rPr>
                <w:rFonts w:ascii="Tahoma" w:hAnsi="Tahoma" w:cs="Tahoma"/>
                <w:color w:val="000000"/>
                <w:sz w:val="20"/>
                <w:szCs w:val="20"/>
              </w:rPr>
              <w:t>олной гибели</w:t>
            </w:r>
            <w:r>
              <w:rPr>
                <w:rFonts w:ascii="Tahoma" w:hAnsi="Tahoma" w:cs="Tahoma"/>
                <w:color w:val="000000"/>
                <w:sz w:val="20"/>
                <w:szCs w:val="20"/>
              </w:rPr>
              <w:t xml:space="preserve"> ТС.</w:t>
            </w:r>
          </w:p>
          <w:p w14:paraId="6A602579" w14:textId="77777777" w:rsidR="009D1253" w:rsidRPr="005A07E7" w:rsidRDefault="009D1253" w:rsidP="009D1253">
            <w:pPr>
              <w:tabs>
                <w:tab w:val="left" w:pos="6979"/>
              </w:tabs>
              <w:ind w:right="176"/>
              <w:jc w:val="both"/>
              <w:rPr>
                <w:rFonts w:ascii="Tahoma" w:hAnsi="Tahoma" w:cs="Tahoma"/>
                <w:color w:val="000000"/>
                <w:sz w:val="20"/>
                <w:szCs w:val="20"/>
              </w:rPr>
            </w:pPr>
            <w:r w:rsidRPr="005A07E7">
              <w:rPr>
                <w:rFonts w:ascii="Tahoma" w:hAnsi="Tahoma" w:cs="Tahoma"/>
                <w:color w:val="000000"/>
                <w:sz w:val="20"/>
                <w:szCs w:val="20"/>
              </w:rPr>
              <w:t>и</w:t>
            </w:r>
          </w:p>
          <w:p w14:paraId="058A7B09" w14:textId="77777777" w:rsidR="009D1253" w:rsidRPr="005A07E7" w:rsidRDefault="009D1253" w:rsidP="009D1253">
            <w:pPr>
              <w:tabs>
                <w:tab w:val="left" w:pos="6979"/>
              </w:tabs>
              <w:ind w:right="176"/>
              <w:jc w:val="both"/>
              <w:rPr>
                <w:rFonts w:ascii="Tahoma" w:hAnsi="Tahoma" w:cs="Tahoma"/>
                <w:color w:val="000000"/>
                <w:sz w:val="20"/>
                <w:szCs w:val="20"/>
              </w:rPr>
            </w:pPr>
            <w:r w:rsidRPr="005A07E7">
              <w:rPr>
                <w:rFonts w:ascii="Tahoma" w:hAnsi="Tahoma" w:cs="Tahoma"/>
                <w:color w:val="000000"/>
                <w:sz w:val="20"/>
                <w:szCs w:val="20"/>
                <w:u w:val="single"/>
              </w:rPr>
              <w:t xml:space="preserve">Личное страхование: </w:t>
            </w:r>
            <w:r>
              <w:rPr>
                <w:rFonts w:ascii="Tahoma" w:hAnsi="Tahoma" w:cs="Tahoma"/>
                <w:color w:val="000000"/>
                <w:sz w:val="20"/>
                <w:szCs w:val="20"/>
                <w:u w:val="single"/>
              </w:rPr>
              <w:t>(</w:t>
            </w:r>
            <w:r>
              <w:rPr>
                <w:rFonts w:ascii="Tahoma" w:hAnsi="Tahoma" w:cs="Tahoma"/>
                <w:i/>
                <w:color w:val="000000"/>
                <w:sz w:val="20"/>
                <w:szCs w:val="20"/>
              </w:rPr>
              <w:t>о</w:t>
            </w:r>
            <w:r w:rsidRPr="005A07E7">
              <w:rPr>
                <w:rFonts w:ascii="Tahoma" w:hAnsi="Tahoma" w:cs="Tahoma"/>
                <w:i/>
                <w:color w:val="000000"/>
                <w:sz w:val="20"/>
                <w:szCs w:val="20"/>
              </w:rPr>
              <w:t>формление данного вида страхования не применимо для лиц с инвалидностью (ЛСИ)</w:t>
            </w:r>
            <w:r>
              <w:rPr>
                <w:rFonts w:ascii="Tahoma" w:hAnsi="Tahoma" w:cs="Tahoma"/>
                <w:i/>
                <w:color w:val="000000"/>
                <w:sz w:val="20"/>
                <w:szCs w:val="20"/>
              </w:rPr>
              <w:t>*)</w:t>
            </w:r>
            <w:r w:rsidRPr="005A07E7">
              <w:rPr>
                <w:rFonts w:ascii="Tahoma" w:hAnsi="Tahoma" w:cs="Tahoma"/>
                <w:i/>
                <w:color w:val="000000"/>
                <w:sz w:val="20"/>
                <w:szCs w:val="20"/>
              </w:rPr>
              <w:t xml:space="preserve">. </w:t>
            </w:r>
          </w:p>
          <w:p w14:paraId="2C9EC736" w14:textId="77777777" w:rsidR="009D1253" w:rsidRPr="005A07E7" w:rsidRDefault="009D1253" w:rsidP="009D1253">
            <w:pPr>
              <w:tabs>
                <w:tab w:val="left" w:pos="6979"/>
              </w:tabs>
              <w:ind w:right="176"/>
              <w:jc w:val="both"/>
              <w:rPr>
                <w:rFonts w:ascii="Tahoma" w:hAnsi="Tahoma" w:cs="Tahoma"/>
                <w:color w:val="000000"/>
                <w:sz w:val="20"/>
                <w:szCs w:val="20"/>
              </w:rPr>
            </w:pPr>
            <w:r w:rsidRPr="005A07E7">
              <w:rPr>
                <w:rFonts w:ascii="Tahoma" w:hAnsi="Tahoma" w:cs="Tahoma"/>
                <w:color w:val="000000"/>
                <w:sz w:val="20"/>
                <w:szCs w:val="20"/>
              </w:rPr>
              <w:t>Покрываемые риски</w:t>
            </w:r>
            <w:r>
              <w:rPr>
                <w:rFonts w:ascii="Tahoma" w:hAnsi="Tahoma" w:cs="Tahoma"/>
                <w:color w:val="000000"/>
                <w:sz w:val="20"/>
                <w:szCs w:val="20"/>
              </w:rPr>
              <w:t>, которые должны быть указаны в договоре страхования</w:t>
            </w:r>
            <w:r w:rsidRPr="005A07E7">
              <w:rPr>
                <w:rFonts w:ascii="Tahoma" w:hAnsi="Tahoma" w:cs="Tahoma"/>
                <w:color w:val="000000"/>
                <w:sz w:val="20"/>
                <w:szCs w:val="20"/>
              </w:rPr>
              <w:t xml:space="preserve">: </w:t>
            </w:r>
          </w:p>
          <w:p w14:paraId="624D2C45" w14:textId="77777777" w:rsidR="009D1253" w:rsidRPr="005A07E7" w:rsidRDefault="009D1253" w:rsidP="009D1253">
            <w:pPr>
              <w:tabs>
                <w:tab w:val="left" w:pos="6979"/>
              </w:tabs>
              <w:ind w:right="176"/>
              <w:rPr>
                <w:rFonts w:ascii="Tahoma" w:hAnsi="Tahoma" w:cs="Tahoma"/>
                <w:sz w:val="20"/>
                <w:szCs w:val="20"/>
              </w:rPr>
            </w:pPr>
            <w:r w:rsidRPr="005A07E7">
              <w:rPr>
                <w:rFonts w:ascii="Tahoma" w:hAnsi="Tahoma" w:cs="Tahoma"/>
                <w:color w:val="000000"/>
                <w:sz w:val="20"/>
                <w:szCs w:val="20"/>
              </w:rPr>
              <w:t>Травмы в результате несчастного случая</w:t>
            </w:r>
            <w:r>
              <w:rPr>
                <w:rFonts w:ascii="Tahoma" w:hAnsi="Tahoma" w:cs="Tahoma"/>
                <w:color w:val="000000"/>
                <w:sz w:val="20"/>
                <w:szCs w:val="20"/>
              </w:rPr>
              <w:t xml:space="preserve"> </w:t>
            </w:r>
            <w:r w:rsidRPr="00C33CDE">
              <w:rPr>
                <w:rFonts w:ascii="Tahoma" w:hAnsi="Tahoma" w:cs="Tahoma"/>
                <w:color w:val="000000"/>
                <w:sz w:val="20"/>
                <w:szCs w:val="20"/>
              </w:rPr>
              <w:t>(по тексту - НС), хирургическая операция в результате НС</w:t>
            </w:r>
            <w:r w:rsidRPr="005A07E7">
              <w:rPr>
                <w:rFonts w:ascii="Tahoma" w:hAnsi="Tahoma" w:cs="Tahoma"/>
                <w:color w:val="000000"/>
                <w:sz w:val="20"/>
                <w:szCs w:val="20"/>
              </w:rPr>
              <w:t xml:space="preserve">, </w:t>
            </w:r>
            <w:r w:rsidRPr="005A07E7">
              <w:rPr>
                <w:rFonts w:ascii="Tahoma" w:hAnsi="Tahoma" w:cs="Tahoma"/>
                <w:sz w:val="20"/>
                <w:szCs w:val="20"/>
              </w:rPr>
              <w:t>смерть по любой причине (ЛП), установление инвалидности 1-й и 2 группы, в том числе в результате болезни.</w:t>
            </w:r>
            <w:r w:rsidRPr="00C33CDE">
              <w:rPr>
                <w:rFonts w:ascii="Tahoma" w:eastAsiaTheme="minorHAnsi" w:hAnsi="Tahoma" w:cs="Tahoma"/>
                <w:sz w:val="18"/>
                <w:szCs w:val="18"/>
                <w:lang w:eastAsia="en-US"/>
              </w:rPr>
              <w:t xml:space="preserve"> </w:t>
            </w:r>
            <w:r w:rsidRPr="003C2E4F">
              <w:rPr>
                <w:rFonts w:ascii="Tahoma" w:hAnsi="Tahoma" w:cs="Tahoma"/>
                <w:sz w:val="20"/>
                <w:szCs w:val="20"/>
              </w:rPr>
              <w:t xml:space="preserve">При этом, не </w:t>
            </w:r>
            <w:r>
              <w:rPr>
                <w:rFonts w:ascii="Tahoma" w:eastAsia="Calibri" w:hAnsi="Tahoma" w:cs="Tahoma"/>
                <w:sz w:val="20"/>
                <w:szCs w:val="20"/>
              </w:rPr>
              <w:t xml:space="preserve">должны быть </w:t>
            </w:r>
            <w:r w:rsidRPr="003C2E4F">
              <w:rPr>
                <w:rFonts w:ascii="Tahoma" w:hAnsi="Tahoma" w:cs="Tahoma"/>
                <w:sz w:val="20"/>
                <w:szCs w:val="20"/>
              </w:rPr>
              <w:t>исключением из застрахованных рисков события, произошедшие в результате болезни Заемщика, прямо/ косвенно связанной с ВИЧ инфекцией/СПИД</w:t>
            </w:r>
            <w:r w:rsidRPr="00C33CDE">
              <w:rPr>
                <w:rFonts w:ascii="Tahoma" w:hAnsi="Tahoma" w:cs="Tahoma"/>
                <w:sz w:val="20"/>
                <w:szCs w:val="20"/>
              </w:rPr>
              <w:t>.</w:t>
            </w:r>
          </w:p>
          <w:p w14:paraId="45A8421C" w14:textId="77777777" w:rsidR="009D1253" w:rsidRDefault="009D1253" w:rsidP="009D1253">
            <w:pPr>
              <w:ind w:right="176"/>
              <w:rPr>
                <w:rFonts w:ascii="Tahoma" w:hAnsi="Tahoma" w:cs="Tahoma"/>
                <w:color w:val="000000"/>
                <w:sz w:val="20"/>
                <w:szCs w:val="20"/>
              </w:rPr>
            </w:pPr>
            <w:r w:rsidRPr="005A07E7">
              <w:rPr>
                <w:rFonts w:ascii="Tahoma" w:hAnsi="Tahoma" w:cs="Tahoma"/>
                <w:color w:val="000000"/>
                <w:sz w:val="20"/>
                <w:szCs w:val="20"/>
              </w:rPr>
              <w:t>По желанию Заёмщика страховая премия по договору страхования может быть оплачена за счет Кредита при выполнении указанных в настоящем пункте условий к договору (полису) страхования.</w:t>
            </w:r>
          </w:p>
          <w:p w14:paraId="62FD0D5A" w14:textId="77777777" w:rsidR="009D1253" w:rsidRDefault="009D1253" w:rsidP="009D1253">
            <w:pPr>
              <w:ind w:right="176"/>
              <w:rPr>
                <w:rFonts w:ascii="Tahoma" w:hAnsi="Tahoma" w:cs="Tahoma"/>
                <w:color w:val="000000"/>
                <w:sz w:val="20"/>
                <w:szCs w:val="20"/>
              </w:rPr>
            </w:pPr>
          </w:p>
          <w:p w14:paraId="20F62617" w14:textId="77777777" w:rsidR="009D1253" w:rsidRPr="005A07E7" w:rsidRDefault="009D1253" w:rsidP="009D1253">
            <w:pPr>
              <w:ind w:right="176"/>
              <w:rPr>
                <w:sz w:val="20"/>
                <w:szCs w:val="20"/>
              </w:rPr>
            </w:pPr>
            <w:r w:rsidRPr="00D763AC">
              <w:rPr>
                <w:rFonts w:ascii="Tahoma" w:hAnsi="Tahoma" w:cs="Tahoma"/>
                <w:color w:val="000000"/>
                <w:sz w:val="20"/>
                <w:szCs w:val="20"/>
              </w:rPr>
              <w:t>* для ЛСИ применяется размер процентной ставки за пользование кредитом, соответствующий выбору условий кредитования с процентной ставкой, предусматривающей заключение Личного страхования (без заключения ЛСИ соответствующего договора), при условии оформления ЛСИ Договора страхования КАСКО, соответствующего требованиям настоящег</w:t>
            </w:r>
            <w:r>
              <w:rPr>
                <w:rFonts w:ascii="Tahoma" w:hAnsi="Tahoma" w:cs="Tahoma"/>
                <w:color w:val="000000"/>
                <w:sz w:val="20"/>
                <w:szCs w:val="20"/>
              </w:rPr>
              <w:t>о документа, и предоставлении документа, подтверждающего статус ЛСИ.</w:t>
            </w:r>
          </w:p>
        </w:tc>
      </w:tr>
      <w:tr w:rsidR="009D1253" w:rsidRPr="005A07E7" w14:paraId="5B8FADAB"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699"/>
        </w:trPr>
        <w:tc>
          <w:tcPr>
            <w:tcW w:w="1475" w:type="pct"/>
            <w:tcBorders>
              <w:left w:val="single" w:sz="4" w:space="0" w:color="auto"/>
              <w:right w:val="single" w:sz="4" w:space="0" w:color="auto"/>
            </w:tcBorders>
            <w:vAlign w:val="center"/>
          </w:tcPr>
          <w:p w14:paraId="4D806588" w14:textId="77777777" w:rsidR="009D1253" w:rsidRPr="005A07E7" w:rsidRDefault="009D1253" w:rsidP="009D1253">
            <w:pPr>
              <w:rPr>
                <w:rFonts w:ascii="Tahoma" w:hAnsi="Tahoma" w:cs="Tahoma"/>
                <w:sz w:val="20"/>
                <w:szCs w:val="20"/>
              </w:rPr>
            </w:pPr>
            <w:r w:rsidRPr="005A07E7">
              <w:rPr>
                <w:rFonts w:ascii="Tahoma" w:hAnsi="Tahoma" w:cs="Tahoma"/>
                <w:b/>
                <w:sz w:val="20"/>
                <w:szCs w:val="20"/>
              </w:rPr>
              <w:lastRenderedPageBreak/>
              <w:t>Требования к Заёмщику, которые установлены Кредитором и выполнение которых является обязательным для предоставления Кредита</w:t>
            </w:r>
          </w:p>
        </w:tc>
        <w:tc>
          <w:tcPr>
            <w:tcW w:w="3525" w:type="pct"/>
            <w:tcBorders>
              <w:top w:val="single" w:sz="4" w:space="0" w:color="auto"/>
              <w:left w:val="nil"/>
              <w:bottom w:val="single" w:sz="4" w:space="0" w:color="auto"/>
              <w:right w:val="single" w:sz="8" w:space="0" w:color="000000"/>
            </w:tcBorders>
            <w:noWrap/>
            <w:vAlign w:val="center"/>
          </w:tcPr>
          <w:p w14:paraId="51C3DE4F"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гражданство Российской Федерации;</w:t>
            </w:r>
          </w:p>
          <w:p w14:paraId="6234569D"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адрес постоянной регистрации и фактическое место жительства Заёмщика – все регионы РФ;</w:t>
            </w:r>
          </w:p>
          <w:p w14:paraId="0CEB9DAE"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возраст Заёмщика не менее 21 года (на момент оформления Кредита) и не более 70 лет (на момент окончания действия срока возврата Кредита) включительно;</w:t>
            </w:r>
          </w:p>
          <w:p w14:paraId="460CCB1E"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Заёмщик имеет официальное место работы (либо является ИП) и</w:t>
            </w:r>
            <w:r>
              <w:rPr>
                <w:rFonts w:ascii="Tahoma" w:hAnsi="Tahoma" w:cs="Tahoma"/>
                <w:sz w:val="20"/>
                <w:szCs w:val="20"/>
              </w:rPr>
              <w:t>(или)</w:t>
            </w:r>
            <w:r w:rsidRPr="005A07E7">
              <w:rPr>
                <w:rFonts w:ascii="Tahoma" w:hAnsi="Tahoma" w:cs="Tahoma"/>
                <w:sz w:val="20"/>
                <w:szCs w:val="20"/>
              </w:rPr>
              <w:t xml:space="preserve"> постоянный источник дохода;</w:t>
            </w:r>
          </w:p>
          <w:p w14:paraId="73D90C7F"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Заёмщик не имеет официального места работы, при условии достижения пенсионного возраста, и получающий социальную пенсию;</w:t>
            </w:r>
          </w:p>
          <w:p w14:paraId="68C152BB"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xml:space="preserve">- стаж на последнем месте работы не менее 3 месяцев. </w:t>
            </w:r>
            <w:r w:rsidRPr="005A07E7">
              <w:rPr>
                <w:rFonts w:ascii="Tahoma" w:hAnsi="Tahoma" w:cs="Tahoma"/>
              </w:rPr>
              <w:fldChar w:fldCharType="begin"/>
            </w:r>
            <w:r w:rsidRPr="005A07E7">
              <w:rPr>
                <w:rFonts w:ascii="Tahoma" w:hAnsi="Tahoma" w:cs="Tahoma"/>
              </w:rPr>
              <w:instrText xml:space="preserve"> DOCVARIABLE  КЛИЕНТ </w:instrText>
            </w:r>
            <w:r w:rsidRPr="005A07E7">
              <w:rPr>
                <w:rFonts w:ascii="Tahoma" w:hAnsi="Tahoma" w:cs="Tahoma"/>
              </w:rPr>
              <w:fldChar w:fldCharType="end"/>
            </w:r>
          </w:p>
        </w:tc>
      </w:tr>
      <w:tr w:rsidR="009D1253" w:rsidRPr="005A07E7" w14:paraId="2F9829AB"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558"/>
        </w:trPr>
        <w:tc>
          <w:tcPr>
            <w:tcW w:w="1475" w:type="pct"/>
            <w:tcBorders>
              <w:top w:val="single" w:sz="4" w:space="0" w:color="auto"/>
              <w:left w:val="single" w:sz="8" w:space="0" w:color="auto"/>
              <w:bottom w:val="single" w:sz="4" w:space="0" w:color="auto"/>
              <w:right w:val="single" w:sz="4" w:space="0" w:color="auto"/>
            </w:tcBorders>
            <w:vAlign w:val="center"/>
          </w:tcPr>
          <w:p w14:paraId="32065BE1"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Перечень документов, необходимых для рассмотрения заявления о предоставлении Кредита, в том числе для оценки кредитоспособности Заёмщика (в случае необходимости могут быть запрошены дополнительные документы)</w:t>
            </w:r>
          </w:p>
        </w:tc>
        <w:tc>
          <w:tcPr>
            <w:tcW w:w="3525" w:type="pct"/>
            <w:tcBorders>
              <w:top w:val="single" w:sz="4" w:space="0" w:color="auto"/>
              <w:left w:val="nil"/>
              <w:bottom w:val="single" w:sz="4" w:space="0" w:color="auto"/>
              <w:right w:val="single" w:sz="8" w:space="0" w:color="000000"/>
            </w:tcBorders>
            <w:shd w:val="clear" w:color="auto" w:fill="auto"/>
            <w:noWrap/>
            <w:vAlign w:val="center"/>
          </w:tcPr>
          <w:p w14:paraId="38FF89A6" w14:textId="77777777" w:rsidR="009D1253" w:rsidRPr="005A07E7" w:rsidRDefault="009D1253" w:rsidP="009D1253">
            <w:pPr>
              <w:pStyle w:val="a9"/>
              <w:numPr>
                <w:ilvl w:val="0"/>
                <w:numId w:val="73"/>
              </w:numPr>
              <w:tabs>
                <w:tab w:val="left" w:pos="0"/>
                <w:tab w:val="left" w:pos="268"/>
              </w:tabs>
              <w:spacing w:before="0" w:after="0"/>
              <w:ind w:left="0" w:firstLine="0"/>
              <w:rPr>
                <w:rFonts w:ascii="Tahoma" w:hAnsi="Tahoma" w:cs="Tahoma"/>
                <w:b/>
                <w:sz w:val="18"/>
                <w:szCs w:val="18"/>
                <w:lang w:eastAsia="en-US"/>
              </w:rPr>
            </w:pPr>
            <w:r w:rsidRPr="005A07E7">
              <w:rPr>
                <w:rFonts w:ascii="Tahoma" w:hAnsi="Tahoma" w:cs="Tahoma"/>
                <w:b/>
                <w:sz w:val="18"/>
                <w:szCs w:val="18"/>
                <w:lang w:eastAsia="en-US"/>
              </w:rPr>
              <w:t>Пакет документов для приобретаемого Заёмщиком за счет кредитных средств Банка ТС</w:t>
            </w:r>
          </w:p>
          <w:p w14:paraId="3E508703" w14:textId="77777777" w:rsidR="009D1253" w:rsidRPr="00181C60" w:rsidRDefault="009D1253" w:rsidP="009D1253">
            <w:pPr>
              <w:pStyle w:val="a9"/>
              <w:tabs>
                <w:tab w:val="left" w:pos="0"/>
              </w:tabs>
              <w:spacing w:before="0" w:after="0"/>
              <w:rPr>
                <w:rFonts w:ascii="Tahoma" w:hAnsi="Tahoma" w:cs="Tahoma"/>
                <w:sz w:val="18"/>
                <w:szCs w:val="18"/>
              </w:rPr>
            </w:pPr>
            <w:r>
              <w:rPr>
                <w:rFonts w:ascii="Tahoma" w:hAnsi="Tahoma" w:cs="Tahoma"/>
                <w:sz w:val="18"/>
                <w:szCs w:val="18"/>
                <w:lang w:eastAsia="en-US"/>
              </w:rPr>
              <w:t>О</w:t>
            </w:r>
            <w:r w:rsidRPr="005A07E7">
              <w:rPr>
                <w:rFonts w:ascii="Tahoma" w:hAnsi="Tahoma" w:cs="Tahoma"/>
                <w:sz w:val="18"/>
                <w:szCs w:val="18"/>
                <w:lang w:eastAsia="en-US"/>
              </w:rPr>
              <w:t>ригиналы ПТС (допускается прием дубликата ПТС)</w:t>
            </w:r>
            <w:r>
              <w:rPr>
                <w:rFonts w:ascii="Tahoma" w:hAnsi="Tahoma" w:cs="Tahoma"/>
                <w:sz w:val="18"/>
                <w:szCs w:val="18"/>
                <w:lang w:eastAsia="en-US"/>
              </w:rPr>
              <w:t>/</w:t>
            </w:r>
            <w:r w:rsidRPr="005A07E7">
              <w:rPr>
                <w:rFonts w:ascii="Tahoma" w:hAnsi="Tahoma" w:cs="Tahoma"/>
                <w:sz w:val="18"/>
                <w:szCs w:val="18"/>
                <w:lang w:eastAsia="en-US"/>
              </w:rPr>
              <w:t xml:space="preserve"> выписка из Электронного паспорта ТС </w:t>
            </w:r>
            <w:r>
              <w:rPr>
                <w:rFonts w:ascii="Tahoma" w:hAnsi="Tahoma" w:cs="Tahoma"/>
                <w:sz w:val="18"/>
                <w:szCs w:val="18"/>
                <w:lang w:eastAsia="en-US"/>
              </w:rPr>
              <w:t xml:space="preserve">(далее – выписка ЭПТС) </w:t>
            </w:r>
            <w:r w:rsidRPr="0080478B">
              <w:rPr>
                <w:rFonts w:ascii="Tahoma" w:hAnsi="Tahoma" w:cs="Tahoma"/>
                <w:sz w:val="18"/>
                <w:szCs w:val="18"/>
              </w:rPr>
              <w:t>в статусе «действующий</w:t>
            </w:r>
            <w:r>
              <w:rPr>
                <w:rFonts w:ascii="Tahoma" w:hAnsi="Tahoma" w:cs="Tahoma"/>
                <w:sz w:val="18"/>
                <w:szCs w:val="18"/>
              </w:rPr>
              <w:t>» / «незавершенный» (</w:t>
            </w:r>
            <w:r w:rsidRPr="00181C60">
              <w:rPr>
                <w:rFonts w:ascii="Tahoma" w:hAnsi="Tahoma" w:cs="Tahoma"/>
                <w:sz w:val="18"/>
                <w:szCs w:val="18"/>
              </w:rPr>
              <w:t>не требуется при приобретении за счет кредитных средств нового ТС марки: Honda, Lada, Voyah, Omoda, Livan, Jetour, Jaecoo, Evolute, Москвич, Changan, Haval, SkyWell</w:t>
            </w:r>
            <w:r>
              <w:rPr>
                <w:rFonts w:ascii="Tahoma" w:hAnsi="Tahoma" w:cs="Tahoma"/>
                <w:sz w:val="18"/>
                <w:szCs w:val="18"/>
              </w:rPr>
              <w:t>)</w:t>
            </w:r>
          </w:p>
          <w:p w14:paraId="32585289" w14:textId="77777777" w:rsidR="009D1253" w:rsidRDefault="009D1253" w:rsidP="009D1253">
            <w:pPr>
              <w:tabs>
                <w:tab w:val="left" w:pos="6979"/>
              </w:tabs>
              <w:rPr>
                <w:rFonts w:ascii="Tahoma" w:hAnsi="Tahoma" w:cs="Tahoma"/>
                <w:sz w:val="18"/>
                <w:szCs w:val="18"/>
              </w:rPr>
            </w:pPr>
          </w:p>
          <w:p w14:paraId="01632073" w14:textId="77777777" w:rsidR="009D1253" w:rsidRDefault="009D1253" w:rsidP="009D1253">
            <w:pPr>
              <w:pStyle w:val="a9"/>
              <w:spacing w:before="0" w:after="0"/>
              <w:rPr>
                <w:rFonts w:ascii="Tahoma" w:hAnsi="Tahoma" w:cs="Tahoma"/>
                <w:sz w:val="18"/>
                <w:szCs w:val="18"/>
              </w:rPr>
            </w:pPr>
            <w:r>
              <w:rPr>
                <w:rFonts w:ascii="Tahoma" w:hAnsi="Tahoma" w:cs="Tahoma"/>
                <w:sz w:val="18"/>
                <w:szCs w:val="18"/>
              </w:rPr>
              <w:t xml:space="preserve">Полномочия юридического лица / ИП на реализацию ТС подтверждаются одним из следующих документов: договором купли-продажи, </w:t>
            </w:r>
            <w:r w:rsidRPr="001901B1">
              <w:rPr>
                <w:rFonts w:ascii="Tahoma" w:hAnsi="Tahoma" w:cs="Tahoma"/>
                <w:sz w:val="18"/>
                <w:szCs w:val="18"/>
              </w:rPr>
              <w:t>дилерским договором, договором поставки и актом приема-передачи ТС по указанным договорам</w:t>
            </w:r>
            <w:r>
              <w:rPr>
                <w:rFonts w:ascii="Tahoma" w:hAnsi="Tahoma" w:cs="Tahoma"/>
                <w:sz w:val="18"/>
                <w:szCs w:val="18"/>
              </w:rPr>
              <w:t xml:space="preserve"> или агентским договором, договором комиссии и т.п.</w:t>
            </w:r>
            <w:r w:rsidRPr="001901B1">
              <w:rPr>
                <w:rFonts w:ascii="Tahoma" w:hAnsi="Tahoma" w:cs="Tahoma"/>
                <w:sz w:val="18"/>
                <w:szCs w:val="18"/>
              </w:rPr>
              <w:t>,</w:t>
            </w:r>
            <w:r>
              <w:rPr>
                <w:rFonts w:ascii="Tahoma" w:hAnsi="Tahoma" w:cs="Tahoma"/>
                <w:sz w:val="18"/>
                <w:szCs w:val="18"/>
              </w:rPr>
              <w:t xml:space="preserve"> заключенным с собственником ТС и предоставляющим ему право на реализацию такого ТС. </w:t>
            </w:r>
            <w:r w:rsidRPr="00E24712">
              <w:rPr>
                <w:rFonts w:ascii="Tahoma" w:hAnsi="Tahoma" w:cs="Tahoma"/>
                <w:sz w:val="18"/>
                <w:szCs w:val="18"/>
              </w:rPr>
              <w:t>При необходимости Банком может быть запрошен</w:t>
            </w:r>
            <w:r>
              <w:rPr>
                <w:rFonts w:ascii="Tahoma" w:hAnsi="Tahoma" w:cs="Tahoma"/>
                <w:sz w:val="18"/>
                <w:szCs w:val="18"/>
              </w:rPr>
              <w:t>о Свидетельство о регистрации транспортного средства</w:t>
            </w:r>
            <w:r w:rsidRPr="00E24712">
              <w:rPr>
                <w:rFonts w:ascii="Tahoma" w:hAnsi="Tahoma" w:cs="Tahoma"/>
                <w:sz w:val="18"/>
                <w:szCs w:val="18"/>
              </w:rPr>
              <w:t>.</w:t>
            </w:r>
          </w:p>
          <w:p w14:paraId="52E0849D" w14:textId="77777777" w:rsidR="009D1253" w:rsidRDefault="009D1253" w:rsidP="009D1253">
            <w:pPr>
              <w:pStyle w:val="a9"/>
              <w:spacing w:before="0" w:after="0"/>
              <w:rPr>
                <w:rFonts w:ascii="Tahoma" w:hAnsi="Tahoma" w:cs="Tahoma"/>
                <w:sz w:val="18"/>
                <w:szCs w:val="18"/>
              </w:rPr>
            </w:pPr>
            <w:r>
              <w:rPr>
                <w:rFonts w:ascii="Tahoma" w:hAnsi="Tahoma" w:cs="Tahoma"/>
                <w:sz w:val="18"/>
                <w:szCs w:val="18"/>
              </w:rPr>
              <w:t xml:space="preserve">Для ТС, ввезенных из-за границы и не поставленных на государственный регистрационный учет в РФ дополнительно к указанным документам и выписке из ЭПТС прилагается таможенная декларация (или иной документ при отсутствии у продавца ТС таможенной декларации </w:t>
            </w:r>
            <w:r w:rsidRPr="001901B1">
              <w:rPr>
                <w:rFonts w:ascii="Tahoma" w:hAnsi="Tahoma" w:cs="Tahoma"/>
                <w:sz w:val="18"/>
                <w:szCs w:val="18"/>
              </w:rPr>
              <w:t>или в дополнение к ней</w:t>
            </w:r>
            <w:r>
              <w:rPr>
                <w:rFonts w:ascii="Tahoma" w:hAnsi="Tahoma" w:cs="Tahoma"/>
                <w:sz w:val="18"/>
                <w:szCs w:val="18"/>
              </w:rPr>
              <w:t xml:space="preserve">). </w:t>
            </w:r>
            <w:r w:rsidRPr="001901B1">
              <w:rPr>
                <w:rFonts w:ascii="Tahoma" w:hAnsi="Tahoma" w:cs="Tahoma"/>
                <w:sz w:val="18"/>
                <w:szCs w:val="18"/>
              </w:rPr>
              <w:t>При этом таможенная декларация и/или иной документ, предоставленный Банку</w:t>
            </w:r>
            <w:r>
              <w:rPr>
                <w:rFonts w:ascii="Tahoma" w:hAnsi="Tahoma" w:cs="Tahoma"/>
                <w:sz w:val="18"/>
                <w:szCs w:val="18"/>
              </w:rPr>
              <w:t>,</w:t>
            </w:r>
            <w:r w:rsidRPr="001901B1">
              <w:rPr>
                <w:rFonts w:ascii="Tahoma" w:hAnsi="Tahoma" w:cs="Tahoma"/>
                <w:sz w:val="18"/>
                <w:szCs w:val="18"/>
              </w:rPr>
              <w:t xml:space="preserve"> должен содержать</w:t>
            </w:r>
            <w:r>
              <w:rPr>
                <w:rFonts w:ascii="Tahoma" w:hAnsi="Tahoma" w:cs="Tahoma"/>
                <w:sz w:val="18"/>
                <w:szCs w:val="18"/>
              </w:rPr>
              <w:t xml:space="preserve"> VIN номер ТС, а также идентификационные данные продавца ТС (или иного лица, осуществлявшего таможенные процедуры в отношении ТС, а также процедуры, необходимые для получения ЭПТС, и передавшего полномочия по реализации ТС продавцу ТС на основании договора).</w:t>
            </w:r>
          </w:p>
          <w:p w14:paraId="0A4C54A7" w14:textId="77777777" w:rsidR="009D1253" w:rsidRPr="005A07E7" w:rsidRDefault="009D1253" w:rsidP="009D1253">
            <w:pPr>
              <w:pStyle w:val="a9"/>
              <w:tabs>
                <w:tab w:val="left" w:pos="0"/>
                <w:tab w:val="left" w:pos="176"/>
                <w:tab w:val="left" w:pos="835"/>
              </w:tabs>
              <w:spacing w:before="0" w:after="0"/>
              <w:jc w:val="left"/>
              <w:rPr>
                <w:rFonts w:ascii="Tahoma" w:hAnsi="Tahoma" w:cs="Tahoma"/>
                <w:strike/>
                <w:sz w:val="18"/>
                <w:szCs w:val="18"/>
                <w:lang w:eastAsia="en-US"/>
              </w:rPr>
            </w:pPr>
          </w:p>
          <w:p w14:paraId="2D5852E6" w14:textId="77777777" w:rsidR="009D1253" w:rsidRPr="005A07E7" w:rsidRDefault="009D1253" w:rsidP="009D1253">
            <w:pPr>
              <w:pStyle w:val="a9"/>
              <w:numPr>
                <w:ilvl w:val="0"/>
                <w:numId w:val="73"/>
              </w:numPr>
              <w:tabs>
                <w:tab w:val="left" w:pos="0"/>
                <w:tab w:val="left" w:pos="268"/>
              </w:tabs>
              <w:spacing w:before="0" w:after="0"/>
              <w:ind w:left="0" w:firstLine="0"/>
              <w:rPr>
                <w:rFonts w:ascii="Tahoma" w:hAnsi="Tahoma" w:cs="Tahoma"/>
                <w:b/>
                <w:sz w:val="18"/>
                <w:szCs w:val="18"/>
                <w:lang w:eastAsia="en-US"/>
              </w:rPr>
            </w:pPr>
            <w:r w:rsidRPr="005A07E7">
              <w:rPr>
                <w:rFonts w:ascii="Tahoma" w:hAnsi="Tahoma" w:cs="Tahoma"/>
                <w:b/>
                <w:sz w:val="18"/>
                <w:szCs w:val="18"/>
                <w:lang w:eastAsia="en-US"/>
              </w:rPr>
              <w:t>Пакет документов для Заёмщика</w:t>
            </w:r>
          </w:p>
          <w:p w14:paraId="30711F4B" w14:textId="77777777" w:rsidR="009D1253" w:rsidRPr="005A07E7" w:rsidRDefault="009D1253" w:rsidP="009D1253">
            <w:pPr>
              <w:pStyle w:val="a9"/>
              <w:numPr>
                <w:ilvl w:val="0"/>
                <w:numId w:val="13"/>
              </w:numPr>
              <w:tabs>
                <w:tab w:val="left" w:pos="0"/>
                <w:tab w:val="left" w:pos="268"/>
              </w:tabs>
              <w:spacing w:before="0" w:after="0"/>
              <w:ind w:left="0" w:firstLine="0"/>
              <w:rPr>
                <w:rFonts w:ascii="Tahoma" w:hAnsi="Tahoma" w:cs="Tahoma"/>
                <w:sz w:val="18"/>
                <w:szCs w:val="18"/>
                <w:lang w:eastAsia="en-US"/>
              </w:rPr>
            </w:pPr>
            <w:r w:rsidRPr="005A07E7">
              <w:rPr>
                <w:rFonts w:ascii="Tahoma" w:hAnsi="Tahoma" w:cs="Tahoma"/>
                <w:sz w:val="18"/>
                <w:szCs w:val="18"/>
                <w:lang w:eastAsia="en-US"/>
              </w:rPr>
              <w:t>Паспорт гражданина РФ</w:t>
            </w:r>
          </w:p>
          <w:p w14:paraId="7ECA3CA3" w14:textId="77777777" w:rsidR="009D1253" w:rsidRPr="005A07E7" w:rsidRDefault="009D1253" w:rsidP="009D1253">
            <w:pPr>
              <w:pStyle w:val="a9"/>
              <w:numPr>
                <w:ilvl w:val="0"/>
                <w:numId w:val="13"/>
              </w:numPr>
              <w:tabs>
                <w:tab w:val="left" w:pos="0"/>
                <w:tab w:val="left" w:pos="268"/>
              </w:tabs>
              <w:spacing w:before="0" w:after="0"/>
              <w:ind w:left="0" w:firstLine="0"/>
              <w:rPr>
                <w:rFonts w:ascii="Tahoma" w:hAnsi="Tahoma" w:cs="Tahoma"/>
                <w:sz w:val="18"/>
                <w:szCs w:val="18"/>
                <w:lang w:eastAsia="en-US"/>
              </w:rPr>
            </w:pPr>
            <w:r w:rsidRPr="005A07E7">
              <w:rPr>
                <w:rFonts w:ascii="Tahoma" w:hAnsi="Tahoma" w:cs="Tahoma"/>
                <w:sz w:val="18"/>
                <w:szCs w:val="18"/>
                <w:lang w:eastAsia="en-US"/>
              </w:rPr>
              <w:t>Второй документ, предоставляется из следующих документов по выбору Заёмщика:</w:t>
            </w:r>
            <w:r w:rsidRPr="005A07E7" w:rsidDel="00721FE6">
              <w:rPr>
                <w:rFonts w:ascii="Tahoma" w:hAnsi="Tahoma" w:cs="Tahoma"/>
                <w:sz w:val="18"/>
                <w:szCs w:val="18"/>
                <w:lang w:eastAsia="en-US"/>
              </w:rPr>
              <w:t xml:space="preserve"> </w:t>
            </w:r>
          </w:p>
          <w:p w14:paraId="2F85227E" w14:textId="77777777" w:rsidR="009D1253" w:rsidRPr="005A07E7" w:rsidRDefault="009D1253" w:rsidP="009D1253">
            <w:pPr>
              <w:pStyle w:val="a9"/>
              <w:tabs>
                <w:tab w:val="left" w:pos="0"/>
              </w:tabs>
              <w:spacing w:before="0" w:after="0"/>
              <w:ind w:firstLine="334"/>
              <w:rPr>
                <w:rFonts w:ascii="Tahoma" w:hAnsi="Tahoma" w:cs="Tahoma"/>
                <w:sz w:val="18"/>
                <w:szCs w:val="18"/>
                <w:lang w:eastAsia="en-US"/>
              </w:rPr>
            </w:pPr>
            <w:r w:rsidRPr="005A07E7">
              <w:rPr>
                <w:rFonts w:ascii="Tahoma" w:hAnsi="Tahoma" w:cs="Tahoma"/>
                <w:sz w:val="18"/>
                <w:szCs w:val="18"/>
                <w:lang w:eastAsia="en-US"/>
              </w:rPr>
              <w:t>- за</w:t>
            </w:r>
            <w:r>
              <w:rPr>
                <w:rFonts w:ascii="Tahoma" w:hAnsi="Tahoma" w:cs="Tahoma"/>
                <w:sz w:val="18"/>
                <w:szCs w:val="18"/>
                <w:lang w:eastAsia="en-US"/>
              </w:rPr>
              <w:t>граничный паспорт гражданина РФ</w:t>
            </w:r>
            <w:r w:rsidRPr="005A07E7">
              <w:rPr>
                <w:rFonts w:ascii="Tahoma" w:hAnsi="Tahoma" w:cs="Tahoma"/>
                <w:sz w:val="18"/>
                <w:szCs w:val="18"/>
                <w:lang w:eastAsia="en-US"/>
              </w:rPr>
              <w:t xml:space="preserve"> </w:t>
            </w:r>
          </w:p>
          <w:p w14:paraId="2188F732" w14:textId="77777777" w:rsidR="009D1253" w:rsidRPr="005A07E7" w:rsidRDefault="009D1253" w:rsidP="009D1253">
            <w:pPr>
              <w:pStyle w:val="a9"/>
              <w:tabs>
                <w:tab w:val="left" w:pos="0"/>
              </w:tabs>
              <w:spacing w:before="0" w:after="0"/>
              <w:ind w:firstLine="334"/>
              <w:rPr>
                <w:rFonts w:ascii="Tahoma" w:hAnsi="Tahoma" w:cs="Tahoma"/>
                <w:sz w:val="18"/>
                <w:szCs w:val="18"/>
                <w:lang w:eastAsia="en-US"/>
              </w:rPr>
            </w:pPr>
            <w:r>
              <w:rPr>
                <w:rFonts w:ascii="Tahoma" w:hAnsi="Tahoma" w:cs="Tahoma"/>
                <w:sz w:val="18"/>
                <w:szCs w:val="18"/>
                <w:lang w:eastAsia="en-US"/>
              </w:rPr>
              <w:t>- водительское удостоверение</w:t>
            </w:r>
          </w:p>
          <w:p w14:paraId="1E7FEE37" w14:textId="77777777" w:rsidR="009D1253" w:rsidRPr="005A07E7" w:rsidRDefault="009D1253" w:rsidP="009D1253">
            <w:pPr>
              <w:pStyle w:val="a9"/>
              <w:tabs>
                <w:tab w:val="left" w:pos="0"/>
              </w:tabs>
              <w:spacing w:before="0" w:after="0"/>
              <w:ind w:firstLine="334"/>
              <w:rPr>
                <w:rFonts w:ascii="Tahoma" w:hAnsi="Tahoma" w:cs="Tahoma"/>
                <w:sz w:val="18"/>
                <w:szCs w:val="18"/>
                <w:lang w:eastAsia="en-US"/>
              </w:rPr>
            </w:pPr>
            <w:r>
              <w:rPr>
                <w:rFonts w:ascii="Tahoma" w:hAnsi="Tahoma" w:cs="Tahoma"/>
                <w:sz w:val="18"/>
                <w:szCs w:val="18"/>
                <w:lang w:eastAsia="en-US"/>
              </w:rPr>
              <w:t>- СНИЛС</w:t>
            </w:r>
          </w:p>
          <w:p w14:paraId="2CE27E89" w14:textId="77777777" w:rsidR="009D1253" w:rsidRPr="005A07E7" w:rsidRDefault="009D1253" w:rsidP="009D1253">
            <w:pPr>
              <w:pStyle w:val="a9"/>
              <w:tabs>
                <w:tab w:val="left" w:pos="0"/>
              </w:tabs>
              <w:spacing w:before="0" w:after="0"/>
              <w:rPr>
                <w:rFonts w:ascii="Tahoma" w:hAnsi="Tahoma" w:cs="Tahoma"/>
                <w:strike/>
                <w:sz w:val="18"/>
                <w:szCs w:val="18"/>
              </w:rPr>
            </w:pPr>
          </w:p>
          <w:p w14:paraId="081D1D59" w14:textId="77777777" w:rsidR="009D1253" w:rsidRDefault="009D1253" w:rsidP="009D1253">
            <w:pPr>
              <w:autoSpaceDE w:val="0"/>
              <w:autoSpaceDN w:val="0"/>
              <w:adjustRightInd w:val="0"/>
              <w:rPr>
                <w:rFonts w:ascii="Tahoma" w:hAnsi="Tahoma" w:cs="Tahoma"/>
                <w:sz w:val="20"/>
                <w:szCs w:val="18"/>
              </w:rPr>
            </w:pPr>
            <w:r w:rsidRPr="008006DB">
              <w:rPr>
                <w:rFonts w:ascii="Tahoma" w:hAnsi="Tahoma" w:cs="Tahoma"/>
                <w:sz w:val="20"/>
                <w:szCs w:val="18"/>
              </w:rPr>
              <w:t xml:space="preserve">По результатам рассмотрения заявления о предоставлении потребительского кредита, Банком могут быть запрошены документы, подтверждающие финансовое состояние Заёмщика, а также его занятость. </w:t>
            </w:r>
          </w:p>
          <w:p w14:paraId="5FFB8F0F" w14:textId="77777777" w:rsidR="009D1253" w:rsidRPr="008006DB" w:rsidRDefault="009D1253" w:rsidP="009D1253">
            <w:pPr>
              <w:pStyle w:val="a9"/>
              <w:tabs>
                <w:tab w:val="left" w:pos="268"/>
              </w:tabs>
              <w:spacing w:before="0" w:after="0"/>
              <w:ind w:left="-16" w:right="-1"/>
              <w:rPr>
                <w:rFonts w:ascii="Tahoma" w:hAnsi="Tahoma" w:cs="Tahoma"/>
                <w:szCs w:val="18"/>
                <w:lang w:eastAsia="en-US"/>
              </w:rPr>
            </w:pPr>
            <w:r w:rsidRPr="008006DB">
              <w:rPr>
                <w:rFonts w:ascii="Tahoma" w:hAnsi="Tahoma" w:cs="Tahoma"/>
                <w:szCs w:val="18"/>
                <w:lang w:eastAsia="en-US"/>
              </w:rPr>
              <w:t xml:space="preserve">В качестве документов, подтверждающих финансовое состояние Заёмщика, могут быть предоставлены: </w:t>
            </w:r>
          </w:p>
          <w:tbl>
            <w:tblPr>
              <w:tblStyle w:val="aff0"/>
              <w:tblW w:w="10653" w:type="dxa"/>
              <w:tblInd w:w="8" w:type="dxa"/>
              <w:tblLayout w:type="fixed"/>
              <w:tblLook w:val="04A0" w:firstRow="1" w:lastRow="0" w:firstColumn="1" w:lastColumn="0" w:noHBand="0" w:noVBand="1"/>
            </w:tblPr>
            <w:tblGrid>
              <w:gridCol w:w="2096"/>
              <w:gridCol w:w="8557"/>
            </w:tblGrid>
            <w:tr w:rsidR="009D1253" w:rsidRPr="00B2133F" w14:paraId="507E2781" w14:textId="77777777" w:rsidTr="009D1253">
              <w:tc>
                <w:tcPr>
                  <w:tcW w:w="2096" w:type="dxa"/>
                </w:tcPr>
                <w:p w14:paraId="50AC2756" w14:textId="77777777" w:rsidR="009D1253" w:rsidRPr="00B2133F" w:rsidRDefault="009D1253" w:rsidP="009D1253">
                  <w:pPr>
                    <w:rPr>
                      <w:rFonts w:ascii="Tahoma" w:hAnsi="Tahoma" w:cs="Tahoma"/>
                      <w:sz w:val="18"/>
                      <w:szCs w:val="18"/>
                    </w:rPr>
                  </w:pPr>
                  <w:r w:rsidRPr="00B2133F">
                    <w:rPr>
                      <w:rFonts w:ascii="Tahoma" w:hAnsi="Tahoma" w:cs="Tahoma"/>
                      <w:sz w:val="18"/>
                      <w:szCs w:val="18"/>
                    </w:rPr>
                    <w:t>Виды (источники) дохода</w:t>
                  </w:r>
                </w:p>
              </w:tc>
              <w:tc>
                <w:tcPr>
                  <w:tcW w:w="8557" w:type="dxa"/>
                </w:tcPr>
                <w:p w14:paraId="776DF5DD"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t>Документы, подтверждающие финансовое состояние Заёмщика*</w:t>
                  </w:r>
                </w:p>
              </w:tc>
            </w:tr>
            <w:tr w:rsidR="009D1253" w:rsidRPr="00B2133F" w14:paraId="79371CE3" w14:textId="77777777" w:rsidTr="009D1253">
              <w:tc>
                <w:tcPr>
                  <w:tcW w:w="2096" w:type="dxa"/>
                </w:tcPr>
                <w:p w14:paraId="12BE6266"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t>Основное место работы</w:t>
                  </w:r>
                </w:p>
              </w:tc>
              <w:tc>
                <w:tcPr>
                  <w:tcW w:w="8557" w:type="dxa"/>
                </w:tcPr>
                <w:p w14:paraId="2CD19110" w14:textId="77777777" w:rsidR="009D1253" w:rsidRPr="005500FA" w:rsidRDefault="009D1253" w:rsidP="009D1253">
                  <w:pPr>
                    <w:pStyle w:val="affe"/>
                    <w:tabs>
                      <w:tab w:val="left" w:pos="509"/>
                    </w:tabs>
                    <w:ind w:left="367" w:right="176" w:hanging="367"/>
                    <w:jc w:val="both"/>
                    <w:rPr>
                      <w:rFonts w:ascii="Tahoma" w:hAnsi="Tahoma" w:cs="Tahoma"/>
                      <w:sz w:val="18"/>
                      <w:szCs w:val="18"/>
                    </w:rPr>
                  </w:pPr>
                  <w:r w:rsidRPr="005500FA">
                    <w:rPr>
                      <w:rFonts w:ascii="Tahoma" w:hAnsi="Tahoma" w:cs="Tahoma"/>
                      <w:sz w:val="18"/>
                      <w:szCs w:val="18"/>
                    </w:rPr>
                    <w:t>Один из следующих документов по выбору Заёмщика:</w:t>
                  </w:r>
                </w:p>
                <w:p w14:paraId="7EB6DA84" w14:textId="77777777" w:rsidR="009D1253" w:rsidRPr="005500FA" w:rsidRDefault="009D1253" w:rsidP="009D1253">
                  <w:pPr>
                    <w:pStyle w:val="affe"/>
                    <w:numPr>
                      <w:ilvl w:val="0"/>
                      <w:numId w:val="114"/>
                    </w:numPr>
                    <w:tabs>
                      <w:tab w:val="left" w:pos="509"/>
                      <w:tab w:val="left" w:pos="7880"/>
                    </w:tabs>
                    <w:ind w:left="367" w:right="176" w:hanging="367"/>
                    <w:jc w:val="both"/>
                    <w:rPr>
                      <w:rFonts w:ascii="Tahoma" w:hAnsi="Tahoma" w:cs="Tahoma"/>
                      <w:sz w:val="18"/>
                      <w:szCs w:val="18"/>
                    </w:rPr>
                  </w:pPr>
                  <w:r w:rsidRPr="005500FA">
                    <w:rPr>
                      <w:rFonts w:ascii="Tahoma" w:hAnsi="Tahoma" w:cs="Tahoma"/>
                      <w:sz w:val="18"/>
                      <w:szCs w:val="18"/>
                    </w:rPr>
                    <w:t>Справка о доходах и суммах налога физического лица или Справка о доходах и удержанных суммах по образцу государственного учреждения, внутренними распорядительными документами которого установлены ограничения на предоставление своим работникам справок о доходах и суммах налога физического лица**</w:t>
                  </w:r>
                </w:p>
                <w:p w14:paraId="47E9F3A3" w14:textId="77777777" w:rsidR="009D1253" w:rsidRPr="005500FA" w:rsidRDefault="009D1253" w:rsidP="009D1253">
                  <w:pPr>
                    <w:pStyle w:val="affe"/>
                    <w:numPr>
                      <w:ilvl w:val="0"/>
                      <w:numId w:val="114"/>
                    </w:numPr>
                    <w:tabs>
                      <w:tab w:val="left" w:pos="509"/>
                      <w:tab w:val="left" w:pos="7880"/>
                    </w:tabs>
                    <w:ind w:left="367" w:right="176" w:hanging="367"/>
                    <w:jc w:val="both"/>
                    <w:rPr>
                      <w:rFonts w:ascii="Tahoma" w:hAnsi="Tahoma" w:cs="Tahoma"/>
                      <w:sz w:val="18"/>
                      <w:szCs w:val="18"/>
                    </w:rPr>
                  </w:pPr>
                  <w:r w:rsidRPr="005500FA">
                    <w:rPr>
                      <w:rFonts w:ascii="Tahoma" w:hAnsi="Tahoma" w:cs="Tahoma"/>
                      <w:sz w:val="18"/>
                      <w:szCs w:val="18"/>
                    </w:rPr>
                    <w:t>Выписка о состоянии индивидуального лицевого счета застрахованного лица в системе обязательного пенсионного страхования***</w:t>
                  </w:r>
                </w:p>
                <w:p w14:paraId="75348D74" w14:textId="77777777" w:rsidR="009D1253" w:rsidRPr="005500FA" w:rsidRDefault="009D1253" w:rsidP="009D1253">
                  <w:pPr>
                    <w:pStyle w:val="affe"/>
                    <w:numPr>
                      <w:ilvl w:val="0"/>
                      <w:numId w:val="114"/>
                    </w:numPr>
                    <w:tabs>
                      <w:tab w:val="left" w:pos="509"/>
                      <w:tab w:val="left" w:pos="7880"/>
                    </w:tabs>
                    <w:ind w:left="367" w:right="176" w:hanging="367"/>
                    <w:jc w:val="both"/>
                    <w:rPr>
                      <w:rFonts w:ascii="Tahoma" w:hAnsi="Tahoma" w:cs="Tahoma"/>
                      <w:sz w:val="18"/>
                      <w:szCs w:val="18"/>
                    </w:rPr>
                  </w:pPr>
                  <w:r w:rsidRPr="005500FA">
                    <w:rPr>
                      <w:rFonts w:ascii="Tahoma" w:hAnsi="Tahoma" w:cs="Tahoma"/>
                      <w:sz w:val="18"/>
                      <w:szCs w:val="18"/>
                    </w:rPr>
                    <w:t>Справка по форме Банка**</w:t>
                  </w:r>
                </w:p>
                <w:p w14:paraId="7C2381CA" w14:textId="77777777" w:rsidR="009D1253" w:rsidRPr="005500FA" w:rsidRDefault="009D1253" w:rsidP="009D1253">
                  <w:pPr>
                    <w:pStyle w:val="affe"/>
                    <w:numPr>
                      <w:ilvl w:val="0"/>
                      <w:numId w:val="114"/>
                    </w:numPr>
                    <w:tabs>
                      <w:tab w:val="left" w:pos="509"/>
                      <w:tab w:val="left" w:pos="7880"/>
                    </w:tabs>
                    <w:ind w:left="367" w:right="176" w:hanging="367"/>
                    <w:jc w:val="both"/>
                    <w:rPr>
                      <w:rFonts w:ascii="Tahoma" w:hAnsi="Tahoma" w:cs="Tahoma"/>
                      <w:sz w:val="18"/>
                      <w:szCs w:val="18"/>
                    </w:rPr>
                  </w:pPr>
                  <w:r>
                    <w:rPr>
                      <w:rFonts w:ascii="Tahoma" w:hAnsi="Tahoma" w:cs="Tahoma"/>
                      <w:sz w:val="18"/>
                      <w:szCs w:val="18"/>
                    </w:rPr>
                    <w:lastRenderedPageBreak/>
                    <w:t>Выписка с банковского</w:t>
                  </w:r>
                  <w:r w:rsidRPr="00B975F2">
                    <w:rPr>
                      <w:rFonts w:ascii="Tahoma" w:hAnsi="Tahoma" w:cs="Tahoma"/>
                      <w:sz w:val="18"/>
                      <w:szCs w:val="18"/>
                    </w:rPr>
                    <w:t xml:space="preserve"> счета, на который осуществляются </w:t>
                  </w:r>
                  <w:r>
                    <w:rPr>
                      <w:rFonts w:ascii="Tahoma" w:hAnsi="Tahoma" w:cs="Tahoma"/>
                      <w:sz w:val="18"/>
                      <w:szCs w:val="18"/>
                    </w:rPr>
                    <w:t>зачисления заработной платы Заемщика</w:t>
                  </w:r>
                  <w:r w:rsidRPr="00B975F2">
                    <w:rPr>
                      <w:rFonts w:ascii="Tahoma" w:hAnsi="Tahoma" w:cs="Tahoma"/>
                      <w:sz w:val="18"/>
                      <w:szCs w:val="18"/>
                    </w:rPr>
                    <w:t>, выданная кредитн</w:t>
                  </w:r>
                  <w:r>
                    <w:rPr>
                      <w:rFonts w:ascii="Tahoma" w:hAnsi="Tahoma" w:cs="Tahoma"/>
                      <w:sz w:val="18"/>
                      <w:szCs w:val="18"/>
                    </w:rPr>
                    <w:t>ой</w:t>
                  </w:r>
                  <w:r w:rsidRPr="00B975F2">
                    <w:rPr>
                      <w:rFonts w:ascii="Tahoma" w:hAnsi="Tahoma" w:cs="Tahoma"/>
                      <w:sz w:val="18"/>
                      <w:szCs w:val="18"/>
                    </w:rPr>
                    <w:t xml:space="preserve"> организаци</w:t>
                  </w:r>
                  <w:r>
                    <w:rPr>
                      <w:rFonts w:ascii="Tahoma" w:hAnsi="Tahoma" w:cs="Tahoma"/>
                      <w:sz w:val="18"/>
                      <w:szCs w:val="18"/>
                    </w:rPr>
                    <w:t>ей</w:t>
                  </w:r>
                  <w:r w:rsidRPr="00B975F2">
                    <w:rPr>
                      <w:rFonts w:ascii="Tahoma" w:hAnsi="Tahoma" w:cs="Tahoma"/>
                      <w:sz w:val="18"/>
                      <w:szCs w:val="18"/>
                    </w:rPr>
                    <w:t xml:space="preserve"> и заверенная печатью и подписью уполномоченного лица, в т.ч. </w:t>
                  </w:r>
                  <w:r w:rsidRPr="00040CA2">
                    <w:rPr>
                      <w:rFonts w:ascii="Tahoma" w:hAnsi="Tahoma" w:cs="Tahoma"/>
                      <w:sz w:val="18"/>
                      <w:szCs w:val="18"/>
                      <w:lang w:eastAsia="en-US"/>
                    </w:rPr>
                    <w:t>выписка с каналов дистанционного обслуживания кредитной организации</w:t>
                  </w:r>
                </w:p>
              </w:tc>
            </w:tr>
            <w:tr w:rsidR="009D1253" w:rsidRPr="00B2133F" w14:paraId="36526C8E" w14:textId="77777777" w:rsidTr="009D1253">
              <w:tc>
                <w:tcPr>
                  <w:tcW w:w="2096" w:type="dxa"/>
                </w:tcPr>
                <w:p w14:paraId="525C3011"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lastRenderedPageBreak/>
                    <w:t>Пенсия</w:t>
                  </w:r>
                </w:p>
              </w:tc>
              <w:tc>
                <w:tcPr>
                  <w:tcW w:w="8557" w:type="dxa"/>
                </w:tcPr>
                <w:p w14:paraId="35ACE2E7" w14:textId="77777777" w:rsidR="009D1253" w:rsidRDefault="009D1253" w:rsidP="009D1253">
                  <w:pPr>
                    <w:tabs>
                      <w:tab w:val="left" w:pos="6979"/>
                    </w:tabs>
                    <w:ind w:right="176"/>
                    <w:jc w:val="both"/>
                    <w:rPr>
                      <w:rFonts w:ascii="Tahoma" w:hAnsi="Tahoma" w:cs="Tahoma"/>
                      <w:sz w:val="18"/>
                      <w:szCs w:val="18"/>
                    </w:rPr>
                  </w:pPr>
                  <w:r w:rsidRPr="00B2133F">
                    <w:rPr>
                      <w:rFonts w:ascii="Tahoma" w:hAnsi="Tahoma" w:cs="Tahoma"/>
                      <w:sz w:val="18"/>
                      <w:szCs w:val="18"/>
                    </w:rPr>
                    <w:t>Один из следующих документов по выбору Заемщика****:</w:t>
                  </w:r>
                </w:p>
                <w:p w14:paraId="448992E2" w14:textId="77777777" w:rsidR="009D1253" w:rsidRPr="005500FA" w:rsidRDefault="009D1253" w:rsidP="009D1253">
                  <w:pPr>
                    <w:pStyle w:val="affe"/>
                    <w:numPr>
                      <w:ilvl w:val="0"/>
                      <w:numId w:val="115"/>
                    </w:numPr>
                    <w:tabs>
                      <w:tab w:val="left" w:pos="6979"/>
                    </w:tabs>
                    <w:ind w:left="367" w:right="176" w:hanging="367"/>
                    <w:jc w:val="both"/>
                    <w:rPr>
                      <w:rFonts w:ascii="Tahoma" w:hAnsi="Tahoma" w:cs="Tahoma"/>
                      <w:sz w:val="18"/>
                      <w:szCs w:val="18"/>
                    </w:rPr>
                  </w:pPr>
                  <w:r w:rsidRPr="005500FA">
                    <w:rPr>
                      <w:rFonts w:ascii="Tahoma" w:hAnsi="Tahoma" w:cs="Tahoma"/>
                      <w:sz w:val="18"/>
                      <w:szCs w:val="18"/>
                    </w:rPr>
                    <w:t>Выписка со счета, выданная кредитными организациями, на который осуществляются пенсионные выплаты</w:t>
                  </w:r>
                </w:p>
                <w:p w14:paraId="6CD4AF35" w14:textId="77777777" w:rsidR="009D1253" w:rsidRPr="005500FA" w:rsidRDefault="009D1253" w:rsidP="009D1253">
                  <w:pPr>
                    <w:pStyle w:val="affe"/>
                    <w:numPr>
                      <w:ilvl w:val="0"/>
                      <w:numId w:val="115"/>
                    </w:numPr>
                    <w:tabs>
                      <w:tab w:val="left" w:pos="6979"/>
                    </w:tabs>
                    <w:ind w:left="367" w:right="176" w:hanging="367"/>
                    <w:jc w:val="both"/>
                    <w:rPr>
                      <w:rFonts w:ascii="Tahoma" w:hAnsi="Tahoma" w:cs="Tahoma"/>
                      <w:sz w:val="18"/>
                      <w:szCs w:val="18"/>
                    </w:rPr>
                  </w:pPr>
                  <w:r w:rsidRPr="005500FA">
                    <w:rPr>
                      <w:rFonts w:ascii="Tahoma" w:hAnsi="Tahoma" w:cs="Tahoma"/>
                      <w:sz w:val="18"/>
                      <w:szCs w:val="18"/>
                    </w:rPr>
                    <w:t xml:space="preserve">Справка </w:t>
                  </w:r>
                  <w:r>
                    <w:rPr>
                      <w:rFonts w:ascii="Tahoma" w:hAnsi="Tahoma" w:cs="Tahoma"/>
                      <w:sz w:val="18"/>
                      <w:szCs w:val="18"/>
                    </w:rPr>
                    <w:t>Социального</w:t>
                  </w:r>
                  <w:r w:rsidRPr="005500FA">
                    <w:rPr>
                      <w:rFonts w:ascii="Tahoma" w:hAnsi="Tahoma" w:cs="Tahoma"/>
                      <w:sz w:val="18"/>
                      <w:szCs w:val="18"/>
                    </w:rPr>
                    <w:t xml:space="preserve"> фонда Российской Федерации или другого государственного органа, выплачивающего пенсию о размере пенсии, ежемесячного пожизненного содержания судьям или ежемесячной надбавки к денежному содержанию судьям о назначении пенсии /иной документ, подтверждающий право на получение пенсии, содержащий идентификационные данные Клиента и размера дохода (например, выписка из ФПСС)</w:t>
                  </w:r>
                </w:p>
              </w:tc>
            </w:tr>
            <w:tr w:rsidR="009D1253" w:rsidRPr="00B2133F" w14:paraId="348CAB89" w14:textId="77777777" w:rsidTr="009D1253">
              <w:tc>
                <w:tcPr>
                  <w:tcW w:w="2096" w:type="dxa"/>
                </w:tcPr>
                <w:p w14:paraId="131B576F"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t>Место работы по совместительству</w:t>
                  </w:r>
                </w:p>
              </w:tc>
              <w:tc>
                <w:tcPr>
                  <w:tcW w:w="8557" w:type="dxa"/>
                </w:tcPr>
                <w:p w14:paraId="1AF5FA9E" w14:textId="77777777" w:rsidR="009D1253" w:rsidRPr="00B2133F" w:rsidRDefault="009D1253" w:rsidP="009D1253">
                  <w:pPr>
                    <w:tabs>
                      <w:tab w:val="left" w:pos="6979"/>
                    </w:tabs>
                    <w:ind w:right="176"/>
                    <w:jc w:val="both"/>
                    <w:rPr>
                      <w:rFonts w:ascii="Tahoma" w:hAnsi="Tahoma" w:cs="Tahoma"/>
                      <w:sz w:val="18"/>
                      <w:szCs w:val="18"/>
                    </w:rPr>
                  </w:pPr>
                  <w:r w:rsidRPr="00B2133F">
                    <w:rPr>
                      <w:rFonts w:ascii="Tahoma" w:hAnsi="Tahoma" w:cs="Tahoma"/>
                      <w:sz w:val="18"/>
                      <w:szCs w:val="18"/>
                    </w:rPr>
                    <w:t>Один из следующих документов по выбору Заёмщика:</w:t>
                  </w:r>
                </w:p>
                <w:p w14:paraId="699C4933" w14:textId="77777777" w:rsidR="009D1253" w:rsidRPr="005500FA" w:rsidRDefault="009D1253" w:rsidP="009D1253">
                  <w:pPr>
                    <w:pStyle w:val="affe"/>
                    <w:numPr>
                      <w:ilvl w:val="0"/>
                      <w:numId w:val="116"/>
                    </w:numPr>
                    <w:ind w:left="367" w:right="176" w:hanging="367"/>
                    <w:jc w:val="both"/>
                    <w:rPr>
                      <w:rFonts w:ascii="Tahoma" w:hAnsi="Tahoma" w:cs="Tahoma"/>
                      <w:sz w:val="18"/>
                      <w:szCs w:val="18"/>
                    </w:rPr>
                  </w:pPr>
                  <w:r w:rsidRPr="005500FA">
                    <w:rPr>
                      <w:rFonts w:ascii="Tahoma" w:hAnsi="Tahoma" w:cs="Tahoma"/>
                      <w:sz w:val="18"/>
                      <w:szCs w:val="18"/>
                    </w:rPr>
                    <w:t>Справка о доходах и суммах налога физического лица или Справка о доходах и удержанных суммах по образцу государственного учреждения, внутренними распорядительными документами которого установлены ограничения на предоставление своим работникам справок о доходах и суммах налога физического лица**</w:t>
                  </w:r>
                </w:p>
                <w:p w14:paraId="2BB12682" w14:textId="77777777" w:rsidR="009D1253" w:rsidRPr="005500FA" w:rsidRDefault="009D1253" w:rsidP="009D1253">
                  <w:pPr>
                    <w:pStyle w:val="affe"/>
                    <w:numPr>
                      <w:ilvl w:val="0"/>
                      <w:numId w:val="116"/>
                    </w:numPr>
                    <w:ind w:left="367" w:right="176" w:hanging="367"/>
                    <w:jc w:val="both"/>
                    <w:rPr>
                      <w:rFonts w:ascii="Tahoma" w:hAnsi="Tahoma" w:cs="Tahoma"/>
                      <w:sz w:val="18"/>
                      <w:szCs w:val="18"/>
                    </w:rPr>
                  </w:pPr>
                  <w:r w:rsidRPr="005500FA">
                    <w:rPr>
                      <w:rFonts w:ascii="Tahoma" w:hAnsi="Tahoma" w:cs="Tahoma"/>
                      <w:sz w:val="18"/>
                      <w:szCs w:val="18"/>
                    </w:rPr>
                    <w:t>Выписка о состоянии индивидуального лицевого счета застрахованного лица в системе обязательного пенсионного страхования***</w:t>
                  </w:r>
                </w:p>
                <w:p w14:paraId="461F222B" w14:textId="77777777" w:rsidR="009D1253" w:rsidRPr="005500FA" w:rsidRDefault="009D1253" w:rsidP="009D1253">
                  <w:pPr>
                    <w:pStyle w:val="affe"/>
                    <w:numPr>
                      <w:ilvl w:val="0"/>
                      <w:numId w:val="116"/>
                    </w:numPr>
                    <w:ind w:left="367" w:right="176" w:hanging="367"/>
                    <w:jc w:val="both"/>
                    <w:rPr>
                      <w:rFonts w:ascii="Tahoma" w:hAnsi="Tahoma" w:cs="Tahoma"/>
                      <w:sz w:val="18"/>
                      <w:szCs w:val="18"/>
                    </w:rPr>
                  </w:pPr>
                  <w:r w:rsidRPr="005500FA">
                    <w:rPr>
                      <w:rFonts w:ascii="Tahoma" w:hAnsi="Tahoma" w:cs="Tahoma"/>
                      <w:sz w:val="18"/>
                      <w:szCs w:val="18"/>
                    </w:rPr>
                    <w:t>Справка по форме Банка**</w:t>
                  </w:r>
                </w:p>
                <w:p w14:paraId="336E9667" w14:textId="77777777" w:rsidR="009D1253" w:rsidRPr="005500FA" w:rsidRDefault="009D1253" w:rsidP="009D1253">
                  <w:pPr>
                    <w:pStyle w:val="affe"/>
                    <w:numPr>
                      <w:ilvl w:val="0"/>
                      <w:numId w:val="116"/>
                    </w:numPr>
                    <w:ind w:left="367" w:right="176" w:hanging="367"/>
                    <w:jc w:val="both"/>
                    <w:rPr>
                      <w:rFonts w:ascii="Tahoma" w:hAnsi="Tahoma" w:cs="Tahoma"/>
                      <w:sz w:val="18"/>
                      <w:szCs w:val="18"/>
                    </w:rPr>
                  </w:pPr>
                  <w:r>
                    <w:rPr>
                      <w:rFonts w:ascii="Tahoma" w:hAnsi="Tahoma" w:cs="Tahoma"/>
                      <w:sz w:val="18"/>
                      <w:szCs w:val="18"/>
                    </w:rPr>
                    <w:t>Выписка с банковского</w:t>
                  </w:r>
                  <w:r w:rsidRPr="00B975F2">
                    <w:rPr>
                      <w:rFonts w:ascii="Tahoma" w:hAnsi="Tahoma" w:cs="Tahoma"/>
                      <w:sz w:val="18"/>
                      <w:szCs w:val="18"/>
                    </w:rPr>
                    <w:t xml:space="preserve"> счета, на который осуществляются </w:t>
                  </w:r>
                  <w:r>
                    <w:rPr>
                      <w:rFonts w:ascii="Tahoma" w:hAnsi="Tahoma" w:cs="Tahoma"/>
                      <w:sz w:val="18"/>
                      <w:szCs w:val="18"/>
                    </w:rPr>
                    <w:t>зачисления заработной платы Заемщика</w:t>
                  </w:r>
                  <w:r w:rsidRPr="00B975F2">
                    <w:rPr>
                      <w:rFonts w:ascii="Tahoma" w:hAnsi="Tahoma" w:cs="Tahoma"/>
                      <w:sz w:val="18"/>
                      <w:szCs w:val="18"/>
                    </w:rPr>
                    <w:t>, выданная кредитн</w:t>
                  </w:r>
                  <w:r>
                    <w:rPr>
                      <w:rFonts w:ascii="Tahoma" w:hAnsi="Tahoma" w:cs="Tahoma"/>
                      <w:sz w:val="18"/>
                      <w:szCs w:val="18"/>
                    </w:rPr>
                    <w:t>ой</w:t>
                  </w:r>
                  <w:r w:rsidRPr="00B975F2">
                    <w:rPr>
                      <w:rFonts w:ascii="Tahoma" w:hAnsi="Tahoma" w:cs="Tahoma"/>
                      <w:sz w:val="18"/>
                      <w:szCs w:val="18"/>
                    </w:rPr>
                    <w:t xml:space="preserve"> организаци</w:t>
                  </w:r>
                  <w:r>
                    <w:rPr>
                      <w:rFonts w:ascii="Tahoma" w:hAnsi="Tahoma" w:cs="Tahoma"/>
                      <w:sz w:val="18"/>
                      <w:szCs w:val="18"/>
                    </w:rPr>
                    <w:t>ей</w:t>
                  </w:r>
                  <w:r w:rsidRPr="00B975F2">
                    <w:rPr>
                      <w:rFonts w:ascii="Tahoma" w:hAnsi="Tahoma" w:cs="Tahoma"/>
                      <w:sz w:val="18"/>
                      <w:szCs w:val="18"/>
                    </w:rPr>
                    <w:t xml:space="preserve"> и заверенная печатью и подписью уполномоченного лица, в т.ч. </w:t>
                  </w:r>
                  <w:r w:rsidRPr="00040CA2">
                    <w:rPr>
                      <w:rFonts w:ascii="Tahoma" w:hAnsi="Tahoma" w:cs="Tahoma"/>
                      <w:sz w:val="18"/>
                      <w:szCs w:val="18"/>
                      <w:lang w:eastAsia="en-US"/>
                    </w:rPr>
                    <w:t>выписка с каналов дистанционного обслуживания кредитной организации</w:t>
                  </w:r>
                </w:p>
              </w:tc>
            </w:tr>
            <w:tr w:rsidR="009D1253" w:rsidRPr="00B2133F" w14:paraId="446D2CDC" w14:textId="77777777" w:rsidTr="009D1253">
              <w:tc>
                <w:tcPr>
                  <w:tcW w:w="2096" w:type="dxa"/>
                </w:tcPr>
                <w:p w14:paraId="139D7081"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t>Предпринимательская деятельность без образования юридического лица / частная практика</w:t>
                  </w:r>
                </w:p>
              </w:tc>
              <w:tc>
                <w:tcPr>
                  <w:tcW w:w="8557" w:type="dxa"/>
                </w:tcPr>
                <w:p w14:paraId="19F1AE27" w14:textId="77777777" w:rsidR="009D1253" w:rsidRPr="00B2133F" w:rsidRDefault="009D1253" w:rsidP="009D1253">
                  <w:pPr>
                    <w:tabs>
                      <w:tab w:val="left" w:pos="6979"/>
                    </w:tabs>
                    <w:ind w:right="176"/>
                    <w:jc w:val="both"/>
                    <w:rPr>
                      <w:rFonts w:ascii="Tahoma" w:hAnsi="Tahoma" w:cs="Tahoma"/>
                      <w:sz w:val="18"/>
                      <w:szCs w:val="18"/>
                    </w:rPr>
                  </w:pPr>
                  <w:r w:rsidRPr="00B2133F">
                    <w:rPr>
                      <w:rFonts w:ascii="Tahoma" w:hAnsi="Tahoma" w:cs="Tahoma"/>
                      <w:sz w:val="18"/>
                      <w:szCs w:val="18"/>
                    </w:rPr>
                    <w:t xml:space="preserve">Один или совокупность из следующих документов: </w:t>
                  </w:r>
                </w:p>
                <w:p w14:paraId="67B2C4DD" w14:textId="77777777" w:rsidR="009D1253" w:rsidRPr="005500FA" w:rsidRDefault="009D1253" w:rsidP="009D1253">
                  <w:pPr>
                    <w:pStyle w:val="affe"/>
                    <w:numPr>
                      <w:ilvl w:val="0"/>
                      <w:numId w:val="117"/>
                    </w:numPr>
                    <w:tabs>
                      <w:tab w:val="left" w:pos="6979"/>
                    </w:tabs>
                    <w:ind w:left="367" w:right="176" w:hanging="367"/>
                    <w:contextualSpacing/>
                    <w:jc w:val="both"/>
                    <w:rPr>
                      <w:rFonts w:ascii="Tahoma" w:hAnsi="Tahoma" w:cs="Tahoma"/>
                      <w:sz w:val="18"/>
                      <w:szCs w:val="18"/>
                    </w:rPr>
                  </w:pPr>
                  <w:r w:rsidRPr="005500FA">
                    <w:rPr>
                      <w:rFonts w:ascii="Tahoma" w:hAnsi="Tahoma" w:cs="Tahoma"/>
                      <w:sz w:val="18"/>
                      <w:szCs w:val="18"/>
                    </w:rPr>
                    <w:t>Налоговая декларация с копиями квитанций (платежных поручений) об уплате налогов за налоговые периоды, соответствующие периоду расчета среднемесячного дохода</w:t>
                  </w:r>
                </w:p>
                <w:p w14:paraId="5037430D" w14:textId="77777777" w:rsidR="009D1253" w:rsidRPr="005500FA" w:rsidRDefault="009D1253" w:rsidP="009D1253">
                  <w:pPr>
                    <w:pStyle w:val="affe"/>
                    <w:numPr>
                      <w:ilvl w:val="0"/>
                      <w:numId w:val="117"/>
                    </w:numPr>
                    <w:tabs>
                      <w:tab w:val="left" w:pos="6979"/>
                    </w:tabs>
                    <w:ind w:left="367" w:right="176" w:hanging="367"/>
                    <w:contextualSpacing/>
                    <w:jc w:val="both"/>
                    <w:rPr>
                      <w:rFonts w:ascii="Tahoma" w:hAnsi="Tahoma" w:cs="Tahoma"/>
                      <w:sz w:val="18"/>
                      <w:szCs w:val="18"/>
                    </w:rPr>
                  </w:pPr>
                  <w:r w:rsidRPr="005500FA">
                    <w:rPr>
                      <w:rFonts w:ascii="Tahoma" w:hAnsi="Tahoma" w:cs="Tahoma"/>
                      <w:sz w:val="18"/>
                      <w:szCs w:val="18"/>
                    </w:rPr>
                    <w:t>Книга учета доходов и расходов и хозяйственных операций ИП</w:t>
                  </w:r>
                </w:p>
                <w:p w14:paraId="731431B8" w14:textId="77777777" w:rsidR="009D1253" w:rsidRPr="005500FA" w:rsidRDefault="009D1253" w:rsidP="009D1253">
                  <w:pPr>
                    <w:pStyle w:val="affe"/>
                    <w:numPr>
                      <w:ilvl w:val="0"/>
                      <w:numId w:val="117"/>
                    </w:numPr>
                    <w:autoSpaceDE w:val="0"/>
                    <w:autoSpaceDN w:val="0"/>
                    <w:ind w:left="367" w:hanging="367"/>
                    <w:rPr>
                      <w:rFonts w:ascii="Tahoma" w:hAnsi="Tahoma" w:cs="Tahoma"/>
                      <w:sz w:val="18"/>
                      <w:szCs w:val="18"/>
                    </w:rPr>
                  </w:pPr>
                  <w:r w:rsidRPr="005500FA">
                    <w:rPr>
                      <w:rFonts w:ascii="Tahoma" w:hAnsi="Tahoma" w:cs="Tahoma"/>
                      <w:sz w:val="18"/>
                      <w:szCs w:val="18"/>
                    </w:rPr>
                    <w:t xml:space="preserve">Выписки по счетам ИП, в т.ч. сформированные из мобильного приложения, заверенные кредитной организацией </w:t>
                  </w:r>
                  <w:r w:rsidRPr="007A6339">
                    <w:rPr>
                      <w:rFonts w:ascii="Tahoma" w:hAnsi="Tahoma" w:cs="Tahoma"/>
                      <w:sz w:val="18"/>
                      <w:szCs w:val="18"/>
                    </w:rPr>
                    <w:t xml:space="preserve">(формат </w:t>
                  </w:r>
                  <w:r w:rsidRPr="007A6339">
                    <w:rPr>
                      <w:rFonts w:ascii="Tahoma" w:hAnsi="Tahoma" w:cs="Tahoma"/>
                      <w:sz w:val="18"/>
                      <w:szCs w:val="18"/>
                      <w:lang w:val="en-US"/>
                    </w:rPr>
                    <w:t>pdf</w:t>
                  </w:r>
                  <w:r w:rsidRPr="007A6339">
                    <w:rPr>
                      <w:rFonts w:ascii="Tahoma" w:hAnsi="Tahoma" w:cs="Tahoma"/>
                      <w:sz w:val="18"/>
                      <w:szCs w:val="18"/>
                    </w:rPr>
                    <w:t>+</w:t>
                  </w:r>
                  <w:r w:rsidRPr="007A6339">
                    <w:rPr>
                      <w:rFonts w:ascii="Tahoma" w:hAnsi="Tahoma" w:cs="Tahoma"/>
                      <w:sz w:val="18"/>
                      <w:szCs w:val="18"/>
                      <w:lang w:val="en-US"/>
                    </w:rPr>
                    <w:t>excel</w:t>
                  </w:r>
                  <w:r w:rsidRPr="007A6339">
                    <w:rPr>
                      <w:rFonts w:ascii="Tahoma" w:hAnsi="Tahoma" w:cs="Tahoma"/>
                      <w:sz w:val="18"/>
                      <w:szCs w:val="18"/>
                    </w:rPr>
                    <w:t>)</w:t>
                  </w:r>
                </w:p>
                <w:p w14:paraId="68C4648A" w14:textId="77777777" w:rsidR="009D1253" w:rsidRPr="005500FA" w:rsidRDefault="009D1253" w:rsidP="009D1253">
                  <w:pPr>
                    <w:pStyle w:val="affe"/>
                    <w:numPr>
                      <w:ilvl w:val="0"/>
                      <w:numId w:val="117"/>
                    </w:numPr>
                    <w:tabs>
                      <w:tab w:val="left" w:pos="6979"/>
                    </w:tabs>
                    <w:ind w:left="367" w:right="176" w:hanging="367"/>
                    <w:contextualSpacing/>
                    <w:jc w:val="both"/>
                    <w:rPr>
                      <w:rFonts w:ascii="Tahoma" w:hAnsi="Tahoma" w:cs="Tahoma"/>
                      <w:sz w:val="18"/>
                      <w:szCs w:val="18"/>
                    </w:rPr>
                  </w:pPr>
                  <w:r w:rsidRPr="00B975F2">
                    <w:rPr>
                      <w:rFonts w:ascii="Tahoma" w:hAnsi="Tahoma" w:cs="Tahoma"/>
                      <w:sz w:val="18"/>
                      <w:szCs w:val="18"/>
                    </w:rPr>
                    <w:t>Для лиц, применяющих специальный налоговый режим «Налог на профессиональный доход» (самозанятые граждане)</w:t>
                  </w:r>
                  <w:r w:rsidRPr="005500FA">
                    <w:rPr>
                      <w:rFonts w:ascii="Tahoma" w:hAnsi="Tahoma" w:cs="Tahoma"/>
                      <w:sz w:val="18"/>
                      <w:szCs w:val="18"/>
                    </w:rPr>
                    <w:t>:</w:t>
                  </w:r>
                </w:p>
                <w:p w14:paraId="5151F659" w14:textId="77777777" w:rsidR="009D1253" w:rsidRPr="005500FA" w:rsidRDefault="009D1253" w:rsidP="009D1253">
                  <w:pPr>
                    <w:pStyle w:val="affe"/>
                    <w:numPr>
                      <w:ilvl w:val="0"/>
                      <w:numId w:val="118"/>
                    </w:numPr>
                    <w:tabs>
                      <w:tab w:val="left" w:pos="6979"/>
                    </w:tabs>
                    <w:ind w:left="367" w:right="176" w:hanging="367"/>
                    <w:contextualSpacing/>
                    <w:jc w:val="both"/>
                    <w:rPr>
                      <w:rFonts w:ascii="Tahoma" w:hAnsi="Tahoma" w:cs="Tahoma"/>
                      <w:vanish/>
                      <w:sz w:val="18"/>
                      <w:szCs w:val="18"/>
                    </w:rPr>
                  </w:pPr>
                </w:p>
                <w:p w14:paraId="5064839B" w14:textId="77777777" w:rsidR="009D1253" w:rsidRPr="005500FA" w:rsidRDefault="009D1253" w:rsidP="009D1253">
                  <w:pPr>
                    <w:pStyle w:val="affe"/>
                    <w:numPr>
                      <w:ilvl w:val="0"/>
                      <w:numId w:val="118"/>
                    </w:numPr>
                    <w:tabs>
                      <w:tab w:val="left" w:pos="6979"/>
                    </w:tabs>
                    <w:ind w:left="367" w:right="176" w:hanging="367"/>
                    <w:contextualSpacing/>
                    <w:jc w:val="both"/>
                    <w:rPr>
                      <w:rFonts w:ascii="Tahoma" w:hAnsi="Tahoma" w:cs="Tahoma"/>
                      <w:vanish/>
                      <w:sz w:val="18"/>
                      <w:szCs w:val="18"/>
                    </w:rPr>
                  </w:pPr>
                </w:p>
                <w:p w14:paraId="3B19B1E4" w14:textId="77777777" w:rsidR="009D1253" w:rsidRPr="005500FA" w:rsidRDefault="009D1253" w:rsidP="009D1253">
                  <w:pPr>
                    <w:pStyle w:val="affe"/>
                    <w:numPr>
                      <w:ilvl w:val="0"/>
                      <w:numId w:val="118"/>
                    </w:numPr>
                    <w:tabs>
                      <w:tab w:val="left" w:pos="6979"/>
                    </w:tabs>
                    <w:ind w:left="367" w:right="176" w:hanging="367"/>
                    <w:contextualSpacing/>
                    <w:jc w:val="both"/>
                    <w:rPr>
                      <w:rFonts w:ascii="Tahoma" w:hAnsi="Tahoma" w:cs="Tahoma"/>
                      <w:vanish/>
                      <w:sz w:val="18"/>
                      <w:szCs w:val="18"/>
                    </w:rPr>
                  </w:pPr>
                </w:p>
                <w:p w14:paraId="63CA56D6" w14:textId="77777777" w:rsidR="009D1253" w:rsidRDefault="009D1253" w:rsidP="009D1253">
                  <w:pPr>
                    <w:pStyle w:val="affe"/>
                    <w:numPr>
                      <w:ilvl w:val="0"/>
                      <w:numId w:val="118"/>
                    </w:numPr>
                    <w:tabs>
                      <w:tab w:val="left" w:pos="6979"/>
                    </w:tabs>
                    <w:ind w:left="367" w:right="176" w:hanging="367"/>
                    <w:contextualSpacing/>
                    <w:jc w:val="both"/>
                    <w:rPr>
                      <w:rFonts w:ascii="Tahoma" w:hAnsi="Tahoma" w:cs="Tahoma"/>
                      <w:sz w:val="18"/>
                      <w:szCs w:val="18"/>
                    </w:rPr>
                  </w:pPr>
                  <w:r w:rsidRPr="005500FA">
                    <w:rPr>
                      <w:rFonts w:ascii="Tahoma" w:hAnsi="Tahoma" w:cs="Tahoma"/>
                      <w:sz w:val="18"/>
                      <w:szCs w:val="18"/>
                    </w:rPr>
                    <w:t>справка о постановке на учет (снятии с учета) физического лица в качестве плательщика налога на профессиональный доход (КНД 1122035)</w:t>
                  </w:r>
                </w:p>
                <w:p w14:paraId="647235DE" w14:textId="77777777" w:rsidR="009D1253" w:rsidRPr="005500FA" w:rsidRDefault="009D1253" w:rsidP="009D1253">
                  <w:pPr>
                    <w:pStyle w:val="affe"/>
                    <w:numPr>
                      <w:ilvl w:val="0"/>
                      <w:numId w:val="119"/>
                    </w:numPr>
                    <w:tabs>
                      <w:tab w:val="left" w:pos="6979"/>
                    </w:tabs>
                    <w:ind w:left="367" w:right="176" w:hanging="367"/>
                    <w:contextualSpacing/>
                    <w:jc w:val="both"/>
                    <w:rPr>
                      <w:rFonts w:ascii="Tahoma" w:hAnsi="Tahoma" w:cs="Tahoma"/>
                      <w:vanish/>
                      <w:sz w:val="18"/>
                      <w:szCs w:val="18"/>
                    </w:rPr>
                  </w:pPr>
                </w:p>
                <w:p w14:paraId="0C897598" w14:textId="77777777" w:rsidR="009D1253" w:rsidRPr="005500FA" w:rsidRDefault="009D1253" w:rsidP="009D1253">
                  <w:pPr>
                    <w:pStyle w:val="affe"/>
                    <w:numPr>
                      <w:ilvl w:val="0"/>
                      <w:numId w:val="119"/>
                    </w:numPr>
                    <w:tabs>
                      <w:tab w:val="left" w:pos="6979"/>
                    </w:tabs>
                    <w:ind w:left="367" w:right="176" w:hanging="367"/>
                    <w:contextualSpacing/>
                    <w:jc w:val="both"/>
                    <w:rPr>
                      <w:rFonts w:ascii="Tahoma" w:hAnsi="Tahoma" w:cs="Tahoma"/>
                      <w:vanish/>
                      <w:sz w:val="18"/>
                      <w:szCs w:val="18"/>
                    </w:rPr>
                  </w:pPr>
                </w:p>
                <w:p w14:paraId="107109EF" w14:textId="77777777" w:rsidR="009D1253" w:rsidRPr="005500FA" w:rsidRDefault="009D1253" w:rsidP="009D1253">
                  <w:pPr>
                    <w:pStyle w:val="affe"/>
                    <w:numPr>
                      <w:ilvl w:val="0"/>
                      <w:numId w:val="119"/>
                    </w:numPr>
                    <w:tabs>
                      <w:tab w:val="left" w:pos="6979"/>
                    </w:tabs>
                    <w:ind w:left="367" w:right="176" w:hanging="367"/>
                    <w:contextualSpacing/>
                    <w:jc w:val="both"/>
                    <w:rPr>
                      <w:rFonts w:ascii="Tahoma" w:hAnsi="Tahoma" w:cs="Tahoma"/>
                      <w:vanish/>
                      <w:sz w:val="18"/>
                      <w:szCs w:val="18"/>
                    </w:rPr>
                  </w:pPr>
                </w:p>
                <w:p w14:paraId="5B96D4C3" w14:textId="77777777" w:rsidR="009D1253" w:rsidRPr="005500FA" w:rsidRDefault="009D1253" w:rsidP="009D1253">
                  <w:pPr>
                    <w:pStyle w:val="affe"/>
                    <w:numPr>
                      <w:ilvl w:val="0"/>
                      <w:numId w:val="119"/>
                    </w:numPr>
                    <w:tabs>
                      <w:tab w:val="left" w:pos="6979"/>
                    </w:tabs>
                    <w:ind w:left="367" w:right="176" w:hanging="367"/>
                    <w:contextualSpacing/>
                    <w:jc w:val="both"/>
                    <w:rPr>
                      <w:rFonts w:ascii="Tahoma" w:hAnsi="Tahoma" w:cs="Tahoma"/>
                      <w:sz w:val="18"/>
                      <w:szCs w:val="18"/>
                    </w:rPr>
                  </w:pPr>
                  <w:r w:rsidRPr="005500FA">
                    <w:rPr>
                      <w:rFonts w:ascii="Tahoma" w:hAnsi="Tahoma" w:cs="Tahoma"/>
                      <w:sz w:val="18"/>
                      <w:szCs w:val="18"/>
                    </w:rPr>
                    <w:t>справка о состоянии расчетов (доходах) по налогу на профессиональный доход (КНД 1122036)</w:t>
                  </w:r>
                </w:p>
              </w:tc>
            </w:tr>
            <w:tr w:rsidR="009D1253" w:rsidRPr="00B2133F" w14:paraId="3D4BCCF5" w14:textId="77777777" w:rsidTr="009D1253">
              <w:tc>
                <w:tcPr>
                  <w:tcW w:w="2096" w:type="dxa"/>
                </w:tcPr>
                <w:p w14:paraId="2B5EBC9B"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t>Сдача в аренду помещения</w:t>
                  </w:r>
                </w:p>
              </w:tc>
              <w:tc>
                <w:tcPr>
                  <w:tcW w:w="8557" w:type="dxa"/>
                </w:tcPr>
                <w:p w14:paraId="6C764120" w14:textId="77777777" w:rsidR="009D1253" w:rsidRPr="005500FA" w:rsidRDefault="009D1253" w:rsidP="009D1253">
                  <w:pPr>
                    <w:pStyle w:val="affe"/>
                    <w:numPr>
                      <w:ilvl w:val="0"/>
                      <w:numId w:val="120"/>
                    </w:numPr>
                    <w:tabs>
                      <w:tab w:val="left" w:pos="6979"/>
                    </w:tabs>
                    <w:ind w:left="367" w:right="176" w:hanging="367"/>
                    <w:jc w:val="both"/>
                    <w:rPr>
                      <w:rFonts w:ascii="Tahoma" w:hAnsi="Tahoma" w:cs="Tahoma"/>
                      <w:sz w:val="18"/>
                      <w:szCs w:val="18"/>
                    </w:rPr>
                  </w:pPr>
                  <w:r w:rsidRPr="005500FA">
                    <w:rPr>
                      <w:rFonts w:ascii="Tahoma" w:hAnsi="Tahoma" w:cs="Tahoma"/>
                      <w:sz w:val="18"/>
                      <w:szCs w:val="18"/>
                    </w:rPr>
                    <w:t>Документ, подтверждающий право собственности Заёмщика на помещение</w:t>
                  </w:r>
                </w:p>
                <w:p w14:paraId="0FAD5905" w14:textId="77777777" w:rsidR="009D1253" w:rsidRPr="005500FA" w:rsidRDefault="009D1253" w:rsidP="009D1253">
                  <w:pPr>
                    <w:pStyle w:val="affe"/>
                    <w:numPr>
                      <w:ilvl w:val="0"/>
                      <w:numId w:val="120"/>
                    </w:numPr>
                    <w:tabs>
                      <w:tab w:val="left" w:pos="6979"/>
                    </w:tabs>
                    <w:ind w:left="367" w:right="176" w:hanging="367"/>
                    <w:jc w:val="both"/>
                    <w:rPr>
                      <w:rFonts w:ascii="Tahoma" w:hAnsi="Tahoma" w:cs="Tahoma"/>
                      <w:sz w:val="18"/>
                      <w:szCs w:val="18"/>
                    </w:rPr>
                  </w:pPr>
                  <w:r w:rsidRPr="005500FA">
                    <w:rPr>
                      <w:rFonts w:ascii="Tahoma" w:hAnsi="Tahoma" w:cs="Tahoma"/>
                      <w:sz w:val="18"/>
                      <w:szCs w:val="18"/>
                    </w:rPr>
                    <w:t>Договор аренды помещения</w:t>
                  </w:r>
                </w:p>
                <w:p w14:paraId="083CD9FB" w14:textId="77777777" w:rsidR="009D1253" w:rsidRPr="005500FA" w:rsidRDefault="009D1253" w:rsidP="009D1253">
                  <w:pPr>
                    <w:pStyle w:val="affe"/>
                    <w:numPr>
                      <w:ilvl w:val="0"/>
                      <w:numId w:val="120"/>
                    </w:numPr>
                    <w:tabs>
                      <w:tab w:val="left" w:pos="6979"/>
                    </w:tabs>
                    <w:ind w:left="367" w:right="176" w:hanging="367"/>
                    <w:jc w:val="both"/>
                    <w:rPr>
                      <w:rFonts w:ascii="Tahoma" w:hAnsi="Tahoma" w:cs="Tahoma"/>
                      <w:sz w:val="18"/>
                      <w:szCs w:val="18"/>
                    </w:rPr>
                  </w:pPr>
                  <w:r w:rsidRPr="005500FA">
                    <w:rPr>
                      <w:rFonts w:ascii="Tahoma" w:hAnsi="Tahoma" w:cs="Tahoma"/>
                      <w:sz w:val="18"/>
                      <w:szCs w:val="18"/>
                    </w:rPr>
                    <w:t>Выписка со счета, выданная кредитными организациями, на который осуществляются регулярные выплаты Заёмщику доходов от сдачи внаем (в аренду) недвижимого имущества (при условии подтверждения права собственности (владения) этим имуществом), в т.ч. сформированная  из мобильного Банка</w:t>
                  </w:r>
                </w:p>
                <w:p w14:paraId="21831866" w14:textId="77777777" w:rsidR="009D1253" w:rsidRPr="005500FA" w:rsidRDefault="009D1253" w:rsidP="009D1253">
                  <w:pPr>
                    <w:pStyle w:val="affe"/>
                    <w:numPr>
                      <w:ilvl w:val="0"/>
                      <w:numId w:val="120"/>
                    </w:numPr>
                    <w:tabs>
                      <w:tab w:val="left" w:pos="6979"/>
                    </w:tabs>
                    <w:ind w:left="367" w:right="176" w:hanging="367"/>
                    <w:jc w:val="both"/>
                    <w:rPr>
                      <w:rFonts w:ascii="Tahoma" w:hAnsi="Tahoma" w:cs="Tahoma"/>
                      <w:sz w:val="18"/>
                      <w:szCs w:val="18"/>
                    </w:rPr>
                  </w:pPr>
                  <w:r w:rsidRPr="005500FA">
                    <w:rPr>
                      <w:rFonts w:ascii="Tahoma" w:hAnsi="Tahoma" w:cs="Tahoma"/>
                      <w:sz w:val="18"/>
                      <w:szCs w:val="18"/>
                    </w:rPr>
                    <w:t>Копия налоговой декларации по налогу на доходы физических лиц (форма 3-НДФЛ) и копии платежных документов, подтверждающих уплату налогов и сборов по договорам аренды/найма за последний налоговый период</w:t>
                  </w:r>
                </w:p>
              </w:tc>
            </w:tr>
            <w:tr w:rsidR="009D1253" w:rsidRPr="00B2133F" w14:paraId="11FADBE2" w14:textId="77777777" w:rsidTr="009D1253">
              <w:tc>
                <w:tcPr>
                  <w:tcW w:w="2096" w:type="dxa"/>
                </w:tcPr>
                <w:p w14:paraId="2002ACEC"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lastRenderedPageBreak/>
                    <w:t>Вознаграждения по договорам гражданско-правового характера</w:t>
                  </w:r>
                </w:p>
              </w:tc>
              <w:tc>
                <w:tcPr>
                  <w:tcW w:w="8557" w:type="dxa"/>
                </w:tcPr>
                <w:p w14:paraId="21B08C03" w14:textId="77777777" w:rsidR="009D1253" w:rsidRPr="00F33745" w:rsidRDefault="009D1253" w:rsidP="009D1253">
                  <w:pPr>
                    <w:pStyle w:val="affe"/>
                    <w:numPr>
                      <w:ilvl w:val="0"/>
                      <w:numId w:val="121"/>
                    </w:numPr>
                    <w:tabs>
                      <w:tab w:val="left" w:pos="6979"/>
                    </w:tabs>
                    <w:ind w:right="176"/>
                    <w:jc w:val="both"/>
                    <w:rPr>
                      <w:rFonts w:ascii="Tahoma" w:hAnsi="Tahoma" w:cs="Tahoma"/>
                      <w:sz w:val="18"/>
                      <w:szCs w:val="18"/>
                    </w:rPr>
                  </w:pPr>
                  <w:r w:rsidRPr="00F33745">
                    <w:rPr>
                      <w:rFonts w:ascii="Tahoma" w:hAnsi="Tahoma" w:cs="Tahoma"/>
                      <w:sz w:val="18"/>
                      <w:szCs w:val="18"/>
                    </w:rPr>
                    <w:t>Договор</w:t>
                  </w:r>
                </w:p>
                <w:p w14:paraId="0CF8245D" w14:textId="77777777" w:rsidR="009D1253" w:rsidRDefault="009D1253" w:rsidP="009D1253">
                  <w:pPr>
                    <w:pStyle w:val="affe"/>
                    <w:numPr>
                      <w:ilvl w:val="0"/>
                      <w:numId w:val="121"/>
                    </w:numPr>
                    <w:tabs>
                      <w:tab w:val="left" w:pos="6979"/>
                    </w:tabs>
                    <w:ind w:right="176"/>
                    <w:jc w:val="both"/>
                    <w:rPr>
                      <w:rFonts w:ascii="Tahoma" w:hAnsi="Tahoma" w:cs="Tahoma"/>
                      <w:sz w:val="18"/>
                      <w:szCs w:val="18"/>
                    </w:rPr>
                  </w:pPr>
                  <w:r w:rsidRPr="00F33745">
                    <w:rPr>
                      <w:rFonts w:ascii="Tahoma" w:hAnsi="Tahoma" w:cs="Tahoma"/>
                      <w:sz w:val="18"/>
                      <w:szCs w:val="18"/>
                    </w:rPr>
                    <w:t>Один из следующи</w:t>
                  </w:r>
                  <w:r>
                    <w:rPr>
                      <w:rFonts w:ascii="Tahoma" w:hAnsi="Tahoma" w:cs="Tahoma"/>
                      <w:sz w:val="18"/>
                      <w:szCs w:val="18"/>
                    </w:rPr>
                    <w:t>х документов по выбору Заёмщика:</w:t>
                  </w:r>
                </w:p>
                <w:p w14:paraId="2697AC06" w14:textId="77777777" w:rsidR="009D1253" w:rsidRDefault="009D1253" w:rsidP="009D1253">
                  <w:pPr>
                    <w:pStyle w:val="affe"/>
                    <w:numPr>
                      <w:ilvl w:val="1"/>
                      <w:numId w:val="121"/>
                    </w:numPr>
                    <w:tabs>
                      <w:tab w:val="left" w:pos="6979"/>
                    </w:tabs>
                    <w:ind w:left="509" w:right="176" w:hanging="509"/>
                    <w:jc w:val="both"/>
                    <w:rPr>
                      <w:rFonts w:ascii="Tahoma" w:hAnsi="Tahoma" w:cs="Tahoma"/>
                      <w:sz w:val="18"/>
                      <w:szCs w:val="18"/>
                    </w:rPr>
                  </w:pPr>
                  <w:r w:rsidRPr="00F33745">
                    <w:rPr>
                      <w:rFonts w:ascii="Tahoma" w:hAnsi="Tahoma" w:cs="Tahoma"/>
                      <w:sz w:val="18"/>
                      <w:szCs w:val="18"/>
                    </w:rPr>
                    <w:t xml:space="preserve">копия налоговой декларации по </w:t>
                  </w:r>
                  <w:r>
                    <w:rPr>
                      <w:rFonts w:ascii="Tahoma" w:hAnsi="Tahoma" w:cs="Tahoma"/>
                      <w:sz w:val="18"/>
                      <w:szCs w:val="18"/>
                    </w:rPr>
                    <w:t>форме 3-НДФЛ</w:t>
                  </w:r>
                </w:p>
                <w:p w14:paraId="23AF2A6A" w14:textId="77777777" w:rsidR="009D1253" w:rsidRPr="00F33745" w:rsidRDefault="009D1253" w:rsidP="009D1253">
                  <w:pPr>
                    <w:pStyle w:val="affe"/>
                    <w:numPr>
                      <w:ilvl w:val="1"/>
                      <w:numId w:val="121"/>
                    </w:numPr>
                    <w:tabs>
                      <w:tab w:val="left" w:pos="6979"/>
                    </w:tabs>
                    <w:ind w:left="509" w:right="176" w:hanging="509"/>
                    <w:jc w:val="both"/>
                    <w:rPr>
                      <w:rFonts w:ascii="Tahoma" w:hAnsi="Tahoma" w:cs="Tahoma"/>
                      <w:sz w:val="18"/>
                      <w:szCs w:val="18"/>
                    </w:rPr>
                  </w:pPr>
                  <w:r w:rsidRPr="00F33745">
                    <w:rPr>
                      <w:rFonts w:ascii="Tahoma" w:hAnsi="Tahoma" w:cs="Tahoma"/>
                      <w:sz w:val="18"/>
                      <w:szCs w:val="18"/>
                    </w:rPr>
                    <w:t>справка о доходах и суммах налога физического лица**</w:t>
                  </w:r>
                </w:p>
              </w:tc>
            </w:tr>
            <w:tr w:rsidR="009D1253" w:rsidRPr="00B2133F" w14:paraId="37409070" w14:textId="77777777" w:rsidTr="009D1253">
              <w:tc>
                <w:tcPr>
                  <w:tcW w:w="2096" w:type="dxa"/>
                </w:tcPr>
                <w:p w14:paraId="5FD2297E"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t>Прочие виды (источники) дохода</w:t>
                  </w:r>
                </w:p>
              </w:tc>
              <w:tc>
                <w:tcPr>
                  <w:tcW w:w="8557" w:type="dxa"/>
                </w:tcPr>
                <w:p w14:paraId="1C8EB00D" w14:textId="77777777" w:rsidR="009D1253" w:rsidRDefault="009D1253" w:rsidP="009D1253">
                  <w:pPr>
                    <w:numPr>
                      <w:ilvl w:val="0"/>
                      <w:numId w:val="122"/>
                    </w:numPr>
                    <w:tabs>
                      <w:tab w:val="left" w:pos="84"/>
                    </w:tabs>
                    <w:ind w:right="178"/>
                    <w:jc w:val="both"/>
                    <w:textAlignment w:val="baseline"/>
                    <w:rPr>
                      <w:rFonts w:ascii="Tahoma" w:hAnsi="Tahoma" w:cs="Tahoma"/>
                      <w:sz w:val="18"/>
                      <w:szCs w:val="18"/>
                      <w:lang w:eastAsia="en-US"/>
                    </w:rPr>
                  </w:pPr>
                  <w:r w:rsidRPr="00B2133F">
                    <w:rPr>
                      <w:rFonts w:ascii="Tahoma" w:hAnsi="Tahoma" w:cs="Tahoma"/>
                      <w:sz w:val="18"/>
                      <w:szCs w:val="18"/>
                      <w:lang w:eastAsia="en-US"/>
                    </w:rPr>
                    <w:t>Справка о сумме ежемесячной денежной выплаты, ежемесячной денежной компенсации, ежемесячного дополнительного материального обеспечения, выданная гос</w:t>
                  </w:r>
                  <w:r>
                    <w:rPr>
                      <w:rFonts w:ascii="Tahoma" w:hAnsi="Tahoma" w:cs="Tahoma"/>
                      <w:sz w:val="18"/>
                      <w:szCs w:val="18"/>
                      <w:lang w:eastAsia="en-US"/>
                    </w:rPr>
                    <w:t>ударственным органом Заёмщику</w:t>
                  </w:r>
                </w:p>
                <w:p w14:paraId="29049E11" w14:textId="77777777" w:rsidR="009D1253" w:rsidRPr="00F33745" w:rsidRDefault="009D1253" w:rsidP="009D1253">
                  <w:pPr>
                    <w:numPr>
                      <w:ilvl w:val="0"/>
                      <w:numId w:val="122"/>
                    </w:numPr>
                    <w:tabs>
                      <w:tab w:val="left" w:pos="84"/>
                    </w:tabs>
                    <w:ind w:right="178"/>
                    <w:jc w:val="both"/>
                    <w:textAlignment w:val="baseline"/>
                    <w:rPr>
                      <w:rFonts w:ascii="Tahoma" w:hAnsi="Tahoma" w:cs="Tahoma"/>
                      <w:sz w:val="18"/>
                      <w:szCs w:val="18"/>
                      <w:lang w:eastAsia="en-US"/>
                    </w:rPr>
                  </w:pPr>
                  <w:r w:rsidRPr="00F33745">
                    <w:rPr>
                      <w:rFonts w:ascii="Tahoma" w:hAnsi="Tahoma" w:cs="Tahoma"/>
                      <w:sz w:val="18"/>
                      <w:szCs w:val="18"/>
                    </w:rPr>
                    <w:t>Документ, содержащий сведения о доходах Заёмщика, выданные государственными (муниципальными) органами, учреждениями, организациями или предприятиями (включая документы, выданные должностными лицами Вооруженных Сил Российской Федерации и воинских формирований), а также физическими лицами, зарегистрированными в качестве индивидуаль</w:t>
                  </w:r>
                  <w:r>
                    <w:rPr>
                      <w:rFonts w:ascii="Tahoma" w:hAnsi="Tahoma" w:cs="Tahoma"/>
                      <w:sz w:val="18"/>
                      <w:szCs w:val="18"/>
                    </w:rPr>
                    <w:t>ных предпринимателей</w:t>
                  </w:r>
                </w:p>
                <w:p w14:paraId="3130C69F" w14:textId="77777777" w:rsidR="009D1253" w:rsidRPr="00F33745" w:rsidRDefault="009D1253" w:rsidP="009D1253">
                  <w:pPr>
                    <w:numPr>
                      <w:ilvl w:val="0"/>
                      <w:numId w:val="122"/>
                    </w:numPr>
                    <w:tabs>
                      <w:tab w:val="left" w:pos="84"/>
                    </w:tabs>
                    <w:ind w:right="178"/>
                    <w:jc w:val="both"/>
                    <w:textAlignment w:val="baseline"/>
                    <w:rPr>
                      <w:rFonts w:ascii="Tahoma" w:hAnsi="Tahoma" w:cs="Tahoma"/>
                      <w:sz w:val="18"/>
                      <w:szCs w:val="18"/>
                      <w:lang w:eastAsia="en-US"/>
                    </w:rPr>
                  </w:pPr>
                  <w:r w:rsidRPr="00F33745">
                    <w:rPr>
                      <w:rFonts w:ascii="Tahoma" w:hAnsi="Tahoma" w:cs="Tahoma"/>
                      <w:sz w:val="18"/>
                      <w:szCs w:val="18"/>
                    </w:rPr>
                    <w:t>Выписка со счета, выданная кредитными организациями, на который осуществляются социальные выплаты, а также иные регулярные выплаты Клиенту, в т.ч. сформированная из мобильного/интернет банка</w:t>
                  </w:r>
                </w:p>
              </w:tc>
            </w:tr>
          </w:tbl>
          <w:p w14:paraId="42F1E7E3" w14:textId="77777777" w:rsidR="009D1253" w:rsidRDefault="009D1253" w:rsidP="009D1253">
            <w:pPr>
              <w:tabs>
                <w:tab w:val="left" w:pos="6979"/>
              </w:tabs>
              <w:ind w:right="176"/>
              <w:jc w:val="both"/>
              <w:rPr>
                <w:rFonts w:ascii="Tahoma" w:hAnsi="Tahoma" w:cs="Tahoma"/>
                <w:sz w:val="18"/>
                <w:szCs w:val="18"/>
              </w:rPr>
            </w:pPr>
            <w:r w:rsidRPr="00B2133F">
              <w:rPr>
                <w:rFonts w:ascii="Tahoma" w:hAnsi="Tahoma" w:cs="Tahoma"/>
                <w:sz w:val="18"/>
                <w:szCs w:val="18"/>
              </w:rPr>
              <w:t>*Документ должен содержать информацию о доходе за последние 12 (двенадцать) месяцев. В случае если стаж работы составляет менее 12 месяцев, документ предоставляется за фактическое количество отработанных</w:t>
            </w:r>
            <w:r>
              <w:rPr>
                <w:rFonts w:ascii="Tahoma" w:hAnsi="Tahoma" w:cs="Tahoma"/>
                <w:sz w:val="18"/>
                <w:szCs w:val="18"/>
              </w:rPr>
              <w:t xml:space="preserve"> месяцев, но не менее 3 месяцев</w:t>
            </w:r>
            <w:r w:rsidRPr="00B2133F">
              <w:rPr>
                <w:rFonts w:ascii="Tahoma" w:hAnsi="Tahoma" w:cs="Tahoma"/>
                <w:sz w:val="18"/>
                <w:szCs w:val="18"/>
              </w:rPr>
              <w:t xml:space="preserve"> </w:t>
            </w:r>
          </w:p>
          <w:p w14:paraId="5559C914" w14:textId="77777777" w:rsidR="009D1253" w:rsidRPr="00B2133F" w:rsidRDefault="009D1253" w:rsidP="009D1253">
            <w:pPr>
              <w:tabs>
                <w:tab w:val="left" w:pos="6979"/>
              </w:tabs>
              <w:ind w:right="176"/>
              <w:jc w:val="both"/>
              <w:rPr>
                <w:rFonts w:ascii="Tahoma" w:hAnsi="Tahoma" w:cs="Tahoma"/>
                <w:sz w:val="18"/>
                <w:szCs w:val="18"/>
              </w:rPr>
            </w:pPr>
            <w:r w:rsidRPr="00B2133F">
              <w:rPr>
                <w:rFonts w:ascii="Tahoma" w:hAnsi="Tahoma" w:cs="Tahoma"/>
                <w:sz w:val="18"/>
                <w:szCs w:val="18"/>
              </w:rPr>
              <w:t>** Документ, подтверждающий доход должен содержать в составе реквизитов ИНН работодателя</w:t>
            </w:r>
            <w:r>
              <w:rPr>
                <w:rFonts w:ascii="Tahoma" w:hAnsi="Tahoma" w:cs="Tahoma"/>
                <w:sz w:val="18"/>
                <w:szCs w:val="18"/>
              </w:rPr>
              <w:t>/контрагента</w:t>
            </w:r>
          </w:p>
          <w:p w14:paraId="7083E765" w14:textId="77777777" w:rsidR="009D1253" w:rsidRDefault="009D1253" w:rsidP="009D1253">
            <w:pPr>
              <w:tabs>
                <w:tab w:val="left" w:pos="-3402"/>
                <w:tab w:val="left" w:pos="851"/>
              </w:tabs>
              <w:ind w:right="-1"/>
              <w:jc w:val="both"/>
              <w:rPr>
                <w:rFonts w:ascii="Tahoma" w:hAnsi="Tahoma" w:cs="Tahoma"/>
                <w:sz w:val="18"/>
                <w:szCs w:val="18"/>
              </w:rPr>
            </w:pPr>
            <w:r w:rsidRPr="00B2133F">
              <w:rPr>
                <w:rFonts w:ascii="Tahoma" w:hAnsi="Tahoma" w:cs="Tahoma"/>
                <w:sz w:val="18"/>
                <w:szCs w:val="18"/>
              </w:rPr>
              <w:t>***</w:t>
            </w:r>
            <w:r w:rsidRPr="00B975F2">
              <w:rPr>
                <w:rFonts w:ascii="Tahoma" w:hAnsi="Tahoma" w:cs="Tahoma"/>
                <w:sz w:val="18"/>
                <w:szCs w:val="18"/>
              </w:rPr>
              <w:t>Банк получает документ в электронной форме из государственных информационных систем, если Заемщиком выражено согласие в соответствии с законодательством Российской Федерации на запрос выписки по индивидуальному лицевому счету Заемщика, который ведется в Социальном Фонде Российской Федерации</w:t>
            </w:r>
          </w:p>
          <w:p w14:paraId="0F50F373" w14:textId="77777777" w:rsidR="009D1253" w:rsidRPr="005A07E7" w:rsidRDefault="009D1253" w:rsidP="009D1253">
            <w:pPr>
              <w:autoSpaceDE w:val="0"/>
              <w:autoSpaceDN w:val="0"/>
              <w:adjustRightInd w:val="0"/>
              <w:rPr>
                <w:rFonts w:ascii="Tahoma" w:hAnsi="Tahoma" w:cs="Tahoma"/>
                <w:sz w:val="18"/>
                <w:szCs w:val="18"/>
              </w:rPr>
            </w:pPr>
            <w:r w:rsidRPr="00B2133F">
              <w:rPr>
                <w:rFonts w:ascii="Tahoma" w:hAnsi="Tahoma" w:cs="Tahoma"/>
                <w:sz w:val="18"/>
                <w:szCs w:val="18"/>
              </w:rPr>
              <w:t>****Для учета дохода в виде пенсии допускается принимать документ, содержащий сведения о доходе за 1 (один) календарный месяц, принимаются выплаты, которые были получены (начислены или назначены): страховой и (или) накопительной пенсионных выплат (за исключением суммы единовременных пенсионных выплат), а также дополнительных ежемесячных денежных выплат, компенсаций и материального обеспечения (за исключением набора социальных услуг и федеральной социальной доплаты к пенсии, если они отдельно указаны в подтверждающем документе, предусмотренном в настоящем перечне подтверждающих документов)</w:t>
            </w:r>
            <w:r w:rsidRPr="005A07E7">
              <w:rPr>
                <w:rFonts w:ascii="Tahoma" w:hAnsi="Tahoma" w:cs="Tahoma"/>
                <w:strike/>
                <w:sz w:val="18"/>
                <w:szCs w:val="18"/>
              </w:rPr>
              <w:fldChar w:fldCharType="begin"/>
            </w:r>
            <w:r w:rsidRPr="005A07E7">
              <w:rPr>
                <w:rFonts w:ascii="Tahoma" w:hAnsi="Tahoma" w:cs="Tahoma"/>
                <w:strike/>
                <w:sz w:val="18"/>
                <w:szCs w:val="18"/>
              </w:rPr>
              <w:instrText xml:space="preserve"> DOCVARIABLE  ATB_ADDRESS_REG </w:instrText>
            </w:r>
            <w:r w:rsidRPr="005A07E7">
              <w:rPr>
                <w:rFonts w:ascii="Tahoma" w:hAnsi="Tahoma" w:cs="Tahoma"/>
                <w:strike/>
                <w:sz w:val="18"/>
                <w:szCs w:val="18"/>
              </w:rPr>
              <w:fldChar w:fldCharType="end"/>
            </w:r>
          </w:p>
        </w:tc>
      </w:tr>
      <w:tr w:rsidR="009D1253" w:rsidRPr="005A07E7" w14:paraId="1E525409"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540"/>
        </w:trPr>
        <w:tc>
          <w:tcPr>
            <w:tcW w:w="1475" w:type="pct"/>
            <w:tcBorders>
              <w:top w:val="single" w:sz="4" w:space="0" w:color="auto"/>
              <w:left w:val="single" w:sz="8" w:space="0" w:color="auto"/>
              <w:bottom w:val="single" w:sz="4" w:space="0" w:color="auto"/>
              <w:right w:val="single" w:sz="4" w:space="0" w:color="auto"/>
            </w:tcBorders>
            <w:vAlign w:val="center"/>
          </w:tcPr>
          <w:p w14:paraId="7B834302"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lastRenderedPageBreak/>
              <w:t>Требования к приобретаемым ТС</w:t>
            </w:r>
          </w:p>
        </w:tc>
        <w:tc>
          <w:tcPr>
            <w:tcW w:w="3525" w:type="pct"/>
            <w:tcBorders>
              <w:top w:val="single" w:sz="4" w:space="0" w:color="auto"/>
              <w:left w:val="nil"/>
              <w:bottom w:val="single" w:sz="4" w:space="0" w:color="auto"/>
              <w:right w:val="single" w:sz="8" w:space="0" w:color="000000"/>
            </w:tcBorders>
            <w:shd w:val="clear" w:color="auto" w:fill="auto"/>
            <w:noWrap/>
            <w:vAlign w:val="center"/>
          </w:tcPr>
          <w:p w14:paraId="75AEA546" w14:textId="77777777" w:rsidR="009D1253" w:rsidRPr="003D6559" w:rsidRDefault="009D1253" w:rsidP="009D1253">
            <w:pPr>
              <w:pStyle w:val="a9"/>
              <w:tabs>
                <w:tab w:val="left" w:pos="0"/>
                <w:tab w:val="left" w:pos="176"/>
              </w:tabs>
              <w:spacing w:before="0" w:after="0"/>
              <w:rPr>
                <w:rFonts w:ascii="Tahoma" w:hAnsi="Tahoma" w:cs="Tahoma"/>
                <w:b/>
                <w:lang w:eastAsia="en-US"/>
              </w:rPr>
            </w:pPr>
            <w:r w:rsidRPr="003D6559">
              <w:rPr>
                <w:rFonts w:ascii="Tahoma" w:hAnsi="Tahoma" w:cs="Tahoma"/>
                <w:b/>
                <w:lang w:eastAsia="en-US"/>
              </w:rPr>
              <w:t>Возраст ТС на момент выдачи кредита:</w:t>
            </w:r>
          </w:p>
          <w:p w14:paraId="480770E1" w14:textId="77777777" w:rsidR="009D1253" w:rsidRPr="003D6559" w:rsidRDefault="009D1253" w:rsidP="009D1253">
            <w:pPr>
              <w:pStyle w:val="a9"/>
              <w:tabs>
                <w:tab w:val="left" w:pos="0"/>
                <w:tab w:val="left" w:pos="176"/>
              </w:tabs>
              <w:spacing w:before="0" w:after="0"/>
              <w:rPr>
                <w:rFonts w:ascii="Tahoma" w:eastAsiaTheme="minorHAnsi" w:hAnsi="Tahoma" w:cs="Tahoma"/>
                <w:lang w:eastAsia="en-US"/>
              </w:rPr>
            </w:pPr>
            <w:r w:rsidRPr="003D6559">
              <w:rPr>
                <w:rFonts w:ascii="Tahoma" w:eastAsiaTheme="minorHAnsi" w:hAnsi="Tahoma" w:cs="Tahoma"/>
                <w:lang w:eastAsia="en-US"/>
              </w:rPr>
              <w:t>для ТС отечественных марок – не более 12 лет</w:t>
            </w:r>
          </w:p>
          <w:p w14:paraId="60824AB8" w14:textId="77777777" w:rsidR="009D1253" w:rsidRPr="00636486" w:rsidRDefault="009D1253" w:rsidP="009D1253">
            <w:pPr>
              <w:pStyle w:val="a9"/>
              <w:tabs>
                <w:tab w:val="left" w:pos="0"/>
                <w:tab w:val="left" w:pos="176"/>
              </w:tabs>
              <w:spacing w:before="0" w:after="0"/>
              <w:rPr>
                <w:rFonts w:ascii="Tahoma" w:eastAsiaTheme="minorHAnsi" w:hAnsi="Tahoma" w:cs="Tahoma"/>
                <w:lang w:eastAsia="en-US"/>
              </w:rPr>
            </w:pPr>
            <w:r w:rsidRPr="003D6559">
              <w:rPr>
                <w:rFonts w:ascii="Tahoma" w:eastAsiaTheme="minorHAnsi" w:hAnsi="Tahoma" w:cs="Tahoma"/>
                <w:lang w:eastAsia="en-US"/>
              </w:rPr>
              <w:t>для ТС иностранных марок – не более 17 лет</w:t>
            </w:r>
          </w:p>
          <w:p w14:paraId="01794CAA" w14:textId="77777777" w:rsidR="009D1253" w:rsidRPr="005A07E7" w:rsidRDefault="009D1253" w:rsidP="009D1253">
            <w:pPr>
              <w:pStyle w:val="a9"/>
              <w:tabs>
                <w:tab w:val="left" w:pos="0"/>
                <w:tab w:val="left" w:pos="176"/>
              </w:tabs>
              <w:spacing w:before="0" w:after="0"/>
              <w:rPr>
                <w:rFonts w:ascii="Tahoma" w:hAnsi="Tahoma" w:cs="Tahoma"/>
                <w:b/>
                <w:sz w:val="18"/>
                <w:szCs w:val="18"/>
                <w:lang w:eastAsia="en-US"/>
              </w:rPr>
            </w:pPr>
          </w:p>
          <w:p w14:paraId="257EC4BD" w14:textId="77777777" w:rsidR="009D1253" w:rsidRPr="005A07E7" w:rsidRDefault="009D1253" w:rsidP="009D1253">
            <w:pPr>
              <w:pStyle w:val="a9"/>
              <w:tabs>
                <w:tab w:val="left" w:pos="0"/>
                <w:tab w:val="left" w:pos="176"/>
              </w:tabs>
              <w:spacing w:before="0" w:after="0"/>
              <w:rPr>
                <w:rFonts w:ascii="Tahoma" w:hAnsi="Tahoma" w:cs="Tahoma"/>
                <w:b/>
                <w:sz w:val="18"/>
                <w:szCs w:val="18"/>
                <w:lang w:eastAsia="en-US"/>
              </w:rPr>
            </w:pPr>
            <w:r w:rsidRPr="005A07E7">
              <w:rPr>
                <w:rFonts w:ascii="Tahoma" w:hAnsi="Tahoma" w:cs="Tahoma"/>
                <w:b/>
                <w:sz w:val="18"/>
                <w:szCs w:val="18"/>
                <w:lang w:eastAsia="en-US"/>
              </w:rPr>
              <w:t>Требования к новому ТС (одновременное выполнение условий):</w:t>
            </w:r>
          </w:p>
          <w:p w14:paraId="0B4E5C3C" w14:textId="77777777" w:rsidR="009D1253" w:rsidRDefault="009D1253" w:rsidP="009D1253">
            <w:pPr>
              <w:tabs>
                <w:tab w:val="left" w:pos="6979"/>
              </w:tabs>
              <w:ind w:right="176"/>
              <w:jc w:val="both"/>
              <w:rPr>
                <w:rFonts w:ascii="Tahoma" w:hAnsi="Tahoma" w:cs="Tahoma"/>
                <w:sz w:val="20"/>
                <w:szCs w:val="20"/>
              </w:rPr>
            </w:pPr>
            <w:r w:rsidRPr="005A07E7">
              <w:rPr>
                <w:rFonts w:ascii="Tahoma" w:hAnsi="Tahoma" w:cs="Tahoma"/>
                <w:sz w:val="20"/>
                <w:szCs w:val="20"/>
              </w:rPr>
              <w:t xml:space="preserve">- приобретаемое новое ТС на дату выдачи Кредита не должно находиться на регистрационном учете в соответствии с законодательством РФ (за исключением случаев постановки на учет юридическим лицом </w:t>
            </w:r>
            <w:r>
              <w:rPr>
                <w:rFonts w:ascii="Tahoma" w:hAnsi="Tahoma" w:cs="Tahoma"/>
                <w:sz w:val="20"/>
                <w:szCs w:val="20"/>
              </w:rPr>
              <w:t>ТС</w:t>
            </w:r>
            <w:r w:rsidRPr="005A07E7">
              <w:rPr>
                <w:rFonts w:ascii="Tahoma" w:hAnsi="Tahoma" w:cs="Tahoma"/>
                <w:sz w:val="20"/>
                <w:szCs w:val="20"/>
              </w:rPr>
              <w:t>, используемых для тест-драйва);</w:t>
            </w:r>
          </w:p>
          <w:p w14:paraId="5835130B" w14:textId="77777777" w:rsidR="009D1253" w:rsidRDefault="009D1253" w:rsidP="009D1253">
            <w:pPr>
              <w:tabs>
                <w:tab w:val="left" w:pos="6979"/>
              </w:tabs>
              <w:ind w:right="176"/>
              <w:jc w:val="both"/>
              <w:rPr>
                <w:rFonts w:ascii="Tahoma" w:hAnsi="Tahoma" w:cs="Tahoma"/>
                <w:sz w:val="20"/>
                <w:szCs w:val="20"/>
              </w:rPr>
            </w:pPr>
            <w:r>
              <w:rPr>
                <w:rFonts w:ascii="Tahoma" w:hAnsi="Tahoma" w:cs="Tahoma"/>
                <w:sz w:val="20"/>
                <w:szCs w:val="20"/>
              </w:rPr>
              <w:t>- по ТС имеется выписка из ЭПТС</w:t>
            </w:r>
            <w:r>
              <w:rPr>
                <w:rFonts w:ascii="Tahoma" w:hAnsi="Tahoma" w:cs="Tahoma"/>
                <w:sz w:val="18"/>
                <w:szCs w:val="18"/>
              </w:rPr>
              <w:t>*</w:t>
            </w:r>
            <w:r>
              <w:rPr>
                <w:rFonts w:ascii="Tahoma" w:hAnsi="Tahoma" w:cs="Tahoma"/>
                <w:sz w:val="20"/>
                <w:szCs w:val="20"/>
              </w:rPr>
              <w:t xml:space="preserve"> в статусе «действующий»</w:t>
            </w:r>
            <w:r>
              <w:rPr>
                <w:rFonts w:ascii="Tahoma" w:hAnsi="Tahoma" w:cs="Tahoma"/>
                <w:sz w:val="18"/>
                <w:szCs w:val="18"/>
              </w:rPr>
              <w:t xml:space="preserve"> / «незавершенный»</w:t>
            </w:r>
            <w:r>
              <w:rPr>
                <w:rFonts w:ascii="Tahoma" w:hAnsi="Tahoma" w:cs="Tahoma"/>
                <w:sz w:val="20"/>
                <w:szCs w:val="20"/>
              </w:rPr>
              <w:t>;</w:t>
            </w:r>
          </w:p>
          <w:p w14:paraId="072879C2" w14:textId="77777777" w:rsidR="009D1253" w:rsidRPr="005A07E7" w:rsidRDefault="009D1253" w:rsidP="009D1253">
            <w:pPr>
              <w:tabs>
                <w:tab w:val="left" w:pos="6979"/>
              </w:tabs>
              <w:ind w:right="176"/>
              <w:jc w:val="both"/>
              <w:rPr>
                <w:rFonts w:ascii="Tahoma" w:hAnsi="Tahoma" w:cs="Tahoma"/>
                <w:sz w:val="20"/>
                <w:szCs w:val="20"/>
              </w:rPr>
            </w:pPr>
            <w:r w:rsidRPr="005A07E7">
              <w:rPr>
                <w:rFonts w:ascii="Tahoma" w:hAnsi="Tahoma" w:cs="Tahoma"/>
                <w:sz w:val="20"/>
                <w:szCs w:val="20"/>
              </w:rPr>
              <w:t xml:space="preserve">- пробег ТС должен быть менее 1 000 км (или 5 000 км при условии предоставления информационного письма дилером об использовании данного </w:t>
            </w:r>
            <w:r>
              <w:rPr>
                <w:rFonts w:ascii="Tahoma" w:hAnsi="Tahoma" w:cs="Tahoma"/>
                <w:sz w:val="20"/>
                <w:szCs w:val="20"/>
              </w:rPr>
              <w:t>ТС</w:t>
            </w:r>
            <w:r w:rsidRPr="005A07E7">
              <w:rPr>
                <w:rFonts w:ascii="Tahoma" w:hAnsi="Tahoma" w:cs="Tahoma"/>
                <w:sz w:val="20"/>
                <w:szCs w:val="20"/>
              </w:rPr>
              <w:t xml:space="preserve"> для тест-драйва);</w:t>
            </w:r>
          </w:p>
          <w:p w14:paraId="36D3C0B9" w14:textId="77777777" w:rsidR="009D1253" w:rsidRDefault="009D1253" w:rsidP="009D1253">
            <w:pPr>
              <w:tabs>
                <w:tab w:val="left" w:pos="6979"/>
              </w:tabs>
              <w:ind w:right="176"/>
              <w:jc w:val="both"/>
              <w:rPr>
                <w:rFonts w:ascii="Tahoma" w:hAnsi="Tahoma" w:cs="Tahoma"/>
                <w:sz w:val="20"/>
                <w:szCs w:val="20"/>
              </w:rPr>
            </w:pPr>
            <w:r w:rsidRPr="00F42CCC">
              <w:rPr>
                <w:rFonts w:ascii="Tahoma" w:hAnsi="Tahoma" w:cs="Tahoma"/>
                <w:sz w:val="20"/>
                <w:szCs w:val="20"/>
              </w:rPr>
              <w:t>- по Кредитам, одобренным на дату ранее, чем «01» июля текущего года, год изготовления ТС отличается от года оформления Кредита не более, чем на 2 года; одобренным с «01» июля текущего года, год изготовления ТС отличается от года оформления Кредита не более, чем на 1 год.</w:t>
            </w:r>
          </w:p>
          <w:p w14:paraId="74954A5A" w14:textId="77777777" w:rsidR="009D1253" w:rsidRPr="005A07E7" w:rsidRDefault="009D1253" w:rsidP="009D1253">
            <w:pPr>
              <w:tabs>
                <w:tab w:val="left" w:pos="6979"/>
              </w:tabs>
              <w:ind w:right="176"/>
              <w:jc w:val="both"/>
              <w:rPr>
                <w:rFonts w:ascii="Tahoma" w:hAnsi="Tahoma" w:cs="Tahoma"/>
                <w:b/>
                <w:sz w:val="18"/>
                <w:szCs w:val="18"/>
              </w:rPr>
            </w:pPr>
            <w:r>
              <w:rPr>
                <w:rFonts w:ascii="Tahoma" w:hAnsi="Tahoma" w:cs="Tahoma"/>
                <w:sz w:val="18"/>
                <w:szCs w:val="20"/>
              </w:rPr>
              <w:t>*</w:t>
            </w:r>
            <w:r w:rsidRPr="00CA5973">
              <w:rPr>
                <w:rFonts w:ascii="Tahoma" w:hAnsi="Tahoma" w:cs="Tahoma"/>
                <w:sz w:val="18"/>
                <w:szCs w:val="20"/>
              </w:rPr>
              <w:t>не требуется при приобретении за счет кредитных средств нового ТС марки: Honda, Lada, Voyah, Omoda, Livan, Jetour, Jaecoo, Evolute, Москвич, Changan, Haval, SkyWell</w:t>
            </w:r>
          </w:p>
        </w:tc>
      </w:tr>
      <w:tr w:rsidR="009D1253" w:rsidRPr="005A07E7" w14:paraId="45D22C79"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576EA221"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lastRenderedPageBreak/>
              <w:t>Способ предоставления Кредита</w:t>
            </w:r>
          </w:p>
        </w:tc>
        <w:tc>
          <w:tcPr>
            <w:tcW w:w="3525" w:type="pct"/>
            <w:tcBorders>
              <w:top w:val="single" w:sz="4" w:space="0" w:color="auto"/>
              <w:left w:val="nil"/>
              <w:bottom w:val="single" w:sz="4" w:space="0" w:color="auto"/>
              <w:right w:val="single" w:sz="8" w:space="0" w:color="000000"/>
            </w:tcBorders>
            <w:noWrap/>
            <w:vAlign w:val="center"/>
          </w:tcPr>
          <w:p w14:paraId="4A4EA30E"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Перевод денежных средств на ТБС Заёмщика, открытый в Банке</w:t>
            </w:r>
            <w:r>
              <w:rPr>
                <w:rFonts w:ascii="Tahoma" w:hAnsi="Tahoma" w:cs="Tahoma"/>
                <w:sz w:val="20"/>
                <w:szCs w:val="20"/>
              </w:rPr>
              <w:t>,</w:t>
            </w:r>
            <w:r w:rsidRPr="005A07E7">
              <w:rPr>
                <w:rFonts w:ascii="Tahoma" w:hAnsi="Tahoma" w:cs="Tahoma"/>
                <w:sz w:val="20"/>
                <w:szCs w:val="20"/>
              </w:rPr>
              <w:t xml:space="preserve"> для использования Заёмщиком на цели использования Кредита, указанные в  настоящем документе.</w:t>
            </w:r>
          </w:p>
        </w:tc>
      </w:tr>
      <w:tr w:rsidR="009D1253" w:rsidRPr="005A07E7" w14:paraId="7E82DC1F" w14:textId="77777777" w:rsidTr="009D1253">
        <w:tblPrEx>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tcPr>
          <w:p w14:paraId="2B00F660" w14:textId="77777777" w:rsidR="009D1253" w:rsidRPr="00ED6334" w:rsidRDefault="009D1253" w:rsidP="009D1253">
            <w:pPr>
              <w:rPr>
                <w:rFonts w:ascii="Tahoma" w:hAnsi="Tahoma" w:cs="Tahoma"/>
                <w:b/>
                <w:sz w:val="20"/>
                <w:szCs w:val="20"/>
              </w:rPr>
            </w:pPr>
            <w:r w:rsidRPr="00ED6334">
              <w:rPr>
                <w:rFonts w:ascii="Tahoma" w:hAnsi="Tahoma" w:cs="Tahoma"/>
                <w:b/>
                <w:sz w:val="20"/>
              </w:rPr>
              <w:t>Информация о возможном увеличении суммы расходов Заемщика по сравнению с ожидаемой суммой расходов в рублях, в том числе при применении переменной процентной ставки, а также информация о том, что изменение курса иностранной валюты в прошлом не свидетельствует об изменении ее курса в будущем, и информация о повышенных рисках заемщика, получающего доходы в валюте, отличной от валюты Кредита</w:t>
            </w:r>
          </w:p>
        </w:tc>
        <w:tc>
          <w:tcPr>
            <w:tcW w:w="3525" w:type="pct"/>
            <w:tcBorders>
              <w:top w:val="single" w:sz="4" w:space="0" w:color="auto"/>
              <w:left w:val="nil"/>
              <w:bottom w:val="single" w:sz="4" w:space="0" w:color="auto"/>
              <w:right w:val="single" w:sz="8" w:space="0" w:color="000000"/>
            </w:tcBorders>
            <w:noWrap/>
            <w:vAlign w:val="center"/>
          </w:tcPr>
          <w:p w14:paraId="5EF8813D" w14:textId="77777777" w:rsidR="009D1253" w:rsidRPr="00ED6334" w:rsidRDefault="009D1253" w:rsidP="009D1253">
            <w:pPr>
              <w:widowControl w:val="0"/>
              <w:tabs>
                <w:tab w:val="left" w:pos="426"/>
                <w:tab w:val="left" w:pos="851"/>
              </w:tabs>
              <w:jc w:val="both"/>
              <w:rPr>
                <w:rFonts w:ascii="Tahoma" w:hAnsi="Tahoma" w:cs="Tahoma"/>
                <w:sz w:val="20"/>
                <w:szCs w:val="20"/>
              </w:rPr>
            </w:pPr>
            <w:r w:rsidRPr="003846F1">
              <w:rPr>
                <w:rFonts w:ascii="Tahoma" w:hAnsi="Tahoma" w:cs="Tahoma"/>
                <w:sz w:val="20"/>
              </w:rPr>
              <w:t>Переменная процентная ставка не применяется в Договоре. Кредит предоставляется в рублях, вместе с тем, Заемщикам, получающим доход в иностранной валюте следует помнить, что изменение курса иностранной валюты в прошлом не свидетельствует об изменении ее курса в будущем, в связи с чем, такие Заемщики несут повышенные риски в связи с получением доходов в иностранной валюте.</w:t>
            </w:r>
          </w:p>
        </w:tc>
      </w:tr>
      <w:tr w:rsidR="009D1253" w:rsidRPr="005A07E7" w14:paraId="40FC01FF"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7D437EBB"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Иные договоры, требуемые для заключения или исполнения Договора</w:t>
            </w:r>
            <w:r w:rsidRPr="003846F1">
              <w:rPr>
                <w:rFonts w:ascii="Tahoma" w:hAnsi="Tahoma" w:cs="Tahoma"/>
                <w:b/>
                <w:bCs/>
                <w:sz w:val="20"/>
                <w:szCs w:val="20"/>
              </w:rPr>
              <w:t>, а также информация о возможности заемщика согласиться с заключением таких договоров и (или) приобретением таких услуг (работ, товаров) либо отказаться от них</w:t>
            </w:r>
          </w:p>
        </w:tc>
        <w:tc>
          <w:tcPr>
            <w:tcW w:w="3525" w:type="pct"/>
            <w:tcBorders>
              <w:top w:val="single" w:sz="4" w:space="0" w:color="auto"/>
              <w:left w:val="nil"/>
              <w:bottom w:val="single" w:sz="4" w:space="0" w:color="auto"/>
              <w:right w:val="single" w:sz="8" w:space="0" w:color="000000"/>
            </w:tcBorders>
            <w:noWrap/>
            <w:vAlign w:val="center"/>
          </w:tcPr>
          <w:p w14:paraId="2161B450" w14:textId="77777777" w:rsidR="009D1253"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 xml:space="preserve">Заключение между </w:t>
            </w:r>
            <w:r>
              <w:rPr>
                <w:rFonts w:ascii="Tahoma" w:hAnsi="Tahoma" w:cs="Tahoma"/>
                <w:sz w:val="20"/>
                <w:szCs w:val="20"/>
              </w:rPr>
              <w:t>с</w:t>
            </w:r>
            <w:r w:rsidRPr="005A07E7">
              <w:rPr>
                <w:rFonts w:ascii="Tahoma" w:hAnsi="Tahoma" w:cs="Tahoma"/>
                <w:sz w:val="20"/>
                <w:szCs w:val="20"/>
              </w:rPr>
              <w:t xml:space="preserve">торонами </w:t>
            </w:r>
            <w:r>
              <w:rPr>
                <w:rFonts w:ascii="Tahoma" w:hAnsi="Tahoma" w:cs="Tahoma"/>
                <w:sz w:val="20"/>
                <w:szCs w:val="20"/>
              </w:rPr>
              <w:t xml:space="preserve">Договора </w:t>
            </w:r>
            <w:r w:rsidRPr="005A07E7">
              <w:rPr>
                <w:rFonts w:ascii="Tahoma" w:hAnsi="Tahoma" w:cs="Tahoma"/>
                <w:sz w:val="20"/>
                <w:szCs w:val="20"/>
              </w:rPr>
              <w:t>банковского счета (на основании которого Заёмщику Банком открывается ТБС), элементы которого включены в Договор, заключение (путем присоединения) УДБО, содержащего Общие условия.</w:t>
            </w:r>
          </w:p>
          <w:p w14:paraId="3C4F1596" w14:textId="77777777" w:rsidR="009D1253" w:rsidRPr="005A07E7" w:rsidRDefault="009D1253" w:rsidP="009D1253">
            <w:pPr>
              <w:widowControl w:val="0"/>
              <w:tabs>
                <w:tab w:val="left" w:pos="426"/>
                <w:tab w:val="left" w:pos="851"/>
              </w:tabs>
              <w:jc w:val="both"/>
              <w:rPr>
                <w:rFonts w:ascii="Tahoma" w:hAnsi="Tahoma" w:cs="Tahoma"/>
                <w:sz w:val="20"/>
                <w:szCs w:val="20"/>
              </w:rPr>
            </w:pPr>
            <w:r w:rsidRPr="003846F1">
              <w:rPr>
                <w:rFonts w:ascii="Tahoma" w:hAnsi="Tahoma" w:cs="Tahoma"/>
                <w:sz w:val="20"/>
                <w:szCs w:val="20"/>
              </w:rPr>
              <w:t>Если при оформлении Договора Заемщику предлагаются иные дополнительные услуги (работы, товары), приобретение которых не является обязательным в силу закона, Заемщик вправе отказаться от их приобретения.</w:t>
            </w:r>
          </w:p>
        </w:tc>
      </w:tr>
      <w:tr w:rsidR="009D1253" w:rsidRPr="005A07E7" w14:paraId="3B0AF974"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1EE559B2" w14:textId="77777777" w:rsidR="009D1253" w:rsidRPr="00ED6334" w:rsidRDefault="009D1253" w:rsidP="009D1253">
            <w:pPr>
              <w:rPr>
                <w:rFonts w:ascii="Tahoma" w:hAnsi="Tahoma" w:cs="Tahoma"/>
                <w:b/>
                <w:sz w:val="20"/>
                <w:szCs w:val="20"/>
              </w:rPr>
            </w:pPr>
            <w:r w:rsidRPr="00ED6334">
              <w:rPr>
                <w:rFonts w:ascii="Tahoma" w:hAnsi="Tahoma" w:cs="Tahoma"/>
                <w:b/>
                <w:sz w:val="20"/>
              </w:rPr>
              <w:t>Виды и суммы иных платежей Заёмщика по Договору</w:t>
            </w:r>
          </w:p>
        </w:tc>
        <w:tc>
          <w:tcPr>
            <w:tcW w:w="3525" w:type="pct"/>
            <w:tcBorders>
              <w:top w:val="single" w:sz="4" w:space="0" w:color="auto"/>
              <w:left w:val="nil"/>
              <w:bottom w:val="single" w:sz="4" w:space="0" w:color="auto"/>
              <w:right w:val="single" w:sz="8" w:space="0" w:color="000000"/>
            </w:tcBorders>
            <w:noWrap/>
            <w:vAlign w:val="center"/>
          </w:tcPr>
          <w:p w14:paraId="5FAED522" w14:textId="77777777" w:rsidR="009D1253" w:rsidRPr="00ED6334" w:rsidRDefault="009D1253" w:rsidP="009D1253">
            <w:pPr>
              <w:widowControl w:val="0"/>
              <w:tabs>
                <w:tab w:val="left" w:pos="426"/>
                <w:tab w:val="left" w:pos="851"/>
              </w:tabs>
              <w:jc w:val="both"/>
              <w:rPr>
                <w:rFonts w:ascii="Tahoma" w:hAnsi="Tahoma" w:cs="Tahoma"/>
                <w:sz w:val="20"/>
              </w:rPr>
            </w:pPr>
            <w:r w:rsidRPr="00ED6334">
              <w:rPr>
                <w:rFonts w:ascii="Tahoma" w:hAnsi="Tahoma" w:cs="Tahoma"/>
                <w:sz w:val="20"/>
              </w:rPr>
              <w:t>Иные обязательные платежи по Договору отсутствуют.</w:t>
            </w:r>
          </w:p>
          <w:p w14:paraId="51336087" w14:textId="77777777" w:rsidR="009D1253" w:rsidRPr="005A07E7" w:rsidRDefault="009D1253" w:rsidP="009D1253">
            <w:pPr>
              <w:widowControl w:val="0"/>
              <w:tabs>
                <w:tab w:val="left" w:pos="426"/>
                <w:tab w:val="left" w:pos="851"/>
              </w:tabs>
              <w:jc w:val="both"/>
            </w:pPr>
            <w:r w:rsidRPr="005A07E7">
              <w:rPr>
                <w:rFonts w:ascii="Tahoma" w:hAnsi="Tahoma" w:cs="Tahoma"/>
                <w:sz w:val="20"/>
                <w:szCs w:val="20"/>
              </w:rPr>
              <w:t>При наличии соответствующего волеизъявления Заемщика ему могут быть оказаны Банком услуги, не являющиеся обязательными для заключения или исполнения Договора, плата за которые предусмотрена Тарифами Банка(</w:t>
            </w:r>
            <w:hyperlink r:id="rId54" w:tgtFrame="_blank" w:history="1">
              <w:r w:rsidRPr="005A07E7">
                <w:rPr>
                  <w:rStyle w:val="aff"/>
                  <w:rFonts w:ascii="Tahoma" w:hAnsi="Tahoma" w:cs="Tahoma"/>
                  <w:color w:val="0065FF"/>
                  <w:sz w:val="20"/>
                  <w:szCs w:val="20"/>
                  <w:shd w:val="clear" w:color="auto" w:fill="FFFFFF"/>
                </w:rPr>
                <w:t>https://www.atb.su/upload/doc/kniga-tarif/tarify-po-raschetno-kassovomu-obsluzhivaniyu-klientov-fizicheskikh-lits.pdf</w:t>
              </w:r>
            </w:hyperlink>
            <w:r w:rsidRPr="005A07E7">
              <w:rPr>
                <w:rFonts w:ascii="Tahoma" w:hAnsi="Tahoma" w:cs="Tahoma"/>
                <w:sz w:val="20"/>
                <w:szCs w:val="20"/>
              </w:rPr>
              <w:t>). Оказание услуги Банком производится в случае выражения Заемщиком волеизъявления на пользование определенной услугой. Оплата услуг должна быть произведена до момента оказания Банком услуг.</w:t>
            </w:r>
          </w:p>
        </w:tc>
      </w:tr>
      <w:tr w:rsidR="009D1253" w:rsidRPr="005A07E7" w14:paraId="4429B062"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2F10ABE3" w14:textId="77777777" w:rsidR="009D1253" w:rsidRPr="00ED6334" w:rsidRDefault="009D1253" w:rsidP="009D1253">
            <w:pPr>
              <w:rPr>
                <w:rFonts w:ascii="Tahoma" w:hAnsi="Tahoma" w:cs="Tahoma"/>
                <w:b/>
                <w:sz w:val="20"/>
                <w:szCs w:val="20"/>
              </w:rPr>
            </w:pPr>
            <w:r w:rsidRPr="00ED6334">
              <w:rPr>
                <w:rFonts w:ascii="Tahoma" w:hAnsi="Tahoma" w:cs="Tahoma"/>
                <w:b/>
                <w:sz w:val="20"/>
              </w:rPr>
              <w:t>Информация об определении курса иностранной валюты в случае, если валюта, в которой осуществляется перевод денежных средств кредитором третьему лицу, указанному Заёмщиком при предоставлении потребительского Кредита, может отличаться от валюты потребительского Кредита</w:t>
            </w:r>
          </w:p>
        </w:tc>
        <w:tc>
          <w:tcPr>
            <w:tcW w:w="3525" w:type="pct"/>
            <w:tcBorders>
              <w:top w:val="single" w:sz="4" w:space="0" w:color="auto"/>
              <w:left w:val="nil"/>
              <w:bottom w:val="single" w:sz="4" w:space="0" w:color="auto"/>
              <w:right w:val="single" w:sz="8" w:space="0" w:color="000000"/>
            </w:tcBorders>
            <w:noWrap/>
            <w:vAlign w:val="center"/>
          </w:tcPr>
          <w:p w14:paraId="2D9EE7A7" w14:textId="77777777" w:rsidR="009D1253" w:rsidRPr="00ED6334" w:rsidRDefault="009D1253" w:rsidP="009D1253">
            <w:pPr>
              <w:widowControl w:val="0"/>
              <w:tabs>
                <w:tab w:val="left" w:pos="426"/>
                <w:tab w:val="left" w:pos="851"/>
              </w:tabs>
              <w:jc w:val="both"/>
              <w:rPr>
                <w:rFonts w:ascii="Tahoma" w:hAnsi="Tahoma" w:cs="Tahoma"/>
                <w:sz w:val="20"/>
                <w:szCs w:val="20"/>
              </w:rPr>
            </w:pPr>
            <w:r w:rsidRPr="00ED6334">
              <w:rPr>
                <w:rFonts w:ascii="Tahoma" w:hAnsi="Tahoma" w:cs="Tahoma"/>
                <w:sz w:val="20"/>
              </w:rPr>
              <w:t>Не применимо</w:t>
            </w:r>
          </w:p>
        </w:tc>
      </w:tr>
      <w:tr w:rsidR="009D1253" w:rsidRPr="005A07E7" w14:paraId="7C385BBC"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0E607AB8"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Дата, начиная с которой начисляются проценты за пользование Кредитом, или порядок ее определения</w:t>
            </w:r>
          </w:p>
        </w:tc>
        <w:tc>
          <w:tcPr>
            <w:tcW w:w="3525" w:type="pct"/>
            <w:tcBorders>
              <w:top w:val="single" w:sz="4" w:space="0" w:color="auto"/>
              <w:left w:val="nil"/>
              <w:bottom w:val="single" w:sz="4" w:space="0" w:color="auto"/>
              <w:right w:val="single" w:sz="8" w:space="0" w:color="000000"/>
            </w:tcBorders>
            <w:noWrap/>
            <w:vAlign w:val="center"/>
          </w:tcPr>
          <w:p w14:paraId="26509387"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Дата, следующая за датой выдачи Заёмщику Кредита</w:t>
            </w:r>
          </w:p>
        </w:tc>
      </w:tr>
      <w:tr w:rsidR="009D1253" w:rsidRPr="005A07E7" w14:paraId="1076AFE7"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19243642"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Периодичность платежей Заёмщика при возврате Кредита, уплате процентов и иных платежей по Кредиту</w:t>
            </w:r>
          </w:p>
        </w:tc>
        <w:tc>
          <w:tcPr>
            <w:tcW w:w="3525" w:type="pct"/>
            <w:tcBorders>
              <w:top w:val="single" w:sz="4" w:space="0" w:color="auto"/>
              <w:left w:val="nil"/>
              <w:bottom w:val="single" w:sz="4" w:space="0" w:color="auto"/>
              <w:right w:val="single" w:sz="8" w:space="0" w:color="000000"/>
            </w:tcBorders>
            <w:noWrap/>
            <w:vAlign w:val="center"/>
          </w:tcPr>
          <w:p w14:paraId="1D42384D"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Ежемесячно аннуитетными платежами</w:t>
            </w:r>
          </w:p>
        </w:tc>
      </w:tr>
      <w:tr w:rsidR="009D1253" w:rsidRPr="005A07E7" w14:paraId="6B43966C"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3446E0CC"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lastRenderedPageBreak/>
              <w:t>Срок действия Договора</w:t>
            </w:r>
          </w:p>
        </w:tc>
        <w:tc>
          <w:tcPr>
            <w:tcW w:w="3525" w:type="pct"/>
            <w:tcBorders>
              <w:top w:val="single" w:sz="4" w:space="0" w:color="auto"/>
              <w:left w:val="nil"/>
              <w:bottom w:val="single" w:sz="4" w:space="0" w:color="auto"/>
              <w:right w:val="single" w:sz="8" w:space="0" w:color="000000"/>
            </w:tcBorders>
            <w:noWrap/>
            <w:vAlign w:val="center"/>
          </w:tcPr>
          <w:p w14:paraId="1E2ACE93"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До полного исполнения Сторонами обязательств по Договору</w:t>
            </w:r>
          </w:p>
        </w:tc>
      </w:tr>
      <w:tr w:rsidR="009D1253" w:rsidRPr="005A07E7" w14:paraId="21310700"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1AEE8FD8"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Срок рассмотрения  оформленного Заёмщиком заявления о предоставлении Кредита и принятия Кредитором решения относительно этого заявления</w:t>
            </w:r>
          </w:p>
        </w:tc>
        <w:tc>
          <w:tcPr>
            <w:tcW w:w="3525" w:type="pct"/>
            <w:tcBorders>
              <w:top w:val="single" w:sz="4" w:space="0" w:color="auto"/>
              <w:left w:val="nil"/>
              <w:bottom w:val="single" w:sz="4" w:space="0" w:color="auto"/>
              <w:right w:val="single" w:sz="8" w:space="0" w:color="000000"/>
            </w:tcBorders>
            <w:noWrap/>
            <w:vAlign w:val="center"/>
          </w:tcPr>
          <w:p w14:paraId="4D110671"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color w:val="000000"/>
                <w:sz w:val="20"/>
                <w:szCs w:val="20"/>
              </w:rPr>
              <w:t>Решение принимается в течение 1 часа с момента предоставления Заёмщиком полного пакета документов. В случае необходимости запроса у Заёмщика дополнительных документов решение принимается в индивидуальные сроки.</w:t>
            </w:r>
            <w:r w:rsidRPr="005A07E7">
              <w:rPr>
                <w:rFonts w:ascii="Tahoma" w:hAnsi="Tahoma" w:cs="Tahoma"/>
                <w:sz w:val="20"/>
                <w:szCs w:val="20"/>
              </w:rPr>
              <w:fldChar w:fldCharType="begin"/>
            </w:r>
            <w:r w:rsidRPr="005A07E7">
              <w:rPr>
                <w:rFonts w:ascii="Tahoma" w:hAnsi="Tahoma" w:cs="Tahoma"/>
                <w:sz w:val="20"/>
                <w:szCs w:val="20"/>
              </w:rPr>
              <w:instrText xml:space="preserve"> DOCVARIABLE  WAS_BORN_DMY </w:instrText>
            </w:r>
            <w:r w:rsidRPr="005A07E7">
              <w:rPr>
                <w:rFonts w:ascii="Tahoma" w:hAnsi="Tahoma" w:cs="Tahoma"/>
                <w:sz w:val="20"/>
                <w:szCs w:val="20"/>
              </w:rPr>
              <w:fldChar w:fldCharType="end"/>
            </w:r>
          </w:p>
        </w:tc>
      </w:tr>
      <w:tr w:rsidR="009D1253" w:rsidRPr="005A07E7" w14:paraId="300789A6"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70E65EB1"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 xml:space="preserve">Срок, в течение которого Заёмщик вправе отказаться от получения Кредита </w:t>
            </w:r>
          </w:p>
        </w:tc>
        <w:tc>
          <w:tcPr>
            <w:tcW w:w="3525" w:type="pct"/>
            <w:tcBorders>
              <w:top w:val="single" w:sz="4" w:space="0" w:color="auto"/>
              <w:left w:val="nil"/>
              <w:bottom w:val="single" w:sz="4" w:space="0" w:color="auto"/>
              <w:right w:val="single" w:sz="8" w:space="0" w:color="000000"/>
            </w:tcBorders>
            <w:noWrap/>
            <w:vAlign w:val="center"/>
          </w:tcPr>
          <w:p w14:paraId="50CBA862" w14:textId="77777777" w:rsidR="009D1253" w:rsidRPr="005A07E7" w:rsidRDefault="009D1253" w:rsidP="009D1253">
            <w:pPr>
              <w:widowControl w:val="0"/>
              <w:tabs>
                <w:tab w:val="left" w:pos="426"/>
                <w:tab w:val="left" w:pos="851"/>
              </w:tabs>
              <w:jc w:val="both"/>
              <w:rPr>
                <w:rFonts w:ascii="Tahoma" w:hAnsi="Tahoma" w:cs="Tahoma"/>
                <w:color w:val="000000"/>
                <w:sz w:val="20"/>
                <w:szCs w:val="20"/>
              </w:rPr>
            </w:pPr>
            <w:r w:rsidRPr="005A07E7">
              <w:rPr>
                <w:rFonts w:ascii="Tahoma" w:hAnsi="Tahoma" w:cs="Tahoma"/>
                <w:sz w:val="20"/>
                <w:szCs w:val="20"/>
              </w:rPr>
              <w:t xml:space="preserve">Заёмщик вправе отказаться от получения кредита полностью или частично, уведомив об этом Банк до истечения установленного Договором срока его предоставления. </w:t>
            </w:r>
          </w:p>
        </w:tc>
      </w:tr>
      <w:tr w:rsidR="009D1253" w:rsidRPr="005A07E7" w14:paraId="0515C5B9"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tcPr>
          <w:p w14:paraId="2C387B2D"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Срок действия решения о предоставлении Кредита</w:t>
            </w:r>
          </w:p>
        </w:tc>
        <w:tc>
          <w:tcPr>
            <w:tcW w:w="3525" w:type="pct"/>
            <w:tcBorders>
              <w:top w:val="single" w:sz="4" w:space="0" w:color="auto"/>
              <w:left w:val="nil"/>
              <w:bottom w:val="single" w:sz="4" w:space="0" w:color="auto"/>
              <w:right w:val="single" w:sz="8" w:space="0" w:color="000000"/>
            </w:tcBorders>
            <w:noWrap/>
            <w:vAlign w:val="center"/>
          </w:tcPr>
          <w:p w14:paraId="0DDA26F9"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30 календарных дней</w:t>
            </w:r>
            <w:r>
              <w:rPr>
                <w:rFonts w:ascii="Tahoma" w:hAnsi="Tahoma" w:cs="Tahoma"/>
                <w:sz w:val="20"/>
                <w:szCs w:val="20"/>
              </w:rPr>
              <w:t xml:space="preserve"> с даты принятия Банком решения</w:t>
            </w:r>
          </w:p>
        </w:tc>
      </w:tr>
      <w:tr w:rsidR="009D1253" w:rsidRPr="005A07E7" w14:paraId="7392BAAB"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301"/>
        </w:trPr>
        <w:tc>
          <w:tcPr>
            <w:tcW w:w="1475" w:type="pct"/>
            <w:tcBorders>
              <w:top w:val="single" w:sz="4" w:space="0" w:color="auto"/>
              <w:left w:val="single" w:sz="8" w:space="0" w:color="auto"/>
              <w:bottom w:val="single" w:sz="4" w:space="0" w:color="auto"/>
              <w:right w:val="single" w:sz="4" w:space="0" w:color="auto"/>
            </w:tcBorders>
            <w:vAlign w:val="center"/>
          </w:tcPr>
          <w:p w14:paraId="2F4F0494"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Способы обеспечения исполнения обязательств по Договору «Потребительский кредит под залог транспортного средства»</w:t>
            </w:r>
          </w:p>
        </w:tc>
        <w:tc>
          <w:tcPr>
            <w:tcW w:w="3525" w:type="pct"/>
            <w:tcBorders>
              <w:top w:val="single" w:sz="4" w:space="0" w:color="auto"/>
              <w:left w:val="nil"/>
              <w:bottom w:val="single" w:sz="4" w:space="0" w:color="auto"/>
              <w:right w:val="single" w:sz="8" w:space="0" w:color="000000"/>
            </w:tcBorders>
            <w:noWrap/>
            <w:vAlign w:val="center"/>
          </w:tcPr>
          <w:p w14:paraId="056F685A"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1)</w:t>
            </w:r>
            <w:r w:rsidRPr="005A07E7">
              <w:rPr>
                <w:rFonts w:ascii="Tahoma" w:hAnsi="Tahoma" w:cs="Tahoma"/>
                <w:color w:val="000000"/>
                <w:sz w:val="20"/>
                <w:szCs w:val="20"/>
              </w:rPr>
              <w:t xml:space="preserve"> Залог приобретаемого Заёмщиком за счет кредитных средств Банка ТС</w:t>
            </w:r>
          </w:p>
          <w:p w14:paraId="1E02FC38"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2) Неустойка (штраф, пеня). В случае нарушения обязательств по Договору с Заёмщика может быть взыскана неустойка в сумм</w:t>
            </w:r>
            <w:r>
              <w:rPr>
                <w:rFonts w:ascii="Tahoma" w:hAnsi="Tahoma" w:cs="Tahoma"/>
                <w:sz w:val="20"/>
                <w:szCs w:val="20"/>
              </w:rPr>
              <w:t xml:space="preserve">е </w:t>
            </w:r>
            <w:r w:rsidRPr="005A07E7">
              <w:rPr>
                <w:rFonts w:ascii="Tahoma" w:hAnsi="Tahoma" w:cs="Tahoma"/>
                <w:sz w:val="20"/>
                <w:szCs w:val="20"/>
              </w:rPr>
              <w:t>и порядке, определенных Сторонами в соответствии с законодательством РФ и Индивидуальными условиями Договора.</w:t>
            </w:r>
            <w:r w:rsidRPr="005A07E7">
              <w:rPr>
                <w:rFonts w:ascii="Tahoma" w:hAnsi="Tahoma" w:cs="Tahoma"/>
                <w:sz w:val="20"/>
                <w:szCs w:val="20"/>
              </w:rPr>
              <w:fldChar w:fldCharType="begin"/>
            </w:r>
            <w:r w:rsidRPr="005A07E7">
              <w:rPr>
                <w:rFonts w:ascii="Tahoma" w:hAnsi="Tahoma" w:cs="Tahoma"/>
                <w:sz w:val="20"/>
                <w:szCs w:val="20"/>
              </w:rPr>
              <w:instrText xml:space="preserve"> DOCVARIABLE  ATB_ADDRESS_FACT </w:instrText>
            </w:r>
            <w:r w:rsidRPr="005A07E7">
              <w:rPr>
                <w:rFonts w:ascii="Tahoma" w:hAnsi="Tahoma" w:cs="Tahoma"/>
                <w:sz w:val="20"/>
                <w:szCs w:val="20"/>
              </w:rPr>
              <w:fldChar w:fldCharType="end"/>
            </w:r>
          </w:p>
        </w:tc>
      </w:tr>
      <w:tr w:rsidR="009D1253" w:rsidRPr="005A07E7" w14:paraId="38B64E1A"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01"/>
        </w:trPr>
        <w:tc>
          <w:tcPr>
            <w:tcW w:w="1475" w:type="pct"/>
            <w:tcBorders>
              <w:top w:val="single" w:sz="4" w:space="0" w:color="auto"/>
              <w:left w:val="single" w:sz="8" w:space="0" w:color="auto"/>
              <w:bottom w:val="single" w:sz="4" w:space="0" w:color="auto"/>
              <w:right w:val="single" w:sz="4" w:space="0" w:color="000000"/>
            </w:tcBorders>
            <w:shd w:val="clear" w:color="auto" w:fill="auto"/>
            <w:vAlign w:val="center"/>
          </w:tcPr>
          <w:p w14:paraId="5F103984"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Способы возврата  Заёмщиком Кредита и уплаты процентов по нему, включая бесплатный способ исполнения Заёмщиком обязательств по Договору «Потребительский кредит под залог транспортного средства»</w:t>
            </w:r>
          </w:p>
        </w:tc>
        <w:tc>
          <w:tcPr>
            <w:tcW w:w="3525" w:type="pct"/>
            <w:tcBorders>
              <w:top w:val="single" w:sz="4" w:space="0" w:color="auto"/>
              <w:left w:val="nil"/>
              <w:bottom w:val="single" w:sz="4" w:space="0" w:color="auto"/>
              <w:right w:val="single" w:sz="8" w:space="0" w:color="000000"/>
            </w:tcBorders>
            <w:shd w:val="clear" w:color="auto" w:fill="auto"/>
            <w:vAlign w:val="center"/>
          </w:tcPr>
          <w:p w14:paraId="0C7B5F7D"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Погашение Заёмщиком обязательств по Договору осуществляется в сумме и сроки предусмотренные Договором (в т.ч. при досрочном частичном или полном возврате Кредита) производится любым способом по выбору Заёмщика, в том числе: посредством внесения денежных средств в сумме обязательства на ТБС Заёмщика через терминалы самообслуживания Банка (при их наличии в населенном пункте по месту получения Заёмщиком оферты)</w:t>
            </w:r>
            <w:r>
              <w:rPr>
                <w:rFonts w:ascii="Tahoma" w:hAnsi="Tahoma" w:cs="Tahoma"/>
                <w:sz w:val="20"/>
                <w:szCs w:val="20"/>
              </w:rPr>
              <w:t>/</w:t>
            </w:r>
            <w:r w:rsidRPr="005A07E7">
              <w:rPr>
                <w:rFonts w:ascii="Tahoma" w:hAnsi="Tahoma" w:cs="Tahoma"/>
                <w:sz w:val="20"/>
                <w:szCs w:val="20"/>
              </w:rPr>
              <w:t xml:space="preserve"> кассы Банка, перевод через работодателя Заёмщика, перевод со счёта в Банке на ТБС Заёмщика, перевод через отделения АО «Почта России», перевод через интернет-системы «АТБ-Онлайн», «АТБ</w:t>
            </w:r>
            <w:r>
              <w:rPr>
                <w:rFonts w:ascii="Tahoma" w:hAnsi="Tahoma" w:cs="Tahoma"/>
                <w:sz w:val="20"/>
                <w:szCs w:val="20"/>
              </w:rPr>
              <w:t xml:space="preserve"> Банк</w:t>
            </w:r>
            <w:r w:rsidRPr="005A07E7">
              <w:rPr>
                <w:rFonts w:ascii="Tahoma" w:hAnsi="Tahoma" w:cs="Tahoma"/>
                <w:sz w:val="20"/>
                <w:szCs w:val="20"/>
              </w:rPr>
              <w:t xml:space="preserve">», иные кредитные организации (по предусмотренным ими тарифам). </w:t>
            </w:r>
          </w:p>
          <w:p w14:paraId="740AEC6A"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Могут использоваться иные, не противоречащие законодательству РФ способы.</w:t>
            </w:r>
          </w:p>
          <w:p w14:paraId="621C8C93" w14:textId="77777777" w:rsidR="009D1253"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Заёмщик вносит на ТБС денежные средства любыми из перечисленных выше способов, при этом он обязан учесть время, затрачиваемое на безналичное перечисление денежных средств, выходные и праздничные дни. Если установленный Договором последний день срока платежа отсутствует в календарном месяце, Заёмщик обязан внести денежные средства на ТБС не позднее последнего календарного рабочего дня месяца; если последний день срока платежа приходится на выходные/нерабочие праздничные дни, Заёмщик обязан внести денежные средства на ТБС не позднее 1-го рабочего дня, следующего за выходным/нерабочим праздничным днем. Указанная обязанность должна быть исполнена Заёмщиком в операционный день Банка.</w:t>
            </w:r>
          </w:p>
          <w:p w14:paraId="7C49DD28" w14:textId="77777777" w:rsidR="009D1253" w:rsidRPr="005A07E7" w:rsidRDefault="009D1253" w:rsidP="009D1253">
            <w:pPr>
              <w:widowControl w:val="0"/>
              <w:tabs>
                <w:tab w:val="left" w:pos="426"/>
                <w:tab w:val="left" w:pos="851"/>
              </w:tabs>
              <w:jc w:val="both"/>
              <w:rPr>
                <w:rFonts w:ascii="Tahoma" w:hAnsi="Tahoma" w:cs="Tahoma"/>
                <w:sz w:val="20"/>
                <w:szCs w:val="20"/>
              </w:rPr>
            </w:pPr>
            <w:r>
              <w:rPr>
                <w:rFonts w:ascii="Tahoma" w:hAnsi="Tahoma" w:cs="Tahoma"/>
                <w:sz w:val="20"/>
                <w:szCs w:val="20"/>
              </w:rPr>
              <w:t>Бесплатный способ исполнения Заёмщиком обязательств по Договору производится путем внесения денежных средств в сумме обязательства на ТБС Заёмщика через терминалы самообслуживания Банка (при их наличии в населенном пункте по месту получения Заёмщиком оферты)/ кассы Банка, перевод через работодателя Заёмщика, с использованием сервиса Системы быстрых платежей (в рамках бесплатных лимитов, установленных тарифами сервиса). В случае изменений, информация доводится до Заемщика в соответствии с Общими условиями кредитования.</w:t>
            </w:r>
          </w:p>
        </w:tc>
      </w:tr>
      <w:tr w:rsidR="009D1253" w:rsidRPr="005A07E7" w14:paraId="62122381"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01"/>
        </w:trPr>
        <w:tc>
          <w:tcPr>
            <w:tcW w:w="1475" w:type="pct"/>
            <w:tcBorders>
              <w:top w:val="single" w:sz="4" w:space="0" w:color="auto"/>
              <w:left w:val="single" w:sz="8" w:space="0" w:color="auto"/>
              <w:bottom w:val="single" w:sz="4" w:space="0" w:color="auto"/>
              <w:right w:val="single" w:sz="4" w:space="0" w:color="000000"/>
            </w:tcBorders>
            <w:shd w:val="clear" w:color="auto" w:fill="auto"/>
            <w:vAlign w:val="center"/>
          </w:tcPr>
          <w:p w14:paraId="44DF1DFA"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Порядок погашения Заёмщиком задолженности по Кредиту</w:t>
            </w:r>
          </w:p>
        </w:tc>
        <w:tc>
          <w:tcPr>
            <w:tcW w:w="3525" w:type="pct"/>
            <w:tcBorders>
              <w:top w:val="single" w:sz="4" w:space="0" w:color="auto"/>
              <w:left w:val="nil"/>
              <w:bottom w:val="single" w:sz="4" w:space="0" w:color="auto"/>
              <w:right w:val="single" w:sz="8" w:space="0" w:color="000000"/>
            </w:tcBorders>
            <w:shd w:val="clear" w:color="auto" w:fill="auto"/>
            <w:vAlign w:val="center"/>
          </w:tcPr>
          <w:p w14:paraId="3E8DD431" w14:textId="77777777" w:rsidR="009D1253" w:rsidRPr="005A07E7" w:rsidRDefault="009D1253" w:rsidP="009D1253">
            <w:pPr>
              <w:widowControl w:val="0"/>
              <w:tabs>
                <w:tab w:val="left" w:pos="426"/>
                <w:tab w:val="left" w:pos="851"/>
              </w:tabs>
              <w:jc w:val="both"/>
              <w:rPr>
                <w:rFonts w:ascii="Tahoma" w:hAnsi="Tahoma" w:cs="Tahoma"/>
                <w:sz w:val="20"/>
                <w:szCs w:val="20"/>
              </w:rPr>
            </w:pPr>
            <w:r>
              <w:rPr>
                <w:rFonts w:ascii="Tahoma" w:hAnsi="Tahoma" w:cs="Tahoma"/>
                <w:sz w:val="20"/>
                <w:szCs w:val="20"/>
              </w:rPr>
              <w:t>Определен УДБО.</w:t>
            </w:r>
          </w:p>
        </w:tc>
      </w:tr>
      <w:tr w:rsidR="009D1253" w:rsidRPr="005A07E7" w14:paraId="273E5E2A"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344"/>
        </w:trPr>
        <w:tc>
          <w:tcPr>
            <w:tcW w:w="1475" w:type="pct"/>
            <w:tcBorders>
              <w:top w:val="single" w:sz="4" w:space="0" w:color="auto"/>
              <w:left w:val="single" w:sz="8" w:space="0" w:color="auto"/>
              <w:bottom w:val="single" w:sz="4" w:space="0" w:color="auto"/>
              <w:right w:val="single" w:sz="4" w:space="0" w:color="000000"/>
            </w:tcBorders>
            <w:vAlign w:val="center"/>
          </w:tcPr>
          <w:p w14:paraId="6CE9058B" w14:textId="77777777" w:rsidR="009D1253" w:rsidRPr="005A07E7" w:rsidRDefault="009D1253" w:rsidP="009D1253">
            <w:pPr>
              <w:rPr>
                <w:rFonts w:ascii="Tahoma" w:hAnsi="Tahoma" w:cs="Tahoma"/>
                <w:b/>
                <w:sz w:val="20"/>
                <w:szCs w:val="20"/>
              </w:rPr>
            </w:pPr>
            <w:r w:rsidRPr="005A07E7">
              <w:rPr>
                <w:rFonts w:ascii="Tahoma" w:hAnsi="Tahoma" w:cs="Tahoma"/>
                <w:b/>
                <w:color w:val="000000"/>
                <w:sz w:val="20"/>
                <w:szCs w:val="20"/>
              </w:rPr>
              <w:t xml:space="preserve">Ответственность Заёмщика за ненадлежащее исполнение Договора </w:t>
            </w:r>
          </w:p>
        </w:tc>
        <w:tc>
          <w:tcPr>
            <w:tcW w:w="3525" w:type="pct"/>
            <w:tcBorders>
              <w:top w:val="single" w:sz="4" w:space="0" w:color="auto"/>
              <w:left w:val="nil"/>
              <w:bottom w:val="single" w:sz="4" w:space="0" w:color="auto"/>
              <w:right w:val="single" w:sz="8" w:space="0" w:color="000000"/>
            </w:tcBorders>
            <w:vAlign w:val="center"/>
          </w:tcPr>
          <w:p w14:paraId="4286A519" w14:textId="77777777" w:rsidR="009D1253" w:rsidRPr="005A07E7" w:rsidRDefault="009D1253" w:rsidP="009D1253">
            <w:pPr>
              <w:widowControl w:val="0"/>
              <w:jc w:val="both"/>
              <w:rPr>
                <w:rFonts w:ascii="Tahoma" w:hAnsi="Tahoma" w:cs="Tahoma"/>
                <w:sz w:val="20"/>
                <w:szCs w:val="20"/>
              </w:rPr>
            </w:pPr>
            <w:r w:rsidRPr="005A07E7">
              <w:rPr>
                <w:rFonts w:ascii="Tahoma" w:hAnsi="Tahoma" w:cs="Tahoma"/>
                <w:sz w:val="20"/>
                <w:szCs w:val="20"/>
              </w:rPr>
              <w:t xml:space="preserve">В случае нарушения Заёмщиком сроков возврата Кредита и/или уплаты процентов на сумму Кредита Заёмщик уплачивает Банку неустойку в размере 20% годовых от суммы просроченной задолженности за каждый день нарушения срока уплаты. </w:t>
            </w:r>
          </w:p>
          <w:p w14:paraId="427896CF" w14:textId="77777777" w:rsidR="009D1253" w:rsidRPr="005A07E7" w:rsidRDefault="009D1253" w:rsidP="009D1253">
            <w:pPr>
              <w:widowControl w:val="0"/>
              <w:tabs>
                <w:tab w:val="left" w:pos="426"/>
                <w:tab w:val="left" w:pos="851"/>
              </w:tabs>
              <w:jc w:val="both"/>
              <w:rPr>
                <w:rFonts w:ascii="Tahoma" w:eastAsia="Calibri" w:hAnsi="Tahoma" w:cs="Tahoma"/>
                <w:sz w:val="20"/>
                <w:szCs w:val="20"/>
              </w:rPr>
            </w:pPr>
            <w:r w:rsidRPr="005A07E7">
              <w:rPr>
                <w:rFonts w:ascii="Tahoma" w:hAnsi="Tahoma" w:cs="Tahoma"/>
                <w:sz w:val="20"/>
                <w:szCs w:val="20"/>
              </w:rPr>
              <w:lastRenderedPageBreak/>
              <w:t>В случае нарушения Заёмщиком сроков возврата суммы Кредита (основного долга) и/или уплаты процентов продолжительностью (общей продолжительностью) более чем 60 календарных дней в течение последних 180 календарных дней, Банк вправе потребовать от Заёмщика досрочного возврата оставшейся суммы Кредита вместе с причитающимися процентами и/или расторжения Договора, уведомив об этом Заёмщика способом, установленным Договором. В таком случае Заёмщик обязан вернуть Банку оставшуюся сумму Кредита и уплатить все причитающиеся Банку проценты и неустойки в течение 30 календарных дней с момента направления Банком уведомления Заёмщику, если иной, более продолжительный срок не указан Банком в таком уведомлении.</w:t>
            </w:r>
          </w:p>
        </w:tc>
      </w:tr>
      <w:tr w:rsidR="009D1253" w:rsidRPr="005A07E7" w14:paraId="2BCB8FD7" w14:textId="77777777" w:rsidTr="009D1253">
        <w:tblPrEx>
          <w:tblLook w:val="00A0" w:firstRow="1" w:lastRow="0" w:firstColumn="1" w:lastColumn="0" w:noHBand="0" w:noVBand="0"/>
        </w:tblPrEx>
        <w:trPr>
          <w:trHeight w:val="1000"/>
        </w:trPr>
        <w:tc>
          <w:tcPr>
            <w:tcW w:w="1475" w:type="pct"/>
            <w:tcBorders>
              <w:top w:val="single" w:sz="4" w:space="0" w:color="auto"/>
              <w:left w:val="single" w:sz="8" w:space="0" w:color="auto"/>
              <w:bottom w:val="single" w:sz="4" w:space="0" w:color="auto"/>
              <w:right w:val="single" w:sz="4" w:space="0" w:color="000000"/>
            </w:tcBorders>
            <w:vAlign w:val="center"/>
          </w:tcPr>
          <w:p w14:paraId="1EAF385E"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lastRenderedPageBreak/>
              <w:t>Информация о возможности запрета уступки Кредитором третьим лицам прав (требований) по Договору «Потребительский кредит под залог транспортного средства»</w:t>
            </w:r>
          </w:p>
        </w:tc>
        <w:tc>
          <w:tcPr>
            <w:tcW w:w="3525" w:type="pct"/>
            <w:tcBorders>
              <w:top w:val="single" w:sz="4" w:space="0" w:color="auto"/>
              <w:left w:val="nil"/>
              <w:bottom w:val="single" w:sz="4" w:space="0" w:color="auto"/>
              <w:right w:val="single" w:sz="8" w:space="0" w:color="000000"/>
            </w:tcBorders>
            <w:vAlign w:val="center"/>
          </w:tcPr>
          <w:p w14:paraId="43123016"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Заёмщик вправе запретить уступку Банком третьим лицам прав (требований) по Договору.</w:t>
            </w:r>
          </w:p>
        </w:tc>
      </w:tr>
      <w:tr w:rsidR="009D1253" w:rsidRPr="005A07E7" w14:paraId="55AF0713"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303"/>
        </w:trPr>
        <w:tc>
          <w:tcPr>
            <w:tcW w:w="1475" w:type="pct"/>
            <w:tcBorders>
              <w:top w:val="single" w:sz="4" w:space="0" w:color="auto"/>
              <w:left w:val="single" w:sz="8" w:space="0" w:color="auto"/>
              <w:bottom w:val="single" w:sz="4" w:space="0" w:color="auto"/>
              <w:right w:val="single" w:sz="4" w:space="0" w:color="000000"/>
            </w:tcBorders>
            <w:vAlign w:val="center"/>
          </w:tcPr>
          <w:p w14:paraId="3B59E866"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 xml:space="preserve">Порядок предоставления Заёмщиком информации об использовании Кредита </w:t>
            </w:r>
          </w:p>
        </w:tc>
        <w:tc>
          <w:tcPr>
            <w:tcW w:w="3525" w:type="pct"/>
            <w:tcBorders>
              <w:top w:val="single" w:sz="4" w:space="0" w:color="auto"/>
              <w:left w:val="nil"/>
              <w:bottom w:val="single" w:sz="4" w:space="0" w:color="auto"/>
              <w:right w:val="single" w:sz="8" w:space="0" w:color="000000"/>
            </w:tcBorders>
            <w:vAlign w:val="center"/>
          </w:tcPr>
          <w:p w14:paraId="03355ADD"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При заключении Договора «Потребительский кредит под залог транспортного средства»</w:t>
            </w:r>
            <w:r w:rsidRPr="005A07E7">
              <w:rPr>
                <w:rFonts w:ascii="Tahoma" w:hAnsi="Tahoma" w:cs="Tahoma"/>
                <w:b/>
                <w:sz w:val="20"/>
                <w:szCs w:val="20"/>
              </w:rPr>
              <w:t xml:space="preserve"> </w:t>
            </w:r>
            <w:r w:rsidRPr="005A07E7">
              <w:rPr>
                <w:rFonts w:ascii="Tahoma" w:hAnsi="Tahoma" w:cs="Tahoma"/>
                <w:sz w:val="20"/>
                <w:szCs w:val="20"/>
              </w:rPr>
              <w:t>Заёмщик предоставляет Банку копии документов, подтверждающих приобретение ТС, а также иных товаров, работ, услуг (при их наличии).</w:t>
            </w:r>
          </w:p>
          <w:p w14:paraId="30EB808A" w14:textId="77777777" w:rsidR="009D1253" w:rsidRPr="005A07E7" w:rsidRDefault="009D1253" w:rsidP="009D1253">
            <w:pPr>
              <w:jc w:val="both"/>
              <w:rPr>
                <w:rFonts w:ascii="Tahoma" w:hAnsi="Tahoma" w:cs="Tahoma"/>
                <w:sz w:val="20"/>
                <w:szCs w:val="20"/>
              </w:rPr>
            </w:pPr>
          </w:p>
        </w:tc>
      </w:tr>
      <w:tr w:rsidR="009D1253" w:rsidRPr="005A07E7" w14:paraId="15EB2577" w14:textId="77777777" w:rsidTr="009D1253">
        <w:tblPrEx>
          <w:tblLook w:val="00A0" w:firstRow="1" w:lastRow="0" w:firstColumn="1" w:lastColumn="0" w:noHBand="0" w:noVBand="0"/>
        </w:tblPrEx>
        <w:trPr>
          <w:trHeight w:val="395"/>
        </w:trPr>
        <w:tc>
          <w:tcPr>
            <w:tcW w:w="1475" w:type="pct"/>
            <w:tcBorders>
              <w:top w:val="single" w:sz="4" w:space="0" w:color="auto"/>
              <w:left w:val="single" w:sz="8" w:space="0" w:color="auto"/>
              <w:bottom w:val="single" w:sz="4" w:space="0" w:color="auto"/>
              <w:right w:val="single" w:sz="4" w:space="0" w:color="000000"/>
            </w:tcBorders>
            <w:vAlign w:val="center"/>
          </w:tcPr>
          <w:p w14:paraId="36AF45AF"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Подсудность споров по искам Кредитора к Заёмщику</w:t>
            </w:r>
          </w:p>
        </w:tc>
        <w:tc>
          <w:tcPr>
            <w:tcW w:w="3525" w:type="pct"/>
            <w:tcBorders>
              <w:top w:val="single" w:sz="4" w:space="0" w:color="auto"/>
              <w:left w:val="nil"/>
              <w:bottom w:val="single" w:sz="4" w:space="0" w:color="auto"/>
              <w:right w:val="single" w:sz="8" w:space="0" w:color="000000"/>
            </w:tcBorders>
            <w:vAlign w:val="center"/>
          </w:tcPr>
          <w:p w14:paraId="7D1125FC"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Неурегулированные споры по искам Банка к Заёмщику рассматриваются в порядке, установленном законодательством РФ. Взыскание задолженности по Договору может производиться по исполнительной надписи нотариуса, совершаемой на основании заявления Банка.</w:t>
            </w:r>
          </w:p>
        </w:tc>
      </w:tr>
      <w:tr w:rsidR="009D1253" w:rsidRPr="00026641" w14:paraId="4CB1C407" w14:textId="77777777" w:rsidTr="009D1253">
        <w:tblPrEx>
          <w:tblLook w:val="00A0" w:firstRow="1" w:lastRow="0" w:firstColumn="1" w:lastColumn="0" w:noHBand="0" w:noVBand="0"/>
        </w:tblPrEx>
        <w:trPr>
          <w:trHeight w:val="263"/>
        </w:trPr>
        <w:tc>
          <w:tcPr>
            <w:tcW w:w="1475" w:type="pct"/>
            <w:tcBorders>
              <w:top w:val="single" w:sz="4" w:space="0" w:color="auto"/>
              <w:left w:val="single" w:sz="8" w:space="0" w:color="auto"/>
              <w:bottom w:val="single" w:sz="4" w:space="0" w:color="auto"/>
              <w:right w:val="single" w:sz="4" w:space="0" w:color="000000"/>
            </w:tcBorders>
            <w:vAlign w:val="center"/>
          </w:tcPr>
          <w:p w14:paraId="790915E0"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Формуляры или иные стандартные формы, в которых определены общие условия договора «Потребительский кредит под залог транспортного средства»</w:t>
            </w:r>
          </w:p>
        </w:tc>
        <w:tc>
          <w:tcPr>
            <w:tcW w:w="3525" w:type="pct"/>
            <w:tcBorders>
              <w:top w:val="single" w:sz="4" w:space="0" w:color="auto"/>
              <w:left w:val="nil"/>
              <w:bottom w:val="single" w:sz="4" w:space="0" w:color="auto"/>
              <w:right w:val="single" w:sz="8" w:space="0" w:color="000000"/>
            </w:tcBorders>
            <w:vAlign w:val="center"/>
          </w:tcPr>
          <w:p w14:paraId="6C9935CC" w14:textId="77777777" w:rsidR="009D1253" w:rsidRPr="00026641"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Общие условия Договора «Потребительский кредит под залог транспортного средства» закреплены в «Общих условиях потребительского кредитования в «Азиатско-Тихоокеанский Банк» (АО)», являющихся Приложением № 3 к Универсальному договору банковского обслуживания физических лиц «Азиатско-Тихоокеанский Банк» (АО), размещённых в местах приема заявлений на предоставление потребительского кредита под залог транспортного средства (в отделениях Банка и иных местах приема заявлений на предоставление потребительского кредита под залог транспортного средства), на сайте Банка в сети Интернет по адресу www.atb.su и могут быть предоставлены Заемщику по его требованию на бумажном носителе.</w:t>
            </w:r>
          </w:p>
        </w:tc>
      </w:tr>
      <w:tr w:rsidR="009D1253" w:rsidRPr="00026641" w14:paraId="3AAEDC86" w14:textId="77777777" w:rsidTr="009D1253">
        <w:tblPrEx>
          <w:tblLook w:val="00A0" w:firstRow="1" w:lastRow="0" w:firstColumn="1" w:lastColumn="0" w:noHBand="0" w:noVBand="0"/>
        </w:tblPrEx>
        <w:trPr>
          <w:trHeight w:val="263"/>
        </w:trPr>
        <w:tc>
          <w:tcPr>
            <w:tcW w:w="1475" w:type="pct"/>
            <w:tcBorders>
              <w:top w:val="single" w:sz="4" w:space="0" w:color="auto"/>
              <w:left w:val="single" w:sz="8" w:space="0" w:color="auto"/>
              <w:bottom w:val="single" w:sz="4" w:space="0" w:color="auto"/>
              <w:right w:val="single" w:sz="4" w:space="0" w:color="000000"/>
            </w:tcBorders>
            <w:vAlign w:val="center"/>
          </w:tcPr>
          <w:p w14:paraId="5ABA1031" w14:textId="77777777" w:rsidR="009D1253" w:rsidRPr="005A07E7" w:rsidRDefault="009D1253" w:rsidP="009D1253">
            <w:pPr>
              <w:jc w:val="both"/>
              <w:rPr>
                <w:rFonts w:ascii="Tahoma" w:hAnsi="Tahoma" w:cs="Tahoma"/>
                <w:b/>
                <w:sz w:val="20"/>
                <w:szCs w:val="20"/>
              </w:rPr>
            </w:pPr>
            <w:r w:rsidRPr="00695066">
              <w:rPr>
                <w:rFonts w:ascii="Tahoma" w:hAnsi="Tahoma" w:cs="Tahoma"/>
                <w:b/>
                <w:bCs/>
                <w:sz w:val="20"/>
                <w:szCs w:val="20"/>
              </w:rPr>
              <w:t>Право заемщика обратиться к кредитору с требованием, предусмотренным частью 1 статьи 6.1-2 Федерального закона от 21.12.2013 № 353-ФЗ «О потребительском кредите (займе)», и об условиях, при наступлении которых у заемщика возникает соответствующее право.</w:t>
            </w:r>
          </w:p>
        </w:tc>
        <w:tc>
          <w:tcPr>
            <w:tcW w:w="3525" w:type="pct"/>
            <w:tcBorders>
              <w:top w:val="single" w:sz="4" w:space="0" w:color="auto"/>
              <w:left w:val="nil"/>
              <w:bottom w:val="single" w:sz="4" w:space="0" w:color="auto"/>
              <w:right w:val="single" w:sz="8" w:space="0" w:color="000000"/>
            </w:tcBorders>
            <w:vAlign w:val="center"/>
          </w:tcPr>
          <w:p w14:paraId="2F0C04DD" w14:textId="77777777" w:rsidR="009D1253" w:rsidRPr="00695066" w:rsidRDefault="009D1253" w:rsidP="009D1253">
            <w:pPr>
              <w:widowControl w:val="0"/>
              <w:tabs>
                <w:tab w:val="left" w:pos="426"/>
                <w:tab w:val="left" w:pos="851"/>
              </w:tabs>
              <w:jc w:val="both"/>
              <w:rPr>
                <w:rFonts w:ascii="Tahoma" w:hAnsi="Tahoma" w:cs="Tahoma"/>
                <w:sz w:val="20"/>
                <w:szCs w:val="20"/>
              </w:rPr>
            </w:pPr>
            <w:r w:rsidRPr="00695066">
              <w:rPr>
                <w:rFonts w:ascii="Tahoma" w:hAnsi="Tahoma" w:cs="Tahoma"/>
                <w:sz w:val="20"/>
                <w:szCs w:val="20"/>
              </w:rPr>
              <w:t xml:space="preserve">Заемщик в любой момент в течение времени действия Договора, а в случае, указанном в п. 2 ч. 2 ст. 6.1-2 Закона № 353-ФЗ, в течение шестидесяти дней со дня установления соответствующих фактов, вправе обратиться к кредитору с требованием о предоставлении льготного периода, предусматривающего приостановление исполнения Заемщиком своих обязательств по Договору. </w:t>
            </w:r>
          </w:p>
          <w:p w14:paraId="7B235CB0" w14:textId="77777777" w:rsidR="009D1253" w:rsidRPr="00695066" w:rsidRDefault="009D1253" w:rsidP="009D1253">
            <w:pPr>
              <w:widowControl w:val="0"/>
              <w:tabs>
                <w:tab w:val="left" w:pos="426"/>
                <w:tab w:val="left" w:pos="851"/>
              </w:tabs>
              <w:jc w:val="both"/>
              <w:rPr>
                <w:rFonts w:ascii="Tahoma" w:hAnsi="Tahoma" w:cs="Tahoma"/>
                <w:sz w:val="20"/>
                <w:szCs w:val="20"/>
              </w:rPr>
            </w:pPr>
            <w:r w:rsidRPr="00695066">
              <w:rPr>
                <w:rFonts w:ascii="Tahoma" w:hAnsi="Tahoma" w:cs="Tahoma"/>
                <w:sz w:val="20"/>
                <w:szCs w:val="20"/>
              </w:rPr>
              <w:t xml:space="preserve">С условиями, при наступлении которых у Заемщика возникает такое право, можно ознакомиться в размещаемой Банком информации о кредитных каникулах в рамках 353-ФЗ, в том числе на сайте Банка </w:t>
            </w:r>
          </w:p>
          <w:p w14:paraId="16A7B3F1" w14:textId="77777777" w:rsidR="009D1253" w:rsidRPr="005A07E7" w:rsidRDefault="009D1253" w:rsidP="009D1253">
            <w:pPr>
              <w:widowControl w:val="0"/>
              <w:tabs>
                <w:tab w:val="left" w:pos="426"/>
                <w:tab w:val="left" w:pos="851"/>
              </w:tabs>
              <w:jc w:val="both"/>
              <w:rPr>
                <w:rFonts w:ascii="Tahoma" w:hAnsi="Tahoma" w:cs="Tahoma"/>
                <w:sz w:val="20"/>
                <w:szCs w:val="20"/>
              </w:rPr>
            </w:pPr>
            <w:hyperlink r:id="rId55" w:history="1">
              <w:r w:rsidRPr="00695066">
                <w:rPr>
                  <w:rStyle w:val="aff"/>
                  <w:rFonts w:ascii="Tahoma" w:hAnsi="Tahoma" w:cs="Tahoma"/>
                  <w:sz w:val="20"/>
                  <w:szCs w:val="20"/>
                </w:rPr>
                <w:t>https://www.atb.su/customer-care-service/</w:t>
              </w:r>
            </w:hyperlink>
          </w:p>
        </w:tc>
      </w:tr>
    </w:tbl>
    <w:p w14:paraId="614ECE74" w14:textId="77777777" w:rsidR="009D1253" w:rsidRDefault="009D1253" w:rsidP="009D1253">
      <w:pPr>
        <w:autoSpaceDN w:val="0"/>
        <w:rPr>
          <w:rFonts w:ascii="Tahoma" w:hAnsi="Tahoma" w:cs="Tahoma"/>
          <w:color w:val="000000"/>
          <w:sz w:val="18"/>
          <w:szCs w:val="18"/>
          <w:vertAlign w:val="superscript"/>
        </w:rPr>
      </w:pPr>
    </w:p>
    <w:p w14:paraId="275326D0" w14:textId="77777777" w:rsidR="009D1253" w:rsidRDefault="009D1253" w:rsidP="009D1253">
      <w:pPr>
        <w:rPr>
          <w:rFonts w:ascii="Tahoma" w:hAnsi="Tahoma" w:cs="Tahoma"/>
          <w:b/>
          <w:i/>
          <w:color w:val="E36C0A"/>
          <w:sz w:val="22"/>
        </w:rPr>
      </w:pPr>
    </w:p>
    <w:p w14:paraId="3C04B7E7" w14:textId="77777777" w:rsidR="009D1253" w:rsidRDefault="009D1253" w:rsidP="009D1253">
      <w:pPr>
        <w:rPr>
          <w:rFonts w:ascii="Tahoma" w:hAnsi="Tahoma" w:cs="Tahoma"/>
          <w:b/>
          <w:i/>
          <w:color w:val="E36C0A"/>
          <w:sz w:val="22"/>
        </w:rPr>
      </w:pPr>
    </w:p>
    <w:p w14:paraId="1C0FF78E" w14:textId="77777777" w:rsidR="009D1253" w:rsidRDefault="009D1253" w:rsidP="009D1253">
      <w:pPr>
        <w:rPr>
          <w:rFonts w:ascii="Tahoma" w:hAnsi="Tahoma" w:cs="Tahoma"/>
          <w:b/>
          <w:i/>
          <w:color w:val="E36C0A"/>
          <w:sz w:val="22"/>
        </w:rPr>
      </w:pPr>
    </w:p>
    <w:p w14:paraId="057B64B3" w14:textId="77777777" w:rsidR="009D1253" w:rsidRDefault="009D1253" w:rsidP="009D1253">
      <w:pPr>
        <w:rPr>
          <w:rFonts w:ascii="Tahoma" w:hAnsi="Tahoma" w:cs="Tahoma"/>
          <w:b/>
          <w:i/>
          <w:color w:val="E36C0A"/>
          <w:sz w:val="22"/>
        </w:rPr>
      </w:pPr>
    </w:p>
    <w:p w14:paraId="69D2E49E" w14:textId="77777777" w:rsidR="009D1253" w:rsidRDefault="009D1253" w:rsidP="009D1253">
      <w:pPr>
        <w:rPr>
          <w:rFonts w:ascii="Tahoma" w:hAnsi="Tahoma" w:cs="Tahoma"/>
          <w:b/>
          <w:i/>
          <w:color w:val="E36C0A"/>
          <w:sz w:val="22"/>
        </w:rPr>
      </w:pPr>
    </w:p>
    <w:p w14:paraId="5A996713" w14:textId="77777777" w:rsidR="009D1253" w:rsidRDefault="009D1253" w:rsidP="009D1253">
      <w:pPr>
        <w:rPr>
          <w:rFonts w:ascii="Tahoma" w:hAnsi="Tahoma" w:cs="Tahoma"/>
          <w:b/>
          <w:i/>
          <w:color w:val="E36C0A"/>
          <w:sz w:val="22"/>
        </w:rPr>
      </w:pPr>
    </w:p>
    <w:p w14:paraId="4A143066" w14:textId="77777777" w:rsidR="009D1253" w:rsidRPr="00C9310A" w:rsidRDefault="009D1253" w:rsidP="000B3718">
      <w:pPr>
        <w:pStyle w:val="a5"/>
      </w:pPr>
      <w:bookmarkStart w:id="133" w:name="_Toc174636542"/>
      <w:r w:rsidRPr="00C9310A">
        <w:lastRenderedPageBreak/>
        <w:t>2.4.2.Тарифный план «Лёгкий Драйв»</w:t>
      </w:r>
      <w:bookmarkEnd w:id="133"/>
    </w:p>
    <w:tbl>
      <w:tblPr>
        <w:tblW w:w="4886"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24"/>
        <w:gridCol w:w="10812"/>
      </w:tblGrid>
      <w:tr w:rsidR="009D1253" w:rsidRPr="005A07E7" w14:paraId="20A242CD" w14:textId="77777777" w:rsidTr="009D1253">
        <w:trPr>
          <w:trHeight w:val="455"/>
        </w:trPr>
        <w:tc>
          <w:tcPr>
            <w:tcW w:w="1475" w:type="pct"/>
            <w:shd w:val="clear" w:color="auto" w:fill="D9D9D9" w:themeFill="background1" w:themeFillShade="D9"/>
            <w:vAlign w:val="center"/>
          </w:tcPr>
          <w:p w14:paraId="0391937F" w14:textId="77777777" w:rsidR="009D1253" w:rsidRPr="005A07E7" w:rsidRDefault="009D1253" w:rsidP="009D1253">
            <w:pPr>
              <w:jc w:val="center"/>
              <w:rPr>
                <w:rFonts w:ascii="Tahoma" w:hAnsi="Tahoma" w:cs="Tahoma"/>
                <w:b/>
                <w:sz w:val="20"/>
                <w:szCs w:val="20"/>
              </w:rPr>
            </w:pPr>
            <w:r w:rsidRPr="005A07E7">
              <w:rPr>
                <w:rFonts w:ascii="Tahoma" w:hAnsi="Tahoma" w:cs="Tahoma"/>
                <w:b/>
                <w:sz w:val="20"/>
                <w:szCs w:val="20"/>
              </w:rPr>
              <w:t>Наименование продукта/</w:t>
            </w:r>
            <w:r w:rsidRPr="005A07E7" w:rsidDel="00A134C4">
              <w:rPr>
                <w:rFonts w:ascii="Tahoma" w:hAnsi="Tahoma" w:cs="Tahoma"/>
                <w:b/>
                <w:sz w:val="20"/>
                <w:szCs w:val="20"/>
              </w:rPr>
              <w:t xml:space="preserve"> </w:t>
            </w:r>
            <w:r w:rsidRPr="005A07E7">
              <w:rPr>
                <w:rFonts w:ascii="Tahoma" w:hAnsi="Tahoma" w:cs="Tahoma"/>
                <w:b/>
                <w:sz w:val="20"/>
                <w:szCs w:val="20"/>
              </w:rPr>
              <w:t>тарифного плана (ТП)</w:t>
            </w:r>
          </w:p>
        </w:tc>
        <w:tc>
          <w:tcPr>
            <w:tcW w:w="3525" w:type="pct"/>
            <w:shd w:val="clear" w:color="auto" w:fill="D9D9D9" w:themeFill="background1" w:themeFillShade="D9"/>
            <w:vAlign w:val="center"/>
          </w:tcPr>
          <w:p w14:paraId="02D42BD5" w14:textId="77777777" w:rsidR="009D1253" w:rsidRPr="005A07E7" w:rsidRDefault="009D1253" w:rsidP="009D1253">
            <w:pPr>
              <w:pStyle w:val="a9"/>
              <w:tabs>
                <w:tab w:val="left" w:pos="-284"/>
                <w:tab w:val="left" w:pos="851"/>
              </w:tabs>
              <w:spacing w:before="0" w:after="0"/>
              <w:ind w:right="849"/>
              <w:jc w:val="center"/>
              <w:rPr>
                <w:rFonts w:ascii="Tahoma" w:hAnsi="Tahoma" w:cs="Tahoma"/>
                <w:b/>
              </w:rPr>
            </w:pPr>
            <w:r w:rsidRPr="005A07E7">
              <w:rPr>
                <w:rFonts w:ascii="Tahoma" w:hAnsi="Tahoma" w:cs="Tahoma"/>
                <w:b/>
              </w:rPr>
              <w:t xml:space="preserve">«ЛЁГКИЙ </w:t>
            </w:r>
            <w:r>
              <w:rPr>
                <w:rFonts w:ascii="Tahoma" w:hAnsi="Tahoma" w:cs="Tahoma"/>
                <w:b/>
              </w:rPr>
              <w:t>ДРАЙВ</w:t>
            </w:r>
            <w:r w:rsidRPr="005A07E7">
              <w:rPr>
                <w:rFonts w:ascii="Tahoma" w:hAnsi="Tahoma" w:cs="Tahoma"/>
                <w:b/>
              </w:rPr>
              <w:t>»</w:t>
            </w:r>
          </w:p>
        </w:tc>
      </w:tr>
      <w:tr w:rsidR="009D1253" w:rsidRPr="005A07E7" w14:paraId="564BAE8E" w14:textId="77777777" w:rsidTr="009D1253">
        <w:trPr>
          <w:trHeight w:val="455"/>
        </w:trPr>
        <w:tc>
          <w:tcPr>
            <w:tcW w:w="1475" w:type="pct"/>
            <w:shd w:val="clear" w:color="auto" w:fill="auto"/>
            <w:vAlign w:val="center"/>
          </w:tcPr>
          <w:p w14:paraId="0BE983B3" w14:textId="77777777" w:rsidR="009D1253" w:rsidRPr="005A07E7" w:rsidRDefault="009D1253" w:rsidP="009D1253">
            <w:pPr>
              <w:rPr>
                <w:rFonts w:ascii="Tahoma" w:hAnsi="Tahoma" w:cs="Tahoma"/>
                <w:b/>
                <w:sz w:val="20"/>
                <w:szCs w:val="20"/>
              </w:rPr>
            </w:pPr>
            <w:r w:rsidRPr="005A07E7">
              <w:rPr>
                <w:rFonts w:ascii="Tahoma" w:hAnsi="Tahoma" w:cs="Tahoma"/>
                <w:b/>
                <w:bCs/>
                <w:sz w:val="20"/>
                <w:szCs w:val="20"/>
              </w:rPr>
              <w:t>Категория Заёмщика</w:t>
            </w:r>
          </w:p>
        </w:tc>
        <w:tc>
          <w:tcPr>
            <w:tcW w:w="3525" w:type="pct"/>
            <w:shd w:val="clear" w:color="auto" w:fill="auto"/>
            <w:vAlign w:val="center"/>
          </w:tcPr>
          <w:p w14:paraId="186E309D" w14:textId="77777777" w:rsidR="009D1253" w:rsidRPr="005A07E7" w:rsidRDefault="009D1253" w:rsidP="009D1253">
            <w:pPr>
              <w:pStyle w:val="a9"/>
              <w:tabs>
                <w:tab w:val="left" w:pos="-284"/>
                <w:tab w:val="left" w:pos="851"/>
              </w:tabs>
              <w:spacing w:before="0" w:after="0"/>
              <w:ind w:right="849"/>
              <w:jc w:val="center"/>
              <w:rPr>
                <w:rFonts w:ascii="Tahoma" w:hAnsi="Tahoma" w:cs="Tahoma"/>
              </w:rPr>
            </w:pPr>
            <w:r w:rsidRPr="005A07E7">
              <w:rPr>
                <w:rFonts w:ascii="Tahoma" w:hAnsi="Tahoma" w:cs="Tahoma"/>
              </w:rPr>
              <w:t>Физические лица (имеющие официальное место работы и/или постоянный источник дохода)</w:t>
            </w:r>
          </w:p>
        </w:tc>
      </w:tr>
      <w:tr w:rsidR="009D1253" w:rsidRPr="005A07E7" w14:paraId="02EFD31D" w14:textId="77777777" w:rsidTr="009D1253">
        <w:trPr>
          <w:trHeight w:val="250"/>
        </w:trPr>
        <w:tc>
          <w:tcPr>
            <w:tcW w:w="1475" w:type="pct"/>
            <w:vAlign w:val="center"/>
          </w:tcPr>
          <w:p w14:paraId="30746E48"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Вид Кредита</w:t>
            </w:r>
          </w:p>
        </w:tc>
        <w:tc>
          <w:tcPr>
            <w:tcW w:w="3525" w:type="pct"/>
            <w:vAlign w:val="center"/>
          </w:tcPr>
          <w:p w14:paraId="7DB77AD2" w14:textId="77777777" w:rsidR="009D1253" w:rsidRPr="005A07E7" w:rsidRDefault="009D1253" w:rsidP="009D1253">
            <w:pPr>
              <w:pStyle w:val="a9"/>
              <w:tabs>
                <w:tab w:val="left" w:pos="-284"/>
                <w:tab w:val="left" w:pos="851"/>
              </w:tabs>
              <w:spacing w:before="0" w:after="0"/>
              <w:ind w:right="849"/>
              <w:jc w:val="center"/>
              <w:rPr>
                <w:rFonts w:ascii="Tahoma" w:hAnsi="Tahoma" w:cs="Tahoma"/>
              </w:rPr>
            </w:pPr>
            <w:r w:rsidRPr="005A07E7">
              <w:rPr>
                <w:rFonts w:ascii="Tahoma" w:hAnsi="Tahoma" w:cs="Tahoma"/>
              </w:rPr>
              <w:t>Потребительский кредит</w:t>
            </w:r>
          </w:p>
        </w:tc>
      </w:tr>
      <w:tr w:rsidR="009D1253" w:rsidRPr="005A07E7" w14:paraId="60BD9229" w14:textId="77777777" w:rsidTr="009D1253">
        <w:trPr>
          <w:trHeight w:val="250"/>
        </w:trPr>
        <w:tc>
          <w:tcPr>
            <w:tcW w:w="1475" w:type="pct"/>
            <w:vAlign w:val="center"/>
          </w:tcPr>
          <w:p w14:paraId="4582A6B9"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Тип Кредита</w:t>
            </w:r>
          </w:p>
        </w:tc>
        <w:tc>
          <w:tcPr>
            <w:tcW w:w="3525" w:type="pct"/>
            <w:vAlign w:val="center"/>
          </w:tcPr>
          <w:p w14:paraId="4042E0F9" w14:textId="77777777" w:rsidR="009D1253" w:rsidRPr="005A07E7" w:rsidRDefault="009D1253" w:rsidP="009D1253">
            <w:pPr>
              <w:pStyle w:val="a9"/>
              <w:tabs>
                <w:tab w:val="left" w:pos="-284"/>
                <w:tab w:val="left" w:pos="851"/>
              </w:tabs>
              <w:spacing w:before="0" w:after="0"/>
              <w:ind w:right="849"/>
              <w:jc w:val="center"/>
              <w:rPr>
                <w:rFonts w:ascii="Tahoma" w:hAnsi="Tahoma" w:cs="Tahoma"/>
              </w:rPr>
            </w:pPr>
            <w:r w:rsidRPr="005A07E7">
              <w:rPr>
                <w:rFonts w:ascii="Tahoma" w:hAnsi="Tahoma" w:cs="Tahoma"/>
              </w:rPr>
              <w:t>Потребительский кредит под залог приобретенного ТС</w:t>
            </w:r>
          </w:p>
        </w:tc>
      </w:tr>
      <w:tr w:rsidR="009D1253" w:rsidRPr="005A07E7" w14:paraId="34DD3460" w14:textId="77777777" w:rsidTr="009D1253">
        <w:trPr>
          <w:trHeight w:val="512"/>
        </w:trPr>
        <w:tc>
          <w:tcPr>
            <w:tcW w:w="1475" w:type="pct"/>
            <w:vAlign w:val="center"/>
          </w:tcPr>
          <w:p w14:paraId="639D29B3"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 xml:space="preserve">Цель Кредита </w:t>
            </w:r>
          </w:p>
        </w:tc>
        <w:tc>
          <w:tcPr>
            <w:tcW w:w="3525" w:type="pct"/>
            <w:vAlign w:val="center"/>
          </w:tcPr>
          <w:p w14:paraId="1F55AD11" w14:textId="77777777" w:rsidR="009D1253" w:rsidRPr="005A07E7" w:rsidRDefault="009D1253" w:rsidP="009D1253">
            <w:pPr>
              <w:pStyle w:val="a9"/>
              <w:tabs>
                <w:tab w:val="left" w:pos="-284"/>
                <w:tab w:val="left" w:pos="851"/>
              </w:tabs>
              <w:spacing w:before="0" w:after="0"/>
              <w:jc w:val="center"/>
              <w:rPr>
                <w:rFonts w:ascii="Tahoma" w:hAnsi="Tahoma" w:cs="Tahoma"/>
              </w:rPr>
            </w:pPr>
            <w:r w:rsidRPr="005A07E7">
              <w:rPr>
                <w:rFonts w:ascii="Tahoma" w:hAnsi="Tahoma" w:cs="Tahoma"/>
              </w:rPr>
              <w:t xml:space="preserve">Приобретение транспортного средства (ТС) (нового или подержанного) отечественной или иностранной марки категории В, или иностранной марки категории </w:t>
            </w:r>
            <w:r w:rsidRPr="005A07E7">
              <w:rPr>
                <w:rFonts w:ascii="Tahoma" w:hAnsi="Tahoma" w:cs="Tahoma"/>
                <w:lang w:val="en-US"/>
              </w:rPr>
              <w:t>D</w:t>
            </w:r>
            <w:r w:rsidRPr="005A07E7">
              <w:rPr>
                <w:rFonts w:ascii="Tahoma" w:hAnsi="Tahoma" w:cs="Tahoma"/>
              </w:rPr>
              <w:t>, а также дополнительно на оплату иных товаров, работ и услуг по выбору Заёмщика</w:t>
            </w:r>
          </w:p>
        </w:tc>
      </w:tr>
      <w:tr w:rsidR="009D1253" w:rsidRPr="005A07E7" w14:paraId="03B219E4" w14:textId="77777777" w:rsidTr="009D1253">
        <w:trPr>
          <w:trHeight w:val="455"/>
        </w:trPr>
        <w:tc>
          <w:tcPr>
            <w:tcW w:w="1475" w:type="pct"/>
            <w:vAlign w:val="center"/>
          </w:tcPr>
          <w:p w14:paraId="252F207E"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Подразделения сети/точки продаж, реализующие кредитный продукт</w:t>
            </w:r>
          </w:p>
        </w:tc>
        <w:tc>
          <w:tcPr>
            <w:tcW w:w="3525" w:type="pct"/>
            <w:vAlign w:val="center"/>
          </w:tcPr>
          <w:p w14:paraId="1BFE3E8B" w14:textId="77777777" w:rsidR="009D1253" w:rsidRPr="005A07E7" w:rsidRDefault="009D1253" w:rsidP="009D1253">
            <w:pPr>
              <w:pStyle w:val="a9"/>
              <w:tabs>
                <w:tab w:val="left" w:pos="-284"/>
                <w:tab w:val="left" w:pos="851"/>
              </w:tabs>
              <w:spacing w:before="0" w:after="0"/>
              <w:jc w:val="center"/>
              <w:rPr>
                <w:rFonts w:ascii="Tahoma" w:hAnsi="Tahoma" w:cs="Tahoma"/>
              </w:rPr>
            </w:pPr>
            <w:r w:rsidRPr="005A07E7">
              <w:rPr>
                <w:rFonts w:ascii="Tahoma" w:hAnsi="Tahoma" w:cs="Tahoma"/>
              </w:rPr>
              <w:t>Все подразделения Банка</w:t>
            </w:r>
            <w:r w:rsidRPr="00B627E1">
              <w:rPr>
                <w:rFonts w:ascii="Tahoma" w:hAnsi="Tahoma" w:cs="Tahoma"/>
              </w:rPr>
              <w:t xml:space="preserve"> (доступность необходимо уточнять в точке продаж</w:t>
            </w:r>
            <w:r w:rsidRPr="005C3E44">
              <w:rPr>
                <w:rFonts w:ascii="Tahoma" w:hAnsi="Tahoma" w:cs="Tahoma"/>
              </w:rPr>
              <w:t>)</w:t>
            </w:r>
          </w:p>
        </w:tc>
      </w:tr>
      <w:tr w:rsidR="009D1253" w:rsidRPr="005A07E7" w14:paraId="4032D9B4" w14:textId="77777777" w:rsidTr="009D1253">
        <w:trPr>
          <w:trHeight w:val="455"/>
        </w:trPr>
        <w:tc>
          <w:tcPr>
            <w:tcW w:w="1475" w:type="pct"/>
            <w:vAlign w:val="center"/>
          </w:tcPr>
          <w:p w14:paraId="6297E690" w14:textId="77777777" w:rsidR="009D1253" w:rsidRPr="005A07E7" w:rsidRDefault="009D1253" w:rsidP="009D1253">
            <w:pPr>
              <w:rPr>
                <w:rFonts w:ascii="Tahoma" w:hAnsi="Tahoma" w:cs="Tahoma"/>
                <w:b/>
                <w:bCs/>
                <w:sz w:val="20"/>
                <w:szCs w:val="20"/>
              </w:rPr>
            </w:pPr>
            <w:r w:rsidRPr="005A07E7">
              <w:rPr>
                <w:rFonts w:ascii="Tahoma" w:hAnsi="Tahoma" w:cs="Tahoma"/>
                <w:b/>
                <w:bCs/>
                <w:sz w:val="20"/>
                <w:szCs w:val="20"/>
              </w:rPr>
              <w:t>Валюта, в которой предоставляется Кредит</w:t>
            </w:r>
          </w:p>
        </w:tc>
        <w:tc>
          <w:tcPr>
            <w:tcW w:w="3525" w:type="pct"/>
            <w:vAlign w:val="center"/>
          </w:tcPr>
          <w:p w14:paraId="78751EFD" w14:textId="77777777" w:rsidR="009D1253" w:rsidRPr="005A07E7" w:rsidRDefault="009D1253" w:rsidP="009D1253">
            <w:pPr>
              <w:pStyle w:val="a9"/>
              <w:tabs>
                <w:tab w:val="left" w:pos="-284"/>
                <w:tab w:val="left" w:pos="851"/>
              </w:tabs>
              <w:spacing w:before="0" w:after="0"/>
              <w:ind w:right="849"/>
              <w:jc w:val="center"/>
              <w:rPr>
                <w:rFonts w:ascii="Tahoma" w:hAnsi="Tahoma" w:cs="Tahoma"/>
              </w:rPr>
            </w:pPr>
            <w:r w:rsidRPr="005A07E7">
              <w:rPr>
                <w:rFonts w:ascii="Tahoma" w:hAnsi="Tahoma" w:cs="Tahoma"/>
                <w:color w:val="000000"/>
              </w:rPr>
              <w:t>Рубл</w:t>
            </w:r>
            <w:r>
              <w:rPr>
                <w:rFonts w:ascii="Tahoma" w:hAnsi="Tahoma" w:cs="Tahoma"/>
                <w:color w:val="000000"/>
              </w:rPr>
              <w:t>ь</w:t>
            </w:r>
            <w:r w:rsidRPr="005A07E7">
              <w:rPr>
                <w:rFonts w:ascii="Tahoma" w:hAnsi="Tahoma" w:cs="Tahoma"/>
                <w:color w:val="000000"/>
              </w:rPr>
              <w:t xml:space="preserve"> Рос</w:t>
            </w:r>
            <w:r>
              <w:rPr>
                <w:rFonts w:ascii="Tahoma" w:hAnsi="Tahoma" w:cs="Tahoma"/>
                <w:color w:val="000000"/>
              </w:rPr>
              <w:t>сийской Федерации (далее - рубль</w:t>
            </w:r>
            <w:r w:rsidRPr="005A07E7">
              <w:rPr>
                <w:rFonts w:ascii="Tahoma" w:hAnsi="Tahoma" w:cs="Tahoma"/>
                <w:color w:val="000000"/>
              </w:rPr>
              <w:t>)</w:t>
            </w:r>
          </w:p>
        </w:tc>
      </w:tr>
      <w:tr w:rsidR="009D1253" w:rsidRPr="005A07E7" w14:paraId="42177829" w14:textId="77777777" w:rsidTr="009D1253">
        <w:trPr>
          <w:trHeight w:val="455"/>
        </w:trPr>
        <w:tc>
          <w:tcPr>
            <w:tcW w:w="1475" w:type="pct"/>
            <w:shd w:val="clear" w:color="auto" w:fill="auto"/>
            <w:vAlign w:val="center"/>
          </w:tcPr>
          <w:p w14:paraId="79D6A9BA" w14:textId="77777777" w:rsidR="009D1253" w:rsidRPr="005A07E7" w:rsidRDefault="009D1253" w:rsidP="009D1253">
            <w:pPr>
              <w:rPr>
                <w:rFonts w:ascii="Tahoma" w:hAnsi="Tahoma" w:cs="Tahoma"/>
                <w:b/>
                <w:bCs/>
                <w:sz w:val="20"/>
                <w:szCs w:val="20"/>
              </w:rPr>
            </w:pPr>
            <w:r w:rsidRPr="005A07E7">
              <w:rPr>
                <w:rFonts w:ascii="Tahoma" w:hAnsi="Tahoma" w:cs="Tahoma"/>
                <w:b/>
                <w:sz w:val="20"/>
                <w:szCs w:val="20"/>
              </w:rPr>
              <w:t>Минимальная сумма Кредита</w:t>
            </w:r>
          </w:p>
        </w:tc>
        <w:tc>
          <w:tcPr>
            <w:tcW w:w="3525" w:type="pct"/>
            <w:shd w:val="clear" w:color="auto" w:fill="auto"/>
            <w:vAlign w:val="center"/>
          </w:tcPr>
          <w:p w14:paraId="3B3A2E85" w14:textId="77777777" w:rsidR="009D1253" w:rsidRPr="005A07E7" w:rsidRDefault="009D1253" w:rsidP="009D1253">
            <w:pPr>
              <w:pStyle w:val="a9"/>
              <w:tabs>
                <w:tab w:val="left" w:pos="-284"/>
                <w:tab w:val="left" w:pos="851"/>
              </w:tabs>
              <w:spacing w:before="0" w:after="0"/>
              <w:ind w:right="849"/>
              <w:jc w:val="center"/>
              <w:rPr>
                <w:rFonts w:ascii="Tahoma" w:hAnsi="Tahoma" w:cs="Tahoma"/>
                <w:color w:val="000000"/>
              </w:rPr>
            </w:pPr>
            <w:r>
              <w:rPr>
                <w:rFonts w:ascii="Tahoma" w:hAnsi="Tahoma" w:cs="Tahoma"/>
                <w:color w:val="000000"/>
              </w:rPr>
              <w:t>3</w:t>
            </w:r>
            <w:r w:rsidRPr="005A07E7">
              <w:rPr>
                <w:rFonts w:ascii="Tahoma" w:hAnsi="Tahoma" w:cs="Tahoma"/>
                <w:color w:val="000000"/>
              </w:rPr>
              <w:t>00 000 рублей</w:t>
            </w:r>
          </w:p>
        </w:tc>
      </w:tr>
      <w:tr w:rsidR="009D1253" w:rsidRPr="005A07E7" w14:paraId="4E50E229" w14:textId="77777777" w:rsidTr="009D1253">
        <w:trPr>
          <w:trHeight w:val="363"/>
        </w:trPr>
        <w:tc>
          <w:tcPr>
            <w:tcW w:w="1475" w:type="pct"/>
            <w:shd w:val="clear" w:color="auto" w:fill="auto"/>
            <w:vAlign w:val="center"/>
          </w:tcPr>
          <w:p w14:paraId="1969A08D"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Максимальная сумма Кредита</w:t>
            </w:r>
          </w:p>
        </w:tc>
        <w:tc>
          <w:tcPr>
            <w:tcW w:w="3525" w:type="pct"/>
            <w:shd w:val="clear" w:color="auto" w:fill="auto"/>
            <w:vAlign w:val="center"/>
          </w:tcPr>
          <w:p w14:paraId="04410B08" w14:textId="77777777" w:rsidR="009D1253" w:rsidRPr="005A07E7" w:rsidRDefault="009D1253" w:rsidP="009D1253">
            <w:pPr>
              <w:pStyle w:val="a9"/>
              <w:tabs>
                <w:tab w:val="left" w:pos="-284"/>
                <w:tab w:val="left" w:pos="851"/>
              </w:tabs>
              <w:spacing w:before="0" w:after="0"/>
              <w:ind w:right="849"/>
              <w:jc w:val="center"/>
              <w:rPr>
                <w:rFonts w:ascii="Tahoma" w:hAnsi="Tahoma" w:cs="Tahoma"/>
                <w:color w:val="000000"/>
              </w:rPr>
            </w:pPr>
            <w:r w:rsidRPr="000A5CAC">
              <w:rPr>
                <w:rFonts w:ascii="Tahoma" w:hAnsi="Tahoma" w:cs="Tahoma"/>
                <w:color w:val="000000"/>
              </w:rPr>
              <w:t xml:space="preserve">7 000 000 рублей </w:t>
            </w:r>
          </w:p>
        </w:tc>
      </w:tr>
      <w:tr w:rsidR="009D1253" w:rsidRPr="005A07E7" w14:paraId="0CE5D4D8" w14:textId="77777777" w:rsidTr="009D1253">
        <w:trPr>
          <w:trHeight w:val="558"/>
        </w:trPr>
        <w:tc>
          <w:tcPr>
            <w:tcW w:w="1475" w:type="pct"/>
            <w:shd w:val="clear" w:color="auto" w:fill="auto"/>
            <w:vAlign w:val="center"/>
          </w:tcPr>
          <w:p w14:paraId="100117D6"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 xml:space="preserve">Размер первоначального взноса (ПВ), </w:t>
            </w:r>
          </w:p>
          <w:p w14:paraId="14FC3786"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в % от стоимости ТС</w:t>
            </w:r>
          </w:p>
        </w:tc>
        <w:tc>
          <w:tcPr>
            <w:tcW w:w="3525" w:type="pct"/>
            <w:shd w:val="clear" w:color="auto" w:fill="auto"/>
            <w:vAlign w:val="center"/>
          </w:tcPr>
          <w:p w14:paraId="2AEACDCC" w14:textId="77777777" w:rsidR="009D1253" w:rsidRPr="005A07E7" w:rsidRDefault="009D1253" w:rsidP="009D1253">
            <w:pPr>
              <w:pStyle w:val="a9"/>
              <w:tabs>
                <w:tab w:val="left" w:pos="-284"/>
                <w:tab w:val="left" w:pos="851"/>
              </w:tabs>
              <w:spacing w:before="0" w:after="0"/>
              <w:ind w:right="849"/>
              <w:jc w:val="center"/>
              <w:rPr>
                <w:rFonts w:ascii="Tahoma" w:hAnsi="Tahoma" w:cs="Tahoma"/>
                <w:color w:val="000000"/>
              </w:rPr>
            </w:pPr>
            <w:r w:rsidRPr="005A07E7">
              <w:rPr>
                <w:rFonts w:ascii="Tahoma" w:hAnsi="Tahoma" w:cs="Tahoma"/>
                <w:color w:val="000000"/>
              </w:rPr>
              <w:t>от 0%</w:t>
            </w:r>
          </w:p>
        </w:tc>
      </w:tr>
      <w:tr w:rsidR="009D1253" w:rsidRPr="005A07E7" w14:paraId="04BA30C1" w14:textId="77777777" w:rsidTr="009D1253">
        <w:trPr>
          <w:trHeight w:val="408"/>
        </w:trPr>
        <w:tc>
          <w:tcPr>
            <w:tcW w:w="1475" w:type="pct"/>
            <w:shd w:val="clear" w:color="auto" w:fill="auto"/>
            <w:vAlign w:val="center"/>
          </w:tcPr>
          <w:p w14:paraId="68230BC1"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Диапазон сроков возврата Кредита</w:t>
            </w:r>
          </w:p>
        </w:tc>
        <w:tc>
          <w:tcPr>
            <w:tcW w:w="3525" w:type="pct"/>
            <w:shd w:val="clear" w:color="auto" w:fill="auto"/>
            <w:vAlign w:val="center"/>
          </w:tcPr>
          <w:p w14:paraId="2386C82D" w14:textId="77777777" w:rsidR="009D1253" w:rsidRPr="005A07E7" w:rsidRDefault="009D1253" w:rsidP="009D1253">
            <w:pPr>
              <w:tabs>
                <w:tab w:val="left" w:pos="851"/>
              </w:tabs>
              <w:jc w:val="center"/>
              <w:rPr>
                <w:rFonts w:ascii="Tahoma" w:hAnsi="Tahoma" w:cs="Tahoma"/>
                <w:sz w:val="20"/>
                <w:szCs w:val="20"/>
              </w:rPr>
            </w:pPr>
            <w:r w:rsidRPr="005A07E7">
              <w:rPr>
                <w:rFonts w:ascii="Tahoma" w:hAnsi="Tahoma" w:cs="Tahoma"/>
                <w:sz w:val="20"/>
                <w:szCs w:val="20"/>
              </w:rPr>
              <w:t xml:space="preserve">от 24 (двадцати четырех) до </w:t>
            </w:r>
            <w:r>
              <w:rPr>
                <w:rFonts w:ascii="Tahoma" w:hAnsi="Tahoma" w:cs="Tahoma"/>
                <w:sz w:val="20"/>
                <w:szCs w:val="20"/>
              </w:rPr>
              <w:t>120</w:t>
            </w:r>
            <w:r w:rsidRPr="005A07E7">
              <w:rPr>
                <w:rFonts w:ascii="Tahoma" w:hAnsi="Tahoma" w:cs="Tahoma"/>
                <w:sz w:val="20"/>
                <w:szCs w:val="20"/>
              </w:rPr>
              <w:t xml:space="preserve"> (</w:t>
            </w:r>
            <w:r>
              <w:rPr>
                <w:rFonts w:ascii="Tahoma" w:hAnsi="Tahoma" w:cs="Tahoma"/>
                <w:sz w:val="20"/>
                <w:szCs w:val="20"/>
              </w:rPr>
              <w:t>ста двадцати</w:t>
            </w:r>
            <w:r w:rsidRPr="005A07E7">
              <w:rPr>
                <w:rFonts w:ascii="Tahoma" w:hAnsi="Tahoma" w:cs="Tahoma"/>
                <w:sz w:val="20"/>
                <w:szCs w:val="20"/>
              </w:rPr>
              <w:t>) месяцев с шагом в 1 (один) год</w:t>
            </w:r>
          </w:p>
        </w:tc>
      </w:tr>
      <w:tr w:rsidR="009D1253" w:rsidRPr="005A07E7" w14:paraId="5976E70E" w14:textId="77777777" w:rsidTr="009D1253">
        <w:trPr>
          <w:trHeight w:val="834"/>
        </w:trPr>
        <w:tc>
          <w:tcPr>
            <w:tcW w:w="1475" w:type="pct"/>
            <w:vAlign w:val="center"/>
          </w:tcPr>
          <w:p w14:paraId="75ED1DBF" w14:textId="77777777" w:rsidR="009D1253" w:rsidRPr="005A07E7" w:rsidRDefault="009D1253" w:rsidP="009D1253">
            <w:pPr>
              <w:spacing w:line="216" w:lineRule="auto"/>
              <w:rPr>
                <w:rFonts w:ascii="Tahoma" w:hAnsi="Tahoma" w:cs="Tahoma"/>
                <w:b/>
                <w:sz w:val="20"/>
                <w:szCs w:val="20"/>
              </w:rPr>
            </w:pPr>
            <w:r w:rsidRPr="005A07E7">
              <w:rPr>
                <w:rFonts w:ascii="Tahoma" w:hAnsi="Tahoma" w:cs="Tahoma"/>
                <w:b/>
                <w:sz w:val="20"/>
                <w:szCs w:val="20"/>
              </w:rPr>
              <w:t>Процентная ставка (в процентах годовых)</w:t>
            </w:r>
          </w:p>
        </w:tc>
        <w:tc>
          <w:tcPr>
            <w:tcW w:w="3525" w:type="pct"/>
            <w:shd w:val="clear" w:color="auto" w:fill="auto"/>
            <w:vAlign w:val="center"/>
          </w:tcPr>
          <w:tbl>
            <w:tblPr>
              <w:tblStyle w:val="aff0"/>
              <w:tblpPr w:leftFromText="180" w:rightFromText="180" w:horzAnchor="margin" w:tblpY="1"/>
              <w:tblOverlap w:val="never"/>
              <w:tblW w:w="10543" w:type="dxa"/>
              <w:tblLayout w:type="fixed"/>
              <w:tblLook w:val="05A0" w:firstRow="1" w:lastRow="0" w:firstColumn="1" w:lastColumn="1" w:noHBand="0" w:noVBand="1"/>
            </w:tblPr>
            <w:tblGrid>
              <w:gridCol w:w="2321"/>
              <w:gridCol w:w="2438"/>
              <w:gridCol w:w="1928"/>
              <w:gridCol w:w="1928"/>
              <w:gridCol w:w="1928"/>
            </w:tblGrid>
            <w:tr w:rsidR="009D1253" w:rsidRPr="005A07E7" w14:paraId="7B96C655" w14:textId="77777777" w:rsidTr="009D1253">
              <w:tc>
                <w:tcPr>
                  <w:tcW w:w="2321" w:type="dxa"/>
                </w:tcPr>
                <w:p w14:paraId="249B2D16" w14:textId="77777777" w:rsidR="009D1253" w:rsidRPr="005A07E7" w:rsidRDefault="009D1253" w:rsidP="009D1253">
                  <w:pPr>
                    <w:tabs>
                      <w:tab w:val="left" w:pos="6979"/>
                    </w:tabs>
                    <w:ind w:right="176"/>
                    <w:jc w:val="both"/>
                    <w:rPr>
                      <w:rFonts w:ascii="Tahoma" w:hAnsi="Tahoma" w:cs="Tahoma"/>
                      <w:color w:val="000000"/>
                      <w:sz w:val="20"/>
                      <w:szCs w:val="20"/>
                    </w:rPr>
                  </w:pPr>
                </w:p>
              </w:tc>
              <w:tc>
                <w:tcPr>
                  <w:tcW w:w="2438" w:type="dxa"/>
                </w:tcPr>
                <w:p w14:paraId="701D72D7" w14:textId="77777777" w:rsidR="009D1253" w:rsidRPr="005A07E7" w:rsidRDefault="009D1253" w:rsidP="009D1253">
                  <w:pPr>
                    <w:autoSpaceDE w:val="0"/>
                    <w:autoSpaceDN w:val="0"/>
                    <w:adjustRightInd w:val="0"/>
                    <w:jc w:val="center"/>
                    <w:rPr>
                      <w:rFonts w:ascii="Tahoma" w:hAnsi="Tahoma" w:cs="Tahoma"/>
                      <w:color w:val="000000"/>
                      <w:sz w:val="20"/>
                      <w:szCs w:val="20"/>
                    </w:rPr>
                  </w:pPr>
                  <w:r w:rsidRPr="005A07E7">
                    <w:rPr>
                      <w:rFonts w:ascii="Tahoma" w:hAnsi="Tahoma" w:cs="Tahoma"/>
                      <w:color w:val="000000"/>
                      <w:sz w:val="20"/>
                      <w:szCs w:val="20"/>
                    </w:rPr>
                    <w:t>Ставка по Кредиту при отказе от заключения или досрочном*** прекращении договора страхования КАСКО* и личного страхования**</w:t>
                  </w:r>
                </w:p>
              </w:tc>
              <w:tc>
                <w:tcPr>
                  <w:tcW w:w="1928" w:type="dxa"/>
                </w:tcPr>
                <w:p w14:paraId="34CB97BE" w14:textId="77777777" w:rsidR="009D1253" w:rsidRPr="005A07E7" w:rsidRDefault="009D1253" w:rsidP="009D1253">
                  <w:pPr>
                    <w:tabs>
                      <w:tab w:val="left" w:pos="6979"/>
                    </w:tabs>
                    <w:ind w:right="176"/>
                    <w:jc w:val="center"/>
                    <w:rPr>
                      <w:rFonts w:ascii="Tahoma" w:hAnsi="Tahoma" w:cs="Tahoma"/>
                      <w:color w:val="000000"/>
                      <w:sz w:val="20"/>
                      <w:szCs w:val="20"/>
                    </w:rPr>
                  </w:pPr>
                  <w:r w:rsidRPr="005A07E7">
                    <w:rPr>
                      <w:rFonts w:ascii="Tahoma" w:hAnsi="Tahoma" w:cs="Tahoma"/>
                      <w:color w:val="000000"/>
                      <w:sz w:val="20"/>
                      <w:szCs w:val="20"/>
                    </w:rPr>
                    <w:t>Ставка по Кредиту при заключении договора страхования КАСКО*</w:t>
                  </w:r>
                </w:p>
              </w:tc>
              <w:tc>
                <w:tcPr>
                  <w:tcW w:w="1928" w:type="dxa"/>
                </w:tcPr>
                <w:p w14:paraId="018934C3" w14:textId="77777777" w:rsidR="009D1253" w:rsidRPr="001535C8" w:rsidRDefault="009D1253" w:rsidP="009D1253">
                  <w:pPr>
                    <w:tabs>
                      <w:tab w:val="left" w:pos="6979"/>
                    </w:tabs>
                    <w:ind w:right="176"/>
                    <w:jc w:val="center"/>
                    <w:rPr>
                      <w:rFonts w:ascii="Tahoma" w:hAnsi="Tahoma" w:cs="Tahoma"/>
                      <w:color w:val="000000"/>
                      <w:sz w:val="20"/>
                      <w:szCs w:val="20"/>
                    </w:rPr>
                  </w:pPr>
                  <w:r w:rsidRPr="005A07E7">
                    <w:rPr>
                      <w:rFonts w:ascii="Tahoma" w:hAnsi="Tahoma" w:cs="Tahoma"/>
                      <w:color w:val="000000"/>
                      <w:sz w:val="20"/>
                      <w:szCs w:val="20"/>
                    </w:rPr>
                    <w:t>Ставка по Кредиту при заключении договора личного страхования**</w:t>
                  </w:r>
                  <w:r w:rsidRPr="005F7378">
                    <w:rPr>
                      <w:rFonts w:ascii="Tahoma" w:hAnsi="Tahoma" w:cs="Tahoma"/>
                      <w:color w:val="000000"/>
                      <w:sz w:val="20"/>
                      <w:szCs w:val="20"/>
                    </w:rPr>
                    <w:t xml:space="preserve"> </w:t>
                  </w:r>
                  <w:r>
                    <w:rPr>
                      <w:rFonts w:ascii="Tahoma" w:hAnsi="Tahoma" w:cs="Tahoma"/>
                      <w:color w:val="000000"/>
                      <w:sz w:val="20"/>
                      <w:szCs w:val="20"/>
                    </w:rPr>
                    <w:t>на срок 12 месяцев</w:t>
                  </w:r>
                </w:p>
              </w:tc>
              <w:tc>
                <w:tcPr>
                  <w:tcW w:w="1928" w:type="dxa"/>
                </w:tcPr>
                <w:p w14:paraId="07B9BD10" w14:textId="77777777" w:rsidR="009D1253" w:rsidRPr="005A07E7" w:rsidRDefault="009D1253" w:rsidP="009D1253">
                  <w:pPr>
                    <w:tabs>
                      <w:tab w:val="left" w:pos="6979"/>
                    </w:tabs>
                    <w:ind w:right="176"/>
                    <w:jc w:val="center"/>
                    <w:rPr>
                      <w:rFonts w:ascii="Tahoma" w:hAnsi="Tahoma" w:cs="Tahoma"/>
                      <w:color w:val="000000"/>
                      <w:sz w:val="20"/>
                      <w:szCs w:val="20"/>
                    </w:rPr>
                  </w:pPr>
                  <w:r w:rsidRPr="005A07E7">
                    <w:rPr>
                      <w:rFonts w:ascii="Tahoma" w:hAnsi="Tahoma" w:cs="Tahoma"/>
                      <w:color w:val="000000"/>
                      <w:sz w:val="20"/>
                      <w:szCs w:val="20"/>
                    </w:rPr>
                    <w:t>Ставка по Кредиту при заключении договора личного страхования**</w:t>
                  </w:r>
                  <w:r>
                    <w:rPr>
                      <w:rFonts w:ascii="Tahoma" w:hAnsi="Tahoma" w:cs="Tahoma"/>
                      <w:color w:val="000000"/>
                      <w:sz w:val="20"/>
                      <w:szCs w:val="20"/>
                    </w:rPr>
                    <w:t xml:space="preserve"> на срок 24 месяца</w:t>
                  </w:r>
                </w:p>
              </w:tc>
            </w:tr>
            <w:tr w:rsidR="009D1253" w:rsidRPr="005A07E7" w14:paraId="06DF1383" w14:textId="77777777" w:rsidTr="009D1253">
              <w:tc>
                <w:tcPr>
                  <w:tcW w:w="2321" w:type="dxa"/>
                </w:tcPr>
                <w:p w14:paraId="6243A712" w14:textId="77777777" w:rsidR="009D1253" w:rsidRPr="005A07E7" w:rsidRDefault="009D1253" w:rsidP="009D1253">
                  <w:pPr>
                    <w:tabs>
                      <w:tab w:val="left" w:pos="6979"/>
                    </w:tabs>
                    <w:ind w:right="176"/>
                    <w:rPr>
                      <w:rFonts w:ascii="Tahoma" w:hAnsi="Tahoma" w:cs="Tahoma"/>
                      <w:color w:val="000000"/>
                      <w:sz w:val="20"/>
                      <w:szCs w:val="20"/>
                    </w:rPr>
                  </w:pPr>
                  <w:r w:rsidRPr="005A07E7">
                    <w:rPr>
                      <w:rFonts w:ascii="Tahoma" w:hAnsi="Tahoma" w:cs="Tahoma"/>
                      <w:color w:val="000000"/>
                      <w:sz w:val="20"/>
                      <w:szCs w:val="20"/>
                    </w:rPr>
                    <w:t>Для новых ТС</w:t>
                  </w:r>
                </w:p>
              </w:tc>
              <w:tc>
                <w:tcPr>
                  <w:tcW w:w="2438" w:type="dxa"/>
                </w:tcPr>
                <w:p w14:paraId="586D4D42" w14:textId="77777777" w:rsidR="009D1253" w:rsidRPr="00823F08"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26.99%</w:t>
                  </w:r>
                </w:p>
              </w:tc>
              <w:tc>
                <w:tcPr>
                  <w:tcW w:w="1928" w:type="dxa"/>
                </w:tcPr>
                <w:p w14:paraId="7439B025" w14:textId="77777777" w:rsidR="009D1253" w:rsidRPr="00823F08"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24.99%</w:t>
                  </w:r>
                </w:p>
              </w:tc>
              <w:tc>
                <w:tcPr>
                  <w:tcW w:w="1928" w:type="dxa"/>
                </w:tcPr>
                <w:p w14:paraId="64276D1B" w14:textId="77777777" w:rsidR="009D1253" w:rsidRPr="00823F08"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24.99%</w:t>
                  </w:r>
                </w:p>
              </w:tc>
              <w:tc>
                <w:tcPr>
                  <w:tcW w:w="1928" w:type="dxa"/>
                </w:tcPr>
                <w:p w14:paraId="579193C7" w14:textId="77777777" w:rsidR="009D1253"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22.99%</w:t>
                  </w:r>
                </w:p>
              </w:tc>
            </w:tr>
            <w:tr w:rsidR="009D1253" w:rsidRPr="005A07E7" w14:paraId="07394758" w14:textId="77777777" w:rsidTr="009D1253">
              <w:trPr>
                <w:trHeight w:val="219"/>
              </w:trPr>
              <w:tc>
                <w:tcPr>
                  <w:tcW w:w="2321" w:type="dxa"/>
                </w:tcPr>
                <w:p w14:paraId="36FC3061" w14:textId="77777777" w:rsidR="009D1253" w:rsidRPr="005A07E7" w:rsidRDefault="009D1253" w:rsidP="009D1253">
                  <w:pPr>
                    <w:tabs>
                      <w:tab w:val="left" w:pos="6979"/>
                    </w:tabs>
                    <w:ind w:right="176"/>
                    <w:rPr>
                      <w:rFonts w:ascii="Tahoma" w:hAnsi="Tahoma" w:cs="Tahoma"/>
                      <w:color w:val="000000"/>
                      <w:sz w:val="20"/>
                      <w:szCs w:val="20"/>
                    </w:rPr>
                  </w:pPr>
                  <w:r w:rsidRPr="005A07E7">
                    <w:rPr>
                      <w:rFonts w:ascii="Tahoma" w:hAnsi="Tahoma" w:cs="Tahoma"/>
                      <w:color w:val="000000"/>
                      <w:sz w:val="20"/>
                      <w:szCs w:val="20"/>
                    </w:rPr>
                    <w:t>Для подержанных ТС</w:t>
                  </w:r>
                </w:p>
              </w:tc>
              <w:tc>
                <w:tcPr>
                  <w:tcW w:w="2438" w:type="dxa"/>
                </w:tcPr>
                <w:p w14:paraId="03D8BE07" w14:textId="77777777" w:rsidR="009D1253" w:rsidRPr="00823F08"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27.99%</w:t>
                  </w:r>
                </w:p>
              </w:tc>
              <w:tc>
                <w:tcPr>
                  <w:tcW w:w="1928" w:type="dxa"/>
                </w:tcPr>
                <w:p w14:paraId="2CFEBC48" w14:textId="77777777" w:rsidR="009D1253" w:rsidRPr="00823F08"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25.99%</w:t>
                  </w:r>
                </w:p>
              </w:tc>
              <w:tc>
                <w:tcPr>
                  <w:tcW w:w="1928" w:type="dxa"/>
                </w:tcPr>
                <w:p w14:paraId="4389D04D" w14:textId="77777777" w:rsidR="009D1253" w:rsidRPr="00823F08"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25.99%</w:t>
                  </w:r>
                </w:p>
              </w:tc>
              <w:tc>
                <w:tcPr>
                  <w:tcW w:w="1928" w:type="dxa"/>
                </w:tcPr>
                <w:p w14:paraId="1908F204" w14:textId="77777777" w:rsidR="009D1253"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23.99%</w:t>
                  </w:r>
                </w:p>
              </w:tc>
            </w:tr>
          </w:tbl>
          <w:p w14:paraId="3B729DD0" w14:textId="77777777" w:rsidR="009D1253" w:rsidRPr="005A07E7" w:rsidRDefault="009D1253" w:rsidP="009D1253">
            <w:pPr>
              <w:tabs>
                <w:tab w:val="left" w:pos="6979"/>
              </w:tabs>
              <w:ind w:right="176"/>
              <w:jc w:val="both"/>
              <w:rPr>
                <w:sz w:val="18"/>
                <w:szCs w:val="18"/>
              </w:rPr>
            </w:pPr>
          </w:p>
          <w:p w14:paraId="371CF9CC" w14:textId="77777777" w:rsidR="009D1253" w:rsidRPr="005A07E7" w:rsidRDefault="009D1253" w:rsidP="009D1253">
            <w:pPr>
              <w:tabs>
                <w:tab w:val="left" w:pos="6979"/>
              </w:tabs>
              <w:ind w:right="176"/>
              <w:jc w:val="both"/>
              <w:rPr>
                <w:rFonts w:ascii="Tahoma" w:hAnsi="Tahoma" w:cs="Tahoma"/>
                <w:color w:val="000000"/>
                <w:sz w:val="20"/>
                <w:szCs w:val="20"/>
              </w:rPr>
            </w:pPr>
            <w:r w:rsidRPr="005A07E7">
              <w:rPr>
                <w:rFonts w:ascii="Tahoma" w:hAnsi="Tahoma" w:cs="Tahoma"/>
                <w:color w:val="000000"/>
                <w:sz w:val="20"/>
                <w:szCs w:val="20"/>
              </w:rPr>
              <w:t xml:space="preserve">При предоставлении </w:t>
            </w:r>
            <w:r>
              <w:rPr>
                <w:rFonts w:ascii="Tahoma" w:hAnsi="Tahoma" w:cs="Tahoma"/>
                <w:color w:val="000000"/>
                <w:sz w:val="20"/>
                <w:szCs w:val="20"/>
              </w:rPr>
              <w:t>Банку</w:t>
            </w:r>
            <w:r w:rsidRPr="005A07E7">
              <w:rPr>
                <w:rFonts w:ascii="Tahoma" w:hAnsi="Tahoma" w:cs="Tahoma"/>
                <w:color w:val="000000"/>
                <w:sz w:val="20"/>
                <w:szCs w:val="20"/>
              </w:rPr>
              <w:t xml:space="preserve"> сведений о состоянии индивидуального лицевого счета застрахованного лица (форма СЗИ-ИЛС) процентная ставка снижается на 1 процентный пункт единоразово на момент рассмотрения заявки на Кредит.</w:t>
            </w:r>
          </w:p>
          <w:p w14:paraId="6DA7DAA7" w14:textId="77777777" w:rsidR="009D1253" w:rsidRPr="00ED6334" w:rsidRDefault="009D1253" w:rsidP="009D1253">
            <w:pPr>
              <w:tabs>
                <w:tab w:val="left" w:pos="1080"/>
                <w:tab w:val="left" w:pos="7548"/>
              </w:tabs>
              <w:ind w:right="208"/>
              <w:jc w:val="both"/>
              <w:rPr>
                <w:rFonts w:ascii="Tahoma" w:hAnsi="Tahoma" w:cs="Tahoma"/>
                <w:sz w:val="16"/>
                <w:szCs w:val="18"/>
              </w:rPr>
            </w:pPr>
            <w:r w:rsidRPr="00ED6334">
              <w:rPr>
                <w:rFonts w:ascii="Tahoma" w:hAnsi="Tahoma" w:cs="Tahoma"/>
                <w:sz w:val="16"/>
                <w:szCs w:val="18"/>
              </w:rPr>
              <w:t xml:space="preserve">*При оформлении страхового продукта КАСКО, на срок не менее 12 (двенадцати) месяцев, с рисками, описанными в п.п.1-3 раздела «Информация о страховании» настоящего документа. </w:t>
            </w:r>
          </w:p>
          <w:p w14:paraId="5B7C26D0" w14:textId="77777777" w:rsidR="009D1253" w:rsidRPr="00ED6334" w:rsidRDefault="009D1253" w:rsidP="009D1253">
            <w:pPr>
              <w:tabs>
                <w:tab w:val="left" w:pos="6979"/>
                <w:tab w:val="left" w:pos="7548"/>
              </w:tabs>
              <w:ind w:right="176"/>
              <w:jc w:val="both"/>
              <w:rPr>
                <w:rFonts w:ascii="Tahoma" w:hAnsi="Tahoma" w:cs="Tahoma"/>
                <w:sz w:val="16"/>
                <w:szCs w:val="18"/>
              </w:rPr>
            </w:pPr>
            <w:r w:rsidRPr="00ED6334">
              <w:rPr>
                <w:rFonts w:ascii="Tahoma" w:hAnsi="Tahoma" w:cs="Tahoma"/>
                <w:sz w:val="16"/>
                <w:szCs w:val="18"/>
              </w:rPr>
              <w:t>**Личное страхование с рисками, указанными в п.4 раздела «Информация о страховании» настоящего документа.</w:t>
            </w:r>
            <w:r w:rsidRPr="00ED6334">
              <w:rPr>
                <w:rFonts w:ascii="Tahoma" w:hAnsi="Tahoma" w:cs="Tahoma"/>
                <w:sz w:val="22"/>
              </w:rPr>
              <w:t xml:space="preserve"> </w:t>
            </w:r>
          </w:p>
          <w:p w14:paraId="44E9D400" w14:textId="77777777" w:rsidR="009D1253" w:rsidRPr="005A07E7" w:rsidRDefault="009D1253" w:rsidP="009D1253">
            <w:pPr>
              <w:tabs>
                <w:tab w:val="left" w:pos="6979"/>
              </w:tabs>
              <w:ind w:right="176"/>
              <w:jc w:val="both"/>
              <w:rPr>
                <w:rFonts w:ascii="Tahoma" w:hAnsi="Tahoma" w:cs="Tahoma"/>
                <w:color w:val="000000"/>
                <w:sz w:val="20"/>
                <w:szCs w:val="20"/>
              </w:rPr>
            </w:pPr>
            <w:r w:rsidRPr="00ED6334">
              <w:rPr>
                <w:rFonts w:ascii="Tahoma" w:hAnsi="Tahoma" w:cs="Tahoma"/>
                <w:sz w:val="16"/>
                <w:szCs w:val="18"/>
              </w:rPr>
              <w:lastRenderedPageBreak/>
              <w:t>*** В случае досрочного прекращения Заёмщиком Договора страхования КАСКО или Личного страхования, а также в случае заключения Договора страхования КАСКО или Личного страхования, не соответствующего требованиям, указанным в разделе «Информация о страховании» настоящего документа, Банк вправе принять решение об увеличении процентной ставки. Процентная ставка определяется в соответствии с условиями кредитной программы Банка до меньшей из величин процентной ставки на момент принятия решения об увеличении процентной ставки: до уровня процентной ставки, действовавшей на момент заключения договора потребительского кредита или на момент принятия решения об увеличении процентной ставки по договору потребительского кредита на сопоставимых (сумма, срок возврата потребительского кредита, размер первоначального взноса) условиях потребительского кредита без учета заключения договора страхования, начиная с тридцать первого дня, следующего за днем прекращения договора страхового продукта.</w:t>
            </w:r>
          </w:p>
        </w:tc>
      </w:tr>
      <w:tr w:rsidR="009D1253" w:rsidRPr="005A07E7" w14:paraId="345E750F" w14:textId="77777777" w:rsidTr="009D1253">
        <w:trPr>
          <w:trHeight w:val="554"/>
        </w:trPr>
        <w:tc>
          <w:tcPr>
            <w:tcW w:w="1475" w:type="pct"/>
            <w:vAlign w:val="center"/>
          </w:tcPr>
          <w:p w14:paraId="418AE2DF" w14:textId="77777777" w:rsidR="009D1253" w:rsidRPr="005A07E7" w:rsidRDefault="009D1253" w:rsidP="009D1253">
            <w:pPr>
              <w:rPr>
                <w:rFonts w:ascii="Tahoma" w:hAnsi="Tahoma" w:cs="Tahoma"/>
                <w:b/>
                <w:sz w:val="20"/>
                <w:szCs w:val="20"/>
              </w:rPr>
            </w:pPr>
            <w:r w:rsidRPr="005A07E7">
              <w:rPr>
                <w:rFonts w:ascii="Tahoma" w:hAnsi="Tahoma" w:cs="Tahoma"/>
                <w:b/>
                <w:bCs/>
                <w:color w:val="000000" w:themeColor="text1"/>
                <w:sz w:val="20"/>
                <w:szCs w:val="20"/>
              </w:rPr>
              <w:lastRenderedPageBreak/>
              <w:t>Диапазон полной стоимости Кредита в процентном  и денежном выражении в порядке, установленном Федеральным законом от 21.12.2013 №353-ФЗ «О потребительском кредите (займе)»</w:t>
            </w:r>
          </w:p>
        </w:tc>
        <w:tc>
          <w:tcPr>
            <w:tcW w:w="3525" w:type="pct"/>
            <w:shd w:val="clear" w:color="auto" w:fill="auto"/>
            <w:vAlign w:val="center"/>
          </w:tcPr>
          <w:p w14:paraId="082E563D" w14:textId="77777777" w:rsidR="009D1253" w:rsidRPr="00171F43" w:rsidRDefault="009D1253" w:rsidP="009D1253">
            <w:pPr>
              <w:jc w:val="center"/>
              <w:rPr>
                <w:rFonts w:ascii="Tahoma" w:hAnsi="Tahoma" w:cs="Tahoma"/>
                <w:color w:val="000000"/>
                <w:sz w:val="20"/>
                <w:szCs w:val="20"/>
              </w:rPr>
            </w:pPr>
            <w:r>
              <w:rPr>
                <w:rFonts w:ascii="Tahoma" w:hAnsi="Tahoma" w:cs="Tahoma"/>
                <w:color w:val="000000"/>
                <w:sz w:val="20"/>
                <w:szCs w:val="20"/>
              </w:rPr>
              <w:t>21.973</w:t>
            </w:r>
            <w:r w:rsidRPr="00171F43">
              <w:rPr>
                <w:rFonts w:ascii="Tahoma" w:hAnsi="Tahoma" w:cs="Tahoma"/>
                <w:color w:val="000000"/>
                <w:sz w:val="20"/>
                <w:szCs w:val="20"/>
              </w:rPr>
              <w:t>% –</w:t>
            </w:r>
            <w:r w:rsidRPr="005F7378">
              <w:rPr>
                <w:rFonts w:ascii="Tahoma" w:hAnsi="Tahoma" w:cs="Tahoma"/>
                <w:color w:val="000000"/>
                <w:sz w:val="20"/>
                <w:szCs w:val="20"/>
              </w:rPr>
              <w:t xml:space="preserve"> </w:t>
            </w:r>
            <w:r>
              <w:rPr>
                <w:rFonts w:ascii="Tahoma" w:hAnsi="Tahoma" w:cs="Tahoma"/>
                <w:color w:val="000000"/>
                <w:sz w:val="20"/>
                <w:szCs w:val="20"/>
              </w:rPr>
              <w:t>27.969</w:t>
            </w:r>
            <w:r w:rsidRPr="00171F43">
              <w:rPr>
                <w:rFonts w:ascii="Tahoma" w:hAnsi="Tahoma" w:cs="Tahoma"/>
                <w:color w:val="000000"/>
                <w:sz w:val="20"/>
                <w:szCs w:val="20"/>
              </w:rPr>
              <w:t>% годовых;</w:t>
            </w:r>
          </w:p>
          <w:p w14:paraId="74AF11BD" w14:textId="77777777" w:rsidR="009D1253" w:rsidRPr="00171F43" w:rsidRDefault="009D1253" w:rsidP="009D1253">
            <w:pPr>
              <w:jc w:val="center"/>
              <w:rPr>
                <w:rFonts w:ascii="Tahoma" w:hAnsi="Tahoma" w:cs="Tahoma"/>
                <w:color w:val="000000"/>
                <w:sz w:val="20"/>
                <w:szCs w:val="20"/>
              </w:rPr>
            </w:pPr>
            <w:r>
              <w:rPr>
                <w:rFonts w:ascii="Tahoma" w:hAnsi="Tahoma" w:cs="Tahoma"/>
                <w:color w:val="000000"/>
                <w:sz w:val="20"/>
                <w:szCs w:val="20"/>
              </w:rPr>
              <w:t>73 429.77</w:t>
            </w:r>
            <w:r w:rsidRPr="00171F43">
              <w:rPr>
                <w:rFonts w:ascii="Tahoma" w:hAnsi="Tahoma" w:cs="Tahoma"/>
                <w:color w:val="000000"/>
                <w:sz w:val="20"/>
                <w:szCs w:val="20"/>
              </w:rPr>
              <w:t xml:space="preserve"> руб. –</w:t>
            </w:r>
            <w:r w:rsidRPr="005F7378">
              <w:rPr>
                <w:rFonts w:ascii="Tahoma" w:hAnsi="Tahoma" w:cs="Tahoma"/>
                <w:color w:val="000000"/>
                <w:sz w:val="20"/>
                <w:szCs w:val="20"/>
              </w:rPr>
              <w:t xml:space="preserve"> </w:t>
            </w:r>
            <w:r w:rsidRPr="00C6273E">
              <w:rPr>
                <w:rFonts w:ascii="Tahoma" w:hAnsi="Tahoma" w:cs="Tahoma"/>
                <w:color w:val="000000"/>
                <w:sz w:val="20"/>
                <w:szCs w:val="20"/>
              </w:rPr>
              <w:t>13 893 753,24</w:t>
            </w:r>
            <w:r w:rsidRPr="00171F43">
              <w:rPr>
                <w:rFonts w:ascii="Tahoma" w:hAnsi="Tahoma" w:cs="Tahoma"/>
                <w:color w:val="000000"/>
                <w:sz w:val="20"/>
                <w:szCs w:val="20"/>
              </w:rPr>
              <w:t xml:space="preserve"> руб.</w:t>
            </w:r>
          </w:p>
          <w:p w14:paraId="7B48669C" w14:textId="77777777" w:rsidR="009D1253" w:rsidRPr="00171F43" w:rsidRDefault="009D1253" w:rsidP="009D1253">
            <w:pPr>
              <w:pStyle w:val="aff1"/>
              <w:jc w:val="both"/>
              <w:rPr>
                <w:rFonts w:ascii="Tahoma" w:eastAsiaTheme="minorHAnsi" w:hAnsi="Tahoma" w:cs="Tahoma"/>
                <w:sz w:val="18"/>
                <w:szCs w:val="18"/>
                <w:lang w:eastAsia="en-US"/>
              </w:rPr>
            </w:pPr>
            <w:r w:rsidRPr="00171F43">
              <w:rPr>
                <w:rFonts w:ascii="Tahoma" w:eastAsiaTheme="minorHAnsi" w:hAnsi="Tahoma" w:cs="Tahoma"/>
                <w:sz w:val="18"/>
                <w:szCs w:val="18"/>
                <w:lang w:eastAsia="en-US"/>
              </w:rPr>
              <w:t>Расчет минимального значения ПСК произведен с использованием параметров: минимальная сумма Кредита (300 000 рублей), минимальный срок (24 месяца), минимальная ставка (</w:t>
            </w:r>
            <w:r>
              <w:rPr>
                <w:rFonts w:ascii="Tahoma" w:eastAsiaTheme="minorHAnsi" w:hAnsi="Tahoma" w:cs="Tahoma"/>
                <w:sz w:val="18"/>
                <w:szCs w:val="18"/>
                <w:lang w:eastAsia="en-US"/>
              </w:rPr>
              <w:t>21.99</w:t>
            </w:r>
            <w:r w:rsidRPr="00171F43">
              <w:rPr>
                <w:rFonts w:ascii="Tahoma" w:eastAsiaTheme="minorHAnsi" w:hAnsi="Tahoma" w:cs="Tahoma"/>
                <w:sz w:val="18"/>
                <w:szCs w:val="18"/>
                <w:lang w:eastAsia="en-US"/>
              </w:rPr>
              <w:t>% годовых для лиц с инвалидностью</w:t>
            </w:r>
            <w:r>
              <w:rPr>
                <w:rFonts w:ascii="Tahoma" w:eastAsiaTheme="minorHAnsi" w:hAnsi="Tahoma" w:cs="Tahoma"/>
                <w:sz w:val="18"/>
                <w:szCs w:val="18"/>
                <w:lang w:eastAsia="en-US"/>
              </w:rPr>
              <w:t xml:space="preserve"> и с учетом </w:t>
            </w:r>
            <w:r w:rsidRPr="00F96FAF">
              <w:rPr>
                <w:rFonts w:ascii="Tahoma" w:eastAsiaTheme="minorHAnsi" w:hAnsi="Tahoma" w:cs="Tahoma"/>
                <w:sz w:val="18"/>
                <w:szCs w:val="18"/>
                <w:lang w:eastAsia="en-US"/>
              </w:rPr>
              <w:t>снижения процентной ставки при предоставлении Банку сведений о состоянии индивидуального лицевого счета застрахованного лица (форма СЗИ-ИЛС))</w:t>
            </w:r>
            <w:r w:rsidRPr="00171F43">
              <w:rPr>
                <w:rFonts w:ascii="Tahoma" w:eastAsiaTheme="minorHAnsi" w:hAnsi="Tahoma" w:cs="Tahoma"/>
                <w:sz w:val="18"/>
                <w:szCs w:val="18"/>
                <w:lang w:eastAsia="en-US"/>
              </w:rPr>
              <w:t>.</w:t>
            </w:r>
          </w:p>
          <w:p w14:paraId="23955EB1" w14:textId="77777777" w:rsidR="009D1253" w:rsidRPr="00B975F2" w:rsidRDefault="009D1253" w:rsidP="009D1253">
            <w:pPr>
              <w:jc w:val="both"/>
              <w:rPr>
                <w:rFonts w:ascii="Tahoma" w:eastAsiaTheme="minorHAnsi" w:hAnsi="Tahoma" w:cs="Tahoma"/>
                <w:sz w:val="18"/>
                <w:szCs w:val="18"/>
                <w:lang w:eastAsia="en-US"/>
              </w:rPr>
            </w:pPr>
            <w:r w:rsidRPr="00171F43">
              <w:rPr>
                <w:rFonts w:ascii="Tahoma" w:eastAsiaTheme="minorHAnsi" w:hAnsi="Tahoma" w:cs="Tahoma"/>
                <w:sz w:val="18"/>
                <w:szCs w:val="18"/>
                <w:lang w:eastAsia="en-US"/>
              </w:rPr>
              <w:t>Расчет максимального значения ПСК произведен с использованием параметров: максимальная сумма Кредита (7 000 000 рублей), максимальный срок (</w:t>
            </w:r>
            <w:r>
              <w:rPr>
                <w:rFonts w:ascii="Tahoma" w:eastAsiaTheme="minorHAnsi" w:hAnsi="Tahoma" w:cs="Tahoma"/>
                <w:sz w:val="18"/>
                <w:szCs w:val="18"/>
                <w:lang w:eastAsia="en-US"/>
              </w:rPr>
              <w:t>120</w:t>
            </w:r>
            <w:r w:rsidRPr="00171F43">
              <w:rPr>
                <w:rFonts w:ascii="Tahoma" w:eastAsiaTheme="minorHAnsi" w:hAnsi="Tahoma" w:cs="Tahoma"/>
                <w:sz w:val="18"/>
                <w:szCs w:val="18"/>
                <w:lang w:eastAsia="en-US"/>
              </w:rPr>
              <w:t xml:space="preserve"> месяцев), максимальная ставка (</w:t>
            </w:r>
            <w:r>
              <w:rPr>
                <w:rFonts w:ascii="Tahoma" w:eastAsiaTheme="minorHAnsi" w:hAnsi="Tahoma" w:cs="Tahoma"/>
                <w:sz w:val="18"/>
                <w:szCs w:val="18"/>
                <w:lang w:eastAsia="en-US"/>
              </w:rPr>
              <w:t>27.99</w:t>
            </w:r>
            <w:r w:rsidRPr="00171F43">
              <w:rPr>
                <w:rFonts w:ascii="Tahoma" w:eastAsiaTheme="minorHAnsi" w:hAnsi="Tahoma" w:cs="Tahoma"/>
                <w:sz w:val="18"/>
                <w:szCs w:val="18"/>
                <w:lang w:eastAsia="en-US"/>
              </w:rPr>
              <w:t>% годовых)</w:t>
            </w:r>
          </w:p>
        </w:tc>
      </w:tr>
      <w:tr w:rsidR="009D1253" w:rsidRPr="005A07E7" w14:paraId="0E1087BF" w14:textId="77777777" w:rsidTr="009D1253">
        <w:trPr>
          <w:trHeight w:val="554"/>
        </w:trPr>
        <w:tc>
          <w:tcPr>
            <w:tcW w:w="1475" w:type="pct"/>
          </w:tcPr>
          <w:p w14:paraId="26BD823D" w14:textId="77777777" w:rsidR="009D1253" w:rsidRPr="005A07E7" w:rsidRDefault="009D1253" w:rsidP="009D1253">
            <w:pPr>
              <w:tabs>
                <w:tab w:val="left" w:pos="851"/>
              </w:tabs>
              <w:rPr>
                <w:rFonts w:ascii="Tahoma" w:hAnsi="Tahoma" w:cs="Tahoma"/>
                <w:b/>
                <w:sz w:val="20"/>
                <w:szCs w:val="20"/>
              </w:rPr>
            </w:pPr>
            <w:r w:rsidRPr="005A07E7">
              <w:rPr>
                <w:rFonts w:ascii="Tahoma" w:hAnsi="Tahoma" w:cs="Tahoma"/>
                <w:b/>
                <w:sz w:val="20"/>
                <w:szCs w:val="20"/>
              </w:rPr>
              <w:t>Информация о страховании</w:t>
            </w:r>
          </w:p>
        </w:tc>
        <w:tc>
          <w:tcPr>
            <w:tcW w:w="3525" w:type="pct"/>
            <w:shd w:val="clear" w:color="auto" w:fill="auto"/>
          </w:tcPr>
          <w:p w14:paraId="4F3A2411" w14:textId="77777777" w:rsidR="009D1253" w:rsidRDefault="009D1253" w:rsidP="009D1253">
            <w:pPr>
              <w:tabs>
                <w:tab w:val="left" w:pos="6979"/>
              </w:tabs>
              <w:ind w:right="176"/>
              <w:jc w:val="both"/>
              <w:rPr>
                <w:rFonts w:ascii="Tahoma" w:hAnsi="Tahoma" w:cs="Tahoma"/>
                <w:color w:val="000000"/>
                <w:sz w:val="20"/>
                <w:szCs w:val="20"/>
                <w:u w:val="single"/>
              </w:rPr>
            </w:pPr>
            <w:r w:rsidRPr="005A07E7">
              <w:rPr>
                <w:rFonts w:ascii="Tahoma" w:hAnsi="Tahoma" w:cs="Tahoma"/>
                <w:color w:val="000000"/>
                <w:sz w:val="20"/>
                <w:szCs w:val="20"/>
              </w:rPr>
              <w:t xml:space="preserve">При выборе Заёмщиком условий кредитования для приобретения нового или подержанного ТС с заключением Договора страхования КАСКО или Личного страхования, необходимо оформление договора (полиса) страхования </w:t>
            </w:r>
            <w:r>
              <w:rPr>
                <w:rFonts w:ascii="Tahoma" w:hAnsi="Tahoma" w:cs="Tahoma"/>
                <w:color w:val="000000"/>
                <w:sz w:val="20"/>
                <w:szCs w:val="20"/>
              </w:rPr>
              <w:t>в котором в</w:t>
            </w:r>
            <w:r w:rsidRPr="008D26EE">
              <w:rPr>
                <w:rFonts w:ascii="Tahoma" w:hAnsi="Tahoma" w:cs="Tahoma"/>
                <w:color w:val="000000"/>
                <w:sz w:val="20"/>
                <w:szCs w:val="20"/>
              </w:rPr>
              <w:t xml:space="preserve">ыгодоприобретателем в размере задолженности Заемщика </w:t>
            </w:r>
            <w:r>
              <w:rPr>
                <w:rFonts w:ascii="Tahoma" w:hAnsi="Tahoma" w:cs="Tahoma"/>
                <w:color w:val="000000"/>
                <w:sz w:val="20"/>
                <w:szCs w:val="20"/>
              </w:rPr>
              <w:t xml:space="preserve">будет </w:t>
            </w:r>
            <w:r w:rsidRPr="008D26EE">
              <w:rPr>
                <w:rFonts w:ascii="Tahoma" w:hAnsi="Tahoma" w:cs="Tahoma"/>
                <w:color w:val="000000"/>
                <w:sz w:val="20"/>
                <w:szCs w:val="20"/>
              </w:rPr>
              <w:t xml:space="preserve">указан </w:t>
            </w:r>
            <w:r w:rsidRPr="00B2133F">
              <w:rPr>
                <w:rFonts w:ascii="Tahoma" w:hAnsi="Tahoma" w:cs="Tahoma"/>
                <w:color w:val="000000"/>
                <w:sz w:val="20"/>
                <w:szCs w:val="20"/>
              </w:rPr>
              <w:t>«Аз</w:t>
            </w:r>
            <w:r>
              <w:rPr>
                <w:rFonts w:ascii="Tahoma" w:hAnsi="Tahoma" w:cs="Tahoma"/>
                <w:color w:val="000000"/>
                <w:sz w:val="20"/>
                <w:szCs w:val="20"/>
              </w:rPr>
              <w:t>иатско-Тихоокеанский Банк» (АО)</w:t>
            </w:r>
            <w:r w:rsidRPr="008D26EE">
              <w:rPr>
                <w:rFonts w:ascii="Tahoma" w:hAnsi="Tahoma" w:cs="Tahoma"/>
                <w:color w:val="000000"/>
                <w:sz w:val="20"/>
                <w:szCs w:val="20"/>
              </w:rPr>
              <w:t>, за исключением случаев, когда он выступает страховым агентом при заключении договора страхования</w:t>
            </w:r>
            <w:r>
              <w:rPr>
                <w:rFonts w:ascii="Tahoma" w:hAnsi="Tahoma" w:cs="Tahoma"/>
                <w:color w:val="000000"/>
                <w:sz w:val="20"/>
                <w:szCs w:val="20"/>
              </w:rPr>
              <w:t>.</w:t>
            </w:r>
          </w:p>
          <w:p w14:paraId="04868C14" w14:textId="77777777" w:rsidR="009D1253" w:rsidRPr="005A07E7" w:rsidRDefault="009D1253" w:rsidP="009D1253">
            <w:pPr>
              <w:ind w:right="176"/>
              <w:jc w:val="both"/>
              <w:rPr>
                <w:rFonts w:ascii="Tahoma" w:hAnsi="Tahoma" w:cs="Tahoma"/>
                <w:color w:val="00B050"/>
                <w:sz w:val="20"/>
                <w:szCs w:val="20"/>
              </w:rPr>
            </w:pPr>
            <w:r w:rsidRPr="005A07E7">
              <w:rPr>
                <w:rFonts w:ascii="Tahoma" w:hAnsi="Tahoma" w:cs="Tahoma"/>
                <w:color w:val="000000"/>
                <w:sz w:val="20"/>
                <w:szCs w:val="20"/>
                <w:u w:val="single"/>
              </w:rPr>
              <w:t>КАСКО:</w:t>
            </w:r>
            <w:r w:rsidRPr="005A07E7">
              <w:rPr>
                <w:rFonts w:ascii="Tahoma" w:hAnsi="Tahoma" w:cs="Tahoma"/>
                <w:color w:val="000000"/>
                <w:sz w:val="20"/>
                <w:szCs w:val="20"/>
              </w:rPr>
              <w:t xml:space="preserve"> </w:t>
            </w:r>
          </w:p>
          <w:p w14:paraId="38B87DF5" w14:textId="77777777" w:rsidR="009D1253" w:rsidRPr="005A07E7" w:rsidRDefault="009D1253" w:rsidP="009D1253">
            <w:pPr>
              <w:tabs>
                <w:tab w:val="left" w:pos="6979"/>
              </w:tabs>
              <w:ind w:right="176"/>
              <w:jc w:val="both"/>
              <w:rPr>
                <w:rFonts w:ascii="Tahoma" w:hAnsi="Tahoma" w:cs="Tahoma"/>
                <w:color w:val="000000"/>
                <w:sz w:val="20"/>
                <w:szCs w:val="20"/>
              </w:rPr>
            </w:pPr>
            <w:r w:rsidRPr="005A07E7">
              <w:rPr>
                <w:rFonts w:ascii="Tahoma" w:hAnsi="Tahoma" w:cs="Tahoma"/>
                <w:color w:val="000000"/>
                <w:sz w:val="20"/>
                <w:szCs w:val="20"/>
              </w:rPr>
              <w:t>Покрываемые риски</w:t>
            </w:r>
            <w:r>
              <w:rPr>
                <w:rFonts w:ascii="Tahoma" w:hAnsi="Tahoma" w:cs="Tahoma"/>
                <w:color w:val="000000"/>
                <w:sz w:val="20"/>
                <w:szCs w:val="20"/>
              </w:rPr>
              <w:t>, которые должны быть указаны в договоре страхования</w:t>
            </w:r>
            <w:r w:rsidRPr="005A07E7">
              <w:rPr>
                <w:rFonts w:ascii="Tahoma" w:hAnsi="Tahoma" w:cs="Tahoma"/>
                <w:color w:val="000000"/>
                <w:sz w:val="20"/>
                <w:szCs w:val="20"/>
              </w:rPr>
              <w:t xml:space="preserve">: </w:t>
            </w:r>
          </w:p>
          <w:p w14:paraId="18C4FDAB" w14:textId="77777777" w:rsidR="009D1253" w:rsidRPr="005A07E7" w:rsidRDefault="009D1253" w:rsidP="009D1253">
            <w:pPr>
              <w:tabs>
                <w:tab w:val="left" w:pos="6979"/>
              </w:tabs>
              <w:ind w:right="176"/>
              <w:jc w:val="both"/>
              <w:rPr>
                <w:rFonts w:ascii="Tahoma" w:hAnsi="Tahoma" w:cs="Tahoma"/>
                <w:color w:val="000000"/>
                <w:sz w:val="20"/>
                <w:szCs w:val="20"/>
              </w:rPr>
            </w:pPr>
            <w:r w:rsidRPr="005A07E7">
              <w:rPr>
                <w:rFonts w:ascii="Tahoma" w:hAnsi="Tahoma" w:cs="Tahoma"/>
                <w:color w:val="000000"/>
                <w:sz w:val="20"/>
                <w:szCs w:val="20"/>
              </w:rPr>
              <w:t xml:space="preserve">1. Ущерб с выплатой на условиях </w:t>
            </w:r>
            <w:r>
              <w:rPr>
                <w:rFonts w:ascii="Tahoma" w:hAnsi="Tahoma" w:cs="Tahoma"/>
                <w:color w:val="000000"/>
                <w:sz w:val="20"/>
                <w:szCs w:val="20"/>
              </w:rPr>
              <w:t>п</w:t>
            </w:r>
            <w:r w:rsidRPr="005A07E7">
              <w:rPr>
                <w:rFonts w:ascii="Tahoma" w:hAnsi="Tahoma" w:cs="Tahoma"/>
                <w:color w:val="000000"/>
                <w:sz w:val="20"/>
                <w:szCs w:val="20"/>
              </w:rPr>
              <w:t>олная гибель</w:t>
            </w:r>
            <w:r>
              <w:rPr>
                <w:rFonts w:ascii="Tahoma" w:hAnsi="Tahoma" w:cs="Tahoma"/>
                <w:color w:val="000000"/>
                <w:sz w:val="20"/>
                <w:szCs w:val="20"/>
              </w:rPr>
              <w:t xml:space="preserve"> ТС</w:t>
            </w:r>
            <w:r w:rsidRPr="005A07E7">
              <w:rPr>
                <w:rFonts w:ascii="Tahoma" w:hAnsi="Tahoma" w:cs="Tahoma"/>
                <w:color w:val="000000"/>
                <w:sz w:val="20"/>
                <w:szCs w:val="20"/>
              </w:rPr>
              <w:t xml:space="preserve">; </w:t>
            </w:r>
          </w:p>
          <w:p w14:paraId="58443E8B" w14:textId="77777777" w:rsidR="009D1253" w:rsidRPr="005A07E7" w:rsidRDefault="009D1253" w:rsidP="009D1253">
            <w:pPr>
              <w:tabs>
                <w:tab w:val="left" w:pos="6979"/>
              </w:tabs>
              <w:ind w:right="176"/>
              <w:jc w:val="both"/>
              <w:rPr>
                <w:rFonts w:ascii="Tahoma" w:hAnsi="Tahoma" w:cs="Tahoma"/>
                <w:color w:val="000000"/>
                <w:sz w:val="20"/>
                <w:szCs w:val="20"/>
              </w:rPr>
            </w:pPr>
            <w:r w:rsidRPr="005A07E7">
              <w:rPr>
                <w:rFonts w:ascii="Tahoma" w:hAnsi="Tahoma" w:cs="Tahoma"/>
                <w:color w:val="000000"/>
                <w:sz w:val="20"/>
                <w:szCs w:val="20"/>
              </w:rPr>
              <w:t>2. Хищение по ст.158, 161, 162 УК РФ, Угон;</w:t>
            </w:r>
          </w:p>
          <w:p w14:paraId="4D2047E4" w14:textId="77777777" w:rsidR="009D1253" w:rsidRPr="005A07E7" w:rsidRDefault="009D1253" w:rsidP="009D1253">
            <w:pPr>
              <w:tabs>
                <w:tab w:val="left" w:pos="6979"/>
              </w:tabs>
              <w:ind w:right="176"/>
              <w:jc w:val="both"/>
              <w:rPr>
                <w:rFonts w:ascii="Tahoma" w:hAnsi="Tahoma" w:cs="Tahoma"/>
                <w:color w:val="000000"/>
                <w:sz w:val="20"/>
                <w:szCs w:val="20"/>
                <w:u w:val="single"/>
              </w:rPr>
            </w:pPr>
            <w:r>
              <w:rPr>
                <w:rFonts w:ascii="Tahoma" w:hAnsi="Tahoma" w:cs="Tahoma"/>
                <w:color w:val="000000"/>
                <w:sz w:val="20"/>
                <w:szCs w:val="20"/>
              </w:rPr>
              <w:t xml:space="preserve">3. </w:t>
            </w:r>
            <w:r w:rsidRPr="005A07E7">
              <w:rPr>
                <w:rFonts w:ascii="Tahoma" w:hAnsi="Tahoma" w:cs="Tahoma"/>
                <w:color w:val="000000"/>
                <w:sz w:val="20"/>
                <w:szCs w:val="20"/>
              </w:rPr>
              <w:t xml:space="preserve">Ущерб в результате самовозгорания с выплатой в случае </w:t>
            </w:r>
            <w:r>
              <w:rPr>
                <w:rFonts w:ascii="Tahoma" w:hAnsi="Tahoma" w:cs="Tahoma"/>
                <w:color w:val="000000"/>
                <w:sz w:val="20"/>
                <w:szCs w:val="20"/>
              </w:rPr>
              <w:t>п</w:t>
            </w:r>
            <w:r w:rsidRPr="005A07E7">
              <w:rPr>
                <w:rFonts w:ascii="Tahoma" w:hAnsi="Tahoma" w:cs="Tahoma"/>
                <w:color w:val="000000"/>
                <w:sz w:val="20"/>
                <w:szCs w:val="20"/>
              </w:rPr>
              <w:t>олной гибели</w:t>
            </w:r>
            <w:r>
              <w:rPr>
                <w:rFonts w:ascii="Tahoma" w:hAnsi="Tahoma" w:cs="Tahoma"/>
                <w:color w:val="000000"/>
                <w:sz w:val="20"/>
                <w:szCs w:val="20"/>
              </w:rPr>
              <w:t xml:space="preserve"> ТС.</w:t>
            </w:r>
          </w:p>
          <w:p w14:paraId="6A72D728" w14:textId="77777777" w:rsidR="009D1253" w:rsidRPr="005A07E7" w:rsidRDefault="009D1253" w:rsidP="009D1253">
            <w:pPr>
              <w:tabs>
                <w:tab w:val="left" w:pos="6979"/>
              </w:tabs>
              <w:ind w:right="176"/>
              <w:jc w:val="both"/>
              <w:rPr>
                <w:rFonts w:ascii="Tahoma" w:hAnsi="Tahoma" w:cs="Tahoma"/>
                <w:color w:val="000000"/>
                <w:sz w:val="20"/>
                <w:szCs w:val="20"/>
              </w:rPr>
            </w:pPr>
            <w:r w:rsidRPr="005A07E7">
              <w:rPr>
                <w:rFonts w:ascii="Tahoma" w:hAnsi="Tahoma" w:cs="Tahoma"/>
                <w:color w:val="000000"/>
                <w:sz w:val="20"/>
                <w:szCs w:val="20"/>
              </w:rPr>
              <w:t>и</w:t>
            </w:r>
          </w:p>
          <w:p w14:paraId="52B517DC" w14:textId="77777777" w:rsidR="009D1253" w:rsidRPr="005A07E7" w:rsidRDefault="009D1253" w:rsidP="009D1253">
            <w:pPr>
              <w:tabs>
                <w:tab w:val="left" w:pos="6979"/>
              </w:tabs>
              <w:ind w:right="176"/>
              <w:jc w:val="both"/>
              <w:rPr>
                <w:rFonts w:ascii="Tahoma" w:hAnsi="Tahoma" w:cs="Tahoma"/>
                <w:color w:val="000000"/>
                <w:sz w:val="20"/>
                <w:szCs w:val="20"/>
              </w:rPr>
            </w:pPr>
            <w:r w:rsidRPr="005A07E7">
              <w:rPr>
                <w:rFonts w:ascii="Tahoma" w:hAnsi="Tahoma" w:cs="Tahoma"/>
                <w:color w:val="000000"/>
                <w:sz w:val="20"/>
                <w:szCs w:val="20"/>
                <w:u w:val="single"/>
              </w:rPr>
              <w:t xml:space="preserve">Личное страхование: </w:t>
            </w:r>
            <w:r>
              <w:rPr>
                <w:rFonts w:ascii="Tahoma" w:hAnsi="Tahoma" w:cs="Tahoma"/>
                <w:color w:val="000000"/>
                <w:sz w:val="20"/>
                <w:szCs w:val="20"/>
                <w:u w:val="single"/>
              </w:rPr>
              <w:t>(</w:t>
            </w:r>
            <w:r>
              <w:rPr>
                <w:rFonts w:ascii="Tahoma" w:hAnsi="Tahoma" w:cs="Tahoma"/>
                <w:i/>
                <w:color w:val="000000"/>
                <w:sz w:val="20"/>
                <w:szCs w:val="20"/>
              </w:rPr>
              <w:t>о</w:t>
            </w:r>
            <w:r w:rsidRPr="005A07E7">
              <w:rPr>
                <w:rFonts w:ascii="Tahoma" w:hAnsi="Tahoma" w:cs="Tahoma"/>
                <w:i/>
                <w:color w:val="000000"/>
                <w:sz w:val="20"/>
                <w:szCs w:val="20"/>
              </w:rPr>
              <w:t>формление данного вида страхования не применимо для лиц с инвалидностью (ЛСИ)</w:t>
            </w:r>
            <w:r>
              <w:rPr>
                <w:rFonts w:ascii="Tahoma" w:hAnsi="Tahoma" w:cs="Tahoma"/>
                <w:i/>
                <w:color w:val="000000"/>
                <w:sz w:val="20"/>
                <w:szCs w:val="20"/>
              </w:rPr>
              <w:t>*)</w:t>
            </w:r>
            <w:r w:rsidRPr="005A07E7">
              <w:rPr>
                <w:rFonts w:ascii="Tahoma" w:hAnsi="Tahoma" w:cs="Tahoma"/>
                <w:i/>
                <w:color w:val="000000"/>
                <w:sz w:val="20"/>
                <w:szCs w:val="20"/>
              </w:rPr>
              <w:t xml:space="preserve">. </w:t>
            </w:r>
          </w:p>
          <w:p w14:paraId="08613635" w14:textId="77777777" w:rsidR="009D1253" w:rsidRPr="005A07E7" w:rsidRDefault="009D1253" w:rsidP="009D1253">
            <w:pPr>
              <w:tabs>
                <w:tab w:val="left" w:pos="6979"/>
              </w:tabs>
              <w:ind w:right="176"/>
              <w:jc w:val="both"/>
              <w:rPr>
                <w:rFonts w:ascii="Tahoma" w:hAnsi="Tahoma" w:cs="Tahoma"/>
                <w:color w:val="000000"/>
                <w:sz w:val="20"/>
                <w:szCs w:val="20"/>
              </w:rPr>
            </w:pPr>
            <w:r w:rsidRPr="005A07E7">
              <w:rPr>
                <w:rFonts w:ascii="Tahoma" w:hAnsi="Tahoma" w:cs="Tahoma"/>
                <w:color w:val="000000"/>
                <w:sz w:val="20"/>
                <w:szCs w:val="20"/>
              </w:rPr>
              <w:t>Покрываемые риски</w:t>
            </w:r>
            <w:r>
              <w:rPr>
                <w:rFonts w:ascii="Tahoma" w:hAnsi="Tahoma" w:cs="Tahoma"/>
                <w:color w:val="000000"/>
                <w:sz w:val="20"/>
                <w:szCs w:val="20"/>
              </w:rPr>
              <w:t>, которые должны быть указаны в договоре страхования</w:t>
            </w:r>
            <w:r w:rsidRPr="005A07E7">
              <w:rPr>
                <w:rFonts w:ascii="Tahoma" w:hAnsi="Tahoma" w:cs="Tahoma"/>
                <w:color w:val="000000"/>
                <w:sz w:val="20"/>
                <w:szCs w:val="20"/>
              </w:rPr>
              <w:t xml:space="preserve">: </w:t>
            </w:r>
          </w:p>
          <w:p w14:paraId="14693638" w14:textId="77777777" w:rsidR="009D1253" w:rsidRPr="005A07E7" w:rsidRDefault="009D1253" w:rsidP="009D1253">
            <w:pPr>
              <w:tabs>
                <w:tab w:val="left" w:pos="6979"/>
              </w:tabs>
              <w:ind w:right="176"/>
              <w:rPr>
                <w:rFonts w:ascii="Tahoma" w:hAnsi="Tahoma" w:cs="Tahoma"/>
                <w:sz w:val="20"/>
                <w:szCs w:val="20"/>
              </w:rPr>
            </w:pPr>
            <w:r w:rsidRPr="005A07E7">
              <w:rPr>
                <w:rFonts w:ascii="Tahoma" w:hAnsi="Tahoma" w:cs="Tahoma"/>
                <w:color w:val="000000"/>
                <w:sz w:val="20"/>
                <w:szCs w:val="20"/>
              </w:rPr>
              <w:t>Травмы в результате несчастного случая</w:t>
            </w:r>
            <w:r>
              <w:rPr>
                <w:rFonts w:ascii="Tahoma" w:hAnsi="Tahoma" w:cs="Tahoma"/>
                <w:color w:val="000000"/>
                <w:sz w:val="20"/>
                <w:szCs w:val="20"/>
              </w:rPr>
              <w:t xml:space="preserve"> </w:t>
            </w:r>
            <w:r w:rsidRPr="00267B8D">
              <w:rPr>
                <w:rFonts w:ascii="Tahoma" w:hAnsi="Tahoma" w:cs="Tahoma"/>
                <w:color w:val="000000"/>
                <w:sz w:val="20"/>
                <w:szCs w:val="20"/>
              </w:rPr>
              <w:t>(по тексту - НС), хирургическая операция в результате НС</w:t>
            </w:r>
            <w:r w:rsidRPr="005A07E7">
              <w:rPr>
                <w:rFonts w:ascii="Tahoma" w:hAnsi="Tahoma" w:cs="Tahoma"/>
                <w:color w:val="000000"/>
                <w:sz w:val="20"/>
                <w:szCs w:val="20"/>
              </w:rPr>
              <w:t xml:space="preserve">, </w:t>
            </w:r>
            <w:r w:rsidRPr="005A07E7">
              <w:rPr>
                <w:rFonts w:ascii="Tahoma" w:hAnsi="Tahoma" w:cs="Tahoma"/>
                <w:sz w:val="20"/>
                <w:szCs w:val="20"/>
              </w:rPr>
              <w:t>смерть по любой причине (ЛП), установление инвалидности 1-й и 2 группы, в том числе в результате болезни.</w:t>
            </w:r>
            <w:r>
              <w:rPr>
                <w:rFonts w:ascii="Tahoma" w:hAnsi="Tahoma" w:cs="Tahoma"/>
                <w:sz w:val="20"/>
                <w:szCs w:val="20"/>
              </w:rPr>
              <w:t xml:space="preserve"> </w:t>
            </w:r>
            <w:r w:rsidRPr="003C2E4F">
              <w:rPr>
                <w:rFonts w:ascii="Tahoma" w:hAnsi="Tahoma" w:cs="Tahoma"/>
                <w:sz w:val="20"/>
                <w:szCs w:val="20"/>
              </w:rPr>
              <w:t xml:space="preserve">При этом, не </w:t>
            </w:r>
            <w:r>
              <w:rPr>
                <w:rFonts w:ascii="Tahoma" w:eastAsia="Calibri" w:hAnsi="Tahoma" w:cs="Tahoma"/>
                <w:sz w:val="20"/>
                <w:szCs w:val="20"/>
              </w:rPr>
              <w:t xml:space="preserve">должны быть </w:t>
            </w:r>
            <w:r w:rsidRPr="001B0A8E">
              <w:rPr>
                <w:rFonts w:ascii="Tahoma" w:eastAsia="Calibri" w:hAnsi="Tahoma" w:cs="Tahoma"/>
                <w:sz w:val="20"/>
                <w:szCs w:val="20"/>
              </w:rPr>
              <w:t> </w:t>
            </w:r>
            <w:r w:rsidRPr="003C2E4F" w:rsidDel="0084705B">
              <w:rPr>
                <w:rFonts w:ascii="Tahoma" w:hAnsi="Tahoma" w:cs="Tahoma"/>
                <w:sz w:val="20"/>
                <w:szCs w:val="20"/>
              </w:rPr>
              <w:t xml:space="preserve"> </w:t>
            </w:r>
            <w:r w:rsidRPr="003C2E4F">
              <w:rPr>
                <w:rFonts w:ascii="Tahoma" w:hAnsi="Tahoma" w:cs="Tahoma"/>
                <w:sz w:val="20"/>
                <w:szCs w:val="20"/>
              </w:rPr>
              <w:t>исключением из застрахованных рисков события, произошедшие в результате болезни Заемщика, прямо/ косвенно связанной с ВИЧ инфекцией/СПИД</w:t>
            </w:r>
            <w:r w:rsidRPr="00267B8D">
              <w:rPr>
                <w:rFonts w:ascii="Tahoma" w:hAnsi="Tahoma" w:cs="Tahoma"/>
                <w:sz w:val="20"/>
                <w:szCs w:val="20"/>
              </w:rPr>
              <w:t>.</w:t>
            </w:r>
          </w:p>
          <w:p w14:paraId="2351C734" w14:textId="77777777" w:rsidR="009D1253" w:rsidRDefault="009D1253" w:rsidP="009D1253">
            <w:pPr>
              <w:ind w:right="176"/>
              <w:rPr>
                <w:rFonts w:ascii="Tahoma" w:hAnsi="Tahoma" w:cs="Tahoma"/>
                <w:color w:val="000000"/>
                <w:sz w:val="20"/>
                <w:szCs w:val="20"/>
              </w:rPr>
            </w:pPr>
            <w:r w:rsidRPr="005A07E7">
              <w:rPr>
                <w:rFonts w:ascii="Tahoma" w:hAnsi="Tahoma" w:cs="Tahoma"/>
                <w:color w:val="000000"/>
                <w:sz w:val="20"/>
                <w:szCs w:val="20"/>
              </w:rPr>
              <w:t>По желанию Заёмщика страховая премия по договору страхования может быть оплачена за счет Кредита при выполнении указанных в настоящем пункте условий к договору (полису) страхования.</w:t>
            </w:r>
          </w:p>
          <w:p w14:paraId="1353ECF6" w14:textId="77777777" w:rsidR="009D1253" w:rsidRDefault="009D1253" w:rsidP="009D1253">
            <w:pPr>
              <w:ind w:right="176"/>
              <w:rPr>
                <w:rFonts w:ascii="Tahoma" w:hAnsi="Tahoma" w:cs="Tahoma"/>
                <w:color w:val="000000"/>
                <w:sz w:val="20"/>
                <w:szCs w:val="20"/>
              </w:rPr>
            </w:pPr>
          </w:p>
          <w:p w14:paraId="15B64F65" w14:textId="77777777" w:rsidR="009D1253" w:rsidRPr="005A07E7" w:rsidRDefault="009D1253" w:rsidP="009D1253">
            <w:pPr>
              <w:ind w:right="176"/>
              <w:rPr>
                <w:sz w:val="20"/>
                <w:szCs w:val="20"/>
              </w:rPr>
            </w:pPr>
            <w:r w:rsidRPr="00D763AC">
              <w:rPr>
                <w:rFonts w:ascii="Tahoma" w:hAnsi="Tahoma" w:cs="Tahoma"/>
                <w:color w:val="000000"/>
                <w:sz w:val="20"/>
                <w:szCs w:val="20"/>
              </w:rPr>
              <w:t>* для ЛСИ применяется размер процентной ставки за пользование кредитом, соответствующий выбору условий кредитования с процентной ставкой, предусматривающей заключение Личного страхования (без заключения ЛСИ соответствующего договора), при условии оформления ЛСИ Договора страхования КАСКО, соответствующего требованиям настоящег</w:t>
            </w:r>
            <w:r>
              <w:rPr>
                <w:rFonts w:ascii="Tahoma" w:hAnsi="Tahoma" w:cs="Tahoma"/>
                <w:color w:val="000000"/>
                <w:sz w:val="20"/>
                <w:szCs w:val="20"/>
              </w:rPr>
              <w:t>о документа, и предоставлении документа, подтверждающего статус ЛСИ.</w:t>
            </w:r>
          </w:p>
        </w:tc>
      </w:tr>
      <w:tr w:rsidR="009D1253" w:rsidRPr="005A07E7" w14:paraId="503B424F"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699"/>
        </w:trPr>
        <w:tc>
          <w:tcPr>
            <w:tcW w:w="1475" w:type="pct"/>
            <w:tcBorders>
              <w:left w:val="single" w:sz="4" w:space="0" w:color="auto"/>
              <w:right w:val="single" w:sz="4" w:space="0" w:color="auto"/>
            </w:tcBorders>
            <w:vAlign w:val="center"/>
          </w:tcPr>
          <w:p w14:paraId="2B346AC0" w14:textId="77777777" w:rsidR="009D1253" w:rsidRPr="005A07E7" w:rsidRDefault="009D1253" w:rsidP="009D1253">
            <w:pPr>
              <w:rPr>
                <w:rFonts w:ascii="Tahoma" w:hAnsi="Tahoma" w:cs="Tahoma"/>
                <w:sz w:val="20"/>
                <w:szCs w:val="20"/>
              </w:rPr>
            </w:pPr>
            <w:r w:rsidRPr="005A07E7">
              <w:rPr>
                <w:rFonts w:ascii="Tahoma" w:hAnsi="Tahoma" w:cs="Tahoma"/>
                <w:b/>
                <w:sz w:val="20"/>
                <w:szCs w:val="20"/>
              </w:rPr>
              <w:t xml:space="preserve">Требования к Заёмщику, которые установлены Кредитором и выполнение </w:t>
            </w:r>
            <w:r w:rsidRPr="005A07E7">
              <w:rPr>
                <w:rFonts w:ascii="Tahoma" w:hAnsi="Tahoma" w:cs="Tahoma"/>
                <w:b/>
                <w:sz w:val="20"/>
                <w:szCs w:val="20"/>
              </w:rPr>
              <w:lastRenderedPageBreak/>
              <w:t>которых является обязательным для предоставления Кредита</w:t>
            </w:r>
          </w:p>
        </w:tc>
        <w:tc>
          <w:tcPr>
            <w:tcW w:w="3525" w:type="pct"/>
            <w:tcBorders>
              <w:top w:val="single" w:sz="4" w:space="0" w:color="auto"/>
              <w:left w:val="nil"/>
              <w:bottom w:val="single" w:sz="4" w:space="0" w:color="auto"/>
              <w:right w:val="single" w:sz="8" w:space="0" w:color="000000"/>
            </w:tcBorders>
            <w:noWrap/>
            <w:vAlign w:val="center"/>
          </w:tcPr>
          <w:p w14:paraId="14F022B7"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lastRenderedPageBreak/>
              <w:t>- гражданство Российской Федерации;</w:t>
            </w:r>
          </w:p>
          <w:p w14:paraId="5B708D96"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адрес постоянной регистрации и фактическое место жительства Заёмщика – все регионы РФ;</w:t>
            </w:r>
          </w:p>
          <w:p w14:paraId="07F49BCC"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lastRenderedPageBreak/>
              <w:t>- возраст Заёмщика не менее 21 года (на момент оформления Кредита) и не более 70 лет (на момент окончания действия срока возврата Кредита) включительно;</w:t>
            </w:r>
          </w:p>
          <w:p w14:paraId="4E098E97"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Заёмщик имеет официальное место работы (либо является ИП) и</w:t>
            </w:r>
            <w:r>
              <w:rPr>
                <w:rFonts w:ascii="Tahoma" w:hAnsi="Tahoma" w:cs="Tahoma"/>
                <w:sz w:val="20"/>
                <w:szCs w:val="20"/>
              </w:rPr>
              <w:t>(или)</w:t>
            </w:r>
            <w:r w:rsidRPr="005A07E7">
              <w:rPr>
                <w:rFonts w:ascii="Tahoma" w:hAnsi="Tahoma" w:cs="Tahoma"/>
                <w:sz w:val="20"/>
                <w:szCs w:val="20"/>
              </w:rPr>
              <w:t xml:space="preserve"> постоянный источник дохода;</w:t>
            </w:r>
          </w:p>
          <w:p w14:paraId="5FB01A82"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Заёмщик не имеет официального места работы, при условии достижения пенсионного возраста, и получающий социальную пенсию;</w:t>
            </w:r>
          </w:p>
          <w:p w14:paraId="01F5DD66"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xml:space="preserve">- стаж на последнем месте работы не менее 3 месяцев. </w:t>
            </w:r>
            <w:r w:rsidRPr="005A07E7">
              <w:rPr>
                <w:rFonts w:ascii="Tahoma" w:hAnsi="Tahoma" w:cs="Tahoma"/>
              </w:rPr>
              <w:fldChar w:fldCharType="begin"/>
            </w:r>
            <w:r w:rsidRPr="005A07E7">
              <w:rPr>
                <w:rFonts w:ascii="Tahoma" w:hAnsi="Tahoma" w:cs="Tahoma"/>
              </w:rPr>
              <w:instrText xml:space="preserve"> DOCVARIABLE  КЛИЕНТ </w:instrText>
            </w:r>
            <w:r w:rsidRPr="005A07E7">
              <w:rPr>
                <w:rFonts w:ascii="Tahoma" w:hAnsi="Tahoma" w:cs="Tahoma"/>
              </w:rPr>
              <w:fldChar w:fldCharType="end"/>
            </w:r>
          </w:p>
        </w:tc>
      </w:tr>
      <w:tr w:rsidR="009D1253" w:rsidRPr="005A07E7" w14:paraId="4268BB24"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558"/>
        </w:trPr>
        <w:tc>
          <w:tcPr>
            <w:tcW w:w="1475" w:type="pct"/>
            <w:tcBorders>
              <w:top w:val="single" w:sz="4" w:space="0" w:color="auto"/>
              <w:left w:val="single" w:sz="8" w:space="0" w:color="auto"/>
              <w:bottom w:val="single" w:sz="4" w:space="0" w:color="auto"/>
              <w:right w:val="single" w:sz="4" w:space="0" w:color="auto"/>
            </w:tcBorders>
            <w:vAlign w:val="center"/>
          </w:tcPr>
          <w:p w14:paraId="0C6BA9A5"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lastRenderedPageBreak/>
              <w:t>Перечень документов, необходимых для рассмотрения заявления о предоставлении Кредита, в том числе для оценки кредитоспособности Заёмщика (в случае необходимости могут быть запрошены дополнительные документы)</w:t>
            </w:r>
          </w:p>
        </w:tc>
        <w:tc>
          <w:tcPr>
            <w:tcW w:w="3525" w:type="pct"/>
            <w:tcBorders>
              <w:top w:val="single" w:sz="4" w:space="0" w:color="auto"/>
              <w:left w:val="nil"/>
              <w:bottom w:val="single" w:sz="4" w:space="0" w:color="auto"/>
              <w:right w:val="single" w:sz="8" w:space="0" w:color="000000"/>
            </w:tcBorders>
            <w:shd w:val="clear" w:color="auto" w:fill="auto"/>
            <w:noWrap/>
            <w:vAlign w:val="center"/>
          </w:tcPr>
          <w:p w14:paraId="1957DA5D" w14:textId="77777777" w:rsidR="009D1253" w:rsidRPr="005A07E7" w:rsidRDefault="009D1253" w:rsidP="009D1253">
            <w:pPr>
              <w:pStyle w:val="a9"/>
              <w:numPr>
                <w:ilvl w:val="0"/>
                <w:numId w:val="110"/>
              </w:numPr>
              <w:tabs>
                <w:tab w:val="left" w:pos="0"/>
                <w:tab w:val="left" w:pos="268"/>
              </w:tabs>
              <w:spacing w:before="0" w:after="0"/>
              <w:ind w:hanging="720"/>
              <w:rPr>
                <w:rFonts w:ascii="Tahoma" w:hAnsi="Tahoma" w:cs="Tahoma"/>
                <w:b/>
                <w:sz w:val="18"/>
                <w:szCs w:val="18"/>
                <w:lang w:eastAsia="en-US"/>
              </w:rPr>
            </w:pPr>
            <w:r w:rsidRPr="005A07E7">
              <w:rPr>
                <w:rFonts w:ascii="Tahoma" w:hAnsi="Tahoma" w:cs="Tahoma"/>
                <w:b/>
                <w:sz w:val="18"/>
                <w:szCs w:val="18"/>
                <w:lang w:eastAsia="en-US"/>
              </w:rPr>
              <w:t>Пакет документов для приобретаемого Заёмщиком за счет кредитных средств Банка ТС</w:t>
            </w:r>
          </w:p>
          <w:p w14:paraId="5A60D6D5" w14:textId="77777777" w:rsidR="009D1253" w:rsidRPr="00181C60" w:rsidRDefault="009D1253" w:rsidP="009D1253">
            <w:pPr>
              <w:pStyle w:val="a9"/>
              <w:tabs>
                <w:tab w:val="left" w:pos="0"/>
              </w:tabs>
              <w:spacing w:before="0" w:after="0"/>
              <w:rPr>
                <w:rFonts w:ascii="Tahoma" w:hAnsi="Tahoma" w:cs="Tahoma"/>
                <w:sz w:val="18"/>
                <w:szCs w:val="18"/>
              </w:rPr>
            </w:pPr>
            <w:r w:rsidRPr="005F7378">
              <w:rPr>
                <w:rFonts w:ascii="Tahoma" w:hAnsi="Tahoma" w:cs="Tahoma"/>
                <w:sz w:val="18"/>
                <w:szCs w:val="18"/>
                <w:lang w:eastAsia="en-US"/>
              </w:rPr>
              <w:t>О</w:t>
            </w:r>
            <w:r w:rsidRPr="005A07E7">
              <w:rPr>
                <w:rFonts w:ascii="Tahoma" w:hAnsi="Tahoma" w:cs="Tahoma"/>
                <w:sz w:val="18"/>
                <w:szCs w:val="18"/>
                <w:lang w:eastAsia="en-US"/>
              </w:rPr>
              <w:t>ригиналы ПТС (допускается прием дубликата ПТС)</w:t>
            </w:r>
            <w:r>
              <w:rPr>
                <w:rFonts w:ascii="Tahoma" w:hAnsi="Tahoma" w:cs="Tahoma"/>
                <w:sz w:val="18"/>
                <w:szCs w:val="18"/>
                <w:lang w:eastAsia="en-US"/>
              </w:rPr>
              <w:t>/</w:t>
            </w:r>
            <w:r w:rsidRPr="005A07E7">
              <w:rPr>
                <w:rFonts w:ascii="Tahoma" w:hAnsi="Tahoma" w:cs="Tahoma"/>
                <w:sz w:val="18"/>
                <w:szCs w:val="18"/>
                <w:lang w:eastAsia="en-US"/>
              </w:rPr>
              <w:t xml:space="preserve"> выписка из Электронного паспорта ТС </w:t>
            </w:r>
            <w:r>
              <w:rPr>
                <w:rFonts w:ascii="Tahoma" w:hAnsi="Tahoma" w:cs="Tahoma"/>
                <w:sz w:val="18"/>
                <w:szCs w:val="18"/>
                <w:lang w:eastAsia="en-US"/>
              </w:rPr>
              <w:t xml:space="preserve">(далее – выписка ЭПТС) </w:t>
            </w:r>
            <w:r w:rsidRPr="0080478B">
              <w:rPr>
                <w:rFonts w:ascii="Tahoma" w:hAnsi="Tahoma" w:cs="Tahoma"/>
                <w:sz w:val="18"/>
                <w:szCs w:val="18"/>
              </w:rPr>
              <w:t>в статусе «действующий</w:t>
            </w:r>
            <w:r>
              <w:rPr>
                <w:rFonts w:ascii="Tahoma" w:hAnsi="Tahoma" w:cs="Tahoma"/>
                <w:sz w:val="18"/>
                <w:szCs w:val="18"/>
              </w:rPr>
              <w:t>» / «незавершенный» (</w:t>
            </w:r>
            <w:r w:rsidRPr="00181C60">
              <w:rPr>
                <w:rFonts w:ascii="Tahoma" w:hAnsi="Tahoma" w:cs="Tahoma"/>
                <w:sz w:val="18"/>
                <w:szCs w:val="18"/>
              </w:rPr>
              <w:t>не требуется при приобретении за счет кредитных средств нового ТС марки: Honda, Lada, Voyah, Omoda, Livan, Jetour, Jaecoo, Evolute, Москвич, Changan, Haval, SkyWell</w:t>
            </w:r>
            <w:r>
              <w:rPr>
                <w:rFonts w:ascii="Tahoma" w:hAnsi="Tahoma" w:cs="Tahoma"/>
                <w:sz w:val="18"/>
                <w:szCs w:val="18"/>
              </w:rPr>
              <w:t>)</w:t>
            </w:r>
          </w:p>
          <w:p w14:paraId="501E9A4C" w14:textId="77777777" w:rsidR="009D1253" w:rsidRDefault="009D1253" w:rsidP="009D1253">
            <w:pPr>
              <w:pStyle w:val="a9"/>
              <w:tabs>
                <w:tab w:val="left" w:pos="0"/>
              </w:tabs>
              <w:spacing w:before="0" w:after="0"/>
              <w:rPr>
                <w:rFonts w:ascii="Tahoma" w:hAnsi="Tahoma" w:cs="Tahoma"/>
                <w:sz w:val="18"/>
                <w:szCs w:val="18"/>
              </w:rPr>
            </w:pPr>
          </w:p>
          <w:p w14:paraId="4112252F" w14:textId="77777777" w:rsidR="009D1253" w:rsidRDefault="009D1253" w:rsidP="009D1253">
            <w:pPr>
              <w:tabs>
                <w:tab w:val="left" w:pos="6979"/>
              </w:tabs>
              <w:rPr>
                <w:rFonts w:ascii="Tahoma" w:hAnsi="Tahoma" w:cs="Tahoma"/>
                <w:sz w:val="18"/>
                <w:szCs w:val="18"/>
              </w:rPr>
            </w:pPr>
          </w:p>
          <w:p w14:paraId="7029522A" w14:textId="77777777" w:rsidR="009D1253" w:rsidRDefault="009D1253" w:rsidP="009D1253">
            <w:pPr>
              <w:pStyle w:val="a9"/>
              <w:spacing w:before="0" w:after="0"/>
              <w:rPr>
                <w:rFonts w:ascii="Tahoma" w:hAnsi="Tahoma" w:cs="Tahoma"/>
                <w:sz w:val="18"/>
                <w:szCs w:val="18"/>
              </w:rPr>
            </w:pPr>
            <w:r>
              <w:rPr>
                <w:rFonts w:ascii="Tahoma" w:hAnsi="Tahoma" w:cs="Tahoma"/>
                <w:sz w:val="18"/>
                <w:szCs w:val="18"/>
              </w:rPr>
              <w:t xml:space="preserve">Полномочия юридического лица / ИП на реализацию ТС подтверждаются одним из следующих документов: договором купли-продажи, </w:t>
            </w:r>
            <w:r w:rsidRPr="001901B1">
              <w:rPr>
                <w:rFonts w:ascii="Tahoma" w:hAnsi="Tahoma" w:cs="Tahoma"/>
                <w:sz w:val="18"/>
                <w:szCs w:val="18"/>
              </w:rPr>
              <w:t>дилерским договором, договором поставки и актом приема-передачи ТС по указанным договорам</w:t>
            </w:r>
            <w:r>
              <w:rPr>
                <w:rFonts w:ascii="Tahoma" w:hAnsi="Tahoma" w:cs="Tahoma"/>
                <w:sz w:val="18"/>
                <w:szCs w:val="18"/>
              </w:rPr>
              <w:t xml:space="preserve"> или агентским договором, договором комиссии и т.п.</w:t>
            </w:r>
            <w:r w:rsidRPr="001901B1">
              <w:rPr>
                <w:rFonts w:ascii="Tahoma" w:hAnsi="Tahoma" w:cs="Tahoma"/>
                <w:sz w:val="18"/>
                <w:szCs w:val="18"/>
              </w:rPr>
              <w:t>,</w:t>
            </w:r>
            <w:r>
              <w:rPr>
                <w:rFonts w:ascii="Tahoma" w:hAnsi="Tahoma" w:cs="Tahoma"/>
                <w:sz w:val="18"/>
                <w:szCs w:val="18"/>
              </w:rPr>
              <w:t xml:space="preserve"> заключенным с собственником ТС и предоставляющим ему право на реализацию такого ТС. </w:t>
            </w:r>
            <w:r w:rsidRPr="00E24712">
              <w:rPr>
                <w:rFonts w:ascii="Tahoma" w:hAnsi="Tahoma" w:cs="Tahoma"/>
                <w:sz w:val="18"/>
                <w:szCs w:val="18"/>
              </w:rPr>
              <w:t>При необходимости Банком может быть запрошен</w:t>
            </w:r>
            <w:r>
              <w:rPr>
                <w:rFonts w:ascii="Tahoma" w:hAnsi="Tahoma" w:cs="Tahoma"/>
                <w:sz w:val="18"/>
                <w:szCs w:val="18"/>
              </w:rPr>
              <w:t>о Свидетельство о регистрации транспортного средства</w:t>
            </w:r>
            <w:r w:rsidRPr="00E24712">
              <w:rPr>
                <w:rFonts w:ascii="Tahoma" w:hAnsi="Tahoma" w:cs="Tahoma"/>
                <w:sz w:val="18"/>
                <w:szCs w:val="18"/>
              </w:rPr>
              <w:t>.</w:t>
            </w:r>
          </w:p>
          <w:p w14:paraId="7C420A25" w14:textId="77777777" w:rsidR="009D1253" w:rsidRDefault="009D1253" w:rsidP="009D1253">
            <w:pPr>
              <w:pStyle w:val="a9"/>
              <w:spacing w:before="0" w:after="0"/>
              <w:rPr>
                <w:rFonts w:ascii="Tahoma" w:hAnsi="Tahoma" w:cs="Tahoma"/>
                <w:sz w:val="18"/>
                <w:szCs w:val="18"/>
              </w:rPr>
            </w:pPr>
            <w:r>
              <w:rPr>
                <w:rFonts w:ascii="Tahoma" w:hAnsi="Tahoma" w:cs="Tahoma"/>
                <w:sz w:val="18"/>
                <w:szCs w:val="18"/>
              </w:rPr>
              <w:t xml:space="preserve">Для ТС, ввезенных из-за границы и не поставленных на государственный регистрационный учет в РФ дополнительно к указанным документам и выписке из ЭПТС прилагается таможенная декларация (или иной документ при отсутствии у продавца ТС таможенной декларации </w:t>
            </w:r>
            <w:r w:rsidRPr="001901B1">
              <w:rPr>
                <w:rFonts w:ascii="Tahoma" w:hAnsi="Tahoma" w:cs="Tahoma"/>
                <w:sz w:val="18"/>
                <w:szCs w:val="18"/>
              </w:rPr>
              <w:t>или в дополнение к ней</w:t>
            </w:r>
            <w:r>
              <w:rPr>
                <w:rFonts w:ascii="Tahoma" w:hAnsi="Tahoma" w:cs="Tahoma"/>
                <w:sz w:val="18"/>
                <w:szCs w:val="18"/>
              </w:rPr>
              <w:t xml:space="preserve">). </w:t>
            </w:r>
            <w:r w:rsidRPr="001901B1">
              <w:rPr>
                <w:rFonts w:ascii="Tahoma" w:hAnsi="Tahoma" w:cs="Tahoma"/>
                <w:sz w:val="18"/>
                <w:szCs w:val="18"/>
              </w:rPr>
              <w:t>При этом таможенная декларация и/или иной документ, предоставленный Банку</w:t>
            </w:r>
            <w:r>
              <w:rPr>
                <w:rFonts w:ascii="Tahoma" w:hAnsi="Tahoma" w:cs="Tahoma"/>
                <w:sz w:val="18"/>
                <w:szCs w:val="18"/>
              </w:rPr>
              <w:t>,</w:t>
            </w:r>
            <w:r w:rsidRPr="001901B1">
              <w:rPr>
                <w:rFonts w:ascii="Tahoma" w:hAnsi="Tahoma" w:cs="Tahoma"/>
                <w:sz w:val="18"/>
                <w:szCs w:val="18"/>
              </w:rPr>
              <w:t xml:space="preserve"> должен содержать</w:t>
            </w:r>
            <w:r>
              <w:rPr>
                <w:rFonts w:ascii="Tahoma" w:hAnsi="Tahoma" w:cs="Tahoma"/>
                <w:sz w:val="18"/>
                <w:szCs w:val="18"/>
              </w:rPr>
              <w:t xml:space="preserve"> VIN номер ТС, а также идентификационные данные продавца ТС (или иного лица, осуществлявшего таможенные процедуры в отношении ТС, а также процедуры, необходимые для получения ЭПТС, и передавшего полномочия по реализации ТС продавцу ТС на основании договора).</w:t>
            </w:r>
          </w:p>
          <w:p w14:paraId="0C8C1512" w14:textId="77777777" w:rsidR="009D1253" w:rsidRPr="005A07E7" w:rsidRDefault="009D1253" w:rsidP="009D1253">
            <w:pPr>
              <w:pStyle w:val="a9"/>
              <w:tabs>
                <w:tab w:val="left" w:pos="0"/>
                <w:tab w:val="left" w:pos="176"/>
                <w:tab w:val="left" w:pos="835"/>
              </w:tabs>
              <w:spacing w:before="0" w:after="0"/>
              <w:jc w:val="left"/>
              <w:rPr>
                <w:rFonts w:ascii="Tahoma" w:hAnsi="Tahoma" w:cs="Tahoma"/>
                <w:strike/>
                <w:sz w:val="18"/>
                <w:szCs w:val="18"/>
                <w:lang w:eastAsia="en-US"/>
              </w:rPr>
            </w:pPr>
          </w:p>
          <w:p w14:paraId="75110F1B" w14:textId="77777777" w:rsidR="009D1253" w:rsidRPr="005A07E7" w:rsidRDefault="009D1253" w:rsidP="009D1253">
            <w:pPr>
              <w:pStyle w:val="a9"/>
              <w:numPr>
                <w:ilvl w:val="0"/>
                <w:numId w:val="110"/>
              </w:numPr>
              <w:tabs>
                <w:tab w:val="left" w:pos="0"/>
                <w:tab w:val="left" w:pos="268"/>
              </w:tabs>
              <w:spacing w:before="0" w:after="0"/>
              <w:ind w:left="0" w:firstLine="0"/>
              <w:rPr>
                <w:rFonts w:ascii="Tahoma" w:hAnsi="Tahoma" w:cs="Tahoma"/>
                <w:b/>
                <w:sz w:val="18"/>
                <w:szCs w:val="18"/>
                <w:lang w:eastAsia="en-US"/>
              </w:rPr>
            </w:pPr>
            <w:r w:rsidRPr="005A07E7">
              <w:rPr>
                <w:rFonts w:ascii="Tahoma" w:hAnsi="Tahoma" w:cs="Tahoma"/>
                <w:b/>
                <w:sz w:val="18"/>
                <w:szCs w:val="18"/>
                <w:lang w:eastAsia="en-US"/>
              </w:rPr>
              <w:t>Пакет документов для Заёмщика</w:t>
            </w:r>
          </w:p>
          <w:p w14:paraId="2A7D6829" w14:textId="77777777" w:rsidR="009D1253" w:rsidRPr="005A07E7" w:rsidRDefault="009D1253" w:rsidP="009D1253">
            <w:pPr>
              <w:pStyle w:val="a9"/>
              <w:numPr>
                <w:ilvl w:val="0"/>
                <w:numId w:val="111"/>
              </w:numPr>
              <w:tabs>
                <w:tab w:val="left" w:pos="0"/>
                <w:tab w:val="left" w:pos="268"/>
              </w:tabs>
              <w:spacing w:before="0" w:after="0"/>
              <w:ind w:hanging="643"/>
              <w:rPr>
                <w:rFonts w:ascii="Tahoma" w:hAnsi="Tahoma" w:cs="Tahoma"/>
                <w:sz w:val="18"/>
                <w:szCs w:val="18"/>
                <w:lang w:eastAsia="en-US"/>
              </w:rPr>
            </w:pPr>
            <w:r w:rsidRPr="005A07E7">
              <w:rPr>
                <w:rFonts w:ascii="Tahoma" w:hAnsi="Tahoma" w:cs="Tahoma"/>
                <w:sz w:val="18"/>
                <w:szCs w:val="18"/>
                <w:lang w:eastAsia="en-US"/>
              </w:rPr>
              <w:t>Паспорт гражданина РФ</w:t>
            </w:r>
          </w:p>
          <w:p w14:paraId="2811AF5C" w14:textId="77777777" w:rsidR="009D1253" w:rsidRPr="005A07E7" w:rsidRDefault="009D1253" w:rsidP="009D1253">
            <w:pPr>
              <w:pStyle w:val="a9"/>
              <w:numPr>
                <w:ilvl w:val="0"/>
                <w:numId w:val="111"/>
              </w:numPr>
              <w:tabs>
                <w:tab w:val="left" w:pos="0"/>
                <w:tab w:val="left" w:pos="268"/>
              </w:tabs>
              <w:spacing w:before="0" w:after="0"/>
              <w:ind w:hanging="643"/>
              <w:rPr>
                <w:rFonts w:ascii="Tahoma" w:hAnsi="Tahoma" w:cs="Tahoma"/>
                <w:sz w:val="18"/>
                <w:szCs w:val="18"/>
                <w:lang w:eastAsia="en-US"/>
              </w:rPr>
            </w:pPr>
            <w:r w:rsidRPr="005A07E7">
              <w:rPr>
                <w:rFonts w:ascii="Tahoma" w:hAnsi="Tahoma" w:cs="Tahoma"/>
                <w:sz w:val="18"/>
                <w:szCs w:val="18"/>
                <w:lang w:eastAsia="en-US"/>
              </w:rPr>
              <w:t>Второй документ, предоставляется из следующих документов по выбору Заёмщика:</w:t>
            </w:r>
            <w:r w:rsidRPr="005A07E7" w:rsidDel="00721FE6">
              <w:rPr>
                <w:rFonts w:ascii="Tahoma" w:hAnsi="Tahoma" w:cs="Tahoma"/>
                <w:sz w:val="18"/>
                <w:szCs w:val="18"/>
                <w:lang w:eastAsia="en-US"/>
              </w:rPr>
              <w:t xml:space="preserve"> </w:t>
            </w:r>
          </w:p>
          <w:p w14:paraId="49811451" w14:textId="77777777" w:rsidR="009D1253" w:rsidRPr="005A07E7" w:rsidRDefault="009D1253" w:rsidP="009D1253">
            <w:pPr>
              <w:pStyle w:val="a9"/>
              <w:tabs>
                <w:tab w:val="left" w:pos="0"/>
              </w:tabs>
              <w:spacing w:before="0" w:after="0"/>
              <w:ind w:firstLine="334"/>
              <w:rPr>
                <w:rFonts w:ascii="Tahoma" w:hAnsi="Tahoma" w:cs="Tahoma"/>
                <w:sz w:val="18"/>
                <w:szCs w:val="18"/>
                <w:lang w:eastAsia="en-US"/>
              </w:rPr>
            </w:pPr>
            <w:r w:rsidRPr="005A07E7">
              <w:rPr>
                <w:rFonts w:ascii="Tahoma" w:hAnsi="Tahoma" w:cs="Tahoma"/>
                <w:sz w:val="18"/>
                <w:szCs w:val="18"/>
                <w:lang w:eastAsia="en-US"/>
              </w:rPr>
              <w:t>- за</w:t>
            </w:r>
            <w:r>
              <w:rPr>
                <w:rFonts w:ascii="Tahoma" w:hAnsi="Tahoma" w:cs="Tahoma"/>
                <w:sz w:val="18"/>
                <w:szCs w:val="18"/>
                <w:lang w:eastAsia="en-US"/>
              </w:rPr>
              <w:t>граничный паспорт гражданина РФ</w:t>
            </w:r>
            <w:r w:rsidRPr="005A07E7">
              <w:rPr>
                <w:rFonts w:ascii="Tahoma" w:hAnsi="Tahoma" w:cs="Tahoma"/>
                <w:sz w:val="18"/>
                <w:szCs w:val="18"/>
                <w:lang w:eastAsia="en-US"/>
              </w:rPr>
              <w:t xml:space="preserve"> </w:t>
            </w:r>
          </w:p>
          <w:p w14:paraId="77F55498" w14:textId="77777777" w:rsidR="009D1253" w:rsidRPr="005A07E7" w:rsidRDefault="009D1253" w:rsidP="009D1253">
            <w:pPr>
              <w:pStyle w:val="a9"/>
              <w:tabs>
                <w:tab w:val="left" w:pos="0"/>
              </w:tabs>
              <w:spacing w:before="0" w:after="0"/>
              <w:ind w:firstLine="334"/>
              <w:rPr>
                <w:rFonts w:ascii="Tahoma" w:hAnsi="Tahoma" w:cs="Tahoma"/>
                <w:sz w:val="18"/>
                <w:szCs w:val="18"/>
                <w:lang w:eastAsia="en-US"/>
              </w:rPr>
            </w:pPr>
            <w:r>
              <w:rPr>
                <w:rFonts w:ascii="Tahoma" w:hAnsi="Tahoma" w:cs="Tahoma"/>
                <w:sz w:val="18"/>
                <w:szCs w:val="18"/>
                <w:lang w:eastAsia="en-US"/>
              </w:rPr>
              <w:t>- водительское удостоверение</w:t>
            </w:r>
          </w:p>
          <w:p w14:paraId="19BB3E03" w14:textId="77777777" w:rsidR="009D1253" w:rsidRPr="005A07E7" w:rsidRDefault="009D1253" w:rsidP="009D1253">
            <w:pPr>
              <w:pStyle w:val="a9"/>
              <w:tabs>
                <w:tab w:val="left" w:pos="0"/>
              </w:tabs>
              <w:spacing w:before="0" w:after="0"/>
              <w:ind w:firstLine="334"/>
              <w:rPr>
                <w:rFonts w:ascii="Tahoma" w:hAnsi="Tahoma" w:cs="Tahoma"/>
                <w:sz w:val="18"/>
                <w:szCs w:val="18"/>
                <w:lang w:eastAsia="en-US"/>
              </w:rPr>
            </w:pPr>
            <w:r>
              <w:rPr>
                <w:rFonts w:ascii="Tahoma" w:hAnsi="Tahoma" w:cs="Tahoma"/>
                <w:sz w:val="18"/>
                <w:szCs w:val="18"/>
                <w:lang w:eastAsia="en-US"/>
              </w:rPr>
              <w:t>- СНИЛС</w:t>
            </w:r>
          </w:p>
          <w:p w14:paraId="3F46B70E" w14:textId="77777777" w:rsidR="009D1253" w:rsidRPr="005A07E7" w:rsidRDefault="009D1253" w:rsidP="009D1253">
            <w:pPr>
              <w:pStyle w:val="a9"/>
              <w:tabs>
                <w:tab w:val="left" w:pos="0"/>
              </w:tabs>
              <w:spacing w:before="0" w:after="0"/>
              <w:rPr>
                <w:rFonts w:ascii="Tahoma" w:hAnsi="Tahoma" w:cs="Tahoma"/>
                <w:strike/>
                <w:sz w:val="18"/>
                <w:szCs w:val="18"/>
              </w:rPr>
            </w:pPr>
          </w:p>
          <w:p w14:paraId="16E9763F" w14:textId="77777777" w:rsidR="009D1253" w:rsidRDefault="009D1253" w:rsidP="009D1253">
            <w:pPr>
              <w:autoSpaceDE w:val="0"/>
              <w:autoSpaceDN w:val="0"/>
              <w:adjustRightInd w:val="0"/>
              <w:rPr>
                <w:rFonts w:ascii="Tahoma" w:hAnsi="Tahoma" w:cs="Tahoma"/>
                <w:sz w:val="20"/>
                <w:szCs w:val="18"/>
              </w:rPr>
            </w:pPr>
            <w:r w:rsidRPr="008006DB">
              <w:rPr>
                <w:rFonts w:ascii="Tahoma" w:hAnsi="Tahoma" w:cs="Tahoma"/>
                <w:sz w:val="20"/>
                <w:szCs w:val="18"/>
              </w:rPr>
              <w:t xml:space="preserve">По результатам рассмотрения заявления о предоставлении потребительского кредита, Банком могут быть запрошены документы, подтверждающие финансовое состояние Заёмщика, а также его занятость. </w:t>
            </w:r>
          </w:p>
          <w:p w14:paraId="156A006B" w14:textId="77777777" w:rsidR="009D1253" w:rsidRPr="008006DB" w:rsidRDefault="009D1253" w:rsidP="009D1253">
            <w:pPr>
              <w:pStyle w:val="a9"/>
              <w:tabs>
                <w:tab w:val="left" w:pos="268"/>
              </w:tabs>
              <w:spacing w:before="0" w:after="0"/>
              <w:ind w:left="-16" w:right="-1"/>
              <w:rPr>
                <w:rFonts w:ascii="Tahoma" w:hAnsi="Tahoma" w:cs="Tahoma"/>
                <w:szCs w:val="18"/>
                <w:lang w:eastAsia="en-US"/>
              </w:rPr>
            </w:pPr>
            <w:r w:rsidRPr="008006DB">
              <w:rPr>
                <w:rFonts w:ascii="Tahoma" w:hAnsi="Tahoma" w:cs="Tahoma"/>
                <w:szCs w:val="18"/>
                <w:lang w:eastAsia="en-US"/>
              </w:rPr>
              <w:t xml:space="preserve">В качестве документов, подтверждающих финансовое состояние Заёмщика, могут быть предоставлены: </w:t>
            </w:r>
          </w:p>
          <w:tbl>
            <w:tblPr>
              <w:tblStyle w:val="aff0"/>
              <w:tblW w:w="10653" w:type="dxa"/>
              <w:tblInd w:w="8" w:type="dxa"/>
              <w:tblLayout w:type="fixed"/>
              <w:tblLook w:val="04A0" w:firstRow="1" w:lastRow="0" w:firstColumn="1" w:lastColumn="0" w:noHBand="0" w:noVBand="1"/>
            </w:tblPr>
            <w:tblGrid>
              <w:gridCol w:w="2096"/>
              <w:gridCol w:w="8557"/>
            </w:tblGrid>
            <w:tr w:rsidR="009D1253" w:rsidRPr="00B2133F" w14:paraId="0BFECA26" w14:textId="77777777" w:rsidTr="009D1253">
              <w:tc>
                <w:tcPr>
                  <w:tcW w:w="2096" w:type="dxa"/>
                </w:tcPr>
                <w:p w14:paraId="1E9EBED2" w14:textId="77777777" w:rsidR="009D1253" w:rsidRPr="00B2133F" w:rsidRDefault="009D1253" w:rsidP="009D1253">
                  <w:pPr>
                    <w:rPr>
                      <w:rFonts w:ascii="Tahoma" w:hAnsi="Tahoma" w:cs="Tahoma"/>
                      <w:sz w:val="18"/>
                      <w:szCs w:val="18"/>
                    </w:rPr>
                  </w:pPr>
                  <w:r w:rsidRPr="00B2133F">
                    <w:rPr>
                      <w:rFonts w:ascii="Tahoma" w:hAnsi="Tahoma" w:cs="Tahoma"/>
                      <w:sz w:val="18"/>
                      <w:szCs w:val="18"/>
                    </w:rPr>
                    <w:t>Виды (источники) дохода</w:t>
                  </w:r>
                </w:p>
              </w:tc>
              <w:tc>
                <w:tcPr>
                  <w:tcW w:w="8557" w:type="dxa"/>
                </w:tcPr>
                <w:p w14:paraId="4B0B4FBC"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t>Документы, подтверждающие финансовое состояние Заёмщика*</w:t>
                  </w:r>
                </w:p>
              </w:tc>
            </w:tr>
            <w:tr w:rsidR="009D1253" w:rsidRPr="00B2133F" w14:paraId="2C5D7FD3" w14:textId="77777777" w:rsidTr="009D1253">
              <w:tc>
                <w:tcPr>
                  <w:tcW w:w="2096" w:type="dxa"/>
                </w:tcPr>
                <w:p w14:paraId="489DC808"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t>Основное место работы</w:t>
                  </w:r>
                </w:p>
              </w:tc>
              <w:tc>
                <w:tcPr>
                  <w:tcW w:w="8557" w:type="dxa"/>
                </w:tcPr>
                <w:p w14:paraId="680FA588" w14:textId="77777777" w:rsidR="009D1253" w:rsidRPr="00B2133F" w:rsidRDefault="009D1253" w:rsidP="009D1253">
                  <w:pPr>
                    <w:tabs>
                      <w:tab w:val="left" w:pos="6979"/>
                    </w:tabs>
                    <w:ind w:right="176"/>
                    <w:jc w:val="both"/>
                    <w:rPr>
                      <w:rFonts w:ascii="Tahoma" w:hAnsi="Tahoma" w:cs="Tahoma"/>
                      <w:sz w:val="18"/>
                      <w:szCs w:val="18"/>
                    </w:rPr>
                  </w:pPr>
                  <w:r w:rsidRPr="00B2133F">
                    <w:rPr>
                      <w:rFonts w:ascii="Tahoma" w:hAnsi="Tahoma" w:cs="Tahoma"/>
                      <w:sz w:val="18"/>
                      <w:szCs w:val="18"/>
                    </w:rPr>
                    <w:t>Один из следующих документов по выбору Заёмщика:</w:t>
                  </w:r>
                </w:p>
                <w:p w14:paraId="3B4E4F50" w14:textId="77777777" w:rsidR="009D1253" w:rsidRPr="005500FA" w:rsidRDefault="009D1253" w:rsidP="009D1253">
                  <w:pPr>
                    <w:pStyle w:val="affe"/>
                    <w:numPr>
                      <w:ilvl w:val="0"/>
                      <w:numId w:val="123"/>
                    </w:numPr>
                    <w:tabs>
                      <w:tab w:val="left" w:pos="6979"/>
                      <w:tab w:val="left" w:pos="7880"/>
                    </w:tabs>
                    <w:ind w:left="367"/>
                    <w:jc w:val="both"/>
                    <w:rPr>
                      <w:rFonts w:ascii="Tahoma" w:hAnsi="Tahoma" w:cs="Tahoma"/>
                      <w:sz w:val="18"/>
                      <w:szCs w:val="18"/>
                    </w:rPr>
                  </w:pPr>
                  <w:r w:rsidRPr="005500FA">
                    <w:rPr>
                      <w:rFonts w:ascii="Tahoma" w:hAnsi="Tahoma" w:cs="Tahoma"/>
                      <w:sz w:val="18"/>
                      <w:szCs w:val="18"/>
                    </w:rPr>
                    <w:t>Справка о доходах и суммах налога физического лица или Справка о доходах и удержанных суммах по образцу государственного учреждения, внутренними распорядительными документами которого установлены ограничения на предоставление своим работникам справок о доходах и суммах налога физического лица**</w:t>
                  </w:r>
                </w:p>
                <w:p w14:paraId="46458209" w14:textId="77777777" w:rsidR="009D1253" w:rsidRPr="005500FA" w:rsidRDefault="009D1253" w:rsidP="009D1253">
                  <w:pPr>
                    <w:pStyle w:val="affe"/>
                    <w:numPr>
                      <w:ilvl w:val="0"/>
                      <w:numId w:val="123"/>
                    </w:numPr>
                    <w:tabs>
                      <w:tab w:val="left" w:pos="6979"/>
                      <w:tab w:val="left" w:pos="7880"/>
                    </w:tabs>
                    <w:ind w:left="367"/>
                    <w:jc w:val="both"/>
                    <w:rPr>
                      <w:rFonts w:ascii="Tahoma" w:hAnsi="Tahoma" w:cs="Tahoma"/>
                      <w:sz w:val="18"/>
                      <w:szCs w:val="18"/>
                    </w:rPr>
                  </w:pPr>
                  <w:r w:rsidRPr="005500FA">
                    <w:rPr>
                      <w:rFonts w:ascii="Tahoma" w:hAnsi="Tahoma" w:cs="Tahoma"/>
                      <w:sz w:val="18"/>
                      <w:szCs w:val="18"/>
                    </w:rPr>
                    <w:t>Выписка о состоянии индивидуального лицевого счета застрахованного лица в системе обязательного пенсионного страхования***</w:t>
                  </w:r>
                </w:p>
                <w:p w14:paraId="739A622B" w14:textId="77777777" w:rsidR="009D1253" w:rsidRPr="005500FA" w:rsidRDefault="009D1253" w:rsidP="009D1253">
                  <w:pPr>
                    <w:pStyle w:val="affe"/>
                    <w:numPr>
                      <w:ilvl w:val="0"/>
                      <w:numId w:val="123"/>
                    </w:numPr>
                    <w:tabs>
                      <w:tab w:val="left" w:pos="6979"/>
                      <w:tab w:val="left" w:pos="7880"/>
                    </w:tabs>
                    <w:ind w:left="367"/>
                    <w:jc w:val="both"/>
                    <w:rPr>
                      <w:rFonts w:ascii="Tahoma" w:hAnsi="Tahoma" w:cs="Tahoma"/>
                      <w:sz w:val="18"/>
                      <w:szCs w:val="18"/>
                    </w:rPr>
                  </w:pPr>
                  <w:r w:rsidRPr="005500FA">
                    <w:rPr>
                      <w:rFonts w:ascii="Tahoma" w:hAnsi="Tahoma" w:cs="Tahoma"/>
                      <w:sz w:val="18"/>
                      <w:szCs w:val="18"/>
                    </w:rPr>
                    <w:t>Справка по форме Банка**</w:t>
                  </w:r>
                </w:p>
                <w:p w14:paraId="04B4EFBB" w14:textId="77777777" w:rsidR="009D1253" w:rsidRPr="005500FA" w:rsidRDefault="009D1253" w:rsidP="009D1253">
                  <w:pPr>
                    <w:pStyle w:val="affe"/>
                    <w:numPr>
                      <w:ilvl w:val="0"/>
                      <w:numId w:val="123"/>
                    </w:numPr>
                    <w:tabs>
                      <w:tab w:val="left" w:pos="6979"/>
                      <w:tab w:val="left" w:pos="7880"/>
                    </w:tabs>
                    <w:ind w:left="367"/>
                    <w:jc w:val="both"/>
                    <w:rPr>
                      <w:rFonts w:ascii="Tahoma" w:hAnsi="Tahoma" w:cs="Tahoma"/>
                      <w:sz w:val="18"/>
                      <w:szCs w:val="18"/>
                    </w:rPr>
                  </w:pPr>
                  <w:r w:rsidRPr="00B975F2">
                    <w:rPr>
                      <w:rFonts w:ascii="Tahoma" w:hAnsi="Tahoma" w:cs="Tahoma"/>
                      <w:sz w:val="18"/>
                      <w:szCs w:val="18"/>
                    </w:rPr>
                    <w:t>Выписка с</w:t>
                  </w:r>
                  <w:r>
                    <w:rPr>
                      <w:rFonts w:ascii="Tahoma" w:hAnsi="Tahoma" w:cs="Tahoma"/>
                      <w:sz w:val="18"/>
                      <w:szCs w:val="18"/>
                    </w:rPr>
                    <w:t xml:space="preserve"> банковского</w:t>
                  </w:r>
                  <w:r w:rsidRPr="00B975F2">
                    <w:rPr>
                      <w:rFonts w:ascii="Tahoma" w:hAnsi="Tahoma" w:cs="Tahoma"/>
                      <w:sz w:val="18"/>
                      <w:szCs w:val="18"/>
                    </w:rPr>
                    <w:t xml:space="preserve"> счета, на который осуществляются </w:t>
                  </w:r>
                  <w:r>
                    <w:rPr>
                      <w:rFonts w:ascii="Tahoma" w:hAnsi="Tahoma" w:cs="Tahoma"/>
                      <w:sz w:val="18"/>
                      <w:szCs w:val="18"/>
                    </w:rPr>
                    <w:t>зачисления заработной платы Заемщика</w:t>
                  </w:r>
                  <w:r w:rsidRPr="00B975F2">
                    <w:rPr>
                      <w:rFonts w:ascii="Tahoma" w:hAnsi="Tahoma" w:cs="Tahoma"/>
                      <w:sz w:val="18"/>
                      <w:szCs w:val="18"/>
                    </w:rPr>
                    <w:t>, выданная кредитн</w:t>
                  </w:r>
                  <w:r>
                    <w:rPr>
                      <w:rFonts w:ascii="Tahoma" w:hAnsi="Tahoma" w:cs="Tahoma"/>
                      <w:sz w:val="18"/>
                      <w:szCs w:val="18"/>
                    </w:rPr>
                    <w:t>ой</w:t>
                  </w:r>
                  <w:r w:rsidRPr="00B975F2">
                    <w:rPr>
                      <w:rFonts w:ascii="Tahoma" w:hAnsi="Tahoma" w:cs="Tahoma"/>
                      <w:sz w:val="18"/>
                      <w:szCs w:val="18"/>
                    </w:rPr>
                    <w:t xml:space="preserve"> организаци</w:t>
                  </w:r>
                  <w:r>
                    <w:rPr>
                      <w:rFonts w:ascii="Tahoma" w:hAnsi="Tahoma" w:cs="Tahoma"/>
                      <w:sz w:val="18"/>
                      <w:szCs w:val="18"/>
                    </w:rPr>
                    <w:t>ей</w:t>
                  </w:r>
                  <w:r w:rsidRPr="00B975F2">
                    <w:rPr>
                      <w:rFonts w:ascii="Tahoma" w:hAnsi="Tahoma" w:cs="Tahoma"/>
                      <w:sz w:val="18"/>
                      <w:szCs w:val="18"/>
                    </w:rPr>
                    <w:t xml:space="preserve"> и заверенная печатью и подписью </w:t>
                  </w:r>
                  <w:r w:rsidRPr="00B975F2">
                    <w:rPr>
                      <w:rFonts w:ascii="Tahoma" w:hAnsi="Tahoma" w:cs="Tahoma"/>
                      <w:sz w:val="18"/>
                      <w:szCs w:val="18"/>
                    </w:rPr>
                    <w:lastRenderedPageBreak/>
                    <w:t xml:space="preserve">уполномоченного лица, в т.ч. </w:t>
                  </w:r>
                  <w:r w:rsidRPr="00040CA2">
                    <w:rPr>
                      <w:rFonts w:ascii="Tahoma" w:hAnsi="Tahoma" w:cs="Tahoma"/>
                      <w:sz w:val="18"/>
                      <w:szCs w:val="18"/>
                      <w:lang w:eastAsia="en-US"/>
                    </w:rPr>
                    <w:t>выписка с каналов дистанционного обслуживания кредитной организации</w:t>
                  </w:r>
                </w:p>
              </w:tc>
            </w:tr>
            <w:tr w:rsidR="009D1253" w:rsidRPr="00B2133F" w14:paraId="385625EE" w14:textId="77777777" w:rsidTr="009D1253">
              <w:tc>
                <w:tcPr>
                  <w:tcW w:w="2096" w:type="dxa"/>
                </w:tcPr>
                <w:p w14:paraId="19FD7F8C"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lastRenderedPageBreak/>
                    <w:t>Пенсия</w:t>
                  </w:r>
                </w:p>
              </w:tc>
              <w:tc>
                <w:tcPr>
                  <w:tcW w:w="8557" w:type="dxa"/>
                </w:tcPr>
                <w:p w14:paraId="2D12D2AF" w14:textId="77777777" w:rsidR="009D1253" w:rsidRDefault="009D1253" w:rsidP="009D1253">
                  <w:pPr>
                    <w:tabs>
                      <w:tab w:val="left" w:pos="6979"/>
                    </w:tabs>
                    <w:ind w:right="176"/>
                    <w:jc w:val="both"/>
                    <w:rPr>
                      <w:rFonts w:ascii="Tahoma" w:hAnsi="Tahoma" w:cs="Tahoma"/>
                      <w:sz w:val="18"/>
                      <w:szCs w:val="18"/>
                    </w:rPr>
                  </w:pPr>
                  <w:r w:rsidRPr="00B2133F">
                    <w:rPr>
                      <w:rFonts w:ascii="Tahoma" w:hAnsi="Tahoma" w:cs="Tahoma"/>
                      <w:sz w:val="18"/>
                      <w:szCs w:val="18"/>
                    </w:rPr>
                    <w:t>Один из следующих документов по выбору Заемщика****:</w:t>
                  </w:r>
                </w:p>
                <w:p w14:paraId="46295F96" w14:textId="77777777" w:rsidR="009D1253" w:rsidRPr="005500FA" w:rsidRDefault="009D1253" w:rsidP="009D1253">
                  <w:pPr>
                    <w:pStyle w:val="affe"/>
                    <w:numPr>
                      <w:ilvl w:val="0"/>
                      <w:numId w:val="124"/>
                    </w:numPr>
                    <w:tabs>
                      <w:tab w:val="left" w:pos="6979"/>
                    </w:tabs>
                    <w:ind w:right="176"/>
                    <w:jc w:val="both"/>
                    <w:rPr>
                      <w:rFonts w:ascii="Tahoma" w:hAnsi="Tahoma" w:cs="Tahoma"/>
                      <w:sz w:val="18"/>
                      <w:szCs w:val="18"/>
                    </w:rPr>
                  </w:pPr>
                  <w:r w:rsidRPr="005500FA">
                    <w:rPr>
                      <w:rFonts w:ascii="Tahoma" w:hAnsi="Tahoma" w:cs="Tahoma"/>
                      <w:sz w:val="18"/>
                      <w:szCs w:val="18"/>
                    </w:rPr>
                    <w:t>Выписка со счета, выданная кредитными организациями, на который осуществляются пенсионные выплаты</w:t>
                  </w:r>
                </w:p>
                <w:p w14:paraId="3C44D96E" w14:textId="77777777" w:rsidR="009D1253" w:rsidRPr="005500FA" w:rsidRDefault="009D1253" w:rsidP="009D1253">
                  <w:pPr>
                    <w:pStyle w:val="affe"/>
                    <w:numPr>
                      <w:ilvl w:val="0"/>
                      <w:numId w:val="124"/>
                    </w:numPr>
                    <w:tabs>
                      <w:tab w:val="left" w:pos="6979"/>
                    </w:tabs>
                    <w:ind w:right="176"/>
                    <w:jc w:val="both"/>
                    <w:rPr>
                      <w:rFonts w:ascii="Tahoma" w:hAnsi="Tahoma" w:cs="Tahoma"/>
                      <w:sz w:val="18"/>
                      <w:szCs w:val="18"/>
                    </w:rPr>
                  </w:pPr>
                  <w:r w:rsidRPr="005500FA">
                    <w:rPr>
                      <w:rFonts w:ascii="Tahoma" w:hAnsi="Tahoma" w:cs="Tahoma"/>
                      <w:sz w:val="18"/>
                      <w:szCs w:val="18"/>
                    </w:rPr>
                    <w:t xml:space="preserve">Справка </w:t>
                  </w:r>
                  <w:r>
                    <w:rPr>
                      <w:rFonts w:ascii="Tahoma" w:hAnsi="Tahoma" w:cs="Tahoma"/>
                      <w:sz w:val="18"/>
                      <w:szCs w:val="18"/>
                    </w:rPr>
                    <w:t>Социального</w:t>
                  </w:r>
                  <w:r w:rsidRPr="005500FA">
                    <w:rPr>
                      <w:rFonts w:ascii="Tahoma" w:hAnsi="Tahoma" w:cs="Tahoma"/>
                      <w:sz w:val="18"/>
                      <w:szCs w:val="18"/>
                    </w:rPr>
                    <w:t xml:space="preserve"> фонда Российской Федерации или другого государственного органа, выплачивающего пенсию о размере пенсии, ежемесячного пожизненного содержания судьям или ежемесячной надбавки к денежному содержанию судьям о назначении пенсии /иной документ, подтверждающий право на получение пенсии, содержащий идентификационные данные Клиента и размера дохода (например, выписка из ФПСС)</w:t>
                  </w:r>
                </w:p>
              </w:tc>
            </w:tr>
            <w:tr w:rsidR="009D1253" w:rsidRPr="00B2133F" w14:paraId="3CBC0B39" w14:textId="77777777" w:rsidTr="009D1253">
              <w:tc>
                <w:tcPr>
                  <w:tcW w:w="2096" w:type="dxa"/>
                </w:tcPr>
                <w:p w14:paraId="5BF9F48D"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t>Место работы по совместительству</w:t>
                  </w:r>
                </w:p>
              </w:tc>
              <w:tc>
                <w:tcPr>
                  <w:tcW w:w="8557" w:type="dxa"/>
                </w:tcPr>
                <w:p w14:paraId="1F279DF1" w14:textId="77777777" w:rsidR="009D1253" w:rsidRPr="00B2133F" w:rsidRDefault="009D1253" w:rsidP="009D1253">
                  <w:pPr>
                    <w:tabs>
                      <w:tab w:val="left" w:pos="6979"/>
                    </w:tabs>
                    <w:ind w:right="176"/>
                    <w:jc w:val="both"/>
                    <w:rPr>
                      <w:rFonts w:ascii="Tahoma" w:hAnsi="Tahoma" w:cs="Tahoma"/>
                      <w:sz w:val="18"/>
                      <w:szCs w:val="18"/>
                    </w:rPr>
                  </w:pPr>
                  <w:r w:rsidRPr="00B2133F">
                    <w:rPr>
                      <w:rFonts w:ascii="Tahoma" w:hAnsi="Tahoma" w:cs="Tahoma"/>
                      <w:sz w:val="18"/>
                      <w:szCs w:val="18"/>
                    </w:rPr>
                    <w:t>Один из следующих документов по выбору Заёмщика:</w:t>
                  </w:r>
                </w:p>
                <w:p w14:paraId="4DE2DC6C" w14:textId="77777777" w:rsidR="009D1253" w:rsidRPr="005500FA" w:rsidRDefault="009D1253" w:rsidP="009D1253">
                  <w:pPr>
                    <w:pStyle w:val="affe"/>
                    <w:numPr>
                      <w:ilvl w:val="0"/>
                      <w:numId w:val="125"/>
                    </w:numPr>
                    <w:tabs>
                      <w:tab w:val="left" w:pos="6979"/>
                    </w:tabs>
                    <w:ind w:right="176"/>
                    <w:jc w:val="both"/>
                    <w:rPr>
                      <w:rFonts w:ascii="Tahoma" w:hAnsi="Tahoma" w:cs="Tahoma"/>
                      <w:sz w:val="18"/>
                      <w:szCs w:val="18"/>
                    </w:rPr>
                  </w:pPr>
                  <w:r w:rsidRPr="005500FA">
                    <w:rPr>
                      <w:rFonts w:ascii="Tahoma" w:hAnsi="Tahoma" w:cs="Tahoma"/>
                      <w:sz w:val="18"/>
                      <w:szCs w:val="18"/>
                    </w:rPr>
                    <w:t>Справка о доходах и суммах налога физического лица или Справка о доходах и удержанных суммах по образцу государственного учреждения, внутренними распорядительными документами которого установлены ограничения на предоставление своим работникам справок о доходах и суммах налога физического лица**</w:t>
                  </w:r>
                </w:p>
                <w:p w14:paraId="132F0C14" w14:textId="77777777" w:rsidR="009D1253" w:rsidRPr="005500FA" w:rsidRDefault="009D1253" w:rsidP="009D1253">
                  <w:pPr>
                    <w:pStyle w:val="affe"/>
                    <w:numPr>
                      <w:ilvl w:val="0"/>
                      <w:numId w:val="125"/>
                    </w:numPr>
                    <w:tabs>
                      <w:tab w:val="left" w:pos="6979"/>
                    </w:tabs>
                    <w:ind w:right="176"/>
                    <w:jc w:val="both"/>
                    <w:rPr>
                      <w:rFonts w:ascii="Tahoma" w:hAnsi="Tahoma" w:cs="Tahoma"/>
                      <w:sz w:val="18"/>
                      <w:szCs w:val="18"/>
                    </w:rPr>
                  </w:pPr>
                  <w:r w:rsidRPr="005500FA">
                    <w:rPr>
                      <w:rFonts w:ascii="Tahoma" w:hAnsi="Tahoma" w:cs="Tahoma"/>
                      <w:sz w:val="18"/>
                      <w:szCs w:val="18"/>
                    </w:rPr>
                    <w:t>Выписка о состоянии индивидуального лицевого счета застрахованного лица в системе обязательного пенсионного страхования***</w:t>
                  </w:r>
                </w:p>
                <w:p w14:paraId="0EEF23E0" w14:textId="77777777" w:rsidR="009D1253" w:rsidRPr="005500FA" w:rsidRDefault="009D1253" w:rsidP="009D1253">
                  <w:pPr>
                    <w:pStyle w:val="affe"/>
                    <w:numPr>
                      <w:ilvl w:val="0"/>
                      <w:numId w:val="125"/>
                    </w:numPr>
                    <w:tabs>
                      <w:tab w:val="left" w:pos="6979"/>
                    </w:tabs>
                    <w:ind w:right="176"/>
                    <w:jc w:val="both"/>
                    <w:rPr>
                      <w:rFonts w:ascii="Tahoma" w:hAnsi="Tahoma" w:cs="Tahoma"/>
                      <w:sz w:val="18"/>
                      <w:szCs w:val="18"/>
                    </w:rPr>
                  </w:pPr>
                  <w:r w:rsidRPr="005500FA">
                    <w:rPr>
                      <w:rFonts w:ascii="Tahoma" w:hAnsi="Tahoma" w:cs="Tahoma"/>
                      <w:sz w:val="18"/>
                      <w:szCs w:val="18"/>
                    </w:rPr>
                    <w:t>Справка по форме Банка**</w:t>
                  </w:r>
                </w:p>
                <w:p w14:paraId="073FFC3B" w14:textId="77777777" w:rsidR="009D1253" w:rsidRPr="005500FA" w:rsidRDefault="009D1253" w:rsidP="009D1253">
                  <w:pPr>
                    <w:pStyle w:val="affe"/>
                    <w:numPr>
                      <w:ilvl w:val="0"/>
                      <w:numId w:val="125"/>
                    </w:numPr>
                    <w:tabs>
                      <w:tab w:val="left" w:pos="6979"/>
                    </w:tabs>
                    <w:ind w:right="176"/>
                    <w:jc w:val="both"/>
                    <w:rPr>
                      <w:rFonts w:ascii="Tahoma" w:hAnsi="Tahoma" w:cs="Tahoma"/>
                      <w:sz w:val="18"/>
                      <w:szCs w:val="18"/>
                    </w:rPr>
                  </w:pPr>
                  <w:r w:rsidRPr="00B975F2">
                    <w:rPr>
                      <w:rFonts w:ascii="Tahoma" w:hAnsi="Tahoma" w:cs="Tahoma"/>
                      <w:sz w:val="18"/>
                      <w:szCs w:val="18"/>
                    </w:rPr>
                    <w:t>Выписка с</w:t>
                  </w:r>
                  <w:r>
                    <w:rPr>
                      <w:rFonts w:ascii="Tahoma" w:hAnsi="Tahoma" w:cs="Tahoma"/>
                      <w:sz w:val="18"/>
                      <w:szCs w:val="18"/>
                    </w:rPr>
                    <w:t xml:space="preserve"> банковского</w:t>
                  </w:r>
                  <w:r w:rsidRPr="00B975F2">
                    <w:rPr>
                      <w:rFonts w:ascii="Tahoma" w:hAnsi="Tahoma" w:cs="Tahoma"/>
                      <w:sz w:val="18"/>
                      <w:szCs w:val="18"/>
                    </w:rPr>
                    <w:t xml:space="preserve"> счета, на который осуществляются </w:t>
                  </w:r>
                  <w:r>
                    <w:rPr>
                      <w:rFonts w:ascii="Tahoma" w:hAnsi="Tahoma" w:cs="Tahoma"/>
                      <w:sz w:val="18"/>
                      <w:szCs w:val="18"/>
                    </w:rPr>
                    <w:t>зачисления заработной платы Заемщика</w:t>
                  </w:r>
                  <w:r w:rsidRPr="00B975F2">
                    <w:rPr>
                      <w:rFonts w:ascii="Tahoma" w:hAnsi="Tahoma" w:cs="Tahoma"/>
                      <w:sz w:val="18"/>
                      <w:szCs w:val="18"/>
                    </w:rPr>
                    <w:t>, выданная кредитн</w:t>
                  </w:r>
                  <w:r>
                    <w:rPr>
                      <w:rFonts w:ascii="Tahoma" w:hAnsi="Tahoma" w:cs="Tahoma"/>
                      <w:sz w:val="18"/>
                      <w:szCs w:val="18"/>
                    </w:rPr>
                    <w:t>ой</w:t>
                  </w:r>
                  <w:r w:rsidRPr="00B975F2">
                    <w:rPr>
                      <w:rFonts w:ascii="Tahoma" w:hAnsi="Tahoma" w:cs="Tahoma"/>
                      <w:sz w:val="18"/>
                      <w:szCs w:val="18"/>
                    </w:rPr>
                    <w:t xml:space="preserve"> организаци</w:t>
                  </w:r>
                  <w:r>
                    <w:rPr>
                      <w:rFonts w:ascii="Tahoma" w:hAnsi="Tahoma" w:cs="Tahoma"/>
                      <w:sz w:val="18"/>
                      <w:szCs w:val="18"/>
                    </w:rPr>
                    <w:t>ей</w:t>
                  </w:r>
                  <w:r w:rsidRPr="00B975F2">
                    <w:rPr>
                      <w:rFonts w:ascii="Tahoma" w:hAnsi="Tahoma" w:cs="Tahoma"/>
                      <w:sz w:val="18"/>
                      <w:szCs w:val="18"/>
                    </w:rPr>
                    <w:t xml:space="preserve"> и заверенная печатью и подписью уполномоченного лица, в т.ч. </w:t>
                  </w:r>
                  <w:r w:rsidRPr="00040CA2">
                    <w:rPr>
                      <w:rFonts w:ascii="Tahoma" w:hAnsi="Tahoma" w:cs="Tahoma"/>
                      <w:sz w:val="18"/>
                      <w:szCs w:val="18"/>
                      <w:lang w:eastAsia="en-US"/>
                    </w:rPr>
                    <w:t>выписка с каналов дистанционного обслуживания кредитной организации</w:t>
                  </w:r>
                </w:p>
              </w:tc>
            </w:tr>
            <w:tr w:rsidR="009D1253" w:rsidRPr="00B2133F" w14:paraId="73D61E95" w14:textId="77777777" w:rsidTr="009D1253">
              <w:tc>
                <w:tcPr>
                  <w:tcW w:w="2096" w:type="dxa"/>
                </w:tcPr>
                <w:p w14:paraId="15074E7F"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t>Предпринимательская деятельность без образования юридического лица / частная практика</w:t>
                  </w:r>
                </w:p>
              </w:tc>
              <w:tc>
                <w:tcPr>
                  <w:tcW w:w="8557" w:type="dxa"/>
                </w:tcPr>
                <w:p w14:paraId="545B07DF" w14:textId="77777777" w:rsidR="009D1253" w:rsidRPr="00B2133F" w:rsidRDefault="009D1253" w:rsidP="009D1253">
                  <w:pPr>
                    <w:tabs>
                      <w:tab w:val="left" w:pos="6979"/>
                    </w:tabs>
                    <w:ind w:right="176"/>
                    <w:jc w:val="both"/>
                    <w:rPr>
                      <w:rFonts w:ascii="Tahoma" w:hAnsi="Tahoma" w:cs="Tahoma"/>
                      <w:sz w:val="18"/>
                      <w:szCs w:val="18"/>
                    </w:rPr>
                  </w:pPr>
                  <w:r w:rsidRPr="00B2133F">
                    <w:rPr>
                      <w:rFonts w:ascii="Tahoma" w:hAnsi="Tahoma" w:cs="Tahoma"/>
                      <w:sz w:val="18"/>
                      <w:szCs w:val="18"/>
                    </w:rPr>
                    <w:t xml:space="preserve">Один или совокупность из следующих документов: </w:t>
                  </w:r>
                </w:p>
                <w:p w14:paraId="4349D685" w14:textId="77777777" w:rsidR="009D1253" w:rsidRDefault="009D1253" w:rsidP="009D1253">
                  <w:pPr>
                    <w:pStyle w:val="affe"/>
                    <w:numPr>
                      <w:ilvl w:val="0"/>
                      <w:numId w:val="126"/>
                    </w:numPr>
                    <w:tabs>
                      <w:tab w:val="left" w:pos="6979"/>
                    </w:tabs>
                    <w:ind w:right="176"/>
                    <w:contextualSpacing/>
                    <w:jc w:val="both"/>
                    <w:rPr>
                      <w:rFonts w:ascii="Tahoma" w:hAnsi="Tahoma" w:cs="Tahoma"/>
                      <w:sz w:val="18"/>
                      <w:szCs w:val="18"/>
                    </w:rPr>
                  </w:pPr>
                  <w:r w:rsidRPr="00AC74CA">
                    <w:rPr>
                      <w:rFonts w:ascii="Tahoma" w:hAnsi="Tahoma" w:cs="Tahoma"/>
                      <w:sz w:val="18"/>
                      <w:szCs w:val="18"/>
                    </w:rPr>
                    <w:t>Налоговая декларация с копиями квитанций (платежных поручений) об уплате налогов за налоговые периоды, соответствующие периоду</w:t>
                  </w:r>
                  <w:r>
                    <w:rPr>
                      <w:rFonts w:ascii="Tahoma" w:hAnsi="Tahoma" w:cs="Tahoma"/>
                      <w:sz w:val="18"/>
                      <w:szCs w:val="18"/>
                    </w:rPr>
                    <w:t xml:space="preserve"> расчета среднемесячного дохода</w:t>
                  </w:r>
                </w:p>
                <w:p w14:paraId="02B7845C" w14:textId="77777777" w:rsidR="009D1253" w:rsidRDefault="009D1253" w:rsidP="009D1253">
                  <w:pPr>
                    <w:pStyle w:val="affe"/>
                    <w:numPr>
                      <w:ilvl w:val="0"/>
                      <w:numId w:val="126"/>
                    </w:numPr>
                    <w:tabs>
                      <w:tab w:val="left" w:pos="6979"/>
                    </w:tabs>
                    <w:ind w:right="176"/>
                    <w:contextualSpacing/>
                    <w:jc w:val="both"/>
                    <w:rPr>
                      <w:rFonts w:ascii="Tahoma" w:hAnsi="Tahoma" w:cs="Tahoma"/>
                      <w:sz w:val="18"/>
                      <w:szCs w:val="18"/>
                    </w:rPr>
                  </w:pPr>
                  <w:r w:rsidRPr="00AC74CA">
                    <w:rPr>
                      <w:rFonts w:ascii="Tahoma" w:hAnsi="Tahoma" w:cs="Tahoma"/>
                      <w:sz w:val="18"/>
                      <w:szCs w:val="18"/>
                    </w:rPr>
                    <w:t>Книга учета доходов и расходов и хозяйственных операций ИП</w:t>
                  </w:r>
                </w:p>
                <w:p w14:paraId="555D814E" w14:textId="77777777" w:rsidR="009D1253" w:rsidRPr="00A975CD" w:rsidRDefault="009D1253" w:rsidP="009D1253">
                  <w:pPr>
                    <w:pStyle w:val="affe"/>
                    <w:numPr>
                      <w:ilvl w:val="0"/>
                      <w:numId w:val="126"/>
                    </w:numPr>
                    <w:autoSpaceDE w:val="0"/>
                    <w:autoSpaceDN w:val="0"/>
                    <w:rPr>
                      <w:rFonts w:ascii="Tahoma" w:hAnsi="Tahoma" w:cs="Tahoma"/>
                      <w:sz w:val="18"/>
                      <w:szCs w:val="18"/>
                    </w:rPr>
                  </w:pPr>
                  <w:r w:rsidRPr="00A975CD">
                    <w:rPr>
                      <w:rFonts w:ascii="Tahoma" w:hAnsi="Tahoma" w:cs="Tahoma"/>
                      <w:sz w:val="18"/>
                      <w:szCs w:val="18"/>
                    </w:rPr>
                    <w:t xml:space="preserve">Выписки по счетам ИП, в т.ч. сформированные из мобильного приложения, заверенные кредитной организацией </w:t>
                  </w:r>
                  <w:r w:rsidRPr="007A6339">
                    <w:rPr>
                      <w:rFonts w:ascii="Tahoma" w:hAnsi="Tahoma" w:cs="Tahoma"/>
                      <w:sz w:val="18"/>
                      <w:szCs w:val="18"/>
                    </w:rPr>
                    <w:t xml:space="preserve">(формат </w:t>
                  </w:r>
                  <w:r w:rsidRPr="007A6339">
                    <w:rPr>
                      <w:rFonts w:ascii="Tahoma" w:hAnsi="Tahoma" w:cs="Tahoma"/>
                      <w:sz w:val="18"/>
                      <w:szCs w:val="18"/>
                      <w:lang w:val="en-US"/>
                    </w:rPr>
                    <w:t>pdf</w:t>
                  </w:r>
                  <w:r w:rsidRPr="007A6339">
                    <w:rPr>
                      <w:rFonts w:ascii="Tahoma" w:hAnsi="Tahoma" w:cs="Tahoma"/>
                      <w:sz w:val="18"/>
                      <w:szCs w:val="18"/>
                    </w:rPr>
                    <w:t>+</w:t>
                  </w:r>
                  <w:r w:rsidRPr="007A6339">
                    <w:rPr>
                      <w:rFonts w:ascii="Tahoma" w:hAnsi="Tahoma" w:cs="Tahoma"/>
                      <w:sz w:val="18"/>
                      <w:szCs w:val="18"/>
                      <w:lang w:val="en-US"/>
                    </w:rPr>
                    <w:t>excel</w:t>
                  </w:r>
                  <w:r w:rsidRPr="007A6339">
                    <w:rPr>
                      <w:rFonts w:ascii="Tahoma" w:hAnsi="Tahoma" w:cs="Tahoma"/>
                      <w:sz w:val="18"/>
                      <w:szCs w:val="18"/>
                    </w:rPr>
                    <w:t>)</w:t>
                  </w:r>
                </w:p>
                <w:p w14:paraId="7F367CE7" w14:textId="77777777" w:rsidR="009D1253" w:rsidRDefault="009D1253" w:rsidP="009D1253">
                  <w:pPr>
                    <w:pStyle w:val="affe"/>
                    <w:numPr>
                      <w:ilvl w:val="0"/>
                      <w:numId w:val="126"/>
                    </w:numPr>
                    <w:tabs>
                      <w:tab w:val="left" w:pos="6979"/>
                    </w:tabs>
                    <w:ind w:right="176"/>
                    <w:contextualSpacing/>
                    <w:jc w:val="both"/>
                    <w:rPr>
                      <w:rFonts w:ascii="Tahoma" w:hAnsi="Tahoma" w:cs="Tahoma"/>
                      <w:sz w:val="18"/>
                      <w:szCs w:val="18"/>
                    </w:rPr>
                  </w:pPr>
                  <w:r w:rsidRPr="00B975F2">
                    <w:rPr>
                      <w:rFonts w:ascii="Tahoma" w:hAnsi="Tahoma" w:cs="Tahoma"/>
                      <w:sz w:val="18"/>
                      <w:szCs w:val="18"/>
                    </w:rPr>
                    <w:t>Для лиц, применяющих специальный налоговый режим «Налог на профессиональный доход» (самозанятые граждане)</w:t>
                  </w:r>
                  <w:r w:rsidRPr="00AC74CA">
                    <w:rPr>
                      <w:rFonts w:ascii="Tahoma" w:hAnsi="Tahoma" w:cs="Tahoma"/>
                      <w:sz w:val="18"/>
                      <w:szCs w:val="18"/>
                    </w:rPr>
                    <w:t>:</w:t>
                  </w:r>
                </w:p>
                <w:p w14:paraId="6862AC84" w14:textId="77777777" w:rsidR="009D1253" w:rsidRDefault="009D1253" w:rsidP="009D1253">
                  <w:pPr>
                    <w:pStyle w:val="affe"/>
                    <w:numPr>
                      <w:ilvl w:val="1"/>
                      <w:numId w:val="126"/>
                    </w:numPr>
                    <w:tabs>
                      <w:tab w:val="left" w:pos="6979"/>
                    </w:tabs>
                    <w:ind w:left="367" w:right="176" w:hanging="367"/>
                    <w:contextualSpacing/>
                    <w:jc w:val="both"/>
                    <w:rPr>
                      <w:rFonts w:ascii="Tahoma" w:hAnsi="Tahoma" w:cs="Tahoma"/>
                      <w:sz w:val="18"/>
                      <w:szCs w:val="18"/>
                    </w:rPr>
                  </w:pPr>
                  <w:r w:rsidRPr="00AC74CA">
                    <w:rPr>
                      <w:rFonts w:ascii="Tahoma" w:hAnsi="Tahoma" w:cs="Tahoma"/>
                      <w:sz w:val="18"/>
                      <w:szCs w:val="18"/>
                    </w:rPr>
                    <w:t>справка о постановке на учет (снятии с учета) физического лица в качестве плательщика налога на профе</w:t>
                  </w:r>
                  <w:r>
                    <w:rPr>
                      <w:rFonts w:ascii="Tahoma" w:hAnsi="Tahoma" w:cs="Tahoma"/>
                      <w:sz w:val="18"/>
                      <w:szCs w:val="18"/>
                    </w:rPr>
                    <w:t>ссиональный доход (КНД 1122035)</w:t>
                  </w:r>
                </w:p>
                <w:p w14:paraId="2C8134DF" w14:textId="77777777" w:rsidR="009D1253" w:rsidRPr="00AC74CA" w:rsidRDefault="009D1253" w:rsidP="009D1253">
                  <w:pPr>
                    <w:pStyle w:val="affe"/>
                    <w:numPr>
                      <w:ilvl w:val="1"/>
                      <w:numId w:val="126"/>
                    </w:numPr>
                    <w:tabs>
                      <w:tab w:val="left" w:pos="6979"/>
                    </w:tabs>
                    <w:ind w:left="360" w:right="176" w:hanging="360"/>
                    <w:contextualSpacing/>
                    <w:jc w:val="both"/>
                    <w:rPr>
                      <w:rFonts w:ascii="Tahoma" w:hAnsi="Tahoma" w:cs="Tahoma"/>
                      <w:sz w:val="18"/>
                      <w:szCs w:val="18"/>
                    </w:rPr>
                  </w:pPr>
                  <w:r w:rsidRPr="00AC74CA">
                    <w:rPr>
                      <w:rFonts w:ascii="Tahoma" w:hAnsi="Tahoma" w:cs="Tahoma"/>
                      <w:sz w:val="18"/>
                      <w:szCs w:val="18"/>
                    </w:rPr>
                    <w:t>справка о состоянии расчетов (доходах) по налогу на профессиональный доход (КНД 1122036)</w:t>
                  </w:r>
                </w:p>
              </w:tc>
            </w:tr>
            <w:tr w:rsidR="009D1253" w:rsidRPr="00B2133F" w14:paraId="1A0277F3" w14:textId="77777777" w:rsidTr="009D1253">
              <w:tc>
                <w:tcPr>
                  <w:tcW w:w="2096" w:type="dxa"/>
                </w:tcPr>
                <w:p w14:paraId="78603695"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t>Сдача в аренду помещения</w:t>
                  </w:r>
                </w:p>
              </w:tc>
              <w:tc>
                <w:tcPr>
                  <w:tcW w:w="8557" w:type="dxa"/>
                </w:tcPr>
                <w:p w14:paraId="1E1AE718" w14:textId="77777777" w:rsidR="009D1253" w:rsidRPr="005500FA" w:rsidRDefault="009D1253" w:rsidP="009D1253">
                  <w:pPr>
                    <w:pStyle w:val="affe"/>
                    <w:numPr>
                      <w:ilvl w:val="0"/>
                      <w:numId w:val="127"/>
                    </w:numPr>
                    <w:tabs>
                      <w:tab w:val="left" w:pos="6979"/>
                    </w:tabs>
                    <w:ind w:right="176"/>
                    <w:jc w:val="both"/>
                    <w:rPr>
                      <w:rFonts w:ascii="Tahoma" w:hAnsi="Tahoma" w:cs="Tahoma"/>
                      <w:sz w:val="18"/>
                      <w:szCs w:val="18"/>
                    </w:rPr>
                  </w:pPr>
                  <w:r w:rsidRPr="005500FA">
                    <w:rPr>
                      <w:rFonts w:ascii="Tahoma" w:hAnsi="Tahoma" w:cs="Tahoma"/>
                      <w:sz w:val="18"/>
                      <w:szCs w:val="18"/>
                    </w:rPr>
                    <w:t>Документ, подтверждающий право собственности Заёмщика на помещение</w:t>
                  </w:r>
                </w:p>
                <w:p w14:paraId="09204C07" w14:textId="77777777" w:rsidR="009D1253" w:rsidRPr="005500FA" w:rsidRDefault="009D1253" w:rsidP="009D1253">
                  <w:pPr>
                    <w:pStyle w:val="affe"/>
                    <w:numPr>
                      <w:ilvl w:val="0"/>
                      <w:numId w:val="127"/>
                    </w:numPr>
                    <w:tabs>
                      <w:tab w:val="left" w:pos="6979"/>
                    </w:tabs>
                    <w:ind w:right="176"/>
                    <w:jc w:val="both"/>
                    <w:rPr>
                      <w:rFonts w:ascii="Tahoma" w:hAnsi="Tahoma" w:cs="Tahoma"/>
                      <w:sz w:val="18"/>
                      <w:szCs w:val="18"/>
                    </w:rPr>
                  </w:pPr>
                  <w:r w:rsidRPr="005500FA">
                    <w:rPr>
                      <w:rFonts w:ascii="Tahoma" w:hAnsi="Tahoma" w:cs="Tahoma"/>
                      <w:sz w:val="18"/>
                      <w:szCs w:val="18"/>
                    </w:rPr>
                    <w:t>Договор аренды помещения</w:t>
                  </w:r>
                </w:p>
                <w:p w14:paraId="371166E2" w14:textId="77777777" w:rsidR="009D1253" w:rsidRPr="005500FA" w:rsidRDefault="009D1253" w:rsidP="009D1253">
                  <w:pPr>
                    <w:pStyle w:val="affe"/>
                    <w:numPr>
                      <w:ilvl w:val="0"/>
                      <w:numId w:val="127"/>
                    </w:numPr>
                    <w:tabs>
                      <w:tab w:val="left" w:pos="6979"/>
                    </w:tabs>
                    <w:ind w:right="176"/>
                    <w:jc w:val="both"/>
                    <w:rPr>
                      <w:rFonts w:ascii="Tahoma" w:hAnsi="Tahoma" w:cs="Tahoma"/>
                      <w:sz w:val="18"/>
                      <w:szCs w:val="18"/>
                    </w:rPr>
                  </w:pPr>
                  <w:r w:rsidRPr="005500FA">
                    <w:rPr>
                      <w:rFonts w:ascii="Tahoma" w:hAnsi="Tahoma" w:cs="Tahoma"/>
                      <w:sz w:val="18"/>
                      <w:szCs w:val="18"/>
                    </w:rPr>
                    <w:t>Выписка со счета, выданная кредитными организациями, на который осуществляются регулярные выплаты Заёмщику доходов от сдачи внаем (в аренду) недвижимого имущества (при условии подтверждения права собственности (владения) этим имуществом), в т.ч. сформированная  из мобильного Банка</w:t>
                  </w:r>
                </w:p>
                <w:p w14:paraId="31A4CABD" w14:textId="77777777" w:rsidR="009D1253" w:rsidRPr="005500FA" w:rsidRDefault="009D1253" w:rsidP="009D1253">
                  <w:pPr>
                    <w:pStyle w:val="affe"/>
                    <w:numPr>
                      <w:ilvl w:val="0"/>
                      <w:numId w:val="127"/>
                    </w:numPr>
                    <w:tabs>
                      <w:tab w:val="left" w:pos="6979"/>
                    </w:tabs>
                    <w:ind w:right="176"/>
                    <w:jc w:val="both"/>
                    <w:rPr>
                      <w:rFonts w:ascii="Tahoma" w:hAnsi="Tahoma" w:cs="Tahoma"/>
                      <w:sz w:val="18"/>
                      <w:szCs w:val="18"/>
                    </w:rPr>
                  </w:pPr>
                  <w:r w:rsidRPr="005500FA">
                    <w:rPr>
                      <w:rFonts w:ascii="Tahoma" w:hAnsi="Tahoma" w:cs="Tahoma"/>
                      <w:sz w:val="18"/>
                      <w:szCs w:val="18"/>
                    </w:rPr>
                    <w:t>Копия налоговой декларации по налогу на доходы физических лиц (форма 3-НДФЛ) и копии платежных документов, подтверждающих уплату налогов и сборов по договорам аренды/найма за последний налоговый период</w:t>
                  </w:r>
                </w:p>
              </w:tc>
            </w:tr>
            <w:tr w:rsidR="009D1253" w:rsidRPr="00B2133F" w14:paraId="1AF50442" w14:textId="77777777" w:rsidTr="009D1253">
              <w:tc>
                <w:tcPr>
                  <w:tcW w:w="2096" w:type="dxa"/>
                </w:tcPr>
                <w:p w14:paraId="6BC05D19"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t xml:space="preserve">Вознаграждения по договорам </w:t>
                  </w:r>
                  <w:r w:rsidRPr="00B2133F">
                    <w:rPr>
                      <w:rFonts w:ascii="Tahoma" w:hAnsi="Tahoma" w:cs="Tahoma"/>
                      <w:sz w:val="18"/>
                      <w:szCs w:val="18"/>
                    </w:rPr>
                    <w:lastRenderedPageBreak/>
                    <w:t>гражданско-правового характера</w:t>
                  </w:r>
                </w:p>
              </w:tc>
              <w:tc>
                <w:tcPr>
                  <w:tcW w:w="8557" w:type="dxa"/>
                </w:tcPr>
                <w:p w14:paraId="4DC06E49" w14:textId="77777777" w:rsidR="009D1253" w:rsidRPr="00F33745" w:rsidRDefault="009D1253" w:rsidP="009D1253">
                  <w:pPr>
                    <w:pStyle w:val="affe"/>
                    <w:numPr>
                      <w:ilvl w:val="0"/>
                      <w:numId w:val="128"/>
                    </w:numPr>
                    <w:tabs>
                      <w:tab w:val="left" w:pos="6979"/>
                    </w:tabs>
                    <w:ind w:right="176"/>
                    <w:jc w:val="both"/>
                    <w:rPr>
                      <w:rFonts w:ascii="Tahoma" w:hAnsi="Tahoma" w:cs="Tahoma"/>
                      <w:sz w:val="18"/>
                      <w:szCs w:val="18"/>
                    </w:rPr>
                  </w:pPr>
                  <w:r w:rsidRPr="00F33745">
                    <w:rPr>
                      <w:rFonts w:ascii="Tahoma" w:hAnsi="Tahoma" w:cs="Tahoma"/>
                      <w:sz w:val="18"/>
                      <w:szCs w:val="18"/>
                    </w:rPr>
                    <w:lastRenderedPageBreak/>
                    <w:t>Договор</w:t>
                  </w:r>
                </w:p>
                <w:p w14:paraId="6A53B711" w14:textId="77777777" w:rsidR="009D1253" w:rsidRDefault="009D1253" w:rsidP="009D1253">
                  <w:pPr>
                    <w:pStyle w:val="affe"/>
                    <w:numPr>
                      <w:ilvl w:val="0"/>
                      <w:numId w:val="128"/>
                    </w:numPr>
                    <w:tabs>
                      <w:tab w:val="left" w:pos="6979"/>
                    </w:tabs>
                    <w:ind w:right="176"/>
                    <w:jc w:val="both"/>
                    <w:rPr>
                      <w:rFonts w:ascii="Tahoma" w:hAnsi="Tahoma" w:cs="Tahoma"/>
                      <w:sz w:val="18"/>
                      <w:szCs w:val="18"/>
                    </w:rPr>
                  </w:pPr>
                  <w:r w:rsidRPr="00F33745">
                    <w:rPr>
                      <w:rFonts w:ascii="Tahoma" w:hAnsi="Tahoma" w:cs="Tahoma"/>
                      <w:sz w:val="18"/>
                      <w:szCs w:val="18"/>
                    </w:rPr>
                    <w:t>Один из следующи</w:t>
                  </w:r>
                  <w:r>
                    <w:rPr>
                      <w:rFonts w:ascii="Tahoma" w:hAnsi="Tahoma" w:cs="Tahoma"/>
                      <w:sz w:val="18"/>
                      <w:szCs w:val="18"/>
                    </w:rPr>
                    <w:t>х документов по выбору Заёмщика:</w:t>
                  </w:r>
                </w:p>
                <w:p w14:paraId="28A2EB22" w14:textId="77777777" w:rsidR="009D1253" w:rsidRDefault="009D1253" w:rsidP="009D1253">
                  <w:pPr>
                    <w:pStyle w:val="affe"/>
                    <w:numPr>
                      <w:ilvl w:val="1"/>
                      <w:numId w:val="128"/>
                    </w:numPr>
                    <w:tabs>
                      <w:tab w:val="left" w:pos="6979"/>
                    </w:tabs>
                    <w:ind w:left="360" w:right="176" w:hanging="360"/>
                    <w:jc w:val="both"/>
                    <w:rPr>
                      <w:rFonts w:ascii="Tahoma" w:hAnsi="Tahoma" w:cs="Tahoma"/>
                      <w:sz w:val="18"/>
                      <w:szCs w:val="18"/>
                    </w:rPr>
                  </w:pPr>
                  <w:r w:rsidRPr="00F33745">
                    <w:rPr>
                      <w:rFonts w:ascii="Tahoma" w:hAnsi="Tahoma" w:cs="Tahoma"/>
                      <w:sz w:val="18"/>
                      <w:szCs w:val="18"/>
                    </w:rPr>
                    <w:t xml:space="preserve">копия налоговой декларации по </w:t>
                  </w:r>
                  <w:r>
                    <w:rPr>
                      <w:rFonts w:ascii="Tahoma" w:hAnsi="Tahoma" w:cs="Tahoma"/>
                      <w:sz w:val="18"/>
                      <w:szCs w:val="18"/>
                    </w:rPr>
                    <w:t>форме 3-НДФЛ</w:t>
                  </w:r>
                </w:p>
                <w:p w14:paraId="0D2336AB" w14:textId="77777777" w:rsidR="009D1253" w:rsidRPr="00F33745" w:rsidRDefault="009D1253" w:rsidP="009D1253">
                  <w:pPr>
                    <w:pStyle w:val="affe"/>
                    <w:numPr>
                      <w:ilvl w:val="1"/>
                      <w:numId w:val="128"/>
                    </w:numPr>
                    <w:tabs>
                      <w:tab w:val="left" w:pos="6979"/>
                    </w:tabs>
                    <w:ind w:left="360" w:right="176" w:hanging="360"/>
                    <w:jc w:val="both"/>
                    <w:rPr>
                      <w:rFonts w:ascii="Tahoma" w:hAnsi="Tahoma" w:cs="Tahoma"/>
                      <w:sz w:val="18"/>
                      <w:szCs w:val="18"/>
                    </w:rPr>
                  </w:pPr>
                  <w:r w:rsidRPr="00F33745">
                    <w:rPr>
                      <w:rFonts w:ascii="Tahoma" w:hAnsi="Tahoma" w:cs="Tahoma"/>
                      <w:sz w:val="18"/>
                      <w:szCs w:val="18"/>
                    </w:rPr>
                    <w:lastRenderedPageBreak/>
                    <w:t>справка о доходах и суммах налога физического лица**</w:t>
                  </w:r>
                </w:p>
              </w:tc>
            </w:tr>
            <w:tr w:rsidR="009D1253" w:rsidRPr="00B2133F" w14:paraId="2E010F5B" w14:textId="77777777" w:rsidTr="009D1253">
              <w:tc>
                <w:tcPr>
                  <w:tcW w:w="2096" w:type="dxa"/>
                </w:tcPr>
                <w:p w14:paraId="44B10C0D"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lastRenderedPageBreak/>
                    <w:t>Прочие виды (источники) дохода</w:t>
                  </w:r>
                </w:p>
              </w:tc>
              <w:tc>
                <w:tcPr>
                  <w:tcW w:w="8557" w:type="dxa"/>
                </w:tcPr>
                <w:p w14:paraId="572831C7" w14:textId="77777777" w:rsidR="009D1253" w:rsidRDefault="009D1253" w:rsidP="009D1253">
                  <w:pPr>
                    <w:numPr>
                      <w:ilvl w:val="0"/>
                      <w:numId w:val="129"/>
                    </w:numPr>
                    <w:tabs>
                      <w:tab w:val="left" w:pos="84"/>
                    </w:tabs>
                    <w:ind w:left="367" w:right="178" w:hanging="367"/>
                    <w:jc w:val="both"/>
                    <w:textAlignment w:val="baseline"/>
                    <w:rPr>
                      <w:rFonts w:ascii="Tahoma" w:hAnsi="Tahoma" w:cs="Tahoma"/>
                      <w:sz w:val="18"/>
                      <w:szCs w:val="18"/>
                      <w:lang w:eastAsia="en-US"/>
                    </w:rPr>
                  </w:pPr>
                  <w:r w:rsidRPr="00B2133F">
                    <w:rPr>
                      <w:rFonts w:ascii="Tahoma" w:hAnsi="Tahoma" w:cs="Tahoma"/>
                      <w:sz w:val="18"/>
                      <w:szCs w:val="18"/>
                      <w:lang w:eastAsia="en-US"/>
                    </w:rPr>
                    <w:t>Справка о сумме ежемесячной денежной выплаты, ежемесячной денежной компенсации, ежемесячного дополнительного материального обеспечения, выданная гос</w:t>
                  </w:r>
                  <w:r>
                    <w:rPr>
                      <w:rFonts w:ascii="Tahoma" w:hAnsi="Tahoma" w:cs="Tahoma"/>
                      <w:sz w:val="18"/>
                      <w:szCs w:val="18"/>
                      <w:lang w:eastAsia="en-US"/>
                    </w:rPr>
                    <w:t>ударственным органом Заёмщику</w:t>
                  </w:r>
                </w:p>
                <w:p w14:paraId="3C0A7E14" w14:textId="77777777" w:rsidR="009D1253" w:rsidRPr="00F33745" w:rsidRDefault="009D1253" w:rsidP="009D1253">
                  <w:pPr>
                    <w:numPr>
                      <w:ilvl w:val="0"/>
                      <w:numId w:val="129"/>
                    </w:numPr>
                    <w:tabs>
                      <w:tab w:val="left" w:pos="84"/>
                    </w:tabs>
                    <w:ind w:left="367" w:right="178" w:hanging="367"/>
                    <w:jc w:val="both"/>
                    <w:textAlignment w:val="baseline"/>
                    <w:rPr>
                      <w:rFonts w:ascii="Tahoma" w:hAnsi="Tahoma" w:cs="Tahoma"/>
                      <w:sz w:val="18"/>
                      <w:szCs w:val="18"/>
                      <w:lang w:eastAsia="en-US"/>
                    </w:rPr>
                  </w:pPr>
                  <w:r w:rsidRPr="00F33745">
                    <w:rPr>
                      <w:rFonts w:ascii="Tahoma" w:hAnsi="Tahoma" w:cs="Tahoma"/>
                      <w:sz w:val="18"/>
                      <w:szCs w:val="18"/>
                    </w:rPr>
                    <w:t>Документ, содержащий сведения о доходах Заёмщика, выданные государственными (муниципальными) органами, учреждениями, организациями или предприятиями (включая документы, выданные должностными лицами Вооруженных Сил Российской Федерации и воинских формирований), а также физическими лицами, зарегистрированными в качестве индивидуаль</w:t>
                  </w:r>
                  <w:r>
                    <w:rPr>
                      <w:rFonts w:ascii="Tahoma" w:hAnsi="Tahoma" w:cs="Tahoma"/>
                      <w:sz w:val="18"/>
                      <w:szCs w:val="18"/>
                    </w:rPr>
                    <w:t>ных предпринимателей</w:t>
                  </w:r>
                </w:p>
                <w:p w14:paraId="7993967C" w14:textId="77777777" w:rsidR="009D1253" w:rsidRPr="00F33745" w:rsidRDefault="009D1253" w:rsidP="009D1253">
                  <w:pPr>
                    <w:numPr>
                      <w:ilvl w:val="0"/>
                      <w:numId w:val="129"/>
                    </w:numPr>
                    <w:tabs>
                      <w:tab w:val="left" w:pos="84"/>
                    </w:tabs>
                    <w:ind w:left="367" w:right="178" w:hanging="367"/>
                    <w:jc w:val="both"/>
                    <w:textAlignment w:val="baseline"/>
                    <w:rPr>
                      <w:rFonts w:ascii="Tahoma" w:hAnsi="Tahoma" w:cs="Tahoma"/>
                      <w:sz w:val="18"/>
                      <w:szCs w:val="18"/>
                      <w:lang w:eastAsia="en-US"/>
                    </w:rPr>
                  </w:pPr>
                  <w:r w:rsidRPr="00F33745">
                    <w:rPr>
                      <w:rFonts w:ascii="Tahoma" w:hAnsi="Tahoma" w:cs="Tahoma"/>
                      <w:sz w:val="18"/>
                      <w:szCs w:val="18"/>
                    </w:rPr>
                    <w:t>Выписка со счета, выданная кредитными организациями, на который осуществляются социальные выплаты, а также иные регулярные выплаты Клиенту, в т.ч. сформированная из мобильного/интернет банка</w:t>
                  </w:r>
                </w:p>
              </w:tc>
            </w:tr>
          </w:tbl>
          <w:p w14:paraId="79B6D6B8" w14:textId="77777777" w:rsidR="009D1253" w:rsidRDefault="009D1253" w:rsidP="009D1253">
            <w:pPr>
              <w:tabs>
                <w:tab w:val="left" w:pos="6979"/>
              </w:tabs>
              <w:ind w:right="176"/>
              <w:jc w:val="both"/>
              <w:rPr>
                <w:rFonts w:ascii="Tahoma" w:hAnsi="Tahoma" w:cs="Tahoma"/>
                <w:sz w:val="18"/>
                <w:szCs w:val="18"/>
              </w:rPr>
            </w:pPr>
            <w:r w:rsidRPr="00B2133F">
              <w:rPr>
                <w:rFonts w:ascii="Tahoma" w:hAnsi="Tahoma" w:cs="Tahoma"/>
                <w:sz w:val="18"/>
                <w:szCs w:val="18"/>
              </w:rPr>
              <w:t>*Документ должен содержать информацию о доходе за последние 12 (двенадцать) месяцев. В случае если стаж работы составляет менее 12 месяцев, документ предоставляется за фактическое количество отработанных</w:t>
            </w:r>
            <w:r>
              <w:rPr>
                <w:rFonts w:ascii="Tahoma" w:hAnsi="Tahoma" w:cs="Tahoma"/>
                <w:sz w:val="18"/>
                <w:szCs w:val="18"/>
              </w:rPr>
              <w:t xml:space="preserve"> месяцев, но не менее 3 месяцев</w:t>
            </w:r>
            <w:r w:rsidRPr="00B2133F">
              <w:rPr>
                <w:rFonts w:ascii="Tahoma" w:hAnsi="Tahoma" w:cs="Tahoma"/>
                <w:sz w:val="18"/>
                <w:szCs w:val="18"/>
              </w:rPr>
              <w:t xml:space="preserve"> </w:t>
            </w:r>
          </w:p>
          <w:p w14:paraId="765847AD" w14:textId="77777777" w:rsidR="009D1253" w:rsidRPr="00B2133F" w:rsidRDefault="009D1253" w:rsidP="009D1253">
            <w:pPr>
              <w:tabs>
                <w:tab w:val="left" w:pos="6979"/>
              </w:tabs>
              <w:ind w:right="176"/>
              <w:jc w:val="both"/>
              <w:rPr>
                <w:rFonts w:ascii="Tahoma" w:hAnsi="Tahoma" w:cs="Tahoma"/>
                <w:sz w:val="18"/>
                <w:szCs w:val="18"/>
              </w:rPr>
            </w:pPr>
            <w:r w:rsidRPr="00B2133F">
              <w:rPr>
                <w:rFonts w:ascii="Tahoma" w:hAnsi="Tahoma" w:cs="Tahoma"/>
                <w:sz w:val="18"/>
                <w:szCs w:val="18"/>
              </w:rPr>
              <w:t>** Документ, подтверждающий доход должен содержать в составе реквизитов ИНН работодателя</w:t>
            </w:r>
            <w:r>
              <w:rPr>
                <w:rFonts w:ascii="Tahoma" w:hAnsi="Tahoma" w:cs="Tahoma"/>
                <w:sz w:val="18"/>
                <w:szCs w:val="18"/>
              </w:rPr>
              <w:t>/контрагента</w:t>
            </w:r>
          </w:p>
          <w:p w14:paraId="33C2BB59" w14:textId="77777777" w:rsidR="009D1253" w:rsidRDefault="009D1253" w:rsidP="009D1253">
            <w:pPr>
              <w:tabs>
                <w:tab w:val="left" w:pos="-3402"/>
                <w:tab w:val="left" w:pos="851"/>
              </w:tabs>
              <w:ind w:right="-1"/>
              <w:jc w:val="both"/>
              <w:rPr>
                <w:rFonts w:ascii="Tahoma" w:hAnsi="Tahoma" w:cs="Tahoma"/>
                <w:sz w:val="18"/>
                <w:szCs w:val="18"/>
              </w:rPr>
            </w:pPr>
            <w:r w:rsidRPr="00B2133F">
              <w:rPr>
                <w:rFonts w:ascii="Tahoma" w:hAnsi="Tahoma" w:cs="Tahoma"/>
                <w:sz w:val="18"/>
                <w:szCs w:val="18"/>
              </w:rPr>
              <w:t>***</w:t>
            </w:r>
            <w:r w:rsidRPr="00B975F2">
              <w:rPr>
                <w:rFonts w:ascii="Tahoma" w:hAnsi="Tahoma" w:cs="Tahoma"/>
                <w:sz w:val="18"/>
                <w:szCs w:val="18"/>
              </w:rPr>
              <w:t>Банк получает документ в электронной форме из государственных информационных систем, если Заемщиком выражено согласие в соответствии с законодательством Российской Федерации на запрос выписки по индивидуальному лицевому счету Заемщика, который ведется в Социальном Фонде Российской Федерации</w:t>
            </w:r>
          </w:p>
          <w:p w14:paraId="509A16C7" w14:textId="77777777" w:rsidR="009D1253" w:rsidRPr="005A07E7" w:rsidRDefault="009D1253" w:rsidP="009D1253">
            <w:pPr>
              <w:autoSpaceDE w:val="0"/>
              <w:autoSpaceDN w:val="0"/>
              <w:adjustRightInd w:val="0"/>
              <w:jc w:val="both"/>
              <w:rPr>
                <w:rFonts w:ascii="Tahoma" w:hAnsi="Tahoma" w:cs="Tahoma"/>
                <w:sz w:val="18"/>
                <w:szCs w:val="18"/>
              </w:rPr>
            </w:pPr>
            <w:r w:rsidRPr="00B2133F">
              <w:rPr>
                <w:rFonts w:ascii="Tahoma" w:hAnsi="Tahoma" w:cs="Tahoma"/>
                <w:sz w:val="18"/>
                <w:szCs w:val="18"/>
              </w:rPr>
              <w:t>****Для учета дохода в виде пенсии допускается принимать документ, содержащий сведения о доходе за 1 (один) календарный месяц, принимаются выплаты, которые были получены (начислены или назначены): страховой и (или) накопительной пенсионных выплат (за исключением суммы единовременных пенсионных выплат), а также дополнительных ежемесячных денежных выплат, компенсаций и материального обеспечения (за исключением набора социальных услуг и федеральной социальной доплаты к пенсии, если они отдельно указаны в подтверждающем документе, предусмотренном в настоящем перечне подтверждающих документов)</w:t>
            </w:r>
            <w:r w:rsidRPr="005A07E7">
              <w:rPr>
                <w:rFonts w:ascii="Tahoma" w:hAnsi="Tahoma" w:cs="Tahoma"/>
                <w:strike/>
                <w:sz w:val="18"/>
                <w:szCs w:val="18"/>
              </w:rPr>
              <w:fldChar w:fldCharType="begin"/>
            </w:r>
            <w:r w:rsidRPr="005A07E7">
              <w:rPr>
                <w:rFonts w:ascii="Tahoma" w:hAnsi="Tahoma" w:cs="Tahoma"/>
                <w:strike/>
                <w:sz w:val="18"/>
                <w:szCs w:val="18"/>
              </w:rPr>
              <w:instrText xml:space="preserve"> DOCVARIABLE  ATB_ADDRESS_REG </w:instrText>
            </w:r>
            <w:r w:rsidRPr="005A07E7">
              <w:rPr>
                <w:rFonts w:ascii="Tahoma" w:hAnsi="Tahoma" w:cs="Tahoma"/>
                <w:strike/>
                <w:sz w:val="18"/>
                <w:szCs w:val="18"/>
              </w:rPr>
              <w:fldChar w:fldCharType="end"/>
            </w:r>
          </w:p>
        </w:tc>
      </w:tr>
      <w:tr w:rsidR="009D1253" w:rsidRPr="005A07E7" w14:paraId="0E78E47E"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540"/>
        </w:trPr>
        <w:tc>
          <w:tcPr>
            <w:tcW w:w="1475" w:type="pct"/>
            <w:tcBorders>
              <w:top w:val="single" w:sz="4" w:space="0" w:color="auto"/>
              <w:left w:val="single" w:sz="8" w:space="0" w:color="auto"/>
              <w:bottom w:val="single" w:sz="4" w:space="0" w:color="auto"/>
              <w:right w:val="single" w:sz="4" w:space="0" w:color="auto"/>
            </w:tcBorders>
            <w:vAlign w:val="center"/>
          </w:tcPr>
          <w:p w14:paraId="46E02EAB"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lastRenderedPageBreak/>
              <w:t>Требования к приобретаемым ТС</w:t>
            </w:r>
          </w:p>
        </w:tc>
        <w:tc>
          <w:tcPr>
            <w:tcW w:w="3525" w:type="pct"/>
            <w:tcBorders>
              <w:top w:val="single" w:sz="4" w:space="0" w:color="auto"/>
              <w:left w:val="nil"/>
              <w:bottom w:val="single" w:sz="4" w:space="0" w:color="auto"/>
              <w:right w:val="single" w:sz="8" w:space="0" w:color="000000"/>
            </w:tcBorders>
            <w:shd w:val="clear" w:color="auto" w:fill="auto"/>
            <w:noWrap/>
            <w:vAlign w:val="center"/>
          </w:tcPr>
          <w:p w14:paraId="216B20C0" w14:textId="77777777" w:rsidR="009D1253" w:rsidRPr="003D6559" w:rsidRDefault="009D1253" w:rsidP="009D1253">
            <w:pPr>
              <w:pStyle w:val="a9"/>
              <w:tabs>
                <w:tab w:val="left" w:pos="0"/>
                <w:tab w:val="left" w:pos="176"/>
              </w:tabs>
              <w:spacing w:before="0" w:after="0"/>
              <w:rPr>
                <w:rFonts w:ascii="Tahoma" w:hAnsi="Tahoma" w:cs="Tahoma"/>
                <w:b/>
                <w:lang w:eastAsia="en-US"/>
              </w:rPr>
            </w:pPr>
            <w:r w:rsidRPr="003D6559">
              <w:rPr>
                <w:rFonts w:ascii="Tahoma" w:hAnsi="Tahoma" w:cs="Tahoma"/>
                <w:b/>
                <w:lang w:eastAsia="en-US"/>
              </w:rPr>
              <w:t>Возраст ТС на момент выдачи кредита:</w:t>
            </w:r>
          </w:p>
          <w:p w14:paraId="25D43C4B" w14:textId="77777777" w:rsidR="009D1253" w:rsidRPr="003D6559" w:rsidRDefault="009D1253" w:rsidP="009D1253">
            <w:pPr>
              <w:pStyle w:val="a9"/>
              <w:tabs>
                <w:tab w:val="left" w:pos="0"/>
                <w:tab w:val="left" w:pos="176"/>
              </w:tabs>
              <w:spacing w:before="0" w:after="0"/>
              <w:rPr>
                <w:rFonts w:ascii="Tahoma" w:eastAsiaTheme="minorHAnsi" w:hAnsi="Tahoma" w:cs="Tahoma"/>
                <w:lang w:eastAsia="en-US"/>
              </w:rPr>
            </w:pPr>
            <w:r w:rsidRPr="003D6559">
              <w:rPr>
                <w:rFonts w:ascii="Tahoma" w:eastAsiaTheme="minorHAnsi" w:hAnsi="Tahoma" w:cs="Tahoma"/>
                <w:lang w:eastAsia="en-US"/>
              </w:rPr>
              <w:t>для ТС отечественных марок – не более 12 лет</w:t>
            </w:r>
          </w:p>
          <w:p w14:paraId="5A19DB37" w14:textId="77777777" w:rsidR="009D1253" w:rsidRPr="00636486" w:rsidRDefault="009D1253" w:rsidP="009D1253">
            <w:pPr>
              <w:pStyle w:val="a9"/>
              <w:tabs>
                <w:tab w:val="left" w:pos="0"/>
                <w:tab w:val="left" w:pos="176"/>
              </w:tabs>
              <w:spacing w:before="0" w:after="0"/>
              <w:rPr>
                <w:rFonts w:ascii="Tahoma" w:eastAsiaTheme="minorHAnsi" w:hAnsi="Tahoma" w:cs="Tahoma"/>
                <w:lang w:eastAsia="en-US"/>
              </w:rPr>
            </w:pPr>
            <w:r w:rsidRPr="003D6559">
              <w:rPr>
                <w:rFonts w:ascii="Tahoma" w:eastAsiaTheme="minorHAnsi" w:hAnsi="Tahoma" w:cs="Tahoma"/>
                <w:lang w:eastAsia="en-US"/>
              </w:rPr>
              <w:t>для ТС иностранных марок – не более 17 лет</w:t>
            </w:r>
          </w:p>
          <w:p w14:paraId="2CFBC23F" w14:textId="77777777" w:rsidR="009D1253" w:rsidRPr="005A07E7" w:rsidRDefault="009D1253" w:rsidP="009D1253">
            <w:pPr>
              <w:pStyle w:val="a9"/>
              <w:tabs>
                <w:tab w:val="left" w:pos="0"/>
                <w:tab w:val="left" w:pos="176"/>
              </w:tabs>
              <w:spacing w:before="0" w:after="0"/>
              <w:rPr>
                <w:rFonts w:ascii="Tahoma" w:hAnsi="Tahoma" w:cs="Tahoma"/>
                <w:b/>
                <w:sz w:val="18"/>
                <w:szCs w:val="18"/>
                <w:lang w:eastAsia="en-US"/>
              </w:rPr>
            </w:pPr>
          </w:p>
          <w:p w14:paraId="5157A8A0" w14:textId="77777777" w:rsidR="009D1253" w:rsidRPr="005A07E7" w:rsidRDefault="009D1253" w:rsidP="009D1253">
            <w:pPr>
              <w:pStyle w:val="a9"/>
              <w:tabs>
                <w:tab w:val="left" w:pos="0"/>
                <w:tab w:val="left" w:pos="176"/>
              </w:tabs>
              <w:spacing w:before="0" w:after="0"/>
              <w:rPr>
                <w:rFonts w:ascii="Tahoma" w:hAnsi="Tahoma" w:cs="Tahoma"/>
                <w:b/>
                <w:sz w:val="18"/>
                <w:szCs w:val="18"/>
                <w:lang w:eastAsia="en-US"/>
              </w:rPr>
            </w:pPr>
            <w:r w:rsidRPr="005A07E7">
              <w:rPr>
                <w:rFonts w:ascii="Tahoma" w:hAnsi="Tahoma" w:cs="Tahoma"/>
                <w:b/>
                <w:sz w:val="18"/>
                <w:szCs w:val="18"/>
                <w:lang w:eastAsia="en-US"/>
              </w:rPr>
              <w:t>Требования к новому ТС (одновременное выполнение условий):</w:t>
            </w:r>
          </w:p>
          <w:p w14:paraId="2AECF5BE" w14:textId="77777777" w:rsidR="009D1253" w:rsidRDefault="009D1253" w:rsidP="009D1253">
            <w:pPr>
              <w:tabs>
                <w:tab w:val="left" w:pos="6979"/>
              </w:tabs>
              <w:ind w:right="176"/>
              <w:jc w:val="both"/>
              <w:rPr>
                <w:rFonts w:ascii="Tahoma" w:hAnsi="Tahoma" w:cs="Tahoma"/>
                <w:sz w:val="20"/>
                <w:szCs w:val="20"/>
              </w:rPr>
            </w:pPr>
            <w:r w:rsidRPr="005A07E7">
              <w:rPr>
                <w:rFonts w:ascii="Tahoma" w:hAnsi="Tahoma" w:cs="Tahoma"/>
                <w:sz w:val="20"/>
                <w:szCs w:val="20"/>
              </w:rPr>
              <w:t xml:space="preserve">- приобретаемое новое ТС на дату выдачи Кредита не должно находиться на регистрационном учете в соответствии с законодательством РФ (за исключением случаев постановки на учет юридическим лицом </w:t>
            </w:r>
            <w:r>
              <w:rPr>
                <w:rFonts w:ascii="Tahoma" w:hAnsi="Tahoma" w:cs="Tahoma"/>
                <w:sz w:val="20"/>
                <w:szCs w:val="20"/>
              </w:rPr>
              <w:t>ТС</w:t>
            </w:r>
            <w:r w:rsidRPr="005A07E7">
              <w:rPr>
                <w:rFonts w:ascii="Tahoma" w:hAnsi="Tahoma" w:cs="Tahoma"/>
                <w:sz w:val="20"/>
                <w:szCs w:val="20"/>
              </w:rPr>
              <w:t>, используемых для тест-драйва);</w:t>
            </w:r>
          </w:p>
          <w:p w14:paraId="5F9C37EA" w14:textId="77777777" w:rsidR="009D1253" w:rsidRDefault="009D1253" w:rsidP="009D1253">
            <w:pPr>
              <w:tabs>
                <w:tab w:val="left" w:pos="6979"/>
              </w:tabs>
              <w:ind w:right="176"/>
              <w:jc w:val="both"/>
              <w:rPr>
                <w:rFonts w:ascii="Tahoma" w:hAnsi="Tahoma" w:cs="Tahoma"/>
                <w:sz w:val="20"/>
                <w:szCs w:val="20"/>
              </w:rPr>
            </w:pPr>
            <w:r>
              <w:rPr>
                <w:rFonts w:ascii="Tahoma" w:hAnsi="Tahoma" w:cs="Tahoma"/>
                <w:sz w:val="20"/>
                <w:szCs w:val="20"/>
              </w:rPr>
              <w:t>- по ТС имеется выписка из ЭПТС</w:t>
            </w:r>
            <w:r w:rsidRPr="00B975F2">
              <w:rPr>
                <w:rFonts w:ascii="Tahoma" w:hAnsi="Tahoma" w:cs="Tahoma"/>
                <w:sz w:val="20"/>
                <w:szCs w:val="18"/>
              </w:rPr>
              <w:t>*</w:t>
            </w:r>
            <w:r>
              <w:rPr>
                <w:rFonts w:ascii="Tahoma" w:hAnsi="Tahoma" w:cs="Tahoma"/>
                <w:sz w:val="20"/>
                <w:szCs w:val="20"/>
              </w:rPr>
              <w:t xml:space="preserve"> в статусе «действующий» </w:t>
            </w:r>
            <w:r>
              <w:rPr>
                <w:rFonts w:ascii="Tahoma" w:hAnsi="Tahoma" w:cs="Tahoma"/>
                <w:sz w:val="18"/>
                <w:szCs w:val="18"/>
              </w:rPr>
              <w:t xml:space="preserve">/ </w:t>
            </w:r>
            <w:r w:rsidRPr="00B975F2">
              <w:rPr>
                <w:rFonts w:ascii="Tahoma" w:hAnsi="Tahoma" w:cs="Tahoma"/>
                <w:sz w:val="20"/>
                <w:szCs w:val="18"/>
              </w:rPr>
              <w:t>«незавершенный»</w:t>
            </w:r>
            <w:r w:rsidRPr="00B975F2">
              <w:rPr>
                <w:rFonts w:ascii="Tahoma" w:hAnsi="Tahoma" w:cs="Tahoma"/>
                <w:sz w:val="22"/>
                <w:szCs w:val="20"/>
              </w:rPr>
              <w:t>;</w:t>
            </w:r>
          </w:p>
          <w:p w14:paraId="0719E733" w14:textId="77777777" w:rsidR="009D1253" w:rsidRPr="005A07E7" w:rsidRDefault="009D1253" w:rsidP="009D1253">
            <w:pPr>
              <w:tabs>
                <w:tab w:val="left" w:pos="6979"/>
              </w:tabs>
              <w:ind w:right="176"/>
              <w:jc w:val="both"/>
              <w:rPr>
                <w:rFonts w:ascii="Tahoma" w:hAnsi="Tahoma" w:cs="Tahoma"/>
                <w:sz w:val="20"/>
                <w:szCs w:val="20"/>
              </w:rPr>
            </w:pPr>
            <w:r w:rsidRPr="005A07E7">
              <w:rPr>
                <w:rFonts w:ascii="Tahoma" w:hAnsi="Tahoma" w:cs="Tahoma"/>
                <w:sz w:val="20"/>
                <w:szCs w:val="20"/>
              </w:rPr>
              <w:t xml:space="preserve">- пробег ТС должен быть менее 1 000 км (или 5 000 км при условии предоставления информационного письма дилером об использовании данного </w:t>
            </w:r>
            <w:r>
              <w:rPr>
                <w:rFonts w:ascii="Tahoma" w:hAnsi="Tahoma" w:cs="Tahoma"/>
                <w:sz w:val="20"/>
                <w:szCs w:val="20"/>
              </w:rPr>
              <w:t>ТС</w:t>
            </w:r>
            <w:r w:rsidRPr="005A07E7">
              <w:rPr>
                <w:rFonts w:ascii="Tahoma" w:hAnsi="Tahoma" w:cs="Tahoma"/>
                <w:sz w:val="20"/>
                <w:szCs w:val="20"/>
              </w:rPr>
              <w:t xml:space="preserve"> для тест-драйва);</w:t>
            </w:r>
          </w:p>
          <w:p w14:paraId="07C7452E" w14:textId="77777777" w:rsidR="009D1253" w:rsidRDefault="009D1253" w:rsidP="009D1253">
            <w:pPr>
              <w:tabs>
                <w:tab w:val="left" w:pos="6979"/>
              </w:tabs>
              <w:ind w:right="176"/>
              <w:jc w:val="both"/>
              <w:rPr>
                <w:rFonts w:ascii="Tahoma" w:hAnsi="Tahoma" w:cs="Tahoma"/>
                <w:sz w:val="20"/>
                <w:szCs w:val="20"/>
              </w:rPr>
            </w:pPr>
            <w:r w:rsidRPr="00F42CCC">
              <w:rPr>
                <w:rFonts w:ascii="Tahoma" w:hAnsi="Tahoma" w:cs="Tahoma"/>
                <w:sz w:val="20"/>
                <w:szCs w:val="20"/>
              </w:rPr>
              <w:t>- по Кредитам, одобренным на дату ранее, чем «01» июля текущего года, год изготовления ТС отличается от года оформления Кредита не более, чем на 2 года; одобренным с «01» июля текущего года, год изготовления ТС отличается от года оформления Кредита не более, чем на 1 год.</w:t>
            </w:r>
          </w:p>
          <w:p w14:paraId="02B5AB4A" w14:textId="77777777" w:rsidR="009D1253" w:rsidRPr="005A07E7" w:rsidRDefault="009D1253" w:rsidP="009D1253">
            <w:pPr>
              <w:tabs>
                <w:tab w:val="left" w:pos="6979"/>
              </w:tabs>
              <w:ind w:right="176"/>
              <w:jc w:val="both"/>
              <w:rPr>
                <w:rFonts w:ascii="Tahoma" w:hAnsi="Tahoma" w:cs="Tahoma"/>
                <w:b/>
                <w:sz w:val="18"/>
                <w:szCs w:val="18"/>
              </w:rPr>
            </w:pPr>
            <w:r w:rsidRPr="00B975F2">
              <w:rPr>
                <w:rFonts w:ascii="Tahoma" w:hAnsi="Tahoma" w:cs="Tahoma"/>
                <w:sz w:val="22"/>
                <w:szCs w:val="20"/>
              </w:rPr>
              <w:t>*</w:t>
            </w:r>
            <w:r w:rsidRPr="00B975F2">
              <w:rPr>
                <w:rFonts w:ascii="Tahoma" w:hAnsi="Tahoma" w:cs="Tahoma"/>
                <w:sz w:val="20"/>
                <w:szCs w:val="18"/>
              </w:rPr>
              <w:t xml:space="preserve"> не требуется при приобретении за счет кредитных средств нового ТС марки: Honda, Lada, Voyah, Omoda, Livan, Jetour, Jaecoo, Evolute, Москвич, Changan, Haval, SkyWell</w:t>
            </w:r>
          </w:p>
        </w:tc>
      </w:tr>
      <w:tr w:rsidR="009D1253" w:rsidRPr="005A07E7" w14:paraId="68BFC583"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4EE26880"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Способ предоставления Кредита</w:t>
            </w:r>
          </w:p>
        </w:tc>
        <w:tc>
          <w:tcPr>
            <w:tcW w:w="3525" w:type="pct"/>
            <w:tcBorders>
              <w:top w:val="single" w:sz="4" w:space="0" w:color="auto"/>
              <w:left w:val="nil"/>
              <w:bottom w:val="single" w:sz="4" w:space="0" w:color="auto"/>
              <w:right w:val="single" w:sz="8" w:space="0" w:color="000000"/>
            </w:tcBorders>
            <w:noWrap/>
            <w:vAlign w:val="center"/>
          </w:tcPr>
          <w:p w14:paraId="5ECFE637"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Перевод денежных средств на ТБС Заёмщика, открытый в Банке</w:t>
            </w:r>
            <w:r>
              <w:rPr>
                <w:rFonts w:ascii="Tahoma" w:hAnsi="Tahoma" w:cs="Tahoma"/>
                <w:sz w:val="20"/>
                <w:szCs w:val="20"/>
              </w:rPr>
              <w:t>,</w:t>
            </w:r>
            <w:r w:rsidRPr="005A07E7">
              <w:rPr>
                <w:rFonts w:ascii="Tahoma" w:hAnsi="Tahoma" w:cs="Tahoma"/>
                <w:sz w:val="20"/>
                <w:szCs w:val="20"/>
              </w:rPr>
              <w:t xml:space="preserve"> для использования Заёмщиком на цели использования Кредита, указанные в  настоящем документе.</w:t>
            </w:r>
          </w:p>
        </w:tc>
      </w:tr>
      <w:tr w:rsidR="009D1253" w:rsidRPr="005A07E7" w14:paraId="12A60E7A" w14:textId="77777777" w:rsidTr="009D1253">
        <w:tblPrEx>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tcPr>
          <w:p w14:paraId="20092442" w14:textId="77777777" w:rsidR="009D1253" w:rsidRPr="00ED6334" w:rsidRDefault="009D1253" w:rsidP="009D1253">
            <w:pPr>
              <w:rPr>
                <w:rFonts w:ascii="Tahoma" w:hAnsi="Tahoma" w:cs="Tahoma"/>
                <w:b/>
                <w:sz w:val="20"/>
                <w:szCs w:val="20"/>
              </w:rPr>
            </w:pPr>
            <w:r w:rsidRPr="00ED6334">
              <w:rPr>
                <w:rFonts w:ascii="Tahoma" w:hAnsi="Tahoma" w:cs="Tahoma"/>
                <w:b/>
                <w:sz w:val="20"/>
              </w:rPr>
              <w:lastRenderedPageBreak/>
              <w:t>Информация о возможном увеличении суммы расходов Заемщика по сравнению с ожидаемой суммой расходов в рублях, в том числе при применении переменной процентной ставки, а также информация о том, что изменение курса иностранной валюты в прошлом не свидетельствует об изменении ее курса в будущем, и информация о повышенных рисках заемщика, получающего доходы в валюте, отличной от валюты Кредита</w:t>
            </w:r>
          </w:p>
        </w:tc>
        <w:tc>
          <w:tcPr>
            <w:tcW w:w="3525" w:type="pct"/>
            <w:tcBorders>
              <w:top w:val="single" w:sz="4" w:space="0" w:color="auto"/>
              <w:left w:val="nil"/>
              <w:bottom w:val="single" w:sz="4" w:space="0" w:color="auto"/>
              <w:right w:val="single" w:sz="8" w:space="0" w:color="000000"/>
            </w:tcBorders>
            <w:noWrap/>
            <w:vAlign w:val="center"/>
          </w:tcPr>
          <w:p w14:paraId="19C0C083" w14:textId="77777777" w:rsidR="009D1253" w:rsidRPr="00ED6334" w:rsidRDefault="009D1253" w:rsidP="009D1253">
            <w:pPr>
              <w:widowControl w:val="0"/>
              <w:tabs>
                <w:tab w:val="left" w:pos="426"/>
                <w:tab w:val="left" w:pos="851"/>
              </w:tabs>
              <w:jc w:val="both"/>
              <w:rPr>
                <w:rFonts w:ascii="Tahoma" w:hAnsi="Tahoma" w:cs="Tahoma"/>
                <w:sz w:val="20"/>
                <w:szCs w:val="20"/>
              </w:rPr>
            </w:pPr>
            <w:r w:rsidRPr="00ED6334">
              <w:rPr>
                <w:rFonts w:ascii="Tahoma" w:hAnsi="Tahoma" w:cs="Tahoma"/>
                <w:sz w:val="20"/>
              </w:rPr>
              <w:t xml:space="preserve"> </w:t>
            </w:r>
            <w:r w:rsidRPr="003846F1">
              <w:rPr>
                <w:rFonts w:ascii="Tahoma" w:hAnsi="Tahoma" w:cs="Tahoma"/>
                <w:sz w:val="20"/>
              </w:rPr>
              <w:t>Переменная процентная ставка не применяется в Договоре. Кредит предоставляется в рублях, вместе с тем, Заемщикам, получающим доход в иностранной валюте следует помнить, что изменение курса иностранной валюты в прошлом не свидетельствует об изменении ее курса в будущем, в связи с чем, такие Заемщики несут повышенные риски в связи с получением доходов в иностранной валюте.</w:t>
            </w:r>
          </w:p>
        </w:tc>
      </w:tr>
      <w:tr w:rsidR="009D1253" w:rsidRPr="005A07E7" w14:paraId="27BB501B"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07860A3B"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Иные договоры, требуемые для заключения или исполнения Договора</w:t>
            </w:r>
            <w:r w:rsidRPr="003846F1">
              <w:rPr>
                <w:rFonts w:ascii="Tahoma" w:hAnsi="Tahoma" w:cs="Tahoma"/>
                <w:b/>
                <w:bCs/>
                <w:sz w:val="20"/>
                <w:szCs w:val="20"/>
              </w:rPr>
              <w:t>, а также информация о возможности заемщика согласиться с заключением таких договоров и (или) приобретением таких услуг (работ, товаров) либо отказаться от них.</w:t>
            </w:r>
          </w:p>
        </w:tc>
        <w:tc>
          <w:tcPr>
            <w:tcW w:w="3525" w:type="pct"/>
            <w:tcBorders>
              <w:top w:val="single" w:sz="4" w:space="0" w:color="auto"/>
              <w:left w:val="nil"/>
              <w:bottom w:val="single" w:sz="4" w:space="0" w:color="auto"/>
              <w:right w:val="single" w:sz="8" w:space="0" w:color="000000"/>
            </w:tcBorders>
            <w:noWrap/>
            <w:vAlign w:val="center"/>
          </w:tcPr>
          <w:p w14:paraId="3C433DD8" w14:textId="77777777" w:rsidR="009D1253"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 xml:space="preserve">Заключение между </w:t>
            </w:r>
            <w:r>
              <w:rPr>
                <w:rFonts w:ascii="Tahoma" w:hAnsi="Tahoma" w:cs="Tahoma"/>
                <w:sz w:val="20"/>
                <w:szCs w:val="20"/>
              </w:rPr>
              <w:t>с</w:t>
            </w:r>
            <w:r w:rsidRPr="005A07E7">
              <w:rPr>
                <w:rFonts w:ascii="Tahoma" w:hAnsi="Tahoma" w:cs="Tahoma"/>
                <w:sz w:val="20"/>
                <w:szCs w:val="20"/>
              </w:rPr>
              <w:t xml:space="preserve">торонами </w:t>
            </w:r>
            <w:r>
              <w:rPr>
                <w:rFonts w:ascii="Tahoma" w:hAnsi="Tahoma" w:cs="Tahoma"/>
                <w:sz w:val="20"/>
                <w:szCs w:val="20"/>
              </w:rPr>
              <w:t xml:space="preserve">Договора </w:t>
            </w:r>
            <w:r w:rsidRPr="005A07E7">
              <w:rPr>
                <w:rFonts w:ascii="Tahoma" w:hAnsi="Tahoma" w:cs="Tahoma"/>
                <w:sz w:val="20"/>
                <w:szCs w:val="20"/>
              </w:rPr>
              <w:t>банковского счета (на основании которого Заёмщику Банком открывается ТБС), элементы которого включены в Договор, заключение (путем присоединения) УДБО, содержащего Общие условия.</w:t>
            </w:r>
          </w:p>
          <w:p w14:paraId="7AA85B16" w14:textId="77777777" w:rsidR="009D1253" w:rsidRPr="005A07E7" w:rsidRDefault="009D1253" w:rsidP="009D1253">
            <w:pPr>
              <w:widowControl w:val="0"/>
              <w:tabs>
                <w:tab w:val="left" w:pos="426"/>
                <w:tab w:val="left" w:pos="851"/>
              </w:tabs>
              <w:jc w:val="both"/>
              <w:rPr>
                <w:rFonts w:ascii="Tahoma" w:hAnsi="Tahoma" w:cs="Tahoma"/>
                <w:sz w:val="20"/>
                <w:szCs w:val="20"/>
              </w:rPr>
            </w:pPr>
            <w:r w:rsidRPr="003846F1">
              <w:rPr>
                <w:rFonts w:ascii="Tahoma" w:hAnsi="Tahoma" w:cs="Tahoma"/>
                <w:sz w:val="20"/>
                <w:szCs w:val="20"/>
              </w:rPr>
              <w:t>Если при оформлении Договора Заемщику предлагаются иные дополнительные услуги (работы, товары), приобретение которых не является обязательным в силу закона, Заемщик вправе отказаться от их приобретения.</w:t>
            </w:r>
          </w:p>
        </w:tc>
      </w:tr>
      <w:tr w:rsidR="009D1253" w:rsidRPr="005A07E7" w14:paraId="4F8AAE1C"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57FCF20D" w14:textId="77777777" w:rsidR="009D1253" w:rsidRPr="00ED6334" w:rsidRDefault="009D1253" w:rsidP="009D1253">
            <w:pPr>
              <w:rPr>
                <w:rFonts w:ascii="Tahoma" w:hAnsi="Tahoma" w:cs="Tahoma"/>
                <w:b/>
                <w:sz w:val="20"/>
                <w:szCs w:val="20"/>
              </w:rPr>
            </w:pPr>
            <w:r w:rsidRPr="00ED6334">
              <w:rPr>
                <w:rFonts w:ascii="Tahoma" w:hAnsi="Tahoma" w:cs="Tahoma"/>
                <w:b/>
                <w:sz w:val="20"/>
              </w:rPr>
              <w:t>Виды и суммы иных платежей Заёмщика по Договору</w:t>
            </w:r>
          </w:p>
        </w:tc>
        <w:tc>
          <w:tcPr>
            <w:tcW w:w="3525" w:type="pct"/>
            <w:tcBorders>
              <w:top w:val="single" w:sz="4" w:space="0" w:color="auto"/>
              <w:left w:val="nil"/>
              <w:bottom w:val="single" w:sz="4" w:space="0" w:color="auto"/>
              <w:right w:val="single" w:sz="8" w:space="0" w:color="000000"/>
            </w:tcBorders>
            <w:noWrap/>
            <w:vAlign w:val="center"/>
          </w:tcPr>
          <w:p w14:paraId="1DDEB930" w14:textId="77777777" w:rsidR="009D1253" w:rsidRPr="00ED6334" w:rsidRDefault="009D1253" w:rsidP="009D1253">
            <w:pPr>
              <w:widowControl w:val="0"/>
              <w:tabs>
                <w:tab w:val="left" w:pos="426"/>
                <w:tab w:val="left" w:pos="851"/>
              </w:tabs>
              <w:jc w:val="both"/>
              <w:rPr>
                <w:rFonts w:ascii="Tahoma" w:hAnsi="Tahoma" w:cs="Tahoma"/>
                <w:sz w:val="20"/>
              </w:rPr>
            </w:pPr>
            <w:r w:rsidRPr="00ED6334">
              <w:rPr>
                <w:rFonts w:ascii="Tahoma" w:hAnsi="Tahoma" w:cs="Tahoma"/>
                <w:sz w:val="20"/>
              </w:rPr>
              <w:t>Иные обязательные платежи по Договору отсутствуют.</w:t>
            </w:r>
          </w:p>
          <w:p w14:paraId="04731F76" w14:textId="77777777" w:rsidR="009D1253" w:rsidRPr="005A07E7" w:rsidRDefault="009D1253" w:rsidP="009D1253">
            <w:pPr>
              <w:widowControl w:val="0"/>
              <w:tabs>
                <w:tab w:val="left" w:pos="426"/>
                <w:tab w:val="left" w:pos="851"/>
              </w:tabs>
              <w:jc w:val="both"/>
            </w:pPr>
            <w:r w:rsidRPr="005A07E7">
              <w:rPr>
                <w:rFonts w:ascii="Tahoma" w:hAnsi="Tahoma" w:cs="Tahoma"/>
                <w:sz w:val="20"/>
                <w:szCs w:val="20"/>
              </w:rPr>
              <w:t>При наличии соответствующего волеизъявления Заемщика ему могут быть оказаны Банком услуги, не являющиеся обязательными для заключения или исполнения Договора, плата за которые предусмотрена Тарифами Банка(</w:t>
            </w:r>
            <w:hyperlink r:id="rId56" w:tgtFrame="_blank" w:history="1">
              <w:r w:rsidRPr="005A07E7">
                <w:rPr>
                  <w:rStyle w:val="aff"/>
                  <w:rFonts w:ascii="Tahoma" w:hAnsi="Tahoma" w:cs="Tahoma"/>
                  <w:color w:val="0065FF"/>
                  <w:sz w:val="20"/>
                  <w:szCs w:val="20"/>
                  <w:shd w:val="clear" w:color="auto" w:fill="FFFFFF"/>
                </w:rPr>
                <w:t>https://www.atb.su/upload/doc/kniga-tarif/tarify-po-raschetno-kassovomu-obsluzhivaniyu-klientov-fizicheskikh-lits.pdf</w:t>
              </w:r>
            </w:hyperlink>
            <w:r w:rsidRPr="005A07E7">
              <w:rPr>
                <w:rFonts w:ascii="Tahoma" w:hAnsi="Tahoma" w:cs="Tahoma"/>
                <w:sz w:val="20"/>
                <w:szCs w:val="20"/>
              </w:rPr>
              <w:t>). Оказание услуги Банком производится в случае выражения Заемщиком волеизъявления на пользование определенной услугой. Оплата услуг должна быть произведена до момента оказания Банком услуг.</w:t>
            </w:r>
          </w:p>
        </w:tc>
      </w:tr>
      <w:tr w:rsidR="009D1253" w:rsidRPr="005A07E7" w14:paraId="1E77DE0C"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16464383" w14:textId="77777777" w:rsidR="009D1253" w:rsidRPr="00ED6334" w:rsidRDefault="009D1253" w:rsidP="009D1253">
            <w:pPr>
              <w:rPr>
                <w:rFonts w:ascii="Tahoma" w:hAnsi="Tahoma" w:cs="Tahoma"/>
                <w:b/>
                <w:sz w:val="20"/>
                <w:szCs w:val="20"/>
              </w:rPr>
            </w:pPr>
            <w:r w:rsidRPr="00ED6334">
              <w:rPr>
                <w:rFonts w:ascii="Tahoma" w:hAnsi="Tahoma" w:cs="Tahoma"/>
                <w:b/>
                <w:sz w:val="20"/>
              </w:rPr>
              <w:t>Информация об определении курса иностранной валюты в случае, если валюта, в которой осуществляется перевод денежных средств кредитором третьему лицу, указанному Заёмщиком при предоставлении потребительского Кредита, может отличаться от валюты потребительского Кредита</w:t>
            </w:r>
          </w:p>
        </w:tc>
        <w:tc>
          <w:tcPr>
            <w:tcW w:w="3525" w:type="pct"/>
            <w:tcBorders>
              <w:top w:val="single" w:sz="4" w:space="0" w:color="auto"/>
              <w:left w:val="nil"/>
              <w:bottom w:val="single" w:sz="4" w:space="0" w:color="auto"/>
              <w:right w:val="single" w:sz="8" w:space="0" w:color="000000"/>
            </w:tcBorders>
            <w:noWrap/>
            <w:vAlign w:val="center"/>
          </w:tcPr>
          <w:p w14:paraId="2098BC2D" w14:textId="77777777" w:rsidR="009D1253" w:rsidRPr="00ED6334" w:rsidRDefault="009D1253" w:rsidP="009D1253">
            <w:pPr>
              <w:widowControl w:val="0"/>
              <w:tabs>
                <w:tab w:val="left" w:pos="426"/>
                <w:tab w:val="left" w:pos="851"/>
              </w:tabs>
              <w:jc w:val="both"/>
              <w:rPr>
                <w:rFonts w:ascii="Tahoma" w:hAnsi="Tahoma" w:cs="Tahoma"/>
                <w:sz w:val="20"/>
                <w:szCs w:val="20"/>
              </w:rPr>
            </w:pPr>
            <w:r w:rsidRPr="00ED6334">
              <w:rPr>
                <w:rFonts w:ascii="Tahoma" w:hAnsi="Tahoma" w:cs="Tahoma"/>
                <w:sz w:val="20"/>
              </w:rPr>
              <w:t>Не применимо</w:t>
            </w:r>
          </w:p>
        </w:tc>
      </w:tr>
      <w:tr w:rsidR="009D1253" w:rsidRPr="005A07E7" w14:paraId="5DE87FFC"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778E21B6"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Дата, начиная с которой начисляются проценты за пользование Кредитом, или порядок ее определения</w:t>
            </w:r>
          </w:p>
        </w:tc>
        <w:tc>
          <w:tcPr>
            <w:tcW w:w="3525" w:type="pct"/>
            <w:tcBorders>
              <w:top w:val="single" w:sz="4" w:space="0" w:color="auto"/>
              <w:left w:val="nil"/>
              <w:bottom w:val="single" w:sz="4" w:space="0" w:color="auto"/>
              <w:right w:val="single" w:sz="8" w:space="0" w:color="000000"/>
            </w:tcBorders>
            <w:noWrap/>
            <w:vAlign w:val="center"/>
          </w:tcPr>
          <w:p w14:paraId="22B03B87"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Дата, следующая за датой выдачи Заёмщику Кредита</w:t>
            </w:r>
          </w:p>
        </w:tc>
      </w:tr>
      <w:tr w:rsidR="009D1253" w:rsidRPr="005A07E7" w14:paraId="72861478"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3B82CD80"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Периодичность платежей Заёмщика при возврате Кредита, уплате процентов и иных платежей по Кредиту</w:t>
            </w:r>
          </w:p>
        </w:tc>
        <w:tc>
          <w:tcPr>
            <w:tcW w:w="3525" w:type="pct"/>
            <w:tcBorders>
              <w:top w:val="single" w:sz="4" w:space="0" w:color="auto"/>
              <w:left w:val="nil"/>
              <w:bottom w:val="single" w:sz="4" w:space="0" w:color="auto"/>
              <w:right w:val="single" w:sz="8" w:space="0" w:color="000000"/>
            </w:tcBorders>
            <w:noWrap/>
            <w:vAlign w:val="center"/>
          </w:tcPr>
          <w:p w14:paraId="24127102"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Ежемесячно аннуитетными платежами</w:t>
            </w:r>
          </w:p>
        </w:tc>
      </w:tr>
      <w:tr w:rsidR="009D1253" w:rsidRPr="005A07E7" w14:paraId="5EE56127"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1CCC2905"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Срок действия Договора</w:t>
            </w:r>
          </w:p>
        </w:tc>
        <w:tc>
          <w:tcPr>
            <w:tcW w:w="3525" w:type="pct"/>
            <w:tcBorders>
              <w:top w:val="single" w:sz="4" w:space="0" w:color="auto"/>
              <w:left w:val="nil"/>
              <w:bottom w:val="single" w:sz="4" w:space="0" w:color="auto"/>
              <w:right w:val="single" w:sz="8" w:space="0" w:color="000000"/>
            </w:tcBorders>
            <w:noWrap/>
            <w:vAlign w:val="center"/>
          </w:tcPr>
          <w:p w14:paraId="5F4E6E2B"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До полного исполнения Сторонами обязательств по Договору</w:t>
            </w:r>
          </w:p>
        </w:tc>
      </w:tr>
      <w:tr w:rsidR="009D1253" w:rsidRPr="005A07E7" w14:paraId="3B2638AD"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20CD06D6"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lastRenderedPageBreak/>
              <w:t>Срок рассмотрения  оформленного Заёмщиком заявления о предоставлении Кредита и принятия Кредитором решения относительно этого заявления</w:t>
            </w:r>
          </w:p>
        </w:tc>
        <w:tc>
          <w:tcPr>
            <w:tcW w:w="3525" w:type="pct"/>
            <w:tcBorders>
              <w:top w:val="single" w:sz="4" w:space="0" w:color="auto"/>
              <w:left w:val="nil"/>
              <w:bottom w:val="single" w:sz="4" w:space="0" w:color="auto"/>
              <w:right w:val="single" w:sz="8" w:space="0" w:color="000000"/>
            </w:tcBorders>
            <w:noWrap/>
            <w:vAlign w:val="center"/>
          </w:tcPr>
          <w:p w14:paraId="748C0845"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color w:val="000000"/>
                <w:sz w:val="20"/>
                <w:szCs w:val="20"/>
              </w:rPr>
              <w:t>Решение принимается в течение 1 часа с момента предоставления Заёмщиком полного пакета документов. В случае необходимости запроса у Заёмщика дополнительных документов решение принимается в индивидуальные сроки.</w:t>
            </w:r>
            <w:r w:rsidRPr="005A07E7">
              <w:rPr>
                <w:rFonts w:ascii="Tahoma" w:hAnsi="Tahoma" w:cs="Tahoma"/>
                <w:sz w:val="20"/>
                <w:szCs w:val="20"/>
              </w:rPr>
              <w:fldChar w:fldCharType="begin"/>
            </w:r>
            <w:r w:rsidRPr="005A07E7">
              <w:rPr>
                <w:rFonts w:ascii="Tahoma" w:hAnsi="Tahoma" w:cs="Tahoma"/>
                <w:sz w:val="20"/>
                <w:szCs w:val="20"/>
              </w:rPr>
              <w:instrText xml:space="preserve"> DOCVARIABLE  WAS_BORN_DMY </w:instrText>
            </w:r>
            <w:r w:rsidRPr="005A07E7">
              <w:rPr>
                <w:rFonts w:ascii="Tahoma" w:hAnsi="Tahoma" w:cs="Tahoma"/>
                <w:sz w:val="20"/>
                <w:szCs w:val="20"/>
              </w:rPr>
              <w:fldChar w:fldCharType="end"/>
            </w:r>
          </w:p>
        </w:tc>
      </w:tr>
      <w:tr w:rsidR="009D1253" w:rsidRPr="005A07E7" w14:paraId="0D443800"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44591732"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 xml:space="preserve">Срок, в течение которого Заёмщик вправе отказаться от получения Кредита </w:t>
            </w:r>
          </w:p>
        </w:tc>
        <w:tc>
          <w:tcPr>
            <w:tcW w:w="3525" w:type="pct"/>
            <w:tcBorders>
              <w:top w:val="single" w:sz="4" w:space="0" w:color="auto"/>
              <w:left w:val="nil"/>
              <w:bottom w:val="single" w:sz="4" w:space="0" w:color="auto"/>
              <w:right w:val="single" w:sz="8" w:space="0" w:color="000000"/>
            </w:tcBorders>
            <w:noWrap/>
            <w:vAlign w:val="center"/>
          </w:tcPr>
          <w:p w14:paraId="28DBA48B" w14:textId="77777777" w:rsidR="009D1253" w:rsidRPr="005A07E7" w:rsidRDefault="009D1253" w:rsidP="009D1253">
            <w:pPr>
              <w:widowControl w:val="0"/>
              <w:tabs>
                <w:tab w:val="left" w:pos="426"/>
                <w:tab w:val="left" w:pos="851"/>
              </w:tabs>
              <w:jc w:val="both"/>
              <w:rPr>
                <w:rFonts w:ascii="Tahoma" w:hAnsi="Tahoma" w:cs="Tahoma"/>
                <w:color w:val="000000"/>
                <w:sz w:val="20"/>
                <w:szCs w:val="20"/>
              </w:rPr>
            </w:pPr>
            <w:r w:rsidRPr="005A07E7">
              <w:rPr>
                <w:rFonts w:ascii="Tahoma" w:hAnsi="Tahoma" w:cs="Tahoma"/>
                <w:sz w:val="20"/>
                <w:szCs w:val="20"/>
              </w:rPr>
              <w:t xml:space="preserve">Заёмщик вправе отказаться от получения кредита полностью или частично, уведомив об этом Банк до истечения установленного Договором срока его предоставления. </w:t>
            </w:r>
          </w:p>
        </w:tc>
      </w:tr>
      <w:tr w:rsidR="009D1253" w:rsidRPr="005A07E7" w14:paraId="5A147B4C"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tcPr>
          <w:p w14:paraId="0D2500C4"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Срок действия решения о предоставлении Кредита</w:t>
            </w:r>
          </w:p>
        </w:tc>
        <w:tc>
          <w:tcPr>
            <w:tcW w:w="3525" w:type="pct"/>
            <w:tcBorders>
              <w:top w:val="single" w:sz="4" w:space="0" w:color="auto"/>
              <w:left w:val="nil"/>
              <w:bottom w:val="single" w:sz="4" w:space="0" w:color="auto"/>
              <w:right w:val="single" w:sz="8" w:space="0" w:color="000000"/>
            </w:tcBorders>
            <w:noWrap/>
            <w:vAlign w:val="center"/>
          </w:tcPr>
          <w:p w14:paraId="5F9B0B7C"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30 календарных дней</w:t>
            </w:r>
            <w:r>
              <w:rPr>
                <w:rFonts w:ascii="Tahoma" w:hAnsi="Tahoma" w:cs="Tahoma"/>
                <w:sz w:val="20"/>
                <w:szCs w:val="20"/>
              </w:rPr>
              <w:t xml:space="preserve"> с даты принятия Банком решения</w:t>
            </w:r>
          </w:p>
        </w:tc>
      </w:tr>
      <w:tr w:rsidR="009D1253" w:rsidRPr="005A07E7" w14:paraId="7B8EF112"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301"/>
        </w:trPr>
        <w:tc>
          <w:tcPr>
            <w:tcW w:w="1475" w:type="pct"/>
            <w:tcBorders>
              <w:top w:val="single" w:sz="4" w:space="0" w:color="auto"/>
              <w:left w:val="single" w:sz="8" w:space="0" w:color="auto"/>
              <w:bottom w:val="single" w:sz="4" w:space="0" w:color="auto"/>
              <w:right w:val="single" w:sz="4" w:space="0" w:color="auto"/>
            </w:tcBorders>
            <w:vAlign w:val="center"/>
          </w:tcPr>
          <w:p w14:paraId="5ECAF7FC"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Способы обеспечения исполнения обязательств по Договору «Потребительский кредит под залог транспортного средства»</w:t>
            </w:r>
          </w:p>
        </w:tc>
        <w:tc>
          <w:tcPr>
            <w:tcW w:w="3525" w:type="pct"/>
            <w:tcBorders>
              <w:top w:val="single" w:sz="4" w:space="0" w:color="auto"/>
              <w:left w:val="nil"/>
              <w:bottom w:val="single" w:sz="4" w:space="0" w:color="auto"/>
              <w:right w:val="single" w:sz="8" w:space="0" w:color="000000"/>
            </w:tcBorders>
            <w:noWrap/>
            <w:vAlign w:val="center"/>
          </w:tcPr>
          <w:p w14:paraId="2B987589"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1)</w:t>
            </w:r>
            <w:r w:rsidRPr="005A07E7">
              <w:rPr>
                <w:rFonts w:ascii="Tahoma" w:hAnsi="Tahoma" w:cs="Tahoma"/>
                <w:color w:val="000000"/>
                <w:sz w:val="20"/>
                <w:szCs w:val="20"/>
              </w:rPr>
              <w:t xml:space="preserve"> Залог приобретаемого Заёмщиком за счет кредитных средств Банка ТС</w:t>
            </w:r>
          </w:p>
          <w:p w14:paraId="12E1CD55"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2) Неустойка (штраф, пеня). В случае нарушения обязательств по Договору с Заёмщика может быть взыскана неустойка в сумм</w:t>
            </w:r>
            <w:r>
              <w:rPr>
                <w:rFonts w:ascii="Tahoma" w:hAnsi="Tahoma" w:cs="Tahoma"/>
                <w:sz w:val="20"/>
                <w:szCs w:val="20"/>
              </w:rPr>
              <w:t xml:space="preserve">е </w:t>
            </w:r>
            <w:r w:rsidRPr="005A07E7">
              <w:rPr>
                <w:rFonts w:ascii="Tahoma" w:hAnsi="Tahoma" w:cs="Tahoma"/>
                <w:sz w:val="20"/>
                <w:szCs w:val="20"/>
              </w:rPr>
              <w:t>и порядке, определенных Сторонами в соответствии с законодательством РФ и Индивидуальными условиями Договора.</w:t>
            </w:r>
            <w:r w:rsidRPr="005A07E7">
              <w:rPr>
                <w:rFonts w:ascii="Tahoma" w:hAnsi="Tahoma" w:cs="Tahoma"/>
                <w:sz w:val="20"/>
                <w:szCs w:val="20"/>
              </w:rPr>
              <w:fldChar w:fldCharType="begin"/>
            </w:r>
            <w:r w:rsidRPr="005A07E7">
              <w:rPr>
                <w:rFonts w:ascii="Tahoma" w:hAnsi="Tahoma" w:cs="Tahoma"/>
                <w:sz w:val="20"/>
                <w:szCs w:val="20"/>
              </w:rPr>
              <w:instrText xml:space="preserve"> DOCVARIABLE  ATB_ADDRESS_FACT </w:instrText>
            </w:r>
            <w:r w:rsidRPr="005A07E7">
              <w:rPr>
                <w:rFonts w:ascii="Tahoma" w:hAnsi="Tahoma" w:cs="Tahoma"/>
                <w:sz w:val="20"/>
                <w:szCs w:val="20"/>
              </w:rPr>
              <w:fldChar w:fldCharType="end"/>
            </w:r>
          </w:p>
        </w:tc>
      </w:tr>
      <w:tr w:rsidR="009D1253" w:rsidRPr="005A07E7" w14:paraId="26A2E990"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01"/>
        </w:trPr>
        <w:tc>
          <w:tcPr>
            <w:tcW w:w="1475" w:type="pct"/>
            <w:tcBorders>
              <w:top w:val="single" w:sz="4" w:space="0" w:color="auto"/>
              <w:left w:val="single" w:sz="8" w:space="0" w:color="auto"/>
              <w:bottom w:val="single" w:sz="4" w:space="0" w:color="auto"/>
              <w:right w:val="single" w:sz="4" w:space="0" w:color="000000"/>
            </w:tcBorders>
            <w:shd w:val="clear" w:color="auto" w:fill="auto"/>
            <w:vAlign w:val="center"/>
          </w:tcPr>
          <w:p w14:paraId="35C32C69"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Способы возврата  Заёмщиком Кредита и уплаты процентов по нему, включая бесплатный способ исполнения Заёмщиком обязательств по Договору «Потребительский кредит под залог транспортного средства»</w:t>
            </w:r>
          </w:p>
        </w:tc>
        <w:tc>
          <w:tcPr>
            <w:tcW w:w="3525" w:type="pct"/>
            <w:tcBorders>
              <w:top w:val="single" w:sz="4" w:space="0" w:color="auto"/>
              <w:left w:val="nil"/>
              <w:bottom w:val="single" w:sz="4" w:space="0" w:color="auto"/>
              <w:right w:val="single" w:sz="8" w:space="0" w:color="000000"/>
            </w:tcBorders>
            <w:shd w:val="clear" w:color="auto" w:fill="auto"/>
            <w:vAlign w:val="center"/>
          </w:tcPr>
          <w:p w14:paraId="1B8B8F24"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Погашение Заёмщиком обязательств по Договору осуществляется в сумме и сроки предусмотренные Договором (в т.ч. при досрочном частичном или полном возврате Кредита) производится любым способом по выбору Заёмщика, в том числе: посредством внесения денежных средств в сумме обязательства на ТБС Заёмщика через терминалы самообслуживания Банка (при их наличии в населенном пункте по месту получения Заёмщиком оферты)</w:t>
            </w:r>
            <w:r>
              <w:rPr>
                <w:rFonts w:ascii="Tahoma" w:hAnsi="Tahoma" w:cs="Tahoma"/>
                <w:sz w:val="20"/>
                <w:szCs w:val="20"/>
              </w:rPr>
              <w:t>/</w:t>
            </w:r>
            <w:r w:rsidRPr="005A07E7">
              <w:rPr>
                <w:rFonts w:ascii="Tahoma" w:hAnsi="Tahoma" w:cs="Tahoma"/>
                <w:sz w:val="20"/>
                <w:szCs w:val="20"/>
              </w:rPr>
              <w:t xml:space="preserve"> кассы Банка, перевод через работодателя Заёмщика, перевод со счёта в Банке на ТБС Заёмщика, перевод через отделения АО «Почта России», перевод через инте</w:t>
            </w:r>
            <w:r>
              <w:rPr>
                <w:rFonts w:ascii="Tahoma" w:hAnsi="Tahoma" w:cs="Tahoma"/>
                <w:sz w:val="20"/>
                <w:szCs w:val="20"/>
              </w:rPr>
              <w:t>рнет-системы «АТБ-Онлайн», «АТБ Банк</w:t>
            </w:r>
            <w:r w:rsidRPr="005A07E7">
              <w:rPr>
                <w:rFonts w:ascii="Tahoma" w:hAnsi="Tahoma" w:cs="Tahoma"/>
                <w:sz w:val="20"/>
                <w:szCs w:val="20"/>
              </w:rPr>
              <w:t xml:space="preserve">», иные кредитные организации (по предусмотренным ими тарифам). </w:t>
            </w:r>
          </w:p>
          <w:p w14:paraId="53FF0722"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Могут использоваться иные, не противоречащие законодательству РФ способы.</w:t>
            </w:r>
          </w:p>
          <w:p w14:paraId="79C17FE3" w14:textId="77777777" w:rsidR="009D1253"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Заёмщик вносит на ТБС денежные средства любыми из перечисленных выше способов, при этом он обязан учесть время, затрачиваемое на безналичное перечисление денежных средств, выходные и праздничные дни. Если установленный Договором последний день срока платежа отсутствует в календарном месяце, Заёмщик обязан внести денежные средства на ТБС не позднее последнего календарного рабочего дня месяца; если последний день срока платежа приходится на выходные/нерабочие праздничные дни, Заёмщик обязан внести денежные средства на ТБС не позднее 1-го рабочего дня, следующего за выходным/нерабочим праздничным днем. Указанная обязанность должна быть исполнена Заёмщиком в операционный день Банка.</w:t>
            </w:r>
          </w:p>
          <w:p w14:paraId="0F540DD2" w14:textId="77777777" w:rsidR="009D1253" w:rsidRPr="005A07E7" w:rsidRDefault="009D1253" w:rsidP="009D1253">
            <w:pPr>
              <w:widowControl w:val="0"/>
              <w:tabs>
                <w:tab w:val="left" w:pos="426"/>
                <w:tab w:val="left" w:pos="851"/>
              </w:tabs>
              <w:jc w:val="both"/>
              <w:rPr>
                <w:rFonts w:ascii="Tahoma" w:hAnsi="Tahoma" w:cs="Tahoma"/>
                <w:sz w:val="20"/>
                <w:szCs w:val="20"/>
              </w:rPr>
            </w:pPr>
            <w:r>
              <w:rPr>
                <w:rFonts w:ascii="Tahoma" w:hAnsi="Tahoma" w:cs="Tahoma"/>
                <w:sz w:val="20"/>
                <w:szCs w:val="20"/>
              </w:rPr>
              <w:t>Бесплатный способ исполнения Заёмщиком обязательств по Договору производится путем внесения денежных средств в сумме обязательства на ТБС Заёмщика через терминалы самообслуживания Банка (при их наличии в населенном пункте по месту получения Заёмщиком оферты)/ кассы Банка, перевод через работодателя Заёмщика, с использованием сервиса Системы быстрых платежей (в рамках бесплатных лимитов, установленных тарифами сервиса). В случае изменений, информация доводится до Заемщика в соответствии с Общими условиями кредитования.</w:t>
            </w:r>
          </w:p>
        </w:tc>
      </w:tr>
      <w:tr w:rsidR="009D1253" w:rsidRPr="005A07E7" w14:paraId="6AB4E067"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01"/>
        </w:trPr>
        <w:tc>
          <w:tcPr>
            <w:tcW w:w="1475" w:type="pct"/>
            <w:tcBorders>
              <w:top w:val="single" w:sz="4" w:space="0" w:color="auto"/>
              <w:left w:val="single" w:sz="8" w:space="0" w:color="auto"/>
              <w:bottom w:val="single" w:sz="4" w:space="0" w:color="auto"/>
              <w:right w:val="single" w:sz="4" w:space="0" w:color="000000"/>
            </w:tcBorders>
            <w:shd w:val="clear" w:color="auto" w:fill="auto"/>
            <w:vAlign w:val="center"/>
          </w:tcPr>
          <w:p w14:paraId="52E6FC99"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Порядок погашения Заёмщиком задолженности по Кредиту</w:t>
            </w:r>
          </w:p>
        </w:tc>
        <w:tc>
          <w:tcPr>
            <w:tcW w:w="3525" w:type="pct"/>
            <w:tcBorders>
              <w:top w:val="single" w:sz="4" w:space="0" w:color="auto"/>
              <w:left w:val="nil"/>
              <w:bottom w:val="single" w:sz="4" w:space="0" w:color="auto"/>
              <w:right w:val="single" w:sz="8" w:space="0" w:color="000000"/>
            </w:tcBorders>
            <w:shd w:val="clear" w:color="auto" w:fill="auto"/>
            <w:vAlign w:val="center"/>
          </w:tcPr>
          <w:p w14:paraId="027557C5" w14:textId="77777777" w:rsidR="009D1253" w:rsidRPr="005A07E7" w:rsidRDefault="009D1253" w:rsidP="009D1253">
            <w:pPr>
              <w:widowControl w:val="0"/>
              <w:tabs>
                <w:tab w:val="left" w:pos="426"/>
                <w:tab w:val="left" w:pos="851"/>
              </w:tabs>
              <w:jc w:val="both"/>
              <w:rPr>
                <w:rFonts w:ascii="Tahoma" w:hAnsi="Tahoma" w:cs="Tahoma"/>
                <w:sz w:val="20"/>
                <w:szCs w:val="20"/>
              </w:rPr>
            </w:pPr>
            <w:r>
              <w:rPr>
                <w:rFonts w:ascii="Tahoma" w:hAnsi="Tahoma" w:cs="Tahoma"/>
                <w:sz w:val="20"/>
                <w:szCs w:val="20"/>
              </w:rPr>
              <w:t>Определен УДБО.</w:t>
            </w:r>
          </w:p>
        </w:tc>
      </w:tr>
      <w:tr w:rsidR="009D1253" w:rsidRPr="005A07E7" w14:paraId="1241A500"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344"/>
        </w:trPr>
        <w:tc>
          <w:tcPr>
            <w:tcW w:w="1475" w:type="pct"/>
            <w:tcBorders>
              <w:top w:val="single" w:sz="4" w:space="0" w:color="auto"/>
              <w:left w:val="single" w:sz="8" w:space="0" w:color="auto"/>
              <w:bottom w:val="single" w:sz="4" w:space="0" w:color="auto"/>
              <w:right w:val="single" w:sz="4" w:space="0" w:color="000000"/>
            </w:tcBorders>
            <w:vAlign w:val="center"/>
          </w:tcPr>
          <w:p w14:paraId="3811C655" w14:textId="77777777" w:rsidR="009D1253" w:rsidRPr="005A07E7" w:rsidRDefault="009D1253" w:rsidP="009D1253">
            <w:pPr>
              <w:rPr>
                <w:rFonts w:ascii="Tahoma" w:hAnsi="Tahoma" w:cs="Tahoma"/>
                <w:b/>
                <w:sz w:val="20"/>
                <w:szCs w:val="20"/>
              </w:rPr>
            </w:pPr>
            <w:r w:rsidRPr="005A07E7">
              <w:rPr>
                <w:rFonts w:ascii="Tahoma" w:hAnsi="Tahoma" w:cs="Tahoma"/>
                <w:b/>
                <w:color w:val="000000"/>
                <w:sz w:val="20"/>
                <w:szCs w:val="20"/>
              </w:rPr>
              <w:t xml:space="preserve">Ответственность Заёмщика за ненадлежащее исполнение Договора </w:t>
            </w:r>
          </w:p>
        </w:tc>
        <w:tc>
          <w:tcPr>
            <w:tcW w:w="3525" w:type="pct"/>
            <w:tcBorders>
              <w:top w:val="single" w:sz="4" w:space="0" w:color="auto"/>
              <w:left w:val="nil"/>
              <w:bottom w:val="single" w:sz="4" w:space="0" w:color="auto"/>
              <w:right w:val="single" w:sz="8" w:space="0" w:color="000000"/>
            </w:tcBorders>
            <w:vAlign w:val="center"/>
          </w:tcPr>
          <w:p w14:paraId="1CF27F7A" w14:textId="77777777" w:rsidR="009D1253" w:rsidRPr="005A07E7" w:rsidRDefault="009D1253" w:rsidP="009D1253">
            <w:pPr>
              <w:widowControl w:val="0"/>
              <w:jc w:val="both"/>
              <w:rPr>
                <w:rFonts w:ascii="Tahoma" w:hAnsi="Tahoma" w:cs="Tahoma"/>
                <w:sz w:val="20"/>
                <w:szCs w:val="20"/>
              </w:rPr>
            </w:pPr>
            <w:r w:rsidRPr="005A07E7">
              <w:rPr>
                <w:rFonts w:ascii="Tahoma" w:hAnsi="Tahoma" w:cs="Tahoma"/>
                <w:sz w:val="20"/>
                <w:szCs w:val="20"/>
              </w:rPr>
              <w:t xml:space="preserve">В случае нарушения Заёмщиком сроков возврата Кредита и/или уплаты процентов на сумму Кредита Заёмщик уплачивает Банку неустойку в размере 20% годовых от суммы просроченной задолженности за каждый день нарушения срока уплаты. </w:t>
            </w:r>
          </w:p>
          <w:p w14:paraId="1E112192" w14:textId="77777777" w:rsidR="009D1253" w:rsidRPr="005A07E7" w:rsidRDefault="009D1253" w:rsidP="009D1253">
            <w:pPr>
              <w:widowControl w:val="0"/>
              <w:tabs>
                <w:tab w:val="left" w:pos="426"/>
                <w:tab w:val="left" w:pos="851"/>
              </w:tabs>
              <w:jc w:val="both"/>
              <w:rPr>
                <w:rFonts w:ascii="Tahoma" w:eastAsia="Calibri" w:hAnsi="Tahoma" w:cs="Tahoma"/>
                <w:sz w:val="20"/>
                <w:szCs w:val="20"/>
              </w:rPr>
            </w:pPr>
            <w:r w:rsidRPr="005A07E7">
              <w:rPr>
                <w:rFonts w:ascii="Tahoma" w:hAnsi="Tahoma" w:cs="Tahoma"/>
                <w:sz w:val="20"/>
                <w:szCs w:val="20"/>
              </w:rPr>
              <w:t xml:space="preserve">В случае нарушения Заёмщиком сроков возврата суммы Кредита (основного долга) и/или уплаты процентов </w:t>
            </w:r>
            <w:r w:rsidRPr="005A07E7">
              <w:rPr>
                <w:rFonts w:ascii="Tahoma" w:hAnsi="Tahoma" w:cs="Tahoma"/>
                <w:sz w:val="20"/>
                <w:szCs w:val="20"/>
              </w:rPr>
              <w:lastRenderedPageBreak/>
              <w:t>продолжительностью (общей продолжительностью) более чем 60 календарных дней в течение последних 180 календарных дней, Банк вправе потребовать от Заёмщика досрочного возврата оставшейся суммы Кредита вместе с причитающимися процентами и/или расторжения Договора, уведомив об этом Заёмщика способом, установленным Договором. В таком случае Заёмщик обязан вернуть Банку оставшуюся сумму Кредита и уплатить все причитающиеся Банку проценты и неустойки в течение 30 календарных дней с момента направления Банком уведомления Заёмщику, если иной, более продолжительный срок не указан Банком в таком уведомлении.</w:t>
            </w:r>
          </w:p>
        </w:tc>
      </w:tr>
      <w:tr w:rsidR="009D1253" w:rsidRPr="005A07E7" w14:paraId="6471A7F8" w14:textId="77777777" w:rsidTr="009D1253">
        <w:tblPrEx>
          <w:tblLook w:val="00A0" w:firstRow="1" w:lastRow="0" w:firstColumn="1" w:lastColumn="0" w:noHBand="0" w:noVBand="0"/>
        </w:tblPrEx>
        <w:trPr>
          <w:trHeight w:val="1000"/>
        </w:trPr>
        <w:tc>
          <w:tcPr>
            <w:tcW w:w="1475" w:type="pct"/>
            <w:tcBorders>
              <w:top w:val="single" w:sz="4" w:space="0" w:color="auto"/>
              <w:left w:val="single" w:sz="8" w:space="0" w:color="auto"/>
              <w:bottom w:val="single" w:sz="4" w:space="0" w:color="auto"/>
              <w:right w:val="single" w:sz="4" w:space="0" w:color="000000"/>
            </w:tcBorders>
            <w:vAlign w:val="center"/>
          </w:tcPr>
          <w:p w14:paraId="7B63A4FF"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lastRenderedPageBreak/>
              <w:t>Информация о возможности запрета уступки Кредитором третьим лицам прав (требований) по Договору «Потребительский кредит под залог транспортного средства»</w:t>
            </w:r>
          </w:p>
        </w:tc>
        <w:tc>
          <w:tcPr>
            <w:tcW w:w="3525" w:type="pct"/>
            <w:tcBorders>
              <w:top w:val="single" w:sz="4" w:space="0" w:color="auto"/>
              <w:left w:val="nil"/>
              <w:bottom w:val="single" w:sz="4" w:space="0" w:color="auto"/>
              <w:right w:val="single" w:sz="8" w:space="0" w:color="000000"/>
            </w:tcBorders>
            <w:vAlign w:val="center"/>
          </w:tcPr>
          <w:p w14:paraId="38BDCD16"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Заёмщик вправе запретить уступку Банком третьим лицам прав (требований) по Договору.</w:t>
            </w:r>
          </w:p>
        </w:tc>
      </w:tr>
      <w:tr w:rsidR="009D1253" w:rsidRPr="005A07E7" w14:paraId="3DC8307B"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303"/>
        </w:trPr>
        <w:tc>
          <w:tcPr>
            <w:tcW w:w="1475" w:type="pct"/>
            <w:tcBorders>
              <w:top w:val="single" w:sz="4" w:space="0" w:color="auto"/>
              <w:left w:val="single" w:sz="8" w:space="0" w:color="auto"/>
              <w:bottom w:val="single" w:sz="4" w:space="0" w:color="auto"/>
              <w:right w:val="single" w:sz="4" w:space="0" w:color="000000"/>
            </w:tcBorders>
            <w:vAlign w:val="center"/>
          </w:tcPr>
          <w:p w14:paraId="7745D345"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 xml:space="preserve">Порядок предоставления Заёмщиком информации об использовании Кредита </w:t>
            </w:r>
          </w:p>
        </w:tc>
        <w:tc>
          <w:tcPr>
            <w:tcW w:w="3525" w:type="pct"/>
            <w:tcBorders>
              <w:top w:val="single" w:sz="4" w:space="0" w:color="auto"/>
              <w:left w:val="nil"/>
              <w:bottom w:val="single" w:sz="4" w:space="0" w:color="auto"/>
              <w:right w:val="single" w:sz="8" w:space="0" w:color="000000"/>
            </w:tcBorders>
            <w:vAlign w:val="center"/>
          </w:tcPr>
          <w:p w14:paraId="4CC6F9C6"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При заключении Договора «Потребительский кредит под залог транспортного средства»</w:t>
            </w:r>
            <w:r w:rsidRPr="005A07E7">
              <w:rPr>
                <w:rFonts w:ascii="Tahoma" w:hAnsi="Tahoma" w:cs="Tahoma"/>
                <w:b/>
                <w:sz w:val="20"/>
                <w:szCs w:val="20"/>
              </w:rPr>
              <w:t xml:space="preserve"> </w:t>
            </w:r>
            <w:r w:rsidRPr="005A07E7">
              <w:rPr>
                <w:rFonts w:ascii="Tahoma" w:hAnsi="Tahoma" w:cs="Tahoma"/>
                <w:sz w:val="20"/>
                <w:szCs w:val="20"/>
              </w:rPr>
              <w:t>Заёмщик предоставляет Банку копии документов, подтверждающих приобретение ТС, а также иных товаров, работ, услуг (при их наличии).</w:t>
            </w:r>
          </w:p>
          <w:p w14:paraId="0868F694" w14:textId="77777777" w:rsidR="009D1253" w:rsidRPr="005A07E7" w:rsidRDefault="009D1253" w:rsidP="009D1253">
            <w:pPr>
              <w:jc w:val="both"/>
              <w:rPr>
                <w:rFonts w:ascii="Tahoma" w:hAnsi="Tahoma" w:cs="Tahoma"/>
                <w:sz w:val="20"/>
                <w:szCs w:val="20"/>
              </w:rPr>
            </w:pPr>
          </w:p>
        </w:tc>
      </w:tr>
      <w:tr w:rsidR="009D1253" w:rsidRPr="005A07E7" w14:paraId="7ADF2FDD" w14:textId="77777777" w:rsidTr="009D1253">
        <w:tblPrEx>
          <w:tblLook w:val="00A0" w:firstRow="1" w:lastRow="0" w:firstColumn="1" w:lastColumn="0" w:noHBand="0" w:noVBand="0"/>
        </w:tblPrEx>
        <w:trPr>
          <w:trHeight w:val="395"/>
        </w:trPr>
        <w:tc>
          <w:tcPr>
            <w:tcW w:w="1475" w:type="pct"/>
            <w:tcBorders>
              <w:top w:val="single" w:sz="4" w:space="0" w:color="auto"/>
              <w:left w:val="single" w:sz="8" w:space="0" w:color="auto"/>
              <w:bottom w:val="single" w:sz="4" w:space="0" w:color="auto"/>
              <w:right w:val="single" w:sz="4" w:space="0" w:color="000000"/>
            </w:tcBorders>
            <w:vAlign w:val="center"/>
          </w:tcPr>
          <w:p w14:paraId="43F8B8AC"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Подсудность споров по искам Кредитора к Заёмщику</w:t>
            </w:r>
          </w:p>
        </w:tc>
        <w:tc>
          <w:tcPr>
            <w:tcW w:w="3525" w:type="pct"/>
            <w:tcBorders>
              <w:top w:val="single" w:sz="4" w:space="0" w:color="auto"/>
              <w:left w:val="nil"/>
              <w:bottom w:val="single" w:sz="4" w:space="0" w:color="auto"/>
              <w:right w:val="single" w:sz="8" w:space="0" w:color="000000"/>
            </w:tcBorders>
            <w:vAlign w:val="center"/>
          </w:tcPr>
          <w:p w14:paraId="37D17E18"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Неурегулированные споры по искам Банка к Заёмщику рассматриваются в порядке, установленном законодательством РФ. Взыскание задолженности по Договору может производиться по исполнительной надписи нотариуса, совершаемой на основании заявления Банка.</w:t>
            </w:r>
          </w:p>
        </w:tc>
      </w:tr>
      <w:tr w:rsidR="009D1253" w:rsidRPr="00026641" w14:paraId="7407769C" w14:textId="77777777" w:rsidTr="009D1253">
        <w:tblPrEx>
          <w:tblLook w:val="00A0" w:firstRow="1" w:lastRow="0" w:firstColumn="1" w:lastColumn="0" w:noHBand="0" w:noVBand="0"/>
        </w:tblPrEx>
        <w:trPr>
          <w:trHeight w:val="263"/>
        </w:trPr>
        <w:tc>
          <w:tcPr>
            <w:tcW w:w="1475" w:type="pct"/>
            <w:tcBorders>
              <w:top w:val="single" w:sz="4" w:space="0" w:color="auto"/>
              <w:left w:val="single" w:sz="8" w:space="0" w:color="auto"/>
              <w:bottom w:val="single" w:sz="4" w:space="0" w:color="auto"/>
              <w:right w:val="single" w:sz="4" w:space="0" w:color="000000"/>
            </w:tcBorders>
            <w:vAlign w:val="center"/>
          </w:tcPr>
          <w:p w14:paraId="5F3C269F"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Формуляры или иные стандартные формы, в которых определены общие условия договора «Потребительский кредит под залог транспортного средства»</w:t>
            </w:r>
          </w:p>
        </w:tc>
        <w:tc>
          <w:tcPr>
            <w:tcW w:w="3525" w:type="pct"/>
            <w:tcBorders>
              <w:top w:val="single" w:sz="4" w:space="0" w:color="auto"/>
              <w:left w:val="nil"/>
              <w:bottom w:val="single" w:sz="4" w:space="0" w:color="auto"/>
              <w:right w:val="single" w:sz="8" w:space="0" w:color="000000"/>
            </w:tcBorders>
            <w:vAlign w:val="center"/>
          </w:tcPr>
          <w:p w14:paraId="21A28CFC" w14:textId="77777777" w:rsidR="009D1253" w:rsidRPr="00026641"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Общие условия Договора «Потребительский кредит под залог транспортного средства» закреплены в «Общих условиях потребительского кредитования в «Азиатско-Тихоокеанский Банк» (АО)», являющихся Приложением № 3 к Универсальному договору банковского обслуживания физических лиц «Азиатско-Тихоокеанский Банк» (АО), размещённых в местах приема заявлений на предоставление потребительского кредита под залог транспортного средства (в отделениях Банка и иных местах приема заявлений на предоставление потребительского кредита под залог транспортного средства), на сайте Банка в сети Интернет по адресу www.atb.su и могут быть предоставлены Заемщику по его требованию на бумажном носителе.</w:t>
            </w:r>
          </w:p>
        </w:tc>
      </w:tr>
      <w:tr w:rsidR="009D1253" w:rsidRPr="00026641" w14:paraId="763AAE52" w14:textId="77777777" w:rsidTr="009D1253">
        <w:tblPrEx>
          <w:tblLook w:val="00A0" w:firstRow="1" w:lastRow="0" w:firstColumn="1" w:lastColumn="0" w:noHBand="0" w:noVBand="0"/>
        </w:tblPrEx>
        <w:trPr>
          <w:trHeight w:val="263"/>
        </w:trPr>
        <w:tc>
          <w:tcPr>
            <w:tcW w:w="1475" w:type="pct"/>
            <w:tcBorders>
              <w:top w:val="single" w:sz="4" w:space="0" w:color="auto"/>
              <w:left w:val="single" w:sz="8" w:space="0" w:color="auto"/>
              <w:bottom w:val="single" w:sz="4" w:space="0" w:color="auto"/>
              <w:right w:val="single" w:sz="4" w:space="0" w:color="000000"/>
            </w:tcBorders>
            <w:vAlign w:val="center"/>
          </w:tcPr>
          <w:p w14:paraId="5D5E416C" w14:textId="77777777" w:rsidR="009D1253" w:rsidRPr="005A07E7" w:rsidRDefault="009D1253" w:rsidP="009D1253">
            <w:pPr>
              <w:jc w:val="both"/>
              <w:rPr>
                <w:rFonts w:ascii="Tahoma" w:hAnsi="Tahoma" w:cs="Tahoma"/>
                <w:b/>
                <w:sz w:val="20"/>
                <w:szCs w:val="20"/>
              </w:rPr>
            </w:pPr>
            <w:r w:rsidRPr="00695066">
              <w:rPr>
                <w:rFonts w:ascii="Tahoma" w:hAnsi="Tahoma" w:cs="Tahoma"/>
                <w:b/>
                <w:bCs/>
                <w:sz w:val="20"/>
                <w:szCs w:val="20"/>
              </w:rPr>
              <w:t>Право заемщика обратиться к кредитору с требованием, предусмотренным частью 1 статьи 6.1-2 Федерального закона от 21.12.2013 № 353-ФЗ «О потребительском кредите (займе)», и об условиях, при наступлении которых у заемщика возникает соответствующее право.</w:t>
            </w:r>
          </w:p>
        </w:tc>
        <w:tc>
          <w:tcPr>
            <w:tcW w:w="3525" w:type="pct"/>
            <w:tcBorders>
              <w:top w:val="single" w:sz="4" w:space="0" w:color="auto"/>
              <w:left w:val="nil"/>
              <w:bottom w:val="single" w:sz="4" w:space="0" w:color="auto"/>
              <w:right w:val="single" w:sz="8" w:space="0" w:color="000000"/>
            </w:tcBorders>
            <w:vAlign w:val="center"/>
          </w:tcPr>
          <w:p w14:paraId="0400A4BB" w14:textId="77777777" w:rsidR="009D1253" w:rsidRPr="00695066" w:rsidRDefault="009D1253" w:rsidP="009D1253">
            <w:pPr>
              <w:widowControl w:val="0"/>
              <w:tabs>
                <w:tab w:val="left" w:pos="426"/>
                <w:tab w:val="left" w:pos="851"/>
              </w:tabs>
              <w:jc w:val="both"/>
              <w:rPr>
                <w:rFonts w:ascii="Tahoma" w:hAnsi="Tahoma" w:cs="Tahoma"/>
                <w:sz w:val="20"/>
                <w:szCs w:val="20"/>
              </w:rPr>
            </w:pPr>
            <w:r w:rsidRPr="00695066">
              <w:rPr>
                <w:rFonts w:ascii="Tahoma" w:hAnsi="Tahoma" w:cs="Tahoma"/>
                <w:sz w:val="20"/>
                <w:szCs w:val="20"/>
              </w:rPr>
              <w:t xml:space="preserve">Заемщик в любой момент в течение времени действия Договора, а в случае, указанном в п. 2 ч. 2 ст. 6.1-2 Закона № 353-ФЗ, в течение шестидесяти дней со дня установления соответствующих фактов, вправе обратиться к кредитору с требованием о предоставлении льготного периода, предусматривающего приостановление исполнения Заемщиком своих обязательств по Договору. </w:t>
            </w:r>
          </w:p>
          <w:p w14:paraId="27BC3AE7" w14:textId="77777777" w:rsidR="009D1253" w:rsidRPr="00695066" w:rsidRDefault="009D1253" w:rsidP="009D1253">
            <w:pPr>
              <w:widowControl w:val="0"/>
              <w:tabs>
                <w:tab w:val="left" w:pos="426"/>
                <w:tab w:val="left" w:pos="851"/>
              </w:tabs>
              <w:jc w:val="both"/>
              <w:rPr>
                <w:rFonts w:ascii="Tahoma" w:hAnsi="Tahoma" w:cs="Tahoma"/>
                <w:sz w:val="20"/>
                <w:szCs w:val="20"/>
              </w:rPr>
            </w:pPr>
            <w:r w:rsidRPr="00695066">
              <w:rPr>
                <w:rFonts w:ascii="Tahoma" w:hAnsi="Tahoma" w:cs="Tahoma"/>
                <w:sz w:val="20"/>
                <w:szCs w:val="20"/>
              </w:rPr>
              <w:t xml:space="preserve">С условиями, при наступлении которых у Заемщика возникает такое право, можно ознакомиться в размещаемой Банком информации о кредитных каникулах в рамках 353-ФЗ, в том числе на сайте Банка </w:t>
            </w:r>
          </w:p>
          <w:p w14:paraId="7B2C86C2" w14:textId="77777777" w:rsidR="009D1253" w:rsidRPr="005A07E7" w:rsidRDefault="009D1253" w:rsidP="009D1253">
            <w:pPr>
              <w:widowControl w:val="0"/>
              <w:tabs>
                <w:tab w:val="left" w:pos="426"/>
                <w:tab w:val="left" w:pos="851"/>
              </w:tabs>
              <w:jc w:val="both"/>
              <w:rPr>
                <w:rFonts w:ascii="Tahoma" w:hAnsi="Tahoma" w:cs="Tahoma"/>
                <w:sz w:val="20"/>
                <w:szCs w:val="20"/>
              </w:rPr>
            </w:pPr>
            <w:hyperlink r:id="rId57" w:history="1">
              <w:r w:rsidRPr="00695066">
                <w:rPr>
                  <w:rStyle w:val="aff"/>
                  <w:rFonts w:ascii="Tahoma" w:hAnsi="Tahoma" w:cs="Tahoma"/>
                  <w:sz w:val="20"/>
                  <w:szCs w:val="20"/>
                </w:rPr>
                <w:t>https://www.atb.su/customer-care-service/</w:t>
              </w:r>
            </w:hyperlink>
          </w:p>
        </w:tc>
      </w:tr>
    </w:tbl>
    <w:p w14:paraId="443E64B8" w14:textId="77777777" w:rsidR="009D1253" w:rsidRDefault="009D1253" w:rsidP="009D1253">
      <w:pPr>
        <w:autoSpaceDN w:val="0"/>
        <w:rPr>
          <w:rFonts w:ascii="Tahoma" w:hAnsi="Tahoma" w:cs="Tahoma"/>
          <w:color w:val="000000"/>
          <w:sz w:val="18"/>
          <w:szCs w:val="18"/>
          <w:vertAlign w:val="superscript"/>
        </w:rPr>
      </w:pPr>
    </w:p>
    <w:p w14:paraId="28AAB419" w14:textId="77777777" w:rsidR="009D1253" w:rsidRDefault="009D1253" w:rsidP="009D1253">
      <w:pPr>
        <w:rPr>
          <w:rFonts w:ascii="Tahoma" w:hAnsi="Tahoma" w:cs="Tahoma"/>
          <w:b/>
          <w:i/>
          <w:color w:val="E36C0A"/>
          <w:sz w:val="22"/>
        </w:rPr>
      </w:pPr>
    </w:p>
    <w:p w14:paraId="37CBE0F9" w14:textId="77777777" w:rsidR="009D1253" w:rsidRDefault="009D1253" w:rsidP="009D1253">
      <w:pPr>
        <w:rPr>
          <w:rFonts w:ascii="Tahoma" w:hAnsi="Tahoma" w:cs="Tahoma"/>
          <w:b/>
          <w:i/>
          <w:color w:val="E36C0A"/>
          <w:sz w:val="22"/>
        </w:rPr>
      </w:pPr>
    </w:p>
    <w:p w14:paraId="23828BA6" w14:textId="77777777" w:rsidR="009D1253" w:rsidRPr="00C9310A" w:rsidRDefault="009D1253" w:rsidP="000B3718">
      <w:pPr>
        <w:pStyle w:val="a5"/>
      </w:pPr>
      <w:bookmarkStart w:id="134" w:name="_Toc174636543"/>
      <w:r w:rsidRPr="00C9310A">
        <w:t>2.4.3.Тарифный план «Лёгкий Выбор»</w:t>
      </w:r>
      <w:bookmarkEnd w:id="134"/>
    </w:p>
    <w:tbl>
      <w:tblPr>
        <w:tblW w:w="4886"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24"/>
        <w:gridCol w:w="10812"/>
      </w:tblGrid>
      <w:tr w:rsidR="009D1253" w:rsidRPr="005A07E7" w14:paraId="4BC6F2BC" w14:textId="77777777" w:rsidTr="009D1253">
        <w:trPr>
          <w:trHeight w:val="455"/>
        </w:trPr>
        <w:tc>
          <w:tcPr>
            <w:tcW w:w="1475" w:type="pct"/>
            <w:shd w:val="clear" w:color="auto" w:fill="D9D9D9" w:themeFill="background1" w:themeFillShade="D9"/>
            <w:vAlign w:val="center"/>
          </w:tcPr>
          <w:p w14:paraId="623414F4" w14:textId="77777777" w:rsidR="009D1253" w:rsidRPr="005A07E7" w:rsidRDefault="009D1253" w:rsidP="009D1253">
            <w:pPr>
              <w:jc w:val="center"/>
              <w:rPr>
                <w:rFonts w:ascii="Tahoma" w:hAnsi="Tahoma" w:cs="Tahoma"/>
                <w:b/>
                <w:sz w:val="20"/>
                <w:szCs w:val="20"/>
              </w:rPr>
            </w:pPr>
            <w:r w:rsidRPr="005A07E7">
              <w:rPr>
                <w:rFonts w:ascii="Tahoma" w:hAnsi="Tahoma" w:cs="Tahoma"/>
                <w:b/>
                <w:sz w:val="20"/>
                <w:szCs w:val="20"/>
              </w:rPr>
              <w:t>Наименование продукта/</w:t>
            </w:r>
            <w:r w:rsidRPr="005A07E7" w:rsidDel="00A134C4">
              <w:rPr>
                <w:rFonts w:ascii="Tahoma" w:hAnsi="Tahoma" w:cs="Tahoma"/>
                <w:b/>
                <w:sz w:val="20"/>
                <w:szCs w:val="20"/>
              </w:rPr>
              <w:t xml:space="preserve"> </w:t>
            </w:r>
            <w:r w:rsidRPr="005A07E7">
              <w:rPr>
                <w:rFonts w:ascii="Tahoma" w:hAnsi="Tahoma" w:cs="Tahoma"/>
                <w:b/>
                <w:sz w:val="20"/>
                <w:szCs w:val="20"/>
              </w:rPr>
              <w:t>тарифного плана (ТП)</w:t>
            </w:r>
          </w:p>
        </w:tc>
        <w:tc>
          <w:tcPr>
            <w:tcW w:w="3525" w:type="pct"/>
            <w:shd w:val="clear" w:color="auto" w:fill="D9D9D9" w:themeFill="background1" w:themeFillShade="D9"/>
            <w:vAlign w:val="center"/>
          </w:tcPr>
          <w:p w14:paraId="0314B095" w14:textId="77777777" w:rsidR="009D1253" w:rsidRPr="005A07E7" w:rsidRDefault="009D1253" w:rsidP="009D1253">
            <w:pPr>
              <w:pStyle w:val="a9"/>
              <w:tabs>
                <w:tab w:val="left" w:pos="-284"/>
                <w:tab w:val="left" w:pos="851"/>
              </w:tabs>
              <w:spacing w:before="0" w:after="0"/>
              <w:ind w:right="849"/>
              <w:jc w:val="center"/>
              <w:rPr>
                <w:rFonts w:ascii="Tahoma" w:hAnsi="Tahoma" w:cs="Tahoma"/>
                <w:b/>
              </w:rPr>
            </w:pPr>
            <w:r w:rsidRPr="005A07E7">
              <w:rPr>
                <w:rFonts w:ascii="Tahoma" w:hAnsi="Tahoma" w:cs="Tahoma"/>
                <w:b/>
              </w:rPr>
              <w:t xml:space="preserve">«ЛЁГКИЙ </w:t>
            </w:r>
            <w:r>
              <w:rPr>
                <w:rFonts w:ascii="Tahoma" w:hAnsi="Tahoma" w:cs="Tahoma"/>
                <w:b/>
              </w:rPr>
              <w:t>ВЫБОР</w:t>
            </w:r>
            <w:r w:rsidRPr="005A07E7">
              <w:rPr>
                <w:rFonts w:ascii="Tahoma" w:hAnsi="Tahoma" w:cs="Tahoma"/>
                <w:b/>
              </w:rPr>
              <w:t>»</w:t>
            </w:r>
          </w:p>
        </w:tc>
      </w:tr>
      <w:tr w:rsidR="009D1253" w:rsidRPr="005A07E7" w14:paraId="485444BF" w14:textId="77777777" w:rsidTr="009D1253">
        <w:trPr>
          <w:trHeight w:val="455"/>
        </w:trPr>
        <w:tc>
          <w:tcPr>
            <w:tcW w:w="1475" w:type="pct"/>
            <w:shd w:val="clear" w:color="auto" w:fill="auto"/>
            <w:vAlign w:val="center"/>
          </w:tcPr>
          <w:p w14:paraId="2A5AEF64" w14:textId="77777777" w:rsidR="009D1253" w:rsidRPr="005A07E7" w:rsidRDefault="009D1253" w:rsidP="009D1253">
            <w:pPr>
              <w:rPr>
                <w:rFonts w:ascii="Tahoma" w:hAnsi="Tahoma" w:cs="Tahoma"/>
                <w:b/>
                <w:sz w:val="20"/>
                <w:szCs w:val="20"/>
              </w:rPr>
            </w:pPr>
            <w:r w:rsidRPr="005A07E7">
              <w:rPr>
                <w:rFonts w:ascii="Tahoma" w:hAnsi="Tahoma" w:cs="Tahoma"/>
                <w:b/>
                <w:bCs/>
                <w:sz w:val="20"/>
                <w:szCs w:val="20"/>
              </w:rPr>
              <w:lastRenderedPageBreak/>
              <w:t>Категория Заёмщика</w:t>
            </w:r>
          </w:p>
        </w:tc>
        <w:tc>
          <w:tcPr>
            <w:tcW w:w="3525" w:type="pct"/>
            <w:shd w:val="clear" w:color="auto" w:fill="auto"/>
            <w:vAlign w:val="center"/>
          </w:tcPr>
          <w:p w14:paraId="7D9E98AE" w14:textId="77777777" w:rsidR="009D1253" w:rsidRPr="005A07E7" w:rsidRDefault="009D1253" w:rsidP="009D1253">
            <w:pPr>
              <w:pStyle w:val="a9"/>
              <w:tabs>
                <w:tab w:val="left" w:pos="-284"/>
                <w:tab w:val="left" w:pos="851"/>
              </w:tabs>
              <w:spacing w:before="0" w:after="0"/>
              <w:ind w:right="849"/>
              <w:jc w:val="center"/>
              <w:rPr>
                <w:rFonts w:ascii="Tahoma" w:hAnsi="Tahoma" w:cs="Tahoma"/>
              </w:rPr>
            </w:pPr>
            <w:r w:rsidRPr="005A07E7">
              <w:rPr>
                <w:rFonts w:ascii="Tahoma" w:hAnsi="Tahoma" w:cs="Tahoma"/>
              </w:rPr>
              <w:t>Физические лица (имеющие официальное место работы и/или постоянный источник дохода)</w:t>
            </w:r>
          </w:p>
        </w:tc>
      </w:tr>
      <w:tr w:rsidR="009D1253" w:rsidRPr="005A07E7" w14:paraId="72207667" w14:textId="77777777" w:rsidTr="009D1253">
        <w:trPr>
          <w:trHeight w:val="250"/>
        </w:trPr>
        <w:tc>
          <w:tcPr>
            <w:tcW w:w="1475" w:type="pct"/>
            <w:vAlign w:val="center"/>
          </w:tcPr>
          <w:p w14:paraId="63DE1ED6"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Вид Кредита</w:t>
            </w:r>
          </w:p>
        </w:tc>
        <w:tc>
          <w:tcPr>
            <w:tcW w:w="3525" w:type="pct"/>
            <w:vAlign w:val="center"/>
          </w:tcPr>
          <w:p w14:paraId="5B51F492" w14:textId="77777777" w:rsidR="009D1253" w:rsidRPr="005A07E7" w:rsidRDefault="009D1253" w:rsidP="009D1253">
            <w:pPr>
              <w:pStyle w:val="a9"/>
              <w:tabs>
                <w:tab w:val="left" w:pos="-284"/>
                <w:tab w:val="left" w:pos="851"/>
              </w:tabs>
              <w:spacing w:before="0" w:after="0"/>
              <w:ind w:right="849"/>
              <w:jc w:val="center"/>
              <w:rPr>
                <w:rFonts w:ascii="Tahoma" w:hAnsi="Tahoma" w:cs="Tahoma"/>
              </w:rPr>
            </w:pPr>
            <w:r w:rsidRPr="005A07E7">
              <w:rPr>
                <w:rFonts w:ascii="Tahoma" w:hAnsi="Tahoma" w:cs="Tahoma"/>
              </w:rPr>
              <w:t>Потребительский кредит</w:t>
            </w:r>
          </w:p>
        </w:tc>
      </w:tr>
      <w:tr w:rsidR="009D1253" w:rsidRPr="005A07E7" w14:paraId="25FC3DAA" w14:textId="77777777" w:rsidTr="009D1253">
        <w:trPr>
          <w:trHeight w:val="250"/>
        </w:trPr>
        <w:tc>
          <w:tcPr>
            <w:tcW w:w="1475" w:type="pct"/>
            <w:vAlign w:val="center"/>
          </w:tcPr>
          <w:p w14:paraId="626B46CD"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Тип Кредита</w:t>
            </w:r>
          </w:p>
        </w:tc>
        <w:tc>
          <w:tcPr>
            <w:tcW w:w="3525" w:type="pct"/>
            <w:vAlign w:val="center"/>
          </w:tcPr>
          <w:p w14:paraId="48880A34" w14:textId="77777777" w:rsidR="009D1253" w:rsidRPr="005A07E7" w:rsidRDefault="009D1253" w:rsidP="009D1253">
            <w:pPr>
              <w:pStyle w:val="a9"/>
              <w:tabs>
                <w:tab w:val="left" w:pos="-284"/>
                <w:tab w:val="left" w:pos="851"/>
              </w:tabs>
              <w:spacing w:before="0" w:after="0"/>
              <w:ind w:right="849"/>
              <w:jc w:val="center"/>
              <w:rPr>
                <w:rFonts w:ascii="Tahoma" w:hAnsi="Tahoma" w:cs="Tahoma"/>
              </w:rPr>
            </w:pPr>
            <w:r w:rsidRPr="005A07E7">
              <w:rPr>
                <w:rFonts w:ascii="Tahoma" w:hAnsi="Tahoma" w:cs="Tahoma"/>
              </w:rPr>
              <w:t>Потребительский кредит под залог приобретенного ТС</w:t>
            </w:r>
          </w:p>
        </w:tc>
      </w:tr>
      <w:tr w:rsidR="009D1253" w:rsidRPr="005A07E7" w14:paraId="2C6BCCB8" w14:textId="77777777" w:rsidTr="009D1253">
        <w:trPr>
          <w:trHeight w:val="512"/>
        </w:trPr>
        <w:tc>
          <w:tcPr>
            <w:tcW w:w="1475" w:type="pct"/>
            <w:vAlign w:val="center"/>
          </w:tcPr>
          <w:p w14:paraId="58D67541"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 xml:space="preserve">Цель Кредита </w:t>
            </w:r>
          </w:p>
        </w:tc>
        <w:tc>
          <w:tcPr>
            <w:tcW w:w="3525" w:type="pct"/>
            <w:vAlign w:val="center"/>
          </w:tcPr>
          <w:p w14:paraId="365D17EE" w14:textId="77777777" w:rsidR="009D1253" w:rsidRPr="005A07E7" w:rsidRDefault="009D1253" w:rsidP="009D1253">
            <w:pPr>
              <w:pStyle w:val="a9"/>
              <w:tabs>
                <w:tab w:val="left" w:pos="-284"/>
                <w:tab w:val="left" w:pos="851"/>
              </w:tabs>
              <w:spacing w:before="0" w:after="0"/>
              <w:jc w:val="center"/>
              <w:rPr>
                <w:rFonts w:ascii="Tahoma" w:hAnsi="Tahoma" w:cs="Tahoma"/>
              </w:rPr>
            </w:pPr>
            <w:r w:rsidRPr="005A07E7">
              <w:rPr>
                <w:rFonts w:ascii="Tahoma" w:hAnsi="Tahoma" w:cs="Tahoma"/>
              </w:rPr>
              <w:t xml:space="preserve">Приобретение транспортного средства (ТС) (нового или подержанного) отечественной или иностранной марки категории В, или иностранной марки категории </w:t>
            </w:r>
            <w:r w:rsidRPr="005A07E7">
              <w:rPr>
                <w:rFonts w:ascii="Tahoma" w:hAnsi="Tahoma" w:cs="Tahoma"/>
                <w:lang w:val="en-US"/>
              </w:rPr>
              <w:t>D</w:t>
            </w:r>
            <w:r w:rsidRPr="005A07E7">
              <w:rPr>
                <w:rFonts w:ascii="Tahoma" w:hAnsi="Tahoma" w:cs="Tahoma"/>
              </w:rPr>
              <w:t>, а также дополнительно на оплату иных товаров, работ и услуг по выбору Заёмщика</w:t>
            </w:r>
          </w:p>
        </w:tc>
      </w:tr>
      <w:tr w:rsidR="009D1253" w:rsidRPr="005A07E7" w14:paraId="71460DD1" w14:textId="77777777" w:rsidTr="009D1253">
        <w:trPr>
          <w:trHeight w:val="455"/>
        </w:trPr>
        <w:tc>
          <w:tcPr>
            <w:tcW w:w="1475" w:type="pct"/>
            <w:vAlign w:val="center"/>
          </w:tcPr>
          <w:p w14:paraId="3E997EB8"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Подразделения сети/точки продаж, реализующие кредитный продукт</w:t>
            </w:r>
          </w:p>
        </w:tc>
        <w:tc>
          <w:tcPr>
            <w:tcW w:w="3525" w:type="pct"/>
            <w:vAlign w:val="center"/>
          </w:tcPr>
          <w:p w14:paraId="219F2473" w14:textId="77777777" w:rsidR="009D1253" w:rsidRPr="005A07E7" w:rsidRDefault="009D1253" w:rsidP="009D1253">
            <w:pPr>
              <w:pStyle w:val="a9"/>
              <w:tabs>
                <w:tab w:val="left" w:pos="-284"/>
                <w:tab w:val="left" w:pos="851"/>
              </w:tabs>
              <w:spacing w:before="0" w:after="0"/>
              <w:jc w:val="center"/>
              <w:rPr>
                <w:rFonts w:ascii="Tahoma" w:hAnsi="Tahoma" w:cs="Tahoma"/>
              </w:rPr>
            </w:pPr>
            <w:r w:rsidRPr="005A07E7">
              <w:rPr>
                <w:rFonts w:ascii="Tahoma" w:hAnsi="Tahoma" w:cs="Tahoma"/>
              </w:rPr>
              <w:t>Все подразделения Банка</w:t>
            </w:r>
            <w:r w:rsidRPr="00B627E1">
              <w:rPr>
                <w:rFonts w:ascii="Tahoma" w:hAnsi="Tahoma" w:cs="Tahoma"/>
              </w:rPr>
              <w:t xml:space="preserve"> (доступность необходимо уточнять в точке продаж</w:t>
            </w:r>
            <w:r w:rsidRPr="005C3E44">
              <w:rPr>
                <w:rFonts w:ascii="Tahoma" w:hAnsi="Tahoma" w:cs="Tahoma"/>
              </w:rPr>
              <w:t>)</w:t>
            </w:r>
          </w:p>
        </w:tc>
      </w:tr>
      <w:tr w:rsidR="009D1253" w:rsidRPr="005A07E7" w14:paraId="4AB42055" w14:textId="77777777" w:rsidTr="009D1253">
        <w:trPr>
          <w:trHeight w:val="455"/>
        </w:trPr>
        <w:tc>
          <w:tcPr>
            <w:tcW w:w="1475" w:type="pct"/>
            <w:vAlign w:val="center"/>
          </w:tcPr>
          <w:p w14:paraId="278CF40D" w14:textId="77777777" w:rsidR="009D1253" w:rsidRPr="005A07E7" w:rsidRDefault="009D1253" w:rsidP="009D1253">
            <w:pPr>
              <w:rPr>
                <w:rFonts w:ascii="Tahoma" w:hAnsi="Tahoma" w:cs="Tahoma"/>
                <w:b/>
                <w:bCs/>
                <w:sz w:val="20"/>
                <w:szCs w:val="20"/>
              </w:rPr>
            </w:pPr>
            <w:r w:rsidRPr="005A07E7">
              <w:rPr>
                <w:rFonts w:ascii="Tahoma" w:hAnsi="Tahoma" w:cs="Tahoma"/>
                <w:b/>
                <w:bCs/>
                <w:sz w:val="20"/>
                <w:szCs w:val="20"/>
              </w:rPr>
              <w:t>Валюта, в которой предоставляется Кредит</w:t>
            </w:r>
          </w:p>
        </w:tc>
        <w:tc>
          <w:tcPr>
            <w:tcW w:w="3525" w:type="pct"/>
            <w:vAlign w:val="center"/>
          </w:tcPr>
          <w:p w14:paraId="657B6A91" w14:textId="77777777" w:rsidR="009D1253" w:rsidRPr="005A07E7" w:rsidRDefault="009D1253" w:rsidP="009D1253">
            <w:pPr>
              <w:pStyle w:val="a9"/>
              <w:tabs>
                <w:tab w:val="left" w:pos="-284"/>
                <w:tab w:val="left" w:pos="851"/>
              </w:tabs>
              <w:spacing w:before="0" w:after="0"/>
              <w:ind w:right="849"/>
              <w:jc w:val="center"/>
              <w:rPr>
                <w:rFonts w:ascii="Tahoma" w:hAnsi="Tahoma" w:cs="Tahoma"/>
              </w:rPr>
            </w:pPr>
            <w:r w:rsidRPr="005A07E7">
              <w:rPr>
                <w:rFonts w:ascii="Tahoma" w:hAnsi="Tahoma" w:cs="Tahoma"/>
                <w:color w:val="000000"/>
              </w:rPr>
              <w:t>Рубл</w:t>
            </w:r>
            <w:r>
              <w:rPr>
                <w:rFonts w:ascii="Tahoma" w:hAnsi="Tahoma" w:cs="Tahoma"/>
                <w:color w:val="000000"/>
              </w:rPr>
              <w:t>ь</w:t>
            </w:r>
            <w:r w:rsidRPr="005A07E7">
              <w:rPr>
                <w:rFonts w:ascii="Tahoma" w:hAnsi="Tahoma" w:cs="Tahoma"/>
                <w:color w:val="000000"/>
              </w:rPr>
              <w:t xml:space="preserve"> Российской</w:t>
            </w:r>
            <w:r>
              <w:rPr>
                <w:rFonts w:ascii="Tahoma" w:hAnsi="Tahoma" w:cs="Tahoma"/>
                <w:color w:val="000000"/>
              </w:rPr>
              <w:t xml:space="preserve"> Федерации (далее - рубль</w:t>
            </w:r>
            <w:r w:rsidRPr="005A07E7">
              <w:rPr>
                <w:rFonts w:ascii="Tahoma" w:hAnsi="Tahoma" w:cs="Tahoma"/>
                <w:color w:val="000000"/>
              </w:rPr>
              <w:t>)</w:t>
            </w:r>
          </w:p>
        </w:tc>
      </w:tr>
      <w:tr w:rsidR="009D1253" w:rsidRPr="005A07E7" w14:paraId="6C21D6BD" w14:textId="77777777" w:rsidTr="009D1253">
        <w:trPr>
          <w:trHeight w:val="455"/>
        </w:trPr>
        <w:tc>
          <w:tcPr>
            <w:tcW w:w="1475" w:type="pct"/>
            <w:shd w:val="clear" w:color="auto" w:fill="auto"/>
            <w:vAlign w:val="center"/>
          </w:tcPr>
          <w:p w14:paraId="7B4926AE" w14:textId="77777777" w:rsidR="009D1253" w:rsidRPr="005A07E7" w:rsidRDefault="009D1253" w:rsidP="009D1253">
            <w:pPr>
              <w:rPr>
                <w:rFonts w:ascii="Tahoma" w:hAnsi="Tahoma" w:cs="Tahoma"/>
                <w:b/>
                <w:bCs/>
                <w:sz w:val="20"/>
                <w:szCs w:val="20"/>
              </w:rPr>
            </w:pPr>
            <w:r w:rsidRPr="005A07E7">
              <w:rPr>
                <w:rFonts w:ascii="Tahoma" w:hAnsi="Tahoma" w:cs="Tahoma"/>
                <w:b/>
                <w:sz w:val="20"/>
                <w:szCs w:val="20"/>
              </w:rPr>
              <w:t>Минимальная сумма Кредита</w:t>
            </w:r>
          </w:p>
        </w:tc>
        <w:tc>
          <w:tcPr>
            <w:tcW w:w="3525" w:type="pct"/>
            <w:shd w:val="clear" w:color="auto" w:fill="auto"/>
            <w:vAlign w:val="center"/>
          </w:tcPr>
          <w:p w14:paraId="405DDE31" w14:textId="77777777" w:rsidR="009D1253" w:rsidRPr="001058AC" w:rsidRDefault="009D1253" w:rsidP="009D1253">
            <w:pPr>
              <w:pStyle w:val="a9"/>
              <w:tabs>
                <w:tab w:val="left" w:pos="-284"/>
                <w:tab w:val="left" w:pos="851"/>
              </w:tabs>
              <w:spacing w:before="0" w:after="0"/>
              <w:ind w:right="849"/>
              <w:jc w:val="center"/>
              <w:rPr>
                <w:rFonts w:ascii="Tahoma" w:hAnsi="Tahoma" w:cs="Tahoma"/>
                <w:color w:val="000000"/>
              </w:rPr>
            </w:pPr>
            <w:r w:rsidRPr="001058AC">
              <w:rPr>
                <w:rFonts w:ascii="Tahoma" w:hAnsi="Tahoma" w:cs="Tahoma"/>
                <w:color w:val="000000"/>
              </w:rPr>
              <w:t>500 000 рублей</w:t>
            </w:r>
          </w:p>
        </w:tc>
      </w:tr>
      <w:tr w:rsidR="009D1253" w:rsidRPr="005A07E7" w14:paraId="27EC8F1D" w14:textId="77777777" w:rsidTr="009D1253">
        <w:trPr>
          <w:trHeight w:val="363"/>
        </w:trPr>
        <w:tc>
          <w:tcPr>
            <w:tcW w:w="1475" w:type="pct"/>
            <w:shd w:val="clear" w:color="auto" w:fill="auto"/>
            <w:vAlign w:val="center"/>
          </w:tcPr>
          <w:p w14:paraId="693801CD"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Максимальная сумма Кредита</w:t>
            </w:r>
          </w:p>
        </w:tc>
        <w:tc>
          <w:tcPr>
            <w:tcW w:w="3525" w:type="pct"/>
            <w:shd w:val="clear" w:color="auto" w:fill="auto"/>
            <w:vAlign w:val="center"/>
          </w:tcPr>
          <w:p w14:paraId="24A9FA1A" w14:textId="77777777" w:rsidR="009D1253" w:rsidRPr="001058AC" w:rsidRDefault="009D1253" w:rsidP="009D1253">
            <w:pPr>
              <w:pStyle w:val="a9"/>
              <w:tabs>
                <w:tab w:val="left" w:pos="-284"/>
                <w:tab w:val="left" w:pos="851"/>
              </w:tabs>
              <w:spacing w:before="0" w:after="0"/>
              <w:ind w:right="849"/>
              <w:jc w:val="center"/>
              <w:rPr>
                <w:rFonts w:ascii="Tahoma" w:hAnsi="Tahoma" w:cs="Tahoma"/>
                <w:color w:val="000000"/>
              </w:rPr>
            </w:pPr>
            <w:r w:rsidRPr="001058AC">
              <w:rPr>
                <w:rFonts w:ascii="Tahoma" w:hAnsi="Tahoma" w:cs="Tahoma"/>
                <w:color w:val="000000"/>
              </w:rPr>
              <w:t>7 000 000 рублей</w:t>
            </w:r>
          </w:p>
        </w:tc>
      </w:tr>
      <w:tr w:rsidR="009D1253" w:rsidRPr="005A07E7" w14:paraId="4C52E498" w14:textId="77777777" w:rsidTr="009D1253">
        <w:trPr>
          <w:trHeight w:val="558"/>
        </w:trPr>
        <w:tc>
          <w:tcPr>
            <w:tcW w:w="1475" w:type="pct"/>
            <w:shd w:val="clear" w:color="auto" w:fill="auto"/>
            <w:vAlign w:val="center"/>
          </w:tcPr>
          <w:p w14:paraId="393B12F1"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 xml:space="preserve">Размер первоначального взноса (ПВ) </w:t>
            </w:r>
          </w:p>
          <w:p w14:paraId="2A52855D"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в % от стоимости ТС</w:t>
            </w:r>
          </w:p>
        </w:tc>
        <w:tc>
          <w:tcPr>
            <w:tcW w:w="3525" w:type="pct"/>
            <w:shd w:val="clear" w:color="auto" w:fill="auto"/>
            <w:vAlign w:val="center"/>
          </w:tcPr>
          <w:p w14:paraId="3AD30425" w14:textId="77777777" w:rsidR="009D1253" w:rsidRPr="005A07E7" w:rsidRDefault="009D1253" w:rsidP="009D1253">
            <w:pPr>
              <w:pStyle w:val="a9"/>
              <w:tabs>
                <w:tab w:val="left" w:pos="-284"/>
                <w:tab w:val="left" w:pos="851"/>
              </w:tabs>
              <w:spacing w:before="0" w:after="0"/>
              <w:ind w:right="849"/>
              <w:jc w:val="center"/>
              <w:rPr>
                <w:rFonts w:ascii="Tahoma" w:hAnsi="Tahoma" w:cs="Tahoma"/>
                <w:color w:val="000000"/>
              </w:rPr>
            </w:pPr>
            <w:r w:rsidRPr="005A07E7">
              <w:rPr>
                <w:rFonts w:ascii="Tahoma" w:hAnsi="Tahoma" w:cs="Tahoma"/>
                <w:color w:val="000000"/>
              </w:rPr>
              <w:t>от 0%</w:t>
            </w:r>
          </w:p>
        </w:tc>
      </w:tr>
      <w:tr w:rsidR="009D1253" w:rsidRPr="005A07E7" w14:paraId="75E7089F" w14:textId="77777777" w:rsidTr="009D1253">
        <w:trPr>
          <w:trHeight w:val="408"/>
        </w:trPr>
        <w:tc>
          <w:tcPr>
            <w:tcW w:w="1475" w:type="pct"/>
            <w:shd w:val="clear" w:color="auto" w:fill="auto"/>
            <w:vAlign w:val="center"/>
          </w:tcPr>
          <w:p w14:paraId="23187D4D"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Диапазон сроков возврата Кредита</w:t>
            </w:r>
          </w:p>
        </w:tc>
        <w:tc>
          <w:tcPr>
            <w:tcW w:w="3525" w:type="pct"/>
            <w:shd w:val="clear" w:color="auto" w:fill="auto"/>
            <w:vAlign w:val="center"/>
          </w:tcPr>
          <w:p w14:paraId="7D8BC3E4" w14:textId="77777777" w:rsidR="009D1253" w:rsidRPr="005A07E7" w:rsidRDefault="009D1253" w:rsidP="009D1253">
            <w:pPr>
              <w:tabs>
                <w:tab w:val="left" w:pos="851"/>
              </w:tabs>
              <w:jc w:val="center"/>
              <w:rPr>
                <w:rFonts w:ascii="Tahoma" w:hAnsi="Tahoma" w:cs="Tahoma"/>
                <w:sz w:val="20"/>
                <w:szCs w:val="20"/>
              </w:rPr>
            </w:pPr>
            <w:r w:rsidRPr="005A07E7">
              <w:rPr>
                <w:rFonts w:ascii="Tahoma" w:hAnsi="Tahoma" w:cs="Tahoma"/>
                <w:sz w:val="20"/>
                <w:szCs w:val="20"/>
              </w:rPr>
              <w:t xml:space="preserve">от 24 (двадцати четырех) до </w:t>
            </w:r>
            <w:r>
              <w:rPr>
                <w:rFonts w:ascii="Tahoma" w:hAnsi="Tahoma" w:cs="Tahoma"/>
                <w:sz w:val="20"/>
                <w:szCs w:val="20"/>
              </w:rPr>
              <w:t>120</w:t>
            </w:r>
            <w:r w:rsidRPr="005A07E7">
              <w:rPr>
                <w:rFonts w:ascii="Tahoma" w:hAnsi="Tahoma" w:cs="Tahoma"/>
                <w:sz w:val="20"/>
                <w:szCs w:val="20"/>
              </w:rPr>
              <w:t xml:space="preserve"> (</w:t>
            </w:r>
            <w:r>
              <w:rPr>
                <w:rFonts w:ascii="Tahoma" w:hAnsi="Tahoma" w:cs="Tahoma"/>
                <w:sz w:val="20"/>
                <w:szCs w:val="20"/>
              </w:rPr>
              <w:t>ста двадцати</w:t>
            </w:r>
            <w:r w:rsidRPr="005A07E7">
              <w:rPr>
                <w:rFonts w:ascii="Tahoma" w:hAnsi="Tahoma" w:cs="Tahoma"/>
                <w:sz w:val="20"/>
                <w:szCs w:val="20"/>
              </w:rPr>
              <w:t>) месяцев с шагом в 1 (один) год</w:t>
            </w:r>
          </w:p>
        </w:tc>
      </w:tr>
      <w:tr w:rsidR="009D1253" w:rsidRPr="005A07E7" w14:paraId="0202195E" w14:textId="77777777" w:rsidTr="009D1253">
        <w:trPr>
          <w:trHeight w:val="834"/>
        </w:trPr>
        <w:tc>
          <w:tcPr>
            <w:tcW w:w="1475" w:type="pct"/>
            <w:vAlign w:val="center"/>
          </w:tcPr>
          <w:p w14:paraId="3B42B346" w14:textId="77777777" w:rsidR="009D1253" w:rsidRPr="005A07E7" w:rsidRDefault="009D1253" w:rsidP="009D1253">
            <w:pPr>
              <w:spacing w:line="216" w:lineRule="auto"/>
              <w:rPr>
                <w:rFonts w:ascii="Tahoma" w:hAnsi="Tahoma" w:cs="Tahoma"/>
                <w:b/>
                <w:sz w:val="20"/>
                <w:szCs w:val="20"/>
              </w:rPr>
            </w:pPr>
            <w:r w:rsidRPr="005A07E7">
              <w:rPr>
                <w:rFonts w:ascii="Tahoma" w:hAnsi="Tahoma" w:cs="Tahoma"/>
                <w:b/>
                <w:sz w:val="20"/>
                <w:szCs w:val="20"/>
              </w:rPr>
              <w:t>Процентная ставка (в процентах годовых)</w:t>
            </w:r>
          </w:p>
        </w:tc>
        <w:tc>
          <w:tcPr>
            <w:tcW w:w="3525" w:type="pct"/>
            <w:shd w:val="clear" w:color="auto" w:fill="auto"/>
            <w:vAlign w:val="center"/>
          </w:tcPr>
          <w:tbl>
            <w:tblPr>
              <w:tblStyle w:val="aff0"/>
              <w:tblpPr w:leftFromText="180" w:rightFromText="180" w:horzAnchor="margin" w:tblpY="1"/>
              <w:tblOverlap w:val="never"/>
              <w:tblW w:w="10603" w:type="dxa"/>
              <w:tblLayout w:type="fixed"/>
              <w:tblLook w:val="05A0" w:firstRow="1" w:lastRow="0" w:firstColumn="1" w:lastColumn="1" w:noHBand="0" w:noVBand="1"/>
            </w:tblPr>
            <w:tblGrid>
              <w:gridCol w:w="2381"/>
              <w:gridCol w:w="2438"/>
              <w:gridCol w:w="1928"/>
              <w:gridCol w:w="1928"/>
              <w:gridCol w:w="1928"/>
            </w:tblGrid>
            <w:tr w:rsidR="009D1253" w:rsidRPr="005A07E7" w14:paraId="2C62445C" w14:textId="77777777" w:rsidTr="009D1253">
              <w:tc>
                <w:tcPr>
                  <w:tcW w:w="2381" w:type="dxa"/>
                </w:tcPr>
                <w:p w14:paraId="08E4537C" w14:textId="77777777" w:rsidR="009D1253" w:rsidRPr="005A07E7" w:rsidRDefault="009D1253" w:rsidP="009D1253">
                  <w:pPr>
                    <w:tabs>
                      <w:tab w:val="left" w:pos="6979"/>
                    </w:tabs>
                    <w:ind w:right="176"/>
                    <w:jc w:val="both"/>
                    <w:rPr>
                      <w:rFonts w:ascii="Tahoma" w:hAnsi="Tahoma" w:cs="Tahoma"/>
                      <w:color w:val="000000"/>
                      <w:sz w:val="20"/>
                      <w:szCs w:val="20"/>
                    </w:rPr>
                  </w:pPr>
                </w:p>
              </w:tc>
              <w:tc>
                <w:tcPr>
                  <w:tcW w:w="2438" w:type="dxa"/>
                </w:tcPr>
                <w:p w14:paraId="3A63615D" w14:textId="77777777" w:rsidR="009D1253" w:rsidRPr="005A07E7" w:rsidRDefault="009D1253" w:rsidP="009D1253">
                  <w:pPr>
                    <w:autoSpaceDE w:val="0"/>
                    <w:autoSpaceDN w:val="0"/>
                    <w:adjustRightInd w:val="0"/>
                    <w:jc w:val="center"/>
                    <w:rPr>
                      <w:rFonts w:ascii="Tahoma" w:hAnsi="Tahoma" w:cs="Tahoma"/>
                      <w:color w:val="000000"/>
                      <w:sz w:val="20"/>
                      <w:szCs w:val="20"/>
                    </w:rPr>
                  </w:pPr>
                  <w:r w:rsidRPr="005A07E7">
                    <w:rPr>
                      <w:rFonts w:ascii="Tahoma" w:hAnsi="Tahoma" w:cs="Tahoma"/>
                      <w:color w:val="000000"/>
                      <w:sz w:val="20"/>
                      <w:szCs w:val="20"/>
                    </w:rPr>
                    <w:t>Ставка по Кредиту при отказе от заключения или досрочном*** прекращении договора страхования КАСКО* и личного страхования**</w:t>
                  </w:r>
                </w:p>
              </w:tc>
              <w:tc>
                <w:tcPr>
                  <w:tcW w:w="1928" w:type="dxa"/>
                </w:tcPr>
                <w:p w14:paraId="119AF1CC" w14:textId="77777777" w:rsidR="009D1253" w:rsidRPr="005A07E7" w:rsidRDefault="009D1253" w:rsidP="009D1253">
                  <w:pPr>
                    <w:tabs>
                      <w:tab w:val="left" w:pos="6979"/>
                    </w:tabs>
                    <w:ind w:right="176"/>
                    <w:jc w:val="center"/>
                    <w:rPr>
                      <w:rFonts w:ascii="Tahoma" w:hAnsi="Tahoma" w:cs="Tahoma"/>
                      <w:color w:val="000000"/>
                      <w:sz w:val="20"/>
                      <w:szCs w:val="20"/>
                    </w:rPr>
                  </w:pPr>
                  <w:r w:rsidRPr="005A07E7">
                    <w:rPr>
                      <w:rFonts w:ascii="Tahoma" w:hAnsi="Tahoma" w:cs="Tahoma"/>
                      <w:color w:val="000000"/>
                      <w:sz w:val="20"/>
                      <w:szCs w:val="20"/>
                    </w:rPr>
                    <w:t>Ставка по Кредиту при заключении договора страхования КАСКО*</w:t>
                  </w:r>
                </w:p>
              </w:tc>
              <w:tc>
                <w:tcPr>
                  <w:tcW w:w="1928" w:type="dxa"/>
                </w:tcPr>
                <w:p w14:paraId="003ADDC1" w14:textId="77777777" w:rsidR="009D1253" w:rsidRPr="005A07E7" w:rsidRDefault="009D1253" w:rsidP="009D1253">
                  <w:pPr>
                    <w:tabs>
                      <w:tab w:val="left" w:pos="6979"/>
                    </w:tabs>
                    <w:ind w:right="176"/>
                    <w:jc w:val="center"/>
                    <w:rPr>
                      <w:rFonts w:ascii="Tahoma" w:hAnsi="Tahoma" w:cs="Tahoma"/>
                      <w:color w:val="000000"/>
                      <w:sz w:val="20"/>
                      <w:szCs w:val="20"/>
                    </w:rPr>
                  </w:pPr>
                  <w:r w:rsidRPr="005A07E7">
                    <w:rPr>
                      <w:rFonts w:ascii="Tahoma" w:hAnsi="Tahoma" w:cs="Tahoma"/>
                      <w:color w:val="000000"/>
                      <w:sz w:val="20"/>
                      <w:szCs w:val="20"/>
                    </w:rPr>
                    <w:t>Ставка по Кредиту при заключении договора личного страхования**</w:t>
                  </w:r>
                  <w:r>
                    <w:rPr>
                      <w:rFonts w:ascii="Tahoma" w:hAnsi="Tahoma" w:cs="Tahoma"/>
                      <w:color w:val="000000"/>
                      <w:sz w:val="20"/>
                      <w:szCs w:val="20"/>
                    </w:rPr>
                    <w:t xml:space="preserve"> на срок 12 месяцев</w:t>
                  </w:r>
                </w:p>
              </w:tc>
              <w:tc>
                <w:tcPr>
                  <w:tcW w:w="1928" w:type="dxa"/>
                </w:tcPr>
                <w:p w14:paraId="6D59E2E4" w14:textId="77777777" w:rsidR="009D1253" w:rsidRPr="005A07E7" w:rsidRDefault="009D1253" w:rsidP="009D1253">
                  <w:pPr>
                    <w:tabs>
                      <w:tab w:val="left" w:pos="6979"/>
                    </w:tabs>
                    <w:ind w:right="176"/>
                    <w:jc w:val="center"/>
                    <w:rPr>
                      <w:rFonts w:ascii="Tahoma" w:hAnsi="Tahoma" w:cs="Tahoma"/>
                      <w:color w:val="000000"/>
                      <w:sz w:val="20"/>
                      <w:szCs w:val="20"/>
                    </w:rPr>
                  </w:pPr>
                  <w:r w:rsidRPr="005A07E7">
                    <w:rPr>
                      <w:rFonts w:ascii="Tahoma" w:hAnsi="Tahoma" w:cs="Tahoma"/>
                      <w:color w:val="000000"/>
                      <w:sz w:val="20"/>
                      <w:szCs w:val="20"/>
                    </w:rPr>
                    <w:t>Ставка по Кредиту при заключении договора личного страхования**</w:t>
                  </w:r>
                  <w:r>
                    <w:rPr>
                      <w:rFonts w:ascii="Tahoma" w:hAnsi="Tahoma" w:cs="Tahoma"/>
                      <w:color w:val="000000"/>
                      <w:sz w:val="20"/>
                      <w:szCs w:val="20"/>
                    </w:rPr>
                    <w:t xml:space="preserve"> на срок 24 месяца</w:t>
                  </w:r>
                </w:p>
              </w:tc>
            </w:tr>
            <w:tr w:rsidR="009D1253" w:rsidRPr="005A07E7" w14:paraId="0FA1B2AD" w14:textId="77777777" w:rsidTr="009D1253">
              <w:tc>
                <w:tcPr>
                  <w:tcW w:w="2381" w:type="dxa"/>
                </w:tcPr>
                <w:p w14:paraId="50E54521" w14:textId="77777777" w:rsidR="009D1253" w:rsidRPr="005A07E7" w:rsidRDefault="009D1253" w:rsidP="009D1253">
                  <w:pPr>
                    <w:tabs>
                      <w:tab w:val="left" w:pos="6979"/>
                    </w:tabs>
                    <w:ind w:right="176"/>
                    <w:rPr>
                      <w:rFonts w:ascii="Tahoma" w:hAnsi="Tahoma" w:cs="Tahoma"/>
                      <w:color w:val="000000"/>
                      <w:sz w:val="20"/>
                      <w:szCs w:val="20"/>
                    </w:rPr>
                  </w:pPr>
                  <w:r w:rsidRPr="005A07E7">
                    <w:rPr>
                      <w:rFonts w:ascii="Tahoma" w:hAnsi="Tahoma" w:cs="Tahoma"/>
                      <w:color w:val="000000"/>
                      <w:sz w:val="20"/>
                      <w:szCs w:val="20"/>
                    </w:rPr>
                    <w:t>Для новых ТС</w:t>
                  </w:r>
                </w:p>
              </w:tc>
              <w:tc>
                <w:tcPr>
                  <w:tcW w:w="2438" w:type="dxa"/>
                </w:tcPr>
                <w:p w14:paraId="0699D650" w14:textId="77777777" w:rsidR="009D1253" w:rsidRPr="003B4037"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27.99%</w:t>
                  </w:r>
                </w:p>
              </w:tc>
              <w:tc>
                <w:tcPr>
                  <w:tcW w:w="1928" w:type="dxa"/>
                </w:tcPr>
                <w:p w14:paraId="56BF6DF0" w14:textId="77777777" w:rsidR="009D1253" w:rsidRPr="003B4037" w:rsidRDefault="009D1253" w:rsidP="009D1253">
                  <w:pPr>
                    <w:tabs>
                      <w:tab w:val="left" w:pos="6979"/>
                    </w:tabs>
                    <w:jc w:val="center"/>
                    <w:rPr>
                      <w:rFonts w:ascii="Tahoma" w:hAnsi="Tahoma" w:cs="Tahoma"/>
                      <w:b/>
                      <w:color w:val="000000"/>
                      <w:sz w:val="20"/>
                      <w:szCs w:val="20"/>
                    </w:rPr>
                  </w:pPr>
                  <w:r>
                    <w:rPr>
                      <w:rFonts w:ascii="Tahoma" w:hAnsi="Tahoma" w:cs="Tahoma"/>
                      <w:b/>
                      <w:color w:val="000000"/>
                      <w:sz w:val="20"/>
                      <w:szCs w:val="20"/>
                    </w:rPr>
                    <w:t>25.99%</w:t>
                  </w:r>
                </w:p>
              </w:tc>
              <w:tc>
                <w:tcPr>
                  <w:tcW w:w="1928" w:type="dxa"/>
                </w:tcPr>
                <w:p w14:paraId="08E976D8" w14:textId="77777777" w:rsidR="009D1253" w:rsidRPr="003B4037"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25.99%</w:t>
                  </w:r>
                </w:p>
              </w:tc>
              <w:tc>
                <w:tcPr>
                  <w:tcW w:w="1928" w:type="dxa"/>
                </w:tcPr>
                <w:p w14:paraId="7F80EA19" w14:textId="77777777" w:rsidR="009D1253"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23.99%</w:t>
                  </w:r>
                </w:p>
              </w:tc>
            </w:tr>
            <w:tr w:rsidR="009D1253" w:rsidRPr="005A07E7" w14:paraId="75C8DA41" w14:textId="77777777" w:rsidTr="009D1253">
              <w:trPr>
                <w:trHeight w:val="219"/>
              </w:trPr>
              <w:tc>
                <w:tcPr>
                  <w:tcW w:w="2381" w:type="dxa"/>
                </w:tcPr>
                <w:p w14:paraId="49505869" w14:textId="77777777" w:rsidR="009D1253" w:rsidRPr="005A07E7" w:rsidRDefault="009D1253" w:rsidP="009D1253">
                  <w:pPr>
                    <w:tabs>
                      <w:tab w:val="left" w:pos="6979"/>
                    </w:tabs>
                    <w:ind w:right="176"/>
                    <w:rPr>
                      <w:rFonts w:ascii="Tahoma" w:hAnsi="Tahoma" w:cs="Tahoma"/>
                      <w:color w:val="000000"/>
                      <w:sz w:val="20"/>
                      <w:szCs w:val="20"/>
                    </w:rPr>
                  </w:pPr>
                  <w:r w:rsidRPr="005A07E7">
                    <w:rPr>
                      <w:rFonts w:ascii="Tahoma" w:hAnsi="Tahoma" w:cs="Tahoma"/>
                      <w:color w:val="000000"/>
                      <w:sz w:val="20"/>
                      <w:szCs w:val="20"/>
                    </w:rPr>
                    <w:t>Для подержанных ТС</w:t>
                  </w:r>
                </w:p>
              </w:tc>
              <w:tc>
                <w:tcPr>
                  <w:tcW w:w="2438" w:type="dxa"/>
                </w:tcPr>
                <w:p w14:paraId="2A5C8B83" w14:textId="77777777" w:rsidR="009D1253" w:rsidRPr="003B4037"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28.99%</w:t>
                  </w:r>
                </w:p>
              </w:tc>
              <w:tc>
                <w:tcPr>
                  <w:tcW w:w="1928" w:type="dxa"/>
                </w:tcPr>
                <w:p w14:paraId="3B60F27D" w14:textId="77777777" w:rsidR="009D1253" w:rsidRPr="003B4037"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26.99%</w:t>
                  </w:r>
                </w:p>
              </w:tc>
              <w:tc>
                <w:tcPr>
                  <w:tcW w:w="1928" w:type="dxa"/>
                </w:tcPr>
                <w:p w14:paraId="11436D58" w14:textId="77777777" w:rsidR="009D1253" w:rsidRPr="003B4037"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26.99%</w:t>
                  </w:r>
                </w:p>
              </w:tc>
              <w:tc>
                <w:tcPr>
                  <w:tcW w:w="1928" w:type="dxa"/>
                </w:tcPr>
                <w:p w14:paraId="62C68AD4" w14:textId="77777777" w:rsidR="009D1253"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24.99%</w:t>
                  </w:r>
                </w:p>
              </w:tc>
            </w:tr>
          </w:tbl>
          <w:p w14:paraId="3569D764" w14:textId="77777777" w:rsidR="009D1253" w:rsidRPr="005A07E7" w:rsidRDefault="009D1253" w:rsidP="009D1253">
            <w:pPr>
              <w:tabs>
                <w:tab w:val="left" w:pos="6979"/>
              </w:tabs>
              <w:ind w:right="176"/>
              <w:jc w:val="both"/>
              <w:rPr>
                <w:sz w:val="18"/>
                <w:szCs w:val="18"/>
              </w:rPr>
            </w:pPr>
          </w:p>
          <w:p w14:paraId="3878E0D5" w14:textId="77777777" w:rsidR="009D1253" w:rsidRPr="005A07E7" w:rsidRDefault="009D1253" w:rsidP="009D1253">
            <w:pPr>
              <w:tabs>
                <w:tab w:val="left" w:pos="6979"/>
              </w:tabs>
              <w:ind w:right="176"/>
              <w:jc w:val="both"/>
              <w:rPr>
                <w:rFonts w:ascii="Tahoma" w:hAnsi="Tahoma" w:cs="Tahoma"/>
                <w:color w:val="000000"/>
                <w:sz w:val="20"/>
                <w:szCs w:val="20"/>
              </w:rPr>
            </w:pPr>
            <w:r w:rsidRPr="005A07E7">
              <w:rPr>
                <w:rFonts w:ascii="Tahoma" w:hAnsi="Tahoma" w:cs="Tahoma"/>
                <w:color w:val="000000"/>
                <w:sz w:val="20"/>
                <w:szCs w:val="20"/>
              </w:rPr>
              <w:t xml:space="preserve">При предоставлении </w:t>
            </w:r>
            <w:r>
              <w:rPr>
                <w:rFonts w:ascii="Tahoma" w:hAnsi="Tahoma" w:cs="Tahoma"/>
                <w:color w:val="000000"/>
                <w:sz w:val="20"/>
                <w:szCs w:val="20"/>
              </w:rPr>
              <w:t>Банку</w:t>
            </w:r>
            <w:r w:rsidRPr="005A07E7">
              <w:rPr>
                <w:rFonts w:ascii="Tahoma" w:hAnsi="Tahoma" w:cs="Tahoma"/>
                <w:color w:val="000000"/>
                <w:sz w:val="20"/>
                <w:szCs w:val="20"/>
              </w:rPr>
              <w:t xml:space="preserve"> сведений о состоянии индивидуального лицевого счета застрахованного лица (форма СЗИ-ИЛС) процентная ставка снижается на 1 процентный пункт единоразово на момент рассмотрения заявки на Кредит.</w:t>
            </w:r>
          </w:p>
          <w:p w14:paraId="10562C7D" w14:textId="77777777" w:rsidR="009D1253" w:rsidRPr="00ED6334" w:rsidRDefault="009D1253" w:rsidP="009D1253">
            <w:pPr>
              <w:tabs>
                <w:tab w:val="left" w:pos="1080"/>
                <w:tab w:val="left" w:pos="7548"/>
              </w:tabs>
              <w:ind w:right="208"/>
              <w:jc w:val="both"/>
              <w:rPr>
                <w:rFonts w:ascii="Tahoma" w:hAnsi="Tahoma" w:cs="Tahoma"/>
                <w:sz w:val="16"/>
                <w:szCs w:val="18"/>
              </w:rPr>
            </w:pPr>
            <w:r w:rsidRPr="00ED6334">
              <w:rPr>
                <w:rFonts w:ascii="Tahoma" w:hAnsi="Tahoma" w:cs="Tahoma"/>
                <w:sz w:val="16"/>
                <w:szCs w:val="18"/>
              </w:rPr>
              <w:t xml:space="preserve">*При оформлении страхового продукта КАСКО, на срок не менее 12 (двенадцати) месяцев, с рисками, описанными в п.п.1-3 раздела «Информация о страховании» настоящего документа. </w:t>
            </w:r>
          </w:p>
          <w:p w14:paraId="54F57A78" w14:textId="77777777" w:rsidR="009D1253" w:rsidRPr="00ED6334" w:rsidRDefault="009D1253" w:rsidP="009D1253">
            <w:pPr>
              <w:tabs>
                <w:tab w:val="left" w:pos="6979"/>
                <w:tab w:val="left" w:pos="7548"/>
              </w:tabs>
              <w:ind w:right="176"/>
              <w:jc w:val="both"/>
              <w:rPr>
                <w:rFonts w:ascii="Tahoma" w:hAnsi="Tahoma" w:cs="Tahoma"/>
                <w:sz w:val="16"/>
                <w:szCs w:val="18"/>
              </w:rPr>
            </w:pPr>
            <w:r w:rsidRPr="00ED6334">
              <w:rPr>
                <w:rFonts w:ascii="Tahoma" w:hAnsi="Tahoma" w:cs="Tahoma"/>
                <w:sz w:val="16"/>
                <w:szCs w:val="18"/>
              </w:rPr>
              <w:t>**Личное страхование с рисками, указанными в п.4 раздела «Информация о страховании» настоящего документа.</w:t>
            </w:r>
            <w:r w:rsidRPr="00ED6334">
              <w:rPr>
                <w:rFonts w:ascii="Tahoma" w:hAnsi="Tahoma" w:cs="Tahoma"/>
                <w:sz w:val="22"/>
              </w:rPr>
              <w:t xml:space="preserve"> </w:t>
            </w:r>
          </w:p>
          <w:p w14:paraId="68683D3C" w14:textId="77777777" w:rsidR="009D1253" w:rsidRPr="005A07E7" w:rsidRDefault="009D1253" w:rsidP="009D1253">
            <w:pPr>
              <w:tabs>
                <w:tab w:val="left" w:pos="6979"/>
              </w:tabs>
              <w:ind w:right="176"/>
              <w:jc w:val="both"/>
              <w:rPr>
                <w:rFonts w:ascii="Tahoma" w:hAnsi="Tahoma" w:cs="Tahoma"/>
                <w:color w:val="000000"/>
                <w:sz w:val="20"/>
                <w:szCs w:val="20"/>
              </w:rPr>
            </w:pPr>
            <w:r w:rsidRPr="00ED6334">
              <w:rPr>
                <w:rFonts w:ascii="Tahoma" w:hAnsi="Tahoma" w:cs="Tahoma"/>
                <w:sz w:val="16"/>
                <w:szCs w:val="18"/>
              </w:rPr>
              <w:t>*** В случае досрочного прекращения Заёмщиком Договора страхования КАСКО или Личного страхования, а также в случае заключения Договора страхования КАСКО или Личного страхования, не соответствующего требованиям, указанным в разделе «Информация о страховании» настоящего документа, Банк вправе принять решение об увеличении процентной ставки. Процентная ставка определяется в соответствии с условиями кредитной программы Банка до меньшей из величин процентной ставки на момент принятия решения об увеличении процентной ставки: до уровня процентной ставки, действовавшей на момент заключения договора потребительского кредита или на момент принятия решения об увеличении процентной ставки по договору потребительского кредита на сопоставимых (сумма, срок возврата потребительского кредита, размер первоначального взноса) условиях потребительского кредита без учета заключения договора страхования, начиная с тридцать первого дня, следующего за днем прекращения договора страхового продукта.</w:t>
            </w:r>
          </w:p>
        </w:tc>
      </w:tr>
      <w:tr w:rsidR="009D1253" w:rsidRPr="005A07E7" w14:paraId="547C6962" w14:textId="77777777" w:rsidTr="009D1253">
        <w:trPr>
          <w:trHeight w:val="554"/>
        </w:trPr>
        <w:tc>
          <w:tcPr>
            <w:tcW w:w="1475" w:type="pct"/>
            <w:vAlign w:val="center"/>
          </w:tcPr>
          <w:p w14:paraId="2593D436" w14:textId="77777777" w:rsidR="009D1253" w:rsidRPr="005A07E7" w:rsidRDefault="009D1253" w:rsidP="009D1253">
            <w:pPr>
              <w:rPr>
                <w:rFonts w:ascii="Tahoma" w:hAnsi="Tahoma" w:cs="Tahoma"/>
                <w:b/>
                <w:sz w:val="20"/>
                <w:szCs w:val="20"/>
              </w:rPr>
            </w:pPr>
            <w:r w:rsidRPr="005A07E7">
              <w:rPr>
                <w:rFonts w:ascii="Tahoma" w:hAnsi="Tahoma" w:cs="Tahoma"/>
                <w:b/>
                <w:bCs/>
                <w:color w:val="000000" w:themeColor="text1"/>
                <w:sz w:val="20"/>
                <w:szCs w:val="20"/>
              </w:rPr>
              <w:lastRenderedPageBreak/>
              <w:t>Диапазон полной стоимости Кредита в процентном  и денежном выражении в порядке, установленном Федеральным законом от 21.12.2013 №353-ФЗ «О потребительском кредите (займе)»</w:t>
            </w:r>
          </w:p>
        </w:tc>
        <w:tc>
          <w:tcPr>
            <w:tcW w:w="3525" w:type="pct"/>
            <w:shd w:val="clear" w:color="auto" w:fill="auto"/>
            <w:vAlign w:val="center"/>
          </w:tcPr>
          <w:p w14:paraId="3340E3C7" w14:textId="77777777" w:rsidR="009D1253" w:rsidRPr="00E460F2" w:rsidRDefault="009D1253" w:rsidP="009D1253">
            <w:pPr>
              <w:jc w:val="center"/>
              <w:rPr>
                <w:rFonts w:ascii="Tahoma" w:hAnsi="Tahoma" w:cs="Tahoma"/>
                <w:color w:val="000000"/>
                <w:sz w:val="20"/>
                <w:szCs w:val="20"/>
              </w:rPr>
            </w:pPr>
            <w:r w:rsidRPr="00C13F0D">
              <w:rPr>
                <w:rFonts w:ascii="Tahoma" w:hAnsi="Tahoma" w:cs="Tahoma"/>
                <w:color w:val="000000"/>
                <w:sz w:val="20"/>
                <w:szCs w:val="20"/>
              </w:rPr>
              <w:t>2</w:t>
            </w:r>
            <w:r>
              <w:rPr>
                <w:rFonts w:ascii="Tahoma" w:hAnsi="Tahoma" w:cs="Tahoma"/>
                <w:color w:val="000000"/>
                <w:sz w:val="20"/>
                <w:szCs w:val="20"/>
              </w:rPr>
              <w:t>2</w:t>
            </w:r>
            <w:r w:rsidRPr="00C13F0D">
              <w:rPr>
                <w:rFonts w:ascii="Tahoma" w:hAnsi="Tahoma" w:cs="Tahoma"/>
                <w:color w:val="000000"/>
                <w:sz w:val="20"/>
                <w:szCs w:val="20"/>
              </w:rPr>
              <w:t>.97</w:t>
            </w:r>
            <w:r w:rsidRPr="00781DD9">
              <w:rPr>
                <w:rFonts w:ascii="Tahoma" w:hAnsi="Tahoma" w:cs="Tahoma"/>
                <w:color w:val="000000"/>
                <w:sz w:val="20"/>
                <w:szCs w:val="20"/>
              </w:rPr>
              <w:t>3</w:t>
            </w:r>
            <w:r w:rsidRPr="00E460F2">
              <w:rPr>
                <w:rFonts w:ascii="Tahoma" w:hAnsi="Tahoma" w:cs="Tahoma"/>
                <w:color w:val="000000"/>
                <w:sz w:val="20"/>
                <w:szCs w:val="20"/>
              </w:rPr>
              <w:t>% –</w:t>
            </w:r>
            <w:r w:rsidRPr="005F7378">
              <w:rPr>
                <w:rFonts w:ascii="Tahoma" w:hAnsi="Tahoma" w:cs="Tahoma"/>
                <w:color w:val="000000"/>
                <w:sz w:val="20"/>
                <w:szCs w:val="20"/>
              </w:rPr>
              <w:t xml:space="preserve"> </w:t>
            </w:r>
            <w:r>
              <w:rPr>
                <w:rFonts w:ascii="Tahoma" w:hAnsi="Tahoma" w:cs="Tahoma"/>
                <w:color w:val="000000"/>
                <w:sz w:val="20"/>
                <w:szCs w:val="20"/>
              </w:rPr>
              <w:t>28.969</w:t>
            </w:r>
            <w:r w:rsidRPr="00E460F2">
              <w:rPr>
                <w:rFonts w:ascii="Tahoma" w:hAnsi="Tahoma" w:cs="Tahoma"/>
                <w:color w:val="000000"/>
                <w:sz w:val="20"/>
                <w:szCs w:val="20"/>
              </w:rPr>
              <w:t>% годовых;</w:t>
            </w:r>
          </w:p>
          <w:p w14:paraId="5B6F10B3" w14:textId="77777777" w:rsidR="009D1253" w:rsidRPr="00E460F2" w:rsidRDefault="009D1253" w:rsidP="009D1253">
            <w:pPr>
              <w:jc w:val="center"/>
              <w:rPr>
                <w:rFonts w:ascii="Tahoma" w:hAnsi="Tahoma" w:cs="Tahoma"/>
                <w:color w:val="000000"/>
                <w:sz w:val="20"/>
                <w:szCs w:val="20"/>
              </w:rPr>
            </w:pPr>
            <w:r>
              <w:rPr>
                <w:rFonts w:ascii="Tahoma" w:hAnsi="Tahoma" w:cs="Tahoma"/>
                <w:color w:val="000000"/>
                <w:sz w:val="20"/>
                <w:szCs w:val="20"/>
              </w:rPr>
              <w:t>128 318.47</w:t>
            </w:r>
            <w:r w:rsidRPr="00E460F2">
              <w:rPr>
                <w:rFonts w:ascii="Tahoma" w:hAnsi="Tahoma" w:cs="Tahoma"/>
                <w:color w:val="000000"/>
                <w:sz w:val="20"/>
                <w:szCs w:val="20"/>
              </w:rPr>
              <w:t xml:space="preserve"> руб. –</w:t>
            </w:r>
            <w:r w:rsidRPr="005F7378">
              <w:rPr>
                <w:rFonts w:ascii="Tahoma" w:hAnsi="Tahoma" w:cs="Tahoma"/>
                <w:color w:val="000000"/>
                <w:sz w:val="20"/>
                <w:szCs w:val="20"/>
              </w:rPr>
              <w:t xml:space="preserve"> </w:t>
            </w:r>
            <w:r>
              <w:rPr>
                <w:rFonts w:ascii="Tahoma" w:hAnsi="Tahoma" w:cs="Tahoma"/>
                <w:color w:val="000000"/>
                <w:sz w:val="20"/>
                <w:szCs w:val="20"/>
              </w:rPr>
              <w:t>14 503 623.63</w:t>
            </w:r>
            <w:r w:rsidRPr="00E460F2">
              <w:rPr>
                <w:rFonts w:ascii="Tahoma" w:hAnsi="Tahoma" w:cs="Tahoma"/>
                <w:color w:val="000000"/>
                <w:sz w:val="20"/>
                <w:szCs w:val="20"/>
              </w:rPr>
              <w:t xml:space="preserve"> руб.</w:t>
            </w:r>
          </w:p>
          <w:p w14:paraId="4EE080D6" w14:textId="77777777" w:rsidR="009D1253" w:rsidRPr="003E6B81" w:rsidRDefault="009D1253" w:rsidP="009D1253">
            <w:pPr>
              <w:pStyle w:val="aff1"/>
              <w:jc w:val="both"/>
              <w:rPr>
                <w:rFonts w:ascii="Tahoma" w:eastAsiaTheme="minorHAnsi" w:hAnsi="Tahoma" w:cs="Tahoma"/>
                <w:sz w:val="18"/>
                <w:szCs w:val="18"/>
                <w:lang w:eastAsia="en-US"/>
              </w:rPr>
            </w:pPr>
            <w:r w:rsidRPr="003E6B81">
              <w:rPr>
                <w:rFonts w:ascii="Tahoma" w:eastAsiaTheme="minorHAnsi" w:hAnsi="Tahoma" w:cs="Tahoma"/>
                <w:sz w:val="18"/>
                <w:szCs w:val="18"/>
                <w:lang w:eastAsia="en-US"/>
              </w:rPr>
              <w:t>Расчет минимального значения ПСК произведен с использованием параметров: минимальная сумма Кредита (500 000 рублей), минимальный срок (24 месяца), минимальная ставка (</w:t>
            </w:r>
            <w:r>
              <w:rPr>
                <w:rFonts w:ascii="Tahoma" w:eastAsiaTheme="minorHAnsi" w:hAnsi="Tahoma" w:cs="Tahoma"/>
                <w:sz w:val="18"/>
                <w:szCs w:val="18"/>
                <w:lang w:eastAsia="en-US"/>
              </w:rPr>
              <w:t>22.9</w:t>
            </w:r>
            <w:r w:rsidRPr="00C13F0D">
              <w:rPr>
                <w:rFonts w:ascii="Tahoma" w:eastAsiaTheme="minorHAnsi" w:hAnsi="Tahoma" w:cs="Tahoma"/>
                <w:sz w:val="18"/>
                <w:szCs w:val="18"/>
                <w:lang w:eastAsia="en-US"/>
              </w:rPr>
              <w:t>9</w:t>
            </w:r>
            <w:r w:rsidRPr="003E6B81">
              <w:rPr>
                <w:rFonts w:ascii="Tahoma" w:eastAsiaTheme="minorHAnsi" w:hAnsi="Tahoma" w:cs="Tahoma"/>
                <w:sz w:val="18"/>
                <w:szCs w:val="18"/>
                <w:lang w:eastAsia="en-US"/>
              </w:rPr>
              <w:t>% годовых для лиц с инвалидностью и с учетом снижения процентной ставки при предоставлении Банку сведений о состоянии индивидуального лицевого счета застрахованного лица (форма СЗИ-ИЛС)).</w:t>
            </w:r>
          </w:p>
          <w:p w14:paraId="15BB7B78" w14:textId="77777777" w:rsidR="009D1253" w:rsidRPr="00DF7D87" w:rsidRDefault="009D1253" w:rsidP="009D1253">
            <w:pPr>
              <w:jc w:val="both"/>
              <w:rPr>
                <w:rFonts w:ascii="Tahoma" w:eastAsiaTheme="minorHAnsi" w:hAnsi="Tahoma" w:cs="Tahoma"/>
                <w:sz w:val="18"/>
                <w:szCs w:val="18"/>
                <w:lang w:eastAsia="en-US"/>
              </w:rPr>
            </w:pPr>
            <w:r w:rsidRPr="003E6B81">
              <w:rPr>
                <w:rFonts w:ascii="Tahoma" w:eastAsiaTheme="minorHAnsi" w:hAnsi="Tahoma" w:cs="Tahoma"/>
                <w:sz w:val="18"/>
                <w:szCs w:val="18"/>
                <w:lang w:eastAsia="en-US"/>
              </w:rPr>
              <w:t>Расчет максимального значения ПСК произведен с использованием параметров: максимальная сумма Кредита (7 000 000 рублей), максимальный срок (</w:t>
            </w:r>
            <w:r w:rsidRPr="00C13F0D">
              <w:rPr>
                <w:rFonts w:ascii="Tahoma" w:eastAsiaTheme="minorHAnsi" w:hAnsi="Tahoma" w:cs="Tahoma"/>
                <w:sz w:val="18"/>
                <w:szCs w:val="18"/>
                <w:lang w:eastAsia="en-US"/>
              </w:rPr>
              <w:t>120</w:t>
            </w:r>
            <w:r w:rsidRPr="003E6B81">
              <w:rPr>
                <w:rFonts w:ascii="Tahoma" w:eastAsiaTheme="minorHAnsi" w:hAnsi="Tahoma" w:cs="Tahoma"/>
                <w:sz w:val="18"/>
                <w:szCs w:val="18"/>
                <w:lang w:eastAsia="en-US"/>
              </w:rPr>
              <w:t xml:space="preserve"> месяцев), максимальная ставка (</w:t>
            </w:r>
            <w:r>
              <w:rPr>
                <w:rFonts w:ascii="Tahoma" w:eastAsiaTheme="minorHAnsi" w:hAnsi="Tahoma" w:cs="Tahoma"/>
                <w:sz w:val="18"/>
                <w:szCs w:val="18"/>
                <w:lang w:eastAsia="en-US"/>
              </w:rPr>
              <w:t>28.99</w:t>
            </w:r>
            <w:r w:rsidRPr="003E6B81">
              <w:rPr>
                <w:rFonts w:ascii="Tahoma" w:eastAsiaTheme="minorHAnsi" w:hAnsi="Tahoma" w:cs="Tahoma"/>
                <w:sz w:val="18"/>
                <w:szCs w:val="18"/>
                <w:lang w:eastAsia="en-US"/>
              </w:rPr>
              <w:t>% годовых)</w:t>
            </w:r>
          </w:p>
        </w:tc>
      </w:tr>
      <w:tr w:rsidR="009D1253" w:rsidRPr="005A07E7" w14:paraId="66BBEADA" w14:textId="77777777" w:rsidTr="009D1253">
        <w:trPr>
          <w:trHeight w:val="554"/>
        </w:trPr>
        <w:tc>
          <w:tcPr>
            <w:tcW w:w="1475" w:type="pct"/>
          </w:tcPr>
          <w:p w14:paraId="43E3B6AF" w14:textId="77777777" w:rsidR="009D1253" w:rsidRPr="005A07E7" w:rsidRDefault="009D1253" w:rsidP="009D1253">
            <w:pPr>
              <w:tabs>
                <w:tab w:val="left" w:pos="851"/>
              </w:tabs>
              <w:rPr>
                <w:rFonts w:ascii="Tahoma" w:hAnsi="Tahoma" w:cs="Tahoma"/>
                <w:b/>
                <w:sz w:val="20"/>
                <w:szCs w:val="20"/>
              </w:rPr>
            </w:pPr>
            <w:r w:rsidRPr="005A07E7">
              <w:rPr>
                <w:rFonts w:ascii="Tahoma" w:hAnsi="Tahoma" w:cs="Tahoma"/>
                <w:b/>
                <w:sz w:val="20"/>
                <w:szCs w:val="20"/>
              </w:rPr>
              <w:t>Информация о страховании</w:t>
            </w:r>
          </w:p>
        </w:tc>
        <w:tc>
          <w:tcPr>
            <w:tcW w:w="3525" w:type="pct"/>
            <w:shd w:val="clear" w:color="auto" w:fill="auto"/>
          </w:tcPr>
          <w:p w14:paraId="11E42880" w14:textId="77777777" w:rsidR="009D1253" w:rsidRDefault="009D1253" w:rsidP="009D1253">
            <w:pPr>
              <w:tabs>
                <w:tab w:val="left" w:pos="6979"/>
              </w:tabs>
              <w:ind w:right="176"/>
              <w:jc w:val="both"/>
              <w:rPr>
                <w:rFonts w:ascii="Tahoma" w:hAnsi="Tahoma" w:cs="Tahoma"/>
                <w:color w:val="000000"/>
                <w:sz w:val="20"/>
                <w:szCs w:val="20"/>
                <w:u w:val="single"/>
              </w:rPr>
            </w:pPr>
            <w:r w:rsidRPr="005A07E7">
              <w:rPr>
                <w:rFonts w:ascii="Tahoma" w:hAnsi="Tahoma" w:cs="Tahoma"/>
                <w:color w:val="000000"/>
                <w:sz w:val="20"/>
                <w:szCs w:val="20"/>
              </w:rPr>
              <w:t xml:space="preserve">При выборе Заёмщиком условий кредитования для приобретения нового или подержанного ТС с заключением Договора страхования КАСКО или Личного страхования, необходимо оформление договора (полиса) страхования </w:t>
            </w:r>
            <w:r>
              <w:rPr>
                <w:rFonts w:ascii="Tahoma" w:hAnsi="Tahoma" w:cs="Tahoma"/>
                <w:color w:val="000000"/>
                <w:sz w:val="20"/>
                <w:szCs w:val="20"/>
              </w:rPr>
              <w:t>в котором в</w:t>
            </w:r>
            <w:r w:rsidRPr="008D26EE">
              <w:rPr>
                <w:rFonts w:ascii="Tahoma" w:hAnsi="Tahoma" w:cs="Tahoma"/>
                <w:color w:val="000000"/>
                <w:sz w:val="20"/>
                <w:szCs w:val="20"/>
              </w:rPr>
              <w:t xml:space="preserve">ыгодоприобретателем в размере задолженности Заемщика </w:t>
            </w:r>
            <w:r>
              <w:rPr>
                <w:rFonts w:ascii="Tahoma" w:hAnsi="Tahoma" w:cs="Tahoma"/>
                <w:color w:val="000000"/>
                <w:sz w:val="20"/>
                <w:szCs w:val="20"/>
              </w:rPr>
              <w:t xml:space="preserve">будет </w:t>
            </w:r>
            <w:r w:rsidRPr="008D26EE">
              <w:rPr>
                <w:rFonts w:ascii="Tahoma" w:hAnsi="Tahoma" w:cs="Tahoma"/>
                <w:color w:val="000000"/>
                <w:sz w:val="20"/>
                <w:szCs w:val="20"/>
              </w:rPr>
              <w:t xml:space="preserve">указан </w:t>
            </w:r>
            <w:r w:rsidRPr="00B2133F">
              <w:rPr>
                <w:rFonts w:ascii="Tahoma" w:hAnsi="Tahoma" w:cs="Tahoma"/>
                <w:color w:val="000000"/>
                <w:sz w:val="20"/>
                <w:szCs w:val="20"/>
              </w:rPr>
              <w:t>«Аз</w:t>
            </w:r>
            <w:r>
              <w:rPr>
                <w:rFonts w:ascii="Tahoma" w:hAnsi="Tahoma" w:cs="Tahoma"/>
                <w:color w:val="000000"/>
                <w:sz w:val="20"/>
                <w:szCs w:val="20"/>
              </w:rPr>
              <w:t>иатско-Тихоокеанский Банк» (АО)</w:t>
            </w:r>
            <w:r w:rsidRPr="008D26EE">
              <w:rPr>
                <w:rFonts w:ascii="Tahoma" w:hAnsi="Tahoma" w:cs="Tahoma"/>
                <w:color w:val="000000"/>
                <w:sz w:val="20"/>
                <w:szCs w:val="20"/>
              </w:rPr>
              <w:t>, за исключением случаев, когда он выступает страховым агентом при заключении договора страхования</w:t>
            </w:r>
            <w:r>
              <w:rPr>
                <w:rFonts w:ascii="Tahoma" w:hAnsi="Tahoma" w:cs="Tahoma"/>
                <w:color w:val="000000"/>
                <w:sz w:val="20"/>
                <w:szCs w:val="20"/>
              </w:rPr>
              <w:t>.</w:t>
            </w:r>
          </w:p>
          <w:p w14:paraId="78F27091" w14:textId="77777777" w:rsidR="009D1253" w:rsidRPr="005A07E7" w:rsidRDefault="009D1253" w:rsidP="009D1253">
            <w:pPr>
              <w:ind w:right="176"/>
              <w:jc w:val="both"/>
              <w:rPr>
                <w:rFonts w:ascii="Tahoma" w:hAnsi="Tahoma" w:cs="Tahoma"/>
                <w:color w:val="00B050"/>
                <w:sz w:val="20"/>
                <w:szCs w:val="20"/>
              </w:rPr>
            </w:pPr>
            <w:r w:rsidRPr="005A07E7">
              <w:rPr>
                <w:rFonts w:ascii="Tahoma" w:hAnsi="Tahoma" w:cs="Tahoma"/>
                <w:color w:val="000000"/>
                <w:sz w:val="20"/>
                <w:szCs w:val="20"/>
                <w:u w:val="single"/>
              </w:rPr>
              <w:t>КАСКО:</w:t>
            </w:r>
            <w:r w:rsidRPr="005A07E7">
              <w:rPr>
                <w:rFonts w:ascii="Tahoma" w:hAnsi="Tahoma" w:cs="Tahoma"/>
                <w:color w:val="000000"/>
                <w:sz w:val="20"/>
                <w:szCs w:val="20"/>
              </w:rPr>
              <w:t xml:space="preserve"> </w:t>
            </w:r>
          </w:p>
          <w:p w14:paraId="07D5621E" w14:textId="77777777" w:rsidR="009D1253" w:rsidRPr="005A07E7" w:rsidRDefault="009D1253" w:rsidP="009D1253">
            <w:pPr>
              <w:tabs>
                <w:tab w:val="left" w:pos="6979"/>
              </w:tabs>
              <w:ind w:right="176"/>
              <w:jc w:val="both"/>
              <w:rPr>
                <w:rFonts w:ascii="Tahoma" w:hAnsi="Tahoma" w:cs="Tahoma"/>
                <w:color w:val="000000"/>
                <w:sz w:val="20"/>
                <w:szCs w:val="20"/>
              </w:rPr>
            </w:pPr>
            <w:r w:rsidRPr="005A07E7">
              <w:rPr>
                <w:rFonts w:ascii="Tahoma" w:hAnsi="Tahoma" w:cs="Tahoma"/>
                <w:color w:val="000000"/>
                <w:sz w:val="20"/>
                <w:szCs w:val="20"/>
              </w:rPr>
              <w:t>Покрываемые риски</w:t>
            </w:r>
            <w:r>
              <w:rPr>
                <w:rFonts w:ascii="Tahoma" w:hAnsi="Tahoma" w:cs="Tahoma"/>
                <w:color w:val="000000"/>
                <w:sz w:val="20"/>
                <w:szCs w:val="20"/>
              </w:rPr>
              <w:t>, которые должны быть указаны в договоре страхования</w:t>
            </w:r>
            <w:r w:rsidRPr="005A07E7">
              <w:rPr>
                <w:rFonts w:ascii="Tahoma" w:hAnsi="Tahoma" w:cs="Tahoma"/>
                <w:color w:val="000000"/>
                <w:sz w:val="20"/>
                <w:szCs w:val="20"/>
              </w:rPr>
              <w:t xml:space="preserve">: </w:t>
            </w:r>
          </w:p>
          <w:p w14:paraId="2021BAB2" w14:textId="77777777" w:rsidR="009D1253" w:rsidRPr="005A07E7" w:rsidRDefault="009D1253" w:rsidP="009D1253">
            <w:pPr>
              <w:tabs>
                <w:tab w:val="left" w:pos="6979"/>
              </w:tabs>
              <w:ind w:right="176"/>
              <w:jc w:val="both"/>
              <w:rPr>
                <w:rFonts w:ascii="Tahoma" w:hAnsi="Tahoma" w:cs="Tahoma"/>
                <w:color w:val="000000"/>
                <w:sz w:val="20"/>
                <w:szCs w:val="20"/>
              </w:rPr>
            </w:pPr>
            <w:r>
              <w:rPr>
                <w:rFonts w:ascii="Tahoma" w:hAnsi="Tahoma" w:cs="Tahoma"/>
                <w:color w:val="000000"/>
                <w:sz w:val="20"/>
                <w:szCs w:val="20"/>
              </w:rPr>
              <w:t xml:space="preserve">1. </w:t>
            </w:r>
            <w:r w:rsidRPr="005A07E7">
              <w:rPr>
                <w:rFonts w:ascii="Tahoma" w:hAnsi="Tahoma" w:cs="Tahoma"/>
                <w:color w:val="000000"/>
                <w:sz w:val="20"/>
                <w:szCs w:val="20"/>
              </w:rPr>
              <w:t xml:space="preserve">Ущерб с выплатой на условиях </w:t>
            </w:r>
            <w:r>
              <w:rPr>
                <w:rFonts w:ascii="Tahoma" w:hAnsi="Tahoma" w:cs="Tahoma"/>
                <w:color w:val="000000"/>
                <w:sz w:val="20"/>
                <w:szCs w:val="20"/>
              </w:rPr>
              <w:t>п</w:t>
            </w:r>
            <w:r w:rsidRPr="005A07E7">
              <w:rPr>
                <w:rFonts w:ascii="Tahoma" w:hAnsi="Tahoma" w:cs="Tahoma"/>
                <w:color w:val="000000"/>
                <w:sz w:val="20"/>
                <w:szCs w:val="20"/>
              </w:rPr>
              <w:t>олная гибель</w:t>
            </w:r>
            <w:r>
              <w:rPr>
                <w:rFonts w:ascii="Tahoma" w:hAnsi="Tahoma" w:cs="Tahoma"/>
                <w:color w:val="000000"/>
                <w:sz w:val="20"/>
                <w:szCs w:val="20"/>
              </w:rPr>
              <w:t xml:space="preserve"> ТС</w:t>
            </w:r>
            <w:r w:rsidRPr="005A07E7">
              <w:rPr>
                <w:rFonts w:ascii="Tahoma" w:hAnsi="Tahoma" w:cs="Tahoma"/>
                <w:color w:val="000000"/>
                <w:sz w:val="20"/>
                <w:szCs w:val="20"/>
              </w:rPr>
              <w:t xml:space="preserve">; </w:t>
            </w:r>
          </w:p>
          <w:p w14:paraId="4903EF11" w14:textId="77777777" w:rsidR="009D1253" w:rsidRPr="005A07E7" w:rsidRDefault="009D1253" w:rsidP="009D1253">
            <w:pPr>
              <w:tabs>
                <w:tab w:val="left" w:pos="6979"/>
              </w:tabs>
              <w:ind w:right="176"/>
              <w:jc w:val="both"/>
              <w:rPr>
                <w:rFonts w:ascii="Tahoma" w:hAnsi="Tahoma" w:cs="Tahoma"/>
                <w:color w:val="000000"/>
                <w:sz w:val="20"/>
                <w:szCs w:val="20"/>
              </w:rPr>
            </w:pPr>
            <w:r w:rsidRPr="005A07E7">
              <w:rPr>
                <w:rFonts w:ascii="Tahoma" w:hAnsi="Tahoma" w:cs="Tahoma"/>
                <w:color w:val="000000"/>
                <w:sz w:val="20"/>
                <w:szCs w:val="20"/>
              </w:rPr>
              <w:t>2. Хищение по ст.158, 161, 162 УК РФ, Угон;</w:t>
            </w:r>
          </w:p>
          <w:p w14:paraId="36F7460E" w14:textId="77777777" w:rsidR="009D1253" w:rsidRPr="005A07E7" w:rsidRDefault="009D1253" w:rsidP="009D1253">
            <w:pPr>
              <w:tabs>
                <w:tab w:val="left" w:pos="6979"/>
              </w:tabs>
              <w:ind w:right="176"/>
              <w:jc w:val="both"/>
              <w:rPr>
                <w:rFonts w:ascii="Tahoma" w:hAnsi="Tahoma" w:cs="Tahoma"/>
                <w:color w:val="000000"/>
                <w:sz w:val="20"/>
                <w:szCs w:val="20"/>
                <w:u w:val="single"/>
              </w:rPr>
            </w:pPr>
            <w:r w:rsidRPr="005A07E7">
              <w:rPr>
                <w:rFonts w:ascii="Tahoma" w:hAnsi="Tahoma" w:cs="Tahoma"/>
                <w:color w:val="000000"/>
                <w:sz w:val="20"/>
                <w:szCs w:val="20"/>
              </w:rPr>
              <w:t xml:space="preserve">3. Ущерб в результате самовозгорания с выплатой в случае </w:t>
            </w:r>
            <w:r>
              <w:rPr>
                <w:rFonts w:ascii="Tahoma" w:hAnsi="Tahoma" w:cs="Tahoma"/>
                <w:color w:val="000000"/>
                <w:sz w:val="20"/>
                <w:szCs w:val="20"/>
              </w:rPr>
              <w:t>п</w:t>
            </w:r>
            <w:r w:rsidRPr="005A07E7">
              <w:rPr>
                <w:rFonts w:ascii="Tahoma" w:hAnsi="Tahoma" w:cs="Tahoma"/>
                <w:color w:val="000000"/>
                <w:sz w:val="20"/>
                <w:szCs w:val="20"/>
              </w:rPr>
              <w:t>олной гибели</w:t>
            </w:r>
            <w:r>
              <w:rPr>
                <w:rFonts w:ascii="Tahoma" w:hAnsi="Tahoma" w:cs="Tahoma"/>
                <w:color w:val="000000"/>
                <w:sz w:val="20"/>
                <w:szCs w:val="20"/>
              </w:rPr>
              <w:t xml:space="preserve"> ТС.</w:t>
            </w:r>
          </w:p>
          <w:p w14:paraId="4747499F" w14:textId="77777777" w:rsidR="009D1253" w:rsidRPr="005A07E7" w:rsidRDefault="009D1253" w:rsidP="009D1253">
            <w:pPr>
              <w:tabs>
                <w:tab w:val="left" w:pos="6979"/>
              </w:tabs>
              <w:ind w:right="176"/>
              <w:jc w:val="both"/>
              <w:rPr>
                <w:rFonts w:ascii="Tahoma" w:hAnsi="Tahoma" w:cs="Tahoma"/>
                <w:color w:val="000000"/>
                <w:sz w:val="20"/>
                <w:szCs w:val="20"/>
              </w:rPr>
            </w:pPr>
            <w:r w:rsidRPr="005A07E7">
              <w:rPr>
                <w:rFonts w:ascii="Tahoma" w:hAnsi="Tahoma" w:cs="Tahoma"/>
                <w:color w:val="000000"/>
                <w:sz w:val="20"/>
                <w:szCs w:val="20"/>
              </w:rPr>
              <w:t>и</w:t>
            </w:r>
          </w:p>
          <w:p w14:paraId="14E03DFE" w14:textId="77777777" w:rsidR="009D1253" w:rsidRPr="005A07E7" w:rsidRDefault="009D1253" w:rsidP="009D1253">
            <w:pPr>
              <w:tabs>
                <w:tab w:val="left" w:pos="6979"/>
              </w:tabs>
              <w:ind w:right="176"/>
              <w:jc w:val="both"/>
              <w:rPr>
                <w:rFonts w:ascii="Tahoma" w:hAnsi="Tahoma" w:cs="Tahoma"/>
                <w:color w:val="000000"/>
                <w:sz w:val="20"/>
                <w:szCs w:val="20"/>
              </w:rPr>
            </w:pPr>
            <w:r w:rsidRPr="005A07E7">
              <w:rPr>
                <w:rFonts w:ascii="Tahoma" w:hAnsi="Tahoma" w:cs="Tahoma"/>
                <w:color w:val="000000"/>
                <w:sz w:val="20"/>
                <w:szCs w:val="20"/>
                <w:u w:val="single"/>
              </w:rPr>
              <w:t xml:space="preserve">Личное страхование: </w:t>
            </w:r>
            <w:r>
              <w:rPr>
                <w:rFonts w:ascii="Tahoma" w:hAnsi="Tahoma" w:cs="Tahoma"/>
                <w:color w:val="000000"/>
                <w:sz w:val="20"/>
                <w:szCs w:val="20"/>
                <w:u w:val="single"/>
              </w:rPr>
              <w:t>(</w:t>
            </w:r>
            <w:r>
              <w:rPr>
                <w:rFonts w:ascii="Tahoma" w:hAnsi="Tahoma" w:cs="Tahoma"/>
                <w:i/>
                <w:color w:val="000000"/>
                <w:sz w:val="20"/>
                <w:szCs w:val="20"/>
              </w:rPr>
              <w:t>о</w:t>
            </w:r>
            <w:r w:rsidRPr="005A07E7">
              <w:rPr>
                <w:rFonts w:ascii="Tahoma" w:hAnsi="Tahoma" w:cs="Tahoma"/>
                <w:i/>
                <w:color w:val="000000"/>
                <w:sz w:val="20"/>
                <w:szCs w:val="20"/>
              </w:rPr>
              <w:t>формление данного вида страхования не применимо для лиц с инвалидностью (ЛСИ)</w:t>
            </w:r>
            <w:r>
              <w:rPr>
                <w:rFonts w:ascii="Tahoma" w:hAnsi="Tahoma" w:cs="Tahoma"/>
                <w:i/>
                <w:color w:val="000000"/>
                <w:sz w:val="20"/>
                <w:szCs w:val="20"/>
              </w:rPr>
              <w:t>*)</w:t>
            </w:r>
            <w:r w:rsidRPr="005A07E7">
              <w:rPr>
                <w:rFonts w:ascii="Tahoma" w:hAnsi="Tahoma" w:cs="Tahoma"/>
                <w:i/>
                <w:color w:val="000000"/>
                <w:sz w:val="20"/>
                <w:szCs w:val="20"/>
              </w:rPr>
              <w:t xml:space="preserve">. </w:t>
            </w:r>
          </w:p>
          <w:p w14:paraId="79B6FBF5" w14:textId="77777777" w:rsidR="009D1253" w:rsidRPr="005A07E7" w:rsidRDefault="009D1253" w:rsidP="009D1253">
            <w:pPr>
              <w:tabs>
                <w:tab w:val="left" w:pos="6979"/>
              </w:tabs>
              <w:ind w:right="176"/>
              <w:jc w:val="both"/>
              <w:rPr>
                <w:rFonts w:ascii="Tahoma" w:hAnsi="Tahoma" w:cs="Tahoma"/>
                <w:color w:val="000000"/>
                <w:sz w:val="20"/>
                <w:szCs w:val="20"/>
              </w:rPr>
            </w:pPr>
            <w:r w:rsidRPr="005A07E7">
              <w:rPr>
                <w:rFonts w:ascii="Tahoma" w:hAnsi="Tahoma" w:cs="Tahoma"/>
                <w:color w:val="000000"/>
                <w:sz w:val="20"/>
                <w:szCs w:val="20"/>
              </w:rPr>
              <w:t>Покрываемые риски</w:t>
            </w:r>
            <w:r>
              <w:rPr>
                <w:rFonts w:ascii="Tahoma" w:hAnsi="Tahoma" w:cs="Tahoma"/>
                <w:color w:val="000000"/>
                <w:sz w:val="20"/>
                <w:szCs w:val="20"/>
              </w:rPr>
              <w:t>, которые должны быть указаны в договоре страхования</w:t>
            </w:r>
            <w:r w:rsidRPr="005A07E7">
              <w:rPr>
                <w:rFonts w:ascii="Tahoma" w:hAnsi="Tahoma" w:cs="Tahoma"/>
                <w:color w:val="000000"/>
                <w:sz w:val="20"/>
                <w:szCs w:val="20"/>
              </w:rPr>
              <w:t xml:space="preserve">: </w:t>
            </w:r>
          </w:p>
          <w:p w14:paraId="7BECD92A" w14:textId="77777777" w:rsidR="009D1253" w:rsidRPr="005A07E7" w:rsidRDefault="009D1253" w:rsidP="009D1253">
            <w:pPr>
              <w:tabs>
                <w:tab w:val="left" w:pos="6979"/>
              </w:tabs>
              <w:ind w:right="176"/>
              <w:rPr>
                <w:rFonts w:ascii="Tahoma" w:hAnsi="Tahoma" w:cs="Tahoma"/>
                <w:sz w:val="20"/>
                <w:szCs w:val="20"/>
              </w:rPr>
            </w:pPr>
            <w:r w:rsidRPr="005A07E7">
              <w:rPr>
                <w:rFonts w:ascii="Tahoma" w:hAnsi="Tahoma" w:cs="Tahoma"/>
                <w:color w:val="000000"/>
                <w:sz w:val="20"/>
                <w:szCs w:val="20"/>
              </w:rPr>
              <w:t>Травмы в результате несчастного случая</w:t>
            </w:r>
            <w:r>
              <w:rPr>
                <w:rFonts w:ascii="Tahoma" w:hAnsi="Tahoma" w:cs="Tahoma"/>
                <w:color w:val="000000"/>
                <w:sz w:val="20"/>
                <w:szCs w:val="20"/>
              </w:rPr>
              <w:t xml:space="preserve"> </w:t>
            </w:r>
            <w:r w:rsidRPr="00267B8D">
              <w:rPr>
                <w:rFonts w:ascii="Tahoma" w:hAnsi="Tahoma" w:cs="Tahoma"/>
                <w:color w:val="000000"/>
                <w:sz w:val="20"/>
                <w:szCs w:val="20"/>
              </w:rPr>
              <w:t>(по тексту - НС), хирургическая операция в результате НС</w:t>
            </w:r>
            <w:r w:rsidRPr="005A07E7">
              <w:rPr>
                <w:rFonts w:ascii="Tahoma" w:hAnsi="Tahoma" w:cs="Tahoma"/>
                <w:color w:val="000000"/>
                <w:sz w:val="20"/>
                <w:szCs w:val="20"/>
              </w:rPr>
              <w:t xml:space="preserve">, </w:t>
            </w:r>
            <w:r w:rsidRPr="005A07E7">
              <w:rPr>
                <w:rFonts w:ascii="Tahoma" w:hAnsi="Tahoma" w:cs="Tahoma"/>
                <w:sz w:val="20"/>
                <w:szCs w:val="20"/>
              </w:rPr>
              <w:t>смерть по любой причине (ЛП), установление инвалидности 1-й и 2 группы, в том числе в результате болезни.</w:t>
            </w:r>
            <w:r w:rsidRPr="00267B8D">
              <w:rPr>
                <w:rFonts w:ascii="Tahoma" w:eastAsiaTheme="minorHAnsi" w:hAnsi="Tahoma" w:cs="Tahoma"/>
                <w:sz w:val="18"/>
                <w:szCs w:val="18"/>
                <w:lang w:eastAsia="en-US"/>
              </w:rPr>
              <w:t xml:space="preserve"> </w:t>
            </w:r>
            <w:r w:rsidRPr="003C2E4F">
              <w:rPr>
                <w:rFonts w:ascii="Tahoma" w:hAnsi="Tahoma" w:cs="Tahoma"/>
                <w:sz w:val="20"/>
                <w:szCs w:val="20"/>
              </w:rPr>
              <w:t xml:space="preserve">При этом, не </w:t>
            </w:r>
            <w:r>
              <w:rPr>
                <w:rFonts w:ascii="Tahoma" w:eastAsia="Calibri" w:hAnsi="Tahoma" w:cs="Tahoma"/>
                <w:sz w:val="20"/>
                <w:szCs w:val="20"/>
              </w:rPr>
              <w:t>должны быть</w:t>
            </w:r>
            <w:r w:rsidRPr="003C2E4F" w:rsidDel="0084705B">
              <w:rPr>
                <w:rFonts w:ascii="Tahoma" w:hAnsi="Tahoma" w:cs="Tahoma"/>
                <w:sz w:val="20"/>
                <w:szCs w:val="20"/>
              </w:rPr>
              <w:t xml:space="preserve"> </w:t>
            </w:r>
            <w:r w:rsidRPr="003C2E4F">
              <w:rPr>
                <w:rFonts w:ascii="Tahoma" w:hAnsi="Tahoma" w:cs="Tahoma"/>
                <w:sz w:val="20"/>
                <w:szCs w:val="20"/>
              </w:rPr>
              <w:t>исключением из застрахованных рисков события, произошедшие в результате болезни Заемщика, прямо/ косвенно связанной с ВИЧ инфекцией/СПИД</w:t>
            </w:r>
            <w:r w:rsidRPr="00267B8D">
              <w:rPr>
                <w:rFonts w:ascii="Tahoma" w:hAnsi="Tahoma" w:cs="Tahoma"/>
                <w:sz w:val="20"/>
                <w:szCs w:val="20"/>
              </w:rPr>
              <w:t>.</w:t>
            </w:r>
          </w:p>
          <w:p w14:paraId="48542781" w14:textId="77777777" w:rsidR="009D1253" w:rsidRDefault="009D1253" w:rsidP="009D1253">
            <w:pPr>
              <w:ind w:right="176"/>
              <w:rPr>
                <w:rFonts w:ascii="Tahoma" w:hAnsi="Tahoma" w:cs="Tahoma"/>
                <w:color w:val="000000"/>
                <w:sz w:val="20"/>
                <w:szCs w:val="20"/>
              </w:rPr>
            </w:pPr>
            <w:r w:rsidRPr="005A07E7">
              <w:rPr>
                <w:rFonts w:ascii="Tahoma" w:hAnsi="Tahoma" w:cs="Tahoma"/>
                <w:color w:val="000000"/>
                <w:sz w:val="20"/>
                <w:szCs w:val="20"/>
              </w:rPr>
              <w:t>По желанию Заёмщика страховая премия по договору страхования может быть оплачена за счет Кредита при выполнении указанных в настоящем пункте условий к договору (полису) страхования.</w:t>
            </w:r>
          </w:p>
          <w:p w14:paraId="5F7C5475" w14:textId="77777777" w:rsidR="009D1253" w:rsidRDefault="009D1253" w:rsidP="009D1253">
            <w:pPr>
              <w:ind w:right="176"/>
              <w:rPr>
                <w:rFonts w:ascii="Tahoma" w:hAnsi="Tahoma" w:cs="Tahoma"/>
                <w:color w:val="000000"/>
                <w:sz w:val="20"/>
                <w:szCs w:val="20"/>
              </w:rPr>
            </w:pPr>
          </w:p>
          <w:p w14:paraId="3FC0E91E" w14:textId="77777777" w:rsidR="009D1253" w:rsidRPr="005A07E7" w:rsidRDefault="009D1253" w:rsidP="009D1253">
            <w:pPr>
              <w:ind w:right="176"/>
              <w:rPr>
                <w:sz w:val="20"/>
                <w:szCs w:val="20"/>
              </w:rPr>
            </w:pPr>
            <w:r w:rsidRPr="00D763AC">
              <w:rPr>
                <w:rFonts w:ascii="Tahoma" w:hAnsi="Tahoma" w:cs="Tahoma"/>
                <w:color w:val="000000"/>
                <w:sz w:val="20"/>
                <w:szCs w:val="20"/>
              </w:rPr>
              <w:t>* для ЛСИ применяется размер процентной ставки за пользование кредитом, соответствующий выбору условий кредитования с процентной ставкой, предусматривающей заключение Личного страхования (без заключения ЛСИ соответствующего договора), при условии оформления ЛСИ Договора страхования КАСКО, соответствующего требованиям настоящег</w:t>
            </w:r>
            <w:r>
              <w:rPr>
                <w:rFonts w:ascii="Tahoma" w:hAnsi="Tahoma" w:cs="Tahoma"/>
                <w:color w:val="000000"/>
                <w:sz w:val="20"/>
                <w:szCs w:val="20"/>
              </w:rPr>
              <w:t>о документа, и предоставлении документа, подтверждающего статус ЛСИ.</w:t>
            </w:r>
          </w:p>
        </w:tc>
      </w:tr>
      <w:tr w:rsidR="009D1253" w:rsidRPr="005A07E7" w14:paraId="49EBEB70"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699"/>
        </w:trPr>
        <w:tc>
          <w:tcPr>
            <w:tcW w:w="1475" w:type="pct"/>
            <w:tcBorders>
              <w:left w:val="single" w:sz="4" w:space="0" w:color="auto"/>
              <w:right w:val="single" w:sz="4" w:space="0" w:color="auto"/>
            </w:tcBorders>
            <w:vAlign w:val="center"/>
          </w:tcPr>
          <w:p w14:paraId="522DADEC" w14:textId="77777777" w:rsidR="009D1253" w:rsidRPr="005A07E7" w:rsidRDefault="009D1253" w:rsidP="009D1253">
            <w:pPr>
              <w:rPr>
                <w:rFonts w:ascii="Tahoma" w:hAnsi="Tahoma" w:cs="Tahoma"/>
                <w:sz w:val="20"/>
                <w:szCs w:val="20"/>
              </w:rPr>
            </w:pPr>
            <w:r w:rsidRPr="005A07E7">
              <w:rPr>
                <w:rFonts w:ascii="Tahoma" w:hAnsi="Tahoma" w:cs="Tahoma"/>
                <w:b/>
                <w:sz w:val="20"/>
                <w:szCs w:val="20"/>
              </w:rPr>
              <w:t>Требования к Заёмщику, которые установлены Кредитором и выполнение которых является обязательным для предоставления Кредита</w:t>
            </w:r>
          </w:p>
        </w:tc>
        <w:tc>
          <w:tcPr>
            <w:tcW w:w="3525" w:type="pct"/>
            <w:tcBorders>
              <w:top w:val="single" w:sz="4" w:space="0" w:color="auto"/>
              <w:left w:val="nil"/>
              <w:bottom w:val="single" w:sz="4" w:space="0" w:color="auto"/>
              <w:right w:val="single" w:sz="8" w:space="0" w:color="000000"/>
            </w:tcBorders>
            <w:noWrap/>
            <w:vAlign w:val="center"/>
          </w:tcPr>
          <w:p w14:paraId="3D7612D2"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гражданство Российской Федерации;</w:t>
            </w:r>
          </w:p>
          <w:p w14:paraId="75BCE531"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адрес постоянной регистрации и фактическое место жительства Заёмщика – все регионы РФ;</w:t>
            </w:r>
          </w:p>
          <w:p w14:paraId="6AB18002"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возраст Заёмщика не менее 21 года (на момент оформления Кредита) и не более 70 лет (на момент окончания действия срока возврата Кредита) включительно;</w:t>
            </w:r>
          </w:p>
          <w:p w14:paraId="3688CCA1"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Заёмщик имеет официальное место работы (либо является ИП) и</w:t>
            </w:r>
            <w:r>
              <w:rPr>
                <w:rFonts w:ascii="Tahoma" w:hAnsi="Tahoma" w:cs="Tahoma"/>
                <w:sz w:val="20"/>
                <w:szCs w:val="20"/>
              </w:rPr>
              <w:t>(или)</w:t>
            </w:r>
            <w:r w:rsidRPr="005A07E7">
              <w:rPr>
                <w:rFonts w:ascii="Tahoma" w:hAnsi="Tahoma" w:cs="Tahoma"/>
                <w:sz w:val="20"/>
                <w:szCs w:val="20"/>
              </w:rPr>
              <w:t xml:space="preserve"> постоянный источник дохода;</w:t>
            </w:r>
          </w:p>
          <w:p w14:paraId="391F18A7"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Заёмщик не имеет официального места работы, при условии достижения пенсионного возраста, и получающий социальную пенсию;</w:t>
            </w:r>
          </w:p>
          <w:p w14:paraId="7901822D"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xml:space="preserve">- стаж на последнем месте работы не менее 3 месяцев. </w:t>
            </w:r>
            <w:r w:rsidRPr="005A07E7">
              <w:rPr>
                <w:rFonts w:ascii="Tahoma" w:hAnsi="Tahoma" w:cs="Tahoma"/>
              </w:rPr>
              <w:fldChar w:fldCharType="begin"/>
            </w:r>
            <w:r w:rsidRPr="005A07E7">
              <w:rPr>
                <w:rFonts w:ascii="Tahoma" w:hAnsi="Tahoma" w:cs="Tahoma"/>
              </w:rPr>
              <w:instrText xml:space="preserve"> DOCVARIABLE  КЛИЕНТ </w:instrText>
            </w:r>
            <w:r w:rsidRPr="005A07E7">
              <w:rPr>
                <w:rFonts w:ascii="Tahoma" w:hAnsi="Tahoma" w:cs="Tahoma"/>
              </w:rPr>
              <w:fldChar w:fldCharType="end"/>
            </w:r>
          </w:p>
        </w:tc>
      </w:tr>
      <w:tr w:rsidR="009D1253" w:rsidRPr="005A07E7" w14:paraId="568E4AE5"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558"/>
        </w:trPr>
        <w:tc>
          <w:tcPr>
            <w:tcW w:w="1475" w:type="pct"/>
            <w:tcBorders>
              <w:top w:val="single" w:sz="4" w:space="0" w:color="auto"/>
              <w:left w:val="single" w:sz="8" w:space="0" w:color="auto"/>
              <w:bottom w:val="single" w:sz="4" w:space="0" w:color="auto"/>
              <w:right w:val="single" w:sz="4" w:space="0" w:color="auto"/>
            </w:tcBorders>
            <w:vAlign w:val="center"/>
          </w:tcPr>
          <w:p w14:paraId="7AB40186"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lastRenderedPageBreak/>
              <w:t>Перечень документов, необходимых для рассмотрения заявления о предоставлении Кредита, в том числе для оценки кредитоспособности Заёмщика (в случае необходимости могут быть запрошены дополнительные документы)</w:t>
            </w:r>
          </w:p>
        </w:tc>
        <w:tc>
          <w:tcPr>
            <w:tcW w:w="3525" w:type="pct"/>
            <w:tcBorders>
              <w:top w:val="single" w:sz="4" w:space="0" w:color="auto"/>
              <w:left w:val="nil"/>
              <w:bottom w:val="single" w:sz="4" w:space="0" w:color="auto"/>
              <w:right w:val="single" w:sz="8" w:space="0" w:color="000000"/>
            </w:tcBorders>
            <w:shd w:val="clear" w:color="auto" w:fill="auto"/>
            <w:noWrap/>
            <w:vAlign w:val="center"/>
          </w:tcPr>
          <w:p w14:paraId="66AB69B6" w14:textId="77777777" w:rsidR="009D1253" w:rsidRPr="005A07E7" w:rsidRDefault="009D1253" w:rsidP="009D1253">
            <w:pPr>
              <w:pStyle w:val="a9"/>
              <w:numPr>
                <w:ilvl w:val="0"/>
                <w:numId w:val="112"/>
              </w:numPr>
              <w:tabs>
                <w:tab w:val="left" w:pos="0"/>
                <w:tab w:val="left" w:pos="268"/>
              </w:tabs>
              <w:spacing w:before="0" w:after="0"/>
              <w:ind w:hanging="592"/>
              <w:rPr>
                <w:rFonts w:ascii="Tahoma" w:hAnsi="Tahoma" w:cs="Tahoma"/>
                <w:b/>
                <w:sz w:val="18"/>
                <w:szCs w:val="18"/>
                <w:lang w:eastAsia="en-US"/>
              </w:rPr>
            </w:pPr>
            <w:r w:rsidRPr="005A07E7">
              <w:rPr>
                <w:rFonts w:ascii="Tahoma" w:hAnsi="Tahoma" w:cs="Tahoma"/>
                <w:b/>
                <w:sz w:val="18"/>
                <w:szCs w:val="18"/>
                <w:lang w:eastAsia="en-US"/>
              </w:rPr>
              <w:t>Пакет документов для приобретаемого Заёмщиком за счет кредитных средств Банка ТС</w:t>
            </w:r>
          </w:p>
          <w:p w14:paraId="59036B05" w14:textId="77777777" w:rsidR="009D1253" w:rsidRPr="00181C60" w:rsidRDefault="009D1253" w:rsidP="009D1253">
            <w:pPr>
              <w:pStyle w:val="a9"/>
              <w:tabs>
                <w:tab w:val="left" w:pos="0"/>
              </w:tabs>
              <w:spacing w:before="0" w:after="0"/>
              <w:rPr>
                <w:rFonts w:ascii="Tahoma" w:hAnsi="Tahoma" w:cs="Tahoma"/>
                <w:sz w:val="18"/>
                <w:szCs w:val="18"/>
              </w:rPr>
            </w:pPr>
            <w:r>
              <w:rPr>
                <w:rFonts w:ascii="Tahoma" w:hAnsi="Tahoma" w:cs="Tahoma"/>
                <w:sz w:val="18"/>
                <w:szCs w:val="18"/>
                <w:lang w:eastAsia="en-US"/>
              </w:rPr>
              <w:t>О</w:t>
            </w:r>
            <w:r w:rsidRPr="005A07E7">
              <w:rPr>
                <w:rFonts w:ascii="Tahoma" w:hAnsi="Tahoma" w:cs="Tahoma"/>
                <w:sz w:val="18"/>
                <w:szCs w:val="18"/>
                <w:lang w:eastAsia="en-US"/>
              </w:rPr>
              <w:t>ригиналы ПТС (допускается прием дубликата ПТС)</w:t>
            </w:r>
            <w:r>
              <w:rPr>
                <w:rFonts w:ascii="Tahoma" w:hAnsi="Tahoma" w:cs="Tahoma"/>
                <w:sz w:val="18"/>
                <w:szCs w:val="18"/>
                <w:lang w:eastAsia="en-US"/>
              </w:rPr>
              <w:t>/</w:t>
            </w:r>
            <w:r w:rsidRPr="005A07E7">
              <w:rPr>
                <w:rFonts w:ascii="Tahoma" w:hAnsi="Tahoma" w:cs="Tahoma"/>
                <w:sz w:val="18"/>
                <w:szCs w:val="18"/>
                <w:lang w:eastAsia="en-US"/>
              </w:rPr>
              <w:t xml:space="preserve"> выписка из Электронного паспорта ТС </w:t>
            </w:r>
            <w:r>
              <w:rPr>
                <w:rFonts w:ascii="Tahoma" w:hAnsi="Tahoma" w:cs="Tahoma"/>
                <w:sz w:val="18"/>
                <w:szCs w:val="18"/>
                <w:lang w:eastAsia="en-US"/>
              </w:rPr>
              <w:t xml:space="preserve">(далее – выписка ЭПТС) </w:t>
            </w:r>
            <w:r w:rsidRPr="0080478B">
              <w:rPr>
                <w:rFonts w:ascii="Tahoma" w:hAnsi="Tahoma" w:cs="Tahoma"/>
                <w:sz w:val="18"/>
                <w:szCs w:val="18"/>
              </w:rPr>
              <w:t>в статусе «действующий</w:t>
            </w:r>
            <w:r>
              <w:rPr>
                <w:rFonts w:ascii="Tahoma" w:hAnsi="Tahoma" w:cs="Tahoma"/>
                <w:sz w:val="18"/>
                <w:szCs w:val="18"/>
              </w:rPr>
              <w:t>» / «незавершенный» (</w:t>
            </w:r>
            <w:r w:rsidRPr="00181C60">
              <w:rPr>
                <w:rFonts w:ascii="Tahoma" w:hAnsi="Tahoma" w:cs="Tahoma"/>
                <w:sz w:val="18"/>
                <w:szCs w:val="18"/>
              </w:rPr>
              <w:t>не требуется при приобретении за счет кредитных средств нового ТС марки: Honda, Lada, Voyah, Omoda, Livan, Jetour, Jaecoo, Evolute, Москвич, Changan, Haval, SkyWell</w:t>
            </w:r>
            <w:r>
              <w:rPr>
                <w:rFonts w:ascii="Tahoma" w:hAnsi="Tahoma" w:cs="Tahoma"/>
                <w:sz w:val="18"/>
                <w:szCs w:val="18"/>
              </w:rPr>
              <w:t>)</w:t>
            </w:r>
          </w:p>
          <w:p w14:paraId="732D7AFA" w14:textId="77777777" w:rsidR="009D1253" w:rsidRDefault="009D1253" w:rsidP="009D1253">
            <w:pPr>
              <w:tabs>
                <w:tab w:val="left" w:pos="6979"/>
              </w:tabs>
              <w:rPr>
                <w:rFonts w:ascii="Tahoma" w:hAnsi="Tahoma" w:cs="Tahoma"/>
                <w:sz w:val="18"/>
                <w:szCs w:val="18"/>
              </w:rPr>
            </w:pPr>
          </w:p>
          <w:p w14:paraId="32D3B2B2" w14:textId="77777777" w:rsidR="009D1253" w:rsidRDefault="009D1253" w:rsidP="009D1253">
            <w:pPr>
              <w:pStyle w:val="a9"/>
              <w:spacing w:before="0" w:after="0"/>
              <w:rPr>
                <w:rFonts w:ascii="Tahoma" w:hAnsi="Tahoma" w:cs="Tahoma"/>
                <w:sz w:val="18"/>
                <w:szCs w:val="18"/>
              </w:rPr>
            </w:pPr>
            <w:r>
              <w:rPr>
                <w:rFonts w:ascii="Tahoma" w:hAnsi="Tahoma" w:cs="Tahoma"/>
                <w:sz w:val="18"/>
                <w:szCs w:val="18"/>
              </w:rPr>
              <w:t xml:space="preserve">Полномочия юридического лица / ИП на реализацию ТС подтверждаются одним из следующих документов: договором купли-продажи, </w:t>
            </w:r>
            <w:r w:rsidRPr="001901B1">
              <w:rPr>
                <w:rFonts w:ascii="Tahoma" w:hAnsi="Tahoma" w:cs="Tahoma"/>
                <w:sz w:val="18"/>
                <w:szCs w:val="18"/>
              </w:rPr>
              <w:t>дилерским договором, договором поставки и актом приема-передачи ТС по указанным договорам</w:t>
            </w:r>
            <w:r>
              <w:rPr>
                <w:rFonts w:ascii="Tahoma" w:hAnsi="Tahoma" w:cs="Tahoma"/>
                <w:sz w:val="18"/>
                <w:szCs w:val="18"/>
              </w:rPr>
              <w:t xml:space="preserve"> или агентским договором, договором комиссии и т.п.</w:t>
            </w:r>
            <w:r w:rsidRPr="001901B1">
              <w:rPr>
                <w:rFonts w:ascii="Tahoma" w:hAnsi="Tahoma" w:cs="Tahoma"/>
                <w:sz w:val="18"/>
                <w:szCs w:val="18"/>
              </w:rPr>
              <w:t>,</w:t>
            </w:r>
            <w:r>
              <w:rPr>
                <w:rFonts w:ascii="Tahoma" w:hAnsi="Tahoma" w:cs="Tahoma"/>
                <w:sz w:val="18"/>
                <w:szCs w:val="18"/>
              </w:rPr>
              <w:t xml:space="preserve"> заключенным с собственником ТС и предоставляющим ему право на реализацию такого ТС. </w:t>
            </w:r>
            <w:r w:rsidRPr="00E24712">
              <w:rPr>
                <w:rFonts w:ascii="Tahoma" w:hAnsi="Tahoma" w:cs="Tahoma"/>
                <w:sz w:val="18"/>
                <w:szCs w:val="18"/>
              </w:rPr>
              <w:t>При необходимости Банком может быть запрошен</w:t>
            </w:r>
            <w:r>
              <w:rPr>
                <w:rFonts w:ascii="Tahoma" w:hAnsi="Tahoma" w:cs="Tahoma"/>
                <w:sz w:val="18"/>
                <w:szCs w:val="18"/>
              </w:rPr>
              <w:t>о Свидетельство о регистрации транспортного средства</w:t>
            </w:r>
            <w:r w:rsidRPr="00E24712">
              <w:rPr>
                <w:rFonts w:ascii="Tahoma" w:hAnsi="Tahoma" w:cs="Tahoma"/>
                <w:sz w:val="18"/>
                <w:szCs w:val="18"/>
              </w:rPr>
              <w:t>.</w:t>
            </w:r>
          </w:p>
          <w:p w14:paraId="7E7B2376" w14:textId="77777777" w:rsidR="009D1253" w:rsidRDefault="009D1253" w:rsidP="009D1253">
            <w:pPr>
              <w:pStyle w:val="a9"/>
              <w:spacing w:before="0" w:after="0"/>
              <w:rPr>
                <w:rFonts w:ascii="Tahoma" w:hAnsi="Tahoma" w:cs="Tahoma"/>
                <w:sz w:val="18"/>
                <w:szCs w:val="18"/>
              </w:rPr>
            </w:pPr>
            <w:r>
              <w:rPr>
                <w:rFonts w:ascii="Tahoma" w:hAnsi="Tahoma" w:cs="Tahoma"/>
                <w:sz w:val="18"/>
                <w:szCs w:val="18"/>
              </w:rPr>
              <w:t xml:space="preserve">Для ТС, ввезенных из-за границы и не поставленных на государственный регистрационный учет в РФ дополнительно к указанным документам и выписке из ЭПТС прилагается таможенная декларация (или иной документ при отсутствии у продавца ТС таможенной декларации </w:t>
            </w:r>
            <w:r w:rsidRPr="001901B1">
              <w:rPr>
                <w:rFonts w:ascii="Tahoma" w:hAnsi="Tahoma" w:cs="Tahoma"/>
                <w:sz w:val="18"/>
                <w:szCs w:val="18"/>
              </w:rPr>
              <w:t>или в дополнение к ней</w:t>
            </w:r>
            <w:r>
              <w:rPr>
                <w:rFonts w:ascii="Tahoma" w:hAnsi="Tahoma" w:cs="Tahoma"/>
                <w:sz w:val="18"/>
                <w:szCs w:val="18"/>
              </w:rPr>
              <w:t xml:space="preserve">). </w:t>
            </w:r>
            <w:r w:rsidRPr="001901B1">
              <w:rPr>
                <w:rFonts w:ascii="Tahoma" w:hAnsi="Tahoma" w:cs="Tahoma"/>
                <w:sz w:val="18"/>
                <w:szCs w:val="18"/>
              </w:rPr>
              <w:t>При этом таможенная декларация и/или иной документ, предоставленный Банку</w:t>
            </w:r>
            <w:r>
              <w:rPr>
                <w:rFonts w:ascii="Tahoma" w:hAnsi="Tahoma" w:cs="Tahoma"/>
                <w:sz w:val="18"/>
                <w:szCs w:val="18"/>
              </w:rPr>
              <w:t>,</w:t>
            </w:r>
            <w:r w:rsidRPr="001901B1">
              <w:rPr>
                <w:rFonts w:ascii="Tahoma" w:hAnsi="Tahoma" w:cs="Tahoma"/>
                <w:sz w:val="18"/>
                <w:szCs w:val="18"/>
              </w:rPr>
              <w:t xml:space="preserve"> должен содержать</w:t>
            </w:r>
            <w:r>
              <w:rPr>
                <w:rFonts w:ascii="Tahoma" w:hAnsi="Tahoma" w:cs="Tahoma"/>
                <w:sz w:val="18"/>
                <w:szCs w:val="18"/>
              </w:rPr>
              <w:t xml:space="preserve"> VIN номер ТС, а также идентификационные данные продавца ТС (или иного лица, осуществлявшего таможенные процедуры в отношении ТС, а также процедуры, необходимые для получения ЭПТС, и передавшего полномочия по реализации ТС продавцу ТС на основании договора).</w:t>
            </w:r>
          </w:p>
          <w:p w14:paraId="550C6D09" w14:textId="77777777" w:rsidR="009D1253" w:rsidRPr="005A07E7" w:rsidRDefault="009D1253" w:rsidP="009D1253">
            <w:pPr>
              <w:pStyle w:val="a9"/>
              <w:tabs>
                <w:tab w:val="left" w:pos="0"/>
                <w:tab w:val="left" w:pos="176"/>
                <w:tab w:val="left" w:pos="835"/>
              </w:tabs>
              <w:spacing w:before="0" w:after="0"/>
              <w:jc w:val="left"/>
              <w:rPr>
                <w:rFonts w:ascii="Tahoma" w:hAnsi="Tahoma" w:cs="Tahoma"/>
                <w:strike/>
                <w:sz w:val="18"/>
                <w:szCs w:val="18"/>
                <w:lang w:eastAsia="en-US"/>
              </w:rPr>
            </w:pPr>
          </w:p>
          <w:p w14:paraId="58BFE62F" w14:textId="77777777" w:rsidR="009D1253" w:rsidRPr="005A07E7" w:rsidRDefault="009D1253" w:rsidP="009D1253">
            <w:pPr>
              <w:pStyle w:val="a9"/>
              <w:numPr>
                <w:ilvl w:val="0"/>
                <w:numId w:val="112"/>
              </w:numPr>
              <w:tabs>
                <w:tab w:val="left" w:pos="0"/>
                <w:tab w:val="left" w:pos="268"/>
              </w:tabs>
              <w:spacing w:before="0" w:after="0"/>
              <w:ind w:hanging="643"/>
              <w:rPr>
                <w:rFonts w:ascii="Tahoma" w:hAnsi="Tahoma" w:cs="Tahoma"/>
                <w:b/>
                <w:sz w:val="18"/>
                <w:szCs w:val="18"/>
                <w:lang w:eastAsia="en-US"/>
              </w:rPr>
            </w:pPr>
            <w:r w:rsidRPr="005A07E7">
              <w:rPr>
                <w:rFonts w:ascii="Tahoma" w:hAnsi="Tahoma" w:cs="Tahoma"/>
                <w:b/>
                <w:sz w:val="18"/>
                <w:szCs w:val="18"/>
                <w:lang w:eastAsia="en-US"/>
              </w:rPr>
              <w:t>Пакет документов для Заёмщика</w:t>
            </w:r>
          </w:p>
          <w:p w14:paraId="54EE72D6" w14:textId="77777777" w:rsidR="009D1253" w:rsidRPr="005A07E7" w:rsidRDefault="009D1253" w:rsidP="009D1253">
            <w:pPr>
              <w:pStyle w:val="a9"/>
              <w:numPr>
                <w:ilvl w:val="0"/>
                <w:numId w:val="113"/>
              </w:numPr>
              <w:tabs>
                <w:tab w:val="left" w:pos="0"/>
                <w:tab w:val="left" w:pos="268"/>
              </w:tabs>
              <w:spacing w:before="0" w:after="0"/>
              <w:ind w:hanging="720"/>
              <w:rPr>
                <w:rFonts w:ascii="Tahoma" w:hAnsi="Tahoma" w:cs="Tahoma"/>
                <w:sz w:val="18"/>
                <w:szCs w:val="18"/>
                <w:lang w:eastAsia="en-US"/>
              </w:rPr>
            </w:pPr>
            <w:r w:rsidRPr="005A07E7">
              <w:rPr>
                <w:rFonts w:ascii="Tahoma" w:hAnsi="Tahoma" w:cs="Tahoma"/>
                <w:sz w:val="18"/>
                <w:szCs w:val="18"/>
                <w:lang w:eastAsia="en-US"/>
              </w:rPr>
              <w:t>Паспорт гражданина РФ</w:t>
            </w:r>
          </w:p>
          <w:p w14:paraId="5AB86CCF" w14:textId="77777777" w:rsidR="009D1253" w:rsidRPr="005A07E7" w:rsidRDefault="009D1253" w:rsidP="009D1253">
            <w:pPr>
              <w:pStyle w:val="a9"/>
              <w:numPr>
                <w:ilvl w:val="0"/>
                <w:numId w:val="113"/>
              </w:numPr>
              <w:tabs>
                <w:tab w:val="left" w:pos="0"/>
                <w:tab w:val="left" w:pos="268"/>
              </w:tabs>
              <w:spacing w:before="0" w:after="0"/>
              <w:ind w:left="0" w:firstLine="0"/>
              <w:rPr>
                <w:rFonts w:ascii="Tahoma" w:hAnsi="Tahoma" w:cs="Tahoma"/>
                <w:sz w:val="18"/>
                <w:szCs w:val="18"/>
                <w:lang w:eastAsia="en-US"/>
              </w:rPr>
            </w:pPr>
            <w:r w:rsidRPr="005A07E7">
              <w:rPr>
                <w:rFonts w:ascii="Tahoma" w:hAnsi="Tahoma" w:cs="Tahoma"/>
                <w:sz w:val="18"/>
                <w:szCs w:val="18"/>
                <w:lang w:eastAsia="en-US"/>
              </w:rPr>
              <w:t>Второй документ, предоставляется из следующих документов по выбору Заёмщика:</w:t>
            </w:r>
            <w:r w:rsidRPr="005A07E7" w:rsidDel="00721FE6">
              <w:rPr>
                <w:rFonts w:ascii="Tahoma" w:hAnsi="Tahoma" w:cs="Tahoma"/>
                <w:sz w:val="18"/>
                <w:szCs w:val="18"/>
                <w:lang w:eastAsia="en-US"/>
              </w:rPr>
              <w:t xml:space="preserve"> </w:t>
            </w:r>
          </w:p>
          <w:p w14:paraId="70331EB5" w14:textId="77777777" w:rsidR="009D1253" w:rsidRPr="005A07E7" w:rsidRDefault="009D1253" w:rsidP="009D1253">
            <w:pPr>
              <w:pStyle w:val="a9"/>
              <w:tabs>
                <w:tab w:val="left" w:pos="0"/>
              </w:tabs>
              <w:spacing w:before="0" w:after="0"/>
              <w:ind w:firstLine="334"/>
              <w:rPr>
                <w:rFonts w:ascii="Tahoma" w:hAnsi="Tahoma" w:cs="Tahoma"/>
                <w:sz w:val="18"/>
                <w:szCs w:val="18"/>
                <w:lang w:eastAsia="en-US"/>
              </w:rPr>
            </w:pPr>
            <w:r w:rsidRPr="005A07E7">
              <w:rPr>
                <w:rFonts w:ascii="Tahoma" w:hAnsi="Tahoma" w:cs="Tahoma"/>
                <w:sz w:val="18"/>
                <w:szCs w:val="18"/>
                <w:lang w:eastAsia="en-US"/>
              </w:rPr>
              <w:t>- за</w:t>
            </w:r>
            <w:r>
              <w:rPr>
                <w:rFonts w:ascii="Tahoma" w:hAnsi="Tahoma" w:cs="Tahoma"/>
                <w:sz w:val="18"/>
                <w:szCs w:val="18"/>
                <w:lang w:eastAsia="en-US"/>
              </w:rPr>
              <w:t>граничный паспорт гражданина РФ</w:t>
            </w:r>
            <w:r w:rsidRPr="005A07E7">
              <w:rPr>
                <w:rFonts w:ascii="Tahoma" w:hAnsi="Tahoma" w:cs="Tahoma"/>
                <w:sz w:val="18"/>
                <w:szCs w:val="18"/>
                <w:lang w:eastAsia="en-US"/>
              </w:rPr>
              <w:t xml:space="preserve"> </w:t>
            </w:r>
          </w:p>
          <w:p w14:paraId="742DF9F7" w14:textId="77777777" w:rsidR="009D1253" w:rsidRPr="005A07E7" w:rsidRDefault="009D1253" w:rsidP="009D1253">
            <w:pPr>
              <w:pStyle w:val="a9"/>
              <w:tabs>
                <w:tab w:val="left" w:pos="0"/>
              </w:tabs>
              <w:spacing w:before="0" w:after="0"/>
              <w:ind w:firstLine="334"/>
              <w:rPr>
                <w:rFonts w:ascii="Tahoma" w:hAnsi="Tahoma" w:cs="Tahoma"/>
                <w:sz w:val="18"/>
                <w:szCs w:val="18"/>
                <w:lang w:eastAsia="en-US"/>
              </w:rPr>
            </w:pPr>
            <w:r>
              <w:rPr>
                <w:rFonts w:ascii="Tahoma" w:hAnsi="Tahoma" w:cs="Tahoma"/>
                <w:sz w:val="18"/>
                <w:szCs w:val="18"/>
                <w:lang w:eastAsia="en-US"/>
              </w:rPr>
              <w:t>- водительское удостоверение</w:t>
            </w:r>
          </w:p>
          <w:p w14:paraId="22DB6E72" w14:textId="77777777" w:rsidR="009D1253" w:rsidRPr="005A07E7" w:rsidRDefault="009D1253" w:rsidP="009D1253">
            <w:pPr>
              <w:pStyle w:val="a9"/>
              <w:tabs>
                <w:tab w:val="left" w:pos="0"/>
              </w:tabs>
              <w:spacing w:before="0" w:after="0"/>
              <w:ind w:firstLine="334"/>
              <w:rPr>
                <w:rFonts w:ascii="Tahoma" w:hAnsi="Tahoma" w:cs="Tahoma"/>
                <w:sz w:val="18"/>
                <w:szCs w:val="18"/>
                <w:lang w:eastAsia="en-US"/>
              </w:rPr>
            </w:pPr>
            <w:r>
              <w:rPr>
                <w:rFonts w:ascii="Tahoma" w:hAnsi="Tahoma" w:cs="Tahoma"/>
                <w:sz w:val="18"/>
                <w:szCs w:val="18"/>
                <w:lang w:eastAsia="en-US"/>
              </w:rPr>
              <w:t>- СНИЛС</w:t>
            </w:r>
          </w:p>
          <w:p w14:paraId="5728CCAD" w14:textId="77777777" w:rsidR="009D1253" w:rsidRPr="005A07E7" w:rsidRDefault="009D1253" w:rsidP="009D1253">
            <w:pPr>
              <w:pStyle w:val="a9"/>
              <w:tabs>
                <w:tab w:val="left" w:pos="0"/>
              </w:tabs>
              <w:spacing w:before="0" w:after="0"/>
              <w:rPr>
                <w:rFonts w:ascii="Tahoma" w:hAnsi="Tahoma" w:cs="Tahoma"/>
                <w:strike/>
                <w:sz w:val="18"/>
                <w:szCs w:val="18"/>
              </w:rPr>
            </w:pPr>
          </w:p>
          <w:p w14:paraId="5340EAB4" w14:textId="77777777" w:rsidR="009D1253" w:rsidRDefault="009D1253" w:rsidP="009D1253">
            <w:pPr>
              <w:autoSpaceDE w:val="0"/>
              <w:autoSpaceDN w:val="0"/>
              <w:adjustRightInd w:val="0"/>
              <w:rPr>
                <w:rFonts w:ascii="Tahoma" w:hAnsi="Tahoma" w:cs="Tahoma"/>
                <w:sz w:val="20"/>
                <w:szCs w:val="18"/>
              </w:rPr>
            </w:pPr>
            <w:r w:rsidRPr="008006DB">
              <w:rPr>
                <w:rFonts w:ascii="Tahoma" w:hAnsi="Tahoma" w:cs="Tahoma"/>
                <w:sz w:val="20"/>
                <w:szCs w:val="18"/>
              </w:rPr>
              <w:t xml:space="preserve">По результатам рассмотрения заявления о предоставлении потребительского кредита, Банком могут быть запрошены документы, подтверждающие финансовое состояние Заёмщика, а также его занятость. </w:t>
            </w:r>
          </w:p>
          <w:p w14:paraId="7C78DDC5" w14:textId="77777777" w:rsidR="009D1253" w:rsidRPr="008006DB" w:rsidRDefault="009D1253" w:rsidP="009D1253">
            <w:pPr>
              <w:pStyle w:val="a9"/>
              <w:tabs>
                <w:tab w:val="left" w:pos="268"/>
              </w:tabs>
              <w:spacing w:before="0" w:after="0"/>
              <w:ind w:left="-16" w:right="-1"/>
              <w:rPr>
                <w:rFonts w:ascii="Tahoma" w:hAnsi="Tahoma" w:cs="Tahoma"/>
                <w:szCs w:val="18"/>
                <w:lang w:eastAsia="en-US"/>
              </w:rPr>
            </w:pPr>
            <w:r w:rsidRPr="008006DB">
              <w:rPr>
                <w:rFonts w:ascii="Tahoma" w:hAnsi="Tahoma" w:cs="Tahoma"/>
                <w:szCs w:val="18"/>
                <w:lang w:eastAsia="en-US"/>
              </w:rPr>
              <w:t xml:space="preserve">В качестве документов, подтверждающих финансовое состояние Заёмщика, могут быть предоставлены: </w:t>
            </w:r>
          </w:p>
          <w:tbl>
            <w:tblPr>
              <w:tblStyle w:val="aff0"/>
              <w:tblW w:w="10653" w:type="dxa"/>
              <w:tblInd w:w="8" w:type="dxa"/>
              <w:tblLayout w:type="fixed"/>
              <w:tblLook w:val="04A0" w:firstRow="1" w:lastRow="0" w:firstColumn="1" w:lastColumn="0" w:noHBand="0" w:noVBand="1"/>
            </w:tblPr>
            <w:tblGrid>
              <w:gridCol w:w="2096"/>
              <w:gridCol w:w="8557"/>
            </w:tblGrid>
            <w:tr w:rsidR="009D1253" w:rsidRPr="00B2133F" w14:paraId="26BC34DF" w14:textId="77777777" w:rsidTr="009D1253">
              <w:tc>
                <w:tcPr>
                  <w:tcW w:w="2096" w:type="dxa"/>
                </w:tcPr>
                <w:p w14:paraId="43E0BB5D" w14:textId="77777777" w:rsidR="009D1253" w:rsidRPr="00B2133F" w:rsidRDefault="009D1253" w:rsidP="009D1253">
                  <w:pPr>
                    <w:rPr>
                      <w:rFonts w:ascii="Tahoma" w:hAnsi="Tahoma" w:cs="Tahoma"/>
                      <w:sz w:val="18"/>
                      <w:szCs w:val="18"/>
                    </w:rPr>
                  </w:pPr>
                  <w:r w:rsidRPr="00B2133F">
                    <w:rPr>
                      <w:rFonts w:ascii="Tahoma" w:hAnsi="Tahoma" w:cs="Tahoma"/>
                      <w:sz w:val="18"/>
                      <w:szCs w:val="18"/>
                    </w:rPr>
                    <w:t>Виды (источники) дохода</w:t>
                  </w:r>
                </w:p>
              </w:tc>
              <w:tc>
                <w:tcPr>
                  <w:tcW w:w="8557" w:type="dxa"/>
                </w:tcPr>
                <w:p w14:paraId="1F80AEBC"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t>Документы, подтверждающие финансовое состояние Заёмщика*</w:t>
                  </w:r>
                </w:p>
              </w:tc>
            </w:tr>
            <w:tr w:rsidR="009D1253" w:rsidRPr="00B2133F" w14:paraId="5CCBB3F0" w14:textId="77777777" w:rsidTr="009D1253">
              <w:tc>
                <w:tcPr>
                  <w:tcW w:w="2096" w:type="dxa"/>
                </w:tcPr>
                <w:p w14:paraId="1D4508EF"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t>Основное место работы</w:t>
                  </w:r>
                </w:p>
              </w:tc>
              <w:tc>
                <w:tcPr>
                  <w:tcW w:w="8557" w:type="dxa"/>
                </w:tcPr>
                <w:p w14:paraId="7C747BF5" w14:textId="77777777" w:rsidR="009D1253" w:rsidRPr="00B2133F" w:rsidRDefault="009D1253" w:rsidP="009D1253">
                  <w:pPr>
                    <w:tabs>
                      <w:tab w:val="left" w:pos="6979"/>
                    </w:tabs>
                    <w:ind w:right="176"/>
                    <w:jc w:val="both"/>
                    <w:rPr>
                      <w:rFonts w:ascii="Tahoma" w:hAnsi="Tahoma" w:cs="Tahoma"/>
                      <w:sz w:val="18"/>
                      <w:szCs w:val="18"/>
                    </w:rPr>
                  </w:pPr>
                  <w:r w:rsidRPr="00B2133F">
                    <w:rPr>
                      <w:rFonts w:ascii="Tahoma" w:hAnsi="Tahoma" w:cs="Tahoma"/>
                      <w:sz w:val="18"/>
                      <w:szCs w:val="18"/>
                    </w:rPr>
                    <w:t>Один из следующих документов по выбору Заёмщика:</w:t>
                  </w:r>
                </w:p>
                <w:p w14:paraId="1BC45C9E" w14:textId="77777777" w:rsidR="009D1253" w:rsidRPr="005500FA" w:rsidRDefault="009D1253" w:rsidP="009D1253">
                  <w:pPr>
                    <w:pStyle w:val="affe"/>
                    <w:numPr>
                      <w:ilvl w:val="0"/>
                      <w:numId w:val="130"/>
                    </w:numPr>
                    <w:tabs>
                      <w:tab w:val="left" w:pos="6979"/>
                      <w:tab w:val="left" w:pos="7880"/>
                    </w:tabs>
                    <w:ind w:left="226" w:hanging="226"/>
                    <w:jc w:val="both"/>
                    <w:rPr>
                      <w:rFonts w:ascii="Tahoma" w:hAnsi="Tahoma" w:cs="Tahoma"/>
                      <w:sz w:val="18"/>
                      <w:szCs w:val="18"/>
                    </w:rPr>
                  </w:pPr>
                  <w:r w:rsidRPr="005500FA">
                    <w:rPr>
                      <w:rFonts w:ascii="Tahoma" w:hAnsi="Tahoma" w:cs="Tahoma"/>
                      <w:sz w:val="18"/>
                      <w:szCs w:val="18"/>
                    </w:rPr>
                    <w:t>Справка о доходах и суммах налога физического лица или Справка о доходах и удержанных суммах по образцу государственного учреждения, внутренними распорядительными документами которого установлены ограничения на предоставление своим работникам справок о доходах и суммах налога физического лица**</w:t>
                  </w:r>
                </w:p>
                <w:p w14:paraId="5721E18E" w14:textId="77777777" w:rsidR="009D1253" w:rsidRPr="005500FA" w:rsidRDefault="009D1253" w:rsidP="009D1253">
                  <w:pPr>
                    <w:pStyle w:val="affe"/>
                    <w:numPr>
                      <w:ilvl w:val="0"/>
                      <w:numId w:val="130"/>
                    </w:numPr>
                    <w:tabs>
                      <w:tab w:val="left" w:pos="6979"/>
                      <w:tab w:val="left" w:pos="7880"/>
                    </w:tabs>
                    <w:ind w:left="226" w:hanging="226"/>
                    <w:jc w:val="both"/>
                    <w:rPr>
                      <w:rFonts w:ascii="Tahoma" w:hAnsi="Tahoma" w:cs="Tahoma"/>
                      <w:sz w:val="18"/>
                      <w:szCs w:val="18"/>
                    </w:rPr>
                  </w:pPr>
                  <w:r w:rsidRPr="005500FA">
                    <w:rPr>
                      <w:rFonts w:ascii="Tahoma" w:hAnsi="Tahoma" w:cs="Tahoma"/>
                      <w:sz w:val="18"/>
                      <w:szCs w:val="18"/>
                    </w:rPr>
                    <w:t>Выписка о состоянии индивидуального лицевого счета застрахованного лица в системе обязательного пенсионного страхования***</w:t>
                  </w:r>
                </w:p>
                <w:p w14:paraId="49D6DB5A" w14:textId="77777777" w:rsidR="009D1253" w:rsidRPr="005500FA" w:rsidRDefault="009D1253" w:rsidP="009D1253">
                  <w:pPr>
                    <w:pStyle w:val="affe"/>
                    <w:numPr>
                      <w:ilvl w:val="0"/>
                      <w:numId w:val="130"/>
                    </w:numPr>
                    <w:tabs>
                      <w:tab w:val="left" w:pos="6979"/>
                      <w:tab w:val="left" w:pos="7880"/>
                    </w:tabs>
                    <w:ind w:left="226" w:hanging="226"/>
                    <w:jc w:val="both"/>
                    <w:rPr>
                      <w:rFonts w:ascii="Tahoma" w:hAnsi="Tahoma" w:cs="Tahoma"/>
                      <w:sz w:val="18"/>
                      <w:szCs w:val="18"/>
                    </w:rPr>
                  </w:pPr>
                  <w:r w:rsidRPr="005500FA">
                    <w:rPr>
                      <w:rFonts w:ascii="Tahoma" w:hAnsi="Tahoma" w:cs="Tahoma"/>
                      <w:sz w:val="18"/>
                      <w:szCs w:val="18"/>
                    </w:rPr>
                    <w:t>Справка по форме Банка**</w:t>
                  </w:r>
                </w:p>
                <w:p w14:paraId="52A9F292" w14:textId="77777777" w:rsidR="009D1253" w:rsidRPr="005500FA" w:rsidRDefault="009D1253" w:rsidP="009D1253">
                  <w:pPr>
                    <w:pStyle w:val="affe"/>
                    <w:numPr>
                      <w:ilvl w:val="0"/>
                      <w:numId w:val="130"/>
                    </w:numPr>
                    <w:tabs>
                      <w:tab w:val="left" w:pos="6979"/>
                      <w:tab w:val="left" w:pos="7880"/>
                    </w:tabs>
                    <w:ind w:left="226" w:hanging="226"/>
                    <w:jc w:val="both"/>
                    <w:rPr>
                      <w:rFonts w:ascii="Tahoma" w:hAnsi="Tahoma" w:cs="Tahoma"/>
                      <w:sz w:val="18"/>
                      <w:szCs w:val="18"/>
                    </w:rPr>
                  </w:pPr>
                  <w:r w:rsidRPr="00DF7D87">
                    <w:rPr>
                      <w:rFonts w:ascii="Tahoma" w:hAnsi="Tahoma" w:cs="Tahoma"/>
                      <w:sz w:val="18"/>
                      <w:szCs w:val="18"/>
                    </w:rPr>
                    <w:t>Выписка с</w:t>
                  </w:r>
                  <w:r>
                    <w:rPr>
                      <w:rFonts w:ascii="Tahoma" w:hAnsi="Tahoma" w:cs="Tahoma"/>
                      <w:sz w:val="18"/>
                      <w:szCs w:val="18"/>
                    </w:rPr>
                    <w:t xml:space="preserve"> банковского</w:t>
                  </w:r>
                  <w:r w:rsidRPr="00DF7D87">
                    <w:rPr>
                      <w:rFonts w:ascii="Tahoma" w:hAnsi="Tahoma" w:cs="Tahoma"/>
                      <w:sz w:val="18"/>
                      <w:szCs w:val="18"/>
                    </w:rPr>
                    <w:t xml:space="preserve"> счета, на который осуществляются </w:t>
                  </w:r>
                  <w:r>
                    <w:rPr>
                      <w:rFonts w:ascii="Tahoma" w:hAnsi="Tahoma" w:cs="Tahoma"/>
                      <w:sz w:val="18"/>
                      <w:szCs w:val="18"/>
                    </w:rPr>
                    <w:t>зачисления заработной платы Заемщика</w:t>
                  </w:r>
                  <w:r w:rsidRPr="00DF7D87">
                    <w:rPr>
                      <w:rFonts w:ascii="Tahoma" w:hAnsi="Tahoma" w:cs="Tahoma"/>
                      <w:sz w:val="18"/>
                      <w:szCs w:val="18"/>
                    </w:rPr>
                    <w:t>, выданная кредитн</w:t>
                  </w:r>
                  <w:r>
                    <w:rPr>
                      <w:rFonts w:ascii="Tahoma" w:hAnsi="Tahoma" w:cs="Tahoma"/>
                      <w:sz w:val="18"/>
                      <w:szCs w:val="18"/>
                    </w:rPr>
                    <w:t>ой</w:t>
                  </w:r>
                  <w:r w:rsidRPr="00DF7D87">
                    <w:rPr>
                      <w:rFonts w:ascii="Tahoma" w:hAnsi="Tahoma" w:cs="Tahoma"/>
                      <w:sz w:val="18"/>
                      <w:szCs w:val="18"/>
                    </w:rPr>
                    <w:t xml:space="preserve"> организаци</w:t>
                  </w:r>
                  <w:r>
                    <w:rPr>
                      <w:rFonts w:ascii="Tahoma" w:hAnsi="Tahoma" w:cs="Tahoma"/>
                      <w:sz w:val="18"/>
                      <w:szCs w:val="18"/>
                    </w:rPr>
                    <w:t>ей</w:t>
                  </w:r>
                  <w:r w:rsidRPr="00DF7D87">
                    <w:rPr>
                      <w:rFonts w:ascii="Tahoma" w:hAnsi="Tahoma" w:cs="Tahoma"/>
                      <w:sz w:val="18"/>
                      <w:szCs w:val="18"/>
                    </w:rPr>
                    <w:t xml:space="preserve"> и заверенная печатью и подписью уполномоченного лица, в т.ч. </w:t>
                  </w:r>
                  <w:r w:rsidRPr="00040CA2">
                    <w:rPr>
                      <w:rFonts w:ascii="Tahoma" w:hAnsi="Tahoma" w:cs="Tahoma"/>
                      <w:sz w:val="18"/>
                      <w:szCs w:val="18"/>
                      <w:lang w:eastAsia="en-US"/>
                    </w:rPr>
                    <w:t>выписка с каналов дистанционного обслуживания кредитной организации</w:t>
                  </w:r>
                </w:p>
              </w:tc>
            </w:tr>
            <w:tr w:rsidR="009D1253" w:rsidRPr="00B2133F" w14:paraId="5D315D80" w14:textId="77777777" w:rsidTr="009D1253">
              <w:tc>
                <w:tcPr>
                  <w:tcW w:w="2096" w:type="dxa"/>
                </w:tcPr>
                <w:p w14:paraId="0DC2E36B"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t>Пенсия</w:t>
                  </w:r>
                </w:p>
              </w:tc>
              <w:tc>
                <w:tcPr>
                  <w:tcW w:w="8557" w:type="dxa"/>
                </w:tcPr>
                <w:p w14:paraId="089B4290" w14:textId="77777777" w:rsidR="009D1253" w:rsidRDefault="009D1253" w:rsidP="009D1253">
                  <w:pPr>
                    <w:tabs>
                      <w:tab w:val="left" w:pos="6979"/>
                    </w:tabs>
                    <w:ind w:right="176"/>
                    <w:jc w:val="both"/>
                    <w:rPr>
                      <w:rFonts w:ascii="Tahoma" w:hAnsi="Tahoma" w:cs="Tahoma"/>
                      <w:sz w:val="18"/>
                      <w:szCs w:val="18"/>
                    </w:rPr>
                  </w:pPr>
                  <w:r w:rsidRPr="00B2133F">
                    <w:rPr>
                      <w:rFonts w:ascii="Tahoma" w:hAnsi="Tahoma" w:cs="Tahoma"/>
                      <w:sz w:val="18"/>
                      <w:szCs w:val="18"/>
                    </w:rPr>
                    <w:t>Один из следующих документов по выбору Заемщика****:</w:t>
                  </w:r>
                </w:p>
                <w:p w14:paraId="475534C0" w14:textId="77777777" w:rsidR="009D1253" w:rsidRPr="005500FA" w:rsidRDefault="009D1253" w:rsidP="009D1253">
                  <w:pPr>
                    <w:pStyle w:val="affe"/>
                    <w:numPr>
                      <w:ilvl w:val="0"/>
                      <w:numId w:val="131"/>
                    </w:numPr>
                    <w:tabs>
                      <w:tab w:val="left" w:pos="6979"/>
                    </w:tabs>
                    <w:ind w:left="226" w:right="176" w:hanging="226"/>
                    <w:jc w:val="both"/>
                    <w:rPr>
                      <w:rFonts w:ascii="Tahoma" w:hAnsi="Tahoma" w:cs="Tahoma"/>
                      <w:sz w:val="18"/>
                      <w:szCs w:val="18"/>
                    </w:rPr>
                  </w:pPr>
                  <w:r w:rsidRPr="005500FA">
                    <w:rPr>
                      <w:rFonts w:ascii="Tahoma" w:hAnsi="Tahoma" w:cs="Tahoma"/>
                      <w:sz w:val="18"/>
                      <w:szCs w:val="18"/>
                    </w:rPr>
                    <w:t>Выписка со счета, выданная кредитными организациями, на который осуществляются пенсионные выплаты</w:t>
                  </w:r>
                </w:p>
                <w:p w14:paraId="2AD58A8F" w14:textId="77777777" w:rsidR="009D1253" w:rsidRPr="005500FA" w:rsidRDefault="009D1253" w:rsidP="009D1253">
                  <w:pPr>
                    <w:pStyle w:val="affe"/>
                    <w:numPr>
                      <w:ilvl w:val="0"/>
                      <w:numId w:val="131"/>
                    </w:numPr>
                    <w:tabs>
                      <w:tab w:val="left" w:pos="6979"/>
                    </w:tabs>
                    <w:ind w:left="226" w:right="176" w:hanging="226"/>
                    <w:jc w:val="both"/>
                    <w:rPr>
                      <w:rFonts w:ascii="Tahoma" w:hAnsi="Tahoma" w:cs="Tahoma"/>
                      <w:sz w:val="18"/>
                      <w:szCs w:val="18"/>
                    </w:rPr>
                  </w:pPr>
                  <w:r w:rsidRPr="005500FA">
                    <w:rPr>
                      <w:rFonts w:ascii="Tahoma" w:hAnsi="Tahoma" w:cs="Tahoma"/>
                      <w:sz w:val="18"/>
                      <w:szCs w:val="18"/>
                    </w:rPr>
                    <w:t xml:space="preserve">Справка </w:t>
                  </w:r>
                  <w:r>
                    <w:rPr>
                      <w:rFonts w:ascii="Tahoma" w:hAnsi="Tahoma" w:cs="Tahoma"/>
                      <w:sz w:val="18"/>
                      <w:szCs w:val="18"/>
                    </w:rPr>
                    <w:t>Социального</w:t>
                  </w:r>
                  <w:r w:rsidRPr="005500FA">
                    <w:rPr>
                      <w:rFonts w:ascii="Tahoma" w:hAnsi="Tahoma" w:cs="Tahoma"/>
                      <w:sz w:val="18"/>
                      <w:szCs w:val="18"/>
                    </w:rPr>
                    <w:t xml:space="preserve"> фонда Российской Федерации или другого государственного органа, выплачивающего пенсию о размере пенсии, ежемесячного пожизненного содержания судьям </w:t>
                  </w:r>
                  <w:r w:rsidRPr="005500FA">
                    <w:rPr>
                      <w:rFonts w:ascii="Tahoma" w:hAnsi="Tahoma" w:cs="Tahoma"/>
                      <w:sz w:val="18"/>
                      <w:szCs w:val="18"/>
                    </w:rPr>
                    <w:lastRenderedPageBreak/>
                    <w:t>или ежемесячной надбавки к денежному содержанию судьям о назначении пенсии /иной документ, подтверждающий право на получение пенсии, содержащий идентификационные данные Клиента и размера дохода (например, выписка из ФПСС)</w:t>
                  </w:r>
                </w:p>
              </w:tc>
            </w:tr>
            <w:tr w:rsidR="009D1253" w:rsidRPr="00B2133F" w14:paraId="67986996" w14:textId="77777777" w:rsidTr="009D1253">
              <w:tc>
                <w:tcPr>
                  <w:tcW w:w="2096" w:type="dxa"/>
                </w:tcPr>
                <w:p w14:paraId="49DCD144"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lastRenderedPageBreak/>
                    <w:t>Место работы по совместительству</w:t>
                  </w:r>
                </w:p>
              </w:tc>
              <w:tc>
                <w:tcPr>
                  <w:tcW w:w="8557" w:type="dxa"/>
                </w:tcPr>
                <w:p w14:paraId="3754E868" w14:textId="77777777" w:rsidR="009D1253" w:rsidRPr="00B2133F" w:rsidRDefault="009D1253" w:rsidP="009D1253">
                  <w:pPr>
                    <w:tabs>
                      <w:tab w:val="left" w:pos="6979"/>
                    </w:tabs>
                    <w:ind w:right="176"/>
                    <w:jc w:val="both"/>
                    <w:rPr>
                      <w:rFonts w:ascii="Tahoma" w:hAnsi="Tahoma" w:cs="Tahoma"/>
                      <w:sz w:val="18"/>
                      <w:szCs w:val="18"/>
                    </w:rPr>
                  </w:pPr>
                  <w:r w:rsidRPr="00B2133F">
                    <w:rPr>
                      <w:rFonts w:ascii="Tahoma" w:hAnsi="Tahoma" w:cs="Tahoma"/>
                      <w:sz w:val="18"/>
                      <w:szCs w:val="18"/>
                    </w:rPr>
                    <w:t>Один из следующих документов по выбору Заёмщика:</w:t>
                  </w:r>
                </w:p>
                <w:p w14:paraId="4F64BB4B" w14:textId="77777777" w:rsidR="009D1253" w:rsidRPr="005500FA" w:rsidRDefault="009D1253" w:rsidP="009D1253">
                  <w:pPr>
                    <w:pStyle w:val="affe"/>
                    <w:numPr>
                      <w:ilvl w:val="0"/>
                      <w:numId w:val="132"/>
                    </w:numPr>
                    <w:tabs>
                      <w:tab w:val="left" w:pos="6979"/>
                    </w:tabs>
                    <w:ind w:left="226" w:right="176" w:hanging="226"/>
                    <w:jc w:val="both"/>
                    <w:rPr>
                      <w:rFonts w:ascii="Tahoma" w:hAnsi="Tahoma" w:cs="Tahoma"/>
                      <w:sz w:val="18"/>
                      <w:szCs w:val="18"/>
                    </w:rPr>
                  </w:pPr>
                  <w:r w:rsidRPr="005500FA">
                    <w:rPr>
                      <w:rFonts w:ascii="Tahoma" w:hAnsi="Tahoma" w:cs="Tahoma"/>
                      <w:sz w:val="18"/>
                      <w:szCs w:val="18"/>
                    </w:rPr>
                    <w:t>Справка о доходах и суммах налога физического лица или Справка о доходах и удержанных суммах по образцу государственного учреждения, внутренними распорядительными документами которого установлены ограничения на предоставление своим работникам справок о доходах и суммах налога физического лица**</w:t>
                  </w:r>
                </w:p>
                <w:p w14:paraId="6671FA18" w14:textId="77777777" w:rsidR="009D1253" w:rsidRPr="005500FA" w:rsidRDefault="009D1253" w:rsidP="009D1253">
                  <w:pPr>
                    <w:pStyle w:val="affe"/>
                    <w:numPr>
                      <w:ilvl w:val="0"/>
                      <w:numId w:val="132"/>
                    </w:numPr>
                    <w:tabs>
                      <w:tab w:val="left" w:pos="6979"/>
                    </w:tabs>
                    <w:ind w:left="226" w:right="176" w:hanging="226"/>
                    <w:jc w:val="both"/>
                    <w:rPr>
                      <w:rFonts w:ascii="Tahoma" w:hAnsi="Tahoma" w:cs="Tahoma"/>
                      <w:sz w:val="18"/>
                      <w:szCs w:val="18"/>
                    </w:rPr>
                  </w:pPr>
                  <w:r w:rsidRPr="005500FA">
                    <w:rPr>
                      <w:rFonts w:ascii="Tahoma" w:hAnsi="Tahoma" w:cs="Tahoma"/>
                      <w:sz w:val="18"/>
                      <w:szCs w:val="18"/>
                    </w:rPr>
                    <w:t>Выписка о состоянии индивидуального лицевого счета застрахованного лица в системе обязательного пенсионного страхования***</w:t>
                  </w:r>
                </w:p>
                <w:p w14:paraId="3D94605B" w14:textId="77777777" w:rsidR="009D1253" w:rsidRPr="005500FA" w:rsidRDefault="009D1253" w:rsidP="009D1253">
                  <w:pPr>
                    <w:pStyle w:val="affe"/>
                    <w:numPr>
                      <w:ilvl w:val="0"/>
                      <w:numId w:val="132"/>
                    </w:numPr>
                    <w:tabs>
                      <w:tab w:val="left" w:pos="6979"/>
                    </w:tabs>
                    <w:ind w:left="226" w:right="176" w:hanging="226"/>
                    <w:jc w:val="both"/>
                    <w:rPr>
                      <w:rFonts w:ascii="Tahoma" w:hAnsi="Tahoma" w:cs="Tahoma"/>
                      <w:sz w:val="18"/>
                      <w:szCs w:val="18"/>
                    </w:rPr>
                  </w:pPr>
                  <w:r w:rsidRPr="005500FA">
                    <w:rPr>
                      <w:rFonts w:ascii="Tahoma" w:hAnsi="Tahoma" w:cs="Tahoma"/>
                      <w:sz w:val="18"/>
                      <w:szCs w:val="18"/>
                    </w:rPr>
                    <w:t>Справка по форме Банка**</w:t>
                  </w:r>
                </w:p>
                <w:p w14:paraId="004163A5" w14:textId="77777777" w:rsidR="009D1253" w:rsidRPr="005500FA" w:rsidRDefault="009D1253" w:rsidP="009D1253">
                  <w:pPr>
                    <w:pStyle w:val="affe"/>
                    <w:numPr>
                      <w:ilvl w:val="0"/>
                      <w:numId w:val="132"/>
                    </w:numPr>
                    <w:tabs>
                      <w:tab w:val="left" w:pos="6979"/>
                    </w:tabs>
                    <w:ind w:left="226" w:right="176" w:hanging="226"/>
                    <w:jc w:val="both"/>
                    <w:rPr>
                      <w:rFonts w:ascii="Tahoma" w:hAnsi="Tahoma" w:cs="Tahoma"/>
                      <w:sz w:val="18"/>
                      <w:szCs w:val="18"/>
                    </w:rPr>
                  </w:pPr>
                  <w:r w:rsidRPr="00DF7D87">
                    <w:rPr>
                      <w:rFonts w:ascii="Tahoma" w:hAnsi="Tahoma" w:cs="Tahoma"/>
                      <w:sz w:val="18"/>
                      <w:szCs w:val="18"/>
                    </w:rPr>
                    <w:t>Выписка с</w:t>
                  </w:r>
                  <w:r>
                    <w:rPr>
                      <w:rFonts w:ascii="Tahoma" w:hAnsi="Tahoma" w:cs="Tahoma"/>
                      <w:sz w:val="18"/>
                      <w:szCs w:val="18"/>
                    </w:rPr>
                    <w:t xml:space="preserve"> банковского</w:t>
                  </w:r>
                  <w:r w:rsidRPr="00DF7D87">
                    <w:rPr>
                      <w:rFonts w:ascii="Tahoma" w:hAnsi="Tahoma" w:cs="Tahoma"/>
                      <w:sz w:val="18"/>
                      <w:szCs w:val="18"/>
                    </w:rPr>
                    <w:t xml:space="preserve"> счета, на который осуществляются </w:t>
                  </w:r>
                  <w:r>
                    <w:rPr>
                      <w:rFonts w:ascii="Tahoma" w:hAnsi="Tahoma" w:cs="Tahoma"/>
                      <w:sz w:val="18"/>
                      <w:szCs w:val="18"/>
                    </w:rPr>
                    <w:t>зачисления заработной платы Заемщика</w:t>
                  </w:r>
                  <w:r w:rsidRPr="00DF7D87">
                    <w:rPr>
                      <w:rFonts w:ascii="Tahoma" w:hAnsi="Tahoma" w:cs="Tahoma"/>
                      <w:sz w:val="18"/>
                      <w:szCs w:val="18"/>
                    </w:rPr>
                    <w:t>, выданная кредитн</w:t>
                  </w:r>
                  <w:r>
                    <w:rPr>
                      <w:rFonts w:ascii="Tahoma" w:hAnsi="Tahoma" w:cs="Tahoma"/>
                      <w:sz w:val="18"/>
                      <w:szCs w:val="18"/>
                    </w:rPr>
                    <w:t>ой</w:t>
                  </w:r>
                  <w:r w:rsidRPr="00DF7D87">
                    <w:rPr>
                      <w:rFonts w:ascii="Tahoma" w:hAnsi="Tahoma" w:cs="Tahoma"/>
                      <w:sz w:val="18"/>
                      <w:szCs w:val="18"/>
                    </w:rPr>
                    <w:t xml:space="preserve"> организаци</w:t>
                  </w:r>
                  <w:r>
                    <w:rPr>
                      <w:rFonts w:ascii="Tahoma" w:hAnsi="Tahoma" w:cs="Tahoma"/>
                      <w:sz w:val="18"/>
                      <w:szCs w:val="18"/>
                    </w:rPr>
                    <w:t>ей</w:t>
                  </w:r>
                  <w:r w:rsidRPr="00DF7D87">
                    <w:rPr>
                      <w:rFonts w:ascii="Tahoma" w:hAnsi="Tahoma" w:cs="Tahoma"/>
                      <w:sz w:val="18"/>
                      <w:szCs w:val="18"/>
                    </w:rPr>
                    <w:t xml:space="preserve"> и заверенная печатью и подписью уполномоченного лица, в т.ч. </w:t>
                  </w:r>
                  <w:r w:rsidRPr="00040CA2">
                    <w:rPr>
                      <w:rFonts w:ascii="Tahoma" w:hAnsi="Tahoma" w:cs="Tahoma"/>
                      <w:sz w:val="18"/>
                      <w:szCs w:val="18"/>
                      <w:lang w:eastAsia="en-US"/>
                    </w:rPr>
                    <w:t>выписка с каналов дистанционного обслуживания кредитной организации</w:t>
                  </w:r>
                </w:p>
              </w:tc>
            </w:tr>
            <w:tr w:rsidR="009D1253" w:rsidRPr="00B2133F" w14:paraId="28FFB2F6" w14:textId="77777777" w:rsidTr="009D1253">
              <w:tc>
                <w:tcPr>
                  <w:tcW w:w="2096" w:type="dxa"/>
                </w:tcPr>
                <w:p w14:paraId="5D17859F"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t>Предпринимательская деятельность без образования юридического лица / частная практика</w:t>
                  </w:r>
                </w:p>
              </w:tc>
              <w:tc>
                <w:tcPr>
                  <w:tcW w:w="8557" w:type="dxa"/>
                </w:tcPr>
                <w:p w14:paraId="6A6DFCBA" w14:textId="77777777" w:rsidR="009D1253" w:rsidRPr="00B2133F" w:rsidRDefault="009D1253" w:rsidP="009D1253">
                  <w:pPr>
                    <w:tabs>
                      <w:tab w:val="left" w:pos="6979"/>
                    </w:tabs>
                    <w:ind w:right="176"/>
                    <w:jc w:val="both"/>
                    <w:rPr>
                      <w:rFonts w:ascii="Tahoma" w:hAnsi="Tahoma" w:cs="Tahoma"/>
                      <w:sz w:val="18"/>
                      <w:szCs w:val="18"/>
                    </w:rPr>
                  </w:pPr>
                  <w:r w:rsidRPr="00B2133F">
                    <w:rPr>
                      <w:rFonts w:ascii="Tahoma" w:hAnsi="Tahoma" w:cs="Tahoma"/>
                      <w:sz w:val="18"/>
                      <w:szCs w:val="18"/>
                    </w:rPr>
                    <w:t xml:space="preserve">Один или совокупность из следующих документов: </w:t>
                  </w:r>
                </w:p>
                <w:p w14:paraId="18854EDA" w14:textId="77777777" w:rsidR="009D1253" w:rsidRDefault="009D1253" w:rsidP="009D1253">
                  <w:pPr>
                    <w:pStyle w:val="affe"/>
                    <w:numPr>
                      <w:ilvl w:val="0"/>
                      <w:numId w:val="133"/>
                    </w:numPr>
                    <w:tabs>
                      <w:tab w:val="left" w:pos="6979"/>
                    </w:tabs>
                    <w:ind w:right="176"/>
                    <w:contextualSpacing/>
                    <w:jc w:val="both"/>
                    <w:rPr>
                      <w:rFonts w:ascii="Tahoma" w:hAnsi="Tahoma" w:cs="Tahoma"/>
                      <w:sz w:val="18"/>
                      <w:szCs w:val="18"/>
                    </w:rPr>
                  </w:pPr>
                  <w:r w:rsidRPr="00AC74CA">
                    <w:rPr>
                      <w:rFonts w:ascii="Tahoma" w:hAnsi="Tahoma" w:cs="Tahoma"/>
                      <w:sz w:val="18"/>
                      <w:szCs w:val="18"/>
                    </w:rPr>
                    <w:t>Налоговая декларация с копиями квитанций (платежных поручений) об уплате налогов за налоговые периоды, соответствующие периоду</w:t>
                  </w:r>
                  <w:r>
                    <w:rPr>
                      <w:rFonts w:ascii="Tahoma" w:hAnsi="Tahoma" w:cs="Tahoma"/>
                      <w:sz w:val="18"/>
                      <w:szCs w:val="18"/>
                    </w:rPr>
                    <w:t xml:space="preserve"> расчета среднемесячного дохода</w:t>
                  </w:r>
                </w:p>
                <w:p w14:paraId="4D2ECE85" w14:textId="77777777" w:rsidR="009D1253" w:rsidRDefault="009D1253" w:rsidP="009D1253">
                  <w:pPr>
                    <w:pStyle w:val="affe"/>
                    <w:numPr>
                      <w:ilvl w:val="0"/>
                      <w:numId w:val="133"/>
                    </w:numPr>
                    <w:tabs>
                      <w:tab w:val="left" w:pos="6979"/>
                    </w:tabs>
                    <w:ind w:right="176"/>
                    <w:contextualSpacing/>
                    <w:jc w:val="both"/>
                    <w:rPr>
                      <w:rFonts w:ascii="Tahoma" w:hAnsi="Tahoma" w:cs="Tahoma"/>
                      <w:sz w:val="18"/>
                      <w:szCs w:val="18"/>
                    </w:rPr>
                  </w:pPr>
                  <w:r w:rsidRPr="00AC74CA">
                    <w:rPr>
                      <w:rFonts w:ascii="Tahoma" w:hAnsi="Tahoma" w:cs="Tahoma"/>
                      <w:sz w:val="18"/>
                      <w:szCs w:val="18"/>
                    </w:rPr>
                    <w:t>Книга учета доходов и расходов и хозяйственных операций ИП</w:t>
                  </w:r>
                </w:p>
                <w:p w14:paraId="17B5AF8B" w14:textId="77777777" w:rsidR="009D1253" w:rsidRPr="00A975CD" w:rsidRDefault="009D1253" w:rsidP="009D1253">
                  <w:pPr>
                    <w:pStyle w:val="affe"/>
                    <w:numPr>
                      <w:ilvl w:val="0"/>
                      <w:numId w:val="133"/>
                    </w:numPr>
                    <w:autoSpaceDE w:val="0"/>
                    <w:autoSpaceDN w:val="0"/>
                    <w:rPr>
                      <w:rFonts w:ascii="Tahoma" w:hAnsi="Tahoma" w:cs="Tahoma"/>
                      <w:sz w:val="18"/>
                      <w:szCs w:val="18"/>
                    </w:rPr>
                  </w:pPr>
                  <w:r w:rsidRPr="00A975CD">
                    <w:rPr>
                      <w:rFonts w:ascii="Tahoma" w:hAnsi="Tahoma" w:cs="Tahoma"/>
                      <w:sz w:val="18"/>
                      <w:szCs w:val="18"/>
                    </w:rPr>
                    <w:t xml:space="preserve">Выписки по счетам ИП, в т.ч. сформированные из мобильного приложения, заверенные кредитной организацией </w:t>
                  </w:r>
                  <w:r w:rsidRPr="007A6339">
                    <w:rPr>
                      <w:rFonts w:ascii="Tahoma" w:hAnsi="Tahoma" w:cs="Tahoma"/>
                      <w:sz w:val="18"/>
                      <w:szCs w:val="18"/>
                    </w:rPr>
                    <w:t xml:space="preserve">(формат </w:t>
                  </w:r>
                  <w:r w:rsidRPr="007A6339">
                    <w:rPr>
                      <w:rFonts w:ascii="Tahoma" w:hAnsi="Tahoma" w:cs="Tahoma"/>
                      <w:sz w:val="18"/>
                      <w:szCs w:val="18"/>
                      <w:lang w:val="en-US"/>
                    </w:rPr>
                    <w:t>pdf</w:t>
                  </w:r>
                  <w:r w:rsidRPr="007A6339">
                    <w:rPr>
                      <w:rFonts w:ascii="Tahoma" w:hAnsi="Tahoma" w:cs="Tahoma"/>
                      <w:sz w:val="18"/>
                      <w:szCs w:val="18"/>
                    </w:rPr>
                    <w:t>+</w:t>
                  </w:r>
                  <w:r w:rsidRPr="007A6339">
                    <w:rPr>
                      <w:rFonts w:ascii="Tahoma" w:hAnsi="Tahoma" w:cs="Tahoma"/>
                      <w:sz w:val="18"/>
                      <w:szCs w:val="18"/>
                      <w:lang w:val="en-US"/>
                    </w:rPr>
                    <w:t>excel</w:t>
                  </w:r>
                  <w:r w:rsidRPr="007A6339">
                    <w:rPr>
                      <w:rFonts w:ascii="Tahoma" w:hAnsi="Tahoma" w:cs="Tahoma"/>
                      <w:sz w:val="18"/>
                      <w:szCs w:val="18"/>
                    </w:rPr>
                    <w:t>)</w:t>
                  </w:r>
                </w:p>
                <w:p w14:paraId="301C1833" w14:textId="77777777" w:rsidR="009D1253" w:rsidRDefault="009D1253" w:rsidP="009D1253">
                  <w:pPr>
                    <w:pStyle w:val="affe"/>
                    <w:numPr>
                      <w:ilvl w:val="0"/>
                      <w:numId w:val="133"/>
                    </w:numPr>
                    <w:tabs>
                      <w:tab w:val="left" w:pos="6979"/>
                    </w:tabs>
                    <w:ind w:right="176"/>
                    <w:contextualSpacing/>
                    <w:jc w:val="both"/>
                    <w:rPr>
                      <w:rFonts w:ascii="Tahoma" w:hAnsi="Tahoma" w:cs="Tahoma"/>
                      <w:sz w:val="18"/>
                      <w:szCs w:val="18"/>
                    </w:rPr>
                  </w:pPr>
                  <w:r w:rsidRPr="00DF7D87">
                    <w:rPr>
                      <w:rFonts w:ascii="Tahoma" w:hAnsi="Tahoma" w:cs="Tahoma"/>
                      <w:sz w:val="18"/>
                      <w:szCs w:val="18"/>
                    </w:rPr>
                    <w:t>Для лиц, применяющих специальный налоговый режим «Налог на профессиональный доход» (самозанятые граждане)</w:t>
                  </w:r>
                  <w:r w:rsidRPr="00AC74CA">
                    <w:rPr>
                      <w:rFonts w:ascii="Tahoma" w:hAnsi="Tahoma" w:cs="Tahoma"/>
                      <w:sz w:val="18"/>
                      <w:szCs w:val="18"/>
                    </w:rPr>
                    <w:t>:</w:t>
                  </w:r>
                </w:p>
                <w:p w14:paraId="40D938EA" w14:textId="77777777" w:rsidR="009D1253" w:rsidRDefault="009D1253" w:rsidP="009D1253">
                  <w:pPr>
                    <w:pStyle w:val="affe"/>
                    <w:numPr>
                      <w:ilvl w:val="1"/>
                      <w:numId w:val="133"/>
                    </w:numPr>
                    <w:tabs>
                      <w:tab w:val="left" w:pos="6979"/>
                    </w:tabs>
                    <w:ind w:left="360" w:right="176" w:hanging="360"/>
                    <w:contextualSpacing/>
                    <w:jc w:val="both"/>
                    <w:rPr>
                      <w:rFonts w:ascii="Tahoma" w:hAnsi="Tahoma" w:cs="Tahoma"/>
                      <w:sz w:val="18"/>
                      <w:szCs w:val="18"/>
                    </w:rPr>
                  </w:pPr>
                  <w:r w:rsidRPr="00AC74CA">
                    <w:rPr>
                      <w:rFonts w:ascii="Tahoma" w:hAnsi="Tahoma" w:cs="Tahoma"/>
                      <w:sz w:val="18"/>
                      <w:szCs w:val="18"/>
                    </w:rPr>
                    <w:t>справка о постановке на учет (снятии с учета) физического лица в качестве плательщика налога на профе</w:t>
                  </w:r>
                  <w:r>
                    <w:rPr>
                      <w:rFonts w:ascii="Tahoma" w:hAnsi="Tahoma" w:cs="Tahoma"/>
                      <w:sz w:val="18"/>
                      <w:szCs w:val="18"/>
                    </w:rPr>
                    <w:t>ссиональный доход (КНД 1122035)</w:t>
                  </w:r>
                </w:p>
                <w:p w14:paraId="6869416C" w14:textId="77777777" w:rsidR="009D1253" w:rsidRPr="00AC74CA" w:rsidRDefault="009D1253" w:rsidP="009D1253">
                  <w:pPr>
                    <w:pStyle w:val="affe"/>
                    <w:numPr>
                      <w:ilvl w:val="1"/>
                      <w:numId w:val="133"/>
                    </w:numPr>
                    <w:tabs>
                      <w:tab w:val="left" w:pos="6979"/>
                    </w:tabs>
                    <w:ind w:left="360" w:right="176" w:hanging="360"/>
                    <w:contextualSpacing/>
                    <w:jc w:val="both"/>
                    <w:rPr>
                      <w:rFonts w:ascii="Tahoma" w:hAnsi="Tahoma" w:cs="Tahoma"/>
                      <w:sz w:val="18"/>
                      <w:szCs w:val="18"/>
                    </w:rPr>
                  </w:pPr>
                  <w:r w:rsidRPr="00AC74CA">
                    <w:rPr>
                      <w:rFonts w:ascii="Tahoma" w:hAnsi="Tahoma" w:cs="Tahoma"/>
                      <w:sz w:val="18"/>
                      <w:szCs w:val="18"/>
                    </w:rPr>
                    <w:t>справка о состоянии расчетов (доходах) по налогу на профессиональный доход (КНД 1122036)</w:t>
                  </w:r>
                </w:p>
              </w:tc>
            </w:tr>
            <w:tr w:rsidR="009D1253" w:rsidRPr="00B2133F" w14:paraId="04D61AF3" w14:textId="77777777" w:rsidTr="009D1253">
              <w:tc>
                <w:tcPr>
                  <w:tcW w:w="2096" w:type="dxa"/>
                </w:tcPr>
                <w:p w14:paraId="74816254"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t>Сдача в аренду помещения</w:t>
                  </w:r>
                </w:p>
              </w:tc>
              <w:tc>
                <w:tcPr>
                  <w:tcW w:w="8557" w:type="dxa"/>
                </w:tcPr>
                <w:p w14:paraId="22A61DFD" w14:textId="77777777" w:rsidR="009D1253" w:rsidRPr="005500FA" w:rsidRDefault="009D1253" w:rsidP="009D1253">
                  <w:pPr>
                    <w:pStyle w:val="affe"/>
                    <w:numPr>
                      <w:ilvl w:val="0"/>
                      <w:numId w:val="134"/>
                    </w:numPr>
                    <w:tabs>
                      <w:tab w:val="left" w:pos="6979"/>
                    </w:tabs>
                    <w:ind w:right="176"/>
                    <w:jc w:val="both"/>
                    <w:rPr>
                      <w:rFonts w:ascii="Tahoma" w:hAnsi="Tahoma" w:cs="Tahoma"/>
                      <w:sz w:val="18"/>
                      <w:szCs w:val="18"/>
                    </w:rPr>
                  </w:pPr>
                  <w:r w:rsidRPr="005500FA">
                    <w:rPr>
                      <w:rFonts w:ascii="Tahoma" w:hAnsi="Tahoma" w:cs="Tahoma"/>
                      <w:sz w:val="18"/>
                      <w:szCs w:val="18"/>
                    </w:rPr>
                    <w:t>Документ, подтверждающий право собственности Заёмщика на помещение</w:t>
                  </w:r>
                </w:p>
                <w:p w14:paraId="59D934EC" w14:textId="77777777" w:rsidR="009D1253" w:rsidRPr="005500FA" w:rsidRDefault="009D1253" w:rsidP="009D1253">
                  <w:pPr>
                    <w:pStyle w:val="affe"/>
                    <w:numPr>
                      <w:ilvl w:val="0"/>
                      <w:numId w:val="134"/>
                    </w:numPr>
                    <w:tabs>
                      <w:tab w:val="left" w:pos="6979"/>
                    </w:tabs>
                    <w:ind w:right="176"/>
                    <w:jc w:val="both"/>
                    <w:rPr>
                      <w:rFonts w:ascii="Tahoma" w:hAnsi="Tahoma" w:cs="Tahoma"/>
                      <w:sz w:val="18"/>
                      <w:szCs w:val="18"/>
                    </w:rPr>
                  </w:pPr>
                  <w:r w:rsidRPr="005500FA">
                    <w:rPr>
                      <w:rFonts w:ascii="Tahoma" w:hAnsi="Tahoma" w:cs="Tahoma"/>
                      <w:sz w:val="18"/>
                      <w:szCs w:val="18"/>
                    </w:rPr>
                    <w:t>Договор аренды помещения</w:t>
                  </w:r>
                </w:p>
                <w:p w14:paraId="7CD01C8B" w14:textId="77777777" w:rsidR="009D1253" w:rsidRPr="005500FA" w:rsidRDefault="009D1253" w:rsidP="009D1253">
                  <w:pPr>
                    <w:pStyle w:val="affe"/>
                    <w:numPr>
                      <w:ilvl w:val="0"/>
                      <w:numId w:val="134"/>
                    </w:numPr>
                    <w:tabs>
                      <w:tab w:val="left" w:pos="6979"/>
                    </w:tabs>
                    <w:ind w:right="176"/>
                    <w:jc w:val="both"/>
                    <w:rPr>
                      <w:rFonts w:ascii="Tahoma" w:hAnsi="Tahoma" w:cs="Tahoma"/>
                      <w:sz w:val="18"/>
                      <w:szCs w:val="18"/>
                    </w:rPr>
                  </w:pPr>
                  <w:r w:rsidRPr="005500FA">
                    <w:rPr>
                      <w:rFonts w:ascii="Tahoma" w:hAnsi="Tahoma" w:cs="Tahoma"/>
                      <w:sz w:val="18"/>
                      <w:szCs w:val="18"/>
                    </w:rPr>
                    <w:t>Выписка со счета, выданная кредитными организациями, на который осуществляются регулярные выплаты Заёмщику доходов от сдачи внаем (в аренду) недвижимого имущества (при условии подтверждения права собственности (владения) этим имуществом), в т.ч. сформированная  из мобильного Банка</w:t>
                  </w:r>
                </w:p>
                <w:p w14:paraId="56E40664" w14:textId="77777777" w:rsidR="009D1253" w:rsidRPr="005500FA" w:rsidRDefault="009D1253" w:rsidP="009D1253">
                  <w:pPr>
                    <w:pStyle w:val="affe"/>
                    <w:numPr>
                      <w:ilvl w:val="0"/>
                      <w:numId w:val="134"/>
                    </w:numPr>
                    <w:tabs>
                      <w:tab w:val="left" w:pos="6979"/>
                    </w:tabs>
                    <w:ind w:right="176"/>
                    <w:jc w:val="both"/>
                    <w:rPr>
                      <w:rFonts w:ascii="Tahoma" w:hAnsi="Tahoma" w:cs="Tahoma"/>
                      <w:sz w:val="18"/>
                      <w:szCs w:val="18"/>
                    </w:rPr>
                  </w:pPr>
                  <w:r w:rsidRPr="005500FA">
                    <w:rPr>
                      <w:rFonts w:ascii="Tahoma" w:hAnsi="Tahoma" w:cs="Tahoma"/>
                      <w:sz w:val="18"/>
                      <w:szCs w:val="18"/>
                    </w:rPr>
                    <w:t>Копия налоговой декларации по налогу на доходы физических лиц (форма 3-НДФЛ) и копии платежных документов, подтверждающих уплату налогов и сборов по договорам аренды/найма за последний налоговый период</w:t>
                  </w:r>
                </w:p>
              </w:tc>
            </w:tr>
            <w:tr w:rsidR="009D1253" w:rsidRPr="00B2133F" w14:paraId="1F1A6F46" w14:textId="77777777" w:rsidTr="009D1253">
              <w:tc>
                <w:tcPr>
                  <w:tcW w:w="2096" w:type="dxa"/>
                </w:tcPr>
                <w:p w14:paraId="24D48FFB"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t>Вознаграждения по договорам гражданско-правового характера</w:t>
                  </w:r>
                </w:p>
              </w:tc>
              <w:tc>
                <w:tcPr>
                  <w:tcW w:w="8557" w:type="dxa"/>
                </w:tcPr>
                <w:p w14:paraId="09A45067" w14:textId="77777777" w:rsidR="009D1253" w:rsidRPr="00F33745" w:rsidRDefault="009D1253" w:rsidP="009D1253">
                  <w:pPr>
                    <w:pStyle w:val="affe"/>
                    <w:numPr>
                      <w:ilvl w:val="0"/>
                      <w:numId w:val="135"/>
                    </w:numPr>
                    <w:tabs>
                      <w:tab w:val="left" w:pos="6979"/>
                    </w:tabs>
                    <w:ind w:right="176"/>
                    <w:jc w:val="both"/>
                    <w:rPr>
                      <w:rFonts w:ascii="Tahoma" w:hAnsi="Tahoma" w:cs="Tahoma"/>
                      <w:sz w:val="18"/>
                      <w:szCs w:val="18"/>
                    </w:rPr>
                  </w:pPr>
                  <w:r w:rsidRPr="00F33745">
                    <w:rPr>
                      <w:rFonts w:ascii="Tahoma" w:hAnsi="Tahoma" w:cs="Tahoma"/>
                      <w:sz w:val="18"/>
                      <w:szCs w:val="18"/>
                    </w:rPr>
                    <w:t>Договор</w:t>
                  </w:r>
                </w:p>
                <w:p w14:paraId="7FAD2614" w14:textId="77777777" w:rsidR="009D1253" w:rsidRDefault="009D1253" w:rsidP="009D1253">
                  <w:pPr>
                    <w:pStyle w:val="affe"/>
                    <w:numPr>
                      <w:ilvl w:val="0"/>
                      <w:numId w:val="135"/>
                    </w:numPr>
                    <w:tabs>
                      <w:tab w:val="left" w:pos="6979"/>
                    </w:tabs>
                    <w:ind w:right="176"/>
                    <w:jc w:val="both"/>
                    <w:rPr>
                      <w:rFonts w:ascii="Tahoma" w:hAnsi="Tahoma" w:cs="Tahoma"/>
                      <w:sz w:val="18"/>
                      <w:szCs w:val="18"/>
                    </w:rPr>
                  </w:pPr>
                  <w:r w:rsidRPr="00F33745">
                    <w:rPr>
                      <w:rFonts w:ascii="Tahoma" w:hAnsi="Tahoma" w:cs="Tahoma"/>
                      <w:sz w:val="18"/>
                      <w:szCs w:val="18"/>
                    </w:rPr>
                    <w:t>Один из следующи</w:t>
                  </w:r>
                  <w:r>
                    <w:rPr>
                      <w:rFonts w:ascii="Tahoma" w:hAnsi="Tahoma" w:cs="Tahoma"/>
                      <w:sz w:val="18"/>
                      <w:szCs w:val="18"/>
                    </w:rPr>
                    <w:t>х документов по выбору Заёмщика:</w:t>
                  </w:r>
                </w:p>
                <w:p w14:paraId="309AC2FB" w14:textId="77777777" w:rsidR="009D1253" w:rsidRDefault="009D1253" w:rsidP="009D1253">
                  <w:pPr>
                    <w:pStyle w:val="affe"/>
                    <w:numPr>
                      <w:ilvl w:val="1"/>
                      <w:numId w:val="135"/>
                    </w:numPr>
                    <w:tabs>
                      <w:tab w:val="left" w:pos="6979"/>
                    </w:tabs>
                    <w:ind w:left="360" w:right="176" w:hanging="360"/>
                    <w:jc w:val="both"/>
                    <w:rPr>
                      <w:rFonts w:ascii="Tahoma" w:hAnsi="Tahoma" w:cs="Tahoma"/>
                      <w:sz w:val="18"/>
                      <w:szCs w:val="18"/>
                    </w:rPr>
                  </w:pPr>
                  <w:r w:rsidRPr="00F33745">
                    <w:rPr>
                      <w:rFonts w:ascii="Tahoma" w:hAnsi="Tahoma" w:cs="Tahoma"/>
                      <w:sz w:val="18"/>
                      <w:szCs w:val="18"/>
                    </w:rPr>
                    <w:t xml:space="preserve">копия налоговой декларации по </w:t>
                  </w:r>
                  <w:r>
                    <w:rPr>
                      <w:rFonts w:ascii="Tahoma" w:hAnsi="Tahoma" w:cs="Tahoma"/>
                      <w:sz w:val="18"/>
                      <w:szCs w:val="18"/>
                    </w:rPr>
                    <w:t>форме 3-НДФЛ</w:t>
                  </w:r>
                </w:p>
                <w:p w14:paraId="3C36D872" w14:textId="77777777" w:rsidR="009D1253" w:rsidRPr="00F33745" w:rsidRDefault="009D1253" w:rsidP="009D1253">
                  <w:pPr>
                    <w:pStyle w:val="affe"/>
                    <w:numPr>
                      <w:ilvl w:val="1"/>
                      <w:numId w:val="135"/>
                    </w:numPr>
                    <w:tabs>
                      <w:tab w:val="left" w:pos="6979"/>
                    </w:tabs>
                    <w:ind w:left="360" w:right="176" w:hanging="360"/>
                    <w:jc w:val="both"/>
                    <w:rPr>
                      <w:rFonts w:ascii="Tahoma" w:hAnsi="Tahoma" w:cs="Tahoma"/>
                      <w:sz w:val="18"/>
                      <w:szCs w:val="18"/>
                    </w:rPr>
                  </w:pPr>
                  <w:r w:rsidRPr="00F33745">
                    <w:rPr>
                      <w:rFonts w:ascii="Tahoma" w:hAnsi="Tahoma" w:cs="Tahoma"/>
                      <w:sz w:val="18"/>
                      <w:szCs w:val="18"/>
                    </w:rPr>
                    <w:t>справка о доходах и суммах налога физического лица**</w:t>
                  </w:r>
                </w:p>
              </w:tc>
            </w:tr>
            <w:tr w:rsidR="009D1253" w:rsidRPr="00B2133F" w14:paraId="7E8D3F2B" w14:textId="77777777" w:rsidTr="009D1253">
              <w:tc>
                <w:tcPr>
                  <w:tcW w:w="2096" w:type="dxa"/>
                </w:tcPr>
                <w:p w14:paraId="542B8C72"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t>Прочие виды (источники) дохода</w:t>
                  </w:r>
                </w:p>
              </w:tc>
              <w:tc>
                <w:tcPr>
                  <w:tcW w:w="8557" w:type="dxa"/>
                </w:tcPr>
                <w:p w14:paraId="25B7DE36" w14:textId="77777777" w:rsidR="009D1253" w:rsidRDefault="009D1253" w:rsidP="009D1253">
                  <w:pPr>
                    <w:numPr>
                      <w:ilvl w:val="0"/>
                      <w:numId w:val="136"/>
                    </w:numPr>
                    <w:tabs>
                      <w:tab w:val="left" w:pos="84"/>
                    </w:tabs>
                    <w:ind w:right="178"/>
                    <w:jc w:val="both"/>
                    <w:textAlignment w:val="baseline"/>
                    <w:rPr>
                      <w:rFonts w:ascii="Tahoma" w:hAnsi="Tahoma" w:cs="Tahoma"/>
                      <w:sz w:val="18"/>
                      <w:szCs w:val="18"/>
                      <w:lang w:eastAsia="en-US"/>
                    </w:rPr>
                  </w:pPr>
                  <w:r w:rsidRPr="00B2133F">
                    <w:rPr>
                      <w:rFonts w:ascii="Tahoma" w:hAnsi="Tahoma" w:cs="Tahoma"/>
                      <w:sz w:val="18"/>
                      <w:szCs w:val="18"/>
                      <w:lang w:eastAsia="en-US"/>
                    </w:rPr>
                    <w:t>Справка о сумме ежемесячной денежной выплаты, ежемесячной денежной компенсации, ежемесячного дополнительного материального обеспечения, выданная гос</w:t>
                  </w:r>
                  <w:r>
                    <w:rPr>
                      <w:rFonts w:ascii="Tahoma" w:hAnsi="Tahoma" w:cs="Tahoma"/>
                      <w:sz w:val="18"/>
                      <w:szCs w:val="18"/>
                      <w:lang w:eastAsia="en-US"/>
                    </w:rPr>
                    <w:t>ударственным органом Заёмщику</w:t>
                  </w:r>
                </w:p>
                <w:p w14:paraId="19D48D91" w14:textId="77777777" w:rsidR="009D1253" w:rsidRPr="00F33745" w:rsidRDefault="009D1253" w:rsidP="009D1253">
                  <w:pPr>
                    <w:numPr>
                      <w:ilvl w:val="0"/>
                      <w:numId w:val="136"/>
                    </w:numPr>
                    <w:tabs>
                      <w:tab w:val="left" w:pos="84"/>
                    </w:tabs>
                    <w:ind w:right="178"/>
                    <w:jc w:val="both"/>
                    <w:textAlignment w:val="baseline"/>
                    <w:rPr>
                      <w:rFonts w:ascii="Tahoma" w:hAnsi="Tahoma" w:cs="Tahoma"/>
                      <w:sz w:val="18"/>
                      <w:szCs w:val="18"/>
                      <w:lang w:eastAsia="en-US"/>
                    </w:rPr>
                  </w:pPr>
                  <w:r w:rsidRPr="00F33745">
                    <w:rPr>
                      <w:rFonts w:ascii="Tahoma" w:hAnsi="Tahoma" w:cs="Tahoma"/>
                      <w:sz w:val="18"/>
                      <w:szCs w:val="18"/>
                    </w:rPr>
                    <w:t xml:space="preserve">Документ, содержащий сведения о доходах Заёмщика, выданные государственными (муниципальными) органами, учреждениями, организациями или предприятиями (включая документы, выданные должностными лицами Вооруженных Сил Российской Федерации и </w:t>
                  </w:r>
                  <w:r w:rsidRPr="00F33745">
                    <w:rPr>
                      <w:rFonts w:ascii="Tahoma" w:hAnsi="Tahoma" w:cs="Tahoma"/>
                      <w:sz w:val="18"/>
                      <w:szCs w:val="18"/>
                    </w:rPr>
                    <w:lastRenderedPageBreak/>
                    <w:t>воинских формирований), а также физическими лицами, зарегистрированными в качестве индивидуаль</w:t>
                  </w:r>
                  <w:r>
                    <w:rPr>
                      <w:rFonts w:ascii="Tahoma" w:hAnsi="Tahoma" w:cs="Tahoma"/>
                      <w:sz w:val="18"/>
                      <w:szCs w:val="18"/>
                    </w:rPr>
                    <w:t>ных предпринимателей</w:t>
                  </w:r>
                </w:p>
                <w:p w14:paraId="0A47C640" w14:textId="77777777" w:rsidR="009D1253" w:rsidRPr="00F33745" w:rsidRDefault="009D1253" w:rsidP="009D1253">
                  <w:pPr>
                    <w:numPr>
                      <w:ilvl w:val="0"/>
                      <w:numId w:val="136"/>
                    </w:numPr>
                    <w:tabs>
                      <w:tab w:val="left" w:pos="84"/>
                    </w:tabs>
                    <w:ind w:right="178"/>
                    <w:jc w:val="both"/>
                    <w:textAlignment w:val="baseline"/>
                    <w:rPr>
                      <w:rFonts w:ascii="Tahoma" w:hAnsi="Tahoma" w:cs="Tahoma"/>
                      <w:sz w:val="18"/>
                      <w:szCs w:val="18"/>
                      <w:lang w:eastAsia="en-US"/>
                    </w:rPr>
                  </w:pPr>
                  <w:r w:rsidRPr="00F33745">
                    <w:rPr>
                      <w:rFonts w:ascii="Tahoma" w:hAnsi="Tahoma" w:cs="Tahoma"/>
                      <w:sz w:val="18"/>
                      <w:szCs w:val="18"/>
                    </w:rPr>
                    <w:t>Выписка со счета, выданная кредитными организациями, на который осуществляются социальные выплаты, а также иные регулярные выплаты Клиенту, в т.ч. сформированная из мобильного/интернет банка</w:t>
                  </w:r>
                </w:p>
              </w:tc>
            </w:tr>
          </w:tbl>
          <w:p w14:paraId="0BBD3E20" w14:textId="77777777" w:rsidR="009D1253" w:rsidRDefault="009D1253" w:rsidP="009D1253">
            <w:pPr>
              <w:tabs>
                <w:tab w:val="left" w:pos="6979"/>
              </w:tabs>
              <w:ind w:right="176"/>
              <w:jc w:val="both"/>
              <w:rPr>
                <w:rFonts w:ascii="Tahoma" w:hAnsi="Tahoma" w:cs="Tahoma"/>
                <w:sz w:val="18"/>
                <w:szCs w:val="18"/>
              </w:rPr>
            </w:pPr>
            <w:r w:rsidRPr="00B2133F">
              <w:rPr>
                <w:rFonts w:ascii="Tahoma" w:hAnsi="Tahoma" w:cs="Tahoma"/>
                <w:sz w:val="18"/>
                <w:szCs w:val="18"/>
              </w:rPr>
              <w:lastRenderedPageBreak/>
              <w:t>*Документ должен содержать информацию о доходе за последние 12 (двенадцать) месяцев. В случае если стаж работы составляет менее 12 месяцев, документ предоставляется за фактическое количество отработанных</w:t>
            </w:r>
            <w:r>
              <w:rPr>
                <w:rFonts w:ascii="Tahoma" w:hAnsi="Tahoma" w:cs="Tahoma"/>
                <w:sz w:val="18"/>
                <w:szCs w:val="18"/>
              </w:rPr>
              <w:t xml:space="preserve"> месяцев, но не менее 3 месяцев</w:t>
            </w:r>
            <w:r w:rsidRPr="00B2133F">
              <w:rPr>
                <w:rFonts w:ascii="Tahoma" w:hAnsi="Tahoma" w:cs="Tahoma"/>
                <w:sz w:val="18"/>
                <w:szCs w:val="18"/>
              </w:rPr>
              <w:t xml:space="preserve"> </w:t>
            </w:r>
          </w:p>
          <w:p w14:paraId="7604FB82" w14:textId="77777777" w:rsidR="009D1253" w:rsidRPr="00B2133F" w:rsidRDefault="009D1253" w:rsidP="009D1253">
            <w:pPr>
              <w:tabs>
                <w:tab w:val="left" w:pos="6979"/>
              </w:tabs>
              <w:ind w:right="176"/>
              <w:jc w:val="both"/>
              <w:rPr>
                <w:rFonts w:ascii="Tahoma" w:hAnsi="Tahoma" w:cs="Tahoma"/>
                <w:sz w:val="18"/>
                <w:szCs w:val="18"/>
              </w:rPr>
            </w:pPr>
            <w:r w:rsidRPr="00B2133F">
              <w:rPr>
                <w:rFonts w:ascii="Tahoma" w:hAnsi="Tahoma" w:cs="Tahoma"/>
                <w:sz w:val="18"/>
                <w:szCs w:val="18"/>
              </w:rPr>
              <w:t>** Документ, подтверждающий доход должен содержать в составе реквизитов ИНН работодателя</w:t>
            </w:r>
            <w:r>
              <w:rPr>
                <w:rFonts w:ascii="Tahoma" w:hAnsi="Tahoma" w:cs="Tahoma"/>
                <w:sz w:val="18"/>
                <w:szCs w:val="18"/>
              </w:rPr>
              <w:t>/контрагента</w:t>
            </w:r>
          </w:p>
          <w:p w14:paraId="383198AC" w14:textId="77777777" w:rsidR="009D1253" w:rsidRPr="00DF7D87" w:rsidRDefault="009D1253" w:rsidP="009D1253">
            <w:pPr>
              <w:autoSpaceDE w:val="0"/>
              <w:autoSpaceDN w:val="0"/>
              <w:adjustRightInd w:val="0"/>
              <w:rPr>
                <w:rFonts w:ascii="Tahoma" w:hAnsi="Tahoma" w:cs="Tahoma"/>
                <w:sz w:val="18"/>
                <w:szCs w:val="18"/>
              </w:rPr>
            </w:pPr>
            <w:r w:rsidRPr="00B2133F">
              <w:rPr>
                <w:rFonts w:ascii="Tahoma" w:hAnsi="Tahoma" w:cs="Tahoma"/>
                <w:sz w:val="18"/>
                <w:szCs w:val="18"/>
              </w:rPr>
              <w:t>***</w:t>
            </w:r>
            <w:r w:rsidRPr="00DF7D87">
              <w:rPr>
                <w:rFonts w:ascii="Tahoma" w:hAnsi="Tahoma" w:cs="Tahoma"/>
                <w:sz w:val="18"/>
                <w:szCs w:val="18"/>
              </w:rPr>
              <w:t>Банк получает документ в электронной форме из государственных информационных систем, если Заемщиком выражено согласие в соответствии с законодательством Российской Федерации на запрос выписки по индивидуальному лицевому счету Заемщика, который ведется в Социальном Фонде Российской Федерации</w:t>
            </w:r>
          </w:p>
          <w:p w14:paraId="61BACE6E" w14:textId="77777777" w:rsidR="009D1253" w:rsidRPr="005A07E7" w:rsidRDefault="009D1253" w:rsidP="009D1253">
            <w:pPr>
              <w:autoSpaceDE w:val="0"/>
              <w:autoSpaceDN w:val="0"/>
              <w:adjustRightInd w:val="0"/>
              <w:rPr>
                <w:rFonts w:ascii="Tahoma" w:hAnsi="Tahoma" w:cs="Tahoma"/>
                <w:sz w:val="18"/>
                <w:szCs w:val="18"/>
              </w:rPr>
            </w:pPr>
            <w:r w:rsidRPr="00B2133F">
              <w:rPr>
                <w:rFonts w:ascii="Tahoma" w:hAnsi="Tahoma" w:cs="Tahoma"/>
                <w:sz w:val="18"/>
                <w:szCs w:val="18"/>
              </w:rPr>
              <w:t>****Для учета дохода в виде пенсии допускается принимать документ, содержащий сведения о доходе за 1 (один) календарный месяц, принимаются выплаты, которые были получены (начислены или назначены): страховой и (или) накопительной пенсионных выплат (за исключением суммы единовременных пенсионных выплат), а также дополнительных ежемесячных денежных выплат, компенсаций и материального обеспечения (за исключением набора социальных услуг и федеральной социальной доплаты к пенсии, если они отдельно указаны в подтверждающем документе, предусмотренном в настоящем перечне подтверждающих документов)</w:t>
            </w:r>
            <w:r w:rsidRPr="005A07E7">
              <w:rPr>
                <w:rFonts w:ascii="Tahoma" w:hAnsi="Tahoma" w:cs="Tahoma"/>
                <w:strike/>
                <w:sz w:val="18"/>
                <w:szCs w:val="18"/>
              </w:rPr>
              <w:fldChar w:fldCharType="begin"/>
            </w:r>
            <w:r w:rsidRPr="005A07E7">
              <w:rPr>
                <w:rFonts w:ascii="Tahoma" w:hAnsi="Tahoma" w:cs="Tahoma"/>
                <w:strike/>
                <w:sz w:val="18"/>
                <w:szCs w:val="18"/>
              </w:rPr>
              <w:instrText xml:space="preserve"> DOCVARIABLE  ATB_ADDRESS_REG </w:instrText>
            </w:r>
            <w:r w:rsidRPr="005A07E7">
              <w:rPr>
                <w:rFonts w:ascii="Tahoma" w:hAnsi="Tahoma" w:cs="Tahoma"/>
                <w:strike/>
                <w:sz w:val="18"/>
                <w:szCs w:val="18"/>
              </w:rPr>
              <w:fldChar w:fldCharType="end"/>
            </w:r>
          </w:p>
        </w:tc>
      </w:tr>
      <w:tr w:rsidR="009D1253" w:rsidRPr="005A07E7" w14:paraId="5C6E9ECA"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540"/>
        </w:trPr>
        <w:tc>
          <w:tcPr>
            <w:tcW w:w="1475" w:type="pct"/>
            <w:tcBorders>
              <w:top w:val="single" w:sz="4" w:space="0" w:color="auto"/>
              <w:left w:val="single" w:sz="8" w:space="0" w:color="auto"/>
              <w:bottom w:val="single" w:sz="4" w:space="0" w:color="auto"/>
              <w:right w:val="single" w:sz="4" w:space="0" w:color="auto"/>
            </w:tcBorders>
            <w:vAlign w:val="center"/>
          </w:tcPr>
          <w:p w14:paraId="2BDC137A"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lastRenderedPageBreak/>
              <w:t>Требования к приобретаемым ТС</w:t>
            </w:r>
          </w:p>
        </w:tc>
        <w:tc>
          <w:tcPr>
            <w:tcW w:w="3525" w:type="pct"/>
            <w:tcBorders>
              <w:top w:val="single" w:sz="4" w:space="0" w:color="auto"/>
              <w:left w:val="nil"/>
              <w:bottom w:val="single" w:sz="4" w:space="0" w:color="auto"/>
              <w:right w:val="single" w:sz="8" w:space="0" w:color="000000"/>
            </w:tcBorders>
            <w:shd w:val="clear" w:color="auto" w:fill="auto"/>
            <w:noWrap/>
            <w:vAlign w:val="center"/>
          </w:tcPr>
          <w:p w14:paraId="34E3F275" w14:textId="77777777" w:rsidR="009D1253" w:rsidRPr="003D6559" w:rsidRDefault="009D1253" w:rsidP="009D1253">
            <w:pPr>
              <w:pStyle w:val="a9"/>
              <w:tabs>
                <w:tab w:val="left" w:pos="0"/>
                <w:tab w:val="left" w:pos="176"/>
              </w:tabs>
              <w:spacing w:before="0" w:after="0"/>
              <w:rPr>
                <w:rFonts w:ascii="Tahoma" w:hAnsi="Tahoma" w:cs="Tahoma"/>
                <w:b/>
                <w:lang w:eastAsia="en-US"/>
              </w:rPr>
            </w:pPr>
            <w:r w:rsidRPr="003D6559">
              <w:rPr>
                <w:rFonts w:ascii="Tahoma" w:hAnsi="Tahoma" w:cs="Tahoma"/>
                <w:b/>
                <w:lang w:eastAsia="en-US"/>
              </w:rPr>
              <w:t>Возраст ТС на момент выдачи кредита:</w:t>
            </w:r>
          </w:p>
          <w:p w14:paraId="27D942C1" w14:textId="77777777" w:rsidR="009D1253" w:rsidRPr="003D6559" w:rsidRDefault="009D1253" w:rsidP="009D1253">
            <w:pPr>
              <w:pStyle w:val="a9"/>
              <w:tabs>
                <w:tab w:val="left" w:pos="0"/>
                <w:tab w:val="left" w:pos="176"/>
              </w:tabs>
              <w:spacing w:before="0" w:after="0"/>
              <w:rPr>
                <w:rFonts w:ascii="Tahoma" w:eastAsiaTheme="minorHAnsi" w:hAnsi="Tahoma" w:cs="Tahoma"/>
                <w:lang w:eastAsia="en-US"/>
              </w:rPr>
            </w:pPr>
            <w:r w:rsidRPr="003D6559">
              <w:rPr>
                <w:rFonts w:ascii="Tahoma" w:eastAsiaTheme="minorHAnsi" w:hAnsi="Tahoma" w:cs="Tahoma"/>
                <w:lang w:eastAsia="en-US"/>
              </w:rPr>
              <w:t>для ТС отечественных марок – не более 12 лет</w:t>
            </w:r>
          </w:p>
          <w:p w14:paraId="54E2AE31" w14:textId="77777777" w:rsidR="009D1253" w:rsidRPr="00636486" w:rsidRDefault="009D1253" w:rsidP="009D1253">
            <w:pPr>
              <w:pStyle w:val="a9"/>
              <w:tabs>
                <w:tab w:val="left" w:pos="0"/>
                <w:tab w:val="left" w:pos="176"/>
              </w:tabs>
              <w:spacing w:before="0" w:after="0"/>
              <w:rPr>
                <w:rFonts w:ascii="Tahoma" w:eastAsiaTheme="minorHAnsi" w:hAnsi="Tahoma" w:cs="Tahoma"/>
                <w:lang w:eastAsia="en-US"/>
              </w:rPr>
            </w:pPr>
            <w:r w:rsidRPr="003D6559">
              <w:rPr>
                <w:rFonts w:ascii="Tahoma" w:eastAsiaTheme="minorHAnsi" w:hAnsi="Tahoma" w:cs="Tahoma"/>
                <w:lang w:eastAsia="en-US"/>
              </w:rPr>
              <w:t>для ТС иностранных марок – не более 17 лет</w:t>
            </w:r>
          </w:p>
          <w:p w14:paraId="174183F7" w14:textId="77777777" w:rsidR="009D1253" w:rsidRPr="005A07E7" w:rsidRDefault="009D1253" w:rsidP="009D1253">
            <w:pPr>
              <w:pStyle w:val="a9"/>
              <w:tabs>
                <w:tab w:val="left" w:pos="0"/>
                <w:tab w:val="left" w:pos="176"/>
              </w:tabs>
              <w:spacing w:before="0" w:after="0"/>
              <w:rPr>
                <w:rFonts w:ascii="Tahoma" w:hAnsi="Tahoma" w:cs="Tahoma"/>
                <w:b/>
                <w:sz w:val="18"/>
                <w:szCs w:val="18"/>
                <w:lang w:eastAsia="en-US"/>
              </w:rPr>
            </w:pPr>
          </w:p>
          <w:p w14:paraId="47705F5D" w14:textId="77777777" w:rsidR="009D1253" w:rsidRPr="005A07E7" w:rsidRDefault="009D1253" w:rsidP="009D1253">
            <w:pPr>
              <w:pStyle w:val="a9"/>
              <w:tabs>
                <w:tab w:val="left" w:pos="0"/>
                <w:tab w:val="left" w:pos="176"/>
              </w:tabs>
              <w:spacing w:before="0" w:after="0"/>
              <w:rPr>
                <w:rFonts w:ascii="Tahoma" w:hAnsi="Tahoma" w:cs="Tahoma"/>
                <w:b/>
                <w:sz w:val="18"/>
                <w:szCs w:val="18"/>
                <w:lang w:eastAsia="en-US"/>
              </w:rPr>
            </w:pPr>
            <w:r w:rsidRPr="005A07E7">
              <w:rPr>
                <w:rFonts w:ascii="Tahoma" w:hAnsi="Tahoma" w:cs="Tahoma"/>
                <w:b/>
                <w:sz w:val="18"/>
                <w:szCs w:val="18"/>
                <w:lang w:eastAsia="en-US"/>
              </w:rPr>
              <w:t>Требования к новому ТС (одновременное выполнение условий):</w:t>
            </w:r>
          </w:p>
          <w:p w14:paraId="3D075B50" w14:textId="77777777" w:rsidR="009D1253" w:rsidRDefault="009D1253" w:rsidP="009D1253">
            <w:pPr>
              <w:tabs>
                <w:tab w:val="left" w:pos="6979"/>
              </w:tabs>
              <w:ind w:right="176"/>
              <w:jc w:val="both"/>
              <w:rPr>
                <w:rFonts w:ascii="Tahoma" w:hAnsi="Tahoma" w:cs="Tahoma"/>
                <w:sz w:val="20"/>
                <w:szCs w:val="20"/>
              </w:rPr>
            </w:pPr>
            <w:r w:rsidRPr="005A07E7">
              <w:rPr>
                <w:rFonts w:ascii="Tahoma" w:hAnsi="Tahoma" w:cs="Tahoma"/>
                <w:sz w:val="20"/>
                <w:szCs w:val="20"/>
              </w:rPr>
              <w:t xml:space="preserve">- приобретаемое новое ТС на дату выдачи Кредита не должно находиться на регистрационном учете в соответствии с законодательством РФ (за исключением случаев постановки на учет юридическим лицом </w:t>
            </w:r>
            <w:r>
              <w:rPr>
                <w:rFonts w:ascii="Tahoma" w:hAnsi="Tahoma" w:cs="Tahoma"/>
                <w:sz w:val="20"/>
                <w:szCs w:val="20"/>
              </w:rPr>
              <w:t>ТС</w:t>
            </w:r>
            <w:r w:rsidRPr="005A07E7">
              <w:rPr>
                <w:rFonts w:ascii="Tahoma" w:hAnsi="Tahoma" w:cs="Tahoma"/>
                <w:sz w:val="20"/>
                <w:szCs w:val="20"/>
              </w:rPr>
              <w:t>, используемых для тест-драйва);</w:t>
            </w:r>
          </w:p>
          <w:p w14:paraId="5E46CE73" w14:textId="77777777" w:rsidR="009D1253" w:rsidRDefault="009D1253" w:rsidP="009D1253">
            <w:pPr>
              <w:tabs>
                <w:tab w:val="left" w:pos="6979"/>
              </w:tabs>
              <w:ind w:right="176"/>
              <w:jc w:val="both"/>
              <w:rPr>
                <w:rFonts w:ascii="Tahoma" w:hAnsi="Tahoma" w:cs="Tahoma"/>
                <w:sz w:val="20"/>
                <w:szCs w:val="20"/>
              </w:rPr>
            </w:pPr>
            <w:r>
              <w:rPr>
                <w:rFonts w:ascii="Tahoma" w:hAnsi="Tahoma" w:cs="Tahoma"/>
                <w:sz w:val="20"/>
                <w:szCs w:val="20"/>
              </w:rPr>
              <w:t>- по ТС имеется выписка из ЭПТС* в статусе «действующий»</w:t>
            </w:r>
            <w:r w:rsidRPr="00DF7D87">
              <w:rPr>
                <w:rFonts w:ascii="Tahoma" w:hAnsi="Tahoma" w:cs="Tahoma"/>
                <w:sz w:val="20"/>
                <w:szCs w:val="20"/>
              </w:rPr>
              <w:t xml:space="preserve"> / «незавершенный»</w:t>
            </w:r>
            <w:r>
              <w:rPr>
                <w:rFonts w:ascii="Tahoma" w:hAnsi="Tahoma" w:cs="Tahoma"/>
                <w:sz w:val="20"/>
                <w:szCs w:val="20"/>
              </w:rPr>
              <w:t>;</w:t>
            </w:r>
          </w:p>
          <w:p w14:paraId="5D6AE911" w14:textId="77777777" w:rsidR="009D1253" w:rsidRPr="005A07E7" w:rsidRDefault="009D1253" w:rsidP="009D1253">
            <w:pPr>
              <w:tabs>
                <w:tab w:val="left" w:pos="6979"/>
              </w:tabs>
              <w:ind w:right="176"/>
              <w:jc w:val="both"/>
              <w:rPr>
                <w:rFonts w:ascii="Tahoma" w:hAnsi="Tahoma" w:cs="Tahoma"/>
                <w:sz w:val="20"/>
                <w:szCs w:val="20"/>
              </w:rPr>
            </w:pPr>
            <w:r w:rsidRPr="005A07E7">
              <w:rPr>
                <w:rFonts w:ascii="Tahoma" w:hAnsi="Tahoma" w:cs="Tahoma"/>
                <w:sz w:val="20"/>
                <w:szCs w:val="20"/>
              </w:rPr>
              <w:t xml:space="preserve">- пробег ТС должен быть менее 1 000 км (или 5 000 км при условии предоставления информационного письма дилером об использовании данного </w:t>
            </w:r>
            <w:r>
              <w:rPr>
                <w:rFonts w:ascii="Tahoma" w:hAnsi="Tahoma" w:cs="Tahoma"/>
                <w:sz w:val="20"/>
                <w:szCs w:val="20"/>
              </w:rPr>
              <w:t>ТС</w:t>
            </w:r>
            <w:r w:rsidRPr="005A07E7">
              <w:rPr>
                <w:rFonts w:ascii="Tahoma" w:hAnsi="Tahoma" w:cs="Tahoma"/>
                <w:sz w:val="20"/>
                <w:szCs w:val="20"/>
              </w:rPr>
              <w:t xml:space="preserve"> для тест-драйва);</w:t>
            </w:r>
          </w:p>
          <w:p w14:paraId="697C2277" w14:textId="77777777" w:rsidR="009D1253" w:rsidRDefault="009D1253" w:rsidP="009D1253">
            <w:pPr>
              <w:tabs>
                <w:tab w:val="left" w:pos="6979"/>
              </w:tabs>
              <w:ind w:right="176"/>
              <w:jc w:val="both"/>
              <w:rPr>
                <w:rFonts w:ascii="Tahoma" w:hAnsi="Tahoma" w:cs="Tahoma"/>
                <w:sz w:val="20"/>
                <w:szCs w:val="20"/>
              </w:rPr>
            </w:pPr>
            <w:r w:rsidRPr="00F42CCC">
              <w:rPr>
                <w:rFonts w:ascii="Tahoma" w:hAnsi="Tahoma" w:cs="Tahoma"/>
                <w:sz w:val="20"/>
                <w:szCs w:val="20"/>
              </w:rPr>
              <w:t>- по Кредитам, одобренным на дату ранее, чем «01» июля текущего года, год изготовления ТС отличается от года оформления Кредита не более, чем на 2 года; одобренным с «01» июля текущего года, год изготовления ТС отличается от года оформления Кредита не более, чем на 1 год.</w:t>
            </w:r>
          </w:p>
          <w:p w14:paraId="5A4321A5" w14:textId="77777777" w:rsidR="009D1253" w:rsidRPr="005A07E7" w:rsidRDefault="009D1253" w:rsidP="009D1253">
            <w:pPr>
              <w:tabs>
                <w:tab w:val="left" w:pos="6979"/>
              </w:tabs>
              <w:ind w:right="176"/>
              <w:jc w:val="both"/>
              <w:rPr>
                <w:rFonts w:ascii="Tahoma" w:hAnsi="Tahoma" w:cs="Tahoma"/>
                <w:b/>
                <w:sz w:val="18"/>
                <w:szCs w:val="18"/>
              </w:rPr>
            </w:pPr>
            <w:r>
              <w:rPr>
                <w:rFonts w:ascii="Tahoma" w:hAnsi="Tahoma" w:cs="Tahoma"/>
                <w:sz w:val="20"/>
                <w:szCs w:val="20"/>
              </w:rPr>
              <w:t>*</w:t>
            </w:r>
            <w:r w:rsidRPr="00DF7D87">
              <w:rPr>
                <w:rFonts w:ascii="Tahoma" w:hAnsi="Tahoma" w:cs="Tahoma"/>
                <w:sz w:val="20"/>
                <w:szCs w:val="20"/>
              </w:rPr>
              <w:t xml:space="preserve"> не требуется при приобретении за счет кредитных средств нового ТС марки: Honda, Lada, Voyah, Omoda, Livan, Jetour, Jaecoo, Evolute, Москвич, Changan, Haval, SkyWell</w:t>
            </w:r>
          </w:p>
        </w:tc>
      </w:tr>
      <w:tr w:rsidR="009D1253" w:rsidRPr="005A07E7" w14:paraId="2308E56D"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1ACEA226"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Способ предоставления Кредита</w:t>
            </w:r>
          </w:p>
        </w:tc>
        <w:tc>
          <w:tcPr>
            <w:tcW w:w="3525" w:type="pct"/>
            <w:tcBorders>
              <w:top w:val="single" w:sz="4" w:space="0" w:color="auto"/>
              <w:left w:val="nil"/>
              <w:bottom w:val="single" w:sz="4" w:space="0" w:color="auto"/>
              <w:right w:val="single" w:sz="8" w:space="0" w:color="000000"/>
            </w:tcBorders>
            <w:noWrap/>
            <w:vAlign w:val="center"/>
          </w:tcPr>
          <w:p w14:paraId="042F3B77"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Перевод денежных средств на ТБС Заёмщика, открытый в Банке</w:t>
            </w:r>
            <w:r>
              <w:rPr>
                <w:rFonts w:ascii="Tahoma" w:hAnsi="Tahoma" w:cs="Tahoma"/>
                <w:sz w:val="20"/>
                <w:szCs w:val="20"/>
              </w:rPr>
              <w:t>,</w:t>
            </w:r>
            <w:r w:rsidRPr="005A07E7">
              <w:rPr>
                <w:rFonts w:ascii="Tahoma" w:hAnsi="Tahoma" w:cs="Tahoma"/>
                <w:sz w:val="20"/>
                <w:szCs w:val="20"/>
              </w:rPr>
              <w:t xml:space="preserve"> для использования Заёмщиком на цели использования Кредита, указанные в  настоящем документе.</w:t>
            </w:r>
          </w:p>
        </w:tc>
      </w:tr>
      <w:tr w:rsidR="009D1253" w:rsidRPr="005A07E7" w14:paraId="085208AA" w14:textId="77777777" w:rsidTr="009D1253">
        <w:tblPrEx>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tcPr>
          <w:p w14:paraId="27564BFC" w14:textId="77777777" w:rsidR="009D1253" w:rsidRPr="00ED6334" w:rsidRDefault="009D1253" w:rsidP="009D1253">
            <w:pPr>
              <w:rPr>
                <w:rFonts w:ascii="Tahoma" w:hAnsi="Tahoma" w:cs="Tahoma"/>
                <w:b/>
                <w:sz w:val="20"/>
                <w:szCs w:val="20"/>
              </w:rPr>
            </w:pPr>
            <w:r w:rsidRPr="00ED6334">
              <w:rPr>
                <w:rFonts w:ascii="Tahoma" w:hAnsi="Tahoma" w:cs="Tahoma"/>
                <w:b/>
                <w:sz w:val="20"/>
              </w:rPr>
              <w:t xml:space="preserve">Информация о возможном увеличении суммы расходов Заемщика по сравнению с ожидаемой суммой расходов в рублях, в том числе при применении переменной процентной ставки, а также информация о том, что изменение курса иностранной валюты в </w:t>
            </w:r>
            <w:r w:rsidRPr="00ED6334">
              <w:rPr>
                <w:rFonts w:ascii="Tahoma" w:hAnsi="Tahoma" w:cs="Tahoma"/>
                <w:b/>
                <w:sz w:val="20"/>
              </w:rPr>
              <w:lastRenderedPageBreak/>
              <w:t>прошлом не свидетельствует об изменении ее курса в будущем, и информация о повышенных рисках заемщика, получающего доходы в валюте, отличной от валюты Кредита</w:t>
            </w:r>
          </w:p>
        </w:tc>
        <w:tc>
          <w:tcPr>
            <w:tcW w:w="3525" w:type="pct"/>
            <w:tcBorders>
              <w:top w:val="single" w:sz="4" w:space="0" w:color="auto"/>
              <w:left w:val="nil"/>
              <w:bottom w:val="single" w:sz="4" w:space="0" w:color="auto"/>
              <w:right w:val="single" w:sz="8" w:space="0" w:color="000000"/>
            </w:tcBorders>
            <w:noWrap/>
            <w:vAlign w:val="center"/>
          </w:tcPr>
          <w:p w14:paraId="34ADBDAB" w14:textId="77777777" w:rsidR="009D1253" w:rsidRPr="00ED6334" w:rsidRDefault="009D1253" w:rsidP="009D1253">
            <w:pPr>
              <w:widowControl w:val="0"/>
              <w:tabs>
                <w:tab w:val="left" w:pos="426"/>
                <w:tab w:val="left" w:pos="851"/>
              </w:tabs>
              <w:jc w:val="both"/>
              <w:rPr>
                <w:rFonts w:ascii="Tahoma" w:hAnsi="Tahoma" w:cs="Tahoma"/>
                <w:sz w:val="20"/>
                <w:szCs w:val="20"/>
              </w:rPr>
            </w:pPr>
            <w:r w:rsidRPr="003846F1">
              <w:rPr>
                <w:rFonts w:ascii="Tahoma" w:hAnsi="Tahoma" w:cs="Tahoma"/>
                <w:sz w:val="20"/>
              </w:rPr>
              <w:lastRenderedPageBreak/>
              <w:t>Переменная процентная ставка не применяется в Договоре. Кредит предоставляется в рублях, вместе с тем, Заемщикам, получающим доход в иностранной валюте следует помнить, что изменение курса иностранной валюты в прошлом не свидетельствует об изменении ее курса в будущем, в связи с чем, такие Заемщики несут повышенные риски в связи с получением доходов в иностранной валюте.</w:t>
            </w:r>
          </w:p>
        </w:tc>
      </w:tr>
      <w:tr w:rsidR="009D1253" w:rsidRPr="005A07E7" w14:paraId="4AAC8904"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4E23166F"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Иные договоры, требуемые для заключения или исполнения Договора</w:t>
            </w:r>
            <w:r w:rsidRPr="003846F1">
              <w:rPr>
                <w:rFonts w:ascii="Tahoma" w:hAnsi="Tahoma" w:cs="Tahoma"/>
                <w:b/>
                <w:bCs/>
                <w:sz w:val="20"/>
                <w:szCs w:val="20"/>
              </w:rPr>
              <w:t>, а также информация о возможности заемщика согласиться с заключением таких договоров и (или) приобретением таких услуг (работ, товаров) либо отказаться от них</w:t>
            </w:r>
          </w:p>
        </w:tc>
        <w:tc>
          <w:tcPr>
            <w:tcW w:w="3525" w:type="pct"/>
            <w:tcBorders>
              <w:top w:val="single" w:sz="4" w:space="0" w:color="auto"/>
              <w:left w:val="nil"/>
              <w:bottom w:val="single" w:sz="4" w:space="0" w:color="auto"/>
              <w:right w:val="single" w:sz="8" w:space="0" w:color="000000"/>
            </w:tcBorders>
            <w:noWrap/>
            <w:vAlign w:val="center"/>
          </w:tcPr>
          <w:p w14:paraId="33206E67" w14:textId="77777777" w:rsidR="009D1253"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 xml:space="preserve">Заключение между </w:t>
            </w:r>
            <w:r>
              <w:rPr>
                <w:rFonts w:ascii="Tahoma" w:hAnsi="Tahoma" w:cs="Tahoma"/>
                <w:sz w:val="20"/>
                <w:szCs w:val="20"/>
              </w:rPr>
              <w:t>с</w:t>
            </w:r>
            <w:r w:rsidRPr="005A07E7">
              <w:rPr>
                <w:rFonts w:ascii="Tahoma" w:hAnsi="Tahoma" w:cs="Tahoma"/>
                <w:sz w:val="20"/>
                <w:szCs w:val="20"/>
              </w:rPr>
              <w:t xml:space="preserve">торонами </w:t>
            </w:r>
            <w:r>
              <w:rPr>
                <w:rFonts w:ascii="Tahoma" w:hAnsi="Tahoma" w:cs="Tahoma"/>
                <w:sz w:val="20"/>
                <w:szCs w:val="20"/>
              </w:rPr>
              <w:t xml:space="preserve">Договора </w:t>
            </w:r>
            <w:r w:rsidRPr="005A07E7">
              <w:rPr>
                <w:rFonts w:ascii="Tahoma" w:hAnsi="Tahoma" w:cs="Tahoma"/>
                <w:sz w:val="20"/>
                <w:szCs w:val="20"/>
              </w:rPr>
              <w:t>банковского счета (на основании которого Заёмщику Банком открывается ТБС), элементы которого включены в Договор, заключение (путем присоединения) УДБО, содержащего Общие условия.</w:t>
            </w:r>
          </w:p>
          <w:p w14:paraId="7E38233B" w14:textId="77777777" w:rsidR="009D1253" w:rsidRPr="005A07E7" w:rsidRDefault="009D1253" w:rsidP="009D1253">
            <w:pPr>
              <w:widowControl w:val="0"/>
              <w:tabs>
                <w:tab w:val="left" w:pos="426"/>
                <w:tab w:val="left" w:pos="851"/>
              </w:tabs>
              <w:jc w:val="both"/>
              <w:rPr>
                <w:rFonts w:ascii="Tahoma" w:hAnsi="Tahoma" w:cs="Tahoma"/>
                <w:sz w:val="20"/>
                <w:szCs w:val="20"/>
              </w:rPr>
            </w:pPr>
            <w:r w:rsidRPr="003846F1">
              <w:rPr>
                <w:rFonts w:ascii="Tahoma" w:hAnsi="Tahoma" w:cs="Tahoma"/>
                <w:sz w:val="20"/>
                <w:szCs w:val="20"/>
              </w:rPr>
              <w:t>Если при оформлении Договора Заемщику предлагаются иные дополнительные услуги (работы, товары), приобретение которых не является обязательным в силу закона, Заемщик вправе отказаться от их приобретения.</w:t>
            </w:r>
          </w:p>
        </w:tc>
      </w:tr>
      <w:tr w:rsidR="009D1253" w:rsidRPr="005A07E7" w14:paraId="01593E1A"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58113E96" w14:textId="77777777" w:rsidR="009D1253" w:rsidRPr="00ED6334" w:rsidRDefault="009D1253" w:rsidP="009D1253">
            <w:pPr>
              <w:rPr>
                <w:rFonts w:ascii="Tahoma" w:hAnsi="Tahoma" w:cs="Tahoma"/>
                <w:b/>
                <w:sz w:val="20"/>
                <w:szCs w:val="20"/>
              </w:rPr>
            </w:pPr>
            <w:r w:rsidRPr="00ED6334">
              <w:rPr>
                <w:rFonts w:ascii="Tahoma" w:hAnsi="Tahoma" w:cs="Tahoma"/>
                <w:b/>
                <w:sz w:val="20"/>
              </w:rPr>
              <w:t>Виды и суммы иных платежей Заёмщика по Договору</w:t>
            </w:r>
          </w:p>
        </w:tc>
        <w:tc>
          <w:tcPr>
            <w:tcW w:w="3525" w:type="pct"/>
            <w:tcBorders>
              <w:top w:val="single" w:sz="4" w:space="0" w:color="auto"/>
              <w:left w:val="nil"/>
              <w:bottom w:val="single" w:sz="4" w:space="0" w:color="auto"/>
              <w:right w:val="single" w:sz="8" w:space="0" w:color="000000"/>
            </w:tcBorders>
            <w:noWrap/>
            <w:vAlign w:val="center"/>
          </w:tcPr>
          <w:p w14:paraId="289ADC0E" w14:textId="77777777" w:rsidR="009D1253" w:rsidRPr="00ED6334" w:rsidRDefault="009D1253" w:rsidP="009D1253">
            <w:pPr>
              <w:widowControl w:val="0"/>
              <w:tabs>
                <w:tab w:val="left" w:pos="426"/>
                <w:tab w:val="left" w:pos="851"/>
              </w:tabs>
              <w:jc w:val="both"/>
              <w:rPr>
                <w:rFonts w:ascii="Tahoma" w:hAnsi="Tahoma" w:cs="Tahoma"/>
                <w:sz w:val="20"/>
              </w:rPr>
            </w:pPr>
            <w:r w:rsidRPr="00ED6334">
              <w:rPr>
                <w:rFonts w:ascii="Tahoma" w:hAnsi="Tahoma" w:cs="Tahoma"/>
                <w:sz w:val="20"/>
              </w:rPr>
              <w:t>Иные обязательные платежи по Договору отсутствуют.</w:t>
            </w:r>
          </w:p>
          <w:p w14:paraId="57F8DD93" w14:textId="77777777" w:rsidR="009D1253" w:rsidRPr="005A07E7" w:rsidRDefault="009D1253" w:rsidP="009D1253">
            <w:pPr>
              <w:widowControl w:val="0"/>
              <w:tabs>
                <w:tab w:val="left" w:pos="426"/>
                <w:tab w:val="left" w:pos="851"/>
              </w:tabs>
              <w:jc w:val="both"/>
            </w:pPr>
            <w:r w:rsidRPr="005A07E7">
              <w:rPr>
                <w:rFonts w:ascii="Tahoma" w:hAnsi="Tahoma" w:cs="Tahoma"/>
                <w:sz w:val="20"/>
                <w:szCs w:val="20"/>
              </w:rPr>
              <w:t>При наличии соответствующего волеизъявления Заемщика ему могут быть оказаны Банком услуги, не являющиеся обязательными для заключения или исполнения Договора, плата за которые предусмотрена Тарифами Банка(</w:t>
            </w:r>
            <w:hyperlink r:id="rId58" w:tgtFrame="_blank" w:history="1">
              <w:r w:rsidRPr="005A07E7">
                <w:rPr>
                  <w:rStyle w:val="aff"/>
                  <w:rFonts w:ascii="Tahoma" w:hAnsi="Tahoma" w:cs="Tahoma"/>
                  <w:color w:val="0065FF"/>
                  <w:sz w:val="20"/>
                  <w:szCs w:val="20"/>
                  <w:shd w:val="clear" w:color="auto" w:fill="FFFFFF"/>
                </w:rPr>
                <w:t>https://www.atb.su/upload/doc/kniga-tarif/tarify-po-raschetno-kassovomu-obsluzhivaniyu-klientov-fizicheskikh-lits.pdf</w:t>
              </w:r>
            </w:hyperlink>
            <w:r w:rsidRPr="005A07E7">
              <w:rPr>
                <w:rFonts w:ascii="Tahoma" w:hAnsi="Tahoma" w:cs="Tahoma"/>
                <w:sz w:val="20"/>
                <w:szCs w:val="20"/>
              </w:rPr>
              <w:t>). Оказание услуги Банком производится в случае выражения Заемщиком волеизъявления на пользование определенной услугой. Оплата услуг должна быть произведена до момента оказания Банком услуг.</w:t>
            </w:r>
          </w:p>
        </w:tc>
      </w:tr>
      <w:tr w:rsidR="009D1253" w:rsidRPr="005A07E7" w14:paraId="29049003"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57B01BEC" w14:textId="77777777" w:rsidR="009D1253" w:rsidRPr="00ED6334" w:rsidRDefault="009D1253" w:rsidP="009D1253">
            <w:pPr>
              <w:rPr>
                <w:rFonts w:ascii="Tahoma" w:hAnsi="Tahoma" w:cs="Tahoma"/>
                <w:b/>
                <w:sz w:val="20"/>
                <w:szCs w:val="20"/>
              </w:rPr>
            </w:pPr>
            <w:r w:rsidRPr="00ED6334">
              <w:rPr>
                <w:rFonts w:ascii="Tahoma" w:hAnsi="Tahoma" w:cs="Tahoma"/>
                <w:b/>
                <w:sz w:val="20"/>
              </w:rPr>
              <w:t>Информация об определении курса иностранной валюты в случае, если валюта, в которой осуществляется перевод денежных средств кредитором третьему лицу, указанному Заёмщиком при предоставлении потребительского Кредита, может отличаться от валюты потребительского Кредита</w:t>
            </w:r>
          </w:p>
        </w:tc>
        <w:tc>
          <w:tcPr>
            <w:tcW w:w="3525" w:type="pct"/>
            <w:tcBorders>
              <w:top w:val="single" w:sz="4" w:space="0" w:color="auto"/>
              <w:left w:val="nil"/>
              <w:bottom w:val="single" w:sz="4" w:space="0" w:color="auto"/>
              <w:right w:val="single" w:sz="8" w:space="0" w:color="000000"/>
            </w:tcBorders>
            <w:noWrap/>
            <w:vAlign w:val="center"/>
          </w:tcPr>
          <w:p w14:paraId="1A2C1A95" w14:textId="77777777" w:rsidR="009D1253" w:rsidRPr="00ED6334" w:rsidRDefault="009D1253" w:rsidP="009D1253">
            <w:pPr>
              <w:widowControl w:val="0"/>
              <w:tabs>
                <w:tab w:val="left" w:pos="426"/>
                <w:tab w:val="left" w:pos="851"/>
              </w:tabs>
              <w:jc w:val="both"/>
              <w:rPr>
                <w:rFonts w:ascii="Tahoma" w:hAnsi="Tahoma" w:cs="Tahoma"/>
                <w:sz w:val="20"/>
                <w:szCs w:val="20"/>
              </w:rPr>
            </w:pPr>
            <w:r w:rsidRPr="00ED6334">
              <w:rPr>
                <w:rFonts w:ascii="Tahoma" w:hAnsi="Tahoma" w:cs="Tahoma"/>
                <w:sz w:val="20"/>
              </w:rPr>
              <w:t>Не применимо</w:t>
            </w:r>
          </w:p>
        </w:tc>
      </w:tr>
      <w:tr w:rsidR="009D1253" w:rsidRPr="005A07E7" w14:paraId="7B276040"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2F157A50"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Дата, начиная с которой начисляются проценты за пользование Кредитом, или порядок ее определения</w:t>
            </w:r>
          </w:p>
        </w:tc>
        <w:tc>
          <w:tcPr>
            <w:tcW w:w="3525" w:type="pct"/>
            <w:tcBorders>
              <w:top w:val="single" w:sz="4" w:space="0" w:color="auto"/>
              <w:left w:val="nil"/>
              <w:bottom w:val="single" w:sz="4" w:space="0" w:color="auto"/>
              <w:right w:val="single" w:sz="8" w:space="0" w:color="000000"/>
            </w:tcBorders>
            <w:noWrap/>
            <w:vAlign w:val="center"/>
          </w:tcPr>
          <w:p w14:paraId="660223E1"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Дата, следующая за датой выдачи Заёмщику Кредита</w:t>
            </w:r>
          </w:p>
        </w:tc>
      </w:tr>
      <w:tr w:rsidR="009D1253" w:rsidRPr="005A07E7" w14:paraId="42DA064E"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30A47E92"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Периодичность платежей Заёмщика при возврате Кредита, уплате процентов и иных платежей по Кредиту</w:t>
            </w:r>
          </w:p>
        </w:tc>
        <w:tc>
          <w:tcPr>
            <w:tcW w:w="3525" w:type="pct"/>
            <w:tcBorders>
              <w:top w:val="single" w:sz="4" w:space="0" w:color="auto"/>
              <w:left w:val="nil"/>
              <w:bottom w:val="single" w:sz="4" w:space="0" w:color="auto"/>
              <w:right w:val="single" w:sz="8" w:space="0" w:color="000000"/>
            </w:tcBorders>
            <w:noWrap/>
            <w:vAlign w:val="center"/>
          </w:tcPr>
          <w:p w14:paraId="319882AD"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Ежемесячно аннуитетными платежами</w:t>
            </w:r>
          </w:p>
        </w:tc>
      </w:tr>
      <w:tr w:rsidR="009D1253" w:rsidRPr="005A07E7" w14:paraId="3D643E3F"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4130C7E9"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Срок действия Договора</w:t>
            </w:r>
          </w:p>
        </w:tc>
        <w:tc>
          <w:tcPr>
            <w:tcW w:w="3525" w:type="pct"/>
            <w:tcBorders>
              <w:top w:val="single" w:sz="4" w:space="0" w:color="auto"/>
              <w:left w:val="nil"/>
              <w:bottom w:val="single" w:sz="4" w:space="0" w:color="auto"/>
              <w:right w:val="single" w:sz="8" w:space="0" w:color="000000"/>
            </w:tcBorders>
            <w:noWrap/>
            <w:vAlign w:val="center"/>
          </w:tcPr>
          <w:p w14:paraId="07720CDD"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До полного исполнения Сторонами обязательств по Договору</w:t>
            </w:r>
          </w:p>
        </w:tc>
      </w:tr>
      <w:tr w:rsidR="009D1253" w:rsidRPr="005A07E7" w14:paraId="7E306504"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49B4C70F"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Срок рассмотрения  оформленного Заёмщиком заявления о предоставлении Кредита и принятия Кредитором решения относительно этого заявления</w:t>
            </w:r>
          </w:p>
        </w:tc>
        <w:tc>
          <w:tcPr>
            <w:tcW w:w="3525" w:type="pct"/>
            <w:tcBorders>
              <w:top w:val="single" w:sz="4" w:space="0" w:color="auto"/>
              <w:left w:val="nil"/>
              <w:bottom w:val="single" w:sz="4" w:space="0" w:color="auto"/>
              <w:right w:val="single" w:sz="8" w:space="0" w:color="000000"/>
            </w:tcBorders>
            <w:noWrap/>
            <w:vAlign w:val="center"/>
          </w:tcPr>
          <w:p w14:paraId="374571ED"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color w:val="000000"/>
                <w:sz w:val="20"/>
                <w:szCs w:val="20"/>
              </w:rPr>
              <w:t>Решение принимается в течение 1 часа с момента предоставления Заёмщиком полного пакета документов. В случае необходимости запроса у Заёмщика дополнительных документов решение принимается в индивидуальные сроки.</w:t>
            </w:r>
            <w:r w:rsidRPr="005A07E7">
              <w:rPr>
                <w:rFonts w:ascii="Tahoma" w:hAnsi="Tahoma" w:cs="Tahoma"/>
                <w:sz w:val="20"/>
                <w:szCs w:val="20"/>
              </w:rPr>
              <w:fldChar w:fldCharType="begin"/>
            </w:r>
            <w:r w:rsidRPr="005A07E7">
              <w:rPr>
                <w:rFonts w:ascii="Tahoma" w:hAnsi="Tahoma" w:cs="Tahoma"/>
                <w:sz w:val="20"/>
                <w:szCs w:val="20"/>
              </w:rPr>
              <w:instrText xml:space="preserve"> DOCVARIABLE  WAS_BORN_DMY </w:instrText>
            </w:r>
            <w:r w:rsidRPr="005A07E7">
              <w:rPr>
                <w:rFonts w:ascii="Tahoma" w:hAnsi="Tahoma" w:cs="Tahoma"/>
                <w:sz w:val="20"/>
                <w:szCs w:val="20"/>
              </w:rPr>
              <w:fldChar w:fldCharType="end"/>
            </w:r>
          </w:p>
        </w:tc>
      </w:tr>
      <w:tr w:rsidR="009D1253" w:rsidRPr="005A07E7" w14:paraId="7FF0F223"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21A03514"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 xml:space="preserve">Срок, в течение которого Заёмщик вправе отказаться от получения Кредита </w:t>
            </w:r>
          </w:p>
        </w:tc>
        <w:tc>
          <w:tcPr>
            <w:tcW w:w="3525" w:type="pct"/>
            <w:tcBorders>
              <w:top w:val="single" w:sz="4" w:space="0" w:color="auto"/>
              <w:left w:val="nil"/>
              <w:bottom w:val="single" w:sz="4" w:space="0" w:color="auto"/>
              <w:right w:val="single" w:sz="8" w:space="0" w:color="000000"/>
            </w:tcBorders>
            <w:noWrap/>
            <w:vAlign w:val="center"/>
          </w:tcPr>
          <w:p w14:paraId="1A210607" w14:textId="77777777" w:rsidR="009D1253" w:rsidRPr="005A07E7" w:rsidRDefault="009D1253" w:rsidP="009D1253">
            <w:pPr>
              <w:widowControl w:val="0"/>
              <w:tabs>
                <w:tab w:val="left" w:pos="426"/>
                <w:tab w:val="left" w:pos="851"/>
              </w:tabs>
              <w:jc w:val="both"/>
              <w:rPr>
                <w:rFonts w:ascii="Tahoma" w:hAnsi="Tahoma" w:cs="Tahoma"/>
                <w:color w:val="000000"/>
                <w:sz w:val="20"/>
                <w:szCs w:val="20"/>
              </w:rPr>
            </w:pPr>
            <w:r w:rsidRPr="005A07E7">
              <w:rPr>
                <w:rFonts w:ascii="Tahoma" w:hAnsi="Tahoma" w:cs="Tahoma"/>
                <w:sz w:val="20"/>
                <w:szCs w:val="20"/>
              </w:rPr>
              <w:t xml:space="preserve">Заёмщик вправе отказаться от получения кредита полностью или частично, уведомив об этом Банк до истечения установленного Договором срока его предоставления. </w:t>
            </w:r>
          </w:p>
        </w:tc>
      </w:tr>
      <w:tr w:rsidR="009D1253" w:rsidRPr="005A07E7" w14:paraId="2F5CE4B9"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tcPr>
          <w:p w14:paraId="59862060"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lastRenderedPageBreak/>
              <w:t>Срок действия решения о предоставлении Кредита</w:t>
            </w:r>
          </w:p>
        </w:tc>
        <w:tc>
          <w:tcPr>
            <w:tcW w:w="3525" w:type="pct"/>
            <w:tcBorders>
              <w:top w:val="single" w:sz="4" w:space="0" w:color="auto"/>
              <w:left w:val="nil"/>
              <w:bottom w:val="single" w:sz="4" w:space="0" w:color="auto"/>
              <w:right w:val="single" w:sz="8" w:space="0" w:color="000000"/>
            </w:tcBorders>
            <w:noWrap/>
            <w:vAlign w:val="center"/>
          </w:tcPr>
          <w:p w14:paraId="0994DFDD"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30 календарных дней</w:t>
            </w:r>
            <w:r>
              <w:rPr>
                <w:rFonts w:ascii="Tahoma" w:hAnsi="Tahoma" w:cs="Tahoma"/>
                <w:sz w:val="20"/>
                <w:szCs w:val="20"/>
              </w:rPr>
              <w:t xml:space="preserve"> с даты принятия Банком решения</w:t>
            </w:r>
          </w:p>
        </w:tc>
      </w:tr>
      <w:tr w:rsidR="009D1253" w:rsidRPr="005A07E7" w14:paraId="6A6BA87E"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301"/>
        </w:trPr>
        <w:tc>
          <w:tcPr>
            <w:tcW w:w="1475" w:type="pct"/>
            <w:tcBorders>
              <w:top w:val="single" w:sz="4" w:space="0" w:color="auto"/>
              <w:left w:val="single" w:sz="8" w:space="0" w:color="auto"/>
              <w:bottom w:val="single" w:sz="4" w:space="0" w:color="auto"/>
              <w:right w:val="single" w:sz="4" w:space="0" w:color="auto"/>
            </w:tcBorders>
            <w:vAlign w:val="center"/>
          </w:tcPr>
          <w:p w14:paraId="19BF52F8"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Способы обеспечения исполнения обязательств по Договору «Потребительский кредит под залог транспортного средства»</w:t>
            </w:r>
          </w:p>
        </w:tc>
        <w:tc>
          <w:tcPr>
            <w:tcW w:w="3525" w:type="pct"/>
            <w:tcBorders>
              <w:top w:val="single" w:sz="4" w:space="0" w:color="auto"/>
              <w:left w:val="nil"/>
              <w:bottom w:val="single" w:sz="4" w:space="0" w:color="auto"/>
              <w:right w:val="single" w:sz="8" w:space="0" w:color="000000"/>
            </w:tcBorders>
            <w:noWrap/>
            <w:vAlign w:val="center"/>
          </w:tcPr>
          <w:p w14:paraId="5BDEABB0"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1)</w:t>
            </w:r>
            <w:r w:rsidRPr="005A07E7">
              <w:rPr>
                <w:rFonts w:ascii="Tahoma" w:hAnsi="Tahoma" w:cs="Tahoma"/>
                <w:color w:val="000000"/>
                <w:sz w:val="20"/>
                <w:szCs w:val="20"/>
              </w:rPr>
              <w:t xml:space="preserve"> Залог приобретаемого Заёмщиком за счет кредитных средств Банка ТС</w:t>
            </w:r>
          </w:p>
          <w:p w14:paraId="086D769A"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2) Неустойка (штраф, пеня). В случае нарушения обязательств по Договору с Заёмщика может быть взыскана неустойка в сумм</w:t>
            </w:r>
            <w:r>
              <w:rPr>
                <w:rFonts w:ascii="Tahoma" w:hAnsi="Tahoma" w:cs="Tahoma"/>
                <w:sz w:val="20"/>
                <w:szCs w:val="20"/>
              </w:rPr>
              <w:t xml:space="preserve">е </w:t>
            </w:r>
            <w:r w:rsidRPr="005A07E7">
              <w:rPr>
                <w:rFonts w:ascii="Tahoma" w:hAnsi="Tahoma" w:cs="Tahoma"/>
                <w:sz w:val="20"/>
                <w:szCs w:val="20"/>
              </w:rPr>
              <w:t>и порядке, определенных Сторонами в соответствии с законодательством РФ и Индивидуальными условиями Договора.</w:t>
            </w:r>
            <w:r w:rsidRPr="005A07E7">
              <w:rPr>
                <w:rFonts w:ascii="Tahoma" w:hAnsi="Tahoma" w:cs="Tahoma"/>
                <w:sz w:val="20"/>
                <w:szCs w:val="20"/>
              </w:rPr>
              <w:fldChar w:fldCharType="begin"/>
            </w:r>
            <w:r w:rsidRPr="005A07E7">
              <w:rPr>
                <w:rFonts w:ascii="Tahoma" w:hAnsi="Tahoma" w:cs="Tahoma"/>
                <w:sz w:val="20"/>
                <w:szCs w:val="20"/>
              </w:rPr>
              <w:instrText xml:space="preserve"> DOCVARIABLE  ATB_ADDRESS_FACT </w:instrText>
            </w:r>
            <w:r w:rsidRPr="005A07E7">
              <w:rPr>
                <w:rFonts w:ascii="Tahoma" w:hAnsi="Tahoma" w:cs="Tahoma"/>
                <w:sz w:val="20"/>
                <w:szCs w:val="20"/>
              </w:rPr>
              <w:fldChar w:fldCharType="end"/>
            </w:r>
          </w:p>
        </w:tc>
      </w:tr>
      <w:tr w:rsidR="009D1253" w:rsidRPr="005A07E7" w14:paraId="3E2CB620"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01"/>
        </w:trPr>
        <w:tc>
          <w:tcPr>
            <w:tcW w:w="1475" w:type="pct"/>
            <w:tcBorders>
              <w:top w:val="single" w:sz="4" w:space="0" w:color="auto"/>
              <w:left w:val="single" w:sz="8" w:space="0" w:color="auto"/>
              <w:bottom w:val="single" w:sz="4" w:space="0" w:color="auto"/>
              <w:right w:val="single" w:sz="4" w:space="0" w:color="000000"/>
            </w:tcBorders>
            <w:shd w:val="clear" w:color="auto" w:fill="auto"/>
            <w:vAlign w:val="center"/>
          </w:tcPr>
          <w:p w14:paraId="3F2BCC9B"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Способы возврата  Заёмщиком Кредита и уплаты процентов по нему, включая бесплатный способ исполнения Заёмщиком обязательств по Договору «Потребительский кредит под залог транспортного средства»</w:t>
            </w:r>
          </w:p>
        </w:tc>
        <w:tc>
          <w:tcPr>
            <w:tcW w:w="3525" w:type="pct"/>
            <w:tcBorders>
              <w:top w:val="single" w:sz="4" w:space="0" w:color="auto"/>
              <w:left w:val="nil"/>
              <w:bottom w:val="single" w:sz="4" w:space="0" w:color="auto"/>
              <w:right w:val="single" w:sz="8" w:space="0" w:color="000000"/>
            </w:tcBorders>
            <w:shd w:val="clear" w:color="auto" w:fill="auto"/>
            <w:vAlign w:val="center"/>
          </w:tcPr>
          <w:p w14:paraId="0E552031"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Погашение Заёмщиком обязательств по Договору осуществляется в сумме и сроки предусмотренные Договором (в т.ч. при досрочном частичном или полном возврате Кредита) производится любым способом по выбору Заёмщика, в том числе: посредством внесения денежных средств в сумме обязательства на ТБС Заёмщика через терминалы самообслуживания Банка (при их наличии в населенном пункте по месту получения Заёмщиком оферты)</w:t>
            </w:r>
            <w:r>
              <w:rPr>
                <w:rFonts w:ascii="Tahoma" w:hAnsi="Tahoma" w:cs="Tahoma"/>
                <w:sz w:val="20"/>
                <w:szCs w:val="20"/>
              </w:rPr>
              <w:t>/</w:t>
            </w:r>
            <w:r w:rsidRPr="005A07E7">
              <w:rPr>
                <w:rFonts w:ascii="Tahoma" w:hAnsi="Tahoma" w:cs="Tahoma"/>
                <w:sz w:val="20"/>
                <w:szCs w:val="20"/>
              </w:rPr>
              <w:t xml:space="preserve"> кассы Банка, перевод через работодателя Заёмщика, перевод со счёта в Банке на ТБС Заёмщика, перевод через отделения АО «Почта России», перевод через интернет-системы «АТБ-Онлайн», «АТБ</w:t>
            </w:r>
            <w:r>
              <w:rPr>
                <w:rFonts w:ascii="Tahoma" w:hAnsi="Tahoma" w:cs="Tahoma"/>
                <w:sz w:val="20"/>
                <w:szCs w:val="20"/>
              </w:rPr>
              <w:t xml:space="preserve"> Банк</w:t>
            </w:r>
            <w:r w:rsidRPr="005A07E7">
              <w:rPr>
                <w:rFonts w:ascii="Tahoma" w:hAnsi="Tahoma" w:cs="Tahoma"/>
                <w:sz w:val="20"/>
                <w:szCs w:val="20"/>
              </w:rPr>
              <w:t xml:space="preserve">», иные кредитные организации (по предусмотренным ими тарифам). </w:t>
            </w:r>
          </w:p>
          <w:p w14:paraId="72C0AF05"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Могут использоваться иные, не противоречащие законодательству РФ способы.</w:t>
            </w:r>
          </w:p>
          <w:p w14:paraId="65074DFF" w14:textId="77777777" w:rsidR="009D1253"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Заёмщик вносит на ТБС денежные средства любыми из перечисленных выше способов, при этом он обязан учесть время, затрачиваемое на безналичное перечисление денежных средств, выходные и праздничные дни. Если установленный Договором последний день срока платежа отсутствует в календарном месяце, Заёмщик обязан внести денежные средства на ТБС не позднее последнего календарного рабочего дня месяца; если последний день срока платежа приходится на выходные/нерабочие праздничные дни, Заёмщик обязан внести денежные средства на ТБС не позднее 1-го рабочего дня, следующего за выходным/нерабочим праздничным днем. Указанная обязанность должна быть исполнена Заёмщиком в операционный день Банка.</w:t>
            </w:r>
          </w:p>
          <w:p w14:paraId="64482127" w14:textId="77777777" w:rsidR="009D1253" w:rsidRPr="005A07E7" w:rsidRDefault="009D1253" w:rsidP="009D1253">
            <w:pPr>
              <w:widowControl w:val="0"/>
              <w:tabs>
                <w:tab w:val="left" w:pos="426"/>
                <w:tab w:val="left" w:pos="851"/>
              </w:tabs>
              <w:jc w:val="both"/>
              <w:rPr>
                <w:rFonts w:ascii="Tahoma" w:hAnsi="Tahoma" w:cs="Tahoma"/>
                <w:sz w:val="20"/>
                <w:szCs w:val="20"/>
              </w:rPr>
            </w:pPr>
            <w:r>
              <w:rPr>
                <w:rFonts w:ascii="Tahoma" w:hAnsi="Tahoma" w:cs="Tahoma"/>
                <w:sz w:val="20"/>
                <w:szCs w:val="20"/>
              </w:rPr>
              <w:t>Бесплатный способ исполнения Заёмщиком обязательств по Договору производится путем внесения денежных средств в сумме обязательства на ТБС Заёмщика через терминалы самообслуживания Банка (при их наличии в населенном пункте по месту получения Заёмщиком оферты)/ кассы Банка, перевод через работодателя Заёмщика, с использованием сервиса Системы быстрых платежей (в рамках бесплатных лимитов, установленных тарифами сервиса). В случае изменений, информация доводится до Заемщика в соответствии с Общими условиями кредитования.</w:t>
            </w:r>
          </w:p>
        </w:tc>
      </w:tr>
      <w:tr w:rsidR="009D1253" w:rsidRPr="005A07E7" w14:paraId="05BDF9E8"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01"/>
        </w:trPr>
        <w:tc>
          <w:tcPr>
            <w:tcW w:w="1475" w:type="pct"/>
            <w:tcBorders>
              <w:top w:val="single" w:sz="4" w:space="0" w:color="auto"/>
              <w:left w:val="single" w:sz="8" w:space="0" w:color="auto"/>
              <w:bottom w:val="single" w:sz="4" w:space="0" w:color="auto"/>
              <w:right w:val="single" w:sz="4" w:space="0" w:color="000000"/>
            </w:tcBorders>
            <w:shd w:val="clear" w:color="auto" w:fill="auto"/>
            <w:vAlign w:val="center"/>
          </w:tcPr>
          <w:p w14:paraId="5453C51D"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Порядок погашения Заёмщиком задолженности по Кредиту</w:t>
            </w:r>
          </w:p>
        </w:tc>
        <w:tc>
          <w:tcPr>
            <w:tcW w:w="3525" w:type="pct"/>
            <w:tcBorders>
              <w:top w:val="single" w:sz="4" w:space="0" w:color="auto"/>
              <w:left w:val="nil"/>
              <w:bottom w:val="single" w:sz="4" w:space="0" w:color="auto"/>
              <w:right w:val="single" w:sz="8" w:space="0" w:color="000000"/>
            </w:tcBorders>
            <w:shd w:val="clear" w:color="auto" w:fill="auto"/>
            <w:vAlign w:val="center"/>
          </w:tcPr>
          <w:p w14:paraId="2CBDBB0F" w14:textId="77777777" w:rsidR="009D1253" w:rsidRPr="005A07E7" w:rsidRDefault="009D1253" w:rsidP="009D1253">
            <w:pPr>
              <w:widowControl w:val="0"/>
              <w:tabs>
                <w:tab w:val="left" w:pos="426"/>
                <w:tab w:val="left" w:pos="851"/>
              </w:tabs>
              <w:jc w:val="both"/>
              <w:rPr>
                <w:rFonts w:ascii="Tahoma" w:hAnsi="Tahoma" w:cs="Tahoma"/>
                <w:sz w:val="20"/>
                <w:szCs w:val="20"/>
              </w:rPr>
            </w:pPr>
            <w:r>
              <w:rPr>
                <w:rFonts w:ascii="Tahoma" w:hAnsi="Tahoma" w:cs="Tahoma"/>
                <w:sz w:val="20"/>
                <w:szCs w:val="20"/>
              </w:rPr>
              <w:t>Определен УДБО.</w:t>
            </w:r>
          </w:p>
        </w:tc>
      </w:tr>
      <w:tr w:rsidR="009D1253" w:rsidRPr="005A07E7" w14:paraId="6B6D5243"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344"/>
        </w:trPr>
        <w:tc>
          <w:tcPr>
            <w:tcW w:w="1475" w:type="pct"/>
            <w:tcBorders>
              <w:top w:val="single" w:sz="4" w:space="0" w:color="auto"/>
              <w:left w:val="single" w:sz="8" w:space="0" w:color="auto"/>
              <w:bottom w:val="single" w:sz="4" w:space="0" w:color="auto"/>
              <w:right w:val="single" w:sz="4" w:space="0" w:color="000000"/>
            </w:tcBorders>
            <w:vAlign w:val="center"/>
          </w:tcPr>
          <w:p w14:paraId="6428E962" w14:textId="77777777" w:rsidR="009D1253" w:rsidRPr="005A07E7" w:rsidRDefault="009D1253" w:rsidP="009D1253">
            <w:pPr>
              <w:rPr>
                <w:rFonts w:ascii="Tahoma" w:hAnsi="Tahoma" w:cs="Tahoma"/>
                <w:b/>
                <w:sz w:val="20"/>
                <w:szCs w:val="20"/>
              </w:rPr>
            </w:pPr>
            <w:r w:rsidRPr="005A07E7">
              <w:rPr>
                <w:rFonts w:ascii="Tahoma" w:hAnsi="Tahoma" w:cs="Tahoma"/>
                <w:b/>
                <w:color w:val="000000"/>
                <w:sz w:val="20"/>
                <w:szCs w:val="20"/>
              </w:rPr>
              <w:t xml:space="preserve">Ответственность Заёмщика за ненадлежащее исполнение Договора </w:t>
            </w:r>
          </w:p>
        </w:tc>
        <w:tc>
          <w:tcPr>
            <w:tcW w:w="3525" w:type="pct"/>
            <w:tcBorders>
              <w:top w:val="single" w:sz="4" w:space="0" w:color="auto"/>
              <w:left w:val="nil"/>
              <w:bottom w:val="single" w:sz="4" w:space="0" w:color="auto"/>
              <w:right w:val="single" w:sz="8" w:space="0" w:color="000000"/>
            </w:tcBorders>
            <w:vAlign w:val="center"/>
          </w:tcPr>
          <w:p w14:paraId="108E45F9" w14:textId="77777777" w:rsidR="009D1253" w:rsidRPr="005A07E7" w:rsidRDefault="009D1253" w:rsidP="009D1253">
            <w:pPr>
              <w:widowControl w:val="0"/>
              <w:jc w:val="both"/>
              <w:rPr>
                <w:rFonts w:ascii="Tahoma" w:hAnsi="Tahoma" w:cs="Tahoma"/>
                <w:sz w:val="20"/>
                <w:szCs w:val="20"/>
              </w:rPr>
            </w:pPr>
            <w:r w:rsidRPr="005A07E7">
              <w:rPr>
                <w:rFonts w:ascii="Tahoma" w:hAnsi="Tahoma" w:cs="Tahoma"/>
                <w:sz w:val="20"/>
                <w:szCs w:val="20"/>
              </w:rPr>
              <w:t xml:space="preserve">В случае нарушения Заёмщиком сроков возврата Кредита и/или уплаты процентов на сумму Кредита Заёмщик уплачивает Банку неустойку в размере 20% годовых от суммы просроченной задолженности за каждый день нарушения срока уплаты. </w:t>
            </w:r>
          </w:p>
          <w:p w14:paraId="3D1F0E1D" w14:textId="77777777" w:rsidR="009D1253" w:rsidRPr="005A07E7" w:rsidRDefault="009D1253" w:rsidP="009D1253">
            <w:pPr>
              <w:widowControl w:val="0"/>
              <w:tabs>
                <w:tab w:val="left" w:pos="426"/>
                <w:tab w:val="left" w:pos="851"/>
              </w:tabs>
              <w:jc w:val="both"/>
              <w:rPr>
                <w:rFonts w:ascii="Tahoma" w:eastAsia="Calibri" w:hAnsi="Tahoma" w:cs="Tahoma"/>
                <w:sz w:val="20"/>
                <w:szCs w:val="20"/>
              </w:rPr>
            </w:pPr>
            <w:r w:rsidRPr="005A07E7">
              <w:rPr>
                <w:rFonts w:ascii="Tahoma" w:hAnsi="Tahoma" w:cs="Tahoma"/>
                <w:sz w:val="20"/>
                <w:szCs w:val="20"/>
              </w:rPr>
              <w:t>В случае нарушения Заёмщиком сроков возврата суммы Кредита (основного долга) и/или уплаты процентов продолжительностью (общей продолжительностью) более чем 60 календарных дней в течение последних 180 календарных дней, Банк вправе потребовать от Заёмщика досрочного возврата оставшейся суммы Кредита вместе с причитающимися процентами и/или расторжения Договора, уведомив об этом Заёмщика способом, установленным Договором. В таком случае Заёмщик обязан вернуть Банку оставшуюся сумму Кредита и уплатить все причитающиеся Банку проценты и неустойки в течение 30 календарных дней с момента направления Банком уведомления Заёмщику, если иной, более продолжительный срок не указан Банком в таком уведомлении.</w:t>
            </w:r>
          </w:p>
        </w:tc>
      </w:tr>
      <w:tr w:rsidR="009D1253" w:rsidRPr="005A07E7" w14:paraId="2A59BFFC" w14:textId="77777777" w:rsidTr="009D1253">
        <w:tblPrEx>
          <w:tblLook w:val="00A0" w:firstRow="1" w:lastRow="0" w:firstColumn="1" w:lastColumn="0" w:noHBand="0" w:noVBand="0"/>
        </w:tblPrEx>
        <w:trPr>
          <w:trHeight w:val="1000"/>
        </w:trPr>
        <w:tc>
          <w:tcPr>
            <w:tcW w:w="1475" w:type="pct"/>
            <w:tcBorders>
              <w:top w:val="single" w:sz="4" w:space="0" w:color="auto"/>
              <w:left w:val="single" w:sz="8" w:space="0" w:color="auto"/>
              <w:bottom w:val="single" w:sz="4" w:space="0" w:color="auto"/>
              <w:right w:val="single" w:sz="4" w:space="0" w:color="000000"/>
            </w:tcBorders>
            <w:vAlign w:val="center"/>
          </w:tcPr>
          <w:p w14:paraId="5BF9CB79"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lastRenderedPageBreak/>
              <w:t>Информация о возможности запрета уступки Кредитором третьим лицам прав (требований) по Договору «Потребительский кредит под залог транспортного средства»</w:t>
            </w:r>
          </w:p>
        </w:tc>
        <w:tc>
          <w:tcPr>
            <w:tcW w:w="3525" w:type="pct"/>
            <w:tcBorders>
              <w:top w:val="single" w:sz="4" w:space="0" w:color="auto"/>
              <w:left w:val="nil"/>
              <w:bottom w:val="single" w:sz="4" w:space="0" w:color="auto"/>
              <w:right w:val="single" w:sz="8" w:space="0" w:color="000000"/>
            </w:tcBorders>
            <w:vAlign w:val="center"/>
          </w:tcPr>
          <w:p w14:paraId="18FFD9F8"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Заёмщик вправе запретить уступку Банком третьим лицам прав (требований) по Договору.</w:t>
            </w:r>
          </w:p>
        </w:tc>
      </w:tr>
      <w:tr w:rsidR="009D1253" w:rsidRPr="005A07E7" w14:paraId="381E6D05"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303"/>
        </w:trPr>
        <w:tc>
          <w:tcPr>
            <w:tcW w:w="1475" w:type="pct"/>
            <w:tcBorders>
              <w:top w:val="single" w:sz="4" w:space="0" w:color="auto"/>
              <w:left w:val="single" w:sz="8" w:space="0" w:color="auto"/>
              <w:bottom w:val="single" w:sz="4" w:space="0" w:color="auto"/>
              <w:right w:val="single" w:sz="4" w:space="0" w:color="000000"/>
            </w:tcBorders>
            <w:vAlign w:val="center"/>
          </w:tcPr>
          <w:p w14:paraId="5026E590"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 xml:space="preserve">Порядок предоставления Заёмщиком информации об использовании Кредита </w:t>
            </w:r>
          </w:p>
        </w:tc>
        <w:tc>
          <w:tcPr>
            <w:tcW w:w="3525" w:type="pct"/>
            <w:tcBorders>
              <w:top w:val="single" w:sz="4" w:space="0" w:color="auto"/>
              <w:left w:val="nil"/>
              <w:bottom w:val="single" w:sz="4" w:space="0" w:color="auto"/>
              <w:right w:val="single" w:sz="8" w:space="0" w:color="000000"/>
            </w:tcBorders>
            <w:vAlign w:val="center"/>
          </w:tcPr>
          <w:p w14:paraId="7F4195EF"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При заключении Договора «Потребительский кредит под залог транспортного средства»</w:t>
            </w:r>
            <w:r w:rsidRPr="005A07E7">
              <w:rPr>
                <w:rFonts w:ascii="Tahoma" w:hAnsi="Tahoma" w:cs="Tahoma"/>
                <w:b/>
                <w:sz w:val="20"/>
                <w:szCs w:val="20"/>
              </w:rPr>
              <w:t xml:space="preserve"> </w:t>
            </w:r>
            <w:r w:rsidRPr="005A07E7">
              <w:rPr>
                <w:rFonts w:ascii="Tahoma" w:hAnsi="Tahoma" w:cs="Tahoma"/>
                <w:sz w:val="20"/>
                <w:szCs w:val="20"/>
              </w:rPr>
              <w:t>Заёмщик предоставляет Банку копии документов, подтверждающих приобретение ТС, а также иных товаров, работ, услуг (при их наличии).</w:t>
            </w:r>
          </w:p>
          <w:p w14:paraId="1221DCC0" w14:textId="77777777" w:rsidR="009D1253" w:rsidRPr="005A07E7" w:rsidRDefault="009D1253" w:rsidP="009D1253">
            <w:pPr>
              <w:jc w:val="both"/>
              <w:rPr>
                <w:rFonts w:ascii="Tahoma" w:hAnsi="Tahoma" w:cs="Tahoma"/>
                <w:sz w:val="20"/>
                <w:szCs w:val="20"/>
              </w:rPr>
            </w:pPr>
          </w:p>
        </w:tc>
      </w:tr>
      <w:tr w:rsidR="009D1253" w:rsidRPr="005A07E7" w14:paraId="2BA91AD3" w14:textId="77777777" w:rsidTr="009D1253">
        <w:tblPrEx>
          <w:tblLook w:val="00A0" w:firstRow="1" w:lastRow="0" w:firstColumn="1" w:lastColumn="0" w:noHBand="0" w:noVBand="0"/>
        </w:tblPrEx>
        <w:trPr>
          <w:trHeight w:val="395"/>
        </w:trPr>
        <w:tc>
          <w:tcPr>
            <w:tcW w:w="1475" w:type="pct"/>
            <w:tcBorders>
              <w:top w:val="single" w:sz="4" w:space="0" w:color="auto"/>
              <w:left w:val="single" w:sz="8" w:space="0" w:color="auto"/>
              <w:bottom w:val="single" w:sz="4" w:space="0" w:color="auto"/>
              <w:right w:val="single" w:sz="4" w:space="0" w:color="000000"/>
            </w:tcBorders>
            <w:vAlign w:val="center"/>
          </w:tcPr>
          <w:p w14:paraId="0249264C"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Подсудность споров по искам Кредитора к Заёмщику</w:t>
            </w:r>
          </w:p>
        </w:tc>
        <w:tc>
          <w:tcPr>
            <w:tcW w:w="3525" w:type="pct"/>
            <w:tcBorders>
              <w:top w:val="single" w:sz="4" w:space="0" w:color="auto"/>
              <w:left w:val="nil"/>
              <w:bottom w:val="single" w:sz="4" w:space="0" w:color="auto"/>
              <w:right w:val="single" w:sz="8" w:space="0" w:color="000000"/>
            </w:tcBorders>
            <w:vAlign w:val="center"/>
          </w:tcPr>
          <w:p w14:paraId="4B4EDE0B"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Неурегулированные споры по искам Банка к Заёмщику рассматриваются в порядке, установленном законодательством РФ. Взыскание задолженности по Договору может производиться по исполнительной надписи нотариуса, совершаемой на основании заявления Банка.</w:t>
            </w:r>
          </w:p>
        </w:tc>
      </w:tr>
      <w:tr w:rsidR="009D1253" w:rsidRPr="00026641" w14:paraId="670B1768" w14:textId="77777777" w:rsidTr="009D1253">
        <w:tblPrEx>
          <w:tblLook w:val="00A0" w:firstRow="1" w:lastRow="0" w:firstColumn="1" w:lastColumn="0" w:noHBand="0" w:noVBand="0"/>
        </w:tblPrEx>
        <w:trPr>
          <w:trHeight w:val="263"/>
        </w:trPr>
        <w:tc>
          <w:tcPr>
            <w:tcW w:w="1475" w:type="pct"/>
            <w:tcBorders>
              <w:top w:val="single" w:sz="4" w:space="0" w:color="auto"/>
              <w:left w:val="single" w:sz="8" w:space="0" w:color="auto"/>
              <w:bottom w:val="single" w:sz="4" w:space="0" w:color="auto"/>
              <w:right w:val="single" w:sz="4" w:space="0" w:color="000000"/>
            </w:tcBorders>
            <w:vAlign w:val="center"/>
          </w:tcPr>
          <w:p w14:paraId="1176DE6E"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Формуляры или иные стандартные формы, в которых определены общие условия договора «Потребительский кредит под залог транспортного средства»</w:t>
            </w:r>
          </w:p>
        </w:tc>
        <w:tc>
          <w:tcPr>
            <w:tcW w:w="3525" w:type="pct"/>
            <w:tcBorders>
              <w:top w:val="single" w:sz="4" w:space="0" w:color="auto"/>
              <w:left w:val="nil"/>
              <w:bottom w:val="single" w:sz="4" w:space="0" w:color="auto"/>
              <w:right w:val="single" w:sz="8" w:space="0" w:color="000000"/>
            </w:tcBorders>
            <w:vAlign w:val="center"/>
          </w:tcPr>
          <w:p w14:paraId="183FEA45" w14:textId="77777777" w:rsidR="009D1253" w:rsidRPr="00026641"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Общие условия Договора «Потребительский кредит под залог транспортного средства» закреплены в «Общих условиях потребительского кредитования в «Азиатско-Тихоокеанский Банк» (АО)», являющихся Приложением № 3 к Универсальному договору банковского обслуживания физических лиц «Азиатско-Тихоокеанский Банк» (АО), размещённых в местах приема заявлений на предоставление потребительского кредита под залог транспортного средства (в отделениях Банка и иных местах приема заявлений на предоставление потребительского кредита под залог транспортного средства), на сайте Банка в сети Интернет по адресу www.atb.su и могут быть предоставлены Заемщику по его требованию на бумажном носителе.</w:t>
            </w:r>
          </w:p>
        </w:tc>
      </w:tr>
      <w:tr w:rsidR="009D1253" w:rsidRPr="00026641" w14:paraId="33356AFE" w14:textId="77777777" w:rsidTr="009D1253">
        <w:tblPrEx>
          <w:tblLook w:val="00A0" w:firstRow="1" w:lastRow="0" w:firstColumn="1" w:lastColumn="0" w:noHBand="0" w:noVBand="0"/>
        </w:tblPrEx>
        <w:trPr>
          <w:trHeight w:val="263"/>
        </w:trPr>
        <w:tc>
          <w:tcPr>
            <w:tcW w:w="1475" w:type="pct"/>
            <w:tcBorders>
              <w:top w:val="single" w:sz="4" w:space="0" w:color="auto"/>
              <w:left w:val="single" w:sz="8" w:space="0" w:color="auto"/>
              <w:bottom w:val="single" w:sz="4" w:space="0" w:color="auto"/>
              <w:right w:val="single" w:sz="4" w:space="0" w:color="000000"/>
            </w:tcBorders>
            <w:vAlign w:val="center"/>
          </w:tcPr>
          <w:p w14:paraId="2F8DCF6B" w14:textId="77777777" w:rsidR="009D1253" w:rsidRPr="005A07E7" w:rsidRDefault="009D1253" w:rsidP="009D1253">
            <w:pPr>
              <w:jc w:val="both"/>
              <w:rPr>
                <w:rFonts w:ascii="Tahoma" w:hAnsi="Tahoma" w:cs="Tahoma"/>
                <w:b/>
                <w:sz w:val="20"/>
                <w:szCs w:val="20"/>
              </w:rPr>
            </w:pPr>
            <w:r w:rsidRPr="00695066">
              <w:rPr>
                <w:rFonts w:ascii="Tahoma" w:hAnsi="Tahoma" w:cs="Tahoma"/>
                <w:b/>
                <w:bCs/>
                <w:sz w:val="20"/>
                <w:szCs w:val="20"/>
              </w:rPr>
              <w:t>Право заемщика обратиться к кредитору с требованием, предусмотренным частью 1 статьи 6.1-2 Федерального закона от 21.12.2013 № 353-ФЗ «О потребительском кредите (займе)», и об условиях, при наступлении которых у заемщика возникает соответствующее право.</w:t>
            </w:r>
          </w:p>
        </w:tc>
        <w:tc>
          <w:tcPr>
            <w:tcW w:w="3525" w:type="pct"/>
            <w:tcBorders>
              <w:top w:val="single" w:sz="4" w:space="0" w:color="auto"/>
              <w:left w:val="nil"/>
              <w:bottom w:val="single" w:sz="4" w:space="0" w:color="auto"/>
              <w:right w:val="single" w:sz="8" w:space="0" w:color="000000"/>
            </w:tcBorders>
            <w:vAlign w:val="center"/>
          </w:tcPr>
          <w:p w14:paraId="6E5AFF27" w14:textId="77777777" w:rsidR="009D1253" w:rsidRPr="00695066" w:rsidRDefault="009D1253" w:rsidP="009D1253">
            <w:pPr>
              <w:widowControl w:val="0"/>
              <w:tabs>
                <w:tab w:val="left" w:pos="426"/>
                <w:tab w:val="left" w:pos="851"/>
              </w:tabs>
              <w:jc w:val="both"/>
              <w:rPr>
                <w:rFonts w:ascii="Tahoma" w:hAnsi="Tahoma" w:cs="Tahoma"/>
                <w:sz w:val="20"/>
                <w:szCs w:val="20"/>
              </w:rPr>
            </w:pPr>
            <w:r w:rsidRPr="00695066">
              <w:rPr>
                <w:rFonts w:ascii="Tahoma" w:hAnsi="Tahoma" w:cs="Tahoma"/>
                <w:sz w:val="20"/>
                <w:szCs w:val="20"/>
              </w:rPr>
              <w:t xml:space="preserve">Заемщик в любой момент в течение времени действия Договора, а в случае, указанном в п. 2 ч. 2 ст. 6.1-2 Закона № 353-ФЗ, в течение шестидесяти дней со дня установления соответствующих фактов, вправе обратиться к кредитору с требованием о предоставлении льготного периода, предусматривающего приостановление исполнения Заемщиком своих обязательств по Договору. </w:t>
            </w:r>
          </w:p>
          <w:p w14:paraId="33FB7FB8" w14:textId="77777777" w:rsidR="009D1253" w:rsidRPr="00695066" w:rsidRDefault="009D1253" w:rsidP="009D1253">
            <w:pPr>
              <w:widowControl w:val="0"/>
              <w:tabs>
                <w:tab w:val="left" w:pos="426"/>
                <w:tab w:val="left" w:pos="851"/>
              </w:tabs>
              <w:jc w:val="both"/>
              <w:rPr>
                <w:rFonts w:ascii="Tahoma" w:hAnsi="Tahoma" w:cs="Tahoma"/>
                <w:sz w:val="20"/>
                <w:szCs w:val="20"/>
              </w:rPr>
            </w:pPr>
            <w:r w:rsidRPr="00695066">
              <w:rPr>
                <w:rFonts w:ascii="Tahoma" w:hAnsi="Tahoma" w:cs="Tahoma"/>
                <w:sz w:val="20"/>
                <w:szCs w:val="20"/>
              </w:rPr>
              <w:t xml:space="preserve">С условиями, при наступлении которых у Заемщика возникает такое право, можно ознакомиться в размещаемой Банком информации о кредитных каникулах в рамках 353-ФЗ, в том числе на сайте Банка </w:t>
            </w:r>
          </w:p>
          <w:p w14:paraId="525F75C2" w14:textId="77777777" w:rsidR="009D1253" w:rsidRPr="005A07E7" w:rsidRDefault="009D1253" w:rsidP="009D1253">
            <w:pPr>
              <w:widowControl w:val="0"/>
              <w:tabs>
                <w:tab w:val="left" w:pos="426"/>
                <w:tab w:val="left" w:pos="851"/>
              </w:tabs>
              <w:jc w:val="both"/>
              <w:rPr>
                <w:rFonts w:ascii="Tahoma" w:hAnsi="Tahoma" w:cs="Tahoma"/>
                <w:sz w:val="20"/>
                <w:szCs w:val="20"/>
              </w:rPr>
            </w:pPr>
            <w:hyperlink r:id="rId59" w:history="1">
              <w:r w:rsidRPr="00695066">
                <w:rPr>
                  <w:rStyle w:val="aff"/>
                  <w:rFonts w:ascii="Tahoma" w:hAnsi="Tahoma" w:cs="Tahoma"/>
                  <w:sz w:val="20"/>
                  <w:szCs w:val="20"/>
                </w:rPr>
                <w:t>https://www.atb.su/customer-care-service/</w:t>
              </w:r>
            </w:hyperlink>
          </w:p>
        </w:tc>
      </w:tr>
    </w:tbl>
    <w:p w14:paraId="2356721C" w14:textId="77777777" w:rsidR="009D1253" w:rsidRDefault="009D1253" w:rsidP="009D1253">
      <w:pPr>
        <w:autoSpaceDN w:val="0"/>
        <w:rPr>
          <w:rFonts w:ascii="Tahoma" w:hAnsi="Tahoma" w:cs="Tahoma"/>
          <w:color w:val="000000"/>
          <w:sz w:val="18"/>
          <w:szCs w:val="18"/>
          <w:vertAlign w:val="superscript"/>
        </w:rPr>
      </w:pPr>
    </w:p>
    <w:p w14:paraId="24313CDF" w14:textId="77777777" w:rsidR="009D1253" w:rsidRDefault="009D1253" w:rsidP="009D1253">
      <w:pPr>
        <w:rPr>
          <w:rFonts w:ascii="Tahoma" w:hAnsi="Tahoma" w:cs="Tahoma"/>
          <w:b/>
          <w:i/>
          <w:color w:val="E36C0A"/>
          <w:sz w:val="22"/>
        </w:rPr>
      </w:pPr>
    </w:p>
    <w:p w14:paraId="0FF8FA3A" w14:textId="77777777" w:rsidR="009D1253" w:rsidRPr="00C9310A" w:rsidRDefault="009D1253" w:rsidP="000B3718">
      <w:pPr>
        <w:pStyle w:val="a5"/>
      </w:pPr>
      <w:bookmarkStart w:id="135" w:name="_Toc174636544"/>
      <w:r w:rsidRPr="00C9310A">
        <w:t>2.4.4.Тарифный план «Новые_ОД»</w:t>
      </w:r>
      <w:bookmarkEnd w:id="135"/>
    </w:p>
    <w:tbl>
      <w:tblPr>
        <w:tblW w:w="4886"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24"/>
        <w:gridCol w:w="10812"/>
      </w:tblGrid>
      <w:tr w:rsidR="009D1253" w:rsidRPr="005A07E7" w14:paraId="72DC429F" w14:textId="77777777" w:rsidTr="009D1253">
        <w:trPr>
          <w:trHeight w:val="455"/>
        </w:trPr>
        <w:tc>
          <w:tcPr>
            <w:tcW w:w="1475" w:type="pct"/>
            <w:shd w:val="clear" w:color="auto" w:fill="D9D9D9" w:themeFill="background1" w:themeFillShade="D9"/>
            <w:vAlign w:val="center"/>
          </w:tcPr>
          <w:p w14:paraId="5DA433EC" w14:textId="77777777" w:rsidR="009D1253" w:rsidRPr="005A07E7" w:rsidRDefault="009D1253" w:rsidP="009D1253">
            <w:pPr>
              <w:jc w:val="center"/>
              <w:rPr>
                <w:rFonts w:ascii="Tahoma" w:hAnsi="Tahoma" w:cs="Tahoma"/>
                <w:b/>
                <w:sz w:val="20"/>
                <w:szCs w:val="20"/>
              </w:rPr>
            </w:pPr>
            <w:r w:rsidRPr="005A07E7">
              <w:rPr>
                <w:rFonts w:ascii="Tahoma" w:hAnsi="Tahoma" w:cs="Tahoma"/>
                <w:b/>
                <w:sz w:val="20"/>
                <w:szCs w:val="20"/>
              </w:rPr>
              <w:t>Наименование продукта/</w:t>
            </w:r>
            <w:r w:rsidRPr="005A07E7" w:rsidDel="00A134C4">
              <w:rPr>
                <w:rFonts w:ascii="Tahoma" w:hAnsi="Tahoma" w:cs="Tahoma"/>
                <w:b/>
                <w:sz w:val="20"/>
                <w:szCs w:val="20"/>
              </w:rPr>
              <w:t xml:space="preserve"> </w:t>
            </w:r>
            <w:r w:rsidRPr="005A07E7">
              <w:rPr>
                <w:rFonts w:ascii="Tahoma" w:hAnsi="Tahoma" w:cs="Tahoma"/>
                <w:b/>
                <w:sz w:val="20"/>
                <w:szCs w:val="20"/>
              </w:rPr>
              <w:t>тарифного плана (ТП)</w:t>
            </w:r>
          </w:p>
        </w:tc>
        <w:tc>
          <w:tcPr>
            <w:tcW w:w="3525" w:type="pct"/>
            <w:shd w:val="clear" w:color="auto" w:fill="D9D9D9" w:themeFill="background1" w:themeFillShade="D9"/>
            <w:vAlign w:val="center"/>
          </w:tcPr>
          <w:p w14:paraId="7F68CF0E" w14:textId="77777777" w:rsidR="009D1253" w:rsidRPr="005A07E7" w:rsidRDefault="009D1253" w:rsidP="009D1253">
            <w:pPr>
              <w:pStyle w:val="a9"/>
              <w:tabs>
                <w:tab w:val="left" w:pos="-284"/>
                <w:tab w:val="left" w:pos="851"/>
              </w:tabs>
              <w:spacing w:before="0" w:after="0"/>
              <w:ind w:right="849"/>
              <w:jc w:val="center"/>
              <w:rPr>
                <w:rFonts w:ascii="Tahoma" w:hAnsi="Tahoma" w:cs="Tahoma"/>
                <w:b/>
              </w:rPr>
            </w:pPr>
            <w:r w:rsidRPr="005A07E7">
              <w:rPr>
                <w:rFonts w:ascii="Tahoma" w:hAnsi="Tahoma" w:cs="Tahoma"/>
                <w:b/>
              </w:rPr>
              <w:t>«</w:t>
            </w:r>
            <w:r>
              <w:rPr>
                <w:rFonts w:ascii="Tahoma" w:hAnsi="Tahoma" w:cs="Tahoma"/>
                <w:b/>
              </w:rPr>
              <w:t>НОВЫЕ_ОД</w:t>
            </w:r>
            <w:r w:rsidRPr="005A07E7">
              <w:rPr>
                <w:rFonts w:ascii="Tahoma" w:hAnsi="Tahoma" w:cs="Tahoma"/>
                <w:b/>
              </w:rPr>
              <w:t>»</w:t>
            </w:r>
          </w:p>
        </w:tc>
      </w:tr>
      <w:tr w:rsidR="009D1253" w:rsidRPr="005A07E7" w14:paraId="3C2DD28B" w14:textId="77777777" w:rsidTr="009D1253">
        <w:trPr>
          <w:trHeight w:val="455"/>
        </w:trPr>
        <w:tc>
          <w:tcPr>
            <w:tcW w:w="1475" w:type="pct"/>
            <w:shd w:val="clear" w:color="auto" w:fill="auto"/>
            <w:vAlign w:val="center"/>
          </w:tcPr>
          <w:p w14:paraId="06F4B564" w14:textId="77777777" w:rsidR="009D1253" w:rsidRPr="005A07E7" w:rsidRDefault="009D1253" w:rsidP="009D1253">
            <w:pPr>
              <w:rPr>
                <w:rFonts w:ascii="Tahoma" w:hAnsi="Tahoma" w:cs="Tahoma"/>
                <w:b/>
                <w:sz w:val="20"/>
                <w:szCs w:val="20"/>
              </w:rPr>
            </w:pPr>
            <w:r w:rsidRPr="005A07E7">
              <w:rPr>
                <w:rFonts w:ascii="Tahoma" w:hAnsi="Tahoma" w:cs="Tahoma"/>
                <w:b/>
                <w:bCs/>
                <w:sz w:val="20"/>
                <w:szCs w:val="20"/>
              </w:rPr>
              <w:t>Категория Заёмщика</w:t>
            </w:r>
          </w:p>
        </w:tc>
        <w:tc>
          <w:tcPr>
            <w:tcW w:w="3525" w:type="pct"/>
            <w:shd w:val="clear" w:color="auto" w:fill="auto"/>
            <w:vAlign w:val="center"/>
          </w:tcPr>
          <w:p w14:paraId="74DF78E5" w14:textId="77777777" w:rsidR="009D1253" w:rsidRPr="005A07E7" w:rsidRDefault="009D1253" w:rsidP="009D1253">
            <w:pPr>
              <w:pStyle w:val="a9"/>
              <w:tabs>
                <w:tab w:val="left" w:pos="-284"/>
                <w:tab w:val="left" w:pos="851"/>
              </w:tabs>
              <w:spacing w:before="0" w:after="0"/>
              <w:ind w:right="849"/>
              <w:jc w:val="center"/>
              <w:rPr>
                <w:rFonts w:ascii="Tahoma" w:hAnsi="Tahoma" w:cs="Tahoma"/>
              </w:rPr>
            </w:pPr>
            <w:r w:rsidRPr="005A07E7">
              <w:rPr>
                <w:rFonts w:ascii="Tahoma" w:hAnsi="Tahoma" w:cs="Tahoma"/>
              </w:rPr>
              <w:t>Физические лица (имеющие официальное место работы и/или постоянный источник дохода)</w:t>
            </w:r>
          </w:p>
        </w:tc>
      </w:tr>
      <w:tr w:rsidR="009D1253" w:rsidRPr="005A07E7" w14:paraId="6A49F882" w14:textId="77777777" w:rsidTr="009D1253">
        <w:trPr>
          <w:trHeight w:val="250"/>
        </w:trPr>
        <w:tc>
          <w:tcPr>
            <w:tcW w:w="1475" w:type="pct"/>
            <w:vAlign w:val="center"/>
          </w:tcPr>
          <w:p w14:paraId="44F2E0F5"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Вид Кредита</w:t>
            </w:r>
          </w:p>
        </w:tc>
        <w:tc>
          <w:tcPr>
            <w:tcW w:w="3525" w:type="pct"/>
            <w:vAlign w:val="center"/>
          </w:tcPr>
          <w:p w14:paraId="34ACF544" w14:textId="77777777" w:rsidR="009D1253" w:rsidRPr="005A07E7" w:rsidRDefault="009D1253" w:rsidP="009D1253">
            <w:pPr>
              <w:pStyle w:val="a9"/>
              <w:tabs>
                <w:tab w:val="left" w:pos="-284"/>
                <w:tab w:val="left" w:pos="851"/>
              </w:tabs>
              <w:spacing w:before="0" w:after="0"/>
              <w:ind w:right="849"/>
              <w:jc w:val="center"/>
              <w:rPr>
                <w:rFonts w:ascii="Tahoma" w:hAnsi="Tahoma" w:cs="Tahoma"/>
              </w:rPr>
            </w:pPr>
            <w:r w:rsidRPr="005A07E7">
              <w:rPr>
                <w:rFonts w:ascii="Tahoma" w:hAnsi="Tahoma" w:cs="Tahoma"/>
              </w:rPr>
              <w:t>Потребительский кредит</w:t>
            </w:r>
          </w:p>
        </w:tc>
      </w:tr>
      <w:tr w:rsidR="009D1253" w:rsidRPr="005A07E7" w14:paraId="047D79D1" w14:textId="77777777" w:rsidTr="009D1253">
        <w:trPr>
          <w:trHeight w:val="250"/>
        </w:trPr>
        <w:tc>
          <w:tcPr>
            <w:tcW w:w="1475" w:type="pct"/>
            <w:vAlign w:val="center"/>
          </w:tcPr>
          <w:p w14:paraId="32CF8605"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Тип Кредита</w:t>
            </w:r>
          </w:p>
        </w:tc>
        <w:tc>
          <w:tcPr>
            <w:tcW w:w="3525" w:type="pct"/>
            <w:vAlign w:val="center"/>
          </w:tcPr>
          <w:p w14:paraId="5E552BC8" w14:textId="77777777" w:rsidR="009D1253" w:rsidRPr="005A07E7" w:rsidRDefault="009D1253" w:rsidP="009D1253">
            <w:pPr>
              <w:pStyle w:val="a9"/>
              <w:tabs>
                <w:tab w:val="left" w:pos="-284"/>
                <w:tab w:val="left" w:pos="851"/>
              </w:tabs>
              <w:spacing w:before="0" w:after="0"/>
              <w:ind w:right="849"/>
              <w:jc w:val="center"/>
              <w:rPr>
                <w:rFonts w:ascii="Tahoma" w:hAnsi="Tahoma" w:cs="Tahoma"/>
              </w:rPr>
            </w:pPr>
            <w:r w:rsidRPr="005A07E7">
              <w:rPr>
                <w:rFonts w:ascii="Tahoma" w:hAnsi="Tahoma" w:cs="Tahoma"/>
              </w:rPr>
              <w:t>Потребительский кредит под залог приобретенного ТС</w:t>
            </w:r>
          </w:p>
        </w:tc>
      </w:tr>
      <w:tr w:rsidR="009D1253" w:rsidRPr="005A07E7" w14:paraId="5B0F7196" w14:textId="77777777" w:rsidTr="009D1253">
        <w:trPr>
          <w:trHeight w:val="512"/>
        </w:trPr>
        <w:tc>
          <w:tcPr>
            <w:tcW w:w="1475" w:type="pct"/>
            <w:vAlign w:val="center"/>
          </w:tcPr>
          <w:p w14:paraId="5CB6F874"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 xml:space="preserve">Цель Кредита </w:t>
            </w:r>
          </w:p>
        </w:tc>
        <w:tc>
          <w:tcPr>
            <w:tcW w:w="3525" w:type="pct"/>
            <w:vAlign w:val="center"/>
          </w:tcPr>
          <w:p w14:paraId="72665673" w14:textId="77777777" w:rsidR="009D1253" w:rsidRPr="005A07E7" w:rsidRDefault="009D1253" w:rsidP="009D1253">
            <w:pPr>
              <w:pStyle w:val="a9"/>
              <w:tabs>
                <w:tab w:val="left" w:pos="-284"/>
                <w:tab w:val="left" w:pos="851"/>
              </w:tabs>
              <w:spacing w:before="0" w:after="0"/>
              <w:jc w:val="center"/>
              <w:rPr>
                <w:rFonts w:ascii="Tahoma" w:hAnsi="Tahoma" w:cs="Tahoma"/>
              </w:rPr>
            </w:pPr>
            <w:r w:rsidRPr="008C2B25">
              <w:rPr>
                <w:rFonts w:ascii="Tahoma" w:hAnsi="Tahoma" w:cs="Tahoma"/>
              </w:rPr>
              <w:t xml:space="preserve">Приобретение нового транспортного средства (ТС) отечественной или иностранной марки категории В, или иностранной марки категории </w:t>
            </w:r>
            <w:r w:rsidRPr="008C2B25">
              <w:rPr>
                <w:rFonts w:ascii="Tahoma" w:hAnsi="Tahoma" w:cs="Tahoma"/>
                <w:lang w:val="en-US"/>
              </w:rPr>
              <w:t>D</w:t>
            </w:r>
            <w:r w:rsidRPr="008C2B25">
              <w:rPr>
                <w:rFonts w:ascii="Tahoma" w:hAnsi="Tahoma" w:cs="Tahoma"/>
              </w:rPr>
              <w:t>, а также дополнительно на оплату иных товаров, работ и услуг по выбору Заёмщика</w:t>
            </w:r>
          </w:p>
        </w:tc>
      </w:tr>
      <w:tr w:rsidR="009D1253" w:rsidRPr="005A07E7" w14:paraId="7F8B08D4" w14:textId="77777777" w:rsidTr="009D1253">
        <w:trPr>
          <w:trHeight w:val="455"/>
        </w:trPr>
        <w:tc>
          <w:tcPr>
            <w:tcW w:w="1475" w:type="pct"/>
            <w:vAlign w:val="center"/>
          </w:tcPr>
          <w:p w14:paraId="7A857269"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lastRenderedPageBreak/>
              <w:t>Подразделения сети/точки продаж, реализующие кредитный продукт</w:t>
            </w:r>
          </w:p>
        </w:tc>
        <w:tc>
          <w:tcPr>
            <w:tcW w:w="3525" w:type="pct"/>
            <w:vAlign w:val="center"/>
          </w:tcPr>
          <w:p w14:paraId="6C832E10" w14:textId="77777777" w:rsidR="009D1253" w:rsidRPr="005A07E7" w:rsidRDefault="009D1253" w:rsidP="009D1253">
            <w:pPr>
              <w:pStyle w:val="a9"/>
              <w:tabs>
                <w:tab w:val="left" w:pos="-284"/>
                <w:tab w:val="left" w:pos="851"/>
              </w:tabs>
              <w:spacing w:before="0" w:after="0"/>
              <w:jc w:val="center"/>
              <w:rPr>
                <w:rFonts w:ascii="Tahoma" w:hAnsi="Tahoma" w:cs="Tahoma"/>
              </w:rPr>
            </w:pPr>
            <w:r w:rsidRPr="005A07E7">
              <w:rPr>
                <w:rFonts w:ascii="Tahoma" w:hAnsi="Tahoma" w:cs="Tahoma"/>
              </w:rPr>
              <w:t>Все подразделения Банка</w:t>
            </w:r>
            <w:r w:rsidRPr="00B627E1">
              <w:rPr>
                <w:rFonts w:ascii="Tahoma" w:hAnsi="Tahoma" w:cs="Tahoma"/>
              </w:rPr>
              <w:t xml:space="preserve"> (доступность необходимо уточнять в точке продаж</w:t>
            </w:r>
            <w:r w:rsidRPr="005C3E44">
              <w:rPr>
                <w:rFonts w:ascii="Tahoma" w:hAnsi="Tahoma" w:cs="Tahoma"/>
              </w:rPr>
              <w:t>)</w:t>
            </w:r>
          </w:p>
        </w:tc>
      </w:tr>
      <w:tr w:rsidR="009D1253" w:rsidRPr="005A07E7" w14:paraId="6B0CFD87" w14:textId="77777777" w:rsidTr="009D1253">
        <w:trPr>
          <w:trHeight w:val="455"/>
        </w:trPr>
        <w:tc>
          <w:tcPr>
            <w:tcW w:w="1475" w:type="pct"/>
            <w:vAlign w:val="center"/>
          </w:tcPr>
          <w:p w14:paraId="13DEB84F" w14:textId="77777777" w:rsidR="009D1253" w:rsidRPr="005A07E7" w:rsidRDefault="009D1253" w:rsidP="009D1253">
            <w:pPr>
              <w:rPr>
                <w:rFonts w:ascii="Tahoma" w:hAnsi="Tahoma" w:cs="Tahoma"/>
                <w:b/>
                <w:bCs/>
                <w:sz w:val="20"/>
                <w:szCs w:val="20"/>
              </w:rPr>
            </w:pPr>
            <w:r w:rsidRPr="005A07E7">
              <w:rPr>
                <w:rFonts w:ascii="Tahoma" w:hAnsi="Tahoma" w:cs="Tahoma"/>
                <w:b/>
                <w:bCs/>
                <w:sz w:val="20"/>
                <w:szCs w:val="20"/>
              </w:rPr>
              <w:t>Валюта, в которой предоставляется Кредит</w:t>
            </w:r>
          </w:p>
        </w:tc>
        <w:tc>
          <w:tcPr>
            <w:tcW w:w="3525" w:type="pct"/>
            <w:vAlign w:val="center"/>
          </w:tcPr>
          <w:p w14:paraId="62517BF3" w14:textId="77777777" w:rsidR="009D1253" w:rsidRPr="005A07E7" w:rsidRDefault="009D1253" w:rsidP="009D1253">
            <w:pPr>
              <w:pStyle w:val="a9"/>
              <w:tabs>
                <w:tab w:val="left" w:pos="-284"/>
                <w:tab w:val="left" w:pos="851"/>
              </w:tabs>
              <w:spacing w:before="0" w:after="0"/>
              <w:ind w:right="849"/>
              <w:jc w:val="center"/>
              <w:rPr>
                <w:rFonts w:ascii="Tahoma" w:hAnsi="Tahoma" w:cs="Tahoma"/>
              </w:rPr>
            </w:pPr>
            <w:r w:rsidRPr="005A07E7">
              <w:rPr>
                <w:rFonts w:ascii="Tahoma" w:hAnsi="Tahoma" w:cs="Tahoma"/>
                <w:color w:val="000000"/>
              </w:rPr>
              <w:t>Рубл</w:t>
            </w:r>
            <w:r>
              <w:rPr>
                <w:rFonts w:ascii="Tahoma" w:hAnsi="Tahoma" w:cs="Tahoma"/>
                <w:color w:val="000000"/>
              </w:rPr>
              <w:t>ь</w:t>
            </w:r>
            <w:r w:rsidRPr="005A07E7">
              <w:rPr>
                <w:rFonts w:ascii="Tahoma" w:hAnsi="Tahoma" w:cs="Tahoma"/>
                <w:color w:val="000000"/>
              </w:rPr>
              <w:t xml:space="preserve"> Российской</w:t>
            </w:r>
            <w:r>
              <w:rPr>
                <w:rFonts w:ascii="Tahoma" w:hAnsi="Tahoma" w:cs="Tahoma"/>
                <w:color w:val="000000"/>
              </w:rPr>
              <w:t xml:space="preserve"> Федерации (далее - рубль</w:t>
            </w:r>
            <w:r w:rsidRPr="005A07E7">
              <w:rPr>
                <w:rFonts w:ascii="Tahoma" w:hAnsi="Tahoma" w:cs="Tahoma"/>
                <w:color w:val="000000"/>
              </w:rPr>
              <w:t>)</w:t>
            </w:r>
          </w:p>
        </w:tc>
      </w:tr>
      <w:tr w:rsidR="009D1253" w:rsidRPr="005A07E7" w14:paraId="1F89D752" w14:textId="77777777" w:rsidTr="009D1253">
        <w:trPr>
          <w:trHeight w:val="455"/>
        </w:trPr>
        <w:tc>
          <w:tcPr>
            <w:tcW w:w="1475" w:type="pct"/>
            <w:shd w:val="clear" w:color="auto" w:fill="auto"/>
            <w:vAlign w:val="center"/>
          </w:tcPr>
          <w:p w14:paraId="6C672597" w14:textId="77777777" w:rsidR="009D1253" w:rsidRPr="005A07E7" w:rsidRDefault="009D1253" w:rsidP="009D1253">
            <w:pPr>
              <w:rPr>
                <w:rFonts w:ascii="Tahoma" w:hAnsi="Tahoma" w:cs="Tahoma"/>
                <w:b/>
                <w:bCs/>
                <w:sz w:val="20"/>
                <w:szCs w:val="20"/>
              </w:rPr>
            </w:pPr>
            <w:r w:rsidRPr="005A07E7">
              <w:rPr>
                <w:rFonts w:ascii="Tahoma" w:hAnsi="Tahoma" w:cs="Tahoma"/>
                <w:b/>
                <w:sz w:val="20"/>
                <w:szCs w:val="20"/>
              </w:rPr>
              <w:t>Минимальная сумма Кредита</w:t>
            </w:r>
          </w:p>
        </w:tc>
        <w:tc>
          <w:tcPr>
            <w:tcW w:w="3525" w:type="pct"/>
            <w:shd w:val="clear" w:color="auto" w:fill="auto"/>
            <w:vAlign w:val="center"/>
          </w:tcPr>
          <w:p w14:paraId="4C1A144E" w14:textId="77777777" w:rsidR="009D1253" w:rsidRPr="001058AC" w:rsidRDefault="009D1253" w:rsidP="009D1253">
            <w:pPr>
              <w:pStyle w:val="a9"/>
              <w:tabs>
                <w:tab w:val="left" w:pos="-284"/>
                <w:tab w:val="left" w:pos="851"/>
              </w:tabs>
              <w:spacing w:before="0" w:after="0"/>
              <w:ind w:right="849"/>
              <w:jc w:val="center"/>
              <w:rPr>
                <w:rFonts w:ascii="Tahoma" w:hAnsi="Tahoma" w:cs="Tahoma"/>
                <w:color w:val="000000"/>
              </w:rPr>
            </w:pPr>
            <w:r>
              <w:rPr>
                <w:rFonts w:ascii="Tahoma" w:hAnsi="Tahoma" w:cs="Tahoma"/>
                <w:color w:val="000000"/>
              </w:rPr>
              <w:t>2</w:t>
            </w:r>
            <w:r w:rsidRPr="001058AC">
              <w:rPr>
                <w:rFonts w:ascii="Tahoma" w:hAnsi="Tahoma" w:cs="Tahoma"/>
                <w:color w:val="000000"/>
              </w:rPr>
              <w:t>00 000 рублей</w:t>
            </w:r>
          </w:p>
        </w:tc>
      </w:tr>
      <w:tr w:rsidR="009D1253" w:rsidRPr="005A07E7" w14:paraId="3A66A338" w14:textId="77777777" w:rsidTr="009D1253">
        <w:trPr>
          <w:trHeight w:val="363"/>
        </w:trPr>
        <w:tc>
          <w:tcPr>
            <w:tcW w:w="1475" w:type="pct"/>
            <w:shd w:val="clear" w:color="auto" w:fill="auto"/>
            <w:vAlign w:val="center"/>
          </w:tcPr>
          <w:p w14:paraId="0616163F"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Максимальная сумма Кредита</w:t>
            </w:r>
          </w:p>
        </w:tc>
        <w:tc>
          <w:tcPr>
            <w:tcW w:w="3525" w:type="pct"/>
            <w:shd w:val="clear" w:color="auto" w:fill="auto"/>
            <w:vAlign w:val="center"/>
          </w:tcPr>
          <w:p w14:paraId="18601DDF" w14:textId="77777777" w:rsidR="009D1253" w:rsidRPr="001058AC" w:rsidRDefault="009D1253" w:rsidP="009D1253">
            <w:pPr>
              <w:pStyle w:val="a9"/>
              <w:tabs>
                <w:tab w:val="left" w:pos="-284"/>
                <w:tab w:val="left" w:pos="851"/>
              </w:tabs>
              <w:spacing w:before="0" w:after="0"/>
              <w:ind w:right="849"/>
              <w:jc w:val="center"/>
              <w:rPr>
                <w:rFonts w:ascii="Tahoma" w:hAnsi="Tahoma" w:cs="Tahoma"/>
                <w:color w:val="000000"/>
              </w:rPr>
            </w:pPr>
            <w:r>
              <w:rPr>
                <w:rFonts w:ascii="Tahoma" w:hAnsi="Tahoma" w:cs="Tahoma"/>
                <w:color w:val="000000"/>
              </w:rPr>
              <w:t>9</w:t>
            </w:r>
            <w:r w:rsidRPr="001058AC">
              <w:rPr>
                <w:rFonts w:ascii="Tahoma" w:hAnsi="Tahoma" w:cs="Tahoma"/>
                <w:color w:val="000000"/>
              </w:rPr>
              <w:t xml:space="preserve"> 000 000 рублей</w:t>
            </w:r>
          </w:p>
        </w:tc>
      </w:tr>
      <w:tr w:rsidR="009D1253" w:rsidRPr="005A07E7" w14:paraId="07D662B8" w14:textId="77777777" w:rsidTr="009D1253">
        <w:trPr>
          <w:trHeight w:val="558"/>
        </w:trPr>
        <w:tc>
          <w:tcPr>
            <w:tcW w:w="1475" w:type="pct"/>
            <w:shd w:val="clear" w:color="auto" w:fill="auto"/>
            <w:vAlign w:val="center"/>
          </w:tcPr>
          <w:p w14:paraId="0E905F75"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 xml:space="preserve">Размер первоначального взноса (ПВ) </w:t>
            </w:r>
          </w:p>
          <w:p w14:paraId="53AAC340"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в % от стоимости ТС</w:t>
            </w:r>
          </w:p>
        </w:tc>
        <w:tc>
          <w:tcPr>
            <w:tcW w:w="3525" w:type="pct"/>
            <w:shd w:val="clear" w:color="auto" w:fill="auto"/>
            <w:vAlign w:val="center"/>
          </w:tcPr>
          <w:p w14:paraId="59114D7C" w14:textId="77777777" w:rsidR="009D1253" w:rsidRPr="005A07E7" w:rsidRDefault="009D1253" w:rsidP="009D1253">
            <w:pPr>
              <w:pStyle w:val="a9"/>
              <w:tabs>
                <w:tab w:val="left" w:pos="-284"/>
                <w:tab w:val="left" w:pos="851"/>
              </w:tabs>
              <w:spacing w:before="0" w:after="0"/>
              <w:ind w:right="849"/>
              <w:jc w:val="center"/>
              <w:rPr>
                <w:rFonts w:ascii="Tahoma" w:hAnsi="Tahoma" w:cs="Tahoma"/>
                <w:color w:val="000000"/>
              </w:rPr>
            </w:pPr>
            <w:r w:rsidRPr="005A07E7">
              <w:rPr>
                <w:rFonts w:ascii="Tahoma" w:hAnsi="Tahoma" w:cs="Tahoma"/>
                <w:color w:val="000000"/>
              </w:rPr>
              <w:t>от 0%</w:t>
            </w:r>
          </w:p>
        </w:tc>
      </w:tr>
      <w:tr w:rsidR="009D1253" w:rsidRPr="005A07E7" w14:paraId="5F0DFD0B" w14:textId="77777777" w:rsidTr="009D1253">
        <w:trPr>
          <w:trHeight w:val="408"/>
        </w:trPr>
        <w:tc>
          <w:tcPr>
            <w:tcW w:w="1475" w:type="pct"/>
            <w:shd w:val="clear" w:color="auto" w:fill="auto"/>
            <w:vAlign w:val="center"/>
          </w:tcPr>
          <w:p w14:paraId="4695EA0F"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Диапазон сроков возврата Кредита</w:t>
            </w:r>
          </w:p>
        </w:tc>
        <w:tc>
          <w:tcPr>
            <w:tcW w:w="3525" w:type="pct"/>
            <w:shd w:val="clear" w:color="auto" w:fill="auto"/>
            <w:vAlign w:val="center"/>
          </w:tcPr>
          <w:p w14:paraId="00412AA7" w14:textId="77777777" w:rsidR="009D1253" w:rsidRPr="005A07E7" w:rsidRDefault="009D1253" w:rsidP="009D1253">
            <w:pPr>
              <w:tabs>
                <w:tab w:val="left" w:pos="851"/>
              </w:tabs>
              <w:jc w:val="center"/>
              <w:rPr>
                <w:rFonts w:ascii="Tahoma" w:hAnsi="Tahoma" w:cs="Tahoma"/>
                <w:sz w:val="20"/>
                <w:szCs w:val="20"/>
              </w:rPr>
            </w:pPr>
            <w:r w:rsidRPr="005A07E7">
              <w:rPr>
                <w:rFonts w:ascii="Tahoma" w:hAnsi="Tahoma" w:cs="Tahoma"/>
                <w:sz w:val="20"/>
                <w:szCs w:val="20"/>
              </w:rPr>
              <w:t xml:space="preserve">от 24 (двадцати четырех) до </w:t>
            </w:r>
            <w:r w:rsidRPr="00C13F0D">
              <w:rPr>
                <w:rFonts w:ascii="Tahoma" w:hAnsi="Tahoma" w:cs="Tahoma"/>
                <w:sz w:val="20"/>
                <w:szCs w:val="20"/>
              </w:rPr>
              <w:t>120</w:t>
            </w:r>
            <w:r w:rsidRPr="008C2B25">
              <w:rPr>
                <w:rFonts w:ascii="Tahoma" w:hAnsi="Tahoma" w:cs="Tahoma"/>
                <w:sz w:val="20"/>
                <w:szCs w:val="20"/>
              </w:rPr>
              <w:t xml:space="preserve"> (</w:t>
            </w:r>
            <w:r>
              <w:rPr>
                <w:rFonts w:ascii="Tahoma" w:hAnsi="Tahoma" w:cs="Tahoma"/>
                <w:sz w:val="20"/>
                <w:szCs w:val="20"/>
              </w:rPr>
              <w:t>ста двадцати</w:t>
            </w:r>
            <w:r w:rsidRPr="008C2B25">
              <w:rPr>
                <w:rFonts w:ascii="Tahoma" w:hAnsi="Tahoma" w:cs="Tahoma"/>
                <w:sz w:val="20"/>
                <w:szCs w:val="20"/>
              </w:rPr>
              <w:t>)</w:t>
            </w:r>
            <w:r w:rsidRPr="005A07E7">
              <w:rPr>
                <w:rFonts w:ascii="Tahoma" w:hAnsi="Tahoma" w:cs="Tahoma"/>
                <w:sz w:val="20"/>
                <w:szCs w:val="20"/>
              </w:rPr>
              <w:t xml:space="preserve"> месяцев с шагом в 1 (один) год</w:t>
            </w:r>
          </w:p>
        </w:tc>
      </w:tr>
      <w:tr w:rsidR="009D1253" w:rsidRPr="005A07E7" w14:paraId="694550AE" w14:textId="77777777" w:rsidTr="009D1253">
        <w:trPr>
          <w:trHeight w:val="558"/>
        </w:trPr>
        <w:tc>
          <w:tcPr>
            <w:tcW w:w="1475" w:type="pct"/>
            <w:vAlign w:val="center"/>
          </w:tcPr>
          <w:p w14:paraId="36B16790" w14:textId="77777777" w:rsidR="009D1253" w:rsidRPr="005A07E7" w:rsidRDefault="009D1253" w:rsidP="009D1253">
            <w:pPr>
              <w:spacing w:line="216" w:lineRule="auto"/>
              <w:rPr>
                <w:rFonts w:ascii="Tahoma" w:hAnsi="Tahoma" w:cs="Tahoma"/>
                <w:b/>
                <w:sz w:val="20"/>
                <w:szCs w:val="20"/>
              </w:rPr>
            </w:pPr>
            <w:r w:rsidRPr="005A07E7">
              <w:rPr>
                <w:rFonts w:ascii="Tahoma" w:hAnsi="Tahoma" w:cs="Tahoma"/>
                <w:b/>
                <w:sz w:val="20"/>
                <w:szCs w:val="20"/>
              </w:rPr>
              <w:t>Процентная ставка (в процентах годовых)</w:t>
            </w:r>
          </w:p>
        </w:tc>
        <w:tc>
          <w:tcPr>
            <w:tcW w:w="3525" w:type="pct"/>
            <w:shd w:val="clear" w:color="auto" w:fill="auto"/>
            <w:vAlign w:val="center"/>
          </w:tcPr>
          <w:tbl>
            <w:tblPr>
              <w:tblStyle w:val="aff0"/>
              <w:tblpPr w:leftFromText="180" w:rightFromText="180" w:horzAnchor="margin" w:tblpY="1"/>
              <w:tblOverlap w:val="never"/>
              <w:tblW w:w="10546" w:type="dxa"/>
              <w:tblLayout w:type="fixed"/>
              <w:tblLook w:val="05A0" w:firstRow="1" w:lastRow="0" w:firstColumn="1" w:lastColumn="1" w:noHBand="0" w:noVBand="1"/>
            </w:tblPr>
            <w:tblGrid>
              <w:gridCol w:w="2438"/>
              <w:gridCol w:w="2381"/>
              <w:gridCol w:w="1871"/>
              <w:gridCol w:w="1928"/>
              <w:gridCol w:w="1928"/>
            </w:tblGrid>
            <w:tr w:rsidR="009D1253" w:rsidRPr="008C2B25" w14:paraId="47D9504C" w14:textId="77777777" w:rsidTr="009D1253">
              <w:tc>
                <w:tcPr>
                  <w:tcW w:w="2438" w:type="dxa"/>
                  <w:vAlign w:val="center"/>
                </w:tcPr>
                <w:p w14:paraId="4EDEDC00" w14:textId="77777777" w:rsidR="009D1253" w:rsidRPr="008C2B25" w:rsidRDefault="009D1253" w:rsidP="009D1253">
                  <w:pPr>
                    <w:tabs>
                      <w:tab w:val="left" w:pos="6979"/>
                    </w:tabs>
                    <w:ind w:right="176"/>
                    <w:rPr>
                      <w:rFonts w:ascii="Tahoma" w:hAnsi="Tahoma" w:cs="Tahoma"/>
                      <w:color w:val="000000"/>
                      <w:sz w:val="20"/>
                      <w:szCs w:val="20"/>
                    </w:rPr>
                  </w:pPr>
                  <w:r w:rsidRPr="008C2B25">
                    <w:rPr>
                      <w:rFonts w:ascii="Tahoma" w:hAnsi="Tahoma" w:cs="Tahoma"/>
                      <w:color w:val="000000"/>
                      <w:sz w:val="20"/>
                      <w:szCs w:val="20"/>
                    </w:rPr>
                    <w:t>Тариф</w:t>
                  </w:r>
                </w:p>
              </w:tc>
              <w:tc>
                <w:tcPr>
                  <w:tcW w:w="2381" w:type="dxa"/>
                </w:tcPr>
                <w:p w14:paraId="56AAB9ED" w14:textId="77777777" w:rsidR="009D1253" w:rsidRPr="008C2B25" w:rsidRDefault="009D1253" w:rsidP="009D1253">
                  <w:pPr>
                    <w:autoSpaceDE w:val="0"/>
                    <w:autoSpaceDN w:val="0"/>
                    <w:adjustRightInd w:val="0"/>
                    <w:jc w:val="center"/>
                    <w:rPr>
                      <w:rFonts w:ascii="Tahoma" w:hAnsi="Tahoma" w:cs="Tahoma"/>
                      <w:color w:val="000000"/>
                      <w:sz w:val="20"/>
                      <w:szCs w:val="20"/>
                    </w:rPr>
                  </w:pPr>
                  <w:r w:rsidRPr="008C2B25">
                    <w:rPr>
                      <w:rFonts w:ascii="Tahoma" w:hAnsi="Tahoma" w:cs="Tahoma"/>
                      <w:color w:val="000000"/>
                      <w:sz w:val="20"/>
                      <w:szCs w:val="20"/>
                    </w:rPr>
                    <w:t>Ставка по Кредиту при отказе от заключения или досрочном*** прекращении договора страхования КАСКО* и личного страхования**</w:t>
                  </w:r>
                </w:p>
              </w:tc>
              <w:tc>
                <w:tcPr>
                  <w:tcW w:w="1871" w:type="dxa"/>
                </w:tcPr>
                <w:p w14:paraId="6EAB8F56" w14:textId="77777777" w:rsidR="009D1253" w:rsidRPr="008C2B25" w:rsidRDefault="009D1253" w:rsidP="009D1253">
                  <w:pPr>
                    <w:tabs>
                      <w:tab w:val="left" w:pos="6979"/>
                    </w:tabs>
                    <w:ind w:right="176"/>
                    <w:jc w:val="center"/>
                    <w:rPr>
                      <w:rFonts w:ascii="Tahoma" w:hAnsi="Tahoma" w:cs="Tahoma"/>
                      <w:color w:val="000000"/>
                      <w:sz w:val="20"/>
                      <w:szCs w:val="20"/>
                    </w:rPr>
                  </w:pPr>
                  <w:r w:rsidRPr="008C2B25">
                    <w:rPr>
                      <w:rFonts w:ascii="Tahoma" w:hAnsi="Tahoma" w:cs="Tahoma"/>
                      <w:color w:val="000000"/>
                      <w:sz w:val="20"/>
                      <w:szCs w:val="20"/>
                    </w:rPr>
                    <w:t>Ставка по Кредиту при заключении договора страхования КАСКО*</w:t>
                  </w:r>
                </w:p>
              </w:tc>
              <w:tc>
                <w:tcPr>
                  <w:tcW w:w="1928" w:type="dxa"/>
                </w:tcPr>
                <w:p w14:paraId="46A6D911" w14:textId="77777777" w:rsidR="009D1253" w:rsidRPr="008C2B25" w:rsidRDefault="009D1253" w:rsidP="009D1253">
                  <w:pPr>
                    <w:tabs>
                      <w:tab w:val="left" w:pos="6979"/>
                    </w:tabs>
                    <w:ind w:right="176"/>
                    <w:jc w:val="center"/>
                    <w:rPr>
                      <w:rFonts w:ascii="Tahoma" w:hAnsi="Tahoma" w:cs="Tahoma"/>
                      <w:color w:val="000000"/>
                      <w:sz w:val="20"/>
                      <w:szCs w:val="20"/>
                    </w:rPr>
                  </w:pPr>
                  <w:r w:rsidRPr="008C2B25">
                    <w:rPr>
                      <w:rFonts w:ascii="Tahoma" w:hAnsi="Tahoma" w:cs="Tahoma"/>
                      <w:color w:val="000000"/>
                      <w:sz w:val="20"/>
                      <w:szCs w:val="20"/>
                    </w:rPr>
                    <w:t>Ставка по Кредиту при заключении договора личного страхования**</w:t>
                  </w:r>
                  <w:r>
                    <w:rPr>
                      <w:rFonts w:ascii="Tahoma" w:hAnsi="Tahoma" w:cs="Tahoma"/>
                      <w:color w:val="000000"/>
                      <w:sz w:val="20"/>
                      <w:szCs w:val="20"/>
                    </w:rPr>
                    <w:t xml:space="preserve"> на срок 12 месяцев</w:t>
                  </w:r>
                </w:p>
              </w:tc>
              <w:tc>
                <w:tcPr>
                  <w:tcW w:w="1928" w:type="dxa"/>
                </w:tcPr>
                <w:p w14:paraId="09E240B7" w14:textId="77777777" w:rsidR="009D1253" w:rsidRPr="008C2B25" w:rsidRDefault="009D1253" w:rsidP="009D1253">
                  <w:pPr>
                    <w:tabs>
                      <w:tab w:val="left" w:pos="6979"/>
                    </w:tabs>
                    <w:ind w:right="176"/>
                    <w:jc w:val="center"/>
                    <w:rPr>
                      <w:rFonts w:ascii="Tahoma" w:hAnsi="Tahoma" w:cs="Tahoma"/>
                      <w:color w:val="000000"/>
                      <w:sz w:val="20"/>
                      <w:szCs w:val="20"/>
                    </w:rPr>
                  </w:pPr>
                  <w:r w:rsidRPr="005A07E7">
                    <w:rPr>
                      <w:rFonts w:ascii="Tahoma" w:hAnsi="Tahoma" w:cs="Tahoma"/>
                      <w:color w:val="000000"/>
                      <w:sz w:val="20"/>
                      <w:szCs w:val="20"/>
                    </w:rPr>
                    <w:t>Ставка по Кредиту при заключении договора личного страхования**</w:t>
                  </w:r>
                  <w:r>
                    <w:rPr>
                      <w:rFonts w:ascii="Tahoma" w:hAnsi="Tahoma" w:cs="Tahoma"/>
                      <w:color w:val="000000"/>
                      <w:sz w:val="20"/>
                      <w:szCs w:val="20"/>
                    </w:rPr>
                    <w:t xml:space="preserve"> на срок 24 месяца</w:t>
                  </w:r>
                </w:p>
              </w:tc>
            </w:tr>
            <w:tr w:rsidR="009D1253" w:rsidRPr="008C2B25" w14:paraId="686256A1" w14:textId="77777777" w:rsidTr="009D1253">
              <w:tc>
                <w:tcPr>
                  <w:tcW w:w="2438" w:type="dxa"/>
                </w:tcPr>
                <w:p w14:paraId="76EA46B4" w14:textId="77777777" w:rsidR="009D1253" w:rsidRPr="008C2B25" w:rsidRDefault="009D1253" w:rsidP="009D1253">
                  <w:pPr>
                    <w:tabs>
                      <w:tab w:val="left" w:pos="6979"/>
                    </w:tabs>
                    <w:ind w:right="176"/>
                    <w:rPr>
                      <w:rFonts w:ascii="Tahoma" w:hAnsi="Tahoma" w:cs="Tahoma"/>
                      <w:color w:val="000000"/>
                      <w:sz w:val="20"/>
                      <w:szCs w:val="20"/>
                    </w:rPr>
                  </w:pPr>
                  <w:r w:rsidRPr="008C2B25">
                    <w:rPr>
                      <w:rFonts w:ascii="Tahoma" w:hAnsi="Tahoma" w:cs="Tahoma"/>
                      <w:color w:val="000000"/>
                      <w:sz w:val="20"/>
                      <w:szCs w:val="20"/>
                    </w:rPr>
                    <w:t>Новые_ОД_Экстра</w:t>
                  </w:r>
                </w:p>
              </w:tc>
              <w:tc>
                <w:tcPr>
                  <w:tcW w:w="2381" w:type="dxa"/>
                </w:tcPr>
                <w:p w14:paraId="14A75217" w14:textId="77777777" w:rsidR="009D1253" w:rsidRPr="008C2B25"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26.99</w:t>
                  </w:r>
                  <w:r w:rsidRPr="008C2B25">
                    <w:rPr>
                      <w:rFonts w:ascii="Tahoma" w:hAnsi="Tahoma" w:cs="Tahoma"/>
                      <w:b/>
                      <w:color w:val="000000"/>
                      <w:sz w:val="20"/>
                      <w:szCs w:val="20"/>
                    </w:rPr>
                    <w:t>%</w:t>
                  </w:r>
                </w:p>
              </w:tc>
              <w:tc>
                <w:tcPr>
                  <w:tcW w:w="1871" w:type="dxa"/>
                </w:tcPr>
                <w:p w14:paraId="72050901" w14:textId="77777777" w:rsidR="009D1253" w:rsidRPr="008C2B25" w:rsidRDefault="009D1253" w:rsidP="009D1253">
                  <w:pPr>
                    <w:tabs>
                      <w:tab w:val="left" w:pos="6979"/>
                    </w:tabs>
                    <w:jc w:val="center"/>
                    <w:rPr>
                      <w:rFonts w:ascii="Tahoma" w:hAnsi="Tahoma" w:cs="Tahoma"/>
                      <w:b/>
                      <w:color w:val="000000"/>
                      <w:sz w:val="20"/>
                      <w:szCs w:val="20"/>
                    </w:rPr>
                  </w:pPr>
                  <w:r>
                    <w:rPr>
                      <w:rFonts w:ascii="Tahoma" w:hAnsi="Tahoma" w:cs="Tahoma"/>
                      <w:b/>
                      <w:color w:val="000000"/>
                      <w:sz w:val="20"/>
                      <w:szCs w:val="20"/>
                    </w:rPr>
                    <w:t>24.99</w:t>
                  </w:r>
                  <w:r w:rsidRPr="008C2B25">
                    <w:rPr>
                      <w:rFonts w:ascii="Tahoma" w:hAnsi="Tahoma" w:cs="Tahoma"/>
                      <w:b/>
                      <w:color w:val="000000"/>
                      <w:sz w:val="20"/>
                      <w:szCs w:val="20"/>
                    </w:rPr>
                    <w:t>%</w:t>
                  </w:r>
                </w:p>
              </w:tc>
              <w:tc>
                <w:tcPr>
                  <w:tcW w:w="1928" w:type="dxa"/>
                </w:tcPr>
                <w:p w14:paraId="46376499" w14:textId="77777777" w:rsidR="009D1253" w:rsidRPr="008C2B25"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24.99</w:t>
                  </w:r>
                  <w:r w:rsidRPr="008C2B25">
                    <w:rPr>
                      <w:rFonts w:ascii="Tahoma" w:hAnsi="Tahoma" w:cs="Tahoma"/>
                      <w:b/>
                      <w:color w:val="000000"/>
                      <w:sz w:val="20"/>
                      <w:szCs w:val="20"/>
                    </w:rPr>
                    <w:t>%</w:t>
                  </w:r>
                </w:p>
              </w:tc>
              <w:tc>
                <w:tcPr>
                  <w:tcW w:w="1928" w:type="dxa"/>
                </w:tcPr>
                <w:p w14:paraId="561B1786" w14:textId="77777777" w:rsidR="009D1253" w:rsidRPr="008C2B25"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22.99%</w:t>
                  </w:r>
                </w:p>
              </w:tc>
            </w:tr>
            <w:tr w:rsidR="009D1253" w:rsidRPr="008C2B25" w14:paraId="0A70A144" w14:textId="77777777" w:rsidTr="009D1253">
              <w:trPr>
                <w:trHeight w:val="219"/>
              </w:trPr>
              <w:tc>
                <w:tcPr>
                  <w:tcW w:w="2438" w:type="dxa"/>
                </w:tcPr>
                <w:p w14:paraId="1FA24E5C" w14:textId="77777777" w:rsidR="009D1253" w:rsidRPr="008C2B25" w:rsidRDefault="009D1253" w:rsidP="009D1253">
                  <w:pPr>
                    <w:tabs>
                      <w:tab w:val="left" w:pos="6979"/>
                    </w:tabs>
                    <w:ind w:right="176"/>
                    <w:rPr>
                      <w:rFonts w:ascii="Tahoma" w:hAnsi="Tahoma" w:cs="Tahoma"/>
                      <w:color w:val="000000"/>
                      <w:sz w:val="20"/>
                      <w:szCs w:val="20"/>
                    </w:rPr>
                  </w:pPr>
                  <w:r w:rsidRPr="008C2B25">
                    <w:rPr>
                      <w:rFonts w:ascii="Tahoma" w:hAnsi="Tahoma" w:cs="Tahoma"/>
                      <w:color w:val="000000"/>
                      <w:sz w:val="20"/>
                      <w:szCs w:val="20"/>
                    </w:rPr>
                    <w:t>Новые_ОД_Максимум</w:t>
                  </w:r>
                </w:p>
              </w:tc>
              <w:tc>
                <w:tcPr>
                  <w:tcW w:w="2381" w:type="dxa"/>
                </w:tcPr>
                <w:p w14:paraId="30A4DA2B" w14:textId="77777777" w:rsidR="009D1253" w:rsidRPr="008C2B25"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26.99</w:t>
                  </w:r>
                  <w:r w:rsidRPr="008C2B25">
                    <w:rPr>
                      <w:rFonts w:ascii="Tahoma" w:hAnsi="Tahoma" w:cs="Tahoma"/>
                      <w:b/>
                      <w:color w:val="000000"/>
                      <w:sz w:val="20"/>
                      <w:szCs w:val="20"/>
                    </w:rPr>
                    <w:t>%</w:t>
                  </w:r>
                </w:p>
              </w:tc>
              <w:tc>
                <w:tcPr>
                  <w:tcW w:w="1871" w:type="dxa"/>
                </w:tcPr>
                <w:p w14:paraId="3F5266AF" w14:textId="77777777" w:rsidR="009D1253" w:rsidRPr="008C2B25"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24.99</w:t>
                  </w:r>
                  <w:r w:rsidRPr="008C2B25">
                    <w:rPr>
                      <w:rFonts w:ascii="Tahoma" w:hAnsi="Tahoma" w:cs="Tahoma"/>
                      <w:b/>
                      <w:color w:val="000000"/>
                      <w:sz w:val="20"/>
                      <w:szCs w:val="20"/>
                    </w:rPr>
                    <w:t>%</w:t>
                  </w:r>
                </w:p>
              </w:tc>
              <w:tc>
                <w:tcPr>
                  <w:tcW w:w="1928" w:type="dxa"/>
                </w:tcPr>
                <w:p w14:paraId="573A10DA" w14:textId="77777777" w:rsidR="009D1253" w:rsidRPr="008C2B25"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24.99</w:t>
                  </w:r>
                  <w:r w:rsidRPr="008C2B25">
                    <w:rPr>
                      <w:rFonts w:ascii="Tahoma" w:hAnsi="Tahoma" w:cs="Tahoma"/>
                      <w:b/>
                      <w:color w:val="000000"/>
                      <w:sz w:val="20"/>
                      <w:szCs w:val="20"/>
                    </w:rPr>
                    <w:t>%</w:t>
                  </w:r>
                </w:p>
              </w:tc>
              <w:tc>
                <w:tcPr>
                  <w:tcW w:w="1928" w:type="dxa"/>
                </w:tcPr>
                <w:p w14:paraId="69A56DC2" w14:textId="77777777" w:rsidR="009D1253" w:rsidRPr="008C2B25"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22.99%</w:t>
                  </w:r>
                </w:p>
              </w:tc>
            </w:tr>
            <w:tr w:rsidR="009D1253" w:rsidRPr="008C2B25" w14:paraId="4172D6D8" w14:textId="77777777" w:rsidTr="009D1253">
              <w:trPr>
                <w:trHeight w:val="219"/>
              </w:trPr>
              <w:tc>
                <w:tcPr>
                  <w:tcW w:w="2438" w:type="dxa"/>
                </w:tcPr>
                <w:p w14:paraId="1DE775DD" w14:textId="77777777" w:rsidR="009D1253" w:rsidRPr="008C2B25" w:rsidRDefault="009D1253" w:rsidP="009D1253">
                  <w:pPr>
                    <w:tabs>
                      <w:tab w:val="left" w:pos="6979"/>
                    </w:tabs>
                    <w:ind w:right="176"/>
                    <w:rPr>
                      <w:rFonts w:ascii="Tahoma" w:hAnsi="Tahoma" w:cs="Tahoma"/>
                      <w:color w:val="000000"/>
                      <w:sz w:val="20"/>
                      <w:szCs w:val="20"/>
                    </w:rPr>
                  </w:pPr>
                  <w:r w:rsidRPr="008C2B25">
                    <w:rPr>
                      <w:rFonts w:ascii="Tahoma" w:hAnsi="Tahoma" w:cs="Tahoma"/>
                      <w:color w:val="000000"/>
                      <w:sz w:val="20"/>
                      <w:szCs w:val="20"/>
                    </w:rPr>
                    <w:t>Новые_ОД_Стандарт</w:t>
                  </w:r>
                </w:p>
              </w:tc>
              <w:tc>
                <w:tcPr>
                  <w:tcW w:w="2381" w:type="dxa"/>
                </w:tcPr>
                <w:p w14:paraId="53A14FB0" w14:textId="77777777" w:rsidR="009D1253" w:rsidRPr="008C2B25"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26.49</w:t>
                  </w:r>
                  <w:r w:rsidRPr="008C2B25">
                    <w:rPr>
                      <w:rFonts w:ascii="Tahoma" w:hAnsi="Tahoma" w:cs="Tahoma"/>
                      <w:b/>
                      <w:color w:val="000000"/>
                      <w:sz w:val="20"/>
                      <w:szCs w:val="20"/>
                    </w:rPr>
                    <w:t>%</w:t>
                  </w:r>
                </w:p>
              </w:tc>
              <w:tc>
                <w:tcPr>
                  <w:tcW w:w="1871" w:type="dxa"/>
                </w:tcPr>
                <w:p w14:paraId="6E7AF9D0" w14:textId="77777777" w:rsidR="009D1253" w:rsidRPr="008C2B25"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24.49</w:t>
                  </w:r>
                  <w:r w:rsidRPr="008C2B25">
                    <w:rPr>
                      <w:rFonts w:ascii="Tahoma" w:hAnsi="Tahoma" w:cs="Tahoma"/>
                      <w:b/>
                      <w:color w:val="000000"/>
                      <w:sz w:val="20"/>
                      <w:szCs w:val="20"/>
                    </w:rPr>
                    <w:t>%</w:t>
                  </w:r>
                </w:p>
              </w:tc>
              <w:tc>
                <w:tcPr>
                  <w:tcW w:w="1928" w:type="dxa"/>
                </w:tcPr>
                <w:p w14:paraId="7ECE8975" w14:textId="77777777" w:rsidR="009D1253" w:rsidRPr="008C2B25"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24.49</w:t>
                  </w:r>
                  <w:r w:rsidRPr="008C2B25">
                    <w:rPr>
                      <w:rFonts w:ascii="Tahoma" w:hAnsi="Tahoma" w:cs="Tahoma"/>
                      <w:b/>
                      <w:color w:val="000000"/>
                      <w:sz w:val="20"/>
                      <w:szCs w:val="20"/>
                    </w:rPr>
                    <w:t>%</w:t>
                  </w:r>
                </w:p>
              </w:tc>
              <w:tc>
                <w:tcPr>
                  <w:tcW w:w="1928" w:type="dxa"/>
                </w:tcPr>
                <w:p w14:paraId="547C5918" w14:textId="77777777" w:rsidR="009D1253" w:rsidRPr="008C2B25"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22.49%</w:t>
                  </w:r>
                </w:p>
              </w:tc>
            </w:tr>
            <w:tr w:rsidR="009D1253" w:rsidRPr="008C2B25" w14:paraId="0B4D24ED" w14:textId="77777777" w:rsidTr="009D1253">
              <w:trPr>
                <w:trHeight w:val="219"/>
              </w:trPr>
              <w:tc>
                <w:tcPr>
                  <w:tcW w:w="2438" w:type="dxa"/>
                </w:tcPr>
                <w:p w14:paraId="6DA8F03C" w14:textId="77777777" w:rsidR="009D1253" w:rsidRPr="008C2B25" w:rsidRDefault="009D1253" w:rsidP="009D1253">
                  <w:pPr>
                    <w:tabs>
                      <w:tab w:val="left" w:pos="6979"/>
                    </w:tabs>
                    <w:ind w:right="176"/>
                    <w:rPr>
                      <w:rFonts w:ascii="Tahoma" w:hAnsi="Tahoma" w:cs="Tahoma"/>
                      <w:color w:val="000000"/>
                      <w:sz w:val="20"/>
                      <w:szCs w:val="20"/>
                    </w:rPr>
                  </w:pPr>
                  <w:r w:rsidRPr="008C2B25">
                    <w:rPr>
                      <w:rFonts w:ascii="Tahoma" w:hAnsi="Tahoma" w:cs="Tahoma"/>
                      <w:color w:val="000000"/>
                      <w:sz w:val="20"/>
                      <w:szCs w:val="20"/>
                    </w:rPr>
                    <w:t>Новые_ОД_Промо</w:t>
                  </w:r>
                </w:p>
              </w:tc>
              <w:tc>
                <w:tcPr>
                  <w:tcW w:w="2381" w:type="dxa"/>
                </w:tcPr>
                <w:p w14:paraId="051530DA" w14:textId="77777777" w:rsidR="009D1253" w:rsidRPr="008C2B25"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25.99</w:t>
                  </w:r>
                  <w:r w:rsidRPr="008C2B25">
                    <w:rPr>
                      <w:rFonts w:ascii="Tahoma" w:hAnsi="Tahoma" w:cs="Tahoma"/>
                      <w:b/>
                      <w:color w:val="000000"/>
                      <w:sz w:val="20"/>
                      <w:szCs w:val="20"/>
                    </w:rPr>
                    <w:t>%</w:t>
                  </w:r>
                </w:p>
              </w:tc>
              <w:tc>
                <w:tcPr>
                  <w:tcW w:w="1871" w:type="dxa"/>
                </w:tcPr>
                <w:p w14:paraId="18FFC2D6" w14:textId="77777777" w:rsidR="009D1253" w:rsidRPr="008C2B25"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23.99</w:t>
                  </w:r>
                  <w:r w:rsidRPr="008C2B25">
                    <w:rPr>
                      <w:rFonts w:ascii="Tahoma" w:hAnsi="Tahoma" w:cs="Tahoma"/>
                      <w:b/>
                      <w:color w:val="000000"/>
                      <w:sz w:val="20"/>
                      <w:szCs w:val="20"/>
                    </w:rPr>
                    <w:t>%</w:t>
                  </w:r>
                </w:p>
              </w:tc>
              <w:tc>
                <w:tcPr>
                  <w:tcW w:w="1928" w:type="dxa"/>
                </w:tcPr>
                <w:p w14:paraId="26E24297" w14:textId="77777777" w:rsidR="009D1253" w:rsidRPr="008C2B25"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23.99</w:t>
                  </w:r>
                  <w:r w:rsidRPr="008C2B25">
                    <w:rPr>
                      <w:rFonts w:ascii="Tahoma" w:hAnsi="Tahoma" w:cs="Tahoma"/>
                      <w:b/>
                      <w:color w:val="000000"/>
                      <w:sz w:val="20"/>
                      <w:szCs w:val="20"/>
                    </w:rPr>
                    <w:t>%</w:t>
                  </w:r>
                </w:p>
              </w:tc>
              <w:tc>
                <w:tcPr>
                  <w:tcW w:w="1928" w:type="dxa"/>
                </w:tcPr>
                <w:p w14:paraId="51217332" w14:textId="77777777" w:rsidR="009D1253" w:rsidRPr="008C2B25"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21.99%</w:t>
                  </w:r>
                </w:p>
              </w:tc>
            </w:tr>
            <w:tr w:rsidR="009D1253" w:rsidRPr="008C2B25" w14:paraId="527DEB49" w14:textId="77777777" w:rsidTr="009D1253">
              <w:trPr>
                <w:trHeight w:val="219"/>
              </w:trPr>
              <w:tc>
                <w:tcPr>
                  <w:tcW w:w="2438" w:type="dxa"/>
                </w:tcPr>
                <w:p w14:paraId="298E50D2" w14:textId="77777777" w:rsidR="009D1253" w:rsidRPr="008C2B25" w:rsidRDefault="009D1253" w:rsidP="009D1253">
                  <w:pPr>
                    <w:tabs>
                      <w:tab w:val="left" w:pos="6979"/>
                    </w:tabs>
                    <w:ind w:right="176"/>
                    <w:rPr>
                      <w:rFonts w:ascii="Tahoma" w:hAnsi="Tahoma" w:cs="Tahoma"/>
                      <w:color w:val="000000"/>
                      <w:sz w:val="20"/>
                      <w:szCs w:val="20"/>
                    </w:rPr>
                  </w:pPr>
                  <w:r w:rsidRPr="008C2B25">
                    <w:rPr>
                      <w:rFonts w:ascii="Tahoma" w:hAnsi="Tahoma" w:cs="Tahoma"/>
                      <w:color w:val="000000"/>
                      <w:sz w:val="20"/>
                      <w:szCs w:val="20"/>
                    </w:rPr>
                    <w:t>Новые_ОД_Лайт</w:t>
                  </w:r>
                </w:p>
              </w:tc>
              <w:tc>
                <w:tcPr>
                  <w:tcW w:w="2381" w:type="dxa"/>
                </w:tcPr>
                <w:p w14:paraId="53BF4F05" w14:textId="77777777" w:rsidR="009D1253" w:rsidRPr="008C2B25"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25.49</w:t>
                  </w:r>
                  <w:r w:rsidRPr="008C2B25">
                    <w:rPr>
                      <w:rFonts w:ascii="Tahoma" w:hAnsi="Tahoma" w:cs="Tahoma"/>
                      <w:b/>
                      <w:color w:val="000000"/>
                      <w:sz w:val="20"/>
                      <w:szCs w:val="20"/>
                    </w:rPr>
                    <w:t>%</w:t>
                  </w:r>
                </w:p>
              </w:tc>
              <w:tc>
                <w:tcPr>
                  <w:tcW w:w="1871" w:type="dxa"/>
                </w:tcPr>
                <w:p w14:paraId="6D475EA3" w14:textId="77777777" w:rsidR="009D1253" w:rsidRPr="008C2B25"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23.49</w:t>
                  </w:r>
                  <w:r w:rsidRPr="008C2B25">
                    <w:rPr>
                      <w:rFonts w:ascii="Tahoma" w:hAnsi="Tahoma" w:cs="Tahoma"/>
                      <w:b/>
                      <w:color w:val="000000"/>
                      <w:sz w:val="20"/>
                      <w:szCs w:val="20"/>
                    </w:rPr>
                    <w:t>%</w:t>
                  </w:r>
                </w:p>
              </w:tc>
              <w:tc>
                <w:tcPr>
                  <w:tcW w:w="1928" w:type="dxa"/>
                </w:tcPr>
                <w:p w14:paraId="66067BAA" w14:textId="77777777" w:rsidR="009D1253" w:rsidRPr="008C2B25"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23.49</w:t>
                  </w:r>
                  <w:r w:rsidRPr="008C2B25">
                    <w:rPr>
                      <w:rFonts w:ascii="Tahoma" w:hAnsi="Tahoma" w:cs="Tahoma"/>
                      <w:b/>
                      <w:color w:val="000000"/>
                      <w:sz w:val="20"/>
                      <w:szCs w:val="20"/>
                    </w:rPr>
                    <w:t>%</w:t>
                  </w:r>
                </w:p>
              </w:tc>
              <w:tc>
                <w:tcPr>
                  <w:tcW w:w="1928" w:type="dxa"/>
                </w:tcPr>
                <w:p w14:paraId="21C30AB1" w14:textId="77777777" w:rsidR="009D1253" w:rsidRPr="008C2B25"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21.49%</w:t>
                  </w:r>
                </w:p>
              </w:tc>
            </w:tr>
          </w:tbl>
          <w:p w14:paraId="43B83832" w14:textId="77777777" w:rsidR="009D1253" w:rsidRPr="008C2B25" w:rsidRDefault="009D1253" w:rsidP="009D1253">
            <w:pPr>
              <w:tabs>
                <w:tab w:val="left" w:pos="6979"/>
              </w:tabs>
              <w:ind w:right="176"/>
              <w:jc w:val="both"/>
              <w:rPr>
                <w:sz w:val="18"/>
                <w:szCs w:val="18"/>
              </w:rPr>
            </w:pPr>
          </w:p>
          <w:p w14:paraId="0D50A67E" w14:textId="77777777" w:rsidR="009D1253" w:rsidRDefault="009D1253" w:rsidP="009D1253">
            <w:pPr>
              <w:tabs>
                <w:tab w:val="left" w:pos="6979"/>
                <w:tab w:val="left" w:pos="9907"/>
              </w:tabs>
              <w:jc w:val="both"/>
              <w:rPr>
                <w:rFonts w:ascii="Tahoma" w:hAnsi="Tahoma" w:cs="Tahoma"/>
                <w:color w:val="000000"/>
                <w:sz w:val="20"/>
                <w:szCs w:val="20"/>
              </w:rPr>
            </w:pPr>
            <w:r w:rsidRPr="008C2B25">
              <w:rPr>
                <w:rFonts w:ascii="Tahoma" w:hAnsi="Tahoma" w:cs="Tahoma"/>
                <w:color w:val="000000"/>
                <w:sz w:val="20"/>
                <w:szCs w:val="20"/>
              </w:rPr>
              <w:t>При предоставлении Банку сведений о состоянии индивидуального лицевого счета застрахованного лица (форма СЗИ-ИЛС) процентная ставка снижается на 1 процентный пункт единоразово на момент рассмотрения заявки на Кредит.</w:t>
            </w:r>
          </w:p>
          <w:p w14:paraId="6A0FD875" w14:textId="77777777" w:rsidR="009D1253" w:rsidRPr="008C2B25" w:rsidRDefault="009D1253" w:rsidP="009D1253">
            <w:pPr>
              <w:tabs>
                <w:tab w:val="left" w:pos="6979"/>
                <w:tab w:val="left" w:pos="9907"/>
              </w:tabs>
              <w:jc w:val="both"/>
              <w:rPr>
                <w:rFonts w:ascii="Tahoma" w:hAnsi="Tahoma" w:cs="Tahoma"/>
                <w:color w:val="000000"/>
                <w:sz w:val="20"/>
                <w:szCs w:val="20"/>
              </w:rPr>
            </w:pPr>
          </w:p>
          <w:p w14:paraId="7CEFF28B" w14:textId="77777777" w:rsidR="009D1253" w:rsidRPr="008C2B25" w:rsidRDefault="009D1253" w:rsidP="009D1253">
            <w:pPr>
              <w:tabs>
                <w:tab w:val="left" w:pos="1080"/>
                <w:tab w:val="left" w:pos="7548"/>
              </w:tabs>
              <w:jc w:val="both"/>
              <w:rPr>
                <w:rFonts w:ascii="Tahoma" w:hAnsi="Tahoma" w:cs="Tahoma"/>
                <w:sz w:val="18"/>
                <w:szCs w:val="18"/>
              </w:rPr>
            </w:pPr>
            <w:r w:rsidRPr="008C2B25">
              <w:rPr>
                <w:rFonts w:ascii="Tahoma" w:hAnsi="Tahoma" w:cs="Tahoma"/>
                <w:sz w:val="18"/>
                <w:szCs w:val="18"/>
              </w:rPr>
              <w:t xml:space="preserve">*При оформлении страхового продукта КАСКО, на срок не менее 12 (двенадцати) месяцев, с рисками, описанными в п.п.1-3 раздела «Информация о страховании» настоящего документа. </w:t>
            </w:r>
          </w:p>
          <w:p w14:paraId="1C38A9DF" w14:textId="77777777" w:rsidR="009D1253" w:rsidRPr="008C2B25" w:rsidRDefault="009D1253" w:rsidP="009D1253">
            <w:pPr>
              <w:tabs>
                <w:tab w:val="left" w:pos="6979"/>
                <w:tab w:val="left" w:pos="7548"/>
              </w:tabs>
              <w:jc w:val="both"/>
              <w:rPr>
                <w:rFonts w:ascii="Tahoma" w:hAnsi="Tahoma" w:cs="Tahoma"/>
                <w:sz w:val="18"/>
                <w:szCs w:val="18"/>
              </w:rPr>
            </w:pPr>
            <w:r w:rsidRPr="008C2B25">
              <w:rPr>
                <w:rFonts w:ascii="Tahoma" w:hAnsi="Tahoma" w:cs="Tahoma"/>
                <w:sz w:val="18"/>
                <w:szCs w:val="18"/>
              </w:rPr>
              <w:t>**Личное страхование с рисками, указанными в п.4 раздела «Информация о страховании» настоящего документа.</w:t>
            </w:r>
            <w:r w:rsidRPr="008C2B25">
              <w:rPr>
                <w:rFonts w:ascii="Tahoma" w:hAnsi="Tahoma" w:cs="Tahoma"/>
              </w:rPr>
              <w:t xml:space="preserve"> </w:t>
            </w:r>
          </w:p>
          <w:p w14:paraId="44D98EBA" w14:textId="77777777" w:rsidR="009D1253" w:rsidRPr="005A07E7" w:rsidRDefault="009D1253" w:rsidP="009D1253">
            <w:pPr>
              <w:tabs>
                <w:tab w:val="left" w:pos="6979"/>
              </w:tabs>
              <w:ind w:right="176"/>
              <w:jc w:val="both"/>
              <w:rPr>
                <w:rFonts w:ascii="Tahoma" w:hAnsi="Tahoma" w:cs="Tahoma"/>
                <w:color w:val="000000"/>
                <w:sz w:val="20"/>
                <w:szCs w:val="20"/>
              </w:rPr>
            </w:pPr>
            <w:r w:rsidRPr="008C2B25">
              <w:rPr>
                <w:rFonts w:ascii="Tahoma" w:hAnsi="Tahoma" w:cs="Tahoma"/>
                <w:sz w:val="18"/>
                <w:szCs w:val="18"/>
              </w:rPr>
              <w:t>*** В случае досрочного прекращения Заёмщиком Договора страхования КАСКО или Личного страхования, а также в случае заключения Договора страхования КАСКО или Личного страхования, не соответствующего требованиям, указанным в разделе «Информация о страховании» настоящего документа, Банк вправе принять решение об увеличении процентной ставки. Процентная ставка определяется в соответствии с условиями кредитной программы Банка до меньшей из величин процентной ставки на момент принятия решения об увеличении процентной ставки: до уровня процентной ставки, действовавшей на момент заключения договора потребительского кредита или на момент принятия решения об увеличении процентной ставки по договору потребительского кредита на сопоставимых (сумма, срок возврата потребительского кредита, размер первоначального взноса) условиях потребительского кредита без учета заключения договора страхования, начиная с тридцать первого дня, следующего за днем прекращения договора страхового продукта.</w:t>
            </w:r>
          </w:p>
        </w:tc>
      </w:tr>
      <w:tr w:rsidR="009D1253" w:rsidRPr="005A07E7" w14:paraId="5E0ADC20" w14:textId="77777777" w:rsidTr="009D1253">
        <w:trPr>
          <w:trHeight w:val="554"/>
        </w:trPr>
        <w:tc>
          <w:tcPr>
            <w:tcW w:w="1475" w:type="pct"/>
            <w:vAlign w:val="center"/>
          </w:tcPr>
          <w:p w14:paraId="23351E9F" w14:textId="77777777" w:rsidR="009D1253" w:rsidRPr="005A07E7" w:rsidRDefault="009D1253" w:rsidP="009D1253">
            <w:pPr>
              <w:rPr>
                <w:rFonts w:ascii="Tahoma" w:hAnsi="Tahoma" w:cs="Tahoma"/>
                <w:b/>
                <w:sz w:val="20"/>
                <w:szCs w:val="20"/>
              </w:rPr>
            </w:pPr>
            <w:r w:rsidRPr="005A07E7">
              <w:rPr>
                <w:rFonts w:ascii="Tahoma" w:hAnsi="Tahoma" w:cs="Tahoma"/>
                <w:b/>
                <w:bCs/>
                <w:color w:val="000000" w:themeColor="text1"/>
                <w:sz w:val="20"/>
                <w:szCs w:val="20"/>
              </w:rPr>
              <w:lastRenderedPageBreak/>
              <w:t>Диапазон полной стоимости Кредита в процентном  и денежном выражении в порядке, установленном Федеральным законом от 21.12.2013 №353-ФЗ «О потребительском кредите (займе)»</w:t>
            </w:r>
          </w:p>
        </w:tc>
        <w:tc>
          <w:tcPr>
            <w:tcW w:w="3525" w:type="pct"/>
            <w:shd w:val="clear" w:color="auto" w:fill="auto"/>
            <w:vAlign w:val="center"/>
          </w:tcPr>
          <w:p w14:paraId="47E47375" w14:textId="77777777" w:rsidR="009D1253" w:rsidRPr="008C2B25" w:rsidRDefault="009D1253" w:rsidP="009D1253">
            <w:pPr>
              <w:jc w:val="center"/>
              <w:rPr>
                <w:rFonts w:ascii="Tahoma" w:hAnsi="Tahoma" w:cs="Tahoma"/>
                <w:color w:val="000000"/>
                <w:sz w:val="20"/>
                <w:szCs w:val="20"/>
              </w:rPr>
            </w:pPr>
            <w:r>
              <w:rPr>
                <w:rFonts w:ascii="Tahoma" w:hAnsi="Tahoma" w:cs="Tahoma"/>
                <w:color w:val="000000"/>
                <w:sz w:val="20"/>
                <w:szCs w:val="20"/>
              </w:rPr>
              <w:t>20.476</w:t>
            </w:r>
            <w:r w:rsidRPr="008C2B25">
              <w:rPr>
                <w:rFonts w:ascii="Tahoma" w:hAnsi="Tahoma" w:cs="Tahoma"/>
                <w:color w:val="000000"/>
                <w:sz w:val="20"/>
                <w:szCs w:val="20"/>
              </w:rPr>
              <w:t>% –</w:t>
            </w:r>
            <w:r>
              <w:rPr>
                <w:rFonts w:ascii="Tahoma" w:hAnsi="Tahoma" w:cs="Tahoma"/>
                <w:color w:val="000000"/>
                <w:sz w:val="20"/>
                <w:szCs w:val="20"/>
              </w:rPr>
              <w:t xml:space="preserve"> 26.981</w:t>
            </w:r>
            <w:r w:rsidRPr="008C2B25">
              <w:rPr>
                <w:rFonts w:ascii="Tahoma" w:hAnsi="Tahoma" w:cs="Tahoma"/>
                <w:color w:val="000000"/>
                <w:sz w:val="20"/>
                <w:szCs w:val="20"/>
              </w:rPr>
              <w:t>% годовых;</w:t>
            </w:r>
          </w:p>
          <w:p w14:paraId="222E241A" w14:textId="77777777" w:rsidR="009D1253" w:rsidRPr="008C2B25" w:rsidRDefault="009D1253" w:rsidP="009D1253">
            <w:pPr>
              <w:jc w:val="center"/>
              <w:rPr>
                <w:rFonts w:ascii="Tahoma" w:hAnsi="Tahoma" w:cs="Tahoma"/>
                <w:color w:val="000000"/>
                <w:sz w:val="20"/>
                <w:szCs w:val="20"/>
              </w:rPr>
            </w:pPr>
            <w:r>
              <w:rPr>
                <w:rFonts w:ascii="Tahoma" w:hAnsi="Tahoma" w:cs="Tahoma"/>
                <w:color w:val="000000"/>
                <w:sz w:val="20"/>
                <w:szCs w:val="20"/>
              </w:rPr>
              <w:t>45 415.58</w:t>
            </w:r>
            <w:r w:rsidRPr="008C2B25">
              <w:rPr>
                <w:rFonts w:ascii="Tahoma" w:hAnsi="Tahoma" w:cs="Tahoma"/>
                <w:color w:val="000000"/>
                <w:sz w:val="20"/>
                <w:szCs w:val="20"/>
              </w:rPr>
              <w:t xml:space="preserve">руб. – </w:t>
            </w:r>
            <w:r>
              <w:rPr>
                <w:rFonts w:ascii="Tahoma" w:hAnsi="Tahoma" w:cs="Tahoma"/>
                <w:color w:val="000000"/>
                <w:sz w:val="20"/>
                <w:szCs w:val="20"/>
              </w:rPr>
              <w:t>17 084 367.</w:t>
            </w:r>
            <w:r w:rsidRPr="00FC0353">
              <w:rPr>
                <w:rFonts w:ascii="Tahoma" w:hAnsi="Tahoma" w:cs="Tahoma"/>
                <w:color w:val="000000"/>
                <w:sz w:val="20"/>
                <w:szCs w:val="20"/>
              </w:rPr>
              <w:t>33</w:t>
            </w:r>
            <w:r>
              <w:rPr>
                <w:rFonts w:ascii="Tahoma" w:hAnsi="Tahoma" w:cs="Tahoma"/>
                <w:color w:val="000000"/>
                <w:sz w:val="20"/>
                <w:szCs w:val="20"/>
              </w:rPr>
              <w:t xml:space="preserve"> </w:t>
            </w:r>
            <w:r w:rsidRPr="008C2B25">
              <w:rPr>
                <w:rFonts w:ascii="Tahoma" w:hAnsi="Tahoma" w:cs="Tahoma"/>
                <w:color w:val="000000"/>
                <w:sz w:val="20"/>
                <w:szCs w:val="20"/>
              </w:rPr>
              <w:t>руб.</w:t>
            </w:r>
          </w:p>
          <w:p w14:paraId="5F2BAFB1" w14:textId="77777777" w:rsidR="009D1253" w:rsidRPr="008C2B25" w:rsidRDefault="009D1253" w:rsidP="009D1253">
            <w:pPr>
              <w:pStyle w:val="aff1"/>
              <w:jc w:val="center"/>
              <w:rPr>
                <w:rFonts w:ascii="Tahoma" w:eastAsiaTheme="minorHAnsi" w:hAnsi="Tahoma" w:cs="Tahoma"/>
                <w:sz w:val="18"/>
                <w:szCs w:val="18"/>
                <w:lang w:eastAsia="en-US"/>
              </w:rPr>
            </w:pPr>
            <w:r w:rsidRPr="008C2B25">
              <w:rPr>
                <w:rFonts w:ascii="Tahoma" w:eastAsiaTheme="minorHAnsi" w:hAnsi="Tahoma" w:cs="Tahoma"/>
                <w:sz w:val="18"/>
                <w:szCs w:val="18"/>
                <w:lang w:eastAsia="en-US"/>
              </w:rPr>
              <w:t>Расчет минимального значения ПСК произведен с использованием параметров: минимальная сумма Кредита (200 000 рублей), минимальный срок (24 месяца), минимальная ставка (</w:t>
            </w:r>
            <w:r>
              <w:rPr>
                <w:rFonts w:ascii="Tahoma" w:eastAsiaTheme="minorHAnsi" w:hAnsi="Tahoma" w:cs="Tahoma"/>
                <w:sz w:val="18"/>
                <w:szCs w:val="18"/>
                <w:lang w:eastAsia="en-US"/>
              </w:rPr>
              <w:t>20.49</w:t>
            </w:r>
            <w:r w:rsidRPr="008C2B25">
              <w:rPr>
                <w:rFonts w:ascii="Tahoma" w:eastAsiaTheme="minorHAnsi" w:hAnsi="Tahoma" w:cs="Tahoma"/>
                <w:sz w:val="18"/>
                <w:szCs w:val="18"/>
                <w:lang w:eastAsia="en-US"/>
              </w:rPr>
              <w:t>% годовых для лиц с инвалидностью и с учетом снижения процентной ставки при предоставлении Банку сведений о состоянии индивидуального лицевого счета застрахованного лица (форма СЗИ-ИЛС)).</w:t>
            </w:r>
          </w:p>
          <w:p w14:paraId="2A00069F" w14:textId="77777777" w:rsidR="009D1253" w:rsidRPr="00DF7D87" w:rsidRDefault="009D1253" w:rsidP="009D1253">
            <w:pPr>
              <w:jc w:val="center"/>
              <w:rPr>
                <w:rFonts w:ascii="Tahoma" w:eastAsiaTheme="minorHAnsi" w:hAnsi="Tahoma" w:cs="Tahoma"/>
                <w:sz w:val="18"/>
                <w:szCs w:val="18"/>
                <w:lang w:eastAsia="en-US"/>
              </w:rPr>
            </w:pPr>
            <w:r w:rsidRPr="008C2B25">
              <w:rPr>
                <w:rFonts w:ascii="Tahoma" w:hAnsi="Tahoma" w:cs="Tahoma"/>
                <w:sz w:val="18"/>
                <w:szCs w:val="18"/>
              </w:rPr>
              <w:t>Расчет максимального значения ПСК произведен с использованием параметров: максимальная сумма Кредита (</w:t>
            </w:r>
            <w:r>
              <w:rPr>
                <w:rFonts w:ascii="Tahoma" w:hAnsi="Tahoma" w:cs="Tahoma"/>
                <w:sz w:val="18"/>
                <w:szCs w:val="18"/>
              </w:rPr>
              <w:t>9</w:t>
            </w:r>
            <w:r w:rsidRPr="008C2B25">
              <w:rPr>
                <w:rFonts w:ascii="Tahoma" w:hAnsi="Tahoma" w:cs="Tahoma"/>
                <w:sz w:val="18"/>
                <w:szCs w:val="18"/>
              </w:rPr>
              <w:t xml:space="preserve"> 000 000 рублей), максимальный срок (</w:t>
            </w:r>
            <w:r>
              <w:rPr>
                <w:rFonts w:ascii="Tahoma" w:hAnsi="Tahoma" w:cs="Tahoma"/>
                <w:sz w:val="18"/>
                <w:szCs w:val="18"/>
              </w:rPr>
              <w:t>120</w:t>
            </w:r>
            <w:r w:rsidRPr="008C2B25">
              <w:rPr>
                <w:rFonts w:ascii="Tahoma" w:hAnsi="Tahoma" w:cs="Tahoma"/>
                <w:sz w:val="18"/>
                <w:szCs w:val="18"/>
              </w:rPr>
              <w:t xml:space="preserve"> месяцев), максимальная ставка (</w:t>
            </w:r>
            <w:r>
              <w:rPr>
                <w:rFonts w:ascii="Tahoma" w:hAnsi="Tahoma" w:cs="Tahoma"/>
                <w:sz w:val="18"/>
                <w:szCs w:val="18"/>
              </w:rPr>
              <w:t>26.99</w:t>
            </w:r>
            <w:r w:rsidRPr="008C2B25">
              <w:rPr>
                <w:rFonts w:ascii="Tahoma" w:hAnsi="Tahoma" w:cs="Tahoma"/>
                <w:sz w:val="18"/>
                <w:szCs w:val="18"/>
              </w:rPr>
              <w:t>% годовых)</w:t>
            </w:r>
          </w:p>
        </w:tc>
      </w:tr>
      <w:tr w:rsidR="009D1253" w:rsidRPr="005A07E7" w14:paraId="735269DE" w14:textId="77777777" w:rsidTr="009D1253">
        <w:trPr>
          <w:trHeight w:val="554"/>
        </w:trPr>
        <w:tc>
          <w:tcPr>
            <w:tcW w:w="1475" w:type="pct"/>
          </w:tcPr>
          <w:p w14:paraId="61AB93B6" w14:textId="77777777" w:rsidR="009D1253" w:rsidRPr="005A07E7" w:rsidRDefault="009D1253" w:rsidP="009D1253">
            <w:pPr>
              <w:tabs>
                <w:tab w:val="left" w:pos="851"/>
              </w:tabs>
              <w:rPr>
                <w:rFonts w:ascii="Tahoma" w:hAnsi="Tahoma" w:cs="Tahoma"/>
                <w:b/>
                <w:sz w:val="20"/>
                <w:szCs w:val="20"/>
              </w:rPr>
            </w:pPr>
            <w:r w:rsidRPr="005A07E7">
              <w:rPr>
                <w:rFonts w:ascii="Tahoma" w:hAnsi="Tahoma" w:cs="Tahoma"/>
                <w:b/>
                <w:sz w:val="20"/>
                <w:szCs w:val="20"/>
              </w:rPr>
              <w:t>Информация о страховании</w:t>
            </w:r>
          </w:p>
        </w:tc>
        <w:tc>
          <w:tcPr>
            <w:tcW w:w="3525" w:type="pct"/>
            <w:shd w:val="clear" w:color="auto" w:fill="auto"/>
          </w:tcPr>
          <w:p w14:paraId="0E4E9007" w14:textId="77777777" w:rsidR="009D1253" w:rsidRPr="008C2B25" w:rsidRDefault="009D1253" w:rsidP="009D1253">
            <w:pPr>
              <w:tabs>
                <w:tab w:val="left" w:pos="6979"/>
              </w:tabs>
              <w:jc w:val="both"/>
              <w:rPr>
                <w:rFonts w:ascii="Tahoma" w:hAnsi="Tahoma" w:cs="Tahoma"/>
                <w:color w:val="000000"/>
                <w:sz w:val="20"/>
                <w:szCs w:val="20"/>
                <w:u w:val="single"/>
              </w:rPr>
            </w:pPr>
            <w:r w:rsidRPr="008C2B25">
              <w:rPr>
                <w:rFonts w:ascii="Tahoma" w:hAnsi="Tahoma" w:cs="Tahoma"/>
                <w:color w:val="000000"/>
                <w:sz w:val="20"/>
                <w:szCs w:val="20"/>
              </w:rPr>
              <w:t xml:space="preserve">При выборе Заёмщиком условий кредитования для приобретения нового ТС с заключением Договора страхования КАСКО или Личного страхования, необходимо оформление договора (полиса) страхования в котором выгодоприобретателем в размере задолженности Заемщика </w:t>
            </w:r>
            <w:r>
              <w:rPr>
                <w:rFonts w:ascii="Tahoma" w:hAnsi="Tahoma" w:cs="Tahoma"/>
                <w:color w:val="000000"/>
                <w:sz w:val="20"/>
                <w:szCs w:val="20"/>
              </w:rPr>
              <w:t xml:space="preserve">будет </w:t>
            </w:r>
            <w:r w:rsidRPr="008C2B25">
              <w:rPr>
                <w:rFonts w:ascii="Tahoma" w:hAnsi="Tahoma" w:cs="Tahoma"/>
                <w:color w:val="000000"/>
                <w:sz w:val="20"/>
                <w:szCs w:val="20"/>
              </w:rPr>
              <w:t>указан «Азиатско-Тихоокеанский Банк» (АО), за исключением случаев, когда он выступает страховым агентом при заключении договора страхования.</w:t>
            </w:r>
          </w:p>
          <w:p w14:paraId="76F80706" w14:textId="77777777" w:rsidR="009D1253" w:rsidRPr="008C2B25" w:rsidRDefault="009D1253" w:rsidP="009D1253">
            <w:pPr>
              <w:jc w:val="both"/>
              <w:rPr>
                <w:rFonts w:ascii="Tahoma" w:hAnsi="Tahoma" w:cs="Tahoma"/>
                <w:color w:val="00B050"/>
                <w:sz w:val="20"/>
                <w:szCs w:val="20"/>
              </w:rPr>
            </w:pPr>
            <w:r w:rsidRPr="008C2B25">
              <w:rPr>
                <w:rFonts w:ascii="Tahoma" w:hAnsi="Tahoma" w:cs="Tahoma"/>
                <w:color w:val="000000"/>
                <w:sz w:val="20"/>
                <w:szCs w:val="20"/>
                <w:u w:val="single"/>
              </w:rPr>
              <w:t>КАСКО:</w:t>
            </w:r>
            <w:r w:rsidRPr="008C2B25">
              <w:rPr>
                <w:rFonts w:ascii="Tahoma" w:hAnsi="Tahoma" w:cs="Tahoma"/>
                <w:color w:val="000000"/>
                <w:sz w:val="20"/>
                <w:szCs w:val="20"/>
              </w:rPr>
              <w:t xml:space="preserve"> </w:t>
            </w:r>
          </w:p>
          <w:p w14:paraId="24327102" w14:textId="77777777" w:rsidR="009D1253" w:rsidRPr="008C2B25" w:rsidRDefault="009D1253" w:rsidP="009D1253">
            <w:pPr>
              <w:tabs>
                <w:tab w:val="left" w:pos="6979"/>
              </w:tabs>
              <w:jc w:val="both"/>
              <w:rPr>
                <w:rFonts w:ascii="Tahoma" w:hAnsi="Tahoma" w:cs="Tahoma"/>
                <w:color w:val="000000"/>
                <w:sz w:val="20"/>
                <w:szCs w:val="20"/>
              </w:rPr>
            </w:pPr>
            <w:r w:rsidRPr="008C2B25">
              <w:rPr>
                <w:rFonts w:ascii="Tahoma" w:hAnsi="Tahoma" w:cs="Tahoma"/>
                <w:color w:val="000000"/>
                <w:sz w:val="20"/>
                <w:szCs w:val="20"/>
              </w:rPr>
              <w:t>Покрываемые риски</w:t>
            </w:r>
            <w:r>
              <w:rPr>
                <w:rFonts w:ascii="Tahoma" w:hAnsi="Tahoma" w:cs="Tahoma"/>
                <w:color w:val="000000"/>
                <w:sz w:val="20"/>
                <w:szCs w:val="20"/>
              </w:rPr>
              <w:t>, которые должны быть указаны в договоре страхования</w:t>
            </w:r>
            <w:r w:rsidRPr="008C2B25">
              <w:rPr>
                <w:rFonts w:ascii="Tahoma" w:hAnsi="Tahoma" w:cs="Tahoma"/>
                <w:color w:val="000000"/>
                <w:sz w:val="20"/>
                <w:szCs w:val="20"/>
              </w:rPr>
              <w:t xml:space="preserve">: </w:t>
            </w:r>
          </w:p>
          <w:p w14:paraId="3E262F12" w14:textId="77777777" w:rsidR="009D1253" w:rsidRPr="008C2B25" w:rsidRDefault="009D1253" w:rsidP="009D1253">
            <w:pPr>
              <w:tabs>
                <w:tab w:val="left" w:pos="6979"/>
              </w:tabs>
              <w:jc w:val="both"/>
              <w:rPr>
                <w:rFonts w:ascii="Tahoma" w:hAnsi="Tahoma" w:cs="Tahoma"/>
                <w:color w:val="000000"/>
                <w:sz w:val="20"/>
                <w:szCs w:val="20"/>
              </w:rPr>
            </w:pPr>
            <w:r w:rsidRPr="008C2B25">
              <w:rPr>
                <w:rFonts w:ascii="Tahoma" w:hAnsi="Tahoma" w:cs="Tahoma"/>
                <w:color w:val="000000"/>
                <w:sz w:val="20"/>
                <w:szCs w:val="20"/>
              </w:rPr>
              <w:t xml:space="preserve">1. Ущерб с выплатой на условиях полная гибель ТС; </w:t>
            </w:r>
          </w:p>
          <w:p w14:paraId="59E89B1B" w14:textId="77777777" w:rsidR="009D1253" w:rsidRPr="008C2B25" w:rsidRDefault="009D1253" w:rsidP="009D1253">
            <w:pPr>
              <w:tabs>
                <w:tab w:val="left" w:pos="6979"/>
              </w:tabs>
              <w:jc w:val="both"/>
              <w:rPr>
                <w:rFonts w:ascii="Tahoma" w:hAnsi="Tahoma" w:cs="Tahoma"/>
                <w:color w:val="000000"/>
                <w:sz w:val="20"/>
                <w:szCs w:val="20"/>
              </w:rPr>
            </w:pPr>
            <w:r w:rsidRPr="008C2B25">
              <w:rPr>
                <w:rFonts w:ascii="Tahoma" w:hAnsi="Tahoma" w:cs="Tahoma"/>
                <w:color w:val="000000"/>
                <w:sz w:val="20"/>
                <w:szCs w:val="20"/>
              </w:rPr>
              <w:t>2. Хищение по ст.158, 161, 162 УК РФ, Угон;</w:t>
            </w:r>
          </w:p>
          <w:p w14:paraId="4B934548" w14:textId="77777777" w:rsidR="009D1253" w:rsidRPr="008C2B25" w:rsidRDefault="009D1253" w:rsidP="009D1253">
            <w:pPr>
              <w:tabs>
                <w:tab w:val="left" w:pos="6979"/>
              </w:tabs>
              <w:jc w:val="both"/>
              <w:rPr>
                <w:rFonts w:ascii="Tahoma" w:hAnsi="Tahoma" w:cs="Tahoma"/>
                <w:color w:val="000000"/>
                <w:sz w:val="20"/>
                <w:szCs w:val="20"/>
                <w:u w:val="single"/>
              </w:rPr>
            </w:pPr>
            <w:r w:rsidRPr="008C2B25">
              <w:rPr>
                <w:rFonts w:ascii="Tahoma" w:hAnsi="Tahoma" w:cs="Tahoma"/>
                <w:color w:val="000000"/>
                <w:sz w:val="20"/>
                <w:szCs w:val="20"/>
              </w:rPr>
              <w:t>3. Ущерб в результате самовозгорания с выплатой в случае полной гибели ТС</w:t>
            </w:r>
            <w:r w:rsidRPr="00D41003">
              <w:rPr>
                <w:rFonts w:ascii="Tahoma" w:hAnsi="Tahoma" w:cs="Tahoma"/>
                <w:color w:val="000000"/>
                <w:sz w:val="20"/>
                <w:szCs w:val="20"/>
              </w:rPr>
              <w:t>.</w:t>
            </w:r>
          </w:p>
          <w:p w14:paraId="6BD5B944" w14:textId="77777777" w:rsidR="009D1253" w:rsidRPr="008C2B25" w:rsidRDefault="009D1253" w:rsidP="009D1253">
            <w:pPr>
              <w:tabs>
                <w:tab w:val="left" w:pos="6979"/>
              </w:tabs>
              <w:jc w:val="both"/>
              <w:rPr>
                <w:rFonts w:ascii="Tahoma" w:hAnsi="Tahoma" w:cs="Tahoma"/>
                <w:color w:val="000000"/>
                <w:sz w:val="20"/>
                <w:szCs w:val="20"/>
              </w:rPr>
            </w:pPr>
            <w:r w:rsidRPr="008C2B25">
              <w:rPr>
                <w:rFonts w:ascii="Tahoma" w:hAnsi="Tahoma" w:cs="Tahoma"/>
                <w:color w:val="000000"/>
                <w:sz w:val="20"/>
                <w:szCs w:val="20"/>
              </w:rPr>
              <w:t>и</w:t>
            </w:r>
          </w:p>
          <w:p w14:paraId="013144F1" w14:textId="77777777" w:rsidR="009D1253" w:rsidRPr="008C2B25" w:rsidRDefault="009D1253" w:rsidP="009D1253">
            <w:pPr>
              <w:tabs>
                <w:tab w:val="left" w:pos="6979"/>
              </w:tabs>
              <w:jc w:val="both"/>
              <w:rPr>
                <w:rFonts w:ascii="Tahoma" w:hAnsi="Tahoma" w:cs="Tahoma"/>
                <w:color w:val="000000"/>
                <w:sz w:val="20"/>
                <w:szCs w:val="20"/>
              </w:rPr>
            </w:pPr>
            <w:r w:rsidRPr="008C2B25">
              <w:rPr>
                <w:rFonts w:ascii="Tahoma" w:hAnsi="Tahoma" w:cs="Tahoma"/>
                <w:color w:val="000000"/>
                <w:sz w:val="20"/>
                <w:szCs w:val="20"/>
                <w:u w:val="single"/>
              </w:rPr>
              <w:t>Личное страхование: (</w:t>
            </w:r>
            <w:r w:rsidRPr="008C2B25">
              <w:rPr>
                <w:rFonts w:ascii="Tahoma" w:hAnsi="Tahoma" w:cs="Tahoma"/>
                <w:i/>
                <w:color w:val="000000"/>
                <w:sz w:val="20"/>
                <w:szCs w:val="20"/>
              </w:rPr>
              <w:t xml:space="preserve">оформление данного вида страхования не применимо для лиц с инвалидностью (ЛСИ)*). </w:t>
            </w:r>
          </w:p>
          <w:p w14:paraId="5A2E7FEE" w14:textId="77777777" w:rsidR="009D1253" w:rsidRPr="008C2B25" w:rsidRDefault="009D1253" w:rsidP="009D1253">
            <w:pPr>
              <w:tabs>
                <w:tab w:val="left" w:pos="6979"/>
              </w:tabs>
              <w:jc w:val="both"/>
              <w:rPr>
                <w:rFonts w:ascii="Tahoma" w:hAnsi="Tahoma" w:cs="Tahoma"/>
                <w:color w:val="000000"/>
                <w:sz w:val="20"/>
                <w:szCs w:val="20"/>
              </w:rPr>
            </w:pPr>
            <w:r w:rsidRPr="008C2B25">
              <w:rPr>
                <w:rFonts w:ascii="Tahoma" w:hAnsi="Tahoma" w:cs="Tahoma"/>
                <w:color w:val="000000"/>
                <w:sz w:val="20"/>
                <w:szCs w:val="20"/>
              </w:rPr>
              <w:t>Покрываемые риски</w:t>
            </w:r>
            <w:r>
              <w:rPr>
                <w:rFonts w:ascii="Tahoma" w:hAnsi="Tahoma" w:cs="Tahoma"/>
                <w:color w:val="000000"/>
                <w:sz w:val="20"/>
                <w:szCs w:val="20"/>
              </w:rPr>
              <w:t>, которые должны быть указаны в договоре страхования</w:t>
            </w:r>
            <w:r w:rsidRPr="008C2B25">
              <w:rPr>
                <w:rFonts w:ascii="Tahoma" w:hAnsi="Tahoma" w:cs="Tahoma"/>
                <w:color w:val="000000"/>
                <w:sz w:val="20"/>
                <w:szCs w:val="20"/>
              </w:rPr>
              <w:t xml:space="preserve">: </w:t>
            </w:r>
          </w:p>
          <w:p w14:paraId="44EEB803" w14:textId="77777777" w:rsidR="009D1253" w:rsidRPr="008C2B25" w:rsidRDefault="009D1253" w:rsidP="009D1253">
            <w:pPr>
              <w:tabs>
                <w:tab w:val="left" w:pos="6979"/>
              </w:tabs>
              <w:jc w:val="both"/>
              <w:rPr>
                <w:rFonts w:ascii="Tahoma" w:hAnsi="Tahoma" w:cs="Tahoma"/>
                <w:sz w:val="20"/>
                <w:szCs w:val="20"/>
              </w:rPr>
            </w:pPr>
            <w:r w:rsidRPr="008C2B25">
              <w:rPr>
                <w:rFonts w:ascii="Tahoma" w:hAnsi="Tahoma" w:cs="Tahoma"/>
                <w:color w:val="000000"/>
                <w:sz w:val="20"/>
                <w:szCs w:val="20"/>
              </w:rPr>
              <w:t>Травмы в результате несчастного случая</w:t>
            </w:r>
            <w:r>
              <w:rPr>
                <w:rFonts w:ascii="Tahoma" w:hAnsi="Tahoma" w:cs="Tahoma"/>
                <w:color w:val="000000"/>
                <w:sz w:val="20"/>
                <w:szCs w:val="20"/>
              </w:rPr>
              <w:t xml:space="preserve"> </w:t>
            </w:r>
            <w:r w:rsidRPr="00327CD0">
              <w:rPr>
                <w:rFonts w:ascii="Tahoma" w:hAnsi="Tahoma" w:cs="Tahoma"/>
                <w:color w:val="000000"/>
                <w:sz w:val="20"/>
                <w:szCs w:val="20"/>
              </w:rPr>
              <w:t>(по тексту - НС), хирургическая операция в результате НС</w:t>
            </w:r>
            <w:r w:rsidRPr="008C2B25">
              <w:rPr>
                <w:rFonts w:ascii="Tahoma" w:hAnsi="Tahoma" w:cs="Tahoma"/>
                <w:color w:val="000000"/>
                <w:sz w:val="20"/>
                <w:szCs w:val="20"/>
              </w:rPr>
              <w:t xml:space="preserve">, </w:t>
            </w:r>
            <w:r w:rsidRPr="008C2B25">
              <w:rPr>
                <w:rFonts w:ascii="Tahoma" w:hAnsi="Tahoma" w:cs="Tahoma"/>
                <w:sz w:val="20"/>
                <w:szCs w:val="20"/>
              </w:rPr>
              <w:t>смерть по любой причине (ЛП), установление инвалидности 1-й и 2 группы, в том числе в результате болезни.</w:t>
            </w:r>
            <w:r w:rsidRPr="00327CD0">
              <w:rPr>
                <w:rFonts w:ascii="Tahoma" w:eastAsiaTheme="minorHAnsi" w:hAnsi="Tahoma" w:cs="Tahoma"/>
                <w:sz w:val="18"/>
                <w:szCs w:val="18"/>
                <w:lang w:eastAsia="en-US"/>
              </w:rPr>
              <w:t xml:space="preserve"> </w:t>
            </w:r>
            <w:r w:rsidRPr="003C2E4F">
              <w:rPr>
                <w:rFonts w:ascii="Tahoma" w:hAnsi="Tahoma" w:cs="Tahoma"/>
                <w:sz w:val="20"/>
                <w:szCs w:val="20"/>
              </w:rPr>
              <w:t xml:space="preserve">При этом, не </w:t>
            </w:r>
            <w:r>
              <w:rPr>
                <w:rFonts w:ascii="Tahoma" w:hAnsi="Tahoma" w:cs="Tahoma"/>
                <w:sz w:val="20"/>
                <w:szCs w:val="20"/>
              </w:rPr>
              <w:t>должны быть</w:t>
            </w:r>
            <w:r w:rsidRPr="00F72F15" w:rsidDel="00FC0353">
              <w:rPr>
                <w:rFonts w:ascii="Tahoma" w:hAnsi="Tahoma" w:cs="Tahoma"/>
                <w:sz w:val="20"/>
                <w:szCs w:val="20"/>
              </w:rPr>
              <w:t xml:space="preserve"> </w:t>
            </w:r>
            <w:r w:rsidRPr="003C2E4F">
              <w:rPr>
                <w:rFonts w:ascii="Tahoma" w:hAnsi="Tahoma" w:cs="Tahoma"/>
                <w:sz w:val="20"/>
                <w:szCs w:val="20"/>
              </w:rPr>
              <w:t>исключением из застрахованных рисков события, произошедшие в результате болезни Заемщика, прямо/ косвенно связанной с ВИЧ инфекцией/СПИД</w:t>
            </w:r>
            <w:r w:rsidRPr="00327CD0">
              <w:rPr>
                <w:rFonts w:ascii="Tahoma" w:hAnsi="Tahoma" w:cs="Tahoma"/>
                <w:sz w:val="20"/>
                <w:szCs w:val="20"/>
              </w:rPr>
              <w:t>.</w:t>
            </w:r>
          </w:p>
          <w:p w14:paraId="15161546" w14:textId="77777777" w:rsidR="009D1253" w:rsidRPr="008C2B25" w:rsidRDefault="009D1253" w:rsidP="009D1253">
            <w:pPr>
              <w:jc w:val="both"/>
              <w:rPr>
                <w:rFonts w:ascii="Tahoma" w:hAnsi="Tahoma" w:cs="Tahoma"/>
                <w:color w:val="000000"/>
                <w:sz w:val="20"/>
                <w:szCs w:val="20"/>
              </w:rPr>
            </w:pPr>
            <w:r w:rsidRPr="008C2B25">
              <w:rPr>
                <w:rFonts w:ascii="Tahoma" w:hAnsi="Tahoma" w:cs="Tahoma"/>
                <w:color w:val="000000"/>
                <w:sz w:val="20"/>
                <w:szCs w:val="20"/>
              </w:rPr>
              <w:t>По желанию Заёмщика страховая премия по договору страхования может быть оплачена за счет Кредита при выполнении указанных в настоящем пункте условий к договору (полису) страхования.</w:t>
            </w:r>
          </w:p>
          <w:p w14:paraId="0B3ACB2A" w14:textId="77777777" w:rsidR="009D1253" w:rsidRPr="008C2B25" w:rsidRDefault="009D1253" w:rsidP="009D1253">
            <w:pPr>
              <w:jc w:val="both"/>
              <w:rPr>
                <w:rFonts w:ascii="Tahoma" w:hAnsi="Tahoma" w:cs="Tahoma"/>
                <w:color w:val="000000"/>
                <w:sz w:val="20"/>
                <w:szCs w:val="20"/>
              </w:rPr>
            </w:pPr>
          </w:p>
          <w:p w14:paraId="6990CE97" w14:textId="77777777" w:rsidR="009D1253" w:rsidRPr="005A07E7" w:rsidRDefault="009D1253" w:rsidP="009D1253">
            <w:pPr>
              <w:tabs>
                <w:tab w:val="left" w:pos="9832"/>
              </w:tabs>
              <w:jc w:val="both"/>
              <w:rPr>
                <w:sz w:val="20"/>
                <w:szCs w:val="20"/>
              </w:rPr>
            </w:pPr>
            <w:r w:rsidRPr="008C2B25">
              <w:rPr>
                <w:rFonts w:ascii="Tahoma" w:hAnsi="Tahoma" w:cs="Tahoma"/>
                <w:color w:val="000000"/>
                <w:sz w:val="20"/>
                <w:szCs w:val="20"/>
              </w:rPr>
              <w:t>* для ЛСИ применяется размер процентной ставки за пользование кредитом, соответствующий выбору условий кредитования с процентной ставкой, предусматривающей заключение Личного страхования (без заключения ЛСИ соответствующего договора), при условии оформления ЛСИ Договора страхования КАСКО, соответствующего требованиям настоящего документа, и предоставлении документа, подтверждающего статус ЛСИ.</w:t>
            </w:r>
          </w:p>
        </w:tc>
      </w:tr>
      <w:tr w:rsidR="009D1253" w:rsidRPr="005A07E7" w14:paraId="74DED0BF"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699"/>
        </w:trPr>
        <w:tc>
          <w:tcPr>
            <w:tcW w:w="1475" w:type="pct"/>
            <w:tcBorders>
              <w:left w:val="single" w:sz="4" w:space="0" w:color="auto"/>
              <w:right w:val="single" w:sz="4" w:space="0" w:color="auto"/>
            </w:tcBorders>
            <w:vAlign w:val="center"/>
          </w:tcPr>
          <w:p w14:paraId="3BB462E2" w14:textId="77777777" w:rsidR="009D1253" w:rsidRPr="005A07E7" w:rsidRDefault="009D1253" w:rsidP="009D1253">
            <w:pPr>
              <w:rPr>
                <w:rFonts w:ascii="Tahoma" w:hAnsi="Tahoma" w:cs="Tahoma"/>
                <w:sz w:val="20"/>
                <w:szCs w:val="20"/>
              </w:rPr>
            </w:pPr>
            <w:r w:rsidRPr="005A07E7">
              <w:rPr>
                <w:rFonts w:ascii="Tahoma" w:hAnsi="Tahoma" w:cs="Tahoma"/>
                <w:b/>
                <w:sz w:val="20"/>
                <w:szCs w:val="20"/>
              </w:rPr>
              <w:t>Требования к Заёмщику, которые установлены Кредитором и выполнение которых является обязательным для предоставления Кредита</w:t>
            </w:r>
          </w:p>
        </w:tc>
        <w:tc>
          <w:tcPr>
            <w:tcW w:w="3525" w:type="pct"/>
            <w:tcBorders>
              <w:top w:val="single" w:sz="4" w:space="0" w:color="auto"/>
              <w:left w:val="nil"/>
              <w:bottom w:val="single" w:sz="4" w:space="0" w:color="auto"/>
              <w:right w:val="single" w:sz="8" w:space="0" w:color="000000"/>
            </w:tcBorders>
            <w:noWrap/>
            <w:vAlign w:val="center"/>
          </w:tcPr>
          <w:p w14:paraId="12424E0C"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гражданство Российской Федерации;</w:t>
            </w:r>
          </w:p>
          <w:p w14:paraId="14B8E2F3"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адрес постоянной регистрации и фактическое место жительства Заёмщика – все регионы РФ;</w:t>
            </w:r>
          </w:p>
          <w:p w14:paraId="13E74DC9"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возраст Заёмщика не менее 21 года (на момент оформления Кредита) и не более 70 лет (на момент окончания действия срока возврата Кредита) включительно;</w:t>
            </w:r>
          </w:p>
          <w:p w14:paraId="2B9FD2C4"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Заёмщик имеет официальное место работы (либо является ИП) и</w:t>
            </w:r>
            <w:r>
              <w:rPr>
                <w:rFonts w:ascii="Tahoma" w:hAnsi="Tahoma" w:cs="Tahoma"/>
                <w:sz w:val="20"/>
                <w:szCs w:val="20"/>
              </w:rPr>
              <w:t>(или)</w:t>
            </w:r>
            <w:r w:rsidRPr="005A07E7">
              <w:rPr>
                <w:rFonts w:ascii="Tahoma" w:hAnsi="Tahoma" w:cs="Tahoma"/>
                <w:sz w:val="20"/>
                <w:szCs w:val="20"/>
              </w:rPr>
              <w:t xml:space="preserve"> постоянный источник дохода;</w:t>
            </w:r>
          </w:p>
          <w:p w14:paraId="2D656C44"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Заёмщик не имеет официального места работы, при условии достижения пенсионного возраста, и получающий социальную пенсию;</w:t>
            </w:r>
          </w:p>
          <w:p w14:paraId="26F735FC"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xml:space="preserve">- стаж на последнем месте работы не менее 3 месяцев. </w:t>
            </w:r>
            <w:r w:rsidRPr="005A07E7">
              <w:rPr>
                <w:rFonts w:ascii="Tahoma" w:hAnsi="Tahoma" w:cs="Tahoma"/>
              </w:rPr>
              <w:fldChar w:fldCharType="begin"/>
            </w:r>
            <w:r w:rsidRPr="005A07E7">
              <w:rPr>
                <w:rFonts w:ascii="Tahoma" w:hAnsi="Tahoma" w:cs="Tahoma"/>
              </w:rPr>
              <w:instrText xml:space="preserve"> DOCVARIABLE  КЛИЕНТ </w:instrText>
            </w:r>
            <w:r w:rsidRPr="005A07E7">
              <w:rPr>
                <w:rFonts w:ascii="Tahoma" w:hAnsi="Tahoma" w:cs="Tahoma"/>
              </w:rPr>
              <w:fldChar w:fldCharType="end"/>
            </w:r>
          </w:p>
        </w:tc>
      </w:tr>
      <w:tr w:rsidR="009D1253" w:rsidRPr="005A07E7" w14:paraId="62950E57"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558"/>
        </w:trPr>
        <w:tc>
          <w:tcPr>
            <w:tcW w:w="1475" w:type="pct"/>
            <w:tcBorders>
              <w:top w:val="single" w:sz="4" w:space="0" w:color="auto"/>
              <w:left w:val="single" w:sz="8" w:space="0" w:color="auto"/>
              <w:bottom w:val="single" w:sz="4" w:space="0" w:color="auto"/>
              <w:right w:val="single" w:sz="4" w:space="0" w:color="auto"/>
            </w:tcBorders>
            <w:vAlign w:val="center"/>
          </w:tcPr>
          <w:p w14:paraId="22FB252D"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 xml:space="preserve">Перечень документов, необходимых для рассмотрения заявления о предоставлении Кредита, в том числе </w:t>
            </w:r>
            <w:r w:rsidRPr="005A07E7">
              <w:rPr>
                <w:rFonts w:ascii="Tahoma" w:hAnsi="Tahoma" w:cs="Tahoma"/>
                <w:b/>
                <w:sz w:val="20"/>
                <w:szCs w:val="20"/>
              </w:rPr>
              <w:lastRenderedPageBreak/>
              <w:t>для оценки кредитоспособности Заёмщика (в случае необходимости могут быть запрошены дополнительные документы)</w:t>
            </w:r>
          </w:p>
        </w:tc>
        <w:tc>
          <w:tcPr>
            <w:tcW w:w="3525" w:type="pct"/>
            <w:tcBorders>
              <w:top w:val="single" w:sz="4" w:space="0" w:color="auto"/>
              <w:left w:val="nil"/>
              <w:bottom w:val="single" w:sz="4" w:space="0" w:color="auto"/>
              <w:right w:val="single" w:sz="8" w:space="0" w:color="000000"/>
            </w:tcBorders>
            <w:shd w:val="clear" w:color="auto" w:fill="auto"/>
            <w:noWrap/>
            <w:vAlign w:val="center"/>
          </w:tcPr>
          <w:p w14:paraId="17CDF782" w14:textId="77777777" w:rsidR="009D1253" w:rsidRPr="008C2B25" w:rsidRDefault="009D1253" w:rsidP="00A44EB4">
            <w:pPr>
              <w:pStyle w:val="a9"/>
              <w:numPr>
                <w:ilvl w:val="0"/>
                <w:numId w:val="162"/>
              </w:numPr>
              <w:tabs>
                <w:tab w:val="left" w:pos="0"/>
                <w:tab w:val="left" w:pos="268"/>
              </w:tabs>
              <w:spacing w:before="0" w:after="0"/>
              <w:ind w:hanging="720"/>
              <w:rPr>
                <w:rFonts w:ascii="Tahoma" w:hAnsi="Tahoma" w:cs="Tahoma"/>
                <w:b/>
                <w:szCs w:val="18"/>
                <w:lang w:eastAsia="en-US"/>
              </w:rPr>
            </w:pPr>
            <w:r w:rsidRPr="008C2B25">
              <w:rPr>
                <w:rFonts w:ascii="Tahoma" w:hAnsi="Tahoma" w:cs="Tahoma"/>
                <w:b/>
                <w:szCs w:val="18"/>
                <w:lang w:eastAsia="en-US"/>
              </w:rPr>
              <w:lastRenderedPageBreak/>
              <w:t xml:space="preserve">Пакет документов для приобретаемого Заёмщиком за счет кредитных средств Банка </w:t>
            </w:r>
            <w:r>
              <w:rPr>
                <w:rFonts w:ascii="Tahoma" w:hAnsi="Tahoma" w:cs="Tahoma"/>
                <w:b/>
                <w:szCs w:val="18"/>
                <w:lang w:eastAsia="en-US"/>
              </w:rPr>
              <w:t xml:space="preserve">нового </w:t>
            </w:r>
            <w:r w:rsidRPr="008C2B25">
              <w:rPr>
                <w:rFonts w:ascii="Tahoma" w:hAnsi="Tahoma" w:cs="Tahoma"/>
                <w:b/>
                <w:szCs w:val="18"/>
                <w:lang w:eastAsia="en-US"/>
              </w:rPr>
              <w:t>ТС</w:t>
            </w:r>
            <w:r>
              <w:rPr>
                <w:rFonts w:ascii="Tahoma" w:hAnsi="Tahoma" w:cs="Tahoma"/>
                <w:b/>
                <w:szCs w:val="18"/>
                <w:lang w:eastAsia="en-US"/>
              </w:rPr>
              <w:t>:</w:t>
            </w:r>
          </w:p>
          <w:p w14:paraId="539CE6A1" w14:textId="77777777" w:rsidR="009D1253" w:rsidRPr="008C2B25" w:rsidRDefault="009D1253" w:rsidP="009D1253">
            <w:pPr>
              <w:pStyle w:val="a9"/>
              <w:tabs>
                <w:tab w:val="left" w:pos="0"/>
                <w:tab w:val="left" w:pos="835"/>
              </w:tabs>
              <w:spacing w:before="0" w:after="0"/>
              <w:rPr>
                <w:rFonts w:ascii="Tahoma" w:hAnsi="Tahoma" w:cs="Tahoma"/>
                <w:szCs w:val="18"/>
                <w:lang w:eastAsia="en-US"/>
              </w:rPr>
            </w:pPr>
            <w:r>
              <w:rPr>
                <w:rFonts w:ascii="Tahoma" w:hAnsi="Tahoma" w:cs="Tahoma"/>
                <w:szCs w:val="18"/>
                <w:lang w:eastAsia="en-US"/>
              </w:rPr>
              <w:t>-</w:t>
            </w:r>
            <w:r w:rsidRPr="008C2B25">
              <w:rPr>
                <w:rFonts w:ascii="Tahoma" w:hAnsi="Tahoma" w:cs="Tahoma"/>
                <w:szCs w:val="18"/>
                <w:lang w:eastAsia="en-US"/>
              </w:rPr>
              <w:t xml:space="preserve"> выписка ЭПТС*</w:t>
            </w:r>
            <w:r w:rsidRPr="008C2B25">
              <w:rPr>
                <w:rFonts w:ascii="Tahoma" w:hAnsi="Tahoma" w:cs="Tahoma"/>
                <w:szCs w:val="18"/>
              </w:rPr>
              <w:t xml:space="preserve"> в статусе «действующий» / «незавершенный»</w:t>
            </w:r>
          </w:p>
          <w:p w14:paraId="4548955D" w14:textId="77777777" w:rsidR="009D1253" w:rsidRPr="008C2B25" w:rsidRDefault="009D1253" w:rsidP="009D1253">
            <w:pPr>
              <w:pStyle w:val="a9"/>
              <w:tabs>
                <w:tab w:val="left" w:pos="0"/>
              </w:tabs>
              <w:spacing w:before="0" w:after="0"/>
              <w:rPr>
                <w:rFonts w:ascii="Tahoma" w:hAnsi="Tahoma" w:cs="Tahoma"/>
                <w:szCs w:val="18"/>
                <w:lang w:eastAsia="en-US"/>
              </w:rPr>
            </w:pPr>
          </w:p>
          <w:p w14:paraId="0C96F9B0" w14:textId="77777777" w:rsidR="009D1253" w:rsidRPr="008C2B25" w:rsidRDefault="009D1253" w:rsidP="009D1253">
            <w:pPr>
              <w:pStyle w:val="a9"/>
              <w:tabs>
                <w:tab w:val="left" w:pos="0"/>
              </w:tabs>
              <w:spacing w:before="0" w:after="0"/>
              <w:rPr>
                <w:rFonts w:ascii="Tahoma" w:hAnsi="Tahoma" w:cs="Tahoma"/>
                <w:szCs w:val="18"/>
              </w:rPr>
            </w:pPr>
            <w:r w:rsidRPr="008C2B25">
              <w:rPr>
                <w:rFonts w:ascii="Tahoma" w:hAnsi="Tahoma" w:cs="Tahoma"/>
                <w:szCs w:val="18"/>
              </w:rPr>
              <w:lastRenderedPageBreak/>
              <w:t xml:space="preserve">*не требуется при приобретении за счет кредитных средств нового ТС марки: </w:t>
            </w:r>
            <w:r w:rsidRPr="008C2B25">
              <w:rPr>
                <w:rFonts w:ascii="Tahoma" w:hAnsi="Tahoma" w:cs="Tahoma"/>
                <w:szCs w:val="18"/>
                <w:lang w:val="en-US"/>
              </w:rPr>
              <w:t>Honda</w:t>
            </w:r>
            <w:r w:rsidRPr="008C2B25">
              <w:rPr>
                <w:rFonts w:ascii="Tahoma" w:hAnsi="Tahoma" w:cs="Tahoma"/>
                <w:szCs w:val="18"/>
              </w:rPr>
              <w:t xml:space="preserve">, </w:t>
            </w:r>
            <w:r w:rsidRPr="008C2B25">
              <w:rPr>
                <w:rFonts w:ascii="Tahoma" w:hAnsi="Tahoma" w:cs="Tahoma"/>
                <w:szCs w:val="18"/>
                <w:lang w:val="en-US"/>
              </w:rPr>
              <w:t>Lada</w:t>
            </w:r>
            <w:r w:rsidRPr="008C2B25">
              <w:rPr>
                <w:rFonts w:ascii="Tahoma" w:hAnsi="Tahoma" w:cs="Tahoma"/>
                <w:szCs w:val="18"/>
              </w:rPr>
              <w:t xml:space="preserve">, </w:t>
            </w:r>
            <w:r w:rsidRPr="008C2B25">
              <w:rPr>
                <w:rFonts w:ascii="Tahoma" w:hAnsi="Tahoma" w:cs="Tahoma"/>
                <w:szCs w:val="18"/>
                <w:lang w:val="en-US"/>
              </w:rPr>
              <w:t>Voyah</w:t>
            </w:r>
            <w:r w:rsidRPr="008C2B25">
              <w:rPr>
                <w:rFonts w:ascii="Tahoma" w:hAnsi="Tahoma" w:cs="Tahoma"/>
                <w:szCs w:val="18"/>
              </w:rPr>
              <w:t xml:space="preserve">, </w:t>
            </w:r>
            <w:r w:rsidRPr="008C2B25">
              <w:rPr>
                <w:rFonts w:ascii="Tahoma" w:hAnsi="Tahoma" w:cs="Tahoma"/>
                <w:szCs w:val="18"/>
                <w:lang w:val="en-US"/>
              </w:rPr>
              <w:t>Omoda</w:t>
            </w:r>
            <w:r w:rsidRPr="008C2B25">
              <w:rPr>
                <w:rFonts w:ascii="Tahoma" w:hAnsi="Tahoma" w:cs="Tahoma"/>
                <w:szCs w:val="18"/>
              </w:rPr>
              <w:t xml:space="preserve">, </w:t>
            </w:r>
            <w:r w:rsidRPr="008C2B25">
              <w:rPr>
                <w:rFonts w:ascii="Tahoma" w:hAnsi="Tahoma" w:cs="Tahoma"/>
                <w:szCs w:val="18"/>
                <w:lang w:val="en-US"/>
              </w:rPr>
              <w:t>Livan</w:t>
            </w:r>
            <w:r w:rsidRPr="008C2B25">
              <w:rPr>
                <w:rFonts w:ascii="Tahoma" w:hAnsi="Tahoma" w:cs="Tahoma"/>
                <w:szCs w:val="18"/>
              </w:rPr>
              <w:t xml:space="preserve">, </w:t>
            </w:r>
            <w:r w:rsidRPr="008C2B25">
              <w:rPr>
                <w:rFonts w:ascii="Tahoma" w:hAnsi="Tahoma" w:cs="Tahoma"/>
                <w:szCs w:val="18"/>
                <w:lang w:val="en-US"/>
              </w:rPr>
              <w:t>Jetour</w:t>
            </w:r>
            <w:r w:rsidRPr="008C2B25">
              <w:rPr>
                <w:rFonts w:ascii="Tahoma" w:hAnsi="Tahoma" w:cs="Tahoma"/>
                <w:szCs w:val="18"/>
              </w:rPr>
              <w:t xml:space="preserve">, </w:t>
            </w:r>
            <w:r w:rsidRPr="008C2B25">
              <w:rPr>
                <w:rFonts w:ascii="Tahoma" w:hAnsi="Tahoma" w:cs="Tahoma"/>
                <w:szCs w:val="18"/>
                <w:lang w:val="en-US"/>
              </w:rPr>
              <w:t>Jaecoo</w:t>
            </w:r>
            <w:r w:rsidRPr="008C2B25">
              <w:rPr>
                <w:rFonts w:ascii="Tahoma" w:hAnsi="Tahoma" w:cs="Tahoma"/>
                <w:szCs w:val="18"/>
              </w:rPr>
              <w:t xml:space="preserve">, </w:t>
            </w:r>
            <w:r w:rsidRPr="008C2B25">
              <w:rPr>
                <w:rFonts w:ascii="Tahoma" w:hAnsi="Tahoma" w:cs="Tahoma"/>
                <w:szCs w:val="18"/>
                <w:lang w:val="en-US"/>
              </w:rPr>
              <w:t>Evolute</w:t>
            </w:r>
            <w:r w:rsidRPr="008C2B25">
              <w:rPr>
                <w:rFonts w:ascii="Tahoma" w:hAnsi="Tahoma" w:cs="Tahoma"/>
                <w:szCs w:val="18"/>
              </w:rPr>
              <w:t xml:space="preserve">, Москвич, </w:t>
            </w:r>
            <w:r w:rsidRPr="008C2B25">
              <w:rPr>
                <w:rFonts w:ascii="Tahoma" w:hAnsi="Tahoma" w:cs="Tahoma"/>
                <w:szCs w:val="18"/>
                <w:lang w:val="en-US"/>
              </w:rPr>
              <w:t>Changan</w:t>
            </w:r>
            <w:r w:rsidRPr="008C2B25">
              <w:rPr>
                <w:rFonts w:ascii="Tahoma" w:hAnsi="Tahoma" w:cs="Tahoma"/>
                <w:szCs w:val="18"/>
              </w:rPr>
              <w:t xml:space="preserve">, </w:t>
            </w:r>
            <w:r w:rsidRPr="008C2B25">
              <w:rPr>
                <w:rFonts w:ascii="Tahoma" w:hAnsi="Tahoma" w:cs="Tahoma"/>
                <w:szCs w:val="18"/>
                <w:lang w:val="en-US"/>
              </w:rPr>
              <w:t>Haval</w:t>
            </w:r>
            <w:r w:rsidRPr="008C2B25">
              <w:rPr>
                <w:rFonts w:ascii="Tahoma" w:hAnsi="Tahoma" w:cs="Tahoma"/>
                <w:szCs w:val="18"/>
              </w:rPr>
              <w:t xml:space="preserve">, </w:t>
            </w:r>
            <w:r w:rsidRPr="008C2B25">
              <w:rPr>
                <w:rFonts w:ascii="Tahoma" w:hAnsi="Tahoma" w:cs="Tahoma"/>
                <w:szCs w:val="18"/>
                <w:lang w:val="en-US"/>
              </w:rPr>
              <w:t>SkyWell</w:t>
            </w:r>
          </w:p>
          <w:p w14:paraId="16F593CE" w14:textId="77777777" w:rsidR="009D1253" w:rsidRPr="008C2B25" w:rsidRDefault="009D1253" w:rsidP="009D1253">
            <w:pPr>
              <w:tabs>
                <w:tab w:val="left" w:pos="6979"/>
              </w:tabs>
              <w:jc w:val="both"/>
              <w:rPr>
                <w:rFonts w:ascii="Tahoma" w:hAnsi="Tahoma" w:cs="Tahoma"/>
                <w:sz w:val="20"/>
                <w:szCs w:val="18"/>
              </w:rPr>
            </w:pPr>
          </w:p>
          <w:p w14:paraId="66340885" w14:textId="77777777" w:rsidR="009D1253" w:rsidRDefault="009D1253" w:rsidP="009D1253">
            <w:pPr>
              <w:pStyle w:val="a9"/>
              <w:spacing w:before="0" w:after="0"/>
              <w:rPr>
                <w:rFonts w:ascii="Tahoma" w:hAnsi="Tahoma" w:cs="Tahoma"/>
                <w:szCs w:val="18"/>
              </w:rPr>
            </w:pPr>
            <w:r w:rsidRPr="008C2B25">
              <w:rPr>
                <w:rFonts w:ascii="Tahoma" w:hAnsi="Tahoma" w:cs="Tahoma"/>
                <w:szCs w:val="18"/>
              </w:rPr>
              <w:t xml:space="preserve">Полномочия юридического лица / ИП на реализацию ТС подтверждаются одним из следующих документов: договором купли-продажи, дилерским договором, договором поставки и актом приема-передачи ТС по указанным договорам или агентским договором, договором комиссии и т.п., заключенным с собственником ТС и предоставляющим ему право на реализацию такого ТС. </w:t>
            </w:r>
          </w:p>
          <w:p w14:paraId="7537C97A" w14:textId="77777777" w:rsidR="009D1253" w:rsidRPr="008C2B25" w:rsidRDefault="009D1253" w:rsidP="009D1253">
            <w:pPr>
              <w:pStyle w:val="a9"/>
              <w:spacing w:before="0" w:after="0"/>
              <w:rPr>
                <w:rFonts w:ascii="Tahoma" w:hAnsi="Tahoma" w:cs="Tahoma"/>
                <w:szCs w:val="18"/>
              </w:rPr>
            </w:pPr>
            <w:r w:rsidRPr="008C2B25">
              <w:rPr>
                <w:rFonts w:ascii="Tahoma" w:hAnsi="Tahoma" w:cs="Tahoma"/>
                <w:szCs w:val="18"/>
              </w:rPr>
              <w:t>Для ТС, ввезенных из-за границы и не поставленных на государственный регистрационный учет в РФ дополнительно к указанным документам и выписке из ЭПТС прилагается таможенная декларация (или иной документ при отсутствии у продавца ТС таможенной декларации или в дополнение к ней). При этом таможенная декларация и/или иной документ, предоставленный Банку, должен содержать VIN номер ТС, а также идентификационные данные продавца ТС (или иного лица, осуществлявшего таможенные процедуры в отношении ТС, а также процедуры, необходимые для получения ЭПТС, и передавшего полномочия по реализации ТС продавцу ТС на основании договора).</w:t>
            </w:r>
          </w:p>
          <w:p w14:paraId="7839547D" w14:textId="77777777" w:rsidR="009D1253" w:rsidRPr="008C2B25" w:rsidRDefault="009D1253" w:rsidP="009D1253">
            <w:pPr>
              <w:pStyle w:val="a9"/>
              <w:tabs>
                <w:tab w:val="left" w:pos="0"/>
                <w:tab w:val="left" w:pos="176"/>
                <w:tab w:val="left" w:pos="835"/>
              </w:tabs>
              <w:spacing w:before="0" w:after="0"/>
              <w:rPr>
                <w:rFonts w:ascii="Tahoma" w:hAnsi="Tahoma" w:cs="Tahoma"/>
                <w:strike/>
                <w:szCs w:val="18"/>
                <w:lang w:eastAsia="en-US"/>
              </w:rPr>
            </w:pPr>
          </w:p>
          <w:p w14:paraId="4A6B3353" w14:textId="77777777" w:rsidR="009D1253" w:rsidRPr="008C2B25" w:rsidRDefault="009D1253" w:rsidP="00A44EB4">
            <w:pPr>
              <w:pStyle w:val="a9"/>
              <w:numPr>
                <w:ilvl w:val="0"/>
                <w:numId w:val="162"/>
              </w:numPr>
              <w:tabs>
                <w:tab w:val="left" w:pos="0"/>
                <w:tab w:val="left" w:pos="268"/>
              </w:tabs>
              <w:spacing w:before="0" w:after="0"/>
              <w:ind w:hanging="720"/>
              <w:rPr>
                <w:rFonts w:ascii="Tahoma" w:hAnsi="Tahoma" w:cs="Tahoma"/>
                <w:b/>
                <w:szCs w:val="18"/>
                <w:lang w:eastAsia="en-US"/>
              </w:rPr>
            </w:pPr>
            <w:r w:rsidRPr="008C2B25">
              <w:rPr>
                <w:rFonts w:ascii="Tahoma" w:hAnsi="Tahoma" w:cs="Tahoma"/>
                <w:b/>
                <w:szCs w:val="18"/>
                <w:lang w:eastAsia="en-US"/>
              </w:rPr>
              <w:t>Пакет документов для Заёмщика</w:t>
            </w:r>
          </w:p>
          <w:p w14:paraId="0D9CD0FF" w14:textId="77777777" w:rsidR="009D1253" w:rsidRPr="008C2B25" w:rsidRDefault="009D1253" w:rsidP="00A44EB4">
            <w:pPr>
              <w:pStyle w:val="a9"/>
              <w:numPr>
                <w:ilvl w:val="0"/>
                <w:numId w:val="163"/>
              </w:numPr>
              <w:tabs>
                <w:tab w:val="left" w:pos="0"/>
                <w:tab w:val="left" w:pos="268"/>
              </w:tabs>
              <w:spacing w:before="0" w:after="0"/>
              <w:ind w:hanging="643"/>
              <w:rPr>
                <w:rFonts w:ascii="Tahoma" w:hAnsi="Tahoma" w:cs="Tahoma"/>
                <w:szCs w:val="18"/>
                <w:lang w:eastAsia="en-US"/>
              </w:rPr>
            </w:pPr>
            <w:r w:rsidRPr="008C2B25">
              <w:rPr>
                <w:rFonts w:ascii="Tahoma" w:hAnsi="Tahoma" w:cs="Tahoma"/>
                <w:szCs w:val="18"/>
                <w:lang w:eastAsia="en-US"/>
              </w:rPr>
              <w:t>Паспорт гражданина РФ</w:t>
            </w:r>
          </w:p>
          <w:p w14:paraId="540A71F2" w14:textId="77777777" w:rsidR="009D1253" w:rsidRPr="008C2B25" w:rsidRDefault="009D1253" w:rsidP="00A44EB4">
            <w:pPr>
              <w:pStyle w:val="a9"/>
              <w:numPr>
                <w:ilvl w:val="0"/>
                <w:numId w:val="163"/>
              </w:numPr>
              <w:tabs>
                <w:tab w:val="left" w:pos="0"/>
                <w:tab w:val="left" w:pos="268"/>
              </w:tabs>
              <w:spacing w:before="0" w:after="0"/>
              <w:rPr>
                <w:rFonts w:ascii="Tahoma" w:hAnsi="Tahoma" w:cs="Tahoma"/>
                <w:szCs w:val="18"/>
                <w:lang w:eastAsia="en-US"/>
              </w:rPr>
            </w:pPr>
            <w:r w:rsidRPr="008C2B25">
              <w:rPr>
                <w:rFonts w:ascii="Tahoma" w:hAnsi="Tahoma" w:cs="Tahoma"/>
                <w:szCs w:val="18"/>
                <w:lang w:eastAsia="en-US"/>
              </w:rPr>
              <w:t>Второй документ, предоставляется из следующих документов по выбору Заёмщика:</w:t>
            </w:r>
            <w:r w:rsidRPr="008C2B25" w:rsidDel="00721FE6">
              <w:rPr>
                <w:rFonts w:ascii="Tahoma" w:hAnsi="Tahoma" w:cs="Tahoma"/>
                <w:szCs w:val="18"/>
                <w:lang w:eastAsia="en-US"/>
              </w:rPr>
              <w:t xml:space="preserve"> </w:t>
            </w:r>
          </w:p>
          <w:p w14:paraId="2FC22A4E" w14:textId="77777777" w:rsidR="009D1253" w:rsidRPr="008C2B25" w:rsidRDefault="009D1253" w:rsidP="009D1253">
            <w:pPr>
              <w:pStyle w:val="a9"/>
              <w:tabs>
                <w:tab w:val="left" w:pos="0"/>
              </w:tabs>
              <w:spacing w:before="0" w:after="0"/>
              <w:ind w:firstLine="268"/>
              <w:rPr>
                <w:rFonts w:ascii="Tahoma" w:hAnsi="Tahoma" w:cs="Tahoma"/>
                <w:szCs w:val="18"/>
                <w:lang w:eastAsia="en-US"/>
              </w:rPr>
            </w:pPr>
            <w:r w:rsidRPr="008C2B25">
              <w:rPr>
                <w:rFonts w:ascii="Tahoma" w:hAnsi="Tahoma" w:cs="Tahoma"/>
                <w:szCs w:val="18"/>
                <w:lang w:eastAsia="en-US"/>
              </w:rPr>
              <w:t>- заграничный паспорт гражданина РФ</w:t>
            </w:r>
          </w:p>
          <w:p w14:paraId="46DDC090" w14:textId="77777777" w:rsidR="009D1253" w:rsidRPr="008C2B25" w:rsidRDefault="009D1253" w:rsidP="009D1253">
            <w:pPr>
              <w:pStyle w:val="a9"/>
              <w:tabs>
                <w:tab w:val="left" w:pos="0"/>
              </w:tabs>
              <w:spacing w:before="0" w:after="0"/>
              <w:ind w:firstLine="268"/>
              <w:rPr>
                <w:rFonts w:ascii="Tahoma" w:hAnsi="Tahoma" w:cs="Tahoma"/>
                <w:szCs w:val="18"/>
                <w:lang w:eastAsia="en-US"/>
              </w:rPr>
            </w:pPr>
            <w:r w:rsidRPr="008C2B25">
              <w:rPr>
                <w:rFonts w:ascii="Tahoma" w:hAnsi="Tahoma" w:cs="Tahoma"/>
                <w:szCs w:val="18"/>
                <w:lang w:eastAsia="en-US"/>
              </w:rPr>
              <w:t>- водительское удостоверение</w:t>
            </w:r>
          </w:p>
          <w:p w14:paraId="44312011" w14:textId="77777777" w:rsidR="009D1253" w:rsidRPr="008C2B25" w:rsidRDefault="009D1253" w:rsidP="009D1253">
            <w:pPr>
              <w:pStyle w:val="a9"/>
              <w:tabs>
                <w:tab w:val="left" w:pos="0"/>
              </w:tabs>
              <w:spacing w:before="0" w:after="0"/>
              <w:ind w:firstLine="268"/>
              <w:rPr>
                <w:rFonts w:ascii="Tahoma" w:hAnsi="Tahoma" w:cs="Tahoma"/>
                <w:szCs w:val="18"/>
                <w:lang w:eastAsia="en-US"/>
              </w:rPr>
            </w:pPr>
            <w:r w:rsidRPr="008C2B25">
              <w:rPr>
                <w:rFonts w:ascii="Tahoma" w:hAnsi="Tahoma" w:cs="Tahoma"/>
                <w:szCs w:val="18"/>
                <w:lang w:eastAsia="en-US"/>
              </w:rPr>
              <w:t>- СНИЛС</w:t>
            </w:r>
          </w:p>
          <w:p w14:paraId="2BA7F828" w14:textId="77777777" w:rsidR="009D1253" w:rsidRPr="005A07E7" w:rsidRDefault="009D1253" w:rsidP="009D1253">
            <w:pPr>
              <w:pStyle w:val="a9"/>
              <w:tabs>
                <w:tab w:val="left" w:pos="0"/>
              </w:tabs>
              <w:spacing w:before="0" w:after="0"/>
              <w:rPr>
                <w:rFonts w:ascii="Tahoma" w:hAnsi="Tahoma" w:cs="Tahoma"/>
                <w:strike/>
                <w:sz w:val="18"/>
                <w:szCs w:val="18"/>
              </w:rPr>
            </w:pPr>
          </w:p>
          <w:p w14:paraId="65E7D10C" w14:textId="77777777" w:rsidR="009D1253" w:rsidRDefault="009D1253" w:rsidP="009D1253">
            <w:pPr>
              <w:autoSpaceDE w:val="0"/>
              <w:autoSpaceDN w:val="0"/>
              <w:adjustRightInd w:val="0"/>
              <w:jc w:val="both"/>
              <w:rPr>
                <w:rFonts w:ascii="Tahoma" w:hAnsi="Tahoma" w:cs="Tahoma"/>
                <w:sz w:val="20"/>
                <w:szCs w:val="18"/>
              </w:rPr>
            </w:pPr>
            <w:r w:rsidRPr="008006DB">
              <w:rPr>
                <w:rFonts w:ascii="Tahoma" w:hAnsi="Tahoma" w:cs="Tahoma"/>
                <w:sz w:val="20"/>
                <w:szCs w:val="18"/>
              </w:rPr>
              <w:t xml:space="preserve">По результатам рассмотрения заявления о предоставлении потребительского кредита, Банком могут быть запрошены документы, подтверждающие финансовое состояние Заёмщика, а также его занятость. </w:t>
            </w:r>
          </w:p>
          <w:p w14:paraId="094BB43F" w14:textId="77777777" w:rsidR="009D1253" w:rsidRPr="008006DB" w:rsidRDefault="009D1253" w:rsidP="009D1253">
            <w:pPr>
              <w:pStyle w:val="a9"/>
              <w:tabs>
                <w:tab w:val="left" w:pos="268"/>
              </w:tabs>
              <w:spacing w:before="0" w:after="0"/>
              <w:ind w:left="-16" w:right="-1"/>
              <w:rPr>
                <w:rFonts w:ascii="Tahoma" w:hAnsi="Tahoma" w:cs="Tahoma"/>
                <w:szCs w:val="18"/>
                <w:lang w:eastAsia="en-US"/>
              </w:rPr>
            </w:pPr>
            <w:r w:rsidRPr="008006DB">
              <w:rPr>
                <w:rFonts w:ascii="Tahoma" w:hAnsi="Tahoma" w:cs="Tahoma"/>
                <w:szCs w:val="18"/>
                <w:lang w:eastAsia="en-US"/>
              </w:rPr>
              <w:t xml:space="preserve">В качестве документов, подтверждающих финансовое состояние Заёмщика, могут быть предоставлены: </w:t>
            </w:r>
          </w:p>
          <w:tbl>
            <w:tblPr>
              <w:tblStyle w:val="aff0"/>
              <w:tblW w:w="10653" w:type="dxa"/>
              <w:tblInd w:w="8" w:type="dxa"/>
              <w:tblLayout w:type="fixed"/>
              <w:tblLook w:val="04A0" w:firstRow="1" w:lastRow="0" w:firstColumn="1" w:lastColumn="0" w:noHBand="0" w:noVBand="1"/>
            </w:tblPr>
            <w:tblGrid>
              <w:gridCol w:w="2096"/>
              <w:gridCol w:w="8557"/>
            </w:tblGrid>
            <w:tr w:rsidR="009D1253" w:rsidRPr="00B2133F" w14:paraId="75261D03" w14:textId="77777777" w:rsidTr="009D1253">
              <w:tc>
                <w:tcPr>
                  <w:tcW w:w="2096" w:type="dxa"/>
                </w:tcPr>
                <w:p w14:paraId="384E842B" w14:textId="77777777" w:rsidR="009D1253" w:rsidRPr="00B2133F" w:rsidRDefault="009D1253" w:rsidP="009D1253">
                  <w:pPr>
                    <w:rPr>
                      <w:rFonts w:ascii="Tahoma" w:hAnsi="Tahoma" w:cs="Tahoma"/>
                      <w:sz w:val="18"/>
                      <w:szCs w:val="18"/>
                    </w:rPr>
                  </w:pPr>
                  <w:r w:rsidRPr="00B2133F">
                    <w:rPr>
                      <w:rFonts w:ascii="Tahoma" w:hAnsi="Tahoma" w:cs="Tahoma"/>
                      <w:sz w:val="18"/>
                      <w:szCs w:val="18"/>
                    </w:rPr>
                    <w:t>Виды (источники) дохода</w:t>
                  </w:r>
                </w:p>
              </w:tc>
              <w:tc>
                <w:tcPr>
                  <w:tcW w:w="8557" w:type="dxa"/>
                </w:tcPr>
                <w:p w14:paraId="373130B3"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t>Документы, подтверждающие финансовое состояние Заёмщика*</w:t>
                  </w:r>
                </w:p>
              </w:tc>
            </w:tr>
            <w:tr w:rsidR="009D1253" w:rsidRPr="00B2133F" w14:paraId="4C187E77" w14:textId="77777777" w:rsidTr="009D1253">
              <w:tc>
                <w:tcPr>
                  <w:tcW w:w="2096" w:type="dxa"/>
                </w:tcPr>
                <w:p w14:paraId="52340210"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t>Основное место работы</w:t>
                  </w:r>
                </w:p>
              </w:tc>
              <w:tc>
                <w:tcPr>
                  <w:tcW w:w="8557" w:type="dxa"/>
                </w:tcPr>
                <w:p w14:paraId="303FF0F6" w14:textId="77777777" w:rsidR="009D1253" w:rsidRDefault="009D1253" w:rsidP="009D1253">
                  <w:pPr>
                    <w:tabs>
                      <w:tab w:val="left" w:pos="6979"/>
                    </w:tabs>
                    <w:ind w:right="176"/>
                    <w:jc w:val="both"/>
                    <w:rPr>
                      <w:rFonts w:ascii="Tahoma" w:hAnsi="Tahoma" w:cs="Tahoma"/>
                      <w:sz w:val="18"/>
                      <w:szCs w:val="18"/>
                    </w:rPr>
                  </w:pPr>
                  <w:r w:rsidRPr="00B2133F">
                    <w:rPr>
                      <w:rFonts w:ascii="Tahoma" w:hAnsi="Tahoma" w:cs="Tahoma"/>
                      <w:sz w:val="18"/>
                      <w:szCs w:val="18"/>
                    </w:rPr>
                    <w:t>Один из следующих документов по выбору Заёмщика:</w:t>
                  </w:r>
                </w:p>
                <w:p w14:paraId="200BDC58" w14:textId="77777777" w:rsidR="009D1253" w:rsidRPr="002771C8" w:rsidRDefault="009D1253" w:rsidP="00B460F9">
                  <w:pPr>
                    <w:pStyle w:val="affe"/>
                    <w:numPr>
                      <w:ilvl w:val="0"/>
                      <w:numId w:val="184"/>
                    </w:numPr>
                    <w:tabs>
                      <w:tab w:val="left" w:pos="6979"/>
                    </w:tabs>
                    <w:ind w:left="226" w:hanging="226"/>
                    <w:jc w:val="both"/>
                    <w:rPr>
                      <w:rFonts w:ascii="Tahoma" w:hAnsi="Tahoma" w:cs="Tahoma"/>
                      <w:sz w:val="18"/>
                      <w:szCs w:val="18"/>
                    </w:rPr>
                  </w:pPr>
                  <w:r w:rsidRPr="002771C8">
                    <w:rPr>
                      <w:rFonts w:ascii="Tahoma" w:hAnsi="Tahoma" w:cs="Tahoma"/>
                      <w:sz w:val="18"/>
                      <w:szCs w:val="18"/>
                    </w:rPr>
                    <w:t>Справка о доходах и суммах налога физического лица или Справка о доходах и удержанных суммах по образцу государственного учреждения, внутренними распорядительными документами которого установлены ограничения на предоставление своим работникам справок о доходах и суммах налога физического лица**</w:t>
                  </w:r>
                </w:p>
                <w:p w14:paraId="0210E0AF" w14:textId="77777777" w:rsidR="009D1253" w:rsidRPr="005500FA" w:rsidRDefault="009D1253" w:rsidP="00B460F9">
                  <w:pPr>
                    <w:pStyle w:val="affe"/>
                    <w:numPr>
                      <w:ilvl w:val="0"/>
                      <w:numId w:val="184"/>
                    </w:numPr>
                    <w:tabs>
                      <w:tab w:val="left" w:pos="367"/>
                      <w:tab w:val="left" w:pos="7880"/>
                    </w:tabs>
                    <w:ind w:left="226" w:hanging="226"/>
                    <w:jc w:val="both"/>
                    <w:rPr>
                      <w:rFonts w:ascii="Tahoma" w:hAnsi="Tahoma" w:cs="Tahoma"/>
                      <w:sz w:val="18"/>
                      <w:szCs w:val="18"/>
                    </w:rPr>
                  </w:pPr>
                  <w:r w:rsidRPr="005500FA">
                    <w:rPr>
                      <w:rFonts w:ascii="Tahoma" w:hAnsi="Tahoma" w:cs="Tahoma"/>
                      <w:sz w:val="18"/>
                      <w:szCs w:val="18"/>
                    </w:rPr>
                    <w:t>Выписка о состоянии индивидуального лицевого счета застрахованного лица в системе обязательного пенсионного страхования***</w:t>
                  </w:r>
                </w:p>
                <w:p w14:paraId="5C883C57" w14:textId="77777777" w:rsidR="009D1253" w:rsidRPr="005500FA" w:rsidRDefault="009D1253" w:rsidP="00B460F9">
                  <w:pPr>
                    <w:pStyle w:val="affe"/>
                    <w:numPr>
                      <w:ilvl w:val="0"/>
                      <w:numId w:val="184"/>
                    </w:numPr>
                    <w:tabs>
                      <w:tab w:val="left" w:pos="6979"/>
                      <w:tab w:val="left" w:pos="7880"/>
                    </w:tabs>
                    <w:ind w:left="226" w:hanging="226"/>
                    <w:jc w:val="both"/>
                    <w:rPr>
                      <w:rFonts w:ascii="Tahoma" w:hAnsi="Tahoma" w:cs="Tahoma"/>
                      <w:sz w:val="18"/>
                      <w:szCs w:val="18"/>
                    </w:rPr>
                  </w:pPr>
                  <w:r w:rsidRPr="005500FA">
                    <w:rPr>
                      <w:rFonts w:ascii="Tahoma" w:hAnsi="Tahoma" w:cs="Tahoma"/>
                      <w:sz w:val="18"/>
                      <w:szCs w:val="18"/>
                    </w:rPr>
                    <w:t>Справка по форме Банка**</w:t>
                  </w:r>
                </w:p>
                <w:p w14:paraId="717FBA3C" w14:textId="77777777" w:rsidR="009D1253" w:rsidRPr="005500FA" w:rsidRDefault="009D1253" w:rsidP="00B460F9">
                  <w:pPr>
                    <w:pStyle w:val="affe"/>
                    <w:numPr>
                      <w:ilvl w:val="0"/>
                      <w:numId w:val="184"/>
                    </w:numPr>
                    <w:tabs>
                      <w:tab w:val="left" w:pos="6979"/>
                      <w:tab w:val="left" w:pos="7880"/>
                    </w:tabs>
                    <w:ind w:left="226" w:hanging="226"/>
                    <w:jc w:val="both"/>
                    <w:rPr>
                      <w:rFonts w:ascii="Tahoma" w:hAnsi="Tahoma" w:cs="Tahoma"/>
                      <w:sz w:val="18"/>
                      <w:szCs w:val="18"/>
                    </w:rPr>
                  </w:pPr>
                  <w:r w:rsidRPr="00DF7D87">
                    <w:rPr>
                      <w:rFonts w:ascii="Tahoma" w:hAnsi="Tahoma" w:cs="Tahoma"/>
                      <w:sz w:val="18"/>
                      <w:szCs w:val="18"/>
                    </w:rPr>
                    <w:t>Выписка с</w:t>
                  </w:r>
                  <w:r>
                    <w:rPr>
                      <w:rFonts w:ascii="Tahoma" w:hAnsi="Tahoma" w:cs="Tahoma"/>
                      <w:sz w:val="18"/>
                      <w:szCs w:val="18"/>
                    </w:rPr>
                    <w:t xml:space="preserve"> банковского</w:t>
                  </w:r>
                  <w:r w:rsidRPr="00DF7D87">
                    <w:rPr>
                      <w:rFonts w:ascii="Tahoma" w:hAnsi="Tahoma" w:cs="Tahoma"/>
                      <w:sz w:val="18"/>
                      <w:szCs w:val="18"/>
                    </w:rPr>
                    <w:t xml:space="preserve"> счета, на который осуществляются </w:t>
                  </w:r>
                  <w:r>
                    <w:rPr>
                      <w:rFonts w:ascii="Tahoma" w:hAnsi="Tahoma" w:cs="Tahoma"/>
                      <w:sz w:val="18"/>
                      <w:szCs w:val="18"/>
                    </w:rPr>
                    <w:t>зачисления заработной платы Заемщика</w:t>
                  </w:r>
                  <w:r w:rsidRPr="00DF7D87">
                    <w:rPr>
                      <w:rFonts w:ascii="Tahoma" w:hAnsi="Tahoma" w:cs="Tahoma"/>
                      <w:sz w:val="18"/>
                      <w:szCs w:val="18"/>
                    </w:rPr>
                    <w:t>, выданная кредитн</w:t>
                  </w:r>
                  <w:r>
                    <w:rPr>
                      <w:rFonts w:ascii="Tahoma" w:hAnsi="Tahoma" w:cs="Tahoma"/>
                      <w:sz w:val="18"/>
                      <w:szCs w:val="18"/>
                    </w:rPr>
                    <w:t>ой</w:t>
                  </w:r>
                  <w:r w:rsidRPr="00DF7D87">
                    <w:rPr>
                      <w:rFonts w:ascii="Tahoma" w:hAnsi="Tahoma" w:cs="Tahoma"/>
                      <w:sz w:val="18"/>
                      <w:szCs w:val="18"/>
                    </w:rPr>
                    <w:t xml:space="preserve"> организаци</w:t>
                  </w:r>
                  <w:r>
                    <w:rPr>
                      <w:rFonts w:ascii="Tahoma" w:hAnsi="Tahoma" w:cs="Tahoma"/>
                      <w:sz w:val="18"/>
                      <w:szCs w:val="18"/>
                    </w:rPr>
                    <w:t>ей</w:t>
                  </w:r>
                  <w:r w:rsidRPr="00DF7D87">
                    <w:rPr>
                      <w:rFonts w:ascii="Tahoma" w:hAnsi="Tahoma" w:cs="Tahoma"/>
                      <w:sz w:val="18"/>
                      <w:szCs w:val="18"/>
                    </w:rPr>
                    <w:t xml:space="preserve"> и заверенная печатью и подписью уполномоченного лица, в т.ч. </w:t>
                  </w:r>
                  <w:r w:rsidRPr="00040CA2">
                    <w:rPr>
                      <w:rFonts w:ascii="Tahoma" w:hAnsi="Tahoma" w:cs="Tahoma"/>
                      <w:sz w:val="18"/>
                      <w:szCs w:val="18"/>
                      <w:lang w:eastAsia="en-US"/>
                    </w:rPr>
                    <w:t>выписка с каналов дистанционного обслуживания кредитной организации</w:t>
                  </w:r>
                </w:p>
              </w:tc>
            </w:tr>
            <w:tr w:rsidR="009D1253" w:rsidRPr="00B2133F" w14:paraId="1300F445" w14:textId="77777777" w:rsidTr="009D1253">
              <w:tc>
                <w:tcPr>
                  <w:tcW w:w="2096" w:type="dxa"/>
                </w:tcPr>
                <w:p w14:paraId="62B88002"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t>Пенсия</w:t>
                  </w:r>
                </w:p>
              </w:tc>
              <w:tc>
                <w:tcPr>
                  <w:tcW w:w="8557" w:type="dxa"/>
                </w:tcPr>
                <w:p w14:paraId="5B13B254" w14:textId="77777777" w:rsidR="009D1253" w:rsidRDefault="009D1253" w:rsidP="009D1253">
                  <w:pPr>
                    <w:tabs>
                      <w:tab w:val="left" w:pos="6979"/>
                    </w:tabs>
                    <w:ind w:right="176"/>
                    <w:jc w:val="both"/>
                    <w:rPr>
                      <w:rFonts w:ascii="Tahoma" w:hAnsi="Tahoma" w:cs="Tahoma"/>
                      <w:sz w:val="18"/>
                      <w:szCs w:val="18"/>
                    </w:rPr>
                  </w:pPr>
                  <w:r w:rsidRPr="00B2133F">
                    <w:rPr>
                      <w:rFonts w:ascii="Tahoma" w:hAnsi="Tahoma" w:cs="Tahoma"/>
                      <w:sz w:val="18"/>
                      <w:szCs w:val="18"/>
                    </w:rPr>
                    <w:t>Один из следующих документов по выбору Заемщика****:</w:t>
                  </w:r>
                </w:p>
                <w:p w14:paraId="1DAD260C" w14:textId="77777777" w:rsidR="009D1253" w:rsidRPr="005500FA" w:rsidRDefault="009D1253" w:rsidP="00B460F9">
                  <w:pPr>
                    <w:pStyle w:val="affe"/>
                    <w:numPr>
                      <w:ilvl w:val="0"/>
                      <w:numId w:val="173"/>
                    </w:numPr>
                    <w:tabs>
                      <w:tab w:val="left" w:pos="6979"/>
                    </w:tabs>
                    <w:ind w:left="367" w:right="176"/>
                    <w:jc w:val="both"/>
                    <w:rPr>
                      <w:rFonts w:ascii="Tahoma" w:hAnsi="Tahoma" w:cs="Tahoma"/>
                      <w:sz w:val="18"/>
                      <w:szCs w:val="18"/>
                    </w:rPr>
                  </w:pPr>
                  <w:r w:rsidRPr="005500FA">
                    <w:rPr>
                      <w:rFonts w:ascii="Tahoma" w:hAnsi="Tahoma" w:cs="Tahoma"/>
                      <w:sz w:val="18"/>
                      <w:szCs w:val="18"/>
                    </w:rPr>
                    <w:lastRenderedPageBreak/>
                    <w:t>Выписка со счета, выданная кредитными организациями, на который осуществляются пенсионные выплаты</w:t>
                  </w:r>
                </w:p>
                <w:p w14:paraId="1699528F" w14:textId="77777777" w:rsidR="009D1253" w:rsidRPr="005500FA" w:rsidRDefault="009D1253" w:rsidP="00B460F9">
                  <w:pPr>
                    <w:pStyle w:val="affe"/>
                    <w:numPr>
                      <w:ilvl w:val="0"/>
                      <w:numId w:val="173"/>
                    </w:numPr>
                    <w:tabs>
                      <w:tab w:val="left" w:pos="6979"/>
                    </w:tabs>
                    <w:ind w:left="226" w:right="176" w:hanging="226"/>
                    <w:jc w:val="both"/>
                    <w:rPr>
                      <w:rFonts w:ascii="Tahoma" w:hAnsi="Tahoma" w:cs="Tahoma"/>
                      <w:sz w:val="18"/>
                      <w:szCs w:val="18"/>
                    </w:rPr>
                  </w:pPr>
                  <w:r w:rsidRPr="005500FA">
                    <w:rPr>
                      <w:rFonts w:ascii="Tahoma" w:hAnsi="Tahoma" w:cs="Tahoma"/>
                      <w:sz w:val="18"/>
                      <w:szCs w:val="18"/>
                    </w:rPr>
                    <w:t xml:space="preserve">Справка </w:t>
                  </w:r>
                  <w:r>
                    <w:rPr>
                      <w:rFonts w:ascii="Tahoma" w:hAnsi="Tahoma" w:cs="Tahoma"/>
                      <w:sz w:val="18"/>
                      <w:szCs w:val="18"/>
                    </w:rPr>
                    <w:t>Социального</w:t>
                  </w:r>
                  <w:r w:rsidRPr="005500FA">
                    <w:rPr>
                      <w:rFonts w:ascii="Tahoma" w:hAnsi="Tahoma" w:cs="Tahoma"/>
                      <w:sz w:val="18"/>
                      <w:szCs w:val="18"/>
                    </w:rPr>
                    <w:t xml:space="preserve"> фонда Российской Федерации или другого государственного органа, выплачивающего пенсию о размере пенсии, ежемесячного пожизненного содержания судьям или ежемесячной надбавки к денежному содержанию судьям о назначении пенсии /иной документ, подтверждающий право на получение пенсии, содержащий идентификационные данные Клиента и размера дохода (например, выписка из ФПСС)</w:t>
                  </w:r>
                </w:p>
              </w:tc>
            </w:tr>
            <w:tr w:rsidR="009D1253" w:rsidRPr="00B2133F" w14:paraId="7663D545" w14:textId="77777777" w:rsidTr="009D1253">
              <w:tc>
                <w:tcPr>
                  <w:tcW w:w="2096" w:type="dxa"/>
                </w:tcPr>
                <w:p w14:paraId="26A7B703"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lastRenderedPageBreak/>
                    <w:t>Место работы по совместительству</w:t>
                  </w:r>
                </w:p>
              </w:tc>
              <w:tc>
                <w:tcPr>
                  <w:tcW w:w="8557" w:type="dxa"/>
                </w:tcPr>
                <w:p w14:paraId="0B24AD8F" w14:textId="77777777" w:rsidR="009D1253" w:rsidRPr="00B2133F" w:rsidRDefault="009D1253" w:rsidP="009D1253">
                  <w:pPr>
                    <w:tabs>
                      <w:tab w:val="left" w:pos="6979"/>
                    </w:tabs>
                    <w:ind w:right="176"/>
                    <w:jc w:val="both"/>
                    <w:rPr>
                      <w:rFonts w:ascii="Tahoma" w:hAnsi="Tahoma" w:cs="Tahoma"/>
                      <w:sz w:val="18"/>
                      <w:szCs w:val="18"/>
                    </w:rPr>
                  </w:pPr>
                  <w:r w:rsidRPr="00B2133F">
                    <w:rPr>
                      <w:rFonts w:ascii="Tahoma" w:hAnsi="Tahoma" w:cs="Tahoma"/>
                      <w:sz w:val="18"/>
                      <w:szCs w:val="18"/>
                    </w:rPr>
                    <w:t>Один из следующих документов по выбору Заёмщика:</w:t>
                  </w:r>
                </w:p>
                <w:p w14:paraId="1922F4A8" w14:textId="77777777" w:rsidR="009D1253" w:rsidRPr="005500FA" w:rsidRDefault="009D1253" w:rsidP="00B460F9">
                  <w:pPr>
                    <w:pStyle w:val="affe"/>
                    <w:numPr>
                      <w:ilvl w:val="0"/>
                      <w:numId w:val="174"/>
                    </w:numPr>
                    <w:tabs>
                      <w:tab w:val="left" w:pos="6979"/>
                    </w:tabs>
                    <w:ind w:left="226" w:right="176" w:hanging="219"/>
                    <w:jc w:val="both"/>
                    <w:rPr>
                      <w:rFonts w:ascii="Tahoma" w:hAnsi="Tahoma" w:cs="Tahoma"/>
                      <w:sz w:val="18"/>
                      <w:szCs w:val="18"/>
                    </w:rPr>
                  </w:pPr>
                  <w:r w:rsidRPr="005500FA">
                    <w:rPr>
                      <w:rFonts w:ascii="Tahoma" w:hAnsi="Tahoma" w:cs="Tahoma"/>
                      <w:sz w:val="18"/>
                      <w:szCs w:val="18"/>
                    </w:rPr>
                    <w:t>Справка о доходах и суммах налога физического лица или Справка о доходах и удержанных суммах по образцу государственного учреждения, внутренними распорядительными документами которого установлены ограничения на предоставление своим работникам справок о доходах и суммах налога физического лица**</w:t>
                  </w:r>
                </w:p>
                <w:p w14:paraId="6D10A33A" w14:textId="77777777" w:rsidR="009D1253" w:rsidRPr="005500FA" w:rsidRDefault="009D1253" w:rsidP="00B460F9">
                  <w:pPr>
                    <w:pStyle w:val="affe"/>
                    <w:numPr>
                      <w:ilvl w:val="0"/>
                      <w:numId w:val="174"/>
                    </w:numPr>
                    <w:tabs>
                      <w:tab w:val="left" w:pos="6979"/>
                    </w:tabs>
                    <w:ind w:left="226" w:right="176" w:hanging="226"/>
                    <w:jc w:val="both"/>
                    <w:rPr>
                      <w:rFonts w:ascii="Tahoma" w:hAnsi="Tahoma" w:cs="Tahoma"/>
                      <w:sz w:val="18"/>
                      <w:szCs w:val="18"/>
                    </w:rPr>
                  </w:pPr>
                  <w:r w:rsidRPr="005500FA">
                    <w:rPr>
                      <w:rFonts w:ascii="Tahoma" w:hAnsi="Tahoma" w:cs="Tahoma"/>
                      <w:sz w:val="18"/>
                      <w:szCs w:val="18"/>
                    </w:rPr>
                    <w:t>Выписка о состоянии индивидуального лицевого счета застрахованного лица в системе обязательного пенсионного страхования***</w:t>
                  </w:r>
                </w:p>
                <w:p w14:paraId="3252CBE0" w14:textId="77777777" w:rsidR="009D1253" w:rsidRPr="005500FA" w:rsidRDefault="009D1253" w:rsidP="00B460F9">
                  <w:pPr>
                    <w:pStyle w:val="affe"/>
                    <w:numPr>
                      <w:ilvl w:val="0"/>
                      <w:numId w:val="174"/>
                    </w:numPr>
                    <w:tabs>
                      <w:tab w:val="left" w:pos="2919"/>
                    </w:tabs>
                    <w:ind w:left="226" w:right="176" w:hanging="226"/>
                    <w:jc w:val="both"/>
                    <w:rPr>
                      <w:rFonts w:ascii="Tahoma" w:hAnsi="Tahoma" w:cs="Tahoma"/>
                      <w:sz w:val="18"/>
                      <w:szCs w:val="18"/>
                    </w:rPr>
                  </w:pPr>
                  <w:r w:rsidRPr="005500FA">
                    <w:rPr>
                      <w:rFonts w:ascii="Tahoma" w:hAnsi="Tahoma" w:cs="Tahoma"/>
                      <w:sz w:val="18"/>
                      <w:szCs w:val="18"/>
                    </w:rPr>
                    <w:t>Справка по форме Банка**</w:t>
                  </w:r>
                </w:p>
                <w:p w14:paraId="2D64281E" w14:textId="77777777" w:rsidR="009D1253" w:rsidRPr="005500FA" w:rsidRDefault="009D1253" w:rsidP="00B460F9">
                  <w:pPr>
                    <w:pStyle w:val="affe"/>
                    <w:numPr>
                      <w:ilvl w:val="0"/>
                      <w:numId w:val="174"/>
                    </w:numPr>
                    <w:tabs>
                      <w:tab w:val="left" w:pos="6979"/>
                    </w:tabs>
                    <w:ind w:left="226" w:right="176" w:hanging="226"/>
                    <w:jc w:val="both"/>
                    <w:rPr>
                      <w:rFonts w:ascii="Tahoma" w:hAnsi="Tahoma" w:cs="Tahoma"/>
                      <w:sz w:val="18"/>
                      <w:szCs w:val="18"/>
                    </w:rPr>
                  </w:pPr>
                  <w:r w:rsidRPr="00DF7D87">
                    <w:rPr>
                      <w:rFonts w:ascii="Tahoma" w:hAnsi="Tahoma" w:cs="Tahoma"/>
                      <w:sz w:val="18"/>
                      <w:szCs w:val="18"/>
                    </w:rPr>
                    <w:t>Выписка с</w:t>
                  </w:r>
                  <w:r>
                    <w:rPr>
                      <w:rFonts w:ascii="Tahoma" w:hAnsi="Tahoma" w:cs="Tahoma"/>
                      <w:sz w:val="18"/>
                      <w:szCs w:val="18"/>
                    </w:rPr>
                    <w:t xml:space="preserve"> банковского</w:t>
                  </w:r>
                  <w:r w:rsidRPr="00DF7D87">
                    <w:rPr>
                      <w:rFonts w:ascii="Tahoma" w:hAnsi="Tahoma" w:cs="Tahoma"/>
                      <w:sz w:val="18"/>
                      <w:szCs w:val="18"/>
                    </w:rPr>
                    <w:t xml:space="preserve"> счета, на который осуществляются </w:t>
                  </w:r>
                  <w:r>
                    <w:rPr>
                      <w:rFonts w:ascii="Tahoma" w:hAnsi="Tahoma" w:cs="Tahoma"/>
                      <w:sz w:val="18"/>
                      <w:szCs w:val="18"/>
                    </w:rPr>
                    <w:t>зачисления заработной платы Заемщика</w:t>
                  </w:r>
                  <w:r w:rsidRPr="00DF7D87">
                    <w:rPr>
                      <w:rFonts w:ascii="Tahoma" w:hAnsi="Tahoma" w:cs="Tahoma"/>
                      <w:sz w:val="18"/>
                      <w:szCs w:val="18"/>
                    </w:rPr>
                    <w:t>, выданная кредитн</w:t>
                  </w:r>
                  <w:r>
                    <w:rPr>
                      <w:rFonts w:ascii="Tahoma" w:hAnsi="Tahoma" w:cs="Tahoma"/>
                      <w:sz w:val="18"/>
                      <w:szCs w:val="18"/>
                    </w:rPr>
                    <w:t>ой</w:t>
                  </w:r>
                  <w:r w:rsidRPr="00DF7D87">
                    <w:rPr>
                      <w:rFonts w:ascii="Tahoma" w:hAnsi="Tahoma" w:cs="Tahoma"/>
                      <w:sz w:val="18"/>
                      <w:szCs w:val="18"/>
                    </w:rPr>
                    <w:t xml:space="preserve"> организаци</w:t>
                  </w:r>
                  <w:r>
                    <w:rPr>
                      <w:rFonts w:ascii="Tahoma" w:hAnsi="Tahoma" w:cs="Tahoma"/>
                      <w:sz w:val="18"/>
                      <w:szCs w:val="18"/>
                    </w:rPr>
                    <w:t>ей</w:t>
                  </w:r>
                  <w:r w:rsidRPr="00DF7D87">
                    <w:rPr>
                      <w:rFonts w:ascii="Tahoma" w:hAnsi="Tahoma" w:cs="Tahoma"/>
                      <w:sz w:val="18"/>
                      <w:szCs w:val="18"/>
                    </w:rPr>
                    <w:t xml:space="preserve"> и заверенная печатью и подписью уполномоченного лица, в т.ч. </w:t>
                  </w:r>
                  <w:r w:rsidRPr="00040CA2">
                    <w:rPr>
                      <w:rFonts w:ascii="Tahoma" w:hAnsi="Tahoma" w:cs="Tahoma"/>
                      <w:sz w:val="18"/>
                      <w:szCs w:val="18"/>
                      <w:lang w:eastAsia="en-US"/>
                    </w:rPr>
                    <w:t>выписка с каналов дистанционного обслуживания кредитной организации</w:t>
                  </w:r>
                </w:p>
              </w:tc>
            </w:tr>
            <w:tr w:rsidR="009D1253" w:rsidRPr="00B2133F" w14:paraId="355FC448" w14:textId="77777777" w:rsidTr="009D1253">
              <w:tc>
                <w:tcPr>
                  <w:tcW w:w="2096" w:type="dxa"/>
                </w:tcPr>
                <w:p w14:paraId="6EF9B81E"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t>Предпринимательская деятельность без образования юридического лица / частная практика</w:t>
                  </w:r>
                </w:p>
              </w:tc>
              <w:tc>
                <w:tcPr>
                  <w:tcW w:w="8557" w:type="dxa"/>
                </w:tcPr>
                <w:p w14:paraId="7D194112" w14:textId="77777777" w:rsidR="009D1253" w:rsidRPr="00B2133F" w:rsidRDefault="009D1253" w:rsidP="009D1253">
                  <w:pPr>
                    <w:tabs>
                      <w:tab w:val="left" w:pos="6979"/>
                    </w:tabs>
                    <w:ind w:right="176"/>
                    <w:jc w:val="both"/>
                    <w:rPr>
                      <w:rFonts w:ascii="Tahoma" w:hAnsi="Tahoma" w:cs="Tahoma"/>
                      <w:sz w:val="18"/>
                      <w:szCs w:val="18"/>
                    </w:rPr>
                  </w:pPr>
                  <w:r w:rsidRPr="00B2133F">
                    <w:rPr>
                      <w:rFonts w:ascii="Tahoma" w:hAnsi="Tahoma" w:cs="Tahoma"/>
                      <w:sz w:val="18"/>
                      <w:szCs w:val="18"/>
                    </w:rPr>
                    <w:t xml:space="preserve">Один или совокупность из следующих документов: </w:t>
                  </w:r>
                </w:p>
                <w:p w14:paraId="4CE23837" w14:textId="77777777" w:rsidR="009D1253" w:rsidRDefault="009D1253" w:rsidP="00B460F9">
                  <w:pPr>
                    <w:pStyle w:val="affe"/>
                    <w:numPr>
                      <w:ilvl w:val="0"/>
                      <w:numId w:val="175"/>
                    </w:numPr>
                    <w:tabs>
                      <w:tab w:val="num" w:pos="360"/>
                      <w:tab w:val="left" w:pos="6979"/>
                    </w:tabs>
                    <w:ind w:left="367" w:right="176" w:hanging="367"/>
                    <w:contextualSpacing/>
                    <w:jc w:val="both"/>
                    <w:rPr>
                      <w:rFonts w:ascii="Tahoma" w:hAnsi="Tahoma" w:cs="Tahoma"/>
                      <w:sz w:val="18"/>
                      <w:szCs w:val="18"/>
                    </w:rPr>
                  </w:pPr>
                  <w:r w:rsidRPr="00AC74CA">
                    <w:rPr>
                      <w:rFonts w:ascii="Tahoma" w:hAnsi="Tahoma" w:cs="Tahoma"/>
                      <w:sz w:val="18"/>
                      <w:szCs w:val="18"/>
                    </w:rPr>
                    <w:t>Налоговая декларация с копиями квитанций (платежных поручений) об уплате налогов за налоговые периоды, соответствующие периоду</w:t>
                  </w:r>
                  <w:r>
                    <w:rPr>
                      <w:rFonts w:ascii="Tahoma" w:hAnsi="Tahoma" w:cs="Tahoma"/>
                      <w:sz w:val="18"/>
                      <w:szCs w:val="18"/>
                    </w:rPr>
                    <w:t xml:space="preserve"> расчета среднемесячного дохода</w:t>
                  </w:r>
                </w:p>
                <w:p w14:paraId="1D936662" w14:textId="77777777" w:rsidR="009D1253" w:rsidRDefault="009D1253" w:rsidP="00B460F9">
                  <w:pPr>
                    <w:pStyle w:val="affe"/>
                    <w:numPr>
                      <w:ilvl w:val="0"/>
                      <w:numId w:val="175"/>
                    </w:numPr>
                    <w:tabs>
                      <w:tab w:val="num" w:pos="360"/>
                      <w:tab w:val="left" w:pos="6979"/>
                    </w:tabs>
                    <w:ind w:left="367" w:right="176"/>
                    <w:contextualSpacing/>
                    <w:jc w:val="both"/>
                    <w:rPr>
                      <w:rFonts w:ascii="Tahoma" w:hAnsi="Tahoma" w:cs="Tahoma"/>
                      <w:sz w:val="18"/>
                      <w:szCs w:val="18"/>
                    </w:rPr>
                  </w:pPr>
                  <w:r w:rsidRPr="00AC74CA">
                    <w:rPr>
                      <w:rFonts w:ascii="Tahoma" w:hAnsi="Tahoma" w:cs="Tahoma"/>
                      <w:sz w:val="18"/>
                      <w:szCs w:val="18"/>
                    </w:rPr>
                    <w:t>Книга учета доходов и расходов и хозяйственных операций ИП</w:t>
                  </w:r>
                </w:p>
                <w:p w14:paraId="3ACB6D42" w14:textId="77777777" w:rsidR="009D1253" w:rsidRPr="00A975CD" w:rsidRDefault="009D1253" w:rsidP="00B460F9">
                  <w:pPr>
                    <w:pStyle w:val="affe"/>
                    <w:numPr>
                      <w:ilvl w:val="0"/>
                      <w:numId w:val="175"/>
                    </w:numPr>
                    <w:tabs>
                      <w:tab w:val="num" w:pos="360"/>
                    </w:tabs>
                    <w:autoSpaceDE w:val="0"/>
                    <w:autoSpaceDN w:val="0"/>
                    <w:ind w:left="367"/>
                    <w:rPr>
                      <w:rFonts w:ascii="Tahoma" w:hAnsi="Tahoma" w:cs="Tahoma"/>
                      <w:sz w:val="18"/>
                      <w:szCs w:val="18"/>
                    </w:rPr>
                  </w:pPr>
                  <w:r w:rsidRPr="00A975CD">
                    <w:rPr>
                      <w:rFonts w:ascii="Tahoma" w:hAnsi="Tahoma" w:cs="Tahoma"/>
                      <w:sz w:val="18"/>
                      <w:szCs w:val="18"/>
                    </w:rPr>
                    <w:t xml:space="preserve">Выписки по счетам ИП, в т.ч. сформированные из мобильного приложения, заверенные кредитной организацией </w:t>
                  </w:r>
                  <w:r w:rsidRPr="007A6339">
                    <w:rPr>
                      <w:rFonts w:ascii="Tahoma" w:hAnsi="Tahoma" w:cs="Tahoma"/>
                      <w:sz w:val="18"/>
                      <w:szCs w:val="18"/>
                    </w:rPr>
                    <w:t xml:space="preserve">(формат </w:t>
                  </w:r>
                  <w:r w:rsidRPr="007A6339">
                    <w:rPr>
                      <w:rFonts w:ascii="Tahoma" w:hAnsi="Tahoma" w:cs="Tahoma"/>
                      <w:sz w:val="18"/>
                      <w:szCs w:val="18"/>
                      <w:lang w:val="en-US"/>
                    </w:rPr>
                    <w:t>pdf</w:t>
                  </w:r>
                  <w:r w:rsidRPr="007A6339">
                    <w:rPr>
                      <w:rFonts w:ascii="Tahoma" w:hAnsi="Tahoma" w:cs="Tahoma"/>
                      <w:sz w:val="18"/>
                      <w:szCs w:val="18"/>
                    </w:rPr>
                    <w:t>+</w:t>
                  </w:r>
                  <w:r w:rsidRPr="007A6339">
                    <w:rPr>
                      <w:rFonts w:ascii="Tahoma" w:hAnsi="Tahoma" w:cs="Tahoma"/>
                      <w:sz w:val="18"/>
                      <w:szCs w:val="18"/>
                      <w:lang w:val="en-US"/>
                    </w:rPr>
                    <w:t>excel</w:t>
                  </w:r>
                  <w:r w:rsidRPr="007A6339">
                    <w:rPr>
                      <w:rFonts w:ascii="Tahoma" w:hAnsi="Tahoma" w:cs="Tahoma"/>
                      <w:sz w:val="18"/>
                      <w:szCs w:val="18"/>
                    </w:rPr>
                    <w:t>)</w:t>
                  </w:r>
                </w:p>
                <w:p w14:paraId="292B4489" w14:textId="77777777" w:rsidR="009D1253" w:rsidRDefault="009D1253" w:rsidP="00B460F9">
                  <w:pPr>
                    <w:pStyle w:val="affe"/>
                    <w:numPr>
                      <w:ilvl w:val="0"/>
                      <w:numId w:val="175"/>
                    </w:numPr>
                    <w:tabs>
                      <w:tab w:val="num" w:pos="360"/>
                      <w:tab w:val="left" w:pos="6979"/>
                    </w:tabs>
                    <w:ind w:left="367" w:right="176"/>
                    <w:contextualSpacing/>
                    <w:jc w:val="both"/>
                    <w:rPr>
                      <w:rFonts w:ascii="Tahoma" w:hAnsi="Tahoma" w:cs="Tahoma"/>
                      <w:sz w:val="18"/>
                      <w:szCs w:val="18"/>
                    </w:rPr>
                  </w:pPr>
                  <w:r w:rsidRPr="00DF7D87">
                    <w:rPr>
                      <w:rFonts w:ascii="Tahoma" w:hAnsi="Tahoma" w:cs="Tahoma"/>
                      <w:sz w:val="18"/>
                      <w:szCs w:val="18"/>
                    </w:rPr>
                    <w:t>Для лиц, применяющих специальный налоговый режим «Налог на профессиональный доход» (самозанятые граждане)</w:t>
                  </w:r>
                  <w:r w:rsidRPr="00AC74CA">
                    <w:rPr>
                      <w:rFonts w:ascii="Tahoma" w:hAnsi="Tahoma" w:cs="Tahoma"/>
                      <w:sz w:val="18"/>
                      <w:szCs w:val="18"/>
                    </w:rPr>
                    <w:t>:</w:t>
                  </w:r>
                </w:p>
                <w:p w14:paraId="7BF10126" w14:textId="77777777" w:rsidR="009D1253" w:rsidRPr="002771C8" w:rsidRDefault="009D1253" w:rsidP="00A44EB4">
                  <w:pPr>
                    <w:pStyle w:val="affe"/>
                    <w:numPr>
                      <w:ilvl w:val="1"/>
                      <w:numId w:val="161"/>
                    </w:numPr>
                    <w:tabs>
                      <w:tab w:val="left" w:pos="6979"/>
                    </w:tabs>
                    <w:ind w:left="367" w:right="176" w:hanging="367"/>
                    <w:contextualSpacing/>
                    <w:jc w:val="both"/>
                    <w:rPr>
                      <w:rFonts w:ascii="Tahoma" w:hAnsi="Tahoma" w:cs="Tahoma"/>
                      <w:sz w:val="18"/>
                      <w:szCs w:val="18"/>
                    </w:rPr>
                  </w:pPr>
                  <w:r w:rsidRPr="002771C8">
                    <w:rPr>
                      <w:rFonts w:ascii="Tahoma" w:hAnsi="Tahoma" w:cs="Tahoma"/>
                      <w:sz w:val="18"/>
                      <w:szCs w:val="18"/>
                    </w:rPr>
                    <w:t>справка о постановке на учет (снятии с учета) физического лица в качестве плательщика налога на профессиональный доход (КНД 1122035)</w:t>
                  </w:r>
                </w:p>
                <w:p w14:paraId="67C616A6" w14:textId="77777777" w:rsidR="009D1253" w:rsidRPr="002771C8" w:rsidRDefault="009D1253" w:rsidP="00A44EB4">
                  <w:pPr>
                    <w:pStyle w:val="affe"/>
                    <w:numPr>
                      <w:ilvl w:val="1"/>
                      <w:numId w:val="160"/>
                    </w:numPr>
                    <w:tabs>
                      <w:tab w:val="left" w:pos="6979"/>
                    </w:tabs>
                    <w:ind w:left="367" w:right="176" w:hanging="367"/>
                    <w:contextualSpacing/>
                    <w:jc w:val="both"/>
                    <w:rPr>
                      <w:rFonts w:ascii="Tahoma" w:hAnsi="Tahoma" w:cs="Tahoma"/>
                      <w:sz w:val="18"/>
                      <w:szCs w:val="18"/>
                    </w:rPr>
                  </w:pPr>
                  <w:r w:rsidRPr="002771C8">
                    <w:rPr>
                      <w:rFonts w:ascii="Tahoma" w:hAnsi="Tahoma" w:cs="Tahoma"/>
                      <w:sz w:val="18"/>
                      <w:szCs w:val="18"/>
                    </w:rPr>
                    <w:t>справка о состоянии расчетов (доходах) по налогу на профессиональный доход (КНД 1122036)</w:t>
                  </w:r>
                </w:p>
              </w:tc>
            </w:tr>
            <w:tr w:rsidR="009D1253" w:rsidRPr="00B2133F" w14:paraId="3224ACE2" w14:textId="77777777" w:rsidTr="009D1253">
              <w:tc>
                <w:tcPr>
                  <w:tcW w:w="2096" w:type="dxa"/>
                </w:tcPr>
                <w:p w14:paraId="35F9E02A"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t>Сдача в аренду помещения</w:t>
                  </w:r>
                </w:p>
              </w:tc>
              <w:tc>
                <w:tcPr>
                  <w:tcW w:w="8557" w:type="dxa"/>
                </w:tcPr>
                <w:p w14:paraId="4E197536" w14:textId="77777777" w:rsidR="009D1253" w:rsidRPr="005500FA" w:rsidRDefault="009D1253" w:rsidP="00B460F9">
                  <w:pPr>
                    <w:pStyle w:val="affe"/>
                    <w:numPr>
                      <w:ilvl w:val="0"/>
                      <w:numId w:val="176"/>
                    </w:numPr>
                    <w:tabs>
                      <w:tab w:val="num" w:pos="360"/>
                      <w:tab w:val="left" w:pos="6979"/>
                    </w:tabs>
                    <w:ind w:left="367" w:right="176" w:hanging="367"/>
                    <w:jc w:val="both"/>
                    <w:rPr>
                      <w:rFonts w:ascii="Tahoma" w:hAnsi="Tahoma" w:cs="Tahoma"/>
                      <w:sz w:val="18"/>
                      <w:szCs w:val="18"/>
                    </w:rPr>
                  </w:pPr>
                  <w:r w:rsidRPr="005500FA">
                    <w:rPr>
                      <w:rFonts w:ascii="Tahoma" w:hAnsi="Tahoma" w:cs="Tahoma"/>
                      <w:sz w:val="18"/>
                      <w:szCs w:val="18"/>
                    </w:rPr>
                    <w:t>Документ, подтверждающий право собственности Заёмщика на помещение</w:t>
                  </w:r>
                </w:p>
                <w:p w14:paraId="41B27D2C" w14:textId="77777777" w:rsidR="009D1253" w:rsidRPr="005500FA" w:rsidRDefault="009D1253" w:rsidP="00B460F9">
                  <w:pPr>
                    <w:pStyle w:val="affe"/>
                    <w:numPr>
                      <w:ilvl w:val="0"/>
                      <w:numId w:val="176"/>
                    </w:numPr>
                    <w:tabs>
                      <w:tab w:val="num" w:pos="360"/>
                      <w:tab w:val="left" w:pos="6979"/>
                    </w:tabs>
                    <w:ind w:left="367" w:right="176"/>
                    <w:jc w:val="both"/>
                    <w:rPr>
                      <w:rFonts w:ascii="Tahoma" w:hAnsi="Tahoma" w:cs="Tahoma"/>
                      <w:sz w:val="18"/>
                      <w:szCs w:val="18"/>
                    </w:rPr>
                  </w:pPr>
                  <w:r w:rsidRPr="005500FA">
                    <w:rPr>
                      <w:rFonts w:ascii="Tahoma" w:hAnsi="Tahoma" w:cs="Tahoma"/>
                      <w:sz w:val="18"/>
                      <w:szCs w:val="18"/>
                    </w:rPr>
                    <w:t>Договор аренды помещения</w:t>
                  </w:r>
                </w:p>
                <w:p w14:paraId="7778D1AE" w14:textId="77777777" w:rsidR="009D1253" w:rsidRPr="005500FA" w:rsidRDefault="009D1253" w:rsidP="00B460F9">
                  <w:pPr>
                    <w:pStyle w:val="affe"/>
                    <w:numPr>
                      <w:ilvl w:val="0"/>
                      <w:numId w:val="176"/>
                    </w:numPr>
                    <w:tabs>
                      <w:tab w:val="num" w:pos="360"/>
                      <w:tab w:val="left" w:pos="6979"/>
                    </w:tabs>
                    <w:ind w:left="367" w:right="176"/>
                    <w:jc w:val="both"/>
                    <w:rPr>
                      <w:rFonts w:ascii="Tahoma" w:hAnsi="Tahoma" w:cs="Tahoma"/>
                      <w:sz w:val="18"/>
                      <w:szCs w:val="18"/>
                    </w:rPr>
                  </w:pPr>
                  <w:r w:rsidRPr="005500FA">
                    <w:rPr>
                      <w:rFonts w:ascii="Tahoma" w:hAnsi="Tahoma" w:cs="Tahoma"/>
                      <w:sz w:val="18"/>
                      <w:szCs w:val="18"/>
                    </w:rPr>
                    <w:t>Выписка со счета, выданная кредитными организациями, на который осуществляются регулярные выплаты Заёмщику доходов от сдачи внаем (в аренду) недвижимого имущества (при условии подтверждения права собственности (владения) этим имуществом), в т.ч. сформированная  из мобильного Банка</w:t>
                  </w:r>
                </w:p>
                <w:p w14:paraId="7110F219" w14:textId="77777777" w:rsidR="009D1253" w:rsidRPr="005500FA" w:rsidRDefault="009D1253" w:rsidP="00B460F9">
                  <w:pPr>
                    <w:pStyle w:val="affe"/>
                    <w:numPr>
                      <w:ilvl w:val="0"/>
                      <w:numId w:val="176"/>
                    </w:numPr>
                    <w:tabs>
                      <w:tab w:val="num" w:pos="360"/>
                      <w:tab w:val="left" w:pos="6979"/>
                    </w:tabs>
                    <w:ind w:left="367" w:right="176"/>
                    <w:jc w:val="both"/>
                    <w:rPr>
                      <w:rFonts w:ascii="Tahoma" w:hAnsi="Tahoma" w:cs="Tahoma"/>
                      <w:sz w:val="18"/>
                      <w:szCs w:val="18"/>
                    </w:rPr>
                  </w:pPr>
                  <w:r w:rsidRPr="005500FA">
                    <w:rPr>
                      <w:rFonts w:ascii="Tahoma" w:hAnsi="Tahoma" w:cs="Tahoma"/>
                      <w:sz w:val="18"/>
                      <w:szCs w:val="18"/>
                    </w:rPr>
                    <w:t>Копия налоговой декларации по налогу на доходы физических лиц (форма 3-НДФЛ) и копии платежных документов, подтверждающих уплату налогов и сборов по договорам аренды/найма за последний налоговый период</w:t>
                  </w:r>
                </w:p>
              </w:tc>
            </w:tr>
            <w:tr w:rsidR="009D1253" w:rsidRPr="00B2133F" w14:paraId="562A2AB2" w14:textId="77777777" w:rsidTr="009D1253">
              <w:tc>
                <w:tcPr>
                  <w:tcW w:w="2096" w:type="dxa"/>
                </w:tcPr>
                <w:p w14:paraId="4409210F"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t>Вознаграждения по договорам гражданско-правового характера</w:t>
                  </w:r>
                </w:p>
              </w:tc>
              <w:tc>
                <w:tcPr>
                  <w:tcW w:w="8557" w:type="dxa"/>
                </w:tcPr>
                <w:p w14:paraId="2D4616D0" w14:textId="77777777" w:rsidR="009D1253" w:rsidRPr="002771C8" w:rsidRDefault="009D1253" w:rsidP="00B460F9">
                  <w:pPr>
                    <w:pStyle w:val="affe"/>
                    <w:numPr>
                      <w:ilvl w:val="0"/>
                      <w:numId w:val="176"/>
                    </w:numPr>
                    <w:tabs>
                      <w:tab w:val="num" w:pos="360"/>
                      <w:tab w:val="left" w:pos="6979"/>
                    </w:tabs>
                    <w:ind w:left="367" w:right="176"/>
                    <w:jc w:val="both"/>
                    <w:rPr>
                      <w:rFonts w:ascii="Tahoma" w:hAnsi="Tahoma" w:cs="Tahoma"/>
                      <w:sz w:val="18"/>
                      <w:szCs w:val="18"/>
                    </w:rPr>
                  </w:pPr>
                  <w:r w:rsidRPr="002771C8">
                    <w:rPr>
                      <w:rFonts w:ascii="Tahoma" w:hAnsi="Tahoma" w:cs="Tahoma"/>
                      <w:sz w:val="18"/>
                      <w:szCs w:val="18"/>
                    </w:rPr>
                    <w:t>Договор</w:t>
                  </w:r>
                </w:p>
                <w:p w14:paraId="74E605A5" w14:textId="77777777" w:rsidR="009D1253" w:rsidRDefault="009D1253" w:rsidP="00B460F9">
                  <w:pPr>
                    <w:pStyle w:val="affe"/>
                    <w:numPr>
                      <w:ilvl w:val="0"/>
                      <w:numId w:val="176"/>
                    </w:numPr>
                    <w:tabs>
                      <w:tab w:val="num" w:pos="360"/>
                      <w:tab w:val="left" w:pos="6979"/>
                    </w:tabs>
                    <w:ind w:left="367" w:right="176"/>
                    <w:jc w:val="both"/>
                    <w:rPr>
                      <w:rFonts w:ascii="Tahoma" w:hAnsi="Tahoma" w:cs="Tahoma"/>
                      <w:sz w:val="18"/>
                      <w:szCs w:val="18"/>
                    </w:rPr>
                  </w:pPr>
                  <w:r w:rsidRPr="00F33745">
                    <w:rPr>
                      <w:rFonts w:ascii="Tahoma" w:hAnsi="Tahoma" w:cs="Tahoma"/>
                      <w:sz w:val="18"/>
                      <w:szCs w:val="18"/>
                    </w:rPr>
                    <w:t>Один из следующи</w:t>
                  </w:r>
                  <w:r>
                    <w:rPr>
                      <w:rFonts w:ascii="Tahoma" w:hAnsi="Tahoma" w:cs="Tahoma"/>
                      <w:sz w:val="18"/>
                      <w:szCs w:val="18"/>
                    </w:rPr>
                    <w:t>х документов по выбору Заёмщика:</w:t>
                  </w:r>
                </w:p>
                <w:p w14:paraId="37739436" w14:textId="77777777" w:rsidR="009D1253" w:rsidRPr="002771C8" w:rsidRDefault="009D1253" w:rsidP="009D1253">
                  <w:pPr>
                    <w:pStyle w:val="affe"/>
                    <w:numPr>
                      <w:ilvl w:val="1"/>
                      <w:numId w:val="131"/>
                    </w:numPr>
                    <w:tabs>
                      <w:tab w:val="left" w:pos="6979"/>
                    </w:tabs>
                    <w:ind w:left="367" w:right="176" w:hanging="367"/>
                    <w:jc w:val="both"/>
                    <w:rPr>
                      <w:rFonts w:ascii="Tahoma" w:hAnsi="Tahoma" w:cs="Tahoma"/>
                      <w:sz w:val="18"/>
                      <w:szCs w:val="18"/>
                    </w:rPr>
                  </w:pPr>
                  <w:r w:rsidRPr="002771C8">
                    <w:rPr>
                      <w:rFonts w:ascii="Tahoma" w:hAnsi="Tahoma" w:cs="Tahoma"/>
                      <w:sz w:val="18"/>
                      <w:szCs w:val="18"/>
                    </w:rPr>
                    <w:t>копия налоговой декларации по форме 3-НДФЛ</w:t>
                  </w:r>
                </w:p>
                <w:p w14:paraId="6809AC76" w14:textId="77777777" w:rsidR="009D1253" w:rsidRPr="002771C8" w:rsidRDefault="009D1253" w:rsidP="009D1253">
                  <w:pPr>
                    <w:pStyle w:val="affe"/>
                    <w:numPr>
                      <w:ilvl w:val="1"/>
                      <w:numId w:val="131"/>
                    </w:numPr>
                    <w:tabs>
                      <w:tab w:val="left" w:pos="6979"/>
                    </w:tabs>
                    <w:ind w:left="367" w:right="176" w:hanging="367"/>
                    <w:jc w:val="both"/>
                    <w:rPr>
                      <w:rFonts w:ascii="Tahoma" w:hAnsi="Tahoma" w:cs="Tahoma"/>
                      <w:sz w:val="18"/>
                      <w:szCs w:val="18"/>
                    </w:rPr>
                  </w:pPr>
                  <w:r w:rsidRPr="002771C8">
                    <w:rPr>
                      <w:rFonts w:ascii="Tahoma" w:hAnsi="Tahoma" w:cs="Tahoma"/>
                      <w:sz w:val="18"/>
                      <w:szCs w:val="18"/>
                    </w:rPr>
                    <w:t>справка о доходах и суммах налога физического лица**</w:t>
                  </w:r>
                </w:p>
              </w:tc>
            </w:tr>
            <w:tr w:rsidR="009D1253" w:rsidRPr="00B2133F" w14:paraId="08469E03" w14:textId="77777777" w:rsidTr="009D1253">
              <w:tc>
                <w:tcPr>
                  <w:tcW w:w="2096" w:type="dxa"/>
                </w:tcPr>
                <w:p w14:paraId="2AB4C3DC"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lastRenderedPageBreak/>
                    <w:t>Прочие виды (источники) дохода</w:t>
                  </w:r>
                </w:p>
              </w:tc>
              <w:tc>
                <w:tcPr>
                  <w:tcW w:w="8557" w:type="dxa"/>
                </w:tcPr>
                <w:p w14:paraId="73CA968D" w14:textId="77777777" w:rsidR="009D1253" w:rsidRDefault="009D1253" w:rsidP="00B460F9">
                  <w:pPr>
                    <w:numPr>
                      <w:ilvl w:val="0"/>
                      <w:numId w:val="176"/>
                    </w:numPr>
                    <w:tabs>
                      <w:tab w:val="left" w:pos="84"/>
                      <w:tab w:val="num" w:pos="360"/>
                    </w:tabs>
                    <w:ind w:left="367" w:right="178"/>
                    <w:jc w:val="both"/>
                    <w:textAlignment w:val="baseline"/>
                    <w:rPr>
                      <w:rFonts w:ascii="Tahoma" w:hAnsi="Tahoma" w:cs="Tahoma"/>
                      <w:sz w:val="18"/>
                      <w:szCs w:val="18"/>
                      <w:lang w:eastAsia="en-US"/>
                    </w:rPr>
                  </w:pPr>
                  <w:r w:rsidRPr="00B2133F">
                    <w:rPr>
                      <w:rFonts w:ascii="Tahoma" w:hAnsi="Tahoma" w:cs="Tahoma"/>
                      <w:sz w:val="18"/>
                      <w:szCs w:val="18"/>
                      <w:lang w:eastAsia="en-US"/>
                    </w:rPr>
                    <w:t>Справка о сумме ежемесячной денежной выплаты, ежемесячной денежной компенсации, ежемесячного дополнительного материального обеспечения, выданная гос</w:t>
                  </w:r>
                  <w:r>
                    <w:rPr>
                      <w:rFonts w:ascii="Tahoma" w:hAnsi="Tahoma" w:cs="Tahoma"/>
                      <w:sz w:val="18"/>
                      <w:szCs w:val="18"/>
                      <w:lang w:eastAsia="en-US"/>
                    </w:rPr>
                    <w:t>ударственным органом Заёмщику</w:t>
                  </w:r>
                </w:p>
                <w:p w14:paraId="3DFE91F0" w14:textId="77777777" w:rsidR="009D1253" w:rsidRPr="00F33745" w:rsidRDefault="009D1253" w:rsidP="00B460F9">
                  <w:pPr>
                    <w:numPr>
                      <w:ilvl w:val="0"/>
                      <w:numId w:val="176"/>
                    </w:numPr>
                    <w:tabs>
                      <w:tab w:val="left" w:pos="84"/>
                      <w:tab w:val="num" w:pos="360"/>
                    </w:tabs>
                    <w:ind w:left="367" w:right="178"/>
                    <w:jc w:val="both"/>
                    <w:textAlignment w:val="baseline"/>
                    <w:rPr>
                      <w:rFonts w:ascii="Tahoma" w:hAnsi="Tahoma" w:cs="Tahoma"/>
                      <w:sz w:val="18"/>
                      <w:szCs w:val="18"/>
                      <w:lang w:eastAsia="en-US"/>
                    </w:rPr>
                  </w:pPr>
                  <w:r w:rsidRPr="00F33745">
                    <w:rPr>
                      <w:rFonts w:ascii="Tahoma" w:hAnsi="Tahoma" w:cs="Tahoma"/>
                      <w:sz w:val="18"/>
                      <w:szCs w:val="18"/>
                    </w:rPr>
                    <w:t>Документ, содержащий сведения о доходах Заёмщика, выданные государственными (муниципальными) органами, учреждениями, организациями или предприятиями (включая документы, выданные должностными лицами Вооруженных Сил Российской Федерации и воинских формирований), а также физическими лицами, зарегистрированными в качестве индивидуаль</w:t>
                  </w:r>
                  <w:r>
                    <w:rPr>
                      <w:rFonts w:ascii="Tahoma" w:hAnsi="Tahoma" w:cs="Tahoma"/>
                      <w:sz w:val="18"/>
                      <w:szCs w:val="18"/>
                    </w:rPr>
                    <w:t>ных предпринимателей</w:t>
                  </w:r>
                </w:p>
                <w:p w14:paraId="6A31819F" w14:textId="77777777" w:rsidR="009D1253" w:rsidRPr="00F33745" w:rsidRDefault="009D1253" w:rsidP="00B460F9">
                  <w:pPr>
                    <w:numPr>
                      <w:ilvl w:val="0"/>
                      <w:numId w:val="176"/>
                    </w:numPr>
                    <w:tabs>
                      <w:tab w:val="left" w:pos="84"/>
                      <w:tab w:val="num" w:pos="360"/>
                    </w:tabs>
                    <w:ind w:left="367" w:right="178"/>
                    <w:jc w:val="both"/>
                    <w:textAlignment w:val="baseline"/>
                    <w:rPr>
                      <w:rFonts w:ascii="Tahoma" w:hAnsi="Tahoma" w:cs="Tahoma"/>
                      <w:sz w:val="18"/>
                      <w:szCs w:val="18"/>
                      <w:lang w:eastAsia="en-US"/>
                    </w:rPr>
                  </w:pPr>
                  <w:r w:rsidRPr="00F33745">
                    <w:rPr>
                      <w:rFonts w:ascii="Tahoma" w:hAnsi="Tahoma" w:cs="Tahoma"/>
                      <w:sz w:val="18"/>
                      <w:szCs w:val="18"/>
                    </w:rPr>
                    <w:t>Выписка со счета, выданная кредитными организациями, на который осуществляются социальные выплаты, а также иные регулярные выплаты Клиенту, в т.ч. сформированная из мобильного/интернет банка</w:t>
                  </w:r>
                </w:p>
              </w:tc>
            </w:tr>
          </w:tbl>
          <w:p w14:paraId="18288620" w14:textId="77777777" w:rsidR="009D1253" w:rsidRDefault="009D1253" w:rsidP="009D1253">
            <w:pPr>
              <w:tabs>
                <w:tab w:val="left" w:pos="6979"/>
              </w:tabs>
              <w:ind w:right="176"/>
              <w:jc w:val="both"/>
              <w:rPr>
                <w:rFonts w:ascii="Tahoma" w:hAnsi="Tahoma" w:cs="Tahoma"/>
                <w:sz w:val="18"/>
                <w:szCs w:val="18"/>
              </w:rPr>
            </w:pPr>
            <w:r w:rsidRPr="00B2133F">
              <w:rPr>
                <w:rFonts w:ascii="Tahoma" w:hAnsi="Tahoma" w:cs="Tahoma"/>
                <w:sz w:val="18"/>
                <w:szCs w:val="18"/>
              </w:rPr>
              <w:t>*Документ должен содержать информацию о доходе за последние 12 (двенадцать) месяцев. В случае если стаж работы составляет менее 12 месяцев, документ предоставляется за фактическое количество отработанных</w:t>
            </w:r>
            <w:r>
              <w:rPr>
                <w:rFonts w:ascii="Tahoma" w:hAnsi="Tahoma" w:cs="Tahoma"/>
                <w:sz w:val="18"/>
                <w:szCs w:val="18"/>
              </w:rPr>
              <w:t xml:space="preserve"> месяцев, но не менее 3 месяцев</w:t>
            </w:r>
            <w:r w:rsidRPr="00B2133F">
              <w:rPr>
                <w:rFonts w:ascii="Tahoma" w:hAnsi="Tahoma" w:cs="Tahoma"/>
                <w:sz w:val="18"/>
                <w:szCs w:val="18"/>
              </w:rPr>
              <w:t xml:space="preserve"> </w:t>
            </w:r>
          </w:p>
          <w:p w14:paraId="65AE3378" w14:textId="77777777" w:rsidR="009D1253" w:rsidRPr="00B2133F" w:rsidRDefault="009D1253" w:rsidP="009D1253">
            <w:pPr>
              <w:tabs>
                <w:tab w:val="left" w:pos="6979"/>
              </w:tabs>
              <w:ind w:right="176"/>
              <w:jc w:val="both"/>
              <w:rPr>
                <w:rFonts w:ascii="Tahoma" w:hAnsi="Tahoma" w:cs="Tahoma"/>
                <w:sz w:val="18"/>
                <w:szCs w:val="18"/>
              </w:rPr>
            </w:pPr>
            <w:r w:rsidRPr="00B2133F">
              <w:rPr>
                <w:rFonts w:ascii="Tahoma" w:hAnsi="Tahoma" w:cs="Tahoma"/>
                <w:sz w:val="18"/>
                <w:szCs w:val="18"/>
              </w:rPr>
              <w:t>** Документ, подтверждающий доход должен содержать в составе реквизитов ИНН работодателя</w:t>
            </w:r>
            <w:r>
              <w:rPr>
                <w:rFonts w:ascii="Tahoma" w:hAnsi="Tahoma" w:cs="Tahoma"/>
                <w:sz w:val="18"/>
                <w:szCs w:val="18"/>
              </w:rPr>
              <w:t>/контрагента</w:t>
            </w:r>
          </w:p>
          <w:p w14:paraId="66F9651F" w14:textId="77777777" w:rsidR="009D1253" w:rsidRPr="00DF7D87" w:rsidRDefault="009D1253" w:rsidP="009D1253">
            <w:pPr>
              <w:autoSpaceDE w:val="0"/>
              <w:autoSpaceDN w:val="0"/>
              <w:adjustRightInd w:val="0"/>
              <w:rPr>
                <w:rFonts w:ascii="Tahoma" w:hAnsi="Tahoma" w:cs="Tahoma"/>
                <w:sz w:val="18"/>
                <w:szCs w:val="18"/>
              </w:rPr>
            </w:pPr>
            <w:r w:rsidRPr="00B2133F">
              <w:rPr>
                <w:rFonts w:ascii="Tahoma" w:hAnsi="Tahoma" w:cs="Tahoma"/>
                <w:sz w:val="18"/>
                <w:szCs w:val="18"/>
              </w:rPr>
              <w:t>***</w:t>
            </w:r>
            <w:r w:rsidRPr="00DF7D87">
              <w:rPr>
                <w:rFonts w:ascii="Tahoma" w:hAnsi="Tahoma" w:cs="Tahoma"/>
                <w:sz w:val="18"/>
                <w:szCs w:val="18"/>
              </w:rPr>
              <w:t>Банк получает документ в электронной форме из государственных информационных систем, если Заемщиком выражено согласие в соответствии с законодательством Российской Федерации на запрос выписки по индивидуальному лицевому счету Заемщика, который ведется в Социальном Фонде Российской Федерации</w:t>
            </w:r>
          </w:p>
          <w:p w14:paraId="08A950FF" w14:textId="77777777" w:rsidR="009D1253" w:rsidRPr="005A07E7" w:rsidRDefault="009D1253" w:rsidP="009D1253">
            <w:pPr>
              <w:autoSpaceDE w:val="0"/>
              <w:autoSpaceDN w:val="0"/>
              <w:adjustRightInd w:val="0"/>
              <w:rPr>
                <w:rFonts w:ascii="Tahoma" w:hAnsi="Tahoma" w:cs="Tahoma"/>
                <w:sz w:val="18"/>
                <w:szCs w:val="18"/>
              </w:rPr>
            </w:pPr>
            <w:r w:rsidRPr="00B2133F">
              <w:rPr>
                <w:rFonts w:ascii="Tahoma" w:hAnsi="Tahoma" w:cs="Tahoma"/>
                <w:sz w:val="18"/>
                <w:szCs w:val="18"/>
              </w:rPr>
              <w:t>****Для учета дохода в виде пенсии допускается принимать документ, содержащий сведения о доходе за 1 (один) календарный месяц, принимаются выплаты, которые были получены (начислены или назначены): страховой и (или) накопительной пенсионных выплат (за исключением суммы единовременных пенсионных выплат), а также дополнительных ежемесячных денежных выплат, компенсаций и материального обеспечения (за исключением набора социальных услуг и федеральной социальной доплаты к пенсии, если они отдельно указаны в подтверждающем документе, предусмотренном в настоящем перечне подтверждающих документов)</w:t>
            </w:r>
            <w:r w:rsidRPr="005A07E7">
              <w:rPr>
                <w:rFonts w:ascii="Tahoma" w:hAnsi="Tahoma" w:cs="Tahoma"/>
                <w:strike/>
                <w:sz w:val="18"/>
                <w:szCs w:val="18"/>
              </w:rPr>
              <w:fldChar w:fldCharType="begin"/>
            </w:r>
            <w:r w:rsidRPr="005A07E7">
              <w:rPr>
                <w:rFonts w:ascii="Tahoma" w:hAnsi="Tahoma" w:cs="Tahoma"/>
                <w:strike/>
                <w:sz w:val="18"/>
                <w:szCs w:val="18"/>
              </w:rPr>
              <w:instrText xml:space="preserve"> DOCVARIABLE  ATB_ADDRESS_REG </w:instrText>
            </w:r>
            <w:r w:rsidRPr="005A07E7">
              <w:rPr>
                <w:rFonts w:ascii="Tahoma" w:hAnsi="Tahoma" w:cs="Tahoma"/>
                <w:strike/>
                <w:sz w:val="18"/>
                <w:szCs w:val="18"/>
              </w:rPr>
              <w:fldChar w:fldCharType="end"/>
            </w:r>
          </w:p>
        </w:tc>
      </w:tr>
      <w:tr w:rsidR="009D1253" w:rsidRPr="005A07E7" w14:paraId="49D3E613"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540"/>
        </w:trPr>
        <w:tc>
          <w:tcPr>
            <w:tcW w:w="1475" w:type="pct"/>
            <w:tcBorders>
              <w:top w:val="single" w:sz="4" w:space="0" w:color="auto"/>
              <w:left w:val="single" w:sz="8" w:space="0" w:color="auto"/>
              <w:bottom w:val="single" w:sz="4" w:space="0" w:color="auto"/>
              <w:right w:val="single" w:sz="4" w:space="0" w:color="auto"/>
            </w:tcBorders>
            <w:vAlign w:val="center"/>
          </w:tcPr>
          <w:p w14:paraId="0B54194B"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lastRenderedPageBreak/>
              <w:t>Требования к приобретаемым ТС</w:t>
            </w:r>
          </w:p>
        </w:tc>
        <w:tc>
          <w:tcPr>
            <w:tcW w:w="3525" w:type="pct"/>
            <w:tcBorders>
              <w:top w:val="single" w:sz="4" w:space="0" w:color="auto"/>
              <w:left w:val="nil"/>
              <w:bottom w:val="single" w:sz="4" w:space="0" w:color="auto"/>
              <w:right w:val="single" w:sz="8" w:space="0" w:color="000000"/>
            </w:tcBorders>
            <w:shd w:val="clear" w:color="auto" w:fill="auto"/>
            <w:noWrap/>
            <w:vAlign w:val="center"/>
          </w:tcPr>
          <w:p w14:paraId="345B0520" w14:textId="77777777" w:rsidR="009D1253" w:rsidRPr="008C2B25" w:rsidRDefault="009D1253" w:rsidP="009D1253">
            <w:pPr>
              <w:pStyle w:val="a9"/>
              <w:tabs>
                <w:tab w:val="left" w:pos="0"/>
                <w:tab w:val="left" w:pos="176"/>
              </w:tabs>
              <w:spacing w:before="0" w:after="0"/>
              <w:rPr>
                <w:rFonts w:ascii="Tahoma" w:hAnsi="Tahoma" w:cs="Tahoma"/>
                <w:b/>
                <w:lang w:eastAsia="en-US"/>
              </w:rPr>
            </w:pPr>
            <w:r w:rsidRPr="008C2B25">
              <w:rPr>
                <w:rFonts w:ascii="Tahoma" w:hAnsi="Tahoma" w:cs="Tahoma"/>
                <w:b/>
                <w:lang w:eastAsia="en-US"/>
              </w:rPr>
              <w:t>Требования к новому ТС (одновременное выполнение условий):</w:t>
            </w:r>
          </w:p>
          <w:p w14:paraId="22E05CEA" w14:textId="77777777" w:rsidR="009D1253" w:rsidRPr="008C2B25" w:rsidRDefault="009D1253" w:rsidP="009D1253">
            <w:pPr>
              <w:tabs>
                <w:tab w:val="left" w:pos="6979"/>
              </w:tabs>
              <w:ind w:right="65"/>
              <w:jc w:val="both"/>
              <w:rPr>
                <w:rFonts w:ascii="Tahoma" w:hAnsi="Tahoma" w:cs="Tahoma"/>
                <w:sz w:val="20"/>
                <w:szCs w:val="20"/>
              </w:rPr>
            </w:pPr>
            <w:r w:rsidRPr="008C2B25">
              <w:rPr>
                <w:rFonts w:ascii="Tahoma" w:hAnsi="Tahoma" w:cs="Tahoma"/>
                <w:sz w:val="20"/>
                <w:szCs w:val="20"/>
              </w:rPr>
              <w:t>- приобретаемое новое ТС на дату выдачи Кредита не должно находиться на регистрационном учете в соответствии с законодательством РФ (за исключением случаев постановки на учет юридическим лицом ТС, используемых для тест-драйва);</w:t>
            </w:r>
          </w:p>
          <w:p w14:paraId="14595101" w14:textId="77777777" w:rsidR="009D1253" w:rsidRPr="008C2B25" w:rsidRDefault="009D1253" w:rsidP="009D1253">
            <w:pPr>
              <w:tabs>
                <w:tab w:val="left" w:pos="6979"/>
              </w:tabs>
              <w:ind w:right="65"/>
              <w:jc w:val="both"/>
              <w:rPr>
                <w:rFonts w:ascii="Tahoma" w:hAnsi="Tahoma" w:cs="Tahoma"/>
                <w:sz w:val="20"/>
                <w:szCs w:val="20"/>
              </w:rPr>
            </w:pPr>
            <w:r w:rsidRPr="008C2B25">
              <w:rPr>
                <w:rFonts w:ascii="Tahoma" w:hAnsi="Tahoma" w:cs="Tahoma"/>
                <w:sz w:val="20"/>
                <w:szCs w:val="20"/>
              </w:rPr>
              <w:t>- по ТС имеется выписка из ЭПТС* в статусе «действующий» / «незавершенный»;</w:t>
            </w:r>
          </w:p>
          <w:p w14:paraId="41855E97" w14:textId="77777777" w:rsidR="009D1253" w:rsidRPr="008C2B25" w:rsidRDefault="009D1253" w:rsidP="009D1253">
            <w:pPr>
              <w:tabs>
                <w:tab w:val="left" w:pos="6979"/>
              </w:tabs>
              <w:ind w:right="65"/>
              <w:jc w:val="both"/>
              <w:rPr>
                <w:rFonts w:ascii="Tahoma" w:hAnsi="Tahoma" w:cs="Tahoma"/>
                <w:sz w:val="20"/>
                <w:szCs w:val="20"/>
              </w:rPr>
            </w:pPr>
            <w:r w:rsidRPr="008C2B25">
              <w:rPr>
                <w:rFonts w:ascii="Tahoma" w:hAnsi="Tahoma" w:cs="Tahoma"/>
                <w:sz w:val="20"/>
                <w:szCs w:val="20"/>
              </w:rPr>
              <w:t>- пробег ТС должен быть менее 1 000 км (или 5 000 км при условии предоставления информационного письма дилером об использовании данного ТС для тест-драйва);</w:t>
            </w:r>
          </w:p>
          <w:p w14:paraId="348AAEC8" w14:textId="77777777" w:rsidR="009D1253" w:rsidRPr="008C2B25" w:rsidRDefault="009D1253" w:rsidP="009D1253">
            <w:pPr>
              <w:tabs>
                <w:tab w:val="left" w:pos="6979"/>
              </w:tabs>
              <w:ind w:right="65"/>
              <w:jc w:val="both"/>
              <w:rPr>
                <w:rFonts w:ascii="Tahoma" w:hAnsi="Tahoma" w:cs="Tahoma"/>
                <w:sz w:val="20"/>
                <w:szCs w:val="20"/>
              </w:rPr>
            </w:pPr>
            <w:r w:rsidRPr="008C2B25">
              <w:rPr>
                <w:rFonts w:ascii="Tahoma" w:hAnsi="Tahoma" w:cs="Tahoma"/>
                <w:sz w:val="20"/>
                <w:szCs w:val="20"/>
              </w:rPr>
              <w:t>- по Кредитам, одобренным на дату ранее, чем «01» июля текущего года, год изготовления ТС отличается от года оформления Кредита не более, чем на 2 года; одобренным с «01» июля текущего года, год изготовления ТС отличается от года оформления Кредита не более, чем на 1 год.</w:t>
            </w:r>
          </w:p>
          <w:p w14:paraId="47600606" w14:textId="77777777" w:rsidR="009D1253" w:rsidRPr="005A07E7" w:rsidRDefault="009D1253" w:rsidP="009D1253">
            <w:pPr>
              <w:tabs>
                <w:tab w:val="left" w:pos="6979"/>
              </w:tabs>
              <w:ind w:right="176"/>
              <w:jc w:val="both"/>
              <w:rPr>
                <w:rFonts w:ascii="Tahoma" w:hAnsi="Tahoma" w:cs="Tahoma"/>
                <w:b/>
                <w:sz w:val="18"/>
                <w:szCs w:val="18"/>
              </w:rPr>
            </w:pPr>
            <w:r w:rsidRPr="008C2B25">
              <w:rPr>
                <w:rFonts w:ascii="Tahoma" w:hAnsi="Tahoma" w:cs="Tahoma"/>
                <w:sz w:val="18"/>
                <w:szCs w:val="20"/>
              </w:rPr>
              <w:t>*не требуется при приобретении за счет кредитных средств нового ТС марки: Honda, Lada, Voyah, Omoda, Livan, Jetour, Jaecoo, Evolute, Москвич, Changan, Haval, SkyWell</w:t>
            </w:r>
          </w:p>
        </w:tc>
      </w:tr>
      <w:tr w:rsidR="009D1253" w:rsidRPr="005A07E7" w14:paraId="65CA9434"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612E5532"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Способ предоставления Кредита</w:t>
            </w:r>
          </w:p>
        </w:tc>
        <w:tc>
          <w:tcPr>
            <w:tcW w:w="3525" w:type="pct"/>
            <w:tcBorders>
              <w:top w:val="single" w:sz="4" w:space="0" w:color="auto"/>
              <w:left w:val="nil"/>
              <w:bottom w:val="single" w:sz="4" w:space="0" w:color="auto"/>
              <w:right w:val="single" w:sz="8" w:space="0" w:color="000000"/>
            </w:tcBorders>
            <w:noWrap/>
            <w:vAlign w:val="center"/>
          </w:tcPr>
          <w:p w14:paraId="49874764"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Перевод денежных средств на ТБС Заёмщика, открытый в Банке</w:t>
            </w:r>
            <w:r>
              <w:rPr>
                <w:rFonts w:ascii="Tahoma" w:hAnsi="Tahoma" w:cs="Tahoma"/>
                <w:sz w:val="20"/>
                <w:szCs w:val="20"/>
              </w:rPr>
              <w:t>,</w:t>
            </w:r>
            <w:r w:rsidRPr="005A07E7">
              <w:rPr>
                <w:rFonts w:ascii="Tahoma" w:hAnsi="Tahoma" w:cs="Tahoma"/>
                <w:sz w:val="20"/>
                <w:szCs w:val="20"/>
              </w:rPr>
              <w:t xml:space="preserve"> для использования Заёмщиком на цели использования Кредита, указанные в  настоящем документе.</w:t>
            </w:r>
          </w:p>
        </w:tc>
      </w:tr>
      <w:tr w:rsidR="009D1253" w:rsidRPr="005A07E7" w14:paraId="40EAC65D" w14:textId="77777777" w:rsidTr="009D1253">
        <w:tblPrEx>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tcPr>
          <w:p w14:paraId="27A476AB" w14:textId="77777777" w:rsidR="009D1253" w:rsidRPr="00ED6334" w:rsidRDefault="009D1253" w:rsidP="009D1253">
            <w:pPr>
              <w:rPr>
                <w:rFonts w:ascii="Tahoma" w:hAnsi="Tahoma" w:cs="Tahoma"/>
                <w:b/>
                <w:sz w:val="20"/>
                <w:szCs w:val="20"/>
              </w:rPr>
            </w:pPr>
            <w:r w:rsidRPr="00ED6334">
              <w:rPr>
                <w:rFonts w:ascii="Tahoma" w:hAnsi="Tahoma" w:cs="Tahoma"/>
                <w:b/>
                <w:sz w:val="20"/>
              </w:rPr>
              <w:t xml:space="preserve">Информация о возможном увеличении суммы расходов Заемщика по сравнению с ожидаемой суммой расходов в рублях, в том числе при применении переменной процентной ставки, а также информация о том, что </w:t>
            </w:r>
            <w:r w:rsidRPr="00ED6334">
              <w:rPr>
                <w:rFonts w:ascii="Tahoma" w:hAnsi="Tahoma" w:cs="Tahoma"/>
                <w:b/>
                <w:sz w:val="20"/>
              </w:rPr>
              <w:lastRenderedPageBreak/>
              <w:t>изменение курса иностранной валюты в прошлом не свидетельствует об изменении ее курса в будущем, и информация о повышенных рисках заемщика, получающего доходы в валюте, отличной от валюты Кредита</w:t>
            </w:r>
          </w:p>
        </w:tc>
        <w:tc>
          <w:tcPr>
            <w:tcW w:w="3525" w:type="pct"/>
            <w:tcBorders>
              <w:top w:val="single" w:sz="4" w:space="0" w:color="auto"/>
              <w:left w:val="nil"/>
              <w:bottom w:val="single" w:sz="4" w:space="0" w:color="auto"/>
              <w:right w:val="single" w:sz="8" w:space="0" w:color="000000"/>
            </w:tcBorders>
            <w:noWrap/>
            <w:vAlign w:val="center"/>
          </w:tcPr>
          <w:p w14:paraId="6B69478C" w14:textId="77777777" w:rsidR="009D1253" w:rsidRPr="00ED6334" w:rsidRDefault="009D1253" w:rsidP="009D1253">
            <w:pPr>
              <w:widowControl w:val="0"/>
              <w:tabs>
                <w:tab w:val="left" w:pos="426"/>
                <w:tab w:val="left" w:pos="851"/>
              </w:tabs>
              <w:jc w:val="both"/>
              <w:rPr>
                <w:rFonts w:ascii="Tahoma" w:hAnsi="Tahoma" w:cs="Tahoma"/>
                <w:sz w:val="20"/>
                <w:szCs w:val="20"/>
              </w:rPr>
            </w:pPr>
            <w:r w:rsidRPr="003846F1">
              <w:rPr>
                <w:rFonts w:ascii="Tahoma" w:hAnsi="Tahoma" w:cs="Tahoma"/>
                <w:sz w:val="20"/>
              </w:rPr>
              <w:lastRenderedPageBreak/>
              <w:t>Переменная процентная ставка не применяется в Договоре. Кредит предоставляется в рублях, вместе с тем, Заемщикам, получающим доход в иностранной валюте следует помнить, что изменение курса иностранной валюты в прошлом не свидетельствует об изменении ее курса в будущем, в связи с чем, такие Заемщики несут повышенные риски в связи с получением доходов в иностранной валюте.</w:t>
            </w:r>
          </w:p>
        </w:tc>
      </w:tr>
      <w:tr w:rsidR="009D1253" w:rsidRPr="005A07E7" w14:paraId="7D801F83"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09C8A50C"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Иные договоры, требуемые для заключения или исполнения Договора</w:t>
            </w:r>
            <w:r w:rsidRPr="003846F1">
              <w:rPr>
                <w:rFonts w:ascii="Tahoma" w:hAnsi="Tahoma" w:cs="Tahoma"/>
                <w:b/>
                <w:bCs/>
                <w:sz w:val="20"/>
                <w:szCs w:val="20"/>
              </w:rPr>
              <w:t>, а также информация о возможности заемщика согласиться с заключением таких договоров и (или) приобретением таких услуг (работ, товаров) либо отказаться от них</w:t>
            </w:r>
          </w:p>
        </w:tc>
        <w:tc>
          <w:tcPr>
            <w:tcW w:w="3525" w:type="pct"/>
            <w:tcBorders>
              <w:top w:val="single" w:sz="4" w:space="0" w:color="auto"/>
              <w:left w:val="nil"/>
              <w:bottom w:val="single" w:sz="4" w:space="0" w:color="auto"/>
              <w:right w:val="single" w:sz="8" w:space="0" w:color="000000"/>
            </w:tcBorders>
            <w:noWrap/>
            <w:vAlign w:val="center"/>
          </w:tcPr>
          <w:p w14:paraId="717066DE" w14:textId="77777777" w:rsidR="009D1253"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 xml:space="preserve">Заключение между </w:t>
            </w:r>
            <w:r>
              <w:rPr>
                <w:rFonts w:ascii="Tahoma" w:hAnsi="Tahoma" w:cs="Tahoma"/>
                <w:sz w:val="20"/>
                <w:szCs w:val="20"/>
              </w:rPr>
              <w:t>с</w:t>
            </w:r>
            <w:r w:rsidRPr="005A07E7">
              <w:rPr>
                <w:rFonts w:ascii="Tahoma" w:hAnsi="Tahoma" w:cs="Tahoma"/>
                <w:sz w:val="20"/>
                <w:szCs w:val="20"/>
              </w:rPr>
              <w:t xml:space="preserve">торонами </w:t>
            </w:r>
            <w:r>
              <w:rPr>
                <w:rFonts w:ascii="Tahoma" w:hAnsi="Tahoma" w:cs="Tahoma"/>
                <w:sz w:val="20"/>
                <w:szCs w:val="20"/>
              </w:rPr>
              <w:t xml:space="preserve">Договора </w:t>
            </w:r>
            <w:r w:rsidRPr="005A07E7">
              <w:rPr>
                <w:rFonts w:ascii="Tahoma" w:hAnsi="Tahoma" w:cs="Tahoma"/>
                <w:sz w:val="20"/>
                <w:szCs w:val="20"/>
              </w:rPr>
              <w:t>банковского счета (на основании которого Заёмщику Банком открывается ТБС), элементы которого включены в Договор, заключение (путем присоединения) УДБО, содержащего Общие условия.</w:t>
            </w:r>
          </w:p>
          <w:p w14:paraId="0027449E" w14:textId="77777777" w:rsidR="009D1253" w:rsidRPr="005A07E7" w:rsidRDefault="009D1253" w:rsidP="009D1253">
            <w:pPr>
              <w:widowControl w:val="0"/>
              <w:tabs>
                <w:tab w:val="left" w:pos="426"/>
                <w:tab w:val="left" w:pos="851"/>
              </w:tabs>
              <w:jc w:val="both"/>
              <w:rPr>
                <w:rFonts w:ascii="Tahoma" w:hAnsi="Tahoma" w:cs="Tahoma"/>
                <w:sz w:val="20"/>
                <w:szCs w:val="20"/>
              </w:rPr>
            </w:pPr>
            <w:r w:rsidRPr="003846F1">
              <w:rPr>
                <w:rFonts w:ascii="Tahoma" w:hAnsi="Tahoma" w:cs="Tahoma"/>
                <w:sz w:val="20"/>
                <w:szCs w:val="20"/>
              </w:rPr>
              <w:t>Если при оформлении Договора Заемщику предлагаются иные дополнительные услуги (работы, товары), приобретение которых не является обязательным в силу закона, Заемщик вправе отказаться от их приобретения.</w:t>
            </w:r>
          </w:p>
        </w:tc>
      </w:tr>
      <w:tr w:rsidR="009D1253" w:rsidRPr="005A07E7" w14:paraId="0C525AFB"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3745D4AF" w14:textId="77777777" w:rsidR="009D1253" w:rsidRPr="00ED6334" w:rsidRDefault="009D1253" w:rsidP="009D1253">
            <w:pPr>
              <w:rPr>
                <w:rFonts w:ascii="Tahoma" w:hAnsi="Tahoma" w:cs="Tahoma"/>
                <w:b/>
                <w:sz w:val="20"/>
                <w:szCs w:val="20"/>
              </w:rPr>
            </w:pPr>
            <w:r w:rsidRPr="00ED6334">
              <w:rPr>
                <w:rFonts w:ascii="Tahoma" w:hAnsi="Tahoma" w:cs="Tahoma"/>
                <w:b/>
                <w:sz w:val="20"/>
              </w:rPr>
              <w:t>Виды и суммы иных платежей Заёмщика по Договору</w:t>
            </w:r>
          </w:p>
        </w:tc>
        <w:tc>
          <w:tcPr>
            <w:tcW w:w="3525" w:type="pct"/>
            <w:tcBorders>
              <w:top w:val="single" w:sz="4" w:space="0" w:color="auto"/>
              <w:left w:val="nil"/>
              <w:bottom w:val="single" w:sz="4" w:space="0" w:color="auto"/>
              <w:right w:val="single" w:sz="8" w:space="0" w:color="000000"/>
            </w:tcBorders>
            <w:noWrap/>
            <w:vAlign w:val="center"/>
          </w:tcPr>
          <w:p w14:paraId="0CFD1B9D" w14:textId="77777777" w:rsidR="009D1253" w:rsidRPr="00ED6334" w:rsidRDefault="009D1253" w:rsidP="009D1253">
            <w:pPr>
              <w:widowControl w:val="0"/>
              <w:tabs>
                <w:tab w:val="left" w:pos="426"/>
                <w:tab w:val="left" w:pos="851"/>
              </w:tabs>
              <w:jc w:val="both"/>
              <w:rPr>
                <w:rFonts w:ascii="Tahoma" w:hAnsi="Tahoma" w:cs="Tahoma"/>
                <w:sz w:val="20"/>
              </w:rPr>
            </w:pPr>
            <w:r w:rsidRPr="00ED6334">
              <w:rPr>
                <w:rFonts w:ascii="Tahoma" w:hAnsi="Tahoma" w:cs="Tahoma"/>
                <w:sz w:val="20"/>
              </w:rPr>
              <w:t>Иные обязательные платежи по Договору отсутствуют.</w:t>
            </w:r>
          </w:p>
          <w:p w14:paraId="651907EF" w14:textId="77777777" w:rsidR="009D1253" w:rsidRPr="005A07E7" w:rsidRDefault="009D1253" w:rsidP="009D1253">
            <w:pPr>
              <w:widowControl w:val="0"/>
              <w:tabs>
                <w:tab w:val="left" w:pos="426"/>
                <w:tab w:val="left" w:pos="851"/>
              </w:tabs>
              <w:jc w:val="both"/>
            </w:pPr>
            <w:r w:rsidRPr="005A07E7">
              <w:rPr>
                <w:rFonts w:ascii="Tahoma" w:hAnsi="Tahoma" w:cs="Tahoma"/>
                <w:sz w:val="20"/>
                <w:szCs w:val="20"/>
              </w:rPr>
              <w:t>При наличии соответствующего волеизъявления Заемщика ему могут быть оказаны Банком услуги, не являющиеся обязательными для заключения или исполнения Договора, плата за которые предусмотрена Тарифами Банка(</w:t>
            </w:r>
            <w:hyperlink r:id="rId60" w:tgtFrame="_blank" w:history="1">
              <w:r w:rsidRPr="005A07E7">
                <w:rPr>
                  <w:rStyle w:val="aff"/>
                  <w:rFonts w:ascii="Tahoma" w:hAnsi="Tahoma" w:cs="Tahoma"/>
                  <w:color w:val="0065FF"/>
                  <w:sz w:val="20"/>
                  <w:szCs w:val="20"/>
                  <w:shd w:val="clear" w:color="auto" w:fill="FFFFFF"/>
                </w:rPr>
                <w:t>https://www.atb.su/upload/doc/kniga-tarif/tarify-po-raschetno-kassovomu-obsluzhivaniyu-klientov-fizicheskikh-lits.pdf</w:t>
              </w:r>
            </w:hyperlink>
            <w:r w:rsidRPr="005A07E7">
              <w:rPr>
                <w:rFonts w:ascii="Tahoma" w:hAnsi="Tahoma" w:cs="Tahoma"/>
                <w:sz w:val="20"/>
                <w:szCs w:val="20"/>
              </w:rPr>
              <w:t>). Оказание услуги Банком производится в случае выражения Заемщиком волеизъявления на пользование определенной услугой. Оплата услуг должна быть произведена до момента оказания Банком услуг.</w:t>
            </w:r>
          </w:p>
        </w:tc>
      </w:tr>
      <w:tr w:rsidR="009D1253" w:rsidRPr="005A07E7" w14:paraId="6B471CE5"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4E790C06" w14:textId="77777777" w:rsidR="009D1253" w:rsidRPr="00ED6334" w:rsidRDefault="009D1253" w:rsidP="009D1253">
            <w:pPr>
              <w:rPr>
                <w:rFonts w:ascii="Tahoma" w:hAnsi="Tahoma" w:cs="Tahoma"/>
                <w:b/>
                <w:sz w:val="20"/>
                <w:szCs w:val="20"/>
              </w:rPr>
            </w:pPr>
            <w:r w:rsidRPr="00ED6334">
              <w:rPr>
                <w:rFonts w:ascii="Tahoma" w:hAnsi="Tahoma" w:cs="Tahoma"/>
                <w:b/>
                <w:sz w:val="20"/>
              </w:rPr>
              <w:t>Информация об определении курса иностранной валюты в случае, если валюта, в которой осуществляется перевод денежных средств кредитором третьему лицу, указанному Заёмщиком при предоставлении потребительского Кредита, может отличаться от валюты потребительского Кредита</w:t>
            </w:r>
          </w:p>
        </w:tc>
        <w:tc>
          <w:tcPr>
            <w:tcW w:w="3525" w:type="pct"/>
            <w:tcBorders>
              <w:top w:val="single" w:sz="4" w:space="0" w:color="auto"/>
              <w:left w:val="nil"/>
              <w:bottom w:val="single" w:sz="4" w:space="0" w:color="auto"/>
              <w:right w:val="single" w:sz="8" w:space="0" w:color="000000"/>
            </w:tcBorders>
            <w:noWrap/>
            <w:vAlign w:val="center"/>
          </w:tcPr>
          <w:p w14:paraId="14CF2EE7" w14:textId="77777777" w:rsidR="009D1253" w:rsidRPr="00ED6334" w:rsidRDefault="009D1253" w:rsidP="009D1253">
            <w:pPr>
              <w:widowControl w:val="0"/>
              <w:tabs>
                <w:tab w:val="left" w:pos="426"/>
                <w:tab w:val="left" w:pos="851"/>
              </w:tabs>
              <w:jc w:val="both"/>
              <w:rPr>
                <w:rFonts w:ascii="Tahoma" w:hAnsi="Tahoma" w:cs="Tahoma"/>
                <w:sz w:val="20"/>
                <w:szCs w:val="20"/>
              </w:rPr>
            </w:pPr>
            <w:r w:rsidRPr="00ED6334">
              <w:rPr>
                <w:rFonts w:ascii="Tahoma" w:hAnsi="Tahoma" w:cs="Tahoma"/>
                <w:sz w:val="20"/>
              </w:rPr>
              <w:t>Не применимо</w:t>
            </w:r>
          </w:p>
        </w:tc>
      </w:tr>
      <w:tr w:rsidR="009D1253" w:rsidRPr="005A07E7" w14:paraId="732712A2"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222C7A40"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Дата, начиная с которой начисляются проценты за пользование Кредитом, или порядок ее определения</w:t>
            </w:r>
          </w:p>
        </w:tc>
        <w:tc>
          <w:tcPr>
            <w:tcW w:w="3525" w:type="pct"/>
            <w:tcBorders>
              <w:top w:val="single" w:sz="4" w:space="0" w:color="auto"/>
              <w:left w:val="nil"/>
              <w:bottom w:val="single" w:sz="4" w:space="0" w:color="auto"/>
              <w:right w:val="single" w:sz="8" w:space="0" w:color="000000"/>
            </w:tcBorders>
            <w:noWrap/>
            <w:vAlign w:val="center"/>
          </w:tcPr>
          <w:p w14:paraId="1F5AA2DF"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Дата, следующая за датой выдачи Заёмщику Кредита</w:t>
            </w:r>
          </w:p>
        </w:tc>
      </w:tr>
      <w:tr w:rsidR="009D1253" w:rsidRPr="005A07E7" w14:paraId="3224F4AE"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3D02D7F3"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Периодичность платежей Заёмщика при возврате Кредита, уплате процентов и иных платежей по Кредиту</w:t>
            </w:r>
          </w:p>
        </w:tc>
        <w:tc>
          <w:tcPr>
            <w:tcW w:w="3525" w:type="pct"/>
            <w:tcBorders>
              <w:top w:val="single" w:sz="4" w:space="0" w:color="auto"/>
              <w:left w:val="nil"/>
              <w:bottom w:val="single" w:sz="4" w:space="0" w:color="auto"/>
              <w:right w:val="single" w:sz="8" w:space="0" w:color="000000"/>
            </w:tcBorders>
            <w:noWrap/>
            <w:vAlign w:val="center"/>
          </w:tcPr>
          <w:p w14:paraId="31234BF0"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Ежемесячно аннуитетными платежами</w:t>
            </w:r>
          </w:p>
        </w:tc>
      </w:tr>
      <w:tr w:rsidR="009D1253" w:rsidRPr="005A07E7" w14:paraId="1B62A9BB"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4ECB7D6B"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Срок действия Договора</w:t>
            </w:r>
          </w:p>
        </w:tc>
        <w:tc>
          <w:tcPr>
            <w:tcW w:w="3525" w:type="pct"/>
            <w:tcBorders>
              <w:top w:val="single" w:sz="4" w:space="0" w:color="auto"/>
              <w:left w:val="nil"/>
              <w:bottom w:val="single" w:sz="4" w:space="0" w:color="auto"/>
              <w:right w:val="single" w:sz="8" w:space="0" w:color="000000"/>
            </w:tcBorders>
            <w:noWrap/>
            <w:vAlign w:val="center"/>
          </w:tcPr>
          <w:p w14:paraId="6F975346"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До полного исполнения Сторонами обязательств по Договору</w:t>
            </w:r>
          </w:p>
        </w:tc>
      </w:tr>
      <w:tr w:rsidR="009D1253" w:rsidRPr="005A07E7" w14:paraId="07CABA72"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331623CE"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Срок рассмотрения  оформленного Заёмщиком заявления о предоставлении Кредита и принятия Кредитором решения относительно этого заявления</w:t>
            </w:r>
          </w:p>
        </w:tc>
        <w:tc>
          <w:tcPr>
            <w:tcW w:w="3525" w:type="pct"/>
            <w:tcBorders>
              <w:top w:val="single" w:sz="4" w:space="0" w:color="auto"/>
              <w:left w:val="nil"/>
              <w:bottom w:val="single" w:sz="4" w:space="0" w:color="auto"/>
              <w:right w:val="single" w:sz="8" w:space="0" w:color="000000"/>
            </w:tcBorders>
            <w:noWrap/>
            <w:vAlign w:val="center"/>
          </w:tcPr>
          <w:p w14:paraId="73686A81"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color w:val="000000"/>
                <w:sz w:val="20"/>
                <w:szCs w:val="20"/>
              </w:rPr>
              <w:t>Решение принимается в течение 1 часа с момента предоставления Заёмщиком полного пакета документов. В случае необходимости запроса у Заёмщика дополнительных документов решение принимается в индивидуальные сроки.</w:t>
            </w:r>
            <w:r w:rsidRPr="005A07E7">
              <w:rPr>
                <w:rFonts w:ascii="Tahoma" w:hAnsi="Tahoma" w:cs="Tahoma"/>
                <w:sz w:val="20"/>
                <w:szCs w:val="20"/>
              </w:rPr>
              <w:fldChar w:fldCharType="begin"/>
            </w:r>
            <w:r w:rsidRPr="005A07E7">
              <w:rPr>
                <w:rFonts w:ascii="Tahoma" w:hAnsi="Tahoma" w:cs="Tahoma"/>
                <w:sz w:val="20"/>
                <w:szCs w:val="20"/>
              </w:rPr>
              <w:instrText xml:space="preserve"> DOCVARIABLE  WAS_BORN_DMY </w:instrText>
            </w:r>
            <w:r w:rsidRPr="005A07E7">
              <w:rPr>
                <w:rFonts w:ascii="Tahoma" w:hAnsi="Tahoma" w:cs="Tahoma"/>
                <w:sz w:val="20"/>
                <w:szCs w:val="20"/>
              </w:rPr>
              <w:fldChar w:fldCharType="end"/>
            </w:r>
          </w:p>
        </w:tc>
      </w:tr>
      <w:tr w:rsidR="009D1253" w:rsidRPr="005A07E7" w14:paraId="0692735F"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075F6A54"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lastRenderedPageBreak/>
              <w:t xml:space="preserve">Срок, в течение которого Заёмщик вправе отказаться от получения Кредита </w:t>
            </w:r>
          </w:p>
        </w:tc>
        <w:tc>
          <w:tcPr>
            <w:tcW w:w="3525" w:type="pct"/>
            <w:tcBorders>
              <w:top w:val="single" w:sz="4" w:space="0" w:color="auto"/>
              <w:left w:val="nil"/>
              <w:bottom w:val="single" w:sz="4" w:space="0" w:color="auto"/>
              <w:right w:val="single" w:sz="8" w:space="0" w:color="000000"/>
            </w:tcBorders>
            <w:noWrap/>
            <w:vAlign w:val="center"/>
          </w:tcPr>
          <w:p w14:paraId="727ED3DB" w14:textId="77777777" w:rsidR="009D1253" w:rsidRPr="005A07E7" w:rsidRDefault="009D1253" w:rsidP="009D1253">
            <w:pPr>
              <w:widowControl w:val="0"/>
              <w:tabs>
                <w:tab w:val="left" w:pos="426"/>
                <w:tab w:val="left" w:pos="851"/>
              </w:tabs>
              <w:jc w:val="both"/>
              <w:rPr>
                <w:rFonts w:ascii="Tahoma" w:hAnsi="Tahoma" w:cs="Tahoma"/>
                <w:color w:val="000000"/>
                <w:sz w:val="20"/>
                <w:szCs w:val="20"/>
              </w:rPr>
            </w:pPr>
            <w:r w:rsidRPr="005A07E7">
              <w:rPr>
                <w:rFonts w:ascii="Tahoma" w:hAnsi="Tahoma" w:cs="Tahoma"/>
                <w:sz w:val="20"/>
                <w:szCs w:val="20"/>
              </w:rPr>
              <w:t xml:space="preserve">Заёмщик вправе отказаться от получения кредита полностью или частично, уведомив об этом Банк до истечения установленного Договором срока его предоставления. </w:t>
            </w:r>
          </w:p>
        </w:tc>
      </w:tr>
      <w:tr w:rsidR="009D1253" w:rsidRPr="005A07E7" w14:paraId="12EACAB4"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tcPr>
          <w:p w14:paraId="3B60ABE6"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Срок действия решения о предоставлении Кредита</w:t>
            </w:r>
          </w:p>
        </w:tc>
        <w:tc>
          <w:tcPr>
            <w:tcW w:w="3525" w:type="pct"/>
            <w:tcBorders>
              <w:top w:val="single" w:sz="4" w:space="0" w:color="auto"/>
              <w:left w:val="nil"/>
              <w:bottom w:val="single" w:sz="4" w:space="0" w:color="auto"/>
              <w:right w:val="single" w:sz="8" w:space="0" w:color="000000"/>
            </w:tcBorders>
            <w:noWrap/>
            <w:vAlign w:val="center"/>
          </w:tcPr>
          <w:p w14:paraId="06AF6CBA"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30 календарных дней</w:t>
            </w:r>
            <w:r>
              <w:rPr>
                <w:rFonts w:ascii="Tahoma" w:hAnsi="Tahoma" w:cs="Tahoma"/>
                <w:sz w:val="20"/>
                <w:szCs w:val="20"/>
              </w:rPr>
              <w:t xml:space="preserve"> с даты принятия Банком решения</w:t>
            </w:r>
          </w:p>
        </w:tc>
      </w:tr>
      <w:tr w:rsidR="009D1253" w:rsidRPr="005A07E7" w14:paraId="12646019"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301"/>
        </w:trPr>
        <w:tc>
          <w:tcPr>
            <w:tcW w:w="1475" w:type="pct"/>
            <w:tcBorders>
              <w:top w:val="single" w:sz="4" w:space="0" w:color="auto"/>
              <w:left w:val="single" w:sz="8" w:space="0" w:color="auto"/>
              <w:bottom w:val="single" w:sz="4" w:space="0" w:color="auto"/>
              <w:right w:val="single" w:sz="4" w:space="0" w:color="auto"/>
            </w:tcBorders>
            <w:vAlign w:val="center"/>
          </w:tcPr>
          <w:p w14:paraId="546F1888"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Способы обеспечения исполнения обязательств по Договору «Потребительский кредит под залог транспортного средства»</w:t>
            </w:r>
          </w:p>
        </w:tc>
        <w:tc>
          <w:tcPr>
            <w:tcW w:w="3525" w:type="pct"/>
            <w:tcBorders>
              <w:top w:val="single" w:sz="4" w:space="0" w:color="auto"/>
              <w:left w:val="nil"/>
              <w:bottom w:val="single" w:sz="4" w:space="0" w:color="auto"/>
              <w:right w:val="single" w:sz="8" w:space="0" w:color="000000"/>
            </w:tcBorders>
            <w:noWrap/>
            <w:vAlign w:val="center"/>
          </w:tcPr>
          <w:p w14:paraId="450CFBA3"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1)</w:t>
            </w:r>
            <w:r w:rsidRPr="005A07E7">
              <w:rPr>
                <w:rFonts w:ascii="Tahoma" w:hAnsi="Tahoma" w:cs="Tahoma"/>
                <w:color w:val="000000"/>
                <w:sz w:val="20"/>
                <w:szCs w:val="20"/>
              </w:rPr>
              <w:t xml:space="preserve"> Залог приобретаемого Заёмщиком за счет кредитных средств Банка ТС</w:t>
            </w:r>
          </w:p>
          <w:p w14:paraId="1E1E7B14"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2) Неустойка (штраф, пеня). В случае нарушения обязательств по Договору с Заёмщика может быть взыскана неустойка в сумм</w:t>
            </w:r>
            <w:r>
              <w:rPr>
                <w:rFonts w:ascii="Tahoma" w:hAnsi="Tahoma" w:cs="Tahoma"/>
                <w:sz w:val="20"/>
                <w:szCs w:val="20"/>
              </w:rPr>
              <w:t xml:space="preserve">е </w:t>
            </w:r>
            <w:r w:rsidRPr="005A07E7">
              <w:rPr>
                <w:rFonts w:ascii="Tahoma" w:hAnsi="Tahoma" w:cs="Tahoma"/>
                <w:sz w:val="20"/>
                <w:szCs w:val="20"/>
              </w:rPr>
              <w:t>и порядке, определенных Сторонами в соответствии с законодательством РФ и Индивидуальными условиями Договора.</w:t>
            </w:r>
            <w:r w:rsidRPr="005A07E7">
              <w:rPr>
                <w:rFonts w:ascii="Tahoma" w:hAnsi="Tahoma" w:cs="Tahoma"/>
                <w:sz w:val="20"/>
                <w:szCs w:val="20"/>
              </w:rPr>
              <w:fldChar w:fldCharType="begin"/>
            </w:r>
            <w:r w:rsidRPr="005A07E7">
              <w:rPr>
                <w:rFonts w:ascii="Tahoma" w:hAnsi="Tahoma" w:cs="Tahoma"/>
                <w:sz w:val="20"/>
                <w:szCs w:val="20"/>
              </w:rPr>
              <w:instrText xml:space="preserve"> DOCVARIABLE  ATB_ADDRESS_FACT </w:instrText>
            </w:r>
            <w:r w:rsidRPr="005A07E7">
              <w:rPr>
                <w:rFonts w:ascii="Tahoma" w:hAnsi="Tahoma" w:cs="Tahoma"/>
                <w:sz w:val="20"/>
                <w:szCs w:val="20"/>
              </w:rPr>
              <w:fldChar w:fldCharType="end"/>
            </w:r>
          </w:p>
        </w:tc>
      </w:tr>
      <w:tr w:rsidR="009D1253" w:rsidRPr="005A07E7" w14:paraId="22F87067"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01"/>
        </w:trPr>
        <w:tc>
          <w:tcPr>
            <w:tcW w:w="1475" w:type="pct"/>
            <w:tcBorders>
              <w:top w:val="single" w:sz="4" w:space="0" w:color="auto"/>
              <w:left w:val="single" w:sz="8" w:space="0" w:color="auto"/>
              <w:bottom w:val="single" w:sz="4" w:space="0" w:color="auto"/>
              <w:right w:val="single" w:sz="4" w:space="0" w:color="000000"/>
            </w:tcBorders>
            <w:shd w:val="clear" w:color="auto" w:fill="auto"/>
            <w:vAlign w:val="center"/>
          </w:tcPr>
          <w:p w14:paraId="2FC74A8B"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Способы возврата  Заёмщиком Кредита и уплаты процентов по нему, включая бесплатный способ исполнения Заёмщиком обязательств по Договору «Потребительский кредит под залог транспортного средства»</w:t>
            </w:r>
          </w:p>
        </w:tc>
        <w:tc>
          <w:tcPr>
            <w:tcW w:w="3525" w:type="pct"/>
            <w:tcBorders>
              <w:top w:val="single" w:sz="4" w:space="0" w:color="auto"/>
              <w:left w:val="nil"/>
              <w:bottom w:val="single" w:sz="4" w:space="0" w:color="auto"/>
              <w:right w:val="single" w:sz="8" w:space="0" w:color="000000"/>
            </w:tcBorders>
            <w:shd w:val="clear" w:color="auto" w:fill="auto"/>
            <w:vAlign w:val="center"/>
          </w:tcPr>
          <w:p w14:paraId="0B837776"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Погашение Заёмщиком обязательств по Договору осуществляется в сумме и сроки предусмотренные Договором (в т.ч. при досрочном частичном или полном возврате Кредита) производится любым способом по выбору Заёмщика, в том числе: посредством внесения денежных средств в сумме обязательства на ТБС Заёмщика через терминалы самообслуживания Банка (при их наличии в населенном пункте по месту получения Заёмщиком оферты)</w:t>
            </w:r>
            <w:r>
              <w:rPr>
                <w:rFonts w:ascii="Tahoma" w:hAnsi="Tahoma" w:cs="Tahoma"/>
                <w:sz w:val="20"/>
                <w:szCs w:val="20"/>
              </w:rPr>
              <w:t>/</w:t>
            </w:r>
            <w:r w:rsidRPr="005A07E7">
              <w:rPr>
                <w:rFonts w:ascii="Tahoma" w:hAnsi="Tahoma" w:cs="Tahoma"/>
                <w:sz w:val="20"/>
                <w:szCs w:val="20"/>
              </w:rPr>
              <w:t xml:space="preserve"> кассы Банка, перевод через работодателя Заёмщика, перевод со счёта в Банке на ТБС Заёмщика, перевод через отделения АО «Почта России», перевод через интернет-системы «АТБ-Онлайн», «АТБ</w:t>
            </w:r>
            <w:r>
              <w:rPr>
                <w:rFonts w:ascii="Tahoma" w:hAnsi="Tahoma" w:cs="Tahoma"/>
                <w:sz w:val="20"/>
                <w:szCs w:val="20"/>
              </w:rPr>
              <w:t xml:space="preserve"> Банк</w:t>
            </w:r>
            <w:r w:rsidRPr="005A07E7">
              <w:rPr>
                <w:rFonts w:ascii="Tahoma" w:hAnsi="Tahoma" w:cs="Tahoma"/>
                <w:sz w:val="20"/>
                <w:szCs w:val="20"/>
              </w:rPr>
              <w:t xml:space="preserve">», иные кредитные организации (по предусмотренным ими тарифам). </w:t>
            </w:r>
          </w:p>
          <w:p w14:paraId="4D8AAFDA"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Могут использоваться иные, не противоречащие законодательству РФ способы.</w:t>
            </w:r>
          </w:p>
          <w:p w14:paraId="5C890AB2" w14:textId="77777777" w:rsidR="009D1253"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Заёмщик вносит на ТБС денежные средства любыми из перечисленных выше способов, при этом он обязан учесть время, затрачиваемое на безналичное перечисление денежных средств, выходные и праздничные дни. Если установленный Договором последний день срока платежа отсутствует в календарном месяце, Заёмщик обязан внести денежные средства на ТБС не позднее последнего календарного рабочего дня месяца; если последний день срока платежа приходится на выходные/нерабочие праздничные дни, Заёмщик обязан внести денежные средства на ТБС не позднее 1-го рабочего дня, следующего за выходным/нерабочим праздничным днем. Указанная обязанность должна быть исполнена Заёмщиком в операционный день Банка.</w:t>
            </w:r>
          </w:p>
          <w:p w14:paraId="106C39F7" w14:textId="77777777" w:rsidR="009D1253" w:rsidRPr="005A07E7" w:rsidRDefault="009D1253" w:rsidP="009D1253">
            <w:pPr>
              <w:widowControl w:val="0"/>
              <w:tabs>
                <w:tab w:val="left" w:pos="426"/>
                <w:tab w:val="left" w:pos="851"/>
              </w:tabs>
              <w:jc w:val="both"/>
              <w:rPr>
                <w:rFonts w:ascii="Tahoma" w:hAnsi="Tahoma" w:cs="Tahoma"/>
                <w:sz w:val="20"/>
                <w:szCs w:val="20"/>
              </w:rPr>
            </w:pPr>
            <w:r>
              <w:rPr>
                <w:rFonts w:ascii="Tahoma" w:hAnsi="Tahoma" w:cs="Tahoma"/>
                <w:sz w:val="20"/>
                <w:szCs w:val="20"/>
              </w:rPr>
              <w:t>Бесплатный способ исполнения Заёмщиком обязательств по Договору производится путем внесения денежных средств в сумме обязательства на ТБС Заёмщика через терминалы самообслуживания Банка (при их наличии в населенном пункте по месту получения Заёмщиком оферты)/ кассы Банка, перевод через работодателя Заёмщика, с использованием сервиса Системы быстрых платежей (в рамках бесплатных лимитов, установленных тарифами сервиса). В случае изменений, информация доводится до Заемщика в соответствии с Общими условиями кредитования.</w:t>
            </w:r>
          </w:p>
        </w:tc>
      </w:tr>
      <w:tr w:rsidR="009D1253" w:rsidRPr="005A07E7" w14:paraId="7DF14BFD"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01"/>
        </w:trPr>
        <w:tc>
          <w:tcPr>
            <w:tcW w:w="1475" w:type="pct"/>
            <w:tcBorders>
              <w:top w:val="single" w:sz="4" w:space="0" w:color="auto"/>
              <w:left w:val="single" w:sz="8" w:space="0" w:color="auto"/>
              <w:bottom w:val="single" w:sz="4" w:space="0" w:color="auto"/>
              <w:right w:val="single" w:sz="4" w:space="0" w:color="000000"/>
            </w:tcBorders>
            <w:shd w:val="clear" w:color="auto" w:fill="auto"/>
            <w:vAlign w:val="center"/>
          </w:tcPr>
          <w:p w14:paraId="2FFCF7AF"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Порядок погашения Заёмщиком задолженности по Кредиту</w:t>
            </w:r>
          </w:p>
        </w:tc>
        <w:tc>
          <w:tcPr>
            <w:tcW w:w="3525" w:type="pct"/>
            <w:tcBorders>
              <w:top w:val="single" w:sz="4" w:space="0" w:color="auto"/>
              <w:left w:val="nil"/>
              <w:bottom w:val="single" w:sz="4" w:space="0" w:color="auto"/>
              <w:right w:val="single" w:sz="8" w:space="0" w:color="000000"/>
            </w:tcBorders>
            <w:shd w:val="clear" w:color="auto" w:fill="auto"/>
            <w:vAlign w:val="center"/>
          </w:tcPr>
          <w:p w14:paraId="16B6CD5E" w14:textId="77777777" w:rsidR="009D1253" w:rsidRPr="005A07E7" w:rsidRDefault="009D1253" w:rsidP="009D1253">
            <w:pPr>
              <w:widowControl w:val="0"/>
              <w:tabs>
                <w:tab w:val="left" w:pos="426"/>
                <w:tab w:val="left" w:pos="851"/>
              </w:tabs>
              <w:jc w:val="both"/>
              <w:rPr>
                <w:rFonts w:ascii="Tahoma" w:hAnsi="Tahoma" w:cs="Tahoma"/>
                <w:sz w:val="20"/>
                <w:szCs w:val="20"/>
              </w:rPr>
            </w:pPr>
            <w:r>
              <w:rPr>
                <w:rFonts w:ascii="Tahoma" w:hAnsi="Tahoma" w:cs="Tahoma"/>
                <w:sz w:val="20"/>
                <w:szCs w:val="20"/>
              </w:rPr>
              <w:t>Определен УДБО.</w:t>
            </w:r>
          </w:p>
        </w:tc>
      </w:tr>
      <w:tr w:rsidR="009D1253" w:rsidRPr="005A07E7" w14:paraId="52E9A656"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344"/>
        </w:trPr>
        <w:tc>
          <w:tcPr>
            <w:tcW w:w="1475" w:type="pct"/>
            <w:tcBorders>
              <w:top w:val="single" w:sz="4" w:space="0" w:color="auto"/>
              <w:left w:val="single" w:sz="8" w:space="0" w:color="auto"/>
              <w:bottom w:val="single" w:sz="4" w:space="0" w:color="auto"/>
              <w:right w:val="single" w:sz="4" w:space="0" w:color="000000"/>
            </w:tcBorders>
            <w:vAlign w:val="center"/>
          </w:tcPr>
          <w:p w14:paraId="2CFD15A2" w14:textId="77777777" w:rsidR="009D1253" w:rsidRPr="005A07E7" w:rsidRDefault="009D1253" w:rsidP="009D1253">
            <w:pPr>
              <w:rPr>
                <w:rFonts w:ascii="Tahoma" w:hAnsi="Tahoma" w:cs="Tahoma"/>
                <w:b/>
                <w:sz w:val="20"/>
                <w:szCs w:val="20"/>
              </w:rPr>
            </w:pPr>
            <w:r w:rsidRPr="005A07E7">
              <w:rPr>
                <w:rFonts w:ascii="Tahoma" w:hAnsi="Tahoma" w:cs="Tahoma"/>
                <w:b/>
                <w:color w:val="000000"/>
                <w:sz w:val="20"/>
                <w:szCs w:val="20"/>
              </w:rPr>
              <w:t xml:space="preserve">Ответственность Заёмщика за ненадлежащее исполнение Договора </w:t>
            </w:r>
          </w:p>
        </w:tc>
        <w:tc>
          <w:tcPr>
            <w:tcW w:w="3525" w:type="pct"/>
            <w:tcBorders>
              <w:top w:val="single" w:sz="4" w:space="0" w:color="auto"/>
              <w:left w:val="nil"/>
              <w:bottom w:val="single" w:sz="4" w:space="0" w:color="auto"/>
              <w:right w:val="single" w:sz="8" w:space="0" w:color="000000"/>
            </w:tcBorders>
            <w:vAlign w:val="center"/>
          </w:tcPr>
          <w:p w14:paraId="0433B0E9" w14:textId="77777777" w:rsidR="009D1253" w:rsidRPr="005A07E7" w:rsidRDefault="009D1253" w:rsidP="009D1253">
            <w:pPr>
              <w:widowControl w:val="0"/>
              <w:jc w:val="both"/>
              <w:rPr>
                <w:rFonts w:ascii="Tahoma" w:hAnsi="Tahoma" w:cs="Tahoma"/>
                <w:sz w:val="20"/>
                <w:szCs w:val="20"/>
              </w:rPr>
            </w:pPr>
            <w:r w:rsidRPr="005A07E7">
              <w:rPr>
                <w:rFonts w:ascii="Tahoma" w:hAnsi="Tahoma" w:cs="Tahoma"/>
                <w:sz w:val="20"/>
                <w:szCs w:val="20"/>
              </w:rPr>
              <w:t xml:space="preserve">В случае нарушения Заёмщиком сроков возврата Кредита и/или уплаты процентов на сумму Кредита Заёмщик уплачивает Банку неустойку в размере 20% годовых от суммы просроченной задолженности за каждый день нарушения срока уплаты. </w:t>
            </w:r>
          </w:p>
          <w:p w14:paraId="4E1691F1" w14:textId="77777777" w:rsidR="009D1253" w:rsidRPr="005A07E7" w:rsidRDefault="009D1253" w:rsidP="009D1253">
            <w:pPr>
              <w:widowControl w:val="0"/>
              <w:tabs>
                <w:tab w:val="left" w:pos="426"/>
                <w:tab w:val="left" w:pos="851"/>
              </w:tabs>
              <w:jc w:val="both"/>
              <w:rPr>
                <w:rFonts w:ascii="Tahoma" w:eastAsia="Calibri" w:hAnsi="Tahoma" w:cs="Tahoma"/>
                <w:sz w:val="20"/>
                <w:szCs w:val="20"/>
              </w:rPr>
            </w:pPr>
            <w:r w:rsidRPr="005A07E7">
              <w:rPr>
                <w:rFonts w:ascii="Tahoma" w:hAnsi="Tahoma" w:cs="Tahoma"/>
                <w:sz w:val="20"/>
                <w:szCs w:val="20"/>
              </w:rPr>
              <w:t xml:space="preserve">В случае нарушения Заёмщиком сроков возврата суммы Кредита (основного долга) и/или уплаты процентов продолжительностью (общей продолжительностью) более чем 60 календарных дней в течение последних 180 календарных дней, Банк вправе потребовать от Заёмщика досрочного возврата оставшейся суммы Кредита вместе с причитающимися процентами и/или расторжения Договора, уведомив об этом Заёмщика способом, установленным Договором. В таком случае Заёмщик обязан вернуть Банку оставшуюся сумму Кредита и уплатить все причитающиеся Банку проценты и неустойки в течение 30 календарных дней с момента направления Банком </w:t>
            </w:r>
            <w:r w:rsidRPr="005A07E7">
              <w:rPr>
                <w:rFonts w:ascii="Tahoma" w:hAnsi="Tahoma" w:cs="Tahoma"/>
                <w:sz w:val="20"/>
                <w:szCs w:val="20"/>
              </w:rPr>
              <w:lastRenderedPageBreak/>
              <w:t>уведомления Заёмщику, если иной, более продолжительный срок не указан Банком в таком уведомлении.</w:t>
            </w:r>
          </w:p>
        </w:tc>
      </w:tr>
      <w:tr w:rsidR="009D1253" w:rsidRPr="005A07E7" w14:paraId="0157B6D4" w14:textId="77777777" w:rsidTr="009D1253">
        <w:tblPrEx>
          <w:tblLook w:val="00A0" w:firstRow="1" w:lastRow="0" w:firstColumn="1" w:lastColumn="0" w:noHBand="0" w:noVBand="0"/>
        </w:tblPrEx>
        <w:trPr>
          <w:trHeight w:val="1000"/>
        </w:trPr>
        <w:tc>
          <w:tcPr>
            <w:tcW w:w="1475" w:type="pct"/>
            <w:tcBorders>
              <w:top w:val="single" w:sz="4" w:space="0" w:color="auto"/>
              <w:left w:val="single" w:sz="8" w:space="0" w:color="auto"/>
              <w:bottom w:val="single" w:sz="4" w:space="0" w:color="auto"/>
              <w:right w:val="single" w:sz="4" w:space="0" w:color="000000"/>
            </w:tcBorders>
            <w:vAlign w:val="center"/>
          </w:tcPr>
          <w:p w14:paraId="689F1EA3"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lastRenderedPageBreak/>
              <w:t>Информация о возможности запрета уступки Кредитором третьим лицам прав (требований) по Договору «Потребительский кредит под залог транспортного средства»</w:t>
            </w:r>
          </w:p>
        </w:tc>
        <w:tc>
          <w:tcPr>
            <w:tcW w:w="3525" w:type="pct"/>
            <w:tcBorders>
              <w:top w:val="single" w:sz="4" w:space="0" w:color="auto"/>
              <w:left w:val="nil"/>
              <w:bottom w:val="single" w:sz="4" w:space="0" w:color="auto"/>
              <w:right w:val="single" w:sz="8" w:space="0" w:color="000000"/>
            </w:tcBorders>
            <w:vAlign w:val="center"/>
          </w:tcPr>
          <w:p w14:paraId="3B67348C"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Заёмщик вправе запретить уступку Банком третьим лицам прав (требований) по Договору.</w:t>
            </w:r>
          </w:p>
        </w:tc>
      </w:tr>
      <w:tr w:rsidR="009D1253" w:rsidRPr="005A07E7" w14:paraId="182651C3"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303"/>
        </w:trPr>
        <w:tc>
          <w:tcPr>
            <w:tcW w:w="1475" w:type="pct"/>
            <w:tcBorders>
              <w:top w:val="single" w:sz="4" w:space="0" w:color="auto"/>
              <w:left w:val="single" w:sz="8" w:space="0" w:color="auto"/>
              <w:bottom w:val="single" w:sz="4" w:space="0" w:color="auto"/>
              <w:right w:val="single" w:sz="4" w:space="0" w:color="000000"/>
            </w:tcBorders>
            <w:vAlign w:val="center"/>
          </w:tcPr>
          <w:p w14:paraId="1D0D9FEF"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 xml:space="preserve">Порядок предоставления Заёмщиком информации об использовании Кредита </w:t>
            </w:r>
          </w:p>
        </w:tc>
        <w:tc>
          <w:tcPr>
            <w:tcW w:w="3525" w:type="pct"/>
            <w:tcBorders>
              <w:top w:val="single" w:sz="4" w:space="0" w:color="auto"/>
              <w:left w:val="nil"/>
              <w:bottom w:val="single" w:sz="4" w:space="0" w:color="auto"/>
              <w:right w:val="single" w:sz="8" w:space="0" w:color="000000"/>
            </w:tcBorders>
            <w:vAlign w:val="center"/>
          </w:tcPr>
          <w:p w14:paraId="2EBD6127"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При заключении Договора «Потребительский кредит под залог транспортного средства»</w:t>
            </w:r>
            <w:r w:rsidRPr="005A07E7">
              <w:rPr>
                <w:rFonts w:ascii="Tahoma" w:hAnsi="Tahoma" w:cs="Tahoma"/>
                <w:b/>
                <w:sz w:val="20"/>
                <w:szCs w:val="20"/>
              </w:rPr>
              <w:t xml:space="preserve"> </w:t>
            </w:r>
            <w:r w:rsidRPr="005A07E7">
              <w:rPr>
                <w:rFonts w:ascii="Tahoma" w:hAnsi="Tahoma" w:cs="Tahoma"/>
                <w:sz w:val="20"/>
                <w:szCs w:val="20"/>
              </w:rPr>
              <w:t>Заёмщик предоставляет Банку копии документов, подтверждающих приобретение ТС, а также иных товаров, работ, услуг (при их наличии).</w:t>
            </w:r>
          </w:p>
          <w:p w14:paraId="3244E588" w14:textId="77777777" w:rsidR="009D1253" w:rsidRPr="005A07E7" w:rsidRDefault="009D1253" w:rsidP="009D1253">
            <w:pPr>
              <w:jc w:val="both"/>
              <w:rPr>
                <w:rFonts w:ascii="Tahoma" w:hAnsi="Tahoma" w:cs="Tahoma"/>
                <w:sz w:val="20"/>
                <w:szCs w:val="20"/>
              </w:rPr>
            </w:pPr>
          </w:p>
        </w:tc>
      </w:tr>
      <w:tr w:rsidR="009D1253" w:rsidRPr="005A07E7" w14:paraId="318AD127" w14:textId="77777777" w:rsidTr="009D1253">
        <w:tblPrEx>
          <w:tblLook w:val="00A0" w:firstRow="1" w:lastRow="0" w:firstColumn="1" w:lastColumn="0" w:noHBand="0" w:noVBand="0"/>
        </w:tblPrEx>
        <w:trPr>
          <w:trHeight w:val="395"/>
        </w:trPr>
        <w:tc>
          <w:tcPr>
            <w:tcW w:w="1475" w:type="pct"/>
            <w:tcBorders>
              <w:top w:val="single" w:sz="4" w:space="0" w:color="auto"/>
              <w:left w:val="single" w:sz="8" w:space="0" w:color="auto"/>
              <w:bottom w:val="single" w:sz="4" w:space="0" w:color="auto"/>
              <w:right w:val="single" w:sz="4" w:space="0" w:color="000000"/>
            </w:tcBorders>
            <w:vAlign w:val="center"/>
          </w:tcPr>
          <w:p w14:paraId="111B5C47"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Подсудность споров по искам Кредитора к Заёмщику</w:t>
            </w:r>
          </w:p>
        </w:tc>
        <w:tc>
          <w:tcPr>
            <w:tcW w:w="3525" w:type="pct"/>
            <w:tcBorders>
              <w:top w:val="single" w:sz="4" w:space="0" w:color="auto"/>
              <w:left w:val="nil"/>
              <w:bottom w:val="single" w:sz="4" w:space="0" w:color="auto"/>
              <w:right w:val="single" w:sz="8" w:space="0" w:color="000000"/>
            </w:tcBorders>
            <w:vAlign w:val="center"/>
          </w:tcPr>
          <w:p w14:paraId="61AFD4FD"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Неурегулированные споры по искам Банка к Заёмщику рассматриваются в порядке, установленном законодательством РФ. Взыскание задолженности по Договору может производиться по исполнительной надписи нотариуса, совершаемой на основании заявления Банка.</w:t>
            </w:r>
          </w:p>
        </w:tc>
      </w:tr>
      <w:tr w:rsidR="009D1253" w:rsidRPr="00026641" w14:paraId="723DA8BD" w14:textId="77777777" w:rsidTr="009D1253">
        <w:tblPrEx>
          <w:tblLook w:val="00A0" w:firstRow="1" w:lastRow="0" w:firstColumn="1" w:lastColumn="0" w:noHBand="0" w:noVBand="0"/>
        </w:tblPrEx>
        <w:trPr>
          <w:trHeight w:val="263"/>
        </w:trPr>
        <w:tc>
          <w:tcPr>
            <w:tcW w:w="1475" w:type="pct"/>
            <w:tcBorders>
              <w:top w:val="single" w:sz="4" w:space="0" w:color="auto"/>
              <w:left w:val="single" w:sz="8" w:space="0" w:color="auto"/>
              <w:bottom w:val="single" w:sz="4" w:space="0" w:color="auto"/>
              <w:right w:val="single" w:sz="4" w:space="0" w:color="000000"/>
            </w:tcBorders>
            <w:vAlign w:val="center"/>
          </w:tcPr>
          <w:p w14:paraId="3586A23B"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Формуляры или иные стандартные формы, в которых определены общие условия договора «Потребительский кредит под залог транспортного средства»</w:t>
            </w:r>
          </w:p>
        </w:tc>
        <w:tc>
          <w:tcPr>
            <w:tcW w:w="3525" w:type="pct"/>
            <w:tcBorders>
              <w:top w:val="single" w:sz="4" w:space="0" w:color="auto"/>
              <w:left w:val="nil"/>
              <w:bottom w:val="single" w:sz="4" w:space="0" w:color="auto"/>
              <w:right w:val="single" w:sz="8" w:space="0" w:color="000000"/>
            </w:tcBorders>
            <w:vAlign w:val="center"/>
          </w:tcPr>
          <w:p w14:paraId="090A7BD7" w14:textId="77777777" w:rsidR="009D1253" w:rsidRPr="00026641"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Общие условия Договора «Потребительский кредит под залог транспортного средства» закреплены в «Общих условиях потребительского кредитования в «Азиатско-Тихоокеанский Банк» (АО)», являющихся Приложением № 3 к Универсальному договору банковского обслуживания физических лиц «Азиатско-Тихоокеанский Банк» (АО), размещённых в местах приема заявлений на предоставление потребительского кредита под залог транспортного средства (в отделениях Банка и иных местах приема заявлений на предоставление потребительского кредита под залог транспортного средства), на сайте Банка в сети Интернет по адресу www.atb.su и могут быть предоставлены Заемщику по его требованию на бумажном носителе.</w:t>
            </w:r>
          </w:p>
        </w:tc>
      </w:tr>
      <w:tr w:rsidR="009D1253" w:rsidRPr="00026641" w14:paraId="3AFB3277" w14:textId="77777777" w:rsidTr="009D1253">
        <w:tblPrEx>
          <w:tblLook w:val="00A0" w:firstRow="1" w:lastRow="0" w:firstColumn="1" w:lastColumn="0" w:noHBand="0" w:noVBand="0"/>
        </w:tblPrEx>
        <w:trPr>
          <w:trHeight w:val="263"/>
        </w:trPr>
        <w:tc>
          <w:tcPr>
            <w:tcW w:w="1475" w:type="pct"/>
            <w:tcBorders>
              <w:top w:val="single" w:sz="4" w:space="0" w:color="auto"/>
              <w:left w:val="single" w:sz="8" w:space="0" w:color="auto"/>
              <w:bottom w:val="single" w:sz="4" w:space="0" w:color="auto"/>
              <w:right w:val="single" w:sz="4" w:space="0" w:color="000000"/>
            </w:tcBorders>
            <w:vAlign w:val="center"/>
          </w:tcPr>
          <w:p w14:paraId="427F5F5C" w14:textId="77777777" w:rsidR="009D1253" w:rsidRPr="005A07E7" w:rsidRDefault="009D1253" w:rsidP="009D1253">
            <w:pPr>
              <w:jc w:val="both"/>
              <w:rPr>
                <w:rFonts w:ascii="Tahoma" w:hAnsi="Tahoma" w:cs="Tahoma"/>
                <w:b/>
                <w:sz w:val="20"/>
                <w:szCs w:val="20"/>
              </w:rPr>
            </w:pPr>
            <w:r w:rsidRPr="00695066">
              <w:rPr>
                <w:rFonts w:ascii="Tahoma" w:hAnsi="Tahoma" w:cs="Tahoma"/>
                <w:b/>
                <w:bCs/>
                <w:sz w:val="20"/>
                <w:szCs w:val="20"/>
              </w:rPr>
              <w:t>Право заемщика обратиться к кредитору с требованием, предусмотренным частью 1 статьи 6.1-2 Федерального закона от 21.12.2013 № 353-ФЗ «О потребительском кредите (займе)», и об условиях, при наступлении которых у заемщика возникает соответствующее право.</w:t>
            </w:r>
          </w:p>
        </w:tc>
        <w:tc>
          <w:tcPr>
            <w:tcW w:w="3525" w:type="pct"/>
            <w:tcBorders>
              <w:top w:val="single" w:sz="4" w:space="0" w:color="auto"/>
              <w:left w:val="nil"/>
              <w:bottom w:val="single" w:sz="4" w:space="0" w:color="auto"/>
              <w:right w:val="single" w:sz="8" w:space="0" w:color="000000"/>
            </w:tcBorders>
            <w:vAlign w:val="center"/>
          </w:tcPr>
          <w:p w14:paraId="2B7A1A46" w14:textId="77777777" w:rsidR="009D1253" w:rsidRPr="00695066" w:rsidRDefault="009D1253" w:rsidP="009D1253">
            <w:pPr>
              <w:widowControl w:val="0"/>
              <w:tabs>
                <w:tab w:val="left" w:pos="426"/>
                <w:tab w:val="left" w:pos="851"/>
              </w:tabs>
              <w:jc w:val="both"/>
              <w:rPr>
                <w:rFonts w:ascii="Tahoma" w:hAnsi="Tahoma" w:cs="Tahoma"/>
                <w:sz w:val="20"/>
                <w:szCs w:val="20"/>
              </w:rPr>
            </w:pPr>
            <w:r w:rsidRPr="00695066">
              <w:rPr>
                <w:rFonts w:ascii="Tahoma" w:hAnsi="Tahoma" w:cs="Tahoma"/>
                <w:sz w:val="20"/>
                <w:szCs w:val="20"/>
              </w:rPr>
              <w:t xml:space="preserve">Заемщик в любой момент в течение времени действия Договора, а в случае, указанном в п. 2 ч. 2 ст. 6.1-2 Закона № 353-ФЗ, в течение шестидесяти дней со дня установления соответствующих фактов, вправе обратиться к кредитору с требованием о предоставлении льготного периода, предусматривающего приостановление исполнения Заемщиком своих обязательств по Договору. </w:t>
            </w:r>
          </w:p>
          <w:p w14:paraId="064EBEB5" w14:textId="77777777" w:rsidR="009D1253" w:rsidRPr="00695066" w:rsidRDefault="009D1253" w:rsidP="009D1253">
            <w:pPr>
              <w:widowControl w:val="0"/>
              <w:tabs>
                <w:tab w:val="left" w:pos="426"/>
                <w:tab w:val="left" w:pos="851"/>
              </w:tabs>
              <w:jc w:val="both"/>
              <w:rPr>
                <w:rFonts w:ascii="Tahoma" w:hAnsi="Tahoma" w:cs="Tahoma"/>
                <w:sz w:val="20"/>
                <w:szCs w:val="20"/>
              </w:rPr>
            </w:pPr>
            <w:r w:rsidRPr="00695066">
              <w:rPr>
                <w:rFonts w:ascii="Tahoma" w:hAnsi="Tahoma" w:cs="Tahoma"/>
                <w:sz w:val="20"/>
                <w:szCs w:val="20"/>
              </w:rPr>
              <w:t xml:space="preserve">С условиями, при наступлении которых у Заемщика возникает такое право, можно ознакомиться в размещаемой Банком информации о кредитных каникулах в рамках 353-ФЗ, в том числе на сайте Банка </w:t>
            </w:r>
          </w:p>
          <w:p w14:paraId="15F6DFFA" w14:textId="77777777" w:rsidR="009D1253" w:rsidRPr="005A07E7" w:rsidRDefault="009D1253" w:rsidP="009D1253">
            <w:pPr>
              <w:widowControl w:val="0"/>
              <w:tabs>
                <w:tab w:val="left" w:pos="426"/>
                <w:tab w:val="left" w:pos="851"/>
              </w:tabs>
              <w:jc w:val="both"/>
              <w:rPr>
                <w:rFonts w:ascii="Tahoma" w:hAnsi="Tahoma" w:cs="Tahoma"/>
                <w:sz w:val="20"/>
                <w:szCs w:val="20"/>
              </w:rPr>
            </w:pPr>
            <w:hyperlink r:id="rId61" w:history="1">
              <w:r w:rsidRPr="00695066">
                <w:rPr>
                  <w:rStyle w:val="aff"/>
                  <w:rFonts w:ascii="Tahoma" w:hAnsi="Tahoma" w:cs="Tahoma"/>
                  <w:sz w:val="20"/>
                  <w:szCs w:val="20"/>
                </w:rPr>
                <w:t>https://www.atb.su/customer-care-service/</w:t>
              </w:r>
            </w:hyperlink>
          </w:p>
        </w:tc>
      </w:tr>
    </w:tbl>
    <w:p w14:paraId="1882AA82" w14:textId="77777777" w:rsidR="009D1253" w:rsidRDefault="009D1253" w:rsidP="009D1253">
      <w:pPr>
        <w:rPr>
          <w:rFonts w:ascii="Tahoma" w:hAnsi="Tahoma" w:cs="Tahoma"/>
          <w:b/>
          <w:i/>
          <w:color w:val="E36C0A"/>
          <w:sz w:val="22"/>
        </w:rPr>
      </w:pPr>
    </w:p>
    <w:p w14:paraId="67D3F067" w14:textId="77777777" w:rsidR="009D1253" w:rsidRPr="00C9310A" w:rsidRDefault="009D1253" w:rsidP="000B3718">
      <w:pPr>
        <w:pStyle w:val="a5"/>
      </w:pPr>
      <w:bookmarkStart w:id="136" w:name="_Toc174636545"/>
      <w:r w:rsidRPr="00C9310A">
        <w:t>2.4.5.Тарифный план «АСП_ОД»</w:t>
      </w:r>
      <w:bookmarkEnd w:id="136"/>
    </w:p>
    <w:tbl>
      <w:tblPr>
        <w:tblW w:w="4886"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24"/>
        <w:gridCol w:w="10812"/>
      </w:tblGrid>
      <w:tr w:rsidR="009D1253" w:rsidRPr="005A07E7" w14:paraId="38884E4E" w14:textId="77777777" w:rsidTr="009D1253">
        <w:trPr>
          <w:trHeight w:val="455"/>
        </w:trPr>
        <w:tc>
          <w:tcPr>
            <w:tcW w:w="1475" w:type="pct"/>
            <w:shd w:val="clear" w:color="auto" w:fill="D9D9D9" w:themeFill="background1" w:themeFillShade="D9"/>
            <w:vAlign w:val="center"/>
          </w:tcPr>
          <w:p w14:paraId="48BA7B94" w14:textId="77777777" w:rsidR="009D1253" w:rsidRPr="005A07E7" w:rsidRDefault="009D1253" w:rsidP="009D1253">
            <w:pPr>
              <w:jc w:val="center"/>
              <w:rPr>
                <w:rFonts w:ascii="Tahoma" w:hAnsi="Tahoma" w:cs="Tahoma"/>
                <w:b/>
                <w:sz w:val="20"/>
                <w:szCs w:val="20"/>
              </w:rPr>
            </w:pPr>
            <w:r w:rsidRPr="005A07E7">
              <w:rPr>
                <w:rFonts w:ascii="Tahoma" w:hAnsi="Tahoma" w:cs="Tahoma"/>
                <w:b/>
                <w:sz w:val="20"/>
                <w:szCs w:val="20"/>
              </w:rPr>
              <w:t>Наименование продукта/</w:t>
            </w:r>
            <w:r w:rsidRPr="005A07E7" w:rsidDel="00A134C4">
              <w:rPr>
                <w:rFonts w:ascii="Tahoma" w:hAnsi="Tahoma" w:cs="Tahoma"/>
                <w:b/>
                <w:sz w:val="20"/>
                <w:szCs w:val="20"/>
              </w:rPr>
              <w:t xml:space="preserve"> </w:t>
            </w:r>
            <w:r w:rsidRPr="005A07E7">
              <w:rPr>
                <w:rFonts w:ascii="Tahoma" w:hAnsi="Tahoma" w:cs="Tahoma"/>
                <w:b/>
                <w:sz w:val="20"/>
                <w:szCs w:val="20"/>
              </w:rPr>
              <w:t>тарифного плана (ТП)</w:t>
            </w:r>
          </w:p>
        </w:tc>
        <w:tc>
          <w:tcPr>
            <w:tcW w:w="3525" w:type="pct"/>
            <w:shd w:val="clear" w:color="auto" w:fill="D9D9D9" w:themeFill="background1" w:themeFillShade="D9"/>
            <w:vAlign w:val="center"/>
          </w:tcPr>
          <w:p w14:paraId="3523C6A4" w14:textId="77777777" w:rsidR="009D1253" w:rsidRPr="005A07E7" w:rsidRDefault="009D1253" w:rsidP="009D1253">
            <w:pPr>
              <w:pStyle w:val="a9"/>
              <w:tabs>
                <w:tab w:val="left" w:pos="-284"/>
                <w:tab w:val="left" w:pos="851"/>
              </w:tabs>
              <w:spacing w:before="0" w:after="0"/>
              <w:ind w:right="849"/>
              <w:jc w:val="center"/>
              <w:rPr>
                <w:rFonts w:ascii="Tahoma" w:hAnsi="Tahoma" w:cs="Tahoma"/>
                <w:b/>
              </w:rPr>
            </w:pPr>
            <w:r w:rsidRPr="005A07E7">
              <w:rPr>
                <w:rFonts w:ascii="Tahoma" w:hAnsi="Tahoma" w:cs="Tahoma"/>
                <w:b/>
              </w:rPr>
              <w:t>«</w:t>
            </w:r>
            <w:r>
              <w:rPr>
                <w:rFonts w:ascii="Tahoma" w:hAnsi="Tahoma" w:cs="Tahoma"/>
                <w:b/>
              </w:rPr>
              <w:t>АСП_ОД</w:t>
            </w:r>
            <w:r w:rsidRPr="005A07E7">
              <w:rPr>
                <w:rFonts w:ascii="Tahoma" w:hAnsi="Tahoma" w:cs="Tahoma"/>
                <w:b/>
              </w:rPr>
              <w:t>»</w:t>
            </w:r>
          </w:p>
        </w:tc>
      </w:tr>
      <w:tr w:rsidR="009D1253" w:rsidRPr="005A07E7" w14:paraId="1448C935" w14:textId="77777777" w:rsidTr="009D1253">
        <w:trPr>
          <w:trHeight w:val="455"/>
        </w:trPr>
        <w:tc>
          <w:tcPr>
            <w:tcW w:w="1475" w:type="pct"/>
            <w:shd w:val="clear" w:color="auto" w:fill="auto"/>
            <w:vAlign w:val="center"/>
          </w:tcPr>
          <w:p w14:paraId="6030E02C" w14:textId="77777777" w:rsidR="009D1253" w:rsidRPr="005A07E7" w:rsidRDefault="009D1253" w:rsidP="009D1253">
            <w:pPr>
              <w:rPr>
                <w:rFonts w:ascii="Tahoma" w:hAnsi="Tahoma" w:cs="Tahoma"/>
                <w:b/>
                <w:sz w:val="20"/>
                <w:szCs w:val="20"/>
              </w:rPr>
            </w:pPr>
            <w:r w:rsidRPr="005A07E7">
              <w:rPr>
                <w:rFonts w:ascii="Tahoma" w:hAnsi="Tahoma" w:cs="Tahoma"/>
                <w:b/>
                <w:bCs/>
                <w:sz w:val="20"/>
                <w:szCs w:val="20"/>
              </w:rPr>
              <w:t>Категория Заёмщика</w:t>
            </w:r>
          </w:p>
        </w:tc>
        <w:tc>
          <w:tcPr>
            <w:tcW w:w="3525" w:type="pct"/>
            <w:shd w:val="clear" w:color="auto" w:fill="auto"/>
            <w:vAlign w:val="center"/>
          </w:tcPr>
          <w:p w14:paraId="4E14F005" w14:textId="77777777" w:rsidR="009D1253" w:rsidRPr="005A07E7" w:rsidRDefault="009D1253" w:rsidP="009D1253">
            <w:pPr>
              <w:pStyle w:val="a9"/>
              <w:tabs>
                <w:tab w:val="left" w:pos="-284"/>
                <w:tab w:val="left" w:pos="851"/>
              </w:tabs>
              <w:spacing w:before="0" w:after="0"/>
              <w:ind w:right="849"/>
              <w:jc w:val="center"/>
              <w:rPr>
                <w:rFonts w:ascii="Tahoma" w:hAnsi="Tahoma" w:cs="Tahoma"/>
              </w:rPr>
            </w:pPr>
            <w:r w:rsidRPr="005A07E7">
              <w:rPr>
                <w:rFonts w:ascii="Tahoma" w:hAnsi="Tahoma" w:cs="Tahoma"/>
              </w:rPr>
              <w:t>Физические лица (имеющие официальное место работы и/или постоянный источник дохода)</w:t>
            </w:r>
          </w:p>
        </w:tc>
      </w:tr>
      <w:tr w:rsidR="009D1253" w:rsidRPr="005A07E7" w14:paraId="1AD28AAB" w14:textId="77777777" w:rsidTr="009D1253">
        <w:trPr>
          <w:trHeight w:val="250"/>
        </w:trPr>
        <w:tc>
          <w:tcPr>
            <w:tcW w:w="1475" w:type="pct"/>
            <w:vAlign w:val="center"/>
          </w:tcPr>
          <w:p w14:paraId="475BC47B"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Вид Кредита</w:t>
            </w:r>
          </w:p>
        </w:tc>
        <w:tc>
          <w:tcPr>
            <w:tcW w:w="3525" w:type="pct"/>
            <w:vAlign w:val="center"/>
          </w:tcPr>
          <w:p w14:paraId="268D6E70" w14:textId="77777777" w:rsidR="009D1253" w:rsidRPr="005A07E7" w:rsidRDefault="009D1253" w:rsidP="009D1253">
            <w:pPr>
              <w:pStyle w:val="a9"/>
              <w:tabs>
                <w:tab w:val="left" w:pos="-284"/>
                <w:tab w:val="left" w:pos="851"/>
              </w:tabs>
              <w:spacing w:before="0" w:after="0"/>
              <w:ind w:right="849"/>
              <w:jc w:val="center"/>
              <w:rPr>
                <w:rFonts w:ascii="Tahoma" w:hAnsi="Tahoma" w:cs="Tahoma"/>
              </w:rPr>
            </w:pPr>
            <w:r w:rsidRPr="005A07E7">
              <w:rPr>
                <w:rFonts w:ascii="Tahoma" w:hAnsi="Tahoma" w:cs="Tahoma"/>
              </w:rPr>
              <w:t>Потребительский кредит</w:t>
            </w:r>
          </w:p>
        </w:tc>
      </w:tr>
      <w:tr w:rsidR="009D1253" w:rsidRPr="005A07E7" w14:paraId="0C92B8BB" w14:textId="77777777" w:rsidTr="009D1253">
        <w:trPr>
          <w:trHeight w:val="250"/>
        </w:trPr>
        <w:tc>
          <w:tcPr>
            <w:tcW w:w="1475" w:type="pct"/>
            <w:vAlign w:val="center"/>
          </w:tcPr>
          <w:p w14:paraId="1A1E7CA5"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Тип Кредита</w:t>
            </w:r>
          </w:p>
        </w:tc>
        <w:tc>
          <w:tcPr>
            <w:tcW w:w="3525" w:type="pct"/>
            <w:vAlign w:val="center"/>
          </w:tcPr>
          <w:p w14:paraId="1EA07419" w14:textId="77777777" w:rsidR="009D1253" w:rsidRPr="005A07E7" w:rsidRDefault="009D1253" w:rsidP="009D1253">
            <w:pPr>
              <w:pStyle w:val="a9"/>
              <w:tabs>
                <w:tab w:val="left" w:pos="-284"/>
                <w:tab w:val="left" w:pos="851"/>
              </w:tabs>
              <w:spacing w:before="0" w:after="0"/>
              <w:ind w:right="849"/>
              <w:jc w:val="center"/>
              <w:rPr>
                <w:rFonts w:ascii="Tahoma" w:hAnsi="Tahoma" w:cs="Tahoma"/>
              </w:rPr>
            </w:pPr>
            <w:r w:rsidRPr="005A07E7">
              <w:rPr>
                <w:rFonts w:ascii="Tahoma" w:hAnsi="Tahoma" w:cs="Tahoma"/>
              </w:rPr>
              <w:t>Потребительский кредит под залог приобретенного ТС</w:t>
            </w:r>
          </w:p>
        </w:tc>
      </w:tr>
      <w:tr w:rsidR="009D1253" w:rsidRPr="005A07E7" w14:paraId="4675C0EE" w14:textId="77777777" w:rsidTr="009D1253">
        <w:trPr>
          <w:trHeight w:val="512"/>
        </w:trPr>
        <w:tc>
          <w:tcPr>
            <w:tcW w:w="1475" w:type="pct"/>
            <w:vAlign w:val="center"/>
          </w:tcPr>
          <w:p w14:paraId="73C582A5"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 xml:space="preserve">Цель Кредита </w:t>
            </w:r>
          </w:p>
        </w:tc>
        <w:tc>
          <w:tcPr>
            <w:tcW w:w="3525" w:type="pct"/>
            <w:vAlign w:val="center"/>
          </w:tcPr>
          <w:p w14:paraId="7B31F44A" w14:textId="77777777" w:rsidR="009D1253" w:rsidRPr="005A07E7" w:rsidRDefault="009D1253" w:rsidP="009D1253">
            <w:pPr>
              <w:pStyle w:val="a9"/>
              <w:tabs>
                <w:tab w:val="left" w:pos="-284"/>
                <w:tab w:val="left" w:pos="851"/>
              </w:tabs>
              <w:spacing w:before="0" w:after="0"/>
              <w:jc w:val="center"/>
              <w:rPr>
                <w:rFonts w:ascii="Tahoma" w:hAnsi="Tahoma" w:cs="Tahoma"/>
              </w:rPr>
            </w:pPr>
            <w:r w:rsidRPr="005A07E7">
              <w:rPr>
                <w:rFonts w:ascii="Tahoma" w:hAnsi="Tahoma" w:cs="Tahoma"/>
              </w:rPr>
              <w:t xml:space="preserve">Приобретение </w:t>
            </w:r>
            <w:r>
              <w:rPr>
                <w:rFonts w:ascii="Tahoma" w:hAnsi="Tahoma" w:cs="Tahoma"/>
              </w:rPr>
              <w:t xml:space="preserve">подержанного </w:t>
            </w:r>
            <w:r w:rsidRPr="005A07E7">
              <w:rPr>
                <w:rFonts w:ascii="Tahoma" w:hAnsi="Tahoma" w:cs="Tahoma"/>
              </w:rPr>
              <w:t xml:space="preserve">транспортного средства (ТС) отечественной или иностранной марки категории В, или иностранной марки категории </w:t>
            </w:r>
            <w:r w:rsidRPr="005A07E7">
              <w:rPr>
                <w:rFonts w:ascii="Tahoma" w:hAnsi="Tahoma" w:cs="Tahoma"/>
                <w:lang w:val="en-US"/>
              </w:rPr>
              <w:t>D</w:t>
            </w:r>
            <w:r w:rsidRPr="005A07E7">
              <w:rPr>
                <w:rFonts w:ascii="Tahoma" w:hAnsi="Tahoma" w:cs="Tahoma"/>
              </w:rPr>
              <w:t>, а также дополнительно на оплату иных товаров, работ и услуг по выбору Заёмщика</w:t>
            </w:r>
          </w:p>
        </w:tc>
      </w:tr>
      <w:tr w:rsidR="009D1253" w:rsidRPr="005A07E7" w14:paraId="5B4BECBC" w14:textId="77777777" w:rsidTr="009D1253">
        <w:trPr>
          <w:trHeight w:val="455"/>
        </w:trPr>
        <w:tc>
          <w:tcPr>
            <w:tcW w:w="1475" w:type="pct"/>
            <w:vAlign w:val="center"/>
          </w:tcPr>
          <w:p w14:paraId="2E7742A7"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lastRenderedPageBreak/>
              <w:t>Подразделения сети/точки продаж, реализующие кредитный продукт</w:t>
            </w:r>
          </w:p>
        </w:tc>
        <w:tc>
          <w:tcPr>
            <w:tcW w:w="3525" w:type="pct"/>
            <w:vAlign w:val="center"/>
          </w:tcPr>
          <w:p w14:paraId="3044D27E" w14:textId="77777777" w:rsidR="009D1253" w:rsidRPr="005A07E7" w:rsidRDefault="009D1253" w:rsidP="009D1253">
            <w:pPr>
              <w:pStyle w:val="a9"/>
              <w:tabs>
                <w:tab w:val="left" w:pos="-284"/>
                <w:tab w:val="left" w:pos="851"/>
              </w:tabs>
              <w:spacing w:before="0" w:after="0"/>
              <w:jc w:val="center"/>
              <w:rPr>
                <w:rFonts w:ascii="Tahoma" w:hAnsi="Tahoma" w:cs="Tahoma"/>
              </w:rPr>
            </w:pPr>
            <w:r w:rsidRPr="005A07E7">
              <w:rPr>
                <w:rFonts w:ascii="Tahoma" w:hAnsi="Tahoma" w:cs="Tahoma"/>
              </w:rPr>
              <w:t>Все подразделения Банка</w:t>
            </w:r>
            <w:r w:rsidRPr="00B627E1">
              <w:rPr>
                <w:rFonts w:ascii="Tahoma" w:hAnsi="Tahoma" w:cs="Tahoma"/>
              </w:rPr>
              <w:t xml:space="preserve"> (доступность необходимо уточнять в точке продаж</w:t>
            </w:r>
            <w:r w:rsidRPr="005C3E44">
              <w:rPr>
                <w:rFonts w:ascii="Tahoma" w:hAnsi="Tahoma" w:cs="Tahoma"/>
              </w:rPr>
              <w:t>)</w:t>
            </w:r>
          </w:p>
        </w:tc>
      </w:tr>
      <w:tr w:rsidR="009D1253" w:rsidRPr="005A07E7" w14:paraId="387AFC59" w14:textId="77777777" w:rsidTr="009D1253">
        <w:trPr>
          <w:trHeight w:val="455"/>
        </w:trPr>
        <w:tc>
          <w:tcPr>
            <w:tcW w:w="1475" w:type="pct"/>
            <w:vAlign w:val="center"/>
          </w:tcPr>
          <w:p w14:paraId="0AC5D4A6" w14:textId="77777777" w:rsidR="009D1253" w:rsidRPr="005A07E7" w:rsidRDefault="009D1253" w:rsidP="009D1253">
            <w:pPr>
              <w:rPr>
                <w:rFonts w:ascii="Tahoma" w:hAnsi="Tahoma" w:cs="Tahoma"/>
                <w:b/>
                <w:bCs/>
                <w:sz w:val="20"/>
                <w:szCs w:val="20"/>
              </w:rPr>
            </w:pPr>
            <w:r w:rsidRPr="005A07E7">
              <w:rPr>
                <w:rFonts w:ascii="Tahoma" w:hAnsi="Tahoma" w:cs="Tahoma"/>
                <w:b/>
                <w:bCs/>
                <w:sz w:val="20"/>
                <w:szCs w:val="20"/>
              </w:rPr>
              <w:t>Валюта, в которой предоставляется Кредит</w:t>
            </w:r>
          </w:p>
        </w:tc>
        <w:tc>
          <w:tcPr>
            <w:tcW w:w="3525" w:type="pct"/>
            <w:vAlign w:val="center"/>
          </w:tcPr>
          <w:p w14:paraId="627B8A71" w14:textId="77777777" w:rsidR="009D1253" w:rsidRPr="005A07E7" w:rsidRDefault="009D1253" w:rsidP="009D1253">
            <w:pPr>
              <w:pStyle w:val="a9"/>
              <w:tabs>
                <w:tab w:val="left" w:pos="-284"/>
                <w:tab w:val="left" w:pos="851"/>
              </w:tabs>
              <w:spacing w:before="0" w:after="0"/>
              <w:ind w:right="849"/>
              <w:jc w:val="center"/>
              <w:rPr>
                <w:rFonts w:ascii="Tahoma" w:hAnsi="Tahoma" w:cs="Tahoma"/>
              </w:rPr>
            </w:pPr>
            <w:r w:rsidRPr="005A07E7">
              <w:rPr>
                <w:rFonts w:ascii="Tahoma" w:hAnsi="Tahoma" w:cs="Tahoma"/>
                <w:color w:val="000000"/>
              </w:rPr>
              <w:t>Рубл</w:t>
            </w:r>
            <w:r>
              <w:rPr>
                <w:rFonts w:ascii="Tahoma" w:hAnsi="Tahoma" w:cs="Tahoma"/>
                <w:color w:val="000000"/>
              </w:rPr>
              <w:t>ь</w:t>
            </w:r>
            <w:r w:rsidRPr="005A07E7">
              <w:rPr>
                <w:rFonts w:ascii="Tahoma" w:hAnsi="Tahoma" w:cs="Tahoma"/>
                <w:color w:val="000000"/>
              </w:rPr>
              <w:t xml:space="preserve"> Российской</w:t>
            </w:r>
            <w:r>
              <w:rPr>
                <w:rFonts w:ascii="Tahoma" w:hAnsi="Tahoma" w:cs="Tahoma"/>
                <w:color w:val="000000"/>
              </w:rPr>
              <w:t xml:space="preserve"> Федерации (далее - рубль</w:t>
            </w:r>
            <w:r w:rsidRPr="005A07E7">
              <w:rPr>
                <w:rFonts w:ascii="Tahoma" w:hAnsi="Tahoma" w:cs="Tahoma"/>
                <w:color w:val="000000"/>
              </w:rPr>
              <w:t>)</w:t>
            </w:r>
          </w:p>
        </w:tc>
      </w:tr>
      <w:tr w:rsidR="009D1253" w:rsidRPr="005A07E7" w14:paraId="4276F14C" w14:textId="77777777" w:rsidTr="009D1253">
        <w:trPr>
          <w:trHeight w:val="455"/>
        </w:trPr>
        <w:tc>
          <w:tcPr>
            <w:tcW w:w="1475" w:type="pct"/>
            <w:shd w:val="clear" w:color="auto" w:fill="auto"/>
            <w:vAlign w:val="center"/>
          </w:tcPr>
          <w:p w14:paraId="612FC05E" w14:textId="77777777" w:rsidR="009D1253" w:rsidRPr="005A07E7" w:rsidRDefault="009D1253" w:rsidP="009D1253">
            <w:pPr>
              <w:rPr>
                <w:rFonts w:ascii="Tahoma" w:hAnsi="Tahoma" w:cs="Tahoma"/>
                <w:b/>
                <w:bCs/>
                <w:sz w:val="20"/>
                <w:szCs w:val="20"/>
              </w:rPr>
            </w:pPr>
            <w:r w:rsidRPr="005A07E7">
              <w:rPr>
                <w:rFonts w:ascii="Tahoma" w:hAnsi="Tahoma" w:cs="Tahoma"/>
                <w:b/>
                <w:sz w:val="20"/>
                <w:szCs w:val="20"/>
              </w:rPr>
              <w:t>Минимальная сумма Кредита</w:t>
            </w:r>
          </w:p>
        </w:tc>
        <w:tc>
          <w:tcPr>
            <w:tcW w:w="3525" w:type="pct"/>
            <w:shd w:val="clear" w:color="auto" w:fill="auto"/>
            <w:vAlign w:val="center"/>
          </w:tcPr>
          <w:p w14:paraId="7FF3AE69" w14:textId="77777777" w:rsidR="009D1253" w:rsidRPr="001058AC" w:rsidRDefault="009D1253" w:rsidP="009D1253">
            <w:pPr>
              <w:pStyle w:val="a9"/>
              <w:tabs>
                <w:tab w:val="left" w:pos="-284"/>
                <w:tab w:val="left" w:pos="851"/>
              </w:tabs>
              <w:spacing w:before="0" w:after="0"/>
              <w:ind w:right="849"/>
              <w:jc w:val="center"/>
              <w:rPr>
                <w:rFonts w:ascii="Tahoma" w:hAnsi="Tahoma" w:cs="Tahoma"/>
                <w:color w:val="000000"/>
              </w:rPr>
            </w:pPr>
            <w:r>
              <w:rPr>
                <w:rFonts w:ascii="Tahoma" w:hAnsi="Tahoma" w:cs="Tahoma"/>
                <w:color w:val="000000"/>
              </w:rPr>
              <w:t>2</w:t>
            </w:r>
            <w:r w:rsidRPr="001058AC">
              <w:rPr>
                <w:rFonts w:ascii="Tahoma" w:hAnsi="Tahoma" w:cs="Tahoma"/>
                <w:color w:val="000000"/>
              </w:rPr>
              <w:t>00 000 рублей</w:t>
            </w:r>
          </w:p>
        </w:tc>
      </w:tr>
      <w:tr w:rsidR="009D1253" w:rsidRPr="005A07E7" w14:paraId="3B4A8664" w14:textId="77777777" w:rsidTr="009D1253">
        <w:trPr>
          <w:trHeight w:val="363"/>
        </w:trPr>
        <w:tc>
          <w:tcPr>
            <w:tcW w:w="1475" w:type="pct"/>
            <w:shd w:val="clear" w:color="auto" w:fill="auto"/>
            <w:vAlign w:val="center"/>
          </w:tcPr>
          <w:p w14:paraId="6813D3E3"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Максимальная сумма Кредита</w:t>
            </w:r>
          </w:p>
        </w:tc>
        <w:tc>
          <w:tcPr>
            <w:tcW w:w="3525" w:type="pct"/>
            <w:shd w:val="clear" w:color="auto" w:fill="auto"/>
            <w:vAlign w:val="center"/>
          </w:tcPr>
          <w:p w14:paraId="5BB49F27" w14:textId="77777777" w:rsidR="009D1253" w:rsidRPr="001058AC" w:rsidRDefault="009D1253" w:rsidP="009D1253">
            <w:pPr>
              <w:pStyle w:val="a9"/>
              <w:tabs>
                <w:tab w:val="left" w:pos="-284"/>
                <w:tab w:val="left" w:pos="851"/>
              </w:tabs>
              <w:spacing w:before="0" w:after="0"/>
              <w:ind w:right="849"/>
              <w:jc w:val="center"/>
              <w:rPr>
                <w:rFonts w:ascii="Tahoma" w:hAnsi="Tahoma" w:cs="Tahoma"/>
                <w:color w:val="000000"/>
              </w:rPr>
            </w:pPr>
            <w:r>
              <w:rPr>
                <w:rFonts w:ascii="Tahoma" w:hAnsi="Tahoma" w:cs="Tahoma"/>
                <w:color w:val="000000"/>
              </w:rPr>
              <w:t>9</w:t>
            </w:r>
            <w:r w:rsidRPr="001058AC">
              <w:rPr>
                <w:rFonts w:ascii="Tahoma" w:hAnsi="Tahoma" w:cs="Tahoma"/>
                <w:color w:val="000000"/>
              </w:rPr>
              <w:t xml:space="preserve"> 000 000 рублей</w:t>
            </w:r>
          </w:p>
        </w:tc>
      </w:tr>
      <w:tr w:rsidR="009D1253" w:rsidRPr="005A07E7" w14:paraId="5034D0F0" w14:textId="77777777" w:rsidTr="009D1253">
        <w:trPr>
          <w:trHeight w:val="558"/>
        </w:trPr>
        <w:tc>
          <w:tcPr>
            <w:tcW w:w="1475" w:type="pct"/>
            <w:shd w:val="clear" w:color="auto" w:fill="auto"/>
            <w:vAlign w:val="center"/>
          </w:tcPr>
          <w:p w14:paraId="35128165"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 xml:space="preserve">Размер первоначального взноса (ПВ) </w:t>
            </w:r>
          </w:p>
          <w:p w14:paraId="21FADC15"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в % от стоимости ТС</w:t>
            </w:r>
          </w:p>
        </w:tc>
        <w:tc>
          <w:tcPr>
            <w:tcW w:w="3525" w:type="pct"/>
            <w:shd w:val="clear" w:color="auto" w:fill="auto"/>
            <w:vAlign w:val="center"/>
          </w:tcPr>
          <w:p w14:paraId="2FD9C3AF" w14:textId="77777777" w:rsidR="009D1253" w:rsidRPr="005A07E7" w:rsidRDefault="009D1253" w:rsidP="009D1253">
            <w:pPr>
              <w:pStyle w:val="a9"/>
              <w:tabs>
                <w:tab w:val="left" w:pos="-284"/>
                <w:tab w:val="left" w:pos="851"/>
              </w:tabs>
              <w:spacing w:before="0" w:after="0"/>
              <w:ind w:right="849"/>
              <w:jc w:val="center"/>
              <w:rPr>
                <w:rFonts w:ascii="Tahoma" w:hAnsi="Tahoma" w:cs="Tahoma"/>
                <w:color w:val="000000"/>
              </w:rPr>
            </w:pPr>
            <w:r w:rsidRPr="005A07E7">
              <w:rPr>
                <w:rFonts w:ascii="Tahoma" w:hAnsi="Tahoma" w:cs="Tahoma"/>
                <w:color w:val="000000"/>
              </w:rPr>
              <w:t>от 0%</w:t>
            </w:r>
          </w:p>
        </w:tc>
      </w:tr>
      <w:tr w:rsidR="009D1253" w:rsidRPr="005A07E7" w14:paraId="0A5C1ABC" w14:textId="77777777" w:rsidTr="009D1253">
        <w:trPr>
          <w:trHeight w:val="408"/>
        </w:trPr>
        <w:tc>
          <w:tcPr>
            <w:tcW w:w="1475" w:type="pct"/>
            <w:shd w:val="clear" w:color="auto" w:fill="auto"/>
            <w:vAlign w:val="center"/>
          </w:tcPr>
          <w:p w14:paraId="15406227"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Диапазон сроков возврата Кредита</w:t>
            </w:r>
          </w:p>
        </w:tc>
        <w:tc>
          <w:tcPr>
            <w:tcW w:w="3525" w:type="pct"/>
            <w:shd w:val="clear" w:color="auto" w:fill="auto"/>
            <w:vAlign w:val="center"/>
          </w:tcPr>
          <w:p w14:paraId="62023946" w14:textId="77777777" w:rsidR="009D1253" w:rsidRPr="005A07E7" w:rsidRDefault="009D1253" w:rsidP="009D1253">
            <w:pPr>
              <w:tabs>
                <w:tab w:val="left" w:pos="851"/>
              </w:tabs>
              <w:jc w:val="center"/>
              <w:rPr>
                <w:rFonts w:ascii="Tahoma" w:hAnsi="Tahoma" w:cs="Tahoma"/>
                <w:sz w:val="20"/>
                <w:szCs w:val="20"/>
              </w:rPr>
            </w:pPr>
            <w:r w:rsidRPr="005A07E7">
              <w:rPr>
                <w:rFonts w:ascii="Tahoma" w:hAnsi="Tahoma" w:cs="Tahoma"/>
                <w:sz w:val="20"/>
                <w:szCs w:val="20"/>
              </w:rPr>
              <w:t xml:space="preserve">от 24 (двадцати четырех) до </w:t>
            </w:r>
            <w:r>
              <w:rPr>
                <w:rFonts w:ascii="Tahoma" w:hAnsi="Tahoma" w:cs="Tahoma"/>
                <w:sz w:val="20"/>
                <w:szCs w:val="20"/>
              </w:rPr>
              <w:t>120</w:t>
            </w:r>
            <w:r w:rsidRPr="005A07E7">
              <w:rPr>
                <w:rFonts w:ascii="Tahoma" w:hAnsi="Tahoma" w:cs="Tahoma"/>
                <w:sz w:val="20"/>
                <w:szCs w:val="20"/>
              </w:rPr>
              <w:t xml:space="preserve"> (</w:t>
            </w:r>
            <w:r>
              <w:rPr>
                <w:rFonts w:ascii="Tahoma" w:hAnsi="Tahoma" w:cs="Tahoma"/>
                <w:sz w:val="20"/>
                <w:szCs w:val="20"/>
              </w:rPr>
              <w:t>ста двадцати</w:t>
            </w:r>
            <w:r w:rsidRPr="005A07E7">
              <w:rPr>
                <w:rFonts w:ascii="Tahoma" w:hAnsi="Tahoma" w:cs="Tahoma"/>
                <w:sz w:val="20"/>
                <w:szCs w:val="20"/>
              </w:rPr>
              <w:t>) месяцев с шагом в 1 (один) год</w:t>
            </w:r>
          </w:p>
        </w:tc>
      </w:tr>
      <w:tr w:rsidR="009D1253" w:rsidRPr="005A07E7" w14:paraId="1FCFEA82" w14:textId="77777777" w:rsidTr="009D1253">
        <w:trPr>
          <w:trHeight w:val="558"/>
        </w:trPr>
        <w:tc>
          <w:tcPr>
            <w:tcW w:w="1475" w:type="pct"/>
            <w:vAlign w:val="center"/>
          </w:tcPr>
          <w:p w14:paraId="0A7A4BC8" w14:textId="77777777" w:rsidR="009D1253" w:rsidRPr="005A07E7" w:rsidRDefault="009D1253" w:rsidP="009D1253">
            <w:pPr>
              <w:spacing w:line="216" w:lineRule="auto"/>
              <w:rPr>
                <w:rFonts w:ascii="Tahoma" w:hAnsi="Tahoma" w:cs="Tahoma"/>
                <w:b/>
                <w:sz w:val="20"/>
                <w:szCs w:val="20"/>
              </w:rPr>
            </w:pPr>
            <w:r w:rsidRPr="005A07E7">
              <w:rPr>
                <w:rFonts w:ascii="Tahoma" w:hAnsi="Tahoma" w:cs="Tahoma"/>
                <w:b/>
                <w:sz w:val="20"/>
                <w:szCs w:val="20"/>
              </w:rPr>
              <w:t>Процентная ставка (в процентах годовых)</w:t>
            </w:r>
          </w:p>
        </w:tc>
        <w:tc>
          <w:tcPr>
            <w:tcW w:w="3525" w:type="pct"/>
            <w:shd w:val="clear" w:color="auto" w:fill="auto"/>
            <w:vAlign w:val="center"/>
          </w:tcPr>
          <w:tbl>
            <w:tblPr>
              <w:tblStyle w:val="aff0"/>
              <w:tblpPr w:leftFromText="180" w:rightFromText="180" w:horzAnchor="margin" w:tblpY="1"/>
              <w:tblOverlap w:val="never"/>
              <w:tblW w:w="10376" w:type="dxa"/>
              <w:tblLayout w:type="fixed"/>
              <w:tblLook w:val="05A0" w:firstRow="1" w:lastRow="0" w:firstColumn="1" w:lastColumn="1" w:noHBand="0" w:noVBand="1"/>
            </w:tblPr>
            <w:tblGrid>
              <w:gridCol w:w="2211"/>
              <w:gridCol w:w="2438"/>
              <w:gridCol w:w="1871"/>
              <w:gridCol w:w="1928"/>
              <w:gridCol w:w="1928"/>
            </w:tblGrid>
            <w:tr w:rsidR="009D1253" w:rsidRPr="007D5403" w14:paraId="6197D860" w14:textId="77777777" w:rsidTr="009D1253">
              <w:tc>
                <w:tcPr>
                  <w:tcW w:w="2211" w:type="dxa"/>
                  <w:vAlign w:val="center"/>
                </w:tcPr>
                <w:p w14:paraId="10B9F4F3" w14:textId="77777777" w:rsidR="009D1253" w:rsidRPr="007D5403" w:rsidRDefault="009D1253" w:rsidP="009D1253">
                  <w:pPr>
                    <w:tabs>
                      <w:tab w:val="left" w:pos="6979"/>
                    </w:tabs>
                    <w:ind w:right="176"/>
                    <w:rPr>
                      <w:rFonts w:ascii="Tahoma" w:hAnsi="Tahoma" w:cs="Tahoma"/>
                      <w:color w:val="000000"/>
                      <w:sz w:val="20"/>
                      <w:szCs w:val="20"/>
                    </w:rPr>
                  </w:pPr>
                  <w:r w:rsidRPr="007D5403">
                    <w:rPr>
                      <w:rFonts w:ascii="Tahoma" w:hAnsi="Tahoma" w:cs="Tahoma"/>
                      <w:color w:val="000000"/>
                      <w:sz w:val="20"/>
                      <w:szCs w:val="20"/>
                    </w:rPr>
                    <w:t>Тариф</w:t>
                  </w:r>
                </w:p>
              </w:tc>
              <w:tc>
                <w:tcPr>
                  <w:tcW w:w="2438" w:type="dxa"/>
                </w:tcPr>
                <w:p w14:paraId="48F6D815" w14:textId="77777777" w:rsidR="009D1253" w:rsidRPr="007D5403" w:rsidRDefault="009D1253" w:rsidP="009D1253">
                  <w:pPr>
                    <w:autoSpaceDE w:val="0"/>
                    <w:autoSpaceDN w:val="0"/>
                    <w:adjustRightInd w:val="0"/>
                    <w:jc w:val="center"/>
                    <w:rPr>
                      <w:rFonts w:ascii="Tahoma" w:hAnsi="Tahoma" w:cs="Tahoma"/>
                      <w:color w:val="000000"/>
                      <w:sz w:val="20"/>
                      <w:szCs w:val="20"/>
                    </w:rPr>
                  </w:pPr>
                  <w:r w:rsidRPr="007D5403">
                    <w:rPr>
                      <w:rFonts w:ascii="Tahoma" w:hAnsi="Tahoma" w:cs="Tahoma"/>
                      <w:color w:val="000000"/>
                      <w:sz w:val="20"/>
                      <w:szCs w:val="20"/>
                    </w:rPr>
                    <w:t>Ставка по Кредиту при отказе от заключения или досрочном*** прекращении договора страхования КАСКО* и личного страхования**</w:t>
                  </w:r>
                </w:p>
              </w:tc>
              <w:tc>
                <w:tcPr>
                  <w:tcW w:w="1871" w:type="dxa"/>
                </w:tcPr>
                <w:p w14:paraId="40CC743F" w14:textId="77777777" w:rsidR="009D1253" w:rsidRPr="007D5403" w:rsidRDefault="009D1253" w:rsidP="009D1253">
                  <w:pPr>
                    <w:tabs>
                      <w:tab w:val="left" w:pos="6979"/>
                    </w:tabs>
                    <w:ind w:right="176"/>
                    <w:jc w:val="center"/>
                    <w:rPr>
                      <w:rFonts w:ascii="Tahoma" w:hAnsi="Tahoma" w:cs="Tahoma"/>
                      <w:color w:val="000000"/>
                      <w:sz w:val="20"/>
                      <w:szCs w:val="20"/>
                    </w:rPr>
                  </w:pPr>
                  <w:r w:rsidRPr="007D5403">
                    <w:rPr>
                      <w:rFonts w:ascii="Tahoma" w:hAnsi="Tahoma" w:cs="Tahoma"/>
                      <w:color w:val="000000"/>
                      <w:sz w:val="20"/>
                      <w:szCs w:val="20"/>
                    </w:rPr>
                    <w:t>Ставка по Кредиту при заключении договора страхования КАСКО*</w:t>
                  </w:r>
                </w:p>
              </w:tc>
              <w:tc>
                <w:tcPr>
                  <w:tcW w:w="1928" w:type="dxa"/>
                </w:tcPr>
                <w:p w14:paraId="7E946DD3" w14:textId="77777777" w:rsidR="009D1253" w:rsidRPr="007D5403" w:rsidRDefault="009D1253" w:rsidP="009D1253">
                  <w:pPr>
                    <w:tabs>
                      <w:tab w:val="left" w:pos="6979"/>
                    </w:tabs>
                    <w:ind w:right="176"/>
                    <w:jc w:val="center"/>
                    <w:rPr>
                      <w:rFonts w:ascii="Tahoma" w:hAnsi="Tahoma" w:cs="Tahoma"/>
                      <w:color w:val="000000"/>
                      <w:sz w:val="20"/>
                      <w:szCs w:val="20"/>
                    </w:rPr>
                  </w:pPr>
                  <w:r w:rsidRPr="007D5403">
                    <w:rPr>
                      <w:rFonts w:ascii="Tahoma" w:hAnsi="Tahoma" w:cs="Tahoma"/>
                      <w:color w:val="000000"/>
                      <w:sz w:val="20"/>
                      <w:szCs w:val="20"/>
                    </w:rPr>
                    <w:t>Ставка по Кредиту при заключении договора личного страхования**</w:t>
                  </w:r>
                  <w:r>
                    <w:rPr>
                      <w:rFonts w:ascii="Tahoma" w:hAnsi="Tahoma" w:cs="Tahoma"/>
                      <w:color w:val="000000"/>
                      <w:sz w:val="20"/>
                      <w:szCs w:val="20"/>
                    </w:rPr>
                    <w:t xml:space="preserve"> на срок 12 месяцев</w:t>
                  </w:r>
                </w:p>
              </w:tc>
              <w:tc>
                <w:tcPr>
                  <w:tcW w:w="1928" w:type="dxa"/>
                </w:tcPr>
                <w:p w14:paraId="1F4628CC" w14:textId="77777777" w:rsidR="009D1253" w:rsidRPr="007D5403" w:rsidRDefault="009D1253" w:rsidP="009D1253">
                  <w:pPr>
                    <w:tabs>
                      <w:tab w:val="left" w:pos="6979"/>
                    </w:tabs>
                    <w:ind w:right="176"/>
                    <w:jc w:val="center"/>
                    <w:rPr>
                      <w:rFonts w:ascii="Tahoma" w:hAnsi="Tahoma" w:cs="Tahoma"/>
                      <w:color w:val="000000"/>
                      <w:sz w:val="20"/>
                      <w:szCs w:val="20"/>
                    </w:rPr>
                  </w:pPr>
                  <w:r w:rsidRPr="005A07E7">
                    <w:rPr>
                      <w:rFonts w:ascii="Tahoma" w:hAnsi="Tahoma" w:cs="Tahoma"/>
                      <w:color w:val="000000"/>
                      <w:sz w:val="20"/>
                      <w:szCs w:val="20"/>
                    </w:rPr>
                    <w:t>Ставка по Кредиту при заключении договора личного страхования**</w:t>
                  </w:r>
                  <w:r>
                    <w:rPr>
                      <w:rFonts w:ascii="Tahoma" w:hAnsi="Tahoma" w:cs="Tahoma"/>
                      <w:color w:val="000000"/>
                      <w:sz w:val="20"/>
                      <w:szCs w:val="20"/>
                    </w:rPr>
                    <w:t xml:space="preserve"> на срок 24 месяца</w:t>
                  </w:r>
                </w:p>
              </w:tc>
            </w:tr>
            <w:tr w:rsidR="009D1253" w:rsidRPr="007D5403" w14:paraId="1D4A1223" w14:textId="77777777" w:rsidTr="009D1253">
              <w:tc>
                <w:tcPr>
                  <w:tcW w:w="2211" w:type="dxa"/>
                </w:tcPr>
                <w:p w14:paraId="1954B28B" w14:textId="77777777" w:rsidR="009D1253" w:rsidRPr="007D5403" w:rsidRDefault="009D1253" w:rsidP="009D1253">
                  <w:pPr>
                    <w:tabs>
                      <w:tab w:val="left" w:pos="6979"/>
                    </w:tabs>
                    <w:ind w:right="176"/>
                    <w:rPr>
                      <w:rFonts w:ascii="Tahoma" w:hAnsi="Tahoma" w:cs="Tahoma"/>
                      <w:color w:val="000000"/>
                      <w:sz w:val="20"/>
                      <w:szCs w:val="20"/>
                    </w:rPr>
                  </w:pPr>
                  <w:r w:rsidRPr="007D5403">
                    <w:rPr>
                      <w:rFonts w:ascii="Tahoma" w:hAnsi="Tahoma" w:cs="Tahoma"/>
                      <w:color w:val="000000"/>
                      <w:sz w:val="20"/>
                      <w:szCs w:val="20"/>
                    </w:rPr>
                    <w:t>АСП_ОД_Экстра</w:t>
                  </w:r>
                </w:p>
              </w:tc>
              <w:tc>
                <w:tcPr>
                  <w:tcW w:w="2438" w:type="dxa"/>
                </w:tcPr>
                <w:p w14:paraId="615245E7" w14:textId="77777777" w:rsidR="009D1253" w:rsidRPr="007D5403"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27.99</w:t>
                  </w:r>
                  <w:r w:rsidRPr="007D5403">
                    <w:rPr>
                      <w:rFonts w:ascii="Tahoma" w:hAnsi="Tahoma" w:cs="Tahoma"/>
                      <w:b/>
                      <w:color w:val="000000"/>
                      <w:sz w:val="20"/>
                      <w:szCs w:val="20"/>
                    </w:rPr>
                    <w:t>%</w:t>
                  </w:r>
                </w:p>
              </w:tc>
              <w:tc>
                <w:tcPr>
                  <w:tcW w:w="1871" w:type="dxa"/>
                </w:tcPr>
                <w:p w14:paraId="2C508CBB" w14:textId="77777777" w:rsidR="009D1253" w:rsidRPr="007D5403" w:rsidRDefault="009D1253" w:rsidP="009D1253">
                  <w:pPr>
                    <w:tabs>
                      <w:tab w:val="left" w:pos="6979"/>
                    </w:tabs>
                    <w:jc w:val="center"/>
                    <w:rPr>
                      <w:rFonts w:ascii="Tahoma" w:hAnsi="Tahoma" w:cs="Tahoma"/>
                      <w:b/>
                      <w:color w:val="000000"/>
                      <w:sz w:val="20"/>
                      <w:szCs w:val="20"/>
                    </w:rPr>
                  </w:pPr>
                  <w:r>
                    <w:rPr>
                      <w:rFonts w:ascii="Tahoma" w:hAnsi="Tahoma" w:cs="Tahoma"/>
                      <w:b/>
                      <w:color w:val="000000"/>
                      <w:sz w:val="20"/>
                      <w:szCs w:val="20"/>
                    </w:rPr>
                    <w:t>25.99</w:t>
                  </w:r>
                  <w:r w:rsidRPr="007D5403">
                    <w:rPr>
                      <w:rFonts w:ascii="Tahoma" w:hAnsi="Tahoma" w:cs="Tahoma"/>
                      <w:b/>
                      <w:color w:val="000000"/>
                      <w:sz w:val="20"/>
                      <w:szCs w:val="20"/>
                    </w:rPr>
                    <w:t>%</w:t>
                  </w:r>
                </w:p>
              </w:tc>
              <w:tc>
                <w:tcPr>
                  <w:tcW w:w="1928" w:type="dxa"/>
                </w:tcPr>
                <w:p w14:paraId="2933A54C" w14:textId="77777777" w:rsidR="009D1253" w:rsidRPr="007D5403"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25.99</w:t>
                  </w:r>
                  <w:r w:rsidRPr="007D5403">
                    <w:rPr>
                      <w:rFonts w:ascii="Tahoma" w:hAnsi="Tahoma" w:cs="Tahoma"/>
                      <w:b/>
                      <w:color w:val="000000"/>
                      <w:sz w:val="20"/>
                      <w:szCs w:val="20"/>
                    </w:rPr>
                    <w:t>%</w:t>
                  </w:r>
                </w:p>
              </w:tc>
              <w:tc>
                <w:tcPr>
                  <w:tcW w:w="1928" w:type="dxa"/>
                </w:tcPr>
                <w:p w14:paraId="3D591366" w14:textId="77777777" w:rsidR="009D1253" w:rsidRPr="007D5403"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23.99%</w:t>
                  </w:r>
                </w:p>
              </w:tc>
            </w:tr>
            <w:tr w:rsidR="009D1253" w:rsidRPr="007D5403" w14:paraId="32FBA09A" w14:textId="77777777" w:rsidTr="009D1253">
              <w:trPr>
                <w:trHeight w:val="219"/>
              </w:trPr>
              <w:tc>
                <w:tcPr>
                  <w:tcW w:w="2211" w:type="dxa"/>
                </w:tcPr>
                <w:p w14:paraId="3DA699A3" w14:textId="77777777" w:rsidR="009D1253" w:rsidRPr="007D5403" w:rsidRDefault="009D1253" w:rsidP="009D1253">
                  <w:pPr>
                    <w:tabs>
                      <w:tab w:val="left" w:pos="6979"/>
                    </w:tabs>
                    <w:ind w:right="176"/>
                    <w:rPr>
                      <w:rFonts w:ascii="Tahoma" w:hAnsi="Tahoma" w:cs="Tahoma"/>
                      <w:color w:val="000000"/>
                      <w:sz w:val="20"/>
                      <w:szCs w:val="20"/>
                    </w:rPr>
                  </w:pPr>
                  <w:r w:rsidRPr="007D5403">
                    <w:rPr>
                      <w:rFonts w:ascii="Tahoma" w:hAnsi="Tahoma" w:cs="Tahoma"/>
                      <w:color w:val="000000"/>
                      <w:sz w:val="20"/>
                      <w:szCs w:val="20"/>
                    </w:rPr>
                    <w:t>АСП_ОД_Максимум</w:t>
                  </w:r>
                </w:p>
              </w:tc>
              <w:tc>
                <w:tcPr>
                  <w:tcW w:w="2438" w:type="dxa"/>
                </w:tcPr>
                <w:p w14:paraId="3B60E2A6" w14:textId="77777777" w:rsidR="009D1253" w:rsidRPr="007D5403"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27.99</w:t>
                  </w:r>
                  <w:r w:rsidRPr="007D5403">
                    <w:rPr>
                      <w:rFonts w:ascii="Tahoma" w:hAnsi="Tahoma" w:cs="Tahoma"/>
                      <w:b/>
                      <w:color w:val="000000"/>
                      <w:sz w:val="20"/>
                      <w:szCs w:val="20"/>
                    </w:rPr>
                    <w:t>%</w:t>
                  </w:r>
                </w:p>
              </w:tc>
              <w:tc>
                <w:tcPr>
                  <w:tcW w:w="1871" w:type="dxa"/>
                </w:tcPr>
                <w:p w14:paraId="0EE3CB61" w14:textId="77777777" w:rsidR="009D1253" w:rsidRPr="007D5403"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25.99</w:t>
                  </w:r>
                  <w:r w:rsidRPr="007D5403">
                    <w:rPr>
                      <w:rFonts w:ascii="Tahoma" w:hAnsi="Tahoma" w:cs="Tahoma"/>
                      <w:b/>
                      <w:color w:val="000000"/>
                      <w:sz w:val="20"/>
                      <w:szCs w:val="20"/>
                    </w:rPr>
                    <w:t>%</w:t>
                  </w:r>
                </w:p>
              </w:tc>
              <w:tc>
                <w:tcPr>
                  <w:tcW w:w="1928" w:type="dxa"/>
                </w:tcPr>
                <w:p w14:paraId="53FE103E" w14:textId="77777777" w:rsidR="009D1253" w:rsidRPr="007D5403"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25.99</w:t>
                  </w:r>
                  <w:r w:rsidRPr="007D5403">
                    <w:rPr>
                      <w:rFonts w:ascii="Tahoma" w:hAnsi="Tahoma" w:cs="Tahoma"/>
                      <w:b/>
                      <w:color w:val="000000"/>
                      <w:sz w:val="20"/>
                      <w:szCs w:val="20"/>
                    </w:rPr>
                    <w:t>%</w:t>
                  </w:r>
                </w:p>
              </w:tc>
              <w:tc>
                <w:tcPr>
                  <w:tcW w:w="1928" w:type="dxa"/>
                </w:tcPr>
                <w:p w14:paraId="54C209B7" w14:textId="77777777" w:rsidR="009D1253" w:rsidRPr="007D5403"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23.99%</w:t>
                  </w:r>
                </w:p>
              </w:tc>
            </w:tr>
            <w:tr w:rsidR="009D1253" w:rsidRPr="007D5403" w14:paraId="3DC82937" w14:textId="77777777" w:rsidTr="009D1253">
              <w:trPr>
                <w:trHeight w:val="219"/>
              </w:trPr>
              <w:tc>
                <w:tcPr>
                  <w:tcW w:w="2211" w:type="dxa"/>
                </w:tcPr>
                <w:p w14:paraId="7A4CF5BB" w14:textId="77777777" w:rsidR="009D1253" w:rsidRPr="007D5403" w:rsidRDefault="009D1253" w:rsidP="009D1253">
                  <w:pPr>
                    <w:tabs>
                      <w:tab w:val="left" w:pos="6979"/>
                    </w:tabs>
                    <w:ind w:right="176"/>
                    <w:rPr>
                      <w:rFonts w:ascii="Tahoma" w:hAnsi="Tahoma" w:cs="Tahoma"/>
                      <w:color w:val="000000"/>
                      <w:sz w:val="20"/>
                      <w:szCs w:val="20"/>
                    </w:rPr>
                  </w:pPr>
                  <w:r w:rsidRPr="007D5403">
                    <w:rPr>
                      <w:rFonts w:ascii="Tahoma" w:hAnsi="Tahoma" w:cs="Tahoma"/>
                      <w:color w:val="000000"/>
                      <w:sz w:val="20"/>
                      <w:szCs w:val="20"/>
                    </w:rPr>
                    <w:t>АСП_ОД_Стандарт</w:t>
                  </w:r>
                </w:p>
              </w:tc>
              <w:tc>
                <w:tcPr>
                  <w:tcW w:w="2438" w:type="dxa"/>
                </w:tcPr>
                <w:p w14:paraId="757BF334" w14:textId="77777777" w:rsidR="009D1253" w:rsidRPr="007D5403"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27.49</w:t>
                  </w:r>
                  <w:r w:rsidRPr="007D5403">
                    <w:rPr>
                      <w:rFonts w:ascii="Tahoma" w:hAnsi="Tahoma" w:cs="Tahoma"/>
                      <w:b/>
                      <w:color w:val="000000"/>
                      <w:sz w:val="20"/>
                      <w:szCs w:val="20"/>
                    </w:rPr>
                    <w:t>%</w:t>
                  </w:r>
                </w:p>
              </w:tc>
              <w:tc>
                <w:tcPr>
                  <w:tcW w:w="1871" w:type="dxa"/>
                </w:tcPr>
                <w:p w14:paraId="2F2DFDDD" w14:textId="77777777" w:rsidR="009D1253" w:rsidRPr="007D5403"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25.49</w:t>
                  </w:r>
                  <w:r w:rsidRPr="007D5403">
                    <w:rPr>
                      <w:rFonts w:ascii="Tahoma" w:hAnsi="Tahoma" w:cs="Tahoma"/>
                      <w:b/>
                      <w:color w:val="000000"/>
                      <w:sz w:val="20"/>
                      <w:szCs w:val="20"/>
                    </w:rPr>
                    <w:t>%</w:t>
                  </w:r>
                </w:p>
              </w:tc>
              <w:tc>
                <w:tcPr>
                  <w:tcW w:w="1928" w:type="dxa"/>
                </w:tcPr>
                <w:p w14:paraId="1270D763" w14:textId="77777777" w:rsidR="009D1253" w:rsidRPr="007D5403"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25.49</w:t>
                  </w:r>
                  <w:r w:rsidRPr="007D5403">
                    <w:rPr>
                      <w:rFonts w:ascii="Tahoma" w:hAnsi="Tahoma" w:cs="Tahoma"/>
                      <w:b/>
                      <w:color w:val="000000"/>
                      <w:sz w:val="20"/>
                      <w:szCs w:val="20"/>
                    </w:rPr>
                    <w:t>%</w:t>
                  </w:r>
                </w:p>
              </w:tc>
              <w:tc>
                <w:tcPr>
                  <w:tcW w:w="1928" w:type="dxa"/>
                </w:tcPr>
                <w:p w14:paraId="0E03AB1D" w14:textId="77777777" w:rsidR="009D1253" w:rsidRPr="007D5403"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23.49%</w:t>
                  </w:r>
                </w:p>
              </w:tc>
            </w:tr>
            <w:tr w:rsidR="009D1253" w:rsidRPr="007D5403" w14:paraId="09EEA7D6" w14:textId="77777777" w:rsidTr="009D1253">
              <w:trPr>
                <w:trHeight w:val="219"/>
              </w:trPr>
              <w:tc>
                <w:tcPr>
                  <w:tcW w:w="2211" w:type="dxa"/>
                </w:tcPr>
                <w:p w14:paraId="42E1E6DE" w14:textId="77777777" w:rsidR="009D1253" w:rsidRPr="007D5403" w:rsidRDefault="009D1253" w:rsidP="009D1253">
                  <w:pPr>
                    <w:tabs>
                      <w:tab w:val="left" w:pos="6979"/>
                    </w:tabs>
                    <w:ind w:right="176"/>
                    <w:rPr>
                      <w:rFonts w:ascii="Tahoma" w:hAnsi="Tahoma" w:cs="Tahoma"/>
                      <w:color w:val="000000"/>
                      <w:sz w:val="20"/>
                      <w:szCs w:val="20"/>
                    </w:rPr>
                  </w:pPr>
                  <w:r w:rsidRPr="007D5403">
                    <w:rPr>
                      <w:rFonts w:ascii="Tahoma" w:hAnsi="Tahoma" w:cs="Tahoma"/>
                      <w:color w:val="000000"/>
                      <w:sz w:val="20"/>
                      <w:szCs w:val="20"/>
                    </w:rPr>
                    <w:t>АСП_ОД_Промо</w:t>
                  </w:r>
                </w:p>
              </w:tc>
              <w:tc>
                <w:tcPr>
                  <w:tcW w:w="2438" w:type="dxa"/>
                </w:tcPr>
                <w:p w14:paraId="6F629BDA" w14:textId="77777777" w:rsidR="009D1253" w:rsidRPr="007D5403"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26.99</w:t>
                  </w:r>
                  <w:r w:rsidRPr="007D5403">
                    <w:rPr>
                      <w:rFonts w:ascii="Tahoma" w:hAnsi="Tahoma" w:cs="Tahoma"/>
                      <w:b/>
                      <w:color w:val="000000"/>
                      <w:sz w:val="20"/>
                      <w:szCs w:val="20"/>
                    </w:rPr>
                    <w:t>%</w:t>
                  </w:r>
                </w:p>
              </w:tc>
              <w:tc>
                <w:tcPr>
                  <w:tcW w:w="1871" w:type="dxa"/>
                </w:tcPr>
                <w:p w14:paraId="3501E5CB" w14:textId="77777777" w:rsidR="009D1253" w:rsidRPr="007D5403"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24.99</w:t>
                  </w:r>
                  <w:r w:rsidRPr="007D5403">
                    <w:rPr>
                      <w:rFonts w:ascii="Tahoma" w:hAnsi="Tahoma" w:cs="Tahoma"/>
                      <w:b/>
                      <w:color w:val="000000"/>
                      <w:sz w:val="20"/>
                      <w:szCs w:val="20"/>
                    </w:rPr>
                    <w:t>%</w:t>
                  </w:r>
                </w:p>
              </w:tc>
              <w:tc>
                <w:tcPr>
                  <w:tcW w:w="1928" w:type="dxa"/>
                </w:tcPr>
                <w:p w14:paraId="24D9704B" w14:textId="77777777" w:rsidR="009D1253" w:rsidRPr="007D5403"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24.99</w:t>
                  </w:r>
                  <w:r w:rsidRPr="007D5403">
                    <w:rPr>
                      <w:rFonts w:ascii="Tahoma" w:hAnsi="Tahoma" w:cs="Tahoma"/>
                      <w:b/>
                      <w:color w:val="000000"/>
                      <w:sz w:val="20"/>
                      <w:szCs w:val="20"/>
                    </w:rPr>
                    <w:t>%</w:t>
                  </w:r>
                </w:p>
              </w:tc>
              <w:tc>
                <w:tcPr>
                  <w:tcW w:w="1928" w:type="dxa"/>
                </w:tcPr>
                <w:p w14:paraId="44B5B507" w14:textId="77777777" w:rsidR="009D1253" w:rsidRPr="007D5403"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22.99%</w:t>
                  </w:r>
                </w:p>
              </w:tc>
            </w:tr>
            <w:tr w:rsidR="009D1253" w:rsidRPr="007D5403" w14:paraId="7C8781BD" w14:textId="77777777" w:rsidTr="009D1253">
              <w:trPr>
                <w:trHeight w:val="219"/>
              </w:trPr>
              <w:tc>
                <w:tcPr>
                  <w:tcW w:w="2211" w:type="dxa"/>
                </w:tcPr>
                <w:p w14:paraId="23A96B80" w14:textId="77777777" w:rsidR="009D1253" w:rsidRPr="007D5403" w:rsidRDefault="009D1253" w:rsidP="009D1253">
                  <w:pPr>
                    <w:tabs>
                      <w:tab w:val="left" w:pos="6979"/>
                    </w:tabs>
                    <w:ind w:right="176"/>
                    <w:rPr>
                      <w:rFonts w:ascii="Tahoma" w:hAnsi="Tahoma" w:cs="Tahoma"/>
                      <w:color w:val="000000"/>
                      <w:sz w:val="20"/>
                      <w:szCs w:val="20"/>
                    </w:rPr>
                  </w:pPr>
                  <w:r w:rsidRPr="007D5403">
                    <w:rPr>
                      <w:rFonts w:ascii="Tahoma" w:hAnsi="Tahoma" w:cs="Tahoma"/>
                      <w:color w:val="000000"/>
                      <w:sz w:val="20"/>
                      <w:szCs w:val="20"/>
                    </w:rPr>
                    <w:t>АСП_ОД_Лайт</w:t>
                  </w:r>
                </w:p>
              </w:tc>
              <w:tc>
                <w:tcPr>
                  <w:tcW w:w="2438" w:type="dxa"/>
                </w:tcPr>
                <w:p w14:paraId="358DCE2A" w14:textId="77777777" w:rsidR="009D1253" w:rsidRPr="007D5403"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26.49</w:t>
                  </w:r>
                  <w:r w:rsidRPr="007D5403">
                    <w:rPr>
                      <w:rFonts w:ascii="Tahoma" w:hAnsi="Tahoma" w:cs="Tahoma"/>
                      <w:b/>
                      <w:color w:val="000000"/>
                      <w:sz w:val="20"/>
                      <w:szCs w:val="20"/>
                    </w:rPr>
                    <w:t>%</w:t>
                  </w:r>
                </w:p>
              </w:tc>
              <w:tc>
                <w:tcPr>
                  <w:tcW w:w="1871" w:type="dxa"/>
                </w:tcPr>
                <w:p w14:paraId="1C2AF1BC" w14:textId="77777777" w:rsidR="009D1253" w:rsidRPr="007D5403"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24.49</w:t>
                  </w:r>
                  <w:r w:rsidRPr="007D5403">
                    <w:rPr>
                      <w:rFonts w:ascii="Tahoma" w:hAnsi="Tahoma" w:cs="Tahoma"/>
                      <w:b/>
                      <w:color w:val="000000"/>
                      <w:sz w:val="20"/>
                      <w:szCs w:val="20"/>
                    </w:rPr>
                    <w:t>%</w:t>
                  </w:r>
                </w:p>
              </w:tc>
              <w:tc>
                <w:tcPr>
                  <w:tcW w:w="1928" w:type="dxa"/>
                </w:tcPr>
                <w:p w14:paraId="36886FEC" w14:textId="77777777" w:rsidR="009D1253" w:rsidRPr="007D5403"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24.49</w:t>
                  </w:r>
                  <w:r w:rsidRPr="007D5403">
                    <w:rPr>
                      <w:rFonts w:ascii="Tahoma" w:hAnsi="Tahoma" w:cs="Tahoma"/>
                      <w:b/>
                      <w:color w:val="000000"/>
                      <w:sz w:val="20"/>
                      <w:szCs w:val="20"/>
                    </w:rPr>
                    <w:t>%</w:t>
                  </w:r>
                </w:p>
              </w:tc>
              <w:tc>
                <w:tcPr>
                  <w:tcW w:w="1928" w:type="dxa"/>
                </w:tcPr>
                <w:p w14:paraId="2B3A742C" w14:textId="77777777" w:rsidR="009D1253" w:rsidRPr="007D5403"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22.49%</w:t>
                  </w:r>
                </w:p>
              </w:tc>
            </w:tr>
          </w:tbl>
          <w:p w14:paraId="758933FB" w14:textId="77777777" w:rsidR="009D1253" w:rsidRPr="007D5403" w:rsidRDefault="009D1253" w:rsidP="009D1253">
            <w:pPr>
              <w:tabs>
                <w:tab w:val="left" w:pos="6979"/>
              </w:tabs>
              <w:ind w:right="176"/>
              <w:jc w:val="both"/>
              <w:rPr>
                <w:sz w:val="18"/>
                <w:szCs w:val="18"/>
              </w:rPr>
            </w:pPr>
          </w:p>
          <w:p w14:paraId="2B9C1BFF" w14:textId="77777777" w:rsidR="009D1253" w:rsidRDefault="009D1253" w:rsidP="009D1253">
            <w:pPr>
              <w:tabs>
                <w:tab w:val="left" w:pos="6979"/>
              </w:tabs>
              <w:jc w:val="both"/>
              <w:rPr>
                <w:rFonts w:ascii="Tahoma" w:hAnsi="Tahoma" w:cs="Tahoma"/>
                <w:color w:val="000000"/>
                <w:sz w:val="20"/>
                <w:szCs w:val="20"/>
              </w:rPr>
            </w:pPr>
            <w:r w:rsidRPr="007D5403">
              <w:rPr>
                <w:rFonts w:ascii="Tahoma" w:hAnsi="Tahoma" w:cs="Tahoma"/>
                <w:color w:val="000000"/>
                <w:sz w:val="20"/>
                <w:szCs w:val="20"/>
              </w:rPr>
              <w:t>При предоставлении Банку сведений о состоянии индивидуального лицевого счета застрахованного лица (форма СЗИ-ИЛС) процентная ставка снижается на 1 процентный пункт единоразово на момент рассмотрения заявки на Кредит.</w:t>
            </w:r>
          </w:p>
          <w:p w14:paraId="1EEACA33" w14:textId="77777777" w:rsidR="009D1253" w:rsidRPr="007D5403" w:rsidRDefault="009D1253" w:rsidP="009D1253">
            <w:pPr>
              <w:tabs>
                <w:tab w:val="left" w:pos="6979"/>
              </w:tabs>
              <w:jc w:val="both"/>
              <w:rPr>
                <w:rFonts w:ascii="Tahoma" w:hAnsi="Tahoma" w:cs="Tahoma"/>
                <w:color w:val="000000"/>
                <w:sz w:val="20"/>
                <w:szCs w:val="20"/>
              </w:rPr>
            </w:pPr>
          </w:p>
          <w:p w14:paraId="305BC1B9" w14:textId="77777777" w:rsidR="009D1253" w:rsidRPr="007D5403" w:rsidRDefault="009D1253" w:rsidP="009D1253">
            <w:pPr>
              <w:tabs>
                <w:tab w:val="left" w:pos="1080"/>
                <w:tab w:val="left" w:pos="7548"/>
              </w:tabs>
              <w:jc w:val="both"/>
              <w:rPr>
                <w:rFonts w:ascii="Tahoma" w:hAnsi="Tahoma" w:cs="Tahoma"/>
                <w:sz w:val="18"/>
                <w:szCs w:val="18"/>
              </w:rPr>
            </w:pPr>
            <w:r w:rsidRPr="007D5403">
              <w:rPr>
                <w:rFonts w:ascii="Tahoma" w:hAnsi="Tahoma" w:cs="Tahoma"/>
                <w:sz w:val="18"/>
                <w:szCs w:val="18"/>
              </w:rPr>
              <w:t xml:space="preserve">*При оформлении страхового продукта КАСКО, на срок не менее 12 (двенадцати) месяцев, с рисками, описанными в п.п.1-3 раздела «Информация о страховании» настоящего документа. </w:t>
            </w:r>
          </w:p>
          <w:p w14:paraId="4B239CB7" w14:textId="77777777" w:rsidR="009D1253" w:rsidRPr="007D5403" w:rsidRDefault="009D1253" w:rsidP="009D1253">
            <w:pPr>
              <w:tabs>
                <w:tab w:val="left" w:pos="6979"/>
                <w:tab w:val="left" w:pos="7548"/>
              </w:tabs>
              <w:jc w:val="both"/>
              <w:rPr>
                <w:rFonts w:ascii="Tahoma" w:hAnsi="Tahoma" w:cs="Tahoma"/>
                <w:sz w:val="18"/>
                <w:szCs w:val="18"/>
              </w:rPr>
            </w:pPr>
            <w:r w:rsidRPr="007D5403">
              <w:rPr>
                <w:rFonts w:ascii="Tahoma" w:hAnsi="Tahoma" w:cs="Tahoma"/>
                <w:sz w:val="18"/>
                <w:szCs w:val="18"/>
              </w:rPr>
              <w:t>**Личное страхование с рисками, указанными в п.4 раздела «Информация о страховании» настоящего документа.</w:t>
            </w:r>
            <w:r w:rsidRPr="007D5403">
              <w:rPr>
                <w:rFonts w:ascii="Tahoma" w:hAnsi="Tahoma" w:cs="Tahoma"/>
              </w:rPr>
              <w:t xml:space="preserve"> </w:t>
            </w:r>
          </w:p>
          <w:p w14:paraId="303FEF66" w14:textId="77777777" w:rsidR="009D1253" w:rsidRPr="005A07E7" w:rsidRDefault="009D1253" w:rsidP="009D1253">
            <w:pPr>
              <w:tabs>
                <w:tab w:val="left" w:pos="6979"/>
              </w:tabs>
              <w:ind w:right="176"/>
              <w:jc w:val="both"/>
              <w:rPr>
                <w:rFonts w:ascii="Tahoma" w:hAnsi="Tahoma" w:cs="Tahoma"/>
                <w:color w:val="000000"/>
                <w:sz w:val="20"/>
                <w:szCs w:val="20"/>
              </w:rPr>
            </w:pPr>
            <w:r w:rsidRPr="007D5403">
              <w:rPr>
                <w:rFonts w:ascii="Tahoma" w:hAnsi="Tahoma" w:cs="Tahoma"/>
                <w:sz w:val="18"/>
                <w:szCs w:val="18"/>
              </w:rPr>
              <w:t>*** В случае досрочного прекращения Заёмщиком Договора страхования КАСКО или Личного страхования, а также в случае заключения Договора страхования КАСКО или Личного страхования, не соответствующего требованиям, указанным в разделе «Информация о страховании» настоящего документа, Банк вправе принять решение об увеличении процентной ставки. Процентная ставка определяется в соответствии с условиями кредитной программы Банка до меньшей из величин процентной ставки на момент принятия решения об увеличении процентной ставки: до уровня процентной ставки, действовавшей на момент заключения договора потребительского кредита или на момент принятия решения об увеличении процентной ставки по договору потребительского кредита на сопоставимых (сумма, срок возврата потребительского кредита, размер первоначального взноса) условиях потребительского кредита без учета заключения договора страхования, начиная с тридцать первого дня, следующего за днем прекращения договора страхового продукта.</w:t>
            </w:r>
          </w:p>
        </w:tc>
      </w:tr>
      <w:tr w:rsidR="009D1253" w:rsidRPr="005A07E7" w14:paraId="66930447" w14:textId="77777777" w:rsidTr="009D1253">
        <w:trPr>
          <w:trHeight w:val="554"/>
        </w:trPr>
        <w:tc>
          <w:tcPr>
            <w:tcW w:w="1475" w:type="pct"/>
            <w:vAlign w:val="center"/>
          </w:tcPr>
          <w:p w14:paraId="06643786" w14:textId="77777777" w:rsidR="009D1253" w:rsidRPr="005A07E7" w:rsidRDefault="009D1253" w:rsidP="009D1253">
            <w:pPr>
              <w:rPr>
                <w:rFonts w:ascii="Tahoma" w:hAnsi="Tahoma" w:cs="Tahoma"/>
                <w:b/>
                <w:sz w:val="20"/>
                <w:szCs w:val="20"/>
              </w:rPr>
            </w:pPr>
            <w:r w:rsidRPr="005A07E7">
              <w:rPr>
                <w:rFonts w:ascii="Tahoma" w:hAnsi="Tahoma" w:cs="Tahoma"/>
                <w:b/>
                <w:bCs/>
                <w:color w:val="000000" w:themeColor="text1"/>
                <w:sz w:val="20"/>
                <w:szCs w:val="20"/>
              </w:rPr>
              <w:lastRenderedPageBreak/>
              <w:t>Диапазон полной стоимости Кредита в процентном  и денежном выражении в порядке, установленном Федеральным законом от 21.12.2013 №353-ФЗ «О потребительском кредите (займе)»</w:t>
            </w:r>
          </w:p>
        </w:tc>
        <w:tc>
          <w:tcPr>
            <w:tcW w:w="3525" w:type="pct"/>
            <w:shd w:val="clear" w:color="auto" w:fill="auto"/>
            <w:vAlign w:val="center"/>
          </w:tcPr>
          <w:p w14:paraId="4DB2CF4B" w14:textId="77777777" w:rsidR="009D1253" w:rsidRPr="008C2B25" w:rsidRDefault="009D1253" w:rsidP="009D1253">
            <w:pPr>
              <w:jc w:val="center"/>
              <w:rPr>
                <w:rFonts w:ascii="Tahoma" w:hAnsi="Tahoma" w:cs="Tahoma"/>
                <w:color w:val="000000"/>
                <w:sz w:val="20"/>
                <w:szCs w:val="20"/>
              </w:rPr>
            </w:pPr>
            <w:r>
              <w:rPr>
                <w:rFonts w:ascii="Tahoma" w:hAnsi="Tahoma" w:cs="Tahoma"/>
                <w:color w:val="000000"/>
                <w:sz w:val="20"/>
                <w:szCs w:val="20"/>
              </w:rPr>
              <w:t>2</w:t>
            </w:r>
            <w:r w:rsidRPr="00C13F0D">
              <w:rPr>
                <w:rFonts w:ascii="Tahoma" w:hAnsi="Tahoma" w:cs="Tahoma"/>
                <w:color w:val="000000"/>
                <w:sz w:val="20"/>
                <w:szCs w:val="20"/>
              </w:rPr>
              <w:t>1</w:t>
            </w:r>
            <w:r>
              <w:rPr>
                <w:rFonts w:ascii="Tahoma" w:hAnsi="Tahoma" w:cs="Tahoma"/>
                <w:color w:val="000000"/>
                <w:sz w:val="20"/>
                <w:szCs w:val="20"/>
              </w:rPr>
              <w:t>.47</w:t>
            </w:r>
            <w:r w:rsidRPr="00C13F0D">
              <w:rPr>
                <w:rFonts w:ascii="Tahoma" w:hAnsi="Tahoma" w:cs="Tahoma"/>
                <w:color w:val="000000"/>
                <w:sz w:val="20"/>
                <w:szCs w:val="20"/>
              </w:rPr>
              <w:t>4</w:t>
            </w:r>
            <w:r w:rsidRPr="008C2B25">
              <w:rPr>
                <w:rFonts w:ascii="Tahoma" w:hAnsi="Tahoma" w:cs="Tahoma"/>
                <w:color w:val="000000"/>
                <w:sz w:val="20"/>
                <w:szCs w:val="20"/>
              </w:rPr>
              <w:t xml:space="preserve">% – </w:t>
            </w:r>
            <w:r>
              <w:rPr>
                <w:rFonts w:ascii="Tahoma" w:hAnsi="Tahoma" w:cs="Tahoma"/>
                <w:color w:val="000000"/>
                <w:sz w:val="20"/>
                <w:szCs w:val="20"/>
              </w:rPr>
              <w:t>27.969</w:t>
            </w:r>
            <w:r w:rsidRPr="008C2B25">
              <w:rPr>
                <w:rFonts w:ascii="Tahoma" w:hAnsi="Tahoma" w:cs="Tahoma"/>
                <w:color w:val="000000"/>
                <w:sz w:val="20"/>
                <w:szCs w:val="20"/>
              </w:rPr>
              <w:t>% годовых;</w:t>
            </w:r>
          </w:p>
          <w:p w14:paraId="5FC75240" w14:textId="77777777" w:rsidR="009D1253" w:rsidRPr="008C2B25" w:rsidRDefault="009D1253" w:rsidP="009D1253">
            <w:pPr>
              <w:jc w:val="center"/>
              <w:rPr>
                <w:rFonts w:ascii="Tahoma" w:hAnsi="Tahoma" w:cs="Tahoma"/>
                <w:color w:val="000000"/>
                <w:sz w:val="20"/>
                <w:szCs w:val="20"/>
              </w:rPr>
            </w:pPr>
            <w:r w:rsidRPr="00FC510D">
              <w:rPr>
                <w:rFonts w:ascii="Tahoma" w:hAnsi="Tahoma" w:cs="Tahoma"/>
                <w:color w:val="000000"/>
                <w:sz w:val="20"/>
                <w:szCs w:val="20"/>
              </w:rPr>
              <w:t>47 7</w:t>
            </w:r>
            <w:r w:rsidRPr="00C13F0D">
              <w:rPr>
                <w:rFonts w:ascii="Tahoma" w:hAnsi="Tahoma" w:cs="Tahoma"/>
                <w:color w:val="000000"/>
                <w:sz w:val="20"/>
                <w:szCs w:val="20"/>
              </w:rPr>
              <w:t>70.48</w:t>
            </w:r>
            <w:r w:rsidRPr="008C2B25">
              <w:rPr>
                <w:rFonts w:ascii="Tahoma" w:hAnsi="Tahoma" w:cs="Tahoma"/>
                <w:color w:val="000000"/>
                <w:sz w:val="20"/>
                <w:szCs w:val="20"/>
              </w:rPr>
              <w:t xml:space="preserve">руб. – </w:t>
            </w:r>
            <w:r>
              <w:rPr>
                <w:rFonts w:ascii="Tahoma" w:hAnsi="Tahoma" w:cs="Tahoma"/>
                <w:color w:val="000000"/>
                <w:sz w:val="20"/>
                <w:szCs w:val="20"/>
              </w:rPr>
              <w:t>17 862 685.</w:t>
            </w:r>
            <w:r w:rsidRPr="001813F4">
              <w:rPr>
                <w:rFonts w:ascii="Tahoma" w:hAnsi="Tahoma" w:cs="Tahoma"/>
                <w:color w:val="000000"/>
                <w:sz w:val="20"/>
                <w:szCs w:val="20"/>
              </w:rPr>
              <w:t>85</w:t>
            </w:r>
            <w:r w:rsidRPr="001813F4" w:rsidDel="001813F4">
              <w:rPr>
                <w:rFonts w:ascii="Tahoma" w:hAnsi="Tahoma" w:cs="Tahoma"/>
                <w:color w:val="000000"/>
                <w:sz w:val="20"/>
                <w:szCs w:val="20"/>
              </w:rPr>
              <w:t xml:space="preserve"> </w:t>
            </w:r>
            <w:r w:rsidRPr="008C2B25">
              <w:rPr>
                <w:rFonts w:ascii="Tahoma" w:hAnsi="Tahoma" w:cs="Tahoma"/>
                <w:color w:val="000000"/>
                <w:sz w:val="20"/>
                <w:szCs w:val="20"/>
              </w:rPr>
              <w:t>руб.</w:t>
            </w:r>
          </w:p>
          <w:p w14:paraId="7CAB5190" w14:textId="77777777" w:rsidR="009D1253" w:rsidRPr="008C2B25" w:rsidRDefault="009D1253" w:rsidP="009D1253">
            <w:pPr>
              <w:pStyle w:val="aff1"/>
              <w:rPr>
                <w:rFonts w:ascii="Tahoma" w:eastAsiaTheme="minorHAnsi" w:hAnsi="Tahoma" w:cs="Tahoma"/>
                <w:sz w:val="18"/>
                <w:szCs w:val="18"/>
                <w:lang w:eastAsia="en-US"/>
              </w:rPr>
            </w:pPr>
            <w:r w:rsidRPr="008C2B25">
              <w:rPr>
                <w:rFonts w:ascii="Tahoma" w:eastAsiaTheme="minorHAnsi" w:hAnsi="Tahoma" w:cs="Tahoma"/>
                <w:sz w:val="18"/>
                <w:szCs w:val="18"/>
                <w:lang w:eastAsia="en-US"/>
              </w:rPr>
              <w:t>Расчет минимального значения ПСК произведен с использованием параметров: минимальная сумма Кредита (200 000 рублей), минимальный срок (24 месяца), минимальная ставка (</w:t>
            </w:r>
            <w:r>
              <w:rPr>
                <w:rFonts w:ascii="Tahoma" w:eastAsiaTheme="minorHAnsi" w:hAnsi="Tahoma" w:cs="Tahoma"/>
                <w:sz w:val="18"/>
                <w:szCs w:val="18"/>
                <w:lang w:eastAsia="en-US"/>
              </w:rPr>
              <w:t>21.49</w:t>
            </w:r>
            <w:r w:rsidRPr="008C2B25">
              <w:rPr>
                <w:rFonts w:ascii="Tahoma" w:eastAsiaTheme="minorHAnsi" w:hAnsi="Tahoma" w:cs="Tahoma"/>
                <w:sz w:val="18"/>
                <w:szCs w:val="18"/>
                <w:lang w:eastAsia="en-US"/>
              </w:rPr>
              <w:t>% годовых для лиц с инвалидностью и с учетом снижения процентной ставки при предоставлении Банку сведений о состоянии индивидуального лицевого счета застрахованного лица (форма СЗИ-ИЛС)).</w:t>
            </w:r>
          </w:p>
          <w:p w14:paraId="53650C3B" w14:textId="77777777" w:rsidR="009D1253" w:rsidRPr="00DF7D87" w:rsidRDefault="009D1253" w:rsidP="009D1253">
            <w:pPr>
              <w:jc w:val="both"/>
              <w:rPr>
                <w:rFonts w:ascii="Tahoma" w:eastAsiaTheme="minorHAnsi" w:hAnsi="Tahoma" w:cs="Tahoma"/>
                <w:sz w:val="18"/>
                <w:szCs w:val="18"/>
                <w:lang w:eastAsia="en-US"/>
              </w:rPr>
            </w:pPr>
            <w:r w:rsidRPr="008C2B25">
              <w:rPr>
                <w:rFonts w:ascii="Tahoma" w:hAnsi="Tahoma" w:cs="Tahoma"/>
                <w:sz w:val="18"/>
                <w:szCs w:val="18"/>
              </w:rPr>
              <w:t>Расчет максимального значения ПСК произведен с использованием параметров: максимальная сумма Кредита (</w:t>
            </w:r>
            <w:r>
              <w:rPr>
                <w:rFonts w:ascii="Tahoma" w:hAnsi="Tahoma" w:cs="Tahoma"/>
                <w:sz w:val="18"/>
                <w:szCs w:val="18"/>
              </w:rPr>
              <w:t>9</w:t>
            </w:r>
            <w:r w:rsidRPr="008C2B25">
              <w:rPr>
                <w:rFonts w:ascii="Tahoma" w:hAnsi="Tahoma" w:cs="Tahoma"/>
                <w:sz w:val="18"/>
                <w:szCs w:val="18"/>
              </w:rPr>
              <w:t xml:space="preserve"> 000 000 рублей), максимальный срок (</w:t>
            </w:r>
            <w:r>
              <w:rPr>
                <w:rFonts w:ascii="Tahoma" w:hAnsi="Tahoma" w:cs="Tahoma"/>
                <w:sz w:val="18"/>
                <w:szCs w:val="18"/>
              </w:rPr>
              <w:t>120</w:t>
            </w:r>
            <w:r w:rsidRPr="008C2B25">
              <w:rPr>
                <w:rFonts w:ascii="Tahoma" w:hAnsi="Tahoma" w:cs="Tahoma"/>
                <w:sz w:val="18"/>
                <w:szCs w:val="18"/>
              </w:rPr>
              <w:t xml:space="preserve"> месяцев), максимальная ставка (</w:t>
            </w:r>
            <w:r>
              <w:rPr>
                <w:rFonts w:ascii="Tahoma" w:hAnsi="Tahoma" w:cs="Tahoma"/>
                <w:sz w:val="18"/>
                <w:szCs w:val="18"/>
              </w:rPr>
              <w:t>27.99</w:t>
            </w:r>
            <w:r w:rsidRPr="008C2B25">
              <w:rPr>
                <w:rFonts w:ascii="Tahoma" w:hAnsi="Tahoma" w:cs="Tahoma"/>
                <w:sz w:val="18"/>
                <w:szCs w:val="18"/>
              </w:rPr>
              <w:t>% годовых)</w:t>
            </w:r>
          </w:p>
        </w:tc>
      </w:tr>
      <w:tr w:rsidR="009D1253" w:rsidRPr="005A07E7" w14:paraId="6E97DA43" w14:textId="77777777" w:rsidTr="009D1253">
        <w:trPr>
          <w:trHeight w:val="554"/>
        </w:trPr>
        <w:tc>
          <w:tcPr>
            <w:tcW w:w="1475" w:type="pct"/>
          </w:tcPr>
          <w:p w14:paraId="3118179F" w14:textId="77777777" w:rsidR="009D1253" w:rsidRPr="005A07E7" w:rsidRDefault="009D1253" w:rsidP="009D1253">
            <w:pPr>
              <w:tabs>
                <w:tab w:val="left" w:pos="851"/>
              </w:tabs>
              <w:rPr>
                <w:rFonts w:ascii="Tahoma" w:hAnsi="Tahoma" w:cs="Tahoma"/>
                <w:b/>
                <w:sz w:val="20"/>
                <w:szCs w:val="20"/>
              </w:rPr>
            </w:pPr>
            <w:r w:rsidRPr="005A07E7">
              <w:rPr>
                <w:rFonts w:ascii="Tahoma" w:hAnsi="Tahoma" w:cs="Tahoma"/>
                <w:b/>
                <w:sz w:val="20"/>
                <w:szCs w:val="20"/>
              </w:rPr>
              <w:t>Информация о страховании</w:t>
            </w:r>
          </w:p>
        </w:tc>
        <w:tc>
          <w:tcPr>
            <w:tcW w:w="3525" w:type="pct"/>
            <w:shd w:val="clear" w:color="auto" w:fill="auto"/>
          </w:tcPr>
          <w:p w14:paraId="044F03F6" w14:textId="77777777" w:rsidR="009D1253" w:rsidRPr="008C2B25" w:rsidRDefault="009D1253" w:rsidP="009D1253">
            <w:pPr>
              <w:tabs>
                <w:tab w:val="left" w:pos="6979"/>
              </w:tabs>
              <w:jc w:val="both"/>
              <w:rPr>
                <w:rFonts w:ascii="Tahoma" w:hAnsi="Tahoma" w:cs="Tahoma"/>
                <w:color w:val="000000"/>
                <w:sz w:val="20"/>
                <w:szCs w:val="20"/>
                <w:u w:val="single"/>
              </w:rPr>
            </w:pPr>
            <w:r w:rsidRPr="008C2B25">
              <w:rPr>
                <w:rFonts w:ascii="Tahoma" w:hAnsi="Tahoma" w:cs="Tahoma"/>
                <w:color w:val="000000"/>
                <w:sz w:val="20"/>
                <w:szCs w:val="20"/>
              </w:rPr>
              <w:t xml:space="preserve">При выборе Заёмщиком условий кредитования для приобретения </w:t>
            </w:r>
            <w:r>
              <w:rPr>
                <w:rFonts w:ascii="Tahoma" w:hAnsi="Tahoma" w:cs="Tahoma"/>
                <w:color w:val="000000"/>
                <w:sz w:val="20"/>
                <w:szCs w:val="20"/>
              </w:rPr>
              <w:t>подержанного</w:t>
            </w:r>
            <w:r w:rsidRPr="008C2B25">
              <w:rPr>
                <w:rFonts w:ascii="Tahoma" w:hAnsi="Tahoma" w:cs="Tahoma"/>
                <w:color w:val="000000"/>
                <w:sz w:val="20"/>
                <w:szCs w:val="20"/>
              </w:rPr>
              <w:t xml:space="preserve"> ТС с заключением Договора страхования КАСКО или Личного страхования, необходимо оформление договора (полиса) страхования в котором выгодоприобретателем в размере задолженности Заемщика </w:t>
            </w:r>
            <w:r>
              <w:rPr>
                <w:rFonts w:ascii="Tahoma" w:hAnsi="Tahoma" w:cs="Tahoma"/>
                <w:color w:val="000000"/>
                <w:sz w:val="20"/>
                <w:szCs w:val="20"/>
              </w:rPr>
              <w:t xml:space="preserve">будет </w:t>
            </w:r>
            <w:r w:rsidRPr="008C2B25">
              <w:rPr>
                <w:rFonts w:ascii="Tahoma" w:hAnsi="Tahoma" w:cs="Tahoma"/>
                <w:color w:val="000000"/>
                <w:sz w:val="20"/>
                <w:szCs w:val="20"/>
              </w:rPr>
              <w:t>указан «Азиатско-Тихоокеанский Банк» (АО), за исключением случаев, когда он выступает страховым агентом при заключении договора страхования.</w:t>
            </w:r>
          </w:p>
          <w:p w14:paraId="665795A2" w14:textId="77777777" w:rsidR="009D1253" w:rsidRPr="008C2B25" w:rsidRDefault="009D1253" w:rsidP="009D1253">
            <w:pPr>
              <w:jc w:val="both"/>
              <w:rPr>
                <w:rFonts w:ascii="Tahoma" w:hAnsi="Tahoma" w:cs="Tahoma"/>
                <w:color w:val="00B050"/>
                <w:sz w:val="20"/>
                <w:szCs w:val="20"/>
              </w:rPr>
            </w:pPr>
            <w:r w:rsidRPr="008C2B25">
              <w:rPr>
                <w:rFonts w:ascii="Tahoma" w:hAnsi="Tahoma" w:cs="Tahoma"/>
                <w:color w:val="000000"/>
                <w:sz w:val="20"/>
                <w:szCs w:val="20"/>
                <w:u w:val="single"/>
              </w:rPr>
              <w:t>КАСКО:</w:t>
            </w:r>
            <w:r w:rsidRPr="008C2B25">
              <w:rPr>
                <w:rFonts w:ascii="Tahoma" w:hAnsi="Tahoma" w:cs="Tahoma"/>
                <w:color w:val="000000"/>
                <w:sz w:val="20"/>
                <w:szCs w:val="20"/>
              </w:rPr>
              <w:t xml:space="preserve"> </w:t>
            </w:r>
          </w:p>
          <w:p w14:paraId="49145A91" w14:textId="77777777" w:rsidR="009D1253" w:rsidRPr="008C2B25" w:rsidRDefault="009D1253" w:rsidP="009D1253">
            <w:pPr>
              <w:tabs>
                <w:tab w:val="left" w:pos="6979"/>
              </w:tabs>
              <w:jc w:val="both"/>
              <w:rPr>
                <w:rFonts w:ascii="Tahoma" w:hAnsi="Tahoma" w:cs="Tahoma"/>
                <w:color w:val="000000"/>
                <w:sz w:val="20"/>
                <w:szCs w:val="20"/>
              </w:rPr>
            </w:pPr>
            <w:r w:rsidRPr="008C2B25">
              <w:rPr>
                <w:rFonts w:ascii="Tahoma" w:hAnsi="Tahoma" w:cs="Tahoma"/>
                <w:color w:val="000000"/>
                <w:sz w:val="20"/>
                <w:szCs w:val="20"/>
              </w:rPr>
              <w:t>Покрываемые риски</w:t>
            </w:r>
            <w:r>
              <w:rPr>
                <w:rFonts w:ascii="Tahoma" w:hAnsi="Tahoma" w:cs="Tahoma"/>
                <w:color w:val="000000"/>
                <w:sz w:val="20"/>
                <w:szCs w:val="20"/>
              </w:rPr>
              <w:t>, которые должны быть указаны в договоре страхования</w:t>
            </w:r>
            <w:r w:rsidRPr="008C2B25">
              <w:rPr>
                <w:rFonts w:ascii="Tahoma" w:hAnsi="Tahoma" w:cs="Tahoma"/>
                <w:color w:val="000000"/>
                <w:sz w:val="20"/>
                <w:szCs w:val="20"/>
              </w:rPr>
              <w:t xml:space="preserve">: </w:t>
            </w:r>
          </w:p>
          <w:p w14:paraId="2CE34A0A" w14:textId="77777777" w:rsidR="009D1253" w:rsidRPr="008C2B25" w:rsidRDefault="009D1253" w:rsidP="009D1253">
            <w:pPr>
              <w:tabs>
                <w:tab w:val="left" w:pos="6979"/>
              </w:tabs>
              <w:jc w:val="both"/>
              <w:rPr>
                <w:rFonts w:ascii="Tahoma" w:hAnsi="Tahoma" w:cs="Tahoma"/>
                <w:color w:val="000000"/>
                <w:sz w:val="20"/>
                <w:szCs w:val="20"/>
              </w:rPr>
            </w:pPr>
            <w:r w:rsidRPr="008C2B25">
              <w:rPr>
                <w:rFonts w:ascii="Tahoma" w:hAnsi="Tahoma" w:cs="Tahoma"/>
                <w:color w:val="000000"/>
                <w:sz w:val="20"/>
                <w:szCs w:val="20"/>
              </w:rPr>
              <w:t xml:space="preserve">1. Ущерб с выплатой на условиях полная гибель ТС; </w:t>
            </w:r>
          </w:p>
          <w:p w14:paraId="269C218C" w14:textId="77777777" w:rsidR="009D1253" w:rsidRPr="008C2B25" w:rsidRDefault="009D1253" w:rsidP="009D1253">
            <w:pPr>
              <w:tabs>
                <w:tab w:val="left" w:pos="6979"/>
              </w:tabs>
              <w:jc w:val="both"/>
              <w:rPr>
                <w:rFonts w:ascii="Tahoma" w:hAnsi="Tahoma" w:cs="Tahoma"/>
                <w:color w:val="000000"/>
                <w:sz w:val="20"/>
                <w:szCs w:val="20"/>
              </w:rPr>
            </w:pPr>
            <w:r w:rsidRPr="008C2B25">
              <w:rPr>
                <w:rFonts w:ascii="Tahoma" w:hAnsi="Tahoma" w:cs="Tahoma"/>
                <w:color w:val="000000"/>
                <w:sz w:val="20"/>
                <w:szCs w:val="20"/>
              </w:rPr>
              <w:t>2. Хищение по ст.158, 161, 162 УК РФ, Угон;</w:t>
            </w:r>
          </w:p>
          <w:p w14:paraId="4EBFCF60" w14:textId="77777777" w:rsidR="009D1253" w:rsidRPr="008C2B25" w:rsidRDefault="009D1253" w:rsidP="009D1253">
            <w:pPr>
              <w:tabs>
                <w:tab w:val="left" w:pos="6979"/>
              </w:tabs>
              <w:jc w:val="both"/>
              <w:rPr>
                <w:rFonts w:ascii="Tahoma" w:hAnsi="Tahoma" w:cs="Tahoma"/>
                <w:color w:val="000000"/>
                <w:sz w:val="20"/>
                <w:szCs w:val="20"/>
                <w:u w:val="single"/>
              </w:rPr>
            </w:pPr>
            <w:r w:rsidRPr="008C2B25">
              <w:rPr>
                <w:rFonts w:ascii="Tahoma" w:hAnsi="Tahoma" w:cs="Tahoma"/>
                <w:color w:val="000000"/>
                <w:sz w:val="20"/>
                <w:szCs w:val="20"/>
              </w:rPr>
              <w:t>3. Ущерб в результате самовозгорания с выплатой в случае полной гибели ТС</w:t>
            </w:r>
            <w:r w:rsidRPr="00D41003">
              <w:rPr>
                <w:rFonts w:ascii="Tahoma" w:hAnsi="Tahoma" w:cs="Tahoma"/>
                <w:color w:val="000000"/>
                <w:sz w:val="20"/>
                <w:szCs w:val="20"/>
              </w:rPr>
              <w:t>.</w:t>
            </w:r>
          </w:p>
          <w:p w14:paraId="2F8375B6" w14:textId="77777777" w:rsidR="009D1253" w:rsidRPr="008C2B25" w:rsidRDefault="009D1253" w:rsidP="009D1253">
            <w:pPr>
              <w:tabs>
                <w:tab w:val="left" w:pos="6979"/>
              </w:tabs>
              <w:jc w:val="both"/>
              <w:rPr>
                <w:rFonts w:ascii="Tahoma" w:hAnsi="Tahoma" w:cs="Tahoma"/>
                <w:color w:val="000000"/>
                <w:sz w:val="20"/>
                <w:szCs w:val="20"/>
              </w:rPr>
            </w:pPr>
            <w:r w:rsidRPr="008C2B25">
              <w:rPr>
                <w:rFonts w:ascii="Tahoma" w:hAnsi="Tahoma" w:cs="Tahoma"/>
                <w:color w:val="000000"/>
                <w:sz w:val="20"/>
                <w:szCs w:val="20"/>
              </w:rPr>
              <w:t>и</w:t>
            </w:r>
          </w:p>
          <w:p w14:paraId="614786CE" w14:textId="77777777" w:rsidR="009D1253" w:rsidRPr="008C2B25" w:rsidRDefault="009D1253" w:rsidP="009D1253">
            <w:pPr>
              <w:tabs>
                <w:tab w:val="left" w:pos="6979"/>
              </w:tabs>
              <w:jc w:val="both"/>
              <w:rPr>
                <w:rFonts w:ascii="Tahoma" w:hAnsi="Tahoma" w:cs="Tahoma"/>
                <w:color w:val="000000"/>
                <w:sz w:val="20"/>
                <w:szCs w:val="20"/>
              </w:rPr>
            </w:pPr>
            <w:r w:rsidRPr="008C2B25">
              <w:rPr>
                <w:rFonts w:ascii="Tahoma" w:hAnsi="Tahoma" w:cs="Tahoma"/>
                <w:color w:val="000000"/>
                <w:sz w:val="20"/>
                <w:szCs w:val="20"/>
                <w:u w:val="single"/>
              </w:rPr>
              <w:t>Личное страхование: (</w:t>
            </w:r>
            <w:r w:rsidRPr="008C2B25">
              <w:rPr>
                <w:rFonts w:ascii="Tahoma" w:hAnsi="Tahoma" w:cs="Tahoma"/>
                <w:i/>
                <w:color w:val="000000"/>
                <w:sz w:val="20"/>
                <w:szCs w:val="20"/>
              </w:rPr>
              <w:t xml:space="preserve">оформление данного вида страхования не применимо для лиц с инвалидностью (ЛСИ)*). </w:t>
            </w:r>
          </w:p>
          <w:p w14:paraId="100B75D0" w14:textId="77777777" w:rsidR="009D1253" w:rsidRPr="008C2B25" w:rsidRDefault="009D1253" w:rsidP="009D1253">
            <w:pPr>
              <w:tabs>
                <w:tab w:val="left" w:pos="6979"/>
              </w:tabs>
              <w:jc w:val="both"/>
              <w:rPr>
                <w:rFonts w:ascii="Tahoma" w:hAnsi="Tahoma" w:cs="Tahoma"/>
                <w:color w:val="000000"/>
                <w:sz w:val="20"/>
                <w:szCs w:val="20"/>
              </w:rPr>
            </w:pPr>
            <w:r w:rsidRPr="008C2B25">
              <w:rPr>
                <w:rFonts w:ascii="Tahoma" w:hAnsi="Tahoma" w:cs="Tahoma"/>
                <w:color w:val="000000"/>
                <w:sz w:val="20"/>
                <w:szCs w:val="20"/>
              </w:rPr>
              <w:t>Покрываемые риски</w:t>
            </w:r>
            <w:r>
              <w:rPr>
                <w:rFonts w:ascii="Tahoma" w:hAnsi="Tahoma" w:cs="Tahoma"/>
                <w:color w:val="000000"/>
                <w:sz w:val="20"/>
                <w:szCs w:val="20"/>
              </w:rPr>
              <w:t>, которые должны быть указаны в договоре страхования</w:t>
            </w:r>
            <w:r w:rsidRPr="008C2B25">
              <w:rPr>
                <w:rFonts w:ascii="Tahoma" w:hAnsi="Tahoma" w:cs="Tahoma"/>
                <w:color w:val="000000"/>
                <w:sz w:val="20"/>
                <w:szCs w:val="20"/>
              </w:rPr>
              <w:t xml:space="preserve">: </w:t>
            </w:r>
          </w:p>
          <w:p w14:paraId="22B37266" w14:textId="77777777" w:rsidR="009D1253" w:rsidRPr="008C2B25" w:rsidRDefault="009D1253" w:rsidP="009D1253">
            <w:pPr>
              <w:tabs>
                <w:tab w:val="left" w:pos="6979"/>
              </w:tabs>
              <w:jc w:val="both"/>
              <w:rPr>
                <w:rFonts w:ascii="Tahoma" w:hAnsi="Tahoma" w:cs="Tahoma"/>
                <w:sz w:val="20"/>
                <w:szCs w:val="20"/>
              </w:rPr>
            </w:pPr>
            <w:r w:rsidRPr="008C2B25">
              <w:rPr>
                <w:rFonts w:ascii="Tahoma" w:hAnsi="Tahoma" w:cs="Tahoma"/>
                <w:color w:val="000000"/>
                <w:sz w:val="20"/>
                <w:szCs w:val="20"/>
              </w:rPr>
              <w:t>Травмы в результате несчастного случая</w:t>
            </w:r>
            <w:r>
              <w:rPr>
                <w:rFonts w:ascii="Tahoma" w:hAnsi="Tahoma" w:cs="Tahoma"/>
                <w:color w:val="000000"/>
                <w:sz w:val="20"/>
                <w:szCs w:val="20"/>
              </w:rPr>
              <w:t xml:space="preserve"> </w:t>
            </w:r>
            <w:r w:rsidRPr="000F0250">
              <w:rPr>
                <w:rFonts w:ascii="Tahoma" w:hAnsi="Tahoma" w:cs="Tahoma"/>
                <w:color w:val="000000"/>
                <w:sz w:val="20"/>
                <w:szCs w:val="20"/>
              </w:rPr>
              <w:t>(по тексту - НС), хирургическая операция в результате НС</w:t>
            </w:r>
            <w:r w:rsidRPr="008C2B25">
              <w:rPr>
                <w:rFonts w:ascii="Tahoma" w:hAnsi="Tahoma" w:cs="Tahoma"/>
                <w:color w:val="000000"/>
                <w:sz w:val="20"/>
                <w:szCs w:val="20"/>
              </w:rPr>
              <w:t xml:space="preserve">, </w:t>
            </w:r>
            <w:r w:rsidRPr="008C2B25">
              <w:rPr>
                <w:rFonts w:ascii="Tahoma" w:hAnsi="Tahoma" w:cs="Tahoma"/>
                <w:sz w:val="20"/>
                <w:szCs w:val="20"/>
              </w:rPr>
              <w:t>смерть по любой причине (ЛП), установление инвалидности 1-й и 2 группы, в том числе в результате болезни.</w:t>
            </w:r>
            <w:r>
              <w:rPr>
                <w:rFonts w:ascii="Tahoma" w:hAnsi="Tahoma" w:cs="Tahoma"/>
                <w:sz w:val="20"/>
                <w:szCs w:val="20"/>
              </w:rPr>
              <w:t xml:space="preserve"> </w:t>
            </w:r>
            <w:r w:rsidRPr="003C2E4F">
              <w:rPr>
                <w:rFonts w:ascii="Tahoma" w:hAnsi="Tahoma" w:cs="Tahoma"/>
                <w:sz w:val="20"/>
                <w:szCs w:val="20"/>
              </w:rPr>
              <w:t xml:space="preserve">При этом, не </w:t>
            </w:r>
            <w:r>
              <w:rPr>
                <w:rFonts w:ascii="Tahoma" w:eastAsia="Calibri" w:hAnsi="Tahoma" w:cs="Tahoma"/>
                <w:sz w:val="20"/>
                <w:szCs w:val="20"/>
              </w:rPr>
              <w:t xml:space="preserve">должны быть </w:t>
            </w:r>
            <w:r w:rsidRPr="003C2E4F">
              <w:rPr>
                <w:rFonts w:ascii="Tahoma" w:hAnsi="Tahoma" w:cs="Tahoma"/>
                <w:sz w:val="20"/>
                <w:szCs w:val="20"/>
              </w:rPr>
              <w:t>исключением из застрахованных рисков события, произошедшие в результате болезни Заемщика, прямо/ косвенно связанной с ВИЧ инфекцией/СПИД</w:t>
            </w:r>
            <w:r w:rsidRPr="000F0250">
              <w:rPr>
                <w:rFonts w:ascii="Tahoma" w:hAnsi="Tahoma" w:cs="Tahoma"/>
                <w:sz w:val="20"/>
                <w:szCs w:val="20"/>
              </w:rPr>
              <w:t>.</w:t>
            </w:r>
          </w:p>
          <w:p w14:paraId="5938719E" w14:textId="77777777" w:rsidR="009D1253" w:rsidRPr="008C2B25" w:rsidRDefault="009D1253" w:rsidP="009D1253">
            <w:pPr>
              <w:jc w:val="both"/>
              <w:rPr>
                <w:rFonts w:ascii="Tahoma" w:hAnsi="Tahoma" w:cs="Tahoma"/>
                <w:color w:val="000000"/>
                <w:sz w:val="20"/>
                <w:szCs w:val="20"/>
              </w:rPr>
            </w:pPr>
            <w:r w:rsidRPr="008C2B25">
              <w:rPr>
                <w:rFonts w:ascii="Tahoma" w:hAnsi="Tahoma" w:cs="Tahoma"/>
                <w:color w:val="000000"/>
                <w:sz w:val="20"/>
                <w:szCs w:val="20"/>
              </w:rPr>
              <w:t>По желанию Заёмщика страховая премия по договору страхования может быть оплачена за счет Кредита при выполнении указанных в настоящем пункте условий к договору (полису) страхования.</w:t>
            </w:r>
          </w:p>
          <w:p w14:paraId="656BADF0" w14:textId="77777777" w:rsidR="009D1253" w:rsidRPr="008C2B25" w:rsidRDefault="009D1253" w:rsidP="009D1253">
            <w:pPr>
              <w:jc w:val="both"/>
              <w:rPr>
                <w:rFonts w:ascii="Tahoma" w:hAnsi="Tahoma" w:cs="Tahoma"/>
                <w:color w:val="000000"/>
                <w:sz w:val="20"/>
                <w:szCs w:val="20"/>
              </w:rPr>
            </w:pPr>
          </w:p>
          <w:p w14:paraId="6EFCAD78" w14:textId="77777777" w:rsidR="009D1253" w:rsidRPr="005A07E7" w:rsidRDefault="009D1253" w:rsidP="009D1253">
            <w:pPr>
              <w:tabs>
                <w:tab w:val="left" w:pos="9832"/>
              </w:tabs>
              <w:jc w:val="both"/>
              <w:rPr>
                <w:sz w:val="20"/>
                <w:szCs w:val="20"/>
              </w:rPr>
            </w:pPr>
            <w:r w:rsidRPr="008C2B25">
              <w:rPr>
                <w:rFonts w:ascii="Tahoma" w:hAnsi="Tahoma" w:cs="Tahoma"/>
                <w:color w:val="000000"/>
                <w:sz w:val="20"/>
                <w:szCs w:val="20"/>
              </w:rPr>
              <w:t>* для ЛСИ применяется размер процентной ставки за пользование кредитом, соответствующий выбору условий кредитования с процентной ставкой, предусматривающей заключение Личного страхования (без заключения ЛСИ соответствующего договора), при условии оформления ЛСИ Договора страхования КАСКО, соответствующего требованиям настоящего документа, и предоставлении документа, подтверждающего статус ЛСИ.</w:t>
            </w:r>
          </w:p>
        </w:tc>
      </w:tr>
      <w:tr w:rsidR="009D1253" w:rsidRPr="005A07E7" w14:paraId="6D8B152D"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699"/>
        </w:trPr>
        <w:tc>
          <w:tcPr>
            <w:tcW w:w="1475" w:type="pct"/>
            <w:tcBorders>
              <w:left w:val="single" w:sz="4" w:space="0" w:color="auto"/>
              <w:right w:val="single" w:sz="4" w:space="0" w:color="auto"/>
            </w:tcBorders>
            <w:vAlign w:val="center"/>
          </w:tcPr>
          <w:p w14:paraId="529D3E57" w14:textId="77777777" w:rsidR="009D1253" w:rsidRPr="005A07E7" w:rsidRDefault="009D1253" w:rsidP="009D1253">
            <w:pPr>
              <w:rPr>
                <w:rFonts w:ascii="Tahoma" w:hAnsi="Tahoma" w:cs="Tahoma"/>
                <w:sz w:val="20"/>
                <w:szCs w:val="20"/>
              </w:rPr>
            </w:pPr>
            <w:r w:rsidRPr="005A07E7">
              <w:rPr>
                <w:rFonts w:ascii="Tahoma" w:hAnsi="Tahoma" w:cs="Tahoma"/>
                <w:b/>
                <w:sz w:val="20"/>
                <w:szCs w:val="20"/>
              </w:rPr>
              <w:t>Требования к Заёмщику, которые установлены Кредитором и выполнение которых является обязательным для предоставления Кредита</w:t>
            </w:r>
          </w:p>
        </w:tc>
        <w:tc>
          <w:tcPr>
            <w:tcW w:w="3525" w:type="pct"/>
            <w:tcBorders>
              <w:top w:val="single" w:sz="4" w:space="0" w:color="auto"/>
              <w:left w:val="nil"/>
              <w:bottom w:val="single" w:sz="4" w:space="0" w:color="auto"/>
              <w:right w:val="single" w:sz="8" w:space="0" w:color="000000"/>
            </w:tcBorders>
            <w:noWrap/>
            <w:vAlign w:val="center"/>
          </w:tcPr>
          <w:p w14:paraId="756D6F23"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гражданство Российской Федерации;</w:t>
            </w:r>
          </w:p>
          <w:p w14:paraId="024D8243"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адрес постоянной регистрации и фактическое место жительства Заёмщика – все регионы РФ;</w:t>
            </w:r>
          </w:p>
          <w:p w14:paraId="728AF138"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возраст Заёмщика не менее 21 года (на момент оформления Кредита) и не более 70 лет (на момент окончания действия срока возврата Кредита) включительно;</w:t>
            </w:r>
          </w:p>
          <w:p w14:paraId="5754E9FB"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Заёмщик имеет официальное место работы (либо является ИП) и</w:t>
            </w:r>
            <w:r>
              <w:rPr>
                <w:rFonts w:ascii="Tahoma" w:hAnsi="Tahoma" w:cs="Tahoma"/>
                <w:sz w:val="20"/>
                <w:szCs w:val="20"/>
              </w:rPr>
              <w:t>(или)</w:t>
            </w:r>
            <w:r w:rsidRPr="005A07E7">
              <w:rPr>
                <w:rFonts w:ascii="Tahoma" w:hAnsi="Tahoma" w:cs="Tahoma"/>
                <w:sz w:val="20"/>
                <w:szCs w:val="20"/>
              </w:rPr>
              <w:t xml:space="preserve"> постоянный источник дохода;</w:t>
            </w:r>
          </w:p>
          <w:p w14:paraId="6FA11DAB"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Заёмщик не имеет официального места работы, при условии достижения пенсионного возраста, и получающий социальную пенсию;</w:t>
            </w:r>
          </w:p>
          <w:p w14:paraId="12FC2102"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xml:space="preserve">- стаж на последнем месте работы не менее 3 месяцев. </w:t>
            </w:r>
            <w:r w:rsidRPr="005A07E7">
              <w:rPr>
                <w:rFonts w:ascii="Tahoma" w:hAnsi="Tahoma" w:cs="Tahoma"/>
              </w:rPr>
              <w:fldChar w:fldCharType="begin"/>
            </w:r>
            <w:r w:rsidRPr="005A07E7">
              <w:rPr>
                <w:rFonts w:ascii="Tahoma" w:hAnsi="Tahoma" w:cs="Tahoma"/>
              </w:rPr>
              <w:instrText xml:space="preserve"> DOCVARIABLE  КЛИЕНТ </w:instrText>
            </w:r>
            <w:r w:rsidRPr="005A07E7">
              <w:rPr>
                <w:rFonts w:ascii="Tahoma" w:hAnsi="Tahoma" w:cs="Tahoma"/>
              </w:rPr>
              <w:fldChar w:fldCharType="end"/>
            </w:r>
          </w:p>
        </w:tc>
      </w:tr>
      <w:tr w:rsidR="009D1253" w:rsidRPr="005A07E7" w14:paraId="085B4CBF"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558"/>
        </w:trPr>
        <w:tc>
          <w:tcPr>
            <w:tcW w:w="1475" w:type="pct"/>
            <w:tcBorders>
              <w:top w:val="single" w:sz="4" w:space="0" w:color="auto"/>
              <w:left w:val="single" w:sz="8" w:space="0" w:color="auto"/>
              <w:bottom w:val="single" w:sz="4" w:space="0" w:color="auto"/>
              <w:right w:val="single" w:sz="4" w:space="0" w:color="auto"/>
            </w:tcBorders>
            <w:vAlign w:val="center"/>
          </w:tcPr>
          <w:p w14:paraId="0BB85C2F"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 xml:space="preserve">Перечень документов, необходимых для рассмотрения заявления о предоставлении Кредита, в том числе </w:t>
            </w:r>
            <w:r w:rsidRPr="005A07E7">
              <w:rPr>
                <w:rFonts w:ascii="Tahoma" w:hAnsi="Tahoma" w:cs="Tahoma"/>
                <w:b/>
                <w:sz w:val="20"/>
                <w:szCs w:val="20"/>
              </w:rPr>
              <w:lastRenderedPageBreak/>
              <w:t>для оценки кредитоспособности Заёмщика (в случае необходимости могут быть запрошены дополнительные документы)</w:t>
            </w:r>
          </w:p>
        </w:tc>
        <w:tc>
          <w:tcPr>
            <w:tcW w:w="3525" w:type="pct"/>
            <w:tcBorders>
              <w:top w:val="single" w:sz="4" w:space="0" w:color="auto"/>
              <w:left w:val="nil"/>
              <w:bottom w:val="single" w:sz="4" w:space="0" w:color="auto"/>
              <w:right w:val="single" w:sz="8" w:space="0" w:color="000000"/>
            </w:tcBorders>
            <w:shd w:val="clear" w:color="auto" w:fill="auto"/>
            <w:noWrap/>
            <w:vAlign w:val="center"/>
          </w:tcPr>
          <w:p w14:paraId="3AB51BDD" w14:textId="77777777" w:rsidR="009D1253" w:rsidRPr="00636486" w:rsidRDefault="009D1253" w:rsidP="00B460F9">
            <w:pPr>
              <w:pStyle w:val="a9"/>
              <w:numPr>
                <w:ilvl w:val="0"/>
                <w:numId w:val="176"/>
              </w:numPr>
              <w:tabs>
                <w:tab w:val="left" w:pos="0"/>
                <w:tab w:val="left" w:pos="268"/>
                <w:tab w:val="num" w:pos="360"/>
              </w:tabs>
              <w:spacing w:before="0" w:after="0"/>
              <w:rPr>
                <w:rFonts w:ascii="Tahoma" w:hAnsi="Tahoma" w:cs="Tahoma"/>
                <w:b/>
                <w:szCs w:val="18"/>
                <w:lang w:eastAsia="en-US"/>
              </w:rPr>
            </w:pPr>
            <w:r w:rsidRPr="00636486">
              <w:rPr>
                <w:rFonts w:ascii="Tahoma" w:hAnsi="Tahoma" w:cs="Tahoma"/>
                <w:b/>
                <w:szCs w:val="18"/>
                <w:lang w:eastAsia="en-US"/>
              </w:rPr>
              <w:lastRenderedPageBreak/>
              <w:t xml:space="preserve">Пакет документов для приобретаемого Заёмщиком за счет кредитных средств Банка </w:t>
            </w:r>
            <w:r>
              <w:rPr>
                <w:rFonts w:ascii="Tahoma" w:hAnsi="Tahoma" w:cs="Tahoma"/>
                <w:b/>
                <w:szCs w:val="18"/>
                <w:lang w:eastAsia="en-US"/>
              </w:rPr>
              <w:t xml:space="preserve">подержанного </w:t>
            </w:r>
            <w:r w:rsidRPr="00636486">
              <w:rPr>
                <w:rFonts w:ascii="Tahoma" w:hAnsi="Tahoma" w:cs="Tahoma"/>
                <w:b/>
                <w:szCs w:val="18"/>
                <w:lang w:eastAsia="en-US"/>
              </w:rPr>
              <w:t>ТС</w:t>
            </w:r>
            <w:r>
              <w:rPr>
                <w:rFonts w:ascii="Tahoma" w:hAnsi="Tahoma" w:cs="Tahoma"/>
                <w:b/>
                <w:szCs w:val="18"/>
                <w:lang w:eastAsia="en-US"/>
              </w:rPr>
              <w:t>*:</w:t>
            </w:r>
          </w:p>
          <w:p w14:paraId="50FACE3E" w14:textId="77777777" w:rsidR="009D1253" w:rsidRPr="00636486" w:rsidRDefault="009D1253" w:rsidP="009D1253">
            <w:pPr>
              <w:pStyle w:val="a9"/>
              <w:tabs>
                <w:tab w:val="left" w:pos="0"/>
                <w:tab w:val="left" w:pos="693"/>
                <w:tab w:val="left" w:pos="835"/>
              </w:tabs>
              <w:spacing w:before="0" w:after="0"/>
              <w:rPr>
                <w:rFonts w:ascii="Tahoma" w:hAnsi="Tahoma" w:cs="Tahoma"/>
                <w:szCs w:val="18"/>
                <w:lang w:eastAsia="en-US"/>
              </w:rPr>
            </w:pPr>
            <w:r>
              <w:rPr>
                <w:rFonts w:ascii="Tahoma" w:hAnsi="Tahoma" w:cs="Tahoma"/>
                <w:szCs w:val="18"/>
                <w:lang w:eastAsia="en-US"/>
              </w:rPr>
              <w:lastRenderedPageBreak/>
              <w:t>О</w:t>
            </w:r>
            <w:r w:rsidRPr="00636486">
              <w:rPr>
                <w:rFonts w:ascii="Tahoma" w:hAnsi="Tahoma" w:cs="Tahoma"/>
                <w:szCs w:val="18"/>
                <w:lang w:eastAsia="en-US"/>
              </w:rPr>
              <w:t>ригиналы ПТС (допускается прием дубликата ПТС)</w:t>
            </w:r>
            <w:r>
              <w:rPr>
                <w:rFonts w:ascii="Tahoma" w:hAnsi="Tahoma" w:cs="Tahoma"/>
                <w:szCs w:val="18"/>
                <w:lang w:eastAsia="en-US"/>
              </w:rPr>
              <w:t>/</w:t>
            </w:r>
            <w:r w:rsidRPr="00636486">
              <w:rPr>
                <w:rFonts w:ascii="Tahoma" w:hAnsi="Tahoma" w:cs="Tahoma"/>
                <w:szCs w:val="18"/>
                <w:lang w:eastAsia="en-US"/>
              </w:rPr>
              <w:t xml:space="preserve"> выписка из Электронного паспорта ТС (далее – выписка ЭПТС) </w:t>
            </w:r>
            <w:r w:rsidRPr="00636486">
              <w:rPr>
                <w:rFonts w:ascii="Tahoma" w:hAnsi="Tahoma" w:cs="Tahoma"/>
                <w:szCs w:val="18"/>
              </w:rPr>
              <w:t>в статусе «действующий</w:t>
            </w:r>
            <w:r>
              <w:rPr>
                <w:rFonts w:ascii="Tahoma" w:hAnsi="Tahoma" w:cs="Tahoma"/>
                <w:szCs w:val="18"/>
              </w:rPr>
              <w:t>» / «незавершенный»</w:t>
            </w:r>
          </w:p>
          <w:p w14:paraId="40C6FC03" w14:textId="77777777" w:rsidR="009D1253" w:rsidRDefault="009D1253" w:rsidP="009D1253">
            <w:pPr>
              <w:pStyle w:val="a9"/>
              <w:spacing w:before="0" w:after="0"/>
              <w:rPr>
                <w:rFonts w:ascii="Tahoma" w:hAnsi="Tahoma" w:cs="Tahoma"/>
                <w:szCs w:val="18"/>
              </w:rPr>
            </w:pPr>
            <w:r w:rsidRPr="00636486">
              <w:rPr>
                <w:rFonts w:ascii="Tahoma" w:hAnsi="Tahoma" w:cs="Tahoma"/>
                <w:szCs w:val="18"/>
              </w:rPr>
              <w:t xml:space="preserve">Полномочия юридического лица / ИП на реализацию ТС подтверждаются одним из следующих документов: договором купли-продажи, дилерским договором, договором поставки и актом приема-передачи ТС по указанным договорам или агентским договором, договором комиссии и т.п., заключенным с собственником ТС и предоставляющим ему право на реализацию такого ТС. </w:t>
            </w:r>
            <w:r w:rsidRPr="00E24712">
              <w:rPr>
                <w:rFonts w:ascii="Tahoma" w:hAnsi="Tahoma" w:cs="Tahoma"/>
                <w:szCs w:val="18"/>
              </w:rPr>
              <w:t>При необходимости Банком может быть запрошен</w:t>
            </w:r>
            <w:r>
              <w:rPr>
                <w:rFonts w:ascii="Tahoma" w:hAnsi="Tahoma" w:cs="Tahoma"/>
                <w:szCs w:val="18"/>
              </w:rPr>
              <w:t>о Свидетельство о регистрации транспортного средства</w:t>
            </w:r>
            <w:r w:rsidRPr="00E24712">
              <w:rPr>
                <w:rFonts w:ascii="Tahoma" w:hAnsi="Tahoma" w:cs="Tahoma"/>
                <w:szCs w:val="18"/>
              </w:rPr>
              <w:t>.</w:t>
            </w:r>
          </w:p>
          <w:p w14:paraId="2CBED09D" w14:textId="77777777" w:rsidR="009D1253" w:rsidRPr="00636486" w:rsidRDefault="009D1253" w:rsidP="009D1253">
            <w:pPr>
              <w:pStyle w:val="a9"/>
              <w:spacing w:before="0" w:after="0"/>
              <w:rPr>
                <w:rFonts w:ascii="Tahoma" w:hAnsi="Tahoma" w:cs="Tahoma"/>
                <w:szCs w:val="18"/>
              </w:rPr>
            </w:pPr>
            <w:r w:rsidRPr="00636486">
              <w:rPr>
                <w:rFonts w:ascii="Tahoma" w:hAnsi="Tahoma" w:cs="Tahoma"/>
                <w:szCs w:val="18"/>
              </w:rPr>
              <w:t>Для ТС, ввезенных из-за границы и не поставленных на государственный регистрационный учет в РФ дополнительно к указанным документам и выписке из ЭПТС прилагается таможенная декларация (или иной документ при отсутствии у продавца ТС таможенной декларации или в дополнение к ней). При этом таможенная декларация и/или иной документ, предоставленный Банку, должен содержать VIN номер ТС, а также идентификационные данные продавца ТС (или иного лица, осуществлявшего таможенные процедуры в отношении ТС, а также процедуры, необходимые для получения ЭПТС, и передавшего полномочия по реализации ТС продавцу ТС на основании договора).</w:t>
            </w:r>
          </w:p>
          <w:p w14:paraId="2F55E27D" w14:textId="77777777" w:rsidR="009D1253" w:rsidRPr="008C2B25" w:rsidRDefault="009D1253" w:rsidP="009D1253">
            <w:pPr>
              <w:pStyle w:val="a9"/>
              <w:tabs>
                <w:tab w:val="left" w:pos="0"/>
                <w:tab w:val="left" w:pos="176"/>
                <w:tab w:val="left" w:pos="835"/>
              </w:tabs>
              <w:spacing w:before="0" w:after="0"/>
              <w:rPr>
                <w:rFonts w:ascii="Tahoma" w:hAnsi="Tahoma" w:cs="Tahoma"/>
                <w:strike/>
                <w:szCs w:val="18"/>
                <w:lang w:eastAsia="en-US"/>
              </w:rPr>
            </w:pPr>
          </w:p>
          <w:p w14:paraId="0CDEABE1" w14:textId="77777777" w:rsidR="009D1253" w:rsidRPr="008C2B25" w:rsidRDefault="009D1253" w:rsidP="00B460F9">
            <w:pPr>
              <w:pStyle w:val="a9"/>
              <w:numPr>
                <w:ilvl w:val="0"/>
                <w:numId w:val="176"/>
              </w:numPr>
              <w:tabs>
                <w:tab w:val="left" w:pos="0"/>
                <w:tab w:val="left" w:pos="268"/>
                <w:tab w:val="num" w:pos="360"/>
              </w:tabs>
              <w:spacing w:before="0" w:after="0"/>
              <w:rPr>
                <w:rFonts w:ascii="Tahoma" w:hAnsi="Tahoma" w:cs="Tahoma"/>
                <w:b/>
                <w:szCs w:val="18"/>
                <w:lang w:eastAsia="en-US"/>
              </w:rPr>
            </w:pPr>
            <w:r w:rsidRPr="008C2B25">
              <w:rPr>
                <w:rFonts w:ascii="Tahoma" w:hAnsi="Tahoma" w:cs="Tahoma"/>
                <w:b/>
                <w:szCs w:val="18"/>
                <w:lang w:eastAsia="en-US"/>
              </w:rPr>
              <w:t>Пакет документов для Заёмщика</w:t>
            </w:r>
          </w:p>
          <w:p w14:paraId="5574A1BE" w14:textId="77777777" w:rsidR="009D1253" w:rsidRPr="008C2B25" w:rsidRDefault="009D1253" w:rsidP="00B460F9">
            <w:pPr>
              <w:pStyle w:val="a9"/>
              <w:numPr>
                <w:ilvl w:val="0"/>
                <w:numId w:val="176"/>
              </w:numPr>
              <w:tabs>
                <w:tab w:val="left" w:pos="0"/>
                <w:tab w:val="left" w:pos="268"/>
                <w:tab w:val="num" w:pos="360"/>
              </w:tabs>
              <w:spacing w:before="0" w:after="0"/>
              <w:ind w:hanging="643"/>
              <w:rPr>
                <w:rFonts w:ascii="Tahoma" w:hAnsi="Tahoma" w:cs="Tahoma"/>
                <w:szCs w:val="18"/>
                <w:lang w:eastAsia="en-US"/>
              </w:rPr>
            </w:pPr>
            <w:r w:rsidRPr="008C2B25">
              <w:rPr>
                <w:rFonts w:ascii="Tahoma" w:hAnsi="Tahoma" w:cs="Tahoma"/>
                <w:szCs w:val="18"/>
                <w:lang w:eastAsia="en-US"/>
              </w:rPr>
              <w:t>Паспорт гражданина РФ</w:t>
            </w:r>
          </w:p>
          <w:p w14:paraId="766DC90A" w14:textId="77777777" w:rsidR="009D1253" w:rsidRPr="008C2B25" w:rsidRDefault="009D1253" w:rsidP="00B460F9">
            <w:pPr>
              <w:pStyle w:val="a9"/>
              <w:numPr>
                <w:ilvl w:val="0"/>
                <w:numId w:val="176"/>
              </w:numPr>
              <w:tabs>
                <w:tab w:val="left" w:pos="0"/>
                <w:tab w:val="left" w:pos="268"/>
                <w:tab w:val="num" w:pos="360"/>
              </w:tabs>
              <w:spacing w:before="0" w:after="0"/>
              <w:rPr>
                <w:rFonts w:ascii="Tahoma" w:hAnsi="Tahoma" w:cs="Tahoma"/>
                <w:szCs w:val="18"/>
                <w:lang w:eastAsia="en-US"/>
              </w:rPr>
            </w:pPr>
            <w:r w:rsidRPr="008C2B25">
              <w:rPr>
                <w:rFonts w:ascii="Tahoma" w:hAnsi="Tahoma" w:cs="Tahoma"/>
                <w:szCs w:val="18"/>
                <w:lang w:eastAsia="en-US"/>
              </w:rPr>
              <w:t>Второй документ, предоставляется из следующих документов по выбору Заёмщика:</w:t>
            </w:r>
            <w:r w:rsidRPr="008C2B25" w:rsidDel="00721FE6">
              <w:rPr>
                <w:rFonts w:ascii="Tahoma" w:hAnsi="Tahoma" w:cs="Tahoma"/>
                <w:szCs w:val="18"/>
                <w:lang w:eastAsia="en-US"/>
              </w:rPr>
              <w:t xml:space="preserve"> </w:t>
            </w:r>
          </w:p>
          <w:p w14:paraId="6CC68EB9" w14:textId="77777777" w:rsidR="009D1253" w:rsidRPr="008C2B25" w:rsidRDefault="009D1253" w:rsidP="009D1253">
            <w:pPr>
              <w:pStyle w:val="a9"/>
              <w:tabs>
                <w:tab w:val="left" w:pos="0"/>
              </w:tabs>
              <w:spacing w:before="0" w:after="0"/>
              <w:ind w:firstLine="268"/>
              <w:rPr>
                <w:rFonts w:ascii="Tahoma" w:hAnsi="Tahoma" w:cs="Tahoma"/>
                <w:szCs w:val="18"/>
                <w:lang w:eastAsia="en-US"/>
              </w:rPr>
            </w:pPr>
            <w:r w:rsidRPr="008C2B25">
              <w:rPr>
                <w:rFonts w:ascii="Tahoma" w:hAnsi="Tahoma" w:cs="Tahoma"/>
                <w:szCs w:val="18"/>
                <w:lang w:eastAsia="en-US"/>
              </w:rPr>
              <w:t>- заграничный паспорт гражданина РФ</w:t>
            </w:r>
          </w:p>
          <w:p w14:paraId="185E466C" w14:textId="77777777" w:rsidR="009D1253" w:rsidRPr="008C2B25" w:rsidRDefault="009D1253" w:rsidP="009D1253">
            <w:pPr>
              <w:pStyle w:val="a9"/>
              <w:tabs>
                <w:tab w:val="left" w:pos="0"/>
              </w:tabs>
              <w:spacing w:before="0" w:after="0"/>
              <w:ind w:firstLine="268"/>
              <w:rPr>
                <w:rFonts w:ascii="Tahoma" w:hAnsi="Tahoma" w:cs="Tahoma"/>
                <w:szCs w:val="18"/>
                <w:lang w:eastAsia="en-US"/>
              </w:rPr>
            </w:pPr>
            <w:r w:rsidRPr="008C2B25">
              <w:rPr>
                <w:rFonts w:ascii="Tahoma" w:hAnsi="Tahoma" w:cs="Tahoma"/>
                <w:szCs w:val="18"/>
                <w:lang w:eastAsia="en-US"/>
              </w:rPr>
              <w:t>- водительское удостоверение</w:t>
            </w:r>
          </w:p>
          <w:p w14:paraId="73C05068" w14:textId="77777777" w:rsidR="009D1253" w:rsidRPr="008C2B25" w:rsidRDefault="009D1253" w:rsidP="009D1253">
            <w:pPr>
              <w:pStyle w:val="a9"/>
              <w:tabs>
                <w:tab w:val="left" w:pos="0"/>
              </w:tabs>
              <w:spacing w:before="0" w:after="0"/>
              <w:ind w:firstLine="268"/>
              <w:rPr>
                <w:rFonts w:ascii="Tahoma" w:hAnsi="Tahoma" w:cs="Tahoma"/>
                <w:szCs w:val="18"/>
                <w:lang w:eastAsia="en-US"/>
              </w:rPr>
            </w:pPr>
            <w:r w:rsidRPr="008C2B25">
              <w:rPr>
                <w:rFonts w:ascii="Tahoma" w:hAnsi="Tahoma" w:cs="Tahoma"/>
                <w:szCs w:val="18"/>
                <w:lang w:eastAsia="en-US"/>
              </w:rPr>
              <w:t>- СНИЛС</w:t>
            </w:r>
          </w:p>
          <w:p w14:paraId="33D9A84F" w14:textId="77777777" w:rsidR="009D1253" w:rsidRPr="005A07E7" w:rsidRDefault="009D1253" w:rsidP="009D1253">
            <w:pPr>
              <w:pStyle w:val="a9"/>
              <w:tabs>
                <w:tab w:val="left" w:pos="0"/>
              </w:tabs>
              <w:spacing w:before="0" w:after="0"/>
              <w:rPr>
                <w:rFonts w:ascii="Tahoma" w:hAnsi="Tahoma" w:cs="Tahoma"/>
                <w:strike/>
                <w:sz w:val="18"/>
                <w:szCs w:val="18"/>
              </w:rPr>
            </w:pPr>
          </w:p>
          <w:p w14:paraId="401AA25C" w14:textId="77777777" w:rsidR="009D1253" w:rsidRDefault="009D1253" w:rsidP="009D1253">
            <w:pPr>
              <w:autoSpaceDE w:val="0"/>
              <w:autoSpaceDN w:val="0"/>
              <w:adjustRightInd w:val="0"/>
              <w:jc w:val="both"/>
              <w:rPr>
                <w:rFonts w:ascii="Tahoma" w:hAnsi="Tahoma" w:cs="Tahoma"/>
                <w:sz w:val="20"/>
                <w:szCs w:val="18"/>
              </w:rPr>
            </w:pPr>
            <w:r w:rsidRPr="008006DB">
              <w:rPr>
                <w:rFonts w:ascii="Tahoma" w:hAnsi="Tahoma" w:cs="Tahoma"/>
                <w:sz w:val="20"/>
                <w:szCs w:val="18"/>
              </w:rPr>
              <w:t xml:space="preserve">По результатам рассмотрения заявления о предоставлении потребительского кредита, Банком могут быть запрошены документы, подтверждающие финансовое состояние Заёмщика, а также его занятость. </w:t>
            </w:r>
          </w:p>
          <w:p w14:paraId="58D37E15" w14:textId="77777777" w:rsidR="009D1253" w:rsidRPr="008006DB" w:rsidRDefault="009D1253" w:rsidP="009D1253">
            <w:pPr>
              <w:pStyle w:val="a9"/>
              <w:tabs>
                <w:tab w:val="left" w:pos="268"/>
              </w:tabs>
              <w:spacing w:before="0" w:after="0"/>
              <w:ind w:left="-16" w:right="-1"/>
              <w:rPr>
                <w:rFonts w:ascii="Tahoma" w:hAnsi="Tahoma" w:cs="Tahoma"/>
                <w:szCs w:val="18"/>
                <w:lang w:eastAsia="en-US"/>
              </w:rPr>
            </w:pPr>
            <w:r w:rsidRPr="008006DB">
              <w:rPr>
                <w:rFonts w:ascii="Tahoma" w:hAnsi="Tahoma" w:cs="Tahoma"/>
                <w:szCs w:val="18"/>
                <w:lang w:eastAsia="en-US"/>
              </w:rPr>
              <w:t xml:space="preserve">В качестве документов, подтверждающих финансовое состояние Заёмщика, могут быть предоставлены: </w:t>
            </w:r>
          </w:p>
          <w:tbl>
            <w:tblPr>
              <w:tblStyle w:val="aff0"/>
              <w:tblW w:w="10653" w:type="dxa"/>
              <w:tblInd w:w="8" w:type="dxa"/>
              <w:tblLayout w:type="fixed"/>
              <w:tblLook w:val="04A0" w:firstRow="1" w:lastRow="0" w:firstColumn="1" w:lastColumn="0" w:noHBand="0" w:noVBand="1"/>
            </w:tblPr>
            <w:tblGrid>
              <w:gridCol w:w="2096"/>
              <w:gridCol w:w="8557"/>
            </w:tblGrid>
            <w:tr w:rsidR="009D1253" w:rsidRPr="00B2133F" w14:paraId="52AB7823" w14:textId="77777777" w:rsidTr="009D1253">
              <w:tc>
                <w:tcPr>
                  <w:tcW w:w="2096" w:type="dxa"/>
                </w:tcPr>
                <w:p w14:paraId="4498E397" w14:textId="77777777" w:rsidR="009D1253" w:rsidRPr="00B2133F" w:rsidRDefault="009D1253" w:rsidP="009D1253">
                  <w:pPr>
                    <w:rPr>
                      <w:rFonts w:ascii="Tahoma" w:hAnsi="Tahoma" w:cs="Tahoma"/>
                      <w:sz w:val="18"/>
                      <w:szCs w:val="18"/>
                    </w:rPr>
                  </w:pPr>
                  <w:r w:rsidRPr="00B2133F">
                    <w:rPr>
                      <w:rFonts w:ascii="Tahoma" w:hAnsi="Tahoma" w:cs="Tahoma"/>
                      <w:sz w:val="18"/>
                      <w:szCs w:val="18"/>
                    </w:rPr>
                    <w:t>Виды (источники) дохода</w:t>
                  </w:r>
                </w:p>
              </w:tc>
              <w:tc>
                <w:tcPr>
                  <w:tcW w:w="8557" w:type="dxa"/>
                </w:tcPr>
                <w:p w14:paraId="385FEA47"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t>Документы, подтверждающие финансовое состояние Заёмщика*</w:t>
                  </w:r>
                </w:p>
              </w:tc>
            </w:tr>
            <w:tr w:rsidR="009D1253" w:rsidRPr="00B2133F" w14:paraId="6D8E6138" w14:textId="77777777" w:rsidTr="009D1253">
              <w:tc>
                <w:tcPr>
                  <w:tcW w:w="2096" w:type="dxa"/>
                </w:tcPr>
                <w:p w14:paraId="172CC875"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t>Основное место работы</w:t>
                  </w:r>
                </w:p>
              </w:tc>
              <w:tc>
                <w:tcPr>
                  <w:tcW w:w="8557" w:type="dxa"/>
                </w:tcPr>
                <w:p w14:paraId="2C130001" w14:textId="77777777" w:rsidR="009D1253" w:rsidRDefault="009D1253" w:rsidP="009D1253">
                  <w:pPr>
                    <w:tabs>
                      <w:tab w:val="left" w:pos="6979"/>
                    </w:tabs>
                    <w:ind w:right="176"/>
                    <w:jc w:val="both"/>
                    <w:rPr>
                      <w:rFonts w:ascii="Tahoma" w:hAnsi="Tahoma" w:cs="Tahoma"/>
                      <w:sz w:val="18"/>
                      <w:szCs w:val="18"/>
                    </w:rPr>
                  </w:pPr>
                  <w:r w:rsidRPr="00B2133F">
                    <w:rPr>
                      <w:rFonts w:ascii="Tahoma" w:hAnsi="Tahoma" w:cs="Tahoma"/>
                      <w:sz w:val="18"/>
                      <w:szCs w:val="18"/>
                    </w:rPr>
                    <w:t>Один из следующих документов по выбору Заёмщика:</w:t>
                  </w:r>
                </w:p>
                <w:p w14:paraId="6FF3F57C" w14:textId="77777777" w:rsidR="009D1253" w:rsidRPr="002771C8" w:rsidRDefault="009D1253" w:rsidP="00B460F9">
                  <w:pPr>
                    <w:pStyle w:val="affe"/>
                    <w:numPr>
                      <w:ilvl w:val="0"/>
                      <w:numId w:val="176"/>
                    </w:numPr>
                    <w:tabs>
                      <w:tab w:val="num" w:pos="360"/>
                      <w:tab w:val="left" w:pos="6979"/>
                    </w:tabs>
                    <w:ind w:left="226" w:hanging="284"/>
                    <w:jc w:val="both"/>
                    <w:rPr>
                      <w:rFonts w:ascii="Tahoma" w:hAnsi="Tahoma" w:cs="Tahoma"/>
                      <w:sz w:val="18"/>
                      <w:szCs w:val="18"/>
                    </w:rPr>
                  </w:pPr>
                  <w:r w:rsidRPr="002771C8">
                    <w:rPr>
                      <w:rFonts w:ascii="Tahoma" w:hAnsi="Tahoma" w:cs="Tahoma"/>
                      <w:sz w:val="18"/>
                      <w:szCs w:val="18"/>
                    </w:rPr>
                    <w:t>Справка о доходах и суммах налога физического лица или Справка о доходах и удержанных суммах по образцу государственного учреждения, внутренними распорядительными документами которого установлены ограничения на предоставление своим работникам справок о доходах и суммах налога физического лица**</w:t>
                  </w:r>
                </w:p>
                <w:p w14:paraId="7D1D8F0D" w14:textId="77777777" w:rsidR="009D1253" w:rsidRPr="005500FA" w:rsidRDefault="009D1253" w:rsidP="00B460F9">
                  <w:pPr>
                    <w:pStyle w:val="affe"/>
                    <w:numPr>
                      <w:ilvl w:val="0"/>
                      <w:numId w:val="176"/>
                    </w:numPr>
                    <w:tabs>
                      <w:tab w:val="left" w:pos="367"/>
                      <w:tab w:val="left" w:pos="7880"/>
                    </w:tabs>
                    <w:ind w:left="226" w:hanging="226"/>
                    <w:jc w:val="both"/>
                    <w:rPr>
                      <w:rFonts w:ascii="Tahoma" w:hAnsi="Tahoma" w:cs="Tahoma"/>
                      <w:sz w:val="18"/>
                      <w:szCs w:val="18"/>
                    </w:rPr>
                  </w:pPr>
                  <w:r w:rsidRPr="005500FA">
                    <w:rPr>
                      <w:rFonts w:ascii="Tahoma" w:hAnsi="Tahoma" w:cs="Tahoma"/>
                      <w:sz w:val="18"/>
                      <w:szCs w:val="18"/>
                    </w:rPr>
                    <w:t>Выписка о состоянии индивидуального лицевого счета застрахованного лица в системе обязательного пенсионного страхования***</w:t>
                  </w:r>
                </w:p>
                <w:p w14:paraId="7205F369" w14:textId="77777777" w:rsidR="009D1253" w:rsidRPr="005500FA" w:rsidRDefault="009D1253" w:rsidP="00B460F9">
                  <w:pPr>
                    <w:pStyle w:val="affe"/>
                    <w:numPr>
                      <w:ilvl w:val="0"/>
                      <w:numId w:val="176"/>
                    </w:numPr>
                    <w:tabs>
                      <w:tab w:val="num" w:pos="360"/>
                      <w:tab w:val="left" w:pos="6979"/>
                      <w:tab w:val="left" w:pos="7880"/>
                    </w:tabs>
                    <w:ind w:left="226" w:hanging="226"/>
                    <w:jc w:val="both"/>
                    <w:rPr>
                      <w:rFonts w:ascii="Tahoma" w:hAnsi="Tahoma" w:cs="Tahoma"/>
                      <w:sz w:val="18"/>
                      <w:szCs w:val="18"/>
                    </w:rPr>
                  </w:pPr>
                  <w:r w:rsidRPr="005500FA">
                    <w:rPr>
                      <w:rFonts w:ascii="Tahoma" w:hAnsi="Tahoma" w:cs="Tahoma"/>
                      <w:sz w:val="18"/>
                      <w:szCs w:val="18"/>
                    </w:rPr>
                    <w:t>Справка по форме Банка**</w:t>
                  </w:r>
                </w:p>
                <w:p w14:paraId="6957EF90" w14:textId="77777777" w:rsidR="009D1253" w:rsidRPr="005500FA" w:rsidRDefault="009D1253" w:rsidP="00B460F9">
                  <w:pPr>
                    <w:pStyle w:val="affe"/>
                    <w:numPr>
                      <w:ilvl w:val="0"/>
                      <w:numId w:val="176"/>
                    </w:numPr>
                    <w:tabs>
                      <w:tab w:val="num" w:pos="360"/>
                      <w:tab w:val="left" w:pos="6979"/>
                      <w:tab w:val="left" w:pos="7880"/>
                    </w:tabs>
                    <w:ind w:left="226" w:hanging="226"/>
                    <w:jc w:val="both"/>
                    <w:rPr>
                      <w:rFonts w:ascii="Tahoma" w:hAnsi="Tahoma" w:cs="Tahoma"/>
                      <w:sz w:val="18"/>
                      <w:szCs w:val="18"/>
                    </w:rPr>
                  </w:pPr>
                  <w:r w:rsidRPr="00DF7D87">
                    <w:rPr>
                      <w:rFonts w:ascii="Tahoma" w:hAnsi="Tahoma" w:cs="Tahoma"/>
                      <w:sz w:val="18"/>
                      <w:szCs w:val="18"/>
                    </w:rPr>
                    <w:t>Выписка с</w:t>
                  </w:r>
                  <w:r>
                    <w:rPr>
                      <w:rFonts w:ascii="Tahoma" w:hAnsi="Tahoma" w:cs="Tahoma"/>
                      <w:sz w:val="18"/>
                      <w:szCs w:val="18"/>
                    </w:rPr>
                    <w:t xml:space="preserve"> банковского</w:t>
                  </w:r>
                  <w:r w:rsidRPr="00DF7D87">
                    <w:rPr>
                      <w:rFonts w:ascii="Tahoma" w:hAnsi="Tahoma" w:cs="Tahoma"/>
                      <w:sz w:val="18"/>
                      <w:szCs w:val="18"/>
                    </w:rPr>
                    <w:t xml:space="preserve"> счета, на который осуществляются </w:t>
                  </w:r>
                  <w:r>
                    <w:rPr>
                      <w:rFonts w:ascii="Tahoma" w:hAnsi="Tahoma" w:cs="Tahoma"/>
                      <w:sz w:val="18"/>
                      <w:szCs w:val="18"/>
                    </w:rPr>
                    <w:t>зачисления заработной платы Заемщика</w:t>
                  </w:r>
                  <w:r w:rsidRPr="00DF7D87">
                    <w:rPr>
                      <w:rFonts w:ascii="Tahoma" w:hAnsi="Tahoma" w:cs="Tahoma"/>
                      <w:sz w:val="18"/>
                      <w:szCs w:val="18"/>
                    </w:rPr>
                    <w:t>, выданная кредитн</w:t>
                  </w:r>
                  <w:r>
                    <w:rPr>
                      <w:rFonts w:ascii="Tahoma" w:hAnsi="Tahoma" w:cs="Tahoma"/>
                      <w:sz w:val="18"/>
                      <w:szCs w:val="18"/>
                    </w:rPr>
                    <w:t>ой</w:t>
                  </w:r>
                  <w:r w:rsidRPr="00DF7D87">
                    <w:rPr>
                      <w:rFonts w:ascii="Tahoma" w:hAnsi="Tahoma" w:cs="Tahoma"/>
                      <w:sz w:val="18"/>
                      <w:szCs w:val="18"/>
                    </w:rPr>
                    <w:t xml:space="preserve"> организаци</w:t>
                  </w:r>
                  <w:r>
                    <w:rPr>
                      <w:rFonts w:ascii="Tahoma" w:hAnsi="Tahoma" w:cs="Tahoma"/>
                      <w:sz w:val="18"/>
                      <w:szCs w:val="18"/>
                    </w:rPr>
                    <w:t>ей</w:t>
                  </w:r>
                  <w:r w:rsidRPr="00DF7D87">
                    <w:rPr>
                      <w:rFonts w:ascii="Tahoma" w:hAnsi="Tahoma" w:cs="Tahoma"/>
                      <w:sz w:val="18"/>
                      <w:szCs w:val="18"/>
                    </w:rPr>
                    <w:t xml:space="preserve"> и заверенная печатью и подписью уполномоченного лица, в т.ч. </w:t>
                  </w:r>
                  <w:r w:rsidRPr="00040CA2">
                    <w:rPr>
                      <w:rFonts w:ascii="Tahoma" w:hAnsi="Tahoma" w:cs="Tahoma"/>
                      <w:sz w:val="18"/>
                      <w:szCs w:val="18"/>
                      <w:lang w:eastAsia="en-US"/>
                    </w:rPr>
                    <w:t>выписка с каналов дистанционного обслуживания кредитной организации</w:t>
                  </w:r>
                </w:p>
              </w:tc>
            </w:tr>
            <w:tr w:rsidR="009D1253" w:rsidRPr="00B2133F" w14:paraId="02F9667A" w14:textId="77777777" w:rsidTr="009D1253">
              <w:tc>
                <w:tcPr>
                  <w:tcW w:w="2096" w:type="dxa"/>
                </w:tcPr>
                <w:p w14:paraId="0A348F7E"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t>Пенсия</w:t>
                  </w:r>
                </w:p>
              </w:tc>
              <w:tc>
                <w:tcPr>
                  <w:tcW w:w="8557" w:type="dxa"/>
                </w:tcPr>
                <w:p w14:paraId="1D7188DA" w14:textId="77777777" w:rsidR="009D1253" w:rsidRDefault="009D1253" w:rsidP="009D1253">
                  <w:pPr>
                    <w:tabs>
                      <w:tab w:val="left" w:pos="6979"/>
                    </w:tabs>
                    <w:ind w:right="176"/>
                    <w:jc w:val="both"/>
                    <w:rPr>
                      <w:rFonts w:ascii="Tahoma" w:hAnsi="Tahoma" w:cs="Tahoma"/>
                      <w:sz w:val="18"/>
                      <w:szCs w:val="18"/>
                    </w:rPr>
                  </w:pPr>
                  <w:r w:rsidRPr="00B2133F">
                    <w:rPr>
                      <w:rFonts w:ascii="Tahoma" w:hAnsi="Tahoma" w:cs="Tahoma"/>
                      <w:sz w:val="18"/>
                      <w:szCs w:val="18"/>
                    </w:rPr>
                    <w:t>Один из следующих документов по выбору Заемщика****:</w:t>
                  </w:r>
                </w:p>
                <w:p w14:paraId="279BCFE4" w14:textId="77777777" w:rsidR="009D1253" w:rsidRPr="005500FA" w:rsidRDefault="009D1253" w:rsidP="00B460F9">
                  <w:pPr>
                    <w:pStyle w:val="affe"/>
                    <w:numPr>
                      <w:ilvl w:val="0"/>
                      <w:numId w:val="176"/>
                    </w:numPr>
                    <w:tabs>
                      <w:tab w:val="num" w:pos="360"/>
                      <w:tab w:val="left" w:pos="6979"/>
                    </w:tabs>
                    <w:ind w:left="367" w:right="176"/>
                    <w:jc w:val="both"/>
                    <w:rPr>
                      <w:rFonts w:ascii="Tahoma" w:hAnsi="Tahoma" w:cs="Tahoma"/>
                      <w:sz w:val="18"/>
                      <w:szCs w:val="18"/>
                    </w:rPr>
                  </w:pPr>
                  <w:r w:rsidRPr="005500FA">
                    <w:rPr>
                      <w:rFonts w:ascii="Tahoma" w:hAnsi="Tahoma" w:cs="Tahoma"/>
                      <w:sz w:val="18"/>
                      <w:szCs w:val="18"/>
                    </w:rPr>
                    <w:t>Выписка со счета, выданная кредитными организациями, на который осуществляются пенсионные выплаты</w:t>
                  </w:r>
                </w:p>
                <w:p w14:paraId="1F831640" w14:textId="77777777" w:rsidR="009D1253" w:rsidRPr="005500FA" w:rsidRDefault="009D1253" w:rsidP="00B460F9">
                  <w:pPr>
                    <w:pStyle w:val="affe"/>
                    <w:numPr>
                      <w:ilvl w:val="0"/>
                      <w:numId w:val="176"/>
                    </w:numPr>
                    <w:tabs>
                      <w:tab w:val="num" w:pos="360"/>
                      <w:tab w:val="left" w:pos="6979"/>
                    </w:tabs>
                    <w:ind w:left="226" w:right="176" w:hanging="226"/>
                    <w:jc w:val="both"/>
                    <w:rPr>
                      <w:rFonts w:ascii="Tahoma" w:hAnsi="Tahoma" w:cs="Tahoma"/>
                      <w:sz w:val="18"/>
                      <w:szCs w:val="18"/>
                    </w:rPr>
                  </w:pPr>
                  <w:r w:rsidRPr="005500FA">
                    <w:rPr>
                      <w:rFonts w:ascii="Tahoma" w:hAnsi="Tahoma" w:cs="Tahoma"/>
                      <w:sz w:val="18"/>
                      <w:szCs w:val="18"/>
                    </w:rPr>
                    <w:lastRenderedPageBreak/>
                    <w:t xml:space="preserve">Справка </w:t>
                  </w:r>
                  <w:r>
                    <w:rPr>
                      <w:rFonts w:ascii="Tahoma" w:hAnsi="Tahoma" w:cs="Tahoma"/>
                      <w:sz w:val="18"/>
                      <w:szCs w:val="18"/>
                    </w:rPr>
                    <w:t>Социального</w:t>
                  </w:r>
                  <w:r w:rsidRPr="005500FA">
                    <w:rPr>
                      <w:rFonts w:ascii="Tahoma" w:hAnsi="Tahoma" w:cs="Tahoma"/>
                      <w:sz w:val="18"/>
                      <w:szCs w:val="18"/>
                    </w:rPr>
                    <w:t xml:space="preserve"> фонда Российской Федерации или другого государственного органа, выплачивающего пенсию о размере пенсии, ежемесячного пожизненного содержания судьям или ежемесячной надбавки к денежному содержанию судьям о назначении пенсии /иной документ, подтверждающий право на получение пенсии, содержащий идентификационные данные Клиента и размера дохода (например, выписка из ФПСС)</w:t>
                  </w:r>
                </w:p>
              </w:tc>
            </w:tr>
            <w:tr w:rsidR="009D1253" w:rsidRPr="00B2133F" w14:paraId="754C654E" w14:textId="77777777" w:rsidTr="009D1253">
              <w:tc>
                <w:tcPr>
                  <w:tcW w:w="2096" w:type="dxa"/>
                </w:tcPr>
                <w:p w14:paraId="34DD05E7"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lastRenderedPageBreak/>
                    <w:t>Место работы по совместительству</w:t>
                  </w:r>
                </w:p>
              </w:tc>
              <w:tc>
                <w:tcPr>
                  <w:tcW w:w="8557" w:type="dxa"/>
                </w:tcPr>
                <w:p w14:paraId="1E382F83" w14:textId="77777777" w:rsidR="009D1253" w:rsidRPr="00B2133F" w:rsidRDefault="009D1253" w:rsidP="009D1253">
                  <w:pPr>
                    <w:tabs>
                      <w:tab w:val="left" w:pos="6979"/>
                    </w:tabs>
                    <w:ind w:right="176"/>
                    <w:jc w:val="both"/>
                    <w:rPr>
                      <w:rFonts w:ascii="Tahoma" w:hAnsi="Tahoma" w:cs="Tahoma"/>
                      <w:sz w:val="18"/>
                      <w:szCs w:val="18"/>
                    </w:rPr>
                  </w:pPr>
                  <w:r w:rsidRPr="00B2133F">
                    <w:rPr>
                      <w:rFonts w:ascii="Tahoma" w:hAnsi="Tahoma" w:cs="Tahoma"/>
                      <w:sz w:val="18"/>
                      <w:szCs w:val="18"/>
                    </w:rPr>
                    <w:t>Один из следующих документов по выбору Заёмщика:</w:t>
                  </w:r>
                </w:p>
                <w:p w14:paraId="6C836EBB" w14:textId="77777777" w:rsidR="009D1253" w:rsidRPr="005500FA" w:rsidRDefault="009D1253" w:rsidP="00B460F9">
                  <w:pPr>
                    <w:pStyle w:val="affe"/>
                    <w:numPr>
                      <w:ilvl w:val="0"/>
                      <w:numId w:val="176"/>
                    </w:numPr>
                    <w:tabs>
                      <w:tab w:val="num" w:pos="360"/>
                      <w:tab w:val="left" w:pos="6979"/>
                    </w:tabs>
                    <w:ind w:left="226" w:right="176" w:hanging="226"/>
                    <w:jc w:val="both"/>
                    <w:rPr>
                      <w:rFonts w:ascii="Tahoma" w:hAnsi="Tahoma" w:cs="Tahoma"/>
                      <w:sz w:val="18"/>
                      <w:szCs w:val="18"/>
                    </w:rPr>
                  </w:pPr>
                  <w:r w:rsidRPr="005500FA">
                    <w:rPr>
                      <w:rFonts w:ascii="Tahoma" w:hAnsi="Tahoma" w:cs="Tahoma"/>
                      <w:sz w:val="18"/>
                      <w:szCs w:val="18"/>
                    </w:rPr>
                    <w:t>Справка о доходах и суммах налога физического лица или Справка о доходах и удержанных суммах по образцу государственного учреждения, внутренними распорядительными документами которого установлены ограничения на предоставление своим работникам справок о доходах и суммах налога физического лица**</w:t>
                  </w:r>
                </w:p>
                <w:p w14:paraId="093BFA57" w14:textId="77777777" w:rsidR="009D1253" w:rsidRPr="005500FA" w:rsidRDefault="009D1253" w:rsidP="00B460F9">
                  <w:pPr>
                    <w:pStyle w:val="affe"/>
                    <w:numPr>
                      <w:ilvl w:val="0"/>
                      <w:numId w:val="176"/>
                    </w:numPr>
                    <w:tabs>
                      <w:tab w:val="num" w:pos="360"/>
                      <w:tab w:val="left" w:pos="6979"/>
                    </w:tabs>
                    <w:ind w:left="226" w:right="176" w:hanging="226"/>
                    <w:jc w:val="both"/>
                    <w:rPr>
                      <w:rFonts w:ascii="Tahoma" w:hAnsi="Tahoma" w:cs="Tahoma"/>
                      <w:sz w:val="18"/>
                      <w:szCs w:val="18"/>
                    </w:rPr>
                  </w:pPr>
                  <w:r w:rsidRPr="005500FA">
                    <w:rPr>
                      <w:rFonts w:ascii="Tahoma" w:hAnsi="Tahoma" w:cs="Tahoma"/>
                      <w:sz w:val="18"/>
                      <w:szCs w:val="18"/>
                    </w:rPr>
                    <w:t>Выписка о состоянии индивидуального лицевого счета застрахованного лица в системе обязательного пенсионного страхования***</w:t>
                  </w:r>
                </w:p>
                <w:p w14:paraId="5CFF9F90" w14:textId="77777777" w:rsidR="009D1253" w:rsidRPr="005500FA" w:rsidRDefault="009D1253" w:rsidP="00B460F9">
                  <w:pPr>
                    <w:pStyle w:val="affe"/>
                    <w:numPr>
                      <w:ilvl w:val="0"/>
                      <w:numId w:val="176"/>
                    </w:numPr>
                    <w:tabs>
                      <w:tab w:val="num" w:pos="360"/>
                      <w:tab w:val="left" w:pos="2919"/>
                    </w:tabs>
                    <w:ind w:left="226" w:right="176" w:hanging="226"/>
                    <w:jc w:val="both"/>
                    <w:rPr>
                      <w:rFonts w:ascii="Tahoma" w:hAnsi="Tahoma" w:cs="Tahoma"/>
                      <w:sz w:val="18"/>
                      <w:szCs w:val="18"/>
                    </w:rPr>
                  </w:pPr>
                  <w:r w:rsidRPr="005500FA">
                    <w:rPr>
                      <w:rFonts w:ascii="Tahoma" w:hAnsi="Tahoma" w:cs="Tahoma"/>
                      <w:sz w:val="18"/>
                      <w:szCs w:val="18"/>
                    </w:rPr>
                    <w:t>Справка по форме Банка**</w:t>
                  </w:r>
                </w:p>
                <w:p w14:paraId="55994DD9" w14:textId="77777777" w:rsidR="009D1253" w:rsidRPr="005500FA" w:rsidRDefault="009D1253" w:rsidP="00B460F9">
                  <w:pPr>
                    <w:pStyle w:val="affe"/>
                    <w:numPr>
                      <w:ilvl w:val="0"/>
                      <w:numId w:val="176"/>
                    </w:numPr>
                    <w:tabs>
                      <w:tab w:val="num" w:pos="360"/>
                      <w:tab w:val="left" w:pos="6979"/>
                    </w:tabs>
                    <w:ind w:left="226" w:right="176" w:hanging="226"/>
                    <w:jc w:val="both"/>
                    <w:rPr>
                      <w:rFonts w:ascii="Tahoma" w:hAnsi="Tahoma" w:cs="Tahoma"/>
                      <w:sz w:val="18"/>
                      <w:szCs w:val="18"/>
                    </w:rPr>
                  </w:pPr>
                  <w:r w:rsidRPr="00DF7D87">
                    <w:rPr>
                      <w:rFonts w:ascii="Tahoma" w:hAnsi="Tahoma" w:cs="Tahoma"/>
                      <w:sz w:val="18"/>
                      <w:szCs w:val="18"/>
                    </w:rPr>
                    <w:t>Выписка с</w:t>
                  </w:r>
                  <w:r>
                    <w:rPr>
                      <w:rFonts w:ascii="Tahoma" w:hAnsi="Tahoma" w:cs="Tahoma"/>
                      <w:sz w:val="18"/>
                      <w:szCs w:val="18"/>
                    </w:rPr>
                    <w:t xml:space="preserve"> банковского</w:t>
                  </w:r>
                  <w:r w:rsidRPr="00DF7D87">
                    <w:rPr>
                      <w:rFonts w:ascii="Tahoma" w:hAnsi="Tahoma" w:cs="Tahoma"/>
                      <w:sz w:val="18"/>
                      <w:szCs w:val="18"/>
                    </w:rPr>
                    <w:t xml:space="preserve"> счета, на который осуществляются </w:t>
                  </w:r>
                  <w:r>
                    <w:rPr>
                      <w:rFonts w:ascii="Tahoma" w:hAnsi="Tahoma" w:cs="Tahoma"/>
                      <w:sz w:val="18"/>
                      <w:szCs w:val="18"/>
                    </w:rPr>
                    <w:t>зачисления заработной платы Заемщика</w:t>
                  </w:r>
                  <w:r w:rsidRPr="00DF7D87">
                    <w:rPr>
                      <w:rFonts w:ascii="Tahoma" w:hAnsi="Tahoma" w:cs="Tahoma"/>
                      <w:sz w:val="18"/>
                      <w:szCs w:val="18"/>
                    </w:rPr>
                    <w:t>, выданная кредитн</w:t>
                  </w:r>
                  <w:r>
                    <w:rPr>
                      <w:rFonts w:ascii="Tahoma" w:hAnsi="Tahoma" w:cs="Tahoma"/>
                      <w:sz w:val="18"/>
                      <w:szCs w:val="18"/>
                    </w:rPr>
                    <w:t>ой</w:t>
                  </w:r>
                  <w:r w:rsidRPr="00DF7D87">
                    <w:rPr>
                      <w:rFonts w:ascii="Tahoma" w:hAnsi="Tahoma" w:cs="Tahoma"/>
                      <w:sz w:val="18"/>
                      <w:szCs w:val="18"/>
                    </w:rPr>
                    <w:t xml:space="preserve"> организаци</w:t>
                  </w:r>
                  <w:r>
                    <w:rPr>
                      <w:rFonts w:ascii="Tahoma" w:hAnsi="Tahoma" w:cs="Tahoma"/>
                      <w:sz w:val="18"/>
                      <w:szCs w:val="18"/>
                    </w:rPr>
                    <w:t>ей</w:t>
                  </w:r>
                  <w:r w:rsidRPr="00DF7D87">
                    <w:rPr>
                      <w:rFonts w:ascii="Tahoma" w:hAnsi="Tahoma" w:cs="Tahoma"/>
                      <w:sz w:val="18"/>
                      <w:szCs w:val="18"/>
                    </w:rPr>
                    <w:t xml:space="preserve"> и заверенная печатью и подписью уполномоченного лица, в т.ч. </w:t>
                  </w:r>
                  <w:r w:rsidRPr="00040CA2">
                    <w:rPr>
                      <w:rFonts w:ascii="Tahoma" w:hAnsi="Tahoma" w:cs="Tahoma"/>
                      <w:sz w:val="18"/>
                      <w:szCs w:val="18"/>
                      <w:lang w:eastAsia="en-US"/>
                    </w:rPr>
                    <w:t>выписка с каналов дистанционного обслуживания кредитной организации</w:t>
                  </w:r>
                </w:p>
              </w:tc>
            </w:tr>
            <w:tr w:rsidR="009D1253" w:rsidRPr="00B2133F" w14:paraId="2F87FF5E" w14:textId="77777777" w:rsidTr="009D1253">
              <w:tc>
                <w:tcPr>
                  <w:tcW w:w="2096" w:type="dxa"/>
                </w:tcPr>
                <w:p w14:paraId="0ED75B9F"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t>Предпринимательская деятельность без образования юридического лица / частная практика</w:t>
                  </w:r>
                </w:p>
              </w:tc>
              <w:tc>
                <w:tcPr>
                  <w:tcW w:w="8557" w:type="dxa"/>
                </w:tcPr>
                <w:p w14:paraId="76E2A705" w14:textId="77777777" w:rsidR="009D1253" w:rsidRPr="00B2133F" w:rsidRDefault="009D1253" w:rsidP="009D1253">
                  <w:pPr>
                    <w:tabs>
                      <w:tab w:val="left" w:pos="6979"/>
                    </w:tabs>
                    <w:ind w:right="176"/>
                    <w:jc w:val="both"/>
                    <w:rPr>
                      <w:rFonts w:ascii="Tahoma" w:hAnsi="Tahoma" w:cs="Tahoma"/>
                      <w:sz w:val="18"/>
                      <w:szCs w:val="18"/>
                    </w:rPr>
                  </w:pPr>
                  <w:r w:rsidRPr="00B2133F">
                    <w:rPr>
                      <w:rFonts w:ascii="Tahoma" w:hAnsi="Tahoma" w:cs="Tahoma"/>
                      <w:sz w:val="18"/>
                      <w:szCs w:val="18"/>
                    </w:rPr>
                    <w:t xml:space="preserve">Один или совокупность из следующих документов: </w:t>
                  </w:r>
                </w:p>
                <w:p w14:paraId="702E56DC" w14:textId="77777777" w:rsidR="009D1253" w:rsidRDefault="009D1253" w:rsidP="00B460F9">
                  <w:pPr>
                    <w:pStyle w:val="affe"/>
                    <w:numPr>
                      <w:ilvl w:val="0"/>
                      <w:numId w:val="176"/>
                    </w:numPr>
                    <w:tabs>
                      <w:tab w:val="num" w:pos="360"/>
                      <w:tab w:val="left" w:pos="6979"/>
                    </w:tabs>
                    <w:ind w:left="367" w:right="176"/>
                    <w:contextualSpacing/>
                    <w:jc w:val="both"/>
                    <w:rPr>
                      <w:rFonts w:ascii="Tahoma" w:hAnsi="Tahoma" w:cs="Tahoma"/>
                      <w:sz w:val="18"/>
                      <w:szCs w:val="18"/>
                    </w:rPr>
                  </w:pPr>
                  <w:r w:rsidRPr="00AC74CA">
                    <w:rPr>
                      <w:rFonts w:ascii="Tahoma" w:hAnsi="Tahoma" w:cs="Tahoma"/>
                      <w:sz w:val="18"/>
                      <w:szCs w:val="18"/>
                    </w:rPr>
                    <w:t>Налоговая декларация с копиями квитанций (платежных поручений) об уплате налогов за налоговые периоды, соответствующие периоду</w:t>
                  </w:r>
                  <w:r>
                    <w:rPr>
                      <w:rFonts w:ascii="Tahoma" w:hAnsi="Tahoma" w:cs="Tahoma"/>
                      <w:sz w:val="18"/>
                      <w:szCs w:val="18"/>
                    </w:rPr>
                    <w:t xml:space="preserve"> расчета среднемесячного дохода</w:t>
                  </w:r>
                </w:p>
                <w:p w14:paraId="3CC7336D" w14:textId="77777777" w:rsidR="009D1253" w:rsidRDefault="009D1253" w:rsidP="00B460F9">
                  <w:pPr>
                    <w:pStyle w:val="affe"/>
                    <w:numPr>
                      <w:ilvl w:val="0"/>
                      <w:numId w:val="176"/>
                    </w:numPr>
                    <w:tabs>
                      <w:tab w:val="num" w:pos="360"/>
                      <w:tab w:val="left" w:pos="6979"/>
                    </w:tabs>
                    <w:ind w:left="367" w:right="176"/>
                    <w:contextualSpacing/>
                    <w:jc w:val="both"/>
                    <w:rPr>
                      <w:rFonts w:ascii="Tahoma" w:hAnsi="Tahoma" w:cs="Tahoma"/>
                      <w:sz w:val="18"/>
                      <w:szCs w:val="18"/>
                    </w:rPr>
                  </w:pPr>
                  <w:r w:rsidRPr="00AC74CA">
                    <w:rPr>
                      <w:rFonts w:ascii="Tahoma" w:hAnsi="Tahoma" w:cs="Tahoma"/>
                      <w:sz w:val="18"/>
                      <w:szCs w:val="18"/>
                    </w:rPr>
                    <w:t>Книга учета доходов и расходов и хозяйственных операций ИП</w:t>
                  </w:r>
                </w:p>
                <w:p w14:paraId="410CC007" w14:textId="77777777" w:rsidR="009D1253" w:rsidRPr="00A975CD" w:rsidRDefault="009D1253" w:rsidP="00B460F9">
                  <w:pPr>
                    <w:pStyle w:val="affe"/>
                    <w:numPr>
                      <w:ilvl w:val="0"/>
                      <w:numId w:val="176"/>
                    </w:numPr>
                    <w:tabs>
                      <w:tab w:val="num" w:pos="360"/>
                    </w:tabs>
                    <w:autoSpaceDE w:val="0"/>
                    <w:autoSpaceDN w:val="0"/>
                    <w:ind w:left="367"/>
                    <w:rPr>
                      <w:rFonts w:ascii="Tahoma" w:hAnsi="Tahoma" w:cs="Tahoma"/>
                      <w:sz w:val="18"/>
                      <w:szCs w:val="18"/>
                    </w:rPr>
                  </w:pPr>
                  <w:r w:rsidRPr="00A975CD">
                    <w:rPr>
                      <w:rFonts w:ascii="Tahoma" w:hAnsi="Tahoma" w:cs="Tahoma"/>
                      <w:sz w:val="18"/>
                      <w:szCs w:val="18"/>
                    </w:rPr>
                    <w:t xml:space="preserve">Выписки по счетам ИП, в т.ч. сформированные из мобильного приложения, заверенные кредитной организацией </w:t>
                  </w:r>
                  <w:r w:rsidRPr="007A6339">
                    <w:rPr>
                      <w:rFonts w:ascii="Tahoma" w:hAnsi="Tahoma" w:cs="Tahoma"/>
                      <w:sz w:val="18"/>
                      <w:szCs w:val="18"/>
                    </w:rPr>
                    <w:t xml:space="preserve">(формат </w:t>
                  </w:r>
                  <w:r w:rsidRPr="007A6339">
                    <w:rPr>
                      <w:rFonts w:ascii="Tahoma" w:hAnsi="Tahoma" w:cs="Tahoma"/>
                      <w:sz w:val="18"/>
                      <w:szCs w:val="18"/>
                      <w:lang w:val="en-US"/>
                    </w:rPr>
                    <w:t>pdf</w:t>
                  </w:r>
                  <w:r w:rsidRPr="007A6339">
                    <w:rPr>
                      <w:rFonts w:ascii="Tahoma" w:hAnsi="Tahoma" w:cs="Tahoma"/>
                      <w:sz w:val="18"/>
                      <w:szCs w:val="18"/>
                    </w:rPr>
                    <w:t>+</w:t>
                  </w:r>
                  <w:r w:rsidRPr="007A6339">
                    <w:rPr>
                      <w:rFonts w:ascii="Tahoma" w:hAnsi="Tahoma" w:cs="Tahoma"/>
                      <w:sz w:val="18"/>
                      <w:szCs w:val="18"/>
                      <w:lang w:val="en-US"/>
                    </w:rPr>
                    <w:t>excel</w:t>
                  </w:r>
                  <w:r w:rsidRPr="007A6339">
                    <w:rPr>
                      <w:rFonts w:ascii="Tahoma" w:hAnsi="Tahoma" w:cs="Tahoma"/>
                      <w:sz w:val="18"/>
                      <w:szCs w:val="18"/>
                    </w:rPr>
                    <w:t>)</w:t>
                  </w:r>
                </w:p>
                <w:p w14:paraId="212FA7CF" w14:textId="77777777" w:rsidR="009D1253" w:rsidRDefault="009D1253" w:rsidP="00B460F9">
                  <w:pPr>
                    <w:pStyle w:val="affe"/>
                    <w:numPr>
                      <w:ilvl w:val="0"/>
                      <w:numId w:val="176"/>
                    </w:numPr>
                    <w:tabs>
                      <w:tab w:val="num" w:pos="360"/>
                      <w:tab w:val="left" w:pos="6979"/>
                    </w:tabs>
                    <w:ind w:left="367" w:right="176"/>
                    <w:contextualSpacing/>
                    <w:jc w:val="both"/>
                    <w:rPr>
                      <w:rFonts w:ascii="Tahoma" w:hAnsi="Tahoma" w:cs="Tahoma"/>
                      <w:sz w:val="18"/>
                      <w:szCs w:val="18"/>
                    </w:rPr>
                  </w:pPr>
                  <w:r w:rsidRPr="00DF7D87">
                    <w:rPr>
                      <w:rFonts w:ascii="Tahoma" w:hAnsi="Tahoma" w:cs="Tahoma"/>
                      <w:sz w:val="18"/>
                      <w:szCs w:val="18"/>
                    </w:rPr>
                    <w:t>Для лиц, применяющих специальный налоговый режим «Налог на профессиональный доход» (самозанятые граждане)</w:t>
                  </w:r>
                  <w:r w:rsidRPr="00AC74CA">
                    <w:rPr>
                      <w:rFonts w:ascii="Tahoma" w:hAnsi="Tahoma" w:cs="Tahoma"/>
                      <w:sz w:val="18"/>
                      <w:szCs w:val="18"/>
                    </w:rPr>
                    <w:t>:</w:t>
                  </w:r>
                </w:p>
                <w:p w14:paraId="3C456CD1" w14:textId="77777777" w:rsidR="009D1253" w:rsidRPr="002771C8" w:rsidRDefault="009D1253" w:rsidP="00A44EB4">
                  <w:pPr>
                    <w:pStyle w:val="affe"/>
                    <w:numPr>
                      <w:ilvl w:val="1"/>
                      <w:numId w:val="161"/>
                    </w:numPr>
                    <w:tabs>
                      <w:tab w:val="left" w:pos="6979"/>
                    </w:tabs>
                    <w:ind w:left="367" w:right="176" w:hanging="367"/>
                    <w:contextualSpacing/>
                    <w:jc w:val="both"/>
                    <w:rPr>
                      <w:rFonts w:ascii="Tahoma" w:hAnsi="Tahoma" w:cs="Tahoma"/>
                      <w:sz w:val="18"/>
                      <w:szCs w:val="18"/>
                    </w:rPr>
                  </w:pPr>
                  <w:r w:rsidRPr="002771C8">
                    <w:rPr>
                      <w:rFonts w:ascii="Tahoma" w:hAnsi="Tahoma" w:cs="Tahoma"/>
                      <w:sz w:val="18"/>
                      <w:szCs w:val="18"/>
                    </w:rPr>
                    <w:t>справка о постановке на учет (снятии с учета) физического лица в качестве плательщика налога на профессиональный доход (КНД 1122035)</w:t>
                  </w:r>
                </w:p>
                <w:p w14:paraId="4E6C65BE" w14:textId="77777777" w:rsidR="009D1253" w:rsidRPr="002771C8" w:rsidRDefault="009D1253" w:rsidP="00A44EB4">
                  <w:pPr>
                    <w:pStyle w:val="affe"/>
                    <w:numPr>
                      <w:ilvl w:val="1"/>
                      <w:numId w:val="160"/>
                    </w:numPr>
                    <w:tabs>
                      <w:tab w:val="left" w:pos="6979"/>
                    </w:tabs>
                    <w:ind w:left="367" w:right="176" w:hanging="367"/>
                    <w:contextualSpacing/>
                    <w:jc w:val="both"/>
                    <w:rPr>
                      <w:rFonts w:ascii="Tahoma" w:hAnsi="Tahoma" w:cs="Tahoma"/>
                      <w:sz w:val="18"/>
                      <w:szCs w:val="18"/>
                    </w:rPr>
                  </w:pPr>
                  <w:r w:rsidRPr="002771C8">
                    <w:rPr>
                      <w:rFonts w:ascii="Tahoma" w:hAnsi="Tahoma" w:cs="Tahoma"/>
                      <w:sz w:val="18"/>
                      <w:szCs w:val="18"/>
                    </w:rPr>
                    <w:t>справка о состоянии расчетов (доходах) по налогу на профессиональный доход (КНД 1122036)</w:t>
                  </w:r>
                </w:p>
              </w:tc>
            </w:tr>
            <w:tr w:rsidR="009D1253" w:rsidRPr="00B2133F" w14:paraId="1832EF90" w14:textId="77777777" w:rsidTr="009D1253">
              <w:tc>
                <w:tcPr>
                  <w:tcW w:w="2096" w:type="dxa"/>
                </w:tcPr>
                <w:p w14:paraId="0F5C8EB8"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t>Сдача в аренду помещения</w:t>
                  </w:r>
                </w:p>
              </w:tc>
              <w:tc>
                <w:tcPr>
                  <w:tcW w:w="8557" w:type="dxa"/>
                </w:tcPr>
                <w:p w14:paraId="6CDBECF3" w14:textId="77777777" w:rsidR="009D1253" w:rsidRPr="005500FA" w:rsidRDefault="009D1253" w:rsidP="00B460F9">
                  <w:pPr>
                    <w:pStyle w:val="affe"/>
                    <w:numPr>
                      <w:ilvl w:val="0"/>
                      <w:numId w:val="176"/>
                    </w:numPr>
                    <w:tabs>
                      <w:tab w:val="num" w:pos="360"/>
                      <w:tab w:val="left" w:pos="6979"/>
                    </w:tabs>
                    <w:ind w:left="367" w:right="176"/>
                    <w:jc w:val="both"/>
                    <w:rPr>
                      <w:rFonts w:ascii="Tahoma" w:hAnsi="Tahoma" w:cs="Tahoma"/>
                      <w:sz w:val="18"/>
                      <w:szCs w:val="18"/>
                    </w:rPr>
                  </w:pPr>
                  <w:r w:rsidRPr="005500FA">
                    <w:rPr>
                      <w:rFonts w:ascii="Tahoma" w:hAnsi="Tahoma" w:cs="Tahoma"/>
                      <w:sz w:val="18"/>
                      <w:szCs w:val="18"/>
                    </w:rPr>
                    <w:t>Документ, подтверждающий право собственности Заёмщика на помещение</w:t>
                  </w:r>
                </w:p>
                <w:p w14:paraId="4C1E2AC0" w14:textId="77777777" w:rsidR="009D1253" w:rsidRPr="005500FA" w:rsidRDefault="009D1253" w:rsidP="00B460F9">
                  <w:pPr>
                    <w:pStyle w:val="affe"/>
                    <w:numPr>
                      <w:ilvl w:val="0"/>
                      <w:numId w:val="176"/>
                    </w:numPr>
                    <w:tabs>
                      <w:tab w:val="num" w:pos="360"/>
                      <w:tab w:val="left" w:pos="6979"/>
                    </w:tabs>
                    <w:ind w:left="367" w:right="176"/>
                    <w:jc w:val="both"/>
                    <w:rPr>
                      <w:rFonts w:ascii="Tahoma" w:hAnsi="Tahoma" w:cs="Tahoma"/>
                      <w:sz w:val="18"/>
                      <w:szCs w:val="18"/>
                    </w:rPr>
                  </w:pPr>
                  <w:r w:rsidRPr="005500FA">
                    <w:rPr>
                      <w:rFonts w:ascii="Tahoma" w:hAnsi="Tahoma" w:cs="Tahoma"/>
                      <w:sz w:val="18"/>
                      <w:szCs w:val="18"/>
                    </w:rPr>
                    <w:t>Договор аренды помещения</w:t>
                  </w:r>
                </w:p>
                <w:p w14:paraId="3C5AE6FC" w14:textId="77777777" w:rsidR="009D1253" w:rsidRPr="005500FA" w:rsidRDefault="009D1253" w:rsidP="00B460F9">
                  <w:pPr>
                    <w:pStyle w:val="affe"/>
                    <w:numPr>
                      <w:ilvl w:val="0"/>
                      <w:numId w:val="176"/>
                    </w:numPr>
                    <w:tabs>
                      <w:tab w:val="num" w:pos="360"/>
                      <w:tab w:val="left" w:pos="6979"/>
                    </w:tabs>
                    <w:ind w:left="367" w:right="176"/>
                    <w:jc w:val="both"/>
                    <w:rPr>
                      <w:rFonts w:ascii="Tahoma" w:hAnsi="Tahoma" w:cs="Tahoma"/>
                      <w:sz w:val="18"/>
                      <w:szCs w:val="18"/>
                    </w:rPr>
                  </w:pPr>
                  <w:r w:rsidRPr="005500FA">
                    <w:rPr>
                      <w:rFonts w:ascii="Tahoma" w:hAnsi="Tahoma" w:cs="Tahoma"/>
                      <w:sz w:val="18"/>
                      <w:szCs w:val="18"/>
                    </w:rPr>
                    <w:t>Выписка со счета, выданная кредитными организациями, на который осуществляются регулярные выплаты Заёмщику доходов от сдачи внаем (в аренду) недвижимого имущества (при условии подтверждения права собственности (владения) этим имуществом), в т.ч. сформированная  из мобильного Банка</w:t>
                  </w:r>
                </w:p>
                <w:p w14:paraId="065C2638" w14:textId="77777777" w:rsidR="009D1253" w:rsidRPr="005500FA" w:rsidRDefault="009D1253" w:rsidP="00B460F9">
                  <w:pPr>
                    <w:pStyle w:val="affe"/>
                    <w:numPr>
                      <w:ilvl w:val="0"/>
                      <w:numId w:val="176"/>
                    </w:numPr>
                    <w:tabs>
                      <w:tab w:val="num" w:pos="360"/>
                      <w:tab w:val="left" w:pos="6979"/>
                    </w:tabs>
                    <w:ind w:left="367" w:right="176"/>
                    <w:jc w:val="both"/>
                    <w:rPr>
                      <w:rFonts w:ascii="Tahoma" w:hAnsi="Tahoma" w:cs="Tahoma"/>
                      <w:sz w:val="18"/>
                      <w:szCs w:val="18"/>
                    </w:rPr>
                  </w:pPr>
                  <w:r w:rsidRPr="005500FA">
                    <w:rPr>
                      <w:rFonts w:ascii="Tahoma" w:hAnsi="Tahoma" w:cs="Tahoma"/>
                      <w:sz w:val="18"/>
                      <w:szCs w:val="18"/>
                    </w:rPr>
                    <w:t>Копия налоговой декларации по налогу на доходы физических лиц (форма 3-НДФЛ) и копии платежных документов, подтверждающих уплату налогов и сборов по договорам аренды/найма за последний налоговый период</w:t>
                  </w:r>
                </w:p>
              </w:tc>
            </w:tr>
            <w:tr w:rsidR="009D1253" w:rsidRPr="00B2133F" w14:paraId="13BC67EE" w14:textId="77777777" w:rsidTr="009D1253">
              <w:tc>
                <w:tcPr>
                  <w:tcW w:w="2096" w:type="dxa"/>
                </w:tcPr>
                <w:p w14:paraId="751D2A25"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t>Вознаграждения по договорам гражданско-правового характера</w:t>
                  </w:r>
                </w:p>
              </w:tc>
              <w:tc>
                <w:tcPr>
                  <w:tcW w:w="8557" w:type="dxa"/>
                </w:tcPr>
                <w:p w14:paraId="7AE6CE8A" w14:textId="77777777" w:rsidR="009D1253" w:rsidRPr="002771C8" w:rsidRDefault="009D1253" w:rsidP="00B460F9">
                  <w:pPr>
                    <w:pStyle w:val="affe"/>
                    <w:numPr>
                      <w:ilvl w:val="0"/>
                      <w:numId w:val="176"/>
                    </w:numPr>
                    <w:tabs>
                      <w:tab w:val="num" w:pos="360"/>
                      <w:tab w:val="left" w:pos="6979"/>
                    </w:tabs>
                    <w:ind w:left="367" w:right="176"/>
                    <w:jc w:val="both"/>
                    <w:rPr>
                      <w:rFonts w:ascii="Tahoma" w:hAnsi="Tahoma" w:cs="Tahoma"/>
                      <w:sz w:val="18"/>
                      <w:szCs w:val="18"/>
                    </w:rPr>
                  </w:pPr>
                  <w:r w:rsidRPr="002771C8">
                    <w:rPr>
                      <w:rFonts w:ascii="Tahoma" w:hAnsi="Tahoma" w:cs="Tahoma"/>
                      <w:sz w:val="18"/>
                      <w:szCs w:val="18"/>
                    </w:rPr>
                    <w:t>Договор</w:t>
                  </w:r>
                </w:p>
                <w:p w14:paraId="038E8324" w14:textId="77777777" w:rsidR="009D1253" w:rsidRDefault="009D1253" w:rsidP="00B460F9">
                  <w:pPr>
                    <w:pStyle w:val="affe"/>
                    <w:numPr>
                      <w:ilvl w:val="0"/>
                      <w:numId w:val="176"/>
                    </w:numPr>
                    <w:tabs>
                      <w:tab w:val="num" w:pos="360"/>
                      <w:tab w:val="left" w:pos="6979"/>
                    </w:tabs>
                    <w:ind w:left="367" w:right="176"/>
                    <w:jc w:val="both"/>
                    <w:rPr>
                      <w:rFonts w:ascii="Tahoma" w:hAnsi="Tahoma" w:cs="Tahoma"/>
                      <w:sz w:val="18"/>
                      <w:szCs w:val="18"/>
                    </w:rPr>
                  </w:pPr>
                  <w:r w:rsidRPr="00F33745">
                    <w:rPr>
                      <w:rFonts w:ascii="Tahoma" w:hAnsi="Tahoma" w:cs="Tahoma"/>
                      <w:sz w:val="18"/>
                      <w:szCs w:val="18"/>
                    </w:rPr>
                    <w:t>Один из следующи</w:t>
                  </w:r>
                  <w:r>
                    <w:rPr>
                      <w:rFonts w:ascii="Tahoma" w:hAnsi="Tahoma" w:cs="Tahoma"/>
                      <w:sz w:val="18"/>
                      <w:szCs w:val="18"/>
                    </w:rPr>
                    <w:t>х документов по выбору Заёмщика:</w:t>
                  </w:r>
                </w:p>
                <w:p w14:paraId="0D49AB10" w14:textId="77777777" w:rsidR="009D1253" w:rsidRPr="002771C8" w:rsidRDefault="009D1253" w:rsidP="009D1253">
                  <w:pPr>
                    <w:pStyle w:val="affe"/>
                    <w:numPr>
                      <w:ilvl w:val="1"/>
                      <w:numId w:val="131"/>
                    </w:numPr>
                    <w:tabs>
                      <w:tab w:val="left" w:pos="6979"/>
                    </w:tabs>
                    <w:ind w:left="367" w:right="176" w:hanging="367"/>
                    <w:jc w:val="both"/>
                    <w:rPr>
                      <w:rFonts w:ascii="Tahoma" w:hAnsi="Tahoma" w:cs="Tahoma"/>
                      <w:sz w:val="18"/>
                      <w:szCs w:val="18"/>
                    </w:rPr>
                  </w:pPr>
                  <w:r w:rsidRPr="002771C8">
                    <w:rPr>
                      <w:rFonts w:ascii="Tahoma" w:hAnsi="Tahoma" w:cs="Tahoma"/>
                      <w:sz w:val="18"/>
                      <w:szCs w:val="18"/>
                    </w:rPr>
                    <w:t>копия налоговой декларации по форме 3-НДФЛ</w:t>
                  </w:r>
                </w:p>
                <w:p w14:paraId="5E343404" w14:textId="77777777" w:rsidR="009D1253" w:rsidRPr="002771C8" w:rsidRDefault="009D1253" w:rsidP="009D1253">
                  <w:pPr>
                    <w:pStyle w:val="affe"/>
                    <w:numPr>
                      <w:ilvl w:val="1"/>
                      <w:numId w:val="131"/>
                    </w:numPr>
                    <w:tabs>
                      <w:tab w:val="left" w:pos="6979"/>
                    </w:tabs>
                    <w:ind w:left="367" w:right="176" w:hanging="367"/>
                    <w:jc w:val="both"/>
                    <w:rPr>
                      <w:rFonts w:ascii="Tahoma" w:hAnsi="Tahoma" w:cs="Tahoma"/>
                      <w:sz w:val="18"/>
                      <w:szCs w:val="18"/>
                    </w:rPr>
                  </w:pPr>
                  <w:r w:rsidRPr="002771C8">
                    <w:rPr>
                      <w:rFonts w:ascii="Tahoma" w:hAnsi="Tahoma" w:cs="Tahoma"/>
                      <w:sz w:val="18"/>
                      <w:szCs w:val="18"/>
                    </w:rPr>
                    <w:t>справка о доходах и суммах налога физического лица**</w:t>
                  </w:r>
                </w:p>
              </w:tc>
            </w:tr>
            <w:tr w:rsidR="009D1253" w:rsidRPr="00B2133F" w14:paraId="1B7BDEAC" w14:textId="77777777" w:rsidTr="009D1253">
              <w:tc>
                <w:tcPr>
                  <w:tcW w:w="2096" w:type="dxa"/>
                </w:tcPr>
                <w:p w14:paraId="3DEBCD35" w14:textId="77777777" w:rsidR="009D1253" w:rsidRPr="00B2133F" w:rsidRDefault="009D1253" w:rsidP="009D1253">
                  <w:pPr>
                    <w:pStyle w:val="affe"/>
                    <w:tabs>
                      <w:tab w:val="left" w:pos="176"/>
                    </w:tabs>
                    <w:ind w:left="0"/>
                    <w:jc w:val="both"/>
                    <w:rPr>
                      <w:rFonts w:ascii="Tahoma" w:hAnsi="Tahoma" w:cs="Tahoma"/>
                      <w:sz w:val="18"/>
                      <w:szCs w:val="18"/>
                    </w:rPr>
                  </w:pPr>
                  <w:r w:rsidRPr="00B2133F">
                    <w:rPr>
                      <w:rFonts w:ascii="Tahoma" w:hAnsi="Tahoma" w:cs="Tahoma"/>
                      <w:sz w:val="18"/>
                      <w:szCs w:val="18"/>
                    </w:rPr>
                    <w:t>Прочие виды (источники) дохода</w:t>
                  </w:r>
                </w:p>
              </w:tc>
              <w:tc>
                <w:tcPr>
                  <w:tcW w:w="8557" w:type="dxa"/>
                </w:tcPr>
                <w:p w14:paraId="1A2C497E" w14:textId="77777777" w:rsidR="009D1253" w:rsidRDefault="009D1253" w:rsidP="00B460F9">
                  <w:pPr>
                    <w:numPr>
                      <w:ilvl w:val="0"/>
                      <w:numId w:val="176"/>
                    </w:numPr>
                    <w:tabs>
                      <w:tab w:val="left" w:pos="84"/>
                      <w:tab w:val="num" w:pos="360"/>
                    </w:tabs>
                    <w:ind w:left="367" w:right="178"/>
                    <w:jc w:val="both"/>
                    <w:textAlignment w:val="baseline"/>
                    <w:rPr>
                      <w:rFonts w:ascii="Tahoma" w:hAnsi="Tahoma" w:cs="Tahoma"/>
                      <w:sz w:val="18"/>
                      <w:szCs w:val="18"/>
                      <w:lang w:eastAsia="en-US"/>
                    </w:rPr>
                  </w:pPr>
                  <w:r w:rsidRPr="00B2133F">
                    <w:rPr>
                      <w:rFonts w:ascii="Tahoma" w:hAnsi="Tahoma" w:cs="Tahoma"/>
                      <w:sz w:val="18"/>
                      <w:szCs w:val="18"/>
                      <w:lang w:eastAsia="en-US"/>
                    </w:rPr>
                    <w:t>Справка о сумме ежемесячной денежной выплаты, ежемесячной денежной компенсации, ежемесячного дополнительного материального обеспечения, выданная гос</w:t>
                  </w:r>
                  <w:r>
                    <w:rPr>
                      <w:rFonts w:ascii="Tahoma" w:hAnsi="Tahoma" w:cs="Tahoma"/>
                      <w:sz w:val="18"/>
                      <w:szCs w:val="18"/>
                      <w:lang w:eastAsia="en-US"/>
                    </w:rPr>
                    <w:t>ударственным органом Заёмщику</w:t>
                  </w:r>
                </w:p>
                <w:p w14:paraId="300C1515" w14:textId="77777777" w:rsidR="009D1253" w:rsidRPr="00F33745" w:rsidRDefault="009D1253" w:rsidP="00B460F9">
                  <w:pPr>
                    <w:numPr>
                      <w:ilvl w:val="0"/>
                      <w:numId w:val="176"/>
                    </w:numPr>
                    <w:tabs>
                      <w:tab w:val="left" w:pos="84"/>
                      <w:tab w:val="num" w:pos="360"/>
                    </w:tabs>
                    <w:ind w:left="367" w:right="178"/>
                    <w:jc w:val="both"/>
                    <w:textAlignment w:val="baseline"/>
                    <w:rPr>
                      <w:rFonts w:ascii="Tahoma" w:hAnsi="Tahoma" w:cs="Tahoma"/>
                      <w:sz w:val="18"/>
                      <w:szCs w:val="18"/>
                      <w:lang w:eastAsia="en-US"/>
                    </w:rPr>
                  </w:pPr>
                  <w:r w:rsidRPr="00F33745">
                    <w:rPr>
                      <w:rFonts w:ascii="Tahoma" w:hAnsi="Tahoma" w:cs="Tahoma"/>
                      <w:sz w:val="18"/>
                      <w:szCs w:val="18"/>
                    </w:rPr>
                    <w:lastRenderedPageBreak/>
                    <w:t>Документ, содержащий сведения о доходах Заёмщика, выданные государственными (муниципальными) органами, учреждениями, организациями или предприятиями (включая документы, выданные должностными лицами Вооруженных Сил Российской Федерации и воинских формирований), а также физическими лицами, зарегистрированными в качестве индивидуаль</w:t>
                  </w:r>
                  <w:r>
                    <w:rPr>
                      <w:rFonts w:ascii="Tahoma" w:hAnsi="Tahoma" w:cs="Tahoma"/>
                      <w:sz w:val="18"/>
                      <w:szCs w:val="18"/>
                    </w:rPr>
                    <w:t>ных предпринимателей</w:t>
                  </w:r>
                </w:p>
                <w:p w14:paraId="5A9183D8" w14:textId="77777777" w:rsidR="009D1253" w:rsidRPr="00F33745" w:rsidRDefault="009D1253" w:rsidP="00B460F9">
                  <w:pPr>
                    <w:numPr>
                      <w:ilvl w:val="0"/>
                      <w:numId w:val="176"/>
                    </w:numPr>
                    <w:tabs>
                      <w:tab w:val="left" w:pos="84"/>
                      <w:tab w:val="num" w:pos="360"/>
                    </w:tabs>
                    <w:ind w:left="367" w:right="178"/>
                    <w:jc w:val="both"/>
                    <w:textAlignment w:val="baseline"/>
                    <w:rPr>
                      <w:rFonts w:ascii="Tahoma" w:hAnsi="Tahoma" w:cs="Tahoma"/>
                      <w:sz w:val="18"/>
                      <w:szCs w:val="18"/>
                      <w:lang w:eastAsia="en-US"/>
                    </w:rPr>
                  </w:pPr>
                  <w:r w:rsidRPr="00F33745">
                    <w:rPr>
                      <w:rFonts w:ascii="Tahoma" w:hAnsi="Tahoma" w:cs="Tahoma"/>
                      <w:sz w:val="18"/>
                      <w:szCs w:val="18"/>
                    </w:rPr>
                    <w:t>Выписка со счета, выданная кредитными организациями, на который осуществляются социальные выплаты, а также иные регулярные выплаты Клиенту, в т.ч. сформированная из мобильного/интернет банка</w:t>
                  </w:r>
                </w:p>
              </w:tc>
            </w:tr>
          </w:tbl>
          <w:p w14:paraId="7A1A20DB" w14:textId="77777777" w:rsidR="009D1253" w:rsidRDefault="009D1253" w:rsidP="009D1253">
            <w:pPr>
              <w:tabs>
                <w:tab w:val="left" w:pos="6979"/>
              </w:tabs>
              <w:ind w:right="176"/>
              <w:jc w:val="both"/>
              <w:rPr>
                <w:rFonts w:ascii="Tahoma" w:hAnsi="Tahoma" w:cs="Tahoma"/>
                <w:sz w:val="18"/>
                <w:szCs w:val="18"/>
              </w:rPr>
            </w:pPr>
            <w:r w:rsidRPr="00B2133F">
              <w:rPr>
                <w:rFonts w:ascii="Tahoma" w:hAnsi="Tahoma" w:cs="Tahoma"/>
                <w:sz w:val="18"/>
                <w:szCs w:val="18"/>
              </w:rPr>
              <w:lastRenderedPageBreak/>
              <w:t>*Документ должен содержать информацию о доходе за последние 12 (двенадцать) месяцев. В случае если стаж работы составляет менее 12 месяцев, документ предоставляется за фактическое количество отработанных</w:t>
            </w:r>
            <w:r>
              <w:rPr>
                <w:rFonts w:ascii="Tahoma" w:hAnsi="Tahoma" w:cs="Tahoma"/>
                <w:sz w:val="18"/>
                <w:szCs w:val="18"/>
              </w:rPr>
              <w:t xml:space="preserve"> месяцев, но не менее 3 месяцев</w:t>
            </w:r>
            <w:r w:rsidRPr="00B2133F">
              <w:rPr>
                <w:rFonts w:ascii="Tahoma" w:hAnsi="Tahoma" w:cs="Tahoma"/>
                <w:sz w:val="18"/>
                <w:szCs w:val="18"/>
              </w:rPr>
              <w:t xml:space="preserve"> </w:t>
            </w:r>
          </w:p>
          <w:p w14:paraId="576B707C" w14:textId="77777777" w:rsidR="009D1253" w:rsidRPr="00B2133F" w:rsidRDefault="009D1253" w:rsidP="009D1253">
            <w:pPr>
              <w:tabs>
                <w:tab w:val="left" w:pos="6979"/>
              </w:tabs>
              <w:ind w:right="176"/>
              <w:jc w:val="both"/>
              <w:rPr>
                <w:rFonts w:ascii="Tahoma" w:hAnsi="Tahoma" w:cs="Tahoma"/>
                <w:sz w:val="18"/>
                <w:szCs w:val="18"/>
              </w:rPr>
            </w:pPr>
            <w:r w:rsidRPr="00B2133F">
              <w:rPr>
                <w:rFonts w:ascii="Tahoma" w:hAnsi="Tahoma" w:cs="Tahoma"/>
                <w:sz w:val="18"/>
                <w:szCs w:val="18"/>
              </w:rPr>
              <w:t>** Документ, подтверждающий доход должен содержать в составе реквизитов ИНН работодателя</w:t>
            </w:r>
            <w:r>
              <w:rPr>
                <w:rFonts w:ascii="Tahoma" w:hAnsi="Tahoma" w:cs="Tahoma"/>
                <w:sz w:val="18"/>
                <w:szCs w:val="18"/>
              </w:rPr>
              <w:t>/контрагента</w:t>
            </w:r>
          </w:p>
          <w:p w14:paraId="4FC739DC" w14:textId="77777777" w:rsidR="009D1253" w:rsidRPr="00DF7D87" w:rsidRDefault="009D1253" w:rsidP="009D1253">
            <w:pPr>
              <w:autoSpaceDE w:val="0"/>
              <w:autoSpaceDN w:val="0"/>
              <w:adjustRightInd w:val="0"/>
              <w:rPr>
                <w:rFonts w:ascii="Tahoma" w:hAnsi="Tahoma" w:cs="Tahoma"/>
                <w:sz w:val="18"/>
                <w:szCs w:val="18"/>
              </w:rPr>
            </w:pPr>
            <w:r w:rsidRPr="00B2133F">
              <w:rPr>
                <w:rFonts w:ascii="Tahoma" w:hAnsi="Tahoma" w:cs="Tahoma"/>
                <w:sz w:val="18"/>
                <w:szCs w:val="18"/>
              </w:rPr>
              <w:t>***</w:t>
            </w:r>
            <w:r w:rsidRPr="00DF7D87">
              <w:rPr>
                <w:rFonts w:ascii="Tahoma" w:hAnsi="Tahoma" w:cs="Tahoma"/>
                <w:sz w:val="18"/>
                <w:szCs w:val="18"/>
              </w:rPr>
              <w:t>Банк получает документ в электронной форме из государственных информационных систем, если Заемщиком выражено согласие в соответствии с законодательством Российской Федерации на запрос выписки по индивидуальному лицевому счету Заемщика, который ведется в Социальном Фонде Российской Федерации</w:t>
            </w:r>
          </w:p>
          <w:p w14:paraId="29038D95" w14:textId="77777777" w:rsidR="009D1253" w:rsidRPr="005A07E7" w:rsidRDefault="009D1253" w:rsidP="009D1253">
            <w:pPr>
              <w:autoSpaceDE w:val="0"/>
              <w:autoSpaceDN w:val="0"/>
              <w:adjustRightInd w:val="0"/>
              <w:rPr>
                <w:rFonts w:ascii="Tahoma" w:hAnsi="Tahoma" w:cs="Tahoma"/>
                <w:sz w:val="18"/>
                <w:szCs w:val="18"/>
              </w:rPr>
            </w:pPr>
            <w:r w:rsidRPr="00B2133F">
              <w:rPr>
                <w:rFonts w:ascii="Tahoma" w:hAnsi="Tahoma" w:cs="Tahoma"/>
                <w:sz w:val="18"/>
                <w:szCs w:val="18"/>
              </w:rPr>
              <w:t>****Для учета дохода в виде пенсии допускается принимать документ, содержащий сведения о доходе за 1 (один) календарный месяц, принимаются выплаты, которые были получены (начислены или назначены): страховой и (или) накопительной пенсионных выплат (за исключением суммы единовременных пенсионных выплат), а также дополнительных ежемесячных денежных выплат, компенсаций и материального обеспечения (за исключением набора социальных услуг и федеральной социальной доплаты к пенсии, если они отдельно указаны в подтверждающем документе, предусмотренном в настоящем перечне подтверждающих документов)</w:t>
            </w:r>
            <w:r w:rsidRPr="005A07E7">
              <w:rPr>
                <w:rFonts w:ascii="Tahoma" w:hAnsi="Tahoma" w:cs="Tahoma"/>
                <w:strike/>
                <w:sz w:val="18"/>
                <w:szCs w:val="18"/>
              </w:rPr>
              <w:fldChar w:fldCharType="begin"/>
            </w:r>
            <w:r w:rsidRPr="005A07E7">
              <w:rPr>
                <w:rFonts w:ascii="Tahoma" w:hAnsi="Tahoma" w:cs="Tahoma"/>
                <w:strike/>
                <w:sz w:val="18"/>
                <w:szCs w:val="18"/>
              </w:rPr>
              <w:instrText xml:space="preserve"> DOCVARIABLE  ATB_ADDRESS_REG </w:instrText>
            </w:r>
            <w:r w:rsidRPr="005A07E7">
              <w:rPr>
                <w:rFonts w:ascii="Tahoma" w:hAnsi="Tahoma" w:cs="Tahoma"/>
                <w:strike/>
                <w:sz w:val="18"/>
                <w:szCs w:val="18"/>
              </w:rPr>
              <w:fldChar w:fldCharType="end"/>
            </w:r>
          </w:p>
        </w:tc>
      </w:tr>
      <w:tr w:rsidR="009D1253" w:rsidRPr="005A07E7" w14:paraId="3258EF58"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540"/>
        </w:trPr>
        <w:tc>
          <w:tcPr>
            <w:tcW w:w="1475" w:type="pct"/>
            <w:tcBorders>
              <w:top w:val="single" w:sz="4" w:space="0" w:color="auto"/>
              <w:left w:val="single" w:sz="8" w:space="0" w:color="auto"/>
              <w:bottom w:val="single" w:sz="4" w:space="0" w:color="auto"/>
              <w:right w:val="single" w:sz="4" w:space="0" w:color="auto"/>
            </w:tcBorders>
            <w:vAlign w:val="center"/>
          </w:tcPr>
          <w:p w14:paraId="319BF708"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lastRenderedPageBreak/>
              <w:t>Требования к приобретаемым ТС</w:t>
            </w:r>
          </w:p>
        </w:tc>
        <w:tc>
          <w:tcPr>
            <w:tcW w:w="3525" w:type="pct"/>
            <w:tcBorders>
              <w:top w:val="single" w:sz="4" w:space="0" w:color="auto"/>
              <w:left w:val="nil"/>
              <w:bottom w:val="single" w:sz="4" w:space="0" w:color="auto"/>
              <w:right w:val="single" w:sz="8" w:space="0" w:color="000000"/>
            </w:tcBorders>
            <w:shd w:val="clear" w:color="auto" w:fill="auto"/>
            <w:noWrap/>
            <w:vAlign w:val="center"/>
          </w:tcPr>
          <w:p w14:paraId="4760B7DC" w14:textId="77777777" w:rsidR="009D1253" w:rsidRPr="008A53D1" w:rsidRDefault="009D1253" w:rsidP="009D1253">
            <w:pPr>
              <w:pStyle w:val="a9"/>
              <w:tabs>
                <w:tab w:val="left" w:pos="0"/>
                <w:tab w:val="left" w:pos="176"/>
              </w:tabs>
              <w:spacing w:before="0" w:after="0"/>
              <w:rPr>
                <w:rFonts w:ascii="Tahoma" w:hAnsi="Tahoma" w:cs="Tahoma"/>
                <w:lang w:eastAsia="en-US"/>
              </w:rPr>
            </w:pPr>
            <w:r>
              <w:rPr>
                <w:rFonts w:ascii="Tahoma" w:hAnsi="Tahoma" w:cs="Tahoma"/>
                <w:b/>
                <w:lang w:eastAsia="en-US"/>
              </w:rPr>
              <w:t>В</w:t>
            </w:r>
            <w:r w:rsidRPr="0018179A">
              <w:rPr>
                <w:rFonts w:ascii="Tahoma" w:hAnsi="Tahoma" w:cs="Tahoma"/>
                <w:b/>
                <w:lang w:eastAsia="en-US"/>
              </w:rPr>
              <w:t>озраст ТС на момент выдачи кредита:</w:t>
            </w:r>
          </w:p>
          <w:p w14:paraId="647A5779" w14:textId="77777777" w:rsidR="009D1253" w:rsidRPr="003D6559" w:rsidRDefault="009D1253" w:rsidP="009D1253">
            <w:pPr>
              <w:pStyle w:val="a9"/>
              <w:tabs>
                <w:tab w:val="left" w:pos="0"/>
                <w:tab w:val="left" w:pos="176"/>
              </w:tabs>
              <w:spacing w:before="0" w:after="0"/>
              <w:rPr>
                <w:rFonts w:ascii="Tahoma" w:eastAsiaTheme="minorHAnsi" w:hAnsi="Tahoma" w:cs="Tahoma"/>
                <w:lang w:eastAsia="en-US"/>
              </w:rPr>
            </w:pPr>
            <w:r w:rsidRPr="003D6559">
              <w:rPr>
                <w:rFonts w:ascii="Tahoma" w:eastAsiaTheme="minorHAnsi" w:hAnsi="Tahoma" w:cs="Tahoma"/>
                <w:lang w:eastAsia="en-US"/>
              </w:rPr>
              <w:t>для ТС отечественных марок – не более 12 лет</w:t>
            </w:r>
          </w:p>
          <w:p w14:paraId="447AB405" w14:textId="77777777" w:rsidR="009D1253" w:rsidRPr="005A07E7" w:rsidRDefault="009D1253" w:rsidP="009D1253">
            <w:pPr>
              <w:tabs>
                <w:tab w:val="left" w:pos="6979"/>
              </w:tabs>
              <w:ind w:right="176"/>
              <w:jc w:val="both"/>
              <w:rPr>
                <w:rFonts w:ascii="Tahoma" w:hAnsi="Tahoma" w:cs="Tahoma"/>
                <w:b/>
                <w:sz w:val="18"/>
                <w:szCs w:val="18"/>
              </w:rPr>
            </w:pPr>
            <w:r w:rsidRPr="0018179A">
              <w:rPr>
                <w:rFonts w:ascii="Tahoma" w:eastAsiaTheme="minorHAnsi" w:hAnsi="Tahoma" w:cs="Tahoma"/>
                <w:sz w:val="20"/>
                <w:szCs w:val="20"/>
                <w:lang w:eastAsia="en-US"/>
              </w:rPr>
              <w:t>для ТС иностранных марок – не более 17 лет</w:t>
            </w:r>
          </w:p>
        </w:tc>
      </w:tr>
      <w:tr w:rsidR="009D1253" w:rsidRPr="005A07E7" w14:paraId="539D9927"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18E2E068"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Способ предоставления Кредита</w:t>
            </w:r>
          </w:p>
        </w:tc>
        <w:tc>
          <w:tcPr>
            <w:tcW w:w="3525" w:type="pct"/>
            <w:tcBorders>
              <w:top w:val="single" w:sz="4" w:space="0" w:color="auto"/>
              <w:left w:val="nil"/>
              <w:bottom w:val="single" w:sz="4" w:space="0" w:color="auto"/>
              <w:right w:val="single" w:sz="8" w:space="0" w:color="000000"/>
            </w:tcBorders>
            <w:noWrap/>
            <w:vAlign w:val="center"/>
          </w:tcPr>
          <w:p w14:paraId="52C7BCAA"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Перевод денежных средств на ТБС Заёмщика, открытый в Банке</w:t>
            </w:r>
            <w:r>
              <w:rPr>
                <w:rFonts w:ascii="Tahoma" w:hAnsi="Tahoma" w:cs="Tahoma"/>
                <w:sz w:val="20"/>
                <w:szCs w:val="20"/>
              </w:rPr>
              <w:t>,</w:t>
            </w:r>
            <w:r w:rsidRPr="005A07E7">
              <w:rPr>
                <w:rFonts w:ascii="Tahoma" w:hAnsi="Tahoma" w:cs="Tahoma"/>
                <w:sz w:val="20"/>
                <w:szCs w:val="20"/>
              </w:rPr>
              <w:t xml:space="preserve"> для использования Заёмщиком на цели использования Кредита, указанные в  настоящем документе.</w:t>
            </w:r>
          </w:p>
        </w:tc>
      </w:tr>
      <w:tr w:rsidR="009D1253" w:rsidRPr="005A07E7" w14:paraId="3868F027" w14:textId="77777777" w:rsidTr="009D1253">
        <w:tblPrEx>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tcPr>
          <w:p w14:paraId="60094D60" w14:textId="77777777" w:rsidR="009D1253" w:rsidRPr="00ED6334" w:rsidRDefault="009D1253" w:rsidP="009D1253">
            <w:pPr>
              <w:rPr>
                <w:rFonts w:ascii="Tahoma" w:hAnsi="Tahoma" w:cs="Tahoma"/>
                <w:b/>
                <w:sz w:val="20"/>
                <w:szCs w:val="20"/>
              </w:rPr>
            </w:pPr>
            <w:r w:rsidRPr="00ED6334">
              <w:rPr>
                <w:rFonts w:ascii="Tahoma" w:hAnsi="Tahoma" w:cs="Tahoma"/>
                <w:b/>
                <w:sz w:val="20"/>
              </w:rPr>
              <w:t>Информация о возможном увеличении суммы расходов Заемщика по сравнению с ожидаемой суммой расходов в рублях, в том числе при применении переменной процентной ставки, а также информация о том, что изменение курса иностранной валюты в прошлом не свидетельствует об изменении ее курса в будущем, и информация о повышенных рисках заемщика, получающего доходы в валюте, отличной от валюты Кредита</w:t>
            </w:r>
          </w:p>
        </w:tc>
        <w:tc>
          <w:tcPr>
            <w:tcW w:w="3525" w:type="pct"/>
            <w:tcBorders>
              <w:top w:val="single" w:sz="4" w:space="0" w:color="auto"/>
              <w:left w:val="nil"/>
              <w:bottom w:val="single" w:sz="4" w:space="0" w:color="auto"/>
              <w:right w:val="single" w:sz="8" w:space="0" w:color="000000"/>
            </w:tcBorders>
            <w:noWrap/>
            <w:vAlign w:val="center"/>
          </w:tcPr>
          <w:p w14:paraId="5FEA3E67" w14:textId="77777777" w:rsidR="009D1253" w:rsidRPr="00ED6334" w:rsidRDefault="009D1253" w:rsidP="009D1253">
            <w:pPr>
              <w:widowControl w:val="0"/>
              <w:tabs>
                <w:tab w:val="left" w:pos="426"/>
                <w:tab w:val="left" w:pos="851"/>
              </w:tabs>
              <w:jc w:val="both"/>
              <w:rPr>
                <w:rFonts w:ascii="Tahoma" w:hAnsi="Tahoma" w:cs="Tahoma"/>
                <w:sz w:val="20"/>
                <w:szCs w:val="20"/>
              </w:rPr>
            </w:pPr>
            <w:r w:rsidRPr="003846F1">
              <w:rPr>
                <w:rFonts w:ascii="Tahoma" w:hAnsi="Tahoma" w:cs="Tahoma"/>
                <w:sz w:val="20"/>
              </w:rPr>
              <w:t>Переменная процентная ставка не применяется в Договоре. Кредит предоставляется в рублях, вместе с тем, Заемщикам, получающим доход в иностранной валюте следует помнить, что изменение курса иностранной валюты в прошлом не свидетельствует об изменении ее курса в будущем, в связи с чем, такие Заемщики несут повышенные риски в связи с получением доходов в иностранной валюте.</w:t>
            </w:r>
          </w:p>
        </w:tc>
      </w:tr>
      <w:tr w:rsidR="009D1253" w:rsidRPr="005A07E7" w14:paraId="705A6491"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2CD1CFE0"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Иные договоры, требуемые для заключения или исполнения Договора</w:t>
            </w:r>
            <w:r w:rsidRPr="003846F1">
              <w:rPr>
                <w:rFonts w:ascii="Tahoma" w:hAnsi="Tahoma" w:cs="Tahoma"/>
                <w:b/>
                <w:bCs/>
                <w:sz w:val="20"/>
                <w:szCs w:val="20"/>
              </w:rPr>
              <w:t xml:space="preserve">, а также информация о возможности заемщика согласиться с заключением таких договоров и (или) приобретением </w:t>
            </w:r>
            <w:r w:rsidRPr="003846F1">
              <w:rPr>
                <w:rFonts w:ascii="Tahoma" w:hAnsi="Tahoma" w:cs="Tahoma"/>
                <w:b/>
                <w:bCs/>
                <w:sz w:val="20"/>
                <w:szCs w:val="20"/>
              </w:rPr>
              <w:lastRenderedPageBreak/>
              <w:t>таких услуг (работ, товаров) либо отказаться от них</w:t>
            </w:r>
          </w:p>
        </w:tc>
        <w:tc>
          <w:tcPr>
            <w:tcW w:w="3525" w:type="pct"/>
            <w:tcBorders>
              <w:top w:val="single" w:sz="4" w:space="0" w:color="auto"/>
              <w:left w:val="nil"/>
              <w:bottom w:val="single" w:sz="4" w:space="0" w:color="auto"/>
              <w:right w:val="single" w:sz="8" w:space="0" w:color="000000"/>
            </w:tcBorders>
            <w:noWrap/>
            <w:vAlign w:val="center"/>
          </w:tcPr>
          <w:p w14:paraId="082097B3" w14:textId="77777777" w:rsidR="009D1253"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lastRenderedPageBreak/>
              <w:t xml:space="preserve">Заключение между </w:t>
            </w:r>
            <w:r>
              <w:rPr>
                <w:rFonts w:ascii="Tahoma" w:hAnsi="Tahoma" w:cs="Tahoma"/>
                <w:sz w:val="20"/>
                <w:szCs w:val="20"/>
              </w:rPr>
              <w:t>с</w:t>
            </w:r>
            <w:r w:rsidRPr="005A07E7">
              <w:rPr>
                <w:rFonts w:ascii="Tahoma" w:hAnsi="Tahoma" w:cs="Tahoma"/>
                <w:sz w:val="20"/>
                <w:szCs w:val="20"/>
              </w:rPr>
              <w:t xml:space="preserve">торонами </w:t>
            </w:r>
            <w:r>
              <w:rPr>
                <w:rFonts w:ascii="Tahoma" w:hAnsi="Tahoma" w:cs="Tahoma"/>
                <w:sz w:val="20"/>
                <w:szCs w:val="20"/>
              </w:rPr>
              <w:t xml:space="preserve">Договора </w:t>
            </w:r>
            <w:r w:rsidRPr="005A07E7">
              <w:rPr>
                <w:rFonts w:ascii="Tahoma" w:hAnsi="Tahoma" w:cs="Tahoma"/>
                <w:sz w:val="20"/>
                <w:szCs w:val="20"/>
              </w:rPr>
              <w:t>банковского счета (на основании которого Заёмщику Банком открывается ТБС), элементы которого включены в Договор, заключение (путем присоединения) УДБО, содержащего Общие условия.</w:t>
            </w:r>
          </w:p>
          <w:p w14:paraId="656860E7" w14:textId="77777777" w:rsidR="009D1253" w:rsidRPr="005A07E7" w:rsidRDefault="009D1253" w:rsidP="009D1253">
            <w:pPr>
              <w:widowControl w:val="0"/>
              <w:tabs>
                <w:tab w:val="left" w:pos="426"/>
                <w:tab w:val="left" w:pos="851"/>
              </w:tabs>
              <w:jc w:val="both"/>
              <w:rPr>
                <w:rFonts w:ascii="Tahoma" w:hAnsi="Tahoma" w:cs="Tahoma"/>
                <w:sz w:val="20"/>
                <w:szCs w:val="20"/>
              </w:rPr>
            </w:pPr>
            <w:r w:rsidRPr="003846F1">
              <w:rPr>
                <w:rFonts w:ascii="Tahoma" w:hAnsi="Tahoma" w:cs="Tahoma"/>
                <w:sz w:val="20"/>
                <w:szCs w:val="20"/>
              </w:rPr>
              <w:t>Если при оформлении Договора Заемщику предлагаются иные дополнительные услуги (работы, товары), приобретение которых не является обязательным в силу закона, Заемщик вправе отказаться от их приобретения.</w:t>
            </w:r>
          </w:p>
        </w:tc>
      </w:tr>
      <w:tr w:rsidR="009D1253" w:rsidRPr="005A07E7" w14:paraId="185B4813"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56D10908" w14:textId="77777777" w:rsidR="009D1253" w:rsidRPr="00ED6334" w:rsidRDefault="009D1253" w:rsidP="009D1253">
            <w:pPr>
              <w:rPr>
                <w:rFonts w:ascii="Tahoma" w:hAnsi="Tahoma" w:cs="Tahoma"/>
                <w:b/>
                <w:sz w:val="20"/>
                <w:szCs w:val="20"/>
              </w:rPr>
            </w:pPr>
            <w:r w:rsidRPr="00ED6334">
              <w:rPr>
                <w:rFonts w:ascii="Tahoma" w:hAnsi="Tahoma" w:cs="Tahoma"/>
                <w:b/>
                <w:sz w:val="20"/>
              </w:rPr>
              <w:t>Виды и суммы иных платежей Заёмщика по Договору</w:t>
            </w:r>
          </w:p>
        </w:tc>
        <w:tc>
          <w:tcPr>
            <w:tcW w:w="3525" w:type="pct"/>
            <w:tcBorders>
              <w:top w:val="single" w:sz="4" w:space="0" w:color="auto"/>
              <w:left w:val="nil"/>
              <w:bottom w:val="single" w:sz="4" w:space="0" w:color="auto"/>
              <w:right w:val="single" w:sz="8" w:space="0" w:color="000000"/>
            </w:tcBorders>
            <w:noWrap/>
            <w:vAlign w:val="center"/>
          </w:tcPr>
          <w:p w14:paraId="2C546993" w14:textId="77777777" w:rsidR="009D1253" w:rsidRPr="00ED6334" w:rsidRDefault="009D1253" w:rsidP="009D1253">
            <w:pPr>
              <w:widowControl w:val="0"/>
              <w:tabs>
                <w:tab w:val="left" w:pos="426"/>
                <w:tab w:val="left" w:pos="851"/>
              </w:tabs>
              <w:jc w:val="both"/>
              <w:rPr>
                <w:rFonts w:ascii="Tahoma" w:hAnsi="Tahoma" w:cs="Tahoma"/>
                <w:sz w:val="20"/>
              </w:rPr>
            </w:pPr>
            <w:r w:rsidRPr="00ED6334">
              <w:rPr>
                <w:rFonts w:ascii="Tahoma" w:hAnsi="Tahoma" w:cs="Tahoma"/>
                <w:sz w:val="20"/>
              </w:rPr>
              <w:t>Иные обязательные платежи по Договору отсутствуют.</w:t>
            </w:r>
          </w:p>
          <w:p w14:paraId="3D62F4EF" w14:textId="77777777" w:rsidR="009D1253" w:rsidRPr="005A07E7" w:rsidRDefault="009D1253" w:rsidP="009D1253">
            <w:pPr>
              <w:widowControl w:val="0"/>
              <w:tabs>
                <w:tab w:val="left" w:pos="426"/>
                <w:tab w:val="left" w:pos="851"/>
              </w:tabs>
              <w:jc w:val="both"/>
            </w:pPr>
            <w:r w:rsidRPr="005A07E7">
              <w:rPr>
                <w:rFonts w:ascii="Tahoma" w:hAnsi="Tahoma" w:cs="Tahoma"/>
                <w:sz w:val="20"/>
                <w:szCs w:val="20"/>
              </w:rPr>
              <w:t>При наличии соответствующего волеизъявления Заемщика ему могут быть оказаны Банком услуги, не являющиеся обязательными для заключения или исполнения Договора, плата за которые предусмотрена Тарифами Банка(</w:t>
            </w:r>
            <w:hyperlink r:id="rId62" w:tgtFrame="_blank" w:history="1">
              <w:r w:rsidRPr="005A07E7">
                <w:rPr>
                  <w:rStyle w:val="aff"/>
                  <w:rFonts w:ascii="Tahoma" w:hAnsi="Tahoma" w:cs="Tahoma"/>
                  <w:color w:val="0065FF"/>
                  <w:sz w:val="20"/>
                  <w:szCs w:val="20"/>
                  <w:shd w:val="clear" w:color="auto" w:fill="FFFFFF"/>
                </w:rPr>
                <w:t>https://www.atb.su/upload/doc/kniga-tarif/tarify-po-raschetno-kassovomu-obsluzhivaniyu-klientov-fizicheskikh-lits.pdf</w:t>
              </w:r>
            </w:hyperlink>
            <w:r w:rsidRPr="005A07E7">
              <w:rPr>
                <w:rFonts w:ascii="Tahoma" w:hAnsi="Tahoma" w:cs="Tahoma"/>
                <w:sz w:val="20"/>
                <w:szCs w:val="20"/>
              </w:rPr>
              <w:t>). Оказание услуги Банком производится в случае выражения Заемщиком волеизъявления на пользование определенной услугой. Оплата услуг должна быть произведена до момента оказания Банком услуг.</w:t>
            </w:r>
          </w:p>
        </w:tc>
      </w:tr>
      <w:tr w:rsidR="009D1253" w:rsidRPr="005A07E7" w14:paraId="514D0314"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00E8ACD1" w14:textId="77777777" w:rsidR="009D1253" w:rsidRPr="00ED6334" w:rsidRDefault="009D1253" w:rsidP="009D1253">
            <w:pPr>
              <w:rPr>
                <w:rFonts w:ascii="Tahoma" w:hAnsi="Tahoma" w:cs="Tahoma"/>
                <w:b/>
                <w:sz w:val="20"/>
                <w:szCs w:val="20"/>
              </w:rPr>
            </w:pPr>
            <w:r w:rsidRPr="00ED6334">
              <w:rPr>
                <w:rFonts w:ascii="Tahoma" w:hAnsi="Tahoma" w:cs="Tahoma"/>
                <w:b/>
                <w:sz w:val="20"/>
              </w:rPr>
              <w:t>Информация об определении курса иностранной валюты в случае, если валюта, в которой осуществляется перевод денежных средств кредитором третьему лицу, указанному Заёмщиком при предоставлении потребительского Кредита, может отличаться от валюты потребительского Кредита</w:t>
            </w:r>
          </w:p>
        </w:tc>
        <w:tc>
          <w:tcPr>
            <w:tcW w:w="3525" w:type="pct"/>
            <w:tcBorders>
              <w:top w:val="single" w:sz="4" w:space="0" w:color="auto"/>
              <w:left w:val="nil"/>
              <w:bottom w:val="single" w:sz="4" w:space="0" w:color="auto"/>
              <w:right w:val="single" w:sz="8" w:space="0" w:color="000000"/>
            </w:tcBorders>
            <w:noWrap/>
            <w:vAlign w:val="center"/>
          </w:tcPr>
          <w:p w14:paraId="793A6BF8" w14:textId="77777777" w:rsidR="009D1253" w:rsidRPr="00ED6334" w:rsidRDefault="009D1253" w:rsidP="009D1253">
            <w:pPr>
              <w:widowControl w:val="0"/>
              <w:tabs>
                <w:tab w:val="left" w:pos="426"/>
                <w:tab w:val="left" w:pos="851"/>
              </w:tabs>
              <w:jc w:val="both"/>
              <w:rPr>
                <w:rFonts w:ascii="Tahoma" w:hAnsi="Tahoma" w:cs="Tahoma"/>
                <w:sz w:val="20"/>
                <w:szCs w:val="20"/>
              </w:rPr>
            </w:pPr>
            <w:r w:rsidRPr="00ED6334">
              <w:rPr>
                <w:rFonts w:ascii="Tahoma" w:hAnsi="Tahoma" w:cs="Tahoma"/>
                <w:sz w:val="20"/>
              </w:rPr>
              <w:t>Не применимо</w:t>
            </w:r>
          </w:p>
        </w:tc>
      </w:tr>
      <w:tr w:rsidR="009D1253" w:rsidRPr="005A07E7" w14:paraId="1A337C6B"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127BF08F"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Дата, начиная с которой начисляются проценты за пользование Кредитом, или порядок ее определения</w:t>
            </w:r>
          </w:p>
        </w:tc>
        <w:tc>
          <w:tcPr>
            <w:tcW w:w="3525" w:type="pct"/>
            <w:tcBorders>
              <w:top w:val="single" w:sz="4" w:space="0" w:color="auto"/>
              <w:left w:val="nil"/>
              <w:bottom w:val="single" w:sz="4" w:space="0" w:color="auto"/>
              <w:right w:val="single" w:sz="8" w:space="0" w:color="000000"/>
            </w:tcBorders>
            <w:noWrap/>
            <w:vAlign w:val="center"/>
          </w:tcPr>
          <w:p w14:paraId="37C84CB5"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Дата, следующая за датой выдачи Заёмщику Кредита</w:t>
            </w:r>
          </w:p>
        </w:tc>
      </w:tr>
      <w:tr w:rsidR="009D1253" w:rsidRPr="005A07E7" w14:paraId="3E2CA371"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4438E558"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Периодичность платежей Заёмщика при возврате Кредита, уплате процентов и иных платежей по Кредиту</w:t>
            </w:r>
          </w:p>
        </w:tc>
        <w:tc>
          <w:tcPr>
            <w:tcW w:w="3525" w:type="pct"/>
            <w:tcBorders>
              <w:top w:val="single" w:sz="4" w:space="0" w:color="auto"/>
              <w:left w:val="nil"/>
              <w:bottom w:val="single" w:sz="4" w:space="0" w:color="auto"/>
              <w:right w:val="single" w:sz="8" w:space="0" w:color="000000"/>
            </w:tcBorders>
            <w:noWrap/>
            <w:vAlign w:val="center"/>
          </w:tcPr>
          <w:p w14:paraId="55C33DF4"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Ежемесячно аннуитетными платежами</w:t>
            </w:r>
          </w:p>
        </w:tc>
      </w:tr>
      <w:tr w:rsidR="009D1253" w:rsidRPr="005A07E7" w14:paraId="7123F030"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5186EBCF"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Срок действия Договора</w:t>
            </w:r>
          </w:p>
        </w:tc>
        <w:tc>
          <w:tcPr>
            <w:tcW w:w="3525" w:type="pct"/>
            <w:tcBorders>
              <w:top w:val="single" w:sz="4" w:space="0" w:color="auto"/>
              <w:left w:val="nil"/>
              <w:bottom w:val="single" w:sz="4" w:space="0" w:color="auto"/>
              <w:right w:val="single" w:sz="8" w:space="0" w:color="000000"/>
            </w:tcBorders>
            <w:noWrap/>
            <w:vAlign w:val="center"/>
          </w:tcPr>
          <w:p w14:paraId="40114229"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До полного исполнения Сторонами обязательств по Договору</w:t>
            </w:r>
          </w:p>
        </w:tc>
      </w:tr>
      <w:tr w:rsidR="009D1253" w:rsidRPr="005A07E7" w14:paraId="012C4029"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0AC264B7"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Срок рассмотрения  оформленного Заёмщиком заявления о предоставлении Кредита и принятия Кредитором решения относительно этого заявления</w:t>
            </w:r>
          </w:p>
        </w:tc>
        <w:tc>
          <w:tcPr>
            <w:tcW w:w="3525" w:type="pct"/>
            <w:tcBorders>
              <w:top w:val="single" w:sz="4" w:space="0" w:color="auto"/>
              <w:left w:val="nil"/>
              <w:bottom w:val="single" w:sz="4" w:space="0" w:color="auto"/>
              <w:right w:val="single" w:sz="8" w:space="0" w:color="000000"/>
            </w:tcBorders>
            <w:noWrap/>
            <w:vAlign w:val="center"/>
          </w:tcPr>
          <w:p w14:paraId="5E9E7CF2"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color w:val="000000"/>
                <w:sz w:val="20"/>
                <w:szCs w:val="20"/>
              </w:rPr>
              <w:t>Решение принимается в течение 1 часа с момента предоставления Заёмщиком полного пакета документов. В случае необходимости запроса у Заёмщика дополнительных документов решение принимается в индивидуальные сроки.</w:t>
            </w:r>
            <w:r w:rsidRPr="005A07E7">
              <w:rPr>
                <w:rFonts w:ascii="Tahoma" w:hAnsi="Tahoma" w:cs="Tahoma"/>
                <w:sz w:val="20"/>
                <w:szCs w:val="20"/>
              </w:rPr>
              <w:fldChar w:fldCharType="begin"/>
            </w:r>
            <w:r w:rsidRPr="005A07E7">
              <w:rPr>
                <w:rFonts w:ascii="Tahoma" w:hAnsi="Tahoma" w:cs="Tahoma"/>
                <w:sz w:val="20"/>
                <w:szCs w:val="20"/>
              </w:rPr>
              <w:instrText xml:space="preserve"> DOCVARIABLE  WAS_BORN_DMY </w:instrText>
            </w:r>
            <w:r w:rsidRPr="005A07E7">
              <w:rPr>
                <w:rFonts w:ascii="Tahoma" w:hAnsi="Tahoma" w:cs="Tahoma"/>
                <w:sz w:val="20"/>
                <w:szCs w:val="20"/>
              </w:rPr>
              <w:fldChar w:fldCharType="end"/>
            </w:r>
          </w:p>
        </w:tc>
      </w:tr>
      <w:tr w:rsidR="009D1253" w:rsidRPr="005A07E7" w14:paraId="2CDD8C80"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19A61C1F"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 xml:space="preserve">Срок, в течение которого Заёмщик вправе отказаться от получения Кредита </w:t>
            </w:r>
          </w:p>
        </w:tc>
        <w:tc>
          <w:tcPr>
            <w:tcW w:w="3525" w:type="pct"/>
            <w:tcBorders>
              <w:top w:val="single" w:sz="4" w:space="0" w:color="auto"/>
              <w:left w:val="nil"/>
              <w:bottom w:val="single" w:sz="4" w:space="0" w:color="auto"/>
              <w:right w:val="single" w:sz="8" w:space="0" w:color="000000"/>
            </w:tcBorders>
            <w:noWrap/>
            <w:vAlign w:val="center"/>
          </w:tcPr>
          <w:p w14:paraId="14917FB9" w14:textId="77777777" w:rsidR="009D1253" w:rsidRPr="005A07E7" w:rsidRDefault="009D1253" w:rsidP="009D1253">
            <w:pPr>
              <w:widowControl w:val="0"/>
              <w:tabs>
                <w:tab w:val="left" w:pos="426"/>
                <w:tab w:val="left" w:pos="851"/>
              </w:tabs>
              <w:jc w:val="both"/>
              <w:rPr>
                <w:rFonts w:ascii="Tahoma" w:hAnsi="Tahoma" w:cs="Tahoma"/>
                <w:color w:val="000000"/>
                <w:sz w:val="20"/>
                <w:szCs w:val="20"/>
              </w:rPr>
            </w:pPr>
            <w:r w:rsidRPr="005A07E7">
              <w:rPr>
                <w:rFonts w:ascii="Tahoma" w:hAnsi="Tahoma" w:cs="Tahoma"/>
                <w:sz w:val="20"/>
                <w:szCs w:val="20"/>
              </w:rPr>
              <w:t xml:space="preserve">Заёмщик вправе отказаться от получения кредита полностью или частично, уведомив об этом Банк до истечения установленного Договором срока его предоставления. </w:t>
            </w:r>
          </w:p>
        </w:tc>
      </w:tr>
      <w:tr w:rsidR="009D1253" w:rsidRPr="005A07E7" w14:paraId="23D37171"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tcPr>
          <w:p w14:paraId="4A63D3BE"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Срок действия решения о предоставлении Кредита</w:t>
            </w:r>
          </w:p>
        </w:tc>
        <w:tc>
          <w:tcPr>
            <w:tcW w:w="3525" w:type="pct"/>
            <w:tcBorders>
              <w:top w:val="single" w:sz="4" w:space="0" w:color="auto"/>
              <w:left w:val="nil"/>
              <w:bottom w:val="single" w:sz="4" w:space="0" w:color="auto"/>
              <w:right w:val="single" w:sz="8" w:space="0" w:color="000000"/>
            </w:tcBorders>
            <w:noWrap/>
            <w:vAlign w:val="center"/>
          </w:tcPr>
          <w:p w14:paraId="72BEFBEC"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30 календарных дней</w:t>
            </w:r>
            <w:r>
              <w:rPr>
                <w:rFonts w:ascii="Tahoma" w:hAnsi="Tahoma" w:cs="Tahoma"/>
                <w:sz w:val="20"/>
                <w:szCs w:val="20"/>
              </w:rPr>
              <w:t xml:space="preserve"> с даты принятия Банком решения</w:t>
            </w:r>
          </w:p>
        </w:tc>
      </w:tr>
      <w:tr w:rsidR="009D1253" w:rsidRPr="005A07E7" w14:paraId="132A4538"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301"/>
        </w:trPr>
        <w:tc>
          <w:tcPr>
            <w:tcW w:w="1475" w:type="pct"/>
            <w:tcBorders>
              <w:top w:val="single" w:sz="4" w:space="0" w:color="auto"/>
              <w:left w:val="single" w:sz="8" w:space="0" w:color="auto"/>
              <w:bottom w:val="single" w:sz="4" w:space="0" w:color="auto"/>
              <w:right w:val="single" w:sz="4" w:space="0" w:color="auto"/>
            </w:tcBorders>
            <w:vAlign w:val="center"/>
          </w:tcPr>
          <w:p w14:paraId="01B3B453"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Способы обеспечения исполнения обязательств по Договору «Потребительский кредит под залог транспортного средства»</w:t>
            </w:r>
          </w:p>
        </w:tc>
        <w:tc>
          <w:tcPr>
            <w:tcW w:w="3525" w:type="pct"/>
            <w:tcBorders>
              <w:top w:val="single" w:sz="4" w:space="0" w:color="auto"/>
              <w:left w:val="nil"/>
              <w:bottom w:val="single" w:sz="4" w:space="0" w:color="auto"/>
              <w:right w:val="single" w:sz="8" w:space="0" w:color="000000"/>
            </w:tcBorders>
            <w:noWrap/>
            <w:vAlign w:val="center"/>
          </w:tcPr>
          <w:p w14:paraId="66199770"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1)</w:t>
            </w:r>
            <w:r w:rsidRPr="005A07E7">
              <w:rPr>
                <w:rFonts w:ascii="Tahoma" w:hAnsi="Tahoma" w:cs="Tahoma"/>
                <w:color w:val="000000"/>
                <w:sz w:val="20"/>
                <w:szCs w:val="20"/>
              </w:rPr>
              <w:t xml:space="preserve"> Залог приобретаемого Заёмщиком за счет кредитных средств Банка ТС</w:t>
            </w:r>
          </w:p>
          <w:p w14:paraId="7ED381DF"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2) Неустойка (штраф, пеня). В случае нарушения обязательств по Договору с Заёмщика может быть взыскана неустойка в сумм</w:t>
            </w:r>
            <w:r>
              <w:rPr>
                <w:rFonts w:ascii="Tahoma" w:hAnsi="Tahoma" w:cs="Tahoma"/>
                <w:sz w:val="20"/>
                <w:szCs w:val="20"/>
              </w:rPr>
              <w:t xml:space="preserve">е </w:t>
            </w:r>
            <w:r w:rsidRPr="005A07E7">
              <w:rPr>
                <w:rFonts w:ascii="Tahoma" w:hAnsi="Tahoma" w:cs="Tahoma"/>
                <w:sz w:val="20"/>
                <w:szCs w:val="20"/>
              </w:rPr>
              <w:t>и порядке, определенных Сторонами в соответствии с законодательством РФ и Индивидуальными условиями Договора.</w:t>
            </w:r>
            <w:r w:rsidRPr="005A07E7">
              <w:rPr>
                <w:rFonts w:ascii="Tahoma" w:hAnsi="Tahoma" w:cs="Tahoma"/>
                <w:sz w:val="20"/>
                <w:szCs w:val="20"/>
              </w:rPr>
              <w:fldChar w:fldCharType="begin"/>
            </w:r>
            <w:r w:rsidRPr="005A07E7">
              <w:rPr>
                <w:rFonts w:ascii="Tahoma" w:hAnsi="Tahoma" w:cs="Tahoma"/>
                <w:sz w:val="20"/>
                <w:szCs w:val="20"/>
              </w:rPr>
              <w:instrText xml:space="preserve"> DOCVARIABLE  ATB_ADDRESS_FACT </w:instrText>
            </w:r>
            <w:r w:rsidRPr="005A07E7">
              <w:rPr>
                <w:rFonts w:ascii="Tahoma" w:hAnsi="Tahoma" w:cs="Tahoma"/>
                <w:sz w:val="20"/>
                <w:szCs w:val="20"/>
              </w:rPr>
              <w:fldChar w:fldCharType="end"/>
            </w:r>
          </w:p>
        </w:tc>
      </w:tr>
      <w:tr w:rsidR="009D1253" w:rsidRPr="005A07E7" w14:paraId="4B5C0258"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01"/>
        </w:trPr>
        <w:tc>
          <w:tcPr>
            <w:tcW w:w="1475" w:type="pct"/>
            <w:tcBorders>
              <w:top w:val="single" w:sz="4" w:space="0" w:color="auto"/>
              <w:left w:val="single" w:sz="8" w:space="0" w:color="auto"/>
              <w:bottom w:val="single" w:sz="4" w:space="0" w:color="auto"/>
              <w:right w:val="single" w:sz="4" w:space="0" w:color="000000"/>
            </w:tcBorders>
            <w:shd w:val="clear" w:color="auto" w:fill="auto"/>
            <w:vAlign w:val="center"/>
          </w:tcPr>
          <w:p w14:paraId="57AE3CE6"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 xml:space="preserve">Способы возврата  Заёмщиком Кредита и уплаты процентов по нему, включая бесплатный способ исполнения Заёмщиком обязательств по Договору </w:t>
            </w:r>
            <w:r w:rsidRPr="005A07E7">
              <w:rPr>
                <w:rFonts w:ascii="Tahoma" w:hAnsi="Tahoma" w:cs="Tahoma"/>
                <w:b/>
                <w:sz w:val="20"/>
                <w:szCs w:val="20"/>
              </w:rPr>
              <w:lastRenderedPageBreak/>
              <w:t>«Потребительский кредит под залог транспортного средства»</w:t>
            </w:r>
          </w:p>
        </w:tc>
        <w:tc>
          <w:tcPr>
            <w:tcW w:w="3525" w:type="pct"/>
            <w:tcBorders>
              <w:top w:val="single" w:sz="4" w:space="0" w:color="auto"/>
              <w:left w:val="nil"/>
              <w:bottom w:val="single" w:sz="4" w:space="0" w:color="auto"/>
              <w:right w:val="single" w:sz="8" w:space="0" w:color="000000"/>
            </w:tcBorders>
            <w:shd w:val="clear" w:color="auto" w:fill="auto"/>
            <w:vAlign w:val="center"/>
          </w:tcPr>
          <w:p w14:paraId="52632F4D"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lastRenderedPageBreak/>
              <w:t xml:space="preserve">Погашение Заёмщиком обязательств по Договору осуществляется в сумме и сроки предусмотренные Договором (в т.ч. при досрочном частичном или полном возврате Кредита) производится любым способом по выбору Заёмщика, в том числе: посредством внесения денежных средств в сумме обязательства на ТБС Заёмщика через терминалы самообслуживания Банка (при их наличии в населенном пункте по месту получения Заёмщиком </w:t>
            </w:r>
            <w:r w:rsidRPr="005A07E7">
              <w:rPr>
                <w:rFonts w:ascii="Tahoma" w:hAnsi="Tahoma" w:cs="Tahoma"/>
                <w:sz w:val="20"/>
                <w:szCs w:val="20"/>
              </w:rPr>
              <w:lastRenderedPageBreak/>
              <w:t>оферты)</w:t>
            </w:r>
            <w:r>
              <w:rPr>
                <w:rFonts w:ascii="Tahoma" w:hAnsi="Tahoma" w:cs="Tahoma"/>
                <w:sz w:val="20"/>
                <w:szCs w:val="20"/>
              </w:rPr>
              <w:t>/</w:t>
            </w:r>
            <w:r w:rsidRPr="005A07E7">
              <w:rPr>
                <w:rFonts w:ascii="Tahoma" w:hAnsi="Tahoma" w:cs="Tahoma"/>
                <w:sz w:val="20"/>
                <w:szCs w:val="20"/>
              </w:rPr>
              <w:t xml:space="preserve"> кассы Банка, перевод через работодателя Заёмщика, перевод со счёта в Банке на ТБС Заёмщика, перевод через отделения АО «Почта России», перевод через интернет-системы «АТБ-Онлайн», «АТБ</w:t>
            </w:r>
            <w:r>
              <w:rPr>
                <w:rFonts w:ascii="Tahoma" w:hAnsi="Tahoma" w:cs="Tahoma"/>
                <w:sz w:val="20"/>
                <w:szCs w:val="20"/>
              </w:rPr>
              <w:t xml:space="preserve"> Банк</w:t>
            </w:r>
            <w:r w:rsidRPr="005A07E7">
              <w:rPr>
                <w:rFonts w:ascii="Tahoma" w:hAnsi="Tahoma" w:cs="Tahoma"/>
                <w:sz w:val="20"/>
                <w:szCs w:val="20"/>
              </w:rPr>
              <w:t xml:space="preserve">», иные кредитные организации (по предусмотренным ими тарифам). </w:t>
            </w:r>
          </w:p>
          <w:p w14:paraId="421A7E74"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Могут использоваться иные, не противоречащие законодательству РФ способы.</w:t>
            </w:r>
          </w:p>
          <w:p w14:paraId="0D720E0C" w14:textId="77777777" w:rsidR="009D1253"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Заёмщик вносит на ТБС денежные средства любыми из перечисленных выше способов, при этом он обязан учесть время, затрачиваемое на безналичное перечисление денежных средств, выходные и праздничные дни. Если установленный Договором последний день срока платежа отсутствует в календарном месяце, Заёмщик обязан внести денежные средства на ТБС не позднее последнего календарного рабочего дня месяца; если последний день срока платежа приходится на выходные/нерабочие праздничные дни, Заёмщик обязан внести денежные средства на ТБС не позднее 1-го рабочего дня, следующего за выходным/нерабочим праздничным днем. Указанная обязанность должна быть исполнена Заёмщиком в операционный день Банка.</w:t>
            </w:r>
          </w:p>
          <w:p w14:paraId="6B919708" w14:textId="77777777" w:rsidR="009D1253" w:rsidRPr="005A07E7" w:rsidRDefault="009D1253" w:rsidP="009D1253">
            <w:pPr>
              <w:widowControl w:val="0"/>
              <w:tabs>
                <w:tab w:val="left" w:pos="426"/>
                <w:tab w:val="left" w:pos="851"/>
              </w:tabs>
              <w:jc w:val="both"/>
              <w:rPr>
                <w:rFonts w:ascii="Tahoma" w:hAnsi="Tahoma" w:cs="Tahoma"/>
                <w:sz w:val="20"/>
                <w:szCs w:val="20"/>
              </w:rPr>
            </w:pPr>
            <w:r>
              <w:rPr>
                <w:rFonts w:ascii="Tahoma" w:hAnsi="Tahoma" w:cs="Tahoma"/>
                <w:sz w:val="20"/>
                <w:szCs w:val="20"/>
              </w:rPr>
              <w:t>Бесплатный способ исполнения Заёмщиком обязательств по Договору производится путем внесения денежных средств в сумме обязательства на ТБС Заёмщика через терминалы самообслуживания Банка (при их наличии в населенном пункте по месту получения Заёмщиком оферты)/ кассы Банка, перевод через работодателя Заёмщика, с использованием сервиса Системы быстрых платежей (в рамках бесплатных лимитов, установленных тарифами сервиса). В случае изменений, информация доводится до Заемщика в соответствии с Общими условиями кредитования.</w:t>
            </w:r>
          </w:p>
        </w:tc>
      </w:tr>
      <w:tr w:rsidR="009D1253" w:rsidRPr="005A07E7" w14:paraId="01D30619"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01"/>
        </w:trPr>
        <w:tc>
          <w:tcPr>
            <w:tcW w:w="1475" w:type="pct"/>
            <w:tcBorders>
              <w:top w:val="single" w:sz="4" w:space="0" w:color="auto"/>
              <w:left w:val="single" w:sz="8" w:space="0" w:color="auto"/>
              <w:bottom w:val="single" w:sz="4" w:space="0" w:color="auto"/>
              <w:right w:val="single" w:sz="4" w:space="0" w:color="000000"/>
            </w:tcBorders>
            <w:shd w:val="clear" w:color="auto" w:fill="auto"/>
            <w:vAlign w:val="center"/>
          </w:tcPr>
          <w:p w14:paraId="23D2CE4D"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lastRenderedPageBreak/>
              <w:t>Порядок погашения Заёмщиком задолженности по Кредиту</w:t>
            </w:r>
          </w:p>
        </w:tc>
        <w:tc>
          <w:tcPr>
            <w:tcW w:w="3525" w:type="pct"/>
            <w:tcBorders>
              <w:top w:val="single" w:sz="4" w:space="0" w:color="auto"/>
              <w:left w:val="nil"/>
              <w:bottom w:val="single" w:sz="4" w:space="0" w:color="auto"/>
              <w:right w:val="single" w:sz="8" w:space="0" w:color="000000"/>
            </w:tcBorders>
            <w:shd w:val="clear" w:color="auto" w:fill="auto"/>
            <w:vAlign w:val="center"/>
          </w:tcPr>
          <w:p w14:paraId="69411BC3" w14:textId="77777777" w:rsidR="009D1253" w:rsidRPr="005A07E7" w:rsidRDefault="009D1253" w:rsidP="009D1253">
            <w:pPr>
              <w:widowControl w:val="0"/>
              <w:tabs>
                <w:tab w:val="left" w:pos="426"/>
                <w:tab w:val="left" w:pos="851"/>
              </w:tabs>
              <w:jc w:val="both"/>
              <w:rPr>
                <w:rFonts w:ascii="Tahoma" w:hAnsi="Tahoma" w:cs="Tahoma"/>
                <w:sz w:val="20"/>
                <w:szCs w:val="20"/>
              </w:rPr>
            </w:pPr>
            <w:r>
              <w:rPr>
                <w:rFonts w:ascii="Tahoma" w:hAnsi="Tahoma" w:cs="Tahoma"/>
                <w:sz w:val="20"/>
                <w:szCs w:val="20"/>
              </w:rPr>
              <w:t>Определен УДБО.</w:t>
            </w:r>
          </w:p>
        </w:tc>
      </w:tr>
      <w:tr w:rsidR="009D1253" w:rsidRPr="005A07E7" w14:paraId="6BD6E561"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344"/>
        </w:trPr>
        <w:tc>
          <w:tcPr>
            <w:tcW w:w="1475" w:type="pct"/>
            <w:tcBorders>
              <w:top w:val="single" w:sz="4" w:space="0" w:color="auto"/>
              <w:left w:val="single" w:sz="8" w:space="0" w:color="auto"/>
              <w:bottom w:val="single" w:sz="4" w:space="0" w:color="auto"/>
              <w:right w:val="single" w:sz="4" w:space="0" w:color="000000"/>
            </w:tcBorders>
            <w:vAlign w:val="center"/>
          </w:tcPr>
          <w:p w14:paraId="179DA308" w14:textId="77777777" w:rsidR="009D1253" w:rsidRPr="005A07E7" w:rsidRDefault="009D1253" w:rsidP="009D1253">
            <w:pPr>
              <w:rPr>
                <w:rFonts w:ascii="Tahoma" w:hAnsi="Tahoma" w:cs="Tahoma"/>
                <w:b/>
                <w:sz w:val="20"/>
                <w:szCs w:val="20"/>
              </w:rPr>
            </w:pPr>
            <w:r w:rsidRPr="005A07E7">
              <w:rPr>
                <w:rFonts w:ascii="Tahoma" w:hAnsi="Tahoma" w:cs="Tahoma"/>
                <w:b/>
                <w:color w:val="000000"/>
                <w:sz w:val="20"/>
                <w:szCs w:val="20"/>
              </w:rPr>
              <w:t xml:space="preserve">Ответственность Заёмщика за ненадлежащее исполнение Договора </w:t>
            </w:r>
          </w:p>
        </w:tc>
        <w:tc>
          <w:tcPr>
            <w:tcW w:w="3525" w:type="pct"/>
            <w:tcBorders>
              <w:top w:val="single" w:sz="4" w:space="0" w:color="auto"/>
              <w:left w:val="nil"/>
              <w:bottom w:val="single" w:sz="4" w:space="0" w:color="auto"/>
              <w:right w:val="single" w:sz="8" w:space="0" w:color="000000"/>
            </w:tcBorders>
            <w:vAlign w:val="center"/>
          </w:tcPr>
          <w:p w14:paraId="15843B5C" w14:textId="77777777" w:rsidR="009D1253" w:rsidRPr="005A07E7" w:rsidRDefault="009D1253" w:rsidP="009D1253">
            <w:pPr>
              <w:widowControl w:val="0"/>
              <w:jc w:val="both"/>
              <w:rPr>
                <w:rFonts w:ascii="Tahoma" w:hAnsi="Tahoma" w:cs="Tahoma"/>
                <w:sz w:val="20"/>
                <w:szCs w:val="20"/>
              </w:rPr>
            </w:pPr>
            <w:r w:rsidRPr="005A07E7">
              <w:rPr>
                <w:rFonts w:ascii="Tahoma" w:hAnsi="Tahoma" w:cs="Tahoma"/>
                <w:sz w:val="20"/>
                <w:szCs w:val="20"/>
              </w:rPr>
              <w:t xml:space="preserve">В случае нарушения Заёмщиком сроков возврата Кредита и/или уплаты процентов на сумму Кредита Заёмщик уплачивает Банку неустойку в размере 20% годовых от суммы просроченной задолженности за каждый день нарушения срока уплаты. </w:t>
            </w:r>
          </w:p>
          <w:p w14:paraId="0CE5ED8D" w14:textId="77777777" w:rsidR="009D1253" w:rsidRPr="005A07E7" w:rsidRDefault="009D1253" w:rsidP="009D1253">
            <w:pPr>
              <w:widowControl w:val="0"/>
              <w:tabs>
                <w:tab w:val="left" w:pos="426"/>
                <w:tab w:val="left" w:pos="851"/>
              </w:tabs>
              <w:jc w:val="both"/>
              <w:rPr>
                <w:rFonts w:ascii="Tahoma" w:eastAsia="Calibri" w:hAnsi="Tahoma" w:cs="Tahoma"/>
                <w:sz w:val="20"/>
                <w:szCs w:val="20"/>
              </w:rPr>
            </w:pPr>
            <w:r w:rsidRPr="005A07E7">
              <w:rPr>
                <w:rFonts w:ascii="Tahoma" w:hAnsi="Tahoma" w:cs="Tahoma"/>
                <w:sz w:val="20"/>
                <w:szCs w:val="20"/>
              </w:rPr>
              <w:t>В случае нарушения Заёмщиком сроков возврата суммы Кредита (основного долга) и/или уплаты процентов продолжительностью (общей продолжительностью) более чем 60 календарных дней в течение последних 180 календарных дней, Банк вправе потребовать от Заёмщика досрочного возврата оставшейся суммы Кредита вместе с причитающимися процентами и/или расторжения Договора, уведомив об этом Заёмщика способом, установленным Договором. В таком случае Заёмщик обязан вернуть Банку оставшуюся сумму Кредита и уплатить все причитающиеся Банку проценты и неустойки в течение 30 календарных дней с момента направления Банком уведомления Заёмщику, если иной, более продолжительный срок не указан Банком в таком уведомлении.</w:t>
            </w:r>
          </w:p>
        </w:tc>
      </w:tr>
      <w:tr w:rsidR="009D1253" w:rsidRPr="005A07E7" w14:paraId="3B88D176" w14:textId="77777777" w:rsidTr="009D1253">
        <w:tblPrEx>
          <w:tblLook w:val="00A0" w:firstRow="1" w:lastRow="0" w:firstColumn="1" w:lastColumn="0" w:noHBand="0" w:noVBand="0"/>
        </w:tblPrEx>
        <w:trPr>
          <w:trHeight w:val="1000"/>
        </w:trPr>
        <w:tc>
          <w:tcPr>
            <w:tcW w:w="1475" w:type="pct"/>
            <w:tcBorders>
              <w:top w:val="single" w:sz="4" w:space="0" w:color="auto"/>
              <w:left w:val="single" w:sz="8" w:space="0" w:color="auto"/>
              <w:bottom w:val="single" w:sz="4" w:space="0" w:color="auto"/>
              <w:right w:val="single" w:sz="4" w:space="0" w:color="000000"/>
            </w:tcBorders>
            <w:vAlign w:val="center"/>
          </w:tcPr>
          <w:p w14:paraId="2E2AAC0E"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Информация о возможности запрета уступки Кредитором третьим лицам прав (требований) по Договору «Потребительский кредит под залог транспортного средства»</w:t>
            </w:r>
          </w:p>
        </w:tc>
        <w:tc>
          <w:tcPr>
            <w:tcW w:w="3525" w:type="pct"/>
            <w:tcBorders>
              <w:top w:val="single" w:sz="4" w:space="0" w:color="auto"/>
              <w:left w:val="nil"/>
              <w:bottom w:val="single" w:sz="4" w:space="0" w:color="auto"/>
              <w:right w:val="single" w:sz="8" w:space="0" w:color="000000"/>
            </w:tcBorders>
            <w:vAlign w:val="center"/>
          </w:tcPr>
          <w:p w14:paraId="36176BA1"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Заёмщик вправе запретить уступку Банком третьим лицам прав (требований) по Договору.</w:t>
            </w:r>
          </w:p>
        </w:tc>
      </w:tr>
      <w:tr w:rsidR="009D1253" w:rsidRPr="005A07E7" w14:paraId="47063288"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303"/>
        </w:trPr>
        <w:tc>
          <w:tcPr>
            <w:tcW w:w="1475" w:type="pct"/>
            <w:tcBorders>
              <w:top w:val="single" w:sz="4" w:space="0" w:color="auto"/>
              <w:left w:val="single" w:sz="8" w:space="0" w:color="auto"/>
              <w:bottom w:val="single" w:sz="4" w:space="0" w:color="auto"/>
              <w:right w:val="single" w:sz="4" w:space="0" w:color="000000"/>
            </w:tcBorders>
            <w:vAlign w:val="center"/>
          </w:tcPr>
          <w:p w14:paraId="0AD86AC5"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 xml:space="preserve">Порядок предоставления Заёмщиком информации об использовании Кредита </w:t>
            </w:r>
          </w:p>
        </w:tc>
        <w:tc>
          <w:tcPr>
            <w:tcW w:w="3525" w:type="pct"/>
            <w:tcBorders>
              <w:top w:val="single" w:sz="4" w:space="0" w:color="auto"/>
              <w:left w:val="nil"/>
              <w:bottom w:val="single" w:sz="4" w:space="0" w:color="auto"/>
              <w:right w:val="single" w:sz="8" w:space="0" w:color="000000"/>
            </w:tcBorders>
            <w:vAlign w:val="center"/>
          </w:tcPr>
          <w:p w14:paraId="2B84C54F"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При заключении Договора «Потребительский кредит под залог транспортного средства»</w:t>
            </w:r>
            <w:r w:rsidRPr="005A07E7">
              <w:rPr>
                <w:rFonts w:ascii="Tahoma" w:hAnsi="Tahoma" w:cs="Tahoma"/>
                <w:b/>
                <w:sz w:val="20"/>
                <w:szCs w:val="20"/>
              </w:rPr>
              <w:t xml:space="preserve"> </w:t>
            </w:r>
            <w:r w:rsidRPr="005A07E7">
              <w:rPr>
                <w:rFonts w:ascii="Tahoma" w:hAnsi="Tahoma" w:cs="Tahoma"/>
                <w:sz w:val="20"/>
                <w:szCs w:val="20"/>
              </w:rPr>
              <w:t>Заёмщик предоставляет Банку копии документов, подтверждающих приобретение ТС, а также иных товаров, работ, услуг (при их наличии).</w:t>
            </w:r>
          </w:p>
          <w:p w14:paraId="1F9234F4" w14:textId="77777777" w:rsidR="009D1253" w:rsidRPr="005A07E7" w:rsidRDefault="009D1253" w:rsidP="009D1253">
            <w:pPr>
              <w:jc w:val="both"/>
              <w:rPr>
                <w:rFonts w:ascii="Tahoma" w:hAnsi="Tahoma" w:cs="Tahoma"/>
                <w:sz w:val="20"/>
                <w:szCs w:val="20"/>
              </w:rPr>
            </w:pPr>
          </w:p>
        </w:tc>
      </w:tr>
      <w:tr w:rsidR="009D1253" w:rsidRPr="005A07E7" w14:paraId="4BCD005F" w14:textId="77777777" w:rsidTr="009D1253">
        <w:tblPrEx>
          <w:tblLook w:val="00A0" w:firstRow="1" w:lastRow="0" w:firstColumn="1" w:lastColumn="0" w:noHBand="0" w:noVBand="0"/>
        </w:tblPrEx>
        <w:trPr>
          <w:trHeight w:val="395"/>
        </w:trPr>
        <w:tc>
          <w:tcPr>
            <w:tcW w:w="1475" w:type="pct"/>
            <w:tcBorders>
              <w:top w:val="single" w:sz="4" w:space="0" w:color="auto"/>
              <w:left w:val="single" w:sz="8" w:space="0" w:color="auto"/>
              <w:bottom w:val="single" w:sz="4" w:space="0" w:color="auto"/>
              <w:right w:val="single" w:sz="4" w:space="0" w:color="000000"/>
            </w:tcBorders>
            <w:vAlign w:val="center"/>
          </w:tcPr>
          <w:p w14:paraId="53CD6698"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Подсудность споров по искам Кредитора к Заёмщику</w:t>
            </w:r>
          </w:p>
        </w:tc>
        <w:tc>
          <w:tcPr>
            <w:tcW w:w="3525" w:type="pct"/>
            <w:tcBorders>
              <w:top w:val="single" w:sz="4" w:space="0" w:color="auto"/>
              <w:left w:val="nil"/>
              <w:bottom w:val="single" w:sz="4" w:space="0" w:color="auto"/>
              <w:right w:val="single" w:sz="8" w:space="0" w:color="000000"/>
            </w:tcBorders>
            <w:vAlign w:val="center"/>
          </w:tcPr>
          <w:p w14:paraId="09E5B13C"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Неурегулированные споры по искам Банка к Заёмщику рассматриваются в порядке, установленном законодательством РФ. Взыскание задолженности по Договору может производиться по исполнительной надписи нотариуса, совершаемой на основании заявления Банка.</w:t>
            </w:r>
          </w:p>
        </w:tc>
      </w:tr>
      <w:tr w:rsidR="009D1253" w:rsidRPr="00026641" w14:paraId="2FDFA8A5" w14:textId="77777777" w:rsidTr="009D1253">
        <w:tblPrEx>
          <w:tblLook w:val="00A0" w:firstRow="1" w:lastRow="0" w:firstColumn="1" w:lastColumn="0" w:noHBand="0" w:noVBand="0"/>
        </w:tblPrEx>
        <w:trPr>
          <w:trHeight w:val="263"/>
        </w:trPr>
        <w:tc>
          <w:tcPr>
            <w:tcW w:w="1475" w:type="pct"/>
            <w:tcBorders>
              <w:top w:val="single" w:sz="4" w:space="0" w:color="auto"/>
              <w:left w:val="single" w:sz="8" w:space="0" w:color="auto"/>
              <w:bottom w:val="single" w:sz="4" w:space="0" w:color="auto"/>
              <w:right w:val="single" w:sz="4" w:space="0" w:color="000000"/>
            </w:tcBorders>
            <w:vAlign w:val="center"/>
          </w:tcPr>
          <w:p w14:paraId="1294117C"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lastRenderedPageBreak/>
              <w:t>Формуляры или иные стандартные формы, в которых определены общие условия договора «Потребительский кредит под залог транспортного средства»</w:t>
            </w:r>
          </w:p>
        </w:tc>
        <w:tc>
          <w:tcPr>
            <w:tcW w:w="3525" w:type="pct"/>
            <w:tcBorders>
              <w:top w:val="single" w:sz="4" w:space="0" w:color="auto"/>
              <w:left w:val="nil"/>
              <w:bottom w:val="single" w:sz="4" w:space="0" w:color="auto"/>
              <w:right w:val="single" w:sz="8" w:space="0" w:color="000000"/>
            </w:tcBorders>
            <w:vAlign w:val="center"/>
          </w:tcPr>
          <w:p w14:paraId="556F74C6" w14:textId="77777777" w:rsidR="009D1253" w:rsidRPr="00026641"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Общие условия Договора «Потребительский кредит под залог транспортного средства» закреплены в «Общих условиях потребительского кредитования в «Азиатско-Тихоокеанский Банк» (АО)», являющихся Приложением № 3 к Универсальному договору банковского обслуживания физических лиц «Азиатско-Тихоокеанский Банк» (АО), размещённых в местах приема заявлений на предоставление потребительского кредита под залог транспортного средства (в отделениях Банка и иных местах приема заявлений на предоставление потребительского кредита под залог транспортного средства), на сайте Банка в сети Интернет по адресу www.atb.su и могут быть предоставлены Заемщику по его требованию на бумажном носителе.</w:t>
            </w:r>
          </w:p>
        </w:tc>
      </w:tr>
      <w:tr w:rsidR="009D1253" w:rsidRPr="00026641" w14:paraId="1B00E0CA" w14:textId="77777777" w:rsidTr="009D1253">
        <w:tblPrEx>
          <w:tblLook w:val="00A0" w:firstRow="1" w:lastRow="0" w:firstColumn="1" w:lastColumn="0" w:noHBand="0" w:noVBand="0"/>
        </w:tblPrEx>
        <w:trPr>
          <w:trHeight w:val="263"/>
        </w:trPr>
        <w:tc>
          <w:tcPr>
            <w:tcW w:w="1475" w:type="pct"/>
            <w:tcBorders>
              <w:top w:val="single" w:sz="4" w:space="0" w:color="auto"/>
              <w:left w:val="single" w:sz="8" w:space="0" w:color="auto"/>
              <w:bottom w:val="single" w:sz="4" w:space="0" w:color="auto"/>
              <w:right w:val="single" w:sz="4" w:space="0" w:color="000000"/>
            </w:tcBorders>
            <w:vAlign w:val="center"/>
          </w:tcPr>
          <w:p w14:paraId="32559E2E" w14:textId="77777777" w:rsidR="009D1253" w:rsidRPr="005A07E7" w:rsidRDefault="009D1253" w:rsidP="009D1253">
            <w:pPr>
              <w:jc w:val="both"/>
              <w:rPr>
                <w:rFonts w:ascii="Tahoma" w:hAnsi="Tahoma" w:cs="Tahoma"/>
                <w:b/>
                <w:sz w:val="20"/>
                <w:szCs w:val="20"/>
              </w:rPr>
            </w:pPr>
            <w:r w:rsidRPr="00695066">
              <w:rPr>
                <w:rFonts w:ascii="Tahoma" w:hAnsi="Tahoma" w:cs="Tahoma"/>
                <w:b/>
                <w:bCs/>
                <w:sz w:val="20"/>
                <w:szCs w:val="20"/>
              </w:rPr>
              <w:t>Право заемщика обратиться к кредитору с требованием, предусмотренным частью 1 статьи 6.1-2 Федерального закона от 21.12.2013 № 353-ФЗ «О потребительском кредите (займе)», и об условиях, при наступлении которых у заемщика возникает соответствующее право.</w:t>
            </w:r>
          </w:p>
        </w:tc>
        <w:tc>
          <w:tcPr>
            <w:tcW w:w="3525" w:type="pct"/>
            <w:tcBorders>
              <w:top w:val="single" w:sz="4" w:space="0" w:color="auto"/>
              <w:left w:val="nil"/>
              <w:bottom w:val="single" w:sz="4" w:space="0" w:color="auto"/>
              <w:right w:val="single" w:sz="8" w:space="0" w:color="000000"/>
            </w:tcBorders>
            <w:vAlign w:val="center"/>
          </w:tcPr>
          <w:p w14:paraId="19A21531" w14:textId="77777777" w:rsidR="009D1253" w:rsidRPr="00695066" w:rsidRDefault="009D1253" w:rsidP="009D1253">
            <w:pPr>
              <w:widowControl w:val="0"/>
              <w:tabs>
                <w:tab w:val="left" w:pos="426"/>
                <w:tab w:val="left" w:pos="851"/>
              </w:tabs>
              <w:jc w:val="both"/>
              <w:rPr>
                <w:rFonts w:ascii="Tahoma" w:hAnsi="Tahoma" w:cs="Tahoma"/>
                <w:sz w:val="20"/>
                <w:szCs w:val="20"/>
              </w:rPr>
            </w:pPr>
            <w:r w:rsidRPr="00695066">
              <w:rPr>
                <w:rFonts w:ascii="Tahoma" w:hAnsi="Tahoma" w:cs="Tahoma"/>
                <w:sz w:val="20"/>
                <w:szCs w:val="20"/>
              </w:rPr>
              <w:t xml:space="preserve">Заемщик в любой момент в течение времени действия Договора, а в случае, указанном в п. 2 ч. 2 ст. 6.1-2 Закона № 353-ФЗ, в течение шестидесяти дней со дня установления соответствующих фактов, вправе обратиться к кредитору с требованием о предоставлении льготного периода, предусматривающего приостановление исполнения Заемщиком своих обязательств по Договору. </w:t>
            </w:r>
          </w:p>
          <w:p w14:paraId="7A13C167" w14:textId="77777777" w:rsidR="009D1253" w:rsidRPr="00695066" w:rsidRDefault="009D1253" w:rsidP="009D1253">
            <w:pPr>
              <w:widowControl w:val="0"/>
              <w:tabs>
                <w:tab w:val="left" w:pos="426"/>
                <w:tab w:val="left" w:pos="851"/>
              </w:tabs>
              <w:jc w:val="both"/>
              <w:rPr>
                <w:rFonts w:ascii="Tahoma" w:hAnsi="Tahoma" w:cs="Tahoma"/>
                <w:sz w:val="20"/>
                <w:szCs w:val="20"/>
              </w:rPr>
            </w:pPr>
            <w:r w:rsidRPr="00695066">
              <w:rPr>
                <w:rFonts w:ascii="Tahoma" w:hAnsi="Tahoma" w:cs="Tahoma"/>
                <w:sz w:val="20"/>
                <w:szCs w:val="20"/>
              </w:rPr>
              <w:t xml:space="preserve">С условиями, при наступлении которых у Заемщика возникает такое право, можно ознакомиться в размещаемой Банком информации о кредитных каникулах в рамках 353-ФЗ, в том числе на сайте Банка </w:t>
            </w:r>
          </w:p>
          <w:p w14:paraId="62EF8CFE" w14:textId="77777777" w:rsidR="009D1253" w:rsidRPr="005A07E7" w:rsidRDefault="009D1253" w:rsidP="009D1253">
            <w:pPr>
              <w:widowControl w:val="0"/>
              <w:tabs>
                <w:tab w:val="left" w:pos="426"/>
                <w:tab w:val="left" w:pos="851"/>
              </w:tabs>
              <w:jc w:val="both"/>
              <w:rPr>
                <w:rFonts w:ascii="Tahoma" w:hAnsi="Tahoma" w:cs="Tahoma"/>
                <w:sz w:val="20"/>
                <w:szCs w:val="20"/>
              </w:rPr>
            </w:pPr>
            <w:hyperlink r:id="rId63" w:history="1">
              <w:r w:rsidRPr="00695066">
                <w:rPr>
                  <w:rStyle w:val="aff"/>
                  <w:rFonts w:ascii="Tahoma" w:hAnsi="Tahoma" w:cs="Tahoma"/>
                  <w:sz w:val="20"/>
                  <w:szCs w:val="20"/>
                </w:rPr>
                <w:t>https://www.atb.su/customer-care-service/</w:t>
              </w:r>
            </w:hyperlink>
          </w:p>
        </w:tc>
      </w:tr>
    </w:tbl>
    <w:p w14:paraId="0BBC6A2C" w14:textId="77777777" w:rsidR="009D1253" w:rsidRDefault="009D1253" w:rsidP="009D1253">
      <w:pPr>
        <w:rPr>
          <w:rFonts w:ascii="Tahoma" w:hAnsi="Tahoma" w:cs="Tahoma"/>
          <w:b/>
          <w:i/>
          <w:color w:val="E36C0A"/>
          <w:sz w:val="22"/>
        </w:rPr>
      </w:pPr>
    </w:p>
    <w:p w14:paraId="5641C3B8" w14:textId="77777777" w:rsidR="009D1253" w:rsidRDefault="009D1253" w:rsidP="009D1253">
      <w:pPr>
        <w:rPr>
          <w:rFonts w:ascii="Tahoma" w:hAnsi="Tahoma" w:cs="Tahoma"/>
          <w:b/>
          <w:i/>
          <w:color w:val="E36C0A"/>
          <w:sz w:val="22"/>
        </w:rPr>
      </w:pPr>
    </w:p>
    <w:p w14:paraId="23A45F70" w14:textId="77777777" w:rsidR="009D1253" w:rsidRDefault="009D1253" w:rsidP="009D1253">
      <w:pPr>
        <w:rPr>
          <w:rFonts w:ascii="Tahoma" w:hAnsi="Tahoma" w:cs="Tahoma"/>
          <w:b/>
          <w:i/>
          <w:color w:val="E36C0A"/>
          <w:sz w:val="22"/>
        </w:rPr>
      </w:pPr>
    </w:p>
    <w:p w14:paraId="73EE1C28" w14:textId="77777777" w:rsidR="009D1253" w:rsidRDefault="009D1253" w:rsidP="009D1253">
      <w:pPr>
        <w:rPr>
          <w:rFonts w:ascii="Tahoma" w:hAnsi="Tahoma" w:cs="Tahoma"/>
          <w:b/>
          <w:i/>
          <w:color w:val="E36C0A"/>
          <w:sz w:val="22"/>
        </w:rPr>
      </w:pPr>
    </w:p>
    <w:p w14:paraId="10BB2DE2" w14:textId="77777777" w:rsidR="009D1253" w:rsidRDefault="009D1253" w:rsidP="009D1253">
      <w:pPr>
        <w:rPr>
          <w:rFonts w:ascii="Tahoma" w:hAnsi="Tahoma" w:cs="Tahoma"/>
          <w:b/>
          <w:i/>
          <w:color w:val="E36C0A"/>
          <w:sz w:val="22"/>
        </w:rPr>
      </w:pPr>
    </w:p>
    <w:p w14:paraId="77DBFA9C" w14:textId="77777777" w:rsidR="009D1253" w:rsidRPr="00C9310A" w:rsidRDefault="009D1253" w:rsidP="000B3718">
      <w:pPr>
        <w:pStyle w:val="a5"/>
      </w:pPr>
      <w:bookmarkStart w:id="137" w:name="_Toc174636546"/>
      <w:r w:rsidRPr="00C9310A">
        <w:t>2.4.6.Тарифный план «Хонда»</w:t>
      </w:r>
      <w:bookmarkEnd w:id="137"/>
    </w:p>
    <w:tbl>
      <w:tblPr>
        <w:tblW w:w="4797"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42"/>
        <w:gridCol w:w="10615"/>
      </w:tblGrid>
      <w:tr w:rsidR="009D1253" w:rsidRPr="005A07E7" w14:paraId="06837BE3" w14:textId="77777777" w:rsidTr="009D1253">
        <w:trPr>
          <w:trHeight w:val="455"/>
        </w:trPr>
        <w:tc>
          <w:tcPr>
            <w:tcW w:w="1475" w:type="pct"/>
            <w:shd w:val="clear" w:color="auto" w:fill="D9D9D9" w:themeFill="background1" w:themeFillShade="D9"/>
            <w:vAlign w:val="center"/>
          </w:tcPr>
          <w:p w14:paraId="4D2A25C3" w14:textId="77777777" w:rsidR="009D1253" w:rsidRPr="005A07E7" w:rsidRDefault="009D1253" w:rsidP="009D1253">
            <w:pPr>
              <w:jc w:val="both"/>
              <w:rPr>
                <w:rFonts w:ascii="Tahoma" w:hAnsi="Tahoma" w:cs="Tahoma"/>
                <w:b/>
                <w:sz w:val="20"/>
                <w:szCs w:val="20"/>
              </w:rPr>
            </w:pPr>
            <w:r w:rsidRPr="005A07E7">
              <w:rPr>
                <w:rFonts w:ascii="Tahoma" w:hAnsi="Tahoma" w:cs="Tahoma"/>
                <w:b/>
                <w:sz w:val="20"/>
                <w:szCs w:val="20"/>
              </w:rPr>
              <w:t>Наименование продукта/</w:t>
            </w:r>
            <w:r w:rsidRPr="005A07E7" w:rsidDel="00A134C4">
              <w:rPr>
                <w:rFonts w:ascii="Tahoma" w:hAnsi="Tahoma" w:cs="Tahoma"/>
                <w:b/>
                <w:sz w:val="20"/>
                <w:szCs w:val="20"/>
              </w:rPr>
              <w:t xml:space="preserve"> </w:t>
            </w:r>
            <w:r w:rsidRPr="005A07E7">
              <w:rPr>
                <w:rFonts w:ascii="Tahoma" w:hAnsi="Tahoma" w:cs="Tahoma"/>
                <w:b/>
                <w:sz w:val="20"/>
                <w:szCs w:val="20"/>
              </w:rPr>
              <w:t>тарифного плана (ТП)</w:t>
            </w:r>
          </w:p>
        </w:tc>
        <w:tc>
          <w:tcPr>
            <w:tcW w:w="3525" w:type="pct"/>
            <w:shd w:val="clear" w:color="auto" w:fill="D9D9D9" w:themeFill="background1" w:themeFillShade="D9"/>
            <w:vAlign w:val="center"/>
          </w:tcPr>
          <w:p w14:paraId="64F783AD" w14:textId="77777777" w:rsidR="009D1253" w:rsidRPr="005A07E7" w:rsidRDefault="009D1253" w:rsidP="009D1253">
            <w:pPr>
              <w:pStyle w:val="a9"/>
              <w:tabs>
                <w:tab w:val="left" w:pos="-284"/>
                <w:tab w:val="left" w:pos="851"/>
              </w:tabs>
              <w:spacing w:before="0" w:after="0"/>
              <w:ind w:right="849"/>
              <w:jc w:val="center"/>
              <w:rPr>
                <w:rFonts w:ascii="Tahoma" w:hAnsi="Tahoma" w:cs="Tahoma"/>
              </w:rPr>
            </w:pPr>
            <w:r w:rsidRPr="005A07E7">
              <w:rPr>
                <w:rFonts w:ascii="Tahoma" w:hAnsi="Tahoma" w:cs="Tahoma"/>
                <w:b/>
              </w:rPr>
              <w:t>«</w:t>
            </w:r>
            <w:r>
              <w:rPr>
                <w:rFonts w:ascii="Tahoma" w:hAnsi="Tahoma" w:cs="Tahoma"/>
                <w:b/>
                <w:noProof/>
                <w:sz w:val="18"/>
                <w:szCs w:val="18"/>
              </w:rPr>
              <w:t>ХОНДА</w:t>
            </w:r>
            <w:r w:rsidRPr="005A07E7">
              <w:rPr>
                <w:rFonts w:ascii="Tahoma" w:hAnsi="Tahoma" w:cs="Tahoma"/>
                <w:b/>
              </w:rPr>
              <w:t>»</w:t>
            </w:r>
          </w:p>
        </w:tc>
      </w:tr>
      <w:tr w:rsidR="009D1253" w:rsidRPr="005A07E7" w14:paraId="4121D1C1" w14:textId="77777777" w:rsidTr="009D1253">
        <w:trPr>
          <w:trHeight w:val="455"/>
        </w:trPr>
        <w:tc>
          <w:tcPr>
            <w:tcW w:w="1475" w:type="pct"/>
            <w:shd w:val="clear" w:color="auto" w:fill="auto"/>
            <w:vAlign w:val="center"/>
          </w:tcPr>
          <w:p w14:paraId="7D34667D" w14:textId="77777777" w:rsidR="009D1253" w:rsidRPr="005A07E7" w:rsidRDefault="009D1253" w:rsidP="009D1253">
            <w:pPr>
              <w:rPr>
                <w:rFonts w:ascii="Tahoma" w:hAnsi="Tahoma" w:cs="Tahoma"/>
                <w:b/>
                <w:sz w:val="20"/>
                <w:szCs w:val="20"/>
              </w:rPr>
            </w:pPr>
            <w:r w:rsidRPr="005A07E7">
              <w:rPr>
                <w:rFonts w:ascii="Tahoma" w:hAnsi="Tahoma" w:cs="Tahoma"/>
                <w:b/>
                <w:bCs/>
                <w:sz w:val="20"/>
                <w:szCs w:val="20"/>
              </w:rPr>
              <w:t>Категория Заёмщика</w:t>
            </w:r>
          </w:p>
        </w:tc>
        <w:tc>
          <w:tcPr>
            <w:tcW w:w="3525" w:type="pct"/>
            <w:shd w:val="clear" w:color="auto" w:fill="auto"/>
            <w:vAlign w:val="center"/>
          </w:tcPr>
          <w:p w14:paraId="5E4CBDFF" w14:textId="77777777" w:rsidR="009D1253" w:rsidRPr="005A07E7" w:rsidRDefault="009D1253" w:rsidP="009D1253">
            <w:pPr>
              <w:pStyle w:val="a9"/>
              <w:tabs>
                <w:tab w:val="left" w:pos="-284"/>
                <w:tab w:val="left" w:pos="851"/>
              </w:tabs>
              <w:spacing w:before="0" w:after="0"/>
              <w:ind w:right="849"/>
              <w:jc w:val="center"/>
              <w:rPr>
                <w:rFonts w:ascii="Tahoma" w:hAnsi="Tahoma" w:cs="Tahoma"/>
              </w:rPr>
            </w:pPr>
            <w:r w:rsidRPr="005A07E7">
              <w:rPr>
                <w:rFonts w:ascii="Tahoma" w:hAnsi="Tahoma" w:cs="Tahoma"/>
              </w:rPr>
              <w:t>Физические лица (имеющие официальное место работы и/или постоянный источник дохода)</w:t>
            </w:r>
          </w:p>
        </w:tc>
      </w:tr>
      <w:tr w:rsidR="009D1253" w:rsidRPr="005A07E7" w14:paraId="38E0ACAE" w14:textId="77777777" w:rsidTr="009D1253">
        <w:trPr>
          <w:trHeight w:val="250"/>
        </w:trPr>
        <w:tc>
          <w:tcPr>
            <w:tcW w:w="1475" w:type="pct"/>
            <w:vAlign w:val="center"/>
          </w:tcPr>
          <w:p w14:paraId="4978A517"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Вид Кредита</w:t>
            </w:r>
          </w:p>
        </w:tc>
        <w:tc>
          <w:tcPr>
            <w:tcW w:w="3525" w:type="pct"/>
            <w:vAlign w:val="center"/>
          </w:tcPr>
          <w:p w14:paraId="3462443D" w14:textId="77777777" w:rsidR="009D1253" w:rsidRPr="005A07E7" w:rsidRDefault="009D1253" w:rsidP="009D1253">
            <w:pPr>
              <w:pStyle w:val="a9"/>
              <w:tabs>
                <w:tab w:val="left" w:pos="-284"/>
                <w:tab w:val="left" w:pos="851"/>
              </w:tabs>
              <w:spacing w:before="0" w:after="0"/>
              <w:ind w:right="849"/>
              <w:jc w:val="center"/>
              <w:rPr>
                <w:rFonts w:ascii="Tahoma" w:hAnsi="Tahoma" w:cs="Tahoma"/>
              </w:rPr>
            </w:pPr>
            <w:r w:rsidRPr="005A07E7">
              <w:rPr>
                <w:rFonts w:ascii="Tahoma" w:hAnsi="Tahoma" w:cs="Tahoma"/>
              </w:rPr>
              <w:t>Потребительский кредит</w:t>
            </w:r>
          </w:p>
        </w:tc>
      </w:tr>
      <w:tr w:rsidR="009D1253" w:rsidRPr="005A07E7" w14:paraId="49767734" w14:textId="77777777" w:rsidTr="009D1253">
        <w:trPr>
          <w:trHeight w:val="250"/>
        </w:trPr>
        <w:tc>
          <w:tcPr>
            <w:tcW w:w="1475" w:type="pct"/>
            <w:vAlign w:val="center"/>
          </w:tcPr>
          <w:p w14:paraId="1E4D64DB"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Тип Кредита</w:t>
            </w:r>
          </w:p>
        </w:tc>
        <w:tc>
          <w:tcPr>
            <w:tcW w:w="3525" w:type="pct"/>
            <w:vAlign w:val="center"/>
          </w:tcPr>
          <w:p w14:paraId="1A22F0A4" w14:textId="77777777" w:rsidR="009D1253" w:rsidRPr="005A07E7" w:rsidRDefault="009D1253" w:rsidP="009D1253">
            <w:pPr>
              <w:pStyle w:val="a9"/>
              <w:tabs>
                <w:tab w:val="left" w:pos="-284"/>
                <w:tab w:val="left" w:pos="851"/>
              </w:tabs>
              <w:spacing w:before="0" w:after="0"/>
              <w:ind w:right="849"/>
              <w:jc w:val="center"/>
              <w:rPr>
                <w:rFonts w:ascii="Tahoma" w:hAnsi="Tahoma" w:cs="Tahoma"/>
              </w:rPr>
            </w:pPr>
            <w:r w:rsidRPr="005A07E7">
              <w:rPr>
                <w:rFonts w:ascii="Tahoma" w:hAnsi="Tahoma" w:cs="Tahoma"/>
              </w:rPr>
              <w:t>Потребительский кредит под залог приобретенного ТС</w:t>
            </w:r>
          </w:p>
        </w:tc>
      </w:tr>
      <w:tr w:rsidR="009D1253" w:rsidRPr="005A07E7" w14:paraId="21A31F48" w14:textId="77777777" w:rsidTr="009D1253">
        <w:trPr>
          <w:trHeight w:val="512"/>
        </w:trPr>
        <w:tc>
          <w:tcPr>
            <w:tcW w:w="1475" w:type="pct"/>
            <w:vAlign w:val="center"/>
          </w:tcPr>
          <w:p w14:paraId="60C7E57F"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 xml:space="preserve">Цель Кредита </w:t>
            </w:r>
          </w:p>
        </w:tc>
        <w:tc>
          <w:tcPr>
            <w:tcW w:w="3525" w:type="pct"/>
            <w:vAlign w:val="center"/>
          </w:tcPr>
          <w:p w14:paraId="6FBC30A5" w14:textId="77777777" w:rsidR="009D1253" w:rsidRPr="005A07E7" w:rsidRDefault="009D1253" w:rsidP="009D1253">
            <w:pPr>
              <w:pStyle w:val="a9"/>
              <w:tabs>
                <w:tab w:val="left" w:pos="-284"/>
                <w:tab w:val="left" w:pos="851"/>
              </w:tabs>
              <w:spacing w:before="0" w:after="0"/>
              <w:jc w:val="center"/>
              <w:rPr>
                <w:rFonts w:ascii="Tahoma" w:hAnsi="Tahoma" w:cs="Tahoma"/>
              </w:rPr>
            </w:pPr>
            <w:r w:rsidRPr="005A07E7">
              <w:rPr>
                <w:rFonts w:ascii="Tahoma" w:hAnsi="Tahoma" w:cs="Tahoma"/>
              </w:rPr>
              <w:t xml:space="preserve">Приобретение транспортного средства (ТС) (нового) марки </w:t>
            </w:r>
            <w:r>
              <w:rPr>
                <w:rFonts w:ascii="Tahoma" w:hAnsi="Tahoma" w:cs="Tahoma"/>
                <w:lang w:val="en-US"/>
              </w:rPr>
              <w:t>Honda</w:t>
            </w:r>
            <w:r w:rsidRPr="00D10F7B">
              <w:rPr>
                <w:rFonts w:ascii="Tahoma" w:hAnsi="Tahoma" w:cs="Tahoma"/>
              </w:rPr>
              <w:t xml:space="preserve"> </w:t>
            </w:r>
            <w:r w:rsidRPr="005A07E7">
              <w:rPr>
                <w:rFonts w:ascii="Tahoma" w:hAnsi="Tahoma" w:cs="Tahoma"/>
              </w:rPr>
              <w:t>категории В, а также дополнительно на оплату иных товаров, работ и услуг по выбору Заёмщика</w:t>
            </w:r>
          </w:p>
        </w:tc>
      </w:tr>
      <w:tr w:rsidR="009D1253" w:rsidRPr="005A07E7" w14:paraId="6E1C5CB3" w14:textId="77777777" w:rsidTr="009D1253">
        <w:trPr>
          <w:trHeight w:val="455"/>
        </w:trPr>
        <w:tc>
          <w:tcPr>
            <w:tcW w:w="1475" w:type="pct"/>
            <w:vAlign w:val="center"/>
          </w:tcPr>
          <w:p w14:paraId="09F3D205"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Подразделения сети/точки продаж, реализующие кредитный продукт</w:t>
            </w:r>
          </w:p>
        </w:tc>
        <w:tc>
          <w:tcPr>
            <w:tcW w:w="3525" w:type="pct"/>
            <w:vAlign w:val="center"/>
          </w:tcPr>
          <w:p w14:paraId="69CCBA84" w14:textId="77777777" w:rsidR="009D1253" w:rsidRPr="005A07E7" w:rsidRDefault="009D1253" w:rsidP="009D1253">
            <w:pPr>
              <w:pStyle w:val="a9"/>
              <w:tabs>
                <w:tab w:val="left" w:pos="-284"/>
                <w:tab w:val="left" w:pos="851"/>
              </w:tabs>
              <w:spacing w:before="0" w:after="0"/>
              <w:jc w:val="center"/>
              <w:rPr>
                <w:rFonts w:ascii="Tahoma" w:hAnsi="Tahoma" w:cs="Tahoma"/>
              </w:rPr>
            </w:pPr>
            <w:r w:rsidRPr="005A07E7">
              <w:rPr>
                <w:rFonts w:ascii="Tahoma" w:hAnsi="Tahoma" w:cs="Tahoma"/>
              </w:rPr>
              <w:t>Все подразделения Банка</w:t>
            </w:r>
          </w:p>
        </w:tc>
      </w:tr>
      <w:tr w:rsidR="009D1253" w:rsidRPr="005A07E7" w14:paraId="4244E547" w14:textId="77777777" w:rsidTr="009D1253">
        <w:trPr>
          <w:trHeight w:val="455"/>
        </w:trPr>
        <w:tc>
          <w:tcPr>
            <w:tcW w:w="1475" w:type="pct"/>
            <w:vAlign w:val="center"/>
          </w:tcPr>
          <w:p w14:paraId="511D3DCE" w14:textId="77777777" w:rsidR="009D1253" w:rsidRPr="005A07E7" w:rsidRDefault="009D1253" w:rsidP="009D1253">
            <w:pPr>
              <w:rPr>
                <w:rFonts w:ascii="Tahoma" w:hAnsi="Tahoma" w:cs="Tahoma"/>
                <w:b/>
                <w:bCs/>
                <w:sz w:val="20"/>
                <w:szCs w:val="20"/>
              </w:rPr>
            </w:pPr>
            <w:r w:rsidRPr="005A07E7">
              <w:rPr>
                <w:rFonts w:ascii="Tahoma" w:hAnsi="Tahoma" w:cs="Tahoma"/>
                <w:b/>
                <w:bCs/>
                <w:sz w:val="20"/>
                <w:szCs w:val="20"/>
              </w:rPr>
              <w:t>Валюта, в которой предоставляется Кредит</w:t>
            </w:r>
          </w:p>
        </w:tc>
        <w:tc>
          <w:tcPr>
            <w:tcW w:w="3525" w:type="pct"/>
            <w:vAlign w:val="center"/>
          </w:tcPr>
          <w:p w14:paraId="69D8EE8F" w14:textId="77777777" w:rsidR="009D1253" w:rsidRPr="005A07E7" w:rsidRDefault="009D1253" w:rsidP="009D1253">
            <w:pPr>
              <w:pStyle w:val="a9"/>
              <w:tabs>
                <w:tab w:val="left" w:pos="-284"/>
                <w:tab w:val="left" w:pos="851"/>
              </w:tabs>
              <w:spacing w:before="0" w:after="0"/>
              <w:ind w:right="849"/>
              <w:jc w:val="center"/>
              <w:rPr>
                <w:rFonts w:ascii="Tahoma" w:hAnsi="Tahoma" w:cs="Tahoma"/>
              </w:rPr>
            </w:pPr>
            <w:r w:rsidRPr="005A07E7">
              <w:rPr>
                <w:rFonts w:ascii="Tahoma" w:hAnsi="Tahoma" w:cs="Tahoma"/>
                <w:color w:val="000000"/>
              </w:rPr>
              <w:t>Рубл</w:t>
            </w:r>
            <w:r>
              <w:rPr>
                <w:rFonts w:ascii="Tahoma" w:hAnsi="Tahoma" w:cs="Tahoma"/>
                <w:color w:val="000000"/>
              </w:rPr>
              <w:t>ь</w:t>
            </w:r>
            <w:r w:rsidRPr="005A07E7">
              <w:rPr>
                <w:rFonts w:ascii="Tahoma" w:hAnsi="Tahoma" w:cs="Tahoma"/>
                <w:color w:val="000000"/>
              </w:rPr>
              <w:t xml:space="preserve"> Российской Федерации (далее - рубл</w:t>
            </w:r>
            <w:r>
              <w:rPr>
                <w:rFonts w:ascii="Tahoma" w:hAnsi="Tahoma" w:cs="Tahoma"/>
                <w:color w:val="000000"/>
              </w:rPr>
              <w:t>ь</w:t>
            </w:r>
            <w:r w:rsidRPr="005A07E7">
              <w:rPr>
                <w:rFonts w:ascii="Tahoma" w:hAnsi="Tahoma" w:cs="Tahoma"/>
                <w:color w:val="000000"/>
              </w:rPr>
              <w:t>)</w:t>
            </w:r>
          </w:p>
        </w:tc>
      </w:tr>
      <w:tr w:rsidR="009D1253" w:rsidRPr="005A07E7" w14:paraId="0561DB68" w14:textId="77777777" w:rsidTr="009D1253">
        <w:trPr>
          <w:trHeight w:val="455"/>
        </w:trPr>
        <w:tc>
          <w:tcPr>
            <w:tcW w:w="1475" w:type="pct"/>
            <w:shd w:val="clear" w:color="auto" w:fill="auto"/>
            <w:vAlign w:val="center"/>
          </w:tcPr>
          <w:p w14:paraId="681C9BE6" w14:textId="77777777" w:rsidR="009D1253" w:rsidRPr="005A07E7" w:rsidRDefault="009D1253" w:rsidP="009D1253">
            <w:pPr>
              <w:rPr>
                <w:rFonts w:ascii="Tahoma" w:hAnsi="Tahoma" w:cs="Tahoma"/>
                <w:b/>
                <w:bCs/>
                <w:sz w:val="20"/>
                <w:szCs w:val="20"/>
              </w:rPr>
            </w:pPr>
            <w:r w:rsidRPr="005A07E7">
              <w:rPr>
                <w:rFonts w:ascii="Tahoma" w:hAnsi="Tahoma" w:cs="Tahoma"/>
                <w:b/>
                <w:sz w:val="20"/>
                <w:szCs w:val="20"/>
              </w:rPr>
              <w:t>Минимальная сумма Кредита</w:t>
            </w:r>
          </w:p>
        </w:tc>
        <w:tc>
          <w:tcPr>
            <w:tcW w:w="3525" w:type="pct"/>
            <w:shd w:val="clear" w:color="auto" w:fill="auto"/>
            <w:vAlign w:val="center"/>
          </w:tcPr>
          <w:p w14:paraId="2C95AEDB" w14:textId="77777777" w:rsidR="009D1253" w:rsidRPr="005A07E7" w:rsidRDefault="009D1253" w:rsidP="009D1253">
            <w:pPr>
              <w:pStyle w:val="a9"/>
              <w:tabs>
                <w:tab w:val="left" w:pos="-284"/>
                <w:tab w:val="left" w:pos="851"/>
              </w:tabs>
              <w:spacing w:before="0" w:after="0"/>
              <w:ind w:right="849"/>
              <w:jc w:val="center"/>
              <w:rPr>
                <w:rFonts w:ascii="Tahoma" w:hAnsi="Tahoma" w:cs="Tahoma"/>
                <w:color w:val="000000"/>
              </w:rPr>
            </w:pPr>
            <w:r w:rsidRPr="005A07E7">
              <w:rPr>
                <w:rFonts w:ascii="Tahoma" w:hAnsi="Tahoma" w:cs="Tahoma"/>
                <w:color w:val="000000"/>
              </w:rPr>
              <w:t>200 000 рублей</w:t>
            </w:r>
          </w:p>
        </w:tc>
      </w:tr>
      <w:tr w:rsidR="009D1253" w:rsidRPr="005A07E7" w14:paraId="7067425E" w14:textId="77777777" w:rsidTr="009D1253">
        <w:trPr>
          <w:trHeight w:val="363"/>
        </w:trPr>
        <w:tc>
          <w:tcPr>
            <w:tcW w:w="1475" w:type="pct"/>
            <w:shd w:val="clear" w:color="auto" w:fill="auto"/>
            <w:vAlign w:val="center"/>
          </w:tcPr>
          <w:p w14:paraId="162AE213"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Максимальная сумма Кредита</w:t>
            </w:r>
          </w:p>
        </w:tc>
        <w:tc>
          <w:tcPr>
            <w:tcW w:w="3525" w:type="pct"/>
            <w:shd w:val="clear" w:color="auto" w:fill="auto"/>
            <w:vAlign w:val="center"/>
          </w:tcPr>
          <w:p w14:paraId="062FBCB6" w14:textId="77777777" w:rsidR="009D1253" w:rsidRPr="005A07E7" w:rsidRDefault="009D1253" w:rsidP="009D1253">
            <w:pPr>
              <w:pStyle w:val="a9"/>
              <w:tabs>
                <w:tab w:val="left" w:pos="-284"/>
                <w:tab w:val="left" w:pos="851"/>
              </w:tabs>
              <w:spacing w:before="0" w:after="0"/>
              <w:ind w:right="849"/>
              <w:jc w:val="center"/>
              <w:rPr>
                <w:rFonts w:ascii="Tahoma" w:hAnsi="Tahoma" w:cs="Tahoma"/>
                <w:color w:val="000000"/>
              </w:rPr>
            </w:pPr>
            <w:r>
              <w:rPr>
                <w:rFonts w:ascii="Tahoma" w:hAnsi="Tahoma" w:cs="Tahoma"/>
                <w:color w:val="000000"/>
              </w:rPr>
              <w:t>5</w:t>
            </w:r>
            <w:r w:rsidRPr="005A07E7">
              <w:rPr>
                <w:rFonts w:ascii="Tahoma" w:hAnsi="Tahoma" w:cs="Tahoma"/>
                <w:color w:val="000000"/>
              </w:rPr>
              <w:t xml:space="preserve"> </w:t>
            </w:r>
            <w:r>
              <w:rPr>
                <w:rFonts w:ascii="Tahoma" w:hAnsi="Tahoma" w:cs="Tahoma"/>
                <w:color w:val="000000"/>
              </w:rPr>
              <w:t>0</w:t>
            </w:r>
            <w:r w:rsidRPr="005A07E7">
              <w:rPr>
                <w:rFonts w:ascii="Tahoma" w:hAnsi="Tahoma" w:cs="Tahoma"/>
                <w:color w:val="000000"/>
              </w:rPr>
              <w:t>00 000 рублей</w:t>
            </w:r>
          </w:p>
        </w:tc>
      </w:tr>
      <w:tr w:rsidR="009D1253" w:rsidRPr="005A07E7" w14:paraId="01E684D2" w14:textId="77777777" w:rsidTr="009D1253">
        <w:trPr>
          <w:trHeight w:val="463"/>
        </w:trPr>
        <w:tc>
          <w:tcPr>
            <w:tcW w:w="1475" w:type="pct"/>
            <w:shd w:val="clear" w:color="auto" w:fill="auto"/>
            <w:vAlign w:val="center"/>
          </w:tcPr>
          <w:p w14:paraId="446A0F74"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 xml:space="preserve">Размер первоначального взноса (ПВ), </w:t>
            </w:r>
          </w:p>
          <w:p w14:paraId="33DF9FFF"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в % от стоимости ТС</w:t>
            </w:r>
          </w:p>
        </w:tc>
        <w:tc>
          <w:tcPr>
            <w:tcW w:w="3525" w:type="pct"/>
            <w:shd w:val="clear" w:color="auto" w:fill="auto"/>
            <w:vAlign w:val="center"/>
          </w:tcPr>
          <w:p w14:paraId="2509BEB9" w14:textId="77777777" w:rsidR="009D1253" w:rsidRPr="005A07E7" w:rsidRDefault="009D1253" w:rsidP="009D1253">
            <w:pPr>
              <w:pStyle w:val="a9"/>
              <w:tabs>
                <w:tab w:val="left" w:pos="-284"/>
                <w:tab w:val="left" w:pos="851"/>
              </w:tabs>
              <w:spacing w:before="0" w:after="0"/>
              <w:ind w:right="849"/>
              <w:jc w:val="center"/>
              <w:rPr>
                <w:rFonts w:ascii="Tahoma" w:hAnsi="Tahoma" w:cs="Tahoma"/>
                <w:color w:val="000000"/>
              </w:rPr>
            </w:pPr>
            <w:r w:rsidRPr="005A07E7">
              <w:rPr>
                <w:rFonts w:ascii="Tahoma" w:hAnsi="Tahoma" w:cs="Tahoma"/>
                <w:color w:val="000000"/>
              </w:rPr>
              <w:t>от 0%</w:t>
            </w:r>
          </w:p>
        </w:tc>
      </w:tr>
      <w:tr w:rsidR="009D1253" w:rsidRPr="005A07E7" w14:paraId="41A71915" w14:textId="77777777" w:rsidTr="009D1253">
        <w:trPr>
          <w:trHeight w:val="408"/>
        </w:trPr>
        <w:tc>
          <w:tcPr>
            <w:tcW w:w="1475" w:type="pct"/>
            <w:shd w:val="clear" w:color="auto" w:fill="auto"/>
            <w:vAlign w:val="center"/>
          </w:tcPr>
          <w:p w14:paraId="038215F4"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lastRenderedPageBreak/>
              <w:t>Диапазон сроков возврата Кредита</w:t>
            </w:r>
          </w:p>
        </w:tc>
        <w:tc>
          <w:tcPr>
            <w:tcW w:w="3525" w:type="pct"/>
            <w:shd w:val="clear" w:color="auto" w:fill="auto"/>
            <w:vAlign w:val="center"/>
          </w:tcPr>
          <w:p w14:paraId="3090E4D2" w14:textId="77777777" w:rsidR="009D1253" w:rsidRPr="005A07E7" w:rsidRDefault="009D1253" w:rsidP="009D1253">
            <w:pPr>
              <w:tabs>
                <w:tab w:val="left" w:pos="851"/>
              </w:tabs>
              <w:jc w:val="center"/>
              <w:rPr>
                <w:rFonts w:ascii="Tahoma" w:hAnsi="Tahoma" w:cs="Tahoma"/>
                <w:sz w:val="20"/>
                <w:szCs w:val="20"/>
              </w:rPr>
            </w:pPr>
            <w:r w:rsidRPr="005A07E7">
              <w:rPr>
                <w:rFonts w:ascii="Tahoma" w:hAnsi="Tahoma" w:cs="Tahoma"/>
                <w:sz w:val="20"/>
                <w:szCs w:val="20"/>
              </w:rPr>
              <w:t xml:space="preserve">от </w:t>
            </w:r>
            <w:r>
              <w:rPr>
                <w:rFonts w:ascii="Tahoma" w:hAnsi="Tahoma" w:cs="Tahoma"/>
                <w:sz w:val="20"/>
                <w:szCs w:val="20"/>
              </w:rPr>
              <w:t>13</w:t>
            </w:r>
            <w:r w:rsidRPr="005A07E7">
              <w:rPr>
                <w:rFonts w:ascii="Tahoma" w:hAnsi="Tahoma" w:cs="Tahoma"/>
                <w:sz w:val="20"/>
                <w:szCs w:val="20"/>
              </w:rPr>
              <w:t xml:space="preserve"> (</w:t>
            </w:r>
            <w:r>
              <w:rPr>
                <w:rFonts w:ascii="Tahoma" w:hAnsi="Tahoma" w:cs="Tahoma"/>
                <w:sz w:val="20"/>
                <w:szCs w:val="20"/>
              </w:rPr>
              <w:t>тринадцати</w:t>
            </w:r>
            <w:r w:rsidRPr="005A07E7">
              <w:rPr>
                <w:rFonts w:ascii="Tahoma" w:hAnsi="Tahoma" w:cs="Tahoma"/>
                <w:sz w:val="20"/>
                <w:szCs w:val="20"/>
              </w:rPr>
              <w:t xml:space="preserve">) до </w:t>
            </w:r>
            <w:r>
              <w:rPr>
                <w:rFonts w:ascii="Tahoma" w:hAnsi="Tahoma" w:cs="Tahoma"/>
                <w:sz w:val="20"/>
                <w:szCs w:val="20"/>
              </w:rPr>
              <w:t>84</w:t>
            </w:r>
            <w:r w:rsidRPr="005A07E7">
              <w:rPr>
                <w:rFonts w:ascii="Tahoma" w:hAnsi="Tahoma" w:cs="Tahoma"/>
                <w:sz w:val="20"/>
                <w:szCs w:val="20"/>
              </w:rPr>
              <w:t xml:space="preserve"> (</w:t>
            </w:r>
            <w:r>
              <w:rPr>
                <w:rFonts w:ascii="Tahoma" w:hAnsi="Tahoma" w:cs="Tahoma"/>
                <w:sz w:val="20"/>
                <w:szCs w:val="20"/>
              </w:rPr>
              <w:t>восьмидесяти четырех</w:t>
            </w:r>
            <w:r w:rsidRPr="005A07E7">
              <w:rPr>
                <w:rFonts w:ascii="Tahoma" w:hAnsi="Tahoma" w:cs="Tahoma"/>
                <w:sz w:val="20"/>
                <w:szCs w:val="20"/>
              </w:rPr>
              <w:t>) месяцев с шагом в 1 (один) год</w:t>
            </w:r>
            <w:r>
              <w:rPr>
                <w:rFonts w:ascii="Tahoma" w:hAnsi="Tahoma" w:cs="Tahoma"/>
                <w:sz w:val="20"/>
                <w:szCs w:val="20"/>
              </w:rPr>
              <w:t xml:space="preserve"> за исключением 13 </w:t>
            </w:r>
            <w:r w:rsidRPr="005A07E7">
              <w:rPr>
                <w:rFonts w:ascii="Tahoma" w:hAnsi="Tahoma" w:cs="Tahoma"/>
                <w:sz w:val="20"/>
                <w:szCs w:val="20"/>
              </w:rPr>
              <w:t>(</w:t>
            </w:r>
            <w:r>
              <w:rPr>
                <w:rFonts w:ascii="Tahoma" w:hAnsi="Tahoma" w:cs="Tahoma"/>
                <w:sz w:val="20"/>
                <w:szCs w:val="20"/>
              </w:rPr>
              <w:t>тринадцати</w:t>
            </w:r>
            <w:r w:rsidRPr="005A07E7">
              <w:rPr>
                <w:rFonts w:ascii="Tahoma" w:hAnsi="Tahoma" w:cs="Tahoma"/>
                <w:sz w:val="20"/>
                <w:szCs w:val="20"/>
              </w:rPr>
              <w:t xml:space="preserve">) </w:t>
            </w:r>
            <w:r>
              <w:rPr>
                <w:rFonts w:ascii="Tahoma" w:hAnsi="Tahoma" w:cs="Tahoma"/>
                <w:sz w:val="20"/>
                <w:szCs w:val="20"/>
              </w:rPr>
              <w:t xml:space="preserve"> месяцев</w:t>
            </w:r>
          </w:p>
        </w:tc>
      </w:tr>
      <w:tr w:rsidR="009D1253" w:rsidRPr="005A07E7" w14:paraId="3868F9A3" w14:textId="77777777" w:rsidTr="009D1253">
        <w:trPr>
          <w:trHeight w:val="408"/>
        </w:trPr>
        <w:tc>
          <w:tcPr>
            <w:tcW w:w="1475" w:type="pct"/>
            <w:shd w:val="clear" w:color="auto" w:fill="auto"/>
            <w:vAlign w:val="center"/>
          </w:tcPr>
          <w:p w14:paraId="427A0C30" w14:textId="77777777" w:rsidR="009D1253" w:rsidRPr="005A07E7" w:rsidRDefault="009D1253" w:rsidP="009D1253">
            <w:pPr>
              <w:rPr>
                <w:rFonts w:ascii="Tahoma" w:hAnsi="Tahoma" w:cs="Tahoma"/>
                <w:b/>
                <w:sz w:val="20"/>
                <w:szCs w:val="20"/>
              </w:rPr>
            </w:pPr>
            <w:r w:rsidRPr="00D10F7B">
              <w:rPr>
                <w:rFonts w:ascii="Tahoma" w:hAnsi="Tahoma" w:cs="Tahoma"/>
                <w:b/>
                <w:sz w:val="20"/>
                <w:szCs w:val="20"/>
              </w:rPr>
              <w:t>Процентная ставка (в процентах годовых)</w:t>
            </w:r>
          </w:p>
        </w:tc>
        <w:tc>
          <w:tcPr>
            <w:tcW w:w="3525" w:type="pct"/>
            <w:shd w:val="clear" w:color="auto" w:fill="auto"/>
            <w:vAlign w:val="center"/>
          </w:tcPr>
          <w:tbl>
            <w:tblPr>
              <w:tblpPr w:leftFromText="180" w:rightFromText="180" w:horzAnchor="margin" w:tblpY="285"/>
              <w:tblOverlap w:val="never"/>
              <w:tblW w:w="9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5"/>
              <w:gridCol w:w="1107"/>
              <w:gridCol w:w="1107"/>
              <w:gridCol w:w="1107"/>
              <w:gridCol w:w="1107"/>
              <w:gridCol w:w="1107"/>
              <w:gridCol w:w="1107"/>
              <w:gridCol w:w="1116"/>
            </w:tblGrid>
            <w:tr w:rsidR="009D1253" w:rsidRPr="00D10F7B" w14:paraId="2CEFF21C" w14:textId="77777777" w:rsidTr="009D1253">
              <w:trPr>
                <w:trHeight w:val="182"/>
              </w:trPr>
              <w:tc>
                <w:tcPr>
                  <w:tcW w:w="9933" w:type="dxa"/>
                  <w:gridSpan w:val="8"/>
                </w:tcPr>
                <w:p w14:paraId="5F326F98" w14:textId="77777777" w:rsidR="009D1253" w:rsidRPr="00D10F7B" w:rsidRDefault="009D1253" w:rsidP="009D1253">
                  <w:pPr>
                    <w:jc w:val="center"/>
                    <w:rPr>
                      <w:rFonts w:ascii="Tahoma" w:hAnsi="Tahoma" w:cs="Tahoma"/>
                      <w:sz w:val="20"/>
                      <w:szCs w:val="20"/>
                    </w:rPr>
                  </w:pPr>
                  <w:r w:rsidRPr="00D10F7B">
                    <w:rPr>
                      <w:rFonts w:ascii="Tahoma" w:hAnsi="Tahoma" w:cs="Tahoma"/>
                      <w:sz w:val="20"/>
                      <w:szCs w:val="20"/>
                    </w:rPr>
                    <w:t>Хонда_Промо</w:t>
                  </w:r>
                </w:p>
              </w:tc>
            </w:tr>
            <w:tr w:rsidR="009D1253" w:rsidRPr="00D10F7B" w14:paraId="63902986" w14:textId="77777777" w:rsidTr="009D1253">
              <w:trPr>
                <w:trHeight w:val="303"/>
              </w:trPr>
              <w:tc>
                <w:tcPr>
                  <w:tcW w:w="2175"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0C27F87D" w14:textId="77777777" w:rsidR="009D1253" w:rsidRPr="00D10F7B" w:rsidRDefault="009D1253" w:rsidP="009D1253">
                  <w:pPr>
                    <w:jc w:val="right"/>
                    <w:rPr>
                      <w:rFonts w:ascii="Tahoma" w:hAnsi="Tahoma" w:cs="Tahoma"/>
                      <w:sz w:val="20"/>
                      <w:szCs w:val="20"/>
                    </w:rPr>
                  </w:pPr>
                  <w:r w:rsidRPr="00D10F7B">
                    <w:rPr>
                      <w:rFonts w:ascii="Tahoma" w:hAnsi="Tahoma" w:cs="Tahoma"/>
                      <w:sz w:val="20"/>
                      <w:szCs w:val="20"/>
                    </w:rPr>
                    <w:t>Первоначальный взнос\Срок</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4747E7E" w14:textId="77777777" w:rsidR="009D1253" w:rsidRPr="00D10F7B" w:rsidRDefault="009D1253" w:rsidP="009D1253">
                  <w:pPr>
                    <w:jc w:val="right"/>
                    <w:rPr>
                      <w:rFonts w:ascii="Tahoma" w:hAnsi="Tahoma" w:cs="Tahoma"/>
                      <w:sz w:val="20"/>
                      <w:szCs w:val="20"/>
                    </w:rPr>
                  </w:pPr>
                  <w:r w:rsidRPr="00D10F7B">
                    <w:rPr>
                      <w:rFonts w:ascii="Tahoma" w:hAnsi="Tahoma" w:cs="Tahoma"/>
                      <w:sz w:val="20"/>
                      <w:szCs w:val="20"/>
                    </w:rPr>
                    <w:t>13 мес</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425929F" w14:textId="77777777" w:rsidR="009D1253" w:rsidRPr="00D10F7B" w:rsidRDefault="009D1253" w:rsidP="009D1253">
                  <w:pPr>
                    <w:jc w:val="right"/>
                    <w:rPr>
                      <w:rFonts w:ascii="Tahoma" w:hAnsi="Tahoma" w:cs="Tahoma"/>
                      <w:sz w:val="20"/>
                      <w:szCs w:val="20"/>
                    </w:rPr>
                  </w:pPr>
                  <w:r w:rsidRPr="00D10F7B">
                    <w:rPr>
                      <w:rFonts w:ascii="Tahoma" w:hAnsi="Tahoma" w:cs="Tahoma"/>
                      <w:sz w:val="20"/>
                      <w:szCs w:val="20"/>
                    </w:rPr>
                    <w:t>24 мес</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076B881" w14:textId="77777777" w:rsidR="009D1253" w:rsidRPr="00D10F7B" w:rsidRDefault="009D1253" w:rsidP="009D1253">
                  <w:pPr>
                    <w:jc w:val="right"/>
                    <w:rPr>
                      <w:rFonts w:ascii="Tahoma" w:hAnsi="Tahoma" w:cs="Tahoma"/>
                      <w:sz w:val="20"/>
                      <w:szCs w:val="20"/>
                    </w:rPr>
                  </w:pPr>
                  <w:r w:rsidRPr="00D10F7B">
                    <w:rPr>
                      <w:rFonts w:ascii="Tahoma" w:hAnsi="Tahoma" w:cs="Tahoma"/>
                      <w:sz w:val="20"/>
                      <w:szCs w:val="20"/>
                    </w:rPr>
                    <w:t>36 мес</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590DF12" w14:textId="77777777" w:rsidR="009D1253" w:rsidRPr="00D10F7B" w:rsidRDefault="009D1253" w:rsidP="009D1253">
                  <w:pPr>
                    <w:jc w:val="right"/>
                    <w:rPr>
                      <w:rFonts w:ascii="Tahoma" w:hAnsi="Tahoma" w:cs="Tahoma"/>
                      <w:sz w:val="20"/>
                      <w:szCs w:val="20"/>
                    </w:rPr>
                  </w:pPr>
                  <w:r w:rsidRPr="00D10F7B">
                    <w:rPr>
                      <w:rFonts w:ascii="Tahoma" w:hAnsi="Tahoma" w:cs="Tahoma"/>
                      <w:sz w:val="20"/>
                      <w:szCs w:val="20"/>
                    </w:rPr>
                    <w:t>48 мес</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1CA5D7A" w14:textId="77777777" w:rsidR="009D1253" w:rsidRPr="00D10F7B" w:rsidRDefault="009D1253" w:rsidP="009D1253">
                  <w:pPr>
                    <w:jc w:val="right"/>
                    <w:rPr>
                      <w:rFonts w:ascii="Tahoma" w:hAnsi="Tahoma" w:cs="Tahoma"/>
                      <w:sz w:val="20"/>
                      <w:szCs w:val="20"/>
                    </w:rPr>
                  </w:pPr>
                  <w:r w:rsidRPr="00D10F7B">
                    <w:rPr>
                      <w:rFonts w:ascii="Tahoma" w:hAnsi="Tahoma" w:cs="Tahoma"/>
                      <w:sz w:val="20"/>
                      <w:szCs w:val="20"/>
                    </w:rPr>
                    <w:t>60 мес</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B70E40A" w14:textId="77777777" w:rsidR="009D1253" w:rsidRPr="00D10F7B" w:rsidRDefault="009D1253" w:rsidP="009D1253">
                  <w:pPr>
                    <w:jc w:val="right"/>
                    <w:rPr>
                      <w:rFonts w:ascii="Tahoma" w:hAnsi="Tahoma" w:cs="Tahoma"/>
                      <w:sz w:val="20"/>
                      <w:szCs w:val="20"/>
                    </w:rPr>
                  </w:pPr>
                  <w:r w:rsidRPr="00D10F7B">
                    <w:rPr>
                      <w:rFonts w:ascii="Tahoma" w:hAnsi="Tahoma" w:cs="Tahoma"/>
                      <w:sz w:val="20"/>
                      <w:szCs w:val="20"/>
                    </w:rPr>
                    <w:t>72 мес</w:t>
                  </w:r>
                </w:p>
              </w:tc>
              <w:tc>
                <w:tcPr>
                  <w:tcW w:w="11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4E941DA" w14:textId="77777777" w:rsidR="009D1253" w:rsidRPr="00D10F7B" w:rsidRDefault="009D1253" w:rsidP="009D1253">
                  <w:pPr>
                    <w:jc w:val="center"/>
                    <w:rPr>
                      <w:rFonts w:ascii="Tahoma" w:hAnsi="Tahoma" w:cs="Tahoma"/>
                      <w:sz w:val="20"/>
                      <w:szCs w:val="20"/>
                    </w:rPr>
                  </w:pPr>
                  <w:r w:rsidRPr="00D10F7B">
                    <w:rPr>
                      <w:rFonts w:ascii="Tahoma" w:hAnsi="Tahoma" w:cs="Tahoma"/>
                      <w:sz w:val="20"/>
                      <w:szCs w:val="20"/>
                    </w:rPr>
                    <w:t>84 мес</w:t>
                  </w:r>
                </w:p>
              </w:tc>
            </w:tr>
            <w:tr w:rsidR="009D1253" w:rsidRPr="00D10F7B" w14:paraId="5FB32A9C"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2C95F803" w14:textId="77777777" w:rsidR="009D1253" w:rsidRPr="00D10F7B" w:rsidRDefault="009D1253" w:rsidP="009D1253">
                  <w:pPr>
                    <w:jc w:val="right"/>
                    <w:rPr>
                      <w:rFonts w:ascii="Tahoma" w:hAnsi="Tahoma" w:cs="Tahoma"/>
                      <w:sz w:val="20"/>
                      <w:szCs w:val="20"/>
                    </w:rPr>
                  </w:pPr>
                  <w:r>
                    <w:rPr>
                      <w:rFonts w:ascii="Tahoma" w:hAnsi="Tahoma" w:cs="Tahoma"/>
                      <w:sz w:val="20"/>
                      <w:szCs w:val="20"/>
                    </w:rPr>
                    <w:t xml:space="preserve">от </w:t>
                  </w:r>
                  <w:r w:rsidRPr="00D10F7B">
                    <w:rPr>
                      <w:rFonts w:ascii="Tahoma" w:hAnsi="Tahoma" w:cs="Tahoma"/>
                      <w:sz w:val="20"/>
                      <w:szCs w:val="20"/>
                    </w:rPr>
                    <w:t>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10584803" w14:textId="77777777" w:rsidR="009D1253" w:rsidRPr="002775A2" w:rsidRDefault="009D1253" w:rsidP="009D1253">
                  <w:pPr>
                    <w:jc w:val="right"/>
                    <w:rPr>
                      <w:rFonts w:ascii="Tahoma" w:hAnsi="Tahoma" w:cs="Tahoma"/>
                      <w:sz w:val="20"/>
                      <w:szCs w:val="20"/>
                    </w:rPr>
                  </w:pPr>
                  <w:r>
                    <w:rPr>
                      <w:rFonts w:ascii="Tahoma" w:hAnsi="Tahoma" w:cs="Tahoma"/>
                      <w:sz w:val="20"/>
                      <w:szCs w:val="20"/>
                    </w:rPr>
                    <w:t>18.2</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25CF420E" w14:textId="77777777" w:rsidR="009D1253" w:rsidRPr="002775A2" w:rsidRDefault="009D1253" w:rsidP="009D1253">
                  <w:pPr>
                    <w:jc w:val="right"/>
                    <w:rPr>
                      <w:rFonts w:ascii="Tahoma" w:hAnsi="Tahoma" w:cs="Tahoma"/>
                      <w:sz w:val="20"/>
                      <w:szCs w:val="20"/>
                    </w:rPr>
                  </w:pPr>
                  <w:r>
                    <w:rPr>
                      <w:rFonts w:ascii="Tahoma" w:hAnsi="Tahoma" w:cs="Tahoma"/>
                      <w:sz w:val="20"/>
                      <w:szCs w:val="20"/>
                    </w:rPr>
                    <w:t>18.6</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1B25D7F3" w14:textId="77777777" w:rsidR="009D1253" w:rsidRPr="002775A2" w:rsidRDefault="009D1253" w:rsidP="009D1253">
                  <w:pPr>
                    <w:jc w:val="right"/>
                    <w:rPr>
                      <w:rFonts w:ascii="Tahoma" w:hAnsi="Tahoma" w:cs="Tahoma"/>
                      <w:sz w:val="20"/>
                      <w:szCs w:val="20"/>
                    </w:rPr>
                  </w:pPr>
                  <w:r>
                    <w:rPr>
                      <w:rFonts w:ascii="Tahoma" w:hAnsi="Tahoma" w:cs="Tahoma"/>
                      <w:sz w:val="20"/>
                      <w:szCs w:val="20"/>
                    </w:rPr>
                    <w:t>19.0</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15DA35FC" w14:textId="77777777" w:rsidR="009D1253" w:rsidRPr="002775A2" w:rsidRDefault="009D1253" w:rsidP="009D1253">
                  <w:pPr>
                    <w:jc w:val="right"/>
                    <w:rPr>
                      <w:rFonts w:ascii="Tahoma" w:hAnsi="Tahoma" w:cs="Tahoma"/>
                      <w:sz w:val="20"/>
                      <w:szCs w:val="20"/>
                    </w:rPr>
                  </w:pPr>
                  <w:r>
                    <w:rPr>
                      <w:rFonts w:ascii="Tahoma" w:hAnsi="Tahoma" w:cs="Tahoma"/>
                      <w:sz w:val="20"/>
                      <w:szCs w:val="20"/>
                    </w:rPr>
                    <w:t>19.4</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6F55BA91" w14:textId="77777777" w:rsidR="009D1253" w:rsidRPr="002775A2" w:rsidRDefault="009D1253" w:rsidP="009D1253">
                  <w:pPr>
                    <w:jc w:val="right"/>
                    <w:rPr>
                      <w:rFonts w:ascii="Tahoma" w:hAnsi="Tahoma" w:cs="Tahoma"/>
                      <w:sz w:val="20"/>
                      <w:szCs w:val="20"/>
                    </w:rPr>
                  </w:pPr>
                  <w:r>
                    <w:rPr>
                      <w:rFonts w:ascii="Tahoma" w:hAnsi="Tahoma" w:cs="Tahoma"/>
                      <w:sz w:val="20"/>
                      <w:szCs w:val="20"/>
                    </w:rPr>
                    <w:t>19.9</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46E34B74" w14:textId="77777777" w:rsidR="009D1253" w:rsidRPr="002775A2" w:rsidRDefault="009D1253" w:rsidP="009D1253">
                  <w:pPr>
                    <w:jc w:val="right"/>
                    <w:rPr>
                      <w:rFonts w:ascii="Tahoma" w:hAnsi="Tahoma" w:cs="Tahoma"/>
                      <w:sz w:val="20"/>
                      <w:szCs w:val="20"/>
                    </w:rPr>
                  </w:pPr>
                  <w:r>
                    <w:rPr>
                      <w:rFonts w:ascii="Tahoma" w:hAnsi="Tahoma" w:cs="Tahoma"/>
                      <w:sz w:val="20"/>
                      <w:szCs w:val="20"/>
                    </w:rPr>
                    <w:t>20.6</w:t>
                  </w:r>
                  <w:r w:rsidRPr="002775A2">
                    <w:rPr>
                      <w:rFonts w:ascii="Tahoma" w:hAnsi="Tahoma" w:cs="Tahoma"/>
                      <w:sz w:val="20"/>
                      <w:szCs w:val="20"/>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18D287DF" w14:textId="77777777" w:rsidR="009D1253" w:rsidRPr="002775A2" w:rsidRDefault="009D1253" w:rsidP="009D1253">
                  <w:pPr>
                    <w:jc w:val="right"/>
                    <w:rPr>
                      <w:rFonts w:ascii="Tahoma" w:hAnsi="Tahoma" w:cs="Tahoma"/>
                      <w:sz w:val="20"/>
                      <w:szCs w:val="20"/>
                    </w:rPr>
                  </w:pPr>
                  <w:r>
                    <w:rPr>
                      <w:rFonts w:ascii="Tahoma" w:hAnsi="Tahoma" w:cs="Tahoma"/>
                      <w:sz w:val="20"/>
                      <w:szCs w:val="20"/>
                    </w:rPr>
                    <w:t>20.9</w:t>
                  </w:r>
                  <w:r w:rsidRPr="002775A2">
                    <w:rPr>
                      <w:rFonts w:ascii="Tahoma" w:hAnsi="Tahoma" w:cs="Tahoma"/>
                      <w:sz w:val="20"/>
                      <w:szCs w:val="20"/>
                    </w:rPr>
                    <w:t>%</w:t>
                  </w:r>
                </w:p>
              </w:tc>
            </w:tr>
            <w:tr w:rsidR="009D1253" w:rsidRPr="00D10F7B" w14:paraId="2B805874"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77769024" w14:textId="77777777" w:rsidR="009D1253" w:rsidRPr="00D10F7B" w:rsidRDefault="009D1253" w:rsidP="009D1253">
                  <w:pPr>
                    <w:jc w:val="right"/>
                    <w:rPr>
                      <w:rFonts w:ascii="Tahoma" w:hAnsi="Tahoma" w:cs="Tahoma"/>
                      <w:sz w:val="20"/>
                      <w:szCs w:val="20"/>
                    </w:rPr>
                  </w:pPr>
                  <w:r>
                    <w:rPr>
                      <w:rFonts w:ascii="Tahoma" w:hAnsi="Tahoma" w:cs="Tahoma"/>
                      <w:sz w:val="20"/>
                      <w:szCs w:val="20"/>
                    </w:rPr>
                    <w:t xml:space="preserve">от </w:t>
                  </w:r>
                  <w:r w:rsidRPr="00D10F7B">
                    <w:rPr>
                      <w:rFonts w:ascii="Tahoma" w:hAnsi="Tahoma" w:cs="Tahoma"/>
                      <w:sz w:val="20"/>
                      <w:szCs w:val="20"/>
                    </w:rPr>
                    <w:t>10%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1A849D62" w14:textId="77777777" w:rsidR="009D1253" w:rsidRPr="002775A2" w:rsidRDefault="009D1253" w:rsidP="009D1253">
                  <w:pPr>
                    <w:jc w:val="right"/>
                    <w:rPr>
                      <w:rFonts w:ascii="Tahoma" w:hAnsi="Tahoma" w:cs="Tahoma"/>
                      <w:sz w:val="20"/>
                      <w:szCs w:val="20"/>
                    </w:rPr>
                  </w:pPr>
                  <w:r>
                    <w:rPr>
                      <w:rFonts w:ascii="Tahoma" w:hAnsi="Tahoma" w:cs="Tahoma"/>
                      <w:sz w:val="20"/>
                      <w:szCs w:val="20"/>
                    </w:rPr>
                    <w:t>14.6</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6C966615" w14:textId="77777777" w:rsidR="009D1253" w:rsidRPr="002775A2" w:rsidRDefault="009D1253" w:rsidP="009D1253">
                  <w:pPr>
                    <w:jc w:val="right"/>
                    <w:rPr>
                      <w:rFonts w:ascii="Tahoma" w:hAnsi="Tahoma" w:cs="Tahoma"/>
                      <w:sz w:val="20"/>
                      <w:szCs w:val="20"/>
                    </w:rPr>
                  </w:pPr>
                  <w:r>
                    <w:rPr>
                      <w:rFonts w:ascii="Tahoma" w:hAnsi="Tahoma" w:cs="Tahoma"/>
                      <w:sz w:val="20"/>
                      <w:szCs w:val="20"/>
                    </w:rPr>
                    <w:t>17.6</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60D71748" w14:textId="77777777" w:rsidR="009D1253" w:rsidRPr="002775A2" w:rsidRDefault="009D1253" w:rsidP="009D1253">
                  <w:pPr>
                    <w:jc w:val="right"/>
                    <w:rPr>
                      <w:rFonts w:ascii="Tahoma" w:hAnsi="Tahoma" w:cs="Tahoma"/>
                      <w:sz w:val="20"/>
                      <w:szCs w:val="20"/>
                    </w:rPr>
                  </w:pPr>
                  <w:r>
                    <w:rPr>
                      <w:rFonts w:ascii="Tahoma" w:hAnsi="Tahoma" w:cs="Tahoma"/>
                      <w:sz w:val="20"/>
                      <w:szCs w:val="20"/>
                    </w:rPr>
                    <w:t>18.4</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36A5157A" w14:textId="77777777" w:rsidR="009D1253" w:rsidRPr="002775A2" w:rsidRDefault="009D1253" w:rsidP="009D1253">
                  <w:pPr>
                    <w:jc w:val="right"/>
                    <w:rPr>
                      <w:rFonts w:ascii="Tahoma" w:hAnsi="Tahoma" w:cs="Tahoma"/>
                      <w:sz w:val="20"/>
                      <w:szCs w:val="20"/>
                    </w:rPr>
                  </w:pPr>
                  <w:r>
                    <w:rPr>
                      <w:rFonts w:ascii="Tahoma" w:hAnsi="Tahoma" w:cs="Tahoma"/>
                      <w:sz w:val="20"/>
                      <w:szCs w:val="20"/>
                    </w:rPr>
                    <w:t>18.4</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7635A782" w14:textId="77777777" w:rsidR="009D1253" w:rsidRPr="002775A2" w:rsidRDefault="009D1253" w:rsidP="009D1253">
                  <w:pPr>
                    <w:jc w:val="right"/>
                    <w:rPr>
                      <w:rFonts w:ascii="Tahoma" w:hAnsi="Tahoma" w:cs="Tahoma"/>
                      <w:sz w:val="20"/>
                      <w:szCs w:val="20"/>
                    </w:rPr>
                  </w:pPr>
                  <w:r>
                    <w:rPr>
                      <w:rFonts w:ascii="Tahoma" w:hAnsi="Tahoma" w:cs="Tahoma"/>
                      <w:sz w:val="20"/>
                      <w:szCs w:val="20"/>
                    </w:rPr>
                    <w:t>19.4</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03681D4B" w14:textId="77777777" w:rsidR="009D1253" w:rsidRPr="002775A2" w:rsidRDefault="009D1253" w:rsidP="009D1253">
                  <w:pPr>
                    <w:jc w:val="right"/>
                    <w:rPr>
                      <w:rFonts w:ascii="Tahoma" w:hAnsi="Tahoma" w:cs="Tahoma"/>
                      <w:sz w:val="20"/>
                      <w:szCs w:val="20"/>
                    </w:rPr>
                  </w:pPr>
                  <w:r>
                    <w:rPr>
                      <w:rFonts w:ascii="Tahoma" w:hAnsi="Tahoma" w:cs="Tahoma"/>
                      <w:sz w:val="20"/>
                      <w:szCs w:val="20"/>
                    </w:rPr>
                    <w:t>19.9</w:t>
                  </w:r>
                  <w:r w:rsidRPr="002775A2">
                    <w:rPr>
                      <w:rFonts w:ascii="Tahoma" w:hAnsi="Tahoma" w:cs="Tahoma"/>
                      <w:sz w:val="20"/>
                      <w:szCs w:val="20"/>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4C386B7C" w14:textId="77777777" w:rsidR="009D1253" w:rsidRPr="002775A2" w:rsidRDefault="009D1253" w:rsidP="009D1253">
                  <w:pPr>
                    <w:jc w:val="right"/>
                    <w:rPr>
                      <w:rFonts w:ascii="Tahoma" w:hAnsi="Tahoma" w:cs="Tahoma"/>
                      <w:sz w:val="20"/>
                      <w:szCs w:val="20"/>
                    </w:rPr>
                  </w:pPr>
                  <w:r>
                    <w:rPr>
                      <w:rFonts w:ascii="Tahoma" w:hAnsi="Tahoma" w:cs="Tahoma"/>
                      <w:sz w:val="20"/>
                      <w:szCs w:val="20"/>
                    </w:rPr>
                    <w:t>20.6</w:t>
                  </w:r>
                  <w:r w:rsidRPr="002775A2">
                    <w:rPr>
                      <w:rFonts w:ascii="Tahoma" w:hAnsi="Tahoma" w:cs="Tahoma"/>
                      <w:sz w:val="20"/>
                      <w:szCs w:val="20"/>
                    </w:rPr>
                    <w:t>%</w:t>
                  </w:r>
                </w:p>
              </w:tc>
            </w:tr>
            <w:tr w:rsidR="009D1253" w:rsidRPr="00D10F7B" w14:paraId="66A386C3"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75CE1CE6" w14:textId="77777777" w:rsidR="009D1253" w:rsidRPr="00D10F7B" w:rsidRDefault="009D1253" w:rsidP="009D1253">
                  <w:pPr>
                    <w:jc w:val="right"/>
                    <w:rPr>
                      <w:rFonts w:ascii="Tahoma" w:hAnsi="Tahoma" w:cs="Tahoma"/>
                      <w:sz w:val="20"/>
                      <w:szCs w:val="20"/>
                    </w:rPr>
                  </w:pPr>
                  <w:r>
                    <w:rPr>
                      <w:rFonts w:ascii="Tahoma" w:hAnsi="Tahoma" w:cs="Tahoma"/>
                      <w:sz w:val="20"/>
                      <w:szCs w:val="20"/>
                    </w:rPr>
                    <w:t xml:space="preserve">от </w:t>
                  </w:r>
                  <w:r w:rsidRPr="00D10F7B">
                    <w:rPr>
                      <w:rFonts w:ascii="Tahoma" w:hAnsi="Tahoma" w:cs="Tahoma"/>
                      <w:sz w:val="20"/>
                      <w:szCs w:val="20"/>
                    </w:rPr>
                    <w:t>20%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F379DAF" w14:textId="77777777" w:rsidR="009D1253" w:rsidRPr="002775A2" w:rsidRDefault="009D1253" w:rsidP="009D1253">
                  <w:pPr>
                    <w:jc w:val="right"/>
                    <w:rPr>
                      <w:rFonts w:ascii="Tahoma" w:hAnsi="Tahoma" w:cs="Tahoma"/>
                      <w:sz w:val="20"/>
                      <w:szCs w:val="20"/>
                    </w:rPr>
                  </w:pPr>
                  <w:r>
                    <w:rPr>
                      <w:rFonts w:ascii="Tahoma" w:hAnsi="Tahoma" w:cs="Tahoma"/>
                      <w:sz w:val="20"/>
                      <w:szCs w:val="20"/>
                    </w:rPr>
                    <w:t>13.4</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13A945C7" w14:textId="77777777" w:rsidR="009D1253" w:rsidRPr="002775A2" w:rsidRDefault="009D1253" w:rsidP="009D1253">
                  <w:pPr>
                    <w:jc w:val="right"/>
                    <w:rPr>
                      <w:rFonts w:ascii="Tahoma" w:hAnsi="Tahoma" w:cs="Tahoma"/>
                      <w:sz w:val="20"/>
                      <w:szCs w:val="20"/>
                    </w:rPr>
                  </w:pPr>
                  <w:r>
                    <w:rPr>
                      <w:rFonts w:ascii="Tahoma" w:hAnsi="Tahoma" w:cs="Tahoma"/>
                      <w:sz w:val="20"/>
                      <w:szCs w:val="20"/>
                    </w:rPr>
                    <w:t>16.6</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5FE698DD" w14:textId="77777777" w:rsidR="009D1253" w:rsidRPr="002775A2" w:rsidRDefault="009D1253" w:rsidP="009D1253">
                  <w:pPr>
                    <w:jc w:val="right"/>
                    <w:rPr>
                      <w:rFonts w:ascii="Tahoma" w:hAnsi="Tahoma" w:cs="Tahoma"/>
                      <w:sz w:val="20"/>
                      <w:szCs w:val="20"/>
                    </w:rPr>
                  </w:pPr>
                  <w:r>
                    <w:rPr>
                      <w:rFonts w:ascii="Tahoma" w:hAnsi="Tahoma" w:cs="Tahoma"/>
                      <w:sz w:val="20"/>
                      <w:szCs w:val="20"/>
                    </w:rPr>
                    <w:t>17.4</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2C83519E" w14:textId="77777777" w:rsidR="009D1253" w:rsidRPr="002775A2" w:rsidRDefault="009D1253" w:rsidP="009D1253">
                  <w:pPr>
                    <w:jc w:val="right"/>
                    <w:rPr>
                      <w:rFonts w:ascii="Tahoma" w:hAnsi="Tahoma" w:cs="Tahoma"/>
                      <w:sz w:val="20"/>
                      <w:szCs w:val="20"/>
                    </w:rPr>
                  </w:pPr>
                  <w:r>
                    <w:rPr>
                      <w:rFonts w:ascii="Tahoma" w:hAnsi="Tahoma" w:cs="Tahoma"/>
                      <w:sz w:val="20"/>
                      <w:szCs w:val="20"/>
                    </w:rPr>
                    <w:t>17.6</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44DEF37D" w14:textId="77777777" w:rsidR="009D1253" w:rsidRPr="002775A2" w:rsidRDefault="009D1253" w:rsidP="009D1253">
                  <w:pPr>
                    <w:jc w:val="right"/>
                    <w:rPr>
                      <w:rFonts w:ascii="Tahoma" w:hAnsi="Tahoma" w:cs="Tahoma"/>
                      <w:sz w:val="20"/>
                      <w:szCs w:val="20"/>
                    </w:rPr>
                  </w:pPr>
                  <w:r>
                    <w:rPr>
                      <w:rFonts w:ascii="Tahoma" w:hAnsi="Tahoma" w:cs="Tahoma"/>
                      <w:sz w:val="20"/>
                      <w:szCs w:val="20"/>
                    </w:rPr>
                    <w:t>18.6</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382FDB20" w14:textId="77777777" w:rsidR="009D1253" w:rsidRPr="002775A2" w:rsidRDefault="009D1253" w:rsidP="009D1253">
                  <w:pPr>
                    <w:jc w:val="right"/>
                    <w:rPr>
                      <w:rFonts w:ascii="Tahoma" w:hAnsi="Tahoma" w:cs="Tahoma"/>
                      <w:sz w:val="20"/>
                      <w:szCs w:val="20"/>
                    </w:rPr>
                  </w:pPr>
                  <w:r>
                    <w:rPr>
                      <w:rFonts w:ascii="Tahoma" w:hAnsi="Tahoma" w:cs="Tahoma"/>
                      <w:sz w:val="20"/>
                      <w:szCs w:val="20"/>
                    </w:rPr>
                    <w:t>19.0</w:t>
                  </w:r>
                  <w:r w:rsidRPr="002775A2">
                    <w:rPr>
                      <w:rFonts w:ascii="Tahoma" w:hAnsi="Tahoma" w:cs="Tahoma"/>
                      <w:sz w:val="20"/>
                      <w:szCs w:val="20"/>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1EF636DD" w14:textId="77777777" w:rsidR="009D1253" w:rsidRPr="002775A2" w:rsidRDefault="009D1253" w:rsidP="009D1253">
                  <w:pPr>
                    <w:jc w:val="right"/>
                    <w:rPr>
                      <w:rFonts w:ascii="Tahoma" w:hAnsi="Tahoma" w:cs="Tahoma"/>
                      <w:sz w:val="20"/>
                      <w:szCs w:val="20"/>
                    </w:rPr>
                  </w:pPr>
                  <w:r>
                    <w:rPr>
                      <w:rFonts w:ascii="Tahoma" w:hAnsi="Tahoma" w:cs="Tahoma"/>
                      <w:sz w:val="20"/>
                      <w:szCs w:val="20"/>
                    </w:rPr>
                    <w:t>19.2</w:t>
                  </w:r>
                  <w:r w:rsidRPr="002775A2">
                    <w:rPr>
                      <w:rFonts w:ascii="Tahoma" w:hAnsi="Tahoma" w:cs="Tahoma"/>
                      <w:sz w:val="20"/>
                      <w:szCs w:val="20"/>
                    </w:rPr>
                    <w:t>%</w:t>
                  </w:r>
                </w:p>
              </w:tc>
            </w:tr>
            <w:tr w:rsidR="009D1253" w:rsidRPr="00D10F7B" w14:paraId="617EE4D7"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2A75D5CF" w14:textId="77777777" w:rsidR="009D1253" w:rsidRPr="00D10F7B" w:rsidRDefault="009D1253" w:rsidP="009D1253">
                  <w:pPr>
                    <w:jc w:val="right"/>
                    <w:rPr>
                      <w:rFonts w:ascii="Tahoma" w:hAnsi="Tahoma" w:cs="Tahoma"/>
                      <w:sz w:val="20"/>
                      <w:szCs w:val="20"/>
                    </w:rPr>
                  </w:pPr>
                  <w:r>
                    <w:rPr>
                      <w:rFonts w:ascii="Tahoma" w:hAnsi="Tahoma" w:cs="Tahoma"/>
                      <w:sz w:val="20"/>
                      <w:szCs w:val="20"/>
                    </w:rPr>
                    <w:t xml:space="preserve">от </w:t>
                  </w:r>
                  <w:r w:rsidRPr="00D10F7B">
                    <w:rPr>
                      <w:rFonts w:ascii="Tahoma" w:hAnsi="Tahoma" w:cs="Tahoma"/>
                      <w:sz w:val="20"/>
                      <w:szCs w:val="20"/>
                    </w:rPr>
                    <w:t>30%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0598406B" w14:textId="77777777" w:rsidR="009D1253" w:rsidRPr="002775A2" w:rsidRDefault="009D1253" w:rsidP="009D1253">
                  <w:pPr>
                    <w:jc w:val="right"/>
                    <w:rPr>
                      <w:rFonts w:ascii="Tahoma" w:hAnsi="Tahoma" w:cs="Tahoma"/>
                      <w:sz w:val="20"/>
                      <w:szCs w:val="20"/>
                    </w:rPr>
                  </w:pPr>
                  <w:r>
                    <w:rPr>
                      <w:rFonts w:ascii="Tahoma" w:hAnsi="Tahoma" w:cs="Tahoma"/>
                      <w:sz w:val="20"/>
                      <w:szCs w:val="20"/>
                    </w:rPr>
                    <w:t>11.6</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3CEBF0A9" w14:textId="77777777" w:rsidR="009D1253" w:rsidRPr="002775A2" w:rsidRDefault="009D1253" w:rsidP="009D1253">
                  <w:pPr>
                    <w:jc w:val="right"/>
                    <w:rPr>
                      <w:rFonts w:ascii="Tahoma" w:hAnsi="Tahoma" w:cs="Tahoma"/>
                      <w:sz w:val="20"/>
                      <w:szCs w:val="20"/>
                    </w:rPr>
                  </w:pPr>
                  <w:r>
                    <w:rPr>
                      <w:rFonts w:ascii="Tahoma" w:hAnsi="Tahoma" w:cs="Tahoma"/>
                      <w:sz w:val="20"/>
                      <w:szCs w:val="20"/>
                    </w:rPr>
                    <w:t>15.6</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427C482E" w14:textId="77777777" w:rsidR="009D1253" w:rsidRPr="002775A2" w:rsidRDefault="009D1253" w:rsidP="009D1253">
                  <w:pPr>
                    <w:jc w:val="right"/>
                    <w:rPr>
                      <w:rFonts w:ascii="Tahoma" w:hAnsi="Tahoma" w:cs="Tahoma"/>
                      <w:sz w:val="20"/>
                      <w:szCs w:val="20"/>
                    </w:rPr>
                  </w:pPr>
                  <w:r>
                    <w:rPr>
                      <w:rFonts w:ascii="Tahoma" w:hAnsi="Tahoma" w:cs="Tahoma"/>
                      <w:sz w:val="20"/>
                      <w:szCs w:val="20"/>
                    </w:rPr>
                    <w:t>16.4</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34E9DCCF" w14:textId="77777777" w:rsidR="009D1253" w:rsidRPr="002775A2" w:rsidRDefault="009D1253" w:rsidP="009D1253">
                  <w:pPr>
                    <w:jc w:val="right"/>
                    <w:rPr>
                      <w:rFonts w:ascii="Tahoma" w:hAnsi="Tahoma" w:cs="Tahoma"/>
                      <w:sz w:val="20"/>
                      <w:szCs w:val="20"/>
                    </w:rPr>
                  </w:pPr>
                  <w:r>
                    <w:rPr>
                      <w:rFonts w:ascii="Tahoma" w:hAnsi="Tahoma" w:cs="Tahoma"/>
                      <w:sz w:val="20"/>
                      <w:szCs w:val="20"/>
                    </w:rPr>
                    <w:t>16.6</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0AC8D1B6" w14:textId="77777777" w:rsidR="009D1253" w:rsidRPr="002775A2" w:rsidRDefault="009D1253" w:rsidP="009D1253">
                  <w:pPr>
                    <w:jc w:val="right"/>
                    <w:rPr>
                      <w:rFonts w:ascii="Tahoma" w:hAnsi="Tahoma" w:cs="Tahoma"/>
                      <w:sz w:val="20"/>
                      <w:szCs w:val="20"/>
                    </w:rPr>
                  </w:pPr>
                  <w:r>
                    <w:rPr>
                      <w:rFonts w:ascii="Tahoma" w:hAnsi="Tahoma" w:cs="Tahoma"/>
                      <w:sz w:val="20"/>
                      <w:szCs w:val="20"/>
                    </w:rPr>
                    <w:t>17.8</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5521E4CB" w14:textId="77777777" w:rsidR="009D1253" w:rsidRPr="002775A2" w:rsidRDefault="009D1253" w:rsidP="009D1253">
                  <w:pPr>
                    <w:jc w:val="right"/>
                    <w:rPr>
                      <w:rFonts w:ascii="Tahoma" w:hAnsi="Tahoma" w:cs="Tahoma"/>
                      <w:sz w:val="20"/>
                      <w:szCs w:val="20"/>
                    </w:rPr>
                  </w:pPr>
                  <w:r>
                    <w:rPr>
                      <w:rFonts w:ascii="Tahoma" w:hAnsi="Tahoma" w:cs="Tahoma"/>
                      <w:sz w:val="20"/>
                      <w:szCs w:val="20"/>
                    </w:rPr>
                    <w:t>18.4</w:t>
                  </w:r>
                  <w:r w:rsidRPr="002775A2">
                    <w:rPr>
                      <w:rFonts w:ascii="Tahoma" w:hAnsi="Tahoma" w:cs="Tahoma"/>
                      <w:sz w:val="20"/>
                      <w:szCs w:val="20"/>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105329FF" w14:textId="77777777" w:rsidR="009D1253" w:rsidRPr="002775A2" w:rsidRDefault="009D1253" w:rsidP="009D1253">
                  <w:pPr>
                    <w:jc w:val="right"/>
                    <w:rPr>
                      <w:rFonts w:ascii="Tahoma" w:hAnsi="Tahoma" w:cs="Tahoma"/>
                      <w:sz w:val="20"/>
                      <w:szCs w:val="20"/>
                    </w:rPr>
                  </w:pPr>
                  <w:r>
                    <w:rPr>
                      <w:rFonts w:ascii="Tahoma" w:hAnsi="Tahoma" w:cs="Tahoma"/>
                      <w:sz w:val="20"/>
                      <w:szCs w:val="20"/>
                    </w:rPr>
                    <w:t>18.8</w:t>
                  </w:r>
                  <w:r w:rsidRPr="002775A2">
                    <w:rPr>
                      <w:rFonts w:ascii="Tahoma" w:hAnsi="Tahoma" w:cs="Tahoma"/>
                      <w:sz w:val="20"/>
                      <w:szCs w:val="20"/>
                    </w:rPr>
                    <w:t>%</w:t>
                  </w:r>
                </w:p>
              </w:tc>
            </w:tr>
            <w:tr w:rsidR="009D1253" w:rsidRPr="00D10F7B" w14:paraId="63FF4FB4"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5C1DF7B3" w14:textId="77777777" w:rsidR="009D1253" w:rsidRPr="00D10F7B" w:rsidRDefault="009D1253" w:rsidP="009D1253">
                  <w:pPr>
                    <w:jc w:val="right"/>
                    <w:rPr>
                      <w:rFonts w:ascii="Tahoma" w:hAnsi="Tahoma" w:cs="Tahoma"/>
                      <w:sz w:val="20"/>
                      <w:szCs w:val="20"/>
                    </w:rPr>
                  </w:pPr>
                  <w:r>
                    <w:rPr>
                      <w:rFonts w:ascii="Tahoma" w:hAnsi="Tahoma" w:cs="Tahoma"/>
                      <w:sz w:val="20"/>
                      <w:szCs w:val="20"/>
                    </w:rPr>
                    <w:t xml:space="preserve">от </w:t>
                  </w:r>
                  <w:r w:rsidRPr="00D10F7B">
                    <w:rPr>
                      <w:rFonts w:ascii="Tahoma" w:hAnsi="Tahoma" w:cs="Tahoma"/>
                      <w:sz w:val="20"/>
                      <w:szCs w:val="20"/>
                    </w:rPr>
                    <w:t>40%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04B487F1" w14:textId="77777777" w:rsidR="009D1253" w:rsidRPr="002775A2" w:rsidRDefault="009D1253" w:rsidP="009D1253">
                  <w:pPr>
                    <w:jc w:val="right"/>
                    <w:rPr>
                      <w:rFonts w:ascii="Tahoma" w:hAnsi="Tahoma" w:cs="Tahoma"/>
                      <w:sz w:val="20"/>
                      <w:szCs w:val="20"/>
                    </w:rPr>
                  </w:pPr>
                  <w:r w:rsidRPr="002775A2">
                    <w:rPr>
                      <w:rFonts w:ascii="Tahoma" w:hAnsi="Tahoma" w:cs="Tahoma"/>
                      <w:sz w:val="20"/>
                      <w:szCs w:val="20"/>
                    </w:rPr>
                    <w:t>9.40%</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1CCFC9F9" w14:textId="77777777" w:rsidR="009D1253" w:rsidRPr="002775A2" w:rsidRDefault="009D1253" w:rsidP="009D1253">
                  <w:pPr>
                    <w:jc w:val="right"/>
                    <w:rPr>
                      <w:rFonts w:ascii="Tahoma" w:hAnsi="Tahoma" w:cs="Tahoma"/>
                      <w:sz w:val="20"/>
                      <w:szCs w:val="20"/>
                    </w:rPr>
                  </w:pPr>
                  <w:r>
                    <w:rPr>
                      <w:rFonts w:ascii="Tahoma" w:hAnsi="Tahoma" w:cs="Tahoma"/>
                      <w:sz w:val="20"/>
                      <w:szCs w:val="20"/>
                    </w:rPr>
                    <w:t>14.2</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6A840961" w14:textId="77777777" w:rsidR="009D1253" w:rsidRPr="002775A2" w:rsidRDefault="009D1253" w:rsidP="009D1253">
                  <w:pPr>
                    <w:jc w:val="right"/>
                    <w:rPr>
                      <w:rFonts w:ascii="Tahoma" w:hAnsi="Tahoma" w:cs="Tahoma"/>
                      <w:sz w:val="20"/>
                      <w:szCs w:val="20"/>
                    </w:rPr>
                  </w:pPr>
                  <w:r>
                    <w:rPr>
                      <w:rFonts w:ascii="Tahoma" w:hAnsi="Tahoma" w:cs="Tahoma"/>
                      <w:sz w:val="20"/>
                      <w:szCs w:val="20"/>
                    </w:rPr>
                    <w:t>15.2</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6668C9B8" w14:textId="77777777" w:rsidR="009D1253" w:rsidRPr="002775A2" w:rsidRDefault="009D1253" w:rsidP="009D1253">
                  <w:pPr>
                    <w:jc w:val="right"/>
                    <w:rPr>
                      <w:rFonts w:ascii="Tahoma" w:hAnsi="Tahoma" w:cs="Tahoma"/>
                      <w:sz w:val="20"/>
                      <w:szCs w:val="20"/>
                    </w:rPr>
                  </w:pPr>
                  <w:r>
                    <w:rPr>
                      <w:rFonts w:ascii="Tahoma" w:hAnsi="Tahoma" w:cs="Tahoma"/>
                      <w:sz w:val="20"/>
                      <w:szCs w:val="20"/>
                    </w:rPr>
                    <w:t>15.4</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5D0F7EDE" w14:textId="77777777" w:rsidR="009D1253" w:rsidRPr="002775A2" w:rsidRDefault="009D1253" w:rsidP="009D1253">
                  <w:pPr>
                    <w:jc w:val="right"/>
                    <w:rPr>
                      <w:rFonts w:ascii="Tahoma" w:hAnsi="Tahoma" w:cs="Tahoma"/>
                      <w:sz w:val="20"/>
                      <w:szCs w:val="20"/>
                    </w:rPr>
                  </w:pPr>
                  <w:r>
                    <w:rPr>
                      <w:rFonts w:ascii="Tahoma" w:hAnsi="Tahoma" w:cs="Tahoma"/>
                      <w:sz w:val="20"/>
                      <w:szCs w:val="20"/>
                    </w:rPr>
                    <w:t>16.6</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3683017C" w14:textId="77777777" w:rsidR="009D1253" w:rsidRPr="002775A2" w:rsidRDefault="009D1253" w:rsidP="009D1253">
                  <w:pPr>
                    <w:jc w:val="right"/>
                    <w:rPr>
                      <w:rFonts w:ascii="Tahoma" w:hAnsi="Tahoma" w:cs="Tahoma"/>
                      <w:sz w:val="20"/>
                      <w:szCs w:val="20"/>
                    </w:rPr>
                  </w:pPr>
                  <w:r>
                    <w:rPr>
                      <w:rFonts w:ascii="Tahoma" w:hAnsi="Tahoma" w:cs="Tahoma"/>
                      <w:sz w:val="20"/>
                      <w:szCs w:val="20"/>
                    </w:rPr>
                    <w:t>17.6</w:t>
                  </w:r>
                  <w:r w:rsidRPr="002775A2">
                    <w:rPr>
                      <w:rFonts w:ascii="Tahoma" w:hAnsi="Tahoma" w:cs="Tahoma"/>
                      <w:sz w:val="20"/>
                      <w:szCs w:val="20"/>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5ADCCF08" w14:textId="77777777" w:rsidR="009D1253" w:rsidRPr="002775A2" w:rsidRDefault="009D1253" w:rsidP="009D1253">
                  <w:pPr>
                    <w:jc w:val="right"/>
                    <w:rPr>
                      <w:rFonts w:ascii="Tahoma" w:hAnsi="Tahoma" w:cs="Tahoma"/>
                      <w:sz w:val="20"/>
                      <w:szCs w:val="20"/>
                    </w:rPr>
                  </w:pPr>
                  <w:r>
                    <w:rPr>
                      <w:rFonts w:ascii="Tahoma" w:hAnsi="Tahoma" w:cs="Tahoma"/>
                      <w:sz w:val="20"/>
                      <w:szCs w:val="20"/>
                    </w:rPr>
                    <w:t>17.8</w:t>
                  </w:r>
                  <w:r w:rsidRPr="002775A2">
                    <w:rPr>
                      <w:rFonts w:ascii="Tahoma" w:hAnsi="Tahoma" w:cs="Tahoma"/>
                      <w:sz w:val="20"/>
                      <w:szCs w:val="20"/>
                    </w:rPr>
                    <w:t>%</w:t>
                  </w:r>
                </w:p>
              </w:tc>
            </w:tr>
            <w:tr w:rsidR="009D1253" w:rsidRPr="00D10F7B" w14:paraId="557CD1FB"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54A19883" w14:textId="77777777" w:rsidR="009D1253" w:rsidRPr="00D10F7B" w:rsidRDefault="009D1253" w:rsidP="009D1253">
                  <w:pPr>
                    <w:jc w:val="right"/>
                    <w:rPr>
                      <w:rFonts w:ascii="Tahoma" w:hAnsi="Tahoma" w:cs="Tahoma"/>
                      <w:sz w:val="20"/>
                      <w:szCs w:val="20"/>
                    </w:rPr>
                  </w:pPr>
                  <w:r>
                    <w:rPr>
                      <w:rFonts w:ascii="Tahoma" w:hAnsi="Tahoma" w:cs="Tahoma"/>
                      <w:sz w:val="20"/>
                      <w:szCs w:val="20"/>
                    </w:rPr>
                    <w:t xml:space="preserve">от </w:t>
                  </w:r>
                  <w:r w:rsidRPr="00D10F7B">
                    <w:rPr>
                      <w:rFonts w:ascii="Tahoma" w:hAnsi="Tahoma" w:cs="Tahoma"/>
                      <w:sz w:val="20"/>
                      <w:szCs w:val="20"/>
                    </w:rPr>
                    <w:t>50%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5664B78D" w14:textId="77777777" w:rsidR="009D1253" w:rsidRPr="002775A2" w:rsidRDefault="009D1253" w:rsidP="009D1253">
                  <w:pPr>
                    <w:jc w:val="right"/>
                    <w:rPr>
                      <w:rFonts w:ascii="Tahoma" w:hAnsi="Tahoma" w:cs="Tahoma"/>
                      <w:sz w:val="20"/>
                      <w:szCs w:val="20"/>
                    </w:rPr>
                  </w:pPr>
                  <w:r>
                    <w:rPr>
                      <w:rFonts w:ascii="Tahoma" w:hAnsi="Tahoma" w:cs="Tahoma"/>
                      <w:sz w:val="20"/>
                      <w:szCs w:val="20"/>
                    </w:rPr>
                    <w:t>6.8</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70E26D84" w14:textId="77777777" w:rsidR="009D1253" w:rsidRPr="002775A2" w:rsidRDefault="009D1253" w:rsidP="009D1253">
                  <w:pPr>
                    <w:jc w:val="right"/>
                    <w:rPr>
                      <w:rFonts w:ascii="Tahoma" w:hAnsi="Tahoma" w:cs="Tahoma"/>
                      <w:sz w:val="20"/>
                      <w:szCs w:val="20"/>
                    </w:rPr>
                  </w:pPr>
                  <w:r>
                    <w:rPr>
                      <w:rFonts w:ascii="Tahoma" w:hAnsi="Tahoma" w:cs="Tahoma"/>
                      <w:sz w:val="20"/>
                      <w:szCs w:val="20"/>
                    </w:rPr>
                    <w:t>12.8</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3990643A" w14:textId="77777777" w:rsidR="009D1253" w:rsidRPr="002775A2" w:rsidRDefault="009D1253" w:rsidP="009D1253">
                  <w:pPr>
                    <w:jc w:val="right"/>
                    <w:rPr>
                      <w:rFonts w:ascii="Tahoma" w:hAnsi="Tahoma" w:cs="Tahoma"/>
                      <w:sz w:val="20"/>
                      <w:szCs w:val="20"/>
                    </w:rPr>
                  </w:pPr>
                  <w:r>
                    <w:rPr>
                      <w:rFonts w:ascii="Tahoma" w:hAnsi="Tahoma" w:cs="Tahoma"/>
                      <w:sz w:val="20"/>
                      <w:szCs w:val="20"/>
                    </w:rPr>
                    <w:t>14.0</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7361E7E6" w14:textId="77777777" w:rsidR="009D1253" w:rsidRPr="002775A2" w:rsidRDefault="009D1253" w:rsidP="009D1253">
                  <w:pPr>
                    <w:jc w:val="right"/>
                    <w:rPr>
                      <w:rFonts w:ascii="Tahoma" w:hAnsi="Tahoma" w:cs="Tahoma"/>
                      <w:sz w:val="20"/>
                      <w:szCs w:val="20"/>
                    </w:rPr>
                  </w:pPr>
                  <w:r>
                    <w:rPr>
                      <w:rFonts w:ascii="Tahoma" w:hAnsi="Tahoma" w:cs="Tahoma"/>
                      <w:sz w:val="20"/>
                      <w:szCs w:val="20"/>
                    </w:rPr>
                    <w:t>14.2</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0E0A52CD" w14:textId="77777777" w:rsidR="009D1253" w:rsidRPr="002775A2" w:rsidRDefault="009D1253" w:rsidP="009D1253">
                  <w:pPr>
                    <w:jc w:val="right"/>
                    <w:rPr>
                      <w:rFonts w:ascii="Tahoma" w:hAnsi="Tahoma" w:cs="Tahoma"/>
                      <w:sz w:val="20"/>
                      <w:szCs w:val="20"/>
                    </w:rPr>
                  </w:pPr>
                  <w:r>
                    <w:rPr>
                      <w:rFonts w:ascii="Tahoma" w:hAnsi="Tahoma" w:cs="Tahoma"/>
                      <w:sz w:val="20"/>
                      <w:szCs w:val="20"/>
                    </w:rPr>
                    <w:t>15.6</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3D1739D8" w14:textId="77777777" w:rsidR="009D1253" w:rsidRPr="002775A2" w:rsidRDefault="009D1253" w:rsidP="009D1253">
                  <w:pPr>
                    <w:jc w:val="right"/>
                    <w:rPr>
                      <w:rFonts w:ascii="Tahoma" w:hAnsi="Tahoma" w:cs="Tahoma"/>
                      <w:sz w:val="20"/>
                      <w:szCs w:val="20"/>
                    </w:rPr>
                  </w:pPr>
                  <w:r>
                    <w:rPr>
                      <w:rFonts w:ascii="Tahoma" w:hAnsi="Tahoma" w:cs="Tahoma"/>
                      <w:sz w:val="20"/>
                      <w:szCs w:val="20"/>
                    </w:rPr>
                    <w:t>16.6</w:t>
                  </w:r>
                  <w:r w:rsidRPr="002775A2">
                    <w:rPr>
                      <w:rFonts w:ascii="Tahoma" w:hAnsi="Tahoma" w:cs="Tahoma"/>
                      <w:sz w:val="20"/>
                      <w:szCs w:val="20"/>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3F12F63A" w14:textId="77777777" w:rsidR="009D1253" w:rsidRPr="002775A2" w:rsidRDefault="009D1253" w:rsidP="009D1253">
                  <w:pPr>
                    <w:jc w:val="right"/>
                    <w:rPr>
                      <w:rFonts w:ascii="Tahoma" w:hAnsi="Tahoma" w:cs="Tahoma"/>
                      <w:sz w:val="20"/>
                      <w:szCs w:val="20"/>
                    </w:rPr>
                  </w:pPr>
                  <w:r>
                    <w:rPr>
                      <w:rFonts w:ascii="Tahoma" w:hAnsi="Tahoma" w:cs="Tahoma"/>
                      <w:sz w:val="20"/>
                      <w:szCs w:val="20"/>
                    </w:rPr>
                    <w:t>17.0</w:t>
                  </w:r>
                  <w:r w:rsidRPr="002775A2">
                    <w:rPr>
                      <w:rFonts w:ascii="Tahoma" w:hAnsi="Tahoma" w:cs="Tahoma"/>
                      <w:sz w:val="20"/>
                      <w:szCs w:val="20"/>
                    </w:rPr>
                    <w:t>%</w:t>
                  </w:r>
                </w:p>
              </w:tc>
            </w:tr>
            <w:tr w:rsidR="009D1253" w:rsidRPr="00D10F7B" w14:paraId="4B6EFD0B"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70"/>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30906BE4" w14:textId="77777777" w:rsidR="009D1253" w:rsidRPr="00D10F7B" w:rsidRDefault="009D1253" w:rsidP="009D1253">
                  <w:pPr>
                    <w:jc w:val="right"/>
                    <w:rPr>
                      <w:rFonts w:ascii="Tahoma" w:hAnsi="Tahoma" w:cs="Tahoma"/>
                      <w:sz w:val="20"/>
                      <w:szCs w:val="20"/>
                    </w:rPr>
                  </w:pPr>
                  <w:r>
                    <w:rPr>
                      <w:rFonts w:ascii="Tahoma" w:hAnsi="Tahoma" w:cs="Tahoma"/>
                      <w:sz w:val="20"/>
                      <w:szCs w:val="20"/>
                    </w:rPr>
                    <w:t xml:space="preserve">от </w:t>
                  </w:r>
                  <w:r w:rsidRPr="00D10F7B">
                    <w:rPr>
                      <w:rFonts w:ascii="Tahoma" w:hAnsi="Tahoma" w:cs="Tahoma"/>
                      <w:sz w:val="20"/>
                      <w:szCs w:val="20"/>
                    </w:rPr>
                    <w:t>60%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2F87DE46" w14:textId="77777777" w:rsidR="009D1253" w:rsidRPr="002775A2" w:rsidRDefault="009D1253" w:rsidP="009D1253">
                  <w:pPr>
                    <w:jc w:val="right"/>
                    <w:rPr>
                      <w:rFonts w:ascii="Tahoma" w:hAnsi="Tahoma" w:cs="Tahoma"/>
                      <w:sz w:val="20"/>
                      <w:szCs w:val="20"/>
                    </w:rPr>
                  </w:pPr>
                  <w:r>
                    <w:rPr>
                      <w:rFonts w:ascii="Tahoma" w:hAnsi="Tahoma" w:cs="Tahoma"/>
                      <w:sz w:val="20"/>
                      <w:szCs w:val="20"/>
                    </w:rPr>
                    <w:t>3.0</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0A66F21C" w14:textId="77777777" w:rsidR="009D1253" w:rsidRPr="002775A2" w:rsidRDefault="009D1253" w:rsidP="009D1253">
                  <w:pPr>
                    <w:jc w:val="right"/>
                    <w:rPr>
                      <w:rFonts w:ascii="Tahoma" w:hAnsi="Tahoma" w:cs="Tahoma"/>
                      <w:sz w:val="20"/>
                      <w:szCs w:val="20"/>
                    </w:rPr>
                  </w:pPr>
                  <w:r>
                    <w:rPr>
                      <w:rFonts w:ascii="Tahoma" w:hAnsi="Tahoma" w:cs="Tahoma"/>
                      <w:sz w:val="20"/>
                      <w:szCs w:val="20"/>
                    </w:rPr>
                    <w:t>10.6</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2A62C502" w14:textId="77777777" w:rsidR="009D1253" w:rsidRPr="002775A2" w:rsidRDefault="009D1253" w:rsidP="009D1253">
                  <w:pPr>
                    <w:jc w:val="right"/>
                    <w:rPr>
                      <w:rFonts w:ascii="Tahoma" w:hAnsi="Tahoma" w:cs="Tahoma"/>
                      <w:sz w:val="20"/>
                      <w:szCs w:val="20"/>
                    </w:rPr>
                  </w:pPr>
                  <w:r>
                    <w:rPr>
                      <w:rFonts w:ascii="Tahoma" w:hAnsi="Tahoma" w:cs="Tahoma"/>
                      <w:sz w:val="20"/>
                      <w:szCs w:val="20"/>
                    </w:rPr>
                    <w:t>12.2</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2A2CB758" w14:textId="77777777" w:rsidR="009D1253" w:rsidRPr="002775A2" w:rsidRDefault="009D1253" w:rsidP="009D1253">
                  <w:pPr>
                    <w:jc w:val="right"/>
                    <w:rPr>
                      <w:rFonts w:ascii="Tahoma" w:hAnsi="Tahoma" w:cs="Tahoma"/>
                      <w:sz w:val="20"/>
                      <w:szCs w:val="20"/>
                    </w:rPr>
                  </w:pPr>
                  <w:r>
                    <w:rPr>
                      <w:rFonts w:ascii="Tahoma" w:hAnsi="Tahoma" w:cs="Tahoma"/>
                      <w:sz w:val="20"/>
                      <w:szCs w:val="20"/>
                    </w:rPr>
                    <w:t>12.4</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108267BD" w14:textId="77777777" w:rsidR="009D1253" w:rsidRPr="002775A2" w:rsidRDefault="009D1253" w:rsidP="009D1253">
                  <w:pPr>
                    <w:jc w:val="right"/>
                    <w:rPr>
                      <w:rFonts w:ascii="Tahoma" w:hAnsi="Tahoma" w:cs="Tahoma"/>
                      <w:sz w:val="20"/>
                      <w:szCs w:val="20"/>
                    </w:rPr>
                  </w:pPr>
                  <w:r>
                    <w:rPr>
                      <w:rFonts w:ascii="Tahoma" w:hAnsi="Tahoma" w:cs="Tahoma"/>
                      <w:sz w:val="20"/>
                      <w:szCs w:val="20"/>
                    </w:rPr>
                    <w:t>14.2</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75D27D0C" w14:textId="77777777" w:rsidR="009D1253" w:rsidRPr="002775A2" w:rsidRDefault="009D1253" w:rsidP="009D1253">
                  <w:pPr>
                    <w:jc w:val="right"/>
                    <w:rPr>
                      <w:rFonts w:ascii="Tahoma" w:hAnsi="Tahoma" w:cs="Tahoma"/>
                      <w:sz w:val="20"/>
                      <w:szCs w:val="20"/>
                    </w:rPr>
                  </w:pPr>
                  <w:r>
                    <w:rPr>
                      <w:rFonts w:ascii="Tahoma" w:hAnsi="Tahoma" w:cs="Tahoma"/>
                      <w:sz w:val="20"/>
                      <w:szCs w:val="20"/>
                    </w:rPr>
                    <w:t>15.4</w:t>
                  </w:r>
                  <w:r w:rsidRPr="002775A2">
                    <w:rPr>
                      <w:rFonts w:ascii="Tahoma" w:hAnsi="Tahoma" w:cs="Tahoma"/>
                      <w:sz w:val="20"/>
                      <w:szCs w:val="20"/>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271428D3" w14:textId="77777777" w:rsidR="009D1253" w:rsidRPr="002775A2" w:rsidRDefault="009D1253" w:rsidP="009D1253">
                  <w:pPr>
                    <w:jc w:val="right"/>
                    <w:rPr>
                      <w:rFonts w:ascii="Tahoma" w:hAnsi="Tahoma" w:cs="Tahoma"/>
                      <w:sz w:val="20"/>
                      <w:szCs w:val="20"/>
                    </w:rPr>
                  </w:pPr>
                  <w:r>
                    <w:rPr>
                      <w:rFonts w:ascii="Tahoma" w:hAnsi="Tahoma" w:cs="Tahoma"/>
                      <w:sz w:val="20"/>
                      <w:szCs w:val="20"/>
                    </w:rPr>
                    <w:t>15.8</w:t>
                  </w:r>
                  <w:r w:rsidRPr="002775A2">
                    <w:rPr>
                      <w:rFonts w:ascii="Tahoma" w:hAnsi="Tahoma" w:cs="Tahoma"/>
                      <w:sz w:val="20"/>
                      <w:szCs w:val="20"/>
                    </w:rPr>
                    <w:t>%</w:t>
                  </w:r>
                </w:p>
              </w:tc>
            </w:tr>
            <w:tr w:rsidR="009D1253" w:rsidRPr="00D10F7B" w14:paraId="06B3EED6"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9933" w:type="dxa"/>
                  <w:gridSpan w:val="8"/>
                  <w:tcBorders>
                    <w:top w:val="single" w:sz="4" w:space="0" w:color="auto"/>
                    <w:left w:val="single" w:sz="4" w:space="0" w:color="auto"/>
                    <w:bottom w:val="single" w:sz="4" w:space="0" w:color="auto"/>
                    <w:right w:val="single" w:sz="4" w:space="0" w:color="auto"/>
                  </w:tcBorders>
                  <w:shd w:val="clear" w:color="auto" w:fill="FFFFFF" w:themeFill="background1"/>
                  <w:noWrap/>
                </w:tcPr>
                <w:p w14:paraId="7BEE7964" w14:textId="77777777" w:rsidR="009D1253" w:rsidRPr="00D10F7B" w:rsidRDefault="009D1253" w:rsidP="009D1253">
                  <w:pPr>
                    <w:jc w:val="center"/>
                    <w:rPr>
                      <w:rFonts w:ascii="Tahoma" w:hAnsi="Tahoma" w:cs="Tahoma"/>
                      <w:sz w:val="20"/>
                      <w:szCs w:val="20"/>
                    </w:rPr>
                  </w:pPr>
                  <w:r w:rsidRPr="00D10F7B">
                    <w:rPr>
                      <w:rFonts w:ascii="Tahoma" w:hAnsi="Tahoma" w:cs="Tahoma"/>
                      <w:sz w:val="20"/>
                      <w:szCs w:val="20"/>
                    </w:rPr>
                    <w:t>Хонда_Экстра</w:t>
                  </w:r>
                </w:p>
              </w:tc>
            </w:tr>
            <w:tr w:rsidR="009D1253" w:rsidRPr="00D10F7B" w14:paraId="27B028C4"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center"/>
                </w:tcPr>
                <w:p w14:paraId="3FDE44CF" w14:textId="77777777" w:rsidR="009D1253" w:rsidRPr="00D10F7B" w:rsidRDefault="009D1253" w:rsidP="009D1253">
                  <w:pPr>
                    <w:jc w:val="right"/>
                    <w:rPr>
                      <w:rFonts w:ascii="Tahoma" w:hAnsi="Tahoma" w:cs="Tahoma"/>
                      <w:sz w:val="20"/>
                      <w:szCs w:val="20"/>
                    </w:rPr>
                  </w:pPr>
                  <w:r w:rsidRPr="00D10F7B">
                    <w:rPr>
                      <w:rFonts w:ascii="Tahoma" w:hAnsi="Tahoma" w:cs="Tahoma"/>
                      <w:sz w:val="20"/>
                      <w:szCs w:val="20"/>
                    </w:rPr>
                    <w:t>Первоначальный взнос\Срок</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D029476" w14:textId="77777777" w:rsidR="009D1253" w:rsidRPr="00D10F7B" w:rsidRDefault="009D1253" w:rsidP="009D1253">
                  <w:pPr>
                    <w:jc w:val="right"/>
                    <w:rPr>
                      <w:rFonts w:ascii="Tahoma" w:hAnsi="Tahoma" w:cs="Tahoma"/>
                      <w:sz w:val="20"/>
                      <w:szCs w:val="20"/>
                    </w:rPr>
                  </w:pPr>
                  <w:r w:rsidRPr="00D10F7B">
                    <w:rPr>
                      <w:rFonts w:ascii="Tahoma" w:hAnsi="Tahoma" w:cs="Tahoma"/>
                      <w:sz w:val="20"/>
                      <w:szCs w:val="20"/>
                    </w:rPr>
                    <w:t>13 мес</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center"/>
                </w:tcPr>
                <w:p w14:paraId="770655D8" w14:textId="77777777" w:rsidR="009D1253" w:rsidRPr="00D10F7B" w:rsidRDefault="009D1253" w:rsidP="009D1253">
                  <w:pPr>
                    <w:jc w:val="right"/>
                    <w:rPr>
                      <w:rFonts w:ascii="Tahoma" w:hAnsi="Tahoma" w:cs="Tahoma"/>
                      <w:sz w:val="20"/>
                      <w:szCs w:val="20"/>
                    </w:rPr>
                  </w:pPr>
                  <w:r w:rsidRPr="00D10F7B">
                    <w:rPr>
                      <w:rFonts w:ascii="Tahoma" w:hAnsi="Tahoma" w:cs="Tahoma"/>
                      <w:sz w:val="20"/>
                      <w:szCs w:val="20"/>
                    </w:rPr>
                    <w:t>24 мес</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center"/>
                </w:tcPr>
                <w:p w14:paraId="49183DA6" w14:textId="77777777" w:rsidR="009D1253" w:rsidRPr="00D10F7B" w:rsidRDefault="009D1253" w:rsidP="009D1253">
                  <w:pPr>
                    <w:jc w:val="right"/>
                    <w:rPr>
                      <w:rFonts w:ascii="Tahoma" w:hAnsi="Tahoma" w:cs="Tahoma"/>
                      <w:sz w:val="20"/>
                      <w:szCs w:val="20"/>
                    </w:rPr>
                  </w:pPr>
                  <w:r w:rsidRPr="00D10F7B">
                    <w:rPr>
                      <w:rFonts w:ascii="Tahoma" w:hAnsi="Tahoma" w:cs="Tahoma"/>
                      <w:sz w:val="20"/>
                      <w:szCs w:val="20"/>
                    </w:rPr>
                    <w:t>36 мес</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center"/>
                </w:tcPr>
                <w:p w14:paraId="4201DEA6" w14:textId="77777777" w:rsidR="009D1253" w:rsidRPr="00D10F7B" w:rsidRDefault="009D1253" w:rsidP="009D1253">
                  <w:pPr>
                    <w:jc w:val="right"/>
                    <w:rPr>
                      <w:rFonts w:ascii="Tahoma" w:hAnsi="Tahoma" w:cs="Tahoma"/>
                      <w:sz w:val="20"/>
                      <w:szCs w:val="20"/>
                    </w:rPr>
                  </w:pPr>
                  <w:r w:rsidRPr="00D10F7B">
                    <w:rPr>
                      <w:rFonts w:ascii="Tahoma" w:hAnsi="Tahoma" w:cs="Tahoma"/>
                      <w:sz w:val="20"/>
                      <w:szCs w:val="20"/>
                    </w:rPr>
                    <w:t>48 мес</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center"/>
                </w:tcPr>
                <w:p w14:paraId="5CC75BDF" w14:textId="77777777" w:rsidR="009D1253" w:rsidRPr="00D10F7B" w:rsidRDefault="009D1253" w:rsidP="009D1253">
                  <w:pPr>
                    <w:jc w:val="right"/>
                    <w:rPr>
                      <w:rFonts w:ascii="Tahoma" w:hAnsi="Tahoma" w:cs="Tahoma"/>
                      <w:sz w:val="20"/>
                      <w:szCs w:val="20"/>
                    </w:rPr>
                  </w:pPr>
                  <w:r w:rsidRPr="00D10F7B">
                    <w:rPr>
                      <w:rFonts w:ascii="Tahoma" w:hAnsi="Tahoma" w:cs="Tahoma"/>
                      <w:sz w:val="20"/>
                      <w:szCs w:val="20"/>
                    </w:rPr>
                    <w:t>60 мес</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center"/>
                </w:tcPr>
                <w:p w14:paraId="671C647C" w14:textId="77777777" w:rsidR="009D1253" w:rsidRPr="00D10F7B" w:rsidRDefault="009D1253" w:rsidP="009D1253">
                  <w:pPr>
                    <w:jc w:val="right"/>
                    <w:rPr>
                      <w:rFonts w:ascii="Tahoma" w:hAnsi="Tahoma" w:cs="Tahoma"/>
                      <w:sz w:val="20"/>
                      <w:szCs w:val="20"/>
                    </w:rPr>
                  </w:pPr>
                  <w:r w:rsidRPr="00D10F7B">
                    <w:rPr>
                      <w:rFonts w:ascii="Tahoma" w:hAnsi="Tahoma" w:cs="Tahoma"/>
                      <w:sz w:val="20"/>
                      <w:szCs w:val="20"/>
                    </w:rPr>
                    <w:t>72 мес</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center"/>
                </w:tcPr>
                <w:p w14:paraId="4747C728" w14:textId="77777777" w:rsidR="009D1253" w:rsidRPr="00D10F7B" w:rsidRDefault="009D1253" w:rsidP="009D1253">
                  <w:pPr>
                    <w:jc w:val="center"/>
                    <w:rPr>
                      <w:rFonts w:ascii="Tahoma" w:hAnsi="Tahoma" w:cs="Tahoma"/>
                      <w:sz w:val="20"/>
                      <w:szCs w:val="20"/>
                    </w:rPr>
                  </w:pPr>
                  <w:r w:rsidRPr="00D10F7B">
                    <w:rPr>
                      <w:rFonts w:ascii="Tahoma" w:hAnsi="Tahoma" w:cs="Tahoma"/>
                      <w:sz w:val="20"/>
                      <w:szCs w:val="20"/>
                    </w:rPr>
                    <w:t>84 мес</w:t>
                  </w:r>
                </w:p>
              </w:tc>
            </w:tr>
            <w:tr w:rsidR="009D1253" w:rsidRPr="00D10F7B" w14:paraId="5B8CEE2E"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2C18BBE0" w14:textId="77777777" w:rsidR="009D1253" w:rsidRPr="00D10F7B" w:rsidRDefault="009D1253" w:rsidP="009D1253">
                  <w:pPr>
                    <w:jc w:val="right"/>
                    <w:rPr>
                      <w:rFonts w:ascii="Tahoma" w:hAnsi="Tahoma" w:cs="Tahoma"/>
                      <w:sz w:val="20"/>
                      <w:szCs w:val="20"/>
                    </w:rPr>
                  </w:pPr>
                  <w:r>
                    <w:rPr>
                      <w:rFonts w:ascii="Tahoma" w:hAnsi="Tahoma" w:cs="Tahoma"/>
                      <w:sz w:val="20"/>
                      <w:szCs w:val="20"/>
                    </w:rPr>
                    <w:t xml:space="preserve">от </w:t>
                  </w:r>
                  <w:r w:rsidRPr="00D10F7B">
                    <w:rPr>
                      <w:rFonts w:ascii="Tahoma" w:hAnsi="Tahoma" w:cs="Tahoma"/>
                      <w:sz w:val="20"/>
                      <w:szCs w:val="20"/>
                    </w:rPr>
                    <w:t>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4BEC3D97" w14:textId="77777777" w:rsidR="009D1253" w:rsidRPr="002775A2" w:rsidRDefault="009D1253" w:rsidP="009D1253">
                  <w:pPr>
                    <w:jc w:val="right"/>
                    <w:rPr>
                      <w:rFonts w:ascii="Tahoma" w:hAnsi="Tahoma" w:cs="Tahoma"/>
                      <w:sz w:val="20"/>
                      <w:szCs w:val="20"/>
                    </w:rPr>
                  </w:pPr>
                  <w:r>
                    <w:rPr>
                      <w:rFonts w:ascii="Tahoma" w:hAnsi="Tahoma" w:cs="Tahoma"/>
                      <w:sz w:val="20"/>
                      <w:szCs w:val="20"/>
                    </w:rPr>
                    <w:t>22.2</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4103B30E" w14:textId="77777777" w:rsidR="009D1253" w:rsidRPr="002775A2" w:rsidRDefault="009D1253" w:rsidP="009D1253">
                  <w:pPr>
                    <w:jc w:val="right"/>
                    <w:rPr>
                      <w:rFonts w:ascii="Tahoma" w:hAnsi="Tahoma" w:cs="Tahoma"/>
                      <w:sz w:val="20"/>
                      <w:szCs w:val="20"/>
                    </w:rPr>
                  </w:pPr>
                  <w:r>
                    <w:rPr>
                      <w:rFonts w:ascii="Tahoma" w:hAnsi="Tahoma" w:cs="Tahoma"/>
                      <w:sz w:val="20"/>
                      <w:szCs w:val="20"/>
                    </w:rPr>
                    <w:t>20.8</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45F8FAD3" w14:textId="77777777" w:rsidR="009D1253" w:rsidRPr="002775A2" w:rsidRDefault="009D1253" w:rsidP="009D1253">
                  <w:pPr>
                    <w:jc w:val="right"/>
                    <w:rPr>
                      <w:rFonts w:ascii="Tahoma" w:hAnsi="Tahoma" w:cs="Tahoma"/>
                      <w:sz w:val="20"/>
                      <w:szCs w:val="20"/>
                    </w:rPr>
                  </w:pPr>
                  <w:r>
                    <w:rPr>
                      <w:rFonts w:ascii="Tahoma" w:hAnsi="Tahoma" w:cs="Tahoma"/>
                      <w:sz w:val="20"/>
                      <w:szCs w:val="20"/>
                    </w:rPr>
                    <w:t>21.0</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BBB4937" w14:textId="77777777" w:rsidR="009D1253" w:rsidRPr="002775A2" w:rsidRDefault="009D1253" w:rsidP="009D1253">
                  <w:pPr>
                    <w:jc w:val="right"/>
                    <w:rPr>
                      <w:rFonts w:ascii="Tahoma" w:hAnsi="Tahoma" w:cs="Tahoma"/>
                      <w:sz w:val="20"/>
                      <w:szCs w:val="20"/>
                    </w:rPr>
                  </w:pPr>
                  <w:r>
                    <w:rPr>
                      <w:rFonts w:ascii="Tahoma" w:hAnsi="Tahoma" w:cs="Tahoma"/>
                      <w:sz w:val="20"/>
                      <w:szCs w:val="20"/>
                    </w:rPr>
                    <w:t>21.2</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AF4B7A4" w14:textId="77777777" w:rsidR="009D1253" w:rsidRPr="002775A2" w:rsidRDefault="009D1253" w:rsidP="009D1253">
                  <w:pPr>
                    <w:jc w:val="right"/>
                    <w:rPr>
                      <w:rFonts w:ascii="Tahoma" w:hAnsi="Tahoma" w:cs="Tahoma"/>
                      <w:sz w:val="20"/>
                      <w:szCs w:val="20"/>
                    </w:rPr>
                  </w:pPr>
                  <w:r>
                    <w:rPr>
                      <w:rFonts w:ascii="Tahoma" w:hAnsi="Tahoma" w:cs="Tahoma"/>
                      <w:sz w:val="20"/>
                      <w:szCs w:val="20"/>
                    </w:rPr>
                    <w:t>21.4</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93607BC" w14:textId="77777777" w:rsidR="009D1253" w:rsidRPr="002775A2" w:rsidRDefault="009D1253" w:rsidP="009D1253">
                  <w:pPr>
                    <w:jc w:val="right"/>
                    <w:rPr>
                      <w:rFonts w:ascii="Tahoma" w:hAnsi="Tahoma" w:cs="Tahoma"/>
                      <w:sz w:val="20"/>
                      <w:szCs w:val="20"/>
                    </w:rPr>
                  </w:pPr>
                  <w:r>
                    <w:rPr>
                      <w:rFonts w:ascii="Tahoma" w:hAnsi="Tahoma" w:cs="Tahoma"/>
                      <w:sz w:val="20"/>
                      <w:szCs w:val="20"/>
                    </w:rPr>
                    <w:t>21.8</w:t>
                  </w:r>
                  <w:r w:rsidRPr="002775A2">
                    <w:rPr>
                      <w:rFonts w:ascii="Tahoma" w:hAnsi="Tahoma" w:cs="Tahoma"/>
                      <w:sz w:val="20"/>
                      <w:szCs w:val="20"/>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28D3AC7D" w14:textId="77777777" w:rsidR="009D1253" w:rsidRPr="002775A2" w:rsidRDefault="009D1253" w:rsidP="009D1253">
                  <w:pPr>
                    <w:jc w:val="right"/>
                    <w:rPr>
                      <w:rFonts w:ascii="Tahoma" w:hAnsi="Tahoma" w:cs="Tahoma"/>
                      <w:sz w:val="20"/>
                      <w:szCs w:val="20"/>
                    </w:rPr>
                  </w:pPr>
                  <w:r>
                    <w:rPr>
                      <w:rFonts w:ascii="Tahoma" w:hAnsi="Tahoma" w:cs="Tahoma"/>
                      <w:sz w:val="20"/>
                      <w:szCs w:val="20"/>
                    </w:rPr>
                    <w:t>21.8</w:t>
                  </w:r>
                  <w:r w:rsidRPr="002775A2">
                    <w:rPr>
                      <w:rFonts w:ascii="Tahoma" w:hAnsi="Tahoma" w:cs="Tahoma"/>
                      <w:sz w:val="20"/>
                      <w:szCs w:val="20"/>
                    </w:rPr>
                    <w:t>%</w:t>
                  </w:r>
                </w:p>
              </w:tc>
            </w:tr>
            <w:tr w:rsidR="009D1253" w:rsidRPr="00D10F7B" w14:paraId="042BF270"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489A5272" w14:textId="77777777" w:rsidR="009D1253" w:rsidRPr="00D10F7B" w:rsidRDefault="009D1253" w:rsidP="009D1253">
                  <w:pPr>
                    <w:jc w:val="right"/>
                    <w:rPr>
                      <w:rFonts w:ascii="Tahoma" w:hAnsi="Tahoma" w:cs="Tahoma"/>
                      <w:sz w:val="20"/>
                      <w:szCs w:val="20"/>
                    </w:rPr>
                  </w:pPr>
                  <w:r>
                    <w:rPr>
                      <w:rFonts w:ascii="Tahoma" w:hAnsi="Tahoma" w:cs="Tahoma"/>
                      <w:sz w:val="20"/>
                      <w:szCs w:val="20"/>
                    </w:rPr>
                    <w:t xml:space="preserve">от </w:t>
                  </w:r>
                  <w:r w:rsidRPr="00D10F7B">
                    <w:rPr>
                      <w:rFonts w:ascii="Tahoma" w:hAnsi="Tahoma" w:cs="Tahoma"/>
                      <w:sz w:val="20"/>
                      <w:szCs w:val="20"/>
                    </w:rPr>
                    <w:t>10%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6359C34B" w14:textId="77777777" w:rsidR="009D1253" w:rsidRPr="002775A2" w:rsidRDefault="009D1253" w:rsidP="009D1253">
                  <w:pPr>
                    <w:jc w:val="right"/>
                    <w:rPr>
                      <w:rFonts w:ascii="Tahoma" w:hAnsi="Tahoma" w:cs="Tahoma"/>
                      <w:sz w:val="20"/>
                      <w:szCs w:val="20"/>
                    </w:rPr>
                  </w:pPr>
                  <w:r>
                    <w:rPr>
                      <w:rFonts w:ascii="Tahoma" w:hAnsi="Tahoma" w:cs="Tahoma"/>
                      <w:sz w:val="20"/>
                      <w:szCs w:val="20"/>
                    </w:rPr>
                    <w:t>18.6</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5A5F2F6" w14:textId="77777777" w:rsidR="009D1253" w:rsidRPr="002775A2" w:rsidRDefault="009D1253" w:rsidP="009D1253">
                  <w:pPr>
                    <w:jc w:val="right"/>
                    <w:rPr>
                      <w:rFonts w:ascii="Tahoma" w:hAnsi="Tahoma" w:cs="Tahoma"/>
                      <w:sz w:val="20"/>
                      <w:szCs w:val="20"/>
                    </w:rPr>
                  </w:pPr>
                  <w:r>
                    <w:rPr>
                      <w:rFonts w:ascii="Tahoma" w:hAnsi="Tahoma" w:cs="Tahoma"/>
                      <w:sz w:val="20"/>
                      <w:szCs w:val="20"/>
                    </w:rPr>
                    <w:t>19.8</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4A666B42" w14:textId="77777777" w:rsidR="009D1253" w:rsidRPr="002775A2" w:rsidRDefault="009D1253" w:rsidP="009D1253">
                  <w:pPr>
                    <w:jc w:val="right"/>
                    <w:rPr>
                      <w:rFonts w:ascii="Tahoma" w:hAnsi="Tahoma" w:cs="Tahoma"/>
                      <w:sz w:val="20"/>
                      <w:szCs w:val="20"/>
                    </w:rPr>
                  </w:pPr>
                  <w:r>
                    <w:rPr>
                      <w:rFonts w:ascii="Tahoma" w:hAnsi="Tahoma" w:cs="Tahoma"/>
                      <w:sz w:val="20"/>
                      <w:szCs w:val="20"/>
                    </w:rPr>
                    <w:t>20.2</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62D9D0A" w14:textId="77777777" w:rsidR="009D1253" w:rsidRPr="002775A2" w:rsidRDefault="009D1253" w:rsidP="009D1253">
                  <w:pPr>
                    <w:jc w:val="right"/>
                    <w:rPr>
                      <w:rFonts w:ascii="Tahoma" w:hAnsi="Tahoma" w:cs="Tahoma"/>
                      <w:sz w:val="20"/>
                      <w:szCs w:val="20"/>
                    </w:rPr>
                  </w:pPr>
                  <w:r>
                    <w:rPr>
                      <w:rFonts w:ascii="Tahoma" w:hAnsi="Tahoma" w:cs="Tahoma"/>
                      <w:sz w:val="20"/>
                      <w:szCs w:val="20"/>
                    </w:rPr>
                    <w:t>20.2</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2EEE6F36" w14:textId="77777777" w:rsidR="009D1253" w:rsidRPr="002775A2" w:rsidRDefault="009D1253" w:rsidP="009D1253">
                  <w:pPr>
                    <w:jc w:val="right"/>
                    <w:rPr>
                      <w:rFonts w:ascii="Tahoma" w:hAnsi="Tahoma" w:cs="Tahoma"/>
                      <w:sz w:val="20"/>
                      <w:szCs w:val="20"/>
                    </w:rPr>
                  </w:pPr>
                  <w:r>
                    <w:rPr>
                      <w:rFonts w:ascii="Tahoma" w:hAnsi="Tahoma" w:cs="Tahoma"/>
                      <w:sz w:val="20"/>
                      <w:szCs w:val="20"/>
                    </w:rPr>
                    <w:t>20.8</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C2D37A6" w14:textId="77777777" w:rsidR="009D1253" w:rsidRPr="002775A2" w:rsidRDefault="009D1253" w:rsidP="009D1253">
                  <w:pPr>
                    <w:jc w:val="right"/>
                    <w:rPr>
                      <w:rFonts w:ascii="Tahoma" w:hAnsi="Tahoma" w:cs="Tahoma"/>
                      <w:sz w:val="20"/>
                      <w:szCs w:val="20"/>
                    </w:rPr>
                  </w:pPr>
                  <w:r>
                    <w:rPr>
                      <w:rFonts w:ascii="Tahoma" w:hAnsi="Tahoma" w:cs="Tahoma"/>
                      <w:sz w:val="20"/>
                      <w:szCs w:val="20"/>
                    </w:rPr>
                    <w:t>21.0</w:t>
                  </w:r>
                  <w:r w:rsidRPr="002775A2">
                    <w:rPr>
                      <w:rFonts w:ascii="Tahoma" w:hAnsi="Tahoma" w:cs="Tahoma"/>
                      <w:sz w:val="20"/>
                      <w:szCs w:val="20"/>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3DBC844A" w14:textId="77777777" w:rsidR="009D1253" w:rsidRPr="002775A2" w:rsidRDefault="009D1253" w:rsidP="009D1253">
                  <w:pPr>
                    <w:jc w:val="right"/>
                    <w:rPr>
                      <w:rFonts w:ascii="Tahoma" w:hAnsi="Tahoma" w:cs="Tahoma"/>
                      <w:sz w:val="20"/>
                      <w:szCs w:val="20"/>
                    </w:rPr>
                  </w:pPr>
                  <w:r>
                    <w:rPr>
                      <w:rFonts w:ascii="Tahoma" w:hAnsi="Tahoma" w:cs="Tahoma"/>
                      <w:sz w:val="20"/>
                      <w:szCs w:val="20"/>
                    </w:rPr>
                    <w:t>21.6</w:t>
                  </w:r>
                  <w:r w:rsidRPr="002775A2">
                    <w:rPr>
                      <w:rFonts w:ascii="Tahoma" w:hAnsi="Tahoma" w:cs="Tahoma"/>
                      <w:sz w:val="20"/>
                      <w:szCs w:val="20"/>
                    </w:rPr>
                    <w:t>%</w:t>
                  </w:r>
                </w:p>
              </w:tc>
            </w:tr>
            <w:tr w:rsidR="009D1253" w:rsidRPr="00D10F7B" w14:paraId="792FE5E0"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25006737" w14:textId="77777777" w:rsidR="009D1253" w:rsidRPr="00D10F7B" w:rsidRDefault="009D1253" w:rsidP="009D1253">
                  <w:pPr>
                    <w:jc w:val="right"/>
                    <w:rPr>
                      <w:rFonts w:ascii="Tahoma" w:hAnsi="Tahoma" w:cs="Tahoma"/>
                      <w:sz w:val="20"/>
                      <w:szCs w:val="20"/>
                    </w:rPr>
                  </w:pPr>
                  <w:r>
                    <w:rPr>
                      <w:rFonts w:ascii="Tahoma" w:hAnsi="Tahoma" w:cs="Tahoma"/>
                      <w:sz w:val="20"/>
                      <w:szCs w:val="20"/>
                    </w:rPr>
                    <w:t xml:space="preserve">от </w:t>
                  </w:r>
                  <w:r w:rsidRPr="00D10F7B">
                    <w:rPr>
                      <w:rFonts w:ascii="Tahoma" w:hAnsi="Tahoma" w:cs="Tahoma"/>
                      <w:sz w:val="20"/>
                      <w:szCs w:val="20"/>
                    </w:rPr>
                    <w:t>20%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1B84691F" w14:textId="77777777" w:rsidR="009D1253" w:rsidRPr="002775A2" w:rsidRDefault="009D1253" w:rsidP="009D1253">
                  <w:pPr>
                    <w:jc w:val="right"/>
                    <w:rPr>
                      <w:rFonts w:ascii="Tahoma" w:hAnsi="Tahoma" w:cs="Tahoma"/>
                      <w:sz w:val="20"/>
                      <w:szCs w:val="20"/>
                    </w:rPr>
                  </w:pPr>
                  <w:r>
                    <w:rPr>
                      <w:rFonts w:ascii="Tahoma" w:hAnsi="Tahoma" w:cs="Tahoma"/>
                      <w:sz w:val="20"/>
                      <w:szCs w:val="20"/>
                    </w:rPr>
                    <w:t>17.2</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41C19052" w14:textId="77777777" w:rsidR="009D1253" w:rsidRPr="002775A2" w:rsidRDefault="009D1253" w:rsidP="009D1253">
                  <w:pPr>
                    <w:jc w:val="right"/>
                    <w:rPr>
                      <w:rFonts w:ascii="Tahoma" w:hAnsi="Tahoma" w:cs="Tahoma"/>
                      <w:sz w:val="20"/>
                      <w:szCs w:val="20"/>
                    </w:rPr>
                  </w:pPr>
                  <w:r>
                    <w:rPr>
                      <w:rFonts w:ascii="Tahoma" w:hAnsi="Tahoma" w:cs="Tahoma"/>
                      <w:sz w:val="20"/>
                      <w:szCs w:val="20"/>
                    </w:rPr>
                    <w:t>19.0</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39CA6D43" w14:textId="77777777" w:rsidR="009D1253" w:rsidRPr="002775A2" w:rsidRDefault="009D1253" w:rsidP="009D1253">
                  <w:pPr>
                    <w:jc w:val="right"/>
                    <w:rPr>
                      <w:rFonts w:ascii="Tahoma" w:hAnsi="Tahoma" w:cs="Tahoma"/>
                      <w:sz w:val="20"/>
                      <w:szCs w:val="20"/>
                    </w:rPr>
                  </w:pPr>
                  <w:r>
                    <w:rPr>
                      <w:rFonts w:ascii="Tahoma" w:hAnsi="Tahoma" w:cs="Tahoma"/>
                      <w:sz w:val="20"/>
                      <w:szCs w:val="20"/>
                    </w:rPr>
                    <w:t>19.4</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25CE6428" w14:textId="77777777" w:rsidR="009D1253" w:rsidRPr="002775A2" w:rsidRDefault="009D1253" w:rsidP="009D1253">
                  <w:pPr>
                    <w:jc w:val="right"/>
                    <w:rPr>
                      <w:rFonts w:ascii="Tahoma" w:hAnsi="Tahoma" w:cs="Tahoma"/>
                      <w:sz w:val="20"/>
                      <w:szCs w:val="20"/>
                    </w:rPr>
                  </w:pPr>
                  <w:r>
                    <w:rPr>
                      <w:rFonts w:ascii="Tahoma" w:hAnsi="Tahoma" w:cs="Tahoma"/>
                      <w:sz w:val="20"/>
                      <w:szCs w:val="20"/>
                    </w:rPr>
                    <w:t>19.4</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9E50A93" w14:textId="77777777" w:rsidR="009D1253" w:rsidRPr="002775A2" w:rsidRDefault="009D1253" w:rsidP="009D1253">
                  <w:pPr>
                    <w:jc w:val="right"/>
                    <w:rPr>
                      <w:rFonts w:ascii="Tahoma" w:hAnsi="Tahoma" w:cs="Tahoma"/>
                      <w:sz w:val="20"/>
                      <w:szCs w:val="20"/>
                    </w:rPr>
                  </w:pPr>
                  <w:r>
                    <w:rPr>
                      <w:rFonts w:ascii="Tahoma" w:hAnsi="Tahoma" w:cs="Tahoma"/>
                      <w:sz w:val="20"/>
                      <w:szCs w:val="20"/>
                    </w:rPr>
                    <w:t>20.0</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2D3A482" w14:textId="77777777" w:rsidR="009D1253" w:rsidRPr="002775A2" w:rsidRDefault="009D1253" w:rsidP="009D1253">
                  <w:pPr>
                    <w:jc w:val="right"/>
                    <w:rPr>
                      <w:rFonts w:ascii="Tahoma" w:hAnsi="Tahoma" w:cs="Tahoma"/>
                      <w:sz w:val="20"/>
                      <w:szCs w:val="20"/>
                    </w:rPr>
                  </w:pPr>
                  <w:r>
                    <w:rPr>
                      <w:rFonts w:ascii="Tahoma" w:hAnsi="Tahoma" w:cs="Tahoma"/>
                      <w:sz w:val="20"/>
                      <w:szCs w:val="20"/>
                    </w:rPr>
                    <w:t>20.2</w:t>
                  </w:r>
                  <w:r w:rsidRPr="002775A2">
                    <w:rPr>
                      <w:rFonts w:ascii="Tahoma" w:hAnsi="Tahoma" w:cs="Tahoma"/>
                      <w:sz w:val="20"/>
                      <w:szCs w:val="20"/>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6C5AF9D9" w14:textId="77777777" w:rsidR="009D1253" w:rsidRPr="002775A2" w:rsidRDefault="009D1253" w:rsidP="009D1253">
                  <w:pPr>
                    <w:jc w:val="right"/>
                    <w:rPr>
                      <w:rFonts w:ascii="Tahoma" w:hAnsi="Tahoma" w:cs="Tahoma"/>
                      <w:sz w:val="20"/>
                      <w:szCs w:val="20"/>
                    </w:rPr>
                  </w:pPr>
                  <w:r>
                    <w:rPr>
                      <w:rFonts w:ascii="Tahoma" w:hAnsi="Tahoma" w:cs="Tahoma"/>
                      <w:sz w:val="20"/>
                      <w:szCs w:val="20"/>
                    </w:rPr>
                    <w:t>20.4</w:t>
                  </w:r>
                  <w:r w:rsidRPr="002775A2">
                    <w:rPr>
                      <w:rFonts w:ascii="Tahoma" w:hAnsi="Tahoma" w:cs="Tahoma"/>
                      <w:sz w:val="20"/>
                      <w:szCs w:val="20"/>
                    </w:rPr>
                    <w:t>%</w:t>
                  </w:r>
                </w:p>
              </w:tc>
            </w:tr>
            <w:tr w:rsidR="009D1253" w:rsidRPr="00D10F7B" w14:paraId="6E69D800"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3D92BFE1" w14:textId="77777777" w:rsidR="009D1253" w:rsidRPr="00D10F7B" w:rsidRDefault="009D1253" w:rsidP="009D1253">
                  <w:pPr>
                    <w:jc w:val="right"/>
                    <w:rPr>
                      <w:rFonts w:ascii="Tahoma" w:hAnsi="Tahoma" w:cs="Tahoma"/>
                      <w:sz w:val="20"/>
                      <w:szCs w:val="20"/>
                    </w:rPr>
                  </w:pPr>
                  <w:r>
                    <w:rPr>
                      <w:rFonts w:ascii="Tahoma" w:hAnsi="Tahoma" w:cs="Tahoma"/>
                      <w:sz w:val="20"/>
                      <w:szCs w:val="20"/>
                    </w:rPr>
                    <w:t xml:space="preserve">от </w:t>
                  </w:r>
                  <w:r w:rsidRPr="00D10F7B">
                    <w:rPr>
                      <w:rFonts w:ascii="Tahoma" w:hAnsi="Tahoma" w:cs="Tahoma"/>
                      <w:sz w:val="20"/>
                      <w:szCs w:val="20"/>
                    </w:rPr>
                    <w:t>30%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41D7FE2B" w14:textId="77777777" w:rsidR="009D1253" w:rsidRPr="002775A2" w:rsidRDefault="009D1253" w:rsidP="009D1253">
                  <w:pPr>
                    <w:jc w:val="right"/>
                    <w:rPr>
                      <w:rFonts w:ascii="Tahoma" w:hAnsi="Tahoma" w:cs="Tahoma"/>
                      <w:sz w:val="20"/>
                      <w:szCs w:val="20"/>
                    </w:rPr>
                  </w:pPr>
                  <w:r>
                    <w:rPr>
                      <w:rFonts w:ascii="Tahoma" w:hAnsi="Tahoma" w:cs="Tahoma"/>
                      <w:sz w:val="20"/>
                      <w:szCs w:val="20"/>
                    </w:rPr>
                    <w:t>15.4</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63E92E3" w14:textId="77777777" w:rsidR="009D1253" w:rsidRPr="002775A2" w:rsidRDefault="009D1253" w:rsidP="009D1253">
                  <w:pPr>
                    <w:jc w:val="right"/>
                    <w:rPr>
                      <w:rFonts w:ascii="Tahoma" w:hAnsi="Tahoma" w:cs="Tahoma"/>
                      <w:sz w:val="20"/>
                      <w:szCs w:val="20"/>
                    </w:rPr>
                  </w:pPr>
                  <w:r>
                    <w:rPr>
                      <w:rFonts w:ascii="Tahoma" w:hAnsi="Tahoma" w:cs="Tahoma"/>
                      <w:sz w:val="20"/>
                      <w:szCs w:val="20"/>
                    </w:rPr>
                    <w:t>17.8</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995CB14" w14:textId="77777777" w:rsidR="009D1253" w:rsidRPr="002775A2" w:rsidRDefault="009D1253" w:rsidP="009D1253">
                  <w:pPr>
                    <w:jc w:val="right"/>
                    <w:rPr>
                      <w:rFonts w:ascii="Tahoma" w:hAnsi="Tahoma" w:cs="Tahoma"/>
                      <w:sz w:val="20"/>
                      <w:szCs w:val="20"/>
                    </w:rPr>
                  </w:pPr>
                  <w:r>
                    <w:rPr>
                      <w:rFonts w:ascii="Tahoma" w:hAnsi="Tahoma" w:cs="Tahoma"/>
                      <w:sz w:val="20"/>
                      <w:szCs w:val="20"/>
                    </w:rPr>
                    <w:t>18.2</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29CBC73" w14:textId="77777777" w:rsidR="009D1253" w:rsidRPr="002775A2" w:rsidRDefault="009D1253" w:rsidP="009D1253">
                  <w:pPr>
                    <w:jc w:val="right"/>
                    <w:rPr>
                      <w:rFonts w:ascii="Tahoma" w:hAnsi="Tahoma" w:cs="Tahoma"/>
                      <w:sz w:val="20"/>
                      <w:szCs w:val="20"/>
                    </w:rPr>
                  </w:pPr>
                  <w:r>
                    <w:rPr>
                      <w:rFonts w:ascii="Tahoma" w:hAnsi="Tahoma" w:cs="Tahoma"/>
                      <w:sz w:val="20"/>
                      <w:szCs w:val="20"/>
                    </w:rPr>
                    <w:t>18.4</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1F636C2" w14:textId="77777777" w:rsidR="009D1253" w:rsidRPr="002775A2" w:rsidRDefault="009D1253" w:rsidP="009D1253">
                  <w:pPr>
                    <w:jc w:val="right"/>
                    <w:rPr>
                      <w:rFonts w:ascii="Tahoma" w:hAnsi="Tahoma" w:cs="Tahoma"/>
                      <w:sz w:val="20"/>
                      <w:szCs w:val="20"/>
                    </w:rPr>
                  </w:pPr>
                  <w:r>
                    <w:rPr>
                      <w:rFonts w:ascii="Tahoma" w:hAnsi="Tahoma" w:cs="Tahoma"/>
                      <w:sz w:val="20"/>
                      <w:szCs w:val="20"/>
                    </w:rPr>
                    <w:t>19.2</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D9F860B" w14:textId="77777777" w:rsidR="009D1253" w:rsidRPr="002775A2" w:rsidRDefault="009D1253" w:rsidP="009D1253">
                  <w:pPr>
                    <w:jc w:val="right"/>
                    <w:rPr>
                      <w:rFonts w:ascii="Tahoma" w:hAnsi="Tahoma" w:cs="Tahoma"/>
                      <w:sz w:val="20"/>
                      <w:szCs w:val="20"/>
                    </w:rPr>
                  </w:pPr>
                  <w:r>
                    <w:rPr>
                      <w:rFonts w:ascii="Tahoma" w:hAnsi="Tahoma" w:cs="Tahoma"/>
                      <w:sz w:val="20"/>
                      <w:szCs w:val="20"/>
                    </w:rPr>
                    <w:t>19.6</w:t>
                  </w:r>
                  <w:r w:rsidRPr="002775A2">
                    <w:rPr>
                      <w:rFonts w:ascii="Tahoma" w:hAnsi="Tahoma" w:cs="Tahoma"/>
                      <w:sz w:val="20"/>
                      <w:szCs w:val="20"/>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1BE6557A" w14:textId="77777777" w:rsidR="009D1253" w:rsidRPr="002775A2" w:rsidRDefault="009D1253" w:rsidP="009D1253">
                  <w:pPr>
                    <w:jc w:val="right"/>
                    <w:rPr>
                      <w:rFonts w:ascii="Tahoma" w:hAnsi="Tahoma" w:cs="Tahoma"/>
                      <w:sz w:val="20"/>
                      <w:szCs w:val="20"/>
                    </w:rPr>
                  </w:pPr>
                  <w:r>
                    <w:rPr>
                      <w:rFonts w:ascii="Tahoma" w:hAnsi="Tahoma" w:cs="Tahoma"/>
                      <w:sz w:val="20"/>
                      <w:szCs w:val="20"/>
                    </w:rPr>
                    <w:t>20.0</w:t>
                  </w:r>
                  <w:r w:rsidRPr="002775A2">
                    <w:rPr>
                      <w:rFonts w:ascii="Tahoma" w:hAnsi="Tahoma" w:cs="Tahoma"/>
                      <w:sz w:val="20"/>
                      <w:szCs w:val="20"/>
                    </w:rPr>
                    <w:t>%</w:t>
                  </w:r>
                </w:p>
              </w:tc>
            </w:tr>
            <w:tr w:rsidR="009D1253" w:rsidRPr="00D10F7B" w14:paraId="1C2EEE9A"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6D90580E" w14:textId="77777777" w:rsidR="009D1253" w:rsidRPr="00D10F7B" w:rsidRDefault="009D1253" w:rsidP="009D1253">
                  <w:pPr>
                    <w:jc w:val="right"/>
                    <w:rPr>
                      <w:rFonts w:ascii="Tahoma" w:hAnsi="Tahoma" w:cs="Tahoma"/>
                      <w:sz w:val="20"/>
                      <w:szCs w:val="20"/>
                    </w:rPr>
                  </w:pPr>
                  <w:r>
                    <w:rPr>
                      <w:rFonts w:ascii="Tahoma" w:hAnsi="Tahoma" w:cs="Tahoma"/>
                      <w:sz w:val="20"/>
                      <w:szCs w:val="20"/>
                    </w:rPr>
                    <w:t xml:space="preserve">от </w:t>
                  </w:r>
                  <w:r w:rsidRPr="00D10F7B">
                    <w:rPr>
                      <w:rFonts w:ascii="Tahoma" w:hAnsi="Tahoma" w:cs="Tahoma"/>
                      <w:sz w:val="20"/>
                      <w:szCs w:val="20"/>
                    </w:rPr>
                    <w:t>40%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558F0C31" w14:textId="77777777" w:rsidR="009D1253" w:rsidRPr="002775A2" w:rsidRDefault="009D1253" w:rsidP="009D1253">
                  <w:pPr>
                    <w:jc w:val="right"/>
                    <w:rPr>
                      <w:rFonts w:ascii="Tahoma" w:hAnsi="Tahoma" w:cs="Tahoma"/>
                      <w:sz w:val="20"/>
                      <w:szCs w:val="20"/>
                    </w:rPr>
                  </w:pPr>
                  <w:r>
                    <w:rPr>
                      <w:rFonts w:ascii="Tahoma" w:hAnsi="Tahoma" w:cs="Tahoma"/>
                      <w:sz w:val="20"/>
                      <w:szCs w:val="20"/>
                    </w:rPr>
                    <w:t>13.4</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BD39E6C" w14:textId="77777777" w:rsidR="009D1253" w:rsidRPr="002775A2" w:rsidRDefault="009D1253" w:rsidP="009D1253">
                  <w:pPr>
                    <w:jc w:val="right"/>
                    <w:rPr>
                      <w:rFonts w:ascii="Tahoma" w:hAnsi="Tahoma" w:cs="Tahoma"/>
                      <w:sz w:val="20"/>
                      <w:szCs w:val="20"/>
                    </w:rPr>
                  </w:pPr>
                  <w:r>
                    <w:rPr>
                      <w:rFonts w:ascii="Tahoma" w:hAnsi="Tahoma" w:cs="Tahoma"/>
                      <w:sz w:val="20"/>
                      <w:szCs w:val="20"/>
                    </w:rPr>
                    <w:t>16.6</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30718148" w14:textId="77777777" w:rsidR="009D1253" w:rsidRPr="002775A2" w:rsidRDefault="009D1253" w:rsidP="009D1253">
                  <w:pPr>
                    <w:jc w:val="right"/>
                    <w:rPr>
                      <w:rFonts w:ascii="Tahoma" w:hAnsi="Tahoma" w:cs="Tahoma"/>
                      <w:sz w:val="20"/>
                      <w:szCs w:val="20"/>
                    </w:rPr>
                  </w:pPr>
                  <w:r>
                    <w:rPr>
                      <w:rFonts w:ascii="Tahoma" w:hAnsi="Tahoma" w:cs="Tahoma"/>
                      <w:sz w:val="20"/>
                      <w:szCs w:val="20"/>
                    </w:rPr>
                    <w:t>17.2</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D797E4D" w14:textId="77777777" w:rsidR="009D1253" w:rsidRPr="002775A2" w:rsidRDefault="009D1253" w:rsidP="009D1253">
                  <w:pPr>
                    <w:jc w:val="right"/>
                    <w:rPr>
                      <w:rFonts w:ascii="Tahoma" w:hAnsi="Tahoma" w:cs="Tahoma"/>
                      <w:sz w:val="20"/>
                      <w:szCs w:val="20"/>
                    </w:rPr>
                  </w:pPr>
                  <w:r w:rsidRPr="002775A2">
                    <w:rPr>
                      <w:rFonts w:ascii="Tahoma" w:hAnsi="Tahoma" w:cs="Tahoma"/>
                      <w:sz w:val="20"/>
                      <w:szCs w:val="20"/>
                    </w:rPr>
                    <w:t>17.</w:t>
                  </w:r>
                  <w:r>
                    <w:rPr>
                      <w:rFonts w:ascii="Tahoma" w:hAnsi="Tahoma" w:cs="Tahoma"/>
                      <w:sz w:val="20"/>
                      <w:szCs w:val="20"/>
                    </w:rPr>
                    <w:t>2</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8EF0CF8" w14:textId="77777777" w:rsidR="009D1253" w:rsidRPr="002775A2" w:rsidRDefault="009D1253" w:rsidP="009D1253">
                  <w:pPr>
                    <w:jc w:val="right"/>
                    <w:rPr>
                      <w:rFonts w:ascii="Tahoma" w:hAnsi="Tahoma" w:cs="Tahoma"/>
                      <w:sz w:val="20"/>
                      <w:szCs w:val="20"/>
                    </w:rPr>
                  </w:pPr>
                  <w:r>
                    <w:rPr>
                      <w:rFonts w:ascii="Tahoma" w:hAnsi="Tahoma" w:cs="Tahoma"/>
                      <w:sz w:val="20"/>
                      <w:szCs w:val="20"/>
                    </w:rPr>
                    <w:t>18.0</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5D13406" w14:textId="77777777" w:rsidR="009D1253" w:rsidRPr="002775A2" w:rsidRDefault="009D1253" w:rsidP="009D1253">
                  <w:pPr>
                    <w:jc w:val="right"/>
                    <w:rPr>
                      <w:rFonts w:ascii="Tahoma" w:hAnsi="Tahoma" w:cs="Tahoma"/>
                      <w:sz w:val="20"/>
                      <w:szCs w:val="20"/>
                    </w:rPr>
                  </w:pPr>
                  <w:r>
                    <w:rPr>
                      <w:rFonts w:ascii="Tahoma" w:hAnsi="Tahoma" w:cs="Tahoma"/>
                      <w:sz w:val="20"/>
                      <w:szCs w:val="20"/>
                    </w:rPr>
                    <w:t>18.6</w:t>
                  </w:r>
                  <w:r w:rsidRPr="002775A2">
                    <w:rPr>
                      <w:rFonts w:ascii="Tahoma" w:hAnsi="Tahoma" w:cs="Tahoma"/>
                      <w:sz w:val="20"/>
                      <w:szCs w:val="20"/>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55C5B148" w14:textId="77777777" w:rsidR="009D1253" w:rsidRPr="002775A2" w:rsidRDefault="009D1253" w:rsidP="009D1253">
                  <w:pPr>
                    <w:jc w:val="right"/>
                    <w:rPr>
                      <w:rFonts w:ascii="Tahoma" w:hAnsi="Tahoma" w:cs="Tahoma"/>
                      <w:sz w:val="20"/>
                      <w:szCs w:val="20"/>
                    </w:rPr>
                  </w:pPr>
                  <w:r>
                    <w:rPr>
                      <w:rFonts w:ascii="Tahoma" w:hAnsi="Tahoma" w:cs="Tahoma"/>
                      <w:sz w:val="20"/>
                      <w:szCs w:val="20"/>
                    </w:rPr>
                    <w:t>18.8</w:t>
                  </w:r>
                  <w:r w:rsidRPr="002775A2">
                    <w:rPr>
                      <w:rFonts w:ascii="Tahoma" w:hAnsi="Tahoma" w:cs="Tahoma"/>
                      <w:sz w:val="20"/>
                      <w:szCs w:val="20"/>
                    </w:rPr>
                    <w:t>%</w:t>
                  </w:r>
                </w:p>
              </w:tc>
            </w:tr>
            <w:tr w:rsidR="009D1253" w:rsidRPr="00D10F7B" w14:paraId="242343DE"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4F843C72" w14:textId="77777777" w:rsidR="009D1253" w:rsidRPr="00D10F7B" w:rsidRDefault="009D1253" w:rsidP="009D1253">
                  <w:pPr>
                    <w:jc w:val="right"/>
                    <w:rPr>
                      <w:rFonts w:ascii="Tahoma" w:hAnsi="Tahoma" w:cs="Tahoma"/>
                      <w:sz w:val="20"/>
                      <w:szCs w:val="20"/>
                    </w:rPr>
                  </w:pPr>
                  <w:r>
                    <w:rPr>
                      <w:rFonts w:ascii="Tahoma" w:hAnsi="Tahoma" w:cs="Tahoma"/>
                      <w:sz w:val="20"/>
                      <w:szCs w:val="20"/>
                    </w:rPr>
                    <w:t xml:space="preserve">от </w:t>
                  </w:r>
                  <w:r w:rsidRPr="00D10F7B">
                    <w:rPr>
                      <w:rFonts w:ascii="Tahoma" w:hAnsi="Tahoma" w:cs="Tahoma"/>
                      <w:sz w:val="20"/>
                      <w:szCs w:val="20"/>
                    </w:rPr>
                    <w:t>50%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1F0FCB97" w14:textId="77777777" w:rsidR="009D1253" w:rsidRPr="002775A2" w:rsidRDefault="009D1253" w:rsidP="009D1253">
                  <w:pPr>
                    <w:jc w:val="right"/>
                    <w:rPr>
                      <w:rFonts w:ascii="Tahoma" w:hAnsi="Tahoma" w:cs="Tahoma"/>
                      <w:sz w:val="20"/>
                      <w:szCs w:val="20"/>
                    </w:rPr>
                  </w:pPr>
                  <w:r>
                    <w:rPr>
                      <w:rFonts w:ascii="Tahoma" w:hAnsi="Tahoma" w:cs="Tahoma"/>
                      <w:sz w:val="20"/>
                      <w:szCs w:val="20"/>
                    </w:rPr>
                    <w:t>10.8</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3C022218" w14:textId="77777777" w:rsidR="009D1253" w:rsidRPr="002775A2" w:rsidRDefault="009D1253" w:rsidP="009D1253">
                  <w:pPr>
                    <w:jc w:val="right"/>
                    <w:rPr>
                      <w:rFonts w:ascii="Tahoma" w:hAnsi="Tahoma" w:cs="Tahoma"/>
                      <w:sz w:val="20"/>
                      <w:szCs w:val="20"/>
                    </w:rPr>
                  </w:pPr>
                  <w:r>
                    <w:rPr>
                      <w:rFonts w:ascii="Tahoma" w:hAnsi="Tahoma" w:cs="Tahoma"/>
                      <w:sz w:val="20"/>
                      <w:szCs w:val="20"/>
                    </w:rPr>
                    <w:t>15.0</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38E2BC13" w14:textId="77777777" w:rsidR="009D1253" w:rsidRPr="002775A2" w:rsidRDefault="009D1253" w:rsidP="009D1253">
                  <w:pPr>
                    <w:jc w:val="right"/>
                    <w:rPr>
                      <w:rFonts w:ascii="Tahoma" w:hAnsi="Tahoma" w:cs="Tahoma"/>
                      <w:sz w:val="20"/>
                      <w:szCs w:val="20"/>
                    </w:rPr>
                  </w:pPr>
                  <w:r>
                    <w:rPr>
                      <w:rFonts w:ascii="Tahoma" w:hAnsi="Tahoma" w:cs="Tahoma"/>
                      <w:sz w:val="20"/>
                      <w:szCs w:val="20"/>
                    </w:rPr>
                    <w:t>15.8</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D55F812" w14:textId="77777777" w:rsidR="009D1253" w:rsidRPr="002775A2" w:rsidRDefault="009D1253" w:rsidP="009D1253">
                  <w:pPr>
                    <w:jc w:val="right"/>
                    <w:rPr>
                      <w:rFonts w:ascii="Tahoma" w:hAnsi="Tahoma" w:cs="Tahoma"/>
                      <w:sz w:val="20"/>
                      <w:szCs w:val="20"/>
                    </w:rPr>
                  </w:pPr>
                  <w:r>
                    <w:rPr>
                      <w:rFonts w:ascii="Tahoma" w:hAnsi="Tahoma" w:cs="Tahoma"/>
                      <w:sz w:val="20"/>
                      <w:szCs w:val="20"/>
                    </w:rPr>
                    <w:t>16.0</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61ABC35" w14:textId="77777777" w:rsidR="009D1253" w:rsidRPr="002775A2" w:rsidRDefault="009D1253" w:rsidP="009D1253">
                  <w:pPr>
                    <w:jc w:val="right"/>
                    <w:rPr>
                      <w:rFonts w:ascii="Tahoma" w:hAnsi="Tahoma" w:cs="Tahoma"/>
                      <w:sz w:val="20"/>
                      <w:szCs w:val="20"/>
                    </w:rPr>
                  </w:pPr>
                  <w:r>
                    <w:rPr>
                      <w:rFonts w:ascii="Tahoma" w:hAnsi="Tahoma" w:cs="Tahoma"/>
                      <w:sz w:val="20"/>
                      <w:szCs w:val="20"/>
                    </w:rPr>
                    <w:t>17.0</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AB305DD" w14:textId="77777777" w:rsidR="009D1253" w:rsidRPr="002775A2" w:rsidRDefault="009D1253" w:rsidP="009D1253">
                  <w:pPr>
                    <w:jc w:val="right"/>
                    <w:rPr>
                      <w:rFonts w:ascii="Tahoma" w:hAnsi="Tahoma" w:cs="Tahoma"/>
                      <w:sz w:val="20"/>
                      <w:szCs w:val="20"/>
                    </w:rPr>
                  </w:pPr>
                  <w:r>
                    <w:rPr>
                      <w:rFonts w:ascii="Tahoma" w:hAnsi="Tahoma" w:cs="Tahoma"/>
                      <w:sz w:val="20"/>
                      <w:szCs w:val="20"/>
                    </w:rPr>
                    <w:t>17.8</w:t>
                  </w:r>
                  <w:r w:rsidRPr="002775A2">
                    <w:rPr>
                      <w:rFonts w:ascii="Tahoma" w:hAnsi="Tahoma" w:cs="Tahoma"/>
                      <w:sz w:val="20"/>
                      <w:szCs w:val="20"/>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60F4A322" w14:textId="77777777" w:rsidR="009D1253" w:rsidRPr="002775A2" w:rsidRDefault="009D1253" w:rsidP="009D1253">
                  <w:pPr>
                    <w:jc w:val="right"/>
                    <w:rPr>
                      <w:rFonts w:ascii="Tahoma" w:hAnsi="Tahoma" w:cs="Tahoma"/>
                      <w:sz w:val="20"/>
                      <w:szCs w:val="20"/>
                    </w:rPr>
                  </w:pPr>
                  <w:r>
                    <w:rPr>
                      <w:rFonts w:ascii="Tahoma" w:hAnsi="Tahoma" w:cs="Tahoma"/>
                      <w:sz w:val="20"/>
                      <w:szCs w:val="20"/>
                    </w:rPr>
                    <w:t>18.0</w:t>
                  </w:r>
                  <w:r w:rsidRPr="002775A2">
                    <w:rPr>
                      <w:rFonts w:ascii="Tahoma" w:hAnsi="Tahoma" w:cs="Tahoma"/>
                      <w:sz w:val="20"/>
                      <w:szCs w:val="20"/>
                    </w:rPr>
                    <w:t>%</w:t>
                  </w:r>
                </w:p>
              </w:tc>
            </w:tr>
            <w:tr w:rsidR="009D1253" w:rsidRPr="00D10F7B" w14:paraId="1F56A301"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77EF606E" w14:textId="77777777" w:rsidR="009D1253" w:rsidRPr="00D10F7B" w:rsidRDefault="009D1253" w:rsidP="009D1253">
                  <w:pPr>
                    <w:jc w:val="right"/>
                    <w:rPr>
                      <w:rFonts w:ascii="Tahoma" w:hAnsi="Tahoma" w:cs="Tahoma"/>
                      <w:sz w:val="20"/>
                      <w:szCs w:val="20"/>
                    </w:rPr>
                  </w:pPr>
                  <w:r>
                    <w:rPr>
                      <w:rFonts w:ascii="Tahoma" w:hAnsi="Tahoma" w:cs="Tahoma"/>
                      <w:sz w:val="20"/>
                      <w:szCs w:val="20"/>
                    </w:rPr>
                    <w:t xml:space="preserve">от </w:t>
                  </w:r>
                  <w:r w:rsidRPr="00D10F7B">
                    <w:rPr>
                      <w:rFonts w:ascii="Tahoma" w:hAnsi="Tahoma" w:cs="Tahoma"/>
                      <w:sz w:val="20"/>
                      <w:szCs w:val="20"/>
                    </w:rPr>
                    <w:t>60%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3553526C" w14:textId="77777777" w:rsidR="009D1253" w:rsidRPr="002775A2" w:rsidRDefault="009D1253" w:rsidP="009D1253">
                  <w:pPr>
                    <w:jc w:val="right"/>
                    <w:rPr>
                      <w:rFonts w:ascii="Tahoma" w:hAnsi="Tahoma" w:cs="Tahoma"/>
                      <w:sz w:val="20"/>
                      <w:szCs w:val="20"/>
                    </w:rPr>
                  </w:pPr>
                  <w:r>
                    <w:rPr>
                      <w:rFonts w:ascii="Tahoma" w:hAnsi="Tahoma" w:cs="Tahoma"/>
                      <w:sz w:val="20"/>
                      <w:szCs w:val="20"/>
                    </w:rPr>
                    <w:t>7.0</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88DD9D1" w14:textId="77777777" w:rsidR="009D1253" w:rsidRPr="002775A2" w:rsidRDefault="009D1253" w:rsidP="009D1253">
                  <w:pPr>
                    <w:jc w:val="right"/>
                    <w:rPr>
                      <w:rFonts w:ascii="Tahoma" w:hAnsi="Tahoma" w:cs="Tahoma"/>
                      <w:sz w:val="20"/>
                      <w:szCs w:val="20"/>
                    </w:rPr>
                  </w:pPr>
                  <w:r>
                    <w:rPr>
                      <w:rFonts w:ascii="Tahoma" w:hAnsi="Tahoma" w:cs="Tahoma"/>
                      <w:sz w:val="20"/>
                      <w:szCs w:val="20"/>
                    </w:rPr>
                    <w:t>12.8</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4EA05EF" w14:textId="77777777" w:rsidR="009D1253" w:rsidRPr="002775A2" w:rsidRDefault="009D1253" w:rsidP="009D1253">
                  <w:pPr>
                    <w:jc w:val="right"/>
                    <w:rPr>
                      <w:rFonts w:ascii="Tahoma" w:hAnsi="Tahoma" w:cs="Tahoma"/>
                      <w:sz w:val="20"/>
                      <w:szCs w:val="20"/>
                    </w:rPr>
                  </w:pPr>
                  <w:r>
                    <w:rPr>
                      <w:rFonts w:ascii="Tahoma" w:hAnsi="Tahoma" w:cs="Tahoma"/>
                      <w:sz w:val="20"/>
                      <w:szCs w:val="20"/>
                    </w:rPr>
                    <w:t>14.0</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30F287F4" w14:textId="77777777" w:rsidR="009D1253" w:rsidRPr="002775A2" w:rsidRDefault="009D1253" w:rsidP="009D1253">
                  <w:pPr>
                    <w:jc w:val="right"/>
                    <w:rPr>
                      <w:rFonts w:ascii="Tahoma" w:hAnsi="Tahoma" w:cs="Tahoma"/>
                      <w:sz w:val="20"/>
                      <w:szCs w:val="20"/>
                    </w:rPr>
                  </w:pPr>
                  <w:r>
                    <w:rPr>
                      <w:rFonts w:ascii="Tahoma" w:hAnsi="Tahoma" w:cs="Tahoma"/>
                      <w:sz w:val="20"/>
                      <w:szCs w:val="20"/>
                    </w:rPr>
                    <w:t>14.2</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3566538" w14:textId="77777777" w:rsidR="009D1253" w:rsidRPr="002775A2" w:rsidRDefault="009D1253" w:rsidP="009D1253">
                  <w:pPr>
                    <w:jc w:val="right"/>
                    <w:rPr>
                      <w:rFonts w:ascii="Tahoma" w:hAnsi="Tahoma" w:cs="Tahoma"/>
                      <w:sz w:val="20"/>
                      <w:szCs w:val="20"/>
                    </w:rPr>
                  </w:pPr>
                  <w:r>
                    <w:rPr>
                      <w:rFonts w:ascii="Tahoma" w:hAnsi="Tahoma" w:cs="Tahoma"/>
                      <w:sz w:val="20"/>
                      <w:szCs w:val="20"/>
                    </w:rPr>
                    <w:t>15.6</w:t>
                  </w:r>
                  <w:r w:rsidRPr="002775A2">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475FD6C" w14:textId="77777777" w:rsidR="009D1253" w:rsidRPr="002775A2" w:rsidRDefault="009D1253" w:rsidP="009D1253">
                  <w:pPr>
                    <w:jc w:val="right"/>
                    <w:rPr>
                      <w:rFonts w:ascii="Tahoma" w:hAnsi="Tahoma" w:cs="Tahoma"/>
                      <w:sz w:val="20"/>
                      <w:szCs w:val="20"/>
                    </w:rPr>
                  </w:pPr>
                  <w:r>
                    <w:rPr>
                      <w:rFonts w:ascii="Tahoma" w:hAnsi="Tahoma" w:cs="Tahoma"/>
                      <w:sz w:val="20"/>
                      <w:szCs w:val="20"/>
                    </w:rPr>
                    <w:t>16.6</w:t>
                  </w:r>
                  <w:r w:rsidRPr="002775A2">
                    <w:rPr>
                      <w:rFonts w:ascii="Tahoma" w:hAnsi="Tahoma" w:cs="Tahoma"/>
                      <w:sz w:val="20"/>
                      <w:szCs w:val="20"/>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3D87D72D" w14:textId="77777777" w:rsidR="009D1253" w:rsidRPr="002775A2" w:rsidRDefault="009D1253" w:rsidP="009D1253">
                  <w:pPr>
                    <w:jc w:val="right"/>
                    <w:rPr>
                      <w:rFonts w:ascii="Tahoma" w:hAnsi="Tahoma" w:cs="Tahoma"/>
                      <w:sz w:val="20"/>
                      <w:szCs w:val="20"/>
                    </w:rPr>
                  </w:pPr>
                  <w:r>
                    <w:rPr>
                      <w:rFonts w:ascii="Tahoma" w:hAnsi="Tahoma" w:cs="Tahoma"/>
                      <w:sz w:val="20"/>
                      <w:szCs w:val="20"/>
                    </w:rPr>
                    <w:t>17.0</w:t>
                  </w:r>
                  <w:r w:rsidRPr="002775A2">
                    <w:rPr>
                      <w:rFonts w:ascii="Tahoma" w:hAnsi="Tahoma" w:cs="Tahoma"/>
                      <w:sz w:val="20"/>
                      <w:szCs w:val="20"/>
                    </w:rPr>
                    <w:t>%</w:t>
                  </w:r>
                </w:p>
              </w:tc>
            </w:tr>
            <w:tr w:rsidR="009D1253" w:rsidRPr="00D10F7B" w14:paraId="0898552F"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9933" w:type="dxa"/>
                  <w:gridSpan w:val="8"/>
                  <w:tcBorders>
                    <w:top w:val="single" w:sz="4" w:space="0" w:color="auto"/>
                    <w:left w:val="single" w:sz="4" w:space="0" w:color="auto"/>
                    <w:bottom w:val="single" w:sz="4" w:space="0" w:color="auto"/>
                    <w:right w:val="single" w:sz="4" w:space="0" w:color="auto"/>
                  </w:tcBorders>
                  <w:shd w:val="clear" w:color="auto" w:fill="FFFFFF" w:themeFill="background1"/>
                  <w:noWrap/>
                </w:tcPr>
                <w:p w14:paraId="59B8260B" w14:textId="77777777" w:rsidR="009D1253" w:rsidRPr="00D10F7B" w:rsidRDefault="009D1253" w:rsidP="009D1253">
                  <w:pPr>
                    <w:jc w:val="center"/>
                    <w:rPr>
                      <w:rFonts w:ascii="Tahoma" w:hAnsi="Tahoma" w:cs="Tahoma"/>
                      <w:sz w:val="20"/>
                      <w:szCs w:val="20"/>
                    </w:rPr>
                  </w:pPr>
                  <w:r w:rsidRPr="00D10F7B">
                    <w:rPr>
                      <w:rFonts w:ascii="Tahoma" w:hAnsi="Tahoma" w:cs="Tahoma"/>
                      <w:sz w:val="20"/>
                      <w:szCs w:val="20"/>
                    </w:rPr>
                    <w:t>Хонда_Стандарт</w:t>
                  </w:r>
                </w:p>
              </w:tc>
            </w:tr>
            <w:tr w:rsidR="009D1253" w:rsidRPr="00D10F7B" w14:paraId="7EF709F0"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center"/>
                </w:tcPr>
                <w:p w14:paraId="57088FBD" w14:textId="77777777" w:rsidR="009D1253" w:rsidRPr="00D10F7B" w:rsidRDefault="009D1253" w:rsidP="009D1253">
                  <w:pPr>
                    <w:jc w:val="right"/>
                    <w:rPr>
                      <w:rFonts w:ascii="Tahoma" w:hAnsi="Tahoma" w:cs="Tahoma"/>
                      <w:sz w:val="20"/>
                      <w:szCs w:val="20"/>
                    </w:rPr>
                  </w:pPr>
                  <w:r w:rsidRPr="00D10F7B">
                    <w:rPr>
                      <w:rFonts w:ascii="Tahoma" w:hAnsi="Tahoma" w:cs="Tahoma"/>
                      <w:sz w:val="20"/>
                      <w:szCs w:val="20"/>
                    </w:rPr>
                    <w:t>Первоначальный взнос\Срок</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E7F312E" w14:textId="77777777" w:rsidR="009D1253" w:rsidRPr="00D10F7B" w:rsidRDefault="009D1253" w:rsidP="009D1253">
                  <w:pPr>
                    <w:jc w:val="center"/>
                    <w:rPr>
                      <w:rFonts w:ascii="Tahoma" w:hAnsi="Tahoma" w:cs="Tahoma"/>
                      <w:sz w:val="20"/>
                      <w:szCs w:val="20"/>
                    </w:rPr>
                  </w:pPr>
                  <w:r w:rsidRPr="00D10F7B">
                    <w:rPr>
                      <w:rFonts w:ascii="Tahoma" w:hAnsi="Tahoma" w:cs="Tahoma"/>
                      <w:sz w:val="20"/>
                      <w:szCs w:val="20"/>
                    </w:rPr>
                    <w:t>13 мес</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center"/>
                </w:tcPr>
                <w:p w14:paraId="708EA4A6" w14:textId="77777777" w:rsidR="009D1253" w:rsidRPr="00D10F7B" w:rsidRDefault="009D1253" w:rsidP="009D1253">
                  <w:pPr>
                    <w:jc w:val="center"/>
                    <w:rPr>
                      <w:rFonts w:ascii="Tahoma" w:hAnsi="Tahoma" w:cs="Tahoma"/>
                      <w:sz w:val="20"/>
                      <w:szCs w:val="20"/>
                    </w:rPr>
                  </w:pPr>
                  <w:r w:rsidRPr="00D10F7B">
                    <w:rPr>
                      <w:rFonts w:ascii="Tahoma" w:hAnsi="Tahoma" w:cs="Tahoma"/>
                      <w:sz w:val="20"/>
                      <w:szCs w:val="20"/>
                    </w:rPr>
                    <w:t>24 мес</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center"/>
                </w:tcPr>
                <w:p w14:paraId="2B4F66B9" w14:textId="77777777" w:rsidR="009D1253" w:rsidRPr="00D10F7B" w:rsidRDefault="009D1253" w:rsidP="009D1253">
                  <w:pPr>
                    <w:jc w:val="center"/>
                    <w:rPr>
                      <w:rFonts w:ascii="Tahoma" w:hAnsi="Tahoma" w:cs="Tahoma"/>
                      <w:sz w:val="20"/>
                      <w:szCs w:val="20"/>
                    </w:rPr>
                  </w:pPr>
                  <w:r w:rsidRPr="00D10F7B">
                    <w:rPr>
                      <w:rFonts w:ascii="Tahoma" w:hAnsi="Tahoma" w:cs="Tahoma"/>
                      <w:sz w:val="20"/>
                      <w:szCs w:val="20"/>
                    </w:rPr>
                    <w:t>36 мес</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center"/>
                </w:tcPr>
                <w:p w14:paraId="202488C6" w14:textId="77777777" w:rsidR="009D1253" w:rsidRPr="00D10F7B" w:rsidRDefault="009D1253" w:rsidP="009D1253">
                  <w:pPr>
                    <w:jc w:val="center"/>
                    <w:rPr>
                      <w:rFonts w:ascii="Tahoma" w:hAnsi="Tahoma" w:cs="Tahoma"/>
                      <w:sz w:val="20"/>
                      <w:szCs w:val="20"/>
                    </w:rPr>
                  </w:pPr>
                  <w:r w:rsidRPr="00D10F7B">
                    <w:rPr>
                      <w:rFonts w:ascii="Tahoma" w:hAnsi="Tahoma" w:cs="Tahoma"/>
                      <w:sz w:val="20"/>
                      <w:szCs w:val="20"/>
                    </w:rPr>
                    <w:t>48 мес</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center"/>
                </w:tcPr>
                <w:p w14:paraId="349FC4EF" w14:textId="77777777" w:rsidR="009D1253" w:rsidRPr="00D10F7B" w:rsidRDefault="009D1253" w:rsidP="009D1253">
                  <w:pPr>
                    <w:jc w:val="center"/>
                    <w:rPr>
                      <w:rFonts w:ascii="Tahoma" w:hAnsi="Tahoma" w:cs="Tahoma"/>
                      <w:sz w:val="20"/>
                      <w:szCs w:val="20"/>
                    </w:rPr>
                  </w:pPr>
                  <w:r w:rsidRPr="00D10F7B">
                    <w:rPr>
                      <w:rFonts w:ascii="Tahoma" w:hAnsi="Tahoma" w:cs="Tahoma"/>
                      <w:sz w:val="20"/>
                      <w:szCs w:val="20"/>
                    </w:rPr>
                    <w:t>60 мес</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center"/>
                </w:tcPr>
                <w:p w14:paraId="7052D6B8" w14:textId="77777777" w:rsidR="009D1253" w:rsidRPr="00D10F7B" w:rsidRDefault="009D1253" w:rsidP="009D1253">
                  <w:pPr>
                    <w:jc w:val="center"/>
                    <w:rPr>
                      <w:rFonts w:ascii="Tahoma" w:hAnsi="Tahoma" w:cs="Tahoma"/>
                      <w:sz w:val="20"/>
                      <w:szCs w:val="20"/>
                    </w:rPr>
                  </w:pPr>
                  <w:r w:rsidRPr="00D10F7B">
                    <w:rPr>
                      <w:rFonts w:ascii="Tahoma" w:hAnsi="Tahoma" w:cs="Tahoma"/>
                      <w:sz w:val="20"/>
                      <w:szCs w:val="20"/>
                    </w:rPr>
                    <w:t>72 мес</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center"/>
                </w:tcPr>
                <w:p w14:paraId="35043F24" w14:textId="77777777" w:rsidR="009D1253" w:rsidRPr="00D10F7B" w:rsidRDefault="009D1253" w:rsidP="009D1253">
                  <w:pPr>
                    <w:jc w:val="center"/>
                    <w:rPr>
                      <w:rFonts w:ascii="Tahoma" w:hAnsi="Tahoma" w:cs="Tahoma"/>
                      <w:sz w:val="20"/>
                      <w:szCs w:val="20"/>
                    </w:rPr>
                  </w:pPr>
                  <w:r w:rsidRPr="00D10F7B">
                    <w:rPr>
                      <w:rFonts w:ascii="Tahoma" w:hAnsi="Tahoma" w:cs="Tahoma"/>
                      <w:sz w:val="20"/>
                      <w:szCs w:val="20"/>
                    </w:rPr>
                    <w:t>84 мес</w:t>
                  </w:r>
                </w:p>
              </w:tc>
            </w:tr>
            <w:tr w:rsidR="009D1253" w:rsidRPr="00D10F7B" w14:paraId="64ABEDE0"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66452F6D" w14:textId="77777777" w:rsidR="009D1253" w:rsidRPr="00D10F7B" w:rsidRDefault="009D1253" w:rsidP="009D1253">
                  <w:pPr>
                    <w:jc w:val="right"/>
                    <w:rPr>
                      <w:rFonts w:ascii="Tahoma" w:hAnsi="Tahoma" w:cs="Tahoma"/>
                      <w:sz w:val="20"/>
                      <w:szCs w:val="20"/>
                    </w:rPr>
                  </w:pPr>
                  <w:r>
                    <w:rPr>
                      <w:rFonts w:ascii="Tahoma" w:hAnsi="Tahoma" w:cs="Tahoma"/>
                      <w:sz w:val="20"/>
                      <w:szCs w:val="20"/>
                    </w:rPr>
                    <w:t xml:space="preserve">от </w:t>
                  </w:r>
                  <w:r w:rsidRPr="00D10F7B">
                    <w:rPr>
                      <w:rFonts w:ascii="Tahoma" w:hAnsi="Tahoma" w:cs="Tahoma"/>
                      <w:sz w:val="20"/>
                      <w:szCs w:val="20"/>
                    </w:rPr>
                    <w:t>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07395087" w14:textId="77777777" w:rsidR="009D1253" w:rsidRPr="001368AE" w:rsidRDefault="009D1253" w:rsidP="009D1253">
                  <w:pPr>
                    <w:jc w:val="right"/>
                    <w:rPr>
                      <w:rFonts w:ascii="Tahoma" w:hAnsi="Tahoma" w:cs="Tahoma"/>
                      <w:sz w:val="20"/>
                      <w:szCs w:val="20"/>
                    </w:rPr>
                  </w:pPr>
                  <w:r>
                    <w:rPr>
                      <w:rFonts w:ascii="Tahoma" w:hAnsi="Tahoma" w:cs="Tahoma"/>
                      <w:sz w:val="20"/>
                      <w:szCs w:val="20"/>
                    </w:rPr>
                    <w:t>25.5</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3CD2FC0C" w14:textId="77777777" w:rsidR="009D1253" w:rsidRPr="001368AE" w:rsidRDefault="009D1253" w:rsidP="009D1253">
                  <w:pPr>
                    <w:jc w:val="right"/>
                    <w:rPr>
                      <w:rFonts w:ascii="Tahoma" w:hAnsi="Tahoma" w:cs="Tahoma"/>
                      <w:sz w:val="20"/>
                      <w:szCs w:val="20"/>
                    </w:rPr>
                  </w:pPr>
                  <w:r>
                    <w:rPr>
                      <w:rFonts w:ascii="Tahoma" w:hAnsi="Tahoma" w:cs="Tahoma"/>
                      <w:sz w:val="20"/>
                      <w:szCs w:val="20"/>
                    </w:rPr>
                    <w:t>23.0</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51C2A43" w14:textId="77777777" w:rsidR="009D1253" w:rsidRPr="001368AE" w:rsidRDefault="009D1253" w:rsidP="009D1253">
                  <w:pPr>
                    <w:jc w:val="right"/>
                    <w:rPr>
                      <w:rFonts w:ascii="Tahoma" w:hAnsi="Tahoma" w:cs="Tahoma"/>
                      <w:sz w:val="20"/>
                      <w:szCs w:val="20"/>
                    </w:rPr>
                  </w:pPr>
                  <w:r>
                    <w:rPr>
                      <w:rFonts w:ascii="Tahoma" w:hAnsi="Tahoma" w:cs="Tahoma"/>
                      <w:sz w:val="20"/>
                      <w:szCs w:val="20"/>
                    </w:rPr>
                    <w:t>23.0</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248DEDE9" w14:textId="77777777" w:rsidR="009D1253" w:rsidRPr="001368AE" w:rsidRDefault="009D1253" w:rsidP="009D1253">
                  <w:pPr>
                    <w:jc w:val="right"/>
                    <w:rPr>
                      <w:rFonts w:ascii="Tahoma" w:hAnsi="Tahoma" w:cs="Tahoma"/>
                      <w:sz w:val="20"/>
                      <w:szCs w:val="20"/>
                    </w:rPr>
                  </w:pPr>
                  <w:r>
                    <w:rPr>
                      <w:rFonts w:ascii="Tahoma" w:hAnsi="Tahoma" w:cs="Tahoma"/>
                      <w:sz w:val="20"/>
                      <w:szCs w:val="20"/>
                    </w:rPr>
                    <w:t>23.0</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3ECC581" w14:textId="77777777" w:rsidR="009D1253" w:rsidRPr="001368AE" w:rsidRDefault="009D1253" w:rsidP="009D1253">
                  <w:pPr>
                    <w:jc w:val="right"/>
                    <w:rPr>
                      <w:rFonts w:ascii="Tahoma" w:hAnsi="Tahoma" w:cs="Tahoma"/>
                      <w:sz w:val="20"/>
                      <w:szCs w:val="20"/>
                    </w:rPr>
                  </w:pPr>
                  <w:r>
                    <w:rPr>
                      <w:rFonts w:ascii="Tahoma" w:hAnsi="Tahoma" w:cs="Tahoma"/>
                      <w:sz w:val="20"/>
                      <w:szCs w:val="20"/>
                    </w:rPr>
                    <w:t>23.0</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D61D91A" w14:textId="77777777" w:rsidR="009D1253" w:rsidRPr="001368AE" w:rsidRDefault="009D1253" w:rsidP="009D1253">
                  <w:pPr>
                    <w:jc w:val="right"/>
                    <w:rPr>
                      <w:rFonts w:ascii="Tahoma" w:hAnsi="Tahoma" w:cs="Tahoma"/>
                      <w:sz w:val="20"/>
                      <w:szCs w:val="20"/>
                    </w:rPr>
                  </w:pPr>
                  <w:r>
                    <w:rPr>
                      <w:rFonts w:ascii="Tahoma" w:hAnsi="Tahoma" w:cs="Tahoma"/>
                      <w:sz w:val="20"/>
                      <w:szCs w:val="20"/>
                    </w:rPr>
                    <w:t>23.0</w:t>
                  </w:r>
                  <w:r w:rsidRPr="001368AE">
                    <w:rPr>
                      <w:rFonts w:ascii="Tahoma" w:hAnsi="Tahoma" w:cs="Tahoma"/>
                      <w:sz w:val="20"/>
                      <w:szCs w:val="20"/>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0DD2A260" w14:textId="77777777" w:rsidR="009D1253" w:rsidRPr="001368AE" w:rsidRDefault="009D1253" w:rsidP="009D1253">
                  <w:pPr>
                    <w:jc w:val="right"/>
                    <w:rPr>
                      <w:rFonts w:ascii="Tahoma" w:hAnsi="Tahoma" w:cs="Tahoma"/>
                      <w:sz w:val="20"/>
                      <w:szCs w:val="20"/>
                    </w:rPr>
                  </w:pPr>
                  <w:r>
                    <w:rPr>
                      <w:rFonts w:ascii="Tahoma" w:hAnsi="Tahoma" w:cs="Tahoma"/>
                      <w:sz w:val="20"/>
                      <w:szCs w:val="20"/>
                    </w:rPr>
                    <w:t>23.0</w:t>
                  </w:r>
                  <w:r w:rsidRPr="001368AE">
                    <w:rPr>
                      <w:rFonts w:ascii="Tahoma" w:hAnsi="Tahoma" w:cs="Tahoma"/>
                      <w:sz w:val="20"/>
                      <w:szCs w:val="20"/>
                    </w:rPr>
                    <w:t>%</w:t>
                  </w:r>
                </w:p>
              </w:tc>
            </w:tr>
            <w:tr w:rsidR="009D1253" w:rsidRPr="00D10F7B" w14:paraId="6ED3A4CD"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32D1A2A3" w14:textId="77777777" w:rsidR="009D1253" w:rsidRPr="00D10F7B" w:rsidRDefault="009D1253" w:rsidP="009D1253">
                  <w:pPr>
                    <w:jc w:val="right"/>
                    <w:rPr>
                      <w:rFonts w:ascii="Tahoma" w:hAnsi="Tahoma" w:cs="Tahoma"/>
                      <w:sz w:val="20"/>
                      <w:szCs w:val="20"/>
                    </w:rPr>
                  </w:pPr>
                  <w:r>
                    <w:rPr>
                      <w:rFonts w:ascii="Tahoma" w:hAnsi="Tahoma" w:cs="Tahoma"/>
                      <w:sz w:val="20"/>
                      <w:szCs w:val="20"/>
                    </w:rPr>
                    <w:t xml:space="preserve">от </w:t>
                  </w:r>
                  <w:r w:rsidRPr="00D10F7B">
                    <w:rPr>
                      <w:rFonts w:ascii="Tahoma" w:hAnsi="Tahoma" w:cs="Tahoma"/>
                      <w:sz w:val="20"/>
                      <w:szCs w:val="20"/>
                    </w:rPr>
                    <w:t>10%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2F590F26" w14:textId="77777777" w:rsidR="009D1253" w:rsidRPr="001368AE" w:rsidRDefault="009D1253" w:rsidP="009D1253">
                  <w:pPr>
                    <w:jc w:val="right"/>
                    <w:rPr>
                      <w:rFonts w:ascii="Tahoma" w:hAnsi="Tahoma" w:cs="Tahoma"/>
                      <w:sz w:val="20"/>
                      <w:szCs w:val="20"/>
                    </w:rPr>
                  </w:pPr>
                  <w:r>
                    <w:rPr>
                      <w:rFonts w:ascii="Tahoma" w:hAnsi="Tahoma" w:cs="Tahoma"/>
                      <w:sz w:val="20"/>
                      <w:szCs w:val="20"/>
                    </w:rPr>
                    <w:t>22.4</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6A6E6AC" w14:textId="77777777" w:rsidR="009D1253" w:rsidRPr="001368AE" w:rsidRDefault="009D1253" w:rsidP="009D1253">
                  <w:pPr>
                    <w:jc w:val="right"/>
                    <w:rPr>
                      <w:rFonts w:ascii="Tahoma" w:hAnsi="Tahoma" w:cs="Tahoma"/>
                      <w:sz w:val="20"/>
                      <w:szCs w:val="20"/>
                    </w:rPr>
                  </w:pPr>
                  <w:r>
                    <w:rPr>
                      <w:rFonts w:ascii="Tahoma" w:hAnsi="Tahoma" w:cs="Tahoma"/>
                      <w:sz w:val="20"/>
                      <w:szCs w:val="20"/>
                    </w:rPr>
                    <w:t>22.0</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4BEBFAFF" w14:textId="77777777" w:rsidR="009D1253" w:rsidRPr="001368AE" w:rsidRDefault="009D1253" w:rsidP="009D1253">
                  <w:pPr>
                    <w:jc w:val="right"/>
                    <w:rPr>
                      <w:rFonts w:ascii="Tahoma" w:hAnsi="Tahoma" w:cs="Tahoma"/>
                      <w:sz w:val="20"/>
                      <w:szCs w:val="20"/>
                    </w:rPr>
                  </w:pPr>
                  <w:r>
                    <w:rPr>
                      <w:rFonts w:ascii="Tahoma" w:hAnsi="Tahoma" w:cs="Tahoma"/>
                      <w:sz w:val="20"/>
                      <w:szCs w:val="20"/>
                    </w:rPr>
                    <w:t>22.0</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3708F06A" w14:textId="77777777" w:rsidR="009D1253" w:rsidRPr="001368AE" w:rsidRDefault="009D1253" w:rsidP="009D1253">
                  <w:pPr>
                    <w:jc w:val="right"/>
                    <w:rPr>
                      <w:rFonts w:ascii="Tahoma" w:hAnsi="Tahoma" w:cs="Tahoma"/>
                      <w:sz w:val="20"/>
                      <w:szCs w:val="20"/>
                    </w:rPr>
                  </w:pPr>
                  <w:r>
                    <w:rPr>
                      <w:rFonts w:ascii="Tahoma" w:hAnsi="Tahoma" w:cs="Tahoma"/>
                      <w:sz w:val="20"/>
                      <w:szCs w:val="20"/>
                    </w:rPr>
                    <w:t>22.0</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CFBDBEF" w14:textId="77777777" w:rsidR="009D1253" w:rsidRPr="001368AE" w:rsidRDefault="009D1253" w:rsidP="009D1253">
                  <w:pPr>
                    <w:jc w:val="right"/>
                    <w:rPr>
                      <w:rFonts w:ascii="Tahoma" w:hAnsi="Tahoma" w:cs="Tahoma"/>
                      <w:sz w:val="20"/>
                      <w:szCs w:val="20"/>
                    </w:rPr>
                  </w:pPr>
                  <w:r>
                    <w:rPr>
                      <w:rFonts w:ascii="Tahoma" w:hAnsi="Tahoma" w:cs="Tahoma"/>
                      <w:sz w:val="20"/>
                      <w:szCs w:val="20"/>
                    </w:rPr>
                    <w:t>22.2</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5316054" w14:textId="77777777" w:rsidR="009D1253" w:rsidRPr="001368AE" w:rsidRDefault="009D1253" w:rsidP="009D1253">
                  <w:pPr>
                    <w:jc w:val="right"/>
                    <w:rPr>
                      <w:rFonts w:ascii="Tahoma" w:hAnsi="Tahoma" w:cs="Tahoma"/>
                      <w:sz w:val="20"/>
                      <w:szCs w:val="20"/>
                    </w:rPr>
                  </w:pPr>
                  <w:r>
                    <w:rPr>
                      <w:rFonts w:ascii="Tahoma" w:hAnsi="Tahoma" w:cs="Tahoma"/>
                      <w:sz w:val="20"/>
                      <w:szCs w:val="20"/>
                    </w:rPr>
                    <w:t>22.2</w:t>
                  </w:r>
                  <w:r w:rsidRPr="001368AE">
                    <w:rPr>
                      <w:rFonts w:ascii="Tahoma" w:hAnsi="Tahoma" w:cs="Tahoma"/>
                      <w:sz w:val="20"/>
                      <w:szCs w:val="20"/>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22493DC6" w14:textId="77777777" w:rsidR="009D1253" w:rsidRPr="001368AE" w:rsidRDefault="009D1253" w:rsidP="009D1253">
                  <w:pPr>
                    <w:jc w:val="right"/>
                    <w:rPr>
                      <w:rFonts w:ascii="Tahoma" w:hAnsi="Tahoma" w:cs="Tahoma"/>
                      <w:sz w:val="20"/>
                      <w:szCs w:val="20"/>
                    </w:rPr>
                  </w:pPr>
                  <w:r>
                    <w:rPr>
                      <w:rFonts w:ascii="Tahoma" w:hAnsi="Tahoma" w:cs="Tahoma"/>
                      <w:sz w:val="20"/>
                      <w:szCs w:val="20"/>
                    </w:rPr>
                    <w:t>22.6</w:t>
                  </w:r>
                  <w:r w:rsidRPr="001368AE">
                    <w:rPr>
                      <w:rFonts w:ascii="Tahoma" w:hAnsi="Tahoma" w:cs="Tahoma"/>
                      <w:sz w:val="20"/>
                      <w:szCs w:val="20"/>
                    </w:rPr>
                    <w:t>%</w:t>
                  </w:r>
                </w:p>
              </w:tc>
            </w:tr>
            <w:tr w:rsidR="009D1253" w:rsidRPr="00D10F7B" w14:paraId="22423C36"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48663E70" w14:textId="77777777" w:rsidR="009D1253" w:rsidRPr="00D10F7B" w:rsidRDefault="009D1253" w:rsidP="009D1253">
                  <w:pPr>
                    <w:jc w:val="right"/>
                    <w:rPr>
                      <w:rFonts w:ascii="Tahoma" w:hAnsi="Tahoma" w:cs="Tahoma"/>
                      <w:sz w:val="20"/>
                      <w:szCs w:val="20"/>
                    </w:rPr>
                  </w:pPr>
                  <w:r>
                    <w:rPr>
                      <w:rFonts w:ascii="Tahoma" w:hAnsi="Tahoma" w:cs="Tahoma"/>
                      <w:sz w:val="20"/>
                      <w:szCs w:val="20"/>
                    </w:rPr>
                    <w:t xml:space="preserve">от </w:t>
                  </w:r>
                  <w:r w:rsidRPr="00D10F7B">
                    <w:rPr>
                      <w:rFonts w:ascii="Tahoma" w:hAnsi="Tahoma" w:cs="Tahoma"/>
                      <w:sz w:val="20"/>
                      <w:szCs w:val="20"/>
                    </w:rPr>
                    <w:t>20%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1576332B" w14:textId="77777777" w:rsidR="009D1253" w:rsidRPr="001368AE" w:rsidRDefault="009D1253" w:rsidP="009D1253">
                  <w:pPr>
                    <w:jc w:val="right"/>
                    <w:rPr>
                      <w:rFonts w:ascii="Tahoma" w:hAnsi="Tahoma" w:cs="Tahoma"/>
                      <w:sz w:val="20"/>
                      <w:szCs w:val="20"/>
                    </w:rPr>
                  </w:pPr>
                  <w:r>
                    <w:rPr>
                      <w:rFonts w:ascii="Tahoma" w:hAnsi="Tahoma" w:cs="Tahoma"/>
                      <w:sz w:val="20"/>
                      <w:szCs w:val="20"/>
                    </w:rPr>
                    <w:t>21.2</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295C259" w14:textId="77777777" w:rsidR="009D1253" w:rsidRPr="001368AE" w:rsidRDefault="009D1253" w:rsidP="009D1253">
                  <w:pPr>
                    <w:jc w:val="right"/>
                    <w:rPr>
                      <w:rFonts w:ascii="Tahoma" w:hAnsi="Tahoma" w:cs="Tahoma"/>
                      <w:sz w:val="20"/>
                      <w:szCs w:val="20"/>
                    </w:rPr>
                  </w:pPr>
                  <w:r>
                    <w:rPr>
                      <w:rFonts w:ascii="Tahoma" w:hAnsi="Tahoma" w:cs="Tahoma"/>
                      <w:sz w:val="20"/>
                      <w:szCs w:val="20"/>
                    </w:rPr>
                    <w:t>21.2</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64DC657" w14:textId="77777777" w:rsidR="009D1253" w:rsidRPr="001368AE" w:rsidRDefault="009D1253" w:rsidP="009D1253">
                  <w:pPr>
                    <w:jc w:val="right"/>
                    <w:rPr>
                      <w:rFonts w:ascii="Tahoma" w:hAnsi="Tahoma" w:cs="Tahoma"/>
                      <w:sz w:val="20"/>
                      <w:szCs w:val="20"/>
                    </w:rPr>
                  </w:pPr>
                  <w:r>
                    <w:rPr>
                      <w:rFonts w:ascii="Tahoma" w:hAnsi="Tahoma" w:cs="Tahoma"/>
                      <w:sz w:val="20"/>
                      <w:szCs w:val="20"/>
                    </w:rPr>
                    <w:t>21.2</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20BEFB1B" w14:textId="77777777" w:rsidR="009D1253" w:rsidRPr="001368AE" w:rsidRDefault="009D1253" w:rsidP="009D1253">
                  <w:pPr>
                    <w:jc w:val="right"/>
                    <w:rPr>
                      <w:rFonts w:ascii="Tahoma" w:hAnsi="Tahoma" w:cs="Tahoma"/>
                      <w:sz w:val="20"/>
                      <w:szCs w:val="20"/>
                    </w:rPr>
                  </w:pPr>
                  <w:r>
                    <w:rPr>
                      <w:rFonts w:ascii="Tahoma" w:hAnsi="Tahoma" w:cs="Tahoma"/>
                      <w:sz w:val="20"/>
                      <w:szCs w:val="20"/>
                    </w:rPr>
                    <w:t>21.2</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9B40C41" w14:textId="77777777" w:rsidR="009D1253" w:rsidRPr="001368AE" w:rsidRDefault="009D1253" w:rsidP="009D1253">
                  <w:pPr>
                    <w:jc w:val="right"/>
                    <w:rPr>
                      <w:rFonts w:ascii="Tahoma" w:hAnsi="Tahoma" w:cs="Tahoma"/>
                      <w:sz w:val="20"/>
                      <w:szCs w:val="20"/>
                    </w:rPr>
                  </w:pPr>
                  <w:r>
                    <w:rPr>
                      <w:rFonts w:ascii="Tahoma" w:hAnsi="Tahoma" w:cs="Tahoma"/>
                      <w:sz w:val="20"/>
                      <w:szCs w:val="20"/>
                    </w:rPr>
                    <w:t>21.4</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B470475" w14:textId="77777777" w:rsidR="009D1253" w:rsidRPr="001368AE" w:rsidRDefault="009D1253" w:rsidP="009D1253">
                  <w:pPr>
                    <w:jc w:val="right"/>
                    <w:rPr>
                      <w:rFonts w:ascii="Tahoma" w:hAnsi="Tahoma" w:cs="Tahoma"/>
                      <w:sz w:val="20"/>
                      <w:szCs w:val="20"/>
                    </w:rPr>
                  </w:pPr>
                  <w:r>
                    <w:rPr>
                      <w:rFonts w:ascii="Tahoma" w:hAnsi="Tahoma" w:cs="Tahoma"/>
                      <w:sz w:val="20"/>
                      <w:szCs w:val="20"/>
                    </w:rPr>
                    <w:t>21.4</w:t>
                  </w:r>
                  <w:r w:rsidRPr="001368AE">
                    <w:rPr>
                      <w:rFonts w:ascii="Tahoma" w:hAnsi="Tahoma" w:cs="Tahoma"/>
                      <w:sz w:val="20"/>
                      <w:szCs w:val="20"/>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1E82FD75" w14:textId="77777777" w:rsidR="009D1253" w:rsidRPr="001368AE" w:rsidRDefault="009D1253" w:rsidP="009D1253">
                  <w:pPr>
                    <w:jc w:val="right"/>
                    <w:rPr>
                      <w:rFonts w:ascii="Tahoma" w:hAnsi="Tahoma" w:cs="Tahoma"/>
                      <w:sz w:val="20"/>
                      <w:szCs w:val="20"/>
                    </w:rPr>
                  </w:pPr>
                  <w:r>
                    <w:rPr>
                      <w:rFonts w:ascii="Tahoma" w:hAnsi="Tahoma" w:cs="Tahoma"/>
                      <w:sz w:val="20"/>
                      <w:szCs w:val="20"/>
                    </w:rPr>
                    <w:t>21.4</w:t>
                  </w:r>
                  <w:r w:rsidRPr="001368AE">
                    <w:rPr>
                      <w:rFonts w:ascii="Tahoma" w:hAnsi="Tahoma" w:cs="Tahoma"/>
                      <w:sz w:val="20"/>
                      <w:szCs w:val="20"/>
                    </w:rPr>
                    <w:t>%</w:t>
                  </w:r>
                </w:p>
              </w:tc>
            </w:tr>
            <w:tr w:rsidR="009D1253" w:rsidRPr="00D10F7B" w14:paraId="5732DDFB"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620C9AC3" w14:textId="77777777" w:rsidR="009D1253" w:rsidRPr="00D10F7B" w:rsidRDefault="009D1253" w:rsidP="009D1253">
                  <w:pPr>
                    <w:jc w:val="right"/>
                    <w:rPr>
                      <w:rFonts w:ascii="Tahoma" w:hAnsi="Tahoma" w:cs="Tahoma"/>
                      <w:sz w:val="20"/>
                      <w:szCs w:val="20"/>
                    </w:rPr>
                  </w:pPr>
                  <w:r>
                    <w:rPr>
                      <w:rFonts w:ascii="Tahoma" w:hAnsi="Tahoma" w:cs="Tahoma"/>
                      <w:sz w:val="20"/>
                      <w:szCs w:val="20"/>
                    </w:rPr>
                    <w:t xml:space="preserve">от </w:t>
                  </w:r>
                  <w:r w:rsidRPr="00D10F7B">
                    <w:rPr>
                      <w:rFonts w:ascii="Tahoma" w:hAnsi="Tahoma" w:cs="Tahoma"/>
                      <w:sz w:val="20"/>
                      <w:szCs w:val="20"/>
                    </w:rPr>
                    <w:t>30%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189A1F0E" w14:textId="77777777" w:rsidR="009D1253" w:rsidRPr="001368AE" w:rsidRDefault="009D1253" w:rsidP="009D1253">
                  <w:pPr>
                    <w:jc w:val="right"/>
                    <w:rPr>
                      <w:rFonts w:ascii="Tahoma" w:hAnsi="Tahoma" w:cs="Tahoma"/>
                      <w:sz w:val="20"/>
                      <w:szCs w:val="20"/>
                    </w:rPr>
                  </w:pPr>
                  <w:r>
                    <w:rPr>
                      <w:rFonts w:ascii="Tahoma" w:hAnsi="Tahoma" w:cs="Tahoma"/>
                      <w:sz w:val="20"/>
                      <w:szCs w:val="20"/>
                    </w:rPr>
                    <w:t>19.4</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BA62B5C" w14:textId="77777777" w:rsidR="009D1253" w:rsidRPr="001368AE" w:rsidRDefault="009D1253" w:rsidP="009D1253">
                  <w:pPr>
                    <w:jc w:val="right"/>
                    <w:rPr>
                      <w:rFonts w:ascii="Tahoma" w:hAnsi="Tahoma" w:cs="Tahoma"/>
                      <w:sz w:val="20"/>
                      <w:szCs w:val="20"/>
                    </w:rPr>
                  </w:pPr>
                  <w:r>
                    <w:rPr>
                      <w:rFonts w:ascii="Tahoma" w:hAnsi="Tahoma" w:cs="Tahoma"/>
                      <w:sz w:val="20"/>
                      <w:szCs w:val="20"/>
                    </w:rPr>
                    <w:t>20.0</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0DA4901" w14:textId="77777777" w:rsidR="009D1253" w:rsidRPr="001368AE" w:rsidRDefault="009D1253" w:rsidP="009D1253">
                  <w:pPr>
                    <w:jc w:val="right"/>
                    <w:rPr>
                      <w:rFonts w:ascii="Tahoma" w:hAnsi="Tahoma" w:cs="Tahoma"/>
                      <w:sz w:val="20"/>
                      <w:szCs w:val="20"/>
                    </w:rPr>
                  </w:pPr>
                  <w:r>
                    <w:rPr>
                      <w:rFonts w:ascii="Tahoma" w:hAnsi="Tahoma" w:cs="Tahoma"/>
                      <w:sz w:val="20"/>
                      <w:szCs w:val="20"/>
                    </w:rPr>
                    <w:t>20.2</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312F8A73" w14:textId="77777777" w:rsidR="009D1253" w:rsidRPr="001368AE" w:rsidRDefault="009D1253" w:rsidP="009D1253">
                  <w:pPr>
                    <w:jc w:val="right"/>
                    <w:rPr>
                      <w:rFonts w:ascii="Tahoma" w:hAnsi="Tahoma" w:cs="Tahoma"/>
                      <w:sz w:val="20"/>
                      <w:szCs w:val="20"/>
                    </w:rPr>
                  </w:pPr>
                  <w:r>
                    <w:rPr>
                      <w:rFonts w:ascii="Tahoma" w:hAnsi="Tahoma" w:cs="Tahoma"/>
                      <w:sz w:val="20"/>
                      <w:szCs w:val="20"/>
                    </w:rPr>
                    <w:t>20.2</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7DF2483" w14:textId="77777777" w:rsidR="009D1253" w:rsidRPr="001368AE" w:rsidRDefault="009D1253" w:rsidP="009D1253">
                  <w:pPr>
                    <w:jc w:val="right"/>
                    <w:rPr>
                      <w:rFonts w:ascii="Tahoma" w:hAnsi="Tahoma" w:cs="Tahoma"/>
                      <w:sz w:val="20"/>
                      <w:szCs w:val="20"/>
                    </w:rPr>
                  </w:pPr>
                  <w:r>
                    <w:rPr>
                      <w:rFonts w:ascii="Tahoma" w:hAnsi="Tahoma" w:cs="Tahoma"/>
                      <w:sz w:val="20"/>
                      <w:szCs w:val="20"/>
                    </w:rPr>
                    <w:t>20.6</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6887B0D" w14:textId="77777777" w:rsidR="009D1253" w:rsidRPr="001368AE" w:rsidRDefault="009D1253" w:rsidP="009D1253">
                  <w:pPr>
                    <w:jc w:val="right"/>
                    <w:rPr>
                      <w:rFonts w:ascii="Tahoma" w:hAnsi="Tahoma" w:cs="Tahoma"/>
                      <w:sz w:val="20"/>
                      <w:szCs w:val="20"/>
                    </w:rPr>
                  </w:pPr>
                  <w:r>
                    <w:rPr>
                      <w:rFonts w:ascii="Tahoma" w:hAnsi="Tahoma" w:cs="Tahoma"/>
                      <w:sz w:val="20"/>
                      <w:szCs w:val="20"/>
                    </w:rPr>
                    <w:t>20.8</w:t>
                  </w:r>
                  <w:r w:rsidRPr="001368AE">
                    <w:rPr>
                      <w:rFonts w:ascii="Tahoma" w:hAnsi="Tahoma" w:cs="Tahoma"/>
                      <w:sz w:val="20"/>
                      <w:szCs w:val="20"/>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0CE563D0" w14:textId="77777777" w:rsidR="009D1253" w:rsidRPr="001368AE" w:rsidRDefault="009D1253" w:rsidP="009D1253">
                  <w:pPr>
                    <w:jc w:val="right"/>
                    <w:rPr>
                      <w:rFonts w:ascii="Tahoma" w:hAnsi="Tahoma" w:cs="Tahoma"/>
                      <w:sz w:val="20"/>
                      <w:szCs w:val="20"/>
                    </w:rPr>
                  </w:pPr>
                  <w:r>
                    <w:rPr>
                      <w:rFonts w:ascii="Tahoma" w:hAnsi="Tahoma" w:cs="Tahoma"/>
                      <w:sz w:val="20"/>
                      <w:szCs w:val="20"/>
                    </w:rPr>
                    <w:t>21.0</w:t>
                  </w:r>
                  <w:r w:rsidRPr="001368AE">
                    <w:rPr>
                      <w:rFonts w:ascii="Tahoma" w:hAnsi="Tahoma" w:cs="Tahoma"/>
                      <w:sz w:val="20"/>
                      <w:szCs w:val="20"/>
                    </w:rPr>
                    <w:t>%</w:t>
                  </w:r>
                </w:p>
              </w:tc>
            </w:tr>
            <w:tr w:rsidR="009D1253" w:rsidRPr="00D10F7B" w14:paraId="369360FA"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557AC198" w14:textId="77777777" w:rsidR="009D1253" w:rsidRPr="00D10F7B" w:rsidRDefault="009D1253" w:rsidP="009D1253">
                  <w:pPr>
                    <w:jc w:val="right"/>
                    <w:rPr>
                      <w:rFonts w:ascii="Tahoma" w:hAnsi="Tahoma" w:cs="Tahoma"/>
                      <w:sz w:val="20"/>
                      <w:szCs w:val="20"/>
                    </w:rPr>
                  </w:pPr>
                  <w:r>
                    <w:rPr>
                      <w:rFonts w:ascii="Tahoma" w:hAnsi="Tahoma" w:cs="Tahoma"/>
                      <w:sz w:val="20"/>
                      <w:szCs w:val="20"/>
                    </w:rPr>
                    <w:t xml:space="preserve">от </w:t>
                  </w:r>
                  <w:r w:rsidRPr="00D10F7B">
                    <w:rPr>
                      <w:rFonts w:ascii="Tahoma" w:hAnsi="Tahoma" w:cs="Tahoma"/>
                      <w:sz w:val="20"/>
                      <w:szCs w:val="20"/>
                    </w:rPr>
                    <w:t>40%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6161D522" w14:textId="77777777" w:rsidR="009D1253" w:rsidRPr="001368AE" w:rsidRDefault="009D1253" w:rsidP="009D1253">
                  <w:pPr>
                    <w:jc w:val="right"/>
                    <w:rPr>
                      <w:rFonts w:ascii="Tahoma" w:hAnsi="Tahoma" w:cs="Tahoma"/>
                      <w:sz w:val="20"/>
                      <w:szCs w:val="20"/>
                    </w:rPr>
                  </w:pPr>
                  <w:r>
                    <w:rPr>
                      <w:rFonts w:ascii="Tahoma" w:hAnsi="Tahoma" w:cs="Tahoma"/>
                      <w:sz w:val="20"/>
                      <w:szCs w:val="20"/>
                    </w:rPr>
                    <w:t>17.4</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13A6F4B" w14:textId="77777777" w:rsidR="009D1253" w:rsidRPr="001368AE" w:rsidRDefault="009D1253" w:rsidP="009D1253">
                  <w:pPr>
                    <w:jc w:val="right"/>
                    <w:rPr>
                      <w:rFonts w:ascii="Tahoma" w:hAnsi="Tahoma" w:cs="Tahoma"/>
                      <w:sz w:val="20"/>
                      <w:szCs w:val="20"/>
                    </w:rPr>
                  </w:pPr>
                  <w:r>
                    <w:rPr>
                      <w:rFonts w:ascii="Tahoma" w:hAnsi="Tahoma" w:cs="Tahoma"/>
                      <w:sz w:val="20"/>
                      <w:szCs w:val="20"/>
                    </w:rPr>
                    <w:t>18.8</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39CC3FFA" w14:textId="77777777" w:rsidR="009D1253" w:rsidRPr="001368AE" w:rsidRDefault="009D1253" w:rsidP="009D1253">
                  <w:pPr>
                    <w:jc w:val="right"/>
                    <w:rPr>
                      <w:rFonts w:ascii="Tahoma" w:hAnsi="Tahoma" w:cs="Tahoma"/>
                      <w:sz w:val="20"/>
                      <w:szCs w:val="20"/>
                    </w:rPr>
                  </w:pPr>
                  <w:r>
                    <w:rPr>
                      <w:rFonts w:ascii="Tahoma" w:hAnsi="Tahoma" w:cs="Tahoma"/>
                      <w:sz w:val="20"/>
                      <w:szCs w:val="20"/>
                    </w:rPr>
                    <w:t>19.0</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BBF2858" w14:textId="77777777" w:rsidR="009D1253" w:rsidRPr="001368AE" w:rsidRDefault="009D1253" w:rsidP="009D1253">
                  <w:pPr>
                    <w:jc w:val="right"/>
                    <w:rPr>
                      <w:rFonts w:ascii="Tahoma" w:hAnsi="Tahoma" w:cs="Tahoma"/>
                      <w:sz w:val="20"/>
                      <w:szCs w:val="20"/>
                    </w:rPr>
                  </w:pPr>
                  <w:r>
                    <w:rPr>
                      <w:rFonts w:ascii="Tahoma" w:hAnsi="Tahoma" w:cs="Tahoma"/>
                      <w:sz w:val="20"/>
                      <w:szCs w:val="20"/>
                    </w:rPr>
                    <w:t>19.0</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F7BAB10" w14:textId="77777777" w:rsidR="009D1253" w:rsidRPr="001368AE" w:rsidRDefault="009D1253" w:rsidP="009D1253">
                  <w:pPr>
                    <w:jc w:val="right"/>
                    <w:rPr>
                      <w:rFonts w:ascii="Tahoma" w:hAnsi="Tahoma" w:cs="Tahoma"/>
                      <w:sz w:val="20"/>
                      <w:szCs w:val="20"/>
                    </w:rPr>
                  </w:pPr>
                  <w:r>
                    <w:rPr>
                      <w:rFonts w:ascii="Tahoma" w:hAnsi="Tahoma" w:cs="Tahoma"/>
                      <w:sz w:val="20"/>
                      <w:szCs w:val="20"/>
                    </w:rPr>
                    <w:t>19.4</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65E3849" w14:textId="77777777" w:rsidR="009D1253" w:rsidRPr="001368AE" w:rsidRDefault="009D1253" w:rsidP="009D1253">
                  <w:pPr>
                    <w:jc w:val="right"/>
                    <w:rPr>
                      <w:rFonts w:ascii="Tahoma" w:hAnsi="Tahoma" w:cs="Tahoma"/>
                      <w:sz w:val="20"/>
                      <w:szCs w:val="20"/>
                    </w:rPr>
                  </w:pPr>
                  <w:r>
                    <w:rPr>
                      <w:rFonts w:ascii="Tahoma" w:hAnsi="Tahoma" w:cs="Tahoma"/>
                      <w:sz w:val="20"/>
                      <w:szCs w:val="20"/>
                    </w:rPr>
                    <w:t>19.8</w:t>
                  </w:r>
                  <w:r w:rsidRPr="001368AE">
                    <w:rPr>
                      <w:rFonts w:ascii="Tahoma" w:hAnsi="Tahoma" w:cs="Tahoma"/>
                      <w:sz w:val="20"/>
                      <w:szCs w:val="20"/>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47A2408E" w14:textId="77777777" w:rsidR="009D1253" w:rsidRPr="001368AE" w:rsidRDefault="009D1253" w:rsidP="009D1253">
                  <w:pPr>
                    <w:jc w:val="right"/>
                    <w:rPr>
                      <w:rFonts w:ascii="Tahoma" w:hAnsi="Tahoma" w:cs="Tahoma"/>
                      <w:sz w:val="20"/>
                      <w:szCs w:val="20"/>
                    </w:rPr>
                  </w:pPr>
                  <w:r>
                    <w:rPr>
                      <w:rFonts w:ascii="Tahoma" w:hAnsi="Tahoma" w:cs="Tahoma"/>
                      <w:sz w:val="20"/>
                      <w:szCs w:val="20"/>
                    </w:rPr>
                    <w:t>20.0</w:t>
                  </w:r>
                  <w:r w:rsidRPr="001368AE">
                    <w:rPr>
                      <w:rFonts w:ascii="Tahoma" w:hAnsi="Tahoma" w:cs="Tahoma"/>
                      <w:sz w:val="20"/>
                      <w:szCs w:val="20"/>
                    </w:rPr>
                    <w:t>%</w:t>
                  </w:r>
                </w:p>
              </w:tc>
            </w:tr>
            <w:tr w:rsidR="009D1253" w:rsidRPr="00D10F7B" w14:paraId="0535D40D"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4EFC250B" w14:textId="77777777" w:rsidR="009D1253" w:rsidRPr="00D10F7B" w:rsidRDefault="009D1253" w:rsidP="009D1253">
                  <w:pPr>
                    <w:jc w:val="right"/>
                    <w:rPr>
                      <w:rFonts w:ascii="Tahoma" w:hAnsi="Tahoma" w:cs="Tahoma"/>
                      <w:sz w:val="20"/>
                      <w:szCs w:val="20"/>
                    </w:rPr>
                  </w:pPr>
                  <w:r>
                    <w:rPr>
                      <w:rFonts w:ascii="Tahoma" w:hAnsi="Tahoma" w:cs="Tahoma"/>
                      <w:sz w:val="20"/>
                      <w:szCs w:val="20"/>
                    </w:rPr>
                    <w:t xml:space="preserve">от </w:t>
                  </w:r>
                  <w:r w:rsidRPr="00D10F7B">
                    <w:rPr>
                      <w:rFonts w:ascii="Tahoma" w:hAnsi="Tahoma" w:cs="Tahoma"/>
                      <w:sz w:val="20"/>
                      <w:szCs w:val="20"/>
                    </w:rPr>
                    <w:t>50%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3A26091D" w14:textId="77777777" w:rsidR="009D1253" w:rsidRPr="001368AE" w:rsidRDefault="009D1253" w:rsidP="009D1253">
                  <w:pPr>
                    <w:jc w:val="right"/>
                    <w:rPr>
                      <w:rFonts w:ascii="Tahoma" w:hAnsi="Tahoma" w:cs="Tahoma"/>
                      <w:sz w:val="20"/>
                      <w:szCs w:val="20"/>
                    </w:rPr>
                  </w:pPr>
                  <w:r>
                    <w:rPr>
                      <w:rFonts w:ascii="Tahoma" w:hAnsi="Tahoma" w:cs="Tahoma"/>
                      <w:sz w:val="20"/>
                      <w:szCs w:val="20"/>
                    </w:rPr>
                    <w:t>14.8</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0386983" w14:textId="77777777" w:rsidR="009D1253" w:rsidRPr="001368AE" w:rsidRDefault="009D1253" w:rsidP="009D1253">
                  <w:pPr>
                    <w:jc w:val="right"/>
                    <w:rPr>
                      <w:rFonts w:ascii="Tahoma" w:hAnsi="Tahoma" w:cs="Tahoma"/>
                      <w:sz w:val="20"/>
                      <w:szCs w:val="20"/>
                    </w:rPr>
                  </w:pPr>
                  <w:r>
                    <w:rPr>
                      <w:rFonts w:ascii="Tahoma" w:hAnsi="Tahoma" w:cs="Tahoma"/>
                      <w:sz w:val="20"/>
                      <w:szCs w:val="20"/>
                    </w:rPr>
                    <w:t>17.2</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F34A778" w14:textId="77777777" w:rsidR="009D1253" w:rsidRPr="001368AE" w:rsidRDefault="009D1253" w:rsidP="009D1253">
                  <w:pPr>
                    <w:jc w:val="right"/>
                    <w:rPr>
                      <w:rFonts w:ascii="Tahoma" w:hAnsi="Tahoma" w:cs="Tahoma"/>
                      <w:sz w:val="20"/>
                      <w:szCs w:val="20"/>
                    </w:rPr>
                  </w:pPr>
                  <w:r>
                    <w:rPr>
                      <w:rFonts w:ascii="Tahoma" w:hAnsi="Tahoma" w:cs="Tahoma"/>
                      <w:sz w:val="20"/>
                      <w:szCs w:val="20"/>
                    </w:rPr>
                    <w:t>17.8</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209A17A" w14:textId="77777777" w:rsidR="009D1253" w:rsidRPr="001368AE" w:rsidRDefault="009D1253" w:rsidP="009D1253">
                  <w:pPr>
                    <w:jc w:val="right"/>
                    <w:rPr>
                      <w:rFonts w:ascii="Tahoma" w:hAnsi="Tahoma" w:cs="Tahoma"/>
                      <w:sz w:val="20"/>
                      <w:szCs w:val="20"/>
                    </w:rPr>
                  </w:pPr>
                  <w:r>
                    <w:rPr>
                      <w:rFonts w:ascii="Tahoma" w:hAnsi="Tahoma" w:cs="Tahoma"/>
                      <w:sz w:val="20"/>
                      <w:szCs w:val="20"/>
                    </w:rPr>
                    <w:t>17.8</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6849AF6" w14:textId="77777777" w:rsidR="009D1253" w:rsidRPr="001368AE" w:rsidRDefault="009D1253" w:rsidP="009D1253">
                  <w:pPr>
                    <w:jc w:val="right"/>
                    <w:rPr>
                      <w:rFonts w:ascii="Tahoma" w:hAnsi="Tahoma" w:cs="Tahoma"/>
                      <w:sz w:val="20"/>
                      <w:szCs w:val="20"/>
                    </w:rPr>
                  </w:pPr>
                  <w:r>
                    <w:rPr>
                      <w:rFonts w:ascii="Tahoma" w:hAnsi="Tahoma" w:cs="Tahoma"/>
                      <w:sz w:val="20"/>
                      <w:szCs w:val="20"/>
                    </w:rPr>
                    <w:t>18.4</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3839C0CF" w14:textId="77777777" w:rsidR="009D1253" w:rsidRPr="001368AE" w:rsidRDefault="009D1253" w:rsidP="009D1253">
                  <w:pPr>
                    <w:jc w:val="right"/>
                    <w:rPr>
                      <w:rFonts w:ascii="Tahoma" w:hAnsi="Tahoma" w:cs="Tahoma"/>
                      <w:sz w:val="20"/>
                      <w:szCs w:val="20"/>
                    </w:rPr>
                  </w:pPr>
                  <w:r>
                    <w:rPr>
                      <w:rFonts w:ascii="Tahoma" w:hAnsi="Tahoma" w:cs="Tahoma"/>
                      <w:sz w:val="20"/>
                      <w:szCs w:val="20"/>
                    </w:rPr>
                    <w:t>19.0</w:t>
                  </w:r>
                  <w:r w:rsidRPr="001368AE">
                    <w:rPr>
                      <w:rFonts w:ascii="Tahoma" w:hAnsi="Tahoma" w:cs="Tahoma"/>
                      <w:sz w:val="20"/>
                      <w:szCs w:val="20"/>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1AA69F31" w14:textId="77777777" w:rsidR="009D1253" w:rsidRPr="001368AE" w:rsidRDefault="009D1253" w:rsidP="009D1253">
                  <w:pPr>
                    <w:jc w:val="right"/>
                    <w:rPr>
                      <w:rFonts w:ascii="Tahoma" w:hAnsi="Tahoma" w:cs="Tahoma"/>
                      <w:sz w:val="20"/>
                      <w:szCs w:val="20"/>
                    </w:rPr>
                  </w:pPr>
                  <w:r>
                    <w:rPr>
                      <w:rFonts w:ascii="Tahoma" w:hAnsi="Tahoma" w:cs="Tahoma"/>
                      <w:sz w:val="20"/>
                      <w:szCs w:val="20"/>
                    </w:rPr>
                    <w:t>19.2</w:t>
                  </w:r>
                  <w:r w:rsidRPr="001368AE">
                    <w:rPr>
                      <w:rFonts w:ascii="Tahoma" w:hAnsi="Tahoma" w:cs="Tahoma"/>
                      <w:sz w:val="20"/>
                      <w:szCs w:val="20"/>
                    </w:rPr>
                    <w:t>%</w:t>
                  </w:r>
                </w:p>
              </w:tc>
            </w:tr>
            <w:tr w:rsidR="009D1253" w:rsidRPr="00FA4024" w14:paraId="4C713642"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7D14A181" w14:textId="77777777" w:rsidR="009D1253" w:rsidRPr="00D10F7B" w:rsidRDefault="009D1253" w:rsidP="009D1253">
                  <w:pPr>
                    <w:jc w:val="right"/>
                    <w:rPr>
                      <w:rFonts w:ascii="Tahoma" w:hAnsi="Tahoma" w:cs="Tahoma"/>
                      <w:sz w:val="20"/>
                      <w:szCs w:val="20"/>
                    </w:rPr>
                  </w:pPr>
                  <w:r>
                    <w:rPr>
                      <w:rFonts w:ascii="Tahoma" w:hAnsi="Tahoma" w:cs="Tahoma"/>
                      <w:sz w:val="20"/>
                      <w:szCs w:val="20"/>
                    </w:rPr>
                    <w:t xml:space="preserve">от </w:t>
                  </w:r>
                  <w:r w:rsidRPr="00D10F7B">
                    <w:rPr>
                      <w:rFonts w:ascii="Tahoma" w:hAnsi="Tahoma" w:cs="Tahoma"/>
                      <w:sz w:val="20"/>
                      <w:szCs w:val="20"/>
                    </w:rPr>
                    <w:t>60%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1B84C734" w14:textId="77777777" w:rsidR="009D1253" w:rsidRPr="001368AE" w:rsidRDefault="009D1253" w:rsidP="009D1253">
                  <w:pPr>
                    <w:jc w:val="right"/>
                    <w:rPr>
                      <w:rFonts w:ascii="Tahoma" w:hAnsi="Tahoma" w:cs="Tahoma"/>
                      <w:sz w:val="20"/>
                      <w:szCs w:val="20"/>
                    </w:rPr>
                  </w:pPr>
                  <w:r w:rsidRPr="001368AE">
                    <w:rPr>
                      <w:rFonts w:ascii="Tahoma" w:hAnsi="Tahoma" w:cs="Tahoma"/>
                      <w:sz w:val="20"/>
                      <w:szCs w:val="20"/>
                    </w:rPr>
                    <w:t>10.</w:t>
                  </w:r>
                  <w:r>
                    <w:rPr>
                      <w:rFonts w:ascii="Tahoma" w:hAnsi="Tahoma" w:cs="Tahoma"/>
                      <w:sz w:val="20"/>
                      <w:szCs w:val="20"/>
                    </w:rPr>
                    <w:t>8</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4FDADAC0" w14:textId="77777777" w:rsidR="009D1253" w:rsidRPr="001368AE" w:rsidRDefault="009D1253" w:rsidP="009D1253">
                  <w:pPr>
                    <w:jc w:val="right"/>
                    <w:rPr>
                      <w:rFonts w:ascii="Tahoma" w:hAnsi="Tahoma" w:cs="Tahoma"/>
                      <w:sz w:val="20"/>
                      <w:szCs w:val="20"/>
                    </w:rPr>
                  </w:pPr>
                  <w:r>
                    <w:rPr>
                      <w:rFonts w:ascii="Tahoma" w:hAnsi="Tahoma" w:cs="Tahoma"/>
                      <w:sz w:val="20"/>
                      <w:szCs w:val="20"/>
                    </w:rPr>
                    <w:t>15.0</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A06CED2" w14:textId="77777777" w:rsidR="009D1253" w:rsidRPr="001368AE" w:rsidRDefault="009D1253" w:rsidP="009D1253">
                  <w:pPr>
                    <w:jc w:val="right"/>
                    <w:rPr>
                      <w:rFonts w:ascii="Tahoma" w:hAnsi="Tahoma" w:cs="Tahoma"/>
                      <w:sz w:val="20"/>
                      <w:szCs w:val="20"/>
                    </w:rPr>
                  </w:pPr>
                  <w:r>
                    <w:rPr>
                      <w:rFonts w:ascii="Tahoma" w:hAnsi="Tahoma" w:cs="Tahoma"/>
                      <w:sz w:val="20"/>
                      <w:szCs w:val="20"/>
                    </w:rPr>
                    <w:t>15.8</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2390451" w14:textId="77777777" w:rsidR="009D1253" w:rsidRPr="001368AE" w:rsidRDefault="009D1253" w:rsidP="009D1253">
                  <w:pPr>
                    <w:jc w:val="right"/>
                    <w:rPr>
                      <w:rFonts w:ascii="Tahoma" w:hAnsi="Tahoma" w:cs="Tahoma"/>
                      <w:sz w:val="20"/>
                      <w:szCs w:val="20"/>
                    </w:rPr>
                  </w:pPr>
                  <w:r>
                    <w:rPr>
                      <w:rFonts w:ascii="Tahoma" w:hAnsi="Tahoma" w:cs="Tahoma"/>
                      <w:sz w:val="20"/>
                      <w:szCs w:val="20"/>
                    </w:rPr>
                    <w:t>16.0</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3067497B" w14:textId="77777777" w:rsidR="009D1253" w:rsidRPr="001368AE" w:rsidRDefault="009D1253" w:rsidP="009D1253">
                  <w:pPr>
                    <w:jc w:val="right"/>
                    <w:rPr>
                      <w:rFonts w:ascii="Tahoma" w:hAnsi="Tahoma" w:cs="Tahoma"/>
                      <w:sz w:val="20"/>
                      <w:szCs w:val="20"/>
                    </w:rPr>
                  </w:pPr>
                  <w:r>
                    <w:rPr>
                      <w:rFonts w:ascii="Tahoma" w:hAnsi="Tahoma" w:cs="Tahoma"/>
                      <w:sz w:val="20"/>
                      <w:szCs w:val="20"/>
                    </w:rPr>
                    <w:t>17.0</w:t>
                  </w:r>
                  <w:r w:rsidRPr="001368AE">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57AB40D" w14:textId="77777777" w:rsidR="009D1253" w:rsidRPr="001368AE" w:rsidRDefault="009D1253" w:rsidP="009D1253">
                  <w:pPr>
                    <w:jc w:val="right"/>
                    <w:rPr>
                      <w:rFonts w:ascii="Tahoma" w:hAnsi="Tahoma" w:cs="Tahoma"/>
                      <w:sz w:val="20"/>
                      <w:szCs w:val="20"/>
                    </w:rPr>
                  </w:pPr>
                  <w:r>
                    <w:rPr>
                      <w:rFonts w:ascii="Tahoma" w:hAnsi="Tahoma" w:cs="Tahoma"/>
                      <w:sz w:val="20"/>
                      <w:szCs w:val="20"/>
                    </w:rPr>
                    <w:t>17.8</w:t>
                  </w:r>
                  <w:r w:rsidRPr="001368AE">
                    <w:rPr>
                      <w:rFonts w:ascii="Tahoma" w:hAnsi="Tahoma" w:cs="Tahoma"/>
                      <w:sz w:val="20"/>
                      <w:szCs w:val="20"/>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4F5A0B52" w14:textId="77777777" w:rsidR="009D1253" w:rsidRPr="001368AE" w:rsidRDefault="009D1253" w:rsidP="009D1253">
                  <w:pPr>
                    <w:jc w:val="right"/>
                    <w:rPr>
                      <w:rFonts w:ascii="Tahoma" w:hAnsi="Tahoma" w:cs="Tahoma"/>
                      <w:sz w:val="20"/>
                      <w:szCs w:val="20"/>
                    </w:rPr>
                  </w:pPr>
                  <w:r>
                    <w:rPr>
                      <w:rFonts w:ascii="Tahoma" w:hAnsi="Tahoma" w:cs="Tahoma"/>
                      <w:sz w:val="20"/>
                      <w:szCs w:val="20"/>
                    </w:rPr>
                    <w:t>18.0</w:t>
                  </w:r>
                  <w:r w:rsidRPr="001368AE">
                    <w:rPr>
                      <w:rFonts w:ascii="Tahoma" w:hAnsi="Tahoma" w:cs="Tahoma"/>
                      <w:sz w:val="20"/>
                      <w:szCs w:val="20"/>
                    </w:rPr>
                    <w:t>%</w:t>
                  </w:r>
                </w:p>
              </w:tc>
            </w:tr>
          </w:tbl>
          <w:p w14:paraId="2E3B6A47" w14:textId="77777777" w:rsidR="009D1253" w:rsidRPr="005A07E7" w:rsidRDefault="009D1253" w:rsidP="009D1253">
            <w:pPr>
              <w:tabs>
                <w:tab w:val="left" w:pos="851"/>
              </w:tabs>
              <w:jc w:val="center"/>
              <w:rPr>
                <w:rFonts w:ascii="Tahoma" w:hAnsi="Tahoma" w:cs="Tahoma"/>
                <w:sz w:val="20"/>
                <w:szCs w:val="20"/>
              </w:rPr>
            </w:pPr>
          </w:p>
        </w:tc>
      </w:tr>
      <w:tr w:rsidR="009D1253" w:rsidRPr="005A07E7" w14:paraId="6E7592B5" w14:textId="77777777" w:rsidTr="009D1253">
        <w:trPr>
          <w:trHeight w:val="554"/>
        </w:trPr>
        <w:tc>
          <w:tcPr>
            <w:tcW w:w="1475" w:type="pct"/>
            <w:vAlign w:val="center"/>
          </w:tcPr>
          <w:p w14:paraId="2E3DC5DF" w14:textId="77777777" w:rsidR="009D1253" w:rsidRPr="005A07E7" w:rsidRDefault="009D1253" w:rsidP="009D1253">
            <w:pPr>
              <w:rPr>
                <w:rFonts w:ascii="Tahoma" w:hAnsi="Tahoma" w:cs="Tahoma"/>
                <w:b/>
                <w:sz w:val="20"/>
                <w:szCs w:val="20"/>
              </w:rPr>
            </w:pPr>
            <w:r w:rsidRPr="005A07E7">
              <w:rPr>
                <w:rFonts w:ascii="Tahoma" w:hAnsi="Tahoma" w:cs="Tahoma"/>
                <w:b/>
                <w:bCs/>
                <w:color w:val="000000" w:themeColor="text1"/>
                <w:sz w:val="20"/>
                <w:szCs w:val="20"/>
              </w:rPr>
              <w:lastRenderedPageBreak/>
              <w:t>Диапазон полной стоимости Кредита в процентном  и денежном выражении в порядке, установленном Федеральным законом от 21.12.2013 №353-ФЗ «О потребительском кредите (займе)»</w:t>
            </w:r>
          </w:p>
        </w:tc>
        <w:tc>
          <w:tcPr>
            <w:tcW w:w="3525" w:type="pct"/>
            <w:shd w:val="clear" w:color="auto" w:fill="FFFFFF" w:themeFill="background1"/>
            <w:vAlign w:val="center"/>
          </w:tcPr>
          <w:p w14:paraId="12DCC5D2" w14:textId="77777777" w:rsidR="009D1253" w:rsidRPr="004E33E8" w:rsidRDefault="009D1253" w:rsidP="009D1253">
            <w:pPr>
              <w:jc w:val="center"/>
              <w:rPr>
                <w:rFonts w:ascii="Tahoma" w:hAnsi="Tahoma" w:cs="Tahoma"/>
                <w:sz w:val="20"/>
                <w:szCs w:val="20"/>
              </w:rPr>
            </w:pPr>
            <w:r>
              <w:rPr>
                <w:rFonts w:ascii="Tahoma" w:hAnsi="Tahoma" w:cs="Tahoma"/>
                <w:sz w:val="20"/>
                <w:szCs w:val="20"/>
              </w:rPr>
              <w:t>2.995</w:t>
            </w:r>
            <w:r w:rsidRPr="004E33E8">
              <w:rPr>
                <w:rFonts w:ascii="Tahoma" w:hAnsi="Tahoma" w:cs="Tahoma"/>
                <w:sz w:val="20"/>
                <w:szCs w:val="20"/>
              </w:rPr>
              <w:t xml:space="preserve">% –  </w:t>
            </w:r>
            <w:r>
              <w:rPr>
                <w:rFonts w:ascii="Tahoma" w:hAnsi="Tahoma" w:cs="Tahoma"/>
                <w:sz w:val="20"/>
                <w:szCs w:val="20"/>
              </w:rPr>
              <w:t>25.477</w:t>
            </w:r>
            <w:r w:rsidRPr="004E33E8">
              <w:rPr>
                <w:rFonts w:ascii="Tahoma" w:hAnsi="Tahoma" w:cs="Tahoma"/>
                <w:sz w:val="20"/>
                <w:szCs w:val="20"/>
              </w:rPr>
              <w:t>% годовых;</w:t>
            </w:r>
          </w:p>
          <w:p w14:paraId="3A9DB98B" w14:textId="77777777" w:rsidR="009D1253" w:rsidRPr="004E33E8" w:rsidRDefault="009D1253" w:rsidP="009D1253">
            <w:pPr>
              <w:pStyle w:val="aff1"/>
              <w:jc w:val="center"/>
              <w:rPr>
                <w:rFonts w:ascii="Tahoma" w:hAnsi="Tahoma" w:cs="Tahoma"/>
              </w:rPr>
            </w:pPr>
            <w:r>
              <w:rPr>
                <w:rFonts w:ascii="Tahoma" w:hAnsi="Tahoma" w:cs="Tahoma"/>
              </w:rPr>
              <w:t>3 514.33</w:t>
            </w:r>
            <w:r w:rsidRPr="004E33E8">
              <w:rPr>
                <w:rFonts w:ascii="Tahoma" w:hAnsi="Tahoma" w:cs="Tahoma"/>
              </w:rPr>
              <w:t xml:space="preserve"> руб. – </w:t>
            </w:r>
            <w:r>
              <w:rPr>
                <w:rFonts w:ascii="Tahoma" w:hAnsi="Tahoma" w:cs="Tahoma"/>
              </w:rPr>
              <w:t>5 761 433.71</w:t>
            </w:r>
            <w:r w:rsidRPr="004E33E8">
              <w:rPr>
                <w:rFonts w:ascii="Tahoma" w:hAnsi="Tahoma" w:cs="Tahoma"/>
              </w:rPr>
              <w:t xml:space="preserve"> руб.</w:t>
            </w:r>
          </w:p>
          <w:p w14:paraId="4FE3E26F" w14:textId="77777777" w:rsidR="009D1253" w:rsidRPr="001368AE" w:rsidRDefault="009D1253" w:rsidP="009D1253">
            <w:pPr>
              <w:pStyle w:val="aff1"/>
              <w:jc w:val="both"/>
              <w:rPr>
                <w:rFonts w:ascii="Tahoma" w:hAnsi="Tahoma" w:cs="Tahoma"/>
              </w:rPr>
            </w:pPr>
            <w:r w:rsidRPr="004E33E8">
              <w:rPr>
                <w:rFonts w:ascii="Tahoma" w:hAnsi="Tahoma" w:cs="Tahoma"/>
              </w:rPr>
              <w:t>Расчет минимального значения ПСК произведен с использованием параметров</w:t>
            </w:r>
            <w:r w:rsidRPr="001368AE">
              <w:rPr>
                <w:rFonts w:ascii="Tahoma" w:hAnsi="Tahoma" w:cs="Tahoma"/>
              </w:rPr>
              <w:t>: минимальная сумма Кредита (200 000 рублей), минимальный срок (13 месяцев), минимальная ставка (</w:t>
            </w:r>
            <w:r>
              <w:rPr>
                <w:rFonts w:ascii="Tahoma" w:hAnsi="Tahoma" w:cs="Tahoma"/>
              </w:rPr>
              <w:t>3.0</w:t>
            </w:r>
            <w:r w:rsidRPr="001368AE">
              <w:rPr>
                <w:rFonts w:ascii="Tahoma" w:hAnsi="Tahoma" w:cs="Tahoma"/>
              </w:rPr>
              <w:t>% годовых).</w:t>
            </w:r>
          </w:p>
          <w:p w14:paraId="7472AD77" w14:textId="77777777" w:rsidR="009D1253" w:rsidRPr="005A07E7" w:rsidRDefault="009D1253" w:rsidP="009D1253">
            <w:pPr>
              <w:jc w:val="both"/>
              <w:rPr>
                <w:rFonts w:ascii="Tahoma" w:hAnsi="Tahoma" w:cs="Tahoma"/>
                <w:color w:val="000000"/>
                <w:sz w:val="20"/>
                <w:szCs w:val="20"/>
              </w:rPr>
            </w:pPr>
            <w:r w:rsidRPr="00C44337">
              <w:rPr>
                <w:rFonts w:ascii="Tahoma" w:hAnsi="Tahoma" w:cs="Tahoma"/>
                <w:sz w:val="20"/>
                <w:szCs w:val="20"/>
              </w:rPr>
              <w:t>Расчет максимального значения ПСК произведен с использованием параметров: максимальная сумма Кредита (5 000 000 рублей), максимальный срок (84 месяца), максимальная ставка (</w:t>
            </w:r>
            <w:r>
              <w:rPr>
                <w:rFonts w:ascii="Tahoma" w:hAnsi="Tahoma" w:cs="Tahoma"/>
                <w:sz w:val="20"/>
                <w:szCs w:val="20"/>
              </w:rPr>
              <w:t>25.5</w:t>
            </w:r>
            <w:r w:rsidRPr="00C44337">
              <w:rPr>
                <w:rFonts w:ascii="Tahoma" w:hAnsi="Tahoma" w:cs="Tahoma"/>
                <w:sz w:val="20"/>
                <w:szCs w:val="20"/>
              </w:rPr>
              <w:t>% годовых)</w:t>
            </w:r>
          </w:p>
        </w:tc>
      </w:tr>
      <w:tr w:rsidR="009D1253" w:rsidRPr="005A07E7" w14:paraId="333F3FE5"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699"/>
        </w:trPr>
        <w:tc>
          <w:tcPr>
            <w:tcW w:w="1475" w:type="pct"/>
            <w:tcBorders>
              <w:top w:val="single" w:sz="4" w:space="0" w:color="auto"/>
              <w:left w:val="single" w:sz="4" w:space="0" w:color="auto"/>
              <w:right w:val="single" w:sz="4" w:space="0" w:color="auto"/>
            </w:tcBorders>
            <w:vAlign w:val="center"/>
          </w:tcPr>
          <w:p w14:paraId="2F8A19EC" w14:textId="77777777" w:rsidR="009D1253" w:rsidRPr="005A07E7" w:rsidRDefault="009D1253" w:rsidP="009D1253">
            <w:pPr>
              <w:rPr>
                <w:rFonts w:ascii="Tahoma" w:hAnsi="Tahoma" w:cs="Tahoma"/>
                <w:sz w:val="20"/>
                <w:szCs w:val="20"/>
              </w:rPr>
            </w:pPr>
            <w:r w:rsidRPr="005A07E7">
              <w:rPr>
                <w:rFonts w:ascii="Tahoma" w:hAnsi="Tahoma" w:cs="Tahoma"/>
                <w:b/>
                <w:sz w:val="20"/>
                <w:szCs w:val="20"/>
              </w:rPr>
              <w:t>Требования к Заёмщику, которые установлены Кредитором и выполнение которых является обязательным для предоставления Кредита</w:t>
            </w:r>
          </w:p>
        </w:tc>
        <w:tc>
          <w:tcPr>
            <w:tcW w:w="3525" w:type="pct"/>
            <w:tcBorders>
              <w:top w:val="single" w:sz="4" w:space="0" w:color="auto"/>
              <w:left w:val="nil"/>
              <w:bottom w:val="single" w:sz="4" w:space="0" w:color="auto"/>
              <w:right w:val="single" w:sz="8" w:space="0" w:color="000000"/>
            </w:tcBorders>
            <w:noWrap/>
            <w:vAlign w:val="center"/>
          </w:tcPr>
          <w:p w14:paraId="6011496D"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гражданство Российской Федерации;</w:t>
            </w:r>
          </w:p>
          <w:p w14:paraId="123ABA82"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адрес постоянной регистрации и фактическое место жительства Заёмщика – все регионы РФ;</w:t>
            </w:r>
          </w:p>
          <w:p w14:paraId="7211D3E2"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возраст Заёмщика не менее 21 года (на момент оформления Кредита) и не более 70 лет (на момент окончания действия срока возврата Кредита) включительно;</w:t>
            </w:r>
          </w:p>
          <w:p w14:paraId="30FA69F5"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Заёмщик имеет официальное место работы (либо является ИП) и</w:t>
            </w:r>
            <w:r>
              <w:rPr>
                <w:rFonts w:ascii="Tahoma" w:hAnsi="Tahoma" w:cs="Tahoma"/>
                <w:sz w:val="20"/>
                <w:szCs w:val="20"/>
              </w:rPr>
              <w:t>(или)</w:t>
            </w:r>
            <w:r w:rsidRPr="005A07E7">
              <w:rPr>
                <w:rFonts w:ascii="Tahoma" w:hAnsi="Tahoma" w:cs="Tahoma"/>
                <w:sz w:val="20"/>
                <w:szCs w:val="20"/>
              </w:rPr>
              <w:t xml:space="preserve"> постоянный источник дохода;</w:t>
            </w:r>
          </w:p>
          <w:p w14:paraId="11BFA25D"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Заёмщик не имеет официального места работы, при условии достижения пенсионного возраста, и получающий социальную пенсию;</w:t>
            </w:r>
          </w:p>
          <w:p w14:paraId="7FC492C3"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xml:space="preserve">- стаж на последнем месте работы не менее 3 месяцев. </w:t>
            </w:r>
            <w:r w:rsidRPr="005A07E7">
              <w:rPr>
                <w:rFonts w:ascii="Tahoma" w:hAnsi="Tahoma" w:cs="Tahoma"/>
              </w:rPr>
              <w:fldChar w:fldCharType="begin"/>
            </w:r>
            <w:r w:rsidRPr="005A07E7">
              <w:rPr>
                <w:rFonts w:ascii="Tahoma" w:hAnsi="Tahoma" w:cs="Tahoma"/>
              </w:rPr>
              <w:instrText xml:space="preserve"> DOCVARIABLE  КЛИЕНТ </w:instrText>
            </w:r>
            <w:r w:rsidRPr="005A07E7">
              <w:rPr>
                <w:rFonts w:ascii="Tahoma" w:hAnsi="Tahoma" w:cs="Tahoma"/>
              </w:rPr>
              <w:fldChar w:fldCharType="end"/>
            </w:r>
          </w:p>
        </w:tc>
      </w:tr>
      <w:tr w:rsidR="009D1253" w:rsidRPr="005A07E7" w14:paraId="64BCBC3D"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558"/>
        </w:trPr>
        <w:tc>
          <w:tcPr>
            <w:tcW w:w="1475" w:type="pct"/>
            <w:tcBorders>
              <w:top w:val="single" w:sz="4" w:space="0" w:color="auto"/>
              <w:left w:val="single" w:sz="8" w:space="0" w:color="auto"/>
              <w:bottom w:val="single" w:sz="4" w:space="0" w:color="auto"/>
              <w:right w:val="single" w:sz="4" w:space="0" w:color="auto"/>
            </w:tcBorders>
            <w:vAlign w:val="center"/>
          </w:tcPr>
          <w:p w14:paraId="1C83142D"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Перечень документов, необходимых для рассмотрения заявления о предоставлении Кредита, в том числе для оценки кредитоспособности Заёмщика (в случае необходимости могут быть запрошены дополнительные документы)</w:t>
            </w:r>
          </w:p>
        </w:tc>
        <w:tc>
          <w:tcPr>
            <w:tcW w:w="3525" w:type="pct"/>
            <w:tcBorders>
              <w:top w:val="single" w:sz="4" w:space="0" w:color="auto"/>
              <w:left w:val="nil"/>
              <w:bottom w:val="single" w:sz="4" w:space="0" w:color="auto"/>
              <w:right w:val="single" w:sz="8" w:space="0" w:color="000000"/>
            </w:tcBorders>
            <w:shd w:val="clear" w:color="auto" w:fill="auto"/>
            <w:noWrap/>
            <w:vAlign w:val="center"/>
          </w:tcPr>
          <w:p w14:paraId="6BA9CFF9" w14:textId="77777777" w:rsidR="009D1253" w:rsidRPr="005A07E7" w:rsidRDefault="009D1253" w:rsidP="009D1253">
            <w:pPr>
              <w:pStyle w:val="a9"/>
              <w:numPr>
                <w:ilvl w:val="0"/>
                <w:numId w:val="94"/>
              </w:numPr>
              <w:tabs>
                <w:tab w:val="left" w:pos="0"/>
                <w:tab w:val="left" w:pos="268"/>
              </w:tabs>
              <w:spacing w:before="0" w:after="0"/>
              <w:ind w:hanging="736"/>
              <w:rPr>
                <w:rFonts w:ascii="Tahoma" w:hAnsi="Tahoma" w:cs="Tahoma"/>
                <w:b/>
                <w:sz w:val="18"/>
                <w:szCs w:val="18"/>
                <w:lang w:eastAsia="en-US"/>
              </w:rPr>
            </w:pPr>
            <w:r w:rsidRPr="005A07E7">
              <w:rPr>
                <w:rFonts w:ascii="Tahoma" w:hAnsi="Tahoma" w:cs="Tahoma"/>
                <w:b/>
                <w:sz w:val="18"/>
                <w:szCs w:val="18"/>
                <w:lang w:eastAsia="en-US"/>
              </w:rPr>
              <w:t>Пакет документов для приобретаемого Заёмщиком за счет кредитных средств Банка ТС</w:t>
            </w:r>
          </w:p>
          <w:p w14:paraId="6C9C6430" w14:textId="77777777" w:rsidR="009D1253" w:rsidRPr="005A07E7" w:rsidRDefault="009D1253" w:rsidP="009D1253">
            <w:pPr>
              <w:pStyle w:val="a9"/>
              <w:tabs>
                <w:tab w:val="left" w:pos="0"/>
                <w:tab w:val="left" w:pos="835"/>
              </w:tabs>
              <w:spacing w:before="0" w:after="0"/>
              <w:rPr>
                <w:rFonts w:ascii="Tahoma" w:hAnsi="Tahoma" w:cs="Tahoma"/>
                <w:i/>
                <w:sz w:val="18"/>
                <w:szCs w:val="18"/>
                <w:lang w:eastAsia="en-US"/>
              </w:rPr>
            </w:pPr>
            <w:r w:rsidRPr="005A07E7">
              <w:rPr>
                <w:rFonts w:ascii="Tahoma" w:hAnsi="Tahoma" w:cs="Tahoma"/>
                <w:i/>
                <w:sz w:val="18"/>
                <w:szCs w:val="18"/>
                <w:lang w:eastAsia="en-US"/>
              </w:rPr>
              <w:t>Для новых ТС:</w:t>
            </w:r>
          </w:p>
          <w:p w14:paraId="46BC7275" w14:textId="77777777" w:rsidR="009D1253" w:rsidRPr="005A07E7" w:rsidRDefault="009D1253" w:rsidP="009D1253">
            <w:pPr>
              <w:pStyle w:val="a9"/>
              <w:tabs>
                <w:tab w:val="left" w:pos="0"/>
                <w:tab w:val="left" w:pos="835"/>
              </w:tabs>
              <w:spacing w:before="0" w:after="0"/>
              <w:rPr>
                <w:rFonts w:ascii="Tahoma" w:hAnsi="Tahoma" w:cs="Tahoma"/>
                <w:sz w:val="18"/>
                <w:szCs w:val="18"/>
                <w:lang w:eastAsia="en-US"/>
              </w:rPr>
            </w:pPr>
            <w:r w:rsidRPr="005A07E7">
              <w:rPr>
                <w:rFonts w:ascii="Tahoma" w:hAnsi="Tahoma" w:cs="Tahoma"/>
                <w:sz w:val="18"/>
                <w:szCs w:val="18"/>
                <w:lang w:eastAsia="en-US"/>
              </w:rPr>
              <w:t xml:space="preserve">- </w:t>
            </w:r>
            <w:r>
              <w:rPr>
                <w:rFonts w:ascii="Tahoma" w:hAnsi="Tahoma" w:cs="Tahoma"/>
                <w:sz w:val="18"/>
                <w:szCs w:val="18"/>
                <w:lang w:eastAsia="en-US"/>
              </w:rPr>
              <w:t xml:space="preserve">выписка </w:t>
            </w:r>
            <w:r w:rsidRPr="005A07E7">
              <w:rPr>
                <w:rFonts w:ascii="Tahoma" w:hAnsi="Tahoma" w:cs="Tahoma"/>
                <w:sz w:val="18"/>
                <w:szCs w:val="18"/>
                <w:lang w:eastAsia="en-US"/>
              </w:rPr>
              <w:t>ЭПТС</w:t>
            </w:r>
            <w:r w:rsidRPr="0080478B">
              <w:rPr>
                <w:rFonts w:ascii="Tahoma" w:hAnsi="Tahoma" w:cs="Tahoma"/>
                <w:sz w:val="18"/>
                <w:szCs w:val="18"/>
              </w:rPr>
              <w:t xml:space="preserve"> в статусе «действующий</w:t>
            </w:r>
            <w:r>
              <w:rPr>
                <w:rFonts w:ascii="Tahoma" w:hAnsi="Tahoma" w:cs="Tahoma"/>
                <w:sz w:val="18"/>
                <w:szCs w:val="18"/>
              </w:rPr>
              <w:t>»</w:t>
            </w:r>
          </w:p>
          <w:p w14:paraId="467FD76F" w14:textId="77777777" w:rsidR="009D1253" w:rsidRPr="005A07E7" w:rsidRDefault="009D1253" w:rsidP="009D1253">
            <w:pPr>
              <w:pStyle w:val="a9"/>
              <w:tabs>
                <w:tab w:val="left" w:pos="0"/>
              </w:tabs>
              <w:spacing w:before="0" w:after="0"/>
              <w:rPr>
                <w:rFonts w:ascii="Tahoma" w:hAnsi="Tahoma" w:cs="Tahoma"/>
                <w:sz w:val="18"/>
                <w:szCs w:val="18"/>
                <w:lang w:eastAsia="en-US"/>
              </w:rPr>
            </w:pPr>
          </w:p>
          <w:p w14:paraId="31788A80" w14:textId="77777777" w:rsidR="009D1253" w:rsidRDefault="009D1253" w:rsidP="009D1253">
            <w:pPr>
              <w:pStyle w:val="a9"/>
              <w:spacing w:before="0" w:after="0"/>
              <w:rPr>
                <w:rFonts w:ascii="Tahoma" w:hAnsi="Tahoma" w:cs="Tahoma"/>
                <w:sz w:val="18"/>
                <w:szCs w:val="18"/>
              </w:rPr>
            </w:pPr>
            <w:r>
              <w:rPr>
                <w:rFonts w:ascii="Tahoma" w:hAnsi="Tahoma" w:cs="Tahoma"/>
                <w:sz w:val="18"/>
                <w:szCs w:val="18"/>
              </w:rPr>
              <w:t xml:space="preserve">Полномочия юридического лица / ИП на реализацию ТС подтверждаются одним из следующих документов: договором купли-продажи, </w:t>
            </w:r>
            <w:r w:rsidRPr="001901B1">
              <w:rPr>
                <w:rFonts w:ascii="Tahoma" w:hAnsi="Tahoma" w:cs="Tahoma"/>
                <w:sz w:val="18"/>
                <w:szCs w:val="18"/>
              </w:rPr>
              <w:t>дилерским договором, договором поставки и актом приема-передачи ТС по указанным договорам</w:t>
            </w:r>
            <w:r>
              <w:rPr>
                <w:rFonts w:ascii="Tahoma" w:hAnsi="Tahoma" w:cs="Tahoma"/>
                <w:sz w:val="18"/>
                <w:szCs w:val="18"/>
              </w:rPr>
              <w:t xml:space="preserve"> или агентским договором, договором комиссии и т.п.</w:t>
            </w:r>
            <w:r w:rsidRPr="001901B1">
              <w:rPr>
                <w:rFonts w:ascii="Tahoma" w:hAnsi="Tahoma" w:cs="Tahoma"/>
                <w:sz w:val="18"/>
                <w:szCs w:val="18"/>
              </w:rPr>
              <w:t>,</w:t>
            </w:r>
            <w:r>
              <w:rPr>
                <w:rFonts w:ascii="Tahoma" w:hAnsi="Tahoma" w:cs="Tahoma"/>
                <w:sz w:val="18"/>
                <w:szCs w:val="18"/>
              </w:rPr>
              <w:t xml:space="preserve"> заключенным с собственником ТС и предоставляющим ему право на реализацию такого ТС. Для ТС, ввезенных из-за границы и не поставленных на государственный регистрационный учет в РФ дополнительно к указанным документам и выписке из ЭПТС прилагается таможенная декларация (или иной документ при отсутствии у продавца ТС таможенной декларации </w:t>
            </w:r>
            <w:r w:rsidRPr="001901B1">
              <w:rPr>
                <w:rFonts w:ascii="Tahoma" w:hAnsi="Tahoma" w:cs="Tahoma"/>
                <w:sz w:val="18"/>
                <w:szCs w:val="18"/>
              </w:rPr>
              <w:t>или в дополнение к ней</w:t>
            </w:r>
            <w:r>
              <w:rPr>
                <w:rFonts w:ascii="Tahoma" w:hAnsi="Tahoma" w:cs="Tahoma"/>
                <w:sz w:val="18"/>
                <w:szCs w:val="18"/>
              </w:rPr>
              <w:t xml:space="preserve">). </w:t>
            </w:r>
            <w:r w:rsidRPr="001901B1">
              <w:rPr>
                <w:rFonts w:ascii="Tahoma" w:hAnsi="Tahoma" w:cs="Tahoma"/>
                <w:sz w:val="18"/>
                <w:szCs w:val="18"/>
              </w:rPr>
              <w:t>При этом таможенная декларация и/или иной документ, предоставленный Банку</w:t>
            </w:r>
            <w:r>
              <w:rPr>
                <w:rFonts w:ascii="Tahoma" w:hAnsi="Tahoma" w:cs="Tahoma"/>
                <w:sz w:val="18"/>
                <w:szCs w:val="18"/>
              </w:rPr>
              <w:t>,</w:t>
            </w:r>
            <w:r w:rsidRPr="001901B1">
              <w:rPr>
                <w:rFonts w:ascii="Tahoma" w:hAnsi="Tahoma" w:cs="Tahoma"/>
                <w:sz w:val="18"/>
                <w:szCs w:val="18"/>
              </w:rPr>
              <w:t xml:space="preserve"> должен содержать</w:t>
            </w:r>
            <w:r>
              <w:rPr>
                <w:rFonts w:ascii="Tahoma" w:hAnsi="Tahoma" w:cs="Tahoma"/>
                <w:sz w:val="18"/>
                <w:szCs w:val="18"/>
              </w:rPr>
              <w:t xml:space="preserve"> VIN номер ТС, а также идентификационные данные продавца ТС (или иного лица, осуществлявшего таможенные процедуры в отношении ТС, а также процедуры, необходимые для получения ЭПТС, и передавшего полномочия по реализации ТС продавцу ТС на основании договора).</w:t>
            </w:r>
          </w:p>
          <w:p w14:paraId="78662DC8" w14:textId="77777777" w:rsidR="009D1253" w:rsidRPr="005A07E7" w:rsidRDefault="009D1253" w:rsidP="009D1253">
            <w:pPr>
              <w:pStyle w:val="a9"/>
              <w:tabs>
                <w:tab w:val="left" w:pos="0"/>
                <w:tab w:val="left" w:pos="176"/>
                <w:tab w:val="left" w:pos="835"/>
              </w:tabs>
              <w:spacing w:before="0" w:after="0"/>
              <w:jc w:val="left"/>
              <w:rPr>
                <w:rFonts w:ascii="Tahoma" w:hAnsi="Tahoma" w:cs="Tahoma"/>
                <w:strike/>
                <w:sz w:val="18"/>
                <w:szCs w:val="18"/>
                <w:lang w:eastAsia="en-US"/>
              </w:rPr>
            </w:pPr>
          </w:p>
          <w:p w14:paraId="02F75755" w14:textId="77777777" w:rsidR="009D1253" w:rsidRPr="005A07E7" w:rsidRDefault="009D1253" w:rsidP="009D1253">
            <w:pPr>
              <w:pStyle w:val="a9"/>
              <w:numPr>
                <w:ilvl w:val="0"/>
                <w:numId w:val="94"/>
              </w:numPr>
              <w:tabs>
                <w:tab w:val="left" w:pos="0"/>
                <w:tab w:val="left" w:pos="268"/>
              </w:tabs>
              <w:spacing w:before="0" w:after="0"/>
              <w:ind w:hanging="736"/>
              <w:rPr>
                <w:rFonts w:ascii="Tahoma" w:hAnsi="Tahoma" w:cs="Tahoma"/>
                <w:b/>
                <w:sz w:val="18"/>
                <w:szCs w:val="18"/>
                <w:lang w:eastAsia="en-US"/>
              </w:rPr>
            </w:pPr>
            <w:r w:rsidRPr="005A07E7">
              <w:rPr>
                <w:rFonts w:ascii="Tahoma" w:hAnsi="Tahoma" w:cs="Tahoma"/>
                <w:b/>
                <w:sz w:val="18"/>
                <w:szCs w:val="18"/>
                <w:lang w:eastAsia="en-US"/>
              </w:rPr>
              <w:t>Пакет документов для Заёмщика</w:t>
            </w:r>
          </w:p>
          <w:p w14:paraId="65DE0D27" w14:textId="77777777" w:rsidR="009D1253" w:rsidRPr="005A07E7" w:rsidRDefault="009D1253" w:rsidP="009D1253">
            <w:pPr>
              <w:pStyle w:val="a9"/>
              <w:numPr>
                <w:ilvl w:val="0"/>
                <w:numId w:val="95"/>
              </w:numPr>
              <w:tabs>
                <w:tab w:val="left" w:pos="0"/>
                <w:tab w:val="left" w:pos="268"/>
              </w:tabs>
              <w:spacing w:before="0" w:after="0"/>
              <w:ind w:hanging="720"/>
              <w:rPr>
                <w:rFonts w:ascii="Tahoma" w:hAnsi="Tahoma" w:cs="Tahoma"/>
                <w:sz w:val="18"/>
                <w:szCs w:val="18"/>
                <w:lang w:eastAsia="en-US"/>
              </w:rPr>
            </w:pPr>
            <w:r w:rsidRPr="005A07E7">
              <w:rPr>
                <w:rFonts w:ascii="Tahoma" w:hAnsi="Tahoma" w:cs="Tahoma"/>
                <w:sz w:val="18"/>
                <w:szCs w:val="18"/>
                <w:lang w:eastAsia="en-US"/>
              </w:rPr>
              <w:t>Паспорт гражданина РФ</w:t>
            </w:r>
          </w:p>
          <w:p w14:paraId="12AB70A2" w14:textId="77777777" w:rsidR="009D1253" w:rsidRPr="005A07E7" w:rsidRDefault="009D1253" w:rsidP="009D1253">
            <w:pPr>
              <w:pStyle w:val="a9"/>
              <w:numPr>
                <w:ilvl w:val="0"/>
                <w:numId w:val="95"/>
              </w:numPr>
              <w:tabs>
                <w:tab w:val="left" w:pos="0"/>
                <w:tab w:val="left" w:pos="268"/>
              </w:tabs>
              <w:spacing w:before="0" w:after="0"/>
              <w:ind w:hanging="736"/>
              <w:rPr>
                <w:rFonts w:ascii="Tahoma" w:hAnsi="Tahoma" w:cs="Tahoma"/>
                <w:sz w:val="18"/>
                <w:szCs w:val="18"/>
                <w:lang w:eastAsia="en-US"/>
              </w:rPr>
            </w:pPr>
            <w:r w:rsidRPr="005A07E7">
              <w:rPr>
                <w:rFonts w:ascii="Tahoma" w:hAnsi="Tahoma" w:cs="Tahoma"/>
                <w:sz w:val="18"/>
                <w:szCs w:val="18"/>
                <w:lang w:eastAsia="en-US"/>
              </w:rPr>
              <w:t>Второй документ, предоставляется из следующих документов по выбору Заёмщика:</w:t>
            </w:r>
            <w:r w:rsidRPr="005A07E7" w:rsidDel="00721FE6">
              <w:rPr>
                <w:rFonts w:ascii="Tahoma" w:hAnsi="Tahoma" w:cs="Tahoma"/>
                <w:sz w:val="18"/>
                <w:szCs w:val="18"/>
                <w:lang w:eastAsia="en-US"/>
              </w:rPr>
              <w:t xml:space="preserve"> </w:t>
            </w:r>
          </w:p>
          <w:p w14:paraId="560CAAB3" w14:textId="77777777" w:rsidR="009D1253" w:rsidRPr="005A07E7" w:rsidRDefault="009D1253" w:rsidP="009D1253">
            <w:pPr>
              <w:pStyle w:val="a9"/>
              <w:tabs>
                <w:tab w:val="left" w:pos="0"/>
              </w:tabs>
              <w:spacing w:before="0" w:after="0"/>
              <w:ind w:firstLine="268"/>
              <w:rPr>
                <w:rFonts w:ascii="Tahoma" w:hAnsi="Tahoma" w:cs="Tahoma"/>
                <w:sz w:val="18"/>
                <w:szCs w:val="18"/>
                <w:lang w:eastAsia="en-US"/>
              </w:rPr>
            </w:pPr>
            <w:r w:rsidRPr="005A07E7">
              <w:rPr>
                <w:rFonts w:ascii="Tahoma" w:hAnsi="Tahoma" w:cs="Tahoma"/>
                <w:sz w:val="18"/>
                <w:szCs w:val="18"/>
                <w:lang w:eastAsia="en-US"/>
              </w:rPr>
              <w:t>- заг</w:t>
            </w:r>
            <w:r>
              <w:rPr>
                <w:rFonts w:ascii="Tahoma" w:hAnsi="Tahoma" w:cs="Tahoma"/>
                <w:sz w:val="18"/>
                <w:szCs w:val="18"/>
                <w:lang w:eastAsia="en-US"/>
              </w:rPr>
              <w:t>раничный паспорт гражданина РФ</w:t>
            </w:r>
          </w:p>
          <w:p w14:paraId="3EFD898B" w14:textId="77777777" w:rsidR="009D1253" w:rsidRPr="005A07E7" w:rsidRDefault="009D1253" w:rsidP="009D1253">
            <w:pPr>
              <w:pStyle w:val="a9"/>
              <w:tabs>
                <w:tab w:val="left" w:pos="0"/>
              </w:tabs>
              <w:spacing w:before="0" w:after="0"/>
              <w:ind w:firstLine="268"/>
              <w:rPr>
                <w:rFonts w:ascii="Tahoma" w:hAnsi="Tahoma" w:cs="Tahoma"/>
                <w:sz w:val="18"/>
                <w:szCs w:val="18"/>
                <w:lang w:eastAsia="en-US"/>
              </w:rPr>
            </w:pPr>
            <w:r>
              <w:rPr>
                <w:rFonts w:ascii="Tahoma" w:hAnsi="Tahoma" w:cs="Tahoma"/>
                <w:sz w:val="18"/>
                <w:szCs w:val="18"/>
                <w:lang w:eastAsia="en-US"/>
              </w:rPr>
              <w:t>- водительское удостоверение</w:t>
            </w:r>
          </w:p>
          <w:p w14:paraId="1F925E48" w14:textId="77777777" w:rsidR="009D1253" w:rsidRPr="005A07E7" w:rsidRDefault="009D1253" w:rsidP="009D1253">
            <w:pPr>
              <w:pStyle w:val="a9"/>
              <w:tabs>
                <w:tab w:val="left" w:pos="0"/>
              </w:tabs>
              <w:spacing w:before="0" w:after="0"/>
              <w:ind w:firstLine="268"/>
              <w:rPr>
                <w:rFonts w:ascii="Tahoma" w:hAnsi="Tahoma" w:cs="Tahoma"/>
                <w:sz w:val="18"/>
                <w:szCs w:val="18"/>
                <w:lang w:eastAsia="en-US"/>
              </w:rPr>
            </w:pPr>
            <w:r>
              <w:rPr>
                <w:rFonts w:ascii="Tahoma" w:hAnsi="Tahoma" w:cs="Tahoma"/>
                <w:sz w:val="18"/>
                <w:szCs w:val="18"/>
                <w:lang w:eastAsia="en-US"/>
              </w:rPr>
              <w:t>- СНИЛС</w:t>
            </w:r>
          </w:p>
          <w:p w14:paraId="4D37C041" w14:textId="77777777" w:rsidR="009D1253" w:rsidRPr="005A07E7" w:rsidRDefault="009D1253" w:rsidP="009D1253">
            <w:pPr>
              <w:pStyle w:val="a9"/>
              <w:tabs>
                <w:tab w:val="left" w:pos="0"/>
              </w:tabs>
              <w:spacing w:before="0" w:after="0"/>
              <w:rPr>
                <w:rFonts w:ascii="Tahoma" w:hAnsi="Tahoma" w:cs="Tahoma"/>
                <w:strike/>
                <w:sz w:val="18"/>
                <w:szCs w:val="18"/>
              </w:rPr>
            </w:pPr>
          </w:p>
          <w:p w14:paraId="6ED75E1E" w14:textId="77777777" w:rsidR="009D1253" w:rsidRDefault="009D1253" w:rsidP="009D1253">
            <w:pPr>
              <w:autoSpaceDE w:val="0"/>
              <w:autoSpaceDN w:val="0"/>
              <w:adjustRightInd w:val="0"/>
              <w:rPr>
                <w:rFonts w:ascii="Tahoma" w:hAnsi="Tahoma" w:cs="Tahoma"/>
                <w:sz w:val="20"/>
                <w:szCs w:val="18"/>
              </w:rPr>
            </w:pPr>
            <w:r w:rsidRPr="004054F6">
              <w:rPr>
                <w:rFonts w:ascii="Tahoma" w:hAnsi="Tahoma" w:cs="Tahoma"/>
                <w:sz w:val="20"/>
                <w:szCs w:val="18"/>
              </w:rPr>
              <w:t xml:space="preserve">По результатам рассмотрения заявления о предоставлении потребительского кредита, Банком могут быть запрошены документы, подтверждающие финансовое состояние Заёмщика, а также его занятость. </w:t>
            </w:r>
          </w:p>
          <w:p w14:paraId="5742A34D" w14:textId="77777777" w:rsidR="009D1253" w:rsidRPr="005500FA" w:rsidRDefault="009D1253" w:rsidP="009D1253">
            <w:pPr>
              <w:autoSpaceDE w:val="0"/>
              <w:autoSpaceDN w:val="0"/>
              <w:adjustRightInd w:val="0"/>
              <w:rPr>
                <w:rFonts w:ascii="Tahoma" w:hAnsi="Tahoma" w:cs="Tahoma"/>
                <w:sz w:val="20"/>
                <w:szCs w:val="18"/>
              </w:rPr>
            </w:pPr>
            <w:r w:rsidRPr="005500FA">
              <w:rPr>
                <w:rFonts w:ascii="Tahoma" w:hAnsi="Tahoma" w:cs="Tahoma"/>
                <w:sz w:val="20"/>
                <w:szCs w:val="18"/>
              </w:rPr>
              <w:t xml:space="preserve">В качестве документов, подтверждающих финансовое состояние Заёмщика, могут быть предоставлены: </w:t>
            </w:r>
          </w:p>
          <w:tbl>
            <w:tblPr>
              <w:tblStyle w:val="aff0"/>
              <w:tblW w:w="10653" w:type="dxa"/>
              <w:tblInd w:w="8" w:type="dxa"/>
              <w:tblLayout w:type="fixed"/>
              <w:tblLook w:val="04A0" w:firstRow="1" w:lastRow="0" w:firstColumn="1" w:lastColumn="0" w:noHBand="0" w:noVBand="1"/>
            </w:tblPr>
            <w:tblGrid>
              <w:gridCol w:w="2096"/>
              <w:gridCol w:w="8557"/>
            </w:tblGrid>
            <w:tr w:rsidR="009D1253" w:rsidRPr="005500FA" w14:paraId="0703AA23" w14:textId="77777777" w:rsidTr="009D1253">
              <w:tc>
                <w:tcPr>
                  <w:tcW w:w="2096" w:type="dxa"/>
                </w:tcPr>
                <w:p w14:paraId="327FAB4C" w14:textId="77777777" w:rsidR="009D1253" w:rsidRPr="005500FA" w:rsidRDefault="009D1253" w:rsidP="009D1253">
                  <w:pPr>
                    <w:autoSpaceDE w:val="0"/>
                    <w:autoSpaceDN w:val="0"/>
                    <w:adjustRightInd w:val="0"/>
                    <w:rPr>
                      <w:rFonts w:ascii="Tahoma" w:hAnsi="Tahoma" w:cs="Tahoma"/>
                      <w:sz w:val="20"/>
                      <w:szCs w:val="18"/>
                    </w:rPr>
                  </w:pPr>
                  <w:r w:rsidRPr="005500FA">
                    <w:rPr>
                      <w:rFonts w:ascii="Tahoma" w:hAnsi="Tahoma" w:cs="Tahoma"/>
                      <w:sz w:val="20"/>
                      <w:szCs w:val="18"/>
                    </w:rPr>
                    <w:t>Виды (источники) дохода</w:t>
                  </w:r>
                </w:p>
              </w:tc>
              <w:tc>
                <w:tcPr>
                  <w:tcW w:w="8557" w:type="dxa"/>
                </w:tcPr>
                <w:p w14:paraId="66DB52C8" w14:textId="77777777" w:rsidR="009D1253" w:rsidRPr="005500FA" w:rsidRDefault="009D1253" w:rsidP="009D1253">
                  <w:pPr>
                    <w:autoSpaceDE w:val="0"/>
                    <w:autoSpaceDN w:val="0"/>
                    <w:adjustRightInd w:val="0"/>
                    <w:rPr>
                      <w:rFonts w:ascii="Tahoma" w:hAnsi="Tahoma" w:cs="Tahoma"/>
                      <w:sz w:val="20"/>
                      <w:szCs w:val="18"/>
                    </w:rPr>
                  </w:pPr>
                  <w:r w:rsidRPr="005500FA">
                    <w:rPr>
                      <w:rFonts w:ascii="Tahoma" w:hAnsi="Tahoma" w:cs="Tahoma"/>
                      <w:sz w:val="20"/>
                      <w:szCs w:val="18"/>
                    </w:rPr>
                    <w:t>Документы, подтверждающие финансовое состояние Заёмщика*</w:t>
                  </w:r>
                </w:p>
              </w:tc>
            </w:tr>
            <w:tr w:rsidR="009D1253" w:rsidRPr="005500FA" w14:paraId="7E2C24D3" w14:textId="77777777" w:rsidTr="009D1253">
              <w:tc>
                <w:tcPr>
                  <w:tcW w:w="2096" w:type="dxa"/>
                </w:tcPr>
                <w:p w14:paraId="32A2AE46" w14:textId="77777777" w:rsidR="009D1253" w:rsidRPr="005500FA" w:rsidRDefault="009D1253" w:rsidP="009D1253">
                  <w:pPr>
                    <w:autoSpaceDE w:val="0"/>
                    <w:autoSpaceDN w:val="0"/>
                    <w:adjustRightInd w:val="0"/>
                    <w:rPr>
                      <w:rFonts w:ascii="Tahoma" w:hAnsi="Tahoma" w:cs="Tahoma"/>
                      <w:sz w:val="20"/>
                      <w:szCs w:val="18"/>
                    </w:rPr>
                  </w:pPr>
                  <w:r w:rsidRPr="005500FA">
                    <w:rPr>
                      <w:rFonts w:ascii="Tahoma" w:hAnsi="Tahoma" w:cs="Tahoma"/>
                      <w:sz w:val="20"/>
                      <w:szCs w:val="18"/>
                    </w:rPr>
                    <w:t>Основное место работы</w:t>
                  </w:r>
                </w:p>
              </w:tc>
              <w:tc>
                <w:tcPr>
                  <w:tcW w:w="8557" w:type="dxa"/>
                </w:tcPr>
                <w:p w14:paraId="260477B1" w14:textId="77777777" w:rsidR="009D1253" w:rsidRPr="005500FA" w:rsidRDefault="009D1253" w:rsidP="009D1253">
                  <w:pPr>
                    <w:autoSpaceDE w:val="0"/>
                    <w:autoSpaceDN w:val="0"/>
                    <w:adjustRightInd w:val="0"/>
                    <w:rPr>
                      <w:rFonts w:ascii="Tahoma" w:hAnsi="Tahoma" w:cs="Tahoma"/>
                      <w:sz w:val="20"/>
                      <w:szCs w:val="18"/>
                    </w:rPr>
                  </w:pPr>
                  <w:r w:rsidRPr="005500FA">
                    <w:rPr>
                      <w:rFonts w:ascii="Tahoma" w:hAnsi="Tahoma" w:cs="Tahoma"/>
                      <w:sz w:val="20"/>
                      <w:szCs w:val="18"/>
                    </w:rPr>
                    <w:t>Один из следующих документов по выбору Заёмщика:</w:t>
                  </w:r>
                </w:p>
                <w:p w14:paraId="147086FD" w14:textId="77777777" w:rsidR="009D1253" w:rsidRPr="005500FA" w:rsidRDefault="009D1253" w:rsidP="009D1253">
                  <w:pPr>
                    <w:pStyle w:val="affe"/>
                    <w:numPr>
                      <w:ilvl w:val="1"/>
                      <w:numId w:val="137"/>
                    </w:numPr>
                    <w:autoSpaceDE w:val="0"/>
                    <w:autoSpaceDN w:val="0"/>
                    <w:adjustRightInd w:val="0"/>
                    <w:ind w:left="316" w:hanging="284"/>
                    <w:rPr>
                      <w:rFonts w:ascii="Tahoma" w:hAnsi="Tahoma" w:cs="Tahoma"/>
                      <w:sz w:val="20"/>
                      <w:szCs w:val="18"/>
                    </w:rPr>
                  </w:pPr>
                  <w:r w:rsidRPr="005500FA">
                    <w:rPr>
                      <w:rFonts w:ascii="Tahoma" w:hAnsi="Tahoma" w:cs="Tahoma"/>
                      <w:sz w:val="20"/>
                      <w:szCs w:val="18"/>
                    </w:rPr>
                    <w:t xml:space="preserve">Справка о доходах и суммах налога физического лица или Справка о доходах и удержанных суммах по образцу государственного учреждения, внутренними </w:t>
                  </w:r>
                  <w:r w:rsidRPr="005500FA">
                    <w:rPr>
                      <w:rFonts w:ascii="Tahoma" w:hAnsi="Tahoma" w:cs="Tahoma"/>
                      <w:sz w:val="20"/>
                      <w:szCs w:val="18"/>
                    </w:rPr>
                    <w:lastRenderedPageBreak/>
                    <w:t>распорядительными документами которого установлены ограничения на предоставление своим работникам справок о доходах и суммах налога физического лица**</w:t>
                  </w:r>
                </w:p>
                <w:p w14:paraId="3BF7488A" w14:textId="77777777" w:rsidR="009D1253" w:rsidRPr="005500FA" w:rsidRDefault="009D1253" w:rsidP="009D1253">
                  <w:pPr>
                    <w:pStyle w:val="affe"/>
                    <w:numPr>
                      <w:ilvl w:val="1"/>
                      <w:numId w:val="137"/>
                    </w:numPr>
                    <w:autoSpaceDE w:val="0"/>
                    <w:autoSpaceDN w:val="0"/>
                    <w:adjustRightInd w:val="0"/>
                    <w:ind w:left="316" w:hanging="284"/>
                    <w:rPr>
                      <w:rFonts w:ascii="Tahoma" w:hAnsi="Tahoma" w:cs="Tahoma"/>
                      <w:sz w:val="20"/>
                      <w:szCs w:val="18"/>
                    </w:rPr>
                  </w:pPr>
                  <w:r w:rsidRPr="005500FA">
                    <w:rPr>
                      <w:rFonts w:ascii="Tahoma" w:hAnsi="Tahoma" w:cs="Tahoma"/>
                      <w:sz w:val="20"/>
                      <w:szCs w:val="18"/>
                    </w:rPr>
                    <w:t>Выписка о состоянии индивидуального лицевого счета застрахованного лица в системе обязательного пенсионного страхования***</w:t>
                  </w:r>
                </w:p>
                <w:p w14:paraId="18A6AB8E" w14:textId="77777777" w:rsidR="009D1253" w:rsidRPr="005500FA" w:rsidRDefault="009D1253" w:rsidP="009D1253">
                  <w:pPr>
                    <w:pStyle w:val="affe"/>
                    <w:numPr>
                      <w:ilvl w:val="1"/>
                      <w:numId w:val="137"/>
                    </w:numPr>
                    <w:autoSpaceDE w:val="0"/>
                    <w:autoSpaceDN w:val="0"/>
                    <w:adjustRightInd w:val="0"/>
                    <w:ind w:left="316" w:hanging="284"/>
                    <w:rPr>
                      <w:rFonts w:ascii="Tahoma" w:hAnsi="Tahoma" w:cs="Tahoma"/>
                      <w:sz w:val="20"/>
                      <w:szCs w:val="18"/>
                    </w:rPr>
                  </w:pPr>
                  <w:r w:rsidRPr="005500FA">
                    <w:rPr>
                      <w:rFonts w:ascii="Tahoma" w:hAnsi="Tahoma" w:cs="Tahoma"/>
                      <w:sz w:val="20"/>
                      <w:szCs w:val="18"/>
                    </w:rPr>
                    <w:t>Справка по форме Банка**</w:t>
                  </w:r>
                </w:p>
                <w:p w14:paraId="4D101CC2" w14:textId="77777777" w:rsidR="009D1253" w:rsidRPr="005500FA" w:rsidRDefault="009D1253" w:rsidP="009D1253">
                  <w:pPr>
                    <w:pStyle w:val="affe"/>
                    <w:numPr>
                      <w:ilvl w:val="1"/>
                      <w:numId w:val="137"/>
                    </w:numPr>
                    <w:autoSpaceDE w:val="0"/>
                    <w:autoSpaceDN w:val="0"/>
                    <w:adjustRightInd w:val="0"/>
                    <w:ind w:left="316" w:hanging="284"/>
                    <w:rPr>
                      <w:rFonts w:ascii="Tahoma" w:hAnsi="Tahoma" w:cs="Tahoma"/>
                      <w:sz w:val="20"/>
                      <w:szCs w:val="18"/>
                    </w:rPr>
                  </w:pPr>
                  <w:r w:rsidRPr="00BB1283">
                    <w:rPr>
                      <w:rFonts w:ascii="Tahoma" w:hAnsi="Tahoma" w:cs="Tahoma"/>
                      <w:sz w:val="20"/>
                      <w:szCs w:val="18"/>
                    </w:rPr>
                    <w:t>Выписка с</w:t>
                  </w:r>
                  <w:r>
                    <w:rPr>
                      <w:rFonts w:ascii="Tahoma" w:hAnsi="Tahoma" w:cs="Tahoma"/>
                      <w:sz w:val="20"/>
                      <w:szCs w:val="18"/>
                    </w:rPr>
                    <w:t xml:space="preserve"> банковского</w:t>
                  </w:r>
                  <w:r w:rsidRPr="00BB1283">
                    <w:rPr>
                      <w:rFonts w:ascii="Tahoma" w:hAnsi="Tahoma" w:cs="Tahoma"/>
                      <w:sz w:val="20"/>
                      <w:szCs w:val="18"/>
                    </w:rPr>
                    <w:t xml:space="preserve"> счета, </w:t>
                  </w:r>
                  <w:r w:rsidRPr="00CA5973">
                    <w:rPr>
                      <w:rFonts w:ascii="Tahoma" w:eastAsiaTheme="minorHAnsi" w:hAnsi="Tahoma" w:cs="Tahoma"/>
                      <w:sz w:val="20"/>
                      <w:szCs w:val="18"/>
                    </w:rPr>
                    <w:t xml:space="preserve">на который осуществляются </w:t>
                  </w:r>
                  <w:r>
                    <w:rPr>
                      <w:rFonts w:ascii="Tahoma" w:eastAsiaTheme="minorHAnsi" w:hAnsi="Tahoma" w:cs="Tahoma"/>
                      <w:sz w:val="20"/>
                      <w:szCs w:val="18"/>
                    </w:rPr>
                    <w:t>зачисления заработной платы Заемщика</w:t>
                  </w:r>
                  <w:r w:rsidRPr="00CA5973">
                    <w:rPr>
                      <w:rFonts w:ascii="Tahoma" w:eastAsiaTheme="minorHAnsi" w:hAnsi="Tahoma" w:cs="Tahoma"/>
                      <w:sz w:val="20"/>
                      <w:szCs w:val="18"/>
                    </w:rPr>
                    <w:t>, выданная кредитн</w:t>
                  </w:r>
                  <w:r>
                    <w:rPr>
                      <w:rFonts w:ascii="Tahoma" w:eastAsiaTheme="minorHAnsi" w:hAnsi="Tahoma" w:cs="Tahoma"/>
                      <w:sz w:val="20"/>
                      <w:szCs w:val="18"/>
                    </w:rPr>
                    <w:t>ой</w:t>
                  </w:r>
                  <w:r w:rsidRPr="00CA5973">
                    <w:rPr>
                      <w:rFonts w:ascii="Tahoma" w:eastAsiaTheme="minorHAnsi" w:hAnsi="Tahoma" w:cs="Tahoma"/>
                      <w:sz w:val="20"/>
                      <w:szCs w:val="18"/>
                    </w:rPr>
                    <w:t xml:space="preserve"> организаци</w:t>
                  </w:r>
                  <w:r>
                    <w:rPr>
                      <w:rFonts w:ascii="Tahoma" w:eastAsiaTheme="minorHAnsi" w:hAnsi="Tahoma" w:cs="Tahoma"/>
                      <w:sz w:val="20"/>
                      <w:szCs w:val="18"/>
                    </w:rPr>
                    <w:t>ей</w:t>
                  </w:r>
                  <w:r w:rsidRPr="00CA5973">
                    <w:rPr>
                      <w:rFonts w:ascii="Tahoma" w:eastAsiaTheme="minorHAnsi" w:hAnsi="Tahoma" w:cs="Tahoma"/>
                      <w:sz w:val="20"/>
                      <w:szCs w:val="18"/>
                    </w:rPr>
                    <w:t xml:space="preserve"> и заверенная печатью и подписью уполномоченного лица</w:t>
                  </w:r>
                  <w:r w:rsidRPr="00BB1283">
                    <w:rPr>
                      <w:rFonts w:ascii="Tahoma" w:hAnsi="Tahoma" w:cs="Tahoma"/>
                      <w:sz w:val="20"/>
                      <w:szCs w:val="18"/>
                    </w:rPr>
                    <w:t xml:space="preserve">, в т.ч. </w:t>
                  </w:r>
                  <w:r w:rsidRPr="00040CA2">
                    <w:rPr>
                      <w:rFonts w:ascii="Tahoma" w:hAnsi="Tahoma" w:cs="Tahoma"/>
                      <w:sz w:val="18"/>
                      <w:szCs w:val="18"/>
                      <w:lang w:eastAsia="en-US"/>
                    </w:rPr>
                    <w:t>выписка с каналов дистанционного обслуживания кредитной организации</w:t>
                  </w:r>
                </w:p>
              </w:tc>
            </w:tr>
            <w:tr w:rsidR="009D1253" w:rsidRPr="005500FA" w14:paraId="52605376" w14:textId="77777777" w:rsidTr="009D1253">
              <w:tc>
                <w:tcPr>
                  <w:tcW w:w="2096" w:type="dxa"/>
                </w:tcPr>
                <w:p w14:paraId="7E8DB77F" w14:textId="77777777" w:rsidR="009D1253" w:rsidRPr="005500FA" w:rsidRDefault="009D1253" w:rsidP="009D1253">
                  <w:pPr>
                    <w:autoSpaceDE w:val="0"/>
                    <w:autoSpaceDN w:val="0"/>
                    <w:adjustRightInd w:val="0"/>
                    <w:rPr>
                      <w:rFonts w:ascii="Tahoma" w:hAnsi="Tahoma" w:cs="Tahoma"/>
                      <w:sz w:val="20"/>
                      <w:szCs w:val="18"/>
                    </w:rPr>
                  </w:pPr>
                  <w:r w:rsidRPr="005500FA">
                    <w:rPr>
                      <w:rFonts w:ascii="Tahoma" w:hAnsi="Tahoma" w:cs="Tahoma"/>
                      <w:sz w:val="20"/>
                      <w:szCs w:val="18"/>
                    </w:rPr>
                    <w:lastRenderedPageBreak/>
                    <w:t>Пенсия</w:t>
                  </w:r>
                </w:p>
              </w:tc>
              <w:tc>
                <w:tcPr>
                  <w:tcW w:w="8557" w:type="dxa"/>
                </w:tcPr>
                <w:p w14:paraId="1DC5854A" w14:textId="77777777" w:rsidR="009D1253" w:rsidRPr="005500FA" w:rsidRDefault="009D1253" w:rsidP="009D1253">
                  <w:pPr>
                    <w:autoSpaceDE w:val="0"/>
                    <w:autoSpaceDN w:val="0"/>
                    <w:adjustRightInd w:val="0"/>
                    <w:rPr>
                      <w:rFonts w:ascii="Tahoma" w:hAnsi="Tahoma" w:cs="Tahoma"/>
                      <w:sz w:val="20"/>
                      <w:szCs w:val="18"/>
                    </w:rPr>
                  </w:pPr>
                  <w:r w:rsidRPr="005500FA">
                    <w:rPr>
                      <w:rFonts w:ascii="Tahoma" w:hAnsi="Tahoma" w:cs="Tahoma"/>
                      <w:sz w:val="20"/>
                      <w:szCs w:val="18"/>
                    </w:rPr>
                    <w:t>Один из следующих документов по выбору Заемщика****:</w:t>
                  </w:r>
                </w:p>
                <w:p w14:paraId="3D972EFE" w14:textId="77777777" w:rsidR="009D1253" w:rsidRPr="005500FA" w:rsidRDefault="009D1253" w:rsidP="009D1253">
                  <w:pPr>
                    <w:pStyle w:val="affe"/>
                    <w:numPr>
                      <w:ilvl w:val="1"/>
                      <w:numId w:val="138"/>
                    </w:numPr>
                    <w:autoSpaceDE w:val="0"/>
                    <w:autoSpaceDN w:val="0"/>
                    <w:adjustRightInd w:val="0"/>
                    <w:ind w:left="316" w:hanging="284"/>
                    <w:rPr>
                      <w:rFonts w:ascii="Tahoma" w:hAnsi="Tahoma" w:cs="Tahoma"/>
                      <w:sz w:val="20"/>
                      <w:szCs w:val="18"/>
                    </w:rPr>
                  </w:pPr>
                  <w:r w:rsidRPr="005500FA">
                    <w:rPr>
                      <w:rFonts w:ascii="Tahoma" w:hAnsi="Tahoma" w:cs="Tahoma"/>
                      <w:sz w:val="20"/>
                      <w:szCs w:val="18"/>
                    </w:rPr>
                    <w:t>Выписка со счета, выданная кредитными организациями, на который осуществляются пенсионные выплаты</w:t>
                  </w:r>
                </w:p>
                <w:p w14:paraId="6BF28835" w14:textId="77777777" w:rsidR="009D1253" w:rsidRPr="005500FA" w:rsidRDefault="009D1253" w:rsidP="009D1253">
                  <w:pPr>
                    <w:pStyle w:val="affe"/>
                    <w:numPr>
                      <w:ilvl w:val="1"/>
                      <w:numId w:val="138"/>
                    </w:numPr>
                    <w:autoSpaceDE w:val="0"/>
                    <w:autoSpaceDN w:val="0"/>
                    <w:adjustRightInd w:val="0"/>
                    <w:ind w:left="316" w:hanging="284"/>
                    <w:rPr>
                      <w:rFonts w:ascii="Tahoma" w:hAnsi="Tahoma" w:cs="Tahoma"/>
                      <w:sz w:val="20"/>
                      <w:szCs w:val="18"/>
                    </w:rPr>
                  </w:pPr>
                  <w:r w:rsidRPr="005500FA">
                    <w:rPr>
                      <w:rFonts w:ascii="Tahoma" w:hAnsi="Tahoma" w:cs="Tahoma"/>
                      <w:sz w:val="20"/>
                      <w:szCs w:val="18"/>
                    </w:rPr>
                    <w:t xml:space="preserve">Справка </w:t>
                  </w:r>
                  <w:r>
                    <w:rPr>
                      <w:rFonts w:ascii="Tahoma" w:hAnsi="Tahoma" w:cs="Tahoma"/>
                      <w:sz w:val="20"/>
                      <w:szCs w:val="18"/>
                    </w:rPr>
                    <w:t>Социального</w:t>
                  </w:r>
                  <w:r w:rsidRPr="005500FA">
                    <w:rPr>
                      <w:rFonts w:ascii="Tahoma" w:hAnsi="Tahoma" w:cs="Tahoma"/>
                      <w:sz w:val="20"/>
                      <w:szCs w:val="18"/>
                    </w:rPr>
                    <w:t xml:space="preserve"> фонда Российской Федерации или другого государственного органа, выплачивающего пенсию о размере пенсии, ежемесячного пожизненного содержания судьям или ежемесячной надбавки к денежному содержанию судьям о назначении пенсии /иной документ, подтверждающий право на получение пенсии, содержащий идентификационные данные Клиента и размера дохода (например, выписка из ФПСС)</w:t>
                  </w:r>
                </w:p>
              </w:tc>
            </w:tr>
            <w:tr w:rsidR="009D1253" w:rsidRPr="005500FA" w14:paraId="5524352E" w14:textId="77777777" w:rsidTr="009D1253">
              <w:tc>
                <w:tcPr>
                  <w:tcW w:w="2096" w:type="dxa"/>
                </w:tcPr>
                <w:p w14:paraId="546EB999" w14:textId="77777777" w:rsidR="009D1253" w:rsidRPr="005500FA" w:rsidRDefault="009D1253" w:rsidP="009D1253">
                  <w:pPr>
                    <w:autoSpaceDE w:val="0"/>
                    <w:autoSpaceDN w:val="0"/>
                    <w:adjustRightInd w:val="0"/>
                    <w:rPr>
                      <w:rFonts w:ascii="Tahoma" w:hAnsi="Tahoma" w:cs="Tahoma"/>
                      <w:sz w:val="20"/>
                      <w:szCs w:val="18"/>
                    </w:rPr>
                  </w:pPr>
                  <w:r w:rsidRPr="005500FA">
                    <w:rPr>
                      <w:rFonts w:ascii="Tahoma" w:hAnsi="Tahoma" w:cs="Tahoma"/>
                      <w:sz w:val="20"/>
                      <w:szCs w:val="18"/>
                    </w:rPr>
                    <w:t>Место работы по совместительству</w:t>
                  </w:r>
                </w:p>
              </w:tc>
              <w:tc>
                <w:tcPr>
                  <w:tcW w:w="8557" w:type="dxa"/>
                </w:tcPr>
                <w:p w14:paraId="36D2F35B" w14:textId="77777777" w:rsidR="009D1253" w:rsidRPr="005500FA" w:rsidRDefault="009D1253" w:rsidP="009D1253">
                  <w:pPr>
                    <w:autoSpaceDE w:val="0"/>
                    <w:autoSpaceDN w:val="0"/>
                    <w:adjustRightInd w:val="0"/>
                    <w:rPr>
                      <w:rFonts w:ascii="Tahoma" w:hAnsi="Tahoma" w:cs="Tahoma"/>
                      <w:sz w:val="20"/>
                      <w:szCs w:val="18"/>
                    </w:rPr>
                  </w:pPr>
                  <w:r w:rsidRPr="005500FA">
                    <w:rPr>
                      <w:rFonts w:ascii="Tahoma" w:hAnsi="Tahoma" w:cs="Tahoma"/>
                      <w:sz w:val="20"/>
                      <w:szCs w:val="18"/>
                    </w:rPr>
                    <w:t>Один из следующих документов по выбору Заёмщика:</w:t>
                  </w:r>
                </w:p>
                <w:p w14:paraId="55CEBC8E" w14:textId="77777777" w:rsidR="009D1253" w:rsidRPr="00C44337" w:rsidRDefault="009D1253" w:rsidP="009D1253">
                  <w:pPr>
                    <w:pStyle w:val="affe"/>
                    <w:numPr>
                      <w:ilvl w:val="0"/>
                      <w:numId w:val="146"/>
                    </w:numPr>
                    <w:autoSpaceDE w:val="0"/>
                    <w:autoSpaceDN w:val="0"/>
                    <w:adjustRightInd w:val="0"/>
                    <w:ind w:left="316" w:hanging="284"/>
                    <w:rPr>
                      <w:rFonts w:ascii="Tahoma" w:hAnsi="Tahoma" w:cs="Tahoma"/>
                      <w:sz w:val="20"/>
                      <w:szCs w:val="18"/>
                    </w:rPr>
                  </w:pPr>
                  <w:r w:rsidRPr="00C44337">
                    <w:rPr>
                      <w:rFonts w:ascii="Tahoma" w:hAnsi="Tahoma" w:cs="Tahoma"/>
                      <w:sz w:val="20"/>
                      <w:szCs w:val="18"/>
                    </w:rPr>
                    <w:t>Справка о доходах и суммах налога физического лица или Справка о доходах и удержанных суммах по образцу государственного учреждения, внутренними распорядительными документами которого установлены ограничения на предоставление своим работникам справок о доходах и суммах налога физического лица**</w:t>
                  </w:r>
                </w:p>
                <w:p w14:paraId="77246CE6" w14:textId="77777777" w:rsidR="009D1253" w:rsidRPr="00C44337" w:rsidRDefault="009D1253" w:rsidP="009D1253">
                  <w:pPr>
                    <w:pStyle w:val="affe"/>
                    <w:numPr>
                      <w:ilvl w:val="0"/>
                      <w:numId w:val="146"/>
                    </w:numPr>
                    <w:autoSpaceDE w:val="0"/>
                    <w:autoSpaceDN w:val="0"/>
                    <w:adjustRightInd w:val="0"/>
                    <w:ind w:left="316" w:hanging="284"/>
                    <w:rPr>
                      <w:rFonts w:ascii="Tahoma" w:hAnsi="Tahoma" w:cs="Tahoma"/>
                      <w:sz w:val="20"/>
                      <w:szCs w:val="18"/>
                    </w:rPr>
                  </w:pPr>
                  <w:r w:rsidRPr="00C44337">
                    <w:rPr>
                      <w:rFonts w:ascii="Tahoma" w:hAnsi="Tahoma" w:cs="Tahoma"/>
                      <w:sz w:val="20"/>
                      <w:szCs w:val="18"/>
                    </w:rPr>
                    <w:t>Выписка о состоянии индивидуального лицевого счета застрахованного лица в системе обязательного пенсионного страхования***</w:t>
                  </w:r>
                </w:p>
                <w:p w14:paraId="4B72A12D" w14:textId="77777777" w:rsidR="009D1253" w:rsidRPr="005500FA" w:rsidRDefault="009D1253" w:rsidP="009D1253">
                  <w:pPr>
                    <w:numPr>
                      <w:ilvl w:val="0"/>
                      <w:numId w:val="146"/>
                    </w:numPr>
                    <w:autoSpaceDE w:val="0"/>
                    <w:autoSpaceDN w:val="0"/>
                    <w:adjustRightInd w:val="0"/>
                    <w:ind w:left="316" w:hanging="284"/>
                    <w:rPr>
                      <w:rFonts w:ascii="Tahoma" w:hAnsi="Tahoma" w:cs="Tahoma"/>
                      <w:sz w:val="20"/>
                      <w:szCs w:val="18"/>
                    </w:rPr>
                  </w:pPr>
                  <w:r w:rsidRPr="005500FA">
                    <w:rPr>
                      <w:rFonts w:ascii="Tahoma" w:hAnsi="Tahoma" w:cs="Tahoma"/>
                      <w:sz w:val="20"/>
                      <w:szCs w:val="18"/>
                    </w:rPr>
                    <w:t>Справка по форме Банка**</w:t>
                  </w:r>
                </w:p>
                <w:p w14:paraId="079E0B4D" w14:textId="77777777" w:rsidR="009D1253" w:rsidRPr="005500FA" w:rsidRDefault="009D1253" w:rsidP="009D1253">
                  <w:pPr>
                    <w:numPr>
                      <w:ilvl w:val="0"/>
                      <w:numId w:val="146"/>
                    </w:numPr>
                    <w:autoSpaceDE w:val="0"/>
                    <w:autoSpaceDN w:val="0"/>
                    <w:adjustRightInd w:val="0"/>
                    <w:ind w:left="316" w:hanging="284"/>
                    <w:rPr>
                      <w:rFonts w:ascii="Tahoma" w:hAnsi="Tahoma" w:cs="Tahoma"/>
                      <w:sz w:val="20"/>
                      <w:szCs w:val="18"/>
                    </w:rPr>
                  </w:pPr>
                  <w:r w:rsidRPr="00BB1283">
                    <w:rPr>
                      <w:rFonts w:ascii="Tahoma" w:hAnsi="Tahoma" w:cs="Tahoma"/>
                      <w:sz w:val="20"/>
                      <w:szCs w:val="18"/>
                    </w:rPr>
                    <w:t>Выписка с</w:t>
                  </w:r>
                  <w:r>
                    <w:rPr>
                      <w:rFonts w:ascii="Tahoma" w:hAnsi="Tahoma" w:cs="Tahoma"/>
                      <w:sz w:val="20"/>
                      <w:szCs w:val="18"/>
                    </w:rPr>
                    <w:t xml:space="preserve"> банковского</w:t>
                  </w:r>
                  <w:r w:rsidRPr="00BB1283">
                    <w:rPr>
                      <w:rFonts w:ascii="Tahoma" w:hAnsi="Tahoma" w:cs="Tahoma"/>
                      <w:sz w:val="20"/>
                      <w:szCs w:val="18"/>
                    </w:rPr>
                    <w:t xml:space="preserve"> счета, </w:t>
                  </w:r>
                  <w:r w:rsidRPr="00CA5973">
                    <w:rPr>
                      <w:rFonts w:ascii="Tahoma" w:eastAsiaTheme="minorHAnsi" w:hAnsi="Tahoma" w:cs="Tahoma"/>
                      <w:sz w:val="20"/>
                      <w:szCs w:val="18"/>
                    </w:rPr>
                    <w:t xml:space="preserve">на который осуществляются </w:t>
                  </w:r>
                  <w:r>
                    <w:rPr>
                      <w:rFonts w:ascii="Tahoma" w:eastAsiaTheme="minorHAnsi" w:hAnsi="Tahoma" w:cs="Tahoma"/>
                      <w:sz w:val="20"/>
                      <w:szCs w:val="18"/>
                    </w:rPr>
                    <w:t>зачисления заработной платы Заемщика</w:t>
                  </w:r>
                  <w:r w:rsidRPr="00CA5973">
                    <w:rPr>
                      <w:rFonts w:ascii="Tahoma" w:eastAsiaTheme="minorHAnsi" w:hAnsi="Tahoma" w:cs="Tahoma"/>
                      <w:sz w:val="20"/>
                      <w:szCs w:val="18"/>
                    </w:rPr>
                    <w:t>, выданная кредитн</w:t>
                  </w:r>
                  <w:r>
                    <w:rPr>
                      <w:rFonts w:ascii="Tahoma" w:eastAsiaTheme="minorHAnsi" w:hAnsi="Tahoma" w:cs="Tahoma"/>
                      <w:sz w:val="20"/>
                      <w:szCs w:val="18"/>
                    </w:rPr>
                    <w:t>ой</w:t>
                  </w:r>
                  <w:r w:rsidRPr="00CA5973">
                    <w:rPr>
                      <w:rFonts w:ascii="Tahoma" w:eastAsiaTheme="minorHAnsi" w:hAnsi="Tahoma" w:cs="Tahoma"/>
                      <w:sz w:val="20"/>
                      <w:szCs w:val="18"/>
                    </w:rPr>
                    <w:t xml:space="preserve"> организаци</w:t>
                  </w:r>
                  <w:r>
                    <w:rPr>
                      <w:rFonts w:ascii="Tahoma" w:eastAsiaTheme="minorHAnsi" w:hAnsi="Tahoma" w:cs="Tahoma"/>
                      <w:sz w:val="20"/>
                      <w:szCs w:val="18"/>
                    </w:rPr>
                    <w:t>ей</w:t>
                  </w:r>
                  <w:r w:rsidRPr="00CA5973">
                    <w:rPr>
                      <w:rFonts w:ascii="Tahoma" w:eastAsiaTheme="minorHAnsi" w:hAnsi="Tahoma" w:cs="Tahoma"/>
                      <w:sz w:val="20"/>
                      <w:szCs w:val="18"/>
                    </w:rPr>
                    <w:t xml:space="preserve"> и заверенная печатью и подписью уполномоченного лица</w:t>
                  </w:r>
                  <w:r w:rsidRPr="00BB1283">
                    <w:rPr>
                      <w:rFonts w:ascii="Tahoma" w:hAnsi="Tahoma" w:cs="Tahoma"/>
                      <w:sz w:val="20"/>
                      <w:szCs w:val="18"/>
                    </w:rPr>
                    <w:t xml:space="preserve">, в т.ч. </w:t>
                  </w:r>
                  <w:r w:rsidRPr="00040CA2">
                    <w:rPr>
                      <w:rFonts w:ascii="Tahoma" w:hAnsi="Tahoma" w:cs="Tahoma"/>
                      <w:sz w:val="18"/>
                      <w:szCs w:val="18"/>
                      <w:lang w:eastAsia="en-US"/>
                    </w:rPr>
                    <w:t>выписка с каналов дистанционного обслуживания кредитной организации</w:t>
                  </w:r>
                </w:p>
              </w:tc>
            </w:tr>
            <w:tr w:rsidR="009D1253" w:rsidRPr="005500FA" w14:paraId="6EF5C3DE" w14:textId="77777777" w:rsidTr="009D1253">
              <w:tc>
                <w:tcPr>
                  <w:tcW w:w="2096" w:type="dxa"/>
                </w:tcPr>
                <w:p w14:paraId="691905FE" w14:textId="77777777" w:rsidR="009D1253" w:rsidRPr="005500FA" w:rsidRDefault="009D1253" w:rsidP="009D1253">
                  <w:pPr>
                    <w:autoSpaceDE w:val="0"/>
                    <w:autoSpaceDN w:val="0"/>
                    <w:adjustRightInd w:val="0"/>
                    <w:rPr>
                      <w:rFonts w:ascii="Tahoma" w:hAnsi="Tahoma" w:cs="Tahoma"/>
                      <w:sz w:val="20"/>
                      <w:szCs w:val="18"/>
                    </w:rPr>
                  </w:pPr>
                  <w:r w:rsidRPr="005500FA">
                    <w:rPr>
                      <w:rFonts w:ascii="Tahoma" w:hAnsi="Tahoma" w:cs="Tahoma"/>
                      <w:sz w:val="20"/>
                      <w:szCs w:val="18"/>
                    </w:rPr>
                    <w:t>Предпринимательская деятельность без образования юридического лица / частная практика</w:t>
                  </w:r>
                </w:p>
              </w:tc>
              <w:tc>
                <w:tcPr>
                  <w:tcW w:w="8557" w:type="dxa"/>
                </w:tcPr>
                <w:p w14:paraId="0007CAC7" w14:textId="77777777" w:rsidR="009D1253" w:rsidRPr="005500FA" w:rsidRDefault="009D1253" w:rsidP="009D1253">
                  <w:pPr>
                    <w:autoSpaceDE w:val="0"/>
                    <w:autoSpaceDN w:val="0"/>
                    <w:adjustRightInd w:val="0"/>
                    <w:rPr>
                      <w:rFonts w:ascii="Tahoma" w:hAnsi="Tahoma" w:cs="Tahoma"/>
                      <w:sz w:val="20"/>
                      <w:szCs w:val="18"/>
                    </w:rPr>
                  </w:pPr>
                  <w:r w:rsidRPr="005500FA">
                    <w:rPr>
                      <w:rFonts w:ascii="Tahoma" w:hAnsi="Tahoma" w:cs="Tahoma"/>
                      <w:sz w:val="20"/>
                      <w:szCs w:val="18"/>
                    </w:rPr>
                    <w:t xml:space="preserve">Один или совокупность из следующих документов: </w:t>
                  </w:r>
                </w:p>
                <w:p w14:paraId="45FADE2E" w14:textId="77777777" w:rsidR="009D1253" w:rsidRPr="005500FA" w:rsidRDefault="009D1253" w:rsidP="009D1253">
                  <w:pPr>
                    <w:numPr>
                      <w:ilvl w:val="0"/>
                      <w:numId w:val="139"/>
                    </w:numPr>
                    <w:autoSpaceDE w:val="0"/>
                    <w:autoSpaceDN w:val="0"/>
                    <w:adjustRightInd w:val="0"/>
                    <w:rPr>
                      <w:rFonts w:ascii="Tahoma" w:hAnsi="Tahoma" w:cs="Tahoma"/>
                      <w:sz w:val="20"/>
                      <w:szCs w:val="18"/>
                    </w:rPr>
                  </w:pPr>
                  <w:r w:rsidRPr="005500FA">
                    <w:rPr>
                      <w:rFonts w:ascii="Tahoma" w:hAnsi="Tahoma" w:cs="Tahoma"/>
                      <w:sz w:val="20"/>
                      <w:szCs w:val="18"/>
                    </w:rPr>
                    <w:t>Налоговая декларация с копиями квитанций (платежных поручений) об уплате налогов за налоговые периоды, соответствующие периоду расчета среднемесячного дохода</w:t>
                  </w:r>
                </w:p>
                <w:p w14:paraId="442A52CB" w14:textId="77777777" w:rsidR="009D1253" w:rsidRPr="005500FA" w:rsidRDefault="009D1253" w:rsidP="009D1253">
                  <w:pPr>
                    <w:numPr>
                      <w:ilvl w:val="0"/>
                      <w:numId w:val="139"/>
                    </w:numPr>
                    <w:autoSpaceDE w:val="0"/>
                    <w:autoSpaceDN w:val="0"/>
                    <w:adjustRightInd w:val="0"/>
                    <w:rPr>
                      <w:rFonts w:ascii="Tahoma" w:hAnsi="Tahoma" w:cs="Tahoma"/>
                      <w:sz w:val="20"/>
                      <w:szCs w:val="18"/>
                    </w:rPr>
                  </w:pPr>
                  <w:r w:rsidRPr="005500FA">
                    <w:rPr>
                      <w:rFonts w:ascii="Tahoma" w:hAnsi="Tahoma" w:cs="Tahoma"/>
                      <w:sz w:val="20"/>
                      <w:szCs w:val="18"/>
                    </w:rPr>
                    <w:t>Книга учета доходов и расходов и хозяйственных операций ИП</w:t>
                  </w:r>
                </w:p>
                <w:p w14:paraId="26B7132F" w14:textId="77777777" w:rsidR="009D1253" w:rsidRPr="005500FA" w:rsidRDefault="009D1253" w:rsidP="009D1253">
                  <w:pPr>
                    <w:numPr>
                      <w:ilvl w:val="0"/>
                      <w:numId w:val="139"/>
                    </w:numPr>
                    <w:autoSpaceDE w:val="0"/>
                    <w:autoSpaceDN w:val="0"/>
                    <w:adjustRightInd w:val="0"/>
                    <w:rPr>
                      <w:rFonts w:ascii="Tahoma" w:hAnsi="Tahoma" w:cs="Tahoma"/>
                      <w:sz w:val="20"/>
                      <w:szCs w:val="18"/>
                    </w:rPr>
                  </w:pPr>
                  <w:r w:rsidRPr="005500FA">
                    <w:rPr>
                      <w:rFonts w:ascii="Tahoma" w:hAnsi="Tahoma" w:cs="Tahoma"/>
                      <w:sz w:val="20"/>
                      <w:szCs w:val="18"/>
                    </w:rPr>
                    <w:t xml:space="preserve">Выписки по счетам ИП, в т.ч. сформированные из мобильного приложения, заверенные кредитной организацией </w:t>
                  </w:r>
                  <w:r w:rsidRPr="007A6339">
                    <w:rPr>
                      <w:rFonts w:ascii="Tahoma" w:hAnsi="Tahoma" w:cs="Tahoma"/>
                      <w:sz w:val="20"/>
                      <w:szCs w:val="18"/>
                    </w:rPr>
                    <w:t xml:space="preserve">(формат </w:t>
                  </w:r>
                  <w:r w:rsidRPr="007A6339">
                    <w:rPr>
                      <w:rFonts w:ascii="Tahoma" w:hAnsi="Tahoma" w:cs="Tahoma"/>
                      <w:sz w:val="20"/>
                      <w:szCs w:val="18"/>
                      <w:lang w:val="en-US"/>
                    </w:rPr>
                    <w:t>pdf</w:t>
                  </w:r>
                  <w:r w:rsidRPr="007A6339">
                    <w:rPr>
                      <w:rFonts w:ascii="Tahoma" w:hAnsi="Tahoma" w:cs="Tahoma"/>
                      <w:sz w:val="20"/>
                      <w:szCs w:val="18"/>
                    </w:rPr>
                    <w:t>+</w:t>
                  </w:r>
                  <w:r w:rsidRPr="007A6339">
                    <w:rPr>
                      <w:rFonts w:ascii="Tahoma" w:hAnsi="Tahoma" w:cs="Tahoma"/>
                      <w:sz w:val="20"/>
                      <w:szCs w:val="18"/>
                      <w:lang w:val="en-US"/>
                    </w:rPr>
                    <w:t>excel</w:t>
                  </w:r>
                  <w:r w:rsidRPr="007A6339">
                    <w:rPr>
                      <w:rFonts w:ascii="Tahoma" w:hAnsi="Tahoma" w:cs="Tahoma"/>
                      <w:sz w:val="20"/>
                      <w:szCs w:val="18"/>
                    </w:rPr>
                    <w:t>)</w:t>
                  </w:r>
                </w:p>
                <w:p w14:paraId="5867B8F5" w14:textId="77777777" w:rsidR="009D1253" w:rsidRPr="005500FA" w:rsidRDefault="009D1253" w:rsidP="009D1253">
                  <w:pPr>
                    <w:numPr>
                      <w:ilvl w:val="0"/>
                      <w:numId w:val="139"/>
                    </w:numPr>
                    <w:autoSpaceDE w:val="0"/>
                    <w:autoSpaceDN w:val="0"/>
                    <w:adjustRightInd w:val="0"/>
                    <w:rPr>
                      <w:rFonts w:ascii="Tahoma" w:hAnsi="Tahoma" w:cs="Tahoma"/>
                      <w:sz w:val="20"/>
                      <w:szCs w:val="18"/>
                    </w:rPr>
                  </w:pPr>
                  <w:r w:rsidRPr="00BB1283">
                    <w:rPr>
                      <w:rFonts w:ascii="Tahoma" w:hAnsi="Tahoma" w:cs="Tahoma"/>
                      <w:sz w:val="20"/>
                      <w:szCs w:val="18"/>
                    </w:rPr>
                    <w:t xml:space="preserve">Для </w:t>
                  </w:r>
                  <w:r w:rsidRPr="004D50A7">
                    <w:rPr>
                      <w:rFonts w:ascii="Tahoma" w:hAnsi="Tahoma" w:cs="Tahoma"/>
                      <w:sz w:val="20"/>
                      <w:szCs w:val="18"/>
                    </w:rPr>
                    <w:t>лиц, применяющих специальный налоговый режим «Налог на профессиональный доход» (самозанятые граждане)</w:t>
                  </w:r>
                  <w:r w:rsidRPr="005500FA">
                    <w:rPr>
                      <w:rFonts w:ascii="Tahoma" w:hAnsi="Tahoma" w:cs="Tahoma"/>
                      <w:sz w:val="20"/>
                      <w:szCs w:val="18"/>
                    </w:rPr>
                    <w:t>:</w:t>
                  </w:r>
                </w:p>
                <w:p w14:paraId="1E2F6267" w14:textId="77777777" w:rsidR="009D1253" w:rsidRPr="005500FA" w:rsidRDefault="009D1253" w:rsidP="009D1253">
                  <w:pPr>
                    <w:numPr>
                      <w:ilvl w:val="1"/>
                      <w:numId w:val="139"/>
                    </w:numPr>
                    <w:autoSpaceDE w:val="0"/>
                    <w:autoSpaceDN w:val="0"/>
                    <w:adjustRightInd w:val="0"/>
                    <w:ind w:left="360" w:hanging="360"/>
                    <w:rPr>
                      <w:rFonts w:ascii="Tahoma" w:hAnsi="Tahoma" w:cs="Tahoma"/>
                      <w:sz w:val="20"/>
                      <w:szCs w:val="18"/>
                    </w:rPr>
                  </w:pPr>
                  <w:r w:rsidRPr="005500FA">
                    <w:rPr>
                      <w:rFonts w:ascii="Tahoma" w:hAnsi="Tahoma" w:cs="Tahoma"/>
                      <w:sz w:val="20"/>
                      <w:szCs w:val="18"/>
                    </w:rPr>
                    <w:lastRenderedPageBreak/>
                    <w:t>справка о постановке на учет (снятии с учета) физического лица в качестве плательщика налога на профессиональный доход (КНД 1122035)</w:t>
                  </w:r>
                </w:p>
                <w:p w14:paraId="1ADEC344" w14:textId="77777777" w:rsidR="009D1253" w:rsidRPr="005500FA" w:rsidRDefault="009D1253" w:rsidP="009D1253">
                  <w:pPr>
                    <w:numPr>
                      <w:ilvl w:val="1"/>
                      <w:numId w:val="139"/>
                    </w:numPr>
                    <w:autoSpaceDE w:val="0"/>
                    <w:autoSpaceDN w:val="0"/>
                    <w:adjustRightInd w:val="0"/>
                    <w:ind w:left="360" w:hanging="360"/>
                    <w:rPr>
                      <w:rFonts w:ascii="Tahoma" w:hAnsi="Tahoma" w:cs="Tahoma"/>
                      <w:sz w:val="20"/>
                      <w:szCs w:val="18"/>
                    </w:rPr>
                  </w:pPr>
                  <w:r w:rsidRPr="005500FA">
                    <w:rPr>
                      <w:rFonts w:ascii="Tahoma" w:hAnsi="Tahoma" w:cs="Tahoma"/>
                      <w:sz w:val="20"/>
                      <w:szCs w:val="18"/>
                    </w:rPr>
                    <w:t>справка о состоянии расчетов (доходах) по налогу на профессиональный доход (КНД 1122036)</w:t>
                  </w:r>
                </w:p>
              </w:tc>
            </w:tr>
            <w:tr w:rsidR="009D1253" w:rsidRPr="005500FA" w14:paraId="63767064" w14:textId="77777777" w:rsidTr="009D1253">
              <w:tc>
                <w:tcPr>
                  <w:tcW w:w="2096" w:type="dxa"/>
                </w:tcPr>
                <w:p w14:paraId="65681661" w14:textId="77777777" w:rsidR="009D1253" w:rsidRPr="005500FA" w:rsidRDefault="009D1253" w:rsidP="009D1253">
                  <w:pPr>
                    <w:autoSpaceDE w:val="0"/>
                    <w:autoSpaceDN w:val="0"/>
                    <w:adjustRightInd w:val="0"/>
                    <w:rPr>
                      <w:rFonts w:ascii="Tahoma" w:hAnsi="Tahoma" w:cs="Tahoma"/>
                      <w:sz w:val="20"/>
                      <w:szCs w:val="18"/>
                    </w:rPr>
                  </w:pPr>
                  <w:r w:rsidRPr="005500FA">
                    <w:rPr>
                      <w:rFonts w:ascii="Tahoma" w:hAnsi="Tahoma" w:cs="Tahoma"/>
                      <w:sz w:val="20"/>
                      <w:szCs w:val="18"/>
                    </w:rPr>
                    <w:lastRenderedPageBreak/>
                    <w:t>Сдача в аренду помещения</w:t>
                  </w:r>
                </w:p>
              </w:tc>
              <w:tc>
                <w:tcPr>
                  <w:tcW w:w="8557" w:type="dxa"/>
                </w:tcPr>
                <w:p w14:paraId="652F7575" w14:textId="77777777" w:rsidR="009D1253" w:rsidRPr="005500FA" w:rsidRDefault="009D1253" w:rsidP="009D1253">
                  <w:pPr>
                    <w:pStyle w:val="affe"/>
                    <w:numPr>
                      <w:ilvl w:val="0"/>
                      <w:numId w:val="140"/>
                    </w:numPr>
                    <w:autoSpaceDE w:val="0"/>
                    <w:autoSpaceDN w:val="0"/>
                    <w:adjustRightInd w:val="0"/>
                    <w:ind w:left="316" w:hanging="316"/>
                    <w:rPr>
                      <w:rFonts w:ascii="Tahoma" w:hAnsi="Tahoma" w:cs="Tahoma"/>
                      <w:sz w:val="20"/>
                      <w:szCs w:val="18"/>
                    </w:rPr>
                  </w:pPr>
                  <w:r w:rsidRPr="005500FA">
                    <w:rPr>
                      <w:rFonts w:ascii="Tahoma" w:hAnsi="Tahoma" w:cs="Tahoma"/>
                      <w:sz w:val="20"/>
                      <w:szCs w:val="18"/>
                    </w:rPr>
                    <w:t>Документ, подтверждающий право собственности Заёмщика на помещение</w:t>
                  </w:r>
                </w:p>
                <w:p w14:paraId="68B9EAC2" w14:textId="77777777" w:rsidR="009D1253" w:rsidRPr="005500FA" w:rsidRDefault="009D1253" w:rsidP="009D1253">
                  <w:pPr>
                    <w:pStyle w:val="affe"/>
                    <w:numPr>
                      <w:ilvl w:val="0"/>
                      <w:numId w:val="140"/>
                    </w:numPr>
                    <w:autoSpaceDE w:val="0"/>
                    <w:autoSpaceDN w:val="0"/>
                    <w:adjustRightInd w:val="0"/>
                    <w:ind w:left="316" w:hanging="316"/>
                    <w:rPr>
                      <w:rFonts w:ascii="Tahoma" w:hAnsi="Tahoma" w:cs="Tahoma"/>
                      <w:sz w:val="20"/>
                      <w:szCs w:val="18"/>
                    </w:rPr>
                  </w:pPr>
                  <w:r w:rsidRPr="005500FA">
                    <w:rPr>
                      <w:rFonts w:ascii="Tahoma" w:hAnsi="Tahoma" w:cs="Tahoma"/>
                      <w:sz w:val="20"/>
                      <w:szCs w:val="18"/>
                    </w:rPr>
                    <w:t>Договор аренды помещения</w:t>
                  </w:r>
                </w:p>
                <w:p w14:paraId="3F700BD6" w14:textId="77777777" w:rsidR="009D1253" w:rsidRPr="005500FA" w:rsidRDefault="009D1253" w:rsidP="009D1253">
                  <w:pPr>
                    <w:pStyle w:val="affe"/>
                    <w:numPr>
                      <w:ilvl w:val="0"/>
                      <w:numId w:val="140"/>
                    </w:numPr>
                    <w:autoSpaceDE w:val="0"/>
                    <w:autoSpaceDN w:val="0"/>
                    <w:adjustRightInd w:val="0"/>
                    <w:ind w:left="316" w:hanging="316"/>
                    <w:rPr>
                      <w:rFonts w:ascii="Tahoma" w:hAnsi="Tahoma" w:cs="Tahoma"/>
                      <w:sz w:val="20"/>
                      <w:szCs w:val="18"/>
                    </w:rPr>
                  </w:pPr>
                  <w:r w:rsidRPr="005500FA">
                    <w:rPr>
                      <w:rFonts w:ascii="Tahoma" w:hAnsi="Tahoma" w:cs="Tahoma"/>
                      <w:sz w:val="20"/>
                      <w:szCs w:val="18"/>
                    </w:rPr>
                    <w:t>Выписка со счета, выданная кредитными организациями, на который осуществляются регулярные выплаты Заёмщику доходов от сдачи внаем (в аренду) недвижимого имущества (при условии подтверждения права собственности (владения) этим имуществом), в т.ч. сформированная  из мобильного Банка</w:t>
                  </w:r>
                </w:p>
                <w:p w14:paraId="4882F825" w14:textId="77777777" w:rsidR="009D1253" w:rsidRPr="005500FA" w:rsidRDefault="009D1253" w:rsidP="009D1253">
                  <w:pPr>
                    <w:pStyle w:val="affe"/>
                    <w:numPr>
                      <w:ilvl w:val="0"/>
                      <w:numId w:val="140"/>
                    </w:numPr>
                    <w:autoSpaceDE w:val="0"/>
                    <w:autoSpaceDN w:val="0"/>
                    <w:adjustRightInd w:val="0"/>
                    <w:ind w:left="316" w:hanging="316"/>
                    <w:rPr>
                      <w:rFonts w:ascii="Tahoma" w:hAnsi="Tahoma" w:cs="Tahoma"/>
                      <w:sz w:val="20"/>
                      <w:szCs w:val="18"/>
                    </w:rPr>
                  </w:pPr>
                  <w:r w:rsidRPr="005500FA">
                    <w:rPr>
                      <w:rFonts w:ascii="Tahoma" w:hAnsi="Tahoma" w:cs="Tahoma"/>
                      <w:sz w:val="20"/>
                      <w:szCs w:val="18"/>
                    </w:rPr>
                    <w:t>Копия налоговой декларации по налогу на доходы физических лиц (форма 3-НДФЛ) и копии платежных документов, подтверждающих уплату налогов и сборов по договорам аренды/найма за последний налоговый период</w:t>
                  </w:r>
                </w:p>
              </w:tc>
            </w:tr>
            <w:tr w:rsidR="009D1253" w:rsidRPr="005500FA" w14:paraId="6CA6A9B5" w14:textId="77777777" w:rsidTr="009D1253">
              <w:tc>
                <w:tcPr>
                  <w:tcW w:w="2096" w:type="dxa"/>
                </w:tcPr>
                <w:p w14:paraId="51C29B12" w14:textId="77777777" w:rsidR="009D1253" w:rsidRPr="005500FA" w:rsidRDefault="009D1253" w:rsidP="009D1253">
                  <w:pPr>
                    <w:autoSpaceDE w:val="0"/>
                    <w:autoSpaceDN w:val="0"/>
                    <w:adjustRightInd w:val="0"/>
                    <w:rPr>
                      <w:rFonts w:ascii="Tahoma" w:hAnsi="Tahoma" w:cs="Tahoma"/>
                      <w:sz w:val="20"/>
                      <w:szCs w:val="18"/>
                    </w:rPr>
                  </w:pPr>
                  <w:r w:rsidRPr="005500FA">
                    <w:rPr>
                      <w:rFonts w:ascii="Tahoma" w:hAnsi="Tahoma" w:cs="Tahoma"/>
                      <w:sz w:val="20"/>
                      <w:szCs w:val="18"/>
                    </w:rPr>
                    <w:t>Вознаграждения по договорам гражданско-правового характера</w:t>
                  </w:r>
                </w:p>
              </w:tc>
              <w:tc>
                <w:tcPr>
                  <w:tcW w:w="8557" w:type="dxa"/>
                </w:tcPr>
                <w:p w14:paraId="31C3ED36" w14:textId="77777777" w:rsidR="009D1253" w:rsidRPr="005500FA" w:rsidRDefault="009D1253" w:rsidP="009D1253">
                  <w:pPr>
                    <w:numPr>
                      <w:ilvl w:val="0"/>
                      <w:numId w:val="141"/>
                    </w:numPr>
                    <w:autoSpaceDE w:val="0"/>
                    <w:autoSpaceDN w:val="0"/>
                    <w:adjustRightInd w:val="0"/>
                    <w:rPr>
                      <w:rFonts w:ascii="Tahoma" w:hAnsi="Tahoma" w:cs="Tahoma"/>
                      <w:sz w:val="20"/>
                      <w:szCs w:val="18"/>
                    </w:rPr>
                  </w:pPr>
                  <w:r w:rsidRPr="005500FA">
                    <w:rPr>
                      <w:rFonts w:ascii="Tahoma" w:hAnsi="Tahoma" w:cs="Tahoma"/>
                      <w:sz w:val="20"/>
                      <w:szCs w:val="18"/>
                    </w:rPr>
                    <w:t>Договор</w:t>
                  </w:r>
                </w:p>
                <w:p w14:paraId="44700B21" w14:textId="77777777" w:rsidR="009D1253" w:rsidRPr="005500FA" w:rsidRDefault="009D1253" w:rsidP="009D1253">
                  <w:pPr>
                    <w:numPr>
                      <w:ilvl w:val="0"/>
                      <w:numId w:val="141"/>
                    </w:numPr>
                    <w:autoSpaceDE w:val="0"/>
                    <w:autoSpaceDN w:val="0"/>
                    <w:adjustRightInd w:val="0"/>
                    <w:rPr>
                      <w:rFonts w:ascii="Tahoma" w:hAnsi="Tahoma" w:cs="Tahoma"/>
                      <w:sz w:val="20"/>
                      <w:szCs w:val="18"/>
                    </w:rPr>
                  </w:pPr>
                  <w:r w:rsidRPr="005500FA">
                    <w:rPr>
                      <w:rFonts w:ascii="Tahoma" w:hAnsi="Tahoma" w:cs="Tahoma"/>
                      <w:sz w:val="20"/>
                      <w:szCs w:val="18"/>
                    </w:rPr>
                    <w:t>Один из следующих документов по выбору Заёмщика:</w:t>
                  </w:r>
                </w:p>
                <w:p w14:paraId="1967DB04" w14:textId="77777777" w:rsidR="009D1253" w:rsidRPr="005500FA" w:rsidRDefault="009D1253" w:rsidP="009D1253">
                  <w:pPr>
                    <w:numPr>
                      <w:ilvl w:val="1"/>
                      <w:numId w:val="141"/>
                    </w:numPr>
                    <w:autoSpaceDE w:val="0"/>
                    <w:autoSpaceDN w:val="0"/>
                    <w:adjustRightInd w:val="0"/>
                    <w:ind w:left="360" w:hanging="360"/>
                    <w:rPr>
                      <w:rFonts w:ascii="Tahoma" w:hAnsi="Tahoma" w:cs="Tahoma"/>
                      <w:sz w:val="20"/>
                      <w:szCs w:val="18"/>
                    </w:rPr>
                  </w:pPr>
                  <w:r w:rsidRPr="005500FA">
                    <w:rPr>
                      <w:rFonts w:ascii="Tahoma" w:hAnsi="Tahoma" w:cs="Tahoma"/>
                      <w:sz w:val="20"/>
                      <w:szCs w:val="18"/>
                    </w:rPr>
                    <w:t>копия налоговой декларации по форме 3-НДФЛ</w:t>
                  </w:r>
                </w:p>
                <w:p w14:paraId="4049DCC1" w14:textId="77777777" w:rsidR="009D1253" w:rsidRPr="005500FA" w:rsidRDefault="009D1253" w:rsidP="009D1253">
                  <w:pPr>
                    <w:numPr>
                      <w:ilvl w:val="1"/>
                      <w:numId w:val="141"/>
                    </w:numPr>
                    <w:autoSpaceDE w:val="0"/>
                    <w:autoSpaceDN w:val="0"/>
                    <w:adjustRightInd w:val="0"/>
                    <w:ind w:left="360" w:hanging="360"/>
                    <w:rPr>
                      <w:rFonts w:ascii="Tahoma" w:hAnsi="Tahoma" w:cs="Tahoma"/>
                      <w:sz w:val="20"/>
                      <w:szCs w:val="18"/>
                    </w:rPr>
                  </w:pPr>
                  <w:r w:rsidRPr="005500FA">
                    <w:rPr>
                      <w:rFonts w:ascii="Tahoma" w:hAnsi="Tahoma" w:cs="Tahoma"/>
                      <w:sz w:val="20"/>
                      <w:szCs w:val="18"/>
                    </w:rPr>
                    <w:t>справка о доходах и суммах налога физического лица**</w:t>
                  </w:r>
                </w:p>
              </w:tc>
            </w:tr>
            <w:tr w:rsidR="009D1253" w:rsidRPr="005500FA" w14:paraId="2A452430" w14:textId="77777777" w:rsidTr="009D1253">
              <w:tc>
                <w:tcPr>
                  <w:tcW w:w="2096" w:type="dxa"/>
                </w:tcPr>
                <w:p w14:paraId="50C97D8A" w14:textId="77777777" w:rsidR="009D1253" w:rsidRPr="005500FA" w:rsidRDefault="009D1253" w:rsidP="009D1253">
                  <w:pPr>
                    <w:autoSpaceDE w:val="0"/>
                    <w:autoSpaceDN w:val="0"/>
                    <w:adjustRightInd w:val="0"/>
                    <w:rPr>
                      <w:rFonts w:ascii="Tahoma" w:hAnsi="Tahoma" w:cs="Tahoma"/>
                      <w:sz w:val="20"/>
                      <w:szCs w:val="18"/>
                    </w:rPr>
                  </w:pPr>
                  <w:r w:rsidRPr="005500FA">
                    <w:rPr>
                      <w:rFonts w:ascii="Tahoma" w:hAnsi="Tahoma" w:cs="Tahoma"/>
                      <w:sz w:val="20"/>
                      <w:szCs w:val="18"/>
                    </w:rPr>
                    <w:t>Прочие виды (источники) дохода</w:t>
                  </w:r>
                </w:p>
              </w:tc>
              <w:tc>
                <w:tcPr>
                  <w:tcW w:w="8557" w:type="dxa"/>
                </w:tcPr>
                <w:p w14:paraId="5CE1E97A" w14:textId="77777777" w:rsidR="009D1253" w:rsidRPr="005500FA" w:rsidRDefault="009D1253" w:rsidP="009D1253">
                  <w:pPr>
                    <w:pStyle w:val="affe"/>
                    <w:numPr>
                      <w:ilvl w:val="1"/>
                      <w:numId w:val="142"/>
                    </w:numPr>
                    <w:autoSpaceDE w:val="0"/>
                    <w:autoSpaceDN w:val="0"/>
                    <w:adjustRightInd w:val="0"/>
                    <w:ind w:left="316" w:hanging="284"/>
                    <w:rPr>
                      <w:rFonts w:ascii="Tahoma" w:hAnsi="Tahoma" w:cs="Tahoma"/>
                      <w:sz w:val="20"/>
                      <w:szCs w:val="18"/>
                    </w:rPr>
                  </w:pPr>
                  <w:r w:rsidRPr="005500FA">
                    <w:rPr>
                      <w:rFonts w:ascii="Tahoma" w:hAnsi="Tahoma" w:cs="Tahoma"/>
                      <w:sz w:val="20"/>
                      <w:szCs w:val="18"/>
                    </w:rPr>
                    <w:t>Справка о сумме ежемесячной денежной выплаты, ежемесячной денежной компенсации, ежемесячного дополнительного материального обеспечения, выданная государственным органом Заёмщику</w:t>
                  </w:r>
                </w:p>
                <w:p w14:paraId="61C6DF0F" w14:textId="77777777" w:rsidR="009D1253" w:rsidRPr="005500FA" w:rsidRDefault="009D1253" w:rsidP="009D1253">
                  <w:pPr>
                    <w:pStyle w:val="affe"/>
                    <w:numPr>
                      <w:ilvl w:val="1"/>
                      <w:numId w:val="142"/>
                    </w:numPr>
                    <w:autoSpaceDE w:val="0"/>
                    <w:autoSpaceDN w:val="0"/>
                    <w:adjustRightInd w:val="0"/>
                    <w:ind w:left="316" w:hanging="284"/>
                    <w:rPr>
                      <w:rFonts w:ascii="Tahoma" w:hAnsi="Tahoma" w:cs="Tahoma"/>
                      <w:sz w:val="20"/>
                      <w:szCs w:val="18"/>
                    </w:rPr>
                  </w:pPr>
                  <w:r w:rsidRPr="005500FA">
                    <w:rPr>
                      <w:rFonts w:ascii="Tahoma" w:hAnsi="Tahoma" w:cs="Tahoma"/>
                      <w:sz w:val="20"/>
                      <w:szCs w:val="18"/>
                    </w:rPr>
                    <w:t>Документ, содержащий сведения о доходах Заёмщика, выданные государственными (муниципальными) органами, учреждениями, организациями или предприятиями (включая документы, выданные должностными лицами Вооруженных Сил Российской Федерации и воинских формирований), а также физическими лицами, зарегистрированными в качестве индивидуальных предпринимателей</w:t>
                  </w:r>
                </w:p>
                <w:p w14:paraId="25683850" w14:textId="77777777" w:rsidR="009D1253" w:rsidRPr="005500FA" w:rsidRDefault="009D1253" w:rsidP="009D1253">
                  <w:pPr>
                    <w:pStyle w:val="affe"/>
                    <w:numPr>
                      <w:ilvl w:val="1"/>
                      <w:numId w:val="142"/>
                    </w:numPr>
                    <w:autoSpaceDE w:val="0"/>
                    <w:autoSpaceDN w:val="0"/>
                    <w:adjustRightInd w:val="0"/>
                    <w:ind w:left="316" w:hanging="284"/>
                    <w:rPr>
                      <w:rFonts w:ascii="Tahoma" w:hAnsi="Tahoma" w:cs="Tahoma"/>
                      <w:sz w:val="20"/>
                      <w:szCs w:val="18"/>
                    </w:rPr>
                  </w:pPr>
                  <w:r w:rsidRPr="005500FA">
                    <w:rPr>
                      <w:rFonts w:ascii="Tahoma" w:hAnsi="Tahoma" w:cs="Tahoma"/>
                      <w:sz w:val="20"/>
                      <w:szCs w:val="18"/>
                    </w:rPr>
                    <w:t>Выписка со счета, выданная кредитными организациями, на который осуществляются социальные выплаты, а также иные регулярные выплаты Клиенту, в т.ч. сформированная из мобильного/интернет банка</w:t>
                  </w:r>
                </w:p>
              </w:tc>
            </w:tr>
          </w:tbl>
          <w:p w14:paraId="398A1816" w14:textId="77777777" w:rsidR="009D1253" w:rsidRPr="005500FA" w:rsidRDefault="009D1253" w:rsidP="009D1253">
            <w:pPr>
              <w:autoSpaceDE w:val="0"/>
              <w:autoSpaceDN w:val="0"/>
              <w:adjustRightInd w:val="0"/>
              <w:rPr>
                <w:rFonts w:ascii="Tahoma" w:hAnsi="Tahoma" w:cs="Tahoma"/>
                <w:sz w:val="20"/>
                <w:szCs w:val="18"/>
              </w:rPr>
            </w:pPr>
            <w:r w:rsidRPr="005500FA">
              <w:rPr>
                <w:rFonts w:ascii="Tahoma" w:hAnsi="Tahoma" w:cs="Tahoma"/>
                <w:sz w:val="20"/>
                <w:szCs w:val="18"/>
              </w:rPr>
              <w:t xml:space="preserve">*Документ должен содержать информацию о доходе за последние 12 (двенадцать) месяцев. В случае если стаж работы составляет менее 12 месяцев, документ предоставляется за фактическое количество отработанных месяцев, но не менее 3 месяцев </w:t>
            </w:r>
          </w:p>
          <w:p w14:paraId="01CAC4E2" w14:textId="77777777" w:rsidR="009D1253" w:rsidRPr="005500FA" w:rsidRDefault="009D1253" w:rsidP="009D1253">
            <w:pPr>
              <w:autoSpaceDE w:val="0"/>
              <w:autoSpaceDN w:val="0"/>
              <w:adjustRightInd w:val="0"/>
              <w:rPr>
                <w:rFonts w:ascii="Tahoma" w:hAnsi="Tahoma" w:cs="Tahoma"/>
                <w:sz w:val="20"/>
                <w:szCs w:val="18"/>
              </w:rPr>
            </w:pPr>
            <w:r w:rsidRPr="005500FA">
              <w:rPr>
                <w:rFonts w:ascii="Tahoma" w:hAnsi="Tahoma" w:cs="Tahoma"/>
                <w:sz w:val="20"/>
                <w:szCs w:val="18"/>
              </w:rPr>
              <w:t>** Документ, подтверждающий доход должен содержать в составе реквизитов ИНН работодателя/контрагента</w:t>
            </w:r>
          </w:p>
          <w:p w14:paraId="5AEFD11D" w14:textId="77777777" w:rsidR="009D1253" w:rsidRPr="005500FA" w:rsidRDefault="009D1253" w:rsidP="009D1253">
            <w:pPr>
              <w:autoSpaceDE w:val="0"/>
              <w:autoSpaceDN w:val="0"/>
              <w:adjustRightInd w:val="0"/>
              <w:rPr>
                <w:rFonts w:ascii="Tahoma" w:hAnsi="Tahoma" w:cs="Tahoma"/>
                <w:sz w:val="20"/>
                <w:szCs w:val="18"/>
              </w:rPr>
            </w:pPr>
            <w:r w:rsidRPr="005500FA">
              <w:rPr>
                <w:rFonts w:ascii="Tahoma" w:hAnsi="Tahoma" w:cs="Tahoma"/>
                <w:sz w:val="20"/>
                <w:szCs w:val="18"/>
              </w:rPr>
              <w:t>***</w:t>
            </w:r>
            <w:r w:rsidRPr="00BB1283">
              <w:rPr>
                <w:rFonts w:ascii="Tahoma" w:hAnsi="Tahoma" w:cs="Tahoma"/>
                <w:sz w:val="20"/>
                <w:szCs w:val="18"/>
              </w:rPr>
              <w:t xml:space="preserve"> Банк получает документ в электронной форме из государственных информационных систем</w:t>
            </w:r>
            <w:r w:rsidRPr="004D50A7">
              <w:rPr>
                <w:rFonts w:ascii="Tahoma" w:hAnsi="Tahoma" w:cs="Tahoma"/>
                <w:sz w:val="20"/>
                <w:szCs w:val="18"/>
              </w:rPr>
              <w:t>, если Заемщиком выражено согласие в соответствии с законодательством Российской Федерации на запрос выписки по индивидуальному лицевому счету Заемщика, который ведется в Социальном Фонде Российской Федерации</w:t>
            </w:r>
          </w:p>
          <w:p w14:paraId="3D363C86" w14:textId="77777777" w:rsidR="009D1253" w:rsidRPr="005A07E7" w:rsidRDefault="009D1253" w:rsidP="009D1253">
            <w:pPr>
              <w:autoSpaceDE w:val="0"/>
              <w:autoSpaceDN w:val="0"/>
              <w:adjustRightInd w:val="0"/>
              <w:rPr>
                <w:rFonts w:ascii="Tahoma" w:hAnsi="Tahoma" w:cs="Tahoma"/>
                <w:sz w:val="18"/>
                <w:szCs w:val="18"/>
              </w:rPr>
            </w:pPr>
            <w:r w:rsidRPr="005500FA">
              <w:rPr>
                <w:rFonts w:ascii="Tahoma" w:hAnsi="Tahoma" w:cs="Tahoma"/>
                <w:sz w:val="20"/>
                <w:szCs w:val="18"/>
              </w:rPr>
              <w:t xml:space="preserve">****Для учета дохода в виде пенсии допускается принимать документ, содержащий сведения о доходе за 1 (один) календарный месяц, принимаются выплаты, которые были получены (начислены или назначены): страховой и (или) накопительной пенсионных выплат (за исключением суммы единовременных пенсионных выплат), а также дополнительных ежемесячных денежных выплат, компенсаций и материального обеспечения (за исключением набора социальных услуг и федеральной социальной доплаты к пенсии, если </w:t>
            </w:r>
            <w:r w:rsidRPr="005500FA">
              <w:rPr>
                <w:rFonts w:ascii="Tahoma" w:hAnsi="Tahoma" w:cs="Tahoma"/>
                <w:sz w:val="20"/>
                <w:szCs w:val="18"/>
              </w:rPr>
              <w:lastRenderedPageBreak/>
              <w:t>они отдельно указаны в подтверждающем документе, предусмотренном в настоящем перечне подтверждающих документов)</w:t>
            </w:r>
            <w:r w:rsidRPr="005A07E7">
              <w:rPr>
                <w:rFonts w:ascii="Tahoma" w:hAnsi="Tahoma" w:cs="Tahoma"/>
                <w:strike/>
                <w:sz w:val="18"/>
                <w:szCs w:val="18"/>
              </w:rPr>
              <w:fldChar w:fldCharType="begin"/>
            </w:r>
            <w:r w:rsidRPr="005A07E7">
              <w:rPr>
                <w:rFonts w:ascii="Tahoma" w:hAnsi="Tahoma" w:cs="Tahoma"/>
                <w:strike/>
                <w:sz w:val="18"/>
                <w:szCs w:val="18"/>
              </w:rPr>
              <w:instrText xml:space="preserve"> DOCVARIABLE  ATB_ADDRESS_REG </w:instrText>
            </w:r>
            <w:r w:rsidRPr="005A07E7">
              <w:rPr>
                <w:rFonts w:ascii="Tahoma" w:hAnsi="Tahoma" w:cs="Tahoma"/>
                <w:strike/>
                <w:sz w:val="18"/>
                <w:szCs w:val="18"/>
              </w:rPr>
              <w:fldChar w:fldCharType="end"/>
            </w:r>
          </w:p>
        </w:tc>
      </w:tr>
      <w:tr w:rsidR="009D1253" w:rsidRPr="005A07E7" w14:paraId="2FA4B6EB"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540"/>
        </w:trPr>
        <w:tc>
          <w:tcPr>
            <w:tcW w:w="1475" w:type="pct"/>
            <w:tcBorders>
              <w:top w:val="single" w:sz="4" w:space="0" w:color="auto"/>
              <w:left w:val="single" w:sz="8" w:space="0" w:color="auto"/>
              <w:bottom w:val="single" w:sz="4" w:space="0" w:color="auto"/>
              <w:right w:val="single" w:sz="4" w:space="0" w:color="auto"/>
            </w:tcBorders>
            <w:vAlign w:val="center"/>
          </w:tcPr>
          <w:p w14:paraId="378E6F04"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lastRenderedPageBreak/>
              <w:t>Требования к приобретаемым ТС</w:t>
            </w:r>
          </w:p>
        </w:tc>
        <w:tc>
          <w:tcPr>
            <w:tcW w:w="3525" w:type="pct"/>
            <w:tcBorders>
              <w:top w:val="single" w:sz="4" w:space="0" w:color="auto"/>
              <w:left w:val="nil"/>
              <w:bottom w:val="single" w:sz="4" w:space="0" w:color="auto"/>
              <w:right w:val="single" w:sz="8" w:space="0" w:color="000000"/>
            </w:tcBorders>
            <w:shd w:val="clear" w:color="auto" w:fill="auto"/>
            <w:noWrap/>
            <w:vAlign w:val="center"/>
          </w:tcPr>
          <w:p w14:paraId="6E45B3C8" w14:textId="77777777" w:rsidR="009D1253" w:rsidRPr="005A07E7" w:rsidRDefault="009D1253" w:rsidP="009D1253">
            <w:pPr>
              <w:pStyle w:val="a9"/>
              <w:tabs>
                <w:tab w:val="left" w:pos="0"/>
                <w:tab w:val="left" w:pos="176"/>
              </w:tabs>
              <w:spacing w:before="0" w:after="0"/>
              <w:rPr>
                <w:rFonts w:ascii="Tahoma" w:hAnsi="Tahoma" w:cs="Tahoma"/>
                <w:b/>
                <w:sz w:val="18"/>
                <w:szCs w:val="18"/>
                <w:lang w:eastAsia="en-US"/>
              </w:rPr>
            </w:pPr>
            <w:r w:rsidRPr="005A07E7">
              <w:rPr>
                <w:rFonts w:ascii="Tahoma" w:hAnsi="Tahoma" w:cs="Tahoma"/>
                <w:b/>
                <w:sz w:val="18"/>
                <w:szCs w:val="18"/>
                <w:lang w:eastAsia="en-US"/>
              </w:rPr>
              <w:t>Требования к новому ТС (одновременное выполнение условий):</w:t>
            </w:r>
          </w:p>
          <w:p w14:paraId="030EFCDE" w14:textId="77777777" w:rsidR="009D1253" w:rsidRDefault="009D1253" w:rsidP="009D1253">
            <w:pPr>
              <w:tabs>
                <w:tab w:val="left" w:pos="6979"/>
              </w:tabs>
              <w:ind w:right="176"/>
              <w:jc w:val="both"/>
              <w:rPr>
                <w:rFonts w:ascii="Tahoma" w:hAnsi="Tahoma" w:cs="Tahoma"/>
                <w:sz w:val="20"/>
                <w:szCs w:val="20"/>
              </w:rPr>
            </w:pPr>
            <w:r w:rsidRPr="005A07E7">
              <w:rPr>
                <w:rFonts w:ascii="Tahoma" w:hAnsi="Tahoma" w:cs="Tahoma"/>
                <w:sz w:val="20"/>
                <w:szCs w:val="20"/>
              </w:rPr>
              <w:t xml:space="preserve">- приобретаемое новое ТС на дату выдачи Кредита не должно находиться на регистрационном учете в соответствии с законодательством РФ (за исключением случаев постановки на учет юридическим лицом </w:t>
            </w:r>
            <w:r>
              <w:rPr>
                <w:rFonts w:ascii="Tahoma" w:hAnsi="Tahoma" w:cs="Tahoma"/>
                <w:sz w:val="20"/>
                <w:szCs w:val="20"/>
              </w:rPr>
              <w:t>ТС</w:t>
            </w:r>
            <w:r w:rsidRPr="005A07E7">
              <w:rPr>
                <w:rFonts w:ascii="Tahoma" w:hAnsi="Tahoma" w:cs="Tahoma"/>
                <w:sz w:val="20"/>
                <w:szCs w:val="20"/>
              </w:rPr>
              <w:t>, используемых для тест-драйва);</w:t>
            </w:r>
          </w:p>
          <w:p w14:paraId="710771D7" w14:textId="77777777" w:rsidR="009D1253" w:rsidRDefault="009D1253" w:rsidP="009D1253">
            <w:pPr>
              <w:tabs>
                <w:tab w:val="left" w:pos="6979"/>
              </w:tabs>
              <w:ind w:right="176"/>
              <w:jc w:val="both"/>
              <w:rPr>
                <w:rFonts w:ascii="Tahoma" w:hAnsi="Tahoma" w:cs="Tahoma"/>
                <w:sz w:val="20"/>
                <w:szCs w:val="20"/>
              </w:rPr>
            </w:pPr>
            <w:r>
              <w:rPr>
                <w:rFonts w:ascii="Tahoma" w:hAnsi="Tahoma" w:cs="Tahoma"/>
                <w:sz w:val="20"/>
                <w:szCs w:val="20"/>
              </w:rPr>
              <w:t>- по ТС имеется выписка из ЭПТС в статусе «действующий»;</w:t>
            </w:r>
          </w:p>
          <w:p w14:paraId="45A730DB" w14:textId="77777777" w:rsidR="009D1253" w:rsidRPr="005A07E7" w:rsidRDefault="009D1253" w:rsidP="009D1253">
            <w:pPr>
              <w:tabs>
                <w:tab w:val="left" w:pos="6979"/>
              </w:tabs>
              <w:ind w:right="176"/>
              <w:jc w:val="both"/>
              <w:rPr>
                <w:rFonts w:ascii="Tahoma" w:hAnsi="Tahoma" w:cs="Tahoma"/>
                <w:sz w:val="20"/>
                <w:szCs w:val="20"/>
              </w:rPr>
            </w:pPr>
            <w:r w:rsidRPr="005A07E7">
              <w:rPr>
                <w:rFonts w:ascii="Tahoma" w:hAnsi="Tahoma" w:cs="Tahoma"/>
                <w:sz w:val="20"/>
                <w:szCs w:val="20"/>
              </w:rPr>
              <w:t xml:space="preserve">- пробег ТС должен быть менее 1 000 км (или 5 000 км при условии предоставления информационного письма дилером об использовании данного </w:t>
            </w:r>
            <w:r>
              <w:rPr>
                <w:rFonts w:ascii="Tahoma" w:hAnsi="Tahoma" w:cs="Tahoma"/>
                <w:sz w:val="20"/>
                <w:szCs w:val="20"/>
              </w:rPr>
              <w:t>ТС</w:t>
            </w:r>
            <w:r w:rsidRPr="005A07E7">
              <w:rPr>
                <w:rFonts w:ascii="Tahoma" w:hAnsi="Tahoma" w:cs="Tahoma"/>
                <w:sz w:val="20"/>
                <w:szCs w:val="20"/>
              </w:rPr>
              <w:t xml:space="preserve"> для тест-драйва);</w:t>
            </w:r>
          </w:p>
          <w:p w14:paraId="3A0A13C1" w14:textId="77777777" w:rsidR="009D1253" w:rsidRPr="005A07E7" w:rsidRDefault="009D1253" w:rsidP="009D1253">
            <w:pPr>
              <w:tabs>
                <w:tab w:val="left" w:pos="6979"/>
              </w:tabs>
              <w:ind w:right="176"/>
              <w:jc w:val="both"/>
              <w:rPr>
                <w:rFonts w:ascii="Tahoma" w:hAnsi="Tahoma" w:cs="Tahoma"/>
                <w:b/>
                <w:sz w:val="18"/>
                <w:szCs w:val="18"/>
              </w:rPr>
            </w:pPr>
            <w:r w:rsidRPr="00F42CCC">
              <w:rPr>
                <w:rFonts w:ascii="Tahoma" w:hAnsi="Tahoma" w:cs="Tahoma"/>
                <w:sz w:val="20"/>
                <w:szCs w:val="20"/>
              </w:rPr>
              <w:t>- по Кредитам, одобренным на дату ранее, чем «01» июля текущего года, год изготовления ТС отличается от года оформления Кредита не более, чем на 2 года; одобренным с «01» июля текущего года, год изготовления ТС отличается от года оформления Кредита не более, чем на 1 год.</w:t>
            </w:r>
          </w:p>
        </w:tc>
      </w:tr>
      <w:tr w:rsidR="009D1253" w:rsidRPr="005A07E7" w14:paraId="1F44E756"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5D0A2D1C"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Способ предоставления Кредита</w:t>
            </w:r>
          </w:p>
        </w:tc>
        <w:tc>
          <w:tcPr>
            <w:tcW w:w="3525" w:type="pct"/>
            <w:tcBorders>
              <w:top w:val="single" w:sz="4" w:space="0" w:color="auto"/>
              <w:left w:val="nil"/>
              <w:bottom w:val="single" w:sz="4" w:space="0" w:color="auto"/>
              <w:right w:val="single" w:sz="8" w:space="0" w:color="000000"/>
            </w:tcBorders>
            <w:noWrap/>
            <w:vAlign w:val="center"/>
          </w:tcPr>
          <w:p w14:paraId="6A717FE8" w14:textId="77777777" w:rsidR="009D1253" w:rsidRPr="005A07E7" w:rsidRDefault="009D1253" w:rsidP="009D1253">
            <w:pPr>
              <w:widowControl w:val="0"/>
              <w:tabs>
                <w:tab w:val="left" w:pos="426"/>
                <w:tab w:val="left" w:pos="851"/>
                <w:tab w:val="left" w:pos="2146"/>
              </w:tabs>
              <w:jc w:val="both"/>
              <w:rPr>
                <w:rFonts w:ascii="Tahoma" w:hAnsi="Tahoma" w:cs="Tahoma"/>
                <w:sz w:val="20"/>
                <w:szCs w:val="20"/>
              </w:rPr>
            </w:pPr>
            <w:r w:rsidRPr="005A07E7">
              <w:rPr>
                <w:rFonts w:ascii="Tahoma" w:hAnsi="Tahoma" w:cs="Tahoma"/>
                <w:sz w:val="20"/>
                <w:szCs w:val="20"/>
              </w:rPr>
              <w:t>Перевод денежных средств на ТБС Заёмщика, открытый в Банке</w:t>
            </w:r>
            <w:r>
              <w:rPr>
                <w:rFonts w:ascii="Tahoma" w:hAnsi="Tahoma" w:cs="Tahoma"/>
                <w:sz w:val="20"/>
                <w:szCs w:val="20"/>
              </w:rPr>
              <w:t>,</w:t>
            </w:r>
            <w:r w:rsidRPr="005A07E7">
              <w:rPr>
                <w:rFonts w:ascii="Tahoma" w:hAnsi="Tahoma" w:cs="Tahoma"/>
                <w:sz w:val="20"/>
                <w:szCs w:val="20"/>
              </w:rPr>
              <w:t xml:space="preserve"> для использования Заёмщиком на цели использования Кредита, указанные в  настоящем документе.</w:t>
            </w:r>
          </w:p>
        </w:tc>
      </w:tr>
      <w:tr w:rsidR="009D1253" w:rsidRPr="005A07E7" w14:paraId="5BFA009D" w14:textId="77777777" w:rsidTr="009D1253">
        <w:tblPrEx>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tcPr>
          <w:p w14:paraId="316B91FB" w14:textId="77777777" w:rsidR="009D1253" w:rsidRPr="005A07E7" w:rsidRDefault="009D1253" w:rsidP="009D1253">
            <w:pPr>
              <w:rPr>
                <w:rFonts w:ascii="Tahoma" w:hAnsi="Tahoma" w:cs="Tahoma"/>
                <w:b/>
                <w:sz w:val="20"/>
                <w:szCs w:val="20"/>
              </w:rPr>
            </w:pPr>
            <w:r w:rsidRPr="00673A1E">
              <w:rPr>
                <w:rFonts w:ascii="Tahoma" w:hAnsi="Tahoma" w:cs="Tahoma"/>
                <w:b/>
                <w:sz w:val="20"/>
                <w:szCs w:val="20"/>
              </w:rPr>
              <w:t>Информация о возможном увеличении суммы расходов Заемщика по сравнению с ожидаемой суммой расходов в рублях, в том числе при применении переменной процентной ставки, а также информация о том, что изменение курса иностранной валюты в прошлом не свидетельствует об изменении ее курса в будущем, и информация о повышенных рисках заемщика, получающего доходы в валюте, отличной от валюты Кредита</w:t>
            </w:r>
          </w:p>
        </w:tc>
        <w:tc>
          <w:tcPr>
            <w:tcW w:w="3525" w:type="pct"/>
            <w:tcBorders>
              <w:top w:val="single" w:sz="4" w:space="0" w:color="auto"/>
              <w:left w:val="nil"/>
              <w:bottom w:val="single" w:sz="4" w:space="0" w:color="auto"/>
              <w:right w:val="single" w:sz="8" w:space="0" w:color="000000"/>
            </w:tcBorders>
            <w:noWrap/>
          </w:tcPr>
          <w:p w14:paraId="06CC0575" w14:textId="77777777" w:rsidR="009D1253" w:rsidRPr="005A07E7" w:rsidRDefault="009D1253" w:rsidP="009D1253">
            <w:pPr>
              <w:widowControl w:val="0"/>
              <w:tabs>
                <w:tab w:val="left" w:pos="426"/>
                <w:tab w:val="left" w:pos="851"/>
              </w:tabs>
              <w:jc w:val="both"/>
              <w:rPr>
                <w:rFonts w:ascii="Tahoma" w:hAnsi="Tahoma" w:cs="Tahoma"/>
                <w:sz w:val="20"/>
                <w:szCs w:val="20"/>
              </w:rPr>
            </w:pPr>
            <w:r w:rsidRPr="003846F1">
              <w:rPr>
                <w:rFonts w:ascii="Tahoma" w:hAnsi="Tahoma" w:cs="Tahoma"/>
                <w:sz w:val="20"/>
                <w:szCs w:val="20"/>
              </w:rPr>
              <w:t>Переменная процентная ставка не применяется в Договоре. Кредит предоставляется в рублях, вместе с тем, Заемщикам, получающим доход в иностранной валюте следует помнить, что изменение курса иностранной валюты в прошлом не свидетельствует об изменении ее курса в будущем, в связи с чем, такие Заемщики несут повышенные риски в связи с получением доходов в иностранной валюте.</w:t>
            </w:r>
          </w:p>
        </w:tc>
      </w:tr>
      <w:tr w:rsidR="009D1253" w:rsidRPr="005A07E7" w14:paraId="31E714BC"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20F68032"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Иные договоры, требуемые для заключения или исполнения Договора</w:t>
            </w:r>
            <w:r w:rsidRPr="003846F1">
              <w:rPr>
                <w:rFonts w:ascii="Tahoma" w:hAnsi="Tahoma" w:cs="Tahoma"/>
                <w:b/>
                <w:bCs/>
                <w:color w:val="000000"/>
                <w:sz w:val="18"/>
                <w:szCs w:val="18"/>
                <w:lang w:eastAsia="en-US"/>
              </w:rPr>
              <w:t xml:space="preserve"> </w:t>
            </w:r>
            <w:r w:rsidRPr="003846F1">
              <w:rPr>
                <w:rFonts w:ascii="Tahoma" w:hAnsi="Tahoma" w:cs="Tahoma"/>
                <w:b/>
                <w:bCs/>
                <w:sz w:val="20"/>
                <w:szCs w:val="20"/>
              </w:rPr>
              <w:t>, а также информация о возможности заемщика согласиться с заключением таких договоров и (или) приобретением таких услуг (работ, товаров) либо отказаться от них</w:t>
            </w:r>
          </w:p>
        </w:tc>
        <w:tc>
          <w:tcPr>
            <w:tcW w:w="3525" w:type="pct"/>
            <w:tcBorders>
              <w:top w:val="single" w:sz="4" w:space="0" w:color="auto"/>
              <w:left w:val="nil"/>
              <w:bottom w:val="single" w:sz="4" w:space="0" w:color="auto"/>
              <w:right w:val="single" w:sz="8" w:space="0" w:color="000000"/>
            </w:tcBorders>
            <w:noWrap/>
            <w:vAlign w:val="center"/>
          </w:tcPr>
          <w:p w14:paraId="2BA0CCFD" w14:textId="77777777" w:rsidR="009D1253"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 xml:space="preserve">Заключение между </w:t>
            </w:r>
            <w:r>
              <w:rPr>
                <w:rFonts w:ascii="Tahoma" w:hAnsi="Tahoma" w:cs="Tahoma"/>
                <w:sz w:val="20"/>
                <w:szCs w:val="20"/>
              </w:rPr>
              <w:t>с</w:t>
            </w:r>
            <w:r w:rsidRPr="005A07E7">
              <w:rPr>
                <w:rFonts w:ascii="Tahoma" w:hAnsi="Tahoma" w:cs="Tahoma"/>
                <w:sz w:val="20"/>
                <w:szCs w:val="20"/>
              </w:rPr>
              <w:t xml:space="preserve">торонами договора </w:t>
            </w:r>
            <w:r>
              <w:rPr>
                <w:rFonts w:ascii="Tahoma" w:hAnsi="Tahoma" w:cs="Tahoma"/>
                <w:sz w:val="20"/>
                <w:szCs w:val="20"/>
              </w:rPr>
              <w:t xml:space="preserve">Договора </w:t>
            </w:r>
            <w:r w:rsidRPr="005A07E7">
              <w:rPr>
                <w:rFonts w:ascii="Tahoma" w:hAnsi="Tahoma" w:cs="Tahoma"/>
                <w:sz w:val="20"/>
                <w:szCs w:val="20"/>
              </w:rPr>
              <w:t>банковского счета (на основании которого Заёмщику Банком открывается ТБС), элементы которого включены в Договор, заключение (путем присоединения) УДБО, содержащего Общие условия.</w:t>
            </w:r>
          </w:p>
          <w:p w14:paraId="52E4E30C" w14:textId="77777777" w:rsidR="009D1253" w:rsidRPr="005A07E7" w:rsidRDefault="009D1253" w:rsidP="009D1253">
            <w:pPr>
              <w:widowControl w:val="0"/>
              <w:tabs>
                <w:tab w:val="left" w:pos="426"/>
                <w:tab w:val="left" w:pos="851"/>
              </w:tabs>
              <w:jc w:val="both"/>
              <w:rPr>
                <w:rFonts w:ascii="Tahoma" w:hAnsi="Tahoma" w:cs="Tahoma"/>
                <w:sz w:val="20"/>
                <w:szCs w:val="20"/>
              </w:rPr>
            </w:pPr>
            <w:r w:rsidRPr="003846F1">
              <w:rPr>
                <w:rFonts w:ascii="Tahoma" w:hAnsi="Tahoma" w:cs="Tahoma"/>
                <w:sz w:val="20"/>
                <w:szCs w:val="20"/>
              </w:rPr>
              <w:t>Если при оформлении Договора Заемщику предлагаются иные дополнительные услуги (работы, товары), приобретение которых не является обязательным в силу закона, Заемщик вправе отказаться от их приобретения.</w:t>
            </w:r>
          </w:p>
        </w:tc>
      </w:tr>
      <w:tr w:rsidR="009D1253" w:rsidRPr="005A07E7" w14:paraId="75A399A3"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09132DD1" w14:textId="77777777" w:rsidR="009D1253" w:rsidRPr="005A07E7" w:rsidRDefault="009D1253" w:rsidP="009D1253">
            <w:pPr>
              <w:rPr>
                <w:rFonts w:ascii="Tahoma" w:hAnsi="Tahoma" w:cs="Tahoma"/>
                <w:b/>
                <w:sz w:val="20"/>
                <w:szCs w:val="20"/>
              </w:rPr>
            </w:pPr>
            <w:r w:rsidRPr="00673A1E">
              <w:rPr>
                <w:rFonts w:ascii="Tahoma" w:hAnsi="Tahoma" w:cs="Tahoma"/>
                <w:b/>
                <w:sz w:val="20"/>
                <w:szCs w:val="20"/>
              </w:rPr>
              <w:t>Виды и суммы иных платежей Заёмщика по Договору</w:t>
            </w:r>
          </w:p>
        </w:tc>
        <w:tc>
          <w:tcPr>
            <w:tcW w:w="3525" w:type="pct"/>
            <w:tcBorders>
              <w:top w:val="single" w:sz="4" w:space="0" w:color="auto"/>
              <w:left w:val="nil"/>
              <w:bottom w:val="single" w:sz="4" w:space="0" w:color="auto"/>
              <w:right w:val="single" w:sz="8" w:space="0" w:color="000000"/>
            </w:tcBorders>
            <w:noWrap/>
            <w:vAlign w:val="center"/>
          </w:tcPr>
          <w:p w14:paraId="3FD16346" w14:textId="77777777" w:rsidR="009D1253" w:rsidRPr="00673A1E" w:rsidRDefault="009D1253" w:rsidP="009D1253">
            <w:pPr>
              <w:widowControl w:val="0"/>
              <w:tabs>
                <w:tab w:val="left" w:pos="426"/>
                <w:tab w:val="left" w:pos="851"/>
              </w:tabs>
              <w:jc w:val="both"/>
              <w:rPr>
                <w:rFonts w:ascii="Tahoma" w:hAnsi="Tahoma" w:cs="Tahoma"/>
                <w:sz w:val="20"/>
                <w:szCs w:val="20"/>
              </w:rPr>
            </w:pPr>
            <w:r w:rsidRPr="00673A1E">
              <w:rPr>
                <w:rFonts w:ascii="Tahoma" w:hAnsi="Tahoma" w:cs="Tahoma"/>
                <w:sz w:val="20"/>
                <w:szCs w:val="20"/>
              </w:rPr>
              <w:t>Иные обязательные платежи по Договору отсутствуют.</w:t>
            </w:r>
          </w:p>
          <w:p w14:paraId="5EDA3EAF" w14:textId="77777777" w:rsidR="009D1253" w:rsidRPr="005A07E7" w:rsidRDefault="009D1253" w:rsidP="009D1253">
            <w:pPr>
              <w:widowControl w:val="0"/>
              <w:tabs>
                <w:tab w:val="left" w:pos="426"/>
                <w:tab w:val="left" w:pos="851"/>
              </w:tabs>
              <w:jc w:val="both"/>
            </w:pPr>
            <w:r w:rsidRPr="005A07E7">
              <w:rPr>
                <w:rFonts w:ascii="Tahoma" w:hAnsi="Tahoma" w:cs="Tahoma"/>
                <w:sz w:val="20"/>
                <w:szCs w:val="20"/>
              </w:rPr>
              <w:t>При наличии соответствующего волеизъявления Заемщика ему могут быть оказаны Банком услуги, не являющиеся обязательными для заключения или исполнения Договора, плата за которые предусмотрена Тарифами Банка(</w:t>
            </w:r>
            <w:hyperlink r:id="rId64" w:tgtFrame="_blank" w:history="1">
              <w:r w:rsidRPr="005A07E7">
                <w:rPr>
                  <w:rStyle w:val="aff"/>
                  <w:rFonts w:ascii="Tahoma" w:hAnsi="Tahoma" w:cs="Tahoma"/>
                  <w:color w:val="0065FF"/>
                  <w:sz w:val="20"/>
                  <w:szCs w:val="20"/>
                  <w:shd w:val="clear" w:color="auto" w:fill="FFFFFF"/>
                </w:rPr>
                <w:t>https://www.atb.su/upload/doc/kniga-tarif/tarify-po-raschetno-kassovomu-obsluzhivaniyu-klientov-fizicheskikh-lits.pdf</w:t>
              </w:r>
            </w:hyperlink>
            <w:r w:rsidRPr="005A07E7">
              <w:rPr>
                <w:rFonts w:ascii="Tahoma" w:hAnsi="Tahoma" w:cs="Tahoma"/>
                <w:sz w:val="20"/>
                <w:szCs w:val="20"/>
              </w:rPr>
              <w:t>). Оказание услуги Банком производится в случае выражения Заемщиком волеизъявления на пользование определенной услугой. Оплата услуг должна быть произведена до момента оказания Банком услуг.</w:t>
            </w:r>
          </w:p>
        </w:tc>
      </w:tr>
      <w:tr w:rsidR="009D1253" w:rsidRPr="005A07E7" w14:paraId="667FDB26"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2049E8CB" w14:textId="77777777" w:rsidR="009D1253" w:rsidRPr="005A07E7" w:rsidRDefault="009D1253" w:rsidP="009D1253">
            <w:pPr>
              <w:rPr>
                <w:rFonts w:ascii="Tahoma" w:hAnsi="Tahoma" w:cs="Tahoma"/>
                <w:b/>
                <w:sz w:val="20"/>
                <w:szCs w:val="20"/>
              </w:rPr>
            </w:pPr>
            <w:r w:rsidRPr="00673A1E">
              <w:rPr>
                <w:rFonts w:ascii="Tahoma" w:hAnsi="Tahoma" w:cs="Tahoma"/>
                <w:b/>
                <w:sz w:val="20"/>
                <w:szCs w:val="20"/>
              </w:rPr>
              <w:t xml:space="preserve">Информация об определении курса иностранной валюты в случае, если </w:t>
            </w:r>
            <w:r w:rsidRPr="00673A1E">
              <w:rPr>
                <w:rFonts w:ascii="Tahoma" w:hAnsi="Tahoma" w:cs="Tahoma"/>
                <w:b/>
                <w:sz w:val="20"/>
                <w:szCs w:val="20"/>
              </w:rPr>
              <w:lastRenderedPageBreak/>
              <w:t>валюта, в которой осуществляется перевод денежных средств кредитором третьему лицу, указанному Заёмщиком при предоставлении потребительского Кредита, может отличаться от валюты потребительского Кредита</w:t>
            </w:r>
          </w:p>
        </w:tc>
        <w:tc>
          <w:tcPr>
            <w:tcW w:w="3525" w:type="pct"/>
            <w:tcBorders>
              <w:top w:val="single" w:sz="4" w:space="0" w:color="auto"/>
              <w:left w:val="nil"/>
              <w:bottom w:val="single" w:sz="4" w:space="0" w:color="auto"/>
              <w:right w:val="single" w:sz="8" w:space="0" w:color="000000"/>
            </w:tcBorders>
            <w:noWrap/>
            <w:vAlign w:val="center"/>
          </w:tcPr>
          <w:p w14:paraId="4E7480D9" w14:textId="77777777" w:rsidR="009D1253" w:rsidRPr="005A07E7" w:rsidRDefault="009D1253" w:rsidP="009D1253">
            <w:pPr>
              <w:widowControl w:val="0"/>
              <w:tabs>
                <w:tab w:val="left" w:pos="426"/>
                <w:tab w:val="left" w:pos="851"/>
              </w:tabs>
              <w:jc w:val="both"/>
              <w:rPr>
                <w:rFonts w:ascii="Tahoma" w:hAnsi="Tahoma" w:cs="Tahoma"/>
                <w:sz w:val="20"/>
                <w:szCs w:val="20"/>
              </w:rPr>
            </w:pPr>
            <w:r w:rsidRPr="00673A1E">
              <w:rPr>
                <w:rFonts w:ascii="Tahoma" w:hAnsi="Tahoma" w:cs="Tahoma"/>
                <w:sz w:val="20"/>
                <w:szCs w:val="20"/>
              </w:rPr>
              <w:lastRenderedPageBreak/>
              <w:t>Не применимо</w:t>
            </w:r>
          </w:p>
        </w:tc>
      </w:tr>
      <w:tr w:rsidR="009D1253" w:rsidRPr="005A07E7" w14:paraId="39643B6E"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5207243C"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Дата, начиная с которой начисляются проценты за пользование Кредитом, или порядок ее определения</w:t>
            </w:r>
          </w:p>
        </w:tc>
        <w:tc>
          <w:tcPr>
            <w:tcW w:w="3525" w:type="pct"/>
            <w:tcBorders>
              <w:top w:val="single" w:sz="4" w:space="0" w:color="auto"/>
              <w:left w:val="nil"/>
              <w:bottom w:val="single" w:sz="4" w:space="0" w:color="auto"/>
              <w:right w:val="single" w:sz="8" w:space="0" w:color="000000"/>
            </w:tcBorders>
            <w:noWrap/>
            <w:vAlign w:val="center"/>
          </w:tcPr>
          <w:p w14:paraId="7705ED0E"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Дата, следующая за датой выдачи Заёмщику Кредита</w:t>
            </w:r>
          </w:p>
        </w:tc>
      </w:tr>
      <w:tr w:rsidR="009D1253" w:rsidRPr="005A07E7" w14:paraId="280EA9AD"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5548C2DA"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Периодичность платежей Заёмщика при возврате Кредита, уплате процентов и иных платежей по Кредиту</w:t>
            </w:r>
          </w:p>
        </w:tc>
        <w:tc>
          <w:tcPr>
            <w:tcW w:w="3525" w:type="pct"/>
            <w:tcBorders>
              <w:top w:val="single" w:sz="4" w:space="0" w:color="auto"/>
              <w:left w:val="nil"/>
              <w:bottom w:val="single" w:sz="4" w:space="0" w:color="auto"/>
              <w:right w:val="single" w:sz="8" w:space="0" w:color="000000"/>
            </w:tcBorders>
            <w:noWrap/>
            <w:vAlign w:val="center"/>
          </w:tcPr>
          <w:p w14:paraId="63680181"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Ежемесячно аннуитетными платежами</w:t>
            </w:r>
          </w:p>
        </w:tc>
      </w:tr>
      <w:tr w:rsidR="009D1253" w:rsidRPr="005A07E7" w14:paraId="3833E739"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55901655"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Срок действия Договора</w:t>
            </w:r>
          </w:p>
        </w:tc>
        <w:tc>
          <w:tcPr>
            <w:tcW w:w="3525" w:type="pct"/>
            <w:tcBorders>
              <w:top w:val="single" w:sz="4" w:space="0" w:color="auto"/>
              <w:left w:val="nil"/>
              <w:bottom w:val="single" w:sz="4" w:space="0" w:color="auto"/>
              <w:right w:val="single" w:sz="8" w:space="0" w:color="000000"/>
            </w:tcBorders>
            <w:noWrap/>
            <w:vAlign w:val="center"/>
          </w:tcPr>
          <w:p w14:paraId="13B59578"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До полного исполнения Сторонами обязательств по Договору</w:t>
            </w:r>
          </w:p>
        </w:tc>
      </w:tr>
      <w:tr w:rsidR="009D1253" w:rsidRPr="005A07E7" w14:paraId="3BB12A9B"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3A3A4C40"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Срок рассмотрения  оформленного Заёмщиком заявления о предоставлении Кредита и принятия Кредитором решения относительно этого заявления</w:t>
            </w:r>
          </w:p>
        </w:tc>
        <w:tc>
          <w:tcPr>
            <w:tcW w:w="3525" w:type="pct"/>
            <w:tcBorders>
              <w:top w:val="single" w:sz="4" w:space="0" w:color="auto"/>
              <w:left w:val="nil"/>
              <w:bottom w:val="single" w:sz="4" w:space="0" w:color="auto"/>
              <w:right w:val="single" w:sz="8" w:space="0" w:color="000000"/>
            </w:tcBorders>
            <w:noWrap/>
            <w:vAlign w:val="center"/>
          </w:tcPr>
          <w:p w14:paraId="698C0538"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color w:val="000000"/>
                <w:sz w:val="20"/>
                <w:szCs w:val="20"/>
              </w:rPr>
              <w:t>Решение принимается в течение 1 часа с момента предоставления Заёмщиком полного пакета документов. В случае необходимости запроса у Заёмщика дополнительных документов решение принимается в индивидуальные сроки.</w:t>
            </w:r>
            <w:r w:rsidRPr="005A07E7">
              <w:rPr>
                <w:rFonts w:ascii="Tahoma" w:hAnsi="Tahoma" w:cs="Tahoma"/>
                <w:sz w:val="20"/>
                <w:szCs w:val="20"/>
              </w:rPr>
              <w:fldChar w:fldCharType="begin"/>
            </w:r>
            <w:r w:rsidRPr="005A07E7">
              <w:rPr>
                <w:rFonts w:ascii="Tahoma" w:hAnsi="Tahoma" w:cs="Tahoma"/>
                <w:sz w:val="20"/>
                <w:szCs w:val="20"/>
              </w:rPr>
              <w:instrText xml:space="preserve"> DOCVARIABLE  WAS_BORN_DMY </w:instrText>
            </w:r>
            <w:r w:rsidRPr="005A07E7">
              <w:rPr>
                <w:rFonts w:ascii="Tahoma" w:hAnsi="Tahoma" w:cs="Tahoma"/>
                <w:sz w:val="20"/>
                <w:szCs w:val="20"/>
              </w:rPr>
              <w:fldChar w:fldCharType="end"/>
            </w:r>
          </w:p>
        </w:tc>
      </w:tr>
      <w:tr w:rsidR="009D1253" w:rsidRPr="005A07E7" w14:paraId="4356E9BB"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16BC606A"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 xml:space="preserve">Срок, в течение которого Заёмщик вправе отказаться от получения Кредита </w:t>
            </w:r>
          </w:p>
        </w:tc>
        <w:tc>
          <w:tcPr>
            <w:tcW w:w="3525" w:type="pct"/>
            <w:tcBorders>
              <w:top w:val="single" w:sz="4" w:space="0" w:color="auto"/>
              <w:left w:val="nil"/>
              <w:bottom w:val="single" w:sz="4" w:space="0" w:color="auto"/>
              <w:right w:val="single" w:sz="8" w:space="0" w:color="000000"/>
            </w:tcBorders>
            <w:noWrap/>
            <w:vAlign w:val="center"/>
          </w:tcPr>
          <w:p w14:paraId="53CB8FC2" w14:textId="77777777" w:rsidR="009D1253" w:rsidRPr="005A07E7" w:rsidRDefault="009D1253" w:rsidP="009D1253">
            <w:pPr>
              <w:widowControl w:val="0"/>
              <w:tabs>
                <w:tab w:val="left" w:pos="426"/>
                <w:tab w:val="left" w:pos="851"/>
              </w:tabs>
              <w:jc w:val="both"/>
              <w:rPr>
                <w:rFonts w:ascii="Tahoma" w:hAnsi="Tahoma" w:cs="Tahoma"/>
                <w:color w:val="000000"/>
                <w:sz w:val="20"/>
                <w:szCs w:val="20"/>
              </w:rPr>
            </w:pPr>
            <w:r w:rsidRPr="005A07E7">
              <w:rPr>
                <w:rFonts w:ascii="Tahoma" w:hAnsi="Tahoma" w:cs="Tahoma"/>
                <w:sz w:val="20"/>
                <w:szCs w:val="20"/>
              </w:rPr>
              <w:t xml:space="preserve">Заёмщик вправе отказаться от получения кредита полностью или частично, уведомив об этом Банк до истечения установленного Договором срока его предоставления. </w:t>
            </w:r>
          </w:p>
        </w:tc>
      </w:tr>
      <w:tr w:rsidR="009D1253" w:rsidRPr="005A07E7" w14:paraId="2B896C5E"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tcPr>
          <w:p w14:paraId="7851861E"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Срок действия решения о предоставлении Кредита</w:t>
            </w:r>
          </w:p>
        </w:tc>
        <w:tc>
          <w:tcPr>
            <w:tcW w:w="3525" w:type="pct"/>
            <w:tcBorders>
              <w:top w:val="single" w:sz="4" w:space="0" w:color="auto"/>
              <w:left w:val="nil"/>
              <w:bottom w:val="single" w:sz="4" w:space="0" w:color="auto"/>
              <w:right w:val="single" w:sz="8" w:space="0" w:color="000000"/>
            </w:tcBorders>
            <w:noWrap/>
            <w:vAlign w:val="center"/>
          </w:tcPr>
          <w:p w14:paraId="6A932F45"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30 календарных дней</w:t>
            </w:r>
            <w:r>
              <w:rPr>
                <w:rFonts w:ascii="Tahoma" w:hAnsi="Tahoma" w:cs="Tahoma"/>
                <w:sz w:val="20"/>
                <w:szCs w:val="20"/>
              </w:rPr>
              <w:t xml:space="preserve"> с даты принятия Банком решения</w:t>
            </w:r>
          </w:p>
        </w:tc>
      </w:tr>
      <w:tr w:rsidR="009D1253" w:rsidRPr="005A07E7" w14:paraId="11FD625D"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301"/>
        </w:trPr>
        <w:tc>
          <w:tcPr>
            <w:tcW w:w="1475" w:type="pct"/>
            <w:tcBorders>
              <w:top w:val="single" w:sz="4" w:space="0" w:color="auto"/>
              <w:left w:val="single" w:sz="8" w:space="0" w:color="auto"/>
              <w:bottom w:val="single" w:sz="4" w:space="0" w:color="auto"/>
              <w:right w:val="single" w:sz="4" w:space="0" w:color="auto"/>
            </w:tcBorders>
            <w:vAlign w:val="center"/>
          </w:tcPr>
          <w:p w14:paraId="520F271E"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Способы обеспечения исполнения обязательств по Договору «Потребительский кредит под залог транспортного средства»</w:t>
            </w:r>
          </w:p>
        </w:tc>
        <w:tc>
          <w:tcPr>
            <w:tcW w:w="3525" w:type="pct"/>
            <w:tcBorders>
              <w:top w:val="single" w:sz="4" w:space="0" w:color="auto"/>
              <w:left w:val="nil"/>
              <w:bottom w:val="single" w:sz="4" w:space="0" w:color="auto"/>
              <w:right w:val="single" w:sz="8" w:space="0" w:color="000000"/>
            </w:tcBorders>
            <w:noWrap/>
            <w:vAlign w:val="center"/>
          </w:tcPr>
          <w:p w14:paraId="2A5C82FD"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1)</w:t>
            </w:r>
            <w:r w:rsidRPr="005A07E7">
              <w:rPr>
                <w:rFonts w:ascii="Tahoma" w:hAnsi="Tahoma" w:cs="Tahoma"/>
                <w:color w:val="000000"/>
                <w:sz w:val="20"/>
                <w:szCs w:val="20"/>
              </w:rPr>
              <w:t xml:space="preserve"> Залог приобретаемого Заёмщиком за счет кредитных средств Банка ТС</w:t>
            </w:r>
          </w:p>
          <w:p w14:paraId="3A19FCA0"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2) Неустойка (штраф, пеня). В случае нарушения обязательств по Договору с Заёмщика может быть взыскана неустойка в сумм</w:t>
            </w:r>
            <w:r>
              <w:rPr>
                <w:rFonts w:ascii="Tahoma" w:hAnsi="Tahoma" w:cs="Tahoma"/>
                <w:sz w:val="20"/>
                <w:szCs w:val="20"/>
              </w:rPr>
              <w:t xml:space="preserve">е </w:t>
            </w:r>
            <w:r w:rsidRPr="005A07E7">
              <w:rPr>
                <w:rFonts w:ascii="Tahoma" w:hAnsi="Tahoma" w:cs="Tahoma"/>
                <w:sz w:val="20"/>
                <w:szCs w:val="20"/>
              </w:rPr>
              <w:t>и порядке, определенных Сторонами в соответствии с законодательством РФ и Индивидуальными условиями Договора.</w:t>
            </w:r>
            <w:r w:rsidRPr="005A07E7">
              <w:rPr>
                <w:rFonts w:ascii="Tahoma" w:hAnsi="Tahoma" w:cs="Tahoma"/>
                <w:sz w:val="20"/>
                <w:szCs w:val="20"/>
              </w:rPr>
              <w:fldChar w:fldCharType="begin"/>
            </w:r>
            <w:r w:rsidRPr="005A07E7">
              <w:rPr>
                <w:rFonts w:ascii="Tahoma" w:hAnsi="Tahoma" w:cs="Tahoma"/>
                <w:sz w:val="20"/>
                <w:szCs w:val="20"/>
              </w:rPr>
              <w:instrText xml:space="preserve"> DOCVARIABLE  ATB_ADDRESS_FACT </w:instrText>
            </w:r>
            <w:r w:rsidRPr="005A07E7">
              <w:rPr>
                <w:rFonts w:ascii="Tahoma" w:hAnsi="Tahoma" w:cs="Tahoma"/>
                <w:sz w:val="20"/>
                <w:szCs w:val="20"/>
              </w:rPr>
              <w:fldChar w:fldCharType="end"/>
            </w:r>
          </w:p>
        </w:tc>
      </w:tr>
      <w:tr w:rsidR="009D1253" w:rsidRPr="005A07E7" w14:paraId="5D751C4F"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01"/>
        </w:trPr>
        <w:tc>
          <w:tcPr>
            <w:tcW w:w="1475" w:type="pct"/>
            <w:tcBorders>
              <w:top w:val="single" w:sz="4" w:space="0" w:color="auto"/>
              <w:left w:val="single" w:sz="8" w:space="0" w:color="auto"/>
              <w:bottom w:val="single" w:sz="4" w:space="0" w:color="auto"/>
              <w:right w:val="single" w:sz="4" w:space="0" w:color="000000"/>
            </w:tcBorders>
            <w:shd w:val="clear" w:color="auto" w:fill="auto"/>
            <w:vAlign w:val="center"/>
          </w:tcPr>
          <w:p w14:paraId="40B35444"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Способы возврата  Заёмщиком Кредита и уплаты процентов по нему, включая бесплатный способ исполнения Заёмщиком обязательств по Договору «Потребительский кредит под залог транспортного средства»</w:t>
            </w:r>
          </w:p>
        </w:tc>
        <w:tc>
          <w:tcPr>
            <w:tcW w:w="3525" w:type="pct"/>
            <w:tcBorders>
              <w:top w:val="single" w:sz="4" w:space="0" w:color="auto"/>
              <w:left w:val="nil"/>
              <w:bottom w:val="single" w:sz="4" w:space="0" w:color="auto"/>
              <w:right w:val="single" w:sz="8" w:space="0" w:color="000000"/>
            </w:tcBorders>
            <w:shd w:val="clear" w:color="auto" w:fill="auto"/>
            <w:vAlign w:val="center"/>
          </w:tcPr>
          <w:p w14:paraId="3AB47D4F"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Погашение Заёмщиком обязательств по Договору осуществляется в сумме и сроки предусмотренные Договором (в т.ч. при досрочном частичном или полном возврате Кредита) производится любым способом по выбору Заёмщика, в том числе: посредством внесения денежных средств в сумме обязательства на ТБС Заёмщика через терминалы самообслуживания Банка (при их наличии в населенном пункте по месту получения Заёмщиком оферты)</w:t>
            </w:r>
            <w:r>
              <w:rPr>
                <w:rFonts w:ascii="Tahoma" w:hAnsi="Tahoma" w:cs="Tahoma"/>
                <w:sz w:val="20"/>
                <w:szCs w:val="20"/>
              </w:rPr>
              <w:t>/</w:t>
            </w:r>
            <w:r w:rsidRPr="005A07E7">
              <w:rPr>
                <w:rFonts w:ascii="Tahoma" w:hAnsi="Tahoma" w:cs="Tahoma"/>
                <w:sz w:val="20"/>
                <w:szCs w:val="20"/>
              </w:rPr>
              <w:t xml:space="preserve"> кассы Банка, перевод через работодателя Заёмщика, перевод со счёта в Банке на ТБС Заёмщика, перевод через отделения АО «Почта России», перевод через интернет-системы «АТБ-Онлайн», «АТБ</w:t>
            </w:r>
            <w:r>
              <w:rPr>
                <w:rFonts w:ascii="Tahoma" w:hAnsi="Tahoma" w:cs="Tahoma"/>
                <w:sz w:val="20"/>
                <w:szCs w:val="20"/>
              </w:rPr>
              <w:t xml:space="preserve"> Банк</w:t>
            </w:r>
            <w:r w:rsidRPr="005A07E7">
              <w:rPr>
                <w:rFonts w:ascii="Tahoma" w:hAnsi="Tahoma" w:cs="Tahoma"/>
                <w:sz w:val="20"/>
                <w:szCs w:val="20"/>
              </w:rPr>
              <w:t xml:space="preserve">», иные кредитные организации (по предусмотренным ими тарифам). </w:t>
            </w:r>
          </w:p>
          <w:p w14:paraId="393819EA"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Могут использоваться иные, не противоречащие законодательству РФ способы.</w:t>
            </w:r>
          </w:p>
          <w:p w14:paraId="3846F429" w14:textId="77777777" w:rsidR="009D1253"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 xml:space="preserve">Заёмщик вносит на ТБС денежные средства любыми из перечисленных выше способов, при этом он обязан учесть время, затрачиваемое на безналичное перечисление денежных средств, выходные и праздничные дни. Если установленный Договором последний день срока платежа отсутствует в календарном месяце, Заёмщик обязан внести денежные средства на ТБС не позднее последнего календарного рабочего дня месяца; если последний день срока платежа приходится на выходные/нерабочие праздничные дни, Заёмщик обязан внести </w:t>
            </w:r>
            <w:r w:rsidRPr="005A07E7">
              <w:rPr>
                <w:rFonts w:ascii="Tahoma" w:hAnsi="Tahoma" w:cs="Tahoma"/>
                <w:sz w:val="20"/>
                <w:szCs w:val="20"/>
              </w:rPr>
              <w:lastRenderedPageBreak/>
              <w:t>денежные средства на ТБС не позднее 1-го рабочего дня, следующего за выходным/нерабочим праздничным днем. Указанная обязанность должна быть исполнена Заёмщиком в операционный день Банка.</w:t>
            </w:r>
          </w:p>
          <w:p w14:paraId="15118DAF" w14:textId="77777777" w:rsidR="009D1253" w:rsidRPr="005A07E7" w:rsidRDefault="009D1253" w:rsidP="009D1253">
            <w:pPr>
              <w:widowControl w:val="0"/>
              <w:tabs>
                <w:tab w:val="left" w:pos="426"/>
                <w:tab w:val="left" w:pos="851"/>
              </w:tabs>
              <w:jc w:val="both"/>
              <w:rPr>
                <w:rFonts w:ascii="Tahoma" w:hAnsi="Tahoma" w:cs="Tahoma"/>
                <w:sz w:val="20"/>
                <w:szCs w:val="20"/>
              </w:rPr>
            </w:pPr>
            <w:r>
              <w:rPr>
                <w:rFonts w:ascii="Tahoma" w:hAnsi="Tahoma" w:cs="Tahoma"/>
                <w:sz w:val="20"/>
                <w:szCs w:val="20"/>
              </w:rPr>
              <w:t>Бесплатный способ исполнения Заёмщиком обязательств по Договору производится путем внесения денежных средств в сумме обязательства на ТБС Заёмщика через терминалы самообслуживания Банка (при их наличии в населенном пункте по месту получения Заёмщиком оферты)/ кассы Банка, перевод через работодателя Заёмщика, с использованием сервиса Системы быстрых платежей (в рамках бесплатных лимитов, установленных тарифами сервиса). В случае изменений, информация доводится до Заемщика в соответствии с Общими условиями кредитования.</w:t>
            </w:r>
          </w:p>
        </w:tc>
      </w:tr>
      <w:tr w:rsidR="009D1253" w:rsidRPr="005A07E7" w14:paraId="7B276791"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01"/>
        </w:trPr>
        <w:tc>
          <w:tcPr>
            <w:tcW w:w="1475" w:type="pct"/>
            <w:tcBorders>
              <w:top w:val="single" w:sz="4" w:space="0" w:color="auto"/>
              <w:left w:val="single" w:sz="8" w:space="0" w:color="auto"/>
              <w:bottom w:val="single" w:sz="4" w:space="0" w:color="auto"/>
              <w:right w:val="single" w:sz="4" w:space="0" w:color="000000"/>
            </w:tcBorders>
            <w:shd w:val="clear" w:color="auto" w:fill="auto"/>
            <w:vAlign w:val="center"/>
          </w:tcPr>
          <w:p w14:paraId="70CBE334"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lastRenderedPageBreak/>
              <w:t>Порядок погашения Заёмщиком задолженности по Кредиту</w:t>
            </w:r>
          </w:p>
        </w:tc>
        <w:tc>
          <w:tcPr>
            <w:tcW w:w="3525" w:type="pct"/>
            <w:tcBorders>
              <w:top w:val="single" w:sz="4" w:space="0" w:color="auto"/>
              <w:left w:val="nil"/>
              <w:bottom w:val="single" w:sz="4" w:space="0" w:color="auto"/>
              <w:right w:val="single" w:sz="8" w:space="0" w:color="000000"/>
            </w:tcBorders>
            <w:shd w:val="clear" w:color="auto" w:fill="auto"/>
            <w:vAlign w:val="center"/>
          </w:tcPr>
          <w:p w14:paraId="58D8404B" w14:textId="77777777" w:rsidR="009D1253" w:rsidRPr="005A07E7" w:rsidRDefault="009D1253" w:rsidP="009D1253">
            <w:pPr>
              <w:widowControl w:val="0"/>
              <w:tabs>
                <w:tab w:val="left" w:pos="426"/>
                <w:tab w:val="left" w:pos="851"/>
              </w:tabs>
              <w:jc w:val="both"/>
              <w:rPr>
                <w:rFonts w:ascii="Tahoma" w:hAnsi="Tahoma" w:cs="Tahoma"/>
                <w:sz w:val="20"/>
                <w:szCs w:val="20"/>
              </w:rPr>
            </w:pPr>
            <w:r>
              <w:rPr>
                <w:rFonts w:ascii="Tahoma" w:hAnsi="Tahoma" w:cs="Tahoma"/>
                <w:sz w:val="20"/>
                <w:szCs w:val="20"/>
              </w:rPr>
              <w:t>Определен УДБО.</w:t>
            </w:r>
          </w:p>
        </w:tc>
      </w:tr>
      <w:tr w:rsidR="009D1253" w:rsidRPr="005A07E7" w14:paraId="0C022A9F"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344"/>
        </w:trPr>
        <w:tc>
          <w:tcPr>
            <w:tcW w:w="1475" w:type="pct"/>
            <w:tcBorders>
              <w:top w:val="single" w:sz="4" w:space="0" w:color="auto"/>
              <w:left w:val="single" w:sz="8" w:space="0" w:color="auto"/>
              <w:bottom w:val="single" w:sz="4" w:space="0" w:color="auto"/>
              <w:right w:val="single" w:sz="4" w:space="0" w:color="000000"/>
            </w:tcBorders>
            <w:vAlign w:val="center"/>
          </w:tcPr>
          <w:p w14:paraId="31BD1C37" w14:textId="77777777" w:rsidR="009D1253" w:rsidRPr="005A07E7" w:rsidRDefault="009D1253" w:rsidP="009D1253">
            <w:pPr>
              <w:rPr>
                <w:rFonts w:ascii="Tahoma" w:hAnsi="Tahoma" w:cs="Tahoma"/>
                <w:b/>
                <w:sz w:val="20"/>
                <w:szCs w:val="20"/>
              </w:rPr>
            </w:pPr>
            <w:r w:rsidRPr="005A07E7">
              <w:rPr>
                <w:rFonts w:ascii="Tahoma" w:hAnsi="Tahoma" w:cs="Tahoma"/>
                <w:b/>
                <w:color w:val="000000"/>
                <w:sz w:val="20"/>
                <w:szCs w:val="20"/>
              </w:rPr>
              <w:t xml:space="preserve">Ответственность Заёмщика за ненадлежащее исполнение Договора </w:t>
            </w:r>
          </w:p>
        </w:tc>
        <w:tc>
          <w:tcPr>
            <w:tcW w:w="3525" w:type="pct"/>
            <w:tcBorders>
              <w:top w:val="single" w:sz="4" w:space="0" w:color="auto"/>
              <w:left w:val="nil"/>
              <w:bottom w:val="single" w:sz="4" w:space="0" w:color="auto"/>
              <w:right w:val="single" w:sz="8" w:space="0" w:color="000000"/>
            </w:tcBorders>
            <w:vAlign w:val="center"/>
          </w:tcPr>
          <w:p w14:paraId="3EF02B3E" w14:textId="77777777" w:rsidR="009D1253" w:rsidRPr="008006DB" w:rsidRDefault="009D1253" w:rsidP="009D1253">
            <w:pPr>
              <w:widowControl w:val="0"/>
              <w:jc w:val="both"/>
              <w:rPr>
                <w:rFonts w:ascii="Tahoma" w:hAnsi="Tahoma" w:cs="Tahoma"/>
                <w:sz w:val="20"/>
                <w:szCs w:val="19"/>
              </w:rPr>
            </w:pPr>
            <w:r w:rsidRPr="008006DB">
              <w:rPr>
                <w:rFonts w:ascii="Tahoma" w:hAnsi="Tahoma" w:cs="Tahoma"/>
                <w:sz w:val="20"/>
                <w:szCs w:val="19"/>
              </w:rPr>
              <w:t xml:space="preserve">В случае нарушения Заёмщиком сроков возврата Кредита и/или уплаты процентов на сумму Кредита Заёмщик уплачивает Банку неустойку в размере 20% годовых от суммы просроченной задолженности за каждый день нарушения срока уплаты. </w:t>
            </w:r>
          </w:p>
          <w:p w14:paraId="1EB7CB62" w14:textId="77777777" w:rsidR="009D1253" w:rsidRPr="005A07E7" w:rsidRDefault="009D1253" w:rsidP="009D1253">
            <w:pPr>
              <w:widowControl w:val="0"/>
              <w:tabs>
                <w:tab w:val="left" w:pos="426"/>
                <w:tab w:val="left" w:pos="851"/>
              </w:tabs>
              <w:jc w:val="both"/>
              <w:rPr>
                <w:rFonts w:ascii="Tahoma" w:eastAsia="Calibri" w:hAnsi="Tahoma" w:cs="Tahoma"/>
                <w:sz w:val="20"/>
                <w:szCs w:val="20"/>
              </w:rPr>
            </w:pPr>
            <w:r w:rsidRPr="008006DB">
              <w:rPr>
                <w:rFonts w:ascii="Tahoma" w:hAnsi="Tahoma" w:cs="Tahoma"/>
                <w:sz w:val="20"/>
                <w:szCs w:val="19"/>
              </w:rPr>
              <w:t>В случае нарушения Заёмщиком сроков возврата суммы Кредита (основного долга) и/или уплаты процентов продолжительностью (общей продолжительностью) более чем 60 календарных дней в течение последних 180 календарных дней, Банк вправе потребовать от Заёмщика досрочного возврата оставшейся суммы Кредита вместе с причитающимися процентами и/или расторжения Договора, уведомив об этом Заёмщика способом, установленным Договором. В таком случае Заёмщик обязан вернуть Банку оставшуюся сумму Кредита и уплатить все причитающиеся Банку проценты и неустойки в течение 30 календарных дней с момента направления Банком уведомления Заёмщику, если иной, более продолжительный срок не указан Банком в таком уведомлении.</w:t>
            </w:r>
          </w:p>
        </w:tc>
      </w:tr>
      <w:tr w:rsidR="009D1253" w:rsidRPr="005A07E7" w14:paraId="3B4F3D1B" w14:textId="77777777" w:rsidTr="009D1253">
        <w:tblPrEx>
          <w:tblLook w:val="00A0" w:firstRow="1" w:lastRow="0" w:firstColumn="1" w:lastColumn="0" w:noHBand="0" w:noVBand="0"/>
        </w:tblPrEx>
        <w:trPr>
          <w:trHeight w:val="1000"/>
        </w:trPr>
        <w:tc>
          <w:tcPr>
            <w:tcW w:w="1475" w:type="pct"/>
            <w:tcBorders>
              <w:top w:val="single" w:sz="4" w:space="0" w:color="auto"/>
              <w:left w:val="single" w:sz="8" w:space="0" w:color="auto"/>
              <w:bottom w:val="single" w:sz="4" w:space="0" w:color="auto"/>
              <w:right w:val="single" w:sz="4" w:space="0" w:color="000000"/>
            </w:tcBorders>
            <w:vAlign w:val="center"/>
          </w:tcPr>
          <w:p w14:paraId="4A29DC32"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Информация о возможности запрета уступки Кредитором третьим лицам прав (требований) по Договору «Потребительский кредит под залог транспортного средства»</w:t>
            </w:r>
          </w:p>
        </w:tc>
        <w:tc>
          <w:tcPr>
            <w:tcW w:w="3525" w:type="pct"/>
            <w:tcBorders>
              <w:top w:val="single" w:sz="4" w:space="0" w:color="auto"/>
              <w:left w:val="nil"/>
              <w:bottom w:val="single" w:sz="4" w:space="0" w:color="auto"/>
              <w:right w:val="single" w:sz="8" w:space="0" w:color="000000"/>
            </w:tcBorders>
            <w:vAlign w:val="center"/>
          </w:tcPr>
          <w:p w14:paraId="42F13A1D"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Заёмщик вправе запретить уступку Банком третьим лицам прав (требований) по Договору.</w:t>
            </w:r>
          </w:p>
        </w:tc>
      </w:tr>
      <w:tr w:rsidR="009D1253" w:rsidRPr="005A07E7" w14:paraId="075A2DD0"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794"/>
        </w:trPr>
        <w:tc>
          <w:tcPr>
            <w:tcW w:w="1475" w:type="pct"/>
            <w:tcBorders>
              <w:top w:val="single" w:sz="4" w:space="0" w:color="auto"/>
              <w:left w:val="single" w:sz="8" w:space="0" w:color="auto"/>
              <w:bottom w:val="single" w:sz="4" w:space="0" w:color="auto"/>
              <w:right w:val="single" w:sz="4" w:space="0" w:color="000000"/>
            </w:tcBorders>
            <w:vAlign w:val="center"/>
          </w:tcPr>
          <w:p w14:paraId="69E81517"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 xml:space="preserve">Порядок предоставления Заёмщиком информации об использовании Кредита </w:t>
            </w:r>
          </w:p>
        </w:tc>
        <w:tc>
          <w:tcPr>
            <w:tcW w:w="3525" w:type="pct"/>
            <w:tcBorders>
              <w:top w:val="single" w:sz="4" w:space="0" w:color="auto"/>
              <w:left w:val="nil"/>
              <w:bottom w:val="single" w:sz="4" w:space="0" w:color="auto"/>
              <w:right w:val="single" w:sz="8" w:space="0" w:color="000000"/>
            </w:tcBorders>
            <w:vAlign w:val="center"/>
          </w:tcPr>
          <w:p w14:paraId="077DFCDC"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При заключении Договора «Потребительский кредит под залог транспортного средства»</w:t>
            </w:r>
            <w:r w:rsidRPr="005A07E7">
              <w:rPr>
                <w:rFonts w:ascii="Tahoma" w:hAnsi="Tahoma" w:cs="Tahoma"/>
                <w:b/>
                <w:sz w:val="20"/>
                <w:szCs w:val="20"/>
              </w:rPr>
              <w:t xml:space="preserve"> </w:t>
            </w:r>
            <w:r w:rsidRPr="005A07E7">
              <w:rPr>
                <w:rFonts w:ascii="Tahoma" w:hAnsi="Tahoma" w:cs="Tahoma"/>
                <w:sz w:val="20"/>
                <w:szCs w:val="20"/>
              </w:rPr>
              <w:t>Заёмщик предоставляет Банку копии документов, подтверждающих приобретение ТС, а также иных товаров, работ, услуг (при их наличии).</w:t>
            </w:r>
          </w:p>
        </w:tc>
      </w:tr>
      <w:tr w:rsidR="009D1253" w:rsidRPr="005A07E7" w14:paraId="4121E6A3" w14:textId="77777777" w:rsidTr="009D1253">
        <w:tblPrEx>
          <w:tblLook w:val="00A0" w:firstRow="1" w:lastRow="0" w:firstColumn="1" w:lastColumn="0" w:noHBand="0" w:noVBand="0"/>
        </w:tblPrEx>
        <w:trPr>
          <w:trHeight w:val="395"/>
        </w:trPr>
        <w:tc>
          <w:tcPr>
            <w:tcW w:w="1475" w:type="pct"/>
            <w:tcBorders>
              <w:top w:val="single" w:sz="4" w:space="0" w:color="auto"/>
              <w:left w:val="single" w:sz="8" w:space="0" w:color="auto"/>
              <w:bottom w:val="single" w:sz="4" w:space="0" w:color="auto"/>
              <w:right w:val="single" w:sz="4" w:space="0" w:color="000000"/>
            </w:tcBorders>
            <w:vAlign w:val="center"/>
          </w:tcPr>
          <w:p w14:paraId="299C2648"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Подсудность споров по искам Кредитора к Заёмщику</w:t>
            </w:r>
          </w:p>
        </w:tc>
        <w:tc>
          <w:tcPr>
            <w:tcW w:w="3525" w:type="pct"/>
            <w:tcBorders>
              <w:top w:val="single" w:sz="4" w:space="0" w:color="auto"/>
              <w:left w:val="nil"/>
              <w:bottom w:val="single" w:sz="4" w:space="0" w:color="auto"/>
              <w:right w:val="single" w:sz="8" w:space="0" w:color="000000"/>
            </w:tcBorders>
            <w:vAlign w:val="center"/>
          </w:tcPr>
          <w:p w14:paraId="667567F4"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Неурегулированные споры по искам Банка к Заёмщику рассматриваются в порядке, установленном законодательством РФ. Взыскание задолженности по Договору может производиться по исполнительной надписи нотариуса, совершаемой на основании заявления Банка.</w:t>
            </w:r>
          </w:p>
        </w:tc>
      </w:tr>
      <w:tr w:rsidR="009D1253" w:rsidRPr="00026641" w14:paraId="36433D70" w14:textId="77777777" w:rsidTr="009D1253">
        <w:tblPrEx>
          <w:tblLook w:val="00A0" w:firstRow="1" w:lastRow="0" w:firstColumn="1" w:lastColumn="0" w:noHBand="0" w:noVBand="0"/>
        </w:tblPrEx>
        <w:trPr>
          <w:trHeight w:val="1370"/>
        </w:trPr>
        <w:tc>
          <w:tcPr>
            <w:tcW w:w="1475" w:type="pct"/>
            <w:tcBorders>
              <w:top w:val="single" w:sz="4" w:space="0" w:color="auto"/>
              <w:left w:val="single" w:sz="8" w:space="0" w:color="auto"/>
              <w:bottom w:val="single" w:sz="4" w:space="0" w:color="auto"/>
              <w:right w:val="single" w:sz="4" w:space="0" w:color="000000"/>
            </w:tcBorders>
            <w:vAlign w:val="center"/>
          </w:tcPr>
          <w:p w14:paraId="4C99E3BD" w14:textId="77777777" w:rsidR="009D1253" w:rsidRPr="005A07E7" w:rsidRDefault="009D1253" w:rsidP="009D1253">
            <w:pPr>
              <w:rPr>
                <w:rFonts w:ascii="Tahoma" w:hAnsi="Tahoma" w:cs="Tahoma"/>
                <w:b/>
                <w:sz w:val="20"/>
                <w:szCs w:val="20"/>
              </w:rPr>
            </w:pPr>
            <w:r w:rsidRPr="005A07E7">
              <w:rPr>
                <w:rFonts w:ascii="Tahoma" w:hAnsi="Tahoma" w:cs="Tahoma"/>
                <w:b/>
                <w:sz w:val="20"/>
                <w:szCs w:val="20"/>
              </w:rPr>
              <w:t>Формуляры или иные стандартные формы, в которых определены общие условия договора «Потребительский кредит под залог транспортного средства»</w:t>
            </w:r>
          </w:p>
        </w:tc>
        <w:tc>
          <w:tcPr>
            <w:tcW w:w="3525" w:type="pct"/>
            <w:tcBorders>
              <w:top w:val="single" w:sz="4" w:space="0" w:color="auto"/>
              <w:left w:val="nil"/>
              <w:bottom w:val="single" w:sz="4" w:space="0" w:color="auto"/>
              <w:right w:val="single" w:sz="8" w:space="0" w:color="000000"/>
            </w:tcBorders>
            <w:vAlign w:val="center"/>
          </w:tcPr>
          <w:p w14:paraId="46C2B269" w14:textId="77777777" w:rsidR="009D1253" w:rsidRPr="00673A1E" w:rsidRDefault="009D1253" w:rsidP="009D1253">
            <w:pPr>
              <w:widowControl w:val="0"/>
              <w:tabs>
                <w:tab w:val="left" w:pos="426"/>
                <w:tab w:val="left" w:pos="851"/>
              </w:tabs>
              <w:jc w:val="both"/>
              <w:rPr>
                <w:rFonts w:ascii="Tahoma" w:hAnsi="Tahoma" w:cs="Tahoma"/>
                <w:sz w:val="19"/>
                <w:szCs w:val="19"/>
              </w:rPr>
            </w:pPr>
            <w:r w:rsidRPr="008006DB">
              <w:rPr>
                <w:rFonts w:ascii="Tahoma" w:hAnsi="Tahoma" w:cs="Tahoma"/>
                <w:sz w:val="20"/>
                <w:szCs w:val="19"/>
              </w:rPr>
              <w:t>Общие условия Договора «Потребительский кредит под залог транспортного средства» закреплены в «Общих условиях потребительского кредитования в «Азиатско-Тихоокеанский Банк» (АО)», являющихся Приложением № 3 к Универсальному договору банковского обслуживания физических лиц «Азиатско-Тихоокеанский Банк» (АО), размещённых в местах приема заявлений на предоставление потребительского кредита под залог транспортного средства (в отделениях Банка и иных местах приема заявлений на предоставление потребительского кредита под залог транспортного средства), на сайте Банка в сети Интернет по адресу www.atb.su и могут быть предоставлены Заемщику по его требованию на бумажном носителе.</w:t>
            </w:r>
          </w:p>
        </w:tc>
      </w:tr>
      <w:tr w:rsidR="009D1253" w:rsidRPr="00026641" w14:paraId="584E5E7B" w14:textId="77777777" w:rsidTr="009D1253">
        <w:tblPrEx>
          <w:tblLook w:val="00A0" w:firstRow="1" w:lastRow="0" w:firstColumn="1" w:lastColumn="0" w:noHBand="0" w:noVBand="0"/>
        </w:tblPrEx>
        <w:trPr>
          <w:trHeight w:val="1370"/>
        </w:trPr>
        <w:tc>
          <w:tcPr>
            <w:tcW w:w="1475" w:type="pct"/>
            <w:tcBorders>
              <w:top w:val="single" w:sz="4" w:space="0" w:color="auto"/>
              <w:left w:val="single" w:sz="8" w:space="0" w:color="auto"/>
              <w:bottom w:val="single" w:sz="4" w:space="0" w:color="auto"/>
              <w:right w:val="single" w:sz="4" w:space="0" w:color="000000"/>
            </w:tcBorders>
            <w:vAlign w:val="center"/>
          </w:tcPr>
          <w:p w14:paraId="4C98BC9E" w14:textId="77777777" w:rsidR="009D1253" w:rsidRPr="005A07E7" w:rsidRDefault="009D1253" w:rsidP="009D1253">
            <w:pPr>
              <w:jc w:val="both"/>
              <w:rPr>
                <w:rFonts w:ascii="Tahoma" w:hAnsi="Tahoma" w:cs="Tahoma"/>
                <w:b/>
                <w:sz w:val="20"/>
                <w:szCs w:val="20"/>
              </w:rPr>
            </w:pPr>
            <w:r w:rsidRPr="00695066">
              <w:rPr>
                <w:rFonts w:ascii="Tahoma" w:hAnsi="Tahoma" w:cs="Tahoma"/>
                <w:b/>
                <w:bCs/>
                <w:sz w:val="20"/>
                <w:szCs w:val="20"/>
              </w:rPr>
              <w:lastRenderedPageBreak/>
              <w:t>Право заемщика обратиться к кредитору с требованием, предусмотренным частью 1 статьи 6.1-2 Федерального закона от 21.12.2013 № 353-ФЗ «О потребительском кредите (займе)», и об условиях, при наступлении которых у заемщика возникает соответствующее право.</w:t>
            </w:r>
          </w:p>
        </w:tc>
        <w:tc>
          <w:tcPr>
            <w:tcW w:w="3525" w:type="pct"/>
            <w:tcBorders>
              <w:top w:val="single" w:sz="4" w:space="0" w:color="auto"/>
              <w:left w:val="nil"/>
              <w:bottom w:val="single" w:sz="4" w:space="0" w:color="auto"/>
              <w:right w:val="single" w:sz="8" w:space="0" w:color="000000"/>
            </w:tcBorders>
            <w:vAlign w:val="center"/>
          </w:tcPr>
          <w:p w14:paraId="1A88C574" w14:textId="77777777" w:rsidR="009D1253" w:rsidRPr="00695066" w:rsidRDefault="009D1253" w:rsidP="009D1253">
            <w:pPr>
              <w:widowControl w:val="0"/>
              <w:tabs>
                <w:tab w:val="left" w:pos="426"/>
                <w:tab w:val="left" w:pos="851"/>
              </w:tabs>
              <w:jc w:val="both"/>
              <w:rPr>
                <w:rFonts w:ascii="Tahoma" w:hAnsi="Tahoma" w:cs="Tahoma"/>
                <w:sz w:val="20"/>
                <w:szCs w:val="20"/>
              </w:rPr>
            </w:pPr>
            <w:r w:rsidRPr="00695066">
              <w:rPr>
                <w:rFonts w:ascii="Tahoma" w:hAnsi="Tahoma" w:cs="Tahoma"/>
                <w:sz w:val="20"/>
                <w:szCs w:val="20"/>
              </w:rPr>
              <w:t xml:space="preserve">Заемщик в любой момент в течение времени действия Договора, а в случае, указанном в п. 2 ч. 2 ст. 6.1-2 Закона № 353-ФЗ, в течение шестидесяти дней со дня установления соответствующих фактов, вправе обратиться к кредитору с требованием о предоставлении льготного периода, предусматривающего приостановление исполнения Заемщиком своих обязательств по Договору. </w:t>
            </w:r>
          </w:p>
          <w:p w14:paraId="0C0BB4A2" w14:textId="77777777" w:rsidR="009D1253" w:rsidRPr="00695066" w:rsidRDefault="009D1253" w:rsidP="009D1253">
            <w:pPr>
              <w:widowControl w:val="0"/>
              <w:tabs>
                <w:tab w:val="left" w:pos="426"/>
                <w:tab w:val="left" w:pos="851"/>
              </w:tabs>
              <w:jc w:val="both"/>
              <w:rPr>
                <w:rFonts w:ascii="Tahoma" w:hAnsi="Tahoma" w:cs="Tahoma"/>
                <w:sz w:val="20"/>
                <w:szCs w:val="20"/>
              </w:rPr>
            </w:pPr>
            <w:r w:rsidRPr="00695066">
              <w:rPr>
                <w:rFonts w:ascii="Tahoma" w:hAnsi="Tahoma" w:cs="Tahoma"/>
                <w:sz w:val="20"/>
                <w:szCs w:val="20"/>
              </w:rPr>
              <w:t xml:space="preserve">С условиями, при наступлении которых у Заемщика возникает такое право, можно ознакомиться в размещаемой Банком информации о кредитных каникулах в рамках 353-ФЗ, в том числе на сайте Банка </w:t>
            </w:r>
          </w:p>
          <w:p w14:paraId="381D54E3" w14:textId="77777777" w:rsidR="009D1253" w:rsidRPr="005A07E7" w:rsidRDefault="009D1253" w:rsidP="009D1253">
            <w:pPr>
              <w:widowControl w:val="0"/>
              <w:tabs>
                <w:tab w:val="left" w:pos="426"/>
                <w:tab w:val="left" w:pos="851"/>
              </w:tabs>
              <w:jc w:val="both"/>
              <w:rPr>
                <w:rFonts w:ascii="Tahoma" w:hAnsi="Tahoma" w:cs="Tahoma"/>
                <w:sz w:val="20"/>
                <w:szCs w:val="20"/>
              </w:rPr>
            </w:pPr>
            <w:hyperlink r:id="rId65" w:history="1">
              <w:r w:rsidRPr="00695066">
                <w:rPr>
                  <w:rStyle w:val="aff"/>
                  <w:rFonts w:ascii="Tahoma" w:hAnsi="Tahoma" w:cs="Tahoma"/>
                  <w:sz w:val="20"/>
                  <w:szCs w:val="20"/>
                </w:rPr>
                <w:t>https://www.atb.su/customer-care-service/</w:t>
              </w:r>
            </w:hyperlink>
          </w:p>
        </w:tc>
      </w:tr>
    </w:tbl>
    <w:p w14:paraId="518B829A" w14:textId="77777777" w:rsidR="009D1253" w:rsidRDefault="009D1253" w:rsidP="009D1253">
      <w:pPr>
        <w:rPr>
          <w:rFonts w:ascii="Tahoma" w:hAnsi="Tahoma" w:cs="Tahoma"/>
          <w:b/>
          <w:i/>
          <w:color w:val="E36C0A"/>
          <w:sz w:val="22"/>
        </w:rPr>
      </w:pPr>
    </w:p>
    <w:p w14:paraId="48B35140" w14:textId="77777777" w:rsidR="009D1253" w:rsidRPr="00C9310A" w:rsidRDefault="009D1253" w:rsidP="000B3718">
      <w:pPr>
        <w:pStyle w:val="a5"/>
      </w:pPr>
      <w:bookmarkStart w:id="138" w:name="_Toc174636547"/>
      <w:r w:rsidRPr="00C9310A">
        <w:t>2.4.7.Тарифный план «VGV»</w:t>
      </w:r>
      <w:bookmarkEnd w:id="138"/>
    </w:p>
    <w:tbl>
      <w:tblPr>
        <w:tblW w:w="4886"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24"/>
        <w:gridCol w:w="10812"/>
      </w:tblGrid>
      <w:tr w:rsidR="009D1253" w:rsidRPr="005A07E7" w14:paraId="03B13BB1" w14:textId="77777777" w:rsidTr="009D1253">
        <w:trPr>
          <w:trHeight w:val="455"/>
        </w:trPr>
        <w:tc>
          <w:tcPr>
            <w:tcW w:w="1475" w:type="pct"/>
            <w:shd w:val="clear" w:color="auto" w:fill="D9D9D9" w:themeFill="background1" w:themeFillShade="D9"/>
            <w:vAlign w:val="center"/>
          </w:tcPr>
          <w:p w14:paraId="2240E67C" w14:textId="77777777" w:rsidR="009D1253" w:rsidRPr="005A07E7" w:rsidRDefault="009D1253" w:rsidP="009D1253">
            <w:pPr>
              <w:jc w:val="center"/>
              <w:rPr>
                <w:rFonts w:ascii="Tahoma" w:hAnsi="Tahoma" w:cs="Tahoma"/>
                <w:b/>
                <w:sz w:val="20"/>
                <w:szCs w:val="20"/>
              </w:rPr>
            </w:pPr>
            <w:r w:rsidRPr="005A07E7">
              <w:rPr>
                <w:rFonts w:ascii="Tahoma" w:hAnsi="Tahoma" w:cs="Tahoma"/>
                <w:b/>
                <w:sz w:val="20"/>
                <w:szCs w:val="20"/>
              </w:rPr>
              <w:t>Наименование продукта/</w:t>
            </w:r>
            <w:r w:rsidRPr="005A07E7" w:rsidDel="00A134C4">
              <w:rPr>
                <w:rFonts w:ascii="Tahoma" w:hAnsi="Tahoma" w:cs="Tahoma"/>
                <w:b/>
                <w:sz w:val="20"/>
                <w:szCs w:val="20"/>
              </w:rPr>
              <w:t xml:space="preserve"> </w:t>
            </w:r>
            <w:r w:rsidRPr="005A07E7">
              <w:rPr>
                <w:rFonts w:ascii="Tahoma" w:hAnsi="Tahoma" w:cs="Tahoma"/>
                <w:b/>
                <w:sz w:val="20"/>
                <w:szCs w:val="20"/>
              </w:rPr>
              <w:t>тарифного плана (ТП)</w:t>
            </w:r>
          </w:p>
        </w:tc>
        <w:tc>
          <w:tcPr>
            <w:tcW w:w="3525" w:type="pct"/>
            <w:shd w:val="clear" w:color="auto" w:fill="D9D9D9" w:themeFill="background1" w:themeFillShade="D9"/>
            <w:vAlign w:val="center"/>
          </w:tcPr>
          <w:p w14:paraId="2ED6DB8B" w14:textId="77777777" w:rsidR="009D1253" w:rsidRPr="00085768" w:rsidRDefault="009D1253" w:rsidP="009D1253">
            <w:pPr>
              <w:pStyle w:val="a9"/>
              <w:tabs>
                <w:tab w:val="left" w:pos="-284"/>
                <w:tab w:val="left" w:pos="851"/>
              </w:tabs>
              <w:spacing w:before="0" w:after="0"/>
              <w:ind w:right="849"/>
              <w:jc w:val="center"/>
              <w:rPr>
                <w:rFonts w:ascii="Tahoma" w:hAnsi="Tahoma" w:cs="Tahoma"/>
                <w:b/>
              </w:rPr>
            </w:pPr>
            <w:r w:rsidRPr="00085768">
              <w:rPr>
                <w:rFonts w:ascii="Tahoma" w:hAnsi="Tahoma" w:cs="Tahoma"/>
                <w:b/>
              </w:rPr>
              <w:t>«</w:t>
            </w:r>
            <w:r w:rsidRPr="00B44C24">
              <w:rPr>
                <w:rStyle w:val="aff3"/>
                <w:rFonts w:ascii="Tahoma" w:hAnsi="Tahoma" w:cs="Tahoma"/>
                <w:b/>
                <w:vertAlign w:val="baseline"/>
                <w:lang w:val="en-US"/>
              </w:rPr>
              <w:t>VGV</w:t>
            </w:r>
            <w:r w:rsidRPr="00B44C24">
              <w:rPr>
                <w:rFonts w:ascii="Tahoma" w:hAnsi="Tahoma" w:cs="Tahoma"/>
                <w:b/>
                <w:vertAlign w:val="superscript"/>
              </w:rPr>
              <w:t>1</w:t>
            </w:r>
            <w:r w:rsidRPr="00085768">
              <w:rPr>
                <w:rFonts w:ascii="Tahoma" w:hAnsi="Tahoma" w:cs="Tahoma"/>
                <w:b/>
              </w:rPr>
              <w:t>»</w:t>
            </w:r>
          </w:p>
        </w:tc>
      </w:tr>
      <w:tr w:rsidR="009D1253" w:rsidRPr="005A07E7" w14:paraId="2DE1B9D2" w14:textId="77777777" w:rsidTr="009D1253">
        <w:trPr>
          <w:trHeight w:val="332"/>
        </w:trPr>
        <w:tc>
          <w:tcPr>
            <w:tcW w:w="1475" w:type="pct"/>
            <w:shd w:val="clear" w:color="auto" w:fill="auto"/>
            <w:vAlign w:val="center"/>
          </w:tcPr>
          <w:p w14:paraId="414BA0C2" w14:textId="77777777" w:rsidR="009D1253" w:rsidRPr="005A07E7" w:rsidRDefault="009D1253" w:rsidP="009D1253">
            <w:pPr>
              <w:jc w:val="both"/>
              <w:rPr>
                <w:rFonts w:ascii="Tahoma" w:hAnsi="Tahoma" w:cs="Tahoma"/>
                <w:b/>
                <w:sz w:val="20"/>
                <w:szCs w:val="20"/>
              </w:rPr>
            </w:pPr>
            <w:r w:rsidRPr="005A07E7">
              <w:rPr>
                <w:rFonts w:ascii="Tahoma" w:hAnsi="Tahoma" w:cs="Tahoma"/>
                <w:b/>
                <w:bCs/>
                <w:sz w:val="20"/>
                <w:szCs w:val="20"/>
              </w:rPr>
              <w:t>Категория Заёмщика</w:t>
            </w:r>
          </w:p>
        </w:tc>
        <w:tc>
          <w:tcPr>
            <w:tcW w:w="3525" w:type="pct"/>
            <w:shd w:val="clear" w:color="auto" w:fill="auto"/>
            <w:vAlign w:val="center"/>
          </w:tcPr>
          <w:p w14:paraId="0D6319CE" w14:textId="77777777" w:rsidR="009D1253" w:rsidRPr="005A07E7" w:rsidRDefault="009D1253" w:rsidP="009D1253">
            <w:pPr>
              <w:pStyle w:val="a9"/>
              <w:tabs>
                <w:tab w:val="left" w:pos="-284"/>
                <w:tab w:val="left" w:pos="851"/>
              </w:tabs>
              <w:spacing w:before="0" w:after="0"/>
              <w:ind w:right="849"/>
              <w:jc w:val="center"/>
              <w:rPr>
                <w:rFonts w:ascii="Tahoma" w:hAnsi="Tahoma" w:cs="Tahoma"/>
              </w:rPr>
            </w:pPr>
            <w:r w:rsidRPr="005A07E7">
              <w:rPr>
                <w:rFonts w:ascii="Tahoma" w:hAnsi="Tahoma" w:cs="Tahoma"/>
              </w:rPr>
              <w:t>Физические лица (имеющие официальное место работы и/или постоянный источник дохода)</w:t>
            </w:r>
          </w:p>
        </w:tc>
      </w:tr>
      <w:tr w:rsidR="009D1253" w:rsidRPr="005A07E7" w14:paraId="5BDD623F" w14:textId="77777777" w:rsidTr="009D1253">
        <w:trPr>
          <w:trHeight w:val="250"/>
        </w:trPr>
        <w:tc>
          <w:tcPr>
            <w:tcW w:w="1475" w:type="pct"/>
            <w:vAlign w:val="center"/>
          </w:tcPr>
          <w:p w14:paraId="47A279CA" w14:textId="77777777" w:rsidR="009D1253" w:rsidRPr="005A07E7" w:rsidRDefault="009D1253" w:rsidP="009D1253">
            <w:pPr>
              <w:jc w:val="both"/>
              <w:rPr>
                <w:rFonts w:ascii="Tahoma" w:hAnsi="Tahoma" w:cs="Tahoma"/>
                <w:b/>
                <w:sz w:val="20"/>
                <w:szCs w:val="20"/>
              </w:rPr>
            </w:pPr>
            <w:r w:rsidRPr="005A07E7">
              <w:rPr>
                <w:rFonts w:ascii="Tahoma" w:hAnsi="Tahoma" w:cs="Tahoma"/>
                <w:b/>
                <w:sz w:val="20"/>
                <w:szCs w:val="20"/>
              </w:rPr>
              <w:t>Вид Кредита</w:t>
            </w:r>
          </w:p>
        </w:tc>
        <w:tc>
          <w:tcPr>
            <w:tcW w:w="3525" w:type="pct"/>
            <w:vAlign w:val="center"/>
          </w:tcPr>
          <w:p w14:paraId="3F2725AE" w14:textId="77777777" w:rsidR="009D1253" w:rsidRPr="005A07E7" w:rsidRDefault="009D1253" w:rsidP="009D1253">
            <w:pPr>
              <w:pStyle w:val="a9"/>
              <w:tabs>
                <w:tab w:val="left" w:pos="-284"/>
                <w:tab w:val="left" w:pos="851"/>
              </w:tabs>
              <w:spacing w:before="0" w:after="0"/>
              <w:ind w:right="849"/>
              <w:jc w:val="center"/>
              <w:rPr>
                <w:rFonts w:ascii="Tahoma" w:hAnsi="Tahoma" w:cs="Tahoma"/>
              </w:rPr>
            </w:pPr>
            <w:r w:rsidRPr="005A07E7">
              <w:rPr>
                <w:rFonts w:ascii="Tahoma" w:hAnsi="Tahoma" w:cs="Tahoma"/>
              </w:rPr>
              <w:t>Потребительский кредит</w:t>
            </w:r>
          </w:p>
        </w:tc>
      </w:tr>
      <w:tr w:rsidR="009D1253" w:rsidRPr="005A07E7" w14:paraId="6C62C535" w14:textId="77777777" w:rsidTr="009D1253">
        <w:trPr>
          <w:trHeight w:val="250"/>
        </w:trPr>
        <w:tc>
          <w:tcPr>
            <w:tcW w:w="1475" w:type="pct"/>
            <w:vAlign w:val="center"/>
          </w:tcPr>
          <w:p w14:paraId="570EE327" w14:textId="77777777" w:rsidR="009D1253" w:rsidRPr="005A07E7" w:rsidRDefault="009D1253" w:rsidP="009D1253">
            <w:pPr>
              <w:jc w:val="both"/>
              <w:rPr>
                <w:rFonts w:ascii="Tahoma" w:hAnsi="Tahoma" w:cs="Tahoma"/>
                <w:b/>
                <w:sz w:val="20"/>
                <w:szCs w:val="20"/>
              </w:rPr>
            </w:pPr>
            <w:r w:rsidRPr="005A07E7">
              <w:rPr>
                <w:rFonts w:ascii="Tahoma" w:hAnsi="Tahoma" w:cs="Tahoma"/>
                <w:b/>
                <w:sz w:val="20"/>
                <w:szCs w:val="20"/>
              </w:rPr>
              <w:t>Тип Кредита</w:t>
            </w:r>
          </w:p>
        </w:tc>
        <w:tc>
          <w:tcPr>
            <w:tcW w:w="3525" w:type="pct"/>
            <w:vAlign w:val="center"/>
          </w:tcPr>
          <w:p w14:paraId="712D27F5" w14:textId="77777777" w:rsidR="009D1253" w:rsidRPr="005A07E7" w:rsidRDefault="009D1253" w:rsidP="009D1253">
            <w:pPr>
              <w:pStyle w:val="a9"/>
              <w:tabs>
                <w:tab w:val="left" w:pos="-284"/>
                <w:tab w:val="left" w:pos="851"/>
              </w:tabs>
              <w:spacing w:before="0" w:after="0"/>
              <w:ind w:right="849"/>
              <w:jc w:val="center"/>
              <w:rPr>
                <w:rFonts w:ascii="Tahoma" w:hAnsi="Tahoma" w:cs="Tahoma"/>
              </w:rPr>
            </w:pPr>
            <w:r w:rsidRPr="005A07E7">
              <w:rPr>
                <w:rFonts w:ascii="Tahoma" w:hAnsi="Tahoma" w:cs="Tahoma"/>
              </w:rPr>
              <w:t>Потребительский кредит под залог приобретенного ТС</w:t>
            </w:r>
          </w:p>
        </w:tc>
      </w:tr>
      <w:tr w:rsidR="009D1253" w:rsidRPr="005A07E7" w14:paraId="2629B00A" w14:textId="77777777" w:rsidTr="009D1253">
        <w:trPr>
          <w:trHeight w:val="512"/>
        </w:trPr>
        <w:tc>
          <w:tcPr>
            <w:tcW w:w="1475" w:type="pct"/>
            <w:vAlign w:val="center"/>
          </w:tcPr>
          <w:p w14:paraId="24346EFA" w14:textId="77777777" w:rsidR="009D1253" w:rsidRPr="005A07E7" w:rsidRDefault="009D1253" w:rsidP="009D1253">
            <w:pPr>
              <w:jc w:val="both"/>
              <w:rPr>
                <w:rFonts w:ascii="Tahoma" w:hAnsi="Tahoma" w:cs="Tahoma"/>
                <w:b/>
                <w:sz w:val="20"/>
                <w:szCs w:val="20"/>
              </w:rPr>
            </w:pPr>
            <w:r w:rsidRPr="005A07E7">
              <w:rPr>
                <w:rFonts w:ascii="Tahoma" w:hAnsi="Tahoma" w:cs="Tahoma"/>
                <w:b/>
                <w:sz w:val="20"/>
                <w:szCs w:val="20"/>
              </w:rPr>
              <w:t xml:space="preserve">Цель Кредита </w:t>
            </w:r>
          </w:p>
        </w:tc>
        <w:tc>
          <w:tcPr>
            <w:tcW w:w="3525" w:type="pct"/>
            <w:vAlign w:val="center"/>
          </w:tcPr>
          <w:p w14:paraId="0A9235E1" w14:textId="77777777" w:rsidR="009D1253" w:rsidRPr="005A07E7" w:rsidRDefault="009D1253" w:rsidP="009D1253">
            <w:pPr>
              <w:pStyle w:val="a9"/>
              <w:tabs>
                <w:tab w:val="left" w:pos="-284"/>
                <w:tab w:val="left" w:pos="851"/>
              </w:tabs>
              <w:spacing w:before="0" w:after="0"/>
              <w:jc w:val="center"/>
              <w:rPr>
                <w:rFonts w:ascii="Tahoma" w:hAnsi="Tahoma" w:cs="Tahoma"/>
              </w:rPr>
            </w:pPr>
            <w:r w:rsidRPr="005A07E7">
              <w:rPr>
                <w:rFonts w:ascii="Tahoma" w:hAnsi="Tahoma" w:cs="Tahoma"/>
              </w:rPr>
              <w:t xml:space="preserve">Приобретение транспортного средства (ТС) (нового) марки </w:t>
            </w:r>
            <w:r>
              <w:rPr>
                <w:rFonts w:ascii="Tahoma" w:hAnsi="Tahoma" w:cs="Tahoma"/>
                <w:lang w:val="en-US"/>
              </w:rPr>
              <w:t>VGV</w:t>
            </w:r>
            <w:r w:rsidRPr="00D10F7B">
              <w:rPr>
                <w:rFonts w:ascii="Tahoma" w:hAnsi="Tahoma" w:cs="Tahoma"/>
              </w:rPr>
              <w:t xml:space="preserve"> </w:t>
            </w:r>
            <w:r w:rsidRPr="005A07E7">
              <w:rPr>
                <w:rFonts w:ascii="Tahoma" w:hAnsi="Tahoma" w:cs="Tahoma"/>
              </w:rPr>
              <w:t>категории В, а также дополнительно на оплату иных товаров, работ и услуг по выбору Заёмщика</w:t>
            </w:r>
          </w:p>
        </w:tc>
      </w:tr>
      <w:tr w:rsidR="009D1253" w:rsidRPr="005A07E7" w14:paraId="51118B04" w14:textId="77777777" w:rsidTr="009D1253">
        <w:trPr>
          <w:trHeight w:val="455"/>
        </w:trPr>
        <w:tc>
          <w:tcPr>
            <w:tcW w:w="1475" w:type="pct"/>
            <w:vAlign w:val="center"/>
          </w:tcPr>
          <w:p w14:paraId="2853250F" w14:textId="77777777" w:rsidR="009D1253" w:rsidRPr="005A07E7" w:rsidRDefault="009D1253" w:rsidP="009D1253">
            <w:pPr>
              <w:jc w:val="both"/>
              <w:rPr>
                <w:rFonts w:ascii="Tahoma" w:hAnsi="Tahoma" w:cs="Tahoma"/>
                <w:b/>
                <w:sz w:val="20"/>
                <w:szCs w:val="20"/>
              </w:rPr>
            </w:pPr>
            <w:r w:rsidRPr="005A07E7">
              <w:rPr>
                <w:rFonts w:ascii="Tahoma" w:hAnsi="Tahoma" w:cs="Tahoma"/>
                <w:b/>
                <w:sz w:val="20"/>
                <w:szCs w:val="20"/>
              </w:rPr>
              <w:t>Подразделения сети/точки продаж, реализующие кредитный продукт</w:t>
            </w:r>
          </w:p>
        </w:tc>
        <w:tc>
          <w:tcPr>
            <w:tcW w:w="3525" w:type="pct"/>
            <w:vAlign w:val="center"/>
          </w:tcPr>
          <w:p w14:paraId="18C1777C" w14:textId="77777777" w:rsidR="009D1253" w:rsidRPr="005A07E7" w:rsidRDefault="009D1253" w:rsidP="009D1253">
            <w:pPr>
              <w:pStyle w:val="a9"/>
              <w:tabs>
                <w:tab w:val="left" w:pos="-284"/>
                <w:tab w:val="left" w:pos="851"/>
              </w:tabs>
              <w:spacing w:before="0" w:after="0"/>
              <w:jc w:val="center"/>
              <w:rPr>
                <w:rFonts w:ascii="Tahoma" w:hAnsi="Tahoma" w:cs="Tahoma"/>
              </w:rPr>
            </w:pPr>
            <w:r w:rsidRPr="005A07E7">
              <w:rPr>
                <w:rFonts w:ascii="Tahoma" w:hAnsi="Tahoma" w:cs="Tahoma"/>
              </w:rPr>
              <w:t>Все подразделения Банка</w:t>
            </w:r>
          </w:p>
        </w:tc>
      </w:tr>
      <w:tr w:rsidR="009D1253" w:rsidRPr="005A07E7" w14:paraId="1386D17F" w14:textId="77777777" w:rsidTr="009D1253">
        <w:trPr>
          <w:trHeight w:val="455"/>
        </w:trPr>
        <w:tc>
          <w:tcPr>
            <w:tcW w:w="1475" w:type="pct"/>
            <w:vAlign w:val="center"/>
          </w:tcPr>
          <w:p w14:paraId="290EF06C" w14:textId="77777777" w:rsidR="009D1253" w:rsidRPr="005A07E7" w:rsidRDefault="009D1253" w:rsidP="009D1253">
            <w:pPr>
              <w:jc w:val="both"/>
              <w:rPr>
                <w:rFonts w:ascii="Tahoma" w:hAnsi="Tahoma" w:cs="Tahoma"/>
                <w:b/>
                <w:bCs/>
                <w:sz w:val="20"/>
                <w:szCs w:val="20"/>
              </w:rPr>
            </w:pPr>
            <w:r w:rsidRPr="005A07E7">
              <w:rPr>
                <w:rFonts w:ascii="Tahoma" w:hAnsi="Tahoma" w:cs="Tahoma"/>
                <w:b/>
                <w:bCs/>
                <w:sz w:val="20"/>
                <w:szCs w:val="20"/>
              </w:rPr>
              <w:t>Валюта, в которой предоставляется Кредит</w:t>
            </w:r>
          </w:p>
        </w:tc>
        <w:tc>
          <w:tcPr>
            <w:tcW w:w="3525" w:type="pct"/>
            <w:vAlign w:val="center"/>
          </w:tcPr>
          <w:p w14:paraId="3D2A1C27" w14:textId="77777777" w:rsidR="009D1253" w:rsidRPr="005A07E7" w:rsidRDefault="009D1253" w:rsidP="009D1253">
            <w:pPr>
              <w:pStyle w:val="a9"/>
              <w:tabs>
                <w:tab w:val="left" w:pos="-284"/>
                <w:tab w:val="left" w:pos="851"/>
              </w:tabs>
              <w:spacing w:before="0" w:after="0"/>
              <w:ind w:right="849"/>
              <w:jc w:val="center"/>
              <w:rPr>
                <w:rFonts w:ascii="Tahoma" w:hAnsi="Tahoma" w:cs="Tahoma"/>
              </w:rPr>
            </w:pPr>
            <w:r>
              <w:rPr>
                <w:rFonts w:ascii="Tahoma" w:hAnsi="Tahoma" w:cs="Tahoma"/>
                <w:color w:val="000000"/>
              </w:rPr>
              <w:t>Рубль</w:t>
            </w:r>
            <w:r w:rsidRPr="005A07E7">
              <w:rPr>
                <w:rFonts w:ascii="Tahoma" w:hAnsi="Tahoma" w:cs="Tahoma"/>
                <w:color w:val="000000"/>
              </w:rPr>
              <w:t xml:space="preserve"> Рос</w:t>
            </w:r>
            <w:r>
              <w:rPr>
                <w:rFonts w:ascii="Tahoma" w:hAnsi="Tahoma" w:cs="Tahoma"/>
                <w:color w:val="000000"/>
              </w:rPr>
              <w:t>сийской Федерации (далее - рубль</w:t>
            </w:r>
            <w:r w:rsidRPr="005A07E7">
              <w:rPr>
                <w:rFonts w:ascii="Tahoma" w:hAnsi="Tahoma" w:cs="Tahoma"/>
                <w:color w:val="000000"/>
              </w:rPr>
              <w:t>)</w:t>
            </w:r>
          </w:p>
        </w:tc>
      </w:tr>
      <w:tr w:rsidR="009D1253" w:rsidRPr="005A07E7" w14:paraId="021ECFC8" w14:textId="77777777" w:rsidTr="009D1253">
        <w:trPr>
          <w:trHeight w:val="455"/>
        </w:trPr>
        <w:tc>
          <w:tcPr>
            <w:tcW w:w="1475" w:type="pct"/>
            <w:shd w:val="clear" w:color="auto" w:fill="auto"/>
            <w:vAlign w:val="center"/>
          </w:tcPr>
          <w:p w14:paraId="361FB9FF" w14:textId="77777777" w:rsidR="009D1253" w:rsidRPr="005A07E7" w:rsidRDefault="009D1253" w:rsidP="009D1253">
            <w:pPr>
              <w:jc w:val="both"/>
              <w:rPr>
                <w:rFonts w:ascii="Tahoma" w:hAnsi="Tahoma" w:cs="Tahoma"/>
                <w:b/>
                <w:bCs/>
                <w:sz w:val="20"/>
                <w:szCs w:val="20"/>
              </w:rPr>
            </w:pPr>
            <w:r w:rsidRPr="005A07E7">
              <w:rPr>
                <w:rFonts w:ascii="Tahoma" w:hAnsi="Tahoma" w:cs="Tahoma"/>
                <w:b/>
                <w:sz w:val="20"/>
                <w:szCs w:val="20"/>
              </w:rPr>
              <w:t>Минимальная сумма Кредита</w:t>
            </w:r>
          </w:p>
        </w:tc>
        <w:tc>
          <w:tcPr>
            <w:tcW w:w="3525" w:type="pct"/>
            <w:shd w:val="clear" w:color="auto" w:fill="auto"/>
            <w:vAlign w:val="center"/>
          </w:tcPr>
          <w:p w14:paraId="7A2F42B3" w14:textId="77777777" w:rsidR="009D1253" w:rsidRPr="005A07E7" w:rsidRDefault="009D1253" w:rsidP="009D1253">
            <w:pPr>
              <w:pStyle w:val="a9"/>
              <w:tabs>
                <w:tab w:val="left" w:pos="-284"/>
                <w:tab w:val="left" w:pos="851"/>
              </w:tabs>
              <w:spacing w:before="0" w:after="0"/>
              <w:ind w:right="849"/>
              <w:jc w:val="center"/>
              <w:rPr>
                <w:rFonts w:ascii="Tahoma" w:hAnsi="Tahoma" w:cs="Tahoma"/>
                <w:color w:val="000000"/>
              </w:rPr>
            </w:pPr>
            <w:r w:rsidRPr="005A07E7">
              <w:rPr>
                <w:rFonts w:ascii="Tahoma" w:hAnsi="Tahoma" w:cs="Tahoma"/>
                <w:color w:val="000000"/>
              </w:rPr>
              <w:t>200 000 рублей</w:t>
            </w:r>
          </w:p>
        </w:tc>
      </w:tr>
      <w:tr w:rsidR="009D1253" w:rsidRPr="005A07E7" w14:paraId="3B277D9E" w14:textId="77777777" w:rsidTr="009D1253">
        <w:trPr>
          <w:trHeight w:val="363"/>
        </w:trPr>
        <w:tc>
          <w:tcPr>
            <w:tcW w:w="1475" w:type="pct"/>
            <w:shd w:val="clear" w:color="auto" w:fill="auto"/>
            <w:vAlign w:val="center"/>
          </w:tcPr>
          <w:p w14:paraId="7315DDC8" w14:textId="77777777" w:rsidR="009D1253" w:rsidRPr="005A07E7" w:rsidRDefault="009D1253" w:rsidP="009D1253">
            <w:pPr>
              <w:jc w:val="both"/>
              <w:rPr>
                <w:rFonts w:ascii="Tahoma" w:hAnsi="Tahoma" w:cs="Tahoma"/>
                <w:b/>
                <w:sz w:val="20"/>
                <w:szCs w:val="20"/>
              </w:rPr>
            </w:pPr>
            <w:r w:rsidRPr="005A07E7">
              <w:rPr>
                <w:rFonts w:ascii="Tahoma" w:hAnsi="Tahoma" w:cs="Tahoma"/>
                <w:b/>
                <w:sz w:val="20"/>
                <w:szCs w:val="20"/>
              </w:rPr>
              <w:t>Максимальная сумма Кредита</w:t>
            </w:r>
          </w:p>
        </w:tc>
        <w:tc>
          <w:tcPr>
            <w:tcW w:w="3525" w:type="pct"/>
            <w:shd w:val="clear" w:color="auto" w:fill="auto"/>
            <w:vAlign w:val="center"/>
          </w:tcPr>
          <w:p w14:paraId="28EA2F5B" w14:textId="77777777" w:rsidR="009D1253" w:rsidRPr="005A07E7" w:rsidRDefault="009D1253" w:rsidP="009D1253">
            <w:pPr>
              <w:pStyle w:val="a9"/>
              <w:tabs>
                <w:tab w:val="left" w:pos="-284"/>
                <w:tab w:val="left" w:pos="851"/>
              </w:tabs>
              <w:spacing w:before="0" w:after="0"/>
              <w:ind w:right="849"/>
              <w:jc w:val="center"/>
              <w:rPr>
                <w:rFonts w:ascii="Tahoma" w:hAnsi="Tahoma" w:cs="Tahoma"/>
                <w:color w:val="000000"/>
              </w:rPr>
            </w:pPr>
            <w:r w:rsidRPr="00085768">
              <w:rPr>
                <w:rFonts w:ascii="Tahoma" w:hAnsi="Tahoma" w:cs="Tahoma"/>
                <w:color w:val="000000"/>
              </w:rPr>
              <w:t>5 000 000</w:t>
            </w:r>
            <w:r w:rsidRPr="005A07E7">
              <w:rPr>
                <w:rFonts w:ascii="Tahoma" w:hAnsi="Tahoma" w:cs="Tahoma"/>
                <w:color w:val="000000"/>
              </w:rPr>
              <w:t xml:space="preserve"> рублей</w:t>
            </w:r>
          </w:p>
        </w:tc>
      </w:tr>
      <w:tr w:rsidR="009D1253" w:rsidRPr="005A07E7" w14:paraId="04FBED50" w14:textId="77777777" w:rsidTr="009D1253">
        <w:trPr>
          <w:trHeight w:val="463"/>
        </w:trPr>
        <w:tc>
          <w:tcPr>
            <w:tcW w:w="1475" w:type="pct"/>
            <w:shd w:val="clear" w:color="auto" w:fill="auto"/>
            <w:vAlign w:val="center"/>
          </w:tcPr>
          <w:p w14:paraId="750ADBC7" w14:textId="77777777" w:rsidR="009D1253" w:rsidRPr="005A07E7" w:rsidRDefault="009D1253" w:rsidP="009D1253">
            <w:pPr>
              <w:jc w:val="both"/>
              <w:rPr>
                <w:rFonts w:ascii="Tahoma" w:hAnsi="Tahoma" w:cs="Tahoma"/>
                <w:b/>
                <w:sz w:val="20"/>
                <w:szCs w:val="20"/>
              </w:rPr>
            </w:pPr>
            <w:r w:rsidRPr="005A07E7">
              <w:rPr>
                <w:rFonts w:ascii="Tahoma" w:hAnsi="Tahoma" w:cs="Tahoma"/>
                <w:b/>
                <w:sz w:val="20"/>
                <w:szCs w:val="20"/>
              </w:rPr>
              <w:t xml:space="preserve">Размер первоначального взноса (ПВ), </w:t>
            </w:r>
          </w:p>
          <w:p w14:paraId="3C9E6923" w14:textId="77777777" w:rsidR="009D1253" w:rsidRPr="005A07E7" w:rsidRDefault="009D1253" w:rsidP="009D1253">
            <w:pPr>
              <w:jc w:val="both"/>
              <w:rPr>
                <w:rFonts w:ascii="Tahoma" w:hAnsi="Tahoma" w:cs="Tahoma"/>
                <w:b/>
                <w:sz w:val="20"/>
                <w:szCs w:val="20"/>
              </w:rPr>
            </w:pPr>
            <w:r w:rsidRPr="005A07E7">
              <w:rPr>
                <w:rFonts w:ascii="Tahoma" w:hAnsi="Tahoma" w:cs="Tahoma"/>
                <w:b/>
                <w:sz w:val="20"/>
                <w:szCs w:val="20"/>
              </w:rPr>
              <w:t>в % от стоимости ТС</w:t>
            </w:r>
          </w:p>
        </w:tc>
        <w:tc>
          <w:tcPr>
            <w:tcW w:w="3525" w:type="pct"/>
            <w:shd w:val="clear" w:color="auto" w:fill="auto"/>
            <w:vAlign w:val="center"/>
          </w:tcPr>
          <w:p w14:paraId="243449B2" w14:textId="77777777" w:rsidR="009D1253" w:rsidRPr="005A07E7" w:rsidRDefault="009D1253" w:rsidP="009D1253">
            <w:pPr>
              <w:pStyle w:val="a9"/>
              <w:tabs>
                <w:tab w:val="left" w:pos="-284"/>
                <w:tab w:val="left" w:pos="851"/>
              </w:tabs>
              <w:spacing w:before="0" w:after="0"/>
              <w:ind w:right="849"/>
              <w:jc w:val="center"/>
              <w:rPr>
                <w:rFonts w:ascii="Tahoma" w:hAnsi="Tahoma" w:cs="Tahoma"/>
                <w:color w:val="000000"/>
              </w:rPr>
            </w:pPr>
            <w:r w:rsidRPr="005A07E7">
              <w:rPr>
                <w:rFonts w:ascii="Tahoma" w:hAnsi="Tahoma" w:cs="Tahoma"/>
                <w:color w:val="000000"/>
              </w:rPr>
              <w:t>от 0%</w:t>
            </w:r>
          </w:p>
        </w:tc>
      </w:tr>
      <w:tr w:rsidR="009D1253" w:rsidRPr="005A07E7" w14:paraId="2E46FB68" w14:textId="77777777" w:rsidTr="009D1253">
        <w:trPr>
          <w:trHeight w:val="408"/>
        </w:trPr>
        <w:tc>
          <w:tcPr>
            <w:tcW w:w="1475" w:type="pct"/>
            <w:shd w:val="clear" w:color="auto" w:fill="auto"/>
            <w:vAlign w:val="center"/>
          </w:tcPr>
          <w:p w14:paraId="4FCBB9A7" w14:textId="77777777" w:rsidR="009D1253" w:rsidRPr="005A07E7" w:rsidRDefault="009D1253" w:rsidP="009D1253">
            <w:pPr>
              <w:jc w:val="both"/>
              <w:rPr>
                <w:rFonts w:ascii="Tahoma" w:hAnsi="Tahoma" w:cs="Tahoma"/>
                <w:b/>
                <w:sz w:val="20"/>
                <w:szCs w:val="20"/>
              </w:rPr>
            </w:pPr>
            <w:r w:rsidRPr="005A07E7">
              <w:rPr>
                <w:rFonts w:ascii="Tahoma" w:hAnsi="Tahoma" w:cs="Tahoma"/>
                <w:b/>
                <w:sz w:val="20"/>
                <w:szCs w:val="20"/>
              </w:rPr>
              <w:t>Диапазон сроков возврата Кредита</w:t>
            </w:r>
          </w:p>
        </w:tc>
        <w:tc>
          <w:tcPr>
            <w:tcW w:w="3525" w:type="pct"/>
            <w:shd w:val="clear" w:color="auto" w:fill="auto"/>
            <w:vAlign w:val="center"/>
          </w:tcPr>
          <w:p w14:paraId="559E2039" w14:textId="77777777" w:rsidR="009D1253" w:rsidRPr="005A07E7" w:rsidRDefault="009D1253" w:rsidP="009D1253">
            <w:pPr>
              <w:tabs>
                <w:tab w:val="left" w:pos="851"/>
              </w:tabs>
              <w:jc w:val="center"/>
              <w:rPr>
                <w:rFonts w:ascii="Tahoma" w:hAnsi="Tahoma" w:cs="Tahoma"/>
                <w:sz w:val="20"/>
                <w:szCs w:val="20"/>
              </w:rPr>
            </w:pPr>
            <w:r w:rsidRPr="005A07E7">
              <w:rPr>
                <w:rFonts w:ascii="Tahoma" w:hAnsi="Tahoma" w:cs="Tahoma"/>
                <w:sz w:val="20"/>
                <w:szCs w:val="20"/>
              </w:rPr>
              <w:t xml:space="preserve">от </w:t>
            </w:r>
            <w:r>
              <w:rPr>
                <w:rFonts w:ascii="Tahoma" w:hAnsi="Tahoma" w:cs="Tahoma"/>
                <w:sz w:val="20"/>
                <w:szCs w:val="20"/>
              </w:rPr>
              <w:t>13</w:t>
            </w:r>
            <w:r w:rsidRPr="005A07E7">
              <w:rPr>
                <w:rFonts w:ascii="Tahoma" w:hAnsi="Tahoma" w:cs="Tahoma"/>
                <w:sz w:val="20"/>
                <w:szCs w:val="20"/>
              </w:rPr>
              <w:t xml:space="preserve"> (</w:t>
            </w:r>
            <w:r>
              <w:rPr>
                <w:rFonts w:ascii="Tahoma" w:hAnsi="Tahoma" w:cs="Tahoma"/>
                <w:sz w:val="20"/>
                <w:szCs w:val="20"/>
              </w:rPr>
              <w:t>тринадцати</w:t>
            </w:r>
            <w:r w:rsidRPr="005A07E7">
              <w:rPr>
                <w:rFonts w:ascii="Tahoma" w:hAnsi="Tahoma" w:cs="Tahoma"/>
                <w:sz w:val="20"/>
                <w:szCs w:val="20"/>
              </w:rPr>
              <w:t xml:space="preserve">) до </w:t>
            </w:r>
            <w:r>
              <w:rPr>
                <w:rFonts w:ascii="Tahoma" w:hAnsi="Tahoma" w:cs="Tahoma"/>
                <w:sz w:val="20"/>
                <w:szCs w:val="20"/>
              </w:rPr>
              <w:t>84</w:t>
            </w:r>
            <w:r w:rsidRPr="005A07E7">
              <w:rPr>
                <w:rFonts w:ascii="Tahoma" w:hAnsi="Tahoma" w:cs="Tahoma"/>
                <w:sz w:val="20"/>
                <w:szCs w:val="20"/>
              </w:rPr>
              <w:t xml:space="preserve"> (</w:t>
            </w:r>
            <w:r>
              <w:rPr>
                <w:rFonts w:ascii="Tahoma" w:hAnsi="Tahoma" w:cs="Tahoma"/>
                <w:sz w:val="20"/>
                <w:szCs w:val="20"/>
              </w:rPr>
              <w:t>восьмидесяти четырех</w:t>
            </w:r>
            <w:r w:rsidRPr="005A07E7">
              <w:rPr>
                <w:rFonts w:ascii="Tahoma" w:hAnsi="Tahoma" w:cs="Tahoma"/>
                <w:sz w:val="20"/>
                <w:szCs w:val="20"/>
              </w:rPr>
              <w:t>) месяцев с шагом в 1 (один) год</w:t>
            </w:r>
            <w:r>
              <w:rPr>
                <w:rFonts w:ascii="Tahoma" w:hAnsi="Tahoma" w:cs="Tahoma"/>
                <w:sz w:val="20"/>
                <w:szCs w:val="20"/>
              </w:rPr>
              <w:t xml:space="preserve"> за исключением 13 </w:t>
            </w:r>
            <w:r w:rsidRPr="005A07E7">
              <w:rPr>
                <w:rFonts w:ascii="Tahoma" w:hAnsi="Tahoma" w:cs="Tahoma"/>
                <w:sz w:val="20"/>
                <w:szCs w:val="20"/>
              </w:rPr>
              <w:t>(</w:t>
            </w:r>
            <w:r>
              <w:rPr>
                <w:rFonts w:ascii="Tahoma" w:hAnsi="Tahoma" w:cs="Tahoma"/>
                <w:sz w:val="20"/>
                <w:szCs w:val="20"/>
              </w:rPr>
              <w:t>тринадцати</w:t>
            </w:r>
            <w:r w:rsidRPr="005A07E7">
              <w:rPr>
                <w:rFonts w:ascii="Tahoma" w:hAnsi="Tahoma" w:cs="Tahoma"/>
                <w:sz w:val="20"/>
                <w:szCs w:val="20"/>
              </w:rPr>
              <w:t xml:space="preserve">) </w:t>
            </w:r>
            <w:r>
              <w:rPr>
                <w:rFonts w:ascii="Tahoma" w:hAnsi="Tahoma" w:cs="Tahoma"/>
                <w:sz w:val="20"/>
                <w:szCs w:val="20"/>
              </w:rPr>
              <w:t xml:space="preserve"> месяцев</w:t>
            </w:r>
          </w:p>
        </w:tc>
      </w:tr>
      <w:tr w:rsidR="009D1253" w:rsidRPr="005A07E7" w14:paraId="148E924E" w14:textId="77777777" w:rsidTr="009D1253">
        <w:trPr>
          <w:trHeight w:val="70"/>
        </w:trPr>
        <w:tc>
          <w:tcPr>
            <w:tcW w:w="1475" w:type="pct"/>
            <w:shd w:val="clear" w:color="auto" w:fill="auto"/>
            <w:vAlign w:val="center"/>
          </w:tcPr>
          <w:p w14:paraId="7427904E" w14:textId="77777777" w:rsidR="009D1253" w:rsidRPr="005A07E7" w:rsidRDefault="009D1253" w:rsidP="009D1253">
            <w:pPr>
              <w:jc w:val="both"/>
              <w:rPr>
                <w:rFonts w:ascii="Tahoma" w:hAnsi="Tahoma" w:cs="Tahoma"/>
                <w:b/>
                <w:sz w:val="20"/>
                <w:szCs w:val="20"/>
              </w:rPr>
            </w:pPr>
            <w:r w:rsidRPr="00D10F7B">
              <w:rPr>
                <w:rFonts w:ascii="Tahoma" w:hAnsi="Tahoma" w:cs="Tahoma"/>
                <w:b/>
                <w:sz w:val="20"/>
                <w:szCs w:val="20"/>
              </w:rPr>
              <w:t>Процентная ставка (в процентах годовых)</w:t>
            </w:r>
          </w:p>
        </w:tc>
        <w:tc>
          <w:tcPr>
            <w:tcW w:w="3525" w:type="pct"/>
            <w:shd w:val="clear" w:color="auto" w:fill="auto"/>
            <w:vAlign w:val="center"/>
          </w:tcPr>
          <w:p w14:paraId="4F89109C" w14:textId="77777777" w:rsidR="009D1253" w:rsidRDefault="009D1253" w:rsidP="009D1253">
            <w:pPr>
              <w:tabs>
                <w:tab w:val="left" w:pos="851"/>
              </w:tabs>
              <w:jc w:val="center"/>
              <w:rPr>
                <w:rFonts w:ascii="Tahoma" w:hAnsi="Tahoma" w:cs="Tahoma"/>
                <w:sz w:val="20"/>
                <w:szCs w:val="20"/>
              </w:rPr>
            </w:pPr>
          </w:p>
          <w:tbl>
            <w:tblPr>
              <w:tblpPr w:leftFromText="180" w:rightFromText="180" w:horzAnchor="margin" w:tblpY="285"/>
              <w:tblOverlap w:val="never"/>
              <w:tblW w:w="9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5"/>
              <w:gridCol w:w="1107"/>
              <w:gridCol w:w="1107"/>
              <w:gridCol w:w="1107"/>
              <w:gridCol w:w="1107"/>
              <w:gridCol w:w="1107"/>
              <w:gridCol w:w="1107"/>
              <w:gridCol w:w="1116"/>
            </w:tblGrid>
            <w:tr w:rsidR="00485CC2" w:rsidRPr="001368AE" w14:paraId="6536D51A" w14:textId="77777777" w:rsidTr="00C22A2B">
              <w:trPr>
                <w:trHeight w:val="182"/>
              </w:trPr>
              <w:tc>
                <w:tcPr>
                  <w:tcW w:w="9933" w:type="dxa"/>
                  <w:gridSpan w:val="8"/>
                </w:tcPr>
                <w:p w14:paraId="6F0AD1C6" w14:textId="77777777" w:rsidR="00485CC2" w:rsidRPr="0079397C" w:rsidRDefault="00485CC2" w:rsidP="00485CC2">
                  <w:pPr>
                    <w:jc w:val="center"/>
                    <w:rPr>
                      <w:rFonts w:ascii="Tahoma" w:hAnsi="Tahoma" w:cs="Tahoma"/>
                      <w:sz w:val="20"/>
                      <w:szCs w:val="20"/>
                    </w:rPr>
                  </w:pPr>
                  <w:r>
                    <w:rPr>
                      <w:rFonts w:ascii="Tahoma" w:hAnsi="Tahoma" w:cs="Tahoma"/>
                      <w:sz w:val="20"/>
                      <w:szCs w:val="20"/>
                      <w:lang w:val="en-US"/>
                    </w:rPr>
                    <w:t>VGV</w:t>
                  </w:r>
                  <w:r>
                    <w:rPr>
                      <w:rFonts w:ascii="Tahoma" w:hAnsi="Tahoma" w:cs="Tahoma"/>
                      <w:sz w:val="20"/>
                      <w:szCs w:val="20"/>
                    </w:rPr>
                    <w:t>_Промо</w:t>
                  </w:r>
                </w:p>
                <w:p w14:paraId="0D1E79E4" w14:textId="77777777" w:rsidR="00485CC2" w:rsidRPr="001368AE" w:rsidRDefault="00485CC2" w:rsidP="00485CC2">
                  <w:pPr>
                    <w:jc w:val="center"/>
                    <w:rPr>
                      <w:rFonts w:ascii="Tahoma" w:hAnsi="Tahoma" w:cs="Tahoma"/>
                      <w:sz w:val="20"/>
                      <w:szCs w:val="20"/>
                    </w:rPr>
                  </w:pPr>
                  <w:r>
                    <w:rPr>
                      <w:rFonts w:ascii="Tahoma" w:hAnsi="Tahoma" w:cs="Tahoma"/>
                      <w:color w:val="000000"/>
                      <w:sz w:val="20"/>
                      <w:szCs w:val="20"/>
                    </w:rPr>
                    <w:t>(</w:t>
                  </w:r>
                  <w:r w:rsidRPr="005A07E7">
                    <w:rPr>
                      <w:rFonts w:ascii="Tahoma" w:hAnsi="Tahoma" w:cs="Tahoma"/>
                      <w:color w:val="000000"/>
                      <w:sz w:val="20"/>
                      <w:szCs w:val="20"/>
                    </w:rPr>
                    <w:t xml:space="preserve"> при отказе от заключения или досрочном** прекращении договора </w:t>
                  </w:r>
                  <w:r>
                    <w:rPr>
                      <w:rFonts w:ascii="Tahoma" w:hAnsi="Tahoma" w:cs="Tahoma"/>
                      <w:color w:val="000000"/>
                      <w:sz w:val="20"/>
                      <w:szCs w:val="20"/>
                    </w:rPr>
                    <w:t>личного страхования*)</w:t>
                  </w:r>
                </w:p>
              </w:tc>
            </w:tr>
            <w:tr w:rsidR="00485CC2" w:rsidRPr="001368AE" w14:paraId="70CEFD2B" w14:textId="77777777" w:rsidTr="00C22A2B">
              <w:trPr>
                <w:trHeight w:val="303"/>
              </w:trPr>
              <w:tc>
                <w:tcPr>
                  <w:tcW w:w="2175"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039A25E8"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Первоначальный взнос\Срок</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BACF87E"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13 мес</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5C5D0FD"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24 мес</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0EF643C"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36 мес</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AE521F9"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48 мес</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3550E93"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60 мес</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11CCAF6"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72 мес</w:t>
                  </w:r>
                </w:p>
              </w:tc>
              <w:tc>
                <w:tcPr>
                  <w:tcW w:w="11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8A303A1" w14:textId="77777777" w:rsidR="00485CC2" w:rsidRPr="001368AE" w:rsidRDefault="00485CC2" w:rsidP="00485CC2">
                  <w:pPr>
                    <w:jc w:val="center"/>
                    <w:rPr>
                      <w:rFonts w:ascii="Tahoma" w:hAnsi="Tahoma" w:cs="Tahoma"/>
                      <w:sz w:val="20"/>
                      <w:szCs w:val="20"/>
                    </w:rPr>
                  </w:pPr>
                  <w:r w:rsidRPr="001368AE">
                    <w:rPr>
                      <w:rFonts w:ascii="Tahoma" w:hAnsi="Tahoma" w:cs="Tahoma"/>
                      <w:sz w:val="20"/>
                      <w:szCs w:val="20"/>
                    </w:rPr>
                    <w:t>84 мес</w:t>
                  </w:r>
                </w:p>
              </w:tc>
            </w:tr>
            <w:tr w:rsidR="00485CC2" w:rsidRPr="001368AE" w14:paraId="44397BBB" w14:textId="77777777" w:rsidTr="00C22A2B">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4FD357FA"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79E2E74F"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18.2</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0D0CB92"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19.6</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351E5BE8"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20.0</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8B8B223"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20.2</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096E746"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20.6</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83313E4"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21.2</w:t>
                  </w:r>
                  <w:r>
                    <w:rPr>
                      <w:rFonts w:ascii="Tahoma" w:hAnsi="Tahoma" w:cs="Tahoma"/>
                      <w:sz w:val="20"/>
                      <w:szCs w:val="20"/>
                      <w:lang w:val="en-US"/>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2A8ED2CB"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21.2</w:t>
                  </w:r>
                  <w:r>
                    <w:rPr>
                      <w:rFonts w:ascii="Tahoma" w:hAnsi="Tahoma" w:cs="Tahoma"/>
                      <w:sz w:val="20"/>
                      <w:szCs w:val="20"/>
                      <w:lang w:val="en-US"/>
                    </w:rPr>
                    <w:t>%</w:t>
                  </w:r>
                </w:p>
              </w:tc>
            </w:tr>
            <w:tr w:rsidR="00485CC2" w:rsidRPr="001368AE" w14:paraId="52322723" w14:textId="77777777" w:rsidTr="00C22A2B">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6C4C816F"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10%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4E0E6A9F"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16.8</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A1D33CD"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19.2</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D58F15F"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19.4</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830C8AB"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19.4</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28F0509"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20.2</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3C11DF5"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20.6</w:t>
                  </w:r>
                  <w:r>
                    <w:rPr>
                      <w:rFonts w:ascii="Tahoma" w:hAnsi="Tahoma" w:cs="Tahoma"/>
                      <w:sz w:val="20"/>
                      <w:szCs w:val="20"/>
                      <w:lang w:val="en-US"/>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32A72B3A"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21.2</w:t>
                  </w:r>
                  <w:r>
                    <w:rPr>
                      <w:rFonts w:ascii="Tahoma" w:hAnsi="Tahoma" w:cs="Tahoma"/>
                      <w:sz w:val="20"/>
                      <w:szCs w:val="20"/>
                      <w:lang w:val="en-US"/>
                    </w:rPr>
                    <w:t>%</w:t>
                  </w:r>
                </w:p>
              </w:tc>
            </w:tr>
            <w:tr w:rsidR="00485CC2" w:rsidRPr="001368AE" w14:paraId="79104FF2" w14:textId="77777777" w:rsidTr="00C22A2B">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69144619"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20%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49D22BDC"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15.8</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EE97DA7"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18.2</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E862444"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18.6</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B2A322C"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18.6</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CD3AA5D"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19.4</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F3B664E"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19.8</w:t>
                  </w:r>
                  <w:r>
                    <w:rPr>
                      <w:rFonts w:ascii="Tahoma" w:hAnsi="Tahoma" w:cs="Tahoma"/>
                      <w:sz w:val="20"/>
                      <w:szCs w:val="20"/>
                      <w:lang w:val="en-US"/>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24D0CB34"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20.0</w:t>
                  </w:r>
                  <w:r>
                    <w:rPr>
                      <w:rFonts w:ascii="Tahoma" w:hAnsi="Tahoma" w:cs="Tahoma"/>
                      <w:sz w:val="20"/>
                      <w:szCs w:val="20"/>
                      <w:lang w:val="en-US"/>
                    </w:rPr>
                    <w:t>%</w:t>
                  </w:r>
                </w:p>
              </w:tc>
            </w:tr>
            <w:tr w:rsidR="00485CC2" w:rsidRPr="001368AE" w14:paraId="30022ECE" w14:textId="77777777" w:rsidTr="00C22A2B">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01D7F0C0"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30%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543BB6B6"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14.4</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1DD5078"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17.2</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264C8BC"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17.8</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F75B688"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17.8</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1E837FB"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18.8</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44B850FB"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19.2</w:t>
                  </w:r>
                  <w:r>
                    <w:rPr>
                      <w:rFonts w:ascii="Tahoma" w:hAnsi="Tahoma" w:cs="Tahoma"/>
                      <w:sz w:val="20"/>
                      <w:szCs w:val="20"/>
                      <w:lang w:val="en-US"/>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6E077AE2"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19.6</w:t>
                  </w:r>
                  <w:r>
                    <w:rPr>
                      <w:rFonts w:ascii="Tahoma" w:hAnsi="Tahoma" w:cs="Tahoma"/>
                      <w:sz w:val="20"/>
                      <w:szCs w:val="20"/>
                      <w:lang w:val="en-US"/>
                    </w:rPr>
                    <w:t>%</w:t>
                  </w:r>
                </w:p>
              </w:tc>
            </w:tr>
            <w:tr w:rsidR="00485CC2" w:rsidRPr="001368AE" w14:paraId="3F75FAD5" w14:textId="77777777" w:rsidTr="00C22A2B">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5ECA74AB" w14:textId="77777777" w:rsidR="00485CC2" w:rsidRPr="001368AE" w:rsidRDefault="00485CC2" w:rsidP="00485CC2">
                  <w:pPr>
                    <w:jc w:val="right"/>
                    <w:rPr>
                      <w:rFonts w:ascii="Tahoma" w:hAnsi="Tahoma" w:cs="Tahoma"/>
                      <w:sz w:val="20"/>
                      <w:szCs w:val="20"/>
                    </w:rPr>
                  </w:pPr>
                  <w:r>
                    <w:rPr>
                      <w:rFonts w:ascii="Tahoma" w:hAnsi="Tahoma" w:cs="Tahoma"/>
                      <w:sz w:val="20"/>
                      <w:szCs w:val="20"/>
                    </w:rPr>
                    <w:lastRenderedPageBreak/>
                    <w:t xml:space="preserve">от </w:t>
                  </w:r>
                  <w:r w:rsidRPr="001368AE">
                    <w:rPr>
                      <w:rFonts w:ascii="Tahoma" w:hAnsi="Tahoma" w:cs="Tahoma"/>
                      <w:sz w:val="20"/>
                      <w:szCs w:val="20"/>
                    </w:rPr>
                    <w:t>40%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17EAAA2D"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12.8</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208F42F6"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16.2</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33089D34"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16.8</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C839274"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17.0</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E965FAF"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17.8</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39E173A6"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18.4</w:t>
                  </w:r>
                  <w:r>
                    <w:rPr>
                      <w:rFonts w:ascii="Tahoma" w:hAnsi="Tahoma" w:cs="Tahoma"/>
                      <w:sz w:val="20"/>
                      <w:szCs w:val="20"/>
                      <w:lang w:val="en-US"/>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191E6E31"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18.6</w:t>
                  </w:r>
                  <w:r>
                    <w:rPr>
                      <w:rFonts w:ascii="Tahoma" w:hAnsi="Tahoma" w:cs="Tahoma"/>
                      <w:sz w:val="20"/>
                      <w:szCs w:val="20"/>
                      <w:lang w:val="en-US"/>
                    </w:rPr>
                    <w:t>%</w:t>
                  </w:r>
                </w:p>
              </w:tc>
            </w:tr>
            <w:tr w:rsidR="00485CC2" w:rsidRPr="001368AE" w14:paraId="01F56B76" w14:textId="77777777" w:rsidTr="00C22A2B">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2C249D97"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50%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13BE6607"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10.8</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A5CC88D"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15.0</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248690EE"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15.8</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972CDC8"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16.0</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244D4AE6"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17.0</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443F19D8"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17.8</w:t>
                  </w:r>
                  <w:r>
                    <w:rPr>
                      <w:rFonts w:ascii="Tahoma" w:hAnsi="Tahoma" w:cs="Tahoma"/>
                      <w:sz w:val="20"/>
                      <w:szCs w:val="20"/>
                      <w:lang w:val="en-US"/>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43CF4777"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18.0</w:t>
                  </w:r>
                  <w:r>
                    <w:rPr>
                      <w:rFonts w:ascii="Tahoma" w:hAnsi="Tahoma" w:cs="Tahoma"/>
                      <w:sz w:val="20"/>
                      <w:szCs w:val="20"/>
                      <w:lang w:val="en-US"/>
                    </w:rPr>
                    <w:t>%</w:t>
                  </w:r>
                </w:p>
              </w:tc>
            </w:tr>
            <w:tr w:rsidR="00485CC2" w:rsidRPr="001368AE" w14:paraId="01C9EEAA" w14:textId="77777777" w:rsidTr="00C22A2B">
              <w:trPr>
                <w:trHeight w:val="70"/>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3F284F6E"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60%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087C0655"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7.8</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90BAD6B"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13.2</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008A0BC"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14.4</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60B3559"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14.6</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470A6449"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15.8</w:t>
                  </w:r>
                  <w:r>
                    <w:rPr>
                      <w:rFonts w:ascii="Tahoma" w:hAnsi="Tahoma" w:cs="Tahoma"/>
                      <w:sz w:val="20"/>
                      <w:szCs w:val="20"/>
                      <w:lang w:val="en-US"/>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4B60CE6"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16.8</w:t>
                  </w:r>
                  <w:r>
                    <w:rPr>
                      <w:rFonts w:ascii="Tahoma" w:hAnsi="Tahoma" w:cs="Tahoma"/>
                      <w:sz w:val="20"/>
                      <w:szCs w:val="20"/>
                      <w:lang w:val="en-US"/>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0719BF3B" w14:textId="77777777" w:rsidR="00485CC2" w:rsidRPr="00C902F0" w:rsidRDefault="00485CC2" w:rsidP="00485CC2">
                  <w:pPr>
                    <w:jc w:val="right"/>
                    <w:rPr>
                      <w:rFonts w:ascii="Tahoma" w:hAnsi="Tahoma" w:cs="Tahoma"/>
                      <w:sz w:val="20"/>
                      <w:szCs w:val="20"/>
                      <w:lang w:val="en-US"/>
                    </w:rPr>
                  </w:pPr>
                  <w:r>
                    <w:rPr>
                      <w:rFonts w:ascii="Tahoma" w:hAnsi="Tahoma" w:cs="Tahoma"/>
                      <w:sz w:val="20"/>
                      <w:szCs w:val="20"/>
                    </w:rPr>
                    <w:t>17.0</w:t>
                  </w:r>
                  <w:r>
                    <w:rPr>
                      <w:rFonts w:ascii="Tahoma" w:hAnsi="Tahoma" w:cs="Tahoma"/>
                      <w:sz w:val="20"/>
                      <w:szCs w:val="20"/>
                      <w:lang w:val="en-US"/>
                    </w:rPr>
                    <w:t>%</w:t>
                  </w:r>
                </w:p>
              </w:tc>
            </w:tr>
            <w:tr w:rsidR="00485CC2" w:rsidRPr="001368AE" w14:paraId="4503222E" w14:textId="77777777" w:rsidTr="00C22A2B">
              <w:trPr>
                <w:trHeight w:val="136"/>
              </w:trPr>
              <w:tc>
                <w:tcPr>
                  <w:tcW w:w="9933" w:type="dxa"/>
                  <w:gridSpan w:val="8"/>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3AD59406" w14:textId="77777777" w:rsidR="00485CC2" w:rsidRDefault="00485CC2" w:rsidP="00485CC2">
                  <w:pPr>
                    <w:jc w:val="center"/>
                    <w:rPr>
                      <w:rFonts w:ascii="Tahoma" w:hAnsi="Tahoma" w:cs="Tahoma"/>
                      <w:sz w:val="20"/>
                      <w:szCs w:val="20"/>
                    </w:rPr>
                  </w:pPr>
                  <w:r>
                    <w:rPr>
                      <w:rFonts w:ascii="Tahoma" w:hAnsi="Tahoma" w:cs="Tahoma"/>
                      <w:sz w:val="20"/>
                      <w:szCs w:val="20"/>
                      <w:lang w:val="en-US"/>
                    </w:rPr>
                    <w:t>VGV</w:t>
                  </w:r>
                  <w:r>
                    <w:rPr>
                      <w:rFonts w:ascii="Tahoma" w:hAnsi="Tahoma" w:cs="Tahoma"/>
                      <w:sz w:val="20"/>
                      <w:szCs w:val="20"/>
                    </w:rPr>
                    <w:t>_Промо</w:t>
                  </w:r>
                </w:p>
                <w:p w14:paraId="2E9C80BA" w14:textId="77777777" w:rsidR="00485CC2" w:rsidRPr="001368AE" w:rsidRDefault="00485CC2" w:rsidP="00485CC2">
                  <w:pPr>
                    <w:jc w:val="center"/>
                    <w:rPr>
                      <w:rFonts w:ascii="Tahoma" w:hAnsi="Tahoma" w:cs="Tahoma"/>
                      <w:sz w:val="20"/>
                      <w:szCs w:val="20"/>
                    </w:rPr>
                  </w:pPr>
                  <w:r>
                    <w:rPr>
                      <w:rFonts w:ascii="Tahoma" w:hAnsi="Tahoma" w:cs="Tahoma"/>
                      <w:sz w:val="20"/>
                      <w:szCs w:val="20"/>
                    </w:rPr>
                    <w:t>(</w:t>
                  </w:r>
                  <w:r w:rsidRPr="005A07E7">
                    <w:rPr>
                      <w:rFonts w:ascii="Tahoma" w:hAnsi="Tahoma" w:cs="Tahoma"/>
                      <w:color w:val="000000"/>
                      <w:sz w:val="20"/>
                      <w:szCs w:val="20"/>
                    </w:rPr>
                    <w:t xml:space="preserve">при заключении договора </w:t>
                  </w:r>
                  <w:r>
                    <w:rPr>
                      <w:rFonts w:ascii="Tahoma" w:hAnsi="Tahoma" w:cs="Tahoma"/>
                      <w:color w:val="000000"/>
                      <w:sz w:val="20"/>
                      <w:szCs w:val="20"/>
                    </w:rPr>
                    <w:t>Л</w:t>
                  </w:r>
                  <w:r w:rsidRPr="005A07E7">
                    <w:rPr>
                      <w:rFonts w:ascii="Tahoma" w:hAnsi="Tahoma" w:cs="Tahoma"/>
                      <w:color w:val="000000"/>
                      <w:sz w:val="20"/>
                      <w:szCs w:val="20"/>
                    </w:rPr>
                    <w:t>ичного страхования*</w:t>
                  </w:r>
                  <w:r>
                    <w:rPr>
                      <w:rFonts w:ascii="Tahoma" w:hAnsi="Tahoma" w:cs="Tahoma"/>
                      <w:color w:val="000000"/>
                      <w:sz w:val="20"/>
                      <w:szCs w:val="20"/>
                    </w:rPr>
                    <w:t>)</w:t>
                  </w:r>
                </w:p>
              </w:tc>
            </w:tr>
            <w:tr w:rsidR="00485CC2" w:rsidRPr="001368AE" w14:paraId="4FCE4124" w14:textId="77777777" w:rsidTr="00C22A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center"/>
                </w:tcPr>
                <w:p w14:paraId="24432AE9"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Первоначальный взнос\Срок</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FD1EB36"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13 мес</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center"/>
                </w:tcPr>
                <w:p w14:paraId="733943CA"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24 мес</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center"/>
                </w:tcPr>
                <w:p w14:paraId="76EAA007"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36 мес</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center"/>
                </w:tcPr>
                <w:p w14:paraId="220A324B"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48 мес</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center"/>
                </w:tcPr>
                <w:p w14:paraId="7C38238F"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60 мес</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center"/>
                </w:tcPr>
                <w:p w14:paraId="10B92D9F"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72 мес</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center"/>
                </w:tcPr>
                <w:p w14:paraId="2B17EC3A" w14:textId="77777777" w:rsidR="00485CC2" w:rsidRPr="001368AE" w:rsidRDefault="00485CC2" w:rsidP="00485CC2">
                  <w:pPr>
                    <w:jc w:val="center"/>
                    <w:rPr>
                      <w:rFonts w:ascii="Tahoma" w:hAnsi="Tahoma" w:cs="Tahoma"/>
                      <w:sz w:val="20"/>
                      <w:szCs w:val="20"/>
                    </w:rPr>
                  </w:pPr>
                  <w:r w:rsidRPr="001368AE">
                    <w:rPr>
                      <w:rFonts w:ascii="Tahoma" w:hAnsi="Tahoma" w:cs="Tahoma"/>
                      <w:sz w:val="20"/>
                      <w:szCs w:val="20"/>
                    </w:rPr>
                    <w:t>84 мес</w:t>
                  </w:r>
                </w:p>
              </w:tc>
            </w:tr>
            <w:tr w:rsidR="00485CC2" w:rsidRPr="001368AE" w14:paraId="0325CAC9" w14:textId="77777777" w:rsidTr="00C22A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36A5D446"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12CD653D" w14:textId="77777777" w:rsidR="00485CC2" w:rsidRPr="00E51ED6" w:rsidRDefault="00485CC2" w:rsidP="00485CC2">
                  <w:pPr>
                    <w:jc w:val="right"/>
                    <w:rPr>
                      <w:rFonts w:ascii="Tahoma" w:hAnsi="Tahoma" w:cs="Tahoma"/>
                      <w:sz w:val="20"/>
                      <w:szCs w:val="20"/>
                    </w:rPr>
                  </w:pPr>
                  <w:r>
                    <w:rPr>
                      <w:rFonts w:ascii="Tahoma" w:hAnsi="Tahoma" w:cs="Tahoma"/>
                      <w:sz w:val="20"/>
                      <w:szCs w:val="20"/>
                    </w:rPr>
                    <w:t>12.6</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CB18689" w14:textId="77777777" w:rsidR="00485CC2" w:rsidRPr="00E51ED6" w:rsidRDefault="00485CC2" w:rsidP="00485CC2">
                  <w:pPr>
                    <w:jc w:val="right"/>
                    <w:rPr>
                      <w:rFonts w:ascii="Tahoma" w:hAnsi="Tahoma" w:cs="Tahoma"/>
                      <w:sz w:val="20"/>
                      <w:szCs w:val="20"/>
                    </w:rPr>
                  </w:pPr>
                  <w:r>
                    <w:rPr>
                      <w:rFonts w:ascii="Tahoma" w:hAnsi="Tahoma" w:cs="Tahoma"/>
                      <w:sz w:val="20"/>
                      <w:szCs w:val="20"/>
                    </w:rPr>
                    <w:t>13.4</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1832A81" w14:textId="77777777" w:rsidR="00485CC2" w:rsidRPr="00E51ED6" w:rsidRDefault="00485CC2" w:rsidP="00485CC2">
                  <w:pPr>
                    <w:jc w:val="right"/>
                    <w:rPr>
                      <w:rFonts w:ascii="Tahoma" w:hAnsi="Tahoma" w:cs="Tahoma"/>
                      <w:sz w:val="20"/>
                      <w:szCs w:val="20"/>
                    </w:rPr>
                  </w:pPr>
                  <w:r>
                    <w:rPr>
                      <w:rFonts w:ascii="Tahoma" w:hAnsi="Tahoma" w:cs="Tahoma"/>
                      <w:sz w:val="20"/>
                      <w:szCs w:val="20"/>
                    </w:rPr>
                    <w:t>14.8</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0029711" w14:textId="77777777" w:rsidR="00485CC2" w:rsidRPr="00E51ED6" w:rsidRDefault="00485CC2" w:rsidP="00485CC2">
                  <w:pPr>
                    <w:jc w:val="right"/>
                    <w:rPr>
                      <w:rFonts w:ascii="Tahoma" w:hAnsi="Tahoma" w:cs="Tahoma"/>
                      <w:sz w:val="20"/>
                      <w:szCs w:val="20"/>
                    </w:rPr>
                  </w:pPr>
                  <w:r>
                    <w:rPr>
                      <w:rFonts w:ascii="Tahoma" w:hAnsi="Tahoma" w:cs="Tahoma"/>
                      <w:sz w:val="20"/>
                      <w:szCs w:val="20"/>
                    </w:rPr>
                    <w:t>15.2</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E6A38ED" w14:textId="77777777" w:rsidR="00485CC2" w:rsidRPr="00E51ED6" w:rsidRDefault="00485CC2" w:rsidP="00485CC2">
                  <w:pPr>
                    <w:jc w:val="right"/>
                    <w:rPr>
                      <w:rFonts w:ascii="Tahoma" w:hAnsi="Tahoma" w:cs="Tahoma"/>
                      <w:sz w:val="20"/>
                      <w:szCs w:val="20"/>
                    </w:rPr>
                  </w:pPr>
                  <w:r>
                    <w:rPr>
                      <w:rFonts w:ascii="Tahoma" w:hAnsi="Tahoma" w:cs="Tahoma"/>
                      <w:sz w:val="20"/>
                      <w:szCs w:val="20"/>
                    </w:rPr>
                    <w:t>16.6</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C169618" w14:textId="77777777" w:rsidR="00485CC2" w:rsidRPr="00E51ED6" w:rsidRDefault="00485CC2" w:rsidP="00485CC2">
                  <w:pPr>
                    <w:jc w:val="right"/>
                    <w:rPr>
                      <w:rFonts w:ascii="Tahoma" w:hAnsi="Tahoma" w:cs="Tahoma"/>
                      <w:sz w:val="20"/>
                      <w:szCs w:val="20"/>
                    </w:rPr>
                  </w:pPr>
                  <w:r>
                    <w:rPr>
                      <w:rFonts w:ascii="Tahoma" w:hAnsi="Tahoma" w:cs="Tahoma"/>
                      <w:sz w:val="20"/>
                      <w:szCs w:val="20"/>
                    </w:rPr>
                    <w:t>18.0</w:t>
                  </w:r>
                  <w:r w:rsidRPr="00E51ED6">
                    <w:rPr>
                      <w:rFonts w:ascii="Tahoma" w:hAnsi="Tahoma" w:cs="Tahoma"/>
                      <w:sz w:val="20"/>
                      <w:szCs w:val="20"/>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2988E0D3" w14:textId="77777777" w:rsidR="00485CC2" w:rsidRPr="00E51ED6" w:rsidRDefault="00485CC2" w:rsidP="00485CC2">
                  <w:pPr>
                    <w:jc w:val="right"/>
                    <w:rPr>
                      <w:rFonts w:ascii="Tahoma" w:hAnsi="Tahoma" w:cs="Tahoma"/>
                      <w:sz w:val="20"/>
                      <w:szCs w:val="20"/>
                    </w:rPr>
                  </w:pPr>
                  <w:r>
                    <w:rPr>
                      <w:rFonts w:ascii="Tahoma" w:hAnsi="Tahoma" w:cs="Tahoma"/>
                      <w:sz w:val="20"/>
                      <w:szCs w:val="20"/>
                    </w:rPr>
                    <w:t>18.4</w:t>
                  </w:r>
                  <w:r w:rsidRPr="00E51ED6">
                    <w:rPr>
                      <w:rFonts w:ascii="Tahoma" w:hAnsi="Tahoma" w:cs="Tahoma"/>
                      <w:sz w:val="20"/>
                      <w:szCs w:val="20"/>
                    </w:rPr>
                    <w:t>%</w:t>
                  </w:r>
                </w:p>
              </w:tc>
            </w:tr>
            <w:tr w:rsidR="00485CC2" w:rsidRPr="001368AE" w14:paraId="6871F5FC" w14:textId="77777777" w:rsidTr="00C22A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5BE1231C"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10%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670CDBD0" w14:textId="77777777" w:rsidR="00485CC2" w:rsidRPr="00E51ED6" w:rsidRDefault="00485CC2" w:rsidP="00485CC2">
                  <w:pPr>
                    <w:jc w:val="right"/>
                    <w:rPr>
                      <w:rFonts w:ascii="Tahoma" w:hAnsi="Tahoma" w:cs="Tahoma"/>
                      <w:sz w:val="20"/>
                      <w:szCs w:val="20"/>
                    </w:rPr>
                  </w:pPr>
                  <w:r>
                    <w:rPr>
                      <w:rFonts w:ascii="Tahoma" w:hAnsi="Tahoma" w:cs="Tahoma"/>
                      <w:sz w:val="20"/>
                      <w:szCs w:val="20"/>
                    </w:rPr>
                    <w:t>11.4</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359A7F4" w14:textId="77777777" w:rsidR="00485CC2" w:rsidRPr="00E51ED6" w:rsidRDefault="00485CC2" w:rsidP="00485CC2">
                  <w:pPr>
                    <w:jc w:val="right"/>
                    <w:rPr>
                      <w:rFonts w:ascii="Tahoma" w:hAnsi="Tahoma" w:cs="Tahoma"/>
                      <w:sz w:val="20"/>
                      <w:szCs w:val="20"/>
                    </w:rPr>
                  </w:pPr>
                  <w:r>
                    <w:rPr>
                      <w:rFonts w:ascii="Tahoma" w:hAnsi="Tahoma" w:cs="Tahoma"/>
                      <w:sz w:val="20"/>
                      <w:szCs w:val="20"/>
                    </w:rPr>
                    <w:t>12.5</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18D4356" w14:textId="77777777" w:rsidR="00485CC2" w:rsidRPr="00E51ED6" w:rsidRDefault="00485CC2" w:rsidP="00485CC2">
                  <w:pPr>
                    <w:jc w:val="right"/>
                    <w:rPr>
                      <w:rFonts w:ascii="Tahoma" w:hAnsi="Tahoma" w:cs="Tahoma"/>
                      <w:sz w:val="20"/>
                      <w:szCs w:val="20"/>
                    </w:rPr>
                  </w:pPr>
                  <w:r>
                    <w:rPr>
                      <w:rFonts w:ascii="Tahoma" w:hAnsi="Tahoma" w:cs="Tahoma"/>
                      <w:sz w:val="20"/>
                      <w:szCs w:val="20"/>
                    </w:rPr>
                    <w:t>14.2</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335D1249" w14:textId="77777777" w:rsidR="00485CC2" w:rsidRPr="00E51ED6" w:rsidRDefault="00485CC2" w:rsidP="00485CC2">
                  <w:pPr>
                    <w:jc w:val="right"/>
                    <w:rPr>
                      <w:rFonts w:ascii="Tahoma" w:hAnsi="Tahoma" w:cs="Tahoma"/>
                      <w:sz w:val="20"/>
                      <w:szCs w:val="20"/>
                    </w:rPr>
                  </w:pPr>
                  <w:r w:rsidRPr="00E51ED6">
                    <w:rPr>
                      <w:rFonts w:ascii="Tahoma" w:hAnsi="Tahoma" w:cs="Tahoma"/>
                      <w:sz w:val="20"/>
                      <w:szCs w:val="20"/>
                    </w:rPr>
                    <w:t>14.</w:t>
                  </w:r>
                  <w:r>
                    <w:rPr>
                      <w:rFonts w:ascii="Tahoma" w:hAnsi="Tahoma" w:cs="Tahoma"/>
                      <w:sz w:val="20"/>
                      <w:szCs w:val="20"/>
                    </w:rPr>
                    <w:t>4</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4933E68" w14:textId="77777777" w:rsidR="00485CC2" w:rsidRPr="00E51ED6" w:rsidRDefault="00485CC2" w:rsidP="00485CC2">
                  <w:pPr>
                    <w:jc w:val="right"/>
                    <w:rPr>
                      <w:rFonts w:ascii="Tahoma" w:hAnsi="Tahoma" w:cs="Tahoma"/>
                      <w:sz w:val="20"/>
                      <w:szCs w:val="20"/>
                    </w:rPr>
                  </w:pPr>
                  <w:r>
                    <w:rPr>
                      <w:rFonts w:ascii="Tahoma" w:hAnsi="Tahoma" w:cs="Tahoma"/>
                      <w:sz w:val="20"/>
                      <w:szCs w:val="20"/>
                    </w:rPr>
                    <w:t>16.2</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FCDE4FC" w14:textId="77777777" w:rsidR="00485CC2" w:rsidRPr="00E51ED6" w:rsidRDefault="00485CC2" w:rsidP="00485CC2">
                  <w:pPr>
                    <w:jc w:val="right"/>
                    <w:rPr>
                      <w:rFonts w:ascii="Tahoma" w:hAnsi="Tahoma" w:cs="Tahoma"/>
                      <w:sz w:val="20"/>
                      <w:szCs w:val="20"/>
                    </w:rPr>
                  </w:pPr>
                  <w:r>
                    <w:rPr>
                      <w:rFonts w:ascii="Tahoma" w:hAnsi="Tahoma" w:cs="Tahoma"/>
                      <w:sz w:val="20"/>
                      <w:szCs w:val="20"/>
                    </w:rPr>
                    <w:t>17.4</w:t>
                  </w:r>
                  <w:r w:rsidRPr="00E51ED6">
                    <w:rPr>
                      <w:rFonts w:ascii="Tahoma" w:hAnsi="Tahoma" w:cs="Tahoma"/>
                      <w:sz w:val="20"/>
                      <w:szCs w:val="20"/>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48D68325" w14:textId="77777777" w:rsidR="00485CC2" w:rsidRPr="00E51ED6" w:rsidRDefault="00485CC2" w:rsidP="00485CC2">
                  <w:pPr>
                    <w:jc w:val="right"/>
                    <w:rPr>
                      <w:rFonts w:ascii="Tahoma" w:hAnsi="Tahoma" w:cs="Tahoma"/>
                      <w:sz w:val="20"/>
                      <w:szCs w:val="20"/>
                    </w:rPr>
                  </w:pPr>
                  <w:r>
                    <w:rPr>
                      <w:rFonts w:ascii="Tahoma" w:hAnsi="Tahoma" w:cs="Tahoma"/>
                      <w:sz w:val="20"/>
                      <w:szCs w:val="20"/>
                    </w:rPr>
                    <w:t>18.2</w:t>
                  </w:r>
                  <w:r w:rsidRPr="00E51ED6">
                    <w:rPr>
                      <w:rFonts w:ascii="Tahoma" w:hAnsi="Tahoma" w:cs="Tahoma"/>
                      <w:sz w:val="20"/>
                      <w:szCs w:val="20"/>
                    </w:rPr>
                    <w:t>%</w:t>
                  </w:r>
                </w:p>
              </w:tc>
            </w:tr>
            <w:tr w:rsidR="00485CC2" w:rsidRPr="001368AE" w14:paraId="2E790B44" w14:textId="77777777" w:rsidTr="00C22A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76F6B2B0"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20%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71320A96" w14:textId="77777777" w:rsidR="00485CC2" w:rsidRPr="00E51ED6" w:rsidRDefault="00485CC2" w:rsidP="00485CC2">
                  <w:pPr>
                    <w:jc w:val="right"/>
                    <w:rPr>
                      <w:rFonts w:ascii="Tahoma" w:hAnsi="Tahoma" w:cs="Tahoma"/>
                      <w:sz w:val="20"/>
                      <w:szCs w:val="20"/>
                    </w:rPr>
                  </w:pPr>
                  <w:r>
                    <w:rPr>
                      <w:rFonts w:ascii="Tahoma" w:hAnsi="Tahoma" w:cs="Tahoma"/>
                      <w:sz w:val="20"/>
                      <w:szCs w:val="20"/>
                    </w:rPr>
                    <w:t>10.5</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27CD180D" w14:textId="77777777" w:rsidR="00485CC2" w:rsidRPr="00E51ED6" w:rsidRDefault="00485CC2" w:rsidP="00485CC2">
                  <w:pPr>
                    <w:jc w:val="right"/>
                    <w:rPr>
                      <w:rFonts w:ascii="Tahoma" w:hAnsi="Tahoma" w:cs="Tahoma"/>
                      <w:sz w:val="20"/>
                      <w:szCs w:val="20"/>
                    </w:rPr>
                  </w:pPr>
                  <w:r>
                    <w:rPr>
                      <w:rFonts w:ascii="Tahoma" w:hAnsi="Tahoma" w:cs="Tahoma"/>
                      <w:sz w:val="20"/>
                      <w:szCs w:val="20"/>
                    </w:rPr>
                    <w:t>12.0</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220726F" w14:textId="77777777" w:rsidR="00485CC2" w:rsidRPr="00E51ED6" w:rsidRDefault="00485CC2" w:rsidP="00485CC2">
                  <w:pPr>
                    <w:jc w:val="right"/>
                    <w:rPr>
                      <w:rFonts w:ascii="Tahoma" w:hAnsi="Tahoma" w:cs="Tahoma"/>
                      <w:sz w:val="20"/>
                      <w:szCs w:val="20"/>
                    </w:rPr>
                  </w:pPr>
                  <w:r>
                    <w:rPr>
                      <w:rFonts w:ascii="Tahoma" w:hAnsi="Tahoma" w:cs="Tahoma"/>
                      <w:sz w:val="20"/>
                      <w:szCs w:val="20"/>
                    </w:rPr>
                    <w:t>13.4</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31D2B948" w14:textId="77777777" w:rsidR="00485CC2" w:rsidRPr="00E51ED6" w:rsidRDefault="00485CC2" w:rsidP="00485CC2">
                  <w:pPr>
                    <w:jc w:val="right"/>
                    <w:rPr>
                      <w:rFonts w:ascii="Tahoma" w:hAnsi="Tahoma" w:cs="Tahoma"/>
                      <w:sz w:val="20"/>
                      <w:szCs w:val="20"/>
                    </w:rPr>
                  </w:pPr>
                  <w:r w:rsidRPr="00E51ED6">
                    <w:rPr>
                      <w:rFonts w:ascii="Tahoma" w:hAnsi="Tahoma" w:cs="Tahoma"/>
                      <w:sz w:val="20"/>
                      <w:szCs w:val="20"/>
                    </w:rPr>
                    <w:t>13.</w:t>
                  </w:r>
                  <w:r>
                    <w:rPr>
                      <w:rFonts w:ascii="Tahoma" w:hAnsi="Tahoma" w:cs="Tahoma"/>
                      <w:sz w:val="20"/>
                      <w:szCs w:val="20"/>
                    </w:rPr>
                    <w:t>8</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C1AD865" w14:textId="77777777" w:rsidR="00485CC2" w:rsidRPr="00E51ED6" w:rsidRDefault="00485CC2" w:rsidP="00485CC2">
                  <w:pPr>
                    <w:jc w:val="right"/>
                    <w:rPr>
                      <w:rFonts w:ascii="Tahoma" w:hAnsi="Tahoma" w:cs="Tahoma"/>
                      <w:sz w:val="20"/>
                      <w:szCs w:val="20"/>
                    </w:rPr>
                  </w:pPr>
                  <w:r>
                    <w:rPr>
                      <w:rFonts w:ascii="Tahoma" w:hAnsi="Tahoma" w:cs="Tahoma"/>
                      <w:sz w:val="20"/>
                      <w:szCs w:val="20"/>
                    </w:rPr>
                    <w:t>15.4</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2CEC9859" w14:textId="77777777" w:rsidR="00485CC2" w:rsidRPr="00E51ED6" w:rsidRDefault="00485CC2" w:rsidP="00485CC2">
                  <w:pPr>
                    <w:jc w:val="right"/>
                    <w:rPr>
                      <w:rFonts w:ascii="Tahoma" w:hAnsi="Tahoma" w:cs="Tahoma"/>
                      <w:sz w:val="20"/>
                      <w:szCs w:val="20"/>
                    </w:rPr>
                  </w:pPr>
                  <w:r>
                    <w:rPr>
                      <w:rFonts w:ascii="Tahoma" w:hAnsi="Tahoma" w:cs="Tahoma"/>
                      <w:sz w:val="20"/>
                      <w:szCs w:val="20"/>
                    </w:rPr>
                    <w:t>16.6</w:t>
                  </w:r>
                  <w:r w:rsidRPr="00E51ED6">
                    <w:rPr>
                      <w:rFonts w:ascii="Tahoma" w:hAnsi="Tahoma" w:cs="Tahoma"/>
                      <w:sz w:val="20"/>
                      <w:szCs w:val="20"/>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0B9D5957" w14:textId="77777777" w:rsidR="00485CC2" w:rsidRPr="00E51ED6" w:rsidRDefault="00485CC2" w:rsidP="00485CC2">
                  <w:pPr>
                    <w:jc w:val="right"/>
                    <w:rPr>
                      <w:rFonts w:ascii="Tahoma" w:hAnsi="Tahoma" w:cs="Tahoma"/>
                      <w:sz w:val="20"/>
                      <w:szCs w:val="20"/>
                    </w:rPr>
                  </w:pPr>
                  <w:r>
                    <w:rPr>
                      <w:rFonts w:ascii="Tahoma" w:hAnsi="Tahoma" w:cs="Tahoma"/>
                      <w:sz w:val="20"/>
                      <w:szCs w:val="20"/>
                    </w:rPr>
                    <w:t>17.0</w:t>
                  </w:r>
                  <w:r w:rsidRPr="00E51ED6">
                    <w:rPr>
                      <w:rFonts w:ascii="Tahoma" w:hAnsi="Tahoma" w:cs="Tahoma"/>
                      <w:sz w:val="20"/>
                      <w:szCs w:val="20"/>
                    </w:rPr>
                    <w:t>%</w:t>
                  </w:r>
                </w:p>
              </w:tc>
            </w:tr>
            <w:tr w:rsidR="00485CC2" w:rsidRPr="001368AE" w14:paraId="7CAA51D8" w14:textId="77777777" w:rsidTr="00C22A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74B1ED11"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30%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68E09C4F" w14:textId="77777777" w:rsidR="00485CC2" w:rsidRPr="00E51ED6" w:rsidRDefault="00485CC2" w:rsidP="00485CC2">
                  <w:pPr>
                    <w:jc w:val="right"/>
                    <w:rPr>
                      <w:rFonts w:ascii="Tahoma" w:hAnsi="Tahoma" w:cs="Tahoma"/>
                      <w:sz w:val="20"/>
                      <w:szCs w:val="20"/>
                    </w:rPr>
                  </w:pPr>
                  <w:r>
                    <w:rPr>
                      <w:rFonts w:ascii="Tahoma" w:hAnsi="Tahoma" w:cs="Tahoma"/>
                      <w:sz w:val="20"/>
                      <w:szCs w:val="20"/>
                    </w:rPr>
                    <w:t>9.0</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BD97BB6" w14:textId="77777777" w:rsidR="00485CC2" w:rsidRPr="00E51ED6" w:rsidRDefault="00485CC2" w:rsidP="00485CC2">
                  <w:pPr>
                    <w:jc w:val="right"/>
                    <w:rPr>
                      <w:rFonts w:ascii="Tahoma" w:hAnsi="Tahoma" w:cs="Tahoma"/>
                      <w:sz w:val="20"/>
                      <w:szCs w:val="20"/>
                    </w:rPr>
                  </w:pPr>
                  <w:r>
                    <w:rPr>
                      <w:rFonts w:ascii="Tahoma" w:hAnsi="Tahoma" w:cs="Tahoma"/>
                      <w:sz w:val="20"/>
                      <w:szCs w:val="20"/>
                    </w:rPr>
                    <w:t>11.0</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316BB602" w14:textId="77777777" w:rsidR="00485CC2" w:rsidRPr="00E51ED6" w:rsidRDefault="00485CC2" w:rsidP="00485CC2">
                  <w:pPr>
                    <w:jc w:val="right"/>
                    <w:rPr>
                      <w:rFonts w:ascii="Tahoma" w:hAnsi="Tahoma" w:cs="Tahoma"/>
                      <w:sz w:val="20"/>
                      <w:szCs w:val="20"/>
                    </w:rPr>
                  </w:pPr>
                  <w:r>
                    <w:rPr>
                      <w:rFonts w:ascii="Tahoma" w:hAnsi="Tahoma" w:cs="Tahoma"/>
                      <w:sz w:val="20"/>
                      <w:szCs w:val="20"/>
                    </w:rPr>
                    <w:t>12.6</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C3229BF" w14:textId="77777777" w:rsidR="00485CC2" w:rsidRPr="00E51ED6" w:rsidRDefault="00485CC2" w:rsidP="00485CC2">
                  <w:pPr>
                    <w:jc w:val="right"/>
                    <w:rPr>
                      <w:rFonts w:ascii="Tahoma" w:hAnsi="Tahoma" w:cs="Tahoma"/>
                      <w:sz w:val="20"/>
                      <w:szCs w:val="20"/>
                    </w:rPr>
                  </w:pPr>
                  <w:r w:rsidRPr="00E51ED6">
                    <w:rPr>
                      <w:rFonts w:ascii="Tahoma" w:hAnsi="Tahoma" w:cs="Tahoma"/>
                      <w:sz w:val="20"/>
                      <w:szCs w:val="20"/>
                    </w:rPr>
                    <w:t>12.</w:t>
                  </w:r>
                  <w:r>
                    <w:rPr>
                      <w:rFonts w:ascii="Tahoma" w:hAnsi="Tahoma" w:cs="Tahoma"/>
                      <w:sz w:val="20"/>
                      <w:szCs w:val="20"/>
                    </w:rPr>
                    <w:t>8</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B782EA5" w14:textId="77777777" w:rsidR="00485CC2" w:rsidRPr="00E51ED6" w:rsidRDefault="00485CC2" w:rsidP="00485CC2">
                  <w:pPr>
                    <w:jc w:val="right"/>
                    <w:rPr>
                      <w:rFonts w:ascii="Tahoma" w:hAnsi="Tahoma" w:cs="Tahoma"/>
                      <w:sz w:val="20"/>
                      <w:szCs w:val="20"/>
                    </w:rPr>
                  </w:pPr>
                  <w:r>
                    <w:rPr>
                      <w:rFonts w:ascii="Tahoma" w:hAnsi="Tahoma" w:cs="Tahoma"/>
                      <w:sz w:val="20"/>
                      <w:szCs w:val="20"/>
                    </w:rPr>
                    <w:t>15.0</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4CA25ADD" w14:textId="77777777" w:rsidR="00485CC2" w:rsidRPr="00E51ED6" w:rsidRDefault="00485CC2" w:rsidP="00485CC2">
                  <w:pPr>
                    <w:jc w:val="right"/>
                    <w:rPr>
                      <w:rFonts w:ascii="Tahoma" w:hAnsi="Tahoma" w:cs="Tahoma"/>
                      <w:sz w:val="20"/>
                      <w:szCs w:val="20"/>
                    </w:rPr>
                  </w:pPr>
                  <w:r>
                    <w:rPr>
                      <w:rFonts w:ascii="Tahoma" w:hAnsi="Tahoma" w:cs="Tahoma"/>
                      <w:sz w:val="20"/>
                      <w:szCs w:val="20"/>
                    </w:rPr>
                    <w:t>16.2</w:t>
                  </w:r>
                  <w:r w:rsidRPr="00E51ED6">
                    <w:rPr>
                      <w:rFonts w:ascii="Tahoma" w:hAnsi="Tahoma" w:cs="Tahoma"/>
                      <w:sz w:val="20"/>
                      <w:szCs w:val="20"/>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0B84B1EC" w14:textId="77777777" w:rsidR="00485CC2" w:rsidRPr="00E51ED6" w:rsidRDefault="00485CC2" w:rsidP="00485CC2">
                  <w:pPr>
                    <w:jc w:val="right"/>
                    <w:rPr>
                      <w:rFonts w:ascii="Tahoma" w:hAnsi="Tahoma" w:cs="Tahoma"/>
                      <w:sz w:val="20"/>
                      <w:szCs w:val="20"/>
                    </w:rPr>
                  </w:pPr>
                  <w:r>
                    <w:rPr>
                      <w:rFonts w:ascii="Tahoma" w:hAnsi="Tahoma" w:cs="Tahoma"/>
                      <w:sz w:val="20"/>
                      <w:szCs w:val="20"/>
                    </w:rPr>
                    <w:t>16.6</w:t>
                  </w:r>
                  <w:r w:rsidRPr="00E51ED6">
                    <w:rPr>
                      <w:rFonts w:ascii="Tahoma" w:hAnsi="Tahoma" w:cs="Tahoma"/>
                      <w:sz w:val="20"/>
                      <w:szCs w:val="20"/>
                    </w:rPr>
                    <w:t>%</w:t>
                  </w:r>
                </w:p>
              </w:tc>
            </w:tr>
            <w:tr w:rsidR="00485CC2" w:rsidRPr="001368AE" w14:paraId="01A5D28C" w14:textId="77777777" w:rsidTr="00C22A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2D12C4A1"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40%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440E2363" w14:textId="77777777" w:rsidR="00485CC2" w:rsidRPr="001368AE" w:rsidRDefault="00485CC2" w:rsidP="00485CC2">
                  <w:pPr>
                    <w:jc w:val="right"/>
                    <w:rPr>
                      <w:rFonts w:ascii="Tahoma" w:hAnsi="Tahoma" w:cs="Tahoma"/>
                      <w:sz w:val="20"/>
                      <w:szCs w:val="20"/>
                    </w:rPr>
                  </w:pPr>
                  <w:r>
                    <w:rPr>
                      <w:rFonts w:ascii="Tahoma" w:hAnsi="Tahoma" w:cs="Tahoma"/>
                      <w:sz w:val="20"/>
                      <w:szCs w:val="20"/>
                    </w:rPr>
                    <w:t>7.5</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D707111" w14:textId="77777777" w:rsidR="00485CC2" w:rsidRPr="001368AE" w:rsidRDefault="00485CC2" w:rsidP="00485CC2">
                  <w:pPr>
                    <w:jc w:val="right"/>
                    <w:rPr>
                      <w:rFonts w:ascii="Tahoma" w:hAnsi="Tahoma" w:cs="Tahoma"/>
                      <w:sz w:val="20"/>
                      <w:szCs w:val="20"/>
                    </w:rPr>
                  </w:pPr>
                  <w:r>
                    <w:rPr>
                      <w:rFonts w:ascii="Tahoma" w:hAnsi="Tahoma" w:cs="Tahoma"/>
                      <w:sz w:val="20"/>
                      <w:szCs w:val="20"/>
                    </w:rPr>
                    <w:t>10.0</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DAE8CCB" w14:textId="77777777" w:rsidR="00485CC2" w:rsidRPr="001368AE" w:rsidRDefault="00485CC2" w:rsidP="00485CC2">
                  <w:pPr>
                    <w:jc w:val="right"/>
                    <w:rPr>
                      <w:rFonts w:ascii="Tahoma" w:hAnsi="Tahoma" w:cs="Tahoma"/>
                      <w:sz w:val="20"/>
                      <w:szCs w:val="20"/>
                    </w:rPr>
                  </w:pPr>
                  <w:r>
                    <w:rPr>
                      <w:rFonts w:ascii="Tahoma" w:hAnsi="Tahoma" w:cs="Tahoma"/>
                      <w:sz w:val="20"/>
                      <w:szCs w:val="20"/>
                    </w:rPr>
                    <w:t>11.8</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C5C05B5" w14:textId="77777777" w:rsidR="00485CC2" w:rsidRPr="00E51ED6" w:rsidRDefault="00485CC2" w:rsidP="00485CC2">
                  <w:pPr>
                    <w:jc w:val="right"/>
                    <w:rPr>
                      <w:rFonts w:ascii="Tahoma" w:hAnsi="Tahoma" w:cs="Tahoma"/>
                      <w:sz w:val="20"/>
                      <w:szCs w:val="20"/>
                    </w:rPr>
                  </w:pPr>
                  <w:r w:rsidRPr="00E51ED6">
                    <w:rPr>
                      <w:rFonts w:ascii="Tahoma" w:hAnsi="Tahoma" w:cs="Tahoma"/>
                      <w:sz w:val="20"/>
                      <w:szCs w:val="20"/>
                    </w:rPr>
                    <w:t>1</w:t>
                  </w:r>
                  <w:r>
                    <w:rPr>
                      <w:rFonts w:ascii="Tahoma" w:hAnsi="Tahoma" w:cs="Tahoma"/>
                      <w:sz w:val="20"/>
                      <w:szCs w:val="20"/>
                    </w:rPr>
                    <w:t>2.0</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153F945" w14:textId="77777777" w:rsidR="00485CC2" w:rsidRPr="00E51ED6" w:rsidRDefault="00485CC2" w:rsidP="00485CC2">
                  <w:pPr>
                    <w:jc w:val="right"/>
                    <w:rPr>
                      <w:rFonts w:ascii="Tahoma" w:hAnsi="Tahoma" w:cs="Tahoma"/>
                      <w:sz w:val="20"/>
                      <w:szCs w:val="20"/>
                    </w:rPr>
                  </w:pPr>
                  <w:r>
                    <w:rPr>
                      <w:rFonts w:ascii="Tahoma" w:hAnsi="Tahoma" w:cs="Tahoma"/>
                      <w:sz w:val="20"/>
                      <w:szCs w:val="20"/>
                    </w:rPr>
                    <w:t>14.0</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3D8ECA79" w14:textId="77777777" w:rsidR="00485CC2" w:rsidRPr="00E51ED6" w:rsidRDefault="00485CC2" w:rsidP="00485CC2">
                  <w:pPr>
                    <w:jc w:val="right"/>
                    <w:rPr>
                      <w:rFonts w:ascii="Tahoma" w:hAnsi="Tahoma" w:cs="Tahoma"/>
                      <w:sz w:val="20"/>
                      <w:szCs w:val="20"/>
                    </w:rPr>
                  </w:pPr>
                  <w:r>
                    <w:rPr>
                      <w:rFonts w:ascii="Tahoma" w:hAnsi="Tahoma" w:cs="Tahoma"/>
                      <w:sz w:val="20"/>
                      <w:szCs w:val="20"/>
                    </w:rPr>
                    <w:t>15.4</w:t>
                  </w:r>
                  <w:r w:rsidRPr="00E51ED6">
                    <w:rPr>
                      <w:rFonts w:ascii="Tahoma" w:hAnsi="Tahoma" w:cs="Tahoma"/>
                      <w:sz w:val="20"/>
                      <w:szCs w:val="20"/>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29FA47EB" w14:textId="77777777" w:rsidR="00485CC2" w:rsidRPr="00E51ED6" w:rsidRDefault="00485CC2" w:rsidP="00485CC2">
                  <w:pPr>
                    <w:jc w:val="right"/>
                    <w:rPr>
                      <w:rFonts w:ascii="Tahoma" w:hAnsi="Tahoma" w:cs="Tahoma"/>
                      <w:sz w:val="20"/>
                      <w:szCs w:val="20"/>
                    </w:rPr>
                  </w:pPr>
                  <w:r>
                    <w:rPr>
                      <w:rFonts w:ascii="Tahoma" w:hAnsi="Tahoma" w:cs="Tahoma"/>
                      <w:sz w:val="20"/>
                      <w:szCs w:val="20"/>
                    </w:rPr>
                    <w:t>15.8</w:t>
                  </w:r>
                  <w:r w:rsidRPr="00E51ED6">
                    <w:rPr>
                      <w:rFonts w:ascii="Tahoma" w:hAnsi="Tahoma" w:cs="Tahoma"/>
                      <w:sz w:val="20"/>
                      <w:szCs w:val="20"/>
                    </w:rPr>
                    <w:t>%</w:t>
                  </w:r>
                </w:p>
              </w:tc>
            </w:tr>
            <w:tr w:rsidR="00485CC2" w:rsidRPr="001368AE" w14:paraId="1B0C656F" w14:textId="77777777" w:rsidTr="00C22A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518B05F9"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50%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5D70F560" w14:textId="77777777" w:rsidR="00485CC2" w:rsidRPr="001368AE" w:rsidRDefault="00485CC2" w:rsidP="00485CC2">
                  <w:pPr>
                    <w:jc w:val="right"/>
                    <w:rPr>
                      <w:rFonts w:ascii="Tahoma" w:hAnsi="Tahoma" w:cs="Tahoma"/>
                      <w:sz w:val="20"/>
                      <w:szCs w:val="20"/>
                    </w:rPr>
                  </w:pPr>
                  <w:r>
                    <w:rPr>
                      <w:rFonts w:ascii="Tahoma" w:hAnsi="Tahoma" w:cs="Tahoma"/>
                      <w:sz w:val="20"/>
                      <w:szCs w:val="20"/>
                    </w:rPr>
                    <w:t>5.5</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18259F6" w14:textId="77777777" w:rsidR="00485CC2" w:rsidRPr="001368AE" w:rsidRDefault="00485CC2" w:rsidP="00485CC2">
                  <w:pPr>
                    <w:jc w:val="right"/>
                    <w:rPr>
                      <w:rFonts w:ascii="Tahoma" w:hAnsi="Tahoma" w:cs="Tahoma"/>
                      <w:sz w:val="20"/>
                      <w:szCs w:val="20"/>
                    </w:rPr>
                  </w:pPr>
                  <w:r>
                    <w:rPr>
                      <w:rFonts w:ascii="Tahoma" w:hAnsi="Tahoma" w:cs="Tahoma"/>
                      <w:sz w:val="20"/>
                      <w:szCs w:val="20"/>
                    </w:rPr>
                    <w:t>9.0</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0C21666" w14:textId="77777777" w:rsidR="00485CC2" w:rsidRPr="001368AE" w:rsidRDefault="00485CC2" w:rsidP="00485CC2">
                  <w:pPr>
                    <w:jc w:val="right"/>
                    <w:rPr>
                      <w:rFonts w:ascii="Tahoma" w:hAnsi="Tahoma" w:cs="Tahoma"/>
                      <w:sz w:val="20"/>
                      <w:szCs w:val="20"/>
                    </w:rPr>
                  </w:pPr>
                  <w:r>
                    <w:rPr>
                      <w:rFonts w:ascii="Tahoma" w:hAnsi="Tahoma" w:cs="Tahoma"/>
                      <w:sz w:val="20"/>
                      <w:szCs w:val="20"/>
                    </w:rPr>
                    <w:t>10.8</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0E20D57" w14:textId="77777777" w:rsidR="00485CC2" w:rsidRPr="00E51ED6" w:rsidRDefault="00485CC2" w:rsidP="00485CC2">
                  <w:pPr>
                    <w:jc w:val="right"/>
                    <w:rPr>
                      <w:rFonts w:ascii="Tahoma" w:hAnsi="Tahoma" w:cs="Tahoma"/>
                      <w:sz w:val="20"/>
                      <w:szCs w:val="20"/>
                    </w:rPr>
                  </w:pPr>
                  <w:r>
                    <w:rPr>
                      <w:rFonts w:ascii="Tahoma" w:hAnsi="Tahoma" w:cs="Tahoma"/>
                      <w:sz w:val="20"/>
                      <w:szCs w:val="20"/>
                    </w:rPr>
                    <w:t>11.2</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B26849D" w14:textId="77777777" w:rsidR="00485CC2" w:rsidRPr="00E51ED6" w:rsidRDefault="00485CC2" w:rsidP="00485CC2">
                  <w:pPr>
                    <w:jc w:val="right"/>
                    <w:rPr>
                      <w:rFonts w:ascii="Tahoma" w:hAnsi="Tahoma" w:cs="Tahoma"/>
                      <w:sz w:val="20"/>
                      <w:szCs w:val="20"/>
                    </w:rPr>
                  </w:pPr>
                  <w:r>
                    <w:rPr>
                      <w:rFonts w:ascii="Tahoma" w:hAnsi="Tahoma" w:cs="Tahoma"/>
                      <w:sz w:val="20"/>
                      <w:szCs w:val="20"/>
                    </w:rPr>
                    <w:t>13.2</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FBA7C37" w14:textId="77777777" w:rsidR="00485CC2" w:rsidRPr="00E51ED6" w:rsidRDefault="00485CC2" w:rsidP="00485CC2">
                  <w:pPr>
                    <w:jc w:val="right"/>
                    <w:rPr>
                      <w:rFonts w:ascii="Tahoma" w:hAnsi="Tahoma" w:cs="Tahoma"/>
                      <w:sz w:val="20"/>
                      <w:szCs w:val="20"/>
                    </w:rPr>
                  </w:pPr>
                  <w:r>
                    <w:rPr>
                      <w:rFonts w:ascii="Tahoma" w:hAnsi="Tahoma" w:cs="Tahoma"/>
                      <w:sz w:val="20"/>
                      <w:szCs w:val="20"/>
                    </w:rPr>
                    <w:t>14.8</w:t>
                  </w:r>
                  <w:r w:rsidRPr="00E51ED6">
                    <w:rPr>
                      <w:rFonts w:ascii="Tahoma" w:hAnsi="Tahoma" w:cs="Tahoma"/>
                      <w:sz w:val="20"/>
                      <w:szCs w:val="20"/>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003C0EB2" w14:textId="77777777" w:rsidR="00485CC2" w:rsidRPr="00E51ED6" w:rsidRDefault="00485CC2" w:rsidP="00485CC2">
                  <w:pPr>
                    <w:jc w:val="right"/>
                    <w:rPr>
                      <w:rFonts w:ascii="Tahoma" w:hAnsi="Tahoma" w:cs="Tahoma"/>
                      <w:sz w:val="20"/>
                      <w:szCs w:val="20"/>
                    </w:rPr>
                  </w:pPr>
                  <w:r>
                    <w:rPr>
                      <w:rFonts w:ascii="Tahoma" w:hAnsi="Tahoma" w:cs="Tahoma"/>
                      <w:sz w:val="20"/>
                      <w:szCs w:val="20"/>
                    </w:rPr>
                    <w:t>15.2</w:t>
                  </w:r>
                  <w:r w:rsidRPr="00E51ED6">
                    <w:rPr>
                      <w:rFonts w:ascii="Tahoma" w:hAnsi="Tahoma" w:cs="Tahoma"/>
                      <w:sz w:val="20"/>
                      <w:szCs w:val="20"/>
                    </w:rPr>
                    <w:t>%</w:t>
                  </w:r>
                </w:p>
              </w:tc>
            </w:tr>
            <w:tr w:rsidR="00485CC2" w:rsidRPr="001368AE" w14:paraId="0B2FF77A" w14:textId="77777777" w:rsidTr="00C22A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459C1197"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60%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0F5BB3E9" w14:textId="77777777" w:rsidR="00485CC2" w:rsidRPr="001368AE" w:rsidRDefault="00485CC2" w:rsidP="00485CC2">
                  <w:pPr>
                    <w:jc w:val="right"/>
                    <w:rPr>
                      <w:rFonts w:ascii="Tahoma" w:hAnsi="Tahoma" w:cs="Tahoma"/>
                      <w:sz w:val="20"/>
                      <w:szCs w:val="20"/>
                    </w:rPr>
                  </w:pPr>
                  <w:r>
                    <w:rPr>
                      <w:rFonts w:ascii="Tahoma" w:hAnsi="Tahoma" w:cs="Tahoma"/>
                      <w:sz w:val="20"/>
                      <w:szCs w:val="20"/>
                    </w:rPr>
                    <w:t>2.8</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4C11B441" w14:textId="77777777" w:rsidR="00485CC2" w:rsidRPr="001368AE" w:rsidRDefault="00485CC2" w:rsidP="00485CC2">
                  <w:pPr>
                    <w:jc w:val="right"/>
                    <w:rPr>
                      <w:rFonts w:ascii="Tahoma" w:hAnsi="Tahoma" w:cs="Tahoma"/>
                      <w:sz w:val="20"/>
                      <w:szCs w:val="20"/>
                    </w:rPr>
                  </w:pPr>
                  <w:r>
                    <w:rPr>
                      <w:rFonts w:ascii="Tahoma" w:hAnsi="Tahoma" w:cs="Tahoma"/>
                      <w:sz w:val="20"/>
                      <w:szCs w:val="20"/>
                    </w:rPr>
                    <w:t>7.5</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E3D0DCF" w14:textId="77777777" w:rsidR="00485CC2" w:rsidRPr="00E51ED6" w:rsidRDefault="00485CC2" w:rsidP="00485CC2">
                  <w:pPr>
                    <w:jc w:val="right"/>
                    <w:rPr>
                      <w:rFonts w:ascii="Tahoma" w:hAnsi="Tahoma" w:cs="Tahoma"/>
                      <w:sz w:val="20"/>
                      <w:szCs w:val="20"/>
                    </w:rPr>
                  </w:pPr>
                  <w:r>
                    <w:rPr>
                      <w:rFonts w:ascii="Tahoma" w:hAnsi="Tahoma" w:cs="Tahoma"/>
                      <w:sz w:val="20"/>
                      <w:szCs w:val="20"/>
                    </w:rPr>
                    <w:t>9.6</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747A320" w14:textId="77777777" w:rsidR="00485CC2" w:rsidRPr="00E51ED6" w:rsidRDefault="00485CC2" w:rsidP="00485CC2">
                  <w:pPr>
                    <w:jc w:val="right"/>
                    <w:rPr>
                      <w:rFonts w:ascii="Tahoma" w:hAnsi="Tahoma" w:cs="Tahoma"/>
                      <w:sz w:val="20"/>
                      <w:szCs w:val="20"/>
                    </w:rPr>
                  </w:pPr>
                  <w:r>
                    <w:rPr>
                      <w:rFonts w:ascii="Tahoma" w:hAnsi="Tahoma" w:cs="Tahoma"/>
                      <w:sz w:val="20"/>
                      <w:szCs w:val="20"/>
                    </w:rPr>
                    <w:t>10.0</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4249F62A" w14:textId="77777777" w:rsidR="00485CC2" w:rsidRPr="00E51ED6" w:rsidRDefault="00485CC2" w:rsidP="00485CC2">
                  <w:pPr>
                    <w:jc w:val="right"/>
                    <w:rPr>
                      <w:rFonts w:ascii="Tahoma" w:hAnsi="Tahoma" w:cs="Tahoma"/>
                      <w:sz w:val="20"/>
                      <w:szCs w:val="20"/>
                    </w:rPr>
                  </w:pPr>
                  <w:r>
                    <w:rPr>
                      <w:rFonts w:ascii="Tahoma" w:hAnsi="Tahoma" w:cs="Tahoma"/>
                      <w:sz w:val="20"/>
                      <w:szCs w:val="20"/>
                    </w:rPr>
                    <w:t>12.2</w:t>
                  </w:r>
                  <w:r w:rsidRPr="00E51ED6">
                    <w:rPr>
                      <w:rFonts w:ascii="Tahoma" w:hAnsi="Tahoma" w:cs="Tahoma"/>
                      <w:sz w:val="20"/>
                      <w:szCs w:val="20"/>
                    </w:rPr>
                    <w:t>%</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2A75868C" w14:textId="77777777" w:rsidR="00485CC2" w:rsidRPr="00E51ED6" w:rsidRDefault="00485CC2" w:rsidP="00485CC2">
                  <w:pPr>
                    <w:jc w:val="right"/>
                    <w:rPr>
                      <w:rFonts w:ascii="Tahoma" w:hAnsi="Tahoma" w:cs="Tahoma"/>
                      <w:sz w:val="20"/>
                      <w:szCs w:val="20"/>
                    </w:rPr>
                  </w:pPr>
                  <w:r>
                    <w:rPr>
                      <w:rFonts w:ascii="Tahoma" w:hAnsi="Tahoma" w:cs="Tahoma"/>
                      <w:sz w:val="20"/>
                      <w:szCs w:val="20"/>
                    </w:rPr>
                    <w:t>13.8</w:t>
                  </w:r>
                  <w:r w:rsidRPr="00E51ED6">
                    <w:rPr>
                      <w:rFonts w:ascii="Tahoma" w:hAnsi="Tahoma" w:cs="Tahoma"/>
                      <w:sz w:val="20"/>
                      <w:szCs w:val="20"/>
                    </w:rPr>
                    <w:t>%</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79B761CD" w14:textId="77777777" w:rsidR="00485CC2" w:rsidRPr="00E51ED6" w:rsidRDefault="00485CC2" w:rsidP="00485CC2">
                  <w:pPr>
                    <w:jc w:val="right"/>
                    <w:rPr>
                      <w:rFonts w:ascii="Tahoma" w:hAnsi="Tahoma" w:cs="Tahoma"/>
                      <w:sz w:val="20"/>
                      <w:szCs w:val="20"/>
                    </w:rPr>
                  </w:pPr>
                  <w:r>
                    <w:rPr>
                      <w:rFonts w:ascii="Tahoma" w:hAnsi="Tahoma" w:cs="Tahoma"/>
                      <w:sz w:val="20"/>
                      <w:szCs w:val="20"/>
                    </w:rPr>
                    <w:t>14.4</w:t>
                  </w:r>
                  <w:r w:rsidRPr="00E51ED6">
                    <w:rPr>
                      <w:rFonts w:ascii="Tahoma" w:hAnsi="Tahoma" w:cs="Tahoma"/>
                      <w:sz w:val="20"/>
                      <w:szCs w:val="20"/>
                    </w:rPr>
                    <w:t>%</w:t>
                  </w:r>
                </w:p>
              </w:tc>
            </w:tr>
          </w:tbl>
          <w:p w14:paraId="584F03D7" w14:textId="77777777" w:rsidR="009D1253" w:rsidRDefault="009D1253" w:rsidP="009D1253">
            <w:pPr>
              <w:tabs>
                <w:tab w:val="left" w:pos="6979"/>
                <w:tab w:val="left" w:pos="7548"/>
              </w:tabs>
              <w:ind w:right="176"/>
              <w:jc w:val="both"/>
              <w:rPr>
                <w:rFonts w:ascii="Tahoma" w:hAnsi="Tahoma" w:cs="Tahoma"/>
                <w:sz w:val="18"/>
                <w:szCs w:val="18"/>
              </w:rPr>
            </w:pPr>
          </w:p>
          <w:p w14:paraId="6A5340C5" w14:textId="77777777" w:rsidR="009D1253" w:rsidRDefault="009D1253" w:rsidP="009D1253">
            <w:pPr>
              <w:tabs>
                <w:tab w:val="left" w:pos="6979"/>
                <w:tab w:val="left" w:pos="7548"/>
              </w:tabs>
              <w:ind w:right="176"/>
              <w:jc w:val="both"/>
              <w:rPr>
                <w:rFonts w:ascii="Tahoma" w:hAnsi="Tahoma" w:cs="Tahoma"/>
                <w:sz w:val="18"/>
                <w:szCs w:val="18"/>
              </w:rPr>
            </w:pPr>
          </w:p>
          <w:p w14:paraId="16E8B477" w14:textId="77777777" w:rsidR="009D1253" w:rsidRDefault="009D1253" w:rsidP="009D1253">
            <w:pPr>
              <w:tabs>
                <w:tab w:val="left" w:pos="6979"/>
                <w:tab w:val="left" w:pos="7548"/>
              </w:tabs>
              <w:ind w:right="176"/>
              <w:jc w:val="both"/>
              <w:rPr>
                <w:rFonts w:ascii="Tahoma" w:hAnsi="Tahoma" w:cs="Tahoma"/>
                <w:sz w:val="18"/>
                <w:szCs w:val="18"/>
              </w:rPr>
            </w:pPr>
          </w:p>
          <w:p w14:paraId="785FE61C" w14:textId="77777777" w:rsidR="009D1253" w:rsidRDefault="009D1253" w:rsidP="009D1253">
            <w:pPr>
              <w:tabs>
                <w:tab w:val="left" w:pos="6979"/>
                <w:tab w:val="left" w:pos="7548"/>
              </w:tabs>
              <w:ind w:right="176"/>
              <w:jc w:val="both"/>
              <w:rPr>
                <w:rFonts w:ascii="Tahoma" w:hAnsi="Tahoma" w:cs="Tahoma"/>
                <w:sz w:val="18"/>
                <w:szCs w:val="18"/>
              </w:rPr>
            </w:pPr>
          </w:p>
          <w:p w14:paraId="120BB8CF" w14:textId="77777777" w:rsidR="009D1253" w:rsidRDefault="009D1253" w:rsidP="009D1253">
            <w:pPr>
              <w:tabs>
                <w:tab w:val="left" w:pos="6979"/>
                <w:tab w:val="left" w:pos="7548"/>
              </w:tabs>
              <w:ind w:right="176"/>
              <w:jc w:val="both"/>
              <w:rPr>
                <w:rFonts w:ascii="Tahoma" w:hAnsi="Tahoma" w:cs="Tahoma"/>
                <w:sz w:val="18"/>
                <w:szCs w:val="18"/>
              </w:rPr>
            </w:pPr>
          </w:p>
          <w:p w14:paraId="66BDA1C2" w14:textId="77777777" w:rsidR="009D1253" w:rsidRDefault="009D1253" w:rsidP="009D1253">
            <w:pPr>
              <w:tabs>
                <w:tab w:val="left" w:pos="6979"/>
                <w:tab w:val="left" w:pos="7548"/>
              </w:tabs>
              <w:ind w:right="176"/>
              <w:jc w:val="both"/>
              <w:rPr>
                <w:rFonts w:ascii="Tahoma" w:hAnsi="Tahoma" w:cs="Tahoma"/>
                <w:sz w:val="18"/>
                <w:szCs w:val="18"/>
              </w:rPr>
            </w:pPr>
          </w:p>
          <w:p w14:paraId="13F37109" w14:textId="77777777" w:rsidR="009D1253" w:rsidRDefault="009D1253" w:rsidP="009D1253">
            <w:pPr>
              <w:tabs>
                <w:tab w:val="left" w:pos="6979"/>
                <w:tab w:val="left" w:pos="7548"/>
              </w:tabs>
              <w:ind w:right="176"/>
              <w:jc w:val="both"/>
              <w:rPr>
                <w:rFonts w:ascii="Tahoma" w:hAnsi="Tahoma" w:cs="Tahoma"/>
                <w:sz w:val="18"/>
                <w:szCs w:val="18"/>
              </w:rPr>
            </w:pPr>
          </w:p>
          <w:p w14:paraId="375E2078" w14:textId="77777777" w:rsidR="009D1253" w:rsidRDefault="009D1253" w:rsidP="009D1253">
            <w:pPr>
              <w:tabs>
                <w:tab w:val="left" w:pos="6979"/>
                <w:tab w:val="left" w:pos="7548"/>
              </w:tabs>
              <w:ind w:right="176"/>
              <w:jc w:val="both"/>
              <w:rPr>
                <w:rFonts w:ascii="Tahoma" w:hAnsi="Tahoma" w:cs="Tahoma"/>
                <w:sz w:val="18"/>
                <w:szCs w:val="18"/>
              </w:rPr>
            </w:pPr>
          </w:p>
          <w:p w14:paraId="31107163" w14:textId="77777777" w:rsidR="009D1253" w:rsidRDefault="009D1253" w:rsidP="009D1253">
            <w:pPr>
              <w:tabs>
                <w:tab w:val="left" w:pos="6979"/>
                <w:tab w:val="left" w:pos="7548"/>
              </w:tabs>
              <w:ind w:right="176"/>
              <w:jc w:val="both"/>
              <w:rPr>
                <w:rFonts w:ascii="Tahoma" w:hAnsi="Tahoma" w:cs="Tahoma"/>
                <w:sz w:val="18"/>
                <w:szCs w:val="18"/>
              </w:rPr>
            </w:pPr>
          </w:p>
          <w:p w14:paraId="5EDABBFA" w14:textId="77777777" w:rsidR="009D1253" w:rsidRDefault="009D1253" w:rsidP="009D1253">
            <w:pPr>
              <w:tabs>
                <w:tab w:val="left" w:pos="6979"/>
                <w:tab w:val="left" w:pos="7548"/>
              </w:tabs>
              <w:ind w:right="176"/>
              <w:jc w:val="both"/>
              <w:rPr>
                <w:rFonts w:ascii="Tahoma" w:hAnsi="Tahoma" w:cs="Tahoma"/>
                <w:sz w:val="18"/>
                <w:szCs w:val="18"/>
              </w:rPr>
            </w:pPr>
          </w:p>
          <w:p w14:paraId="086A5DEF" w14:textId="77777777" w:rsidR="009D1253" w:rsidRDefault="009D1253" w:rsidP="009D1253">
            <w:pPr>
              <w:tabs>
                <w:tab w:val="left" w:pos="6979"/>
                <w:tab w:val="left" w:pos="7548"/>
              </w:tabs>
              <w:ind w:right="176"/>
              <w:jc w:val="both"/>
              <w:rPr>
                <w:rFonts w:ascii="Tahoma" w:hAnsi="Tahoma" w:cs="Tahoma"/>
                <w:sz w:val="18"/>
                <w:szCs w:val="18"/>
              </w:rPr>
            </w:pPr>
          </w:p>
          <w:p w14:paraId="73A253D1" w14:textId="77777777" w:rsidR="009D1253" w:rsidRDefault="009D1253" w:rsidP="009D1253">
            <w:pPr>
              <w:tabs>
                <w:tab w:val="left" w:pos="6979"/>
                <w:tab w:val="left" w:pos="7548"/>
              </w:tabs>
              <w:ind w:right="176"/>
              <w:jc w:val="both"/>
              <w:rPr>
                <w:rFonts w:ascii="Tahoma" w:hAnsi="Tahoma" w:cs="Tahoma"/>
                <w:sz w:val="18"/>
                <w:szCs w:val="18"/>
              </w:rPr>
            </w:pPr>
          </w:p>
          <w:p w14:paraId="35766965" w14:textId="77777777" w:rsidR="009D1253" w:rsidRDefault="009D1253" w:rsidP="009D1253">
            <w:pPr>
              <w:tabs>
                <w:tab w:val="left" w:pos="6979"/>
                <w:tab w:val="left" w:pos="7548"/>
              </w:tabs>
              <w:ind w:right="176"/>
              <w:jc w:val="both"/>
              <w:rPr>
                <w:rFonts w:ascii="Tahoma" w:hAnsi="Tahoma" w:cs="Tahoma"/>
                <w:sz w:val="18"/>
                <w:szCs w:val="18"/>
              </w:rPr>
            </w:pPr>
          </w:p>
          <w:p w14:paraId="1AB613E5" w14:textId="77777777" w:rsidR="009D1253" w:rsidRDefault="009D1253" w:rsidP="009D1253">
            <w:pPr>
              <w:tabs>
                <w:tab w:val="left" w:pos="6979"/>
                <w:tab w:val="left" w:pos="7548"/>
              </w:tabs>
              <w:ind w:right="176"/>
              <w:jc w:val="both"/>
              <w:rPr>
                <w:rFonts w:ascii="Tahoma" w:hAnsi="Tahoma" w:cs="Tahoma"/>
                <w:sz w:val="18"/>
                <w:szCs w:val="18"/>
              </w:rPr>
            </w:pPr>
          </w:p>
          <w:p w14:paraId="5626079D" w14:textId="77777777" w:rsidR="009D1253" w:rsidRDefault="009D1253" w:rsidP="009D1253">
            <w:pPr>
              <w:tabs>
                <w:tab w:val="left" w:pos="6979"/>
                <w:tab w:val="left" w:pos="7548"/>
              </w:tabs>
              <w:ind w:right="176"/>
              <w:jc w:val="both"/>
              <w:rPr>
                <w:rFonts w:ascii="Tahoma" w:hAnsi="Tahoma" w:cs="Tahoma"/>
                <w:sz w:val="18"/>
                <w:szCs w:val="18"/>
              </w:rPr>
            </w:pPr>
          </w:p>
          <w:p w14:paraId="0BFF008F" w14:textId="77777777" w:rsidR="009D1253" w:rsidRDefault="009D1253" w:rsidP="009D1253">
            <w:pPr>
              <w:tabs>
                <w:tab w:val="left" w:pos="6979"/>
                <w:tab w:val="left" w:pos="7548"/>
              </w:tabs>
              <w:ind w:right="176"/>
              <w:jc w:val="both"/>
              <w:rPr>
                <w:rFonts w:ascii="Tahoma" w:hAnsi="Tahoma" w:cs="Tahoma"/>
                <w:sz w:val="18"/>
                <w:szCs w:val="18"/>
              </w:rPr>
            </w:pPr>
          </w:p>
          <w:p w14:paraId="50C51E5A" w14:textId="77777777" w:rsidR="009D1253" w:rsidRDefault="009D1253" w:rsidP="009D1253">
            <w:pPr>
              <w:tabs>
                <w:tab w:val="left" w:pos="6979"/>
                <w:tab w:val="left" w:pos="7548"/>
              </w:tabs>
              <w:ind w:right="176"/>
              <w:jc w:val="both"/>
              <w:rPr>
                <w:rFonts w:ascii="Tahoma" w:hAnsi="Tahoma" w:cs="Tahoma"/>
                <w:sz w:val="18"/>
                <w:szCs w:val="18"/>
              </w:rPr>
            </w:pPr>
          </w:p>
          <w:p w14:paraId="352A4993" w14:textId="77777777" w:rsidR="009D1253" w:rsidRDefault="009D1253" w:rsidP="009D1253">
            <w:pPr>
              <w:tabs>
                <w:tab w:val="left" w:pos="6979"/>
                <w:tab w:val="left" w:pos="7548"/>
              </w:tabs>
              <w:ind w:right="176"/>
              <w:jc w:val="both"/>
              <w:rPr>
                <w:rFonts w:ascii="Tahoma" w:hAnsi="Tahoma" w:cs="Tahoma"/>
                <w:sz w:val="18"/>
                <w:szCs w:val="18"/>
              </w:rPr>
            </w:pPr>
          </w:p>
          <w:p w14:paraId="32554EF1" w14:textId="77777777" w:rsidR="009D1253" w:rsidRDefault="009D1253" w:rsidP="009D1253">
            <w:pPr>
              <w:tabs>
                <w:tab w:val="left" w:pos="6979"/>
                <w:tab w:val="left" w:pos="7548"/>
              </w:tabs>
              <w:ind w:right="176"/>
              <w:jc w:val="both"/>
              <w:rPr>
                <w:rFonts w:ascii="Tahoma" w:hAnsi="Tahoma" w:cs="Tahoma"/>
                <w:sz w:val="18"/>
                <w:szCs w:val="18"/>
              </w:rPr>
            </w:pPr>
          </w:p>
          <w:p w14:paraId="0DC2326B" w14:textId="77777777" w:rsidR="009D1253" w:rsidRDefault="009D1253" w:rsidP="009D1253">
            <w:pPr>
              <w:tabs>
                <w:tab w:val="left" w:pos="6979"/>
                <w:tab w:val="left" w:pos="7548"/>
              </w:tabs>
              <w:ind w:right="176"/>
              <w:jc w:val="both"/>
              <w:rPr>
                <w:rFonts w:ascii="Tahoma" w:hAnsi="Tahoma" w:cs="Tahoma"/>
                <w:sz w:val="18"/>
                <w:szCs w:val="18"/>
              </w:rPr>
            </w:pPr>
          </w:p>
          <w:p w14:paraId="6E14F58E" w14:textId="77777777" w:rsidR="009D1253" w:rsidRDefault="009D1253" w:rsidP="009D1253">
            <w:pPr>
              <w:tabs>
                <w:tab w:val="left" w:pos="6979"/>
                <w:tab w:val="left" w:pos="7548"/>
              </w:tabs>
              <w:ind w:right="176"/>
              <w:jc w:val="both"/>
              <w:rPr>
                <w:rFonts w:ascii="Tahoma" w:hAnsi="Tahoma" w:cs="Tahoma"/>
                <w:sz w:val="18"/>
                <w:szCs w:val="18"/>
              </w:rPr>
            </w:pPr>
          </w:p>
          <w:p w14:paraId="351D3BC0" w14:textId="77777777" w:rsidR="009D1253" w:rsidRDefault="009D1253" w:rsidP="009D1253">
            <w:pPr>
              <w:tabs>
                <w:tab w:val="left" w:pos="6979"/>
                <w:tab w:val="left" w:pos="7548"/>
              </w:tabs>
              <w:ind w:right="176"/>
              <w:jc w:val="both"/>
              <w:rPr>
                <w:rFonts w:ascii="Tahoma" w:hAnsi="Tahoma" w:cs="Tahoma"/>
                <w:sz w:val="18"/>
                <w:szCs w:val="18"/>
              </w:rPr>
            </w:pPr>
          </w:p>
          <w:p w14:paraId="3D8A15A2" w14:textId="77777777" w:rsidR="009D1253" w:rsidRDefault="009D1253" w:rsidP="009D1253">
            <w:pPr>
              <w:tabs>
                <w:tab w:val="left" w:pos="6979"/>
                <w:tab w:val="left" w:pos="7548"/>
              </w:tabs>
              <w:ind w:right="176"/>
              <w:jc w:val="both"/>
              <w:rPr>
                <w:rFonts w:ascii="Tahoma" w:hAnsi="Tahoma" w:cs="Tahoma"/>
                <w:sz w:val="18"/>
                <w:szCs w:val="18"/>
              </w:rPr>
            </w:pPr>
          </w:p>
          <w:p w14:paraId="756CBC5E" w14:textId="77777777" w:rsidR="009D1253" w:rsidRDefault="009D1253" w:rsidP="009D1253">
            <w:pPr>
              <w:tabs>
                <w:tab w:val="left" w:pos="6979"/>
                <w:tab w:val="left" w:pos="7548"/>
              </w:tabs>
              <w:ind w:right="176"/>
              <w:jc w:val="both"/>
              <w:rPr>
                <w:rFonts w:ascii="Tahoma" w:hAnsi="Tahoma" w:cs="Tahoma"/>
                <w:sz w:val="18"/>
                <w:szCs w:val="18"/>
              </w:rPr>
            </w:pPr>
          </w:p>
          <w:p w14:paraId="67835E27" w14:textId="77777777" w:rsidR="009D1253" w:rsidRDefault="009D1253" w:rsidP="009D1253">
            <w:pPr>
              <w:tabs>
                <w:tab w:val="left" w:pos="6979"/>
                <w:tab w:val="left" w:pos="7548"/>
              </w:tabs>
              <w:ind w:right="176"/>
              <w:jc w:val="both"/>
              <w:rPr>
                <w:rFonts w:ascii="Tahoma" w:hAnsi="Tahoma" w:cs="Tahoma"/>
                <w:sz w:val="18"/>
                <w:szCs w:val="18"/>
              </w:rPr>
            </w:pPr>
          </w:p>
          <w:p w14:paraId="35BFEFAF" w14:textId="77777777" w:rsidR="009D1253" w:rsidRDefault="009D1253" w:rsidP="009D1253">
            <w:pPr>
              <w:tabs>
                <w:tab w:val="left" w:pos="6979"/>
                <w:tab w:val="left" w:pos="7548"/>
              </w:tabs>
              <w:ind w:right="176"/>
              <w:jc w:val="both"/>
              <w:rPr>
                <w:rFonts w:ascii="Tahoma" w:hAnsi="Tahoma" w:cs="Tahoma"/>
                <w:sz w:val="18"/>
                <w:szCs w:val="18"/>
              </w:rPr>
            </w:pPr>
          </w:p>
          <w:p w14:paraId="1F5AED89" w14:textId="77777777" w:rsidR="009D1253" w:rsidRDefault="009D1253" w:rsidP="009D1253">
            <w:pPr>
              <w:tabs>
                <w:tab w:val="left" w:pos="6979"/>
                <w:tab w:val="left" w:pos="7548"/>
              </w:tabs>
              <w:ind w:right="176"/>
              <w:jc w:val="both"/>
              <w:rPr>
                <w:rFonts w:ascii="Tahoma" w:hAnsi="Tahoma" w:cs="Tahoma"/>
                <w:sz w:val="18"/>
                <w:szCs w:val="18"/>
              </w:rPr>
            </w:pPr>
          </w:p>
          <w:p w14:paraId="7E5755E4" w14:textId="77777777" w:rsidR="009D1253" w:rsidRDefault="009D1253" w:rsidP="009D1253">
            <w:pPr>
              <w:tabs>
                <w:tab w:val="left" w:pos="6979"/>
                <w:tab w:val="left" w:pos="7548"/>
              </w:tabs>
              <w:ind w:right="176"/>
              <w:jc w:val="both"/>
              <w:rPr>
                <w:rFonts w:ascii="Tahoma" w:hAnsi="Tahoma" w:cs="Tahoma"/>
                <w:sz w:val="18"/>
                <w:szCs w:val="18"/>
              </w:rPr>
            </w:pPr>
          </w:p>
          <w:p w14:paraId="778703B6" w14:textId="77777777" w:rsidR="009D1253" w:rsidRDefault="009D1253" w:rsidP="009D1253">
            <w:pPr>
              <w:tabs>
                <w:tab w:val="left" w:pos="6979"/>
                <w:tab w:val="left" w:pos="7548"/>
              </w:tabs>
              <w:ind w:right="176"/>
              <w:jc w:val="both"/>
              <w:rPr>
                <w:rFonts w:ascii="Tahoma" w:hAnsi="Tahoma" w:cs="Tahoma"/>
                <w:sz w:val="18"/>
                <w:szCs w:val="18"/>
              </w:rPr>
            </w:pPr>
          </w:p>
          <w:p w14:paraId="11A64EF0" w14:textId="77777777" w:rsidR="009D1253" w:rsidRDefault="009D1253" w:rsidP="009D1253">
            <w:pPr>
              <w:tabs>
                <w:tab w:val="left" w:pos="6979"/>
                <w:tab w:val="left" w:pos="7548"/>
              </w:tabs>
              <w:ind w:right="176"/>
              <w:jc w:val="both"/>
              <w:rPr>
                <w:rFonts w:ascii="Tahoma" w:hAnsi="Tahoma" w:cs="Tahoma"/>
                <w:sz w:val="18"/>
                <w:szCs w:val="18"/>
              </w:rPr>
            </w:pPr>
          </w:p>
          <w:p w14:paraId="342EFD5E" w14:textId="77777777" w:rsidR="009D1253" w:rsidRDefault="009D1253" w:rsidP="009D1253">
            <w:pPr>
              <w:tabs>
                <w:tab w:val="left" w:pos="6979"/>
                <w:tab w:val="left" w:pos="7548"/>
              </w:tabs>
              <w:ind w:right="176"/>
              <w:jc w:val="both"/>
              <w:rPr>
                <w:rFonts w:ascii="Tahoma" w:hAnsi="Tahoma" w:cs="Tahoma"/>
                <w:sz w:val="18"/>
                <w:szCs w:val="18"/>
              </w:rPr>
            </w:pPr>
          </w:p>
          <w:tbl>
            <w:tblPr>
              <w:tblpPr w:leftFromText="180" w:rightFromText="180" w:vertAnchor="page" w:horzAnchor="margin" w:tblpY="1876"/>
              <w:tblOverlap w:val="never"/>
              <w:tblW w:w="9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5"/>
              <w:gridCol w:w="1107"/>
              <w:gridCol w:w="1107"/>
              <w:gridCol w:w="1107"/>
              <w:gridCol w:w="1107"/>
              <w:gridCol w:w="1107"/>
              <w:gridCol w:w="1107"/>
              <w:gridCol w:w="1116"/>
            </w:tblGrid>
            <w:tr w:rsidR="00485CC2" w:rsidRPr="001368AE" w14:paraId="336B51B4" w14:textId="77777777" w:rsidTr="00C22A2B">
              <w:trPr>
                <w:trHeight w:val="182"/>
              </w:trPr>
              <w:tc>
                <w:tcPr>
                  <w:tcW w:w="9933" w:type="dxa"/>
                  <w:gridSpan w:val="8"/>
                </w:tcPr>
                <w:p w14:paraId="393ECA52" w14:textId="77777777" w:rsidR="00485CC2" w:rsidRPr="0079397C" w:rsidRDefault="00485CC2" w:rsidP="00485CC2">
                  <w:pPr>
                    <w:jc w:val="center"/>
                    <w:rPr>
                      <w:rFonts w:ascii="Tahoma" w:hAnsi="Tahoma" w:cs="Tahoma"/>
                      <w:sz w:val="20"/>
                      <w:szCs w:val="20"/>
                    </w:rPr>
                  </w:pPr>
                  <w:r>
                    <w:rPr>
                      <w:rFonts w:ascii="Tahoma" w:hAnsi="Tahoma" w:cs="Tahoma"/>
                      <w:sz w:val="20"/>
                      <w:szCs w:val="20"/>
                      <w:lang w:val="en-US"/>
                    </w:rPr>
                    <w:lastRenderedPageBreak/>
                    <w:t>VGV</w:t>
                  </w:r>
                  <w:r>
                    <w:rPr>
                      <w:rFonts w:ascii="Tahoma" w:hAnsi="Tahoma" w:cs="Tahoma"/>
                      <w:sz w:val="20"/>
                      <w:szCs w:val="20"/>
                    </w:rPr>
                    <w:t>_Локал</w:t>
                  </w:r>
                </w:p>
                <w:p w14:paraId="38E48FBF" w14:textId="77777777" w:rsidR="00485CC2" w:rsidRPr="001368AE" w:rsidRDefault="00485CC2" w:rsidP="00485CC2">
                  <w:pPr>
                    <w:jc w:val="center"/>
                    <w:rPr>
                      <w:rFonts w:ascii="Tahoma" w:hAnsi="Tahoma" w:cs="Tahoma"/>
                      <w:sz w:val="20"/>
                      <w:szCs w:val="20"/>
                    </w:rPr>
                  </w:pPr>
                  <w:r>
                    <w:rPr>
                      <w:rFonts w:ascii="Tahoma" w:hAnsi="Tahoma" w:cs="Tahoma"/>
                      <w:color w:val="000000"/>
                      <w:sz w:val="20"/>
                      <w:szCs w:val="20"/>
                    </w:rPr>
                    <w:t>(</w:t>
                  </w:r>
                  <w:r w:rsidRPr="005A07E7">
                    <w:rPr>
                      <w:rFonts w:ascii="Tahoma" w:hAnsi="Tahoma" w:cs="Tahoma"/>
                      <w:color w:val="000000"/>
                      <w:sz w:val="20"/>
                      <w:szCs w:val="20"/>
                    </w:rPr>
                    <w:t xml:space="preserve"> при отказе от заключения или досрочном** прекращении договора </w:t>
                  </w:r>
                  <w:r>
                    <w:rPr>
                      <w:rFonts w:ascii="Tahoma" w:hAnsi="Tahoma" w:cs="Tahoma"/>
                      <w:color w:val="000000"/>
                      <w:sz w:val="20"/>
                      <w:szCs w:val="20"/>
                    </w:rPr>
                    <w:t>личного страхования*)</w:t>
                  </w:r>
                </w:p>
              </w:tc>
            </w:tr>
            <w:tr w:rsidR="00485CC2" w:rsidRPr="001368AE" w14:paraId="37E1DCB4" w14:textId="77777777" w:rsidTr="00C22A2B">
              <w:trPr>
                <w:trHeight w:val="303"/>
              </w:trPr>
              <w:tc>
                <w:tcPr>
                  <w:tcW w:w="2175"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372A2C86"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Первоначальный взнос\Срок</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7FAEB1E"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13 мес</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01AC0F5"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24 мес</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D692F6D"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36 мес</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74D39D3"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48 мес</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8B0033C"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60 мес</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378D562"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72 мес</w:t>
                  </w:r>
                </w:p>
              </w:tc>
              <w:tc>
                <w:tcPr>
                  <w:tcW w:w="11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D9F0078" w14:textId="77777777" w:rsidR="00485CC2" w:rsidRPr="001368AE" w:rsidRDefault="00485CC2" w:rsidP="00485CC2">
                  <w:pPr>
                    <w:jc w:val="center"/>
                    <w:rPr>
                      <w:rFonts w:ascii="Tahoma" w:hAnsi="Tahoma" w:cs="Tahoma"/>
                      <w:sz w:val="20"/>
                      <w:szCs w:val="20"/>
                    </w:rPr>
                  </w:pPr>
                  <w:r w:rsidRPr="001368AE">
                    <w:rPr>
                      <w:rFonts w:ascii="Tahoma" w:hAnsi="Tahoma" w:cs="Tahoma"/>
                      <w:sz w:val="20"/>
                      <w:szCs w:val="20"/>
                    </w:rPr>
                    <w:t>84 мес</w:t>
                  </w:r>
                </w:p>
              </w:tc>
            </w:tr>
            <w:tr w:rsidR="00485CC2" w:rsidRPr="001368AE" w14:paraId="02272865" w14:textId="77777777" w:rsidTr="00C22A2B">
              <w:trPr>
                <w:trHeight w:val="275"/>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6EDCA873"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2237336C" w14:textId="77777777" w:rsidR="00485CC2" w:rsidRDefault="00485CC2" w:rsidP="00485CC2">
                  <w:pPr>
                    <w:jc w:val="right"/>
                    <w:rPr>
                      <w:rFonts w:ascii="Tahoma" w:hAnsi="Tahoma" w:cs="Tahoma"/>
                      <w:sz w:val="20"/>
                      <w:szCs w:val="20"/>
                    </w:rPr>
                  </w:pPr>
                  <w:r>
                    <w:rPr>
                      <w:rFonts w:ascii="Tahoma" w:hAnsi="Tahoma" w:cs="Tahoma"/>
                      <w:sz w:val="20"/>
                      <w:szCs w:val="20"/>
                    </w:rPr>
                    <w:t>22.0%</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3ABC8296" w14:textId="77777777" w:rsidR="00485CC2" w:rsidRDefault="00485CC2" w:rsidP="00485CC2">
                  <w:pPr>
                    <w:jc w:val="right"/>
                    <w:rPr>
                      <w:rFonts w:ascii="Tahoma" w:hAnsi="Tahoma" w:cs="Tahoma"/>
                      <w:sz w:val="20"/>
                      <w:szCs w:val="20"/>
                    </w:rPr>
                  </w:pPr>
                  <w:r>
                    <w:rPr>
                      <w:rFonts w:ascii="Tahoma" w:hAnsi="Tahoma" w:cs="Tahoma"/>
                      <w:sz w:val="20"/>
                      <w:szCs w:val="20"/>
                    </w:rPr>
                    <w:t>22.0%</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CEA91DA" w14:textId="77777777" w:rsidR="00485CC2" w:rsidRDefault="00485CC2" w:rsidP="00485CC2">
                  <w:pPr>
                    <w:jc w:val="right"/>
                    <w:rPr>
                      <w:rFonts w:ascii="Tahoma" w:hAnsi="Tahoma" w:cs="Tahoma"/>
                      <w:sz w:val="20"/>
                      <w:szCs w:val="20"/>
                    </w:rPr>
                  </w:pPr>
                  <w:r>
                    <w:rPr>
                      <w:rFonts w:ascii="Tahoma" w:hAnsi="Tahoma" w:cs="Tahoma"/>
                      <w:sz w:val="20"/>
                      <w:szCs w:val="20"/>
                    </w:rPr>
                    <w:t>22.0%</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DEA3E78" w14:textId="77777777" w:rsidR="00485CC2" w:rsidRDefault="00485CC2" w:rsidP="00485CC2">
                  <w:pPr>
                    <w:jc w:val="right"/>
                    <w:rPr>
                      <w:rFonts w:ascii="Tahoma" w:hAnsi="Tahoma" w:cs="Tahoma"/>
                      <w:sz w:val="20"/>
                      <w:szCs w:val="20"/>
                    </w:rPr>
                  </w:pPr>
                  <w:r>
                    <w:rPr>
                      <w:rFonts w:ascii="Tahoma" w:hAnsi="Tahoma" w:cs="Tahoma"/>
                      <w:sz w:val="20"/>
                      <w:szCs w:val="20"/>
                    </w:rPr>
                    <w:t>22.0%</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E6B7F8D" w14:textId="77777777" w:rsidR="00485CC2" w:rsidRDefault="00485CC2" w:rsidP="00485CC2">
                  <w:pPr>
                    <w:jc w:val="right"/>
                    <w:rPr>
                      <w:rFonts w:ascii="Tahoma" w:hAnsi="Tahoma" w:cs="Tahoma"/>
                      <w:sz w:val="20"/>
                      <w:szCs w:val="20"/>
                    </w:rPr>
                  </w:pPr>
                  <w:r>
                    <w:rPr>
                      <w:rFonts w:ascii="Tahoma" w:hAnsi="Tahoma" w:cs="Tahoma"/>
                      <w:sz w:val="20"/>
                      <w:szCs w:val="20"/>
                    </w:rPr>
                    <w:t>22.0%</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D0904BD" w14:textId="77777777" w:rsidR="00485CC2" w:rsidRDefault="00485CC2" w:rsidP="00485CC2">
                  <w:pPr>
                    <w:jc w:val="right"/>
                    <w:rPr>
                      <w:rFonts w:ascii="Tahoma" w:hAnsi="Tahoma" w:cs="Tahoma"/>
                      <w:sz w:val="20"/>
                      <w:szCs w:val="20"/>
                      <w:lang w:val="en-US"/>
                    </w:rPr>
                  </w:pPr>
                  <w:r>
                    <w:rPr>
                      <w:rFonts w:ascii="Tahoma" w:hAnsi="Tahoma" w:cs="Tahoma"/>
                      <w:sz w:val="20"/>
                      <w:szCs w:val="20"/>
                    </w:rPr>
                    <w:t>22.4%</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7E078931" w14:textId="77777777" w:rsidR="00485CC2" w:rsidRDefault="00485CC2" w:rsidP="00485CC2">
                  <w:pPr>
                    <w:jc w:val="right"/>
                    <w:rPr>
                      <w:rFonts w:ascii="Tahoma" w:hAnsi="Tahoma" w:cs="Tahoma"/>
                      <w:sz w:val="20"/>
                      <w:szCs w:val="20"/>
                      <w:lang w:val="en-US"/>
                    </w:rPr>
                  </w:pPr>
                  <w:r>
                    <w:rPr>
                      <w:rFonts w:ascii="Tahoma" w:hAnsi="Tahoma" w:cs="Tahoma"/>
                      <w:sz w:val="20"/>
                      <w:szCs w:val="20"/>
                    </w:rPr>
                    <w:t>22.4%</w:t>
                  </w:r>
                </w:p>
              </w:tc>
            </w:tr>
            <w:tr w:rsidR="00485CC2" w:rsidRPr="001368AE" w14:paraId="29FBD3A5" w14:textId="77777777" w:rsidTr="00C22A2B">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33456D74"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10%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0984CEEB" w14:textId="77777777" w:rsidR="00485CC2" w:rsidRDefault="00485CC2" w:rsidP="00485CC2">
                  <w:pPr>
                    <w:jc w:val="right"/>
                    <w:rPr>
                      <w:rFonts w:ascii="Tahoma" w:hAnsi="Tahoma" w:cs="Tahoma"/>
                      <w:sz w:val="20"/>
                      <w:szCs w:val="20"/>
                    </w:rPr>
                  </w:pPr>
                  <w:r>
                    <w:rPr>
                      <w:rFonts w:ascii="Tahoma" w:hAnsi="Tahoma" w:cs="Tahoma"/>
                      <w:sz w:val="20"/>
                      <w:szCs w:val="20"/>
                    </w:rPr>
                    <w:t>20.8%</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4702B455" w14:textId="77777777" w:rsidR="00485CC2" w:rsidRDefault="00485CC2" w:rsidP="00485CC2">
                  <w:pPr>
                    <w:jc w:val="right"/>
                    <w:rPr>
                      <w:rFonts w:ascii="Tahoma" w:hAnsi="Tahoma" w:cs="Tahoma"/>
                      <w:sz w:val="20"/>
                      <w:szCs w:val="20"/>
                    </w:rPr>
                  </w:pPr>
                  <w:r>
                    <w:rPr>
                      <w:rFonts w:ascii="Tahoma" w:hAnsi="Tahoma" w:cs="Tahoma"/>
                      <w:sz w:val="20"/>
                      <w:szCs w:val="20"/>
                    </w:rPr>
                    <w:t>21.0%</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4DCD0C1A" w14:textId="77777777" w:rsidR="00485CC2" w:rsidRDefault="00485CC2" w:rsidP="00485CC2">
                  <w:pPr>
                    <w:jc w:val="right"/>
                    <w:rPr>
                      <w:rFonts w:ascii="Tahoma" w:hAnsi="Tahoma" w:cs="Tahoma"/>
                      <w:sz w:val="20"/>
                      <w:szCs w:val="20"/>
                    </w:rPr>
                  </w:pPr>
                  <w:r>
                    <w:rPr>
                      <w:rFonts w:ascii="Tahoma" w:hAnsi="Tahoma" w:cs="Tahoma"/>
                      <w:sz w:val="20"/>
                      <w:szCs w:val="20"/>
                    </w:rPr>
                    <w:t>21.2%</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4E561883" w14:textId="77777777" w:rsidR="00485CC2" w:rsidRDefault="00485CC2" w:rsidP="00485CC2">
                  <w:pPr>
                    <w:jc w:val="right"/>
                    <w:rPr>
                      <w:rFonts w:ascii="Tahoma" w:hAnsi="Tahoma" w:cs="Tahoma"/>
                      <w:sz w:val="20"/>
                      <w:szCs w:val="20"/>
                    </w:rPr>
                  </w:pPr>
                  <w:r>
                    <w:rPr>
                      <w:rFonts w:ascii="Tahoma" w:hAnsi="Tahoma" w:cs="Tahoma"/>
                      <w:sz w:val="20"/>
                      <w:szCs w:val="20"/>
                    </w:rPr>
                    <w:t>21.2%</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7F735FA" w14:textId="77777777" w:rsidR="00485CC2" w:rsidRDefault="00485CC2" w:rsidP="00485CC2">
                  <w:pPr>
                    <w:jc w:val="right"/>
                    <w:rPr>
                      <w:rFonts w:ascii="Tahoma" w:hAnsi="Tahoma" w:cs="Tahoma"/>
                      <w:sz w:val="20"/>
                      <w:szCs w:val="20"/>
                    </w:rPr>
                  </w:pPr>
                  <w:r>
                    <w:rPr>
                      <w:rFonts w:ascii="Tahoma" w:hAnsi="Tahoma" w:cs="Tahoma"/>
                      <w:sz w:val="20"/>
                      <w:szCs w:val="20"/>
                    </w:rPr>
                    <w:t>21.6%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41DE903C" w14:textId="77777777" w:rsidR="00485CC2" w:rsidRDefault="00485CC2" w:rsidP="00485CC2">
                  <w:pPr>
                    <w:jc w:val="right"/>
                    <w:rPr>
                      <w:rFonts w:ascii="Tahoma" w:hAnsi="Tahoma" w:cs="Tahoma"/>
                      <w:sz w:val="20"/>
                      <w:szCs w:val="20"/>
                    </w:rPr>
                  </w:pPr>
                  <w:r>
                    <w:rPr>
                      <w:rFonts w:ascii="Tahoma" w:hAnsi="Tahoma" w:cs="Tahoma"/>
                      <w:sz w:val="20"/>
                      <w:szCs w:val="20"/>
                    </w:rPr>
                    <w:t>21.8%</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12503487" w14:textId="77777777" w:rsidR="00485CC2" w:rsidRDefault="00485CC2" w:rsidP="00485CC2">
                  <w:pPr>
                    <w:jc w:val="right"/>
                    <w:rPr>
                      <w:rFonts w:ascii="Tahoma" w:hAnsi="Tahoma" w:cs="Tahoma"/>
                      <w:sz w:val="20"/>
                      <w:szCs w:val="20"/>
                    </w:rPr>
                  </w:pPr>
                  <w:r>
                    <w:rPr>
                      <w:rFonts w:ascii="Tahoma" w:hAnsi="Tahoma" w:cs="Tahoma"/>
                      <w:sz w:val="20"/>
                      <w:szCs w:val="20"/>
                    </w:rPr>
                    <w:t>22.2%</w:t>
                  </w:r>
                </w:p>
              </w:tc>
            </w:tr>
            <w:tr w:rsidR="00485CC2" w:rsidRPr="001368AE" w14:paraId="596DF2B1" w14:textId="77777777" w:rsidTr="00C22A2B">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3CF3280D"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20%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57543CA9" w14:textId="77777777" w:rsidR="00485CC2" w:rsidRDefault="00485CC2" w:rsidP="00485CC2">
                  <w:pPr>
                    <w:jc w:val="right"/>
                    <w:rPr>
                      <w:rFonts w:ascii="Tahoma" w:hAnsi="Tahoma" w:cs="Tahoma"/>
                      <w:sz w:val="20"/>
                      <w:szCs w:val="20"/>
                    </w:rPr>
                  </w:pPr>
                  <w:r>
                    <w:rPr>
                      <w:rFonts w:ascii="Tahoma" w:hAnsi="Tahoma" w:cs="Tahoma"/>
                      <w:sz w:val="20"/>
                      <w:szCs w:val="20"/>
                    </w:rPr>
                    <w:t>19.6%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5A7F33D" w14:textId="77777777" w:rsidR="00485CC2" w:rsidRDefault="00485CC2" w:rsidP="00485CC2">
                  <w:pPr>
                    <w:jc w:val="right"/>
                    <w:rPr>
                      <w:rFonts w:ascii="Tahoma" w:hAnsi="Tahoma" w:cs="Tahoma"/>
                      <w:sz w:val="20"/>
                      <w:szCs w:val="20"/>
                    </w:rPr>
                  </w:pPr>
                  <w:r>
                    <w:rPr>
                      <w:rFonts w:ascii="Tahoma" w:hAnsi="Tahoma" w:cs="Tahoma"/>
                      <w:sz w:val="20"/>
                      <w:szCs w:val="20"/>
                    </w:rPr>
                    <w:t>20.4%</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272B4ED1" w14:textId="77777777" w:rsidR="00485CC2" w:rsidRDefault="00485CC2" w:rsidP="00485CC2">
                  <w:pPr>
                    <w:jc w:val="right"/>
                    <w:rPr>
                      <w:rFonts w:ascii="Tahoma" w:hAnsi="Tahoma" w:cs="Tahoma"/>
                      <w:sz w:val="20"/>
                      <w:szCs w:val="20"/>
                    </w:rPr>
                  </w:pPr>
                  <w:r>
                    <w:rPr>
                      <w:rFonts w:ascii="Tahoma" w:hAnsi="Tahoma" w:cs="Tahoma"/>
                      <w:sz w:val="20"/>
                      <w:szCs w:val="20"/>
                    </w:rPr>
                    <w:t>20.6%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437B71BB" w14:textId="77777777" w:rsidR="00485CC2" w:rsidRDefault="00485CC2" w:rsidP="00485CC2">
                  <w:pPr>
                    <w:jc w:val="right"/>
                    <w:rPr>
                      <w:rFonts w:ascii="Tahoma" w:hAnsi="Tahoma" w:cs="Tahoma"/>
                      <w:sz w:val="20"/>
                      <w:szCs w:val="20"/>
                    </w:rPr>
                  </w:pPr>
                  <w:r>
                    <w:rPr>
                      <w:rFonts w:ascii="Tahoma" w:hAnsi="Tahoma" w:cs="Tahoma"/>
                      <w:sz w:val="20"/>
                      <w:szCs w:val="20"/>
                    </w:rPr>
                    <w:t>20.6%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1C6E98C" w14:textId="77777777" w:rsidR="00485CC2" w:rsidRDefault="00485CC2" w:rsidP="00485CC2">
                  <w:pPr>
                    <w:jc w:val="right"/>
                    <w:rPr>
                      <w:rFonts w:ascii="Tahoma" w:hAnsi="Tahoma" w:cs="Tahoma"/>
                      <w:sz w:val="20"/>
                      <w:szCs w:val="20"/>
                      <w:lang w:val="en-US"/>
                    </w:rPr>
                  </w:pPr>
                  <w:r>
                    <w:rPr>
                      <w:rFonts w:ascii="Tahoma" w:hAnsi="Tahoma" w:cs="Tahoma"/>
                      <w:sz w:val="20"/>
                      <w:szCs w:val="20"/>
                    </w:rPr>
                    <w:t>20.8%</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6FA9F29" w14:textId="77777777" w:rsidR="00485CC2" w:rsidRDefault="00485CC2" w:rsidP="00485CC2">
                  <w:pPr>
                    <w:jc w:val="right"/>
                    <w:rPr>
                      <w:rFonts w:ascii="Tahoma" w:hAnsi="Tahoma" w:cs="Tahoma"/>
                      <w:sz w:val="20"/>
                      <w:szCs w:val="20"/>
                      <w:lang w:val="en-US"/>
                    </w:rPr>
                  </w:pPr>
                  <w:r>
                    <w:rPr>
                      <w:rFonts w:ascii="Tahoma" w:hAnsi="Tahoma" w:cs="Tahoma"/>
                      <w:sz w:val="20"/>
                      <w:szCs w:val="20"/>
                    </w:rPr>
                    <w:t>21.0%</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07B8D91D" w14:textId="77777777" w:rsidR="00485CC2" w:rsidRDefault="00485CC2" w:rsidP="00485CC2">
                  <w:pPr>
                    <w:jc w:val="right"/>
                    <w:rPr>
                      <w:rFonts w:ascii="Tahoma" w:hAnsi="Tahoma" w:cs="Tahoma"/>
                      <w:sz w:val="20"/>
                      <w:szCs w:val="20"/>
                      <w:lang w:val="en-US"/>
                    </w:rPr>
                  </w:pPr>
                  <w:r>
                    <w:rPr>
                      <w:rFonts w:ascii="Tahoma" w:hAnsi="Tahoma" w:cs="Tahoma"/>
                      <w:sz w:val="20"/>
                      <w:szCs w:val="20"/>
                    </w:rPr>
                    <w:t>21.0%</w:t>
                  </w:r>
                </w:p>
              </w:tc>
            </w:tr>
            <w:tr w:rsidR="00485CC2" w:rsidRPr="001368AE" w14:paraId="3D607B57" w14:textId="77777777" w:rsidTr="00C22A2B">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6A04633D"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30%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45600D6D" w14:textId="77777777" w:rsidR="00485CC2" w:rsidRDefault="00485CC2" w:rsidP="00485CC2">
                  <w:pPr>
                    <w:jc w:val="right"/>
                    <w:rPr>
                      <w:rFonts w:ascii="Tahoma" w:hAnsi="Tahoma" w:cs="Tahoma"/>
                      <w:sz w:val="20"/>
                      <w:szCs w:val="20"/>
                    </w:rPr>
                  </w:pPr>
                  <w:r>
                    <w:rPr>
                      <w:rFonts w:ascii="Tahoma" w:hAnsi="Tahoma" w:cs="Tahoma"/>
                      <w:sz w:val="20"/>
                      <w:szCs w:val="20"/>
                    </w:rPr>
                    <w:t>18.2%</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0EFE884" w14:textId="77777777" w:rsidR="00485CC2" w:rsidRDefault="00485CC2" w:rsidP="00485CC2">
                  <w:pPr>
                    <w:jc w:val="right"/>
                    <w:rPr>
                      <w:rFonts w:ascii="Tahoma" w:hAnsi="Tahoma" w:cs="Tahoma"/>
                      <w:sz w:val="20"/>
                      <w:szCs w:val="20"/>
                    </w:rPr>
                  </w:pPr>
                  <w:r>
                    <w:rPr>
                      <w:rFonts w:ascii="Tahoma" w:hAnsi="Tahoma" w:cs="Tahoma"/>
                      <w:sz w:val="20"/>
                      <w:szCs w:val="20"/>
                    </w:rPr>
                    <w:t>19.4%</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EB7C23A" w14:textId="77777777" w:rsidR="00485CC2" w:rsidRDefault="00485CC2" w:rsidP="00485CC2">
                  <w:pPr>
                    <w:jc w:val="right"/>
                    <w:rPr>
                      <w:rFonts w:ascii="Tahoma" w:hAnsi="Tahoma" w:cs="Tahoma"/>
                      <w:sz w:val="20"/>
                      <w:szCs w:val="20"/>
                    </w:rPr>
                  </w:pPr>
                  <w:r>
                    <w:rPr>
                      <w:rFonts w:ascii="Tahoma" w:hAnsi="Tahoma" w:cs="Tahoma"/>
                      <w:sz w:val="20"/>
                      <w:szCs w:val="20"/>
                    </w:rPr>
                    <w:t>19.6%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4AA326B4" w14:textId="77777777" w:rsidR="00485CC2" w:rsidRDefault="00485CC2" w:rsidP="00485CC2">
                  <w:pPr>
                    <w:jc w:val="right"/>
                    <w:rPr>
                      <w:rFonts w:ascii="Tahoma" w:hAnsi="Tahoma" w:cs="Tahoma"/>
                      <w:sz w:val="20"/>
                      <w:szCs w:val="20"/>
                    </w:rPr>
                  </w:pPr>
                  <w:r>
                    <w:rPr>
                      <w:rFonts w:ascii="Tahoma" w:hAnsi="Tahoma" w:cs="Tahoma"/>
                      <w:sz w:val="20"/>
                      <w:szCs w:val="20"/>
                    </w:rPr>
                    <w:t>19.6%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01095FD" w14:textId="77777777" w:rsidR="00485CC2" w:rsidRDefault="00485CC2" w:rsidP="00485CC2">
                  <w:pPr>
                    <w:jc w:val="right"/>
                    <w:rPr>
                      <w:rFonts w:ascii="Tahoma" w:hAnsi="Tahoma" w:cs="Tahoma"/>
                      <w:sz w:val="20"/>
                      <w:szCs w:val="20"/>
                    </w:rPr>
                  </w:pPr>
                  <w:r>
                    <w:rPr>
                      <w:rFonts w:ascii="Tahoma" w:hAnsi="Tahoma" w:cs="Tahoma"/>
                      <w:sz w:val="20"/>
                      <w:szCs w:val="20"/>
                    </w:rPr>
                    <w:t>20.2%</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4756F981" w14:textId="77777777" w:rsidR="00485CC2" w:rsidRDefault="00485CC2" w:rsidP="00485CC2">
                  <w:pPr>
                    <w:jc w:val="right"/>
                    <w:rPr>
                      <w:rFonts w:ascii="Tahoma" w:hAnsi="Tahoma" w:cs="Tahoma"/>
                      <w:sz w:val="20"/>
                      <w:szCs w:val="20"/>
                      <w:lang w:val="en-US"/>
                    </w:rPr>
                  </w:pPr>
                  <w:r>
                    <w:rPr>
                      <w:rFonts w:ascii="Tahoma" w:hAnsi="Tahoma" w:cs="Tahoma"/>
                      <w:sz w:val="20"/>
                      <w:szCs w:val="20"/>
                    </w:rPr>
                    <w:t>20.4%</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6EAEA799" w14:textId="77777777" w:rsidR="00485CC2" w:rsidRDefault="00485CC2" w:rsidP="00485CC2">
                  <w:pPr>
                    <w:jc w:val="right"/>
                    <w:rPr>
                      <w:rFonts w:ascii="Tahoma" w:hAnsi="Tahoma" w:cs="Tahoma"/>
                      <w:sz w:val="20"/>
                      <w:szCs w:val="20"/>
                      <w:lang w:val="en-US"/>
                    </w:rPr>
                  </w:pPr>
                  <w:r>
                    <w:rPr>
                      <w:rFonts w:ascii="Tahoma" w:hAnsi="Tahoma" w:cs="Tahoma"/>
                      <w:sz w:val="20"/>
                      <w:szCs w:val="20"/>
                    </w:rPr>
                    <w:t>20.6%</w:t>
                  </w:r>
                </w:p>
              </w:tc>
            </w:tr>
            <w:tr w:rsidR="00485CC2" w:rsidRPr="001368AE" w14:paraId="56166E7C" w14:textId="77777777" w:rsidTr="00C22A2B">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39687BAB"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40%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785D1866" w14:textId="77777777" w:rsidR="00485CC2" w:rsidRDefault="00485CC2" w:rsidP="00485CC2">
                  <w:pPr>
                    <w:jc w:val="right"/>
                    <w:rPr>
                      <w:rFonts w:ascii="Tahoma" w:hAnsi="Tahoma" w:cs="Tahoma"/>
                      <w:sz w:val="20"/>
                      <w:szCs w:val="20"/>
                    </w:rPr>
                  </w:pPr>
                  <w:r>
                    <w:rPr>
                      <w:rFonts w:ascii="Tahoma" w:hAnsi="Tahoma" w:cs="Tahoma"/>
                      <w:sz w:val="20"/>
                      <w:szCs w:val="20"/>
                    </w:rPr>
                    <w:t>16.6%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267DF39F" w14:textId="77777777" w:rsidR="00485CC2" w:rsidRDefault="00485CC2" w:rsidP="00485CC2">
                  <w:pPr>
                    <w:jc w:val="right"/>
                    <w:rPr>
                      <w:rFonts w:ascii="Tahoma" w:hAnsi="Tahoma" w:cs="Tahoma"/>
                      <w:sz w:val="20"/>
                      <w:szCs w:val="20"/>
                    </w:rPr>
                  </w:pPr>
                  <w:r>
                    <w:rPr>
                      <w:rFonts w:ascii="Tahoma" w:hAnsi="Tahoma" w:cs="Tahoma"/>
                      <w:sz w:val="20"/>
                      <w:szCs w:val="20"/>
                    </w:rPr>
                    <w:t>18.4%</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48F7EA43" w14:textId="77777777" w:rsidR="00485CC2" w:rsidRDefault="00485CC2" w:rsidP="00485CC2">
                  <w:pPr>
                    <w:jc w:val="right"/>
                    <w:rPr>
                      <w:rFonts w:ascii="Tahoma" w:hAnsi="Tahoma" w:cs="Tahoma"/>
                      <w:sz w:val="20"/>
                      <w:szCs w:val="20"/>
                    </w:rPr>
                  </w:pPr>
                  <w:r>
                    <w:rPr>
                      <w:rFonts w:ascii="Tahoma" w:hAnsi="Tahoma" w:cs="Tahoma"/>
                      <w:sz w:val="20"/>
                      <w:szCs w:val="20"/>
                    </w:rPr>
                    <w:t>18.8%</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9E2DB76" w14:textId="77777777" w:rsidR="00485CC2" w:rsidRDefault="00485CC2" w:rsidP="00485CC2">
                  <w:pPr>
                    <w:jc w:val="right"/>
                    <w:rPr>
                      <w:rFonts w:ascii="Tahoma" w:hAnsi="Tahoma" w:cs="Tahoma"/>
                      <w:sz w:val="20"/>
                      <w:szCs w:val="20"/>
                    </w:rPr>
                  </w:pPr>
                  <w:r>
                    <w:rPr>
                      <w:rFonts w:ascii="Tahoma" w:hAnsi="Tahoma" w:cs="Tahoma"/>
                      <w:sz w:val="20"/>
                      <w:szCs w:val="20"/>
                    </w:rPr>
                    <w:t>18.8%</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3F0A36E0" w14:textId="77777777" w:rsidR="00485CC2" w:rsidRDefault="00485CC2" w:rsidP="00485CC2">
                  <w:pPr>
                    <w:jc w:val="right"/>
                    <w:rPr>
                      <w:rFonts w:ascii="Tahoma" w:hAnsi="Tahoma" w:cs="Tahoma"/>
                      <w:sz w:val="20"/>
                      <w:szCs w:val="20"/>
                    </w:rPr>
                  </w:pPr>
                  <w:r>
                    <w:rPr>
                      <w:rFonts w:ascii="Tahoma" w:hAnsi="Tahoma" w:cs="Tahoma"/>
                      <w:sz w:val="20"/>
                      <w:szCs w:val="20"/>
                    </w:rPr>
                    <w:t>19.2%</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5E816A1" w14:textId="77777777" w:rsidR="00485CC2" w:rsidRDefault="00485CC2" w:rsidP="00485CC2">
                  <w:pPr>
                    <w:jc w:val="right"/>
                    <w:rPr>
                      <w:rFonts w:ascii="Tahoma" w:hAnsi="Tahoma" w:cs="Tahoma"/>
                      <w:sz w:val="20"/>
                      <w:szCs w:val="20"/>
                    </w:rPr>
                  </w:pPr>
                  <w:r>
                    <w:rPr>
                      <w:rFonts w:ascii="Tahoma" w:hAnsi="Tahoma" w:cs="Tahoma"/>
                      <w:sz w:val="20"/>
                      <w:szCs w:val="20"/>
                    </w:rPr>
                    <w:t>19.6%</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33B8DD81" w14:textId="77777777" w:rsidR="00485CC2" w:rsidRDefault="00485CC2" w:rsidP="00485CC2">
                  <w:pPr>
                    <w:jc w:val="right"/>
                    <w:rPr>
                      <w:rFonts w:ascii="Tahoma" w:hAnsi="Tahoma" w:cs="Tahoma"/>
                      <w:sz w:val="20"/>
                      <w:szCs w:val="20"/>
                    </w:rPr>
                  </w:pPr>
                  <w:r>
                    <w:rPr>
                      <w:rFonts w:ascii="Tahoma" w:hAnsi="Tahoma" w:cs="Tahoma"/>
                      <w:sz w:val="20"/>
                      <w:szCs w:val="20"/>
                    </w:rPr>
                    <w:t>19.8%</w:t>
                  </w:r>
                </w:p>
              </w:tc>
            </w:tr>
            <w:tr w:rsidR="00485CC2" w:rsidRPr="001368AE" w14:paraId="5696B95E" w14:textId="77777777" w:rsidTr="00C22A2B">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359975F8"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50%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5B4F8CA6" w14:textId="77777777" w:rsidR="00485CC2" w:rsidRDefault="00485CC2" w:rsidP="00485CC2">
                  <w:pPr>
                    <w:jc w:val="right"/>
                    <w:rPr>
                      <w:rFonts w:ascii="Tahoma" w:hAnsi="Tahoma" w:cs="Tahoma"/>
                      <w:sz w:val="20"/>
                      <w:szCs w:val="20"/>
                    </w:rPr>
                  </w:pPr>
                  <w:r>
                    <w:rPr>
                      <w:rFonts w:ascii="Tahoma" w:hAnsi="Tahoma" w:cs="Tahoma"/>
                      <w:sz w:val="20"/>
                      <w:szCs w:val="20"/>
                    </w:rPr>
                    <w:t>14.6%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5D3A92E" w14:textId="77777777" w:rsidR="00485CC2" w:rsidRDefault="00485CC2" w:rsidP="00485CC2">
                  <w:pPr>
                    <w:jc w:val="right"/>
                    <w:rPr>
                      <w:rFonts w:ascii="Tahoma" w:hAnsi="Tahoma" w:cs="Tahoma"/>
                      <w:sz w:val="20"/>
                      <w:szCs w:val="20"/>
                    </w:rPr>
                  </w:pPr>
                  <w:r>
                    <w:rPr>
                      <w:rFonts w:ascii="Tahoma" w:hAnsi="Tahoma" w:cs="Tahoma"/>
                      <w:sz w:val="20"/>
                      <w:szCs w:val="20"/>
                    </w:rPr>
                    <w:t>17.2%</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40DFA43" w14:textId="77777777" w:rsidR="00485CC2" w:rsidRDefault="00485CC2" w:rsidP="00485CC2">
                  <w:pPr>
                    <w:jc w:val="right"/>
                    <w:rPr>
                      <w:rFonts w:ascii="Tahoma" w:hAnsi="Tahoma" w:cs="Tahoma"/>
                      <w:sz w:val="20"/>
                      <w:szCs w:val="20"/>
                    </w:rPr>
                  </w:pPr>
                  <w:r>
                    <w:rPr>
                      <w:rFonts w:ascii="Tahoma" w:hAnsi="Tahoma" w:cs="Tahoma"/>
                      <w:sz w:val="20"/>
                      <w:szCs w:val="20"/>
                    </w:rPr>
                    <w:t>17.8%</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746D127" w14:textId="77777777" w:rsidR="00485CC2" w:rsidRDefault="00485CC2" w:rsidP="00485CC2">
                  <w:pPr>
                    <w:jc w:val="right"/>
                    <w:rPr>
                      <w:rFonts w:ascii="Tahoma" w:hAnsi="Tahoma" w:cs="Tahoma"/>
                      <w:sz w:val="20"/>
                      <w:szCs w:val="20"/>
                    </w:rPr>
                  </w:pPr>
                  <w:r>
                    <w:rPr>
                      <w:rFonts w:ascii="Tahoma" w:hAnsi="Tahoma" w:cs="Tahoma"/>
                      <w:sz w:val="20"/>
                      <w:szCs w:val="20"/>
                    </w:rPr>
                    <w:t>17.8%</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2D2A5E6" w14:textId="77777777" w:rsidR="00485CC2" w:rsidRDefault="00485CC2" w:rsidP="00485CC2">
                  <w:pPr>
                    <w:jc w:val="right"/>
                    <w:rPr>
                      <w:rFonts w:ascii="Tahoma" w:hAnsi="Tahoma" w:cs="Tahoma"/>
                      <w:sz w:val="20"/>
                      <w:szCs w:val="20"/>
                    </w:rPr>
                  </w:pPr>
                  <w:r>
                    <w:rPr>
                      <w:rFonts w:ascii="Tahoma" w:hAnsi="Tahoma" w:cs="Tahoma"/>
                      <w:sz w:val="20"/>
                      <w:szCs w:val="20"/>
                    </w:rPr>
                    <w:t>18.4%</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633557F" w14:textId="77777777" w:rsidR="00485CC2" w:rsidRDefault="00485CC2" w:rsidP="00485CC2">
                  <w:pPr>
                    <w:jc w:val="right"/>
                    <w:rPr>
                      <w:rFonts w:ascii="Tahoma" w:hAnsi="Tahoma" w:cs="Tahoma"/>
                      <w:sz w:val="20"/>
                      <w:szCs w:val="20"/>
                    </w:rPr>
                  </w:pPr>
                  <w:r>
                    <w:rPr>
                      <w:rFonts w:ascii="Tahoma" w:hAnsi="Tahoma" w:cs="Tahoma"/>
                      <w:sz w:val="20"/>
                      <w:szCs w:val="20"/>
                    </w:rPr>
                    <w:t>19.0%</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2A63ED63" w14:textId="77777777" w:rsidR="00485CC2" w:rsidRDefault="00485CC2" w:rsidP="00485CC2">
                  <w:pPr>
                    <w:jc w:val="right"/>
                    <w:rPr>
                      <w:rFonts w:ascii="Tahoma" w:hAnsi="Tahoma" w:cs="Tahoma"/>
                      <w:sz w:val="20"/>
                      <w:szCs w:val="20"/>
                    </w:rPr>
                  </w:pPr>
                  <w:r>
                    <w:rPr>
                      <w:rFonts w:ascii="Tahoma" w:hAnsi="Tahoma" w:cs="Tahoma"/>
                      <w:sz w:val="20"/>
                      <w:szCs w:val="20"/>
                    </w:rPr>
                    <w:t>19.2%</w:t>
                  </w:r>
                </w:p>
              </w:tc>
            </w:tr>
            <w:tr w:rsidR="00485CC2" w:rsidRPr="001368AE" w14:paraId="39D537B0" w14:textId="77777777" w:rsidTr="00C22A2B">
              <w:trPr>
                <w:trHeight w:val="70"/>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6F523325"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60%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3F811724" w14:textId="77777777" w:rsidR="00485CC2" w:rsidRDefault="00485CC2" w:rsidP="00485CC2">
                  <w:pPr>
                    <w:jc w:val="right"/>
                    <w:rPr>
                      <w:rFonts w:ascii="Tahoma" w:hAnsi="Tahoma" w:cs="Tahoma"/>
                      <w:sz w:val="20"/>
                      <w:szCs w:val="20"/>
                    </w:rPr>
                  </w:pPr>
                  <w:r>
                    <w:rPr>
                      <w:rFonts w:ascii="Tahoma" w:hAnsi="Tahoma" w:cs="Tahoma"/>
                      <w:sz w:val="20"/>
                      <w:szCs w:val="20"/>
                    </w:rPr>
                    <w:t>11.8%</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6618DED" w14:textId="77777777" w:rsidR="00485CC2" w:rsidRDefault="00485CC2" w:rsidP="00485CC2">
                  <w:pPr>
                    <w:jc w:val="right"/>
                    <w:rPr>
                      <w:rFonts w:ascii="Tahoma" w:hAnsi="Tahoma" w:cs="Tahoma"/>
                      <w:sz w:val="20"/>
                      <w:szCs w:val="20"/>
                    </w:rPr>
                  </w:pPr>
                  <w:r>
                    <w:rPr>
                      <w:rFonts w:ascii="Tahoma" w:hAnsi="Tahoma" w:cs="Tahoma"/>
                      <w:sz w:val="20"/>
                      <w:szCs w:val="20"/>
                    </w:rPr>
                    <w:t>15.6%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78EB2BB" w14:textId="77777777" w:rsidR="00485CC2" w:rsidRDefault="00485CC2" w:rsidP="00485CC2">
                  <w:pPr>
                    <w:jc w:val="right"/>
                    <w:rPr>
                      <w:rFonts w:ascii="Tahoma" w:hAnsi="Tahoma" w:cs="Tahoma"/>
                      <w:sz w:val="20"/>
                      <w:szCs w:val="20"/>
                    </w:rPr>
                  </w:pPr>
                  <w:r>
                    <w:rPr>
                      <w:rFonts w:ascii="Tahoma" w:hAnsi="Tahoma" w:cs="Tahoma"/>
                      <w:sz w:val="20"/>
                      <w:szCs w:val="20"/>
                    </w:rPr>
                    <w:t>16.4%</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386BB6E1" w14:textId="77777777" w:rsidR="00485CC2" w:rsidRDefault="00485CC2" w:rsidP="00485CC2">
                  <w:pPr>
                    <w:jc w:val="right"/>
                    <w:rPr>
                      <w:rFonts w:ascii="Tahoma" w:hAnsi="Tahoma" w:cs="Tahoma"/>
                      <w:sz w:val="20"/>
                      <w:szCs w:val="20"/>
                    </w:rPr>
                  </w:pPr>
                  <w:r>
                    <w:rPr>
                      <w:rFonts w:ascii="Tahoma" w:hAnsi="Tahoma" w:cs="Tahoma"/>
                      <w:sz w:val="20"/>
                      <w:szCs w:val="20"/>
                    </w:rPr>
                    <w:t>16.4%</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753B4D3" w14:textId="77777777" w:rsidR="00485CC2" w:rsidRDefault="00485CC2" w:rsidP="00485CC2">
                  <w:pPr>
                    <w:jc w:val="right"/>
                    <w:rPr>
                      <w:rFonts w:ascii="Tahoma" w:hAnsi="Tahoma" w:cs="Tahoma"/>
                      <w:sz w:val="20"/>
                      <w:szCs w:val="20"/>
                    </w:rPr>
                  </w:pPr>
                  <w:r>
                    <w:rPr>
                      <w:rFonts w:ascii="Tahoma" w:hAnsi="Tahoma" w:cs="Tahoma"/>
                      <w:sz w:val="20"/>
                      <w:szCs w:val="20"/>
                    </w:rPr>
                    <w:t>17.4%</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14CC964" w14:textId="77777777" w:rsidR="00485CC2" w:rsidRDefault="00485CC2" w:rsidP="00485CC2">
                  <w:pPr>
                    <w:jc w:val="right"/>
                    <w:rPr>
                      <w:rFonts w:ascii="Tahoma" w:hAnsi="Tahoma" w:cs="Tahoma"/>
                      <w:sz w:val="20"/>
                      <w:szCs w:val="20"/>
                    </w:rPr>
                  </w:pPr>
                  <w:r>
                    <w:rPr>
                      <w:rFonts w:ascii="Tahoma" w:hAnsi="Tahoma" w:cs="Tahoma"/>
                      <w:sz w:val="20"/>
                      <w:szCs w:val="20"/>
                    </w:rPr>
                    <w:t>18.0%</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79D6A06C" w14:textId="77777777" w:rsidR="00485CC2" w:rsidRDefault="00485CC2" w:rsidP="00485CC2">
                  <w:pPr>
                    <w:jc w:val="right"/>
                    <w:rPr>
                      <w:rFonts w:ascii="Tahoma" w:hAnsi="Tahoma" w:cs="Tahoma"/>
                      <w:sz w:val="20"/>
                      <w:szCs w:val="20"/>
                    </w:rPr>
                  </w:pPr>
                  <w:r>
                    <w:rPr>
                      <w:rFonts w:ascii="Tahoma" w:hAnsi="Tahoma" w:cs="Tahoma"/>
                      <w:sz w:val="20"/>
                      <w:szCs w:val="20"/>
                    </w:rPr>
                    <w:t>18.2%</w:t>
                  </w:r>
                </w:p>
              </w:tc>
            </w:tr>
            <w:tr w:rsidR="00485CC2" w:rsidRPr="001368AE" w14:paraId="1793ABAD" w14:textId="77777777" w:rsidTr="00C22A2B">
              <w:trPr>
                <w:trHeight w:val="136"/>
              </w:trPr>
              <w:tc>
                <w:tcPr>
                  <w:tcW w:w="9933" w:type="dxa"/>
                  <w:gridSpan w:val="8"/>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43C621E5" w14:textId="77777777" w:rsidR="00485CC2" w:rsidRDefault="00485CC2" w:rsidP="00485CC2">
                  <w:pPr>
                    <w:jc w:val="center"/>
                    <w:rPr>
                      <w:rFonts w:ascii="Tahoma" w:hAnsi="Tahoma" w:cs="Tahoma"/>
                      <w:sz w:val="20"/>
                      <w:szCs w:val="20"/>
                    </w:rPr>
                  </w:pPr>
                  <w:r>
                    <w:rPr>
                      <w:rFonts w:ascii="Tahoma" w:hAnsi="Tahoma" w:cs="Tahoma"/>
                      <w:sz w:val="20"/>
                      <w:szCs w:val="20"/>
                      <w:lang w:val="en-US"/>
                    </w:rPr>
                    <w:t>VGV</w:t>
                  </w:r>
                  <w:r>
                    <w:rPr>
                      <w:rFonts w:ascii="Tahoma" w:hAnsi="Tahoma" w:cs="Tahoma"/>
                      <w:sz w:val="20"/>
                      <w:szCs w:val="20"/>
                    </w:rPr>
                    <w:t>_Локал</w:t>
                  </w:r>
                </w:p>
                <w:p w14:paraId="230F288F" w14:textId="77777777" w:rsidR="00485CC2" w:rsidRPr="001368AE" w:rsidRDefault="00485CC2" w:rsidP="00485CC2">
                  <w:pPr>
                    <w:jc w:val="center"/>
                    <w:rPr>
                      <w:rFonts w:ascii="Tahoma" w:hAnsi="Tahoma" w:cs="Tahoma"/>
                      <w:sz w:val="20"/>
                      <w:szCs w:val="20"/>
                    </w:rPr>
                  </w:pPr>
                  <w:r>
                    <w:rPr>
                      <w:rFonts w:ascii="Tahoma" w:hAnsi="Tahoma" w:cs="Tahoma"/>
                      <w:sz w:val="20"/>
                      <w:szCs w:val="20"/>
                    </w:rPr>
                    <w:t>(</w:t>
                  </w:r>
                  <w:r w:rsidRPr="005A07E7">
                    <w:rPr>
                      <w:rFonts w:ascii="Tahoma" w:hAnsi="Tahoma" w:cs="Tahoma"/>
                      <w:color w:val="000000"/>
                      <w:sz w:val="20"/>
                      <w:szCs w:val="20"/>
                    </w:rPr>
                    <w:t xml:space="preserve">при заключении договора </w:t>
                  </w:r>
                  <w:r>
                    <w:rPr>
                      <w:rFonts w:ascii="Tahoma" w:hAnsi="Tahoma" w:cs="Tahoma"/>
                      <w:color w:val="000000"/>
                      <w:sz w:val="20"/>
                      <w:szCs w:val="20"/>
                    </w:rPr>
                    <w:t>Л</w:t>
                  </w:r>
                  <w:r w:rsidRPr="005A07E7">
                    <w:rPr>
                      <w:rFonts w:ascii="Tahoma" w:hAnsi="Tahoma" w:cs="Tahoma"/>
                      <w:color w:val="000000"/>
                      <w:sz w:val="20"/>
                      <w:szCs w:val="20"/>
                    </w:rPr>
                    <w:t>ичного страхования*</w:t>
                  </w:r>
                  <w:r>
                    <w:rPr>
                      <w:rFonts w:ascii="Tahoma" w:hAnsi="Tahoma" w:cs="Tahoma"/>
                      <w:color w:val="000000"/>
                      <w:sz w:val="20"/>
                      <w:szCs w:val="20"/>
                    </w:rPr>
                    <w:t>)</w:t>
                  </w:r>
                </w:p>
              </w:tc>
            </w:tr>
            <w:tr w:rsidR="00485CC2" w:rsidRPr="001368AE" w14:paraId="1E48270E" w14:textId="77777777" w:rsidTr="00C22A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center"/>
                </w:tcPr>
                <w:p w14:paraId="172DC864"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Первоначальный взнос\Срок</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26D752D"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13 мес</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center"/>
                </w:tcPr>
                <w:p w14:paraId="4C3518D0"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24 мес</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center"/>
                </w:tcPr>
                <w:p w14:paraId="2C05B8C2"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36 мес</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center"/>
                </w:tcPr>
                <w:p w14:paraId="728DB21B"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48 мес</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center"/>
                </w:tcPr>
                <w:p w14:paraId="40F6A886"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60 мес</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center"/>
                </w:tcPr>
                <w:p w14:paraId="51ABFA1D"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72 мес</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center"/>
                </w:tcPr>
                <w:p w14:paraId="4DA717C8" w14:textId="77777777" w:rsidR="00485CC2" w:rsidRPr="001368AE" w:rsidRDefault="00485CC2" w:rsidP="00485CC2">
                  <w:pPr>
                    <w:jc w:val="center"/>
                    <w:rPr>
                      <w:rFonts w:ascii="Tahoma" w:hAnsi="Tahoma" w:cs="Tahoma"/>
                      <w:sz w:val="20"/>
                      <w:szCs w:val="20"/>
                    </w:rPr>
                  </w:pPr>
                  <w:r w:rsidRPr="001368AE">
                    <w:rPr>
                      <w:rFonts w:ascii="Tahoma" w:hAnsi="Tahoma" w:cs="Tahoma"/>
                      <w:sz w:val="20"/>
                      <w:szCs w:val="20"/>
                    </w:rPr>
                    <w:t>84 мес</w:t>
                  </w:r>
                </w:p>
              </w:tc>
            </w:tr>
            <w:tr w:rsidR="00485CC2" w:rsidRPr="001368AE" w14:paraId="09538C3A" w14:textId="77777777" w:rsidTr="00C22A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510EFDEE"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473075FE" w14:textId="77777777" w:rsidR="00485CC2" w:rsidRDefault="00485CC2" w:rsidP="00485CC2">
                  <w:pPr>
                    <w:jc w:val="right"/>
                    <w:rPr>
                      <w:rFonts w:ascii="Tahoma" w:hAnsi="Tahoma" w:cs="Tahoma"/>
                      <w:sz w:val="20"/>
                      <w:szCs w:val="20"/>
                    </w:rPr>
                  </w:pPr>
                  <w:r>
                    <w:rPr>
                      <w:rFonts w:ascii="Tahoma" w:hAnsi="Tahoma" w:cs="Tahoma"/>
                      <w:sz w:val="20"/>
                      <w:szCs w:val="20"/>
                    </w:rPr>
                    <w:t>16.4%</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292B65A5" w14:textId="77777777" w:rsidR="00485CC2" w:rsidRDefault="00485CC2" w:rsidP="00485CC2">
                  <w:pPr>
                    <w:jc w:val="right"/>
                    <w:rPr>
                      <w:rFonts w:ascii="Tahoma" w:hAnsi="Tahoma" w:cs="Tahoma"/>
                      <w:sz w:val="20"/>
                      <w:szCs w:val="20"/>
                    </w:rPr>
                  </w:pPr>
                  <w:r>
                    <w:rPr>
                      <w:rFonts w:ascii="Tahoma" w:hAnsi="Tahoma" w:cs="Tahoma"/>
                      <w:sz w:val="20"/>
                      <w:szCs w:val="20"/>
                    </w:rPr>
                    <w:t>15.6%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0E732A7" w14:textId="77777777" w:rsidR="00485CC2" w:rsidRDefault="00485CC2" w:rsidP="00485CC2">
                  <w:pPr>
                    <w:jc w:val="right"/>
                    <w:rPr>
                      <w:rFonts w:ascii="Tahoma" w:hAnsi="Tahoma" w:cs="Tahoma"/>
                      <w:sz w:val="20"/>
                      <w:szCs w:val="20"/>
                    </w:rPr>
                  </w:pPr>
                  <w:r>
                    <w:rPr>
                      <w:rFonts w:ascii="Tahoma" w:hAnsi="Tahoma" w:cs="Tahoma"/>
                      <w:sz w:val="20"/>
                      <w:szCs w:val="20"/>
                    </w:rPr>
                    <w:t>16.6%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408EDDA0" w14:textId="77777777" w:rsidR="00485CC2" w:rsidRDefault="00485CC2" w:rsidP="00485CC2">
                  <w:pPr>
                    <w:jc w:val="right"/>
                    <w:rPr>
                      <w:rFonts w:ascii="Tahoma" w:hAnsi="Tahoma" w:cs="Tahoma"/>
                      <w:sz w:val="20"/>
                      <w:szCs w:val="20"/>
                    </w:rPr>
                  </w:pPr>
                  <w:r>
                    <w:rPr>
                      <w:rFonts w:ascii="Tahoma" w:hAnsi="Tahoma" w:cs="Tahoma"/>
                      <w:sz w:val="20"/>
                      <w:szCs w:val="20"/>
                    </w:rPr>
                    <w:t>17.0%</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43D91C5E" w14:textId="77777777" w:rsidR="00485CC2" w:rsidRDefault="00485CC2" w:rsidP="00485CC2">
                  <w:pPr>
                    <w:jc w:val="right"/>
                    <w:rPr>
                      <w:rFonts w:ascii="Tahoma" w:hAnsi="Tahoma" w:cs="Tahoma"/>
                      <w:sz w:val="20"/>
                      <w:szCs w:val="20"/>
                    </w:rPr>
                  </w:pPr>
                  <w:r>
                    <w:rPr>
                      <w:rFonts w:ascii="Tahoma" w:hAnsi="Tahoma" w:cs="Tahoma"/>
                      <w:sz w:val="20"/>
                      <w:szCs w:val="20"/>
                    </w:rPr>
                    <w:t>18.2%</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B220DE6" w14:textId="77777777" w:rsidR="00485CC2" w:rsidRDefault="00485CC2" w:rsidP="00485CC2">
                  <w:pPr>
                    <w:jc w:val="right"/>
                    <w:rPr>
                      <w:rFonts w:ascii="Tahoma" w:hAnsi="Tahoma" w:cs="Tahoma"/>
                      <w:sz w:val="20"/>
                      <w:szCs w:val="20"/>
                    </w:rPr>
                  </w:pPr>
                  <w:r>
                    <w:rPr>
                      <w:rFonts w:ascii="Tahoma" w:hAnsi="Tahoma" w:cs="Tahoma"/>
                      <w:sz w:val="20"/>
                      <w:szCs w:val="20"/>
                    </w:rPr>
                    <w:t>19.2%</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647C22E5" w14:textId="77777777" w:rsidR="00485CC2" w:rsidRDefault="00485CC2" w:rsidP="00485CC2">
                  <w:pPr>
                    <w:jc w:val="right"/>
                    <w:rPr>
                      <w:rFonts w:ascii="Tahoma" w:hAnsi="Tahoma" w:cs="Tahoma"/>
                      <w:sz w:val="20"/>
                      <w:szCs w:val="20"/>
                    </w:rPr>
                  </w:pPr>
                  <w:r>
                    <w:rPr>
                      <w:rFonts w:ascii="Tahoma" w:hAnsi="Tahoma" w:cs="Tahoma"/>
                      <w:sz w:val="20"/>
                      <w:szCs w:val="20"/>
                    </w:rPr>
                    <w:t>19.4%</w:t>
                  </w:r>
                </w:p>
              </w:tc>
            </w:tr>
            <w:tr w:rsidR="00485CC2" w:rsidRPr="001368AE" w14:paraId="78EE211C" w14:textId="77777777" w:rsidTr="00C22A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65374929"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10%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14FE9DA9" w14:textId="77777777" w:rsidR="00485CC2" w:rsidRDefault="00485CC2" w:rsidP="00485CC2">
                  <w:pPr>
                    <w:jc w:val="right"/>
                    <w:rPr>
                      <w:rFonts w:ascii="Tahoma" w:hAnsi="Tahoma" w:cs="Tahoma"/>
                      <w:sz w:val="20"/>
                      <w:szCs w:val="20"/>
                    </w:rPr>
                  </w:pPr>
                  <w:r>
                    <w:rPr>
                      <w:rFonts w:ascii="Tahoma" w:hAnsi="Tahoma" w:cs="Tahoma"/>
                      <w:sz w:val="20"/>
                      <w:szCs w:val="20"/>
                    </w:rPr>
                    <w:t>15.4%</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6F3283A" w14:textId="77777777" w:rsidR="00485CC2" w:rsidRDefault="00485CC2" w:rsidP="00485CC2">
                  <w:pPr>
                    <w:jc w:val="right"/>
                    <w:rPr>
                      <w:rFonts w:ascii="Tahoma" w:hAnsi="Tahoma" w:cs="Tahoma"/>
                      <w:sz w:val="20"/>
                      <w:szCs w:val="20"/>
                    </w:rPr>
                  </w:pPr>
                  <w:r>
                    <w:rPr>
                      <w:rFonts w:ascii="Tahoma" w:hAnsi="Tahoma" w:cs="Tahoma"/>
                      <w:sz w:val="20"/>
                      <w:szCs w:val="20"/>
                    </w:rPr>
                    <w:t>14.8%</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395AE5A7" w14:textId="77777777" w:rsidR="00485CC2" w:rsidRDefault="00485CC2" w:rsidP="00485CC2">
                  <w:pPr>
                    <w:jc w:val="right"/>
                    <w:rPr>
                      <w:rFonts w:ascii="Tahoma" w:hAnsi="Tahoma" w:cs="Tahoma"/>
                      <w:sz w:val="20"/>
                      <w:szCs w:val="20"/>
                    </w:rPr>
                  </w:pPr>
                  <w:r>
                    <w:rPr>
                      <w:rFonts w:ascii="Tahoma" w:hAnsi="Tahoma" w:cs="Tahoma"/>
                      <w:sz w:val="20"/>
                      <w:szCs w:val="20"/>
                    </w:rPr>
                    <w:t>16.0%</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F29146D" w14:textId="77777777" w:rsidR="00485CC2" w:rsidRDefault="00485CC2" w:rsidP="00485CC2">
                  <w:pPr>
                    <w:jc w:val="right"/>
                    <w:rPr>
                      <w:rFonts w:ascii="Tahoma" w:hAnsi="Tahoma" w:cs="Tahoma"/>
                      <w:sz w:val="20"/>
                      <w:szCs w:val="20"/>
                    </w:rPr>
                  </w:pPr>
                  <w:r>
                    <w:rPr>
                      <w:rFonts w:ascii="Tahoma" w:hAnsi="Tahoma" w:cs="Tahoma"/>
                      <w:sz w:val="20"/>
                      <w:szCs w:val="20"/>
                    </w:rPr>
                    <w:t>16.2%</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60194DC" w14:textId="77777777" w:rsidR="00485CC2" w:rsidRDefault="00485CC2" w:rsidP="00485CC2">
                  <w:pPr>
                    <w:jc w:val="right"/>
                    <w:rPr>
                      <w:rFonts w:ascii="Tahoma" w:hAnsi="Tahoma" w:cs="Tahoma"/>
                      <w:sz w:val="20"/>
                      <w:szCs w:val="20"/>
                    </w:rPr>
                  </w:pPr>
                  <w:r>
                    <w:rPr>
                      <w:rFonts w:ascii="Tahoma" w:hAnsi="Tahoma" w:cs="Tahoma"/>
                      <w:sz w:val="20"/>
                      <w:szCs w:val="20"/>
                    </w:rPr>
                    <w:t>17.8%</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5B867C1" w14:textId="77777777" w:rsidR="00485CC2" w:rsidRDefault="00485CC2" w:rsidP="00485CC2">
                  <w:pPr>
                    <w:jc w:val="right"/>
                    <w:rPr>
                      <w:rFonts w:ascii="Tahoma" w:hAnsi="Tahoma" w:cs="Tahoma"/>
                      <w:sz w:val="20"/>
                      <w:szCs w:val="20"/>
                    </w:rPr>
                  </w:pPr>
                  <w:r>
                    <w:rPr>
                      <w:rFonts w:ascii="Tahoma" w:hAnsi="Tahoma" w:cs="Tahoma"/>
                      <w:sz w:val="20"/>
                      <w:szCs w:val="20"/>
                    </w:rPr>
                    <w:t>18.6%</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1E713AEC" w14:textId="77777777" w:rsidR="00485CC2" w:rsidRDefault="00485CC2" w:rsidP="00485CC2">
                  <w:pPr>
                    <w:jc w:val="right"/>
                    <w:rPr>
                      <w:rFonts w:ascii="Tahoma" w:hAnsi="Tahoma" w:cs="Tahoma"/>
                      <w:sz w:val="20"/>
                      <w:szCs w:val="20"/>
                    </w:rPr>
                  </w:pPr>
                  <w:r>
                    <w:rPr>
                      <w:rFonts w:ascii="Tahoma" w:hAnsi="Tahoma" w:cs="Tahoma"/>
                      <w:sz w:val="20"/>
                      <w:szCs w:val="20"/>
                    </w:rPr>
                    <w:t>19.2%</w:t>
                  </w:r>
                </w:p>
              </w:tc>
            </w:tr>
            <w:tr w:rsidR="00485CC2" w:rsidRPr="001368AE" w14:paraId="41D569F2" w14:textId="77777777" w:rsidTr="00C22A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627923E9"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20%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5C637B7B" w14:textId="77777777" w:rsidR="00485CC2" w:rsidRDefault="00485CC2" w:rsidP="00485CC2">
                  <w:pPr>
                    <w:jc w:val="right"/>
                    <w:rPr>
                      <w:rFonts w:ascii="Tahoma" w:hAnsi="Tahoma" w:cs="Tahoma"/>
                      <w:sz w:val="20"/>
                      <w:szCs w:val="20"/>
                    </w:rPr>
                  </w:pPr>
                  <w:r>
                    <w:rPr>
                      <w:rFonts w:ascii="Tahoma" w:hAnsi="Tahoma" w:cs="Tahoma"/>
                      <w:sz w:val="20"/>
                      <w:szCs w:val="20"/>
                    </w:rPr>
                    <w:t>14.4%</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F8515B7" w14:textId="77777777" w:rsidR="00485CC2" w:rsidRDefault="00485CC2" w:rsidP="00485CC2">
                  <w:pPr>
                    <w:jc w:val="right"/>
                    <w:rPr>
                      <w:rFonts w:ascii="Tahoma" w:hAnsi="Tahoma" w:cs="Tahoma"/>
                      <w:sz w:val="20"/>
                      <w:szCs w:val="20"/>
                    </w:rPr>
                  </w:pPr>
                  <w:r>
                    <w:rPr>
                      <w:rFonts w:ascii="Tahoma" w:hAnsi="Tahoma" w:cs="Tahoma"/>
                      <w:sz w:val="20"/>
                      <w:szCs w:val="20"/>
                    </w:rPr>
                    <w:t>14.4%</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F9F0D3B" w14:textId="77777777" w:rsidR="00485CC2" w:rsidRDefault="00485CC2" w:rsidP="00485CC2">
                  <w:pPr>
                    <w:jc w:val="right"/>
                    <w:rPr>
                      <w:rFonts w:ascii="Tahoma" w:hAnsi="Tahoma" w:cs="Tahoma"/>
                      <w:sz w:val="20"/>
                      <w:szCs w:val="20"/>
                    </w:rPr>
                  </w:pPr>
                  <w:r>
                    <w:rPr>
                      <w:rFonts w:ascii="Tahoma" w:hAnsi="Tahoma" w:cs="Tahoma"/>
                      <w:sz w:val="20"/>
                      <w:szCs w:val="20"/>
                    </w:rPr>
                    <w:t>15.4%</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3CB8518" w14:textId="77777777" w:rsidR="00485CC2" w:rsidRDefault="00485CC2" w:rsidP="00485CC2">
                  <w:pPr>
                    <w:jc w:val="right"/>
                    <w:rPr>
                      <w:rFonts w:ascii="Tahoma" w:hAnsi="Tahoma" w:cs="Tahoma"/>
                      <w:sz w:val="20"/>
                      <w:szCs w:val="20"/>
                    </w:rPr>
                  </w:pPr>
                  <w:r>
                    <w:rPr>
                      <w:rFonts w:ascii="Tahoma" w:hAnsi="Tahoma" w:cs="Tahoma"/>
                      <w:sz w:val="20"/>
                      <w:szCs w:val="20"/>
                    </w:rPr>
                    <w:t>15.6%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1BDE2CD" w14:textId="77777777" w:rsidR="00485CC2" w:rsidRDefault="00485CC2" w:rsidP="00485CC2">
                  <w:pPr>
                    <w:jc w:val="right"/>
                    <w:rPr>
                      <w:rFonts w:ascii="Tahoma" w:hAnsi="Tahoma" w:cs="Tahoma"/>
                      <w:sz w:val="20"/>
                      <w:szCs w:val="20"/>
                    </w:rPr>
                  </w:pPr>
                  <w:r>
                    <w:rPr>
                      <w:rFonts w:ascii="Tahoma" w:hAnsi="Tahoma" w:cs="Tahoma"/>
                      <w:sz w:val="20"/>
                      <w:szCs w:val="20"/>
                    </w:rPr>
                    <w:t>17.0%</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4CB2C0B1" w14:textId="77777777" w:rsidR="00485CC2" w:rsidRDefault="00485CC2" w:rsidP="00485CC2">
                  <w:pPr>
                    <w:jc w:val="right"/>
                    <w:rPr>
                      <w:rFonts w:ascii="Tahoma" w:hAnsi="Tahoma" w:cs="Tahoma"/>
                      <w:sz w:val="20"/>
                      <w:szCs w:val="20"/>
                    </w:rPr>
                  </w:pPr>
                  <w:r>
                    <w:rPr>
                      <w:rFonts w:ascii="Tahoma" w:hAnsi="Tahoma" w:cs="Tahoma"/>
                      <w:sz w:val="20"/>
                      <w:szCs w:val="20"/>
                    </w:rPr>
                    <w:t>17.8%</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00972790" w14:textId="77777777" w:rsidR="00485CC2" w:rsidRDefault="00485CC2" w:rsidP="00485CC2">
                  <w:pPr>
                    <w:jc w:val="right"/>
                    <w:rPr>
                      <w:rFonts w:ascii="Tahoma" w:hAnsi="Tahoma" w:cs="Tahoma"/>
                      <w:sz w:val="20"/>
                      <w:szCs w:val="20"/>
                    </w:rPr>
                  </w:pPr>
                  <w:r>
                    <w:rPr>
                      <w:rFonts w:ascii="Tahoma" w:hAnsi="Tahoma" w:cs="Tahoma"/>
                      <w:sz w:val="20"/>
                      <w:szCs w:val="20"/>
                    </w:rPr>
                    <w:t>18.0%</w:t>
                  </w:r>
                </w:p>
              </w:tc>
            </w:tr>
            <w:tr w:rsidR="00485CC2" w:rsidRPr="001368AE" w14:paraId="4E89ECF7" w14:textId="77777777" w:rsidTr="00C22A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334E5051"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30%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5E6C0BD7" w14:textId="77777777" w:rsidR="00485CC2" w:rsidRDefault="00485CC2" w:rsidP="00485CC2">
                  <w:pPr>
                    <w:jc w:val="right"/>
                    <w:rPr>
                      <w:rFonts w:ascii="Tahoma" w:hAnsi="Tahoma" w:cs="Tahoma"/>
                      <w:sz w:val="20"/>
                      <w:szCs w:val="20"/>
                    </w:rPr>
                  </w:pPr>
                  <w:r>
                    <w:rPr>
                      <w:rFonts w:ascii="Tahoma" w:hAnsi="Tahoma" w:cs="Tahoma"/>
                      <w:sz w:val="20"/>
                      <w:szCs w:val="20"/>
                    </w:rPr>
                    <w:t>13.0%</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20F1DD4" w14:textId="77777777" w:rsidR="00485CC2" w:rsidRDefault="00485CC2" w:rsidP="00485CC2">
                  <w:pPr>
                    <w:jc w:val="right"/>
                    <w:rPr>
                      <w:rFonts w:ascii="Tahoma" w:hAnsi="Tahoma" w:cs="Tahoma"/>
                      <w:sz w:val="20"/>
                      <w:szCs w:val="20"/>
                    </w:rPr>
                  </w:pPr>
                  <w:r>
                    <w:rPr>
                      <w:rFonts w:ascii="Tahoma" w:hAnsi="Tahoma" w:cs="Tahoma"/>
                      <w:sz w:val="20"/>
                      <w:szCs w:val="20"/>
                    </w:rPr>
                    <w:t>13.2%</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48F84F57" w14:textId="77777777" w:rsidR="00485CC2" w:rsidRDefault="00485CC2" w:rsidP="00485CC2">
                  <w:pPr>
                    <w:jc w:val="right"/>
                    <w:rPr>
                      <w:rFonts w:ascii="Tahoma" w:hAnsi="Tahoma" w:cs="Tahoma"/>
                      <w:sz w:val="20"/>
                      <w:szCs w:val="20"/>
                    </w:rPr>
                  </w:pPr>
                  <w:r>
                    <w:rPr>
                      <w:rFonts w:ascii="Tahoma" w:hAnsi="Tahoma" w:cs="Tahoma"/>
                      <w:sz w:val="20"/>
                      <w:szCs w:val="20"/>
                    </w:rPr>
                    <w:t>14.4%</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908AA39" w14:textId="77777777" w:rsidR="00485CC2" w:rsidRDefault="00485CC2" w:rsidP="00485CC2">
                  <w:pPr>
                    <w:jc w:val="right"/>
                    <w:rPr>
                      <w:rFonts w:ascii="Tahoma" w:hAnsi="Tahoma" w:cs="Tahoma"/>
                      <w:sz w:val="20"/>
                      <w:szCs w:val="20"/>
                    </w:rPr>
                  </w:pPr>
                  <w:r>
                    <w:rPr>
                      <w:rFonts w:ascii="Tahoma" w:hAnsi="Tahoma" w:cs="Tahoma"/>
                      <w:sz w:val="20"/>
                      <w:szCs w:val="20"/>
                    </w:rPr>
                    <w:t>14.6%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C7742F1" w14:textId="77777777" w:rsidR="00485CC2" w:rsidRDefault="00485CC2" w:rsidP="00485CC2">
                  <w:pPr>
                    <w:jc w:val="right"/>
                    <w:rPr>
                      <w:rFonts w:ascii="Tahoma" w:hAnsi="Tahoma" w:cs="Tahoma"/>
                      <w:sz w:val="20"/>
                      <w:szCs w:val="20"/>
                    </w:rPr>
                  </w:pPr>
                  <w:r>
                    <w:rPr>
                      <w:rFonts w:ascii="Tahoma" w:hAnsi="Tahoma" w:cs="Tahoma"/>
                      <w:sz w:val="20"/>
                      <w:szCs w:val="20"/>
                    </w:rPr>
                    <w:t>16.4%</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65009AA" w14:textId="77777777" w:rsidR="00485CC2" w:rsidRDefault="00485CC2" w:rsidP="00485CC2">
                  <w:pPr>
                    <w:jc w:val="right"/>
                    <w:rPr>
                      <w:rFonts w:ascii="Tahoma" w:hAnsi="Tahoma" w:cs="Tahoma"/>
                      <w:sz w:val="20"/>
                      <w:szCs w:val="20"/>
                    </w:rPr>
                  </w:pPr>
                  <w:r>
                    <w:rPr>
                      <w:rFonts w:ascii="Tahoma" w:hAnsi="Tahoma" w:cs="Tahoma"/>
                      <w:sz w:val="20"/>
                      <w:szCs w:val="20"/>
                    </w:rPr>
                    <w:t>17.4%</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278FB11A" w14:textId="77777777" w:rsidR="00485CC2" w:rsidRDefault="00485CC2" w:rsidP="00485CC2">
                  <w:pPr>
                    <w:jc w:val="right"/>
                    <w:rPr>
                      <w:rFonts w:ascii="Tahoma" w:hAnsi="Tahoma" w:cs="Tahoma"/>
                      <w:sz w:val="20"/>
                      <w:szCs w:val="20"/>
                    </w:rPr>
                  </w:pPr>
                  <w:r>
                    <w:rPr>
                      <w:rFonts w:ascii="Tahoma" w:hAnsi="Tahoma" w:cs="Tahoma"/>
                      <w:sz w:val="20"/>
                      <w:szCs w:val="20"/>
                    </w:rPr>
                    <w:t>17.8%</w:t>
                  </w:r>
                </w:p>
              </w:tc>
            </w:tr>
            <w:tr w:rsidR="00485CC2" w:rsidRPr="001368AE" w14:paraId="083BB390" w14:textId="77777777" w:rsidTr="00C22A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1C549441"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40%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73C830E4" w14:textId="77777777" w:rsidR="00485CC2" w:rsidRDefault="00485CC2" w:rsidP="00485CC2">
                  <w:pPr>
                    <w:jc w:val="right"/>
                    <w:rPr>
                      <w:rFonts w:ascii="Tahoma" w:hAnsi="Tahoma" w:cs="Tahoma"/>
                      <w:sz w:val="20"/>
                      <w:szCs w:val="20"/>
                    </w:rPr>
                  </w:pPr>
                  <w:r>
                    <w:rPr>
                      <w:rFonts w:ascii="Tahoma" w:hAnsi="Tahoma" w:cs="Tahoma"/>
                      <w:sz w:val="20"/>
                      <w:szCs w:val="20"/>
                    </w:rPr>
                    <w:t>11.4%</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2088C45" w14:textId="77777777" w:rsidR="00485CC2" w:rsidRDefault="00485CC2" w:rsidP="00485CC2">
                  <w:pPr>
                    <w:jc w:val="right"/>
                    <w:rPr>
                      <w:rFonts w:ascii="Tahoma" w:hAnsi="Tahoma" w:cs="Tahoma"/>
                      <w:sz w:val="20"/>
                      <w:szCs w:val="20"/>
                    </w:rPr>
                  </w:pPr>
                  <w:r>
                    <w:rPr>
                      <w:rFonts w:ascii="Tahoma" w:hAnsi="Tahoma" w:cs="Tahoma"/>
                      <w:sz w:val="20"/>
                      <w:szCs w:val="20"/>
                    </w:rPr>
                    <w:t>12.4%</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CFA0D34" w14:textId="77777777" w:rsidR="00485CC2" w:rsidRDefault="00485CC2" w:rsidP="00485CC2">
                  <w:pPr>
                    <w:jc w:val="right"/>
                    <w:rPr>
                      <w:rFonts w:ascii="Tahoma" w:hAnsi="Tahoma" w:cs="Tahoma"/>
                      <w:sz w:val="20"/>
                      <w:szCs w:val="20"/>
                    </w:rPr>
                  </w:pPr>
                  <w:r>
                    <w:rPr>
                      <w:rFonts w:ascii="Tahoma" w:hAnsi="Tahoma" w:cs="Tahoma"/>
                      <w:sz w:val="20"/>
                      <w:szCs w:val="20"/>
                    </w:rPr>
                    <w:t>13.6%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FD97170" w14:textId="77777777" w:rsidR="00485CC2" w:rsidRDefault="00485CC2" w:rsidP="00485CC2">
                  <w:pPr>
                    <w:jc w:val="right"/>
                    <w:rPr>
                      <w:rFonts w:ascii="Tahoma" w:hAnsi="Tahoma" w:cs="Tahoma"/>
                      <w:sz w:val="20"/>
                      <w:szCs w:val="20"/>
                    </w:rPr>
                  </w:pPr>
                  <w:r>
                    <w:rPr>
                      <w:rFonts w:ascii="Tahoma" w:hAnsi="Tahoma" w:cs="Tahoma"/>
                      <w:sz w:val="20"/>
                      <w:szCs w:val="20"/>
                    </w:rPr>
                    <w:t>13.8%</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3E19EBD" w14:textId="77777777" w:rsidR="00485CC2" w:rsidRDefault="00485CC2" w:rsidP="00485CC2">
                  <w:pPr>
                    <w:jc w:val="right"/>
                    <w:rPr>
                      <w:rFonts w:ascii="Tahoma" w:hAnsi="Tahoma" w:cs="Tahoma"/>
                      <w:sz w:val="20"/>
                      <w:szCs w:val="20"/>
                    </w:rPr>
                  </w:pPr>
                  <w:r>
                    <w:rPr>
                      <w:rFonts w:ascii="Tahoma" w:hAnsi="Tahoma" w:cs="Tahoma"/>
                      <w:sz w:val="20"/>
                      <w:szCs w:val="20"/>
                    </w:rPr>
                    <w:t>15.4%</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3193BCAF" w14:textId="77777777" w:rsidR="00485CC2" w:rsidRDefault="00485CC2" w:rsidP="00485CC2">
                  <w:pPr>
                    <w:jc w:val="right"/>
                    <w:rPr>
                      <w:rFonts w:ascii="Tahoma" w:hAnsi="Tahoma" w:cs="Tahoma"/>
                      <w:sz w:val="20"/>
                      <w:szCs w:val="20"/>
                    </w:rPr>
                  </w:pPr>
                  <w:r>
                    <w:rPr>
                      <w:rFonts w:ascii="Tahoma" w:hAnsi="Tahoma" w:cs="Tahoma"/>
                      <w:sz w:val="20"/>
                      <w:szCs w:val="20"/>
                    </w:rPr>
                    <w:t>16.6%</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0BBA6184" w14:textId="77777777" w:rsidR="00485CC2" w:rsidRDefault="00485CC2" w:rsidP="00485CC2">
                  <w:pPr>
                    <w:jc w:val="right"/>
                    <w:rPr>
                      <w:rFonts w:ascii="Tahoma" w:hAnsi="Tahoma" w:cs="Tahoma"/>
                      <w:sz w:val="20"/>
                      <w:szCs w:val="20"/>
                    </w:rPr>
                  </w:pPr>
                  <w:r>
                    <w:rPr>
                      <w:rFonts w:ascii="Tahoma" w:hAnsi="Tahoma" w:cs="Tahoma"/>
                      <w:sz w:val="20"/>
                      <w:szCs w:val="20"/>
                    </w:rPr>
                    <w:t>16.8%</w:t>
                  </w:r>
                </w:p>
              </w:tc>
            </w:tr>
            <w:tr w:rsidR="00485CC2" w:rsidRPr="001368AE" w14:paraId="58757639" w14:textId="77777777" w:rsidTr="00C22A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75644E09"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50%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2412AE5A" w14:textId="77777777" w:rsidR="00485CC2" w:rsidRDefault="00485CC2" w:rsidP="00485CC2">
                  <w:pPr>
                    <w:jc w:val="right"/>
                    <w:rPr>
                      <w:rFonts w:ascii="Tahoma" w:hAnsi="Tahoma" w:cs="Tahoma"/>
                      <w:sz w:val="20"/>
                      <w:szCs w:val="20"/>
                    </w:rPr>
                  </w:pPr>
                  <w:r>
                    <w:rPr>
                      <w:rFonts w:ascii="Tahoma" w:hAnsi="Tahoma" w:cs="Tahoma"/>
                      <w:sz w:val="20"/>
                      <w:szCs w:val="20"/>
                    </w:rPr>
                    <w:t>9.6%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BB76891" w14:textId="77777777" w:rsidR="00485CC2" w:rsidRDefault="00485CC2" w:rsidP="00485CC2">
                  <w:pPr>
                    <w:jc w:val="right"/>
                    <w:rPr>
                      <w:rFonts w:ascii="Tahoma" w:hAnsi="Tahoma" w:cs="Tahoma"/>
                      <w:sz w:val="20"/>
                      <w:szCs w:val="20"/>
                    </w:rPr>
                  </w:pPr>
                  <w:r>
                    <w:rPr>
                      <w:rFonts w:ascii="Tahoma" w:hAnsi="Tahoma" w:cs="Tahoma"/>
                      <w:sz w:val="20"/>
                      <w:szCs w:val="20"/>
                    </w:rPr>
                    <w:t>11.2%</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46337385" w14:textId="77777777" w:rsidR="00485CC2" w:rsidRDefault="00485CC2" w:rsidP="00485CC2">
                  <w:pPr>
                    <w:jc w:val="right"/>
                    <w:rPr>
                      <w:rFonts w:ascii="Tahoma" w:hAnsi="Tahoma" w:cs="Tahoma"/>
                      <w:sz w:val="20"/>
                      <w:szCs w:val="20"/>
                    </w:rPr>
                  </w:pPr>
                  <w:r>
                    <w:rPr>
                      <w:rFonts w:ascii="Tahoma" w:hAnsi="Tahoma" w:cs="Tahoma"/>
                      <w:sz w:val="20"/>
                      <w:szCs w:val="20"/>
                    </w:rPr>
                    <w:t>12.8%</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3EE37E12" w14:textId="77777777" w:rsidR="00485CC2" w:rsidRDefault="00485CC2" w:rsidP="00485CC2">
                  <w:pPr>
                    <w:jc w:val="right"/>
                    <w:rPr>
                      <w:rFonts w:ascii="Tahoma" w:hAnsi="Tahoma" w:cs="Tahoma"/>
                      <w:sz w:val="20"/>
                      <w:szCs w:val="20"/>
                    </w:rPr>
                  </w:pPr>
                  <w:r>
                    <w:rPr>
                      <w:rFonts w:ascii="Tahoma" w:hAnsi="Tahoma" w:cs="Tahoma"/>
                      <w:sz w:val="20"/>
                      <w:szCs w:val="20"/>
                    </w:rPr>
                    <w:t>13.0%</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386860B1" w14:textId="77777777" w:rsidR="00485CC2" w:rsidRDefault="00485CC2" w:rsidP="00485CC2">
                  <w:pPr>
                    <w:jc w:val="right"/>
                    <w:rPr>
                      <w:rFonts w:ascii="Tahoma" w:hAnsi="Tahoma" w:cs="Tahoma"/>
                      <w:sz w:val="20"/>
                      <w:szCs w:val="20"/>
                    </w:rPr>
                  </w:pPr>
                  <w:r>
                    <w:rPr>
                      <w:rFonts w:ascii="Tahoma" w:hAnsi="Tahoma" w:cs="Tahoma"/>
                      <w:sz w:val="20"/>
                      <w:szCs w:val="20"/>
                    </w:rPr>
                    <w:t>14.6%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7522C36" w14:textId="77777777" w:rsidR="00485CC2" w:rsidRDefault="00485CC2" w:rsidP="00485CC2">
                  <w:pPr>
                    <w:jc w:val="right"/>
                    <w:rPr>
                      <w:rFonts w:ascii="Tahoma" w:hAnsi="Tahoma" w:cs="Tahoma"/>
                      <w:sz w:val="20"/>
                      <w:szCs w:val="20"/>
                    </w:rPr>
                  </w:pPr>
                  <w:r>
                    <w:rPr>
                      <w:rFonts w:ascii="Tahoma" w:hAnsi="Tahoma" w:cs="Tahoma"/>
                      <w:sz w:val="20"/>
                      <w:szCs w:val="20"/>
                    </w:rPr>
                    <w:t>15.8%</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4676D927" w14:textId="77777777" w:rsidR="00485CC2" w:rsidRDefault="00485CC2" w:rsidP="00485CC2">
                  <w:pPr>
                    <w:jc w:val="right"/>
                    <w:rPr>
                      <w:rFonts w:ascii="Tahoma" w:hAnsi="Tahoma" w:cs="Tahoma"/>
                      <w:sz w:val="20"/>
                      <w:szCs w:val="20"/>
                    </w:rPr>
                  </w:pPr>
                  <w:r>
                    <w:rPr>
                      <w:rFonts w:ascii="Tahoma" w:hAnsi="Tahoma" w:cs="Tahoma"/>
                      <w:sz w:val="20"/>
                      <w:szCs w:val="20"/>
                    </w:rPr>
                    <w:t>16.2%</w:t>
                  </w:r>
                </w:p>
              </w:tc>
            </w:tr>
            <w:tr w:rsidR="00485CC2" w:rsidRPr="001368AE" w14:paraId="3633F00D" w14:textId="77777777" w:rsidTr="00C22A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2D45465E"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60%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55A95FEF" w14:textId="77777777" w:rsidR="00485CC2" w:rsidRDefault="00485CC2" w:rsidP="00485CC2">
                  <w:pPr>
                    <w:jc w:val="right"/>
                    <w:rPr>
                      <w:rFonts w:ascii="Tahoma" w:hAnsi="Tahoma" w:cs="Tahoma"/>
                      <w:sz w:val="20"/>
                      <w:szCs w:val="20"/>
                    </w:rPr>
                  </w:pPr>
                  <w:r>
                    <w:rPr>
                      <w:rFonts w:ascii="Tahoma" w:hAnsi="Tahoma" w:cs="Tahoma"/>
                      <w:sz w:val="20"/>
                      <w:szCs w:val="20"/>
                    </w:rPr>
                    <w:t>6.8%</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DD24138" w14:textId="77777777" w:rsidR="00485CC2" w:rsidRDefault="00485CC2" w:rsidP="00485CC2">
                  <w:pPr>
                    <w:jc w:val="right"/>
                    <w:rPr>
                      <w:rFonts w:ascii="Tahoma" w:hAnsi="Tahoma" w:cs="Tahoma"/>
                      <w:sz w:val="20"/>
                      <w:szCs w:val="20"/>
                    </w:rPr>
                  </w:pPr>
                  <w:r>
                    <w:rPr>
                      <w:rFonts w:ascii="Tahoma" w:hAnsi="Tahoma" w:cs="Tahoma"/>
                      <w:sz w:val="20"/>
                      <w:szCs w:val="20"/>
                    </w:rPr>
                    <w:t>9.6%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61CE2AC" w14:textId="77777777" w:rsidR="00485CC2" w:rsidRDefault="00485CC2" w:rsidP="00485CC2">
                  <w:pPr>
                    <w:jc w:val="right"/>
                    <w:rPr>
                      <w:rFonts w:ascii="Tahoma" w:hAnsi="Tahoma" w:cs="Tahoma"/>
                      <w:sz w:val="20"/>
                      <w:szCs w:val="20"/>
                    </w:rPr>
                  </w:pPr>
                  <w:r>
                    <w:rPr>
                      <w:rFonts w:ascii="Tahoma" w:hAnsi="Tahoma" w:cs="Tahoma"/>
                      <w:sz w:val="20"/>
                      <w:szCs w:val="20"/>
                    </w:rPr>
                    <w:t>11.4%</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D30DECF" w14:textId="77777777" w:rsidR="00485CC2" w:rsidRDefault="00485CC2" w:rsidP="00485CC2">
                  <w:pPr>
                    <w:jc w:val="right"/>
                    <w:rPr>
                      <w:rFonts w:ascii="Tahoma" w:hAnsi="Tahoma" w:cs="Tahoma"/>
                      <w:sz w:val="20"/>
                      <w:szCs w:val="20"/>
                    </w:rPr>
                  </w:pPr>
                  <w:r>
                    <w:rPr>
                      <w:rFonts w:ascii="Tahoma" w:hAnsi="Tahoma" w:cs="Tahoma"/>
                      <w:sz w:val="20"/>
                      <w:szCs w:val="20"/>
                    </w:rPr>
                    <w:t>11.8%</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6E0B4D7" w14:textId="77777777" w:rsidR="00485CC2" w:rsidRDefault="00485CC2" w:rsidP="00485CC2">
                  <w:pPr>
                    <w:jc w:val="right"/>
                    <w:rPr>
                      <w:rFonts w:ascii="Tahoma" w:hAnsi="Tahoma" w:cs="Tahoma"/>
                      <w:sz w:val="20"/>
                      <w:szCs w:val="20"/>
                    </w:rPr>
                  </w:pPr>
                  <w:r>
                    <w:rPr>
                      <w:rFonts w:ascii="Tahoma" w:hAnsi="Tahoma" w:cs="Tahoma"/>
                      <w:sz w:val="20"/>
                      <w:szCs w:val="20"/>
                    </w:rPr>
                    <w:t>13.6%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5868FE0" w14:textId="77777777" w:rsidR="00485CC2" w:rsidRDefault="00485CC2" w:rsidP="00485CC2">
                  <w:pPr>
                    <w:jc w:val="right"/>
                    <w:rPr>
                      <w:rFonts w:ascii="Tahoma" w:hAnsi="Tahoma" w:cs="Tahoma"/>
                      <w:sz w:val="20"/>
                      <w:szCs w:val="20"/>
                    </w:rPr>
                  </w:pPr>
                  <w:r>
                    <w:rPr>
                      <w:rFonts w:ascii="Tahoma" w:hAnsi="Tahoma" w:cs="Tahoma"/>
                      <w:sz w:val="20"/>
                      <w:szCs w:val="20"/>
                    </w:rPr>
                    <w:t>15.0%</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164A29D8" w14:textId="77777777" w:rsidR="00485CC2" w:rsidRDefault="00485CC2" w:rsidP="00485CC2">
                  <w:pPr>
                    <w:jc w:val="right"/>
                    <w:rPr>
                      <w:rFonts w:ascii="Tahoma" w:hAnsi="Tahoma" w:cs="Tahoma"/>
                      <w:sz w:val="20"/>
                      <w:szCs w:val="20"/>
                    </w:rPr>
                  </w:pPr>
                  <w:r>
                    <w:rPr>
                      <w:rFonts w:ascii="Tahoma" w:hAnsi="Tahoma" w:cs="Tahoma"/>
                      <w:sz w:val="20"/>
                      <w:szCs w:val="20"/>
                    </w:rPr>
                    <w:t>15.4%</w:t>
                  </w:r>
                </w:p>
              </w:tc>
            </w:tr>
          </w:tbl>
          <w:p w14:paraId="09BAD120" w14:textId="77777777" w:rsidR="009D1253" w:rsidRDefault="009D1253" w:rsidP="009D1253">
            <w:pPr>
              <w:tabs>
                <w:tab w:val="left" w:pos="6979"/>
                <w:tab w:val="left" w:pos="7548"/>
              </w:tabs>
              <w:ind w:right="176"/>
              <w:jc w:val="both"/>
              <w:rPr>
                <w:rFonts w:ascii="Tahoma" w:hAnsi="Tahoma" w:cs="Tahoma"/>
                <w:sz w:val="18"/>
                <w:szCs w:val="18"/>
              </w:rPr>
            </w:pPr>
          </w:p>
          <w:p w14:paraId="5EF56129" w14:textId="77777777" w:rsidR="009D1253" w:rsidRDefault="009D1253" w:rsidP="009D1253">
            <w:pPr>
              <w:tabs>
                <w:tab w:val="left" w:pos="6979"/>
                <w:tab w:val="left" w:pos="7548"/>
              </w:tabs>
              <w:ind w:right="176"/>
              <w:jc w:val="both"/>
              <w:rPr>
                <w:rFonts w:ascii="Tahoma" w:hAnsi="Tahoma" w:cs="Tahoma"/>
                <w:sz w:val="18"/>
                <w:szCs w:val="18"/>
              </w:rPr>
            </w:pPr>
          </w:p>
          <w:p w14:paraId="069D4601" w14:textId="77777777" w:rsidR="009D1253" w:rsidRDefault="009D1253" w:rsidP="009D1253">
            <w:pPr>
              <w:tabs>
                <w:tab w:val="left" w:pos="6979"/>
                <w:tab w:val="left" w:pos="7548"/>
              </w:tabs>
              <w:ind w:right="176"/>
              <w:jc w:val="both"/>
              <w:rPr>
                <w:rFonts w:ascii="Tahoma" w:hAnsi="Tahoma" w:cs="Tahoma"/>
                <w:sz w:val="18"/>
                <w:szCs w:val="18"/>
              </w:rPr>
            </w:pPr>
          </w:p>
          <w:p w14:paraId="5A933B40" w14:textId="77777777" w:rsidR="009D1253" w:rsidRDefault="009D1253" w:rsidP="009D1253">
            <w:pPr>
              <w:tabs>
                <w:tab w:val="left" w:pos="6979"/>
                <w:tab w:val="left" w:pos="7548"/>
              </w:tabs>
              <w:ind w:right="176"/>
              <w:jc w:val="both"/>
              <w:rPr>
                <w:rFonts w:ascii="Tahoma" w:hAnsi="Tahoma" w:cs="Tahoma"/>
                <w:sz w:val="18"/>
                <w:szCs w:val="18"/>
              </w:rPr>
            </w:pPr>
          </w:p>
          <w:p w14:paraId="5D54EA81" w14:textId="77777777" w:rsidR="009D1253" w:rsidRDefault="009D1253" w:rsidP="009D1253">
            <w:pPr>
              <w:tabs>
                <w:tab w:val="left" w:pos="6979"/>
                <w:tab w:val="left" w:pos="7548"/>
              </w:tabs>
              <w:ind w:right="176"/>
              <w:jc w:val="both"/>
              <w:rPr>
                <w:rFonts w:ascii="Tahoma" w:hAnsi="Tahoma" w:cs="Tahoma"/>
                <w:sz w:val="18"/>
                <w:szCs w:val="18"/>
              </w:rPr>
            </w:pPr>
          </w:p>
          <w:p w14:paraId="1DB5320E" w14:textId="77777777" w:rsidR="009D1253" w:rsidRDefault="009D1253" w:rsidP="009D1253">
            <w:pPr>
              <w:tabs>
                <w:tab w:val="left" w:pos="6979"/>
                <w:tab w:val="left" w:pos="7548"/>
              </w:tabs>
              <w:ind w:right="176"/>
              <w:jc w:val="both"/>
              <w:rPr>
                <w:rFonts w:ascii="Tahoma" w:hAnsi="Tahoma" w:cs="Tahoma"/>
                <w:sz w:val="18"/>
                <w:szCs w:val="18"/>
              </w:rPr>
            </w:pPr>
          </w:p>
          <w:p w14:paraId="611BE3AC" w14:textId="77777777" w:rsidR="009D1253" w:rsidRDefault="009D1253" w:rsidP="009D1253">
            <w:pPr>
              <w:tabs>
                <w:tab w:val="left" w:pos="6979"/>
                <w:tab w:val="left" w:pos="7548"/>
              </w:tabs>
              <w:ind w:right="176"/>
              <w:jc w:val="both"/>
              <w:rPr>
                <w:rFonts w:ascii="Tahoma" w:hAnsi="Tahoma" w:cs="Tahoma"/>
                <w:sz w:val="18"/>
                <w:szCs w:val="18"/>
              </w:rPr>
            </w:pPr>
          </w:p>
          <w:p w14:paraId="05FA2DF5" w14:textId="77777777" w:rsidR="009D1253" w:rsidRDefault="009D1253" w:rsidP="009D1253">
            <w:pPr>
              <w:tabs>
                <w:tab w:val="left" w:pos="6979"/>
                <w:tab w:val="left" w:pos="7548"/>
              </w:tabs>
              <w:ind w:right="176"/>
              <w:jc w:val="both"/>
              <w:rPr>
                <w:rFonts w:ascii="Tahoma" w:hAnsi="Tahoma" w:cs="Tahoma"/>
                <w:sz w:val="18"/>
                <w:szCs w:val="18"/>
              </w:rPr>
            </w:pPr>
          </w:p>
          <w:p w14:paraId="69C1B5C4" w14:textId="77777777" w:rsidR="009D1253" w:rsidRDefault="009D1253" w:rsidP="009D1253">
            <w:pPr>
              <w:tabs>
                <w:tab w:val="left" w:pos="6979"/>
                <w:tab w:val="left" w:pos="7548"/>
              </w:tabs>
              <w:ind w:right="176"/>
              <w:jc w:val="both"/>
              <w:rPr>
                <w:rFonts w:ascii="Tahoma" w:hAnsi="Tahoma" w:cs="Tahoma"/>
                <w:sz w:val="18"/>
                <w:szCs w:val="18"/>
              </w:rPr>
            </w:pPr>
          </w:p>
          <w:p w14:paraId="47670F06" w14:textId="77777777" w:rsidR="009D1253" w:rsidRDefault="009D1253" w:rsidP="009D1253">
            <w:pPr>
              <w:tabs>
                <w:tab w:val="left" w:pos="6979"/>
                <w:tab w:val="left" w:pos="7548"/>
              </w:tabs>
              <w:ind w:right="176"/>
              <w:jc w:val="both"/>
              <w:rPr>
                <w:rFonts w:ascii="Tahoma" w:hAnsi="Tahoma" w:cs="Tahoma"/>
                <w:sz w:val="18"/>
                <w:szCs w:val="18"/>
              </w:rPr>
            </w:pPr>
          </w:p>
          <w:p w14:paraId="57B82575" w14:textId="77777777" w:rsidR="009D1253" w:rsidRDefault="009D1253" w:rsidP="009D1253">
            <w:pPr>
              <w:tabs>
                <w:tab w:val="left" w:pos="6979"/>
                <w:tab w:val="left" w:pos="7548"/>
              </w:tabs>
              <w:ind w:right="176"/>
              <w:jc w:val="both"/>
              <w:rPr>
                <w:rFonts w:ascii="Tahoma" w:hAnsi="Tahoma" w:cs="Tahoma"/>
                <w:sz w:val="18"/>
                <w:szCs w:val="18"/>
              </w:rPr>
            </w:pPr>
          </w:p>
          <w:p w14:paraId="4E81CFE5" w14:textId="77777777" w:rsidR="009D1253" w:rsidRDefault="009D1253" w:rsidP="009D1253">
            <w:pPr>
              <w:tabs>
                <w:tab w:val="left" w:pos="6979"/>
                <w:tab w:val="left" w:pos="7548"/>
              </w:tabs>
              <w:ind w:right="176"/>
              <w:jc w:val="both"/>
              <w:rPr>
                <w:rFonts w:ascii="Tahoma" w:hAnsi="Tahoma" w:cs="Tahoma"/>
                <w:sz w:val="18"/>
                <w:szCs w:val="18"/>
              </w:rPr>
            </w:pPr>
          </w:p>
          <w:p w14:paraId="65116E96" w14:textId="77777777" w:rsidR="009D1253" w:rsidRDefault="009D1253" w:rsidP="009D1253">
            <w:pPr>
              <w:tabs>
                <w:tab w:val="left" w:pos="6979"/>
                <w:tab w:val="left" w:pos="7548"/>
              </w:tabs>
              <w:ind w:right="176"/>
              <w:jc w:val="both"/>
              <w:rPr>
                <w:rFonts w:ascii="Tahoma" w:hAnsi="Tahoma" w:cs="Tahoma"/>
                <w:sz w:val="18"/>
                <w:szCs w:val="18"/>
              </w:rPr>
            </w:pPr>
          </w:p>
          <w:p w14:paraId="68CC6DFF" w14:textId="77777777" w:rsidR="009D1253" w:rsidRDefault="009D1253" w:rsidP="009D1253">
            <w:pPr>
              <w:tabs>
                <w:tab w:val="left" w:pos="6979"/>
                <w:tab w:val="left" w:pos="7548"/>
              </w:tabs>
              <w:ind w:right="176"/>
              <w:jc w:val="both"/>
              <w:rPr>
                <w:rFonts w:ascii="Tahoma" w:hAnsi="Tahoma" w:cs="Tahoma"/>
                <w:sz w:val="18"/>
                <w:szCs w:val="18"/>
              </w:rPr>
            </w:pPr>
          </w:p>
          <w:p w14:paraId="05A4B2FF" w14:textId="77777777" w:rsidR="009D1253" w:rsidRDefault="009D1253" w:rsidP="009D1253">
            <w:pPr>
              <w:tabs>
                <w:tab w:val="left" w:pos="6979"/>
                <w:tab w:val="left" w:pos="7548"/>
              </w:tabs>
              <w:ind w:right="176"/>
              <w:jc w:val="both"/>
              <w:rPr>
                <w:rFonts w:ascii="Tahoma" w:hAnsi="Tahoma" w:cs="Tahoma"/>
                <w:sz w:val="18"/>
                <w:szCs w:val="18"/>
              </w:rPr>
            </w:pPr>
          </w:p>
          <w:p w14:paraId="1A738E92" w14:textId="77777777" w:rsidR="009D1253" w:rsidRDefault="009D1253" w:rsidP="009D1253">
            <w:pPr>
              <w:tabs>
                <w:tab w:val="left" w:pos="6979"/>
                <w:tab w:val="left" w:pos="7548"/>
              </w:tabs>
              <w:ind w:right="176"/>
              <w:jc w:val="both"/>
              <w:rPr>
                <w:rFonts w:ascii="Tahoma" w:hAnsi="Tahoma" w:cs="Tahoma"/>
                <w:sz w:val="18"/>
                <w:szCs w:val="18"/>
              </w:rPr>
            </w:pPr>
          </w:p>
          <w:p w14:paraId="5E3137C7" w14:textId="77777777" w:rsidR="009D1253" w:rsidRDefault="009D1253" w:rsidP="009D1253">
            <w:pPr>
              <w:tabs>
                <w:tab w:val="left" w:pos="6979"/>
                <w:tab w:val="left" w:pos="7548"/>
              </w:tabs>
              <w:ind w:right="176"/>
              <w:jc w:val="both"/>
              <w:rPr>
                <w:rFonts w:ascii="Tahoma" w:hAnsi="Tahoma" w:cs="Tahoma"/>
                <w:sz w:val="18"/>
                <w:szCs w:val="18"/>
              </w:rPr>
            </w:pPr>
          </w:p>
          <w:p w14:paraId="2135A4BD" w14:textId="77777777" w:rsidR="009D1253" w:rsidRDefault="009D1253" w:rsidP="009D1253">
            <w:pPr>
              <w:tabs>
                <w:tab w:val="left" w:pos="6979"/>
                <w:tab w:val="left" w:pos="7548"/>
              </w:tabs>
              <w:ind w:right="176"/>
              <w:jc w:val="both"/>
              <w:rPr>
                <w:rFonts w:ascii="Tahoma" w:hAnsi="Tahoma" w:cs="Tahoma"/>
                <w:sz w:val="18"/>
                <w:szCs w:val="18"/>
              </w:rPr>
            </w:pPr>
          </w:p>
          <w:p w14:paraId="21FD992A" w14:textId="77777777" w:rsidR="009D1253" w:rsidRDefault="009D1253" w:rsidP="009D1253">
            <w:pPr>
              <w:tabs>
                <w:tab w:val="left" w:pos="6979"/>
                <w:tab w:val="left" w:pos="7548"/>
              </w:tabs>
              <w:ind w:right="176"/>
              <w:jc w:val="both"/>
              <w:rPr>
                <w:rFonts w:ascii="Tahoma" w:hAnsi="Tahoma" w:cs="Tahoma"/>
                <w:sz w:val="18"/>
                <w:szCs w:val="18"/>
              </w:rPr>
            </w:pPr>
          </w:p>
          <w:p w14:paraId="18E9A412" w14:textId="77777777" w:rsidR="009D1253" w:rsidRDefault="009D1253" w:rsidP="009D1253">
            <w:pPr>
              <w:tabs>
                <w:tab w:val="left" w:pos="6979"/>
                <w:tab w:val="left" w:pos="7548"/>
              </w:tabs>
              <w:ind w:right="176"/>
              <w:jc w:val="both"/>
              <w:rPr>
                <w:rFonts w:ascii="Tahoma" w:hAnsi="Tahoma" w:cs="Tahoma"/>
                <w:sz w:val="18"/>
                <w:szCs w:val="18"/>
              </w:rPr>
            </w:pPr>
          </w:p>
          <w:p w14:paraId="564808C6" w14:textId="77777777" w:rsidR="009D1253" w:rsidRDefault="009D1253" w:rsidP="009D1253">
            <w:pPr>
              <w:tabs>
                <w:tab w:val="left" w:pos="6979"/>
                <w:tab w:val="left" w:pos="7548"/>
              </w:tabs>
              <w:ind w:right="176"/>
              <w:jc w:val="both"/>
              <w:rPr>
                <w:rFonts w:ascii="Tahoma" w:hAnsi="Tahoma" w:cs="Tahoma"/>
                <w:sz w:val="18"/>
                <w:szCs w:val="18"/>
              </w:rPr>
            </w:pPr>
          </w:p>
          <w:p w14:paraId="248583A6" w14:textId="77777777" w:rsidR="009D1253" w:rsidRDefault="009D1253" w:rsidP="009D1253">
            <w:pPr>
              <w:tabs>
                <w:tab w:val="left" w:pos="6979"/>
                <w:tab w:val="left" w:pos="7548"/>
              </w:tabs>
              <w:ind w:right="176"/>
              <w:jc w:val="both"/>
              <w:rPr>
                <w:rFonts w:ascii="Tahoma" w:hAnsi="Tahoma" w:cs="Tahoma"/>
                <w:sz w:val="18"/>
                <w:szCs w:val="18"/>
              </w:rPr>
            </w:pPr>
          </w:p>
          <w:p w14:paraId="31184A7A" w14:textId="77777777" w:rsidR="009D1253" w:rsidRDefault="009D1253" w:rsidP="009D1253">
            <w:pPr>
              <w:tabs>
                <w:tab w:val="left" w:pos="6979"/>
                <w:tab w:val="left" w:pos="7548"/>
              </w:tabs>
              <w:ind w:right="176"/>
              <w:jc w:val="both"/>
              <w:rPr>
                <w:rFonts w:ascii="Tahoma" w:hAnsi="Tahoma" w:cs="Tahoma"/>
                <w:sz w:val="18"/>
                <w:szCs w:val="18"/>
              </w:rPr>
            </w:pPr>
          </w:p>
          <w:p w14:paraId="0BEDF5A0" w14:textId="77777777" w:rsidR="009D1253" w:rsidRDefault="009D1253" w:rsidP="009D1253">
            <w:pPr>
              <w:tabs>
                <w:tab w:val="left" w:pos="6979"/>
                <w:tab w:val="left" w:pos="7548"/>
              </w:tabs>
              <w:ind w:right="176"/>
              <w:jc w:val="both"/>
              <w:rPr>
                <w:rFonts w:ascii="Tahoma" w:hAnsi="Tahoma" w:cs="Tahoma"/>
                <w:sz w:val="18"/>
                <w:szCs w:val="18"/>
              </w:rPr>
            </w:pPr>
          </w:p>
          <w:p w14:paraId="42F4C3A8" w14:textId="77777777" w:rsidR="009D1253" w:rsidRDefault="009D1253" w:rsidP="009D1253">
            <w:pPr>
              <w:tabs>
                <w:tab w:val="left" w:pos="6979"/>
                <w:tab w:val="left" w:pos="7548"/>
              </w:tabs>
              <w:ind w:right="176"/>
              <w:jc w:val="both"/>
              <w:rPr>
                <w:rFonts w:ascii="Tahoma" w:hAnsi="Tahoma" w:cs="Tahoma"/>
                <w:sz w:val="18"/>
                <w:szCs w:val="18"/>
              </w:rPr>
            </w:pPr>
          </w:p>
          <w:p w14:paraId="4302D747" w14:textId="77777777" w:rsidR="009D1253" w:rsidRDefault="009D1253" w:rsidP="009D1253">
            <w:pPr>
              <w:tabs>
                <w:tab w:val="left" w:pos="6979"/>
                <w:tab w:val="left" w:pos="7548"/>
              </w:tabs>
              <w:ind w:right="176"/>
              <w:jc w:val="both"/>
              <w:rPr>
                <w:rFonts w:ascii="Tahoma" w:hAnsi="Tahoma" w:cs="Tahoma"/>
                <w:sz w:val="18"/>
                <w:szCs w:val="18"/>
              </w:rPr>
            </w:pPr>
          </w:p>
          <w:p w14:paraId="5F099110" w14:textId="77777777" w:rsidR="009D1253" w:rsidRDefault="009D1253" w:rsidP="009D1253">
            <w:pPr>
              <w:tabs>
                <w:tab w:val="left" w:pos="6979"/>
                <w:tab w:val="left" w:pos="7548"/>
              </w:tabs>
              <w:ind w:right="176"/>
              <w:jc w:val="both"/>
              <w:rPr>
                <w:rFonts w:ascii="Tahoma" w:hAnsi="Tahoma" w:cs="Tahoma"/>
                <w:sz w:val="18"/>
                <w:szCs w:val="18"/>
              </w:rPr>
            </w:pPr>
          </w:p>
          <w:p w14:paraId="0D0EFD97" w14:textId="77777777" w:rsidR="009D1253" w:rsidRDefault="009D1253" w:rsidP="009D1253">
            <w:pPr>
              <w:tabs>
                <w:tab w:val="left" w:pos="6979"/>
                <w:tab w:val="left" w:pos="7548"/>
              </w:tabs>
              <w:ind w:right="176"/>
              <w:jc w:val="both"/>
              <w:rPr>
                <w:rFonts w:ascii="Tahoma" w:hAnsi="Tahoma" w:cs="Tahoma"/>
                <w:sz w:val="18"/>
                <w:szCs w:val="18"/>
              </w:rPr>
            </w:pPr>
          </w:p>
          <w:p w14:paraId="1323371D" w14:textId="77777777" w:rsidR="009D1253" w:rsidRDefault="009D1253" w:rsidP="009D1253">
            <w:pPr>
              <w:tabs>
                <w:tab w:val="left" w:pos="6979"/>
                <w:tab w:val="left" w:pos="7548"/>
              </w:tabs>
              <w:ind w:right="176"/>
              <w:jc w:val="both"/>
              <w:rPr>
                <w:rFonts w:ascii="Tahoma" w:hAnsi="Tahoma" w:cs="Tahoma"/>
                <w:sz w:val="18"/>
                <w:szCs w:val="18"/>
              </w:rPr>
            </w:pPr>
          </w:p>
          <w:tbl>
            <w:tblPr>
              <w:tblpPr w:leftFromText="180" w:rightFromText="180" w:horzAnchor="margin" w:tblpY="285"/>
              <w:tblOverlap w:val="never"/>
              <w:tblW w:w="9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5"/>
              <w:gridCol w:w="1107"/>
              <w:gridCol w:w="1107"/>
              <w:gridCol w:w="1107"/>
              <w:gridCol w:w="1107"/>
              <w:gridCol w:w="1107"/>
              <w:gridCol w:w="1107"/>
              <w:gridCol w:w="1116"/>
            </w:tblGrid>
            <w:tr w:rsidR="00485CC2" w:rsidRPr="001368AE" w14:paraId="3F3D14DE" w14:textId="77777777" w:rsidTr="00C22A2B">
              <w:trPr>
                <w:trHeight w:val="182"/>
              </w:trPr>
              <w:tc>
                <w:tcPr>
                  <w:tcW w:w="9933" w:type="dxa"/>
                  <w:gridSpan w:val="8"/>
                </w:tcPr>
                <w:p w14:paraId="22BA6C99" w14:textId="77777777" w:rsidR="00485CC2" w:rsidRPr="0072622D" w:rsidRDefault="00485CC2" w:rsidP="00485CC2">
                  <w:pPr>
                    <w:jc w:val="center"/>
                    <w:rPr>
                      <w:rFonts w:ascii="Tahoma" w:hAnsi="Tahoma" w:cs="Tahoma"/>
                      <w:sz w:val="20"/>
                      <w:szCs w:val="20"/>
                    </w:rPr>
                  </w:pPr>
                  <w:r>
                    <w:rPr>
                      <w:rFonts w:ascii="Tahoma" w:hAnsi="Tahoma" w:cs="Tahoma"/>
                      <w:sz w:val="20"/>
                      <w:szCs w:val="20"/>
                      <w:lang w:val="en-US"/>
                    </w:rPr>
                    <w:t>VGV</w:t>
                  </w:r>
                  <w:r>
                    <w:rPr>
                      <w:rFonts w:ascii="Tahoma" w:hAnsi="Tahoma" w:cs="Tahoma"/>
                      <w:sz w:val="20"/>
                      <w:szCs w:val="20"/>
                    </w:rPr>
                    <w:t>_Базовый</w:t>
                  </w:r>
                </w:p>
                <w:p w14:paraId="64E4F94E" w14:textId="77777777" w:rsidR="00485CC2" w:rsidRPr="001368AE" w:rsidRDefault="00485CC2" w:rsidP="00485CC2">
                  <w:pPr>
                    <w:jc w:val="center"/>
                    <w:rPr>
                      <w:rFonts w:ascii="Tahoma" w:hAnsi="Tahoma" w:cs="Tahoma"/>
                      <w:sz w:val="20"/>
                      <w:szCs w:val="20"/>
                    </w:rPr>
                  </w:pPr>
                  <w:r>
                    <w:rPr>
                      <w:rFonts w:ascii="Tahoma" w:hAnsi="Tahoma" w:cs="Tahoma"/>
                      <w:color w:val="000000"/>
                      <w:sz w:val="20"/>
                      <w:szCs w:val="20"/>
                    </w:rPr>
                    <w:t>(</w:t>
                  </w:r>
                  <w:r w:rsidRPr="005A07E7">
                    <w:rPr>
                      <w:rFonts w:ascii="Tahoma" w:hAnsi="Tahoma" w:cs="Tahoma"/>
                      <w:color w:val="000000"/>
                      <w:sz w:val="20"/>
                      <w:szCs w:val="20"/>
                    </w:rPr>
                    <w:t xml:space="preserve"> при отказе от заключения или досрочном** прекращении договора </w:t>
                  </w:r>
                  <w:r>
                    <w:rPr>
                      <w:rFonts w:ascii="Tahoma" w:hAnsi="Tahoma" w:cs="Tahoma"/>
                      <w:color w:val="000000"/>
                      <w:sz w:val="20"/>
                      <w:szCs w:val="20"/>
                    </w:rPr>
                    <w:t>личного страхования*)</w:t>
                  </w:r>
                </w:p>
              </w:tc>
            </w:tr>
            <w:tr w:rsidR="00485CC2" w:rsidRPr="001368AE" w14:paraId="6B9D3E11" w14:textId="77777777" w:rsidTr="00C22A2B">
              <w:trPr>
                <w:trHeight w:val="303"/>
              </w:trPr>
              <w:tc>
                <w:tcPr>
                  <w:tcW w:w="2175"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25565D9E"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Первоначальный взнос\Срок</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D524F7C"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13 мес</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9C04720"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24 мес</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07572DD"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36 мес</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4C452C3"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48 мес</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AA7F1CF"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60 мес</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7F46C7E"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72 мес</w:t>
                  </w:r>
                </w:p>
              </w:tc>
              <w:tc>
                <w:tcPr>
                  <w:tcW w:w="11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6F2CC87" w14:textId="77777777" w:rsidR="00485CC2" w:rsidRPr="001368AE" w:rsidRDefault="00485CC2" w:rsidP="00485CC2">
                  <w:pPr>
                    <w:jc w:val="center"/>
                    <w:rPr>
                      <w:rFonts w:ascii="Tahoma" w:hAnsi="Tahoma" w:cs="Tahoma"/>
                      <w:sz w:val="20"/>
                      <w:szCs w:val="20"/>
                    </w:rPr>
                  </w:pPr>
                  <w:r w:rsidRPr="001368AE">
                    <w:rPr>
                      <w:rFonts w:ascii="Tahoma" w:hAnsi="Tahoma" w:cs="Tahoma"/>
                      <w:sz w:val="20"/>
                      <w:szCs w:val="20"/>
                    </w:rPr>
                    <w:t>84 мес</w:t>
                  </w:r>
                </w:p>
              </w:tc>
            </w:tr>
            <w:tr w:rsidR="00485CC2" w:rsidRPr="001368AE" w14:paraId="6157509E" w14:textId="77777777" w:rsidTr="00C22A2B">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0A630904"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145D953B" w14:textId="77777777" w:rsidR="00485CC2" w:rsidRDefault="00485CC2" w:rsidP="00485CC2">
                  <w:pPr>
                    <w:jc w:val="right"/>
                    <w:rPr>
                      <w:rFonts w:ascii="Tahoma" w:hAnsi="Tahoma" w:cs="Tahoma"/>
                      <w:sz w:val="20"/>
                      <w:szCs w:val="20"/>
                    </w:rPr>
                  </w:pPr>
                  <w:r>
                    <w:rPr>
                      <w:rFonts w:ascii="Tahoma" w:hAnsi="Tahoma" w:cs="Tahoma"/>
                      <w:sz w:val="20"/>
                      <w:szCs w:val="20"/>
                    </w:rPr>
                    <w:t>25.5%</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532A371" w14:textId="77777777" w:rsidR="00485CC2" w:rsidRDefault="00485CC2" w:rsidP="00485CC2">
                  <w:pPr>
                    <w:jc w:val="right"/>
                    <w:rPr>
                      <w:rFonts w:ascii="Tahoma" w:hAnsi="Tahoma" w:cs="Tahoma"/>
                      <w:sz w:val="20"/>
                      <w:szCs w:val="20"/>
                    </w:rPr>
                  </w:pPr>
                  <w:r>
                    <w:rPr>
                      <w:rFonts w:ascii="Tahoma" w:hAnsi="Tahoma" w:cs="Tahoma"/>
                      <w:sz w:val="20"/>
                      <w:szCs w:val="20"/>
                    </w:rPr>
                    <w:t>24.2%</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2B509EE" w14:textId="77777777" w:rsidR="00485CC2" w:rsidRDefault="00485CC2" w:rsidP="00485CC2">
                  <w:pPr>
                    <w:jc w:val="right"/>
                    <w:rPr>
                      <w:rFonts w:ascii="Tahoma" w:hAnsi="Tahoma" w:cs="Tahoma"/>
                      <w:sz w:val="20"/>
                      <w:szCs w:val="20"/>
                    </w:rPr>
                  </w:pPr>
                  <w:r>
                    <w:rPr>
                      <w:rFonts w:ascii="Tahoma" w:hAnsi="Tahoma" w:cs="Tahoma"/>
                      <w:sz w:val="20"/>
                      <w:szCs w:val="20"/>
                    </w:rPr>
                    <w:t>23.8%</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64ACE2B" w14:textId="77777777" w:rsidR="00485CC2" w:rsidRDefault="00485CC2" w:rsidP="00485CC2">
                  <w:pPr>
                    <w:jc w:val="right"/>
                    <w:rPr>
                      <w:rFonts w:ascii="Tahoma" w:hAnsi="Tahoma" w:cs="Tahoma"/>
                      <w:sz w:val="20"/>
                      <w:szCs w:val="20"/>
                    </w:rPr>
                  </w:pPr>
                  <w:r>
                    <w:rPr>
                      <w:rFonts w:ascii="Tahoma" w:hAnsi="Tahoma" w:cs="Tahoma"/>
                      <w:sz w:val="20"/>
                      <w:szCs w:val="20"/>
                    </w:rPr>
                    <w:t>23.8%</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ED4383E" w14:textId="77777777" w:rsidR="00485CC2" w:rsidRDefault="00485CC2" w:rsidP="00485CC2">
                  <w:pPr>
                    <w:jc w:val="right"/>
                    <w:rPr>
                      <w:rFonts w:ascii="Tahoma" w:hAnsi="Tahoma" w:cs="Tahoma"/>
                      <w:sz w:val="20"/>
                      <w:szCs w:val="20"/>
                    </w:rPr>
                  </w:pPr>
                  <w:r>
                    <w:rPr>
                      <w:rFonts w:ascii="Tahoma" w:hAnsi="Tahoma" w:cs="Tahoma"/>
                      <w:sz w:val="20"/>
                      <w:szCs w:val="20"/>
                    </w:rPr>
                    <w:t>23.6%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E7E5638" w14:textId="77777777" w:rsidR="00485CC2" w:rsidRDefault="00485CC2" w:rsidP="00485CC2">
                  <w:pPr>
                    <w:jc w:val="right"/>
                    <w:rPr>
                      <w:rFonts w:ascii="Tahoma" w:hAnsi="Tahoma" w:cs="Tahoma"/>
                      <w:sz w:val="20"/>
                      <w:szCs w:val="20"/>
                    </w:rPr>
                  </w:pPr>
                  <w:r>
                    <w:rPr>
                      <w:rFonts w:ascii="Tahoma" w:hAnsi="Tahoma" w:cs="Tahoma"/>
                      <w:sz w:val="20"/>
                      <w:szCs w:val="20"/>
                    </w:rPr>
                    <w:t>23.6%</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4FBEAF49" w14:textId="77777777" w:rsidR="00485CC2" w:rsidRDefault="00485CC2" w:rsidP="00485CC2">
                  <w:pPr>
                    <w:jc w:val="right"/>
                    <w:rPr>
                      <w:rFonts w:ascii="Tahoma" w:hAnsi="Tahoma" w:cs="Tahoma"/>
                      <w:sz w:val="20"/>
                      <w:szCs w:val="20"/>
                    </w:rPr>
                  </w:pPr>
                  <w:r>
                    <w:rPr>
                      <w:rFonts w:ascii="Tahoma" w:hAnsi="Tahoma" w:cs="Tahoma"/>
                      <w:sz w:val="20"/>
                      <w:szCs w:val="20"/>
                    </w:rPr>
                    <w:t>23.6%</w:t>
                  </w:r>
                </w:p>
              </w:tc>
            </w:tr>
            <w:tr w:rsidR="00485CC2" w:rsidRPr="001368AE" w14:paraId="0CAEC4D8" w14:textId="77777777" w:rsidTr="00C22A2B">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6DBCBA14"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10%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7C3B74B1" w14:textId="77777777" w:rsidR="00485CC2" w:rsidRDefault="00485CC2" w:rsidP="00485CC2">
                  <w:pPr>
                    <w:jc w:val="right"/>
                    <w:rPr>
                      <w:rFonts w:ascii="Tahoma" w:hAnsi="Tahoma" w:cs="Tahoma"/>
                      <w:sz w:val="20"/>
                      <w:szCs w:val="20"/>
                    </w:rPr>
                  </w:pPr>
                  <w:r>
                    <w:rPr>
                      <w:rFonts w:ascii="Tahoma" w:hAnsi="Tahoma" w:cs="Tahoma"/>
                      <w:sz w:val="20"/>
                      <w:szCs w:val="20"/>
                    </w:rPr>
                    <w:t>24.6%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FF8AC01" w14:textId="77777777" w:rsidR="00485CC2" w:rsidRDefault="00485CC2" w:rsidP="00485CC2">
                  <w:pPr>
                    <w:jc w:val="right"/>
                    <w:rPr>
                      <w:rFonts w:ascii="Tahoma" w:hAnsi="Tahoma" w:cs="Tahoma"/>
                      <w:sz w:val="20"/>
                      <w:szCs w:val="20"/>
                    </w:rPr>
                  </w:pPr>
                  <w:r>
                    <w:rPr>
                      <w:rFonts w:ascii="Tahoma" w:hAnsi="Tahoma" w:cs="Tahoma"/>
                      <w:sz w:val="20"/>
                      <w:szCs w:val="20"/>
                    </w:rPr>
                    <w:t>23.2%</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1EB6606" w14:textId="77777777" w:rsidR="00485CC2" w:rsidRDefault="00485CC2" w:rsidP="00485CC2">
                  <w:pPr>
                    <w:jc w:val="right"/>
                    <w:rPr>
                      <w:rFonts w:ascii="Tahoma" w:hAnsi="Tahoma" w:cs="Tahoma"/>
                      <w:sz w:val="20"/>
                      <w:szCs w:val="20"/>
                    </w:rPr>
                  </w:pPr>
                  <w:r>
                    <w:rPr>
                      <w:rFonts w:ascii="Tahoma" w:hAnsi="Tahoma" w:cs="Tahoma"/>
                      <w:sz w:val="20"/>
                      <w:szCs w:val="20"/>
                    </w:rPr>
                    <w:t>23.2%</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4EB5CED8" w14:textId="77777777" w:rsidR="00485CC2" w:rsidRDefault="00485CC2" w:rsidP="00485CC2">
                  <w:pPr>
                    <w:jc w:val="right"/>
                    <w:rPr>
                      <w:rFonts w:ascii="Tahoma" w:hAnsi="Tahoma" w:cs="Tahoma"/>
                      <w:sz w:val="20"/>
                      <w:szCs w:val="20"/>
                    </w:rPr>
                  </w:pPr>
                  <w:r>
                    <w:rPr>
                      <w:rFonts w:ascii="Tahoma" w:hAnsi="Tahoma" w:cs="Tahoma"/>
                      <w:sz w:val="20"/>
                      <w:szCs w:val="20"/>
                    </w:rPr>
                    <w:t>23.2%</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2FCD0611" w14:textId="77777777" w:rsidR="00485CC2" w:rsidRDefault="00485CC2" w:rsidP="00485CC2">
                  <w:pPr>
                    <w:jc w:val="right"/>
                    <w:rPr>
                      <w:rFonts w:ascii="Tahoma" w:hAnsi="Tahoma" w:cs="Tahoma"/>
                      <w:sz w:val="20"/>
                      <w:szCs w:val="20"/>
                    </w:rPr>
                  </w:pPr>
                  <w:r>
                    <w:rPr>
                      <w:rFonts w:ascii="Tahoma" w:hAnsi="Tahoma" w:cs="Tahoma"/>
                      <w:sz w:val="20"/>
                      <w:szCs w:val="20"/>
                    </w:rPr>
                    <w:t>23.2%</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76E8C98" w14:textId="77777777" w:rsidR="00485CC2" w:rsidRDefault="00485CC2" w:rsidP="00485CC2">
                  <w:pPr>
                    <w:jc w:val="right"/>
                    <w:rPr>
                      <w:rFonts w:ascii="Tahoma" w:hAnsi="Tahoma" w:cs="Tahoma"/>
                      <w:sz w:val="20"/>
                      <w:szCs w:val="20"/>
                    </w:rPr>
                  </w:pPr>
                  <w:r>
                    <w:rPr>
                      <w:rFonts w:ascii="Tahoma" w:hAnsi="Tahoma" w:cs="Tahoma"/>
                      <w:sz w:val="20"/>
                      <w:szCs w:val="20"/>
                    </w:rPr>
                    <w:t>23.2%</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17149BEE" w14:textId="77777777" w:rsidR="00485CC2" w:rsidRDefault="00485CC2" w:rsidP="00485CC2">
                  <w:pPr>
                    <w:jc w:val="right"/>
                    <w:rPr>
                      <w:rFonts w:ascii="Tahoma" w:hAnsi="Tahoma" w:cs="Tahoma"/>
                      <w:sz w:val="20"/>
                      <w:szCs w:val="20"/>
                    </w:rPr>
                  </w:pPr>
                  <w:r>
                    <w:rPr>
                      <w:rFonts w:ascii="Tahoma" w:hAnsi="Tahoma" w:cs="Tahoma"/>
                      <w:sz w:val="20"/>
                      <w:szCs w:val="20"/>
                    </w:rPr>
                    <w:t>23.2%</w:t>
                  </w:r>
                </w:p>
              </w:tc>
            </w:tr>
            <w:tr w:rsidR="00485CC2" w:rsidRPr="001368AE" w14:paraId="648CC041" w14:textId="77777777" w:rsidTr="00C22A2B">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27C23B9B"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20%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6175786E" w14:textId="77777777" w:rsidR="00485CC2" w:rsidRDefault="00485CC2" w:rsidP="00485CC2">
                  <w:pPr>
                    <w:jc w:val="right"/>
                    <w:rPr>
                      <w:rFonts w:ascii="Tahoma" w:hAnsi="Tahoma" w:cs="Tahoma"/>
                      <w:sz w:val="20"/>
                      <w:szCs w:val="20"/>
                    </w:rPr>
                  </w:pPr>
                  <w:r>
                    <w:rPr>
                      <w:rFonts w:ascii="Tahoma" w:hAnsi="Tahoma" w:cs="Tahoma"/>
                      <w:sz w:val="20"/>
                      <w:szCs w:val="20"/>
                    </w:rPr>
                    <w:t>23.6%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29A0CF8" w14:textId="77777777" w:rsidR="00485CC2" w:rsidRDefault="00485CC2" w:rsidP="00485CC2">
                  <w:pPr>
                    <w:jc w:val="right"/>
                    <w:rPr>
                      <w:rFonts w:ascii="Tahoma" w:hAnsi="Tahoma" w:cs="Tahoma"/>
                      <w:sz w:val="20"/>
                      <w:szCs w:val="20"/>
                    </w:rPr>
                  </w:pPr>
                  <w:r>
                    <w:rPr>
                      <w:rFonts w:ascii="Tahoma" w:hAnsi="Tahoma" w:cs="Tahoma"/>
                      <w:sz w:val="20"/>
                      <w:szCs w:val="20"/>
                    </w:rPr>
                    <w:t>22.6%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AF06D59" w14:textId="77777777" w:rsidR="00485CC2" w:rsidRDefault="00485CC2" w:rsidP="00485CC2">
                  <w:pPr>
                    <w:jc w:val="right"/>
                    <w:rPr>
                      <w:rFonts w:ascii="Tahoma" w:hAnsi="Tahoma" w:cs="Tahoma"/>
                      <w:sz w:val="20"/>
                      <w:szCs w:val="20"/>
                    </w:rPr>
                  </w:pPr>
                  <w:r>
                    <w:rPr>
                      <w:rFonts w:ascii="Tahoma" w:hAnsi="Tahoma" w:cs="Tahoma"/>
                      <w:sz w:val="20"/>
                      <w:szCs w:val="20"/>
                    </w:rPr>
                    <w:t>22.4%</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49FAE80" w14:textId="77777777" w:rsidR="00485CC2" w:rsidRDefault="00485CC2" w:rsidP="00485CC2">
                  <w:pPr>
                    <w:jc w:val="right"/>
                    <w:rPr>
                      <w:rFonts w:ascii="Tahoma" w:hAnsi="Tahoma" w:cs="Tahoma"/>
                      <w:sz w:val="20"/>
                      <w:szCs w:val="20"/>
                    </w:rPr>
                  </w:pPr>
                  <w:r>
                    <w:rPr>
                      <w:rFonts w:ascii="Tahoma" w:hAnsi="Tahoma" w:cs="Tahoma"/>
                      <w:sz w:val="20"/>
                      <w:szCs w:val="20"/>
                    </w:rPr>
                    <w:t>22.4%</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4CF61CB2" w14:textId="77777777" w:rsidR="00485CC2" w:rsidRDefault="00485CC2" w:rsidP="00485CC2">
                  <w:pPr>
                    <w:jc w:val="right"/>
                    <w:rPr>
                      <w:rFonts w:ascii="Tahoma" w:hAnsi="Tahoma" w:cs="Tahoma"/>
                      <w:sz w:val="20"/>
                      <w:szCs w:val="20"/>
                    </w:rPr>
                  </w:pPr>
                  <w:r>
                    <w:rPr>
                      <w:rFonts w:ascii="Tahoma" w:hAnsi="Tahoma" w:cs="Tahoma"/>
                      <w:sz w:val="20"/>
                      <w:szCs w:val="20"/>
                    </w:rPr>
                    <w:t>22.2%</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8B7BB59" w14:textId="77777777" w:rsidR="00485CC2" w:rsidRDefault="00485CC2" w:rsidP="00485CC2">
                  <w:pPr>
                    <w:jc w:val="right"/>
                    <w:rPr>
                      <w:rFonts w:ascii="Tahoma" w:hAnsi="Tahoma" w:cs="Tahoma"/>
                      <w:sz w:val="20"/>
                      <w:szCs w:val="20"/>
                    </w:rPr>
                  </w:pPr>
                  <w:r>
                    <w:rPr>
                      <w:rFonts w:ascii="Tahoma" w:hAnsi="Tahoma" w:cs="Tahoma"/>
                      <w:sz w:val="20"/>
                      <w:szCs w:val="20"/>
                    </w:rPr>
                    <w:t>22.0%</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5B9B0146" w14:textId="77777777" w:rsidR="00485CC2" w:rsidRDefault="00485CC2" w:rsidP="00485CC2">
                  <w:pPr>
                    <w:jc w:val="right"/>
                    <w:rPr>
                      <w:rFonts w:ascii="Tahoma" w:hAnsi="Tahoma" w:cs="Tahoma"/>
                      <w:sz w:val="20"/>
                      <w:szCs w:val="20"/>
                    </w:rPr>
                  </w:pPr>
                  <w:r>
                    <w:rPr>
                      <w:rFonts w:ascii="Tahoma" w:hAnsi="Tahoma" w:cs="Tahoma"/>
                      <w:sz w:val="20"/>
                      <w:szCs w:val="20"/>
                    </w:rPr>
                    <w:t>22.0%</w:t>
                  </w:r>
                </w:p>
              </w:tc>
            </w:tr>
            <w:tr w:rsidR="00485CC2" w:rsidRPr="001368AE" w14:paraId="0AF21E70" w14:textId="77777777" w:rsidTr="00C22A2B">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06B8780D" w14:textId="77777777" w:rsidR="00485CC2" w:rsidRPr="001368AE" w:rsidRDefault="00485CC2" w:rsidP="00485CC2">
                  <w:pPr>
                    <w:jc w:val="right"/>
                    <w:rPr>
                      <w:rFonts w:ascii="Tahoma" w:hAnsi="Tahoma" w:cs="Tahoma"/>
                      <w:sz w:val="20"/>
                      <w:szCs w:val="20"/>
                    </w:rPr>
                  </w:pPr>
                  <w:r>
                    <w:rPr>
                      <w:rFonts w:ascii="Tahoma" w:hAnsi="Tahoma" w:cs="Tahoma"/>
                      <w:sz w:val="20"/>
                      <w:szCs w:val="20"/>
                    </w:rPr>
                    <w:lastRenderedPageBreak/>
                    <w:t xml:space="preserve">от </w:t>
                  </w:r>
                  <w:r w:rsidRPr="001368AE">
                    <w:rPr>
                      <w:rFonts w:ascii="Tahoma" w:hAnsi="Tahoma" w:cs="Tahoma"/>
                      <w:sz w:val="20"/>
                      <w:szCs w:val="20"/>
                    </w:rPr>
                    <w:t>30%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6DE2368E" w14:textId="77777777" w:rsidR="00485CC2" w:rsidRDefault="00485CC2" w:rsidP="00485CC2">
                  <w:pPr>
                    <w:jc w:val="right"/>
                    <w:rPr>
                      <w:rFonts w:ascii="Tahoma" w:hAnsi="Tahoma" w:cs="Tahoma"/>
                      <w:sz w:val="20"/>
                      <w:szCs w:val="20"/>
                    </w:rPr>
                  </w:pPr>
                  <w:r>
                    <w:rPr>
                      <w:rFonts w:ascii="Tahoma" w:hAnsi="Tahoma" w:cs="Tahoma"/>
                      <w:sz w:val="20"/>
                      <w:szCs w:val="20"/>
                    </w:rPr>
                    <w:t>22.2%</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A53C965" w14:textId="77777777" w:rsidR="00485CC2" w:rsidRDefault="00485CC2" w:rsidP="00485CC2">
                  <w:pPr>
                    <w:jc w:val="right"/>
                    <w:rPr>
                      <w:rFonts w:ascii="Tahoma" w:hAnsi="Tahoma" w:cs="Tahoma"/>
                      <w:sz w:val="20"/>
                      <w:szCs w:val="20"/>
                    </w:rPr>
                  </w:pPr>
                  <w:r>
                    <w:rPr>
                      <w:rFonts w:ascii="Tahoma" w:hAnsi="Tahoma" w:cs="Tahoma"/>
                      <w:sz w:val="20"/>
                      <w:szCs w:val="20"/>
                    </w:rPr>
                    <w:t>21.6%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B61D912" w14:textId="77777777" w:rsidR="00485CC2" w:rsidRDefault="00485CC2" w:rsidP="00485CC2">
                  <w:pPr>
                    <w:jc w:val="right"/>
                    <w:rPr>
                      <w:rFonts w:ascii="Tahoma" w:hAnsi="Tahoma" w:cs="Tahoma"/>
                      <w:sz w:val="20"/>
                      <w:szCs w:val="20"/>
                    </w:rPr>
                  </w:pPr>
                  <w:r>
                    <w:rPr>
                      <w:rFonts w:ascii="Tahoma" w:hAnsi="Tahoma" w:cs="Tahoma"/>
                      <w:sz w:val="20"/>
                      <w:szCs w:val="20"/>
                    </w:rPr>
                    <w:t>21.4%</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3D155EB" w14:textId="77777777" w:rsidR="00485CC2" w:rsidRDefault="00485CC2" w:rsidP="00485CC2">
                  <w:pPr>
                    <w:jc w:val="right"/>
                    <w:rPr>
                      <w:rFonts w:ascii="Tahoma" w:hAnsi="Tahoma" w:cs="Tahoma"/>
                      <w:sz w:val="20"/>
                      <w:szCs w:val="20"/>
                    </w:rPr>
                  </w:pPr>
                  <w:r>
                    <w:rPr>
                      <w:rFonts w:ascii="Tahoma" w:hAnsi="Tahoma" w:cs="Tahoma"/>
                      <w:sz w:val="20"/>
                      <w:szCs w:val="20"/>
                    </w:rPr>
                    <w:t>21.4%</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0D9CBB2" w14:textId="77777777" w:rsidR="00485CC2" w:rsidRDefault="00485CC2" w:rsidP="00485CC2">
                  <w:pPr>
                    <w:jc w:val="right"/>
                    <w:rPr>
                      <w:rFonts w:ascii="Tahoma" w:hAnsi="Tahoma" w:cs="Tahoma"/>
                      <w:sz w:val="20"/>
                      <w:szCs w:val="20"/>
                    </w:rPr>
                  </w:pPr>
                  <w:r>
                    <w:rPr>
                      <w:rFonts w:ascii="Tahoma" w:hAnsi="Tahoma" w:cs="Tahoma"/>
                      <w:sz w:val="20"/>
                      <w:szCs w:val="20"/>
                    </w:rPr>
                    <w:t>21.6%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E6855C4" w14:textId="77777777" w:rsidR="00485CC2" w:rsidRDefault="00485CC2" w:rsidP="00485CC2">
                  <w:pPr>
                    <w:jc w:val="right"/>
                    <w:rPr>
                      <w:rFonts w:ascii="Tahoma" w:hAnsi="Tahoma" w:cs="Tahoma"/>
                      <w:sz w:val="20"/>
                      <w:szCs w:val="20"/>
                    </w:rPr>
                  </w:pPr>
                  <w:r>
                    <w:rPr>
                      <w:rFonts w:ascii="Tahoma" w:hAnsi="Tahoma" w:cs="Tahoma"/>
                      <w:sz w:val="20"/>
                      <w:szCs w:val="20"/>
                    </w:rPr>
                    <w:t>21.6%</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23AEFB79" w14:textId="77777777" w:rsidR="00485CC2" w:rsidRDefault="00485CC2" w:rsidP="00485CC2">
                  <w:pPr>
                    <w:jc w:val="right"/>
                    <w:rPr>
                      <w:rFonts w:ascii="Tahoma" w:hAnsi="Tahoma" w:cs="Tahoma"/>
                      <w:sz w:val="20"/>
                      <w:szCs w:val="20"/>
                    </w:rPr>
                  </w:pPr>
                  <w:r>
                    <w:rPr>
                      <w:rFonts w:ascii="Tahoma" w:hAnsi="Tahoma" w:cs="Tahoma"/>
                      <w:sz w:val="20"/>
                      <w:szCs w:val="20"/>
                    </w:rPr>
                    <w:t>21.8%</w:t>
                  </w:r>
                </w:p>
              </w:tc>
            </w:tr>
            <w:tr w:rsidR="00485CC2" w:rsidRPr="001368AE" w14:paraId="1C241E74" w14:textId="77777777" w:rsidTr="00C22A2B">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05865B20"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40%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0E628317" w14:textId="77777777" w:rsidR="00485CC2" w:rsidRDefault="00485CC2" w:rsidP="00485CC2">
                  <w:pPr>
                    <w:jc w:val="right"/>
                    <w:rPr>
                      <w:rFonts w:ascii="Tahoma" w:hAnsi="Tahoma" w:cs="Tahoma"/>
                      <w:sz w:val="20"/>
                      <w:szCs w:val="20"/>
                    </w:rPr>
                  </w:pPr>
                  <w:r>
                    <w:rPr>
                      <w:rFonts w:ascii="Tahoma" w:hAnsi="Tahoma" w:cs="Tahoma"/>
                      <w:sz w:val="20"/>
                      <w:szCs w:val="20"/>
                    </w:rPr>
                    <w:t>20.6%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44BC020" w14:textId="77777777" w:rsidR="00485CC2" w:rsidRDefault="00485CC2" w:rsidP="00485CC2">
                  <w:pPr>
                    <w:jc w:val="right"/>
                    <w:rPr>
                      <w:rFonts w:ascii="Tahoma" w:hAnsi="Tahoma" w:cs="Tahoma"/>
                      <w:sz w:val="20"/>
                      <w:szCs w:val="20"/>
                    </w:rPr>
                  </w:pPr>
                  <w:r>
                    <w:rPr>
                      <w:rFonts w:ascii="Tahoma" w:hAnsi="Tahoma" w:cs="Tahoma"/>
                      <w:sz w:val="20"/>
                      <w:szCs w:val="20"/>
                    </w:rPr>
                    <w:t>20.6%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916835D" w14:textId="77777777" w:rsidR="00485CC2" w:rsidRDefault="00485CC2" w:rsidP="00485CC2">
                  <w:pPr>
                    <w:jc w:val="right"/>
                    <w:rPr>
                      <w:rFonts w:ascii="Tahoma" w:hAnsi="Tahoma" w:cs="Tahoma"/>
                      <w:sz w:val="20"/>
                      <w:szCs w:val="20"/>
                    </w:rPr>
                  </w:pPr>
                  <w:r>
                    <w:rPr>
                      <w:rFonts w:ascii="Tahoma" w:hAnsi="Tahoma" w:cs="Tahoma"/>
                      <w:sz w:val="20"/>
                      <w:szCs w:val="20"/>
                    </w:rPr>
                    <w:t>20.6%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FBA4474" w14:textId="77777777" w:rsidR="00485CC2" w:rsidRDefault="00485CC2" w:rsidP="00485CC2">
                  <w:pPr>
                    <w:jc w:val="right"/>
                    <w:rPr>
                      <w:rFonts w:ascii="Tahoma" w:hAnsi="Tahoma" w:cs="Tahoma"/>
                      <w:sz w:val="20"/>
                      <w:szCs w:val="20"/>
                    </w:rPr>
                  </w:pPr>
                  <w:r>
                    <w:rPr>
                      <w:rFonts w:ascii="Tahoma" w:hAnsi="Tahoma" w:cs="Tahoma"/>
                      <w:sz w:val="20"/>
                      <w:szCs w:val="20"/>
                    </w:rPr>
                    <w:t>20.6%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7E0DC6C" w14:textId="77777777" w:rsidR="00485CC2" w:rsidRDefault="00485CC2" w:rsidP="00485CC2">
                  <w:pPr>
                    <w:jc w:val="right"/>
                    <w:rPr>
                      <w:rFonts w:ascii="Tahoma" w:hAnsi="Tahoma" w:cs="Tahoma"/>
                      <w:sz w:val="20"/>
                      <w:szCs w:val="20"/>
                    </w:rPr>
                  </w:pPr>
                  <w:r>
                    <w:rPr>
                      <w:rFonts w:ascii="Tahoma" w:hAnsi="Tahoma" w:cs="Tahoma"/>
                      <w:sz w:val="20"/>
                      <w:szCs w:val="20"/>
                    </w:rPr>
                    <w:t>20.6%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875039D" w14:textId="77777777" w:rsidR="00485CC2" w:rsidRDefault="00485CC2" w:rsidP="00485CC2">
                  <w:pPr>
                    <w:jc w:val="right"/>
                    <w:rPr>
                      <w:rFonts w:ascii="Tahoma" w:hAnsi="Tahoma" w:cs="Tahoma"/>
                      <w:sz w:val="20"/>
                      <w:szCs w:val="20"/>
                    </w:rPr>
                  </w:pPr>
                  <w:r>
                    <w:rPr>
                      <w:rFonts w:ascii="Tahoma" w:hAnsi="Tahoma" w:cs="Tahoma"/>
                      <w:sz w:val="20"/>
                      <w:szCs w:val="20"/>
                    </w:rPr>
                    <w:t>20.8%</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0C185290" w14:textId="77777777" w:rsidR="00485CC2" w:rsidRDefault="00485CC2" w:rsidP="00485CC2">
                  <w:pPr>
                    <w:jc w:val="right"/>
                    <w:rPr>
                      <w:rFonts w:ascii="Tahoma" w:hAnsi="Tahoma" w:cs="Tahoma"/>
                      <w:sz w:val="20"/>
                      <w:szCs w:val="20"/>
                    </w:rPr>
                  </w:pPr>
                  <w:r>
                    <w:rPr>
                      <w:rFonts w:ascii="Tahoma" w:hAnsi="Tahoma" w:cs="Tahoma"/>
                      <w:sz w:val="20"/>
                      <w:szCs w:val="20"/>
                    </w:rPr>
                    <w:t>20.8%</w:t>
                  </w:r>
                </w:p>
              </w:tc>
            </w:tr>
            <w:tr w:rsidR="00485CC2" w:rsidRPr="001368AE" w14:paraId="1792F0A8" w14:textId="77777777" w:rsidTr="00C22A2B">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30B10E33"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50%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137A8E00" w14:textId="77777777" w:rsidR="00485CC2" w:rsidRDefault="00485CC2" w:rsidP="00485CC2">
                  <w:pPr>
                    <w:jc w:val="right"/>
                    <w:rPr>
                      <w:rFonts w:ascii="Tahoma" w:hAnsi="Tahoma" w:cs="Tahoma"/>
                      <w:sz w:val="20"/>
                      <w:szCs w:val="20"/>
                    </w:rPr>
                  </w:pPr>
                  <w:r>
                    <w:rPr>
                      <w:rFonts w:ascii="Tahoma" w:hAnsi="Tahoma" w:cs="Tahoma"/>
                      <w:sz w:val="20"/>
                      <w:szCs w:val="20"/>
                    </w:rPr>
                    <w:t>18.6%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FA656D0" w14:textId="77777777" w:rsidR="00485CC2" w:rsidRDefault="00485CC2" w:rsidP="00485CC2">
                  <w:pPr>
                    <w:jc w:val="right"/>
                    <w:rPr>
                      <w:rFonts w:ascii="Tahoma" w:hAnsi="Tahoma" w:cs="Tahoma"/>
                      <w:sz w:val="20"/>
                      <w:szCs w:val="20"/>
                    </w:rPr>
                  </w:pPr>
                  <w:r>
                    <w:rPr>
                      <w:rFonts w:ascii="Tahoma" w:hAnsi="Tahoma" w:cs="Tahoma"/>
                      <w:sz w:val="20"/>
                      <w:szCs w:val="20"/>
                    </w:rPr>
                    <w:t>19.4%</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B5D47FA" w14:textId="77777777" w:rsidR="00485CC2" w:rsidRDefault="00485CC2" w:rsidP="00485CC2">
                  <w:pPr>
                    <w:jc w:val="right"/>
                    <w:rPr>
                      <w:rFonts w:ascii="Tahoma" w:hAnsi="Tahoma" w:cs="Tahoma"/>
                      <w:sz w:val="20"/>
                      <w:szCs w:val="20"/>
                    </w:rPr>
                  </w:pPr>
                  <w:r>
                    <w:rPr>
                      <w:rFonts w:ascii="Tahoma" w:hAnsi="Tahoma" w:cs="Tahoma"/>
                      <w:sz w:val="20"/>
                      <w:szCs w:val="20"/>
                    </w:rPr>
                    <w:t>19.6%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49EF034" w14:textId="77777777" w:rsidR="00485CC2" w:rsidRDefault="00485CC2" w:rsidP="00485CC2">
                  <w:pPr>
                    <w:jc w:val="right"/>
                    <w:rPr>
                      <w:rFonts w:ascii="Tahoma" w:hAnsi="Tahoma" w:cs="Tahoma"/>
                      <w:sz w:val="20"/>
                      <w:szCs w:val="20"/>
                    </w:rPr>
                  </w:pPr>
                  <w:r>
                    <w:rPr>
                      <w:rFonts w:ascii="Tahoma" w:hAnsi="Tahoma" w:cs="Tahoma"/>
                      <w:sz w:val="20"/>
                      <w:szCs w:val="20"/>
                    </w:rPr>
                    <w:t>19.6%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3071BF14" w14:textId="77777777" w:rsidR="00485CC2" w:rsidRDefault="00485CC2" w:rsidP="00485CC2">
                  <w:pPr>
                    <w:jc w:val="right"/>
                    <w:rPr>
                      <w:rFonts w:ascii="Tahoma" w:hAnsi="Tahoma" w:cs="Tahoma"/>
                      <w:sz w:val="20"/>
                      <w:szCs w:val="20"/>
                    </w:rPr>
                  </w:pPr>
                  <w:r>
                    <w:rPr>
                      <w:rFonts w:ascii="Tahoma" w:hAnsi="Tahoma" w:cs="Tahoma"/>
                      <w:sz w:val="20"/>
                      <w:szCs w:val="20"/>
                    </w:rPr>
                    <w:t>19.8%</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6BC20FC" w14:textId="77777777" w:rsidR="00485CC2" w:rsidRDefault="00485CC2" w:rsidP="00485CC2">
                  <w:pPr>
                    <w:jc w:val="right"/>
                    <w:rPr>
                      <w:rFonts w:ascii="Tahoma" w:hAnsi="Tahoma" w:cs="Tahoma"/>
                      <w:sz w:val="20"/>
                      <w:szCs w:val="20"/>
                    </w:rPr>
                  </w:pPr>
                  <w:r>
                    <w:rPr>
                      <w:rFonts w:ascii="Tahoma" w:hAnsi="Tahoma" w:cs="Tahoma"/>
                      <w:sz w:val="20"/>
                      <w:szCs w:val="20"/>
                    </w:rPr>
                    <w:t>20.0%</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4A4A184C" w14:textId="77777777" w:rsidR="00485CC2" w:rsidRDefault="00485CC2" w:rsidP="00485CC2">
                  <w:pPr>
                    <w:jc w:val="right"/>
                    <w:rPr>
                      <w:rFonts w:ascii="Tahoma" w:hAnsi="Tahoma" w:cs="Tahoma"/>
                      <w:sz w:val="20"/>
                      <w:szCs w:val="20"/>
                    </w:rPr>
                  </w:pPr>
                  <w:r>
                    <w:rPr>
                      <w:rFonts w:ascii="Tahoma" w:hAnsi="Tahoma" w:cs="Tahoma"/>
                      <w:sz w:val="20"/>
                      <w:szCs w:val="20"/>
                    </w:rPr>
                    <w:t>20.2%</w:t>
                  </w:r>
                </w:p>
              </w:tc>
            </w:tr>
            <w:tr w:rsidR="00485CC2" w:rsidRPr="001368AE" w14:paraId="107BEB57" w14:textId="77777777" w:rsidTr="00C22A2B">
              <w:trPr>
                <w:trHeight w:val="70"/>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7B2716B9"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60%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259FB22B" w14:textId="77777777" w:rsidR="00485CC2" w:rsidRDefault="00485CC2" w:rsidP="00485CC2">
                  <w:pPr>
                    <w:jc w:val="right"/>
                    <w:rPr>
                      <w:rFonts w:ascii="Tahoma" w:hAnsi="Tahoma" w:cs="Tahoma"/>
                      <w:sz w:val="20"/>
                      <w:szCs w:val="20"/>
                    </w:rPr>
                  </w:pPr>
                  <w:r>
                    <w:rPr>
                      <w:rFonts w:ascii="Tahoma" w:hAnsi="Tahoma" w:cs="Tahoma"/>
                      <w:sz w:val="20"/>
                      <w:szCs w:val="20"/>
                    </w:rPr>
                    <w:t>10.6%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A82D1F1" w14:textId="77777777" w:rsidR="00485CC2" w:rsidRDefault="00485CC2" w:rsidP="00485CC2">
                  <w:pPr>
                    <w:jc w:val="right"/>
                    <w:rPr>
                      <w:rFonts w:ascii="Tahoma" w:hAnsi="Tahoma" w:cs="Tahoma"/>
                      <w:sz w:val="20"/>
                      <w:szCs w:val="20"/>
                    </w:rPr>
                  </w:pPr>
                  <w:r>
                    <w:rPr>
                      <w:rFonts w:ascii="Tahoma" w:hAnsi="Tahoma" w:cs="Tahoma"/>
                      <w:sz w:val="20"/>
                      <w:szCs w:val="20"/>
                    </w:rPr>
                    <w:t>17.8%</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7BCFED8" w14:textId="77777777" w:rsidR="00485CC2" w:rsidRDefault="00485CC2" w:rsidP="00485CC2">
                  <w:pPr>
                    <w:jc w:val="right"/>
                    <w:rPr>
                      <w:rFonts w:ascii="Tahoma" w:hAnsi="Tahoma" w:cs="Tahoma"/>
                      <w:sz w:val="20"/>
                      <w:szCs w:val="20"/>
                    </w:rPr>
                  </w:pPr>
                  <w:r>
                    <w:rPr>
                      <w:rFonts w:ascii="Tahoma" w:hAnsi="Tahoma" w:cs="Tahoma"/>
                      <w:sz w:val="20"/>
                      <w:szCs w:val="20"/>
                    </w:rPr>
                    <w:t>18.2%</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8895458" w14:textId="77777777" w:rsidR="00485CC2" w:rsidRDefault="00485CC2" w:rsidP="00485CC2">
                  <w:pPr>
                    <w:jc w:val="right"/>
                    <w:rPr>
                      <w:rFonts w:ascii="Tahoma" w:hAnsi="Tahoma" w:cs="Tahoma"/>
                      <w:sz w:val="20"/>
                      <w:szCs w:val="20"/>
                    </w:rPr>
                  </w:pPr>
                  <w:r>
                    <w:rPr>
                      <w:rFonts w:ascii="Tahoma" w:hAnsi="Tahoma" w:cs="Tahoma"/>
                      <w:sz w:val="20"/>
                      <w:szCs w:val="20"/>
                    </w:rPr>
                    <w:t>18.2%</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4775B6CB" w14:textId="77777777" w:rsidR="00485CC2" w:rsidRDefault="00485CC2" w:rsidP="00485CC2">
                  <w:pPr>
                    <w:jc w:val="right"/>
                    <w:rPr>
                      <w:rFonts w:ascii="Tahoma" w:hAnsi="Tahoma" w:cs="Tahoma"/>
                      <w:sz w:val="20"/>
                      <w:szCs w:val="20"/>
                    </w:rPr>
                  </w:pPr>
                  <w:r>
                    <w:rPr>
                      <w:rFonts w:ascii="Tahoma" w:hAnsi="Tahoma" w:cs="Tahoma"/>
                      <w:sz w:val="20"/>
                      <w:szCs w:val="20"/>
                    </w:rPr>
                    <w:t>18.8%</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9F26949" w14:textId="77777777" w:rsidR="00485CC2" w:rsidRDefault="00485CC2" w:rsidP="00485CC2">
                  <w:pPr>
                    <w:jc w:val="right"/>
                    <w:rPr>
                      <w:rFonts w:ascii="Tahoma" w:hAnsi="Tahoma" w:cs="Tahoma"/>
                      <w:sz w:val="20"/>
                      <w:szCs w:val="20"/>
                    </w:rPr>
                  </w:pPr>
                  <w:r>
                    <w:rPr>
                      <w:rFonts w:ascii="Tahoma" w:hAnsi="Tahoma" w:cs="Tahoma"/>
                      <w:sz w:val="20"/>
                      <w:szCs w:val="20"/>
                    </w:rPr>
                    <w:t>19.2%</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33BDB956" w14:textId="77777777" w:rsidR="00485CC2" w:rsidRDefault="00485CC2" w:rsidP="00485CC2">
                  <w:pPr>
                    <w:jc w:val="right"/>
                    <w:rPr>
                      <w:rFonts w:ascii="Tahoma" w:hAnsi="Tahoma" w:cs="Tahoma"/>
                      <w:sz w:val="20"/>
                      <w:szCs w:val="20"/>
                    </w:rPr>
                  </w:pPr>
                  <w:r>
                    <w:rPr>
                      <w:rFonts w:ascii="Tahoma" w:hAnsi="Tahoma" w:cs="Tahoma"/>
                      <w:sz w:val="20"/>
                      <w:szCs w:val="20"/>
                    </w:rPr>
                    <w:t>19.2%</w:t>
                  </w:r>
                </w:p>
              </w:tc>
            </w:tr>
            <w:tr w:rsidR="00485CC2" w:rsidRPr="001368AE" w14:paraId="58342BD6" w14:textId="77777777" w:rsidTr="00C22A2B">
              <w:trPr>
                <w:trHeight w:val="136"/>
              </w:trPr>
              <w:tc>
                <w:tcPr>
                  <w:tcW w:w="9933" w:type="dxa"/>
                  <w:gridSpan w:val="8"/>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7D002CF0" w14:textId="77777777" w:rsidR="00485CC2" w:rsidRDefault="00485CC2" w:rsidP="00485CC2">
                  <w:pPr>
                    <w:jc w:val="center"/>
                    <w:rPr>
                      <w:rFonts w:ascii="Tahoma" w:hAnsi="Tahoma" w:cs="Tahoma"/>
                      <w:sz w:val="20"/>
                      <w:szCs w:val="20"/>
                    </w:rPr>
                  </w:pPr>
                  <w:r>
                    <w:rPr>
                      <w:rFonts w:ascii="Tahoma" w:hAnsi="Tahoma" w:cs="Tahoma"/>
                      <w:sz w:val="20"/>
                      <w:szCs w:val="20"/>
                      <w:lang w:val="en-US"/>
                    </w:rPr>
                    <w:t>VGV</w:t>
                  </w:r>
                  <w:r>
                    <w:rPr>
                      <w:rFonts w:ascii="Tahoma" w:hAnsi="Tahoma" w:cs="Tahoma"/>
                      <w:sz w:val="20"/>
                      <w:szCs w:val="20"/>
                    </w:rPr>
                    <w:t>_Базовый</w:t>
                  </w:r>
                </w:p>
                <w:p w14:paraId="0AC8E635" w14:textId="77777777" w:rsidR="00485CC2" w:rsidRPr="001368AE" w:rsidRDefault="00485CC2" w:rsidP="00485CC2">
                  <w:pPr>
                    <w:jc w:val="center"/>
                    <w:rPr>
                      <w:rFonts w:ascii="Tahoma" w:hAnsi="Tahoma" w:cs="Tahoma"/>
                      <w:sz w:val="20"/>
                      <w:szCs w:val="20"/>
                    </w:rPr>
                  </w:pPr>
                  <w:r>
                    <w:rPr>
                      <w:rFonts w:ascii="Tahoma" w:hAnsi="Tahoma" w:cs="Tahoma"/>
                      <w:sz w:val="20"/>
                      <w:szCs w:val="20"/>
                    </w:rPr>
                    <w:t>(</w:t>
                  </w:r>
                  <w:r w:rsidRPr="005A07E7">
                    <w:rPr>
                      <w:rFonts w:ascii="Tahoma" w:hAnsi="Tahoma" w:cs="Tahoma"/>
                      <w:color w:val="000000"/>
                      <w:sz w:val="20"/>
                      <w:szCs w:val="20"/>
                    </w:rPr>
                    <w:t xml:space="preserve">при заключении договора </w:t>
                  </w:r>
                  <w:r>
                    <w:rPr>
                      <w:rFonts w:ascii="Tahoma" w:hAnsi="Tahoma" w:cs="Tahoma"/>
                      <w:color w:val="000000"/>
                      <w:sz w:val="20"/>
                      <w:szCs w:val="20"/>
                    </w:rPr>
                    <w:t>Л</w:t>
                  </w:r>
                  <w:r w:rsidRPr="005A07E7">
                    <w:rPr>
                      <w:rFonts w:ascii="Tahoma" w:hAnsi="Tahoma" w:cs="Tahoma"/>
                      <w:color w:val="000000"/>
                      <w:sz w:val="20"/>
                      <w:szCs w:val="20"/>
                    </w:rPr>
                    <w:t>ичного страхования*</w:t>
                  </w:r>
                  <w:r>
                    <w:rPr>
                      <w:rFonts w:ascii="Tahoma" w:hAnsi="Tahoma" w:cs="Tahoma"/>
                      <w:color w:val="000000"/>
                      <w:sz w:val="20"/>
                      <w:szCs w:val="20"/>
                    </w:rPr>
                    <w:t>)</w:t>
                  </w:r>
                </w:p>
              </w:tc>
            </w:tr>
            <w:tr w:rsidR="00485CC2" w:rsidRPr="001368AE" w14:paraId="3E9E46A7" w14:textId="77777777" w:rsidTr="00C22A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center"/>
                </w:tcPr>
                <w:p w14:paraId="64828D80"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Первоначальный взнос\Срок</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F7B62C1"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13 мес</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center"/>
                </w:tcPr>
                <w:p w14:paraId="3B887E99"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24 мес</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center"/>
                </w:tcPr>
                <w:p w14:paraId="7E6D906A"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36 мес</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center"/>
                </w:tcPr>
                <w:p w14:paraId="4C4A34BC"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48 мес</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center"/>
                </w:tcPr>
                <w:p w14:paraId="55D5DE72"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60 мес</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center"/>
                </w:tcPr>
                <w:p w14:paraId="08C3A691" w14:textId="77777777" w:rsidR="00485CC2" w:rsidRPr="001368AE" w:rsidRDefault="00485CC2" w:rsidP="00485CC2">
                  <w:pPr>
                    <w:jc w:val="right"/>
                    <w:rPr>
                      <w:rFonts w:ascii="Tahoma" w:hAnsi="Tahoma" w:cs="Tahoma"/>
                      <w:sz w:val="20"/>
                      <w:szCs w:val="20"/>
                    </w:rPr>
                  </w:pPr>
                  <w:r w:rsidRPr="001368AE">
                    <w:rPr>
                      <w:rFonts w:ascii="Tahoma" w:hAnsi="Tahoma" w:cs="Tahoma"/>
                      <w:sz w:val="20"/>
                      <w:szCs w:val="20"/>
                    </w:rPr>
                    <w:t>72 мес</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center"/>
                </w:tcPr>
                <w:p w14:paraId="54D9B269" w14:textId="77777777" w:rsidR="00485CC2" w:rsidRPr="001368AE" w:rsidRDefault="00485CC2" w:rsidP="00485CC2">
                  <w:pPr>
                    <w:jc w:val="center"/>
                    <w:rPr>
                      <w:rFonts w:ascii="Tahoma" w:hAnsi="Tahoma" w:cs="Tahoma"/>
                      <w:sz w:val="20"/>
                      <w:szCs w:val="20"/>
                    </w:rPr>
                  </w:pPr>
                  <w:r w:rsidRPr="001368AE">
                    <w:rPr>
                      <w:rFonts w:ascii="Tahoma" w:hAnsi="Tahoma" w:cs="Tahoma"/>
                      <w:sz w:val="20"/>
                      <w:szCs w:val="20"/>
                    </w:rPr>
                    <w:t>84 мес</w:t>
                  </w:r>
                </w:p>
              </w:tc>
            </w:tr>
            <w:tr w:rsidR="00485CC2" w:rsidRPr="001368AE" w14:paraId="079F490A" w14:textId="77777777" w:rsidTr="00C22A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59094CB5"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54D0A600" w14:textId="77777777" w:rsidR="00485CC2" w:rsidRDefault="00485CC2" w:rsidP="00485CC2">
                  <w:pPr>
                    <w:jc w:val="right"/>
                    <w:rPr>
                      <w:rFonts w:ascii="Tahoma" w:hAnsi="Tahoma" w:cs="Tahoma"/>
                      <w:sz w:val="20"/>
                      <w:szCs w:val="20"/>
                    </w:rPr>
                  </w:pPr>
                  <w:r>
                    <w:rPr>
                      <w:rFonts w:ascii="Tahoma" w:hAnsi="Tahoma" w:cs="Tahoma"/>
                      <w:sz w:val="20"/>
                      <w:szCs w:val="20"/>
                    </w:rPr>
                    <w:t>20.4%</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37D3D91" w14:textId="77777777" w:rsidR="00485CC2" w:rsidRDefault="00485CC2" w:rsidP="00485CC2">
                  <w:pPr>
                    <w:jc w:val="right"/>
                    <w:rPr>
                      <w:rFonts w:ascii="Tahoma" w:hAnsi="Tahoma" w:cs="Tahoma"/>
                      <w:sz w:val="20"/>
                      <w:szCs w:val="20"/>
                    </w:rPr>
                  </w:pPr>
                  <w:r>
                    <w:rPr>
                      <w:rFonts w:ascii="Tahoma" w:hAnsi="Tahoma" w:cs="Tahoma"/>
                      <w:sz w:val="20"/>
                      <w:szCs w:val="20"/>
                    </w:rPr>
                    <w:t>18.0%</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6AFCF46" w14:textId="77777777" w:rsidR="00485CC2" w:rsidRDefault="00485CC2" w:rsidP="00485CC2">
                  <w:pPr>
                    <w:jc w:val="right"/>
                    <w:rPr>
                      <w:rFonts w:ascii="Tahoma" w:hAnsi="Tahoma" w:cs="Tahoma"/>
                      <w:sz w:val="20"/>
                      <w:szCs w:val="20"/>
                    </w:rPr>
                  </w:pPr>
                  <w:r>
                    <w:rPr>
                      <w:rFonts w:ascii="Tahoma" w:hAnsi="Tahoma" w:cs="Tahoma"/>
                      <w:sz w:val="20"/>
                      <w:szCs w:val="20"/>
                    </w:rPr>
                    <w:t>18.6%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31AF83FA" w14:textId="77777777" w:rsidR="00485CC2" w:rsidRDefault="00485CC2" w:rsidP="00485CC2">
                  <w:pPr>
                    <w:jc w:val="right"/>
                    <w:rPr>
                      <w:rFonts w:ascii="Tahoma" w:hAnsi="Tahoma" w:cs="Tahoma"/>
                      <w:sz w:val="20"/>
                      <w:szCs w:val="20"/>
                    </w:rPr>
                  </w:pPr>
                  <w:r>
                    <w:rPr>
                      <w:rFonts w:ascii="Tahoma" w:hAnsi="Tahoma" w:cs="Tahoma"/>
                      <w:sz w:val="20"/>
                      <w:szCs w:val="20"/>
                    </w:rPr>
                    <w:t>18.8%</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3566D59A" w14:textId="77777777" w:rsidR="00485CC2" w:rsidRDefault="00485CC2" w:rsidP="00485CC2">
                  <w:pPr>
                    <w:jc w:val="right"/>
                    <w:rPr>
                      <w:rFonts w:ascii="Tahoma" w:hAnsi="Tahoma" w:cs="Tahoma"/>
                      <w:sz w:val="20"/>
                      <w:szCs w:val="20"/>
                    </w:rPr>
                  </w:pPr>
                  <w:r>
                    <w:rPr>
                      <w:rFonts w:ascii="Tahoma" w:hAnsi="Tahoma" w:cs="Tahoma"/>
                      <w:sz w:val="20"/>
                      <w:szCs w:val="20"/>
                    </w:rPr>
                    <w:t>19.6%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451D4F3C" w14:textId="77777777" w:rsidR="00485CC2" w:rsidRDefault="00485CC2" w:rsidP="00485CC2">
                  <w:pPr>
                    <w:jc w:val="right"/>
                    <w:rPr>
                      <w:rFonts w:ascii="Tahoma" w:hAnsi="Tahoma" w:cs="Tahoma"/>
                      <w:sz w:val="20"/>
                      <w:szCs w:val="20"/>
                    </w:rPr>
                  </w:pPr>
                  <w:r>
                    <w:rPr>
                      <w:rFonts w:ascii="Tahoma" w:hAnsi="Tahoma" w:cs="Tahoma"/>
                      <w:sz w:val="20"/>
                      <w:szCs w:val="20"/>
                    </w:rPr>
                    <w:t>20.4%</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107585EB" w14:textId="77777777" w:rsidR="00485CC2" w:rsidRDefault="00485CC2" w:rsidP="00485CC2">
                  <w:pPr>
                    <w:jc w:val="right"/>
                    <w:rPr>
                      <w:rFonts w:ascii="Tahoma" w:hAnsi="Tahoma" w:cs="Tahoma"/>
                      <w:sz w:val="20"/>
                      <w:szCs w:val="20"/>
                    </w:rPr>
                  </w:pPr>
                  <w:r>
                    <w:rPr>
                      <w:rFonts w:ascii="Tahoma" w:hAnsi="Tahoma" w:cs="Tahoma"/>
                      <w:sz w:val="20"/>
                      <w:szCs w:val="20"/>
                    </w:rPr>
                    <w:t>20.4%</w:t>
                  </w:r>
                </w:p>
              </w:tc>
            </w:tr>
            <w:tr w:rsidR="00485CC2" w:rsidRPr="001368AE" w14:paraId="5F96F94E" w14:textId="77777777" w:rsidTr="00C22A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04C1AEBF"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10%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15598C03" w14:textId="77777777" w:rsidR="00485CC2" w:rsidRDefault="00485CC2" w:rsidP="00485CC2">
                  <w:pPr>
                    <w:jc w:val="right"/>
                    <w:rPr>
                      <w:rFonts w:ascii="Tahoma" w:hAnsi="Tahoma" w:cs="Tahoma"/>
                      <w:sz w:val="20"/>
                      <w:szCs w:val="20"/>
                    </w:rPr>
                  </w:pPr>
                  <w:r>
                    <w:rPr>
                      <w:rFonts w:ascii="Tahoma" w:hAnsi="Tahoma" w:cs="Tahoma"/>
                      <w:sz w:val="20"/>
                      <w:szCs w:val="20"/>
                    </w:rPr>
                    <w:t>19.2%</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275D1287" w14:textId="77777777" w:rsidR="00485CC2" w:rsidRDefault="00485CC2" w:rsidP="00485CC2">
                  <w:pPr>
                    <w:jc w:val="right"/>
                    <w:rPr>
                      <w:rFonts w:ascii="Tahoma" w:hAnsi="Tahoma" w:cs="Tahoma"/>
                      <w:sz w:val="20"/>
                      <w:szCs w:val="20"/>
                    </w:rPr>
                  </w:pPr>
                  <w:r>
                    <w:rPr>
                      <w:rFonts w:ascii="Tahoma" w:hAnsi="Tahoma" w:cs="Tahoma"/>
                      <w:sz w:val="20"/>
                      <w:szCs w:val="20"/>
                    </w:rPr>
                    <w:t>17.0%</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389C8ACD" w14:textId="77777777" w:rsidR="00485CC2" w:rsidRDefault="00485CC2" w:rsidP="00485CC2">
                  <w:pPr>
                    <w:jc w:val="right"/>
                    <w:rPr>
                      <w:rFonts w:ascii="Tahoma" w:hAnsi="Tahoma" w:cs="Tahoma"/>
                      <w:sz w:val="20"/>
                      <w:szCs w:val="20"/>
                    </w:rPr>
                  </w:pPr>
                  <w:r>
                    <w:rPr>
                      <w:rFonts w:ascii="Tahoma" w:hAnsi="Tahoma" w:cs="Tahoma"/>
                      <w:sz w:val="20"/>
                      <w:szCs w:val="20"/>
                    </w:rPr>
                    <w:t>18.0%</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885B86E" w14:textId="77777777" w:rsidR="00485CC2" w:rsidRDefault="00485CC2" w:rsidP="00485CC2">
                  <w:pPr>
                    <w:jc w:val="right"/>
                    <w:rPr>
                      <w:rFonts w:ascii="Tahoma" w:hAnsi="Tahoma" w:cs="Tahoma"/>
                      <w:sz w:val="20"/>
                      <w:szCs w:val="20"/>
                    </w:rPr>
                  </w:pPr>
                  <w:r>
                    <w:rPr>
                      <w:rFonts w:ascii="Tahoma" w:hAnsi="Tahoma" w:cs="Tahoma"/>
                      <w:sz w:val="20"/>
                      <w:szCs w:val="20"/>
                    </w:rPr>
                    <w:t>18.2%</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D014B9E" w14:textId="77777777" w:rsidR="00485CC2" w:rsidRDefault="00485CC2" w:rsidP="00485CC2">
                  <w:pPr>
                    <w:jc w:val="right"/>
                    <w:rPr>
                      <w:rFonts w:ascii="Tahoma" w:hAnsi="Tahoma" w:cs="Tahoma"/>
                      <w:sz w:val="20"/>
                      <w:szCs w:val="20"/>
                    </w:rPr>
                  </w:pPr>
                  <w:r>
                    <w:rPr>
                      <w:rFonts w:ascii="Tahoma" w:hAnsi="Tahoma" w:cs="Tahoma"/>
                      <w:sz w:val="20"/>
                      <w:szCs w:val="20"/>
                    </w:rPr>
                    <w:t>19.2%</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65BEEFAC" w14:textId="77777777" w:rsidR="00485CC2" w:rsidRDefault="00485CC2" w:rsidP="00485CC2">
                  <w:pPr>
                    <w:jc w:val="right"/>
                    <w:rPr>
                      <w:rFonts w:ascii="Tahoma" w:hAnsi="Tahoma" w:cs="Tahoma"/>
                      <w:sz w:val="20"/>
                      <w:szCs w:val="20"/>
                    </w:rPr>
                  </w:pPr>
                  <w:r>
                    <w:rPr>
                      <w:rFonts w:ascii="Tahoma" w:hAnsi="Tahoma" w:cs="Tahoma"/>
                      <w:sz w:val="20"/>
                      <w:szCs w:val="20"/>
                    </w:rPr>
                    <w:t>19.6%</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68FD7C50" w14:textId="77777777" w:rsidR="00485CC2" w:rsidRDefault="00485CC2" w:rsidP="00485CC2">
                  <w:pPr>
                    <w:jc w:val="right"/>
                    <w:rPr>
                      <w:rFonts w:ascii="Tahoma" w:hAnsi="Tahoma" w:cs="Tahoma"/>
                      <w:sz w:val="20"/>
                      <w:szCs w:val="20"/>
                    </w:rPr>
                  </w:pPr>
                  <w:r>
                    <w:rPr>
                      <w:rFonts w:ascii="Tahoma" w:hAnsi="Tahoma" w:cs="Tahoma"/>
                      <w:sz w:val="20"/>
                      <w:szCs w:val="20"/>
                    </w:rPr>
                    <w:t>20.4%</w:t>
                  </w:r>
                </w:p>
              </w:tc>
            </w:tr>
            <w:tr w:rsidR="00485CC2" w:rsidRPr="001368AE" w14:paraId="2F69199E" w14:textId="77777777" w:rsidTr="00C22A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3DE702EC"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20%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6267EC8D" w14:textId="77777777" w:rsidR="00485CC2" w:rsidRDefault="00485CC2" w:rsidP="00485CC2">
                  <w:pPr>
                    <w:jc w:val="right"/>
                    <w:rPr>
                      <w:rFonts w:ascii="Tahoma" w:hAnsi="Tahoma" w:cs="Tahoma"/>
                      <w:sz w:val="20"/>
                      <w:szCs w:val="20"/>
                    </w:rPr>
                  </w:pPr>
                  <w:r>
                    <w:rPr>
                      <w:rFonts w:ascii="Tahoma" w:hAnsi="Tahoma" w:cs="Tahoma"/>
                      <w:sz w:val="20"/>
                      <w:szCs w:val="20"/>
                    </w:rPr>
                    <w:t>18.2%</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47EACEBD" w14:textId="77777777" w:rsidR="00485CC2" w:rsidRDefault="00485CC2" w:rsidP="00485CC2">
                  <w:pPr>
                    <w:jc w:val="right"/>
                    <w:rPr>
                      <w:rFonts w:ascii="Tahoma" w:hAnsi="Tahoma" w:cs="Tahoma"/>
                      <w:sz w:val="20"/>
                      <w:szCs w:val="20"/>
                    </w:rPr>
                  </w:pPr>
                  <w:r>
                    <w:rPr>
                      <w:rFonts w:ascii="Tahoma" w:hAnsi="Tahoma" w:cs="Tahoma"/>
                      <w:sz w:val="20"/>
                      <w:szCs w:val="20"/>
                    </w:rPr>
                    <w:t>16.4%</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60A099F" w14:textId="77777777" w:rsidR="00485CC2" w:rsidRDefault="00485CC2" w:rsidP="00485CC2">
                  <w:pPr>
                    <w:jc w:val="right"/>
                    <w:rPr>
                      <w:rFonts w:ascii="Tahoma" w:hAnsi="Tahoma" w:cs="Tahoma"/>
                      <w:sz w:val="20"/>
                      <w:szCs w:val="20"/>
                    </w:rPr>
                  </w:pPr>
                  <w:r>
                    <w:rPr>
                      <w:rFonts w:ascii="Tahoma" w:hAnsi="Tahoma" w:cs="Tahoma"/>
                      <w:sz w:val="20"/>
                      <w:szCs w:val="20"/>
                    </w:rPr>
                    <w:t>17.2%</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A1FCDE3" w14:textId="77777777" w:rsidR="00485CC2" w:rsidRDefault="00485CC2" w:rsidP="00485CC2">
                  <w:pPr>
                    <w:jc w:val="right"/>
                    <w:rPr>
                      <w:rFonts w:ascii="Tahoma" w:hAnsi="Tahoma" w:cs="Tahoma"/>
                      <w:sz w:val="20"/>
                      <w:szCs w:val="20"/>
                    </w:rPr>
                  </w:pPr>
                  <w:r>
                    <w:rPr>
                      <w:rFonts w:ascii="Tahoma" w:hAnsi="Tahoma" w:cs="Tahoma"/>
                      <w:sz w:val="20"/>
                      <w:szCs w:val="20"/>
                    </w:rPr>
                    <w:t>17.4%</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12A4EFC" w14:textId="77777777" w:rsidR="00485CC2" w:rsidRDefault="00485CC2" w:rsidP="00485CC2">
                  <w:pPr>
                    <w:jc w:val="right"/>
                    <w:rPr>
                      <w:rFonts w:ascii="Tahoma" w:hAnsi="Tahoma" w:cs="Tahoma"/>
                      <w:sz w:val="20"/>
                      <w:szCs w:val="20"/>
                    </w:rPr>
                  </w:pPr>
                  <w:r>
                    <w:rPr>
                      <w:rFonts w:ascii="Tahoma" w:hAnsi="Tahoma" w:cs="Tahoma"/>
                      <w:sz w:val="20"/>
                      <w:szCs w:val="20"/>
                    </w:rPr>
                    <w:t>18.4%</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F250B5D" w14:textId="77777777" w:rsidR="00485CC2" w:rsidRDefault="00485CC2" w:rsidP="00485CC2">
                  <w:pPr>
                    <w:jc w:val="right"/>
                    <w:rPr>
                      <w:rFonts w:ascii="Tahoma" w:hAnsi="Tahoma" w:cs="Tahoma"/>
                      <w:sz w:val="20"/>
                      <w:szCs w:val="20"/>
                    </w:rPr>
                  </w:pPr>
                  <w:r>
                    <w:rPr>
                      <w:rFonts w:ascii="Tahoma" w:hAnsi="Tahoma" w:cs="Tahoma"/>
                      <w:sz w:val="20"/>
                      <w:szCs w:val="20"/>
                    </w:rPr>
                    <w:t>19.0%</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2B31C541" w14:textId="77777777" w:rsidR="00485CC2" w:rsidRDefault="00485CC2" w:rsidP="00485CC2">
                  <w:pPr>
                    <w:jc w:val="right"/>
                    <w:rPr>
                      <w:rFonts w:ascii="Tahoma" w:hAnsi="Tahoma" w:cs="Tahoma"/>
                      <w:sz w:val="20"/>
                      <w:szCs w:val="20"/>
                    </w:rPr>
                  </w:pPr>
                  <w:r>
                    <w:rPr>
                      <w:rFonts w:ascii="Tahoma" w:hAnsi="Tahoma" w:cs="Tahoma"/>
                      <w:sz w:val="20"/>
                      <w:szCs w:val="20"/>
                    </w:rPr>
                    <w:t>19.0%</w:t>
                  </w:r>
                </w:p>
              </w:tc>
            </w:tr>
            <w:tr w:rsidR="00485CC2" w:rsidRPr="001368AE" w14:paraId="6B8C8F7D" w14:textId="77777777" w:rsidTr="00C22A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6E08956B"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30%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5A590D99" w14:textId="77777777" w:rsidR="00485CC2" w:rsidRDefault="00485CC2" w:rsidP="00485CC2">
                  <w:pPr>
                    <w:jc w:val="right"/>
                    <w:rPr>
                      <w:rFonts w:ascii="Tahoma" w:hAnsi="Tahoma" w:cs="Tahoma"/>
                      <w:sz w:val="20"/>
                      <w:szCs w:val="20"/>
                    </w:rPr>
                  </w:pPr>
                  <w:r>
                    <w:rPr>
                      <w:rFonts w:ascii="Tahoma" w:hAnsi="Tahoma" w:cs="Tahoma"/>
                      <w:sz w:val="20"/>
                      <w:szCs w:val="20"/>
                    </w:rPr>
                    <w:t>16.8%</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256B9DCB" w14:textId="77777777" w:rsidR="00485CC2" w:rsidRDefault="00485CC2" w:rsidP="00485CC2">
                  <w:pPr>
                    <w:jc w:val="right"/>
                    <w:rPr>
                      <w:rFonts w:ascii="Tahoma" w:hAnsi="Tahoma" w:cs="Tahoma"/>
                      <w:sz w:val="20"/>
                      <w:szCs w:val="20"/>
                    </w:rPr>
                  </w:pPr>
                  <w:r>
                    <w:rPr>
                      <w:rFonts w:ascii="Tahoma" w:hAnsi="Tahoma" w:cs="Tahoma"/>
                      <w:sz w:val="20"/>
                      <w:szCs w:val="20"/>
                    </w:rPr>
                    <w:t>15.4%</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2C914E36" w14:textId="77777777" w:rsidR="00485CC2" w:rsidRDefault="00485CC2" w:rsidP="00485CC2">
                  <w:pPr>
                    <w:jc w:val="right"/>
                    <w:rPr>
                      <w:rFonts w:ascii="Tahoma" w:hAnsi="Tahoma" w:cs="Tahoma"/>
                      <w:sz w:val="20"/>
                      <w:szCs w:val="20"/>
                    </w:rPr>
                  </w:pPr>
                  <w:r>
                    <w:rPr>
                      <w:rFonts w:ascii="Tahoma" w:hAnsi="Tahoma" w:cs="Tahoma"/>
                      <w:sz w:val="20"/>
                      <w:szCs w:val="20"/>
                    </w:rPr>
                    <w:t>16.4%</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D7242CF" w14:textId="77777777" w:rsidR="00485CC2" w:rsidRDefault="00485CC2" w:rsidP="00485CC2">
                  <w:pPr>
                    <w:jc w:val="right"/>
                    <w:rPr>
                      <w:rFonts w:ascii="Tahoma" w:hAnsi="Tahoma" w:cs="Tahoma"/>
                      <w:sz w:val="20"/>
                      <w:szCs w:val="20"/>
                    </w:rPr>
                  </w:pPr>
                  <w:r>
                    <w:rPr>
                      <w:rFonts w:ascii="Tahoma" w:hAnsi="Tahoma" w:cs="Tahoma"/>
                      <w:sz w:val="20"/>
                      <w:szCs w:val="20"/>
                    </w:rPr>
                    <w:t>16.6%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379ED33" w14:textId="77777777" w:rsidR="00485CC2" w:rsidRDefault="00485CC2" w:rsidP="00485CC2">
                  <w:pPr>
                    <w:jc w:val="right"/>
                    <w:rPr>
                      <w:rFonts w:ascii="Tahoma" w:hAnsi="Tahoma" w:cs="Tahoma"/>
                      <w:sz w:val="20"/>
                      <w:szCs w:val="20"/>
                    </w:rPr>
                  </w:pPr>
                  <w:r>
                    <w:rPr>
                      <w:rFonts w:ascii="Tahoma" w:hAnsi="Tahoma" w:cs="Tahoma"/>
                      <w:sz w:val="20"/>
                      <w:szCs w:val="20"/>
                    </w:rPr>
                    <w:t>17.8%</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78D6383" w14:textId="77777777" w:rsidR="00485CC2" w:rsidRDefault="00485CC2" w:rsidP="00485CC2">
                  <w:pPr>
                    <w:jc w:val="right"/>
                    <w:rPr>
                      <w:rFonts w:ascii="Tahoma" w:hAnsi="Tahoma" w:cs="Tahoma"/>
                      <w:sz w:val="20"/>
                      <w:szCs w:val="20"/>
                    </w:rPr>
                  </w:pPr>
                  <w:r>
                    <w:rPr>
                      <w:rFonts w:ascii="Tahoma" w:hAnsi="Tahoma" w:cs="Tahoma"/>
                      <w:sz w:val="20"/>
                      <w:szCs w:val="20"/>
                    </w:rPr>
                    <w:t>18.4%</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062F9C51" w14:textId="77777777" w:rsidR="00485CC2" w:rsidRDefault="00485CC2" w:rsidP="00485CC2">
                  <w:pPr>
                    <w:jc w:val="right"/>
                    <w:rPr>
                      <w:rFonts w:ascii="Tahoma" w:hAnsi="Tahoma" w:cs="Tahoma"/>
                      <w:sz w:val="20"/>
                      <w:szCs w:val="20"/>
                    </w:rPr>
                  </w:pPr>
                  <w:r>
                    <w:rPr>
                      <w:rFonts w:ascii="Tahoma" w:hAnsi="Tahoma" w:cs="Tahoma"/>
                      <w:sz w:val="20"/>
                      <w:szCs w:val="20"/>
                    </w:rPr>
                    <w:t>18.8%</w:t>
                  </w:r>
                </w:p>
              </w:tc>
            </w:tr>
            <w:tr w:rsidR="00485CC2" w:rsidRPr="001368AE" w14:paraId="79FDF12E" w14:textId="77777777" w:rsidTr="00C22A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0A6993DE"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40%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0F5A5D08" w14:textId="77777777" w:rsidR="00485CC2" w:rsidRDefault="00485CC2" w:rsidP="00485CC2">
                  <w:pPr>
                    <w:jc w:val="right"/>
                    <w:rPr>
                      <w:rFonts w:ascii="Tahoma" w:hAnsi="Tahoma" w:cs="Tahoma"/>
                      <w:sz w:val="20"/>
                      <w:szCs w:val="20"/>
                    </w:rPr>
                  </w:pPr>
                  <w:r>
                    <w:rPr>
                      <w:rFonts w:ascii="Tahoma" w:hAnsi="Tahoma" w:cs="Tahoma"/>
                      <w:sz w:val="20"/>
                      <w:szCs w:val="20"/>
                    </w:rPr>
                    <w:t>15.4%</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18AFA3EC" w14:textId="77777777" w:rsidR="00485CC2" w:rsidRDefault="00485CC2" w:rsidP="00485CC2">
                  <w:pPr>
                    <w:jc w:val="right"/>
                    <w:rPr>
                      <w:rFonts w:ascii="Tahoma" w:hAnsi="Tahoma" w:cs="Tahoma"/>
                      <w:sz w:val="20"/>
                      <w:szCs w:val="20"/>
                    </w:rPr>
                  </w:pPr>
                  <w:r>
                    <w:rPr>
                      <w:rFonts w:ascii="Tahoma" w:hAnsi="Tahoma" w:cs="Tahoma"/>
                      <w:sz w:val="20"/>
                      <w:szCs w:val="20"/>
                    </w:rPr>
                    <w:t>14.6%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25304810" w14:textId="77777777" w:rsidR="00485CC2" w:rsidRDefault="00485CC2" w:rsidP="00485CC2">
                  <w:pPr>
                    <w:jc w:val="right"/>
                    <w:rPr>
                      <w:rFonts w:ascii="Tahoma" w:hAnsi="Tahoma" w:cs="Tahoma"/>
                      <w:sz w:val="20"/>
                      <w:szCs w:val="20"/>
                    </w:rPr>
                  </w:pPr>
                  <w:r>
                    <w:rPr>
                      <w:rFonts w:ascii="Tahoma" w:hAnsi="Tahoma" w:cs="Tahoma"/>
                      <w:sz w:val="20"/>
                      <w:szCs w:val="20"/>
                    </w:rPr>
                    <w:t>15.6%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4849518C" w14:textId="77777777" w:rsidR="00485CC2" w:rsidRDefault="00485CC2" w:rsidP="00485CC2">
                  <w:pPr>
                    <w:jc w:val="right"/>
                    <w:rPr>
                      <w:rFonts w:ascii="Tahoma" w:hAnsi="Tahoma" w:cs="Tahoma"/>
                      <w:sz w:val="20"/>
                      <w:szCs w:val="20"/>
                    </w:rPr>
                  </w:pPr>
                  <w:r>
                    <w:rPr>
                      <w:rFonts w:ascii="Tahoma" w:hAnsi="Tahoma" w:cs="Tahoma"/>
                      <w:sz w:val="20"/>
                      <w:szCs w:val="20"/>
                    </w:rPr>
                    <w:t>15.6%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3FCA497E" w14:textId="77777777" w:rsidR="00485CC2" w:rsidRDefault="00485CC2" w:rsidP="00485CC2">
                  <w:pPr>
                    <w:jc w:val="right"/>
                    <w:rPr>
                      <w:rFonts w:ascii="Tahoma" w:hAnsi="Tahoma" w:cs="Tahoma"/>
                      <w:sz w:val="20"/>
                      <w:szCs w:val="20"/>
                    </w:rPr>
                  </w:pPr>
                  <w:r>
                    <w:rPr>
                      <w:rFonts w:ascii="Tahoma" w:hAnsi="Tahoma" w:cs="Tahoma"/>
                      <w:sz w:val="20"/>
                      <w:szCs w:val="20"/>
                    </w:rPr>
                    <w:t>16.8%</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4E723440" w14:textId="77777777" w:rsidR="00485CC2" w:rsidRDefault="00485CC2" w:rsidP="00485CC2">
                  <w:pPr>
                    <w:jc w:val="right"/>
                    <w:rPr>
                      <w:rFonts w:ascii="Tahoma" w:hAnsi="Tahoma" w:cs="Tahoma"/>
                      <w:sz w:val="20"/>
                      <w:szCs w:val="20"/>
                    </w:rPr>
                  </w:pPr>
                  <w:r>
                    <w:rPr>
                      <w:rFonts w:ascii="Tahoma" w:hAnsi="Tahoma" w:cs="Tahoma"/>
                      <w:sz w:val="20"/>
                      <w:szCs w:val="20"/>
                    </w:rPr>
                    <w:t>17.6%</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0E4B4E0D" w14:textId="77777777" w:rsidR="00485CC2" w:rsidRDefault="00485CC2" w:rsidP="00485CC2">
                  <w:pPr>
                    <w:jc w:val="right"/>
                    <w:rPr>
                      <w:rFonts w:ascii="Tahoma" w:hAnsi="Tahoma" w:cs="Tahoma"/>
                      <w:sz w:val="20"/>
                      <w:szCs w:val="20"/>
                    </w:rPr>
                  </w:pPr>
                  <w:r>
                    <w:rPr>
                      <w:rFonts w:ascii="Tahoma" w:hAnsi="Tahoma" w:cs="Tahoma"/>
                      <w:sz w:val="20"/>
                      <w:szCs w:val="20"/>
                    </w:rPr>
                    <w:t>18.0%</w:t>
                  </w:r>
                </w:p>
              </w:tc>
            </w:tr>
            <w:tr w:rsidR="00485CC2" w:rsidRPr="001368AE" w14:paraId="20C808E2" w14:textId="77777777" w:rsidTr="00C22A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1E1A7536"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50%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780F6A10" w14:textId="77777777" w:rsidR="00485CC2" w:rsidRDefault="00485CC2" w:rsidP="00485CC2">
                  <w:pPr>
                    <w:jc w:val="right"/>
                    <w:rPr>
                      <w:rFonts w:ascii="Tahoma" w:hAnsi="Tahoma" w:cs="Tahoma"/>
                      <w:sz w:val="20"/>
                      <w:szCs w:val="20"/>
                    </w:rPr>
                  </w:pPr>
                  <w:r>
                    <w:rPr>
                      <w:rFonts w:ascii="Tahoma" w:hAnsi="Tahoma" w:cs="Tahoma"/>
                      <w:sz w:val="20"/>
                      <w:szCs w:val="20"/>
                    </w:rPr>
                    <w:t>13.4%</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0264D2AA" w14:textId="77777777" w:rsidR="00485CC2" w:rsidRDefault="00485CC2" w:rsidP="00485CC2">
                  <w:pPr>
                    <w:jc w:val="right"/>
                    <w:rPr>
                      <w:rFonts w:ascii="Tahoma" w:hAnsi="Tahoma" w:cs="Tahoma"/>
                      <w:sz w:val="20"/>
                      <w:szCs w:val="20"/>
                    </w:rPr>
                  </w:pPr>
                  <w:r>
                    <w:rPr>
                      <w:rFonts w:ascii="Tahoma" w:hAnsi="Tahoma" w:cs="Tahoma"/>
                      <w:sz w:val="20"/>
                      <w:szCs w:val="20"/>
                    </w:rPr>
                    <w:t>13.4%</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0F27821" w14:textId="77777777" w:rsidR="00485CC2" w:rsidRDefault="00485CC2" w:rsidP="00485CC2">
                  <w:pPr>
                    <w:jc w:val="right"/>
                    <w:rPr>
                      <w:rFonts w:ascii="Tahoma" w:hAnsi="Tahoma" w:cs="Tahoma"/>
                      <w:sz w:val="20"/>
                      <w:szCs w:val="20"/>
                    </w:rPr>
                  </w:pPr>
                  <w:r>
                    <w:rPr>
                      <w:rFonts w:ascii="Tahoma" w:hAnsi="Tahoma" w:cs="Tahoma"/>
                      <w:sz w:val="20"/>
                      <w:szCs w:val="20"/>
                    </w:rPr>
                    <w:t>14.6%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20F788EC" w14:textId="77777777" w:rsidR="00485CC2" w:rsidRDefault="00485CC2" w:rsidP="00485CC2">
                  <w:pPr>
                    <w:jc w:val="right"/>
                    <w:rPr>
                      <w:rFonts w:ascii="Tahoma" w:hAnsi="Tahoma" w:cs="Tahoma"/>
                      <w:sz w:val="20"/>
                      <w:szCs w:val="20"/>
                    </w:rPr>
                  </w:pPr>
                  <w:r>
                    <w:rPr>
                      <w:rFonts w:ascii="Tahoma" w:hAnsi="Tahoma" w:cs="Tahoma"/>
                      <w:sz w:val="20"/>
                      <w:szCs w:val="20"/>
                    </w:rPr>
                    <w:t>14.8%</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534C84C0" w14:textId="77777777" w:rsidR="00485CC2" w:rsidRDefault="00485CC2" w:rsidP="00485CC2">
                  <w:pPr>
                    <w:jc w:val="right"/>
                    <w:rPr>
                      <w:rFonts w:ascii="Tahoma" w:hAnsi="Tahoma" w:cs="Tahoma"/>
                      <w:sz w:val="20"/>
                      <w:szCs w:val="20"/>
                    </w:rPr>
                  </w:pPr>
                  <w:r>
                    <w:rPr>
                      <w:rFonts w:ascii="Tahoma" w:hAnsi="Tahoma" w:cs="Tahoma"/>
                      <w:sz w:val="20"/>
                      <w:szCs w:val="20"/>
                    </w:rPr>
                    <w:t>16.2%</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398D8A60" w14:textId="77777777" w:rsidR="00485CC2" w:rsidRDefault="00485CC2" w:rsidP="00485CC2">
                  <w:pPr>
                    <w:jc w:val="right"/>
                    <w:rPr>
                      <w:rFonts w:ascii="Tahoma" w:hAnsi="Tahoma" w:cs="Tahoma"/>
                      <w:sz w:val="20"/>
                      <w:szCs w:val="20"/>
                    </w:rPr>
                  </w:pPr>
                  <w:r>
                    <w:rPr>
                      <w:rFonts w:ascii="Tahoma" w:hAnsi="Tahoma" w:cs="Tahoma"/>
                      <w:sz w:val="20"/>
                      <w:szCs w:val="20"/>
                    </w:rPr>
                    <w:t>17.0%</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06024970" w14:textId="77777777" w:rsidR="00485CC2" w:rsidRDefault="00485CC2" w:rsidP="00485CC2">
                  <w:pPr>
                    <w:jc w:val="right"/>
                    <w:rPr>
                      <w:rFonts w:ascii="Tahoma" w:hAnsi="Tahoma" w:cs="Tahoma"/>
                      <w:sz w:val="20"/>
                      <w:szCs w:val="20"/>
                    </w:rPr>
                  </w:pPr>
                  <w:r>
                    <w:rPr>
                      <w:rFonts w:ascii="Tahoma" w:hAnsi="Tahoma" w:cs="Tahoma"/>
                      <w:sz w:val="20"/>
                      <w:szCs w:val="20"/>
                    </w:rPr>
                    <w:t>17.4%</w:t>
                  </w:r>
                </w:p>
              </w:tc>
            </w:tr>
            <w:tr w:rsidR="00485CC2" w:rsidRPr="001368AE" w14:paraId="3179A9C3" w14:textId="77777777" w:rsidTr="00C22A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3"/>
              </w:trPr>
              <w:tc>
                <w:tcPr>
                  <w:tcW w:w="2175" w:type="dxa"/>
                  <w:tcBorders>
                    <w:top w:val="single" w:sz="4" w:space="0" w:color="auto"/>
                    <w:left w:val="single" w:sz="4" w:space="0" w:color="auto"/>
                    <w:bottom w:val="single" w:sz="4" w:space="0" w:color="auto"/>
                    <w:right w:val="nil"/>
                  </w:tcBorders>
                  <w:shd w:val="clear" w:color="auto" w:fill="FFFFFF" w:themeFill="background1"/>
                  <w:noWrap/>
                  <w:vAlign w:val="bottom"/>
                </w:tcPr>
                <w:p w14:paraId="35098C9C" w14:textId="77777777" w:rsidR="00485CC2" w:rsidRPr="001368AE" w:rsidRDefault="00485CC2" w:rsidP="00485CC2">
                  <w:pPr>
                    <w:jc w:val="right"/>
                    <w:rPr>
                      <w:rFonts w:ascii="Tahoma" w:hAnsi="Tahoma" w:cs="Tahoma"/>
                      <w:sz w:val="20"/>
                      <w:szCs w:val="20"/>
                    </w:rPr>
                  </w:pPr>
                  <w:r>
                    <w:rPr>
                      <w:rFonts w:ascii="Tahoma" w:hAnsi="Tahoma" w:cs="Tahoma"/>
                      <w:sz w:val="20"/>
                      <w:szCs w:val="20"/>
                    </w:rPr>
                    <w:t xml:space="preserve">от </w:t>
                  </w:r>
                  <w:r w:rsidRPr="001368AE">
                    <w:rPr>
                      <w:rFonts w:ascii="Tahoma" w:hAnsi="Tahoma" w:cs="Tahoma"/>
                      <w:sz w:val="20"/>
                      <w:szCs w:val="20"/>
                    </w:rPr>
                    <w:t>60%</w:t>
                  </w:r>
                </w:p>
              </w:tc>
              <w:tc>
                <w:tcPr>
                  <w:tcW w:w="11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4A641397" w14:textId="77777777" w:rsidR="00485CC2" w:rsidRDefault="00485CC2" w:rsidP="00485CC2">
                  <w:pPr>
                    <w:jc w:val="right"/>
                    <w:rPr>
                      <w:rFonts w:ascii="Tahoma" w:hAnsi="Tahoma" w:cs="Tahoma"/>
                      <w:sz w:val="20"/>
                      <w:szCs w:val="20"/>
                    </w:rPr>
                  </w:pPr>
                  <w:r>
                    <w:rPr>
                      <w:rFonts w:ascii="Tahoma" w:hAnsi="Tahoma" w:cs="Tahoma"/>
                      <w:sz w:val="20"/>
                      <w:szCs w:val="20"/>
                    </w:rPr>
                    <w:t>10.6%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C50564D" w14:textId="77777777" w:rsidR="00485CC2" w:rsidRDefault="00485CC2" w:rsidP="00485CC2">
                  <w:pPr>
                    <w:jc w:val="right"/>
                    <w:rPr>
                      <w:rFonts w:ascii="Tahoma" w:hAnsi="Tahoma" w:cs="Tahoma"/>
                      <w:sz w:val="20"/>
                      <w:szCs w:val="20"/>
                    </w:rPr>
                  </w:pPr>
                  <w:r>
                    <w:rPr>
                      <w:rFonts w:ascii="Tahoma" w:hAnsi="Tahoma" w:cs="Tahoma"/>
                      <w:sz w:val="20"/>
                      <w:szCs w:val="20"/>
                    </w:rPr>
                    <w:t>11.8%</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310BCEFF" w14:textId="77777777" w:rsidR="00485CC2" w:rsidRDefault="00485CC2" w:rsidP="00485CC2">
                  <w:pPr>
                    <w:jc w:val="right"/>
                    <w:rPr>
                      <w:rFonts w:ascii="Tahoma" w:hAnsi="Tahoma" w:cs="Tahoma"/>
                      <w:sz w:val="20"/>
                      <w:szCs w:val="20"/>
                    </w:rPr>
                  </w:pPr>
                  <w:r>
                    <w:rPr>
                      <w:rFonts w:ascii="Tahoma" w:hAnsi="Tahoma" w:cs="Tahoma"/>
                      <w:sz w:val="20"/>
                      <w:szCs w:val="20"/>
                    </w:rPr>
                    <w:t>13.2%</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2D10CC67" w14:textId="77777777" w:rsidR="00485CC2" w:rsidRDefault="00485CC2" w:rsidP="00485CC2">
                  <w:pPr>
                    <w:jc w:val="right"/>
                    <w:rPr>
                      <w:rFonts w:ascii="Tahoma" w:hAnsi="Tahoma" w:cs="Tahoma"/>
                      <w:sz w:val="20"/>
                      <w:szCs w:val="20"/>
                    </w:rPr>
                  </w:pPr>
                  <w:r>
                    <w:rPr>
                      <w:rFonts w:ascii="Tahoma" w:hAnsi="Tahoma" w:cs="Tahoma"/>
                      <w:sz w:val="20"/>
                      <w:szCs w:val="20"/>
                    </w:rPr>
                    <w:t>13.6%</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787E54FF" w14:textId="77777777" w:rsidR="00485CC2" w:rsidRDefault="00485CC2" w:rsidP="00485CC2">
                  <w:pPr>
                    <w:jc w:val="right"/>
                    <w:rPr>
                      <w:rFonts w:ascii="Tahoma" w:hAnsi="Tahoma" w:cs="Tahoma"/>
                      <w:sz w:val="20"/>
                      <w:szCs w:val="20"/>
                    </w:rPr>
                  </w:pPr>
                  <w:r>
                    <w:rPr>
                      <w:rFonts w:ascii="Tahoma" w:hAnsi="Tahoma" w:cs="Tahoma"/>
                      <w:sz w:val="20"/>
                      <w:szCs w:val="20"/>
                    </w:rPr>
                    <w:t>15.0%</w:t>
                  </w:r>
                </w:p>
              </w:tc>
              <w:tc>
                <w:tcPr>
                  <w:tcW w:w="1107" w:type="dxa"/>
                  <w:tcBorders>
                    <w:top w:val="single" w:sz="4" w:space="0" w:color="auto"/>
                    <w:left w:val="nil"/>
                    <w:bottom w:val="single" w:sz="4" w:space="0" w:color="auto"/>
                    <w:right w:val="single" w:sz="4" w:space="0" w:color="auto"/>
                  </w:tcBorders>
                  <w:shd w:val="clear" w:color="auto" w:fill="FFFFFF" w:themeFill="background1"/>
                  <w:noWrap/>
                  <w:vAlign w:val="bottom"/>
                </w:tcPr>
                <w:p w14:paraId="218FA2B7" w14:textId="77777777" w:rsidR="00485CC2" w:rsidRDefault="00485CC2" w:rsidP="00485CC2">
                  <w:pPr>
                    <w:jc w:val="right"/>
                    <w:rPr>
                      <w:rFonts w:ascii="Tahoma" w:hAnsi="Tahoma" w:cs="Tahoma"/>
                      <w:sz w:val="20"/>
                      <w:szCs w:val="20"/>
                    </w:rPr>
                  </w:pPr>
                  <w:r>
                    <w:rPr>
                      <w:rFonts w:ascii="Tahoma" w:hAnsi="Tahoma" w:cs="Tahoma"/>
                      <w:sz w:val="20"/>
                      <w:szCs w:val="20"/>
                    </w:rPr>
                    <w:t>16.2%</w:t>
                  </w:r>
                </w:p>
              </w:tc>
              <w:tc>
                <w:tcPr>
                  <w:tcW w:w="1116" w:type="dxa"/>
                  <w:tcBorders>
                    <w:top w:val="single" w:sz="4" w:space="0" w:color="auto"/>
                    <w:left w:val="nil"/>
                    <w:bottom w:val="single" w:sz="4" w:space="0" w:color="auto"/>
                    <w:right w:val="single" w:sz="4" w:space="0" w:color="auto"/>
                  </w:tcBorders>
                  <w:shd w:val="clear" w:color="auto" w:fill="FFFFFF" w:themeFill="background1"/>
                  <w:noWrap/>
                  <w:vAlign w:val="bottom"/>
                </w:tcPr>
                <w:p w14:paraId="1E62057F" w14:textId="77777777" w:rsidR="00485CC2" w:rsidRDefault="00485CC2" w:rsidP="00485CC2">
                  <w:pPr>
                    <w:jc w:val="right"/>
                    <w:rPr>
                      <w:rFonts w:ascii="Tahoma" w:hAnsi="Tahoma" w:cs="Tahoma"/>
                      <w:sz w:val="20"/>
                      <w:szCs w:val="20"/>
                    </w:rPr>
                  </w:pPr>
                  <w:r>
                    <w:rPr>
                      <w:rFonts w:ascii="Tahoma" w:hAnsi="Tahoma" w:cs="Tahoma"/>
                      <w:sz w:val="20"/>
                      <w:szCs w:val="20"/>
                    </w:rPr>
                    <w:t>16.6%</w:t>
                  </w:r>
                </w:p>
              </w:tc>
            </w:tr>
          </w:tbl>
          <w:p w14:paraId="49062249" w14:textId="77777777" w:rsidR="009D1253" w:rsidRDefault="009D1253" w:rsidP="009D1253">
            <w:pPr>
              <w:tabs>
                <w:tab w:val="left" w:pos="6979"/>
                <w:tab w:val="left" w:pos="7548"/>
              </w:tabs>
              <w:ind w:right="176"/>
              <w:jc w:val="both"/>
              <w:rPr>
                <w:rFonts w:ascii="Tahoma" w:hAnsi="Tahoma" w:cs="Tahoma"/>
                <w:sz w:val="18"/>
                <w:szCs w:val="18"/>
              </w:rPr>
            </w:pPr>
          </w:p>
          <w:p w14:paraId="0B5E20B1" w14:textId="77777777" w:rsidR="009D1253" w:rsidRDefault="009D1253" w:rsidP="009D1253">
            <w:pPr>
              <w:tabs>
                <w:tab w:val="left" w:pos="6979"/>
                <w:tab w:val="left" w:pos="7548"/>
              </w:tabs>
              <w:ind w:right="176"/>
              <w:jc w:val="both"/>
              <w:rPr>
                <w:rFonts w:ascii="Tahoma" w:hAnsi="Tahoma" w:cs="Tahoma"/>
                <w:sz w:val="18"/>
                <w:szCs w:val="18"/>
              </w:rPr>
            </w:pPr>
          </w:p>
          <w:p w14:paraId="3518D56F" w14:textId="77777777" w:rsidR="009D1253" w:rsidRDefault="009D1253" w:rsidP="009D1253">
            <w:pPr>
              <w:tabs>
                <w:tab w:val="left" w:pos="6979"/>
                <w:tab w:val="left" w:pos="7548"/>
              </w:tabs>
              <w:ind w:right="176"/>
              <w:jc w:val="both"/>
              <w:rPr>
                <w:rFonts w:ascii="Tahoma" w:hAnsi="Tahoma" w:cs="Tahoma"/>
                <w:sz w:val="18"/>
                <w:szCs w:val="18"/>
              </w:rPr>
            </w:pPr>
          </w:p>
          <w:p w14:paraId="14C0C078" w14:textId="77777777" w:rsidR="009D1253" w:rsidRDefault="009D1253" w:rsidP="009D1253">
            <w:pPr>
              <w:tabs>
                <w:tab w:val="left" w:pos="6979"/>
                <w:tab w:val="left" w:pos="7548"/>
              </w:tabs>
              <w:ind w:right="176"/>
              <w:jc w:val="both"/>
              <w:rPr>
                <w:rFonts w:ascii="Tahoma" w:hAnsi="Tahoma" w:cs="Tahoma"/>
                <w:sz w:val="18"/>
                <w:szCs w:val="18"/>
              </w:rPr>
            </w:pPr>
          </w:p>
          <w:p w14:paraId="41A47776" w14:textId="77777777" w:rsidR="009D1253" w:rsidRDefault="009D1253" w:rsidP="009D1253">
            <w:pPr>
              <w:tabs>
                <w:tab w:val="left" w:pos="6979"/>
                <w:tab w:val="left" w:pos="7548"/>
              </w:tabs>
              <w:ind w:right="176"/>
              <w:jc w:val="both"/>
              <w:rPr>
                <w:rFonts w:ascii="Tahoma" w:hAnsi="Tahoma" w:cs="Tahoma"/>
                <w:sz w:val="18"/>
                <w:szCs w:val="18"/>
              </w:rPr>
            </w:pPr>
          </w:p>
          <w:p w14:paraId="5D87C8BA" w14:textId="77777777" w:rsidR="009D1253" w:rsidRDefault="009D1253" w:rsidP="009D1253">
            <w:pPr>
              <w:tabs>
                <w:tab w:val="left" w:pos="6979"/>
                <w:tab w:val="left" w:pos="7548"/>
              </w:tabs>
              <w:ind w:right="176"/>
              <w:jc w:val="both"/>
              <w:rPr>
                <w:rFonts w:ascii="Tahoma" w:hAnsi="Tahoma" w:cs="Tahoma"/>
                <w:sz w:val="18"/>
                <w:szCs w:val="18"/>
              </w:rPr>
            </w:pPr>
          </w:p>
          <w:p w14:paraId="3D2C5FC3" w14:textId="77777777" w:rsidR="009D1253" w:rsidRDefault="009D1253" w:rsidP="009D1253">
            <w:pPr>
              <w:tabs>
                <w:tab w:val="left" w:pos="6979"/>
                <w:tab w:val="left" w:pos="7548"/>
              </w:tabs>
              <w:ind w:right="176"/>
              <w:jc w:val="both"/>
              <w:rPr>
                <w:rFonts w:ascii="Tahoma" w:hAnsi="Tahoma" w:cs="Tahoma"/>
                <w:sz w:val="18"/>
                <w:szCs w:val="18"/>
              </w:rPr>
            </w:pPr>
          </w:p>
          <w:p w14:paraId="6A628DA9" w14:textId="77777777" w:rsidR="009D1253" w:rsidRDefault="009D1253" w:rsidP="009D1253">
            <w:pPr>
              <w:tabs>
                <w:tab w:val="left" w:pos="6979"/>
                <w:tab w:val="left" w:pos="7548"/>
              </w:tabs>
              <w:ind w:right="176"/>
              <w:jc w:val="both"/>
              <w:rPr>
                <w:rFonts w:ascii="Tahoma" w:hAnsi="Tahoma" w:cs="Tahoma"/>
                <w:sz w:val="18"/>
                <w:szCs w:val="18"/>
              </w:rPr>
            </w:pPr>
          </w:p>
          <w:p w14:paraId="61E173B8" w14:textId="77777777" w:rsidR="009D1253" w:rsidRDefault="009D1253" w:rsidP="009D1253">
            <w:pPr>
              <w:tabs>
                <w:tab w:val="left" w:pos="6979"/>
                <w:tab w:val="left" w:pos="7548"/>
              </w:tabs>
              <w:ind w:right="176"/>
              <w:jc w:val="both"/>
              <w:rPr>
                <w:rFonts w:ascii="Tahoma" w:hAnsi="Tahoma" w:cs="Tahoma"/>
                <w:sz w:val="18"/>
                <w:szCs w:val="18"/>
              </w:rPr>
            </w:pPr>
            <w:r>
              <w:rPr>
                <w:rFonts w:ascii="Tahoma" w:hAnsi="Tahoma" w:cs="Tahoma"/>
                <w:sz w:val="18"/>
                <w:szCs w:val="18"/>
              </w:rPr>
              <w:t>*</w:t>
            </w:r>
            <w:r w:rsidRPr="00724B51">
              <w:rPr>
                <w:rFonts w:ascii="Tahoma" w:hAnsi="Tahoma" w:cs="Tahoma"/>
                <w:sz w:val="18"/>
                <w:szCs w:val="18"/>
              </w:rPr>
              <w:t xml:space="preserve"> Личное страхова</w:t>
            </w:r>
            <w:r>
              <w:rPr>
                <w:rFonts w:ascii="Tahoma" w:hAnsi="Tahoma" w:cs="Tahoma"/>
                <w:sz w:val="18"/>
                <w:szCs w:val="18"/>
              </w:rPr>
              <w:t>ние с рисками, указанными в разделе</w:t>
            </w:r>
            <w:r w:rsidRPr="00724B51">
              <w:rPr>
                <w:rFonts w:ascii="Tahoma" w:hAnsi="Tahoma" w:cs="Tahoma"/>
                <w:sz w:val="18"/>
                <w:szCs w:val="18"/>
              </w:rPr>
              <w:t xml:space="preserve"> «Информация о страховании» настоящего документа, на </w:t>
            </w:r>
            <w:r>
              <w:rPr>
                <w:rFonts w:ascii="Tahoma" w:hAnsi="Tahoma" w:cs="Tahoma"/>
                <w:sz w:val="18"/>
                <w:szCs w:val="18"/>
              </w:rPr>
              <w:t>12</w:t>
            </w:r>
            <w:r w:rsidRPr="00724B51">
              <w:rPr>
                <w:rFonts w:ascii="Tahoma" w:hAnsi="Tahoma" w:cs="Tahoma"/>
                <w:sz w:val="18"/>
                <w:szCs w:val="18"/>
              </w:rPr>
              <w:t xml:space="preserve"> (</w:t>
            </w:r>
            <w:r>
              <w:rPr>
                <w:rFonts w:ascii="Tahoma" w:hAnsi="Tahoma" w:cs="Tahoma"/>
                <w:sz w:val="18"/>
                <w:szCs w:val="18"/>
              </w:rPr>
              <w:t>двенадцать</w:t>
            </w:r>
            <w:r w:rsidRPr="00724B51">
              <w:rPr>
                <w:rFonts w:ascii="Tahoma" w:hAnsi="Tahoma" w:cs="Tahoma"/>
                <w:sz w:val="18"/>
                <w:szCs w:val="18"/>
              </w:rPr>
              <w:t>) месяцев</w:t>
            </w:r>
            <w:r>
              <w:rPr>
                <w:rFonts w:ascii="Tahoma" w:hAnsi="Tahoma" w:cs="Tahoma"/>
                <w:sz w:val="18"/>
                <w:szCs w:val="18"/>
              </w:rPr>
              <w:t xml:space="preserve"> с даты заключения Договора</w:t>
            </w:r>
            <w:r w:rsidRPr="00724B51">
              <w:rPr>
                <w:rFonts w:ascii="Tahoma" w:hAnsi="Tahoma" w:cs="Tahoma"/>
                <w:sz w:val="18"/>
                <w:szCs w:val="18"/>
              </w:rPr>
              <w:t>.</w:t>
            </w:r>
            <w:r w:rsidRPr="006B0A04">
              <w:rPr>
                <w:rFonts w:ascii="Tahoma" w:hAnsi="Tahoma" w:cs="Tahoma"/>
                <w:sz w:val="18"/>
                <w:szCs w:val="18"/>
              </w:rPr>
              <w:t xml:space="preserve"> </w:t>
            </w:r>
            <w:r>
              <w:rPr>
                <w:rFonts w:ascii="Tahoma" w:hAnsi="Tahoma" w:cs="Tahoma"/>
                <w:sz w:val="18"/>
                <w:szCs w:val="18"/>
              </w:rPr>
              <w:t>Договор страхования может быть заключен с любой страховой компанией, соответствующей требованиям законодательства Российской Федерации.</w:t>
            </w:r>
          </w:p>
          <w:p w14:paraId="21214631" w14:textId="77777777" w:rsidR="009D1253" w:rsidRPr="00085768" w:rsidRDefault="009D1253" w:rsidP="009D1253">
            <w:pPr>
              <w:tabs>
                <w:tab w:val="left" w:pos="6979"/>
                <w:tab w:val="left" w:pos="7548"/>
              </w:tabs>
              <w:ind w:right="176"/>
              <w:jc w:val="both"/>
              <w:rPr>
                <w:rFonts w:ascii="Tahoma" w:hAnsi="Tahoma" w:cs="Tahoma"/>
                <w:sz w:val="18"/>
                <w:szCs w:val="18"/>
              </w:rPr>
            </w:pPr>
            <w:r>
              <w:rPr>
                <w:rFonts w:ascii="Tahoma" w:hAnsi="Tahoma" w:cs="Tahoma"/>
                <w:sz w:val="18"/>
                <w:szCs w:val="18"/>
              </w:rPr>
              <w:t>**</w:t>
            </w:r>
            <w:r w:rsidRPr="00724B51">
              <w:rPr>
                <w:rFonts w:ascii="Tahoma" w:hAnsi="Tahoma" w:cs="Tahoma"/>
                <w:sz w:val="18"/>
                <w:szCs w:val="18"/>
              </w:rPr>
              <w:t xml:space="preserve"> В случае досрочного прекращения Заёмщиком Договора Личного страхования, а так</w:t>
            </w:r>
            <w:r>
              <w:rPr>
                <w:rFonts w:ascii="Tahoma" w:hAnsi="Tahoma" w:cs="Tahoma"/>
                <w:sz w:val="18"/>
                <w:szCs w:val="18"/>
              </w:rPr>
              <w:t xml:space="preserve">же в случае заключения Договора </w:t>
            </w:r>
            <w:r w:rsidRPr="00724B51">
              <w:rPr>
                <w:rFonts w:ascii="Tahoma" w:hAnsi="Tahoma" w:cs="Tahoma"/>
                <w:sz w:val="18"/>
                <w:szCs w:val="18"/>
              </w:rPr>
              <w:t>Личного страхования, не соответствующего требованиям, указанным в разделе «Информация о страховании» настоящего документа, Банк вправе принять решение об увеличении процентной ставки. Процентная ставка определяется в соответствии с условиями кредитной программы Банка до меньшей из величин процентной ставки на момент принятия решения об увеличении процентной ставки: до уровня процентной ставки, действовавшей на момент заключения договора потребительского кредита или на момент принятия решения об увеличении процентной ставки по договору потребительского кредита на сопоставимых (сумма, срок возврата потребительского кредита, размер первоначального взноса) условиях потребительского кредита без учета заключения договора страхования, начиная с тридцать первого дня, следующего за днем прекращения договора страхового продукта.</w:t>
            </w:r>
          </w:p>
        </w:tc>
      </w:tr>
      <w:tr w:rsidR="009D1253" w:rsidRPr="005A07E7" w14:paraId="1B3C43C5" w14:textId="77777777" w:rsidTr="009D1253">
        <w:trPr>
          <w:trHeight w:val="554"/>
        </w:trPr>
        <w:tc>
          <w:tcPr>
            <w:tcW w:w="1475" w:type="pct"/>
            <w:vAlign w:val="center"/>
          </w:tcPr>
          <w:p w14:paraId="3C8F7F45" w14:textId="77777777" w:rsidR="009D1253" w:rsidRPr="005A07E7" w:rsidRDefault="009D1253" w:rsidP="009D1253">
            <w:pPr>
              <w:jc w:val="both"/>
              <w:rPr>
                <w:rFonts w:ascii="Tahoma" w:hAnsi="Tahoma" w:cs="Tahoma"/>
                <w:b/>
                <w:sz w:val="20"/>
                <w:szCs w:val="20"/>
              </w:rPr>
            </w:pPr>
            <w:r w:rsidRPr="005A07E7">
              <w:rPr>
                <w:rFonts w:ascii="Tahoma" w:hAnsi="Tahoma" w:cs="Tahoma"/>
                <w:b/>
                <w:bCs/>
                <w:color w:val="000000" w:themeColor="text1"/>
                <w:sz w:val="20"/>
                <w:szCs w:val="20"/>
              </w:rPr>
              <w:lastRenderedPageBreak/>
              <w:t>Диапазон полной стоимости Кредита в процентном  и денежном выражении в порядке, установленном Федеральным законом от 21.12.2013 №353-ФЗ «О потребительском кредите (займе)»</w:t>
            </w:r>
          </w:p>
        </w:tc>
        <w:tc>
          <w:tcPr>
            <w:tcW w:w="3525" w:type="pct"/>
            <w:shd w:val="clear" w:color="auto" w:fill="FFFFFF" w:themeFill="background1"/>
            <w:vAlign w:val="center"/>
          </w:tcPr>
          <w:p w14:paraId="68125819" w14:textId="77777777" w:rsidR="009D1253" w:rsidRPr="003B6CCC" w:rsidRDefault="009D1253" w:rsidP="009D1253">
            <w:pPr>
              <w:jc w:val="center"/>
              <w:rPr>
                <w:rFonts w:ascii="Tahoma" w:hAnsi="Tahoma" w:cs="Tahoma"/>
                <w:color w:val="000000"/>
                <w:sz w:val="20"/>
                <w:szCs w:val="20"/>
              </w:rPr>
            </w:pPr>
            <w:r>
              <w:rPr>
                <w:rFonts w:ascii="Tahoma" w:hAnsi="Tahoma" w:cs="Tahoma"/>
                <w:color w:val="000000"/>
                <w:sz w:val="20"/>
                <w:szCs w:val="20"/>
              </w:rPr>
              <w:t>2.795</w:t>
            </w:r>
            <w:r w:rsidRPr="003B6CCC">
              <w:rPr>
                <w:rFonts w:ascii="Tahoma" w:hAnsi="Tahoma" w:cs="Tahoma"/>
                <w:color w:val="000000"/>
                <w:sz w:val="20"/>
                <w:szCs w:val="20"/>
              </w:rPr>
              <w:t xml:space="preserve">% – </w:t>
            </w:r>
            <w:r>
              <w:rPr>
                <w:rFonts w:ascii="Tahoma" w:hAnsi="Tahoma" w:cs="Tahoma"/>
                <w:color w:val="000000"/>
                <w:sz w:val="20"/>
                <w:szCs w:val="20"/>
              </w:rPr>
              <w:t>25.477</w:t>
            </w:r>
            <w:r w:rsidRPr="003B6CCC">
              <w:rPr>
                <w:rFonts w:ascii="Tahoma" w:hAnsi="Tahoma" w:cs="Tahoma"/>
                <w:color w:val="000000"/>
                <w:sz w:val="20"/>
                <w:szCs w:val="20"/>
              </w:rPr>
              <w:t>% годовых;</w:t>
            </w:r>
          </w:p>
          <w:p w14:paraId="22CAB5B7" w14:textId="77777777" w:rsidR="009D1253" w:rsidRPr="003B6CCC" w:rsidRDefault="009D1253" w:rsidP="009D1253">
            <w:pPr>
              <w:jc w:val="center"/>
              <w:rPr>
                <w:rFonts w:ascii="Tahoma" w:hAnsi="Tahoma" w:cs="Tahoma"/>
                <w:color w:val="000000"/>
                <w:sz w:val="20"/>
                <w:szCs w:val="20"/>
              </w:rPr>
            </w:pPr>
            <w:r>
              <w:rPr>
                <w:rFonts w:ascii="Tahoma" w:hAnsi="Tahoma" w:cs="Tahoma"/>
                <w:color w:val="000000"/>
                <w:sz w:val="20"/>
                <w:szCs w:val="20"/>
              </w:rPr>
              <w:t>3 278.96</w:t>
            </w:r>
            <w:r w:rsidRPr="003B6CCC">
              <w:rPr>
                <w:rFonts w:ascii="Tahoma" w:hAnsi="Tahoma" w:cs="Tahoma"/>
                <w:color w:val="000000"/>
                <w:sz w:val="20"/>
                <w:szCs w:val="20"/>
              </w:rPr>
              <w:t xml:space="preserve"> руб. – </w:t>
            </w:r>
            <w:r>
              <w:rPr>
                <w:rFonts w:ascii="Tahoma" w:hAnsi="Tahoma" w:cs="Tahoma"/>
                <w:color w:val="000000"/>
                <w:sz w:val="20"/>
                <w:szCs w:val="20"/>
              </w:rPr>
              <w:t>5 761 433.71</w:t>
            </w:r>
            <w:r w:rsidRPr="003B6CCC">
              <w:rPr>
                <w:rFonts w:ascii="Tahoma" w:hAnsi="Tahoma" w:cs="Tahoma"/>
                <w:color w:val="000000"/>
                <w:sz w:val="20"/>
                <w:szCs w:val="20"/>
              </w:rPr>
              <w:t xml:space="preserve"> руб.</w:t>
            </w:r>
          </w:p>
          <w:p w14:paraId="55A9DFE8" w14:textId="77777777" w:rsidR="009D1253" w:rsidRPr="00171F43" w:rsidRDefault="009D1253" w:rsidP="009D1253">
            <w:pPr>
              <w:pStyle w:val="aff1"/>
              <w:rPr>
                <w:rFonts w:ascii="Tahoma" w:eastAsiaTheme="minorHAnsi" w:hAnsi="Tahoma" w:cs="Tahoma"/>
                <w:sz w:val="18"/>
                <w:szCs w:val="18"/>
                <w:lang w:eastAsia="en-US"/>
              </w:rPr>
            </w:pPr>
            <w:r w:rsidRPr="00AB115F">
              <w:rPr>
                <w:rFonts w:ascii="Tahoma" w:eastAsiaTheme="minorHAnsi" w:hAnsi="Tahoma" w:cs="Tahoma"/>
                <w:sz w:val="18"/>
                <w:szCs w:val="18"/>
                <w:lang w:eastAsia="en-US"/>
              </w:rPr>
              <w:t>Расчет минимального значения ПСК произведен с использованием параметров: минимальная</w:t>
            </w:r>
            <w:r w:rsidRPr="00171F43">
              <w:rPr>
                <w:rFonts w:ascii="Tahoma" w:eastAsiaTheme="minorHAnsi" w:hAnsi="Tahoma" w:cs="Tahoma"/>
                <w:sz w:val="18"/>
                <w:szCs w:val="18"/>
                <w:lang w:eastAsia="en-US"/>
              </w:rPr>
              <w:t xml:space="preserve"> сумма Кредита (</w:t>
            </w:r>
            <w:r w:rsidRPr="002967D5">
              <w:rPr>
                <w:rFonts w:ascii="Tahoma" w:eastAsiaTheme="minorHAnsi" w:hAnsi="Tahoma" w:cs="Tahoma"/>
                <w:sz w:val="18"/>
                <w:szCs w:val="18"/>
                <w:lang w:eastAsia="en-US"/>
              </w:rPr>
              <w:t>2</w:t>
            </w:r>
            <w:r w:rsidRPr="00171F43">
              <w:rPr>
                <w:rFonts w:ascii="Tahoma" w:eastAsiaTheme="minorHAnsi" w:hAnsi="Tahoma" w:cs="Tahoma"/>
                <w:sz w:val="18"/>
                <w:szCs w:val="18"/>
                <w:lang w:eastAsia="en-US"/>
              </w:rPr>
              <w:t>00 000 рублей), минимальный срок (</w:t>
            </w:r>
            <w:r w:rsidRPr="002967D5">
              <w:rPr>
                <w:rFonts w:ascii="Tahoma" w:eastAsiaTheme="minorHAnsi" w:hAnsi="Tahoma" w:cs="Tahoma"/>
                <w:sz w:val="18"/>
                <w:szCs w:val="18"/>
                <w:lang w:eastAsia="en-US"/>
              </w:rPr>
              <w:t>13</w:t>
            </w:r>
            <w:r>
              <w:rPr>
                <w:rFonts w:ascii="Tahoma" w:eastAsiaTheme="minorHAnsi" w:hAnsi="Tahoma" w:cs="Tahoma"/>
                <w:sz w:val="18"/>
                <w:szCs w:val="18"/>
                <w:lang w:eastAsia="en-US"/>
              </w:rPr>
              <w:t xml:space="preserve"> месяцев</w:t>
            </w:r>
            <w:r w:rsidRPr="00171F43">
              <w:rPr>
                <w:rFonts w:ascii="Tahoma" w:eastAsiaTheme="minorHAnsi" w:hAnsi="Tahoma" w:cs="Tahoma"/>
                <w:sz w:val="18"/>
                <w:szCs w:val="18"/>
                <w:lang w:eastAsia="en-US"/>
              </w:rPr>
              <w:t xml:space="preserve">), минимальная ставка </w:t>
            </w:r>
            <w:r>
              <w:rPr>
                <w:rFonts w:ascii="Tahoma" w:eastAsiaTheme="minorHAnsi" w:hAnsi="Tahoma" w:cs="Tahoma"/>
                <w:sz w:val="18"/>
                <w:szCs w:val="18"/>
                <w:lang w:eastAsia="en-US"/>
              </w:rPr>
              <w:t>(2.8% годовых_</w:t>
            </w:r>
            <w:r w:rsidRPr="00171F43">
              <w:rPr>
                <w:rFonts w:ascii="Tahoma" w:eastAsiaTheme="minorHAnsi" w:hAnsi="Tahoma" w:cs="Tahoma"/>
                <w:sz w:val="18"/>
                <w:szCs w:val="18"/>
                <w:lang w:eastAsia="en-US"/>
              </w:rPr>
              <w:t>.</w:t>
            </w:r>
          </w:p>
          <w:p w14:paraId="70FFAA7C" w14:textId="77777777" w:rsidR="009D1253" w:rsidRPr="001368AE" w:rsidRDefault="009D1253" w:rsidP="009D1253">
            <w:pPr>
              <w:pStyle w:val="aff1"/>
              <w:rPr>
                <w:rFonts w:ascii="Tahoma" w:hAnsi="Tahoma" w:cs="Tahoma"/>
              </w:rPr>
            </w:pPr>
            <w:r w:rsidRPr="00171F43">
              <w:rPr>
                <w:rFonts w:ascii="Tahoma" w:eastAsiaTheme="minorHAnsi" w:hAnsi="Tahoma" w:cs="Tahoma"/>
                <w:sz w:val="18"/>
                <w:szCs w:val="18"/>
                <w:lang w:eastAsia="en-US"/>
              </w:rPr>
              <w:t>Расчет максимального значения ПСК произведен с использованием параметров: максимальная сумма Кредита (</w:t>
            </w:r>
            <w:r>
              <w:rPr>
                <w:rFonts w:ascii="Tahoma" w:eastAsiaTheme="minorHAnsi" w:hAnsi="Tahoma" w:cs="Tahoma"/>
                <w:sz w:val="18"/>
                <w:szCs w:val="18"/>
                <w:lang w:eastAsia="en-US"/>
              </w:rPr>
              <w:t>5</w:t>
            </w:r>
            <w:r w:rsidRPr="00171F43">
              <w:rPr>
                <w:rFonts w:ascii="Tahoma" w:eastAsiaTheme="minorHAnsi" w:hAnsi="Tahoma" w:cs="Tahoma"/>
                <w:sz w:val="18"/>
                <w:szCs w:val="18"/>
                <w:lang w:eastAsia="en-US"/>
              </w:rPr>
              <w:t xml:space="preserve"> 000 000 рублей), максимальный срок (</w:t>
            </w:r>
            <w:r>
              <w:rPr>
                <w:rFonts w:ascii="Tahoma" w:eastAsiaTheme="minorHAnsi" w:hAnsi="Tahoma" w:cs="Tahoma"/>
                <w:sz w:val="18"/>
                <w:szCs w:val="18"/>
                <w:lang w:eastAsia="en-US"/>
              </w:rPr>
              <w:t>84 месяца</w:t>
            </w:r>
            <w:r w:rsidRPr="00171F43">
              <w:rPr>
                <w:rFonts w:ascii="Tahoma" w:eastAsiaTheme="minorHAnsi" w:hAnsi="Tahoma" w:cs="Tahoma"/>
                <w:sz w:val="18"/>
                <w:szCs w:val="18"/>
                <w:lang w:eastAsia="en-US"/>
              </w:rPr>
              <w:t>), максимальная ставка (</w:t>
            </w:r>
            <w:r>
              <w:rPr>
                <w:rFonts w:ascii="Tahoma" w:eastAsiaTheme="minorHAnsi" w:hAnsi="Tahoma" w:cs="Tahoma"/>
                <w:sz w:val="18"/>
                <w:szCs w:val="18"/>
                <w:lang w:eastAsia="en-US"/>
              </w:rPr>
              <w:t>25.5</w:t>
            </w:r>
            <w:r w:rsidRPr="00171F43">
              <w:rPr>
                <w:rFonts w:ascii="Tahoma" w:eastAsiaTheme="minorHAnsi" w:hAnsi="Tahoma" w:cs="Tahoma"/>
                <w:sz w:val="18"/>
                <w:szCs w:val="18"/>
                <w:lang w:eastAsia="en-US"/>
              </w:rPr>
              <w:t>% годовых)</w:t>
            </w:r>
          </w:p>
        </w:tc>
      </w:tr>
      <w:tr w:rsidR="009D1253" w:rsidRPr="005A07E7" w14:paraId="7000902D" w14:textId="77777777" w:rsidTr="009D1253">
        <w:trPr>
          <w:trHeight w:val="554"/>
        </w:trPr>
        <w:tc>
          <w:tcPr>
            <w:tcW w:w="1475" w:type="pct"/>
          </w:tcPr>
          <w:p w14:paraId="7200A59E" w14:textId="77777777" w:rsidR="009D1253" w:rsidRPr="005A07E7" w:rsidRDefault="009D1253" w:rsidP="009D1253">
            <w:pPr>
              <w:jc w:val="both"/>
              <w:rPr>
                <w:rFonts w:ascii="Tahoma" w:hAnsi="Tahoma" w:cs="Tahoma"/>
                <w:b/>
                <w:bCs/>
                <w:color w:val="000000" w:themeColor="text1"/>
                <w:sz w:val="20"/>
                <w:szCs w:val="20"/>
              </w:rPr>
            </w:pPr>
            <w:r w:rsidRPr="005A07E7">
              <w:rPr>
                <w:rFonts w:ascii="Tahoma" w:hAnsi="Tahoma" w:cs="Tahoma"/>
                <w:b/>
                <w:sz w:val="20"/>
                <w:szCs w:val="20"/>
              </w:rPr>
              <w:lastRenderedPageBreak/>
              <w:t>Информация о страховании</w:t>
            </w:r>
          </w:p>
        </w:tc>
        <w:tc>
          <w:tcPr>
            <w:tcW w:w="3525" w:type="pct"/>
            <w:shd w:val="clear" w:color="auto" w:fill="FFFFFF" w:themeFill="background1"/>
          </w:tcPr>
          <w:p w14:paraId="1DDEA26D" w14:textId="77777777" w:rsidR="009D1253" w:rsidRDefault="009D1253" w:rsidP="009D1253">
            <w:pPr>
              <w:tabs>
                <w:tab w:val="left" w:pos="6979"/>
              </w:tabs>
              <w:ind w:right="176"/>
              <w:jc w:val="both"/>
              <w:rPr>
                <w:rFonts w:ascii="Tahoma" w:hAnsi="Tahoma" w:cs="Tahoma"/>
                <w:color w:val="000000"/>
                <w:sz w:val="20"/>
                <w:szCs w:val="20"/>
              </w:rPr>
            </w:pPr>
            <w:r w:rsidRPr="005A07E7">
              <w:rPr>
                <w:rFonts w:ascii="Tahoma" w:hAnsi="Tahoma" w:cs="Tahoma"/>
                <w:color w:val="000000"/>
                <w:sz w:val="20"/>
                <w:szCs w:val="20"/>
              </w:rPr>
              <w:t xml:space="preserve">При выборе Заёмщиком условий кредитования для приобретения нового ТС с заключением Договора Личного страхования, необходимо оформление договора (полиса) страхования </w:t>
            </w:r>
            <w:r>
              <w:rPr>
                <w:rFonts w:ascii="Tahoma" w:hAnsi="Tahoma" w:cs="Tahoma"/>
                <w:color w:val="000000"/>
                <w:sz w:val="20"/>
                <w:szCs w:val="20"/>
              </w:rPr>
              <w:t>в котором в</w:t>
            </w:r>
            <w:r w:rsidRPr="008D26EE">
              <w:rPr>
                <w:rFonts w:ascii="Tahoma" w:hAnsi="Tahoma" w:cs="Tahoma"/>
                <w:color w:val="000000"/>
                <w:sz w:val="20"/>
                <w:szCs w:val="20"/>
              </w:rPr>
              <w:t xml:space="preserve">ыгодоприобретателем в размере задолженности Заемщика </w:t>
            </w:r>
            <w:r>
              <w:rPr>
                <w:rFonts w:ascii="Tahoma" w:hAnsi="Tahoma" w:cs="Tahoma"/>
                <w:color w:val="000000"/>
                <w:sz w:val="20"/>
                <w:szCs w:val="20"/>
              </w:rPr>
              <w:t xml:space="preserve">будет </w:t>
            </w:r>
            <w:r w:rsidRPr="008D26EE">
              <w:rPr>
                <w:rFonts w:ascii="Tahoma" w:hAnsi="Tahoma" w:cs="Tahoma"/>
                <w:color w:val="000000"/>
                <w:sz w:val="20"/>
                <w:szCs w:val="20"/>
              </w:rPr>
              <w:t xml:space="preserve">указан </w:t>
            </w:r>
            <w:r w:rsidRPr="00B2133F">
              <w:rPr>
                <w:rFonts w:ascii="Tahoma" w:hAnsi="Tahoma" w:cs="Tahoma"/>
                <w:color w:val="000000"/>
                <w:sz w:val="20"/>
                <w:szCs w:val="20"/>
              </w:rPr>
              <w:t>«Аз</w:t>
            </w:r>
            <w:r>
              <w:rPr>
                <w:rFonts w:ascii="Tahoma" w:hAnsi="Tahoma" w:cs="Tahoma"/>
                <w:color w:val="000000"/>
                <w:sz w:val="20"/>
                <w:szCs w:val="20"/>
              </w:rPr>
              <w:t>иатско-Тихоокеанский Банк» (АО)</w:t>
            </w:r>
            <w:r w:rsidRPr="008D26EE">
              <w:rPr>
                <w:rFonts w:ascii="Tahoma" w:hAnsi="Tahoma" w:cs="Tahoma"/>
                <w:color w:val="000000"/>
                <w:sz w:val="20"/>
                <w:szCs w:val="20"/>
              </w:rPr>
              <w:t>, за исключением случаев, когда он выступает страховым агентом при заключении договора страхования</w:t>
            </w:r>
            <w:r>
              <w:rPr>
                <w:rFonts w:ascii="Tahoma" w:hAnsi="Tahoma" w:cs="Tahoma"/>
                <w:color w:val="000000"/>
                <w:sz w:val="20"/>
                <w:szCs w:val="20"/>
              </w:rPr>
              <w:t>.</w:t>
            </w:r>
          </w:p>
          <w:p w14:paraId="0109E52D" w14:textId="77777777" w:rsidR="009D1253" w:rsidRDefault="009D1253" w:rsidP="009D1253">
            <w:pPr>
              <w:tabs>
                <w:tab w:val="left" w:pos="6979"/>
              </w:tabs>
              <w:ind w:right="176"/>
              <w:jc w:val="both"/>
              <w:rPr>
                <w:rFonts w:ascii="Tahoma" w:hAnsi="Tahoma" w:cs="Tahoma"/>
                <w:color w:val="000000"/>
                <w:sz w:val="20"/>
                <w:szCs w:val="20"/>
                <w:u w:val="single"/>
              </w:rPr>
            </w:pPr>
          </w:p>
          <w:p w14:paraId="73A99DF3" w14:textId="77777777" w:rsidR="009D1253" w:rsidRPr="005A07E7" w:rsidRDefault="009D1253" w:rsidP="009D1253">
            <w:pPr>
              <w:tabs>
                <w:tab w:val="left" w:pos="6979"/>
              </w:tabs>
              <w:ind w:right="176"/>
              <w:jc w:val="both"/>
              <w:rPr>
                <w:rFonts w:ascii="Tahoma" w:hAnsi="Tahoma" w:cs="Tahoma"/>
                <w:color w:val="000000"/>
                <w:sz w:val="20"/>
                <w:szCs w:val="20"/>
              </w:rPr>
            </w:pPr>
            <w:r w:rsidRPr="005A07E7">
              <w:rPr>
                <w:rFonts w:ascii="Tahoma" w:hAnsi="Tahoma" w:cs="Tahoma"/>
                <w:color w:val="000000"/>
                <w:sz w:val="20"/>
                <w:szCs w:val="20"/>
                <w:u w:val="single"/>
              </w:rPr>
              <w:t xml:space="preserve">Личное страхование: </w:t>
            </w:r>
            <w:r>
              <w:rPr>
                <w:rFonts w:ascii="Tahoma" w:hAnsi="Tahoma" w:cs="Tahoma"/>
                <w:color w:val="000000"/>
                <w:sz w:val="20"/>
                <w:szCs w:val="20"/>
                <w:u w:val="single"/>
              </w:rPr>
              <w:t>(</w:t>
            </w:r>
            <w:r>
              <w:rPr>
                <w:rFonts w:ascii="Tahoma" w:hAnsi="Tahoma" w:cs="Tahoma"/>
                <w:i/>
                <w:color w:val="000000"/>
                <w:sz w:val="20"/>
                <w:szCs w:val="20"/>
              </w:rPr>
              <w:t>о</w:t>
            </w:r>
            <w:r w:rsidRPr="005A07E7">
              <w:rPr>
                <w:rFonts w:ascii="Tahoma" w:hAnsi="Tahoma" w:cs="Tahoma"/>
                <w:i/>
                <w:color w:val="000000"/>
                <w:sz w:val="20"/>
                <w:szCs w:val="20"/>
              </w:rPr>
              <w:t>формление данного вида страхования не применимо для лиц с инвалидностью (ЛСИ)</w:t>
            </w:r>
            <w:r>
              <w:rPr>
                <w:rFonts w:ascii="Tahoma" w:hAnsi="Tahoma" w:cs="Tahoma"/>
                <w:i/>
                <w:color w:val="000000"/>
                <w:sz w:val="20"/>
                <w:szCs w:val="20"/>
              </w:rPr>
              <w:t>*)</w:t>
            </w:r>
            <w:r w:rsidRPr="005A07E7">
              <w:rPr>
                <w:rFonts w:ascii="Tahoma" w:hAnsi="Tahoma" w:cs="Tahoma"/>
                <w:i/>
                <w:color w:val="000000"/>
                <w:sz w:val="20"/>
                <w:szCs w:val="20"/>
              </w:rPr>
              <w:t xml:space="preserve">. </w:t>
            </w:r>
          </w:p>
          <w:p w14:paraId="4D1D72BB" w14:textId="77777777" w:rsidR="009D1253" w:rsidRDefault="009D1253" w:rsidP="009D1253">
            <w:pPr>
              <w:tabs>
                <w:tab w:val="left" w:pos="6979"/>
              </w:tabs>
              <w:ind w:right="176"/>
              <w:jc w:val="both"/>
              <w:rPr>
                <w:rFonts w:ascii="Tahoma" w:hAnsi="Tahoma" w:cs="Tahoma"/>
                <w:color w:val="000000"/>
                <w:sz w:val="20"/>
                <w:szCs w:val="20"/>
              </w:rPr>
            </w:pPr>
            <w:r w:rsidRPr="005A07E7">
              <w:rPr>
                <w:rFonts w:ascii="Tahoma" w:hAnsi="Tahoma" w:cs="Tahoma"/>
                <w:color w:val="000000"/>
                <w:sz w:val="20"/>
                <w:szCs w:val="20"/>
              </w:rPr>
              <w:t>Покрываемые риски</w:t>
            </w:r>
            <w:r>
              <w:rPr>
                <w:rFonts w:ascii="Tahoma" w:hAnsi="Tahoma" w:cs="Tahoma"/>
                <w:color w:val="000000"/>
                <w:sz w:val="20"/>
                <w:szCs w:val="20"/>
              </w:rPr>
              <w:t>, которые должны быть указаны в договоре страхования</w:t>
            </w:r>
            <w:r w:rsidRPr="005A07E7">
              <w:rPr>
                <w:rFonts w:ascii="Tahoma" w:hAnsi="Tahoma" w:cs="Tahoma"/>
                <w:color w:val="000000"/>
                <w:sz w:val="20"/>
                <w:szCs w:val="20"/>
              </w:rPr>
              <w:t xml:space="preserve">: </w:t>
            </w:r>
          </w:p>
          <w:p w14:paraId="7DC75442" w14:textId="77777777" w:rsidR="009D1253" w:rsidRPr="002C306D" w:rsidRDefault="009D1253" w:rsidP="009D1253">
            <w:pPr>
              <w:tabs>
                <w:tab w:val="left" w:pos="6979"/>
              </w:tabs>
              <w:ind w:right="176"/>
              <w:jc w:val="both"/>
              <w:rPr>
                <w:rFonts w:ascii="Tahoma" w:hAnsi="Tahoma" w:cs="Tahoma"/>
                <w:color w:val="000000"/>
                <w:sz w:val="20"/>
                <w:szCs w:val="20"/>
              </w:rPr>
            </w:pPr>
            <w:r w:rsidRPr="00085768">
              <w:rPr>
                <w:rFonts w:ascii="Tahoma" w:hAnsi="Tahoma" w:cs="Tahoma"/>
                <w:color w:val="000000"/>
                <w:sz w:val="20"/>
                <w:szCs w:val="20"/>
              </w:rPr>
              <w:t>Травмы в результате несчастного случая</w:t>
            </w:r>
            <w:r>
              <w:rPr>
                <w:rFonts w:ascii="Tahoma" w:hAnsi="Tahoma" w:cs="Tahoma"/>
                <w:color w:val="000000"/>
                <w:sz w:val="20"/>
                <w:szCs w:val="20"/>
              </w:rPr>
              <w:t xml:space="preserve"> (по тексту – НС)</w:t>
            </w:r>
            <w:r w:rsidRPr="00085768">
              <w:rPr>
                <w:rFonts w:ascii="Tahoma" w:hAnsi="Tahoma" w:cs="Tahoma"/>
                <w:color w:val="000000"/>
                <w:sz w:val="20"/>
                <w:szCs w:val="20"/>
              </w:rPr>
              <w:t xml:space="preserve">, </w:t>
            </w:r>
            <w:r w:rsidRPr="005247A6">
              <w:rPr>
                <w:rFonts w:ascii="Tahoma" w:hAnsi="Tahoma" w:cs="Tahoma"/>
                <w:color w:val="000000"/>
                <w:sz w:val="20"/>
                <w:szCs w:val="20"/>
              </w:rPr>
              <w:t>хирургическая операция в результате НС</w:t>
            </w:r>
            <w:r>
              <w:rPr>
                <w:rFonts w:ascii="Tahoma" w:hAnsi="Tahoma" w:cs="Tahoma"/>
                <w:color w:val="000000"/>
                <w:sz w:val="20"/>
                <w:szCs w:val="20"/>
              </w:rPr>
              <w:t xml:space="preserve">, </w:t>
            </w:r>
            <w:r w:rsidRPr="00085768">
              <w:rPr>
                <w:rFonts w:ascii="Tahoma" w:eastAsia="Calibri" w:hAnsi="Tahoma" w:cs="Tahoma"/>
                <w:sz w:val="20"/>
                <w:szCs w:val="20"/>
              </w:rPr>
              <w:t>смерть по любой причине (ЛП), установление инвалидности 1-й и 2 группы, в том числе в результате болезни.</w:t>
            </w:r>
            <w:r w:rsidRPr="005247A6">
              <w:rPr>
                <w:rFonts w:ascii="Tahoma" w:hAnsi="Tahoma" w:cs="Tahoma"/>
                <w:sz w:val="18"/>
                <w:szCs w:val="18"/>
              </w:rPr>
              <w:t xml:space="preserve"> </w:t>
            </w:r>
            <w:r w:rsidRPr="001B0A8E">
              <w:rPr>
                <w:rFonts w:ascii="Tahoma" w:eastAsia="Calibri" w:hAnsi="Tahoma" w:cs="Tahoma"/>
                <w:sz w:val="20"/>
                <w:szCs w:val="20"/>
              </w:rPr>
              <w:t xml:space="preserve">При этом, не </w:t>
            </w:r>
            <w:r>
              <w:rPr>
                <w:rFonts w:ascii="Tahoma" w:eastAsia="Calibri" w:hAnsi="Tahoma" w:cs="Tahoma"/>
                <w:sz w:val="20"/>
                <w:szCs w:val="20"/>
              </w:rPr>
              <w:t xml:space="preserve">должны быть </w:t>
            </w:r>
            <w:r w:rsidRPr="001B0A8E">
              <w:rPr>
                <w:rFonts w:ascii="Tahoma" w:eastAsia="Calibri" w:hAnsi="Tahoma" w:cs="Tahoma"/>
                <w:sz w:val="20"/>
                <w:szCs w:val="20"/>
              </w:rPr>
              <w:t> исключением из застрахованных рисков события, произошедшие в результате болезни Заемщика, прямо/ косвенно связанной с ВИЧ инфекцией/СПИД</w:t>
            </w:r>
            <w:r w:rsidRPr="005247A6">
              <w:rPr>
                <w:rFonts w:ascii="Tahoma" w:eastAsia="Calibri" w:hAnsi="Tahoma" w:cs="Tahoma"/>
                <w:sz w:val="20"/>
                <w:szCs w:val="20"/>
              </w:rPr>
              <w:t>.</w:t>
            </w:r>
          </w:p>
          <w:p w14:paraId="62F8707E" w14:textId="77777777" w:rsidR="009D1253" w:rsidRPr="009F0818" w:rsidRDefault="009D1253" w:rsidP="009D1253">
            <w:pPr>
              <w:jc w:val="center"/>
              <w:rPr>
                <w:rFonts w:ascii="Tahoma" w:hAnsi="Tahoma" w:cs="Tahoma"/>
                <w:sz w:val="20"/>
                <w:szCs w:val="20"/>
                <w:highlight w:val="yellow"/>
              </w:rPr>
            </w:pPr>
            <w:r w:rsidRPr="00D763AC">
              <w:rPr>
                <w:rFonts w:ascii="Tahoma" w:hAnsi="Tahoma" w:cs="Tahoma"/>
                <w:color w:val="000000"/>
                <w:sz w:val="20"/>
                <w:szCs w:val="20"/>
              </w:rPr>
              <w:t xml:space="preserve">* для ЛСИ применяется размер процентной ставки за пользование кредитом, соответствующий выбору условий кредитования с процентной ставкой, предусматривающей заключение Личного страхования (без заключения ЛСИ соответствующего договора), при условии </w:t>
            </w:r>
            <w:r>
              <w:rPr>
                <w:rFonts w:ascii="Tahoma" w:hAnsi="Tahoma" w:cs="Tahoma"/>
                <w:color w:val="000000"/>
                <w:sz w:val="20"/>
                <w:szCs w:val="20"/>
              </w:rPr>
              <w:t>предоставления документа, подтверждающего статус ЛСИ.</w:t>
            </w:r>
          </w:p>
        </w:tc>
      </w:tr>
      <w:tr w:rsidR="009D1253" w:rsidRPr="005A07E7" w14:paraId="0CEF77D1"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699"/>
        </w:trPr>
        <w:tc>
          <w:tcPr>
            <w:tcW w:w="1475" w:type="pct"/>
            <w:tcBorders>
              <w:top w:val="single" w:sz="4" w:space="0" w:color="auto"/>
              <w:left w:val="single" w:sz="4" w:space="0" w:color="auto"/>
              <w:right w:val="single" w:sz="4" w:space="0" w:color="auto"/>
            </w:tcBorders>
            <w:vAlign w:val="center"/>
          </w:tcPr>
          <w:p w14:paraId="60A7F898" w14:textId="77777777" w:rsidR="009D1253" w:rsidRPr="005A07E7" w:rsidRDefault="009D1253" w:rsidP="009D1253">
            <w:pPr>
              <w:jc w:val="both"/>
              <w:rPr>
                <w:rFonts w:ascii="Tahoma" w:hAnsi="Tahoma" w:cs="Tahoma"/>
                <w:sz w:val="20"/>
                <w:szCs w:val="20"/>
              </w:rPr>
            </w:pPr>
            <w:r w:rsidRPr="005A07E7">
              <w:rPr>
                <w:rFonts w:ascii="Tahoma" w:hAnsi="Tahoma" w:cs="Tahoma"/>
                <w:b/>
                <w:sz w:val="20"/>
                <w:szCs w:val="20"/>
              </w:rPr>
              <w:t>Требования к Заёмщику, которые установлены Кредитором и выполнение которых является обязательным для предоставления Кредита</w:t>
            </w:r>
          </w:p>
        </w:tc>
        <w:tc>
          <w:tcPr>
            <w:tcW w:w="3525" w:type="pct"/>
            <w:tcBorders>
              <w:top w:val="single" w:sz="4" w:space="0" w:color="auto"/>
              <w:left w:val="nil"/>
              <w:bottom w:val="single" w:sz="4" w:space="0" w:color="auto"/>
              <w:right w:val="single" w:sz="8" w:space="0" w:color="000000"/>
            </w:tcBorders>
            <w:noWrap/>
            <w:vAlign w:val="center"/>
          </w:tcPr>
          <w:p w14:paraId="26F8CEF0"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гражданство Российской Федерации;</w:t>
            </w:r>
          </w:p>
          <w:p w14:paraId="3227A05C"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адрес постоянной регистрации и фактическое место жительства Заёмщика – все регионы РФ;</w:t>
            </w:r>
          </w:p>
          <w:p w14:paraId="353FB4BA"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возраст Заёмщика не менее 21 года (на момент оформления Кредита) и не более 70 лет (на момент окончания действия срока возврата Кредита) включительно;</w:t>
            </w:r>
          </w:p>
          <w:p w14:paraId="68050C19"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Заёмщик имеет официальное место работы (либо является ИП) и</w:t>
            </w:r>
            <w:r>
              <w:rPr>
                <w:rFonts w:ascii="Tahoma" w:hAnsi="Tahoma" w:cs="Tahoma"/>
                <w:sz w:val="20"/>
                <w:szCs w:val="20"/>
              </w:rPr>
              <w:t>(или)</w:t>
            </w:r>
            <w:r w:rsidRPr="005A07E7">
              <w:rPr>
                <w:rFonts w:ascii="Tahoma" w:hAnsi="Tahoma" w:cs="Tahoma"/>
                <w:sz w:val="20"/>
                <w:szCs w:val="20"/>
              </w:rPr>
              <w:t xml:space="preserve"> постоянный источник дохода;</w:t>
            </w:r>
          </w:p>
          <w:p w14:paraId="24AE14B1"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Заёмщик не имеет официального места работы, при условии достижения пенсионного возраста, и получающий социальную пенсию;</w:t>
            </w:r>
          </w:p>
          <w:p w14:paraId="455C9C92" w14:textId="77777777" w:rsidR="009D1253" w:rsidRPr="005A07E7" w:rsidRDefault="009D1253" w:rsidP="009D1253">
            <w:pPr>
              <w:widowControl w:val="0"/>
              <w:tabs>
                <w:tab w:val="left" w:pos="851"/>
              </w:tabs>
              <w:adjustRightInd w:val="0"/>
              <w:jc w:val="both"/>
              <w:rPr>
                <w:rFonts w:ascii="Tahoma" w:hAnsi="Tahoma" w:cs="Tahoma"/>
                <w:sz w:val="20"/>
                <w:szCs w:val="20"/>
              </w:rPr>
            </w:pPr>
            <w:r w:rsidRPr="005A07E7">
              <w:rPr>
                <w:rFonts w:ascii="Tahoma" w:hAnsi="Tahoma" w:cs="Tahoma"/>
                <w:sz w:val="20"/>
                <w:szCs w:val="20"/>
              </w:rPr>
              <w:t xml:space="preserve">- стаж на последнем месте работы не менее 3 месяцев. </w:t>
            </w:r>
            <w:r w:rsidRPr="005A07E7">
              <w:rPr>
                <w:rFonts w:ascii="Tahoma" w:hAnsi="Tahoma" w:cs="Tahoma"/>
              </w:rPr>
              <w:fldChar w:fldCharType="begin"/>
            </w:r>
            <w:r w:rsidRPr="005A07E7">
              <w:rPr>
                <w:rFonts w:ascii="Tahoma" w:hAnsi="Tahoma" w:cs="Tahoma"/>
              </w:rPr>
              <w:instrText xml:space="preserve"> DOCVARIABLE  КЛИЕНТ </w:instrText>
            </w:r>
            <w:r w:rsidRPr="005A07E7">
              <w:rPr>
                <w:rFonts w:ascii="Tahoma" w:hAnsi="Tahoma" w:cs="Tahoma"/>
              </w:rPr>
              <w:fldChar w:fldCharType="end"/>
            </w:r>
          </w:p>
        </w:tc>
      </w:tr>
      <w:tr w:rsidR="009D1253" w:rsidRPr="005A07E7" w14:paraId="64113466"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558"/>
        </w:trPr>
        <w:tc>
          <w:tcPr>
            <w:tcW w:w="1475" w:type="pct"/>
            <w:tcBorders>
              <w:top w:val="single" w:sz="4" w:space="0" w:color="auto"/>
              <w:left w:val="single" w:sz="8" w:space="0" w:color="auto"/>
              <w:bottom w:val="single" w:sz="4" w:space="0" w:color="auto"/>
              <w:right w:val="single" w:sz="4" w:space="0" w:color="auto"/>
            </w:tcBorders>
            <w:vAlign w:val="center"/>
          </w:tcPr>
          <w:p w14:paraId="59D43A2E" w14:textId="77777777" w:rsidR="009D1253" w:rsidRPr="005A07E7" w:rsidRDefault="009D1253" w:rsidP="009D1253">
            <w:pPr>
              <w:jc w:val="both"/>
              <w:rPr>
                <w:rFonts w:ascii="Tahoma" w:hAnsi="Tahoma" w:cs="Tahoma"/>
                <w:b/>
                <w:sz w:val="20"/>
                <w:szCs w:val="20"/>
              </w:rPr>
            </w:pPr>
            <w:r w:rsidRPr="005A07E7">
              <w:rPr>
                <w:rFonts w:ascii="Tahoma" w:hAnsi="Tahoma" w:cs="Tahoma"/>
                <w:b/>
                <w:sz w:val="20"/>
                <w:szCs w:val="20"/>
              </w:rPr>
              <w:t>Перечень документов, необходимых для рассмотрения заявления о предоставлении Кредита, в том числе для оценки кредитоспособности Заёмщика (в случае необходимости могут быть запрошены дополнительные документы)</w:t>
            </w:r>
          </w:p>
        </w:tc>
        <w:tc>
          <w:tcPr>
            <w:tcW w:w="3525" w:type="pct"/>
            <w:tcBorders>
              <w:top w:val="single" w:sz="4" w:space="0" w:color="auto"/>
              <w:left w:val="nil"/>
              <w:bottom w:val="single" w:sz="4" w:space="0" w:color="auto"/>
              <w:right w:val="single" w:sz="8" w:space="0" w:color="000000"/>
            </w:tcBorders>
            <w:shd w:val="clear" w:color="auto" w:fill="auto"/>
            <w:noWrap/>
            <w:vAlign w:val="center"/>
          </w:tcPr>
          <w:p w14:paraId="3DC8EBD3" w14:textId="77777777" w:rsidR="009D1253" w:rsidRPr="00BB1283" w:rsidRDefault="009D1253" w:rsidP="009D1253">
            <w:pPr>
              <w:pStyle w:val="a9"/>
              <w:numPr>
                <w:ilvl w:val="0"/>
                <w:numId w:val="154"/>
              </w:numPr>
              <w:tabs>
                <w:tab w:val="left" w:pos="0"/>
                <w:tab w:val="left" w:pos="268"/>
              </w:tabs>
              <w:spacing w:before="0" w:after="0"/>
              <w:ind w:hanging="720"/>
              <w:rPr>
                <w:rFonts w:ascii="Tahoma" w:hAnsi="Tahoma" w:cs="Tahoma"/>
                <w:b/>
                <w:szCs w:val="18"/>
                <w:lang w:eastAsia="en-US"/>
              </w:rPr>
            </w:pPr>
            <w:r w:rsidRPr="00BB1283">
              <w:rPr>
                <w:rFonts w:ascii="Tahoma" w:hAnsi="Tahoma" w:cs="Tahoma"/>
                <w:b/>
                <w:szCs w:val="18"/>
                <w:lang w:eastAsia="en-US"/>
              </w:rPr>
              <w:t>Пакет документов для приобретаемого Заёмщиком за счет кредитных средств Банка ТС</w:t>
            </w:r>
          </w:p>
          <w:p w14:paraId="600BD3D1" w14:textId="77777777" w:rsidR="009D1253" w:rsidRPr="00BB1283" w:rsidRDefault="009D1253" w:rsidP="009D1253">
            <w:pPr>
              <w:pStyle w:val="a9"/>
              <w:tabs>
                <w:tab w:val="left" w:pos="0"/>
                <w:tab w:val="left" w:pos="835"/>
              </w:tabs>
              <w:spacing w:before="0" w:after="0"/>
              <w:rPr>
                <w:rFonts w:ascii="Tahoma" w:hAnsi="Tahoma" w:cs="Tahoma"/>
                <w:i/>
                <w:szCs w:val="18"/>
                <w:lang w:eastAsia="en-US"/>
              </w:rPr>
            </w:pPr>
            <w:r w:rsidRPr="00BB1283">
              <w:rPr>
                <w:rFonts w:ascii="Tahoma" w:hAnsi="Tahoma" w:cs="Tahoma"/>
                <w:i/>
                <w:szCs w:val="18"/>
                <w:lang w:eastAsia="en-US"/>
              </w:rPr>
              <w:t>Для новых ТС:</w:t>
            </w:r>
          </w:p>
          <w:p w14:paraId="40C9F4C8" w14:textId="77777777" w:rsidR="009D1253" w:rsidRPr="00BB1283" w:rsidRDefault="009D1253" w:rsidP="009D1253">
            <w:pPr>
              <w:pStyle w:val="a9"/>
              <w:tabs>
                <w:tab w:val="left" w:pos="0"/>
                <w:tab w:val="left" w:pos="835"/>
              </w:tabs>
              <w:spacing w:before="0" w:after="0"/>
              <w:rPr>
                <w:rFonts w:ascii="Tahoma" w:hAnsi="Tahoma" w:cs="Tahoma"/>
                <w:szCs w:val="18"/>
                <w:lang w:eastAsia="en-US"/>
              </w:rPr>
            </w:pPr>
            <w:r w:rsidRPr="00BB1283">
              <w:rPr>
                <w:rFonts w:ascii="Tahoma" w:hAnsi="Tahoma" w:cs="Tahoma"/>
                <w:szCs w:val="18"/>
                <w:lang w:eastAsia="en-US"/>
              </w:rPr>
              <w:t>- выписка ЭПТС</w:t>
            </w:r>
            <w:r w:rsidRPr="00BB1283">
              <w:rPr>
                <w:rFonts w:ascii="Tahoma" w:hAnsi="Tahoma" w:cs="Tahoma"/>
                <w:szCs w:val="18"/>
              </w:rPr>
              <w:t xml:space="preserve"> в статусе «действующий»</w:t>
            </w:r>
          </w:p>
          <w:p w14:paraId="1EC0802A" w14:textId="77777777" w:rsidR="009D1253" w:rsidRPr="00BB1283" w:rsidRDefault="009D1253" w:rsidP="009D1253">
            <w:pPr>
              <w:pStyle w:val="a9"/>
              <w:tabs>
                <w:tab w:val="left" w:pos="0"/>
              </w:tabs>
              <w:spacing w:before="0" w:after="0"/>
              <w:rPr>
                <w:rFonts w:ascii="Tahoma" w:hAnsi="Tahoma" w:cs="Tahoma"/>
                <w:szCs w:val="18"/>
                <w:lang w:eastAsia="en-US"/>
              </w:rPr>
            </w:pPr>
          </w:p>
          <w:p w14:paraId="5A018720" w14:textId="77777777" w:rsidR="009D1253" w:rsidRPr="00BB1283" w:rsidRDefault="009D1253" w:rsidP="009D1253">
            <w:pPr>
              <w:pStyle w:val="a9"/>
              <w:spacing w:before="0" w:after="0"/>
              <w:rPr>
                <w:rFonts w:ascii="Tahoma" w:hAnsi="Tahoma" w:cs="Tahoma"/>
                <w:szCs w:val="18"/>
              </w:rPr>
            </w:pPr>
            <w:r w:rsidRPr="00BB1283">
              <w:rPr>
                <w:rFonts w:ascii="Tahoma" w:hAnsi="Tahoma" w:cs="Tahoma"/>
                <w:szCs w:val="18"/>
              </w:rPr>
              <w:t>Полномочия юридического лица / ИП на реализацию ТС подтверждаются одним из следующих документов: договором купли-продажи, дилерским договором, договором поставки и актом приема-передачи ТС по указанным договорам или агентским договором, договором комиссии и т.п., заключенным с собственником ТС и предоставляющим ему право на реализацию такого ТС. Для ТС, ввезенных из-за границы и не поставленных на государственный регистрационный учет в РФ дополнительно к указанным документам и выписке из ЭПТС прилагается таможенная декларация (или иной документ при отсутствии у продавца ТС таможенной декларации или в дополнение к ней). При этом таможенная декларация и/или иной документ, предоставленный Банку, должен содержать VIN номер ТС, а также идентификационные данные продавца ТС (или иного лица, осуществлявшего таможенные процедуры в отношении ТС, а также процедуры, необходимые для получения ЭПТС, и передавшего полномочия по реализации ТС продавцу ТС на основании договора).</w:t>
            </w:r>
          </w:p>
          <w:p w14:paraId="07A9B57D" w14:textId="77777777" w:rsidR="009D1253" w:rsidRPr="00BB1283" w:rsidRDefault="009D1253" w:rsidP="009D1253">
            <w:pPr>
              <w:pStyle w:val="a9"/>
              <w:tabs>
                <w:tab w:val="left" w:pos="0"/>
                <w:tab w:val="left" w:pos="176"/>
                <w:tab w:val="left" w:pos="835"/>
              </w:tabs>
              <w:spacing w:before="0" w:after="0"/>
              <w:jc w:val="left"/>
              <w:rPr>
                <w:rFonts w:ascii="Tahoma" w:hAnsi="Tahoma" w:cs="Tahoma"/>
                <w:szCs w:val="18"/>
                <w:lang w:eastAsia="en-US"/>
              </w:rPr>
            </w:pPr>
          </w:p>
          <w:p w14:paraId="14A42E3E" w14:textId="77777777" w:rsidR="009D1253" w:rsidRPr="00BB1283" w:rsidRDefault="009D1253" w:rsidP="009D1253">
            <w:pPr>
              <w:pStyle w:val="a9"/>
              <w:numPr>
                <w:ilvl w:val="0"/>
                <w:numId w:val="154"/>
              </w:numPr>
              <w:tabs>
                <w:tab w:val="left" w:pos="0"/>
                <w:tab w:val="left" w:pos="268"/>
              </w:tabs>
              <w:spacing w:before="0" w:after="0"/>
              <w:ind w:hanging="669"/>
              <w:rPr>
                <w:rFonts w:ascii="Tahoma" w:hAnsi="Tahoma" w:cs="Tahoma"/>
                <w:b/>
                <w:szCs w:val="18"/>
                <w:lang w:eastAsia="en-US"/>
              </w:rPr>
            </w:pPr>
            <w:r w:rsidRPr="00BB1283">
              <w:rPr>
                <w:rFonts w:ascii="Tahoma" w:hAnsi="Tahoma" w:cs="Tahoma"/>
                <w:b/>
                <w:szCs w:val="18"/>
                <w:lang w:eastAsia="en-US"/>
              </w:rPr>
              <w:t>Пакет документов для Заёмщика</w:t>
            </w:r>
          </w:p>
          <w:p w14:paraId="798EABFB" w14:textId="77777777" w:rsidR="009D1253" w:rsidRPr="00BB1283" w:rsidRDefault="009D1253" w:rsidP="009D1253">
            <w:pPr>
              <w:pStyle w:val="a9"/>
              <w:numPr>
                <w:ilvl w:val="0"/>
                <w:numId w:val="155"/>
              </w:numPr>
              <w:tabs>
                <w:tab w:val="left" w:pos="0"/>
                <w:tab w:val="left" w:pos="268"/>
              </w:tabs>
              <w:spacing w:before="0" w:after="0"/>
              <w:ind w:hanging="669"/>
              <w:rPr>
                <w:rFonts w:ascii="Tahoma" w:hAnsi="Tahoma" w:cs="Tahoma"/>
                <w:szCs w:val="18"/>
                <w:lang w:eastAsia="en-US"/>
              </w:rPr>
            </w:pPr>
            <w:r w:rsidRPr="00BB1283">
              <w:rPr>
                <w:rFonts w:ascii="Tahoma" w:hAnsi="Tahoma" w:cs="Tahoma"/>
                <w:szCs w:val="18"/>
                <w:lang w:eastAsia="en-US"/>
              </w:rPr>
              <w:t>Паспорт гражданина РФ</w:t>
            </w:r>
          </w:p>
          <w:p w14:paraId="7168A382" w14:textId="77777777" w:rsidR="009D1253" w:rsidRPr="00BB1283" w:rsidRDefault="009D1253" w:rsidP="009D1253">
            <w:pPr>
              <w:pStyle w:val="a9"/>
              <w:numPr>
                <w:ilvl w:val="0"/>
                <w:numId w:val="155"/>
              </w:numPr>
              <w:tabs>
                <w:tab w:val="left" w:pos="0"/>
                <w:tab w:val="left" w:pos="268"/>
              </w:tabs>
              <w:spacing w:before="0" w:after="0"/>
              <w:ind w:hanging="669"/>
              <w:rPr>
                <w:rFonts w:ascii="Tahoma" w:hAnsi="Tahoma" w:cs="Tahoma"/>
                <w:szCs w:val="18"/>
                <w:lang w:eastAsia="en-US"/>
              </w:rPr>
            </w:pPr>
            <w:r w:rsidRPr="00BB1283">
              <w:rPr>
                <w:rFonts w:ascii="Tahoma" w:hAnsi="Tahoma" w:cs="Tahoma"/>
                <w:szCs w:val="18"/>
                <w:lang w:eastAsia="en-US"/>
              </w:rPr>
              <w:t>Второй документ, предоставляется из следующих документов по выбору Заёмщика:</w:t>
            </w:r>
            <w:r w:rsidRPr="00BB1283" w:rsidDel="00721FE6">
              <w:rPr>
                <w:rFonts w:ascii="Tahoma" w:hAnsi="Tahoma" w:cs="Tahoma"/>
                <w:szCs w:val="18"/>
                <w:lang w:eastAsia="en-US"/>
              </w:rPr>
              <w:t xml:space="preserve"> </w:t>
            </w:r>
          </w:p>
          <w:p w14:paraId="56559EA6" w14:textId="77777777" w:rsidR="009D1253" w:rsidRPr="00BB1283" w:rsidRDefault="009D1253" w:rsidP="009D1253">
            <w:pPr>
              <w:pStyle w:val="a9"/>
              <w:tabs>
                <w:tab w:val="left" w:pos="0"/>
              </w:tabs>
              <w:spacing w:before="0" w:after="0"/>
              <w:ind w:firstLine="268"/>
              <w:rPr>
                <w:rFonts w:ascii="Tahoma" w:hAnsi="Tahoma" w:cs="Tahoma"/>
                <w:szCs w:val="18"/>
                <w:lang w:eastAsia="en-US"/>
              </w:rPr>
            </w:pPr>
            <w:r w:rsidRPr="00BB1283">
              <w:rPr>
                <w:rFonts w:ascii="Tahoma" w:hAnsi="Tahoma" w:cs="Tahoma"/>
                <w:szCs w:val="18"/>
                <w:lang w:eastAsia="en-US"/>
              </w:rPr>
              <w:t>- заграничный паспорт гражданина РФ</w:t>
            </w:r>
          </w:p>
          <w:p w14:paraId="2DB419DA" w14:textId="77777777" w:rsidR="009D1253" w:rsidRPr="00BB1283" w:rsidRDefault="009D1253" w:rsidP="009D1253">
            <w:pPr>
              <w:pStyle w:val="a9"/>
              <w:tabs>
                <w:tab w:val="left" w:pos="0"/>
              </w:tabs>
              <w:spacing w:before="0" w:after="0"/>
              <w:ind w:firstLine="268"/>
              <w:rPr>
                <w:rFonts w:ascii="Tahoma" w:hAnsi="Tahoma" w:cs="Tahoma"/>
                <w:szCs w:val="18"/>
                <w:lang w:eastAsia="en-US"/>
              </w:rPr>
            </w:pPr>
            <w:r w:rsidRPr="00BB1283">
              <w:rPr>
                <w:rFonts w:ascii="Tahoma" w:hAnsi="Tahoma" w:cs="Tahoma"/>
                <w:szCs w:val="18"/>
                <w:lang w:eastAsia="en-US"/>
              </w:rPr>
              <w:lastRenderedPageBreak/>
              <w:t>- водительское удостоверение</w:t>
            </w:r>
          </w:p>
          <w:p w14:paraId="715087F9" w14:textId="77777777" w:rsidR="009D1253" w:rsidRPr="00BB1283" w:rsidRDefault="009D1253" w:rsidP="009D1253">
            <w:pPr>
              <w:pStyle w:val="a9"/>
              <w:tabs>
                <w:tab w:val="left" w:pos="0"/>
              </w:tabs>
              <w:spacing w:before="0" w:after="0"/>
              <w:ind w:firstLine="268"/>
              <w:rPr>
                <w:rFonts w:ascii="Tahoma" w:hAnsi="Tahoma" w:cs="Tahoma"/>
                <w:szCs w:val="18"/>
                <w:lang w:eastAsia="en-US"/>
              </w:rPr>
            </w:pPr>
            <w:r w:rsidRPr="00BB1283">
              <w:rPr>
                <w:rFonts w:ascii="Tahoma" w:hAnsi="Tahoma" w:cs="Tahoma"/>
                <w:szCs w:val="18"/>
                <w:lang w:eastAsia="en-US"/>
              </w:rPr>
              <w:t>- СНИЛС</w:t>
            </w:r>
          </w:p>
          <w:p w14:paraId="397D5C1C" w14:textId="77777777" w:rsidR="009D1253" w:rsidRPr="00F43FC6" w:rsidRDefault="009D1253" w:rsidP="009D1253">
            <w:pPr>
              <w:pStyle w:val="a9"/>
              <w:tabs>
                <w:tab w:val="left" w:pos="0"/>
              </w:tabs>
              <w:spacing w:before="0" w:after="0"/>
              <w:rPr>
                <w:rFonts w:ascii="Tahoma" w:hAnsi="Tahoma" w:cs="Tahoma"/>
                <w:szCs w:val="18"/>
              </w:rPr>
            </w:pPr>
          </w:p>
          <w:p w14:paraId="1943735E" w14:textId="77777777" w:rsidR="009D1253" w:rsidRDefault="009D1253" w:rsidP="009D1253">
            <w:pPr>
              <w:autoSpaceDE w:val="0"/>
              <w:autoSpaceDN w:val="0"/>
              <w:adjustRightInd w:val="0"/>
              <w:rPr>
                <w:rFonts w:ascii="Tahoma" w:hAnsi="Tahoma" w:cs="Tahoma"/>
                <w:sz w:val="20"/>
                <w:szCs w:val="18"/>
              </w:rPr>
            </w:pPr>
            <w:r w:rsidRPr="00636486">
              <w:rPr>
                <w:rFonts w:ascii="Tahoma" w:hAnsi="Tahoma" w:cs="Tahoma"/>
                <w:sz w:val="20"/>
                <w:szCs w:val="18"/>
              </w:rPr>
              <w:t xml:space="preserve">По результатам рассмотрения заявления о предоставлении потребительского кредита, Банком могут быть запрошены документы, подтверждающие финансовое состояние Заёмщика, а также его занятость. </w:t>
            </w:r>
          </w:p>
          <w:p w14:paraId="4BADA4C8" w14:textId="77777777" w:rsidR="009D1253" w:rsidRPr="00061BAC" w:rsidRDefault="009D1253" w:rsidP="009D1253">
            <w:pPr>
              <w:autoSpaceDE w:val="0"/>
              <w:autoSpaceDN w:val="0"/>
              <w:adjustRightInd w:val="0"/>
              <w:rPr>
                <w:rFonts w:ascii="Tahoma" w:hAnsi="Tahoma" w:cs="Tahoma"/>
                <w:sz w:val="20"/>
                <w:szCs w:val="18"/>
              </w:rPr>
            </w:pPr>
            <w:r w:rsidRPr="00061BAC">
              <w:rPr>
                <w:rFonts w:ascii="Tahoma" w:hAnsi="Tahoma" w:cs="Tahoma"/>
                <w:sz w:val="20"/>
                <w:szCs w:val="18"/>
              </w:rPr>
              <w:t xml:space="preserve">В качестве документов, подтверждающих финансовое состояние Заёмщика, могут быть предоставлены: </w:t>
            </w:r>
          </w:p>
          <w:tbl>
            <w:tblPr>
              <w:tblStyle w:val="aff0"/>
              <w:tblW w:w="10460" w:type="dxa"/>
              <w:tblInd w:w="8" w:type="dxa"/>
              <w:tblLayout w:type="fixed"/>
              <w:tblLook w:val="04A0" w:firstRow="1" w:lastRow="0" w:firstColumn="1" w:lastColumn="0" w:noHBand="0" w:noVBand="1"/>
            </w:tblPr>
            <w:tblGrid>
              <w:gridCol w:w="2096"/>
              <w:gridCol w:w="8364"/>
            </w:tblGrid>
            <w:tr w:rsidR="009D1253" w:rsidRPr="00061BAC" w14:paraId="149E5546" w14:textId="77777777" w:rsidTr="009D1253">
              <w:tc>
                <w:tcPr>
                  <w:tcW w:w="2096" w:type="dxa"/>
                </w:tcPr>
                <w:p w14:paraId="5F975902" w14:textId="77777777" w:rsidR="009D1253" w:rsidRPr="00061BAC" w:rsidRDefault="009D1253" w:rsidP="009D1253">
                  <w:pPr>
                    <w:autoSpaceDE w:val="0"/>
                    <w:autoSpaceDN w:val="0"/>
                    <w:adjustRightInd w:val="0"/>
                    <w:rPr>
                      <w:rFonts w:ascii="Tahoma" w:hAnsi="Tahoma" w:cs="Tahoma"/>
                      <w:sz w:val="20"/>
                      <w:szCs w:val="18"/>
                    </w:rPr>
                  </w:pPr>
                  <w:r w:rsidRPr="00061BAC">
                    <w:rPr>
                      <w:rFonts w:ascii="Tahoma" w:hAnsi="Tahoma" w:cs="Tahoma"/>
                      <w:sz w:val="20"/>
                      <w:szCs w:val="18"/>
                    </w:rPr>
                    <w:t>Виды (источники) дохода</w:t>
                  </w:r>
                </w:p>
              </w:tc>
              <w:tc>
                <w:tcPr>
                  <w:tcW w:w="8364" w:type="dxa"/>
                </w:tcPr>
                <w:p w14:paraId="4C3E7F16" w14:textId="77777777" w:rsidR="009D1253" w:rsidRPr="00061BAC" w:rsidRDefault="009D1253" w:rsidP="009D1253">
                  <w:pPr>
                    <w:autoSpaceDE w:val="0"/>
                    <w:autoSpaceDN w:val="0"/>
                    <w:adjustRightInd w:val="0"/>
                    <w:rPr>
                      <w:rFonts w:ascii="Tahoma" w:hAnsi="Tahoma" w:cs="Tahoma"/>
                      <w:sz w:val="20"/>
                      <w:szCs w:val="18"/>
                    </w:rPr>
                  </w:pPr>
                  <w:r w:rsidRPr="00061BAC">
                    <w:rPr>
                      <w:rFonts w:ascii="Tahoma" w:hAnsi="Tahoma" w:cs="Tahoma"/>
                      <w:sz w:val="20"/>
                      <w:szCs w:val="18"/>
                    </w:rPr>
                    <w:t>Документы, подтверждающие финансовое состояние Заёмщика*</w:t>
                  </w:r>
                </w:p>
              </w:tc>
            </w:tr>
            <w:tr w:rsidR="009D1253" w:rsidRPr="00061BAC" w14:paraId="1710031E" w14:textId="77777777" w:rsidTr="009D1253">
              <w:tc>
                <w:tcPr>
                  <w:tcW w:w="2096" w:type="dxa"/>
                </w:tcPr>
                <w:p w14:paraId="193A0F96" w14:textId="77777777" w:rsidR="009D1253" w:rsidRPr="00061BAC" w:rsidRDefault="009D1253" w:rsidP="009D1253">
                  <w:pPr>
                    <w:autoSpaceDE w:val="0"/>
                    <w:autoSpaceDN w:val="0"/>
                    <w:adjustRightInd w:val="0"/>
                    <w:rPr>
                      <w:rFonts w:ascii="Tahoma" w:hAnsi="Tahoma" w:cs="Tahoma"/>
                      <w:sz w:val="20"/>
                      <w:szCs w:val="18"/>
                    </w:rPr>
                  </w:pPr>
                  <w:r w:rsidRPr="00061BAC">
                    <w:rPr>
                      <w:rFonts w:ascii="Tahoma" w:hAnsi="Tahoma" w:cs="Tahoma"/>
                      <w:sz w:val="20"/>
                      <w:szCs w:val="18"/>
                    </w:rPr>
                    <w:t>Основное место работы</w:t>
                  </w:r>
                </w:p>
              </w:tc>
              <w:tc>
                <w:tcPr>
                  <w:tcW w:w="8364" w:type="dxa"/>
                </w:tcPr>
                <w:p w14:paraId="6374A6F6" w14:textId="77777777" w:rsidR="009D1253" w:rsidRPr="00061BAC" w:rsidRDefault="009D1253" w:rsidP="009D1253">
                  <w:pPr>
                    <w:tabs>
                      <w:tab w:val="left" w:pos="457"/>
                    </w:tabs>
                    <w:autoSpaceDE w:val="0"/>
                    <w:autoSpaceDN w:val="0"/>
                    <w:adjustRightInd w:val="0"/>
                    <w:ind w:left="457" w:hanging="457"/>
                    <w:rPr>
                      <w:rFonts w:ascii="Tahoma" w:hAnsi="Tahoma" w:cs="Tahoma"/>
                      <w:sz w:val="20"/>
                      <w:szCs w:val="18"/>
                    </w:rPr>
                  </w:pPr>
                  <w:r w:rsidRPr="00061BAC">
                    <w:rPr>
                      <w:rFonts w:ascii="Tahoma" w:hAnsi="Tahoma" w:cs="Tahoma"/>
                      <w:sz w:val="20"/>
                      <w:szCs w:val="18"/>
                    </w:rPr>
                    <w:t>Один из следующих документов по выбору Заёмщика:</w:t>
                  </w:r>
                </w:p>
                <w:p w14:paraId="0D36116C" w14:textId="77777777" w:rsidR="009D1253" w:rsidRPr="00061BAC" w:rsidRDefault="009D1253" w:rsidP="009D1253">
                  <w:pPr>
                    <w:numPr>
                      <w:ilvl w:val="0"/>
                      <w:numId w:val="149"/>
                    </w:numPr>
                    <w:tabs>
                      <w:tab w:val="left" w:pos="457"/>
                    </w:tabs>
                    <w:autoSpaceDE w:val="0"/>
                    <w:autoSpaceDN w:val="0"/>
                    <w:adjustRightInd w:val="0"/>
                    <w:ind w:left="457" w:hanging="457"/>
                    <w:jc w:val="both"/>
                    <w:rPr>
                      <w:rFonts w:ascii="Tahoma" w:hAnsi="Tahoma" w:cs="Tahoma"/>
                      <w:sz w:val="20"/>
                      <w:szCs w:val="18"/>
                    </w:rPr>
                  </w:pPr>
                  <w:r w:rsidRPr="00061BAC">
                    <w:rPr>
                      <w:rFonts w:ascii="Tahoma" w:hAnsi="Tahoma" w:cs="Tahoma"/>
                      <w:sz w:val="20"/>
                      <w:szCs w:val="18"/>
                    </w:rPr>
                    <w:t>Справка о доходах и суммах налога физического лица или Справка о доходах и удержанных суммах по образцу государственного учреждения, внутренними распорядительными документами которого установлены ограничения на предоставление своим работникам справок о доходах и суммах налога физического лица**</w:t>
                  </w:r>
                </w:p>
                <w:p w14:paraId="6E471ED8" w14:textId="77777777" w:rsidR="009D1253" w:rsidRPr="00061BAC" w:rsidRDefault="009D1253" w:rsidP="009D1253">
                  <w:pPr>
                    <w:numPr>
                      <w:ilvl w:val="0"/>
                      <w:numId w:val="149"/>
                    </w:numPr>
                    <w:tabs>
                      <w:tab w:val="left" w:pos="457"/>
                    </w:tabs>
                    <w:autoSpaceDE w:val="0"/>
                    <w:autoSpaceDN w:val="0"/>
                    <w:adjustRightInd w:val="0"/>
                    <w:ind w:left="457" w:hanging="457"/>
                    <w:jc w:val="both"/>
                    <w:rPr>
                      <w:rFonts w:ascii="Tahoma" w:hAnsi="Tahoma" w:cs="Tahoma"/>
                      <w:sz w:val="20"/>
                      <w:szCs w:val="18"/>
                    </w:rPr>
                  </w:pPr>
                  <w:r w:rsidRPr="00061BAC">
                    <w:rPr>
                      <w:rFonts w:ascii="Tahoma" w:hAnsi="Tahoma" w:cs="Tahoma"/>
                      <w:sz w:val="20"/>
                      <w:szCs w:val="18"/>
                    </w:rPr>
                    <w:t>Выписка о состоянии индивидуального лицевого счета застрахованного лица в системе обязательного пенсионного страхования***</w:t>
                  </w:r>
                </w:p>
                <w:p w14:paraId="397730AA" w14:textId="77777777" w:rsidR="009D1253" w:rsidRPr="00061BAC" w:rsidRDefault="009D1253" w:rsidP="009D1253">
                  <w:pPr>
                    <w:numPr>
                      <w:ilvl w:val="0"/>
                      <w:numId w:val="149"/>
                    </w:numPr>
                    <w:tabs>
                      <w:tab w:val="left" w:pos="457"/>
                    </w:tabs>
                    <w:autoSpaceDE w:val="0"/>
                    <w:autoSpaceDN w:val="0"/>
                    <w:adjustRightInd w:val="0"/>
                    <w:ind w:left="457" w:hanging="457"/>
                    <w:jc w:val="both"/>
                    <w:rPr>
                      <w:rFonts w:ascii="Tahoma" w:hAnsi="Tahoma" w:cs="Tahoma"/>
                      <w:sz w:val="20"/>
                      <w:szCs w:val="18"/>
                    </w:rPr>
                  </w:pPr>
                  <w:r w:rsidRPr="00061BAC">
                    <w:rPr>
                      <w:rFonts w:ascii="Tahoma" w:hAnsi="Tahoma" w:cs="Tahoma"/>
                      <w:sz w:val="20"/>
                      <w:szCs w:val="18"/>
                    </w:rPr>
                    <w:t>Справка по форме Банка**</w:t>
                  </w:r>
                </w:p>
                <w:p w14:paraId="2C92CEB0" w14:textId="77777777" w:rsidR="009D1253" w:rsidRPr="00061BAC" w:rsidRDefault="009D1253" w:rsidP="009D1253">
                  <w:pPr>
                    <w:numPr>
                      <w:ilvl w:val="0"/>
                      <w:numId w:val="149"/>
                    </w:numPr>
                    <w:tabs>
                      <w:tab w:val="left" w:pos="457"/>
                    </w:tabs>
                    <w:autoSpaceDE w:val="0"/>
                    <w:autoSpaceDN w:val="0"/>
                    <w:adjustRightInd w:val="0"/>
                    <w:ind w:left="457" w:hanging="457"/>
                    <w:jc w:val="both"/>
                    <w:rPr>
                      <w:rFonts w:ascii="Tahoma" w:hAnsi="Tahoma" w:cs="Tahoma"/>
                      <w:sz w:val="20"/>
                      <w:szCs w:val="18"/>
                    </w:rPr>
                  </w:pPr>
                  <w:r w:rsidRPr="00061BAC">
                    <w:rPr>
                      <w:rFonts w:ascii="Tahoma" w:hAnsi="Tahoma" w:cs="Tahoma"/>
                      <w:sz w:val="20"/>
                      <w:szCs w:val="18"/>
                    </w:rPr>
                    <w:t>Выписка с</w:t>
                  </w:r>
                  <w:r>
                    <w:rPr>
                      <w:rFonts w:ascii="Tahoma" w:hAnsi="Tahoma" w:cs="Tahoma"/>
                      <w:sz w:val="20"/>
                      <w:szCs w:val="18"/>
                    </w:rPr>
                    <w:t xml:space="preserve"> банковского</w:t>
                  </w:r>
                  <w:r w:rsidRPr="00061BAC">
                    <w:rPr>
                      <w:rFonts w:ascii="Tahoma" w:hAnsi="Tahoma" w:cs="Tahoma"/>
                      <w:sz w:val="20"/>
                      <w:szCs w:val="18"/>
                    </w:rPr>
                    <w:t xml:space="preserve"> счета, </w:t>
                  </w:r>
                  <w:r w:rsidRPr="008848D5">
                    <w:rPr>
                      <w:rFonts w:ascii="Tahoma" w:hAnsi="Tahoma" w:cs="Tahoma"/>
                      <w:sz w:val="20"/>
                      <w:szCs w:val="18"/>
                    </w:rPr>
                    <w:t xml:space="preserve">на который осуществляются </w:t>
                  </w:r>
                  <w:r>
                    <w:rPr>
                      <w:rFonts w:ascii="Tahoma" w:hAnsi="Tahoma" w:cs="Tahoma"/>
                      <w:sz w:val="20"/>
                      <w:szCs w:val="18"/>
                    </w:rPr>
                    <w:t>зачисления заработной платы Заемщика</w:t>
                  </w:r>
                  <w:r w:rsidRPr="008848D5">
                    <w:rPr>
                      <w:rFonts w:ascii="Tahoma" w:hAnsi="Tahoma" w:cs="Tahoma"/>
                      <w:sz w:val="20"/>
                      <w:szCs w:val="18"/>
                    </w:rPr>
                    <w:t>, выданная кредитн</w:t>
                  </w:r>
                  <w:r>
                    <w:rPr>
                      <w:rFonts w:ascii="Tahoma" w:hAnsi="Tahoma" w:cs="Tahoma"/>
                      <w:sz w:val="20"/>
                      <w:szCs w:val="18"/>
                    </w:rPr>
                    <w:t>ой</w:t>
                  </w:r>
                  <w:r w:rsidRPr="008848D5">
                    <w:rPr>
                      <w:rFonts w:ascii="Tahoma" w:hAnsi="Tahoma" w:cs="Tahoma"/>
                      <w:sz w:val="20"/>
                      <w:szCs w:val="18"/>
                    </w:rPr>
                    <w:t xml:space="preserve"> организаци</w:t>
                  </w:r>
                  <w:r>
                    <w:rPr>
                      <w:rFonts w:ascii="Tahoma" w:hAnsi="Tahoma" w:cs="Tahoma"/>
                      <w:sz w:val="20"/>
                      <w:szCs w:val="18"/>
                    </w:rPr>
                    <w:t>ей</w:t>
                  </w:r>
                  <w:r w:rsidRPr="008848D5">
                    <w:rPr>
                      <w:rFonts w:ascii="Tahoma" w:hAnsi="Tahoma" w:cs="Tahoma"/>
                      <w:sz w:val="20"/>
                      <w:szCs w:val="18"/>
                    </w:rPr>
                    <w:t xml:space="preserve"> и заверенная печатью и подписью уполномоченного лица</w:t>
                  </w:r>
                  <w:r>
                    <w:rPr>
                      <w:rFonts w:ascii="Tahoma" w:hAnsi="Tahoma" w:cs="Tahoma"/>
                      <w:sz w:val="20"/>
                      <w:szCs w:val="18"/>
                    </w:rPr>
                    <w:t>,</w:t>
                  </w:r>
                  <w:r w:rsidRPr="00061BAC">
                    <w:rPr>
                      <w:rFonts w:ascii="Tahoma" w:hAnsi="Tahoma" w:cs="Tahoma"/>
                      <w:sz w:val="20"/>
                      <w:szCs w:val="18"/>
                    </w:rPr>
                    <w:t xml:space="preserve"> в т.ч. </w:t>
                  </w:r>
                  <w:r w:rsidRPr="00040CA2">
                    <w:rPr>
                      <w:rFonts w:ascii="Tahoma" w:hAnsi="Tahoma" w:cs="Tahoma"/>
                      <w:sz w:val="18"/>
                      <w:szCs w:val="18"/>
                    </w:rPr>
                    <w:t>выписка с каналов дистанционного обслуживания кредитной организации</w:t>
                  </w:r>
                </w:p>
              </w:tc>
            </w:tr>
            <w:tr w:rsidR="009D1253" w:rsidRPr="00061BAC" w14:paraId="77908932" w14:textId="77777777" w:rsidTr="009D1253">
              <w:tc>
                <w:tcPr>
                  <w:tcW w:w="2096" w:type="dxa"/>
                </w:tcPr>
                <w:p w14:paraId="5C544CD2" w14:textId="77777777" w:rsidR="009D1253" w:rsidRPr="00061BAC" w:rsidRDefault="009D1253" w:rsidP="009D1253">
                  <w:pPr>
                    <w:autoSpaceDE w:val="0"/>
                    <w:autoSpaceDN w:val="0"/>
                    <w:adjustRightInd w:val="0"/>
                    <w:rPr>
                      <w:rFonts w:ascii="Tahoma" w:hAnsi="Tahoma" w:cs="Tahoma"/>
                      <w:sz w:val="20"/>
                      <w:szCs w:val="18"/>
                    </w:rPr>
                  </w:pPr>
                  <w:r w:rsidRPr="00061BAC">
                    <w:rPr>
                      <w:rFonts w:ascii="Tahoma" w:hAnsi="Tahoma" w:cs="Tahoma"/>
                      <w:sz w:val="20"/>
                      <w:szCs w:val="18"/>
                    </w:rPr>
                    <w:t>Пенсия</w:t>
                  </w:r>
                </w:p>
              </w:tc>
              <w:tc>
                <w:tcPr>
                  <w:tcW w:w="8364" w:type="dxa"/>
                </w:tcPr>
                <w:p w14:paraId="2913F399" w14:textId="77777777" w:rsidR="009D1253" w:rsidRPr="00061BAC" w:rsidRDefault="009D1253" w:rsidP="009D1253">
                  <w:pPr>
                    <w:tabs>
                      <w:tab w:val="left" w:pos="457"/>
                    </w:tabs>
                    <w:autoSpaceDE w:val="0"/>
                    <w:autoSpaceDN w:val="0"/>
                    <w:adjustRightInd w:val="0"/>
                    <w:ind w:left="457" w:hanging="457"/>
                    <w:rPr>
                      <w:rFonts w:ascii="Tahoma" w:hAnsi="Tahoma" w:cs="Tahoma"/>
                      <w:sz w:val="20"/>
                      <w:szCs w:val="18"/>
                    </w:rPr>
                  </w:pPr>
                  <w:r w:rsidRPr="00061BAC">
                    <w:rPr>
                      <w:rFonts w:ascii="Tahoma" w:hAnsi="Tahoma" w:cs="Tahoma"/>
                      <w:sz w:val="20"/>
                      <w:szCs w:val="18"/>
                    </w:rPr>
                    <w:t>Один из следующих документов по выбору Заемщика****:</w:t>
                  </w:r>
                </w:p>
                <w:p w14:paraId="7D751037" w14:textId="77777777" w:rsidR="009D1253" w:rsidRPr="00061BAC" w:rsidRDefault="009D1253" w:rsidP="009D1253">
                  <w:pPr>
                    <w:numPr>
                      <w:ilvl w:val="0"/>
                      <w:numId w:val="150"/>
                    </w:numPr>
                    <w:tabs>
                      <w:tab w:val="left" w:pos="457"/>
                    </w:tabs>
                    <w:autoSpaceDE w:val="0"/>
                    <w:autoSpaceDN w:val="0"/>
                    <w:adjustRightInd w:val="0"/>
                    <w:ind w:left="457" w:hanging="457"/>
                    <w:jc w:val="both"/>
                    <w:rPr>
                      <w:rFonts w:ascii="Tahoma" w:hAnsi="Tahoma" w:cs="Tahoma"/>
                      <w:sz w:val="20"/>
                      <w:szCs w:val="18"/>
                    </w:rPr>
                  </w:pPr>
                  <w:r w:rsidRPr="00061BAC">
                    <w:rPr>
                      <w:rFonts w:ascii="Tahoma" w:hAnsi="Tahoma" w:cs="Tahoma"/>
                      <w:sz w:val="20"/>
                      <w:szCs w:val="18"/>
                    </w:rPr>
                    <w:t>Выписка со счета, выданная кредитными организациями, на который осуществляются пенсионные выплаты</w:t>
                  </w:r>
                </w:p>
                <w:p w14:paraId="0EFC13CE" w14:textId="77777777" w:rsidR="009D1253" w:rsidRPr="00061BAC" w:rsidRDefault="009D1253" w:rsidP="009D1253">
                  <w:pPr>
                    <w:numPr>
                      <w:ilvl w:val="0"/>
                      <w:numId w:val="150"/>
                    </w:numPr>
                    <w:tabs>
                      <w:tab w:val="left" w:pos="457"/>
                    </w:tabs>
                    <w:autoSpaceDE w:val="0"/>
                    <w:autoSpaceDN w:val="0"/>
                    <w:adjustRightInd w:val="0"/>
                    <w:ind w:left="457" w:hanging="457"/>
                    <w:jc w:val="both"/>
                    <w:rPr>
                      <w:rFonts w:ascii="Tahoma" w:hAnsi="Tahoma" w:cs="Tahoma"/>
                      <w:sz w:val="20"/>
                      <w:szCs w:val="18"/>
                    </w:rPr>
                  </w:pPr>
                  <w:r w:rsidRPr="00061BAC">
                    <w:rPr>
                      <w:rFonts w:ascii="Tahoma" w:hAnsi="Tahoma" w:cs="Tahoma"/>
                      <w:sz w:val="20"/>
                      <w:szCs w:val="18"/>
                    </w:rPr>
                    <w:t xml:space="preserve">Справка </w:t>
                  </w:r>
                  <w:r>
                    <w:rPr>
                      <w:rFonts w:ascii="Tahoma" w:hAnsi="Tahoma" w:cs="Tahoma"/>
                      <w:sz w:val="20"/>
                      <w:szCs w:val="18"/>
                    </w:rPr>
                    <w:t>Социального</w:t>
                  </w:r>
                  <w:r w:rsidRPr="00061BAC">
                    <w:rPr>
                      <w:rFonts w:ascii="Tahoma" w:hAnsi="Tahoma" w:cs="Tahoma"/>
                      <w:sz w:val="20"/>
                      <w:szCs w:val="18"/>
                    </w:rPr>
                    <w:t xml:space="preserve"> фонда Российской Федерации или другого государственного органа, выплачивающего пенсию о размере пенсии, ежемесячного пожизненного содержания судьям или ежемесячной надбавки к денежному содержанию судьям о назначении пенсии /иной документ, подтверждающий право на получение пенсии, содержащий идентификационные данные Клиента и размера дохода (например, выписка из ПФР)</w:t>
                  </w:r>
                </w:p>
              </w:tc>
            </w:tr>
            <w:tr w:rsidR="009D1253" w:rsidRPr="00061BAC" w14:paraId="7A147E21" w14:textId="77777777" w:rsidTr="009D1253">
              <w:tc>
                <w:tcPr>
                  <w:tcW w:w="2096" w:type="dxa"/>
                </w:tcPr>
                <w:p w14:paraId="7EEC2850" w14:textId="77777777" w:rsidR="009D1253" w:rsidRPr="00061BAC" w:rsidRDefault="009D1253" w:rsidP="009D1253">
                  <w:pPr>
                    <w:autoSpaceDE w:val="0"/>
                    <w:autoSpaceDN w:val="0"/>
                    <w:adjustRightInd w:val="0"/>
                    <w:rPr>
                      <w:rFonts w:ascii="Tahoma" w:hAnsi="Tahoma" w:cs="Tahoma"/>
                      <w:sz w:val="20"/>
                      <w:szCs w:val="18"/>
                    </w:rPr>
                  </w:pPr>
                  <w:r w:rsidRPr="00061BAC">
                    <w:rPr>
                      <w:rFonts w:ascii="Tahoma" w:hAnsi="Tahoma" w:cs="Tahoma"/>
                      <w:sz w:val="20"/>
                      <w:szCs w:val="18"/>
                    </w:rPr>
                    <w:t>Место работы по совместительству</w:t>
                  </w:r>
                </w:p>
              </w:tc>
              <w:tc>
                <w:tcPr>
                  <w:tcW w:w="8364" w:type="dxa"/>
                  <w:shd w:val="clear" w:color="auto" w:fill="auto"/>
                </w:tcPr>
                <w:p w14:paraId="44D38DA8" w14:textId="77777777" w:rsidR="009D1253" w:rsidRPr="00061BAC" w:rsidRDefault="009D1253" w:rsidP="009D1253">
                  <w:pPr>
                    <w:tabs>
                      <w:tab w:val="left" w:pos="457"/>
                    </w:tabs>
                    <w:autoSpaceDE w:val="0"/>
                    <w:autoSpaceDN w:val="0"/>
                    <w:adjustRightInd w:val="0"/>
                    <w:ind w:left="457" w:hanging="457"/>
                    <w:rPr>
                      <w:rFonts w:ascii="Tahoma" w:hAnsi="Tahoma" w:cs="Tahoma"/>
                      <w:sz w:val="20"/>
                      <w:szCs w:val="18"/>
                    </w:rPr>
                  </w:pPr>
                  <w:r w:rsidRPr="00061BAC">
                    <w:rPr>
                      <w:rFonts w:ascii="Tahoma" w:hAnsi="Tahoma" w:cs="Tahoma"/>
                      <w:sz w:val="20"/>
                      <w:szCs w:val="18"/>
                    </w:rPr>
                    <w:t>Один из следующих документов по выбору Заёмщика:</w:t>
                  </w:r>
                </w:p>
                <w:p w14:paraId="02EE44F8" w14:textId="77777777" w:rsidR="009D1253" w:rsidRPr="00061BAC" w:rsidRDefault="009D1253" w:rsidP="009D1253">
                  <w:pPr>
                    <w:numPr>
                      <w:ilvl w:val="0"/>
                      <w:numId w:val="151"/>
                    </w:numPr>
                    <w:tabs>
                      <w:tab w:val="left" w:pos="457"/>
                    </w:tabs>
                    <w:autoSpaceDE w:val="0"/>
                    <w:autoSpaceDN w:val="0"/>
                    <w:adjustRightInd w:val="0"/>
                    <w:ind w:left="457" w:hanging="457"/>
                    <w:jc w:val="both"/>
                    <w:rPr>
                      <w:rFonts w:ascii="Tahoma" w:hAnsi="Tahoma" w:cs="Tahoma"/>
                      <w:sz w:val="20"/>
                      <w:szCs w:val="18"/>
                    </w:rPr>
                  </w:pPr>
                  <w:r w:rsidRPr="00061BAC">
                    <w:rPr>
                      <w:rFonts w:ascii="Tahoma" w:hAnsi="Tahoma" w:cs="Tahoma"/>
                      <w:sz w:val="20"/>
                      <w:szCs w:val="18"/>
                    </w:rPr>
                    <w:t>Справка о доходах и суммах налога физического лица или Справка о доходах и удержанных суммах по образцу государственного учреждения, внутренними распорядительными документами которого установлены ограничения на предоставление своим работникам справок о доходах и суммах налога физического лица**</w:t>
                  </w:r>
                </w:p>
                <w:p w14:paraId="09D896E5" w14:textId="77777777" w:rsidR="009D1253" w:rsidRPr="00061BAC" w:rsidRDefault="009D1253" w:rsidP="009D1253">
                  <w:pPr>
                    <w:numPr>
                      <w:ilvl w:val="0"/>
                      <w:numId w:val="151"/>
                    </w:numPr>
                    <w:tabs>
                      <w:tab w:val="left" w:pos="457"/>
                    </w:tabs>
                    <w:autoSpaceDE w:val="0"/>
                    <w:autoSpaceDN w:val="0"/>
                    <w:adjustRightInd w:val="0"/>
                    <w:ind w:left="457" w:hanging="457"/>
                    <w:jc w:val="both"/>
                    <w:rPr>
                      <w:rFonts w:ascii="Tahoma" w:hAnsi="Tahoma" w:cs="Tahoma"/>
                      <w:sz w:val="20"/>
                      <w:szCs w:val="18"/>
                    </w:rPr>
                  </w:pPr>
                  <w:r w:rsidRPr="00061BAC">
                    <w:rPr>
                      <w:rFonts w:ascii="Tahoma" w:hAnsi="Tahoma" w:cs="Tahoma"/>
                      <w:sz w:val="20"/>
                      <w:szCs w:val="18"/>
                    </w:rPr>
                    <w:t>Выписка о состоянии индивидуального лицевого счета застрахованного лица в системе обязательного пенсионного страхования***</w:t>
                  </w:r>
                </w:p>
                <w:p w14:paraId="55217688" w14:textId="77777777" w:rsidR="009D1253" w:rsidRPr="00061BAC" w:rsidRDefault="009D1253" w:rsidP="009D1253">
                  <w:pPr>
                    <w:numPr>
                      <w:ilvl w:val="0"/>
                      <w:numId w:val="151"/>
                    </w:numPr>
                    <w:tabs>
                      <w:tab w:val="left" w:pos="457"/>
                    </w:tabs>
                    <w:autoSpaceDE w:val="0"/>
                    <w:autoSpaceDN w:val="0"/>
                    <w:adjustRightInd w:val="0"/>
                    <w:ind w:left="457" w:hanging="457"/>
                    <w:jc w:val="both"/>
                    <w:rPr>
                      <w:rFonts w:ascii="Tahoma" w:hAnsi="Tahoma" w:cs="Tahoma"/>
                      <w:sz w:val="20"/>
                      <w:szCs w:val="18"/>
                    </w:rPr>
                  </w:pPr>
                  <w:r w:rsidRPr="00061BAC">
                    <w:rPr>
                      <w:rFonts w:ascii="Tahoma" w:hAnsi="Tahoma" w:cs="Tahoma"/>
                      <w:sz w:val="20"/>
                      <w:szCs w:val="18"/>
                    </w:rPr>
                    <w:t>Справка по форме Банка**</w:t>
                  </w:r>
                </w:p>
                <w:p w14:paraId="7FCD17BC" w14:textId="77777777" w:rsidR="009D1253" w:rsidRPr="00061BAC" w:rsidRDefault="009D1253" w:rsidP="009D1253">
                  <w:pPr>
                    <w:numPr>
                      <w:ilvl w:val="0"/>
                      <w:numId w:val="151"/>
                    </w:numPr>
                    <w:tabs>
                      <w:tab w:val="left" w:pos="457"/>
                    </w:tabs>
                    <w:autoSpaceDE w:val="0"/>
                    <w:autoSpaceDN w:val="0"/>
                    <w:adjustRightInd w:val="0"/>
                    <w:ind w:left="457" w:hanging="457"/>
                    <w:jc w:val="both"/>
                    <w:rPr>
                      <w:rFonts w:ascii="Tahoma" w:hAnsi="Tahoma" w:cs="Tahoma"/>
                      <w:sz w:val="20"/>
                      <w:szCs w:val="18"/>
                    </w:rPr>
                  </w:pPr>
                  <w:r w:rsidRPr="00061BAC">
                    <w:rPr>
                      <w:rFonts w:ascii="Tahoma" w:hAnsi="Tahoma" w:cs="Tahoma"/>
                      <w:sz w:val="20"/>
                      <w:szCs w:val="18"/>
                    </w:rPr>
                    <w:t>Выписка с</w:t>
                  </w:r>
                  <w:r>
                    <w:rPr>
                      <w:rFonts w:ascii="Tahoma" w:hAnsi="Tahoma" w:cs="Tahoma"/>
                      <w:sz w:val="20"/>
                      <w:szCs w:val="18"/>
                    </w:rPr>
                    <w:t xml:space="preserve"> банковского</w:t>
                  </w:r>
                  <w:r w:rsidRPr="00061BAC">
                    <w:rPr>
                      <w:rFonts w:ascii="Tahoma" w:hAnsi="Tahoma" w:cs="Tahoma"/>
                      <w:sz w:val="20"/>
                      <w:szCs w:val="18"/>
                    </w:rPr>
                    <w:t xml:space="preserve"> счета, </w:t>
                  </w:r>
                  <w:r w:rsidRPr="00CE732E">
                    <w:rPr>
                      <w:rFonts w:ascii="Tahoma" w:hAnsi="Tahoma" w:cs="Tahoma"/>
                      <w:sz w:val="20"/>
                      <w:szCs w:val="18"/>
                    </w:rPr>
                    <w:t xml:space="preserve">на который осуществляются </w:t>
                  </w:r>
                  <w:r>
                    <w:rPr>
                      <w:rFonts w:ascii="Tahoma" w:hAnsi="Tahoma" w:cs="Tahoma"/>
                      <w:sz w:val="20"/>
                      <w:szCs w:val="18"/>
                    </w:rPr>
                    <w:t>зачисления заработной платы Заемщика</w:t>
                  </w:r>
                  <w:r w:rsidRPr="00CE732E">
                    <w:rPr>
                      <w:rFonts w:ascii="Tahoma" w:hAnsi="Tahoma" w:cs="Tahoma"/>
                      <w:sz w:val="20"/>
                      <w:szCs w:val="18"/>
                    </w:rPr>
                    <w:t>, выданная кредитн</w:t>
                  </w:r>
                  <w:r>
                    <w:rPr>
                      <w:rFonts w:ascii="Tahoma" w:hAnsi="Tahoma" w:cs="Tahoma"/>
                      <w:sz w:val="20"/>
                      <w:szCs w:val="18"/>
                    </w:rPr>
                    <w:t>ой</w:t>
                  </w:r>
                  <w:r w:rsidRPr="00CE732E">
                    <w:rPr>
                      <w:rFonts w:ascii="Tahoma" w:hAnsi="Tahoma" w:cs="Tahoma"/>
                      <w:sz w:val="20"/>
                      <w:szCs w:val="18"/>
                    </w:rPr>
                    <w:t xml:space="preserve"> организаци</w:t>
                  </w:r>
                  <w:r>
                    <w:rPr>
                      <w:rFonts w:ascii="Tahoma" w:hAnsi="Tahoma" w:cs="Tahoma"/>
                      <w:sz w:val="20"/>
                      <w:szCs w:val="18"/>
                    </w:rPr>
                    <w:t>ей</w:t>
                  </w:r>
                  <w:r w:rsidRPr="00CE732E">
                    <w:rPr>
                      <w:rFonts w:ascii="Tahoma" w:hAnsi="Tahoma" w:cs="Tahoma"/>
                      <w:sz w:val="20"/>
                      <w:szCs w:val="18"/>
                    </w:rPr>
                    <w:t xml:space="preserve"> и заверенная печатью и </w:t>
                  </w:r>
                  <w:r w:rsidRPr="00CE732E">
                    <w:rPr>
                      <w:rFonts w:ascii="Tahoma" w:hAnsi="Tahoma" w:cs="Tahoma"/>
                      <w:sz w:val="20"/>
                      <w:szCs w:val="18"/>
                    </w:rPr>
                    <w:lastRenderedPageBreak/>
                    <w:t>подписью уполномоченного лица</w:t>
                  </w:r>
                  <w:r>
                    <w:rPr>
                      <w:rFonts w:ascii="Tahoma" w:hAnsi="Tahoma" w:cs="Tahoma"/>
                      <w:sz w:val="20"/>
                      <w:szCs w:val="18"/>
                    </w:rPr>
                    <w:t>,</w:t>
                  </w:r>
                  <w:r w:rsidRPr="00061BAC">
                    <w:rPr>
                      <w:rFonts w:ascii="Tahoma" w:hAnsi="Tahoma" w:cs="Tahoma"/>
                      <w:sz w:val="20"/>
                      <w:szCs w:val="18"/>
                    </w:rPr>
                    <w:t xml:space="preserve"> в т.ч. </w:t>
                  </w:r>
                  <w:r w:rsidRPr="00040CA2">
                    <w:rPr>
                      <w:rFonts w:ascii="Tahoma" w:hAnsi="Tahoma" w:cs="Tahoma"/>
                      <w:sz w:val="18"/>
                      <w:szCs w:val="18"/>
                    </w:rPr>
                    <w:t>выписка с каналов дистанционного обслуживания кредитной организации</w:t>
                  </w:r>
                  <w:r>
                    <w:rPr>
                      <w:rFonts w:ascii="Arial" w:hAnsi="Arial" w:cs="Arial"/>
                      <w:i/>
                      <w:iCs/>
                      <w:color w:val="000000"/>
                      <w:sz w:val="20"/>
                      <w:szCs w:val="20"/>
                    </w:rPr>
                    <w:t xml:space="preserve"> </w:t>
                  </w:r>
                </w:p>
              </w:tc>
            </w:tr>
            <w:tr w:rsidR="009D1253" w:rsidRPr="00061BAC" w14:paraId="64F02FA0" w14:textId="77777777" w:rsidTr="009D1253">
              <w:tc>
                <w:tcPr>
                  <w:tcW w:w="2096" w:type="dxa"/>
                </w:tcPr>
                <w:p w14:paraId="7F37BB7C" w14:textId="77777777" w:rsidR="009D1253" w:rsidRPr="00061BAC" w:rsidRDefault="009D1253" w:rsidP="009D1253">
                  <w:pPr>
                    <w:autoSpaceDE w:val="0"/>
                    <w:autoSpaceDN w:val="0"/>
                    <w:adjustRightInd w:val="0"/>
                    <w:rPr>
                      <w:rFonts w:ascii="Tahoma" w:hAnsi="Tahoma" w:cs="Tahoma"/>
                      <w:sz w:val="20"/>
                      <w:szCs w:val="18"/>
                    </w:rPr>
                  </w:pPr>
                  <w:r w:rsidRPr="00061BAC">
                    <w:rPr>
                      <w:rFonts w:ascii="Tahoma" w:hAnsi="Tahoma" w:cs="Tahoma"/>
                      <w:sz w:val="20"/>
                      <w:szCs w:val="18"/>
                    </w:rPr>
                    <w:lastRenderedPageBreak/>
                    <w:t>Предпринимательская деятельность без образования юридического лица / частная практика</w:t>
                  </w:r>
                </w:p>
              </w:tc>
              <w:tc>
                <w:tcPr>
                  <w:tcW w:w="8364" w:type="dxa"/>
                  <w:shd w:val="clear" w:color="auto" w:fill="auto"/>
                </w:tcPr>
                <w:p w14:paraId="18207BDC" w14:textId="77777777" w:rsidR="009D1253" w:rsidRPr="00061BAC" w:rsidRDefault="009D1253" w:rsidP="009D1253">
                  <w:pPr>
                    <w:tabs>
                      <w:tab w:val="left" w:pos="457"/>
                    </w:tabs>
                    <w:autoSpaceDE w:val="0"/>
                    <w:autoSpaceDN w:val="0"/>
                    <w:adjustRightInd w:val="0"/>
                    <w:ind w:left="457" w:hanging="457"/>
                    <w:rPr>
                      <w:rFonts w:ascii="Tahoma" w:hAnsi="Tahoma" w:cs="Tahoma"/>
                      <w:sz w:val="20"/>
                      <w:szCs w:val="18"/>
                    </w:rPr>
                  </w:pPr>
                  <w:r w:rsidRPr="00061BAC">
                    <w:rPr>
                      <w:rFonts w:ascii="Tahoma" w:hAnsi="Tahoma" w:cs="Tahoma"/>
                      <w:sz w:val="20"/>
                      <w:szCs w:val="18"/>
                    </w:rPr>
                    <w:t xml:space="preserve">Один или совокупность из следующих документов*: </w:t>
                  </w:r>
                </w:p>
                <w:p w14:paraId="313C6B7C" w14:textId="77777777" w:rsidR="009D1253" w:rsidRPr="0089410F" w:rsidRDefault="009D1253" w:rsidP="009D1253">
                  <w:pPr>
                    <w:pStyle w:val="affe"/>
                    <w:numPr>
                      <w:ilvl w:val="0"/>
                      <w:numId w:val="156"/>
                    </w:numPr>
                    <w:tabs>
                      <w:tab w:val="left" w:pos="457"/>
                    </w:tabs>
                    <w:autoSpaceDE w:val="0"/>
                    <w:autoSpaceDN w:val="0"/>
                    <w:adjustRightInd w:val="0"/>
                    <w:ind w:left="367" w:hanging="367"/>
                    <w:jc w:val="both"/>
                    <w:rPr>
                      <w:rFonts w:ascii="Tahoma" w:hAnsi="Tahoma" w:cs="Tahoma"/>
                      <w:sz w:val="20"/>
                      <w:szCs w:val="18"/>
                    </w:rPr>
                  </w:pPr>
                  <w:r w:rsidRPr="0089410F">
                    <w:rPr>
                      <w:rFonts w:ascii="Tahoma" w:hAnsi="Tahoma" w:cs="Tahoma"/>
                      <w:sz w:val="20"/>
                      <w:szCs w:val="18"/>
                    </w:rPr>
                    <w:t>Налоговая декларация с копиями квитанций (платежных поручений) об уплате налогов за налоговые периоды, соответствующие периоду расчета среднемесячного дохода</w:t>
                  </w:r>
                </w:p>
                <w:p w14:paraId="75F42F3D" w14:textId="77777777" w:rsidR="009D1253" w:rsidRPr="0089410F" w:rsidRDefault="009D1253" w:rsidP="009D1253">
                  <w:pPr>
                    <w:pStyle w:val="affe"/>
                    <w:numPr>
                      <w:ilvl w:val="0"/>
                      <w:numId w:val="156"/>
                    </w:numPr>
                    <w:tabs>
                      <w:tab w:val="left" w:pos="457"/>
                    </w:tabs>
                    <w:autoSpaceDE w:val="0"/>
                    <w:autoSpaceDN w:val="0"/>
                    <w:adjustRightInd w:val="0"/>
                    <w:ind w:left="367" w:hanging="367"/>
                    <w:jc w:val="both"/>
                    <w:rPr>
                      <w:rFonts w:ascii="Tahoma" w:hAnsi="Tahoma" w:cs="Tahoma"/>
                      <w:sz w:val="20"/>
                      <w:szCs w:val="18"/>
                    </w:rPr>
                  </w:pPr>
                  <w:r w:rsidRPr="0089410F">
                    <w:rPr>
                      <w:rFonts w:ascii="Tahoma" w:hAnsi="Tahoma" w:cs="Tahoma"/>
                      <w:sz w:val="20"/>
                      <w:szCs w:val="18"/>
                    </w:rPr>
                    <w:t>Книга учета доходов и расходов и хозяйственных операций ИП</w:t>
                  </w:r>
                </w:p>
                <w:p w14:paraId="33C52408" w14:textId="77777777" w:rsidR="009D1253" w:rsidRPr="00061BAC" w:rsidRDefault="009D1253" w:rsidP="009D1253">
                  <w:pPr>
                    <w:numPr>
                      <w:ilvl w:val="0"/>
                      <w:numId w:val="156"/>
                    </w:numPr>
                    <w:tabs>
                      <w:tab w:val="left" w:pos="793"/>
                    </w:tabs>
                    <w:autoSpaceDE w:val="0"/>
                    <w:autoSpaceDN w:val="0"/>
                    <w:adjustRightInd w:val="0"/>
                    <w:ind w:left="367" w:hanging="367"/>
                    <w:jc w:val="both"/>
                    <w:rPr>
                      <w:rFonts w:ascii="Tahoma" w:hAnsi="Tahoma" w:cs="Tahoma"/>
                      <w:sz w:val="20"/>
                      <w:szCs w:val="18"/>
                    </w:rPr>
                  </w:pPr>
                  <w:r w:rsidRPr="00061BAC">
                    <w:rPr>
                      <w:rFonts w:ascii="Tahoma" w:hAnsi="Tahoma" w:cs="Tahoma"/>
                      <w:sz w:val="20"/>
                      <w:szCs w:val="18"/>
                    </w:rPr>
                    <w:t xml:space="preserve">Выписки по счетам ИП, в т.ч. сформированные из мобильного приложения, заверенные кредитной организацией </w:t>
                  </w:r>
                  <w:r w:rsidRPr="00C07CDC">
                    <w:rPr>
                      <w:rFonts w:ascii="Tahoma" w:hAnsi="Tahoma" w:cs="Tahoma"/>
                      <w:sz w:val="20"/>
                      <w:szCs w:val="18"/>
                    </w:rPr>
                    <w:t xml:space="preserve">(формат </w:t>
                  </w:r>
                  <w:r w:rsidRPr="00C07CDC">
                    <w:rPr>
                      <w:rFonts w:ascii="Tahoma" w:hAnsi="Tahoma" w:cs="Tahoma"/>
                      <w:sz w:val="20"/>
                      <w:szCs w:val="18"/>
                      <w:lang w:val="en-US"/>
                    </w:rPr>
                    <w:t>pdf</w:t>
                  </w:r>
                  <w:r w:rsidRPr="00C07CDC">
                    <w:rPr>
                      <w:rFonts w:ascii="Tahoma" w:hAnsi="Tahoma" w:cs="Tahoma"/>
                      <w:sz w:val="20"/>
                      <w:szCs w:val="18"/>
                    </w:rPr>
                    <w:t>+</w:t>
                  </w:r>
                  <w:r w:rsidRPr="00C07CDC">
                    <w:rPr>
                      <w:rFonts w:ascii="Tahoma" w:hAnsi="Tahoma" w:cs="Tahoma"/>
                      <w:sz w:val="20"/>
                      <w:szCs w:val="18"/>
                      <w:lang w:val="en-US"/>
                    </w:rPr>
                    <w:t>excel</w:t>
                  </w:r>
                  <w:r w:rsidRPr="00C07CDC">
                    <w:rPr>
                      <w:rFonts w:ascii="Tahoma" w:hAnsi="Tahoma" w:cs="Tahoma"/>
                      <w:sz w:val="20"/>
                      <w:szCs w:val="18"/>
                    </w:rPr>
                    <w:t>)</w:t>
                  </w:r>
                </w:p>
                <w:p w14:paraId="2D041DE6" w14:textId="77777777" w:rsidR="009D1253" w:rsidRPr="00061BAC" w:rsidRDefault="009D1253" w:rsidP="009D1253">
                  <w:pPr>
                    <w:numPr>
                      <w:ilvl w:val="0"/>
                      <w:numId w:val="156"/>
                    </w:numPr>
                    <w:tabs>
                      <w:tab w:val="left" w:pos="793"/>
                    </w:tabs>
                    <w:autoSpaceDE w:val="0"/>
                    <w:autoSpaceDN w:val="0"/>
                    <w:adjustRightInd w:val="0"/>
                    <w:ind w:left="367" w:hanging="367"/>
                    <w:jc w:val="both"/>
                    <w:rPr>
                      <w:rFonts w:ascii="Tahoma" w:hAnsi="Tahoma" w:cs="Tahoma"/>
                      <w:sz w:val="20"/>
                      <w:szCs w:val="18"/>
                    </w:rPr>
                  </w:pPr>
                  <w:r w:rsidRPr="00061BAC">
                    <w:rPr>
                      <w:rFonts w:ascii="Tahoma" w:hAnsi="Tahoma" w:cs="Tahoma"/>
                      <w:sz w:val="20"/>
                      <w:szCs w:val="18"/>
                    </w:rPr>
                    <w:t xml:space="preserve">Для </w:t>
                  </w:r>
                  <w:r w:rsidRPr="004D50A7">
                    <w:rPr>
                      <w:rFonts w:ascii="Tahoma" w:hAnsi="Tahoma" w:cs="Tahoma"/>
                      <w:sz w:val="20"/>
                      <w:szCs w:val="18"/>
                    </w:rPr>
                    <w:t>лиц, применяющих специальный налоговый режим «Налог на профессиональный доход» (самозанятые граждане)</w:t>
                  </w:r>
                  <w:r w:rsidRPr="00061BAC">
                    <w:rPr>
                      <w:rFonts w:ascii="Tahoma" w:hAnsi="Tahoma" w:cs="Tahoma"/>
                      <w:sz w:val="20"/>
                      <w:szCs w:val="18"/>
                    </w:rPr>
                    <w:t>:</w:t>
                  </w:r>
                </w:p>
                <w:p w14:paraId="11FBD5FA" w14:textId="77777777" w:rsidR="009D1253" w:rsidRPr="0089410F" w:rsidRDefault="009D1253" w:rsidP="009D1253">
                  <w:pPr>
                    <w:pStyle w:val="affe"/>
                    <w:numPr>
                      <w:ilvl w:val="1"/>
                      <w:numId w:val="151"/>
                    </w:numPr>
                    <w:tabs>
                      <w:tab w:val="left" w:pos="793"/>
                    </w:tabs>
                    <w:autoSpaceDE w:val="0"/>
                    <w:autoSpaceDN w:val="0"/>
                    <w:adjustRightInd w:val="0"/>
                    <w:ind w:left="367" w:hanging="367"/>
                    <w:jc w:val="both"/>
                    <w:rPr>
                      <w:rFonts w:ascii="Tahoma" w:hAnsi="Tahoma" w:cs="Tahoma"/>
                      <w:sz w:val="20"/>
                      <w:szCs w:val="18"/>
                    </w:rPr>
                  </w:pPr>
                  <w:r w:rsidRPr="0089410F">
                    <w:rPr>
                      <w:rFonts w:ascii="Tahoma" w:hAnsi="Tahoma" w:cs="Tahoma"/>
                      <w:sz w:val="20"/>
                      <w:szCs w:val="18"/>
                    </w:rPr>
                    <w:t>справка о постановке на учет (снятии с учета) физического лица в качестве плательщика налога на профессиональный доход (КНД 1122035)</w:t>
                  </w:r>
                </w:p>
                <w:p w14:paraId="054C8DFF" w14:textId="77777777" w:rsidR="009D1253" w:rsidRPr="0089410F" w:rsidRDefault="009D1253" w:rsidP="009D1253">
                  <w:pPr>
                    <w:pStyle w:val="affe"/>
                    <w:numPr>
                      <w:ilvl w:val="1"/>
                      <w:numId w:val="151"/>
                    </w:numPr>
                    <w:tabs>
                      <w:tab w:val="left" w:pos="793"/>
                    </w:tabs>
                    <w:autoSpaceDE w:val="0"/>
                    <w:autoSpaceDN w:val="0"/>
                    <w:adjustRightInd w:val="0"/>
                    <w:ind w:left="367" w:hanging="367"/>
                    <w:rPr>
                      <w:rFonts w:ascii="Tahoma" w:hAnsi="Tahoma" w:cs="Tahoma"/>
                      <w:sz w:val="20"/>
                      <w:szCs w:val="18"/>
                    </w:rPr>
                  </w:pPr>
                  <w:r w:rsidRPr="0089410F">
                    <w:rPr>
                      <w:rFonts w:ascii="Tahoma" w:hAnsi="Tahoma" w:cs="Tahoma"/>
                      <w:sz w:val="20"/>
                      <w:szCs w:val="18"/>
                    </w:rPr>
                    <w:t>справка о состоянии расчетов (доходах) по налогу на профессиональный доход (КНД 1122036)</w:t>
                  </w:r>
                </w:p>
              </w:tc>
            </w:tr>
            <w:tr w:rsidR="009D1253" w:rsidRPr="00061BAC" w14:paraId="48685FDF" w14:textId="77777777" w:rsidTr="009D1253">
              <w:tc>
                <w:tcPr>
                  <w:tcW w:w="2096" w:type="dxa"/>
                </w:tcPr>
                <w:p w14:paraId="6D5FEB9B" w14:textId="77777777" w:rsidR="009D1253" w:rsidRPr="00061BAC" w:rsidRDefault="009D1253" w:rsidP="009D1253">
                  <w:pPr>
                    <w:autoSpaceDE w:val="0"/>
                    <w:autoSpaceDN w:val="0"/>
                    <w:adjustRightInd w:val="0"/>
                    <w:rPr>
                      <w:rFonts w:ascii="Tahoma" w:hAnsi="Tahoma" w:cs="Tahoma"/>
                      <w:sz w:val="20"/>
                      <w:szCs w:val="18"/>
                    </w:rPr>
                  </w:pPr>
                  <w:r w:rsidRPr="00061BAC">
                    <w:rPr>
                      <w:rFonts w:ascii="Tahoma" w:hAnsi="Tahoma" w:cs="Tahoma"/>
                      <w:sz w:val="20"/>
                      <w:szCs w:val="18"/>
                    </w:rPr>
                    <w:t>Сдача в аренду помещения</w:t>
                  </w:r>
                </w:p>
              </w:tc>
              <w:tc>
                <w:tcPr>
                  <w:tcW w:w="8364" w:type="dxa"/>
                  <w:shd w:val="clear" w:color="auto" w:fill="auto"/>
                </w:tcPr>
                <w:p w14:paraId="13DE9B63" w14:textId="77777777" w:rsidR="009D1253" w:rsidRPr="00061BAC" w:rsidRDefault="009D1253" w:rsidP="009D1253">
                  <w:pPr>
                    <w:numPr>
                      <w:ilvl w:val="0"/>
                      <w:numId w:val="152"/>
                    </w:numPr>
                    <w:tabs>
                      <w:tab w:val="left" w:pos="457"/>
                    </w:tabs>
                    <w:autoSpaceDE w:val="0"/>
                    <w:autoSpaceDN w:val="0"/>
                    <w:adjustRightInd w:val="0"/>
                    <w:ind w:left="457" w:hanging="457"/>
                    <w:rPr>
                      <w:rFonts w:ascii="Tahoma" w:hAnsi="Tahoma" w:cs="Tahoma"/>
                      <w:sz w:val="20"/>
                      <w:szCs w:val="18"/>
                    </w:rPr>
                  </w:pPr>
                  <w:r w:rsidRPr="00061BAC">
                    <w:rPr>
                      <w:rFonts w:ascii="Tahoma" w:hAnsi="Tahoma" w:cs="Tahoma"/>
                      <w:sz w:val="20"/>
                      <w:szCs w:val="18"/>
                    </w:rPr>
                    <w:t xml:space="preserve">Документ, подтверждающий право собственности Заёмщика на помещение. </w:t>
                  </w:r>
                </w:p>
                <w:p w14:paraId="5DFBE507" w14:textId="77777777" w:rsidR="009D1253" w:rsidRPr="00061BAC" w:rsidRDefault="009D1253" w:rsidP="009D1253">
                  <w:pPr>
                    <w:numPr>
                      <w:ilvl w:val="0"/>
                      <w:numId w:val="152"/>
                    </w:numPr>
                    <w:tabs>
                      <w:tab w:val="left" w:pos="457"/>
                    </w:tabs>
                    <w:autoSpaceDE w:val="0"/>
                    <w:autoSpaceDN w:val="0"/>
                    <w:adjustRightInd w:val="0"/>
                    <w:ind w:left="457" w:hanging="457"/>
                    <w:jc w:val="both"/>
                    <w:rPr>
                      <w:rFonts w:ascii="Tahoma" w:hAnsi="Tahoma" w:cs="Tahoma"/>
                      <w:sz w:val="20"/>
                      <w:szCs w:val="18"/>
                    </w:rPr>
                  </w:pPr>
                  <w:r w:rsidRPr="00061BAC">
                    <w:rPr>
                      <w:rFonts w:ascii="Tahoma" w:hAnsi="Tahoma" w:cs="Tahoma"/>
                      <w:sz w:val="20"/>
                      <w:szCs w:val="18"/>
                    </w:rPr>
                    <w:t>Договор аренды помещения</w:t>
                  </w:r>
                </w:p>
                <w:p w14:paraId="238E22FF" w14:textId="77777777" w:rsidR="009D1253" w:rsidRPr="00061BAC" w:rsidRDefault="009D1253" w:rsidP="009D1253">
                  <w:pPr>
                    <w:numPr>
                      <w:ilvl w:val="0"/>
                      <w:numId w:val="152"/>
                    </w:numPr>
                    <w:tabs>
                      <w:tab w:val="left" w:pos="457"/>
                    </w:tabs>
                    <w:autoSpaceDE w:val="0"/>
                    <w:autoSpaceDN w:val="0"/>
                    <w:adjustRightInd w:val="0"/>
                    <w:ind w:left="457" w:hanging="457"/>
                    <w:jc w:val="both"/>
                    <w:rPr>
                      <w:rFonts w:ascii="Tahoma" w:hAnsi="Tahoma" w:cs="Tahoma"/>
                      <w:sz w:val="20"/>
                      <w:szCs w:val="18"/>
                    </w:rPr>
                  </w:pPr>
                  <w:r w:rsidRPr="00061BAC">
                    <w:rPr>
                      <w:rFonts w:ascii="Tahoma" w:hAnsi="Tahoma" w:cs="Tahoma"/>
                      <w:sz w:val="20"/>
                      <w:szCs w:val="18"/>
                    </w:rPr>
                    <w:t>Выписка со счета, выданная кредитными организациями, на который осуществляются регулярные выплаты Заёмщику доходов от сдачи внаем (в аренду) недвижимого имущества (при условии подтверждения права собственности (владения) этим имуществом), в т.ч. сформированная из мобильного Банка</w:t>
                  </w:r>
                </w:p>
                <w:p w14:paraId="1EE1683B" w14:textId="77777777" w:rsidR="009D1253" w:rsidRPr="00061BAC" w:rsidRDefault="009D1253" w:rsidP="009D1253">
                  <w:pPr>
                    <w:numPr>
                      <w:ilvl w:val="0"/>
                      <w:numId w:val="152"/>
                    </w:numPr>
                    <w:tabs>
                      <w:tab w:val="left" w:pos="457"/>
                    </w:tabs>
                    <w:autoSpaceDE w:val="0"/>
                    <w:autoSpaceDN w:val="0"/>
                    <w:adjustRightInd w:val="0"/>
                    <w:ind w:left="457" w:hanging="457"/>
                    <w:jc w:val="both"/>
                    <w:rPr>
                      <w:rFonts w:ascii="Tahoma" w:hAnsi="Tahoma" w:cs="Tahoma"/>
                      <w:sz w:val="20"/>
                      <w:szCs w:val="18"/>
                    </w:rPr>
                  </w:pPr>
                  <w:r w:rsidRPr="00061BAC">
                    <w:rPr>
                      <w:rFonts w:ascii="Tahoma" w:hAnsi="Tahoma" w:cs="Tahoma"/>
                      <w:sz w:val="20"/>
                      <w:szCs w:val="18"/>
                    </w:rPr>
                    <w:t>Копия налоговой декларации по налогу на доходы физических лиц (форма 3-НДФЛ) и копии платежных документов, подтверждающих уплату налогов и сборов по договорам аренды/найма за последний налоговый период</w:t>
                  </w:r>
                </w:p>
              </w:tc>
            </w:tr>
            <w:tr w:rsidR="009D1253" w:rsidRPr="00061BAC" w14:paraId="6D734BB8" w14:textId="77777777" w:rsidTr="009D1253">
              <w:tc>
                <w:tcPr>
                  <w:tcW w:w="2096" w:type="dxa"/>
                </w:tcPr>
                <w:p w14:paraId="6732CFF1" w14:textId="77777777" w:rsidR="009D1253" w:rsidRPr="00061BAC" w:rsidRDefault="009D1253" w:rsidP="009D1253">
                  <w:pPr>
                    <w:autoSpaceDE w:val="0"/>
                    <w:autoSpaceDN w:val="0"/>
                    <w:adjustRightInd w:val="0"/>
                    <w:jc w:val="both"/>
                    <w:rPr>
                      <w:rFonts w:ascii="Tahoma" w:hAnsi="Tahoma" w:cs="Tahoma"/>
                      <w:sz w:val="20"/>
                      <w:szCs w:val="18"/>
                    </w:rPr>
                  </w:pPr>
                  <w:r w:rsidRPr="00061BAC">
                    <w:rPr>
                      <w:rFonts w:ascii="Tahoma" w:hAnsi="Tahoma" w:cs="Tahoma"/>
                      <w:sz w:val="20"/>
                      <w:szCs w:val="18"/>
                    </w:rPr>
                    <w:t>Вознаграждения по договорам гражданско-правового характера</w:t>
                  </w:r>
                </w:p>
              </w:tc>
              <w:tc>
                <w:tcPr>
                  <w:tcW w:w="8364" w:type="dxa"/>
                </w:tcPr>
                <w:p w14:paraId="236039E7" w14:textId="77777777" w:rsidR="009D1253" w:rsidRPr="00061BAC" w:rsidRDefault="009D1253" w:rsidP="009D1253">
                  <w:pPr>
                    <w:numPr>
                      <w:ilvl w:val="0"/>
                      <w:numId w:val="148"/>
                    </w:numPr>
                    <w:tabs>
                      <w:tab w:val="left" w:pos="457"/>
                    </w:tabs>
                    <w:autoSpaceDE w:val="0"/>
                    <w:autoSpaceDN w:val="0"/>
                    <w:adjustRightInd w:val="0"/>
                    <w:ind w:left="457" w:hanging="457"/>
                    <w:rPr>
                      <w:rFonts w:ascii="Tahoma" w:hAnsi="Tahoma" w:cs="Tahoma"/>
                      <w:sz w:val="20"/>
                      <w:szCs w:val="18"/>
                    </w:rPr>
                  </w:pPr>
                  <w:r w:rsidRPr="00061BAC">
                    <w:rPr>
                      <w:rFonts w:ascii="Tahoma" w:hAnsi="Tahoma" w:cs="Tahoma"/>
                      <w:sz w:val="20"/>
                      <w:szCs w:val="18"/>
                    </w:rPr>
                    <w:t xml:space="preserve">Договор. </w:t>
                  </w:r>
                </w:p>
                <w:p w14:paraId="3D9A153B" w14:textId="77777777" w:rsidR="009D1253" w:rsidRPr="00061BAC" w:rsidRDefault="009D1253" w:rsidP="009D1253">
                  <w:pPr>
                    <w:numPr>
                      <w:ilvl w:val="0"/>
                      <w:numId w:val="148"/>
                    </w:numPr>
                    <w:tabs>
                      <w:tab w:val="left" w:pos="457"/>
                    </w:tabs>
                    <w:autoSpaceDE w:val="0"/>
                    <w:autoSpaceDN w:val="0"/>
                    <w:adjustRightInd w:val="0"/>
                    <w:ind w:left="457" w:hanging="457"/>
                    <w:rPr>
                      <w:rFonts w:ascii="Tahoma" w:hAnsi="Tahoma" w:cs="Tahoma"/>
                      <w:sz w:val="20"/>
                      <w:szCs w:val="18"/>
                    </w:rPr>
                  </w:pPr>
                  <w:r w:rsidRPr="00061BAC">
                    <w:rPr>
                      <w:rFonts w:ascii="Tahoma" w:hAnsi="Tahoma" w:cs="Tahoma"/>
                      <w:sz w:val="20"/>
                      <w:szCs w:val="18"/>
                    </w:rPr>
                    <w:t>Один из следующих документов по выбору Заёмщика:</w:t>
                  </w:r>
                </w:p>
                <w:p w14:paraId="5B2D48C1" w14:textId="77777777" w:rsidR="009D1253" w:rsidRPr="00061BAC" w:rsidRDefault="009D1253" w:rsidP="009D1253">
                  <w:pPr>
                    <w:numPr>
                      <w:ilvl w:val="1"/>
                      <w:numId w:val="148"/>
                    </w:numPr>
                    <w:tabs>
                      <w:tab w:val="left" w:pos="457"/>
                    </w:tabs>
                    <w:autoSpaceDE w:val="0"/>
                    <w:autoSpaceDN w:val="0"/>
                    <w:adjustRightInd w:val="0"/>
                    <w:ind w:left="457" w:hanging="457"/>
                    <w:rPr>
                      <w:rFonts w:ascii="Tahoma" w:hAnsi="Tahoma" w:cs="Tahoma"/>
                      <w:sz w:val="20"/>
                      <w:szCs w:val="18"/>
                    </w:rPr>
                  </w:pPr>
                  <w:r w:rsidRPr="00061BAC">
                    <w:rPr>
                      <w:rFonts w:ascii="Tahoma" w:hAnsi="Tahoma" w:cs="Tahoma"/>
                      <w:sz w:val="20"/>
                      <w:szCs w:val="18"/>
                    </w:rPr>
                    <w:t>копия налоговой декларации по форме 3-НДФЛ</w:t>
                  </w:r>
                </w:p>
                <w:p w14:paraId="734D0986" w14:textId="77777777" w:rsidR="009D1253" w:rsidRPr="00061BAC" w:rsidRDefault="009D1253" w:rsidP="009D1253">
                  <w:pPr>
                    <w:numPr>
                      <w:ilvl w:val="1"/>
                      <w:numId w:val="148"/>
                    </w:numPr>
                    <w:tabs>
                      <w:tab w:val="left" w:pos="457"/>
                    </w:tabs>
                    <w:autoSpaceDE w:val="0"/>
                    <w:autoSpaceDN w:val="0"/>
                    <w:adjustRightInd w:val="0"/>
                    <w:ind w:left="457" w:hanging="457"/>
                    <w:rPr>
                      <w:rFonts w:ascii="Tahoma" w:hAnsi="Tahoma" w:cs="Tahoma"/>
                      <w:sz w:val="20"/>
                      <w:szCs w:val="18"/>
                    </w:rPr>
                  </w:pPr>
                  <w:r w:rsidRPr="00061BAC">
                    <w:rPr>
                      <w:rFonts w:ascii="Tahoma" w:hAnsi="Tahoma" w:cs="Tahoma"/>
                      <w:sz w:val="20"/>
                      <w:szCs w:val="18"/>
                    </w:rPr>
                    <w:t>справка о доходах и суммах налога физического лица**</w:t>
                  </w:r>
                </w:p>
              </w:tc>
            </w:tr>
            <w:tr w:rsidR="009D1253" w:rsidRPr="00061BAC" w14:paraId="6C1C069D" w14:textId="77777777" w:rsidTr="009D1253">
              <w:tc>
                <w:tcPr>
                  <w:tcW w:w="2096" w:type="dxa"/>
                </w:tcPr>
                <w:p w14:paraId="7B2CBD5D" w14:textId="77777777" w:rsidR="009D1253" w:rsidRPr="00061BAC" w:rsidRDefault="009D1253" w:rsidP="009D1253">
                  <w:pPr>
                    <w:autoSpaceDE w:val="0"/>
                    <w:autoSpaceDN w:val="0"/>
                    <w:adjustRightInd w:val="0"/>
                    <w:rPr>
                      <w:rFonts w:ascii="Tahoma" w:hAnsi="Tahoma" w:cs="Tahoma"/>
                      <w:sz w:val="20"/>
                      <w:szCs w:val="18"/>
                    </w:rPr>
                  </w:pPr>
                  <w:r w:rsidRPr="00061BAC">
                    <w:rPr>
                      <w:rFonts w:ascii="Tahoma" w:hAnsi="Tahoma" w:cs="Tahoma"/>
                      <w:sz w:val="20"/>
                      <w:szCs w:val="18"/>
                    </w:rPr>
                    <w:t>Прочие виды (источники) дохода</w:t>
                  </w:r>
                </w:p>
              </w:tc>
              <w:tc>
                <w:tcPr>
                  <w:tcW w:w="8364" w:type="dxa"/>
                </w:tcPr>
                <w:p w14:paraId="7E698BCC" w14:textId="77777777" w:rsidR="009D1253" w:rsidRDefault="009D1253" w:rsidP="009D1253">
                  <w:pPr>
                    <w:pStyle w:val="affe"/>
                    <w:numPr>
                      <w:ilvl w:val="0"/>
                      <w:numId w:val="153"/>
                    </w:numPr>
                    <w:tabs>
                      <w:tab w:val="left" w:pos="457"/>
                    </w:tabs>
                    <w:autoSpaceDE w:val="0"/>
                    <w:autoSpaceDN w:val="0"/>
                    <w:adjustRightInd w:val="0"/>
                    <w:ind w:left="457" w:hanging="457"/>
                    <w:contextualSpacing/>
                    <w:jc w:val="both"/>
                    <w:rPr>
                      <w:rFonts w:ascii="Tahoma" w:hAnsi="Tahoma" w:cs="Tahoma"/>
                      <w:sz w:val="20"/>
                      <w:szCs w:val="18"/>
                    </w:rPr>
                  </w:pPr>
                  <w:r w:rsidRPr="006B0A04">
                    <w:rPr>
                      <w:rFonts w:ascii="Tahoma" w:hAnsi="Tahoma" w:cs="Tahoma"/>
                      <w:sz w:val="20"/>
                      <w:szCs w:val="18"/>
                    </w:rPr>
                    <w:t>Справка о сумме ежемесячной денежной выплаты, ежемесячной денежной компенсации, ежемесячного дополнительного материального обеспечения, выданная государственным органом Заёмщику</w:t>
                  </w:r>
                </w:p>
                <w:p w14:paraId="32250A6B" w14:textId="77777777" w:rsidR="009D1253" w:rsidRDefault="009D1253" w:rsidP="009D1253">
                  <w:pPr>
                    <w:pStyle w:val="affe"/>
                    <w:numPr>
                      <w:ilvl w:val="0"/>
                      <w:numId w:val="153"/>
                    </w:numPr>
                    <w:tabs>
                      <w:tab w:val="left" w:pos="457"/>
                    </w:tabs>
                    <w:autoSpaceDE w:val="0"/>
                    <w:autoSpaceDN w:val="0"/>
                    <w:adjustRightInd w:val="0"/>
                    <w:ind w:left="457" w:hanging="457"/>
                    <w:contextualSpacing/>
                    <w:jc w:val="both"/>
                    <w:rPr>
                      <w:rFonts w:ascii="Tahoma" w:hAnsi="Tahoma" w:cs="Tahoma"/>
                      <w:sz w:val="20"/>
                      <w:szCs w:val="18"/>
                    </w:rPr>
                  </w:pPr>
                  <w:r w:rsidRPr="006B0A04">
                    <w:rPr>
                      <w:rFonts w:ascii="Tahoma" w:hAnsi="Tahoma" w:cs="Tahoma"/>
                      <w:sz w:val="20"/>
                      <w:szCs w:val="18"/>
                    </w:rPr>
                    <w:t>Документ, содержащий сведения о доходах Заёмщика, выданные государственными (муниципальными) органами, учреждениями, организациями или предприятиями (включая документы, выданные должностными лицами Вооруженных Сил Российской Федерации и воинских формирований), а также физическими лицами, зарегистрированными в качестве индивидуальных предпринимателей</w:t>
                  </w:r>
                </w:p>
                <w:p w14:paraId="520D87B5" w14:textId="77777777" w:rsidR="009D1253" w:rsidRPr="006B0A04" w:rsidRDefault="009D1253" w:rsidP="009D1253">
                  <w:pPr>
                    <w:pStyle w:val="affe"/>
                    <w:numPr>
                      <w:ilvl w:val="0"/>
                      <w:numId w:val="153"/>
                    </w:numPr>
                    <w:tabs>
                      <w:tab w:val="left" w:pos="457"/>
                    </w:tabs>
                    <w:autoSpaceDE w:val="0"/>
                    <w:autoSpaceDN w:val="0"/>
                    <w:adjustRightInd w:val="0"/>
                    <w:ind w:left="457" w:hanging="457"/>
                    <w:contextualSpacing/>
                    <w:jc w:val="both"/>
                    <w:rPr>
                      <w:rFonts w:ascii="Tahoma" w:hAnsi="Tahoma" w:cs="Tahoma"/>
                      <w:sz w:val="20"/>
                      <w:szCs w:val="18"/>
                    </w:rPr>
                  </w:pPr>
                  <w:r w:rsidRPr="006B0A04">
                    <w:rPr>
                      <w:rFonts w:ascii="Tahoma" w:hAnsi="Tahoma" w:cs="Tahoma"/>
                      <w:sz w:val="20"/>
                      <w:szCs w:val="18"/>
                    </w:rPr>
                    <w:lastRenderedPageBreak/>
                    <w:t>Выписка со счета, выданная кредитными организациями, на который осуществляются социальные выплаты, а также иные регулярные выплаты Клиенту, в т.ч. сформированная из мобильного/интернет банка</w:t>
                  </w:r>
                </w:p>
              </w:tc>
            </w:tr>
          </w:tbl>
          <w:p w14:paraId="0A36A967" w14:textId="77777777" w:rsidR="009D1253" w:rsidRPr="00061BAC" w:rsidRDefault="009D1253" w:rsidP="009D1253">
            <w:pPr>
              <w:autoSpaceDE w:val="0"/>
              <w:autoSpaceDN w:val="0"/>
              <w:adjustRightInd w:val="0"/>
              <w:jc w:val="both"/>
              <w:rPr>
                <w:rFonts w:ascii="Tahoma" w:hAnsi="Tahoma" w:cs="Tahoma"/>
                <w:sz w:val="20"/>
                <w:szCs w:val="18"/>
              </w:rPr>
            </w:pPr>
            <w:r w:rsidRPr="00061BAC">
              <w:rPr>
                <w:rFonts w:ascii="Tahoma" w:hAnsi="Tahoma" w:cs="Tahoma"/>
                <w:sz w:val="20"/>
                <w:szCs w:val="18"/>
              </w:rPr>
              <w:lastRenderedPageBreak/>
              <w:t>*Документ должен содержать информацию о доходе за последние 12 (двенадцать) месяцев. В случае если стаж работы составляет менее 12 месяцев, документ предоставляется за фактическое количество отработанных месяцев, но не менее 3 месяцев</w:t>
            </w:r>
          </w:p>
          <w:p w14:paraId="6E0D8B57" w14:textId="77777777" w:rsidR="009D1253" w:rsidRPr="00061BAC" w:rsidRDefault="009D1253" w:rsidP="009D1253">
            <w:pPr>
              <w:autoSpaceDE w:val="0"/>
              <w:autoSpaceDN w:val="0"/>
              <w:adjustRightInd w:val="0"/>
              <w:jc w:val="both"/>
              <w:rPr>
                <w:rFonts w:ascii="Tahoma" w:hAnsi="Tahoma" w:cs="Tahoma"/>
                <w:sz w:val="20"/>
                <w:szCs w:val="18"/>
              </w:rPr>
            </w:pPr>
            <w:r w:rsidRPr="00061BAC">
              <w:rPr>
                <w:rFonts w:ascii="Tahoma" w:hAnsi="Tahoma" w:cs="Tahoma"/>
                <w:sz w:val="20"/>
                <w:szCs w:val="18"/>
              </w:rPr>
              <w:t>** Документ, подтверждающий доход должен содержать в составе реквизитов ИНН работодателя/контрагента</w:t>
            </w:r>
          </w:p>
          <w:p w14:paraId="18A767EB" w14:textId="77777777" w:rsidR="009D1253" w:rsidRPr="00061BAC" w:rsidRDefault="009D1253" w:rsidP="009D1253">
            <w:pPr>
              <w:autoSpaceDE w:val="0"/>
              <w:autoSpaceDN w:val="0"/>
              <w:adjustRightInd w:val="0"/>
              <w:jc w:val="both"/>
              <w:rPr>
                <w:rFonts w:ascii="Tahoma" w:hAnsi="Tahoma" w:cs="Tahoma"/>
                <w:sz w:val="20"/>
                <w:szCs w:val="18"/>
              </w:rPr>
            </w:pPr>
            <w:r w:rsidRPr="00061BAC">
              <w:rPr>
                <w:rFonts w:ascii="Tahoma" w:hAnsi="Tahoma" w:cs="Tahoma"/>
                <w:sz w:val="20"/>
                <w:szCs w:val="18"/>
              </w:rPr>
              <w:t>***Банк получает документ в электронной форме из государственных информационных систем</w:t>
            </w:r>
            <w:r w:rsidRPr="008848D5">
              <w:rPr>
                <w:rFonts w:ascii="Tahoma" w:hAnsi="Tahoma" w:cs="Tahoma"/>
                <w:sz w:val="20"/>
                <w:szCs w:val="18"/>
              </w:rPr>
              <w:t>, если Заемщиком выражено согласие в соответствии с законодательством Российской Федерации на запрос выписки по индивидуальному лицевому счету Заемщика, который ведется в Социальном Фонде Российской Федерации</w:t>
            </w:r>
          </w:p>
          <w:p w14:paraId="694A57A5" w14:textId="77777777" w:rsidR="009D1253" w:rsidRPr="00BB1283" w:rsidRDefault="009D1253" w:rsidP="009D1253">
            <w:pPr>
              <w:autoSpaceDE w:val="0"/>
              <w:autoSpaceDN w:val="0"/>
              <w:adjustRightInd w:val="0"/>
              <w:jc w:val="both"/>
              <w:rPr>
                <w:rFonts w:ascii="Tahoma" w:hAnsi="Tahoma" w:cs="Tahoma"/>
                <w:sz w:val="20"/>
                <w:szCs w:val="18"/>
              </w:rPr>
            </w:pPr>
            <w:r w:rsidRPr="00061BAC">
              <w:rPr>
                <w:rFonts w:ascii="Tahoma" w:hAnsi="Tahoma" w:cs="Tahoma"/>
                <w:sz w:val="20"/>
                <w:szCs w:val="18"/>
              </w:rPr>
              <w:t>****Для учета дохода в виде пенсии допускается принимать документ, содержащий сведения о доходе за 1 (один) календарный месяц, принимаются выплаты, которые были получены (начислены или назначены): страховой и (или) накопительной пенсионных выплат (за исключением суммы единовременных пенсионных выплат), а также дополнительных ежемесячных денежных выплат, компенсаций и материального обеспечения (за исключением набора социальных услуг и федеральной социальной доплаты к пенсии, если они отдельно указаны в подтверждающем документе, предусмотренном в настоящем перечне подтверждающих документов)</w:t>
            </w:r>
            <w:r w:rsidRPr="00F43FC6">
              <w:rPr>
                <w:rFonts w:ascii="Tahoma" w:hAnsi="Tahoma" w:cs="Tahoma"/>
                <w:sz w:val="20"/>
                <w:szCs w:val="18"/>
              </w:rPr>
              <w:fldChar w:fldCharType="begin"/>
            </w:r>
            <w:r w:rsidRPr="00BB1283">
              <w:rPr>
                <w:rFonts w:ascii="Tahoma" w:hAnsi="Tahoma" w:cs="Tahoma"/>
                <w:sz w:val="20"/>
                <w:szCs w:val="18"/>
              </w:rPr>
              <w:instrText xml:space="preserve"> DOCVARIABLE  ATB_ADDRESS_REG </w:instrText>
            </w:r>
            <w:r w:rsidRPr="00F43FC6">
              <w:rPr>
                <w:rFonts w:ascii="Tahoma" w:hAnsi="Tahoma" w:cs="Tahoma"/>
                <w:sz w:val="20"/>
                <w:szCs w:val="18"/>
              </w:rPr>
              <w:fldChar w:fldCharType="end"/>
            </w:r>
          </w:p>
        </w:tc>
      </w:tr>
      <w:tr w:rsidR="009D1253" w:rsidRPr="005A07E7" w14:paraId="3AE4935F"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540"/>
        </w:trPr>
        <w:tc>
          <w:tcPr>
            <w:tcW w:w="1475" w:type="pct"/>
            <w:tcBorders>
              <w:top w:val="single" w:sz="4" w:space="0" w:color="auto"/>
              <w:left w:val="single" w:sz="8" w:space="0" w:color="auto"/>
              <w:bottom w:val="single" w:sz="4" w:space="0" w:color="auto"/>
              <w:right w:val="single" w:sz="4" w:space="0" w:color="auto"/>
            </w:tcBorders>
            <w:vAlign w:val="center"/>
          </w:tcPr>
          <w:p w14:paraId="031416A2" w14:textId="77777777" w:rsidR="009D1253" w:rsidRPr="005A07E7" w:rsidRDefault="009D1253" w:rsidP="009D1253">
            <w:pPr>
              <w:jc w:val="both"/>
              <w:rPr>
                <w:rFonts w:ascii="Tahoma" w:hAnsi="Tahoma" w:cs="Tahoma"/>
                <w:b/>
                <w:sz w:val="20"/>
                <w:szCs w:val="20"/>
              </w:rPr>
            </w:pPr>
            <w:r w:rsidRPr="005A07E7">
              <w:rPr>
                <w:rFonts w:ascii="Tahoma" w:hAnsi="Tahoma" w:cs="Tahoma"/>
                <w:b/>
                <w:sz w:val="20"/>
                <w:szCs w:val="20"/>
              </w:rPr>
              <w:lastRenderedPageBreak/>
              <w:t>Требования к приобретаемым ТС</w:t>
            </w:r>
          </w:p>
        </w:tc>
        <w:tc>
          <w:tcPr>
            <w:tcW w:w="3525" w:type="pct"/>
            <w:tcBorders>
              <w:top w:val="single" w:sz="4" w:space="0" w:color="auto"/>
              <w:left w:val="nil"/>
              <w:bottom w:val="single" w:sz="4" w:space="0" w:color="auto"/>
              <w:right w:val="single" w:sz="8" w:space="0" w:color="000000"/>
            </w:tcBorders>
            <w:shd w:val="clear" w:color="auto" w:fill="auto"/>
            <w:noWrap/>
            <w:vAlign w:val="center"/>
          </w:tcPr>
          <w:p w14:paraId="34B4F5B5" w14:textId="77777777" w:rsidR="009D1253" w:rsidRPr="00F17557" w:rsidRDefault="009D1253" w:rsidP="009D1253">
            <w:pPr>
              <w:pStyle w:val="a9"/>
              <w:tabs>
                <w:tab w:val="left" w:pos="0"/>
                <w:tab w:val="left" w:pos="176"/>
              </w:tabs>
              <w:spacing w:before="0" w:after="0"/>
              <w:rPr>
                <w:rFonts w:ascii="Tahoma" w:hAnsi="Tahoma" w:cs="Tahoma"/>
                <w:b/>
                <w:lang w:eastAsia="en-US"/>
              </w:rPr>
            </w:pPr>
            <w:r w:rsidRPr="00F17557">
              <w:rPr>
                <w:rFonts w:ascii="Tahoma" w:hAnsi="Tahoma" w:cs="Tahoma"/>
                <w:b/>
                <w:lang w:eastAsia="en-US"/>
              </w:rPr>
              <w:t>Требования к новому ТС (одновременное выполнение условий):</w:t>
            </w:r>
          </w:p>
          <w:p w14:paraId="1D42E4B8" w14:textId="77777777" w:rsidR="009D1253" w:rsidRPr="00F17557" w:rsidRDefault="009D1253" w:rsidP="009D1253">
            <w:pPr>
              <w:tabs>
                <w:tab w:val="left" w:pos="6979"/>
              </w:tabs>
              <w:ind w:right="176"/>
              <w:jc w:val="both"/>
              <w:rPr>
                <w:rFonts w:ascii="Tahoma" w:hAnsi="Tahoma" w:cs="Tahoma"/>
                <w:sz w:val="20"/>
                <w:szCs w:val="20"/>
              </w:rPr>
            </w:pPr>
            <w:r w:rsidRPr="00F17557">
              <w:rPr>
                <w:rFonts w:ascii="Tahoma" w:hAnsi="Tahoma" w:cs="Tahoma"/>
                <w:sz w:val="20"/>
                <w:szCs w:val="20"/>
              </w:rPr>
              <w:t>- приобретаемое новое ТС на дату выдачи Кредита не должно находиться на регистрационном учете в соответствии с законодательством РФ (за исключением случаев постановки на учет юридическим лицом ТС, используемых для тест-драйва);</w:t>
            </w:r>
          </w:p>
          <w:p w14:paraId="2A4D27A9" w14:textId="77777777" w:rsidR="009D1253" w:rsidRPr="00F17557" w:rsidRDefault="009D1253" w:rsidP="009D1253">
            <w:pPr>
              <w:tabs>
                <w:tab w:val="left" w:pos="6979"/>
              </w:tabs>
              <w:ind w:right="176"/>
              <w:jc w:val="both"/>
              <w:rPr>
                <w:rFonts w:ascii="Tahoma" w:hAnsi="Tahoma" w:cs="Tahoma"/>
                <w:sz w:val="20"/>
                <w:szCs w:val="20"/>
              </w:rPr>
            </w:pPr>
            <w:r w:rsidRPr="00F17557">
              <w:rPr>
                <w:rFonts w:ascii="Tahoma" w:hAnsi="Tahoma" w:cs="Tahoma"/>
                <w:sz w:val="20"/>
                <w:szCs w:val="20"/>
              </w:rPr>
              <w:t>- по ТС имеется выписка из ЭПТС в статусе «действующий»;</w:t>
            </w:r>
          </w:p>
          <w:p w14:paraId="6CF73670" w14:textId="77777777" w:rsidR="009D1253" w:rsidRPr="00F17557" w:rsidRDefault="009D1253" w:rsidP="009D1253">
            <w:pPr>
              <w:tabs>
                <w:tab w:val="left" w:pos="6979"/>
              </w:tabs>
              <w:ind w:right="176"/>
              <w:jc w:val="both"/>
              <w:rPr>
                <w:rFonts w:ascii="Tahoma" w:hAnsi="Tahoma" w:cs="Tahoma"/>
                <w:sz w:val="20"/>
                <w:szCs w:val="20"/>
              </w:rPr>
            </w:pPr>
            <w:r w:rsidRPr="00F17557">
              <w:rPr>
                <w:rFonts w:ascii="Tahoma" w:hAnsi="Tahoma" w:cs="Tahoma"/>
                <w:sz w:val="20"/>
                <w:szCs w:val="20"/>
              </w:rPr>
              <w:t>- пробег ТС должен быть менее 1 000 км (или 5 000 км при условии предоставления информационного письма дилером об использовании данного ТС для тест-драйва);</w:t>
            </w:r>
          </w:p>
          <w:p w14:paraId="62F061CB" w14:textId="77777777" w:rsidR="009D1253" w:rsidRPr="005A07E7" w:rsidRDefault="009D1253" w:rsidP="009D1253">
            <w:pPr>
              <w:tabs>
                <w:tab w:val="left" w:pos="6979"/>
              </w:tabs>
              <w:ind w:right="176"/>
              <w:jc w:val="both"/>
              <w:rPr>
                <w:rFonts w:ascii="Tahoma" w:hAnsi="Tahoma" w:cs="Tahoma"/>
                <w:b/>
                <w:sz w:val="18"/>
                <w:szCs w:val="18"/>
              </w:rPr>
            </w:pPr>
            <w:r w:rsidRPr="00F17557">
              <w:rPr>
                <w:rFonts w:ascii="Tahoma" w:hAnsi="Tahoma" w:cs="Tahoma"/>
                <w:sz w:val="20"/>
                <w:szCs w:val="20"/>
              </w:rPr>
              <w:t>- по Кредитам, одобренным на дату ранее, чем «01» июля текущего года, год изготовления ТС отличается от года оформления Кредита не более, чем на 2 года; одобренным с «01» июля текущего года, год изготовления ТС отличается от года оформления Кредита не более, чем на 1 год.</w:t>
            </w:r>
          </w:p>
        </w:tc>
      </w:tr>
      <w:tr w:rsidR="009D1253" w:rsidRPr="005A07E7" w14:paraId="0F112607"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6DF66931" w14:textId="77777777" w:rsidR="009D1253" w:rsidRPr="005A07E7" w:rsidRDefault="009D1253" w:rsidP="009D1253">
            <w:pPr>
              <w:jc w:val="both"/>
              <w:rPr>
                <w:rFonts w:ascii="Tahoma" w:hAnsi="Tahoma" w:cs="Tahoma"/>
                <w:b/>
                <w:sz w:val="20"/>
                <w:szCs w:val="20"/>
              </w:rPr>
            </w:pPr>
            <w:r w:rsidRPr="005A07E7">
              <w:rPr>
                <w:rFonts w:ascii="Tahoma" w:hAnsi="Tahoma" w:cs="Tahoma"/>
                <w:b/>
                <w:sz w:val="20"/>
                <w:szCs w:val="20"/>
              </w:rPr>
              <w:t>Способ предоставления Кредита</w:t>
            </w:r>
          </w:p>
        </w:tc>
        <w:tc>
          <w:tcPr>
            <w:tcW w:w="3525" w:type="pct"/>
            <w:tcBorders>
              <w:top w:val="single" w:sz="4" w:space="0" w:color="auto"/>
              <w:left w:val="nil"/>
              <w:bottom w:val="single" w:sz="4" w:space="0" w:color="auto"/>
              <w:right w:val="single" w:sz="8" w:space="0" w:color="000000"/>
            </w:tcBorders>
            <w:noWrap/>
            <w:vAlign w:val="center"/>
          </w:tcPr>
          <w:p w14:paraId="212E7A28"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Перевод денежных средств на ТБС Заёмщика, открытый в Банке</w:t>
            </w:r>
            <w:r>
              <w:rPr>
                <w:rFonts w:ascii="Tahoma" w:hAnsi="Tahoma" w:cs="Tahoma"/>
                <w:sz w:val="20"/>
                <w:szCs w:val="20"/>
              </w:rPr>
              <w:t>,</w:t>
            </w:r>
            <w:r w:rsidRPr="005A07E7">
              <w:rPr>
                <w:rFonts w:ascii="Tahoma" w:hAnsi="Tahoma" w:cs="Tahoma"/>
                <w:sz w:val="20"/>
                <w:szCs w:val="20"/>
              </w:rPr>
              <w:t xml:space="preserve"> для использования Заёмщиком на цели использования Кредита, указанные в  настоящем документе.</w:t>
            </w:r>
          </w:p>
        </w:tc>
      </w:tr>
      <w:tr w:rsidR="009D1253" w:rsidRPr="005A07E7" w14:paraId="2BA01BB2" w14:textId="77777777" w:rsidTr="009D1253">
        <w:tblPrEx>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tcPr>
          <w:p w14:paraId="1FEC97B0" w14:textId="77777777" w:rsidR="009D1253" w:rsidRPr="005A07E7" w:rsidRDefault="009D1253" w:rsidP="009D1253">
            <w:pPr>
              <w:jc w:val="both"/>
              <w:rPr>
                <w:rFonts w:ascii="Tahoma" w:hAnsi="Tahoma" w:cs="Tahoma"/>
                <w:b/>
                <w:sz w:val="20"/>
                <w:szCs w:val="20"/>
              </w:rPr>
            </w:pPr>
            <w:r w:rsidRPr="00F17557">
              <w:rPr>
                <w:rFonts w:ascii="Tahoma" w:hAnsi="Tahoma" w:cs="Tahoma"/>
                <w:b/>
                <w:sz w:val="20"/>
                <w:szCs w:val="20"/>
              </w:rPr>
              <w:t>Информация о возможном увеличении суммы расходов Заемщика по сравнению с ожидаемой суммой расходов в рублях, в том числе при применении переменной процентной ставки, а также информация о том, что изменение курса иностранной валюты в прошлом не свидетельствует об изменении ее курса в будущем, и информация о повышенных рисках заемщика, получающего доходы в валюте, отличной от валюты Кредита</w:t>
            </w:r>
          </w:p>
        </w:tc>
        <w:tc>
          <w:tcPr>
            <w:tcW w:w="3525" w:type="pct"/>
            <w:tcBorders>
              <w:top w:val="single" w:sz="4" w:space="0" w:color="auto"/>
              <w:left w:val="nil"/>
              <w:bottom w:val="single" w:sz="4" w:space="0" w:color="auto"/>
              <w:right w:val="single" w:sz="8" w:space="0" w:color="000000"/>
            </w:tcBorders>
            <w:noWrap/>
            <w:vAlign w:val="center"/>
          </w:tcPr>
          <w:p w14:paraId="5283F6CE" w14:textId="77777777" w:rsidR="009D1253" w:rsidRPr="005A07E7" w:rsidRDefault="009D1253" w:rsidP="009D1253">
            <w:pPr>
              <w:widowControl w:val="0"/>
              <w:tabs>
                <w:tab w:val="left" w:pos="426"/>
                <w:tab w:val="left" w:pos="851"/>
              </w:tabs>
              <w:jc w:val="both"/>
              <w:rPr>
                <w:rFonts w:ascii="Tahoma" w:hAnsi="Tahoma" w:cs="Tahoma"/>
                <w:sz w:val="20"/>
                <w:szCs w:val="20"/>
              </w:rPr>
            </w:pPr>
            <w:r w:rsidRPr="0089798E">
              <w:rPr>
                <w:rFonts w:ascii="Tahoma" w:hAnsi="Tahoma" w:cs="Tahoma"/>
                <w:sz w:val="20"/>
                <w:szCs w:val="20"/>
              </w:rPr>
              <w:t>Переменная процентная ставка не применяется в Договоре. Кредит предоставляется в рублях, вместе с тем, Заемщикам, получающим доход в иностранной валюте следует помнить, что изменение курса иностранной валюты в прошлом не свидетельствует об изменении ее курса в будущем, в связи с чем, такие Заемщики несут повышенные риски в связи с получением доходов в иностранной валюте.</w:t>
            </w:r>
          </w:p>
        </w:tc>
      </w:tr>
      <w:tr w:rsidR="009D1253" w:rsidRPr="005A07E7" w14:paraId="475ECABC"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385353DB" w14:textId="77777777" w:rsidR="009D1253" w:rsidRPr="005A07E7" w:rsidRDefault="009D1253" w:rsidP="009D1253">
            <w:pPr>
              <w:jc w:val="both"/>
              <w:rPr>
                <w:rFonts w:ascii="Tahoma" w:hAnsi="Tahoma" w:cs="Tahoma"/>
                <w:b/>
                <w:sz w:val="20"/>
                <w:szCs w:val="20"/>
              </w:rPr>
            </w:pPr>
            <w:r w:rsidRPr="005A07E7">
              <w:rPr>
                <w:rFonts w:ascii="Tahoma" w:hAnsi="Tahoma" w:cs="Tahoma"/>
                <w:b/>
                <w:sz w:val="20"/>
                <w:szCs w:val="20"/>
              </w:rPr>
              <w:lastRenderedPageBreak/>
              <w:t>Иные договоры, требуемые для заключения или исполнения Договора</w:t>
            </w:r>
          </w:p>
        </w:tc>
        <w:tc>
          <w:tcPr>
            <w:tcW w:w="3525" w:type="pct"/>
            <w:tcBorders>
              <w:top w:val="single" w:sz="4" w:space="0" w:color="auto"/>
              <w:left w:val="nil"/>
              <w:bottom w:val="single" w:sz="4" w:space="0" w:color="auto"/>
              <w:right w:val="single" w:sz="8" w:space="0" w:color="000000"/>
            </w:tcBorders>
            <w:noWrap/>
            <w:vAlign w:val="center"/>
          </w:tcPr>
          <w:p w14:paraId="6FC4CA61" w14:textId="77777777" w:rsidR="009D1253"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 xml:space="preserve">Заключение между </w:t>
            </w:r>
            <w:r>
              <w:rPr>
                <w:rFonts w:ascii="Tahoma" w:hAnsi="Tahoma" w:cs="Tahoma"/>
                <w:sz w:val="20"/>
                <w:szCs w:val="20"/>
              </w:rPr>
              <w:t>с</w:t>
            </w:r>
            <w:r w:rsidRPr="005A07E7">
              <w:rPr>
                <w:rFonts w:ascii="Tahoma" w:hAnsi="Tahoma" w:cs="Tahoma"/>
                <w:sz w:val="20"/>
                <w:szCs w:val="20"/>
              </w:rPr>
              <w:t xml:space="preserve">торонами </w:t>
            </w:r>
            <w:r>
              <w:rPr>
                <w:rFonts w:ascii="Tahoma" w:hAnsi="Tahoma" w:cs="Tahoma"/>
                <w:sz w:val="20"/>
                <w:szCs w:val="20"/>
              </w:rPr>
              <w:t xml:space="preserve">Договора </w:t>
            </w:r>
            <w:r w:rsidRPr="005A07E7">
              <w:rPr>
                <w:rFonts w:ascii="Tahoma" w:hAnsi="Tahoma" w:cs="Tahoma"/>
                <w:sz w:val="20"/>
                <w:szCs w:val="20"/>
              </w:rPr>
              <w:t>банковского счета (на основании которого Заёмщику Банком открывается ТБС), элементы которого включены в Договор, заключение (путем присоединения) УДБО, содержащего Общие условия.</w:t>
            </w:r>
          </w:p>
          <w:p w14:paraId="6B94D290" w14:textId="77777777" w:rsidR="009D1253" w:rsidRPr="005A07E7" w:rsidRDefault="009D1253" w:rsidP="009D1253">
            <w:pPr>
              <w:widowControl w:val="0"/>
              <w:tabs>
                <w:tab w:val="left" w:pos="426"/>
                <w:tab w:val="left" w:pos="851"/>
              </w:tabs>
              <w:jc w:val="both"/>
              <w:rPr>
                <w:rFonts w:ascii="Tahoma" w:hAnsi="Tahoma" w:cs="Tahoma"/>
                <w:sz w:val="20"/>
                <w:szCs w:val="20"/>
              </w:rPr>
            </w:pPr>
            <w:r w:rsidRPr="00F66C69">
              <w:rPr>
                <w:rFonts w:ascii="Tahoma" w:hAnsi="Tahoma" w:cs="Tahoma"/>
                <w:sz w:val="20"/>
                <w:szCs w:val="20"/>
              </w:rPr>
              <w:t>Если при оформлении Договора Заемщику предлагаются иные дополнительные услуги (работы, товары), приобретение которых не является обязательным в силу закона, Заемщик вправе отказаться от их приобретения.</w:t>
            </w:r>
          </w:p>
        </w:tc>
      </w:tr>
      <w:tr w:rsidR="009D1253" w:rsidRPr="005A07E7" w14:paraId="303D4B41"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1A9461D8" w14:textId="77777777" w:rsidR="009D1253" w:rsidRPr="005A07E7" w:rsidRDefault="009D1253" w:rsidP="009D1253">
            <w:pPr>
              <w:jc w:val="both"/>
              <w:rPr>
                <w:rFonts w:ascii="Tahoma" w:hAnsi="Tahoma" w:cs="Tahoma"/>
                <w:b/>
                <w:sz w:val="20"/>
                <w:szCs w:val="20"/>
              </w:rPr>
            </w:pPr>
            <w:r w:rsidRPr="00F17557">
              <w:rPr>
                <w:rFonts w:ascii="Tahoma" w:hAnsi="Tahoma" w:cs="Tahoma"/>
                <w:b/>
                <w:sz w:val="20"/>
                <w:szCs w:val="20"/>
              </w:rPr>
              <w:t>Виды и суммы иных платежей Заёмщика по Договору</w:t>
            </w:r>
          </w:p>
        </w:tc>
        <w:tc>
          <w:tcPr>
            <w:tcW w:w="3525" w:type="pct"/>
            <w:tcBorders>
              <w:top w:val="single" w:sz="4" w:space="0" w:color="auto"/>
              <w:left w:val="nil"/>
              <w:bottom w:val="single" w:sz="4" w:space="0" w:color="auto"/>
              <w:right w:val="single" w:sz="8" w:space="0" w:color="000000"/>
            </w:tcBorders>
            <w:noWrap/>
            <w:vAlign w:val="center"/>
          </w:tcPr>
          <w:p w14:paraId="497A6340" w14:textId="77777777" w:rsidR="009D1253" w:rsidRPr="0089798E" w:rsidRDefault="009D1253" w:rsidP="009D1253">
            <w:pPr>
              <w:widowControl w:val="0"/>
              <w:tabs>
                <w:tab w:val="left" w:pos="426"/>
                <w:tab w:val="left" w:pos="851"/>
              </w:tabs>
              <w:jc w:val="both"/>
              <w:rPr>
                <w:rFonts w:ascii="Tahoma" w:hAnsi="Tahoma" w:cs="Tahoma"/>
                <w:sz w:val="20"/>
                <w:szCs w:val="20"/>
              </w:rPr>
            </w:pPr>
            <w:r w:rsidRPr="0089798E">
              <w:rPr>
                <w:rFonts w:ascii="Tahoma" w:hAnsi="Tahoma" w:cs="Tahoma"/>
                <w:sz w:val="20"/>
                <w:szCs w:val="20"/>
              </w:rPr>
              <w:t>Иные обязательные платежи по Договору отсутствуют.</w:t>
            </w:r>
          </w:p>
          <w:p w14:paraId="773E6889" w14:textId="77777777" w:rsidR="009D1253" w:rsidRPr="005A07E7" w:rsidRDefault="009D1253" w:rsidP="009D1253">
            <w:pPr>
              <w:widowControl w:val="0"/>
              <w:tabs>
                <w:tab w:val="left" w:pos="426"/>
                <w:tab w:val="left" w:pos="851"/>
              </w:tabs>
              <w:jc w:val="both"/>
            </w:pPr>
            <w:r w:rsidRPr="005A07E7">
              <w:rPr>
                <w:rFonts w:ascii="Tahoma" w:hAnsi="Tahoma" w:cs="Tahoma"/>
                <w:sz w:val="20"/>
                <w:szCs w:val="20"/>
              </w:rPr>
              <w:t>При наличии соответствующего волеизъявления Заемщика ему могут быть оказаны Банком услуги, не являющиеся обязательными для заключения или исполнения Договора, плата за которые предусмотрена Тарифами Банка(</w:t>
            </w:r>
            <w:hyperlink r:id="rId66" w:tgtFrame="_blank" w:history="1">
              <w:r w:rsidRPr="005A07E7">
                <w:rPr>
                  <w:rStyle w:val="aff"/>
                  <w:rFonts w:ascii="Tahoma" w:hAnsi="Tahoma" w:cs="Tahoma"/>
                  <w:color w:val="0065FF"/>
                  <w:sz w:val="20"/>
                  <w:szCs w:val="20"/>
                  <w:shd w:val="clear" w:color="auto" w:fill="FFFFFF"/>
                </w:rPr>
                <w:t>https://www.atb.su/upload/doc/kniga-tarif/tarify-po-raschetno-kassovomu-obsluzhivaniyu-klientov-fizicheskikh-lits.pdf</w:t>
              </w:r>
            </w:hyperlink>
            <w:r w:rsidRPr="005A07E7">
              <w:rPr>
                <w:rFonts w:ascii="Tahoma" w:hAnsi="Tahoma" w:cs="Tahoma"/>
                <w:sz w:val="20"/>
                <w:szCs w:val="20"/>
              </w:rPr>
              <w:t>). Оказание услуги Банком производится в случае выражения Заемщиком волеизъявления на пользование определенной услугой. Оплата услуг должна быть произведена до момента оказания Банком услуг.</w:t>
            </w:r>
          </w:p>
        </w:tc>
      </w:tr>
      <w:tr w:rsidR="009D1253" w:rsidRPr="005A07E7" w14:paraId="744D96B0"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3A7CBD47" w14:textId="77777777" w:rsidR="009D1253" w:rsidRPr="005A07E7" w:rsidRDefault="009D1253" w:rsidP="009D1253">
            <w:pPr>
              <w:jc w:val="both"/>
              <w:rPr>
                <w:rFonts w:ascii="Tahoma" w:hAnsi="Tahoma" w:cs="Tahoma"/>
                <w:b/>
                <w:sz w:val="20"/>
                <w:szCs w:val="20"/>
              </w:rPr>
            </w:pPr>
            <w:r w:rsidRPr="00F17557">
              <w:rPr>
                <w:rFonts w:ascii="Tahoma" w:hAnsi="Tahoma" w:cs="Tahoma"/>
                <w:b/>
                <w:sz w:val="20"/>
                <w:szCs w:val="20"/>
              </w:rPr>
              <w:t>Информация об определении курса иностранной валюты в случае, если валюта, в которой осуществляется перевод денежных средств кредитором третьему лицу, указанному Заёмщиком при предоставлении потребительского Кредита, может отличаться от валюты потребительского Кредита</w:t>
            </w:r>
          </w:p>
        </w:tc>
        <w:tc>
          <w:tcPr>
            <w:tcW w:w="3525" w:type="pct"/>
            <w:tcBorders>
              <w:top w:val="single" w:sz="4" w:space="0" w:color="auto"/>
              <w:left w:val="nil"/>
              <w:bottom w:val="single" w:sz="4" w:space="0" w:color="auto"/>
              <w:right w:val="single" w:sz="8" w:space="0" w:color="000000"/>
            </w:tcBorders>
            <w:noWrap/>
            <w:vAlign w:val="center"/>
          </w:tcPr>
          <w:p w14:paraId="5E761D44" w14:textId="77777777" w:rsidR="009D1253" w:rsidRPr="005A07E7" w:rsidRDefault="009D1253" w:rsidP="009D1253">
            <w:pPr>
              <w:widowControl w:val="0"/>
              <w:tabs>
                <w:tab w:val="left" w:pos="426"/>
                <w:tab w:val="left" w:pos="851"/>
              </w:tabs>
              <w:jc w:val="both"/>
              <w:rPr>
                <w:rFonts w:ascii="Tahoma" w:hAnsi="Tahoma" w:cs="Tahoma"/>
                <w:sz w:val="20"/>
                <w:szCs w:val="20"/>
              </w:rPr>
            </w:pPr>
            <w:r w:rsidRPr="00F17557">
              <w:rPr>
                <w:rFonts w:ascii="Tahoma" w:hAnsi="Tahoma" w:cs="Tahoma"/>
                <w:sz w:val="20"/>
                <w:szCs w:val="20"/>
              </w:rPr>
              <w:t>Не применимо</w:t>
            </w:r>
          </w:p>
        </w:tc>
      </w:tr>
      <w:tr w:rsidR="009D1253" w:rsidRPr="005A07E7" w14:paraId="610BDDD4"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5F9AC7BC" w14:textId="77777777" w:rsidR="009D1253" w:rsidRPr="005A07E7" w:rsidRDefault="009D1253" w:rsidP="009D1253">
            <w:pPr>
              <w:jc w:val="both"/>
              <w:rPr>
                <w:rFonts w:ascii="Tahoma" w:hAnsi="Tahoma" w:cs="Tahoma"/>
                <w:b/>
                <w:sz w:val="20"/>
                <w:szCs w:val="20"/>
              </w:rPr>
            </w:pPr>
            <w:r w:rsidRPr="005A07E7">
              <w:rPr>
                <w:rFonts w:ascii="Tahoma" w:hAnsi="Tahoma" w:cs="Tahoma"/>
                <w:b/>
                <w:sz w:val="20"/>
                <w:szCs w:val="20"/>
              </w:rPr>
              <w:t>Дата, начиная с которой начисляются проценты за пользование Кредитом, или порядок ее определения</w:t>
            </w:r>
          </w:p>
        </w:tc>
        <w:tc>
          <w:tcPr>
            <w:tcW w:w="3525" w:type="pct"/>
            <w:tcBorders>
              <w:top w:val="single" w:sz="4" w:space="0" w:color="auto"/>
              <w:left w:val="nil"/>
              <w:bottom w:val="single" w:sz="4" w:space="0" w:color="auto"/>
              <w:right w:val="single" w:sz="8" w:space="0" w:color="000000"/>
            </w:tcBorders>
            <w:noWrap/>
            <w:vAlign w:val="center"/>
          </w:tcPr>
          <w:p w14:paraId="4FED636B"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Дата, следующая за датой выдачи Заёмщику Кредита</w:t>
            </w:r>
          </w:p>
        </w:tc>
      </w:tr>
      <w:tr w:rsidR="009D1253" w:rsidRPr="005A07E7" w14:paraId="2BE5E74F"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1F4A05AE" w14:textId="77777777" w:rsidR="009D1253" w:rsidRPr="005A07E7" w:rsidRDefault="009D1253" w:rsidP="009D1253">
            <w:pPr>
              <w:jc w:val="both"/>
              <w:rPr>
                <w:rFonts w:ascii="Tahoma" w:hAnsi="Tahoma" w:cs="Tahoma"/>
                <w:b/>
                <w:sz w:val="20"/>
                <w:szCs w:val="20"/>
              </w:rPr>
            </w:pPr>
            <w:r w:rsidRPr="005A07E7">
              <w:rPr>
                <w:rFonts w:ascii="Tahoma" w:hAnsi="Tahoma" w:cs="Tahoma"/>
                <w:b/>
                <w:sz w:val="20"/>
                <w:szCs w:val="20"/>
              </w:rPr>
              <w:t>Периодичность платежей Заёмщика при возврате Кредита, уплате процентов и иных платежей по Кредиту</w:t>
            </w:r>
          </w:p>
        </w:tc>
        <w:tc>
          <w:tcPr>
            <w:tcW w:w="3525" w:type="pct"/>
            <w:tcBorders>
              <w:top w:val="single" w:sz="4" w:space="0" w:color="auto"/>
              <w:left w:val="nil"/>
              <w:bottom w:val="single" w:sz="4" w:space="0" w:color="auto"/>
              <w:right w:val="single" w:sz="8" w:space="0" w:color="000000"/>
            </w:tcBorders>
            <w:noWrap/>
            <w:vAlign w:val="center"/>
          </w:tcPr>
          <w:p w14:paraId="75C89AC1"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Ежемесячно аннуитетными платежами</w:t>
            </w:r>
          </w:p>
        </w:tc>
      </w:tr>
      <w:tr w:rsidR="009D1253" w:rsidRPr="005A07E7" w14:paraId="4A28DD68"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2DE78BA8" w14:textId="77777777" w:rsidR="009D1253" w:rsidRPr="005A07E7" w:rsidRDefault="009D1253" w:rsidP="009D1253">
            <w:pPr>
              <w:jc w:val="both"/>
              <w:rPr>
                <w:rFonts w:ascii="Tahoma" w:hAnsi="Tahoma" w:cs="Tahoma"/>
                <w:b/>
                <w:sz w:val="20"/>
                <w:szCs w:val="20"/>
              </w:rPr>
            </w:pPr>
            <w:r w:rsidRPr="005A07E7">
              <w:rPr>
                <w:rFonts w:ascii="Tahoma" w:hAnsi="Tahoma" w:cs="Tahoma"/>
                <w:b/>
                <w:sz w:val="20"/>
                <w:szCs w:val="20"/>
              </w:rPr>
              <w:t>Срок действия Договора</w:t>
            </w:r>
          </w:p>
        </w:tc>
        <w:tc>
          <w:tcPr>
            <w:tcW w:w="3525" w:type="pct"/>
            <w:tcBorders>
              <w:top w:val="single" w:sz="4" w:space="0" w:color="auto"/>
              <w:left w:val="nil"/>
              <w:bottom w:val="single" w:sz="4" w:space="0" w:color="auto"/>
              <w:right w:val="single" w:sz="8" w:space="0" w:color="000000"/>
            </w:tcBorders>
            <w:noWrap/>
            <w:vAlign w:val="center"/>
          </w:tcPr>
          <w:p w14:paraId="26E56A39"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До полного исполнения Сторонами обязательств по Договору</w:t>
            </w:r>
          </w:p>
        </w:tc>
      </w:tr>
      <w:tr w:rsidR="009D1253" w:rsidRPr="005A07E7" w14:paraId="401CE399"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1CC2AA50" w14:textId="77777777" w:rsidR="009D1253" w:rsidRPr="005A07E7" w:rsidRDefault="009D1253" w:rsidP="009D1253">
            <w:pPr>
              <w:jc w:val="both"/>
              <w:rPr>
                <w:rFonts w:ascii="Tahoma" w:hAnsi="Tahoma" w:cs="Tahoma"/>
                <w:b/>
                <w:sz w:val="20"/>
                <w:szCs w:val="20"/>
              </w:rPr>
            </w:pPr>
            <w:r w:rsidRPr="005A07E7">
              <w:rPr>
                <w:rFonts w:ascii="Tahoma" w:hAnsi="Tahoma" w:cs="Tahoma"/>
                <w:b/>
                <w:sz w:val="20"/>
                <w:szCs w:val="20"/>
              </w:rPr>
              <w:t>Срок рассмотрения  оформленного Заёмщиком заявления о предоставлении Кредита и принятия Кредитором решения относительно этого заявления</w:t>
            </w:r>
          </w:p>
        </w:tc>
        <w:tc>
          <w:tcPr>
            <w:tcW w:w="3525" w:type="pct"/>
            <w:tcBorders>
              <w:top w:val="single" w:sz="4" w:space="0" w:color="auto"/>
              <w:left w:val="nil"/>
              <w:bottom w:val="single" w:sz="4" w:space="0" w:color="auto"/>
              <w:right w:val="single" w:sz="8" w:space="0" w:color="000000"/>
            </w:tcBorders>
            <w:noWrap/>
            <w:vAlign w:val="center"/>
          </w:tcPr>
          <w:p w14:paraId="730C7622"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color w:val="000000"/>
                <w:sz w:val="20"/>
                <w:szCs w:val="20"/>
              </w:rPr>
              <w:t>Решение принимается в течение 1 часа с момента предоставления Заёмщиком полного пакета документов. В случае необходимости запроса у Заёмщика дополнительных документов решение принимается в индивидуальные сроки.</w:t>
            </w:r>
            <w:r w:rsidRPr="005A07E7">
              <w:rPr>
                <w:rFonts w:ascii="Tahoma" w:hAnsi="Tahoma" w:cs="Tahoma"/>
                <w:sz w:val="20"/>
                <w:szCs w:val="20"/>
              </w:rPr>
              <w:fldChar w:fldCharType="begin"/>
            </w:r>
            <w:r w:rsidRPr="005A07E7">
              <w:rPr>
                <w:rFonts w:ascii="Tahoma" w:hAnsi="Tahoma" w:cs="Tahoma"/>
                <w:sz w:val="20"/>
                <w:szCs w:val="20"/>
              </w:rPr>
              <w:instrText xml:space="preserve"> DOCVARIABLE  WAS_BORN_DMY </w:instrText>
            </w:r>
            <w:r w:rsidRPr="005A07E7">
              <w:rPr>
                <w:rFonts w:ascii="Tahoma" w:hAnsi="Tahoma" w:cs="Tahoma"/>
                <w:sz w:val="20"/>
                <w:szCs w:val="20"/>
              </w:rPr>
              <w:fldChar w:fldCharType="end"/>
            </w:r>
          </w:p>
        </w:tc>
      </w:tr>
      <w:tr w:rsidR="009D1253" w:rsidRPr="005A07E7" w14:paraId="30888CDB"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2F543821" w14:textId="77777777" w:rsidR="009D1253" w:rsidRPr="005A07E7" w:rsidRDefault="009D1253" w:rsidP="009D1253">
            <w:pPr>
              <w:jc w:val="both"/>
              <w:rPr>
                <w:rFonts w:ascii="Tahoma" w:hAnsi="Tahoma" w:cs="Tahoma"/>
                <w:b/>
                <w:sz w:val="20"/>
                <w:szCs w:val="20"/>
              </w:rPr>
            </w:pPr>
            <w:r w:rsidRPr="005A07E7">
              <w:rPr>
                <w:rFonts w:ascii="Tahoma" w:hAnsi="Tahoma" w:cs="Tahoma"/>
                <w:b/>
                <w:sz w:val="20"/>
                <w:szCs w:val="20"/>
              </w:rPr>
              <w:t xml:space="preserve">Срок, в течение которого Заёмщик вправе отказаться от получения Кредита </w:t>
            </w:r>
          </w:p>
        </w:tc>
        <w:tc>
          <w:tcPr>
            <w:tcW w:w="3525" w:type="pct"/>
            <w:tcBorders>
              <w:top w:val="single" w:sz="4" w:space="0" w:color="auto"/>
              <w:left w:val="nil"/>
              <w:bottom w:val="single" w:sz="4" w:space="0" w:color="auto"/>
              <w:right w:val="single" w:sz="8" w:space="0" w:color="000000"/>
            </w:tcBorders>
            <w:noWrap/>
            <w:vAlign w:val="center"/>
          </w:tcPr>
          <w:p w14:paraId="4CFA11C5" w14:textId="77777777" w:rsidR="009D1253" w:rsidRPr="005A07E7" w:rsidRDefault="009D1253" w:rsidP="009D1253">
            <w:pPr>
              <w:widowControl w:val="0"/>
              <w:tabs>
                <w:tab w:val="left" w:pos="426"/>
                <w:tab w:val="left" w:pos="851"/>
              </w:tabs>
              <w:jc w:val="both"/>
              <w:rPr>
                <w:rFonts w:ascii="Tahoma" w:hAnsi="Tahoma" w:cs="Tahoma"/>
                <w:color w:val="000000"/>
                <w:sz w:val="20"/>
                <w:szCs w:val="20"/>
              </w:rPr>
            </w:pPr>
            <w:r w:rsidRPr="005A07E7">
              <w:rPr>
                <w:rFonts w:ascii="Tahoma" w:hAnsi="Tahoma" w:cs="Tahoma"/>
                <w:sz w:val="20"/>
                <w:szCs w:val="20"/>
              </w:rPr>
              <w:t xml:space="preserve">Заёмщик вправе отказаться от получения кредита полностью или частично, уведомив об этом Банк до истечения установленного Договором срока его предоставления. </w:t>
            </w:r>
          </w:p>
        </w:tc>
      </w:tr>
      <w:tr w:rsidR="009D1253" w:rsidRPr="005A07E7" w14:paraId="240B1ADA"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tcPr>
          <w:p w14:paraId="019082AE" w14:textId="77777777" w:rsidR="009D1253" w:rsidRPr="005A07E7" w:rsidRDefault="009D1253" w:rsidP="009D1253">
            <w:pPr>
              <w:jc w:val="both"/>
              <w:rPr>
                <w:rFonts w:ascii="Tahoma" w:hAnsi="Tahoma" w:cs="Tahoma"/>
                <w:b/>
                <w:sz w:val="20"/>
                <w:szCs w:val="20"/>
              </w:rPr>
            </w:pPr>
            <w:r w:rsidRPr="005A07E7">
              <w:rPr>
                <w:rFonts w:ascii="Tahoma" w:hAnsi="Tahoma" w:cs="Tahoma"/>
                <w:b/>
                <w:sz w:val="20"/>
                <w:szCs w:val="20"/>
              </w:rPr>
              <w:t>Срок действия решения о предоставлении Кредита</w:t>
            </w:r>
          </w:p>
        </w:tc>
        <w:tc>
          <w:tcPr>
            <w:tcW w:w="3525" w:type="pct"/>
            <w:tcBorders>
              <w:top w:val="single" w:sz="4" w:space="0" w:color="auto"/>
              <w:left w:val="nil"/>
              <w:bottom w:val="single" w:sz="4" w:space="0" w:color="auto"/>
              <w:right w:val="single" w:sz="8" w:space="0" w:color="000000"/>
            </w:tcBorders>
            <w:noWrap/>
            <w:vAlign w:val="center"/>
          </w:tcPr>
          <w:p w14:paraId="1FF20DE0"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30 календарных дней</w:t>
            </w:r>
            <w:r>
              <w:rPr>
                <w:rFonts w:ascii="Tahoma" w:hAnsi="Tahoma" w:cs="Tahoma"/>
                <w:sz w:val="20"/>
                <w:szCs w:val="20"/>
              </w:rPr>
              <w:t xml:space="preserve"> с даты принятия Банком решения</w:t>
            </w:r>
          </w:p>
        </w:tc>
      </w:tr>
      <w:tr w:rsidR="009D1253" w:rsidRPr="005A07E7" w14:paraId="51167EAA"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301"/>
        </w:trPr>
        <w:tc>
          <w:tcPr>
            <w:tcW w:w="1475" w:type="pct"/>
            <w:tcBorders>
              <w:top w:val="single" w:sz="4" w:space="0" w:color="auto"/>
              <w:left w:val="single" w:sz="8" w:space="0" w:color="auto"/>
              <w:bottom w:val="single" w:sz="4" w:space="0" w:color="auto"/>
              <w:right w:val="single" w:sz="4" w:space="0" w:color="auto"/>
            </w:tcBorders>
            <w:vAlign w:val="center"/>
          </w:tcPr>
          <w:p w14:paraId="5911DF51" w14:textId="77777777" w:rsidR="009D1253" w:rsidRPr="005A07E7" w:rsidRDefault="009D1253" w:rsidP="009D1253">
            <w:pPr>
              <w:jc w:val="both"/>
              <w:rPr>
                <w:rFonts w:ascii="Tahoma" w:hAnsi="Tahoma" w:cs="Tahoma"/>
                <w:b/>
                <w:sz w:val="20"/>
                <w:szCs w:val="20"/>
              </w:rPr>
            </w:pPr>
            <w:r w:rsidRPr="005A07E7">
              <w:rPr>
                <w:rFonts w:ascii="Tahoma" w:hAnsi="Tahoma" w:cs="Tahoma"/>
                <w:b/>
                <w:sz w:val="20"/>
                <w:szCs w:val="20"/>
              </w:rPr>
              <w:t>Способы обеспечения исполнения обязательств по Договору «Потребительский кредит под залог транспортного средства»</w:t>
            </w:r>
          </w:p>
        </w:tc>
        <w:tc>
          <w:tcPr>
            <w:tcW w:w="3525" w:type="pct"/>
            <w:tcBorders>
              <w:top w:val="single" w:sz="4" w:space="0" w:color="auto"/>
              <w:left w:val="nil"/>
              <w:bottom w:val="single" w:sz="4" w:space="0" w:color="auto"/>
              <w:right w:val="single" w:sz="8" w:space="0" w:color="000000"/>
            </w:tcBorders>
            <w:noWrap/>
            <w:vAlign w:val="center"/>
          </w:tcPr>
          <w:p w14:paraId="1DB11EE0"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1)</w:t>
            </w:r>
            <w:r w:rsidRPr="005A07E7">
              <w:rPr>
                <w:rFonts w:ascii="Tahoma" w:hAnsi="Tahoma" w:cs="Tahoma"/>
                <w:color w:val="000000"/>
                <w:sz w:val="20"/>
                <w:szCs w:val="20"/>
              </w:rPr>
              <w:t xml:space="preserve"> Залог приобретаемого Заёмщиком за счет кредитных средств Банка ТС</w:t>
            </w:r>
          </w:p>
          <w:p w14:paraId="2EFA3D82"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2) Неустойка (штраф, пеня). В случае нарушения обязательств по Договору с Заёмщика может быть взыскана неустойка в сумм</w:t>
            </w:r>
            <w:r>
              <w:rPr>
                <w:rFonts w:ascii="Tahoma" w:hAnsi="Tahoma" w:cs="Tahoma"/>
                <w:sz w:val="20"/>
                <w:szCs w:val="20"/>
              </w:rPr>
              <w:t xml:space="preserve">е </w:t>
            </w:r>
            <w:r w:rsidRPr="005A07E7">
              <w:rPr>
                <w:rFonts w:ascii="Tahoma" w:hAnsi="Tahoma" w:cs="Tahoma"/>
                <w:sz w:val="20"/>
                <w:szCs w:val="20"/>
              </w:rPr>
              <w:t>и порядке, определенных Сторонами в соответствии с законодательством РФ и Индивидуальными условиями Договора.</w:t>
            </w:r>
            <w:r w:rsidRPr="005A07E7">
              <w:rPr>
                <w:rFonts w:ascii="Tahoma" w:hAnsi="Tahoma" w:cs="Tahoma"/>
                <w:sz w:val="20"/>
                <w:szCs w:val="20"/>
              </w:rPr>
              <w:fldChar w:fldCharType="begin"/>
            </w:r>
            <w:r w:rsidRPr="005A07E7">
              <w:rPr>
                <w:rFonts w:ascii="Tahoma" w:hAnsi="Tahoma" w:cs="Tahoma"/>
                <w:sz w:val="20"/>
                <w:szCs w:val="20"/>
              </w:rPr>
              <w:instrText xml:space="preserve"> DOCVARIABLE  ATB_ADDRESS_FACT </w:instrText>
            </w:r>
            <w:r w:rsidRPr="005A07E7">
              <w:rPr>
                <w:rFonts w:ascii="Tahoma" w:hAnsi="Tahoma" w:cs="Tahoma"/>
                <w:sz w:val="20"/>
                <w:szCs w:val="20"/>
              </w:rPr>
              <w:fldChar w:fldCharType="end"/>
            </w:r>
          </w:p>
        </w:tc>
      </w:tr>
      <w:tr w:rsidR="009D1253" w:rsidRPr="005A07E7" w14:paraId="40EE294B"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01"/>
        </w:trPr>
        <w:tc>
          <w:tcPr>
            <w:tcW w:w="1475" w:type="pct"/>
            <w:tcBorders>
              <w:top w:val="single" w:sz="4" w:space="0" w:color="auto"/>
              <w:left w:val="single" w:sz="8" w:space="0" w:color="auto"/>
              <w:bottom w:val="single" w:sz="4" w:space="0" w:color="auto"/>
              <w:right w:val="single" w:sz="4" w:space="0" w:color="000000"/>
            </w:tcBorders>
            <w:shd w:val="clear" w:color="auto" w:fill="auto"/>
            <w:vAlign w:val="center"/>
          </w:tcPr>
          <w:p w14:paraId="670622D0" w14:textId="77777777" w:rsidR="009D1253" w:rsidRPr="005A07E7" w:rsidRDefault="009D1253" w:rsidP="009D1253">
            <w:pPr>
              <w:jc w:val="both"/>
              <w:rPr>
                <w:rFonts w:ascii="Tahoma" w:hAnsi="Tahoma" w:cs="Tahoma"/>
                <w:b/>
                <w:sz w:val="20"/>
                <w:szCs w:val="20"/>
              </w:rPr>
            </w:pPr>
            <w:r w:rsidRPr="005A07E7">
              <w:rPr>
                <w:rFonts w:ascii="Tahoma" w:hAnsi="Tahoma" w:cs="Tahoma"/>
                <w:b/>
                <w:sz w:val="20"/>
                <w:szCs w:val="20"/>
              </w:rPr>
              <w:t xml:space="preserve">Способы возврата  Заёмщиком Кредита и уплаты процентов по нему, включая бесплатный способ исполнения </w:t>
            </w:r>
            <w:r w:rsidRPr="005A07E7">
              <w:rPr>
                <w:rFonts w:ascii="Tahoma" w:hAnsi="Tahoma" w:cs="Tahoma"/>
                <w:b/>
                <w:sz w:val="20"/>
                <w:szCs w:val="20"/>
              </w:rPr>
              <w:lastRenderedPageBreak/>
              <w:t>Заёмщиком обязательств по Договору «Потребительский кредит под залог транспортного средства»</w:t>
            </w:r>
          </w:p>
        </w:tc>
        <w:tc>
          <w:tcPr>
            <w:tcW w:w="3525" w:type="pct"/>
            <w:tcBorders>
              <w:top w:val="single" w:sz="4" w:space="0" w:color="auto"/>
              <w:left w:val="nil"/>
              <w:bottom w:val="single" w:sz="4" w:space="0" w:color="auto"/>
              <w:right w:val="single" w:sz="8" w:space="0" w:color="000000"/>
            </w:tcBorders>
            <w:shd w:val="clear" w:color="auto" w:fill="auto"/>
            <w:vAlign w:val="center"/>
          </w:tcPr>
          <w:p w14:paraId="71726458"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lastRenderedPageBreak/>
              <w:t xml:space="preserve">Погашение Заёмщиком обязательств по Договору осуществляется в сумме и сроки предусмотренные Договором (в т.ч. при досрочном частичном или полном возврате Кредита) производится любым способом по выбору Заёмщика, в том числе: посредством внесения денежных средств в сумме обязательства на ТБС Заёмщика через </w:t>
            </w:r>
            <w:r w:rsidRPr="005A07E7">
              <w:rPr>
                <w:rFonts w:ascii="Tahoma" w:hAnsi="Tahoma" w:cs="Tahoma"/>
                <w:sz w:val="20"/>
                <w:szCs w:val="20"/>
              </w:rPr>
              <w:lastRenderedPageBreak/>
              <w:t>терминалы самообслуживания Банка (при их наличии в населенном пункте по месту получения Заёмщиком оферты)</w:t>
            </w:r>
            <w:r>
              <w:rPr>
                <w:rFonts w:ascii="Tahoma" w:hAnsi="Tahoma" w:cs="Tahoma"/>
                <w:sz w:val="20"/>
                <w:szCs w:val="20"/>
              </w:rPr>
              <w:t>/</w:t>
            </w:r>
            <w:r w:rsidRPr="005A07E7">
              <w:rPr>
                <w:rFonts w:ascii="Tahoma" w:hAnsi="Tahoma" w:cs="Tahoma"/>
                <w:sz w:val="20"/>
                <w:szCs w:val="20"/>
              </w:rPr>
              <w:t xml:space="preserve"> кассы Банка, перевод через работодателя Заёмщика, перевод со счёта в Банке на ТБС Заёмщика, перевод через отделения АО «Почта России», перевод через интернет-системы «АТБ-Онлайн», «АТБ</w:t>
            </w:r>
            <w:r>
              <w:rPr>
                <w:rFonts w:ascii="Tahoma" w:hAnsi="Tahoma" w:cs="Tahoma"/>
                <w:sz w:val="20"/>
                <w:szCs w:val="20"/>
              </w:rPr>
              <w:t xml:space="preserve"> Банк</w:t>
            </w:r>
            <w:r w:rsidRPr="005A07E7">
              <w:rPr>
                <w:rFonts w:ascii="Tahoma" w:hAnsi="Tahoma" w:cs="Tahoma"/>
                <w:sz w:val="20"/>
                <w:szCs w:val="20"/>
              </w:rPr>
              <w:t xml:space="preserve">», иные кредитные организации (по предусмотренным ими тарифам). </w:t>
            </w:r>
          </w:p>
          <w:p w14:paraId="4C807B8E" w14:textId="77777777" w:rsidR="009D1253" w:rsidRPr="005A07E7"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Могут использоваться иные, не противоречащие законодательству РФ способы.</w:t>
            </w:r>
          </w:p>
          <w:p w14:paraId="7810CC87" w14:textId="77777777" w:rsidR="009D1253"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Заёмщик вносит на ТБС денежные средства любыми из перечисленных выше способов, при этом он обязан учесть время, затрачиваемое на безналичное перечисление денежных средств, выходные и праздничные дни. Если установленный Договором последний день срока платежа отсутствует в календарном месяце, Заёмщик обязан внести денежные средства на ТБС не позднее последнего календарного рабочего дня месяца; если последний день срока платежа приходится на выходные/нерабочие праздничные дни, Заёмщик обязан внести денежные средства на ТБС не позднее 1-го рабочего дня, следующего за выходным/нерабочим праздничным днем. Указанная обязанность должна быть исполнена Заёмщиком в операционный день Банка.</w:t>
            </w:r>
          </w:p>
          <w:p w14:paraId="37833DFF" w14:textId="77777777" w:rsidR="009D1253" w:rsidRPr="005A07E7" w:rsidRDefault="009D1253" w:rsidP="009D1253">
            <w:pPr>
              <w:widowControl w:val="0"/>
              <w:tabs>
                <w:tab w:val="left" w:pos="426"/>
                <w:tab w:val="left" w:pos="851"/>
              </w:tabs>
              <w:jc w:val="both"/>
              <w:rPr>
                <w:rFonts w:ascii="Tahoma" w:hAnsi="Tahoma" w:cs="Tahoma"/>
                <w:sz w:val="20"/>
                <w:szCs w:val="20"/>
              </w:rPr>
            </w:pPr>
            <w:r>
              <w:rPr>
                <w:rFonts w:ascii="Tahoma" w:hAnsi="Tahoma" w:cs="Tahoma"/>
                <w:sz w:val="20"/>
                <w:szCs w:val="20"/>
              </w:rPr>
              <w:t>Бесплатный способ исполнения Заёмщиком обязательств по Договору производится путем внесения денежных средств в сумме обязательства на ТБС Заёмщика через терминалы самообслуживания Банка (при их наличии в населенном пункте по месту получения Заёмщиком оферты)/ кассы Банка, перевод через работодателя Заёмщика, с использованием сервиса Системы быстрых платежей (в рамках бесплатных лимитов, установленных тарифами сервиса). В случае изменений, информация доводится до Заемщика в соответствии с Общими условиями кредитования.</w:t>
            </w:r>
          </w:p>
        </w:tc>
      </w:tr>
      <w:tr w:rsidR="009D1253" w:rsidRPr="005A07E7" w14:paraId="06E5FF30"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01"/>
        </w:trPr>
        <w:tc>
          <w:tcPr>
            <w:tcW w:w="1475" w:type="pct"/>
            <w:tcBorders>
              <w:top w:val="single" w:sz="4" w:space="0" w:color="auto"/>
              <w:left w:val="single" w:sz="8" w:space="0" w:color="auto"/>
              <w:bottom w:val="single" w:sz="4" w:space="0" w:color="auto"/>
              <w:right w:val="single" w:sz="4" w:space="0" w:color="000000"/>
            </w:tcBorders>
            <w:shd w:val="clear" w:color="auto" w:fill="auto"/>
            <w:vAlign w:val="center"/>
          </w:tcPr>
          <w:p w14:paraId="0BB2EAEE" w14:textId="77777777" w:rsidR="009D1253" w:rsidRPr="005A07E7" w:rsidRDefault="009D1253" w:rsidP="009D1253">
            <w:pPr>
              <w:jc w:val="both"/>
              <w:rPr>
                <w:rFonts w:ascii="Tahoma" w:hAnsi="Tahoma" w:cs="Tahoma"/>
                <w:b/>
                <w:sz w:val="20"/>
                <w:szCs w:val="20"/>
              </w:rPr>
            </w:pPr>
            <w:r w:rsidRPr="005A07E7">
              <w:rPr>
                <w:rFonts w:ascii="Tahoma" w:hAnsi="Tahoma" w:cs="Tahoma"/>
                <w:b/>
                <w:sz w:val="20"/>
                <w:szCs w:val="20"/>
              </w:rPr>
              <w:lastRenderedPageBreak/>
              <w:t>Порядок погашения Заёмщиком задолженности по Кредиту</w:t>
            </w:r>
          </w:p>
        </w:tc>
        <w:tc>
          <w:tcPr>
            <w:tcW w:w="3525" w:type="pct"/>
            <w:tcBorders>
              <w:top w:val="single" w:sz="4" w:space="0" w:color="auto"/>
              <w:left w:val="nil"/>
              <w:bottom w:val="single" w:sz="4" w:space="0" w:color="auto"/>
              <w:right w:val="single" w:sz="8" w:space="0" w:color="000000"/>
            </w:tcBorders>
            <w:shd w:val="clear" w:color="auto" w:fill="auto"/>
            <w:vAlign w:val="center"/>
          </w:tcPr>
          <w:p w14:paraId="69EB6747" w14:textId="77777777" w:rsidR="009D1253" w:rsidRPr="005A07E7" w:rsidRDefault="009D1253" w:rsidP="009D1253">
            <w:pPr>
              <w:widowControl w:val="0"/>
              <w:tabs>
                <w:tab w:val="left" w:pos="426"/>
                <w:tab w:val="left" w:pos="851"/>
              </w:tabs>
              <w:jc w:val="both"/>
              <w:rPr>
                <w:rFonts w:ascii="Tahoma" w:hAnsi="Tahoma" w:cs="Tahoma"/>
                <w:sz w:val="20"/>
                <w:szCs w:val="20"/>
              </w:rPr>
            </w:pPr>
            <w:r w:rsidRPr="003457B8">
              <w:rPr>
                <w:rFonts w:ascii="Tahoma" w:hAnsi="Tahoma" w:cs="Tahoma"/>
                <w:sz w:val="20"/>
                <w:szCs w:val="20"/>
              </w:rPr>
              <w:t>Определен УДБО</w:t>
            </w:r>
            <w:r w:rsidRPr="003457B8">
              <w:rPr>
                <w:rFonts w:ascii="Tahoma" w:hAnsi="Tahoma" w:cs="Tahoma"/>
                <w:sz w:val="20"/>
                <w:szCs w:val="20"/>
                <w:lang w:val="en-US"/>
              </w:rPr>
              <w:t>.</w:t>
            </w:r>
          </w:p>
        </w:tc>
      </w:tr>
      <w:tr w:rsidR="009D1253" w:rsidRPr="005A07E7" w14:paraId="22FDA307"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344"/>
        </w:trPr>
        <w:tc>
          <w:tcPr>
            <w:tcW w:w="1475" w:type="pct"/>
            <w:tcBorders>
              <w:top w:val="single" w:sz="4" w:space="0" w:color="auto"/>
              <w:left w:val="single" w:sz="8" w:space="0" w:color="auto"/>
              <w:bottom w:val="single" w:sz="4" w:space="0" w:color="auto"/>
              <w:right w:val="single" w:sz="4" w:space="0" w:color="000000"/>
            </w:tcBorders>
            <w:vAlign w:val="center"/>
          </w:tcPr>
          <w:p w14:paraId="407B9999" w14:textId="77777777" w:rsidR="009D1253" w:rsidRPr="005A07E7" w:rsidRDefault="009D1253" w:rsidP="009D1253">
            <w:pPr>
              <w:jc w:val="both"/>
              <w:rPr>
                <w:rFonts w:ascii="Tahoma" w:hAnsi="Tahoma" w:cs="Tahoma"/>
                <w:b/>
                <w:sz w:val="20"/>
                <w:szCs w:val="20"/>
              </w:rPr>
            </w:pPr>
            <w:r w:rsidRPr="005A07E7">
              <w:rPr>
                <w:rFonts w:ascii="Tahoma" w:hAnsi="Tahoma" w:cs="Tahoma"/>
                <w:b/>
                <w:color w:val="000000"/>
                <w:sz w:val="20"/>
                <w:szCs w:val="20"/>
              </w:rPr>
              <w:t xml:space="preserve">Ответственность Заёмщика за ненадлежащее исполнение Договора </w:t>
            </w:r>
          </w:p>
        </w:tc>
        <w:tc>
          <w:tcPr>
            <w:tcW w:w="3525" w:type="pct"/>
            <w:tcBorders>
              <w:top w:val="single" w:sz="4" w:space="0" w:color="auto"/>
              <w:left w:val="nil"/>
              <w:bottom w:val="single" w:sz="4" w:space="0" w:color="auto"/>
              <w:right w:val="single" w:sz="8" w:space="0" w:color="000000"/>
            </w:tcBorders>
            <w:vAlign w:val="center"/>
          </w:tcPr>
          <w:p w14:paraId="60C04F28" w14:textId="77777777" w:rsidR="009D1253" w:rsidRPr="005A07E7" w:rsidRDefault="009D1253" w:rsidP="009D1253">
            <w:pPr>
              <w:widowControl w:val="0"/>
              <w:jc w:val="both"/>
              <w:rPr>
                <w:rFonts w:ascii="Tahoma" w:hAnsi="Tahoma" w:cs="Tahoma"/>
                <w:sz w:val="20"/>
                <w:szCs w:val="20"/>
              </w:rPr>
            </w:pPr>
            <w:r w:rsidRPr="005A07E7">
              <w:rPr>
                <w:rFonts w:ascii="Tahoma" w:hAnsi="Tahoma" w:cs="Tahoma"/>
                <w:sz w:val="20"/>
                <w:szCs w:val="20"/>
              </w:rPr>
              <w:t xml:space="preserve">В случае нарушения Заёмщиком сроков возврата Кредита и/или уплаты процентов на сумму Кредита Заёмщик уплачивает Банку неустойку в размере 20% годовых от суммы просроченной задолженности за каждый день нарушения срока уплаты. </w:t>
            </w:r>
          </w:p>
          <w:p w14:paraId="4CA9A3CC" w14:textId="77777777" w:rsidR="009D1253" w:rsidRPr="005A07E7" w:rsidRDefault="009D1253" w:rsidP="009D1253">
            <w:pPr>
              <w:widowControl w:val="0"/>
              <w:tabs>
                <w:tab w:val="left" w:pos="426"/>
                <w:tab w:val="left" w:pos="851"/>
              </w:tabs>
              <w:jc w:val="both"/>
              <w:rPr>
                <w:rFonts w:ascii="Tahoma" w:eastAsia="Calibri" w:hAnsi="Tahoma" w:cs="Tahoma"/>
                <w:sz w:val="20"/>
                <w:szCs w:val="20"/>
              </w:rPr>
            </w:pPr>
            <w:r w:rsidRPr="005A07E7">
              <w:rPr>
                <w:rFonts w:ascii="Tahoma" w:hAnsi="Tahoma" w:cs="Tahoma"/>
                <w:sz w:val="20"/>
                <w:szCs w:val="20"/>
              </w:rPr>
              <w:t>В случае нарушения Заёмщиком сроков возврата суммы Кредита (основного долга) и/или уплаты процентов продолжительностью (общей продолжительностью) более чем 60 календарных дней в течение последних 180 календарных дней, Банк вправе потребовать от Заёмщика досрочного возврата оставшейся суммы Кредита вместе с причитающимися процентами и/или расторжения Договора, уведомив об этом Заёмщика способом, установленным Договором. В таком случае Заёмщик обязан вернуть Банку оставшуюся сумму Кредита и уплатить все причитающиеся Банку проценты и неустойки в течение 30 календарных дней с момента направления Банком уведомления Заёмщику, если иной, более продолжительный срок не указан Банком в таком уведомлении.</w:t>
            </w:r>
          </w:p>
        </w:tc>
      </w:tr>
      <w:tr w:rsidR="009D1253" w:rsidRPr="005A07E7" w14:paraId="620492B2" w14:textId="77777777" w:rsidTr="009D1253">
        <w:tblPrEx>
          <w:tblLook w:val="00A0" w:firstRow="1" w:lastRow="0" w:firstColumn="1" w:lastColumn="0" w:noHBand="0" w:noVBand="0"/>
        </w:tblPrEx>
        <w:trPr>
          <w:trHeight w:val="1000"/>
        </w:trPr>
        <w:tc>
          <w:tcPr>
            <w:tcW w:w="1475" w:type="pct"/>
            <w:tcBorders>
              <w:top w:val="single" w:sz="4" w:space="0" w:color="auto"/>
              <w:left w:val="single" w:sz="8" w:space="0" w:color="auto"/>
              <w:bottom w:val="single" w:sz="4" w:space="0" w:color="auto"/>
              <w:right w:val="single" w:sz="4" w:space="0" w:color="000000"/>
            </w:tcBorders>
            <w:vAlign w:val="center"/>
          </w:tcPr>
          <w:p w14:paraId="7763F5D1" w14:textId="77777777" w:rsidR="009D1253" w:rsidRPr="005A07E7" w:rsidRDefault="009D1253" w:rsidP="009D1253">
            <w:pPr>
              <w:jc w:val="both"/>
              <w:rPr>
                <w:rFonts w:ascii="Tahoma" w:hAnsi="Tahoma" w:cs="Tahoma"/>
                <w:b/>
                <w:sz w:val="20"/>
                <w:szCs w:val="20"/>
              </w:rPr>
            </w:pPr>
            <w:r w:rsidRPr="005A07E7">
              <w:rPr>
                <w:rFonts w:ascii="Tahoma" w:hAnsi="Tahoma" w:cs="Tahoma"/>
                <w:b/>
                <w:sz w:val="20"/>
                <w:szCs w:val="20"/>
              </w:rPr>
              <w:t>Информация о возможности запрета уступки Кредитором третьим лицам прав (требований) по Договору «Потребительский кредит под залог транспортного средства»</w:t>
            </w:r>
          </w:p>
        </w:tc>
        <w:tc>
          <w:tcPr>
            <w:tcW w:w="3525" w:type="pct"/>
            <w:tcBorders>
              <w:top w:val="single" w:sz="4" w:space="0" w:color="auto"/>
              <w:left w:val="nil"/>
              <w:bottom w:val="single" w:sz="4" w:space="0" w:color="auto"/>
              <w:right w:val="single" w:sz="8" w:space="0" w:color="000000"/>
            </w:tcBorders>
            <w:vAlign w:val="center"/>
          </w:tcPr>
          <w:p w14:paraId="50DA4E8F"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Заёмщик вправе запретить уступку Банком третьим лицам прав (требований) по Договору.</w:t>
            </w:r>
          </w:p>
        </w:tc>
      </w:tr>
      <w:tr w:rsidR="009D1253" w:rsidRPr="005A07E7" w14:paraId="3AD8E400"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303"/>
        </w:trPr>
        <w:tc>
          <w:tcPr>
            <w:tcW w:w="1475" w:type="pct"/>
            <w:tcBorders>
              <w:top w:val="single" w:sz="4" w:space="0" w:color="auto"/>
              <w:left w:val="single" w:sz="8" w:space="0" w:color="auto"/>
              <w:bottom w:val="single" w:sz="4" w:space="0" w:color="auto"/>
              <w:right w:val="single" w:sz="4" w:space="0" w:color="000000"/>
            </w:tcBorders>
            <w:vAlign w:val="center"/>
          </w:tcPr>
          <w:p w14:paraId="647CB331" w14:textId="77777777" w:rsidR="009D1253" w:rsidRPr="005A07E7" w:rsidRDefault="009D1253" w:rsidP="009D1253">
            <w:pPr>
              <w:jc w:val="both"/>
              <w:rPr>
                <w:rFonts w:ascii="Tahoma" w:hAnsi="Tahoma" w:cs="Tahoma"/>
                <w:b/>
                <w:sz w:val="20"/>
                <w:szCs w:val="20"/>
              </w:rPr>
            </w:pPr>
            <w:r w:rsidRPr="005A07E7">
              <w:rPr>
                <w:rFonts w:ascii="Tahoma" w:hAnsi="Tahoma" w:cs="Tahoma"/>
                <w:b/>
                <w:sz w:val="20"/>
                <w:szCs w:val="20"/>
              </w:rPr>
              <w:t xml:space="preserve">Порядок предоставления Заёмщиком информации об использовании Кредита </w:t>
            </w:r>
          </w:p>
        </w:tc>
        <w:tc>
          <w:tcPr>
            <w:tcW w:w="3525" w:type="pct"/>
            <w:tcBorders>
              <w:top w:val="single" w:sz="4" w:space="0" w:color="auto"/>
              <w:left w:val="nil"/>
              <w:bottom w:val="single" w:sz="4" w:space="0" w:color="auto"/>
              <w:right w:val="single" w:sz="8" w:space="0" w:color="000000"/>
            </w:tcBorders>
            <w:vAlign w:val="center"/>
          </w:tcPr>
          <w:p w14:paraId="1EF35AA9"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При заключении Договора «Потребительский кредит под залог транспортного средства»</w:t>
            </w:r>
            <w:r w:rsidRPr="005A07E7">
              <w:rPr>
                <w:rFonts w:ascii="Tahoma" w:hAnsi="Tahoma" w:cs="Tahoma"/>
                <w:b/>
                <w:sz w:val="20"/>
                <w:szCs w:val="20"/>
              </w:rPr>
              <w:t xml:space="preserve"> </w:t>
            </w:r>
            <w:r w:rsidRPr="005A07E7">
              <w:rPr>
                <w:rFonts w:ascii="Tahoma" w:hAnsi="Tahoma" w:cs="Tahoma"/>
                <w:sz w:val="20"/>
                <w:szCs w:val="20"/>
              </w:rPr>
              <w:t>Заёмщик предоставляет Банку копии документов, подтверждающих приобретение ТС, а также иных товаров, работ, услуг (при их наличии).</w:t>
            </w:r>
          </w:p>
          <w:p w14:paraId="78E9C288" w14:textId="77777777" w:rsidR="009D1253" w:rsidRPr="005A07E7" w:rsidRDefault="009D1253" w:rsidP="009D1253">
            <w:pPr>
              <w:jc w:val="both"/>
              <w:rPr>
                <w:rFonts w:ascii="Tahoma" w:hAnsi="Tahoma" w:cs="Tahoma"/>
                <w:sz w:val="20"/>
                <w:szCs w:val="20"/>
              </w:rPr>
            </w:pPr>
          </w:p>
        </w:tc>
      </w:tr>
      <w:tr w:rsidR="009D1253" w:rsidRPr="005A07E7" w14:paraId="1938E640" w14:textId="77777777" w:rsidTr="009D1253">
        <w:tblPrEx>
          <w:tblLook w:val="00A0" w:firstRow="1" w:lastRow="0" w:firstColumn="1" w:lastColumn="0" w:noHBand="0" w:noVBand="0"/>
        </w:tblPrEx>
        <w:trPr>
          <w:trHeight w:val="395"/>
        </w:trPr>
        <w:tc>
          <w:tcPr>
            <w:tcW w:w="1475" w:type="pct"/>
            <w:tcBorders>
              <w:top w:val="single" w:sz="4" w:space="0" w:color="auto"/>
              <w:left w:val="single" w:sz="8" w:space="0" w:color="auto"/>
              <w:bottom w:val="single" w:sz="4" w:space="0" w:color="auto"/>
              <w:right w:val="single" w:sz="4" w:space="0" w:color="000000"/>
            </w:tcBorders>
            <w:vAlign w:val="center"/>
          </w:tcPr>
          <w:p w14:paraId="2DAFB2F0" w14:textId="77777777" w:rsidR="009D1253" w:rsidRPr="005A07E7" w:rsidRDefault="009D1253" w:rsidP="009D1253">
            <w:pPr>
              <w:jc w:val="both"/>
              <w:rPr>
                <w:rFonts w:ascii="Tahoma" w:hAnsi="Tahoma" w:cs="Tahoma"/>
                <w:b/>
                <w:sz w:val="20"/>
                <w:szCs w:val="20"/>
              </w:rPr>
            </w:pPr>
            <w:r w:rsidRPr="005A07E7">
              <w:rPr>
                <w:rFonts w:ascii="Tahoma" w:hAnsi="Tahoma" w:cs="Tahoma"/>
                <w:b/>
                <w:sz w:val="20"/>
                <w:szCs w:val="20"/>
              </w:rPr>
              <w:lastRenderedPageBreak/>
              <w:t>Подсудность споров по искам Кредитора к Заёмщику</w:t>
            </w:r>
          </w:p>
        </w:tc>
        <w:tc>
          <w:tcPr>
            <w:tcW w:w="3525" w:type="pct"/>
            <w:tcBorders>
              <w:top w:val="single" w:sz="4" w:space="0" w:color="auto"/>
              <w:left w:val="nil"/>
              <w:bottom w:val="single" w:sz="4" w:space="0" w:color="auto"/>
              <w:right w:val="single" w:sz="8" w:space="0" w:color="000000"/>
            </w:tcBorders>
            <w:vAlign w:val="center"/>
          </w:tcPr>
          <w:p w14:paraId="487059FC" w14:textId="77777777" w:rsidR="009D1253" w:rsidRPr="005A07E7" w:rsidRDefault="009D1253" w:rsidP="009D1253">
            <w:pPr>
              <w:jc w:val="both"/>
              <w:rPr>
                <w:rFonts w:ascii="Tahoma" w:hAnsi="Tahoma" w:cs="Tahoma"/>
                <w:sz w:val="20"/>
                <w:szCs w:val="20"/>
              </w:rPr>
            </w:pPr>
            <w:r w:rsidRPr="005A07E7">
              <w:rPr>
                <w:rFonts w:ascii="Tahoma" w:hAnsi="Tahoma" w:cs="Tahoma"/>
                <w:sz w:val="20"/>
                <w:szCs w:val="20"/>
              </w:rPr>
              <w:t>Неурегулированные споры по искам Банка к Заёмщику рассматриваются в порядке, установленном законодательством РФ. Взыскание задолженности по Договору может производиться по исполнительной надписи нотариуса, совершаемой на основании заявления Банка.</w:t>
            </w:r>
          </w:p>
        </w:tc>
      </w:tr>
      <w:tr w:rsidR="009D1253" w:rsidRPr="00026641" w14:paraId="26F58EB0" w14:textId="77777777" w:rsidTr="009D1253">
        <w:tblPrEx>
          <w:tblLook w:val="00A0" w:firstRow="1" w:lastRow="0" w:firstColumn="1" w:lastColumn="0" w:noHBand="0" w:noVBand="0"/>
        </w:tblPrEx>
        <w:trPr>
          <w:trHeight w:val="263"/>
        </w:trPr>
        <w:tc>
          <w:tcPr>
            <w:tcW w:w="1475" w:type="pct"/>
            <w:tcBorders>
              <w:top w:val="single" w:sz="4" w:space="0" w:color="auto"/>
              <w:left w:val="single" w:sz="8" w:space="0" w:color="auto"/>
              <w:bottom w:val="single" w:sz="4" w:space="0" w:color="auto"/>
              <w:right w:val="single" w:sz="4" w:space="0" w:color="000000"/>
            </w:tcBorders>
            <w:vAlign w:val="center"/>
          </w:tcPr>
          <w:p w14:paraId="36E5E697" w14:textId="77777777" w:rsidR="009D1253" w:rsidRPr="005A07E7" w:rsidRDefault="009D1253" w:rsidP="009D1253">
            <w:pPr>
              <w:jc w:val="both"/>
              <w:rPr>
                <w:rFonts w:ascii="Tahoma" w:hAnsi="Tahoma" w:cs="Tahoma"/>
                <w:b/>
                <w:sz w:val="20"/>
                <w:szCs w:val="20"/>
              </w:rPr>
            </w:pPr>
            <w:r w:rsidRPr="005A07E7">
              <w:rPr>
                <w:rFonts w:ascii="Tahoma" w:hAnsi="Tahoma" w:cs="Tahoma"/>
                <w:b/>
                <w:sz w:val="20"/>
                <w:szCs w:val="20"/>
              </w:rPr>
              <w:t>Формуляры или иные стандартные формы, в которых определены общие условия договора «Потребительский кредит под залог транспортного средства»</w:t>
            </w:r>
          </w:p>
        </w:tc>
        <w:tc>
          <w:tcPr>
            <w:tcW w:w="3525" w:type="pct"/>
            <w:tcBorders>
              <w:top w:val="single" w:sz="4" w:space="0" w:color="auto"/>
              <w:left w:val="nil"/>
              <w:bottom w:val="single" w:sz="4" w:space="0" w:color="auto"/>
              <w:right w:val="single" w:sz="8" w:space="0" w:color="000000"/>
            </w:tcBorders>
            <w:vAlign w:val="center"/>
          </w:tcPr>
          <w:p w14:paraId="2CCBF152" w14:textId="77777777" w:rsidR="009D1253" w:rsidRPr="00026641" w:rsidRDefault="009D1253" w:rsidP="009D1253">
            <w:pPr>
              <w:widowControl w:val="0"/>
              <w:tabs>
                <w:tab w:val="left" w:pos="426"/>
                <w:tab w:val="left" w:pos="851"/>
              </w:tabs>
              <w:jc w:val="both"/>
              <w:rPr>
                <w:rFonts w:ascii="Tahoma" w:hAnsi="Tahoma" w:cs="Tahoma"/>
                <w:sz w:val="20"/>
                <w:szCs w:val="20"/>
              </w:rPr>
            </w:pPr>
            <w:r w:rsidRPr="005A07E7">
              <w:rPr>
                <w:rFonts w:ascii="Tahoma" w:hAnsi="Tahoma" w:cs="Tahoma"/>
                <w:sz w:val="20"/>
                <w:szCs w:val="20"/>
              </w:rPr>
              <w:t>Общие условия Договора «Потребительский кредит под залог транспортного средства» закреплены в «Общих условиях потребительского кредитования в «Азиатско-Тихоокеанский Банк» (АО)», являющихся Приложением № 3 к Универсальному договору банковского обслуживания физических лиц «Азиатско-Тихоокеанский Банк» (АО), размещённых в местах приема заявлений на предоставление потребительского кредита под залог транспортного средства (в отделениях Банка и иных местах приема заявлений на предоставление потребительского кредита под залог транспортного средства), на сайте Банка в сети Интернет по адресу www.atb.su и могут быть предоставлены Заемщику по его требованию на бумажном носителе.</w:t>
            </w:r>
          </w:p>
        </w:tc>
      </w:tr>
      <w:tr w:rsidR="009D1253" w:rsidRPr="00026641" w14:paraId="2E005170" w14:textId="77777777" w:rsidTr="009D1253">
        <w:tblPrEx>
          <w:tblLook w:val="00A0" w:firstRow="1" w:lastRow="0" w:firstColumn="1" w:lastColumn="0" w:noHBand="0" w:noVBand="0"/>
        </w:tblPrEx>
        <w:trPr>
          <w:trHeight w:val="263"/>
        </w:trPr>
        <w:tc>
          <w:tcPr>
            <w:tcW w:w="1475" w:type="pct"/>
            <w:tcBorders>
              <w:top w:val="single" w:sz="4" w:space="0" w:color="auto"/>
              <w:left w:val="single" w:sz="8" w:space="0" w:color="auto"/>
              <w:bottom w:val="single" w:sz="4" w:space="0" w:color="auto"/>
              <w:right w:val="single" w:sz="4" w:space="0" w:color="000000"/>
            </w:tcBorders>
            <w:vAlign w:val="center"/>
          </w:tcPr>
          <w:p w14:paraId="356FBCBF" w14:textId="77777777" w:rsidR="009D1253" w:rsidRPr="005A07E7" w:rsidRDefault="009D1253" w:rsidP="009D1253">
            <w:pPr>
              <w:jc w:val="both"/>
              <w:rPr>
                <w:rFonts w:ascii="Tahoma" w:hAnsi="Tahoma" w:cs="Tahoma"/>
                <w:b/>
                <w:sz w:val="20"/>
                <w:szCs w:val="20"/>
              </w:rPr>
            </w:pPr>
            <w:r w:rsidRPr="001C778D">
              <w:rPr>
                <w:rFonts w:ascii="Tahoma" w:hAnsi="Tahoma" w:cs="Tahoma"/>
                <w:b/>
                <w:bCs/>
                <w:sz w:val="20"/>
                <w:szCs w:val="20"/>
              </w:rPr>
              <w:t>Право заемщика обратиться к кредитору с требованием, предусмотренным частью 1 статьи 6.1-2 Федерального закона от 21.12.2013 № 353-ФЗ «О потребительском кредите (займе)», и об условиях, при наступлении которых у заемщика возникает соответствующее право.</w:t>
            </w:r>
          </w:p>
        </w:tc>
        <w:tc>
          <w:tcPr>
            <w:tcW w:w="3525" w:type="pct"/>
            <w:tcBorders>
              <w:top w:val="single" w:sz="4" w:space="0" w:color="auto"/>
              <w:left w:val="nil"/>
              <w:bottom w:val="single" w:sz="4" w:space="0" w:color="auto"/>
              <w:right w:val="single" w:sz="8" w:space="0" w:color="000000"/>
            </w:tcBorders>
            <w:vAlign w:val="center"/>
          </w:tcPr>
          <w:p w14:paraId="1AA8B7D1" w14:textId="77777777" w:rsidR="009D1253" w:rsidRPr="00006315" w:rsidRDefault="009D1253" w:rsidP="009D1253">
            <w:pPr>
              <w:widowControl w:val="0"/>
              <w:tabs>
                <w:tab w:val="left" w:pos="426"/>
                <w:tab w:val="left" w:pos="851"/>
              </w:tabs>
              <w:jc w:val="both"/>
              <w:rPr>
                <w:rFonts w:ascii="Tahoma" w:hAnsi="Tahoma" w:cs="Tahoma"/>
                <w:sz w:val="20"/>
                <w:szCs w:val="20"/>
              </w:rPr>
            </w:pPr>
            <w:r w:rsidRPr="00006315">
              <w:rPr>
                <w:rFonts w:ascii="Tahoma" w:hAnsi="Tahoma" w:cs="Tahoma"/>
                <w:sz w:val="20"/>
                <w:szCs w:val="20"/>
              </w:rPr>
              <w:t xml:space="preserve">Заемщик в любой момент в течение времени действия Договора, а в случае, указанном в п. 2 ч. 2 ст. 6.1-2 Закона № 353-ФЗ, в течение шестидесяти дней со дня установления соответствующих фактов, вправе обратиться к кредитору с требованием о предоставлении льготного периода, предусматривающего приостановление исполнения Заемщиком своих обязательств по Договору. </w:t>
            </w:r>
          </w:p>
          <w:p w14:paraId="55A08AE4" w14:textId="77777777" w:rsidR="009D1253" w:rsidRPr="00006315" w:rsidRDefault="009D1253" w:rsidP="009D1253">
            <w:pPr>
              <w:widowControl w:val="0"/>
              <w:tabs>
                <w:tab w:val="left" w:pos="426"/>
                <w:tab w:val="left" w:pos="851"/>
              </w:tabs>
              <w:jc w:val="both"/>
              <w:rPr>
                <w:rFonts w:ascii="Tahoma" w:hAnsi="Tahoma" w:cs="Tahoma"/>
                <w:sz w:val="20"/>
                <w:szCs w:val="20"/>
              </w:rPr>
            </w:pPr>
            <w:r w:rsidRPr="00006315">
              <w:rPr>
                <w:rFonts w:ascii="Tahoma" w:hAnsi="Tahoma" w:cs="Tahoma"/>
                <w:sz w:val="20"/>
                <w:szCs w:val="20"/>
              </w:rPr>
              <w:t xml:space="preserve">С условиями, при наступлении которых у Заемщика возникает такое право, можно ознакомиться в размещаемой Банком информации о кредитных каникулах в рамках 353-ФЗ, в том числе на сайте Банка </w:t>
            </w:r>
          </w:p>
          <w:p w14:paraId="0AFD2EFD" w14:textId="77777777" w:rsidR="009D1253" w:rsidRPr="005A07E7" w:rsidRDefault="009D1253" w:rsidP="009D1253">
            <w:pPr>
              <w:widowControl w:val="0"/>
              <w:tabs>
                <w:tab w:val="left" w:pos="426"/>
                <w:tab w:val="left" w:pos="851"/>
              </w:tabs>
              <w:jc w:val="both"/>
              <w:rPr>
                <w:rFonts w:ascii="Tahoma" w:hAnsi="Tahoma" w:cs="Tahoma"/>
                <w:sz w:val="20"/>
                <w:szCs w:val="20"/>
              </w:rPr>
            </w:pPr>
            <w:hyperlink r:id="rId67" w:history="1">
              <w:r w:rsidRPr="00006315">
                <w:rPr>
                  <w:rStyle w:val="aff"/>
                  <w:rFonts w:ascii="Tahoma" w:hAnsi="Tahoma" w:cs="Tahoma"/>
                  <w:sz w:val="20"/>
                  <w:szCs w:val="20"/>
                </w:rPr>
                <w:t>https://www.atb.su/customer-care-service/</w:t>
              </w:r>
            </w:hyperlink>
          </w:p>
        </w:tc>
      </w:tr>
    </w:tbl>
    <w:p w14:paraId="5D4111FF" w14:textId="77777777" w:rsidR="009D1253" w:rsidRPr="00085768" w:rsidRDefault="009D1253" w:rsidP="009D1253">
      <w:pPr>
        <w:widowControl w:val="0"/>
        <w:tabs>
          <w:tab w:val="left" w:pos="851"/>
        </w:tabs>
        <w:adjustRightInd w:val="0"/>
        <w:ind w:firstLine="142"/>
        <w:jc w:val="both"/>
        <w:rPr>
          <w:rFonts w:ascii="Tahoma" w:hAnsi="Tahoma" w:cs="Tahoma"/>
          <w:sz w:val="18"/>
          <w:szCs w:val="18"/>
          <w:vertAlign w:val="superscript"/>
        </w:rPr>
      </w:pPr>
      <w:r w:rsidRPr="00085768">
        <w:rPr>
          <w:rStyle w:val="aff3"/>
          <w:rFonts w:ascii="Tahoma" w:hAnsi="Tahoma" w:cs="Tahoma"/>
          <w:sz w:val="18"/>
          <w:szCs w:val="18"/>
        </w:rPr>
        <w:footnoteRef/>
      </w:r>
      <w:r w:rsidRPr="00085768">
        <w:rPr>
          <w:rFonts w:ascii="Tahoma" w:hAnsi="Tahoma" w:cs="Tahoma"/>
          <w:sz w:val="18"/>
          <w:szCs w:val="18"/>
        </w:rPr>
        <w:t xml:space="preserve"> </w:t>
      </w:r>
      <w:r w:rsidRPr="00B44C24">
        <w:rPr>
          <w:rStyle w:val="aff3"/>
          <w:rFonts w:ascii="Tahoma" w:hAnsi="Tahoma" w:cs="Tahoma"/>
          <w:sz w:val="18"/>
          <w:szCs w:val="18"/>
          <w:vertAlign w:val="baseline"/>
          <w:lang w:val="en-US"/>
        </w:rPr>
        <w:t>VGV</w:t>
      </w:r>
      <w:r w:rsidRPr="00085768">
        <w:rPr>
          <w:rFonts w:ascii="Tahoma" w:hAnsi="Tahoma" w:cs="Tahoma"/>
          <w:sz w:val="18"/>
          <w:szCs w:val="18"/>
        </w:rPr>
        <w:t xml:space="preserve"> в переводе с английского языка звучит как «ВГВ» и является коммерческим обозначением программы</w:t>
      </w:r>
    </w:p>
    <w:p w14:paraId="245C5B73" w14:textId="77777777" w:rsidR="009D1253" w:rsidRDefault="009D1253" w:rsidP="009D1253">
      <w:pPr>
        <w:rPr>
          <w:rFonts w:ascii="Tahoma" w:hAnsi="Tahoma" w:cs="Tahoma"/>
          <w:b/>
          <w:i/>
          <w:color w:val="E36C0A"/>
          <w:sz w:val="22"/>
        </w:rPr>
      </w:pPr>
    </w:p>
    <w:p w14:paraId="2EDC7A2E" w14:textId="77777777" w:rsidR="009D1253" w:rsidRDefault="009D1253" w:rsidP="009D1253">
      <w:pPr>
        <w:rPr>
          <w:rFonts w:ascii="Tahoma" w:hAnsi="Tahoma" w:cs="Tahoma"/>
          <w:b/>
          <w:i/>
          <w:color w:val="E36C0A"/>
          <w:sz w:val="22"/>
        </w:rPr>
      </w:pPr>
    </w:p>
    <w:p w14:paraId="5B480010" w14:textId="77777777" w:rsidR="009D1253" w:rsidRPr="00C9310A" w:rsidRDefault="009D1253" w:rsidP="000B3718">
      <w:pPr>
        <w:pStyle w:val="a5"/>
      </w:pPr>
      <w:bookmarkStart w:id="139" w:name="_Toc174636548"/>
      <w:r w:rsidRPr="00C9310A">
        <w:t>2.4.8.Тарифный план «АвтоРешение»</w:t>
      </w:r>
      <w:bookmarkEnd w:id="139"/>
    </w:p>
    <w:tbl>
      <w:tblPr>
        <w:tblW w:w="4886" w:type="pct"/>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24"/>
        <w:gridCol w:w="10812"/>
      </w:tblGrid>
      <w:tr w:rsidR="009D1253" w:rsidRPr="008D26EE" w14:paraId="5625C9D2" w14:textId="77777777" w:rsidTr="009D1253">
        <w:trPr>
          <w:trHeight w:val="455"/>
        </w:trPr>
        <w:tc>
          <w:tcPr>
            <w:tcW w:w="1475" w:type="pct"/>
            <w:shd w:val="clear" w:color="auto" w:fill="D9D9D9" w:themeFill="background1" w:themeFillShade="D9"/>
            <w:vAlign w:val="center"/>
          </w:tcPr>
          <w:p w14:paraId="74375F58" w14:textId="77777777" w:rsidR="009D1253" w:rsidRPr="008D26EE" w:rsidRDefault="009D1253" w:rsidP="009D1253">
            <w:pPr>
              <w:jc w:val="center"/>
              <w:rPr>
                <w:rFonts w:ascii="Tahoma" w:hAnsi="Tahoma" w:cs="Tahoma"/>
                <w:b/>
                <w:sz w:val="20"/>
                <w:szCs w:val="20"/>
              </w:rPr>
            </w:pPr>
            <w:r w:rsidRPr="008D26EE">
              <w:rPr>
                <w:rFonts w:ascii="Tahoma" w:hAnsi="Tahoma" w:cs="Tahoma"/>
                <w:b/>
                <w:sz w:val="20"/>
                <w:szCs w:val="20"/>
              </w:rPr>
              <w:t>Наименование продукта/</w:t>
            </w:r>
            <w:r w:rsidRPr="008D26EE" w:rsidDel="00A134C4">
              <w:rPr>
                <w:rFonts w:ascii="Tahoma" w:hAnsi="Tahoma" w:cs="Tahoma"/>
                <w:b/>
                <w:sz w:val="20"/>
                <w:szCs w:val="20"/>
              </w:rPr>
              <w:t xml:space="preserve"> </w:t>
            </w:r>
            <w:r w:rsidRPr="008D26EE">
              <w:rPr>
                <w:rFonts w:ascii="Tahoma" w:hAnsi="Tahoma" w:cs="Tahoma"/>
                <w:b/>
                <w:sz w:val="20"/>
                <w:szCs w:val="20"/>
              </w:rPr>
              <w:t>тарифного плана (ТП)</w:t>
            </w:r>
          </w:p>
        </w:tc>
        <w:tc>
          <w:tcPr>
            <w:tcW w:w="3525" w:type="pct"/>
            <w:shd w:val="clear" w:color="auto" w:fill="D9D9D9" w:themeFill="background1" w:themeFillShade="D9"/>
            <w:vAlign w:val="center"/>
          </w:tcPr>
          <w:p w14:paraId="0B51A4A3" w14:textId="77777777" w:rsidR="009D1253" w:rsidRPr="008D26EE" w:rsidRDefault="009D1253" w:rsidP="009D1253">
            <w:pPr>
              <w:pStyle w:val="a9"/>
              <w:tabs>
                <w:tab w:val="left" w:pos="-284"/>
                <w:tab w:val="left" w:pos="851"/>
              </w:tabs>
              <w:spacing w:before="0" w:after="0"/>
              <w:ind w:right="849"/>
              <w:jc w:val="center"/>
              <w:rPr>
                <w:rFonts w:ascii="Tahoma" w:hAnsi="Tahoma" w:cs="Tahoma"/>
                <w:b/>
              </w:rPr>
            </w:pPr>
            <w:r w:rsidRPr="008D26EE">
              <w:rPr>
                <w:rFonts w:ascii="Tahoma" w:hAnsi="Tahoma" w:cs="Tahoma"/>
                <w:b/>
                <w:noProof/>
                <w:sz w:val="18"/>
                <w:szCs w:val="18"/>
              </w:rPr>
              <w:t>«</w:t>
            </w:r>
            <w:r w:rsidRPr="008D26EE">
              <w:rPr>
                <w:rFonts w:ascii="Tahoma" w:eastAsiaTheme="minorEastAsia" w:hAnsi="Tahoma" w:cs="Tahoma"/>
                <w:b/>
                <w:noProof/>
                <w:sz w:val="18"/>
                <w:szCs w:val="18"/>
              </w:rPr>
              <w:t>АвтоРешение</w:t>
            </w:r>
            <w:r w:rsidRPr="008D26EE">
              <w:rPr>
                <w:rFonts w:ascii="Tahoma" w:hAnsi="Tahoma" w:cs="Tahoma"/>
                <w:b/>
                <w:noProof/>
                <w:sz w:val="18"/>
                <w:szCs w:val="18"/>
              </w:rPr>
              <w:t>»</w:t>
            </w:r>
          </w:p>
        </w:tc>
      </w:tr>
      <w:tr w:rsidR="009D1253" w:rsidRPr="008D26EE" w14:paraId="5607643D" w14:textId="77777777" w:rsidTr="009D1253">
        <w:trPr>
          <w:trHeight w:val="455"/>
        </w:trPr>
        <w:tc>
          <w:tcPr>
            <w:tcW w:w="1475" w:type="pct"/>
            <w:shd w:val="clear" w:color="auto" w:fill="auto"/>
            <w:vAlign w:val="center"/>
          </w:tcPr>
          <w:p w14:paraId="02BC5782" w14:textId="77777777" w:rsidR="009D1253" w:rsidRPr="008D26EE" w:rsidRDefault="009D1253" w:rsidP="009D1253">
            <w:pPr>
              <w:rPr>
                <w:rFonts w:ascii="Tahoma" w:hAnsi="Tahoma" w:cs="Tahoma"/>
                <w:b/>
                <w:sz w:val="20"/>
                <w:szCs w:val="20"/>
              </w:rPr>
            </w:pPr>
            <w:r w:rsidRPr="008D26EE">
              <w:rPr>
                <w:rFonts w:ascii="Tahoma" w:hAnsi="Tahoma" w:cs="Tahoma"/>
                <w:b/>
                <w:bCs/>
                <w:sz w:val="20"/>
                <w:szCs w:val="20"/>
              </w:rPr>
              <w:t>Категория Заёмщика</w:t>
            </w:r>
          </w:p>
        </w:tc>
        <w:tc>
          <w:tcPr>
            <w:tcW w:w="3525" w:type="pct"/>
            <w:shd w:val="clear" w:color="auto" w:fill="auto"/>
            <w:vAlign w:val="center"/>
          </w:tcPr>
          <w:p w14:paraId="0E75BE04" w14:textId="77777777" w:rsidR="009D1253" w:rsidRPr="008D26EE" w:rsidRDefault="009D1253" w:rsidP="009D1253">
            <w:pPr>
              <w:pStyle w:val="a9"/>
              <w:tabs>
                <w:tab w:val="left" w:pos="-284"/>
                <w:tab w:val="left" w:pos="851"/>
              </w:tabs>
              <w:spacing w:before="0" w:after="0"/>
              <w:ind w:right="849"/>
              <w:jc w:val="center"/>
              <w:rPr>
                <w:rFonts w:ascii="Tahoma" w:hAnsi="Tahoma" w:cs="Tahoma"/>
              </w:rPr>
            </w:pPr>
            <w:r w:rsidRPr="008D26EE">
              <w:rPr>
                <w:rFonts w:ascii="Tahoma" w:hAnsi="Tahoma" w:cs="Tahoma"/>
              </w:rPr>
              <w:t>Физические лица (имеющие официальное место работы и/или постоянный источник дохода)</w:t>
            </w:r>
          </w:p>
        </w:tc>
      </w:tr>
      <w:tr w:rsidR="009D1253" w:rsidRPr="008D26EE" w14:paraId="77932598" w14:textId="77777777" w:rsidTr="009D1253">
        <w:trPr>
          <w:trHeight w:val="250"/>
        </w:trPr>
        <w:tc>
          <w:tcPr>
            <w:tcW w:w="1475" w:type="pct"/>
            <w:vAlign w:val="center"/>
          </w:tcPr>
          <w:p w14:paraId="749D5F42" w14:textId="77777777" w:rsidR="009D1253" w:rsidRPr="008D26EE" w:rsidRDefault="009D1253" w:rsidP="009D1253">
            <w:pPr>
              <w:rPr>
                <w:rFonts w:ascii="Tahoma" w:hAnsi="Tahoma" w:cs="Tahoma"/>
                <w:b/>
                <w:sz w:val="20"/>
                <w:szCs w:val="20"/>
              </w:rPr>
            </w:pPr>
            <w:r w:rsidRPr="008D26EE">
              <w:rPr>
                <w:rFonts w:ascii="Tahoma" w:hAnsi="Tahoma" w:cs="Tahoma"/>
                <w:b/>
                <w:sz w:val="20"/>
                <w:szCs w:val="20"/>
              </w:rPr>
              <w:t>Вид Кредита</w:t>
            </w:r>
          </w:p>
        </w:tc>
        <w:tc>
          <w:tcPr>
            <w:tcW w:w="3525" w:type="pct"/>
            <w:vAlign w:val="center"/>
          </w:tcPr>
          <w:p w14:paraId="545C64C8" w14:textId="77777777" w:rsidR="009D1253" w:rsidRPr="008D26EE" w:rsidRDefault="009D1253" w:rsidP="009D1253">
            <w:pPr>
              <w:pStyle w:val="a9"/>
              <w:tabs>
                <w:tab w:val="left" w:pos="-284"/>
                <w:tab w:val="left" w:pos="851"/>
              </w:tabs>
              <w:spacing w:before="0" w:after="0"/>
              <w:ind w:right="849"/>
              <w:jc w:val="center"/>
              <w:rPr>
                <w:rFonts w:ascii="Tahoma" w:hAnsi="Tahoma" w:cs="Tahoma"/>
              </w:rPr>
            </w:pPr>
            <w:r w:rsidRPr="008D26EE">
              <w:rPr>
                <w:rFonts w:ascii="Tahoma" w:hAnsi="Tahoma" w:cs="Tahoma"/>
              </w:rPr>
              <w:t>Потребительский кредит</w:t>
            </w:r>
          </w:p>
        </w:tc>
      </w:tr>
      <w:tr w:rsidR="009D1253" w:rsidRPr="008D26EE" w14:paraId="293F3164" w14:textId="77777777" w:rsidTr="009D1253">
        <w:trPr>
          <w:trHeight w:val="250"/>
        </w:trPr>
        <w:tc>
          <w:tcPr>
            <w:tcW w:w="1475" w:type="pct"/>
            <w:vAlign w:val="center"/>
          </w:tcPr>
          <w:p w14:paraId="6316295C" w14:textId="77777777" w:rsidR="009D1253" w:rsidRPr="008D26EE" w:rsidRDefault="009D1253" w:rsidP="009D1253">
            <w:pPr>
              <w:rPr>
                <w:rFonts w:ascii="Tahoma" w:hAnsi="Tahoma" w:cs="Tahoma"/>
                <w:b/>
                <w:sz w:val="20"/>
                <w:szCs w:val="20"/>
              </w:rPr>
            </w:pPr>
            <w:r w:rsidRPr="008D26EE">
              <w:rPr>
                <w:rFonts w:ascii="Tahoma" w:hAnsi="Tahoma" w:cs="Tahoma"/>
                <w:b/>
                <w:sz w:val="20"/>
                <w:szCs w:val="20"/>
              </w:rPr>
              <w:t>Тип Кредита</w:t>
            </w:r>
          </w:p>
        </w:tc>
        <w:tc>
          <w:tcPr>
            <w:tcW w:w="3525" w:type="pct"/>
            <w:vAlign w:val="center"/>
          </w:tcPr>
          <w:p w14:paraId="643D930C" w14:textId="77777777" w:rsidR="009D1253" w:rsidRPr="008D26EE" w:rsidRDefault="009D1253" w:rsidP="009D1253">
            <w:pPr>
              <w:pStyle w:val="a9"/>
              <w:tabs>
                <w:tab w:val="left" w:pos="-284"/>
                <w:tab w:val="left" w:pos="851"/>
              </w:tabs>
              <w:spacing w:before="0" w:after="0"/>
              <w:ind w:right="849"/>
              <w:jc w:val="center"/>
              <w:rPr>
                <w:rFonts w:ascii="Tahoma" w:hAnsi="Tahoma" w:cs="Tahoma"/>
              </w:rPr>
            </w:pPr>
            <w:r w:rsidRPr="008D26EE">
              <w:rPr>
                <w:rFonts w:ascii="Tahoma" w:hAnsi="Tahoma" w:cs="Tahoma"/>
              </w:rPr>
              <w:t xml:space="preserve">Потребительский кредит </w:t>
            </w:r>
          </w:p>
        </w:tc>
      </w:tr>
      <w:tr w:rsidR="009D1253" w:rsidRPr="008D26EE" w14:paraId="64BCA788" w14:textId="77777777" w:rsidTr="009D1253">
        <w:trPr>
          <w:trHeight w:val="390"/>
        </w:trPr>
        <w:tc>
          <w:tcPr>
            <w:tcW w:w="1475" w:type="pct"/>
            <w:vAlign w:val="center"/>
          </w:tcPr>
          <w:p w14:paraId="785690BB" w14:textId="77777777" w:rsidR="009D1253" w:rsidRPr="008D26EE" w:rsidRDefault="009D1253" w:rsidP="009D1253">
            <w:pPr>
              <w:rPr>
                <w:rFonts w:ascii="Tahoma" w:hAnsi="Tahoma" w:cs="Tahoma"/>
                <w:b/>
                <w:sz w:val="20"/>
                <w:szCs w:val="20"/>
              </w:rPr>
            </w:pPr>
            <w:r w:rsidRPr="008D26EE">
              <w:rPr>
                <w:rFonts w:ascii="Tahoma" w:hAnsi="Tahoma" w:cs="Tahoma"/>
                <w:b/>
                <w:sz w:val="20"/>
                <w:szCs w:val="20"/>
              </w:rPr>
              <w:t xml:space="preserve">Цель Кредита </w:t>
            </w:r>
          </w:p>
        </w:tc>
        <w:tc>
          <w:tcPr>
            <w:tcW w:w="3525" w:type="pct"/>
            <w:vAlign w:val="center"/>
          </w:tcPr>
          <w:p w14:paraId="2BFB5A1C" w14:textId="77777777" w:rsidR="009D1253" w:rsidRPr="008D26EE" w:rsidRDefault="009D1253" w:rsidP="009D1253">
            <w:pPr>
              <w:pStyle w:val="a9"/>
              <w:tabs>
                <w:tab w:val="left" w:pos="-284"/>
                <w:tab w:val="left" w:pos="851"/>
              </w:tabs>
              <w:spacing w:before="0" w:after="0"/>
              <w:ind w:right="849"/>
              <w:jc w:val="center"/>
              <w:rPr>
                <w:rFonts w:ascii="Tahoma" w:hAnsi="Tahoma" w:cs="Tahoma"/>
              </w:rPr>
            </w:pPr>
            <w:r w:rsidRPr="008D26EE">
              <w:rPr>
                <w:rFonts w:ascii="Tahoma" w:hAnsi="Tahoma" w:cs="Tahoma"/>
              </w:rPr>
              <w:t>Любые потребительские цели (т.е. не связанные с предпринимательской деятельностью цели)</w:t>
            </w:r>
          </w:p>
        </w:tc>
      </w:tr>
      <w:tr w:rsidR="009D1253" w:rsidRPr="008D26EE" w14:paraId="255A4CD5" w14:textId="77777777" w:rsidTr="009D1253">
        <w:trPr>
          <w:trHeight w:val="455"/>
        </w:trPr>
        <w:tc>
          <w:tcPr>
            <w:tcW w:w="1475" w:type="pct"/>
            <w:vAlign w:val="center"/>
          </w:tcPr>
          <w:p w14:paraId="3473F18F" w14:textId="77777777" w:rsidR="009D1253" w:rsidRPr="008D26EE" w:rsidRDefault="009D1253" w:rsidP="009D1253">
            <w:pPr>
              <w:rPr>
                <w:rFonts w:ascii="Tahoma" w:hAnsi="Tahoma" w:cs="Tahoma"/>
                <w:b/>
                <w:sz w:val="20"/>
                <w:szCs w:val="20"/>
              </w:rPr>
            </w:pPr>
            <w:r w:rsidRPr="008D26EE">
              <w:rPr>
                <w:rFonts w:ascii="Tahoma" w:hAnsi="Tahoma" w:cs="Tahoma"/>
                <w:b/>
                <w:sz w:val="20"/>
                <w:szCs w:val="20"/>
              </w:rPr>
              <w:t>Подразделения сети/точки продаж, реализующие кредитный продукт</w:t>
            </w:r>
          </w:p>
        </w:tc>
        <w:tc>
          <w:tcPr>
            <w:tcW w:w="3525" w:type="pct"/>
            <w:vAlign w:val="center"/>
          </w:tcPr>
          <w:p w14:paraId="5F06DD07" w14:textId="77777777" w:rsidR="009D1253" w:rsidRPr="008D26EE" w:rsidRDefault="009D1253" w:rsidP="009D1253">
            <w:pPr>
              <w:pStyle w:val="a9"/>
              <w:tabs>
                <w:tab w:val="left" w:pos="-284"/>
                <w:tab w:val="left" w:pos="851"/>
              </w:tabs>
              <w:spacing w:before="0" w:after="0"/>
              <w:jc w:val="center"/>
              <w:rPr>
                <w:rFonts w:ascii="Tahoma" w:hAnsi="Tahoma" w:cs="Tahoma"/>
              </w:rPr>
            </w:pPr>
            <w:r w:rsidRPr="005A07E7">
              <w:rPr>
                <w:rFonts w:ascii="Tahoma" w:hAnsi="Tahoma" w:cs="Tahoma"/>
              </w:rPr>
              <w:t>Все подразделения Банка</w:t>
            </w:r>
          </w:p>
        </w:tc>
      </w:tr>
      <w:tr w:rsidR="009D1253" w:rsidRPr="008D26EE" w14:paraId="3BE1D834" w14:textId="77777777" w:rsidTr="009D1253">
        <w:trPr>
          <w:trHeight w:val="455"/>
        </w:trPr>
        <w:tc>
          <w:tcPr>
            <w:tcW w:w="1475" w:type="pct"/>
            <w:vAlign w:val="center"/>
          </w:tcPr>
          <w:p w14:paraId="14424174" w14:textId="77777777" w:rsidR="009D1253" w:rsidRPr="008D26EE" w:rsidRDefault="009D1253" w:rsidP="009D1253">
            <w:pPr>
              <w:rPr>
                <w:rFonts w:ascii="Tahoma" w:hAnsi="Tahoma" w:cs="Tahoma"/>
                <w:b/>
                <w:bCs/>
                <w:sz w:val="20"/>
                <w:szCs w:val="20"/>
              </w:rPr>
            </w:pPr>
            <w:r w:rsidRPr="008D26EE">
              <w:rPr>
                <w:rFonts w:ascii="Tahoma" w:hAnsi="Tahoma" w:cs="Tahoma"/>
                <w:b/>
                <w:bCs/>
                <w:sz w:val="20"/>
                <w:szCs w:val="20"/>
              </w:rPr>
              <w:t>Валюта, в которой предоставляется Кредит</w:t>
            </w:r>
          </w:p>
        </w:tc>
        <w:tc>
          <w:tcPr>
            <w:tcW w:w="3525" w:type="pct"/>
            <w:vAlign w:val="center"/>
          </w:tcPr>
          <w:p w14:paraId="4CD5A9D9" w14:textId="77777777" w:rsidR="009D1253" w:rsidRPr="008D26EE" w:rsidRDefault="009D1253" w:rsidP="009D1253">
            <w:pPr>
              <w:pStyle w:val="a9"/>
              <w:tabs>
                <w:tab w:val="left" w:pos="-284"/>
                <w:tab w:val="left" w:pos="851"/>
              </w:tabs>
              <w:spacing w:before="0" w:after="0"/>
              <w:ind w:right="849"/>
              <w:jc w:val="center"/>
              <w:rPr>
                <w:rFonts w:ascii="Tahoma" w:hAnsi="Tahoma" w:cs="Tahoma"/>
              </w:rPr>
            </w:pPr>
            <w:r>
              <w:rPr>
                <w:rFonts w:ascii="Tahoma" w:hAnsi="Tahoma" w:cs="Tahoma"/>
                <w:color w:val="000000"/>
              </w:rPr>
              <w:t>Рубль</w:t>
            </w:r>
            <w:r w:rsidRPr="008D26EE">
              <w:rPr>
                <w:rFonts w:ascii="Tahoma" w:hAnsi="Tahoma" w:cs="Tahoma"/>
                <w:color w:val="000000"/>
              </w:rPr>
              <w:t xml:space="preserve"> Рос</w:t>
            </w:r>
            <w:r>
              <w:rPr>
                <w:rFonts w:ascii="Tahoma" w:hAnsi="Tahoma" w:cs="Tahoma"/>
                <w:color w:val="000000"/>
              </w:rPr>
              <w:t>сийской Федерации (далее - рубль</w:t>
            </w:r>
            <w:r w:rsidRPr="008D26EE">
              <w:rPr>
                <w:rFonts w:ascii="Tahoma" w:hAnsi="Tahoma" w:cs="Tahoma"/>
                <w:color w:val="000000"/>
              </w:rPr>
              <w:t>)</w:t>
            </w:r>
          </w:p>
        </w:tc>
      </w:tr>
      <w:tr w:rsidR="009D1253" w:rsidRPr="008D26EE" w14:paraId="40E64585" w14:textId="77777777" w:rsidTr="009D1253">
        <w:trPr>
          <w:trHeight w:val="455"/>
        </w:trPr>
        <w:tc>
          <w:tcPr>
            <w:tcW w:w="1475" w:type="pct"/>
            <w:shd w:val="clear" w:color="auto" w:fill="auto"/>
            <w:vAlign w:val="center"/>
          </w:tcPr>
          <w:p w14:paraId="62300BB8" w14:textId="77777777" w:rsidR="009D1253" w:rsidRPr="008D26EE" w:rsidRDefault="009D1253" w:rsidP="009D1253">
            <w:pPr>
              <w:rPr>
                <w:rFonts w:ascii="Tahoma" w:hAnsi="Tahoma" w:cs="Tahoma"/>
                <w:b/>
                <w:bCs/>
                <w:sz w:val="20"/>
                <w:szCs w:val="20"/>
              </w:rPr>
            </w:pPr>
            <w:r w:rsidRPr="008D26EE">
              <w:rPr>
                <w:rFonts w:ascii="Tahoma" w:hAnsi="Tahoma" w:cs="Tahoma"/>
                <w:b/>
                <w:sz w:val="20"/>
                <w:szCs w:val="20"/>
              </w:rPr>
              <w:t>Минимальная сумма Кредита</w:t>
            </w:r>
          </w:p>
        </w:tc>
        <w:tc>
          <w:tcPr>
            <w:tcW w:w="3525" w:type="pct"/>
            <w:shd w:val="clear" w:color="auto" w:fill="auto"/>
            <w:vAlign w:val="center"/>
          </w:tcPr>
          <w:p w14:paraId="683E80F6" w14:textId="77777777" w:rsidR="009D1253" w:rsidRPr="008D26EE" w:rsidRDefault="009D1253" w:rsidP="009D1253">
            <w:pPr>
              <w:pStyle w:val="a9"/>
              <w:tabs>
                <w:tab w:val="left" w:pos="-284"/>
                <w:tab w:val="left" w:pos="851"/>
              </w:tabs>
              <w:spacing w:before="0" w:after="0"/>
              <w:ind w:right="849"/>
              <w:jc w:val="center"/>
              <w:rPr>
                <w:rFonts w:ascii="Tahoma" w:hAnsi="Tahoma" w:cs="Tahoma"/>
                <w:color w:val="000000"/>
              </w:rPr>
            </w:pPr>
            <w:r>
              <w:rPr>
                <w:rFonts w:ascii="Tahoma" w:hAnsi="Tahoma" w:cs="Tahoma"/>
                <w:color w:val="000000"/>
              </w:rPr>
              <w:t>5</w:t>
            </w:r>
            <w:r w:rsidRPr="008D26EE">
              <w:rPr>
                <w:rFonts w:ascii="Tahoma" w:hAnsi="Tahoma" w:cs="Tahoma"/>
                <w:color w:val="000000"/>
              </w:rPr>
              <w:t>00 000 рублей</w:t>
            </w:r>
          </w:p>
        </w:tc>
      </w:tr>
      <w:tr w:rsidR="009D1253" w:rsidRPr="008D26EE" w14:paraId="686C8E5D" w14:textId="77777777" w:rsidTr="009D1253">
        <w:trPr>
          <w:trHeight w:val="363"/>
        </w:trPr>
        <w:tc>
          <w:tcPr>
            <w:tcW w:w="1475" w:type="pct"/>
            <w:shd w:val="clear" w:color="auto" w:fill="auto"/>
            <w:vAlign w:val="center"/>
          </w:tcPr>
          <w:p w14:paraId="5D05C539" w14:textId="77777777" w:rsidR="009D1253" w:rsidRPr="008D26EE" w:rsidRDefault="009D1253" w:rsidP="009D1253">
            <w:pPr>
              <w:rPr>
                <w:rFonts w:ascii="Tahoma" w:hAnsi="Tahoma" w:cs="Tahoma"/>
                <w:b/>
                <w:sz w:val="20"/>
                <w:szCs w:val="20"/>
              </w:rPr>
            </w:pPr>
            <w:r w:rsidRPr="008D26EE">
              <w:rPr>
                <w:rFonts w:ascii="Tahoma" w:hAnsi="Tahoma" w:cs="Tahoma"/>
                <w:b/>
                <w:sz w:val="20"/>
                <w:szCs w:val="20"/>
              </w:rPr>
              <w:t>Максимальная сумма Кредита</w:t>
            </w:r>
          </w:p>
        </w:tc>
        <w:tc>
          <w:tcPr>
            <w:tcW w:w="3525" w:type="pct"/>
            <w:shd w:val="clear" w:color="auto" w:fill="auto"/>
            <w:vAlign w:val="center"/>
          </w:tcPr>
          <w:p w14:paraId="416C079B" w14:textId="77777777" w:rsidR="009D1253" w:rsidRPr="008D26EE" w:rsidRDefault="009D1253" w:rsidP="009D1253">
            <w:pPr>
              <w:pStyle w:val="a9"/>
              <w:tabs>
                <w:tab w:val="left" w:pos="-284"/>
                <w:tab w:val="left" w:pos="851"/>
              </w:tabs>
              <w:spacing w:before="0" w:after="0"/>
              <w:ind w:right="849"/>
              <w:jc w:val="center"/>
              <w:rPr>
                <w:rFonts w:ascii="Tahoma" w:hAnsi="Tahoma" w:cs="Tahoma"/>
                <w:color w:val="000000"/>
              </w:rPr>
            </w:pPr>
            <w:r w:rsidRPr="002C38A4">
              <w:rPr>
                <w:rFonts w:ascii="Tahoma" w:hAnsi="Tahoma" w:cs="Tahoma"/>
                <w:color w:val="000000"/>
              </w:rPr>
              <w:t xml:space="preserve">5 </w:t>
            </w:r>
            <w:r w:rsidRPr="002C38A4">
              <w:rPr>
                <w:rFonts w:ascii="Tahoma" w:hAnsi="Tahoma" w:cs="Tahoma"/>
                <w:color w:val="000000"/>
                <w:lang w:val="en-US"/>
              </w:rPr>
              <w:t>0</w:t>
            </w:r>
            <w:r w:rsidRPr="002C38A4">
              <w:rPr>
                <w:rFonts w:ascii="Tahoma" w:hAnsi="Tahoma" w:cs="Tahoma"/>
                <w:color w:val="000000"/>
              </w:rPr>
              <w:t>00 000 рублей</w:t>
            </w:r>
          </w:p>
        </w:tc>
      </w:tr>
      <w:tr w:rsidR="009D1253" w:rsidRPr="008D26EE" w14:paraId="4E2DD9EC" w14:textId="77777777" w:rsidTr="009D1253">
        <w:trPr>
          <w:trHeight w:val="408"/>
        </w:trPr>
        <w:tc>
          <w:tcPr>
            <w:tcW w:w="1475" w:type="pct"/>
            <w:shd w:val="clear" w:color="auto" w:fill="auto"/>
            <w:vAlign w:val="center"/>
          </w:tcPr>
          <w:p w14:paraId="279E6373" w14:textId="77777777" w:rsidR="009D1253" w:rsidRPr="008D26EE" w:rsidRDefault="009D1253" w:rsidP="009D1253">
            <w:pPr>
              <w:rPr>
                <w:rFonts w:ascii="Tahoma" w:hAnsi="Tahoma" w:cs="Tahoma"/>
                <w:b/>
                <w:sz w:val="20"/>
                <w:szCs w:val="20"/>
              </w:rPr>
            </w:pPr>
            <w:r w:rsidRPr="008D26EE">
              <w:rPr>
                <w:rFonts w:ascii="Tahoma" w:hAnsi="Tahoma" w:cs="Tahoma"/>
                <w:b/>
                <w:sz w:val="20"/>
                <w:szCs w:val="20"/>
              </w:rPr>
              <w:t>Диапазон сроков возврата Кредита</w:t>
            </w:r>
          </w:p>
        </w:tc>
        <w:tc>
          <w:tcPr>
            <w:tcW w:w="3525" w:type="pct"/>
            <w:shd w:val="clear" w:color="auto" w:fill="auto"/>
            <w:vAlign w:val="center"/>
          </w:tcPr>
          <w:p w14:paraId="0259E835" w14:textId="77777777" w:rsidR="009D1253" w:rsidRPr="008D26EE" w:rsidRDefault="009D1253" w:rsidP="009D1253">
            <w:pPr>
              <w:tabs>
                <w:tab w:val="left" w:pos="851"/>
              </w:tabs>
              <w:jc w:val="center"/>
              <w:rPr>
                <w:rFonts w:ascii="Tahoma" w:hAnsi="Tahoma" w:cs="Tahoma"/>
                <w:sz w:val="20"/>
                <w:szCs w:val="20"/>
              </w:rPr>
            </w:pPr>
            <w:r w:rsidRPr="008D26EE">
              <w:rPr>
                <w:rFonts w:ascii="Tahoma" w:hAnsi="Tahoma" w:cs="Tahoma"/>
                <w:sz w:val="20"/>
                <w:szCs w:val="20"/>
              </w:rPr>
              <w:t>от 24 (двадцати четырех) до 60 (шестидесяти) месяцев с шагом в 1 (один) год</w:t>
            </w:r>
          </w:p>
        </w:tc>
      </w:tr>
      <w:tr w:rsidR="009D1253" w:rsidRPr="008D26EE" w14:paraId="340805B8" w14:textId="77777777" w:rsidTr="009D1253">
        <w:trPr>
          <w:trHeight w:val="551"/>
        </w:trPr>
        <w:tc>
          <w:tcPr>
            <w:tcW w:w="1475" w:type="pct"/>
            <w:vAlign w:val="center"/>
          </w:tcPr>
          <w:p w14:paraId="500E1411" w14:textId="77777777" w:rsidR="009D1253" w:rsidRPr="008D26EE" w:rsidRDefault="009D1253" w:rsidP="009D1253">
            <w:pPr>
              <w:spacing w:line="216" w:lineRule="auto"/>
              <w:rPr>
                <w:rFonts w:ascii="Tahoma" w:hAnsi="Tahoma" w:cs="Tahoma"/>
                <w:b/>
                <w:sz w:val="20"/>
                <w:szCs w:val="20"/>
              </w:rPr>
            </w:pPr>
            <w:r w:rsidRPr="008D26EE">
              <w:rPr>
                <w:rFonts w:ascii="Tahoma" w:hAnsi="Tahoma" w:cs="Tahoma"/>
                <w:b/>
                <w:sz w:val="20"/>
                <w:szCs w:val="20"/>
              </w:rPr>
              <w:lastRenderedPageBreak/>
              <w:t>Процентная ставка (в процентах годовых)</w:t>
            </w:r>
          </w:p>
        </w:tc>
        <w:tc>
          <w:tcPr>
            <w:tcW w:w="3525" w:type="pct"/>
            <w:shd w:val="clear" w:color="auto" w:fill="auto"/>
            <w:vAlign w:val="center"/>
          </w:tcPr>
          <w:tbl>
            <w:tblPr>
              <w:tblStyle w:val="aff0"/>
              <w:tblW w:w="0" w:type="auto"/>
              <w:tblLayout w:type="fixed"/>
              <w:tblLook w:val="04A0" w:firstRow="1" w:lastRow="0" w:firstColumn="1" w:lastColumn="0" w:noHBand="0" w:noVBand="1"/>
            </w:tblPr>
            <w:tblGrid>
              <w:gridCol w:w="4737"/>
              <w:gridCol w:w="2931"/>
              <w:gridCol w:w="2472"/>
            </w:tblGrid>
            <w:tr w:rsidR="009D1253" w:rsidRPr="008D26EE" w14:paraId="521406DC" w14:textId="77777777" w:rsidTr="009D1253">
              <w:trPr>
                <w:trHeight w:val="1152"/>
              </w:trPr>
              <w:tc>
                <w:tcPr>
                  <w:tcW w:w="4737" w:type="dxa"/>
                </w:tcPr>
                <w:p w14:paraId="4724BF25" w14:textId="77777777" w:rsidR="009D1253" w:rsidRPr="008D26EE" w:rsidRDefault="009D1253" w:rsidP="009D1253">
                  <w:pPr>
                    <w:rPr>
                      <w:rFonts w:ascii="Tahoma" w:hAnsi="Tahoma" w:cs="Tahoma"/>
                      <w:b/>
                    </w:rPr>
                  </w:pPr>
                </w:p>
              </w:tc>
              <w:tc>
                <w:tcPr>
                  <w:tcW w:w="2931" w:type="dxa"/>
                </w:tcPr>
                <w:p w14:paraId="67C5C8A7" w14:textId="77777777" w:rsidR="009D1253" w:rsidRPr="008D26EE" w:rsidRDefault="009D1253" w:rsidP="009D1253">
                  <w:pPr>
                    <w:jc w:val="center"/>
                    <w:rPr>
                      <w:rFonts w:ascii="Tahoma" w:hAnsi="Tahoma" w:cs="Tahoma"/>
                      <w:b/>
                    </w:rPr>
                  </w:pPr>
                  <w:r w:rsidRPr="008D26EE">
                    <w:rPr>
                      <w:rFonts w:ascii="Tahoma" w:hAnsi="Tahoma" w:cs="Tahoma"/>
                      <w:color w:val="000000"/>
                      <w:sz w:val="20"/>
                      <w:szCs w:val="20"/>
                    </w:rPr>
                    <w:t>Ставка по Кредиту при отказе от заключения или досрочном*** прекращении договора личного страхования**</w:t>
                  </w:r>
                </w:p>
              </w:tc>
              <w:tc>
                <w:tcPr>
                  <w:tcW w:w="2472" w:type="dxa"/>
                </w:tcPr>
                <w:p w14:paraId="29AFA32F" w14:textId="77777777" w:rsidR="009D1253" w:rsidRPr="008D26EE" w:rsidRDefault="009D1253" w:rsidP="009D1253">
                  <w:pPr>
                    <w:rPr>
                      <w:rFonts w:ascii="Tahoma" w:hAnsi="Tahoma" w:cs="Tahoma"/>
                      <w:color w:val="000000"/>
                      <w:sz w:val="20"/>
                      <w:szCs w:val="20"/>
                    </w:rPr>
                  </w:pPr>
                  <w:r w:rsidRPr="008D26EE">
                    <w:rPr>
                      <w:rFonts w:ascii="Tahoma" w:hAnsi="Tahoma" w:cs="Tahoma"/>
                      <w:color w:val="000000"/>
                      <w:sz w:val="20"/>
                      <w:szCs w:val="20"/>
                    </w:rPr>
                    <w:t>Ставка по Кредиту при заключении договора личного страхования**</w:t>
                  </w:r>
                </w:p>
              </w:tc>
            </w:tr>
            <w:tr w:rsidR="009D1253" w:rsidRPr="008D26EE" w14:paraId="55ADD81F" w14:textId="77777777" w:rsidTr="009D1253">
              <w:trPr>
                <w:trHeight w:val="277"/>
              </w:trPr>
              <w:tc>
                <w:tcPr>
                  <w:tcW w:w="4737" w:type="dxa"/>
                </w:tcPr>
                <w:p w14:paraId="6557F605" w14:textId="77777777" w:rsidR="009D1253" w:rsidRPr="008D26EE" w:rsidRDefault="009D1253" w:rsidP="009D1253">
                  <w:pPr>
                    <w:rPr>
                      <w:rFonts w:ascii="Tahoma" w:hAnsi="Tahoma" w:cs="Tahoma"/>
                      <w:b/>
                    </w:rPr>
                  </w:pPr>
                  <w:r w:rsidRPr="008D26EE">
                    <w:rPr>
                      <w:rFonts w:ascii="Tahoma" w:hAnsi="Tahoma" w:cs="Tahoma"/>
                      <w:sz w:val="20"/>
                      <w:szCs w:val="20"/>
                    </w:rPr>
                    <w:t>На момент выдачи кредита</w:t>
                  </w:r>
                </w:p>
              </w:tc>
              <w:tc>
                <w:tcPr>
                  <w:tcW w:w="2931" w:type="dxa"/>
                </w:tcPr>
                <w:p w14:paraId="7A85FE52" w14:textId="77777777" w:rsidR="009D1253" w:rsidRPr="00106E6F" w:rsidRDefault="009D1253" w:rsidP="009D1253">
                  <w:pPr>
                    <w:pStyle w:val="a9"/>
                    <w:tabs>
                      <w:tab w:val="left" w:pos="-284"/>
                      <w:tab w:val="left" w:pos="851"/>
                    </w:tabs>
                    <w:spacing w:before="0" w:after="0"/>
                    <w:ind w:right="849"/>
                    <w:jc w:val="center"/>
                    <w:rPr>
                      <w:rFonts w:ascii="Tahoma" w:hAnsi="Tahoma" w:cs="Tahoma"/>
                      <w:b/>
                      <w:color w:val="000000"/>
                    </w:rPr>
                  </w:pPr>
                  <w:r>
                    <w:rPr>
                      <w:rFonts w:ascii="Tahoma" w:hAnsi="Tahoma" w:cs="Tahoma"/>
                      <w:b/>
                      <w:color w:val="000000"/>
                    </w:rPr>
                    <w:t>29.9</w:t>
                  </w:r>
                  <w:r w:rsidRPr="00F709C6">
                    <w:rPr>
                      <w:rFonts w:ascii="Tahoma" w:hAnsi="Tahoma" w:cs="Tahoma"/>
                      <w:b/>
                      <w:color w:val="000000"/>
                    </w:rPr>
                    <w:t>%</w:t>
                  </w:r>
                </w:p>
              </w:tc>
              <w:tc>
                <w:tcPr>
                  <w:tcW w:w="2472" w:type="dxa"/>
                </w:tcPr>
                <w:p w14:paraId="017A8E32" w14:textId="77777777" w:rsidR="009D1253" w:rsidRPr="00106E6F" w:rsidRDefault="009D1253" w:rsidP="009D1253">
                  <w:pPr>
                    <w:pStyle w:val="a9"/>
                    <w:tabs>
                      <w:tab w:val="left" w:pos="-284"/>
                      <w:tab w:val="left" w:pos="851"/>
                    </w:tabs>
                    <w:spacing w:before="0" w:after="0"/>
                    <w:ind w:right="849"/>
                    <w:jc w:val="center"/>
                    <w:rPr>
                      <w:rFonts w:ascii="Tahoma" w:hAnsi="Tahoma" w:cs="Tahoma"/>
                      <w:b/>
                      <w:color w:val="000000"/>
                    </w:rPr>
                  </w:pPr>
                  <w:r>
                    <w:rPr>
                      <w:rFonts w:ascii="Tahoma" w:hAnsi="Tahoma" w:cs="Tahoma"/>
                      <w:b/>
                      <w:color w:val="000000"/>
                    </w:rPr>
                    <w:t>23.9</w:t>
                  </w:r>
                  <w:r w:rsidRPr="00F709C6">
                    <w:rPr>
                      <w:rFonts w:ascii="Tahoma" w:hAnsi="Tahoma" w:cs="Tahoma"/>
                      <w:b/>
                      <w:color w:val="000000"/>
                    </w:rPr>
                    <w:t>%</w:t>
                  </w:r>
                </w:p>
              </w:tc>
            </w:tr>
            <w:tr w:rsidR="009D1253" w:rsidRPr="008D26EE" w14:paraId="3F55A60A" w14:textId="77777777" w:rsidTr="009D1253">
              <w:trPr>
                <w:trHeight w:val="739"/>
              </w:trPr>
              <w:tc>
                <w:tcPr>
                  <w:tcW w:w="4737" w:type="dxa"/>
                </w:tcPr>
                <w:p w14:paraId="094913CE" w14:textId="77777777" w:rsidR="009D1253" w:rsidRPr="008D26EE" w:rsidRDefault="009D1253" w:rsidP="009D1253">
                  <w:pPr>
                    <w:rPr>
                      <w:rFonts w:ascii="Tahoma" w:hAnsi="Tahoma" w:cs="Tahoma"/>
                      <w:b/>
                    </w:rPr>
                  </w:pPr>
                  <w:r w:rsidRPr="008D26EE">
                    <w:rPr>
                      <w:rFonts w:ascii="Tahoma" w:hAnsi="Tahoma" w:cs="Tahoma"/>
                      <w:sz w:val="20"/>
                      <w:szCs w:val="20"/>
                    </w:rPr>
                    <w:t>При выполнении требования по предоставлению залога в соответствии с требованиями к предмету залога*</w:t>
                  </w:r>
                </w:p>
              </w:tc>
              <w:tc>
                <w:tcPr>
                  <w:tcW w:w="2931" w:type="dxa"/>
                </w:tcPr>
                <w:p w14:paraId="53896C0C" w14:textId="77777777" w:rsidR="009D1253" w:rsidRPr="00106E6F" w:rsidRDefault="009D1253" w:rsidP="009D1253">
                  <w:pPr>
                    <w:pStyle w:val="a9"/>
                    <w:tabs>
                      <w:tab w:val="left" w:pos="-284"/>
                      <w:tab w:val="left" w:pos="851"/>
                    </w:tabs>
                    <w:spacing w:before="0" w:after="0"/>
                    <w:ind w:right="849"/>
                    <w:jc w:val="center"/>
                    <w:rPr>
                      <w:rFonts w:ascii="Tahoma" w:hAnsi="Tahoma" w:cs="Tahoma"/>
                      <w:b/>
                      <w:color w:val="000000"/>
                    </w:rPr>
                  </w:pPr>
                  <w:r>
                    <w:rPr>
                      <w:rFonts w:ascii="Tahoma" w:hAnsi="Tahoma" w:cs="Tahoma"/>
                      <w:b/>
                      <w:color w:val="000000"/>
                    </w:rPr>
                    <w:t>26.9</w:t>
                  </w:r>
                  <w:r w:rsidRPr="00F709C6">
                    <w:rPr>
                      <w:rFonts w:ascii="Tahoma" w:hAnsi="Tahoma" w:cs="Tahoma"/>
                      <w:b/>
                      <w:color w:val="000000"/>
                    </w:rPr>
                    <w:t>%</w:t>
                  </w:r>
                </w:p>
              </w:tc>
              <w:tc>
                <w:tcPr>
                  <w:tcW w:w="2472" w:type="dxa"/>
                </w:tcPr>
                <w:p w14:paraId="5A02FAA0" w14:textId="77777777" w:rsidR="009D1253" w:rsidRPr="00106E6F" w:rsidRDefault="009D1253" w:rsidP="009D1253">
                  <w:pPr>
                    <w:pStyle w:val="a9"/>
                    <w:tabs>
                      <w:tab w:val="left" w:pos="-284"/>
                      <w:tab w:val="left" w:pos="851"/>
                    </w:tabs>
                    <w:spacing w:before="0" w:after="0"/>
                    <w:ind w:right="849"/>
                    <w:jc w:val="center"/>
                    <w:rPr>
                      <w:rFonts w:ascii="Tahoma" w:hAnsi="Tahoma" w:cs="Tahoma"/>
                      <w:b/>
                      <w:color w:val="000000"/>
                    </w:rPr>
                  </w:pPr>
                  <w:r>
                    <w:rPr>
                      <w:rFonts w:ascii="Tahoma" w:hAnsi="Tahoma" w:cs="Tahoma"/>
                      <w:b/>
                      <w:color w:val="000000"/>
                    </w:rPr>
                    <w:t>20.9</w:t>
                  </w:r>
                  <w:r w:rsidRPr="00F709C6">
                    <w:rPr>
                      <w:rFonts w:ascii="Tahoma" w:hAnsi="Tahoma" w:cs="Tahoma"/>
                      <w:b/>
                      <w:color w:val="000000"/>
                    </w:rPr>
                    <w:t>%</w:t>
                  </w:r>
                </w:p>
              </w:tc>
            </w:tr>
          </w:tbl>
          <w:p w14:paraId="53CFA646" w14:textId="77777777" w:rsidR="009D1253" w:rsidRPr="00EB6CA9" w:rsidRDefault="009D1253" w:rsidP="009D1253">
            <w:pPr>
              <w:spacing w:before="240"/>
              <w:jc w:val="both"/>
              <w:rPr>
                <w:rFonts w:ascii="Tahoma" w:hAnsi="Tahoma" w:cs="Tahoma"/>
                <w:sz w:val="16"/>
                <w:szCs w:val="18"/>
              </w:rPr>
            </w:pPr>
            <w:r w:rsidRPr="00EB6CA9">
              <w:rPr>
                <w:rFonts w:ascii="Tahoma" w:hAnsi="Tahoma" w:cs="Tahoma"/>
                <w:sz w:val="16"/>
                <w:szCs w:val="18"/>
              </w:rPr>
              <w:t xml:space="preserve">* </w:t>
            </w:r>
            <w:r w:rsidRPr="00B205F8">
              <w:rPr>
                <w:rFonts w:ascii="Tahoma" w:hAnsi="Tahoma" w:cs="Tahoma"/>
                <w:sz w:val="16"/>
                <w:szCs w:val="18"/>
              </w:rPr>
              <w:t xml:space="preserve">Заемщик обязан предоставить Банку </w:t>
            </w:r>
            <w:r w:rsidRPr="00EB6CA9">
              <w:rPr>
                <w:rFonts w:ascii="Tahoma" w:hAnsi="Tahoma" w:cs="Tahoma"/>
                <w:sz w:val="16"/>
                <w:szCs w:val="18"/>
              </w:rPr>
              <w:t xml:space="preserve">залог транспортного средства, соответствующего требованиям </w:t>
            </w:r>
            <w:r>
              <w:rPr>
                <w:rFonts w:ascii="Tahoma" w:hAnsi="Tahoma" w:cs="Tahoma"/>
                <w:sz w:val="16"/>
                <w:szCs w:val="18"/>
              </w:rPr>
              <w:t xml:space="preserve">Банка </w:t>
            </w:r>
            <w:r w:rsidRPr="00EB6CA9">
              <w:rPr>
                <w:rFonts w:ascii="Tahoma" w:hAnsi="Tahoma" w:cs="Tahoma"/>
                <w:sz w:val="16"/>
                <w:szCs w:val="18"/>
              </w:rPr>
              <w:t>к предмету залога, и заключ</w:t>
            </w:r>
            <w:r>
              <w:rPr>
                <w:rFonts w:ascii="Tahoma" w:hAnsi="Tahoma" w:cs="Tahoma"/>
                <w:sz w:val="16"/>
                <w:szCs w:val="18"/>
              </w:rPr>
              <w:t>ить</w:t>
            </w:r>
            <w:r w:rsidRPr="00EB6CA9">
              <w:rPr>
                <w:rFonts w:ascii="Tahoma" w:hAnsi="Tahoma" w:cs="Tahoma"/>
                <w:sz w:val="16"/>
                <w:szCs w:val="18"/>
              </w:rPr>
              <w:t xml:space="preserve"> с Банком Дополнительно</w:t>
            </w:r>
            <w:r>
              <w:rPr>
                <w:rFonts w:ascii="Tahoma" w:hAnsi="Tahoma" w:cs="Tahoma"/>
                <w:sz w:val="16"/>
                <w:szCs w:val="18"/>
              </w:rPr>
              <w:t>е</w:t>
            </w:r>
            <w:r w:rsidRPr="00EB6CA9">
              <w:rPr>
                <w:rFonts w:ascii="Tahoma" w:hAnsi="Tahoma" w:cs="Tahoma"/>
                <w:sz w:val="16"/>
                <w:szCs w:val="18"/>
              </w:rPr>
              <w:t xml:space="preserve"> соглашени</w:t>
            </w:r>
            <w:r>
              <w:rPr>
                <w:rFonts w:ascii="Tahoma" w:hAnsi="Tahoma" w:cs="Tahoma"/>
                <w:sz w:val="16"/>
                <w:szCs w:val="18"/>
              </w:rPr>
              <w:t>е</w:t>
            </w:r>
            <w:r w:rsidRPr="00EB6CA9">
              <w:rPr>
                <w:rFonts w:ascii="Tahoma" w:hAnsi="Tahoma" w:cs="Tahoma"/>
                <w:sz w:val="16"/>
                <w:szCs w:val="18"/>
              </w:rPr>
              <w:t xml:space="preserve"> к Договору до наступления четвертого ежемесячного платежа </w:t>
            </w:r>
            <w:r>
              <w:rPr>
                <w:rFonts w:ascii="Tahoma" w:hAnsi="Tahoma" w:cs="Tahoma"/>
                <w:sz w:val="16"/>
                <w:szCs w:val="18"/>
              </w:rPr>
              <w:t xml:space="preserve">по Договору </w:t>
            </w:r>
            <w:r w:rsidRPr="00EB6CA9">
              <w:rPr>
                <w:rFonts w:ascii="Tahoma" w:hAnsi="Tahoma" w:cs="Tahoma"/>
                <w:sz w:val="16"/>
                <w:szCs w:val="18"/>
              </w:rPr>
              <w:t>с даты заключения Договора</w:t>
            </w:r>
            <w:r>
              <w:rPr>
                <w:rFonts w:ascii="Tahoma" w:hAnsi="Tahoma" w:cs="Tahoma"/>
                <w:sz w:val="16"/>
                <w:szCs w:val="18"/>
              </w:rPr>
              <w:t>. При этом</w:t>
            </w:r>
            <w:r w:rsidRPr="00EB6CA9">
              <w:rPr>
                <w:rFonts w:ascii="Tahoma" w:hAnsi="Tahoma" w:cs="Tahoma"/>
                <w:sz w:val="16"/>
                <w:szCs w:val="18"/>
              </w:rPr>
              <w:t xml:space="preserve"> в дату, следующую за датой первого платежа </w:t>
            </w:r>
            <w:r>
              <w:rPr>
                <w:rFonts w:ascii="Tahoma" w:hAnsi="Tahoma" w:cs="Tahoma"/>
                <w:sz w:val="16"/>
                <w:szCs w:val="18"/>
              </w:rPr>
              <w:t xml:space="preserve">по Договору </w:t>
            </w:r>
            <w:r w:rsidRPr="00EB6CA9">
              <w:rPr>
                <w:rFonts w:ascii="Tahoma" w:hAnsi="Tahoma" w:cs="Tahoma"/>
                <w:sz w:val="16"/>
                <w:szCs w:val="18"/>
              </w:rPr>
              <w:t xml:space="preserve">после заключения Дополнительного соглашения, осуществляется снижение процентной ставки на </w:t>
            </w:r>
            <w:r>
              <w:rPr>
                <w:rFonts w:ascii="Tahoma" w:hAnsi="Tahoma" w:cs="Tahoma"/>
                <w:sz w:val="16"/>
                <w:szCs w:val="18"/>
              </w:rPr>
              <w:t>3</w:t>
            </w:r>
            <w:r w:rsidRPr="00EB6CA9">
              <w:rPr>
                <w:rFonts w:ascii="Tahoma" w:hAnsi="Tahoma" w:cs="Tahoma"/>
                <w:sz w:val="16"/>
                <w:szCs w:val="18"/>
              </w:rPr>
              <w:t xml:space="preserve"> (</w:t>
            </w:r>
            <w:r>
              <w:rPr>
                <w:rFonts w:ascii="Tahoma" w:hAnsi="Tahoma" w:cs="Tahoma"/>
                <w:sz w:val="16"/>
                <w:szCs w:val="18"/>
              </w:rPr>
              <w:t>три</w:t>
            </w:r>
            <w:r w:rsidRPr="00EB6CA9">
              <w:rPr>
                <w:rFonts w:ascii="Tahoma" w:hAnsi="Tahoma" w:cs="Tahoma"/>
                <w:sz w:val="16"/>
                <w:szCs w:val="18"/>
              </w:rPr>
              <w:t>) % годовых от процентной ставки, действующей на дату заключения Дополнительного соглашения. Заключение Дополнительного соглашения к Договору осуществляется при отсутствии просроченной задолженности на день заключения Дополнительного соглашения.</w:t>
            </w:r>
          </w:p>
          <w:p w14:paraId="602AA0B2" w14:textId="77777777" w:rsidR="009D1253" w:rsidRPr="00ED6334" w:rsidRDefault="009D1253" w:rsidP="009D1253">
            <w:pPr>
              <w:tabs>
                <w:tab w:val="left" w:pos="6979"/>
                <w:tab w:val="left" w:pos="7548"/>
              </w:tabs>
              <w:ind w:right="176"/>
              <w:jc w:val="both"/>
              <w:rPr>
                <w:rFonts w:ascii="Tahoma" w:hAnsi="Tahoma" w:cs="Tahoma"/>
                <w:sz w:val="16"/>
                <w:szCs w:val="18"/>
              </w:rPr>
            </w:pPr>
            <w:r w:rsidRPr="00ED6334">
              <w:rPr>
                <w:rFonts w:ascii="Tahoma" w:hAnsi="Tahoma" w:cs="Tahoma"/>
                <w:sz w:val="16"/>
                <w:szCs w:val="18"/>
              </w:rPr>
              <w:t xml:space="preserve">**Личное страхование с рисками, указанными в </w:t>
            </w:r>
            <w:r>
              <w:rPr>
                <w:rFonts w:ascii="Tahoma" w:hAnsi="Tahoma" w:cs="Tahoma"/>
                <w:sz w:val="16"/>
                <w:szCs w:val="18"/>
              </w:rPr>
              <w:t>разделе</w:t>
            </w:r>
            <w:r w:rsidRPr="00ED6334">
              <w:rPr>
                <w:rFonts w:ascii="Tahoma" w:hAnsi="Tahoma" w:cs="Tahoma"/>
                <w:sz w:val="16"/>
                <w:szCs w:val="18"/>
              </w:rPr>
              <w:t xml:space="preserve"> «Информация о страховании» настоящего документа, на срок не менее 6 (шести) месяцев. </w:t>
            </w:r>
          </w:p>
          <w:p w14:paraId="5E63C1A0" w14:textId="77777777" w:rsidR="009D1253" w:rsidRPr="008D26EE" w:rsidRDefault="009D1253" w:rsidP="009D1253">
            <w:pPr>
              <w:jc w:val="both"/>
              <w:rPr>
                <w:rFonts w:ascii="Tahoma" w:hAnsi="Tahoma" w:cs="Tahoma"/>
                <w:sz w:val="18"/>
                <w:szCs w:val="18"/>
              </w:rPr>
            </w:pPr>
            <w:r w:rsidRPr="00ED6334">
              <w:rPr>
                <w:rFonts w:ascii="Tahoma" w:hAnsi="Tahoma" w:cs="Tahoma"/>
                <w:sz w:val="16"/>
                <w:szCs w:val="18"/>
              </w:rPr>
              <w:t>*** В случае досрочного прекращения Заёмщиком Договора Личного страхования или заключения Договора Личного страхования, не соответствующего требованиям указанным в разделе «Информация о страховании» настоящего документа, Банк вправе принять решение об увеличении процентной ставки. Процентная ставка определяется в соответствии с условиями кредитной программы Банка до меньшей из величин процентной ставки на момент принятия решения об увеличении процентной ставки: до уровня процентной ставки, действовавшей на момент заключения договора потребительского кредита или на момент принятия решения об увеличении процентной ставки по договору потребительского кредита на сопоставимых (сумма, срок возврата потребительского кредита, размер первоначального взноса) условиях потребительского кредита без учета заключения договора страхования, начиная с тридцать первого дня, следующего за днем прекращения договора страхового продукта.</w:t>
            </w:r>
          </w:p>
        </w:tc>
      </w:tr>
      <w:tr w:rsidR="009D1253" w:rsidRPr="008D26EE" w14:paraId="546F950A" w14:textId="77777777" w:rsidTr="009D1253">
        <w:trPr>
          <w:trHeight w:val="554"/>
        </w:trPr>
        <w:tc>
          <w:tcPr>
            <w:tcW w:w="1475" w:type="pct"/>
            <w:vAlign w:val="center"/>
          </w:tcPr>
          <w:p w14:paraId="32D04195" w14:textId="77777777" w:rsidR="009D1253" w:rsidRPr="008D26EE" w:rsidRDefault="009D1253" w:rsidP="009D1253">
            <w:pPr>
              <w:rPr>
                <w:rFonts w:ascii="Tahoma" w:hAnsi="Tahoma" w:cs="Tahoma"/>
                <w:b/>
                <w:sz w:val="20"/>
                <w:szCs w:val="20"/>
              </w:rPr>
            </w:pPr>
            <w:r w:rsidRPr="008D26EE">
              <w:rPr>
                <w:rFonts w:ascii="Tahoma" w:hAnsi="Tahoma" w:cs="Tahoma"/>
                <w:b/>
                <w:bCs/>
                <w:color w:val="000000" w:themeColor="text1"/>
                <w:sz w:val="20"/>
                <w:szCs w:val="20"/>
              </w:rPr>
              <w:t>Диапазон полной стоимости Кредита в процентном  и денежном выражении в порядке, установленном Федеральным законом от 21.12.2013 №353-ФЗ «О потребительском кредите (займе)»</w:t>
            </w:r>
          </w:p>
        </w:tc>
        <w:tc>
          <w:tcPr>
            <w:tcW w:w="3525" w:type="pct"/>
            <w:shd w:val="clear" w:color="auto" w:fill="auto"/>
            <w:vAlign w:val="center"/>
          </w:tcPr>
          <w:p w14:paraId="7A70AD85" w14:textId="77777777" w:rsidR="009D1253" w:rsidRPr="00BF1DBE" w:rsidRDefault="009D1253" w:rsidP="009D1253">
            <w:pPr>
              <w:jc w:val="center"/>
              <w:rPr>
                <w:rFonts w:ascii="Tahoma" w:hAnsi="Tahoma" w:cs="Tahoma"/>
                <w:sz w:val="18"/>
                <w:szCs w:val="18"/>
              </w:rPr>
            </w:pPr>
            <w:r>
              <w:rPr>
                <w:rFonts w:ascii="Tahoma" w:hAnsi="Tahoma" w:cs="Tahoma"/>
                <w:sz w:val="18"/>
                <w:szCs w:val="18"/>
              </w:rPr>
              <w:t>20.884</w:t>
            </w:r>
            <w:r w:rsidRPr="00BF1DBE">
              <w:rPr>
                <w:rFonts w:ascii="Tahoma" w:hAnsi="Tahoma" w:cs="Tahoma"/>
                <w:sz w:val="18"/>
                <w:szCs w:val="18"/>
              </w:rPr>
              <w:t xml:space="preserve">% - </w:t>
            </w:r>
            <w:r>
              <w:rPr>
                <w:rFonts w:ascii="Tahoma" w:hAnsi="Tahoma" w:cs="Tahoma"/>
                <w:sz w:val="18"/>
                <w:szCs w:val="18"/>
              </w:rPr>
              <w:t>29.879</w:t>
            </w:r>
            <w:r w:rsidRPr="00BF1DBE">
              <w:rPr>
                <w:rFonts w:ascii="Tahoma" w:hAnsi="Tahoma" w:cs="Tahoma"/>
                <w:sz w:val="18"/>
                <w:szCs w:val="18"/>
              </w:rPr>
              <w:t>%</w:t>
            </w:r>
          </w:p>
          <w:p w14:paraId="4FBDB097" w14:textId="77777777" w:rsidR="009D1253" w:rsidRPr="00BF1DBE" w:rsidRDefault="009D1253" w:rsidP="009D1253">
            <w:pPr>
              <w:jc w:val="center"/>
              <w:rPr>
                <w:rFonts w:ascii="Tahoma" w:hAnsi="Tahoma" w:cs="Tahoma"/>
                <w:sz w:val="18"/>
                <w:szCs w:val="18"/>
              </w:rPr>
            </w:pPr>
            <w:r>
              <w:rPr>
                <w:rFonts w:ascii="Tahoma" w:hAnsi="Tahoma" w:cs="Tahoma"/>
                <w:sz w:val="18"/>
                <w:szCs w:val="18"/>
              </w:rPr>
              <w:t>115 949.20</w:t>
            </w:r>
            <w:r w:rsidRPr="00BF1DBE">
              <w:rPr>
                <w:rFonts w:ascii="Tahoma" w:hAnsi="Tahoma" w:cs="Tahoma"/>
                <w:sz w:val="18"/>
                <w:szCs w:val="18"/>
              </w:rPr>
              <w:t xml:space="preserve"> руб. – </w:t>
            </w:r>
            <w:r>
              <w:rPr>
                <w:rFonts w:ascii="Tahoma" w:hAnsi="Tahoma" w:cs="Tahoma"/>
                <w:sz w:val="18"/>
                <w:szCs w:val="18"/>
              </w:rPr>
              <w:t>4 684 637.77</w:t>
            </w:r>
            <w:r w:rsidRPr="00BF1DBE">
              <w:rPr>
                <w:rFonts w:ascii="Tahoma" w:hAnsi="Tahoma" w:cs="Tahoma"/>
                <w:sz w:val="18"/>
                <w:szCs w:val="18"/>
              </w:rPr>
              <w:t xml:space="preserve"> руб.</w:t>
            </w:r>
          </w:p>
          <w:p w14:paraId="3B2C72A3" w14:textId="77777777" w:rsidR="009D1253" w:rsidRPr="00BF1DBE" w:rsidRDefault="009D1253" w:rsidP="009D1253">
            <w:pPr>
              <w:pStyle w:val="aff1"/>
              <w:jc w:val="both"/>
              <w:rPr>
                <w:rFonts w:ascii="Tahoma" w:eastAsiaTheme="minorHAnsi" w:hAnsi="Tahoma" w:cs="Tahoma"/>
                <w:sz w:val="18"/>
                <w:szCs w:val="18"/>
                <w:lang w:eastAsia="en-US"/>
              </w:rPr>
            </w:pPr>
            <w:r w:rsidRPr="00BF1DBE">
              <w:rPr>
                <w:rFonts w:ascii="Tahoma" w:eastAsiaTheme="minorHAnsi" w:hAnsi="Tahoma" w:cs="Tahoma"/>
                <w:sz w:val="18"/>
                <w:szCs w:val="18"/>
                <w:lang w:eastAsia="en-US"/>
              </w:rPr>
              <w:t>Расчет минимального значения ПСК произведен с использованием параметров: минимальная сумма Кредита (500 000 рублей), минимальный срок (24 месяца), минимальная ставка (</w:t>
            </w:r>
            <w:r>
              <w:rPr>
                <w:rFonts w:ascii="Tahoma" w:eastAsiaTheme="minorHAnsi" w:hAnsi="Tahoma" w:cs="Tahoma"/>
                <w:sz w:val="18"/>
                <w:szCs w:val="18"/>
                <w:lang w:eastAsia="en-US"/>
              </w:rPr>
              <w:t>23.9</w:t>
            </w:r>
            <w:r w:rsidRPr="00BF1DBE">
              <w:rPr>
                <w:rFonts w:ascii="Tahoma" w:eastAsiaTheme="minorHAnsi" w:hAnsi="Tahoma" w:cs="Tahoma"/>
                <w:sz w:val="18"/>
                <w:szCs w:val="18"/>
                <w:lang w:eastAsia="en-US"/>
              </w:rPr>
              <w:t>% годовых для лиц с инвалидностью) на момент выдачи кредита и минимальная ставка (</w:t>
            </w:r>
            <w:r>
              <w:rPr>
                <w:rFonts w:ascii="Tahoma" w:eastAsiaTheme="minorHAnsi" w:hAnsi="Tahoma" w:cs="Tahoma"/>
                <w:sz w:val="18"/>
                <w:szCs w:val="18"/>
                <w:lang w:eastAsia="en-US"/>
              </w:rPr>
              <w:t>20.9</w:t>
            </w:r>
            <w:r w:rsidRPr="00BF1DBE">
              <w:rPr>
                <w:rFonts w:ascii="Tahoma" w:eastAsiaTheme="minorHAnsi" w:hAnsi="Tahoma" w:cs="Tahoma"/>
                <w:sz w:val="18"/>
                <w:szCs w:val="18"/>
                <w:lang w:eastAsia="en-US"/>
              </w:rPr>
              <w:t>% годовых для лиц с инвалидностью) при выполнении требования по предоставлению залога.</w:t>
            </w:r>
          </w:p>
          <w:p w14:paraId="3336B2A1" w14:textId="77777777" w:rsidR="009D1253" w:rsidRPr="004119E9" w:rsidRDefault="009D1253" w:rsidP="009D1253">
            <w:pPr>
              <w:jc w:val="both"/>
              <w:rPr>
                <w:rFonts w:ascii="Tahoma" w:hAnsi="Tahoma" w:cs="Tahoma"/>
                <w:sz w:val="18"/>
                <w:szCs w:val="18"/>
              </w:rPr>
            </w:pPr>
            <w:r w:rsidRPr="00BF1DBE">
              <w:rPr>
                <w:rFonts w:ascii="Tahoma" w:eastAsiaTheme="minorHAnsi" w:hAnsi="Tahoma" w:cs="Tahoma"/>
                <w:sz w:val="18"/>
                <w:szCs w:val="18"/>
                <w:lang w:eastAsia="en-US"/>
              </w:rPr>
              <w:t>Расчет максимального значения ПСК произведен с использованием параметров: максимальная сумма Кредита (5 000 000 рублей), максимальный срок (60 месяцев), максимальная ставка (</w:t>
            </w:r>
            <w:r>
              <w:rPr>
                <w:rFonts w:ascii="Tahoma" w:eastAsiaTheme="minorHAnsi" w:hAnsi="Tahoma" w:cs="Tahoma"/>
                <w:sz w:val="18"/>
                <w:szCs w:val="18"/>
                <w:lang w:eastAsia="en-US"/>
              </w:rPr>
              <w:t>29.9</w:t>
            </w:r>
            <w:r w:rsidRPr="00BF1DBE">
              <w:rPr>
                <w:rFonts w:ascii="Tahoma" w:eastAsiaTheme="minorHAnsi" w:hAnsi="Tahoma" w:cs="Tahoma"/>
                <w:sz w:val="18"/>
                <w:szCs w:val="18"/>
                <w:lang w:eastAsia="en-US"/>
              </w:rPr>
              <w:t>% годовых) на момент выдачи кредита и максимальная ставка (</w:t>
            </w:r>
            <w:r>
              <w:rPr>
                <w:rFonts w:ascii="Tahoma" w:eastAsiaTheme="minorHAnsi" w:hAnsi="Tahoma" w:cs="Tahoma"/>
                <w:sz w:val="18"/>
                <w:szCs w:val="18"/>
                <w:lang w:eastAsia="en-US"/>
              </w:rPr>
              <w:t>26.9</w:t>
            </w:r>
            <w:r w:rsidRPr="00BF1DBE">
              <w:rPr>
                <w:rFonts w:ascii="Tahoma" w:eastAsiaTheme="minorHAnsi" w:hAnsi="Tahoma" w:cs="Tahoma"/>
                <w:sz w:val="18"/>
                <w:szCs w:val="18"/>
                <w:lang w:eastAsia="en-US"/>
              </w:rPr>
              <w:t>% годовых) при выполнении требования по предоставлению залога.</w:t>
            </w:r>
          </w:p>
        </w:tc>
      </w:tr>
      <w:tr w:rsidR="009D1253" w:rsidRPr="008D26EE" w14:paraId="7EE67CBC" w14:textId="77777777" w:rsidTr="009D1253">
        <w:trPr>
          <w:trHeight w:val="554"/>
        </w:trPr>
        <w:tc>
          <w:tcPr>
            <w:tcW w:w="1475" w:type="pct"/>
            <w:tcBorders>
              <w:bottom w:val="single" w:sz="4" w:space="0" w:color="auto"/>
            </w:tcBorders>
          </w:tcPr>
          <w:p w14:paraId="57B59692" w14:textId="77777777" w:rsidR="009D1253" w:rsidRPr="008D26EE" w:rsidRDefault="009D1253" w:rsidP="009D1253">
            <w:pPr>
              <w:rPr>
                <w:rFonts w:ascii="Tahoma" w:hAnsi="Tahoma" w:cs="Tahoma"/>
                <w:b/>
                <w:bCs/>
                <w:color w:val="000000" w:themeColor="text1"/>
                <w:sz w:val="20"/>
                <w:szCs w:val="20"/>
              </w:rPr>
            </w:pPr>
            <w:r w:rsidRPr="008D26EE">
              <w:rPr>
                <w:rFonts w:ascii="Tahoma" w:hAnsi="Tahoma" w:cs="Tahoma"/>
                <w:b/>
                <w:sz w:val="20"/>
                <w:szCs w:val="20"/>
              </w:rPr>
              <w:t>Информация о страховании</w:t>
            </w:r>
          </w:p>
        </w:tc>
        <w:tc>
          <w:tcPr>
            <w:tcW w:w="3525" w:type="pct"/>
            <w:shd w:val="clear" w:color="auto" w:fill="auto"/>
          </w:tcPr>
          <w:p w14:paraId="6C5E3521" w14:textId="77777777" w:rsidR="009D1253" w:rsidRPr="008D26EE" w:rsidRDefault="009D1253" w:rsidP="009D1253">
            <w:pPr>
              <w:tabs>
                <w:tab w:val="left" w:pos="6979"/>
              </w:tabs>
              <w:ind w:right="176"/>
              <w:jc w:val="both"/>
              <w:rPr>
                <w:rFonts w:ascii="Tahoma" w:hAnsi="Tahoma" w:cs="Tahoma"/>
                <w:color w:val="000000"/>
                <w:sz w:val="20"/>
                <w:szCs w:val="20"/>
              </w:rPr>
            </w:pPr>
            <w:r w:rsidRPr="008D26EE">
              <w:rPr>
                <w:rFonts w:ascii="Tahoma" w:hAnsi="Tahoma" w:cs="Tahoma"/>
                <w:color w:val="000000"/>
                <w:sz w:val="20"/>
                <w:szCs w:val="20"/>
              </w:rPr>
              <w:t>При выборе Заёмщиком условий кредитования с заключением Договора Личного страхования необходимо оформление договора (полиса) страхования со следующими условиями:</w:t>
            </w:r>
          </w:p>
          <w:p w14:paraId="752927E0" w14:textId="77777777" w:rsidR="009D1253" w:rsidRDefault="009D1253" w:rsidP="009D1253">
            <w:pPr>
              <w:jc w:val="both"/>
              <w:rPr>
                <w:rFonts w:ascii="Tahoma" w:hAnsi="Tahoma" w:cs="Tahoma"/>
                <w:color w:val="000000"/>
                <w:sz w:val="20"/>
                <w:szCs w:val="20"/>
                <w:u w:val="single"/>
              </w:rPr>
            </w:pPr>
          </w:p>
          <w:p w14:paraId="46EBA400" w14:textId="77777777" w:rsidR="009D1253" w:rsidRPr="008D26EE" w:rsidRDefault="009D1253" w:rsidP="009D1253">
            <w:pPr>
              <w:jc w:val="both"/>
              <w:rPr>
                <w:rFonts w:ascii="Tahoma" w:hAnsi="Tahoma" w:cs="Tahoma"/>
                <w:sz w:val="18"/>
                <w:szCs w:val="18"/>
              </w:rPr>
            </w:pPr>
            <w:r w:rsidRPr="008D26EE">
              <w:rPr>
                <w:rFonts w:ascii="Tahoma" w:hAnsi="Tahoma" w:cs="Tahoma"/>
                <w:color w:val="000000"/>
                <w:sz w:val="20"/>
                <w:szCs w:val="20"/>
                <w:u w:val="single"/>
              </w:rPr>
              <w:t xml:space="preserve">Личное страхование*: </w:t>
            </w:r>
            <w:r w:rsidRPr="008D26EE">
              <w:rPr>
                <w:rFonts w:ascii="Tahoma" w:hAnsi="Tahoma" w:cs="Tahoma"/>
                <w:color w:val="000000"/>
                <w:sz w:val="20"/>
                <w:szCs w:val="20"/>
              </w:rPr>
              <w:t>Выгодоприобретателем в размере задолженности Заемщика по Договору личного страхования должен быть указан Банк, за исключением случаев, когда он выступает страховым агентом при заключении договора страхования.</w:t>
            </w:r>
          </w:p>
          <w:p w14:paraId="58FF75EE" w14:textId="77777777" w:rsidR="009D1253" w:rsidRPr="008D26EE" w:rsidRDefault="009D1253" w:rsidP="009D1253">
            <w:pPr>
              <w:tabs>
                <w:tab w:val="left" w:pos="6979"/>
              </w:tabs>
              <w:ind w:right="176"/>
              <w:jc w:val="both"/>
              <w:rPr>
                <w:rFonts w:ascii="Tahoma" w:hAnsi="Tahoma" w:cs="Tahoma"/>
                <w:color w:val="000000"/>
                <w:sz w:val="20"/>
                <w:szCs w:val="20"/>
              </w:rPr>
            </w:pPr>
            <w:r w:rsidRPr="008D26EE">
              <w:rPr>
                <w:rFonts w:ascii="Tahoma" w:hAnsi="Tahoma" w:cs="Tahoma"/>
                <w:i/>
                <w:color w:val="000000"/>
                <w:sz w:val="20"/>
                <w:szCs w:val="20"/>
              </w:rPr>
              <w:t>*Оформление данного вида страхования не применимо для лиц с инвалидностью (ЛСИ)</w:t>
            </w:r>
            <w:r>
              <w:rPr>
                <w:rFonts w:ascii="Tahoma" w:hAnsi="Tahoma" w:cs="Tahoma"/>
                <w:i/>
                <w:color w:val="000000"/>
                <w:sz w:val="20"/>
                <w:szCs w:val="20"/>
              </w:rPr>
              <w:t>*</w:t>
            </w:r>
            <w:r w:rsidRPr="008D26EE">
              <w:rPr>
                <w:rFonts w:ascii="Tahoma" w:hAnsi="Tahoma" w:cs="Tahoma"/>
                <w:i/>
                <w:color w:val="000000"/>
                <w:sz w:val="20"/>
                <w:szCs w:val="20"/>
              </w:rPr>
              <w:t xml:space="preserve">. </w:t>
            </w:r>
          </w:p>
          <w:p w14:paraId="5B5C14CF" w14:textId="77777777" w:rsidR="009D1253" w:rsidRDefault="009D1253" w:rsidP="009D1253">
            <w:pPr>
              <w:tabs>
                <w:tab w:val="left" w:pos="6979"/>
              </w:tabs>
              <w:ind w:right="176"/>
              <w:jc w:val="both"/>
              <w:rPr>
                <w:rFonts w:ascii="Tahoma" w:hAnsi="Tahoma" w:cs="Tahoma"/>
                <w:color w:val="000000"/>
                <w:sz w:val="20"/>
                <w:szCs w:val="20"/>
              </w:rPr>
            </w:pPr>
          </w:p>
          <w:p w14:paraId="769731DF" w14:textId="77777777" w:rsidR="009D1253" w:rsidRPr="008D26EE" w:rsidRDefault="009D1253" w:rsidP="009D1253">
            <w:pPr>
              <w:tabs>
                <w:tab w:val="left" w:pos="6979"/>
              </w:tabs>
              <w:ind w:right="176"/>
              <w:jc w:val="both"/>
              <w:rPr>
                <w:rFonts w:ascii="Tahoma" w:hAnsi="Tahoma" w:cs="Tahoma"/>
                <w:color w:val="000000"/>
                <w:sz w:val="20"/>
                <w:szCs w:val="20"/>
              </w:rPr>
            </w:pPr>
            <w:r w:rsidRPr="008D26EE">
              <w:rPr>
                <w:rFonts w:ascii="Tahoma" w:hAnsi="Tahoma" w:cs="Tahoma"/>
                <w:color w:val="000000"/>
                <w:sz w:val="20"/>
                <w:szCs w:val="20"/>
              </w:rPr>
              <w:t>Покрываемые риски</w:t>
            </w:r>
            <w:r>
              <w:rPr>
                <w:rFonts w:ascii="Tahoma" w:hAnsi="Tahoma" w:cs="Tahoma"/>
                <w:color w:val="000000"/>
                <w:sz w:val="20"/>
                <w:szCs w:val="20"/>
              </w:rPr>
              <w:t>, которые должны быть указаны в договоре страхования</w:t>
            </w:r>
            <w:r w:rsidRPr="008D26EE">
              <w:rPr>
                <w:rFonts w:ascii="Tahoma" w:hAnsi="Tahoma" w:cs="Tahoma"/>
                <w:color w:val="000000"/>
                <w:sz w:val="20"/>
                <w:szCs w:val="20"/>
              </w:rPr>
              <w:t xml:space="preserve">: </w:t>
            </w:r>
          </w:p>
          <w:p w14:paraId="21612EB3" w14:textId="77777777" w:rsidR="009D1253" w:rsidRPr="008D26EE" w:rsidRDefault="009D1253" w:rsidP="009D1253">
            <w:pPr>
              <w:tabs>
                <w:tab w:val="left" w:pos="6979"/>
              </w:tabs>
              <w:ind w:right="176"/>
              <w:jc w:val="both"/>
              <w:rPr>
                <w:rFonts w:ascii="Tahoma" w:hAnsi="Tahoma" w:cs="Tahoma"/>
                <w:sz w:val="20"/>
                <w:szCs w:val="20"/>
              </w:rPr>
            </w:pPr>
            <w:r w:rsidRPr="008D26EE">
              <w:rPr>
                <w:rFonts w:ascii="Tahoma" w:hAnsi="Tahoma" w:cs="Tahoma"/>
                <w:color w:val="000000"/>
                <w:sz w:val="20"/>
                <w:szCs w:val="20"/>
              </w:rPr>
              <w:t>Травмы в результате несчастного случая</w:t>
            </w:r>
            <w:r>
              <w:rPr>
                <w:rFonts w:ascii="Tahoma" w:hAnsi="Tahoma" w:cs="Tahoma"/>
                <w:color w:val="000000"/>
                <w:sz w:val="20"/>
                <w:szCs w:val="20"/>
              </w:rPr>
              <w:t xml:space="preserve"> </w:t>
            </w:r>
            <w:r w:rsidRPr="006D50B6">
              <w:rPr>
                <w:rFonts w:ascii="Tahoma" w:hAnsi="Tahoma" w:cs="Tahoma"/>
                <w:color w:val="000000"/>
                <w:sz w:val="20"/>
                <w:szCs w:val="20"/>
              </w:rPr>
              <w:t>(по тексту - НС), хирургическая операция в результате НС</w:t>
            </w:r>
            <w:r w:rsidRPr="008D26EE">
              <w:rPr>
                <w:rFonts w:ascii="Tahoma" w:hAnsi="Tahoma" w:cs="Tahoma"/>
                <w:color w:val="000000"/>
                <w:sz w:val="20"/>
                <w:szCs w:val="20"/>
              </w:rPr>
              <w:t xml:space="preserve">, </w:t>
            </w:r>
            <w:r w:rsidRPr="008D26EE">
              <w:rPr>
                <w:rFonts w:ascii="Tahoma" w:hAnsi="Tahoma" w:cs="Tahoma"/>
                <w:sz w:val="20"/>
                <w:szCs w:val="20"/>
              </w:rPr>
              <w:t>смерть по любой причине (ЛП), установление инвалидности 1-й и 2 группы, в том числе в результате болезни.</w:t>
            </w:r>
            <w:r w:rsidRPr="006D50B6">
              <w:rPr>
                <w:rFonts w:ascii="Tahoma" w:eastAsiaTheme="minorHAnsi" w:hAnsi="Tahoma" w:cs="Tahoma"/>
                <w:sz w:val="18"/>
                <w:szCs w:val="18"/>
                <w:lang w:eastAsia="en-US"/>
              </w:rPr>
              <w:t xml:space="preserve"> </w:t>
            </w:r>
            <w:r w:rsidRPr="003C2E4F">
              <w:rPr>
                <w:rFonts w:ascii="Tahoma" w:hAnsi="Tahoma" w:cs="Tahoma"/>
                <w:sz w:val="20"/>
                <w:szCs w:val="20"/>
              </w:rPr>
              <w:t xml:space="preserve">При этом, </w:t>
            </w:r>
            <w:r w:rsidRPr="003C2E4F">
              <w:rPr>
                <w:rFonts w:ascii="Tahoma" w:hAnsi="Tahoma" w:cs="Tahoma"/>
                <w:sz w:val="20"/>
                <w:szCs w:val="20"/>
              </w:rPr>
              <w:lastRenderedPageBreak/>
              <w:t xml:space="preserve">не </w:t>
            </w:r>
            <w:r>
              <w:rPr>
                <w:rFonts w:ascii="Tahoma" w:eastAsia="Calibri" w:hAnsi="Tahoma" w:cs="Tahoma"/>
                <w:sz w:val="20"/>
                <w:szCs w:val="20"/>
              </w:rPr>
              <w:t>должны быть</w:t>
            </w:r>
            <w:r w:rsidRPr="001B0A8E">
              <w:rPr>
                <w:rFonts w:ascii="Tahoma" w:eastAsia="Calibri" w:hAnsi="Tahoma" w:cs="Tahoma"/>
                <w:sz w:val="20"/>
                <w:szCs w:val="20"/>
              </w:rPr>
              <w:t> </w:t>
            </w:r>
            <w:r w:rsidRPr="003E0523" w:rsidDel="000A53E9">
              <w:rPr>
                <w:rFonts w:ascii="Tahoma" w:hAnsi="Tahoma" w:cs="Tahoma"/>
                <w:sz w:val="20"/>
                <w:szCs w:val="20"/>
              </w:rPr>
              <w:t xml:space="preserve"> </w:t>
            </w:r>
            <w:r w:rsidRPr="003C2E4F">
              <w:rPr>
                <w:rFonts w:ascii="Tahoma" w:hAnsi="Tahoma" w:cs="Tahoma"/>
                <w:sz w:val="20"/>
                <w:szCs w:val="20"/>
              </w:rPr>
              <w:t>исключением из застрахованных рисков события, произошедшие в результате болезни Заемщика, прямо/ косвенно связанной с ВИЧ инфекцией/СПИД</w:t>
            </w:r>
            <w:r w:rsidRPr="006D50B6">
              <w:rPr>
                <w:rFonts w:ascii="Tahoma" w:hAnsi="Tahoma" w:cs="Tahoma"/>
                <w:sz w:val="20"/>
                <w:szCs w:val="20"/>
              </w:rPr>
              <w:t>.</w:t>
            </w:r>
          </w:p>
          <w:p w14:paraId="28495814" w14:textId="77777777" w:rsidR="009D1253" w:rsidRDefault="009D1253" w:rsidP="009D1253">
            <w:pPr>
              <w:jc w:val="both"/>
              <w:rPr>
                <w:rFonts w:ascii="Tahoma" w:hAnsi="Tahoma" w:cs="Tahoma"/>
                <w:color w:val="000000"/>
                <w:sz w:val="20"/>
                <w:szCs w:val="20"/>
              </w:rPr>
            </w:pPr>
            <w:r w:rsidRPr="008D26EE">
              <w:rPr>
                <w:rFonts w:ascii="Tahoma" w:hAnsi="Tahoma" w:cs="Tahoma"/>
                <w:color w:val="000000"/>
                <w:sz w:val="20"/>
                <w:szCs w:val="20"/>
              </w:rPr>
              <w:t>По желанию Заёмщика страховая премия по договору страхования может быть оплачена за счет Кредита при выполнении указанных в настоящем пункте условий к договору (полису) страхования.</w:t>
            </w:r>
          </w:p>
          <w:p w14:paraId="20C4C2F2" w14:textId="77777777" w:rsidR="009D1253" w:rsidRDefault="009D1253" w:rsidP="009D1253">
            <w:pPr>
              <w:jc w:val="both"/>
              <w:rPr>
                <w:rFonts w:ascii="Tahoma" w:hAnsi="Tahoma" w:cs="Tahoma"/>
                <w:color w:val="000000"/>
                <w:sz w:val="20"/>
                <w:szCs w:val="20"/>
              </w:rPr>
            </w:pPr>
          </w:p>
          <w:p w14:paraId="377782ED" w14:textId="77777777" w:rsidR="009D1253" w:rsidRPr="008D26EE" w:rsidRDefault="009D1253" w:rsidP="009D1253">
            <w:pPr>
              <w:jc w:val="both"/>
              <w:rPr>
                <w:rFonts w:ascii="Tahoma" w:hAnsi="Tahoma" w:cs="Tahoma"/>
                <w:sz w:val="20"/>
                <w:szCs w:val="20"/>
                <w:highlight w:val="yellow"/>
              </w:rPr>
            </w:pPr>
            <w:r w:rsidRPr="00D763AC">
              <w:rPr>
                <w:rFonts w:ascii="Tahoma" w:hAnsi="Tahoma" w:cs="Tahoma"/>
                <w:color w:val="000000"/>
                <w:sz w:val="20"/>
                <w:szCs w:val="20"/>
              </w:rPr>
              <w:t xml:space="preserve">* для ЛСИ применяется размер процентной ставки за пользование кредитом, соответствующий выбору условий кредитования с процентной ставкой, предусматривающей заключение Личного страхования (без заключения ЛСИ соответствующего договора), при условии </w:t>
            </w:r>
            <w:r>
              <w:rPr>
                <w:rFonts w:ascii="Tahoma" w:hAnsi="Tahoma" w:cs="Tahoma"/>
                <w:color w:val="000000"/>
                <w:sz w:val="20"/>
                <w:szCs w:val="20"/>
              </w:rPr>
              <w:t>предоставления документа, подтверждающего статус ЛСИ.</w:t>
            </w:r>
          </w:p>
        </w:tc>
      </w:tr>
      <w:tr w:rsidR="009D1253" w:rsidRPr="008D26EE" w14:paraId="55BA66B3"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699"/>
        </w:trPr>
        <w:tc>
          <w:tcPr>
            <w:tcW w:w="1475" w:type="pct"/>
            <w:tcBorders>
              <w:top w:val="single" w:sz="4" w:space="0" w:color="auto"/>
              <w:left w:val="single" w:sz="4" w:space="0" w:color="auto"/>
              <w:bottom w:val="single" w:sz="4" w:space="0" w:color="auto"/>
              <w:right w:val="single" w:sz="4" w:space="0" w:color="auto"/>
            </w:tcBorders>
            <w:vAlign w:val="center"/>
          </w:tcPr>
          <w:p w14:paraId="6B4C32CD" w14:textId="77777777" w:rsidR="009D1253" w:rsidRPr="008D26EE" w:rsidRDefault="009D1253" w:rsidP="009D1253">
            <w:pPr>
              <w:rPr>
                <w:rFonts w:ascii="Tahoma" w:hAnsi="Tahoma" w:cs="Tahoma"/>
                <w:sz w:val="20"/>
                <w:szCs w:val="20"/>
              </w:rPr>
            </w:pPr>
            <w:r w:rsidRPr="008D26EE">
              <w:rPr>
                <w:rFonts w:ascii="Tahoma" w:hAnsi="Tahoma" w:cs="Tahoma"/>
                <w:b/>
                <w:sz w:val="20"/>
                <w:szCs w:val="20"/>
              </w:rPr>
              <w:lastRenderedPageBreak/>
              <w:t>Требования к Заёмщику, которые установлены Кредитором и выполнение которых является обязательным для предоставления Кредита</w:t>
            </w:r>
          </w:p>
        </w:tc>
        <w:tc>
          <w:tcPr>
            <w:tcW w:w="3525" w:type="pct"/>
            <w:tcBorders>
              <w:top w:val="single" w:sz="4" w:space="0" w:color="auto"/>
              <w:left w:val="nil"/>
              <w:bottom w:val="single" w:sz="4" w:space="0" w:color="auto"/>
              <w:right w:val="single" w:sz="8" w:space="0" w:color="000000"/>
            </w:tcBorders>
            <w:noWrap/>
            <w:vAlign w:val="center"/>
          </w:tcPr>
          <w:p w14:paraId="6545E213" w14:textId="77777777" w:rsidR="009D1253" w:rsidRPr="008D26EE" w:rsidRDefault="009D1253" w:rsidP="009D1253">
            <w:pPr>
              <w:widowControl w:val="0"/>
              <w:tabs>
                <w:tab w:val="left" w:pos="851"/>
              </w:tabs>
              <w:adjustRightInd w:val="0"/>
              <w:jc w:val="both"/>
              <w:rPr>
                <w:rFonts w:ascii="Tahoma" w:hAnsi="Tahoma" w:cs="Tahoma"/>
                <w:sz w:val="20"/>
                <w:szCs w:val="20"/>
              </w:rPr>
            </w:pPr>
            <w:r w:rsidRPr="008D26EE">
              <w:rPr>
                <w:rFonts w:ascii="Tahoma" w:hAnsi="Tahoma" w:cs="Tahoma"/>
                <w:sz w:val="20"/>
                <w:szCs w:val="20"/>
              </w:rPr>
              <w:t>- гражданство Российской Федерации;</w:t>
            </w:r>
          </w:p>
          <w:p w14:paraId="44FED9A1" w14:textId="77777777" w:rsidR="009D1253" w:rsidRPr="008D26EE" w:rsidRDefault="009D1253" w:rsidP="009D1253">
            <w:pPr>
              <w:widowControl w:val="0"/>
              <w:tabs>
                <w:tab w:val="left" w:pos="851"/>
              </w:tabs>
              <w:adjustRightInd w:val="0"/>
              <w:jc w:val="both"/>
              <w:rPr>
                <w:rFonts w:ascii="Tahoma" w:hAnsi="Tahoma" w:cs="Tahoma"/>
                <w:sz w:val="20"/>
                <w:szCs w:val="20"/>
              </w:rPr>
            </w:pPr>
            <w:r w:rsidRPr="008D26EE">
              <w:rPr>
                <w:rFonts w:ascii="Tahoma" w:hAnsi="Tahoma" w:cs="Tahoma"/>
                <w:sz w:val="20"/>
                <w:szCs w:val="20"/>
              </w:rPr>
              <w:t>- адрес постоянной регистрации и фактическое место жительства Заёмщика – все регионы РФ;</w:t>
            </w:r>
          </w:p>
          <w:p w14:paraId="7FEFD073" w14:textId="77777777" w:rsidR="009D1253" w:rsidRPr="008D26EE" w:rsidRDefault="009D1253" w:rsidP="009D1253">
            <w:pPr>
              <w:widowControl w:val="0"/>
              <w:tabs>
                <w:tab w:val="left" w:pos="851"/>
              </w:tabs>
              <w:adjustRightInd w:val="0"/>
              <w:jc w:val="both"/>
              <w:rPr>
                <w:rFonts w:ascii="Tahoma" w:hAnsi="Tahoma" w:cs="Tahoma"/>
                <w:sz w:val="20"/>
                <w:szCs w:val="20"/>
              </w:rPr>
            </w:pPr>
            <w:r w:rsidRPr="008D26EE">
              <w:rPr>
                <w:rFonts w:ascii="Tahoma" w:hAnsi="Tahoma" w:cs="Tahoma"/>
                <w:sz w:val="20"/>
                <w:szCs w:val="20"/>
              </w:rPr>
              <w:t>- возраст Заёмщика не менее 21 года (на момент оформления Кредита) и не более 70 лет (на момент окончания действия срока возврата Кредита) включительно;</w:t>
            </w:r>
          </w:p>
          <w:p w14:paraId="2E1CB940" w14:textId="77777777" w:rsidR="009D1253" w:rsidRPr="008D26EE" w:rsidRDefault="009D1253" w:rsidP="009D1253">
            <w:pPr>
              <w:widowControl w:val="0"/>
              <w:tabs>
                <w:tab w:val="left" w:pos="851"/>
              </w:tabs>
              <w:adjustRightInd w:val="0"/>
              <w:jc w:val="both"/>
              <w:rPr>
                <w:rFonts w:ascii="Tahoma" w:hAnsi="Tahoma" w:cs="Tahoma"/>
                <w:sz w:val="20"/>
                <w:szCs w:val="20"/>
              </w:rPr>
            </w:pPr>
            <w:r w:rsidRPr="008D26EE">
              <w:rPr>
                <w:rFonts w:ascii="Tahoma" w:hAnsi="Tahoma" w:cs="Tahoma"/>
                <w:sz w:val="20"/>
                <w:szCs w:val="20"/>
              </w:rPr>
              <w:t>- Заёмщик имеет официальное место работы (либо является ИП) и постоянный источник дохода;</w:t>
            </w:r>
          </w:p>
          <w:p w14:paraId="1EFB8E44" w14:textId="77777777" w:rsidR="009D1253" w:rsidRPr="008D26EE" w:rsidRDefault="009D1253" w:rsidP="009D1253">
            <w:pPr>
              <w:widowControl w:val="0"/>
              <w:tabs>
                <w:tab w:val="left" w:pos="851"/>
              </w:tabs>
              <w:adjustRightInd w:val="0"/>
              <w:jc w:val="both"/>
              <w:rPr>
                <w:rFonts w:ascii="Tahoma" w:hAnsi="Tahoma" w:cs="Tahoma"/>
                <w:sz w:val="20"/>
                <w:szCs w:val="20"/>
              </w:rPr>
            </w:pPr>
            <w:r w:rsidRPr="008D26EE">
              <w:rPr>
                <w:rFonts w:ascii="Tahoma" w:hAnsi="Tahoma" w:cs="Tahoma"/>
                <w:sz w:val="20"/>
                <w:szCs w:val="20"/>
              </w:rPr>
              <w:t>- Заёмщик не имеет официального места работы, при условии достижения пенсионного возраста, и получающий социальную пенсию;</w:t>
            </w:r>
          </w:p>
          <w:p w14:paraId="338D7B27" w14:textId="77777777" w:rsidR="009D1253" w:rsidRPr="008D26EE" w:rsidRDefault="009D1253" w:rsidP="009D1253">
            <w:pPr>
              <w:widowControl w:val="0"/>
              <w:tabs>
                <w:tab w:val="left" w:pos="851"/>
              </w:tabs>
              <w:adjustRightInd w:val="0"/>
              <w:jc w:val="both"/>
              <w:rPr>
                <w:rFonts w:ascii="Tahoma" w:hAnsi="Tahoma" w:cs="Tahoma"/>
                <w:sz w:val="20"/>
                <w:szCs w:val="20"/>
              </w:rPr>
            </w:pPr>
            <w:r w:rsidRPr="008D26EE">
              <w:rPr>
                <w:rFonts w:ascii="Tahoma" w:hAnsi="Tahoma" w:cs="Tahoma"/>
                <w:sz w:val="20"/>
                <w:szCs w:val="20"/>
              </w:rPr>
              <w:t xml:space="preserve">- стаж на последнем месте работы не менее 3 месяцев. </w:t>
            </w:r>
            <w:r w:rsidRPr="008D26EE">
              <w:rPr>
                <w:rFonts w:ascii="Tahoma" w:hAnsi="Tahoma" w:cs="Tahoma"/>
              </w:rPr>
              <w:fldChar w:fldCharType="begin"/>
            </w:r>
            <w:r w:rsidRPr="008D26EE">
              <w:rPr>
                <w:rFonts w:ascii="Tahoma" w:hAnsi="Tahoma" w:cs="Tahoma"/>
              </w:rPr>
              <w:instrText xml:space="preserve"> DOCVARIABLE  КЛИЕНТ </w:instrText>
            </w:r>
            <w:r w:rsidRPr="008D26EE">
              <w:rPr>
                <w:rFonts w:ascii="Tahoma" w:hAnsi="Tahoma" w:cs="Tahoma"/>
              </w:rPr>
              <w:fldChar w:fldCharType="end"/>
            </w:r>
          </w:p>
        </w:tc>
      </w:tr>
      <w:tr w:rsidR="009D1253" w:rsidRPr="008D26EE" w14:paraId="3F53CA87"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2393"/>
        </w:trPr>
        <w:tc>
          <w:tcPr>
            <w:tcW w:w="1475" w:type="pct"/>
            <w:tcBorders>
              <w:top w:val="single" w:sz="4" w:space="0" w:color="auto"/>
              <w:left w:val="single" w:sz="8" w:space="0" w:color="auto"/>
              <w:bottom w:val="single" w:sz="4" w:space="0" w:color="auto"/>
              <w:right w:val="single" w:sz="4" w:space="0" w:color="auto"/>
            </w:tcBorders>
            <w:vAlign w:val="center"/>
          </w:tcPr>
          <w:p w14:paraId="6B02D191" w14:textId="77777777" w:rsidR="009D1253" w:rsidRPr="008D26EE" w:rsidRDefault="009D1253" w:rsidP="009D1253">
            <w:pPr>
              <w:rPr>
                <w:rFonts w:ascii="Tahoma" w:hAnsi="Tahoma" w:cs="Tahoma"/>
                <w:b/>
                <w:sz w:val="20"/>
                <w:szCs w:val="20"/>
              </w:rPr>
            </w:pPr>
            <w:r w:rsidRPr="008D26EE">
              <w:rPr>
                <w:rFonts w:ascii="Tahoma" w:hAnsi="Tahoma" w:cs="Tahoma"/>
                <w:b/>
                <w:sz w:val="20"/>
                <w:szCs w:val="20"/>
              </w:rPr>
              <w:t>Перечень документов, необходимых для рассмотрения заявления о предоставлении Кредита, в том числе для оценки кредитоспособности Заёмщика (в случае необходимости могут быть запрошены дополнительные документы)</w:t>
            </w:r>
          </w:p>
        </w:tc>
        <w:tc>
          <w:tcPr>
            <w:tcW w:w="3525" w:type="pct"/>
            <w:tcBorders>
              <w:top w:val="single" w:sz="4" w:space="0" w:color="auto"/>
              <w:left w:val="nil"/>
              <w:bottom w:val="single" w:sz="4" w:space="0" w:color="auto"/>
              <w:right w:val="single" w:sz="8" w:space="0" w:color="000000"/>
            </w:tcBorders>
            <w:shd w:val="clear" w:color="auto" w:fill="auto"/>
            <w:noWrap/>
            <w:vAlign w:val="center"/>
          </w:tcPr>
          <w:p w14:paraId="662EA122" w14:textId="77777777" w:rsidR="009D1253" w:rsidRPr="008D26EE" w:rsidRDefault="009D1253" w:rsidP="009D1253">
            <w:pPr>
              <w:pStyle w:val="a9"/>
              <w:tabs>
                <w:tab w:val="left" w:pos="0"/>
                <w:tab w:val="left" w:pos="176"/>
                <w:tab w:val="left" w:pos="835"/>
              </w:tabs>
              <w:spacing w:before="0" w:after="0"/>
              <w:ind w:left="-16"/>
              <w:rPr>
                <w:rFonts w:ascii="Tahoma" w:hAnsi="Tahoma" w:cs="Tahoma"/>
                <w:b/>
                <w:sz w:val="18"/>
                <w:szCs w:val="18"/>
                <w:lang w:eastAsia="en-US"/>
              </w:rPr>
            </w:pPr>
            <w:r w:rsidRPr="008D26EE">
              <w:rPr>
                <w:rFonts w:ascii="Tahoma" w:hAnsi="Tahoma" w:cs="Tahoma"/>
                <w:b/>
                <w:sz w:val="18"/>
                <w:szCs w:val="18"/>
                <w:lang w:eastAsia="en-US"/>
              </w:rPr>
              <w:t>1. Пакет документов для Заёмщика</w:t>
            </w:r>
          </w:p>
          <w:p w14:paraId="25E88020" w14:textId="77777777" w:rsidR="009D1253" w:rsidRPr="00ED6334" w:rsidRDefault="009D1253" w:rsidP="009D1253">
            <w:pPr>
              <w:pStyle w:val="a9"/>
              <w:tabs>
                <w:tab w:val="left" w:pos="0"/>
                <w:tab w:val="left" w:pos="176"/>
              </w:tabs>
              <w:spacing w:before="0" w:after="0"/>
              <w:ind w:left="643" w:hanging="375"/>
              <w:rPr>
                <w:rFonts w:ascii="Tahoma" w:hAnsi="Tahoma" w:cs="Tahoma"/>
                <w:szCs w:val="18"/>
                <w:lang w:eastAsia="en-US"/>
              </w:rPr>
            </w:pPr>
            <w:r w:rsidRPr="008D26EE">
              <w:rPr>
                <w:rFonts w:ascii="Tahoma" w:hAnsi="Tahoma" w:cs="Tahoma"/>
                <w:sz w:val="18"/>
                <w:szCs w:val="18"/>
                <w:lang w:eastAsia="en-US"/>
              </w:rPr>
              <w:t xml:space="preserve">1) </w:t>
            </w:r>
            <w:r w:rsidRPr="00ED6334">
              <w:rPr>
                <w:rFonts w:ascii="Tahoma" w:hAnsi="Tahoma" w:cs="Tahoma"/>
                <w:szCs w:val="18"/>
                <w:lang w:eastAsia="en-US"/>
              </w:rPr>
              <w:t>Паспорт гражданина РФ</w:t>
            </w:r>
          </w:p>
          <w:p w14:paraId="63881F3E" w14:textId="77777777" w:rsidR="009D1253" w:rsidRPr="00ED6334" w:rsidRDefault="009D1253" w:rsidP="009D1253">
            <w:pPr>
              <w:pStyle w:val="a9"/>
              <w:tabs>
                <w:tab w:val="left" w:pos="0"/>
                <w:tab w:val="left" w:pos="176"/>
              </w:tabs>
              <w:spacing w:before="0" w:after="0"/>
              <w:ind w:left="643" w:hanging="375"/>
              <w:rPr>
                <w:rFonts w:ascii="Tahoma" w:hAnsi="Tahoma" w:cs="Tahoma"/>
                <w:szCs w:val="18"/>
                <w:lang w:eastAsia="en-US"/>
              </w:rPr>
            </w:pPr>
            <w:r w:rsidRPr="00ED6334">
              <w:rPr>
                <w:rFonts w:ascii="Tahoma" w:hAnsi="Tahoma" w:cs="Tahoma"/>
                <w:szCs w:val="18"/>
                <w:lang w:eastAsia="en-US"/>
              </w:rPr>
              <w:t>2) Второй документ, предоставляется из следующих документов по выбору Заёмщика:</w:t>
            </w:r>
            <w:r w:rsidRPr="00ED6334" w:rsidDel="00721FE6">
              <w:rPr>
                <w:rFonts w:ascii="Tahoma" w:hAnsi="Tahoma" w:cs="Tahoma"/>
                <w:szCs w:val="18"/>
                <w:lang w:eastAsia="en-US"/>
              </w:rPr>
              <w:t xml:space="preserve"> </w:t>
            </w:r>
          </w:p>
          <w:p w14:paraId="782382A2" w14:textId="77777777" w:rsidR="009D1253" w:rsidRPr="00ED6334" w:rsidRDefault="009D1253" w:rsidP="009D1253">
            <w:pPr>
              <w:pStyle w:val="a9"/>
              <w:tabs>
                <w:tab w:val="left" w:pos="0"/>
                <w:tab w:val="left" w:pos="176"/>
              </w:tabs>
              <w:spacing w:before="0" w:after="0"/>
              <w:ind w:left="643" w:hanging="92"/>
              <w:rPr>
                <w:rFonts w:ascii="Tahoma" w:hAnsi="Tahoma" w:cs="Tahoma"/>
                <w:szCs w:val="18"/>
                <w:lang w:eastAsia="en-US"/>
              </w:rPr>
            </w:pPr>
            <w:r w:rsidRPr="00ED6334">
              <w:rPr>
                <w:rFonts w:ascii="Tahoma" w:hAnsi="Tahoma" w:cs="Tahoma"/>
                <w:szCs w:val="18"/>
                <w:lang w:eastAsia="en-US"/>
              </w:rPr>
              <w:t>- заг</w:t>
            </w:r>
            <w:r>
              <w:rPr>
                <w:rFonts w:ascii="Tahoma" w:hAnsi="Tahoma" w:cs="Tahoma"/>
                <w:szCs w:val="18"/>
                <w:lang w:eastAsia="en-US"/>
              </w:rPr>
              <w:t>раничный паспорт гражданина РФ</w:t>
            </w:r>
          </w:p>
          <w:p w14:paraId="05577D63" w14:textId="77777777" w:rsidR="009D1253" w:rsidRPr="00ED6334" w:rsidRDefault="009D1253" w:rsidP="009D1253">
            <w:pPr>
              <w:pStyle w:val="a9"/>
              <w:tabs>
                <w:tab w:val="left" w:pos="0"/>
                <w:tab w:val="left" w:pos="176"/>
              </w:tabs>
              <w:spacing w:before="0" w:after="0"/>
              <w:ind w:left="643" w:hanging="92"/>
              <w:rPr>
                <w:rFonts w:ascii="Tahoma" w:hAnsi="Tahoma" w:cs="Tahoma"/>
                <w:szCs w:val="18"/>
                <w:lang w:eastAsia="en-US"/>
              </w:rPr>
            </w:pPr>
            <w:r>
              <w:rPr>
                <w:rFonts w:ascii="Tahoma" w:hAnsi="Tahoma" w:cs="Tahoma"/>
                <w:szCs w:val="18"/>
                <w:lang w:eastAsia="en-US"/>
              </w:rPr>
              <w:t>- водительское удостоверение</w:t>
            </w:r>
          </w:p>
          <w:p w14:paraId="0871EE40" w14:textId="77777777" w:rsidR="009D1253" w:rsidRDefault="009D1253" w:rsidP="009D1253">
            <w:pPr>
              <w:pStyle w:val="a9"/>
              <w:tabs>
                <w:tab w:val="left" w:pos="0"/>
                <w:tab w:val="left" w:pos="176"/>
              </w:tabs>
              <w:spacing w:before="0" w:after="0"/>
              <w:ind w:left="643" w:hanging="92"/>
              <w:rPr>
                <w:rFonts w:ascii="Tahoma" w:hAnsi="Tahoma" w:cs="Tahoma"/>
                <w:szCs w:val="18"/>
                <w:lang w:eastAsia="en-US"/>
              </w:rPr>
            </w:pPr>
            <w:r>
              <w:rPr>
                <w:rFonts w:ascii="Tahoma" w:hAnsi="Tahoma" w:cs="Tahoma"/>
                <w:szCs w:val="18"/>
                <w:lang w:eastAsia="en-US"/>
              </w:rPr>
              <w:t>- СНИЛС</w:t>
            </w:r>
          </w:p>
          <w:p w14:paraId="15CDB1F8" w14:textId="77777777" w:rsidR="009D1253" w:rsidRPr="00656D4E" w:rsidRDefault="009D1253" w:rsidP="009D1253">
            <w:pPr>
              <w:pStyle w:val="a9"/>
              <w:tabs>
                <w:tab w:val="left" w:pos="0"/>
                <w:tab w:val="left" w:pos="176"/>
              </w:tabs>
              <w:spacing w:before="0"/>
              <w:rPr>
                <w:rFonts w:ascii="Tahoma" w:hAnsi="Tahoma" w:cs="Tahoma"/>
                <w:szCs w:val="18"/>
                <w:lang w:eastAsia="en-US"/>
              </w:rPr>
            </w:pPr>
            <w:r>
              <w:rPr>
                <w:rFonts w:ascii="Tahoma" w:hAnsi="Tahoma" w:cs="Tahoma"/>
                <w:szCs w:val="18"/>
                <w:lang w:eastAsia="en-US"/>
              </w:rPr>
              <w:t xml:space="preserve">    3)</w:t>
            </w:r>
            <w:r w:rsidRPr="00656D4E">
              <w:rPr>
                <w:rFonts w:ascii="Tahoma" w:hAnsi="Tahoma" w:cs="Tahoma"/>
                <w:szCs w:val="18"/>
                <w:lang w:eastAsia="en-US"/>
              </w:rPr>
              <w:t xml:space="preserve"> </w:t>
            </w:r>
            <w:r>
              <w:rPr>
                <w:rFonts w:ascii="Tahoma" w:hAnsi="Tahoma" w:cs="Tahoma"/>
                <w:szCs w:val="18"/>
                <w:lang w:eastAsia="en-US"/>
              </w:rPr>
              <w:t>Д</w:t>
            </w:r>
            <w:r w:rsidRPr="00656D4E">
              <w:rPr>
                <w:rFonts w:ascii="Tahoma" w:hAnsi="Tahoma" w:cs="Tahoma"/>
                <w:szCs w:val="18"/>
                <w:lang w:eastAsia="en-US"/>
              </w:rPr>
              <w:t>окумент подтверждающи</w:t>
            </w:r>
            <w:r>
              <w:rPr>
                <w:rFonts w:ascii="Tahoma" w:hAnsi="Tahoma" w:cs="Tahoma"/>
                <w:szCs w:val="18"/>
                <w:lang w:eastAsia="en-US"/>
              </w:rPr>
              <w:t>й финансовое состояние Заёмщика</w:t>
            </w:r>
          </w:p>
          <w:p w14:paraId="0F312AB9" w14:textId="77777777" w:rsidR="009D1253" w:rsidRPr="00656D4E" w:rsidRDefault="009D1253" w:rsidP="009D1253">
            <w:pPr>
              <w:pStyle w:val="a9"/>
              <w:tabs>
                <w:tab w:val="left" w:pos="268"/>
              </w:tabs>
              <w:spacing w:before="0" w:after="0"/>
              <w:ind w:left="-16" w:right="-1"/>
              <w:rPr>
                <w:rFonts w:ascii="Tahoma" w:hAnsi="Tahoma" w:cs="Tahoma"/>
                <w:szCs w:val="18"/>
                <w:lang w:eastAsia="en-US"/>
              </w:rPr>
            </w:pPr>
            <w:r w:rsidRPr="00656D4E">
              <w:rPr>
                <w:rFonts w:ascii="Tahoma" w:hAnsi="Tahoma" w:cs="Tahoma"/>
                <w:szCs w:val="18"/>
                <w:lang w:eastAsia="en-US"/>
              </w:rPr>
              <w:t xml:space="preserve">В качестве документов, подтверждающих финансовое состояние Заёмщика, могут быть предоставлены: </w:t>
            </w:r>
          </w:p>
          <w:tbl>
            <w:tblPr>
              <w:tblStyle w:val="aff0"/>
              <w:tblW w:w="10511" w:type="dxa"/>
              <w:tblInd w:w="8" w:type="dxa"/>
              <w:tblLayout w:type="fixed"/>
              <w:tblLook w:val="04A0" w:firstRow="1" w:lastRow="0" w:firstColumn="1" w:lastColumn="0" w:noHBand="0" w:noVBand="1"/>
            </w:tblPr>
            <w:tblGrid>
              <w:gridCol w:w="2096"/>
              <w:gridCol w:w="8415"/>
            </w:tblGrid>
            <w:tr w:rsidR="009D1253" w:rsidRPr="008D26EE" w14:paraId="0053C0F0" w14:textId="77777777" w:rsidTr="009D1253">
              <w:tc>
                <w:tcPr>
                  <w:tcW w:w="2096" w:type="dxa"/>
                </w:tcPr>
                <w:p w14:paraId="6C40B473" w14:textId="77777777" w:rsidR="009D1253" w:rsidRPr="008D26EE" w:rsidRDefault="009D1253" w:rsidP="009D1253">
                  <w:pPr>
                    <w:rPr>
                      <w:rFonts w:ascii="Tahoma" w:hAnsi="Tahoma" w:cs="Tahoma"/>
                      <w:sz w:val="18"/>
                      <w:szCs w:val="18"/>
                    </w:rPr>
                  </w:pPr>
                  <w:r w:rsidRPr="008D26EE">
                    <w:rPr>
                      <w:rFonts w:ascii="Tahoma" w:hAnsi="Tahoma" w:cs="Tahoma"/>
                      <w:sz w:val="18"/>
                      <w:szCs w:val="18"/>
                    </w:rPr>
                    <w:t>Виды (источники) дохода</w:t>
                  </w:r>
                </w:p>
              </w:tc>
              <w:tc>
                <w:tcPr>
                  <w:tcW w:w="8415" w:type="dxa"/>
                </w:tcPr>
                <w:p w14:paraId="0957974B" w14:textId="77777777" w:rsidR="009D1253" w:rsidRPr="008D26EE" w:rsidRDefault="009D1253" w:rsidP="009D1253">
                  <w:pPr>
                    <w:pStyle w:val="affe"/>
                    <w:tabs>
                      <w:tab w:val="left" w:pos="176"/>
                    </w:tabs>
                    <w:ind w:left="0"/>
                    <w:jc w:val="both"/>
                    <w:rPr>
                      <w:rFonts w:ascii="Tahoma" w:hAnsi="Tahoma" w:cs="Tahoma"/>
                      <w:sz w:val="18"/>
                      <w:szCs w:val="18"/>
                    </w:rPr>
                  </w:pPr>
                  <w:r w:rsidRPr="008D26EE">
                    <w:rPr>
                      <w:rFonts w:ascii="Tahoma" w:hAnsi="Tahoma" w:cs="Tahoma"/>
                      <w:sz w:val="18"/>
                      <w:szCs w:val="18"/>
                    </w:rPr>
                    <w:t>Документы, подтверждающие финансовое состояние Заёмщика*</w:t>
                  </w:r>
                </w:p>
              </w:tc>
            </w:tr>
            <w:tr w:rsidR="009D1253" w:rsidRPr="008D26EE" w14:paraId="79FE3C80" w14:textId="77777777" w:rsidTr="009D1253">
              <w:tc>
                <w:tcPr>
                  <w:tcW w:w="2096" w:type="dxa"/>
                </w:tcPr>
                <w:p w14:paraId="281D5C81" w14:textId="77777777" w:rsidR="009D1253" w:rsidRPr="008D26EE" w:rsidRDefault="009D1253" w:rsidP="009D1253">
                  <w:pPr>
                    <w:pStyle w:val="affe"/>
                    <w:tabs>
                      <w:tab w:val="left" w:pos="176"/>
                    </w:tabs>
                    <w:ind w:left="0"/>
                    <w:jc w:val="both"/>
                    <w:rPr>
                      <w:rFonts w:ascii="Tahoma" w:hAnsi="Tahoma" w:cs="Tahoma"/>
                      <w:sz w:val="18"/>
                      <w:szCs w:val="18"/>
                    </w:rPr>
                  </w:pPr>
                  <w:r w:rsidRPr="008D26EE">
                    <w:rPr>
                      <w:rFonts w:ascii="Tahoma" w:hAnsi="Tahoma" w:cs="Tahoma"/>
                      <w:sz w:val="18"/>
                      <w:szCs w:val="18"/>
                    </w:rPr>
                    <w:t>Основное место работы</w:t>
                  </w:r>
                </w:p>
              </w:tc>
              <w:tc>
                <w:tcPr>
                  <w:tcW w:w="8415" w:type="dxa"/>
                </w:tcPr>
                <w:p w14:paraId="097285E1" w14:textId="77777777" w:rsidR="009D1253" w:rsidRDefault="009D1253" w:rsidP="009D1253">
                  <w:pPr>
                    <w:tabs>
                      <w:tab w:val="left" w:pos="6979"/>
                    </w:tabs>
                    <w:ind w:right="176"/>
                    <w:jc w:val="both"/>
                    <w:rPr>
                      <w:rFonts w:ascii="Tahoma" w:hAnsi="Tahoma" w:cs="Tahoma"/>
                      <w:sz w:val="18"/>
                      <w:szCs w:val="18"/>
                    </w:rPr>
                  </w:pPr>
                  <w:r w:rsidRPr="008D26EE">
                    <w:rPr>
                      <w:rFonts w:ascii="Tahoma" w:hAnsi="Tahoma" w:cs="Tahoma"/>
                      <w:sz w:val="18"/>
                      <w:szCs w:val="18"/>
                    </w:rPr>
                    <w:t>Один из следующих документов по выбору Заёмщика:</w:t>
                  </w:r>
                </w:p>
                <w:p w14:paraId="0986AF68" w14:textId="77777777" w:rsidR="009D1253" w:rsidRPr="003E6B53" w:rsidRDefault="009D1253" w:rsidP="009D1253">
                  <w:pPr>
                    <w:pStyle w:val="affe"/>
                    <w:numPr>
                      <w:ilvl w:val="0"/>
                      <w:numId w:val="96"/>
                    </w:numPr>
                    <w:tabs>
                      <w:tab w:val="left" w:pos="6979"/>
                    </w:tabs>
                    <w:ind w:left="226" w:right="176" w:hanging="226"/>
                    <w:jc w:val="both"/>
                    <w:rPr>
                      <w:rFonts w:ascii="Tahoma" w:hAnsi="Tahoma" w:cs="Tahoma"/>
                      <w:sz w:val="18"/>
                      <w:szCs w:val="18"/>
                    </w:rPr>
                  </w:pPr>
                  <w:r w:rsidRPr="003E6B53">
                    <w:rPr>
                      <w:rFonts w:ascii="Tahoma" w:hAnsi="Tahoma" w:cs="Tahoma"/>
                      <w:sz w:val="18"/>
                      <w:szCs w:val="18"/>
                    </w:rPr>
                    <w:t>Справка о доходах и суммах налога физического лица или Справка о доходах и удержанных суммах по образцу государственного учреждения, внутренними распорядительными документами которого установлены ограничения на предоставление своим работникам справок о доходах и суммах налога физического лица**</w:t>
                  </w:r>
                </w:p>
                <w:p w14:paraId="0F03D1C5" w14:textId="77777777" w:rsidR="009D1253" w:rsidRDefault="009D1253" w:rsidP="009D1253">
                  <w:pPr>
                    <w:pStyle w:val="affe"/>
                    <w:numPr>
                      <w:ilvl w:val="0"/>
                      <w:numId w:val="96"/>
                    </w:numPr>
                    <w:tabs>
                      <w:tab w:val="left" w:pos="6979"/>
                    </w:tabs>
                    <w:ind w:left="226" w:right="176" w:hanging="226"/>
                    <w:jc w:val="both"/>
                    <w:rPr>
                      <w:rFonts w:ascii="Tahoma" w:hAnsi="Tahoma" w:cs="Tahoma"/>
                      <w:sz w:val="18"/>
                      <w:szCs w:val="18"/>
                    </w:rPr>
                  </w:pPr>
                  <w:r w:rsidRPr="003E6B53">
                    <w:rPr>
                      <w:rFonts w:ascii="Tahoma" w:hAnsi="Tahoma" w:cs="Tahoma"/>
                      <w:sz w:val="18"/>
                      <w:szCs w:val="18"/>
                    </w:rPr>
                    <w:t>Выписка о состоянии индивидуального лицевого счета застрахованного лица в системе обязатель</w:t>
                  </w:r>
                  <w:r>
                    <w:rPr>
                      <w:rFonts w:ascii="Tahoma" w:hAnsi="Tahoma" w:cs="Tahoma"/>
                      <w:sz w:val="18"/>
                      <w:szCs w:val="18"/>
                    </w:rPr>
                    <w:t>ного пенсионного страхования***</w:t>
                  </w:r>
                </w:p>
                <w:p w14:paraId="209333C2" w14:textId="77777777" w:rsidR="009D1253" w:rsidRDefault="009D1253" w:rsidP="009D1253">
                  <w:pPr>
                    <w:pStyle w:val="affe"/>
                    <w:numPr>
                      <w:ilvl w:val="0"/>
                      <w:numId w:val="96"/>
                    </w:numPr>
                    <w:tabs>
                      <w:tab w:val="left" w:pos="6979"/>
                    </w:tabs>
                    <w:ind w:left="226" w:right="176" w:hanging="226"/>
                    <w:jc w:val="both"/>
                    <w:rPr>
                      <w:rFonts w:ascii="Tahoma" w:hAnsi="Tahoma" w:cs="Tahoma"/>
                      <w:sz w:val="18"/>
                      <w:szCs w:val="18"/>
                    </w:rPr>
                  </w:pPr>
                  <w:r>
                    <w:rPr>
                      <w:rFonts w:ascii="Tahoma" w:hAnsi="Tahoma" w:cs="Tahoma"/>
                      <w:sz w:val="18"/>
                      <w:szCs w:val="18"/>
                    </w:rPr>
                    <w:t>Справка по форме Банка**</w:t>
                  </w:r>
                </w:p>
                <w:p w14:paraId="4A354E00" w14:textId="77777777" w:rsidR="009D1253" w:rsidRPr="003E6B53" w:rsidRDefault="009D1253" w:rsidP="009D1253">
                  <w:pPr>
                    <w:pStyle w:val="affe"/>
                    <w:numPr>
                      <w:ilvl w:val="0"/>
                      <w:numId w:val="96"/>
                    </w:numPr>
                    <w:tabs>
                      <w:tab w:val="left" w:pos="6979"/>
                    </w:tabs>
                    <w:ind w:left="226" w:right="176" w:hanging="226"/>
                    <w:jc w:val="both"/>
                    <w:rPr>
                      <w:rFonts w:ascii="Tahoma" w:hAnsi="Tahoma" w:cs="Tahoma"/>
                      <w:sz w:val="18"/>
                      <w:szCs w:val="18"/>
                    </w:rPr>
                  </w:pPr>
                  <w:r>
                    <w:rPr>
                      <w:rFonts w:ascii="Tahoma" w:hAnsi="Tahoma" w:cs="Tahoma"/>
                      <w:sz w:val="18"/>
                      <w:szCs w:val="18"/>
                    </w:rPr>
                    <w:t>Выписка с банковского</w:t>
                  </w:r>
                  <w:r w:rsidRPr="009E4677">
                    <w:rPr>
                      <w:rFonts w:ascii="Tahoma" w:hAnsi="Tahoma" w:cs="Tahoma"/>
                      <w:sz w:val="18"/>
                      <w:szCs w:val="18"/>
                    </w:rPr>
                    <w:t xml:space="preserve"> счета, на который осуществляются </w:t>
                  </w:r>
                  <w:r>
                    <w:rPr>
                      <w:rFonts w:ascii="Tahoma" w:hAnsi="Tahoma" w:cs="Tahoma"/>
                      <w:sz w:val="18"/>
                      <w:szCs w:val="18"/>
                    </w:rPr>
                    <w:t>зачисления заработной платы Заемщика</w:t>
                  </w:r>
                  <w:r w:rsidRPr="009E4677">
                    <w:rPr>
                      <w:rFonts w:ascii="Tahoma" w:hAnsi="Tahoma" w:cs="Tahoma"/>
                      <w:sz w:val="18"/>
                      <w:szCs w:val="18"/>
                    </w:rPr>
                    <w:t>, выданная кредитн</w:t>
                  </w:r>
                  <w:r>
                    <w:rPr>
                      <w:rFonts w:ascii="Tahoma" w:hAnsi="Tahoma" w:cs="Tahoma"/>
                      <w:sz w:val="18"/>
                      <w:szCs w:val="18"/>
                    </w:rPr>
                    <w:t xml:space="preserve">ой </w:t>
                  </w:r>
                  <w:r w:rsidRPr="009E4677">
                    <w:rPr>
                      <w:rFonts w:ascii="Tahoma" w:hAnsi="Tahoma" w:cs="Tahoma"/>
                      <w:sz w:val="18"/>
                      <w:szCs w:val="18"/>
                    </w:rPr>
                    <w:t>организаци</w:t>
                  </w:r>
                  <w:r>
                    <w:rPr>
                      <w:rFonts w:ascii="Tahoma" w:hAnsi="Tahoma" w:cs="Tahoma"/>
                      <w:sz w:val="18"/>
                      <w:szCs w:val="18"/>
                    </w:rPr>
                    <w:t>ей и заверенная печатью и подписью уполномоченного лица</w:t>
                  </w:r>
                  <w:r w:rsidRPr="009E4677">
                    <w:rPr>
                      <w:rFonts w:ascii="Tahoma" w:hAnsi="Tahoma" w:cs="Tahoma"/>
                      <w:sz w:val="18"/>
                      <w:szCs w:val="18"/>
                    </w:rPr>
                    <w:t xml:space="preserve">, в т.ч. </w:t>
                  </w:r>
                  <w:r w:rsidRPr="00040CA2">
                    <w:rPr>
                      <w:rFonts w:ascii="Tahoma" w:hAnsi="Tahoma" w:cs="Tahoma"/>
                      <w:sz w:val="18"/>
                      <w:szCs w:val="18"/>
                      <w:lang w:eastAsia="en-US"/>
                    </w:rPr>
                    <w:t>выписка с каналов дистанционного обслуживания кредитной организации</w:t>
                  </w:r>
                </w:p>
              </w:tc>
            </w:tr>
            <w:tr w:rsidR="009D1253" w:rsidRPr="008D26EE" w14:paraId="62C65E41" w14:textId="77777777" w:rsidTr="009D1253">
              <w:tc>
                <w:tcPr>
                  <w:tcW w:w="2096" w:type="dxa"/>
                </w:tcPr>
                <w:p w14:paraId="2963E6EC" w14:textId="77777777" w:rsidR="009D1253" w:rsidRPr="008D26EE" w:rsidRDefault="009D1253" w:rsidP="009D1253">
                  <w:pPr>
                    <w:pStyle w:val="affe"/>
                    <w:tabs>
                      <w:tab w:val="left" w:pos="176"/>
                    </w:tabs>
                    <w:ind w:left="0"/>
                    <w:jc w:val="both"/>
                    <w:rPr>
                      <w:rFonts w:ascii="Tahoma" w:hAnsi="Tahoma" w:cs="Tahoma"/>
                      <w:sz w:val="18"/>
                      <w:szCs w:val="18"/>
                    </w:rPr>
                  </w:pPr>
                  <w:r w:rsidRPr="008D26EE">
                    <w:rPr>
                      <w:rFonts w:ascii="Tahoma" w:hAnsi="Tahoma" w:cs="Tahoma"/>
                      <w:sz w:val="18"/>
                      <w:szCs w:val="18"/>
                    </w:rPr>
                    <w:t>Пенсия</w:t>
                  </w:r>
                </w:p>
              </w:tc>
              <w:tc>
                <w:tcPr>
                  <w:tcW w:w="8415" w:type="dxa"/>
                </w:tcPr>
                <w:p w14:paraId="789EBF47" w14:textId="77777777" w:rsidR="009D1253" w:rsidRDefault="009D1253" w:rsidP="009D1253">
                  <w:pPr>
                    <w:tabs>
                      <w:tab w:val="left" w:pos="6979"/>
                    </w:tabs>
                    <w:ind w:right="176"/>
                    <w:jc w:val="both"/>
                    <w:rPr>
                      <w:rFonts w:ascii="Tahoma" w:hAnsi="Tahoma" w:cs="Tahoma"/>
                      <w:sz w:val="18"/>
                      <w:szCs w:val="18"/>
                    </w:rPr>
                  </w:pPr>
                  <w:r w:rsidRPr="008D26EE">
                    <w:rPr>
                      <w:rFonts w:ascii="Tahoma" w:hAnsi="Tahoma" w:cs="Tahoma"/>
                      <w:sz w:val="18"/>
                      <w:szCs w:val="18"/>
                    </w:rPr>
                    <w:t>Один из следующих документов по выбору Заемщика****:</w:t>
                  </w:r>
                </w:p>
                <w:p w14:paraId="7D1CF4EF" w14:textId="77777777" w:rsidR="009D1253" w:rsidRDefault="009D1253" w:rsidP="009D1253">
                  <w:pPr>
                    <w:pStyle w:val="affe"/>
                    <w:numPr>
                      <w:ilvl w:val="0"/>
                      <w:numId w:val="97"/>
                    </w:numPr>
                    <w:tabs>
                      <w:tab w:val="left" w:pos="6979"/>
                    </w:tabs>
                    <w:ind w:left="226" w:right="176" w:hanging="226"/>
                    <w:jc w:val="both"/>
                    <w:rPr>
                      <w:rFonts w:ascii="Tahoma" w:hAnsi="Tahoma" w:cs="Tahoma"/>
                      <w:sz w:val="18"/>
                      <w:szCs w:val="18"/>
                    </w:rPr>
                  </w:pPr>
                  <w:r w:rsidRPr="003E6B53">
                    <w:rPr>
                      <w:rFonts w:ascii="Tahoma" w:hAnsi="Tahoma" w:cs="Tahoma"/>
                      <w:sz w:val="18"/>
                      <w:szCs w:val="18"/>
                    </w:rPr>
                    <w:t>Выписка со счета, выданная кредитными организациями, на который ос</w:t>
                  </w:r>
                  <w:r>
                    <w:rPr>
                      <w:rFonts w:ascii="Tahoma" w:hAnsi="Tahoma" w:cs="Tahoma"/>
                      <w:sz w:val="18"/>
                      <w:szCs w:val="18"/>
                    </w:rPr>
                    <w:t>уществляются пенсионные выплаты</w:t>
                  </w:r>
                </w:p>
                <w:p w14:paraId="5AED75A0" w14:textId="77777777" w:rsidR="009D1253" w:rsidRPr="003E6B53" w:rsidRDefault="009D1253" w:rsidP="009D1253">
                  <w:pPr>
                    <w:pStyle w:val="affe"/>
                    <w:numPr>
                      <w:ilvl w:val="0"/>
                      <w:numId w:val="97"/>
                    </w:numPr>
                    <w:tabs>
                      <w:tab w:val="left" w:pos="6979"/>
                    </w:tabs>
                    <w:ind w:left="226" w:right="176" w:hanging="226"/>
                    <w:jc w:val="both"/>
                    <w:rPr>
                      <w:rFonts w:ascii="Tahoma" w:hAnsi="Tahoma" w:cs="Tahoma"/>
                      <w:sz w:val="18"/>
                      <w:szCs w:val="18"/>
                    </w:rPr>
                  </w:pPr>
                  <w:r w:rsidRPr="003E6B53">
                    <w:rPr>
                      <w:rFonts w:ascii="Tahoma" w:hAnsi="Tahoma" w:cs="Tahoma"/>
                      <w:sz w:val="18"/>
                      <w:szCs w:val="18"/>
                    </w:rPr>
                    <w:t xml:space="preserve">Справка </w:t>
                  </w:r>
                  <w:r>
                    <w:rPr>
                      <w:rFonts w:ascii="Tahoma" w:hAnsi="Tahoma" w:cs="Tahoma"/>
                      <w:sz w:val="18"/>
                      <w:szCs w:val="18"/>
                    </w:rPr>
                    <w:t>Социального</w:t>
                  </w:r>
                  <w:r w:rsidRPr="003E6B53">
                    <w:rPr>
                      <w:rFonts w:ascii="Tahoma" w:hAnsi="Tahoma" w:cs="Tahoma"/>
                      <w:sz w:val="18"/>
                      <w:szCs w:val="18"/>
                    </w:rPr>
                    <w:t xml:space="preserve"> фонда Российской Федерации или другого государственного органа, выплачивающего пенсию о размере пенсии, ежемесячного пожизненного содержания судьям </w:t>
                  </w:r>
                  <w:r w:rsidRPr="003E6B53">
                    <w:rPr>
                      <w:rFonts w:ascii="Tahoma" w:hAnsi="Tahoma" w:cs="Tahoma"/>
                      <w:sz w:val="18"/>
                      <w:szCs w:val="18"/>
                    </w:rPr>
                    <w:lastRenderedPageBreak/>
                    <w:t>или ежемесячной надбавки к денежному содержанию судьям о назначении пенсии /иной документ, подтверждающий право на получение пенсии, содержащий идентификационные данные Клиента и размера дохода (например, выписка из ФПСС)</w:t>
                  </w:r>
                </w:p>
              </w:tc>
            </w:tr>
            <w:tr w:rsidR="009D1253" w:rsidRPr="008D26EE" w14:paraId="06B8B299" w14:textId="77777777" w:rsidTr="009D1253">
              <w:tc>
                <w:tcPr>
                  <w:tcW w:w="2096" w:type="dxa"/>
                </w:tcPr>
                <w:p w14:paraId="6F1AC95D" w14:textId="77777777" w:rsidR="009D1253" w:rsidRPr="008D26EE" w:rsidRDefault="009D1253" w:rsidP="009D1253">
                  <w:pPr>
                    <w:pStyle w:val="affe"/>
                    <w:tabs>
                      <w:tab w:val="left" w:pos="176"/>
                    </w:tabs>
                    <w:ind w:left="0"/>
                    <w:jc w:val="both"/>
                    <w:rPr>
                      <w:rFonts w:ascii="Tahoma" w:hAnsi="Tahoma" w:cs="Tahoma"/>
                      <w:sz w:val="18"/>
                      <w:szCs w:val="18"/>
                    </w:rPr>
                  </w:pPr>
                  <w:r w:rsidRPr="008D26EE">
                    <w:rPr>
                      <w:rFonts w:ascii="Tahoma" w:hAnsi="Tahoma" w:cs="Tahoma"/>
                      <w:sz w:val="18"/>
                      <w:szCs w:val="18"/>
                    </w:rPr>
                    <w:lastRenderedPageBreak/>
                    <w:t>Место работы по совместительству</w:t>
                  </w:r>
                </w:p>
              </w:tc>
              <w:tc>
                <w:tcPr>
                  <w:tcW w:w="8415" w:type="dxa"/>
                </w:tcPr>
                <w:p w14:paraId="71ABE83F" w14:textId="77777777" w:rsidR="009D1253" w:rsidRDefault="009D1253" w:rsidP="009D1253">
                  <w:pPr>
                    <w:tabs>
                      <w:tab w:val="left" w:pos="6979"/>
                    </w:tabs>
                    <w:ind w:right="176"/>
                    <w:jc w:val="both"/>
                    <w:rPr>
                      <w:rFonts w:ascii="Tahoma" w:hAnsi="Tahoma" w:cs="Tahoma"/>
                      <w:sz w:val="18"/>
                      <w:szCs w:val="18"/>
                    </w:rPr>
                  </w:pPr>
                  <w:r w:rsidRPr="008D26EE">
                    <w:rPr>
                      <w:rFonts w:ascii="Tahoma" w:hAnsi="Tahoma" w:cs="Tahoma"/>
                      <w:sz w:val="18"/>
                      <w:szCs w:val="18"/>
                    </w:rPr>
                    <w:t>Один из следующих документов по выбору Заёмщика:</w:t>
                  </w:r>
                </w:p>
                <w:p w14:paraId="6AF9B5A4" w14:textId="77777777" w:rsidR="009D1253" w:rsidRPr="003E6B53" w:rsidRDefault="009D1253" w:rsidP="009D1253">
                  <w:pPr>
                    <w:pStyle w:val="affe"/>
                    <w:numPr>
                      <w:ilvl w:val="0"/>
                      <w:numId w:val="98"/>
                    </w:numPr>
                    <w:tabs>
                      <w:tab w:val="left" w:pos="6979"/>
                    </w:tabs>
                    <w:ind w:left="226" w:right="176" w:hanging="226"/>
                    <w:jc w:val="both"/>
                    <w:rPr>
                      <w:rFonts w:ascii="Tahoma" w:hAnsi="Tahoma" w:cs="Tahoma"/>
                      <w:sz w:val="18"/>
                      <w:szCs w:val="18"/>
                    </w:rPr>
                  </w:pPr>
                  <w:r w:rsidRPr="003E6B53">
                    <w:rPr>
                      <w:rFonts w:ascii="Tahoma" w:hAnsi="Tahoma" w:cs="Tahoma"/>
                      <w:sz w:val="18"/>
                      <w:szCs w:val="18"/>
                    </w:rPr>
                    <w:t>Справка о доходах и суммах налога физического лица или Справка о доходах и удержанных суммах по образцу государственного учреждения, внутренними распорядительными документами которого установлены ограничения на предоставление своим работникам справок о доходах и суммах налога физического лица**</w:t>
                  </w:r>
                </w:p>
                <w:p w14:paraId="08BA3F0E" w14:textId="77777777" w:rsidR="009D1253" w:rsidRDefault="009D1253" w:rsidP="009D1253">
                  <w:pPr>
                    <w:pStyle w:val="affe"/>
                    <w:numPr>
                      <w:ilvl w:val="0"/>
                      <w:numId w:val="98"/>
                    </w:numPr>
                    <w:tabs>
                      <w:tab w:val="left" w:pos="6979"/>
                    </w:tabs>
                    <w:ind w:left="226" w:right="176" w:hanging="226"/>
                    <w:jc w:val="both"/>
                    <w:rPr>
                      <w:rFonts w:ascii="Tahoma" w:hAnsi="Tahoma" w:cs="Tahoma"/>
                      <w:sz w:val="18"/>
                      <w:szCs w:val="18"/>
                    </w:rPr>
                  </w:pPr>
                  <w:r w:rsidRPr="003E6B53">
                    <w:rPr>
                      <w:rFonts w:ascii="Tahoma" w:hAnsi="Tahoma" w:cs="Tahoma"/>
                      <w:sz w:val="18"/>
                      <w:szCs w:val="18"/>
                    </w:rPr>
                    <w:t>Выписка о состоянии индивидуального лицевого счета застрахованного лица в системе обязатель</w:t>
                  </w:r>
                  <w:r>
                    <w:rPr>
                      <w:rFonts w:ascii="Tahoma" w:hAnsi="Tahoma" w:cs="Tahoma"/>
                      <w:sz w:val="18"/>
                      <w:szCs w:val="18"/>
                    </w:rPr>
                    <w:t>ного пенсионного страхования***</w:t>
                  </w:r>
                </w:p>
                <w:p w14:paraId="6C11B3E8" w14:textId="77777777" w:rsidR="009D1253" w:rsidRDefault="009D1253" w:rsidP="009D1253">
                  <w:pPr>
                    <w:pStyle w:val="affe"/>
                    <w:numPr>
                      <w:ilvl w:val="0"/>
                      <w:numId w:val="98"/>
                    </w:numPr>
                    <w:tabs>
                      <w:tab w:val="left" w:pos="6979"/>
                    </w:tabs>
                    <w:ind w:left="226" w:right="176" w:hanging="226"/>
                    <w:jc w:val="both"/>
                    <w:rPr>
                      <w:rFonts w:ascii="Tahoma" w:hAnsi="Tahoma" w:cs="Tahoma"/>
                      <w:sz w:val="18"/>
                      <w:szCs w:val="18"/>
                    </w:rPr>
                  </w:pPr>
                  <w:r>
                    <w:rPr>
                      <w:rFonts w:ascii="Tahoma" w:hAnsi="Tahoma" w:cs="Tahoma"/>
                      <w:sz w:val="18"/>
                      <w:szCs w:val="18"/>
                    </w:rPr>
                    <w:t>Справка по форме Банка**</w:t>
                  </w:r>
                </w:p>
                <w:p w14:paraId="7E2FB17B" w14:textId="77777777" w:rsidR="009D1253" w:rsidRPr="003E6B53" w:rsidRDefault="009D1253" w:rsidP="009D1253">
                  <w:pPr>
                    <w:pStyle w:val="affe"/>
                    <w:numPr>
                      <w:ilvl w:val="0"/>
                      <w:numId w:val="98"/>
                    </w:numPr>
                    <w:tabs>
                      <w:tab w:val="left" w:pos="6979"/>
                    </w:tabs>
                    <w:ind w:left="226" w:right="176" w:hanging="226"/>
                    <w:jc w:val="both"/>
                    <w:rPr>
                      <w:rFonts w:ascii="Tahoma" w:hAnsi="Tahoma" w:cs="Tahoma"/>
                      <w:sz w:val="18"/>
                      <w:szCs w:val="18"/>
                    </w:rPr>
                  </w:pPr>
                  <w:r>
                    <w:rPr>
                      <w:rFonts w:ascii="Tahoma" w:hAnsi="Tahoma" w:cs="Tahoma"/>
                      <w:sz w:val="18"/>
                      <w:szCs w:val="18"/>
                    </w:rPr>
                    <w:t>Выписка с банковского</w:t>
                  </w:r>
                  <w:r w:rsidRPr="009E4677">
                    <w:rPr>
                      <w:rFonts w:ascii="Tahoma" w:hAnsi="Tahoma" w:cs="Tahoma"/>
                      <w:sz w:val="18"/>
                      <w:szCs w:val="18"/>
                    </w:rPr>
                    <w:t xml:space="preserve"> счета, на который осуществляются </w:t>
                  </w:r>
                  <w:r>
                    <w:rPr>
                      <w:rFonts w:ascii="Tahoma" w:hAnsi="Tahoma" w:cs="Tahoma"/>
                      <w:sz w:val="18"/>
                      <w:szCs w:val="18"/>
                    </w:rPr>
                    <w:t>зачисления заработной платы Заемщика</w:t>
                  </w:r>
                  <w:r w:rsidRPr="009E4677">
                    <w:rPr>
                      <w:rFonts w:ascii="Tahoma" w:hAnsi="Tahoma" w:cs="Tahoma"/>
                      <w:sz w:val="18"/>
                      <w:szCs w:val="18"/>
                    </w:rPr>
                    <w:t>, выданная кредитн</w:t>
                  </w:r>
                  <w:r>
                    <w:rPr>
                      <w:rFonts w:ascii="Tahoma" w:hAnsi="Tahoma" w:cs="Tahoma"/>
                      <w:sz w:val="18"/>
                      <w:szCs w:val="18"/>
                    </w:rPr>
                    <w:t xml:space="preserve">ой </w:t>
                  </w:r>
                  <w:r w:rsidRPr="009E4677">
                    <w:rPr>
                      <w:rFonts w:ascii="Tahoma" w:hAnsi="Tahoma" w:cs="Tahoma"/>
                      <w:sz w:val="18"/>
                      <w:szCs w:val="18"/>
                    </w:rPr>
                    <w:t>организаци</w:t>
                  </w:r>
                  <w:r>
                    <w:rPr>
                      <w:rFonts w:ascii="Tahoma" w:hAnsi="Tahoma" w:cs="Tahoma"/>
                      <w:sz w:val="18"/>
                      <w:szCs w:val="18"/>
                    </w:rPr>
                    <w:t>ей и заверенная печатью и подписью уполномоченного лица</w:t>
                  </w:r>
                  <w:r w:rsidRPr="009E4677">
                    <w:rPr>
                      <w:rFonts w:ascii="Tahoma" w:hAnsi="Tahoma" w:cs="Tahoma"/>
                      <w:sz w:val="18"/>
                      <w:szCs w:val="18"/>
                    </w:rPr>
                    <w:t xml:space="preserve">, в т.ч. </w:t>
                  </w:r>
                  <w:r w:rsidRPr="00040CA2">
                    <w:rPr>
                      <w:rFonts w:ascii="Tahoma" w:hAnsi="Tahoma" w:cs="Tahoma"/>
                      <w:sz w:val="18"/>
                      <w:szCs w:val="18"/>
                      <w:lang w:eastAsia="en-US"/>
                    </w:rPr>
                    <w:t>выписка с каналов дистанционного обслуживания кредитной организации</w:t>
                  </w:r>
                </w:p>
              </w:tc>
            </w:tr>
            <w:tr w:rsidR="009D1253" w:rsidRPr="008D26EE" w14:paraId="613D85DF" w14:textId="77777777" w:rsidTr="009D1253">
              <w:tc>
                <w:tcPr>
                  <w:tcW w:w="2096" w:type="dxa"/>
                </w:tcPr>
                <w:p w14:paraId="76A8553F" w14:textId="77777777" w:rsidR="009D1253" w:rsidRPr="008D26EE" w:rsidRDefault="009D1253" w:rsidP="009D1253">
                  <w:pPr>
                    <w:pStyle w:val="affe"/>
                    <w:tabs>
                      <w:tab w:val="left" w:pos="176"/>
                    </w:tabs>
                    <w:ind w:left="0"/>
                    <w:jc w:val="both"/>
                    <w:rPr>
                      <w:rFonts w:ascii="Tahoma" w:hAnsi="Tahoma" w:cs="Tahoma"/>
                      <w:sz w:val="18"/>
                      <w:szCs w:val="18"/>
                    </w:rPr>
                  </w:pPr>
                  <w:r w:rsidRPr="008D26EE">
                    <w:rPr>
                      <w:rFonts w:ascii="Tahoma" w:hAnsi="Tahoma" w:cs="Tahoma"/>
                      <w:sz w:val="18"/>
                      <w:szCs w:val="18"/>
                    </w:rPr>
                    <w:t>Предпринимательская деятельность без образования юридического лица / частная практика</w:t>
                  </w:r>
                </w:p>
              </w:tc>
              <w:tc>
                <w:tcPr>
                  <w:tcW w:w="8415" w:type="dxa"/>
                </w:tcPr>
                <w:p w14:paraId="32DB3E89" w14:textId="77777777" w:rsidR="009D1253" w:rsidRDefault="009D1253" w:rsidP="009D1253">
                  <w:pPr>
                    <w:tabs>
                      <w:tab w:val="left" w:pos="6979"/>
                    </w:tabs>
                    <w:ind w:right="176"/>
                    <w:jc w:val="both"/>
                    <w:rPr>
                      <w:rFonts w:ascii="Tahoma" w:hAnsi="Tahoma" w:cs="Tahoma"/>
                      <w:sz w:val="18"/>
                      <w:szCs w:val="18"/>
                    </w:rPr>
                  </w:pPr>
                  <w:r w:rsidRPr="008D26EE">
                    <w:rPr>
                      <w:rFonts w:ascii="Tahoma" w:hAnsi="Tahoma" w:cs="Tahoma"/>
                      <w:sz w:val="18"/>
                      <w:szCs w:val="18"/>
                    </w:rPr>
                    <w:t>Один или совоку</w:t>
                  </w:r>
                  <w:r>
                    <w:rPr>
                      <w:rFonts w:ascii="Tahoma" w:hAnsi="Tahoma" w:cs="Tahoma"/>
                      <w:sz w:val="18"/>
                      <w:szCs w:val="18"/>
                    </w:rPr>
                    <w:t>пность из следующих документов:</w:t>
                  </w:r>
                </w:p>
                <w:p w14:paraId="1FFACFEF" w14:textId="77777777" w:rsidR="009D1253" w:rsidRDefault="009D1253" w:rsidP="009D1253">
                  <w:pPr>
                    <w:pStyle w:val="affe"/>
                    <w:numPr>
                      <w:ilvl w:val="0"/>
                      <w:numId w:val="99"/>
                    </w:numPr>
                    <w:tabs>
                      <w:tab w:val="left" w:pos="6979"/>
                    </w:tabs>
                    <w:ind w:right="176"/>
                    <w:jc w:val="both"/>
                    <w:rPr>
                      <w:rFonts w:ascii="Tahoma" w:hAnsi="Tahoma" w:cs="Tahoma"/>
                      <w:sz w:val="18"/>
                      <w:szCs w:val="18"/>
                    </w:rPr>
                  </w:pPr>
                  <w:r>
                    <w:rPr>
                      <w:rFonts w:ascii="Tahoma" w:hAnsi="Tahoma" w:cs="Tahoma"/>
                      <w:sz w:val="18"/>
                      <w:szCs w:val="18"/>
                    </w:rPr>
                    <w:t>Налоговая декларация с к</w:t>
                  </w:r>
                  <w:r w:rsidRPr="003E6B53">
                    <w:rPr>
                      <w:rFonts w:ascii="Tahoma" w:hAnsi="Tahoma" w:cs="Tahoma"/>
                      <w:sz w:val="18"/>
                      <w:szCs w:val="18"/>
                    </w:rPr>
                    <w:t>опи</w:t>
                  </w:r>
                  <w:r>
                    <w:rPr>
                      <w:rFonts w:ascii="Tahoma" w:hAnsi="Tahoma" w:cs="Tahoma"/>
                      <w:sz w:val="18"/>
                      <w:szCs w:val="18"/>
                    </w:rPr>
                    <w:t>ями</w:t>
                  </w:r>
                  <w:r w:rsidRPr="003E6B53">
                    <w:rPr>
                      <w:rFonts w:ascii="Tahoma" w:hAnsi="Tahoma" w:cs="Tahoma"/>
                      <w:sz w:val="18"/>
                      <w:szCs w:val="18"/>
                    </w:rPr>
                    <w:t xml:space="preserve"> квитанций (платежных поручений) об уплате налогов за налоговые периоды, соответствующие периоду</w:t>
                  </w:r>
                  <w:r>
                    <w:rPr>
                      <w:rFonts w:ascii="Tahoma" w:hAnsi="Tahoma" w:cs="Tahoma"/>
                      <w:sz w:val="18"/>
                      <w:szCs w:val="18"/>
                    </w:rPr>
                    <w:t xml:space="preserve"> расчета среднемесячного дохода</w:t>
                  </w:r>
                </w:p>
                <w:p w14:paraId="7407C635" w14:textId="77777777" w:rsidR="009D1253" w:rsidRDefault="009D1253" w:rsidP="009D1253">
                  <w:pPr>
                    <w:pStyle w:val="affe"/>
                    <w:numPr>
                      <w:ilvl w:val="0"/>
                      <w:numId w:val="99"/>
                    </w:numPr>
                    <w:tabs>
                      <w:tab w:val="left" w:pos="6979"/>
                    </w:tabs>
                    <w:ind w:right="176"/>
                    <w:jc w:val="both"/>
                    <w:rPr>
                      <w:rFonts w:ascii="Tahoma" w:hAnsi="Tahoma" w:cs="Tahoma"/>
                      <w:sz w:val="18"/>
                      <w:szCs w:val="18"/>
                    </w:rPr>
                  </w:pPr>
                  <w:r w:rsidRPr="003E6B53">
                    <w:rPr>
                      <w:rFonts w:ascii="Tahoma" w:hAnsi="Tahoma" w:cs="Tahoma"/>
                      <w:sz w:val="18"/>
                      <w:szCs w:val="18"/>
                    </w:rPr>
                    <w:t xml:space="preserve">Книга учета доходов и расходов и хозяйственных операций </w:t>
                  </w:r>
                  <w:r>
                    <w:rPr>
                      <w:rFonts w:ascii="Tahoma" w:hAnsi="Tahoma" w:cs="Tahoma"/>
                      <w:sz w:val="18"/>
                      <w:szCs w:val="18"/>
                    </w:rPr>
                    <w:t>индивидуального предпринимателя</w:t>
                  </w:r>
                </w:p>
                <w:p w14:paraId="694BDCE8" w14:textId="77777777" w:rsidR="009D1253" w:rsidRPr="00A975CD" w:rsidRDefault="009D1253" w:rsidP="009D1253">
                  <w:pPr>
                    <w:pStyle w:val="affe"/>
                    <w:numPr>
                      <w:ilvl w:val="0"/>
                      <w:numId w:val="99"/>
                    </w:numPr>
                    <w:autoSpaceDE w:val="0"/>
                    <w:autoSpaceDN w:val="0"/>
                    <w:rPr>
                      <w:rFonts w:ascii="Tahoma" w:hAnsi="Tahoma" w:cs="Tahoma"/>
                      <w:sz w:val="18"/>
                      <w:szCs w:val="18"/>
                    </w:rPr>
                  </w:pPr>
                  <w:r w:rsidRPr="00A975CD">
                    <w:rPr>
                      <w:rFonts w:ascii="Tahoma" w:hAnsi="Tahoma" w:cs="Tahoma"/>
                      <w:sz w:val="18"/>
                      <w:szCs w:val="18"/>
                    </w:rPr>
                    <w:t xml:space="preserve">Выписки по счетам ИП, в т.ч. сформированные из мобильного приложения, заверенные кредитной организацией </w:t>
                  </w:r>
                  <w:r w:rsidRPr="007A6339">
                    <w:rPr>
                      <w:rFonts w:ascii="Tahoma" w:hAnsi="Tahoma" w:cs="Tahoma"/>
                      <w:sz w:val="18"/>
                      <w:szCs w:val="18"/>
                    </w:rPr>
                    <w:t xml:space="preserve">(формат </w:t>
                  </w:r>
                  <w:r w:rsidRPr="007A6339">
                    <w:rPr>
                      <w:rFonts w:ascii="Tahoma" w:hAnsi="Tahoma" w:cs="Tahoma"/>
                      <w:sz w:val="18"/>
                      <w:szCs w:val="18"/>
                      <w:lang w:val="en-US"/>
                    </w:rPr>
                    <w:t>pdf</w:t>
                  </w:r>
                  <w:r w:rsidRPr="007A6339">
                    <w:rPr>
                      <w:rFonts w:ascii="Tahoma" w:hAnsi="Tahoma" w:cs="Tahoma"/>
                      <w:sz w:val="18"/>
                      <w:szCs w:val="18"/>
                    </w:rPr>
                    <w:t>+</w:t>
                  </w:r>
                  <w:r w:rsidRPr="007A6339">
                    <w:rPr>
                      <w:rFonts w:ascii="Tahoma" w:hAnsi="Tahoma" w:cs="Tahoma"/>
                      <w:sz w:val="18"/>
                      <w:szCs w:val="18"/>
                      <w:lang w:val="en-US"/>
                    </w:rPr>
                    <w:t>excel</w:t>
                  </w:r>
                  <w:r w:rsidRPr="007A6339">
                    <w:rPr>
                      <w:rFonts w:ascii="Tahoma" w:hAnsi="Tahoma" w:cs="Tahoma"/>
                      <w:sz w:val="18"/>
                      <w:szCs w:val="18"/>
                    </w:rPr>
                    <w:t>)</w:t>
                  </w:r>
                </w:p>
                <w:p w14:paraId="1E66A1A6" w14:textId="77777777" w:rsidR="009D1253" w:rsidRDefault="009D1253" w:rsidP="009D1253">
                  <w:pPr>
                    <w:pStyle w:val="affe"/>
                    <w:numPr>
                      <w:ilvl w:val="0"/>
                      <w:numId w:val="99"/>
                    </w:numPr>
                    <w:tabs>
                      <w:tab w:val="left" w:pos="6979"/>
                    </w:tabs>
                    <w:ind w:right="176"/>
                    <w:jc w:val="both"/>
                    <w:rPr>
                      <w:rFonts w:ascii="Tahoma" w:hAnsi="Tahoma" w:cs="Tahoma"/>
                      <w:sz w:val="18"/>
                      <w:szCs w:val="18"/>
                    </w:rPr>
                  </w:pPr>
                  <w:r w:rsidRPr="009E4677">
                    <w:rPr>
                      <w:rFonts w:ascii="Tahoma" w:hAnsi="Tahoma" w:cs="Tahoma"/>
                      <w:sz w:val="18"/>
                      <w:szCs w:val="18"/>
                    </w:rPr>
                    <w:t xml:space="preserve">Для </w:t>
                  </w:r>
                  <w:r>
                    <w:rPr>
                      <w:rFonts w:ascii="Tahoma" w:hAnsi="Tahoma" w:cs="Tahoma"/>
                      <w:sz w:val="18"/>
                      <w:szCs w:val="18"/>
                    </w:rPr>
                    <w:t>лиц, применяющих специальный налоговый режим «Налог на профессиональный доход» (</w:t>
                  </w:r>
                  <w:r w:rsidRPr="009E4677">
                    <w:rPr>
                      <w:rFonts w:ascii="Tahoma" w:hAnsi="Tahoma" w:cs="Tahoma"/>
                      <w:sz w:val="18"/>
                      <w:szCs w:val="18"/>
                    </w:rPr>
                    <w:t>самозаняты</w:t>
                  </w:r>
                  <w:r>
                    <w:rPr>
                      <w:rFonts w:ascii="Tahoma" w:hAnsi="Tahoma" w:cs="Tahoma"/>
                      <w:sz w:val="18"/>
                      <w:szCs w:val="18"/>
                    </w:rPr>
                    <w:t>е</w:t>
                  </w:r>
                  <w:r w:rsidRPr="009E4677">
                    <w:rPr>
                      <w:rFonts w:ascii="Tahoma" w:hAnsi="Tahoma" w:cs="Tahoma"/>
                      <w:sz w:val="18"/>
                      <w:szCs w:val="18"/>
                    </w:rPr>
                    <w:t xml:space="preserve"> граждан</w:t>
                  </w:r>
                  <w:r>
                    <w:rPr>
                      <w:rFonts w:ascii="Tahoma" w:hAnsi="Tahoma" w:cs="Tahoma"/>
                      <w:sz w:val="18"/>
                      <w:szCs w:val="18"/>
                    </w:rPr>
                    <w:t>е)</w:t>
                  </w:r>
                  <w:r w:rsidRPr="003E6B53">
                    <w:rPr>
                      <w:rFonts w:ascii="Tahoma" w:hAnsi="Tahoma" w:cs="Tahoma"/>
                      <w:sz w:val="18"/>
                      <w:szCs w:val="18"/>
                    </w:rPr>
                    <w:t>:</w:t>
                  </w:r>
                </w:p>
                <w:p w14:paraId="62543053" w14:textId="77777777" w:rsidR="009D1253" w:rsidRDefault="009D1253" w:rsidP="009D1253">
                  <w:pPr>
                    <w:pStyle w:val="affe"/>
                    <w:numPr>
                      <w:ilvl w:val="1"/>
                      <w:numId w:val="99"/>
                    </w:numPr>
                    <w:tabs>
                      <w:tab w:val="left" w:pos="6979"/>
                    </w:tabs>
                    <w:ind w:left="367" w:right="176" w:hanging="367"/>
                    <w:jc w:val="both"/>
                    <w:rPr>
                      <w:rFonts w:ascii="Tahoma" w:hAnsi="Tahoma" w:cs="Tahoma"/>
                      <w:sz w:val="18"/>
                      <w:szCs w:val="18"/>
                    </w:rPr>
                  </w:pPr>
                  <w:r w:rsidRPr="003E6B53">
                    <w:rPr>
                      <w:rFonts w:ascii="Tahoma" w:hAnsi="Tahoma" w:cs="Tahoma"/>
                      <w:sz w:val="18"/>
                      <w:szCs w:val="18"/>
                    </w:rPr>
                    <w:t>справка о постановке на учет (снятии с учета) физического лица в качестве плательщика налога на профе</w:t>
                  </w:r>
                  <w:r>
                    <w:rPr>
                      <w:rFonts w:ascii="Tahoma" w:hAnsi="Tahoma" w:cs="Tahoma"/>
                      <w:sz w:val="18"/>
                      <w:szCs w:val="18"/>
                    </w:rPr>
                    <w:t>ссиональный доход (КНД 1122035)</w:t>
                  </w:r>
                </w:p>
                <w:p w14:paraId="52CEC3E2" w14:textId="77777777" w:rsidR="009D1253" w:rsidRPr="003E6B53" w:rsidRDefault="009D1253" w:rsidP="009D1253">
                  <w:pPr>
                    <w:pStyle w:val="affe"/>
                    <w:numPr>
                      <w:ilvl w:val="1"/>
                      <w:numId w:val="99"/>
                    </w:numPr>
                    <w:tabs>
                      <w:tab w:val="left" w:pos="6979"/>
                    </w:tabs>
                    <w:ind w:left="367" w:right="176" w:hanging="367"/>
                    <w:jc w:val="both"/>
                    <w:rPr>
                      <w:rFonts w:ascii="Tahoma" w:hAnsi="Tahoma" w:cs="Tahoma"/>
                      <w:sz w:val="18"/>
                      <w:szCs w:val="18"/>
                    </w:rPr>
                  </w:pPr>
                  <w:r w:rsidRPr="003E6B53">
                    <w:rPr>
                      <w:rFonts w:ascii="Tahoma" w:hAnsi="Tahoma" w:cs="Tahoma"/>
                      <w:sz w:val="18"/>
                      <w:szCs w:val="18"/>
                    </w:rPr>
                    <w:t>справка о состоянии расчетов (доходах) по налогу на профессиональный доход (КНД 1122036)</w:t>
                  </w:r>
                </w:p>
              </w:tc>
            </w:tr>
            <w:tr w:rsidR="009D1253" w:rsidRPr="008D26EE" w14:paraId="515FFB17" w14:textId="77777777" w:rsidTr="009D1253">
              <w:tc>
                <w:tcPr>
                  <w:tcW w:w="2096" w:type="dxa"/>
                </w:tcPr>
                <w:p w14:paraId="1045B4E0" w14:textId="77777777" w:rsidR="009D1253" w:rsidRPr="008D26EE" w:rsidRDefault="009D1253" w:rsidP="009D1253">
                  <w:pPr>
                    <w:pStyle w:val="affe"/>
                    <w:tabs>
                      <w:tab w:val="left" w:pos="176"/>
                    </w:tabs>
                    <w:ind w:left="0"/>
                    <w:jc w:val="both"/>
                    <w:rPr>
                      <w:rFonts w:ascii="Tahoma" w:hAnsi="Tahoma" w:cs="Tahoma"/>
                      <w:sz w:val="18"/>
                      <w:szCs w:val="18"/>
                    </w:rPr>
                  </w:pPr>
                  <w:r w:rsidRPr="008D26EE">
                    <w:rPr>
                      <w:rFonts w:ascii="Tahoma" w:hAnsi="Tahoma" w:cs="Tahoma"/>
                      <w:sz w:val="18"/>
                      <w:szCs w:val="18"/>
                    </w:rPr>
                    <w:t>Сдача в аренду помещения</w:t>
                  </w:r>
                </w:p>
              </w:tc>
              <w:tc>
                <w:tcPr>
                  <w:tcW w:w="8415" w:type="dxa"/>
                </w:tcPr>
                <w:p w14:paraId="5D38A853" w14:textId="77777777" w:rsidR="009D1253" w:rsidRPr="009E4219" w:rsidRDefault="009D1253" w:rsidP="009D1253">
                  <w:pPr>
                    <w:pStyle w:val="affe"/>
                    <w:numPr>
                      <w:ilvl w:val="0"/>
                      <w:numId w:val="100"/>
                    </w:numPr>
                    <w:tabs>
                      <w:tab w:val="left" w:pos="6979"/>
                    </w:tabs>
                    <w:ind w:left="367" w:right="176" w:hanging="367"/>
                    <w:jc w:val="both"/>
                    <w:rPr>
                      <w:rFonts w:ascii="Tahoma" w:hAnsi="Tahoma" w:cs="Tahoma"/>
                      <w:sz w:val="18"/>
                      <w:szCs w:val="18"/>
                    </w:rPr>
                  </w:pPr>
                  <w:r w:rsidRPr="009E4219">
                    <w:rPr>
                      <w:rFonts w:ascii="Tahoma" w:hAnsi="Tahoma" w:cs="Tahoma"/>
                      <w:sz w:val="18"/>
                      <w:szCs w:val="18"/>
                    </w:rPr>
                    <w:t>Документ, подтверждающий право собственности Заёмщика на помещение</w:t>
                  </w:r>
                </w:p>
                <w:p w14:paraId="619E65C5" w14:textId="77777777" w:rsidR="009D1253" w:rsidRDefault="009D1253" w:rsidP="009D1253">
                  <w:pPr>
                    <w:pStyle w:val="affe"/>
                    <w:numPr>
                      <w:ilvl w:val="0"/>
                      <w:numId w:val="100"/>
                    </w:numPr>
                    <w:tabs>
                      <w:tab w:val="left" w:pos="6979"/>
                    </w:tabs>
                    <w:ind w:left="367" w:right="176" w:hanging="367"/>
                    <w:jc w:val="both"/>
                    <w:rPr>
                      <w:rFonts w:ascii="Tahoma" w:hAnsi="Tahoma" w:cs="Tahoma"/>
                      <w:sz w:val="18"/>
                      <w:szCs w:val="18"/>
                    </w:rPr>
                  </w:pPr>
                  <w:r>
                    <w:rPr>
                      <w:rFonts w:ascii="Tahoma" w:hAnsi="Tahoma" w:cs="Tahoma"/>
                      <w:sz w:val="18"/>
                      <w:szCs w:val="18"/>
                    </w:rPr>
                    <w:t>Договор аренды помещения</w:t>
                  </w:r>
                </w:p>
                <w:p w14:paraId="14B32CCE" w14:textId="77777777" w:rsidR="009D1253" w:rsidRDefault="009D1253" w:rsidP="009D1253">
                  <w:pPr>
                    <w:pStyle w:val="affe"/>
                    <w:numPr>
                      <w:ilvl w:val="0"/>
                      <w:numId w:val="100"/>
                    </w:numPr>
                    <w:tabs>
                      <w:tab w:val="left" w:pos="6979"/>
                    </w:tabs>
                    <w:ind w:left="367" w:right="176" w:hanging="367"/>
                    <w:jc w:val="both"/>
                    <w:rPr>
                      <w:rFonts w:ascii="Tahoma" w:hAnsi="Tahoma" w:cs="Tahoma"/>
                      <w:sz w:val="18"/>
                      <w:szCs w:val="18"/>
                    </w:rPr>
                  </w:pPr>
                  <w:r w:rsidRPr="009E4219">
                    <w:rPr>
                      <w:rFonts w:ascii="Tahoma" w:hAnsi="Tahoma" w:cs="Tahoma"/>
                      <w:sz w:val="18"/>
                      <w:szCs w:val="18"/>
                    </w:rPr>
                    <w:t>Выписка со счета, выданная кредитными организациями, на который осуществляются регулярные выплаты Заёмщику доходов от сдачи внаем (в аренду) недвижимого имущества (при условии подтверждения права собственности (владения) этим имуществом), в т.ч. сфо</w:t>
                  </w:r>
                  <w:r>
                    <w:rPr>
                      <w:rFonts w:ascii="Tahoma" w:hAnsi="Tahoma" w:cs="Tahoma"/>
                      <w:sz w:val="18"/>
                      <w:szCs w:val="18"/>
                    </w:rPr>
                    <w:t>рмированная из мобильного Банка</w:t>
                  </w:r>
                </w:p>
                <w:p w14:paraId="38CAA670" w14:textId="77777777" w:rsidR="009D1253" w:rsidRPr="009E4219" w:rsidRDefault="009D1253" w:rsidP="009D1253">
                  <w:pPr>
                    <w:pStyle w:val="affe"/>
                    <w:numPr>
                      <w:ilvl w:val="0"/>
                      <w:numId w:val="100"/>
                    </w:numPr>
                    <w:tabs>
                      <w:tab w:val="left" w:pos="6979"/>
                    </w:tabs>
                    <w:ind w:left="367" w:right="176" w:hanging="367"/>
                    <w:jc w:val="both"/>
                    <w:rPr>
                      <w:rFonts w:ascii="Tahoma" w:hAnsi="Tahoma" w:cs="Tahoma"/>
                      <w:sz w:val="18"/>
                      <w:szCs w:val="18"/>
                    </w:rPr>
                  </w:pPr>
                  <w:r w:rsidRPr="009E4219">
                    <w:rPr>
                      <w:rFonts w:ascii="Tahoma" w:hAnsi="Tahoma" w:cs="Tahoma"/>
                      <w:sz w:val="18"/>
                      <w:szCs w:val="18"/>
                    </w:rPr>
                    <w:t>Копия налоговой декларации по налогу на доходы физических лиц (форма 3-НДФЛ) и копии платежных документов, подтверждающих уплату налогов и сборов по договорам аренды/найма за последний налоговый период</w:t>
                  </w:r>
                </w:p>
              </w:tc>
            </w:tr>
            <w:tr w:rsidR="009D1253" w:rsidRPr="008D26EE" w14:paraId="66300B35" w14:textId="77777777" w:rsidTr="009D1253">
              <w:tc>
                <w:tcPr>
                  <w:tcW w:w="2096" w:type="dxa"/>
                </w:tcPr>
                <w:p w14:paraId="6A308A7A" w14:textId="77777777" w:rsidR="009D1253" w:rsidRPr="008D26EE" w:rsidRDefault="009D1253" w:rsidP="009D1253">
                  <w:pPr>
                    <w:pStyle w:val="affe"/>
                    <w:tabs>
                      <w:tab w:val="left" w:pos="176"/>
                    </w:tabs>
                    <w:ind w:left="0"/>
                    <w:jc w:val="both"/>
                    <w:rPr>
                      <w:rFonts w:ascii="Tahoma" w:hAnsi="Tahoma" w:cs="Tahoma"/>
                      <w:sz w:val="18"/>
                      <w:szCs w:val="18"/>
                    </w:rPr>
                  </w:pPr>
                  <w:r w:rsidRPr="008D26EE">
                    <w:rPr>
                      <w:rFonts w:ascii="Tahoma" w:hAnsi="Tahoma" w:cs="Tahoma"/>
                      <w:sz w:val="18"/>
                      <w:szCs w:val="18"/>
                    </w:rPr>
                    <w:t>Вознаграждения по договорам гражданско-правового характера</w:t>
                  </w:r>
                </w:p>
              </w:tc>
              <w:tc>
                <w:tcPr>
                  <w:tcW w:w="8415" w:type="dxa"/>
                </w:tcPr>
                <w:p w14:paraId="633D6474" w14:textId="77777777" w:rsidR="009D1253" w:rsidRPr="009E4219" w:rsidRDefault="009D1253" w:rsidP="009D1253">
                  <w:pPr>
                    <w:pStyle w:val="affe"/>
                    <w:numPr>
                      <w:ilvl w:val="0"/>
                      <w:numId w:val="101"/>
                    </w:numPr>
                    <w:tabs>
                      <w:tab w:val="left" w:pos="6979"/>
                    </w:tabs>
                    <w:ind w:right="176"/>
                    <w:jc w:val="both"/>
                    <w:rPr>
                      <w:rFonts w:ascii="Tahoma" w:hAnsi="Tahoma" w:cs="Tahoma"/>
                      <w:sz w:val="18"/>
                      <w:szCs w:val="18"/>
                    </w:rPr>
                  </w:pPr>
                  <w:r w:rsidRPr="009E4219">
                    <w:rPr>
                      <w:rFonts w:ascii="Tahoma" w:hAnsi="Tahoma" w:cs="Tahoma"/>
                      <w:sz w:val="18"/>
                      <w:szCs w:val="18"/>
                    </w:rPr>
                    <w:t>Договор</w:t>
                  </w:r>
                </w:p>
                <w:p w14:paraId="454392D4" w14:textId="77777777" w:rsidR="009D1253" w:rsidRDefault="009D1253" w:rsidP="009D1253">
                  <w:pPr>
                    <w:pStyle w:val="affe"/>
                    <w:numPr>
                      <w:ilvl w:val="0"/>
                      <w:numId w:val="101"/>
                    </w:numPr>
                    <w:tabs>
                      <w:tab w:val="left" w:pos="6979"/>
                    </w:tabs>
                    <w:ind w:right="176"/>
                    <w:jc w:val="both"/>
                    <w:rPr>
                      <w:rFonts w:ascii="Tahoma" w:hAnsi="Tahoma" w:cs="Tahoma"/>
                      <w:sz w:val="18"/>
                      <w:szCs w:val="18"/>
                    </w:rPr>
                  </w:pPr>
                  <w:r w:rsidRPr="009E4219">
                    <w:rPr>
                      <w:rFonts w:ascii="Tahoma" w:hAnsi="Tahoma" w:cs="Tahoma"/>
                      <w:sz w:val="18"/>
                      <w:szCs w:val="18"/>
                    </w:rPr>
                    <w:t>Один из следующих документов по выбору Заёмщика:</w:t>
                  </w:r>
                </w:p>
                <w:p w14:paraId="4C649CF1" w14:textId="77777777" w:rsidR="009D1253" w:rsidRDefault="009D1253" w:rsidP="009D1253">
                  <w:pPr>
                    <w:pStyle w:val="affe"/>
                    <w:numPr>
                      <w:ilvl w:val="1"/>
                      <w:numId w:val="101"/>
                    </w:numPr>
                    <w:tabs>
                      <w:tab w:val="left" w:pos="6979"/>
                    </w:tabs>
                    <w:ind w:left="509" w:right="176" w:hanging="509"/>
                    <w:jc w:val="both"/>
                    <w:rPr>
                      <w:rFonts w:ascii="Tahoma" w:hAnsi="Tahoma" w:cs="Tahoma"/>
                      <w:sz w:val="18"/>
                      <w:szCs w:val="18"/>
                    </w:rPr>
                  </w:pPr>
                  <w:r w:rsidRPr="009E4219">
                    <w:rPr>
                      <w:rFonts w:ascii="Tahoma" w:hAnsi="Tahoma" w:cs="Tahoma"/>
                      <w:sz w:val="18"/>
                      <w:szCs w:val="18"/>
                    </w:rPr>
                    <w:t>копия налого</w:t>
                  </w:r>
                  <w:r>
                    <w:rPr>
                      <w:rFonts w:ascii="Tahoma" w:hAnsi="Tahoma" w:cs="Tahoma"/>
                      <w:sz w:val="18"/>
                      <w:szCs w:val="18"/>
                    </w:rPr>
                    <w:t>вой декларации по форме 3-НДФЛ</w:t>
                  </w:r>
                </w:p>
                <w:p w14:paraId="4AE59FCB" w14:textId="77777777" w:rsidR="009D1253" w:rsidRPr="009E4219" w:rsidRDefault="009D1253" w:rsidP="009D1253">
                  <w:pPr>
                    <w:pStyle w:val="affe"/>
                    <w:numPr>
                      <w:ilvl w:val="1"/>
                      <w:numId w:val="101"/>
                    </w:numPr>
                    <w:tabs>
                      <w:tab w:val="left" w:pos="6979"/>
                    </w:tabs>
                    <w:ind w:left="509" w:right="176" w:hanging="509"/>
                    <w:jc w:val="both"/>
                    <w:rPr>
                      <w:rFonts w:ascii="Tahoma" w:hAnsi="Tahoma" w:cs="Tahoma"/>
                      <w:sz w:val="18"/>
                      <w:szCs w:val="18"/>
                    </w:rPr>
                  </w:pPr>
                  <w:r w:rsidRPr="009E4219">
                    <w:rPr>
                      <w:rFonts w:ascii="Tahoma" w:hAnsi="Tahoma" w:cs="Tahoma"/>
                      <w:sz w:val="18"/>
                      <w:szCs w:val="18"/>
                    </w:rPr>
                    <w:t>справка о доходах и суммах налога физического лица**</w:t>
                  </w:r>
                </w:p>
              </w:tc>
            </w:tr>
            <w:tr w:rsidR="009D1253" w:rsidRPr="008D26EE" w14:paraId="1014158C" w14:textId="77777777" w:rsidTr="009D1253">
              <w:tc>
                <w:tcPr>
                  <w:tcW w:w="2096" w:type="dxa"/>
                </w:tcPr>
                <w:p w14:paraId="5C2ACFA3" w14:textId="77777777" w:rsidR="009D1253" w:rsidRPr="008D26EE" w:rsidRDefault="009D1253" w:rsidP="009D1253">
                  <w:pPr>
                    <w:pStyle w:val="affe"/>
                    <w:tabs>
                      <w:tab w:val="left" w:pos="176"/>
                    </w:tabs>
                    <w:ind w:left="0"/>
                    <w:jc w:val="both"/>
                    <w:rPr>
                      <w:rFonts w:ascii="Tahoma" w:hAnsi="Tahoma" w:cs="Tahoma"/>
                      <w:sz w:val="18"/>
                      <w:szCs w:val="18"/>
                    </w:rPr>
                  </w:pPr>
                  <w:r w:rsidRPr="008D26EE">
                    <w:rPr>
                      <w:rFonts w:ascii="Tahoma" w:hAnsi="Tahoma" w:cs="Tahoma"/>
                      <w:sz w:val="18"/>
                      <w:szCs w:val="18"/>
                    </w:rPr>
                    <w:t>Прочие виды (источники) дохода</w:t>
                  </w:r>
                </w:p>
              </w:tc>
              <w:tc>
                <w:tcPr>
                  <w:tcW w:w="8415" w:type="dxa"/>
                </w:tcPr>
                <w:p w14:paraId="716C82D1" w14:textId="77777777" w:rsidR="009D1253" w:rsidRDefault="009D1253" w:rsidP="009D1253">
                  <w:pPr>
                    <w:numPr>
                      <w:ilvl w:val="0"/>
                      <w:numId w:val="102"/>
                    </w:numPr>
                    <w:tabs>
                      <w:tab w:val="left" w:pos="2352"/>
                    </w:tabs>
                    <w:ind w:left="367" w:right="170" w:hanging="367"/>
                    <w:jc w:val="both"/>
                    <w:textAlignment w:val="baseline"/>
                    <w:rPr>
                      <w:rFonts w:ascii="Tahoma" w:hAnsi="Tahoma" w:cs="Tahoma"/>
                      <w:sz w:val="18"/>
                      <w:szCs w:val="18"/>
                      <w:lang w:eastAsia="en-US"/>
                    </w:rPr>
                  </w:pPr>
                  <w:r w:rsidRPr="008D26EE">
                    <w:rPr>
                      <w:rFonts w:ascii="Tahoma" w:hAnsi="Tahoma" w:cs="Tahoma"/>
                      <w:sz w:val="18"/>
                      <w:szCs w:val="18"/>
                      <w:lang w:eastAsia="en-US"/>
                    </w:rPr>
                    <w:t>Справка о сумме ежемесячной денежной выплаты, ежемесячной денежной компенсации, ежемесячного дополнительного материального обеспечения, выданная гос</w:t>
                  </w:r>
                  <w:r>
                    <w:rPr>
                      <w:rFonts w:ascii="Tahoma" w:hAnsi="Tahoma" w:cs="Tahoma"/>
                      <w:sz w:val="18"/>
                      <w:szCs w:val="18"/>
                      <w:lang w:eastAsia="en-US"/>
                    </w:rPr>
                    <w:t>ударственным органом Заёмщику</w:t>
                  </w:r>
                </w:p>
                <w:p w14:paraId="6AE38DA0" w14:textId="77777777" w:rsidR="009D1253" w:rsidRPr="009E4219" w:rsidRDefault="009D1253" w:rsidP="009D1253">
                  <w:pPr>
                    <w:numPr>
                      <w:ilvl w:val="0"/>
                      <w:numId w:val="102"/>
                    </w:numPr>
                    <w:tabs>
                      <w:tab w:val="left" w:pos="2352"/>
                    </w:tabs>
                    <w:ind w:left="367" w:right="170" w:hanging="367"/>
                    <w:jc w:val="both"/>
                    <w:textAlignment w:val="baseline"/>
                    <w:rPr>
                      <w:rFonts w:ascii="Tahoma" w:hAnsi="Tahoma" w:cs="Tahoma"/>
                      <w:sz w:val="18"/>
                      <w:szCs w:val="18"/>
                      <w:lang w:eastAsia="en-US"/>
                    </w:rPr>
                  </w:pPr>
                  <w:r w:rsidRPr="009E4219">
                    <w:rPr>
                      <w:rFonts w:ascii="Tahoma" w:hAnsi="Tahoma" w:cs="Tahoma"/>
                      <w:sz w:val="18"/>
                      <w:szCs w:val="18"/>
                    </w:rPr>
                    <w:t xml:space="preserve">Документ, содержащий сведения о доходах Заёмщика, выданные государственными (муниципальными) органами, учреждениями, организациями или предприятиями (включая </w:t>
                  </w:r>
                  <w:r w:rsidRPr="009E4219">
                    <w:rPr>
                      <w:rFonts w:ascii="Tahoma" w:hAnsi="Tahoma" w:cs="Tahoma"/>
                      <w:sz w:val="18"/>
                      <w:szCs w:val="18"/>
                    </w:rPr>
                    <w:lastRenderedPageBreak/>
                    <w:t xml:space="preserve">документы, выданные должностными лицами Вооруженных Сил Российской Федерации и воинских формирований), а также физическими лицами, зарегистрированными в качестве </w:t>
                  </w:r>
                  <w:r>
                    <w:rPr>
                      <w:rFonts w:ascii="Tahoma" w:hAnsi="Tahoma" w:cs="Tahoma"/>
                      <w:sz w:val="18"/>
                      <w:szCs w:val="18"/>
                    </w:rPr>
                    <w:t>индивидуальных предпринимателей</w:t>
                  </w:r>
                </w:p>
                <w:p w14:paraId="36BD1D26" w14:textId="77777777" w:rsidR="009D1253" w:rsidRPr="009E4219" w:rsidRDefault="009D1253" w:rsidP="009D1253">
                  <w:pPr>
                    <w:numPr>
                      <w:ilvl w:val="0"/>
                      <w:numId w:val="102"/>
                    </w:numPr>
                    <w:tabs>
                      <w:tab w:val="left" w:pos="2352"/>
                    </w:tabs>
                    <w:ind w:left="367" w:right="170" w:hanging="367"/>
                    <w:jc w:val="both"/>
                    <w:textAlignment w:val="baseline"/>
                    <w:rPr>
                      <w:rFonts w:ascii="Tahoma" w:hAnsi="Tahoma" w:cs="Tahoma"/>
                      <w:sz w:val="18"/>
                      <w:szCs w:val="18"/>
                      <w:lang w:eastAsia="en-US"/>
                    </w:rPr>
                  </w:pPr>
                  <w:r w:rsidRPr="009E4219">
                    <w:rPr>
                      <w:rFonts w:ascii="Tahoma" w:hAnsi="Tahoma" w:cs="Tahoma"/>
                      <w:sz w:val="18"/>
                      <w:szCs w:val="18"/>
                    </w:rPr>
                    <w:t>Выписка со счета, выданная кредитными организациями, на который осуществляются социальные выплаты, а также иные регулярные выплаты Клиенту, в т.ч. сформированная из мобильного/интернет банка.</w:t>
                  </w:r>
                </w:p>
              </w:tc>
            </w:tr>
          </w:tbl>
          <w:p w14:paraId="6D8B4E0F" w14:textId="77777777" w:rsidR="009D1253" w:rsidRPr="008D26EE" w:rsidRDefault="009D1253" w:rsidP="009D1253">
            <w:pPr>
              <w:tabs>
                <w:tab w:val="left" w:pos="6979"/>
              </w:tabs>
              <w:ind w:right="176"/>
              <w:jc w:val="both"/>
              <w:rPr>
                <w:rFonts w:ascii="Tahoma" w:hAnsi="Tahoma" w:cs="Tahoma"/>
                <w:sz w:val="18"/>
                <w:szCs w:val="18"/>
              </w:rPr>
            </w:pPr>
            <w:r w:rsidRPr="008D26EE">
              <w:rPr>
                <w:rFonts w:ascii="Tahoma" w:hAnsi="Tahoma" w:cs="Tahoma"/>
                <w:sz w:val="18"/>
                <w:szCs w:val="18"/>
              </w:rPr>
              <w:lastRenderedPageBreak/>
              <w:t xml:space="preserve">*Документ должен содержать информацию о доходе за последние 12 (двенадцать) месяцев. В случае если стаж работы составляет менее 12 месяцев, документ предоставляется за фактическое количество отработанных </w:t>
            </w:r>
            <w:r>
              <w:rPr>
                <w:rFonts w:ascii="Tahoma" w:hAnsi="Tahoma" w:cs="Tahoma"/>
                <w:sz w:val="18"/>
                <w:szCs w:val="18"/>
              </w:rPr>
              <w:t>месяцев, но не менее 3 месяцев</w:t>
            </w:r>
          </w:p>
          <w:p w14:paraId="143E8A1E" w14:textId="77777777" w:rsidR="009D1253" w:rsidRPr="008D26EE" w:rsidRDefault="009D1253" w:rsidP="009D1253">
            <w:pPr>
              <w:tabs>
                <w:tab w:val="left" w:pos="6979"/>
              </w:tabs>
              <w:ind w:right="176"/>
              <w:jc w:val="both"/>
              <w:rPr>
                <w:rFonts w:ascii="Tahoma" w:hAnsi="Tahoma" w:cs="Tahoma"/>
                <w:sz w:val="18"/>
                <w:szCs w:val="18"/>
              </w:rPr>
            </w:pPr>
            <w:r w:rsidRPr="008D26EE">
              <w:rPr>
                <w:rFonts w:ascii="Tahoma" w:hAnsi="Tahoma" w:cs="Tahoma"/>
                <w:sz w:val="18"/>
                <w:szCs w:val="18"/>
              </w:rPr>
              <w:t>** Документ, подтверждающий доход должен содержать в составе реквизитов ИНН работодателя</w:t>
            </w:r>
            <w:r>
              <w:rPr>
                <w:rFonts w:ascii="Tahoma" w:hAnsi="Tahoma" w:cs="Tahoma"/>
                <w:sz w:val="18"/>
                <w:szCs w:val="18"/>
              </w:rPr>
              <w:t>/контрагента</w:t>
            </w:r>
          </w:p>
          <w:p w14:paraId="3E454D55" w14:textId="77777777" w:rsidR="009D1253" w:rsidRDefault="009D1253" w:rsidP="009D1253">
            <w:pPr>
              <w:tabs>
                <w:tab w:val="left" w:pos="-3402"/>
                <w:tab w:val="left" w:pos="851"/>
              </w:tabs>
              <w:ind w:right="-1"/>
              <w:jc w:val="both"/>
              <w:rPr>
                <w:rFonts w:ascii="Tahoma" w:hAnsi="Tahoma" w:cs="Tahoma"/>
                <w:sz w:val="18"/>
                <w:szCs w:val="18"/>
              </w:rPr>
            </w:pPr>
            <w:r w:rsidRPr="008D26EE">
              <w:rPr>
                <w:rFonts w:ascii="Tahoma" w:hAnsi="Tahoma" w:cs="Tahoma"/>
                <w:sz w:val="18"/>
                <w:szCs w:val="18"/>
              </w:rPr>
              <w:t>***</w:t>
            </w:r>
            <w:r w:rsidRPr="009E4677">
              <w:rPr>
                <w:rFonts w:ascii="Tahoma" w:hAnsi="Tahoma" w:cs="Tahoma"/>
                <w:sz w:val="18"/>
                <w:szCs w:val="18"/>
              </w:rPr>
              <w:t>Банк получает документ в электронной форме из государственных информационных систем</w:t>
            </w:r>
            <w:r>
              <w:rPr>
                <w:rFonts w:ascii="Tahoma" w:hAnsi="Tahoma" w:cs="Tahoma"/>
                <w:sz w:val="18"/>
                <w:szCs w:val="18"/>
              </w:rPr>
              <w:t>, если Заемщиком выражено согласие в соответствии с законодательством Российской Федерации на запрос выписки по индивидуальному лицевому счету Заемщика, который ведется в Социальном Фонде Российской Федерации</w:t>
            </w:r>
          </w:p>
          <w:p w14:paraId="03B484B5" w14:textId="77777777" w:rsidR="009D1253" w:rsidRPr="008D26EE" w:rsidRDefault="009D1253" w:rsidP="009D1253">
            <w:pPr>
              <w:tabs>
                <w:tab w:val="left" w:pos="-3402"/>
                <w:tab w:val="left" w:pos="851"/>
              </w:tabs>
              <w:ind w:right="208"/>
              <w:jc w:val="both"/>
              <w:rPr>
                <w:rFonts w:ascii="Tahoma" w:hAnsi="Tahoma" w:cs="Tahoma"/>
                <w:sz w:val="18"/>
                <w:szCs w:val="18"/>
              </w:rPr>
            </w:pPr>
            <w:r w:rsidRPr="008D26EE">
              <w:rPr>
                <w:rFonts w:ascii="Tahoma" w:hAnsi="Tahoma" w:cs="Tahoma"/>
                <w:sz w:val="18"/>
                <w:szCs w:val="18"/>
              </w:rPr>
              <w:t>****Для учета дохода в виде пенсии допускается принимать документ, содержащий сведения о доходе за 1 (один) календарный месяц, принимаются выплаты, которые были получены (начислены или назначены): страховой и (или) накопительной пенсионных выплат (за исключением суммы единовременных пенсионных выплат), а также дополнительных ежемесячных денежных выплат, компенсаций и материального обеспечения (за исключением набора социальных услуг и федеральной социальной доплаты к пенсии, если они отдельно указаны в подтверждающем документе, предусмотренном в настоящем перечне подтверждающих документов)</w:t>
            </w:r>
            <w:r w:rsidRPr="008D26EE">
              <w:rPr>
                <w:rFonts w:ascii="Tahoma" w:hAnsi="Tahoma" w:cs="Tahoma"/>
                <w:sz w:val="18"/>
                <w:szCs w:val="18"/>
              </w:rPr>
              <w:fldChar w:fldCharType="begin"/>
            </w:r>
            <w:r w:rsidRPr="008D26EE">
              <w:rPr>
                <w:rFonts w:ascii="Tahoma" w:hAnsi="Tahoma" w:cs="Tahoma"/>
                <w:sz w:val="18"/>
                <w:szCs w:val="18"/>
              </w:rPr>
              <w:instrText xml:space="preserve"> DOCVARIABLE  ATB_ADDRESS_REG </w:instrText>
            </w:r>
            <w:r w:rsidRPr="008D26EE">
              <w:rPr>
                <w:rFonts w:ascii="Tahoma" w:hAnsi="Tahoma" w:cs="Tahoma"/>
                <w:sz w:val="18"/>
                <w:szCs w:val="18"/>
              </w:rPr>
              <w:fldChar w:fldCharType="end"/>
            </w:r>
          </w:p>
        </w:tc>
      </w:tr>
      <w:tr w:rsidR="009D1253" w:rsidRPr="008D26EE" w14:paraId="17292AE7"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540"/>
        </w:trPr>
        <w:tc>
          <w:tcPr>
            <w:tcW w:w="1475" w:type="pct"/>
            <w:tcBorders>
              <w:top w:val="single" w:sz="4" w:space="0" w:color="auto"/>
              <w:left w:val="single" w:sz="8" w:space="0" w:color="auto"/>
              <w:bottom w:val="single" w:sz="4" w:space="0" w:color="auto"/>
              <w:right w:val="single" w:sz="4" w:space="0" w:color="auto"/>
            </w:tcBorders>
            <w:vAlign w:val="center"/>
          </w:tcPr>
          <w:p w14:paraId="0C8D6E6B" w14:textId="77777777" w:rsidR="009D1253" w:rsidRPr="008D26EE" w:rsidRDefault="009D1253" w:rsidP="009D1253">
            <w:pPr>
              <w:rPr>
                <w:rFonts w:ascii="Tahoma" w:hAnsi="Tahoma" w:cs="Tahoma"/>
                <w:b/>
                <w:sz w:val="20"/>
                <w:szCs w:val="20"/>
              </w:rPr>
            </w:pPr>
            <w:r w:rsidRPr="008D26EE">
              <w:rPr>
                <w:rFonts w:ascii="Tahoma" w:hAnsi="Tahoma" w:cs="Tahoma"/>
                <w:b/>
                <w:sz w:val="20"/>
                <w:szCs w:val="20"/>
              </w:rPr>
              <w:lastRenderedPageBreak/>
              <w:t>Требования к предмету залога</w:t>
            </w:r>
          </w:p>
        </w:tc>
        <w:tc>
          <w:tcPr>
            <w:tcW w:w="3525" w:type="pct"/>
            <w:tcBorders>
              <w:top w:val="single" w:sz="4" w:space="0" w:color="auto"/>
              <w:left w:val="nil"/>
              <w:bottom w:val="single" w:sz="4" w:space="0" w:color="auto"/>
              <w:right w:val="single" w:sz="8" w:space="0" w:color="000000"/>
            </w:tcBorders>
            <w:shd w:val="clear" w:color="auto" w:fill="auto"/>
            <w:noWrap/>
            <w:vAlign w:val="center"/>
          </w:tcPr>
          <w:p w14:paraId="28D1BC64" w14:textId="77777777" w:rsidR="009D1253" w:rsidRPr="008D26EE" w:rsidRDefault="009D1253" w:rsidP="009D1253">
            <w:pPr>
              <w:pStyle w:val="a9"/>
              <w:tabs>
                <w:tab w:val="left" w:pos="0"/>
                <w:tab w:val="left" w:pos="176"/>
              </w:tabs>
              <w:spacing w:before="0" w:after="0"/>
              <w:rPr>
                <w:rFonts w:ascii="Tahoma" w:eastAsiaTheme="minorHAnsi" w:hAnsi="Tahoma" w:cs="Tahoma"/>
                <w:lang w:eastAsia="en-US"/>
              </w:rPr>
            </w:pPr>
            <w:r w:rsidRPr="008D26EE">
              <w:rPr>
                <w:rFonts w:ascii="Tahoma" w:eastAsiaTheme="minorHAnsi" w:hAnsi="Tahoma" w:cs="Tahoma"/>
                <w:lang w:eastAsia="en-US"/>
              </w:rPr>
              <w:t>Транспортное средство</w:t>
            </w:r>
            <w:r>
              <w:rPr>
                <w:rFonts w:ascii="Tahoma" w:eastAsiaTheme="minorHAnsi" w:hAnsi="Tahoma" w:cs="Tahoma"/>
                <w:lang w:eastAsia="en-US"/>
              </w:rPr>
              <w:t xml:space="preserve"> (по тексту – ТС)</w:t>
            </w:r>
            <w:r w:rsidRPr="008D26EE">
              <w:rPr>
                <w:rFonts w:ascii="Tahoma" w:eastAsiaTheme="minorHAnsi" w:hAnsi="Tahoma" w:cs="Tahoma"/>
                <w:lang w:eastAsia="en-US"/>
              </w:rPr>
              <w:t xml:space="preserve"> предоставляемое в залог Банку:</w:t>
            </w:r>
          </w:p>
          <w:p w14:paraId="113500AD" w14:textId="77777777" w:rsidR="009D1253" w:rsidRPr="008D26EE" w:rsidRDefault="009D1253" w:rsidP="009D1253">
            <w:pPr>
              <w:pStyle w:val="a9"/>
              <w:numPr>
                <w:ilvl w:val="0"/>
                <w:numId w:val="80"/>
              </w:numPr>
              <w:tabs>
                <w:tab w:val="left" w:pos="0"/>
                <w:tab w:val="left" w:pos="176"/>
              </w:tabs>
              <w:spacing w:before="0" w:after="0"/>
              <w:ind w:left="193" w:right="208" w:hanging="142"/>
              <w:rPr>
                <w:rFonts w:ascii="Tahoma" w:eastAsiaTheme="minorHAnsi" w:hAnsi="Tahoma" w:cs="Tahoma"/>
                <w:lang w:eastAsia="en-US"/>
              </w:rPr>
            </w:pPr>
            <w:r w:rsidRPr="008D26EE">
              <w:rPr>
                <w:rFonts w:ascii="Tahoma" w:eastAsiaTheme="minorHAnsi" w:hAnsi="Tahoma" w:cs="Tahoma"/>
                <w:lang w:eastAsia="en-US"/>
              </w:rPr>
              <w:t>не является предметом залога по другому договору, свободно от долгов, не сдано в аренду, не продано, в споре, розыске или под арестом не состоит, а также свободно от иных обременений и прав на него третьих лиц;</w:t>
            </w:r>
          </w:p>
          <w:p w14:paraId="3967B71A" w14:textId="77777777" w:rsidR="009D1253" w:rsidRPr="008D26EE" w:rsidRDefault="009D1253" w:rsidP="009D1253">
            <w:pPr>
              <w:pStyle w:val="a9"/>
              <w:numPr>
                <w:ilvl w:val="0"/>
                <w:numId w:val="80"/>
              </w:numPr>
              <w:tabs>
                <w:tab w:val="left" w:pos="0"/>
                <w:tab w:val="left" w:pos="176"/>
              </w:tabs>
              <w:spacing w:before="0" w:after="0"/>
              <w:ind w:left="193" w:right="208" w:hanging="142"/>
              <w:jc w:val="left"/>
              <w:rPr>
                <w:rFonts w:ascii="Tahoma" w:eastAsiaTheme="minorHAnsi" w:hAnsi="Tahoma" w:cs="Tahoma"/>
                <w:lang w:eastAsia="en-US"/>
              </w:rPr>
            </w:pPr>
            <w:r w:rsidRPr="008D26EE">
              <w:rPr>
                <w:rFonts w:ascii="Tahoma" w:eastAsiaTheme="minorHAnsi" w:hAnsi="Tahoma" w:cs="Tahoma"/>
                <w:lang w:eastAsia="en-US"/>
              </w:rPr>
              <w:t>стоит на государственном регистрационном учете (дата постановки на регистрационный учет не ранее даты оформления Договора);</w:t>
            </w:r>
          </w:p>
          <w:p w14:paraId="5AE83A82" w14:textId="77777777" w:rsidR="009D1253" w:rsidRPr="008D26EE" w:rsidRDefault="009D1253" w:rsidP="009D1253">
            <w:pPr>
              <w:pStyle w:val="a9"/>
              <w:numPr>
                <w:ilvl w:val="0"/>
                <w:numId w:val="80"/>
              </w:numPr>
              <w:tabs>
                <w:tab w:val="left" w:pos="0"/>
                <w:tab w:val="left" w:pos="176"/>
              </w:tabs>
              <w:spacing w:before="0" w:after="0"/>
              <w:ind w:left="193" w:right="208" w:hanging="142"/>
              <w:rPr>
                <w:rFonts w:ascii="Tahoma" w:eastAsiaTheme="minorHAnsi" w:hAnsi="Tahoma" w:cs="Tahoma"/>
                <w:lang w:eastAsia="en-US"/>
              </w:rPr>
            </w:pPr>
            <w:r w:rsidRPr="008D26EE">
              <w:rPr>
                <w:rFonts w:ascii="Tahoma" w:eastAsiaTheme="minorHAnsi" w:hAnsi="Tahoma" w:cs="Tahoma"/>
                <w:lang w:eastAsia="en-US"/>
              </w:rPr>
              <w:t>собственником является Заемщик;</w:t>
            </w:r>
          </w:p>
          <w:p w14:paraId="1A1973CE" w14:textId="77777777" w:rsidR="009D1253" w:rsidRPr="008D26EE" w:rsidRDefault="009D1253" w:rsidP="009D1253">
            <w:pPr>
              <w:pStyle w:val="a9"/>
              <w:numPr>
                <w:ilvl w:val="0"/>
                <w:numId w:val="80"/>
              </w:numPr>
              <w:tabs>
                <w:tab w:val="left" w:pos="0"/>
                <w:tab w:val="left" w:pos="176"/>
              </w:tabs>
              <w:spacing w:before="0" w:after="0"/>
              <w:ind w:left="193" w:right="208" w:hanging="142"/>
              <w:rPr>
                <w:rFonts w:ascii="Tahoma" w:eastAsiaTheme="minorHAnsi" w:hAnsi="Tahoma" w:cs="Tahoma"/>
                <w:lang w:eastAsia="en-US"/>
              </w:rPr>
            </w:pPr>
            <w:r w:rsidRPr="008D26EE">
              <w:rPr>
                <w:rFonts w:ascii="Tahoma" w:eastAsiaTheme="minorHAnsi" w:hAnsi="Tahoma" w:cs="Tahoma"/>
                <w:lang w:eastAsia="en-US"/>
              </w:rPr>
              <w:t>соответствует категории B</w:t>
            </w:r>
            <w:r>
              <w:rPr>
                <w:rFonts w:ascii="Tahoma" w:eastAsiaTheme="minorHAnsi" w:hAnsi="Tahoma" w:cs="Tahoma"/>
                <w:lang w:eastAsia="en-US"/>
              </w:rPr>
              <w:t xml:space="preserve"> (иностранной/отечественной марки)</w:t>
            </w:r>
            <w:r w:rsidRPr="008D26EE">
              <w:rPr>
                <w:rFonts w:ascii="Tahoma" w:eastAsiaTheme="minorHAnsi" w:hAnsi="Tahoma" w:cs="Tahoma"/>
                <w:lang w:eastAsia="en-US"/>
              </w:rPr>
              <w:t>, D</w:t>
            </w:r>
            <w:r>
              <w:rPr>
                <w:rFonts w:ascii="Tahoma" w:eastAsiaTheme="minorHAnsi" w:hAnsi="Tahoma" w:cs="Tahoma"/>
                <w:lang w:eastAsia="en-US"/>
              </w:rPr>
              <w:t xml:space="preserve"> (</w:t>
            </w:r>
            <w:r w:rsidRPr="009C2288">
              <w:rPr>
                <w:rFonts w:ascii="Tahoma" w:eastAsiaTheme="minorHAnsi" w:hAnsi="Tahoma" w:cs="Tahoma"/>
                <w:lang w:eastAsia="en-US"/>
              </w:rPr>
              <w:t>иностранной марки)</w:t>
            </w:r>
            <w:r w:rsidRPr="008D26EE">
              <w:rPr>
                <w:rFonts w:ascii="Tahoma" w:eastAsiaTheme="minorHAnsi" w:hAnsi="Tahoma" w:cs="Tahoma"/>
                <w:lang w:eastAsia="en-US"/>
              </w:rPr>
              <w:t>;</w:t>
            </w:r>
          </w:p>
          <w:p w14:paraId="5D7C72DC" w14:textId="77777777" w:rsidR="009D1253" w:rsidRDefault="009D1253" w:rsidP="009D1253">
            <w:pPr>
              <w:pStyle w:val="a9"/>
              <w:numPr>
                <w:ilvl w:val="0"/>
                <w:numId w:val="80"/>
              </w:numPr>
              <w:tabs>
                <w:tab w:val="left" w:pos="0"/>
                <w:tab w:val="left" w:pos="176"/>
              </w:tabs>
              <w:spacing w:before="0" w:after="0"/>
              <w:ind w:left="193" w:right="208" w:hanging="142"/>
              <w:rPr>
                <w:rFonts w:ascii="Tahoma" w:eastAsiaTheme="minorHAnsi" w:hAnsi="Tahoma" w:cs="Tahoma"/>
                <w:lang w:eastAsia="en-US"/>
              </w:rPr>
            </w:pPr>
            <w:r w:rsidRPr="008D26EE">
              <w:rPr>
                <w:rFonts w:ascii="Tahoma" w:eastAsiaTheme="minorHAnsi" w:hAnsi="Tahoma" w:cs="Tahoma"/>
                <w:lang w:eastAsia="en-US"/>
              </w:rPr>
              <w:t>стоимость составляет не менее 70% от суммы основного долга на дату заключения Дополнительного соглашения в соответствии с оценкой Банка.</w:t>
            </w:r>
          </w:p>
          <w:p w14:paraId="0A4F57A3" w14:textId="77777777" w:rsidR="009D1253" w:rsidRPr="008D26EE" w:rsidRDefault="009D1253" w:rsidP="009D1253">
            <w:pPr>
              <w:pStyle w:val="a9"/>
              <w:tabs>
                <w:tab w:val="left" w:pos="0"/>
                <w:tab w:val="left" w:pos="176"/>
              </w:tabs>
              <w:spacing w:before="0" w:after="0"/>
              <w:ind w:left="193" w:right="208"/>
              <w:rPr>
                <w:rFonts w:ascii="Tahoma" w:eastAsiaTheme="minorHAnsi" w:hAnsi="Tahoma" w:cs="Tahoma"/>
                <w:lang w:eastAsia="en-US"/>
              </w:rPr>
            </w:pPr>
          </w:p>
          <w:p w14:paraId="20E1C968" w14:textId="77777777" w:rsidR="009D1253" w:rsidRPr="003D6559" w:rsidRDefault="009D1253" w:rsidP="009D1253">
            <w:pPr>
              <w:pStyle w:val="a9"/>
              <w:tabs>
                <w:tab w:val="left" w:pos="0"/>
                <w:tab w:val="left" w:pos="176"/>
              </w:tabs>
              <w:spacing w:before="0" w:after="0"/>
              <w:rPr>
                <w:rFonts w:ascii="Tahoma" w:hAnsi="Tahoma" w:cs="Tahoma"/>
                <w:b/>
                <w:lang w:eastAsia="en-US"/>
              </w:rPr>
            </w:pPr>
            <w:r w:rsidRPr="003D6559">
              <w:rPr>
                <w:rFonts w:ascii="Tahoma" w:hAnsi="Tahoma" w:cs="Tahoma"/>
                <w:b/>
                <w:lang w:eastAsia="en-US"/>
              </w:rPr>
              <w:t xml:space="preserve">Возраст </w:t>
            </w:r>
            <w:r>
              <w:rPr>
                <w:rFonts w:ascii="Tahoma" w:hAnsi="Tahoma" w:cs="Tahoma"/>
                <w:b/>
                <w:lang w:eastAsia="en-US"/>
              </w:rPr>
              <w:t>ТС</w:t>
            </w:r>
            <w:r w:rsidRPr="003D6559">
              <w:rPr>
                <w:rFonts w:ascii="Tahoma" w:hAnsi="Tahoma" w:cs="Tahoma"/>
                <w:b/>
                <w:lang w:eastAsia="en-US"/>
              </w:rPr>
              <w:t xml:space="preserve"> на момент выдачи кредита:</w:t>
            </w:r>
          </w:p>
          <w:p w14:paraId="10F84F4F" w14:textId="77777777" w:rsidR="009D1253" w:rsidRPr="003D6559" w:rsidRDefault="009D1253" w:rsidP="009D1253">
            <w:pPr>
              <w:pStyle w:val="a9"/>
              <w:tabs>
                <w:tab w:val="left" w:pos="0"/>
                <w:tab w:val="left" w:pos="176"/>
              </w:tabs>
              <w:spacing w:before="0" w:after="0"/>
              <w:rPr>
                <w:rFonts w:ascii="Tahoma" w:eastAsiaTheme="minorHAnsi" w:hAnsi="Tahoma" w:cs="Tahoma"/>
                <w:lang w:eastAsia="en-US"/>
              </w:rPr>
            </w:pPr>
            <w:r w:rsidRPr="003D6559">
              <w:rPr>
                <w:rFonts w:ascii="Tahoma" w:eastAsiaTheme="minorHAnsi" w:hAnsi="Tahoma" w:cs="Tahoma"/>
                <w:lang w:eastAsia="en-US"/>
              </w:rPr>
              <w:t>для ТС отечественных марок – не более 12 лет</w:t>
            </w:r>
          </w:p>
          <w:p w14:paraId="210749D7" w14:textId="77777777" w:rsidR="009D1253" w:rsidRPr="009E4677" w:rsidRDefault="009D1253" w:rsidP="009D1253">
            <w:pPr>
              <w:pStyle w:val="a9"/>
              <w:tabs>
                <w:tab w:val="left" w:pos="0"/>
                <w:tab w:val="left" w:pos="176"/>
              </w:tabs>
              <w:rPr>
                <w:rFonts w:ascii="Tahoma" w:eastAsiaTheme="minorHAnsi" w:hAnsi="Tahoma" w:cs="Tahoma"/>
                <w:lang w:eastAsia="en-US"/>
              </w:rPr>
            </w:pPr>
            <w:r w:rsidRPr="003D6559">
              <w:rPr>
                <w:rFonts w:ascii="Tahoma" w:eastAsiaTheme="minorHAnsi" w:hAnsi="Tahoma" w:cs="Tahoma"/>
                <w:lang w:eastAsia="en-US"/>
              </w:rPr>
              <w:t>для ТС иностранных марок – не более 17 лет</w:t>
            </w:r>
          </w:p>
          <w:p w14:paraId="2FA8832A" w14:textId="77777777" w:rsidR="009D1253" w:rsidRPr="008D26EE" w:rsidRDefault="009D1253" w:rsidP="009D1253">
            <w:pPr>
              <w:pStyle w:val="a9"/>
              <w:tabs>
                <w:tab w:val="left" w:pos="0"/>
                <w:tab w:val="left" w:pos="176"/>
              </w:tabs>
              <w:spacing w:before="0" w:after="0"/>
              <w:ind w:left="193" w:hanging="142"/>
              <w:rPr>
                <w:rFonts w:ascii="Tahoma" w:eastAsiaTheme="minorHAnsi" w:hAnsi="Tahoma" w:cs="Tahoma"/>
                <w:lang w:eastAsia="en-US"/>
              </w:rPr>
            </w:pPr>
          </w:p>
          <w:p w14:paraId="6EBCB5BA" w14:textId="77777777" w:rsidR="009D1253" w:rsidRPr="008D26EE" w:rsidRDefault="009D1253" w:rsidP="009D1253">
            <w:pPr>
              <w:pStyle w:val="a9"/>
              <w:tabs>
                <w:tab w:val="left" w:pos="0"/>
                <w:tab w:val="left" w:pos="176"/>
              </w:tabs>
              <w:spacing w:before="0" w:after="0"/>
              <w:ind w:left="193" w:hanging="142"/>
              <w:rPr>
                <w:rFonts w:ascii="Tahoma" w:eastAsiaTheme="minorHAnsi" w:hAnsi="Tahoma" w:cs="Tahoma"/>
                <w:lang w:eastAsia="en-US"/>
              </w:rPr>
            </w:pPr>
            <w:r w:rsidRPr="008D26EE">
              <w:rPr>
                <w:rFonts w:ascii="Tahoma" w:eastAsiaTheme="minorHAnsi" w:hAnsi="Tahoma" w:cs="Tahoma"/>
                <w:lang w:eastAsia="en-US"/>
              </w:rPr>
              <w:t xml:space="preserve">Пакет документов на </w:t>
            </w:r>
            <w:r>
              <w:rPr>
                <w:rFonts w:ascii="Tahoma" w:eastAsiaTheme="minorHAnsi" w:hAnsi="Tahoma" w:cs="Tahoma"/>
                <w:lang w:eastAsia="en-US"/>
              </w:rPr>
              <w:t>ТС</w:t>
            </w:r>
            <w:r w:rsidRPr="008D26EE">
              <w:rPr>
                <w:rFonts w:ascii="Tahoma" w:eastAsiaTheme="minorHAnsi" w:hAnsi="Tahoma" w:cs="Tahoma"/>
                <w:lang w:eastAsia="en-US"/>
              </w:rPr>
              <w:t xml:space="preserve"> предоставляемое в залог Банку:</w:t>
            </w:r>
          </w:p>
          <w:p w14:paraId="589487BF" w14:textId="77777777" w:rsidR="009D1253" w:rsidRPr="008D26EE" w:rsidRDefault="009D1253" w:rsidP="009D1253">
            <w:pPr>
              <w:pStyle w:val="a9"/>
              <w:numPr>
                <w:ilvl w:val="0"/>
                <w:numId w:val="81"/>
              </w:numPr>
              <w:tabs>
                <w:tab w:val="left" w:pos="0"/>
                <w:tab w:val="left" w:pos="176"/>
                <w:tab w:val="left" w:pos="835"/>
              </w:tabs>
              <w:spacing w:before="0" w:after="0"/>
              <w:ind w:left="193" w:hanging="142"/>
              <w:rPr>
                <w:rFonts w:ascii="Tahoma" w:eastAsiaTheme="minorHAnsi" w:hAnsi="Tahoma" w:cs="Tahoma"/>
                <w:lang w:eastAsia="en-US"/>
              </w:rPr>
            </w:pPr>
            <w:r w:rsidRPr="008D26EE">
              <w:rPr>
                <w:rFonts w:ascii="Tahoma" w:eastAsiaTheme="minorHAnsi" w:hAnsi="Tahoma" w:cs="Tahoma"/>
                <w:lang w:eastAsia="en-US"/>
              </w:rPr>
              <w:t>СТС</w:t>
            </w:r>
          </w:p>
          <w:p w14:paraId="552888DF" w14:textId="77777777" w:rsidR="009D1253" w:rsidRDefault="009D1253" w:rsidP="009D1253">
            <w:pPr>
              <w:pStyle w:val="a9"/>
              <w:numPr>
                <w:ilvl w:val="0"/>
                <w:numId w:val="81"/>
              </w:numPr>
              <w:tabs>
                <w:tab w:val="left" w:pos="0"/>
                <w:tab w:val="left" w:pos="176"/>
                <w:tab w:val="left" w:pos="835"/>
              </w:tabs>
              <w:spacing w:before="0" w:after="0"/>
              <w:ind w:left="193" w:hanging="142"/>
              <w:rPr>
                <w:rFonts w:ascii="Tahoma" w:eastAsiaTheme="minorHAnsi" w:hAnsi="Tahoma" w:cs="Tahoma"/>
                <w:lang w:eastAsia="en-US"/>
              </w:rPr>
            </w:pPr>
            <w:r w:rsidRPr="008D26EE">
              <w:rPr>
                <w:rFonts w:ascii="Tahoma" w:eastAsiaTheme="minorHAnsi" w:hAnsi="Tahoma" w:cs="Tahoma"/>
                <w:lang w:eastAsia="en-US"/>
              </w:rPr>
              <w:t>оригиналы ПТС (допускается прием дубликата ПТС)/ЭПТС (выписка из Электронного паспорта)</w:t>
            </w:r>
          </w:p>
          <w:p w14:paraId="0F17AEBA" w14:textId="77777777" w:rsidR="009D1253" w:rsidRPr="00243733" w:rsidRDefault="009D1253" w:rsidP="009D1253">
            <w:pPr>
              <w:pStyle w:val="a9"/>
              <w:numPr>
                <w:ilvl w:val="0"/>
                <w:numId w:val="81"/>
              </w:numPr>
              <w:tabs>
                <w:tab w:val="left" w:pos="0"/>
                <w:tab w:val="left" w:pos="176"/>
                <w:tab w:val="left" w:pos="835"/>
              </w:tabs>
              <w:spacing w:before="0" w:after="0"/>
              <w:ind w:left="193" w:hanging="142"/>
              <w:rPr>
                <w:rFonts w:ascii="Tahoma" w:eastAsiaTheme="minorHAnsi" w:hAnsi="Tahoma" w:cs="Tahoma"/>
                <w:lang w:eastAsia="en-US"/>
              </w:rPr>
            </w:pPr>
            <w:r w:rsidRPr="00243733">
              <w:rPr>
                <w:rFonts w:ascii="Tahoma" w:eastAsiaTheme="minorHAnsi" w:hAnsi="Tahoma" w:cs="Tahoma"/>
                <w:lang w:eastAsia="en-US"/>
              </w:rPr>
              <w:t>фотографии:</w:t>
            </w:r>
          </w:p>
          <w:p w14:paraId="1A96D5A3" w14:textId="77777777" w:rsidR="009D1253" w:rsidRPr="00243733" w:rsidRDefault="009D1253" w:rsidP="009D1253">
            <w:pPr>
              <w:pStyle w:val="affe"/>
              <w:numPr>
                <w:ilvl w:val="0"/>
                <w:numId w:val="108"/>
              </w:numPr>
              <w:spacing w:after="200" w:line="276" w:lineRule="auto"/>
              <w:contextualSpacing/>
              <w:rPr>
                <w:rFonts w:ascii="Tahoma" w:eastAsia="Batang" w:hAnsi="Tahoma" w:cs="Tahoma"/>
                <w:color w:val="000000"/>
                <w:sz w:val="18"/>
                <w:szCs w:val="18"/>
              </w:rPr>
            </w:pPr>
            <w:r w:rsidRPr="00243733">
              <w:rPr>
                <w:rFonts w:ascii="Tahoma" w:eastAsia="Batang" w:hAnsi="Tahoma" w:cs="Tahoma"/>
                <w:color w:val="000000"/>
                <w:sz w:val="18"/>
                <w:szCs w:val="18"/>
              </w:rPr>
              <w:t xml:space="preserve">4 фотографии транспортного средства с видимостью гос. номера </w:t>
            </w:r>
            <w:r w:rsidRPr="00243733">
              <w:rPr>
                <w:rFonts w:ascii="Tahoma" w:eastAsia="Batang" w:hAnsi="Tahoma" w:cs="Tahoma"/>
                <w:i/>
                <w:color w:val="000000"/>
                <w:sz w:val="18"/>
                <w:szCs w:val="18"/>
              </w:rPr>
              <w:t xml:space="preserve">(слева спереди, справа спереди, слева сзади, справа сзади); </w:t>
            </w:r>
          </w:p>
          <w:p w14:paraId="278E8D4E" w14:textId="77777777" w:rsidR="009D1253" w:rsidRPr="00243733" w:rsidRDefault="009D1253" w:rsidP="009D1253">
            <w:pPr>
              <w:pStyle w:val="affe"/>
              <w:numPr>
                <w:ilvl w:val="0"/>
                <w:numId w:val="108"/>
              </w:numPr>
              <w:spacing w:after="200" w:line="276" w:lineRule="auto"/>
              <w:contextualSpacing/>
              <w:rPr>
                <w:rFonts w:ascii="Tahoma" w:eastAsiaTheme="minorHAnsi" w:hAnsi="Tahoma" w:cs="Tahoma"/>
                <w:lang w:eastAsia="en-US"/>
              </w:rPr>
            </w:pPr>
            <w:r w:rsidRPr="00243733">
              <w:rPr>
                <w:rFonts w:ascii="Tahoma" w:eastAsia="Batang" w:hAnsi="Tahoma" w:cs="Tahoma"/>
                <w:color w:val="000000"/>
                <w:sz w:val="18"/>
                <w:szCs w:val="18"/>
              </w:rPr>
              <w:t xml:space="preserve">фотография VIN (идентификационный номер); </w:t>
            </w:r>
          </w:p>
          <w:p w14:paraId="22CFC0EE" w14:textId="77777777" w:rsidR="009D1253" w:rsidRPr="008D26EE" w:rsidRDefault="009D1253" w:rsidP="009D1253">
            <w:pPr>
              <w:pStyle w:val="affe"/>
              <w:numPr>
                <w:ilvl w:val="0"/>
                <w:numId w:val="108"/>
              </w:numPr>
              <w:spacing w:after="200" w:line="276" w:lineRule="auto"/>
              <w:contextualSpacing/>
              <w:rPr>
                <w:rFonts w:ascii="Tahoma" w:eastAsiaTheme="minorHAnsi" w:hAnsi="Tahoma" w:cs="Tahoma"/>
                <w:lang w:eastAsia="en-US"/>
              </w:rPr>
            </w:pPr>
            <w:r w:rsidRPr="00243733">
              <w:rPr>
                <w:rFonts w:ascii="Tahoma" w:eastAsia="Batang" w:hAnsi="Tahoma" w:cs="Tahoma"/>
                <w:color w:val="000000"/>
                <w:sz w:val="18"/>
                <w:szCs w:val="18"/>
              </w:rPr>
              <w:lastRenderedPageBreak/>
              <w:t>фотография одометра при включенном зажигании с информацией об общем пробеге.</w:t>
            </w:r>
          </w:p>
        </w:tc>
      </w:tr>
      <w:tr w:rsidR="009D1253" w:rsidRPr="008D26EE" w14:paraId="10C0845F"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215F9B7D" w14:textId="77777777" w:rsidR="009D1253" w:rsidRPr="008D26EE" w:rsidRDefault="009D1253" w:rsidP="009D1253">
            <w:pPr>
              <w:rPr>
                <w:rFonts w:ascii="Tahoma" w:hAnsi="Tahoma" w:cs="Tahoma"/>
                <w:b/>
                <w:sz w:val="20"/>
                <w:szCs w:val="20"/>
              </w:rPr>
            </w:pPr>
            <w:r w:rsidRPr="008D26EE">
              <w:rPr>
                <w:rFonts w:ascii="Tahoma" w:hAnsi="Tahoma" w:cs="Tahoma"/>
                <w:b/>
                <w:sz w:val="20"/>
                <w:szCs w:val="20"/>
              </w:rPr>
              <w:lastRenderedPageBreak/>
              <w:t>Способ предоставления Кредита</w:t>
            </w:r>
          </w:p>
        </w:tc>
        <w:tc>
          <w:tcPr>
            <w:tcW w:w="3525" w:type="pct"/>
            <w:tcBorders>
              <w:top w:val="single" w:sz="4" w:space="0" w:color="auto"/>
              <w:left w:val="nil"/>
              <w:bottom w:val="single" w:sz="4" w:space="0" w:color="auto"/>
              <w:right w:val="single" w:sz="8" w:space="0" w:color="000000"/>
            </w:tcBorders>
            <w:noWrap/>
            <w:vAlign w:val="center"/>
          </w:tcPr>
          <w:p w14:paraId="6BDCCD65" w14:textId="77777777" w:rsidR="009D1253" w:rsidRPr="008D26EE" w:rsidRDefault="009D1253" w:rsidP="009D1253">
            <w:pPr>
              <w:widowControl w:val="0"/>
              <w:tabs>
                <w:tab w:val="left" w:pos="426"/>
                <w:tab w:val="left" w:pos="851"/>
              </w:tabs>
              <w:jc w:val="both"/>
              <w:rPr>
                <w:rFonts w:ascii="Tahoma" w:hAnsi="Tahoma" w:cs="Tahoma"/>
                <w:sz w:val="20"/>
                <w:szCs w:val="20"/>
              </w:rPr>
            </w:pPr>
            <w:r w:rsidRPr="008D26EE">
              <w:rPr>
                <w:rFonts w:ascii="Tahoma" w:hAnsi="Tahoma" w:cs="Tahoma"/>
                <w:sz w:val="20"/>
                <w:szCs w:val="20"/>
              </w:rPr>
              <w:t>Перевод денежных средств на ТБС Заёмщика, открытый в Банке.</w:t>
            </w:r>
          </w:p>
        </w:tc>
      </w:tr>
      <w:tr w:rsidR="009D1253" w:rsidRPr="008D26EE" w14:paraId="4026394C"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44A2DA8C" w14:textId="77777777" w:rsidR="009D1253" w:rsidRPr="008D26EE" w:rsidRDefault="009D1253" w:rsidP="009D1253">
            <w:pPr>
              <w:rPr>
                <w:rFonts w:ascii="Tahoma" w:hAnsi="Tahoma" w:cs="Tahoma"/>
                <w:b/>
                <w:sz w:val="20"/>
                <w:szCs w:val="20"/>
              </w:rPr>
            </w:pPr>
            <w:r w:rsidRPr="008D26EE">
              <w:rPr>
                <w:rFonts w:ascii="Tahoma" w:hAnsi="Tahoma" w:cs="Tahoma"/>
                <w:b/>
                <w:sz w:val="20"/>
                <w:szCs w:val="20"/>
              </w:rPr>
              <w:t>Информация о возможном увеличении суммы расходов Заемщика по сравнению с ожидаемой суммой расходов в рублях, в том числе при применении переменной процентной ставки, а также информация о том, что изменение курса иностранной валюты в прошлом не свидетельствует об изменении ее курса в будущем, и информация о повышенных рисках заемщика, получающего доходы в валюте, отличной от валюты Кредита</w:t>
            </w:r>
          </w:p>
        </w:tc>
        <w:tc>
          <w:tcPr>
            <w:tcW w:w="3525" w:type="pct"/>
            <w:tcBorders>
              <w:top w:val="single" w:sz="4" w:space="0" w:color="auto"/>
              <w:left w:val="nil"/>
              <w:bottom w:val="single" w:sz="4" w:space="0" w:color="auto"/>
              <w:right w:val="single" w:sz="8" w:space="0" w:color="000000"/>
            </w:tcBorders>
            <w:noWrap/>
            <w:vAlign w:val="center"/>
          </w:tcPr>
          <w:p w14:paraId="36A702E1" w14:textId="77777777" w:rsidR="009D1253" w:rsidRPr="008D26EE" w:rsidRDefault="009D1253" w:rsidP="009D1253">
            <w:pPr>
              <w:widowControl w:val="0"/>
              <w:tabs>
                <w:tab w:val="left" w:pos="426"/>
                <w:tab w:val="left" w:pos="851"/>
              </w:tabs>
              <w:jc w:val="both"/>
              <w:rPr>
                <w:rFonts w:ascii="Tahoma" w:hAnsi="Tahoma" w:cs="Tahoma"/>
                <w:sz w:val="20"/>
                <w:szCs w:val="20"/>
              </w:rPr>
            </w:pPr>
            <w:r w:rsidRPr="003846F1">
              <w:rPr>
                <w:rFonts w:ascii="Tahoma" w:hAnsi="Tahoma" w:cs="Tahoma"/>
                <w:sz w:val="20"/>
                <w:szCs w:val="20"/>
              </w:rPr>
              <w:t>Переменная процентная ставка не применяется в Договоре. Кредит предоставляется в рублях, вместе с тем, Заемщикам, получающим доход в иностранной валюте следует помнить, что изменение курса иностранной валюты в прошлом не свидетельствует об изменении ее курса в будущем, в связи с чем, такие Заемщики несут повышенные риски в связи с получением доходов в иностранной валюте.</w:t>
            </w:r>
          </w:p>
        </w:tc>
      </w:tr>
      <w:tr w:rsidR="009D1253" w:rsidRPr="008D26EE" w14:paraId="3333487E"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1570DDFF" w14:textId="77777777" w:rsidR="009D1253" w:rsidRPr="008D26EE" w:rsidRDefault="009D1253" w:rsidP="009D1253">
            <w:pPr>
              <w:rPr>
                <w:rFonts w:ascii="Tahoma" w:hAnsi="Tahoma" w:cs="Tahoma"/>
                <w:b/>
                <w:sz w:val="20"/>
                <w:szCs w:val="20"/>
              </w:rPr>
            </w:pPr>
            <w:r w:rsidRPr="008D26EE">
              <w:rPr>
                <w:rFonts w:ascii="Tahoma" w:hAnsi="Tahoma" w:cs="Tahoma"/>
                <w:b/>
                <w:sz w:val="20"/>
                <w:szCs w:val="20"/>
              </w:rPr>
              <w:t>Иные договоры, требуемые для заключения или исполнения Договора</w:t>
            </w:r>
            <w:r w:rsidRPr="003846F1">
              <w:rPr>
                <w:rFonts w:ascii="Tahoma" w:hAnsi="Tahoma" w:cs="Tahoma"/>
                <w:b/>
                <w:bCs/>
                <w:sz w:val="20"/>
                <w:szCs w:val="20"/>
              </w:rPr>
              <w:t>, а также информация о возможности заемщика согласиться с заключением таких договоров и (или) приобретением таких услуг (работ, товаров) либо отказаться от них</w:t>
            </w:r>
          </w:p>
        </w:tc>
        <w:tc>
          <w:tcPr>
            <w:tcW w:w="3525" w:type="pct"/>
            <w:tcBorders>
              <w:top w:val="single" w:sz="4" w:space="0" w:color="auto"/>
              <w:left w:val="nil"/>
              <w:bottom w:val="single" w:sz="4" w:space="0" w:color="auto"/>
              <w:right w:val="single" w:sz="8" w:space="0" w:color="000000"/>
            </w:tcBorders>
            <w:noWrap/>
            <w:vAlign w:val="center"/>
          </w:tcPr>
          <w:p w14:paraId="26013AC2" w14:textId="77777777" w:rsidR="009D1253" w:rsidRDefault="009D1253" w:rsidP="009D1253">
            <w:pPr>
              <w:widowControl w:val="0"/>
              <w:tabs>
                <w:tab w:val="left" w:pos="426"/>
                <w:tab w:val="left" w:pos="851"/>
              </w:tabs>
              <w:jc w:val="both"/>
              <w:rPr>
                <w:rFonts w:ascii="Tahoma" w:hAnsi="Tahoma" w:cs="Tahoma"/>
                <w:sz w:val="20"/>
                <w:szCs w:val="20"/>
              </w:rPr>
            </w:pPr>
            <w:r w:rsidRPr="008D26EE">
              <w:rPr>
                <w:rFonts w:ascii="Tahoma" w:hAnsi="Tahoma" w:cs="Tahoma"/>
                <w:sz w:val="20"/>
                <w:szCs w:val="20"/>
              </w:rPr>
              <w:t>Заключение между Сторонами договора банковского счета (на основании которого Заёмщику Банком открывается ТБС), элементы которого включены в Договор, заключение (путем присоединения) УДБО, содержащего Общие условия.</w:t>
            </w:r>
          </w:p>
          <w:p w14:paraId="1837E405" w14:textId="77777777" w:rsidR="009D1253" w:rsidRPr="008D26EE" w:rsidRDefault="009D1253" w:rsidP="009D1253">
            <w:pPr>
              <w:widowControl w:val="0"/>
              <w:tabs>
                <w:tab w:val="left" w:pos="426"/>
                <w:tab w:val="left" w:pos="851"/>
              </w:tabs>
              <w:jc w:val="both"/>
              <w:rPr>
                <w:rFonts w:ascii="Tahoma" w:hAnsi="Tahoma" w:cs="Tahoma"/>
                <w:sz w:val="20"/>
                <w:szCs w:val="20"/>
              </w:rPr>
            </w:pPr>
            <w:r w:rsidRPr="003846F1">
              <w:rPr>
                <w:rFonts w:ascii="Tahoma" w:hAnsi="Tahoma" w:cs="Tahoma"/>
                <w:sz w:val="20"/>
                <w:szCs w:val="20"/>
              </w:rPr>
              <w:t>Если при оформлении Договора Заемщику предлагаются иные дополнительные услуги (работы, товары), приобретение которых не является обязательным в силу закона, Заемщик вправе отказаться от их приобретения.</w:t>
            </w:r>
          </w:p>
        </w:tc>
      </w:tr>
      <w:tr w:rsidR="009D1253" w:rsidRPr="008D26EE" w14:paraId="0FCE25D6"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5170D7D9" w14:textId="77777777" w:rsidR="009D1253" w:rsidRPr="008D26EE" w:rsidRDefault="009D1253" w:rsidP="009D1253">
            <w:pPr>
              <w:rPr>
                <w:rFonts w:ascii="Tahoma" w:hAnsi="Tahoma" w:cs="Tahoma"/>
                <w:b/>
                <w:sz w:val="20"/>
                <w:szCs w:val="20"/>
              </w:rPr>
            </w:pPr>
            <w:r w:rsidRPr="008D26EE">
              <w:rPr>
                <w:rFonts w:ascii="Tahoma" w:hAnsi="Tahoma" w:cs="Tahoma"/>
                <w:b/>
                <w:sz w:val="20"/>
                <w:szCs w:val="20"/>
              </w:rPr>
              <w:t>Виды и суммы иных платежей Заёмщика по Договору</w:t>
            </w:r>
          </w:p>
        </w:tc>
        <w:tc>
          <w:tcPr>
            <w:tcW w:w="3525" w:type="pct"/>
            <w:tcBorders>
              <w:top w:val="single" w:sz="4" w:space="0" w:color="auto"/>
              <w:left w:val="nil"/>
              <w:bottom w:val="single" w:sz="4" w:space="0" w:color="auto"/>
              <w:right w:val="single" w:sz="8" w:space="0" w:color="000000"/>
            </w:tcBorders>
            <w:noWrap/>
            <w:vAlign w:val="center"/>
          </w:tcPr>
          <w:p w14:paraId="71158402" w14:textId="77777777" w:rsidR="009D1253" w:rsidRPr="008D26EE" w:rsidRDefault="009D1253" w:rsidP="009D1253">
            <w:pPr>
              <w:widowControl w:val="0"/>
              <w:tabs>
                <w:tab w:val="left" w:pos="426"/>
                <w:tab w:val="left" w:pos="851"/>
              </w:tabs>
              <w:jc w:val="both"/>
              <w:rPr>
                <w:rFonts w:ascii="Tahoma" w:hAnsi="Tahoma" w:cs="Tahoma"/>
                <w:sz w:val="20"/>
                <w:szCs w:val="20"/>
              </w:rPr>
            </w:pPr>
            <w:r w:rsidRPr="008D26EE">
              <w:rPr>
                <w:rFonts w:ascii="Tahoma" w:hAnsi="Tahoma" w:cs="Tahoma"/>
                <w:sz w:val="20"/>
                <w:szCs w:val="20"/>
              </w:rPr>
              <w:t>Иные обязательные платежи по Договору отсутствуют.</w:t>
            </w:r>
          </w:p>
          <w:p w14:paraId="61763B4F" w14:textId="77777777" w:rsidR="009D1253" w:rsidRPr="008D26EE" w:rsidRDefault="009D1253" w:rsidP="009D1253">
            <w:pPr>
              <w:widowControl w:val="0"/>
              <w:tabs>
                <w:tab w:val="left" w:pos="426"/>
                <w:tab w:val="left" w:pos="851"/>
              </w:tabs>
              <w:jc w:val="both"/>
              <w:rPr>
                <w:rFonts w:ascii="Tahoma" w:hAnsi="Tahoma" w:cs="Tahoma"/>
              </w:rPr>
            </w:pPr>
            <w:r w:rsidRPr="008D26EE">
              <w:rPr>
                <w:rFonts w:ascii="Tahoma" w:hAnsi="Tahoma" w:cs="Tahoma"/>
                <w:sz w:val="20"/>
                <w:szCs w:val="20"/>
              </w:rPr>
              <w:t>При наличии соответствующего волеизъявления Заемщика ему могут быть оказаны Банком услуги, не являющиеся обязательными для заключения или исполнения Договора, плата за которые предусмотрена Тарифами Банка(</w:t>
            </w:r>
            <w:hyperlink r:id="rId68" w:tgtFrame="_blank" w:history="1">
              <w:r w:rsidRPr="008D26EE">
                <w:rPr>
                  <w:rStyle w:val="aff"/>
                  <w:rFonts w:ascii="Tahoma" w:hAnsi="Tahoma" w:cs="Tahoma"/>
                  <w:color w:val="0065FF"/>
                  <w:sz w:val="20"/>
                  <w:szCs w:val="20"/>
                  <w:shd w:val="clear" w:color="auto" w:fill="FFFFFF"/>
                </w:rPr>
                <w:t>https://www.atb.su/upload/doc/kniga-tarif/tarify-po-raschetno-kassovomu-obsluzhivaniyu-klientov-fizicheskikh-lits.pdf</w:t>
              </w:r>
            </w:hyperlink>
            <w:r w:rsidRPr="008D26EE">
              <w:rPr>
                <w:rFonts w:ascii="Tahoma" w:hAnsi="Tahoma" w:cs="Tahoma"/>
                <w:color w:val="172B4D"/>
                <w:sz w:val="20"/>
                <w:szCs w:val="20"/>
                <w:shd w:val="clear" w:color="auto" w:fill="FFFFFF"/>
              </w:rPr>
              <w:t> </w:t>
            </w:r>
            <w:r w:rsidRPr="008D26EE">
              <w:rPr>
                <w:rFonts w:ascii="Tahoma" w:hAnsi="Tahoma" w:cs="Tahoma"/>
                <w:sz w:val="20"/>
                <w:szCs w:val="20"/>
              </w:rPr>
              <w:t>). Оказание услуги Банком производится в случае выражения Заемщиком волеизъявления на пользование определенной услугой. Оплата услуг должна быть произведена до момента оказания Банком услуг.</w:t>
            </w:r>
          </w:p>
        </w:tc>
      </w:tr>
      <w:tr w:rsidR="009D1253" w:rsidRPr="008D26EE" w14:paraId="399FFA67"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728E37F0" w14:textId="77777777" w:rsidR="009D1253" w:rsidRPr="008D26EE" w:rsidRDefault="009D1253" w:rsidP="009D1253">
            <w:pPr>
              <w:rPr>
                <w:rFonts w:ascii="Tahoma" w:hAnsi="Tahoma" w:cs="Tahoma"/>
                <w:b/>
                <w:sz w:val="20"/>
                <w:szCs w:val="20"/>
              </w:rPr>
            </w:pPr>
            <w:r w:rsidRPr="008D26EE">
              <w:rPr>
                <w:rFonts w:ascii="Tahoma" w:hAnsi="Tahoma" w:cs="Tahoma"/>
                <w:b/>
                <w:sz w:val="20"/>
                <w:szCs w:val="20"/>
              </w:rPr>
              <w:t>Информация об определении курса иностранной валюты в случае, если валюта, в которой осуществляется перевод денежных средств кредитором третьему лицу, указанному Заёмщиком при предоставлении потребительского Кредита, может отличаться от валюты потребительского Кредита</w:t>
            </w:r>
          </w:p>
        </w:tc>
        <w:tc>
          <w:tcPr>
            <w:tcW w:w="3525" w:type="pct"/>
            <w:tcBorders>
              <w:top w:val="single" w:sz="4" w:space="0" w:color="auto"/>
              <w:left w:val="nil"/>
              <w:bottom w:val="single" w:sz="4" w:space="0" w:color="auto"/>
              <w:right w:val="single" w:sz="8" w:space="0" w:color="000000"/>
            </w:tcBorders>
            <w:noWrap/>
            <w:vAlign w:val="center"/>
          </w:tcPr>
          <w:p w14:paraId="5504F10A" w14:textId="77777777" w:rsidR="009D1253" w:rsidRPr="008D26EE" w:rsidRDefault="009D1253" w:rsidP="009D1253">
            <w:pPr>
              <w:widowControl w:val="0"/>
              <w:tabs>
                <w:tab w:val="left" w:pos="426"/>
                <w:tab w:val="left" w:pos="851"/>
              </w:tabs>
              <w:jc w:val="both"/>
              <w:rPr>
                <w:rFonts w:ascii="Tahoma" w:hAnsi="Tahoma" w:cs="Tahoma"/>
                <w:sz w:val="20"/>
                <w:szCs w:val="20"/>
              </w:rPr>
            </w:pPr>
            <w:r w:rsidRPr="008D26EE">
              <w:rPr>
                <w:rFonts w:ascii="Tahoma" w:hAnsi="Tahoma" w:cs="Tahoma"/>
                <w:sz w:val="20"/>
                <w:szCs w:val="20"/>
              </w:rPr>
              <w:t>Не применимо</w:t>
            </w:r>
          </w:p>
        </w:tc>
      </w:tr>
      <w:tr w:rsidR="009D1253" w:rsidRPr="008D26EE" w14:paraId="716199E6"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49561F3A" w14:textId="77777777" w:rsidR="009D1253" w:rsidRPr="008D26EE" w:rsidRDefault="009D1253" w:rsidP="009D1253">
            <w:pPr>
              <w:rPr>
                <w:rFonts w:ascii="Tahoma" w:hAnsi="Tahoma" w:cs="Tahoma"/>
                <w:b/>
                <w:sz w:val="20"/>
                <w:szCs w:val="20"/>
              </w:rPr>
            </w:pPr>
            <w:r w:rsidRPr="008D26EE">
              <w:rPr>
                <w:rFonts w:ascii="Tahoma" w:hAnsi="Tahoma" w:cs="Tahoma"/>
                <w:b/>
                <w:sz w:val="20"/>
                <w:szCs w:val="20"/>
              </w:rPr>
              <w:t>Дата, начиная с которой начисляются проценты за пользование Кредитом, или порядок ее определения</w:t>
            </w:r>
          </w:p>
        </w:tc>
        <w:tc>
          <w:tcPr>
            <w:tcW w:w="3525" w:type="pct"/>
            <w:tcBorders>
              <w:top w:val="single" w:sz="4" w:space="0" w:color="auto"/>
              <w:left w:val="nil"/>
              <w:bottom w:val="single" w:sz="4" w:space="0" w:color="auto"/>
              <w:right w:val="single" w:sz="8" w:space="0" w:color="000000"/>
            </w:tcBorders>
            <w:noWrap/>
            <w:vAlign w:val="center"/>
          </w:tcPr>
          <w:p w14:paraId="07F8DDCC" w14:textId="77777777" w:rsidR="009D1253" w:rsidRPr="008D26EE" w:rsidRDefault="009D1253" w:rsidP="009D1253">
            <w:pPr>
              <w:widowControl w:val="0"/>
              <w:tabs>
                <w:tab w:val="left" w:pos="426"/>
                <w:tab w:val="left" w:pos="851"/>
              </w:tabs>
              <w:jc w:val="both"/>
              <w:rPr>
                <w:rFonts w:ascii="Tahoma" w:hAnsi="Tahoma" w:cs="Tahoma"/>
                <w:sz w:val="20"/>
                <w:szCs w:val="20"/>
              </w:rPr>
            </w:pPr>
            <w:r w:rsidRPr="008D26EE">
              <w:rPr>
                <w:rFonts w:ascii="Tahoma" w:hAnsi="Tahoma" w:cs="Tahoma"/>
                <w:sz w:val="20"/>
                <w:szCs w:val="20"/>
              </w:rPr>
              <w:t xml:space="preserve">Дата, следующая за датой выдачи Заёмщику Кредита </w:t>
            </w:r>
          </w:p>
        </w:tc>
      </w:tr>
      <w:tr w:rsidR="009D1253" w:rsidRPr="008D26EE" w14:paraId="44226305"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4859EEA3" w14:textId="77777777" w:rsidR="009D1253" w:rsidRPr="008D26EE" w:rsidRDefault="009D1253" w:rsidP="009D1253">
            <w:pPr>
              <w:rPr>
                <w:rFonts w:ascii="Tahoma" w:hAnsi="Tahoma" w:cs="Tahoma"/>
                <w:b/>
                <w:sz w:val="20"/>
                <w:szCs w:val="20"/>
              </w:rPr>
            </w:pPr>
            <w:r w:rsidRPr="008D26EE">
              <w:rPr>
                <w:rFonts w:ascii="Tahoma" w:hAnsi="Tahoma" w:cs="Tahoma"/>
                <w:b/>
                <w:sz w:val="20"/>
                <w:szCs w:val="20"/>
              </w:rPr>
              <w:lastRenderedPageBreak/>
              <w:t>Периодичность платежей Заёмщика при возврате Кредита, уплате процентов и иных платежей по Кредиту</w:t>
            </w:r>
          </w:p>
        </w:tc>
        <w:tc>
          <w:tcPr>
            <w:tcW w:w="3525" w:type="pct"/>
            <w:tcBorders>
              <w:top w:val="single" w:sz="4" w:space="0" w:color="auto"/>
              <w:left w:val="nil"/>
              <w:bottom w:val="single" w:sz="4" w:space="0" w:color="auto"/>
              <w:right w:val="single" w:sz="8" w:space="0" w:color="000000"/>
            </w:tcBorders>
            <w:noWrap/>
            <w:vAlign w:val="center"/>
          </w:tcPr>
          <w:p w14:paraId="3D24B436" w14:textId="77777777" w:rsidR="009D1253" w:rsidRPr="008D26EE" w:rsidRDefault="009D1253" w:rsidP="009D1253">
            <w:pPr>
              <w:widowControl w:val="0"/>
              <w:tabs>
                <w:tab w:val="left" w:pos="426"/>
                <w:tab w:val="left" w:pos="851"/>
              </w:tabs>
              <w:jc w:val="both"/>
              <w:rPr>
                <w:rFonts w:ascii="Tahoma" w:hAnsi="Tahoma" w:cs="Tahoma"/>
                <w:sz w:val="20"/>
                <w:szCs w:val="20"/>
              </w:rPr>
            </w:pPr>
            <w:r w:rsidRPr="008D26EE">
              <w:rPr>
                <w:rFonts w:ascii="Tahoma" w:hAnsi="Tahoma" w:cs="Tahoma"/>
                <w:sz w:val="20"/>
                <w:szCs w:val="20"/>
              </w:rPr>
              <w:t>Ежемесячно аннуитетными платежами</w:t>
            </w:r>
          </w:p>
        </w:tc>
      </w:tr>
      <w:tr w:rsidR="009D1253" w:rsidRPr="008D26EE" w14:paraId="3E0003BC"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763D83C4" w14:textId="77777777" w:rsidR="009D1253" w:rsidRPr="008D26EE" w:rsidRDefault="009D1253" w:rsidP="009D1253">
            <w:pPr>
              <w:rPr>
                <w:rFonts w:ascii="Tahoma" w:hAnsi="Tahoma" w:cs="Tahoma"/>
                <w:b/>
                <w:sz w:val="20"/>
                <w:szCs w:val="20"/>
              </w:rPr>
            </w:pPr>
            <w:r w:rsidRPr="008D26EE">
              <w:rPr>
                <w:rFonts w:ascii="Tahoma" w:hAnsi="Tahoma" w:cs="Tahoma"/>
                <w:b/>
                <w:sz w:val="20"/>
                <w:szCs w:val="20"/>
              </w:rPr>
              <w:t>Срок действия Договора</w:t>
            </w:r>
          </w:p>
        </w:tc>
        <w:tc>
          <w:tcPr>
            <w:tcW w:w="3525" w:type="pct"/>
            <w:tcBorders>
              <w:top w:val="single" w:sz="4" w:space="0" w:color="auto"/>
              <w:left w:val="nil"/>
              <w:bottom w:val="single" w:sz="4" w:space="0" w:color="auto"/>
              <w:right w:val="single" w:sz="8" w:space="0" w:color="000000"/>
            </w:tcBorders>
            <w:noWrap/>
            <w:vAlign w:val="center"/>
          </w:tcPr>
          <w:p w14:paraId="30F4E4F3" w14:textId="77777777" w:rsidR="009D1253" w:rsidRPr="008D26EE" w:rsidRDefault="009D1253" w:rsidP="009D1253">
            <w:pPr>
              <w:widowControl w:val="0"/>
              <w:tabs>
                <w:tab w:val="left" w:pos="426"/>
                <w:tab w:val="left" w:pos="851"/>
              </w:tabs>
              <w:jc w:val="both"/>
              <w:rPr>
                <w:rFonts w:ascii="Tahoma" w:hAnsi="Tahoma" w:cs="Tahoma"/>
                <w:sz w:val="20"/>
                <w:szCs w:val="20"/>
              </w:rPr>
            </w:pPr>
            <w:r w:rsidRPr="008D26EE">
              <w:rPr>
                <w:rFonts w:ascii="Tahoma" w:hAnsi="Tahoma" w:cs="Tahoma"/>
                <w:sz w:val="20"/>
                <w:szCs w:val="20"/>
              </w:rPr>
              <w:t>До полного исполнения Сторонами обязательств по Договору</w:t>
            </w:r>
          </w:p>
        </w:tc>
      </w:tr>
      <w:tr w:rsidR="009D1253" w:rsidRPr="008D26EE" w14:paraId="66A9ED08"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219C2BC0" w14:textId="77777777" w:rsidR="009D1253" w:rsidRPr="008D26EE" w:rsidRDefault="009D1253" w:rsidP="009D1253">
            <w:pPr>
              <w:rPr>
                <w:rFonts w:ascii="Tahoma" w:hAnsi="Tahoma" w:cs="Tahoma"/>
                <w:b/>
                <w:sz w:val="20"/>
                <w:szCs w:val="20"/>
              </w:rPr>
            </w:pPr>
            <w:r w:rsidRPr="008D26EE">
              <w:rPr>
                <w:rFonts w:ascii="Tahoma" w:hAnsi="Tahoma" w:cs="Tahoma"/>
                <w:b/>
                <w:sz w:val="20"/>
                <w:szCs w:val="20"/>
              </w:rPr>
              <w:t>Срок рассмотрения  оформленного Заёмщиком заявления о предоставлении Кредита и принятия Кредитором решения относительно этого заявления</w:t>
            </w:r>
          </w:p>
        </w:tc>
        <w:tc>
          <w:tcPr>
            <w:tcW w:w="3525" w:type="pct"/>
            <w:tcBorders>
              <w:top w:val="single" w:sz="4" w:space="0" w:color="auto"/>
              <w:left w:val="nil"/>
              <w:bottom w:val="single" w:sz="4" w:space="0" w:color="auto"/>
              <w:right w:val="single" w:sz="8" w:space="0" w:color="000000"/>
            </w:tcBorders>
            <w:noWrap/>
            <w:vAlign w:val="center"/>
          </w:tcPr>
          <w:p w14:paraId="7F47202A" w14:textId="77777777" w:rsidR="009D1253" w:rsidRPr="008D26EE" w:rsidRDefault="009D1253" w:rsidP="009D1253">
            <w:pPr>
              <w:widowControl w:val="0"/>
              <w:tabs>
                <w:tab w:val="left" w:pos="426"/>
                <w:tab w:val="left" w:pos="851"/>
              </w:tabs>
              <w:jc w:val="both"/>
              <w:rPr>
                <w:rFonts w:ascii="Tahoma" w:hAnsi="Tahoma" w:cs="Tahoma"/>
                <w:sz w:val="20"/>
                <w:szCs w:val="20"/>
              </w:rPr>
            </w:pPr>
            <w:r w:rsidRPr="008D26EE">
              <w:rPr>
                <w:rFonts w:ascii="Tahoma" w:hAnsi="Tahoma" w:cs="Tahoma"/>
                <w:color w:val="000000"/>
                <w:sz w:val="20"/>
                <w:szCs w:val="20"/>
              </w:rPr>
              <w:t>Решение принимается в течение 1 часа с момента предоставления Заёмщиком Банку полного пакета документов. В случае необходимости запроса у Заёмщика дополнительных документов решение принимается в индивидуальные сроки.</w:t>
            </w:r>
            <w:r w:rsidRPr="008D26EE">
              <w:rPr>
                <w:rFonts w:ascii="Tahoma" w:hAnsi="Tahoma" w:cs="Tahoma"/>
                <w:sz w:val="20"/>
                <w:szCs w:val="20"/>
              </w:rPr>
              <w:fldChar w:fldCharType="begin"/>
            </w:r>
            <w:r w:rsidRPr="008D26EE">
              <w:rPr>
                <w:rFonts w:ascii="Tahoma" w:hAnsi="Tahoma" w:cs="Tahoma"/>
                <w:sz w:val="20"/>
                <w:szCs w:val="20"/>
              </w:rPr>
              <w:instrText xml:space="preserve"> DOCVARIABLE  WAS_BORN_DMY </w:instrText>
            </w:r>
            <w:r w:rsidRPr="008D26EE">
              <w:rPr>
                <w:rFonts w:ascii="Tahoma" w:hAnsi="Tahoma" w:cs="Tahoma"/>
                <w:sz w:val="20"/>
                <w:szCs w:val="20"/>
              </w:rPr>
              <w:fldChar w:fldCharType="end"/>
            </w:r>
          </w:p>
        </w:tc>
      </w:tr>
      <w:tr w:rsidR="009D1253" w:rsidRPr="008D26EE" w14:paraId="76F79929"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vAlign w:val="center"/>
          </w:tcPr>
          <w:p w14:paraId="1FF73CD3" w14:textId="77777777" w:rsidR="009D1253" w:rsidRPr="008D26EE" w:rsidRDefault="009D1253" w:rsidP="009D1253">
            <w:pPr>
              <w:rPr>
                <w:rFonts w:ascii="Tahoma" w:hAnsi="Tahoma" w:cs="Tahoma"/>
                <w:b/>
                <w:sz w:val="20"/>
                <w:szCs w:val="20"/>
              </w:rPr>
            </w:pPr>
            <w:r w:rsidRPr="008D26EE">
              <w:rPr>
                <w:rFonts w:ascii="Tahoma" w:hAnsi="Tahoma" w:cs="Tahoma"/>
                <w:b/>
                <w:sz w:val="20"/>
                <w:szCs w:val="20"/>
              </w:rPr>
              <w:t xml:space="preserve">Срок, в течение которого Заёмщик вправе отказаться от получения Кредита </w:t>
            </w:r>
          </w:p>
        </w:tc>
        <w:tc>
          <w:tcPr>
            <w:tcW w:w="3525" w:type="pct"/>
            <w:tcBorders>
              <w:top w:val="single" w:sz="4" w:space="0" w:color="auto"/>
              <w:left w:val="nil"/>
              <w:bottom w:val="single" w:sz="4" w:space="0" w:color="auto"/>
              <w:right w:val="single" w:sz="8" w:space="0" w:color="000000"/>
            </w:tcBorders>
            <w:noWrap/>
            <w:vAlign w:val="center"/>
          </w:tcPr>
          <w:p w14:paraId="6AE53A39" w14:textId="77777777" w:rsidR="009D1253" w:rsidRPr="008D26EE" w:rsidRDefault="009D1253" w:rsidP="009D1253">
            <w:pPr>
              <w:widowControl w:val="0"/>
              <w:tabs>
                <w:tab w:val="left" w:pos="426"/>
                <w:tab w:val="left" w:pos="851"/>
              </w:tabs>
              <w:jc w:val="both"/>
              <w:rPr>
                <w:rFonts w:ascii="Tahoma" w:hAnsi="Tahoma" w:cs="Tahoma"/>
                <w:color w:val="000000"/>
                <w:sz w:val="20"/>
                <w:szCs w:val="20"/>
              </w:rPr>
            </w:pPr>
            <w:r w:rsidRPr="008D26EE">
              <w:rPr>
                <w:rFonts w:ascii="Tahoma" w:hAnsi="Tahoma" w:cs="Tahoma"/>
                <w:sz w:val="20"/>
                <w:szCs w:val="20"/>
              </w:rPr>
              <w:t xml:space="preserve">Заёмщик вправе отказаться от получения Кредита полностью или частично, уведомив об этом Банк до истечения установленного Договором срока его предоставления. </w:t>
            </w:r>
          </w:p>
        </w:tc>
      </w:tr>
      <w:tr w:rsidR="009D1253" w:rsidRPr="008D26EE" w14:paraId="2505F3C7"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5" w:type="pct"/>
            <w:tcBorders>
              <w:top w:val="single" w:sz="4" w:space="0" w:color="auto"/>
              <w:left w:val="single" w:sz="8" w:space="0" w:color="auto"/>
              <w:bottom w:val="single" w:sz="4" w:space="0" w:color="auto"/>
              <w:right w:val="single" w:sz="4" w:space="0" w:color="auto"/>
            </w:tcBorders>
          </w:tcPr>
          <w:p w14:paraId="13BBAEDC" w14:textId="77777777" w:rsidR="009D1253" w:rsidRPr="008D26EE" w:rsidRDefault="009D1253" w:rsidP="009D1253">
            <w:pPr>
              <w:rPr>
                <w:rFonts w:ascii="Tahoma" w:hAnsi="Tahoma" w:cs="Tahoma"/>
                <w:b/>
                <w:sz w:val="20"/>
                <w:szCs w:val="20"/>
              </w:rPr>
            </w:pPr>
            <w:r w:rsidRPr="008D26EE">
              <w:rPr>
                <w:rFonts w:ascii="Tahoma" w:hAnsi="Tahoma" w:cs="Tahoma"/>
                <w:b/>
                <w:sz w:val="20"/>
                <w:szCs w:val="20"/>
              </w:rPr>
              <w:t>Срок действия решения о предоставлении Кредита</w:t>
            </w:r>
          </w:p>
        </w:tc>
        <w:tc>
          <w:tcPr>
            <w:tcW w:w="3525" w:type="pct"/>
            <w:tcBorders>
              <w:top w:val="single" w:sz="4" w:space="0" w:color="auto"/>
              <w:left w:val="nil"/>
              <w:bottom w:val="single" w:sz="4" w:space="0" w:color="auto"/>
              <w:right w:val="single" w:sz="8" w:space="0" w:color="000000"/>
            </w:tcBorders>
            <w:noWrap/>
            <w:vAlign w:val="center"/>
          </w:tcPr>
          <w:p w14:paraId="222FF63B" w14:textId="77777777" w:rsidR="009D1253" w:rsidRPr="008D26EE" w:rsidRDefault="009D1253" w:rsidP="009D1253">
            <w:pPr>
              <w:widowControl w:val="0"/>
              <w:tabs>
                <w:tab w:val="left" w:pos="426"/>
                <w:tab w:val="left" w:pos="851"/>
              </w:tabs>
              <w:jc w:val="both"/>
              <w:rPr>
                <w:rFonts w:ascii="Tahoma" w:hAnsi="Tahoma" w:cs="Tahoma"/>
                <w:sz w:val="20"/>
                <w:szCs w:val="20"/>
              </w:rPr>
            </w:pPr>
            <w:r w:rsidRPr="008D26EE">
              <w:rPr>
                <w:rFonts w:ascii="Tahoma" w:hAnsi="Tahoma" w:cs="Tahoma"/>
                <w:sz w:val="20"/>
                <w:szCs w:val="20"/>
              </w:rPr>
              <w:t>30 календарных дней</w:t>
            </w:r>
            <w:r>
              <w:rPr>
                <w:rFonts w:ascii="Tahoma" w:hAnsi="Tahoma" w:cs="Tahoma"/>
                <w:sz w:val="20"/>
                <w:szCs w:val="20"/>
              </w:rPr>
              <w:t xml:space="preserve"> с даты принятия Банком решения</w:t>
            </w:r>
          </w:p>
        </w:tc>
      </w:tr>
      <w:tr w:rsidR="009D1253" w:rsidRPr="008D26EE" w14:paraId="659CF02A"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301"/>
        </w:trPr>
        <w:tc>
          <w:tcPr>
            <w:tcW w:w="1475" w:type="pct"/>
            <w:tcBorders>
              <w:top w:val="single" w:sz="4" w:space="0" w:color="auto"/>
              <w:left w:val="single" w:sz="8" w:space="0" w:color="auto"/>
              <w:bottom w:val="single" w:sz="4" w:space="0" w:color="auto"/>
              <w:right w:val="single" w:sz="4" w:space="0" w:color="auto"/>
            </w:tcBorders>
            <w:vAlign w:val="center"/>
          </w:tcPr>
          <w:p w14:paraId="7065D190" w14:textId="77777777" w:rsidR="009D1253" w:rsidRPr="008D26EE" w:rsidRDefault="009D1253" w:rsidP="009D1253">
            <w:pPr>
              <w:rPr>
                <w:rFonts w:ascii="Tahoma" w:hAnsi="Tahoma" w:cs="Tahoma"/>
                <w:b/>
                <w:sz w:val="20"/>
                <w:szCs w:val="20"/>
              </w:rPr>
            </w:pPr>
            <w:r w:rsidRPr="008D26EE">
              <w:rPr>
                <w:rFonts w:ascii="Tahoma" w:hAnsi="Tahoma" w:cs="Tahoma"/>
                <w:b/>
                <w:sz w:val="20"/>
                <w:szCs w:val="20"/>
              </w:rPr>
              <w:t>Способы обеспечения исполнения обязательств по Договору «Потребительский кредит</w:t>
            </w:r>
            <w:r>
              <w:rPr>
                <w:rFonts w:ascii="Tahoma" w:hAnsi="Tahoma" w:cs="Tahoma"/>
                <w:b/>
                <w:sz w:val="20"/>
                <w:szCs w:val="20"/>
              </w:rPr>
              <w:t xml:space="preserve"> АК</w:t>
            </w:r>
            <w:r w:rsidRPr="008D26EE">
              <w:rPr>
                <w:rFonts w:ascii="Tahoma" w:hAnsi="Tahoma" w:cs="Tahoma"/>
                <w:b/>
                <w:sz w:val="20"/>
                <w:szCs w:val="20"/>
              </w:rPr>
              <w:t>»</w:t>
            </w:r>
          </w:p>
        </w:tc>
        <w:tc>
          <w:tcPr>
            <w:tcW w:w="3525" w:type="pct"/>
            <w:tcBorders>
              <w:top w:val="single" w:sz="4" w:space="0" w:color="auto"/>
              <w:left w:val="nil"/>
              <w:bottom w:val="single" w:sz="4" w:space="0" w:color="auto"/>
              <w:right w:val="single" w:sz="8" w:space="0" w:color="000000"/>
            </w:tcBorders>
            <w:noWrap/>
            <w:vAlign w:val="center"/>
          </w:tcPr>
          <w:p w14:paraId="0D256AF7" w14:textId="77777777" w:rsidR="009D1253" w:rsidRPr="0009621D" w:rsidRDefault="009D1253" w:rsidP="009D1253">
            <w:pPr>
              <w:pStyle w:val="affe"/>
              <w:numPr>
                <w:ilvl w:val="0"/>
                <w:numId w:val="157"/>
              </w:numPr>
              <w:tabs>
                <w:tab w:val="left" w:pos="268"/>
              </w:tabs>
              <w:ind w:left="193" w:hanging="193"/>
              <w:contextualSpacing/>
              <w:jc w:val="both"/>
              <w:rPr>
                <w:rFonts w:ascii="Tahoma" w:hAnsi="Tahoma" w:cs="Tahoma"/>
                <w:sz w:val="20"/>
                <w:szCs w:val="20"/>
              </w:rPr>
            </w:pPr>
            <w:r w:rsidRPr="001B084B">
              <w:rPr>
                <w:rFonts w:ascii="Tahoma" w:hAnsi="Tahoma" w:cs="Tahoma"/>
                <w:sz w:val="20"/>
                <w:szCs w:val="20"/>
              </w:rPr>
              <w:t>Залог транспортного средства</w:t>
            </w:r>
            <w:r>
              <w:rPr>
                <w:rFonts w:ascii="Tahoma" w:hAnsi="Tahoma" w:cs="Tahoma"/>
                <w:sz w:val="20"/>
                <w:szCs w:val="20"/>
              </w:rPr>
              <w:t xml:space="preserve"> Заемщика</w:t>
            </w:r>
            <w:r w:rsidRPr="001B084B">
              <w:rPr>
                <w:rFonts w:ascii="Tahoma" w:hAnsi="Tahoma" w:cs="Tahoma"/>
                <w:sz w:val="20"/>
                <w:szCs w:val="20"/>
              </w:rPr>
              <w:t xml:space="preserve">, соответствующего требованиям </w:t>
            </w:r>
            <w:r>
              <w:rPr>
                <w:rFonts w:ascii="Tahoma" w:hAnsi="Tahoma" w:cs="Tahoma"/>
                <w:sz w:val="20"/>
                <w:szCs w:val="20"/>
              </w:rPr>
              <w:t xml:space="preserve">Банка </w:t>
            </w:r>
            <w:r w:rsidRPr="001B084B">
              <w:rPr>
                <w:rFonts w:ascii="Tahoma" w:hAnsi="Tahoma" w:cs="Tahoma"/>
                <w:sz w:val="20"/>
                <w:szCs w:val="20"/>
              </w:rPr>
              <w:t>к предмету залога</w:t>
            </w:r>
          </w:p>
          <w:p w14:paraId="6F853DB3" w14:textId="77777777" w:rsidR="009D1253" w:rsidRPr="00EB6CA9" w:rsidRDefault="009D1253" w:rsidP="009D1253">
            <w:pPr>
              <w:pStyle w:val="affe"/>
              <w:numPr>
                <w:ilvl w:val="0"/>
                <w:numId w:val="157"/>
              </w:numPr>
              <w:tabs>
                <w:tab w:val="left" w:pos="193"/>
              </w:tabs>
              <w:ind w:left="0" w:firstLine="0"/>
              <w:jc w:val="both"/>
              <w:rPr>
                <w:rFonts w:ascii="Tahoma" w:hAnsi="Tahoma" w:cs="Tahoma"/>
                <w:sz w:val="20"/>
                <w:szCs w:val="20"/>
              </w:rPr>
            </w:pPr>
            <w:r w:rsidRPr="00EB6CA9">
              <w:rPr>
                <w:rFonts w:ascii="Tahoma" w:hAnsi="Tahoma" w:cs="Tahoma"/>
                <w:sz w:val="20"/>
                <w:szCs w:val="20"/>
              </w:rPr>
              <w:t>Неустойка (штраф, пеня). В случае нарушения обязательств по Договору с Заёмщика может быть взыскана неустойка в суммах и порядке, определенных Сторонами в соответствии с законодательством РФ и Индивидуальными условиями Договора.</w:t>
            </w:r>
            <w:r w:rsidRPr="00EB6CA9">
              <w:rPr>
                <w:rFonts w:ascii="Tahoma" w:hAnsi="Tahoma" w:cs="Tahoma"/>
                <w:sz w:val="20"/>
                <w:szCs w:val="20"/>
              </w:rPr>
              <w:fldChar w:fldCharType="begin"/>
            </w:r>
            <w:r w:rsidRPr="00EB6CA9">
              <w:rPr>
                <w:rFonts w:ascii="Tahoma" w:hAnsi="Tahoma" w:cs="Tahoma"/>
                <w:sz w:val="20"/>
                <w:szCs w:val="20"/>
              </w:rPr>
              <w:instrText xml:space="preserve"> DOCVARIABLE  ATB_ADDRESS_FACT </w:instrText>
            </w:r>
            <w:r w:rsidRPr="00EB6CA9">
              <w:rPr>
                <w:rFonts w:ascii="Tahoma" w:hAnsi="Tahoma" w:cs="Tahoma"/>
                <w:sz w:val="20"/>
                <w:szCs w:val="20"/>
              </w:rPr>
              <w:fldChar w:fldCharType="end"/>
            </w:r>
          </w:p>
        </w:tc>
      </w:tr>
      <w:tr w:rsidR="009D1253" w:rsidRPr="008D26EE" w14:paraId="28F871E4"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01"/>
        </w:trPr>
        <w:tc>
          <w:tcPr>
            <w:tcW w:w="1475" w:type="pct"/>
            <w:tcBorders>
              <w:top w:val="single" w:sz="4" w:space="0" w:color="auto"/>
              <w:left w:val="single" w:sz="8" w:space="0" w:color="auto"/>
              <w:bottom w:val="single" w:sz="4" w:space="0" w:color="auto"/>
              <w:right w:val="single" w:sz="4" w:space="0" w:color="000000"/>
            </w:tcBorders>
            <w:shd w:val="clear" w:color="auto" w:fill="auto"/>
            <w:vAlign w:val="center"/>
          </w:tcPr>
          <w:p w14:paraId="50B66A13" w14:textId="77777777" w:rsidR="009D1253" w:rsidRPr="008D26EE" w:rsidRDefault="009D1253" w:rsidP="009D1253">
            <w:pPr>
              <w:rPr>
                <w:rFonts w:ascii="Tahoma" w:hAnsi="Tahoma" w:cs="Tahoma"/>
                <w:b/>
                <w:sz w:val="20"/>
                <w:szCs w:val="20"/>
              </w:rPr>
            </w:pPr>
            <w:r w:rsidRPr="008D26EE">
              <w:rPr>
                <w:rFonts w:ascii="Tahoma" w:hAnsi="Tahoma" w:cs="Tahoma"/>
                <w:b/>
                <w:sz w:val="20"/>
                <w:szCs w:val="20"/>
              </w:rPr>
              <w:t>Способы возврата  Заёмщиком Кредита и уплаты процентов по нему, включая бесплатный способ исполнения Заёмщиком обязательств по Договору «Потребительский кредит</w:t>
            </w:r>
            <w:r>
              <w:rPr>
                <w:rFonts w:ascii="Tahoma" w:hAnsi="Tahoma" w:cs="Tahoma"/>
                <w:b/>
                <w:sz w:val="20"/>
                <w:szCs w:val="20"/>
              </w:rPr>
              <w:t xml:space="preserve"> АК</w:t>
            </w:r>
            <w:r w:rsidRPr="008D26EE">
              <w:rPr>
                <w:rFonts w:ascii="Tahoma" w:hAnsi="Tahoma" w:cs="Tahoma"/>
                <w:b/>
                <w:sz w:val="20"/>
                <w:szCs w:val="20"/>
              </w:rPr>
              <w:t>»</w:t>
            </w:r>
          </w:p>
        </w:tc>
        <w:tc>
          <w:tcPr>
            <w:tcW w:w="3525" w:type="pct"/>
            <w:tcBorders>
              <w:top w:val="single" w:sz="4" w:space="0" w:color="auto"/>
              <w:left w:val="nil"/>
              <w:bottom w:val="single" w:sz="4" w:space="0" w:color="auto"/>
              <w:right w:val="single" w:sz="8" w:space="0" w:color="000000"/>
            </w:tcBorders>
            <w:shd w:val="clear" w:color="auto" w:fill="auto"/>
            <w:vAlign w:val="center"/>
          </w:tcPr>
          <w:p w14:paraId="01104D8C" w14:textId="77777777" w:rsidR="009D1253" w:rsidRPr="008D26EE" w:rsidRDefault="009D1253" w:rsidP="009D1253">
            <w:pPr>
              <w:widowControl w:val="0"/>
              <w:tabs>
                <w:tab w:val="left" w:pos="426"/>
                <w:tab w:val="left" w:pos="851"/>
              </w:tabs>
              <w:jc w:val="both"/>
              <w:rPr>
                <w:rFonts w:ascii="Tahoma" w:hAnsi="Tahoma" w:cs="Tahoma"/>
                <w:sz w:val="20"/>
                <w:szCs w:val="20"/>
              </w:rPr>
            </w:pPr>
            <w:r w:rsidRPr="008D26EE">
              <w:rPr>
                <w:rFonts w:ascii="Tahoma" w:hAnsi="Tahoma" w:cs="Tahoma"/>
                <w:sz w:val="20"/>
                <w:szCs w:val="20"/>
              </w:rPr>
              <w:t>Погашение Заёмщиком обязательств по Договору осуществляется в сумме и сроки, предусмотренные Договором (в т.ч. при досрочном, частичном или полном возврате Кредита) производится любым способом по выбору Заёмщика, в том числе: посредством внесения денежных средств в сумме обязательства на ТБС Заёмщика через терминалы самообслуживания Банка (при их наличии в населенном пункте по месту получения Заёмщиком оферты); кассы Банка, перевод через работодателя Заёмщика, перевод со счёта в Банке на ТБС Заёмщика, перевод через отделения АО «Почта России», перевод через интернет-системы «АТБ-Онлайн», «АТБ</w:t>
            </w:r>
            <w:r>
              <w:rPr>
                <w:rFonts w:ascii="Tahoma" w:hAnsi="Tahoma" w:cs="Tahoma"/>
                <w:sz w:val="20"/>
                <w:szCs w:val="20"/>
              </w:rPr>
              <w:t xml:space="preserve"> Банк</w:t>
            </w:r>
            <w:r w:rsidRPr="008D26EE">
              <w:rPr>
                <w:rFonts w:ascii="Tahoma" w:hAnsi="Tahoma" w:cs="Tahoma"/>
                <w:sz w:val="20"/>
                <w:szCs w:val="20"/>
              </w:rPr>
              <w:t xml:space="preserve">», иные кредитные организации (по предусмотренным ими тарифам). </w:t>
            </w:r>
          </w:p>
          <w:p w14:paraId="697BA3E3" w14:textId="77777777" w:rsidR="009D1253" w:rsidRPr="008D26EE" w:rsidRDefault="009D1253" w:rsidP="009D1253">
            <w:pPr>
              <w:widowControl w:val="0"/>
              <w:tabs>
                <w:tab w:val="left" w:pos="426"/>
                <w:tab w:val="left" w:pos="851"/>
              </w:tabs>
              <w:jc w:val="both"/>
              <w:rPr>
                <w:rFonts w:ascii="Tahoma" w:hAnsi="Tahoma" w:cs="Tahoma"/>
                <w:sz w:val="20"/>
                <w:szCs w:val="20"/>
              </w:rPr>
            </w:pPr>
            <w:r w:rsidRPr="008D26EE">
              <w:rPr>
                <w:rFonts w:ascii="Tahoma" w:hAnsi="Tahoma" w:cs="Tahoma"/>
                <w:sz w:val="20"/>
                <w:szCs w:val="20"/>
              </w:rPr>
              <w:t>Могут использоваться иные, не противоречащие законодательству РФ способы.</w:t>
            </w:r>
          </w:p>
          <w:p w14:paraId="474B25DD" w14:textId="77777777" w:rsidR="009D1253" w:rsidRPr="008D26EE" w:rsidRDefault="009D1253" w:rsidP="009D1253">
            <w:pPr>
              <w:widowControl w:val="0"/>
              <w:tabs>
                <w:tab w:val="left" w:pos="426"/>
                <w:tab w:val="left" w:pos="851"/>
              </w:tabs>
              <w:jc w:val="both"/>
              <w:rPr>
                <w:rFonts w:ascii="Tahoma" w:hAnsi="Tahoma" w:cs="Tahoma"/>
                <w:sz w:val="20"/>
                <w:szCs w:val="20"/>
              </w:rPr>
            </w:pPr>
            <w:r w:rsidRPr="008D26EE">
              <w:rPr>
                <w:rFonts w:ascii="Tahoma" w:hAnsi="Tahoma" w:cs="Tahoma"/>
                <w:sz w:val="20"/>
                <w:szCs w:val="20"/>
              </w:rPr>
              <w:t>Заёмщик вносит на ТБС денежные средства любыми из перечисленных выше способов, при этом он обязан учесть время, затрачиваемое на безналичное перечисление денежных средств, выходные и праздничные дни. Если установленный Договором последний день срока платежа отсутствует в календарном месяце, Заёмщик обязан внести денежные средства на ТБС не позднее последнего календарного рабочего дня месяца; если последний день срока платежа приходится на выходные/нерабочие праздничные дни, Заёмщик обязан внести денежные средства на ТБС не позднее 1-го рабочего дня, следующего за выходным/нерабочим праздничным днем. Указанная обязанность должна быть исполнена Заёмщиком в операционный день Банка.</w:t>
            </w:r>
          </w:p>
        </w:tc>
      </w:tr>
      <w:tr w:rsidR="009D1253" w:rsidRPr="008D26EE" w14:paraId="5C68F0F3"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01"/>
        </w:trPr>
        <w:tc>
          <w:tcPr>
            <w:tcW w:w="1475" w:type="pct"/>
            <w:tcBorders>
              <w:top w:val="single" w:sz="4" w:space="0" w:color="auto"/>
              <w:left w:val="single" w:sz="8" w:space="0" w:color="auto"/>
              <w:bottom w:val="single" w:sz="4" w:space="0" w:color="auto"/>
              <w:right w:val="single" w:sz="4" w:space="0" w:color="000000"/>
            </w:tcBorders>
            <w:shd w:val="clear" w:color="auto" w:fill="auto"/>
            <w:vAlign w:val="center"/>
          </w:tcPr>
          <w:p w14:paraId="5E36132A" w14:textId="77777777" w:rsidR="009D1253" w:rsidRPr="008D26EE" w:rsidRDefault="009D1253" w:rsidP="009D1253">
            <w:pPr>
              <w:rPr>
                <w:rFonts w:ascii="Tahoma" w:hAnsi="Tahoma" w:cs="Tahoma"/>
                <w:b/>
                <w:sz w:val="20"/>
                <w:szCs w:val="20"/>
              </w:rPr>
            </w:pPr>
            <w:r w:rsidRPr="008D26EE">
              <w:rPr>
                <w:rFonts w:ascii="Tahoma" w:hAnsi="Tahoma" w:cs="Tahoma"/>
                <w:b/>
                <w:sz w:val="20"/>
                <w:szCs w:val="20"/>
              </w:rPr>
              <w:t>Порядок погашения Заёмщиком задолженности по Кредиту</w:t>
            </w:r>
          </w:p>
        </w:tc>
        <w:tc>
          <w:tcPr>
            <w:tcW w:w="3525" w:type="pct"/>
            <w:tcBorders>
              <w:top w:val="single" w:sz="4" w:space="0" w:color="auto"/>
              <w:left w:val="nil"/>
              <w:bottom w:val="single" w:sz="4" w:space="0" w:color="auto"/>
              <w:right w:val="single" w:sz="8" w:space="0" w:color="000000"/>
            </w:tcBorders>
            <w:shd w:val="clear" w:color="auto" w:fill="auto"/>
            <w:vAlign w:val="center"/>
          </w:tcPr>
          <w:p w14:paraId="5B8A1C34" w14:textId="77777777" w:rsidR="009D1253" w:rsidRPr="008D26EE" w:rsidRDefault="009D1253" w:rsidP="009D1253">
            <w:pPr>
              <w:widowControl w:val="0"/>
              <w:tabs>
                <w:tab w:val="left" w:pos="426"/>
                <w:tab w:val="left" w:pos="851"/>
              </w:tabs>
              <w:jc w:val="both"/>
              <w:rPr>
                <w:rFonts w:ascii="Tahoma" w:hAnsi="Tahoma" w:cs="Tahoma"/>
                <w:sz w:val="20"/>
                <w:szCs w:val="20"/>
              </w:rPr>
            </w:pPr>
            <w:r>
              <w:rPr>
                <w:rFonts w:ascii="Tahoma" w:hAnsi="Tahoma" w:cs="Tahoma"/>
                <w:sz w:val="20"/>
                <w:szCs w:val="20"/>
              </w:rPr>
              <w:t>Определен УДБО.</w:t>
            </w:r>
          </w:p>
        </w:tc>
      </w:tr>
      <w:tr w:rsidR="009D1253" w:rsidRPr="008D26EE" w14:paraId="2BC776AF"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344"/>
        </w:trPr>
        <w:tc>
          <w:tcPr>
            <w:tcW w:w="1475" w:type="pct"/>
            <w:tcBorders>
              <w:top w:val="single" w:sz="4" w:space="0" w:color="auto"/>
              <w:left w:val="single" w:sz="8" w:space="0" w:color="auto"/>
              <w:bottom w:val="single" w:sz="4" w:space="0" w:color="auto"/>
              <w:right w:val="single" w:sz="4" w:space="0" w:color="000000"/>
            </w:tcBorders>
            <w:vAlign w:val="center"/>
          </w:tcPr>
          <w:p w14:paraId="40F06FFF" w14:textId="77777777" w:rsidR="009D1253" w:rsidRPr="008D26EE" w:rsidRDefault="009D1253" w:rsidP="009D1253">
            <w:pPr>
              <w:rPr>
                <w:rFonts w:ascii="Tahoma" w:hAnsi="Tahoma" w:cs="Tahoma"/>
                <w:b/>
                <w:sz w:val="20"/>
                <w:szCs w:val="20"/>
              </w:rPr>
            </w:pPr>
            <w:r w:rsidRPr="008D26EE">
              <w:rPr>
                <w:rFonts w:ascii="Tahoma" w:hAnsi="Tahoma" w:cs="Tahoma"/>
                <w:b/>
                <w:color w:val="000000"/>
                <w:sz w:val="20"/>
                <w:szCs w:val="20"/>
              </w:rPr>
              <w:t xml:space="preserve">Ответственность Заёмщика за ненадлежащее исполнение Договора </w:t>
            </w:r>
          </w:p>
        </w:tc>
        <w:tc>
          <w:tcPr>
            <w:tcW w:w="3525" w:type="pct"/>
            <w:tcBorders>
              <w:top w:val="single" w:sz="4" w:space="0" w:color="auto"/>
              <w:left w:val="nil"/>
              <w:bottom w:val="single" w:sz="4" w:space="0" w:color="auto"/>
              <w:right w:val="single" w:sz="8" w:space="0" w:color="000000"/>
            </w:tcBorders>
            <w:vAlign w:val="center"/>
          </w:tcPr>
          <w:p w14:paraId="63055BAE" w14:textId="77777777" w:rsidR="009D1253" w:rsidRPr="00646242" w:rsidRDefault="009D1253" w:rsidP="009D1253">
            <w:pPr>
              <w:autoSpaceDE w:val="0"/>
              <w:autoSpaceDN w:val="0"/>
              <w:spacing w:before="40" w:after="40"/>
              <w:jc w:val="both"/>
              <w:rPr>
                <w:rFonts w:ascii="Tahoma" w:hAnsi="Tahoma" w:cs="Tahoma"/>
                <w:sz w:val="20"/>
                <w:szCs w:val="20"/>
              </w:rPr>
            </w:pPr>
            <w:r w:rsidRPr="00646242">
              <w:rPr>
                <w:rFonts w:ascii="Tahoma" w:hAnsi="Tahoma" w:cs="Tahoma"/>
                <w:sz w:val="20"/>
                <w:szCs w:val="20"/>
              </w:rPr>
              <w:t>За нарушение Заемщиком своих обязательств по Договору Банк вправе начислить пеню (неустойку) в следующем порядке:</w:t>
            </w:r>
          </w:p>
          <w:p w14:paraId="5F9B1E71" w14:textId="77777777" w:rsidR="009D1253" w:rsidRPr="009E4677" w:rsidRDefault="009D1253" w:rsidP="009D1253">
            <w:pPr>
              <w:widowControl w:val="0"/>
              <w:jc w:val="both"/>
              <w:rPr>
                <w:rFonts w:ascii="Tahoma" w:hAnsi="Tahoma" w:cs="Tahoma"/>
                <w:sz w:val="20"/>
                <w:szCs w:val="20"/>
              </w:rPr>
            </w:pPr>
            <w:r w:rsidRPr="00646242">
              <w:rPr>
                <w:rFonts w:ascii="Tahoma" w:hAnsi="Tahoma" w:cs="Tahoma"/>
                <w:sz w:val="20"/>
                <w:szCs w:val="20"/>
              </w:rPr>
              <w:t xml:space="preserve">1. За </w:t>
            </w:r>
            <w:r w:rsidRPr="009E4677">
              <w:rPr>
                <w:rFonts w:ascii="Tahoma" w:hAnsi="Tahoma" w:cs="Tahoma"/>
                <w:sz w:val="20"/>
                <w:szCs w:val="20"/>
              </w:rPr>
              <w:t>нарушени</w:t>
            </w:r>
            <w:r>
              <w:rPr>
                <w:rFonts w:ascii="Tahoma" w:hAnsi="Tahoma" w:cs="Tahoma"/>
                <w:sz w:val="20"/>
                <w:szCs w:val="20"/>
              </w:rPr>
              <w:t>е</w:t>
            </w:r>
            <w:r w:rsidRPr="009E4677">
              <w:rPr>
                <w:rFonts w:ascii="Tahoma" w:hAnsi="Tahoma" w:cs="Tahoma"/>
                <w:sz w:val="20"/>
                <w:szCs w:val="20"/>
              </w:rPr>
              <w:t xml:space="preserve"> Заёмщиком сроков возврата Кредита и/или уплаты процентов на сумму Кредита </w:t>
            </w:r>
            <w:r>
              <w:rPr>
                <w:rFonts w:ascii="Tahoma" w:hAnsi="Tahoma" w:cs="Tahoma"/>
                <w:sz w:val="20"/>
                <w:szCs w:val="20"/>
              </w:rPr>
              <w:t>-</w:t>
            </w:r>
            <w:r w:rsidRPr="009E4677">
              <w:rPr>
                <w:rFonts w:ascii="Tahoma" w:hAnsi="Tahoma" w:cs="Tahoma"/>
                <w:sz w:val="20"/>
                <w:szCs w:val="20"/>
              </w:rPr>
              <w:t xml:space="preserve"> неустойк</w:t>
            </w:r>
            <w:r>
              <w:rPr>
                <w:rFonts w:ascii="Tahoma" w:hAnsi="Tahoma" w:cs="Tahoma"/>
                <w:sz w:val="20"/>
                <w:szCs w:val="20"/>
              </w:rPr>
              <w:t>а</w:t>
            </w:r>
            <w:r w:rsidRPr="009E4677">
              <w:rPr>
                <w:rFonts w:ascii="Tahoma" w:hAnsi="Tahoma" w:cs="Tahoma"/>
                <w:sz w:val="20"/>
                <w:szCs w:val="20"/>
              </w:rPr>
              <w:t xml:space="preserve"> в размере 20% годовых от суммы просроченной задолженности за каждый день нарушения срока уплаты. </w:t>
            </w:r>
          </w:p>
          <w:p w14:paraId="5CEBB508" w14:textId="77777777" w:rsidR="009D1253" w:rsidRDefault="009D1253" w:rsidP="009D1253">
            <w:pPr>
              <w:autoSpaceDE w:val="0"/>
              <w:autoSpaceDN w:val="0"/>
              <w:spacing w:before="40" w:after="40"/>
              <w:jc w:val="both"/>
              <w:rPr>
                <w:rFonts w:ascii="Tahoma" w:hAnsi="Tahoma" w:cs="Tahoma"/>
                <w:sz w:val="20"/>
                <w:szCs w:val="20"/>
              </w:rPr>
            </w:pPr>
            <w:r w:rsidRPr="009E4677">
              <w:rPr>
                <w:rFonts w:ascii="Tahoma" w:hAnsi="Tahoma" w:cs="Tahoma"/>
                <w:sz w:val="20"/>
                <w:szCs w:val="20"/>
              </w:rPr>
              <w:lastRenderedPageBreak/>
              <w:t>В случае нарушения Заёмщиком сроков возврата суммы Кредита (основного долга) и/или уплаты процентов продолжительностью (общей продолжительностью) более чем 60 календарных дней в течение последних 180 календарных дней, Банк вправе потребовать от Заёмщика досрочного возврата оставшейся суммы Кредита вместе с причитающимися процентами и/или расторжения Договора, уведомив об этом Заёмщика способом, установленным Договором. В таком случае Заёмщик обязан вернуть Банку оставшуюся сумму Кредита и уплатить все причитающиеся Банку проценты и неустойки в течение 30 календарных дней с момента направления Банком уведомления Заёмщику, если иной, более продолжительный срок не указан Банком в таком уведомлении.</w:t>
            </w:r>
          </w:p>
          <w:p w14:paraId="598CE7E5" w14:textId="77777777" w:rsidR="009D1253" w:rsidRPr="00646242" w:rsidRDefault="009D1253" w:rsidP="009D1253">
            <w:pPr>
              <w:autoSpaceDE w:val="0"/>
              <w:autoSpaceDN w:val="0"/>
              <w:spacing w:before="40" w:after="40"/>
              <w:jc w:val="both"/>
              <w:rPr>
                <w:rFonts w:ascii="Tahoma" w:hAnsi="Tahoma" w:cs="Tahoma"/>
                <w:sz w:val="20"/>
                <w:szCs w:val="20"/>
              </w:rPr>
            </w:pPr>
            <w:r w:rsidRPr="00646242">
              <w:rPr>
                <w:rFonts w:ascii="Tahoma" w:hAnsi="Tahoma" w:cs="Tahoma"/>
                <w:sz w:val="20"/>
                <w:szCs w:val="20"/>
              </w:rPr>
              <w:t>2. За непредоставление (нарушение срока предоставления) залога (если условиями Договора предусмотрена такая обязанность Заемщика) – в размере 5 (пять) % годовых на сумму основного долга за каждый день просрочки предоставления залога, начиная со следующего дня за днем просрочки предоставления залога.</w:t>
            </w:r>
          </w:p>
          <w:p w14:paraId="0DA91CED" w14:textId="77777777" w:rsidR="009D1253" w:rsidRPr="008D26EE" w:rsidRDefault="009D1253" w:rsidP="009D1253">
            <w:pPr>
              <w:widowControl w:val="0"/>
              <w:jc w:val="both"/>
              <w:rPr>
                <w:rFonts w:ascii="Tahoma" w:eastAsia="Calibri" w:hAnsi="Tahoma" w:cs="Tahoma"/>
                <w:sz w:val="20"/>
                <w:szCs w:val="20"/>
              </w:rPr>
            </w:pPr>
            <w:r w:rsidRPr="00646242">
              <w:rPr>
                <w:rFonts w:ascii="Tahoma" w:hAnsi="Tahoma" w:cs="Tahoma"/>
                <w:sz w:val="20"/>
                <w:szCs w:val="20"/>
              </w:rPr>
              <w:t>3. Суммарный размер ответственности Заемщика при совокупности указанных нарушений не может превышать ограничений, предусмотренных частями 21 и 24 статьи 5 Федерального закона от 21.12.2013 № 353-ФЗ «О потребительском кредите (займе)».</w:t>
            </w:r>
          </w:p>
        </w:tc>
      </w:tr>
      <w:tr w:rsidR="009D1253" w:rsidRPr="008D26EE" w14:paraId="3609E92D" w14:textId="77777777" w:rsidTr="009D1253">
        <w:tblPrEx>
          <w:tblLook w:val="00A0" w:firstRow="1" w:lastRow="0" w:firstColumn="1" w:lastColumn="0" w:noHBand="0" w:noVBand="0"/>
        </w:tblPrEx>
        <w:trPr>
          <w:trHeight w:val="1000"/>
        </w:trPr>
        <w:tc>
          <w:tcPr>
            <w:tcW w:w="1475" w:type="pct"/>
            <w:tcBorders>
              <w:top w:val="single" w:sz="4" w:space="0" w:color="auto"/>
              <w:left w:val="single" w:sz="8" w:space="0" w:color="auto"/>
              <w:bottom w:val="single" w:sz="4" w:space="0" w:color="auto"/>
              <w:right w:val="single" w:sz="4" w:space="0" w:color="000000"/>
            </w:tcBorders>
            <w:vAlign w:val="center"/>
          </w:tcPr>
          <w:p w14:paraId="1E20CF19" w14:textId="77777777" w:rsidR="009D1253" w:rsidRPr="008D26EE" w:rsidRDefault="009D1253" w:rsidP="009D1253">
            <w:pPr>
              <w:rPr>
                <w:rFonts w:ascii="Tahoma" w:hAnsi="Tahoma" w:cs="Tahoma"/>
                <w:b/>
                <w:sz w:val="20"/>
                <w:szCs w:val="20"/>
              </w:rPr>
            </w:pPr>
            <w:r w:rsidRPr="008D26EE">
              <w:rPr>
                <w:rFonts w:ascii="Tahoma" w:hAnsi="Tahoma" w:cs="Tahoma"/>
                <w:b/>
                <w:sz w:val="20"/>
                <w:szCs w:val="20"/>
              </w:rPr>
              <w:lastRenderedPageBreak/>
              <w:t>Информация о возможности запрета уступки Кредитором третьим лицам прав (требований) по Договору «Потребительский кредит</w:t>
            </w:r>
            <w:r>
              <w:rPr>
                <w:rFonts w:ascii="Tahoma" w:hAnsi="Tahoma" w:cs="Tahoma"/>
                <w:b/>
                <w:sz w:val="20"/>
                <w:szCs w:val="20"/>
              </w:rPr>
              <w:t xml:space="preserve"> АК</w:t>
            </w:r>
            <w:r w:rsidRPr="008D26EE">
              <w:rPr>
                <w:rFonts w:ascii="Tahoma" w:hAnsi="Tahoma" w:cs="Tahoma"/>
                <w:b/>
                <w:sz w:val="20"/>
                <w:szCs w:val="20"/>
              </w:rPr>
              <w:t>»</w:t>
            </w:r>
          </w:p>
        </w:tc>
        <w:tc>
          <w:tcPr>
            <w:tcW w:w="3525" w:type="pct"/>
            <w:tcBorders>
              <w:top w:val="single" w:sz="4" w:space="0" w:color="auto"/>
              <w:left w:val="nil"/>
              <w:bottom w:val="single" w:sz="4" w:space="0" w:color="auto"/>
              <w:right w:val="single" w:sz="8" w:space="0" w:color="000000"/>
            </w:tcBorders>
            <w:vAlign w:val="center"/>
          </w:tcPr>
          <w:p w14:paraId="6BB5BC69" w14:textId="77777777" w:rsidR="009D1253" w:rsidRPr="008D26EE" w:rsidRDefault="009D1253" w:rsidP="009D1253">
            <w:pPr>
              <w:jc w:val="both"/>
              <w:rPr>
                <w:rFonts w:ascii="Tahoma" w:hAnsi="Tahoma" w:cs="Tahoma"/>
                <w:sz w:val="20"/>
                <w:szCs w:val="20"/>
              </w:rPr>
            </w:pPr>
            <w:r w:rsidRPr="008D26EE">
              <w:rPr>
                <w:rFonts w:ascii="Tahoma" w:hAnsi="Tahoma" w:cs="Tahoma"/>
                <w:sz w:val="20"/>
                <w:szCs w:val="20"/>
              </w:rPr>
              <w:t>Заёмщик вправе запретить уступку Банком третьим лицам прав (требований) по Договору.</w:t>
            </w:r>
          </w:p>
        </w:tc>
      </w:tr>
      <w:tr w:rsidR="009D1253" w:rsidRPr="008D26EE" w14:paraId="5A8402E1"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694"/>
        </w:trPr>
        <w:tc>
          <w:tcPr>
            <w:tcW w:w="1475" w:type="pct"/>
            <w:tcBorders>
              <w:top w:val="single" w:sz="4" w:space="0" w:color="auto"/>
              <w:left w:val="single" w:sz="8" w:space="0" w:color="auto"/>
              <w:bottom w:val="single" w:sz="4" w:space="0" w:color="auto"/>
              <w:right w:val="single" w:sz="4" w:space="0" w:color="000000"/>
            </w:tcBorders>
            <w:vAlign w:val="center"/>
          </w:tcPr>
          <w:p w14:paraId="354345E1" w14:textId="77777777" w:rsidR="009D1253" w:rsidRPr="008D26EE" w:rsidRDefault="009D1253" w:rsidP="009D1253">
            <w:pPr>
              <w:rPr>
                <w:rFonts w:ascii="Tahoma" w:hAnsi="Tahoma" w:cs="Tahoma"/>
                <w:b/>
                <w:sz w:val="20"/>
                <w:szCs w:val="20"/>
              </w:rPr>
            </w:pPr>
            <w:r w:rsidRPr="008D26EE">
              <w:rPr>
                <w:rFonts w:ascii="Tahoma" w:hAnsi="Tahoma" w:cs="Tahoma"/>
                <w:b/>
                <w:sz w:val="20"/>
                <w:szCs w:val="20"/>
              </w:rPr>
              <w:t xml:space="preserve">Порядок предоставления Заёмщиком информации об использовании Кредита </w:t>
            </w:r>
          </w:p>
        </w:tc>
        <w:tc>
          <w:tcPr>
            <w:tcW w:w="3525" w:type="pct"/>
            <w:tcBorders>
              <w:top w:val="single" w:sz="4" w:space="0" w:color="auto"/>
              <w:left w:val="nil"/>
              <w:bottom w:val="single" w:sz="4" w:space="0" w:color="auto"/>
              <w:right w:val="single" w:sz="8" w:space="0" w:color="000000"/>
            </w:tcBorders>
            <w:vAlign w:val="center"/>
          </w:tcPr>
          <w:p w14:paraId="70DC9D1B" w14:textId="77777777" w:rsidR="009D1253" w:rsidRPr="008D26EE" w:rsidRDefault="009D1253" w:rsidP="009D1253">
            <w:pPr>
              <w:jc w:val="both"/>
              <w:rPr>
                <w:rFonts w:ascii="Tahoma" w:hAnsi="Tahoma" w:cs="Tahoma"/>
                <w:sz w:val="20"/>
                <w:szCs w:val="20"/>
              </w:rPr>
            </w:pPr>
            <w:r w:rsidRPr="008D26EE">
              <w:rPr>
                <w:rFonts w:ascii="Tahoma" w:hAnsi="Tahoma" w:cs="Tahoma"/>
                <w:sz w:val="20"/>
                <w:szCs w:val="20"/>
              </w:rPr>
              <w:t>Не применимо</w:t>
            </w:r>
          </w:p>
        </w:tc>
      </w:tr>
      <w:tr w:rsidR="009D1253" w:rsidRPr="008D26EE" w14:paraId="10C7957C" w14:textId="77777777" w:rsidTr="009D1253">
        <w:tblPrEx>
          <w:tblLook w:val="00A0" w:firstRow="1" w:lastRow="0" w:firstColumn="1" w:lastColumn="0" w:noHBand="0" w:noVBand="0"/>
        </w:tblPrEx>
        <w:trPr>
          <w:trHeight w:val="395"/>
        </w:trPr>
        <w:tc>
          <w:tcPr>
            <w:tcW w:w="1475" w:type="pct"/>
            <w:tcBorders>
              <w:top w:val="single" w:sz="4" w:space="0" w:color="auto"/>
              <w:left w:val="single" w:sz="8" w:space="0" w:color="auto"/>
              <w:bottom w:val="single" w:sz="4" w:space="0" w:color="auto"/>
              <w:right w:val="single" w:sz="4" w:space="0" w:color="000000"/>
            </w:tcBorders>
            <w:vAlign w:val="center"/>
          </w:tcPr>
          <w:p w14:paraId="156F4523" w14:textId="77777777" w:rsidR="009D1253" w:rsidRPr="008D26EE" w:rsidRDefault="009D1253" w:rsidP="009D1253">
            <w:pPr>
              <w:rPr>
                <w:rFonts w:ascii="Tahoma" w:hAnsi="Tahoma" w:cs="Tahoma"/>
                <w:b/>
                <w:sz w:val="20"/>
                <w:szCs w:val="20"/>
              </w:rPr>
            </w:pPr>
            <w:r w:rsidRPr="008D26EE">
              <w:rPr>
                <w:rFonts w:ascii="Tahoma" w:hAnsi="Tahoma" w:cs="Tahoma"/>
                <w:b/>
                <w:sz w:val="20"/>
                <w:szCs w:val="20"/>
              </w:rPr>
              <w:t>Подсудность споров по искам Кредитора к Заёмщику</w:t>
            </w:r>
          </w:p>
        </w:tc>
        <w:tc>
          <w:tcPr>
            <w:tcW w:w="3525" w:type="pct"/>
            <w:tcBorders>
              <w:top w:val="single" w:sz="4" w:space="0" w:color="auto"/>
              <w:left w:val="nil"/>
              <w:bottom w:val="single" w:sz="4" w:space="0" w:color="auto"/>
              <w:right w:val="single" w:sz="8" w:space="0" w:color="000000"/>
            </w:tcBorders>
            <w:vAlign w:val="center"/>
          </w:tcPr>
          <w:p w14:paraId="68BC098F" w14:textId="77777777" w:rsidR="009D1253" w:rsidRPr="008D26EE" w:rsidRDefault="009D1253" w:rsidP="009D1253">
            <w:pPr>
              <w:jc w:val="both"/>
              <w:rPr>
                <w:rFonts w:ascii="Tahoma" w:hAnsi="Tahoma" w:cs="Tahoma"/>
                <w:sz w:val="20"/>
                <w:szCs w:val="20"/>
              </w:rPr>
            </w:pPr>
            <w:r w:rsidRPr="008D26EE">
              <w:rPr>
                <w:rFonts w:ascii="Tahoma" w:hAnsi="Tahoma" w:cs="Tahoma"/>
                <w:sz w:val="20"/>
                <w:szCs w:val="20"/>
              </w:rPr>
              <w:t>Неурегулированные споры по искам Банка к Заёмщику рассматриваются в порядке, установленном законодательством РФ. Взыскание задолженности по Договору может производиться по исполнительной надписи нотариуса, совершаемой на основании заявления Банка.</w:t>
            </w:r>
          </w:p>
        </w:tc>
      </w:tr>
      <w:tr w:rsidR="009D1253" w:rsidRPr="008D26EE" w14:paraId="11232312" w14:textId="77777777" w:rsidTr="009D1253">
        <w:tblPrEx>
          <w:tblLook w:val="00A0" w:firstRow="1" w:lastRow="0" w:firstColumn="1" w:lastColumn="0" w:noHBand="0" w:noVBand="0"/>
        </w:tblPrEx>
        <w:trPr>
          <w:trHeight w:val="263"/>
        </w:trPr>
        <w:tc>
          <w:tcPr>
            <w:tcW w:w="1475" w:type="pct"/>
            <w:tcBorders>
              <w:top w:val="single" w:sz="4" w:space="0" w:color="auto"/>
              <w:left w:val="single" w:sz="8" w:space="0" w:color="auto"/>
              <w:bottom w:val="single" w:sz="4" w:space="0" w:color="auto"/>
              <w:right w:val="single" w:sz="4" w:space="0" w:color="000000"/>
            </w:tcBorders>
            <w:vAlign w:val="center"/>
          </w:tcPr>
          <w:p w14:paraId="53BE640D" w14:textId="77777777" w:rsidR="009D1253" w:rsidRPr="008D26EE" w:rsidRDefault="009D1253" w:rsidP="009D1253">
            <w:pPr>
              <w:rPr>
                <w:rFonts w:ascii="Tahoma" w:hAnsi="Tahoma" w:cs="Tahoma"/>
                <w:b/>
                <w:sz w:val="20"/>
                <w:szCs w:val="20"/>
              </w:rPr>
            </w:pPr>
            <w:r w:rsidRPr="008D26EE">
              <w:rPr>
                <w:rFonts w:ascii="Tahoma" w:hAnsi="Tahoma" w:cs="Tahoma"/>
                <w:b/>
                <w:sz w:val="20"/>
                <w:szCs w:val="20"/>
              </w:rPr>
              <w:t>Формуляры или иные стандартные формы, в которых определены общие условия договора «Потребительский кредит</w:t>
            </w:r>
            <w:r>
              <w:rPr>
                <w:rFonts w:ascii="Tahoma" w:hAnsi="Tahoma" w:cs="Tahoma"/>
                <w:b/>
                <w:sz w:val="20"/>
                <w:szCs w:val="20"/>
              </w:rPr>
              <w:t xml:space="preserve"> АК</w:t>
            </w:r>
            <w:r w:rsidRPr="008D26EE">
              <w:rPr>
                <w:rFonts w:ascii="Tahoma" w:hAnsi="Tahoma" w:cs="Tahoma"/>
                <w:b/>
                <w:sz w:val="20"/>
                <w:szCs w:val="20"/>
              </w:rPr>
              <w:t>»</w:t>
            </w:r>
          </w:p>
        </w:tc>
        <w:tc>
          <w:tcPr>
            <w:tcW w:w="3525" w:type="pct"/>
            <w:tcBorders>
              <w:top w:val="single" w:sz="4" w:space="0" w:color="auto"/>
              <w:left w:val="nil"/>
              <w:bottom w:val="single" w:sz="4" w:space="0" w:color="auto"/>
              <w:right w:val="single" w:sz="8" w:space="0" w:color="000000"/>
            </w:tcBorders>
            <w:vAlign w:val="center"/>
          </w:tcPr>
          <w:p w14:paraId="4A1134CB" w14:textId="77777777" w:rsidR="009D1253" w:rsidRPr="008D26EE" w:rsidRDefault="009D1253" w:rsidP="009D1253">
            <w:pPr>
              <w:widowControl w:val="0"/>
              <w:tabs>
                <w:tab w:val="left" w:pos="426"/>
                <w:tab w:val="left" w:pos="851"/>
              </w:tabs>
              <w:jc w:val="both"/>
              <w:rPr>
                <w:rFonts w:ascii="Tahoma" w:hAnsi="Tahoma" w:cs="Tahoma"/>
                <w:sz w:val="20"/>
                <w:szCs w:val="20"/>
              </w:rPr>
            </w:pPr>
            <w:r w:rsidRPr="008D26EE">
              <w:rPr>
                <w:rFonts w:ascii="Tahoma" w:hAnsi="Tahoma" w:cs="Tahoma"/>
                <w:sz w:val="20"/>
                <w:szCs w:val="20"/>
              </w:rPr>
              <w:t>Общие условия Договора «Потребительский кредит АК» закреплены в «Общих условиях потребительского кредитования в «Азиатско-Тихоокеанский Банк» (АО)», являющихся Приложением № 3 к Универсальному договору банковского обслуживания физических лиц «Азиатско-Тихоокеанский Банк» (АО), размещённых в местах приема заявлений на предоставление потребительского кредита (в отделениях Банка и иных местах приема заявлений на предоставление потребительского кредита), на сайте Банка в сети Интернет по адресу www.atb.su и могут быть предоставлены Заёмщику по его требованию на бумажном носителе.</w:t>
            </w:r>
          </w:p>
        </w:tc>
      </w:tr>
      <w:tr w:rsidR="009D1253" w:rsidRPr="008D26EE" w14:paraId="4CA6E003" w14:textId="77777777" w:rsidTr="009D1253">
        <w:tblPrEx>
          <w:tblLook w:val="00A0" w:firstRow="1" w:lastRow="0" w:firstColumn="1" w:lastColumn="0" w:noHBand="0" w:noVBand="0"/>
        </w:tblPrEx>
        <w:trPr>
          <w:trHeight w:val="263"/>
        </w:trPr>
        <w:tc>
          <w:tcPr>
            <w:tcW w:w="1475" w:type="pct"/>
            <w:tcBorders>
              <w:top w:val="single" w:sz="4" w:space="0" w:color="auto"/>
              <w:left w:val="single" w:sz="8" w:space="0" w:color="auto"/>
              <w:bottom w:val="single" w:sz="4" w:space="0" w:color="auto"/>
              <w:right w:val="single" w:sz="4" w:space="0" w:color="000000"/>
            </w:tcBorders>
            <w:vAlign w:val="center"/>
          </w:tcPr>
          <w:p w14:paraId="0C051C6B" w14:textId="77777777" w:rsidR="009D1253" w:rsidRPr="005A07E7" w:rsidRDefault="009D1253" w:rsidP="009D1253">
            <w:pPr>
              <w:jc w:val="both"/>
              <w:rPr>
                <w:rFonts w:ascii="Tahoma" w:hAnsi="Tahoma" w:cs="Tahoma"/>
                <w:b/>
                <w:sz w:val="20"/>
                <w:szCs w:val="20"/>
              </w:rPr>
            </w:pPr>
            <w:r w:rsidRPr="00695066">
              <w:rPr>
                <w:rFonts w:ascii="Tahoma" w:hAnsi="Tahoma" w:cs="Tahoma"/>
                <w:b/>
                <w:bCs/>
                <w:sz w:val="20"/>
                <w:szCs w:val="20"/>
              </w:rPr>
              <w:t>Право заемщика обратиться к кредитору с требованием, предусмотренным частью 1 статьи 6.1-2 Федерального закона от 21.12.2013 № 353-ФЗ «О потребительском кредите (займе)», и об условиях, при наступлении которых у заемщика возникает соответствующее право.</w:t>
            </w:r>
          </w:p>
        </w:tc>
        <w:tc>
          <w:tcPr>
            <w:tcW w:w="3525" w:type="pct"/>
            <w:tcBorders>
              <w:top w:val="single" w:sz="4" w:space="0" w:color="auto"/>
              <w:left w:val="nil"/>
              <w:bottom w:val="single" w:sz="4" w:space="0" w:color="auto"/>
              <w:right w:val="single" w:sz="8" w:space="0" w:color="000000"/>
            </w:tcBorders>
            <w:vAlign w:val="center"/>
          </w:tcPr>
          <w:p w14:paraId="3B1FF529" w14:textId="77777777" w:rsidR="009D1253" w:rsidRPr="00695066" w:rsidRDefault="009D1253" w:rsidP="009D1253">
            <w:pPr>
              <w:widowControl w:val="0"/>
              <w:tabs>
                <w:tab w:val="left" w:pos="426"/>
                <w:tab w:val="left" w:pos="851"/>
              </w:tabs>
              <w:jc w:val="both"/>
              <w:rPr>
                <w:rFonts w:ascii="Tahoma" w:hAnsi="Tahoma" w:cs="Tahoma"/>
                <w:sz w:val="20"/>
                <w:szCs w:val="20"/>
              </w:rPr>
            </w:pPr>
            <w:r w:rsidRPr="00695066">
              <w:rPr>
                <w:rFonts w:ascii="Tahoma" w:hAnsi="Tahoma" w:cs="Tahoma"/>
                <w:sz w:val="20"/>
                <w:szCs w:val="20"/>
              </w:rPr>
              <w:t xml:space="preserve">Заемщик в любой момент в течение времени действия Договора, а в случае, указанном в п. 2 ч. 2 ст. 6.1-2 Закона № 353-ФЗ, в течение шестидесяти дней со дня установления соответствующих фактов, вправе обратиться к кредитору с требованием о предоставлении льготного периода, предусматривающего приостановление исполнения Заемщиком своих обязательств по Договору. </w:t>
            </w:r>
          </w:p>
          <w:p w14:paraId="540CF9E3" w14:textId="77777777" w:rsidR="009D1253" w:rsidRPr="00695066" w:rsidRDefault="009D1253" w:rsidP="009D1253">
            <w:pPr>
              <w:widowControl w:val="0"/>
              <w:tabs>
                <w:tab w:val="left" w:pos="426"/>
                <w:tab w:val="left" w:pos="851"/>
              </w:tabs>
              <w:jc w:val="both"/>
              <w:rPr>
                <w:rFonts w:ascii="Tahoma" w:hAnsi="Tahoma" w:cs="Tahoma"/>
                <w:sz w:val="20"/>
                <w:szCs w:val="20"/>
              </w:rPr>
            </w:pPr>
            <w:r w:rsidRPr="00695066">
              <w:rPr>
                <w:rFonts w:ascii="Tahoma" w:hAnsi="Tahoma" w:cs="Tahoma"/>
                <w:sz w:val="20"/>
                <w:szCs w:val="20"/>
              </w:rPr>
              <w:t xml:space="preserve">С условиями, при наступлении которых у Заемщика возникает такое право, можно ознакомиться в размещаемой Банком информации о кредитных каникулах в рамках 353-ФЗ, в том числе на сайте Банка </w:t>
            </w:r>
          </w:p>
          <w:p w14:paraId="10DB6B0F" w14:textId="77777777" w:rsidR="009D1253" w:rsidRPr="005A07E7" w:rsidRDefault="009D1253" w:rsidP="009D1253">
            <w:pPr>
              <w:widowControl w:val="0"/>
              <w:tabs>
                <w:tab w:val="left" w:pos="426"/>
                <w:tab w:val="left" w:pos="851"/>
              </w:tabs>
              <w:jc w:val="both"/>
              <w:rPr>
                <w:rFonts w:ascii="Tahoma" w:hAnsi="Tahoma" w:cs="Tahoma"/>
                <w:sz w:val="20"/>
                <w:szCs w:val="20"/>
              </w:rPr>
            </w:pPr>
            <w:hyperlink r:id="rId69" w:history="1">
              <w:r w:rsidRPr="00695066">
                <w:rPr>
                  <w:rStyle w:val="aff"/>
                  <w:rFonts w:ascii="Tahoma" w:hAnsi="Tahoma" w:cs="Tahoma"/>
                  <w:sz w:val="20"/>
                  <w:szCs w:val="20"/>
                </w:rPr>
                <w:t>https://www.atb.su/customer-care-service/</w:t>
              </w:r>
            </w:hyperlink>
          </w:p>
        </w:tc>
      </w:tr>
    </w:tbl>
    <w:p w14:paraId="38ECAA75" w14:textId="77777777" w:rsidR="009D1253" w:rsidRDefault="009D1253" w:rsidP="009D1253">
      <w:pPr>
        <w:rPr>
          <w:rFonts w:ascii="Tahoma" w:hAnsi="Tahoma" w:cs="Tahoma"/>
          <w:b/>
          <w:i/>
          <w:color w:val="E36C0A"/>
          <w:sz w:val="22"/>
        </w:rPr>
      </w:pPr>
    </w:p>
    <w:p w14:paraId="6A541C66" w14:textId="77777777" w:rsidR="009D1253" w:rsidRDefault="009D1253" w:rsidP="009D1253">
      <w:pPr>
        <w:rPr>
          <w:rFonts w:ascii="Tahoma" w:hAnsi="Tahoma" w:cs="Tahoma"/>
          <w:b/>
          <w:i/>
          <w:color w:val="E36C0A"/>
          <w:sz w:val="22"/>
        </w:rPr>
      </w:pPr>
    </w:p>
    <w:p w14:paraId="44DEC4C3" w14:textId="355358F4" w:rsidR="009D1253" w:rsidRDefault="009D1253" w:rsidP="009D1253">
      <w:pPr>
        <w:rPr>
          <w:rFonts w:ascii="Tahoma" w:hAnsi="Tahoma" w:cs="Tahoma"/>
          <w:b/>
          <w:i/>
          <w:color w:val="E36C0A"/>
          <w:sz w:val="22"/>
        </w:rPr>
      </w:pPr>
    </w:p>
    <w:p w14:paraId="5988482E" w14:textId="77777777" w:rsidR="008B08DE" w:rsidRDefault="008B08DE" w:rsidP="009D1253">
      <w:pPr>
        <w:rPr>
          <w:rFonts w:ascii="Tahoma" w:hAnsi="Tahoma" w:cs="Tahoma"/>
          <w:b/>
          <w:i/>
          <w:color w:val="E36C0A"/>
          <w:sz w:val="22"/>
        </w:rPr>
      </w:pPr>
    </w:p>
    <w:p w14:paraId="312F596A" w14:textId="77777777" w:rsidR="009D1253" w:rsidRDefault="009D1253" w:rsidP="009D1253">
      <w:pPr>
        <w:rPr>
          <w:rFonts w:ascii="Tahoma" w:hAnsi="Tahoma" w:cs="Tahoma"/>
          <w:b/>
          <w:i/>
          <w:color w:val="E36C0A"/>
          <w:sz w:val="22"/>
        </w:rPr>
      </w:pPr>
    </w:p>
    <w:p w14:paraId="0085F28E" w14:textId="77777777" w:rsidR="009D1253" w:rsidRDefault="009D1253" w:rsidP="009D1253">
      <w:pPr>
        <w:rPr>
          <w:rFonts w:ascii="Tahoma" w:hAnsi="Tahoma" w:cs="Tahoma"/>
          <w:b/>
          <w:i/>
          <w:color w:val="E36C0A"/>
          <w:sz w:val="22"/>
        </w:rPr>
      </w:pPr>
    </w:p>
    <w:p w14:paraId="2DB6EA29" w14:textId="77777777" w:rsidR="009D1253" w:rsidRDefault="009D1253" w:rsidP="009D1253">
      <w:pPr>
        <w:rPr>
          <w:rFonts w:ascii="Tahoma" w:hAnsi="Tahoma" w:cs="Tahoma"/>
          <w:b/>
          <w:i/>
          <w:color w:val="E36C0A"/>
          <w:sz w:val="22"/>
        </w:rPr>
      </w:pPr>
    </w:p>
    <w:p w14:paraId="5D41DFB1" w14:textId="77777777" w:rsidR="009D1253" w:rsidRDefault="009D1253" w:rsidP="009D1253">
      <w:pPr>
        <w:rPr>
          <w:rFonts w:ascii="Tahoma" w:hAnsi="Tahoma" w:cs="Tahoma"/>
          <w:b/>
          <w:i/>
          <w:color w:val="E36C0A"/>
          <w:sz w:val="22"/>
        </w:rPr>
      </w:pPr>
    </w:p>
    <w:p w14:paraId="432F6281" w14:textId="77777777" w:rsidR="009D1253" w:rsidRDefault="009D1253" w:rsidP="009D1253">
      <w:pPr>
        <w:rPr>
          <w:rFonts w:ascii="Tahoma" w:hAnsi="Tahoma" w:cs="Tahoma"/>
          <w:b/>
          <w:i/>
          <w:color w:val="E36C0A"/>
          <w:sz w:val="22"/>
        </w:rPr>
      </w:pPr>
    </w:p>
    <w:p w14:paraId="0BE2BEE4" w14:textId="77777777" w:rsidR="009D1253" w:rsidRDefault="009D1253" w:rsidP="009D1253">
      <w:pPr>
        <w:rPr>
          <w:rFonts w:ascii="Tahoma" w:hAnsi="Tahoma" w:cs="Tahoma"/>
          <w:b/>
          <w:i/>
          <w:color w:val="E36C0A"/>
          <w:sz w:val="22"/>
        </w:rPr>
      </w:pPr>
    </w:p>
    <w:p w14:paraId="14C1E402" w14:textId="77777777" w:rsidR="009D1253" w:rsidRDefault="009D1253" w:rsidP="009D1253">
      <w:pPr>
        <w:rPr>
          <w:rFonts w:ascii="Tahoma" w:hAnsi="Tahoma" w:cs="Tahoma"/>
          <w:b/>
          <w:i/>
          <w:color w:val="E36C0A"/>
          <w:sz w:val="22"/>
        </w:rPr>
      </w:pPr>
    </w:p>
    <w:p w14:paraId="6D54D686" w14:textId="77777777" w:rsidR="009D1253" w:rsidRDefault="009D1253" w:rsidP="009D1253">
      <w:pPr>
        <w:rPr>
          <w:rFonts w:ascii="Tahoma" w:hAnsi="Tahoma" w:cs="Tahoma"/>
          <w:b/>
          <w:i/>
          <w:color w:val="E36C0A"/>
          <w:sz w:val="22"/>
        </w:rPr>
      </w:pPr>
    </w:p>
    <w:p w14:paraId="6AB6BC8D" w14:textId="77777777" w:rsidR="009D1253" w:rsidRDefault="009D1253" w:rsidP="009D1253">
      <w:pPr>
        <w:rPr>
          <w:rFonts w:ascii="Tahoma" w:hAnsi="Tahoma" w:cs="Tahoma"/>
          <w:b/>
          <w:i/>
          <w:color w:val="E36C0A"/>
          <w:sz w:val="22"/>
        </w:rPr>
      </w:pPr>
    </w:p>
    <w:p w14:paraId="7F6C6062" w14:textId="77777777" w:rsidR="009D1253" w:rsidRDefault="009D1253" w:rsidP="009D1253">
      <w:pPr>
        <w:rPr>
          <w:rFonts w:ascii="Tahoma" w:hAnsi="Tahoma" w:cs="Tahoma"/>
          <w:b/>
          <w:i/>
          <w:color w:val="E36C0A"/>
          <w:sz w:val="22"/>
        </w:rPr>
      </w:pPr>
    </w:p>
    <w:p w14:paraId="7BBA96C5" w14:textId="77777777" w:rsidR="009D1253" w:rsidRDefault="009D1253" w:rsidP="009D1253">
      <w:pPr>
        <w:rPr>
          <w:rFonts w:ascii="Tahoma" w:hAnsi="Tahoma" w:cs="Tahoma"/>
          <w:b/>
          <w:i/>
          <w:color w:val="E36C0A"/>
          <w:sz w:val="22"/>
        </w:rPr>
      </w:pPr>
    </w:p>
    <w:p w14:paraId="4036F77B" w14:textId="77777777" w:rsidR="009D1253" w:rsidRPr="00C9310A" w:rsidRDefault="009D1253" w:rsidP="000B3718">
      <w:pPr>
        <w:pStyle w:val="a5"/>
      </w:pPr>
      <w:r w:rsidRPr="00C9310A">
        <w:t>2.4.</w:t>
      </w:r>
      <w:r>
        <w:rPr>
          <w:lang w:val="ru-RU"/>
        </w:rPr>
        <w:t>9</w:t>
      </w:r>
      <w:r w:rsidRPr="00C9310A">
        <w:t>.Тарифный план «</w:t>
      </w:r>
      <w:r>
        <w:rPr>
          <w:lang w:val="ru-RU"/>
        </w:rPr>
        <w:t>Новые_Онлайн</w:t>
      </w:r>
      <w:r w:rsidRPr="00C9310A">
        <w:t>»</w:t>
      </w:r>
    </w:p>
    <w:p w14:paraId="17C10387" w14:textId="77777777" w:rsidR="009D1253" w:rsidRDefault="009D1253" w:rsidP="009D1253">
      <w:pPr>
        <w:rPr>
          <w:rFonts w:ascii="Tahoma" w:hAnsi="Tahoma" w:cs="Tahoma"/>
          <w:b/>
          <w:i/>
          <w:color w:val="E36C0A"/>
          <w:sz w:val="22"/>
        </w:rPr>
      </w:pPr>
    </w:p>
    <w:p w14:paraId="62B0FD5A" w14:textId="77777777" w:rsidR="009D1253" w:rsidRPr="00D3704B" w:rsidRDefault="009D1253" w:rsidP="009D1253">
      <w:pPr>
        <w:jc w:val="center"/>
        <w:rPr>
          <w:rFonts w:ascii="Tahoma" w:eastAsiaTheme="minorHAnsi" w:hAnsi="Tahoma" w:cs="Tahoma"/>
          <w:b/>
          <w:noProof/>
          <w:sz w:val="18"/>
          <w:szCs w:val="18"/>
        </w:rPr>
      </w:pPr>
      <w:r w:rsidRPr="00D3704B">
        <w:rPr>
          <w:rFonts w:ascii="Tahoma" w:eastAsiaTheme="minorHAnsi" w:hAnsi="Tahoma" w:cs="Tahoma"/>
          <w:b/>
          <w:noProof/>
          <w:sz w:val="18"/>
          <w:szCs w:val="18"/>
        </w:rPr>
        <w:t>ИНФОРМАЦИЯ ОБ УСЛОВИЯХ ПРЕДОСТАВЛЕНИЯ, ИСПОЛЬЗОВАНИЯ И ВОЗВРАТА ЗАЁМЩИКОМ ПОТРЕБИТЕЛЬСКОГО КРЕДИТА ПОД ЗАЛОГ ТРАНСПОРТНОГО СРЕДСТВА ПО ТАРИФНОМУ ПЛАНУ «НОВЫЕ_ОНЛАЙН</w:t>
      </w:r>
      <w:r w:rsidRPr="00D3704B">
        <w:rPr>
          <w:rFonts w:ascii="Tahoma" w:eastAsiaTheme="minorHAnsi" w:hAnsi="Tahoma" w:cs="Tahoma"/>
          <w:b/>
          <w:noProof/>
          <w:sz w:val="18"/>
          <w:szCs w:val="18"/>
          <w:vertAlign w:val="superscript"/>
        </w:rPr>
        <w:t>1</w:t>
      </w:r>
      <w:r w:rsidRPr="00D3704B">
        <w:rPr>
          <w:rFonts w:ascii="Tahoma" w:eastAsiaTheme="minorHAnsi" w:hAnsi="Tahoma" w:cs="Tahoma"/>
          <w:b/>
          <w:noProof/>
          <w:sz w:val="18"/>
          <w:szCs w:val="18"/>
        </w:rPr>
        <w:t>»</w:t>
      </w:r>
    </w:p>
    <w:p w14:paraId="3AF43F16" w14:textId="77777777" w:rsidR="009D1253" w:rsidRPr="00D3704B" w:rsidRDefault="009D1253" w:rsidP="009D1253">
      <w:pPr>
        <w:rPr>
          <w:rFonts w:ascii="Tahoma" w:eastAsiaTheme="minorHAnsi" w:hAnsi="Tahoma" w:cs="Tahoma"/>
          <w:b/>
          <w:bCs/>
          <w:caps/>
          <w:sz w:val="22"/>
          <w:szCs w:val="22"/>
          <w:lang w:eastAsia="en-US"/>
        </w:rPr>
      </w:pPr>
    </w:p>
    <w:p w14:paraId="4724FD38" w14:textId="77777777" w:rsidR="009D1253" w:rsidRPr="00D3704B" w:rsidRDefault="009D1253" w:rsidP="00B460F9">
      <w:pPr>
        <w:numPr>
          <w:ilvl w:val="0"/>
          <w:numId w:val="176"/>
        </w:numPr>
        <w:tabs>
          <w:tab w:val="num" w:pos="360"/>
          <w:tab w:val="left" w:pos="851"/>
        </w:tabs>
        <w:spacing w:after="200" w:line="276" w:lineRule="auto"/>
        <w:contextualSpacing/>
        <w:jc w:val="both"/>
        <w:rPr>
          <w:rFonts w:ascii="Tahoma" w:eastAsia="Calibri" w:hAnsi="Tahoma" w:cs="Tahoma"/>
          <w:noProof/>
          <w:sz w:val="18"/>
          <w:szCs w:val="18"/>
        </w:rPr>
      </w:pPr>
      <w:r w:rsidRPr="00D3704B">
        <w:rPr>
          <w:rFonts w:ascii="Tahoma" w:eastAsia="Calibri" w:hAnsi="Tahoma" w:cs="Tahoma"/>
          <w:b/>
          <w:bCs/>
          <w:caps/>
          <w:sz w:val="18"/>
          <w:szCs w:val="18"/>
          <w:lang w:eastAsia="en-US"/>
        </w:rPr>
        <w:t>ОСНОВНЫЕ ПОНЯТИЯ, ИСПОЛЬЗУЕМЫЕ ТЕРМИНЫ и сокращения</w:t>
      </w:r>
      <w:r w:rsidRPr="00D3704B">
        <w:rPr>
          <w:rFonts w:ascii="Tahoma" w:eastAsia="Calibri" w:hAnsi="Tahoma" w:cs="Tahoma"/>
          <w:b/>
          <w:bCs/>
          <w:caps/>
          <w:sz w:val="18"/>
          <w:szCs w:val="18"/>
          <w:vertAlign w:val="superscript"/>
          <w:lang w:eastAsia="en-US"/>
        </w:rPr>
        <w:t>2</w:t>
      </w:r>
    </w:p>
    <w:tbl>
      <w:tblPr>
        <w:tblW w:w="4954"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9"/>
        <w:gridCol w:w="11041"/>
      </w:tblGrid>
      <w:tr w:rsidR="009D1253" w:rsidRPr="00D3704B" w14:paraId="6D27407B" w14:textId="77777777" w:rsidTr="009D1253">
        <w:tc>
          <w:tcPr>
            <w:tcW w:w="1450" w:type="pct"/>
          </w:tcPr>
          <w:p w14:paraId="71131918" w14:textId="77777777" w:rsidR="009D1253" w:rsidRPr="00D3704B" w:rsidRDefault="009D1253" w:rsidP="009D1253">
            <w:pPr>
              <w:tabs>
                <w:tab w:val="left" w:pos="851"/>
              </w:tabs>
              <w:rPr>
                <w:rFonts w:ascii="Tahoma" w:eastAsiaTheme="minorHAnsi" w:hAnsi="Tahoma" w:cs="Tahoma"/>
                <w:b/>
                <w:bCs/>
                <w:iCs/>
                <w:sz w:val="18"/>
                <w:szCs w:val="18"/>
                <w:lang w:eastAsia="en-US"/>
              </w:rPr>
            </w:pPr>
            <w:r w:rsidRPr="00D3704B">
              <w:rPr>
                <w:rFonts w:ascii="Tahoma" w:eastAsiaTheme="minorHAnsi" w:hAnsi="Tahoma" w:cs="Tahoma"/>
                <w:b/>
                <w:bCs/>
                <w:iCs/>
                <w:sz w:val="18"/>
                <w:szCs w:val="18"/>
                <w:lang w:eastAsia="en-US"/>
              </w:rPr>
              <w:t>Наименование Кредитора, место нахождения постоянно действующего исполнительного органа, контактный телефон, по которому осуществляется связь с Кредитором, официальный сайт, номер лицензии на осуществление банковских операций</w:t>
            </w:r>
          </w:p>
        </w:tc>
        <w:tc>
          <w:tcPr>
            <w:tcW w:w="3550" w:type="pct"/>
          </w:tcPr>
          <w:p w14:paraId="04B6A010" w14:textId="77777777" w:rsidR="009D1253" w:rsidRPr="00D3704B" w:rsidRDefault="009D1253" w:rsidP="009D1253">
            <w:pPr>
              <w:tabs>
                <w:tab w:val="left" w:pos="851"/>
              </w:tabs>
              <w:jc w:val="both"/>
              <w:rPr>
                <w:rFonts w:ascii="Tahoma" w:eastAsiaTheme="minorHAnsi" w:hAnsi="Tahoma" w:cs="Tahoma"/>
                <w:bCs/>
                <w:iCs/>
                <w:sz w:val="18"/>
                <w:szCs w:val="18"/>
                <w:lang w:eastAsia="en-US"/>
              </w:rPr>
            </w:pPr>
            <w:r w:rsidRPr="00D3704B">
              <w:rPr>
                <w:rFonts w:ascii="Tahoma" w:eastAsiaTheme="minorHAnsi" w:hAnsi="Tahoma" w:cs="Tahoma"/>
                <w:sz w:val="18"/>
                <w:szCs w:val="18"/>
                <w:lang w:eastAsia="en-US"/>
              </w:rPr>
              <w:t xml:space="preserve">«Азиатско-Тихоокеанский Банк» (Акционерное общество) (далее – Банк). Универсальная лицензия ЦБ РФ № 1810, ОГРН: 1022800000079, ИНН: 2801023444, БИК: 041012765, кор. счет №: 30101810300000000765 в Отделении Благовещенск. Местонахождение Банка и место нахождения его постоянно действующего исполнительного органа: 675004, Амурская область, г. Благовещенск, ул. Амурская, д. 225. Контактный тел.: 8 800 775 8888 (звонок по России бесплатный). Сайт Банка: </w:t>
            </w:r>
            <w:hyperlink r:id="rId70" w:history="1">
              <w:r w:rsidRPr="00D3704B">
                <w:rPr>
                  <w:rFonts w:ascii="Tahoma" w:eastAsiaTheme="minorHAnsi" w:hAnsi="Tahoma" w:cs="Tahoma"/>
                  <w:sz w:val="18"/>
                  <w:szCs w:val="18"/>
                  <w:u w:val="single"/>
                  <w:lang w:eastAsia="en-US"/>
                </w:rPr>
                <w:t>www.atb.su</w:t>
              </w:r>
            </w:hyperlink>
          </w:p>
        </w:tc>
      </w:tr>
      <w:tr w:rsidR="009D1253" w:rsidRPr="00D3704B" w14:paraId="0954FD42" w14:textId="77777777" w:rsidTr="009D1253">
        <w:trPr>
          <w:trHeight w:val="203"/>
        </w:trPr>
        <w:tc>
          <w:tcPr>
            <w:tcW w:w="1450" w:type="pct"/>
          </w:tcPr>
          <w:p w14:paraId="15E19124" w14:textId="77777777" w:rsidR="009D1253" w:rsidRPr="00D3704B" w:rsidRDefault="009D1253" w:rsidP="009D1253">
            <w:pPr>
              <w:tabs>
                <w:tab w:val="left" w:pos="851"/>
              </w:tabs>
              <w:rPr>
                <w:rFonts w:ascii="Tahoma" w:hAnsi="Tahoma" w:cs="Tahoma"/>
                <w:b/>
                <w:color w:val="000000"/>
                <w:sz w:val="18"/>
                <w:szCs w:val="18"/>
              </w:rPr>
            </w:pPr>
            <w:r w:rsidRPr="00D3704B">
              <w:rPr>
                <w:rFonts w:ascii="Tahoma" w:hAnsi="Tahoma" w:cs="Tahoma"/>
                <w:b/>
                <w:color w:val="000000"/>
                <w:sz w:val="18"/>
                <w:szCs w:val="18"/>
              </w:rPr>
              <w:t xml:space="preserve">ПСК </w:t>
            </w:r>
          </w:p>
        </w:tc>
        <w:tc>
          <w:tcPr>
            <w:tcW w:w="3550" w:type="pct"/>
          </w:tcPr>
          <w:p w14:paraId="0989DFA2" w14:textId="77777777" w:rsidR="009D1253" w:rsidRPr="00D3704B" w:rsidRDefault="009D1253" w:rsidP="009D1253">
            <w:pPr>
              <w:jc w:val="both"/>
              <w:rPr>
                <w:rFonts w:ascii="Tahoma" w:eastAsiaTheme="minorHAnsi" w:hAnsi="Tahoma" w:cs="Tahoma"/>
                <w:sz w:val="18"/>
                <w:szCs w:val="18"/>
                <w:lang w:eastAsia="en-US"/>
              </w:rPr>
            </w:pPr>
            <w:r w:rsidRPr="00D3704B">
              <w:rPr>
                <w:rFonts w:ascii="Tahoma" w:eastAsiaTheme="minorHAnsi" w:hAnsi="Tahoma" w:cs="Tahoma"/>
                <w:sz w:val="18"/>
                <w:szCs w:val="18"/>
                <w:lang w:eastAsia="en-US"/>
              </w:rPr>
              <w:t xml:space="preserve">Полная стоимость потребительского Кредита определяется как в процентах годовых, </w:t>
            </w:r>
            <w:r w:rsidRPr="00D3704B">
              <w:rPr>
                <w:rFonts w:ascii="Tahoma" w:eastAsiaTheme="minorHAnsi" w:hAnsi="Tahoma" w:cs="Tahoma"/>
                <w:bCs/>
                <w:sz w:val="18"/>
                <w:szCs w:val="18"/>
                <w:lang w:eastAsia="en-US"/>
              </w:rPr>
              <w:t>так и в денежном выражении</w:t>
            </w:r>
          </w:p>
        </w:tc>
      </w:tr>
      <w:tr w:rsidR="009D1253" w:rsidRPr="00D3704B" w14:paraId="23AF7E0A" w14:textId="77777777" w:rsidTr="009D1253">
        <w:tc>
          <w:tcPr>
            <w:tcW w:w="1450" w:type="pct"/>
          </w:tcPr>
          <w:p w14:paraId="1C847152" w14:textId="77777777" w:rsidR="009D1253" w:rsidRPr="00D3704B" w:rsidRDefault="009D1253" w:rsidP="009D1253">
            <w:pPr>
              <w:rPr>
                <w:rFonts w:ascii="Tahoma" w:eastAsiaTheme="minorHAnsi" w:hAnsi="Tahoma" w:cs="Tahoma"/>
                <w:b/>
                <w:sz w:val="18"/>
                <w:szCs w:val="18"/>
                <w:lang w:eastAsia="en-US"/>
              </w:rPr>
            </w:pPr>
            <w:r w:rsidRPr="00D3704B">
              <w:rPr>
                <w:rFonts w:ascii="Tahoma" w:eastAsiaTheme="minorHAnsi" w:hAnsi="Tahoma" w:cs="Tahoma"/>
                <w:b/>
                <w:sz w:val="18"/>
                <w:szCs w:val="18"/>
                <w:lang w:eastAsia="en-US"/>
              </w:rPr>
              <w:t>Текущий банковский счет (ТБС)</w:t>
            </w:r>
          </w:p>
        </w:tc>
        <w:tc>
          <w:tcPr>
            <w:tcW w:w="3550" w:type="pct"/>
          </w:tcPr>
          <w:p w14:paraId="1FFC0DF0" w14:textId="77777777" w:rsidR="009D1253" w:rsidRPr="00D3704B" w:rsidRDefault="009D1253" w:rsidP="009D1253">
            <w:pPr>
              <w:widowControl w:val="0"/>
              <w:tabs>
                <w:tab w:val="left" w:pos="851"/>
              </w:tabs>
              <w:adjustRightInd w:val="0"/>
              <w:jc w:val="both"/>
              <w:rPr>
                <w:rFonts w:ascii="Tahoma" w:eastAsiaTheme="minorHAnsi" w:hAnsi="Tahoma" w:cs="Tahoma"/>
                <w:sz w:val="18"/>
                <w:szCs w:val="18"/>
                <w:lang w:eastAsia="en-US"/>
              </w:rPr>
            </w:pPr>
            <w:r w:rsidRPr="00D3704B">
              <w:rPr>
                <w:rFonts w:ascii="Tahoma" w:eastAsiaTheme="minorHAnsi" w:hAnsi="Tahoma" w:cs="Tahoma"/>
                <w:sz w:val="18"/>
                <w:szCs w:val="18"/>
                <w:lang w:eastAsia="en-US"/>
              </w:rPr>
              <w:t>Счет, открываемый Банком Клиенту в рамках заключения Договора ТБС (для совершения Операций) и Договора «Потребительский кредит под залог транспортного средства». ТБС, открытый в рамках Договора «Потребительский кредит под залог транспортного средства», используется для зачисления предоставленных Клиенту (Заёмщику) кредитных средств (а также прочих целей, предусмотренных Сторонами в Договоре), если об открытии данного счета Стороны договорились в Индивидуальных условиях Договора.</w:t>
            </w:r>
          </w:p>
        </w:tc>
      </w:tr>
      <w:tr w:rsidR="009D1253" w:rsidRPr="00D3704B" w14:paraId="3483454C" w14:textId="77777777" w:rsidTr="009D1253">
        <w:tc>
          <w:tcPr>
            <w:tcW w:w="1450" w:type="pct"/>
          </w:tcPr>
          <w:p w14:paraId="1E8314E9" w14:textId="77777777" w:rsidR="009D1253" w:rsidRPr="00D3704B" w:rsidRDefault="009D1253" w:rsidP="009D1253">
            <w:pPr>
              <w:rPr>
                <w:rFonts w:ascii="Tahoma" w:eastAsiaTheme="minorHAnsi" w:hAnsi="Tahoma" w:cs="Tahoma"/>
                <w:b/>
                <w:sz w:val="18"/>
                <w:szCs w:val="18"/>
                <w:lang w:eastAsia="en-US"/>
              </w:rPr>
            </w:pPr>
            <w:r w:rsidRPr="00D3704B">
              <w:rPr>
                <w:rFonts w:ascii="Tahoma" w:eastAsiaTheme="minorHAnsi" w:hAnsi="Tahoma" w:cs="Tahoma"/>
                <w:b/>
                <w:sz w:val="18"/>
                <w:szCs w:val="18"/>
                <w:lang w:eastAsia="en-US"/>
              </w:rPr>
              <w:t>Договор/Договор «Потребительский кредит под залог транспортного средства»</w:t>
            </w:r>
          </w:p>
        </w:tc>
        <w:tc>
          <w:tcPr>
            <w:tcW w:w="3550" w:type="pct"/>
          </w:tcPr>
          <w:p w14:paraId="25C5E8DE" w14:textId="77777777" w:rsidR="009D1253" w:rsidRPr="00D3704B" w:rsidRDefault="009D1253" w:rsidP="009D1253">
            <w:pPr>
              <w:widowControl w:val="0"/>
              <w:tabs>
                <w:tab w:val="left" w:pos="851"/>
              </w:tabs>
              <w:adjustRightInd w:val="0"/>
              <w:jc w:val="both"/>
              <w:rPr>
                <w:rFonts w:ascii="Tahoma" w:eastAsiaTheme="minorHAnsi" w:hAnsi="Tahoma" w:cs="Tahoma"/>
                <w:sz w:val="18"/>
                <w:szCs w:val="18"/>
                <w:lang w:eastAsia="en-US"/>
              </w:rPr>
            </w:pPr>
            <w:r w:rsidRPr="00D3704B">
              <w:rPr>
                <w:rFonts w:ascii="Tahoma" w:eastAsiaTheme="minorHAnsi" w:hAnsi="Tahoma" w:cs="Tahoma"/>
                <w:sz w:val="18"/>
                <w:szCs w:val="18"/>
                <w:lang w:eastAsia="en-US"/>
              </w:rPr>
              <w:t>Договор «Потребительский кредит под залог транспортного средства» - договор потребительского Кредита, заключаемый в соответствии с Федеральным законом от 21.12.2013 № 353-ФЗ «О потребительском кредите (займе)», исполнение обязательств по которому обеспечивается залогом ТС.</w:t>
            </w:r>
          </w:p>
        </w:tc>
      </w:tr>
      <w:tr w:rsidR="009D1253" w:rsidRPr="00D3704B" w14:paraId="24C81A38" w14:textId="77777777" w:rsidTr="009D1253">
        <w:tc>
          <w:tcPr>
            <w:tcW w:w="1450" w:type="pct"/>
          </w:tcPr>
          <w:p w14:paraId="2B063460" w14:textId="77777777" w:rsidR="009D1253" w:rsidRPr="00D3704B" w:rsidRDefault="009D1253" w:rsidP="009D1253">
            <w:pPr>
              <w:rPr>
                <w:rFonts w:ascii="Tahoma" w:eastAsiaTheme="minorHAnsi" w:hAnsi="Tahoma" w:cs="Tahoma"/>
                <w:b/>
                <w:sz w:val="18"/>
                <w:szCs w:val="18"/>
                <w:lang w:eastAsia="en-US"/>
              </w:rPr>
            </w:pPr>
            <w:r w:rsidRPr="00D3704B">
              <w:rPr>
                <w:rFonts w:ascii="Tahoma" w:eastAsiaTheme="minorHAnsi" w:hAnsi="Tahoma" w:cs="Tahoma"/>
                <w:b/>
                <w:sz w:val="18"/>
                <w:szCs w:val="18"/>
                <w:lang w:eastAsia="en-US"/>
              </w:rPr>
              <w:t xml:space="preserve">Транспортное средство (ТС) </w:t>
            </w:r>
          </w:p>
        </w:tc>
        <w:tc>
          <w:tcPr>
            <w:tcW w:w="3550" w:type="pct"/>
          </w:tcPr>
          <w:p w14:paraId="28141075" w14:textId="77777777" w:rsidR="009D1253" w:rsidRPr="00D3704B" w:rsidRDefault="009D1253" w:rsidP="009D1253">
            <w:pPr>
              <w:widowControl w:val="0"/>
              <w:tabs>
                <w:tab w:val="left" w:pos="851"/>
              </w:tabs>
              <w:adjustRightInd w:val="0"/>
              <w:jc w:val="both"/>
              <w:rPr>
                <w:rFonts w:ascii="Tahoma" w:eastAsiaTheme="minorHAnsi" w:hAnsi="Tahoma" w:cs="Tahoma"/>
                <w:sz w:val="18"/>
                <w:szCs w:val="18"/>
                <w:lang w:eastAsia="en-US"/>
              </w:rPr>
            </w:pPr>
            <w:r w:rsidRPr="00D3704B">
              <w:rPr>
                <w:rFonts w:ascii="Tahoma" w:eastAsiaTheme="minorHAnsi" w:hAnsi="Tahoma" w:cs="Tahoma"/>
                <w:sz w:val="18"/>
                <w:szCs w:val="18"/>
                <w:lang w:eastAsia="en-US"/>
              </w:rPr>
              <w:t>Транспортное средство и дополнительное оборудование для него, информация о котором указана в Договоре «Потребительский кредит под залог транспортного средства», оплата стоимости которого произведена Заёмщиком с использованием Кредита, и предоставляемое в залог в обеспечение обязательств Заёмщика по Кредиту.</w:t>
            </w:r>
          </w:p>
        </w:tc>
      </w:tr>
      <w:tr w:rsidR="009D1253" w:rsidRPr="00D3704B" w14:paraId="6DF61607" w14:textId="77777777" w:rsidTr="009D1253">
        <w:tc>
          <w:tcPr>
            <w:tcW w:w="5000" w:type="pct"/>
            <w:gridSpan w:val="2"/>
            <w:tcBorders>
              <w:top w:val="single" w:sz="4" w:space="0" w:color="auto"/>
              <w:left w:val="nil"/>
              <w:bottom w:val="nil"/>
              <w:right w:val="nil"/>
            </w:tcBorders>
          </w:tcPr>
          <w:p w14:paraId="2BA29549" w14:textId="77777777" w:rsidR="009D1253" w:rsidRPr="00D3704B" w:rsidRDefault="009D1253" w:rsidP="009D1253">
            <w:pPr>
              <w:widowControl w:val="0"/>
              <w:tabs>
                <w:tab w:val="left" w:pos="851"/>
              </w:tabs>
              <w:adjustRightInd w:val="0"/>
              <w:jc w:val="both"/>
              <w:rPr>
                <w:rFonts w:ascii="Tahoma" w:eastAsiaTheme="minorHAnsi" w:hAnsi="Tahoma" w:cs="Tahoma"/>
                <w:sz w:val="18"/>
                <w:szCs w:val="18"/>
                <w:vertAlign w:val="superscript"/>
                <w:lang w:eastAsia="en-US"/>
              </w:rPr>
            </w:pPr>
            <w:r w:rsidRPr="00D3704B">
              <w:rPr>
                <w:rFonts w:ascii="Tahoma" w:eastAsiaTheme="minorHAnsi" w:hAnsi="Tahoma" w:cs="Tahoma"/>
                <w:sz w:val="18"/>
                <w:szCs w:val="18"/>
                <w:vertAlign w:val="superscript"/>
                <w:lang w:eastAsia="en-US"/>
              </w:rPr>
              <w:t>1</w:t>
            </w:r>
            <w:r w:rsidRPr="00D3704B">
              <w:rPr>
                <w:rFonts w:ascii="Tahoma" w:eastAsiaTheme="minorHAnsi" w:hAnsi="Tahoma" w:cs="Tahoma"/>
                <w:sz w:val="18"/>
                <w:szCs w:val="18"/>
                <w:lang w:eastAsia="en-US"/>
              </w:rPr>
              <w:t>Реализация кредитного продукта производится через операторы финансовых платформ</w:t>
            </w:r>
          </w:p>
          <w:p w14:paraId="1745DB2D" w14:textId="77777777" w:rsidR="009D1253" w:rsidRPr="00D3704B" w:rsidRDefault="009D1253" w:rsidP="009D1253">
            <w:pPr>
              <w:widowControl w:val="0"/>
              <w:tabs>
                <w:tab w:val="left" w:pos="851"/>
              </w:tabs>
              <w:adjustRightInd w:val="0"/>
              <w:jc w:val="both"/>
              <w:rPr>
                <w:rFonts w:ascii="Tahoma" w:eastAsiaTheme="minorHAnsi" w:hAnsi="Tahoma" w:cs="Tahoma"/>
                <w:color w:val="0000FF" w:themeColor="hyperlink"/>
                <w:sz w:val="18"/>
                <w:szCs w:val="18"/>
                <w:u w:val="single"/>
                <w:lang w:eastAsia="en-US"/>
              </w:rPr>
            </w:pPr>
            <w:r w:rsidRPr="00D3704B">
              <w:rPr>
                <w:rFonts w:ascii="Tahoma" w:eastAsiaTheme="minorHAnsi" w:hAnsi="Tahoma" w:cs="Tahoma"/>
                <w:sz w:val="18"/>
                <w:szCs w:val="18"/>
                <w:vertAlign w:val="superscript"/>
                <w:lang w:eastAsia="en-US"/>
              </w:rPr>
              <w:t>2</w:t>
            </w:r>
            <w:r w:rsidRPr="00D3704B">
              <w:rPr>
                <w:rFonts w:ascii="Tahoma" w:eastAsiaTheme="minorHAnsi" w:hAnsi="Tahoma" w:cs="Tahoma"/>
                <w:sz w:val="18"/>
                <w:szCs w:val="18"/>
                <w:lang w:eastAsia="en-US"/>
              </w:rPr>
              <w:t xml:space="preserve">Термины, значение которым не дано в настоящем документе,  применяются в значении, указанном в Универсальном договоре банковского обслуживания физических лиц «Азиатско-Тихоокеанский Банк» (АО) (далее - УДБО), размещённом в подразделениях Банка и на сайте Банка в сети Интернет по адресу </w:t>
            </w:r>
            <w:hyperlink r:id="rId71" w:history="1">
              <w:r w:rsidRPr="00D3704B">
                <w:rPr>
                  <w:rFonts w:ascii="Tahoma" w:eastAsiaTheme="minorHAnsi" w:hAnsi="Tahoma" w:cs="Tahoma"/>
                  <w:color w:val="0000FF" w:themeColor="hyperlink"/>
                  <w:sz w:val="18"/>
                  <w:szCs w:val="18"/>
                  <w:u w:val="single"/>
                  <w:lang w:eastAsia="en-US"/>
                </w:rPr>
                <w:t>www.atb.su</w:t>
              </w:r>
            </w:hyperlink>
          </w:p>
        </w:tc>
      </w:tr>
    </w:tbl>
    <w:p w14:paraId="14B7EBBA" w14:textId="77777777" w:rsidR="009D1253" w:rsidRPr="00D3704B" w:rsidRDefault="009D1253" w:rsidP="009D1253">
      <w:pPr>
        <w:tabs>
          <w:tab w:val="left" w:pos="851"/>
        </w:tabs>
        <w:ind w:left="426"/>
        <w:contextualSpacing/>
        <w:jc w:val="both"/>
        <w:rPr>
          <w:rFonts w:ascii="Tahoma" w:eastAsia="Calibri" w:hAnsi="Tahoma" w:cs="Tahoma"/>
          <w:b/>
          <w:noProof/>
          <w:sz w:val="18"/>
          <w:szCs w:val="18"/>
        </w:rPr>
      </w:pPr>
    </w:p>
    <w:p w14:paraId="6EDB08AC" w14:textId="77777777" w:rsidR="009D1253" w:rsidRPr="00D3704B" w:rsidRDefault="009D1253" w:rsidP="00B460F9">
      <w:pPr>
        <w:numPr>
          <w:ilvl w:val="0"/>
          <w:numId w:val="176"/>
        </w:numPr>
        <w:tabs>
          <w:tab w:val="num" w:pos="360"/>
          <w:tab w:val="left" w:pos="851"/>
        </w:tabs>
        <w:spacing w:after="200" w:line="276" w:lineRule="auto"/>
        <w:contextualSpacing/>
        <w:jc w:val="both"/>
        <w:rPr>
          <w:rFonts w:ascii="Tahoma" w:eastAsia="Calibri" w:hAnsi="Tahoma" w:cs="Tahoma"/>
          <w:b/>
          <w:noProof/>
          <w:sz w:val="18"/>
          <w:szCs w:val="18"/>
        </w:rPr>
      </w:pPr>
      <w:r w:rsidRPr="00D3704B">
        <w:rPr>
          <w:rFonts w:ascii="Tahoma" w:eastAsia="Calibri" w:hAnsi="Tahoma" w:cs="Tahoma"/>
          <w:b/>
          <w:noProof/>
          <w:sz w:val="18"/>
          <w:szCs w:val="18"/>
        </w:rPr>
        <w:lastRenderedPageBreak/>
        <w:t>ИНФОРМАЦИЯ ОБ УСЛОВИЯХ ПРЕДОСТАВЛЕНИЯ, ИСПОЛЬЗОВАНИЯ И ВОЗВРАТА ЗАЁМЩИКОМ ПОТРЕБИТЕЛЬСКОГО КРЕДИТА ПОД ЗАЛОГ ТРАНСПОРТНОГО СРЕДСТВА</w:t>
      </w:r>
    </w:p>
    <w:tbl>
      <w:tblPr>
        <w:tblW w:w="4886"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24"/>
        <w:gridCol w:w="10812"/>
      </w:tblGrid>
      <w:tr w:rsidR="009D1253" w:rsidRPr="00D3704B" w14:paraId="0177F313" w14:textId="77777777" w:rsidTr="009D1253">
        <w:trPr>
          <w:trHeight w:val="455"/>
        </w:trPr>
        <w:tc>
          <w:tcPr>
            <w:tcW w:w="1475" w:type="pct"/>
            <w:shd w:val="clear" w:color="auto" w:fill="D9D9D9" w:themeFill="background1" w:themeFillShade="D9"/>
            <w:vAlign w:val="center"/>
          </w:tcPr>
          <w:p w14:paraId="63E8A0F9" w14:textId="77777777" w:rsidR="009D1253" w:rsidRPr="00D3704B" w:rsidRDefault="009D1253" w:rsidP="009D1253">
            <w:pPr>
              <w:jc w:val="center"/>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Наименование продукта/</w:t>
            </w:r>
            <w:r w:rsidRPr="00D3704B" w:rsidDel="00A134C4">
              <w:rPr>
                <w:rFonts w:ascii="Tahoma" w:eastAsiaTheme="minorHAnsi" w:hAnsi="Tahoma" w:cs="Tahoma"/>
                <w:b/>
                <w:sz w:val="20"/>
                <w:szCs w:val="20"/>
                <w:lang w:eastAsia="en-US"/>
              </w:rPr>
              <w:t xml:space="preserve"> </w:t>
            </w:r>
            <w:r w:rsidRPr="00D3704B">
              <w:rPr>
                <w:rFonts w:ascii="Tahoma" w:eastAsiaTheme="minorHAnsi" w:hAnsi="Tahoma" w:cs="Tahoma"/>
                <w:b/>
                <w:sz w:val="20"/>
                <w:szCs w:val="20"/>
                <w:lang w:eastAsia="en-US"/>
              </w:rPr>
              <w:t>тарифного плана (ТП)</w:t>
            </w:r>
          </w:p>
        </w:tc>
        <w:tc>
          <w:tcPr>
            <w:tcW w:w="3525" w:type="pct"/>
            <w:shd w:val="clear" w:color="auto" w:fill="D9D9D9" w:themeFill="background1" w:themeFillShade="D9"/>
            <w:vAlign w:val="center"/>
          </w:tcPr>
          <w:p w14:paraId="6E745F46" w14:textId="77777777" w:rsidR="009D1253" w:rsidRPr="00D3704B" w:rsidRDefault="009D1253" w:rsidP="009D1253">
            <w:pPr>
              <w:tabs>
                <w:tab w:val="left" w:pos="-284"/>
                <w:tab w:val="left" w:pos="851"/>
              </w:tabs>
              <w:autoSpaceDE w:val="0"/>
              <w:autoSpaceDN w:val="0"/>
              <w:ind w:right="849"/>
              <w:jc w:val="center"/>
              <w:rPr>
                <w:rFonts w:ascii="Tahoma" w:hAnsi="Tahoma" w:cs="Tahoma"/>
                <w:b/>
                <w:sz w:val="20"/>
                <w:szCs w:val="20"/>
              </w:rPr>
            </w:pPr>
            <w:r w:rsidRPr="00D3704B">
              <w:rPr>
                <w:rFonts w:ascii="Tahoma" w:hAnsi="Tahoma" w:cs="Tahoma"/>
                <w:b/>
                <w:sz w:val="20"/>
                <w:szCs w:val="20"/>
              </w:rPr>
              <w:t>«НОВЫЕ_ОНЛАЙН»</w:t>
            </w:r>
          </w:p>
        </w:tc>
      </w:tr>
      <w:tr w:rsidR="009D1253" w:rsidRPr="00D3704B" w14:paraId="4321F962" w14:textId="77777777" w:rsidTr="009D1253">
        <w:trPr>
          <w:trHeight w:val="246"/>
        </w:trPr>
        <w:tc>
          <w:tcPr>
            <w:tcW w:w="1475" w:type="pct"/>
            <w:shd w:val="clear" w:color="auto" w:fill="auto"/>
            <w:vAlign w:val="center"/>
          </w:tcPr>
          <w:p w14:paraId="71B4D014"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hAnsi="Tahoma" w:cs="Tahoma"/>
                <w:b/>
                <w:bCs/>
                <w:sz w:val="20"/>
                <w:szCs w:val="20"/>
              </w:rPr>
              <w:t>Категория Заёмщика</w:t>
            </w:r>
          </w:p>
        </w:tc>
        <w:tc>
          <w:tcPr>
            <w:tcW w:w="3525" w:type="pct"/>
            <w:shd w:val="clear" w:color="auto" w:fill="auto"/>
            <w:vAlign w:val="center"/>
          </w:tcPr>
          <w:p w14:paraId="409F879A" w14:textId="77777777" w:rsidR="009D1253" w:rsidRPr="00D3704B" w:rsidRDefault="009D1253" w:rsidP="009D1253">
            <w:pPr>
              <w:tabs>
                <w:tab w:val="left" w:pos="-284"/>
                <w:tab w:val="left" w:pos="851"/>
              </w:tabs>
              <w:autoSpaceDE w:val="0"/>
              <w:autoSpaceDN w:val="0"/>
              <w:ind w:right="849"/>
              <w:jc w:val="center"/>
              <w:rPr>
                <w:rFonts w:ascii="Tahoma" w:hAnsi="Tahoma" w:cs="Tahoma"/>
                <w:sz w:val="20"/>
                <w:szCs w:val="20"/>
              </w:rPr>
            </w:pPr>
            <w:r w:rsidRPr="00D3704B">
              <w:rPr>
                <w:rFonts w:ascii="Tahoma" w:hAnsi="Tahoma" w:cs="Tahoma"/>
                <w:sz w:val="20"/>
                <w:szCs w:val="20"/>
              </w:rPr>
              <w:t>Физические лица (имеющие официальное место работы и/или постоянный источник дохода)</w:t>
            </w:r>
          </w:p>
        </w:tc>
      </w:tr>
      <w:tr w:rsidR="009D1253" w:rsidRPr="00D3704B" w14:paraId="4441A126" w14:textId="77777777" w:rsidTr="009D1253">
        <w:trPr>
          <w:trHeight w:val="250"/>
        </w:trPr>
        <w:tc>
          <w:tcPr>
            <w:tcW w:w="1475" w:type="pct"/>
            <w:vAlign w:val="center"/>
          </w:tcPr>
          <w:p w14:paraId="096907A9"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Вид Кредита</w:t>
            </w:r>
          </w:p>
        </w:tc>
        <w:tc>
          <w:tcPr>
            <w:tcW w:w="3525" w:type="pct"/>
            <w:vAlign w:val="center"/>
          </w:tcPr>
          <w:p w14:paraId="1D5796D1" w14:textId="77777777" w:rsidR="009D1253" w:rsidRPr="00D3704B" w:rsidRDefault="009D1253" w:rsidP="009D1253">
            <w:pPr>
              <w:tabs>
                <w:tab w:val="left" w:pos="-284"/>
                <w:tab w:val="left" w:pos="851"/>
              </w:tabs>
              <w:autoSpaceDE w:val="0"/>
              <w:autoSpaceDN w:val="0"/>
              <w:ind w:right="849"/>
              <w:jc w:val="center"/>
              <w:rPr>
                <w:rFonts w:ascii="Tahoma" w:hAnsi="Tahoma" w:cs="Tahoma"/>
                <w:sz w:val="20"/>
                <w:szCs w:val="20"/>
              </w:rPr>
            </w:pPr>
            <w:r w:rsidRPr="00D3704B">
              <w:rPr>
                <w:rFonts w:ascii="Tahoma" w:hAnsi="Tahoma" w:cs="Tahoma"/>
                <w:sz w:val="20"/>
                <w:szCs w:val="20"/>
              </w:rPr>
              <w:t>Потребительский кредит</w:t>
            </w:r>
          </w:p>
        </w:tc>
      </w:tr>
      <w:tr w:rsidR="009D1253" w:rsidRPr="00D3704B" w14:paraId="195AA51D" w14:textId="77777777" w:rsidTr="009D1253">
        <w:trPr>
          <w:trHeight w:val="250"/>
        </w:trPr>
        <w:tc>
          <w:tcPr>
            <w:tcW w:w="1475" w:type="pct"/>
            <w:vAlign w:val="center"/>
          </w:tcPr>
          <w:p w14:paraId="24D004C0"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Тип Кредита</w:t>
            </w:r>
          </w:p>
        </w:tc>
        <w:tc>
          <w:tcPr>
            <w:tcW w:w="3525" w:type="pct"/>
            <w:vAlign w:val="center"/>
          </w:tcPr>
          <w:p w14:paraId="5B52FA56" w14:textId="77777777" w:rsidR="009D1253" w:rsidRPr="00D3704B" w:rsidRDefault="009D1253" w:rsidP="009D1253">
            <w:pPr>
              <w:tabs>
                <w:tab w:val="left" w:pos="-284"/>
                <w:tab w:val="left" w:pos="851"/>
              </w:tabs>
              <w:autoSpaceDE w:val="0"/>
              <w:autoSpaceDN w:val="0"/>
              <w:ind w:right="849"/>
              <w:jc w:val="center"/>
              <w:rPr>
                <w:rFonts w:ascii="Tahoma" w:hAnsi="Tahoma" w:cs="Tahoma"/>
                <w:sz w:val="20"/>
                <w:szCs w:val="20"/>
              </w:rPr>
            </w:pPr>
            <w:r w:rsidRPr="00D3704B">
              <w:rPr>
                <w:rFonts w:ascii="Tahoma" w:hAnsi="Tahoma" w:cs="Tahoma"/>
                <w:sz w:val="20"/>
                <w:szCs w:val="20"/>
              </w:rPr>
              <w:t>Потребительский кредит под залог приобретенного ТС</w:t>
            </w:r>
          </w:p>
        </w:tc>
      </w:tr>
      <w:tr w:rsidR="009D1253" w:rsidRPr="00D3704B" w14:paraId="48AD8AA0" w14:textId="77777777" w:rsidTr="009D1253">
        <w:trPr>
          <w:trHeight w:val="512"/>
        </w:trPr>
        <w:tc>
          <w:tcPr>
            <w:tcW w:w="1475" w:type="pct"/>
            <w:vAlign w:val="center"/>
          </w:tcPr>
          <w:p w14:paraId="457D0447"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 xml:space="preserve">Цель Кредита </w:t>
            </w:r>
          </w:p>
        </w:tc>
        <w:tc>
          <w:tcPr>
            <w:tcW w:w="3525" w:type="pct"/>
            <w:vAlign w:val="center"/>
          </w:tcPr>
          <w:p w14:paraId="681A0137" w14:textId="77777777" w:rsidR="009D1253" w:rsidRPr="00D3704B" w:rsidRDefault="009D1253" w:rsidP="009D1253">
            <w:pPr>
              <w:tabs>
                <w:tab w:val="left" w:pos="-284"/>
                <w:tab w:val="left" w:pos="851"/>
              </w:tabs>
              <w:autoSpaceDE w:val="0"/>
              <w:autoSpaceDN w:val="0"/>
              <w:jc w:val="center"/>
              <w:rPr>
                <w:rFonts w:ascii="Tahoma" w:hAnsi="Tahoma" w:cs="Tahoma"/>
                <w:sz w:val="20"/>
                <w:szCs w:val="20"/>
              </w:rPr>
            </w:pPr>
            <w:r w:rsidRPr="00D3704B">
              <w:rPr>
                <w:rFonts w:ascii="Tahoma" w:hAnsi="Tahoma" w:cs="Tahoma"/>
                <w:sz w:val="20"/>
                <w:szCs w:val="20"/>
              </w:rPr>
              <w:t xml:space="preserve">Приобретение нового транспортного средства (ТС) отечественной или иностранной марки категории В, или иностранной марки категории </w:t>
            </w:r>
            <w:r w:rsidRPr="00D3704B">
              <w:rPr>
                <w:rFonts w:ascii="Tahoma" w:hAnsi="Tahoma" w:cs="Tahoma"/>
                <w:sz w:val="20"/>
                <w:szCs w:val="20"/>
                <w:lang w:val="en-US"/>
              </w:rPr>
              <w:t>D</w:t>
            </w:r>
            <w:r w:rsidRPr="00D3704B">
              <w:rPr>
                <w:rFonts w:ascii="Tahoma" w:hAnsi="Tahoma" w:cs="Tahoma"/>
                <w:sz w:val="20"/>
                <w:szCs w:val="20"/>
              </w:rPr>
              <w:t>, а также дополнительно на оплату иных товаров, работ и услуг по выбору Заёмщика</w:t>
            </w:r>
          </w:p>
        </w:tc>
      </w:tr>
      <w:tr w:rsidR="009D1253" w:rsidRPr="00D3704B" w14:paraId="25A9BEB5" w14:textId="77777777" w:rsidTr="009D1253">
        <w:trPr>
          <w:trHeight w:val="455"/>
        </w:trPr>
        <w:tc>
          <w:tcPr>
            <w:tcW w:w="1475" w:type="pct"/>
            <w:vAlign w:val="center"/>
          </w:tcPr>
          <w:p w14:paraId="44ABE854"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Подразделения сети/точки продаж, реализующие кредитный продукт</w:t>
            </w:r>
          </w:p>
        </w:tc>
        <w:tc>
          <w:tcPr>
            <w:tcW w:w="3525" w:type="pct"/>
            <w:vAlign w:val="center"/>
          </w:tcPr>
          <w:p w14:paraId="11FCADF1" w14:textId="77777777" w:rsidR="009D1253" w:rsidRPr="00D3704B" w:rsidRDefault="009D1253" w:rsidP="009D1253">
            <w:pPr>
              <w:tabs>
                <w:tab w:val="left" w:pos="-284"/>
                <w:tab w:val="left" w:pos="851"/>
              </w:tabs>
              <w:autoSpaceDE w:val="0"/>
              <w:autoSpaceDN w:val="0"/>
              <w:jc w:val="center"/>
              <w:rPr>
                <w:rFonts w:ascii="Tahoma" w:hAnsi="Tahoma" w:cs="Tahoma"/>
                <w:sz w:val="20"/>
                <w:szCs w:val="20"/>
              </w:rPr>
            </w:pPr>
            <w:r w:rsidRPr="00D3704B">
              <w:rPr>
                <w:rFonts w:ascii="Tahoma" w:hAnsi="Tahoma" w:cs="Tahoma"/>
                <w:sz w:val="20"/>
                <w:szCs w:val="20"/>
              </w:rPr>
              <w:t xml:space="preserve">Программа предлагается в местах обслуживания клиентов при условии оформления заявки через операторов финансовой платформы в соответствии Федеральным законом от 20.07.2020 № 211-ФЗ "О совершении финансовых сделок с использованием финансовой платформы" при наличии технической возможности. Возможность заключения договора по соответствующему тарифному плану необходимо уточнять в местах обслуживания или по телефону </w:t>
            </w:r>
            <w:hyperlink r:id="rId72" w:history="1">
              <w:r w:rsidRPr="00D3704B">
                <w:rPr>
                  <w:rFonts w:ascii="Tahoma" w:hAnsi="Tahoma" w:cs="Tahoma"/>
                  <w:sz w:val="20"/>
                  <w:szCs w:val="20"/>
                </w:rPr>
                <w:t>8-800-775-88-88</w:t>
              </w:r>
            </w:hyperlink>
          </w:p>
        </w:tc>
      </w:tr>
      <w:tr w:rsidR="009D1253" w:rsidRPr="00D3704B" w14:paraId="255E7DC7" w14:textId="77777777" w:rsidTr="009D1253">
        <w:trPr>
          <w:trHeight w:val="455"/>
        </w:trPr>
        <w:tc>
          <w:tcPr>
            <w:tcW w:w="1475" w:type="pct"/>
            <w:vAlign w:val="center"/>
          </w:tcPr>
          <w:p w14:paraId="7C05FC84" w14:textId="77777777" w:rsidR="009D1253" w:rsidRPr="00D3704B" w:rsidRDefault="009D1253" w:rsidP="009D1253">
            <w:pPr>
              <w:jc w:val="both"/>
              <w:rPr>
                <w:rFonts w:ascii="Tahoma" w:hAnsi="Tahoma" w:cs="Tahoma"/>
                <w:b/>
                <w:bCs/>
                <w:sz w:val="20"/>
                <w:szCs w:val="20"/>
              </w:rPr>
            </w:pPr>
            <w:r w:rsidRPr="00D3704B">
              <w:rPr>
                <w:rFonts w:ascii="Tahoma" w:hAnsi="Tahoma" w:cs="Tahoma"/>
                <w:b/>
                <w:bCs/>
                <w:sz w:val="20"/>
                <w:szCs w:val="20"/>
              </w:rPr>
              <w:t>Валюта, в которой предоставляется Кредит</w:t>
            </w:r>
          </w:p>
        </w:tc>
        <w:tc>
          <w:tcPr>
            <w:tcW w:w="3525" w:type="pct"/>
            <w:vAlign w:val="center"/>
          </w:tcPr>
          <w:p w14:paraId="0CB56132" w14:textId="77777777" w:rsidR="009D1253" w:rsidRPr="00D3704B" w:rsidRDefault="009D1253" w:rsidP="009D1253">
            <w:pPr>
              <w:tabs>
                <w:tab w:val="left" w:pos="-284"/>
                <w:tab w:val="left" w:pos="851"/>
              </w:tabs>
              <w:autoSpaceDE w:val="0"/>
              <w:autoSpaceDN w:val="0"/>
              <w:ind w:right="849"/>
              <w:jc w:val="center"/>
              <w:rPr>
                <w:rFonts w:ascii="Tahoma" w:hAnsi="Tahoma" w:cs="Tahoma"/>
                <w:sz w:val="20"/>
                <w:szCs w:val="20"/>
              </w:rPr>
            </w:pPr>
            <w:r w:rsidRPr="00D3704B">
              <w:rPr>
                <w:rFonts w:ascii="Tahoma" w:hAnsi="Tahoma" w:cs="Tahoma"/>
                <w:color w:val="000000"/>
                <w:sz w:val="20"/>
                <w:szCs w:val="20"/>
              </w:rPr>
              <w:t>Рубль Российской Федерации (далее - рубль)</w:t>
            </w:r>
          </w:p>
        </w:tc>
      </w:tr>
      <w:tr w:rsidR="009D1253" w:rsidRPr="00D3704B" w14:paraId="52D8CDC3" w14:textId="77777777" w:rsidTr="009D1253">
        <w:trPr>
          <w:trHeight w:val="455"/>
        </w:trPr>
        <w:tc>
          <w:tcPr>
            <w:tcW w:w="1475" w:type="pct"/>
            <w:shd w:val="clear" w:color="auto" w:fill="auto"/>
            <w:vAlign w:val="center"/>
          </w:tcPr>
          <w:p w14:paraId="350C0121" w14:textId="77777777" w:rsidR="009D1253" w:rsidRPr="00D3704B" w:rsidRDefault="009D1253" w:rsidP="009D1253">
            <w:pPr>
              <w:jc w:val="both"/>
              <w:rPr>
                <w:rFonts w:ascii="Tahoma" w:hAnsi="Tahoma" w:cs="Tahoma"/>
                <w:b/>
                <w:bCs/>
                <w:sz w:val="20"/>
                <w:szCs w:val="20"/>
              </w:rPr>
            </w:pPr>
            <w:r w:rsidRPr="00D3704B">
              <w:rPr>
                <w:rFonts w:ascii="Tahoma" w:hAnsi="Tahoma" w:cs="Tahoma"/>
                <w:b/>
                <w:sz w:val="20"/>
                <w:szCs w:val="20"/>
              </w:rPr>
              <w:t>Минимальная сумма Кредита</w:t>
            </w:r>
          </w:p>
        </w:tc>
        <w:tc>
          <w:tcPr>
            <w:tcW w:w="3525" w:type="pct"/>
            <w:shd w:val="clear" w:color="auto" w:fill="auto"/>
            <w:vAlign w:val="center"/>
          </w:tcPr>
          <w:p w14:paraId="28940D8E" w14:textId="77777777" w:rsidR="009D1253" w:rsidRPr="00D3704B" w:rsidRDefault="009D1253" w:rsidP="009D1253">
            <w:pPr>
              <w:tabs>
                <w:tab w:val="left" w:pos="-284"/>
                <w:tab w:val="left" w:pos="851"/>
              </w:tabs>
              <w:autoSpaceDE w:val="0"/>
              <w:autoSpaceDN w:val="0"/>
              <w:ind w:right="849"/>
              <w:jc w:val="center"/>
              <w:rPr>
                <w:rFonts w:ascii="Tahoma" w:hAnsi="Tahoma" w:cs="Tahoma"/>
                <w:color w:val="000000"/>
                <w:sz w:val="20"/>
                <w:szCs w:val="20"/>
              </w:rPr>
            </w:pPr>
            <w:r w:rsidRPr="00D3704B">
              <w:rPr>
                <w:rFonts w:ascii="Tahoma" w:hAnsi="Tahoma" w:cs="Tahoma"/>
                <w:color w:val="000000"/>
                <w:sz w:val="20"/>
                <w:szCs w:val="20"/>
              </w:rPr>
              <w:t>200 000 рублей</w:t>
            </w:r>
          </w:p>
        </w:tc>
      </w:tr>
      <w:tr w:rsidR="009D1253" w:rsidRPr="00D3704B" w14:paraId="5584B576" w14:textId="77777777" w:rsidTr="009D1253">
        <w:trPr>
          <w:trHeight w:val="363"/>
        </w:trPr>
        <w:tc>
          <w:tcPr>
            <w:tcW w:w="1475" w:type="pct"/>
            <w:shd w:val="clear" w:color="auto" w:fill="auto"/>
            <w:vAlign w:val="center"/>
          </w:tcPr>
          <w:p w14:paraId="625A8F20" w14:textId="77777777" w:rsidR="009D1253" w:rsidRPr="00D3704B" w:rsidRDefault="009D1253" w:rsidP="009D1253">
            <w:pPr>
              <w:jc w:val="both"/>
              <w:rPr>
                <w:rFonts w:ascii="Tahoma" w:hAnsi="Tahoma" w:cs="Tahoma"/>
                <w:b/>
                <w:sz w:val="20"/>
                <w:szCs w:val="20"/>
              </w:rPr>
            </w:pPr>
            <w:r w:rsidRPr="00D3704B">
              <w:rPr>
                <w:rFonts w:ascii="Tahoma" w:hAnsi="Tahoma" w:cs="Tahoma"/>
                <w:b/>
                <w:sz w:val="20"/>
                <w:szCs w:val="20"/>
              </w:rPr>
              <w:t>Максимальная сумма Кредита</w:t>
            </w:r>
          </w:p>
        </w:tc>
        <w:tc>
          <w:tcPr>
            <w:tcW w:w="3525" w:type="pct"/>
            <w:shd w:val="clear" w:color="auto" w:fill="auto"/>
            <w:vAlign w:val="center"/>
          </w:tcPr>
          <w:p w14:paraId="47319DEF" w14:textId="77777777" w:rsidR="009D1253" w:rsidRPr="00D3704B" w:rsidRDefault="009D1253" w:rsidP="009D1253">
            <w:pPr>
              <w:tabs>
                <w:tab w:val="left" w:pos="-284"/>
                <w:tab w:val="left" w:pos="851"/>
              </w:tabs>
              <w:autoSpaceDE w:val="0"/>
              <w:autoSpaceDN w:val="0"/>
              <w:ind w:left="3953"/>
              <w:jc w:val="both"/>
              <w:rPr>
                <w:rFonts w:ascii="Tahoma" w:hAnsi="Tahoma" w:cs="Tahoma"/>
                <w:color w:val="000000"/>
                <w:sz w:val="20"/>
                <w:szCs w:val="20"/>
              </w:rPr>
            </w:pPr>
            <w:r w:rsidRPr="00D3704B">
              <w:rPr>
                <w:rFonts w:ascii="Tahoma" w:hAnsi="Tahoma" w:cs="Tahoma"/>
                <w:color w:val="000000"/>
                <w:sz w:val="20"/>
                <w:szCs w:val="20"/>
              </w:rPr>
              <w:t xml:space="preserve">9 000 000 рублей </w:t>
            </w:r>
          </w:p>
        </w:tc>
      </w:tr>
      <w:tr w:rsidR="009D1253" w:rsidRPr="00D3704B" w14:paraId="2F489358" w14:textId="77777777" w:rsidTr="009D1253">
        <w:trPr>
          <w:trHeight w:val="558"/>
        </w:trPr>
        <w:tc>
          <w:tcPr>
            <w:tcW w:w="1474" w:type="pct"/>
            <w:shd w:val="clear" w:color="auto" w:fill="auto"/>
            <w:vAlign w:val="center"/>
          </w:tcPr>
          <w:p w14:paraId="5F324F53" w14:textId="77777777" w:rsidR="009D1253" w:rsidRPr="00D3704B" w:rsidRDefault="009D1253" w:rsidP="009D1253">
            <w:pPr>
              <w:jc w:val="both"/>
              <w:rPr>
                <w:rFonts w:ascii="Tahoma" w:hAnsi="Tahoma" w:cs="Tahoma"/>
                <w:b/>
                <w:sz w:val="20"/>
                <w:szCs w:val="20"/>
              </w:rPr>
            </w:pPr>
            <w:r w:rsidRPr="00D3704B">
              <w:rPr>
                <w:rFonts w:ascii="Tahoma" w:hAnsi="Tahoma" w:cs="Tahoma"/>
                <w:b/>
                <w:sz w:val="20"/>
                <w:szCs w:val="20"/>
              </w:rPr>
              <w:t xml:space="preserve">Размер первоначального взноса (ПВ), </w:t>
            </w:r>
          </w:p>
          <w:p w14:paraId="281A0CBA" w14:textId="77777777" w:rsidR="009D1253" w:rsidRPr="00D3704B" w:rsidRDefault="009D1253" w:rsidP="009D1253">
            <w:pPr>
              <w:jc w:val="both"/>
              <w:rPr>
                <w:rFonts w:ascii="Tahoma" w:hAnsi="Tahoma" w:cs="Tahoma"/>
                <w:b/>
                <w:sz w:val="20"/>
                <w:szCs w:val="20"/>
              </w:rPr>
            </w:pPr>
            <w:r w:rsidRPr="00D3704B">
              <w:rPr>
                <w:rFonts w:ascii="Tahoma" w:hAnsi="Tahoma" w:cs="Tahoma"/>
                <w:b/>
                <w:sz w:val="20"/>
                <w:szCs w:val="20"/>
              </w:rPr>
              <w:t>в % от стоимости ТС</w:t>
            </w:r>
          </w:p>
        </w:tc>
        <w:tc>
          <w:tcPr>
            <w:tcW w:w="3526" w:type="pct"/>
            <w:shd w:val="clear" w:color="auto" w:fill="auto"/>
            <w:vAlign w:val="center"/>
          </w:tcPr>
          <w:p w14:paraId="0A6712CA" w14:textId="77777777" w:rsidR="009D1253" w:rsidRPr="00D3704B" w:rsidRDefault="009D1253" w:rsidP="009D1253">
            <w:pPr>
              <w:tabs>
                <w:tab w:val="left" w:pos="-284"/>
                <w:tab w:val="left" w:pos="851"/>
              </w:tabs>
              <w:autoSpaceDE w:val="0"/>
              <w:autoSpaceDN w:val="0"/>
              <w:ind w:right="849"/>
              <w:jc w:val="center"/>
              <w:rPr>
                <w:rFonts w:ascii="Tahoma" w:hAnsi="Tahoma" w:cs="Tahoma"/>
                <w:color w:val="000000"/>
                <w:sz w:val="20"/>
                <w:szCs w:val="20"/>
              </w:rPr>
            </w:pPr>
            <w:r w:rsidRPr="00D3704B">
              <w:rPr>
                <w:rFonts w:ascii="Tahoma" w:hAnsi="Tahoma" w:cs="Tahoma"/>
                <w:color w:val="000000"/>
                <w:sz w:val="20"/>
                <w:szCs w:val="20"/>
              </w:rPr>
              <w:t>от 0%</w:t>
            </w:r>
          </w:p>
        </w:tc>
      </w:tr>
      <w:tr w:rsidR="009D1253" w:rsidRPr="00D3704B" w14:paraId="69BC9681" w14:textId="77777777" w:rsidTr="009D1253">
        <w:trPr>
          <w:trHeight w:val="408"/>
        </w:trPr>
        <w:tc>
          <w:tcPr>
            <w:tcW w:w="1474" w:type="pct"/>
            <w:shd w:val="clear" w:color="auto" w:fill="auto"/>
            <w:vAlign w:val="center"/>
          </w:tcPr>
          <w:p w14:paraId="0E496725" w14:textId="77777777" w:rsidR="009D1253" w:rsidRPr="00D3704B" w:rsidRDefault="009D1253" w:rsidP="009D1253">
            <w:pPr>
              <w:jc w:val="both"/>
              <w:rPr>
                <w:rFonts w:ascii="Tahoma" w:hAnsi="Tahoma" w:cs="Tahoma"/>
                <w:b/>
                <w:sz w:val="20"/>
                <w:szCs w:val="20"/>
              </w:rPr>
            </w:pPr>
            <w:r w:rsidRPr="00D3704B">
              <w:rPr>
                <w:rFonts w:ascii="Tahoma" w:hAnsi="Tahoma" w:cs="Tahoma"/>
                <w:b/>
                <w:sz w:val="20"/>
                <w:szCs w:val="20"/>
              </w:rPr>
              <w:t>Диапазон сроков возврата Кредита</w:t>
            </w:r>
          </w:p>
        </w:tc>
        <w:tc>
          <w:tcPr>
            <w:tcW w:w="3526" w:type="pct"/>
            <w:shd w:val="clear" w:color="auto" w:fill="auto"/>
            <w:vAlign w:val="center"/>
          </w:tcPr>
          <w:p w14:paraId="3106B78E" w14:textId="77777777" w:rsidR="009D1253" w:rsidRPr="00D3704B" w:rsidRDefault="009D1253" w:rsidP="009D1253">
            <w:pPr>
              <w:tabs>
                <w:tab w:val="left" w:pos="851"/>
              </w:tabs>
              <w:jc w:val="center"/>
              <w:rPr>
                <w:rFonts w:ascii="Tahoma" w:hAnsi="Tahoma" w:cs="Tahoma"/>
                <w:sz w:val="20"/>
                <w:szCs w:val="20"/>
              </w:rPr>
            </w:pPr>
            <w:r w:rsidRPr="00D3704B">
              <w:rPr>
                <w:rFonts w:ascii="Tahoma" w:hAnsi="Tahoma" w:cs="Tahoma"/>
                <w:sz w:val="20"/>
                <w:szCs w:val="20"/>
              </w:rPr>
              <w:t xml:space="preserve">от 24 (двадцати четырех) </w:t>
            </w:r>
            <w:r w:rsidRPr="005A07E7">
              <w:rPr>
                <w:rFonts w:ascii="Tahoma" w:hAnsi="Tahoma" w:cs="Tahoma"/>
                <w:sz w:val="20"/>
                <w:szCs w:val="20"/>
              </w:rPr>
              <w:t xml:space="preserve">до </w:t>
            </w:r>
            <w:r>
              <w:rPr>
                <w:rFonts w:ascii="Tahoma" w:hAnsi="Tahoma" w:cs="Tahoma"/>
                <w:sz w:val="20"/>
                <w:szCs w:val="20"/>
              </w:rPr>
              <w:t>120</w:t>
            </w:r>
            <w:r w:rsidRPr="005A07E7">
              <w:rPr>
                <w:rFonts w:ascii="Tahoma" w:hAnsi="Tahoma" w:cs="Tahoma"/>
                <w:sz w:val="20"/>
                <w:szCs w:val="20"/>
              </w:rPr>
              <w:t xml:space="preserve"> (</w:t>
            </w:r>
            <w:r>
              <w:rPr>
                <w:rFonts w:ascii="Tahoma" w:hAnsi="Tahoma" w:cs="Tahoma"/>
                <w:sz w:val="20"/>
                <w:szCs w:val="20"/>
              </w:rPr>
              <w:t>ста двадцати</w:t>
            </w:r>
            <w:r w:rsidRPr="005A07E7">
              <w:rPr>
                <w:rFonts w:ascii="Tahoma" w:hAnsi="Tahoma" w:cs="Tahoma"/>
                <w:sz w:val="20"/>
                <w:szCs w:val="20"/>
              </w:rPr>
              <w:t>) месяцев</w:t>
            </w:r>
            <w:r w:rsidRPr="00D3704B">
              <w:rPr>
                <w:rFonts w:ascii="Tahoma" w:hAnsi="Tahoma" w:cs="Tahoma"/>
                <w:sz w:val="20"/>
                <w:szCs w:val="20"/>
              </w:rPr>
              <w:t xml:space="preserve"> с шагом в 1 (один) год</w:t>
            </w:r>
          </w:p>
        </w:tc>
      </w:tr>
      <w:tr w:rsidR="009D1253" w:rsidRPr="00D3704B" w14:paraId="20D84DD1" w14:textId="77777777" w:rsidTr="009D1253">
        <w:trPr>
          <w:trHeight w:val="1840"/>
        </w:trPr>
        <w:tc>
          <w:tcPr>
            <w:tcW w:w="1474" w:type="pct"/>
            <w:vAlign w:val="center"/>
          </w:tcPr>
          <w:p w14:paraId="02E6BD7E" w14:textId="77777777" w:rsidR="009D1253" w:rsidRPr="00D3704B" w:rsidRDefault="009D1253" w:rsidP="009D1253">
            <w:pPr>
              <w:spacing w:line="216" w:lineRule="auto"/>
              <w:jc w:val="both"/>
              <w:rPr>
                <w:rFonts w:ascii="Tahoma" w:hAnsi="Tahoma" w:cs="Tahoma"/>
                <w:b/>
                <w:sz w:val="20"/>
                <w:szCs w:val="20"/>
              </w:rPr>
            </w:pPr>
            <w:r w:rsidRPr="00D3704B">
              <w:rPr>
                <w:rFonts w:ascii="Tahoma" w:hAnsi="Tahoma" w:cs="Tahoma"/>
                <w:b/>
                <w:sz w:val="20"/>
                <w:szCs w:val="20"/>
              </w:rPr>
              <w:t>Процентная ставка (в процентах годовых)</w:t>
            </w:r>
          </w:p>
        </w:tc>
        <w:tc>
          <w:tcPr>
            <w:tcW w:w="3526" w:type="pct"/>
            <w:shd w:val="clear" w:color="auto" w:fill="auto"/>
            <w:vAlign w:val="center"/>
          </w:tcPr>
          <w:tbl>
            <w:tblPr>
              <w:tblStyle w:val="281"/>
              <w:tblpPr w:leftFromText="180" w:rightFromText="180" w:vertAnchor="page" w:horzAnchor="margin" w:tblpY="1"/>
              <w:tblOverlap w:val="never"/>
              <w:tblW w:w="9067" w:type="dxa"/>
              <w:tblLayout w:type="fixed"/>
              <w:tblLook w:val="05A0" w:firstRow="1" w:lastRow="0" w:firstColumn="1" w:lastColumn="1" w:noHBand="0" w:noVBand="1"/>
            </w:tblPr>
            <w:tblGrid>
              <w:gridCol w:w="2321"/>
              <w:gridCol w:w="3628"/>
              <w:gridCol w:w="3118"/>
            </w:tblGrid>
            <w:tr w:rsidR="009D1253" w:rsidRPr="00D3704B" w14:paraId="465BB1B6" w14:textId="77777777" w:rsidTr="009D1253">
              <w:trPr>
                <w:trHeight w:val="553"/>
              </w:trPr>
              <w:tc>
                <w:tcPr>
                  <w:tcW w:w="9067" w:type="dxa"/>
                  <w:gridSpan w:val="3"/>
                  <w:vAlign w:val="center"/>
                </w:tcPr>
                <w:p w14:paraId="69002A17" w14:textId="77777777" w:rsidR="009D1253" w:rsidRPr="00D3704B" w:rsidRDefault="009D1253" w:rsidP="009D1253">
                  <w:pPr>
                    <w:tabs>
                      <w:tab w:val="left" w:pos="6979"/>
                    </w:tabs>
                    <w:ind w:right="176"/>
                    <w:jc w:val="center"/>
                    <w:rPr>
                      <w:rFonts w:ascii="Tahoma" w:hAnsi="Tahoma" w:cs="Tahoma"/>
                      <w:color w:val="000000"/>
                      <w:sz w:val="20"/>
                      <w:szCs w:val="20"/>
                    </w:rPr>
                  </w:pPr>
                  <w:r w:rsidRPr="00D3704B">
                    <w:rPr>
                      <w:rFonts w:ascii="Tahoma" w:hAnsi="Tahoma" w:cs="Tahoma"/>
                      <w:color w:val="000000"/>
                      <w:sz w:val="20"/>
                      <w:szCs w:val="20"/>
                    </w:rPr>
                    <w:t>НОВЫЕ_ОНЛАЙН</w:t>
                  </w:r>
                </w:p>
              </w:tc>
            </w:tr>
            <w:tr w:rsidR="009D1253" w:rsidRPr="00D3704B" w14:paraId="30DC76BF" w14:textId="77777777" w:rsidTr="009D1253">
              <w:tc>
                <w:tcPr>
                  <w:tcW w:w="2321" w:type="dxa"/>
                </w:tcPr>
                <w:p w14:paraId="46BD7F8A" w14:textId="77777777" w:rsidR="009D1253" w:rsidRPr="00D3704B" w:rsidRDefault="009D1253" w:rsidP="009D1253">
                  <w:pPr>
                    <w:tabs>
                      <w:tab w:val="left" w:pos="6979"/>
                    </w:tabs>
                    <w:ind w:right="176"/>
                    <w:rPr>
                      <w:rFonts w:ascii="Tahoma" w:hAnsi="Tahoma" w:cs="Tahoma"/>
                      <w:color w:val="000000"/>
                      <w:sz w:val="20"/>
                      <w:szCs w:val="20"/>
                    </w:rPr>
                  </w:pPr>
                </w:p>
              </w:tc>
              <w:tc>
                <w:tcPr>
                  <w:tcW w:w="3628" w:type="dxa"/>
                </w:tcPr>
                <w:p w14:paraId="6ED2A49A" w14:textId="77777777" w:rsidR="009D1253" w:rsidRPr="00D3704B" w:rsidRDefault="009D1253" w:rsidP="009D1253">
                  <w:pPr>
                    <w:autoSpaceDE w:val="0"/>
                    <w:autoSpaceDN w:val="0"/>
                    <w:adjustRightInd w:val="0"/>
                    <w:jc w:val="center"/>
                    <w:rPr>
                      <w:rFonts w:ascii="Tahoma" w:hAnsi="Tahoma" w:cs="Tahoma"/>
                      <w:color w:val="000000"/>
                      <w:sz w:val="20"/>
                      <w:szCs w:val="20"/>
                    </w:rPr>
                  </w:pPr>
                  <w:r w:rsidRPr="00D3704B">
                    <w:rPr>
                      <w:rFonts w:ascii="Tahoma" w:hAnsi="Tahoma" w:cs="Tahoma"/>
                      <w:color w:val="000000"/>
                      <w:sz w:val="20"/>
                      <w:szCs w:val="20"/>
                    </w:rPr>
                    <w:t>Ставка по Кредиту при отказе от заключения или досрочном** прекращении договора личного страхования*</w:t>
                  </w:r>
                </w:p>
              </w:tc>
              <w:tc>
                <w:tcPr>
                  <w:tcW w:w="3118" w:type="dxa"/>
                </w:tcPr>
                <w:p w14:paraId="22018F20" w14:textId="77777777" w:rsidR="009D1253" w:rsidRPr="00D3704B" w:rsidRDefault="009D1253" w:rsidP="009D1253">
                  <w:pPr>
                    <w:tabs>
                      <w:tab w:val="left" w:pos="6979"/>
                    </w:tabs>
                    <w:ind w:right="176"/>
                    <w:jc w:val="center"/>
                    <w:rPr>
                      <w:rFonts w:ascii="Tahoma" w:hAnsi="Tahoma" w:cs="Tahoma"/>
                      <w:color w:val="000000"/>
                      <w:sz w:val="20"/>
                      <w:szCs w:val="20"/>
                    </w:rPr>
                  </w:pPr>
                  <w:r w:rsidRPr="00D3704B">
                    <w:rPr>
                      <w:rFonts w:ascii="Tahoma" w:hAnsi="Tahoma" w:cs="Tahoma"/>
                      <w:color w:val="000000"/>
                      <w:sz w:val="20"/>
                      <w:szCs w:val="20"/>
                    </w:rPr>
                    <w:t>Ставка по Кредиту при заключении договора личного страхования*</w:t>
                  </w:r>
                </w:p>
              </w:tc>
            </w:tr>
            <w:tr w:rsidR="009D1253" w:rsidRPr="00D3704B" w14:paraId="116A14CE" w14:textId="77777777" w:rsidTr="009D1253">
              <w:tc>
                <w:tcPr>
                  <w:tcW w:w="2321" w:type="dxa"/>
                </w:tcPr>
                <w:p w14:paraId="14C4591A" w14:textId="77777777" w:rsidR="009D1253" w:rsidRPr="00D3704B" w:rsidRDefault="009D1253" w:rsidP="009D1253">
                  <w:pPr>
                    <w:tabs>
                      <w:tab w:val="left" w:pos="6979"/>
                    </w:tabs>
                    <w:ind w:right="176"/>
                    <w:rPr>
                      <w:rFonts w:ascii="Tahoma" w:hAnsi="Tahoma" w:cs="Tahoma"/>
                      <w:color w:val="000000"/>
                      <w:sz w:val="20"/>
                      <w:szCs w:val="20"/>
                    </w:rPr>
                  </w:pPr>
                  <w:r w:rsidRPr="00D3704B">
                    <w:rPr>
                      <w:rFonts w:ascii="Tahoma" w:hAnsi="Tahoma" w:cs="Tahoma"/>
                      <w:color w:val="000000"/>
                      <w:sz w:val="20"/>
                      <w:szCs w:val="20"/>
                    </w:rPr>
                    <w:t>Для новых ТС</w:t>
                  </w:r>
                </w:p>
              </w:tc>
              <w:tc>
                <w:tcPr>
                  <w:tcW w:w="3628" w:type="dxa"/>
                  <w:vAlign w:val="center"/>
                </w:tcPr>
                <w:p w14:paraId="4B9AFA82" w14:textId="77777777" w:rsidR="009D1253" w:rsidRPr="00D3704B"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26.5</w:t>
                  </w:r>
                  <w:r w:rsidRPr="00D3704B">
                    <w:rPr>
                      <w:rFonts w:ascii="Tahoma" w:hAnsi="Tahoma" w:cs="Tahoma"/>
                      <w:b/>
                      <w:color w:val="000000"/>
                      <w:sz w:val="20"/>
                      <w:szCs w:val="20"/>
                    </w:rPr>
                    <w:t>%</w:t>
                  </w:r>
                </w:p>
              </w:tc>
              <w:tc>
                <w:tcPr>
                  <w:tcW w:w="3118" w:type="dxa"/>
                  <w:vAlign w:val="center"/>
                </w:tcPr>
                <w:p w14:paraId="138932AF" w14:textId="77777777" w:rsidR="009D1253" w:rsidRPr="00D3704B"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24.5</w:t>
                  </w:r>
                  <w:r w:rsidRPr="00D3704B">
                    <w:rPr>
                      <w:rFonts w:ascii="Tahoma" w:hAnsi="Tahoma" w:cs="Tahoma"/>
                      <w:b/>
                      <w:color w:val="000000"/>
                      <w:sz w:val="20"/>
                      <w:szCs w:val="20"/>
                    </w:rPr>
                    <w:t>%</w:t>
                  </w:r>
                </w:p>
              </w:tc>
            </w:tr>
          </w:tbl>
          <w:p w14:paraId="2DACE347" w14:textId="77777777" w:rsidR="009D1253" w:rsidRPr="00D3704B" w:rsidRDefault="009D1253" w:rsidP="009D1253">
            <w:pPr>
              <w:tabs>
                <w:tab w:val="left" w:pos="6979"/>
              </w:tabs>
              <w:spacing w:after="200" w:line="276" w:lineRule="auto"/>
              <w:ind w:right="176"/>
              <w:jc w:val="both"/>
              <w:rPr>
                <w:rFonts w:ascii="Tahoma" w:hAnsi="Tahoma" w:cs="Tahoma"/>
                <w:color w:val="000000"/>
                <w:sz w:val="20"/>
                <w:szCs w:val="20"/>
              </w:rPr>
            </w:pPr>
          </w:p>
          <w:p w14:paraId="5C97D65C" w14:textId="77777777" w:rsidR="009D1253" w:rsidRPr="00D3704B" w:rsidRDefault="009D1253" w:rsidP="009D1253">
            <w:pPr>
              <w:tabs>
                <w:tab w:val="left" w:pos="6979"/>
              </w:tabs>
              <w:spacing w:after="200" w:line="276" w:lineRule="auto"/>
              <w:ind w:right="176"/>
              <w:jc w:val="both"/>
              <w:rPr>
                <w:rFonts w:ascii="Tahoma" w:hAnsi="Tahoma" w:cs="Tahoma"/>
                <w:color w:val="000000"/>
                <w:sz w:val="20"/>
                <w:szCs w:val="20"/>
              </w:rPr>
            </w:pPr>
          </w:p>
          <w:p w14:paraId="480770C5" w14:textId="77777777" w:rsidR="009D1253" w:rsidRPr="00D3704B" w:rsidRDefault="009D1253" w:rsidP="009D1253">
            <w:pPr>
              <w:tabs>
                <w:tab w:val="left" w:pos="6979"/>
              </w:tabs>
              <w:spacing w:after="200" w:line="276" w:lineRule="auto"/>
              <w:ind w:right="176"/>
              <w:jc w:val="both"/>
              <w:rPr>
                <w:rFonts w:ascii="Tahoma" w:hAnsi="Tahoma" w:cs="Tahoma"/>
                <w:color w:val="000000"/>
                <w:sz w:val="20"/>
                <w:szCs w:val="20"/>
              </w:rPr>
            </w:pPr>
          </w:p>
          <w:p w14:paraId="607E1E3D" w14:textId="77777777" w:rsidR="009D1253" w:rsidRPr="00D3704B" w:rsidRDefault="009D1253" w:rsidP="009D1253">
            <w:pPr>
              <w:tabs>
                <w:tab w:val="left" w:pos="6979"/>
              </w:tabs>
              <w:spacing w:after="200" w:line="276" w:lineRule="auto"/>
              <w:ind w:right="176"/>
              <w:jc w:val="both"/>
              <w:rPr>
                <w:rFonts w:ascii="Tahoma" w:hAnsi="Tahoma" w:cs="Tahoma"/>
                <w:color w:val="000000"/>
                <w:sz w:val="20"/>
                <w:szCs w:val="20"/>
              </w:rPr>
            </w:pPr>
          </w:p>
          <w:p w14:paraId="615B00D8" w14:textId="77777777" w:rsidR="009D1253" w:rsidRPr="00D3704B" w:rsidRDefault="009D1253" w:rsidP="009D1253">
            <w:pPr>
              <w:tabs>
                <w:tab w:val="left" w:pos="6979"/>
              </w:tabs>
              <w:spacing w:after="200"/>
              <w:ind w:right="65"/>
              <w:jc w:val="both"/>
              <w:rPr>
                <w:rFonts w:ascii="Tahoma" w:hAnsi="Tahoma" w:cs="Tahoma"/>
                <w:color w:val="000000"/>
                <w:sz w:val="20"/>
                <w:szCs w:val="20"/>
              </w:rPr>
            </w:pPr>
            <w:r w:rsidRPr="00D3704B">
              <w:rPr>
                <w:rFonts w:ascii="Tahoma" w:hAnsi="Tahoma" w:cs="Tahoma"/>
                <w:color w:val="000000"/>
                <w:sz w:val="20"/>
                <w:szCs w:val="20"/>
              </w:rPr>
              <w:t>При предоставлении Банку сведений о состоянии индивидуального лицевого счета застрахованного лица (форма СЗИ-ИЛС) процентная ставка снижается на 1 процентный пункт единоразово на момент рассмотрения заявки на Кредит.</w:t>
            </w:r>
          </w:p>
          <w:p w14:paraId="7B3C53E1" w14:textId="77777777" w:rsidR="009D1253" w:rsidRPr="00D3704B" w:rsidRDefault="009D1253" w:rsidP="009D1253">
            <w:pPr>
              <w:tabs>
                <w:tab w:val="left" w:pos="6979"/>
                <w:tab w:val="left" w:pos="7548"/>
              </w:tabs>
              <w:ind w:right="65"/>
              <w:jc w:val="both"/>
              <w:rPr>
                <w:rFonts w:ascii="Tahoma" w:eastAsiaTheme="minorHAnsi" w:hAnsi="Tahoma" w:cs="Tahoma"/>
                <w:sz w:val="18"/>
                <w:szCs w:val="18"/>
                <w:lang w:eastAsia="en-US"/>
              </w:rPr>
            </w:pPr>
            <w:r w:rsidRPr="00D3704B">
              <w:rPr>
                <w:rFonts w:ascii="Tahoma" w:eastAsiaTheme="minorHAnsi" w:hAnsi="Tahoma" w:cs="Tahoma"/>
                <w:sz w:val="18"/>
                <w:szCs w:val="18"/>
                <w:lang w:eastAsia="en-US"/>
              </w:rPr>
              <w:t>*Личное страхование с рисками, указанными в п.4 раздела «Информация о страховании» настоящего документа, на срок не менее 6 (шести) месяцев.</w:t>
            </w:r>
            <w:r w:rsidRPr="00D3704B">
              <w:rPr>
                <w:rFonts w:ascii="Tahoma" w:eastAsiaTheme="minorHAnsi" w:hAnsi="Tahoma" w:cs="Tahoma"/>
                <w:sz w:val="22"/>
                <w:szCs w:val="22"/>
                <w:lang w:eastAsia="en-US"/>
              </w:rPr>
              <w:t xml:space="preserve"> </w:t>
            </w:r>
          </w:p>
          <w:p w14:paraId="546AD0C7" w14:textId="77777777" w:rsidR="009D1253" w:rsidRPr="00D3704B" w:rsidRDefault="009D1253" w:rsidP="009D1253">
            <w:pPr>
              <w:tabs>
                <w:tab w:val="left" w:pos="6979"/>
              </w:tabs>
              <w:ind w:right="65"/>
              <w:jc w:val="both"/>
              <w:rPr>
                <w:rFonts w:ascii="Tahoma" w:eastAsiaTheme="minorHAnsi" w:hAnsi="Tahoma" w:cs="Tahoma"/>
                <w:sz w:val="18"/>
                <w:szCs w:val="18"/>
                <w:lang w:eastAsia="en-US"/>
              </w:rPr>
            </w:pPr>
            <w:r w:rsidRPr="00D3704B">
              <w:rPr>
                <w:rFonts w:ascii="Tahoma" w:eastAsiaTheme="minorHAnsi" w:hAnsi="Tahoma" w:cs="Tahoma"/>
                <w:sz w:val="18"/>
                <w:szCs w:val="18"/>
                <w:lang w:eastAsia="en-US"/>
              </w:rPr>
              <w:t xml:space="preserve">**В случае досрочного прекращения Заёмщиком Договора Личного страхования, а также в случае заключения Договора Личного страхования, не соответствующего требованиям, указанным в разделе «Информация о страховании» настоящего документа, Банк вправе принять решение об увеличении процентной ставки. Процентная ставка определяется в соответствии </w:t>
            </w:r>
            <w:r w:rsidRPr="00D3704B">
              <w:rPr>
                <w:rFonts w:ascii="Tahoma" w:eastAsiaTheme="minorHAnsi" w:hAnsi="Tahoma" w:cs="Tahoma"/>
                <w:sz w:val="18"/>
                <w:szCs w:val="18"/>
                <w:lang w:eastAsia="en-US"/>
              </w:rPr>
              <w:lastRenderedPageBreak/>
              <w:t>с условиями кредитной программы Банка до меньшей из величин процентной ставки на момент принятия решения об увеличении процентной ставки: до уровня процентной ставки, действовавшей на момент заключения договора потребительского кредита или на момент принятия решения об увеличении процентной ставки по договору потребительского кредита на сопоставимых (сумма, срок возврата потребительского кредита, размер первоначального взноса) условиях потребительского кредита без учета заключения договора страхования, начиная с тридцать первого дня, следующего за днем прекращения договора страхового продукта.</w:t>
            </w:r>
          </w:p>
        </w:tc>
      </w:tr>
      <w:tr w:rsidR="009D1253" w:rsidRPr="00D3704B" w14:paraId="5E97AC04" w14:textId="77777777" w:rsidTr="009D1253">
        <w:trPr>
          <w:trHeight w:val="554"/>
        </w:trPr>
        <w:tc>
          <w:tcPr>
            <w:tcW w:w="1474" w:type="pct"/>
            <w:vAlign w:val="center"/>
          </w:tcPr>
          <w:p w14:paraId="252E1781" w14:textId="77777777" w:rsidR="009D1253" w:rsidRPr="00D3704B" w:rsidRDefault="009D1253" w:rsidP="009D1253">
            <w:pPr>
              <w:jc w:val="both"/>
              <w:rPr>
                <w:rFonts w:ascii="Tahoma" w:hAnsi="Tahoma" w:cs="Tahoma"/>
                <w:b/>
                <w:sz w:val="20"/>
                <w:szCs w:val="20"/>
              </w:rPr>
            </w:pPr>
            <w:r w:rsidRPr="00D3704B">
              <w:rPr>
                <w:rFonts w:ascii="Tahoma" w:hAnsi="Tahoma" w:cs="Tahoma"/>
                <w:b/>
                <w:bCs/>
                <w:color w:val="000000" w:themeColor="text1"/>
                <w:sz w:val="20"/>
                <w:szCs w:val="20"/>
              </w:rPr>
              <w:lastRenderedPageBreak/>
              <w:t>Диапазон полной стоимости Кредита в процентном  и денежном выражении в порядке, установленном Федеральным законом от 21.12.2013 №353-ФЗ «О потребительском кредите (займе)»</w:t>
            </w:r>
          </w:p>
        </w:tc>
        <w:tc>
          <w:tcPr>
            <w:tcW w:w="3526" w:type="pct"/>
            <w:shd w:val="clear" w:color="auto" w:fill="auto"/>
            <w:vAlign w:val="center"/>
          </w:tcPr>
          <w:p w14:paraId="74487BC3" w14:textId="77777777" w:rsidR="009D1253" w:rsidRPr="00D3704B" w:rsidRDefault="009D1253" w:rsidP="009D1253">
            <w:pPr>
              <w:jc w:val="center"/>
              <w:rPr>
                <w:rFonts w:ascii="Tahoma" w:hAnsi="Tahoma" w:cs="Tahoma"/>
                <w:color w:val="000000"/>
                <w:sz w:val="20"/>
                <w:szCs w:val="20"/>
              </w:rPr>
            </w:pPr>
            <w:r>
              <w:rPr>
                <w:rFonts w:ascii="Tahoma" w:hAnsi="Tahoma" w:cs="Tahoma"/>
                <w:color w:val="000000"/>
                <w:sz w:val="20"/>
                <w:szCs w:val="20"/>
              </w:rPr>
              <w:t>23.483</w:t>
            </w:r>
            <w:r w:rsidRPr="00D3704B">
              <w:rPr>
                <w:rFonts w:ascii="Tahoma" w:hAnsi="Tahoma" w:cs="Tahoma"/>
                <w:color w:val="000000"/>
                <w:sz w:val="20"/>
                <w:szCs w:val="20"/>
              </w:rPr>
              <w:t xml:space="preserve">% – </w:t>
            </w:r>
            <w:r>
              <w:rPr>
                <w:rFonts w:ascii="Tahoma" w:hAnsi="Tahoma" w:cs="Tahoma"/>
                <w:color w:val="000000"/>
                <w:sz w:val="20"/>
                <w:szCs w:val="20"/>
              </w:rPr>
              <w:t>26.482</w:t>
            </w:r>
            <w:r w:rsidRPr="00D3704B">
              <w:rPr>
                <w:rFonts w:ascii="Tahoma" w:hAnsi="Tahoma" w:cs="Tahoma"/>
                <w:color w:val="000000"/>
                <w:sz w:val="20"/>
                <w:szCs w:val="20"/>
              </w:rPr>
              <w:t>% годовых;</w:t>
            </w:r>
          </w:p>
          <w:p w14:paraId="1BC0E81F" w14:textId="77777777" w:rsidR="009D1253" w:rsidRPr="00D3704B" w:rsidRDefault="009D1253" w:rsidP="009D1253">
            <w:pPr>
              <w:jc w:val="center"/>
              <w:rPr>
                <w:rFonts w:ascii="Tahoma" w:hAnsi="Tahoma" w:cs="Tahoma"/>
                <w:color w:val="000000"/>
                <w:sz w:val="20"/>
                <w:szCs w:val="20"/>
              </w:rPr>
            </w:pPr>
            <w:r>
              <w:rPr>
                <w:rFonts w:ascii="Tahoma" w:hAnsi="Tahoma" w:cs="Tahoma"/>
                <w:color w:val="000000"/>
                <w:sz w:val="20"/>
                <w:szCs w:val="20"/>
              </w:rPr>
              <w:t>52 543.13</w:t>
            </w:r>
            <w:r w:rsidRPr="00B52BCC">
              <w:rPr>
                <w:rFonts w:ascii="Tahoma" w:hAnsi="Tahoma" w:cs="Tahoma"/>
                <w:color w:val="000000"/>
                <w:sz w:val="20"/>
                <w:szCs w:val="20"/>
              </w:rPr>
              <w:t xml:space="preserve"> </w:t>
            </w:r>
            <w:r w:rsidRPr="00D3704B">
              <w:rPr>
                <w:rFonts w:ascii="Tahoma" w:hAnsi="Tahoma" w:cs="Tahoma"/>
                <w:color w:val="000000"/>
                <w:sz w:val="20"/>
                <w:szCs w:val="20"/>
              </w:rPr>
              <w:t xml:space="preserve">руб. – </w:t>
            </w:r>
            <w:r>
              <w:rPr>
                <w:rFonts w:ascii="Tahoma" w:hAnsi="Tahoma" w:cs="Tahoma"/>
                <w:color w:val="000000"/>
                <w:sz w:val="20"/>
                <w:szCs w:val="20"/>
              </w:rPr>
              <w:t>16 705 393.04</w:t>
            </w:r>
            <w:r w:rsidRPr="00B52BCC">
              <w:rPr>
                <w:rFonts w:ascii="Tahoma" w:hAnsi="Tahoma" w:cs="Tahoma"/>
                <w:color w:val="000000"/>
                <w:sz w:val="20"/>
                <w:szCs w:val="20"/>
              </w:rPr>
              <w:t xml:space="preserve"> </w:t>
            </w:r>
            <w:r w:rsidRPr="00D3704B">
              <w:rPr>
                <w:rFonts w:ascii="Tahoma" w:hAnsi="Tahoma" w:cs="Tahoma"/>
                <w:color w:val="000000"/>
                <w:sz w:val="20"/>
                <w:szCs w:val="20"/>
              </w:rPr>
              <w:t>руб.</w:t>
            </w:r>
          </w:p>
          <w:p w14:paraId="52959F8A" w14:textId="77777777" w:rsidR="009D1253" w:rsidRPr="00D3704B" w:rsidRDefault="009D1253" w:rsidP="009D1253">
            <w:pPr>
              <w:jc w:val="both"/>
              <w:rPr>
                <w:rFonts w:ascii="Tahoma" w:eastAsiaTheme="minorHAnsi" w:hAnsi="Tahoma" w:cs="Tahoma"/>
                <w:sz w:val="18"/>
                <w:szCs w:val="18"/>
                <w:lang w:eastAsia="en-US"/>
              </w:rPr>
            </w:pPr>
            <w:r w:rsidRPr="00D3704B">
              <w:rPr>
                <w:rFonts w:ascii="Tahoma" w:eastAsiaTheme="minorHAnsi" w:hAnsi="Tahoma" w:cs="Tahoma"/>
                <w:sz w:val="18"/>
                <w:szCs w:val="18"/>
                <w:lang w:eastAsia="en-US"/>
              </w:rPr>
              <w:t>Расчет минимального значения ПСК произведен с использованием параметров: минимальная сумма Кредита (200 000 рублей), минимальный срок (24 месяца), минимальная ставка (</w:t>
            </w:r>
            <w:r>
              <w:rPr>
                <w:rFonts w:ascii="Tahoma" w:eastAsiaTheme="minorHAnsi" w:hAnsi="Tahoma" w:cs="Tahoma"/>
                <w:sz w:val="18"/>
                <w:szCs w:val="18"/>
                <w:lang w:eastAsia="en-US"/>
              </w:rPr>
              <w:t>23.5</w:t>
            </w:r>
            <w:r w:rsidRPr="00D3704B">
              <w:rPr>
                <w:rFonts w:ascii="Tahoma" w:eastAsiaTheme="minorHAnsi" w:hAnsi="Tahoma" w:cs="Tahoma"/>
                <w:sz w:val="18"/>
                <w:szCs w:val="18"/>
                <w:lang w:eastAsia="en-US"/>
              </w:rPr>
              <w:t>% годовых для лиц с инвалидностью и с учетом снижения процентной ставки при предоставлении Банку сведений о состоянии индивидуального лицевого счета застрахованного лица (форма СЗИ-ИЛС)).</w:t>
            </w:r>
          </w:p>
          <w:p w14:paraId="51164667" w14:textId="77777777" w:rsidR="009D1253" w:rsidRPr="00D3704B" w:rsidRDefault="009D1253" w:rsidP="009D1253">
            <w:pPr>
              <w:jc w:val="both"/>
              <w:rPr>
                <w:rFonts w:ascii="Tahoma" w:hAnsi="Tahoma" w:cs="Tahoma"/>
                <w:color w:val="000000"/>
                <w:sz w:val="20"/>
                <w:szCs w:val="20"/>
              </w:rPr>
            </w:pPr>
            <w:r w:rsidRPr="00D3704B">
              <w:rPr>
                <w:rFonts w:ascii="Tahoma" w:eastAsiaTheme="minorHAnsi" w:hAnsi="Tahoma" w:cs="Tahoma"/>
                <w:sz w:val="18"/>
                <w:szCs w:val="18"/>
                <w:lang w:eastAsia="en-US"/>
              </w:rPr>
              <w:t>Расчет максимального значения ПСК произведен с использованием параметров: максимальная сумма Кредита (9 000 000 рублей), максимальный срок (</w:t>
            </w:r>
            <w:r>
              <w:rPr>
                <w:rFonts w:ascii="Tahoma" w:hAnsi="Tahoma" w:cs="Tahoma"/>
                <w:sz w:val="18"/>
                <w:szCs w:val="18"/>
              </w:rPr>
              <w:t>120 месяцев</w:t>
            </w:r>
            <w:r w:rsidRPr="00D3704B">
              <w:rPr>
                <w:rFonts w:ascii="Tahoma" w:eastAsiaTheme="minorHAnsi" w:hAnsi="Tahoma" w:cs="Tahoma"/>
                <w:sz w:val="18"/>
                <w:szCs w:val="18"/>
                <w:lang w:eastAsia="en-US"/>
              </w:rPr>
              <w:t>), максимальная ставка (</w:t>
            </w:r>
            <w:r>
              <w:rPr>
                <w:rFonts w:ascii="Tahoma" w:hAnsi="Tahoma" w:cs="Tahoma"/>
                <w:sz w:val="18"/>
                <w:szCs w:val="18"/>
              </w:rPr>
              <w:t>26.5</w:t>
            </w:r>
            <w:r w:rsidRPr="00D3704B">
              <w:rPr>
                <w:rFonts w:ascii="Tahoma" w:eastAsiaTheme="minorHAnsi" w:hAnsi="Tahoma" w:cs="Tahoma"/>
                <w:sz w:val="18"/>
                <w:szCs w:val="18"/>
                <w:lang w:eastAsia="en-US"/>
              </w:rPr>
              <w:t>% годовых)</w:t>
            </w:r>
          </w:p>
        </w:tc>
      </w:tr>
      <w:tr w:rsidR="009D1253" w:rsidRPr="00D3704B" w14:paraId="7BE49F7B" w14:textId="77777777" w:rsidTr="009D1253">
        <w:trPr>
          <w:trHeight w:val="554"/>
        </w:trPr>
        <w:tc>
          <w:tcPr>
            <w:tcW w:w="1474" w:type="pct"/>
          </w:tcPr>
          <w:p w14:paraId="7BAF040B" w14:textId="77777777" w:rsidR="009D1253" w:rsidRPr="00D3704B" w:rsidRDefault="009D1253" w:rsidP="009D1253">
            <w:pPr>
              <w:tabs>
                <w:tab w:val="left" w:pos="851"/>
              </w:tabs>
              <w:jc w:val="both"/>
              <w:rPr>
                <w:rFonts w:ascii="Tahoma" w:eastAsiaTheme="minorHAnsi" w:hAnsi="Tahoma" w:cs="Tahoma"/>
                <w:b/>
                <w:sz w:val="20"/>
                <w:szCs w:val="20"/>
                <w:lang w:eastAsia="en-US"/>
              </w:rPr>
            </w:pPr>
            <w:r w:rsidRPr="00D3704B">
              <w:rPr>
                <w:rFonts w:ascii="Tahoma" w:hAnsi="Tahoma" w:cs="Tahoma"/>
                <w:b/>
                <w:sz w:val="20"/>
                <w:szCs w:val="20"/>
              </w:rPr>
              <w:t>Информация о страховании</w:t>
            </w:r>
          </w:p>
        </w:tc>
        <w:tc>
          <w:tcPr>
            <w:tcW w:w="3526" w:type="pct"/>
            <w:shd w:val="clear" w:color="auto" w:fill="auto"/>
          </w:tcPr>
          <w:p w14:paraId="043B1E19" w14:textId="77777777" w:rsidR="009D1253" w:rsidRPr="00D3704B" w:rsidRDefault="009D1253" w:rsidP="009D1253">
            <w:pPr>
              <w:tabs>
                <w:tab w:val="left" w:pos="6979"/>
              </w:tabs>
              <w:spacing w:after="200"/>
              <w:jc w:val="both"/>
              <w:rPr>
                <w:rFonts w:ascii="Tahoma" w:hAnsi="Tahoma" w:cs="Tahoma"/>
                <w:color w:val="000000"/>
                <w:sz w:val="20"/>
                <w:szCs w:val="20"/>
                <w:u w:val="single"/>
              </w:rPr>
            </w:pPr>
            <w:r w:rsidRPr="00D3704B">
              <w:rPr>
                <w:rFonts w:ascii="Tahoma" w:hAnsi="Tahoma" w:cs="Tahoma"/>
                <w:color w:val="000000"/>
                <w:sz w:val="20"/>
                <w:szCs w:val="20"/>
              </w:rPr>
              <w:t xml:space="preserve">При выборе Заёмщиком условий кредитования для приобретения нового ТС с заключением Договора Личного страхования, необходимо оформление договора (полиса) страхования в котором выгодоприобретателем в размере задолженности Заемщика </w:t>
            </w:r>
            <w:r>
              <w:rPr>
                <w:rFonts w:ascii="Tahoma" w:hAnsi="Tahoma" w:cs="Tahoma"/>
                <w:color w:val="000000"/>
                <w:sz w:val="20"/>
                <w:szCs w:val="20"/>
              </w:rPr>
              <w:t xml:space="preserve">будет </w:t>
            </w:r>
            <w:r w:rsidRPr="00D3704B">
              <w:rPr>
                <w:rFonts w:ascii="Tahoma" w:hAnsi="Tahoma" w:cs="Tahoma"/>
                <w:color w:val="000000"/>
                <w:sz w:val="20"/>
                <w:szCs w:val="20"/>
              </w:rPr>
              <w:t xml:space="preserve">указан </w:t>
            </w:r>
            <w:r w:rsidRPr="00D3704B">
              <w:rPr>
                <w:rFonts w:ascii="Tahoma" w:eastAsiaTheme="minorHAnsi" w:hAnsi="Tahoma" w:cs="Tahoma"/>
                <w:color w:val="000000"/>
                <w:sz w:val="20"/>
                <w:szCs w:val="20"/>
              </w:rPr>
              <w:t>«Азиатско-Тихоокеанский Банк» (АО)</w:t>
            </w:r>
            <w:r w:rsidRPr="00D3704B">
              <w:rPr>
                <w:rFonts w:ascii="Tahoma" w:hAnsi="Tahoma" w:cs="Tahoma"/>
                <w:color w:val="000000"/>
                <w:sz w:val="20"/>
                <w:szCs w:val="20"/>
              </w:rPr>
              <w:t>, за исключением случаев, когда он выступает страховым агентом при заключении договора страхования.</w:t>
            </w:r>
          </w:p>
          <w:p w14:paraId="6AFE618C" w14:textId="77777777" w:rsidR="009D1253" w:rsidRPr="00D3704B" w:rsidRDefault="009D1253" w:rsidP="009D1253">
            <w:pPr>
              <w:tabs>
                <w:tab w:val="left" w:pos="6979"/>
              </w:tabs>
              <w:jc w:val="both"/>
              <w:rPr>
                <w:rFonts w:ascii="Tahoma" w:hAnsi="Tahoma" w:cs="Tahoma"/>
                <w:color w:val="000000"/>
                <w:sz w:val="20"/>
                <w:szCs w:val="20"/>
              </w:rPr>
            </w:pPr>
            <w:r w:rsidRPr="00D3704B">
              <w:rPr>
                <w:rFonts w:ascii="Tahoma" w:hAnsi="Tahoma" w:cs="Tahoma"/>
                <w:color w:val="000000"/>
                <w:sz w:val="20"/>
                <w:szCs w:val="20"/>
                <w:u w:val="single"/>
              </w:rPr>
              <w:t>Личное страхование: (</w:t>
            </w:r>
            <w:r w:rsidRPr="00D3704B">
              <w:rPr>
                <w:rFonts w:ascii="Tahoma" w:hAnsi="Tahoma" w:cs="Tahoma"/>
                <w:i/>
                <w:color w:val="000000"/>
                <w:sz w:val="20"/>
                <w:szCs w:val="20"/>
              </w:rPr>
              <w:t xml:space="preserve">оформление данного вида страхования не применимо для лиц с инвалидностью (ЛСИ)*). </w:t>
            </w:r>
          </w:p>
          <w:p w14:paraId="3BF1281A" w14:textId="77777777" w:rsidR="009D1253" w:rsidRPr="00D3704B" w:rsidRDefault="009D1253" w:rsidP="009D1253">
            <w:pPr>
              <w:tabs>
                <w:tab w:val="left" w:pos="6979"/>
              </w:tabs>
              <w:jc w:val="both"/>
              <w:rPr>
                <w:rFonts w:ascii="Tahoma" w:hAnsi="Tahoma" w:cs="Tahoma"/>
                <w:color w:val="000000"/>
                <w:sz w:val="20"/>
                <w:szCs w:val="20"/>
              </w:rPr>
            </w:pPr>
            <w:r w:rsidRPr="00D3704B">
              <w:rPr>
                <w:rFonts w:ascii="Tahoma" w:hAnsi="Tahoma" w:cs="Tahoma"/>
                <w:color w:val="000000"/>
                <w:sz w:val="20"/>
                <w:szCs w:val="20"/>
              </w:rPr>
              <w:t>Покрываемые риски</w:t>
            </w:r>
            <w:r>
              <w:rPr>
                <w:rFonts w:ascii="Tahoma" w:hAnsi="Tahoma" w:cs="Tahoma"/>
                <w:color w:val="000000"/>
                <w:sz w:val="20"/>
                <w:szCs w:val="20"/>
              </w:rPr>
              <w:t>, которые должны быть указаны в договоре страхования</w:t>
            </w:r>
            <w:r w:rsidRPr="00D3704B">
              <w:rPr>
                <w:rFonts w:ascii="Tahoma" w:hAnsi="Tahoma" w:cs="Tahoma"/>
                <w:color w:val="000000"/>
                <w:sz w:val="20"/>
                <w:szCs w:val="20"/>
              </w:rPr>
              <w:t xml:space="preserve">: </w:t>
            </w:r>
          </w:p>
          <w:p w14:paraId="2D9C4B2F" w14:textId="77777777" w:rsidR="009D1253" w:rsidRPr="00D3704B" w:rsidRDefault="009D1253" w:rsidP="009D1253">
            <w:pPr>
              <w:tabs>
                <w:tab w:val="left" w:pos="6979"/>
              </w:tabs>
              <w:jc w:val="both"/>
              <w:rPr>
                <w:rFonts w:ascii="Tahoma" w:eastAsiaTheme="minorHAnsi" w:hAnsi="Tahoma" w:cs="Tahoma"/>
                <w:sz w:val="20"/>
                <w:szCs w:val="20"/>
              </w:rPr>
            </w:pPr>
            <w:r w:rsidRPr="00D3704B">
              <w:rPr>
                <w:rFonts w:ascii="Tahoma" w:hAnsi="Tahoma" w:cs="Tahoma"/>
                <w:color w:val="000000"/>
                <w:sz w:val="20"/>
                <w:szCs w:val="20"/>
              </w:rPr>
              <w:t xml:space="preserve">Травмы в результате несчастного случая (по тексту - НС), хирургическая операция в результате НС, </w:t>
            </w:r>
            <w:r w:rsidRPr="00D3704B">
              <w:rPr>
                <w:rFonts w:ascii="Tahoma" w:eastAsiaTheme="minorHAnsi" w:hAnsi="Tahoma" w:cs="Tahoma"/>
                <w:sz w:val="20"/>
                <w:szCs w:val="20"/>
              </w:rPr>
              <w:t xml:space="preserve">смерть по любой причине (ЛП), установление инвалидности 1-й и 2 группы, в том числе в результате болезни. При этом, не </w:t>
            </w:r>
            <w:r>
              <w:rPr>
                <w:rFonts w:ascii="Tahoma" w:hAnsi="Tahoma" w:cs="Tahoma"/>
                <w:sz w:val="20"/>
                <w:szCs w:val="20"/>
              </w:rPr>
              <w:t xml:space="preserve">должны быть </w:t>
            </w:r>
            <w:r w:rsidRPr="00D3704B">
              <w:rPr>
                <w:rFonts w:ascii="Tahoma" w:eastAsiaTheme="minorHAnsi" w:hAnsi="Tahoma" w:cs="Tahoma"/>
                <w:sz w:val="20"/>
                <w:szCs w:val="20"/>
              </w:rPr>
              <w:t>исключением из застрахованных рисков события, произошедшие в результате болезни Заемщика, прямо/ косвенно связанной с ВИЧ инфекцией/СПИД.</w:t>
            </w:r>
          </w:p>
          <w:p w14:paraId="5FFD0677" w14:textId="77777777" w:rsidR="009D1253" w:rsidRPr="00D3704B" w:rsidRDefault="009D1253" w:rsidP="009D1253">
            <w:pPr>
              <w:tabs>
                <w:tab w:val="left" w:pos="6979"/>
              </w:tabs>
              <w:jc w:val="both"/>
              <w:rPr>
                <w:rFonts w:ascii="Tahoma" w:eastAsiaTheme="minorHAnsi" w:hAnsi="Tahoma" w:cs="Tahoma"/>
                <w:sz w:val="20"/>
                <w:szCs w:val="20"/>
              </w:rPr>
            </w:pPr>
          </w:p>
          <w:p w14:paraId="08EDEC82" w14:textId="77777777" w:rsidR="009D1253" w:rsidRPr="00D3704B" w:rsidRDefault="009D1253" w:rsidP="009D1253">
            <w:pPr>
              <w:jc w:val="both"/>
              <w:rPr>
                <w:rFonts w:ascii="Tahoma" w:hAnsi="Tahoma" w:cs="Tahoma"/>
                <w:color w:val="000000"/>
                <w:sz w:val="20"/>
                <w:szCs w:val="20"/>
              </w:rPr>
            </w:pPr>
            <w:r w:rsidRPr="00D3704B">
              <w:rPr>
                <w:rFonts w:ascii="Tahoma" w:hAnsi="Tahoma" w:cs="Tahoma"/>
                <w:color w:val="000000"/>
                <w:sz w:val="20"/>
                <w:szCs w:val="20"/>
              </w:rPr>
              <w:t>По желанию Заёмщика страховая премия по договору страхования может быть оплачена за счет Кредита при выполнении указанных в настоящем пункте условий к договору (полису) страхования.</w:t>
            </w:r>
          </w:p>
          <w:p w14:paraId="2A96F292" w14:textId="77777777" w:rsidR="009D1253" w:rsidRPr="00D3704B" w:rsidRDefault="009D1253" w:rsidP="009D1253">
            <w:pPr>
              <w:jc w:val="both"/>
              <w:rPr>
                <w:sz w:val="20"/>
                <w:szCs w:val="20"/>
              </w:rPr>
            </w:pPr>
            <w:r w:rsidRPr="00D3704B">
              <w:rPr>
                <w:rFonts w:ascii="Tahoma" w:hAnsi="Tahoma" w:cs="Tahoma"/>
                <w:color w:val="000000"/>
                <w:sz w:val="20"/>
                <w:szCs w:val="20"/>
              </w:rPr>
              <w:t>* для ЛСИ применяется размер процентной ставки за пользование кредитом, соответствующий выбору условий кредитования с процентной ставкой, предусматривающей заключение Личного страхования (без заключения ЛСИ соответствующего договора), при условии предоставления документа, подтверждающего статус ЛСИ.</w:t>
            </w:r>
          </w:p>
        </w:tc>
      </w:tr>
      <w:tr w:rsidR="009D1253" w:rsidRPr="00D3704B" w14:paraId="71362CF1"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699"/>
        </w:trPr>
        <w:tc>
          <w:tcPr>
            <w:tcW w:w="1474" w:type="pct"/>
            <w:tcBorders>
              <w:left w:val="single" w:sz="4" w:space="0" w:color="auto"/>
              <w:right w:val="single" w:sz="4" w:space="0" w:color="auto"/>
            </w:tcBorders>
            <w:vAlign w:val="center"/>
          </w:tcPr>
          <w:p w14:paraId="0CC726BA" w14:textId="77777777" w:rsidR="009D1253" w:rsidRPr="00D3704B" w:rsidRDefault="009D1253" w:rsidP="009D1253">
            <w:pPr>
              <w:jc w:val="both"/>
              <w:rPr>
                <w:rFonts w:ascii="Tahoma" w:eastAsiaTheme="minorHAnsi" w:hAnsi="Tahoma" w:cs="Tahoma"/>
                <w:sz w:val="20"/>
                <w:szCs w:val="20"/>
                <w:lang w:eastAsia="en-US"/>
              </w:rPr>
            </w:pPr>
            <w:r w:rsidRPr="00D3704B">
              <w:rPr>
                <w:rFonts w:ascii="Tahoma" w:eastAsiaTheme="minorHAnsi" w:hAnsi="Tahoma" w:cs="Tahoma"/>
                <w:b/>
                <w:sz w:val="20"/>
                <w:szCs w:val="20"/>
                <w:lang w:eastAsia="en-US"/>
              </w:rPr>
              <w:t>Требования к Заёмщику, которые установлены Кредитором и выполнение которых является обязательным для предоставления Кредита</w:t>
            </w:r>
          </w:p>
        </w:tc>
        <w:tc>
          <w:tcPr>
            <w:tcW w:w="3526" w:type="pct"/>
            <w:tcBorders>
              <w:top w:val="single" w:sz="4" w:space="0" w:color="auto"/>
              <w:left w:val="nil"/>
              <w:bottom w:val="single" w:sz="4" w:space="0" w:color="auto"/>
              <w:right w:val="single" w:sz="8" w:space="0" w:color="000000"/>
            </w:tcBorders>
            <w:noWrap/>
            <w:vAlign w:val="center"/>
          </w:tcPr>
          <w:p w14:paraId="4F25568E" w14:textId="77777777" w:rsidR="009D1253" w:rsidRPr="00D3704B" w:rsidRDefault="009D1253" w:rsidP="009D1253">
            <w:pPr>
              <w:widowControl w:val="0"/>
              <w:tabs>
                <w:tab w:val="left" w:pos="851"/>
              </w:tabs>
              <w:adjustRightInd w:val="0"/>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 гражданство Российской Федерации;</w:t>
            </w:r>
          </w:p>
          <w:p w14:paraId="66766D23" w14:textId="77777777" w:rsidR="009D1253" w:rsidRPr="00D3704B" w:rsidRDefault="009D1253" w:rsidP="009D1253">
            <w:pPr>
              <w:widowControl w:val="0"/>
              <w:tabs>
                <w:tab w:val="left" w:pos="851"/>
              </w:tabs>
              <w:adjustRightInd w:val="0"/>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 адрес постоянной регистрации и фактическое место жительства Заёмщика – все регионы РФ;</w:t>
            </w:r>
          </w:p>
          <w:p w14:paraId="6845B29A" w14:textId="77777777" w:rsidR="009D1253" w:rsidRPr="00D3704B" w:rsidRDefault="009D1253" w:rsidP="009D1253">
            <w:pPr>
              <w:widowControl w:val="0"/>
              <w:tabs>
                <w:tab w:val="left" w:pos="851"/>
              </w:tabs>
              <w:adjustRightInd w:val="0"/>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 возраст Заёмщика не менее 21 года (на момент оформления Кредита) и не более 70 лет (на момент окончания действия срока возврата Кредита) включительно;</w:t>
            </w:r>
          </w:p>
          <w:p w14:paraId="54E1A472" w14:textId="77777777" w:rsidR="009D1253" w:rsidRPr="00D3704B" w:rsidRDefault="009D1253" w:rsidP="009D1253">
            <w:pPr>
              <w:widowControl w:val="0"/>
              <w:tabs>
                <w:tab w:val="left" w:pos="851"/>
              </w:tabs>
              <w:adjustRightInd w:val="0"/>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 Заёмщик имеет официальное место работы (либо является ИП) и(или) постоянный источник дохода;</w:t>
            </w:r>
          </w:p>
          <w:p w14:paraId="6F6E95D5" w14:textId="77777777" w:rsidR="009D1253" w:rsidRPr="00D3704B" w:rsidRDefault="009D1253" w:rsidP="009D1253">
            <w:pPr>
              <w:widowControl w:val="0"/>
              <w:tabs>
                <w:tab w:val="left" w:pos="851"/>
              </w:tabs>
              <w:adjustRightInd w:val="0"/>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 Заёмщик не имеет официального места работы, при условии достижения пенсионного возраста, и получающий социальную пенсию;</w:t>
            </w:r>
          </w:p>
          <w:p w14:paraId="00770637" w14:textId="77777777" w:rsidR="009D1253" w:rsidRPr="00D3704B" w:rsidRDefault="009D1253" w:rsidP="009D1253">
            <w:pPr>
              <w:widowControl w:val="0"/>
              <w:tabs>
                <w:tab w:val="left" w:pos="851"/>
              </w:tabs>
              <w:adjustRightInd w:val="0"/>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 xml:space="preserve">- стаж на последнем месте работы не менее 3 месяцев. </w:t>
            </w:r>
            <w:r w:rsidRPr="00D3704B">
              <w:rPr>
                <w:rFonts w:ascii="Tahoma" w:eastAsiaTheme="minorHAnsi" w:hAnsi="Tahoma" w:cs="Tahoma"/>
                <w:sz w:val="22"/>
                <w:szCs w:val="22"/>
                <w:lang w:eastAsia="en-US"/>
              </w:rPr>
              <w:fldChar w:fldCharType="begin"/>
            </w:r>
            <w:r w:rsidRPr="00D3704B">
              <w:rPr>
                <w:rFonts w:ascii="Tahoma" w:eastAsiaTheme="minorHAnsi" w:hAnsi="Tahoma" w:cs="Tahoma"/>
                <w:sz w:val="22"/>
                <w:szCs w:val="22"/>
                <w:lang w:eastAsia="en-US"/>
              </w:rPr>
              <w:instrText xml:space="preserve"> DOCVARIABLE  КЛИЕНТ </w:instrText>
            </w:r>
            <w:r w:rsidRPr="00D3704B">
              <w:rPr>
                <w:rFonts w:ascii="Tahoma" w:eastAsiaTheme="minorHAnsi" w:hAnsi="Tahoma" w:cs="Tahoma"/>
                <w:sz w:val="22"/>
                <w:szCs w:val="22"/>
                <w:lang w:eastAsia="en-US"/>
              </w:rPr>
              <w:fldChar w:fldCharType="end"/>
            </w:r>
          </w:p>
        </w:tc>
      </w:tr>
      <w:tr w:rsidR="009D1253" w:rsidRPr="00D3704B" w14:paraId="04AC9E44"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558"/>
        </w:trPr>
        <w:tc>
          <w:tcPr>
            <w:tcW w:w="1474" w:type="pct"/>
            <w:tcBorders>
              <w:top w:val="single" w:sz="4" w:space="0" w:color="auto"/>
              <w:left w:val="single" w:sz="8" w:space="0" w:color="auto"/>
              <w:bottom w:val="single" w:sz="4" w:space="0" w:color="auto"/>
              <w:right w:val="single" w:sz="4" w:space="0" w:color="auto"/>
            </w:tcBorders>
            <w:vAlign w:val="center"/>
          </w:tcPr>
          <w:p w14:paraId="466705E6"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lastRenderedPageBreak/>
              <w:t>Перечень документов, необходимых для рассмотрения заявления о предоставлении Кредита, в том числе для оценки кредитоспособности Заёмщика (в случае необходимости могут быть запрошены дополнительные документы)</w:t>
            </w:r>
          </w:p>
        </w:tc>
        <w:tc>
          <w:tcPr>
            <w:tcW w:w="3526" w:type="pct"/>
            <w:tcBorders>
              <w:top w:val="single" w:sz="4" w:space="0" w:color="auto"/>
              <w:left w:val="nil"/>
              <w:bottom w:val="single" w:sz="4" w:space="0" w:color="auto"/>
              <w:right w:val="single" w:sz="8" w:space="0" w:color="000000"/>
            </w:tcBorders>
            <w:shd w:val="clear" w:color="auto" w:fill="auto"/>
            <w:noWrap/>
            <w:vAlign w:val="center"/>
          </w:tcPr>
          <w:p w14:paraId="795A2098" w14:textId="77777777" w:rsidR="009D1253" w:rsidRPr="00D3704B" w:rsidRDefault="009D1253" w:rsidP="009D1253">
            <w:pPr>
              <w:numPr>
                <w:ilvl w:val="0"/>
                <w:numId w:val="73"/>
              </w:numPr>
              <w:tabs>
                <w:tab w:val="left" w:pos="0"/>
                <w:tab w:val="left" w:pos="268"/>
              </w:tabs>
              <w:autoSpaceDE w:val="0"/>
              <w:autoSpaceDN w:val="0"/>
              <w:spacing w:after="200" w:line="276" w:lineRule="auto"/>
              <w:ind w:left="0" w:firstLine="0"/>
              <w:jc w:val="both"/>
              <w:rPr>
                <w:rFonts w:ascii="Tahoma" w:hAnsi="Tahoma" w:cs="Tahoma"/>
                <w:b/>
                <w:sz w:val="20"/>
                <w:szCs w:val="18"/>
                <w:lang w:eastAsia="en-US"/>
              </w:rPr>
            </w:pPr>
            <w:r w:rsidRPr="00D3704B">
              <w:rPr>
                <w:rFonts w:ascii="Tahoma" w:hAnsi="Tahoma" w:cs="Tahoma"/>
                <w:b/>
                <w:sz w:val="20"/>
                <w:szCs w:val="18"/>
                <w:lang w:eastAsia="en-US"/>
              </w:rPr>
              <w:t>Пакет документов для приобретаемого Заёмщиком за счет кредитных средств Банка нового ТС:</w:t>
            </w:r>
          </w:p>
          <w:p w14:paraId="11A15178" w14:textId="77777777" w:rsidR="009D1253" w:rsidRPr="00D3704B" w:rsidRDefault="009D1253" w:rsidP="009D1253">
            <w:pPr>
              <w:tabs>
                <w:tab w:val="left" w:pos="0"/>
                <w:tab w:val="left" w:pos="835"/>
              </w:tabs>
              <w:autoSpaceDE w:val="0"/>
              <w:autoSpaceDN w:val="0"/>
              <w:jc w:val="both"/>
              <w:rPr>
                <w:rFonts w:ascii="Tahoma" w:hAnsi="Tahoma" w:cs="Tahoma"/>
                <w:sz w:val="20"/>
                <w:szCs w:val="18"/>
                <w:lang w:eastAsia="en-US"/>
              </w:rPr>
            </w:pPr>
            <w:r w:rsidRPr="00D3704B">
              <w:rPr>
                <w:rFonts w:ascii="Tahoma" w:hAnsi="Tahoma" w:cs="Tahoma"/>
                <w:sz w:val="20"/>
                <w:szCs w:val="18"/>
                <w:lang w:eastAsia="en-US"/>
              </w:rPr>
              <w:t>- выписка ЭПТС*</w:t>
            </w:r>
            <w:r w:rsidRPr="00D3704B">
              <w:rPr>
                <w:rFonts w:ascii="Tahoma" w:hAnsi="Tahoma" w:cs="Tahoma"/>
                <w:sz w:val="20"/>
                <w:szCs w:val="18"/>
              </w:rPr>
              <w:t xml:space="preserve"> в статусе «действующий» / «незавершенный»</w:t>
            </w:r>
          </w:p>
          <w:p w14:paraId="74BF31F2" w14:textId="77777777" w:rsidR="009D1253" w:rsidRPr="00D3704B" w:rsidRDefault="009D1253" w:rsidP="009D1253">
            <w:pPr>
              <w:tabs>
                <w:tab w:val="left" w:pos="0"/>
              </w:tabs>
              <w:autoSpaceDE w:val="0"/>
              <w:autoSpaceDN w:val="0"/>
              <w:jc w:val="both"/>
              <w:rPr>
                <w:rFonts w:ascii="Tahoma" w:hAnsi="Tahoma" w:cs="Tahoma"/>
                <w:sz w:val="20"/>
                <w:szCs w:val="18"/>
                <w:lang w:eastAsia="en-US"/>
              </w:rPr>
            </w:pPr>
          </w:p>
          <w:p w14:paraId="65EC0A72" w14:textId="77777777" w:rsidR="009D1253" w:rsidRPr="00D3704B" w:rsidRDefault="009D1253" w:rsidP="009D1253">
            <w:pPr>
              <w:tabs>
                <w:tab w:val="left" w:pos="0"/>
              </w:tabs>
              <w:autoSpaceDE w:val="0"/>
              <w:autoSpaceDN w:val="0"/>
              <w:jc w:val="both"/>
              <w:rPr>
                <w:rFonts w:ascii="Tahoma" w:hAnsi="Tahoma" w:cs="Tahoma"/>
                <w:sz w:val="20"/>
                <w:szCs w:val="18"/>
              </w:rPr>
            </w:pPr>
            <w:r w:rsidRPr="00D3704B">
              <w:rPr>
                <w:rFonts w:ascii="Tahoma" w:hAnsi="Tahoma" w:cs="Tahoma"/>
                <w:sz w:val="20"/>
                <w:szCs w:val="18"/>
              </w:rPr>
              <w:t xml:space="preserve">*не требуется при приобретении за счет кредитных средств нового ТС марки: </w:t>
            </w:r>
            <w:r w:rsidRPr="00D3704B">
              <w:rPr>
                <w:rFonts w:ascii="Tahoma" w:hAnsi="Tahoma" w:cs="Tahoma"/>
                <w:sz w:val="20"/>
                <w:szCs w:val="18"/>
                <w:lang w:val="en-US"/>
              </w:rPr>
              <w:t>Honda</w:t>
            </w:r>
            <w:r w:rsidRPr="00D3704B">
              <w:rPr>
                <w:rFonts w:ascii="Tahoma" w:hAnsi="Tahoma" w:cs="Tahoma"/>
                <w:sz w:val="20"/>
                <w:szCs w:val="18"/>
              </w:rPr>
              <w:t xml:space="preserve">, </w:t>
            </w:r>
            <w:r w:rsidRPr="00D3704B">
              <w:rPr>
                <w:rFonts w:ascii="Tahoma" w:hAnsi="Tahoma" w:cs="Tahoma"/>
                <w:sz w:val="20"/>
                <w:szCs w:val="18"/>
                <w:lang w:val="en-US"/>
              </w:rPr>
              <w:t>Lada</w:t>
            </w:r>
            <w:r w:rsidRPr="00D3704B">
              <w:rPr>
                <w:rFonts w:ascii="Tahoma" w:hAnsi="Tahoma" w:cs="Tahoma"/>
                <w:sz w:val="20"/>
                <w:szCs w:val="18"/>
              </w:rPr>
              <w:t xml:space="preserve">, </w:t>
            </w:r>
            <w:r w:rsidRPr="00D3704B">
              <w:rPr>
                <w:rFonts w:ascii="Tahoma" w:hAnsi="Tahoma" w:cs="Tahoma"/>
                <w:sz w:val="20"/>
                <w:szCs w:val="18"/>
                <w:lang w:val="en-US"/>
              </w:rPr>
              <w:t>Voyah</w:t>
            </w:r>
            <w:r w:rsidRPr="00D3704B">
              <w:rPr>
                <w:rFonts w:ascii="Tahoma" w:hAnsi="Tahoma" w:cs="Tahoma"/>
                <w:sz w:val="20"/>
                <w:szCs w:val="18"/>
              </w:rPr>
              <w:t xml:space="preserve">, </w:t>
            </w:r>
            <w:r w:rsidRPr="00D3704B">
              <w:rPr>
                <w:rFonts w:ascii="Tahoma" w:hAnsi="Tahoma" w:cs="Tahoma"/>
                <w:sz w:val="20"/>
                <w:szCs w:val="18"/>
                <w:lang w:val="en-US"/>
              </w:rPr>
              <w:t>Omoda</w:t>
            </w:r>
            <w:r w:rsidRPr="00D3704B">
              <w:rPr>
                <w:rFonts w:ascii="Tahoma" w:hAnsi="Tahoma" w:cs="Tahoma"/>
                <w:sz w:val="20"/>
                <w:szCs w:val="18"/>
              </w:rPr>
              <w:t xml:space="preserve">, </w:t>
            </w:r>
            <w:r w:rsidRPr="00D3704B">
              <w:rPr>
                <w:rFonts w:ascii="Tahoma" w:hAnsi="Tahoma" w:cs="Tahoma"/>
                <w:sz w:val="20"/>
                <w:szCs w:val="18"/>
                <w:lang w:val="en-US"/>
              </w:rPr>
              <w:t>Livan</w:t>
            </w:r>
            <w:r w:rsidRPr="00D3704B">
              <w:rPr>
                <w:rFonts w:ascii="Tahoma" w:hAnsi="Tahoma" w:cs="Tahoma"/>
                <w:sz w:val="20"/>
                <w:szCs w:val="18"/>
              </w:rPr>
              <w:t xml:space="preserve">, </w:t>
            </w:r>
            <w:r w:rsidRPr="00D3704B">
              <w:rPr>
                <w:rFonts w:ascii="Tahoma" w:hAnsi="Tahoma" w:cs="Tahoma"/>
                <w:sz w:val="20"/>
                <w:szCs w:val="18"/>
                <w:lang w:val="en-US"/>
              </w:rPr>
              <w:t>Jetour</w:t>
            </w:r>
            <w:r w:rsidRPr="00D3704B">
              <w:rPr>
                <w:rFonts w:ascii="Tahoma" w:hAnsi="Tahoma" w:cs="Tahoma"/>
                <w:sz w:val="20"/>
                <w:szCs w:val="18"/>
              </w:rPr>
              <w:t xml:space="preserve">, </w:t>
            </w:r>
            <w:r w:rsidRPr="00D3704B">
              <w:rPr>
                <w:rFonts w:ascii="Tahoma" w:hAnsi="Tahoma" w:cs="Tahoma"/>
                <w:sz w:val="20"/>
                <w:szCs w:val="18"/>
                <w:lang w:val="en-US"/>
              </w:rPr>
              <w:t>Jaecoo</w:t>
            </w:r>
            <w:r w:rsidRPr="00D3704B">
              <w:rPr>
                <w:rFonts w:ascii="Tahoma" w:hAnsi="Tahoma" w:cs="Tahoma"/>
                <w:sz w:val="20"/>
                <w:szCs w:val="18"/>
              </w:rPr>
              <w:t xml:space="preserve">, </w:t>
            </w:r>
            <w:r w:rsidRPr="00D3704B">
              <w:rPr>
                <w:rFonts w:ascii="Tahoma" w:hAnsi="Tahoma" w:cs="Tahoma"/>
                <w:sz w:val="20"/>
                <w:szCs w:val="18"/>
                <w:lang w:val="en-US"/>
              </w:rPr>
              <w:t>Evolute</w:t>
            </w:r>
            <w:r w:rsidRPr="00D3704B">
              <w:rPr>
                <w:rFonts w:ascii="Tahoma" w:hAnsi="Tahoma" w:cs="Tahoma"/>
                <w:sz w:val="20"/>
                <w:szCs w:val="18"/>
              </w:rPr>
              <w:t xml:space="preserve">, Москвич, </w:t>
            </w:r>
            <w:r w:rsidRPr="00D3704B">
              <w:rPr>
                <w:rFonts w:ascii="Tahoma" w:hAnsi="Tahoma" w:cs="Tahoma"/>
                <w:sz w:val="20"/>
                <w:szCs w:val="18"/>
                <w:lang w:val="en-US"/>
              </w:rPr>
              <w:t>Changan</w:t>
            </w:r>
            <w:r w:rsidRPr="00D3704B">
              <w:rPr>
                <w:rFonts w:ascii="Tahoma" w:hAnsi="Tahoma" w:cs="Tahoma"/>
                <w:sz w:val="20"/>
                <w:szCs w:val="18"/>
              </w:rPr>
              <w:t xml:space="preserve">, </w:t>
            </w:r>
            <w:r w:rsidRPr="00D3704B">
              <w:rPr>
                <w:rFonts w:ascii="Tahoma" w:hAnsi="Tahoma" w:cs="Tahoma"/>
                <w:sz w:val="20"/>
                <w:szCs w:val="18"/>
                <w:lang w:val="en-US"/>
              </w:rPr>
              <w:t>Haval</w:t>
            </w:r>
            <w:r w:rsidRPr="00D3704B">
              <w:rPr>
                <w:rFonts w:ascii="Tahoma" w:hAnsi="Tahoma" w:cs="Tahoma"/>
                <w:sz w:val="20"/>
                <w:szCs w:val="18"/>
              </w:rPr>
              <w:t xml:space="preserve">, </w:t>
            </w:r>
            <w:r w:rsidRPr="00D3704B">
              <w:rPr>
                <w:rFonts w:ascii="Tahoma" w:hAnsi="Tahoma" w:cs="Tahoma"/>
                <w:sz w:val="20"/>
                <w:szCs w:val="18"/>
                <w:lang w:val="en-US"/>
              </w:rPr>
              <w:t>SkyWell</w:t>
            </w:r>
          </w:p>
          <w:p w14:paraId="2B59A93B" w14:textId="77777777" w:rsidR="009D1253" w:rsidRPr="00D3704B" w:rsidRDefault="009D1253" w:rsidP="009D1253">
            <w:pPr>
              <w:tabs>
                <w:tab w:val="left" w:pos="6979"/>
              </w:tabs>
              <w:spacing w:line="276" w:lineRule="auto"/>
              <w:jc w:val="both"/>
              <w:rPr>
                <w:rFonts w:ascii="Tahoma" w:hAnsi="Tahoma" w:cs="Tahoma"/>
                <w:sz w:val="20"/>
                <w:szCs w:val="18"/>
                <w:lang w:eastAsia="en-US"/>
              </w:rPr>
            </w:pPr>
          </w:p>
          <w:p w14:paraId="29BE12E7" w14:textId="77777777" w:rsidR="009D1253" w:rsidRPr="00D3704B" w:rsidRDefault="009D1253" w:rsidP="009D1253">
            <w:pPr>
              <w:autoSpaceDE w:val="0"/>
              <w:autoSpaceDN w:val="0"/>
              <w:jc w:val="both"/>
              <w:rPr>
                <w:rFonts w:ascii="Tahoma" w:hAnsi="Tahoma" w:cs="Tahoma"/>
                <w:sz w:val="20"/>
                <w:szCs w:val="18"/>
              </w:rPr>
            </w:pPr>
            <w:r w:rsidRPr="00D3704B">
              <w:rPr>
                <w:rFonts w:ascii="Tahoma" w:hAnsi="Tahoma" w:cs="Tahoma"/>
                <w:sz w:val="20"/>
                <w:szCs w:val="18"/>
              </w:rPr>
              <w:t>Полномочия юридического лица / ИП на реализацию ТС подтверждаются одним из следующих документов: договором купли-продажи, дилерским договором, договором поставки и актом приема-передачи ТС по указанным договорам или агентским договором, договором комиссии и т.п., заключенным с собственником ТС и предоставляющим ему право на реализацию такого ТС. Для ТС, ввезенных из-за границы и не поставленных на государственный регистрационный учет в РФ дополнительно к указанным документам и выписке из ЭПТС прилагается таможенная декларация (или иной документ при отсутствии у продавца ТС таможенной декларации или в дополнение к ней). При этом таможенная декларация и/или иной документ, предоставленный Банку, должен содержать VIN номер ТС, а также идентификационные данные продавца ТС (или иного лица, осуществлявшего таможенные процедуры в отношении ТС, а также процедуры, необходимые для получения ЭПТС, и передавшего полномочия по реализации ТС продавцу ТС на основании договора).</w:t>
            </w:r>
          </w:p>
          <w:p w14:paraId="7BE7F2EB" w14:textId="77777777" w:rsidR="009D1253" w:rsidRPr="00D3704B" w:rsidRDefault="009D1253" w:rsidP="009D1253">
            <w:pPr>
              <w:tabs>
                <w:tab w:val="left" w:pos="0"/>
                <w:tab w:val="left" w:pos="176"/>
                <w:tab w:val="left" w:pos="835"/>
              </w:tabs>
              <w:autoSpaceDE w:val="0"/>
              <w:autoSpaceDN w:val="0"/>
              <w:rPr>
                <w:rFonts w:ascii="Tahoma" w:hAnsi="Tahoma" w:cs="Tahoma"/>
                <w:strike/>
                <w:sz w:val="20"/>
                <w:szCs w:val="18"/>
                <w:lang w:eastAsia="en-US"/>
              </w:rPr>
            </w:pPr>
          </w:p>
          <w:p w14:paraId="0C5F1AC2" w14:textId="77777777" w:rsidR="009D1253" w:rsidRPr="00D3704B" w:rsidRDefault="009D1253" w:rsidP="009D1253">
            <w:pPr>
              <w:numPr>
                <w:ilvl w:val="0"/>
                <w:numId w:val="73"/>
              </w:numPr>
              <w:tabs>
                <w:tab w:val="left" w:pos="0"/>
                <w:tab w:val="left" w:pos="268"/>
              </w:tabs>
              <w:autoSpaceDE w:val="0"/>
              <w:autoSpaceDN w:val="0"/>
              <w:spacing w:after="200" w:line="276" w:lineRule="auto"/>
              <w:ind w:left="0" w:firstLine="0"/>
              <w:jc w:val="both"/>
              <w:rPr>
                <w:rFonts w:ascii="Tahoma" w:hAnsi="Tahoma" w:cs="Tahoma"/>
                <w:b/>
                <w:sz w:val="20"/>
                <w:szCs w:val="18"/>
                <w:lang w:eastAsia="en-US"/>
              </w:rPr>
            </w:pPr>
            <w:r w:rsidRPr="00D3704B">
              <w:rPr>
                <w:rFonts w:ascii="Tahoma" w:hAnsi="Tahoma" w:cs="Tahoma"/>
                <w:b/>
                <w:sz w:val="20"/>
                <w:szCs w:val="18"/>
                <w:lang w:eastAsia="en-US"/>
              </w:rPr>
              <w:t>Пакет документов для Заёмщика</w:t>
            </w:r>
          </w:p>
          <w:p w14:paraId="379241D8" w14:textId="77777777" w:rsidR="009D1253" w:rsidRPr="00D3704B" w:rsidRDefault="009D1253" w:rsidP="00B460F9">
            <w:pPr>
              <w:numPr>
                <w:ilvl w:val="0"/>
                <w:numId w:val="177"/>
              </w:numPr>
              <w:tabs>
                <w:tab w:val="left" w:pos="0"/>
                <w:tab w:val="left" w:pos="268"/>
              </w:tabs>
              <w:autoSpaceDE w:val="0"/>
              <w:autoSpaceDN w:val="0"/>
              <w:spacing w:after="200" w:line="276" w:lineRule="auto"/>
              <w:jc w:val="both"/>
              <w:rPr>
                <w:rFonts w:ascii="Tahoma" w:hAnsi="Tahoma" w:cs="Tahoma"/>
                <w:sz w:val="20"/>
                <w:szCs w:val="18"/>
                <w:lang w:eastAsia="en-US"/>
              </w:rPr>
            </w:pPr>
            <w:r w:rsidRPr="00D3704B">
              <w:rPr>
                <w:rFonts w:ascii="Tahoma" w:hAnsi="Tahoma" w:cs="Tahoma"/>
                <w:sz w:val="20"/>
                <w:szCs w:val="18"/>
                <w:lang w:eastAsia="en-US"/>
              </w:rPr>
              <w:t>Паспорт гражданина РФ</w:t>
            </w:r>
          </w:p>
          <w:p w14:paraId="00F4CC3F" w14:textId="77777777" w:rsidR="009D1253" w:rsidRPr="00D3704B" w:rsidRDefault="009D1253" w:rsidP="00B460F9">
            <w:pPr>
              <w:numPr>
                <w:ilvl w:val="0"/>
                <w:numId w:val="177"/>
              </w:numPr>
              <w:tabs>
                <w:tab w:val="left" w:pos="0"/>
                <w:tab w:val="left" w:pos="268"/>
              </w:tabs>
              <w:autoSpaceDE w:val="0"/>
              <w:autoSpaceDN w:val="0"/>
              <w:spacing w:after="200" w:line="276" w:lineRule="auto"/>
              <w:ind w:left="0" w:firstLine="0"/>
              <w:jc w:val="both"/>
              <w:rPr>
                <w:rFonts w:ascii="Tahoma" w:hAnsi="Tahoma" w:cs="Tahoma"/>
                <w:sz w:val="20"/>
                <w:szCs w:val="18"/>
                <w:lang w:eastAsia="en-US"/>
              </w:rPr>
            </w:pPr>
            <w:r w:rsidRPr="00D3704B">
              <w:rPr>
                <w:rFonts w:ascii="Tahoma" w:hAnsi="Tahoma" w:cs="Tahoma"/>
                <w:sz w:val="20"/>
                <w:szCs w:val="18"/>
                <w:lang w:eastAsia="en-US"/>
              </w:rPr>
              <w:t>Второй документ, предоставляется из следующих документов по выбору Заёмщика:</w:t>
            </w:r>
            <w:r w:rsidRPr="00D3704B" w:rsidDel="00721FE6">
              <w:rPr>
                <w:rFonts w:ascii="Tahoma" w:hAnsi="Tahoma" w:cs="Tahoma"/>
                <w:sz w:val="20"/>
                <w:szCs w:val="18"/>
                <w:lang w:eastAsia="en-US"/>
              </w:rPr>
              <w:t xml:space="preserve"> </w:t>
            </w:r>
          </w:p>
          <w:p w14:paraId="4A4C3905" w14:textId="77777777" w:rsidR="009D1253" w:rsidRPr="00D3704B" w:rsidRDefault="009D1253" w:rsidP="009D1253">
            <w:pPr>
              <w:tabs>
                <w:tab w:val="left" w:pos="0"/>
              </w:tabs>
              <w:autoSpaceDE w:val="0"/>
              <w:autoSpaceDN w:val="0"/>
              <w:ind w:firstLine="268"/>
              <w:jc w:val="both"/>
              <w:rPr>
                <w:rFonts w:ascii="Tahoma" w:hAnsi="Tahoma" w:cs="Tahoma"/>
                <w:sz w:val="20"/>
                <w:szCs w:val="18"/>
                <w:lang w:eastAsia="en-US"/>
              </w:rPr>
            </w:pPr>
            <w:r w:rsidRPr="00D3704B">
              <w:rPr>
                <w:rFonts w:ascii="Tahoma" w:hAnsi="Tahoma" w:cs="Tahoma"/>
                <w:sz w:val="20"/>
                <w:szCs w:val="18"/>
                <w:lang w:eastAsia="en-US"/>
              </w:rPr>
              <w:t>- заграничный паспорт гражданина РФ</w:t>
            </w:r>
          </w:p>
          <w:p w14:paraId="69344E21" w14:textId="77777777" w:rsidR="009D1253" w:rsidRPr="00D3704B" w:rsidRDefault="009D1253" w:rsidP="009D1253">
            <w:pPr>
              <w:tabs>
                <w:tab w:val="left" w:pos="0"/>
              </w:tabs>
              <w:autoSpaceDE w:val="0"/>
              <w:autoSpaceDN w:val="0"/>
              <w:ind w:firstLine="268"/>
              <w:jc w:val="both"/>
              <w:rPr>
                <w:rFonts w:ascii="Tahoma" w:hAnsi="Tahoma" w:cs="Tahoma"/>
                <w:sz w:val="20"/>
                <w:szCs w:val="18"/>
                <w:lang w:eastAsia="en-US"/>
              </w:rPr>
            </w:pPr>
            <w:r w:rsidRPr="00D3704B">
              <w:rPr>
                <w:rFonts w:ascii="Tahoma" w:hAnsi="Tahoma" w:cs="Tahoma"/>
                <w:sz w:val="20"/>
                <w:szCs w:val="18"/>
                <w:lang w:eastAsia="en-US"/>
              </w:rPr>
              <w:t>- водительское удостоверение</w:t>
            </w:r>
          </w:p>
          <w:p w14:paraId="16A64113" w14:textId="77777777" w:rsidR="009D1253" w:rsidRPr="00D3704B" w:rsidRDefault="009D1253" w:rsidP="009D1253">
            <w:pPr>
              <w:tabs>
                <w:tab w:val="left" w:pos="0"/>
              </w:tabs>
              <w:autoSpaceDE w:val="0"/>
              <w:autoSpaceDN w:val="0"/>
              <w:ind w:firstLine="268"/>
              <w:jc w:val="both"/>
              <w:rPr>
                <w:rFonts w:ascii="Tahoma" w:hAnsi="Tahoma" w:cs="Tahoma"/>
                <w:sz w:val="20"/>
                <w:szCs w:val="18"/>
                <w:lang w:eastAsia="en-US"/>
              </w:rPr>
            </w:pPr>
            <w:r w:rsidRPr="00D3704B">
              <w:rPr>
                <w:rFonts w:ascii="Tahoma" w:hAnsi="Tahoma" w:cs="Tahoma"/>
                <w:sz w:val="20"/>
                <w:szCs w:val="18"/>
                <w:lang w:eastAsia="en-US"/>
              </w:rPr>
              <w:t>- СНИЛС</w:t>
            </w:r>
          </w:p>
          <w:p w14:paraId="031B3DC3" w14:textId="77777777" w:rsidR="009D1253" w:rsidRPr="00D3704B" w:rsidRDefault="009D1253" w:rsidP="009D1253">
            <w:pPr>
              <w:tabs>
                <w:tab w:val="left" w:pos="0"/>
              </w:tabs>
              <w:autoSpaceDE w:val="0"/>
              <w:autoSpaceDN w:val="0"/>
              <w:jc w:val="both"/>
              <w:rPr>
                <w:rFonts w:ascii="Tahoma" w:hAnsi="Tahoma" w:cs="Tahoma"/>
                <w:strike/>
                <w:sz w:val="20"/>
                <w:szCs w:val="18"/>
              </w:rPr>
            </w:pPr>
          </w:p>
          <w:p w14:paraId="471D1CBC" w14:textId="77777777" w:rsidR="009D1253" w:rsidRPr="00D3704B" w:rsidRDefault="009D1253" w:rsidP="009D1253">
            <w:pPr>
              <w:autoSpaceDE w:val="0"/>
              <w:autoSpaceDN w:val="0"/>
              <w:adjustRightInd w:val="0"/>
              <w:rPr>
                <w:rFonts w:ascii="Tahoma" w:hAnsi="Tahoma" w:cs="Tahoma"/>
                <w:sz w:val="20"/>
                <w:szCs w:val="18"/>
                <w:lang w:eastAsia="en-US"/>
              </w:rPr>
            </w:pPr>
            <w:r w:rsidRPr="00D3704B">
              <w:rPr>
                <w:rFonts w:ascii="Tahoma" w:hAnsi="Tahoma" w:cs="Tahoma"/>
                <w:sz w:val="20"/>
                <w:szCs w:val="18"/>
                <w:lang w:eastAsia="en-US"/>
              </w:rPr>
              <w:t xml:space="preserve">По результатам рассмотрения заявления о предоставлении потребительского кредита, Банком могут быть запрошены документы, подтверждающие финансовое состояние Заёмщика, а также его занятость. </w:t>
            </w:r>
          </w:p>
          <w:p w14:paraId="42E4294C" w14:textId="77777777" w:rsidR="009D1253" w:rsidRPr="00D3704B" w:rsidRDefault="009D1253" w:rsidP="009D1253">
            <w:pPr>
              <w:autoSpaceDE w:val="0"/>
              <w:autoSpaceDN w:val="0"/>
              <w:adjustRightInd w:val="0"/>
              <w:rPr>
                <w:rFonts w:ascii="Tahoma" w:hAnsi="Tahoma" w:cs="Tahoma"/>
                <w:sz w:val="20"/>
                <w:szCs w:val="18"/>
                <w:lang w:eastAsia="en-US"/>
              </w:rPr>
            </w:pPr>
            <w:r w:rsidRPr="00D3704B">
              <w:rPr>
                <w:rFonts w:ascii="Tahoma" w:hAnsi="Tahoma" w:cs="Tahoma"/>
                <w:sz w:val="20"/>
                <w:szCs w:val="18"/>
                <w:lang w:eastAsia="en-US"/>
              </w:rPr>
              <w:t xml:space="preserve">В качестве документов, подтверждающих финансовое состояние Заёмщика, могут быть предоставлены: </w:t>
            </w:r>
          </w:p>
          <w:tbl>
            <w:tblPr>
              <w:tblStyle w:val="281"/>
              <w:tblW w:w="10460" w:type="dxa"/>
              <w:tblInd w:w="8" w:type="dxa"/>
              <w:tblLayout w:type="fixed"/>
              <w:tblLook w:val="04A0" w:firstRow="1" w:lastRow="0" w:firstColumn="1" w:lastColumn="0" w:noHBand="0" w:noVBand="1"/>
            </w:tblPr>
            <w:tblGrid>
              <w:gridCol w:w="2096"/>
              <w:gridCol w:w="8364"/>
            </w:tblGrid>
            <w:tr w:rsidR="009D1253" w:rsidRPr="00D3704B" w14:paraId="1BEA92CB" w14:textId="77777777" w:rsidTr="009D1253">
              <w:tc>
                <w:tcPr>
                  <w:tcW w:w="2096" w:type="dxa"/>
                </w:tcPr>
                <w:p w14:paraId="461120A6" w14:textId="77777777" w:rsidR="009D1253" w:rsidRPr="00D3704B" w:rsidRDefault="009D1253" w:rsidP="009D1253">
                  <w:pPr>
                    <w:autoSpaceDE w:val="0"/>
                    <w:autoSpaceDN w:val="0"/>
                    <w:adjustRightInd w:val="0"/>
                    <w:rPr>
                      <w:rFonts w:ascii="Tahoma" w:hAnsi="Tahoma" w:cs="Tahoma"/>
                      <w:sz w:val="20"/>
                      <w:szCs w:val="18"/>
                    </w:rPr>
                  </w:pPr>
                  <w:r w:rsidRPr="00D3704B">
                    <w:rPr>
                      <w:rFonts w:ascii="Tahoma" w:hAnsi="Tahoma" w:cs="Tahoma"/>
                      <w:sz w:val="20"/>
                      <w:szCs w:val="18"/>
                    </w:rPr>
                    <w:t>Виды (источники) дохода</w:t>
                  </w:r>
                </w:p>
              </w:tc>
              <w:tc>
                <w:tcPr>
                  <w:tcW w:w="8364" w:type="dxa"/>
                </w:tcPr>
                <w:p w14:paraId="1A1E6A8E" w14:textId="77777777" w:rsidR="009D1253" w:rsidRPr="00D3704B" w:rsidRDefault="009D1253" w:rsidP="009D1253">
                  <w:pPr>
                    <w:autoSpaceDE w:val="0"/>
                    <w:autoSpaceDN w:val="0"/>
                    <w:adjustRightInd w:val="0"/>
                    <w:rPr>
                      <w:rFonts w:ascii="Tahoma" w:hAnsi="Tahoma" w:cs="Tahoma"/>
                      <w:sz w:val="20"/>
                      <w:szCs w:val="18"/>
                    </w:rPr>
                  </w:pPr>
                  <w:r w:rsidRPr="00D3704B">
                    <w:rPr>
                      <w:rFonts w:ascii="Tahoma" w:hAnsi="Tahoma" w:cs="Tahoma"/>
                      <w:sz w:val="20"/>
                      <w:szCs w:val="18"/>
                    </w:rPr>
                    <w:t>Документы, подтверждающие финансовое состояние Заёмщика*</w:t>
                  </w:r>
                </w:p>
              </w:tc>
            </w:tr>
            <w:tr w:rsidR="009D1253" w:rsidRPr="00D3704B" w14:paraId="2086437F" w14:textId="77777777" w:rsidTr="009D1253">
              <w:tc>
                <w:tcPr>
                  <w:tcW w:w="2096" w:type="dxa"/>
                </w:tcPr>
                <w:p w14:paraId="110E3AFC" w14:textId="77777777" w:rsidR="009D1253" w:rsidRPr="00D3704B" w:rsidRDefault="009D1253" w:rsidP="009D1253">
                  <w:pPr>
                    <w:autoSpaceDE w:val="0"/>
                    <w:autoSpaceDN w:val="0"/>
                    <w:adjustRightInd w:val="0"/>
                    <w:rPr>
                      <w:rFonts w:ascii="Tahoma" w:hAnsi="Tahoma" w:cs="Tahoma"/>
                      <w:sz w:val="20"/>
                      <w:szCs w:val="18"/>
                    </w:rPr>
                  </w:pPr>
                  <w:r w:rsidRPr="00D3704B">
                    <w:rPr>
                      <w:rFonts w:ascii="Tahoma" w:hAnsi="Tahoma" w:cs="Tahoma"/>
                      <w:sz w:val="20"/>
                      <w:szCs w:val="18"/>
                    </w:rPr>
                    <w:t>Основное место работы</w:t>
                  </w:r>
                </w:p>
              </w:tc>
              <w:tc>
                <w:tcPr>
                  <w:tcW w:w="8364" w:type="dxa"/>
                </w:tcPr>
                <w:p w14:paraId="69F982BA" w14:textId="77777777" w:rsidR="009D1253" w:rsidRPr="00D3704B" w:rsidRDefault="009D1253" w:rsidP="009D1253">
                  <w:pPr>
                    <w:tabs>
                      <w:tab w:val="left" w:pos="457"/>
                    </w:tabs>
                    <w:autoSpaceDE w:val="0"/>
                    <w:autoSpaceDN w:val="0"/>
                    <w:adjustRightInd w:val="0"/>
                    <w:ind w:left="457" w:hanging="425"/>
                    <w:rPr>
                      <w:rFonts w:ascii="Tahoma" w:hAnsi="Tahoma" w:cs="Tahoma"/>
                      <w:sz w:val="20"/>
                      <w:szCs w:val="18"/>
                    </w:rPr>
                  </w:pPr>
                  <w:r w:rsidRPr="00D3704B">
                    <w:rPr>
                      <w:rFonts w:ascii="Tahoma" w:hAnsi="Tahoma" w:cs="Tahoma"/>
                      <w:sz w:val="20"/>
                      <w:szCs w:val="18"/>
                    </w:rPr>
                    <w:t>Один из следующих документов по выбору Заёмщика:</w:t>
                  </w:r>
                </w:p>
                <w:p w14:paraId="241907B8" w14:textId="77777777" w:rsidR="009D1253" w:rsidRPr="00D3704B" w:rsidRDefault="009D1253" w:rsidP="00B460F9">
                  <w:pPr>
                    <w:numPr>
                      <w:ilvl w:val="0"/>
                      <w:numId w:val="178"/>
                    </w:numPr>
                    <w:tabs>
                      <w:tab w:val="left" w:pos="457"/>
                    </w:tabs>
                    <w:autoSpaceDE w:val="0"/>
                    <w:autoSpaceDN w:val="0"/>
                    <w:adjustRightInd w:val="0"/>
                    <w:rPr>
                      <w:rFonts w:ascii="Tahoma" w:hAnsi="Tahoma" w:cs="Tahoma"/>
                      <w:sz w:val="20"/>
                      <w:szCs w:val="18"/>
                    </w:rPr>
                  </w:pPr>
                  <w:r w:rsidRPr="00D3704B">
                    <w:rPr>
                      <w:rFonts w:ascii="Tahoma" w:hAnsi="Tahoma" w:cs="Tahoma"/>
                      <w:sz w:val="20"/>
                      <w:szCs w:val="18"/>
                    </w:rPr>
                    <w:t>Справка о доходах и суммах налога физического лица или Справка о доходах и удержанных суммах по образцу государственного учреждения, внутренними распорядительными документами которого установлены ограничения на предоставление своим работникам справок о доходах и суммах налога физического лица**</w:t>
                  </w:r>
                </w:p>
                <w:p w14:paraId="6F49D1C4" w14:textId="77777777" w:rsidR="009D1253" w:rsidRPr="00D3704B" w:rsidRDefault="009D1253" w:rsidP="00B460F9">
                  <w:pPr>
                    <w:numPr>
                      <w:ilvl w:val="0"/>
                      <w:numId w:val="178"/>
                    </w:numPr>
                    <w:tabs>
                      <w:tab w:val="left" w:pos="457"/>
                    </w:tabs>
                    <w:autoSpaceDE w:val="0"/>
                    <w:autoSpaceDN w:val="0"/>
                    <w:adjustRightInd w:val="0"/>
                    <w:ind w:left="457" w:hanging="425"/>
                    <w:rPr>
                      <w:rFonts w:ascii="Tahoma" w:hAnsi="Tahoma" w:cs="Tahoma"/>
                      <w:sz w:val="20"/>
                      <w:szCs w:val="18"/>
                    </w:rPr>
                  </w:pPr>
                  <w:r w:rsidRPr="00D3704B">
                    <w:rPr>
                      <w:rFonts w:ascii="Tahoma" w:hAnsi="Tahoma" w:cs="Tahoma"/>
                      <w:sz w:val="20"/>
                      <w:szCs w:val="18"/>
                    </w:rPr>
                    <w:t>Выписка о состоянии индивидуального лицевого счета застрахованного лица в системе обязательного пенсионного страхования***</w:t>
                  </w:r>
                </w:p>
                <w:p w14:paraId="7E0147AE" w14:textId="77777777" w:rsidR="009D1253" w:rsidRPr="00D3704B" w:rsidRDefault="009D1253" w:rsidP="00B460F9">
                  <w:pPr>
                    <w:numPr>
                      <w:ilvl w:val="0"/>
                      <w:numId w:val="178"/>
                    </w:numPr>
                    <w:tabs>
                      <w:tab w:val="left" w:pos="457"/>
                    </w:tabs>
                    <w:autoSpaceDE w:val="0"/>
                    <w:autoSpaceDN w:val="0"/>
                    <w:adjustRightInd w:val="0"/>
                    <w:ind w:left="457" w:hanging="425"/>
                    <w:rPr>
                      <w:rFonts w:ascii="Tahoma" w:hAnsi="Tahoma" w:cs="Tahoma"/>
                      <w:sz w:val="20"/>
                      <w:szCs w:val="18"/>
                    </w:rPr>
                  </w:pPr>
                  <w:r w:rsidRPr="00D3704B">
                    <w:rPr>
                      <w:rFonts w:ascii="Tahoma" w:hAnsi="Tahoma" w:cs="Tahoma"/>
                      <w:sz w:val="20"/>
                      <w:szCs w:val="18"/>
                    </w:rPr>
                    <w:lastRenderedPageBreak/>
                    <w:t>Справка по форме Банка**</w:t>
                  </w:r>
                </w:p>
                <w:p w14:paraId="1227EB9B" w14:textId="77777777" w:rsidR="009D1253" w:rsidRPr="00D3704B" w:rsidRDefault="009D1253" w:rsidP="00B460F9">
                  <w:pPr>
                    <w:numPr>
                      <w:ilvl w:val="0"/>
                      <w:numId w:val="178"/>
                    </w:numPr>
                    <w:tabs>
                      <w:tab w:val="left" w:pos="457"/>
                    </w:tabs>
                    <w:autoSpaceDE w:val="0"/>
                    <w:autoSpaceDN w:val="0"/>
                    <w:adjustRightInd w:val="0"/>
                    <w:ind w:left="457" w:hanging="425"/>
                    <w:rPr>
                      <w:rFonts w:ascii="Tahoma" w:hAnsi="Tahoma" w:cs="Tahoma"/>
                      <w:sz w:val="20"/>
                      <w:szCs w:val="18"/>
                    </w:rPr>
                  </w:pPr>
                  <w:r w:rsidRPr="00D3704B">
                    <w:rPr>
                      <w:rFonts w:ascii="Tahoma" w:hAnsi="Tahoma" w:cs="Tahoma"/>
                      <w:sz w:val="20"/>
                      <w:szCs w:val="18"/>
                    </w:rPr>
                    <w:t xml:space="preserve">Выписка с банковского счета, на который осуществляются зачисления заработной платы Заемщика, выданная кредитной организацией и заверенная печатью и подписью уполномоченного лица, в т.ч. </w:t>
                  </w:r>
                  <w:r w:rsidRPr="00D3704B">
                    <w:rPr>
                      <w:rFonts w:ascii="Tahoma" w:hAnsi="Tahoma" w:cs="Tahoma"/>
                      <w:sz w:val="18"/>
                      <w:szCs w:val="18"/>
                    </w:rPr>
                    <w:t>выписка с каналов дистанционного обслуживания кредитной организации</w:t>
                  </w:r>
                </w:p>
              </w:tc>
            </w:tr>
            <w:tr w:rsidR="009D1253" w:rsidRPr="00D3704B" w14:paraId="422A3EB0" w14:textId="77777777" w:rsidTr="009D1253">
              <w:tc>
                <w:tcPr>
                  <w:tcW w:w="2096" w:type="dxa"/>
                </w:tcPr>
                <w:p w14:paraId="59D81CBA" w14:textId="77777777" w:rsidR="009D1253" w:rsidRPr="00D3704B" w:rsidRDefault="009D1253" w:rsidP="009D1253">
                  <w:pPr>
                    <w:autoSpaceDE w:val="0"/>
                    <w:autoSpaceDN w:val="0"/>
                    <w:adjustRightInd w:val="0"/>
                    <w:rPr>
                      <w:rFonts w:ascii="Tahoma" w:hAnsi="Tahoma" w:cs="Tahoma"/>
                      <w:sz w:val="20"/>
                      <w:szCs w:val="18"/>
                    </w:rPr>
                  </w:pPr>
                  <w:r w:rsidRPr="00D3704B">
                    <w:rPr>
                      <w:rFonts w:ascii="Tahoma" w:hAnsi="Tahoma" w:cs="Tahoma"/>
                      <w:sz w:val="20"/>
                      <w:szCs w:val="18"/>
                    </w:rPr>
                    <w:lastRenderedPageBreak/>
                    <w:t>Пенсия</w:t>
                  </w:r>
                </w:p>
              </w:tc>
              <w:tc>
                <w:tcPr>
                  <w:tcW w:w="8364" w:type="dxa"/>
                </w:tcPr>
                <w:p w14:paraId="52D2F13F" w14:textId="77777777" w:rsidR="009D1253" w:rsidRPr="00D3704B" w:rsidRDefault="009D1253" w:rsidP="009D1253">
                  <w:pPr>
                    <w:tabs>
                      <w:tab w:val="left" w:pos="457"/>
                    </w:tabs>
                    <w:autoSpaceDE w:val="0"/>
                    <w:autoSpaceDN w:val="0"/>
                    <w:adjustRightInd w:val="0"/>
                    <w:ind w:left="457" w:hanging="425"/>
                    <w:rPr>
                      <w:rFonts w:ascii="Tahoma" w:hAnsi="Tahoma" w:cs="Tahoma"/>
                      <w:sz w:val="20"/>
                      <w:szCs w:val="18"/>
                    </w:rPr>
                  </w:pPr>
                  <w:r w:rsidRPr="00D3704B">
                    <w:rPr>
                      <w:rFonts w:ascii="Tahoma" w:hAnsi="Tahoma" w:cs="Tahoma"/>
                      <w:sz w:val="20"/>
                      <w:szCs w:val="18"/>
                    </w:rPr>
                    <w:t>Один из следующих документов по выбору Заемщика****:</w:t>
                  </w:r>
                </w:p>
                <w:p w14:paraId="017DEA63" w14:textId="77777777" w:rsidR="009D1253" w:rsidRPr="00D3704B" w:rsidRDefault="009D1253" w:rsidP="00B460F9">
                  <w:pPr>
                    <w:numPr>
                      <w:ilvl w:val="0"/>
                      <w:numId w:val="179"/>
                    </w:numPr>
                    <w:tabs>
                      <w:tab w:val="left" w:pos="457"/>
                    </w:tabs>
                    <w:autoSpaceDE w:val="0"/>
                    <w:autoSpaceDN w:val="0"/>
                    <w:adjustRightInd w:val="0"/>
                    <w:rPr>
                      <w:rFonts w:ascii="Tahoma" w:hAnsi="Tahoma" w:cs="Tahoma"/>
                      <w:sz w:val="20"/>
                      <w:szCs w:val="18"/>
                    </w:rPr>
                  </w:pPr>
                  <w:r w:rsidRPr="00D3704B">
                    <w:rPr>
                      <w:rFonts w:ascii="Tahoma" w:hAnsi="Tahoma" w:cs="Tahoma"/>
                      <w:sz w:val="20"/>
                      <w:szCs w:val="18"/>
                    </w:rPr>
                    <w:t>Выписка со счета, выданная кредитными организациями, на который осуществляются пенсионные выплаты</w:t>
                  </w:r>
                </w:p>
                <w:p w14:paraId="56958C0A" w14:textId="77777777" w:rsidR="009D1253" w:rsidRPr="00D3704B" w:rsidRDefault="009D1253" w:rsidP="00B460F9">
                  <w:pPr>
                    <w:numPr>
                      <w:ilvl w:val="0"/>
                      <w:numId w:val="179"/>
                    </w:numPr>
                    <w:tabs>
                      <w:tab w:val="left" w:pos="457"/>
                    </w:tabs>
                    <w:autoSpaceDE w:val="0"/>
                    <w:autoSpaceDN w:val="0"/>
                    <w:adjustRightInd w:val="0"/>
                    <w:ind w:left="457" w:hanging="425"/>
                    <w:rPr>
                      <w:rFonts w:ascii="Tahoma" w:hAnsi="Tahoma" w:cs="Tahoma"/>
                      <w:sz w:val="20"/>
                      <w:szCs w:val="18"/>
                    </w:rPr>
                  </w:pPr>
                  <w:r w:rsidRPr="00D3704B">
                    <w:rPr>
                      <w:rFonts w:ascii="Tahoma" w:hAnsi="Tahoma" w:cs="Tahoma"/>
                      <w:sz w:val="20"/>
                      <w:szCs w:val="18"/>
                    </w:rPr>
                    <w:t>Справка Социального фонда Российской Федерации или другого государственного органа, выплачивающего пенсию о размере пенсии, ежемесячного пожизненного содержания судьям или ежемесячной надбавки к денежному содержанию судьям о назначении пенсии /иной документ, подтверждающий право на получение пенсии, содержащий идентификационные данные Клиента и размера дохода (например, выписка из ПФР)</w:t>
                  </w:r>
                </w:p>
              </w:tc>
            </w:tr>
            <w:tr w:rsidR="009D1253" w:rsidRPr="00D3704B" w14:paraId="0B55D495" w14:textId="77777777" w:rsidTr="009D1253">
              <w:tc>
                <w:tcPr>
                  <w:tcW w:w="2096" w:type="dxa"/>
                </w:tcPr>
                <w:p w14:paraId="69B3D02F" w14:textId="77777777" w:rsidR="009D1253" w:rsidRPr="00D3704B" w:rsidRDefault="009D1253" w:rsidP="009D1253">
                  <w:pPr>
                    <w:autoSpaceDE w:val="0"/>
                    <w:autoSpaceDN w:val="0"/>
                    <w:adjustRightInd w:val="0"/>
                    <w:rPr>
                      <w:rFonts w:ascii="Tahoma" w:hAnsi="Tahoma" w:cs="Tahoma"/>
                      <w:sz w:val="20"/>
                      <w:szCs w:val="18"/>
                    </w:rPr>
                  </w:pPr>
                  <w:r w:rsidRPr="00D3704B">
                    <w:rPr>
                      <w:rFonts w:ascii="Tahoma" w:hAnsi="Tahoma" w:cs="Tahoma"/>
                      <w:sz w:val="20"/>
                      <w:szCs w:val="18"/>
                    </w:rPr>
                    <w:t>Место работы по совместительству</w:t>
                  </w:r>
                </w:p>
              </w:tc>
              <w:tc>
                <w:tcPr>
                  <w:tcW w:w="8364" w:type="dxa"/>
                  <w:shd w:val="clear" w:color="auto" w:fill="auto"/>
                </w:tcPr>
                <w:p w14:paraId="32468AA5" w14:textId="77777777" w:rsidR="009D1253" w:rsidRPr="00D3704B" w:rsidRDefault="009D1253" w:rsidP="009D1253">
                  <w:pPr>
                    <w:tabs>
                      <w:tab w:val="left" w:pos="457"/>
                    </w:tabs>
                    <w:autoSpaceDE w:val="0"/>
                    <w:autoSpaceDN w:val="0"/>
                    <w:adjustRightInd w:val="0"/>
                    <w:ind w:left="457" w:hanging="425"/>
                    <w:rPr>
                      <w:rFonts w:ascii="Tahoma" w:hAnsi="Tahoma" w:cs="Tahoma"/>
                      <w:sz w:val="20"/>
                      <w:szCs w:val="18"/>
                    </w:rPr>
                  </w:pPr>
                  <w:r w:rsidRPr="00D3704B">
                    <w:rPr>
                      <w:rFonts w:ascii="Tahoma" w:hAnsi="Tahoma" w:cs="Tahoma"/>
                      <w:sz w:val="20"/>
                      <w:szCs w:val="18"/>
                    </w:rPr>
                    <w:t>Один из следующих документов по выбору Заёмщика:</w:t>
                  </w:r>
                </w:p>
                <w:p w14:paraId="5741A12D" w14:textId="77777777" w:rsidR="009D1253" w:rsidRPr="00D3704B" w:rsidRDefault="009D1253" w:rsidP="00B460F9">
                  <w:pPr>
                    <w:numPr>
                      <w:ilvl w:val="0"/>
                      <w:numId w:val="180"/>
                    </w:numPr>
                    <w:tabs>
                      <w:tab w:val="left" w:pos="457"/>
                    </w:tabs>
                    <w:autoSpaceDE w:val="0"/>
                    <w:autoSpaceDN w:val="0"/>
                    <w:adjustRightInd w:val="0"/>
                    <w:rPr>
                      <w:rFonts w:ascii="Tahoma" w:hAnsi="Tahoma" w:cs="Tahoma"/>
                      <w:sz w:val="20"/>
                      <w:szCs w:val="18"/>
                    </w:rPr>
                  </w:pPr>
                  <w:r w:rsidRPr="00D3704B">
                    <w:rPr>
                      <w:rFonts w:ascii="Tahoma" w:hAnsi="Tahoma" w:cs="Tahoma"/>
                      <w:sz w:val="20"/>
                      <w:szCs w:val="18"/>
                    </w:rPr>
                    <w:t>Справка о доходах и суммах налога физического лица или Справка о доходах и удержанных суммах по образцу государственного учреждения, внутренними распорядительными документами которого установлены ограничения на предоставление своим работникам справок о доходах и суммах налога физического лица**</w:t>
                  </w:r>
                </w:p>
                <w:p w14:paraId="0BD10EE5" w14:textId="77777777" w:rsidR="009D1253" w:rsidRPr="00D3704B" w:rsidRDefault="009D1253" w:rsidP="00B460F9">
                  <w:pPr>
                    <w:numPr>
                      <w:ilvl w:val="0"/>
                      <w:numId w:val="180"/>
                    </w:numPr>
                    <w:tabs>
                      <w:tab w:val="left" w:pos="457"/>
                    </w:tabs>
                    <w:autoSpaceDE w:val="0"/>
                    <w:autoSpaceDN w:val="0"/>
                    <w:adjustRightInd w:val="0"/>
                    <w:ind w:left="457" w:hanging="425"/>
                    <w:rPr>
                      <w:rFonts w:ascii="Tahoma" w:hAnsi="Tahoma" w:cs="Tahoma"/>
                      <w:sz w:val="20"/>
                      <w:szCs w:val="18"/>
                    </w:rPr>
                  </w:pPr>
                  <w:r w:rsidRPr="00D3704B">
                    <w:rPr>
                      <w:rFonts w:ascii="Tahoma" w:hAnsi="Tahoma" w:cs="Tahoma"/>
                      <w:sz w:val="20"/>
                      <w:szCs w:val="18"/>
                    </w:rPr>
                    <w:t>Выписка о состоянии индивидуального лицевого счета застрахованного лица в системе обязательного пенсионного страхования***</w:t>
                  </w:r>
                </w:p>
                <w:p w14:paraId="6E352EF8" w14:textId="77777777" w:rsidR="009D1253" w:rsidRPr="00D3704B" w:rsidRDefault="009D1253" w:rsidP="00B460F9">
                  <w:pPr>
                    <w:numPr>
                      <w:ilvl w:val="0"/>
                      <w:numId w:val="180"/>
                    </w:numPr>
                    <w:tabs>
                      <w:tab w:val="left" w:pos="457"/>
                    </w:tabs>
                    <w:autoSpaceDE w:val="0"/>
                    <w:autoSpaceDN w:val="0"/>
                    <w:adjustRightInd w:val="0"/>
                    <w:ind w:left="457" w:hanging="425"/>
                    <w:rPr>
                      <w:rFonts w:ascii="Tahoma" w:hAnsi="Tahoma" w:cs="Tahoma"/>
                      <w:sz w:val="20"/>
                      <w:szCs w:val="18"/>
                    </w:rPr>
                  </w:pPr>
                  <w:r w:rsidRPr="00D3704B">
                    <w:rPr>
                      <w:rFonts w:ascii="Tahoma" w:hAnsi="Tahoma" w:cs="Tahoma"/>
                      <w:sz w:val="20"/>
                      <w:szCs w:val="18"/>
                    </w:rPr>
                    <w:t>Справка по форме Банка**</w:t>
                  </w:r>
                </w:p>
                <w:p w14:paraId="0957E0C0" w14:textId="77777777" w:rsidR="009D1253" w:rsidRPr="00D3704B" w:rsidRDefault="009D1253" w:rsidP="00B460F9">
                  <w:pPr>
                    <w:numPr>
                      <w:ilvl w:val="0"/>
                      <w:numId w:val="180"/>
                    </w:numPr>
                    <w:tabs>
                      <w:tab w:val="left" w:pos="457"/>
                    </w:tabs>
                    <w:autoSpaceDE w:val="0"/>
                    <w:autoSpaceDN w:val="0"/>
                    <w:adjustRightInd w:val="0"/>
                    <w:ind w:left="457" w:hanging="425"/>
                    <w:rPr>
                      <w:rFonts w:ascii="Tahoma" w:hAnsi="Tahoma" w:cs="Tahoma"/>
                      <w:sz w:val="20"/>
                      <w:szCs w:val="18"/>
                    </w:rPr>
                  </w:pPr>
                  <w:r w:rsidRPr="00D3704B">
                    <w:rPr>
                      <w:rFonts w:ascii="Tahoma" w:hAnsi="Tahoma" w:cs="Tahoma"/>
                      <w:sz w:val="20"/>
                      <w:szCs w:val="18"/>
                    </w:rPr>
                    <w:t xml:space="preserve">Выписка с банковского счета, на который осуществляются зачисления заработной платы Заемщика, выданная кредитной организацией и заверенная печатью и подписью уполномоченного лица, в т.ч. </w:t>
                  </w:r>
                  <w:r w:rsidRPr="00D3704B">
                    <w:rPr>
                      <w:rFonts w:ascii="Tahoma" w:hAnsi="Tahoma" w:cs="Tahoma"/>
                      <w:sz w:val="18"/>
                      <w:szCs w:val="18"/>
                    </w:rPr>
                    <w:t>выписка с каналов дистанционного обслуживания кредитной организации</w:t>
                  </w:r>
                  <w:r w:rsidRPr="00D3704B">
                    <w:rPr>
                      <w:rFonts w:ascii="Arial" w:hAnsi="Arial" w:cs="Arial"/>
                      <w:i/>
                      <w:iCs/>
                      <w:color w:val="000000"/>
                      <w:sz w:val="20"/>
                      <w:szCs w:val="20"/>
                    </w:rPr>
                    <w:t xml:space="preserve"> </w:t>
                  </w:r>
                </w:p>
              </w:tc>
            </w:tr>
            <w:tr w:rsidR="009D1253" w:rsidRPr="00D3704B" w14:paraId="26DB10AD" w14:textId="77777777" w:rsidTr="009D1253">
              <w:tc>
                <w:tcPr>
                  <w:tcW w:w="2096" w:type="dxa"/>
                </w:tcPr>
                <w:p w14:paraId="76C91FC2" w14:textId="77777777" w:rsidR="009D1253" w:rsidRPr="00D3704B" w:rsidRDefault="009D1253" w:rsidP="009D1253">
                  <w:pPr>
                    <w:autoSpaceDE w:val="0"/>
                    <w:autoSpaceDN w:val="0"/>
                    <w:adjustRightInd w:val="0"/>
                    <w:rPr>
                      <w:rFonts w:ascii="Tahoma" w:hAnsi="Tahoma" w:cs="Tahoma"/>
                      <w:sz w:val="20"/>
                      <w:szCs w:val="18"/>
                    </w:rPr>
                  </w:pPr>
                  <w:r w:rsidRPr="00D3704B">
                    <w:rPr>
                      <w:rFonts w:ascii="Tahoma" w:hAnsi="Tahoma" w:cs="Tahoma"/>
                      <w:sz w:val="20"/>
                      <w:szCs w:val="18"/>
                    </w:rPr>
                    <w:t>Предпринимательская деятельность без образования юридического лица / частная практика</w:t>
                  </w:r>
                </w:p>
              </w:tc>
              <w:tc>
                <w:tcPr>
                  <w:tcW w:w="8364" w:type="dxa"/>
                  <w:shd w:val="clear" w:color="auto" w:fill="auto"/>
                </w:tcPr>
                <w:p w14:paraId="1CD44832" w14:textId="77777777" w:rsidR="009D1253" w:rsidRPr="00D3704B" w:rsidRDefault="009D1253" w:rsidP="009D1253">
                  <w:pPr>
                    <w:tabs>
                      <w:tab w:val="left" w:pos="457"/>
                    </w:tabs>
                    <w:autoSpaceDE w:val="0"/>
                    <w:autoSpaceDN w:val="0"/>
                    <w:adjustRightInd w:val="0"/>
                    <w:ind w:left="457" w:hanging="425"/>
                    <w:rPr>
                      <w:rFonts w:ascii="Tahoma" w:hAnsi="Tahoma" w:cs="Tahoma"/>
                      <w:sz w:val="20"/>
                      <w:szCs w:val="18"/>
                    </w:rPr>
                  </w:pPr>
                  <w:r w:rsidRPr="00D3704B">
                    <w:rPr>
                      <w:rFonts w:ascii="Tahoma" w:hAnsi="Tahoma" w:cs="Tahoma"/>
                      <w:sz w:val="20"/>
                      <w:szCs w:val="18"/>
                    </w:rPr>
                    <w:t xml:space="preserve">Один или совокупность из следующих документов*: </w:t>
                  </w:r>
                </w:p>
                <w:p w14:paraId="16E25D3D" w14:textId="77777777" w:rsidR="009D1253" w:rsidRPr="00D3704B" w:rsidRDefault="009D1253" w:rsidP="00B460F9">
                  <w:pPr>
                    <w:numPr>
                      <w:ilvl w:val="0"/>
                      <w:numId w:val="176"/>
                    </w:numPr>
                    <w:tabs>
                      <w:tab w:val="num" w:pos="360"/>
                      <w:tab w:val="left" w:pos="457"/>
                    </w:tabs>
                    <w:autoSpaceDE w:val="0"/>
                    <w:autoSpaceDN w:val="0"/>
                    <w:adjustRightInd w:val="0"/>
                    <w:rPr>
                      <w:rFonts w:ascii="Tahoma" w:hAnsi="Tahoma" w:cs="Tahoma"/>
                      <w:sz w:val="20"/>
                      <w:szCs w:val="18"/>
                    </w:rPr>
                  </w:pPr>
                  <w:r w:rsidRPr="00D3704B">
                    <w:rPr>
                      <w:rFonts w:ascii="Tahoma" w:hAnsi="Tahoma" w:cs="Tahoma"/>
                      <w:sz w:val="20"/>
                      <w:szCs w:val="18"/>
                    </w:rPr>
                    <w:t>Налоговая декларация с копиями квитанций (платежных поручений) об уплате налогов за налоговые периоды, соответствующие периоду расчета среднемесячного дохода</w:t>
                  </w:r>
                </w:p>
                <w:p w14:paraId="051FB40C" w14:textId="77777777" w:rsidR="009D1253" w:rsidRPr="00D3704B" w:rsidRDefault="009D1253" w:rsidP="00B460F9">
                  <w:pPr>
                    <w:numPr>
                      <w:ilvl w:val="0"/>
                      <w:numId w:val="176"/>
                    </w:numPr>
                    <w:tabs>
                      <w:tab w:val="num" w:pos="360"/>
                      <w:tab w:val="left" w:pos="457"/>
                    </w:tabs>
                    <w:autoSpaceDE w:val="0"/>
                    <w:autoSpaceDN w:val="0"/>
                    <w:adjustRightInd w:val="0"/>
                    <w:rPr>
                      <w:rFonts w:ascii="Tahoma" w:hAnsi="Tahoma" w:cs="Tahoma"/>
                      <w:sz w:val="20"/>
                      <w:szCs w:val="18"/>
                    </w:rPr>
                  </w:pPr>
                  <w:r w:rsidRPr="00D3704B">
                    <w:rPr>
                      <w:rFonts w:ascii="Tahoma" w:hAnsi="Tahoma" w:cs="Tahoma"/>
                      <w:sz w:val="20"/>
                      <w:szCs w:val="18"/>
                    </w:rPr>
                    <w:t>Книга учета доходов и расходов и хозяйственных операций ИП</w:t>
                  </w:r>
                </w:p>
                <w:p w14:paraId="2C4ADD65" w14:textId="77777777" w:rsidR="009D1253" w:rsidRPr="00D3704B" w:rsidRDefault="009D1253" w:rsidP="00B460F9">
                  <w:pPr>
                    <w:numPr>
                      <w:ilvl w:val="0"/>
                      <w:numId w:val="176"/>
                    </w:numPr>
                    <w:tabs>
                      <w:tab w:val="num" w:pos="360"/>
                      <w:tab w:val="left" w:pos="457"/>
                    </w:tabs>
                    <w:autoSpaceDE w:val="0"/>
                    <w:autoSpaceDN w:val="0"/>
                    <w:adjustRightInd w:val="0"/>
                    <w:rPr>
                      <w:rFonts w:ascii="Tahoma" w:hAnsi="Tahoma" w:cs="Tahoma"/>
                      <w:sz w:val="20"/>
                      <w:szCs w:val="18"/>
                    </w:rPr>
                  </w:pPr>
                  <w:r w:rsidRPr="00D3704B">
                    <w:rPr>
                      <w:rFonts w:ascii="Tahoma" w:hAnsi="Tahoma" w:cs="Tahoma"/>
                      <w:sz w:val="20"/>
                      <w:szCs w:val="18"/>
                    </w:rPr>
                    <w:t xml:space="preserve">Выписки по счетам ИП, в т.ч. сформированные из мобильного приложения, заверенные кредитной организацией (формат </w:t>
                  </w:r>
                  <w:r w:rsidRPr="00D3704B">
                    <w:rPr>
                      <w:rFonts w:ascii="Tahoma" w:hAnsi="Tahoma" w:cs="Tahoma"/>
                      <w:sz w:val="20"/>
                      <w:szCs w:val="18"/>
                      <w:lang w:val="en-US"/>
                    </w:rPr>
                    <w:t>pdf</w:t>
                  </w:r>
                  <w:r w:rsidRPr="00D3704B">
                    <w:rPr>
                      <w:rFonts w:ascii="Tahoma" w:hAnsi="Tahoma" w:cs="Tahoma"/>
                      <w:sz w:val="20"/>
                      <w:szCs w:val="18"/>
                    </w:rPr>
                    <w:t>+</w:t>
                  </w:r>
                  <w:r w:rsidRPr="00D3704B">
                    <w:rPr>
                      <w:rFonts w:ascii="Tahoma" w:hAnsi="Tahoma" w:cs="Tahoma"/>
                      <w:sz w:val="20"/>
                      <w:szCs w:val="18"/>
                      <w:lang w:val="en-US"/>
                    </w:rPr>
                    <w:t>excel</w:t>
                  </w:r>
                  <w:r w:rsidRPr="00D3704B">
                    <w:rPr>
                      <w:rFonts w:ascii="Tahoma" w:hAnsi="Tahoma" w:cs="Tahoma"/>
                      <w:sz w:val="20"/>
                      <w:szCs w:val="18"/>
                    </w:rPr>
                    <w:t>)</w:t>
                  </w:r>
                </w:p>
                <w:p w14:paraId="4F1C2589" w14:textId="77777777" w:rsidR="009D1253" w:rsidRPr="00D3704B" w:rsidRDefault="009D1253" w:rsidP="00B460F9">
                  <w:pPr>
                    <w:numPr>
                      <w:ilvl w:val="0"/>
                      <w:numId w:val="176"/>
                    </w:numPr>
                    <w:tabs>
                      <w:tab w:val="num" w:pos="360"/>
                      <w:tab w:val="left" w:pos="457"/>
                    </w:tabs>
                    <w:autoSpaceDE w:val="0"/>
                    <w:autoSpaceDN w:val="0"/>
                    <w:adjustRightInd w:val="0"/>
                    <w:rPr>
                      <w:rFonts w:ascii="Tahoma" w:hAnsi="Tahoma" w:cs="Tahoma"/>
                      <w:sz w:val="20"/>
                      <w:szCs w:val="18"/>
                    </w:rPr>
                  </w:pPr>
                  <w:r w:rsidRPr="00D3704B">
                    <w:rPr>
                      <w:rFonts w:ascii="Tahoma" w:hAnsi="Tahoma" w:cs="Tahoma"/>
                      <w:sz w:val="20"/>
                      <w:szCs w:val="18"/>
                    </w:rPr>
                    <w:t>Для лиц, применяющих специальный налоговый режим «Налог на профессиональный доход» (самозанятые граждане):</w:t>
                  </w:r>
                </w:p>
                <w:p w14:paraId="05D8DB4E" w14:textId="77777777" w:rsidR="009D1253" w:rsidRPr="00D3704B" w:rsidRDefault="009D1253" w:rsidP="009D1253">
                  <w:pPr>
                    <w:tabs>
                      <w:tab w:val="left" w:pos="457"/>
                    </w:tabs>
                    <w:autoSpaceDE w:val="0"/>
                    <w:autoSpaceDN w:val="0"/>
                    <w:adjustRightInd w:val="0"/>
                    <w:ind w:left="32"/>
                    <w:rPr>
                      <w:rFonts w:ascii="Tahoma" w:hAnsi="Tahoma" w:cs="Tahoma"/>
                      <w:sz w:val="20"/>
                      <w:szCs w:val="18"/>
                    </w:rPr>
                  </w:pPr>
                  <w:r w:rsidRPr="00D3704B">
                    <w:rPr>
                      <w:rFonts w:ascii="Tahoma" w:hAnsi="Tahoma" w:cs="Tahoma"/>
                      <w:sz w:val="20"/>
                      <w:szCs w:val="18"/>
                    </w:rPr>
                    <w:t>4.1. справка о постановке на учет (снятии с учета) физического лица в качестве плательщика налога на профессиональный доход (КНД 1122035)</w:t>
                  </w:r>
                </w:p>
                <w:p w14:paraId="6B61ED57" w14:textId="77777777" w:rsidR="009D1253" w:rsidRPr="00D3704B" w:rsidRDefault="009D1253" w:rsidP="009D1253">
                  <w:pPr>
                    <w:tabs>
                      <w:tab w:val="left" w:pos="457"/>
                    </w:tabs>
                    <w:autoSpaceDE w:val="0"/>
                    <w:autoSpaceDN w:val="0"/>
                    <w:adjustRightInd w:val="0"/>
                    <w:rPr>
                      <w:rFonts w:ascii="Tahoma" w:hAnsi="Tahoma" w:cs="Tahoma"/>
                      <w:sz w:val="20"/>
                      <w:szCs w:val="18"/>
                    </w:rPr>
                  </w:pPr>
                  <w:r w:rsidRPr="00D3704B">
                    <w:rPr>
                      <w:rFonts w:ascii="Tahoma" w:hAnsi="Tahoma" w:cs="Tahoma"/>
                      <w:sz w:val="20"/>
                      <w:szCs w:val="18"/>
                    </w:rPr>
                    <w:t>4.2. справка о состоянии расчетов (доходах) по налогу на профессиональный доход (КНД 1122036)</w:t>
                  </w:r>
                </w:p>
              </w:tc>
            </w:tr>
            <w:tr w:rsidR="009D1253" w:rsidRPr="00D3704B" w14:paraId="7BD54A72" w14:textId="77777777" w:rsidTr="009D1253">
              <w:tc>
                <w:tcPr>
                  <w:tcW w:w="2096" w:type="dxa"/>
                </w:tcPr>
                <w:p w14:paraId="3D1B903E" w14:textId="77777777" w:rsidR="009D1253" w:rsidRPr="00D3704B" w:rsidRDefault="009D1253" w:rsidP="009D1253">
                  <w:pPr>
                    <w:autoSpaceDE w:val="0"/>
                    <w:autoSpaceDN w:val="0"/>
                    <w:adjustRightInd w:val="0"/>
                    <w:rPr>
                      <w:rFonts w:ascii="Tahoma" w:hAnsi="Tahoma" w:cs="Tahoma"/>
                      <w:sz w:val="20"/>
                      <w:szCs w:val="18"/>
                    </w:rPr>
                  </w:pPr>
                  <w:r w:rsidRPr="00D3704B">
                    <w:rPr>
                      <w:rFonts w:ascii="Tahoma" w:hAnsi="Tahoma" w:cs="Tahoma"/>
                      <w:sz w:val="20"/>
                      <w:szCs w:val="18"/>
                    </w:rPr>
                    <w:lastRenderedPageBreak/>
                    <w:t>Сдача в аренду помещения</w:t>
                  </w:r>
                </w:p>
              </w:tc>
              <w:tc>
                <w:tcPr>
                  <w:tcW w:w="8364" w:type="dxa"/>
                  <w:shd w:val="clear" w:color="auto" w:fill="auto"/>
                </w:tcPr>
                <w:p w14:paraId="65797ABB" w14:textId="77777777" w:rsidR="009D1253" w:rsidRPr="00D3704B" w:rsidRDefault="009D1253" w:rsidP="00B460F9">
                  <w:pPr>
                    <w:numPr>
                      <w:ilvl w:val="0"/>
                      <w:numId w:val="181"/>
                    </w:numPr>
                    <w:tabs>
                      <w:tab w:val="left" w:pos="457"/>
                    </w:tabs>
                    <w:autoSpaceDE w:val="0"/>
                    <w:autoSpaceDN w:val="0"/>
                    <w:adjustRightInd w:val="0"/>
                    <w:rPr>
                      <w:rFonts w:ascii="Tahoma" w:hAnsi="Tahoma" w:cs="Tahoma"/>
                      <w:sz w:val="20"/>
                      <w:szCs w:val="18"/>
                    </w:rPr>
                  </w:pPr>
                  <w:r w:rsidRPr="00D3704B">
                    <w:rPr>
                      <w:rFonts w:ascii="Tahoma" w:hAnsi="Tahoma" w:cs="Tahoma"/>
                      <w:sz w:val="20"/>
                      <w:szCs w:val="18"/>
                    </w:rPr>
                    <w:t xml:space="preserve">Документ, подтверждающий право собственности Заёмщика на помещение. </w:t>
                  </w:r>
                </w:p>
                <w:p w14:paraId="00663A78" w14:textId="77777777" w:rsidR="009D1253" w:rsidRPr="00D3704B" w:rsidRDefault="009D1253" w:rsidP="00B460F9">
                  <w:pPr>
                    <w:numPr>
                      <w:ilvl w:val="0"/>
                      <w:numId w:val="181"/>
                    </w:numPr>
                    <w:tabs>
                      <w:tab w:val="left" w:pos="457"/>
                    </w:tabs>
                    <w:autoSpaceDE w:val="0"/>
                    <w:autoSpaceDN w:val="0"/>
                    <w:adjustRightInd w:val="0"/>
                    <w:ind w:left="457" w:hanging="425"/>
                    <w:rPr>
                      <w:rFonts w:ascii="Tahoma" w:hAnsi="Tahoma" w:cs="Tahoma"/>
                      <w:sz w:val="20"/>
                      <w:szCs w:val="18"/>
                    </w:rPr>
                  </w:pPr>
                  <w:r w:rsidRPr="00D3704B">
                    <w:rPr>
                      <w:rFonts w:ascii="Tahoma" w:hAnsi="Tahoma" w:cs="Tahoma"/>
                      <w:sz w:val="20"/>
                      <w:szCs w:val="18"/>
                    </w:rPr>
                    <w:t>Договор аренды помещения</w:t>
                  </w:r>
                </w:p>
                <w:p w14:paraId="6CDDBB99" w14:textId="77777777" w:rsidR="009D1253" w:rsidRPr="00D3704B" w:rsidRDefault="009D1253" w:rsidP="00B460F9">
                  <w:pPr>
                    <w:numPr>
                      <w:ilvl w:val="0"/>
                      <w:numId w:val="181"/>
                    </w:numPr>
                    <w:tabs>
                      <w:tab w:val="left" w:pos="457"/>
                    </w:tabs>
                    <w:autoSpaceDE w:val="0"/>
                    <w:autoSpaceDN w:val="0"/>
                    <w:adjustRightInd w:val="0"/>
                    <w:ind w:left="457" w:hanging="425"/>
                    <w:rPr>
                      <w:rFonts w:ascii="Tahoma" w:hAnsi="Tahoma" w:cs="Tahoma"/>
                      <w:sz w:val="20"/>
                      <w:szCs w:val="18"/>
                    </w:rPr>
                  </w:pPr>
                  <w:r w:rsidRPr="00D3704B">
                    <w:rPr>
                      <w:rFonts w:ascii="Tahoma" w:hAnsi="Tahoma" w:cs="Tahoma"/>
                      <w:sz w:val="20"/>
                      <w:szCs w:val="18"/>
                    </w:rPr>
                    <w:t>Выписка со счета, выданная кредитными организациями, на который осуществляются регулярные выплаты Заёмщику доходов от сдачи внаем (в аренду) недвижимого имущества (при условии подтверждения права собственности (владения) этим имуществом), в т.ч. сформированная из мобильного Банка</w:t>
                  </w:r>
                </w:p>
                <w:p w14:paraId="1172CAA8" w14:textId="77777777" w:rsidR="009D1253" w:rsidRPr="00D3704B" w:rsidRDefault="009D1253" w:rsidP="00B460F9">
                  <w:pPr>
                    <w:numPr>
                      <w:ilvl w:val="0"/>
                      <w:numId w:val="181"/>
                    </w:numPr>
                    <w:tabs>
                      <w:tab w:val="left" w:pos="457"/>
                    </w:tabs>
                    <w:autoSpaceDE w:val="0"/>
                    <w:autoSpaceDN w:val="0"/>
                    <w:adjustRightInd w:val="0"/>
                    <w:ind w:left="457" w:hanging="425"/>
                    <w:rPr>
                      <w:rFonts w:ascii="Tahoma" w:hAnsi="Tahoma" w:cs="Tahoma"/>
                      <w:sz w:val="20"/>
                      <w:szCs w:val="18"/>
                    </w:rPr>
                  </w:pPr>
                  <w:r w:rsidRPr="00D3704B">
                    <w:rPr>
                      <w:rFonts w:ascii="Tahoma" w:hAnsi="Tahoma" w:cs="Tahoma"/>
                      <w:sz w:val="20"/>
                      <w:szCs w:val="18"/>
                    </w:rPr>
                    <w:t>Копия налоговой декларации по налогу на доходы физических лиц (форма 3-НДФЛ) и копии платежных документов, подтверждающих уплату налогов и сборов по договорам аренды/найма за последний налоговый период</w:t>
                  </w:r>
                </w:p>
              </w:tc>
            </w:tr>
            <w:tr w:rsidR="009D1253" w:rsidRPr="00D3704B" w14:paraId="25D1B751" w14:textId="77777777" w:rsidTr="009D1253">
              <w:tc>
                <w:tcPr>
                  <w:tcW w:w="2096" w:type="dxa"/>
                </w:tcPr>
                <w:p w14:paraId="4095F931" w14:textId="77777777" w:rsidR="009D1253" w:rsidRPr="00D3704B" w:rsidRDefault="009D1253" w:rsidP="009D1253">
                  <w:pPr>
                    <w:autoSpaceDE w:val="0"/>
                    <w:autoSpaceDN w:val="0"/>
                    <w:adjustRightInd w:val="0"/>
                    <w:rPr>
                      <w:rFonts w:ascii="Tahoma" w:hAnsi="Tahoma" w:cs="Tahoma"/>
                      <w:sz w:val="20"/>
                      <w:szCs w:val="18"/>
                    </w:rPr>
                  </w:pPr>
                  <w:r w:rsidRPr="00D3704B">
                    <w:rPr>
                      <w:rFonts w:ascii="Tahoma" w:hAnsi="Tahoma" w:cs="Tahoma"/>
                      <w:sz w:val="20"/>
                      <w:szCs w:val="18"/>
                    </w:rPr>
                    <w:t>Вознаграждения по договорам гражданско-правового характера</w:t>
                  </w:r>
                </w:p>
              </w:tc>
              <w:tc>
                <w:tcPr>
                  <w:tcW w:w="8364" w:type="dxa"/>
                </w:tcPr>
                <w:p w14:paraId="5485975A" w14:textId="77777777" w:rsidR="009D1253" w:rsidRPr="00D3704B" w:rsidRDefault="009D1253" w:rsidP="00B460F9">
                  <w:pPr>
                    <w:numPr>
                      <w:ilvl w:val="0"/>
                      <w:numId w:val="182"/>
                    </w:numPr>
                    <w:tabs>
                      <w:tab w:val="left" w:pos="457"/>
                    </w:tabs>
                    <w:autoSpaceDE w:val="0"/>
                    <w:autoSpaceDN w:val="0"/>
                    <w:adjustRightInd w:val="0"/>
                    <w:rPr>
                      <w:rFonts w:ascii="Tahoma" w:hAnsi="Tahoma" w:cs="Tahoma"/>
                      <w:sz w:val="20"/>
                      <w:szCs w:val="18"/>
                    </w:rPr>
                  </w:pPr>
                  <w:r w:rsidRPr="00D3704B">
                    <w:rPr>
                      <w:rFonts w:ascii="Tahoma" w:hAnsi="Tahoma" w:cs="Tahoma"/>
                      <w:sz w:val="20"/>
                      <w:szCs w:val="18"/>
                    </w:rPr>
                    <w:t xml:space="preserve">Договор. </w:t>
                  </w:r>
                </w:p>
                <w:p w14:paraId="240C4DA2" w14:textId="77777777" w:rsidR="009D1253" w:rsidRPr="00D3704B" w:rsidRDefault="009D1253" w:rsidP="00B460F9">
                  <w:pPr>
                    <w:numPr>
                      <w:ilvl w:val="0"/>
                      <w:numId w:val="182"/>
                    </w:numPr>
                    <w:tabs>
                      <w:tab w:val="left" w:pos="457"/>
                    </w:tabs>
                    <w:autoSpaceDE w:val="0"/>
                    <w:autoSpaceDN w:val="0"/>
                    <w:adjustRightInd w:val="0"/>
                    <w:ind w:left="457" w:hanging="425"/>
                    <w:rPr>
                      <w:rFonts w:ascii="Tahoma" w:hAnsi="Tahoma" w:cs="Tahoma"/>
                      <w:sz w:val="20"/>
                      <w:szCs w:val="18"/>
                    </w:rPr>
                  </w:pPr>
                  <w:r w:rsidRPr="00D3704B">
                    <w:rPr>
                      <w:rFonts w:ascii="Tahoma" w:hAnsi="Tahoma" w:cs="Tahoma"/>
                      <w:sz w:val="20"/>
                      <w:szCs w:val="18"/>
                    </w:rPr>
                    <w:t>Один из следующих документов по выбору Заёмщика:</w:t>
                  </w:r>
                </w:p>
                <w:p w14:paraId="070B15F3" w14:textId="77777777" w:rsidR="009D1253" w:rsidRPr="00D3704B" w:rsidRDefault="009D1253" w:rsidP="00B460F9">
                  <w:pPr>
                    <w:numPr>
                      <w:ilvl w:val="1"/>
                      <w:numId w:val="182"/>
                    </w:numPr>
                    <w:tabs>
                      <w:tab w:val="left" w:pos="457"/>
                    </w:tabs>
                    <w:autoSpaceDE w:val="0"/>
                    <w:autoSpaceDN w:val="0"/>
                    <w:adjustRightInd w:val="0"/>
                    <w:ind w:left="457" w:hanging="425"/>
                    <w:rPr>
                      <w:rFonts w:ascii="Tahoma" w:hAnsi="Tahoma" w:cs="Tahoma"/>
                      <w:sz w:val="20"/>
                      <w:szCs w:val="18"/>
                    </w:rPr>
                  </w:pPr>
                  <w:r w:rsidRPr="00D3704B">
                    <w:rPr>
                      <w:rFonts w:ascii="Tahoma" w:hAnsi="Tahoma" w:cs="Tahoma"/>
                      <w:sz w:val="20"/>
                      <w:szCs w:val="18"/>
                    </w:rPr>
                    <w:t>копия налоговой декларации по форме 3-НДФЛ</w:t>
                  </w:r>
                </w:p>
                <w:p w14:paraId="4F55B370" w14:textId="77777777" w:rsidR="009D1253" w:rsidRPr="00D3704B" w:rsidRDefault="009D1253" w:rsidP="00B460F9">
                  <w:pPr>
                    <w:numPr>
                      <w:ilvl w:val="1"/>
                      <w:numId w:val="182"/>
                    </w:numPr>
                    <w:tabs>
                      <w:tab w:val="left" w:pos="457"/>
                    </w:tabs>
                    <w:autoSpaceDE w:val="0"/>
                    <w:autoSpaceDN w:val="0"/>
                    <w:adjustRightInd w:val="0"/>
                    <w:ind w:left="457" w:hanging="425"/>
                    <w:rPr>
                      <w:rFonts w:ascii="Tahoma" w:hAnsi="Tahoma" w:cs="Tahoma"/>
                      <w:sz w:val="20"/>
                      <w:szCs w:val="18"/>
                    </w:rPr>
                  </w:pPr>
                  <w:r w:rsidRPr="00D3704B">
                    <w:rPr>
                      <w:rFonts w:ascii="Tahoma" w:hAnsi="Tahoma" w:cs="Tahoma"/>
                      <w:sz w:val="20"/>
                      <w:szCs w:val="18"/>
                    </w:rPr>
                    <w:t>справка о доходах и суммах налога физического лица**</w:t>
                  </w:r>
                </w:p>
              </w:tc>
            </w:tr>
            <w:tr w:rsidR="009D1253" w:rsidRPr="00D3704B" w14:paraId="517D8BA9" w14:textId="77777777" w:rsidTr="009D1253">
              <w:tc>
                <w:tcPr>
                  <w:tcW w:w="2096" w:type="dxa"/>
                </w:tcPr>
                <w:p w14:paraId="797259EA" w14:textId="77777777" w:rsidR="009D1253" w:rsidRPr="00D3704B" w:rsidRDefault="009D1253" w:rsidP="009D1253">
                  <w:pPr>
                    <w:autoSpaceDE w:val="0"/>
                    <w:autoSpaceDN w:val="0"/>
                    <w:adjustRightInd w:val="0"/>
                    <w:rPr>
                      <w:rFonts w:ascii="Tahoma" w:hAnsi="Tahoma" w:cs="Tahoma"/>
                      <w:sz w:val="20"/>
                      <w:szCs w:val="18"/>
                    </w:rPr>
                  </w:pPr>
                  <w:r w:rsidRPr="00D3704B">
                    <w:rPr>
                      <w:rFonts w:ascii="Tahoma" w:hAnsi="Tahoma" w:cs="Tahoma"/>
                      <w:sz w:val="20"/>
                      <w:szCs w:val="18"/>
                    </w:rPr>
                    <w:t>Прочие виды (источники) дохода</w:t>
                  </w:r>
                </w:p>
              </w:tc>
              <w:tc>
                <w:tcPr>
                  <w:tcW w:w="8364" w:type="dxa"/>
                </w:tcPr>
                <w:p w14:paraId="32F06EC1" w14:textId="77777777" w:rsidR="009D1253" w:rsidRPr="00D3704B" w:rsidRDefault="009D1253" w:rsidP="00B460F9">
                  <w:pPr>
                    <w:numPr>
                      <w:ilvl w:val="0"/>
                      <w:numId w:val="176"/>
                    </w:numPr>
                    <w:tabs>
                      <w:tab w:val="num" w:pos="360"/>
                      <w:tab w:val="left" w:pos="457"/>
                    </w:tabs>
                    <w:autoSpaceDE w:val="0"/>
                    <w:autoSpaceDN w:val="0"/>
                    <w:adjustRightInd w:val="0"/>
                    <w:rPr>
                      <w:rFonts w:ascii="Tahoma" w:hAnsi="Tahoma" w:cs="Tahoma"/>
                      <w:sz w:val="20"/>
                      <w:szCs w:val="18"/>
                    </w:rPr>
                  </w:pPr>
                  <w:r w:rsidRPr="00D3704B">
                    <w:rPr>
                      <w:rFonts w:ascii="Tahoma" w:hAnsi="Tahoma" w:cs="Tahoma"/>
                      <w:sz w:val="20"/>
                      <w:szCs w:val="18"/>
                    </w:rPr>
                    <w:t>Справка о сумме ежемесячной денежной выплаты, ежемесячной денежной компенсации, ежемесячного дополнительного материального обеспечения, выданная государственным органом Заёмщику</w:t>
                  </w:r>
                </w:p>
                <w:p w14:paraId="4CD5A89F" w14:textId="77777777" w:rsidR="009D1253" w:rsidRPr="00D3704B" w:rsidRDefault="009D1253" w:rsidP="00B460F9">
                  <w:pPr>
                    <w:numPr>
                      <w:ilvl w:val="0"/>
                      <w:numId w:val="176"/>
                    </w:numPr>
                    <w:tabs>
                      <w:tab w:val="num" w:pos="360"/>
                      <w:tab w:val="left" w:pos="457"/>
                    </w:tabs>
                    <w:autoSpaceDE w:val="0"/>
                    <w:autoSpaceDN w:val="0"/>
                    <w:adjustRightInd w:val="0"/>
                    <w:rPr>
                      <w:rFonts w:ascii="Tahoma" w:hAnsi="Tahoma" w:cs="Tahoma"/>
                      <w:sz w:val="20"/>
                      <w:szCs w:val="18"/>
                    </w:rPr>
                  </w:pPr>
                  <w:r w:rsidRPr="00D3704B">
                    <w:rPr>
                      <w:rFonts w:ascii="Tahoma" w:hAnsi="Tahoma" w:cs="Tahoma"/>
                      <w:sz w:val="20"/>
                      <w:szCs w:val="18"/>
                    </w:rPr>
                    <w:t>Документ, содержащий сведения о доходах Заёмщика, выданные государственными (муниципальными) органами, учреждениями, организациями или предприятиями (включая документы, выданные должностными лицами Вооруженных Сил Российской Федерации и воинских формирований), а также физическими лицами, зарегистрированными в качестве индивидуальных предпринимателей</w:t>
                  </w:r>
                </w:p>
                <w:p w14:paraId="3BB2B2AE" w14:textId="77777777" w:rsidR="009D1253" w:rsidRPr="00D3704B" w:rsidRDefault="009D1253" w:rsidP="00B460F9">
                  <w:pPr>
                    <w:numPr>
                      <w:ilvl w:val="0"/>
                      <w:numId w:val="176"/>
                    </w:numPr>
                    <w:tabs>
                      <w:tab w:val="num" w:pos="360"/>
                      <w:tab w:val="left" w:pos="457"/>
                    </w:tabs>
                    <w:autoSpaceDE w:val="0"/>
                    <w:autoSpaceDN w:val="0"/>
                    <w:adjustRightInd w:val="0"/>
                    <w:rPr>
                      <w:rFonts w:ascii="Tahoma" w:hAnsi="Tahoma" w:cs="Tahoma"/>
                      <w:sz w:val="20"/>
                      <w:szCs w:val="18"/>
                    </w:rPr>
                  </w:pPr>
                  <w:r w:rsidRPr="00D3704B">
                    <w:rPr>
                      <w:rFonts w:ascii="Tahoma" w:hAnsi="Tahoma" w:cs="Tahoma"/>
                      <w:sz w:val="20"/>
                      <w:szCs w:val="18"/>
                    </w:rPr>
                    <w:t>Выписка со счета, выданная кредитными организациями, на который осуществляются социальные выплаты, а также иные регулярные выплаты Клиенту, в т.ч. сформированная из мобильного/интернет банка</w:t>
                  </w:r>
                </w:p>
              </w:tc>
            </w:tr>
          </w:tbl>
          <w:p w14:paraId="5863B30D" w14:textId="77777777" w:rsidR="009D1253" w:rsidRPr="00D3704B" w:rsidRDefault="009D1253" w:rsidP="009D1253">
            <w:pPr>
              <w:autoSpaceDE w:val="0"/>
              <w:autoSpaceDN w:val="0"/>
              <w:adjustRightInd w:val="0"/>
              <w:jc w:val="both"/>
              <w:rPr>
                <w:rFonts w:ascii="Tahoma" w:hAnsi="Tahoma" w:cs="Tahoma"/>
                <w:sz w:val="20"/>
                <w:szCs w:val="18"/>
                <w:lang w:eastAsia="en-US"/>
              </w:rPr>
            </w:pPr>
            <w:r w:rsidRPr="00D3704B">
              <w:rPr>
                <w:rFonts w:ascii="Tahoma" w:hAnsi="Tahoma" w:cs="Tahoma"/>
                <w:sz w:val="20"/>
                <w:szCs w:val="18"/>
                <w:lang w:eastAsia="en-US"/>
              </w:rPr>
              <w:t>*Документ должен содержать информацию о доходе за последние 12 (двенадцать) месяцев. В случае если стаж работы составляет менее 12 месяцев, документ предоставляется за фактическое количество отработанных месяцев, но не менее 3 месяцев</w:t>
            </w:r>
          </w:p>
          <w:p w14:paraId="03D8DFB4" w14:textId="77777777" w:rsidR="009D1253" w:rsidRPr="00D3704B" w:rsidRDefault="009D1253" w:rsidP="009D1253">
            <w:pPr>
              <w:autoSpaceDE w:val="0"/>
              <w:autoSpaceDN w:val="0"/>
              <w:adjustRightInd w:val="0"/>
              <w:jc w:val="both"/>
              <w:rPr>
                <w:rFonts w:ascii="Tahoma" w:hAnsi="Tahoma" w:cs="Tahoma"/>
                <w:sz w:val="20"/>
                <w:szCs w:val="18"/>
                <w:lang w:eastAsia="en-US"/>
              </w:rPr>
            </w:pPr>
            <w:r w:rsidRPr="00D3704B">
              <w:rPr>
                <w:rFonts w:ascii="Tahoma" w:hAnsi="Tahoma" w:cs="Tahoma"/>
                <w:sz w:val="20"/>
                <w:szCs w:val="18"/>
                <w:lang w:eastAsia="en-US"/>
              </w:rPr>
              <w:t>** Документ, подтверждающий доход должен содержать в составе реквизитов ИНН работодателя/контрагента</w:t>
            </w:r>
          </w:p>
          <w:p w14:paraId="320AB809" w14:textId="77777777" w:rsidR="009D1253" w:rsidRPr="00D3704B" w:rsidRDefault="009D1253" w:rsidP="009D1253">
            <w:pPr>
              <w:autoSpaceDE w:val="0"/>
              <w:autoSpaceDN w:val="0"/>
              <w:adjustRightInd w:val="0"/>
              <w:jc w:val="both"/>
              <w:rPr>
                <w:rFonts w:ascii="Tahoma" w:hAnsi="Tahoma" w:cs="Tahoma"/>
                <w:sz w:val="20"/>
                <w:szCs w:val="18"/>
                <w:lang w:eastAsia="en-US"/>
              </w:rPr>
            </w:pPr>
            <w:r w:rsidRPr="00D3704B">
              <w:rPr>
                <w:rFonts w:ascii="Tahoma" w:hAnsi="Tahoma" w:cs="Tahoma"/>
                <w:sz w:val="20"/>
                <w:szCs w:val="18"/>
                <w:lang w:eastAsia="en-US"/>
              </w:rPr>
              <w:t>***Банк получает документ в электронной форме из государственных информационных систем, если Заемщиком выражено согласие в соответствии с законодательством Российской Федерации на запрос выписки по индивидуальному лицевому счету Заемщика, который ведется в Социальном Фонде Российской Федерации</w:t>
            </w:r>
          </w:p>
          <w:p w14:paraId="6042FB39" w14:textId="77777777" w:rsidR="009D1253" w:rsidRPr="00D3704B" w:rsidRDefault="009D1253" w:rsidP="009D1253">
            <w:pPr>
              <w:autoSpaceDE w:val="0"/>
              <w:autoSpaceDN w:val="0"/>
              <w:adjustRightInd w:val="0"/>
              <w:jc w:val="both"/>
              <w:rPr>
                <w:rFonts w:ascii="Tahoma" w:hAnsi="Tahoma" w:cs="Tahoma"/>
                <w:sz w:val="20"/>
                <w:szCs w:val="18"/>
                <w:lang w:eastAsia="en-US"/>
              </w:rPr>
            </w:pPr>
            <w:r w:rsidRPr="00D3704B">
              <w:rPr>
                <w:rFonts w:ascii="Tahoma" w:hAnsi="Tahoma" w:cs="Tahoma"/>
                <w:sz w:val="20"/>
                <w:szCs w:val="18"/>
                <w:lang w:eastAsia="en-US"/>
              </w:rPr>
              <w:t>****Для учета дохода в виде пенсии допускается принимать документ, содержащий сведения о доходе за 1 (один) календарный месяц, принимаются выплаты, которые были получены (начислены или назначены): страховой и (или) накопительной пенсионных выплат (за исключением суммы единовременных пенсионных выплат), а также дополнительных ежемесячных денежных выплат, компенсаций и материального обеспечения (за исключением набора социальных услуг и федеральной социальной доплаты к пенсии, если они отдельно указаны в подтверждающем документе, предусмотренном в настоящем перечне подтверждающих документов)</w:t>
            </w:r>
            <w:r w:rsidRPr="00D3704B">
              <w:rPr>
                <w:rFonts w:ascii="Tahoma" w:eastAsiaTheme="minorHAnsi" w:hAnsi="Tahoma" w:cs="Tahoma"/>
                <w:strike/>
                <w:sz w:val="20"/>
                <w:szCs w:val="18"/>
                <w:lang w:eastAsia="en-US"/>
              </w:rPr>
              <w:fldChar w:fldCharType="begin"/>
            </w:r>
            <w:r w:rsidRPr="00D3704B">
              <w:rPr>
                <w:rFonts w:ascii="Tahoma" w:eastAsiaTheme="minorHAnsi" w:hAnsi="Tahoma" w:cs="Tahoma"/>
                <w:strike/>
                <w:sz w:val="20"/>
                <w:szCs w:val="18"/>
                <w:lang w:eastAsia="en-US"/>
              </w:rPr>
              <w:instrText xml:space="preserve"> DOCVARIABLE  ATB_ADDRESS_REG </w:instrText>
            </w:r>
            <w:r w:rsidRPr="00D3704B">
              <w:rPr>
                <w:rFonts w:ascii="Tahoma" w:eastAsiaTheme="minorHAnsi" w:hAnsi="Tahoma" w:cs="Tahoma"/>
                <w:strike/>
                <w:sz w:val="20"/>
                <w:szCs w:val="18"/>
                <w:lang w:eastAsia="en-US"/>
              </w:rPr>
              <w:fldChar w:fldCharType="end"/>
            </w:r>
          </w:p>
        </w:tc>
      </w:tr>
      <w:tr w:rsidR="009D1253" w:rsidRPr="00D3704B" w14:paraId="44E87674"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540"/>
        </w:trPr>
        <w:tc>
          <w:tcPr>
            <w:tcW w:w="1474" w:type="pct"/>
            <w:tcBorders>
              <w:top w:val="single" w:sz="4" w:space="0" w:color="auto"/>
              <w:left w:val="single" w:sz="8" w:space="0" w:color="auto"/>
              <w:bottom w:val="single" w:sz="4" w:space="0" w:color="auto"/>
              <w:right w:val="single" w:sz="4" w:space="0" w:color="auto"/>
            </w:tcBorders>
            <w:vAlign w:val="center"/>
          </w:tcPr>
          <w:p w14:paraId="6D404109"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lastRenderedPageBreak/>
              <w:t>Требования к приобретаемым ТС</w:t>
            </w:r>
          </w:p>
        </w:tc>
        <w:tc>
          <w:tcPr>
            <w:tcW w:w="3526" w:type="pct"/>
            <w:tcBorders>
              <w:top w:val="single" w:sz="4" w:space="0" w:color="auto"/>
              <w:left w:val="nil"/>
              <w:bottom w:val="single" w:sz="4" w:space="0" w:color="auto"/>
              <w:right w:val="single" w:sz="8" w:space="0" w:color="000000"/>
            </w:tcBorders>
            <w:shd w:val="clear" w:color="auto" w:fill="auto"/>
            <w:noWrap/>
            <w:vAlign w:val="center"/>
          </w:tcPr>
          <w:p w14:paraId="550BE829" w14:textId="77777777" w:rsidR="009D1253" w:rsidRPr="00D3704B" w:rsidRDefault="009D1253" w:rsidP="009D1253">
            <w:pPr>
              <w:tabs>
                <w:tab w:val="left" w:pos="0"/>
                <w:tab w:val="left" w:pos="176"/>
              </w:tabs>
              <w:autoSpaceDE w:val="0"/>
              <w:autoSpaceDN w:val="0"/>
              <w:jc w:val="both"/>
              <w:rPr>
                <w:rFonts w:ascii="Tahoma" w:hAnsi="Tahoma" w:cs="Tahoma"/>
                <w:b/>
                <w:sz w:val="20"/>
                <w:szCs w:val="20"/>
                <w:lang w:eastAsia="en-US"/>
              </w:rPr>
            </w:pPr>
            <w:r w:rsidRPr="00D3704B">
              <w:rPr>
                <w:rFonts w:ascii="Tahoma" w:hAnsi="Tahoma" w:cs="Tahoma"/>
                <w:b/>
                <w:sz w:val="20"/>
                <w:szCs w:val="20"/>
                <w:lang w:eastAsia="en-US"/>
              </w:rPr>
              <w:t>Требования к новому ТС (одновременное выполнение условий):</w:t>
            </w:r>
          </w:p>
          <w:p w14:paraId="44D64A55" w14:textId="77777777" w:rsidR="009D1253" w:rsidRPr="00D3704B" w:rsidRDefault="009D1253" w:rsidP="009D1253">
            <w:pPr>
              <w:tabs>
                <w:tab w:val="left" w:pos="6979"/>
              </w:tabs>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 приобретаемое новое ТС на дату выдачи Кредита не должно находиться на регистрационном учете в соответствии с законодательством РФ (за исключением случаев постановки на учет юридическим лицом ТС, используемых для тест-драйва);</w:t>
            </w:r>
          </w:p>
          <w:p w14:paraId="6BEE65C2" w14:textId="77777777" w:rsidR="009D1253" w:rsidRPr="00D3704B" w:rsidRDefault="009D1253" w:rsidP="009D1253">
            <w:pPr>
              <w:tabs>
                <w:tab w:val="left" w:pos="6979"/>
              </w:tabs>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 по ТС имеется выписка из ЭПТС* в статусе «действующий» / «незавершенный»;</w:t>
            </w:r>
          </w:p>
          <w:p w14:paraId="33C2BD3C" w14:textId="77777777" w:rsidR="009D1253" w:rsidRPr="00D3704B" w:rsidRDefault="009D1253" w:rsidP="009D1253">
            <w:pPr>
              <w:tabs>
                <w:tab w:val="left" w:pos="6979"/>
              </w:tabs>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 пробег ТС должен быть менее 1 000 км (или 5 000 км при условии предоставления информационного письма дилером об использовании данного ТС для тест-драйва);</w:t>
            </w:r>
          </w:p>
          <w:p w14:paraId="50E28714" w14:textId="77777777" w:rsidR="009D1253" w:rsidRPr="00D3704B" w:rsidRDefault="009D1253" w:rsidP="009D1253">
            <w:pPr>
              <w:tabs>
                <w:tab w:val="left" w:pos="6979"/>
              </w:tabs>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 по Кредитам, одобренным на дату ранее, чем «01» июля текущего года, год изготовления ТС отличается от года оформления Кредита не более, чем на 2 года; одобренным с «01» июля текущего года, год изготовления ТС отличается от года оформления Кредита не более, чем на 1 год.</w:t>
            </w:r>
          </w:p>
          <w:p w14:paraId="1D64F3C4" w14:textId="77777777" w:rsidR="009D1253" w:rsidRPr="00D3704B" w:rsidRDefault="009D1253" w:rsidP="009D1253">
            <w:pPr>
              <w:tabs>
                <w:tab w:val="left" w:pos="6979"/>
              </w:tabs>
              <w:jc w:val="both"/>
              <w:rPr>
                <w:rFonts w:ascii="Tahoma" w:eastAsiaTheme="minorHAnsi" w:hAnsi="Tahoma" w:cs="Tahoma"/>
                <w:b/>
                <w:sz w:val="18"/>
                <w:szCs w:val="18"/>
                <w:lang w:eastAsia="en-US"/>
              </w:rPr>
            </w:pPr>
            <w:r w:rsidRPr="00D3704B">
              <w:rPr>
                <w:rFonts w:ascii="Tahoma" w:eastAsiaTheme="minorHAnsi" w:hAnsi="Tahoma" w:cs="Tahoma"/>
                <w:sz w:val="18"/>
                <w:szCs w:val="20"/>
                <w:lang w:eastAsia="en-US"/>
              </w:rPr>
              <w:t>*не требуется при приобретении за счет кредитных средств нового ТС марки: Honda, Lada, Voyah, Omoda, Livan, Jetour, Jaecoo, Evolute, Москвич, Changan, Haval, SkyWell</w:t>
            </w:r>
          </w:p>
        </w:tc>
      </w:tr>
      <w:tr w:rsidR="009D1253" w:rsidRPr="00D3704B" w14:paraId="39A939DD"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4" w:type="pct"/>
            <w:tcBorders>
              <w:top w:val="single" w:sz="4" w:space="0" w:color="auto"/>
              <w:left w:val="single" w:sz="8" w:space="0" w:color="auto"/>
              <w:bottom w:val="single" w:sz="4" w:space="0" w:color="auto"/>
              <w:right w:val="single" w:sz="4" w:space="0" w:color="auto"/>
            </w:tcBorders>
            <w:vAlign w:val="center"/>
          </w:tcPr>
          <w:p w14:paraId="25150839"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Способ предоставления Кредита</w:t>
            </w:r>
          </w:p>
        </w:tc>
        <w:tc>
          <w:tcPr>
            <w:tcW w:w="3526" w:type="pct"/>
            <w:tcBorders>
              <w:top w:val="single" w:sz="4" w:space="0" w:color="auto"/>
              <w:left w:val="nil"/>
              <w:bottom w:val="single" w:sz="4" w:space="0" w:color="auto"/>
              <w:right w:val="single" w:sz="8" w:space="0" w:color="000000"/>
            </w:tcBorders>
            <w:noWrap/>
            <w:vAlign w:val="center"/>
          </w:tcPr>
          <w:p w14:paraId="32E94282" w14:textId="77777777" w:rsidR="009D1253" w:rsidRPr="00D3704B" w:rsidRDefault="009D1253" w:rsidP="009D1253">
            <w:pPr>
              <w:widowControl w:val="0"/>
              <w:tabs>
                <w:tab w:val="left" w:pos="426"/>
                <w:tab w:val="left" w:pos="851"/>
              </w:tabs>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Перевод денежных средств на ТБС Заёмщика, открытый в Банке, для использования Заёмщиком на цели использования Кредита, указанные в  настоящем документе.</w:t>
            </w:r>
          </w:p>
        </w:tc>
      </w:tr>
      <w:tr w:rsidR="009D1253" w:rsidRPr="00D3704B" w14:paraId="0DE7658D" w14:textId="77777777" w:rsidTr="009D1253">
        <w:tblPrEx>
          <w:tblLook w:val="00A0" w:firstRow="1" w:lastRow="0" w:firstColumn="1" w:lastColumn="0" w:noHBand="0" w:noVBand="0"/>
        </w:tblPrEx>
        <w:trPr>
          <w:trHeight w:val="130"/>
        </w:trPr>
        <w:tc>
          <w:tcPr>
            <w:tcW w:w="1474" w:type="pct"/>
            <w:tcBorders>
              <w:top w:val="single" w:sz="4" w:space="0" w:color="auto"/>
              <w:left w:val="single" w:sz="8" w:space="0" w:color="auto"/>
              <w:bottom w:val="single" w:sz="4" w:space="0" w:color="auto"/>
              <w:right w:val="single" w:sz="4" w:space="0" w:color="auto"/>
            </w:tcBorders>
          </w:tcPr>
          <w:p w14:paraId="2C1D9573"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Информация о возможном увеличении суммы расходов Заемщика по сравнению с ожидаемой суммой расходов в рублях, в том числе при применении переменной процентной ставки, а также информация о том, что изменение курса иностранной валюты в прошлом не свидетельствует об изменении ее курса в будущем, и информация о повышенных рисках заемщика, получающего доходы в валюте, отличной от валюты Кредита</w:t>
            </w:r>
          </w:p>
        </w:tc>
        <w:tc>
          <w:tcPr>
            <w:tcW w:w="3526" w:type="pct"/>
            <w:tcBorders>
              <w:top w:val="single" w:sz="4" w:space="0" w:color="auto"/>
              <w:left w:val="nil"/>
              <w:bottom w:val="single" w:sz="4" w:space="0" w:color="auto"/>
              <w:right w:val="single" w:sz="8" w:space="0" w:color="000000"/>
            </w:tcBorders>
            <w:noWrap/>
            <w:vAlign w:val="center"/>
          </w:tcPr>
          <w:p w14:paraId="05FB1F2B" w14:textId="77777777" w:rsidR="009D1253" w:rsidRPr="00D3704B" w:rsidRDefault="009D1253" w:rsidP="009D1253">
            <w:pPr>
              <w:widowControl w:val="0"/>
              <w:tabs>
                <w:tab w:val="left" w:pos="426"/>
                <w:tab w:val="left" w:pos="851"/>
              </w:tabs>
              <w:jc w:val="both"/>
              <w:rPr>
                <w:rFonts w:ascii="Tahoma" w:eastAsiaTheme="minorHAnsi" w:hAnsi="Tahoma" w:cs="Tahoma"/>
                <w:sz w:val="20"/>
                <w:szCs w:val="20"/>
                <w:lang w:eastAsia="en-US"/>
              </w:rPr>
            </w:pPr>
            <w:r w:rsidRPr="00D3704B">
              <w:rPr>
                <w:rFonts w:asciiTheme="minorHAnsi" w:eastAsiaTheme="minorHAnsi" w:hAnsiTheme="minorHAnsi" w:cstheme="minorBidi"/>
                <w:sz w:val="22"/>
                <w:szCs w:val="22"/>
                <w:lang w:eastAsia="en-US"/>
              </w:rPr>
              <w:t xml:space="preserve"> </w:t>
            </w:r>
            <w:r w:rsidRPr="00D3704B">
              <w:rPr>
                <w:rFonts w:ascii="Tahoma" w:eastAsiaTheme="minorHAnsi" w:hAnsi="Tahoma" w:cs="Tahoma"/>
                <w:sz w:val="20"/>
                <w:szCs w:val="20"/>
                <w:lang w:eastAsia="en-US"/>
              </w:rPr>
              <w:t>Переменная процентная ставка не применяется в Договоре. Кредит предоставляется в рублях, вместе с тем, Заемщикам, получающим доход в иностранной валюте следует помнить, что изменение курса иностранной валюты в прошлом не свидетельствует об изменении ее курса в будущем, в связи с чем, такие Заемщики несут повышенные риски в связи с получением доходов в иностранной валюте.</w:t>
            </w:r>
          </w:p>
        </w:tc>
      </w:tr>
      <w:tr w:rsidR="009D1253" w:rsidRPr="00D3704B" w14:paraId="1B65CB11"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4" w:type="pct"/>
            <w:tcBorders>
              <w:top w:val="single" w:sz="4" w:space="0" w:color="auto"/>
              <w:left w:val="single" w:sz="8" w:space="0" w:color="auto"/>
              <w:bottom w:val="single" w:sz="4" w:space="0" w:color="auto"/>
              <w:right w:val="single" w:sz="4" w:space="0" w:color="auto"/>
            </w:tcBorders>
            <w:vAlign w:val="center"/>
          </w:tcPr>
          <w:p w14:paraId="012F9D28"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Иные договоры, требуемые для заключения или исполнения Договора</w:t>
            </w:r>
            <w:r w:rsidRPr="00D3704B">
              <w:rPr>
                <w:rFonts w:ascii="Tahoma" w:eastAsiaTheme="minorHAnsi" w:hAnsi="Tahoma" w:cs="Tahoma"/>
                <w:b/>
                <w:bCs/>
                <w:sz w:val="20"/>
                <w:szCs w:val="20"/>
                <w:lang w:eastAsia="en-US"/>
              </w:rPr>
              <w:t>, а также информация о возможности заемщика согласиться с заключением таких договоров и (или) приобретением таких услуг (работ, товаров) либо отказаться от них</w:t>
            </w:r>
          </w:p>
        </w:tc>
        <w:tc>
          <w:tcPr>
            <w:tcW w:w="3526" w:type="pct"/>
            <w:tcBorders>
              <w:top w:val="single" w:sz="4" w:space="0" w:color="auto"/>
              <w:left w:val="nil"/>
              <w:bottom w:val="single" w:sz="4" w:space="0" w:color="auto"/>
              <w:right w:val="single" w:sz="8" w:space="0" w:color="000000"/>
            </w:tcBorders>
            <w:noWrap/>
            <w:vAlign w:val="center"/>
          </w:tcPr>
          <w:p w14:paraId="1AACAD39" w14:textId="77777777" w:rsidR="009D1253" w:rsidRPr="00D3704B" w:rsidRDefault="009D1253" w:rsidP="009D1253">
            <w:pPr>
              <w:widowControl w:val="0"/>
              <w:tabs>
                <w:tab w:val="left" w:pos="426"/>
                <w:tab w:val="left" w:pos="851"/>
              </w:tabs>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Заключение между сторонами Договора банковского счета (на основании которого Заёмщику Банком открывается ТБС), элементы которого включены в Договор, заключение (путем присоединения) УДБО, содержащего Общие условия.</w:t>
            </w:r>
          </w:p>
          <w:p w14:paraId="6D7E2531" w14:textId="77777777" w:rsidR="009D1253" w:rsidRPr="00D3704B" w:rsidRDefault="009D1253" w:rsidP="009D1253">
            <w:pPr>
              <w:widowControl w:val="0"/>
              <w:tabs>
                <w:tab w:val="left" w:pos="426"/>
                <w:tab w:val="left" w:pos="851"/>
              </w:tabs>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Если при оформлении Договора Заемщику предлагаются иные дополнительные услуги (работы, товары), приобретение которых не является обязательным в силу закона, Заемщик вправе отказаться от их приобретения.</w:t>
            </w:r>
          </w:p>
        </w:tc>
      </w:tr>
      <w:tr w:rsidR="009D1253" w:rsidRPr="00D3704B" w14:paraId="26266A78"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4" w:type="pct"/>
            <w:tcBorders>
              <w:top w:val="single" w:sz="4" w:space="0" w:color="auto"/>
              <w:left w:val="single" w:sz="8" w:space="0" w:color="auto"/>
              <w:bottom w:val="single" w:sz="4" w:space="0" w:color="auto"/>
              <w:right w:val="single" w:sz="4" w:space="0" w:color="auto"/>
            </w:tcBorders>
            <w:vAlign w:val="center"/>
          </w:tcPr>
          <w:p w14:paraId="2B2C0998"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Виды и суммы иных платежей Заёмщика по Договору</w:t>
            </w:r>
          </w:p>
        </w:tc>
        <w:tc>
          <w:tcPr>
            <w:tcW w:w="3526" w:type="pct"/>
            <w:tcBorders>
              <w:top w:val="single" w:sz="4" w:space="0" w:color="auto"/>
              <w:left w:val="nil"/>
              <w:bottom w:val="single" w:sz="4" w:space="0" w:color="auto"/>
              <w:right w:val="single" w:sz="8" w:space="0" w:color="000000"/>
            </w:tcBorders>
            <w:noWrap/>
            <w:vAlign w:val="center"/>
          </w:tcPr>
          <w:p w14:paraId="5378CB75" w14:textId="77777777" w:rsidR="009D1253" w:rsidRPr="00D3704B" w:rsidRDefault="009D1253" w:rsidP="009D1253">
            <w:pPr>
              <w:widowControl w:val="0"/>
              <w:tabs>
                <w:tab w:val="left" w:pos="426"/>
                <w:tab w:val="left" w:pos="851"/>
              </w:tabs>
              <w:jc w:val="both"/>
              <w:rPr>
                <w:rFonts w:asciiTheme="minorHAnsi" w:eastAsiaTheme="minorHAnsi" w:hAnsiTheme="minorHAnsi" w:cstheme="minorBidi"/>
                <w:sz w:val="22"/>
                <w:szCs w:val="22"/>
                <w:lang w:eastAsia="en-US"/>
              </w:rPr>
            </w:pPr>
            <w:r w:rsidRPr="00D3704B">
              <w:rPr>
                <w:rFonts w:asciiTheme="minorHAnsi" w:eastAsiaTheme="minorHAnsi" w:hAnsiTheme="minorHAnsi" w:cstheme="minorBidi"/>
                <w:sz w:val="22"/>
                <w:szCs w:val="22"/>
                <w:lang w:eastAsia="en-US"/>
              </w:rPr>
              <w:t>Иные обязательные платежи по Договору отсутствуют.</w:t>
            </w:r>
          </w:p>
          <w:p w14:paraId="5C222D08" w14:textId="77777777" w:rsidR="009D1253" w:rsidRPr="00D3704B" w:rsidRDefault="009D1253" w:rsidP="009D1253">
            <w:pPr>
              <w:widowControl w:val="0"/>
              <w:tabs>
                <w:tab w:val="left" w:pos="426"/>
                <w:tab w:val="left" w:pos="851"/>
              </w:tabs>
              <w:jc w:val="both"/>
              <w:rPr>
                <w:rFonts w:asciiTheme="minorHAnsi" w:eastAsiaTheme="minorHAnsi" w:hAnsiTheme="minorHAnsi" w:cstheme="minorBidi"/>
                <w:sz w:val="22"/>
                <w:szCs w:val="22"/>
                <w:lang w:eastAsia="en-US"/>
              </w:rPr>
            </w:pPr>
            <w:r w:rsidRPr="00D3704B">
              <w:rPr>
                <w:rFonts w:ascii="Tahoma" w:eastAsiaTheme="minorHAnsi" w:hAnsi="Tahoma" w:cs="Tahoma"/>
                <w:sz w:val="20"/>
                <w:szCs w:val="20"/>
                <w:lang w:eastAsia="en-US"/>
              </w:rPr>
              <w:t>При наличии соответствующего волеизъявления Заемщика ему могут быть оказаны Банком услуги, не являющиеся обязательными для заключения или исполнения Договора, плата за которые предусмотрена Тарифами Банка(</w:t>
            </w:r>
            <w:hyperlink r:id="rId73" w:tgtFrame="_blank" w:history="1">
              <w:r w:rsidRPr="00D3704B">
                <w:rPr>
                  <w:rFonts w:ascii="Tahoma" w:eastAsiaTheme="minorHAnsi" w:hAnsi="Tahoma" w:cs="Tahoma"/>
                  <w:color w:val="0065FF"/>
                  <w:sz w:val="20"/>
                  <w:szCs w:val="20"/>
                  <w:u w:val="single"/>
                  <w:shd w:val="clear" w:color="auto" w:fill="FFFFFF"/>
                  <w:lang w:eastAsia="en-US"/>
                </w:rPr>
                <w:t>https://www.atb.su/upload/doc/kniga-tarif/tarify-po-raschetno-kassovomu-obsluzhivaniyu-klientov-fizicheskikh-lits.pdf</w:t>
              </w:r>
            </w:hyperlink>
            <w:r w:rsidRPr="00D3704B">
              <w:rPr>
                <w:rFonts w:ascii="Tahoma" w:eastAsiaTheme="minorHAnsi" w:hAnsi="Tahoma" w:cs="Tahoma"/>
                <w:sz w:val="20"/>
                <w:szCs w:val="20"/>
                <w:lang w:eastAsia="en-US"/>
              </w:rPr>
              <w:t>). Оказание услуги Банком производится в случае выражения Заемщиком волеизъявления на пользование определенной услугой. Оплата услуг должна быть произведена до момента оказания Банком услуг.</w:t>
            </w:r>
          </w:p>
        </w:tc>
      </w:tr>
      <w:tr w:rsidR="009D1253" w:rsidRPr="00D3704B" w14:paraId="349F2D1B"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4" w:type="pct"/>
            <w:tcBorders>
              <w:top w:val="single" w:sz="4" w:space="0" w:color="auto"/>
              <w:left w:val="single" w:sz="8" w:space="0" w:color="auto"/>
              <w:bottom w:val="single" w:sz="4" w:space="0" w:color="auto"/>
              <w:right w:val="single" w:sz="4" w:space="0" w:color="auto"/>
            </w:tcBorders>
            <w:vAlign w:val="center"/>
          </w:tcPr>
          <w:p w14:paraId="2ACF39EA"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 xml:space="preserve">Информация об определении курса иностранной валюты в случае, если </w:t>
            </w:r>
            <w:r w:rsidRPr="00D3704B">
              <w:rPr>
                <w:rFonts w:ascii="Tahoma" w:eastAsiaTheme="minorHAnsi" w:hAnsi="Tahoma" w:cs="Tahoma"/>
                <w:b/>
                <w:sz w:val="20"/>
                <w:szCs w:val="20"/>
                <w:lang w:eastAsia="en-US"/>
              </w:rPr>
              <w:lastRenderedPageBreak/>
              <w:t>валюта, в которой осуществляется перевод денежных средств кредитором третьему лицу, указанному Заёмщиком при предоставлении потребительского Кредита, может отличаться от валюты потребительского Кредита</w:t>
            </w:r>
          </w:p>
        </w:tc>
        <w:tc>
          <w:tcPr>
            <w:tcW w:w="3526" w:type="pct"/>
            <w:tcBorders>
              <w:top w:val="single" w:sz="4" w:space="0" w:color="auto"/>
              <w:left w:val="nil"/>
              <w:bottom w:val="single" w:sz="4" w:space="0" w:color="auto"/>
              <w:right w:val="single" w:sz="8" w:space="0" w:color="000000"/>
            </w:tcBorders>
            <w:noWrap/>
            <w:vAlign w:val="center"/>
          </w:tcPr>
          <w:p w14:paraId="6AED81F3" w14:textId="77777777" w:rsidR="009D1253" w:rsidRPr="00D3704B" w:rsidRDefault="009D1253" w:rsidP="009D1253">
            <w:pPr>
              <w:widowControl w:val="0"/>
              <w:tabs>
                <w:tab w:val="left" w:pos="426"/>
                <w:tab w:val="left" w:pos="851"/>
              </w:tabs>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lastRenderedPageBreak/>
              <w:t>Не применимо</w:t>
            </w:r>
          </w:p>
        </w:tc>
      </w:tr>
      <w:tr w:rsidR="009D1253" w:rsidRPr="00D3704B" w14:paraId="60DADB85"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4" w:type="pct"/>
            <w:tcBorders>
              <w:top w:val="single" w:sz="4" w:space="0" w:color="auto"/>
              <w:left w:val="single" w:sz="8" w:space="0" w:color="auto"/>
              <w:bottom w:val="single" w:sz="4" w:space="0" w:color="auto"/>
              <w:right w:val="single" w:sz="4" w:space="0" w:color="auto"/>
            </w:tcBorders>
            <w:vAlign w:val="center"/>
          </w:tcPr>
          <w:p w14:paraId="599238F4"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rPr>
              <w:t>Дата, начиная с которой начисляются проценты за пользование Кредитом, или порядок ее определения</w:t>
            </w:r>
          </w:p>
        </w:tc>
        <w:tc>
          <w:tcPr>
            <w:tcW w:w="3526" w:type="pct"/>
            <w:tcBorders>
              <w:top w:val="single" w:sz="4" w:space="0" w:color="auto"/>
              <w:left w:val="nil"/>
              <w:bottom w:val="single" w:sz="4" w:space="0" w:color="auto"/>
              <w:right w:val="single" w:sz="8" w:space="0" w:color="000000"/>
            </w:tcBorders>
            <w:noWrap/>
            <w:vAlign w:val="center"/>
          </w:tcPr>
          <w:p w14:paraId="599FC1CE" w14:textId="77777777" w:rsidR="009D1253" w:rsidRPr="00D3704B" w:rsidRDefault="009D1253" w:rsidP="009D1253">
            <w:pPr>
              <w:widowControl w:val="0"/>
              <w:tabs>
                <w:tab w:val="left" w:pos="426"/>
                <w:tab w:val="left" w:pos="851"/>
              </w:tabs>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Дата, следующая за датой выдачи Заёмщику Кредита</w:t>
            </w:r>
          </w:p>
        </w:tc>
      </w:tr>
      <w:tr w:rsidR="009D1253" w:rsidRPr="00D3704B" w14:paraId="6C39FFCB"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4" w:type="pct"/>
            <w:tcBorders>
              <w:top w:val="single" w:sz="4" w:space="0" w:color="auto"/>
              <w:left w:val="single" w:sz="8" w:space="0" w:color="auto"/>
              <w:bottom w:val="single" w:sz="4" w:space="0" w:color="auto"/>
              <w:right w:val="single" w:sz="4" w:space="0" w:color="auto"/>
            </w:tcBorders>
            <w:vAlign w:val="center"/>
          </w:tcPr>
          <w:p w14:paraId="4724556F"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rPr>
              <w:t>Периодичность платежей Заёмщика при возврате Кредита, уплате процентов и иных платежей по Кредиту</w:t>
            </w:r>
          </w:p>
        </w:tc>
        <w:tc>
          <w:tcPr>
            <w:tcW w:w="3526" w:type="pct"/>
            <w:tcBorders>
              <w:top w:val="single" w:sz="4" w:space="0" w:color="auto"/>
              <w:left w:val="nil"/>
              <w:bottom w:val="single" w:sz="4" w:space="0" w:color="auto"/>
              <w:right w:val="single" w:sz="8" w:space="0" w:color="000000"/>
            </w:tcBorders>
            <w:noWrap/>
            <w:vAlign w:val="center"/>
          </w:tcPr>
          <w:p w14:paraId="57EE4E2D" w14:textId="77777777" w:rsidR="009D1253" w:rsidRPr="00D3704B" w:rsidRDefault="009D1253" w:rsidP="009D1253">
            <w:pPr>
              <w:widowControl w:val="0"/>
              <w:tabs>
                <w:tab w:val="left" w:pos="426"/>
                <w:tab w:val="left" w:pos="851"/>
              </w:tabs>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Ежемесячно аннуитетными платежами</w:t>
            </w:r>
          </w:p>
        </w:tc>
      </w:tr>
      <w:tr w:rsidR="009D1253" w:rsidRPr="00D3704B" w14:paraId="4E04E20F"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4" w:type="pct"/>
            <w:tcBorders>
              <w:top w:val="single" w:sz="4" w:space="0" w:color="auto"/>
              <w:left w:val="single" w:sz="8" w:space="0" w:color="auto"/>
              <w:bottom w:val="single" w:sz="4" w:space="0" w:color="auto"/>
              <w:right w:val="single" w:sz="4" w:space="0" w:color="auto"/>
            </w:tcBorders>
            <w:vAlign w:val="center"/>
          </w:tcPr>
          <w:p w14:paraId="0816FAB9"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rPr>
              <w:t>Срок действия Договора</w:t>
            </w:r>
          </w:p>
        </w:tc>
        <w:tc>
          <w:tcPr>
            <w:tcW w:w="3526" w:type="pct"/>
            <w:tcBorders>
              <w:top w:val="single" w:sz="4" w:space="0" w:color="auto"/>
              <w:left w:val="nil"/>
              <w:bottom w:val="single" w:sz="4" w:space="0" w:color="auto"/>
              <w:right w:val="single" w:sz="8" w:space="0" w:color="000000"/>
            </w:tcBorders>
            <w:noWrap/>
            <w:vAlign w:val="center"/>
          </w:tcPr>
          <w:p w14:paraId="749D34F0" w14:textId="77777777" w:rsidR="009D1253" w:rsidRPr="00D3704B" w:rsidRDefault="009D1253" w:rsidP="009D1253">
            <w:pPr>
              <w:widowControl w:val="0"/>
              <w:tabs>
                <w:tab w:val="left" w:pos="426"/>
                <w:tab w:val="left" w:pos="851"/>
              </w:tabs>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До полного исполнения Сторонами обязательств по Договору</w:t>
            </w:r>
          </w:p>
        </w:tc>
      </w:tr>
      <w:tr w:rsidR="009D1253" w:rsidRPr="00D3704B" w14:paraId="509F8699"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4" w:type="pct"/>
            <w:tcBorders>
              <w:top w:val="single" w:sz="4" w:space="0" w:color="auto"/>
              <w:left w:val="single" w:sz="8" w:space="0" w:color="auto"/>
              <w:bottom w:val="single" w:sz="4" w:space="0" w:color="auto"/>
              <w:right w:val="single" w:sz="4" w:space="0" w:color="auto"/>
            </w:tcBorders>
            <w:vAlign w:val="center"/>
          </w:tcPr>
          <w:p w14:paraId="2C61317E" w14:textId="77777777" w:rsidR="009D1253" w:rsidRPr="00D3704B" w:rsidRDefault="009D1253" w:rsidP="009D1253">
            <w:pPr>
              <w:jc w:val="both"/>
              <w:rPr>
                <w:rFonts w:ascii="Tahoma" w:eastAsiaTheme="minorHAnsi" w:hAnsi="Tahoma" w:cs="Tahoma"/>
                <w:b/>
                <w:sz w:val="20"/>
                <w:szCs w:val="20"/>
              </w:rPr>
            </w:pPr>
            <w:r w:rsidRPr="00D3704B">
              <w:rPr>
                <w:rFonts w:ascii="Tahoma" w:eastAsiaTheme="minorHAnsi" w:hAnsi="Tahoma" w:cs="Tahoma"/>
                <w:b/>
                <w:sz w:val="20"/>
                <w:szCs w:val="20"/>
                <w:lang w:eastAsia="en-US"/>
              </w:rPr>
              <w:t>Срок рассмотрения  оформленного Заёмщиком заявления о предоставлении Кредита и принятия Кредитором решения относительно этого заявления</w:t>
            </w:r>
          </w:p>
        </w:tc>
        <w:tc>
          <w:tcPr>
            <w:tcW w:w="3526" w:type="pct"/>
            <w:tcBorders>
              <w:top w:val="single" w:sz="4" w:space="0" w:color="auto"/>
              <w:left w:val="nil"/>
              <w:bottom w:val="single" w:sz="4" w:space="0" w:color="auto"/>
              <w:right w:val="single" w:sz="8" w:space="0" w:color="000000"/>
            </w:tcBorders>
            <w:noWrap/>
            <w:vAlign w:val="center"/>
          </w:tcPr>
          <w:p w14:paraId="27B472A9" w14:textId="77777777" w:rsidR="009D1253" w:rsidRPr="00D3704B" w:rsidRDefault="009D1253" w:rsidP="009D1253">
            <w:pPr>
              <w:widowControl w:val="0"/>
              <w:tabs>
                <w:tab w:val="left" w:pos="426"/>
                <w:tab w:val="left" w:pos="851"/>
              </w:tabs>
              <w:jc w:val="both"/>
              <w:rPr>
                <w:rFonts w:ascii="Tahoma" w:eastAsiaTheme="minorHAnsi" w:hAnsi="Tahoma" w:cs="Tahoma"/>
                <w:sz w:val="20"/>
                <w:szCs w:val="20"/>
                <w:lang w:eastAsia="en-US"/>
              </w:rPr>
            </w:pPr>
            <w:r w:rsidRPr="00D3704B">
              <w:rPr>
                <w:rFonts w:ascii="Tahoma" w:eastAsiaTheme="minorHAnsi" w:hAnsi="Tahoma" w:cs="Tahoma"/>
                <w:color w:val="000000"/>
                <w:sz w:val="20"/>
                <w:szCs w:val="20"/>
                <w:lang w:eastAsia="en-US"/>
              </w:rPr>
              <w:t>Решение принимается в течение 1 часа с момента предоставления Заёмщиком полного пакета документов. В случае необходимости запроса у Заёмщика дополнительных документов решение принимается в индивидуальные сроки.</w:t>
            </w:r>
            <w:r w:rsidRPr="00D3704B">
              <w:rPr>
                <w:rFonts w:ascii="Tahoma" w:eastAsiaTheme="minorHAnsi" w:hAnsi="Tahoma" w:cs="Tahoma"/>
                <w:sz w:val="20"/>
                <w:szCs w:val="20"/>
                <w:lang w:eastAsia="en-US"/>
              </w:rPr>
              <w:fldChar w:fldCharType="begin"/>
            </w:r>
            <w:r w:rsidRPr="00D3704B">
              <w:rPr>
                <w:rFonts w:ascii="Tahoma" w:eastAsiaTheme="minorHAnsi" w:hAnsi="Tahoma" w:cs="Tahoma"/>
                <w:sz w:val="20"/>
                <w:szCs w:val="20"/>
                <w:lang w:eastAsia="en-US"/>
              </w:rPr>
              <w:instrText xml:space="preserve"> DOCVARIABLE  WAS_BORN_DMY </w:instrText>
            </w:r>
            <w:r w:rsidRPr="00D3704B">
              <w:rPr>
                <w:rFonts w:ascii="Tahoma" w:eastAsiaTheme="minorHAnsi" w:hAnsi="Tahoma" w:cs="Tahoma"/>
                <w:sz w:val="20"/>
                <w:szCs w:val="20"/>
                <w:lang w:eastAsia="en-US"/>
              </w:rPr>
              <w:fldChar w:fldCharType="end"/>
            </w:r>
          </w:p>
        </w:tc>
      </w:tr>
      <w:tr w:rsidR="009D1253" w:rsidRPr="00D3704B" w14:paraId="31B882C2"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4" w:type="pct"/>
            <w:tcBorders>
              <w:top w:val="single" w:sz="4" w:space="0" w:color="auto"/>
              <w:left w:val="single" w:sz="8" w:space="0" w:color="auto"/>
              <w:bottom w:val="single" w:sz="4" w:space="0" w:color="auto"/>
              <w:right w:val="single" w:sz="4" w:space="0" w:color="auto"/>
            </w:tcBorders>
            <w:vAlign w:val="center"/>
          </w:tcPr>
          <w:p w14:paraId="12FB872F"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 xml:space="preserve">Срок, в течение которого Заёмщик вправе отказаться от получения Кредита </w:t>
            </w:r>
          </w:p>
        </w:tc>
        <w:tc>
          <w:tcPr>
            <w:tcW w:w="3526" w:type="pct"/>
            <w:tcBorders>
              <w:top w:val="single" w:sz="4" w:space="0" w:color="auto"/>
              <w:left w:val="nil"/>
              <w:bottom w:val="single" w:sz="4" w:space="0" w:color="auto"/>
              <w:right w:val="single" w:sz="8" w:space="0" w:color="000000"/>
            </w:tcBorders>
            <w:noWrap/>
            <w:vAlign w:val="center"/>
          </w:tcPr>
          <w:p w14:paraId="567DC341" w14:textId="77777777" w:rsidR="009D1253" w:rsidRPr="00D3704B" w:rsidRDefault="009D1253" w:rsidP="009D1253">
            <w:pPr>
              <w:widowControl w:val="0"/>
              <w:tabs>
                <w:tab w:val="left" w:pos="426"/>
                <w:tab w:val="left" w:pos="851"/>
              </w:tabs>
              <w:jc w:val="both"/>
              <w:rPr>
                <w:rFonts w:ascii="Tahoma" w:eastAsiaTheme="minorHAnsi" w:hAnsi="Tahoma" w:cs="Tahoma"/>
                <w:color w:val="000000"/>
                <w:sz w:val="20"/>
                <w:szCs w:val="20"/>
                <w:lang w:eastAsia="en-US"/>
              </w:rPr>
            </w:pPr>
            <w:r w:rsidRPr="00D3704B">
              <w:rPr>
                <w:rFonts w:ascii="Tahoma" w:eastAsiaTheme="minorHAnsi" w:hAnsi="Tahoma" w:cs="Tahoma"/>
                <w:sz w:val="20"/>
                <w:szCs w:val="20"/>
                <w:lang w:eastAsia="en-US"/>
              </w:rPr>
              <w:t xml:space="preserve">Заёмщик вправе отказаться от получения кредита полностью или частично, уведомив об этом Банк до истечения установленного Договором срока его предоставления. </w:t>
            </w:r>
          </w:p>
        </w:tc>
      </w:tr>
      <w:tr w:rsidR="009D1253" w:rsidRPr="00D3704B" w14:paraId="5C76EAD0"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4" w:type="pct"/>
            <w:tcBorders>
              <w:top w:val="single" w:sz="4" w:space="0" w:color="auto"/>
              <w:left w:val="single" w:sz="8" w:space="0" w:color="auto"/>
              <w:bottom w:val="single" w:sz="4" w:space="0" w:color="auto"/>
              <w:right w:val="single" w:sz="4" w:space="0" w:color="auto"/>
            </w:tcBorders>
          </w:tcPr>
          <w:p w14:paraId="0E7D26C5"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Срок действия решения о предоставлении Кредита</w:t>
            </w:r>
          </w:p>
        </w:tc>
        <w:tc>
          <w:tcPr>
            <w:tcW w:w="3526" w:type="pct"/>
            <w:tcBorders>
              <w:top w:val="single" w:sz="4" w:space="0" w:color="auto"/>
              <w:left w:val="nil"/>
              <w:bottom w:val="single" w:sz="4" w:space="0" w:color="auto"/>
              <w:right w:val="single" w:sz="8" w:space="0" w:color="000000"/>
            </w:tcBorders>
            <w:noWrap/>
            <w:vAlign w:val="center"/>
          </w:tcPr>
          <w:p w14:paraId="72450252" w14:textId="77777777" w:rsidR="009D1253" w:rsidRPr="00D3704B" w:rsidRDefault="009D1253" w:rsidP="009D1253">
            <w:pPr>
              <w:widowControl w:val="0"/>
              <w:tabs>
                <w:tab w:val="left" w:pos="426"/>
                <w:tab w:val="left" w:pos="851"/>
              </w:tabs>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30 календарных дней с даты принятия Банком решения</w:t>
            </w:r>
          </w:p>
        </w:tc>
      </w:tr>
      <w:tr w:rsidR="009D1253" w:rsidRPr="00D3704B" w14:paraId="1F0B674A"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301"/>
        </w:trPr>
        <w:tc>
          <w:tcPr>
            <w:tcW w:w="1474" w:type="pct"/>
            <w:tcBorders>
              <w:top w:val="single" w:sz="4" w:space="0" w:color="auto"/>
              <w:left w:val="single" w:sz="8" w:space="0" w:color="auto"/>
              <w:bottom w:val="single" w:sz="4" w:space="0" w:color="auto"/>
              <w:right w:val="single" w:sz="4" w:space="0" w:color="auto"/>
            </w:tcBorders>
            <w:vAlign w:val="center"/>
          </w:tcPr>
          <w:p w14:paraId="591B2479"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Способы обеспечения исполнения обязательств по Договору «Потребительский кредит под залог транспортного средства»</w:t>
            </w:r>
          </w:p>
        </w:tc>
        <w:tc>
          <w:tcPr>
            <w:tcW w:w="3526" w:type="pct"/>
            <w:tcBorders>
              <w:top w:val="single" w:sz="4" w:space="0" w:color="auto"/>
              <w:left w:val="nil"/>
              <w:bottom w:val="single" w:sz="4" w:space="0" w:color="auto"/>
              <w:right w:val="single" w:sz="8" w:space="0" w:color="000000"/>
            </w:tcBorders>
            <w:noWrap/>
            <w:vAlign w:val="center"/>
          </w:tcPr>
          <w:p w14:paraId="015319EA" w14:textId="77777777" w:rsidR="009D1253" w:rsidRPr="00D3704B" w:rsidRDefault="009D1253" w:rsidP="009D1253">
            <w:pPr>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1)</w:t>
            </w:r>
            <w:r w:rsidRPr="00D3704B">
              <w:rPr>
                <w:rFonts w:ascii="Tahoma" w:eastAsiaTheme="minorHAnsi" w:hAnsi="Tahoma" w:cs="Tahoma"/>
                <w:color w:val="000000"/>
                <w:sz w:val="20"/>
                <w:szCs w:val="20"/>
                <w:lang w:eastAsia="en-US"/>
              </w:rPr>
              <w:t xml:space="preserve"> Залог приобретаемого Заёмщиком за счет кредитных средств Банка ТС</w:t>
            </w:r>
          </w:p>
          <w:p w14:paraId="6C15E552" w14:textId="77777777" w:rsidR="009D1253" w:rsidRPr="00D3704B" w:rsidRDefault="009D1253" w:rsidP="009D1253">
            <w:pPr>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2) Неустойка (штраф, пеня). В случае нарушения обязательств по Договору с Заёмщика может быть взыскана неустойка в сумме и порядке, определенных Сторонами в соответствии с законодательством РФ и Индивидуальными условиями Договора.</w:t>
            </w:r>
            <w:r w:rsidRPr="00D3704B">
              <w:rPr>
                <w:rFonts w:ascii="Tahoma" w:eastAsiaTheme="minorHAnsi" w:hAnsi="Tahoma" w:cs="Tahoma"/>
                <w:sz w:val="20"/>
                <w:szCs w:val="20"/>
                <w:lang w:eastAsia="en-US"/>
              </w:rPr>
              <w:fldChar w:fldCharType="begin"/>
            </w:r>
            <w:r w:rsidRPr="00D3704B">
              <w:rPr>
                <w:rFonts w:ascii="Tahoma" w:eastAsiaTheme="minorHAnsi" w:hAnsi="Tahoma" w:cs="Tahoma"/>
                <w:sz w:val="20"/>
                <w:szCs w:val="20"/>
                <w:lang w:eastAsia="en-US"/>
              </w:rPr>
              <w:instrText xml:space="preserve"> DOCVARIABLE  ATB_ADDRESS_FACT </w:instrText>
            </w:r>
            <w:r w:rsidRPr="00D3704B">
              <w:rPr>
                <w:rFonts w:ascii="Tahoma" w:eastAsiaTheme="minorHAnsi" w:hAnsi="Tahoma" w:cs="Tahoma"/>
                <w:sz w:val="20"/>
                <w:szCs w:val="20"/>
                <w:lang w:eastAsia="en-US"/>
              </w:rPr>
              <w:fldChar w:fldCharType="end"/>
            </w:r>
          </w:p>
        </w:tc>
      </w:tr>
      <w:tr w:rsidR="009D1253" w:rsidRPr="00D3704B" w14:paraId="71094218"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01"/>
        </w:trPr>
        <w:tc>
          <w:tcPr>
            <w:tcW w:w="1474" w:type="pct"/>
            <w:tcBorders>
              <w:top w:val="single" w:sz="4" w:space="0" w:color="auto"/>
              <w:left w:val="single" w:sz="8" w:space="0" w:color="auto"/>
              <w:bottom w:val="single" w:sz="4" w:space="0" w:color="auto"/>
              <w:right w:val="single" w:sz="4" w:space="0" w:color="000000"/>
            </w:tcBorders>
            <w:shd w:val="clear" w:color="auto" w:fill="auto"/>
            <w:vAlign w:val="center"/>
          </w:tcPr>
          <w:p w14:paraId="13864180"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Способы возврата  Заёмщиком Кредита и уплаты процентов по нему, включая бесплатный способ исполнения Заёмщиком обязательств по Договору «Потребительский кредит под залог транспортного средства»</w:t>
            </w:r>
          </w:p>
        </w:tc>
        <w:tc>
          <w:tcPr>
            <w:tcW w:w="3526" w:type="pct"/>
            <w:tcBorders>
              <w:top w:val="single" w:sz="4" w:space="0" w:color="auto"/>
              <w:left w:val="nil"/>
              <w:bottom w:val="single" w:sz="4" w:space="0" w:color="auto"/>
              <w:right w:val="single" w:sz="8" w:space="0" w:color="000000"/>
            </w:tcBorders>
            <w:shd w:val="clear" w:color="auto" w:fill="auto"/>
            <w:vAlign w:val="center"/>
          </w:tcPr>
          <w:p w14:paraId="208B8725" w14:textId="77777777" w:rsidR="009D1253" w:rsidRPr="00D3704B" w:rsidRDefault="009D1253" w:rsidP="009D1253">
            <w:pPr>
              <w:widowControl w:val="0"/>
              <w:tabs>
                <w:tab w:val="left" w:pos="426"/>
                <w:tab w:val="left" w:pos="851"/>
              </w:tabs>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 xml:space="preserve">Погашение Заёмщиком обязательств по Договору осуществляется в сумме и сроки предусмотренные Договором (в т.ч. при досрочном частичном или полном возврате Кредита) производится любым способом по выбору Заёмщика, в том числе: посредством внесения денежных средств в сумме обязательства на ТБС Заёмщика через терминалы самообслуживания Банка (при их наличии в населенном пункте по месту получения Заёмщиком оферты)/ кассы Банка, перевод через работодателя Заёмщика, перевод со счёта в Банке на ТБС Заёмщика, перевод через отделения АО «Почта России», перевод через интернет-системы «АТБ-Онлайн», «АТБ Банк», иные кредитные организации (по предусмотренным ими тарифам). </w:t>
            </w:r>
          </w:p>
          <w:p w14:paraId="23CC6066" w14:textId="77777777" w:rsidR="009D1253" w:rsidRPr="00D3704B" w:rsidRDefault="009D1253" w:rsidP="009D1253">
            <w:pPr>
              <w:widowControl w:val="0"/>
              <w:tabs>
                <w:tab w:val="left" w:pos="426"/>
                <w:tab w:val="left" w:pos="851"/>
              </w:tabs>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Могут использоваться иные, не противоречащие законодательству РФ способы.</w:t>
            </w:r>
          </w:p>
          <w:p w14:paraId="729AE73E" w14:textId="77777777" w:rsidR="009D1253" w:rsidRPr="00D3704B" w:rsidRDefault="009D1253" w:rsidP="009D1253">
            <w:pPr>
              <w:widowControl w:val="0"/>
              <w:tabs>
                <w:tab w:val="left" w:pos="426"/>
                <w:tab w:val="left" w:pos="851"/>
              </w:tabs>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Заёмщик вносит на ТБС денежные средства любыми из перечисленных выше способов, при этом он обязан учесть время, затрачиваемое на безналичное перечисление денежных средств, выходные и праздничные дни. Если установленный Договором последний день срока платежа отсутствует в календарном месяце, Заёмщик обязан внести денежные средства на ТБС не позднее последнего календарного рабочего дня месяца; если последний день срока платежа приходится на выходные/нерабочие праздничные дни, Заёмщик обязан внести денежные средства на ТБС не позднее 1-го рабочего дня, следующего за выходным/нерабочим праздничным днем. Указанная обязанность должна быть исполнена Заёмщиком в операционный день Банка.</w:t>
            </w:r>
          </w:p>
          <w:p w14:paraId="3BA62C96" w14:textId="77777777" w:rsidR="009D1253" w:rsidRPr="00D3704B" w:rsidRDefault="009D1253" w:rsidP="009D1253">
            <w:pPr>
              <w:widowControl w:val="0"/>
              <w:tabs>
                <w:tab w:val="left" w:pos="426"/>
                <w:tab w:val="left" w:pos="851"/>
              </w:tabs>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 xml:space="preserve">Бесплатный способ исполнения Заёмщиком обязательств по Договору производится путем внесения денежных </w:t>
            </w:r>
            <w:r w:rsidRPr="00D3704B">
              <w:rPr>
                <w:rFonts w:ascii="Tahoma" w:eastAsiaTheme="minorHAnsi" w:hAnsi="Tahoma" w:cs="Tahoma"/>
                <w:sz w:val="20"/>
                <w:szCs w:val="20"/>
                <w:lang w:eastAsia="en-US"/>
              </w:rPr>
              <w:lastRenderedPageBreak/>
              <w:t>средств в сумме обязательства на ТБС Заёмщика через терминалы самообслуживания Банка (при их наличии в населенном пункте по месту получения Заёмщиком оферты)/ кассы Банка, перевод через работодателя Заёмщика, с использованием сервиса Системы быстрых платежей (в рамках бесплатных лимитов, установленных тарифами сервиса). В случае изменений, информация доводится до Заемщика в соответствии с Общими условиями кредитования.</w:t>
            </w:r>
          </w:p>
        </w:tc>
      </w:tr>
      <w:tr w:rsidR="009D1253" w:rsidRPr="00D3704B" w14:paraId="1189AEBD"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01"/>
        </w:trPr>
        <w:tc>
          <w:tcPr>
            <w:tcW w:w="1474" w:type="pct"/>
            <w:tcBorders>
              <w:top w:val="single" w:sz="4" w:space="0" w:color="auto"/>
              <w:left w:val="single" w:sz="8" w:space="0" w:color="auto"/>
              <w:bottom w:val="single" w:sz="4" w:space="0" w:color="auto"/>
              <w:right w:val="single" w:sz="4" w:space="0" w:color="000000"/>
            </w:tcBorders>
            <w:shd w:val="clear" w:color="auto" w:fill="auto"/>
            <w:vAlign w:val="center"/>
          </w:tcPr>
          <w:p w14:paraId="0B397720"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lastRenderedPageBreak/>
              <w:t>Порядок погашения Заёмщиком задолженности по Кредиту</w:t>
            </w:r>
          </w:p>
        </w:tc>
        <w:tc>
          <w:tcPr>
            <w:tcW w:w="3526" w:type="pct"/>
            <w:tcBorders>
              <w:top w:val="single" w:sz="4" w:space="0" w:color="auto"/>
              <w:left w:val="nil"/>
              <w:bottom w:val="single" w:sz="4" w:space="0" w:color="auto"/>
              <w:right w:val="single" w:sz="8" w:space="0" w:color="000000"/>
            </w:tcBorders>
            <w:shd w:val="clear" w:color="auto" w:fill="auto"/>
            <w:vAlign w:val="center"/>
          </w:tcPr>
          <w:p w14:paraId="369BC963" w14:textId="77777777" w:rsidR="009D1253" w:rsidRPr="00D3704B" w:rsidRDefault="009D1253" w:rsidP="009D1253">
            <w:pPr>
              <w:widowControl w:val="0"/>
              <w:tabs>
                <w:tab w:val="left" w:pos="426"/>
                <w:tab w:val="left" w:pos="851"/>
              </w:tabs>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Определен УДБО</w:t>
            </w:r>
            <w:r w:rsidRPr="00D3704B">
              <w:rPr>
                <w:rFonts w:ascii="Tahoma" w:eastAsiaTheme="minorHAnsi" w:hAnsi="Tahoma" w:cs="Tahoma"/>
                <w:sz w:val="20"/>
                <w:szCs w:val="20"/>
                <w:lang w:val="en-US" w:eastAsia="en-US"/>
              </w:rPr>
              <w:t>.</w:t>
            </w:r>
          </w:p>
        </w:tc>
      </w:tr>
      <w:tr w:rsidR="009D1253" w:rsidRPr="00D3704B" w14:paraId="115BA7FE"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344"/>
        </w:trPr>
        <w:tc>
          <w:tcPr>
            <w:tcW w:w="1474" w:type="pct"/>
            <w:tcBorders>
              <w:top w:val="single" w:sz="4" w:space="0" w:color="auto"/>
              <w:left w:val="single" w:sz="8" w:space="0" w:color="auto"/>
              <w:bottom w:val="single" w:sz="4" w:space="0" w:color="auto"/>
              <w:right w:val="single" w:sz="4" w:space="0" w:color="000000"/>
            </w:tcBorders>
            <w:vAlign w:val="center"/>
          </w:tcPr>
          <w:p w14:paraId="6A013EFB"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color w:val="000000"/>
                <w:sz w:val="20"/>
                <w:szCs w:val="20"/>
                <w:lang w:eastAsia="en-US"/>
              </w:rPr>
              <w:t xml:space="preserve">Ответственность Заёмщика за ненадлежащее исполнение Договора </w:t>
            </w:r>
          </w:p>
        </w:tc>
        <w:tc>
          <w:tcPr>
            <w:tcW w:w="3526" w:type="pct"/>
            <w:tcBorders>
              <w:top w:val="single" w:sz="4" w:space="0" w:color="auto"/>
              <w:left w:val="nil"/>
              <w:bottom w:val="single" w:sz="4" w:space="0" w:color="auto"/>
              <w:right w:val="single" w:sz="8" w:space="0" w:color="000000"/>
            </w:tcBorders>
            <w:vAlign w:val="center"/>
          </w:tcPr>
          <w:p w14:paraId="4CDA1779" w14:textId="77777777" w:rsidR="009D1253" w:rsidRPr="00D3704B" w:rsidRDefault="009D1253" w:rsidP="009D1253">
            <w:pPr>
              <w:widowControl w:val="0"/>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 xml:space="preserve">В случае нарушения Заёмщиком сроков возврата Кредита и/или уплаты процентов на сумму Кредита Заёмщик уплачивает Банку неустойку в размере 20% годовых от суммы просроченной задолженности за каждый день нарушения срока уплаты. </w:t>
            </w:r>
          </w:p>
          <w:p w14:paraId="65C35333" w14:textId="77777777" w:rsidR="009D1253" w:rsidRPr="00D3704B" w:rsidRDefault="009D1253" w:rsidP="009D1253">
            <w:pPr>
              <w:widowControl w:val="0"/>
              <w:tabs>
                <w:tab w:val="left" w:pos="426"/>
                <w:tab w:val="left" w:pos="851"/>
              </w:tabs>
              <w:jc w:val="both"/>
              <w:rPr>
                <w:rFonts w:ascii="Tahoma" w:eastAsia="Calibri" w:hAnsi="Tahoma" w:cs="Tahoma"/>
                <w:sz w:val="20"/>
                <w:szCs w:val="20"/>
                <w:lang w:eastAsia="en-US"/>
              </w:rPr>
            </w:pPr>
            <w:r w:rsidRPr="00D3704B">
              <w:rPr>
                <w:rFonts w:ascii="Tahoma" w:eastAsiaTheme="minorHAnsi" w:hAnsi="Tahoma" w:cs="Tahoma"/>
                <w:sz w:val="20"/>
                <w:szCs w:val="20"/>
                <w:lang w:eastAsia="en-US"/>
              </w:rPr>
              <w:t>В случае нарушения Заёмщиком сроков возврата суммы Кредита (основного долга) и/или уплаты процентов продолжительностью (общей продолжительностью) более чем 60 календарных дней в течение последних 180 календарных дней, Банк вправе потребовать от Заёмщика досрочного возврата оставшейся суммы Кредита вместе с причитающимися процентами и/или расторжения Договора, уведомив об этом Заёмщика способом, установленным Договором. В таком случае Заёмщик обязан вернуть Банку оставшуюся сумму Кредита и уплатить все причитающиеся Банку проценты и неустойки в течение 30 календарных дней с момента направления Банком уведомления Заёмщику, если иной, более продолжительный срок не указан Банком в таком уведомлении.</w:t>
            </w:r>
          </w:p>
        </w:tc>
      </w:tr>
      <w:tr w:rsidR="009D1253" w:rsidRPr="00D3704B" w14:paraId="6E11DD88" w14:textId="77777777" w:rsidTr="009D1253">
        <w:tblPrEx>
          <w:tblLook w:val="00A0" w:firstRow="1" w:lastRow="0" w:firstColumn="1" w:lastColumn="0" w:noHBand="0" w:noVBand="0"/>
        </w:tblPrEx>
        <w:trPr>
          <w:trHeight w:val="1000"/>
        </w:trPr>
        <w:tc>
          <w:tcPr>
            <w:tcW w:w="1474" w:type="pct"/>
            <w:tcBorders>
              <w:top w:val="single" w:sz="4" w:space="0" w:color="auto"/>
              <w:left w:val="single" w:sz="8" w:space="0" w:color="auto"/>
              <w:bottom w:val="single" w:sz="4" w:space="0" w:color="auto"/>
              <w:right w:val="single" w:sz="4" w:space="0" w:color="000000"/>
            </w:tcBorders>
            <w:vAlign w:val="center"/>
          </w:tcPr>
          <w:p w14:paraId="0448744C"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Информация о возможности запрета уступки Кредитором третьим лицам прав (требований) по Договору «Потребительский кредит под залог транспортного средства»</w:t>
            </w:r>
          </w:p>
        </w:tc>
        <w:tc>
          <w:tcPr>
            <w:tcW w:w="3526" w:type="pct"/>
            <w:tcBorders>
              <w:top w:val="single" w:sz="4" w:space="0" w:color="auto"/>
              <w:left w:val="nil"/>
              <w:bottom w:val="single" w:sz="4" w:space="0" w:color="auto"/>
              <w:right w:val="single" w:sz="8" w:space="0" w:color="000000"/>
            </w:tcBorders>
            <w:vAlign w:val="center"/>
          </w:tcPr>
          <w:p w14:paraId="6AA243D9" w14:textId="77777777" w:rsidR="009D1253" w:rsidRPr="00D3704B" w:rsidRDefault="009D1253" w:rsidP="009D1253">
            <w:pPr>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Заёмщик вправе запретить уступку Банком третьим лицам прав (требований) по Договору.</w:t>
            </w:r>
          </w:p>
        </w:tc>
      </w:tr>
      <w:tr w:rsidR="009D1253" w:rsidRPr="00D3704B" w14:paraId="6B2E3834"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303"/>
        </w:trPr>
        <w:tc>
          <w:tcPr>
            <w:tcW w:w="1474" w:type="pct"/>
            <w:tcBorders>
              <w:top w:val="single" w:sz="4" w:space="0" w:color="auto"/>
              <w:left w:val="single" w:sz="8" w:space="0" w:color="auto"/>
              <w:bottom w:val="single" w:sz="4" w:space="0" w:color="auto"/>
              <w:right w:val="single" w:sz="4" w:space="0" w:color="000000"/>
            </w:tcBorders>
            <w:vAlign w:val="center"/>
          </w:tcPr>
          <w:p w14:paraId="3E6C945B"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 xml:space="preserve">Порядок предоставления Заёмщиком информации об использовании Кредита </w:t>
            </w:r>
          </w:p>
        </w:tc>
        <w:tc>
          <w:tcPr>
            <w:tcW w:w="3526" w:type="pct"/>
            <w:tcBorders>
              <w:top w:val="single" w:sz="4" w:space="0" w:color="auto"/>
              <w:left w:val="nil"/>
              <w:bottom w:val="single" w:sz="4" w:space="0" w:color="auto"/>
              <w:right w:val="single" w:sz="8" w:space="0" w:color="000000"/>
            </w:tcBorders>
            <w:vAlign w:val="center"/>
          </w:tcPr>
          <w:p w14:paraId="66843AE7" w14:textId="77777777" w:rsidR="009D1253" w:rsidRPr="00D3704B" w:rsidRDefault="009D1253" w:rsidP="009D1253">
            <w:pPr>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При заключении Договора «Потребительский кредит под залог транспортного средства»</w:t>
            </w:r>
            <w:r w:rsidRPr="00D3704B">
              <w:rPr>
                <w:rFonts w:ascii="Tahoma" w:eastAsiaTheme="minorHAnsi" w:hAnsi="Tahoma" w:cs="Tahoma"/>
                <w:b/>
                <w:sz w:val="20"/>
                <w:szCs w:val="20"/>
                <w:lang w:eastAsia="en-US"/>
              </w:rPr>
              <w:t xml:space="preserve"> </w:t>
            </w:r>
            <w:r w:rsidRPr="00D3704B">
              <w:rPr>
                <w:rFonts w:ascii="Tahoma" w:eastAsiaTheme="minorHAnsi" w:hAnsi="Tahoma" w:cs="Tahoma"/>
                <w:sz w:val="20"/>
                <w:szCs w:val="20"/>
                <w:lang w:eastAsia="en-US"/>
              </w:rPr>
              <w:t>Заёмщик предоставляет Банку копии документов, подтверждающих приобретение ТС, а также иных товаров, работ, услуг (при их наличии).</w:t>
            </w:r>
          </w:p>
          <w:p w14:paraId="79D49392" w14:textId="77777777" w:rsidR="009D1253" w:rsidRPr="00D3704B" w:rsidRDefault="009D1253" w:rsidP="009D1253">
            <w:pPr>
              <w:jc w:val="both"/>
              <w:rPr>
                <w:rFonts w:ascii="Tahoma" w:eastAsiaTheme="minorHAnsi" w:hAnsi="Tahoma" w:cs="Tahoma"/>
                <w:sz w:val="20"/>
                <w:szCs w:val="20"/>
                <w:lang w:eastAsia="en-US"/>
              </w:rPr>
            </w:pPr>
          </w:p>
        </w:tc>
      </w:tr>
      <w:tr w:rsidR="009D1253" w:rsidRPr="00D3704B" w14:paraId="361D532E" w14:textId="77777777" w:rsidTr="009D1253">
        <w:tblPrEx>
          <w:tblLook w:val="00A0" w:firstRow="1" w:lastRow="0" w:firstColumn="1" w:lastColumn="0" w:noHBand="0" w:noVBand="0"/>
        </w:tblPrEx>
        <w:trPr>
          <w:trHeight w:val="395"/>
        </w:trPr>
        <w:tc>
          <w:tcPr>
            <w:tcW w:w="1474" w:type="pct"/>
            <w:tcBorders>
              <w:top w:val="single" w:sz="4" w:space="0" w:color="auto"/>
              <w:left w:val="single" w:sz="8" w:space="0" w:color="auto"/>
              <w:bottom w:val="single" w:sz="4" w:space="0" w:color="auto"/>
              <w:right w:val="single" w:sz="4" w:space="0" w:color="000000"/>
            </w:tcBorders>
            <w:vAlign w:val="center"/>
          </w:tcPr>
          <w:p w14:paraId="672F1FF2"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Подсудность споров по искам Кредитора к Заёмщику</w:t>
            </w:r>
          </w:p>
        </w:tc>
        <w:tc>
          <w:tcPr>
            <w:tcW w:w="3526" w:type="pct"/>
            <w:tcBorders>
              <w:top w:val="single" w:sz="4" w:space="0" w:color="auto"/>
              <w:left w:val="nil"/>
              <w:bottom w:val="single" w:sz="4" w:space="0" w:color="auto"/>
              <w:right w:val="single" w:sz="8" w:space="0" w:color="000000"/>
            </w:tcBorders>
            <w:vAlign w:val="center"/>
          </w:tcPr>
          <w:p w14:paraId="15E966E6" w14:textId="77777777" w:rsidR="009D1253" w:rsidRPr="00D3704B" w:rsidRDefault="009D1253" w:rsidP="009D1253">
            <w:pPr>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Неурегулированные споры по искам Банка к Заёмщику рассматриваются в порядке, установленном законодательством РФ. Взыскание задолженности по Договору может производиться по исполнительной надписи нотариуса, совершаемой на основании заявления Банка.</w:t>
            </w:r>
          </w:p>
        </w:tc>
      </w:tr>
      <w:tr w:rsidR="009D1253" w:rsidRPr="00D3704B" w14:paraId="19EEEF86" w14:textId="77777777" w:rsidTr="009D1253">
        <w:tblPrEx>
          <w:tblLook w:val="00A0" w:firstRow="1" w:lastRow="0" w:firstColumn="1" w:lastColumn="0" w:noHBand="0" w:noVBand="0"/>
        </w:tblPrEx>
        <w:trPr>
          <w:trHeight w:val="263"/>
        </w:trPr>
        <w:tc>
          <w:tcPr>
            <w:tcW w:w="1474" w:type="pct"/>
            <w:tcBorders>
              <w:top w:val="single" w:sz="4" w:space="0" w:color="auto"/>
              <w:left w:val="single" w:sz="8" w:space="0" w:color="auto"/>
              <w:bottom w:val="single" w:sz="4" w:space="0" w:color="auto"/>
              <w:right w:val="single" w:sz="4" w:space="0" w:color="000000"/>
            </w:tcBorders>
            <w:vAlign w:val="center"/>
          </w:tcPr>
          <w:p w14:paraId="1E0CEC72"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Формуляры или иные стандартные формы, в которых определены общие условия договора «Потребительский кредит под залог транспортного средства»</w:t>
            </w:r>
          </w:p>
        </w:tc>
        <w:tc>
          <w:tcPr>
            <w:tcW w:w="3526" w:type="pct"/>
            <w:tcBorders>
              <w:top w:val="single" w:sz="4" w:space="0" w:color="auto"/>
              <w:left w:val="nil"/>
              <w:bottom w:val="single" w:sz="4" w:space="0" w:color="auto"/>
              <w:right w:val="single" w:sz="8" w:space="0" w:color="000000"/>
            </w:tcBorders>
            <w:vAlign w:val="center"/>
          </w:tcPr>
          <w:p w14:paraId="70D797FE" w14:textId="77777777" w:rsidR="009D1253" w:rsidRPr="00D3704B" w:rsidRDefault="009D1253" w:rsidP="009D1253">
            <w:pPr>
              <w:widowControl w:val="0"/>
              <w:tabs>
                <w:tab w:val="left" w:pos="426"/>
                <w:tab w:val="left" w:pos="851"/>
              </w:tabs>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Общие условия Договора «Потребительский кредит под залог транспортного средства» закреплены в «Общих условиях потребительского кредитования в «Азиатско-Тихоокеанский Банк» (АО)», являющихся Приложением № 3 к Универсальному договору банковского обслуживания физических лиц «Азиатско-Тихоокеанский Банк» (АО), размещённых в местах приема заявлений на предоставление потребительского кредита под залог транспортного средства (в отделениях Банка и иных местах приема заявлений на предоставление потребительского кредита под залог транспортного средства), на сайте Банка в сети Интернет по адресу www.atb.su и могут быть предоставлены Заемщику по его требованию на бумажном носителе.</w:t>
            </w:r>
          </w:p>
        </w:tc>
      </w:tr>
      <w:tr w:rsidR="009D1253" w:rsidRPr="00D3704B" w14:paraId="279B6137" w14:textId="77777777" w:rsidTr="009D1253">
        <w:tblPrEx>
          <w:tblLook w:val="00A0" w:firstRow="1" w:lastRow="0" w:firstColumn="1" w:lastColumn="0" w:noHBand="0" w:noVBand="0"/>
        </w:tblPrEx>
        <w:trPr>
          <w:trHeight w:val="263"/>
        </w:trPr>
        <w:tc>
          <w:tcPr>
            <w:tcW w:w="1474" w:type="pct"/>
            <w:tcBorders>
              <w:top w:val="single" w:sz="4" w:space="0" w:color="auto"/>
              <w:left w:val="single" w:sz="8" w:space="0" w:color="auto"/>
              <w:bottom w:val="single" w:sz="4" w:space="0" w:color="auto"/>
              <w:right w:val="single" w:sz="4" w:space="0" w:color="000000"/>
            </w:tcBorders>
            <w:vAlign w:val="center"/>
          </w:tcPr>
          <w:p w14:paraId="7E67B214" w14:textId="77777777" w:rsidR="009D1253" w:rsidRPr="00D3704B" w:rsidRDefault="009D1253" w:rsidP="009D1253">
            <w:pPr>
              <w:rPr>
                <w:rFonts w:ascii="Tahoma" w:eastAsiaTheme="minorHAnsi" w:hAnsi="Tahoma" w:cs="Tahoma"/>
                <w:b/>
                <w:sz w:val="20"/>
                <w:szCs w:val="20"/>
                <w:lang w:eastAsia="en-US"/>
              </w:rPr>
            </w:pPr>
            <w:r w:rsidRPr="00D3704B">
              <w:rPr>
                <w:rFonts w:ascii="Tahoma" w:eastAsiaTheme="minorHAnsi" w:hAnsi="Tahoma" w:cs="Tahoma"/>
                <w:b/>
                <w:bCs/>
                <w:sz w:val="20"/>
                <w:szCs w:val="20"/>
                <w:lang w:eastAsia="en-US"/>
              </w:rPr>
              <w:t xml:space="preserve">Право заемщика обратиться к кредитору с требованием, предусмотренным частью 1 статьи 6.1-2 Федерального закона от 21.12.2013 № 353-ФЗ «О потребительском кредите </w:t>
            </w:r>
            <w:r w:rsidRPr="00D3704B">
              <w:rPr>
                <w:rFonts w:ascii="Tahoma" w:eastAsiaTheme="minorHAnsi" w:hAnsi="Tahoma" w:cs="Tahoma"/>
                <w:b/>
                <w:bCs/>
                <w:sz w:val="20"/>
                <w:szCs w:val="20"/>
                <w:lang w:eastAsia="en-US"/>
              </w:rPr>
              <w:lastRenderedPageBreak/>
              <w:t>(займе)», и об условиях, при наступлении которых у заемщика возникает соответствующее право.</w:t>
            </w:r>
          </w:p>
        </w:tc>
        <w:tc>
          <w:tcPr>
            <w:tcW w:w="3526" w:type="pct"/>
            <w:tcBorders>
              <w:top w:val="single" w:sz="4" w:space="0" w:color="auto"/>
              <w:left w:val="nil"/>
              <w:bottom w:val="single" w:sz="4" w:space="0" w:color="auto"/>
              <w:right w:val="single" w:sz="8" w:space="0" w:color="000000"/>
            </w:tcBorders>
            <w:vAlign w:val="center"/>
          </w:tcPr>
          <w:p w14:paraId="6B27B7A1" w14:textId="77777777" w:rsidR="009D1253" w:rsidRPr="00D3704B" w:rsidRDefault="009D1253" w:rsidP="009D1253">
            <w:pPr>
              <w:widowControl w:val="0"/>
              <w:tabs>
                <w:tab w:val="left" w:pos="426"/>
                <w:tab w:val="left" w:pos="851"/>
              </w:tabs>
              <w:rPr>
                <w:rFonts w:ascii="Tahoma" w:eastAsiaTheme="minorHAnsi" w:hAnsi="Tahoma" w:cs="Tahoma"/>
                <w:sz w:val="20"/>
                <w:szCs w:val="20"/>
                <w:lang w:eastAsia="en-US"/>
              </w:rPr>
            </w:pPr>
            <w:r w:rsidRPr="00D3704B">
              <w:rPr>
                <w:rFonts w:ascii="Tahoma" w:eastAsiaTheme="minorHAnsi" w:hAnsi="Tahoma" w:cs="Tahoma"/>
                <w:sz w:val="20"/>
                <w:szCs w:val="20"/>
                <w:lang w:eastAsia="en-US"/>
              </w:rPr>
              <w:lastRenderedPageBreak/>
              <w:t xml:space="preserve">Заемщик в любой момент в течение времени действия Договора, а в случае, указанном в п. 2 ч. 2 ст. 6.1-2 Закона № 353-ФЗ, в течение шестидесяти дней со дня установления соответствующих фактов, вправе обратиться к кредитору с требованием о предоставлении льготного периода, предусматривающего приостановление исполнения Заемщиком своих обязательств по Договору. </w:t>
            </w:r>
          </w:p>
          <w:p w14:paraId="6DBC79D2" w14:textId="77777777" w:rsidR="009D1253" w:rsidRPr="00D3704B" w:rsidRDefault="009D1253" w:rsidP="009D1253">
            <w:pPr>
              <w:widowControl w:val="0"/>
              <w:tabs>
                <w:tab w:val="left" w:pos="426"/>
                <w:tab w:val="left" w:pos="851"/>
              </w:tabs>
              <w:rPr>
                <w:rFonts w:ascii="Tahoma" w:eastAsiaTheme="minorHAnsi" w:hAnsi="Tahoma" w:cs="Tahoma"/>
                <w:sz w:val="20"/>
                <w:szCs w:val="20"/>
                <w:lang w:eastAsia="en-US"/>
              </w:rPr>
            </w:pPr>
            <w:r w:rsidRPr="00D3704B">
              <w:rPr>
                <w:rFonts w:ascii="Tahoma" w:eastAsiaTheme="minorHAnsi" w:hAnsi="Tahoma" w:cs="Tahoma"/>
                <w:sz w:val="20"/>
                <w:szCs w:val="20"/>
                <w:lang w:eastAsia="en-US"/>
              </w:rPr>
              <w:t xml:space="preserve">С условиями, при наступлении которых у Заемщика возникает такое право, можно ознакомиться в размещаемой </w:t>
            </w:r>
            <w:r w:rsidRPr="00D3704B">
              <w:rPr>
                <w:rFonts w:ascii="Tahoma" w:eastAsiaTheme="minorHAnsi" w:hAnsi="Tahoma" w:cs="Tahoma"/>
                <w:sz w:val="20"/>
                <w:szCs w:val="20"/>
                <w:lang w:eastAsia="en-US"/>
              </w:rPr>
              <w:lastRenderedPageBreak/>
              <w:t xml:space="preserve">Банком информации о кредитных каникулах в рамках 353-ФЗ, в том числе на сайте Банка </w:t>
            </w:r>
          </w:p>
          <w:p w14:paraId="729A6180" w14:textId="77777777" w:rsidR="009D1253" w:rsidRPr="00D3704B" w:rsidRDefault="009D1253" w:rsidP="009D1253">
            <w:pPr>
              <w:widowControl w:val="0"/>
              <w:tabs>
                <w:tab w:val="left" w:pos="426"/>
                <w:tab w:val="left" w:pos="851"/>
              </w:tabs>
              <w:rPr>
                <w:rFonts w:ascii="Tahoma" w:eastAsiaTheme="minorHAnsi" w:hAnsi="Tahoma" w:cs="Tahoma"/>
                <w:sz w:val="20"/>
                <w:szCs w:val="20"/>
                <w:lang w:eastAsia="en-US"/>
              </w:rPr>
            </w:pPr>
            <w:hyperlink r:id="rId74" w:history="1">
              <w:r w:rsidRPr="00D3704B">
                <w:rPr>
                  <w:rFonts w:ascii="Tahoma" w:eastAsiaTheme="minorHAnsi" w:hAnsi="Tahoma" w:cs="Tahoma"/>
                  <w:color w:val="0000FF" w:themeColor="hyperlink"/>
                  <w:sz w:val="20"/>
                  <w:szCs w:val="20"/>
                  <w:u w:val="single"/>
                  <w:lang w:eastAsia="en-US"/>
                </w:rPr>
                <w:t>https://www.atb.su/customer-care-service/</w:t>
              </w:r>
            </w:hyperlink>
          </w:p>
        </w:tc>
      </w:tr>
    </w:tbl>
    <w:p w14:paraId="0EED3C3F" w14:textId="77777777" w:rsidR="009D1253" w:rsidRPr="00D3704B" w:rsidRDefault="009D1253" w:rsidP="009D1253">
      <w:pPr>
        <w:spacing w:after="200" w:line="276" w:lineRule="auto"/>
        <w:rPr>
          <w:rFonts w:asciiTheme="minorHAnsi" w:eastAsiaTheme="minorHAnsi" w:hAnsiTheme="minorHAnsi" w:cstheme="minorBidi"/>
          <w:sz w:val="22"/>
          <w:szCs w:val="22"/>
          <w:lang w:eastAsia="en-US"/>
        </w:rPr>
      </w:pPr>
    </w:p>
    <w:p w14:paraId="3E2CF861" w14:textId="77777777" w:rsidR="009D1253" w:rsidRDefault="009D1253" w:rsidP="009D1253">
      <w:pPr>
        <w:rPr>
          <w:rFonts w:ascii="Tahoma" w:hAnsi="Tahoma" w:cs="Tahoma"/>
          <w:b/>
          <w:i/>
          <w:color w:val="E36C0A"/>
          <w:sz w:val="22"/>
        </w:rPr>
      </w:pPr>
    </w:p>
    <w:p w14:paraId="5E41839E" w14:textId="77777777" w:rsidR="009D1253" w:rsidRDefault="009D1253" w:rsidP="009D1253">
      <w:pPr>
        <w:rPr>
          <w:rFonts w:ascii="Tahoma" w:hAnsi="Tahoma" w:cs="Tahoma"/>
          <w:b/>
          <w:i/>
          <w:color w:val="E36C0A"/>
          <w:sz w:val="22"/>
        </w:rPr>
      </w:pPr>
    </w:p>
    <w:p w14:paraId="2F7F78DC" w14:textId="77777777" w:rsidR="009D1253" w:rsidRDefault="009D1253" w:rsidP="009D1253">
      <w:pPr>
        <w:rPr>
          <w:rFonts w:ascii="Tahoma" w:hAnsi="Tahoma" w:cs="Tahoma"/>
          <w:b/>
          <w:i/>
          <w:color w:val="E36C0A"/>
          <w:sz w:val="22"/>
        </w:rPr>
      </w:pPr>
    </w:p>
    <w:p w14:paraId="484C571B" w14:textId="77777777" w:rsidR="009D1253" w:rsidRDefault="009D1253" w:rsidP="009D1253">
      <w:pPr>
        <w:rPr>
          <w:rFonts w:ascii="Tahoma" w:hAnsi="Tahoma" w:cs="Tahoma"/>
          <w:b/>
          <w:i/>
          <w:color w:val="E36C0A"/>
          <w:sz w:val="22"/>
        </w:rPr>
      </w:pPr>
    </w:p>
    <w:p w14:paraId="33B66FB7" w14:textId="77777777" w:rsidR="009D1253" w:rsidRDefault="009D1253" w:rsidP="009D1253">
      <w:pPr>
        <w:rPr>
          <w:rFonts w:ascii="Tahoma" w:hAnsi="Tahoma" w:cs="Tahoma"/>
          <w:b/>
          <w:i/>
          <w:color w:val="E36C0A"/>
          <w:sz w:val="22"/>
        </w:rPr>
      </w:pPr>
    </w:p>
    <w:p w14:paraId="78E88F33" w14:textId="77777777" w:rsidR="009D1253" w:rsidRDefault="009D1253" w:rsidP="009D1253">
      <w:pPr>
        <w:rPr>
          <w:rFonts w:ascii="Tahoma" w:hAnsi="Tahoma" w:cs="Tahoma"/>
          <w:b/>
          <w:i/>
          <w:color w:val="E36C0A"/>
          <w:sz w:val="22"/>
        </w:rPr>
      </w:pPr>
    </w:p>
    <w:p w14:paraId="7A6525C0" w14:textId="77777777" w:rsidR="009D1253" w:rsidRDefault="009D1253" w:rsidP="009D1253">
      <w:pPr>
        <w:rPr>
          <w:rFonts w:ascii="Tahoma" w:hAnsi="Tahoma" w:cs="Tahoma"/>
          <w:b/>
          <w:i/>
          <w:color w:val="E36C0A"/>
          <w:sz w:val="22"/>
        </w:rPr>
      </w:pPr>
    </w:p>
    <w:p w14:paraId="156623C6" w14:textId="77777777" w:rsidR="009D1253" w:rsidRDefault="009D1253" w:rsidP="009D1253">
      <w:pPr>
        <w:rPr>
          <w:rFonts w:ascii="Tahoma" w:hAnsi="Tahoma" w:cs="Tahoma"/>
          <w:b/>
          <w:i/>
          <w:color w:val="E36C0A"/>
          <w:sz w:val="22"/>
        </w:rPr>
      </w:pPr>
    </w:p>
    <w:p w14:paraId="0A772180" w14:textId="77777777" w:rsidR="009D1253" w:rsidRDefault="009D1253" w:rsidP="009D1253">
      <w:pPr>
        <w:rPr>
          <w:rFonts w:ascii="Tahoma" w:hAnsi="Tahoma" w:cs="Tahoma"/>
          <w:b/>
          <w:i/>
          <w:color w:val="E36C0A"/>
          <w:sz w:val="22"/>
        </w:rPr>
      </w:pPr>
    </w:p>
    <w:p w14:paraId="174CD251" w14:textId="77777777" w:rsidR="009D1253" w:rsidRDefault="009D1253" w:rsidP="009D1253">
      <w:pPr>
        <w:rPr>
          <w:rFonts w:ascii="Tahoma" w:hAnsi="Tahoma" w:cs="Tahoma"/>
          <w:b/>
          <w:i/>
          <w:color w:val="E36C0A"/>
          <w:sz w:val="22"/>
        </w:rPr>
      </w:pPr>
    </w:p>
    <w:p w14:paraId="792D2458" w14:textId="77777777" w:rsidR="009D1253" w:rsidRDefault="009D1253" w:rsidP="009D1253">
      <w:pPr>
        <w:rPr>
          <w:rFonts w:ascii="Tahoma" w:hAnsi="Tahoma" w:cs="Tahoma"/>
          <w:b/>
          <w:i/>
          <w:color w:val="E36C0A"/>
          <w:sz w:val="22"/>
        </w:rPr>
      </w:pPr>
    </w:p>
    <w:p w14:paraId="53D849A4" w14:textId="77777777" w:rsidR="009D1253" w:rsidRPr="00C9310A" w:rsidRDefault="009D1253" w:rsidP="000B3718">
      <w:pPr>
        <w:pStyle w:val="a5"/>
      </w:pPr>
      <w:r w:rsidRPr="00C9310A">
        <w:t>2.4.</w:t>
      </w:r>
      <w:r>
        <w:rPr>
          <w:lang w:val="ru-RU"/>
        </w:rPr>
        <w:t>10</w:t>
      </w:r>
      <w:r w:rsidRPr="00C9310A">
        <w:t>.Тарифный план «</w:t>
      </w:r>
      <w:r>
        <w:rPr>
          <w:lang w:val="ru-RU"/>
        </w:rPr>
        <w:t>АСП_Онлайн</w:t>
      </w:r>
      <w:r w:rsidRPr="00C9310A">
        <w:t>»</w:t>
      </w:r>
    </w:p>
    <w:p w14:paraId="2B8DF438" w14:textId="77777777" w:rsidR="009D1253" w:rsidRDefault="009D1253" w:rsidP="009D1253">
      <w:pPr>
        <w:rPr>
          <w:rFonts w:ascii="Tahoma" w:hAnsi="Tahoma" w:cs="Tahoma"/>
          <w:b/>
          <w:i/>
          <w:color w:val="E36C0A"/>
          <w:sz w:val="22"/>
        </w:rPr>
      </w:pPr>
    </w:p>
    <w:p w14:paraId="7FDEC16F" w14:textId="77777777" w:rsidR="009D1253" w:rsidRPr="00D3704B" w:rsidRDefault="009D1253" w:rsidP="009D1253">
      <w:pPr>
        <w:jc w:val="center"/>
        <w:rPr>
          <w:rFonts w:ascii="Tahoma" w:eastAsiaTheme="minorHAnsi" w:hAnsi="Tahoma" w:cs="Tahoma"/>
          <w:b/>
          <w:noProof/>
          <w:sz w:val="18"/>
          <w:szCs w:val="18"/>
        </w:rPr>
      </w:pPr>
      <w:r w:rsidRPr="00D3704B">
        <w:rPr>
          <w:rFonts w:ascii="Tahoma" w:eastAsiaTheme="minorHAnsi" w:hAnsi="Tahoma" w:cs="Tahoma"/>
          <w:b/>
          <w:noProof/>
          <w:sz w:val="18"/>
          <w:szCs w:val="18"/>
        </w:rPr>
        <w:t>ИНФОРМАЦИЯ ОБ УСЛОВИЯХ ПРЕДОСТАВЛЕНИЯ, ИСПОЛЬЗОВАНИЯ И ВОЗВРАТА ЗАЁМЩИКОМ ПОТРЕБИТЕЛЬСКОГО КРЕДИТА ПОД ЗАЛОГ ТРАНСПОРТНОГО СРЕДСТВА ПО ТАРИФНОМУ ПЛАНУ «АСП_ОНЛАЙН</w:t>
      </w:r>
      <w:r w:rsidRPr="00D3704B">
        <w:rPr>
          <w:rFonts w:ascii="Tahoma" w:eastAsiaTheme="minorHAnsi" w:hAnsi="Tahoma" w:cs="Tahoma"/>
          <w:b/>
          <w:noProof/>
          <w:sz w:val="18"/>
          <w:szCs w:val="18"/>
          <w:vertAlign w:val="superscript"/>
        </w:rPr>
        <w:t>1</w:t>
      </w:r>
      <w:r w:rsidRPr="00D3704B">
        <w:rPr>
          <w:rFonts w:ascii="Tahoma" w:eastAsiaTheme="minorHAnsi" w:hAnsi="Tahoma" w:cs="Tahoma"/>
          <w:b/>
          <w:noProof/>
          <w:sz w:val="18"/>
          <w:szCs w:val="18"/>
        </w:rPr>
        <w:t>»</w:t>
      </w:r>
    </w:p>
    <w:p w14:paraId="1FAFCF44" w14:textId="77777777" w:rsidR="009D1253" w:rsidRPr="00D3704B" w:rsidRDefault="009D1253" w:rsidP="009D1253">
      <w:pPr>
        <w:rPr>
          <w:rFonts w:ascii="Tahoma" w:eastAsiaTheme="minorHAnsi" w:hAnsi="Tahoma" w:cs="Tahoma"/>
          <w:b/>
          <w:bCs/>
          <w:caps/>
          <w:sz w:val="22"/>
          <w:szCs w:val="22"/>
          <w:lang w:eastAsia="en-US"/>
        </w:rPr>
      </w:pPr>
    </w:p>
    <w:p w14:paraId="36AF14A2" w14:textId="77777777" w:rsidR="009D1253" w:rsidRPr="00D3704B" w:rsidRDefault="009D1253" w:rsidP="00B460F9">
      <w:pPr>
        <w:numPr>
          <w:ilvl w:val="0"/>
          <w:numId w:val="176"/>
        </w:numPr>
        <w:tabs>
          <w:tab w:val="num" w:pos="360"/>
          <w:tab w:val="left" w:pos="851"/>
        </w:tabs>
        <w:spacing w:after="200" w:line="276" w:lineRule="auto"/>
        <w:contextualSpacing/>
        <w:jc w:val="both"/>
        <w:rPr>
          <w:rFonts w:ascii="Tahoma" w:eastAsia="Calibri" w:hAnsi="Tahoma" w:cs="Tahoma"/>
          <w:noProof/>
          <w:sz w:val="18"/>
          <w:szCs w:val="18"/>
        </w:rPr>
      </w:pPr>
      <w:r w:rsidRPr="00D3704B">
        <w:rPr>
          <w:rFonts w:ascii="Tahoma" w:eastAsia="Calibri" w:hAnsi="Tahoma" w:cs="Tahoma"/>
          <w:b/>
          <w:bCs/>
          <w:caps/>
          <w:sz w:val="18"/>
          <w:szCs w:val="18"/>
          <w:lang w:eastAsia="en-US"/>
        </w:rPr>
        <w:t>ОСНОВНЫЕ ПОНЯТИЯ, ИСПОЛЬЗУЕМЫЕ ТЕРМИНЫ и сокращения</w:t>
      </w:r>
      <w:r w:rsidRPr="00D3704B">
        <w:rPr>
          <w:rFonts w:ascii="Tahoma" w:eastAsia="Calibri" w:hAnsi="Tahoma" w:cs="Tahoma"/>
          <w:b/>
          <w:bCs/>
          <w:caps/>
          <w:sz w:val="18"/>
          <w:szCs w:val="18"/>
          <w:vertAlign w:val="superscript"/>
          <w:lang w:eastAsia="en-US"/>
        </w:rPr>
        <w:t>2</w:t>
      </w:r>
    </w:p>
    <w:tbl>
      <w:tblPr>
        <w:tblW w:w="4954"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9"/>
        <w:gridCol w:w="11041"/>
      </w:tblGrid>
      <w:tr w:rsidR="009D1253" w:rsidRPr="00D3704B" w14:paraId="047BF8AF" w14:textId="77777777" w:rsidTr="009D1253">
        <w:tc>
          <w:tcPr>
            <w:tcW w:w="1450" w:type="pct"/>
          </w:tcPr>
          <w:p w14:paraId="75B755C7" w14:textId="77777777" w:rsidR="009D1253" w:rsidRPr="00D3704B" w:rsidRDefault="009D1253" w:rsidP="009D1253">
            <w:pPr>
              <w:tabs>
                <w:tab w:val="left" w:pos="851"/>
              </w:tabs>
              <w:rPr>
                <w:rFonts w:ascii="Tahoma" w:eastAsiaTheme="minorHAnsi" w:hAnsi="Tahoma" w:cs="Tahoma"/>
                <w:b/>
                <w:bCs/>
                <w:iCs/>
                <w:sz w:val="18"/>
                <w:szCs w:val="18"/>
                <w:lang w:eastAsia="en-US"/>
              </w:rPr>
            </w:pPr>
            <w:r w:rsidRPr="00D3704B">
              <w:rPr>
                <w:rFonts w:ascii="Tahoma" w:eastAsiaTheme="minorHAnsi" w:hAnsi="Tahoma" w:cs="Tahoma"/>
                <w:b/>
                <w:bCs/>
                <w:iCs/>
                <w:sz w:val="18"/>
                <w:szCs w:val="18"/>
                <w:lang w:eastAsia="en-US"/>
              </w:rPr>
              <w:t>Наименование Кредитора, место нахождения постоянно действующего исполнительного органа, контактный телефон, по которому осуществляется связь с Кредитором, официальный сайт, номер лицензии на осуществление банковских операций</w:t>
            </w:r>
          </w:p>
        </w:tc>
        <w:tc>
          <w:tcPr>
            <w:tcW w:w="3550" w:type="pct"/>
          </w:tcPr>
          <w:p w14:paraId="1562A5B6" w14:textId="77777777" w:rsidR="009D1253" w:rsidRPr="00D3704B" w:rsidRDefault="009D1253" w:rsidP="009D1253">
            <w:pPr>
              <w:tabs>
                <w:tab w:val="left" w:pos="851"/>
              </w:tabs>
              <w:jc w:val="both"/>
              <w:rPr>
                <w:rFonts w:ascii="Tahoma" w:eastAsiaTheme="minorHAnsi" w:hAnsi="Tahoma" w:cs="Tahoma"/>
                <w:bCs/>
                <w:iCs/>
                <w:sz w:val="18"/>
                <w:szCs w:val="18"/>
                <w:lang w:eastAsia="en-US"/>
              </w:rPr>
            </w:pPr>
            <w:r w:rsidRPr="00D3704B">
              <w:rPr>
                <w:rFonts w:ascii="Tahoma" w:eastAsiaTheme="minorHAnsi" w:hAnsi="Tahoma" w:cs="Tahoma"/>
                <w:sz w:val="18"/>
                <w:szCs w:val="18"/>
                <w:lang w:eastAsia="en-US"/>
              </w:rPr>
              <w:t xml:space="preserve">«Азиатско-Тихоокеанский Банк» (Акционерное общество) (далее – Банк). Универсальная лицензия ЦБ РФ № 1810, ОГРН: 1022800000079, ИНН: 2801023444, БИК: 041012765, кор. счет №: 30101810300000000765 в Отделении Благовещенск. Местонахождение Банка и место нахождения его постоянно действующего исполнительного органа: 675004, Амурская область, г. Благовещенск, ул. Амурская, д. 225. Контактный тел.: 8 800 775 8888 (звонок по России бесплатный). Сайт Банка: </w:t>
            </w:r>
            <w:hyperlink r:id="rId75" w:history="1">
              <w:r w:rsidRPr="00D3704B">
                <w:rPr>
                  <w:rFonts w:ascii="Tahoma" w:eastAsiaTheme="minorHAnsi" w:hAnsi="Tahoma" w:cs="Tahoma"/>
                  <w:sz w:val="18"/>
                  <w:szCs w:val="18"/>
                  <w:u w:val="single"/>
                  <w:lang w:eastAsia="en-US"/>
                </w:rPr>
                <w:t>www.atb.su</w:t>
              </w:r>
            </w:hyperlink>
          </w:p>
        </w:tc>
      </w:tr>
      <w:tr w:rsidR="009D1253" w:rsidRPr="00D3704B" w14:paraId="233276B1" w14:textId="77777777" w:rsidTr="009D1253">
        <w:trPr>
          <w:trHeight w:val="203"/>
        </w:trPr>
        <w:tc>
          <w:tcPr>
            <w:tcW w:w="1450" w:type="pct"/>
          </w:tcPr>
          <w:p w14:paraId="23000294" w14:textId="77777777" w:rsidR="009D1253" w:rsidRPr="00D3704B" w:rsidRDefault="009D1253" w:rsidP="009D1253">
            <w:pPr>
              <w:tabs>
                <w:tab w:val="left" w:pos="851"/>
              </w:tabs>
              <w:rPr>
                <w:rFonts w:ascii="Tahoma" w:hAnsi="Tahoma" w:cs="Tahoma"/>
                <w:b/>
                <w:color w:val="000000"/>
                <w:sz w:val="18"/>
                <w:szCs w:val="18"/>
              </w:rPr>
            </w:pPr>
            <w:r w:rsidRPr="00D3704B">
              <w:rPr>
                <w:rFonts w:ascii="Tahoma" w:hAnsi="Tahoma" w:cs="Tahoma"/>
                <w:b/>
                <w:color w:val="000000"/>
                <w:sz w:val="18"/>
                <w:szCs w:val="18"/>
              </w:rPr>
              <w:t xml:space="preserve">ПСК </w:t>
            </w:r>
          </w:p>
        </w:tc>
        <w:tc>
          <w:tcPr>
            <w:tcW w:w="3550" w:type="pct"/>
          </w:tcPr>
          <w:p w14:paraId="526FB9A9" w14:textId="77777777" w:rsidR="009D1253" w:rsidRPr="00D3704B" w:rsidRDefault="009D1253" w:rsidP="009D1253">
            <w:pPr>
              <w:jc w:val="both"/>
              <w:rPr>
                <w:rFonts w:ascii="Tahoma" w:eastAsiaTheme="minorHAnsi" w:hAnsi="Tahoma" w:cs="Tahoma"/>
                <w:sz w:val="18"/>
                <w:szCs w:val="18"/>
                <w:lang w:eastAsia="en-US"/>
              </w:rPr>
            </w:pPr>
            <w:r w:rsidRPr="00D3704B">
              <w:rPr>
                <w:rFonts w:ascii="Tahoma" w:eastAsiaTheme="minorHAnsi" w:hAnsi="Tahoma" w:cs="Tahoma"/>
                <w:sz w:val="18"/>
                <w:szCs w:val="18"/>
                <w:lang w:eastAsia="en-US"/>
              </w:rPr>
              <w:t xml:space="preserve">Полная стоимость потребительского Кредита определяется как в процентах годовых, </w:t>
            </w:r>
            <w:r w:rsidRPr="00D3704B">
              <w:rPr>
                <w:rFonts w:ascii="Tahoma" w:eastAsiaTheme="minorHAnsi" w:hAnsi="Tahoma" w:cs="Tahoma"/>
                <w:bCs/>
                <w:sz w:val="18"/>
                <w:szCs w:val="18"/>
                <w:lang w:eastAsia="en-US"/>
              </w:rPr>
              <w:t>так и в денежном выражении</w:t>
            </w:r>
          </w:p>
        </w:tc>
      </w:tr>
      <w:tr w:rsidR="009D1253" w:rsidRPr="00D3704B" w14:paraId="2EBD8E21" w14:textId="77777777" w:rsidTr="009D1253">
        <w:tc>
          <w:tcPr>
            <w:tcW w:w="1450" w:type="pct"/>
          </w:tcPr>
          <w:p w14:paraId="62002629" w14:textId="77777777" w:rsidR="009D1253" w:rsidRPr="00D3704B" w:rsidRDefault="009D1253" w:rsidP="009D1253">
            <w:pPr>
              <w:rPr>
                <w:rFonts w:ascii="Tahoma" w:eastAsiaTheme="minorHAnsi" w:hAnsi="Tahoma" w:cs="Tahoma"/>
                <w:b/>
                <w:sz w:val="18"/>
                <w:szCs w:val="18"/>
                <w:lang w:eastAsia="en-US"/>
              </w:rPr>
            </w:pPr>
            <w:r w:rsidRPr="00D3704B">
              <w:rPr>
                <w:rFonts w:ascii="Tahoma" w:eastAsiaTheme="minorHAnsi" w:hAnsi="Tahoma" w:cs="Tahoma"/>
                <w:b/>
                <w:sz w:val="18"/>
                <w:szCs w:val="18"/>
                <w:lang w:eastAsia="en-US"/>
              </w:rPr>
              <w:t>Текущий банковский счет (ТБС)</w:t>
            </w:r>
          </w:p>
        </w:tc>
        <w:tc>
          <w:tcPr>
            <w:tcW w:w="3550" w:type="pct"/>
          </w:tcPr>
          <w:p w14:paraId="3AC4E623" w14:textId="77777777" w:rsidR="009D1253" w:rsidRPr="00D3704B" w:rsidRDefault="009D1253" w:rsidP="009D1253">
            <w:pPr>
              <w:widowControl w:val="0"/>
              <w:tabs>
                <w:tab w:val="left" w:pos="851"/>
              </w:tabs>
              <w:adjustRightInd w:val="0"/>
              <w:jc w:val="both"/>
              <w:rPr>
                <w:rFonts w:ascii="Tahoma" w:eastAsiaTheme="minorHAnsi" w:hAnsi="Tahoma" w:cs="Tahoma"/>
                <w:sz w:val="18"/>
                <w:szCs w:val="18"/>
                <w:lang w:eastAsia="en-US"/>
              </w:rPr>
            </w:pPr>
            <w:r w:rsidRPr="00D3704B">
              <w:rPr>
                <w:rFonts w:ascii="Tahoma" w:eastAsiaTheme="minorHAnsi" w:hAnsi="Tahoma" w:cs="Tahoma"/>
                <w:sz w:val="18"/>
                <w:szCs w:val="18"/>
                <w:lang w:eastAsia="en-US"/>
              </w:rPr>
              <w:t>Счет, открываемый Банком Клиенту в рамках заключения Договора ТБС (для совершения Операций) и Договора «Потребительский кредит под залог транспортного средства». ТБС, открытый в рамках Договора «Потребительский кредит под залог транспортного средства», используется для зачисления предоставленных Клиенту (Заёмщику) кредитных средств (а также прочих целей, предусмотренных Сторонами в Договоре), если об открытии данного счета Стороны договорились в Индивидуальных условиях Договора.</w:t>
            </w:r>
          </w:p>
        </w:tc>
      </w:tr>
      <w:tr w:rsidR="009D1253" w:rsidRPr="00D3704B" w14:paraId="25DC4A46" w14:textId="77777777" w:rsidTr="009D1253">
        <w:tc>
          <w:tcPr>
            <w:tcW w:w="1450" w:type="pct"/>
          </w:tcPr>
          <w:p w14:paraId="3902516B" w14:textId="77777777" w:rsidR="009D1253" w:rsidRPr="00D3704B" w:rsidRDefault="009D1253" w:rsidP="009D1253">
            <w:pPr>
              <w:rPr>
                <w:rFonts w:ascii="Tahoma" w:eastAsiaTheme="minorHAnsi" w:hAnsi="Tahoma" w:cs="Tahoma"/>
                <w:b/>
                <w:sz w:val="18"/>
                <w:szCs w:val="18"/>
                <w:lang w:eastAsia="en-US"/>
              </w:rPr>
            </w:pPr>
            <w:r w:rsidRPr="00D3704B">
              <w:rPr>
                <w:rFonts w:ascii="Tahoma" w:eastAsiaTheme="minorHAnsi" w:hAnsi="Tahoma" w:cs="Tahoma"/>
                <w:b/>
                <w:sz w:val="18"/>
                <w:szCs w:val="18"/>
                <w:lang w:eastAsia="en-US"/>
              </w:rPr>
              <w:t>Договор/Договор «Потребительский кредит под залог транспортного средства»</w:t>
            </w:r>
          </w:p>
        </w:tc>
        <w:tc>
          <w:tcPr>
            <w:tcW w:w="3550" w:type="pct"/>
          </w:tcPr>
          <w:p w14:paraId="28FA5003" w14:textId="77777777" w:rsidR="009D1253" w:rsidRPr="00D3704B" w:rsidRDefault="009D1253" w:rsidP="009D1253">
            <w:pPr>
              <w:widowControl w:val="0"/>
              <w:tabs>
                <w:tab w:val="left" w:pos="851"/>
              </w:tabs>
              <w:adjustRightInd w:val="0"/>
              <w:jc w:val="both"/>
              <w:rPr>
                <w:rFonts w:ascii="Tahoma" w:eastAsiaTheme="minorHAnsi" w:hAnsi="Tahoma" w:cs="Tahoma"/>
                <w:sz w:val="18"/>
                <w:szCs w:val="18"/>
                <w:lang w:eastAsia="en-US"/>
              </w:rPr>
            </w:pPr>
            <w:r w:rsidRPr="00D3704B">
              <w:rPr>
                <w:rFonts w:ascii="Tahoma" w:eastAsiaTheme="minorHAnsi" w:hAnsi="Tahoma" w:cs="Tahoma"/>
                <w:sz w:val="18"/>
                <w:szCs w:val="18"/>
                <w:lang w:eastAsia="en-US"/>
              </w:rPr>
              <w:t>Договор «Потребительский кредит под залог транспортного средства» - договор потребительского Кредита, заключаемый в соответствии с Федеральным законом от 21.12.2013 № 353-ФЗ «О потребительском кредите (займе)», исполнение обязательств по которому обеспечивается залогом ТС.</w:t>
            </w:r>
          </w:p>
        </w:tc>
      </w:tr>
      <w:tr w:rsidR="009D1253" w:rsidRPr="00D3704B" w14:paraId="4704F9C2" w14:textId="77777777" w:rsidTr="009D1253">
        <w:tc>
          <w:tcPr>
            <w:tcW w:w="1450" w:type="pct"/>
          </w:tcPr>
          <w:p w14:paraId="0F1A2857" w14:textId="77777777" w:rsidR="009D1253" w:rsidRPr="00D3704B" w:rsidRDefault="009D1253" w:rsidP="009D1253">
            <w:pPr>
              <w:rPr>
                <w:rFonts w:ascii="Tahoma" w:eastAsiaTheme="minorHAnsi" w:hAnsi="Tahoma" w:cs="Tahoma"/>
                <w:b/>
                <w:sz w:val="18"/>
                <w:szCs w:val="18"/>
                <w:lang w:eastAsia="en-US"/>
              </w:rPr>
            </w:pPr>
            <w:r w:rsidRPr="00D3704B">
              <w:rPr>
                <w:rFonts w:ascii="Tahoma" w:eastAsiaTheme="minorHAnsi" w:hAnsi="Tahoma" w:cs="Tahoma"/>
                <w:b/>
                <w:sz w:val="18"/>
                <w:szCs w:val="18"/>
                <w:lang w:eastAsia="en-US"/>
              </w:rPr>
              <w:t xml:space="preserve">Транспортное средство (ТС) </w:t>
            </w:r>
          </w:p>
        </w:tc>
        <w:tc>
          <w:tcPr>
            <w:tcW w:w="3550" w:type="pct"/>
          </w:tcPr>
          <w:p w14:paraId="798A3AF6" w14:textId="77777777" w:rsidR="009D1253" w:rsidRPr="00D3704B" w:rsidRDefault="009D1253" w:rsidP="009D1253">
            <w:pPr>
              <w:widowControl w:val="0"/>
              <w:tabs>
                <w:tab w:val="left" w:pos="851"/>
              </w:tabs>
              <w:adjustRightInd w:val="0"/>
              <w:jc w:val="both"/>
              <w:rPr>
                <w:rFonts w:ascii="Tahoma" w:eastAsiaTheme="minorHAnsi" w:hAnsi="Tahoma" w:cs="Tahoma"/>
                <w:sz w:val="18"/>
                <w:szCs w:val="18"/>
                <w:lang w:eastAsia="en-US"/>
              </w:rPr>
            </w:pPr>
            <w:r w:rsidRPr="00D3704B">
              <w:rPr>
                <w:rFonts w:ascii="Tahoma" w:eastAsiaTheme="minorHAnsi" w:hAnsi="Tahoma" w:cs="Tahoma"/>
                <w:sz w:val="18"/>
                <w:szCs w:val="18"/>
                <w:lang w:eastAsia="en-US"/>
              </w:rPr>
              <w:t>Транспортное средство и дополнительное оборудование для него, информация о котором указана в Договоре «Потребительский кредит под залог транспортного средства», оплата стоимости которого произведена Заёмщиком с использованием Кредита, и предоставляемое в залог в обеспечение обязательств Заёмщика по Кредиту.</w:t>
            </w:r>
          </w:p>
        </w:tc>
      </w:tr>
      <w:tr w:rsidR="009D1253" w:rsidRPr="00D3704B" w14:paraId="1096FEEC" w14:textId="77777777" w:rsidTr="009D1253">
        <w:tc>
          <w:tcPr>
            <w:tcW w:w="5000" w:type="pct"/>
            <w:gridSpan w:val="2"/>
            <w:tcBorders>
              <w:top w:val="single" w:sz="4" w:space="0" w:color="auto"/>
              <w:left w:val="nil"/>
              <w:bottom w:val="nil"/>
              <w:right w:val="nil"/>
            </w:tcBorders>
          </w:tcPr>
          <w:p w14:paraId="24EE7433" w14:textId="77777777" w:rsidR="009D1253" w:rsidRPr="00D3704B" w:rsidRDefault="009D1253" w:rsidP="009D1253">
            <w:pPr>
              <w:widowControl w:val="0"/>
              <w:tabs>
                <w:tab w:val="left" w:pos="851"/>
              </w:tabs>
              <w:adjustRightInd w:val="0"/>
              <w:jc w:val="both"/>
              <w:rPr>
                <w:rFonts w:ascii="Tahoma" w:eastAsiaTheme="minorHAnsi" w:hAnsi="Tahoma" w:cs="Tahoma"/>
                <w:sz w:val="18"/>
                <w:szCs w:val="18"/>
                <w:vertAlign w:val="superscript"/>
                <w:lang w:eastAsia="en-US"/>
              </w:rPr>
            </w:pPr>
            <w:r w:rsidRPr="00D3704B">
              <w:rPr>
                <w:rFonts w:ascii="Tahoma" w:eastAsiaTheme="minorHAnsi" w:hAnsi="Tahoma" w:cs="Tahoma"/>
                <w:sz w:val="18"/>
                <w:szCs w:val="18"/>
                <w:vertAlign w:val="superscript"/>
                <w:lang w:eastAsia="en-US"/>
              </w:rPr>
              <w:lastRenderedPageBreak/>
              <w:t>1</w:t>
            </w:r>
            <w:r w:rsidRPr="00D3704B">
              <w:rPr>
                <w:rFonts w:ascii="Tahoma" w:eastAsiaTheme="minorHAnsi" w:hAnsi="Tahoma" w:cs="Tahoma"/>
                <w:sz w:val="18"/>
                <w:szCs w:val="18"/>
                <w:lang w:eastAsia="en-US"/>
              </w:rPr>
              <w:t>Реализация кредитного продукта производится через операторы финансовых платформ</w:t>
            </w:r>
          </w:p>
          <w:p w14:paraId="6AEC9181" w14:textId="77777777" w:rsidR="009D1253" w:rsidRPr="00D3704B" w:rsidRDefault="009D1253" w:rsidP="009D1253">
            <w:pPr>
              <w:widowControl w:val="0"/>
              <w:tabs>
                <w:tab w:val="left" w:pos="851"/>
              </w:tabs>
              <w:adjustRightInd w:val="0"/>
              <w:jc w:val="both"/>
              <w:rPr>
                <w:rFonts w:ascii="Tahoma" w:eastAsiaTheme="minorHAnsi" w:hAnsi="Tahoma" w:cs="Tahoma"/>
                <w:color w:val="0000FF" w:themeColor="hyperlink"/>
                <w:sz w:val="18"/>
                <w:szCs w:val="18"/>
                <w:u w:val="single"/>
                <w:lang w:eastAsia="en-US"/>
              </w:rPr>
            </w:pPr>
            <w:r w:rsidRPr="00D3704B">
              <w:rPr>
                <w:rFonts w:ascii="Tahoma" w:eastAsiaTheme="minorHAnsi" w:hAnsi="Tahoma" w:cs="Tahoma"/>
                <w:sz w:val="18"/>
                <w:szCs w:val="18"/>
                <w:vertAlign w:val="superscript"/>
                <w:lang w:eastAsia="en-US"/>
              </w:rPr>
              <w:t>2</w:t>
            </w:r>
            <w:r w:rsidRPr="00D3704B">
              <w:rPr>
                <w:rFonts w:ascii="Tahoma" w:eastAsiaTheme="minorHAnsi" w:hAnsi="Tahoma" w:cs="Tahoma"/>
                <w:sz w:val="18"/>
                <w:szCs w:val="18"/>
                <w:lang w:eastAsia="en-US"/>
              </w:rPr>
              <w:t xml:space="preserve">Термины, значение которым не дано в настоящем документе,  применяются в значении, указанном в Универсальном договоре банковского обслуживания физических лиц «Азиатско-Тихоокеанский Банк» (АО) (далее - УДБО), размещённом в подразделениях Банка и на сайте Банка в сети Интернет по адресу </w:t>
            </w:r>
            <w:hyperlink r:id="rId76" w:history="1">
              <w:r w:rsidRPr="00D3704B">
                <w:rPr>
                  <w:rFonts w:ascii="Tahoma" w:eastAsiaTheme="minorHAnsi" w:hAnsi="Tahoma" w:cs="Tahoma"/>
                  <w:color w:val="0000FF" w:themeColor="hyperlink"/>
                  <w:sz w:val="18"/>
                  <w:szCs w:val="18"/>
                  <w:u w:val="single"/>
                  <w:lang w:eastAsia="en-US"/>
                </w:rPr>
                <w:t>www.atb.su</w:t>
              </w:r>
            </w:hyperlink>
          </w:p>
        </w:tc>
      </w:tr>
    </w:tbl>
    <w:p w14:paraId="0BBE5D5C" w14:textId="77777777" w:rsidR="009D1253" w:rsidRPr="00D3704B" w:rsidRDefault="009D1253" w:rsidP="009D1253">
      <w:pPr>
        <w:tabs>
          <w:tab w:val="left" w:pos="851"/>
        </w:tabs>
        <w:ind w:left="426"/>
        <w:contextualSpacing/>
        <w:jc w:val="both"/>
        <w:rPr>
          <w:rFonts w:ascii="Tahoma" w:eastAsia="Calibri" w:hAnsi="Tahoma" w:cs="Tahoma"/>
          <w:b/>
          <w:noProof/>
          <w:sz w:val="18"/>
          <w:szCs w:val="18"/>
        </w:rPr>
      </w:pPr>
    </w:p>
    <w:p w14:paraId="211039B0" w14:textId="77777777" w:rsidR="009D1253" w:rsidRPr="00D3704B" w:rsidRDefault="009D1253" w:rsidP="00B460F9">
      <w:pPr>
        <w:numPr>
          <w:ilvl w:val="0"/>
          <w:numId w:val="176"/>
        </w:numPr>
        <w:tabs>
          <w:tab w:val="num" w:pos="360"/>
          <w:tab w:val="left" w:pos="851"/>
        </w:tabs>
        <w:spacing w:after="200" w:line="276" w:lineRule="auto"/>
        <w:contextualSpacing/>
        <w:jc w:val="both"/>
        <w:rPr>
          <w:rFonts w:ascii="Tahoma" w:eastAsia="Calibri" w:hAnsi="Tahoma" w:cs="Tahoma"/>
          <w:b/>
          <w:noProof/>
          <w:sz w:val="18"/>
          <w:szCs w:val="18"/>
        </w:rPr>
      </w:pPr>
      <w:r w:rsidRPr="00D3704B">
        <w:rPr>
          <w:rFonts w:ascii="Tahoma" w:eastAsia="Calibri" w:hAnsi="Tahoma" w:cs="Tahoma"/>
          <w:b/>
          <w:noProof/>
          <w:sz w:val="18"/>
          <w:szCs w:val="18"/>
        </w:rPr>
        <w:t>ИНФОРМАЦИЯ ОБ УСЛОВИЯХ ПРЕДОСТАВЛЕНИЯ, ИСПОЛЬЗОВАНИЯ И ВОЗВРАТА ЗАЁМЩИКОМ ПОТРЕБИТЕЛЬСКОГО КРЕДИТА ПОД ЗАЛОГ ТРАНСПОРТНОГО СРЕДСТВА</w:t>
      </w:r>
    </w:p>
    <w:tbl>
      <w:tblPr>
        <w:tblW w:w="4886"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24"/>
        <w:gridCol w:w="10812"/>
      </w:tblGrid>
      <w:tr w:rsidR="009D1253" w:rsidRPr="00D3704B" w14:paraId="7D15380A" w14:textId="77777777" w:rsidTr="009D1253">
        <w:trPr>
          <w:trHeight w:val="455"/>
        </w:trPr>
        <w:tc>
          <w:tcPr>
            <w:tcW w:w="1475" w:type="pct"/>
            <w:shd w:val="clear" w:color="auto" w:fill="D9D9D9" w:themeFill="background1" w:themeFillShade="D9"/>
            <w:vAlign w:val="center"/>
          </w:tcPr>
          <w:p w14:paraId="0681CF4F" w14:textId="77777777" w:rsidR="009D1253" w:rsidRPr="00D3704B" w:rsidRDefault="009D1253" w:rsidP="009D1253">
            <w:pPr>
              <w:jc w:val="center"/>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Наименование продукта/</w:t>
            </w:r>
            <w:r w:rsidRPr="00D3704B" w:rsidDel="00A134C4">
              <w:rPr>
                <w:rFonts w:ascii="Tahoma" w:eastAsiaTheme="minorHAnsi" w:hAnsi="Tahoma" w:cs="Tahoma"/>
                <w:b/>
                <w:sz w:val="20"/>
                <w:szCs w:val="20"/>
                <w:lang w:eastAsia="en-US"/>
              </w:rPr>
              <w:t xml:space="preserve"> </w:t>
            </w:r>
            <w:r w:rsidRPr="00D3704B">
              <w:rPr>
                <w:rFonts w:ascii="Tahoma" w:eastAsiaTheme="minorHAnsi" w:hAnsi="Tahoma" w:cs="Tahoma"/>
                <w:b/>
                <w:sz w:val="20"/>
                <w:szCs w:val="20"/>
                <w:lang w:eastAsia="en-US"/>
              </w:rPr>
              <w:t>тарифного плана (ТП)</w:t>
            </w:r>
          </w:p>
        </w:tc>
        <w:tc>
          <w:tcPr>
            <w:tcW w:w="3525" w:type="pct"/>
            <w:shd w:val="clear" w:color="auto" w:fill="D9D9D9" w:themeFill="background1" w:themeFillShade="D9"/>
            <w:vAlign w:val="center"/>
          </w:tcPr>
          <w:p w14:paraId="3CFAD048" w14:textId="77777777" w:rsidR="009D1253" w:rsidRPr="00D3704B" w:rsidRDefault="009D1253" w:rsidP="009D1253">
            <w:pPr>
              <w:tabs>
                <w:tab w:val="left" w:pos="-284"/>
                <w:tab w:val="left" w:pos="851"/>
              </w:tabs>
              <w:autoSpaceDE w:val="0"/>
              <w:autoSpaceDN w:val="0"/>
              <w:ind w:right="849"/>
              <w:jc w:val="center"/>
              <w:rPr>
                <w:rFonts w:ascii="Tahoma" w:hAnsi="Tahoma" w:cs="Tahoma"/>
                <w:b/>
                <w:sz w:val="20"/>
                <w:szCs w:val="20"/>
              </w:rPr>
            </w:pPr>
            <w:r w:rsidRPr="00D3704B">
              <w:rPr>
                <w:rFonts w:ascii="Tahoma" w:hAnsi="Tahoma" w:cs="Tahoma"/>
                <w:b/>
                <w:sz w:val="20"/>
                <w:szCs w:val="20"/>
              </w:rPr>
              <w:t>«АСП_ОНЛАЙН»</w:t>
            </w:r>
          </w:p>
        </w:tc>
      </w:tr>
      <w:tr w:rsidR="009D1253" w:rsidRPr="00D3704B" w14:paraId="597C6287" w14:textId="77777777" w:rsidTr="009D1253">
        <w:trPr>
          <w:trHeight w:val="246"/>
        </w:trPr>
        <w:tc>
          <w:tcPr>
            <w:tcW w:w="1475" w:type="pct"/>
            <w:shd w:val="clear" w:color="auto" w:fill="auto"/>
            <w:vAlign w:val="center"/>
          </w:tcPr>
          <w:p w14:paraId="3213C853"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hAnsi="Tahoma" w:cs="Tahoma"/>
                <w:b/>
                <w:bCs/>
                <w:sz w:val="20"/>
                <w:szCs w:val="20"/>
              </w:rPr>
              <w:t>Категория Заёмщика</w:t>
            </w:r>
          </w:p>
        </w:tc>
        <w:tc>
          <w:tcPr>
            <w:tcW w:w="3525" w:type="pct"/>
            <w:shd w:val="clear" w:color="auto" w:fill="auto"/>
            <w:vAlign w:val="center"/>
          </w:tcPr>
          <w:p w14:paraId="3BF8F92F" w14:textId="77777777" w:rsidR="009D1253" w:rsidRPr="00D3704B" w:rsidRDefault="009D1253" w:rsidP="009D1253">
            <w:pPr>
              <w:tabs>
                <w:tab w:val="left" w:pos="-284"/>
                <w:tab w:val="left" w:pos="851"/>
              </w:tabs>
              <w:autoSpaceDE w:val="0"/>
              <w:autoSpaceDN w:val="0"/>
              <w:ind w:right="849"/>
              <w:jc w:val="center"/>
              <w:rPr>
                <w:rFonts w:ascii="Tahoma" w:hAnsi="Tahoma" w:cs="Tahoma"/>
                <w:sz w:val="20"/>
                <w:szCs w:val="20"/>
              </w:rPr>
            </w:pPr>
            <w:r w:rsidRPr="00D3704B">
              <w:rPr>
                <w:rFonts w:ascii="Tahoma" w:hAnsi="Tahoma" w:cs="Tahoma"/>
                <w:sz w:val="20"/>
                <w:szCs w:val="20"/>
              </w:rPr>
              <w:t>Физические лица (имеющие официальное место работы и/или постоянный источник дохода)</w:t>
            </w:r>
          </w:p>
        </w:tc>
      </w:tr>
      <w:tr w:rsidR="009D1253" w:rsidRPr="00D3704B" w14:paraId="4AFFD47D" w14:textId="77777777" w:rsidTr="009D1253">
        <w:trPr>
          <w:trHeight w:val="250"/>
        </w:trPr>
        <w:tc>
          <w:tcPr>
            <w:tcW w:w="1475" w:type="pct"/>
            <w:vAlign w:val="center"/>
          </w:tcPr>
          <w:p w14:paraId="13DCC8CF"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Вид Кредита</w:t>
            </w:r>
          </w:p>
        </w:tc>
        <w:tc>
          <w:tcPr>
            <w:tcW w:w="3525" w:type="pct"/>
            <w:vAlign w:val="center"/>
          </w:tcPr>
          <w:p w14:paraId="18107908" w14:textId="77777777" w:rsidR="009D1253" w:rsidRPr="00D3704B" w:rsidRDefault="009D1253" w:rsidP="009D1253">
            <w:pPr>
              <w:tabs>
                <w:tab w:val="left" w:pos="-284"/>
                <w:tab w:val="left" w:pos="851"/>
              </w:tabs>
              <w:autoSpaceDE w:val="0"/>
              <w:autoSpaceDN w:val="0"/>
              <w:ind w:right="849"/>
              <w:jc w:val="center"/>
              <w:rPr>
                <w:rFonts w:ascii="Tahoma" w:hAnsi="Tahoma" w:cs="Tahoma"/>
                <w:sz w:val="20"/>
                <w:szCs w:val="20"/>
              </w:rPr>
            </w:pPr>
            <w:r w:rsidRPr="00D3704B">
              <w:rPr>
                <w:rFonts w:ascii="Tahoma" w:hAnsi="Tahoma" w:cs="Tahoma"/>
                <w:sz w:val="20"/>
                <w:szCs w:val="20"/>
              </w:rPr>
              <w:t>Потребительский кредит</w:t>
            </w:r>
          </w:p>
        </w:tc>
      </w:tr>
      <w:tr w:rsidR="009D1253" w:rsidRPr="00D3704B" w14:paraId="6AEA41DB" w14:textId="77777777" w:rsidTr="009D1253">
        <w:trPr>
          <w:trHeight w:val="250"/>
        </w:trPr>
        <w:tc>
          <w:tcPr>
            <w:tcW w:w="1475" w:type="pct"/>
            <w:vAlign w:val="center"/>
          </w:tcPr>
          <w:p w14:paraId="53879C2C"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Тип Кредита</w:t>
            </w:r>
          </w:p>
        </w:tc>
        <w:tc>
          <w:tcPr>
            <w:tcW w:w="3525" w:type="pct"/>
            <w:vAlign w:val="center"/>
          </w:tcPr>
          <w:p w14:paraId="147F18E2" w14:textId="77777777" w:rsidR="009D1253" w:rsidRPr="00D3704B" w:rsidRDefault="009D1253" w:rsidP="009D1253">
            <w:pPr>
              <w:tabs>
                <w:tab w:val="left" w:pos="-284"/>
                <w:tab w:val="left" w:pos="851"/>
              </w:tabs>
              <w:autoSpaceDE w:val="0"/>
              <w:autoSpaceDN w:val="0"/>
              <w:ind w:right="849"/>
              <w:jc w:val="center"/>
              <w:rPr>
                <w:rFonts w:ascii="Tahoma" w:hAnsi="Tahoma" w:cs="Tahoma"/>
                <w:sz w:val="20"/>
                <w:szCs w:val="20"/>
              </w:rPr>
            </w:pPr>
            <w:r w:rsidRPr="00D3704B">
              <w:rPr>
                <w:rFonts w:ascii="Tahoma" w:hAnsi="Tahoma" w:cs="Tahoma"/>
                <w:sz w:val="20"/>
                <w:szCs w:val="20"/>
              </w:rPr>
              <w:t>Потребительский кредит под залог приобретенного ТС</w:t>
            </w:r>
          </w:p>
        </w:tc>
      </w:tr>
      <w:tr w:rsidR="009D1253" w:rsidRPr="00D3704B" w14:paraId="3786E67A" w14:textId="77777777" w:rsidTr="009D1253">
        <w:trPr>
          <w:trHeight w:val="512"/>
        </w:trPr>
        <w:tc>
          <w:tcPr>
            <w:tcW w:w="1475" w:type="pct"/>
            <w:vAlign w:val="center"/>
          </w:tcPr>
          <w:p w14:paraId="37ED71C2"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 xml:space="preserve">Цель Кредита </w:t>
            </w:r>
          </w:p>
        </w:tc>
        <w:tc>
          <w:tcPr>
            <w:tcW w:w="3525" w:type="pct"/>
            <w:vAlign w:val="center"/>
          </w:tcPr>
          <w:p w14:paraId="2B31FB6A" w14:textId="77777777" w:rsidR="009D1253" w:rsidRPr="00D3704B" w:rsidRDefault="009D1253" w:rsidP="009D1253">
            <w:pPr>
              <w:tabs>
                <w:tab w:val="left" w:pos="-284"/>
                <w:tab w:val="left" w:pos="851"/>
              </w:tabs>
              <w:autoSpaceDE w:val="0"/>
              <w:autoSpaceDN w:val="0"/>
              <w:jc w:val="center"/>
              <w:rPr>
                <w:rFonts w:ascii="Tahoma" w:hAnsi="Tahoma" w:cs="Tahoma"/>
                <w:sz w:val="20"/>
                <w:szCs w:val="20"/>
              </w:rPr>
            </w:pPr>
            <w:r w:rsidRPr="00D3704B">
              <w:rPr>
                <w:rFonts w:ascii="Tahoma" w:hAnsi="Tahoma" w:cs="Tahoma"/>
                <w:sz w:val="20"/>
                <w:szCs w:val="20"/>
              </w:rPr>
              <w:t xml:space="preserve">Приобретение подержанного транспортного средства (ТС) отечественной или иностранной марки категории В, или иностранной марки категории </w:t>
            </w:r>
            <w:r w:rsidRPr="00D3704B">
              <w:rPr>
                <w:rFonts w:ascii="Tahoma" w:hAnsi="Tahoma" w:cs="Tahoma"/>
                <w:sz w:val="20"/>
                <w:szCs w:val="20"/>
                <w:lang w:val="en-US"/>
              </w:rPr>
              <w:t>D</w:t>
            </w:r>
            <w:r w:rsidRPr="00D3704B">
              <w:rPr>
                <w:rFonts w:ascii="Tahoma" w:hAnsi="Tahoma" w:cs="Tahoma"/>
                <w:sz w:val="20"/>
                <w:szCs w:val="20"/>
              </w:rPr>
              <w:t>, а также дополнительно на оплату иных товаров, работ и услуг по выбору Заёмщика</w:t>
            </w:r>
          </w:p>
        </w:tc>
      </w:tr>
      <w:tr w:rsidR="009D1253" w:rsidRPr="00D3704B" w14:paraId="23A7FF29" w14:textId="77777777" w:rsidTr="009D1253">
        <w:trPr>
          <w:trHeight w:val="455"/>
        </w:trPr>
        <w:tc>
          <w:tcPr>
            <w:tcW w:w="1475" w:type="pct"/>
            <w:vAlign w:val="center"/>
          </w:tcPr>
          <w:p w14:paraId="4D44AF69"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Подразделения сети/точки продаж, реализующие кредитный продукт</w:t>
            </w:r>
          </w:p>
        </w:tc>
        <w:tc>
          <w:tcPr>
            <w:tcW w:w="3525" w:type="pct"/>
            <w:vAlign w:val="center"/>
          </w:tcPr>
          <w:p w14:paraId="5F0A27DC" w14:textId="77777777" w:rsidR="009D1253" w:rsidRPr="00D3704B" w:rsidRDefault="009D1253" w:rsidP="009D1253">
            <w:pPr>
              <w:tabs>
                <w:tab w:val="left" w:pos="-284"/>
                <w:tab w:val="left" w:pos="851"/>
              </w:tabs>
              <w:autoSpaceDE w:val="0"/>
              <w:autoSpaceDN w:val="0"/>
              <w:jc w:val="center"/>
              <w:rPr>
                <w:rFonts w:ascii="Tahoma" w:hAnsi="Tahoma" w:cs="Tahoma"/>
                <w:sz w:val="20"/>
                <w:szCs w:val="20"/>
              </w:rPr>
            </w:pPr>
            <w:r w:rsidRPr="00D3704B">
              <w:rPr>
                <w:rFonts w:ascii="Tahoma" w:hAnsi="Tahoma" w:cs="Tahoma"/>
                <w:sz w:val="20"/>
                <w:szCs w:val="20"/>
              </w:rPr>
              <w:t xml:space="preserve">Программа предлагается в местах обслуживания клиентов при условии оформления заявки через операторов финансовой платформы в соответствии Федеральным законом от 20.07.2020 № 211-ФЗ "О совершении финансовых сделок с использованием финансовой платформы" при наличии технической возможности. Возможность заключения договора по соответствующему тарифному плану необходимо уточнять в местах обслуживания или по телефону </w:t>
            </w:r>
            <w:hyperlink r:id="rId77" w:history="1">
              <w:r w:rsidRPr="00D3704B">
                <w:rPr>
                  <w:rFonts w:ascii="Tahoma" w:hAnsi="Tahoma" w:cs="Tahoma"/>
                  <w:sz w:val="20"/>
                  <w:szCs w:val="20"/>
                </w:rPr>
                <w:t>8-800-775-88-88</w:t>
              </w:r>
            </w:hyperlink>
          </w:p>
        </w:tc>
      </w:tr>
      <w:tr w:rsidR="009D1253" w:rsidRPr="00D3704B" w14:paraId="283089F9" w14:textId="77777777" w:rsidTr="009D1253">
        <w:trPr>
          <w:trHeight w:val="455"/>
        </w:trPr>
        <w:tc>
          <w:tcPr>
            <w:tcW w:w="1475" w:type="pct"/>
            <w:vAlign w:val="center"/>
          </w:tcPr>
          <w:p w14:paraId="7EF4925F" w14:textId="77777777" w:rsidR="009D1253" w:rsidRPr="00D3704B" w:rsidRDefault="009D1253" w:rsidP="009D1253">
            <w:pPr>
              <w:jc w:val="both"/>
              <w:rPr>
                <w:rFonts w:ascii="Tahoma" w:hAnsi="Tahoma" w:cs="Tahoma"/>
                <w:b/>
                <w:bCs/>
                <w:sz w:val="20"/>
                <w:szCs w:val="20"/>
              </w:rPr>
            </w:pPr>
            <w:r w:rsidRPr="00D3704B">
              <w:rPr>
                <w:rFonts w:ascii="Tahoma" w:hAnsi="Tahoma" w:cs="Tahoma"/>
                <w:b/>
                <w:bCs/>
                <w:sz w:val="20"/>
                <w:szCs w:val="20"/>
              </w:rPr>
              <w:t>Валюта, в которой предоставляется Кредит</w:t>
            </w:r>
          </w:p>
        </w:tc>
        <w:tc>
          <w:tcPr>
            <w:tcW w:w="3525" w:type="pct"/>
            <w:vAlign w:val="center"/>
          </w:tcPr>
          <w:p w14:paraId="07A0357C" w14:textId="77777777" w:rsidR="009D1253" w:rsidRPr="00D3704B" w:rsidRDefault="009D1253" w:rsidP="009D1253">
            <w:pPr>
              <w:tabs>
                <w:tab w:val="left" w:pos="-284"/>
                <w:tab w:val="left" w:pos="851"/>
              </w:tabs>
              <w:autoSpaceDE w:val="0"/>
              <w:autoSpaceDN w:val="0"/>
              <w:ind w:right="849"/>
              <w:jc w:val="center"/>
              <w:rPr>
                <w:rFonts w:ascii="Tahoma" w:hAnsi="Tahoma" w:cs="Tahoma"/>
                <w:sz w:val="20"/>
                <w:szCs w:val="20"/>
              </w:rPr>
            </w:pPr>
            <w:r w:rsidRPr="00D3704B">
              <w:rPr>
                <w:rFonts w:ascii="Tahoma" w:hAnsi="Tahoma" w:cs="Tahoma"/>
                <w:color w:val="000000"/>
                <w:sz w:val="20"/>
                <w:szCs w:val="20"/>
              </w:rPr>
              <w:t>Рубль Российской Федерации (далее - рубль)</w:t>
            </w:r>
          </w:p>
        </w:tc>
      </w:tr>
      <w:tr w:rsidR="009D1253" w:rsidRPr="00D3704B" w14:paraId="3FCC7C6F" w14:textId="77777777" w:rsidTr="009D1253">
        <w:trPr>
          <w:trHeight w:val="455"/>
        </w:trPr>
        <w:tc>
          <w:tcPr>
            <w:tcW w:w="1475" w:type="pct"/>
            <w:shd w:val="clear" w:color="auto" w:fill="auto"/>
            <w:vAlign w:val="center"/>
          </w:tcPr>
          <w:p w14:paraId="6929EA93" w14:textId="77777777" w:rsidR="009D1253" w:rsidRPr="00D3704B" w:rsidRDefault="009D1253" w:rsidP="009D1253">
            <w:pPr>
              <w:jc w:val="both"/>
              <w:rPr>
                <w:rFonts w:ascii="Tahoma" w:hAnsi="Tahoma" w:cs="Tahoma"/>
                <w:b/>
                <w:bCs/>
                <w:sz w:val="20"/>
                <w:szCs w:val="20"/>
              </w:rPr>
            </w:pPr>
            <w:r w:rsidRPr="00D3704B">
              <w:rPr>
                <w:rFonts w:ascii="Tahoma" w:hAnsi="Tahoma" w:cs="Tahoma"/>
                <w:b/>
                <w:sz w:val="20"/>
                <w:szCs w:val="20"/>
              </w:rPr>
              <w:t>Минимальная сумма Кредита</w:t>
            </w:r>
          </w:p>
        </w:tc>
        <w:tc>
          <w:tcPr>
            <w:tcW w:w="3525" w:type="pct"/>
            <w:shd w:val="clear" w:color="auto" w:fill="auto"/>
            <w:vAlign w:val="center"/>
          </w:tcPr>
          <w:p w14:paraId="0818F06F" w14:textId="77777777" w:rsidR="009D1253" w:rsidRPr="00D3704B" w:rsidRDefault="009D1253" w:rsidP="009D1253">
            <w:pPr>
              <w:tabs>
                <w:tab w:val="left" w:pos="-284"/>
                <w:tab w:val="left" w:pos="851"/>
              </w:tabs>
              <w:autoSpaceDE w:val="0"/>
              <w:autoSpaceDN w:val="0"/>
              <w:ind w:right="849"/>
              <w:jc w:val="center"/>
              <w:rPr>
                <w:rFonts w:ascii="Tahoma" w:hAnsi="Tahoma" w:cs="Tahoma"/>
                <w:color w:val="000000"/>
                <w:sz w:val="20"/>
                <w:szCs w:val="20"/>
              </w:rPr>
            </w:pPr>
            <w:r w:rsidRPr="00D3704B">
              <w:rPr>
                <w:rFonts w:ascii="Tahoma" w:hAnsi="Tahoma" w:cs="Tahoma"/>
                <w:color w:val="000000"/>
                <w:sz w:val="20"/>
                <w:szCs w:val="20"/>
              </w:rPr>
              <w:t>200 000 рублей</w:t>
            </w:r>
          </w:p>
        </w:tc>
      </w:tr>
      <w:tr w:rsidR="009D1253" w:rsidRPr="00D3704B" w14:paraId="2567D743" w14:textId="77777777" w:rsidTr="009D1253">
        <w:trPr>
          <w:trHeight w:val="363"/>
        </w:trPr>
        <w:tc>
          <w:tcPr>
            <w:tcW w:w="1475" w:type="pct"/>
            <w:shd w:val="clear" w:color="auto" w:fill="auto"/>
            <w:vAlign w:val="center"/>
          </w:tcPr>
          <w:p w14:paraId="22CE8B50" w14:textId="77777777" w:rsidR="009D1253" w:rsidRPr="00D3704B" w:rsidRDefault="009D1253" w:rsidP="009D1253">
            <w:pPr>
              <w:jc w:val="both"/>
              <w:rPr>
                <w:rFonts w:ascii="Tahoma" w:hAnsi="Tahoma" w:cs="Tahoma"/>
                <w:b/>
                <w:sz w:val="20"/>
                <w:szCs w:val="20"/>
              </w:rPr>
            </w:pPr>
            <w:r w:rsidRPr="00D3704B">
              <w:rPr>
                <w:rFonts w:ascii="Tahoma" w:hAnsi="Tahoma" w:cs="Tahoma"/>
                <w:b/>
                <w:sz w:val="20"/>
                <w:szCs w:val="20"/>
              </w:rPr>
              <w:t>Максимальная сумма Кредита</w:t>
            </w:r>
          </w:p>
        </w:tc>
        <w:tc>
          <w:tcPr>
            <w:tcW w:w="3525" w:type="pct"/>
            <w:shd w:val="clear" w:color="auto" w:fill="auto"/>
            <w:vAlign w:val="center"/>
          </w:tcPr>
          <w:p w14:paraId="68C33F7F" w14:textId="77777777" w:rsidR="009D1253" w:rsidRPr="00D3704B" w:rsidRDefault="009D1253" w:rsidP="009D1253">
            <w:pPr>
              <w:tabs>
                <w:tab w:val="left" w:pos="-284"/>
                <w:tab w:val="left" w:pos="851"/>
              </w:tabs>
              <w:autoSpaceDE w:val="0"/>
              <w:autoSpaceDN w:val="0"/>
              <w:ind w:left="3953"/>
              <w:jc w:val="both"/>
              <w:rPr>
                <w:rFonts w:ascii="Tahoma" w:hAnsi="Tahoma" w:cs="Tahoma"/>
                <w:color w:val="000000"/>
                <w:sz w:val="20"/>
                <w:szCs w:val="20"/>
              </w:rPr>
            </w:pPr>
            <w:r w:rsidRPr="00D3704B">
              <w:rPr>
                <w:rFonts w:ascii="Tahoma" w:hAnsi="Tahoma" w:cs="Tahoma"/>
                <w:color w:val="000000"/>
                <w:sz w:val="20"/>
                <w:szCs w:val="20"/>
              </w:rPr>
              <w:t xml:space="preserve">9 000 000 рублей </w:t>
            </w:r>
          </w:p>
        </w:tc>
      </w:tr>
      <w:tr w:rsidR="009D1253" w:rsidRPr="00D3704B" w14:paraId="47D9FAD6" w14:textId="77777777" w:rsidTr="009D1253">
        <w:trPr>
          <w:trHeight w:val="558"/>
        </w:trPr>
        <w:tc>
          <w:tcPr>
            <w:tcW w:w="1474" w:type="pct"/>
            <w:shd w:val="clear" w:color="auto" w:fill="auto"/>
            <w:vAlign w:val="center"/>
          </w:tcPr>
          <w:p w14:paraId="1BB9DCF0" w14:textId="77777777" w:rsidR="009D1253" w:rsidRPr="00D3704B" w:rsidRDefault="009D1253" w:rsidP="009D1253">
            <w:pPr>
              <w:jc w:val="both"/>
              <w:rPr>
                <w:rFonts w:ascii="Tahoma" w:hAnsi="Tahoma" w:cs="Tahoma"/>
                <w:b/>
                <w:sz w:val="20"/>
                <w:szCs w:val="20"/>
              </w:rPr>
            </w:pPr>
            <w:r w:rsidRPr="00D3704B">
              <w:rPr>
                <w:rFonts w:ascii="Tahoma" w:hAnsi="Tahoma" w:cs="Tahoma"/>
                <w:b/>
                <w:sz w:val="20"/>
                <w:szCs w:val="20"/>
              </w:rPr>
              <w:t xml:space="preserve">Размер первоначального взноса (ПВ), </w:t>
            </w:r>
          </w:p>
          <w:p w14:paraId="445DB47C" w14:textId="77777777" w:rsidR="009D1253" w:rsidRPr="00D3704B" w:rsidRDefault="009D1253" w:rsidP="009D1253">
            <w:pPr>
              <w:jc w:val="both"/>
              <w:rPr>
                <w:rFonts w:ascii="Tahoma" w:hAnsi="Tahoma" w:cs="Tahoma"/>
                <w:b/>
                <w:sz w:val="20"/>
                <w:szCs w:val="20"/>
              </w:rPr>
            </w:pPr>
            <w:r w:rsidRPr="00D3704B">
              <w:rPr>
                <w:rFonts w:ascii="Tahoma" w:hAnsi="Tahoma" w:cs="Tahoma"/>
                <w:b/>
                <w:sz w:val="20"/>
                <w:szCs w:val="20"/>
              </w:rPr>
              <w:t>в % от стоимости ТС</w:t>
            </w:r>
          </w:p>
        </w:tc>
        <w:tc>
          <w:tcPr>
            <w:tcW w:w="3526" w:type="pct"/>
            <w:shd w:val="clear" w:color="auto" w:fill="auto"/>
            <w:vAlign w:val="center"/>
          </w:tcPr>
          <w:p w14:paraId="59E1D5F5" w14:textId="77777777" w:rsidR="009D1253" w:rsidRPr="00D3704B" w:rsidRDefault="009D1253" w:rsidP="009D1253">
            <w:pPr>
              <w:tabs>
                <w:tab w:val="left" w:pos="-284"/>
                <w:tab w:val="left" w:pos="851"/>
              </w:tabs>
              <w:autoSpaceDE w:val="0"/>
              <w:autoSpaceDN w:val="0"/>
              <w:ind w:right="849"/>
              <w:jc w:val="center"/>
              <w:rPr>
                <w:rFonts w:ascii="Tahoma" w:hAnsi="Tahoma" w:cs="Tahoma"/>
                <w:color w:val="000000"/>
                <w:sz w:val="20"/>
                <w:szCs w:val="20"/>
              </w:rPr>
            </w:pPr>
            <w:r w:rsidRPr="00D3704B">
              <w:rPr>
                <w:rFonts w:ascii="Tahoma" w:hAnsi="Tahoma" w:cs="Tahoma"/>
                <w:color w:val="000000"/>
                <w:sz w:val="20"/>
                <w:szCs w:val="20"/>
              </w:rPr>
              <w:t>от 0%</w:t>
            </w:r>
          </w:p>
        </w:tc>
      </w:tr>
      <w:tr w:rsidR="009D1253" w:rsidRPr="00D3704B" w14:paraId="032D4D28" w14:textId="77777777" w:rsidTr="009D1253">
        <w:trPr>
          <w:trHeight w:val="408"/>
        </w:trPr>
        <w:tc>
          <w:tcPr>
            <w:tcW w:w="1474" w:type="pct"/>
            <w:shd w:val="clear" w:color="auto" w:fill="auto"/>
            <w:vAlign w:val="center"/>
          </w:tcPr>
          <w:p w14:paraId="1078ADA0" w14:textId="77777777" w:rsidR="009D1253" w:rsidRPr="00D3704B" w:rsidRDefault="009D1253" w:rsidP="009D1253">
            <w:pPr>
              <w:jc w:val="both"/>
              <w:rPr>
                <w:rFonts w:ascii="Tahoma" w:hAnsi="Tahoma" w:cs="Tahoma"/>
                <w:b/>
                <w:sz w:val="20"/>
                <w:szCs w:val="20"/>
              </w:rPr>
            </w:pPr>
            <w:r w:rsidRPr="00D3704B">
              <w:rPr>
                <w:rFonts w:ascii="Tahoma" w:hAnsi="Tahoma" w:cs="Tahoma"/>
                <w:b/>
                <w:sz w:val="20"/>
                <w:szCs w:val="20"/>
              </w:rPr>
              <w:t>Диапазон сроков возврата Кредита</w:t>
            </w:r>
          </w:p>
        </w:tc>
        <w:tc>
          <w:tcPr>
            <w:tcW w:w="3526" w:type="pct"/>
            <w:shd w:val="clear" w:color="auto" w:fill="auto"/>
            <w:vAlign w:val="center"/>
          </w:tcPr>
          <w:p w14:paraId="00A98A5A" w14:textId="77777777" w:rsidR="009D1253" w:rsidRPr="00D3704B" w:rsidRDefault="009D1253" w:rsidP="009D1253">
            <w:pPr>
              <w:tabs>
                <w:tab w:val="left" w:pos="851"/>
              </w:tabs>
              <w:jc w:val="center"/>
              <w:rPr>
                <w:rFonts w:ascii="Tahoma" w:hAnsi="Tahoma" w:cs="Tahoma"/>
                <w:sz w:val="20"/>
                <w:szCs w:val="20"/>
              </w:rPr>
            </w:pPr>
            <w:r w:rsidRPr="00D3704B">
              <w:rPr>
                <w:rFonts w:ascii="Tahoma" w:hAnsi="Tahoma" w:cs="Tahoma"/>
                <w:sz w:val="20"/>
                <w:szCs w:val="20"/>
              </w:rPr>
              <w:t xml:space="preserve">от 24 (двадцати четырех) до </w:t>
            </w:r>
            <w:r>
              <w:rPr>
                <w:rFonts w:ascii="Tahoma" w:hAnsi="Tahoma" w:cs="Tahoma"/>
                <w:sz w:val="20"/>
                <w:szCs w:val="20"/>
              </w:rPr>
              <w:t>120</w:t>
            </w:r>
            <w:r w:rsidRPr="005A07E7">
              <w:rPr>
                <w:rFonts w:ascii="Tahoma" w:hAnsi="Tahoma" w:cs="Tahoma"/>
                <w:sz w:val="20"/>
                <w:szCs w:val="20"/>
              </w:rPr>
              <w:t xml:space="preserve"> (</w:t>
            </w:r>
            <w:r>
              <w:rPr>
                <w:rFonts w:ascii="Tahoma" w:hAnsi="Tahoma" w:cs="Tahoma"/>
                <w:sz w:val="20"/>
                <w:szCs w:val="20"/>
              </w:rPr>
              <w:t>ста двадцати</w:t>
            </w:r>
            <w:r w:rsidRPr="005A07E7">
              <w:rPr>
                <w:rFonts w:ascii="Tahoma" w:hAnsi="Tahoma" w:cs="Tahoma"/>
                <w:sz w:val="20"/>
                <w:szCs w:val="20"/>
              </w:rPr>
              <w:t>)</w:t>
            </w:r>
            <w:r w:rsidRPr="00D3704B">
              <w:rPr>
                <w:rFonts w:ascii="Tahoma" w:hAnsi="Tahoma" w:cs="Tahoma"/>
                <w:sz w:val="20"/>
                <w:szCs w:val="20"/>
              </w:rPr>
              <w:t xml:space="preserve"> месяцев с шагом в 1 (один) год</w:t>
            </w:r>
          </w:p>
        </w:tc>
      </w:tr>
      <w:tr w:rsidR="009D1253" w:rsidRPr="00D3704B" w14:paraId="36750A19" w14:textId="77777777" w:rsidTr="009D1253">
        <w:trPr>
          <w:trHeight w:val="1840"/>
        </w:trPr>
        <w:tc>
          <w:tcPr>
            <w:tcW w:w="1474" w:type="pct"/>
            <w:vAlign w:val="center"/>
          </w:tcPr>
          <w:p w14:paraId="7BF59C52" w14:textId="77777777" w:rsidR="009D1253" w:rsidRPr="00D3704B" w:rsidRDefault="009D1253" w:rsidP="009D1253">
            <w:pPr>
              <w:spacing w:line="216" w:lineRule="auto"/>
              <w:jc w:val="both"/>
              <w:rPr>
                <w:rFonts w:ascii="Tahoma" w:hAnsi="Tahoma" w:cs="Tahoma"/>
                <w:b/>
                <w:sz w:val="20"/>
                <w:szCs w:val="20"/>
              </w:rPr>
            </w:pPr>
            <w:r w:rsidRPr="00D3704B">
              <w:rPr>
                <w:rFonts w:ascii="Tahoma" w:hAnsi="Tahoma" w:cs="Tahoma"/>
                <w:b/>
                <w:sz w:val="20"/>
                <w:szCs w:val="20"/>
              </w:rPr>
              <w:t>Процентная ставка (в процентах годовых)</w:t>
            </w:r>
          </w:p>
        </w:tc>
        <w:tc>
          <w:tcPr>
            <w:tcW w:w="3526" w:type="pct"/>
            <w:shd w:val="clear" w:color="auto" w:fill="auto"/>
            <w:vAlign w:val="center"/>
          </w:tcPr>
          <w:tbl>
            <w:tblPr>
              <w:tblStyle w:val="291"/>
              <w:tblpPr w:leftFromText="180" w:rightFromText="180" w:vertAnchor="page" w:horzAnchor="margin" w:tblpY="1"/>
              <w:tblOverlap w:val="never"/>
              <w:tblW w:w="9067" w:type="dxa"/>
              <w:tblLayout w:type="fixed"/>
              <w:tblLook w:val="05A0" w:firstRow="1" w:lastRow="0" w:firstColumn="1" w:lastColumn="1" w:noHBand="0" w:noVBand="1"/>
            </w:tblPr>
            <w:tblGrid>
              <w:gridCol w:w="2321"/>
              <w:gridCol w:w="3628"/>
              <w:gridCol w:w="3118"/>
            </w:tblGrid>
            <w:tr w:rsidR="009D1253" w:rsidRPr="00D3704B" w14:paraId="3D465E22" w14:textId="77777777" w:rsidTr="009D1253">
              <w:trPr>
                <w:trHeight w:val="553"/>
              </w:trPr>
              <w:tc>
                <w:tcPr>
                  <w:tcW w:w="9067" w:type="dxa"/>
                  <w:gridSpan w:val="3"/>
                  <w:vAlign w:val="center"/>
                </w:tcPr>
                <w:p w14:paraId="187AE240" w14:textId="77777777" w:rsidR="009D1253" w:rsidRPr="00D3704B" w:rsidRDefault="009D1253" w:rsidP="009D1253">
                  <w:pPr>
                    <w:tabs>
                      <w:tab w:val="left" w:pos="6979"/>
                    </w:tabs>
                    <w:ind w:right="176"/>
                    <w:jc w:val="center"/>
                    <w:rPr>
                      <w:rFonts w:ascii="Tahoma" w:hAnsi="Tahoma" w:cs="Tahoma"/>
                      <w:color w:val="000000"/>
                      <w:sz w:val="20"/>
                      <w:szCs w:val="20"/>
                    </w:rPr>
                  </w:pPr>
                  <w:r w:rsidRPr="00D3704B">
                    <w:rPr>
                      <w:rFonts w:ascii="Tahoma" w:hAnsi="Tahoma" w:cs="Tahoma"/>
                      <w:color w:val="000000"/>
                      <w:sz w:val="20"/>
                      <w:szCs w:val="20"/>
                    </w:rPr>
                    <w:t>АСП_ОНЛАЙН</w:t>
                  </w:r>
                </w:p>
              </w:tc>
            </w:tr>
            <w:tr w:rsidR="009D1253" w:rsidRPr="00D3704B" w14:paraId="16495815" w14:textId="77777777" w:rsidTr="009D1253">
              <w:tc>
                <w:tcPr>
                  <w:tcW w:w="2321" w:type="dxa"/>
                </w:tcPr>
                <w:p w14:paraId="4F96109F" w14:textId="77777777" w:rsidR="009D1253" w:rsidRPr="00D3704B" w:rsidRDefault="009D1253" w:rsidP="009D1253">
                  <w:pPr>
                    <w:tabs>
                      <w:tab w:val="left" w:pos="6979"/>
                    </w:tabs>
                    <w:ind w:right="176"/>
                    <w:rPr>
                      <w:rFonts w:ascii="Tahoma" w:hAnsi="Tahoma" w:cs="Tahoma"/>
                      <w:color w:val="000000"/>
                      <w:sz w:val="20"/>
                      <w:szCs w:val="20"/>
                    </w:rPr>
                  </w:pPr>
                </w:p>
              </w:tc>
              <w:tc>
                <w:tcPr>
                  <w:tcW w:w="3628" w:type="dxa"/>
                </w:tcPr>
                <w:p w14:paraId="4B088E89" w14:textId="77777777" w:rsidR="009D1253" w:rsidRPr="00D3704B" w:rsidRDefault="009D1253" w:rsidP="009D1253">
                  <w:pPr>
                    <w:autoSpaceDE w:val="0"/>
                    <w:autoSpaceDN w:val="0"/>
                    <w:adjustRightInd w:val="0"/>
                    <w:jc w:val="center"/>
                    <w:rPr>
                      <w:rFonts w:ascii="Tahoma" w:hAnsi="Tahoma" w:cs="Tahoma"/>
                      <w:color w:val="000000"/>
                      <w:sz w:val="20"/>
                      <w:szCs w:val="20"/>
                    </w:rPr>
                  </w:pPr>
                  <w:r w:rsidRPr="00D3704B">
                    <w:rPr>
                      <w:rFonts w:ascii="Tahoma" w:hAnsi="Tahoma" w:cs="Tahoma"/>
                      <w:color w:val="000000"/>
                      <w:sz w:val="20"/>
                      <w:szCs w:val="20"/>
                    </w:rPr>
                    <w:t>Ставка по Кредиту при отказе от заключения или досрочном** прекращении договора личного страхования*</w:t>
                  </w:r>
                </w:p>
              </w:tc>
              <w:tc>
                <w:tcPr>
                  <w:tcW w:w="3118" w:type="dxa"/>
                </w:tcPr>
                <w:p w14:paraId="2250F164" w14:textId="77777777" w:rsidR="009D1253" w:rsidRPr="00D3704B" w:rsidRDefault="009D1253" w:rsidP="009D1253">
                  <w:pPr>
                    <w:tabs>
                      <w:tab w:val="left" w:pos="6979"/>
                    </w:tabs>
                    <w:ind w:right="176"/>
                    <w:jc w:val="center"/>
                    <w:rPr>
                      <w:rFonts w:ascii="Tahoma" w:hAnsi="Tahoma" w:cs="Tahoma"/>
                      <w:color w:val="000000"/>
                      <w:sz w:val="20"/>
                      <w:szCs w:val="20"/>
                    </w:rPr>
                  </w:pPr>
                  <w:r w:rsidRPr="00D3704B">
                    <w:rPr>
                      <w:rFonts w:ascii="Tahoma" w:hAnsi="Tahoma" w:cs="Tahoma"/>
                      <w:color w:val="000000"/>
                      <w:sz w:val="20"/>
                      <w:szCs w:val="20"/>
                    </w:rPr>
                    <w:t>Ставка по Кредиту при заключении договора личного страхования*</w:t>
                  </w:r>
                </w:p>
              </w:tc>
            </w:tr>
            <w:tr w:rsidR="009D1253" w:rsidRPr="00D3704B" w14:paraId="07080F32" w14:textId="77777777" w:rsidTr="009D1253">
              <w:trPr>
                <w:trHeight w:val="219"/>
              </w:trPr>
              <w:tc>
                <w:tcPr>
                  <w:tcW w:w="2321" w:type="dxa"/>
                </w:tcPr>
                <w:p w14:paraId="16C4CD70" w14:textId="77777777" w:rsidR="009D1253" w:rsidRPr="00D3704B" w:rsidRDefault="009D1253" w:rsidP="009D1253">
                  <w:pPr>
                    <w:tabs>
                      <w:tab w:val="left" w:pos="6979"/>
                    </w:tabs>
                    <w:ind w:right="176"/>
                    <w:rPr>
                      <w:rFonts w:ascii="Tahoma" w:hAnsi="Tahoma" w:cs="Tahoma"/>
                      <w:color w:val="000000"/>
                      <w:sz w:val="20"/>
                      <w:szCs w:val="20"/>
                    </w:rPr>
                  </w:pPr>
                  <w:r w:rsidRPr="00D3704B">
                    <w:rPr>
                      <w:rFonts w:ascii="Tahoma" w:hAnsi="Tahoma" w:cs="Tahoma"/>
                      <w:color w:val="000000"/>
                      <w:sz w:val="20"/>
                      <w:szCs w:val="20"/>
                    </w:rPr>
                    <w:t>Для подержанных ТС</w:t>
                  </w:r>
                </w:p>
              </w:tc>
              <w:tc>
                <w:tcPr>
                  <w:tcW w:w="3628" w:type="dxa"/>
                  <w:vAlign w:val="center"/>
                </w:tcPr>
                <w:p w14:paraId="1709F0D2" w14:textId="77777777" w:rsidR="009D1253" w:rsidRPr="00D3704B"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27.5</w:t>
                  </w:r>
                  <w:r w:rsidRPr="00D3704B">
                    <w:rPr>
                      <w:rFonts w:ascii="Tahoma" w:hAnsi="Tahoma" w:cs="Tahoma"/>
                      <w:b/>
                      <w:color w:val="000000"/>
                      <w:sz w:val="20"/>
                      <w:szCs w:val="20"/>
                    </w:rPr>
                    <w:t>%</w:t>
                  </w:r>
                </w:p>
              </w:tc>
              <w:tc>
                <w:tcPr>
                  <w:tcW w:w="3118" w:type="dxa"/>
                  <w:vAlign w:val="center"/>
                </w:tcPr>
                <w:p w14:paraId="7368656E" w14:textId="77777777" w:rsidR="009D1253" w:rsidRPr="00D3704B" w:rsidRDefault="009D1253" w:rsidP="009D1253">
                  <w:pPr>
                    <w:autoSpaceDE w:val="0"/>
                    <w:autoSpaceDN w:val="0"/>
                    <w:adjustRightInd w:val="0"/>
                    <w:jc w:val="center"/>
                    <w:rPr>
                      <w:rFonts w:ascii="Tahoma" w:hAnsi="Tahoma" w:cs="Tahoma"/>
                      <w:b/>
                      <w:color w:val="000000"/>
                      <w:sz w:val="20"/>
                      <w:szCs w:val="20"/>
                    </w:rPr>
                  </w:pPr>
                  <w:r>
                    <w:rPr>
                      <w:rFonts w:ascii="Tahoma" w:hAnsi="Tahoma" w:cs="Tahoma"/>
                      <w:b/>
                      <w:color w:val="000000"/>
                      <w:sz w:val="20"/>
                      <w:szCs w:val="20"/>
                    </w:rPr>
                    <w:t>25.5</w:t>
                  </w:r>
                  <w:r w:rsidRPr="00D3704B">
                    <w:rPr>
                      <w:rFonts w:ascii="Tahoma" w:hAnsi="Tahoma" w:cs="Tahoma"/>
                      <w:b/>
                      <w:color w:val="000000"/>
                      <w:sz w:val="20"/>
                      <w:szCs w:val="20"/>
                    </w:rPr>
                    <w:t>%</w:t>
                  </w:r>
                </w:p>
              </w:tc>
            </w:tr>
          </w:tbl>
          <w:p w14:paraId="5B3BA9BC" w14:textId="77777777" w:rsidR="009D1253" w:rsidRPr="00D3704B" w:rsidRDefault="009D1253" w:rsidP="009D1253">
            <w:pPr>
              <w:tabs>
                <w:tab w:val="left" w:pos="6979"/>
              </w:tabs>
              <w:spacing w:line="276" w:lineRule="auto"/>
              <w:ind w:right="176"/>
              <w:jc w:val="both"/>
              <w:rPr>
                <w:rFonts w:asciiTheme="minorHAnsi" w:eastAsiaTheme="minorHAnsi" w:hAnsiTheme="minorHAnsi" w:cstheme="minorBidi"/>
                <w:sz w:val="18"/>
                <w:szCs w:val="18"/>
                <w:lang w:eastAsia="en-US"/>
              </w:rPr>
            </w:pPr>
          </w:p>
          <w:p w14:paraId="1AEB7075" w14:textId="77777777" w:rsidR="009D1253" w:rsidRPr="00D3704B" w:rsidRDefault="009D1253" w:rsidP="009D1253">
            <w:pPr>
              <w:tabs>
                <w:tab w:val="left" w:pos="6979"/>
              </w:tabs>
              <w:spacing w:after="200" w:line="276" w:lineRule="auto"/>
              <w:ind w:right="176"/>
              <w:jc w:val="both"/>
              <w:rPr>
                <w:rFonts w:ascii="Tahoma" w:hAnsi="Tahoma" w:cs="Tahoma"/>
                <w:color w:val="000000"/>
                <w:sz w:val="20"/>
                <w:szCs w:val="20"/>
              </w:rPr>
            </w:pPr>
          </w:p>
          <w:p w14:paraId="671D968B" w14:textId="77777777" w:rsidR="009D1253" w:rsidRPr="00D3704B" w:rsidRDefault="009D1253" w:rsidP="009D1253">
            <w:pPr>
              <w:tabs>
                <w:tab w:val="left" w:pos="6979"/>
              </w:tabs>
              <w:spacing w:after="200"/>
              <w:ind w:right="65"/>
              <w:jc w:val="both"/>
              <w:rPr>
                <w:rFonts w:ascii="Tahoma" w:hAnsi="Tahoma" w:cs="Tahoma"/>
                <w:color w:val="000000"/>
                <w:sz w:val="20"/>
                <w:szCs w:val="20"/>
              </w:rPr>
            </w:pPr>
            <w:r w:rsidRPr="00D3704B">
              <w:rPr>
                <w:rFonts w:ascii="Tahoma" w:hAnsi="Tahoma" w:cs="Tahoma"/>
                <w:color w:val="000000"/>
                <w:sz w:val="20"/>
                <w:szCs w:val="20"/>
              </w:rPr>
              <w:t>При предоставлении Банку сведений о состоянии индивидуального лицевого счета застрахованного лица (форма СЗИ-ИЛС) процентная ставка снижается на 1 процентный пункт единоразово на момент рассмотрения заявки на Кредит.</w:t>
            </w:r>
          </w:p>
          <w:p w14:paraId="752546A2" w14:textId="77777777" w:rsidR="009D1253" w:rsidRPr="00D3704B" w:rsidRDefault="009D1253" w:rsidP="009D1253">
            <w:pPr>
              <w:tabs>
                <w:tab w:val="left" w:pos="6979"/>
                <w:tab w:val="left" w:pos="7548"/>
              </w:tabs>
              <w:ind w:right="65"/>
              <w:jc w:val="both"/>
              <w:rPr>
                <w:rFonts w:ascii="Tahoma" w:eastAsiaTheme="minorHAnsi" w:hAnsi="Tahoma" w:cs="Tahoma"/>
                <w:sz w:val="18"/>
                <w:szCs w:val="18"/>
                <w:lang w:eastAsia="en-US"/>
              </w:rPr>
            </w:pPr>
            <w:r w:rsidRPr="00D3704B">
              <w:rPr>
                <w:rFonts w:ascii="Tahoma" w:eastAsiaTheme="minorHAnsi" w:hAnsi="Tahoma" w:cs="Tahoma"/>
                <w:sz w:val="18"/>
                <w:szCs w:val="18"/>
                <w:lang w:eastAsia="en-US"/>
              </w:rPr>
              <w:lastRenderedPageBreak/>
              <w:t>*Личное страхование с рисками, указанными в п.4 раздела «Информация о страховании» настоящего документа, на срок не менее 6 (шести) месяцев.</w:t>
            </w:r>
            <w:r w:rsidRPr="00D3704B">
              <w:rPr>
                <w:rFonts w:ascii="Tahoma" w:eastAsiaTheme="minorHAnsi" w:hAnsi="Tahoma" w:cs="Tahoma"/>
                <w:sz w:val="22"/>
                <w:szCs w:val="22"/>
                <w:lang w:eastAsia="en-US"/>
              </w:rPr>
              <w:t xml:space="preserve"> </w:t>
            </w:r>
          </w:p>
          <w:p w14:paraId="3213A386" w14:textId="77777777" w:rsidR="009D1253" w:rsidRPr="00D3704B" w:rsidRDefault="009D1253" w:rsidP="009D1253">
            <w:pPr>
              <w:tabs>
                <w:tab w:val="left" w:pos="6979"/>
              </w:tabs>
              <w:ind w:right="65"/>
              <w:jc w:val="both"/>
              <w:rPr>
                <w:rFonts w:ascii="Tahoma" w:eastAsiaTheme="minorHAnsi" w:hAnsi="Tahoma" w:cs="Tahoma"/>
                <w:sz w:val="18"/>
                <w:szCs w:val="18"/>
                <w:lang w:eastAsia="en-US"/>
              </w:rPr>
            </w:pPr>
            <w:r w:rsidRPr="00D3704B">
              <w:rPr>
                <w:rFonts w:ascii="Tahoma" w:eastAsiaTheme="minorHAnsi" w:hAnsi="Tahoma" w:cs="Tahoma"/>
                <w:sz w:val="18"/>
                <w:szCs w:val="18"/>
                <w:lang w:eastAsia="en-US"/>
              </w:rPr>
              <w:t>**В случае досрочного прекращения Заёмщиком Договора Личного страхования, а также в случае заключения Договора Личного страхования, не соответствующего требованиям, указанным в разделе «Информация о страховании» настоящего документа, Банк вправе принять решение об увеличении процентной ставки. Процентная ставка определяется в соответствии с условиями кредитной программы Банка до меньшей из величин процентной ставки на момент принятия решения об увеличении процентной ставки: до уровня процентной ставки, действовавшей на момент заключения договора потребительского кредита или на момент принятия решения об увеличении процентной ставки по договору потребительского кредита на сопоставимых (сумма, срок возврата потребительского кредита, размер первоначального взноса) условиях потребительского кредита без учета заключения договора страхования, начиная с тридцать первого дня, следующего за днем прекращения договора страхового продукта.</w:t>
            </w:r>
          </w:p>
        </w:tc>
      </w:tr>
      <w:tr w:rsidR="009D1253" w:rsidRPr="00D3704B" w14:paraId="31A08200" w14:textId="77777777" w:rsidTr="009D1253">
        <w:trPr>
          <w:trHeight w:val="554"/>
        </w:trPr>
        <w:tc>
          <w:tcPr>
            <w:tcW w:w="1474" w:type="pct"/>
            <w:vAlign w:val="center"/>
          </w:tcPr>
          <w:p w14:paraId="43112052" w14:textId="77777777" w:rsidR="009D1253" w:rsidRPr="00D3704B" w:rsidRDefault="009D1253" w:rsidP="009D1253">
            <w:pPr>
              <w:jc w:val="both"/>
              <w:rPr>
                <w:rFonts w:ascii="Tahoma" w:hAnsi="Tahoma" w:cs="Tahoma"/>
                <w:b/>
                <w:sz w:val="20"/>
                <w:szCs w:val="20"/>
              </w:rPr>
            </w:pPr>
            <w:r w:rsidRPr="00D3704B">
              <w:rPr>
                <w:rFonts w:ascii="Tahoma" w:hAnsi="Tahoma" w:cs="Tahoma"/>
                <w:b/>
                <w:bCs/>
                <w:color w:val="000000" w:themeColor="text1"/>
                <w:sz w:val="20"/>
                <w:szCs w:val="20"/>
              </w:rPr>
              <w:lastRenderedPageBreak/>
              <w:t>Диапазон полной стоимости Кредита в процентном  и денежном выражении в порядке, установленном Федеральным законом от 21.12.2013 №353-ФЗ «О потребительском кредите (займе)»</w:t>
            </w:r>
          </w:p>
        </w:tc>
        <w:tc>
          <w:tcPr>
            <w:tcW w:w="3526" w:type="pct"/>
            <w:shd w:val="clear" w:color="auto" w:fill="auto"/>
            <w:vAlign w:val="center"/>
          </w:tcPr>
          <w:p w14:paraId="0311CF52" w14:textId="77777777" w:rsidR="009D1253" w:rsidRPr="00D3704B" w:rsidRDefault="009D1253" w:rsidP="009D1253">
            <w:pPr>
              <w:jc w:val="center"/>
              <w:rPr>
                <w:rFonts w:ascii="Tahoma" w:hAnsi="Tahoma" w:cs="Tahoma"/>
                <w:color w:val="000000"/>
                <w:sz w:val="20"/>
                <w:szCs w:val="20"/>
              </w:rPr>
            </w:pPr>
            <w:r>
              <w:rPr>
                <w:rFonts w:ascii="Tahoma" w:hAnsi="Tahoma" w:cs="Tahoma"/>
                <w:color w:val="000000"/>
                <w:sz w:val="20"/>
                <w:szCs w:val="20"/>
              </w:rPr>
              <w:t>24.481</w:t>
            </w:r>
            <w:r w:rsidRPr="00D3704B">
              <w:rPr>
                <w:rFonts w:ascii="Tahoma" w:hAnsi="Tahoma" w:cs="Tahoma"/>
                <w:color w:val="000000"/>
                <w:sz w:val="20"/>
                <w:szCs w:val="20"/>
              </w:rPr>
              <w:t xml:space="preserve">% – </w:t>
            </w:r>
            <w:r>
              <w:rPr>
                <w:rFonts w:ascii="Tahoma" w:hAnsi="Tahoma" w:cs="Tahoma"/>
                <w:color w:val="000000"/>
                <w:sz w:val="20"/>
                <w:szCs w:val="20"/>
              </w:rPr>
              <w:t>27.479</w:t>
            </w:r>
            <w:r w:rsidRPr="00D3704B">
              <w:rPr>
                <w:rFonts w:ascii="Tahoma" w:hAnsi="Tahoma" w:cs="Tahoma"/>
                <w:color w:val="000000"/>
                <w:sz w:val="20"/>
                <w:szCs w:val="20"/>
              </w:rPr>
              <w:t>% годовых;</w:t>
            </w:r>
          </w:p>
          <w:p w14:paraId="5D4B34FC" w14:textId="77777777" w:rsidR="009D1253" w:rsidRPr="00D3704B" w:rsidRDefault="009D1253" w:rsidP="009D1253">
            <w:pPr>
              <w:jc w:val="center"/>
              <w:rPr>
                <w:rFonts w:ascii="Tahoma" w:hAnsi="Tahoma" w:cs="Tahoma"/>
                <w:color w:val="000000"/>
                <w:sz w:val="20"/>
                <w:szCs w:val="20"/>
              </w:rPr>
            </w:pPr>
            <w:r>
              <w:rPr>
                <w:rFonts w:ascii="Tahoma" w:hAnsi="Tahoma" w:cs="Tahoma"/>
                <w:color w:val="000000"/>
                <w:sz w:val="20"/>
                <w:szCs w:val="20"/>
              </w:rPr>
              <w:t>54 936.33</w:t>
            </w:r>
            <w:r w:rsidRPr="00B52BCC">
              <w:rPr>
                <w:rFonts w:ascii="Tahoma" w:hAnsi="Tahoma" w:cs="Tahoma"/>
                <w:color w:val="000000"/>
                <w:sz w:val="20"/>
                <w:szCs w:val="20"/>
              </w:rPr>
              <w:t xml:space="preserve"> </w:t>
            </w:r>
            <w:r w:rsidRPr="00D3704B">
              <w:rPr>
                <w:rFonts w:ascii="Tahoma" w:hAnsi="Tahoma" w:cs="Tahoma"/>
                <w:color w:val="000000"/>
                <w:sz w:val="20"/>
                <w:szCs w:val="20"/>
              </w:rPr>
              <w:t xml:space="preserve">руб. – </w:t>
            </w:r>
            <w:r>
              <w:rPr>
                <w:rFonts w:ascii="Tahoma" w:hAnsi="Tahoma" w:cs="Tahoma"/>
                <w:color w:val="000000"/>
                <w:sz w:val="20"/>
                <w:szCs w:val="20"/>
              </w:rPr>
              <w:t>17 480 216.03</w:t>
            </w:r>
            <w:r w:rsidRPr="00B52BCC">
              <w:rPr>
                <w:rFonts w:ascii="Tahoma" w:hAnsi="Tahoma" w:cs="Tahoma"/>
                <w:color w:val="000000"/>
                <w:sz w:val="20"/>
                <w:szCs w:val="20"/>
              </w:rPr>
              <w:t xml:space="preserve"> </w:t>
            </w:r>
            <w:r w:rsidRPr="00D3704B">
              <w:rPr>
                <w:rFonts w:ascii="Tahoma" w:hAnsi="Tahoma" w:cs="Tahoma"/>
                <w:color w:val="000000"/>
                <w:sz w:val="20"/>
                <w:szCs w:val="20"/>
              </w:rPr>
              <w:t>руб.</w:t>
            </w:r>
          </w:p>
          <w:p w14:paraId="293C8A3B" w14:textId="77777777" w:rsidR="009D1253" w:rsidRPr="00D3704B" w:rsidRDefault="009D1253" w:rsidP="009D1253">
            <w:pPr>
              <w:jc w:val="both"/>
              <w:rPr>
                <w:rFonts w:ascii="Tahoma" w:eastAsiaTheme="minorHAnsi" w:hAnsi="Tahoma" w:cs="Tahoma"/>
                <w:sz w:val="18"/>
                <w:szCs w:val="18"/>
                <w:lang w:eastAsia="en-US"/>
              </w:rPr>
            </w:pPr>
            <w:r w:rsidRPr="00D3704B">
              <w:rPr>
                <w:rFonts w:ascii="Tahoma" w:eastAsiaTheme="minorHAnsi" w:hAnsi="Tahoma" w:cs="Tahoma"/>
                <w:sz w:val="18"/>
                <w:szCs w:val="18"/>
                <w:lang w:eastAsia="en-US"/>
              </w:rPr>
              <w:t>Расчет минимального значения ПСК произведен с использованием параметров: минимальная сумма Кредита (200 000 рублей), минимальный срок (24 месяца), минимальная ставка (</w:t>
            </w:r>
            <w:r>
              <w:rPr>
                <w:rFonts w:ascii="Tahoma" w:eastAsiaTheme="minorHAnsi" w:hAnsi="Tahoma" w:cs="Tahoma"/>
                <w:sz w:val="18"/>
                <w:szCs w:val="18"/>
                <w:lang w:eastAsia="en-US"/>
              </w:rPr>
              <w:t>24.5</w:t>
            </w:r>
            <w:r w:rsidRPr="00D3704B">
              <w:rPr>
                <w:rFonts w:ascii="Tahoma" w:eastAsiaTheme="minorHAnsi" w:hAnsi="Tahoma" w:cs="Tahoma"/>
                <w:sz w:val="18"/>
                <w:szCs w:val="18"/>
                <w:lang w:eastAsia="en-US"/>
              </w:rPr>
              <w:t>% годовых для лиц с инвалидностью и с учетом снижения процентной ставки при предоставлении Банку сведений о состоянии индивидуального лицевого счета застрахованного лица (форма СЗИ-ИЛС)).</w:t>
            </w:r>
          </w:p>
          <w:p w14:paraId="128FCC62" w14:textId="77777777" w:rsidR="009D1253" w:rsidRPr="00D3704B" w:rsidRDefault="009D1253" w:rsidP="009D1253">
            <w:pPr>
              <w:jc w:val="both"/>
              <w:rPr>
                <w:rFonts w:ascii="Tahoma" w:hAnsi="Tahoma" w:cs="Tahoma"/>
                <w:color w:val="000000"/>
                <w:sz w:val="20"/>
                <w:szCs w:val="20"/>
              </w:rPr>
            </w:pPr>
            <w:r w:rsidRPr="00D3704B">
              <w:rPr>
                <w:rFonts w:ascii="Tahoma" w:eastAsiaTheme="minorHAnsi" w:hAnsi="Tahoma" w:cs="Tahoma"/>
                <w:sz w:val="18"/>
                <w:szCs w:val="18"/>
                <w:lang w:eastAsia="en-US"/>
              </w:rPr>
              <w:t>Расчет максимального значения ПСК произведен с использованием параметров: максимальная сумма Кредита (9 000 000 рублей), максимальный срок (</w:t>
            </w:r>
            <w:r>
              <w:rPr>
                <w:rFonts w:ascii="Tahoma" w:hAnsi="Tahoma" w:cs="Tahoma"/>
                <w:sz w:val="18"/>
                <w:szCs w:val="18"/>
              </w:rPr>
              <w:t>120</w:t>
            </w:r>
            <w:r w:rsidRPr="00D3704B">
              <w:rPr>
                <w:rFonts w:ascii="Tahoma" w:eastAsiaTheme="minorHAnsi" w:hAnsi="Tahoma" w:cs="Tahoma"/>
                <w:sz w:val="18"/>
                <w:szCs w:val="18"/>
                <w:lang w:eastAsia="en-US"/>
              </w:rPr>
              <w:t xml:space="preserve"> месяцев), максимальная ставка (</w:t>
            </w:r>
            <w:r>
              <w:rPr>
                <w:rFonts w:ascii="Tahoma" w:hAnsi="Tahoma" w:cs="Tahoma"/>
                <w:sz w:val="18"/>
                <w:szCs w:val="18"/>
              </w:rPr>
              <w:t>27.5</w:t>
            </w:r>
            <w:r w:rsidRPr="00D3704B">
              <w:rPr>
                <w:rFonts w:ascii="Tahoma" w:eastAsiaTheme="minorHAnsi" w:hAnsi="Tahoma" w:cs="Tahoma"/>
                <w:sz w:val="18"/>
                <w:szCs w:val="18"/>
                <w:lang w:eastAsia="en-US"/>
              </w:rPr>
              <w:t>% годовых)</w:t>
            </w:r>
          </w:p>
        </w:tc>
      </w:tr>
      <w:tr w:rsidR="009D1253" w:rsidRPr="00D3704B" w14:paraId="5F4E921E" w14:textId="77777777" w:rsidTr="009D1253">
        <w:trPr>
          <w:trHeight w:val="554"/>
        </w:trPr>
        <w:tc>
          <w:tcPr>
            <w:tcW w:w="1474" w:type="pct"/>
          </w:tcPr>
          <w:p w14:paraId="75A80EE4" w14:textId="77777777" w:rsidR="009D1253" w:rsidRPr="00D3704B" w:rsidRDefault="009D1253" w:rsidP="009D1253">
            <w:pPr>
              <w:tabs>
                <w:tab w:val="left" w:pos="851"/>
              </w:tabs>
              <w:jc w:val="both"/>
              <w:rPr>
                <w:rFonts w:ascii="Tahoma" w:eastAsiaTheme="minorHAnsi" w:hAnsi="Tahoma" w:cs="Tahoma"/>
                <w:b/>
                <w:sz w:val="20"/>
                <w:szCs w:val="20"/>
                <w:lang w:eastAsia="en-US"/>
              </w:rPr>
            </w:pPr>
            <w:r w:rsidRPr="00D3704B">
              <w:rPr>
                <w:rFonts w:ascii="Tahoma" w:hAnsi="Tahoma" w:cs="Tahoma"/>
                <w:b/>
                <w:sz w:val="20"/>
                <w:szCs w:val="20"/>
              </w:rPr>
              <w:t>Информация о страховании</w:t>
            </w:r>
          </w:p>
        </w:tc>
        <w:tc>
          <w:tcPr>
            <w:tcW w:w="3526" w:type="pct"/>
            <w:shd w:val="clear" w:color="auto" w:fill="auto"/>
          </w:tcPr>
          <w:p w14:paraId="4B503950" w14:textId="77777777" w:rsidR="009D1253" w:rsidRPr="00D3704B" w:rsidRDefault="009D1253" w:rsidP="009D1253">
            <w:pPr>
              <w:tabs>
                <w:tab w:val="left" w:pos="6979"/>
              </w:tabs>
              <w:spacing w:after="200"/>
              <w:jc w:val="both"/>
              <w:rPr>
                <w:rFonts w:ascii="Tahoma" w:hAnsi="Tahoma" w:cs="Tahoma"/>
                <w:color w:val="000000"/>
                <w:sz w:val="20"/>
                <w:szCs w:val="20"/>
                <w:u w:val="single"/>
              </w:rPr>
            </w:pPr>
            <w:r w:rsidRPr="00D3704B">
              <w:rPr>
                <w:rFonts w:ascii="Tahoma" w:hAnsi="Tahoma" w:cs="Tahoma"/>
                <w:color w:val="000000"/>
                <w:sz w:val="20"/>
                <w:szCs w:val="20"/>
              </w:rPr>
              <w:t xml:space="preserve">При выборе Заёмщиком условий кредитования для приобретения подержанного ТС с заключением Договора Личного страхования, необходимо оформление договора (полиса) страхования в котором выгодоприобретателем в размере задолженности Заемщика </w:t>
            </w:r>
            <w:r>
              <w:rPr>
                <w:rFonts w:ascii="Tahoma" w:hAnsi="Tahoma" w:cs="Tahoma"/>
                <w:color w:val="000000"/>
                <w:sz w:val="20"/>
                <w:szCs w:val="20"/>
              </w:rPr>
              <w:t xml:space="preserve">будет </w:t>
            </w:r>
            <w:r w:rsidRPr="00D3704B">
              <w:rPr>
                <w:rFonts w:ascii="Tahoma" w:hAnsi="Tahoma" w:cs="Tahoma"/>
                <w:color w:val="000000"/>
                <w:sz w:val="20"/>
                <w:szCs w:val="20"/>
              </w:rPr>
              <w:t xml:space="preserve">указан </w:t>
            </w:r>
            <w:r w:rsidRPr="00D3704B">
              <w:rPr>
                <w:rFonts w:ascii="Tahoma" w:eastAsiaTheme="minorHAnsi" w:hAnsi="Tahoma" w:cs="Tahoma"/>
                <w:color w:val="000000"/>
                <w:sz w:val="20"/>
                <w:szCs w:val="20"/>
              </w:rPr>
              <w:t>«Азиатско-Тихоокеанский Банк» (АО)</w:t>
            </w:r>
            <w:r w:rsidRPr="00D3704B">
              <w:rPr>
                <w:rFonts w:ascii="Tahoma" w:hAnsi="Tahoma" w:cs="Tahoma"/>
                <w:color w:val="000000"/>
                <w:sz w:val="20"/>
                <w:szCs w:val="20"/>
              </w:rPr>
              <w:t>, за исключением случаев, когда он выступает страховым агентом при заключении договора страхования.</w:t>
            </w:r>
          </w:p>
          <w:p w14:paraId="5FB38EE6" w14:textId="77777777" w:rsidR="009D1253" w:rsidRPr="00D3704B" w:rsidRDefault="009D1253" w:rsidP="009D1253">
            <w:pPr>
              <w:tabs>
                <w:tab w:val="left" w:pos="6979"/>
              </w:tabs>
              <w:jc w:val="both"/>
              <w:rPr>
                <w:rFonts w:ascii="Tahoma" w:hAnsi="Tahoma" w:cs="Tahoma"/>
                <w:color w:val="000000"/>
                <w:sz w:val="20"/>
                <w:szCs w:val="20"/>
              </w:rPr>
            </w:pPr>
            <w:r w:rsidRPr="00D3704B">
              <w:rPr>
                <w:rFonts w:ascii="Tahoma" w:hAnsi="Tahoma" w:cs="Tahoma"/>
                <w:color w:val="000000"/>
                <w:sz w:val="20"/>
                <w:szCs w:val="20"/>
                <w:u w:val="single"/>
              </w:rPr>
              <w:t>Личное страхование: (</w:t>
            </w:r>
            <w:r w:rsidRPr="00D3704B">
              <w:rPr>
                <w:rFonts w:ascii="Tahoma" w:hAnsi="Tahoma" w:cs="Tahoma"/>
                <w:i/>
                <w:color w:val="000000"/>
                <w:sz w:val="20"/>
                <w:szCs w:val="20"/>
              </w:rPr>
              <w:t xml:space="preserve">оформление данного вида страхования не применимо для лиц с инвалидностью (ЛСИ)*). </w:t>
            </w:r>
          </w:p>
          <w:p w14:paraId="067DE96C" w14:textId="77777777" w:rsidR="009D1253" w:rsidRPr="00D3704B" w:rsidRDefault="009D1253" w:rsidP="009D1253">
            <w:pPr>
              <w:tabs>
                <w:tab w:val="left" w:pos="6979"/>
              </w:tabs>
              <w:jc w:val="both"/>
              <w:rPr>
                <w:rFonts w:ascii="Tahoma" w:hAnsi="Tahoma" w:cs="Tahoma"/>
                <w:color w:val="000000"/>
                <w:sz w:val="20"/>
                <w:szCs w:val="20"/>
              </w:rPr>
            </w:pPr>
            <w:r w:rsidRPr="00D3704B">
              <w:rPr>
                <w:rFonts w:ascii="Tahoma" w:hAnsi="Tahoma" w:cs="Tahoma"/>
                <w:color w:val="000000"/>
                <w:sz w:val="20"/>
                <w:szCs w:val="20"/>
              </w:rPr>
              <w:t>Покрываемые риски</w:t>
            </w:r>
            <w:r>
              <w:rPr>
                <w:rFonts w:ascii="Tahoma" w:hAnsi="Tahoma" w:cs="Tahoma"/>
                <w:color w:val="000000"/>
                <w:sz w:val="20"/>
                <w:szCs w:val="20"/>
              </w:rPr>
              <w:t>, которые должны быть указаны в договоре страхования</w:t>
            </w:r>
            <w:r w:rsidRPr="00D3704B">
              <w:rPr>
                <w:rFonts w:ascii="Tahoma" w:hAnsi="Tahoma" w:cs="Tahoma"/>
                <w:color w:val="000000"/>
                <w:sz w:val="20"/>
                <w:szCs w:val="20"/>
              </w:rPr>
              <w:t xml:space="preserve">: </w:t>
            </w:r>
          </w:p>
          <w:p w14:paraId="27707BE0" w14:textId="77777777" w:rsidR="009D1253" w:rsidRPr="00D3704B" w:rsidRDefault="009D1253" w:rsidP="009D1253">
            <w:pPr>
              <w:tabs>
                <w:tab w:val="left" w:pos="6979"/>
              </w:tabs>
              <w:jc w:val="both"/>
              <w:rPr>
                <w:rFonts w:ascii="Tahoma" w:eastAsiaTheme="minorHAnsi" w:hAnsi="Tahoma" w:cs="Tahoma"/>
                <w:sz w:val="20"/>
                <w:szCs w:val="20"/>
              </w:rPr>
            </w:pPr>
            <w:r w:rsidRPr="00D3704B">
              <w:rPr>
                <w:rFonts w:ascii="Tahoma" w:hAnsi="Tahoma" w:cs="Tahoma"/>
                <w:color w:val="000000"/>
                <w:sz w:val="20"/>
                <w:szCs w:val="20"/>
              </w:rPr>
              <w:t xml:space="preserve">Травмы в результате несчастного случая (по тексту - НС), хирургическая операция в результате НС, </w:t>
            </w:r>
            <w:r w:rsidRPr="00D3704B">
              <w:rPr>
                <w:rFonts w:ascii="Tahoma" w:eastAsiaTheme="minorHAnsi" w:hAnsi="Tahoma" w:cs="Tahoma"/>
                <w:sz w:val="20"/>
                <w:szCs w:val="20"/>
              </w:rPr>
              <w:t xml:space="preserve">смерть по любой причине (ЛП), установление инвалидности 1-й и 2 группы, в том числе в результате болезни. При этом, не </w:t>
            </w:r>
            <w:r>
              <w:rPr>
                <w:rFonts w:ascii="Tahoma" w:eastAsia="Calibri" w:hAnsi="Tahoma" w:cs="Tahoma"/>
                <w:sz w:val="20"/>
                <w:szCs w:val="20"/>
              </w:rPr>
              <w:t xml:space="preserve">должны быть </w:t>
            </w:r>
            <w:r w:rsidRPr="00D3704B">
              <w:rPr>
                <w:rFonts w:ascii="Tahoma" w:eastAsiaTheme="minorHAnsi" w:hAnsi="Tahoma" w:cs="Tahoma"/>
                <w:sz w:val="20"/>
                <w:szCs w:val="20"/>
              </w:rPr>
              <w:t>исключением из застрахованных рисков события, произошедшие в результате болезни Заемщика, прямо/ косвенно связанной с ВИЧ инфекцией/СПИД.</w:t>
            </w:r>
          </w:p>
          <w:p w14:paraId="214CF73A" w14:textId="77777777" w:rsidR="009D1253" w:rsidRPr="00D3704B" w:rsidRDefault="009D1253" w:rsidP="009D1253">
            <w:pPr>
              <w:jc w:val="both"/>
              <w:rPr>
                <w:rFonts w:ascii="Tahoma" w:hAnsi="Tahoma" w:cs="Tahoma"/>
                <w:color w:val="000000"/>
                <w:sz w:val="20"/>
                <w:szCs w:val="20"/>
              </w:rPr>
            </w:pPr>
            <w:r w:rsidRPr="00D3704B">
              <w:rPr>
                <w:rFonts w:ascii="Tahoma" w:hAnsi="Tahoma" w:cs="Tahoma"/>
                <w:color w:val="000000"/>
                <w:sz w:val="20"/>
                <w:szCs w:val="20"/>
              </w:rPr>
              <w:t>По желанию Заёмщика страховая премия по договору страхования может быть оплачена за счет Кредита при выполнении указанных в настоящем пункте условий к договору (полису) страхования.</w:t>
            </w:r>
          </w:p>
          <w:p w14:paraId="20B51E0D" w14:textId="77777777" w:rsidR="009D1253" w:rsidRPr="00D3704B" w:rsidRDefault="009D1253" w:rsidP="009D1253">
            <w:pPr>
              <w:jc w:val="both"/>
              <w:rPr>
                <w:sz w:val="20"/>
                <w:szCs w:val="20"/>
              </w:rPr>
            </w:pPr>
            <w:r w:rsidRPr="00D3704B">
              <w:rPr>
                <w:rFonts w:ascii="Tahoma" w:hAnsi="Tahoma" w:cs="Tahoma"/>
                <w:color w:val="000000"/>
                <w:sz w:val="20"/>
                <w:szCs w:val="20"/>
              </w:rPr>
              <w:t>* для ЛСИ применяется размер процентной ставки за пользование кредитом, соответствующий выбору условий кредитования с процентной ставкой, предусматривающей заключение Личного страхования (без заключения ЛСИ соответствующего договора), при условии предоставления документа, подтверждающего статус ЛСИ.</w:t>
            </w:r>
          </w:p>
        </w:tc>
      </w:tr>
      <w:tr w:rsidR="009D1253" w:rsidRPr="00D3704B" w14:paraId="02684C6C"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699"/>
        </w:trPr>
        <w:tc>
          <w:tcPr>
            <w:tcW w:w="1474" w:type="pct"/>
            <w:tcBorders>
              <w:left w:val="single" w:sz="4" w:space="0" w:color="auto"/>
              <w:right w:val="single" w:sz="4" w:space="0" w:color="auto"/>
            </w:tcBorders>
            <w:vAlign w:val="center"/>
          </w:tcPr>
          <w:p w14:paraId="644867FB" w14:textId="77777777" w:rsidR="009D1253" w:rsidRPr="00D3704B" w:rsidRDefault="009D1253" w:rsidP="009D1253">
            <w:pPr>
              <w:jc w:val="both"/>
              <w:rPr>
                <w:rFonts w:ascii="Tahoma" w:eastAsiaTheme="minorHAnsi" w:hAnsi="Tahoma" w:cs="Tahoma"/>
                <w:sz w:val="20"/>
                <w:szCs w:val="20"/>
                <w:lang w:eastAsia="en-US"/>
              </w:rPr>
            </w:pPr>
            <w:r w:rsidRPr="00D3704B">
              <w:rPr>
                <w:rFonts w:ascii="Tahoma" w:eastAsiaTheme="minorHAnsi" w:hAnsi="Tahoma" w:cs="Tahoma"/>
                <w:b/>
                <w:sz w:val="20"/>
                <w:szCs w:val="20"/>
                <w:lang w:eastAsia="en-US"/>
              </w:rPr>
              <w:t>Требования к Заёмщику, которые установлены Кредитором и выполнение которых является обязательным для предоставления Кредита</w:t>
            </w:r>
          </w:p>
        </w:tc>
        <w:tc>
          <w:tcPr>
            <w:tcW w:w="3526" w:type="pct"/>
            <w:tcBorders>
              <w:top w:val="single" w:sz="4" w:space="0" w:color="auto"/>
              <w:left w:val="nil"/>
              <w:bottom w:val="single" w:sz="4" w:space="0" w:color="auto"/>
              <w:right w:val="single" w:sz="8" w:space="0" w:color="000000"/>
            </w:tcBorders>
            <w:noWrap/>
            <w:vAlign w:val="center"/>
          </w:tcPr>
          <w:p w14:paraId="48C9F547" w14:textId="77777777" w:rsidR="009D1253" w:rsidRPr="00D3704B" w:rsidRDefault="009D1253" w:rsidP="009D1253">
            <w:pPr>
              <w:widowControl w:val="0"/>
              <w:tabs>
                <w:tab w:val="left" w:pos="851"/>
              </w:tabs>
              <w:adjustRightInd w:val="0"/>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 гражданство Российской Федерации;</w:t>
            </w:r>
          </w:p>
          <w:p w14:paraId="06D3909E" w14:textId="77777777" w:rsidR="009D1253" w:rsidRPr="00D3704B" w:rsidRDefault="009D1253" w:rsidP="009D1253">
            <w:pPr>
              <w:widowControl w:val="0"/>
              <w:tabs>
                <w:tab w:val="left" w:pos="851"/>
              </w:tabs>
              <w:adjustRightInd w:val="0"/>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 адрес постоянной регистрации и фактическое место жительства Заёмщика – все регионы РФ;</w:t>
            </w:r>
          </w:p>
          <w:p w14:paraId="7D5FBF7B" w14:textId="77777777" w:rsidR="009D1253" w:rsidRPr="00D3704B" w:rsidRDefault="009D1253" w:rsidP="009D1253">
            <w:pPr>
              <w:widowControl w:val="0"/>
              <w:tabs>
                <w:tab w:val="left" w:pos="851"/>
              </w:tabs>
              <w:adjustRightInd w:val="0"/>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 возраст Заёмщика не менее 21 года (на момент оформления Кредита) и не более 70 лет (на момент окончания действия срока возврата Кредита) включительно;</w:t>
            </w:r>
          </w:p>
          <w:p w14:paraId="5D41D9D4" w14:textId="77777777" w:rsidR="009D1253" w:rsidRPr="00D3704B" w:rsidRDefault="009D1253" w:rsidP="009D1253">
            <w:pPr>
              <w:widowControl w:val="0"/>
              <w:tabs>
                <w:tab w:val="left" w:pos="851"/>
              </w:tabs>
              <w:adjustRightInd w:val="0"/>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 Заёмщик имеет официальное место работы (либо является ИП) и(или) постоянный источник дохода;</w:t>
            </w:r>
          </w:p>
          <w:p w14:paraId="424E7581" w14:textId="77777777" w:rsidR="009D1253" w:rsidRPr="00D3704B" w:rsidRDefault="009D1253" w:rsidP="009D1253">
            <w:pPr>
              <w:widowControl w:val="0"/>
              <w:tabs>
                <w:tab w:val="left" w:pos="851"/>
              </w:tabs>
              <w:adjustRightInd w:val="0"/>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 Заёмщик не имеет официального места работы, при условии достижения пенсионного возраста, и получающий социальную пенсию;</w:t>
            </w:r>
          </w:p>
          <w:p w14:paraId="56FEA762" w14:textId="77777777" w:rsidR="009D1253" w:rsidRPr="00D3704B" w:rsidRDefault="009D1253" w:rsidP="009D1253">
            <w:pPr>
              <w:widowControl w:val="0"/>
              <w:tabs>
                <w:tab w:val="left" w:pos="851"/>
              </w:tabs>
              <w:adjustRightInd w:val="0"/>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 xml:space="preserve">- стаж на последнем месте работы не менее 3 месяцев. </w:t>
            </w:r>
            <w:r w:rsidRPr="00D3704B">
              <w:rPr>
                <w:rFonts w:ascii="Tahoma" w:eastAsiaTheme="minorHAnsi" w:hAnsi="Tahoma" w:cs="Tahoma"/>
                <w:sz w:val="22"/>
                <w:szCs w:val="22"/>
                <w:lang w:eastAsia="en-US"/>
              </w:rPr>
              <w:fldChar w:fldCharType="begin"/>
            </w:r>
            <w:r w:rsidRPr="00D3704B">
              <w:rPr>
                <w:rFonts w:ascii="Tahoma" w:eastAsiaTheme="minorHAnsi" w:hAnsi="Tahoma" w:cs="Tahoma"/>
                <w:sz w:val="22"/>
                <w:szCs w:val="22"/>
                <w:lang w:eastAsia="en-US"/>
              </w:rPr>
              <w:instrText xml:space="preserve"> DOCVARIABLE  КЛИЕНТ </w:instrText>
            </w:r>
            <w:r w:rsidRPr="00D3704B">
              <w:rPr>
                <w:rFonts w:ascii="Tahoma" w:eastAsiaTheme="minorHAnsi" w:hAnsi="Tahoma" w:cs="Tahoma"/>
                <w:sz w:val="22"/>
                <w:szCs w:val="22"/>
                <w:lang w:eastAsia="en-US"/>
              </w:rPr>
              <w:fldChar w:fldCharType="end"/>
            </w:r>
          </w:p>
        </w:tc>
      </w:tr>
      <w:tr w:rsidR="009D1253" w:rsidRPr="00D3704B" w14:paraId="024EA65B"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558"/>
        </w:trPr>
        <w:tc>
          <w:tcPr>
            <w:tcW w:w="1474" w:type="pct"/>
            <w:tcBorders>
              <w:top w:val="single" w:sz="4" w:space="0" w:color="auto"/>
              <w:left w:val="single" w:sz="8" w:space="0" w:color="auto"/>
              <w:bottom w:val="single" w:sz="4" w:space="0" w:color="auto"/>
              <w:right w:val="single" w:sz="4" w:space="0" w:color="auto"/>
            </w:tcBorders>
            <w:vAlign w:val="center"/>
          </w:tcPr>
          <w:p w14:paraId="76487B56"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lastRenderedPageBreak/>
              <w:t>Перечень документов, необходимых для рассмотрения заявления о предоставлении Кредита, в том числе для оценки кредитоспособности Заёмщика (в случае необходимости могут быть запрошены дополнительные документы)</w:t>
            </w:r>
          </w:p>
        </w:tc>
        <w:tc>
          <w:tcPr>
            <w:tcW w:w="3526" w:type="pct"/>
            <w:tcBorders>
              <w:top w:val="single" w:sz="4" w:space="0" w:color="auto"/>
              <w:left w:val="nil"/>
              <w:bottom w:val="single" w:sz="4" w:space="0" w:color="auto"/>
              <w:right w:val="single" w:sz="8" w:space="0" w:color="000000"/>
            </w:tcBorders>
            <w:shd w:val="clear" w:color="auto" w:fill="auto"/>
            <w:noWrap/>
            <w:vAlign w:val="center"/>
          </w:tcPr>
          <w:p w14:paraId="55B0839C" w14:textId="77777777" w:rsidR="009D1253" w:rsidRPr="00D3704B" w:rsidRDefault="009D1253" w:rsidP="00B460F9">
            <w:pPr>
              <w:numPr>
                <w:ilvl w:val="0"/>
                <w:numId w:val="183"/>
              </w:numPr>
              <w:tabs>
                <w:tab w:val="left" w:pos="0"/>
                <w:tab w:val="left" w:pos="268"/>
              </w:tabs>
              <w:autoSpaceDE w:val="0"/>
              <w:autoSpaceDN w:val="0"/>
              <w:spacing w:after="200" w:line="276" w:lineRule="auto"/>
              <w:jc w:val="both"/>
              <w:rPr>
                <w:rFonts w:ascii="Tahoma" w:hAnsi="Tahoma" w:cs="Tahoma"/>
                <w:b/>
                <w:sz w:val="20"/>
                <w:szCs w:val="18"/>
                <w:lang w:eastAsia="en-US"/>
              </w:rPr>
            </w:pPr>
            <w:r w:rsidRPr="00D3704B">
              <w:rPr>
                <w:rFonts w:ascii="Tahoma" w:hAnsi="Tahoma" w:cs="Tahoma"/>
                <w:b/>
                <w:sz w:val="20"/>
                <w:szCs w:val="18"/>
                <w:lang w:eastAsia="en-US"/>
              </w:rPr>
              <w:t>Пакет документов для приобретаемого Заёмщиком за счет кредитных средств Банка подержанного ТС*:</w:t>
            </w:r>
          </w:p>
          <w:p w14:paraId="6FB5E1B1" w14:textId="77777777" w:rsidR="009D1253" w:rsidRPr="00D3704B" w:rsidRDefault="009D1253" w:rsidP="009D1253">
            <w:pPr>
              <w:tabs>
                <w:tab w:val="left" w:pos="0"/>
                <w:tab w:val="left" w:pos="693"/>
                <w:tab w:val="left" w:pos="835"/>
              </w:tabs>
              <w:autoSpaceDE w:val="0"/>
              <w:autoSpaceDN w:val="0"/>
              <w:jc w:val="both"/>
              <w:rPr>
                <w:rFonts w:ascii="Tahoma" w:hAnsi="Tahoma" w:cs="Tahoma"/>
                <w:sz w:val="20"/>
                <w:szCs w:val="18"/>
                <w:lang w:eastAsia="en-US"/>
              </w:rPr>
            </w:pPr>
            <w:r w:rsidRPr="00D3704B">
              <w:rPr>
                <w:rFonts w:ascii="Tahoma" w:hAnsi="Tahoma" w:cs="Tahoma"/>
                <w:sz w:val="20"/>
                <w:szCs w:val="18"/>
                <w:lang w:eastAsia="en-US"/>
              </w:rPr>
              <w:t xml:space="preserve">Оригиналы ПТС (допускается прием дубликата ПТС)/ выписка из Электронного паспорта ТС (далее – выписка ЭПТС) </w:t>
            </w:r>
            <w:r w:rsidRPr="00D3704B">
              <w:rPr>
                <w:rFonts w:ascii="Tahoma" w:hAnsi="Tahoma" w:cs="Tahoma"/>
                <w:sz w:val="20"/>
                <w:szCs w:val="18"/>
              </w:rPr>
              <w:t>в статусе «действующий» / «незавершенный»</w:t>
            </w:r>
          </w:p>
          <w:p w14:paraId="2FA04454" w14:textId="77777777" w:rsidR="009D1253" w:rsidRPr="00D3704B" w:rsidRDefault="009D1253" w:rsidP="009D1253">
            <w:pPr>
              <w:autoSpaceDE w:val="0"/>
              <w:autoSpaceDN w:val="0"/>
              <w:jc w:val="both"/>
              <w:rPr>
                <w:rFonts w:ascii="Tahoma" w:hAnsi="Tahoma" w:cs="Tahoma"/>
                <w:sz w:val="20"/>
                <w:szCs w:val="18"/>
              </w:rPr>
            </w:pPr>
            <w:r w:rsidRPr="00D3704B">
              <w:rPr>
                <w:rFonts w:ascii="Tahoma" w:hAnsi="Tahoma" w:cs="Tahoma"/>
                <w:sz w:val="20"/>
                <w:szCs w:val="18"/>
              </w:rPr>
              <w:t>Полномочия юридического лица / ИП на реализацию ТС подтверждаются одним из следующих документов: договором купли-продажи, дилерским договором, договором поставки и актом приема-передачи ТС по указанным договорам или агентским договором, договором комиссии и т.п., заключенным с собственником ТС и предоставляющим ему право на реализацию такого ТС. При необходимости Банком может быть запрошен</w:t>
            </w:r>
            <w:r>
              <w:rPr>
                <w:rFonts w:ascii="Tahoma" w:hAnsi="Tahoma" w:cs="Tahoma"/>
                <w:sz w:val="20"/>
                <w:szCs w:val="18"/>
              </w:rPr>
              <w:t>о Свидетельство о регистрации транспортного средства</w:t>
            </w:r>
            <w:r w:rsidRPr="00D3704B">
              <w:rPr>
                <w:rFonts w:ascii="Tahoma" w:hAnsi="Tahoma" w:cs="Tahoma"/>
                <w:sz w:val="20"/>
                <w:szCs w:val="18"/>
              </w:rPr>
              <w:t>.</w:t>
            </w:r>
          </w:p>
          <w:p w14:paraId="326A1C43" w14:textId="77777777" w:rsidR="009D1253" w:rsidRPr="00D3704B" w:rsidRDefault="009D1253" w:rsidP="009D1253">
            <w:pPr>
              <w:autoSpaceDE w:val="0"/>
              <w:autoSpaceDN w:val="0"/>
              <w:jc w:val="both"/>
              <w:rPr>
                <w:rFonts w:ascii="Tahoma" w:hAnsi="Tahoma" w:cs="Tahoma"/>
                <w:sz w:val="20"/>
                <w:szCs w:val="18"/>
              </w:rPr>
            </w:pPr>
            <w:r w:rsidRPr="00D3704B">
              <w:rPr>
                <w:rFonts w:ascii="Tahoma" w:hAnsi="Tahoma" w:cs="Tahoma"/>
                <w:sz w:val="20"/>
                <w:szCs w:val="18"/>
              </w:rPr>
              <w:t>Для ТС, ввезенных из-за границы и не поставленных на государственный регистрационный учет в РФ дополнительно к указанным документам и выписке из ЭПТС прилагается таможенная декларация (или иной документ при отсутствии у продавца ТС таможенной декларации или в дополнение к ней). При этом таможенная декларация и/или иной документ, предоставленный Банку, должен содержать VIN номер ТС, а также идентификационные данные продавца ТС (или иного лица, осуществлявшего таможенные процедуры в отношении ТС, а также процедуры, необходимые для получения ЭПТС, и передавшего полномочия по реализации ТС продавцу ТС на основании договора).</w:t>
            </w:r>
          </w:p>
          <w:p w14:paraId="2BCB16B3" w14:textId="77777777" w:rsidR="009D1253" w:rsidRPr="00D3704B" w:rsidRDefault="009D1253" w:rsidP="009D1253">
            <w:pPr>
              <w:tabs>
                <w:tab w:val="left" w:pos="0"/>
                <w:tab w:val="left" w:pos="176"/>
                <w:tab w:val="left" w:pos="835"/>
              </w:tabs>
              <w:autoSpaceDE w:val="0"/>
              <w:autoSpaceDN w:val="0"/>
              <w:rPr>
                <w:rFonts w:ascii="Tahoma" w:hAnsi="Tahoma" w:cs="Tahoma"/>
                <w:strike/>
                <w:sz w:val="20"/>
                <w:szCs w:val="18"/>
                <w:lang w:eastAsia="en-US"/>
              </w:rPr>
            </w:pPr>
          </w:p>
          <w:p w14:paraId="29329B22" w14:textId="77777777" w:rsidR="009D1253" w:rsidRPr="00D3704B" w:rsidRDefault="009D1253" w:rsidP="00B460F9">
            <w:pPr>
              <w:numPr>
                <w:ilvl w:val="0"/>
                <w:numId w:val="183"/>
              </w:numPr>
              <w:tabs>
                <w:tab w:val="left" w:pos="0"/>
                <w:tab w:val="left" w:pos="268"/>
              </w:tabs>
              <w:autoSpaceDE w:val="0"/>
              <w:autoSpaceDN w:val="0"/>
              <w:spacing w:after="200" w:line="276" w:lineRule="auto"/>
              <w:ind w:left="0" w:firstLine="0"/>
              <w:jc w:val="both"/>
              <w:rPr>
                <w:rFonts w:ascii="Tahoma" w:hAnsi="Tahoma" w:cs="Tahoma"/>
                <w:b/>
                <w:sz w:val="20"/>
                <w:szCs w:val="18"/>
                <w:lang w:eastAsia="en-US"/>
              </w:rPr>
            </w:pPr>
            <w:r w:rsidRPr="00D3704B">
              <w:rPr>
                <w:rFonts w:ascii="Tahoma" w:hAnsi="Tahoma" w:cs="Tahoma"/>
                <w:b/>
                <w:sz w:val="20"/>
                <w:szCs w:val="18"/>
                <w:lang w:eastAsia="en-US"/>
              </w:rPr>
              <w:t>Пакет документов для Заёмщика</w:t>
            </w:r>
          </w:p>
          <w:p w14:paraId="1576337B" w14:textId="77777777" w:rsidR="009D1253" w:rsidRPr="00D3704B" w:rsidRDefault="009D1253" w:rsidP="00B460F9">
            <w:pPr>
              <w:numPr>
                <w:ilvl w:val="0"/>
                <w:numId w:val="177"/>
              </w:numPr>
              <w:tabs>
                <w:tab w:val="left" w:pos="0"/>
                <w:tab w:val="left" w:pos="268"/>
              </w:tabs>
              <w:autoSpaceDE w:val="0"/>
              <w:autoSpaceDN w:val="0"/>
              <w:spacing w:after="200" w:line="276" w:lineRule="auto"/>
              <w:ind w:left="0" w:firstLine="0"/>
              <w:jc w:val="both"/>
              <w:rPr>
                <w:rFonts w:ascii="Tahoma" w:hAnsi="Tahoma" w:cs="Tahoma"/>
                <w:sz w:val="20"/>
                <w:szCs w:val="18"/>
                <w:lang w:eastAsia="en-US"/>
              </w:rPr>
            </w:pPr>
            <w:r w:rsidRPr="00D3704B">
              <w:rPr>
                <w:rFonts w:ascii="Tahoma" w:hAnsi="Tahoma" w:cs="Tahoma"/>
                <w:sz w:val="20"/>
                <w:szCs w:val="18"/>
                <w:lang w:eastAsia="en-US"/>
              </w:rPr>
              <w:t>Паспорт гражданина РФ</w:t>
            </w:r>
          </w:p>
          <w:p w14:paraId="72A1BE23" w14:textId="77777777" w:rsidR="009D1253" w:rsidRPr="00D3704B" w:rsidRDefault="009D1253" w:rsidP="00B460F9">
            <w:pPr>
              <w:numPr>
                <w:ilvl w:val="0"/>
                <w:numId w:val="177"/>
              </w:numPr>
              <w:tabs>
                <w:tab w:val="left" w:pos="0"/>
                <w:tab w:val="left" w:pos="268"/>
              </w:tabs>
              <w:autoSpaceDE w:val="0"/>
              <w:autoSpaceDN w:val="0"/>
              <w:spacing w:after="200" w:line="276" w:lineRule="auto"/>
              <w:ind w:left="0" w:firstLine="0"/>
              <w:jc w:val="both"/>
              <w:rPr>
                <w:rFonts w:ascii="Tahoma" w:hAnsi="Tahoma" w:cs="Tahoma"/>
                <w:sz w:val="20"/>
                <w:szCs w:val="18"/>
                <w:lang w:eastAsia="en-US"/>
              </w:rPr>
            </w:pPr>
            <w:r w:rsidRPr="00D3704B">
              <w:rPr>
                <w:rFonts w:ascii="Tahoma" w:hAnsi="Tahoma" w:cs="Tahoma"/>
                <w:sz w:val="20"/>
                <w:szCs w:val="18"/>
                <w:lang w:eastAsia="en-US"/>
              </w:rPr>
              <w:t>Второй документ, предоставляется из следующих документов по выбору Заёмщика:</w:t>
            </w:r>
            <w:r w:rsidRPr="00D3704B" w:rsidDel="00721FE6">
              <w:rPr>
                <w:rFonts w:ascii="Tahoma" w:hAnsi="Tahoma" w:cs="Tahoma"/>
                <w:sz w:val="20"/>
                <w:szCs w:val="18"/>
                <w:lang w:eastAsia="en-US"/>
              </w:rPr>
              <w:t xml:space="preserve"> </w:t>
            </w:r>
          </w:p>
          <w:p w14:paraId="4208375B" w14:textId="77777777" w:rsidR="009D1253" w:rsidRPr="00D3704B" w:rsidRDefault="009D1253" w:rsidP="009D1253">
            <w:pPr>
              <w:tabs>
                <w:tab w:val="left" w:pos="0"/>
              </w:tabs>
              <w:autoSpaceDE w:val="0"/>
              <w:autoSpaceDN w:val="0"/>
              <w:ind w:firstLine="268"/>
              <w:jc w:val="both"/>
              <w:rPr>
                <w:rFonts w:ascii="Tahoma" w:hAnsi="Tahoma" w:cs="Tahoma"/>
                <w:sz w:val="20"/>
                <w:szCs w:val="18"/>
                <w:lang w:eastAsia="en-US"/>
              </w:rPr>
            </w:pPr>
            <w:r w:rsidRPr="00D3704B">
              <w:rPr>
                <w:rFonts w:ascii="Tahoma" w:hAnsi="Tahoma" w:cs="Tahoma"/>
                <w:sz w:val="20"/>
                <w:szCs w:val="18"/>
                <w:lang w:eastAsia="en-US"/>
              </w:rPr>
              <w:t>- заграничный паспорт гражданина РФ</w:t>
            </w:r>
          </w:p>
          <w:p w14:paraId="5040749A" w14:textId="77777777" w:rsidR="009D1253" w:rsidRPr="00D3704B" w:rsidRDefault="009D1253" w:rsidP="009D1253">
            <w:pPr>
              <w:tabs>
                <w:tab w:val="left" w:pos="0"/>
              </w:tabs>
              <w:autoSpaceDE w:val="0"/>
              <w:autoSpaceDN w:val="0"/>
              <w:ind w:firstLine="268"/>
              <w:jc w:val="both"/>
              <w:rPr>
                <w:rFonts w:ascii="Tahoma" w:hAnsi="Tahoma" w:cs="Tahoma"/>
                <w:sz w:val="20"/>
                <w:szCs w:val="18"/>
                <w:lang w:eastAsia="en-US"/>
              </w:rPr>
            </w:pPr>
            <w:r w:rsidRPr="00D3704B">
              <w:rPr>
                <w:rFonts w:ascii="Tahoma" w:hAnsi="Tahoma" w:cs="Tahoma"/>
                <w:sz w:val="20"/>
                <w:szCs w:val="18"/>
                <w:lang w:eastAsia="en-US"/>
              </w:rPr>
              <w:t>- водительское удостоверение</w:t>
            </w:r>
          </w:p>
          <w:p w14:paraId="53C609EA" w14:textId="77777777" w:rsidR="009D1253" w:rsidRPr="00D3704B" w:rsidRDefault="009D1253" w:rsidP="009D1253">
            <w:pPr>
              <w:tabs>
                <w:tab w:val="left" w:pos="0"/>
              </w:tabs>
              <w:autoSpaceDE w:val="0"/>
              <w:autoSpaceDN w:val="0"/>
              <w:ind w:firstLine="268"/>
              <w:jc w:val="both"/>
              <w:rPr>
                <w:rFonts w:ascii="Tahoma" w:hAnsi="Tahoma" w:cs="Tahoma"/>
                <w:sz w:val="20"/>
                <w:szCs w:val="18"/>
                <w:lang w:eastAsia="en-US"/>
              </w:rPr>
            </w:pPr>
            <w:r w:rsidRPr="00D3704B">
              <w:rPr>
                <w:rFonts w:ascii="Tahoma" w:hAnsi="Tahoma" w:cs="Tahoma"/>
                <w:sz w:val="20"/>
                <w:szCs w:val="18"/>
                <w:lang w:eastAsia="en-US"/>
              </w:rPr>
              <w:t>- СНИЛС</w:t>
            </w:r>
          </w:p>
          <w:p w14:paraId="6F774B45" w14:textId="77777777" w:rsidR="009D1253" w:rsidRPr="00D3704B" w:rsidRDefault="009D1253" w:rsidP="009D1253">
            <w:pPr>
              <w:tabs>
                <w:tab w:val="left" w:pos="0"/>
              </w:tabs>
              <w:autoSpaceDE w:val="0"/>
              <w:autoSpaceDN w:val="0"/>
              <w:jc w:val="both"/>
              <w:rPr>
                <w:rFonts w:ascii="Tahoma" w:hAnsi="Tahoma" w:cs="Tahoma"/>
                <w:strike/>
                <w:sz w:val="20"/>
                <w:szCs w:val="18"/>
              </w:rPr>
            </w:pPr>
          </w:p>
          <w:p w14:paraId="4E8F7A2C" w14:textId="77777777" w:rsidR="009D1253" w:rsidRPr="00D3704B" w:rsidRDefault="009D1253" w:rsidP="009D1253">
            <w:pPr>
              <w:autoSpaceDE w:val="0"/>
              <w:autoSpaceDN w:val="0"/>
              <w:adjustRightInd w:val="0"/>
              <w:rPr>
                <w:rFonts w:ascii="Tahoma" w:hAnsi="Tahoma" w:cs="Tahoma"/>
                <w:sz w:val="20"/>
                <w:szCs w:val="18"/>
                <w:lang w:eastAsia="en-US"/>
              </w:rPr>
            </w:pPr>
            <w:r w:rsidRPr="00D3704B">
              <w:rPr>
                <w:rFonts w:ascii="Tahoma" w:hAnsi="Tahoma" w:cs="Tahoma"/>
                <w:sz w:val="20"/>
                <w:szCs w:val="18"/>
                <w:lang w:eastAsia="en-US"/>
              </w:rPr>
              <w:t xml:space="preserve">По результатам рассмотрения заявления о предоставлении потребительского кредита, Банком могут быть запрошены документы, подтверждающие финансовое состояние Заёмщика, а также его занятость. </w:t>
            </w:r>
          </w:p>
          <w:p w14:paraId="714EB73C" w14:textId="77777777" w:rsidR="009D1253" w:rsidRPr="00D3704B" w:rsidRDefault="009D1253" w:rsidP="009D1253">
            <w:pPr>
              <w:autoSpaceDE w:val="0"/>
              <w:autoSpaceDN w:val="0"/>
              <w:adjustRightInd w:val="0"/>
              <w:rPr>
                <w:rFonts w:ascii="Tahoma" w:hAnsi="Tahoma" w:cs="Tahoma"/>
                <w:sz w:val="20"/>
                <w:szCs w:val="18"/>
                <w:lang w:eastAsia="en-US"/>
              </w:rPr>
            </w:pPr>
            <w:r w:rsidRPr="00D3704B">
              <w:rPr>
                <w:rFonts w:ascii="Tahoma" w:hAnsi="Tahoma" w:cs="Tahoma"/>
                <w:sz w:val="20"/>
                <w:szCs w:val="18"/>
                <w:lang w:eastAsia="en-US"/>
              </w:rPr>
              <w:t xml:space="preserve">В качестве документов, подтверждающих финансовое состояние Заёмщика, могут быть предоставлены: </w:t>
            </w:r>
          </w:p>
          <w:tbl>
            <w:tblPr>
              <w:tblStyle w:val="291"/>
              <w:tblW w:w="10460" w:type="dxa"/>
              <w:tblInd w:w="8" w:type="dxa"/>
              <w:tblLayout w:type="fixed"/>
              <w:tblLook w:val="04A0" w:firstRow="1" w:lastRow="0" w:firstColumn="1" w:lastColumn="0" w:noHBand="0" w:noVBand="1"/>
            </w:tblPr>
            <w:tblGrid>
              <w:gridCol w:w="2096"/>
              <w:gridCol w:w="8364"/>
            </w:tblGrid>
            <w:tr w:rsidR="009D1253" w:rsidRPr="00D3704B" w14:paraId="368E0479" w14:textId="77777777" w:rsidTr="009D1253">
              <w:tc>
                <w:tcPr>
                  <w:tcW w:w="2096" w:type="dxa"/>
                </w:tcPr>
                <w:p w14:paraId="73D85D0C" w14:textId="77777777" w:rsidR="009D1253" w:rsidRPr="00D3704B" w:rsidRDefault="009D1253" w:rsidP="009D1253">
                  <w:pPr>
                    <w:autoSpaceDE w:val="0"/>
                    <w:autoSpaceDN w:val="0"/>
                    <w:adjustRightInd w:val="0"/>
                    <w:rPr>
                      <w:rFonts w:ascii="Tahoma" w:hAnsi="Tahoma" w:cs="Tahoma"/>
                      <w:sz w:val="20"/>
                      <w:szCs w:val="18"/>
                    </w:rPr>
                  </w:pPr>
                  <w:r w:rsidRPr="00D3704B">
                    <w:rPr>
                      <w:rFonts w:ascii="Tahoma" w:hAnsi="Tahoma" w:cs="Tahoma"/>
                      <w:sz w:val="20"/>
                      <w:szCs w:val="18"/>
                    </w:rPr>
                    <w:t>Виды (источники) дохода</w:t>
                  </w:r>
                </w:p>
              </w:tc>
              <w:tc>
                <w:tcPr>
                  <w:tcW w:w="8364" w:type="dxa"/>
                </w:tcPr>
                <w:p w14:paraId="4E76970F" w14:textId="77777777" w:rsidR="009D1253" w:rsidRPr="00D3704B" w:rsidRDefault="009D1253" w:rsidP="009D1253">
                  <w:pPr>
                    <w:autoSpaceDE w:val="0"/>
                    <w:autoSpaceDN w:val="0"/>
                    <w:adjustRightInd w:val="0"/>
                    <w:rPr>
                      <w:rFonts w:ascii="Tahoma" w:hAnsi="Tahoma" w:cs="Tahoma"/>
                      <w:sz w:val="20"/>
                      <w:szCs w:val="18"/>
                    </w:rPr>
                  </w:pPr>
                  <w:r w:rsidRPr="00D3704B">
                    <w:rPr>
                      <w:rFonts w:ascii="Tahoma" w:hAnsi="Tahoma" w:cs="Tahoma"/>
                      <w:sz w:val="20"/>
                      <w:szCs w:val="18"/>
                    </w:rPr>
                    <w:t>Документы, подтверждающие финансовое состояние Заёмщика*</w:t>
                  </w:r>
                </w:p>
              </w:tc>
            </w:tr>
            <w:tr w:rsidR="009D1253" w:rsidRPr="00D3704B" w14:paraId="6ED0C3C2" w14:textId="77777777" w:rsidTr="009D1253">
              <w:tc>
                <w:tcPr>
                  <w:tcW w:w="2096" w:type="dxa"/>
                </w:tcPr>
                <w:p w14:paraId="014E70A0" w14:textId="77777777" w:rsidR="009D1253" w:rsidRPr="00D3704B" w:rsidRDefault="009D1253" w:rsidP="009D1253">
                  <w:pPr>
                    <w:autoSpaceDE w:val="0"/>
                    <w:autoSpaceDN w:val="0"/>
                    <w:adjustRightInd w:val="0"/>
                    <w:rPr>
                      <w:rFonts w:ascii="Tahoma" w:hAnsi="Tahoma" w:cs="Tahoma"/>
                      <w:sz w:val="20"/>
                      <w:szCs w:val="18"/>
                    </w:rPr>
                  </w:pPr>
                  <w:r w:rsidRPr="00D3704B">
                    <w:rPr>
                      <w:rFonts w:ascii="Tahoma" w:hAnsi="Tahoma" w:cs="Tahoma"/>
                      <w:sz w:val="20"/>
                      <w:szCs w:val="18"/>
                    </w:rPr>
                    <w:t>Основное место работы</w:t>
                  </w:r>
                </w:p>
              </w:tc>
              <w:tc>
                <w:tcPr>
                  <w:tcW w:w="8364" w:type="dxa"/>
                </w:tcPr>
                <w:p w14:paraId="3943555C" w14:textId="77777777" w:rsidR="009D1253" w:rsidRPr="00D3704B" w:rsidRDefault="009D1253" w:rsidP="009D1253">
                  <w:pPr>
                    <w:tabs>
                      <w:tab w:val="left" w:pos="457"/>
                    </w:tabs>
                    <w:autoSpaceDE w:val="0"/>
                    <w:autoSpaceDN w:val="0"/>
                    <w:adjustRightInd w:val="0"/>
                    <w:ind w:left="457" w:hanging="425"/>
                    <w:rPr>
                      <w:rFonts w:ascii="Tahoma" w:hAnsi="Tahoma" w:cs="Tahoma"/>
                      <w:sz w:val="20"/>
                      <w:szCs w:val="18"/>
                    </w:rPr>
                  </w:pPr>
                  <w:r w:rsidRPr="00D3704B">
                    <w:rPr>
                      <w:rFonts w:ascii="Tahoma" w:hAnsi="Tahoma" w:cs="Tahoma"/>
                      <w:sz w:val="20"/>
                      <w:szCs w:val="18"/>
                    </w:rPr>
                    <w:t>Один из следующих документов по выбору Заёмщика:</w:t>
                  </w:r>
                </w:p>
                <w:p w14:paraId="672E7CD8" w14:textId="77777777" w:rsidR="009D1253" w:rsidRPr="00D3704B" w:rsidRDefault="009D1253" w:rsidP="009D1253">
                  <w:pPr>
                    <w:tabs>
                      <w:tab w:val="left" w:pos="457"/>
                    </w:tabs>
                    <w:autoSpaceDE w:val="0"/>
                    <w:autoSpaceDN w:val="0"/>
                    <w:adjustRightInd w:val="0"/>
                    <w:ind w:left="360"/>
                    <w:rPr>
                      <w:rFonts w:ascii="Tahoma" w:hAnsi="Tahoma" w:cs="Tahoma"/>
                      <w:sz w:val="20"/>
                      <w:szCs w:val="18"/>
                    </w:rPr>
                  </w:pPr>
                  <w:r>
                    <w:rPr>
                      <w:rFonts w:ascii="Tahoma" w:hAnsi="Tahoma" w:cs="Tahoma"/>
                      <w:sz w:val="20"/>
                      <w:szCs w:val="18"/>
                    </w:rPr>
                    <w:t>1.</w:t>
                  </w:r>
                  <w:r w:rsidRPr="00D3704B">
                    <w:rPr>
                      <w:rFonts w:ascii="Tahoma" w:hAnsi="Tahoma" w:cs="Tahoma"/>
                      <w:sz w:val="20"/>
                      <w:szCs w:val="18"/>
                    </w:rPr>
                    <w:t>Справка о доходах и суммах налога физического лица или Справка о доходах и удержанных суммах по образцу государственного учреждения, внутренними распорядительными документами которого установлены ограничения на предоставление своим работникам справок о доходах и суммах налога физического лица**</w:t>
                  </w:r>
                </w:p>
                <w:p w14:paraId="7D784847" w14:textId="77777777" w:rsidR="009D1253" w:rsidRPr="00D3704B" w:rsidRDefault="009D1253" w:rsidP="009D1253">
                  <w:pPr>
                    <w:tabs>
                      <w:tab w:val="left" w:pos="457"/>
                    </w:tabs>
                    <w:autoSpaceDE w:val="0"/>
                    <w:autoSpaceDN w:val="0"/>
                    <w:adjustRightInd w:val="0"/>
                    <w:ind w:left="360"/>
                    <w:rPr>
                      <w:rFonts w:ascii="Tahoma" w:hAnsi="Tahoma" w:cs="Tahoma"/>
                      <w:sz w:val="20"/>
                      <w:szCs w:val="18"/>
                    </w:rPr>
                  </w:pPr>
                  <w:r>
                    <w:rPr>
                      <w:rFonts w:ascii="Tahoma" w:hAnsi="Tahoma" w:cs="Tahoma"/>
                      <w:sz w:val="20"/>
                      <w:szCs w:val="18"/>
                    </w:rPr>
                    <w:t>2.</w:t>
                  </w:r>
                  <w:r w:rsidRPr="00D3704B">
                    <w:rPr>
                      <w:rFonts w:ascii="Tahoma" w:hAnsi="Tahoma" w:cs="Tahoma"/>
                      <w:sz w:val="20"/>
                      <w:szCs w:val="18"/>
                    </w:rPr>
                    <w:t>Выписка о состоянии индивидуального лицевого счета застрахованного лица в системе обязательного пенсионного страхования***</w:t>
                  </w:r>
                </w:p>
                <w:p w14:paraId="0A79B585" w14:textId="77777777" w:rsidR="009D1253" w:rsidRPr="00D3704B" w:rsidRDefault="009D1253" w:rsidP="009D1253">
                  <w:pPr>
                    <w:tabs>
                      <w:tab w:val="left" w:pos="457"/>
                    </w:tabs>
                    <w:autoSpaceDE w:val="0"/>
                    <w:autoSpaceDN w:val="0"/>
                    <w:adjustRightInd w:val="0"/>
                    <w:ind w:left="360"/>
                    <w:rPr>
                      <w:rFonts w:ascii="Tahoma" w:hAnsi="Tahoma" w:cs="Tahoma"/>
                      <w:sz w:val="20"/>
                      <w:szCs w:val="18"/>
                    </w:rPr>
                  </w:pPr>
                  <w:r>
                    <w:rPr>
                      <w:rFonts w:ascii="Tahoma" w:hAnsi="Tahoma" w:cs="Tahoma"/>
                      <w:sz w:val="20"/>
                      <w:szCs w:val="18"/>
                    </w:rPr>
                    <w:lastRenderedPageBreak/>
                    <w:t>3.</w:t>
                  </w:r>
                  <w:r w:rsidRPr="00D3704B">
                    <w:rPr>
                      <w:rFonts w:ascii="Tahoma" w:hAnsi="Tahoma" w:cs="Tahoma"/>
                      <w:sz w:val="20"/>
                      <w:szCs w:val="18"/>
                    </w:rPr>
                    <w:t>Справка по форме Банка**</w:t>
                  </w:r>
                </w:p>
                <w:p w14:paraId="7A356E2E" w14:textId="77777777" w:rsidR="009D1253" w:rsidRPr="00D3704B" w:rsidRDefault="009D1253" w:rsidP="009D1253">
                  <w:pPr>
                    <w:tabs>
                      <w:tab w:val="left" w:pos="457"/>
                    </w:tabs>
                    <w:autoSpaceDE w:val="0"/>
                    <w:autoSpaceDN w:val="0"/>
                    <w:adjustRightInd w:val="0"/>
                    <w:ind w:left="360"/>
                    <w:rPr>
                      <w:rFonts w:ascii="Tahoma" w:hAnsi="Tahoma" w:cs="Tahoma"/>
                      <w:sz w:val="20"/>
                      <w:szCs w:val="18"/>
                    </w:rPr>
                  </w:pPr>
                  <w:r>
                    <w:rPr>
                      <w:rFonts w:ascii="Tahoma" w:hAnsi="Tahoma" w:cs="Tahoma"/>
                      <w:sz w:val="20"/>
                      <w:szCs w:val="18"/>
                    </w:rPr>
                    <w:t>4.</w:t>
                  </w:r>
                  <w:r w:rsidRPr="00D3704B">
                    <w:rPr>
                      <w:rFonts w:ascii="Tahoma" w:hAnsi="Tahoma" w:cs="Tahoma"/>
                      <w:sz w:val="20"/>
                      <w:szCs w:val="18"/>
                    </w:rPr>
                    <w:t xml:space="preserve">Выписка с банковского счета, на который осуществляются зачисления заработной платы Заемщика, выданная кредитной организацией и заверенная печатью и подписью уполномоченного лица, в т.ч. </w:t>
                  </w:r>
                  <w:r w:rsidRPr="00D3704B">
                    <w:rPr>
                      <w:rFonts w:ascii="Tahoma" w:hAnsi="Tahoma" w:cs="Tahoma"/>
                      <w:sz w:val="18"/>
                      <w:szCs w:val="18"/>
                    </w:rPr>
                    <w:t>выписка с каналов дистанционного обслуживания кредитной организации</w:t>
                  </w:r>
                </w:p>
              </w:tc>
            </w:tr>
            <w:tr w:rsidR="009D1253" w:rsidRPr="00D3704B" w14:paraId="37A5B490" w14:textId="77777777" w:rsidTr="009D1253">
              <w:tc>
                <w:tcPr>
                  <w:tcW w:w="2096" w:type="dxa"/>
                </w:tcPr>
                <w:p w14:paraId="59F2DCCA" w14:textId="77777777" w:rsidR="009D1253" w:rsidRPr="00D3704B" w:rsidRDefault="009D1253" w:rsidP="009D1253">
                  <w:pPr>
                    <w:autoSpaceDE w:val="0"/>
                    <w:autoSpaceDN w:val="0"/>
                    <w:adjustRightInd w:val="0"/>
                    <w:rPr>
                      <w:rFonts w:ascii="Tahoma" w:hAnsi="Tahoma" w:cs="Tahoma"/>
                      <w:sz w:val="20"/>
                      <w:szCs w:val="18"/>
                    </w:rPr>
                  </w:pPr>
                  <w:r w:rsidRPr="00D3704B">
                    <w:rPr>
                      <w:rFonts w:ascii="Tahoma" w:hAnsi="Tahoma" w:cs="Tahoma"/>
                      <w:sz w:val="20"/>
                      <w:szCs w:val="18"/>
                    </w:rPr>
                    <w:lastRenderedPageBreak/>
                    <w:t>Пенсия</w:t>
                  </w:r>
                </w:p>
              </w:tc>
              <w:tc>
                <w:tcPr>
                  <w:tcW w:w="8364" w:type="dxa"/>
                </w:tcPr>
                <w:p w14:paraId="550D2033" w14:textId="77777777" w:rsidR="009D1253" w:rsidRPr="00D3704B" w:rsidRDefault="009D1253" w:rsidP="009D1253">
                  <w:pPr>
                    <w:tabs>
                      <w:tab w:val="left" w:pos="457"/>
                    </w:tabs>
                    <w:autoSpaceDE w:val="0"/>
                    <w:autoSpaceDN w:val="0"/>
                    <w:adjustRightInd w:val="0"/>
                    <w:ind w:left="457" w:hanging="425"/>
                    <w:rPr>
                      <w:rFonts w:ascii="Tahoma" w:hAnsi="Tahoma" w:cs="Tahoma"/>
                      <w:sz w:val="20"/>
                      <w:szCs w:val="18"/>
                    </w:rPr>
                  </w:pPr>
                  <w:r w:rsidRPr="00D3704B">
                    <w:rPr>
                      <w:rFonts w:ascii="Tahoma" w:hAnsi="Tahoma" w:cs="Tahoma"/>
                      <w:sz w:val="20"/>
                      <w:szCs w:val="18"/>
                    </w:rPr>
                    <w:t>Один из следующих документов по выбору Заемщика****:</w:t>
                  </w:r>
                </w:p>
                <w:p w14:paraId="7399372A" w14:textId="77777777" w:rsidR="009D1253" w:rsidRPr="00D3704B" w:rsidRDefault="009D1253" w:rsidP="009D1253">
                  <w:pPr>
                    <w:tabs>
                      <w:tab w:val="left" w:pos="457"/>
                    </w:tabs>
                    <w:autoSpaceDE w:val="0"/>
                    <w:autoSpaceDN w:val="0"/>
                    <w:adjustRightInd w:val="0"/>
                    <w:ind w:left="360"/>
                    <w:rPr>
                      <w:rFonts w:ascii="Tahoma" w:hAnsi="Tahoma" w:cs="Tahoma"/>
                      <w:sz w:val="20"/>
                      <w:szCs w:val="18"/>
                    </w:rPr>
                  </w:pPr>
                  <w:r>
                    <w:rPr>
                      <w:rFonts w:ascii="Tahoma" w:hAnsi="Tahoma" w:cs="Tahoma"/>
                      <w:sz w:val="20"/>
                      <w:szCs w:val="18"/>
                    </w:rPr>
                    <w:t>1.</w:t>
                  </w:r>
                  <w:r w:rsidRPr="00D3704B">
                    <w:rPr>
                      <w:rFonts w:ascii="Tahoma" w:hAnsi="Tahoma" w:cs="Tahoma"/>
                      <w:sz w:val="20"/>
                      <w:szCs w:val="18"/>
                    </w:rPr>
                    <w:t>Выписка со счета, выданная кредитными организациями, на который осуществляются пенсионные выплаты</w:t>
                  </w:r>
                </w:p>
                <w:p w14:paraId="57E64303" w14:textId="77777777" w:rsidR="009D1253" w:rsidRPr="00D3704B" w:rsidRDefault="009D1253" w:rsidP="009D1253">
                  <w:pPr>
                    <w:tabs>
                      <w:tab w:val="left" w:pos="457"/>
                    </w:tabs>
                    <w:autoSpaceDE w:val="0"/>
                    <w:autoSpaceDN w:val="0"/>
                    <w:adjustRightInd w:val="0"/>
                    <w:ind w:left="360"/>
                    <w:rPr>
                      <w:rFonts w:ascii="Tahoma" w:hAnsi="Tahoma" w:cs="Tahoma"/>
                      <w:sz w:val="20"/>
                      <w:szCs w:val="18"/>
                    </w:rPr>
                  </w:pPr>
                  <w:r>
                    <w:rPr>
                      <w:rFonts w:ascii="Tahoma" w:hAnsi="Tahoma" w:cs="Tahoma"/>
                      <w:sz w:val="20"/>
                      <w:szCs w:val="18"/>
                    </w:rPr>
                    <w:t>2.</w:t>
                  </w:r>
                  <w:r w:rsidRPr="00D3704B">
                    <w:rPr>
                      <w:rFonts w:ascii="Tahoma" w:hAnsi="Tahoma" w:cs="Tahoma"/>
                      <w:sz w:val="20"/>
                      <w:szCs w:val="18"/>
                    </w:rPr>
                    <w:t>Справка Социального фонда Российской Федерации или другого государственного органа, выплачивающего пенсию о размере пенсии, ежемесячного пожизненного содержания судьям или ежемесячной надбавки к денежному содержанию судьям о назначении пенсии /иной документ, подтверждающий право на получение пенсии, содержащий идентификационные данные Клиента и размера дохода (например, выписка из ПФР)</w:t>
                  </w:r>
                </w:p>
              </w:tc>
            </w:tr>
            <w:tr w:rsidR="009D1253" w:rsidRPr="00D3704B" w14:paraId="17E2B203" w14:textId="77777777" w:rsidTr="009D1253">
              <w:tc>
                <w:tcPr>
                  <w:tcW w:w="2096" w:type="dxa"/>
                </w:tcPr>
                <w:p w14:paraId="6B0CD66C" w14:textId="77777777" w:rsidR="009D1253" w:rsidRPr="00D3704B" w:rsidRDefault="009D1253" w:rsidP="009D1253">
                  <w:pPr>
                    <w:autoSpaceDE w:val="0"/>
                    <w:autoSpaceDN w:val="0"/>
                    <w:adjustRightInd w:val="0"/>
                    <w:rPr>
                      <w:rFonts w:ascii="Tahoma" w:hAnsi="Tahoma" w:cs="Tahoma"/>
                      <w:sz w:val="20"/>
                      <w:szCs w:val="18"/>
                    </w:rPr>
                  </w:pPr>
                  <w:r w:rsidRPr="00D3704B">
                    <w:rPr>
                      <w:rFonts w:ascii="Tahoma" w:hAnsi="Tahoma" w:cs="Tahoma"/>
                      <w:sz w:val="20"/>
                      <w:szCs w:val="18"/>
                    </w:rPr>
                    <w:t>Место работы по совместительству</w:t>
                  </w:r>
                </w:p>
              </w:tc>
              <w:tc>
                <w:tcPr>
                  <w:tcW w:w="8364" w:type="dxa"/>
                  <w:shd w:val="clear" w:color="auto" w:fill="auto"/>
                </w:tcPr>
                <w:p w14:paraId="668ACC77" w14:textId="77777777" w:rsidR="009D1253" w:rsidRPr="00D3704B" w:rsidRDefault="009D1253" w:rsidP="009D1253">
                  <w:pPr>
                    <w:tabs>
                      <w:tab w:val="left" w:pos="457"/>
                    </w:tabs>
                    <w:autoSpaceDE w:val="0"/>
                    <w:autoSpaceDN w:val="0"/>
                    <w:adjustRightInd w:val="0"/>
                    <w:ind w:left="457" w:hanging="425"/>
                    <w:rPr>
                      <w:rFonts w:ascii="Tahoma" w:hAnsi="Tahoma" w:cs="Tahoma"/>
                      <w:sz w:val="20"/>
                      <w:szCs w:val="18"/>
                    </w:rPr>
                  </w:pPr>
                  <w:r w:rsidRPr="00D3704B">
                    <w:rPr>
                      <w:rFonts w:ascii="Tahoma" w:hAnsi="Tahoma" w:cs="Tahoma"/>
                      <w:sz w:val="20"/>
                      <w:szCs w:val="18"/>
                    </w:rPr>
                    <w:t>Один из следующих документов по выбору Заёмщика:</w:t>
                  </w:r>
                </w:p>
                <w:p w14:paraId="75D2EC56" w14:textId="77777777" w:rsidR="009D1253" w:rsidRPr="00D3704B" w:rsidRDefault="009D1253" w:rsidP="009D1253">
                  <w:pPr>
                    <w:tabs>
                      <w:tab w:val="left" w:pos="457"/>
                    </w:tabs>
                    <w:autoSpaceDE w:val="0"/>
                    <w:autoSpaceDN w:val="0"/>
                    <w:adjustRightInd w:val="0"/>
                    <w:ind w:left="360"/>
                    <w:rPr>
                      <w:rFonts w:ascii="Tahoma" w:hAnsi="Tahoma" w:cs="Tahoma"/>
                      <w:sz w:val="20"/>
                      <w:szCs w:val="18"/>
                    </w:rPr>
                  </w:pPr>
                  <w:r>
                    <w:rPr>
                      <w:rFonts w:ascii="Tahoma" w:hAnsi="Tahoma" w:cs="Tahoma"/>
                      <w:sz w:val="20"/>
                      <w:szCs w:val="18"/>
                    </w:rPr>
                    <w:t>1.</w:t>
                  </w:r>
                  <w:r w:rsidRPr="00D3704B">
                    <w:rPr>
                      <w:rFonts w:ascii="Tahoma" w:hAnsi="Tahoma" w:cs="Tahoma"/>
                      <w:sz w:val="20"/>
                      <w:szCs w:val="18"/>
                    </w:rPr>
                    <w:t>Справка о доходах и суммах налога физического лица или Справка о доходах и удержанных суммах по образцу государственного учреждения, внутренними распорядительными документами которого установлены ограничения на предоставление своим работникам справок о доходах и суммах налога физического лица**</w:t>
                  </w:r>
                </w:p>
                <w:p w14:paraId="37C189CB" w14:textId="77777777" w:rsidR="009D1253" w:rsidRPr="00D3704B" w:rsidRDefault="009D1253" w:rsidP="009D1253">
                  <w:pPr>
                    <w:tabs>
                      <w:tab w:val="left" w:pos="457"/>
                    </w:tabs>
                    <w:autoSpaceDE w:val="0"/>
                    <w:autoSpaceDN w:val="0"/>
                    <w:adjustRightInd w:val="0"/>
                    <w:ind w:left="360"/>
                    <w:rPr>
                      <w:rFonts w:ascii="Tahoma" w:hAnsi="Tahoma" w:cs="Tahoma"/>
                      <w:sz w:val="20"/>
                      <w:szCs w:val="18"/>
                    </w:rPr>
                  </w:pPr>
                  <w:r>
                    <w:rPr>
                      <w:rFonts w:ascii="Tahoma" w:hAnsi="Tahoma" w:cs="Tahoma"/>
                      <w:sz w:val="20"/>
                      <w:szCs w:val="18"/>
                    </w:rPr>
                    <w:t>2.</w:t>
                  </w:r>
                  <w:r w:rsidRPr="00D3704B">
                    <w:rPr>
                      <w:rFonts w:ascii="Tahoma" w:hAnsi="Tahoma" w:cs="Tahoma"/>
                      <w:sz w:val="20"/>
                      <w:szCs w:val="18"/>
                    </w:rPr>
                    <w:t>Выписка о состоянии индивидуального лицевого счета застрахованного лица в системе обязательного пенсионного страхования***</w:t>
                  </w:r>
                </w:p>
                <w:p w14:paraId="16CFEF9D" w14:textId="77777777" w:rsidR="009D1253" w:rsidRPr="00D3704B" w:rsidRDefault="009D1253" w:rsidP="009D1253">
                  <w:pPr>
                    <w:tabs>
                      <w:tab w:val="left" w:pos="457"/>
                    </w:tabs>
                    <w:autoSpaceDE w:val="0"/>
                    <w:autoSpaceDN w:val="0"/>
                    <w:adjustRightInd w:val="0"/>
                    <w:ind w:left="360"/>
                    <w:rPr>
                      <w:rFonts w:ascii="Tahoma" w:hAnsi="Tahoma" w:cs="Tahoma"/>
                      <w:sz w:val="20"/>
                      <w:szCs w:val="18"/>
                    </w:rPr>
                  </w:pPr>
                  <w:r>
                    <w:rPr>
                      <w:rFonts w:ascii="Tahoma" w:hAnsi="Tahoma" w:cs="Tahoma"/>
                      <w:sz w:val="20"/>
                      <w:szCs w:val="18"/>
                    </w:rPr>
                    <w:t>3.</w:t>
                  </w:r>
                  <w:r w:rsidRPr="00D3704B">
                    <w:rPr>
                      <w:rFonts w:ascii="Tahoma" w:hAnsi="Tahoma" w:cs="Tahoma"/>
                      <w:sz w:val="20"/>
                      <w:szCs w:val="18"/>
                    </w:rPr>
                    <w:t>Справка по форме Банка**</w:t>
                  </w:r>
                </w:p>
                <w:p w14:paraId="42281CB9" w14:textId="77777777" w:rsidR="009D1253" w:rsidRPr="00D3704B" w:rsidRDefault="009D1253" w:rsidP="009D1253">
                  <w:pPr>
                    <w:tabs>
                      <w:tab w:val="left" w:pos="457"/>
                    </w:tabs>
                    <w:autoSpaceDE w:val="0"/>
                    <w:autoSpaceDN w:val="0"/>
                    <w:adjustRightInd w:val="0"/>
                    <w:ind w:left="360"/>
                    <w:rPr>
                      <w:rFonts w:ascii="Tahoma" w:hAnsi="Tahoma" w:cs="Tahoma"/>
                      <w:sz w:val="20"/>
                      <w:szCs w:val="18"/>
                    </w:rPr>
                  </w:pPr>
                  <w:r>
                    <w:rPr>
                      <w:rFonts w:ascii="Tahoma" w:hAnsi="Tahoma" w:cs="Tahoma"/>
                      <w:sz w:val="20"/>
                      <w:szCs w:val="18"/>
                    </w:rPr>
                    <w:t>4.</w:t>
                  </w:r>
                  <w:r w:rsidRPr="00D3704B">
                    <w:rPr>
                      <w:rFonts w:ascii="Tahoma" w:hAnsi="Tahoma" w:cs="Tahoma"/>
                      <w:sz w:val="20"/>
                      <w:szCs w:val="18"/>
                    </w:rPr>
                    <w:t xml:space="preserve">Выписка с банковского счета, на который осуществляются зачисления заработной платы Заемщика, выданная кредитной организацией и заверенная печатью и подписью уполномоченного лица, в т.ч. </w:t>
                  </w:r>
                  <w:r w:rsidRPr="00D3704B">
                    <w:rPr>
                      <w:rFonts w:ascii="Tahoma" w:hAnsi="Tahoma" w:cs="Tahoma"/>
                      <w:sz w:val="18"/>
                      <w:szCs w:val="18"/>
                    </w:rPr>
                    <w:t>выписка с каналов дистанционного обслуживания кредитной организации</w:t>
                  </w:r>
                  <w:r w:rsidRPr="00D3704B">
                    <w:rPr>
                      <w:rFonts w:ascii="Arial" w:hAnsi="Arial" w:cs="Arial"/>
                      <w:i/>
                      <w:iCs/>
                      <w:color w:val="000000"/>
                      <w:sz w:val="20"/>
                      <w:szCs w:val="20"/>
                    </w:rPr>
                    <w:t xml:space="preserve"> </w:t>
                  </w:r>
                </w:p>
              </w:tc>
            </w:tr>
            <w:tr w:rsidR="009D1253" w:rsidRPr="00D3704B" w14:paraId="3F7882F8" w14:textId="77777777" w:rsidTr="009D1253">
              <w:tc>
                <w:tcPr>
                  <w:tcW w:w="2096" w:type="dxa"/>
                </w:tcPr>
                <w:p w14:paraId="6ED3D788" w14:textId="77777777" w:rsidR="009D1253" w:rsidRPr="00D3704B" w:rsidRDefault="009D1253" w:rsidP="009D1253">
                  <w:pPr>
                    <w:autoSpaceDE w:val="0"/>
                    <w:autoSpaceDN w:val="0"/>
                    <w:adjustRightInd w:val="0"/>
                    <w:rPr>
                      <w:rFonts w:ascii="Tahoma" w:hAnsi="Tahoma" w:cs="Tahoma"/>
                      <w:sz w:val="20"/>
                      <w:szCs w:val="18"/>
                    </w:rPr>
                  </w:pPr>
                  <w:r w:rsidRPr="00D3704B">
                    <w:rPr>
                      <w:rFonts w:ascii="Tahoma" w:hAnsi="Tahoma" w:cs="Tahoma"/>
                      <w:sz w:val="20"/>
                      <w:szCs w:val="18"/>
                    </w:rPr>
                    <w:t>Предпринимательская деятельность без образования юридического лица / частная практика</w:t>
                  </w:r>
                </w:p>
              </w:tc>
              <w:tc>
                <w:tcPr>
                  <w:tcW w:w="8364" w:type="dxa"/>
                  <w:shd w:val="clear" w:color="auto" w:fill="auto"/>
                </w:tcPr>
                <w:p w14:paraId="50007052" w14:textId="77777777" w:rsidR="009D1253" w:rsidRPr="00D3704B" w:rsidRDefault="009D1253" w:rsidP="009D1253">
                  <w:pPr>
                    <w:tabs>
                      <w:tab w:val="left" w:pos="457"/>
                    </w:tabs>
                    <w:autoSpaceDE w:val="0"/>
                    <w:autoSpaceDN w:val="0"/>
                    <w:adjustRightInd w:val="0"/>
                    <w:ind w:left="457" w:hanging="425"/>
                    <w:rPr>
                      <w:rFonts w:ascii="Tahoma" w:hAnsi="Tahoma" w:cs="Tahoma"/>
                      <w:sz w:val="20"/>
                      <w:szCs w:val="18"/>
                    </w:rPr>
                  </w:pPr>
                  <w:r w:rsidRPr="00D3704B">
                    <w:rPr>
                      <w:rFonts w:ascii="Tahoma" w:hAnsi="Tahoma" w:cs="Tahoma"/>
                      <w:sz w:val="20"/>
                      <w:szCs w:val="18"/>
                    </w:rPr>
                    <w:t xml:space="preserve">Один или совокупность из следующих документов*: </w:t>
                  </w:r>
                </w:p>
                <w:p w14:paraId="3BE1D3A1" w14:textId="77777777" w:rsidR="009D1253" w:rsidRPr="00D3704B" w:rsidRDefault="009D1253" w:rsidP="009D1253">
                  <w:pPr>
                    <w:tabs>
                      <w:tab w:val="left" w:pos="457"/>
                    </w:tabs>
                    <w:autoSpaceDE w:val="0"/>
                    <w:autoSpaceDN w:val="0"/>
                    <w:adjustRightInd w:val="0"/>
                    <w:rPr>
                      <w:rFonts w:ascii="Tahoma" w:hAnsi="Tahoma" w:cs="Tahoma"/>
                      <w:sz w:val="20"/>
                      <w:szCs w:val="18"/>
                    </w:rPr>
                  </w:pPr>
                  <w:r>
                    <w:rPr>
                      <w:rFonts w:ascii="Tahoma" w:hAnsi="Tahoma" w:cs="Tahoma"/>
                      <w:sz w:val="20"/>
                      <w:szCs w:val="18"/>
                    </w:rPr>
                    <w:t>1.</w:t>
                  </w:r>
                  <w:r w:rsidRPr="00D3704B">
                    <w:rPr>
                      <w:rFonts w:ascii="Tahoma" w:hAnsi="Tahoma" w:cs="Tahoma"/>
                      <w:sz w:val="20"/>
                      <w:szCs w:val="18"/>
                    </w:rPr>
                    <w:t>Налоговая декларация с копиями квитанций (платежных поручений) об уплате налогов за налоговые периоды, соответствующие периоду расчета среднемесячного дохода</w:t>
                  </w:r>
                </w:p>
                <w:p w14:paraId="61809929" w14:textId="77777777" w:rsidR="009D1253" w:rsidRPr="00D3704B" w:rsidRDefault="009D1253" w:rsidP="009D1253">
                  <w:pPr>
                    <w:tabs>
                      <w:tab w:val="left" w:pos="457"/>
                    </w:tabs>
                    <w:autoSpaceDE w:val="0"/>
                    <w:autoSpaceDN w:val="0"/>
                    <w:adjustRightInd w:val="0"/>
                    <w:rPr>
                      <w:rFonts w:ascii="Tahoma" w:hAnsi="Tahoma" w:cs="Tahoma"/>
                      <w:sz w:val="20"/>
                      <w:szCs w:val="18"/>
                    </w:rPr>
                  </w:pPr>
                  <w:r>
                    <w:rPr>
                      <w:rFonts w:ascii="Tahoma" w:hAnsi="Tahoma" w:cs="Tahoma"/>
                      <w:sz w:val="20"/>
                      <w:szCs w:val="18"/>
                    </w:rPr>
                    <w:t>2.</w:t>
                  </w:r>
                  <w:r w:rsidRPr="00D3704B">
                    <w:rPr>
                      <w:rFonts w:ascii="Tahoma" w:hAnsi="Tahoma" w:cs="Tahoma"/>
                      <w:sz w:val="20"/>
                      <w:szCs w:val="18"/>
                    </w:rPr>
                    <w:t>Книга учета доходов и расходов и хозяйственных операций ИП</w:t>
                  </w:r>
                </w:p>
                <w:p w14:paraId="1D809349" w14:textId="77777777" w:rsidR="009D1253" w:rsidRPr="00D3704B" w:rsidRDefault="009D1253" w:rsidP="009D1253">
                  <w:pPr>
                    <w:tabs>
                      <w:tab w:val="left" w:pos="457"/>
                    </w:tabs>
                    <w:autoSpaceDE w:val="0"/>
                    <w:autoSpaceDN w:val="0"/>
                    <w:adjustRightInd w:val="0"/>
                    <w:rPr>
                      <w:rFonts w:ascii="Tahoma" w:hAnsi="Tahoma" w:cs="Tahoma"/>
                      <w:sz w:val="20"/>
                      <w:szCs w:val="18"/>
                    </w:rPr>
                  </w:pPr>
                  <w:r>
                    <w:rPr>
                      <w:rFonts w:ascii="Tahoma" w:hAnsi="Tahoma" w:cs="Tahoma"/>
                      <w:sz w:val="20"/>
                      <w:szCs w:val="18"/>
                    </w:rPr>
                    <w:t>3.</w:t>
                  </w:r>
                  <w:r w:rsidRPr="00D3704B">
                    <w:rPr>
                      <w:rFonts w:ascii="Tahoma" w:hAnsi="Tahoma" w:cs="Tahoma"/>
                      <w:sz w:val="20"/>
                      <w:szCs w:val="18"/>
                    </w:rPr>
                    <w:t xml:space="preserve">Выписки по счетам ИП, в т.ч. сформированные из мобильного приложения, заверенные кредитной организацией (формат </w:t>
                  </w:r>
                  <w:r w:rsidRPr="00D3704B">
                    <w:rPr>
                      <w:rFonts w:ascii="Tahoma" w:hAnsi="Tahoma" w:cs="Tahoma"/>
                      <w:sz w:val="20"/>
                      <w:szCs w:val="18"/>
                      <w:lang w:val="en-US"/>
                    </w:rPr>
                    <w:t>pdf</w:t>
                  </w:r>
                  <w:r w:rsidRPr="00D3704B">
                    <w:rPr>
                      <w:rFonts w:ascii="Tahoma" w:hAnsi="Tahoma" w:cs="Tahoma"/>
                      <w:sz w:val="20"/>
                      <w:szCs w:val="18"/>
                    </w:rPr>
                    <w:t>+</w:t>
                  </w:r>
                  <w:r w:rsidRPr="00D3704B">
                    <w:rPr>
                      <w:rFonts w:ascii="Tahoma" w:hAnsi="Tahoma" w:cs="Tahoma"/>
                      <w:sz w:val="20"/>
                      <w:szCs w:val="18"/>
                      <w:lang w:val="en-US"/>
                    </w:rPr>
                    <w:t>excel</w:t>
                  </w:r>
                  <w:r w:rsidRPr="00D3704B">
                    <w:rPr>
                      <w:rFonts w:ascii="Tahoma" w:hAnsi="Tahoma" w:cs="Tahoma"/>
                      <w:sz w:val="20"/>
                      <w:szCs w:val="18"/>
                    </w:rPr>
                    <w:t>)</w:t>
                  </w:r>
                </w:p>
                <w:p w14:paraId="689F25BE" w14:textId="77777777" w:rsidR="009D1253" w:rsidRPr="00D3704B" w:rsidRDefault="009D1253" w:rsidP="009D1253">
                  <w:pPr>
                    <w:tabs>
                      <w:tab w:val="left" w:pos="457"/>
                    </w:tabs>
                    <w:autoSpaceDE w:val="0"/>
                    <w:autoSpaceDN w:val="0"/>
                    <w:adjustRightInd w:val="0"/>
                    <w:rPr>
                      <w:rFonts w:ascii="Tahoma" w:hAnsi="Tahoma" w:cs="Tahoma"/>
                      <w:sz w:val="20"/>
                      <w:szCs w:val="18"/>
                    </w:rPr>
                  </w:pPr>
                  <w:r>
                    <w:rPr>
                      <w:rFonts w:ascii="Tahoma" w:hAnsi="Tahoma" w:cs="Tahoma"/>
                      <w:sz w:val="20"/>
                      <w:szCs w:val="18"/>
                    </w:rPr>
                    <w:t>4.</w:t>
                  </w:r>
                  <w:r w:rsidRPr="00D3704B">
                    <w:rPr>
                      <w:rFonts w:ascii="Tahoma" w:hAnsi="Tahoma" w:cs="Tahoma"/>
                      <w:sz w:val="20"/>
                      <w:szCs w:val="18"/>
                    </w:rPr>
                    <w:t>Для лиц, применяющих специальный налоговый режим «Налог на профессиональный доход» (самозанятые граждане):</w:t>
                  </w:r>
                </w:p>
                <w:p w14:paraId="3C77DC24" w14:textId="77777777" w:rsidR="009D1253" w:rsidRPr="00D3704B" w:rsidRDefault="009D1253" w:rsidP="009D1253">
                  <w:pPr>
                    <w:tabs>
                      <w:tab w:val="left" w:pos="457"/>
                    </w:tabs>
                    <w:autoSpaceDE w:val="0"/>
                    <w:autoSpaceDN w:val="0"/>
                    <w:adjustRightInd w:val="0"/>
                    <w:ind w:left="32"/>
                    <w:rPr>
                      <w:rFonts w:ascii="Tahoma" w:hAnsi="Tahoma" w:cs="Tahoma"/>
                      <w:sz w:val="20"/>
                      <w:szCs w:val="18"/>
                    </w:rPr>
                  </w:pPr>
                  <w:r w:rsidRPr="00D3704B">
                    <w:rPr>
                      <w:rFonts w:ascii="Tahoma" w:hAnsi="Tahoma" w:cs="Tahoma"/>
                      <w:sz w:val="20"/>
                      <w:szCs w:val="18"/>
                    </w:rPr>
                    <w:t>4.1. справка о постановке на учет (снятии с учета) физического лица в качестве плательщика налога на профессиональный доход (КНД 1122035)</w:t>
                  </w:r>
                </w:p>
                <w:p w14:paraId="5D451D0E" w14:textId="77777777" w:rsidR="009D1253" w:rsidRPr="00D3704B" w:rsidRDefault="009D1253" w:rsidP="009D1253">
                  <w:pPr>
                    <w:tabs>
                      <w:tab w:val="left" w:pos="457"/>
                    </w:tabs>
                    <w:autoSpaceDE w:val="0"/>
                    <w:autoSpaceDN w:val="0"/>
                    <w:adjustRightInd w:val="0"/>
                    <w:rPr>
                      <w:rFonts w:ascii="Tahoma" w:hAnsi="Tahoma" w:cs="Tahoma"/>
                      <w:sz w:val="20"/>
                      <w:szCs w:val="18"/>
                    </w:rPr>
                  </w:pPr>
                  <w:r w:rsidRPr="00D3704B">
                    <w:rPr>
                      <w:rFonts w:ascii="Tahoma" w:hAnsi="Tahoma" w:cs="Tahoma"/>
                      <w:sz w:val="20"/>
                      <w:szCs w:val="18"/>
                    </w:rPr>
                    <w:t>4.2. справка о состоянии расчетов (доходах) по налогу на профессиональный доход (КНД 1122036)</w:t>
                  </w:r>
                </w:p>
              </w:tc>
            </w:tr>
            <w:tr w:rsidR="009D1253" w:rsidRPr="00D3704B" w14:paraId="330740E9" w14:textId="77777777" w:rsidTr="009D1253">
              <w:tc>
                <w:tcPr>
                  <w:tcW w:w="2096" w:type="dxa"/>
                </w:tcPr>
                <w:p w14:paraId="0D45389E" w14:textId="77777777" w:rsidR="009D1253" w:rsidRPr="00D3704B" w:rsidRDefault="009D1253" w:rsidP="009D1253">
                  <w:pPr>
                    <w:autoSpaceDE w:val="0"/>
                    <w:autoSpaceDN w:val="0"/>
                    <w:adjustRightInd w:val="0"/>
                    <w:rPr>
                      <w:rFonts w:ascii="Tahoma" w:hAnsi="Tahoma" w:cs="Tahoma"/>
                      <w:sz w:val="20"/>
                      <w:szCs w:val="18"/>
                    </w:rPr>
                  </w:pPr>
                  <w:r w:rsidRPr="00D3704B">
                    <w:rPr>
                      <w:rFonts w:ascii="Tahoma" w:hAnsi="Tahoma" w:cs="Tahoma"/>
                      <w:sz w:val="20"/>
                      <w:szCs w:val="18"/>
                    </w:rPr>
                    <w:lastRenderedPageBreak/>
                    <w:t>Сдача в аренду помещения</w:t>
                  </w:r>
                </w:p>
              </w:tc>
              <w:tc>
                <w:tcPr>
                  <w:tcW w:w="8364" w:type="dxa"/>
                  <w:shd w:val="clear" w:color="auto" w:fill="auto"/>
                </w:tcPr>
                <w:p w14:paraId="3399B4AE" w14:textId="77777777" w:rsidR="009D1253" w:rsidRPr="00D3704B" w:rsidRDefault="009D1253" w:rsidP="009D1253">
                  <w:pPr>
                    <w:tabs>
                      <w:tab w:val="left" w:pos="457"/>
                    </w:tabs>
                    <w:autoSpaceDE w:val="0"/>
                    <w:autoSpaceDN w:val="0"/>
                    <w:adjustRightInd w:val="0"/>
                    <w:ind w:left="360"/>
                    <w:rPr>
                      <w:rFonts w:ascii="Tahoma" w:hAnsi="Tahoma" w:cs="Tahoma"/>
                      <w:sz w:val="20"/>
                      <w:szCs w:val="18"/>
                    </w:rPr>
                  </w:pPr>
                  <w:r>
                    <w:rPr>
                      <w:rFonts w:ascii="Tahoma" w:hAnsi="Tahoma" w:cs="Tahoma"/>
                      <w:sz w:val="20"/>
                      <w:szCs w:val="18"/>
                    </w:rPr>
                    <w:t>1.</w:t>
                  </w:r>
                  <w:r w:rsidRPr="00D3704B">
                    <w:rPr>
                      <w:rFonts w:ascii="Tahoma" w:hAnsi="Tahoma" w:cs="Tahoma"/>
                      <w:sz w:val="20"/>
                      <w:szCs w:val="18"/>
                    </w:rPr>
                    <w:t xml:space="preserve">Документ, подтверждающий право собственности Заёмщика на помещение. </w:t>
                  </w:r>
                </w:p>
                <w:p w14:paraId="2AB5424A" w14:textId="77777777" w:rsidR="009D1253" w:rsidRPr="00D3704B" w:rsidRDefault="009D1253" w:rsidP="009D1253">
                  <w:pPr>
                    <w:tabs>
                      <w:tab w:val="left" w:pos="457"/>
                    </w:tabs>
                    <w:autoSpaceDE w:val="0"/>
                    <w:autoSpaceDN w:val="0"/>
                    <w:adjustRightInd w:val="0"/>
                    <w:ind w:left="360"/>
                    <w:rPr>
                      <w:rFonts w:ascii="Tahoma" w:hAnsi="Tahoma" w:cs="Tahoma"/>
                      <w:sz w:val="20"/>
                      <w:szCs w:val="18"/>
                    </w:rPr>
                  </w:pPr>
                  <w:r>
                    <w:rPr>
                      <w:rFonts w:ascii="Tahoma" w:hAnsi="Tahoma" w:cs="Tahoma"/>
                      <w:sz w:val="20"/>
                      <w:szCs w:val="18"/>
                    </w:rPr>
                    <w:t>2.</w:t>
                  </w:r>
                  <w:r w:rsidRPr="00D3704B">
                    <w:rPr>
                      <w:rFonts w:ascii="Tahoma" w:hAnsi="Tahoma" w:cs="Tahoma"/>
                      <w:sz w:val="20"/>
                      <w:szCs w:val="18"/>
                    </w:rPr>
                    <w:t>Договор аренды помещения</w:t>
                  </w:r>
                </w:p>
                <w:p w14:paraId="06BCEAE0" w14:textId="77777777" w:rsidR="009D1253" w:rsidRPr="00D3704B" w:rsidRDefault="009D1253" w:rsidP="009D1253">
                  <w:pPr>
                    <w:tabs>
                      <w:tab w:val="left" w:pos="457"/>
                    </w:tabs>
                    <w:autoSpaceDE w:val="0"/>
                    <w:autoSpaceDN w:val="0"/>
                    <w:adjustRightInd w:val="0"/>
                    <w:ind w:left="360"/>
                    <w:rPr>
                      <w:rFonts w:ascii="Tahoma" w:hAnsi="Tahoma" w:cs="Tahoma"/>
                      <w:sz w:val="20"/>
                      <w:szCs w:val="18"/>
                    </w:rPr>
                  </w:pPr>
                  <w:r>
                    <w:rPr>
                      <w:rFonts w:ascii="Tahoma" w:hAnsi="Tahoma" w:cs="Tahoma"/>
                      <w:sz w:val="20"/>
                      <w:szCs w:val="18"/>
                    </w:rPr>
                    <w:t>3.</w:t>
                  </w:r>
                  <w:r w:rsidRPr="00D3704B">
                    <w:rPr>
                      <w:rFonts w:ascii="Tahoma" w:hAnsi="Tahoma" w:cs="Tahoma"/>
                      <w:sz w:val="20"/>
                      <w:szCs w:val="18"/>
                    </w:rPr>
                    <w:t>Выписка со счета, выданная кредитными организациями, на который осуществляются регулярные выплаты Заёмщику доходов от сдачи внаем (в аренду) недвижимого имущества (при условии подтверждения права собственности (владения) этим имуществом), в т.ч. сформированная из мобильного Банка</w:t>
                  </w:r>
                </w:p>
                <w:p w14:paraId="188B4C9F" w14:textId="77777777" w:rsidR="009D1253" w:rsidRPr="00D3704B" w:rsidRDefault="009D1253" w:rsidP="009D1253">
                  <w:pPr>
                    <w:tabs>
                      <w:tab w:val="left" w:pos="457"/>
                    </w:tabs>
                    <w:autoSpaceDE w:val="0"/>
                    <w:autoSpaceDN w:val="0"/>
                    <w:adjustRightInd w:val="0"/>
                    <w:ind w:left="360"/>
                    <w:rPr>
                      <w:rFonts w:ascii="Tahoma" w:hAnsi="Tahoma" w:cs="Tahoma"/>
                      <w:sz w:val="20"/>
                      <w:szCs w:val="18"/>
                    </w:rPr>
                  </w:pPr>
                  <w:r>
                    <w:rPr>
                      <w:rFonts w:ascii="Tahoma" w:hAnsi="Tahoma" w:cs="Tahoma"/>
                      <w:sz w:val="20"/>
                      <w:szCs w:val="18"/>
                    </w:rPr>
                    <w:t>4.</w:t>
                  </w:r>
                  <w:r w:rsidRPr="00D3704B">
                    <w:rPr>
                      <w:rFonts w:ascii="Tahoma" w:hAnsi="Tahoma" w:cs="Tahoma"/>
                      <w:sz w:val="20"/>
                      <w:szCs w:val="18"/>
                    </w:rPr>
                    <w:t>Копия налоговой декларации по налогу на доходы физических лиц (форма 3-НДФЛ) и копии платежных документов, подтверждающих уплату налогов и сборов по договорам аренды/найма за последний налоговый период</w:t>
                  </w:r>
                </w:p>
              </w:tc>
            </w:tr>
            <w:tr w:rsidR="009D1253" w:rsidRPr="00D3704B" w14:paraId="42F1465E" w14:textId="77777777" w:rsidTr="009D1253">
              <w:tc>
                <w:tcPr>
                  <w:tcW w:w="2096" w:type="dxa"/>
                </w:tcPr>
                <w:p w14:paraId="3851F99F" w14:textId="77777777" w:rsidR="009D1253" w:rsidRPr="00D3704B" w:rsidRDefault="009D1253" w:rsidP="009D1253">
                  <w:pPr>
                    <w:autoSpaceDE w:val="0"/>
                    <w:autoSpaceDN w:val="0"/>
                    <w:adjustRightInd w:val="0"/>
                    <w:rPr>
                      <w:rFonts w:ascii="Tahoma" w:hAnsi="Tahoma" w:cs="Tahoma"/>
                      <w:sz w:val="20"/>
                      <w:szCs w:val="18"/>
                    </w:rPr>
                  </w:pPr>
                  <w:r w:rsidRPr="00D3704B">
                    <w:rPr>
                      <w:rFonts w:ascii="Tahoma" w:hAnsi="Tahoma" w:cs="Tahoma"/>
                      <w:sz w:val="20"/>
                      <w:szCs w:val="18"/>
                    </w:rPr>
                    <w:t>Вознаграждения по договорам гражданско-правового характера</w:t>
                  </w:r>
                </w:p>
              </w:tc>
              <w:tc>
                <w:tcPr>
                  <w:tcW w:w="8364" w:type="dxa"/>
                </w:tcPr>
                <w:p w14:paraId="3BE20D79" w14:textId="77777777" w:rsidR="009D1253" w:rsidRPr="00D3704B" w:rsidRDefault="009D1253" w:rsidP="009D1253">
                  <w:pPr>
                    <w:tabs>
                      <w:tab w:val="left" w:pos="457"/>
                    </w:tabs>
                    <w:autoSpaceDE w:val="0"/>
                    <w:autoSpaceDN w:val="0"/>
                    <w:adjustRightInd w:val="0"/>
                    <w:rPr>
                      <w:rFonts w:ascii="Tahoma" w:hAnsi="Tahoma" w:cs="Tahoma"/>
                      <w:sz w:val="20"/>
                      <w:szCs w:val="18"/>
                    </w:rPr>
                  </w:pPr>
                  <w:r>
                    <w:rPr>
                      <w:rFonts w:ascii="Tahoma" w:hAnsi="Tahoma" w:cs="Tahoma"/>
                      <w:sz w:val="20"/>
                      <w:szCs w:val="18"/>
                    </w:rPr>
                    <w:t>1.</w:t>
                  </w:r>
                  <w:r w:rsidRPr="00D3704B">
                    <w:rPr>
                      <w:rFonts w:ascii="Tahoma" w:hAnsi="Tahoma" w:cs="Tahoma"/>
                      <w:sz w:val="20"/>
                      <w:szCs w:val="18"/>
                    </w:rPr>
                    <w:t xml:space="preserve">Договор. </w:t>
                  </w:r>
                </w:p>
                <w:p w14:paraId="6A2BA416" w14:textId="77777777" w:rsidR="009D1253" w:rsidRPr="00D3704B" w:rsidRDefault="009D1253" w:rsidP="009D1253">
                  <w:pPr>
                    <w:tabs>
                      <w:tab w:val="left" w:pos="457"/>
                    </w:tabs>
                    <w:autoSpaceDE w:val="0"/>
                    <w:autoSpaceDN w:val="0"/>
                    <w:adjustRightInd w:val="0"/>
                    <w:rPr>
                      <w:rFonts w:ascii="Tahoma" w:hAnsi="Tahoma" w:cs="Tahoma"/>
                      <w:sz w:val="20"/>
                      <w:szCs w:val="18"/>
                    </w:rPr>
                  </w:pPr>
                  <w:r>
                    <w:rPr>
                      <w:rFonts w:ascii="Tahoma" w:hAnsi="Tahoma" w:cs="Tahoma"/>
                      <w:sz w:val="20"/>
                      <w:szCs w:val="18"/>
                    </w:rPr>
                    <w:t>2.</w:t>
                  </w:r>
                  <w:r w:rsidRPr="00D3704B">
                    <w:rPr>
                      <w:rFonts w:ascii="Tahoma" w:hAnsi="Tahoma" w:cs="Tahoma"/>
                      <w:sz w:val="20"/>
                      <w:szCs w:val="18"/>
                    </w:rPr>
                    <w:t>Один из следующих документов по выбору Заёмщика:</w:t>
                  </w:r>
                </w:p>
                <w:p w14:paraId="2742C49F" w14:textId="77777777" w:rsidR="009D1253" w:rsidRPr="00D3704B" w:rsidRDefault="009D1253" w:rsidP="009D1253">
                  <w:pPr>
                    <w:tabs>
                      <w:tab w:val="left" w:pos="457"/>
                    </w:tabs>
                    <w:autoSpaceDE w:val="0"/>
                    <w:autoSpaceDN w:val="0"/>
                    <w:adjustRightInd w:val="0"/>
                    <w:rPr>
                      <w:rFonts w:ascii="Tahoma" w:hAnsi="Tahoma" w:cs="Tahoma"/>
                      <w:sz w:val="20"/>
                      <w:szCs w:val="18"/>
                    </w:rPr>
                  </w:pPr>
                  <w:r>
                    <w:rPr>
                      <w:rFonts w:ascii="Tahoma" w:hAnsi="Tahoma" w:cs="Tahoma"/>
                      <w:sz w:val="20"/>
                      <w:szCs w:val="18"/>
                    </w:rPr>
                    <w:t>2.1.</w:t>
                  </w:r>
                  <w:r w:rsidRPr="00D3704B">
                    <w:rPr>
                      <w:rFonts w:ascii="Tahoma" w:hAnsi="Tahoma" w:cs="Tahoma"/>
                      <w:sz w:val="20"/>
                      <w:szCs w:val="18"/>
                    </w:rPr>
                    <w:t>копия налоговой декларации по форме 3-НДФЛ</w:t>
                  </w:r>
                </w:p>
                <w:p w14:paraId="477DDF6D" w14:textId="77777777" w:rsidR="009D1253" w:rsidRPr="00D3704B" w:rsidRDefault="009D1253" w:rsidP="009D1253">
                  <w:pPr>
                    <w:tabs>
                      <w:tab w:val="left" w:pos="457"/>
                    </w:tabs>
                    <w:autoSpaceDE w:val="0"/>
                    <w:autoSpaceDN w:val="0"/>
                    <w:adjustRightInd w:val="0"/>
                    <w:rPr>
                      <w:rFonts w:ascii="Tahoma" w:hAnsi="Tahoma" w:cs="Tahoma"/>
                      <w:sz w:val="20"/>
                      <w:szCs w:val="18"/>
                    </w:rPr>
                  </w:pPr>
                  <w:r>
                    <w:rPr>
                      <w:rFonts w:ascii="Tahoma" w:hAnsi="Tahoma" w:cs="Tahoma"/>
                      <w:sz w:val="20"/>
                      <w:szCs w:val="18"/>
                    </w:rPr>
                    <w:t>2.2.</w:t>
                  </w:r>
                  <w:r w:rsidRPr="00D3704B">
                    <w:rPr>
                      <w:rFonts w:ascii="Tahoma" w:hAnsi="Tahoma" w:cs="Tahoma"/>
                      <w:sz w:val="20"/>
                      <w:szCs w:val="18"/>
                    </w:rPr>
                    <w:t>справка о доходах и суммах налога физического лица**</w:t>
                  </w:r>
                </w:p>
              </w:tc>
            </w:tr>
            <w:tr w:rsidR="009D1253" w:rsidRPr="00D3704B" w14:paraId="6A136BCE" w14:textId="77777777" w:rsidTr="009D1253">
              <w:tc>
                <w:tcPr>
                  <w:tcW w:w="2096" w:type="dxa"/>
                </w:tcPr>
                <w:p w14:paraId="3D2561F6" w14:textId="77777777" w:rsidR="009D1253" w:rsidRPr="00D3704B" w:rsidRDefault="009D1253" w:rsidP="009D1253">
                  <w:pPr>
                    <w:autoSpaceDE w:val="0"/>
                    <w:autoSpaceDN w:val="0"/>
                    <w:adjustRightInd w:val="0"/>
                    <w:rPr>
                      <w:rFonts w:ascii="Tahoma" w:hAnsi="Tahoma" w:cs="Tahoma"/>
                      <w:sz w:val="20"/>
                      <w:szCs w:val="18"/>
                    </w:rPr>
                  </w:pPr>
                  <w:r w:rsidRPr="00D3704B">
                    <w:rPr>
                      <w:rFonts w:ascii="Tahoma" w:hAnsi="Tahoma" w:cs="Tahoma"/>
                      <w:sz w:val="20"/>
                      <w:szCs w:val="18"/>
                    </w:rPr>
                    <w:t>Прочие виды (источники) дохода</w:t>
                  </w:r>
                </w:p>
              </w:tc>
              <w:tc>
                <w:tcPr>
                  <w:tcW w:w="8364" w:type="dxa"/>
                </w:tcPr>
                <w:p w14:paraId="5E2BDDBA" w14:textId="77777777" w:rsidR="009D1253" w:rsidRPr="00D3704B" w:rsidRDefault="009D1253" w:rsidP="009D1253">
                  <w:pPr>
                    <w:tabs>
                      <w:tab w:val="left" w:pos="457"/>
                    </w:tabs>
                    <w:autoSpaceDE w:val="0"/>
                    <w:autoSpaceDN w:val="0"/>
                    <w:adjustRightInd w:val="0"/>
                    <w:rPr>
                      <w:rFonts w:ascii="Tahoma" w:hAnsi="Tahoma" w:cs="Tahoma"/>
                      <w:sz w:val="20"/>
                      <w:szCs w:val="18"/>
                    </w:rPr>
                  </w:pPr>
                  <w:r>
                    <w:rPr>
                      <w:rFonts w:ascii="Tahoma" w:hAnsi="Tahoma" w:cs="Tahoma"/>
                      <w:sz w:val="20"/>
                      <w:szCs w:val="18"/>
                    </w:rPr>
                    <w:t>1.</w:t>
                  </w:r>
                  <w:r w:rsidRPr="00D3704B">
                    <w:rPr>
                      <w:rFonts w:ascii="Tahoma" w:hAnsi="Tahoma" w:cs="Tahoma"/>
                      <w:sz w:val="20"/>
                      <w:szCs w:val="18"/>
                    </w:rPr>
                    <w:t>Справка о сумме ежемесячной денежной выплаты, ежемесячной денежной компенсации, ежемесячного дополнительного материального обеспечения, выданная государственным органом Заёмщику</w:t>
                  </w:r>
                </w:p>
                <w:p w14:paraId="53E60DB9" w14:textId="77777777" w:rsidR="009D1253" w:rsidRPr="00D3704B" w:rsidRDefault="009D1253" w:rsidP="009D1253">
                  <w:pPr>
                    <w:tabs>
                      <w:tab w:val="left" w:pos="457"/>
                    </w:tabs>
                    <w:autoSpaceDE w:val="0"/>
                    <w:autoSpaceDN w:val="0"/>
                    <w:adjustRightInd w:val="0"/>
                    <w:rPr>
                      <w:rFonts w:ascii="Tahoma" w:hAnsi="Tahoma" w:cs="Tahoma"/>
                      <w:sz w:val="20"/>
                      <w:szCs w:val="18"/>
                    </w:rPr>
                  </w:pPr>
                  <w:r>
                    <w:rPr>
                      <w:rFonts w:ascii="Tahoma" w:hAnsi="Tahoma" w:cs="Tahoma"/>
                      <w:sz w:val="20"/>
                      <w:szCs w:val="18"/>
                    </w:rPr>
                    <w:t>2.</w:t>
                  </w:r>
                  <w:r w:rsidRPr="00D3704B">
                    <w:rPr>
                      <w:rFonts w:ascii="Tahoma" w:hAnsi="Tahoma" w:cs="Tahoma"/>
                      <w:sz w:val="20"/>
                      <w:szCs w:val="18"/>
                    </w:rPr>
                    <w:t>Документ, содержащий сведения о доходах Заёмщика, выданные государственными (муниципальными) органами, учреждениями, организациями или предприятиями (включая документы, выданные должностными лицами Вооруженных Сил Российской Федерации и воинских формирований), а также физическими лицами, зарегистрированными в качестве индивидуальных предпринимателей</w:t>
                  </w:r>
                </w:p>
                <w:p w14:paraId="3BA9544A" w14:textId="77777777" w:rsidR="009D1253" w:rsidRPr="00D3704B" w:rsidRDefault="009D1253" w:rsidP="009D1253">
                  <w:pPr>
                    <w:tabs>
                      <w:tab w:val="left" w:pos="457"/>
                    </w:tabs>
                    <w:autoSpaceDE w:val="0"/>
                    <w:autoSpaceDN w:val="0"/>
                    <w:adjustRightInd w:val="0"/>
                    <w:rPr>
                      <w:rFonts w:ascii="Tahoma" w:hAnsi="Tahoma" w:cs="Tahoma"/>
                      <w:sz w:val="20"/>
                      <w:szCs w:val="18"/>
                    </w:rPr>
                  </w:pPr>
                  <w:r>
                    <w:rPr>
                      <w:rFonts w:ascii="Tahoma" w:hAnsi="Tahoma" w:cs="Tahoma"/>
                      <w:sz w:val="20"/>
                      <w:szCs w:val="18"/>
                    </w:rPr>
                    <w:t>3.</w:t>
                  </w:r>
                  <w:r w:rsidRPr="00D3704B">
                    <w:rPr>
                      <w:rFonts w:ascii="Tahoma" w:hAnsi="Tahoma" w:cs="Tahoma"/>
                      <w:sz w:val="20"/>
                      <w:szCs w:val="18"/>
                    </w:rPr>
                    <w:t>Выписка со счета, выданная кредитными организациями, на который осуществляются социальные выплаты, а также иные регулярные выплаты Клиенту, в т.ч. сформированная из мобильного/интернет банка</w:t>
                  </w:r>
                </w:p>
              </w:tc>
            </w:tr>
          </w:tbl>
          <w:p w14:paraId="061B9E46" w14:textId="77777777" w:rsidR="009D1253" w:rsidRPr="00D3704B" w:rsidRDefault="009D1253" w:rsidP="009D1253">
            <w:pPr>
              <w:autoSpaceDE w:val="0"/>
              <w:autoSpaceDN w:val="0"/>
              <w:adjustRightInd w:val="0"/>
              <w:jc w:val="both"/>
              <w:rPr>
                <w:rFonts w:ascii="Tahoma" w:hAnsi="Tahoma" w:cs="Tahoma"/>
                <w:sz w:val="20"/>
                <w:szCs w:val="18"/>
                <w:lang w:eastAsia="en-US"/>
              </w:rPr>
            </w:pPr>
            <w:r w:rsidRPr="00D3704B">
              <w:rPr>
                <w:rFonts w:ascii="Tahoma" w:hAnsi="Tahoma" w:cs="Tahoma"/>
                <w:sz w:val="20"/>
                <w:szCs w:val="18"/>
                <w:lang w:eastAsia="en-US"/>
              </w:rPr>
              <w:t>*Документ должен содержать информацию о доходе за последние 12 (двенадцать) месяцев. В случае если стаж работы составляет менее 12 месяцев, документ предоставляется за фактическое количество отработанных месяцев, но не менее 3 месяцев</w:t>
            </w:r>
          </w:p>
          <w:p w14:paraId="6C938E23" w14:textId="77777777" w:rsidR="009D1253" w:rsidRPr="00D3704B" w:rsidRDefault="009D1253" w:rsidP="009D1253">
            <w:pPr>
              <w:autoSpaceDE w:val="0"/>
              <w:autoSpaceDN w:val="0"/>
              <w:adjustRightInd w:val="0"/>
              <w:jc w:val="both"/>
              <w:rPr>
                <w:rFonts w:ascii="Tahoma" w:hAnsi="Tahoma" w:cs="Tahoma"/>
                <w:sz w:val="20"/>
                <w:szCs w:val="18"/>
                <w:lang w:eastAsia="en-US"/>
              </w:rPr>
            </w:pPr>
            <w:r w:rsidRPr="00D3704B">
              <w:rPr>
                <w:rFonts w:ascii="Tahoma" w:hAnsi="Tahoma" w:cs="Tahoma"/>
                <w:sz w:val="20"/>
                <w:szCs w:val="18"/>
                <w:lang w:eastAsia="en-US"/>
              </w:rPr>
              <w:t>** Документ, подтверждающий доход должен содержать в составе реквизитов ИНН работодателя/контрагента</w:t>
            </w:r>
          </w:p>
          <w:p w14:paraId="73C0C315" w14:textId="77777777" w:rsidR="009D1253" w:rsidRPr="00D3704B" w:rsidRDefault="009D1253" w:rsidP="009D1253">
            <w:pPr>
              <w:autoSpaceDE w:val="0"/>
              <w:autoSpaceDN w:val="0"/>
              <w:adjustRightInd w:val="0"/>
              <w:jc w:val="both"/>
              <w:rPr>
                <w:rFonts w:ascii="Tahoma" w:hAnsi="Tahoma" w:cs="Tahoma"/>
                <w:sz w:val="20"/>
                <w:szCs w:val="18"/>
                <w:lang w:eastAsia="en-US"/>
              </w:rPr>
            </w:pPr>
            <w:r w:rsidRPr="00D3704B">
              <w:rPr>
                <w:rFonts w:ascii="Tahoma" w:hAnsi="Tahoma" w:cs="Tahoma"/>
                <w:sz w:val="20"/>
                <w:szCs w:val="18"/>
                <w:lang w:eastAsia="en-US"/>
              </w:rPr>
              <w:t>***Банк получает документ в электронной форме из государственных информационных систем, если Заемщиком выражено согласие в соответствии с законодательством Российской Федерации на запрос выписки по индивидуальному лицевому счету Заемщика, который ведется в Социальном Фонде Российской Федерации</w:t>
            </w:r>
          </w:p>
          <w:p w14:paraId="4508EBE6" w14:textId="77777777" w:rsidR="009D1253" w:rsidRPr="00D3704B" w:rsidRDefault="009D1253" w:rsidP="009D1253">
            <w:pPr>
              <w:autoSpaceDE w:val="0"/>
              <w:autoSpaceDN w:val="0"/>
              <w:adjustRightInd w:val="0"/>
              <w:jc w:val="both"/>
              <w:rPr>
                <w:rFonts w:ascii="Tahoma" w:hAnsi="Tahoma" w:cs="Tahoma"/>
                <w:sz w:val="20"/>
                <w:szCs w:val="18"/>
                <w:lang w:eastAsia="en-US"/>
              </w:rPr>
            </w:pPr>
            <w:r w:rsidRPr="00D3704B">
              <w:rPr>
                <w:rFonts w:ascii="Tahoma" w:hAnsi="Tahoma" w:cs="Tahoma"/>
                <w:sz w:val="20"/>
                <w:szCs w:val="18"/>
                <w:lang w:eastAsia="en-US"/>
              </w:rPr>
              <w:t>****Для учета дохода в виде пенсии допускается принимать документ, содержащий сведения о доходе за 1 (один) календарный месяц, принимаются выплаты, которые были получены (начислены или назначены): страховой и (или) накопительной пенсионных выплат (за исключением суммы единовременных пенсионных выплат), а также дополнительных ежемесячных денежных выплат, компенсаций и материального обеспечения (за исключением набора социальных услуг и федеральной социальной доплаты к пенсии, если они отдельно указаны в подтверждающем документе, предусмотренном в настоящем перечне подтверждающих документов)</w:t>
            </w:r>
            <w:r w:rsidRPr="00D3704B">
              <w:rPr>
                <w:rFonts w:ascii="Tahoma" w:eastAsiaTheme="minorHAnsi" w:hAnsi="Tahoma" w:cs="Tahoma"/>
                <w:strike/>
                <w:sz w:val="20"/>
                <w:szCs w:val="18"/>
                <w:lang w:eastAsia="en-US"/>
              </w:rPr>
              <w:fldChar w:fldCharType="begin"/>
            </w:r>
            <w:r w:rsidRPr="00D3704B">
              <w:rPr>
                <w:rFonts w:ascii="Tahoma" w:eastAsiaTheme="minorHAnsi" w:hAnsi="Tahoma" w:cs="Tahoma"/>
                <w:strike/>
                <w:sz w:val="20"/>
                <w:szCs w:val="18"/>
                <w:lang w:eastAsia="en-US"/>
              </w:rPr>
              <w:instrText xml:space="preserve"> DOCVARIABLE  ATB_ADDRESS_REG </w:instrText>
            </w:r>
            <w:r w:rsidRPr="00D3704B">
              <w:rPr>
                <w:rFonts w:ascii="Tahoma" w:eastAsiaTheme="minorHAnsi" w:hAnsi="Tahoma" w:cs="Tahoma"/>
                <w:strike/>
                <w:sz w:val="20"/>
                <w:szCs w:val="18"/>
                <w:lang w:eastAsia="en-US"/>
              </w:rPr>
              <w:fldChar w:fldCharType="end"/>
            </w:r>
          </w:p>
        </w:tc>
      </w:tr>
      <w:tr w:rsidR="009D1253" w:rsidRPr="00D3704B" w14:paraId="7CF4EBBB"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097"/>
        </w:trPr>
        <w:tc>
          <w:tcPr>
            <w:tcW w:w="1474" w:type="pct"/>
            <w:tcBorders>
              <w:top w:val="single" w:sz="4" w:space="0" w:color="auto"/>
              <w:left w:val="single" w:sz="8" w:space="0" w:color="auto"/>
              <w:bottom w:val="single" w:sz="4" w:space="0" w:color="auto"/>
              <w:right w:val="single" w:sz="4" w:space="0" w:color="auto"/>
            </w:tcBorders>
            <w:vAlign w:val="center"/>
          </w:tcPr>
          <w:p w14:paraId="1E50B5B2"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lastRenderedPageBreak/>
              <w:t>Требования к приобретаемым ТС</w:t>
            </w:r>
          </w:p>
        </w:tc>
        <w:tc>
          <w:tcPr>
            <w:tcW w:w="3526" w:type="pct"/>
            <w:tcBorders>
              <w:top w:val="single" w:sz="4" w:space="0" w:color="auto"/>
              <w:left w:val="nil"/>
              <w:bottom w:val="single" w:sz="4" w:space="0" w:color="auto"/>
              <w:right w:val="single" w:sz="8" w:space="0" w:color="000000"/>
            </w:tcBorders>
            <w:shd w:val="clear" w:color="auto" w:fill="auto"/>
            <w:noWrap/>
            <w:vAlign w:val="center"/>
          </w:tcPr>
          <w:p w14:paraId="19572FD5" w14:textId="77777777" w:rsidR="009D1253" w:rsidRPr="00D3704B" w:rsidRDefault="009D1253" w:rsidP="009D1253">
            <w:pPr>
              <w:tabs>
                <w:tab w:val="left" w:pos="0"/>
                <w:tab w:val="left" w:pos="176"/>
              </w:tabs>
              <w:autoSpaceDE w:val="0"/>
              <w:autoSpaceDN w:val="0"/>
              <w:jc w:val="both"/>
              <w:rPr>
                <w:rFonts w:ascii="Tahoma" w:hAnsi="Tahoma" w:cs="Tahoma"/>
                <w:b/>
                <w:sz w:val="20"/>
                <w:szCs w:val="20"/>
                <w:lang w:eastAsia="en-US"/>
              </w:rPr>
            </w:pPr>
            <w:r w:rsidRPr="00D3704B">
              <w:rPr>
                <w:rFonts w:ascii="Tahoma" w:hAnsi="Tahoma" w:cs="Tahoma"/>
                <w:b/>
                <w:sz w:val="20"/>
                <w:szCs w:val="20"/>
                <w:lang w:eastAsia="en-US"/>
              </w:rPr>
              <w:t>Требования к подержанному ТС:</w:t>
            </w:r>
          </w:p>
          <w:p w14:paraId="40D2B168" w14:textId="77777777" w:rsidR="009D1253" w:rsidRPr="00D3704B" w:rsidRDefault="009D1253" w:rsidP="009D1253">
            <w:pPr>
              <w:tabs>
                <w:tab w:val="left" w:pos="0"/>
                <w:tab w:val="left" w:pos="176"/>
              </w:tabs>
              <w:autoSpaceDE w:val="0"/>
              <w:autoSpaceDN w:val="0"/>
              <w:jc w:val="both"/>
              <w:rPr>
                <w:rFonts w:ascii="Tahoma" w:hAnsi="Tahoma" w:cs="Tahoma"/>
                <w:sz w:val="20"/>
                <w:szCs w:val="20"/>
                <w:lang w:eastAsia="en-US"/>
              </w:rPr>
            </w:pPr>
            <w:r w:rsidRPr="00D3704B">
              <w:rPr>
                <w:rFonts w:ascii="Tahoma" w:hAnsi="Tahoma" w:cs="Tahoma"/>
                <w:sz w:val="20"/>
                <w:szCs w:val="20"/>
                <w:lang w:eastAsia="en-US"/>
              </w:rPr>
              <w:t>Возраст ТС на момент выдачи кредита:</w:t>
            </w:r>
          </w:p>
          <w:p w14:paraId="6DECB101" w14:textId="77777777" w:rsidR="009D1253" w:rsidRPr="00D3704B" w:rsidRDefault="009D1253" w:rsidP="009D1253">
            <w:pPr>
              <w:tabs>
                <w:tab w:val="left" w:pos="0"/>
                <w:tab w:val="left" w:pos="176"/>
              </w:tabs>
              <w:autoSpaceDE w:val="0"/>
              <w:autoSpaceDN w:val="0"/>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для ТС отечественных марок – не более 12 лет</w:t>
            </w:r>
          </w:p>
          <w:p w14:paraId="2C4F657B" w14:textId="77777777" w:rsidR="009D1253" w:rsidRPr="00D3704B" w:rsidRDefault="009D1253" w:rsidP="009D1253">
            <w:pPr>
              <w:tabs>
                <w:tab w:val="left" w:pos="0"/>
                <w:tab w:val="left" w:pos="176"/>
              </w:tabs>
              <w:autoSpaceDE w:val="0"/>
              <w:autoSpaceDN w:val="0"/>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для ТС иностранных марок – не более 17 лет</w:t>
            </w:r>
          </w:p>
        </w:tc>
      </w:tr>
      <w:tr w:rsidR="009D1253" w:rsidRPr="00D3704B" w14:paraId="3C84E5A6"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4" w:type="pct"/>
            <w:tcBorders>
              <w:top w:val="single" w:sz="4" w:space="0" w:color="auto"/>
              <w:left w:val="single" w:sz="8" w:space="0" w:color="auto"/>
              <w:bottom w:val="single" w:sz="4" w:space="0" w:color="auto"/>
              <w:right w:val="single" w:sz="4" w:space="0" w:color="auto"/>
            </w:tcBorders>
            <w:vAlign w:val="center"/>
          </w:tcPr>
          <w:p w14:paraId="5B047325"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Способ предоставления Кредита</w:t>
            </w:r>
          </w:p>
        </w:tc>
        <w:tc>
          <w:tcPr>
            <w:tcW w:w="3526" w:type="pct"/>
            <w:tcBorders>
              <w:top w:val="single" w:sz="4" w:space="0" w:color="auto"/>
              <w:left w:val="nil"/>
              <w:bottom w:val="single" w:sz="4" w:space="0" w:color="auto"/>
              <w:right w:val="single" w:sz="8" w:space="0" w:color="000000"/>
            </w:tcBorders>
            <w:noWrap/>
            <w:vAlign w:val="center"/>
          </w:tcPr>
          <w:p w14:paraId="54C2495A" w14:textId="77777777" w:rsidR="009D1253" w:rsidRPr="00D3704B" w:rsidRDefault="009D1253" w:rsidP="009D1253">
            <w:pPr>
              <w:widowControl w:val="0"/>
              <w:tabs>
                <w:tab w:val="left" w:pos="426"/>
                <w:tab w:val="left" w:pos="851"/>
              </w:tabs>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Перевод денежных средств на ТБС Заёмщика, открытый в Банке, для использования Заёмщиком на цели использования Кредита, указанные в  настоящем документе.</w:t>
            </w:r>
          </w:p>
        </w:tc>
      </w:tr>
      <w:tr w:rsidR="009D1253" w:rsidRPr="00D3704B" w14:paraId="6B71D8A6" w14:textId="77777777" w:rsidTr="009D1253">
        <w:tblPrEx>
          <w:tblLook w:val="00A0" w:firstRow="1" w:lastRow="0" w:firstColumn="1" w:lastColumn="0" w:noHBand="0" w:noVBand="0"/>
        </w:tblPrEx>
        <w:trPr>
          <w:trHeight w:val="130"/>
        </w:trPr>
        <w:tc>
          <w:tcPr>
            <w:tcW w:w="1474" w:type="pct"/>
            <w:tcBorders>
              <w:top w:val="single" w:sz="4" w:space="0" w:color="auto"/>
              <w:left w:val="single" w:sz="8" w:space="0" w:color="auto"/>
              <w:bottom w:val="single" w:sz="4" w:space="0" w:color="auto"/>
              <w:right w:val="single" w:sz="4" w:space="0" w:color="auto"/>
            </w:tcBorders>
          </w:tcPr>
          <w:p w14:paraId="516AF6FB"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Информация о возможном увеличении суммы расходов Заемщика по сравнению с ожидаемой суммой расходов в рублях, в том числе при применении переменной процентной ставки, а также информация о том, что изменение курса иностранной валюты в прошлом не свидетельствует об изменении ее курса в будущем, и информация о повышенных рисках заемщика, получающего доходы в валюте, отличной от валюты Кредита</w:t>
            </w:r>
          </w:p>
        </w:tc>
        <w:tc>
          <w:tcPr>
            <w:tcW w:w="3526" w:type="pct"/>
            <w:tcBorders>
              <w:top w:val="single" w:sz="4" w:space="0" w:color="auto"/>
              <w:left w:val="nil"/>
              <w:bottom w:val="single" w:sz="4" w:space="0" w:color="auto"/>
              <w:right w:val="single" w:sz="8" w:space="0" w:color="000000"/>
            </w:tcBorders>
            <w:noWrap/>
            <w:vAlign w:val="center"/>
          </w:tcPr>
          <w:p w14:paraId="0F91E7AF" w14:textId="77777777" w:rsidR="009D1253" w:rsidRPr="00D3704B" w:rsidRDefault="009D1253" w:rsidP="009D1253">
            <w:pPr>
              <w:widowControl w:val="0"/>
              <w:tabs>
                <w:tab w:val="left" w:pos="426"/>
                <w:tab w:val="left" w:pos="851"/>
              </w:tabs>
              <w:jc w:val="both"/>
              <w:rPr>
                <w:rFonts w:ascii="Tahoma" w:eastAsiaTheme="minorHAnsi" w:hAnsi="Tahoma" w:cs="Tahoma"/>
                <w:sz w:val="20"/>
                <w:szCs w:val="20"/>
                <w:lang w:eastAsia="en-US"/>
              </w:rPr>
            </w:pPr>
            <w:r w:rsidRPr="00D3704B">
              <w:rPr>
                <w:rFonts w:asciiTheme="minorHAnsi" w:eastAsiaTheme="minorHAnsi" w:hAnsiTheme="minorHAnsi" w:cstheme="minorBidi"/>
                <w:sz w:val="22"/>
                <w:szCs w:val="22"/>
                <w:lang w:eastAsia="en-US"/>
              </w:rPr>
              <w:t xml:space="preserve"> </w:t>
            </w:r>
            <w:r w:rsidRPr="00D3704B">
              <w:rPr>
                <w:rFonts w:ascii="Tahoma" w:eastAsiaTheme="minorHAnsi" w:hAnsi="Tahoma" w:cs="Tahoma"/>
                <w:sz w:val="20"/>
                <w:szCs w:val="20"/>
                <w:lang w:eastAsia="en-US"/>
              </w:rPr>
              <w:t>Переменная процентная ставка не применяется в Договоре. Кредит предоставляется в рублях, вместе с тем, Заемщикам, получающим доход в иностранной валюте следует помнить, что изменение курса иностранной валюты в прошлом не свидетельствует об изменении ее курса в будущем, в связи с чем, такие Заемщики несут повышенные риски в связи с получением доходов в иностранной валюте.</w:t>
            </w:r>
          </w:p>
        </w:tc>
      </w:tr>
      <w:tr w:rsidR="009D1253" w:rsidRPr="00D3704B" w14:paraId="77E67B0B"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4" w:type="pct"/>
            <w:tcBorders>
              <w:top w:val="single" w:sz="4" w:space="0" w:color="auto"/>
              <w:left w:val="single" w:sz="8" w:space="0" w:color="auto"/>
              <w:bottom w:val="single" w:sz="4" w:space="0" w:color="auto"/>
              <w:right w:val="single" w:sz="4" w:space="0" w:color="auto"/>
            </w:tcBorders>
            <w:vAlign w:val="center"/>
          </w:tcPr>
          <w:p w14:paraId="09913B5D"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Иные договоры, требуемые для заключения или исполнения Договора</w:t>
            </w:r>
            <w:r w:rsidRPr="00D3704B">
              <w:rPr>
                <w:rFonts w:ascii="Tahoma" w:eastAsiaTheme="minorHAnsi" w:hAnsi="Tahoma" w:cs="Tahoma"/>
                <w:b/>
                <w:bCs/>
                <w:sz w:val="20"/>
                <w:szCs w:val="20"/>
                <w:lang w:eastAsia="en-US"/>
              </w:rPr>
              <w:t>, а также информация о возможности заемщика согласиться с заключением таких договоров и (или) приобретением таких услуг (работ, товаров) либо отказаться от них</w:t>
            </w:r>
          </w:p>
        </w:tc>
        <w:tc>
          <w:tcPr>
            <w:tcW w:w="3526" w:type="pct"/>
            <w:tcBorders>
              <w:top w:val="single" w:sz="4" w:space="0" w:color="auto"/>
              <w:left w:val="nil"/>
              <w:bottom w:val="single" w:sz="4" w:space="0" w:color="auto"/>
              <w:right w:val="single" w:sz="8" w:space="0" w:color="000000"/>
            </w:tcBorders>
            <w:noWrap/>
            <w:vAlign w:val="center"/>
          </w:tcPr>
          <w:p w14:paraId="239F175C" w14:textId="77777777" w:rsidR="009D1253" w:rsidRPr="00D3704B" w:rsidRDefault="009D1253" w:rsidP="009D1253">
            <w:pPr>
              <w:widowControl w:val="0"/>
              <w:tabs>
                <w:tab w:val="left" w:pos="426"/>
                <w:tab w:val="left" w:pos="851"/>
              </w:tabs>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Заключение между сторонами Договора банковского счета (на основании которого Заёмщику Банком открывается ТБС), элементы которого включены в Договор, заключение (путем присоединения) УДБО, содержащего Общие условия.</w:t>
            </w:r>
          </w:p>
          <w:p w14:paraId="294FDD38" w14:textId="77777777" w:rsidR="009D1253" w:rsidRPr="00D3704B" w:rsidRDefault="009D1253" w:rsidP="009D1253">
            <w:pPr>
              <w:widowControl w:val="0"/>
              <w:tabs>
                <w:tab w:val="left" w:pos="426"/>
                <w:tab w:val="left" w:pos="851"/>
              </w:tabs>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Если при оформлении Договора Заемщику предлагаются иные дополнительные услуги (работы, товары), приобретение которых не является обязательным в силу закона, Заемщик вправе отказаться от их приобретения.</w:t>
            </w:r>
          </w:p>
        </w:tc>
      </w:tr>
      <w:tr w:rsidR="009D1253" w:rsidRPr="00D3704B" w14:paraId="77844B4A"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4" w:type="pct"/>
            <w:tcBorders>
              <w:top w:val="single" w:sz="4" w:space="0" w:color="auto"/>
              <w:left w:val="single" w:sz="8" w:space="0" w:color="auto"/>
              <w:bottom w:val="single" w:sz="4" w:space="0" w:color="auto"/>
              <w:right w:val="single" w:sz="4" w:space="0" w:color="auto"/>
            </w:tcBorders>
            <w:vAlign w:val="center"/>
          </w:tcPr>
          <w:p w14:paraId="600B3CB2"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Виды и суммы иных платежей Заёмщика по Договору</w:t>
            </w:r>
          </w:p>
        </w:tc>
        <w:tc>
          <w:tcPr>
            <w:tcW w:w="3526" w:type="pct"/>
            <w:tcBorders>
              <w:top w:val="single" w:sz="4" w:space="0" w:color="auto"/>
              <w:left w:val="nil"/>
              <w:bottom w:val="single" w:sz="4" w:space="0" w:color="auto"/>
              <w:right w:val="single" w:sz="8" w:space="0" w:color="000000"/>
            </w:tcBorders>
            <w:noWrap/>
            <w:vAlign w:val="center"/>
          </w:tcPr>
          <w:p w14:paraId="2A24617E" w14:textId="77777777" w:rsidR="009D1253" w:rsidRPr="00D3704B" w:rsidRDefault="009D1253" w:rsidP="009D1253">
            <w:pPr>
              <w:widowControl w:val="0"/>
              <w:tabs>
                <w:tab w:val="left" w:pos="426"/>
                <w:tab w:val="left" w:pos="851"/>
              </w:tabs>
              <w:jc w:val="both"/>
              <w:rPr>
                <w:rFonts w:asciiTheme="minorHAnsi" w:eastAsiaTheme="minorHAnsi" w:hAnsiTheme="minorHAnsi" w:cstheme="minorBidi"/>
                <w:sz w:val="22"/>
                <w:szCs w:val="22"/>
                <w:lang w:eastAsia="en-US"/>
              </w:rPr>
            </w:pPr>
            <w:r w:rsidRPr="00D3704B">
              <w:rPr>
                <w:rFonts w:asciiTheme="minorHAnsi" w:eastAsiaTheme="minorHAnsi" w:hAnsiTheme="minorHAnsi" w:cstheme="minorBidi"/>
                <w:sz w:val="22"/>
                <w:szCs w:val="22"/>
                <w:lang w:eastAsia="en-US"/>
              </w:rPr>
              <w:t>Иные обязательные платежи по Договору отсутствуют.</w:t>
            </w:r>
          </w:p>
          <w:p w14:paraId="50BCD6AB" w14:textId="77777777" w:rsidR="009D1253" w:rsidRPr="00D3704B" w:rsidRDefault="009D1253" w:rsidP="009D1253">
            <w:pPr>
              <w:widowControl w:val="0"/>
              <w:tabs>
                <w:tab w:val="left" w:pos="426"/>
                <w:tab w:val="left" w:pos="851"/>
              </w:tabs>
              <w:jc w:val="both"/>
              <w:rPr>
                <w:rFonts w:asciiTheme="minorHAnsi" w:eastAsiaTheme="minorHAnsi" w:hAnsiTheme="minorHAnsi" w:cstheme="minorBidi"/>
                <w:sz w:val="22"/>
                <w:szCs w:val="22"/>
                <w:lang w:eastAsia="en-US"/>
              </w:rPr>
            </w:pPr>
            <w:r w:rsidRPr="00D3704B">
              <w:rPr>
                <w:rFonts w:ascii="Tahoma" w:eastAsiaTheme="minorHAnsi" w:hAnsi="Tahoma" w:cs="Tahoma"/>
                <w:sz w:val="20"/>
                <w:szCs w:val="20"/>
                <w:lang w:eastAsia="en-US"/>
              </w:rPr>
              <w:t>При наличии соответствующего волеизъявления Заемщика ему могут быть оказаны Банком услуги, не являющиеся обязательными для заключения или исполнения Договора, плата за которые предусмотрена Тарифами Банка(</w:t>
            </w:r>
            <w:hyperlink r:id="rId78" w:tgtFrame="_blank" w:history="1">
              <w:r w:rsidRPr="00D3704B">
                <w:rPr>
                  <w:rFonts w:ascii="Tahoma" w:eastAsiaTheme="minorHAnsi" w:hAnsi="Tahoma" w:cs="Tahoma"/>
                  <w:color w:val="0065FF"/>
                  <w:sz w:val="20"/>
                  <w:szCs w:val="20"/>
                  <w:u w:val="single"/>
                  <w:shd w:val="clear" w:color="auto" w:fill="FFFFFF"/>
                  <w:lang w:eastAsia="en-US"/>
                </w:rPr>
                <w:t>https://www.atb.su/upload/doc/kniga-tarif/tarify-po-raschetno-kassovomu-obsluzhivaniyu-klientov-fizicheskikh-lits.pdf</w:t>
              </w:r>
            </w:hyperlink>
            <w:r w:rsidRPr="00D3704B">
              <w:rPr>
                <w:rFonts w:ascii="Tahoma" w:eastAsiaTheme="minorHAnsi" w:hAnsi="Tahoma" w:cs="Tahoma"/>
                <w:sz w:val="20"/>
                <w:szCs w:val="20"/>
                <w:lang w:eastAsia="en-US"/>
              </w:rPr>
              <w:t>). Оказание услуги Банком производится в случае выражения Заемщиком волеизъявления на пользование определенной услугой. Оплата услуг должна быть произведена до момента оказания Банком услуг.</w:t>
            </w:r>
          </w:p>
        </w:tc>
      </w:tr>
      <w:tr w:rsidR="009D1253" w:rsidRPr="00D3704B" w14:paraId="722557B7"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4" w:type="pct"/>
            <w:tcBorders>
              <w:top w:val="single" w:sz="4" w:space="0" w:color="auto"/>
              <w:left w:val="single" w:sz="8" w:space="0" w:color="auto"/>
              <w:bottom w:val="single" w:sz="4" w:space="0" w:color="auto"/>
              <w:right w:val="single" w:sz="4" w:space="0" w:color="auto"/>
            </w:tcBorders>
            <w:vAlign w:val="center"/>
          </w:tcPr>
          <w:p w14:paraId="294948AD"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Информация об определении курса иностранной валюты в случае, если валюта, в которой осуществляется перевод денежных средств кредитором третьему лицу, указанному Заёмщиком при предоставлении потребительского Кредита, может отличаться от валюты потребительского Кредита</w:t>
            </w:r>
          </w:p>
        </w:tc>
        <w:tc>
          <w:tcPr>
            <w:tcW w:w="3526" w:type="pct"/>
            <w:tcBorders>
              <w:top w:val="single" w:sz="4" w:space="0" w:color="auto"/>
              <w:left w:val="nil"/>
              <w:bottom w:val="single" w:sz="4" w:space="0" w:color="auto"/>
              <w:right w:val="single" w:sz="8" w:space="0" w:color="000000"/>
            </w:tcBorders>
            <w:noWrap/>
            <w:vAlign w:val="center"/>
          </w:tcPr>
          <w:p w14:paraId="7B75D2CF" w14:textId="77777777" w:rsidR="009D1253" w:rsidRPr="00D3704B" w:rsidRDefault="009D1253" w:rsidP="009D1253">
            <w:pPr>
              <w:widowControl w:val="0"/>
              <w:tabs>
                <w:tab w:val="left" w:pos="426"/>
                <w:tab w:val="left" w:pos="851"/>
              </w:tabs>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Не применимо</w:t>
            </w:r>
          </w:p>
        </w:tc>
      </w:tr>
      <w:tr w:rsidR="009D1253" w:rsidRPr="00D3704B" w14:paraId="477BBAC5"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4" w:type="pct"/>
            <w:tcBorders>
              <w:top w:val="single" w:sz="4" w:space="0" w:color="auto"/>
              <w:left w:val="single" w:sz="8" w:space="0" w:color="auto"/>
              <w:bottom w:val="single" w:sz="4" w:space="0" w:color="auto"/>
              <w:right w:val="single" w:sz="4" w:space="0" w:color="auto"/>
            </w:tcBorders>
            <w:vAlign w:val="center"/>
          </w:tcPr>
          <w:p w14:paraId="1DA305E3"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rPr>
              <w:lastRenderedPageBreak/>
              <w:t>Дата, начиная с которой начисляются проценты за пользование Кредитом, или порядок ее определения</w:t>
            </w:r>
          </w:p>
        </w:tc>
        <w:tc>
          <w:tcPr>
            <w:tcW w:w="3526" w:type="pct"/>
            <w:tcBorders>
              <w:top w:val="single" w:sz="4" w:space="0" w:color="auto"/>
              <w:left w:val="nil"/>
              <w:bottom w:val="single" w:sz="4" w:space="0" w:color="auto"/>
              <w:right w:val="single" w:sz="8" w:space="0" w:color="000000"/>
            </w:tcBorders>
            <w:noWrap/>
            <w:vAlign w:val="center"/>
          </w:tcPr>
          <w:p w14:paraId="1225996E" w14:textId="77777777" w:rsidR="009D1253" w:rsidRPr="00D3704B" w:rsidRDefault="009D1253" w:rsidP="009D1253">
            <w:pPr>
              <w:widowControl w:val="0"/>
              <w:tabs>
                <w:tab w:val="left" w:pos="426"/>
                <w:tab w:val="left" w:pos="851"/>
              </w:tabs>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Дата, следующая за датой выдачи Заёмщику Кредита</w:t>
            </w:r>
          </w:p>
        </w:tc>
      </w:tr>
      <w:tr w:rsidR="009D1253" w:rsidRPr="00D3704B" w14:paraId="6BEB27A1"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4" w:type="pct"/>
            <w:tcBorders>
              <w:top w:val="single" w:sz="4" w:space="0" w:color="auto"/>
              <w:left w:val="single" w:sz="8" w:space="0" w:color="auto"/>
              <w:bottom w:val="single" w:sz="4" w:space="0" w:color="auto"/>
              <w:right w:val="single" w:sz="4" w:space="0" w:color="auto"/>
            </w:tcBorders>
            <w:vAlign w:val="center"/>
          </w:tcPr>
          <w:p w14:paraId="70B8FF0A"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rPr>
              <w:t>Периодичность платежей Заёмщика при возврате Кредита, уплате процентов и иных платежей по Кредиту</w:t>
            </w:r>
          </w:p>
        </w:tc>
        <w:tc>
          <w:tcPr>
            <w:tcW w:w="3526" w:type="pct"/>
            <w:tcBorders>
              <w:top w:val="single" w:sz="4" w:space="0" w:color="auto"/>
              <w:left w:val="nil"/>
              <w:bottom w:val="single" w:sz="4" w:space="0" w:color="auto"/>
              <w:right w:val="single" w:sz="8" w:space="0" w:color="000000"/>
            </w:tcBorders>
            <w:noWrap/>
            <w:vAlign w:val="center"/>
          </w:tcPr>
          <w:p w14:paraId="041D1CEB" w14:textId="77777777" w:rsidR="009D1253" w:rsidRPr="00D3704B" w:rsidRDefault="009D1253" w:rsidP="009D1253">
            <w:pPr>
              <w:widowControl w:val="0"/>
              <w:tabs>
                <w:tab w:val="left" w:pos="426"/>
                <w:tab w:val="left" w:pos="851"/>
              </w:tabs>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Ежемесячно аннуитетными платежами</w:t>
            </w:r>
          </w:p>
        </w:tc>
      </w:tr>
      <w:tr w:rsidR="009D1253" w:rsidRPr="00D3704B" w14:paraId="7F4522FF"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4" w:type="pct"/>
            <w:tcBorders>
              <w:top w:val="single" w:sz="4" w:space="0" w:color="auto"/>
              <w:left w:val="single" w:sz="8" w:space="0" w:color="auto"/>
              <w:bottom w:val="single" w:sz="4" w:space="0" w:color="auto"/>
              <w:right w:val="single" w:sz="4" w:space="0" w:color="auto"/>
            </w:tcBorders>
            <w:vAlign w:val="center"/>
          </w:tcPr>
          <w:p w14:paraId="375C3789"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rPr>
              <w:t>Срок действия Договора</w:t>
            </w:r>
          </w:p>
        </w:tc>
        <w:tc>
          <w:tcPr>
            <w:tcW w:w="3526" w:type="pct"/>
            <w:tcBorders>
              <w:top w:val="single" w:sz="4" w:space="0" w:color="auto"/>
              <w:left w:val="nil"/>
              <w:bottom w:val="single" w:sz="4" w:space="0" w:color="auto"/>
              <w:right w:val="single" w:sz="8" w:space="0" w:color="000000"/>
            </w:tcBorders>
            <w:noWrap/>
            <w:vAlign w:val="center"/>
          </w:tcPr>
          <w:p w14:paraId="67CB59E9" w14:textId="77777777" w:rsidR="009D1253" w:rsidRPr="00D3704B" w:rsidRDefault="009D1253" w:rsidP="009D1253">
            <w:pPr>
              <w:widowControl w:val="0"/>
              <w:tabs>
                <w:tab w:val="left" w:pos="426"/>
                <w:tab w:val="left" w:pos="851"/>
              </w:tabs>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До полного исполнения Сторонами обязательств по Договору</w:t>
            </w:r>
          </w:p>
        </w:tc>
      </w:tr>
      <w:tr w:rsidR="009D1253" w:rsidRPr="00D3704B" w14:paraId="428244A5"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4" w:type="pct"/>
            <w:tcBorders>
              <w:top w:val="single" w:sz="4" w:space="0" w:color="auto"/>
              <w:left w:val="single" w:sz="8" w:space="0" w:color="auto"/>
              <w:bottom w:val="single" w:sz="4" w:space="0" w:color="auto"/>
              <w:right w:val="single" w:sz="4" w:space="0" w:color="auto"/>
            </w:tcBorders>
            <w:vAlign w:val="center"/>
          </w:tcPr>
          <w:p w14:paraId="1A5C8B4C" w14:textId="77777777" w:rsidR="009D1253" w:rsidRPr="00D3704B" w:rsidRDefault="009D1253" w:rsidP="009D1253">
            <w:pPr>
              <w:jc w:val="both"/>
              <w:rPr>
                <w:rFonts w:ascii="Tahoma" w:eastAsiaTheme="minorHAnsi" w:hAnsi="Tahoma" w:cs="Tahoma"/>
                <w:b/>
                <w:sz w:val="20"/>
                <w:szCs w:val="20"/>
              </w:rPr>
            </w:pPr>
            <w:r w:rsidRPr="00D3704B">
              <w:rPr>
                <w:rFonts w:ascii="Tahoma" w:eastAsiaTheme="minorHAnsi" w:hAnsi="Tahoma" w:cs="Tahoma"/>
                <w:b/>
                <w:sz w:val="20"/>
                <w:szCs w:val="20"/>
                <w:lang w:eastAsia="en-US"/>
              </w:rPr>
              <w:t>Срок рассмотрения  оформленного Заёмщиком заявления о предоставлении Кредита и принятия Кредитором решения относительно этого заявления</w:t>
            </w:r>
          </w:p>
        </w:tc>
        <w:tc>
          <w:tcPr>
            <w:tcW w:w="3526" w:type="pct"/>
            <w:tcBorders>
              <w:top w:val="single" w:sz="4" w:space="0" w:color="auto"/>
              <w:left w:val="nil"/>
              <w:bottom w:val="single" w:sz="4" w:space="0" w:color="auto"/>
              <w:right w:val="single" w:sz="8" w:space="0" w:color="000000"/>
            </w:tcBorders>
            <w:noWrap/>
            <w:vAlign w:val="center"/>
          </w:tcPr>
          <w:p w14:paraId="6B58A36C" w14:textId="77777777" w:rsidR="009D1253" w:rsidRPr="00D3704B" w:rsidRDefault="009D1253" w:rsidP="009D1253">
            <w:pPr>
              <w:widowControl w:val="0"/>
              <w:tabs>
                <w:tab w:val="left" w:pos="426"/>
                <w:tab w:val="left" w:pos="851"/>
              </w:tabs>
              <w:jc w:val="both"/>
              <w:rPr>
                <w:rFonts w:ascii="Tahoma" w:eastAsiaTheme="minorHAnsi" w:hAnsi="Tahoma" w:cs="Tahoma"/>
                <w:sz w:val="20"/>
                <w:szCs w:val="20"/>
                <w:lang w:eastAsia="en-US"/>
              </w:rPr>
            </w:pPr>
            <w:r w:rsidRPr="00D3704B">
              <w:rPr>
                <w:rFonts w:ascii="Tahoma" w:eastAsiaTheme="minorHAnsi" w:hAnsi="Tahoma" w:cs="Tahoma"/>
                <w:color w:val="000000"/>
                <w:sz w:val="20"/>
                <w:szCs w:val="20"/>
                <w:lang w:eastAsia="en-US"/>
              </w:rPr>
              <w:t>Решение принимается в течение 1 часа с момента предоставления Заёмщиком полного пакета документов. В случае необходимости запроса у Заёмщика дополнительных документов решение принимается в индивидуальные сроки.</w:t>
            </w:r>
            <w:r w:rsidRPr="00D3704B">
              <w:rPr>
                <w:rFonts w:ascii="Tahoma" w:eastAsiaTheme="minorHAnsi" w:hAnsi="Tahoma" w:cs="Tahoma"/>
                <w:sz w:val="20"/>
                <w:szCs w:val="20"/>
                <w:lang w:eastAsia="en-US"/>
              </w:rPr>
              <w:fldChar w:fldCharType="begin"/>
            </w:r>
            <w:r w:rsidRPr="00D3704B">
              <w:rPr>
                <w:rFonts w:ascii="Tahoma" w:eastAsiaTheme="minorHAnsi" w:hAnsi="Tahoma" w:cs="Tahoma"/>
                <w:sz w:val="20"/>
                <w:szCs w:val="20"/>
                <w:lang w:eastAsia="en-US"/>
              </w:rPr>
              <w:instrText xml:space="preserve"> DOCVARIABLE  WAS_BORN_DMY </w:instrText>
            </w:r>
            <w:r w:rsidRPr="00D3704B">
              <w:rPr>
                <w:rFonts w:ascii="Tahoma" w:eastAsiaTheme="minorHAnsi" w:hAnsi="Tahoma" w:cs="Tahoma"/>
                <w:sz w:val="20"/>
                <w:szCs w:val="20"/>
                <w:lang w:eastAsia="en-US"/>
              </w:rPr>
              <w:fldChar w:fldCharType="end"/>
            </w:r>
          </w:p>
        </w:tc>
      </w:tr>
      <w:tr w:rsidR="009D1253" w:rsidRPr="00D3704B" w14:paraId="619F7057"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4" w:type="pct"/>
            <w:tcBorders>
              <w:top w:val="single" w:sz="4" w:space="0" w:color="auto"/>
              <w:left w:val="single" w:sz="8" w:space="0" w:color="auto"/>
              <w:bottom w:val="single" w:sz="4" w:space="0" w:color="auto"/>
              <w:right w:val="single" w:sz="4" w:space="0" w:color="auto"/>
            </w:tcBorders>
            <w:vAlign w:val="center"/>
          </w:tcPr>
          <w:p w14:paraId="1A9042B0"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 xml:space="preserve">Срок, в течение которого Заёмщик вправе отказаться от получения Кредита </w:t>
            </w:r>
          </w:p>
        </w:tc>
        <w:tc>
          <w:tcPr>
            <w:tcW w:w="3526" w:type="pct"/>
            <w:tcBorders>
              <w:top w:val="single" w:sz="4" w:space="0" w:color="auto"/>
              <w:left w:val="nil"/>
              <w:bottom w:val="single" w:sz="4" w:space="0" w:color="auto"/>
              <w:right w:val="single" w:sz="8" w:space="0" w:color="000000"/>
            </w:tcBorders>
            <w:noWrap/>
            <w:vAlign w:val="center"/>
          </w:tcPr>
          <w:p w14:paraId="2B5B1E20" w14:textId="77777777" w:rsidR="009D1253" w:rsidRPr="00D3704B" w:rsidRDefault="009D1253" w:rsidP="009D1253">
            <w:pPr>
              <w:widowControl w:val="0"/>
              <w:tabs>
                <w:tab w:val="left" w:pos="426"/>
                <w:tab w:val="left" w:pos="851"/>
              </w:tabs>
              <w:jc w:val="both"/>
              <w:rPr>
                <w:rFonts w:ascii="Tahoma" w:eastAsiaTheme="minorHAnsi" w:hAnsi="Tahoma" w:cs="Tahoma"/>
                <w:color w:val="000000"/>
                <w:sz w:val="20"/>
                <w:szCs w:val="20"/>
                <w:lang w:eastAsia="en-US"/>
              </w:rPr>
            </w:pPr>
            <w:r w:rsidRPr="00D3704B">
              <w:rPr>
                <w:rFonts w:ascii="Tahoma" w:eastAsiaTheme="minorHAnsi" w:hAnsi="Tahoma" w:cs="Tahoma"/>
                <w:sz w:val="20"/>
                <w:szCs w:val="20"/>
                <w:lang w:eastAsia="en-US"/>
              </w:rPr>
              <w:t xml:space="preserve">Заёмщик вправе отказаться от получения кредита полностью или частично, уведомив об этом Банк до истечения установленного Договором срока его предоставления. </w:t>
            </w:r>
          </w:p>
        </w:tc>
      </w:tr>
      <w:tr w:rsidR="009D1253" w:rsidRPr="00D3704B" w14:paraId="406B8386"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trPr>
        <w:tc>
          <w:tcPr>
            <w:tcW w:w="1474" w:type="pct"/>
            <w:tcBorders>
              <w:top w:val="single" w:sz="4" w:space="0" w:color="auto"/>
              <w:left w:val="single" w:sz="8" w:space="0" w:color="auto"/>
              <w:bottom w:val="single" w:sz="4" w:space="0" w:color="auto"/>
              <w:right w:val="single" w:sz="4" w:space="0" w:color="auto"/>
            </w:tcBorders>
          </w:tcPr>
          <w:p w14:paraId="3CA594B8"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Срок действия решения о предоставлении Кредита</w:t>
            </w:r>
          </w:p>
        </w:tc>
        <w:tc>
          <w:tcPr>
            <w:tcW w:w="3526" w:type="pct"/>
            <w:tcBorders>
              <w:top w:val="single" w:sz="4" w:space="0" w:color="auto"/>
              <w:left w:val="nil"/>
              <w:bottom w:val="single" w:sz="4" w:space="0" w:color="auto"/>
              <w:right w:val="single" w:sz="8" w:space="0" w:color="000000"/>
            </w:tcBorders>
            <w:noWrap/>
            <w:vAlign w:val="center"/>
          </w:tcPr>
          <w:p w14:paraId="37472BE3" w14:textId="77777777" w:rsidR="009D1253" w:rsidRPr="00D3704B" w:rsidRDefault="009D1253" w:rsidP="009D1253">
            <w:pPr>
              <w:widowControl w:val="0"/>
              <w:tabs>
                <w:tab w:val="left" w:pos="426"/>
                <w:tab w:val="left" w:pos="851"/>
              </w:tabs>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30 календарных дней с даты принятия Банком решения</w:t>
            </w:r>
          </w:p>
        </w:tc>
      </w:tr>
      <w:tr w:rsidR="009D1253" w:rsidRPr="00D3704B" w14:paraId="3E65D101"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301"/>
        </w:trPr>
        <w:tc>
          <w:tcPr>
            <w:tcW w:w="1474" w:type="pct"/>
            <w:tcBorders>
              <w:top w:val="single" w:sz="4" w:space="0" w:color="auto"/>
              <w:left w:val="single" w:sz="8" w:space="0" w:color="auto"/>
              <w:bottom w:val="single" w:sz="4" w:space="0" w:color="auto"/>
              <w:right w:val="single" w:sz="4" w:space="0" w:color="auto"/>
            </w:tcBorders>
            <w:vAlign w:val="center"/>
          </w:tcPr>
          <w:p w14:paraId="77A18045"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Способы обеспечения исполнения обязательств по Договору «Потребительский кредит под залог транспортного средства»</w:t>
            </w:r>
          </w:p>
        </w:tc>
        <w:tc>
          <w:tcPr>
            <w:tcW w:w="3526" w:type="pct"/>
            <w:tcBorders>
              <w:top w:val="single" w:sz="4" w:space="0" w:color="auto"/>
              <w:left w:val="nil"/>
              <w:bottom w:val="single" w:sz="4" w:space="0" w:color="auto"/>
              <w:right w:val="single" w:sz="8" w:space="0" w:color="000000"/>
            </w:tcBorders>
            <w:noWrap/>
            <w:vAlign w:val="center"/>
          </w:tcPr>
          <w:p w14:paraId="09C2DA0B" w14:textId="77777777" w:rsidR="009D1253" w:rsidRPr="00D3704B" w:rsidRDefault="009D1253" w:rsidP="009D1253">
            <w:pPr>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1)</w:t>
            </w:r>
            <w:r w:rsidRPr="00D3704B">
              <w:rPr>
                <w:rFonts w:ascii="Tahoma" w:eastAsiaTheme="minorHAnsi" w:hAnsi="Tahoma" w:cs="Tahoma"/>
                <w:color w:val="000000"/>
                <w:sz w:val="20"/>
                <w:szCs w:val="20"/>
                <w:lang w:eastAsia="en-US"/>
              </w:rPr>
              <w:t xml:space="preserve"> Залог приобретаемого Заёмщиком за счет кредитных средств Банка ТС</w:t>
            </w:r>
          </w:p>
          <w:p w14:paraId="13339EF5" w14:textId="77777777" w:rsidR="009D1253" w:rsidRPr="00D3704B" w:rsidRDefault="009D1253" w:rsidP="009D1253">
            <w:pPr>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2) Неустойка (штраф, пеня). В случае нарушения обязательств по Договору с Заёмщика может быть взыскана неустойка в сумме и порядке, определенных Сторонами в соответствии с законодательством РФ и Индивидуальными условиями Договора.</w:t>
            </w:r>
            <w:r w:rsidRPr="00D3704B">
              <w:rPr>
                <w:rFonts w:ascii="Tahoma" w:eastAsiaTheme="minorHAnsi" w:hAnsi="Tahoma" w:cs="Tahoma"/>
                <w:sz w:val="20"/>
                <w:szCs w:val="20"/>
                <w:lang w:eastAsia="en-US"/>
              </w:rPr>
              <w:fldChar w:fldCharType="begin"/>
            </w:r>
            <w:r w:rsidRPr="00D3704B">
              <w:rPr>
                <w:rFonts w:ascii="Tahoma" w:eastAsiaTheme="minorHAnsi" w:hAnsi="Tahoma" w:cs="Tahoma"/>
                <w:sz w:val="20"/>
                <w:szCs w:val="20"/>
                <w:lang w:eastAsia="en-US"/>
              </w:rPr>
              <w:instrText xml:space="preserve"> DOCVARIABLE  ATB_ADDRESS_FACT </w:instrText>
            </w:r>
            <w:r w:rsidRPr="00D3704B">
              <w:rPr>
                <w:rFonts w:ascii="Tahoma" w:eastAsiaTheme="minorHAnsi" w:hAnsi="Tahoma" w:cs="Tahoma"/>
                <w:sz w:val="20"/>
                <w:szCs w:val="20"/>
                <w:lang w:eastAsia="en-US"/>
              </w:rPr>
              <w:fldChar w:fldCharType="end"/>
            </w:r>
          </w:p>
        </w:tc>
      </w:tr>
      <w:tr w:rsidR="009D1253" w:rsidRPr="00D3704B" w14:paraId="1CE6FF3B"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01"/>
        </w:trPr>
        <w:tc>
          <w:tcPr>
            <w:tcW w:w="1474" w:type="pct"/>
            <w:tcBorders>
              <w:top w:val="single" w:sz="4" w:space="0" w:color="auto"/>
              <w:left w:val="single" w:sz="8" w:space="0" w:color="auto"/>
              <w:bottom w:val="single" w:sz="4" w:space="0" w:color="auto"/>
              <w:right w:val="single" w:sz="4" w:space="0" w:color="000000"/>
            </w:tcBorders>
            <w:shd w:val="clear" w:color="auto" w:fill="auto"/>
            <w:vAlign w:val="center"/>
          </w:tcPr>
          <w:p w14:paraId="630FEF73"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Способы возврата  Заёмщиком Кредита и уплаты процентов по нему, включая бесплатный способ исполнения Заёмщиком обязательств по Договору «Потребительский кредит под залог транспортного средства»</w:t>
            </w:r>
          </w:p>
        </w:tc>
        <w:tc>
          <w:tcPr>
            <w:tcW w:w="3526" w:type="pct"/>
            <w:tcBorders>
              <w:top w:val="single" w:sz="4" w:space="0" w:color="auto"/>
              <w:left w:val="nil"/>
              <w:bottom w:val="single" w:sz="4" w:space="0" w:color="auto"/>
              <w:right w:val="single" w:sz="8" w:space="0" w:color="000000"/>
            </w:tcBorders>
            <w:shd w:val="clear" w:color="auto" w:fill="auto"/>
            <w:vAlign w:val="center"/>
          </w:tcPr>
          <w:p w14:paraId="7561F1AE" w14:textId="77777777" w:rsidR="009D1253" w:rsidRPr="00D3704B" w:rsidRDefault="009D1253" w:rsidP="009D1253">
            <w:pPr>
              <w:widowControl w:val="0"/>
              <w:tabs>
                <w:tab w:val="left" w:pos="426"/>
                <w:tab w:val="left" w:pos="851"/>
              </w:tabs>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 xml:space="preserve">Погашение Заёмщиком обязательств по Договору осуществляется в сумме и сроки предусмотренные Договором (в т.ч. при досрочном частичном или полном возврате Кредита) производится любым способом по выбору Заёмщика, в том числе: посредством внесения денежных средств в сумме обязательства на ТБС Заёмщика через терминалы самообслуживания Банка (при их наличии в населенном пункте по месту получения Заёмщиком оферты)/ кассы Банка, перевод через работодателя Заёмщика, перевод со счёта в Банке на ТБС Заёмщика, перевод через отделения АО «Почта России», перевод через интернет-системы «АТБ-Онлайн», «АТБ Банк», иные кредитные организации (по предусмотренным ими тарифам). </w:t>
            </w:r>
          </w:p>
          <w:p w14:paraId="4981976C" w14:textId="77777777" w:rsidR="009D1253" w:rsidRPr="00D3704B" w:rsidRDefault="009D1253" w:rsidP="009D1253">
            <w:pPr>
              <w:widowControl w:val="0"/>
              <w:tabs>
                <w:tab w:val="left" w:pos="426"/>
                <w:tab w:val="left" w:pos="851"/>
              </w:tabs>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Могут использоваться иные, не противоречащие законодательству РФ способы.</w:t>
            </w:r>
          </w:p>
          <w:p w14:paraId="0B9AE3C7" w14:textId="77777777" w:rsidR="009D1253" w:rsidRPr="00D3704B" w:rsidRDefault="009D1253" w:rsidP="009D1253">
            <w:pPr>
              <w:widowControl w:val="0"/>
              <w:tabs>
                <w:tab w:val="left" w:pos="426"/>
                <w:tab w:val="left" w:pos="851"/>
              </w:tabs>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Заёмщик вносит на ТБС денежные средства любыми из перечисленных выше способов, при этом он обязан учесть время, затрачиваемое на безналичное перечисление денежных средств, выходные и праздничные дни. Если установленный Договором последний день срока платежа отсутствует в календарном месяце, Заёмщик обязан внести денежные средства на ТБС не позднее последнего календарного рабочего дня месяца; если последний день срока платежа приходится на выходные/нерабочие праздничные дни, Заёмщик обязан внести денежные средства на ТБС не позднее 1-го рабочего дня, следующего за выходным/нерабочим праздничным днем. Указанная обязанность должна быть исполнена Заёмщиком в операционный день Банка.</w:t>
            </w:r>
          </w:p>
          <w:p w14:paraId="5020FF17" w14:textId="77777777" w:rsidR="009D1253" w:rsidRPr="00D3704B" w:rsidRDefault="009D1253" w:rsidP="009D1253">
            <w:pPr>
              <w:widowControl w:val="0"/>
              <w:tabs>
                <w:tab w:val="left" w:pos="426"/>
                <w:tab w:val="left" w:pos="851"/>
              </w:tabs>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Бесплатный способ исполнения Заёмщиком обязательств по Договору производится путем внесения денежных средств в сумме обязательства на ТБС Заёмщика через терминалы самообслуживания Банка (при их наличии в населенном пункте по месту получения Заёмщиком оферты)/ кассы Банка, перевод через работодателя Заёмщика, с использованием сервиса Системы быстрых платежей (в рамках бесплатных лимитов, установленных тарифами сервиса). В случае изменений, информация доводится до Заемщика в соответствии с Общими условиями кредитования.</w:t>
            </w:r>
          </w:p>
        </w:tc>
      </w:tr>
      <w:tr w:rsidR="009D1253" w:rsidRPr="00D3704B" w14:paraId="119002F9"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01"/>
        </w:trPr>
        <w:tc>
          <w:tcPr>
            <w:tcW w:w="1474" w:type="pct"/>
            <w:tcBorders>
              <w:top w:val="single" w:sz="4" w:space="0" w:color="auto"/>
              <w:left w:val="single" w:sz="8" w:space="0" w:color="auto"/>
              <w:bottom w:val="single" w:sz="4" w:space="0" w:color="auto"/>
              <w:right w:val="single" w:sz="4" w:space="0" w:color="000000"/>
            </w:tcBorders>
            <w:shd w:val="clear" w:color="auto" w:fill="auto"/>
            <w:vAlign w:val="center"/>
          </w:tcPr>
          <w:p w14:paraId="64DA4729"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lastRenderedPageBreak/>
              <w:t>Порядок погашения Заёмщиком задолженности по Кредиту</w:t>
            </w:r>
          </w:p>
        </w:tc>
        <w:tc>
          <w:tcPr>
            <w:tcW w:w="3526" w:type="pct"/>
            <w:tcBorders>
              <w:top w:val="single" w:sz="4" w:space="0" w:color="auto"/>
              <w:left w:val="nil"/>
              <w:bottom w:val="single" w:sz="4" w:space="0" w:color="auto"/>
              <w:right w:val="single" w:sz="8" w:space="0" w:color="000000"/>
            </w:tcBorders>
            <w:shd w:val="clear" w:color="auto" w:fill="auto"/>
            <w:vAlign w:val="center"/>
          </w:tcPr>
          <w:p w14:paraId="24E8C9BC" w14:textId="77777777" w:rsidR="009D1253" w:rsidRPr="00D3704B" w:rsidRDefault="009D1253" w:rsidP="009D1253">
            <w:pPr>
              <w:widowControl w:val="0"/>
              <w:tabs>
                <w:tab w:val="left" w:pos="426"/>
                <w:tab w:val="left" w:pos="851"/>
              </w:tabs>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Определен УДБО</w:t>
            </w:r>
            <w:r w:rsidRPr="00D3704B">
              <w:rPr>
                <w:rFonts w:ascii="Tahoma" w:eastAsiaTheme="minorHAnsi" w:hAnsi="Tahoma" w:cs="Tahoma"/>
                <w:sz w:val="20"/>
                <w:szCs w:val="20"/>
                <w:lang w:val="en-US" w:eastAsia="en-US"/>
              </w:rPr>
              <w:t>.</w:t>
            </w:r>
          </w:p>
        </w:tc>
      </w:tr>
      <w:tr w:rsidR="009D1253" w:rsidRPr="00D3704B" w14:paraId="56CCC80E"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344"/>
        </w:trPr>
        <w:tc>
          <w:tcPr>
            <w:tcW w:w="1474" w:type="pct"/>
            <w:tcBorders>
              <w:top w:val="single" w:sz="4" w:space="0" w:color="auto"/>
              <w:left w:val="single" w:sz="8" w:space="0" w:color="auto"/>
              <w:bottom w:val="single" w:sz="4" w:space="0" w:color="auto"/>
              <w:right w:val="single" w:sz="4" w:space="0" w:color="000000"/>
            </w:tcBorders>
            <w:vAlign w:val="center"/>
          </w:tcPr>
          <w:p w14:paraId="5CCEBD7B"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color w:val="000000"/>
                <w:sz w:val="20"/>
                <w:szCs w:val="20"/>
                <w:lang w:eastAsia="en-US"/>
              </w:rPr>
              <w:t xml:space="preserve">Ответственность Заёмщика за ненадлежащее исполнение Договора </w:t>
            </w:r>
          </w:p>
        </w:tc>
        <w:tc>
          <w:tcPr>
            <w:tcW w:w="3526" w:type="pct"/>
            <w:tcBorders>
              <w:top w:val="single" w:sz="4" w:space="0" w:color="auto"/>
              <w:left w:val="nil"/>
              <w:bottom w:val="single" w:sz="4" w:space="0" w:color="auto"/>
              <w:right w:val="single" w:sz="8" w:space="0" w:color="000000"/>
            </w:tcBorders>
            <w:vAlign w:val="center"/>
          </w:tcPr>
          <w:p w14:paraId="02480C47" w14:textId="77777777" w:rsidR="009D1253" w:rsidRPr="00D3704B" w:rsidRDefault="009D1253" w:rsidP="009D1253">
            <w:pPr>
              <w:widowControl w:val="0"/>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 xml:space="preserve">В случае нарушения Заёмщиком сроков возврата Кредита и/или уплаты процентов на сумму Кредита Заёмщик уплачивает Банку неустойку в размере 20% годовых от суммы просроченной задолженности за каждый день нарушения срока уплаты. </w:t>
            </w:r>
          </w:p>
          <w:p w14:paraId="210BA52F" w14:textId="77777777" w:rsidR="009D1253" w:rsidRPr="00D3704B" w:rsidRDefault="009D1253" w:rsidP="009D1253">
            <w:pPr>
              <w:widowControl w:val="0"/>
              <w:tabs>
                <w:tab w:val="left" w:pos="426"/>
                <w:tab w:val="left" w:pos="851"/>
              </w:tabs>
              <w:jc w:val="both"/>
              <w:rPr>
                <w:rFonts w:ascii="Tahoma" w:eastAsia="Calibri" w:hAnsi="Tahoma" w:cs="Tahoma"/>
                <w:sz w:val="20"/>
                <w:szCs w:val="20"/>
                <w:lang w:eastAsia="en-US"/>
              </w:rPr>
            </w:pPr>
            <w:r w:rsidRPr="00D3704B">
              <w:rPr>
                <w:rFonts w:ascii="Tahoma" w:eastAsiaTheme="minorHAnsi" w:hAnsi="Tahoma" w:cs="Tahoma"/>
                <w:sz w:val="20"/>
                <w:szCs w:val="20"/>
                <w:lang w:eastAsia="en-US"/>
              </w:rPr>
              <w:t>В случае нарушения Заёмщиком сроков возврата суммы Кредита (основного долга) и/или уплаты процентов продолжительностью (общей продолжительностью) более чем 60 календарных дней в течение последних 180 календарных дней, Банк вправе потребовать от Заёмщика досрочного возврата оставшейся суммы Кредита вместе с причитающимися процентами и/или расторжения Договора, уведомив об этом Заёмщика способом, установленным Договором. В таком случае Заёмщик обязан вернуть Банку оставшуюся сумму Кредита и уплатить все причитающиеся Банку проценты и неустойки в течение 30 календарных дней с момента направления Банком уведомления Заёмщику, если иной, более продолжительный срок не указан Банком в таком уведомлении.</w:t>
            </w:r>
          </w:p>
        </w:tc>
      </w:tr>
      <w:tr w:rsidR="009D1253" w:rsidRPr="00D3704B" w14:paraId="33754018" w14:textId="77777777" w:rsidTr="009D1253">
        <w:tblPrEx>
          <w:tblLook w:val="00A0" w:firstRow="1" w:lastRow="0" w:firstColumn="1" w:lastColumn="0" w:noHBand="0" w:noVBand="0"/>
        </w:tblPrEx>
        <w:trPr>
          <w:trHeight w:val="1000"/>
        </w:trPr>
        <w:tc>
          <w:tcPr>
            <w:tcW w:w="1474" w:type="pct"/>
            <w:tcBorders>
              <w:top w:val="single" w:sz="4" w:space="0" w:color="auto"/>
              <w:left w:val="single" w:sz="8" w:space="0" w:color="auto"/>
              <w:bottom w:val="single" w:sz="4" w:space="0" w:color="auto"/>
              <w:right w:val="single" w:sz="4" w:space="0" w:color="000000"/>
            </w:tcBorders>
            <w:vAlign w:val="center"/>
          </w:tcPr>
          <w:p w14:paraId="0923929D"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Информация о возможности запрета уступки Кредитором третьим лицам прав (требований) по Договору «Потребительский кредит под залог транспортного средства»</w:t>
            </w:r>
          </w:p>
        </w:tc>
        <w:tc>
          <w:tcPr>
            <w:tcW w:w="3526" w:type="pct"/>
            <w:tcBorders>
              <w:top w:val="single" w:sz="4" w:space="0" w:color="auto"/>
              <w:left w:val="nil"/>
              <w:bottom w:val="single" w:sz="4" w:space="0" w:color="auto"/>
              <w:right w:val="single" w:sz="8" w:space="0" w:color="000000"/>
            </w:tcBorders>
            <w:vAlign w:val="center"/>
          </w:tcPr>
          <w:p w14:paraId="34BC3620" w14:textId="77777777" w:rsidR="009D1253" w:rsidRPr="00D3704B" w:rsidRDefault="009D1253" w:rsidP="009D1253">
            <w:pPr>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Заёмщик вправе запретить уступку Банком третьим лицам прав (требований) по Договору.</w:t>
            </w:r>
          </w:p>
        </w:tc>
      </w:tr>
      <w:tr w:rsidR="009D1253" w:rsidRPr="00D3704B" w14:paraId="794F683E" w14:textId="77777777" w:rsidTr="009D12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303"/>
        </w:trPr>
        <w:tc>
          <w:tcPr>
            <w:tcW w:w="1474" w:type="pct"/>
            <w:tcBorders>
              <w:top w:val="single" w:sz="4" w:space="0" w:color="auto"/>
              <w:left w:val="single" w:sz="8" w:space="0" w:color="auto"/>
              <w:bottom w:val="single" w:sz="4" w:space="0" w:color="auto"/>
              <w:right w:val="single" w:sz="4" w:space="0" w:color="000000"/>
            </w:tcBorders>
            <w:vAlign w:val="center"/>
          </w:tcPr>
          <w:p w14:paraId="3428A3B9"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 xml:space="preserve">Порядок предоставления Заёмщиком информации об использовании Кредита </w:t>
            </w:r>
          </w:p>
        </w:tc>
        <w:tc>
          <w:tcPr>
            <w:tcW w:w="3526" w:type="pct"/>
            <w:tcBorders>
              <w:top w:val="single" w:sz="4" w:space="0" w:color="auto"/>
              <w:left w:val="nil"/>
              <w:bottom w:val="single" w:sz="4" w:space="0" w:color="auto"/>
              <w:right w:val="single" w:sz="8" w:space="0" w:color="000000"/>
            </w:tcBorders>
            <w:vAlign w:val="center"/>
          </w:tcPr>
          <w:p w14:paraId="161DC33B" w14:textId="77777777" w:rsidR="009D1253" w:rsidRPr="00D3704B" w:rsidRDefault="009D1253" w:rsidP="009D1253">
            <w:pPr>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При заключении Договора «Потребительский кредит под залог транспортного средства»</w:t>
            </w:r>
            <w:r w:rsidRPr="00D3704B">
              <w:rPr>
                <w:rFonts w:ascii="Tahoma" w:eastAsiaTheme="minorHAnsi" w:hAnsi="Tahoma" w:cs="Tahoma"/>
                <w:b/>
                <w:sz w:val="20"/>
                <w:szCs w:val="20"/>
                <w:lang w:eastAsia="en-US"/>
              </w:rPr>
              <w:t xml:space="preserve"> </w:t>
            </w:r>
            <w:r w:rsidRPr="00D3704B">
              <w:rPr>
                <w:rFonts w:ascii="Tahoma" w:eastAsiaTheme="minorHAnsi" w:hAnsi="Tahoma" w:cs="Tahoma"/>
                <w:sz w:val="20"/>
                <w:szCs w:val="20"/>
                <w:lang w:eastAsia="en-US"/>
              </w:rPr>
              <w:t>Заёмщик предоставляет Банку копии документов, подтверждающих приобретение ТС, а также иных товаров, работ, услуг (при их наличии).</w:t>
            </w:r>
          </w:p>
          <w:p w14:paraId="0ED76BCE" w14:textId="77777777" w:rsidR="009D1253" w:rsidRPr="00D3704B" w:rsidRDefault="009D1253" w:rsidP="009D1253">
            <w:pPr>
              <w:jc w:val="both"/>
              <w:rPr>
                <w:rFonts w:ascii="Tahoma" w:eastAsiaTheme="minorHAnsi" w:hAnsi="Tahoma" w:cs="Tahoma"/>
                <w:sz w:val="20"/>
                <w:szCs w:val="20"/>
                <w:lang w:eastAsia="en-US"/>
              </w:rPr>
            </w:pPr>
          </w:p>
        </w:tc>
      </w:tr>
      <w:tr w:rsidR="009D1253" w:rsidRPr="00D3704B" w14:paraId="5B21E992" w14:textId="77777777" w:rsidTr="009D1253">
        <w:tblPrEx>
          <w:tblLook w:val="00A0" w:firstRow="1" w:lastRow="0" w:firstColumn="1" w:lastColumn="0" w:noHBand="0" w:noVBand="0"/>
        </w:tblPrEx>
        <w:trPr>
          <w:trHeight w:val="395"/>
        </w:trPr>
        <w:tc>
          <w:tcPr>
            <w:tcW w:w="1474" w:type="pct"/>
            <w:tcBorders>
              <w:top w:val="single" w:sz="4" w:space="0" w:color="auto"/>
              <w:left w:val="single" w:sz="8" w:space="0" w:color="auto"/>
              <w:bottom w:val="single" w:sz="4" w:space="0" w:color="auto"/>
              <w:right w:val="single" w:sz="4" w:space="0" w:color="000000"/>
            </w:tcBorders>
            <w:vAlign w:val="center"/>
          </w:tcPr>
          <w:p w14:paraId="765F0B61"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Подсудность споров по искам Кредитора к Заёмщику</w:t>
            </w:r>
          </w:p>
        </w:tc>
        <w:tc>
          <w:tcPr>
            <w:tcW w:w="3526" w:type="pct"/>
            <w:tcBorders>
              <w:top w:val="single" w:sz="4" w:space="0" w:color="auto"/>
              <w:left w:val="nil"/>
              <w:bottom w:val="single" w:sz="4" w:space="0" w:color="auto"/>
              <w:right w:val="single" w:sz="8" w:space="0" w:color="000000"/>
            </w:tcBorders>
            <w:vAlign w:val="center"/>
          </w:tcPr>
          <w:p w14:paraId="374487FE" w14:textId="77777777" w:rsidR="009D1253" w:rsidRPr="00D3704B" w:rsidRDefault="009D1253" w:rsidP="009D1253">
            <w:pPr>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Неурегулированные споры по искам Банка к Заёмщику рассматриваются в порядке, установленном законодательством РФ. Взыскание задолженности по Договору может производиться по исполнительной надписи нотариуса, совершаемой на основании заявления Банка.</w:t>
            </w:r>
          </w:p>
        </w:tc>
      </w:tr>
      <w:tr w:rsidR="009D1253" w:rsidRPr="00D3704B" w14:paraId="0C546DF2" w14:textId="77777777" w:rsidTr="009D1253">
        <w:tblPrEx>
          <w:tblLook w:val="00A0" w:firstRow="1" w:lastRow="0" w:firstColumn="1" w:lastColumn="0" w:noHBand="0" w:noVBand="0"/>
        </w:tblPrEx>
        <w:trPr>
          <w:trHeight w:val="263"/>
        </w:trPr>
        <w:tc>
          <w:tcPr>
            <w:tcW w:w="1474" w:type="pct"/>
            <w:tcBorders>
              <w:top w:val="single" w:sz="4" w:space="0" w:color="auto"/>
              <w:left w:val="single" w:sz="8" w:space="0" w:color="auto"/>
              <w:bottom w:val="single" w:sz="4" w:space="0" w:color="auto"/>
              <w:right w:val="single" w:sz="4" w:space="0" w:color="000000"/>
            </w:tcBorders>
            <w:vAlign w:val="center"/>
          </w:tcPr>
          <w:p w14:paraId="3F0A7F20" w14:textId="77777777" w:rsidR="009D1253" w:rsidRPr="00D3704B" w:rsidRDefault="009D1253" w:rsidP="009D1253">
            <w:pPr>
              <w:jc w:val="both"/>
              <w:rPr>
                <w:rFonts w:ascii="Tahoma" w:eastAsiaTheme="minorHAnsi" w:hAnsi="Tahoma" w:cs="Tahoma"/>
                <w:b/>
                <w:sz w:val="20"/>
                <w:szCs w:val="20"/>
                <w:lang w:eastAsia="en-US"/>
              </w:rPr>
            </w:pPr>
            <w:r w:rsidRPr="00D3704B">
              <w:rPr>
                <w:rFonts w:ascii="Tahoma" w:eastAsiaTheme="minorHAnsi" w:hAnsi="Tahoma" w:cs="Tahoma"/>
                <w:b/>
                <w:sz w:val="20"/>
                <w:szCs w:val="20"/>
                <w:lang w:eastAsia="en-US"/>
              </w:rPr>
              <w:t>Формуляры или иные стандартные формы, в которых определены общие условия договора «Потребительский кредит под залог транспортного средства»</w:t>
            </w:r>
          </w:p>
        </w:tc>
        <w:tc>
          <w:tcPr>
            <w:tcW w:w="3526" w:type="pct"/>
            <w:tcBorders>
              <w:top w:val="single" w:sz="4" w:space="0" w:color="auto"/>
              <w:left w:val="nil"/>
              <w:bottom w:val="single" w:sz="4" w:space="0" w:color="auto"/>
              <w:right w:val="single" w:sz="8" w:space="0" w:color="000000"/>
            </w:tcBorders>
            <w:vAlign w:val="center"/>
          </w:tcPr>
          <w:p w14:paraId="10BBB67C" w14:textId="77777777" w:rsidR="009D1253" w:rsidRPr="00D3704B" w:rsidRDefault="009D1253" w:rsidP="009D1253">
            <w:pPr>
              <w:widowControl w:val="0"/>
              <w:tabs>
                <w:tab w:val="left" w:pos="426"/>
                <w:tab w:val="left" w:pos="851"/>
              </w:tabs>
              <w:jc w:val="both"/>
              <w:rPr>
                <w:rFonts w:ascii="Tahoma" w:eastAsiaTheme="minorHAnsi" w:hAnsi="Tahoma" w:cs="Tahoma"/>
                <w:sz w:val="20"/>
                <w:szCs w:val="20"/>
                <w:lang w:eastAsia="en-US"/>
              </w:rPr>
            </w:pPr>
            <w:r w:rsidRPr="00D3704B">
              <w:rPr>
                <w:rFonts w:ascii="Tahoma" w:eastAsiaTheme="minorHAnsi" w:hAnsi="Tahoma" w:cs="Tahoma"/>
                <w:sz w:val="20"/>
                <w:szCs w:val="20"/>
                <w:lang w:eastAsia="en-US"/>
              </w:rPr>
              <w:t>Общие условия Договора «Потребительский кредит под залог транспортного средства» закреплены в «Общих условиях потребительского кредитования в «Азиатско-Тихоокеанский Банк» (АО)», являющихся Приложением № 3 к Универсальному договору банковского обслуживания физических лиц «Азиатско-Тихоокеанский Банк» (АО), размещённых в местах приема заявлений на предоставление потребительского кредита под залог транспортного средства (в отделениях Банка и иных местах приема заявлений на предоставление потребительского кредита под залог транспортного средства), на сайте Банка в сети Интернет по адресу www.atb.su и могут быть предоставлены Заемщику по его требованию на бумажном носителе.</w:t>
            </w:r>
          </w:p>
        </w:tc>
      </w:tr>
      <w:tr w:rsidR="009D1253" w:rsidRPr="00D3704B" w14:paraId="776926CB" w14:textId="77777777" w:rsidTr="009D1253">
        <w:tblPrEx>
          <w:tblLook w:val="00A0" w:firstRow="1" w:lastRow="0" w:firstColumn="1" w:lastColumn="0" w:noHBand="0" w:noVBand="0"/>
        </w:tblPrEx>
        <w:trPr>
          <w:trHeight w:val="263"/>
        </w:trPr>
        <w:tc>
          <w:tcPr>
            <w:tcW w:w="1474" w:type="pct"/>
            <w:tcBorders>
              <w:top w:val="single" w:sz="4" w:space="0" w:color="auto"/>
              <w:left w:val="single" w:sz="8" w:space="0" w:color="auto"/>
              <w:bottom w:val="single" w:sz="4" w:space="0" w:color="auto"/>
              <w:right w:val="single" w:sz="4" w:space="0" w:color="000000"/>
            </w:tcBorders>
            <w:vAlign w:val="center"/>
          </w:tcPr>
          <w:p w14:paraId="1E0A878D" w14:textId="77777777" w:rsidR="009D1253" w:rsidRPr="00D3704B" w:rsidRDefault="009D1253" w:rsidP="009D1253">
            <w:pPr>
              <w:rPr>
                <w:rFonts w:ascii="Tahoma" w:eastAsiaTheme="minorHAnsi" w:hAnsi="Tahoma" w:cs="Tahoma"/>
                <w:b/>
                <w:sz w:val="20"/>
                <w:szCs w:val="20"/>
                <w:lang w:eastAsia="en-US"/>
              </w:rPr>
            </w:pPr>
            <w:r w:rsidRPr="00D3704B">
              <w:rPr>
                <w:rFonts w:ascii="Tahoma" w:eastAsiaTheme="minorHAnsi" w:hAnsi="Tahoma" w:cs="Tahoma"/>
                <w:b/>
                <w:bCs/>
                <w:sz w:val="20"/>
                <w:szCs w:val="20"/>
                <w:lang w:eastAsia="en-US"/>
              </w:rPr>
              <w:t>Право заемщика обратиться к кредитору с требованием, предусмотренным частью 1 статьи 6.1-2 Федерального закона от 21.12.2013 № 353-ФЗ «О потребительском кредите (займе)», и об условиях, при наступлении которых у заемщика возникает соответствующее право.</w:t>
            </w:r>
          </w:p>
        </w:tc>
        <w:tc>
          <w:tcPr>
            <w:tcW w:w="3526" w:type="pct"/>
            <w:tcBorders>
              <w:top w:val="single" w:sz="4" w:space="0" w:color="auto"/>
              <w:left w:val="nil"/>
              <w:bottom w:val="single" w:sz="4" w:space="0" w:color="auto"/>
              <w:right w:val="single" w:sz="8" w:space="0" w:color="000000"/>
            </w:tcBorders>
            <w:vAlign w:val="center"/>
          </w:tcPr>
          <w:p w14:paraId="14FEED43" w14:textId="77777777" w:rsidR="009D1253" w:rsidRPr="00D3704B" w:rsidRDefault="009D1253" w:rsidP="009D1253">
            <w:pPr>
              <w:widowControl w:val="0"/>
              <w:tabs>
                <w:tab w:val="left" w:pos="426"/>
                <w:tab w:val="left" w:pos="851"/>
              </w:tabs>
              <w:rPr>
                <w:rFonts w:ascii="Tahoma" w:eastAsiaTheme="minorHAnsi" w:hAnsi="Tahoma" w:cs="Tahoma"/>
                <w:sz w:val="20"/>
                <w:szCs w:val="20"/>
                <w:lang w:eastAsia="en-US"/>
              </w:rPr>
            </w:pPr>
            <w:r w:rsidRPr="00D3704B">
              <w:rPr>
                <w:rFonts w:ascii="Tahoma" w:eastAsiaTheme="minorHAnsi" w:hAnsi="Tahoma" w:cs="Tahoma"/>
                <w:sz w:val="20"/>
                <w:szCs w:val="20"/>
                <w:lang w:eastAsia="en-US"/>
              </w:rPr>
              <w:t xml:space="preserve">Заемщик в любой момент в течение времени действия Договора, а в случае, указанном в п. 2 ч. 2 ст. 6.1-2 Закона № 353-ФЗ, в течение шестидесяти дней со дня установления соответствующих фактов, вправе обратиться к кредитору с требованием о предоставлении льготного периода, предусматривающего приостановление исполнения Заемщиком своих обязательств по Договору. </w:t>
            </w:r>
          </w:p>
          <w:p w14:paraId="12E0F04B" w14:textId="77777777" w:rsidR="009D1253" w:rsidRPr="00D3704B" w:rsidRDefault="009D1253" w:rsidP="009D1253">
            <w:pPr>
              <w:widowControl w:val="0"/>
              <w:tabs>
                <w:tab w:val="left" w:pos="426"/>
                <w:tab w:val="left" w:pos="851"/>
              </w:tabs>
              <w:rPr>
                <w:rFonts w:ascii="Tahoma" w:eastAsiaTheme="minorHAnsi" w:hAnsi="Tahoma" w:cs="Tahoma"/>
                <w:sz w:val="20"/>
                <w:szCs w:val="20"/>
                <w:lang w:eastAsia="en-US"/>
              </w:rPr>
            </w:pPr>
            <w:r w:rsidRPr="00D3704B">
              <w:rPr>
                <w:rFonts w:ascii="Tahoma" w:eastAsiaTheme="minorHAnsi" w:hAnsi="Tahoma" w:cs="Tahoma"/>
                <w:sz w:val="20"/>
                <w:szCs w:val="20"/>
                <w:lang w:eastAsia="en-US"/>
              </w:rPr>
              <w:t xml:space="preserve">С условиями, при наступлении которых у Заемщика возникает такое право, можно ознакомиться в размещаемой Банком информации о кредитных каникулах в рамках 353-ФЗ, в том числе на сайте Банка </w:t>
            </w:r>
          </w:p>
          <w:p w14:paraId="5A6F35A0" w14:textId="77777777" w:rsidR="009D1253" w:rsidRPr="00D3704B" w:rsidRDefault="009D1253" w:rsidP="009D1253">
            <w:pPr>
              <w:widowControl w:val="0"/>
              <w:tabs>
                <w:tab w:val="left" w:pos="426"/>
                <w:tab w:val="left" w:pos="851"/>
              </w:tabs>
              <w:rPr>
                <w:rFonts w:ascii="Tahoma" w:eastAsiaTheme="minorHAnsi" w:hAnsi="Tahoma" w:cs="Tahoma"/>
                <w:sz w:val="20"/>
                <w:szCs w:val="20"/>
                <w:lang w:eastAsia="en-US"/>
              </w:rPr>
            </w:pPr>
            <w:hyperlink r:id="rId79" w:history="1">
              <w:r w:rsidRPr="00D3704B">
                <w:rPr>
                  <w:rFonts w:ascii="Tahoma" w:eastAsiaTheme="minorHAnsi" w:hAnsi="Tahoma" w:cs="Tahoma"/>
                  <w:color w:val="0000FF" w:themeColor="hyperlink"/>
                  <w:sz w:val="20"/>
                  <w:szCs w:val="20"/>
                  <w:u w:val="single"/>
                  <w:lang w:eastAsia="en-US"/>
                </w:rPr>
                <w:t>https://www.atb.su/customer-care-service/</w:t>
              </w:r>
            </w:hyperlink>
          </w:p>
        </w:tc>
      </w:tr>
    </w:tbl>
    <w:p w14:paraId="18023AA0" w14:textId="77777777" w:rsidR="009D1253" w:rsidRPr="00D3704B" w:rsidRDefault="009D1253" w:rsidP="009D1253">
      <w:pPr>
        <w:spacing w:after="200" w:line="276" w:lineRule="auto"/>
        <w:rPr>
          <w:rFonts w:asciiTheme="minorHAnsi" w:eastAsiaTheme="minorHAnsi" w:hAnsiTheme="minorHAnsi" w:cstheme="minorBidi"/>
          <w:sz w:val="22"/>
          <w:szCs w:val="22"/>
          <w:lang w:eastAsia="en-US"/>
        </w:rPr>
      </w:pPr>
    </w:p>
    <w:p w14:paraId="762F22D8" w14:textId="65931E05" w:rsidR="00470B5F" w:rsidRPr="00CE5927" w:rsidRDefault="00470B5F" w:rsidP="009D1253">
      <w:pPr>
        <w:tabs>
          <w:tab w:val="left" w:pos="851"/>
          <w:tab w:val="right" w:pos="10206"/>
        </w:tabs>
        <w:jc w:val="both"/>
        <w:rPr>
          <w:rFonts w:ascii="Tahoma" w:hAnsi="Tahoma" w:cs="Tahoma"/>
        </w:rPr>
        <w:sectPr w:rsidR="00470B5F" w:rsidRPr="00CE5927" w:rsidSect="00414DB3">
          <w:footerReference w:type="default" r:id="rId80"/>
          <w:pgSz w:w="16838" w:h="11906" w:orient="landscape"/>
          <w:pgMar w:top="851" w:right="567" w:bottom="567" w:left="567" w:header="709" w:footer="709" w:gutter="0"/>
          <w:cols w:space="720"/>
          <w:docGrid w:linePitch="326"/>
        </w:sectPr>
      </w:pPr>
    </w:p>
    <w:p w14:paraId="0958A1BF" w14:textId="77777777" w:rsidR="00470B5F" w:rsidRDefault="00470B5F" w:rsidP="00470B5F">
      <w:pPr>
        <w:tabs>
          <w:tab w:val="left" w:pos="284"/>
        </w:tabs>
        <w:jc w:val="center"/>
        <w:rPr>
          <w:rFonts w:ascii="Arial Narrow" w:hAnsi="Arial Narrow" w:cs="Arial"/>
          <w:b/>
          <w:bCs/>
          <w:iCs/>
          <w:sz w:val="22"/>
          <w:szCs w:val="22"/>
        </w:rPr>
      </w:pPr>
      <w:r>
        <w:rPr>
          <w:rFonts w:ascii="Arial Narrow" w:hAnsi="Arial Narrow" w:cs="Arial"/>
          <w:noProof/>
        </w:rPr>
        <w:lastRenderedPageBreak/>
        <w:drawing>
          <wp:inline distT="0" distB="0" distL="0" distR="0" wp14:anchorId="04D54AFB" wp14:editId="05AA2733">
            <wp:extent cx="6957695" cy="771525"/>
            <wp:effectExtent l="0" t="0" r="0" b="0"/>
            <wp:docPr id="17" name="Рисунок 1" descr="Описание: Описание: Описание: Описание: Описание: вверх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Описание: Описание: Описание: Описание: вверх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957695" cy="771525"/>
                    </a:xfrm>
                    <a:prstGeom prst="rect">
                      <a:avLst/>
                    </a:prstGeom>
                    <a:noFill/>
                    <a:ln>
                      <a:noFill/>
                    </a:ln>
                  </pic:spPr>
                </pic:pic>
              </a:graphicData>
            </a:graphic>
          </wp:inline>
        </w:drawing>
      </w:r>
    </w:p>
    <w:p w14:paraId="43D0D09F" w14:textId="5FC73EF5" w:rsidR="000B3718" w:rsidRPr="000B3718" w:rsidRDefault="000B3718" w:rsidP="000B3718">
      <w:pPr>
        <w:pStyle w:val="a5"/>
      </w:pPr>
      <w:r w:rsidRPr="000B3718">
        <w:t>3 ВКЛАДЫ ФИЗИЧЕСКИХ ЛИЦ</w:t>
      </w:r>
    </w:p>
    <w:p w14:paraId="5837A0F9" w14:textId="77777777" w:rsidR="0090283A" w:rsidRDefault="0090283A" w:rsidP="00117383">
      <w:pPr>
        <w:autoSpaceDE w:val="0"/>
        <w:autoSpaceDN w:val="0"/>
        <w:adjustRightInd w:val="0"/>
        <w:ind w:firstLine="709"/>
        <w:jc w:val="both"/>
        <w:rPr>
          <w:rFonts w:ascii="Tahoma" w:hAnsi="Tahoma" w:cs="Tahoma"/>
          <w:color w:val="000000"/>
          <w:sz w:val="22"/>
          <w:szCs w:val="22"/>
        </w:rPr>
      </w:pPr>
    </w:p>
    <w:p w14:paraId="5CA17C63" w14:textId="6F061A9B" w:rsidR="00117383" w:rsidRPr="003F3B84" w:rsidRDefault="00117383" w:rsidP="00117383">
      <w:pPr>
        <w:autoSpaceDE w:val="0"/>
        <w:autoSpaceDN w:val="0"/>
        <w:adjustRightInd w:val="0"/>
        <w:ind w:firstLine="709"/>
        <w:jc w:val="both"/>
        <w:rPr>
          <w:rFonts w:ascii="Tahoma" w:hAnsi="Tahoma" w:cs="Tahoma"/>
          <w:color w:val="000000"/>
          <w:sz w:val="22"/>
          <w:szCs w:val="22"/>
        </w:rPr>
      </w:pPr>
      <w:r>
        <w:rPr>
          <w:rFonts w:ascii="Tahoma" w:hAnsi="Tahoma" w:cs="Tahoma"/>
          <w:color w:val="000000"/>
          <w:sz w:val="22"/>
          <w:szCs w:val="22"/>
        </w:rPr>
        <w:t>О</w:t>
      </w:r>
      <w:r w:rsidRPr="003F3B84">
        <w:rPr>
          <w:rFonts w:ascii="Tahoma" w:hAnsi="Tahoma" w:cs="Tahoma"/>
          <w:color w:val="000000"/>
          <w:sz w:val="22"/>
          <w:szCs w:val="22"/>
        </w:rPr>
        <w:t xml:space="preserve">перации по Договору Вклада в иностранной валюте осуществляются с учетом ограничений, установленных законодательством Российской Федерации, в том числе актами Банка России, иных уполномоченных лиц / органов, действующих на </w:t>
      </w:r>
      <w:r>
        <w:rPr>
          <w:rFonts w:ascii="Tahoma" w:hAnsi="Tahoma" w:cs="Tahoma"/>
          <w:color w:val="000000"/>
          <w:sz w:val="22"/>
          <w:szCs w:val="22"/>
        </w:rPr>
        <w:t>территории Российской Федерации.</w:t>
      </w:r>
    </w:p>
    <w:p w14:paraId="09AFA6CF" w14:textId="77777777" w:rsidR="00117383" w:rsidRDefault="00117383" w:rsidP="00117383">
      <w:pPr>
        <w:tabs>
          <w:tab w:val="left" w:pos="851"/>
        </w:tabs>
        <w:rPr>
          <w:rFonts w:ascii="Tahoma" w:hAnsi="Tahoma" w:cs="Tahoma"/>
          <w:b/>
          <w:bCs/>
          <w:iCs/>
          <w:color w:val="E36C0A"/>
          <w:sz w:val="22"/>
          <w:szCs w:val="22"/>
        </w:rPr>
      </w:pPr>
    </w:p>
    <w:p w14:paraId="00C3BABD" w14:textId="77777777" w:rsidR="00EA2CBD" w:rsidRPr="008572C5" w:rsidRDefault="00EA2CBD" w:rsidP="000B3718">
      <w:pPr>
        <w:pStyle w:val="a5"/>
      </w:pPr>
      <w:r w:rsidRPr="008572C5">
        <w:t>3.1.</w:t>
      </w:r>
      <w:r w:rsidRPr="008572C5">
        <w:tab/>
        <w:t>Вклад «Личный счет» (до востребования)</w:t>
      </w:r>
    </w:p>
    <w:p w14:paraId="6FDF83C1" w14:textId="77777777" w:rsidR="00EA2CBD" w:rsidRPr="008572C5" w:rsidRDefault="00EA2CBD" w:rsidP="00EA2CBD">
      <w:pPr>
        <w:tabs>
          <w:tab w:val="left" w:pos="284"/>
        </w:tabs>
        <w:rPr>
          <w:rFonts w:ascii="Tahoma" w:hAnsi="Tahoma" w:cs="Tahoma"/>
          <w:bCs/>
          <w:iCs/>
          <w:sz w:val="22"/>
          <w:szCs w:val="22"/>
        </w:rPr>
      </w:pPr>
      <w:r w:rsidRPr="008572C5">
        <w:rPr>
          <w:rFonts w:ascii="Tahoma" w:hAnsi="Tahoma" w:cs="Tahoma"/>
          <w:bCs/>
          <w:iCs/>
          <w:sz w:val="22"/>
          <w:szCs w:val="22"/>
        </w:rPr>
        <w:t>Условия:</w:t>
      </w:r>
    </w:p>
    <w:p w14:paraId="6CCE6B90" w14:textId="77777777" w:rsidR="00EA2CBD" w:rsidRPr="008572C5" w:rsidRDefault="00EA2CBD" w:rsidP="00EA2CBD">
      <w:pPr>
        <w:tabs>
          <w:tab w:val="left" w:pos="284"/>
        </w:tabs>
        <w:rPr>
          <w:rFonts w:ascii="Tahoma" w:hAnsi="Tahoma" w:cs="Tahoma"/>
          <w:bCs/>
          <w:iCs/>
          <w:sz w:val="22"/>
          <w:szCs w:val="22"/>
        </w:rPr>
      </w:pPr>
      <w:r w:rsidRPr="008572C5">
        <w:rPr>
          <w:rFonts w:ascii="Tahoma" w:hAnsi="Tahoma" w:cs="Tahoma"/>
          <w:bCs/>
          <w:iCs/>
          <w:sz w:val="22"/>
          <w:szCs w:val="22"/>
        </w:rPr>
        <w:t>•</w:t>
      </w:r>
      <w:r w:rsidRPr="008572C5">
        <w:rPr>
          <w:rFonts w:ascii="Tahoma" w:hAnsi="Tahoma" w:cs="Tahoma"/>
          <w:bCs/>
          <w:iCs/>
          <w:sz w:val="22"/>
          <w:szCs w:val="22"/>
        </w:rPr>
        <w:tab/>
        <w:t xml:space="preserve"> минимальная / максимальная сумма </w:t>
      </w:r>
      <w:r>
        <w:rPr>
          <w:rFonts w:ascii="Tahoma" w:hAnsi="Tahoma" w:cs="Tahoma"/>
          <w:bCs/>
          <w:iCs/>
          <w:sz w:val="22"/>
          <w:szCs w:val="22"/>
        </w:rPr>
        <w:t>В</w:t>
      </w:r>
      <w:r w:rsidRPr="008572C5">
        <w:rPr>
          <w:rFonts w:ascii="Tahoma" w:hAnsi="Tahoma" w:cs="Tahoma"/>
          <w:bCs/>
          <w:iCs/>
          <w:sz w:val="22"/>
          <w:szCs w:val="22"/>
        </w:rPr>
        <w:t>клада не ограничена;</w:t>
      </w:r>
    </w:p>
    <w:p w14:paraId="460160A2" w14:textId="77777777" w:rsidR="00EA2CBD" w:rsidRPr="008572C5" w:rsidRDefault="00EA2CBD" w:rsidP="00EA2CBD">
      <w:pPr>
        <w:tabs>
          <w:tab w:val="left" w:pos="284"/>
        </w:tabs>
        <w:rPr>
          <w:rFonts w:ascii="Tahoma" w:hAnsi="Tahoma" w:cs="Tahoma"/>
          <w:bCs/>
          <w:iCs/>
          <w:sz w:val="22"/>
          <w:szCs w:val="22"/>
        </w:rPr>
      </w:pPr>
      <w:r w:rsidRPr="008572C5">
        <w:rPr>
          <w:rFonts w:ascii="Tahoma" w:hAnsi="Tahoma" w:cs="Tahoma"/>
          <w:bCs/>
          <w:iCs/>
          <w:sz w:val="22"/>
          <w:szCs w:val="22"/>
        </w:rPr>
        <w:t>•</w:t>
      </w:r>
      <w:r w:rsidRPr="008572C5">
        <w:rPr>
          <w:rFonts w:ascii="Tahoma" w:hAnsi="Tahoma" w:cs="Tahoma"/>
          <w:bCs/>
          <w:iCs/>
          <w:sz w:val="22"/>
          <w:szCs w:val="22"/>
        </w:rPr>
        <w:tab/>
        <w:t xml:space="preserve"> срок </w:t>
      </w:r>
      <w:r>
        <w:rPr>
          <w:rFonts w:ascii="Tahoma" w:hAnsi="Tahoma" w:cs="Tahoma"/>
          <w:bCs/>
          <w:iCs/>
          <w:sz w:val="22"/>
          <w:szCs w:val="22"/>
        </w:rPr>
        <w:t>В</w:t>
      </w:r>
      <w:r w:rsidRPr="008572C5">
        <w:rPr>
          <w:rFonts w:ascii="Tahoma" w:hAnsi="Tahoma" w:cs="Tahoma"/>
          <w:bCs/>
          <w:iCs/>
          <w:sz w:val="22"/>
          <w:szCs w:val="22"/>
        </w:rPr>
        <w:t>клада не ограничен;</w:t>
      </w:r>
    </w:p>
    <w:p w14:paraId="3DE5014A" w14:textId="77777777" w:rsidR="00EA2CBD" w:rsidRPr="008572C5" w:rsidRDefault="00EA2CBD" w:rsidP="00EA2CBD">
      <w:pPr>
        <w:tabs>
          <w:tab w:val="left" w:pos="284"/>
        </w:tabs>
        <w:rPr>
          <w:rFonts w:ascii="Tahoma" w:hAnsi="Tahoma" w:cs="Tahoma"/>
          <w:bCs/>
          <w:iCs/>
          <w:sz w:val="22"/>
          <w:szCs w:val="22"/>
        </w:rPr>
      </w:pPr>
      <w:r w:rsidRPr="008572C5">
        <w:rPr>
          <w:rFonts w:ascii="Tahoma" w:hAnsi="Tahoma" w:cs="Tahoma"/>
          <w:bCs/>
          <w:iCs/>
          <w:sz w:val="22"/>
          <w:szCs w:val="22"/>
        </w:rPr>
        <w:t>•</w:t>
      </w:r>
      <w:r w:rsidRPr="008572C5">
        <w:rPr>
          <w:rFonts w:ascii="Tahoma" w:hAnsi="Tahoma" w:cs="Tahoma"/>
          <w:bCs/>
          <w:iCs/>
          <w:sz w:val="22"/>
          <w:szCs w:val="22"/>
        </w:rPr>
        <w:tab/>
        <w:t xml:space="preserve"> </w:t>
      </w:r>
      <w:r>
        <w:rPr>
          <w:rFonts w:ascii="Tahoma" w:hAnsi="Tahoma" w:cs="Tahoma"/>
          <w:bCs/>
          <w:iCs/>
          <w:sz w:val="22"/>
          <w:szCs w:val="22"/>
        </w:rPr>
        <w:t>В</w:t>
      </w:r>
      <w:r w:rsidRPr="008572C5">
        <w:rPr>
          <w:rFonts w:ascii="Tahoma" w:hAnsi="Tahoma" w:cs="Tahoma"/>
          <w:bCs/>
          <w:iCs/>
          <w:sz w:val="22"/>
          <w:szCs w:val="22"/>
        </w:rPr>
        <w:t>клад пополняемый, минимальная / максимальная сумма пополнения не ограничена;</w:t>
      </w:r>
    </w:p>
    <w:p w14:paraId="156F56F1" w14:textId="77777777" w:rsidR="00EA2CBD" w:rsidRPr="008572C5" w:rsidRDefault="00EA2CBD" w:rsidP="00EA2CBD">
      <w:pPr>
        <w:tabs>
          <w:tab w:val="left" w:pos="284"/>
        </w:tabs>
        <w:rPr>
          <w:rFonts w:ascii="Tahoma" w:hAnsi="Tahoma" w:cs="Tahoma"/>
          <w:bCs/>
          <w:iCs/>
          <w:sz w:val="22"/>
          <w:szCs w:val="22"/>
        </w:rPr>
      </w:pPr>
      <w:r w:rsidRPr="008572C5">
        <w:rPr>
          <w:rFonts w:ascii="Tahoma" w:hAnsi="Tahoma" w:cs="Tahoma"/>
          <w:bCs/>
          <w:iCs/>
          <w:sz w:val="22"/>
          <w:szCs w:val="22"/>
        </w:rPr>
        <w:t>•</w:t>
      </w:r>
      <w:r w:rsidRPr="008572C5">
        <w:rPr>
          <w:rFonts w:ascii="Tahoma" w:hAnsi="Tahoma" w:cs="Tahoma"/>
          <w:bCs/>
          <w:iCs/>
          <w:sz w:val="22"/>
          <w:szCs w:val="22"/>
        </w:rPr>
        <w:tab/>
        <w:t xml:space="preserve"> возможно снятие суммы </w:t>
      </w:r>
      <w:r>
        <w:rPr>
          <w:rFonts w:ascii="Tahoma" w:hAnsi="Tahoma" w:cs="Tahoma"/>
          <w:bCs/>
          <w:iCs/>
          <w:sz w:val="22"/>
          <w:szCs w:val="22"/>
        </w:rPr>
        <w:t>В</w:t>
      </w:r>
      <w:r w:rsidRPr="008572C5">
        <w:rPr>
          <w:rFonts w:ascii="Tahoma" w:hAnsi="Tahoma" w:cs="Tahoma"/>
          <w:bCs/>
          <w:iCs/>
          <w:sz w:val="22"/>
          <w:szCs w:val="22"/>
        </w:rPr>
        <w:t>клада без ограничений;</w:t>
      </w:r>
    </w:p>
    <w:p w14:paraId="6B6713F8" w14:textId="77777777" w:rsidR="00EA2CBD" w:rsidRPr="008572C5" w:rsidRDefault="00EA2CBD" w:rsidP="00EA2CBD">
      <w:pPr>
        <w:tabs>
          <w:tab w:val="left" w:pos="284"/>
        </w:tabs>
        <w:rPr>
          <w:rFonts w:ascii="Tahoma" w:hAnsi="Tahoma" w:cs="Tahoma"/>
          <w:bCs/>
          <w:iCs/>
          <w:sz w:val="22"/>
          <w:szCs w:val="22"/>
        </w:rPr>
      </w:pPr>
      <w:r w:rsidRPr="008572C5">
        <w:rPr>
          <w:rFonts w:ascii="Tahoma" w:hAnsi="Tahoma" w:cs="Tahoma"/>
          <w:bCs/>
          <w:iCs/>
          <w:sz w:val="22"/>
          <w:szCs w:val="22"/>
        </w:rPr>
        <w:t>•</w:t>
      </w:r>
      <w:r w:rsidRPr="008572C5">
        <w:rPr>
          <w:rFonts w:ascii="Tahoma" w:hAnsi="Tahoma" w:cs="Tahoma"/>
          <w:bCs/>
          <w:iCs/>
          <w:sz w:val="22"/>
          <w:szCs w:val="22"/>
        </w:rPr>
        <w:tab/>
        <w:t xml:space="preserve"> причисление процентов ежегодно;</w:t>
      </w:r>
    </w:p>
    <w:p w14:paraId="6C7608AD" w14:textId="77777777" w:rsidR="00EA2CBD" w:rsidRPr="008572C5" w:rsidRDefault="00EA2CBD" w:rsidP="00EA2CBD">
      <w:pPr>
        <w:tabs>
          <w:tab w:val="left" w:pos="284"/>
        </w:tabs>
        <w:rPr>
          <w:rFonts w:ascii="Tahoma" w:hAnsi="Tahoma" w:cs="Tahoma"/>
          <w:bCs/>
          <w:iCs/>
          <w:sz w:val="22"/>
          <w:szCs w:val="22"/>
        </w:rPr>
      </w:pPr>
      <w:r w:rsidRPr="008572C5">
        <w:rPr>
          <w:rFonts w:ascii="Tahoma" w:hAnsi="Tahoma" w:cs="Tahoma"/>
          <w:bCs/>
          <w:iCs/>
          <w:sz w:val="22"/>
          <w:szCs w:val="22"/>
        </w:rPr>
        <w:t>•</w:t>
      </w:r>
      <w:r w:rsidRPr="008572C5">
        <w:rPr>
          <w:rFonts w:ascii="Tahoma" w:hAnsi="Tahoma" w:cs="Tahoma"/>
          <w:bCs/>
          <w:iCs/>
          <w:sz w:val="22"/>
          <w:szCs w:val="22"/>
        </w:rPr>
        <w:tab/>
        <w:t xml:space="preserve"> валюта – рубли, китайский юань;</w:t>
      </w:r>
    </w:p>
    <w:p w14:paraId="0737D128" w14:textId="77777777" w:rsidR="00EA2CBD" w:rsidRPr="008572C5" w:rsidRDefault="00EA2CBD" w:rsidP="00EA2CBD">
      <w:pPr>
        <w:tabs>
          <w:tab w:val="left" w:pos="284"/>
        </w:tabs>
        <w:rPr>
          <w:rFonts w:ascii="Tahoma" w:hAnsi="Tahoma" w:cs="Tahoma"/>
          <w:b/>
          <w:bCs/>
          <w:iCs/>
          <w:sz w:val="22"/>
          <w:szCs w:val="22"/>
        </w:rPr>
      </w:pPr>
    </w:p>
    <w:p w14:paraId="035FAC33" w14:textId="77777777" w:rsidR="00EA2CBD" w:rsidRPr="008572C5" w:rsidRDefault="00EA2CBD" w:rsidP="00EA2CBD">
      <w:pPr>
        <w:autoSpaceDE w:val="0"/>
        <w:autoSpaceDN w:val="0"/>
        <w:adjustRightInd w:val="0"/>
        <w:rPr>
          <w:rFonts w:ascii="Tahoma" w:hAnsi="Tahoma" w:cs="Tahoma"/>
          <w:color w:val="000000"/>
          <w:sz w:val="22"/>
          <w:szCs w:val="22"/>
        </w:rPr>
      </w:pPr>
      <w:r w:rsidRPr="008572C5">
        <w:rPr>
          <w:rFonts w:ascii="Tahoma" w:hAnsi="Tahoma" w:cs="Tahoma"/>
          <w:color w:val="000000"/>
          <w:sz w:val="22"/>
          <w:szCs w:val="22"/>
        </w:rPr>
        <w:t xml:space="preserve">Примечание: по </w:t>
      </w:r>
      <w:r>
        <w:rPr>
          <w:rFonts w:ascii="Tahoma" w:hAnsi="Tahoma" w:cs="Tahoma"/>
          <w:color w:val="000000"/>
          <w:sz w:val="22"/>
          <w:szCs w:val="22"/>
        </w:rPr>
        <w:t>В</w:t>
      </w:r>
      <w:r w:rsidRPr="008572C5">
        <w:rPr>
          <w:rFonts w:ascii="Tahoma" w:hAnsi="Tahoma" w:cs="Tahoma"/>
          <w:color w:val="000000"/>
          <w:sz w:val="22"/>
          <w:szCs w:val="22"/>
        </w:rPr>
        <w:t xml:space="preserve">кладам «Личный счет» (до востребования), открытым в рамках Договоров на перечисление заработной платы во </w:t>
      </w:r>
      <w:r>
        <w:rPr>
          <w:rFonts w:ascii="Tahoma" w:hAnsi="Tahoma" w:cs="Tahoma"/>
          <w:color w:val="000000"/>
          <w:sz w:val="22"/>
          <w:szCs w:val="22"/>
        </w:rPr>
        <w:t>В</w:t>
      </w:r>
      <w:r w:rsidRPr="008572C5">
        <w:rPr>
          <w:rFonts w:ascii="Tahoma" w:hAnsi="Tahoma" w:cs="Tahoma"/>
          <w:color w:val="000000"/>
          <w:sz w:val="22"/>
          <w:szCs w:val="22"/>
        </w:rPr>
        <w:t>клады или на счета банковских карт, действуют процентные ставки, определенные сторонами в указанных договорах.</w:t>
      </w:r>
    </w:p>
    <w:p w14:paraId="085DCAA4" w14:textId="77777777" w:rsidR="00EA2CBD" w:rsidRPr="008572C5" w:rsidRDefault="00EA2CBD" w:rsidP="00EA2CBD">
      <w:pPr>
        <w:tabs>
          <w:tab w:val="left" w:pos="284"/>
        </w:tabs>
        <w:rPr>
          <w:rFonts w:ascii="Tahoma" w:hAnsi="Tahoma" w:cs="Tahoma"/>
          <w:bCs/>
          <w:iCs/>
          <w:color w:val="000000" w:themeColor="text1"/>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61"/>
        <w:gridCol w:w="11366"/>
      </w:tblGrid>
      <w:tr w:rsidR="00EA2CBD" w:rsidRPr="008572C5" w14:paraId="7A32FE45" w14:textId="77777777" w:rsidTr="009D1253">
        <w:trPr>
          <w:trHeight w:val="221"/>
        </w:trPr>
        <w:tc>
          <w:tcPr>
            <w:tcW w:w="1243" w:type="pct"/>
            <w:tcBorders>
              <w:top w:val="single" w:sz="4" w:space="0" w:color="auto"/>
              <w:left w:val="single" w:sz="4" w:space="0" w:color="auto"/>
              <w:right w:val="single" w:sz="4" w:space="0" w:color="auto"/>
            </w:tcBorders>
            <w:hideMark/>
          </w:tcPr>
          <w:p w14:paraId="1133AC34" w14:textId="77777777" w:rsidR="00EA2CBD" w:rsidRPr="008572C5" w:rsidRDefault="00EA2CBD" w:rsidP="009D1253">
            <w:pPr>
              <w:tabs>
                <w:tab w:val="left" w:pos="284"/>
                <w:tab w:val="left" w:pos="426"/>
              </w:tabs>
              <w:jc w:val="center"/>
              <w:textAlignment w:val="top"/>
              <w:rPr>
                <w:rFonts w:ascii="Tahoma" w:hAnsi="Tahoma" w:cs="Tahoma"/>
                <w:bCs/>
                <w:iCs/>
                <w:color w:val="000000" w:themeColor="text1"/>
                <w:sz w:val="22"/>
                <w:szCs w:val="22"/>
              </w:rPr>
            </w:pPr>
            <w:r w:rsidRPr="008572C5">
              <w:rPr>
                <w:rFonts w:ascii="Tahoma" w:hAnsi="Tahoma" w:cs="Tahoma"/>
                <w:bCs/>
                <w:iCs/>
                <w:color w:val="000000" w:themeColor="text1"/>
                <w:sz w:val="22"/>
                <w:szCs w:val="22"/>
              </w:rPr>
              <w:t xml:space="preserve">Валюта </w:t>
            </w:r>
            <w:r>
              <w:rPr>
                <w:rFonts w:ascii="Tahoma" w:hAnsi="Tahoma" w:cs="Tahoma"/>
                <w:bCs/>
                <w:iCs/>
                <w:color w:val="000000" w:themeColor="text1"/>
                <w:sz w:val="22"/>
                <w:szCs w:val="22"/>
              </w:rPr>
              <w:t>В</w:t>
            </w:r>
            <w:r w:rsidRPr="008572C5">
              <w:rPr>
                <w:rFonts w:ascii="Tahoma" w:hAnsi="Tahoma" w:cs="Tahoma"/>
                <w:bCs/>
                <w:iCs/>
                <w:color w:val="000000" w:themeColor="text1"/>
                <w:sz w:val="22"/>
                <w:szCs w:val="22"/>
              </w:rPr>
              <w:t>клада</w:t>
            </w:r>
          </w:p>
        </w:tc>
        <w:tc>
          <w:tcPr>
            <w:tcW w:w="3757" w:type="pct"/>
            <w:tcBorders>
              <w:top w:val="single" w:sz="4" w:space="0" w:color="auto"/>
              <w:left w:val="single" w:sz="4" w:space="0" w:color="auto"/>
              <w:right w:val="single" w:sz="4" w:space="0" w:color="auto"/>
            </w:tcBorders>
            <w:hideMark/>
          </w:tcPr>
          <w:p w14:paraId="06620A54" w14:textId="77777777" w:rsidR="00EA2CBD" w:rsidRPr="008572C5" w:rsidRDefault="00EA2CBD" w:rsidP="009D1253">
            <w:pPr>
              <w:widowControl w:val="0"/>
              <w:tabs>
                <w:tab w:val="left" w:pos="426"/>
                <w:tab w:val="left" w:pos="851"/>
                <w:tab w:val="right" w:pos="10206"/>
              </w:tabs>
              <w:adjustRightInd w:val="0"/>
              <w:jc w:val="center"/>
              <w:rPr>
                <w:rFonts w:ascii="Tahoma" w:hAnsi="Tahoma" w:cs="Tahoma"/>
                <w:bCs/>
                <w:iCs/>
                <w:color w:val="000000" w:themeColor="text1"/>
                <w:sz w:val="22"/>
                <w:szCs w:val="22"/>
              </w:rPr>
            </w:pPr>
            <w:r w:rsidRPr="008572C5">
              <w:rPr>
                <w:rFonts w:ascii="Tahoma" w:hAnsi="Tahoma" w:cs="Tahoma"/>
                <w:bCs/>
                <w:iCs/>
                <w:color w:val="000000" w:themeColor="text1"/>
                <w:sz w:val="22"/>
                <w:szCs w:val="22"/>
              </w:rPr>
              <w:t xml:space="preserve">Процентные ставки**, % годовых/ Доход с учетом капитализации* (% годовых) в зависимости от срока </w:t>
            </w:r>
            <w:r>
              <w:rPr>
                <w:rFonts w:ascii="Tahoma" w:hAnsi="Tahoma" w:cs="Tahoma"/>
                <w:bCs/>
                <w:iCs/>
                <w:color w:val="000000" w:themeColor="text1"/>
                <w:sz w:val="22"/>
                <w:szCs w:val="22"/>
              </w:rPr>
              <w:t>В</w:t>
            </w:r>
            <w:r w:rsidRPr="008572C5">
              <w:rPr>
                <w:rFonts w:ascii="Tahoma" w:hAnsi="Tahoma" w:cs="Tahoma"/>
                <w:bCs/>
                <w:iCs/>
                <w:color w:val="000000" w:themeColor="text1"/>
                <w:sz w:val="22"/>
                <w:szCs w:val="22"/>
              </w:rPr>
              <w:t>клада**</w:t>
            </w:r>
          </w:p>
        </w:tc>
      </w:tr>
      <w:tr w:rsidR="00EA2CBD" w:rsidRPr="008572C5" w14:paraId="10A678C8" w14:textId="77777777" w:rsidTr="009D1253">
        <w:trPr>
          <w:trHeight w:val="70"/>
        </w:trPr>
        <w:tc>
          <w:tcPr>
            <w:tcW w:w="1243" w:type="pct"/>
            <w:tcBorders>
              <w:top w:val="single" w:sz="4" w:space="0" w:color="auto"/>
              <w:left w:val="single" w:sz="4" w:space="0" w:color="auto"/>
              <w:bottom w:val="single" w:sz="4" w:space="0" w:color="auto"/>
              <w:right w:val="single" w:sz="4" w:space="0" w:color="auto"/>
            </w:tcBorders>
            <w:hideMark/>
          </w:tcPr>
          <w:p w14:paraId="1151A165" w14:textId="77777777" w:rsidR="00EA2CBD" w:rsidRPr="008572C5" w:rsidRDefault="00EA2CBD" w:rsidP="009D1253">
            <w:pPr>
              <w:widowControl w:val="0"/>
              <w:tabs>
                <w:tab w:val="left" w:pos="284"/>
                <w:tab w:val="left" w:pos="426"/>
              </w:tabs>
              <w:adjustRightInd w:val="0"/>
              <w:jc w:val="center"/>
              <w:rPr>
                <w:rFonts w:ascii="Tahoma" w:hAnsi="Tahoma" w:cs="Tahoma"/>
                <w:bCs/>
                <w:iCs/>
                <w:color w:val="000000" w:themeColor="text1"/>
                <w:sz w:val="22"/>
                <w:szCs w:val="22"/>
              </w:rPr>
            </w:pPr>
            <w:r w:rsidRPr="008572C5">
              <w:rPr>
                <w:rFonts w:ascii="Tahoma" w:hAnsi="Tahoma" w:cs="Tahoma"/>
                <w:bCs/>
                <w:iCs/>
                <w:color w:val="000000" w:themeColor="text1"/>
                <w:sz w:val="22"/>
                <w:szCs w:val="22"/>
              </w:rPr>
              <w:t>рубли</w:t>
            </w:r>
          </w:p>
        </w:tc>
        <w:tc>
          <w:tcPr>
            <w:tcW w:w="3757" w:type="pct"/>
            <w:tcBorders>
              <w:top w:val="single" w:sz="4" w:space="0" w:color="auto"/>
              <w:left w:val="single" w:sz="4" w:space="0" w:color="auto"/>
              <w:bottom w:val="single" w:sz="4" w:space="0" w:color="auto"/>
              <w:right w:val="single" w:sz="4" w:space="0" w:color="auto"/>
            </w:tcBorders>
            <w:vAlign w:val="center"/>
            <w:hideMark/>
          </w:tcPr>
          <w:p w14:paraId="03A94AC7" w14:textId="77777777" w:rsidR="00EA2CBD" w:rsidRPr="008572C5" w:rsidRDefault="00EA2CBD" w:rsidP="009D1253">
            <w:pPr>
              <w:tabs>
                <w:tab w:val="left" w:pos="284"/>
                <w:tab w:val="left" w:pos="426"/>
              </w:tabs>
              <w:jc w:val="center"/>
              <w:textAlignment w:val="top"/>
              <w:rPr>
                <w:rFonts w:ascii="Tahoma" w:hAnsi="Tahoma" w:cs="Tahoma"/>
                <w:bCs/>
                <w:iCs/>
                <w:color w:val="000000" w:themeColor="text1"/>
                <w:sz w:val="22"/>
                <w:szCs w:val="22"/>
              </w:rPr>
            </w:pPr>
            <w:r w:rsidRPr="008572C5">
              <w:rPr>
                <w:rFonts w:ascii="Tahoma" w:hAnsi="Tahoma" w:cs="Tahoma"/>
                <w:bCs/>
                <w:iCs/>
                <w:color w:val="000000" w:themeColor="text1"/>
                <w:sz w:val="22"/>
                <w:szCs w:val="22"/>
              </w:rPr>
              <w:t>0,010/ 0,010</w:t>
            </w:r>
          </w:p>
        </w:tc>
      </w:tr>
      <w:tr w:rsidR="00EA2CBD" w:rsidRPr="008572C5" w14:paraId="5A894879" w14:textId="77777777" w:rsidTr="009D1253">
        <w:trPr>
          <w:trHeight w:val="70"/>
        </w:trPr>
        <w:tc>
          <w:tcPr>
            <w:tcW w:w="1243" w:type="pct"/>
            <w:tcBorders>
              <w:top w:val="single" w:sz="4" w:space="0" w:color="auto"/>
              <w:left w:val="single" w:sz="4" w:space="0" w:color="auto"/>
              <w:bottom w:val="single" w:sz="4" w:space="0" w:color="auto"/>
              <w:right w:val="single" w:sz="4" w:space="0" w:color="auto"/>
            </w:tcBorders>
          </w:tcPr>
          <w:p w14:paraId="5D7444E1" w14:textId="77777777" w:rsidR="00EA2CBD" w:rsidRPr="008572C5" w:rsidRDefault="00EA2CBD" w:rsidP="009D1253">
            <w:pPr>
              <w:widowControl w:val="0"/>
              <w:tabs>
                <w:tab w:val="left" w:pos="284"/>
                <w:tab w:val="left" w:pos="426"/>
              </w:tabs>
              <w:adjustRightInd w:val="0"/>
              <w:jc w:val="center"/>
              <w:rPr>
                <w:rFonts w:ascii="Tahoma" w:hAnsi="Tahoma" w:cs="Tahoma"/>
                <w:color w:val="000000" w:themeColor="text1"/>
                <w:sz w:val="22"/>
                <w:szCs w:val="22"/>
              </w:rPr>
            </w:pPr>
            <w:r w:rsidRPr="008572C5">
              <w:rPr>
                <w:rFonts w:ascii="Tahoma" w:hAnsi="Tahoma" w:cs="Tahoma"/>
                <w:color w:val="000000" w:themeColor="text1"/>
                <w:sz w:val="22"/>
                <w:szCs w:val="22"/>
              </w:rPr>
              <w:t>китайский юань</w:t>
            </w:r>
          </w:p>
        </w:tc>
        <w:tc>
          <w:tcPr>
            <w:tcW w:w="3757" w:type="pct"/>
            <w:tcBorders>
              <w:top w:val="single" w:sz="4" w:space="0" w:color="auto"/>
              <w:left w:val="single" w:sz="4" w:space="0" w:color="auto"/>
              <w:bottom w:val="single" w:sz="4" w:space="0" w:color="auto"/>
              <w:right w:val="single" w:sz="4" w:space="0" w:color="auto"/>
            </w:tcBorders>
            <w:vAlign w:val="center"/>
          </w:tcPr>
          <w:p w14:paraId="50835CBB" w14:textId="77777777" w:rsidR="00EA2CBD" w:rsidRPr="008572C5" w:rsidRDefault="00EA2CBD" w:rsidP="009D1253">
            <w:pPr>
              <w:tabs>
                <w:tab w:val="left" w:pos="284"/>
                <w:tab w:val="left" w:pos="426"/>
              </w:tabs>
              <w:jc w:val="center"/>
              <w:textAlignment w:val="top"/>
              <w:rPr>
                <w:rFonts w:ascii="Tahoma" w:hAnsi="Tahoma" w:cs="Tahoma"/>
                <w:bCs/>
                <w:iCs/>
                <w:color w:val="000000" w:themeColor="text1"/>
                <w:sz w:val="22"/>
                <w:szCs w:val="22"/>
              </w:rPr>
            </w:pPr>
            <w:r w:rsidRPr="008572C5">
              <w:rPr>
                <w:rFonts w:ascii="Tahoma" w:hAnsi="Tahoma" w:cs="Tahoma"/>
                <w:bCs/>
                <w:iCs/>
                <w:color w:val="000000" w:themeColor="text1"/>
                <w:sz w:val="22"/>
                <w:szCs w:val="22"/>
              </w:rPr>
              <w:t>0,010/ 0,010</w:t>
            </w:r>
          </w:p>
        </w:tc>
      </w:tr>
    </w:tbl>
    <w:p w14:paraId="5FAE424A" w14:textId="77777777" w:rsidR="00EA2CBD" w:rsidRPr="008572C5" w:rsidRDefault="00EA2CBD" w:rsidP="00EA2CBD">
      <w:pPr>
        <w:tabs>
          <w:tab w:val="left" w:pos="284"/>
        </w:tabs>
        <w:rPr>
          <w:rFonts w:ascii="Tahoma" w:hAnsi="Tahoma" w:cs="Tahoma"/>
          <w:color w:val="000000" w:themeColor="text1"/>
          <w:sz w:val="18"/>
          <w:szCs w:val="18"/>
        </w:rPr>
      </w:pPr>
      <w:r w:rsidRPr="008572C5">
        <w:rPr>
          <w:rFonts w:ascii="Tahoma" w:hAnsi="Tahoma" w:cs="Tahoma"/>
          <w:color w:val="000000" w:themeColor="text1"/>
          <w:sz w:val="18"/>
          <w:szCs w:val="18"/>
        </w:rPr>
        <w:t xml:space="preserve">*Капитализация - причисление процентов к основной сумме </w:t>
      </w:r>
      <w:r>
        <w:rPr>
          <w:rFonts w:ascii="Tahoma" w:hAnsi="Tahoma" w:cs="Tahoma"/>
          <w:color w:val="000000" w:themeColor="text1"/>
          <w:sz w:val="18"/>
          <w:szCs w:val="18"/>
        </w:rPr>
        <w:t>В</w:t>
      </w:r>
      <w:r w:rsidRPr="008572C5">
        <w:rPr>
          <w:rFonts w:ascii="Tahoma" w:hAnsi="Tahoma" w:cs="Tahoma"/>
          <w:color w:val="000000" w:themeColor="text1"/>
          <w:sz w:val="18"/>
          <w:szCs w:val="18"/>
        </w:rPr>
        <w:t>клада.</w:t>
      </w:r>
    </w:p>
    <w:p w14:paraId="3B320625" w14:textId="77777777" w:rsidR="00EA2CBD" w:rsidRPr="008572C5" w:rsidRDefault="00EA2CBD" w:rsidP="00EA2CBD">
      <w:pPr>
        <w:tabs>
          <w:tab w:val="left" w:pos="284"/>
        </w:tabs>
        <w:rPr>
          <w:rFonts w:ascii="Tahoma" w:hAnsi="Tahoma" w:cs="Tahoma"/>
          <w:color w:val="000000" w:themeColor="text1"/>
          <w:sz w:val="18"/>
          <w:szCs w:val="18"/>
        </w:rPr>
      </w:pPr>
      <w:r w:rsidRPr="008572C5">
        <w:rPr>
          <w:rFonts w:ascii="Tahoma" w:hAnsi="Tahoma" w:cs="Tahoma"/>
          <w:color w:val="000000" w:themeColor="text1"/>
          <w:sz w:val="18"/>
          <w:szCs w:val="18"/>
        </w:rPr>
        <w:t xml:space="preserve">** Соответствует значению минимальной гарантированной ставки (годовых) с учетом округления, определяющему минимальный доход, выплачиваемый </w:t>
      </w:r>
      <w:r>
        <w:rPr>
          <w:rFonts w:ascii="Tahoma" w:hAnsi="Tahoma" w:cs="Tahoma"/>
          <w:color w:val="000000" w:themeColor="text1"/>
          <w:sz w:val="18"/>
          <w:szCs w:val="18"/>
        </w:rPr>
        <w:t>В</w:t>
      </w:r>
      <w:r w:rsidRPr="008572C5">
        <w:rPr>
          <w:rFonts w:ascii="Tahoma" w:hAnsi="Tahoma" w:cs="Tahoma"/>
          <w:color w:val="000000" w:themeColor="text1"/>
          <w:sz w:val="18"/>
          <w:szCs w:val="18"/>
        </w:rPr>
        <w:t xml:space="preserve">кладчику на сумму </w:t>
      </w:r>
      <w:r>
        <w:rPr>
          <w:rFonts w:ascii="Tahoma" w:hAnsi="Tahoma" w:cs="Tahoma"/>
          <w:color w:val="000000" w:themeColor="text1"/>
          <w:sz w:val="18"/>
          <w:szCs w:val="18"/>
        </w:rPr>
        <w:t>В</w:t>
      </w:r>
      <w:r w:rsidRPr="008572C5">
        <w:rPr>
          <w:rFonts w:ascii="Tahoma" w:hAnsi="Tahoma" w:cs="Tahoma"/>
          <w:color w:val="000000" w:themeColor="text1"/>
          <w:sz w:val="18"/>
          <w:szCs w:val="18"/>
        </w:rPr>
        <w:t xml:space="preserve">клада при условии хранения суммы </w:t>
      </w:r>
      <w:r>
        <w:rPr>
          <w:rFonts w:ascii="Tahoma" w:hAnsi="Tahoma" w:cs="Tahoma"/>
          <w:color w:val="000000" w:themeColor="text1"/>
          <w:sz w:val="18"/>
          <w:szCs w:val="18"/>
        </w:rPr>
        <w:t>В</w:t>
      </w:r>
      <w:r w:rsidRPr="008572C5">
        <w:rPr>
          <w:rFonts w:ascii="Tahoma" w:hAnsi="Tahoma" w:cs="Tahoma"/>
          <w:color w:val="000000" w:themeColor="text1"/>
          <w:sz w:val="18"/>
          <w:szCs w:val="18"/>
        </w:rPr>
        <w:t xml:space="preserve">вклада до конца срока </w:t>
      </w:r>
      <w:r>
        <w:rPr>
          <w:rFonts w:ascii="Tahoma" w:hAnsi="Tahoma" w:cs="Tahoma"/>
          <w:color w:val="000000" w:themeColor="text1"/>
          <w:sz w:val="18"/>
          <w:szCs w:val="18"/>
        </w:rPr>
        <w:t>В</w:t>
      </w:r>
      <w:r w:rsidRPr="008572C5">
        <w:rPr>
          <w:rFonts w:ascii="Tahoma" w:hAnsi="Tahoma" w:cs="Tahoma"/>
          <w:color w:val="000000" w:themeColor="text1"/>
          <w:sz w:val="18"/>
          <w:szCs w:val="18"/>
        </w:rPr>
        <w:t xml:space="preserve">клада без учета каких-либо других условий. Порядок расчета минимальной гарантированной ставки по </w:t>
      </w:r>
      <w:r>
        <w:rPr>
          <w:rFonts w:ascii="Tahoma" w:hAnsi="Tahoma" w:cs="Tahoma"/>
          <w:color w:val="000000" w:themeColor="text1"/>
          <w:sz w:val="18"/>
          <w:szCs w:val="18"/>
        </w:rPr>
        <w:t>В</w:t>
      </w:r>
      <w:r w:rsidRPr="008572C5">
        <w:rPr>
          <w:rFonts w:ascii="Tahoma" w:hAnsi="Tahoma" w:cs="Tahoma"/>
          <w:color w:val="000000" w:themeColor="text1"/>
          <w:sz w:val="18"/>
          <w:szCs w:val="18"/>
        </w:rPr>
        <w:t>кладу определяется Банком России.</w:t>
      </w:r>
    </w:p>
    <w:p w14:paraId="09229D8D" w14:textId="77777777" w:rsidR="00EA2CBD" w:rsidRPr="008572C5" w:rsidRDefault="00EA2CBD" w:rsidP="00EA2CBD">
      <w:pPr>
        <w:widowControl w:val="0"/>
        <w:tabs>
          <w:tab w:val="left" w:pos="851"/>
        </w:tabs>
        <w:autoSpaceDE w:val="0"/>
        <w:autoSpaceDN w:val="0"/>
        <w:adjustRightInd w:val="0"/>
        <w:jc w:val="both"/>
        <w:rPr>
          <w:rFonts w:ascii="Tahoma" w:hAnsi="Tahoma" w:cs="Tahoma"/>
          <w:b/>
          <w:bCs/>
          <w:iCs/>
          <w:color w:val="E36C0A"/>
          <w:sz w:val="22"/>
          <w:szCs w:val="22"/>
        </w:rPr>
      </w:pPr>
    </w:p>
    <w:p w14:paraId="1002D11D" w14:textId="77777777" w:rsidR="00EA2CBD" w:rsidRPr="008572C5" w:rsidRDefault="00EA2CBD" w:rsidP="000B3718">
      <w:pPr>
        <w:pStyle w:val="a5"/>
      </w:pPr>
      <w:r w:rsidRPr="008572C5">
        <w:t>3.2.</w:t>
      </w:r>
      <w:r w:rsidRPr="008572C5">
        <w:tab/>
        <w:t>Вклад «Пенсионная сберкнижка до востребования»</w:t>
      </w:r>
    </w:p>
    <w:p w14:paraId="571D036D" w14:textId="77777777" w:rsidR="00EA2CBD" w:rsidRPr="008572C5" w:rsidRDefault="00EA2CBD" w:rsidP="00EA2CBD">
      <w:pPr>
        <w:tabs>
          <w:tab w:val="left" w:pos="284"/>
        </w:tabs>
        <w:rPr>
          <w:rFonts w:ascii="Tahoma" w:hAnsi="Tahoma" w:cs="Tahoma"/>
          <w:bCs/>
          <w:iCs/>
          <w:sz w:val="22"/>
          <w:szCs w:val="22"/>
        </w:rPr>
      </w:pPr>
      <w:r w:rsidRPr="008572C5">
        <w:rPr>
          <w:rFonts w:ascii="Tahoma" w:hAnsi="Tahoma" w:cs="Tahoma"/>
          <w:bCs/>
          <w:iCs/>
          <w:sz w:val="22"/>
          <w:szCs w:val="22"/>
        </w:rPr>
        <w:t>Условия:</w:t>
      </w:r>
    </w:p>
    <w:p w14:paraId="0F1947CA" w14:textId="77777777" w:rsidR="00EA2CBD" w:rsidRPr="008572C5" w:rsidRDefault="00EA2CBD" w:rsidP="00EA2CBD">
      <w:pPr>
        <w:tabs>
          <w:tab w:val="left" w:pos="284"/>
        </w:tabs>
        <w:rPr>
          <w:rFonts w:ascii="Tahoma" w:hAnsi="Tahoma" w:cs="Tahoma"/>
          <w:bCs/>
          <w:iCs/>
          <w:sz w:val="22"/>
          <w:szCs w:val="22"/>
        </w:rPr>
      </w:pPr>
      <w:r w:rsidRPr="008572C5">
        <w:rPr>
          <w:rFonts w:ascii="Tahoma" w:hAnsi="Tahoma" w:cs="Tahoma"/>
          <w:bCs/>
          <w:iCs/>
          <w:sz w:val="22"/>
          <w:szCs w:val="22"/>
        </w:rPr>
        <w:t>•</w:t>
      </w:r>
      <w:r w:rsidRPr="008572C5">
        <w:rPr>
          <w:rFonts w:ascii="Tahoma" w:hAnsi="Tahoma" w:cs="Tahoma"/>
          <w:bCs/>
          <w:iCs/>
          <w:sz w:val="22"/>
          <w:szCs w:val="22"/>
        </w:rPr>
        <w:tab/>
        <w:t xml:space="preserve"> </w:t>
      </w:r>
      <w:r w:rsidRPr="006E702D">
        <w:rPr>
          <w:rFonts w:ascii="Tahoma" w:hAnsi="Tahoma" w:cs="Tahoma"/>
          <w:bCs/>
          <w:iCs/>
          <w:sz w:val="22"/>
          <w:szCs w:val="22"/>
        </w:rPr>
        <w:t>В</w:t>
      </w:r>
      <w:r w:rsidRPr="008572C5">
        <w:rPr>
          <w:rFonts w:ascii="Tahoma" w:hAnsi="Tahoma" w:cs="Tahoma"/>
          <w:bCs/>
          <w:iCs/>
          <w:sz w:val="22"/>
          <w:szCs w:val="22"/>
        </w:rPr>
        <w:t>клад открывается по предъявлению пенсионного удостоверения или иного документа, удостоверяющего в соответствии с законодательством РФ право на получение пенсии;</w:t>
      </w:r>
    </w:p>
    <w:p w14:paraId="57E3C608" w14:textId="77777777" w:rsidR="00EA2CBD" w:rsidRPr="008572C5" w:rsidRDefault="00EA2CBD" w:rsidP="00EA2CBD">
      <w:pPr>
        <w:tabs>
          <w:tab w:val="left" w:pos="284"/>
        </w:tabs>
        <w:rPr>
          <w:rFonts w:ascii="Tahoma" w:hAnsi="Tahoma" w:cs="Tahoma"/>
          <w:bCs/>
          <w:iCs/>
          <w:sz w:val="22"/>
          <w:szCs w:val="22"/>
        </w:rPr>
      </w:pPr>
      <w:r w:rsidRPr="008572C5">
        <w:rPr>
          <w:rFonts w:ascii="Tahoma" w:hAnsi="Tahoma" w:cs="Tahoma"/>
          <w:bCs/>
          <w:iCs/>
          <w:sz w:val="22"/>
          <w:szCs w:val="22"/>
        </w:rPr>
        <w:t>•</w:t>
      </w:r>
      <w:r w:rsidRPr="008572C5">
        <w:rPr>
          <w:rFonts w:ascii="Tahoma" w:hAnsi="Tahoma" w:cs="Tahoma"/>
          <w:bCs/>
          <w:iCs/>
          <w:sz w:val="22"/>
          <w:szCs w:val="22"/>
        </w:rPr>
        <w:tab/>
        <w:t xml:space="preserve"> минимальная / максимальная сумма </w:t>
      </w:r>
      <w:r>
        <w:rPr>
          <w:rFonts w:ascii="Tahoma" w:hAnsi="Tahoma" w:cs="Tahoma"/>
          <w:bCs/>
          <w:iCs/>
          <w:sz w:val="22"/>
          <w:szCs w:val="22"/>
        </w:rPr>
        <w:t>В</w:t>
      </w:r>
      <w:r w:rsidRPr="008572C5">
        <w:rPr>
          <w:rFonts w:ascii="Tahoma" w:hAnsi="Tahoma" w:cs="Tahoma"/>
          <w:bCs/>
          <w:iCs/>
          <w:sz w:val="22"/>
          <w:szCs w:val="22"/>
        </w:rPr>
        <w:t>клада не ограничена;</w:t>
      </w:r>
    </w:p>
    <w:p w14:paraId="5830FCD8" w14:textId="77777777" w:rsidR="00EA2CBD" w:rsidRPr="008572C5" w:rsidRDefault="00EA2CBD" w:rsidP="00EA2CBD">
      <w:pPr>
        <w:tabs>
          <w:tab w:val="left" w:pos="284"/>
        </w:tabs>
        <w:rPr>
          <w:rFonts w:ascii="Tahoma" w:hAnsi="Tahoma" w:cs="Tahoma"/>
          <w:bCs/>
          <w:iCs/>
          <w:sz w:val="22"/>
          <w:szCs w:val="22"/>
        </w:rPr>
      </w:pPr>
      <w:r w:rsidRPr="008572C5">
        <w:rPr>
          <w:rFonts w:ascii="Tahoma" w:hAnsi="Tahoma" w:cs="Tahoma"/>
          <w:bCs/>
          <w:iCs/>
          <w:sz w:val="22"/>
          <w:szCs w:val="22"/>
        </w:rPr>
        <w:t>•</w:t>
      </w:r>
      <w:r w:rsidRPr="008572C5">
        <w:rPr>
          <w:rFonts w:ascii="Tahoma" w:hAnsi="Tahoma" w:cs="Tahoma"/>
          <w:bCs/>
          <w:iCs/>
          <w:sz w:val="22"/>
          <w:szCs w:val="22"/>
        </w:rPr>
        <w:tab/>
        <w:t xml:space="preserve"> срок </w:t>
      </w:r>
      <w:r>
        <w:rPr>
          <w:rFonts w:ascii="Tahoma" w:hAnsi="Tahoma" w:cs="Tahoma"/>
          <w:bCs/>
          <w:iCs/>
          <w:sz w:val="22"/>
          <w:szCs w:val="22"/>
        </w:rPr>
        <w:t>В</w:t>
      </w:r>
      <w:r w:rsidRPr="008572C5">
        <w:rPr>
          <w:rFonts w:ascii="Tahoma" w:hAnsi="Tahoma" w:cs="Tahoma"/>
          <w:bCs/>
          <w:iCs/>
          <w:sz w:val="22"/>
          <w:szCs w:val="22"/>
        </w:rPr>
        <w:t>клада не ограничен;</w:t>
      </w:r>
    </w:p>
    <w:p w14:paraId="6A60BF6F" w14:textId="77777777" w:rsidR="00EA2CBD" w:rsidRPr="008572C5" w:rsidRDefault="00EA2CBD" w:rsidP="00EA2CBD">
      <w:pPr>
        <w:tabs>
          <w:tab w:val="left" w:pos="284"/>
        </w:tabs>
        <w:rPr>
          <w:rFonts w:ascii="Tahoma" w:hAnsi="Tahoma" w:cs="Tahoma"/>
          <w:bCs/>
          <w:iCs/>
          <w:sz w:val="22"/>
          <w:szCs w:val="22"/>
        </w:rPr>
      </w:pPr>
      <w:r w:rsidRPr="008572C5">
        <w:rPr>
          <w:rFonts w:ascii="Tahoma" w:hAnsi="Tahoma" w:cs="Tahoma"/>
          <w:bCs/>
          <w:iCs/>
          <w:sz w:val="22"/>
          <w:szCs w:val="22"/>
        </w:rPr>
        <w:t>•</w:t>
      </w:r>
      <w:r w:rsidRPr="008572C5">
        <w:rPr>
          <w:rFonts w:ascii="Tahoma" w:hAnsi="Tahoma" w:cs="Tahoma"/>
          <w:bCs/>
          <w:iCs/>
          <w:sz w:val="22"/>
          <w:szCs w:val="22"/>
        </w:rPr>
        <w:tab/>
        <w:t xml:space="preserve"> </w:t>
      </w:r>
      <w:r>
        <w:rPr>
          <w:rFonts w:ascii="Tahoma" w:hAnsi="Tahoma" w:cs="Tahoma"/>
          <w:bCs/>
          <w:iCs/>
          <w:sz w:val="22"/>
          <w:szCs w:val="22"/>
        </w:rPr>
        <w:t>В</w:t>
      </w:r>
      <w:r w:rsidRPr="008572C5">
        <w:rPr>
          <w:rFonts w:ascii="Tahoma" w:hAnsi="Tahoma" w:cs="Tahoma"/>
          <w:bCs/>
          <w:iCs/>
          <w:sz w:val="22"/>
          <w:szCs w:val="22"/>
        </w:rPr>
        <w:t>клад пополняемый, минимальная / максимальная сумма пополнения не ограничена;</w:t>
      </w:r>
    </w:p>
    <w:p w14:paraId="1C9D04C8" w14:textId="77777777" w:rsidR="00EA2CBD" w:rsidRPr="008572C5" w:rsidRDefault="00EA2CBD" w:rsidP="00EA2CBD">
      <w:pPr>
        <w:tabs>
          <w:tab w:val="left" w:pos="284"/>
        </w:tabs>
        <w:rPr>
          <w:rFonts w:ascii="Tahoma" w:hAnsi="Tahoma" w:cs="Tahoma"/>
          <w:bCs/>
          <w:iCs/>
          <w:sz w:val="22"/>
          <w:szCs w:val="22"/>
        </w:rPr>
      </w:pPr>
      <w:r w:rsidRPr="008572C5">
        <w:rPr>
          <w:rFonts w:ascii="Tahoma" w:hAnsi="Tahoma" w:cs="Tahoma"/>
          <w:bCs/>
          <w:iCs/>
          <w:sz w:val="22"/>
          <w:szCs w:val="22"/>
        </w:rPr>
        <w:t>•</w:t>
      </w:r>
      <w:r w:rsidRPr="008572C5">
        <w:rPr>
          <w:rFonts w:ascii="Tahoma" w:hAnsi="Tahoma" w:cs="Tahoma"/>
          <w:bCs/>
          <w:iCs/>
          <w:sz w:val="22"/>
          <w:szCs w:val="22"/>
        </w:rPr>
        <w:tab/>
        <w:t xml:space="preserve"> возможно снятие суммы </w:t>
      </w:r>
      <w:r>
        <w:rPr>
          <w:rFonts w:ascii="Tahoma" w:hAnsi="Tahoma" w:cs="Tahoma"/>
          <w:bCs/>
          <w:iCs/>
          <w:sz w:val="22"/>
          <w:szCs w:val="22"/>
        </w:rPr>
        <w:t>В</w:t>
      </w:r>
      <w:r w:rsidRPr="008572C5">
        <w:rPr>
          <w:rFonts w:ascii="Tahoma" w:hAnsi="Tahoma" w:cs="Tahoma"/>
          <w:bCs/>
          <w:iCs/>
          <w:sz w:val="22"/>
          <w:szCs w:val="22"/>
        </w:rPr>
        <w:t xml:space="preserve">клада и процентов по </w:t>
      </w:r>
      <w:r>
        <w:rPr>
          <w:rFonts w:ascii="Tahoma" w:hAnsi="Tahoma" w:cs="Tahoma"/>
          <w:bCs/>
          <w:iCs/>
          <w:sz w:val="22"/>
          <w:szCs w:val="22"/>
        </w:rPr>
        <w:t>В</w:t>
      </w:r>
      <w:r w:rsidRPr="008572C5">
        <w:rPr>
          <w:rFonts w:ascii="Tahoma" w:hAnsi="Tahoma" w:cs="Tahoma"/>
          <w:bCs/>
          <w:iCs/>
          <w:sz w:val="22"/>
          <w:szCs w:val="22"/>
        </w:rPr>
        <w:t>кладу без ограничений;</w:t>
      </w:r>
    </w:p>
    <w:p w14:paraId="4ECD1F02" w14:textId="77777777" w:rsidR="00EA2CBD" w:rsidRPr="008572C5" w:rsidRDefault="00EA2CBD" w:rsidP="00EA2CBD">
      <w:pPr>
        <w:tabs>
          <w:tab w:val="left" w:pos="284"/>
        </w:tabs>
        <w:rPr>
          <w:rFonts w:ascii="Tahoma" w:hAnsi="Tahoma" w:cs="Tahoma"/>
          <w:bCs/>
          <w:iCs/>
          <w:sz w:val="22"/>
          <w:szCs w:val="22"/>
        </w:rPr>
      </w:pPr>
      <w:r w:rsidRPr="008572C5">
        <w:rPr>
          <w:rFonts w:ascii="Tahoma" w:hAnsi="Tahoma" w:cs="Tahoma"/>
          <w:bCs/>
          <w:iCs/>
          <w:sz w:val="22"/>
          <w:szCs w:val="22"/>
        </w:rPr>
        <w:t>•</w:t>
      </w:r>
      <w:r w:rsidRPr="008572C5">
        <w:rPr>
          <w:rFonts w:ascii="Tahoma" w:hAnsi="Tahoma" w:cs="Tahoma"/>
          <w:bCs/>
          <w:iCs/>
          <w:sz w:val="22"/>
          <w:szCs w:val="22"/>
        </w:rPr>
        <w:tab/>
        <w:t xml:space="preserve"> причисление процентов ежеквартально;</w:t>
      </w:r>
    </w:p>
    <w:p w14:paraId="2E2B6BF7" w14:textId="77777777" w:rsidR="00EA2CBD" w:rsidRPr="008572C5" w:rsidRDefault="00EA2CBD" w:rsidP="00EA2CBD">
      <w:pPr>
        <w:tabs>
          <w:tab w:val="left" w:pos="284"/>
        </w:tabs>
        <w:rPr>
          <w:rFonts w:ascii="Tahoma" w:hAnsi="Tahoma" w:cs="Tahoma"/>
          <w:bCs/>
          <w:iCs/>
          <w:sz w:val="22"/>
          <w:szCs w:val="22"/>
        </w:rPr>
      </w:pPr>
      <w:r w:rsidRPr="008572C5">
        <w:rPr>
          <w:rFonts w:ascii="Tahoma" w:hAnsi="Tahoma" w:cs="Tahoma"/>
          <w:bCs/>
          <w:iCs/>
          <w:sz w:val="22"/>
          <w:szCs w:val="22"/>
        </w:rPr>
        <w:t>•</w:t>
      </w:r>
      <w:r w:rsidRPr="008572C5">
        <w:rPr>
          <w:rFonts w:ascii="Tahoma" w:hAnsi="Tahoma" w:cs="Tahoma"/>
          <w:bCs/>
          <w:iCs/>
          <w:sz w:val="22"/>
          <w:szCs w:val="22"/>
        </w:rPr>
        <w:tab/>
        <w:t xml:space="preserve"> валюта – рубли;</w:t>
      </w:r>
    </w:p>
    <w:p w14:paraId="52D9AD35" w14:textId="77777777" w:rsidR="00EA2CBD" w:rsidRPr="008572C5" w:rsidRDefault="00EA2CBD" w:rsidP="00EA2CBD">
      <w:pPr>
        <w:widowControl w:val="0"/>
        <w:tabs>
          <w:tab w:val="left" w:pos="284"/>
        </w:tabs>
        <w:autoSpaceDE w:val="0"/>
        <w:autoSpaceDN w:val="0"/>
        <w:adjustRightInd w:val="0"/>
        <w:jc w:val="both"/>
        <w:rPr>
          <w:rFonts w:ascii="Tahoma" w:hAnsi="Tahoma" w:cs="Tahoma"/>
          <w:bCs/>
          <w:iCs/>
          <w:color w:val="E36C0A"/>
          <w:sz w:val="22"/>
          <w:szCs w:val="22"/>
        </w:rPr>
      </w:pPr>
    </w:p>
    <w:p w14:paraId="03D6B93A" w14:textId="77777777" w:rsidR="00EA2CBD" w:rsidRPr="008572C5" w:rsidRDefault="00EA2CBD" w:rsidP="00EA2CBD">
      <w:pPr>
        <w:autoSpaceDE w:val="0"/>
        <w:autoSpaceDN w:val="0"/>
        <w:adjustRightInd w:val="0"/>
        <w:jc w:val="both"/>
        <w:rPr>
          <w:rFonts w:ascii="Tahoma" w:hAnsi="Tahoma" w:cs="Tahoma"/>
          <w:color w:val="000000"/>
          <w:sz w:val="22"/>
          <w:szCs w:val="22"/>
        </w:rPr>
      </w:pPr>
      <w:r w:rsidRPr="008572C5">
        <w:rPr>
          <w:rFonts w:ascii="Tahoma" w:hAnsi="Tahoma" w:cs="Tahoma"/>
          <w:color w:val="000000"/>
          <w:sz w:val="22"/>
          <w:szCs w:val="22"/>
        </w:rPr>
        <w:t xml:space="preserve">Примечание: по </w:t>
      </w:r>
      <w:r>
        <w:rPr>
          <w:rFonts w:ascii="Tahoma" w:hAnsi="Tahoma" w:cs="Tahoma"/>
          <w:color w:val="000000"/>
          <w:sz w:val="22"/>
          <w:szCs w:val="22"/>
        </w:rPr>
        <w:t>В</w:t>
      </w:r>
      <w:r w:rsidRPr="008572C5">
        <w:rPr>
          <w:rFonts w:ascii="Tahoma" w:hAnsi="Tahoma" w:cs="Tahoma"/>
          <w:color w:val="000000"/>
          <w:sz w:val="22"/>
          <w:szCs w:val="22"/>
        </w:rPr>
        <w:t xml:space="preserve">кладам «Пенсионная сберкнижка до востребования», открытым в рамках Договоров на перечисление заработной платы во </w:t>
      </w:r>
      <w:r>
        <w:rPr>
          <w:rFonts w:ascii="Tahoma" w:hAnsi="Tahoma" w:cs="Tahoma"/>
          <w:color w:val="000000"/>
          <w:sz w:val="22"/>
          <w:szCs w:val="22"/>
        </w:rPr>
        <w:t>В</w:t>
      </w:r>
      <w:r w:rsidRPr="008572C5">
        <w:rPr>
          <w:rFonts w:ascii="Tahoma" w:hAnsi="Tahoma" w:cs="Tahoma"/>
          <w:color w:val="000000"/>
          <w:sz w:val="22"/>
          <w:szCs w:val="22"/>
        </w:rPr>
        <w:t>клады или на счета банковских карт, действуют процентные ставки, определенные сторонами в указанных договорах.</w:t>
      </w:r>
    </w:p>
    <w:p w14:paraId="5F8C99EB" w14:textId="77777777" w:rsidR="00EA2CBD" w:rsidRPr="008572C5" w:rsidRDefault="00EA2CBD" w:rsidP="00EA2CBD">
      <w:pPr>
        <w:tabs>
          <w:tab w:val="left" w:pos="284"/>
        </w:tabs>
        <w:rPr>
          <w:rFonts w:ascii="Tahoma" w:hAnsi="Tahoma" w:cs="Tahoma"/>
          <w:bCs/>
          <w:iCs/>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61"/>
        <w:gridCol w:w="11366"/>
      </w:tblGrid>
      <w:tr w:rsidR="00EA2CBD" w:rsidRPr="008572C5" w14:paraId="3AC32C59" w14:textId="77777777" w:rsidTr="009D1253">
        <w:trPr>
          <w:trHeight w:val="221"/>
        </w:trPr>
        <w:tc>
          <w:tcPr>
            <w:tcW w:w="1243" w:type="pct"/>
            <w:tcBorders>
              <w:top w:val="single" w:sz="4" w:space="0" w:color="auto"/>
              <w:left w:val="single" w:sz="4" w:space="0" w:color="auto"/>
              <w:right w:val="single" w:sz="4" w:space="0" w:color="auto"/>
            </w:tcBorders>
            <w:hideMark/>
          </w:tcPr>
          <w:p w14:paraId="2FF9C0E3" w14:textId="77777777" w:rsidR="00EA2CBD" w:rsidRPr="008572C5" w:rsidRDefault="00EA2CBD" w:rsidP="009D1253">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 xml:space="preserve">Валюта </w:t>
            </w:r>
            <w:r>
              <w:rPr>
                <w:rFonts w:ascii="Tahoma" w:hAnsi="Tahoma" w:cs="Tahoma"/>
                <w:bCs/>
                <w:iCs/>
                <w:sz w:val="22"/>
                <w:szCs w:val="22"/>
              </w:rPr>
              <w:t>В</w:t>
            </w:r>
            <w:r w:rsidRPr="008572C5">
              <w:rPr>
                <w:rFonts w:ascii="Tahoma" w:hAnsi="Tahoma" w:cs="Tahoma"/>
                <w:bCs/>
                <w:iCs/>
                <w:sz w:val="22"/>
                <w:szCs w:val="22"/>
              </w:rPr>
              <w:t>клада</w:t>
            </w:r>
          </w:p>
        </w:tc>
        <w:tc>
          <w:tcPr>
            <w:tcW w:w="3757" w:type="pct"/>
            <w:tcBorders>
              <w:top w:val="single" w:sz="4" w:space="0" w:color="auto"/>
              <w:left w:val="single" w:sz="4" w:space="0" w:color="auto"/>
              <w:right w:val="single" w:sz="4" w:space="0" w:color="auto"/>
            </w:tcBorders>
            <w:hideMark/>
          </w:tcPr>
          <w:p w14:paraId="1B698940" w14:textId="77777777" w:rsidR="00EA2CBD" w:rsidRPr="008572C5" w:rsidRDefault="00EA2CBD" w:rsidP="009D1253">
            <w:pPr>
              <w:widowControl w:val="0"/>
              <w:tabs>
                <w:tab w:val="left" w:pos="426"/>
                <w:tab w:val="left" w:pos="851"/>
                <w:tab w:val="right" w:pos="10206"/>
              </w:tabs>
              <w:adjustRightInd w:val="0"/>
              <w:jc w:val="center"/>
              <w:rPr>
                <w:rFonts w:ascii="Tahoma" w:hAnsi="Tahoma" w:cs="Tahoma"/>
                <w:bCs/>
                <w:iCs/>
                <w:sz w:val="22"/>
                <w:szCs w:val="22"/>
              </w:rPr>
            </w:pPr>
            <w:r w:rsidRPr="008572C5">
              <w:rPr>
                <w:rFonts w:ascii="Tahoma" w:hAnsi="Tahoma" w:cs="Tahoma"/>
                <w:bCs/>
                <w:iCs/>
                <w:color w:val="000000" w:themeColor="text1"/>
                <w:sz w:val="22"/>
                <w:szCs w:val="22"/>
              </w:rPr>
              <w:t xml:space="preserve">Процентные ставки**, % годовых/ Доход с учетом капитализации* (% годовых) в зависимости от срока </w:t>
            </w:r>
            <w:r>
              <w:rPr>
                <w:rFonts w:ascii="Tahoma" w:hAnsi="Tahoma" w:cs="Tahoma"/>
                <w:bCs/>
                <w:iCs/>
                <w:color w:val="000000" w:themeColor="text1"/>
                <w:sz w:val="22"/>
                <w:szCs w:val="22"/>
              </w:rPr>
              <w:t>В</w:t>
            </w:r>
            <w:r w:rsidRPr="008572C5">
              <w:rPr>
                <w:rFonts w:ascii="Tahoma" w:hAnsi="Tahoma" w:cs="Tahoma"/>
                <w:bCs/>
                <w:iCs/>
                <w:color w:val="000000" w:themeColor="text1"/>
                <w:sz w:val="22"/>
                <w:szCs w:val="22"/>
              </w:rPr>
              <w:t>клада**</w:t>
            </w:r>
          </w:p>
        </w:tc>
      </w:tr>
      <w:tr w:rsidR="00EA2CBD" w:rsidRPr="008572C5" w14:paraId="7A7387C3" w14:textId="77777777" w:rsidTr="009D1253">
        <w:trPr>
          <w:trHeight w:val="70"/>
        </w:trPr>
        <w:tc>
          <w:tcPr>
            <w:tcW w:w="1243" w:type="pct"/>
            <w:tcBorders>
              <w:top w:val="single" w:sz="4" w:space="0" w:color="auto"/>
              <w:left w:val="single" w:sz="4" w:space="0" w:color="auto"/>
              <w:bottom w:val="single" w:sz="4" w:space="0" w:color="auto"/>
              <w:right w:val="single" w:sz="4" w:space="0" w:color="auto"/>
            </w:tcBorders>
            <w:hideMark/>
          </w:tcPr>
          <w:p w14:paraId="6C8932D6" w14:textId="77777777" w:rsidR="00EA2CBD" w:rsidRPr="008572C5" w:rsidRDefault="00EA2CBD" w:rsidP="009D1253">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рубли</w:t>
            </w:r>
          </w:p>
        </w:tc>
        <w:tc>
          <w:tcPr>
            <w:tcW w:w="3757" w:type="pct"/>
            <w:tcBorders>
              <w:top w:val="single" w:sz="4" w:space="0" w:color="auto"/>
              <w:left w:val="single" w:sz="4" w:space="0" w:color="auto"/>
              <w:bottom w:val="single" w:sz="4" w:space="0" w:color="auto"/>
              <w:right w:val="single" w:sz="4" w:space="0" w:color="auto"/>
            </w:tcBorders>
            <w:vAlign w:val="center"/>
            <w:hideMark/>
          </w:tcPr>
          <w:p w14:paraId="66703A25" w14:textId="77777777" w:rsidR="00EA2CBD" w:rsidRPr="008572C5" w:rsidRDefault="00EA2CBD" w:rsidP="009D1253">
            <w:pPr>
              <w:tabs>
                <w:tab w:val="left" w:pos="284"/>
                <w:tab w:val="left" w:pos="426"/>
              </w:tabs>
              <w:jc w:val="center"/>
              <w:textAlignment w:val="top"/>
              <w:rPr>
                <w:rFonts w:ascii="Tahoma" w:hAnsi="Tahoma" w:cs="Tahoma"/>
                <w:bCs/>
                <w:iCs/>
                <w:sz w:val="22"/>
                <w:szCs w:val="22"/>
              </w:rPr>
            </w:pPr>
            <w:r w:rsidRPr="008572C5">
              <w:rPr>
                <w:rFonts w:ascii="Tahoma" w:eastAsia="Arial Unicode MS" w:hAnsi="Tahoma" w:cs="Tahoma"/>
                <w:bCs/>
                <w:sz w:val="22"/>
                <w:szCs w:val="22"/>
              </w:rPr>
              <w:t>3,500/ 3,546</w:t>
            </w:r>
          </w:p>
        </w:tc>
      </w:tr>
    </w:tbl>
    <w:p w14:paraId="3D2C3A60" w14:textId="77777777" w:rsidR="00EA2CBD" w:rsidRPr="008572C5" w:rsidRDefault="00EA2CBD" w:rsidP="00EA2CBD">
      <w:pPr>
        <w:tabs>
          <w:tab w:val="left" w:pos="284"/>
        </w:tabs>
        <w:rPr>
          <w:rFonts w:ascii="Tahoma" w:hAnsi="Tahoma" w:cs="Tahoma"/>
          <w:color w:val="000000" w:themeColor="text1"/>
          <w:sz w:val="18"/>
          <w:szCs w:val="18"/>
        </w:rPr>
      </w:pPr>
      <w:r w:rsidRPr="008572C5">
        <w:rPr>
          <w:rFonts w:ascii="Tahoma" w:hAnsi="Tahoma" w:cs="Tahoma"/>
          <w:color w:val="000000" w:themeColor="text1"/>
          <w:sz w:val="18"/>
          <w:szCs w:val="18"/>
        </w:rPr>
        <w:t xml:space="preserve">*Капитализация - причисление процентов к основной сумме </w:t>
      </w:r>
      <w:r>
        <w:rPr>
          <w:rFonts w:ascii="Tahoma" w:hAnsi="Tahoma" w:cs="Tahoma"/>
          <w:color w:val="000000" w:themeColor="text1"/>
          <w:sz w:val="18"/>
          <w:szCs w:val="18"/>
        </w:rPr>
        <w:t>В</w:t>
      </w:r>
      <w:r w:rsidRPr="008572C5">
        <w:rPr>
          <w:rFonts w:ascii="Tahoma" w:hAnsi="Tahoma" w:cs="Tahoma"/>
          <w:color w:val="000000" w:themeColor="text1"/>
          <w:sz w:val="18"/>
          <w:szCs w:val="18"/>
        </w:rPr>
        <w:t>клада.</w:t>
      </w:r>
    </w:p>
    <w:p w14:paraId="64C85C80" w14:textId="77777777" w:rsidR="00EA2CBD" w:rsidRPr="008572C5" w:rsidRDefault="00EA2CBD" w:rsidP="00EA2CBD">
      <w:pPr>
        <w:tabs>
          <w:tab w:val="left" w:pos="284"/>
        </w:tabs>
        <w:rPr>
          <w:rFonts w:ascii="Tahoma" w:hAnsi="Tahoma" w:cs="Tahoma"/>
          <w:sz w:val="18"/>
          <w:szCs w:val="18"/>
        </w:rPr>
      </w:pPr>
      <w:r w:rsidRPr="008572C5">
        <w:rPr>
          <w:rFonts w:ascii="Tahoma" w:hAnsi="Tahoma" w:cs="Tahoma"/>
          <w:color w:val="000000" w:themeColor="text1"/>
          <w:sz w:val="18"/>
          <w:szCs w:val="18"/>
        </w:rPr>
        <w:t xml:space="preserve">** Соответствует значению минимальной гарантированной ставки (годовых) с учетом округления, определяющему минимальный доход, выплачиваемый </w:t>
      </w:r>
      <w:r>
        <w:rPr>
          <w:rFonts w:ascii="Tahoma" w:hAnsi="Tahoma" w:cs="Tahoma"/>
          <w:color w:val="000000" w:themeColor="text1"/>
          <w:sz w:val="18"/>
          <w:szCs w:val="18"/>
        </w:rPr>
        <w:t>В</w:t>
      </w:r>
      <w:r w:rsidRPr="008572C5">
        <w:rPr>
          <w:rFonts w:ascii="Tahoma" w:hAnsi="Tahoma" w:cs="Tahoma"/>
          <w:color w:val="000000" w:themeColor="text1"/>
          <w:sz w:val="18"/>
          <w:szCs w:val="18"/>
        </w:rPr>
        <w:t xml:space="preserve">кладчику на сумму </w:t>
      </w:r>
      <w:r>
        <w:rPr>
          <w:rFonts w:ascii="Tahoma" w:hAnsi="Tahoma" w:cs="Tahoma"/>
          <w:color w:val="000000" w:themeColor="text1"/>
          <w:sz w:val="18"/>
          <w:szCs w:val="18"/>
        </w:rPr>
        <w:t>В</w:t>
      </w:r>
      <w:r w:rsidRPr="008572C5">
        <w:rPr>
          <w:rFonts w:ascii="Tahoma" w:hAnsi="Tahoma" w:cs="Tahoma"/>
          <w:color w:val="000000" w:themeColor="text1"/>
          <w:sz w:val="18"/>
          <w:szCs w:val="18"/>
        </w:rPr>
        <w:t xml:space="preserve">клада при условии хранения суммы </w:t>
      </w:r>
      <w:r>
        <w:rPr>
          <w:rFonts w:ascii="Tahoma" w:hAnsi="Tahoma" w:cs="Tahoma"/>
          <w:color w:val="000000" w:themeColor="text1"/>
          <w:sz w:val="18"/>
          <w:szCs w:val="18"/>
        </w:rPr>
        <w:t>В</w:t>
      </w:r>
      <w:r w:rsidRPr="008572C5">
        <w:rPr>
          <w:rFonts w:ascii="Tahoma" w:hAnsi="Tahoma" w:cs="Tahoma"/>
          <w:color w:val="000000" w:themeColor="text1"/>
          <w:sz w:val="18"/>
          <w:szCs w:val="18"/>
        </w:rPr>
        <w:t xml:space="preserve">клада до конца срока </w:t>
      </w:r>
      <w:r>
        <w:rPr>
          <w:rFonts w:ascii="Tahoma" w:hAnsi="Tahoma" w:cs="Tahoma"/>
          <w:color w:val="000000" w:themeColor="text1"/>
          <w:sz w:val="18"/>
          <w:szCs w:val="18"/>
        </w:rPr>
        <w:t>В</w:t>
      </w:r>
      <w:r w:rsidRPr="008572C5">
        <w:rPr>
          <w:rFonts w:ascii="Tahoma" w:hAnsi="Tahoma" w:cs="Tahoma"/>
          <w:color w:val="000000" w:themeColor="text1"/>
          <w:sz w:val="18"/>
          <w:szCs w:val="18"/>
        </w:rPr>
        <w:t xml:space="preserve">клада без учета каких-либо других условий. Порядок расчета минимальной гарантированной ставки по </w:t>
      </w:r>
      <w:r>
        <w:rPr>
          <w:rFonts w:ascii="Tahoma" w:hAnsi="Tahoma" w:cs="Tahoma"/>
          <w:color w:val="000000" w:themeColor="text1"/>
          <w:sz w:val="18"/>
          <w:szCs w:val="18"/>
        </w:rPr>
        <w:t>В</w:t>
      </w:r>
      <w:r w:rsidRPr="008572C5">
        <w:rPr>
          <w:rFonts w:ascii="Tahoma" w:hAnsi="Tahoma" w:cs="Tahoma"/>
          <w:color w:val="000000" w:themeColor="text1"/>
          <w:sz w:val="18"/>
          <w:szCs w:val="18"/>
        </w:rPr>
        <w:t>кладу определяется Банком России.</w:t>
      </w:r>
    </w:p>
    <w:p w14:paraId="75917C5A" w14:textId="77777777" w:rsidR="00EA2CBD" w:rsidRPr="008572C5" w:rsidRDefault="00EA2CBD" w:rsidP="00EA2CBD">
      <w:pPr>
        <w:tabs>
          <w:tab w:val="left" w:pos="284"/>
        </w:tabs>
        <w:rPr>
          <w:rFonts w:ascii="Tahoma" w:hAnsi="Tahoma" w:cs="Tahoma"/>
          <w:b/>
          <w:bCs/>
          <w:iCs/>
          <w:sz w:val="22"/>
          <w:szCs w:val="22"/>
        </w:rPr>
      </w:pPr>
    </w:p>
    <w:p w14:paraId="695C9170" w14:textId="77777777" w:rsidR="00EA2CBD" w:rsidRPr="008572C5" w:rsidRDefault="00EA2CBD" w:rsidP="000B3718">
      <w:pPr>
        <w:pStyle w:val="a5"/>
      </w:pPr>
      <w:r w:rsidRPr="008572C5">
        <w:t>3.3.</w:t>
      </w:r>
      <w:r w:rsidRPr="008572C5">
        <w:tab/>
        <w:t>Вклад «АТБ. Вклад» (без пополнения и снятия</w:t>
      </w:r>
      <w:r>
        <w:t>*</w:t>
      </w:r>
      <w:r w:rsidRPr="008572C5">
        <w:t>)</w:t>
      </w:r>
    </w:p>
    <w:p w14:paraId="1F446290" w14:textId="77777777" w:rsidR="00EA2CBD" w:rsidRPr="008572C5" w:rsidRDefault="00EA2CBD" w:rsidP="00EA2CBD">
      <w:pPr>
        <w:ind w:firstLine="426"/>
        <w:jc w:val="both"/>
        <w:rPr>
          <w:rFonts w:ascii="Tahoma" w:hAnsi="Tahoma" w:cs="Tahoma"/>
          <w:color w:val="000000"/>
          <w:sz w:val="22"/>
          <w:szCs w:val="22"/>
          <w:lang w:eastAsia="en-US"/>
        </w:rPr>
      </w:pPr>
      <w:r w:rsidRPr="008572C5">
        <w:rPr>
          <w:rFonts w:ascii="Tahoma" w:hAnsi="Tahoma" w:cs="Tahoma"/>
          <w:color w:val="000000"/>
          <w:sz w:val="22"/>
          <w:szCs w:val="22"/>
        </w:rPr>
        <w:t>Условия:</w:t>
      </w:r>
    </w:p>
    <w:p w14:paraId="1D85DEDE" w14:textId="77777777" w:rsidR="00EA2CBD" w:rsidRPr="008572C5" w:rsidRDefault="00EA2CBD" w:rsidP="00EA2CBD">
      <w:pPr>
        <w:numPr>
          <w:ilvl w:val="0"/>
          <w:numId w:val="3"/>
        </w:numPr>
        <w:jc w:val="both"/>
        <w:rPr>
          <w:rFonts w:ascii="Tahoma" w:hAnsi="Tahoma" w:cs="Tahoma"/>
          <w:sz w:val="22"/>
          <w:szCs w:val="22"/>
        </w:rPr>
      </w:pPr>
      <w:r w:rsidRPr="008572C5">
        <w:rPr>
          <w:rFonts w:ascii="Tahoma" w:hAnsi="Tahoma" w:cs="Tahoma"/>
          <w:sz w:val="22"/>
          <w:szCs w:val="22"/>
        </w:rPr>
        <w:t>Валюта – рубли РФ/ китайский юань;</w:t>
      </w:r>
    </w:p>
    <w:p w14:paraId="33C3B919" w14:textId="77777777" w:rsidR="00EA2CBD" w:rsidRPr="008572C5" w:rsidRDefault="00EA2CBD" w:rsidP="00EA2CBD">
      <w:pPr>
        <w:numPr>
          <w:ilvl w:val="0"/>
          <w:numId w:val="3"/>
        </w:numPr>
        <w:jc w:val="both"/>
        <w:rPr>
          <w:rFonts w:ascii="Tahoma" w:hAnsi="Tahoma" w:cs="Tahoma"/>
          <w:sz w:val="22"/>
          <w:szCs w:val="22"/>
        </w:rPr>
      </w:pPr>
      <w:r w:rsidRPr="008572C5">
        <w:rPr>
          <w:rFonts w:ascii="Tahoma" w:hAnsi="Tahoma" w:cs="Tahoma"/>
          <w:sz w:val="22"/>
          <w:szCs w:val="22"/>
        </w:rPr>
        <w:t>Минимальная сумма Вклада 5 000 рублей/ 700 китайских юаней;</w:t>
      </w:r>
    </w:p>
    <w:p w14:paraId="76A0D4BD" w14:textId="77777777" w:rsidR="00EA2CBD" w:rsidRPr="008572C5" w:rsidRDefault="00EA2CBD" w:rsidP="00EA2CBD">
      <w:pPr>
        <w:numPr>
          <w:ilvl w:val="0"/>
          <w:numId w:val="3"/>
        </w:numPr>
        <w:jc w:val="both"/>
        <w:rPr>
          <w:rFonts w:ascii="Tahoma" w:hAnsi="Tahoma" w:cs="Tahoma"/>
          <w:sz w:val="22"/>
          <w:szCs w:val="22"/>
        </w:rPr>
      </w:pPr>
      <w:r w:rsidRPr="008572C5">
        <w:rPr>
          <w:rFonts w:ascii="Tahoma" w:hAnsi="Tahoma" w:cs="Tahoma"/>
          <w:sz w:val="22"/>
          <w:szCs w:val="22"/>
        </w:rPr>
        <w:t>Максимальная сумма Вклада – не ограничена;</w:t>
      </w:r>
    </w:p>
    <w:p w14:paraId="130E3CA4" w14:textId="77777777" w:rsidR="00EA2CBD" w:rsidRDefault="00EA2CBD" w:rsidP="00EA2CBD">
      <w:pPr>
        <w:numPr>
          <w:ilvl w:val="0"/>
          <w:numId w:val="3"/>
        </w:numPr>
        <w:jc w:val="both"/>
        <w:rPr>
          <w:rFonts w:ascii="Tahoma" w:hAnsi="Tahoma" w:cs="Tahoma"/>
          <w:sz w:val="22"/>
          <w:szCs w:val="22"/>
        </w:rPr>
      </w:pPr>
      <w:r w:rsidRPr="008572C5">
        <w:rPr>
          <w:rFonts w:ascii="Tahoma" w:hAnsi="Tahoma" w:cs="Tahoma"/>
          <w:sz w:val="22"/>
          <w:szCs w:val="22"/>
        </w:rPr>
        <w:t>Срок Вклада</w:t>
      </w:r>
      <w:r>
        <w:rPr>
          <w:rFonts w:ascii="Tahoma" w:hAnsi="Tahoma" w:cs="Tahoma"/>
          <w:sz w:val="22"/>
          <w:szCs w:val="22"/>
        </w:rPr>
        <w:t xml:space="preserve">: </w:t>
      </w:r>
    </w:p>
    <w:p w14:paraId="24391B4C" w14:textId="77777777" w:rsidR="00EA2CBD" w:rsidRPr="00823945" w:rsidRDefault="00EA2CBD" w:rsidP="00EA2CBD">
      <w:pPr>
        <w:ind w:left="709" w:firstLine="142"/>
        <w:jc w:val="both"/>
        <w:rPr>
          <w:rFonts w:ascii="Tahoma" w:hAnsi="Tahoma" w:cs="Tahoma"/>
          <w:sz w:val="22"/>
          <w:szCs w:val="22"/>
        </w:rPr>
      </w:pPr>
      <w:r>
        <w:rPr>
          <w:rFonts w:ascii="Tahoma" w:hAnsi="Tahoma" w:cs="Tahoma"/>
          <w:sz w:val="22"/>
          <w:szCs w:val="22"/>
        </w:rPr>
        <w:t xml:space="preserve">- </w:t>
      </w:r>
      <w:r w:rsidRPr="00823945">
        <w:rPr>
          <w:rFonts w:ascii="Tahoma" w:hAnsi="Tahoma" w:cs="Tahoma"/>
          <w:sz w:val="22"/>
          <w:szCs w:val="22"/>
        </w:rPr>
        <w:t>в рублях РФ: 62 дня / 92 дня/ 122 дня/ 182 дня/ 243 дня/ 273 дня/ 367 дней/ 731 день/ 1098 дней;</w:t>
      </w:r>
    </w:p>
    <w:p w14:paraId="3DD90388" w14:textId="77777777" w:rsidR="00EA2CBD" w:rsidRPr="008572C5" w:rsidRDefault="00EA2CBD" w:rsidP="00EA2CBD">
      <w:pPr>
        <w:ind w:left="709" w:firstLine="142"/>
        <w:jc w:val="both"/>
        <w:rPr>
          <w:rFonts w:ascii="Tahoma" w:hAnsi="Tahoma" w:cs="Tahoma"/>
          <w:sz w:val="22"/>
          <w:szCs w:val="22"/>
        </w:rPr>
      </w:pPr>
      <w:r w:rsidRPr="00823945">
        <w:rPr>
          <w:rFonts w:ascii="Tahoma" w:hAnsi="Tahoma" w:cs="Tahoma"/>
          <w:sz w:val="22"/>
          <w:szCs w:val="22"/>
        </w:rPr>
        <w:t>- в китайских юанях: 92 дня/ 182 дня.</w:t>
      </w:r>
    </w:p>
    <w:p w14:paraId="496958D7" w14:textId="77777777" w:rsidR="00EA2CBD" w:rsidRDefault="00EA2CBD" w:rsidP="00EA2CBD">
      <w:pPr>
        <w:numPr>
          <w:ilvl w:val="0"/>
          <w:numId w:val="3"/>
        </w:numPr>
        <w:jc w:val="both"/>
        <w:rPr>
          <w:rFonts w:ascii="Tahoma" w:hAnsi="Tahoma" w:cs="Tahoma"/>
          <w:sz w:val="22"/>
          <w:szCs w:val="22"/>
        </w:rPr>
      </w:pPr>
      <w:r w:rsidRPr="008572C5">
        <w:rPr>
          <w:rFonts w:ascii="Tahoma" w:hAnsi="Tahoma" w:cs="Tahoma"/>
          <w:sz w:val="22"/>
          <w:szCs w:val="22"/>
        </w:rPr>
        <w:t>Вклад не пополняемый;</w:t>
      </w:r>
    </w:p>
    <w:p w14:paraId="6982012D" w14:textId="77777777" w:rsidR="00EA2CBD" w:rsidRPr="00A836E3" w:rsidRDefault="00EA2CBD" w:rsidP="00EA2CBD">
      <w:pPr>
        <w:pStyle w:val="affe"/>
        <w:numPr>
          <w:ilvl w:val="0"/>
          <w:numId w:val="3"/>
        </w:numPr>
        <w:autoSpaceDE w:val="0"/>
        <w:autoSpaceDN w:val="0"/>
        <w:adjustRightInd w:val="0"/>
        <w:jc w:val="both"/>
        <w:rPr>
          <w:rFonts w:ascii="Tahoma" w:hAnsi="Tahoma" w:cs="Tahoma"/>
          <w:sz w:val="22"/>
          <w:szCs w:val="22"/>
        </w:rPr>
      </w:pPr>
      <w:r w:rsidRPr="00A836E3">
        <w:rPr>
          <w:rFonts w:ascii="Tahoma" w:hAnsi="Tahoma" w:cs="Tahoma"/>
          <w:sz w:val="22"/>
          <w:szCs w:val="22"/>
        </w:rPr>
        <w:t>Досрочный возврат Вклада/части суммы Вклада без изменения условий о размере процентов и периодичности их выплаты не предусмотрен;</w:t>
      </w:r>
    </w:p>
    <w:p w14:paraId="3B7409B8" w14:textId="77777777" w:rsidR="00EA2CBD" w:rsidRPr="00A836E3" w:rsidRDefault="00EA2CBD" w:rsidP="00EA2CBD">
      <w:pPr>
        <w:numPr>
          <w:ilvl w:val="0"/>
          <w:numId w:val="3"/>
        </w:numPr>
        <w:jc w:val="both"/>
        <w:rPr>
          <w:rFonts w:ascii="Tahoma" w:hAnsi="Tahoma" w:cs="Tahoma"/>
          <w:sz w:val="22"/>
          <w:szCs w:val="22"/>
        </w:rPr>
      </w:pPr>
      <w:r w:rsidRPr="00A836E3">
        <w:rPr>
          <w:rFonts w:ascii="Tahoma" w:hAnsi="Tahoma" w:cs="Tahoma"/>
          <w:sz w:val="22"/>
          <w:szCs w:val="22"/>
        </w:rPr>
        <w:t>Вклад пролонгируемый;</w:t>
      </w:r>
    </w:p>
    <w:p w14:paraId="6DA5A0AC" w14:textId="77777777" w:rsidR="00EA2CBD" w:rsidRPr="008572C5" w:rsidRDefault="00EA2CBD" w:rsidP="00EA2CBD">
      <w:pPr>
        <w:numPr>
          <w:ilvl w:val="0"/>
          <w:numId w:val="3"/>
        </w:numPr>
        <w:jc w:val="both"/>
        <w:rPr>
          <w:rFonts w:ascii="Tahoma" w:hAnsi="Tahoma" w:cs="Tahoma"/>
          <w:sz w:val="22"/>
          <w:szCs w:val="22"/>
        </w:rPr>
      </w:pPr>
      <w:r w:rsidRPr="008572C5">
        <w:rPr>
          <w:rFonts w:ascii="Tahoma" w:hAnsi="Tahoma" w:cs="Tahoma"/>
          <w:sz w:val="22"/>
          <w:szCs w:val="22"/>
        </w:rPr>
        <w:t>Неснижаемый остаток по Вкладу – не предусмотрен;</w:t>
      </w:r>
    </w:p>
    <w:p w14:paraId="0611D59B" w14:textId="77777777" w:rsidR="00EA2CBD" w:rsidRDefault="00EA2CBD" w:rsidP="00EA2CBD">
      <w:pPr>
        <w:numPr>
          <w:ilvl w:val="0"/>
          <w:numId w:val="3"/>
        </w:numPr>
        <w:autoSpaceDE w:val="0"/>
        <w:autoSpaceDN w:val="0"/>
        <w:contextualSpacing/>
        <w:jc w:val="both"/>
        <w:rPr>
          <w:rFonts w:ascii="Tahoma" w:hAnsi="Tahoma" w:cs="Tahoma"/>
          <w:sz w:val="22"/>
          <w:szCs w:val="22"/>
        </w:rPr>
      </w:pPr>
      <w:r w:rsidRPr="003825F9">
        <w:rPr>
          <w:rFonts w:ascii="Tahoma" w:hAnsi="Tahoma" w:cs="Tahoma"/>
          <w:sz w:val="22"/>
          <w:szCs w:val="22"/>
        </w:rPr>
        <w:t>Выплата процентов и суммы Вклада – в конце срока на счет, открытый в Банке;</w:t>
      </w:r>
    </w:p>
    <w:p w14:paraId="753C5D2B" w14:textId="77777777" w:rsidR="00EA2CBD" w:rsidRPr="003825F9" w:rsidRDefault="00EA2CBD" w:rsidP="00EA2CBD">
      <w:pPr>
        <w:pStyle w:val="affe"/>
        <w:numPr>
          <w:ilvl w:val="0"/>
          <w:numId w:val="3"/>
        </w:numPr>
        <w:autoSpaceDE w:val="0"/>
        <w:autoSpaceDN w:val="0"/>
        <w:adjustRightInd w:val="0"/>
        <w:jc w:val="both"/>
        <w:rPr>
          <w:rFonts w:ascii="Tahoma" w:hAnsi="Tahoma" w:cs="Tahoma"/>
          <w:sz w:val="22"/>
          <w:szCs w:val="22"/>
        </w:rPr>
      </w:pPr>
      <w:r w:rsidRPr="003825F9">
        <w:rPr>
          <w:rFonts w:ascii="Tahoma" w:hAnsi="Tahoma" w:cs="Tahoma"/>
          <w:sz w:val="22"/>
          <w:szCs w:val="22"/>
        </w:rPr>
        <w:t>В случае досрочного возвращения Вклада в течение срока хранения Вклада по требованию Вкладчика проценты по Вкладу начисляются Вкладчику по ставке 0,01% годовых за весь срок хранения Вклада, начиная со дня, следующего за днем поступления денежных средств (Вклада) в Банк, и выплачиваются в день востребования суммы Вклада.</w:t>
      </w:r>
    </w:p>
    <w:p w14:paraId="27CF2DDD" w14:textId="77777777" w:rsidR="00EA2CBD" w:rsidRPr="008572C5" w:rsidRDefault="00EA2CBD" w:rsidP="00EA2CBD">
      <w:pPr>
        <w:ind w:left="360"/>
        <w:jc w:val="both"/>
        <w:rPr>
          <w:rFonts w:ascii="Tahoma" w:hAnsi="Tahoma" w:cs="Tahoma"/>
          <w:sz w:val="22"/>
          <w:szCs w:val="22"/>
        </w:rPr>
      </w:pPr>
    </w:p>
    <w:tbl>
      <w:tblPr>
        <w:tblW w:w="15901" w:type="dxa"/>
        <w:tblInd w:w="-176" w:type="dxa"/>
        <w:tblLayout w:type="fixed"/>
        <w:tblLook w:val="04A0" w:firstRow="1" w:lastRow="0" w:firstColumn="1" w:lastColumn="0" w:noHBand="0" w:noVBand="1"/>
      </w:tblPr>
      <w:tblGrid>
        <w:gridCol w:w="1560"/>
        <w:gridCol w:w="1559"/>
        <w:gridCol w:w="1276"/>
        <w:gridCol w:w="1418"/>
        <w:gridCol w:w="992"/>
        <w:gridCol w:w="992"/>
        <w:gridCol w:w="1134"/>
        <w:gridCol w:w="1134"/>
        <w:gridCol w:w="1134"/>
        <w:gridCol w:w="1134"/>
        <w:gridCol w:w="1276"/>
        <w:gridCol w:w="1276"/>
        <w:gridCol w:w="1016"/>
      </w:tblGrid>
      <w:tr w:rsidR="00EA2CBD" w:rsidRPr="008572C5" w14:paraId="15F8D645" w14:textId="77777777" w:rsidTr="009D1253">
        <w:trPr>
          <w:trHeight w:val="301"/>
        </w:trPr>
        <w:tc>
          <w:tcPr>
            <w:tcW w:w="1560" w:type="dxa"/>
            <w:vMerge w:val="restart"/>
            <w:tcBorders>
              <w:top w:val="single" w:sz="8" w:space="0" w:color="auto"/>
              <w:left w:val="single" w:sz="8" w:space="0" w:color="auto"/>
              <w:bottom w:val="single" w:sz="8" w:space="0" w:color="000000"/>
              <w:right w:val="nil"/>
            </w:tcBorders>
            <w:shd w:val="clear" w:color="auto" w:fill="auto"/>
            <w:vAlign w:val="center"/>
            <w:hideMark/>
          </w:tcPr>
          <w:p w14:paraId="521F38D9" w14:textId="77777777" w:rsidR="00EA2CBD" w:rsidRPr="008572C5" w:rsidRDefault="00EA2CBD" w:rsidP="009D1253">
            <w:pPr>
              <w:tabs>
                <w:tab w:val="left" w:pos="458"/>
              </w:tabs>
              <w:jc w:val="center"/>
              <w:rPr>
                <w:rFonts w:ascii="Tahoma" w:hAnsi="Tahoma" w:cs="Tahoma"/>
                <w:b/>
                <w:bCs/>
                <w:iCs/>
                <w:color w:val="000000" w:themeColor="text1"/>
                <w:sz w:val="20"/>
                <w:szCs w:val="20"/>
              </w:rPr>
            </w:pPr>
            <w:r w:rsidRPr="008572C5">
              <w:rPr>
                <w:rFonts w:ascii="Tahoma" w:hAnsi="Tahoma" w:cs="Tahoma"/>
                <w:b/>
                <w:bCs/>
                <w:iCs/>
                <w:color w:val="000000" w:themeColor="text1"/>
                <w:sz w:val="20"/>
                <w:szCs w:val="20"/>
              </w:rPr>
              <w:t>Ориентировочный сегмент</w:t>
            </w:r>
          </w:p>
        </w:tc>
        <w:tc>
          <w:tcPr>
            <w:tcW w:w="1559"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12D4B434" w14:textId="77777777" w:rsidR="00EA2CBD" w:rsidRPr="008572C5" w:rsidRDefault="00EA2CBD" w:rsidP="009D1253">
            <w:pPr>
              <w:jc w:val="center"/>
              <w:rPr>
                <w:rFonts w:ascii="Tahoma" w:hAnsi="Tahoma" w:cs="Tahoma"/>
                <w:b/>
                <w:bCs/>
                <w:iCs/>
                <w:color w:val="000000" w:themeColor="text1"/>
                <w:sz w:val="20"/>
                <w:szCs w:val="20"/>
              </w:rPr>
            </w:pPr>
            <w:r w:rsidRPr="008572C5">
              <w:rPr>
                <w:rFonts w:ascii="Tahoma" w:hAnsi="Tahoma" w:cs="Tahoma"/>
                <w:b/>
                <w:bCs/>
                <w:iCs/>
                <w:color w:val="000000" w:themeColor="text1"/>
                <w:sz w:val="20"/>
                <w:szCs w:val="20"/>
              </w:rPr>
              <w:t>Продукт</w:t>
            </w:r>
          </w:p>
        </w:tc>
        <w:tc>
          <w:tcPr>
            <w:tcW w:w="2694" w:type="dxa"/>
            <w:gridSpan w:val="2"/>
            <w:tcBorders>
              <w:top w:val="single" w:sz="8" w:space="0" w:color="auto"/>
              <w:left w:val="nil"/>
              <w:bottom w:val="single" w:sz="4" w:space="0" w:color="auto"/>
              <w:right w:val="single" w:sz="4" w:space="0" w:color="auto"/>
            </w:tcBorders>
            <w:shd w:val="clear" w:color="auto" w:fill="auto"/>
            <w:noWrap/>
            <w:vAlign w:val="center"/>
            <w:hideMark/>
          </w:tcPr>
          <w:p w14:paraId="0511DA6E" w14:textId="77777777" w:rsidR="00EA2CBD" w:rsidRPr="008572C5" w:rsidRDefault="00EA2CBD" w:rsidP="009D1253">
            <w:pPr>
              <w:jc w:val="center"/>
              <w:rPr>
                <w:rFonts w:ascii="Tahoma" w:hAnsi="Tahoma" w:cs="Tahoma"/>
                <w:b/>
                <w:bCs/>
                <w:iCs/>
                <w:color w:val="000000" w:themeColor="text1"/>
                <w:sz w:val="20"/>
                <w:szCs w:val="20"/>
              </w:rPr>
            </w:pPr>
            <w:r w:rsidRPr="008572C5">
              <w:rPr>
                <w:rFonts w:ascii="Tahoma" w:hAnsi="Tahoma" w:cs="Tahoma"/>
                <w:b/>
                <w:bCs/>
                <w:iCs/>
                <w:color w:val="000000" w:themeColor="text1"/>
                <w:sz w:val="20"/>
                <w:szCs w:val="20"/>
              </w:rPr>
              <w:t xml:space="preserve">Базовые параметры </w:t>
            </w:r>
            <w:r>
              <w:rPr>
                <w:rFonts w:ascii="Tahoma" w:hAnsi="Tahoma" w:cs="Tahoma"/>
                <w:b/>
                <w:bCs/>
                <w:iCs/>
                <w:color w:val="000000" w:themeColor="text1"/>
                <w:sz w:val="20"/>
                <w:szCs w:val="20"/>
              </w:rPr>
              <w:t>В</w:t>
            </w:r>
            <w:r w:rsidRPr="008572C5">
              <w:rPr>
                <w:rFonts w:ascii="Tahoma" w:hAnsi="Tahoma" w:cs="Tahoma"/>
                <w:b/>
                <w:bCs/>
                <w:iCs/>
                <w:color w:val="000000" w:themeColor="text1"/>
                <w:sz w:val="20"/>
                <w:szCs w:val="20"/>
              </w:rPr>
              <w:t>клада</w:t>
            </w:r>
          </w:p>
        </w:tc>
        <w:tc>
          <w:tcPr>
            <w:tcW w:w="10088" w:type="dxa"/>
            <w:gridSpan w:val="9"/>
            <w:tcBorders>
              <w:top w:val="single" w:sz="4" w:space="0" w:color="auto"/>
              <w:left w:val="nil"/>
              <w:bottom w:val="single" w:sz="4" w:space="0" w:color="auto"/>
              <w:right w:val="single" w:sz="4" w:space="0" w:color="auto"/>
            </w:tcBorders>
            <w:vAlign w:val="center"/>
          </w:tcPr>
          <w:p w14:paraId="18F54F88" w14:textId="77777777" w:rsidR="00EA2CBD" w:rsidRPr="008572C5" w:rsidRDefault="00EA2CBD" w:rsidP="009D1253">
            <w:pPr>
              <w:jc w:val="center"/>
              <w:rPr>
                <w:rFonts w:ascii="Tahoma" w:hAnsi="Tahoma" w:cs="Tahoma"/>
                <w:b/>
                <w:bCs/>
                <w:iCs/>
                <w:sz w:val="20"/>
                <w:szCs w:val="20"/>
              </w:rPr>
            </w:pPr>
            <w:r w:rsidRPr="008572C5">
              <w:rPr>
                <w:rFonts w:ascii="Tahoma" w:hAnsi="Tahoma" w:cs="Tahoma"/>
                <w:b/>
                <w:bCs/>
                <w:iCs/>
                <w:sz w:val="20"/>
                <w:szCs w:val="20"/>
              </w:rPr>
              <w:t>Процентные ставки***</w:t>
            </w:r>
            <w:r>
              <w:rPr>
                <w:rFonts w:ascii="Tahoma" w:hAnsi="Tahoma" w:cs="Tahoma"/>
                <w:b/>
                <w:bCs/>
                <w:iCs/>
                <w:sz w:val="20"/>
                <w:szCs w:val="20"/>
              </w:rPr>
              <w:t>*</w:t>
            </w:r>
            <w:r w:rsidRPr="008572C5">
              <w:rPr>
                <w:rFonts w:ascii="Tahoma" w:hAnsi="Tahoma" w:cs="Tahoma"/>
                <w:b/>
                <w:bCs/>
                <w:iCs/>
                <w:sz w:val="20"/>
                <w:szCs w:val="20"/>
              </w:rPr>
              <w:t xml:space="preserve"> </w:t>
            </w:r>
            <w:r w:rsidRPr="008572C5">
              <w:rPr>
                <w:rFonts w:ascii="Tahoma" w:hAnsi="Tahoma" w:cs="Tahoma"/>
                <w:b/>
                <w:bCs/>
                <w:iCs/>
                <w:color w:val="000000" w:themeColor="text1"/>
                <w:sz w:val="20"/>
                <w:szCs w:val="20"/>
              </w:rPr>
              <w:t xml:space="preserve">(% годовых) в зависимости от срока </w:t>
            </w:r>
            <w:r>
              <w:rPr>
                <w:rFonts w:ascii="Tahoma" w:hAnsi="Tahoma" w:cs="Tahoma"/>
                <w:b/>
                <w:bCs/>
                <w:iCs/>
                <w:color w:val="000000" w:themeColor="text1"/>
                <w:sz w:val="20"/>
                <w:szCs w:val="20"/>
              </w:rPr>
              <w:t>В</w:t>
            </w:r>
            <w:r w:rsidRPr="008572C5">
              <w:rPr>
                <w:rFonts w:ascii="Tahoma" w:hAnsi="Tahoma" w:cs="Tahoma"/>
                <w:b/>
                <w:bCs/>
                <w:iCs/>
                <w:color w:val="000000" w:themeColor="text1"/>
                <w:sz w:val="20"/>
                <w:szCs w:val="20"/>
              </w:rPr>
              <w:t>клада</w:t>
            </w:r>
          </w:p>
        </w:tc>
      </w:tr>
      <w:tr w:rsidR="00EA2CBD" w:rsidRPr="008572C5" w14:paraId="17D21304" w14:textId="77777777" w:rsidTr="009D1253">
        <w:trPr>
          <w:trHeight w:val="301"/>
        </w:trPr>
        <w:tc>
          <w:tcPr>
            <w:tcW w:w="1560" w:type="dxa"/>
            <w:vMerge/>
            <w:tcBorders>
              <w:top w:val="single" w:sz="8" w:space="0" w:color="auto"/>
              <w:left w:val="single" w:sz="8" w:space="0" w:color="auto"/>
              <w:bottom w:val="single" w:sz="8" w:space="0" w:color="000000"/>
              <w:right w:val="nil"/>
            </w:tcBorders>
            <w:vAlign w:val="center"/>
            <w:hideMark/>
          </w:tcPr>
          <w:p w14:paraId="0640E1F2" w14:textId="77777777" w:rsidR="00EA2CBD" w:rsidRPr="008572C5" w:rsidRDefault="00EA2CBD" w:rsidP="009D1253">
            <w:pPr>
              <w:tabs>
                <w:tab w:val="left" w:pos="458"/>
              </w:tabs>
              <w:rPr>
                <w:rFonts w:ascii="Tahoma" w:hAnsi="Tahoma" w:cs="Tahoma"/>
                <w:b/>
                <w:bCs/>
                <w:iCs/>
                <w:color w:val="000000" w:themeColor="text1"/>
                <w:sz w:val="20"/>
                <w:szCs w:val="20"/>
              </w:rPr>
            </w:pPr>
          </w:p>
        </w:tc>
        <w:tc>
          <w:tcPr>
            <w:tcW w:w="1559" w:type="dxa"/>
            <w:vMerge/>
            <w:tcBorders>
              <w:top w:val="single" w:sz="8" w:space="0" w:color="auto"/>
              <w:left w:val="single" w:sz="8" w:space="0" w:color="auto"/>
              <w:bottom w:val="single" w:sz="8" w:space="0" w:color="000000"/>
              <w:right w:val="single" w:sz="4" w:space="0" w:color="auto"/>
            </w:tcBorders>
            <w:vAlign w:val="center"/>
            <w:hideMark/>
          </w:tcPr>
          <w:p w14:paraId="0228C255" w14:textId="77777777" w:rsidR="00EA2CBD" w:rsidRPr="008572C5" w:rsidRDefault="00EA2CBD" w:rsidP="009D1253">
            <w:pPr>
              <w:rPr>
                <w:rFonts w:ascii="Tahoma" w:hAnsi="Tahoma" w:cs="Tahoma"/>
                <w:b/>
                <w:bCs/>
                <w:iCs/>
                <w:color w:val="000000" w:themeColor="text1"/>
                <w:sz w:val="20"/>
                <w:szCs w:val="20"/>
              </w:rPr>
            </w:pPr>
          </w:p>
        </w:tc>
        <w:tc>
          <w:tcPr>
            <w:tcW w:w="1276" w:type="dxa"/>
            <w:tcBorders>
              <w:top w:val="nil"/>
              <w:left w:val="nil"/>
              <w:bottom w:val="single" w:sz="8" w:space="0" w:color="auto"/>
              <w:right w:val="single" w:sz="4" w:space="0" w:color="auto"/>
            </w:tcBorders>
            <w:shd w:val="clear" w:color="auto" w:fill="auto"/>
            <w:noWrap/>
            <w:vAlign w:val="center"/>
            <w:hideMark/>
          </w:tcPr>
          <w:p w14:paraId="70B3D9F1" w14:textId="77777777" w:rsidR="00EA2CBD" w:rsidRPr="008572C5" w:rsidRDefault="00EA2CBD" w:rsidP="009D1253">
            <w:pPr>
              <w:jc w:val="center"/>
              <w:rPr>
                <w:rFonts w:ascii="Tahoma" w:hAnsi="Tahoma" w:cs="Tahoma"/>
                <w:b/>
                <w:bCs/>
                <w:iCs/>
                <w:color w:val="000000" w:themeColor="text1"/>
                <w:sz w:val="20"/>
                <w:szCs w:val="20"/>
              </w:rPr>
            </w:pPr>
            <w:r w:rsidRPr="008572C5">
              <w:rPr>
                <w:rFonts w:ascii="Tahoma" w:hAnsi="Tahoma" w:cs="Tahoma"/>
                <w:b/>
                <w:bCs/>
                <w:iCs/>
                <w:color w:val="000000" w:themeColor="text1"/>
                <w:sz w:val="20"/>
                <w:szCs w:val="20"/>
              </w:rPr>
              <w:t xml:space="preserve">Валюта </w:t>
            </w:r>
            <w:r>
              <w:rPr>
                <w:rFonts w:ascii="Tahoma" w:hAnsi="Tahoma" w:cs="Tahoma"/>
                <w:b/>
                <w:bCs/>
                <w:iCs/>
                <w:color w:val="000000" w:themeColor="text1"/>
                <w:sz w:val="20"/>
                <w:szCs w:val="20"/>
              </w:rPr>
              <w:t>В</w:t>
            </w:r>
            <w:r w:rsidRPr="008572C5">
              <w:rPr>
                <w:rFonts w:ascii="Tahoma" w:hAnsi="Tahoma" w:cs="Tahoma"/>
                <w:b/>
                <w:bCs/>
                <w:iCs/>
                <w:color w:val="000000" w:themeColor="text1"/>
                <w:sz w:val="20"/>
                <w:szCs w:val="20"/>
              </w:rPr>
              <w:t>клада</w:t>
            </w:r>
          </w:p>
        </w:tc>
        <w:tc>
          <w:tcPr>
            <w:tcW w:w="1418" w:type="dxa"/>
            <w:tcBorders>
              <w:top w:val="nil"/>
              <w:left w:val="nil"/>
              <w:bottom w:val="single" w:sz="8" w:space="0" w:color="auto"/>
              <w:right w:val="single" w:sz="4" w:space="0" w:color="auto"/>
            </w:tcBorders>
            <w:shd w:val="clear" w:color="auto" w:fill="auto"/>
            <w:noWrap/>
            <w:vAlign w:val="center"/>
            <w:hideMark/>
          </w:tcPr>
          <w:p w14:paraId="3EBCF30E" w14:textId="77777777" w:rsidR="00EA2CBD" w:rsidRPr="008572C5" w:rsidRDefault="00EA2CBD" w:rsidP="009D1253">
            <w:pPr>
              <w:jc w:val="center"/>
              <w:rPr>
                <w:rFonts w:ascii="Tahoma" w:hAnsi="Tahoma" w:cs="Tahoma"/>
                <w:b/>
                <w:bCs/>
                <w:iCs/>
                <w:color w:val="000000" w:themeColor="text1"/>
                <w:sz w:val="20"/>
                <w:szCs w:val="20"/>
              </w:rPr>
            </w:pPr>
            <w:r w:rsidRPr="008572C5">
              <w:rPr>
                <w:rFonts w:ascii="Tahoma" w:hAnsi="Tahoma" w:cs="Tahoma"/>
                <w:b/>
                <w:bCs/>
                <w:iCs/>
                <w:color w:val="000000" w:themeColor="text1"/>
                <w:sz w:val="20"/>
                <w:szCs w:val="20"/>
              </w:rPr>
              <w:t xml:space="preserve">Минимальная сумма </w:t>
            </w:r>
            <w:r>
              <w:rPr>
                <w:rFonts w:ascii="Tahoma" w:hAnsi="Tahoma" w:cs="Tahoma"/>
                <w:b/>
                <w:bCs/>
                <w:iCs/>
                <w:color w:val="000000" w:themeColor="text1"/>
                <w:sz w:val="20"/>
                <w:szCs w:val="20"/>
              </w:rPr>
              <w:t>В</w:t>
            </w:r>
            <w:r w:rsidRPr="008572C5">
              <w:rPr>
                <w:rFonts w:ascii="Tahoma" w:hAnsi="Tahoma" w:cs="Tahoma"/>
                <w:b/>
                <w:bCs/>
                <w:iCs/>
                <w:color w:val="000000" w:themeColor="text1"/>
                <w:sz w:val="20"/>
                <w:szCs w:val="20"/>
              </w:rPr>
              <w:t xml:space="preserve">клада </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71C53E45" w14:textId="77777777" w:rsidR="00EA2CBD" w:rsidRPr="008572C5" w:rsidRDefault="00EA2CBD" w:rsidP="009D1253">
            <w:pPr>
              <w:jc w:val="center"/>
              <w:rPr>
                <w:rFonts w:ascii="Tahoma" w:hAnsi="Tahoma" w:cs="Tahoma"/>
                <w:b/>
                <w:bCs/>
                <w:iCs/>
                <w:color w:val="000000" w:themeColor="text1"/>
                <w:sz w:val="20"/>
                <w:szCs w:val="20"/>
              </w:rPr>
            </w:pPr>
            <w:r>
              <w:rPr>
                <w:rFonts w:ascii="Tahoma" w:hAnsi="Tahoma" w:cs="Tahoma"/>
                <w:b/>
                <w:bCs/>
                <w:iCs/>
                <w:color w:val="000000" w:themeColor="text1"/>
                <w:sz w:val="20"/>
                <w:szCs w:val="20"/>
              </w:rPr>
              <w:t>6</w:t>
            </w:r>
            <w:r w:rsidRPr="008572C5">
              <w:rPr>
                <w:rFonts w:ascii="Tahoma" w:hAnsi="Tahoma" w:cs="Tahoma"/>
                <w:b/>
                <w:bCs/>
                <w:iCs/>
                <w:color w:val="000000" w:themeColor="text1"/>
                <w:sz w:val="20"/>
                <w:szCs w:val="20"/>
              </w:rPr>
              <w:t>2 дня</w:t>
            </w:r>
          </w:p>
        </w:tc>
        <w:tc>
          <w:tcPr>
            <w:tcW w:w="992" w:type="dxa"/>
            <w:tcBorders>
              <w:top w:val="nil"/>
              <w:left w:val="single" w:sz="4" w:space="0" w:color="auto"/>
              <w:bottom w:val="single" w:sz="8" w:space="0" w:color="auto"/>
              <w:right w:val="single" w:sz="4" w:space="0" w:color="auto"/>
            </w:tcBorders>
            <w:vAlign w:val="center"/>
          </w:tcPr>
          <w:p w14:paraId="36F2C345" w14:textId="77777777" w:rsidR="00EA2CBD" w:rsidRPr="008572C5" w:rsidRDefault="00EA2CBD" w:rsidP="009D1253">
            <w:pPr>
              <w:jc w:val="center"/>
              <w:rPr>
                <w:rFonts w:ascii="Tahoma" w:hAnsi="Tahoma" w:cs="Tahoma"/>
                <w:b/>
                <w:bCs/>
                <w:iCs/>
                <w:color w:val="000000" w:themeColor="text1"/>
                <w:sz w:val="20"/>
                <w:szCs w:val="20"/>
              </w:rPr>
            </w:pPr>
            <w:r w:rsidRPr="008572C5">
              <w:rPr>
                <w:rFonts w:ascii="Tahoma" w:hAnsi="Tahoma" w:cs="Tahoma"/>
                <w:b/>
                <w:bCs/>
                <w:iCs/>
                <w:color w:val="000000" w:themeColor="text1"/>
                <w:sz w:val="20"/>
                <w:szCs w:val="20"/>
              </w:rPr>
              <w:t>92 дня</w:t>
            </w:r>
          </w:p>
        </w:tc>
        <w:tc>
          <w:tcPr>
            <w:tcW w:w="1134" w:type="dxa"/>
            <w:tcBorders>
              <w:top w:val="nil"/>
              <w:left w:val="single" w:sz="4" w:space="0" w:color="auto"/>
              <w:bottom w:val="single" w:sz="8" w:space="0" w:color="auto"/>
              <w:right w:val="single" w:sz="4" w:space="0" w:color="auto"/>
            </w:tcBorders>
            <w:shd w:val="clear" w:color="auto" w:fill="auto"/>
            <w:noWrap/>
            <w:vAlign w:val="center"/>
            <w:hideMark/>
          </w:tcPr>
          <w:p w14:paraId="1A39FE9E" w14:textId="77777777" w:rsidR="00EA2CBD" w:rsidRPr="008572C5" w:rsidRDefault="00EA2CBD" w:rsidP="009D1253">
            <w:pPr>
              <w:jc w:val="center"/>
              <w:rPr>
                <w:rFonts w:ascii="Tahoma" w:hAnsi="Tahoma" w:cs="Tahoma"/>
                <w:b/>
                <w:bCs/>
                <w:iCs/>
                <w:color w:val="000000" w:themeColor="text1"/>
                <w:sz w:val="20"/>
                <w:szCs w:val="20"/>
              </w:rPr>
            </w:pPr>
            <w:r w:rsidRPr="008572C5">
              <w:rPr>
                <w:rFonts w:ascii="Tahoma" w:hAnsi="Tahoma" w:cs="Tahoma"/>
                <w:b/>
                <w:bCs/>
                <w:iCs/>
                <w:color w:val="000000" w:themeColor="text1"/>
                <w:sz w:val="20"/>
                <w:szCs w:val="20"/>
              </w:rPr>
              <w:t>122 дня</w:t>
            </w:r>
          </w:p>
        </w:tc>
        <w:tc>
          <w:tcPr>
            <w:tcW w:w="1134" w:type="dxa"/>
            <w:tcBorders>
              <w:top w:val="nil"/>
              <w:left w:val="single" w:sz="4" w:space="0" w:color="auto"/>
              <w:bottom w:val="single" w:sz="8" w:space="0" w:color="auto"/>
              <w:right w:val="single" w:sz="4" w:space="0" w:color="auto"/>
            </w:tcBorders>
            <w:shd w:val="clear" w:color="auto" w:fill="auto"/>
            <w:vAlign w:val="center"/>
          </w:tcPr>
          <w:p w14:paraId="3DE9B0FD" w14:textId="77777777" w:rsidR="00EA2CBD" w:rsidRPr="008572C5" w:rsidRDefault="00EA2CBD" w:rsidP="009D1253">
            <w:pPr>
              <w:jc w:val="center"/>
              <w:rPr>
                <w:rFonts w:ascii="Tahoma" w:hAnsi="Tahoma" w:cs="Tahoma"/>
                <w:b/>
                <w:bCs/>
                <w:iCs/>
                <w:color w:val="000000" w:themeColor="text1"/>
                <w:sz w:val="20"/>
                <w:szCs w:val="20"/>
              </w:rPr>
            </w:pPr>
            <w:r w:rsidRPr="008572C5">
              <w:rPr>
                <w:rFonts w:ascii="Tahoma" w:hAnsi="Tahoma" w:cs="Tahoma"/>
                <w:b/>
                <w:bCs/>
                <w:iCs/>
                <w:color w:val="000000" w:themeColor="text1"/>
                <w:sz w:val="20"/>
                <w:szCs w:val="20"/>
              </w:rPr>
              <w:t>182 дня</w:t>
            </w:r>
          </w:p>
        </w:tc>
        <w:tc>
          <w:tcPr>
            <w:tcW w:w="1134" w:type="dxa"/>
            <w:tcBorders>
              <w:top w:val="nil"/>
              <w:left w:val="single" w:sz="4" w:space="0" w:color="auto"/>
              <w:bottom w:val="single" w:sz="8" w:space="0" w:color="auto"/>
              <w:right w:val="single" w:sz="4" w:space="0" w:color="auto"/>
            </w:tcBorders>
            <w:shd w:val="clear" w:color="auto" w:fill="auto"/>
            <w:vAlign w:val="center"/>
          </w:tcPr>
          <w:p w14:paraId="4937BF96" w14:textId="77777777" w:rsidR="00EA2CBD" w:rsidRPr="008572C5" w:rsidRDefault="00EA2CBD" w:rsidP="009D1253">
            <w:pPr>
              <w:jc w:val="center"/>
              <w:rPr>
                <w:rFonts w:ascii="Tahoma" w:hAnsi="Tahoma" w:cs="Tahoma"/>
                <w:b/>
                <w:bCs/>
                <w:iCs/>
                <w:color w:val="000000" w:themeColor="text1"/>
                <w:sz w:val="20"/>
                <w:szCs w:val="20"/>
              </w:rPr>
            </w:pPr>
            <w:r w:rsidRPr="008572C5">
              <w:rPr>
                <w:rFonts w:ascii="Tahoma" w:hAnsi="Tahoma" w:cs="Tahoma"/>
                <w:b/>
                <w:bCs/>
                <w:iCs/>
                <w:color w:val="000000" w:themeColor="text1"/>
                <w:sz w:val="20"/>
                <w:szCs w:val="20"/>
              </w:rPr>
              <w:t>243 дня</w:t>
            </w:r>
          </w:p>
        </w:tc>
        <w:tc>
          <w:tcPr>
            <w:tcW w:w="1134" w:type="dxa"/>
            <w:tcBorders>
              <w:top w:val="single" w:sz="4" w:space="0" w:color="auto"/>
              <w:left w:val="nil"/>
              <w:bottom w:val="single" w:sz="4" w:space="0" w:color="auto"/>
              <w:right w:val="single" w:sz="4" w:space="0" w:color="auto"/>
            </w:tcBorders>
            <w:vAlign w:val="center"/>
          </w:tcPr>
          <w:p w14:paraId="7ABDC9FC" w14:textId="77777777" w:rsidR="00EA2CBD" w:rsidRPr="008572C5" w:rsidRDefault="00EA2CBD" w:rsidP="009D1253">
            <w:pPr>
              <w:jc w:val="center"/>
              <w:rPr>
                <w:rFonts w:ascii="Tahoma" w:hAnsi="Tahoma" w:cs="Tahoma"/>
                <w:b/>
                <w:bCs/>
                <w:iCs/>
                <w:sz w:val="20"/>
                <w:szCs w:val="20"/>
              </w:rPr>
            </w:pPr>
            <w:r w:rsidRPr="008572C5">
              <w:rPr>
                <w:rFonts w:ascii="Tahoma" w:hAnsi="Tahoma" w:cs="Tahoma"/>
                <w:b/>
                <w:bCs/>
                <w:iCs/>
                <w:sz w:val="20"/>
                <w:szCs w:val="20"/>
              </w:rPr>
              <w:t>273 дня</w:t>
            </w:r>
          </w:p>
        </w:tc>
        <w:tc>
          <w:tcPr>
            <w:tcW w:w="1276" w:type="dxa"/>
            <w:tcBorders>
              <w:top w:val="nil"/>
              <w:left w:val="single" w:sz="4" w:space="0" w:color="auto"/>
              <w:bottom w:val="single" w:sz="8" w:space="0" w:color="auto"/>
              <w:right w:val="single" w:sz="4" w:space="0" w:color="auto"/>
            </w:tcBorders>
            <w:shd w:val="clear" w:color="auto" w:fill="auto"/>
            <w:noWrap/>
            <w:vAlign w:val="center"/>
            <w:hideMark/>
          </w:tcPr>
          <w:p w14:paraId="5DFAC959" w14:textId="77777777" w:rsidR="00EA2CBD" w:rsidRPr="008572C5" w:rsidRDefault="00EA2CBD" w:rsidP="009D1253">
            <w:pPr>
              <w:jc w:val="center"/>
              <w:rPr>
                <w:rFonts w:ascii="Tahoma" w:hAnsi="Tahoma" w:cs="Tahoma"/>
                <w:b/>
                <w:bCs/>
                <w:iCs/>
                <w:sz w:val="20"/>
                <w:szCs w:val="20"/>
              </w:rPr>
            </w:pPr>
            <w:r w:rsidRPr="008572C5">
              <w:rPr>
                <w:rFonts w:ascii="Tahoma" w:hAnsi="Tahoma" w:cs="Tahoma"/>
                <w:b/>
                <w:bCs/>
                <w:iCs/>
                <w:color w:val="000000" w:themeColor="text1"/>
                <w:sz w:val="20"/>
                <w:szCs w:val="20"/>
              </w:rPr>
              <w:t>367 дней</w:t>
            </w:r>
          </w:p>
        </w:tc>
        <w:tc>
          <w:tcPr>
            <w:tcW w:w="1276" w:type="dxa"/>
            <w:tcBorders>
              <w:top w:val="nil"/>
              <w:left w:val="nil"/>
              <w:bottom w:val="single" w:sz="8" w:space="0" w:color="auto"/>
              <w:right w:val="single" w:sz="4" w:space="0" w:color="auto"/>
            </w:tcBorders>
            <w:vAlign w:val="center"/>
          </w:tcPr>
          <w:p w14:paraId="790B3E76" w14:textId="77777777" w:rsidR="00EA2CBD" w:rsidRPr="008572C5" w:rsidRDefault="00EA2CBD" w:rsidP="009D1253">
            <w:pPr>
              <w:jc w:val="center"/>
              <w:rPr>
                <w:rFonts w:ascii="Tahoma" w:hAnsi="Tahoma" w:cs="Tahoma"/>
                <w:b/>
                <w:bCs/>
                <w:iCs/>
                <w:color w:val="000000" w:themeColor="text1"/>
                <w:sz w:val="20"/>
                <w:szCs w:val="20"/>
              </w:rPr>
            </w:pPr>
            <w:r w:rsidRPr="008572C5">
              <w:rPr>
                <w:rFonts w:ascii="Tahoma" w:hAnsi="Tahoma" w:cs="Tahoma"/>
                <w:b/>
                <w:bCs/>
                <w:iCs/>
                <w:color w:val="000000" w:themeColor="text1"/>
                <w:sz w:val="20"/>
                <w:szCs w:val="20"/>
              </w:rPr>
              <w:t>731 день</w:t>
            </w:r>
          </w:p>
        </w:tc>
        <w:tc>
          <w:tcPr>
            <w:tcW w:w="1016" w:type="dxa"/>
            <w:tcBorders>
              <w:top w:val="nil"/>
              <w:left w:val="nil"/>
              <w:bottom w:val="single" w:sz="8" w:space="0" w:color="auto"/>
              <w:right w:val="single" w:sz="4" w:space="0" w:color="auto"/>
            </w:tcBorders>
            <w:vAlign w:val="center"/>
          </w:tcPr>
          <w:p w14:paraId="3F681A9F" w14:textId="77777777" w:rsidR="00EA2CBD" w:rsidRPr="008572C5" w:rsidRDefault="00EA2CBD" w:rsidP="009D1253">
            <w:pPr>
              <w:jc w:val="center"/>
              <w:rPr>
                <w:rFonts w:ascii="Tahoma" w:hAnsi="Tahoma" w:cs="Tahoma"/>
                <w:b/>
                <w:bCs/>
                <w:iCs/>
                <w:color w:val="000000" w:themeColor="text1"/>
                <w:sz w:val="20"/>
                <w:szCs w:val="20"/>
              </w:rPr>
            </w:pPr>
            <w:r w:rsidRPr="008572C5">
              <w:rPr>
                <w:rFonts w:ascii="Tahoma" w:hAnsi="Tahoma" w:cs="Tahoma"/>
                <w:b/>
                <w:bCs/>
                <w:iCs/>
                <w:color w:val="000000" w:themeColor="text1"/>
                <w:sz w:val="20"/>
                <w:szCs w:val="20"/>
              </w:rPr>
              <w:t>1098 дней</w:t>
            </w:r>
          </w:p>
        </w:tc>
      </w:tr>
      <w:tr w:rsidR="00EA2CBD" w:rsidRPr="008572C5" w14:paraId="39422908" w14:textId="77777777" w:rsidTr="009D1253">
        <w:trPr>
          <w:trHeight w:val="55"/>
        </w:trPr>
        <w:tc>
          <w:tcPr>
            <w:tcW w:w="1560" w:type="dxa"/>
            <w:vMerge w:val="restart"/>
            <w:tcBorders>
              <w:top w:val="nil"/>
              <w:left w:val="single" w:sz="8" w:space="0" w:color="auto"/>
              <w:right w:val="nil"/>
            </w:tcBorders>
            <w:shd w:val="clear" w:color="auto" w:fill="auto"/>
            <w:vAlign w:val="center"/>
            <w:hideMark/>
          </w:tcPr>
          <w:p w14:paraId="71303E57" w14:textId="77777777" w:rsidR="00EA2CBD" w:rsidRPr="008572C5" w:rsidRDefault="00EA2CBD" w:rsidP="009D1253">
            <w:pPr>
              <w:tabs>
                <w:tab w:val="left" w:pos="458"/>
              </w:tabs>
              <w:jc w:val="center"/>
              <w:rPr>
                <w:rFonts w:ascii="Tahoma" w:hAnsi="Tahoma" w:cs="Tahoma"/>
                <w:bCs/>
                <w:iCs/>
                <w:color w:val="000000" w:themeColor="text1"/>
                <w:sz w:val="20"/>
                <w:szCs w:val="20"/>
              </w:rPr>
            </w:pPr>
            <w:r w:rsidRPr="008572C5">
              <w:rPr>
                <w:rFonts w:ascii="Tahoma" w:hAnsi="Tahoma" w:cs="Tahoma"/>
                <w:bCs/>
                <w:iCs/>
                <w:color w:val="000000" w:themeColor="text1"/>
                <w:sz w:val="20"/>
                <w:szCs w:val="20"/>
              </w:rPr>
              <w:t>Все категории клиентов</w:t>
            </w:r>
          </w:p>
        </w:tc>
        <w:tc>
          <w:tcPr>
            <w:tcW w:w="1559" w:type="dxa"/>
            <w:vMerge w:val="restart"/>
            <w:tcBorders>
              <w:top w:val="nil"/>
              <w:left w:val="single" w:sz="8" w:space="0" w:color="auto"/>
              <w:right w:val="single" w:sz="4" w:space="0" w:color="auto"/>
            </w:tcBorders>
            <w:shd w:val="clear" w:color="000000" w:fill="FFC000"/>
            <w:vAlign w:val="center"/>
            <w:hideMark/>
          </w:tcPr>
          <w:p w14:paraId="62D49128" w14:textId="77777777" w:rsidR="00EA2CBD" w:rsidRPr="008572C5" w:rsidRDefault="00EA2CBD" w:rsidP="009D1253">
            <w:pPr>
              <w:jc w:val="center"/>
              <w:rPr>
                <w:rFonts w:ascii="Tahoma" w:hAnsi="Tahoma" w:cs="Tahoma"/>
                <w:bCs/>
                <w:iCs/>
                <w:color w:val="000000" w:themeColor="text1"/>
                <w:sz w:val="20"/>
                <w:szCs w:val="20"/>
              </w:rPr>
            </w:pPr>
            <w:r w:rsidRPr="008572C5">
              <w:rPr>
                <w:rFonts w:ascii="Tahoma" w:hAnsi="Tahoma" w:cs="Tahoma"/>
                <w:bCs/>
                <w:iCs/>
                <w:color w:val="000000" w:themeColor="text1"/>
                <w:sz w:val="20"/>
                <w:szCs w:val="20"/>
              </w:rPr>
              <w:t xml:space="preserve">АТБ. Вклад </w:t>
            </w:r>
          </w:p>
          <w:p w14:paraId="0FD1879F" w14:textId="77777777" w:rsidR="00EA2CBD" w:rsidRPr="008572C5" w:rsidRDefault="00EA2CBD" w:rsidP="009D1253">
            <w:pPr>
              <w:jc w:val="center"/>
              <w:rPr>
                <w:rFonts w:ascii="Tahoma" w:hAnsi="Tahoma" w:cs="Tahoma"/>
                <w:bCs/>
                <w:iCs/>
                <w:color w:val="000000" w:themeColor="text1"/>
                <w:sz w:val="20"/>
                <w:szCs w:val="20"/>
              </w:rPr>
            </w:pPr>
            <w:r w:rsidRPr="008572C5">
              <w:rPr>
                <w:rFonts w:ascii="Tahoma" w:hAnsi="Tahoma" w:cs="Tahoma"/>
                <w:bCs/>
                <w:iCs/>
                <w:color w:val="000000" w:themeColor="text1"/>
                <w:sz w:val="20"/>
                <w:szCs w:val="20"/>
              </w:rPr>
              <w:t>(без пополнения и снятия)</w:t>
            </w:r>
          </w:p>
        </w:tc>
        <w:tc>
          <w:tcPr>
            <w:tcW w:w="1276" w:type="dxa"/>
            <w:tcBorders>
              <w:top w:val="nil"/>
              <w:left w:val="nil"/>
              <w:bottom w:val="single" w:sz="4" w:space="0" w:color="auto"/>
              <w:right w:val="single" w:sz="4" w:space="0" w:color="auto"/>
            </w:tcBorders>
            <w:shd w:val="clear" w:color="auto" w:fill="auto"/>
            <w:noWrap/>
            <w:vAlign w:val="center"/>
            <w:hideMark/>
          </w:tcPr>
          <w:p w14:paraId="744C9B4D" w14:textId="77777777" w:rsidR="00EA2CBD" w:rsidRPr="008572C5" w:rsidRDefault="00EA2CBD" w:rsidP="009D1253">
            <w:pPr>
              <w:jc w:val="center"/>
              <w:rPr>
                <w:rFonts w:ascii="Tahoma" w:hAnsi="Tahoma" w:cs="Tahoma"/>
                <w:bCs/>
                <w:iCs/>
                <w:color w:val="000000" w:themeColor="text1"/>
                <w:sz w:val="20"/>
                <w:szCs w:val="20"/>
              </w:rPr>
            </w:pPr>
            <w:r w:rsidRPr="008572C5">
              <w:rPr>
                <w:rFonts w:ascii="Tahoma" w:hAnsi="Tahoma" w:cs="Tahoma"/>
                <w:bCs/>
                <w:iCs/>
                <w:color w:val="000000" w:themeColor="text1"/>
                <w:sz w:val="20"/>
                <w:szCs w:val="20"/>
              </w:rPr>
              <w:t>рубли</w:t>
            </w:r>
          </w:p>
        </w:tc>
        <w:tc>
          <w:tcPr>
            <w:tcW w:w="1418" w:type="dxa"/>
            <w:tcBorders>
              <w:top w:val="nil"/>
              <w:left w:val="nil"/>
              <w:bottom w:val="single" w:sz="4" w:space="0" w:color="auto"/>
              <w:right w:val="single" w:sz="4" w:space="0" w:color="auto"/>
            </w:tcBorders>
            <w:shd w:val="clear" w:color="auto" w:fill="auto"/>
            <w:noWrap/>
            <w:vAlign w:val="center"/>
            <w:hideMark/>
          </w:tcPr>
          <w:p w14:paraId="39EED02F" w14:textId="77777777" w:rsidR="00EA2CBD" w:rsidRPr="008572C5" w:rsidRDefault="00EA2CBD" w:rsidP="009D1253">
            <w:pPr>
              <w:jc w:val="center"/>
              <w:rPr>
                <w:rFonts w:ascii="Tahoma" w:hAnsi="Tahoma" w:cs="Tahoma"/>
                <w:bCs/>
                <w:iCs/>
                <w:color w:val="000000" w:themeColor="text1"/>
                <w:sz w:val="20"/>
                <w:szCs w:val="20"/>
              </w:rPr>
            </w:pPr>
            <w:r w:rsidRPr="008572C5">
              <w:rPr>
                <w:rFonts w:ascii="Tahoma" w:hAnsi="Tahoma" w:cs="Tahoma"/>
                <w:bCs/>
                <w:iCs/>
                <w:color w:val="000000" w:themeColor="text1"/>
                <w:sz w:val="20"/>
                <w:szCs w:val="20"/>
              </w:rPr>
              <w:t>5 000</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19B5749E" w14:textId="77777777" w:rsidR="00EA2CBD" w:rsidRDefault="00EA2CBD" w:rsidP="009D1253">
            <w:pPr>
              <w:jc w:val="center"/>
              <w:rPr>
                <w:rFonts w:ascii="Tahoma" w:hAnsi="Tahoma" w:cs="Tahoma"/>
                <w:sz w:val="20"/>
                <w:szCs w:val="20"/>
              </w:rPr>
            </w:pPr>
            <w:r>
              <w:rPr>
                <w:rFonts w:ascii="Tahoma" w:hAnsi="Tahoma" w:cs="Tahoma"/>
                <w:sz w:val="20"/>
                <w:szCs w:val="20"/>
              </w:rPr>
              <w:t>14,000</w:t>
            </w:r>
          </w:p>
        </w:tc>
        <w:tc>
          <w:tcPr>
            <w:tcW w:w="992" w:type="dxa"/>
            <w:tcBorders>
              <w:top w:val="nil"/>
              <w:left w:val="single" w:sz="4" w:space="0" w:color="auto"/>
              <w:bottom w:val="single" w:sz="4" w:space="0" w:color="auto"/>
              <w:right w:val="single" w:sz="4" w:space="0" w:color="auto"/>
            </w:tcBorders>
            <w:vAlign w:val="center"/>
          </w:tcPr>
          <w:p w14:paraId="61478732" w14:textId="77777777" w:rsidR="00EA2CBD" w:rsidRDefault="00EA2CBD" w:rsidP="009D1253">
            <w:pPr>
              <w:jc w:val="center"/>
              <w:rPr>
                <w:rFonts w:ascii="Tahoma" w:hAnsi="Tahoma" w:cs="Tahoma"/>
                <w:sz w:val="20"/>
                <w:szCs w:val="20"/>
              </w:rPr>
            </w:pPr>
            <w:r>
              <w:rPr>
                <w:rFonts w:ascii="Tahoma" w:hAnsi="Tahoma" w:cs="Tahoma"/>
                <w:sz w:val="20"/>
                <w:szCs w:val="20"/>
              </w:rPr>
              <w:t>21,300</w:t>
            </w:r>
          </w:p>
        </w:tc>
        <w:tc>
          <w:tcPr>
            <w:tcW w:w="1134" w:type="dxa"/>
            <w:tcBorders>
              <w:top w:val="nil"/>
              <w:left w:val="single" w:sz="4" w:space="0" w:color="auto"/>
              <w:bottom w:val="single" w:sz="4" w:space="0" w:color="auto"/>
              <w:right w:val="single" w:sz="4" w:space="0" w:color="auto"/>
            </w:tcBorders>
            <w:shd w:val="clear" w:color="auto" w:fill="auto"/>
            <w:noWrap/>
            <w:vAlign w:val="center"/>
          </w:tcPr>
          <w:p w14:paraId="101A730A" w14:textId="77777777" w:rsidR="00EA2CBD" w:rsidRDefault="00EA2CBD" w:rsidP="009D1253">
            <w:pPr>
              <w:jc w:val="center"/>
              <w:rPr>
                <w:rFonts w:ascii="Tahoma" w:hAnsi="Tahoma" w:cs="Tahoma"/>
                <w:sz w:val="20"/>
                <w:szCs w:val="20"/>
              </w:rPr>
            </w:pPr>
            <w:r>
              <w:rPr>
                <w:rFonts w:ascii="Tahoma" w:hAnsi="Tahoma" w:cs="Tahoma"/>
                <w:sz w:val="20"/>
                <w:szCs w:val="20"/>
              </w:rPr>
              <w:t>21,500</w:t>
            </w:r>
          </w:p>
        </w:tc>
        <w:tc>
          <w:tcPr>
            <w:tcW w:w="1134" w:type="dxa"/>
            <w:tcBorders>
              <w:top w:val="nil"/>
              <w:left w:val="single" w:sz="4" w:space="0" w:color="auto"/>
              <w:bottom w:val="single" w:sz="4" w:space="0" w:color="auto"/>
              <w:right w:val="single" w:sz="4" w:space="0" w:color="auto"/>
            </w:tcBorders>
            <w:shd w:val="clear" w:color="auto" w:fill="auto"/>
            <w:vAlign w:val="center"/>
          </w:tcPr>
          <w:p w14:paraId="61BC135C" w14:textId="77777777" w:rsidR="00EA2CBD" w:rsidRDefault="00EA2CBD" w:rsidP="009D1253">
            <w:pPr>
              <w:jc w:val="center"/>
              <w:rPr>
                <w:rFonts w:ascii="Tahoma" w:hAnsi="Tahoma" w:cs="Tahoma"/>
                <w:sz w:val="20"/>
                <w:szCs w:val="20"/>
              </w:rPr>
            </w:pPr>
            <w:r>
              <w:rPr>
                <w:rFonts w:ascii="Tahoma" w:hAnsi="Tahoma" w:cs="Tahoma"/>
                <w:sz w:val="20"/>
                <w:szCs w:val="20"/>
              </w:rPr>
              <w:t>21,800</w:t>
            </w:r>
          </w:p>
        </w:tc>
        <w:tc>
          <w:tcPr>
            <w:tcW w:w="1134" w:type="dxa"/>
            <w:tcBorders>
              <w:top w:val="nil"/>
              <w:left w:val="single" w:sz="4" w:space="0" w:color="auto"/>
              <w:bottom w:val="single" w:sz="4" w:space="0" w:color="auto"/>
              <w:right w:val="single" w:sz="4" w:space="0" w:color="auto"/>
            </w:tcBorders>
            <w:shd w:val="clear" w:color="auto" w:fill="auto"/>
            <w:vAlign w:val="center"/>
          </w:tcPr>
          <w:p w14:paraId="073F8A44" w14:textId="77777777" w:rsidR="00EA2CBD" w:rsidRDefault="00EA2CBD" w:rsidP="009D1253">
            <w:pPr>
              <w:jc w:val="center"/>
              <w:rPr>
                <w:rFonts w:ascii="Tahoma" w:hAnsi="Tahoma" w:cs="Tahoma"/>
                <w:sz w:val="20"/>
                <w:szCs w:val="20"/>
              </w:rPr>
            </w:pPr>
            <w:r>
              <w:rPr>
                <w:rFonts w:ascii="Tahoma" w:hAnsi="Tahoma" w:cs="Tahoma"/>
                <w:sz w:val="20"/>
                <w:szCs w:val="20"/>
              </w:rPr>
              <w:t>22,000</w:t>
            </w:r>
          </w:p>
        </w:tc>
        <w:tc>
          <w:tcPr>
            <w:tcW w:w="1134" w:type="dxa"/>
            <w:tcBorders>
              <w:top w:val="single" w:sz="4" w:space="0" w:color="auto"/>
              <w:left w:val="nil"/>
              <w:bottom w:val="single" w:sz="4" w:space="0" w:color="auto"/>
              <w:right w:val="single" w:sz="4" w:space="0" w:color="auto"/>
            </w:tcBorders>
            <w:vAlign w:val="center"/>
          </w:tcPr>
          <w:p w14:paraId="2BA7FE03" w14:textId="77777777" w:rsidR="00EA2CBD" w:rsidRDefault="00EA2CBD" w:rsidP="009D1253">
            <w:pPr>
              <w:jc w:val="center"/>
              <w:rPr>
                <w:rFonts w:ascii="Tahoma" w:hAnsi="Tahoma" w:cs="Tahoma"/>
                <w:sz w:val="20"/>
                <w:szCs w:val="20"/>
              </w:rPr>
            </w:pPr>
            <w:r>
              <w:rPr>
                <w:rFonts w:ascii="Tahoma" w:hAnsi="Tahoma" w:cs="Tahoma"/>
                <w:sz w:val="20"/>
                <w:szCs w:val="20"/>
              </w:rPr>
              <w:t>22,300</w:t>
            </w:r>
          </w:p>
        </w:tc>
        <w:tc>
          <w:tcPr>
            <w:tcW w:w="1276" w:type="dxa"/>
            <w:tcBorders>
              <w:top w:val="nil"/>
              <w:left w:val="single" w:sz="4" w:space="0" w:color="auto"/>
              <w:bottom w:val="single" w:sz="4" w:space="0" w:color="auto"/>
              <w:right w:val="single" w:sz="4" w:space="0" w:color="auto"/>
            </w:tcBorders>
            <w:shd w:val="clear" w:color="auto" w:fill="auto"/>
            <w:noWrap/>
            <w:vAlign w:val="center"/>
          </w:tcPr>
          <w:p w14:paraId="66C8927A" w14:textId="77777777" w:rsidR="00EA2CBD" w:rsidRDefault="00EA2CBD" w:rsidP="009D1253">
            <w:pPr>
              <w:jc w:val="center"/>
              <w:rPr>
                <w:rFonts w:ascii="Tahoma" w:hAnsi="Tahoma" w:cs="Tahoma"/>
                <w:sz w:val="20"/>
                <w:szCs w:val="20"/>
              </w:rPr>
            </w:pPr>
            <w:r>
              <w:rPr>
                <w:rFonts w:ascii="Tahoma" w:hAnsi="Tahoma" w:cs="Tahoma"/>
                <w:sz w:val="20"/>
                <w:szCs w:val="20"/>
              </w:rPr>
              <w:t>22,500</w:t>
            </w:r>
          </w:p>
        </w:tc>
        <w:tc>
          <w:tcPr>
            <w:tcW w:w="1276" w:type="dxa"/>
            <w:tcBorders>
              <w:top w:val="nil"/>
              <w:left w:val="nil"/>
              <w:bottom w:val="single" w:sz="4" w:space="0" w:color="auto"/>
              <w:right w:val="single" w:sz="4" w:space="0" w:color="auto"/>
            </w:tcBorders>
            <w:vAlign w:val="center"/>
          </w:tcPr>
          <w:p w14:paraId="37A846E9" w14:textId="77777777" w:rsidR="00EA2CBD" w:rsidRPr="003F412D" w:rsidRDefault="00EA2CBD" w:rsidP="009D1253">
            <w:pPr>
              <w:jc w:val="center"/>
              <w:rPr>
                <w:rFonts w:ascii="Tahoma" w:hAnsi="Tahoma" w:cs="Tahoma"/>
                <w:sz w:val="20"/>
                <w:szCs w:val="20"/>
              </w:rPr>
            </w:pPr>
            <w:r w:rsidRPr="003F412D">
              <w:rPr>
                <w:rFonts w:ascii="Tahoma" w:hAnsi="Tahoma" w:cs="Tahoma"/>
                <w:sz w:val="20"/>
                <w:szCs w:val="20"/>
              </w:rPr>
              <w:t>2</w:t>
            </w:r>
            <w:r>
              <w:rPr>
                <w:rFonts w:ascii="Tahoma" w:hAnsi="Tahoma" w:cs="Tahoma"/>
                <w:sz w:val="20"/>
                <w:szCs w:val="20"/>
              </w:rPr>
              <w:t>2</w:t>
            </w:r>
            <w:r w:rsidRPr="003F412D">
              <w:rPr>
                <w:rFonts w:ascii="Tahoma" w:hAnsi="Tahoma" w:cs="Tahoma"/>
                <w:sz w:val="20"/>
                <w:szCs w:val="20"/>
              </w:rPr>
              <w:t>,000</w:t>
            </w:r>
          </w:p>
        </w:tc>
        <w:tc>
          <w:tcPr>
            <w:tcW w:w="1016" w:type="dxa"/>
            <w:tcBorders>
              <w:top w:val="nil"/>
              <w:left w:val="nil"/>
              <w:bottom w:val="single" w:sz="4" w:space="0" w:color="auto"/>
              <w:right w:val="single" w:sz="4" w:space="0" w:color="auto"/>
            </w:tcBorders>
            <w:vAlign w:val="center"/>
          </w:tcPr>
          <w:p w14:paraId="4DB52466" w14:textId="77777777" w:rsidR="00EA2CBD" w:rsidRPr="002E5D29" w:rsidRDefault="00EA2CBD" w:rsidP="009D1253">
            <w:pPr>
              <w:jc w:val="center"/>
              <w:rPr>
                <w:rFonts w:ascii="Tahoma" w:hAnsi="Tahoma" w:cs="Tahoma"/>
                <w:sz w:val="20"/>
                <w:szCs w:val="20"/>
              </w:rPr>
            </w:pPr>
            <w:r w:rsidRPr="002E5D29">
              <w:rPr>
                <w:rFonts w:ascii="Tahoma" w:hAnsi="Tahoma" w:cs="Tahoma"/>
                <w:sz w:val="20"/>
                <w:szCs w:val="20"/>
              </w:rPr>
              <w:t>2</w:t>
            </w:r>
            <w:r>
              <w:rPr>
                <w:rFonts w:ascii="Tahoma" w:hAnsi="Tahoma" w:cs="Tahoma"/>
                <w:sz w:val="20"/>
                <w:szCs w:val="20"/>
              </w:rPr>
              <w:t>2</w:t>
            </w:r>
            <w:r w:rsidRPr="002E5D29">
              <w:rPr>
                <w:rFonts w:ascii="Tahoma" w:hAnsi="Tahoma" w:cs="Tahoma"/>
                <w:sz w:val="20"/>
                <w:szCs w:val="20"/>
              </w:rPr>
              <w:t>,000</w:t>
            </w:r>
          </w:p>
        </w:tc>
      </w:tr>
      <w:tr w:rsidR="00EA2CBD" w:rsidRPr="008572C5" w14:paraId="58C4F0DB" w14:textId="77777777" w:rsidTr="009D1253">
        <w:trPr>
          <w:trHeight w:val="73"/>
        </w:trPr>
        <w:tc>
          <w:tcPr>
            <w:tcW w:w="1560" w:type="dxa"/>
            <w:vMerge/>
            <w:tcBorders>
              <w:left w:val="single" w:sz="8" w:space="0" w:color="auto"/>
              <w:bottom w:val="single" w:sz="4" w:space="0" w:color="auto"/>
              <w:right w:val="nil"/>
            </w:tcBorders>
            <w:vAlign w:val="center"/>
          </w:tcPr>
          <w:p w14:paraId="3A2CF8CA" w14:textId="77777777" w:rsidR="00EA2CBD" w:rsidRPr="008572C5" w:rsidRDefault="00EA2CBD" w:rsidP="009D1253">
            <w:pPr>
              <w:tabs>
                <w:tab w:val="left" w:pos="458"/>
              </w:tabs>
              <w:rPr>
                <w:rFonts w:ascii="Tahoma" w:hAnsi="Tahoma" w:cs="Tahoma"/>
                <w:bCs/>
                <w:iCs/>
                <w:color w:val="000000" w:themeColor="text1"/>
                <w:sz w:val="20"/>
                <w:szCs w:val="20"/>
              </w:rPr>
            </w:pPr>
          </w:p>
        </w:tc>
        <w:tc>
          <w:tcPr>
            <w:tcW w:w="1559" w:type="dxa"/>
            <w:vMerge/>
            <w:tcBorders>
              <w:left w:val="single" w:sz="8" w:space="0" w:color="auto"/>
              <w:right w:val="single" w:sz="4" w:space="0" w:color="auto"/>
            </w:tcBorders>
            <w:vAlign w:val="center"/>
          </w:tcPr>
          <w:p w14:paraId="6A5131E6" w14:textId="77777777" w:rsidR="00EA2CBD" w:rsidRPr="008572C5" w:rsidRDefault="00EA2CBD" w:rsidP="009D1253">
            <w:pPr>
              <w:rPr>
                <w:rFonts w:ascii="Tahoma" w:hAnsi="Tahoma" w:cs="Tahoma"/>
                <w:bCs/>
                <w:iCs/>
                <w:color w:val="000000" w:themeColor="text1"/>
                <w:sz w:val="20"/>
                <w:szCs w:val="20"/>
              </w:rPr>
            </w:pPr>
          </w:p>
        </w:tc>
        <w:tc>
          <w:tcPr>
            <w:tcW w:w="1276" w:type="dxa"/>
            <w:tcBorders>
              <w:top w:val="single" w:sz="4" w:space="0" w:color="auto"/>
              <w:left w:val="nil"/>
              <w:bottom w:val="nil"/>
              <w:right w:val="single" w:sz="4" w:space="0" w:color="auto"/>
            </w:tcBorders>
            <w:shd w:val="clear" w:color="auto" w:fill="auto"/>
            <w:noWrap/>
            <w:vAlign w:val="center"/>
          </w:tcPr>
          <w:p w14:paraId="47F44090" w14:textId="77777777" w:rsidR="00EA2CBD" w:rsidRPr="008572C5" w:rsidRDefault="00EA2CBD" w:rsidP="009D1253">
            <w:pPr>
              <w:jc w:val="center"/>
              <w:rPr>
                <w:rFonts w:ascii="Tahoma" w:hAnsi="Tahoma" w:cs="Tahoma"/>
                <w:bCs/>
                <w:iCs/>
                <w:sz w:val="20"/>
                <w:szCs w:val="20"/>
              </w:rPr>
            </w:pPr>
            <w:r w:rsidRPr="008572C5">
              <w:rPr>
                <w:rFonts w:ascii="Tahoma" w:hAnsi="Tahoma" w:cs="Tahoma"/>
                <w:bCs/>
                <w:iCs/>
                <w:sz w:val="20"/>
                <w:szCs w:val="20"/>
              </w:rPr>
              <w:t>китайский юань</w:t>
            </w:r>
          </w:p>
        </w:tc>
        <w:tc>
          <w:tcPr>
            <w:tcW w:w="1418" w:type="dxa"/>
            <w:tcBorders>
              <w:top w:val="nil"/>
              <w:left w:val="nil"/>
              <w:bottom w:val="single" w:sz="8" w:space="0" w:color="auto"/>
              <w:right w:val="single" w:sz="4" w:space="0" w:color="auto"/>
            </w:tcBorders>
            <w:shd w:val="clear" w:color="auto" w:fill="auto"/>
            <w:noWrap/>
            <w:vAlign w:val="center"/>
          </w:tcPr>
          <w:p w14:paraId="005D9F65" w14:textId="77777777" w:rsidR="00EA2CBD" w:rsidRPr="008572C5" w:rsidRDefault="00EA2CBD" w:rsidP="009D1253">
            <w:pPr>
              <w:jc w:val="center"/>
              <w:rPr>
                <w:rFonts w:ascii="Tahoma" w:hAnsi="Tahoma" w:cs="Tahoma"/>
                <w:bCs/>
                <w:iCs/>
                <w:sz w:val="20"/>
                <w:szCs w:val="20"/>
              </w:rPr>
            </w:pPr>
            <w:r w:rsidRPr="008572C5">
              <w:rPr>
                <w:rFonts w:ascii="Tahoma" w:hAnsi="Tahoma" w:cs="Tahoma"/>
                <w:bCs/>
                <w:iCs/>
                <w:sz w:val="20"/>
                <w:szCs w:val="20"/>
              </w:rPr>
              <w:t>700</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22B89952" w14:textId="77777777" w:rsidR="00EA2CBD" w:rsidRPr="008572C5" w:rsidRDefault="00EA2CBD" w:rsidP="009D1253">
            <w:pPr>
              <w:jc w:val="center"/>
              <w:rPr>
                <w:rFonts w:ascii="Tahoma" w:hAnsi="Tahoma" w:cs="Tahoma"/>
                <w:sz w:val="20"/>
                <w:szCs w:val="20"/>
              </w:rPr>
            </w:pPr>
            <w:r>
              <w:rPr>
                <w:rFonts w:ascii="Tahoma" w:hAnsi="Tahoma" w:cs="Tahoma"/>
                <w:sz w:val="20"/>
                <w:szCs w:val="20"/>
              </w:rPr>
              <w:t>-</w:t>
            </w:r>
          </w:p>
        </w:tc>
        <w:tc>
          <w:tcPr>
            <w:tcW w:w="992" w:type="dxa"/>
            <w:tcBorders>
              <w:top w:val="nil"/>
              <w:left w:val="single" w:sz="4" w:space="0" w:color="auto"/>
              <w:bottom w:val="single" w:sz="8" w:space="0" w:color="auto"/>
              <w:right w:val="single" w:sz="4" w:space="0" w:color="auto"/>
            </w:tcBorders>
            <w:vAlign w:val="center"/>
          </w:tcPr>
          <w:p w14:paraId="1EDE980A" w14:textId="77777777" w:rsidR="00EA2CBD" w:rsidRPr="008572C5" w:rsidRDefault="00EA2CBD" w:rsidP="009D1253">
            <w:pPr>
              <w:jc w:val="center"/>
              <w:rPr>
                <w:rFonts w:ascii="Tahoma" w:hAnsi="Tahoma" w:cs="Tahoma"/>
                <w:sz w:val="20"/>
                <w:szCs w:val="20"/>
              </w:rPr>
            </w:pPr>
            <w:r>
              <w:rPr>
                <w:rFonts w:ascii="Tahoma" w:hAnsi="Tahoma" w:cs="Tahoma"/>
                <w:sz w:val="20"/>
                <w:szCs w:val="20"/>
              </w:rPr>
              <w:t>6,000</w:t>
            </w:r>
          </w:p>
        </w:tc>
        <w:tc>
          <w:tcPr>
            <w:tcW w:w="1134" w:type="dxa"/>
            <w:tcBorders>
              <w:top w:val="nil"/>
              <w:left w:val="single" w:sz="4" w:space="0" w:color="auto"/>
              <w:bottom w:val="single" w:sz="8" w:space="0" w:color="auto"/>
              <w:right w:val="single" w:sz="4" w:space="0" w:color="auto"/>
            </w:tcBorders>
            <w:shd w:val="clear" w:color="auto" w:fill="auto"/>
            <w:noWrap/>
            <w:vAlign w:val="center"/>
          </w:tcPr>
          <w:p w14:paraId="5C7B70CD" w14:textId="77777777" w:rsidR="00EA2CBD" w:rsidRPr="008572C5" w:rsidRDefault="00EA2CBD" w:rsidP="009D1253">
            <w:pPr>
              <w:jc w:val="center"/>
              <w:rPr>
                <w:rFonts w:ascii="Tahoma" w:hAnsi="Tahoma" w:cs="Tahoma"/>
                <w:sz w:val="20"/>
                <w:szCs w:val="20"/>
              </w:rPr>
            </w:pPr>
            <w:r w:rsidRPr="008572C5">
              <w:rPr>
                <w:rFonts w:ascii="Tahoma" w:hAnsi="Tahoma" w:cs="Tahoma"/>
                <w:sz w:val="20"/>
                <w:szCs w:val="20"/>
              </w:rPr>
              <w:t>-</w:t>
            </w:r>
          </w:p>
        </w:tc>
        <w:tc>
          <w:tcPr>
            <w:tcW w:w="1134" w:type="dxa"/>
            <w:tcBorders>
              <w:top w:val="nil"/>
              <w:left w:val="single" w:sz="4" w:space="0" w:color="auto"/>
              <w:bottom w:val="single" w:sz="8" w:space="0" w:color="auto"/>
              <w:right w:val="single" w:sz="4" w:space="0" w:color="auto"/>
            </w:tcBorders>
            <w:shd w:val="clear" w:color="auto" w:fill="auto"/>
            <w:vAlign w:val="center"/>
          </w:tcPr>
          <w:p w14:paraId="06A35905" w14:textId="77777777" w:rsidR="00EA2CBD" w:rsidRPr="00C23364" w:rsidRDefault="00EA2CBD" w:rsidP="009D1253">
            <w:pPr>
              <w:jc w:val="center"/>
              <w:rPr>
                <w:rFonts w:ascii="Tahoma" w:hAnsi="Tahoma" w:cs="Tahoma"/>
                <w:sz w:val="20"/>
                <w:szCs w:val="20"/>
              </w:rPr>
            </w:pPr>
            <w:r>
              <w:rPr>
                <w:rFonts w:ascii="Tahoma" w:hAnsi="Tahoma" w:cs="Tahoma"/>
                <w:sz w:val="20"/>
                <w:szCs w:val="20"/>
              </w:rPr>
              <w:t>7</w:t>
            </w:r>
            <w:r w:rsidRPr="00C23364">
              <w:rPr>
                <w:rFonts w:ascii="Tahoma" w:hAnsi="Tahoma" w:cs="Tahoma"/>
                <w:sz w:val="20"/>
                <w:szCs w:val="20"/>
              </w:rPr>
              <w:t>,</w:t>
            </w:r>
            <w:r>
              <w:rPr>
                <w:rFonts w:ascii="Tahoma" w:hAnsi="Tahoma" w:cs="Tahoma"/>
                <w:sz w:val="20"/>
                <w:szCs w:val="20"/>
              </w:rPr>
              <w:t>0</w:t>
            </w:r>
            <w:r w:rsidRPr="00C23364">
              <w:rPr>
                <w:rFonts w:ascii="Tahoma" w:hAnsi="Tahoma" w:cs="Tahoma"/>
                <w:sz w:val="20"/>
                <w:szCs w:val="20"/>
              </w:rPr>
              <w:t>00</w:t>
            </w:r>
          </w:p>
        </w:tc>
        <w:tc>
          <w:tcPr>
            <w:tcW w:w="1134" w:type="dxa"/>
            <w:tcBorders>
              <w:top w:val="nil"/>
              <w:left w:val="single" w:sz="4" w:space="0" w:color="auto"/>
              <w:bottom w:val="single" w:sz="8" w:space="0" w:color="auto"/>
              <w:right w:val="single" w:sz="4" w:space="0" w:color="auto"/>
            </w:tcBorders>
            <w:shd w:val="clear" w:color="auto" w:fill="auto"/>
            <w:vAlign w:val="center"/>
          </w:tcPr>
          <w:p w14:paraId="439AC18C" w14:textId="77777777" w:rsidR="00EA2CBD" w:rsidRPr="00C23364" w:rsidRDefault="00EA2CBD" w:rsidP="009D1253">
            <w:pPr>
              <w:jc w:val="center"/>
              <w:rPr>
                <w:rFonts w:ascii="Tahoma" w:hAnsi="Tahoma" w:cs="Tahoma"/>
                <w:sz w:val="20"/>
                <w:szCs w:val="20"/>
              </w:rPr>
            </w:pPr>
            <w:r w:rsidRPr="00C23364">
              <w:rPr>
                <w:rFonts w:ascii="Tahoma" w:hAnsi="Tahoma" w:cs="Tahoma"/>
                <w:sz w:val="20"/>
                <w:szCs w:val="20"/>
              </w:rPr>
              <w:t>-</w:t>
            </w:r>
          </w:p>
        </w:tc>
        <w:tc>
          <w:tcPr>
            <w:tcW w:w="1134" w:type="dxa"/>
            <w:tcBorders>
              <w:top w:val="single" w:sz="4" w:space="0" w:color="auto"/>
              <w:left w:val="nil"/>
              <w:bottom w:val="single" w:sz="4" w:space="0" w:color="auto"/>
              <w:right w:val="single" w:sz="4" w:space="0" w:color="auto"/>
            </w:tcBorders>
            <w:vAlign w:val="center"/>
          </w:tcPr>
          <w:p w14:paraId="2300028F" w14:textId="77777777" w:rsidR="00EA2CBD" w:rsidRPr="00C23364" w:rsidRDefault="00EA2CBD" w:rsidP="009D1253">
            <w:pPr>
              <w:jc w:val="center"/>
              <w:rPr>
                <w:rFonts w:ascii="Tahoma" w:hAnsi="Tahoma" w:cs="Tahoma"/>
                <w:sz w:val="20"/>
                <w:szCs w:val="20"/>
              </w:rPr>
            </w:pPr>
            <w:r w:rsidRPr="00C23364">
              <w:rPr>
                <w:rFonts w:ascii="Tahoma" w:hAnsi="Tahoma" w:cs="Tahoma"/>
                <w:sz w:val="20"/>
                <w:szCs w:val="20"/>
              </w:rPr>
              <w:t>-</w:t>
            </w:r>
          </w:p>
        </w:tc>
        <w:tc>
          <w:tcPr>
            <w:tcW w:w="1276" w:type="dxa"/>
            <w:tcBorders>
              <w:top w:val="nil"/>
              <w:left w:val="single" w:sz="4" w:space="0" w:color="auto"/>
              <w:bottom w:val="single" w:sz="8" w:space="0" w:color="auto"/>
              <w:right w:val="single" w:sz="4" w:space="0" w:color="auto"/>
            </w:tcBorders>
            <w:shd w:val="clear" w:color="auto" w:fill="auto"/>
            <w:noWrap/>
            <w:vAlign w:val="center"/>
          </w:tcPr>
          <w:p w14:paraId="526EF49A" w14:textId="77777777" w:rsidR="00EA2CBD" w:rsidRPr="00C23364" w:rsidRDefault="00EA2CBD" w:rsidP="009D1253">
            <w:pPr>
              <w:jc w:val="center"/>
              <w:rPr>
                <w:rFonts w:ascii="Tahoma" w:hAnsi="Tahoma" w:cs="Tahoma"/>
                <w:sz w:val="20"/>
                <w:szCs w:val="20"/>
              </w:rPr>
            </w:pPr>
            <w:r w:rsidRPr="00C23364">
              <w:rPr>
                <w:rFonts w:ascii="Tahoma" w:hAnsi="Tahoma" w:cs="Tahoma"/>
                <w:sz w:val="20"/>
                <w:szCs w:val="20"/>
              </w:rPr>
              <w:t>-</w:t>
            </w:r>
          </w:p>
        </w:tc>
        <w:tc>
          <w:tcPr>
            <w:tcW w:w="1276" w:type="dxa"/>
            <w:tcBorders>
              <w:top w:val="nil"/>
              <w:left w:val="nil"/>
              <w:bottom w:val="single" w:sz="8" w:space="0" w:color="auto"/>
              <w:right w:val="single" w:sz="4" w:space="0" w:color="auto"/>
            </w:tcBorders>
            <w:vAlign w:val="center"/>
          </w:tcPr>
          <w:p w14:paraId="05AA8AD2" w14:textId="77777777" w:rsidR="00EA2CBD" w:rsidRPr="00C23364" w:rsidRDefault="00EA2CBD" w:rsidP="009D1253">
            <w:pPr>
              <w:jc w:val="center"/>
              <w:rPr>
                <w:rFonts w:ascii="Tahoma" w:hAnsi="Tahoma" w:cs="Tahoma"/>
                <w:sz w:val="20"/>
                <w:szCs w:val="20"/>
              </w:rPr>
            </w:pPr>
            <w:r w:rsidRPr="00C23364">
              <w:rPr>
                <w:rFonts w:ascii="Tahoma" w:hAnsi="Tahoma" w:cs="Tahoma"/>
                <w:sz w:val="20"/>
                <w:szCs w:val="20"/>
              </w:rPr>
              <w:t>-</w:t>
            </w:r>
          </w:p>
        </w:tc>
        <w:tc>
          <w:tcPr>
            <w:tcW w:w="1016" w:type="dxa"/>
            <w:tcBorders>
              <w:top w:val="nil"/>
              <w:left w:val="nil"/>
              <w:bottom w:val="single" w:sz="8" w:space="0" w:color="auto"/>
              <w:right w:val="single" w:sz="4" w:space="0" w:color="auto"/>
            </w:tcBorders>
            <w:vAlign w:val="center"/>
          </w:tcPr>
          <w:p w14:paraId="7A9C49B7" w14:textId="77777777" w:rsidR="00EA2CBD" w:rsidRPr="00C23364" w:rsidRDefault="00EA2CBD" w:rsidP="009D1253">
            <w:pPr>
              <w:jc w:val="center"/>
              <w:rPr>
                <w:rFonts w:ascii="Tahoma" w:hAnsi="Tahoma" w:cs="Tahoma"/>
                <w:sz w:val="20"/>
                <w:szCs w:val="20"/>
              </w:rPr>
            </w:pPr>
            <w:r w:rsidRPr="00C23364">
              <w:rPr>
                <w:rFonts w:ascii="Tahoma" w:hAnsi="Tahoma" w:cs="Tahoma"/>
                <w:sz w:val="20"/>
                <w:szCs w:val="20"/>
              </w:rPr>
              <w:t>-</w:t>
            </w:r>
          </w:p>
        </w:tc>
      </w:tr>
      <w:tr w:rsidR="00EA2CBD" w:rsidRPr="008572C5" w14:paraId="17488991" w14:textId="77777777" w:rsidTr="009D1253">
        <w:trPr>
          <w:trHeight w:val="80"/>
        </w:trPr>
        <w:tc>
          <w:tcPr>
            <w:tcW w:w="1560" w:type="dxa"/>
            <w:tcBorders>
              <w:top w:val="single" w:sz="8" w:space="0" w:color="auto"/>
              <w:left w:val="single" w:sz="8" w:space="0" w:color="auto"/>
              <w:bottom w:val="single" w:sz="4" w:space="0" w:color="auto"/>
              <w:right w:val="nil"/>
            </w:tcBorders>
            <w:shd w:val="clear" w:color="auto" w:fill="auto"/>
            <w:vAlign w:val="center"/>
            <w:hideMark/>
          </w:tcPr>
          <w:p w14:paraId="1658F9AC" w14:textId="77777777" w:rsidR="00EA2CBD" w:rsidRPr="008572C5" w:rsidRDefault="00EA2CBD" w:rsidP="009D1253">
            <w:pPr>
              <w:tabs>
                <w:tab w:val="left" w:pos="458"/>
              </w:tabs>
              <w:jc w:val="center"/>
              <w:rPr>
                <w:rFonts w:ascii="Tahoma" w:hAnsi="Tahoma" w:cs="Tahoma"/>
                <w:bCs/>
                <w:iCs/>
                <w:color w:val="000000" w:themeColor="text1"/>
                <w:sz w:val="20"/>
                <w:szCs w:val="20"/>
              </w:rPr>
            </w:pPr>
            <w:r w:rsidRPr="008572C5">
              <w:rPr>
                <w:rFonts w:ascii="Tahoma" w:hAnsi="Tahoma" w:cs="Tahoma"/>
                <w:bCs/>
                <w:iCs/>
                <w:color w:val="000000" w:themeColor="text1"/>
                <w:sz w:val="20"/>
                <w:szCs w:val="20"/>
              </w:rPr>
              <w:t>Льготная категория*</w:t>
            </w:r>
            <w:r>
              <w:rPr>
                <w:rFonts w:ascii="Tahoma" w:hAnsi="Tahoma" w:cs="Tahoma"/>
                <w:bCs/>
                <w:iCs/>
                <w:color w:val="000000" w:themeColor="text1"/>
                <w:sz w:val="20"/>
                <w:szCs w:val="20"/>
              </w:rPr>
              <w:t>*</w:t>
            </w:r>
          </w:p>
        </w:tc>
        <w:tc>
          <w:tcPr>
            <w:tcW w:w="1559" w:type="dxa"/>
            <w:vMerge/>
            <w:tcBorders>
              <w:left w:val="single" w:sz="8" w:space="0" w:color="auto"/>
              <w:right w:val="single" w:sz="4" w:space="0" w:color="auto"/>
            </w:tcBorders>
            <w:vAlign w:val="center"/>
            <w:hideMark/>
          </w:tcPr>
          <w:p w14:paraId="6E6EF57A" w14:textId="77777777" w:rsidR="00EA2CBD" w:rsidRPr="008572C5" w:rsidRDefault="00EA2CBD" w:rsidP="009D1253">
            <w:pPr>
              <w:rPr>
                <w:rFonts w:ascii="Tahoma" w:hAnsi="Tahoma" w:cs="Tahoma"/>
                <w:bCs/>
                <w:iCs/>
                <w:color w:val="000000" w:themeColor="text1"/>
                <w:sz w:val="20"/>
                <w:szCs w:val="20"/>
              </w:rPr>
            </w:pPr>
          </w:p>
        </w:tc>
        <w:tc>
          <w:tcPr>
            <w:tcW w:w="1276" w:type="dxa"/>
            <w:tcBorders>
              <w:top w:val="single" w:sz="8" w:space="0" w:color="auto"/>
              <w:left w:val="nil"/>
              <w:bottom w:val="single" w:sz="4" w:space="0" w:color="auto"/>
              <w:right w:val="single" w:sz="4" w:space="0" w:color="auto"/>
            </w:tcBorders>
            <w:shd w:val="clear" w:color="auto" w:fill="auto"/>
            <w:noWrap/>
            <w:vAlign w:val="center"/>
            <w:hideMark/>
          </w:tcPr>
          <w:p w14:paraId="31CC39CA" w14:textId="77777777" w:rsidR="00EA2CBD" w:rsidRPr="008572C5" w:rsidRDefault="00EA2CBD" w:rsidP="009D1253">
            <w:pPr>
              <w:jc w:val="center"/>
              <w:rPr>
                <w:rFonts w:ascii="Tahoma" w:hAnsi="Tahoma" w:cs="Tahoma"/>
                <w:bCs/>
                <w:iCs/>
                <w:sz w:val="20"/>
                <w:szCs w:val="20"/>
              </w:rPr>
            </w:pPr>
            <w:r w:rsidRPr="008572C5">
              <w:rPr>
                <w:rFonts w:ascii="Tahoma" w:hAnsi="Tahoma" w:cs="Tahoma"/>
                <w:bCs/>
                <w:iCs/>
                <w:sz w:val="20"/>
                <w:szCs w:val="20"/>
              </w:rPr>
              <w:t>рубли</w:t>
            </w:r>
          </w:p>
        </w:tc>
        <w:tc>
          <w:tcPr>
            <w:tcW w:w="1418" w:type="dxa"/>
            <w:tcBorders>
              <w:top w:val="nil"/>
              <w:left w:val="nil"/>
              <w:bottom w:val="single" w:sz="4" w:space="0" w:color="auto"/>
              <w:right w:val="single" w:sz="4" w:space="0" w:color="auto"/>
            </w:tcBorders>
            <w:shd w:val="clear" w:color="auto" w:fill="auto"/>
            <w:noWrap/>
            <w:vAlign w:val="center"/>
            <w:hideMark/>
          </w:tcPr>
          <w:p w14:paraId="02D1C697" w14:textId="77777777" w:rsidR="00EA2CBD" w:rsidRPr="008572C5" w:rsidRDefault="00EA2CBD" w:rsidP="009D1253">
            <w:pPr>
              <w:jc w:val="center"/>
              <w:rPr>
                <w:rFonts w:ascii="Tahoma" w:hAnsi="Tahoma" w:cs="Tahoma"/>
                <w:bCs/>
                <w:iCs/>
                <w:sz w:val="20"/>
                <w:szCs w:val="20"/>
              </w:rPr>
            </w:pPr>
            <w:r w:rsidRPr="008572C5">
              <w:rPr>
                <w:rFonts w:ascii="Tahoma" w:hAnsi="Tahoma" w:cs="Tahoma"/>
                <w:bCs/>
                <w:iCs/>
                <w:sz w:val="20"/>
                <w:szCs w:val="20"/>
              </w:rPr>
              <w:t>5 000</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44BC37EB" w14:textId="77777777" w:rsidR="00EA2CBD" w:rsidRDefault="00EA2CBD" w:rsidP="009D1253">
            <w:pPr>
              <w:jc w:val="center"/>
              <w:rPr>
                <w:rFonts w:ascii="Tahoma" w:hAnsi="Tahoma" w:cs="Tahoma"/>
                <w:sz w:val="20"/>
                <w:szCs w:val="20"/>
              </w:rPr>
            </w:pPr>
            <w:r>
              <w:rPr>
                <w:rFonts w:ascii="Tahoma" w:hAnsi="Tahoma" w:cs="Tahoma"/>
                <w:sz w:val="20"/>
                <w:szCs w:val="20"/>
              </w:rPr>
              <w:t>14,200</w:t>
            </w:r>
          </w:p>
        </w:tc>
        <w:tc>
          <w:tcPr>
            <w:tcW w:w="992" w:type="dxa"/>
            <w:tcBorders>
              <w:top w:val="nil"/>
              <w:left w:val="single" w:sz="4" w:space="0" w:color="auto"/>
              <w:bottom w:val="single" w:sz="4" w:space="0" w:color="auto"/>
              <w:right w:val="single" w:sz="4" w:space="0" w:color="auto"/>
            </w:tcBorders>
            <w:vAlign w:val="center"/>
          </w:tcPr>
          <w:p w14:paraId="03B9FA89" w14:textId="77777777" w:rsidR="00EA2CBD" w:rsidRDefault="00EA2CBD" w:rsidP="009D1253">
            <w:pPr>
              <w:jc w:val="center"/>
              <w:rPr>
                <w:rFonts w:ascii="Tahoma" w:hAnsi="Tahoma" w:cs="Tahoma"/>
                <w:sz w:val="20"/>
                <w:szCs w:val="20"/>
              </w:rPr>
            </w:pPr>
            <w:r>
              <w:rPr>
                <w:rFonts w:ascii="Tahoma" w:hAnsi="Tahoma" w:cs="Tahoma"/>
                <w:sz w:val="20"/>
                <w:szCs w:val="20"/>
              </w:rPr>
              <w:t>21,500</w:t>
            </w:r>
          </w:p>
        </w:tc>
        <w:tc>
          <w:tcPr>
            <w:tcW w:w="1134" w:type="dxa"/>
            <w:tcBorders>
              <w:top w:val="nil"/>
              <w:left w:val="single" w:sz="4" w:space="0" w:color="auto"/>
              <w:bottom w:val="single" w:sz="4" w:space="0" w:color="auto"/>
              <w:right w:val="single" w:sz="4" w:space="0" w:color="auto"/>
            </w:tcBorders>
            <w:shd w:val="clear" w:color="auto" w:fill="auto"/>
            <w:noWrap/>
            <w:vAlign w:val="center"/>
          </w:tcPr>
          <w:p w14:paraId="10CCFAD1" w14:textId="77777777" w:rsidR="00EA2CBD" w:rsidRDefault="00EA2CBD" w:rsidP="009D1253">
            <w:pPr>
              <w:jc w:val="center"/>
              <w:rPr>
                <w:rFonts w:ascii="Tahoma" w:hAnsi="Tahoma" w:cs="Tahoma"/>
                <w:sz w:val="20"/>
                <w:szCs w:val="20"/>
              </w:rPr>
            </w:pPr>
            <w:r>
              <w:rPr>
                <w:rFonts w:ascii="Tahoma" w:hAnsi="Tahoma" w:cs="Tahoma"/>
                <w:sz w:val="20"/>
                <w:szCs w:val="20"/>
              </w:rPr>
              <w:t>21,700</w:t>
            </w:r>
          </w:p>
        </w:tc>
        <w:tc>
          <w:tcPr>
            <w:tcW w:w="1134" w:type="dxa"/>
            <w:tcBorders>
              <w:top w:val="nil"/>
              <w:left w:val="single" w:sz="4" w:space="0" w:color="auto"/>
              <w:bottom w:val="single" w:sz="4" w:space="0" w:color="auto"/>
              <w:right w:val="single" w:sz="4" w:space="0" w:color="auto"/>
            </w:tcBorders>
            <w:shd w:val="clear" w:color="auto" w:fill="auto"/>
            <w:vAlign w:val="center"/>
          </w:tcPr>
          <w:p w14:paraId="22BEDB60" w14:textId="77777777" w:rsidR="00EA2CBD" w:rsidRDefault="00EA2CBD" w:rsidP="009D1253">
            <w:pPr>
              <w:jc w:val="center"/>
              <w:rPr>
                <w:rFonts w:ascii="Tahoma" w:hAnsi="Tahoma" w:cs="Tahoma"/>
                <w:sz w:val="20"/>
                <w:szCs w:val="20"/>
              </w:rPr>
            </w:pPr>
            <w:r>
              <w:rPr>
                <w:rFonts w:ascii="Tahoma" w:hAnsi="Tahoma" w:cs="Tahoma"/>
                <w:sz w:val="20"/>
                <w:szCs w:val="20"/>
              </w:rPr>
              <w:t>22,000</w:t>
            </w:r>
          </w:p>
        </w:tc>
        <w:tc>
          <w:tcPr>
            <w:tcW w:w="1134" w:type="dxa"/>
            <w:tcBorders>
              <w:top w:val="nil"/>
              <w:left w:val="single" w:sz="4" w:space="0" w:color="auto"/>
              <w:bottom w:val="single" w:sz="4" w:space="0" w:color="auto"/>
              <w:right w:val="single" w:sz="4" w:space="0" w:color="auto"/>
            </w:tcBorders>
            <w:shd w:val="clear" w:color="auto" w:fill="auto"/>
            <w:vAlign w:val="center"/>
          </w:tcPr>
          <w:p w14:paraId="0EF2B53D" w14:textId="77777777" w:rsidR="00EA2CBD" w:rsidRDefault="00EA2CBD" w:rsidP="009D1253">
            <w:pPr>
              <w:jc w:val="center"/>
              <w:rPr>
                <w:rFonts w:ascii="Tahoma" w:hAnsi="Tahoma" w:cs="Tahoma"/>
                <w:sz w:val="20"/>
                <w:szCs w:val="20"/>
              </w:rPr>
            </w:pPr>
            <w:r>
              <w:rPr>
                <w:rFonts w:ascii="Tahoma" w:hAnsi="Tahoma" w:cs="Tahoma"/>
                <w:sz w:val="20"/>
                <w:szCs w:val="20"/>
              </w:rPr>
              <w:t>22,200</w:t>
            </w:r>
          </w:p>
        </w:tc>
        <w:tc>
          <w:tcPr>
            <w:tcW w:w="1134" w:type="dxa"/>
            <w:tcBorders>
              <w:top w:val="single" w:sz="4" w:space="0" w:color="auto"/>
              <w:left w:val="nil"/>
              <w:bottom w:val="single" w:sz="4" w:space="0" w:color="auto"/>
              <w:right w:val="single" w:sz="4" w:space="0" w:color="auto"/>
            </w:tcBorders>
            <w:vAlign w:val="center"/>
          </w:tcPr>
          <w:p w14:paraId="101FA3F4" w14:textId="77777777" w:rsidR="00EA2CBD" w:rsidRDefault="00EA2CBD" w:rsidP="009D1253">
            <w:pPr>
              <w:jc w:val="center"/>
              <w:rPr>
                <w:rFonts w:ascii="Tahoma" w:hAnsi="Tahoma" w:cs="Tahoma"/>
                <w:sz w:val="20"/>
                <w:szCs w:val="20"/>
              </w:rPr>
            </w:pPr>
            <w:r>
              <w:rPr>
                <w:rFonts w:ascii="Tahoma" w:hAnsi="Tahoma" w:cs="Tahoma"/>
                <w:sz w:val="20"/>
                <w:szCs w:val="20"/>
              </w:rPr>
              <w:t>22,500</w:t>
            </w:r>
          </w:p>
        </w:tc>
        <w:tc>
          <w:tcPr>
            <w:tcW w:w="1276" w:type="dxa"/>
            <w:tcBorders>
              <w:top w:val="nil"/>
              <w:left w:val="single" w:sz="4" w:space="0" w:color="auto"/>
              <w:bottom w:val="single" w:sz="4" w:space="0" w:color="auto"/>
              <w:right w:val="single" w:sz="4" w:space="0" w:color="auto"/>
            </w:tcBorders>
            <w:shd w:val="clear" w:color="auto" w:fill="auto"/>
            <w:noWrap/>
            <w:vAlign w:val="center"/>
          </w:tcPr>
          <w:p w14:paraId="28E1835C" w14:textId="77777777" w:rsidR="00EA2CBD" w:rsidRDefault="00EA2CBD" w:rsidP="009D1253">
            <w:pPr>
              <w:jc w:val="center"/>
              <w:rPr>
                <w:rFonts w:ascii="Tahoma" w:hAnsi="Tahoma" w:cs="Tahoma"/>
                <w:sz w:val="20"/>
                <w:szCs w:val="20"/>
              </w:rPr>
            </w:pPr>
            <w:r>
              <w:rPr>
                <w:rFonts w:ascii="Tahoma" w:hAnsi="Tahoma" w:cs="Tahoma"/>
                <w:sz w:val="20"/>
                <w:szCs w:val="20"/>
              </w:rPr>
              <w:t>22,700</w:t>
            </w:r>
          </w:p>
        </w:tc>
        <w:tc>
          <w:tcPr>
            <w:tcW w:w="1276" w:type="dxa"/>
            <w:tcBorders>
              <w:top w:val="nil"/>
              <w:left w:val="nil"/>
              <w:bottom w:val="single" w:sz="4" w:space="0" w:color="auto"/>
              <w:right w:val="single" w:sz="4" w:space="0" w:color="auto"/>
            </w:tcBorders>
            <w:vAlign w:val="center"/>
          </w:tcPr>
          <w:p w14:paraId="6E793158" w14:textId="77777777" w:rsidR="00EA2CBD" w:rsidRDefault="00EA2CBD" w:rsidP="009D1253">
            <w:pPr>
              <w:jc w:val="center"/>
              <w:rPr>
                <w:rFonts w:ascii="Tahoma" w:hAnsi="Tahoma" w:cs="Tahoma"/>
                <w:sz w:val="20"/>
                <w:szCs w:val="20"/>
              </w:rPr>
            </w:pPr>
            <w:r>
              <w:rPr>
                <w:rFonts w:ascii="Tahoma" w:hAnsi="Tahoma" w:cs="Tahoma"/>
                <w:sz w:val="20"/>
                <w:szCs w:val="20"/>
              </w:rPr>
              <w:t>22,500</w:t>
            </w:r>
          </w:p>
        </w:tc>
        <w:tc>
          <w:tcPr>
            <w:tcW w:w="1016" w:type="dxa"/>
            <w:tcBorders>
              <w:top w:val="nil"/>
              <w:left w:val="nil"/>
              <w:bottom w:val="single" w:sz="4" w:space="0" w:color="auto"/>
              <w:right w:val="single" w:sz="4" w:space="0" w:color="auto"/>
            </w:tcBorders>
            <w:vAlign w:val="center"/>
          </w:tcPr>
          <w:p w14:paraId="3A66DD67" w14:textId="77777777" w:rsidR="00EA2CBD" w:rsidRPr="002E5D29" w:rsidRDefault="00EA2CBD" w:rsidP="009D1253">
            <w:pPr>
              <w:jc w:val="center"/>
              <w:rPr>
                <w:rFonts w:ascii="Tahoma" w:hAnsi="Tahoma" w:cs="Tahoma"/>
                <w:sz w:val="20"/>
                <w:szCs w:val="20"/>
              </w:rPr>
            </w:pPr>
            <w:r w:rsidRPr="002E5D29">
              <w:rPr>
                <w:rFonts w:ascii="Tahoma" w:hAnsi="Tahoma" w:cs="Tahoma"/>
                <w:sz w:val="20"/>
                <w:szCs w:val="20"/>
              </w:rPr>
              <w:t>2</w:t>
            </w:r>
            <w:r>
              <w:rPr>
                <w:rFonts w:ascii="Tahoma" w:hAnsi="Tahoma" w:cs="Tahoma"/>
                <w:sz w:val="20"/>
                <w:szCs w:val="20"/>
              </w:rPr>
              <w:t>2</w:t>
            </w:r>
            <w:r w:rsidRPr="002E5D29">
              <w:rPr>
                <w:rFonts w:ascii="Tahoma" w:hAnsi="Tahoma" w:cs="Tahoma"/>
                <w:sz w:val="20"/>
                <w:szCs w:val="20"/>
              </w:rPr>
              <w:t>,500</w:t>
            </w:r>
          </w:p>
        </w:tc>
      </w:tr>
      <w:tr w:rsidR="00EA2CBD" w:rsidRPr="008572C5" w14:paraId="1C4A2817" w14:textId="77777777" w:rsidTr="009D1253">
        <w:trPr>
          <w:trHeight w:val="124"/>
        </w:trPr>
        <w:tc>
          <w:tcPr>
            <w:tcW w:w="1560" w:type="dxa"/>
            <w:tcBorders>
              <w:top w:val="single" w:sz="4" w:space="0" w:color="auto"/>
              <w:left w:val="single" w:sz="8" w:space="0" w:color="auto"/>
              <w:bottom w:val="single" w:sz="4" w:space="0" w:color="auto"/>
              <w:right w:val="nil"/>
            </w:tcBorders>
            <w:shd w:val="clear" w:color="auto" w:fill="auto"/>
            <w:vAlign w:val="center"/>
            <w:hideMark/>
          </w:tcPr>
          <w:p w14:paraId="54D24EA6" w14:textId="77777777" w:rsidR="00EA2CBD" w:rsidRPr="008572C5" w:rsidRDefault="00EA2CBD" w:rsidP="009D1253">
            <w:pPr>
              <w:tabs>
                <w:tab w:val="left" w:pos="458"/>
              </w:tabs>
              <w:jc w:val="center"/>
              <w:rPr>
                <w:rFonts w:ascii="Tahoma" w:hAnsi="Tahoma" w:cs="Tahoma"/>
                <w:bCs/>
                <w:iCs/>
                <w:color w:val="000000" w:themeColor="text1"/>
                <w:sz w:val="20"/>
                <w:szCs w:val="20"/>
              </w:rPr>
            </w:pPr>
            <w:r w:rsidRPr="008572C5">
              <w:rPr>
                <w:rFonts w:ascii="Tahoma" w:hAnsi="Tahoma" w:cs="Tahoma"/>
                <w:bCs/>
                <w:iCs/>
                <w:color w:val="000000" w:themeColor="text1"/>
                <w:sz w:val="20"/>
                <w:szCs w:val="20"/>
              </w:rPr>
              <w:t>Статус**</w:t>
            </w:r>
            <w:r>
              <w:rPr>
                <w:rFonts w:ascii="Tahoma" w:hAnsi="Tahoma" w:cs="Tahoma"/>
                <w:bCs/>
                <w:iCs/>
                <w:color w:val="000000" w:themeColor="text1"/>
                <w:sz w:val="20"/>
                <w:szCs w:val="20"/>
              </w:rPr>
              <w:t>*</w:t>
            </w:r>
          </w:p>
        </w:tc>
        <w:tc>
          <w:tcPr>
            <w:tcW w:w="1559" w:type="dxa"/>
            <w:vMerge/>
            <w:tcBorders>
              <w:left w:val="single" w:sz="8" w:space="0" w:color="auto"/>
              <w:bottom w:val="single" w:sz="4" w:space="0" w:color="auto"/>
              <w:right w:val="single" w:sz="4" w:space="0" w:color="auto"/>
            </w:tcBorders>
            <w:vAlign w:val="center"/>
            <w:hideMark/>
          </w:tcPr>
          <w:p w14:paraId="23202161" w14:textId="77777777" w:rsidR="00EA2CBD" w:rsidRPr="008572C5" w:rsidRDefault="00EA2CBD" w:rsidP="009D1253">
            <w:pPr>
              <w:rPr>
                <w:rFonts w:ascii="Tahoma" w:hAnsi="Tahoma" w:cs="Tahoma"/>
                <w:bCs/>
                <w:iCs/>
                <w:color w:val="000000" w:themeColor="text1"/>
                <w:sz w:val="20"/>
                <w:szCs w:val="20"/>
              </w:rPr>
            </w:pPr>
          </w:p>
        </w:tc>
        <w:tc>
          <w:tcPr>
            <w:tcW w:w="1276" w:type="dxa"/>
            <w:tcBorders>
              <w:top w:val="single" w:sz="8" w:space="0" w:color="auto"/>
              <w:left w:val="nil"/>
              <w:bottom w:val="single" w:sz="4" w:space="0" w:color="auto"/>
              <w:right w:val="single" w:sz="4" w:space="0" w:color="auto"/>
            </w:tcBorders>
            <w:shd w:val="clear" w:color="auto" w:fill="auto"/>
            <w:noWrap/>
            <w:vAlign w:val="center"/>
            <w:hideMark/>
          </w:tcPr>
          <w:p w14:paraId="22AD4F5F" w14:textId="77777777" w:rsidR="00EA2CBD" w:rsidRPr="008572C5" w:rsidRDefault="00EA2CBD" w:rsidP="009D1253">
            <w:pPr>
              <w:jc w:val="center"/>
              <w:rPr>
                <w:rFonts w:ascii="Tahoma" w:hAnsi="Tahoma" w:cs="Tahoma"/>
                <w:bCs/>
                <w:iCs/>
                <w:sz w:val="20"/>
                <w:szCs w:val="20"/>
              </w:rPr>
            </w:pPr>
            <w:r w:rsidRPr="008572C5">
              <w:rPr>
                <w:rFonts w:ascii="Tahoma" w:hAnsi="Tahoma" w:cs="Tahoma"/>
                <w:bCs/>
                <w:iCs/>
                <w:sz w:val="20"/>
                <w:szCs w:val="20"/>
              </w:rPr>
              <w:t>рубли</w:t>
            </w:r>
          </w:p>
        </w:tc>
        <w:tc>
          <w:tcPr>
            <w:tcW w:w="1418" w:type="dxa"/>
            <w:tcBorders>
              <w:top w:val="nil"/>
              <w:left w:val="nil"/>
              <w:bottom w:val="single" w:sz="4" w:space="0" w:color="auto"/>
              <w:right w:val="single" w:sz="4" w:space="0" w:color="auto"/>
            </w:tcBorders>
            <w:shd w:val="clear" w:color="auto" w:fill="auto"/>
            <w:noWrap/>
            <w:vAlign w:val="center"/>
            <w:hideMark/>
          </w:tcPr>
          <w:p w14:paraId="6DCAADC6" w14:textId="77777777" w:rsidR="00EA2CBD" w:rsidRPr="008572C5" w:rsidRDefault="00EA2CBD" w:rsidP="009D1253">
            <w:pPr>
              <w:jc w:val="center"/>
              <w:rPr>
                <w:rFonts w:ascii="Tahoma" w:hAnsi="Tahoma" w:cs="Tahoma"/>
                <w:bCs/>
                <w:iCs/>
                <w:sz w:val="20"/>
                <w:szCs w:val="20"/>
              </w:rPr>
            </w:pPr>
            <w:r w:rsidRPr="008572C5">
              <w:rPr>
                <w:rFonts w:ascii="Tahoma" w:hAnsi="Tahoma" w:cs="Tahoma"/>
                <w:bCs/>
                <w:iCs/>
                <w:sz w:val="20"/>
                <w:szCs w:val="20"/>
              </w:rPr>
              <w:t>3 000 000</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137982F6" w14:textId="77777777" w:rsidR="00EA2CBD" w:rsidRDefault="00EA2CBD" w:rsidP="009D1253">
            <w:pPr>
              <w:jc w:val="center"/>
              <w:rPr>
                <w:rFonts w:ascii="Tahoma" w:hAnsi="Tahoma" w:cs="Tahoma"/>
                <w:sz w:val="20"/>
                <w:szCs w:val="20"/>
              </w:rPr>
            </w:pPr>
            <w:r>
              <w:rPr>
                <w:rFonts w:ascii="Tahoma" w:hAnsi="Tahoma" w:cs="Tahoma"/>
                <w:sz w:val="20"/>
                <w:szCs w:val="20"/>
              </w:rPr>
              <w:t>14,200</w:t>
            </w:r>
          </w:p>
        </w:tc>
        <w:tc>
          <w:tcPr>
            <w:tcW w:w="992" w:type="dxa"/>
            <w:tcBorders>
              <w:top w:val="nil"/>
              <w:left w:val="single" w:sz="4" w:space="0" w:color="auto"/>
              <w:bottom w:val="single" w:sz="4" w:space="0" w:color="auto"/>
              <w:right w:val="single" w:sz="4" w:space="0" w:color="auto"/>
            </w:tcBorders>
            <w:vAlign w:val="center"/>
          </w:tcPr>
          <w:p w14:paraId="37A1DEED" w14:textId="77777777" w:rsidR="00EA2CBD" w:rsidRDefault="00EA2CBD" w:rsidP="009D1253">
            <w:pPr>
              <w:jc w:val="center"/>
              <w:rPr>
                <w:rFonts w:ascii="Tahoma" w:hAnsi="Tahoma" w:cs="Tahoma"/>
                <w:sz w:val="20"/>
                <w:szCs w:val="20"/>
              </w:rPr>
            </w:pPr>
            <w:r>
              <w:rPr>
                <w:rFonts w:ascii="Tahoma" w:hAnsi="Tahoma" w:cs="Tahoma"/>
                <w:sz w:val="20"/>
                <w:szCs w:val="20"/>
              </w:rPr>
              <w:t>21,500</w:t>
            </w:r>
          </w:p>
        </w:tc>
        <w:tc>
          <w:tcPr>
            <w:tcW w:w="1134" w:type="dxa"/>
            <w:tcBorders>
              <w:top w:val="nil"/>
              <w:left w:val="single" w:sz="4" w:space="0" w:color="auto"/>
              <w:bottom w:val="single" w:sz="4" w:space="0" w:color="auto"/>
              <w:right w:val="single" w:sz="4" w:space="0" w:color="auto"/>
            </w:tcBorders>
            <w:shd w:val="clear" w:color="auto" w:fill="auto"/>
            <w:noWrap/>
            <w:vAlign w:val="center"/>
          </w:tcPr>
          <w:p w14:paraId="57F1EF7B" w14:textId="77777777" w:rsidR="00EA2CBD" w:rsidRDefault="00EA2CBD" w:rsidP="009D1253">
            <w:pPr>
              <w:jc w:val="center"/>
              <w:rPr>
                <w:rFonts w:ascii="Tahoma" w:hAnsi="Tahoma" w:cs="Tahoma"/>
                <w:sz w:val="20"/>
                <w:szCs w:val="20"/>
              </w:rPr>
            </w:pPr>
            <w:r>
              <w:rPr>
                <w:rFonts w:ascii="Tahoma" w:hAnsi="Tahoma" w:cs="Tahoma"/>
                <w:sz w:val="20"/>
                <w:szCs w:val="20"/>
              </w:rPr>
              <w:t>21,700</w:t>
            </w:r>
          </w:p>
        </w:tc>
        <w:tc>
          <w:tcPr>
            <w:tcW w:w="1134" w:type="dxa"/>
            <w:tcBorders>
              <w:top w:val="nil"/>
              <w:left w:val="single" w:sz="4" w:space="0" w:color="auto"/>
              <w:bottom w:val="single" w:sz="4" w:space="0" w:color="auto"/>
              <w:right w:val="single" w:sz="4" w:space="0" w:color="auto"/>
            </w:tcBorders>
            <w:shd w:val="clear" w:color="auto" w:fill="auto"/>
            <w:vAlign w:val="center"/>
          </w:tcPr>
          <w:p w14:paraId="777D232A" w14:textId="77777777" w:rsidR="00EA2CBD" w:rsidRDefault="00EA2CBD" w:rsidP="009D1253">
            <w:pPr>
              <w:jc w:val="center"/>
              <w:rPr>
                <w:rFonts w:ascii="Tahoma" w:hAnsi="Tahoma" w:cs="Tahoma"/>
                <w:sz w:val="20"/>
                <w:szCs w:val="20"/>
              </w:rPr>
            </w:pPr>
            <w:r>
              <w:rPr>
                <w:rFonts w:ascii="Tahoma" w:hAnsi="Tahoma" w:cs="Tahoma"/>
                <w:sz w:val="20"/>
                <w:szCs w:val="20"/>
              </w:rPr>
              <w:t>22,000</w:t>
            </w:r>
          </w:p>
        </w:tc>
        <w:tc>
          <w:tcPr>
            <w:tcW w:w="1134" w:type="dxa"/>
            <w:tcBorders>
              <w:top w:val="nil"/>
              <w:left w:val="single" w:sz="4" w:space="0" w:color="auto"/>
              <w:bottom w:val="single" w:sz="4" w:space="0" w:color="auto"/>
              <w:right w:val="single" w:sz="4" w:space="0" w:color="auto"/>
            </w:tcBorders>
            <w:shd w:val="clear" w:color="auto" w:fill="auto"/>
            <w:vAlign w:val="center"/>
          </w:tcPr>
          <w:p w14:paraId="16BAE82A" w14:textId="77777777" w:rsidR="00EA2CBD" w:rsidRDefault="00EA2CBD" w:rsidP="009D1253">
            <w:pPr>
              <w:jc w:val="center"/>
              <w:rPr>
                <w:rFonts w:ascii="Tahoma" w:hAnsi="Tahoma" w:cs="Tahoma"/>
                <w:sz w:val="20"/>
                <w:szCs w:val="20"/>
              </w:rPr>
            </w:pPr>
            <w:r>
              <w:rPr>
                <w:rFonts w:ascii="Tahoma" w:hAnsi="Tahoma" w:cs="Tahoma"/>
                <w:sz w:val="20"/>
                <w:szCs w:val="20"/>
              </w:rPr>
              <w:t>22,200</w:t>
            </w:r>
          </w:p>
        </w:tc>
        <w:tc>
          <w:tcPr>
            <w:tcW w:w="1134" w:type="dxa"/>
            <w:tcBorders>
              <w:top w:val="single" w:sz="4" w:space="0" w:color="auto"/>
              <w:left w:val="nil"/>
              <w:bottom w:val="single" w:sz="4" w:space="0" w:color="auto"/>
              <w:right w:val="single" w:sz="4" w:space="0" w:color="auto"/>
            </w:tcBorders>
            <w:vAlign w:val="center"/>
          </w:tcPr>
          <w:p w14:paraId="1B6947EF" w14:textId="77777777" w:rsidR="00EA2CBD" w:rsidRDefault="00EA2CBD" w:rsidP="009D1253">
            <w:pPr>
              <w:jc w:val="center"/>
              <w:rPr>
                <w:rFonts w:ascii="Tahoma" w:hAnsi="Tahoma" w:cs="Tahoma"/>
                <w:sz w:val="20"/>
                <w:szCs w:val="20"/>
              </w:rPr>
            </w:pPr>
            <w:r>
              <w:rPr>
                <w:rFonts w:ascii="Tahoma" w:hAnsi="Tahoma" w:cs="Tahoma"/>
                <w:sz w:val="20"/>
                <w:szCs w:val="20"/>
              </w:rPr>
              <w:t>22,500</w:t>
            </w:r>
          </w:p>
        </w:tc>
        <w:tc>
          <w:tcPr>
            <w:tcW w:w="1276" w:type="dxa"/>
            <w:tcBorders>
              <w:top w:val="nil"/>
              <w:left w:val="single" w:sz="4" w:space="0" w:color="auto"/>
              <w:bottom w:val="single" w:sz="4" w:space="0" w:color="auto"/>
              <w:right w:val="single" w:sz="4" w:space="0" w:color="auto"/>
            </w:tcBorders>
            <w:shd w:val="clear" w:color="auto" w:fill="auto"/>
            <w:noWrap/>
            <w:vAlign w:val="center"/>
          </w:tcPr>
          <w:p w14:paraId="30F969E7" w14:textId="77777777" w:rsidR="00EA2CBD" w:rsidRDefault="00EA2CBD" w:rsidP="009D1253">
            <w:pPr>
              <w:jc w:val="center"/>
              <w:rPr>
                <w:rFonts w:ascii="Tahoma" w:hAnsi="Tahoma" w:cs="Tahoma"/>
                <w:sz w:val="20"/>
                <w:szCs w:val="20"/>
              </w:rPr>
            </w:pPr>
            <w:r>
              <w:rPr>
                <w:rFonts w:ascii="Tahoma" w:hAnsi="Tahoma" w:cs="Tahoma"/>
                <w:sz w:val="20"/>
                <w:szCs w:val="20"/>
              </w:rPr>
              <w:t>22,700</w:t>
            </w:r>
          </w:p>
        </w:tc>
        <w:tc>
          <w:tcPr>
            <w:tcW w:w="1276" w:type="dxa"/>
            <w:tcBorders>
              <w:top w:val="nil"/>
              <w:left w:val="nil"/>
              <w:bottom w:val="single" w:sz="4" w:space="0" w:color="auto"/>
              <w:right w:val="single" w:sz="4" w:space="0" w:color="auto"/>
            </w:tcBorders>
            <w:vAlign w:val="center"/>
          </w:tcPr>
          <w:p w14:paraId="6B6080BB" w14:textId="77777777" w:rsidR="00EA2CBD" w:rsidRDefault="00EA2CBD" w:rsidP="009D1253">
            <w:pPr>
              <w:jc w:val="center"/>
              <w:rPr>
                <w:rFonts w:ascii="Tahoma" w:hAnsi="Tahoma" w:cs="Tahoma"/>
                <w:sz w:val="20"/>
                <w:szCs w:val="20"/>
              </w:rPr>
            </w:pPr>
            <w:r>
              <w:rPr>
                <w:rFonts w:ascii="Tahoma" w:hAnsi="Tahoma" w:cs="Tahoma"/>
                <w:sz w:val="20"/>
                <w:szCs w:val="20"/>
              </w:rPr>
              <w:t>22,500</w:t>
            </w:r>
          </w:p>
        </w:tc>
        <w:tc>
          <w:tcPr>
            <w:tcW w:w="1016" w:type="dxa"/>
            <w:tcBorders>
              <w:top w:val="nil"/>
              <w:left w:val="nil"/>
              <w:bottom w:val="single" w:sz="4" w:space="0" w:color="auto"/>
              <w:right w:val="single" w:sz="4" w:space="0" w:color="auto"/>
            </w:tcBorders>
            <w:vAlign w:val="center"/>
          </w:tcPr>
          <w:p w14:paraId="70378083" w14:textId="77777777" w:rsidR="00EA2CBD" w:rsidRPr="002E5D29" w:rsidRDefault="00EA2CBD" w:rsidP="009D1253">
            <w:pPr>
              <w:jc w:val="center"/>
              <w:rPr>
                <w:rFonts w:ascii="Tahoma" w:hAnsi="Tahoma" w:cs="Tahoma"/>
                <w:sz w:val="20"/>
                <w:szCs w:val="20"/>
              </w:rPr>
            </w:pPr>
            <w:r w:rsidRPr="002E5D29">
              <w:rPr>
                <w:rFonts w:ascii="Tahoma" w:hAnsi="Tahoma" w:cs="Tahoma"/>
                <w:sz w:val="20"/>
                <w:szCs w:val="20"/>
              </w:rPr>
              <w:t>2</w:t>
            </w:r>
            <w:r>
              <w:rPr>
                <w:rFonts w:ascii="Tahoma" w:hAnsi="Tahoma" w:cs="Tahoma"/>
                <w:sz w:val="20"/>
                <w:szCs w:val="20"/>
              </w:rPr>
              <w:t>2</w:t>
            </w:r>
            <w:r w:rsidRPr="002E5D29">
              <w:rPr>
                <w:rFonts w:ascii="Tahoma" w:hAnsi="Tahoma" w:cs="Tahoma"/>
                <w:sz w:val="20"/>
                <w:szCs w:val="20"/>
              </w:rPr>
              <w:t>,500</w:t>
            </w:r>
          </w:p>
        </w:tc>
      </w:tr>
    </w:tbl>
    <w:p w14:paraId="63F0AFA1" w14:textId="77777777" w:rsidR="00EA2CBD" w:rsidRDefault="00EA2CBD" w:rsidP="00EA2CBD">
      <w:pPr>
        <w:tabs>
          <w:tab w:val="left" w:pos="851"/>
        </w:tabs>
        <w:jc w:val="both"/>
        <w:rPr>
          <w:rFonts w:ascii="Tahoma" w:hAnsi="Tahoma" w:cs="Tahoma"/>
          <w:color w:val="000000"/>
          <w:sz w:val="18"/>
          <w:szCs w:val="18"/>
        </w:rPr>
      </w:pPr>
      <w:r w:rsidRPr="00DF09E9">
        <w:rPr>
          <w:rFonts w:ascii="Tahoma" w:hAnsi="Tahoma" w:cs="Tahoma"/>
          <w:color w:val="000000"/>
          <w:sz w:val="18"/>
          <w:szCs w:val="18"/>
        </w:rPr>
        <w:lastRenderedPageBreak/>
        <w:t>*</w:t>
      </w:r>
      <w:r w:rsidRPr="003C5724">
        <w:rPr>
          <w:rFonts w:ascii="Tahoma" w:hAnsi="Tahoma" w:cs="Tahoma"/>
          <w:color w:val="000000"/>
          <w:sz w:val="18"/>
          <w:szCs w:val="18"/>
        </w:rPr>
        <w:t>Снятие (частичное досрочное снятие) - досрочный возврат Вклада (части суммы по Договору Вклада) повлечет изменение условий о размере процентов и периодичности их выплаты в соответствии с условиями Договора Вклада. По Договору Вклада Банк выдает по первому требованию Вкладчика сумму Вклада или ее часть и соответствующие проценты</w:t>
      </w:r>
      <w:r>
        <w:rPr>
          <w:rFonts w:ascii="Tahoma" w:hAnsi="Tahoma" w:cs="Tahoma"/>
          <w:color w:val="000000"/>
          <w:sz w:val="18"/>
          <w:szCs w:val="18"/>
        </w:rPr>
        <w:t>.</w:t>
      </w:r>
    </w:p>
    <w:p w14:paraId="238E92F3" w14:textId="77777777" w:rsidR="00EA2CBD" w:rsidRPr="003C5724" w:rsidRDefault="00EA2CBD" w:rsidP="00EA2CBD">
      <w:pPr>
        <w:tabs>
          <w:tab w:val="left" w:pos="851"/>
        </w:tabs>
        <w:jc w:val="both"/>
        <w:rPr>
          <w:rFonts w:ascii="Tahoma" w:hAnsi="Tahoma" w:cs="Tahoma"/>
          <w:color w:val="000000"/>
          <w:sz w:val="18"/>
          <w:szCs w:val="18"/>
        </w:rPr>
      </w:pPr>
      <w:r w:rsidRPr="008572C5">
        <w:rPr>
          <w:rFonts w:ascii="Tahoma" w:hAnsi="Tahoma" w:cs="Tahoma"/>
          <w:color w:val="000000"/>
          <w:sz w:val="18"/>
          <w:szCs w:val="18"/>
        </w:rPr>
        <w:t>*</w:t>
      </w:r>
      <w:r>
        <w:rPr>
          <w:rFonts w:ascii="Tahoma" w:hAnsi="Tahoma" w:cs="Tahoma"/>
          <w:color w:val="000000"/>
          <w:sz w:val="18"/>
          <w:szCs w:val="18"/>
        </w:rPr>
        <w:t>*</w:t>
      </w:r>
      <w:r w:rsidRPr="008572C5">
        <w:rPr>
          <w:rFonts w:ascii="Tahoma" w:hAnsi="Tahoma" w:cs="Tahoma"/>
          <w:color w:val="000000"/>
          <w:sz w:val="18"/>
          <w:szCs w:val="18"/>
        </w:rPr>
        <w:t xml:space="preserve">Льготная категория - </w:t>
      </w:r>
      <w:r>
        <w:rPr>
          <w:rFonts w:ascii="Tahoma" w:hAnsi="Tahoma" w:cs="Tahoma"/>
          <w:color w:val="000000"/>
          <w:sz w:val="18"/>
          <w:szCs w:val="18"/>
        </w:rPr>
        <w:t>к</w:t>
      </w:r>
      <w:r w:rsidRPr="003C5724">
        <w:rPr>
          <w:rFonts w:ascii="Tahoma" w:hAnsi="Tahoma" w:cs="Tahoma"/>
          <w:color w:val="000000"/>
          <w:sz w:val="18"/>
          <w:szCs w:val="18"/>
        </w:rPr>
        <w:t xml:space="preserve">лиент является пенсионером (физическое лицо, открывающее </w:t>
      </w:r>
      <w:r>
        <w:rPr>
          <w:rFonts w:ascii="Tahoma" w:hAnsi="Tahoma" w:cs="Tahoma"/>
          <w:color w:val="000000"/>
          <w:sz w:val="18"/>
          <w:szCs w:val="18"/>
        </w:rPr>
        <w:t>В</w:t>
      </w:r>
      <w:r w:rsidRPr="003C5724">
        <w:rPr>
          <w:rFonts w:ascii="Tahoma" w:hAnsi="Tahoma" w:cs="Tahoma"/>
          <w:color w:val="000000"/>
          <w:sz w:val="18"/>
          <w:szCs w:val="18"/>
        </w:rPr>
        <w:t>клад при предъявлении пенсионного удостоверения или иного документа, подтверждающего в соответствии с законодательством РФ право на получение пенсии / держателе</w:t>
      </w:r>
      <w:r>
        <w:rPr>
          <w:rFonts w:ascii="Tahoma" w:hAnsi="Tahoma" w:cs="Tahoma"/>
          <w:color w:val="000000"/>
          <w:sz w:val="18"/>
          <w:szCs w:val="18"/>
        </w:rPr>
        <w:t>м платежной (банковской) карты «</w:t>
      </w:r>
      <w:r w:rsidRPr="003C5724">
        <w:rPr>
          <w:rFonts w:ascii="Tahoma" w:hAnsi="Tahoma" w:cs="Tahoma"/>
          <w:color w:val="000000"/>
          <w:sz w:val="18"/>
          <w:szCs w:val="18"/>
        </w:rPr>
        <w:t>Особый статус</w:t>
      </w:r>
      <w:r>
        <w:rPr>
          <w:rFonts w:ascii="Tahoma" w:hAnsi="Tahoma" w:cs="Tahoma"/>
          <w:color w:val="000000"/>
          <w:sz w:val="18"/>
          <w:szCs w:val="18"/>
        </w:rPr>
        <w:t xml:space="preserve">», выпущенной Банком </w:t>
      </w:r>
      <w:r w:rsidRPr="003C5724">
        <w:rPr>
          <w:rFonts w:ascii="Tahoma" w:hAnsi="Tahoma" w:cs="Tahoma"/>
          <w:color w:val="000000"/>
          <w:sz w:val="18"/>
          <w:szCs w:val="18"/>
        </w:rPr>
        <w:t xml:space="preserve">/ участником </w:t>
      </w:r>
      <w:r>
        <w:rPr>
          <w:rFonts w:ascii="Tahoma" w:hAnsi="Tahoma" w:cs="Tahoma"/>
          <w:color w:val="000000"/>
          <w:sz w:val="18"/>
          <w:szCs w:val="18"/>
        </w:rPr>
        <w:t>«</w:t>
      </w:r>
      <w:r w:rsidRPr="003C5724">
        <w:rPr>
          <w:rFonts w:ascii="Tahoma" w:hAnsi="Tahoma" w:cs="Tahoma"/>
          <w:color w:val="000000"/>
          <w:sz w:val="18"/>
          <w:szCs w:val="18"/>
        </w:rPr>
        <w:t>зарплатного проекта</w:t>
      </w:r>
      <w:r>
        <w:rPr>
          <w:rFonts w:ascii="Tahoma" w:hAnsi="Tahoma" w:cs="Tahoma"/>
          <w:color w:val="000000"/>
          <w:sz w:val="18"/>
          <w:szCs w:val="18"/>
        </w:rPr>
        <w:t>»</w:t>
      </w:r>
      <w:r w:rsidRPr="003C5724">
        <w:rPr>
          <w:rFonts w:ascii="Tahoma" w:hAnsi="Tahoma" w:cs="Tahoma"/>
          <w:color w:val="000000"/>
          <w:sz w:val="18"/>
          <w:szCs w:val="18"/>
        </w:rPr>
        <w:t xml:space="preserve"> Банка</w:t>
      </w:r>
      <w:r>
        <w:rPr>
          <w:rFonts w:ascii="Tahoma" w:hAnsi="Tahoma" w:cs="Tahoma"/>
          <w:color w:val="000000"/>
          <w:sz w:val="18"/>
          <w:szCs w:val="18"/>
        </w:rPr>
        <w:t xml:space="preserve">, </w:t>
      </w:r>
      <w:r w:rsidRPr="003C5724">
        <w:rPr>
          <w:rFonts w:ascii="Tahoma" w:hAnsi="Tahoma" w:cs="Tahoma"/>
          <w:color w:val="000000"/>
          <w:sz w:val="18"/>
          <w:szCs w:val="18"/>
        </w:rPr>
        <w:t>т.е. получает заработную плату на платежную (банковскую) карту</w:t>
      </w:r>
      <w:r>
        <w:rPr>
          <w:rFonts w:ascii="Tahoma" w:hAnsi="Tahoma" w:cs="Tahoma"/>
          <w:color w:val="000000"/>
          <w:sz w:val="18"/>
          <w:szCs w:val="18"/>
        </w:rPr>
        <w:t>, выпущенную</w:t>
      </w:r>
      <w:r w:rsidRPr="003C5724">
        <w:rPr>
          <w:rFonts w:ascii="Tahoma" w:hAnsi="Tahoma" w:cs="Tahoma"/>
          <w:color w:val="000000"/>
          <w:sz w:val="18"/>
          <w:szCs w:val="18"/>
        </w:rPr>
        <w:t xml:space="preserve"> Банк</w:t>
      </w:r>
      <w:r>
        <w:rPr>
          <w:rFonts w:ascii="Tahoma" w:hAnsi="Tahoma" w:cs="Tahoma"/>
          <w:color w:val="000000"/>
          <w:sz w:val="18"/>
          <w:szCs w:val="18"/>
        </w:rPr>
        <w:t>ом</w:t>
      </w:r>
      <w:r w:rsidRPr="003C5724">
        <w:rPr>
          <w:rFonts w:ascii="Tahoma" w:hAnsi="Tahoma" w:cs="Tahoma"/>
          <w:color w:val="000000"/>
          <w:sz w:val="18"/>
          <w:szCs w:val="18"/>
        </w:rPr>
        <w:t xml:space="preserve">/ </w:t>
      </w:r>
      <w:r>
        <w:rPr>
          <w:rFonts w:ascii="Tahoma" w:hAnsi="Tahoma" w:cs="Tahoma"/>
          <w:color w:val="000000"/>
          <w:sz w:val="18"/>
          <w:szCs w:val="18"/>
        </w:rPr>
        <w:t>работником</w:t>
      </w:r>
      <w:r w:rsidRPr="003C5724">
        <w:rPr>
          <w:rFonts w:ascii="Tahoma" w:hAnsi="Tahoma" w:cs="Tahoma"/>
          <w:color w:val="000000"/>
          <w:sz w:val="18"/>
          <w:szCs w:val="18"/>
        </w:rPr>
        <w:t xml:space="preserve"> бюджетной организации.</w:t>
      </w:r>
    </w:p>
    <w:p w14:paraId="2FA8377D" w14:textId="77777777" w:rsidR="00EA2CBD" w:rsidRPr="008572C5" w:rsidRDefault="00EA2CBD" w:rsidP="00EA2CBD">
      <w:pPr>
        <w:jc w:val="both"/>
        <w:rPr>
          <w:rFonts w:ascii="Tahoma" w:hAnsi="Tahoma" w:cs="Tahoma"/>
          <w:color w:val="000000"/>
          <w:sz w:val="18"/>
          <w:szCs w:val="18"/>
        </w:rPr>
      </w:pPr>
      <w:r w:rsidRPr="008572C5">
        <w:rPr>
          <w:rFonts w:ascii="Tahoma" w:hAnsi="Tahoma" w:cs="Tahoma"/>
          <w:color w:val="000000"/>
          <w:sz w:val="18"/>
          <w:szCs w:val="18"/>
        </w:rPr>
        <w:t>**</w:t>
      </w:r>
      <w:r>
        <w:rPr>
          <w:rFonts w:ascii="Tahoma" w:hAnsi="Tahoma" w:cs="Tahoma"/>
          <w:color w:val="000000"/>
          <w:sz w:val="18"/>
          <w:szCs w:val="18"/>
        </w:rPr>
        <w:t>*</w:t>
      </w:r>
      <w:r w:rsidRPr="008572C5">
        <w:rPr>
          <w:rFonts w:ascii="Tahoma" w:hAnsi="Tahoma" w:cs="Tahoma"/>
          <w:color w:val="000000"/>
          <w:sz w:val="18"/>
          <w:szCs w:val="18"/>
        </w:rPr>
        <w:t xml:space="preserve">Статус - </w:t>
      </w:r>
      <w:r>
        <w:rPr>
          <w:rFonts w:ascii="Tahoma" w:hAnsi="Tahoma" w:cs="Tahoma"/>
          <w:color w:val="000000"/>
          <w:sz w:val="18"/>
          <w:szCs w:val="18"/>
        </w:rPr>
        <w:t>к</w:t>
      </w:r>
      <w:r w:rsidRPr="008572C5">
        <w:rPr>
          <w:rFonts w:ascii="Tahoma" w:hAnsi="Tahoma" w:cs="Tahoma"/>
          <w:color w:val="000000"/>
          <w:sz w:val="18"/>
          <w:szCs w:val="18"/>
        </w:rPr>
        <w:t>лиент с наличием подключенной программы</w:t>
      </w:r>
      <w:r>
        <w:rPr>
          <w:rFonts w:ascii="Tahoma" w:hAnsi="Tahoma" w:cs="Tahoma"/>
          <w:color w:val="000000"/>
          <w:sz w:val="18"/>
          <w:szCs w:val="18"/>
        </w:rPr>
        <w:t xml:space="preserve"> Банка «Статус»</w:t>
      </w:r>
      <w:r w:rsidRPr="008572C5">
        <w:rPr>
          <w:rFonts w:ascii="Tahoma" w:hAnsi="Tahoma" w:cs="Tahoma"/>
          <w:color w:val="000000"/>
          <w:sz w:val="18"/>
          <w:szCs w:val="18"/>
        </w:rPr>
        <w:t>.</w:t>
      </w:r>
    </w:p>
    <w:p w14:paraId="63658DA0" w14:textId="77777777" w:rsidR="00EA2CBD" w:rsidRPr="003C5724" w:rsidRDefault="00EA2CBD" w:rsidP="00EA2CBD">
      <w:pPr>
        <w:jc w:val="both"/>
        <w:rPr>
          <w:rFonts w:ascii="Tahoma" w:hAnsi="Tahoma" w:cs="Tahoma"/>
          <w:color w:val="000000"/>
          <w:sz w:val="18"/>
          <w:szCs w:val="18"/>
        </w:rPr>
      </w:pPr>
      <w:r w:rsidRPr="003C5724">
        <w:rPr>
          <w:rFonts w:ascii="Tahoma" w:hAnsi="Tahoma" w:cs="Tahoma"/>
          <w:color w:val="000000"/>
          <w:sz w:val="18"/>
          <w:szCs w:val="18"/>
        </w:rPr>
        <w:t xml:space="preserve">**** Соответствует значению минимальной гарантированной ставки (годовых) с учетом округления, определяющему минимальный доход, выплачиваемый </w:t>
      </w:r>
      <w:r>
        <w:rPr>
          <w:rFonts w:ascii="Tahoma" w:hAnsi="Tahoma" w:cs="Tahoma"/>
          <w:color w:val="000000"/>
          <w:sz w:val="18"/>
          <w:szCs w:val="18"/>
        </w:rPr>
        <w:t>В</w:t>
      </w:r>
      <w:r w:rsidRPr="003C5724">
        <w:rPr>
          <w:rFonts w:ascii="Tahoma" w:hAnsi="Tahoma" w:cs="Tahoma"/>
          <w:color w:val="000000"/>
          <w:sz w:val="18"/>
          <w:szCs w:val="18"/>
        </w:rPr>
        <w:t xml:space="preserve">кладчику на сумму </w:t>
      </w:r>
      <w:r>
        <w:rPr>
          <w:rFonts w:ascii="Tahoma" w:hAnsi="Tahoma" w:cs="Tahoma"/>
          <w:color w:val="000000"/>
          <w:sz w:val="18"/>
          <w:szCs w:val="18"/>
        </w:rPr>
        <w:t>В</w:t>
      </w:r>
      <w:r w:rsidRPr="003C5724">
        <w:rPr>
          <w:rFonts w:ascii="Tahoma" w:hAnsi="Tahoma" w:cs="Tahoma"/>
          <w:color w:val="000000"/>
          <w:sz w:val="18"/>
          <w:szCs w:val="18"/>
        </w:rPr>
        <w:t xml:space="preserve">клада при условии хранения суммы </w:t>
      </w:r>
      <w:r>
        <w:rPr>
          <w:rFonts w:ascii="Tahoma" w:hAnsi="Tahoma" w:cs="Tahoma"/>
          <w:color w:val="000000"/>
          <w:sz w:val="18"/>
          <w:szCs w:val="18"/>
        </w:rPr>
        <w:t>В</w:t>
      </w:r>
      <w:r w:rsidRPr="003C5724">
        <w:rPr>
          <w:rFonts w:ascii="Tahoma" w:hAnsi="Tahoma" w:cs="Tahoma"/>
          <w:color w:val="000000"/>
          <w:sz w:val="18"/>
          <w:szCs w:val="18"/>
        </w:rPr>
        <w:t xml:space="preserve">клада до конца срока </w:t>
      </w:r>
      <w:r>
        <w:rPr>
          <w:rFonts w:ascii="Tahoma" w:hAnsi="Tahoma" w:cs="Tahoma"/>
          <w:color w:val="000000"/>
          <w:sz w:val="18"/>
          <w:szCs w:val="18"/>
        </w:rPr>
        <w:t>В</w:t>
      </w:r>
      <w:r w:rsidRPr="003C5724">
        <w:rPr>
          <w:rFonts w:ascii="Tahoma" w:hAnsi="Tahoma" w:cs="Tahoma"/>
          <w:color w:val="000000"/>
          <w:sz w:val="18"/>
          <w:szCs w:val="18"/>
        </w:rPr>
        <w:t xml:space="preserve">клада без учета каких-либо других условий. Порядок расчета минимальной гарантированной ставки по </w:t>
      </w:r>
      <w:r>
        <w:rPr>
          <w:rFonts w:ascii="Tahoma" w:hAnsi="Tahoma" w:cs="Tahoma"/>
          <w:color w:val="000000"/>
          <w:sz w:val="18"/>
          <w:szCs w:val="18"/>
        </w:rPr>
        <w:t>В</w:t>
      </w:r>
      <w:r w:rsidRPr="003C5724">
        <w:rPr>
          <w:rFonts w:ascii="Tahoma" w:hAnsi="Tahoma" w:cs="Tahoma"/>
          <w:color w:val="000000"/>
          <w:sz w:val="18"/>
          <w:szCs w:val="18"/>
        </w:rPr>
        <w:t>кладу определяется Банком России.</w:t>
      </w:r>
    </w:p>
    <w:p w14:paraId="49F71D73" w14:textId="77777777" w:rsidR="00EA2CBD" w:rsidRPr="008572C5" w:rsidRDefault="00EA2CBD" w:rsidP="00EA2CBD">
      <w:pPr>
        <w:jc w:val="both"/>
        <w:rPr>
          <w:rFonts w:ascii="Tahoma" w:hAnsi="Tahoma" w:cs="Tahoma"/>
          <w:color w:val="000000"/>
          <w:sz w:val="22"/>
          <w:szCs w:val="22"/>
        </w:rPr>
      </w:pPr>
    </w:p>
    <w:p w14:paraId="283194F4" w14:textId="77777777" w:rsidR="00EA2CBD" w:rsidRPr="008572C5" w:rsidRDefault="00EA2CBD" w:rsidP="000B3718">
      <w:pPr>
        <w:pStyle w:val="a5"/>
      </w:pPr>
      <w:r w:rsidRPr="008572C5">
        <w:t>3.4.</w:t>
      </w:r>
      <w:r w:rsidRPr="008572C5">
        <w:tab/>
        <w:t>Вклад «АТБ. Вклад» (с пополнением)</w:t>
      </w:r>
    </w:p>
    <w:p w14:paraId="112C15C2" w14:textId="77777777" w:rsidR="00EA2CBD" w:rsidRPr="008572C5" w:rsidRDefault="00EA2CBD" w:rsidP="00EA2CBD">
      <w:pPr>
        <w:ind w:firstLine="426"/>
        <w:jc w:val="both"/>
        <w:rPr>
          <w:rFonts w:ascii="Tahoma" w:hAnsi="Tahoma" w:cs="Tahoma"/>
          <w:color w:val="000000"/>
          <w:sz w:val="22"/>
          <w:szCs w:val="22"/>
          <w:lang w:eastAsia="en-US"/>
        </w:rPr>
      </w:pPr>
      <w:r w:rsidRPr="008572C5">
        <w:rPr>
          <w:rFonts w:ascii="Tahoma" w:hAnsi="Tahoma" w:cs="Tahoma"/>
          <w:color w:val="000000"/>
          <w:sz w:val="22"/>
          <w:szCs w:val="22"/>
        </w:rPr>
        <w:t>Условия:</w:t>
      </w:r>
    </w:p>
    <w:p w14:paraId="634B6108" w14:textId="77777777" w:rsidR="00EA2CBD" w:rsidRPr="00D64905" w:rsidRDefault="00EA2CBD" w:rsidP="00EA2CBD">
      <w:pPr>
        <w:numPr>
          <w:ilvl w:val="0"/>
          <w:numId w:val="3"/>
        </w:numPr>
        <w:jc w:val="both"/>
        <w:rPr>
          <w:rFonts w:ascii="Tahoma" w:hAnsi="Tahoma" w:cs="Tahoma"/>
          <w:sz w:val="22"/>
          <w:szCs w:val="22"/>
        </w:rPr>
      </w:pPr>
      <w:r w:rsidRPr="00D64905">
        <w:rPr>
          <w:rFonts w:ascii="Tahoma" w:hAnsi="Tahoma" w:cs="Tahoma"/>
          <w:sz w:val="22"/>
          <w:szCs w:val="22"/>
        </w:rPr>
        <w:t>Валюта – рубли РФ/ китайский юань;</w:t>
      </w:r>
    </w:p>
    <w:p w14:paraId="5DD65A87" w14:textId="77777777" w:rsidR="00EA2CBD" w:rsidRPr="00D64905" w:rsidRDefault="00EA2CBD" w:rsidP="00EA2CBD">
      <w:pPr>
        <w:numPr>
          <w:ilvl w:val="0"/>
          <w:numId w:val="3"/>
        </w:numPr>
        <w:jc w:val="both"/>
        <w:rPr>
          <w:rFonts w:ascii="Tahoma" w:hAnsi="Tahoma" w:cs="Tahoma"/>
          <w:sz w:val="22"/>
          <w:szCs w:val="22"/>
        </w:rPr>
      </w:pPr>
      <w:r w:rsidRPr="00D64905">
        <w:rPr>
          <w:rFonts w:ascii="Tahoma" w:hAnsi="Tahoma" w:cs="Tahoma"/>
          <w:sz w:val="22"/>
          <w:szCs w:val="22"/>
        </w:rPr>
        <w:t>Минимальная сумма Вклада 5 000 рублей/ 700 китайских юаней;</w:t>
      </w:r>
    </w:p>
    <w:p w14:paraId="035BD918" w14:textId="77777777" w:rsidR="00EA2CBD" w:rsidRPr="00D64905" w:rsidRDefault="00EA2CBD" w:rsidP="00EA2CBD">
      <w:pPr>
        <w:numPr>
          <w:ilvl w:val="0"/>
          <w:numId w:val="3"/>
        </w:numPr>
        <w:jc w:val="both"/>
        <w:rPr>
          <w:rFonts w:ascii="Tahoma" w:hAnsi="Tahoma" w:cs="Tahoma"/>
          <w:sz w:val="22"/>
          <w:szCs w:val="22"/>
        </w:rPr>
      </w:pPr>
      <w:r w:rsidRPr="00D64905">
        <w:rPr>
          <w:rFonts w:ascii="Tahoma" w:hAnsi="Tahoma" w:cs="Tahoma"/>
          <w:sz w:val="22"/>
          <w:szCs w:val="22"/>
        </w:rPr>
        <w:t>Максимальная сумма Вклада – не ограничена;</w:t>
      </w:r>
    </w:p>
    <w:p w14:paraId="75A41E58" w14:textId="77777777" w:rsidR="00EA2CBD" w:rsidRDefault="00EA2CBD" w:rsidP="00EA2CBD">
      <w:pPr>
        <w:numPr>
          <w:ilvl w:val="0"/>
          <w:numId w:val="3"/>
        </w:numPr>
        <w:jc w:val="both"/>
        <w:rPr>
          <w:rFonts w:ascii="Tahoma" w:hAnsi="Tahoma" w:cs="Tahoma"/>
          <w:sz w:val="22"/>
          <w:szCs w:val="22"/>
        </w:rPr>
      </w:pPr>
      <w:r w:rsidRPr="008572C5">
        <w:rPr>
          <w:rFonts w:ascii="Tahoma" w:hAnsi="Tahoma" w:cs="Tahoma"/>
          <w:sz w:val="22"/>
          <w:szCs w:val="22"/>
        </w:rPr>
        <w:t>Срок Вклада</w:t>
      </w:r>
      <w:r>
        <w:rPr>
          <w:rFonts w:ascii="Tahoma" w:hAnsi="Tahoma" w:cs="Tahoma"/>
          <w:sz w:val="22"/>
          <w:szCs w:val="22"/>
        </w:rPr>
        <w:t xml:space="preserve">: </w:t>
      </w:r>
    </w:p>
    <w:p w14:paraId="342D11C0" w14:textId="77777777" w:rsidR="00EA2CBD" w:rsidRPr="00823945" w:rsidRDefault="00EA2CBD" w:rsidP="00EA2CBD">
      <w:pPr>
        <w:ind w:left="709" w:firstLine="142"/>
        <w:jc w:val="both"/>
        <w:rPr>
          <w:rFonts w:ascii="Tahoma" w:hAnsi="Tahoma" w:cs="Tahoma"/>
          <w:sz w:val="22"/>
          <w:szCs w:val="22"/>
        </w:rPr>
      </w:pPr>
      <w:r>
        <w:rPr>
          <w:rFonts w:ascii="Tahoma" w:hAnsi="Tahoma" w:cs="Tahoma"/>
          <w:sz w:val="22"/>
          <w:szCs w:val="22"/>
        </w:rPr>
        <w:t xml:space="preserve">- </w:t>
      </w:r>
      <w:r w:rsidRPr="00823945">
        <w:rPr>
          <w:rFonts w:ascii="Tahoma" w:hAnsi="Tahoma" w:cs="Tahoma"/>
          <w:sz w:val="22"/>
          <w:szCs w:val="22"/>
        </w:rPr>
        <w:t>в рублях РФ: 62 дня / 92 дня/ 122 дня/ 182 дня/ 243 дня/ 273 дня/ 367 дней/ 731 день/ 1098 дней;</w:t>
      </w:r>
    </w:p>
    <w:p w14:paraId="400ECF49" w14:textId="77777777" w:rsidR="00EA2CBD" w:rsidRPr="008572C5" w:rsidRDefault="00EA2CBD" w:rsidP="00EA2CBD">
      <w:pPr>
        <w:ind w:left="709" w:firstLine="142"/>
        <w:jc w:val="both"/>
        <w:rPr>
          <w:rFonts w:ascii="Tahoma" w:hAnsi="Tahoma" w:cs="Tahoma"/>
          <w:sz w:val="22"/>
          <w:szCs w:val="22"/>
        </w:rPr>
      </w:pPr>
      <w:r w:rsidRPr="00823945">
        <w:rPr>
          <w:rFonts w:ascii="Tahoma" w:hAnsi="Tahoma" w:cs="Tahoma"/>
          <w:sz w:val="22"/>
          <w:szCs w:val="22"/>
        </w:rPr>
        <w:t>- в китайских юанях: 92 дня/ 182 дня.</w:t>
      </w:r>
    </w:p>
    <w:p w14:paraId="133309E0" w14:textId="77777777" w:rsidR="00EA2CBD" w:rsidRPr="00D64905" w:rsidRDefault="00EA2CBD" w:rsidP="00EA2CBD">
      <w:pPr>
        <w:numPr>
          <w:ilvl w:val="0"/>
          <w:numId w:val="3"/>
        </w:numPr>
        <w:jc w:val="both"/>
        <w:rPr>
          <w:rFonts w:ascii="Tahoma" w:hAnsi="Tahoma" w:cs="Tahoma"/>
          <w:sz w:val="22"/>
          <w:szCs w:val="22"/>
        </w:rPr>
      </w:pPr>
      <w:r w:rsidRPr="00D64905">
        <w:rPr>
          <w:rFonts w:ascii="Tahoma" w:hAnsi="Tahoma" w:cs="Tahoma"/>
          <w:sz w:val="22"/>
          <w:szCs w:val="22"/>
        </w:rPr>
        <w:t>Вклад пополняемый, минимальная и максимальная суммы пополнения не установлены;</w:t>
      </w:r>
    </w:p>
    <w:p w14:paraId="280E8E80" w14:textId="77777777" w:rsidR="00EA2CBD" w:rsidRPr="00D64905" w:rsidRDefault="00EA2CBD" w:rsidP="00EA2CBD">
      <w:pPr>
        <w:pStyle w:val="affe"/>
        <w:numPr>
          <w:ilvl w:val="0"/>
          <w:numId w:val="3"/>
        </w:numPr>
        <w:autoSpaceDE w:val="0"/>
        <w:autoSpaceDN w:val="0"/>
        <w:adjustRightInd w:val="0"/>
        <w:jc w:val="both"/>
        <w:rPr>
          <w:rFonts w:ascii="Tahoma" w:hAnsi="Tahoma" w:cs="Tahoma"/>
          <w:sz w:val="22"/>
          <w:szCs w:val="22"/>
        </w:rPr>
      </w:pPr>
      <w:r w:rsidRPr="00D64905">
        <w:rPr>
          <w:rFonts w:ascii="Tahoma" w:hAnsi="Tahoma" w:cs="Tahoma"/>
          <w:sz w:val="22"/>
          <w:szCs w:val="22"/>
        </w:rPr>
        <w:t xml:space="preserve">Досрочный возврат Вклада/части суммы Вклада без изменения условий о размере процентов и периодичности их выплаты </w:t>
      </w:r>
      <w:r>
        <w:rPr>
          <w:rFonts w:ascii="Tahoma" w:hAnsi="Tahoma" w:cs="Tahoma"/>
          <w:sz w:val="22"/>
          <w:szCs w:val="22"/>
        </w:rPr>
        <w:t>не предусмотрен;</w:t>
      </w:r>
    </w:p>
    <w:p w14:paraId="517D79D9" w14:textId="77777777" w:rsidR="00EA2CBD" w:rsidRPr="00D64905" w:rsidRDefault="00EA2CBD" w:rsidP="00EA2CBD">
      <w:pPr>
        <w:numPr>
          <w:ilvl w:val="0"/>
          <w:numId w:val="3"/>
        </w:numPr>
        <w:jc w:val="both"/>
        <w:rPr>
          <w:rFonts w:ascii="Tahoma" w:hAnsi="Tahoma" w:cs="Tahoma"/>
          <w:sz w:val="22"/>
          <w:szCs w:val="22"/>
        </w:rPr>
      </w:pPr>
      <w:r w:rsidRPr="00D64905">
        <w:rPr>
          <w:rFonts w:ascii="Tahoma" w:hAnsi="Tahoma" w:cs="Tahoma"/>
          <w:sz w:val="22"/>
          <w:szCs w:val="22"/>
        </w:rPr>
        <w:t>Вклад пролонгируемый;</w:t>
      </w:r>
    </w:p>
    <w:p w14:paraId="55B86042" w14:textId="77777777" w:rsidR="00EA2CBD" w:rsidRPr="00D64905" w:rsidRDefault="00EA2CBD" w:rsidP="00EA2CBD">
      <w:pPr>
        <w:numPr>
          <w:ilvl w:val="0"/>
          <w:numId w:val="3"/>
        </w:numPr>
        <w:jc w:val="both"/>
        <w:rPr>
          <w:rFonts w:ascii="Tahoma" w:hAnsi="Tahoma" w:cs="Tahoma"/>
          <w:sz w:val="22"/>
          <w:szCs w:val="22"/>
        </w:rPr>
      </w:pPr>
      <w:r w:rsidRPr="00D64905">
        <w:rPr>
          <w:rFonts w:ascii="Tahoma" w:hAnsi="Tahoma" w:cs="Tahoma"/>
          <w:sz w:val="22"/>
          <w:szCs w:val="22"/>
        </w:rPr>
        <w:t>Неснижаемый остаток по Вкладу – не предусмотрен;</w:t>
      </w:r>
    </w:p>
    <w:p w14:paraId="1D51A96F" w14:textId="77777777" w:rsidR="00EA2CBD" w:rsidRPr="00D64905" w:rsidRDefault="00EA2CBD" w:rsidP="00EA2CBD">
      <w:pPr>
        <w:numPr>
          <w:ilvl w:val="0"/>
          <w:numId w:val="3"/>
        </w:numPr>
        <w:contextualSpacing/>
        <w:jc w:val="both"/>
        <w:rPr>
          <w:rFonts w:ascii="Tahoma" w:hAnsi="Tahoma" w:cs="Tahoma"/>
          <w:sz w:val="22"/>
          <w:szCs w:val="22"/>
        </w:rPr>
      </w:pPr>
      <w:r w:rsidRPr="00D64905">
        <w:rPr>
          <w:rFonts w:ascii="Tahoma" w:hAnsi="Tahoma" w:cs="Tahoma"/>
          <w:sz w:val="22"/>
          <w:szCs w:val="22"/>
        </w:rPr>
        <w:t>Выплата процентов – ежемесячно на выбор:</w:t>
      </w:r>
    </w:p>
    <w:p w14:paraId="60DDB88D" w14:textId="77777777" w:rsidR="00EA2CBD" w:rsidRPr="00D64905" w:rsidRDefault="00EA2CBD" w:rsidP="00EA2CBD">
      <w:pPr>
        <w:ind w:left="720"/>
        <w:contextualSpacing/>
        <w:jc w:val="both"/>
        <w:rPr>
          <w:rFonts w:ascii="Tahoma" w:hAnsi="Tahoma" w:cs="Tahoma"/>
          <w:sz w:val="22"/>
          <w:szCs w:val="22"/>
        </w:rPr>
      </w:pPr>
      <w:r w:rsidRPr="00D64905">
        <w:rPr>
          <w:rFonts w:ascii="Tahoma" w:hAnsi="Tahoma" w:cs="Tahoma"/>
          <w:sz w:val="22"/>
          <w:szCs w:val="22"/>
        </w:rPr>
        <w:t>- на счет, открытый в Банке;</w:t>
      </w:r>
    </w:p>
    <w:p w14:paraId="34FDE006" w14:textId="77777777" w:rsidR="00EA2CBD" w:rsidRPr="00D64905" w:rsidRDefault="00EA2CBD" w:rsidP="00EA2CBD">
      <w:pPr>
        <w:autoSpaceDE w:val="0"/>
        <w:autoSpaceDN w:val="0"/>
        <w:ind w:left="720"/>
        <w:contextualSpacing/>
        <w:jc w:val="both"/>
        <w:rPr>
          <w:rFonts w:ascii="Tahoma" w:hAnsi="Tahoma" w:cs="Tahoma"/>
          <w:sz w:val="22"/>
          <w:szCs w:val="22"/>
        </w:rPr>
      </w:pPr>
      <w:r w:rsidRPr="00D64905">
        <w:rPr>
          <w:rFonts w:ascii="Tahoma" w:hAnsi="Tahoma" w:cs="Tahoma"/>
          <w:sz w:val="22"/>
          <w:szCs w:val="22"/>
        </w:rPr>
        <w:t>- капитализация, т.е. причисление к основной сумме Вклада;</w:t>
      </w:r>
    </w:p>
    <w:p w14:paraId="0A88281D" w14:textId="77777777" w:rsidR="00EA2CBD" w:rsidRPr="00D64905" w:rsidRDefault="00EA2CBD" w:rsidP="00EA2CBD">
      <w:pPr>
        <w:numPr>
          <w:ilvl w:val="0"/>
          <w:numId w:val="3"/>
        </w:numPr>
        <w:autoSpaceDE w:val="0"/>
        <w:autoSpaceDN w:val="0"/>
        <w:contextualSpacing/>
        <w:jc w:val="both"/>
        <w:rPr>
          <w:rFonts w:ascii="Tahoma" w:hAnsi="Tahoma" w:cs="Tahoma"/>
          <w:sz w:val="22"/>
          <w:szCs w:val="22"/>
        </w:rPr>
      </w:pPr>
      <w:r w:rsidRPr="00D64905">
        <w:rPr>
          <w:rFonts w:ascii="Tahoma" w:hAnsi="Tahoma" w:cs="Tahoma"/>
          <w:sz w:val="22"/>
          <w:szCs w:val="22"/>
        </w:rPr>
        <w:t>Выплата суммы Вклада – на счет, открытый в Банке;</w:t>
      </w:r>
    </w:p>
    <w:p w14:paraId="2477A386" w14:textId="77777777" w:rsidR="00EA2CBD" w:rsidRPr="00D64905" w:rsidRDefault="00EA2CBD" w:rsidP="00EA2CBD">
      <w:pPr>
        <w:pStyle w:val="affe"/>
        <w:numPr>
          <w:ilvl w:val="0"/>
          <w:numId w:val="3"/>
        </w:numPr>
        <w:autoSpaceDE w:val="0"/>
        <w:autoSpaceDN w:val="0"/>
        <w:adjustRightInd w:val="0"/>
        <w:jc w:val="both"/>
        <w:rPr>
          <w:rFonts w:ascii="Tahoma" w:hAnsi="Tahoma" w:cs="Tahoma"/>
          <w:sz w:val="22"/>
          <w:szCs w:val="22"/>
        </w:rPr>
      </w:pPr>
      <w:r w:rsidRPr="00D64905">
        <w:rPr>
          <w:rFonts w:ascii="Tahoma" w:hAnsi="Tahoma" w:cs="Tahoma"/>
          <w:sz w:val="22"/>
          <w:szCs w:val="22"/>
        </w:rPr>
        <w:t>В случае досрочного возвращения Вклада в течение срока хранения Вклада по требованию Вкладчика проценты по Вкладу начисляются Вкладчику по ставке 0,01% годовых за весь срок хранения Вклада, начиная со дня, следующего за днем поступления денежных средств (Вклада) в Банк, и выплачиваются в день востребования суммы Вклада, а излишне уплаченные проценты удерживаются из выплачиваемой Вкладчику суммы.</w:t>
      </w:r>
    </w:p>
    <w:p w14:paraId="1CC90DFE" w14:textId="77777777" w:rsidR="00EA2CBD" w:rsidRPr="008572C5" w:rsidRDefault="00EA2CBD" w:rsidP="00EA2CBD">
      <w:pPr>
        <w:ind w:left="360"/>
        <w:jc w:val="both"/>
        <w:rPr>
          <w:rFonts w:ascii="Tahoma" w:hAnsi="Tahoma" w:cs="Tahoma"/>
          <w:sz w:val="22"/>
          <w:szCs w:val="22"/>
        </w:rPr>
      </w:pPr>
    </w:p>
    <w:tbl>
      <w:tblPr>
        <w:tblW w:w="15759"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583"/>
        <w:gridCol w:w="1252"/>
        <w:gridCol w:w="1418"/>
        <w:gridCol w:w="1157"/>
        <w:gridCol w:w="993"/>
        <w:gridCol w:w="1134"/>
        <w:gridCol w:w="1275"/>
        <w:gridCol w:w="1134"/>
        <w:gridCol w:w="1134"/>
        <w:gridCol w:w="1134"/>
        <w:gridCol w:w="1134"/>
        <w:gridCol w:w="993"/>
      </w:tblGrid>
      <w:tr w:rsidR="00EA2CBD" w:rsidRPr="008572C5" w14:paraId="33194C83" w14:textId="77777777" w:rsidTr="009D1253">
        <w:trPr>
          <w:trHeight w:val="302"/>
        </w:trPr>
        <w:tc>
          <w:tcPr>
            <w:tcW w:w="1418" w:type="dxa"/>
            <w:vMerge w:val="restart"/>
            <w:shd w:val="clear" w:color="auto" w:fill="auto"/>
            <w:vAlign w:val="center"/>
            <w:hideMark/>
          </w:tcPr>
          <w:p w14:paraId="682A9998" w14:textId="77777777" w:rsidR="00EA2CBD" w:rsidRPr="008572C5" w:rsidRDefault="00EA2CBD" w:rsidP="009D1253">
            <w:pPr>
              <w:jc w:val="center"/>
              <w:rPr>
                <w:rFonts w:ascii="Tahoma" w:hAnsi="Tahoma" w:cs="Tahoma"/>
                <w:b/>
                <w:bCs/>
                <w:iCs/>
                <w:color w:val="000000" w:themeColor="text1"/>
                <w:sz w:val="20"/>
                <w:szCs w:val="20"/>
              </w:rPr>
            </w:pPr>
            <w:r w:rsidRPr="008572C5">
              <w:rPr>
                <w:rFonts w:ascii="Tahoma" w:hAnsi="Tahoma" w:cs="Tahoma"/>
                <w:b/>
                <w:bCs/>
                <w:iCs/>
                <w:color w:val="000000" w:themeColor="text1"/>
                <w:sz w:val="20"/>
                <w:szCs w:val="20"/>
              </w:rPr>
              <w:t>Ориентировочный сегмент</w:t>
            </w:r>
          </w:p>
        </w:tc>
        <w:tc>
          <w:tcPr>
            <w:tcW w:w="1583" w:type="dxa"/>
            <w:vMerge w:val="restart"/>
            <w:shd w:val="clear" w:color="auto" w:fill="auto"/>
            <w:vAlign w:val="center"/>
            <w:hideMark/>
          </w:tcPr>
          <w:p w14:paraId="455351A2" w14:textId="77777777" w:rsidR="00EA2CBD" w:rsidRPr="008572C5" w:rsidRDefault="00EA2CBD" w:rsidP="009D1253">
            <w:pPr>
              <w:jc w:val="center"/>
              <w:rPr>
                <w:rFonts w:ascii="Tahoma" w:hAnsi="Tahoma" w:cs="Tahoma"/>
                <w:b/>
                <w:bCs/>
                <w:iCs/>
                <w:color w:val="000000" w:themeColor="text1"/>
                <w:sz w:val="20"/>
                <w:szCs w:val="20"/>
              </w:rPr>
            </w:pPr>
            <w:r w:rsidRPr="008572C5">
              <w:rPr>
                <w:rFonts w:ascii="Tahoma" w:hAnsi="Tahoma" w:cs="Tahoma"/>
                <w:b/>
                <w:bCs/>
                <w:iCs/>
                <w:color w:val="000000" w:themeColor="text1"/>
                <w:sz w:val="20"/>
                <w:szCs w:val="20"/>
              </w:rPr>
              <w:t>Продукт</w:t>
            </w:r>
          </w:p>
        </w:tc>
        <w:tc>
          <w:tcPr>
            <w:tcW w:w="2670" w:type="dxa"/>
            <w:gridSpan w:val="2"/>
            <w:shd w:val="clear" w:color="auto" w:fill="auto"/>
            <w:noWrap/>
            <w:vAlign w:val="center"/>
            <w:hideMark/>
          </w:tcPr>
          <w:p w14:paraId="286F7F88" w14:textId="77777777" w:rsidR="00EA2CBD" w:rsidRPr="008572C5" w:rsidRDefault="00EA2CBD" w:rsidP="009D1253">
            <w:pPr>
              <w:jc w:val="center"/>
              <w:rPr>
                <w:rFonts w:ascii="Tahoma" w:hAnsi="Tahoma" w:cs="Tahoma"/>
                <w:b/>
                <w:bCs/>
                <w:iCs/>
                <w:color w:val="000000" w:themeColor="text1"/>
                <w:sz w:val="20"/>
                <w:szCs w:val="20"/>
              </w:rPr>
            </w:pPr>
            <w:r w:rsidRPr="008572C5">
              <w:rPr>
                <w:rFonts w:ascii="Tahoma" w:hAnsi="Tahoma" w:cs="Tahoma"/>
                <w:b/>
                <w:bCs/>
                <w:iCs/>
                <w:color w:val="000000" w:themeColor="text1"/>
                <w:sz w:val="20"/>
                <w:szCs w:val="20"/>
              </w:rPr>
              <w:t xml:space="preserve">Базовые параметры </w:t>
            </w:r>
            <w:r>
              <w:rPr>
                <w:rFonts w:ascii="Tahoma" w:hAnsi="Tahoma" w:cs="Tahoma"/>
                <w:b/>
                <w:bCs/>
                <w:iCs/>
                <w:color w:val="000000" w:themeColor="text1"/>
                <w:sz w:val="20"/>
                <w:szCs w:val="20"/>
              </w:rPr>
              <w:t>В</w:t>
            </w:r>
            <w:r w:rsidRPr="008572C5">
              <w:rPr>
                <w:rFonts w:ascii="Tahoma" w:hAnsi="Tahoma" w:cs="Tahoma"/>
                <w:b/>
                <w:bCs/>
                <w:iCs/>
                <w:color w:val="000000" w:themeColor="text1"/>
                <w:sz w:val="20"/>
                <w:szCs w:val="20"/>
              </w:rPr>
              <w:t>клада</w:t>
            </w:r>
          </w:p>
        </w:tc>
        <w:tc>
          <w:tcPr>
            <w:tcW w:w="10088" w:type="dxa"/>
            <w:gridSpan w:val="9"/>
          </w:tcPr>
          <w:p w14:paraId="587C496A" w14:textId="77777777" w:rsidR="00EA2CBD" w:rsidRPr="008572C5" w:rsidRDefault="00EA2CBD" w:rsidP="009D1253">
            <w:pPr>
              <w:jc w:val="center"/>
              <w:rPr>
                <w:rFonts w:ascii="Tahoma" w:hAnsi="Tahoma" w:cs="Tahoma"/>
                <w:b/>
                <w:bCs/>
                <w:iCs/>
                <w:sz w:val="20"/>
                <w:szCs w:val="20"/>
              </w:rPr>
            </w:pPr>
            <w:r w:rsidRPr="008572C5">
              <w:rPr>
                <w:rFonts w:ascii="Tahoma" w:hAnsi="Tahoma" w:cs="Tahoma"/>
                <w:b/>
                <w:bCs/>
                <w:iCs/>
                <w:sz w:val="20"/>
                <w:szCs w:val="20"/>
              </w:rPr>
              <w:t xml:space="preserve">Процентные ставки*** (% годовых) / Доход с учетом капитализации </w:t>
            </w:r>
            <w:r w:rsidRPr="008572C5">
              <w:rPr>
                <w:rFonts w:ascii="Tahoma" w:hAnsi="Tahoma" w:cs="Tahoma"/>
                <w:b/>
                <w:bCs/>
                <w:iCs/>
                <w:color w:val="000000" w:themeColor="text1"/>
                <w:sz w:val="20"/>
                <w:szCs w:val="20"/>
              </w:rPr>
              <w:t xml:space="preserve">(% годовых) в зависимости от срока </w:t>
            </w:r>
            <w:r>
              <w:rPr>
                <w:rFonts w:ascii="Tahoma" w:hAnsi="Tahoma" w:cs="Tahoma"/>
                <w:b/>
                <w:bCs/>
                <w:iCs/>
                <w:color w:val="000000" w:themeColor="text1"/>
                <w:sz w:val="20"/>
                <w:szCs w:val="20"/>
              </w:rPr>
              <w:t>В</w:t>
            </w:r>
            <w:r w:rsidRPr="008572C5">
              <w:rPr>
                <w:rFonts w:ascii="Tahoma" w:hAnsi="Tahoma" w:cs="Tahoma"/>
                <w:b/>
                <w:bCs/>
                <w:iCs/>
                <w:color w:val="000000" w:themeColor="text1"/>
                <w:sz w:val="20"/>
                <w:szCs w:val="20"/>
              </w:rPr>
              <w:t>клада***</w:t>
            </w:r>
          </w:p>
        </w:tc>
      </w:tr>
      <w:tr w:rsidR="00EA2CBD" w:rsidRPr="008572C5" w14:paraId="0069E31A" w14:textId="77777777" w:rsidTr="009D1253">
        <w:trPr>
          <w:trHeight w:val="302"/>
        </w:trPr>
        <w:tc>
          <w:tcPr>
            <w:tcW w:w="1418" w:type="dxa"/>
            <w:vMerge/>
            <w:vAlign w:val="center"/>
            <w:hideMark/>
          </w:tcPr>
          <w:p w14:paraId="6C9911BB" w14:textId="77777777" w:rsidR="00EA2CBD" w:rsidRPr="008572C5" w:rsidRDefault="00EA2CBD" w:rsidP="009D1253">
            <w:pPr>
              <w:rPr>
                <w:rFonts w:ascii="Tahoma" w:hAnsi="Tahoma" w:cs="Tahoma"/>
                <w:b/>
                <w:bCs/>
                <w:iCs/>
                <w:color w:val="000000" w:themeColor="text1"/>
                <w:sz w:val="20"/>
                <w:szCs w:val="20"/>
              </w:rPr>
            </w:pPr>
          </w:p>
        </w:tc>
        <w:tc>
          <w:tcPr>
            <w:tcW w:w="1583" w:type="dxa"/>
            <w:vMerge/>
            <w:vAlign w:val="center"/>
            <w:hideMark/>
          </w:tcPr>
          <w:p w14:paraId="474A3276" w14:textId="77777777" w:rsidR="00EA2CBD" w:rsidRPr="008572C5" w:rsidRDefault="00EA2CBD" w:rsidP="009D1253">
            <w:pPr>
              <w:rPr>
                <w:rFonts w:ascii="Tahoma" w:hAnsi="Tahoma" w:cs="Tahoma"/>
                <w:b/>
                <w:bCs/>
                <w:iCs/>
                <w:color w:val="000000" w:themeColor="text1"/>
                <w:sz w:val="20"/>
                <w:szCs w:val="20"/>
              </w:rPr>
            </w:pPr>
          </w:p>
        </w:tc>
        <w:tc>
          <w:tcPr>
            <w:tcW w:w="1252" w:type="dxa"/>
            <w:shd w:val="clear" w:color="auto" w:fill="auto"/>
            <w:noWrap/>
            <w:vAlign w:val="center"/>
            <w:hideMark/>
          </w:tcPr>
          <w:p w14:paraId="047EB8B4" w14:textId="77777777" w:rsidR="00EA2CBD" w:rsidRPr="008572C5" w:rsidRDefault="00EA2CBD" w:rsidP="009D1253">
            <w:pPr>
              <w:jc w:val="center"/>
              <w:rPr>
                <w:rFonts w:ascii="Tahoma" w:hAnsi="Tahoma" w:cs="Tahoma"/>
                <w:b/>
                <w:bCs/>
                <w:iCs/>
                <w:color w:val="000000" w:themeColor="text1"/>
                <w:sz w:val="20"/>
                <w:szCs w:val="20"/>
              </w:rPr>
            </w:pPr>
            <w:r w:rsidRPr="008572C5">
              <w:rPr>
                <w:rFonts w:ascii="Tahoma" w:hAnsi="Tahoma" w:cs="Tahoma"/>
                <w:b/>
                <w:bCs/>
                <w:iCs/>
                <w:color w:val="000000" w:themeColor="text1"/>
                <w:sz w:val="20"/>
                <w:szCs w:val="20"/>
              </w:rPr>
              <w:t xml:space="preserve">Валюта </w:t>
            </w:r>
            <w:r>
              <w:rPr>
                <w:rFonts w:ascii="Tahoma" w:hAnsi="Tahoma" w:cs="Tahoma"/>
                <w:b/>
                <w:bCs/>
                <w:iCs/>
                <w:color w:val="000000" w:themeColor="text1"/>
                <w:sz w:val="20"/>
                <w:szCs w:val="20"/>
              </w:rPr>
              <w:t>В</w:t>
            </w:r>
            <w:r w:rsidRPr="008572C5">
              <w:rPr>
                <w:rFonts w:ascii="Tahoma" w:hAnsi="Tahoma" w:cs="Tahoma"/>
                <w:b/>
                <w:bCs/>
                <w:iCs/>
                <w:color w:val="000000" w:themeColor="text1"/>
                <w:sz w:val="20"/>
                <w:szCs w:val="20"/>
              </w:rPr>
              <w:t>клада</w:t>
            </w:r>
          </w:p>
        </w:tc>
        <w:tc>
          <w:tcPr>
            <w:tcW w:w="1418" w:type="dxa"/>
            <w:shd w:val="clear" w:color="auto" w:fill="auto"/>
            <w:noWrap/>
            <w:vAlign w:val="center"/>
            <w:hideMark/>
          </w:tcPr>
          <w:p w14:paraId="0C809115" w14:textId="77777777" w:rsidR="00EA2CBD" w:rsidRPr="008572C5" w:rsidRDefault="00EA2CBD" w:rsidP="009D1253">
            <w:pPr>
              <w:jc w:val="center"/>
              <w:rPr>
                <w:rFonts w:ascii="Tahoma" w:hAnsi="Tahoma" w:cs="Tahoma"/>
                <w:b/>
                <w:bCs/>
                <w:iCs/>
                <w:color w:val="000000" w:themeColor="text1"/>
                <w:sz w:val="20"/>
                <w:szCs w:val="20"/>
              </w:rPr>
            </w:pPr>
            <w:r w:rsidRPr="008572C5">
              <w:rPr>
                <w:rFonts w:ascii="Tahoma" w:hAnsi="Tahoma" w:cs="Tahoma"/>
                <w:b/>
                <w:bCs/>
                <w:iCs/>
                <w:color w:val="000000" w:themeColor="text1"/>
                <w:sz w:val="20"/>
                <w:szCs w:val="20"/>
              </w:rPr>
              <w:t xml:space="preserve">Минимальная сумма </w:t>
            </w:r>
            <w:r>
              <w:rPr>
                <w:rFonts w:ascii="Tahoma" w:hAnsi="Tahoma" w:cs="Tahoma"/>
                <w:b/>
                <w:bCs/>
                <w:iCs/>
                <w:color w:val="000000" w:themeColor="text1"/>
                <w:sz w:val="20"/>
                <w:szCs w:val="20"/>
              </w:rPr>
              <w:t>В</w:t>
            </w:r>
            <w:r w:rsidRPr="008572C5">
              <w:rPr>
                <w:rFonts w:ascii="Tahoma" w:hAnsi="Tahoma" w:cs="Tahoma"/>
                <w:b/>
                <w:bCs/>
                <w:iCs/>
                <w:color w:val="000000" w:themeColor="text1"/>
                <w:sz w:val="20"/>
                <w:szCs w:val="20"/>
              </w:rPr>
              <w:t xml:space="preserve">клада </w:t>
            </w:r>
          </w:p>
        </w:tc>
        <w:tc>
          <w:tcPr>
            <w:tcW w:w="1157" w:type="dxa"/>
            <w:shd w:val="clear" w:color="auto" w:fill="auto"/>
            <w:noWrap/>
            <w:vAlign w:val="center"/>
          </w:tcPr>
          <w:p w14:paraId="3B4A953E" w14:textId="77777777" w:rsidR="00EA2CBD" w:rsidRPr="008572C5" w:rsidRDefault="00EA2CBD" w:rsidP="009D1253">
            <w:pPr>
              <w:jc w:val="center"/>
              <w:rPr>
                <w:rFonts w:ascii="Tahoma" w:hAnsi="Tahoma" w:cs="Tahoma"/>
                <w:b/>
                <w:bCs/>
                <w:iCs/>
                <w:color w:val="000000" w:themeColor="text1"/>
                <w:sz w:val="20"/>
                <w:szCs w:val="20"/>
              </w:rPr>
            </w:pPr>
            <w:r>
              <w:rPr>
                <w:rFonts w:ascii="Tahoma" w:hAnsi="Tahoma" w:cs="Tahoma"/>
                <w:b/>
                <w:bCs/>
                <w:iCs/>
                <w:color w:val="000000" w:themeColor="text1"/>
                <w:sz w:val="20"/>
                <w:szCs w:val="20"/>
              </w:rPr>
              <w:t>6</w:t>
            </w:r>
            <w:r w:rsidRPr="008572C5">
              <w:rPr>
                <w:rFonts w:ascii="Tahoma" w:hAnsi="Tahoma" w:cs="Tahoma"/>
                <w:b/>
                <w:bCs/>
                <w:iCs/>
                <w:color w:val="000000" w:themeColor="text1"/>
                <w:sz w:val="20"/>
                <w:szCs w:val="20"/>
              </w:rPr>
              <w:t>2 дня</w:t>
            </w:r>
          </w:p>
        </w:tc>
        <w:tc>
          <w:tcPr>
            <w:tcW w:w="993" w:type="dxa"/>
            <w:vAlign w:val="center"/>
          </w:tcPr>
          <w:p w14:paraId="374C315C" w14:textId="77777777" w:rsidR="00EA2CBD" w:rsidRPr="008572C5" w:rsidRDefault="00EA2CBD" w:rsidP="009D1253">
            <w:pPr>
              <w:jc w:val="center"/>
              <w:rPr>
                <w:rFonts w:ascii="Tahoma" w:hAnsi="Tahoma" w:cs="Tahoma"/>
                <w:b/>
                <w:bCs/>
                <w:iCs/>
                <w:color w:val="000000" w:themeColor="text1"/>
                <w:sz w:val="20"/>
                <w:szCs w:val="20"/>
              </w:rPr>
            </w:pPr>
            <w:r w:rsidRPr="008572C5">
              <w:rPr>
                <w:rFonts w:ascii="Tahoma" w:hAnsi="Tahoma" w:cs="Tahoma"/>
                <w:b/>
                <w:bCs/>
                <w:iCs/>
                <w:color w:val="000000" w:themeColor="text1"/>
                <w:sz w:val="20"/>
                <w:szCs w:val="20"/>
              </w:rPr>
              <w:t>92 дня</w:t>
            </w:r>
          </w:p>
        </w:tc>
        <w:tc>
          <w:tcPr>
            <w:tcW w:w="1134" w:type="dxa"/>
            <w:shd w:val="clear" w:color="auto" w:fill="auto"/>
            <w:noWrap/>
            <w:vAlign w:val="center"/>
            <w:hideMark/>
          </w:tcPr>
          <w:p w14:paraId="010E54FE" w14:textId="77777777" w:rsidR="00EA2CBD" w:rsidRPr="008572C5" w:rsidRDefault="00EA2CBD" w:rsidP="009D1253">
            <w:pPr>
              <w:jc w:val="center"/>
              <w:rPr>
                <w:rFonts w:ascii="Tahoma" w:hAnsi="Tahoma" w:cs="Tahoma"/>
                <w:b/>
                <w:bCs/>
                <w:iCs/>
                <w:color w:val="000000" w:themeColor="text1"/>
                <w:sz w:val="20"/>
                <w:szCs w:val="20"/>
              </w:rPr>
            </w:pPr>
            <w:r w:rsidRPr="008572C5">
              <w:rPr>
                <w:rFonts w:ascii="Tahoma" w:hAnsi="Tahoma" w:cs="Tahoma"/>
                <w:b/>
                <w:bCs/>
                <w:iCs/>
                <w:color w:val="000000" w:themeColor="text1"/>
                <w:sz w:val="20"/>
                <w:szCs w:val="20"/>
              </w:rPr>
              <w:t>122 дня</w:t>
            </w:r>
          </w:p>
        </w:tc>
        <w:tc>
          <w:tcPr>
            <w:tcW w:w="1275" w:type="dxa"/>
            <w:shd w:val="clear" w:color="auto" w:fill="auto"/>
            <w:vAlign w:val="center"/>
          </w:tcPr>
          <w:p w14:paraId="1DDF3B17" w14:textId="77777777" w:rsidR="00EA2CBD" w:rsidRPr="008572C5" w:rsidRDefault="00EA2CBD" w:rsidP="009D1253">
            <w:pPr>
              <w:jc w:val="center"/>
              <w:rPr>
                <w:rFonts w:ascii="Tahoma" w:hAnsi="Tahoma" w:cs="Tahoma"/>
                <w:b/>
                <w:bCs/>
                <w:iCs/>
                <w:color w:val="000000" w:themeColor="text1"/>
                <w:sz w:val="20"/>
                <w:szCs w:val="20"/>
              </w:rPr>
            </w:pPr>
            <w:r w:rsidRPr="008572C5">
              <w:rPr>
                <w:rFonts w:ascii="Tahoma" w:hAnsi="Tahoma" w:cs="Tahoma"/>
                <w:b/>
                <w:bCs/>
                <w:iCs/>
                <w:color w:val="000000" w:themeColor="text1"/>
                <w:sz w:val="20"/>
                <w:szCs w:val="20"/>
              </w:rPr>
              <w:t>182 дня</w:t>
            </w:r>
          </w:p>
        </w:tc>
        <w:tc>
          <w:tcPr>
            <w:tcW w:w="1134" w:type="dxa"/>
            <w:shd w:val="clear" w:color="auto" w:fill="auto"/>
            <w:vAlign w:val="center"/>
          </w:tcPr>
          <w:p w14:paraId="17EA9848" w14:textId="77777777" w:rsidR="00EA2CBD" w:rsidRPr="008572C5" w:rsidRDefault="00EA2CBD" w:rsidP="009D1253">
            <w:pPr>
              <w:jc w:val="center"/>
              <w:rPr>
                <w:rFonts w:ascii="Tahoma" w:hAnsi="Tahoma" w:cs="Tahoma"/>
                <w:b/>
                <w:bCs/>
                <w:iCs/>
                <w:color w:val="000000" w:themeColor="text1"/>
                <w:sz w:val="20"/>
                <w:szCs w:val="20"/>
              </w:rPr>
            </w:pPr>
            <w:r w:rsidRPr="008572C5">
              <w:rPr>
                <w:rFonts w:ascii="Tahoma" w:hAnsi="Tahoma" w:cs="Tahoma"/>
                <w:b/>
                <w:bCs/>
                <w:iCs/>
                <w:color w:val="000000" w:themeColor="text1"/>
                <w:sz w:val="20"/>
                <w:szCs w:val="20"/>
              </w:rPr>
              <w:t>243 дня</w:t>
            </w:r>
          </w:p>
        </w:tc>
        <w:tc>
          <w:tcPr>
            <w:tcW w:w="1134" w:type="dxa"/>
            <w:vAlign w:val="center"/>
          </w:tcPr>
          <w:p w14:paraId="1DE0C69B" w14:textId="77777777" w:rsidR="00EA2CBD" w:rsidRPr="008572C5" w:rsidRDefault="00EA2CBD" w:rsidP="009D1253">
            <w:pPr>
              <w:jc w:val="center"/>
              <w:rPr>
                <w:rFonts w:ascii="Tahoma" w:hAnsi="Tahoma" w:cs="Tahoma"/>
                <w:b/>
                <w:bCs/>
                <w:iCs/>
                <w:sz w:val="20"/>
                <w:szCs w:val="20"/>
              </w:rPr>
            </w:pPr>
            <w:r w:rsidRPr="008572C5">
              <w:rPr>
                <w:rFonts w:ascii="Tahoma" w:hAnsi="Tahoma" w:cs="Tahoma"/>
                <w:b/>
                <w:bCs/>
                <w:iCs/>
                <w:sz w:val="20"/>
                <w:szCs w:val="20"/>
              </w:rPr>
              <w:t>273 дня</w:t>
            </w:r>
          </w:p>
        </w:tc>
        <w:tc>
          <w:tcPr>
            <w:tcW w:w="1134" w:type="dxa"/>
            <w:shd w:val="clear" w:color="auto" w:fill="auto"/>
            <w:noWrap/>
            <w:vAlign w:val="center"/>
            <w:hideMark/>
          </w:tcPr>
          <w:p w14:paraId="532FEC3B" w14:textId="77777777" w:rsidR="00EA2CBD" w:rsidRPr="008572C5" w:rsidRDefault="00EA2CBD" w:rsidP="009D1253">
            <w:pPr>
              <w:jc w:val="center"/>
              <w:rPr>
                <w:rFonts w:ascii="Tahoma" w:hAnsi="Tahoma" w:cs="Tahoma"/>
                <w:b/>
                <w:bCs/>
                <w:iCs/>
                <w:sz w:val="20"/>
                <w:szCs w:val="20"/>
              </w:rPr>
            </w:pPr>
            <w:r w:rsidRPr="008572C5">
              <w:rPr>
                <w:rFonts w:ascii="Tahoma" w:hAnsi="Tahoma" w:cs="Tahoma"/>
                <w:b/>
                <w:bCs/>
                <w:iCs/>
                <w:color w:val="000000" w:themeColor="text1"/>
                <w:sz w:val="20"/>
                <w:szCs w:val="20"/>
              </w:rPr>
              <w:t>367 дней</w:t>
            </w:r>
          </w:p>
        </w:tc>
        <w:tc>
          <w:tcPr>
            <w:tcW w:w="1134" w:type="dxa"/>
            <w:vAlign w:val="center"/>
          </w:tcPr>
          <w:p w14:paraId="7086734D" w14:textId="77777777" w:rsidR="00EA2CBD" w:rsidRPr="008572C5" w:rsidRDefault="00EA2CBD" w:rsidP="009D1253">
            <w:pPr>
              <w:jc w:val="center"/>
              <w:rPr>
                <w:rFonts w:ascii="Tahoma" w:hAnsi="Tahoma" w:cs="Tahoma"/>
                <w:b/>
                <w:bCs/>
                <w:iCs/>
                <w:color w:val="000000" w:themeColor="text1"/>
                <w:sz w:val="20"/>
                <w:szCs w:val="20"/>
              </w:rPr>
            </w:pPr>
            <w:r w:rsidRPr="008572C5">
              <w:rPr>
                <w:rFonts w:ascii="Tahoma" w:hAnsi="Tahoma" w:cs="Tahoma"/>
                <w:b/>
                <w:bCs/>
                <w:iCs/>
                <w:color w:val="000000" w:themeColor="text1"/>
                <w:sz w:val="20"/>
                <w:szCs w:val="20"/>
              </w:rPr>
              <w:t>731 день</w:t>
            </w:r>
          </w:p>
        </w:tc>
        <w:tc>
          <w:tcPr>
            <w:tcW w:w="993" w:type="dxa"/>
            <w:vAlign w:val="center"/>
          </w:tcPr>
          <w:p w14:paraId="71024DA7" w14:textId="77777777" w:rsidR="00EA2CBD" w:rsidRPr="008572C5" w:rsidRDefault="00EA2CBD" w:rsidP="009D1253">
            <w:pPr>
              <w:jc w:val="center"/>
              <w:rPr>
                <w:rFonts w:ascii="Tahoma" w:hAnsi="Tahoma" w:cs="Tahoma"/>
                <w:b/>
                <w:bCs/>
                <w:iCs/>
                <w:color w:val="000000" w:themeColor="text1"/>
                <w:sz w:val="20"/>
                <w:szCs w:val="20"/>
              </w:rPr>
            </w:pPr>
            <w:r w:rsidRPr="008572C5">
              <w:rPr>
                <w:rFonts w:ascii="Tahoma" w:hAnsi="Tahoma" w:cs="Tahoma"/>
                <w:b/>
                <w:bCs/>
                <w:iCs/>
                <w:color w:val="000000" w:themeColor="text1"/>
                <w:sz w:val="20"/>
                <w:szCs w:val="20"/>
              </w:rPr>
              <w:t>1098 дней</w:t>
            </w:r>
          </w:p>
        </w:tc>
      </w:tr>
      <w:tr w:rsidR="00EA2CBD" w:rsidRPr="008572C5" w14:paraId="52E16B36" w14:textId="77777777" w:rsidTr="009D1253">
        <w:trPr>
          <w:trHeight w:val="55"/>
        </w:trPr>
        <w:tc>
          <w:tcPr>
            <w:tcW w:w="1418" w:type="dxa"/>
            <w:vMerge w:val="restart"/>
            <w:shd w:val="clear" w:color="auto" w:fill="auto"/>
            <w:vAlign w:val="center"/>
            <w:hideMark/>
          </w:tcPr>
          <w:p w14:paraId="793A116B" w14:textId="77777777" w:rsidR="00EA2CBD" w:rsidRPr="008572C5" w:rsidRDefault="00EA2CBD" w:rsidP="009D1253">
            <w:pPr>
              <w:jc w:val="center"/>
              <w:rPr>
                <w:rFonts w:ascii="Tahoma" w:hAnsi="Tahoma" w:cs="Tahoma"/>
                <w:bCs/>
                <w:iCs/>
                <w:color w:val="000000" w:themeColor="text1"/>
                <w:sz w:val="20"/>
                <w:szCs w:val="20"/>
              </w:rPr>
            </w:pPr>
            <w:r w:rsidRPr="008572C5">
              <w:rPr>
                <w:rFonts w:ascii="Tahoma" w:hAnsi="Tahoma" w:cs="Tahoma"/>
                <w:bCs/>
                <w:iCs/>
                <w:color w:val="000000" w:themeColor="text1"/>
                <w:sz w:val="20"/>
                <w:szCs w:val="20"/>
              </w:rPr>
              <w:t>Все категории клиентов</w:t>
            </w:r>
          </w:p>
        </w:tc>
        <w:tc>
          <w:tcPr>
            <w:tcW w:w="1583" w:type="dxa"/>
            <w:vMerge w:val="restart"/>
            <w:shd w:val="clear" w:color="000000" w:fill="FFC000"/>
            <w:vAlign w:val="center"/>
            <w:hideMark/>
          </w:tcPr>
          <w:p w14:paraId="43BB1FD2" w14:textId="77777777" w:rsidR="00EA2CBD" w:rsidRPr="008572C5" w:rsidRDefault="00EA2CBD" w:rsidP="009D1253">
            <w:pPr>
              <w:jc w:val="center"/>
              <w:rPr>
                <w:rFonts w:ascii="Tahoma" w:hAnsi="Tahoma" w:cs="Tahoma"/>
                <w:bCs/>
                <w:iCs/>
                <w:color w:val="000000" w:themeColor="text1"/>
                <w:sz w:val="20"/>
                <w:szCs w:val="20"/>
              </w:rPr>
            </w:pPr>
            <w:r w:rsidRPr="008572C5">
              <w:rPr>
                <w:rFonts w:ascii="Tahoma" w:hAnsi="Tahoma" w:cs="Tahoma"/>
                <w:bCs/>
                <w:iCs/>
                <w:color w:val="000000" w:themeColor="text1"/>
                <w:sz w:val="20"/>
                <w:szCs w:val="20"/>
              </w:rPr>
              <w:t xml:space="preserve">АТБ. Вклад </w:t>
            </w:r>
          </w:p>
          <w:p w14:paraId="7CC09D5E" w14:textId="77777777" w:rsidR="00EA2CBD" w:rsidRPr="008572C5" w:rsidRDefault="00EA2CBD" w:rsidP="009D1253">
            <w:pPr>
              <w:jc w:val="center"/>
              <w:rPr>
                <w:rFonts w:ascii="Tahoma" w:hAnsi="Tahoma" w:cs="Tahoma"/>
                <w:bCs/>
                <w:iCs/>
                <w:color w:val="000000" w:themeColor="text1"/>
                <w:sz w:val="20"/>
                <w:szCs w:val="20"/>
              </w:rPr>
            </w:pPr>
            <w:r w:rsidRPr="008572C5">
              <w:rPr>
                <w:rFonts w:ascii="Tahoma" w:hAnsi="Tahoma" w:cs="Tahoma"/>
                <w:bCs/>
                <w:iCs/>
                <w:color w:val="000000" w:themeColor="text1"/>
                <w:sz w:val="20"/>
                <w:szCs w:val="20"/>
              </w:rPr>
              <w:t>(с пополнением)</w:t>
            </w:r>
          </w:p>
        </w:tc>
        <w:tc>
          <w:tcPr>
            <w:tcW w:w="1252" w:type="dxa"/>
            <w:shd w:val="clear" w:color="auto" w:fill="auto"/>
            <w:noWrap/>
            <w:vAlign w:val="center"/>
            <w:hideMark/>
          </w:tcPr>
          <w:p w14:paraId="04621670" w14:textId="77777777" w:rsidR="00EA2CBD" w:rsidRPr="008572C5" w:rsidRDefault="00EA2CBD" w:rsidP="009D1253">
            <w:pPr>
              <w:jc w:val="center"/>
              <w:rPr>
                <w:rFonts w:ascii="Tahoma" w:hAnsi="Tahoma" w:cs="Tahoma"/>
                <w:bCs/>
                <w:iCs/>
                <w:color w:val="000000" w:themeColor="text1"/>
                <w:sz w:val="20"/>
                <w:szCs w:val="20"/>
              </w:rPr>
            </w:pPr>
            <w:r w:rsidRPr="008572C5">
              <w:rPr>
                <w:rFonts w:ascii="Tahoma" w:hAnsi="Tahoma" w:cs="Tahoma"/>
                <w:bCs/>
                <w:iCs/>
                <w:color w:val="000000" w:themeColor="text1"/>
                <w:sz w:val="20"/>
                <w:szCs w:val="20"/>
              </w:rPr>
              <w:t>рубли</w:t>
            </w:r>
          </w:p>
        </w:tc>
        <w:tc>
          <w:tcPr>
            <w:tcW w:w="1418" w:type="dxa"/>
            <w:shd w:val="clear" w:color="auto" w:fill="auto"/>
            <w:noWrap/>
            <w:vAlign w:val="center"/>
            <w:hideMark/>
          </w:tcPr>
          <w:p w14:paraId="420380C2" w14:textId="77777777" w:rsidR="00EA2CBD" w:rsidRPr="008572C5" w:rsidRDefault="00EA2CBD" w:rsidP="009D1253">
            <w:pPr>
              <w:jc w:val="center"/>
              <w:rPr>
                <w:rFonts w:ascii="Tahoma" w:hAnsi="Tahoma" w:cs="Tahoma"/>
                <w:bCs/>
                <w:iCs/>
                <w:color w:val="000000" w:themeColor="text1"/>
                <w:sz w:val="20"/>
                <w:szCs w:val="20"/>
              </w:rPr>
            </w:pPr>
            <w:r w:rsidRPr="008572C5">
              <w:rPr>
                <w:rFonts w:ascii="Tahoma" w:hAnsi="Tahoma" w:cs="Tahoma"/>
                <w:bCs/>
                <w:iCs/>
                <w:color w:val="000000" w:themeColor="text1"/>
                <w:sz w:val="20"/>
                <w:szCs w:val="20"/>
              </w:rPr>
              <w:t>5 000</w:t>
            </w:r>
          </w:p>
        </w:tc>
        <w:tc>
          <w:tcPr>
            <w:tcW w:w="1157" w:type="dxa"/>
            <w:shd w:val="clear" w:color="auto" w:fill="auto"/>
            <w:noWrap/>
            <w:vAlign w:val="center"/>
          </w:tcPr>
          <w:p w14:paraId="1B6F638D" w14:textId="77777777" w:rsidR="00EA2CBD" w:rsidRPr="00D949E9" w:rsidRDefault="00EA2CBD" w:rsidP="009D1253">
            <w:pPr>
              <w:jc w:val="center"/>
              <w:rPr>
                <w:rFonts w:ascii="Tahoma" w:hAnsi="Tahoma" w:cs="Tahoma"/>
                <w:color w:val="000000" w:themeColor="text1"/>
                <w:sz w:val="20"/>
                <w:szCs w:val="20"/>
              </w:rPr>
            </w:pPr>
            <w:r w:rsidRPr="00D949E9">
              <w:rPr>
                <w:rFonts w:ascii="Tahoma" w:hAnsi="Tahoma" w:cs="Tahoma"/>
                <w:color w:val="000000" w:themeColor="text1"/>
                <w:sz w:val="20"/>
                <w:szCs w:val="20"/>
              </w:rPr>
              <w:t xml:space="preserve">13,500/ </w:t>
            </w:r>
            <w:r>
              <w:rPr>
                <w:rFonts w:ascii="Tahoma" w:hAnsi="Tahoma" w:cs="Tahoma"/>
                <w:color w:val="000000" w:themeColor="text1"/>
                <w:sz w:val="20"/>
                <w:szCs w:val="20"/>
              </w:rPr>
              <w:t>13,577</w:t>
            </w:r>
          </w:p>
        </w:tc>
        <w:tc>
          <w:tcPr>
            <w:tcW w:w="993" w:type="dxa"/>
            <w:vAlign w:val="center"/>
          </w:tcPr>
          <w:p w14:paraId="1B4AE03B" w14:textId="77777777" w:rsidR="00EA2CBD" w:rsidRPr="00D949E9" w:rsidRDefault="00EA2CBD" w:rsidP="009D1253">
            <w:pPr>
              <w:jc w:val="center"/>
              <w:rPr>
                <w:rFonts w:ascii="Tahoma" w:hAnsi="Tahoma" w:cs="Tahoma"/>
                <w:color w:val="000000" w:themeColor="text1"/>
                <w:sz w:val="20"/>
                <w:szCs w:val="20"/>
              </w:rPr>
            </w:pPr>
            <w:r w:rsidRPr="00D949E9">
              <w:rPr>
                <w:rFonts w:ascii="Tahoma" w:hAnsi="Tahoma" w:cs="Tahoma"/>
                <w:color w:val="000000" w:themeColor="text1"/>
                <w:sz w:val="20"/>
                <w:szCs w:val="20"/>
              </w:rPr>
              <w:t>13,800/ 13,</w:t>
            </w:r>
            <w:r>
              <w:rPr>
                <w:rFonts w:ascii="Tahoma" w:hAnsi="Tahoma" w:cs="Tahoma"/>
                <w:color w:val="000000" w:themeColor="text1"/>
                <w:sz w:val="20"/>
                <w:szCs w:val="20"/>
              </w:rPr>
              <w:t>962</w:t>
            </w:r>
          </w:p>
        </w:tc>
        <w:tc>
          <w:tcPr>
            <w:tcW w:w="1134" w:type="dxa"/>
            <w:shd w:val="clear" w:color="auto" w:fill="auto"/>
            <w:noWrap/>
            <w:vAlign w:val="center"/>
          </w:tcPr>
          <w:p w14:paraId="22890044" w14:textId="77777777" w:rsidR="00EA2CBD" w:rsidRPr="00D949E9" w:rsidRDefault="00EA2CBD" w:rsidP="009D1253">
            <w:pPr>
              <w:jc w:val="center"/>
              <w:rPr>
                <w:rFonts w:ascii="Tahoma" w:hAnsi="Tahoma" w:cs="Tahoma"/>
                <w:color w:val="000000" w:themeColor="text1"/>
                <w:sz w:val="20"/>
                <w:szCs w:val="20"/>
              </w:rPr>
            </w:pPr>
            <w:r w:rsidRPr="00D949E9">
              <w:rPr>
                <w:rFonts w:ascii="Tahoma" w:hAnsi="Tahoma" w:cs="Tahoma"/>
                <w:color w:val="000000" w:themeColor="text1"/>
                <w:sz w:val="20"/>
                <w:szCs w:val="20"/>
              </w:rPr>
              <w:t xml:space="preserve">13,800/ </w:t>
            </w:r>
            <w:r>
              <w:rPr>
                <w:rFonts w:ascii="Tahoma" w:hAnsi="Tahoma" w:cs="Tahoma"/>
                <w:color w:val="000000" w:themeColor="text1"/>
                <w:sz w:val="20"/>
                <w:szCs w:val="20"/>
              </w:rPr>
              <w:t>14,040</w:t>
            </w:r>
          </w:p>
        </w:tc>
        <w:tc>
          <w:tcPr>
            <w:tcW w:w="1275" w:type="dxa"/>
            <w:shd w:val="clear" w:color="auto" w:fill="auto"/>
            <w:vAlign w:val="center"/>
          </w:tcPr>
          <w:p w14:paraId="7CDBF975" w14:textId="77777777" w:rsidR="00EA2CBD" w:rsidRPr="00D949E9" w:rsidRDefault="00EA2CBD" w:rsidP="009D1253">
            <w:pPr>
              <w:jc w:val="center"/>
              <w:rPr>
                <w:rFonts w:ascii="Tahoma" w:hAnsi="Tahoma" w:cs="Tahoma"/>
                <w:color w:val="000000" w:themeColor="text1"/>
                <w:sz w:val="20"/>
                <w:szCs w:val="20"/>
              </w:rPr>
            </w:pPr>
            <w:r w:rsidRPr="00D949E9">
              <w:rPr>
                <w:rFonts w:ascii="Tahoma" w:hAnsi="Tahoma" w:cs="Tahoma"/>
                <w:color w:val="000000" w:themeColor="text1"/>
                <w:sz w:val="20"/>
                <w:szCs w:val="20"/>
              </w:rPr>
              <w:t xml:space="preserve">13,800/ </w:t>
            </w:r>
            <w:r>
              <w:rPr>
                <w:rFonts w:ascii="Tahoma" w:hAnsi="Tahoma" w:cs="Tahoma"/>
                <w:color w:val="000000" w:themeColor="text1"/>
                <w:sz w:val="20"/>
                <w:szCs w:val="20"/>
              </w:rPr>
              <w:t>14,201</w:t>
            </w:r>
          </w:p>
        </w:tc>
        <w:tc>
          <w:tcPr>
            <w:tcW w:w="1134" w:type="dxa"/>
            <w:shd w:val="clear" w:color="auto" w:fill="auto"/>
            <w:vAlign w:val="center"/>
          </w:tcPr>
          <w:p w14:paraId="1DFDE5A8" w14:textId="77777777" w:rsidR="00EA2CBD" w:rsidRPr="00D949E9" w:rsidRDefault="00EA2CBD" w:rsidP="009D1253">
            <w:pPr>
              <w:jc w:val="center"/>
              <w:rPr>
                <w:rFonts w:ascii="Tahoma" w:hAnsi="Tahoma" w:cs="Tahoma"/>
                <w:color w:val="000000" w:themeColor="text1"/>
                <w:sz w:val="20"/>
                <w:szCs w:val="20"/>
              </w:rPr>
            </w:pPr>
            <w:r w:rsidRPr="00D949E9">
              <w:rPr>
                <w:rFonts w:ascii="Tahoma" w:hAnsi="Tahoma" w:cs="Tahoma"/>
                <w:color w:val="000000" w:themeColor="text1"/>
                <w:sz w:val="20"/>
                <w:szCs w:val="20"/>
              </w:rPr>
              <w:t xml:space="preserve">12,900/ </w:t>
            </w:r>
            <w:r>
              <w:rPr>
                <w:rFonts w:ascii="Tahoma" w:hAnsi="Tahoma" w:cs="Tahoma"/>
                <w:color w:val="000000" w:themeColor="text1"/>
                <w:sz w:val="20"/>
                <w:szCs w:val="20"/>
              </w:rPr>
              <w:t>13,394</w:t>
            </w:r>
          </w:p>
        </w:tc>
        <w:tc>
          <w:tcPr>
            <w:tcW w:w="1134" w:type="dxa"/>
            <w:vAlign w:val="center"/>
          </w:tcPr>
          <w:p w14:paraId="30602417" w14:textId="77777777" w:rsidR="00EA2CBD" w:rsidRPr="00D949E9" w:rsidRDefault="00EA2CBD" w:rsidP="009D1253">
            <w:pPr>
              <w:jc w:val="center"/>
              <w:rPr>
                <w:rFonts w:ascii="Tahoma" w:hAnsi="Tahoma" w:cs="Tahoma"/>
                <w:color w:val="000000" w:themeColor="text1"/>
                <w:sz w:val="20"/>
                <w:szCs w:val="20"/>
              </w:rPr>
            </w:pPr>
            <w:r w:rsidRPr="00D949E9">
              <w:rPr>
                <w:rFonts w:ascii="Tahoma" w:hAnsi="Tahoma" w:cs="Tahoma"/>
                <w:color w:val="000000" w:themeColor="text1"/>
                <w:sz w:val="20"/>
                <w:szCs w:val="20"/>
              </w:rPr>
              <w:t xml:space="preserve">13,000/ </w:t>
            </w:r>
            <w:r>
              <w:rPr>
                <w:rFonts w:ascii="Tahoma" w:hAnsi="Tahoma" w:cs="Tahoma"/>
                <w:color w:val="000000" w:themeColor="text1"/>
                <w:sz w:val="20"/>
                <w:szCs w:val="20"/>
              </w:rPr>
              <w:t>13,575</w:t>
            </w:r>
          </w:p>
        </w:tc>
        <w:tc>
          <w:tcPr>
            <w:tcW w:w="1134" w:type="dxa"/>
            <w:shd w:val="clear" w:color="auto" w:fill="auto"/>
            <w:noWrap/>
            <w:vAlign w:val="center"/>
          </w:tcPr>
          <w:p w14:paraId="735559D3" w14:textId="77777777" w:rsidR="00EA2CBD" w:rsidRPr="00D949E9" w:rsidRDefault="00EA2CBD" w:rsidP="009D1253">
            <w:pPr>
              <w:jc w:val="center"/>
              <w:rPr>
                <w:rFonts w:ascii="Tahoma" w:hAnsi="Tahoma" w:cs="Tahoma"/>
                <w:color w:val="000000" w:themeColor="text1"/>
                <w:sz w:val="20"/>
                <w:szCs w:val="20"/>
              </w:rPr>
            </w:pPr>
            <w:r w:rsidRPr="00D949E9">
              <w:rPr>
                <w:rFonts w:ascii="Tahoma" w:hAnsi="Tahoma" w:cs="Tahoma"/>
                <w:color w:val="000000" w:themeColor="text1"/>
                <w:sz w:val="20"/>
                <w:szCs w:val="20"/>
              </w:rPr>
              <w:t xml:space="preserve">13,600/ </w:t>
            </w:r>
            <w:r>
              <w:rPr>
                <w:rFonts w:ascii="Tahoma" w:hAnsi="Tahoma" w:cs="Tahoma"/>
                <w:color w:val="000000" w:themeColor="text1"/>
                <w:sz w:val="20"/>
                <w:szCs w:val="20"/>
              </w:rPr>
              <w:t>14,484</w:t>
            </w:r>
          </w:p>
        </w:tc>
        <w:tc>
          <w:tcPr>
            <w:tcW w:w="1134" w:type="dxa"/>
            <w:vAlign w:val="center"/>
          </w:tcPr>
          <w:p w14:paraId="2C63DAD5" w14:textId="77777777" w:rsidR="00EA2CBD" w:rsidRPr="00D949E9" w:rsidRDefault="00EA2CBD" w:rsidP="009D1253">
            <w:pPr>
              <w:jc w:val="center"/>
              <w:rPr>
                <w:rFonts w:ascii="Tahoma" w:hAnsi="Tahoma" w:cs="Tahoma"/>
                <w:color w:val="000000" w:themeColor="text1"/>
                <w:sz w:val="20"/>
                <w:szCs w:val="20"/>
              </w:rPr>
            </w:pPr>
            <w:r w:rsidRPr="00D949E9">
              <w:rPr>
                <w:rFonts w:ascii="Tahoma" w:hAnsi="Tahoma" w:cs="Tahoma"/>
                <w:color w:val="000000" w:themeColor="text1"/>
                <w:sz w:val="20"/>
                <w:szCs w:val="20"/>
              </w:rPr>
              <w:t>9,100/ 9,940</w:t>
            </w:r>
          </w:p>
        </w:tc>
        <w:tc>
          <w:tcPr>
            <w:tcW w:w="993" w:type="dxa"/>
            <w:vAlign w:val="center"/>
          </w:tcPr>
          <w:p w14:paraId="0DCED581" w14:textId="77777777" w:rsidR="00EA2CBD" w:rsidRPr="00D949E9" w:rsidRDefault="00EA2CBD" w:rsidP="009D1253">
            <w:pPr>
              <w:jc w:val="center"/>
              <w:rPr>
                <w:rFonts w:ascii="Tahoma" w:hAnsi="Tahoma" w:cs="Tahoma"/>
                <w:color w:val="000000" w:themeColor="text1"/>
                <w:sz w:val="20"/>
                <w:szCs w:val="20"/>
              </w:rPr>
            </w:pPr>
            <w:r w:rsidRPr="00D949E9">
              <w:rPr>
                <w:rFonts w:ascii="Tahoma" w:hAnsi="Tahoma" w:cs="Tahoma"/>
                <w:color w:val="000000" w:themeColor="text1"/>
                <w:sz w:val="20"/>
                <w:szCs w:val="20"/>
              </w:rPr>
              <w:t>9,200/ 10,551</w:t>
            </w:r>
          </w:p>
        </w:tc>
      </w:tr>
      <w:tr w:rsidR="00EA2CBD" w:rsidRPr="008572C5" w14:paraId="611219D2" w14:textId="77777777" w:rsidTr="009D1253">
        <w:trPr>
          <w:trHeight w:val="73"/>
        </w:trPr>
        <w:tc>
          <w:tcPr>
            <w:tcW w:w="1418" w:type="dxa"/>
            <w:vMerge/>
            <w:vAlign w:val="center"/>
          </w:tcPr>
          <w:p w14:paraId="2CDADD0C" w14:textId="77777777" w:rsidR="00EA2CBD" w:rsidRPr="008572C5" w:rsidRDefault="00EA2CBD" w:rsidP="009D1253">
            <w:pPr>
              <w:rPr>
                <w:rFonts w:ascii="Tahoma" w:hAnsi="Tahoma" w:cs="Tahoma"/>
                <w:bCs/>
                <w:iCs/>
                <w:color w:val="000000" w:themeColor="text1"/>
                <w:sz w:val="20"/>
                <w:szCs w:val="20"/>
              </w:rPr>
            </w:pPr>
          </w:p>
        </w:tc>
        <w:tc>
          <w:tcPr>
            <w:tcW w:w="1583" w:type="dxa"/>
            <w:vMerge/>
            <w:vAlign w:val="center"/>
          </w:tcPr>
          <w:p w14:paraId="635ED472" w14:textId="77777777" w:rsidR="00EA2CBD" w:rsidRPr="008572C5" w:rsidRDefault="00EA2CBD" w:rsidP="009D1253">
            <w:pPr>
              <w:rPr>
                <w:rFonts w:ascii="Tahoma" w:hAnsi="Tahoma" w:cs="Tahoma"/>
                <w:bCs/>
                <w:iCs/>
                <w:color w:val="000000" w:themeColor="text1"/>
                <w:sz w:val="20"/>
                <w:szCs w:val="20"/>
              </w:rPr>
            </w:pPr>
          </w:p>
        </w:tc>
        <w:tc>
          <w:tcPr>
            <w:tcW w:w="1252" w:type="dxa"/>
            <w:shd w:val="clear" w:color="auto" w:fill="auto"/>
            <w:noWrap/>
            <w:vAlign w:val="center"/>
          </w:tcPr>
          <w:p w14:paraId="4809175E" w14:textId="77777777" w:rsidR="00EA2CBD" w:rsidRPr="008572C5" w:rsidRDefault="00EA2CBD" w:rsidP="009D1253">
            <w:pPr>
              <w:jc w:val="center"/>
              <w:rPr>
                <w:rFonts w:ascii="Tahoma" w:hAnsi="Tahoma" w:cs="Tahoma"/>
                <w:bCs/>
                <w:iCs/>
                <w:sz w:val="20"/>
                <w:szCs w:val="20"/>
              </w:rPr>
            </w:pPr>
            <w:r w:rsidRPr="008572C5">
              <w:rPr>
                <w:rFonts w:ascii="Tahoma" w:hAnsi="Tahoma" w:cs="Tahoma"/>
                <w:bCs/>
                <w:iCs/>
                <w:sz w:val="20"/>
                <w:szCs w:val="20"/>
              </w:rPr>
              <w:t>китайский юань</w:t>
            </w:r>
          </w:p>
        </w:tc>
        <w:tc>
          <w:tcPr>
            <w:tcW w:w="1418" w:type="dxa"/>
            <w:shd w:val="clear" w:color="auto" w:fill="auto"/>
            <w:noWrap/>
            <w:vAlign w:val="center"/>
          </w:tcPr>
          <w:p w14:paraId="1FD257F4" w14:textId="77777777" w:rsidR="00EA2CBD" w:rsidRPr="008572C5" w:rsidRDefault="00EA2CBD" w:rsidP="009D1253">
            <w:pPr>
              <w:jc w:val="center"/>
              <w:rPr>
                <w:rFonts w:ascii="Tahoma" w:hAnsi="Tahoma" w:cs="Tahoma"/>
                <w:bCs/>
                <w:iCs/>
                <w:sz w:val="20"/>
                <w:szCs w:val="20"/>
              </w:rPr>
            </w:pPr>
            <w:r w:rsidRPr="008572C5">
              <w:rPr>
                <w:rFonts w:ascii="Tahoma" w:hAnsi="Tahoma" w:cs="Tahoma"/>
                <w:bCs/>
                <w:iCs/>
                <w:sz w:val="20"/>
                <w:szCs w:val="20"/>
              </w:rPr>
              <w:t>700</w:t>
            </w:r>
          </w:p>
        </w:tc>
        <w:tc>
          <w:tcPr>
            <w:tcW w:w="1157" w:type="dxa"/>
            <w:shd w:val="clear" w:color="auto" w:fill="auto"/>
            <w:noWrap/>
            <w:vAlign w:val="center"/>
          </w:tcPr>
          <w:p w14:paraId="6384E735" w14:textId="77777777" w:rsidR="00EA2CBD" w:rsidRPr="008572C5" w:rsidRDefault="00EA2CBD" w:rsidP="009D1253">
            <w:pPr>
              <w:jc w:val="center"/>
              <w:rPr>
                <w:rFonts w:ascii="Tahoma" w:hAnsi="Tahoma" w:cs="Tahoma"/>
                <w:color w:val="000000"/>
                <w:sz w:val="20"/>
                <w:szCs w:val="20"/>
              </w:rPr>
            </w:pPr>
            <w:r>
              <w:rPr>
                <w:rFonts w:ascii="Tahoma" w:hAnsi="Tahoma" w:cs="Tahoma"/>
                <w:color w:val="000000"/>
                <w:sz w:val="20"/>
                <w:szCs w:val="20"/>
              </w:rPr>
              <w:t>-</w:t>
            </w:r>
          </w:p>
        </w:tc>
        <w:tc>
          <w:tcPr>
            <w:tcW w:w="993" w:type="dxa"/>
            <w:vAlign w:val="center"/>
          </w:tcPr>
          <w:p w14:paraId="7CA6C59A" w14:textId="77777777" w:rsidR="00EA2CBD" w:rsidRPr="008572C5" w:rsidRDefault="00EA2CBD" w:rsidP="009D1253">
            <w:pPr>
              <w:jc w:val="center"/>
              <w:rPr>
                <w:rFonts w:ascii="Tahoma" w:hAnsi="Tahoma" w:cs="Tahoma"/>
                <w:color w:val="000000"/>
                <w:sz w:val="20"/>
                <w:szCs w:val="20"/>
              </w:rPr>
            </w:pPr>
            <w:r>
              <w:rPr>
                <w:rFonts w:ascii="Tahoma" w:hAnsi="Tahoma" w:cs="Tahoma"/>
                <w:color w:val="000000"/>
                <w:sz w:val="20"/>
                <w:szCs w:val="20"/>
              </w:rPr>
              <w:t>3,500/ 3,510</w:t>
            </w:r>
          </w:p>
        </w:tc>
        <w:tc>
          <w:tcPr>
            <w:tcW w:w="1134" w:type="dxa"/>
            <w:shd w:val="clear" w:color="auto" w:fill="auto"/>
            <w:noWrap/>
            <w:vAlign w:val="center"/>
          </w:tcPr>
          <w:p w14:paraId="24F78D9F" w14:textId="77777777" w:rsidR="00EA2CBD" w:rsidRPr="008572C5" w:rsidRDefault="00EA2CBD" w:rsidP="009D1253">
            <w:pPr>
              <w:jc w:val="center"/>
              <w:rPr>
                <w:rFonts w:ascii="Tahoma" w:hAnsi="Tahoma" w:cs="Tahoma"/>
                <w:color w:val="000000"/>
                <w:sz w:val="20"/>
                <w:szCs w:val="20"/>
              </w:rPr>
            </w:pPr>
            <w:r w:rsidRPr="008572C5">
              <w:rPr>
                <w:rFonts w:ascii="Tahoma" w:hAnsi="Tahoma" w:cs="Tahoma"/>
                <w:color w:val="000000"/>
                <w:sz w:val="20"/>
                <w:szCs w:val="20"/>
              </w:rPr>
              <w:t>-</w:t>
            </w:r>
          </w:p>
        </w:tc>
        <w:tc>
          <w:tcPr>
            <w:tcW w:w="1275" w:type="dxa"/>
            <w:shd w:val="clear" w:color="auto" w:fill="auto"/>
            <w:vAlign w:val="center"/>
          </w:tcPr>
          <w:p w14:paraId="4800DD29" w14:textId="77777777" w:rsidR="00EA2CBD" w:rsidRPr="008572C5" w:rsidRDefault="00EA2CBD" w:rsidP="009D1253">
            <w:pPr>
              <w:jc w:val="center"/>
              <w:rPr>
                <w:rFonts w:ascii="Tahoma" w:hAnsi="Tahoma" w:cs="Tahoma"/>
                <w:color w:val="000000"/>
                <w:sz w:val="20"/>
                <w:szCs w:val="20"/>
              </w:rPr>
            </w:pPr>
            <w:r>
              <w:rPr>
                <w:rFonts w:ascii="Tahoma" w:hAnsi="Tahoma" w:cs="Tahoma"/>
                <w:color w:val="000000"/>
                <w:sz w:val="20"/>
                <w:szCs w:val="20"/>
              </w:rPr>
              <w:t>4,500/ 4,542</w:t>
            </w:r>
          </w:p>
        </w:tc>
        <w:tc>
          <w:tcPr>
            <w:tcW w:w="1134" w:type="dxa"/>
            <w:shd w:val="clear" w:color="auto" w:fill="auto"/>
            <w:vAlign w:val="center"/>
          </w:tcPr>
          <w:p w14:paraId="643143E9" w14:textId="77777777" w:rsidR="00EA2CBD" w:rsidRPr="008572C5" w:rsidRDefault="00EA2CBD" w:rsidP="009D1253">
            <w:pPr>
              <w:jc w:val="center"/>
              <w:rPr>
                <w:rFonts w:ascii="Tahoma" w:hAnsi="Tahoma" w:cs="Tahoma"/>
                <w:color w:val="000000"/>
                <w:sz w:val="20"/>
                <w:szCs w:val="20"/>
              </w:rPr>
            </w:pPr>
            <w:r w:rsidRPr="008572C5">
              <w:rPr>
                <w:rFonts w:ascii="Tahoma" w:hAnsi="Tahoma" w:cs="Tahoma"/>
                <w:color w:val="000000"/>
                <w:sz w:val="20"/>
                <w:szCs w:val="20"/>
              </w:rPr>
              <w:t>-</w:t>
            </w:r>
          </w:p>
        </w:tc>
        <w:tc>
          <w:tcPr>
            <w:tcW w:w="1134" w:type="dxa"/>
            <w:vAlign w:val="center"/>
          </w:tcPr>
          <w:p w14:paraId="51072F90" w14:textId="77777777" w:rsidR="00EA2CBD" w:rsidRPr="008572C5" w:rsidRDefault="00EA2CBD" w:rsidP="009D1253">
            <w:pPr>
              <w:jc w:val="center"/>
              <w:rPr>
                <w:rFonts w:ascii="Tahoma" w:hAnsi="Tahoma" w:cs="Tahoma"/>
                <w:sz w:val="20"/>
                <w:szCs w:val="20"/>
              </w:rPr>
            </w:pPr>
            <w:r w:rsidRPr="008572C5">
              <w:rPr>
                <w:rFonts w:ascii="Tahoma" w:hAnsi="Tahoma" w:cs="Tahoma"/>
                <w:sz w:val="20"/>
                <w:szCs w:val="20"/>
              </w:rPr>
              <w:t>-</w:t>
            </w:r>
          </w:p>
        </w:tc>
        <w:tc>
          <w:tcPr>
            <w:tcW w:w="1134" w:type="dxa"/>
            <w:shd w:val="clear" w:color="auto" w:fill="auto"/>
            <w:noWrap/>
            <w:vAlign w:val="center"/>
          </w:tcPr>
          <w:p w14:paraId="1BB89310" w14:textId="77777777" w:rsidR="00EA2CBD" w:rsidRPr="008572C5" w:rsidRDefault="00EA2CBD" w:rsidP="009D1253">
            <w:pPr>
              <w:jc w:val="center"/>
              <w:rPr>
                <w:rFonts w:ascii="Tahoma" w:hAnsi="Tahoma" w:cs="Tahoma"/>
                <w:color w:val="000000"/>
                <w:sz w:val="20"/>
                <w:szCs w:val="20"/>
              </w:rPr>
            </w:pPr>
            <w:r w:rsidRPr="008572C5">
              <w:rPr>
                <w:rFonts w:ascii="Tahoma" w:hAnsi="Tahoma" w:cs="Tahoma"/>
                <w:color w:val="000000"/>
                <w:sz w:val="20"/>
                <w:szCs w:val="20"/>
              </w:rPr>
              <w:t>-</w:t>
            </w:r>
          </w:p>
        </w:tc>
        <w:tc>
          <w:tcPr>
            <w:tcW w:w="1134" w:type="dxa"/>
            <w:vAlign w:val="center"/>
          </w:tcPr>
          <w:p w14:paraId="12EE87EF" w14:textId="77777777" w:rsidR="00EA2CBD" w:rsidRPr="008572C5" w:rsidRDefault="00EA2CBD" w:rsidP="009D1253">
            <w:pPr>
              <w:jc w:val="center"/>
              <w:rPr>
                <w:rFonts w:ascii="Tahoma" w:hAnsi="Tahoma" w:cs="Tahoma"/>
                <w:sz w:val="20"/>
                <w:szCs w:val="20"/>
              </w:rPr>
            </w:pPr>
            <w:r w:rsidRPr="008572C5">
              <w:rPr>
                <w:rFonts w:ascii="Tahoma" w:hAnsi="Tahoma" w:cs="Tahoma"/>
                <w:sz w:val="20"/>
                <w:szCs w:val="20"/>
              </w:rPr>
              <w:t>-</w:t>
            </w:r>
          </w:p>
        </w:tc>
        <w:tc>
          <w:tcPr>
            <w:tcW w:w="993" w:type="dxa"/>
            <w:vAlign w:val="center"/>
          </w:tcPr>
          <w:p w14:paraId="63E19B5D" w14:textId="77777777" w:rsidR="00EA2CBD" w:rsidRPr="008572C5" w:rsidRDefault="00EA2CBD" w:rsidP="009D1253">
            <w:pPr>
              <w:jc w:val="center"/>
              <w:rPr>
                <w:rFonts w:ascii="Tahoma" w:hAnsi="Tahoma" w:cs="Tahoma"/>
                <w:color w:val="000000"/>
                <w:sz w:val="20"/>
                <w:szCs w:val="20"/>
              </w:rPr>
            </w:pPr>
            <w:r w:rsidRPr="008572C5">
              <w:rPr>
                <w:rFonts w:ascii="Tahoma" w:hAnsi="Tahoma" w:cs="Tahoma"/>
                <w:color w:val="000000"/>
                <w:sz w:val="20"/>
                <w:szCs w:val="20"/>
              </w:rPr>
              <w:t>-</w:t>
            </w:r>
          </w:p>
        </w:tc>
      </w:tr>
      <w:tr w:rsidR="00EA2CBD" w:rsidRPr="008572C5" w14:paraId="02DF818B" w14:textId="77777777" w:rsidTr="009D1253">
        <w:trPr>
          <w:trHeight w:val="537"/>
        </w:trPr>
        <w:tc>
          <w:tcPr>
            <w:tcW w:w="1418" w:type="dxa"/>
            <w:shd w:val="clear" w:color="auto" w:fill="auto"/>
            <w:vAlign w:val="center"/>
            <w:hideMark/>
          </w:tcPr>
          <w:p w14:paraId="0E7581BB" w14:textId="77777777" w:rsidR="00EA2CBD" w:rsidRPr="008572C5" w:rsidRDefault="00EA2CBD" w:rsidP="009D1253">
            <w:pPr>
              <w:jc w:val="center"/>
              <w:rPr>
                <w:rFonts w:ascii="Tahoma" w:hAnsi="Tahoma" w:cs="Tahoma"/>
                <w:bCs/>
                <w:iCs/>
                <w:color w:val="000000" w:themeColor="text1"/>
                <w:sz w:val="20"/>
                <w:szCs w:val="20"/>
              </w:rPr>
            </w:pPr>
            <w:r w:rsidRPr="008572C5">
              <w:rPr>
                <w:rFonts w:ascii="Tahoma" w:hAnsi="Tahoma" w:cs="Tahoma"/>
                <w:bCs/>
                <w:iCs/>
                <w:color w:val="000000" w:themeColor="text1"/>
                <w:sz w:val="20"/>
                <w:szCs w:val="20"/>
              </w:rPr>
              <w:lastRenderedPageBreak/>
              <w:t>Льготная категория*</w:t>
            </w:r>
          </w:p>
        </w:tc>
        <w:tc>
          <w:tcPr>
            <w:tcW w:w="1583" w:type="dxa"/>
            <w:vMerge/>
            <w:vAlign w:val="center"/>
            <w:hideMark/>
          </w:tcPr>
          <w:p w14:paraId="4CFEA0C0" w14:textId="77777777" w:rsidR="00EA2CBD" w:rsidRPr="008572C5" w:rsidRDefault="00EA2CBD" w:rsidP="009D1253">
            <w:pPr>
              <w:rPr>
                <w:rFonts w:ascii="Tahoma" w:hAnsi="Tahoma" w:cs="Tahoma"/>
                <w:bCs/>
                <w:iCs/>
                <w:color w:val="000000" w:themeColor="text1"/>
                <w:sz w:val="20"/>
                <w:szCs w:val="20"/>
              </w:rPr>
            </w:pPr>
          </w:p>
        </w:tc>
        <w:tc>
          <w:tcPr>
            <w:tcW w:w="1252" w:type="dxa"/>
            <w:shd w:val="clear" w:color="auto" w:fill="auto"/>
            <w:noWrap/>
            <w:vAlign w:val="center"/>
            <w:hideMark/>
          </w:tcPr>
          <w:p w14:paraId="5F69B9F8" w14:textId="77777777" w:rsidR="00EA2CBD" w:rsidRPr="008572C5" w:rsidRDefault="00EA2CBD" w:rsidP="009D1253">
            <w:pPr>
              <w:jc w:val="center"/>
              <w:rPr>
                <w:rFonts w:ascii="Tahoma" w:hAnsi="Tahoma" w:cs="Tahoma"/>
                <w:bCs/>
                <w:iCs/>
                <w:sz w:val="20"/>
                <w:szCs w:val="20"/>
              </w:rPr>
            </w:pPr>
            <w:r w:rsidRPr="008572C5">
              <w:rPr>
                <w:rFonts w:ascii="Tahoma" w:hAnsi="Tahoma" w:cs="Tahoma"/>
                <w:bCs/>
                <w:iCs/>
                <w:sz w:val="20"/>
                <w:szCs w:val="20"/>
              </w:rPr>
              <w:t>рубли</w:t>
            </w:r>
          </w:p>
        </w:tc>
        <w:tc>
          <w:tcPr>
            <w:tcW w:w="1418" w:type="dxa"/>
            <w:shd w:val="clear" w:color="auto" w:fill="auto"/>
            <w:noWrap/>
            <w:vAlign w:val="center"/>
            <w:hideMark/>
          </w:tcPr>
          <w:p w14:paraId="76103F39" w14:textId="77777777" w:rsidR="00EA2CBD" w:rsidRPr="008572C5" w:rsidRDefault="00EA2CBD" w:rsidP="009D1253">
            <w:pPr>
              <w:jc w:val="center"/>
              <w:rPr>
                <w:rFonts w:ascii="Tahoma" w:hAnsi="Tahoma" w:cs="Tahoma"/>
                <w:bCs/>
                <w:iCs/>
                <w:sz w:val="20"/>
                <w:szCs w:val="20"/>
              </w:rPr>
            </w:pPr>
            <w:r w:rsidRPr="008572C5">
              <w:rPr>
                <w:rFonts w:ascii="Tahoma" w:hAnsi="Tahoma" w:cs="Tahoma"/>
                <w:bCs/>
                <w:iCs/>
                <w:sz w:val="20"/>
                <w:szCs w:val="20"/>
              </w:rPr>
              <w:t>5 000</w:t>
            </w:r>
          </w:p>
        </w:tc>
        <w:tc>
          <w:tcPr>
            <w:tcW w:w="1157" w:type="dxa"/>
            <w:shd w:val="clear" w:color="auto" w:fill="auto"/>
            <w:noWrap/>
            <w:vAlign w:val="center"/>
          </w:tcPr>
          <w:p w14:paraId="68566FA1" w14:textId="77777777" w:rsidR="00EA2CBD" w:rsidRDefault="00EA2CBD" w:rsidP="009D1253">
            <w:pPr>
              <w:jc w:val="center"/>
              <w:rPr>
                <w:rFonts w:ascii="Tahoma" w:hAnsi="Tahoma" w:cs="Tahoma"/>
                <w:sz w:val="20"/>
                <w:szCs w:val="20"/>
              </w:rPr>
            </w:pPr>
            <w:r w:rsidRPr="00D949E9">
              <w:rPr>
                <w:rFonts w:ascii="Tahoma" w:hAnsi="Tahoma" w:cs="Tahoma"/>
                <w:sz w:val="20"/>
                <w:szCs w:val="20"/>
              </w:rPr>
              <w:t>13,700/</w:t>
            </w:r>
          </w:p>
          <w:p w14:paraId="5705727E" w14:textId="77777777" w:rsidR="00EA2CBD" w:rsidRPr="00D949E9" w:rsidRDefault="00EA2CBD" w:rsidP="009D1253">
            <w:pPr>
              <w:jc w:val="center"/>
              <w:rPr>
                <w:rFonts w:ascii="Tahoma" w:hAnsi="Tahoma" w:cs="Tahoma"/>
                <w:sz w:val="20"/>
                <w:szCs w:val="20"/>
              </w:rPr>
            </w:pPr>
            <w:r w:rsidRPr="00D949E9">
              <w:rPr>
                <w:rFonts w:ascii="Tahoma" w:hAnsi="Tahoma" w:cs="Tahoma"/>
                <w:sz w:val="20"/>
                <w:szCs w:val="20"/>
              </w:rPr>
              <w:t>13,780</w:t>
            </w:r>
          </w:p>
        </w:tc>
        <w:tc>
          <w:tcPr>
            <w:tcW w:w="993" w:type="dxa"/>
            <w:vAlign w:val="center"/>
          </w:tcPr>
          <w:p w14:paraId="0706210C" w14:textId="77777777" w:rsidR="00EA2CBD" w:rsidRDefault="00EA2CBD" w:rsidP="009D1253">
            <w:pPr>
              <w:jc w:val="center"/>
              <w:rPr>
                <w:rFonts w:ascii="Tahoma" w:hAnsi="Tahoma" w:cs="Tahoma"/>
                <w:sz w:val="20"/>
                <w:szCs w:val="20"/>
              </w:rPr>
            </w:pPr>
            <w:r w:rsidRPr="00D949E9">
              <w:rPr>
                <w:rFonts w:ascii="Tahoma" w:hAnsi="Tahoma" w:cs="Tahoma"/>
                <w:sz w:val="20"/>
                <w:szCs w:val="20"/>
              </w:rPr>
              <w:t>14,000/</w:t>
            </w:r>
          </w:p>
          <w:p w14:paraId="112E7199" w14:textId="77777777" w:rsidR="00EA2CBD" w:rsidRPr="00D949E9" w:rsidRDefault="00EA2CBD" w:rsidP="009D1253">
            <w:pPr>
              <w:jc w:val="center"/>
              <w:rPr>
                <w:rFonts w:ascii="Tahoma" w:hAnsi="Tahoma" w:cs="Tahoma"/>
                <w:sz w:val="20"/>
                <w:szCs w:val="20"/>
              </w:rPr>
            </w:pPr>
            <w:r w:rsidRPr="00D949E9">
              <w:rPr>
                <w:rFonts w:ascii="Tahoma" w:hAnsi="Tahoma" w:cs="Tahoma"/>
                <w:sz w:val="20"/>
                <w:szCs w:val="20"/>
              </w:rPr>
              <w:t>14,167</w:t>
            </w:r>
          </w:p>
        </w:tc>
        <w:tc>
          <w:tcPr>
            <w:tcW w:w="1134" w:type="dxa"/>
            <w:shd w:val="clear" w:color="auto" w:fill="auto"/>
            <w:noWrap/>
            <w:vAlign w:val="center"/>
          </w:tcPr>
          <w:p w14:paraId="3DC8C2D0" w14:textId="77777777" w:rsidR="00EA2CBD" w:rsidRPr="00D949E9" w:rsidRDefault="00EA2CBD" w:rsidP="009D1253">
            <w:pPr>
              <w:jc w:val="center"/>
              <w:rPr>
                <w:rFonts w:ascii="Tahoma" w:hAnsi="Tahoma" w:cs="Tahoma"/>
                <w:sz w:val="20"/>
                <w:szCs w:val="20"/>
              </w:rPr>
            </w:pPr>
            <w:r w:rsidRPr="00D949E9">
              <w:rPr>
                <w:rFonts w:ascii="Tahoma" w:hAnsi="Tahoma" w:cs="Tahoma"/>
                <w:sz w:val="20"/>
                <w:szCs w:val="20"/>
              </w:rPr>
              <w:t>14,000/</w:t>
            </w:r>
            <w:r>
              <w:rPr>
                <w:rFonts w:ascii="Tahoma" w:hAnsi="Tahoma" w:cs="Tahoma"/>
                <w:sz w:val="20"/>
                <w:szCs w:val="20"/>
              </w:rPr>
              <w:t xml:space="preserve"> </w:t>
            </w:r>
            <w:r w:rsidRPr="00D949E9">
              <w:rPr>
                <w:rFonts w:ascii="Tahoma" w:hAnsi="Tahoma" w:cs="Tahoma"/>
                <w:sz w:val="20"/>
                <w:szCs w:val="20"/>
              </w:rPr>
              <w:t>14,247</w:t>
            </w:r>
          </w:p>
        </w:tc>
        <w:tc>
          <w:tcPr>
            <w:tcW w:w="1275" w:type="dxa"/>
            <w:shd w:val="clear" w:color="auto" w:fill="auto"/>
            <w:vAlign w:val="center"/>
          </w:tcPr>
          <w:p w14:paraId="59E6834C" w14:textId="77777777" w:rsidR="00EA2CBD" w:rsidRPr="00D949E9" w:rsidRDefault="00EA2CBD" w:rsidP="009D1253">
            <w:pPr>
              <w:jc w:val="center"/>
              <w:rPr>
                <w:rFonts w:ascii="Tahoma" w:hAnsi="Tahoma" w:cs="Tahoma"/>
                <w:sz w:val="20"/>
                <w:szCs w:val="20"/>
              </w:rPr>
            </w:pPr>
            <w:r w:rsidRPr="00D949E9">
              <w:rPr>
                <w:rFonts w:ascii="Tahoma" w:hAnsi="Tahoma" w:cs="Tahoma"/>
                <w:sz w:val="20"/>
                <w:szCs w:val="20"/>
              </w:rPr>
              <w:t>14,000/</w:t>
            </w:r>
            <w:r>
              <w:rPr>
                <w:rFonts w:ascii="Tahoma" w:hAnsi="Tahoma" w:cs="Tahoma"/>
                <w:sz w:val="20"/>
                <w:szCs w:val="20"/>
              </w:rPr>
              <w:t xml:space="preserve"> </w:t>
            </w:r>
            <w:r w:rsidRPr="00D949E9">
              <w:rPr>
                <w:rFonts w:ascii="Tahoma" w:hAnsi="Tahoma" w:cs="Tahoma"/>
                <w:sz w:val="20"/>
                <w:szCs w:val="20"/>
              </w:rPr>
              <w:t>14,412</w:t>
            </w:r>
          </w:p>
        </w:tc>
        <w:tc>
          <w:tcPr>
            <w:tcW w:w="1134" w:type="dxa"/>
            <w:shd w:val="clear" w:color="auto" w:fill="auto"/>
            <w:vAlign w:val="center"/>
          </w:tcPr>
          <w:p w14:paraId="7B47DD5D" w14:textId="77777777" w:rsidR="00EA2CBD" w:rsidRPr="00D949E9" w:rsidRDefault="00EA2CBD" w:rsidP="009D1253">
            <w:pPr>
              <w:jc w:val="center"/>
              <w:rPr>
                <w:rFonts w:ascii="Tahoma" w:hAnsi="Tahoma" w:cs="Tahoma"/>
                <w:sz w:val="20"/>
                <w:szCs w:val="20"/>
              </w:rPr>
            </w:pPr>
            <w:r w:rsidRPr="00D949E9">
              <w:rPr>
                <w:rFonts w:ascii="Tahoma" w:hAnsi="Tahoma" w:cs="Tahoma"/>
                <w:sz w:val="20"/>
                <w:szCs w:val="20"/>
              </w:rPr>
              <w:t>13,100/</w:t>
            </w:r>
            <w:r>
              <w:rPr>
                <w:rFonts w:ascii="Tahoma" w:hAnsi="Tahoma" w:cs="Tahoma"/>
                <w:sz w:val="20"/>
                <w:szCs w:val="20"/>
              </w:rPr>
              <w:t xml:space="preserve"> </w:t>
            </w:r>
            <w:r w:rsidRPr="00D949E9">
              <w:rPr>
                <w:rFonts w:ascii="Tahoma" w:hAnsi="Tahoma" w:cs="Tahoma"/>
                <w:sz w:val="20"/>
                <w:szCs w:val="20"/>
              </w:rPr>
              <w:t>13,609</w:t>
            </w:r>
          </w:p>
        </w:tc>
        <w:tc>
          <w:tcPr>
            <w:tcW w:w="1134" w:type="dxa"/>
            <w:vAlign w:val="center"/>
          </w:tcPr>
          <w:p w14:paraId="0F042210" w14:textId="77777777" w:rsidR="00EA2CBD" w:rsidRPr="00D949E9" w:rsidRDefault="00EA2CBD" w:rsidP="009D1253">
            <w:pPr>
              <w:jc w:val="center"/>
              <w:rPr>
                <w:rFonts w:ascii="Tahoma" w:hAnsi="Tahoma" w:cs="Tahoma"/>
                <w:sz w:val="20"/>
                <w:szCs w:val="20"/>
              </w:rPr>
            </w:pPr>
            <w:r w:rsidRPr="00D949E9">
              <w:rPr>
                <w:rFonts w:ascii="Tahoma" w:hAnsi="Tahoma" w:cs="Tahoma"/>
                <w:sz w:val="20"/>
                <w:szCs w:val="20"/>
              </w:rPr>
              <w:t>13,200/</w:t>
            </w:r>
            <w:r>
              <w:rPr>
                <w:rFonts w:ascii="Tahoma" w:hAnsi="Tahoma" w:cs="Tahoma"/>
                <w:sz w:val="20"/>
                <w:szCs w:val="20"/>
              </w:rPr>
              <w:t xml:space="preserve"> </w:t>
            </w:r>
            <w:r w:rsidRPr="00D949E9">
              <w:rPr>
                <w:rFonts w:ascii="Tahoma" w:hAnsi="Tahoma" w:cs="Tahoma"/>
                <w:sz w:val="20"/>
                <w:szCs w:val="20"/>
              </w:rPr>
              <w:t>13,793</w:t>
            </w:r>
          </w:p>
        </w:tc>
        <w:tc>
          <w:tcPr>
            <w:tcW w:w="1134" w:type="dxa"/>
            <w:shd w:val="clear" w:color="auto" w:fill="auto"/>
            <w:noWrap/>
            <w:vAlign w:val="center"/>
          </w:tcPr>
          <w:p w14:paraId="2C9B7B3B" w14:textId="77777777" w:rsidR="00EA2CBD" w:rsidRPr="00D949E9" w:rsidRDefault="00EA2CBD" w:rsidP="009D1253">
            <w:pPr>
              <w:jc w:val="center"/>
              <w:rPr>
                <w:rFonts w:ascii="Tahoma" w:hAnsi="Tahoma" w:cs="Tahoma"/>
                <w:sz w:val="20"/>
                <w:szCs w:val="20"/>
              </w:rPr>
            </w:pPr>
            <w:r w:rsidRPr="00D949E9">
              <w:rPr>
                <w:rFonts w:ascii="Tahoma" w:hAnsi="Tahoma" w:cs="Tahoma"/>
                <w:sz w:val="20"/>
                <w:szCs w:val="20"/>
              </w:rPr>
              <w:t>13,800/</w:t>
            </w:r>
            <w:r>
              <w:rPr>
                <w:rFonts w:ascii="Tahoma" w:hAnsi="Tahoma" w:cs="Tahoma"/>
                <w:sz w:val="20"/>
                <w:szCs w:val="20"/>
              </w:rPr>
              <w:t xml:space="preserve"> </w:t>
            </w:r>
            <w:r w:rsidRPr="00D949E9">
              <w:rPr>
                <w:rFonts w:ascii="Tahoma" w:hAnsi="Tahoma" w:cs="Tahoma"/>
                <w:sz w:val="20"/>
                <w:szCs w:val="20"/>
              </w:rPr>
              <w:t>14,710</w:t>
            </w:r>
          </w:p>
        </w:tc>
        <w:tc>
          <w:tcPr>
            <w:tcW w:w="1134" w:type="dxa"/>
            <w:vAlign w:val="center"/>
          </w:tcPr>
          <w:p w14:paraId="63D361D8" w14:textId="77777777" w:rsidR="00EA2CBD" w:rsidRPr="00D949E9" w:rsidRDefault="00EA2CBD" w:rsidP="009D1253">
            <w:pPr>
              <w:jc w:val="center"/>
              <w:rPr>
                <w:rFonts w:ascii="Tahoma" w:hAnsi="Tahoma" w:cs="Tahoma"/>
                <w:sz w:val="20"/>
                <w:szCs w:val="20"/>
              </w:rPr>
            </w:pPr>
            <w:r w:rsidRPr="00D949E9">
              <w:rPr>
                <w:rFonts w:ascii="Tahoma" w:hAnsi="Tahoma" w:cs="Tahoma"/>
                <w:sz w:val="20"/>
                <w:szCs w:val="20"/>
              </w:rPr>
              <w:t>9,300/ 10,178</w:t>
            </w:r>
          </w:p>
        </w:tc>
        <w:tc>
          <w:tcPr>
            <w:tcW w:w="993" w:type="dxa"/>
            <w:vAlign w:val="center"/>
          </w:tcPr>
          <w:p w14:paraId="3F5D8C63" w14:textId="77777777" w:rsidR="00EA2CBD" w:rsidRPr="00D949E9" w:rsidRDefault="00EA2CBD" w:rsidP="009D1253">
            <w:pPr>
              <w:jc w:val="center"/>
              <w:rPr>
                <w:rFonts w:ascii="Tahoma" w:hAnsi="Tahoma" w:cs="Tahoma"/>
                <w:sz w:val="20"/>
                <w:szCs w:val="20"/>
              </w:rPr>
            </w:pPr>
            <w:r w:rsidRPr="00D949E9">
              <w:rPr>
                <w:rFonts w:ascii="Tahoma" w:hAnsi="Tahoma" w:cs="Tahoma"/>
                <w:color w:val="000000"/>
                <w:sz w:val="20"/>
                <w:szCs w:val="20"/>
              </w:rPr>
              <w:t>9,400/ 10,814</w:t>
            </w:r>
          </w:p>
        </w:tc>
      </w:tr>
      <w:tr w:rsidR="00EA2CBD" w:rsidRPr="008572C5" w14:paraId="114C0326" w14:textId="77777777" w:rsidTr="009D1253">
        <w:trPr>
          <w:trHeight w:val="124"/>
        </w:trPr>
        <w:tc>
          <w:tcPr>
            <w:tcW w:w="1418" w:type="dxa"/>
            <w:shd w:val="clear" w:color="auto" w:fill="auto"/>
            <w:vAlign w:val="center"/>
            <w:hideMark/>
          </w:tcPr>
          <w:p w14:paraId="53796139" w14:textId="77777777" w:rsidR="00EA2CBD" w:rsidRPr="008572C5" w:rsidRDefault="00EA2CBD" w:rsidP="009D1253">
            <w:pPr>
              <w:jc w:val="center"/>
              <w:rPr>
                <w:rFonts w:ascii="Tahoma" w:hAnsi="Tahoma" w:cs="Tahoma"/>
                <w:bCs/>
                <w:iCs/>
                <w:color w:val="000000" w:themeColor="text1"/>
                <w:sz w:val="20"/>
                <w:szCs w:val="20"/>
              </w:rPr>
            </w:pPr>
            <w:r w:rsidRPr="008572C5">
              <w:rPr>
                <w:rFonts w:ascii="Tahoma" w:hAnsi="Tahoma" w:cs="Tahoma"/>
                <w:bCs/>
                <w:iCs/>
                <w:color w:val="000000" w:themeColor="text1"/>
                <w:sz w:val="20"/>
                <w:szCs w:val="20"/>
              </w:rPr>
              <w:t>Статус**</w:t>
            </w:r>
          </w:p>
        </w:tc>
        <w:tc>
          <w:tcPr>
            <w:tcW w:w="1583" w:type="dxa"/>
            <w:vMerge/>
            <w:vAlign w:val="center"/>
            <w:hideMark/>
          </w:tcPr>
          <w:p w14:paraId="7293BC98" w14:textId="77777777" w:rsidR="00EA2CBD" w:rsidRPr="008572C5" w:rsidRDefault="00EA2CBD" w:rsidP="009D1253">
            <w:pPr>
              <w:rPr>
                <w:rFonts w:ascii="Tahoma" w:hAnsi="Tahoma" w:cs="Tahoma"/>
                <w:bCs/>
                <w:iCs/>
                <w:color w:val="000000" w:themeColor="text1"/>
                <w:sz w:val="20"/>
                <w:szCs w:val="20"/>
              </w:rPr>
            </w:pPr>
          </w:p>
        </w:tc>
        <w:tc>
          <w:tcPr>
            <w:tcW w:w="1252" w:type="dxa"/>
            <w:shd w:val="clear" w:color="auto" w:fill="auto"/>
            <w:noWrap/>
            <w:vAlign w:val="center"/>
            <w:hideMark/>
          </w:tcPr>
          <w:p w14:paraId="28B711D9" w14:textId="77777777" w:rsidR="00EA2CBD" w:rsidRPr="008572C5" w:rsidRDefault="00EA2CBD" w:rsidP="009D1253">
            <w:pPr>
              <w:jc w:val="center"/>
              <w:rPr>
                <w:rFonts w:ascii="Tahoma" w:hAnsi="Tahoma" w:cs="Tahoma"/>
                <w:bCs/>
                <w:iCs/>
                <w:sz w:val="20"/>
                <w:szCs w:val="20"/>
              </w:rPr>
            </w:pPr>
            <w:r w:rsidRPr="008572C5">
              <w:rPr>
                <w:rFonts w:ascii="Tahoma" w:hAnsi="Tahoma" w:cs="Tahoma"/>
                <w:bCs/>
                <w:iCs/>
                <w:sz w:val="20"/>
                <w:szCs w:val="20"/>
              </w:rPr>
              <w:t>рубли</w:t>
            </w:r>
          </w:p>
        </w:tc>
        <w:tc>
          <w:tcPr>
            <w:tcW w:w="1418" w:type="dxa"/>
            <w:shd w:val="clear" w:color="auto" w:fill="auto"/>
            <w:noWrap/>
            <w:vAlign w:val="center"/>
            <w:hideMark/>
          </w:tcPr>
          <w:p w14:paraId="12348AC6" w14:textId="77777777" w:rsidR="00EA2CBD" w:rsidRPr="008572C5" w:rsidRDefault="00EA2CBD" w:rsidP="009D1253">
            <w:pPr>
              <w:jc w:val="center"/>
              <w:rPr>
                <w:rFonts w:ascii="Tahoma" w:hAnsi="Tahoma" w:cs="Tahoma"/>
                <w:bCs/>
                <w:iCs/>
                <w:sz w:val="20"/>
                <w:szCs w:val="20"/>
              </w:rPr>
            </w:pPr>
            <w:r w:rsidRPr="008572C5">
              <w:rPr>
                <w:rFonts w:ascii="Tahoma" w:hAnsi="Tahoma" w:cs="Tahoma"/>
                <w:bCs/>
                <w:iCs/>
                <w:sz w:val="20"/>
                <w:szCs w:val="20"/>
              </w:rPr>
              <w:t>3 000 000</w:t>
            </w:r>
          </w:p>
        </w:tc>
        <w:tc>
          <w:tcPr>
            <w:tcW w:w="1157" w:type="dxa"/>
            <w:shd w:val="clear" w:color="auto" w:fill="auto"/>
            <w:noWrap/>
            <w:vAlign w:val="center"/>
          </w:tcPr>
          <w:p w14:paraId="04BC98B6" w14:textId="77777777" w:rsidR="00EA2CBD" w:rsidRDefault="00EA2CBD" w:rsidP="009D1253">
            <w:pPr>
              <w:jc w:val="center"/>
              <w:rPr>
                <w:rFonts w:ascii="Tahoma" w:hAnsi="Tahoma" w:cs="Tahoma"/>
                <w:sz w:val="20"/>
                <w:szCs w:val="20"/>
              </w:rPr>
            </w:pPr>
            <w:r w:rsidRPr="00D949E9">
              <w:rPr>
                <w:rFonts w:ascii="Tahoma" w:hAnsi="Tahoma" w:cs="Tahoma"/>
                <w:sz w:val="20"/>
                <w:szCs w:val="20"/>
              </w:rPr>
              <w:t>13,700/</w:t>
            </w:r>
          </w:p>
          <w:p w14:paraId="523B3C3B" w14:textId="77777777" w:rsidR="00EA2CBD" w:rsidRPr="00D949E9" w:rsidRDefault="00EA2CBD" w:rsidP="009D1253">
            <w:pPr>
              <w:jc w:val="center"/>
              <w:rPr>
                <w:rFonts w:ascii="Tahoma" w:hAnsi="Tahoma" w:cs="Tahoma"/>
                <w:sz w:val="20"/>
                <w:szCs w:val="20"/>
              </w:rPr>
            </w:pPr>
            <w:r w:rsidRPr="00D949E9">
              <w:rPr>
                <w:rFonts w:ascii="Tahoma" w:hAnsi="Tahoma" w:cs="Tahoma"/>
                <w:sz w:val="20"/>
                <w:szCs w:val="20"/>
              </w:rPr>
              <w:t>13,780</w:t>
            </w:r>
          </w:p>
        </w:tc>
        <w:tc>
          <w:tcPr>
            <w:tcW w:w="993" w:type="dxa"/>
            <w:vAlign w:val="center"/>
          </w:tcPr>
          <w:p w14:paraId="45829387" w14:textId="77777777" w:rsidR="00EA2CBD" w:rsidRDefault="00EA2CBD" w:rsidP="009D1253">
            <w:pPr>
              <w:jc w:val="center"/>
              <w:rPr>
                <w:rFonts w:ascii="Tahoma" w:hAnsi="Tahoma" w:cs="Tahoma"/>
                <w:sz w:val="20"/>
                <w:szCs w:val="20"/>
              </w:rPr>
            </w:pPr>
            <w:r w:rsidRPr="00D949E9">
              <w:rPr>
                <w:rFonts w:ascii="Tahoma" w:hAnsi="Tahoma" w:cs="Tahoma"/>
                <w:sz w:val="20"/>
                <w:szCs w:val="20"/>
              </w:rPr>
              <w:t>14,000/</w:t>
            </w:r>
          </w:p>
          <w:p w14:paraId="3D6271B1" w14:textId="77777777" w:rsidR="00EA2CBD" w:rsidRPr="00D949E9" w:rsidRDefault="00EA2CBD" w:rsidP="009D1253">
            <w:pPr>
              <w:jc w:val="center"/>
              <w:rPr>
                <w:rFonts w:ascii="Tahoma" w:hAnsi="Tahoma" w:cs="Tahoma"/>
                <w:sz w:val="20"/>
                <w:szCs w:val="20"/>
              </w:rPr>
            </w:pPr>
            <w:r w:rsidRPr="00D949E9">
              <w:rPr>
                <w:rFonts w:ascii="Tahoma" w:hAnsi="Tahoma" w:cs="Tahoma"/>
                <w:sz w:val="20"/>
                <w:szCs w:val="20"/>
              </w:rPr>
              <w:t>14,167</w:t>
            </w:r>
          </w:p>
        </w:tc>
        <w:tc>
          <w:tcPr>
            <w:tcW w:w="1134" w:type="dxa"/>
            <w:shd w:val="clear" w:color="auto" w:fill="auto"/>
            <w:noWrap/>
            <w:vAlign w:val="center"/>
          </w:tcPr>
          <w:p w14:paraId="04B0705E" w14:textId="77777777" w:rsidR="00EA2CBD" w:rsidRPr="00D949E9" w:rsidRDefault="00EA2CBD" w:rsidP="009D1253">
            <w:pPr>
              <w:jc w:val="center"/>
              <w:rPr>
                <w:rFonts w:ascii="Tahoma" w:hAnsi="Tahoma" w:cs="Tahoma"/>
                <w:sz w:val="20"/>
                <w:szCs w:val="20"/>
              </w:rPr>
            </w:pPr>
            <w:r w:rsidRPr="00D949E9">
              <w:rPr>
                <w:rFonts w:ascii="Tahoma" w:hAnsi="Tahoma" w:cs="Tahoma"/>
                <w:sz w:val="20"/>
                <w:szCs w:val="20"/>
              </w:rPr>
              <w:t>14,000/</w:t>
            </w:r>
            <w:r>
              <w:rPr>
                <w:rFonts w:ascii="Tahoma" w:hAnsi="Tahoma" w:cs="Tahoma"/>
                <w:sz w:val="20"/>
                <w:szCs w:val="20"/>
              </w:rPr>
              <w:t xml:space="preserve"> </w:t>
            </w:r>
            <w:r w:rsidRPr="00D949E9">
              <w:rPr>
                <w:rFonts w:ascii="Tahoma" w:hAnsi="Tahoma" w:cs="Tahoma"/>
                <w:sz w:val="20"/>
                <w:szCs w:val="20"/>
              </w:rPr>
              <w:t>14,247</w:t>
            </w:r>
          </w:p>
        </w:tc>
        <w:tc>
          <w:tcPr>
            <w:tcW w:w="1275" w:type="dxa"/>
            <w:shd w:val="clear" w:color="auto" w:fill="auto"/>
            <w:vAlign w:val="center"/>
          </w:tcPr>
          <w:p w14:paraId="7FD36A2F" w14:textId="77777777" w:rsidR="00EA2CBD" w:rsidRPr="00D949E9" w:rsidRDefault="00EA2CBD" w:rsidP="009D1253">
            <w:pPr>
              <w:jc w:val="center"/>
              <w:rPr>
                <w:rFonts w:ascii="Tahoma" w:hAnsi="Tahoma" w:cs="Tahoma"/>
                <w:sz w:val="20"/>
                <w:szCs w:val="20"/>
              </w:rPr>
            </w:pPr>
            <w:r w:rsidRPr="00D949E9">
              <w:rPr>
                <w:rFonts w:ascii="Tahoma" w:hAnsi="Tahoma" w:cs="Tahoma"/>
                <w:sz w:val="20"/>
                <w:szCs w:val="20"/>
              </w:rPr>
              <w:t>14,000/</w:t>
            </w:r>
            <w:r>
              <w:rPr>
                <w:rFonts w:ascii="Tahoma" w:hAnsi="Tahoma" w:cs="Tahoma"/>
                <w:sz w:val="20"/>
                <w:szCs w:val="20"/>
              </w:rPr>
              <w:t xml:space="preserve"> </w:t>
            </w:r>
            <w:r w:rsidRPr="00D949E9">
              <w:rPr>
                <w:rFonts w:ascii="Tahoma" w:hAnsi="Tahoma" w:cs="Tahoma"/>
                <w:sz w:val="20"/>
                <w:szCs w:val="20"/>
              </w:rPr>
              <w:t>14,412</w:t>
            </w:r>
          </w:p>
        </w:tc>
        <w:tc>
          <w:tcPr>
            <w:tcW w:w="1134" w:type="dxa"/>
            <w:shd w:val="clear" w:color="auto" w:fill="auto"/>
            <w:vAlign w:val="center"/>
          </w:tcPr>
          <w:p w14:paraId="6C9D9B70" w14:textId="77777777" w:rsidR="00EA2CBD" w:rsidRPr="00D949E9" w:rsidRDefault="00EA2CBD" w:rsidP="009D1253">
            <w:pPr>
              <w:jc w:val="center"/>
              <w:rPr>
                <w:rFonts w:ascii="Tahoma" w:hAnsi="Tahoma" w:cs="Tahoma"/>
                <w:sz w:val="20"/>
                <w:szCs w:val="20"/>
              </w:rPr>
            </w:pPr>
            <w:r w:rsidRPr="00D949E9">
              <w:rPr>
                <w:rFonts w:ascii="Tahoma" w:hAnsi="Tahoma" w:cs="Tahoma"/>
                <w:sz w:val="20"/>
                <w:szCs w:val="20"/>
              </w:rPr>
              <w:t>13,100/</w:t>
            </w:r>
            <w:r>
              <w:rPr>
                <w:rFonts w:ascii="Tahoma" w:hAnsi="Tahoma" w:cs="Tahoma"/>
                <w:sz w:val="20"/>
                <w:szCs w:val="20"/>
              </w:rPr>
              <w:t xml:space="preserve"> </w:t>
            </w:r>
            <w:r w:rsidRPr="00D949E9">
              <w:rPr>
                <w:rFonts w:ascii="Tahoma" w:hAnsi="Tahoma" w:cs="Tahoma"/>
                <w:sz w:val="20"/>
                <w:szCs w:val="20"/>
              </w:rPr>
              <w:t>13,609</w:t>
            </w:r>
          </w:p>
        </w:tc>
        <w:tc>
          <w:tcPr>
            <w:tcW w:w="1134" w:type="dxa"/>
            <w:vAlign w:val="center"/>
          </w:tcPr>
          <w:p w14:paraId="7560F605" w14:textId="77777777" w:rsidR="00EA2CBD" w:rsidRPr="00D949E9" w:rsidRDefault="00EA2CBD" w:rsidP="009D1253">
            <w:pPr>
              <w:jc w:val="center"/>
              <w:rPr>
                <w:rFonts w:ascii="Tahoma" w:hAnsi="Tahoma" w:cs="Tahoma"/>
                <w:sz w:val="20"/>
                <w:szCs w:val="20"/>
              </w:rPr>
            </w:pPr>
            <w:r w:rsidRPr="00D949E9">
              <w:rPr>
                <w:rFonts w:ascii="Tahoma" w:hAnsi="Tahoma" w:cs="Tahoma"/>
                <w:sz w:val="20"/>
                <w:szCs w:val="20"/>
              </w:rPr>
              <w:t>13,200/</w:t>
            </w:r>
            <w:r>
              <w:rPr>
                <w:rFonts w:ascii="Tahoma" w:hAnsi="Tahoma" w:cs="Tahoma"/>
                <w:sz w:val="20"/>
                <w:szCs w:val="20"/>
              </w:rPr>
              <w:t xml:space="preserve"> </w:t>
            </w:r>
            <w:r w:rsidRPr="00D949E9">
              <w:rPr>
                <w:rFonts w:ascii="Tahoma" w:hAnsi="Tahoma" w:cs="Tahoma"/>
                <w:sz w:val="20"/>
                <w:szCs w:val="20"/>
              </w:rPr>
              <w:t>13,793</w:t>
            </w:r>
          </w:p>
        </w:tc>
        <w:tc>
          <w:tcPr>
            <w:tcW w:w="1134" w:type="dxa"/>
            <w:shd w:val="clear" w:color="auto" w:fill="auto"/>
            <w:noWrap/>
            <w:vAlign w:val="center"/>
          </w:tcPr>
          <w:p w14:paraId="23CB1208" w14:textId="77777777" w:rsidR="00EA2CBD" w:rsidRPr="00D949E9" w:rsidRDefault="00EA2CBD" w:rsidP="009D1253">
            <w:pPr>
              <w:jc w:val="center"/>
              <w:rPr>
                <w:rFonts w:ascii="Tahoma" w:hAnsi="Tahoma" w:cs="Tahoma"/>
                <w:sz w:val="20"/>
                <w:szCs w:val="20"/>
              </w:rPr>
            </w:pPr>
            <w:r w:rsidRPr="00D949E9">
              <w:rPr>
                <w:rFonts w:ascii="Tahoma" w:hAnsi="Tahoma" w:cs="Tahoma"/>
                <w:sz w:val="20"/>
                <w:szCs w:val="20"/>
              </w:rPr>
              <w:t>13,800/</w:t>
            </w:r>
            <w:r>
              <w:rPr>
                <w:rFonts w:ascii="Tahoma" w:hAnsi="Tahoma" w:cs="Tahoma"/>
                <w:sz w:val="20"/>
                <w:szCs w:val="20"/>
              </w:rPr>
              <w:t xml:space="preserve"> </w:t>
            </w:r>
            <w:r w:rsidRPr="00D949E9">
              <w:rPr>
                <w:rFonts w:ascii="Tahoma" w:hAnsi="Tahoma" w:cs="Tahoma"/>
                <w:sz w:val="20"/>
                <w:szCs w:val="20"/>
              </w:rPr>
              <w:t>14,710</w:t>
            </w:r>
          </w:p>
        </w:tc>
        <w:tc>
          <w:tcPr>
            <w:tcW w:w="1134" w:type="dxa"/>
            <w:vAlign w:val="center"/>
          </w:tcPr>
          <w:p w14:paraId="407F8C41" w14:textId="77777777" w:rsidR="00EA2CBD" w:rsidRPr="00D949E9" w:rsidRDefault="00EA2CBD" w:rsidP="009D1253">
            <w:pPr>
              <w:jc w:val="center"/>
              <w:rPr>
                <w:rFonts w:ascii="Tahoma" w:hAnsi="Tahoma" w:cs="Tahoma"/>
                <w:sz w:val="20"/>
                <w:szCs w:val="20"/>
              </w:rPr>
            </w:pPr>
            <w:r w:rsidRPr="00D949E9">
              <w:rPr>
                <w:rFonts w:ascii="Tahoma" w:hAnsi="Tahoma" w:cs="Tahoma"/>
                <w:sz w:val="20"/>
                <w:szCs w:val="20"/>
              </w:rPr>
              <w:t>9,300/ 10,178</w:t>
            </w:r>
          </w:p>
        </w:tc>
        <w:tc>
          <w:tcPr>
            <w:tcW w:w="993" w:type="dxa"/>
            <w:vAlign w:val="center"/>
          </w:tcPr>
          <w:p w14:paraId="78348129" w14:textId="77777777" w:rsidR="00EA2CBD" w:rsidRPr="00D949E9" w:rsidRDefault="00EA2CBD" w:rsidP="009D1253">
            <w:pPr>
              <w:jc w:val="center"/>
              <w:rPr>
                <w:rFonts w:ascii="Tahoma" w:hAnsi="Tahoma" w:cs="Tahoma"/>
                <w:sz w:val="20"/>
                <w:szCs w:val="20"/>
              </w:rPr>
            </w:pPr>
            <w:r w:rsidRPr="00D949E9">
              <w:rPr>
                <w:rFonts w:ascii="Tahoma" w:hAnsi="Tahoma" w:cs="Tahoma"/>
                <w:color w:val="000000"/>
                <w:sz w:val="20"/>
                <w:szCs w:val="20"/>
              </w:rPr>
              <w:t>9,400/ 10,814</w:t>
            </w:r>
          </w:p>
        </w:tc>
      </w:tr>
    </w:tbl>
    <w:p w14:paraId="2C218905" w14:textId="77777777" w:rsidR="00EA2CBD" w:rsidRPr="008572C5" w:rsidRDefault="00EA2CBD" w:rsidP="00EA2CBD">
      <w:pPr>
        <w:tabs>
          <w:tab w:val="left" w:pos="851"/>
        </w:tabs>
        <w:rPr>
          <w:rFonts w:ascii="Tahoma" w:hAnsi="Tahoma" w:cs="Tahoma"/>
          <w:b/>
          <w:bCs/>
          <w:iCs/>
          <w:color w:val="E36C0A"/>
          <w:sz w:val="22"/>
          <w:szCs w:val="22"/>
        </w:rPr>
      </w:pPr>
    </w:p>
    <w:p w14:paraId="1D9251D8" w14:textId="77777777" w:rsidR="00EA2CBD" w:rsidRPr="008572C5" w:rsidRDefault="00EA2CBD" w:rsidP="00EA2CBD">
      <w:pPr>
        <w:tabs>
          <w:tab w:val="left" w:pos="851"/>
        </w:tabs>
        <w:jc w:val="both"/>
        <w:rPr>
          <w:rFonts w:ascii="Tahoma" w:hAnsi="Tahoma" w:cs="Tahoma"/>
          <w:sz w:val="18"/>
          <w:szCs w:val="18"/>
        </w:rPr>
      </w:pPr>
      <w:r w:rsidRPr="008572C5">
        <w:rPr>
          <w:rFonts w:ascii="Tahoma" w:hAnsi="Tahoma" w:cs="Tahoma"/>
          <w:color w:val="000000"/>
          <w:sz w:val="18"/>
          <w:szCs w:val="18"/>
        </w:rPr>
        <w:t xml:space="preserve">*Льготная категория - </w:t>
      </w:r>
      <w:r>
        <w:rPr>
          <w:rFonts w:ascii="Tahoma" w:hAnsi="Tahoma" w:cs="Tahoma"/>
          <w:color w:val="000000"/>
          <w:sz w:val="18"/>
          <w:szCs w:val="18"/>
        </w:rPr>
        <w:t>к</w:t>
      </w:r>
      <w:r w:rsidRPr="003C5724">
        <w:rPr>
          <w:rFonts w:ascii="Tahoma" w:hAnsi="Tahoma" w:cs="Tahoma"/>
          <w:color w:val="000000"/>
          <w:sz w:val="18"/>
          <w:szCs w:val="18"/>
        </w:rPr>
        <w:t xml:space="preserve">лиент является пенсионером (физическое лицо, открывающее </w:t>
      </w:r>
      <w:r>
        <w:rPr>
          <w:rFonts w:ascii="Tahoma" w:hAnsi="Tahoma" w:cs="Tahoma"/>
          <w:color w:val="000000"/>
          <w:sz w:val="18"/>
          <w:szCs w:val="18"/>
        </w:rPr>
        <w:t>В</w:t>
      </w:r>
      <w:r w:rsidRPr="003C5724">
        <w:rPr>
          <w:rFonts w:ascii="Tahoma" w:hAnsi="Tahoma" w:cs="Tahoma"/>
          <w:color w:val="000000"/>
          <w:sz w:val="18"/>
          <w:szCs w:val="18"/>
        </w:rPr>
        <w:t>клад при предъявлении пенсионного удостоверения или иного документа, подтверждающего в соответствии с законодательством РФ право на получение пенсии / держателе</w:t>
      </w:r>
      <w:r>
        <w:rPr>
          <w:rFonts w:ascii="Tahoma" w:hAnsi="Tahoma" w:cs="Tahoma"/>
          <w:color w:val="000000"/>
          <w:sz w:val="18"/>
          <w:szCs w:val="18"/>
        </w:rPr>
        <w:t>м платежной (банковской) карты «</w:t>
      </w:r>
      <w:r w:rsidRPr="003C5724">
        <w:rPr>
          <w:rFonts w:ascii="Tahoma" w:hAnsi="Tahoma" w:cs="Tahoma"/>
          <w:color w:val="000000"/>
          <w:sz w:val="18"/>
          <w:szCs w:val="18"/>
        </w:rPr>
        <w:t>Особый статус</w:t>
      </w:r>
      <w:r>
        <w:rPr>
          <w:rFonts w:ascii="Tahoma" w:hAnsi="Tahoma" w:cs="Tahoma"/>
          <w:color w:val="000000"/>
          <w:sz w:val="18"/>
          <w:szCs w:val="18"/>
        </w:rPr>
        <w:t xml:space="preserve">», выпущенной Банком </w:t>
      </w:r>
      <w:r w:rsidRPr="003C5724">
        <w:rPr>
          <w:rFonts w:ascii="Tahoma" w:hAnsi="Tahoma" w:cs="Tahoma"/>
          <w:color w:val="000000"/>
          <w:sz w:val="18"/>
          <w:szCs w:val="18"/>
        </w:rPr>
        <w:t xml:space="preserve">/ участником </w:t>
      </w:r>
      <w:r>
        <w:rPr>
          <w:rFonts w:ascii="Tahoma" w:hAnsi="Tahoma" w:cs="Tahoma"/>
          <w:color w:val="000000"/>
          <w:sz w:val="18"/>
          <w:szCs w:val="18"/>
        </w:rPr>
        <w:t>«</w:t>
      </w:r>
      <w:r w:rsidRPr="003C5724">
        <w:rPr>
          <w:rFonts w:ascii="Tahoma" w:hAnsi="Tahoma" w:cs="Tahoma"/>
          <w:color w:val="000000"/>
          <w:sz w:val="18"/>
          <w:szCs w:val="18"/>
        </w:rPr>
        <w:t>зарплатного проекта</w:t>
      </w:r>
      <w:r>
        <w:rPr>
          <w:rFonts w:ascii="Tahoma" w:hAnsi="Tahoma" w:cs="Tahoma"/>
          <w:color w:val="000000"/>
          <w:sz w:val="18"/>
          <w:szCs w:val="18"/>
        </w:rPr>
        <w:t>»</w:t>
      </w:r>
      <w:r w:rsidRPr="003C5724">
        <w:rPr>
          <w:rFonts w:ascii="Tahoma" w:hAnsi="Tahoma" w:cs="Tahoma"/>
          <w:color w:val="000000"/>
          <w:sz w:val="18"/>
          <w:szCs w:val="18"/>
        </w:rPr>
        <w:t xml:space="preserve"> Банка</w:t>
      </w:r>
      <w:r>
        <w:rPr>
          <w:rFonts w:ascii="Tahoma" w:hAnsi="Tahoma" w:cs="Tahoma"/>
          <w:color w:val="000000"/>
          <w:sz w:val="18"/>
          <w:szCs w:val="18"/>
        </w:rPr>
        <w:t xml:space="preserve">, </w:t>
      </w:r>
      <w:r w:rsidRPr="003C5724">
        <w:rPr>
          <w:rFonts w:ascii="Tahoma" w:hAnsi="Tahoma" w:cs="Tahoma"/>
          <w:color w:val="000000"/>
          <w:sz w:val="18"/>
          <w:szCs w:val="18"/>
        </w:rPr>
        <w:t>т.е. получает заработную плату на платежную (банковскую) карту</w:t>
      </w:r>
      <w:r>
        <w:rPr>
          <w:rFonts w:ascii="Tahoma" w:hAnsi="Tahoma" w:cs="Tahoma"/>
          <w:color w:val="000000"/>
          <w:sz w:val="18"/>
          <w:szCs w:val="18"/>
        </w:rPr>
        <w:t>, выпущенную</w:t>
      </w:r>
      <w:r w:rsidRPr="003C5724">
        <w:rPr>
          <w:rFonts w:ascii="Tahoma" w:hAnsi="Tahoma" w:cs="Tahoma"/>
          <w:color w:val="000000"/>
          <w:sz w:val="18"/>
          <w:szCs w:val="18"/>
        </w:rPr>
        <w:t xml:space="preserve"> Банк</w:t>
      </w:r>
      <w:r>
        <w:rPr>
          <w:rFonts w:ascii="Tahoma" w:hAnsi="Tahoma" w:cs="Tahoma"/>
          <w:color w:val="000000"/>
          <w:sz w:val="18"/>
          <w:szCs w:val="18"/>
        </w:rPr>
        <w:t>ом</w:t>
      </w:r>
      <w:r w:rsidRPr="003C5724">
        <w:rPr>
          <w:rFonts w:ascii="Tahoma" w:hAnsi="Tahoma" w:cs="Tahoma"/>
          <w:color w:val="000000"/>
          <w:sz w:val="18"/>
          <w:szCs w:val="18"/>
        </w:rPr>
        <w:t xml:space="preserve">/ </w:t>
      </w:r>
      <w:r>
        <w:rPr>
          <w:rFonts w:ascii="Tahoma" w:hAnsi="Tahoma" w:cs="Tahoma"/>
          <w:color w:val="000000"/>
          <w:sz w:val="18"/>
          <w:szCs w:val="18"/>
        </w:rPr>
        <w:t>работником</w:t>
      </w:r>
      <w:r w:rsidRPr="003C5724">
        <w:rPr>
          <w:rFonts w:ascii="Tahoma" w:hAnsi="Tahoma" w:cs="Tahoma"/>
          <w:color w:val="000000"/>
          <w:sz w:val="18"/>
          <w:szCs w:val="18"/>
        </w:rPr>
        <w:t xml:space="preserve"> бюджетной организации</w:t>
      </w:r>
      <w:r w:rsidRPr="008572C5">
        <w:rPr>
          <w:rFonts w:ascii="Tahoma" w:hAnsi="Tahoma" w:cs="Tahoma"/>
          <w:sz w:val="18"/>
          <w:szCs w:val="18"/>
        </w:rPr>
        <w:t>.</w:t>
      </w:r>
    </w:p>
    <w:p w14:paraId="115A9AD2" w14:textId="77777777" w:rsidR="00EA2CBD" w:rsidRDefault="00EA2CBD" w:rsidP="00EA2CBD">
      <w:pPr>
        <w:jc w:val="both"/>
        <w:rPr>
          <w:rFonts w:ascii="Tahoma" w:hAnsi="Tahoma" w:cs="Tahoma"/>
          <w:color w:val="000000"/>
          <w:sz w:val="18"/>
          <w:szCs w:val="18"/>
        </w:rPr>
      </w:pPr>
      <w:r w:rsidRPr="008572C5">
        <w:rPr>
          <w:rFonts w:ascii="Tahoma" w:hAnsi="Tahoma" w:cs="Tahoma"/>
          <w:sz w:val="18"/>
          <w:szCs w:val="18"/>
        </w:rPr>
        <w:t>**</w:t>
      </w:r>
      <w:r w:rsidRPr="00892D02">
        <w:rPr>
          <w:rFonts w:ascii="Tahoma" w:hAnsi="Tahoma" w:cs="Tahoma"/>
          <w:color w:val="000000"/>
          <w:sz w:val="18"/>
          <w:szCs w:val="18"/>
        </w:rPr>
        <w:t xml:space="preserve"> </w:t>
      </w:r>
      <w:r w:rsidRPr="008572C5">
        <w:rPr>
          <w:rFonts w:ascii="Tahoma" w:hAnsi="Tahoma" w:cs="Tahoma"/>
          <w:color w:val="000000"/>
          <w:sz w:val="18"/>
          <w:szCs w:val="18"/>
        </w:rPr>
        <w:t xml:space="preserve">Статус - </w:t>
      </w:r>
      <w:r>
        <w:rPr>
          <w:rFonts w:ascii="Tahoma" w:hAnsi="Tahoma" w:cs="Tahoma"/>
          <w:color w:val="000000"/>
          <w:sz w:val="18"/>
          <w:szCs w:val="18"/>
        </w:rPr>
        <w:t>к</w:t>
      </w:r>
      <w:r w:rsidRPr="008572C5">
        <w:rPr>
          <w:rFonts w:ascii="Tahoma" w:hAnsi="Tahoma" w:cs="Tahoma"/>
          <w:color w:val="000000"/>
          <w:sz w:val="18"/>
          <w:szCs w:val="18"/>
        </w:rPr>
        <w:t>лиент с наличием подключенной программы</w:t>
      </w:r>
      <w:r>
        <w:rPr>
          <w:rFonts w:ascii="Tahoma" w:hAnsi="Tahoma" w:cs="Tahoma"/>
          <w:color w:val="000000"/>
          <w:sz w:val="18"/>
          <w:szCs w:val="18"/>
        </w:rPr>
        <w:t xml:space="preserve"> Банка «Статус»</w:t>
      </w:r>
      <w:r w:rsidRPr="008572C5">
        <w:rPr>
          <w:rFonts w:ascii="Tahoma" w:hAnsi="Tahoma" w:cs="Tahoma"/>
          <w:color w:val="000000"/>
          <w:sz w:val="18"/>
          <w:szCs w:val="18"/>
        </w:rPr>
        <w:t>.</w:t>
      </w:r>
    </w:p>
    <w:p w14:paraId="5BF22B7A" w14:textId="77777777" w:rsidR="00EA2CBD" w:rsidRPr="003C5724" w:rsidRDefault="00EA2CBD" w:rsidP="00EA2CBD">
      <w:pPr>
        <w:jc w:val="both"/>
        <w:rPr>
          <w:rFonts w:ascii="Tahoma" w:hAnsi="Tahoma" w:cs="Tahoma"/>
          <w:color w:val="000000"/>
          <w:sz w:val="18"/>
          <w:szCs w:val="18"/>
        </w:rPr>
      </w:pPr>
      <w:r w:rsidRPr="008572C5">
        <w:rPr>
          <w:rFonts w:ascii="Tahoma" w:hAnsi="Tahoma" w:cs="Tahoma"/>
          <w:sz w:val="18"/>
          <w:szCs w:val="18"/>
        </w:rPr>
        <w:t xml:space="preserve">*** </w:t>
      </w:r>
      <w:r w:rsidRPr="003C5724">
        <w:rPr>
          <w:rFonts w:ascii="Tahoma" w:hAnsi="Tahoma" w:cs="Tahoma"/>
          <w:color w:val="000000"/>
          <w:sz w:val="18"/>
          <w:szCs w:val="18"/>
        </w:rPr>
        <w:t xml:space="preserve">Соответствует значению минимальной гарантированной ставки (годовых) с учетом округления, определяющему минимальный доход, выплачиваемый </w:t>
      </w:r>
      <w:r>
        <w:rPr>
          <w:rFonts w:ascii="Tahoma" w:hAnsi="Tahoma" w:cs="Tahoma"/>
          <w:color w:val="000000"/>
          <w:sz w:val="18"/>
          <w:szCs w:val="18"/>
        </w:rPr>
        <w:t>В</w:t>
      </w:r>
      <w:r w:rsidRPr="003C5724">
        <w:rPr>
          <w:rFonts w:ascii="Tahoma" w:hAnsi="Tahoma" w:cs="Tahoma"/>
          <w:color w:val="000000"/>
          <w:sz w:val="18"/>
          <w:szCs w:val="18"/>
        </w:rPr>
        <w:t xml:space="preserve">кладчику на сумму </w:t>
      </w:r>
      <w:r>
        <w:rPr>
          <w:rFonts w:ascii="Tahoma" w:hAnsi="Tahoma" w:cs="Tahoma"/>
          <w:color w:val="000000"/>
          <w:sz w:val="18"/>
          <w:szCs w:val="18"/>
        </w:rPr>
        <w:t>В</w:t>
      </w:r>
      <w:r w:rsidRPr="003C5724">
        <w:rPr>
          <w:rFonts w:ascii="Tahoma" w:hAnsi="Tahoma" w:cs="Tahoma"/>
          <w:color w:val="000000"/>
          <w:sz w:val="18"/>
          <w:szCs w:val="18"/>
        </w:rPr>
        <w:t xml:space="preserve">клада при условии хранения суммы </w:t>
      </w:r>
      <w:r>
        <w:rPr>
          <w:rFonts w:ascii="Tahoma" w:hAnsi="Tahoma" w:cs="Tahoma"/>
          <w:color w:val="000000"/>
          <w:sz w:val="18"/>
          <w:szCs w:val="18"/>
        </w:rPr>
        <w:t>В</w:t>
      </w:r>
      <w:r w:rsidRPr="003C5724">
        <w:rPr>
          <w:rFonts w:ascii="Tahoma" w:hAnsi="Tahoma" w:cs="Tahoma"/>
          <w:color w:val="000000"/>
          <w:sz w:val="18"/>
          <w:szCs w:val="18"/>
        </w:rPr>
        <w:t xml:space="preserve">клада до конца срока </w:t>
      </w:r>
      <w:r>
        <w:rPr>
          <w:rFonts w:ascii="Tahoma" w:hAnsi="Tahoma" w:cs="Tahoma"/>
          <w:color w:val="000000"/>
          <w:sz w:val="18"/>
          <w:szCs w:val="18"/>
        </w:rPr>
        <w:t>В</w:t>
      </w:r>
      <w:r w:rsidRPr="003C5724">
        <w:rPr>
          <w:rFonts w:ascii="Tahoma" w:hAnsi="Tahoma" w:cs="Tahoma"/>
          <w:color w:val="000000"/>
          <w:sz w:val="18"/>
          <w:szCs w:val="18"/>
        </w:rPr>
        <w:t xml:space="preserve">клада без учета каких-либо других условий. Порядок расчета минимальной гарантированной ставки по </w:t>
      </w:r>
      <w:r>
        <w:rPr>
          <w:rFonts w:ascii="Tahoma" w:hAnsi="Tahoma" w:cs="Tahoma"/>
          <w:color w:val="000000"/>
          <w:sz w:val="18"/>
          <w:szCs w:val="18"/>
        </w:rPr>
        <w:t>В</w:t>
      </w:r>
      <w:r w:rsidRPr="003C5724">
        <w:rPr>
          <w:rFonts w:ascii="Tahoma" w:hAnsi="Tahoma" w:cs="Tahoma"/>
          <w:color w:val="000000"/>
          <w:sz w:val="18"/>
          <w:szCs w:val="18"/>
        </w:rPr>
        <w:t>кладу определяется Банком России.</w:t>
      </w:r>
    </w:p>
    <w:p w14:paraId="5D424588" w14:textId="77777777" w:rsidR="00EA2CBD" w:rsidRPr="008572C5" w:rsidRDefault="00EA2CBD" w:rsidP="00EA2CBD">
      <w:pPr>
        <w:jc w:val="both"/>
        <w:rPr>
          <w:rFonts w:ascii="Tahoma" w:hAnsi="Tahoma" w:cs="Tahoma"/>
          <w:b/>
          <w:bCs/>
          <w:color w:val="E36C0A" w:themeColor="accent6" w:themeShade="BF"/>
          <w:sz w:val="22"/>
          <w:szCs w:val="22"/>
        </w:rPr>
      </w:pPr>
    </w:p>
    <w:p w14:paraId="52726C3D" w14:textId="77777777" w:rsidR="00EA2CBD" w:rsidRPr="008572C5" w:rsidRDefault="00EA2CBD" w:rsidP="000B3718">
      <w:pPr>
        <w:pStyle w:val="a5"/>
      </w:pPr>
      <w:r w:rsidRPr="008572C5">
        <w:t>3.5. Вклад «АТБ. Вклад Онлайн» (без пополнения и снятия</w:t>
      </w:r>
      <w:r>
        <w:t>*</w:t>
      </w:r>
      <w:r w:rsidRPr="008572C5">
        <w:t>) (</w:t>
      </w:r>
      <w:r w:rsidRPr="008572C5">
        <w:rPr>
          <w:iCs/>
          <w:color w:val="E36C0A"/>
        </w:rPr>
        <w:t>открывается только через Каналы ДБО)</w:t>
      </w:r>
    </w:p>
    <w:p w14:paraId="0AAF4757" w14:textId="77777777" w:rsidR="00EA2CBD" w:rsidRPr="008572C5" w:rsidRDefault="00EA2CBD" w:rsidP="00EA2CBD">
      <w:pPr>
        <w:ind w:firstLine="426"/>
        <w:jc w:val="both"/>
        <w:rPr>
          <w:rFonts w:ascii="Tahoma" w:hAnsi="Tahoma" w:cs="Tahoma"/>
          <w:color w:val="000000"/>
          <w:sz w:val="22"/>
          <w:szCs w:val="20"/>
          <w:lang w:eastAsia="en-US"/>
        </w:rPr>
      </w:pPr>
      <w:r w:rsidRPr="008572C5">
        <w:rPr>
          <w:rFonts w:ascii="Tahoma" w:hAnsi="Tahoma" w:cs="Tahoma"/>
          <w:color w:val="000000"/>
          <w:sz w:val="22"/>
          <w:szCs w:val="20"/>
        </w:rPr>
        <w:t>Условия:</w:t>
      </w:r>
    </w:p>
    <w:p w14:paraId="01508CA8" w14:textId="77777777" w:rsidR="00EA2CBD" w:rsidRPr="004B6997" w:rsidRDefault="00EA2CBD" w:rsidP="00EA2CBD">
      <w:pPr>
        <w:numPr>
          <w:ilvl w:val="0"/>
          <w:numId w:val="3"/>
        </w:numPr>
        <w:jc w:val="both"/>
        <w:rPr>
          <w:rFonts w:ascii="Tahoma" w:hAnsi="Tahoma" w:cs="Tahoma"/>
          <w:sz w:val="22"/>
          <w:szCs w:val="20"/>
        </w:rPr>
      </w:pPr>
      <w:r w:rsidRPr="008572C5">
        <w:rPr>
          <w:rFonts w:ascii="Tahoma" w:hAnsi="Tahoma" w:cs="Tahoma"/>
          <w:sz w:val="22"/>
          <w:szCs w:val="20"/>
        </w:rPr>
        <w:t xml:space="preserve">Валюта </w:t>
      </w:r>
      <w:r>
        <w:rPr>
          <w:rFonts w:ascii="Tahoma" w:hAnsi="Tahoma" w:cs="Tahoma"/>
          <w:sz w:val="22"/>
          <w:szCs w:val="20"/>
        </w:rPr>
        <w:t>–</w:t>
      </w:r>
      <w:r w:rsidRPr="008572C5">
        <w:rPr>
          <w:rFonts w:ascii="Tahoma" w:hAnsi="Tahoma" w:cs="Tahoma"/>
          <w:sz w:val="22"/>
          <w:szCs w:val="20"/>
        </w:rPr>
        <w:t xml:space="preserve"> рубли</w:t>
      </w:r>
      <w:r>
        <w:rPr>
          <w:rFonts w:ascii="Tahoma" w:hAnsi="Tahoma" w:cs="Tahoma"/>
          <w:sz w:val="22"/>
          <w:szCs w:val="20"/>
        </w:rPr>
        <w:t xml:space="preserve"> </w:t>
      </w:r>
      <w:r w:rsidRPr="00D64905">
        <w:rPr>
          <w:rFonts w:ascii="Tahoma" w:hAnsi="Tahoma" w:cs="Tahoma"/>
          <w:sz w:val="22"/>
          <w:szCs w:val="22"/>
        </w:rPr>
        <w:t xml:space="preserve">/ </w:t>
      </w:r>
      <w:r w:rsidRPr="004B6997">
        <w:rPr>
          <w:rFonts w:ascii="Tahoma" w:hAnsi="Tahoma" w:cs="Tahoma"/>
          <w:sz w:val="22"/>
          <w:szCs w:val="22"/>
        </w:rPr>
        <w:t>китайский юань</w:t>
      </w:r>
      <w:r w:rsidRPr="004B6997">
        <w:rPr>
          <w:rFonts w:ascii="Tahoma" w:hAnsi="Tahoma" w:cs="Tahoma"/>
          <w:sz w:val="22"/>
          <w:szCs w:val="20"/>
        </w:rPr>
        <w:t>;</w:t>
      </w:r>
    </w:p>
    <w:p w14:paraId="0A30B76A" w14:textId="77777777" w:rsidR="00EA2CBD" w:rsidRPr="008572C5" w:rsidRDefault="00EA2CBD" w:rsidP="00EA2CBD">
      <w:pPr>
        <w:numPr>
          <w:ilvl w:val="0"/>
          <w:numId w:val="3"/>
        </w:numPr>
        <w:jc w:val="both"/>
        <w:rPr>
          <w:rFonts w:ascii="Tahoma" w:hAnsi="Tahoma" w:cs="Tahoma"/>
          <w:sz w:val="22"/>
          <w:szCs w:val="20"/>
        </w:rPr>
      </w:pPr>
      <w:r w:rsidRPr="008572C5">
        <w:rPr>
          <w:rFonts w:ascii="Tahoma" w:hAnsi="Tahoma" w:cs="Tahoma"/>
          <w:sz w:val="22"/>
          <w:szCs w:val="20"/>
        </w:rPr>
        <w:t>Минимальная сумма Вклада 5 000 рублей</w:t>
      </w:r>
      <w:r>
        <w:rPr>
          <w:rFonts w:ascii="Tahoma" w:hAnsi="Tahoma" w:cs="Tahoma"/>
          <w:sz w:val="22"/>
          <w:szCs w:val="20"/>
        </w:rPr>
        <w:t xml:space="preserve"> </w:t>
      </w:r>
      <w:r w:rsidRPr="00D64905">
        <w:rPr>
          <w:rFonts w:ascii="Tahoma" w:hAnsi="Tahoma" w:cs="Tahoma"/>
          <w:sz w:val="22"/>
          <w:szCs w:val="22"/>
        </w:rPr>
        <w:t>/ 700 китайских юаней</w:t>
      </w:r>
      <w:r w:rsidRPr="008572C5">
        <w:rPr>
          <w:rFonts w:ascii="Tahoma" w:hAnsi="Tahoma" w:cs="Tahoma"/>
          <w:sz w:val="22"/>
          <w:szCs w:val="20"/>
        </w:rPr>
        <w:t>;</w:t>
      </w:r>
    </w:p>
    <w:p w14:paraId="09F921B3" w14:textId="77777777" w:rsidR="00EA2CBD" w:rsidRPr="008572C5" w:rsidRDefault="00EA2CBD" w:rsidP="00EA2CBD">
      <w:pPr>
        <w:numPr>
          <w:ilvl w:val="0"/>
          <w:numId w:val="3"/>
        </w:numPr>
        <w:jc w:val="both"/>
        <w:rPr>
          <w:rFonts w:ascii="Tahoma" w:hAnsi="Tahoma" w:cs="Tahoma"/>
          <w:sz w:val="22"/>
          <w:szCs w:val="20"/>
        </w:rPr>
      </w:pPr>
      <w:r w:rsidRPr="008572C5">
        <w:rPr>
          <w:rFonts w:ascii="Tahoma" w:hAnsi="Tahoma" w:cs="Tahoma"/>
          <w:sz w:val="22"/>
          <w:szCs w:val="20"/>
        </w:rPr>
        <w:t>Максимальная сумма Вклада – не ограничена;</w:t>
      </w:r>
    </w:p>
    <w:p w14:paraId="358E73E2" w14:textId="77777777" w:rsidR="00EA2CBD" w:rsidRDefault="00EA2CBD" w:rsidP="00EA2CBD">
      <w:pPr>
        <w:numPr>
          <w:ilvl w:val="0"/>
          <w:numId w:val="3"/>
        </w:numPr>
        <w:jc w:val="both"/>
        <w:rPr>
          <w:rFonts w:ascii="Tahoma" w:hAnsi="Tahoma" w:cs="Tahoma"/>
          <w:sz w:val="22"/>
          <w:szCs w:val="22"/>
        </w:rPr>
      </w:pPr>
      <w:r w:rsidRPr="008572C5">
        <w:rPr>
          <w:rFonts w:ascii="Tahoma" w:hAnsi="Tahoma" w:cs="Tahoma"/>
          <w:sz w:val="22"/>
          <w:szCs w:val="22"/>
        </w:rPr>
        <w:t>Срок Вклада</w:t>
      </w:r>
      <w:r>
        <w:rPr>
          <w:rFonts w:ascii="Tahoma" w:hAnsi="Tahoma" w:cs="Tahoma"/>
          <w:sz w:val="22"/>
          <w:szCs w:val="22"/>
        </w:rPr>
        <w:t xml:space="preserve">: </w:t>
      </w:r>
    </w:p>
    <w:p w14:paraId="35006880" w14:textId="77777777" w:rsidR="00EA2CBD" w:rsidRPr="00823945" w:rsidRDefault="00EA2CBD" w:rsidP="00EA2CBD">
      <w:pPr>
        <w:ind w:left="709" w:firstLine="142"/>
        <w:jc w:val="both"/>
        <w:rPr>
          <w:rFonts w:ascii="Tahoma" w:hAnsi="Tahoma" w:cs="Tahoma"/>
          <w:sz w:val="22"/>
          <w:szCs w:val="22"/>
        </w:rPr>
      </w:pPr>
      <w:r>
        <w:rPr>
          <w:rFonts w:ascii="Tahoma" w:hAnsi="Tahoma" w:cs="Tahoma"/>
          <w:sz w:val="22"/>
          <w:szCs w:val="22"/>
        </w:rPr>
        <w:t xml:space="preserve">- </w:t>
      </w:r>
      <w:r w:rsidRPr="00823945">
        <w:rPr>
          <w:rFonts w:ascii="Tahoma" w:hAnsi="Tahoma" w:cs="Tahoma"/>
          <w:sz w:val="22"/>
          <w:szCs w:val="22"/>
        </w:rPr>
        <w:t>в рублях РФ: 62 дня / 92 дня/ 122 дня/ 182 дня/ 243 дня/ 273 дня/ 367 дней/ 731 день/ 1098 дней;</w:t>
      </w:r>
    </w:p>
    <w:p w14:paraId="6BB5CBEA" w14:textId="77777777" w:rsidR="00EA2CBD" w:rsidRPr="008572C5" w:rsidRDefault="00EA2CBD" w:rsidP="00EA2CBD">
      <w:pPr>
        <w:ind w:left="709" w:firstLine="142"/>
        <w:jc w:val="both"/>
        <w:rPr>
          <w:rFonts w:ascii="Tahoma" w:hAnsi="Tahoma" w:cs="Tahoma"/>
          <w:sz w:val="22"/>
          <w:szCs w:val="22"/>
        </w:rPr>
      </w:pPr>
      <w:r w:rsidRPr="00823945">
        <w:rPr>
          <w:rFonts w:ascii="Tahoma" w:hAnsi="Tahoma" w:cs="Tahoma"/>
          <w:sz w:val="22"/>
          <w:szCs w:val="22"/>
        </w:rPr>
        <w:t>- в китайских юанях: 92 дня/ 182 дня.</w:t>
      </w:r>
    </w:p>
    <w:p w14:paraId="385CD2E9" w14:textId="77777777" w:rsidR="00EA2CBD" w:rsidRPr="008572C5" w:rsidRDefault="00EA2CBD" w:rsidP="00EA2CBD">
      <w:pPr>
        <w:numPr>
          <w:ilvl w:val="0"/>
          <w:numId w:val="3"/>
        </w:numPr>
        <w:jc w:val="both"/>
        <w:rPr>
          <w:rFonts w:ascii="Tahoma" w:hAnsi="Tahoma" w:cs="Tahoma"/>
          <w:sz w:val="22"/>
          <w:szCs w:val="20"/>
        </w:rPr>
      </w:pPr>
      <w:r w:rsidRPr="008572C5">
        <w:rPr>
          <w:rFonts w:ascii="Tahoma" w:hAnsi="Tahoma" w:cs="Tahoma"/>
          <w:sz w:val="22"/>
          <w:szCs w:val="20"/>
        </w:rPr>
        <w:t>Вклад не пополняемый;</w:t>
      </w:r>
    </w:p>
    <w:p w14:paraId="5C13F4B5" w14:textId="77777777" w:rsidR="00EA2CBD" w:rsidRPr="008572C5" w:rsidRDefault="00EA2CBD" w:rsidP="00EA2CBD">
      <w:pPr>
        <w:numPr>
          <w:ilvl w:val="0"/>
          <w:numId w:val="3"/>
        </w:numPr>
        <w:jc w:val="both"/>
        <w:rPr>
          <w:rFonts w:ascii="Tahoma" w:hAnsi="Tahoma" w:cs="Tahoma"/>
          <w:sz w:val="22"/>
          <w:szCs w:val="20"/>
        </w:rPr>
      </w:pPr>
      <w:r w:rsidRPr="008572C5">
        <w:rPr>
          <w:rFonts w:ascii="Tahoma" w:hAnsi="Tahoma" w:cs="Tahoma"/>
          <w:color w:val="000000" w:themeColor="text1"/>
          <w:sz w:val="22"/>
          <w:szCs w:val="22"/>
        </w:rPr>
        <w:t>Расходные операции по Вкладу – не предусмотрены;</w:t>
      </w:r>
    </w:p>
    <w:p w14:paraId="049FA936" w14:textId="77777777" w:rsidR="00EA2CBD" w:rsidRPr="008572C5" w:rsidRDefault="00EA2CBD" w:rsidP="00EA2CBD">
      <w:pPr>
        <w:numPr>
          <w:ilvl w:val="0"/>
          <w:numId w:val="3"/>
        </w:numPr>
        <w:jc w:val="both"/>
        <w:rPr>
          <w:rFonts w:ascii="Tahoma" w:hAnsi="Tahoma" w:cs="Tahoma"/>
          <w:sz w:val="22"/>
          <w:szCs w:val="20"/>
        </w:rPr>
      </w:pPr>
      <w:r w:rsidRPr="008572C5">
        <w:rPr>
          <w:rFonts w:ascii="Tahoma" w:hAnsi="Tahoma" w:cs="Tahoma"/>
          <w:sz w:val="22"/>
          <w:szCs w:val="20"/>
        </w:rPr>
        <w:t>Вклад пролонгируемый;</w:t>
      </w:r>
    </w:p>
    <w:p w14:paraId="7C2B2DD7" w14:textId="77777777" w:rsidR="00EA2CBD" w:rsidRPr="008572C5" w:rsidRDefault="00EA2CBD" w:rsidP="00EA2CBD">
      <w:pPr>
        <w:numPr>
          <w:ilvl w:val="0"/>
          <w:numId w:val="3"/>
        </w:numPr>
        <w:jc w:val="both"/>
        <w:rPr>
          <w:rFonts w:ascii="Tahoma" w:hAnsi="Tahoma" w:cs="Tahoma"/>
          <w:sz w:val="22"/>
          <w:szCs w:val="20"/>
        </w:rPr>
      </w:pPr>
      <w:r w:rsidRPr="008572C5">
        <w:rPr>
          <w:rFonts w:ascii="Tahoma" w:hAnsi="Tahoma" w:cs="Tahoma"/>
          <w:sz w:val="22"/>
          <w:szCs w:val="20"/>
        </w:rPr>
        <w:t>Неснижаемый остаток по Вкладу – не предусмотрен;</w:t>
      </w:r>
    </w:p>
    <w:p w14:paraId="1F8A9E46" w14:textId="77777777" w:rsidR="00EA2CBD" w:rsidRPr="008572C5" w:rsidRDefault="00EA2CBD" w:rsidP="00EA2CBD">
      <w:pPr>
        <w:numPr>
          <w:ilvl w:val="0"/>
          <w:numId w:val="3"/>
        </w:numPr>
        <w:autoSpaceDE w:val="0"/>
        <w:autoSpaceDN w:val="0"/>
        <w:contextualSpacing/>
        <w:jc w:val="both"/>
        <w:rPr>
          <w:rFonts w:ascii="Tahoma" w:hAnsi="Tahoma" w:cs="Tahoma"/>
          <w:sz w:val="22"/>
          <w:szCs w:val="20"/>
        </w:rPr>
      </w:pPr>
      <w:r w:rsidRPr="008572C5">
        <w:rPr>
          <w:rFonts w:ascii="Tahoma" w:hAnsi="Tahoma" w:cs="Tahoma"/>
          <w:sz w:val="22"/>
          <w:szCs w:val="20"/>
        </w:rPr>
        <w:t>Выплата процентов и суммы Вклада – в конце срока на счет, открытый в Банке;</w:t>
      </w:r>
    </w:p>
    <w:p w14:paraId="23E69F00" w14:textId="77777777" w:rsidR="00EA2CBD" w:rsidRPr="008572C5" w:rsidRDefault="00EA2CBD" w:rsidP="00EA2CBD">
      <w:pPr>
        <w:numPr>
          <w:ilvl w:val="0"/>
          <w:numId w:val="3"/>
        </w:numPr>
        <w:jc w:val="both"/>
        <w:rPr>
          <w:rFonts w:ascii="Tahoma" w:hAnsi="Tahoma" w:cs="Tahoma"/>
          <w:sz w:val="22"/>
          <w:szCs w:val="20"/>
        </w:rPr>
      </w:pPr>
      <w:r w:rsidRPr="003825F9">
        <w:rPr>
          <w:rFonts w:ascii="Tahoma" w:hAnsi="Tahoma" w:cs="Tahoma"/>
          <w:sz w:val="22"/>
          <w:szCs w:val="22"/>
        </w:rPr>
        <w:t>В случае досрочного возвращения Вклада в течение срока хранения Вклада по требованию Вкладчика проценты по Вкладу начисляются Вкладчику по ставке 0,01% годовых за весь срок хранения Вклада, начиная со дня, следующего за днем поступления денежных средств (Вклада) в Банк, и выплачиваются в день востребования суммы Вклада</w:t>
      </w:r>
      <w:r w:rsidRPr="008572C5">
        <w:rPr>
          <w:rFonts w:ascii="Tahoma" w:hAnsi="Tahoma" w:cs="Tahoma"/>
          <w:sz w:val="22"/>
          <w:szCs w:val="20"/>
        </w:rPr>
        <w:t xml:space="preserve">. </w:t>
      </w:r>
    </w:p>
    <w:p w14:paraId="616E85FC" w14:textId="77777777" w:rsidR="00EA2CBD" w:rsidRPr="008572C5" w:rsidRDefault="00EA2CBD" w:rsidP="00EA2CBD">
      <w:pPr>
        <w:ind w:left="720"/>
        <w:jc w:val="both"/>
        <w:rPr>
          <w:rFonts w:ascii="Tahoma" w:hAnsi="Tahoma" w:cs="Tahoma"/>
          <w:sz w:val="20"/>
          <w:szCs w:val="20"/>
        </w:rPr>
      </w:pPr>
    </w:p>
    <w:tbl>
      <w:tblPr>
        <w:tblW w:w="5160" w:type="pct"/>
        <w:tblLayout w:type="fixed"/>
        <w:tblCellMar>
          <w:left w:w="0" w:type="dxa"/>
          <w:right w:w="0" w:type="dxa"/>
        </w:tblCellMar>
        <w:tblLook w:val="04A0" w:firstRow="1" w:lastRow="0" w:firstColumn="1" w:lastColumn="0" w:noHBand="0" w:noVBand="1"/>
      </w:tblPr>
      <w:tblGrid>
        <w:gridCol w:w="1510"/>
        <w:gridCol w:w="2524"/>
        <w:gridCol w:w="1242"/>
        <w:gridCol w:w="1538"/>
        <w:gridCol w:w="970"/>
        <w:gridCol w:w="830"/>
        <w:gridCol w:w="147"/>
        <w:gridCol w:w="839"/>
        <w:gridCol w:w="839"/>
        <w:gridCol w:w="974"/>
        <w:gridCol w:w="977"/>
        <w:gridCol w:w="977"/>
        <w:gridCol w:w="977"/>
        <w:gridCol w:w="1257"/>
      </w:tblGrid>
      <w:tr w:rsidR="00EA2CBD" w:rsidRPr="008572C5" w14:paraId="673F3E5D" w14:textId="77777777" w:rsidTr="009D1253">
        <w:trPr>
          <w:trHeight w:val="319"/>
        </w:trPr>
        <w:tc>
          <w:tcPr>
            <w:tcW w:w="484" w:type="pct"/>
            <w:vMerge w:val="restart"/>
            <w:tcBorders>
              <w:top w:val="single" w:sz="8" w:space="0" w:color="auto"/>
              <w:left w:val="single" w:sz="8" w:space="0" w:color="auto"/>
              <w:bottom w:val="single" w:sz="8" w:space="0" w:color="000000"/>
              <w:right w:val="nil"/>
            </w:tcBorders>
            <w:tcMar>
              <w:top w:w="0" w:type="dxa"/>
              <w:left w:w="108" w:type="dxa"/>
              <w:bottom w:w="0" w:type="dxa"/>
              <w:right w:w="108" w:type="dxa"/>
            </w:tcMar>
            <w:vAlign w:val="center"/>
            <w:hideMark/>
          </w:tcPr>
          <w:p w14:paraId="6816FD38" w14:textId="77777777" w:rsidR="00EA2CBD" w:rsidRPr="008572C5" w:rsidRDefault="00EA2CBD" w:rsidP="009D1253">
            <w:pPr>
              <w:jc w:val="center"/>
              <w:rPr>
                <w:rFonts w:ascii="Tahoma" w:hAnsi="Tahoma" w:cs="Tahoma"/>
                <w:b/>
                <w:bCs/>
                <w:sz w:val="20"/>
                <w:szCs w:val="20"/>
              </w:rPr>
            </w:pPr>
            <w:r w:rsidRPr="008572C5">
              <w:rPr>
                <w:rFonts w:ascii="Tahoma" w:hAnsi="Tahoma" w:cs="Tahoma"/>
                <w:b/>
                <w:bCs/>
                <w:sz w:val="20"/>
                <w:szCs w:val="20"/>
              </w:rPr>
              <w:t>Ориентировочный сегмент</w:t>
            </w:r>
          </w:p>
        </w:tc>
        <w:tc>
          <w:tcPr>
            <w:tcW w:w="809" w:type="pct"/>
            <w:vMerge w:val="restart"/>
            <w:tcBorders>
              <w:top w:val="single" w:sz="8" w:space="0" w:color="auto"/>
              <w:left w:val="single" w:sz="8" w:space="0" w:color="auto"/>
              <w:bottom w:val="single" w:sz="8" w:space="0" w:color="000000"/>
              <w:right w:val="single" w:sz="8" w:space="0" w:color="auto"/>
            </w:tcBorders>
            <w:tcMar>
              <w:top w:w="0" w:type="dxa"/>
              <w:left w:w="108" w:type="dxa"/>
              <w:bottom w:w="0" w:type="dxa"/>
              <w:right w:w="108" w:type="dxa"/>
            </w:tcMar>
            <w:vAlign w:val="center"/>
            <w:hideMark/>
          </w:tcPr>
          <w:p w14:paraId="54FD4407" w14:textId="77777777" w:rsidR="00EA2CBD" w:rsidRPr="008572C5" w:rsidRDefault="00EA2CBD" w:rsidP="009D1253">
            <w:pPr>
              <w:jc w:val="center"/>
              <w:rPr>
                <w:rFonts w:ascii="Tahoma" w:hAnsi="Tahoma" w:cs="Tahoma"/>
                <w:b/>
                <w:bCs/>
                <w:sz w:val="20"/>
                <w:szCs w:val="20"/>
              </w:rPr>
            </w:pPr>
            <w:r w:rsidRPr="008572C5">
              <w:rPr>
                <w:rFonts w:ascii="Tahoma" w:hAnsi="Tahoma" w:cs="Tahoma"/>
                <w:b/>
                <w:bCs/>
                <w:sz w:val="20"/>
                <w:szCs w:val="20"/>
              </w:rPr>
              <w:t>Продукт</w:t>
            </w:r>
          </w:p>
        </w:tc>
        <w:tc>
          <w:tcPr>
            <w:tcW w:w="891" w:type="pct"/>
            <w:gridSpan w:val="2"/>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1327B5F5" w14:textId="77777777" w:rsidR="00EA2CBD" w:rsidRPr="008572C5" w:rsidRDefault="00EA2CBD" w:rsidP="009D1253">
            <w:pPr>
              <w:jc w:val="center"/>
              <w:rPr>
                <w:rFonts w:ascii="Tahoma" w:hAnsi="Tahoma" w:cs="Tahoma"/>
                <w:b/>
                <w:bCs/>
                <w:sz w:val="20"/>
                <w:szCs w:val="20"/>
              </w:rPr>
            </w:pPr>
            <w:r w:rsidRPr="008572C5">
              <w:rPr>
                <w:rFonts w:ascii="Tahoma" w:hAnsi="Tahoma" w:cs="Tahoma"/>
                <w:b/>
                <w:bCs/>
                <w:sz w:val="20"/>
                <w:szCs w:val="20"/>
              </w:rPr>
              <w:t xml:space="preserve">Базовые параметры </w:t>
            </w:r>
            <w:r>
              <w:rPr>
                <w:rFonts w:ascii="Tahoma" w:hAnsi="Tahoma" w:cs="Tahoma"/>
                <w:b/>
                <w:bCs/>
                <w:sz w:val="20"/>
                <w:szCs w:val="20"/>
              </w:rPr>
              <w:t>В</w:t>
            </w:r>
            <w:r w:rsidRPr="008572C5">
              <w:rPr>
                <w:rFonts w:ascii="Tahoma" w:hAnsi="Tahoma" w:cs="Tahoma"/>
                <w:b/>
                <w:bCs/>
                <w:sz w:val="20"/>
                <w:szCs w:val="20"/>
              </w:rPr>
              <w:t>клада</w:t>
            </w:r>
          </w:p>
        </w:tc>
        <w:tc>
          <w:tcPr>
            <w:tcW w:w="311" w:type="pct"/>
            <w:tcBorders>
              <w:top w:val="single" w:sz="8" w:space="0" w:color="auto"/>
              <w:left w:val="nil"/>
              <w:bottom w:val="single" w:sz="8" w:space="0" w:color="auto"/>
              <w:right w:val="nil"/>
            </w:tcBorders>
          </w:tcPr>
          <w:p w14:paraId="757C43AE" w14:textId="77777777" w:rsidR="00EA2CBD" w:rsidRPr="008572C5" w:rsidRDefault="00EA2CBD" w:rsidP="009D1253">
            <w:pPr>
              <w:jc w:val="center"/>
              <w:rPr>
                <w:rFonts w:ascii="Tahoma" w:hAnsi="Tahoma" w:cs="Tahoma"/>
                <w:b/>
                <w:bCs/>
                <w:sz w:val="20"/>
                <w:szCs w:val="20"/>
              </w:rPr>
            </w:pPr>
          </w:p>
        </w:tc>
        <w:tc>
          <w:tcPr>
            <w:tcW w:w="266" w:type="pct"/>
            <w:tcBorders>
              <w:top w:val="single" w:sz="8" w:space="0" w:color="auto"/>
              <w:left w:val="nil"/>
              <w:bottom w:val="single" w:sz="8" w:space="0" w:color="auto"/>
              <w:right w:val="nil"/>
            </w:tcBorders>
          </w:tcPr>
          <w:p w14:paraId="3B3D5595" w14:textId="77777777" w:rsidR="00EA2CBD" w:rsidRPr="008572C5" w:rsidRDefault="00EA2CBD" w:rsidP="009D1253">
            <w:pPr>
              <w:jc w:val="center"/>
              <w:rPr>
                <w:rFonts w:ascii="Tahoma" w:hAnsi="Tahoma" w:cs="Tahoma"/>
                <w:b/>
                <w:bCs/>
                <w:sz w:val="20"/>
                <w:szCs w:val="20"/>
              </w:rPr>
            </w:pPr>
          </w:p>
        </w:tc>
        <w:tc>
          <w:tcPr>
            <w:tcW w:w="2239" w:type="pct"/>
            <w:gridSpan w:val="8"/>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3B091A35" w14:textId="77777777" w:rsidR="00EA2CBD" w:rsidRPr="008572C5" w:rsidRDefault="00EA2CBD" w:rsidP="009D1253">
            <w:pPr>
              <w:jc w:val="center"/>
              <w:rPr>
                <w:rFonts w:ascii="Tahoma" w:hAnsi="Tahoma" w:cs="Tahoma"/>
                <w:b/>
                <w:bCs/>
                <w:sz w:val="20"/>
                <w:szCs w:val="20"/>
              </w:rPr>
            </w:pPr>
            <w:r w:rsidRPr="008572C5">
              <w:rPr>
                <w:rFonts w:ascii="Tahoma" w:hAnsi="Tahoma" w:cs="Tahoma"/>
                <w:b/>
                <w:bCs/>
                <w:sz w:val="20"/>
                <w:szCs w:val="20"/>
              </w:rPr>
              <w:t>Процентные ставки*</w:t>
            </w:r>
            <w:r>
              <w:rPr>
                <w:rFonts w:ascii="Tahoma" w:hAnsi="Tahoma" w:cs="Tahoma"/>
                <w:b/>
                <w:bCs/>
                <w:sz w:val="20"/>
                <w:szCs w:val="20"/>
              </w:rPr>
              <w:t>*</w:t>
            </w:r>
            <w:r w:rsidRPr="008572C5">
              <w:rPr>
                <w:rFonts w:ascii="Tahoma" w:hAnsi="Tahoma" w:cs="Tahoma"/>
                <w:b/>
                <w:bCs/>
                <w:sz w:val="20"/>
                <w:szCs w:val="20"/>
              </w:rPr>
              <w:t xml:space="preserve"> (% годовых) в зависимости от срока </w:t>
            </w:r>
            <w:r w:rsidRPr="00271DA0">
              <w:rPr>
                <w:rFonts w:ascii="Tahoma" w:hAnsi="Tahoma" w:cs="Tahoma"/>
                <w:b/>
                <w:bCs/>
                <w:sz w:val="20"/>
                <w:szCs w:val="20"/>
              </w:rPr>
              <w:t>В</w:t>
            </w:r>
            <w:r w:rsidRPr="008572C5">
              <w:rPr>
                <w:rFonts w:ascii="Tahoma" w:hAnsi="Tahoma" w:cs="Tahoma"/>
                <w:b/>
                <w:bCs/>
                <w:sz w:val="20"/>
                <w:szCs w:val="20"/>
              </w:rPr>
              <w:t>клада</w:t>
            </w:r>
          </w:p>
        </w:tc>
      </w:tr>
      <w:tr w:rsidR="00EA2CBD" w:rsidRPr="008572C5" w14:paraId="6B2FC38E" w14:textId="77777777" w:rsidTr="009D1253">
        <w:trPr>
          <w:trHeight w:val="319"/>
        </w:trPr>
        <w:tc>
          <w:tcPr>
            <w:tcW w:w="484" w:type="pct"/>
            <w:vMerge/>
            <w:tcBorders>
              <w:top w:val="single" w:sz="8" w:space="0" w:color="auto"/>
              <w:left w:val="single" w:sz="8" w:space="0" w:color="auto"/>
              <w:bottom w:val="single" w:sz="8" w:space="0" w:color="000000"/>
              <w:right w:val="nil"/>
            </w:tcBorders>
            <w:vAlign w:val="center"/>
            <w:hideMark/>
          </w:tcPr>
          <w:p w14:paraId="00487132" w14:textId="77777777" w:rsidR="00EA2CBD" w:rsidRPr="008572C5" w:rsidRDefault="00EA2CBD" w:rsidP="009D1253">
            <w:pPr>
              <w:rPr>
                <w:rFonts w:ascii="Tahoma" w:eastAsiaTheme="minorHAnsi" w:hAnsi="Tahoma" w:cs="Tahoma"/>
                <w:b/>
                <w:bCs/>
                <w:sz w:val="20"/>
                <w:szCs w:val="20"/>
                <w:lang w:eastAsia="en-US"/>
              </w:rPr>
            </w:pPr>
          </w:p>
        </w:tc>
        <w:tc>
          <w:tcPr>
            <w:tcW w:w="809" w:type="pct"/>
            <w:vMerge/>
            <w:tcBorders>
              <w:top w:val="single" w:sz="8" w:space="0" w:color="auto"/>
              <w:left w:val="single" w:sz="8" w:space="0" w:color="auto"/>
              <w:bottom w:val="single" w:sz="8" w:space="0" w:color="000000"/>
              <w:right w:val="single" w:sz="8" w:space="0" w:color="auto"/>
            </w:tcBorders>
            <w:vAlign w:val="center"/>
            <w:hideMark/>
          </w:tcPr>
          <w:p w14:paraId="762B44DB" w14:textId="77777777" w:rsidR="00EA2CBD" w:rsidRPr="008572C5" w:rsidRDefault="00EA2CBD" w:rsidP="009D1253">
            <w:pPr>
              <w:rPr>
                <w:rFonts w:ascii="Tahoma" w:eastAsiaTheme="minorHAnsi" w:hAnsi="Tahoma" w:cs="Tahoma"/>
                <w:b/>
                <w:bCs/>
                <w:sz w:val="20"/>
                <w:szCs w:val="20"/>
                <w:lang w:eastAsia="en-US"/>
              </w:rPr>
            </w:pPr>
          </w:p>
        </w:tc>
        <w:tc>
          <w:tcPr>
            <w:tcW w:w="398" w:type="pct"/>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4FD8084" w14:textId="77777777" w:rsidR="00EA2CBD" w:rsidRPr="008572C5" w:rsidRDefault="00EA2CBD" w:rsidP="009D1253">
            <w:pPr>
              <w:jc w:val="center"/>
              <w:rPr>
                <w:rFonts w:ascii="Tahoma" w:hAnsi="Tahoma" w:cs="Tahoma"/>
                <w:b/>
                <w:bCs/>
                <w:sz w:val="20"/>
                <w:szCs w:val="20"/>
              </w:rPr>
            </w:pPr>
            <w:r w:rsidRPr="008572C5">
              <w:rPr>
                <w:rFonts w:ascii="Tahoma" w:hAnsi="Tahoma" w:cs="Tahoma"/>
                <w:b/>
                <w:bCs/>
                <w:sz w:val="20"/>
                <w:szCs w:val="20"/>
              </w:rPr>
              <w:t xml:space="preserve">Валюта </w:t>
            </w:r>
            <w:r>
              <w:rPr>
                <w:rFonts w:ascii="Tahoma" w:hAnsi="Tahoma" w:cs="Tahoma"/>
                <w:b/>
                <w:bCs/>
                <w:sz w:val="20"/>
                <w:szCs w:val="20"/>
              </w:rPr>
              <w:t>В</w:t>
            </w:r>
            <w:r w:rsidRPr="008572C5">
              <w:rPr>
                <w:rFonts w:ascii="Tahoma" w:hAnsi="Tahoma" w:cs="Tahoma"/>
                <w:b/>
                <w:bCs/>
                <w:sz w:val="20"/>
                <w:szCs w:val="20"/>
              </w:rPr>
              <w:t>клада</w:t>
            </w:r>
          </w:p>
        </w:tc>
        <w:tc>
          <w:tcPr>
            <w:tcW w:w="493" w:type="pct"/>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C383307" w14:textId="77777777" w:rsidR="00EA2CBD" w:rsidRPr="008572C5" w:rsidRDefault="00EA2CBD" w:rsidP="009D1253">
            <w:pPr>
              <w:jc w:val="center"/>
              <w:rPr>
                <w:rFonts w:ascii="Tahoma" w:hAnsi="Tahoma" w:cs="Tahoma"/>
                <w:b/>
                <w:bCs/>
                <w:sz w:val="20"/>
                <w:szCs w:val="20"/>
              </w:rPr>
            </w:pPr>
            <w:r w:rsidRPr="008572C5">
              <w:rPr>
                <w:rFonts w:ascii="Tahoma" w:hAnsi="Tahoma" w:cs="Tahoma"/>
                <w:b/>
                <w:bCs/>
                <w:sz w:val="20"/>
                <w:szCs w:val="20"/>
              </w:rPr>
              <w:t xml:space="preserve">Минимальная сумма </w:t>
            </w:r>
            <w:r>
              <w:rPr>
                <w:rFonts w:ascii="Tahoma" w:hAnsi="Tahoma" w:cs="Tahoma"/>
                <w:b/>
                <w:bCs/>
                <w:sz w:val="20"/>
                <w:szCs w:val="20"/>
              </w:rPr>
              <w:t>В</w:t>
            </w:r>
            <w:r w:rsidRPr="008572C5">
              <w:rPr>
                <w:rFonts w:ascii="Tahoma" w:hAnsi="Tahoma" w:cs="Tahoma"/>
                <w:b/>
                <w:bCs/>
                <w:sz w:val="20"/>
                <w:szCs w:val="20"/>
              </w:rPr>
              <w:t xml:space="preserve">клада </w:t>
            </w:r>
          </w:p>
        </w:tc>
        <w:tc>
          <w:tcPr>
            <w:tcW w:w="311" w:type="pct"/>
            <w:tcBorders>
              <w:top w:val="nil"/>
              <w:left w:val="nil"/>
              <w:bottom w:val="single" w:sz="8" w:space="0" w:color="auto"/>
              <w:right w:val="single" w:sz="4" w:space="0" w:color="auto"/>
            </w:tcBorders>
            <w:noWrap/>
            <w:tcMar>
              <w:top w:w="0" w:type="dxa"/>
              <w:left w:w="108" w:type="dxa"/>
              <w:bottom w:w="0" w:type="dxa"/>
              <w:right w:w="108" w:type="dxa"/>
            </w:tcMar>
            <w:vAlign w:val="center"/>
            <w:hideMark/>
          </w:tcPr>
          <w:p w14:paraId="530A5CBF" w14:textId="77777777" w:rsidR="00EA2CBD" w:rsidRPr="008572C5" w:rsidRDefault="00EA2CBD" w:rsidP="009D1253">
            <w:pPr>
              <w:jc w:val="center"/>
              <w:rPr>
                <w:rFonts w:ascii="Tahoma" w:hAnsi="Tahoma" w:cs="Tahoma"/>
                <w:b/>
                <w:bCs/>
                <w:sz w:val="20"/>
                <w:szCs w:val="20"/>
              </w:rPr>
            </w:pPr>
            <w:r>
              <w:rPr>
                <w:rFonts w:ascii="Tahoma" w:hAnsi="Tahoma" w:cs="Tahoma"/>
                <w:b/>
                <w:bCs/>
                <w:sz w:val="20"/>
                <w:szCs w:val="20"/>
              </w:rPr>
              <w:t>6</w:t>
            </w:r>
            <w:r w:rsidRPr="008572C5">
              <w:rPr>
                <w:rFonts w:ascii="Tahoma" w:hAnsi="Tahoma" w:cs="Tahoma"/>
                <w:b/>
                <w:bCs/>
                <w:sz w:val="20"/>
                <w:szCs w:val="20"/>
              </w:rPr>
              <w:t>2 дня</w:t>
            </w:r>
          </w:p>
        </w:tc>
        <w:tc>
          <w:tcPr>
            <w:tcW w:w="313" w:type="pct"/>
            <w:gridSpan w:val="2"/>
            <w:tcBorders>
              <w:top w:val="nil"/>
              <w:left w:val="nil"/>
              <w:bottom w:val="single" w:sz="8" w:space="0" w:color="auto"/>
              <w:right w:val="single" w:sz="4" w:space="0" w:color="auto"/>
            </w:tcBorders>
            <w:vAlign w:val="center"/>
          </w:tcPr>
          <w:p w14:paraId="4F94F6FC" w14:textId="77777777" w:rsidR="00EA2CBD" w:rsidRPr="008572C5" w:rsidRDefault="00EA2CBD" w:rsidP="009D1253">
            <w:pPr>
              <w:jc w:val="center"/>
              <w:rPr>
                <w:rFonts w:ascii="Tahoma" w:hAnsi="Tahoma" w:cs="Tahoma"/>
                <w:b/>
                <w:bCs/>
                <w:sz w:val="20"/>
                <w:szCs w:val="20"/>
              </w:rPr>
            </w:pPr>
            <w:r w:rsidRPr="008572C5">
              <w:rPr>
                <w:rFonts w:ascii="Tahoma" w:hAnsi="Tahoma" w:cs="Tahoma"/>
                <w:b/>
                <w:bCs/>
                <w:sz w:val="20"/>
                <w:szCs w:val="20"/>
              </w:rPr>
              <w:t>92 дня</w:t>
            </w:r>
          </w:p>
        </w:tc>
        <w:tc>
          <w:tcPr>
            <w:tcW w:w="269" w:type="pct"/>
            <w:tcBorders>
              <w:top w:val="nil"/>
              <w:left w:val="single" w:sz="4" w:space="0" w:color="auto"/>
              <w:bottom w:val="single" w:sz="8" w:space="0" w:color="auto"/>
              <w:right w:val="single" w:sz="4" w:space="0" w:color="auto"/>
            </w:tcBorders>
            <w:vAlign w:val="center"/>
          </w:tcPr>
          <w:p w14:paraId="20D3F518" w14:textId="77777777" w:rsidR="00EA2CBD" w:rsidRPr="008572C5" w:rsidRDefault="00EA2CBD" w:rsidP="009D1253">
            <w:pPr>
              <w:jc w:val="center"/>
              <w:rPr>
                <w:rFonts w:ascii="Tahoma" w:hAnsi="Tahoma" w:cs="Tahoma"/>
                <w:b/>
                <w:bCs/>
                <w:sz w:val="20"/>
                <w:szCs w:val="20"/>
              </w:rPr>
            </w:pPr>
            <w:r w:rsidRPr="008572C5">
              <w:rPr>
                <w:rFonts w:ascii="Tahoma" w:hAnsi="Tahoma" w:cs="Tahoma"/>
                <w:b/>
                <w:bCs/>
                <w:sz w:val="20"/>
                <w:szCs w:val="20"/>
              </w:rPr>
              <w:t>122 дня</w:t>
            </w:r>
          </w:p>
        </w:tc>
        <w:tc>
          <w:tcPr>
            <w:tcW w:w="269" w:type="pct"/>
            <w:tcBorders>
              <w:top w:val="nil"/>
              <w:left w:val="single" w:sz="4" w:space="0" w:color="auto"/>
              <w:bottom w:val="single" w:sz="8" w:space="0" w:color="auto"/>
              <w:right w:val="single" w:sz="4" w:space="0" w:color="auto"/>
            </w:tcBorders>
            <w:vAlign w:val="center"/>
          </w:tcPr>
          <w:p w14:paraId="7E6E617F" w14:textId="77777777" w:rsidR="00EA2CBD" w:rsidRPr="008572C5" w:rsidRDefault="00EA2CBD" w:rsidP="009D1253">
            <w:pPr>
              <w:jc w:val="center"/>
              <w:rPr>
                <w:rFonts w:ascii="Tahoma" w:hAnsi="Tahoma" w:cs="Tahoma"/>
                <w:b/>
                <w:bCs/>
                <w:sz w:val="20"/>
                <w:szCs w:val="20"/>
              </w:rPr>
            </w:pPr>
            <w:r w:rsidRPr="008572C5">
              <w:rPr>
                <w:rFonts w:ascii="Tahoma" w:hAnsi="Tahoma" w:cs="Tahoma"/>
                <w:b/>
                <w:bCs/>
                <w:sz w:val="20"/>
                <w:szCs w:val="20"/>
              </w:rPr>
              <w:t>182 дня</w:t>
            </w:r>
          </w:p>
        </w:tc>
        <w:tc>
          <w:tcPr>
            <w:tcW w:w="312" w:type="pct"/>
            <w:tcBorders>
              <w:top w:val="nil"/>
              <w:left w:val="single" w:sz="4" w:space="0" w:color="auto"/>
              <w:bottom w:val="single" w:sz="8" w:space="0" w:color="auto"/>
              <w:right w:val="single" w:sz="4" w:space="0" w:color="auto"/>
            </w:tcBorders>
            <w:vAlign w:val="center"/>
          </w:tcPr>
          <w:p w14:paraId="6B9F45C9" w14:textId="77777777" w:rsidR="00EA2CBD" w:rsidRPr="008572C5" w:rsidRDefault="00EA2CBD" w:rsidP="009D1253">
            <w:pPr>
              <w:jc w:val="center"/>
              <w:rPr>
                <w:rFonts w:ascii="Tahoma" w:hAnsi="Tahoma" w:cs="Tahoma"/>
                <w:b/>
                <w:bCs/>
                <w:sz w:val="20"/>
                <w:szCs w:val="20"/>
              </w:rPr>
            </w:pPr>
            <w:r w:rsidRPr="008572C5">
              <w:rPr>
                <w:rFonts w:ascii="Tahoma" w:hAnsi="Tahoma" w:cs="Tahoma"/>
                <w:b/>
                <w:bCs/>
                <w:sz w:val="20"/>
                <w:szCs w:val="20"/>
              </w:rPr>
              <w:t>243 дня</w:t>
            </w:r>
          </w:p>
        </w:tc>
        <w:tc>
          <w:tcPr>
            <w:tcW w:w="313" w:type="pct"/>
            <w:tcBorders>
              <w:top w:val="nil"/>
              <w:left w:val="single" w:sz="4" w:space="0" w:color="auto"/>
              <w:bottom w:val="single" w:sz="8" w:space="0" w:color="auto"/>
              <w:right w:val="single" w:sz="4" w:space="0" w:color="auto"/>
            </w:tcBorders>
            <w:vAlign w:val="center"/>
          </w:tcPr>
          <w:p w14:paraId="58452B93" w14:textId="77777777" w:rsidR="00EA2CBD" w:rsidRPr="008572C5" w:rsidRDefault="00EA2CBD" w:rsidP="009D1253">
            <w:pPr>
              <w:jc w:val="center"/>
              <w:rPr>
                <w:rFonts w:ascii="Tahoma" w:hAnsi="Tahoma" w:cs="Tahoma"/>
                <w:b/>
                <w:bCs/>
                <w:sz w:val="20"/>
                <w:szCs w:val="20"/>
              </w:rPr>
            </w:pPr>
            <w:r w:rsidRPr="008572C5">
              <w:rPr>
                <w:rFonts w:ascii="Tahoma" w:hAnsi="Tahoma" w:cs="Tahoma"/>
                <w:b/>
                <w:bCs/>
                <w:sz w:val="20"/>
                <w:szCs w:val="20"/>
              </w:rPr>
              <w:t>273 дня</w:t>
            </w:r>
          </w:p>
        </w:tc>
        <w:tc>
          <w:tcPr>
            <w:tcW w:w="313" w:type="pct"/>
            <w:tcBorders>
              <w:top w:val="nil"/>
              <w:left w:val="single" w:sz="4" w:space="0" w:color="auto"/>
              <w:bottom w:val="single" w:sz="8" w:space="0" w:color="auto"/>
              <w:right w:val="single" w:sz="8" w:space="0" w:color="auto"/>
            </w:tcBorders>
            <w:vAlign w:val="center"/>
          </w:tcPr>
          <w:p w14:paraId="70A59478" w14:textId="77777777" w:rsidR="00EA2CBD" w:rsidRPr="008572C5" w:rsidRDefault="00EA2CBD" w:rsidP="009D1253">
            <w:pPr>
              <w:jc w:val="center"/>
              <w:rPr>
                <w:rFonts w:ascii="Tahoma" w:hAnsi="Tahoma" w:cs="Tahoma"/>
                <w:b/>
                <w:bCs/>
                <w:sz w:val="20"/>
                <w:szCs w:val="20"/>
              </w:rPr>
            </w:pPr>
            <w:r w:rsidRPr="008572C5">
              <w:rPr>
                <w:rFonts w:ascii="Tahoma" w:hAnsi="Tahoma" w:cs="Tahoma"/>
                <w:b/>
                <w:bCs/>
                <w:sz w:val="20"/>
                <w:szCs w:val="20"/>
              </w:rPr>
              <w:t>367 дней</w:t>
            </w:r>
          </w:p>
        </w:tc>
        <w:tc>
          <w:tcPr>
            <w:tcW w:w="313" w:type="pct"/>
            <w:tcBorders>
              <w:top w:val="nil"/>
              <w:left w:val="single" w:sz="4" w:space="0" w:color="auto"/>
              <w:bottom w:val="single" w:sz="8" w:space="0" w:color="auto"/>
              <w:right w:val="single" w:sz="8" w:space="0" w:color="auto"/>
            </w:tcBorders>
            <w:vAlign w:val="center"/>
          </w:tcPr>
          <w:p w14:paraId="1B3DB948" w14:textId="77777777" w:rsidR="00EA2CBD" w:rsidRPr="008572C5" w:rsidRDefault="00EA2CBD" w:rsidP="009D1253">
            <w:pPr>
              <w:jc w:val="center"/>
              <w:rPr>
                <w:rFonts w:ascii="Tahoma" w:hAnsi="Tahoma" w:cs="Tahoma"/>
                <w:b/>
                <w:bCs/>
                <w:sz w:val="20"/>
                <w:szCs w:val="20"/>
              </w:rPr>
            </w:pPr>
            <w:r w:rsidRPr="008572C5">
              <w:rPr>
                <w:rFonts w:ascii="Tahoma" w:hAnsi="Tahoma" w:cs="Tahoma"/>
                <w:b/>
                <w:bCs/>
                <w:sz w:val="20"/>
                <w:szCs w:val="20"/>
              </w:rPr>
              <w:t>731 день</w:t>
            </w:r>
          </w:p>
        </w:tc>
        <w:tc>
          <w:tcPr>
            <w:tcW w:w="403" w:type="pct"/>
            <w:tcBorders>
              <w:top w:val="nil"/>
              <w:left w:val="single" w:sz="4" w:space="0" w:color="auto"/>
              <w:bottom w:val="single" w:sz="8" w:space="0" w:color="auto"/>
              <w:right w:val="single" w:sz="8" w:space="0" w:color="auto"/>
            </w:tcBorders>
            <w:vAlign w:val="center"/>
          </w:tcPr>
          <w:p w14:paraId="29F9B209" w14:textId="77777777" w:rsidR="00EA2CBD" w:rsidRPr="008572C5" w:rsidRDefault="00EA2CBD" w:rsidP="009D1253">
            <w:pPr>
              <w:jc w:val="center"/>
              <w:rPr>
                <w:rFonts w:ascii="Tahoma" w:hAnsi="Tahoma" w:cs="Tahoma"/>
                <w:b/>
                <w:bCs/>
                <w:sz w:val="20"/>
                <w:szCs w:val="20"/>
              </w:rPr>
            </w:pPr>
            <w:r w:rsidRPr="008572C5">
              <w:rPr>
                <w:rFonts w:ascii="Tahoma" w:hAnsi="Tahoma" w:cs="Tahoma"/>
                <w:b/>
                <w:bCs/>
                <w:sz w:val="20"/>
                <w:szCs w:val="20"/>
              </w:rPr>
              <w:t>1098 дней</w:t>
            </w:r>
          </w:p>
        </w:tc>
      </w:tr>
      <w:tr w:rsidR="00EA2CBD" w:rsidRPr="008572C5" w14:paraId="73E5E362" w14:textId="77777777" w:rsidTr="009D1253">
        <w:trPr>
          <w:trHeight w:val="173"/>
        </w:trPr>
        <w:tc>
          <w:tcPr>
            <w:tcW w:w="484" w:type="pct"/>
            <w:vMerge w:val="restart"/>
            <w:tcBorders>
              <w:top w:val="nil"/>
              <w:left w:val="single" w:sz="8" w:space="0" w:color="auto"/>
              <w:right w:val="nil"/>
            </w:tcBorders>
            <w:tcMar>
              <w:top w:w="0" w:type="dxa"/>
              <w:left w:w="108" w:type="dxa"/>
              <w:bottom w:w="0" w:type="dxa"/>
              <w:right w:w="108" w:type="dxa"/>
            </w:tcMar>
            <w:vAlign w:val="center"/>
            <w:hideMark/>
          </w:tcPr>
          <w:p w14:paraId="226E18F2" w14:textId="77777777" w:rsidR="00EA2CBD" w:rsidRPr="008572C5" w:rsidRDefault="00EA2CBD" w:rsidP="009D1253">
            <w:pPr>
              <w:jc w:val="center"/>
              <w:rPr>
                <w:rFonts w:ascii="Tahoma" w:hAnsi="Tahoma" w:cs="Tahoma"/>
                <w:sz w:val="20"/>
                <w:szCs w:val="20"/>
              </w:rPr>
            </w:pPr>
            <w:r w:rsidRPr="008572C5">
              <w:rPr>
                <w:rFonts w:ascii="Tahoma" w:hAnsi="Tahoma" w:cs="Tahoma"/>
                <w:sz w:val="20"/>
                <w:szCs w:val="20"/>
              </w:rPr>
              <w:t>Все категории клиентов</w:t>
            </w:r>
          </w:p>
        </w:tc>
        <w:tc>
          <w:tcPr>
            <w:tcW w:w="809" w:type="pct"/>
            <w:vMerge w:val="restart"/>
            <w:tcBorders>
              <w:top w:val="nil"/>
              <w:left w:val="single" w:sz="8" w:space="0" w:color="auto"/>
              <w:right w:val="single" w:sz="8" w:space="0" w:color="auto"/>
            </w:tcBorders>
            <w:shd w:val="clear" w:color="auto" w:fill="FFC000"/>
            <w:tcMar>
              <w:top w:w="0" w:type="dxa"/>
              <w:left w:w="108" w:type="dxa"/>
              <w:bottom w:w="0" w:type="dxa"/>
              <w:right w:w="108" w:type="dxa"/>
            </w:tcMar>
            <w:vAlign w:val="center"/>
            <w:hideMark/>
          </w:tcPr>
          <w:p w14:paraId="74BFC737" w14:textId="77777777" w:rsidR="00EA2CBD" w:rsidRPr="008572C5" w:rsidRDefault="00EA2CBD" w:rsidP="009D1253">
            <w:pPr>
              <w:jc w:val="center"/>
              <w:rPr>
                <w:rFonts w:ascii="Tahoma" w:hAnsi="Tahoma" w:cs="Tahoma"/>
                <w:color w:val="000000" w:themeColor="text1"/>
                <w:sz w:val="20"/>
                <w:szCs w:val="20"/>
              </w:rPr>
            </w:pPr>
            <w:r w:rsidRPr="008572C5">
              <w:rPr>
                <w:rFonts w:ascii="Tahoma" w:hAnsi="Tahoma" w:cs="Tahoma"/>
                <w:color w:val="000000" w:themeColor="text1"/>
                <w:sz w:val="20"/>
                <w:szCs w:val="20"/>
              </w:rPr>
              <w:t>АТБ. Вклад Онлайн</w:t>
            </w:r>
          </w:p>
          <w:p w14:paraId="7C4A77DF" w14:textId="77777777" w:rsidR="00EA2CBD" w:rsidRPr="008572C5" w:rsidRDefault="00EA2CBD" w:rsidP="009D1253">
            <w:pPr>
              <w:jc w:val="center"/>
              <w:rPr>
                <w:rFonts w:ascii="Tahoma" w:hAnsi="Tahoma" w:cs="Tahoma"/>
                <w:sz w:val="20"/>
                <w:szCs w:val="20"/>
              </w:rPr>
            </w:pPr>
            <w:r w:rsidRPr="008572C5">
              <w:rPr>
                <w:rFonts w:ascii="Tahoma" w:hAnsi="Tahoma" w:cs="Tahoma"/>
                <w:color w:val="000000" w:themeColor="text1"/>
                <w:sz w:val="20"/>
                <w:szCs w:val="20"/>
              </w:rPr>
              <w:t>(без пополнения и снятия)</w:t>
            </w:r>
          </w:p>
        </w:tc>
        <w:tc>
          <w:tcPr>
            <w:tcW w:w="398" w:type="pct"/>
            <w:vMerge w:val="restart"/>
            <w:tcBorders>
              <w:top w:val="nil"/>
              <w:left w:val="nil"/>
              <w:right w:val="single" w:sz="8" w:space="0" w:color="auto"/>
            </w:tcBorders>
            <w:noWrap/>
            <w:tcMar>
              <w:top w:w="0" w:type="dxa"/>
              <w:left w:w="108" w:type="dxa"/>
              <w:bottom w:w="0" w:type="dxa"/>
              <w:right w:w="108" w:type="dxa"/>
            </w:tcMar>
            <w:vAlign w:val="center"/>
            <w:hideMark/>
          </w:tcPr>
          <w:p w14:paraId="4FE59F9F" w14:textId="77777777" w:rsidR="00EA2CBD" w:rsidRPr="008572C5" w:rsidRDefault="00EA2CBD" w:rsidP="009D1253">
            <w:pPr>
              <w:jc w:val="center"/>
              <w:rPr>
                <w:rFonts w:ascii="Tahoma" w:hAnsi="Tahoma" w:cs="Tahoma"/>
                <w:sz w:val="20"/>
                <w:szCs w:val="20"/>
              </w:rPr>
            </w:pPr>
            <w:r>
              <w:rPr>
                <w:rFonts w:ascii="Tahoma" w:hAnsi="Tahoma" w:cs="Tahoma"/>
                <w:sz w:val="20"/>
                <w:szCs w:val="20"/>
              </w:rPr>
              <w:t>р</w:t>
            </w:r>
            <w:r w:rsidRPr="008572C5">
              <w:rPr>
                <w:rFonts w:ascii="Tahoma" w:hAnsi="Tahoma" w:cs="Tahoma"/>
                <w:sz w:val="20"/>
                <w:szCs w:val="20"/>
              </w:rPr>
              <w:t>убли</w:t>
            </w:r>
          </w:p>
        </w:tc>
        <w:tc>
          <w:tcPr>
            <w:tcW w:w="493" w:type="pct"/>
            <w:tcBorders>
              <w:top w:val="nil"/>
              <w:left w:val="nil"/>
              <w:bottom w:val="single" w:sz="4" w:space="0" w:color="auto"/>
              <w:right w:val="single" w:sz="8" w:space="0" w:color="auto"/>
            </w:tcBorders>
            <w:noWrap/>
            <w:tcMar>
              <w:top w:w="0" w:type="dxa"/>
              <w:left w:w="108" w:type="dxa"/>
              <w:bottom w:w="0" w:type="dxa"/>
              <w:right w:w="108" w:type="dxa"/>
            </w:tcMar>
            <w:vAlign w:val="center"/>
            <w:hideMark/>
          </w:tcPr>
          <w:p w14:paraId="3729691C" w14:textId="77777777" w:rsidR="00EA2CBD" w:rsidRPr="008572C5" w:rsidRDefault="00EA2CBD" w:rsidP="009D1253">
            <w:pPr>
              <w:jc w:val="center"/>
              <w:rPr>
                <w:rFonts w:ascii="Tahoma" w:hAnsi="Tahoma" w:cs="Tahoma"/>
                <w:sz w:val="20"/>
                <w:szCs w:val="20"/>
              </w:rPr>
            </w:pPr>
            <w:r w:rsidRPr="008572C5">
              <w:rPr>
                <w:rFonts w:ascii="Tahoma" w:hAnsi="Tahoma" w:cs="Tahoma"/>
                <w:color w:val="000000"/>
                <w:sz w:val="20"/>
                <w:szCs w:val="20"/>
              </w:rPr>
              <w:t>5 0</w:t>
            </w:r>
            <w:r w:rsidRPr="008572C5">
              <w:rPr>
                <w:rFonts w:ascii="Tahoma" w:hAnsi="Tahoma" w:cs="Tahoma"/>
                <w:sz w:val="20"/>
                <w:szCs w:val="20"/>
              </w:rPr>
              <w:t>00</w:t>
            </w:r>
          </w:p>
        </w:tc>
        <w:tc>
          <w:tcPr>
            <w:tcW w:w="311" w:type="pct"/>
            <w:tcBorders>
              <w:top w:val="nil"/>
              <w:left w:val="nil"/>
              <w:bottom w:val="single" w:sz="4" w:space="0" w:color="auto"/>
              <w:right w:val="single" w:sz="4" w:space="0" w:color="auto"/>
            </w:tcBorders>
            <w:noWrap/>
            <w:tcMar>
              <w:top w:w="0" w:type="dxa"/>
              <w:left w:w="108" w:type="dxa"/>
              <w:bottom w:w="0" w:type="dxa"/>
              <w:right w:w="108" w:type="dxa"/>
            </w:tcMar>
            <w:vAlign w:val="center"/>
          </w:tcPr>
          <w:p w14:paraId="4AB2228D" w14:textId="77777777" w:rsidR="00EA2CBD" w:rsidRPr="007D37E4" w:rsidRDefault="00EA2CBD" w:rsidP="009D1253">
            <w:pPr>
              <w:jc w:val="center"/>
              <w:rPr>
                <w:rFonts w:ascii="Tahoma" w:hAnsi="Tahoma" w:cs="Tahoma"/>
                <w:sz w:val="20"/>
                <w:szCs w:val="20"/>
              </w:rPr>
            </w:pPr>
            <w:r w:rsidRPr="007D37E4">
              <w:rPr>
                <w:rFonts w:ascii="Tahoma" w:hAnsi="Tahoma" w:cs="Tahoma"/>
                <w:sz w:val="20"/>
                <w:szCs w:val="20"/>
              </w:rPr>
              <w:t>14,200</w:t>
            </w:r>
          </w:p>
        </w:tc>
        <w:tc>
          <w:tcPr>
            <w:tcW w:w="313" w:type="pct"/>
            <w:gridSpan w:val="2"/>
            <w:tcBorders>
              <w:top w:val="nil"/>
              <w:left w:val="nil"/>
              <w:bottom w:val="single" w:sz="4" w:space="0" w:color="auto"/>
              <w:right w:val="single" w:sz="4" w:space="0" w:color="auto"/>
            </w:tcBorders>
            <w:vAlign w:val="center"/>
          </w:tcPr>
          <w:p w14:paraId="2EE44AB9" w14:textId="77777777" w:rsidR="00EA2CBD" w:rsidRDefault="00EA2CBD" w:rsidP="009D1253">
            <w:pPr>
              <w:jc w:val="center"/>
              <w:rPr>
                <w:rFonts w:ascii="Tahoma" w:hAnsi="Tahoma" w:cs="Tahoma"/>
                <w:sz w:val="20"/>
                <w:szCs w:val="20"/>
              </w:rPr>
            </w:pPr>
            <w:r>
              <w:rPr>
                <w:rFonts w:ascii="Tahoma" w:hAnsi="Tahoma" w:cs="Tahoma"/>
                <w:sz w:val="20"/>
                <w:szCs w:val="20"/>
              </w:rPr>
              <w:t>21,300</w:t>
            </w:r>
          </w:p>
        </w:tc>
        <w:tc>
          <w:tcPr>
            <w:tcW w:w="269" w:type="pct"/>
            <w:tcBorders>
              <w:top w:val="nil"/>
              <w:left w:val="single" w:sz="4" w:space="0" w:color="auto"/>
              <w:bottom w:val="single" w:sz="4" w:space="0" w:color="auto"/>
              <w:right w:val="single" w:sz="4" w:space="0" w:color="auto"/>
            </w:tcBorders>
            <w:vAlign w:val="center"/>
          </w:tcPr>
          <w:p w14:paraId="07136A56" w14:textId="77777777" w:rsidR="00EA2CBD" w:rsidRDefault="00EA2CBD" w:rsidP="009D1253">
            <w:pPr>
              <w:jc w:val="center"/>
              <w:rPr>
                <w:rFonts w:ascii="Tahoma" w:hAnsi="Tahoma" w:cs="Tahoma"/>
                <w:sz w:val="20"/>
                <w:szCs w:val="20"/>
              </w:rPr>
            </w:pPr>
            <w:r>
              <w:rPr>
                <w:rFonts w:ascii="Tahoma" w:hAnsi="Tahoma" w:cs="Tahoma"/>
                <w:sz w:val="20"/>
                <w:szCs w:val="20"/>
              </w:rPr>
              <w:t>21,500</w:t>
            </w:r>
          </w:p>
        </w:tc>
        <w:tc>
          <w:tcPr>
            <w:tcW w:w="269" w:type="pct"/>
            <w:tcBorders>
              <w:top w:val="nil"/>
              <w:left w:val="single" w:sz="4" w:space="0" w:color="auto"/>
              <w:bottom w:val="single" w:sz="4" w:space="0" w:color="auto"/>
              <w:right w:val="single" w:sz="4" w:space="0" w:color="auto"/>
            </w:tcBorders>
            <w:vAlign w:val="center"/>
          </w:tcPr>
          <w:p w14:paraId="0EE31187" w14:textId="77777777" w:rsidR="00EA2CBD" w:rsidRDefault="00EA2CBD" w:rsidP="009D1253">
            <w:pPr>
              <w:jc w:val="center"/>
              <w:rPr>
                <w:rFonts w:ascii="Tahoma" w:hAnsi="Tahoma" w:cs="Tahoma"/>
                <w:sz w:val="20"/>
                <w:szCs w:val="20"/>
              </w:rPr>
            </w:pPr>
            <w:r>
              <w:rPr>
                <w:rFonts w:ascii="Tahoma" w:hAnsi="Tahoma" w:cs="Tahoma"/>
                <w:sz w:val="20"/>
                <w:szCs w:val="20"/>
              </w:rPr>
              <w:t>21,800</w:t>
            </w:r>
          </w:p>
        </w:tc>
        <w:tc>
          <w:tcPr>
            <w:tcW w:w="312" w:type="pct"/>
            <w:tcBorders>
              <w:top w:val="nil"/>
              <w:left w:val="single" w:sz="4" w:space="0" w:color="auto"/>
              <w:bottom w:val="single" w:sz="4" w:space="0" w:color="auto"/>
              <w:right w:val="single" w:sz="4" w:space="0" w:color="auto"/>
            </w:tcBorders>
            <w:vAlign w:val="center"/>
          </w:tcPr>
          <w:p w14:paraId="382428EF" w14:textId="77777777" w:rsidR="00EA2CBD" w:rsidRDefault="00EA2CBD" w:rsidP="009D1253">
            <w:pPr>
              <w:jc w:val="center"/>
              <w:rPr>
                <w:rFonts w:ascii="Tahoma" w:hAnsi="Tahoma" w:cs="Tahoma"/>
                <w:sz w:val="20"/>
                <w:szCs w:val="20"/>
              </w:rPr>
            </w:pPr>
            <w:r>
              <w:rPr>
                <w:rFonts w:ascii="Tahoma" w:hAnsi="Tahoma" w:cs="Tahoma"/>
                <w:sz w:val="20"/>
                <w:szCs w:val="20"/>
              </w:rPr>
              <w:t>22,000</w:t>
            </w:r>
          </w:p>
        </w:tc>
        <w:tc>
          <w:tcPr>
            <w:tcW w:w="313" w:type="pct"/>
            <w:tcBorders>
              <w:top w:val="nil"/>
              <w:left w:val="single" w:sz="4" w:space="0" w:color="auto"/>
              <w:bottom w:val="single" w:sz="4" w:space="0" w:color="auto"/>
              <w:right w:val="single" w:sz="4" w:space="0" w:color="auto"/>
            </w:tcBorders>
            <w:vAlign w:val="center"/>
          </w:tcPr>
          <w:p w14:paraId="5E4317D6" w14:textId="77777777" w:rsidR="00EA2CBD" w:rsidRDefault="00EA2CBD" w:rsidP="009D1253">
            <w:pPr>
              <w:jc w:val="center"/>
              <w:rPr>
                <w:rFonts w:ascii="Tahoma" w:hAnsi="Tahoma" w:cs="Tahoma"/>
                <w:sz w:val="20"/>
                <w:szCs w:val="20"/>
              </w:rPr>
            </w:pPr>
            <w:r>
              <w:rPr>
                <w:rFonts w:ascii="Tahoma" w:hAnsi="Tahoma" w:cs="Tahoma"/>
                <w:sz w:val="20"/>
                <w:szCs w:val="20"/>
              </w:rPr>
              <w:t>22,300</w:t>
            </w:r>
          </w:p>
        </w:tc>
        <w:tc>
          <w:tcPr>
            <w:tcW w:w="313" w:type="pct"/>
            <w:tcBorders>
              <w:top w:val="nil"/>
              <w:left w:val="single" w:sz="4" w:space="0" w:color="auto"/>
              <w:bottom w:val="single" w:sz="4" w:space="0" w:color="auto"/>
              <w:right w:val="single" w:sz="8" w:space="0" w:color="auto"/>
            </w:tcBorders>
            <w:vAlign w:val="center"/>
          </w:tcPr>
          <w:p w14:paraId="4EF663BA" w14:textId="77777777" w:rsidR="00EA2CBD" w:rsidRDefault="00EA2CBD" w:rsidP="009D1253">
            <w:pPr>
              <w:jc w:val="center"/>
              <w:rPr>
                <w:rFonts w:ascii="Tahoma" w:hAnsi="Tahoma" w:cs="Tahoma"/>
                <w:sz w:val="20"/>
                <w:szCs w:val="20"/>
              </w:rPr>
            </w:pPr>
            <w:r>
              <w:rPr>
                <w:rFonts w:ascii="Tahoma" w:hAnsi="Tahoma" w:cs="Tahoma"/>
                <w:sz w:val="20"/>
                <w:szCs w:val="20"/>
              </w:rPr>
              <w:t>22,500</w:t>
            </w:r>
          </w:p>
        </w:tc>
        <w:tc>
          <w:tcPr>
            <w:tcW w:w="313" w:type="pct"/>
            <w:tcBorders>
              <w:top w:val="nil"/>
              <w:left w:val="single" w:sz="4" w:space="0" w:color="auto"/>
              <w:bottom w:val="single" w:sz="4" w:space="0" w:color="auto"/>
              <w:right w:val="single" w:sz="8" w:space="0" w:color="auto"/>
            </w:tcBorders>
            <w:vAlign w:val="center"/>
          </w:tcPr>
          <w:p w14:paraId="5D5CC17E" w14:textId="77777777" w:rsidR="00EA2CBD" w:rsidRPr="003F412D" w:rsidRDefault="00EA2CBD" w:rsidP="009D1253">
            <w:pPr>
              <w:jc w:val="center"/>
              <w:rPr>
                <w:rFonts w:ascii="Tahoma" w:hAnsi="Tahoma" w:cs="Tahoma"/>
                <w:sz w:val="20"/>
                <w:szCs w:val="20"/>
              </w:rPr>
            </w:pPr>
            <w:r w:rsidRPr="003F412D">
              <w:rPr>
                <w:rFonts w:ascii="Tahoma" w:hAnsi="Tahoma" w:cs="Tahoma"/>
                <w:sz w:val="20"/>
                <w:szCs w:val="20"/>
              </w:rPr>
              <w:t>2</w:t>
            </w:r>
            <w:r>
              <w:rPr>
                <w:rFonts w:ascii="Tahoma" w:hAnsi="Tahoma" w:cs="Tahoma"/>
                <w:sz w:val="20"/>
                <w:szCs w:val="20"/>
              </w:rPr>
              <w:t>2</w:t>
            </w:r>
            <w:r w:rsidRPr="003F412D">
              <w:rPr>
                <w:rFonts w:ascii="Tahoma" w:hAnsi="Tahoma" w:cs="Tahoma"/>
                <w:sz w:val="20"/>
                <w:szCs w:val="20"/>
              </w:rPr>
              <w:t>,000</w:t>
            </w:r>
          </w:p>
        </w:tc>
        <w:tc>
          <w:tcPr>
            <w:tcW w:w="403" w:type="pct"/>
            <w:tcBorders>
              <w:top w:val="nil"/>
              <w:left w:val="single" w:sz="4" w:space="0" w:color="auto"/>
              <w:bottom w:val="single" w:sz="4" w:space="0" w:color="auto"/>
              <w:right w:val="single" w:sz="8" w:space="0" w:color="auto"/>
            </w:tcBorders>
            <w:vAlign w:val="center"/>
          </w:tcPr>
          <w:p w14:paraId="4A77E054" w14:textId="77777777" w:rsidR="00EA2CBD" w:rsidRPr="002E5D29" w:rsidRDefault="00EA2CBD" w:rsidP="009D1253">
            <w:pPr>
              <w:jc w:val="center"/>
              <w:rPr>
                <w:rFonts w:ascii="Tahoma" w:hAnsi="Tahoma" w:cs="Tahoma"/>
                <w:sz w:val="20"/>
                <w:szCs w:val="20"/>
              </w:rPr>
            </w:pPr>
            <w:r w:rsidRPr="002E5D29">
              <w:rPr>
                <w:rFonts w:ascii="Tahoma" w:hAnsi="Tahoma" w:cs="Tahoma"/>
                <w:sz w:val="20"/>
                <w:szCs w:val="20"/>
              </w:rPr>
              <w:t>2</w:t>
            </w:r>
            <w:r>
              <w:rPr>
                <w:rFonts w:ascii="Tahoma" w:hAnsi="Tahoma" w:cs="Tahoma"/>
                <w:sz w:val="20"/>
                <w:szCs w:val="20"/>
              </w:rPr>
              <w:t>2</w:t>
            </w:r>
            <w:r w:rsidRPr="002E5D29">
              <w:rPr>
                <w:rFonts w:ascii="Tahoma" w:hAnsi="Tahoma" w:cs="Tahoma"/>
                <w:sz w:val="20"/>
                <w:szCs w:val="20"/>
              </w:rPr>
              <w:t>,000</w:t>
            </w:r>
          </w:p>
        </w:tc>
      </w:tr>
      <w:tr w:rsidR="00EA2CBD" w:rsidRPr="008572C5" w14:paraId="23740BEB" w14:textId="77777777" w:rsidTr="009D1253">
        <w:trPr>
          <w:trHeight w:val="173"/>
        </w:trPr>
        <w:tc>
          <w:tcPr>
            <w:tcW w:w="484" w:type="pct"/>
            <w:vMerge/>
            <w:tcBorders>
              <w:left w:val="single" w:sz="8" w:space="0" w:color="auto"/>
              <w:right w:val="nil"/>
            </w:tcBorders>
            <w:tcMar>
              <w:top w:w="0" w:type="dxa"/>
              <w:left w:w="108" w:type="dxa"/>
              <w:bottom w:w="0" w:type="dxa"/>
              <w:right w:w="108" w:type="dxa"/>
            </w:tcMar>
            <w:vAlign w:val="center"/>
          </w:tcPr>
          <w:p w14:paraId="555123E1" w14:textId="77777777" w:rsidR="00EA2CBD" w:rsidRPr="008572C5" w:rsidRDefault="00EA2CBD" w:rsidP="009D1253">
            <w:pPr>
              <w:jc w:val="center"/>
              <w:rPr>
                <w:rFonts w:ascii="Tahoma" w:hAnsi="Tahoma" w:cs="Tahoma"/>
                <w:sz w:val="20"/>
                <w:szCs w:val="20"/>
              </w:rPr>
            </w:pPr>
          </w:p>
        </w:tc>
        <w:tc>
          <w:tcPr>
            <w:tcW w:w="809" w:type="pct"/>
            <w:vMerge/>
            <w:tcBorders>
              <w:left w:val="single" w:sz="8" w:space="0" w:color="auto"/>
              <w:right w:val="single" w:sz="8" w:space="0" w:color="auto"/>
            </w:tcBorders>
            <w:shd w:val="clear" w:color="auto" w:fill="FFC000"/>
            <w:tcMar>
              <w:top w:w="0" w:type="dxa"/>
              <w:left w:w="108" w:type="dxa"/>
              <w:bottom w:w="0" w:type="dxa"/>
              <w:right w:w="108" w:type="dxa"/>
            </w:tcMar>
            <w:vAlign w:val="center"/>
          </w:tcPr>
          <w:p w14:paraId="24DA638E" w14:textId="77777777" w:rsidR="00EA2CBD" w:rsidRPr="008572C5" w:rsidRDefault="00EA2CBD" w:rsidP="009D1253">
            <w:pPr>
              <w:jc w:val="center"/>
              <w:rPr>
                <w:rFonts w:ascii="Tahoma" w:hAnsi="Tahoma" w:cs="Tahoma"/>
                <w:color w:val="000000" w:themeColor="text1"/>
                <w:sz w:val="20"/>
                <w:szCs w:val="20"/>
              </w:rPr>
            </w:pPr>
          </w:p>
        </w:tc>
        <w:tc>
          <w:tcPr>
            <w:tcW w:w="398" w:type="pct"/>
            <w:vMerge/>
            <w:tcBorders>
              <w:left w:val="nil"/>
              <w:bottom w:val="single" w:sz="4" w:space="0" w:color="auto"/>
              <w:right w:val="single" w:sz="8" w:space="0" w:color="auto"/>
            </w:tcBorders>
            <w:noWrap/>
            <w:tcMar>
              <w:top w:w="0" w:type="dxa"/>
              <w:left w:w="108" w:type="dxa"/>
              <w:bottom w:w="0" w:type="dxa"/>
              <w:right w:w="108" w:type="dxa"/>
            </w:tcMar>
            <w:vAlign w:val="center"/>
          </w:tcPr>
          <w:p w14:paraId="6929F8E1" w14:textId="77777777" w:rsidR="00EA2CBD" w:rsidRPr="008572C5" w:rsidRDefault="00EA2CBD" w:rsidP="009D1253">
            <w:pPr>
              <w:jc w:val="center"/>
              <w:rPr>
                <w:rFonts w:ascii="Tahoma" w:hAnsi="Tahoma" w:cs="Tahoma"/>
                <w:sz w:val="20"/>
                <w:szCs w:val="20"/>
              </w:rPr>
            </w:pPr>
          </w:p>
        </w:tc>
        <w:tc>
          <w:tcPr>
            <w:tcW w:w="493" w:type="pct"/>
            <w:tcBorders>
              <w:top w:val="single" w:sz="4" w:space="0" w:color="auto"/>
              <w:left w:val="nil"/>
              <w:bottom w:val="single" w:sz="4" w:space="0" w:color="auto"/>
              <w:right w:val="single" w:sz="8" w:space="0" w:color="auto"/>
            </w:tcBorders>
            <w:noWrap/>
            <w:tcMar>
              <w:top w:w="0" w:type="dxa"/>
              <w:left w:w="108" w:type="dxa"/>
              <w:bottom w:w="0" w:type="dxa"/>
              <w:right w:w="108" w:type="dxa"/>
            </w:tcMar>
            <w:vAlign w:val="center"/>
          </w:tcPr>
          <w:p w14:paraId="0A3DB5B8" w14:textId="77777777" w:rsidR="00EA2CBD" w:rsidRPr="008572C5" w:rsidRDefault="00EA2CBD" w:rsidP="009D1253">
            <w:pPr>
              <w:jc w:val="center"/>
              <w:rPr>
                <w:rFonts w:ascii="Tahoma" w:hAnsi="Tahoma" w:cs="Tahoma"/>
                <w:color w:val="000000"/>
                <w:sz w:val="20"/>
                <w:szCs w:val="20"/>
              </w:rPr>
            </w:pPr>
            <w:r w:rsidRPr="008572C5">
              <w:rPr>
                <w:rFonts w:ascii="Tahoma" w:hAnsi="Tahoma" w:cs="Tahoma"/>
                <w:color w:val="000000"/>
                <w:sz w:val="20"/>
                <w:szCs w:val="20"/>
              </w:rPr>
              <w:t>3 000 000</w:t>
            </w:r>
          </w:p>
        </w:tc>
        <w:tc>
          <w:tcPr>
            <w:tcW w:w="311" w:type="pct"/>
            <w:tcBorders>
              <w:top w:val="single" w:sz="4" w:space="0" w:color="auto"/>
              <w:left w:val="nil"/>
              <w:bottom w:val="single" w:sz="4" w:space="0" w:color="auto"/>
              <w:right w:val="single" w:sz="4" w:space="0" w:color="auto"/>
            </w:tcBorders>
            <w:noWrap/>
            <w:tcMar>
              <w:top w:w="0" w:type="dxa"/>
              <w:left w:w="108" w:type="dxa"/>
              <w:bottom w:w="0" w:type="dxa"/>
              <w:right w:w="108" w:type="dxa"/>
            </w:tcMar>
            <w:vAlign w:val="center"/>
          </w:tcPr>
          <w:p w14:paraId="7C710F7C" w14:textId="77777777" w:rsidR="00EA2CBD" w:rsidRPr="007D37E4" w:rsidRDefault="00EA2CBD" w:rsidP="009D1253">
            <w:pPr>
              <w:jc w:val="center"/>
              <w:rPr>
                <w:rFonts w:ascii="Tahoma" w:hAnsi="Tahoma" w:cs="Tahoma"/>
                <w:sz w:val="20"/>
                <w:szCs w:val="20"/>
              </w:rPr>
            </w:pPr>
            <w:r w:rsidRPr="007D37E4">
              <w:rPr>
                <w:rFonts w:ascii="Tahoma" w:hAnsi="Tahoma" w:cs="Tahoma"/>
                <w:sz w:val="20"/>
                <w:szCs w:val="20"/>
              </w:rPr>
              <w:t>14,400</w:t>
            </w:r>
          </w:p>
        </w:tc>
        <w:tc>
          <w:tcPr>
            <w:tcW w:w="313" w:type="pct"/>
            <w:gridSpan w:val="2"/>
            <w:tcBorders>
              <w:top w:val="single" w:sz="4" w:space="0" w:color="auto"/>
              <w:left w:val="nil"/>
              <w:bottom w:val="single" w:sz="4" w:space="0" w:color="auto"/>
              <w:right w:val="single" w:sz="4" w:space="0" w:color="auto"/>
            </w:tcBorders>
            <w:vAlign w:val="center"/>
          </w:tcPr>
          <w:p w14:paraId="186BF85E" w14:textId="77777777" w:rsidR="00EA2CBD" w:rsidRDefault="00EA2CBD" w:rsidP="009D1253">
            <w:pPr>
              <w:jc w:val="center"/>
              <w:rPr>
                <w:rFonts w:ascii="Tahoma" w:hAnsi="Tahoma" w:cs="Tahoma"/>
                <w:sz w:val="20"/>
                <w:szCs w:val="20"/>
              </w:rPr>
            </w:pPr>
            <w:r>
              <w:rPr>
                <w:rFonts w:ascii="Tahoma" w:hAnsi="Tahoma" w:cs="Tahoma"/>
                <w:sz w:val="20"/>
                <w:szCs w:val="20"/>
              </w:rPr>
              <w:t>21,800</w:t>
            </w:r>
          </w:p>
        </w:tc>
        <w:tc>
          <w:tcPr>
            <w:tcW w:w="269" w:type="pct"/>
            <w:tcBorders>
              <w:top w:val="single" w:sz="4" w:space="0" w:color="auto"/>
              <w:left w:val="single" w:sz="4" w:space="0" w:color="auto"/>
              <w:bottom w:val="single" w:sz="4" w:space="0" w:color="auto"/>
              <w:right w:val="single" w:sz="4" w:space="0" w:color="auto"/>
            </w:tcBorders>
            <w:vAlign w:val="center"/>
          </w:tcPr>
          <w:p w14:paraId="0123EC6B" w14:textId="77777777" w:rsidR="00EA2CBD" w:rsidRDefault="00EA2CBD" w:rsidP="009D1253">
            <w:pPr>
              <w:jc w:val="center"/>
              <w:rPr>
                <w:rFonts w:ascii="Tahoma" w:hAnsi="Tahoma" w:cs="Tahoma"/>
                <w:sz w:val="20"/>
                <w:szCs w:val="20"/>
              </w:rPr>
            </w:pPr>
            <w:r>
              <w:rPr>
                <w:rFonts w:ascii="Tahoma" w:hAnsi="Tahoma" w:cs="Tahoma"/>
                <w:sz w:val="20"/>
                <w:szCs w:val="20"/>
              </w:rPr>
              <w:t>22,000</w:t>
            </w:r>
          </w:p>
        </w:tc>
        <w:tc>
          <w:tcPr>
            <w:tcW w:w="269" w:type="pct"/>
            <w:tcBorders>
              <w:top w:val="single" w:sz="4" w:space="0" w:color="auto"/>
              <w:left w:val="single" w:sz="4" w:space="0" w:color="auto"/>
              <w:bottom w:val="single" w:sz="4" w:space="0" w:color="auto"/>
              <w:right w:val="single" w:sz="4" w:space="0" w:color="auto"/>
            </w:tcBorders>
            <w:vAlign w:val="center"/>
          </w:tcPr>
          <w:p w14:paraId="5A31762C" w14:textId="77777777" w:rsidR="00EA2CBD" w:rsidRDefault="00EA2CBD" w:rsidP="009D1253">
            <w:pPr>
              <w:jc w:val="center"/>
              <w:rPr>
                <w:rFonts w:ascii="Tahoma" w:hAnsi="Tahoma" w:cs="Tahoma"/>
                <w:sz w:val="20"/>
                <w:szCs w:val="20"/>
              </w:rPr>
            </w:pPr>
            <w:r>
              <w:rPr>
                <w:rFonts w:ascii="Tahoma" w:hAnsi="Tahoma" w:cs="Tahoma"/>
                <w:sz w:val="20"/>
                <w:szCs w:val="20"/>
              </w:rPr>
              <w:t>22,300</w:t>
            </w:r>
          </w:p>
        </w:tc>
        <w:tc>
          <w:tcPr>
            <w:tcW w:w="312" w:type="pct"/>
            <w:tcBorders>
              <w:top w:val="single" w:sz="4" w:space="0" w:color="auto"/>
              <w:left w:val="single" w:sz="4" w:space="0" w:color="auto"/>
              <w:bottom w:val="single" w:sz="4" w:space="0" w:color="auto"/>
              <w:right w:val="single" w:sz="4" w:space="0" w:color="auto"/>
            </w:tcBorders>
            <w:vAlign w:val="center"/>
          </w:tcPr>
          <w:p w14:paraId="368F63C2" w14:textId="77777777" w:rsidR="00EA2CBD" w:rsidRDefault="00EA2CBD" w:rsidP="009D1253">
            <w:pPr>
              <w:jc w:val="center"/>
              <w:rPr>
                <w:rFonts w:ascii="Tahoma" w:hAnsi="Tahoma" w:cs="Tahoma"/>
                <w:sz w:val="20"/>
                <w:szCs w:val="20"/>
              </w:rPr>
            </w:pPr>
            <w:r>
              <w:rPr>
                <w:rFonts w:ascii="Tahoma" w:hAnsi="Tahoma" w:cs="Tahoma"/>
                <w:sz w:val="20"/>
                <w:szCs w:val="20"/>
              </w:rPr>
              <w:t>22,500</w:t>
            </w:r>
          </w:p>
        </w:tc>
        <w:tc>
          <w:tcPr>
            <w:tcW w:w="313" w:type="pct"/>
            <w:tcBorders>
              <w:top w:val="single" w:sz="4" w:space="0" w:color="auto"/>
              <w:left w:val="single" w:sz="4" w:space="0" w:color="auto"/>
              <w:bottom w:val="single" w:sz="4" w:space="0" w:color="auto"/>
              <w:right w:val="single" w:sz="4" w:space="0" w:color="auto"/>
            </w:tcBorders>
            <w:vAlign w:val="center"/>
          </w:tcPr>
          <w:p w14:paraId="35F2CC63" w14:textId="77777777" w:rsidR="00EA2CBD" w:rsidRDefault="00EA2CBD" w:rsidP="009D1253">
            <w:pPr>
              <w:jc w:val="center"/>
              <w:rPr>
                <w:rFonts w:ascii="Tahoma" w:hAnsi="Tahoma" w:cs="Tahoma"/>
                <w:sz w:val="20"/>
                <w:szCs w:val="20"/>
              </w:rPr>
            </w:pPr>
            <w:r>
              <w:rPr>
                <w:rFonts w:ascii="Tahoma" w:hAnsi="Tahoma" w:cs="Tahoma"/>
                <w:sz w:val="20"/>
                <w:szCs w:val="20"/>
              </w:rPr>
              <w:t>22,800</w:t>
            </w:r>
          </w:p>
        </w:tc>
        <w:tc>
          <w:tcPr>
            <w:tcW w:w="313" w:type="pct"/>
            <w:tcBorders>
              <w:top w:val="single" w:sz="4" w:space="0" w:color="auto"/>
              <w:left w:val="single" w:sz="4" w:space="0" w:color="auto"/>
              <w:bottom w:val="single" w:sz="4" w:space="0" w:color="auto"/>
              <w:right w:val="single" w:sz="8" w:space="0" w:color="auto"/>
            </w:tcBorders>
            <w:vAlign w:val="center"/>
          </w:tcPr>
          <w:p w14:paraId="3E97D3AC" w14:textId="77777777" w:rsidR="00EA2CBD" w:rsidRDefault="00EA2CBD" w:rsidP="009D1253">
            <w:pPr>
              <w:jc w:val="center"/>
              <w:rPr>
                <w:rFonts w:ascii="Tahoma" w:hAnsi="Tahoma" w:cs="Tahoma"/>
                <w:sz w:val="20"/>
                <w:szCs w:val="20"/>
              </w:rPr>
            </w:pPr>
            <w:r>
              <w:rPr>
                <w:rFonts w:ascii="Tahoma" w:hAnsi="Tahoma" w:cs="Tahoma"/>
                <w:sz w:val="20"/>
                <w:szCs w:val="20"/>
              </w:rPr>
              <w:t>23,000</w:t>
            </w:r>
          </w:p>
        </w:tc>
        <w:tc>
          <w:tcPr>
            <w:tcW w:w="313" w:type="pct"/>
            <w:tcBorders>
              <w:top w:val="single" w:sz="4" w:space="0" w:color="auto"/>
              <w:left w:val="single" w:sz="4" w:space="0" w:color="auto"/>
              <w:bottom w:val="single" w:sz="4" w:space="0" w:color="auto"/>
              <w:right w:val="single" w:sz="8" w:space="0" w:color="auto"/>
            </w:tcBorders>
            <w:vAlign w:val="center"/>
          </w:tcPr>
          <w:p w14:paraId="61A041ED" w14:textId="77777777" w:rsidR="00EA2CBD" w:rsidRDefault="00EA2CBD" w:rsidP="009D1253">
            <w:pPr>
              <w:jc w:val="center"/>
              <w:rPr>
                <w:rFonts w:ascii="Tahoma" w:hAnsi="Tahoma" w:cs="Tahoma"/>
                <w:sz w:val="20"/>
                <w:szCs w:val="20"/>
              </w:rPr>
            </w:pPr>
            <w:r>
              <w:rPr>
                <w:rFonts w:ascii="Tahoma" w:hAnsi="Tahoma" w:cs="Tahoma"/>
                <w:sz w:val="20"/>
                <w:szCs w:val="20"/>
              </w:rPr>
              <w:t>23,000</w:t>
            </w:r>
          </w:p>
        </w:tc>
        <w:tc>
          <w:tcPr>
            <w:tcW w:w="403" w:type="pct"/>
            <w:tcBorders>
              <w:top w:val="single" w:sz="4" w:space="0" w:color="auto"/>
              <w:left w:val="single" w:sz="4" w:space="0" w:color="auto"/>
              <w:bottom w:val="single" w:sz="4" w:space="0" w:color="auto"/>
              <w:right w:val="single" w:sz="8" w:space="0" w:color="auto"/>
            </w:tcBorders>
            <w:vAlign w:val="center"/>
          </w:tcPr>
          <w:p w14:paraId="5C0E1622" w14:textId="77777777" w:rsidR="00EA2CBD" w:rsidRPr="002E5D29" w:rsidRDefault="00EA2CBD" w:rsidP="009D1253">
            <w:pPr>
              <w:jc w:val="center"/>
              <w:rPr>
                <w:rFonts w:ascii="Tahoma" w:hAnsi="Tahoma" w:cs="Tahoma"/>
                <w:sz w:val="20"/>
                <w:szCs w:val="20"/>
              </w:rPr>
            </w:pPr>
            <w:r w:rsidRPr="002E5D29">
              <w:rPr>
                <w:rFonts w:ascii="Tahoma" w:hAnsi="Tahoma" w:cs="Tahoma"/>
                <w:sz w:val="20"/>
                <w:szCs w:val="20"/>
              </w:rPr>
              <w:t>2</w:t>
            </w:r>
            <w:r>
              <w:rPr>
                <w:rFonts w:ascii="Tahoma" w:hAnsi="Tahoma" w:cs="Tahoma"/>
                <w:sz w:val="20"/>
                <w:szCs w:val="20"/>
              </w:rPr>
              <w:t>3</w:t>
            </w:r>
            <w:r w:rsidRPr="002E5D29">
              <w:rPr>
                <w:rFonts w:ascii="Tahoma" w:hAnsi="Tahoma" w:cs="Tahoma"/>
                <w:sz w:val="20"/>
                <w:szCs w:val="20"/>
              </w:rPr>
              <w:t>,000</w:t>
            </w:r>
          </w:p>
        </w:tc>
      </w:tr>
      <w:tr w:rsidR="00EA2CBD" w:rsidRPr="008572C5" w14:paraId="7DA64CE7" w14:textId="77777777" w:rsidTr="009D1253">
        <w:trPr>
          <w:trHeight w:val="173"/>
        </w:trPr>
        <w:tc>
          <w:tcPr>
            <w:tcW w:w="484" w:type="pct"/>
            <w:vMerge/>
            <w:tcBorders>
              <w:left w:val="single" w:sz="8" w:space="0" w:color="auto"/>
              <w:bottom w:val="single" w:sz="4" w:space="0" w:color="auto"/>
              <w:right w:val="nil"/>
            </w:tcBorders>
            <w:tcMar>
              <w:top w:w="0" w:type="dxa"/>
              <w:left w:w="108" w:type="dxa"/>
              <w:bottom w:w="0" w:type="dxa"/>
              <w:right w:w="108" w:type="dxa"/>
            </w:tcMar>
            <w:vAlign w:val="center"/>
          </w:tcPr>
          <w:p w14:paraId="35F9E99F" w14:textId="77777777" w:rsidR="00EA2CBD" w:rsidRPr="008572C5" w:rsidRDefault="00EA2CBD" w:rsidP="009D1253">
            <w:pPr>
              <w:jc w:val="center"/>
              <w:rPr>
                <w:rFonts w:ascii="Tahoma" w:hAnsi="Tahoma" w:cs="Tahoma"/>
                <w:sz w:val="20"/>
                <w:szCs w:val="20"/>
              </w:rPr>
            </w:pPr>
          </w:p>
        </w:tc>
        <w:tc>
          <w:tcPr>
            <w:tcW w:w="809" w:type="pct"/>
            <w:vMerge/>
            <w:tcBorders>
              <w:left w:val="single" w:sz="8" w:space="0" w:color="auto"/>
              <w:bottom w:val="single" w:sz="4" w:space="0" w:color="auto"/>
              <w:right w:val="single" w:sz="8" w:space="0" w:color="auto"/>
            </w:tcBorders>
            <w:shd w:val="clear" w:color="auto" w:fill="FFC000"/>
            <w:tcMar>
              <w:top w:w="0" w:type="dxa"/>
              <w:left w:w="108" w:type="dxa"/>
              <w:bottom w:w="0" w:type="dxa"/>
              <w:right w:w="108" w:type="dxa"/>
            </w:tcMar>
            <w:vAlign w:val="center"/>
          </w:tcPr>
          <w:p w14:paraId="4F845BE4" w14:textId="77777777" w:rsidR="00EA2CBD" w:rsidRPr="008572C5" w:rsidRDefault="00EA2CBD" w:rsidP="009D1253">
            <w:pPr>
              <w:jc w:val="center"/>
              <w:rPr>
                <w:rFonts w:ascii="Tahoma" w:hAnsi="Tahoma" w:cs="Tahoma"/>
                <w:color w:val="000000" w:themeColor="text1"/>
                <w:sz w:val="20"/>
                <w:szCs w:val="20"/>
              </w:rPr>
            </w:pPr>
          </w:p>
        </w:tc>
        <w:tc>
          <w:tcPr>
            <w:tcW w:w="398" w:type="pct"/>
            <w:tcBorders>
              <w:top w:val="single" w:sz="4" w:space="0" w:color="auto"/>
              <w:left w:val="nil"/>
              <w:bottom w:val="single" w:sz="4" w:space="0" w:color="auto"/>
              <w:right w:val="single" w:sz="8" w:space="0" w:color="auto"/>
            </w:tcBorders>
            <w:noWrap/>
            <w:tcMar>
              <w:top w:w="0" w:type="dxa"/>
              <w:left w:w="108" w:type="dxa"/>
              <w:bottom w:w="0" w:type="dxa"/>
              <w:right w:w="108" w:type="dxa"/>
            </w:tcMar>
            <w:vAlign w:val="center"/>
          </w:tcPr>
          <w:p w14:paraId="23C61F95" w14:textId="77777777" w:rsidR="00EA2CBD" w:rsidRPr="008572C5" w:rsidRDefault="00EA2CBD" w:rsidP="009D1253">
            <w:pPr>
              <w:jc w:val="center"/>
              <w:rPr>
                <w:rFonts w:ascii="Tahoma" w:hAnsi="Tahoma" w:cs="Tahoma"/>
                <w:bCs/>
                <w:iCs/>
                <w:sz w:val="20"/>
                <w:szCs w:val="20"/>
              </w:rPr>
            </w:pPr>
            <w:r w:rsidRPr="008572C5">
              <w:rPr>
                <w:rFonts w:ascii="Tahoma" w:hAnsi="Tahoma" w:cs="Tahoma"/>
                <w:bCs/>
                <w:iCs/>
                <w:sz w:val="20"/>
                <w:szCs w:val="20"/>
              </w:rPr>
              <w:t>китайский юань</w:t>
            </w:r>
          </w:p>
        </w:tc>
        <w:tc>
          <w:tcPr>
            <w:tcW w:w="493" w:type="pct"/>
            <w:tcBorders>
              <w:top w:val="single" w:sz="4" w:space="0" w:color="auto"/>
              <w:left w:val="nil"/>
              <w:bottom w:val="single" w:sz="4" w:space="0" w:color="auto"/>
              <w:right w:val="single" w:sz="8" w:space="0" w:color="auto"/>
            </w:tcBorders>
            <w:noWrap/>
            <w:tcMar>
              <w:top w:w="0" w:type="dxa"/>
              <w:left w:w="108" w:type="dxa"/>
              <w:bottom w:w="0" w:type="dxa"/>
              <w:right w:w="108" w:type="dxa"/>
            </w:tcMar>
            <w:vAlign w:val="center"/>
          </w:tcPr>
          <w:p w14:paraId="02B6643C" w14:textId="77777777" w:rsidR="00EA2CBD" w:rsidRPr="008572C5" w:rsidRDefault="00EA2CBD" w:rsidP="009D1253">
            <w:pPr>
              <w:jc w:val="center"/>
              <w:rPr>
                <w:rFonts w:ascii="Tahoma" w:hAnsi="Tahoma" w:cs="Tahoma"/>
                <w:bCs/>
                <w:iCs/>
                <w:sz w:val="20"/>
                <w:szCs w:val="20"/>
              </w:rPr>
            </w:pPr>
            <w:r w:rsidRPr="008572C5">
              <w:rPr>
                <w:rFonts w:ascii="Tahoma" w:hAnsi="Tahoma" w:cs="Tahoma"/>
                <w:bCs/>
                <w:iCs/>
                <w:sz w:val="20"/>
                <w:szCs w:val="20"/>
              </w:rPr>
              <w:t>700</w:t>
            </w:r>
          </w:p>
        </w:tc>
        <w:tc>
          <w:tcPr>
            <w:tcW w:w="311" w:type="pct"/>
            <w:tcBorders>
              <w:top w:val="single" w:sz="4" w:space="0" w:color="auto"/>
              <w:left w:val="nil"/>
              <w:bottom w:val="single" w:sz="4" w:space="0" w:color="auto"/>
              <w:right w:val="single" w:sz="4" w:space="0" w:color="auto"/>
            </w:tcBorders>
            <w:noWrap/>
            <w:tcMar>
              <w:top w:w="0" w:type="dxa"/>
              <w:left w:w="108" w:type="dxa"/>
              <w:bottom w:w="0" w:type="dxa"/>
              <w:right w:w="108" w:type="dxa"/>
            </w:tcMar>
            <w:vAlign w:val="center"/>
          </w:tcPr>
          <w:p w14:paraId="2A3001C1" w14:textId="77777777" w:rsidR="00EA2CBD" w:rsidRPr="008572C5" w:rsidRDefault="00EA2CBD" w:rsidP="009D1253">
            <w:pPr>
              <w:jc w:val="center"/>
              <w:rPr>
                <w:rFonts w:ascii="Tahoma" w:hAnsi="Tahoma" w:cs="Tahoma"/>
                <w:sz w:val="20"/>
                <w:szCs w:val="20"/>
              </w:rPr>
            </w:pPr>
            <w:r>
              <w:rPr>
                <w:rFonts w:ascii="Tahoma" w:hAnsi="Tahoma" w:cs="Tahoma"/>
                <w:sz w:val="20"/>
                <w:szCs w:val="20"/>
              </w:rPr>
              <w:t>-</w:t>
            </w:r>
          </w:p>
        </w:tc>
        <w:tc>
          <w:tcPr>
            <w:tcW w:w="313" w:type="pct"/>
            <w:gridSpan w:val="2"/>
            <w:tcBorders>
              <w:top w:val="single" w:sz="4" w:space="0" w:color="auto"/>
              <w:left w:val="nil"/>
              <w:bottom w:val="single" w:sz="4" w:space="0" w:color="auto"/>
              <w:right w:val="single" w:sz="4" w:space="0" w:color="auto"/>
            </w:tcBorders>
            <w:vAlign w:val="center"/>
          </w:tcPr>
          <w:p w14:paraId="0EC0062F" w14:textId="77777777" w:rsidR="00EA2CBD" w:rsidRPr="008572C5" w:rsidRDefault="00EA2CBD" w:rsidP="009D1253">
            <w:pPr>
              <w:jc w:val="center"/>
              <w:rPr>
                <w:rFonts w:ascii="Tahoma" w:hAnsi="Tahoma" w:cs="Tahoma"/>
                <w:sz w:val="20"/>
                <w:szCs w:val="20"/>
              </w:rPr>
            </w:pPr>
            <w:r>
              <w:rPr>
                <w:rFonts w:ascii="Tahoma" w:hAnsi="Tahoma" w:cs="Tahoma"/>
                <w:sz w:val="20"/>
                <w:szCs w:val="20"/>
              </w:rPr>
              <w:t>6,000</w:t>
            </w:r>
          </w:p>
        </w:tc>
        <w:tc>
          <w:tcPr>
            <w:tcW w:w="269" w:type="pct"/>
            <w:tcBorders>
              <w:top w:val="single" w:sz="4" w:space="0" w:color="auto"/>
              <w:left w:val="single" w:sz="4" w:space="0" w:color="auto"/>
              <w:bottom w:val="single" w:sz="4" w:space="0" w:color="auto"/>
              <w:right w:val="single" w:sz="4" w:space="0" w:color="auto"/>
            </w:tcBorders>
            <w:vAlign w:val="center"/>
          </w:tcPr>
          <w:p w14:paraId="77BA04F9" w14:textId="77777777" w:rsidR="00EA2CBD" w:rsidRPr="008572C5" w:rsidRDefault="00EA2CBD" w:rsidP="009D1253">
            <w:pPr>
              <w:jc w:val="center"/>
              <w:rPr>
                <w:rFonts w:ascii="Tahoma" w:hAnsi="Tahoma" w:cs="Tahoma"/>
                <w:sz w:val="20"/>
                <w:szCs w:val="20"/>
              </w:rPr>
            </w:pPr>
            <w:r w:rsidRPr="008572C5">
              <w:rPr>
                <w:rFonts w:ascii="Tahoma" w:hAnsi="Tahoma" w:cs="Tahoma"/>
                <w:sz w:val="20"/>
                <w:szCs w:val="20"/>
              </w:rPr>
              <w:t>-</w:t>
            </w:r>
          </w:p>
        </w:tc>
        <w:tc>
          <w:tcPr>
            <w:tcW w:w="269" w:type="pct"/>
            <w:tcBorders>
              <w:top w:val="single" w:sz="4" w:space="0" w:color="auto"/>
              <w:left w:val="single" w:sz="4" w:space="0" w:color="auto"/>
              <w:bottom w:val="single" w:sz="4" w:space="0" w:color="auto"/>
              <w:right w:val="single" w:sz="4" w:space="0" w:color="auto"/>
            </w:tcBorders>
            <w:vAlign w:val="center"/>
          </w:tcPr>
          <w:p w14:paraId="365DC4BC" w14:textId="77777777" w:rsidR="00EA2CBD" w:rsidRPr="00C23364" w:rsidRDefault="00EA2CBD" w:rsidP="009D1253">
            <w:pPr>
              <w:jc w:val="center"/>
              <w:rPr>
                <w:rFonts w:ascii="Tahoma" w:hAnsi="Tahoma" w:cs="Tahoma"/>
                <w:sz w:val="20"/>
                <w:szCs w:val="20"/>
              </w:rPr>
            </w:pPr>
            <w:r>
              <w:rPr>
                <w:rFonts w:ascii="Tahoma" w:hAnsi="Tahoma" w:cs="Tahoma"/>
                <w:sz w:val="20"/>
                <w:szCs w:val="20"/>
              </w:rPr>
              <w:t>7,000</w:t>
            </w:r>
          </w:p>
        </w:tc>
        <w:tc>
          <w:tcPr>
            <w:tcW w:w="312" w:type="pct"/>
            <w:tcBorders>
              <w:top w:val="single" w:sz="4" w:space="0" w:color="auto"/>
              <w:left w:val="single" w:sz="4" w:space="0" w:color="auto"/>
              <w:bottom w:val="single" w:sz="4" w:space="0" w:color="auto"/>
              <w:right w:val="single" w:sz="4" w:space="0" w:color="auto"/>
            </w:tcBorders>
            <w:vAlign w:val="center"/>
          </w:tcPr>
          <w:p w14:paraId="465138F0" w14:textId="77777777" w:rsidR="00EA2CBD" w:rsidRPr="00C23364" w:rsidRDefault="00EA2CBD" w:rsidP="009D1253">
            <w:pPr>
              <w:jc w:val="center"/>
              <w:rPr>
                <w:rFonts w:ascii="Tahoma" w:hAnsi="Tahoma" w:cs="Tahoma"/>
                <w:sz w:val="20"/>
                <w:szCs w:val="20"/>
              </w:rPr>
            </w:pPr>
            <w:r w:rsidRPr="00C23364">
              <w:rPr>
                <w:rFonts w:ascii="Tahoma" w:hAnsi="Tahoma" w:cs="Tahoma"/>
                <w:sz w:val="20"/>
                <w:szCs w:val="20"/>
              </w:rPr>
              <w:t>-</w:t>
            </w:r>
          </w:p>
        </w:tc>
        <w:tc>
          <w:tcPr>
            <w:tcW w:w="313" w:type="pct"/>
            <w:tcBorders>
              <w:top w:val="single" w:sz="4" w:space="0" w:color="auto"/>
              <w:left w:val="single" w:sz="4" w:space="0" w:color="auto"/>
              <w:bottom w:val="single" w:sz="4" w:space="0" w:color="auto"/>
              <w:right w:val="single" w:sz="4" w:space="0" w:color="auto"/>
            </w:tcBorders>
            <w:vAlign w:val="center"/>
          </w:tcPr>
          <w:p w14:paraId="35022475" w14:textId="77777777" w:rsidR="00EA2CBD" w:rsidRPr="00C23364" w:rsidRDefault="00EA2CBD" w:rsidP="009D1253">
            <w:pPr>
              <w:jc w:val="center"/>
              <w:rPr>
                <w:rFonts w:ascii="Tahoma" w:hAnsi="Tahoma" w:cs="Tahoma"/>
                <w:sz w:val="20"/>
                <w:szCs w:val="20"/>
              </w:rPr>
            </w:pPr>
            <w:r w:rsidRPr="00C23364">
              <w:rPr>
                <w:rFonts w:ascii="Tahoma" w:hAnsi="Tahoma" w:cs="Tahoma"/>
                <w:sz w:val="20"/>
                <w:szCs w:val="20"/>
              </w:rPr>
              <w:t>-</w:t>
            </w:r>
          </w:p>
        </w:tc>
        <w:tc>
          <w:tcPr>
            <w:tcW w:w="313" w:type="pct"/>
            <w:tcBorders>
              <w:top w:val="single" w:sz="4" w:space="0" w:color="auto"/>
              <w:left w:val="single" w:sz="4" w:space="0" w:color="auto"/>
              <w:bottom w:val="single" w:sz="4" w:space="0" w:color="auto"/>
              <w:right w:val="single" w:sz="8" w:space="0" w:color="auto"/>
            </w:tcBorders>
            <w:vAlign w:val="center"/>
          </w:tcPr>
          <w:p w14:paraId="2E3D6B1B" w14:textId="77777777" w:rsidR="00EA2CBD" w:rsidRPr="00C23364" w:rsidRDefault="00EA2CBD" w:rsidP="009D1253">
            <w:pPr>
              <w:jc w:val="center"/>
              <w:rPr>
                <w:rFonts w:ascii="Tahoma" w:hAnsi="Tahoma" w:cs="Tahoma"/>
                <w:sz w:val="20"/>
                <w:szCs w:val="20"/>
              </w:rPr>
            </w:pPr>
            <w:r w:rsidRPr="00C23364">
              <w:rPr>
                <w:rFonts w:ascii="Tahoma" w:hAnsi="Tahoma" w:cs="Tahoma"/>
                <w:sz w:val="20"/>
                <w:szCs w:val="20"/>
              </w:rPr>
              <w:t>-</w:t>
            </w:r>
          </w:p>
        </w:tc>
        <w:tc>
          <w:tcPr>
            <w:tcW w:w="313" w:type="pct"/>
            <w:tcBorders>
              <w:top w:val="single" w:sz="4" w:space="0" w:color="auto"/>
              <w:left w:val="single" w:sz="4" w:space="0" w:color="auto"/>
              <w:bottom w:val="single" w:sz="4" w:space="0" w:color="auto"/>
              <w:right w:val="single" w:sz="8" w:space="0" w:color="auto"/>
            </w:tcBorders>
            <w:vAlign w:val="center"/>
          </w:tcPr>
          <w:p w14:paraId="0542B30B" w14:textId="77777777" w:rsidR="00EA2CBD" w:rsidRPr="00C23364" w:rsidRDefault="00EA2CBD" w:rsidP="009D1253">
            <w:pPr>
              <w:jc w:val="center"/>
              <w:rPr>
                <w:rFonts w:ascii="Tahoma" w:hAnsi="Tahoma" w:cs="Tahoma"/>
                <w:sz w:val="20"/>
                <w:szCs w:val="20"/>
              </w:rPr>
            </w:pPr>
            <w:r w:rsidRPr="00C23364">
              <w:rPr>
                <w:rFonts w:ascii="Tahoma" w:hAnsi="Tahoma" w:cs="Tahoma"/>
                <w:sz w:val="20"/>
                <w:szCs w:val="20"/>
              </w:rPr>
              <w:t>-</w:t>
            </w:r>
          </w:p>
        </w:tc>
        <w:tc>
          <w:tcPr>
            <w:tcW w:w="403" w:type="pct"/>
            <w:tcBorders>
              <w:top w:val="single" w:sz="4" w:space="0" w:color="auto"/>
              <w:left w:val="single" w:sz="4" w:space="0" w:color="auto"/>
              <w:bottom w:val="single" w:sz="4" w:space="0" w:color="auto"/>
              <w:right w:val="single" w:sz="8" w:space="0" w:color="auto"/>
            </w:tcBorders>
            <w:vAlign w:val="center"/>
          </w:tcPr>
          <w:p w14:paraId="6ADB645E" w14:textId="77777777" w:rsidR="00EA2CBD" w:rsidRPr="00C23364" w:rsidRDefault="00EA2CBD" w:rsidP="009D1253">
            <w:pPr>
              <w:jc w:val="center"/>
              <w:rPr>
                <w:rFonts w:ascii="Tahoma" w:hAnsi="Tahoma" w:cs="Tahoma"/>
                <w:sz w:val="20"/>
                <w:szCs w:val="20"/>
              </w:rPr>
            </w:pPr>
            <w:r w:rsidRPr="00C23364">
              <w:rPr>
                <w:rFonts w:ascii="Tahoma" w:hAnsi="Tahoma" w:cs="Tahoma"/>
                <w:sz w:val="20"/>
                <w:szCs w:val="20"/>
              </w:rPr>
              <w:t>-</w:t>
            </w:r>
          </w:p>
        </w:tc>
      </w:tr>
    </w:tbl>
    <w:p w14:paraId="6FE12357" w14:textId="77777777" w:rsidR="00EA2CBD" w:rsidRDefault="00EA2CBD" w:rsidP="00EA2CBD">
      <w:pPr>
        <w:tabs>
          <w:tab w:val="left" w:pos="851"/>
        </w:tabs>
        <w:jc w:val="both"/>
        <w:rPr>
          <w:rFonts w:ascii="Tahoma" w:hAnsi="Tahoma" w:cs="Tahoma"/>
          <w:color w:val="000000"/>
          <w:sz w:val="18"/>
          <w:szCs w:val="18"/>
        </w:rPr>
      </w:pPr>
      <w:r>
        <w:rPr>
          <w:rFonts w:ascii="Tahoma" w:hAnsi="Tahoma" w:cs="Tahoma"/>
          <w:color w:val="000000" w:themeColor="text1"/>
          <w:sz w:val="18"/>
          <w:szCs w:val="18"/>
        </w:rPr>
        <w:t>*</w:t>
      </w:r>
      <w:r w:rsidRPr="00271DA0">
        <w:rPr>
          <w:rFonts w:ascii="Tahoma" w:hAnsi="Tahoma" w:cs="Tahoma"/>
          <w:color w:val="000000"/>
          <w:sz w:val="18"/>
          <w:szCs w:val="18"/>
        </w:rPr>
        <w:t xml:space="preserve"> </w:t>
      </w:r>
      <w:r w:rsidRPr="003C5724">
        <w:rPr>
          <w:rFonts w:ascii="Tahoma" w:hAnsi="Tahoma" w:cs="Tahoma"/>
          <w:color w:val="000000"/>
          <w:sz w:val="18"/>
          <w:szCs w:val="18"/>
        </w:rPr>
        <w:t>Снятие (частичное досрочное снятие) - досрочный возврат Вклада (части суммы по Договору Вклада) повлечет изменение условий о размере процентов и периодичности их выплаты в соответствии с условиями Договора Вклада. По Договору Вклада Банк выдает по первому требованию Вкладчика сумму Вклада или ее часть и соответствующие проценты</w:t>
      </w:r>
      <w:r>
        <w:rPr>
          <w:rFonts w:ascii="Tahoma" w:hAnsi="Tahoma" w:cs="Tahoma"/>
          <w:color w:val="000000"/>
          <w:sz w:val="18"/>
          <w:szCs w:val="18"/>
        </w:rPr>
        <w:t>.</w:t>
      </w:r>
    </w:p>
    <w:p w14:paraId="2B15B053" w14:textId="77777777" w:rsidR="00EA2CBD" w:rsidRPr="008572C5" w:rsidRDefault="00EA2CBD" w:rsidP="00EA2CBD">
      <w:pPr>
        <w:tabs>
          <w:tab w:val="left" w:pos="284"/>
        </w:tabs>
        <w:rPr>
          <w:rFonts w:ascii="Tahoma" w:hAnsi="Tahoma" w:cs="Tahoma"/>
          <w:color w:val="FF0000"/>
          <w:sz w:val="18"/>
          <w:szCs w:val="18"/>
        </w:rPr>
      </w:pPr>
      <w:r w:rsidRPr="008572C5">
        <w:rPr>
          <w:rFonts w:ascii="Tahoma" w:hAnsi="Tahoma" w:cs="Tahoma"/>
          <w:color w:val="000000" w:themeColor="text1"/>
          <w:sz w:val="18"/>
          <w:szCs w:val="18"/>
        </w:rPr>
        <w:t>*</w:t>
      </w:r>
      <w:r>
        <w:rPr>
          <w:rFonts w:ascii="Tahoma" w:hAnsi="Tahoma" w:cs="Tahoma"/>
          <w:color w:val="000000" w:themeColor="text1"/>
          <w:sz w:val="18"/>
          <w:szCs w:val="18"/>
        </w:rPr>
        <w:t>*</w:t>
      </w:r>
      <w:r w:rsidRPr="008572C5">
        <w:rPr>
          <w:rFonts w:ascii="Tahoma" w:hAnsi="Tahoma" w:cs="Tahoma"/>
          <w:color w:val="000000" w:themeColor="text1"/>
          <w:sz w:val="18"/>
          <w:szCs w:val="18"/>
        </w:rPr>
        <w:t xml:space="preserve"> Соответствует значению минимальной гарантированной ставки (годовых) с учетом округления, определяющему минимальный доход, выплачиваемый </w:t>
      </w:r>
      <w:r>
        <w:rPr>
          <w:rFonts w:ascii="Tahoma" w:hAnsi="Tahoma" w:cs="Tahoma"/>
          <w:color w:val="000000" w:themeColor="text1"/>
          <w:sz w:val="18"/>
          <w:szCs w:val="18"/>
        </w:rPr>
        <w:t>В</w:t>
      </w:r>
      <w:r w:rsidRPr="008572C5">
        <w:rPr>
          <w:rFonts w:ascii="Tahoma" w:hAnsi="Tahoma" w:cs="Tahoma"/>
          <w:color w:val="000000" w:themeColor="text1"/>
          <w:sz w:val="18"/>
          <w:szCs w:val="18"/>
        </w:rPr>
        <w:t xml:space="preserve">кладчику на сумму </w:t>
      </w:r>
      <w:r>
        <w:rPr>
          <w:rFonts w:ascii="Tahoma" w:hAnsi="Tahoma" w:cs="Tahoma"/>
          <w:color w:val="000000" w:themeColor="text1"/>
          <w:sz w:val="18"/>
          <w:szCs w:val="18"/>
        </w:rPr>
        <w:t>В</w:t>
      </w:r>
      <w:r w:rsidRPr="008572C5">
        <w:rPr>
          <w:rFonts w:ascii="Tahoma" w:hAnsi="Tahoma" w:cs="Tahoma"/>
          <w:color w:val="000000" w:themeColor="text1"/>
          <w:sz w:val="18"/>
          <w:szCs w:val="18"/>
        </w:rPr>
        <w:t xml:space="preserve">клада при условии хранения суммы </w:t>
      </w:r>
      <w:r>
        <w:rPr>
          <w:rFonts w:ascii="Tahoma" w:hAnsi="Tahoma" w:cs="Tahoma"/>
          <w:color w:val="000000" w:themeColor="text1"/>
          <w:sz w:val="18"/>
          <w:szCs w:val="18"/>
        </w:rPr>
        <w:t>Вклада до конца срока В</w:t>
      </w:r>
      <w:r w:rsidRPr="008572C5">
        <w:rPr>
          <w:rFonts w:ascii="Tahoma" w:hAnsi="Tahoma" w:cs="Tahoma"/>
          <w:color w:val="000000" w:themeColor="text1"/>
          <w:sz w:val="18"/>
          <w:szCs w:val="18"/>
        </w:rPr>
        <w:t xml:space="preserve">клада без учета каких-либо других условий. Порядок расчета минимальной гарантированной ставки по </w:t>
      </w:r>
      <w:r>
        <w:rPr>
          <w:rFonts w:ascii="Tahoma" w:hAnsi="Tahoma" w:cs="Tahoma"/>
          <w:color w:val="000000" w:themeColor="text1"/>
          <w:sz w:val="18"/>
          <w:szCs w:val="18"/>
        </w:rPr>
        <w:t>В</w:t>
      </w:r>
      <w:r w:rsidRPr="008572C5">
        <w:rPr>
          <w:rFonts w:ascii="Tahoma" w:hAnsi="Tahoma" w:cs="Tahoma"/>
          <w:color w:val="000000" w:themeColor="text1"/>
          <w:sz w:val="18"/>
          <w:szCs w:val="18"/>
        </w:rPr>
        <w:t>кладу определяется Банком России.</w:t>
      </w:r>
    </w:p>
    <w:p w14:paraId="7A1A3365" w14:textId="77777777" w:rsidR="00EA2CBD" w:rsidRPr="008572C5" w:rsidRDefault="00EA2CBD" w:rsidP="00EA2CBD">
      <w:pPr>
        <w:tabs>
          <w:tab w:val="left" w:pos="284"/>
        </w:tabs>
        <w:rPr>
          <w:rFonts w:ascii="Tahoma" w:hAnsi="Tahoma" w:cs="Tahoma"/>
          <w:b/>
          <w:bCs/>
          <w:iCs/>
          <w:sz w:val="22"/>
          <w:szCs w:val="22"/>
        </w:rPr>
      </w:pPr>
    </w:p>
    <w:p w14:paraId="5A32A253" w14:textId="77777777" w:rsidR="00EA2CBD" w:rsidRPr="008572C5" w:rsidRDefault="00EA2CBD" w:rsidP="000B3718">
      <w:pPr>
        <w:pStyle w:val="a5"/>
      </w:pPr>
      <w:r w:rsidRPr="008572C5">
        <w:t>3.6.</w:t>
      </w:r>
      <w:r w:rsidRPr="008572C5">
        <w:tab/>
        <w:t>Вклад «АТБ. Вклад Онлайн» (с пополнением) (</w:t>
      </w:r>
      <w:r w:rsidRPr="008572C5">
        <w:rPr>
          <w:iCs/>
          <w:color w:val="E36C0A"/>
        </w:rPr>
        <w:t>открывается только через Каналы ДБО)</w:t>
      </w:r>
    </w:p>
    <w:p w14:paraId="638A3513" w14:textId="77777777" w:rsidR="00EA2CBD" w:rsidRPr="008572C5" w:rsidRDefault="00EA2CBD" w:rsidP="00EA2CBD">
      <w:pPr>
        <w:ind w:firstLine="426"/>
        <w:jc w:val="both"/>
        <w:rPr>
          <w:rFonts w:ascii="Tahoma" w:hAnsi="Tahoma" w:cs="Tahoma"/>
          <w:color w:val="000000"/>
          <w:sz w:val="22"/>
          <w:szCs w:val="20"/>
          <w:lang w:eastAsia="en-US"/>
        </w:rPr>
      </w:pPr>
      <w:r w:rsidRPr="008572C5">
        <w:rPr>
          <w:rFonts w:ascii="Tahoma" w:hAnsi="Tahoma" w:cs="Tahoma"/>
          <w:color w:val="000000"/>
          <w:sz w:val="22"/>
          <w:szCs w:val="20"/>
        </w:rPr>
        <w:t>Условия:</w:t>
      </w:r>
    </w:p>
    <w:p w14:paraId="4822FB75" w14:textId="77777777" w:rsidR="00EA2CBD" w:rsidRPr="008572C5" w:rsidRDefault="00EA2CBD" w:rsidP="00EA2CBD">
      <w:pPr>
        <w:numPr>
          <w:ilvl w:val="0"/>
          <w:numId w:val="3"/>
        </w:numPr>
        <w:jc w:val="both"/>
        <w:rPr>
          <w:rFonts w:ascii="Tahoma" w:hAnsi="Tahoma" w:cs="Tahoma"/>
          <w:sz w:val="22"/>
          <w:szCs w:val="20"/>
        </w:rPr>
      </w:pPr>
      <w:r w:rsidRPr="008572C5">
        <w:rPr>
          <w:rFonts w:ascii="Tahoma" w:hAnsi="Tahoma" w:cs="Tahoma"/>
          <w:sz w:val="22"/>
          <w:szCs w:val="20"/>
        </w:rPr>
        <w:t xml:space="preserve">Валюта </w:t>
      </w:r>
      <w:r>
        <w:rPr>
          <w:rFonts w:ascii="Tahoma" w:hAnsi="Tahoma" w:cs="Tahoma"/>
          <w:sz w:val="22"/>
          <w:szCs w:val="20"/>
        </w:rPr>
        <w:t>–</w:t>
      </w:r>
      <w:r w:rsidRPr="008572C5">
        <w:rPr>
          <w:rFonts w:ascii="Tahoma" w:hAnsi="Tahoma" w:cs="Tahoma"/>
          <w:sz w:val="22"/>
          <w:szCs w:val="20"/>
        </w:rPr>
        <w:t xml:space="preserve"> рубли</w:t>
      </w:r>
      <w:r>
        <w:rPr>
          <w:rFonts w:ascii="Tahoma" w:hAnsi="Tahoma" w:cs="Tahoma"/>
          <w:sz w:val="22"/>
          <w:szCs w:val="20"/>
        </w:rPr>
        <w:t xml:space="preserve"> </w:t>
      </w:r>
      <w:r w:rsidRPr="00D64905">
        <w:rPr>
          <w:rFonts w:ascii="Tahoma" w:hAnsi="Tahoma" w:cs="Tahoma"/>
          <w:sz w:val="22"/>
          <w:szCs w:val="22"/>
        </w:rPr>
        <w:t xml:space="preserve">/ </w:t>
      </w:r>
      <w:r w:rsidRPr="004B6997">
        <w:rPr>
          <w:rFonts w:ascii="Tahoma" w:hAnsi="Tahoma" w:cs="Tahoma"/>
          <w:sz w:val="22"/>
          <w:szCs w:val="22"/>
        </w:rPr>
        <w:t>китайский юань</w:t>
      </w:r>
      <w:r w:rsidRPr="008572C5">
        <w:rPr>
          <w:rFonts w:ascii="Tahoma" w:hAnsi="Tahoma" w:cs="Tahoma"/>
          <w:sz w:val="22"/>
          <w:szCs w:val="20"/>
        </w:rPr>
        <w:t>;</w:t>
      </w:r>
    </w:p>
    <w:p w14:paraId="0115A461" w14:textId="77777777" w:rsidR="00EA2CBD" w:rsidRPr="008572C5" w:rsidRDefault="00EA2CBD" w:rsidP="00EA2CBD">
      <w:pPr>
        <w:numPr>
          <w:ilvl w:val="0"/>
          <w:numId w:val="3"/>
        </w:numPr>
        <w:jc w:val="both"/>
        <w:rPr>
          <w:rFonts w:ascii="Tahoma" w:hAnsi="Tahoma" w:cs="Tahoma"/>
          <w:sz w:val="22"/>
          <w:szCs w:val="20"/>
        </w:rPr>
      </w:pPr>
      <w:r w:rsidRPr="008572C5">
        <w:rPr>
          <w:rFonts w:ascii="Tahoma" w:hAnsi="Tahoma" w:cs="Tahoma"/>
          <w:sz w:val="22"/>
          <w:szCs w:val="20"/>
        </w:rPr>
        <w:t>Минимальная сумма Вклада 5 000 рублей</w:t>
      </w:r>
      <w:r>
        <w:rPr>
          <w:rFonts w:ascii="Tahoma" w:hAnsi="Tahoma" w:cs="Tahoma"/>
          <w:sz w:val="22"/>
          <w:szCs w:val="20"/>
        </w:rPr>
        <w:t xml:space="preserve"> </w:t>
      </w:r>
      <w:r w:rsidRPr="00D64905">
        <w:rPr>
          <w:rFonts w:ascii="Tahoma" w:hAnsi="Tahoma" w:cs="Tahoma"/>
          <w:sz w:val="22"/>
          <w:szCs w:val="22"/>
        </w:rPr>
        <w:t>/ 700 китайских юаней</w:t>
      </w:r>
      <w:r w:rsidRPr="008572C5">
        <w:rPr>
          <w:rFonts w:ascii="Tahoma" w:hAnsi="Tahoma" w:cs="Tahoma"/>
          <w:sz w:val="22"/>
          <w:szCs w:val="20"/>
        </w:rPr>
        <w:t>;</w:t>
      </w:r>
    </w:p>
    <w:p w14:paraId="364FCDCB" w14:textId="77777777" w:rsidR="00EA2CBD" w:rsidRPr="008572C5" w:rsidRDefault="00EA2CBD" w:rsidP="00EA2CBD">
      <w:pPr>
        <w:numPr>
          <w:ilvl w:val="0"/>
          <w:numId w:val="3"/>
        </w:numPr>
        <w:jc w:val="both"/>
        <w:rPr>
          <w:rFonts w:ascii="Tahoma" w:hAnsi="Tahoma" w:cs="Tahoma"/>
          <w:sz w:val="22"/>
          <w:szCs w:val="20"/>
        </w:rPr>
      </w:pPr>
      <w:r w:rsidRPr="008572C5">
        <w:rPr>
          <w:rFonts w:ascii="Tahoma" w:hAnsi="Tahoma" w:cs="Tahoma"/>
          <w:sz w:val="22"/>
          <w:szCs w:val="20"/>
        </w:rPr>
        <w:t>Максимальная сумма Вклада – не ограничена;</w:t>
      </w:r>
    </w:p>
    <w:p w14:paraId="2E96B333" w14:textId="77777777" w:rsidR="00EA2CBD" w:rsidRDefault="00EA2CBD" w:rsidP="00EA2CBD">
      <w:pPr>
        <w:numPr>
          <w:ilvl w:val="0"/>
          <w:numId w:val="3"/>
        </w:numPr>
        <w:jc w:val="both"/>
        <w:rPr>
          <w:rFonts w:ascii="Tahoma" w:hAnsi="Tahoma" w:cs="Tahoma"/>
          <w:sz w:val="22"/>
          <w:szCs w:val="22"/>
        </w:rPr>
      </w:pPr>
      <w:r w:rsidRPr="008572C5">
        <w:rPr>
          <w:rFonts w:ascii="Tahoma" w:hAnsi="Tahoma" w:cs="Tahoma"/>
          <w:sz w:val="22"/>
          <w:szCs w:val="22"/>
        </w:rPr>
        <w:t>Срок Вклада</w:t>
      </w:r>
      <w:r>
        <w:rPr>
          <w:rFonts w:ascii="Tahoma" w:hAnsi="Tahoma" w:cs="Tahoma"/>
          <w:sz w:val="22"/>
          <w:szCs w:val="22"/>
        </w:rPr>
        <w:t xml:space="preserve">: </w:t>
      </w:r>
    </w:p>
    <w:p w14:paraId="66657149" w14:textId="77777777" w:rsidR="00EA2CBD" w:rsidRPr="00823945" w:rsidRDefault="00EA2CBD" w:rsidP="00EA2CBD">
      <w:pPr>
        <w:ind w:left="709" w:firstLine="142"/>
        <w:jc w:val="both"/>
        <w:rPr>
          <w:rFonts w:ascii="Tahoma" w:hAnsi="Tahoma" w:cs="Tahoma"/>
          <w:sz w:val="22"/>
          <w:szCs w:val="22"/>
        </w:rPr>
      </w:pPr>
      <w:r>
        <w:rPr>
          <w:rFonts w:ascii="Tahoma" w:hAnsi="Tahoma" w:cs="Tahoma"/>
          <w:sz w:val="22"/>
          <w:szCs w:val="22"/>
        </w:rPr>
        <w:t xml:space="preserve">- </w:t>
      </w:r>
      <w:r w:rsidRPr="00823945">
        <w:rPr>
          <w:rFonts w:ascii="Tahoma" w:hAnsi="Tahoma" w:cs="Tahoma"/>
          <w:sz w:val="22"/>
          <w:szCs w:val="22"/>
        </w:rPr>
        <w:t>в рублях РФ: 62 дня / 92 дня/ 122 дня/ 182 дня/ 243 дня/ 273 дня/ 367 дней/ 731 день/ 1098 дней;</w:t>
      </w:r>
    </w:p>
    <w:p w14:paraId="5CB7DB7A" w14:textId="77777777" w:rsidR="00EA2CBD" w:rsidRPr="008572C5" w:rsidRDefault="00EA2CBD" w:rsidP="00EA2CBD">
      <w:pPr>
        <w:ind w:left="709" w:firstLine="142"/>
        <w:jc w:val="both"/>
        <w:rPr>
          <w:rFonts w:ascii="Tahoma" w:hAnsi="Tahoma" w:cs="Tahoma"/>
          <w:sz w:val="22"/>
          <w:szCs w:val="22"/>
        </w:rPr>
      </w:pPr>
      <w:r w:rsidRPr="00823945">
        <w:rPr>
          <w:rFonts w:ascii="Tahoma" w:hAnsi="Tahoma" w:cs="Tahoma"/>
          <w:sz w:val="22"/>
          <w:szCs w:val="22"/>
        </w:rPr>
        <w:t>- в китайских юанях: 92 дня/ 182 дня.</w:t>
      </w:r>
    </w:p>
    <w:p w14:paraId="146BCEFC" w14:textId="77777777" w:rsidR="00EA2CBD" w:rsidRPr="008572C5" w:rsidRDefault="00EA2CBD" w:rsidP="00EA2CBD">
      <w:pPr>
        <w:numPr>
          <w:ilvl w:val="0"/>
          <w:numId w:val="3"/>
        </w:numPr>
        <w:jc w:val="both"/>
        <w:rPr>
          <w:rFonts w:ascii="Tahoma" w:hAnsi="Tahoma" w:cs="Tahoma"/>
          <w:sz w:val="22"/>
          <w:szCs w:val="20"/>
        </w:rPr>
      </w:pPr>
      <w:r w:rsidRPr="008572C5">
        <w:rPr>
          <w:rFonts w:ascii="Tahoma" w:hAnsi="Tahoma" w:cs="Tahoma"/>
          <w:sz w:val="22"/>
          <w:szCs w:val="20"/>
        </w:rPr>
        <w:t>Вклад пополняемый;</w:t>
      </w:r>
    </w:p>
    <w:p w14:paraId="06F05019" w14:textId="77777777" w:rsidR="00EA2CBD" w:rsidRPr="008572C5" w:rsidRDefault="00EA2CBD" w:rsidP="00EA2CBD">
      <w:pPr>
        <w:numPr>
          <w:ilvl w:val="0"/>
          <w:numId w:val="3"/>
        </w:numPr>
        <w:jc w:val="both"/>
        <w:rPr>
          <w:rFonts w:ascii="Tahoma" w:hAnsi="Tahoma" w:cs="Tahoma"/>
          <w:sz w:val="22"/>
          <w:szCs w:val="20"/>
        </w:rPr>
      </w:pPr>
      <w:r w:rsidRPr="008572C5">
        <w:rPr>
          <w:rFonts w:ascii="Tahoma" w:hAnsi="Tahoma" w:cs="Tahoma"/>
          <w:color w:val="000000" w:themeColor="text1"/>
          <w:sz w:val="22"/>
          <w:szCs w:val="22"/>
        </w:rPr>
        <w:t>Расходные операции по Вкладу – не предусмотрены;</w:t>
      </w:r>
    </w:p>
    <w:p w14:paraId="4C3D8B8C" w14:textId="77777777" w:rsidR="00EA2CBD" w:rsidRPr="008572C5" w:rsidRDefault="00EA2CBD" w:rsidP="00EA2CBD">
      <w:pPr>
        <w:numPr>
          <w:ilvl w:val="0"/>
          <w:numId w:val="3"/>
        </w:numPr>
        <w:jc w:val="both"/>
        <w:rPr>
          <w:rFonts w:ascii="Tahoma" w:hAnsi="Tahoma" w:cs="Tahoma"/>
          <w:sz w:val="22"/>
          <w:szCs w:val="20"/>
        </w:rPr>
      </w:pPr>
      <w:r w:rsidRPr="008572C5">
        <w:rPr>
          <w:rFonts w:ascii="Tahoma" w:hAnsi="Tahoma" w:cs="Tahoma"/>
          <w:sz w:val="22"/>
          <w:szCs w:val="20"/>
        </w:rPr>
        <w:t>Вклад пролонгируемый;</w:t>
      </w:r>
    </w:p>
    <w:p w14:paraId="701F6A19" w14:textId="77777777" w:rsidR="00EA2CBD" w:rsidRPr="008572C5" w:rsidRDefault="00EA2CBD" w:rsidP="00EA2CBD">
      <w:pPr>
        <w:numPr>
          <w:ilvl w:val="0"/>
          <w:numId w:val="3"/>
        </w:numPr>
        <w:jc w:val="both"/>
        <w:rPr>
          <w:rFonts w:ascii="Tahoma" w:hAnsi="Tahoma" w:cs="Tahoma"/>
          <w:sz w:val="22"/>
          <w:szCs w:val="20"/>
        </w:rPr>
      </w:pPr>
      <w:r w:rsidRPr="008572C5">
        <w:rPr>
          <w:rFonts w:ascii="Tahoma" w:hAnsi="Tahoma" w:cs="Tahoma"/>
          <w:sz w:val="22"/>
          <w:szCs w:val="20"/>
        </w:rPr>
        <w:t>Неснижаемый остаток по Вкладу – не предусмотрен;</w:t>
      </w:r>
    </w:p>
    <w:p w14:paraId="00364509" w14:textId="77777777" w:rsidR="00EA2CBD" w:rsidRPr="008572C5" w:rsidRDefault="00EA2CBD" w:rsidP="00EA2CBD">
      <w:pPr>
        <w:numPr>
          <w:ilvl w:val="0"/>
          <w:numId w:val="3"/>
        </w:numPr>
        <w:contextualSpacing/>
        <w:jc w:val="both"/>
        <w:rPr>
          <w:rFonts w:ascii="Tahoma" w:hAnsi="Tahoma" w:cs="Tahoma"/>
          <w:color w:val="000000" w:themeColor="text1"/>
          <w:sz w:val="22"/>
          <w:szCs w:val="22"/>
        </w:rPr>
      </w:pPr>
      <w:r w:rsidRPr="008572C5">
        <w:rPr>
          <w:rFonts w:ascii="Tahoma" w:hAnsi="Tahoma" w:cs="Tahoma"/>
          <w:sz w:val="22"/>
          <w:szCs w:val="22"/>
        </w:rPr>
        <w:t>Выплаты процентов – ежемесячно на счет, открытый в Банке</w:t>
      </w:r>
      <w:r w:rsidRPr="008572C5">
        <w:rPr>
          <w:rFonts w:ascii="Tahoma" w:hAnsi="Tahoma" w:cs="Tahoma"/>
          <w:color w:val="000000" w:themeColor="text1"/>
          <w:sz w:val="22"/>
          <w:szCs w:val="22"/>
        </w:rPr>
        <w:t>;</w:t>
      </w:r>
    </w:p>
    <w:p w14:paraId="3D0318CD" w14:textId="77777777" w:rsidR="00EA2CBD" w:rsidRPr="008572C5" w:rsidRDefault="00EA2CBD" w:rsidP="00EA2CBD">
      <w:pPr>
        <w:numPr>
          <w:ilvl w:val="0"/>
          <w:numId w:val="3"/>
        </w:numPr>
        <w:jc w:val="both"/>
        <w:rPr>
          <w:rFonts w:ascii="Tahoma" w:hAnsi="Tahoma" w:cs="Tahoma"/>
          <w:sz w:val="22"/>
          <w:szCs w:val="20"/>
        </w:rPr>
      </w:pPr>
      <w:r w:rsidRPr="008572C5">
        <w:rPr>
          <w:rFonts w:ascii="Tahoma" w:hAnsi="Tahoma" w:cs="Tahoma"/>
          <w:color w:val="000000" w:themeColor="text1"/>
          <w:sz w:val="22"/>
          <w:szCs w:val="22"/>
        </w:rPr>
        <w:t>Выплата суммы Вклада – на счет, открытый в Банке;</w:t>
      </w:r>
    </w:p>
    <w:p w14:paraId="3ADB4299" w14:textId="77777777" w:rsidR="00EA2CBD" w:rsidRPr="008572C5" w:rsidRDefault="00EA2CBD" w:rsidP="00EA2CBD">
      <w:pPr>
        <w:numPr>
          <w:ilvl w:val="0"/>
          <w:numId w:val="3"/>
        </w:numPr>
        <w:jc w:val="both"/>
        <w:rPr>
          <w:rFonts w:ascii="Tahoma" w:hAnsi="Tahoma" w:cs="Tahoma"/>
          <w:sz w:val="22"/>
          <w:szCs w:val="20"/>
        </w:rPr>
      </w:pPr>
      <w:r w:rsidRPr="00D64905">
        <w:rPr>
          <w:rFonts w:ascii="Tahoma" w:hAnsi="Tahoma" w:cs="Tahoma"/>
          <w:sz w:val="22"/>
          <w:szCs w:val="22"/>
        </w:rPr>
        <w:t>В случае досрочного возвращения Вклада в течение срока хранения Вклада по требованию Вкладчика проценты по Вкладу начисляются Вкладчику по ставке 0,01% годовых за весь срок хранения Вклада, начиная со дня, следующего за днем поступления денежных средств (Вклада) в Банк, и выплачиваются в день востребования суммы Вклада, а излишне уплаченные проценты удерживаются из выплачиваемой Вкладчику суммы</w:t>
      </w:r>
      <w:r w:rsidRPr="008572C5">
        <w:rPr>
          <w:rFonts w:ascii="Tahoma" w:hAnsi="Tahoma" w:cs="Tahoma"/>
          <w:sz w:val="22"/>
          <w:szCs w:val="20"/>
        </w:rPr>
        <w:t xml:space="preserve">. </w:t>
      </w:r>
    </w:p>
    <w:p w14:paraId="0896AC72" w14:textId="77777777" w:rsidR="00EA2CBD" w:rsidRPr="008572C5" w:rsidRDefault="00EA2CBD" w:rsidP="00EA2CBD">
      <w:pPr>
        <w:ind w:left="720"/>
        <w:jc w:val="both"/>
        <w:rPr>
          <w:rFonts w:ascii="Tahoma" w:hAnsi="Tahoma" w:cs="Tahoma"/>
          <w:sz w:val="20"/>
          <w:szCs w:val="20"/>
        </w:rPr>
      </w:pPr>
    </w:p>
    <w:tbl>
      <w:tblPr>
        <w:tblW w:w="5160" w:type="pct"/>
        <w:tblLayout w:type="fixed"/>
        <w:tblCellMar>
          <w:left w:w="0" w:type="dxa"/>
          <w:right w:w="0" w:type="dxa"/>
        </w:tblCellMar>
        <w:tblLook w:val="04A0" w:firstRow="1" w:lastRow="0" w:firstColumn="1" w:lastColumn="0" w:noHBand="0" w:noVBand="1"/>
      </w:tblPr>
      <w:tblGrid>
        <w:gridCol w:w="1491"/>
        <w:gridCol w:w="2499"/>
        <w:gridCol w:w="1229"/>
        <w:gridCol w:w="1529"/>
        <w:gridCol w:w="1036"/>
        <w:gridCol w:w="977"/>
        <w:gridCol w:w="867"/>
        <w:gridCol w:w="808"/>
        <w:gridCol w:w="977"/>
        <w:gridCol w:w="977"/>
        <w:gridCol w:w="977"/>
        <w:gridCol w:w="977"/>
        <w:gridCol w:w="1257"/>
      </w:tblGrid>
      <w:tr w:rsidR="00EA2CBD" w:rsidRPr="008572C5" w14:paraId="3A872830" w14:textId="77777777" w:rsidTr="009D1253">
        <w:trPr>
          <w:trHeight w:val="319"/>
        </w:trPr>
        <w:tc>
          <w:tcPr>
            <w:tcW w:w="478" w:type="pct"/>
            <w:vMerge w:val="restart"/>
            <w:tcBorders>
              <w:top w:val="single" w:sz="8" w:space="0" w:color="auto"/>
              <w:left w:val="single" w:sz="8" w:space="0" w:color="auto"/>
              <w:bottom w:val="single" w:sz="8" w:space="0" w:color="000000"/>
              <w:right w:val="nil"/>
            </w:tcBorders>
            <w:tcMar>
              <w:top w:w="0" w:type="dxa"/>
              <w:left w:w="108" w:type="dxa"/>
              <w:bottom w:w="0" w:type="dxa"/>
              <w:right w:w="108" w:type="dxa"/>
            </w:tcMar>
            <w:vAlign w:val="center"/>
            <w:hideMark/>
          </w:tcPr>
          <w:p w14:paraId="1762421F" w14:textId="77777777" w:rsidR="00EA2CBD" w:rsidRPr="008572C5" w:rsidRDefault="00EA2CBD" w:rsidP="009D1253">
            <w:pPr>
              <w:jc w:val="center"/>
              <w:rPr>
                <w:rFonts w:ascii="Tahoma" w:hAnsi="Tahoma" w:cs="Tahoma"/>
                <w:b/>
                <w:bCs/>
                <w:sz w:val="20"/>
                <w:szCs w:val="20"/>
              </w:rPr>
            </w:pPr>
            <w:r w:rsidRPr="008572C5">
              <w:rPr>
                <w:rFonts w:ascii="Tahoma" w:hAnsi="Tahoma" w:cs="Tahoma"/>
                <w:b/>
                <w:bCs/>
                <w:sz w:val="20"/>
                <w:szCs w:val="20"/>
              </w:rPr>
              <w:t>Ориентировочный сегмент</w:t>
            </w:r>
          </w:p>
        </w:tc>
        <w:tc>
          <w:tcPr>
            <w:tcW w:w="801" w:type="pct"/>
            <w:vMerge w:val="restart"/>
            <w:tcBorders>
              <w:top w:val="single" w:sz="8" w:space="0" w:color="auto"/>
              <w:left w:val="single" w:sz="8" w:space="0" w:color="auto"/>
              <w:bottom w:val="single" w:sz="8" w:space="0" w:color="000000"/>
              <w:right w:val="single" w:sz="8" w:space="0" w:color="auto"/>
            </w:tcBorders>
            <w:tcMar>
              <w:top w:w="0" w:type="dxa"/>
              <w:left w:w="108" w:type="dxa"/>
              <w:bottom w:w="0" w:type="dxa"/>
              <w:right w:w="108" w:type="dxa"/>
            </w:tcMar>
            <w:vAlign w:val="center"/>
            <w:hideMark/>
          </w:tcPr>
          <w:p w14:paraId="2F8F5549" w14:textId="77777777" w:rsidR="00EA2CBD" w:rsidRPr="008572C5" w:rsidRDefault="00EA2CBD" w:rsidP="009D1253">
            <w:pPr>
              <w:jc w:val="center"/>
              <w:rPr>
                <w:rFonts w:ascii="Tahoma" w:hAnsi="Tahoma" w:cs="Tahoma"/>
                <w:b/>
                <w:bCs/>
                <w:sz w:val="20"/>
                <w:szCs w:val="20"/>
              </w:rPr>
            </w:pPr>
            <w:r w:rsidRPr="008572C5">
              <w:rPr>
                <w:rFonts w:ascii="Tahoma" w:hAnsi="Tahoma" w:cs="Tahoma"/>
                <w:b/>
                <w:bCs/>
                <w:sz w:val="20"/>
                <w:szCs w:val="20"/>
              </w:rPr>
              <w:t>Продукт</w:t>
            </w:r>
          </w:p>
        </w:tc>
        <w:tc>
          <w:tcPr>
            <w:tcW w:w="884" w:type="pct"/>
            <w:gridSpan w:val="2"/>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28C7A9F0" w14:textId="77777777" w:rsidR="00EA2CBD" w:rsidRPr="008572C5" w:rsidRDefault="00EA2CBD" w:rsidP="009D1253">
            <w:pPr>
              <w:jc w:val="center"/>
              <w:rPr>
                <w:rFonts w:ascii="Tahoma" w:hAnsi="Tahoma" w:cs="Tahoma"/>
                <w:b/>
                <w:bCs/>
                <w:sz w:val="20"/>
                <w:szCs w:val="20"/>
              </w:rPr>
            </w:pPr>
            <w:r w:rsidRPr="008572C5">
              <w:rPr>
                <w:rFonts w:ascii="Tahoma" w:hAnsi="Tahoma" w:cs="Tahoma"/>
                <w:b/>
                <w:bCs/>
                <w:sz w:val="20"/>
                <w:szCs w:val="20"/>
              </w:rPr>
              <w:t xml:space="preserve">Базовые параметры </w:t>
            </w:r>
            <w:r>
              <w:rPr>
                <w:rFonts w:ascii="Tahoma" w:hAnsi="Tahoma" w:cs="Tahoma"/>
                <w:b/>
                <w:bCs/>
                <w:sz w:val="20"/>
                <w:szCs w:val="20"/>
              </w:rPr>
              <w:t>В</w:t>
            </w:r>
            <w:r w:rsidRPr="008572C5">
              <w:rPr>
                <w:rFonts w:ascii="Tahoma" w:hAnsi="Tahoma" w:cs="Tahoma"/>
                <w:b/>
                <w:bCs/>
                <w:sz w:val="20"/>
                <w:szCs w:val="20"/>
              </w:rPr>
              <w:t>клада</w:t>
            </w:r>
          </w:p>
        </w:tc>
        <w:tc>
          <w:tcPr>
            <w:tcW w:w="2837" w:type="pct"/>
            <w:gridSpan w:val="9"/>
            <w:tcBorders>
              <w:top w:val="single" w:sz="8" w:space="0" w:color="auto"/>
              <w:left w:val="nil"/>
              <w:bottom w:val="single" w:sz="8" w:space="0" w:color="auto"/>
              <w:right w:val="single" w:sz="8" w:space="0" w:color="auto"/>
            </w:tcBorders>
            <w:vAlign w:val="center"/>
          </w:tcPr>
          <w:p w14:paraId="0ECF1C8E" w14:textId="77777777" w:rsidR="00EA2CBD" w:rsidRPr="008572C5" w:rsidRDefault="00EA2CBD" w:rsidP="009D1253">
            <w:pPr>
              <w:jc w:val="center"/>
              <w:rPr>
                <w:rFonts w:ascii="Tahoma" w:hAnsi="Tahoma" w:cs="Tahoma"/>
                <w:b/>
                <w:bCs/>
                <w:color w:val="000000" w:themeColor="text1"/>
                <w:sz w:val="20"/>
                <w:szCs w:val="20"/>
              </w:rPr>
            </w:pPr>
            <w:r w:rsidRPr="008572C5">
              <w:rPr>
                <w:rFonts w:ascii="Tahoma" w:hAnsi="Tahoma" w:cs="Tahoma"/>
                <w:b/>
                <w:bCs/>
                <w:color w:val="000000" w:themeColor="text1"/>
                <w:sz w:val="20"/>
                <w:szCs w:val="20"/>
              </w:rPr>
              <w:t xml:space="preserve">Процентные ставки* (% </w:t>
            </w:r>
            <w:r w:rsidRPr="008572C5">
              <w:rPr>
                <w:rFonts w:ascii="Tahoma" w:hAnsi="Tahoma" w:cs="Tahoma"/>
                <w:b/>
                <w:bCs/>
                <w:sz w:val="20"/>
                <w:szCs w:val="20"/>
              </w:rPr>
              <w:t xml:space="preserve">годовых) в зависимости от срока </w:t>
            </w:r>
            <w:r>
              <w:rPr>
                <w:rFonts w:ascii="Tahoma" w:hAnsi="Tahoma" w:cs="Tahoma"/>
                <w:b/>
                <w:bCs/>
                <w:sz w:val="20"/>
                <w:szCs w:val="20"/>
              </w:rPr>
              <w:t>В</w:t>
            </w:r>
            <w:r w:rsidRPr="008572C5">
              <w:rPr>
                <w:rFonts w:ascii="Tahoma" w:hAnsi="Tahoma" w:cs="Tahoma"/>
                <w:b/>
                <w:bCs/>
                <w:sz w:val="20"/>
                <w:szCs w:val="20"/>
              </w:rPr>
              <w:t>клада</w:t>
            </w:r>
          </w:p>
        </w:tc>
      </w:tr>
      <w:tr w:rsidR="00EA2CBD" w:rsidRPr="008572C5" w14:paraId="0119024E" w14:textId="77777777" w:rsidTr="009D1253">
        <w:trPr>
          <w:trHeight w:val="319"/>
        </w:trPr>
        <w:tc>
          <w:tcPr>
            <w:tcW w:w="478" w:type="pct"/>
            <w:vMerge/>
            <w:tcBorders>
              <w:top w:val="single" w:sz="8" w:space="0" w:color="auto"/>
              <w:left w:val="single" w:sz="8" w:space="0" w:color="auto"/>
              <w:bottom w:val="single" w:sz="8" w:space="0" w:color="000000"/>
              <w:right w:val="nil"/>
            </w:tcBorders>
            <w:vAlign w:val="center"/>
            <w:hideMark/>
          </w:tcPr>
          <w:p w14:paraId="6E1D808B" w14:textId="77777777" w:rsidR="00EA2CBD" w:rsidRPr="008572C5" w:rsidRDefault="00EA2CBD" w:rsidP="009D1253">
            <w:pPr>
              <w:rPr>
                <w:rFonts w:ascii="Tahoma" w:eastAsiaTheme="minorHAnsi" w:hAnsi="Tahoma" w:cs="Tahoma"/>
                <w:b/>
                <w:bCs/>
                <w:sz w:val="20"/>
                <w:szCs w:val="20"/>
                <w:lang w:eastAsia="en-US"/>
              </w:rPr>
            </w:pPr>
          </w:p>
        </w:tc>
        <w:tc>
          <w:tcPr>
            <w:tcW w:w="801" w:type="pct"/>
            <w:vMerge/>
            <w:tcBorders>
              <w:top w:val="single" w:sz="8" w:space="0" w:color="auto"/>
              <w:left w:val="single" w:sz="8" w:space="0" w:color="auto"/>
              <w:bottom w:val="single" w:sz="8" w:space="0" w:color="000000"/>
              <w:right w:val="single" w:sz="8" w:space="0" w:color="auto"/>
            </w:tcBorders>
            <w:vAlign w:val="center"/>
            <w:hideMark/>
          </w:tcPr>
          <w:p w14:paraId="7CD93CCB" w14:textId="77777777" w:rsidR="00EA2CBD" w:rsidRPr="008572C5" w:rsidRDefault="00EA2CBD" w:rsidP="009D1253">
            <w:pPr>
              <w:rPr>
                <w:rFonts w:ascii="Tahoma" w:eastAsiaTheme="minorHAnsi" w:hAnsi="Tahoma" w:cs="Tahoma"/>
                <w:b/>
                <w:bCs/>
                <w:sz w:val="20"/>
                <w:szCs w:val="20"/>
                <w:lang w:eastAsia="en-US"/>
              </w:rPr>
            </w:pPr>
          </w:p>
        </w:tc>
        <w:tc>
          <w:tcPr>
            <w:tcW w:w="394" w:type="pct"/>
            <w:tcBorders>
              <w:top w:val="nil"/>
              <w:left w:val="nil"/>
              <w:bottom w:val="single" w:sz="8" w:space="0" w:color="auto"/>
              <w:right w:val="single" w:sz="8" w:space="0" w:color="auto"/>
            </w:tcBorders>
            <w:noWrap/>
            <w:tcMar>
              <w:top w:w="0" w:type="dxa"/>
              <w:left w:w="28" w:type="dxa"/>
              <w:bottom w:w="0" w:type="dxa"/>
              <w:right w:w="28" w:type="dxa"/>
            </w:tcMar>
            <w:vAlign w:val="center"/>
            <w:hideMark/>
          </w:tcPr>
          <w:p w14:paraId="34FE31F5" w14:textId="77777777" w:rsidR="00EA2CBD" w:rsidRPr="008572C5" w:rsidRDefault="00EA2CBD" w:rsidP="009D1253">
            <w:pPr>
              <w:jc w:val="center"/>
              <w:rPr>
                <w:rFonts w:ascii="Tahoma" w:hAnsi="Tahoma" w:cs="Tahoma"/>
                <w:b/>
                <w:bCs/>
                <w:sz w:val="20"/>
                <w:szCs w:val="20"/>
              </w:rPr>
            </w:pPr>
            <w:r w:rsidRPr="008572C5">
              <w:rPr>
                <w:rFonts w:ascii="Tahoma" w:hAnsi="Tahoma" w:cs="Tahoma"/>
                <w:b/>
                <w:bCs/>
                <w:sz w:val="20"/>
                <w:szCs w:val="20"/>
              </w:rPr>
              <w:t xml:space="preserve">Валюта </w:t>
            </w:r>
            <w:r>
              <w:rPr>
                <w:rFonts w:ascii="Tahoma" w:hAnsi="Tahoma" w:cs="Tahoma"/>
                <w:b/>
                <w:bCs/>
                <w:sz w:val="20"/>
                <w:szCs w:val="20"/>
              </w:rPr>
              <w:t>В</w:t>
            </w:r>
            <w:r w:rsidRPr="008572C5">
              <w:rPr>
                <w:rFonts w:ascii="Tahoma" w:hAnsi="Tahoma" w:cs="Tahoma"/>
                <w:b/>
                <w:bCs/>
                <w:sz w:val="20"/>
                <w:szCs w:val="20"/>
              </w:rPr>
              <w:t>клада</w:t>
            </w:r>
          </w:p>
        </w:tc>
        <w:tc>
          <w:tcPr>
            <w:tcW w:w="490" w:type="pct"/>
            <w:tcBorders>
              <w:top w:val="nil"/>
              <w:left w:val="nil"/>
              <w:bottom w:val="single" w:sz="8" w:space="0" w:color="auto"/>
              <w:right w:val="single" w:sz="8" w:space="0" w:color="auto"/>
            </w:tcBorders>
            <w:noWrap/>
            <w:tcMar>
              <w:top w:w="0" w:type="dxa"/>
              <w:left w:w="28" w:type="dxa"/>
              <w:bottom w:w="0" w:type="dxa"/>
              <w:right w:w="28" w:type="dxa"/>
            </w:tcMar>
            <w:vAlign w:val="center"/>
            <w:hideMark/>
          </w:tcPr>
          <w:p w14:paraId="16CF415F" w14:textId="77777777" w:rsidR="00EA2CBD" w:rsidRPr="008572C5" w:rsidRDefault="00EA2CBD" w:rsidP="009D1253">
            <w:pPr>
              <w:jc w:val="center"/>
              <w:rPr>
                <w:rFonts w:ascii="Tahoma" w:hAnsi="Tahoma" w:cs="Tahoma"/>
                <w:b/>
                <w:bCs/>
                <w:sz w:val="20"/>
                <w:szCs w:val="20"/>
              </w:rPr>
            </w:pPr>
            <w:r w:rsidRPr="008572C5">
              <w:rPr>
                <w:rFonts w:ascii="Tahoma" w:hAnsi="Tahoma" w:cs="Tahoma"/>
                <w:b/>
                <w:bCs/>
                <w:sz w:val="20"/>
                <w:szCs w:val="20"/>
              </w:rPr>
              <w:t xml:space="preserve">Минимальная сумма </w:t>
            </w:r>
            <w:r>
              <w:rPr>
                <w:rFonts w:ascii="Tahoma" w:hAnsi="Tahoma" w:cs="Tahoma"/>
                <w:b/>
                <w:bCs/>
                <w:sz w:val="20"/>
                <w:szCs w:val="20"/>
              </w:rPr>
              <w:t>В</w:t>
            </w:r>
            <w:r w:rsidRPr="008572C5">
              <w:rPr>
                <w:rFonts w:ascii="Tahoma" w:hAnsi="Tahoma" w:cs="Tahoma"/>
                <w:b/>
                <w:bCs/>
                <w:sz w:val="20"/>
                <w:szCs w:val="20"/>
              </w:rPr>
              <w:t xml:space="preserve">клада </w:t>
            </w:r>
          </w:p>
        </w:tc>
        <w:tc>
          <w:tcPr>
            <w:tcW w:w="332" w:type="pct"/>
            <w:tcBorders>
              <w:top w:val="nil"/>
              <w:left w:val="nil"/>
              <w:bottom w:val="single" w:sz="8" w:space="0" w:color="auto"/>
              <w:right w:val="single" w:sz="4" w:space="0" w:color="auto"/>
            </w:tcBorders>
            <w:noWrap/>
            <w:tcMar>
              <w:top w:w="0" w:type="dxa"/>
              <w:left w:w="108" w:type="dxa"/>
              <w:bottom w:w="0" w:type="dxa"/>
              <w:right w:w="108" w:type="dxa"/>
            </w:tcMar>
            <w:vAlign w:val="center"/>
            <w:hideMark/>
          </w:tcPr>
          <w:p w14:paraId="280BAA49" w14:textId="77777777" w:rsidR="00EA2CBD" w:rsidRPr="008572C5" w:rsidRDefault="00EA2CBD" w:rsidP="009D1253">
            <w:pPr>
              <w:jc w:val="center"/>
              <w:rPr>
                <w:rFonts w:ascii="Tahoma" w:hAnsi="Tahoma" w:cs="Tahoma"/>
                <w:b/>
                <w:bCs/>
                <w:sz w:val="20"/>
                <w:szCs w:val="20"/>
              </w:rPr>
            </w:pPr>
            <w:r>
              <w:rPr>
                <w:rFonts w:ascii="Tahoma" w:hAnsi="Tahoma" w:cs="Tahoma"/>
                <w:b/>
                <w:bCs/>
                <w:sz w:val="20"/>
                <w:szCs w:val="20"/>
              </w:rPr>
              <w:t>6</w:t>
            </w:r>
            <w:r w:rsidRPr="008572C5">
              <w:rPr>
                <w:rFonts w:ascii="Tahoma" w:hAnsi="Tahoma" w:cs="Tahoma"/>
                <w:b/>
                <w:bCs/>
                <w:sz w:val="20"/>
                <w:szCs w:val="20"/>
              </w:rPr>
              <w:t>2 дня</w:t>
            </w:r>
          </w:p>
        </w:tc>
        <w:tc>
          <w:tcPr>
            <w:tcW w:w="313" w:type="pct"/>
            <w:tcBorders>
              <w:top w:val="nil"/>
              <w:left w:val="nil"/>
              <w:bottom w:val="single" w:sz="8" w:space="0" w:color="auto"/>
              <w:right w:val="single" w:sz="4" w:space="0" w:color="auto"/>
            </w:tcBorders>
            <w:vAlign w:val="center"/>
          </w:tcPr>
          <w:p w14:paraId="62908504" w14:textId="77777777" w:rsidR="00EA2CBD" w:rsidRPr="008572C5" w:rsidRDefault="00EA2CBD" w:rsidP="009D1253">
            <w:pPr>
              <w:jc w:val="center"/>
              <w:rPr>
                <w:rFonts w:ascii="Tahoma" w:hAnsi="Tahoma" w:cs="Tahoma"/>
                <w:b/>
                <w:bCs/>
                <w:sz w:val="20"/>
                <w:szCs w:val="20"/>
              </w:rPr>
            </w:pPr>
            <w:r w:rsidRPr="008572C5">
              <w:rPr>
                <w:rFonts w:ascii="Tahoma" w:hAnsi="Tahoma" w:cs="Tahoma"/>
                <w:b/>
                <w:bCs/>
                <w:sz w:val="20"/>
                <w:szCs w:val="20"/>
              </w:rPr>
              <w:t>92 дня</w:t>
            </w:r>
          </w:p>
        </w:tc>
        <w:tc>
          <w:tcPr>
            <w:tcW w:w="278" w:type="pct"/>
            <w:tcBorders>
              <w:top w:val="nil"/>
              <w:left w:val="single" w:sz="4" w:space="0" w:color="auto"/>
              <w:bottom w:val="single" w:sz="8" w:space="0" w:color="auto"/>
              <w:right w:val="single" w:sz="4" w:space="0" w:color="auto"/>
            </w:tcBorders>
            <w:vAlign w:val="center"/>
          </w:tcPr>
          <w:p w14:paraId="5D4BC3C4" w14:textId="77777777" w:rsidR="00EA2CBD" w:rsidRPr="008572C5" w:rsidRDefault="00EA2CBD" w:rsidP="009D1253">
            <w:pPr>
              <w:jc w:val="center"/>
              <w:rPr>
                <w:rFonts w:ascii="Tahoma" w:hAnsi="Tahoma" w:cs="Tahoma"/>
                <w:b/>
                <w:bCs/>
                <w:sz w:val="20"/>
                <w:szCs w:val="20"/>
              </w:rPr>
            </w:pPr>
            <w:r w:rsidRPr="008572C5">
              <w:rPr>
                <w:rFonts w:ascii="Tahoma" w:hAnsi="Tahoma" w:cs="Tahoma"/>
                <w:b/>
                <w:bCs/>
                <w:sz w:val="20"/>
                <w:szCs w:val="20"/>
              </w:rPr>
              <w:t>122 дня</w:t>
            </w:r>
          </w:p>
        </w:tc>
        <w:tc>
          <w:tcPr>
            <w:tcW w:w="259" w:type="pct"/>
            <w:tcBorders>
              <w:top w:val="nil"/>
              <w:left w:val="single" w:sz="4" w:space="0" w:color="auto"/>
              <w:bottom w:val="single" w:sz="8" w:space="0" w:color="auto"/>
              <w:right w:val="single" w:sz="4" w:space="0" w:color="auto"/>
            </w:tcBorders>
            <w:vAlign w:val="center"/>
          </w:tcPr>
          <w:p w14:paraId="3EA223D3" w14:textId="77777777" w:rsidR="00EA2CBD" w:rsidRPr="008572C5" w:rsidRDefault="00EA2CBD" w:rsidP="009D1253">
            <w:pPr>
              <w:jc w:val="center"/>
              <w:rPr>
                <w:rFonts w:ascii="Tahoma" w:hAnsi="Tahoma" w:cs="Tahoma"/>
                <w:b/>
                <w:bCs/>
                <w:sz w:val="20"/>
                <w:szCs w:val="20"/>
              </w:rPr>
            </w:pPr>
            <w:r w:rsidRPr="008572C5">
              <w:rPr>
                <w:rFonts w:ascii="Tahoma" w:hAnsi="Tahoma" w:cs="Tahoma"/>
                <w:b/>
                <w:bCs/>
                <w:sz w:val="20"/>
                <w:szCs w:val="20"/>
              </w:rPr>
              <w:t>182 дня</w:t>
            </w:r>
          </w:p>
        </w:tc>
        <w:tc>
          <w:tcPr>
            <w:tcW w:w="313" w:type="pct"/>
            <w:tcBorders>
              <w:top w:val="nil"/>
              <w:left w:val="single" w:sz="4" w:space="0" w:color="auto"/>
              <w:bottom w:val="single" w:sz="8" w:space="0" w:color="auto"/>
              <w:right w:val="single" w:sz="4" w:space="0" w:color="auto"/>
            </w:tcBorders>
            <w:vAlign w:val="center"/>
          </w:tcPr>
          <w:p w14:paraId="6D452586" w14:textId="77777777" w:rsidR="00EA2CBD" w:rsidRPr="008572C5" w:rsidRDefault="00EA2CBD" w:rsidP="009D1253">
            <w:pPr>
              <w:jc w:val="center"/>
              <w:rPr>
                <w:rFonts w:ascii="Tahoma" w:hAnsi="Tahoma" w:cs="Tahoma"/>
                <w:b/>
                <w:bCs/>
                <w:sz w:val="20"/>
                <w:szCs w:val="20"/>
              </w:rPr>
            </w:pPr>
            <w:r w:rsidRPr="008572C5">
              <w:rPr>
                <w:rFonts w:ascii="Tahoma" w:hAnsi="Tahoma" w:cs="Tahoma"/>
                <w:b/>
                <w:bCs/>
                <w:sz w:val="20"/>
                <w:szCs w:val="20"/>
              </w:rPr>
              <w:t>243 дня</w:t>
            </w:r>
          </w:p>
        </w:tc>
        <w:tc>
          <w:tcPr>
            <w:tcW w:w="313" w:type="pct"/>
            <w:tcBorders>
              <w:top w:val="nil"/>
              <w:left w:val="single" w:sz="4" w:space="0" w:color="auto"/>
              <w:bottom w:val="single" w:sz="8" w:space="0" w:color="auto"/>
              <w:right w:val="single" w:sz="4" w:space="0" w:color="auto"/>
            </w:tcBorders>
            <w:vAlign w:val="center"/>
          </w:tcPr>
          <w:p w14:paraId="10BD77A6" w14:textId="77777777" w:rsidR="00EA2CBD" w:rsidRPr="008572C5" w:rsidRDefault="00EA2CBD" w:rsidP="009D1253">
            <w:pPr>
              <w:jc w:val="center"/>
              <w:rPr>
                <w:rFonts w:ascii="Tahoma" w:hAnsi="Tahoma" w:cs="Tahoma"/>
                <w:b/>
                <w:bCs/>
                <w:sz w:val="20"/>
                <w:szCs w:val="20"/>
              </w:rPr>
            </w:pPr>
            <w:r w:rsidRPr="008572C5">
              <w:rPr>
                <w:rFonts w:ascii="Tahoma" w:hAnsi="Tahoma" w:cs="Tahoma"/>
                <w:b/>
                <w:bCs/>
                <w:sz w:val="20"/>
                <w:szCs w:val="20"/>
              </w:rPr>
              <w:t>273 дня</w:t>
            </w:r>
          </w:p>
        </w:tc>
        <w:tc>
          <w:tcPr>
            <w:tcW w:w="313" w:type="pct"/>
            <w:tcBorders>
              <w:top w:val="nil"/>
              <w:left w:val="single" w:sz="4" w:space="0" w:color="auto"/>
              <w:bottom w:val="single" w:sz="8" w:space="0" w:color="auto"/>
              <w:right w:val="single" w:sz="8" w:space="0" w:color="auto"/>
            </w:tcBorders>
            <w:vAlign w:val="center"/>
          </w:tcPr>
          <w:p w14:paraId="4FA3D96B" w14:textId="77777777" w:rsidR="00EA2CBD" w:rsidRPr="008572C5" w:rsidRDefault="00EA2CBD" w:rsidP="009D1253">
            <w:pPr>
              <w:jc w:val="center"/>
              <w:rPr>
                <w:rFonts w:ascii="Tahoma" w:hAnsi="Tahoma" w:cs="Tahoma"/>
                <w:b/>
                <w:bCs/>
                <w:sz w:val="20"/>
                <w:szCs w:val="20"/>
              </w:rPr>
            </w:pPr>
            <w:r w:rsidRPr="008572C5">
              <w:rPr>
                <w:rFonts w:ascii="Tahoma" w:hAnsi="Tahoma" w:cs="Tahoma"/>
                <w:b/>
                <w:bCs/>
                <w:sz w:val="20"/>
                <w:szCs w:val="20"/>
              </w:rPr>
              <w:t>367 дней</w:t>
            </w:r>
          </w:p>
        </w:tc>
        <w:tc>
          <w:tcPr>
            <w:tcW w:w="313" w:type="pct"/>
            <w:tcBorders>
              <w:top w:val="nil"/>
              <w:left w:val="single" w:sz="4" w:space="0" w:color="auto"/>
              <w:bottom w:val="single" w:sz="8" w:space="0" w:color="auto"/>
              <w:right w:val="single" w:sz="8" w:space="0" w:color="auto"/>
            </w:tcBorders>
            <w:vAlign w:val="center"/>
          </w:tcPr>
          <w:p w14:paraId="5BD8CDF6" w14:textId="77777777" w:rsidR="00EA2CBD" w:rsidRPr="008572C5" w:rsidRDefault="00EA2CBD" w:rsidP="009D1253">
            <w:pPr>
              <w:jc w:val="center"/>
              <w:rPr>
                <w:rFonts w:ascii="Tahoma" w:hAnsi="Tahoma" w:cs="Tahoma"/>
                <w:b/>
                <w:bCs/>
                <w:sz w:val="20"/>
                <w:szCs w:val="20"/>
              </w:rPr>
            </w:pPr>
            <w:r w:rsidRPr="008572C5">
              <w:rPr>
                <w:rFonts w:ascii="Tahoma" w:hAnsi="Tahoma" w:cs="Tahoma"/>
                <w:b/>
                <w:bCs/>
                <w:sz w:val="20"/>
                <w:szCs w:val="20"/>
              </w:rPr>
              <w:t>731 день</w:t>
            </w:r>
          </w:p>
        </w:tc>
        <w:tc>
          <w:tcPr>
            <w:tcW w:w="403" w:type="pct"/>
            <w:tcBorders>
              <w:top w:val="nil"/>
              <w:left w:val="single" w:sz="4" w:space="0" w:color="auto"/>
              <w:bottom w:val="single" w:sz="8" w:space="0" w:color="auto"/>
              <w:right w:val="single" w:sz="8" w:space="0" w:color="auto"/>
            </w:tcBorders>
            <w:vAlign w:val="center"/>
          </w:tcPr>
          <w:p w14:paraId="27624C62" w14:textId="77777777" w:rsidR="00EA2CBD" w:rsidRPr="008572C5" w:rsidRDefault="00EA2CBD" w:rsidP="009D1253">
            <w:pPr>
              <w:jc w:val="center"/>
              <w:rPr>
                <w:rFonts w:ascii="Tahoma" w:hAnsi="Tahoma" w:cs="Tahoma"/>
                <w:b/>
                <w:bCs/>
                <w:sz w:val="20"/>
                <w:szCs w:val="20"/>
              </w:rPr>
            </w:pPr>
            <w:r w:rsidRPr="008572C5">
              <w:rPr>
                <w:rFonts w:ascii="Tahoma" w:hAnsi="Tahoma" w:cs="Tahoma"/>
                <w:b/>
                <w:bCs/>
                <w:sz w:val="20"/>
                <w:szCs w:val="20"/>
              </w:rPr>
              <w:t>1098 дней</w:t>
            </w:r>
          </w:p>
        </w:tc>
      </w:tr>
      <w:tr w:rsidR="00EA2CBD" w:rsidRPr="008572C5" w14:paraId="046A9927" w14:textId="77777777" w:rsidTr="009D1253">
        <w:trPr>
          <w:trHeight w:val="173"/>
        </w:trPr>
        <w:tc>
          <w:tcPr>
            <w:tcW w:w="478" w:type="pct"/>
            <w:vMerge w:val="restart"/>
            <w:tcBorders>
              <w:top w:val="nil"/>
              <w:left w:val="single" w:sz="8" w:space="0" w:color="auto"/>
              <w:right w:val="nil"/>
            </w:tcBorders>
            <w:tcMar>
              <w:top w:w="0" w:type="dxa"/>
              <w:left w:w="108" w:type="dxa"/>
              <w:bottom w:w="0" w:type="dxa"/>
              <w:right w:w="108" w:type="dxa"/>
            </w:tcMar>
            <w:vAlign w:val="center"/>
            <w:hideMark/>
          </w:tcPr>
          <w:p w14:paraId="377A0E61" w14:textId="77777777" w:rsidR="00EA2CBD" w:rsidRPr="008572C5" w:rsidRDefault="00EA2CBD" w:rsidP="009D1253">
            <w:pPr>
              <w:jc w:val="center"/>
              <w:rPr>
                <w:rFonts w:ascii="Tahoma" w:hAnsi="Tahoma" w:cs="Tahoma"/>
                <w:sz w:val="20"/>
                <w:szCs w:val="20"/>
              </w:rPr>
            </w:pPr>
            <w:r w:rsidRPr="008572C5">
              <w:rPr>
                <w:rFonts w:ascii="Tahoma" w:hAnsi="Tahoma" w:cs="Tahoma"/>
                <w:sz w:val="20"/>
                <w:szCs w:val="20"/>
              </w:rPr>
              <w:t>Все категории клиентов</w:t>
            </w:r>
          </w:p>
        </w:tc>
        <w:tc>
          <w:tcPr>
            <w:tcW w:w="801" w:type="pct"/>
            <w:vMerge w:val="restart"/>
            <w:tcBorders>
              <w:top w:val="nil"/>
              <w:left w:val="single" w:sz="8" w:space="0" w:color="auto"/>
              <w:right w:val="single" w:sz="8" w:space="0" w:color="auto"/>
            </w:tcBorders>
            <w:shd w:val="clear" w:color="auto" w:fill="FFC000"/>
            <w:tcMar>
              <w:top w:w="0" w:type="dxa"/>
              <w:left w:w="108" w:type="dxa"/>
              <w:bottom w:w="0" w:type="dxa"/>
              <w:right w:w="108" w:type="dxa"/>
            </w:tcMar>
            <w:vAlign w:val="center"/>
            <w:hideMark/>
          </w:tcPr>
          <w:p w14:paraId="608660E0" w14:textId="77777777" w:rsidR="00EA2CBD" w:rsidRPr="008572C5" w:rsidRDefault="00EA2CBD" w:rsidP="009D1253">
            <w:pPr>
              <w:jc w:val="center"/>
              <w:rPr>
                <w:rFonts w:ascii="Tahoma" w:hAnsi="Tahoma" w:cs="Tahoma"/>
                <w:color w:val="000000" w:themeColor="text1"/>
                <w:sz w:val="20"/>
                <w:szCs w:val="20"/>
              </w:rPr>
            </w:pPr>
            <w:r w:rsidRPr="008572C5">
              <w:rPr>
                <w:rFonts w:ascii="Tahoma" w:hAnsi="Tahoma" w:cs="Tahoma"/>
                <w:color w:val="000000" w:themeColor="text1"/>
                <w:sz w:val="20"/>
                <w:szCs w:val="20"/>
              </w:rPr>
              <w:t>АТБ. Вклад Онлайн</w:t>
            </w:r>
          </w:p>
          <w:p w14:paraId="1E3F5B2D" w14:textId="77777777" w:rsidR="00EA2CBD" w:rsidRPr="008572C5" w:rsidRDefault="00EA2CBD" w:rsidP="009D1253">
            <w:pPr>
              <w:jc w:val="center"/>
              <w:rPr>
                <w:rFonts w:ascii="Tahoma" w:hAnsi="Tahoma" w:cs="Tahoma"/>
                <w:sz w:val="20"/>
                <w:szCs w:val="20"/>
              </w:rPr>
            </w:pPr>
            <w:r w:rsidRPr="008572C5">
              <w:rPr>
                <w:rFonts w:ascii="Tahoma" w:hAnsi="Tahoma" w:cs="Tahoma"/>
                <w:color w:val="000000" w:themeColor="text1"/>
                <w:sz w:val="20"/>
                <w:szCs w:val="20"/>
              </w:rPr>
              <w:t>(с пополнением)</w:t>
            </w:r>
          </w:p>
        </w:tc>
        <w:tc>
          <w:tcPr>
            <w:tcW w:w="394" w:type="pct"/>
            <w:vMerge w:val="restart"/>
            <w:tcBorders>
              <w:top w:val="nil"/>
              <w:left w:val="nil"/>
              <w:right w:val="single" w:sz="8" w:space="0" w:color="auto"/>
            </w:tcBorders>
            <w:noWrap/>
            <w:tcMar>
              <w:top w:w="0" w:type="dxa"/>
              <w:left w:w="28" w:type="dxa"/>
              <w:bottom w:w="0" w:type="dxa"/>
              <w:right w:w="28" w:type="dxa"/>
            </w:tcMar>
            <w:vAlign w:val="center"/>
            <w:hideMark/>
          </w:tcPr>
          <w:p w14:paraId="7F99931A" w14:textId="77777777" w:rsidR="00EA2CBD" w:rsidRPr="008572C5" w:rsidRDefault="00EA2CBD" w:rsidP="009D1253">
            <w:pPr>
              <w:jc w:val="center"/>
              <w:rPr>
                <w:rFonts w:ascii="Tahoma" w:hAnsi="Tahoma" w:cs="Tahoma"/>
                <w:sz w:val="20"/>
                <w:szCs w:val="20"/>
              </w:rPr>
            </w:pPr>
            <w:r>
              <w:rPr>
                <w:rFonts w:ascii="Tahoma" w:hAnsi="Tahoma" w:cs="Tahoma"/>
                <w:sz w:val="20"/>
                <w:szCs w:val="20"/>
              </w:rPr>
              <w:t>р</w:t>
            </w:r>
            <w:r w:rsidRPr="008572C5">
              <w:rPr>
                <w:rFonts w:ascii="Tahoma" w:hAnsi="Tahoma" w:cs="Tahoma"/>
                <w:sz w:val="20"/>
                <w:szCs w:val="20"/>
              </w:rPr>
              <w:t>убли</w:t>
            </w:r>
          </w:p>
        </w:tc>
        <w:tc>
          <w:tcPr>
            <w:tcW w:w="490" w:type="pct"/>
            <w:tcBorders>
              <w:top w:val="nil"/>
              <w:left w:val="nil"/>
              <w:bottom w:val="single" w:sz="4" w:space="0" w:color="auto"/>
              <w:right w:val="single" w:sz="8" w:space="0" w:color="auto"/>
            </w:tcBorders>
            <w:noWrap/>
            <w:tcMar>
              <w:top w:w="0" w:type="dxa"/>
              <w:left w:w="28" w:type="dxa"/>
              <w:bottom w:w="0" w:type="dxa"/>
              <w:right w:w="28" w:type="dxa"/>
            </w:tcMar>
            <w:vAlign w:val="center"/>
            <w:hideMark/>
          </w:tcPr>
          <w:p w14:paraId="41AD50C5" w14:textId="77777777" w:rsidR="00EA2CBD" w:rsidRPr="008572C5" w:rsidRDefault="00EA2CBD" w:rsidP="009D1253">
            <w:pPr>
              <w:jc w:val="center"/>
              <w:rPr>
                <w:rFonts w:ascii="Tahoma" w:hAnsi="Tahoma" w:cs="Tahoma"/>
                <w:sz w:val="20"/>
                <w:szCs w:val="20"/>
              </w:rPr>
            </w:pPr>
            <w:r w:rsidRPr="008572C5">
              <w:rPr>
                <w:rFonts w:ascii="Tahoma" w:hAnsi="Tahoma" w:cs="Tahoma"/>
                <w:color w:val="000000"/>
                <w:sz w:val="20"/>
                <w:szCs w:val="20"/>
              </w:rPr>
              <w:t>5 0</w:t>
            </w:r>
            <w:r w:rsidRPr="008572C5">
              <w:rPr>
                <w:rFonts w:ascii="Tahoma" w:hAnsi="Tahoma" w:cs="Tahoma"/>
                <w:sz w:val="20"/>
                <w:szCs w:val="20"/>
              </w:rPr>
              <w:t>00</w:t>
            </w:r>
          </w:p>
        </w:tc>
        <w:tc>
          <w:tcPr>
            <w:tcW w:w="332" w:type="pct"/>
            <w:tcBorders>
              <w:top w:val="nil"/>
              <w:left w:val="nil"/>
              <w:bottom w:val="single" w:sz="4" w:space="0" w:color="auto"/>
              <w:right w:val="single" w:sz="4" w:space="0" w:color="auto"/>
            </w:tcBorders>
            <w:shd w:val="clear" w:color="auto" w:fill="auto"/>
            <w:noWrap/>
            <w:tcMar>
              <w:top w:w="0" w:type="dxa"/>
              <w:left w:w="108" w:type="dxa"/>
              <w:bottom w:w="0" w:type="dxa"/>
              <w:right w:w="108" w:type="dxa"/>
            </w:tcMar>
            <w:vAlign w:val="center"/>
          </w:tcPr>
          <w:p w14:paraId="31006704" w14:textId="77777777" w:rsidR="00EA2CBD" w:rsidRPr="007D37E4" w:rsidRDefault="00EA2CBD" w:rsidP="009D1253">
            <w:pPr>
              <w:jc w:val="center"/>
              <w:rPr>
                <w:rFonts w:ascii="Tahoma" w:hAnsi="Tahoma" w:cs="Tahoma"/>
                <w:sz w:val="20"/>
                <w:szCs w:val="20"/>
              </w:rPr>
            </w:pPr>
            <w:r w:rsidRPr="007D37E4">
              <w:rPr>
                <w:rFonts w:ascii="Tahoma" w:hAnsi="Tahoma" w:cs="Tahoma"/>
                <w:sz w:val="20"/>
                <w:szCs w:val="20"/>
              </w:rPr>
              <w:t>13,700</w:t>
            </w:r>
          </w:p>
        </w:tc>
        <w:tc>
          <w:tcPr>
            <w:tcW w:w="313" w:type="pct"/>
            <w:tcBorders>
              <w:top w:val="nil"/>
              <w:left w:val="nil"/>
              <w:bottom w:val="single" w:sz="4" w:space="0" w:color="auto"/>
              <w:right w:val="single" w:sz="4" w:space="0" w:color="auto"/>
            </w:tcBorders>
            <w:vAlign w:val="center"/>
          </w:tcPr>
          <w:p w14:paraId="777CC8EF" w14:textId="77777777" w:rsidR="00EA2CBD" w:rsidRPr="007D37E4" w:rsidRDefault="00EA2CBD" w:rsidP="009D1253">
            <w:pPr>
              <w:jc w:val="center"/>
              <w:rPr>
                <w:rFonts w:ascii="Tahoma" w:hAnsi="Tahoma" w:cs="Tahoma"/>
                <w:sz w:val="20"/>
                <w:szCs w:val="20"/>
              </w:rPr>
            </w:pPr>
            <w:r w:rsidRPr="007D37E4">
              <w:rPr>
                <w:rFonts w:ascii="Tahoma" w:hAnsi="Tahoma" w:cs="Tahoma"/>
                <w:sz w:val="20"/>
                <w:szCs w:val="20"/>
              </w:rPr>
              <w:t>14,000</w:t>
            </w:r>
          </w:p>
        </w:tc>
        <w:tc>
          <w:tcPr>
            <w:tcW w:w="278" w:type="pct"/>
            <w:tcBorders>
              <w:top w:val="nil"/>
              <w:left w:val="single" w:sz="4" w:space="0" w:color="auto"/>
              <w:bottom w:val="single" w:sz="4" w:space="0" w:color="auto"/>
              <w:right w:val="single" w:sz="4" w:space="0" w:color="auto"/>
            </w:tcBorders>
            <w:shd w:val="clear" w:color="auto" w:fill="auto"/>
            <w:vAlign w:val="center"/>
          </w:tcPr>
          <w:p w14:paraId="093579C8" w14:textId="77777777" w:rsidR="00EA2CBD" w:rsidRPr="007D37E4" w:rsidRDefault="00EA2CBD" w:rsidP="009D1253">
            <w:pPr>
              <w:jc w:val="center"/>
              <w:rPr>
                <w:rFonts w:ascii="Tahoma" w:hAnsi="Tahoma" w:cs="Tahoma"/>
                <w:sz w:val="20"/>
                <w:szCs w:val="20"/>
              </w:rPr>
            </w:pPr>
            <w:r w:rsidRPr="007D37E4">
              <w:rPr>
                <w:rFonts w:ascii="Tahoma" w:hAnsi="Tahoma" w:cs="Tahoma"/>
                <w:sz w:val="20"/>
                <w:szCs w:val="20"/>
              </w:rPr>
              <w:t>14,000</w:t>
            </w:r>
          </w:p>
        </w:tc>
        <w:tc>
          <w:tcPr>
            <w:tcW w:w="259" w:type="pct"/>
            <w:tcBorders>
              <w:top w:val="nil"/>
              <w:left w:val="single" w:sz="4" w:space="0" w:color="auto"/>
              <w:bottom w:val="single" w:sz="4" w:space="0" w:color="auto"/>
              <w:right w:val="single" w:sz="4" w:space="0" w:color="auto"/>
            </w:tcBorders>
            <w:shd w:val="clear" w:color="auto" w:fill="auto"/>
            <w:vAlign w:val="center"/>
          </w:tcPr>
          <w:p w14:paraId="638D91FF" w14:textId="77777777" w:rsidR="00EA2CBD" w:rsidRPr="007D37E4" w:rsidRDefault="00EA2CBD" w:rsidP="009D1253">
            <w:pPr>
              <w:jc w:val="center"/>
              <w:rPr>
                <w:rFonts w:ascii="Tahoma" w:hAnsi="Tahoma" w:cs="Tahoma"/>
                <w:sz w:val="20"/>
                <w:szCs w:val="20"/>
              </w:rPr>
            </w:pPr>
            <w:r w:rsidRPr="007D37E4">
              <w:rPr>
                <w:rFonts w:ascii="Tahoma" w:hAnsi="Tahoma" w:cs="Tahoma"/>
                <w:sz w:val="20"/>
                <w:szCs w:val="20"/>
              </w:rPr>
              <w:t>14,000</w:t>
            </w:r>
          </w:p>
        </w:tc>
        <w:tc>
          <w:tcPr>
            <w:tcW w:w="313" w:type="pct"/>
            <w:tcBorders>
              <w:top w:val="nil"/>
              <w:left w:val="single" w:sz="4" w:space="0" w:color="auto"/>
              <w:bottom w:val="single" w:sz="4" w:space="0" w:color="auto"/>
              <w:right w:val="single" w:sz="4" w:space="0" w:color="auto"/>
            </w:tcBorders>
            <w:shd w:val="clear" w:color="auto" w:fill="auto"/>
            <w:vAlign w:val="center"/>
          </w:tcPr>
          <w:p w14:paraId="4926C126" w14:textId="77777777" w:rsidR="00EA2CBD" w:rsidRPr="007D37E4" w:rsidRDefault="00EA2CBD" w:rsidP="009D1253">
            <w:pPr>
              <w:jc w:val="center"/>
              <w:rPr>
                <w:rFonts w:ascii="Tahoma" w:hAnsi="Tahoma" w:cs="Tahoma"/>
                <w:sz w:val="20"/>
                <w:szCs w:val="20"/>
              </w:rPr>
            </w:pPr>
            <w:r w:rsidRPr="007D37E4">
              <w:rPr>
                <w:rFonts w:ascii="Tahoma" w:hAnsi="Tahoma" w:cs="Tahoma"/>
                <w:sz w:val="20"/>
                <w:szCs w:val="20"/>
              </w:rPr>
              <w:t>13,100</w:t>
            </w:r>
          </w:p>
        </w:tc>
        <w:tc>
          <w:tcPr>
            <w:tcW w:w="313" w:type="pct"/>
            <w:tcBorders>
              <w:top w:val="nil"/>
              <w:left w:val="single" w:sz="4" w:space="0" w:color="auto"/>
              <w:bottom w:val="single" w:sz="4" w:space="0" w:color="auto"/>
              <w:right w:val="single" w:sz="4" w:space="0" w:color="auto"/>
            </w:tcBorders>
            <w:vAlign w:val="center"/>
          </w:tcPr>
          <w:p w14:paraId="6ECC9CA7" w14:textId="77777777" w:rsidR="00EA2CBD" w:rsidRPr="007D37E4" w:rsidRDefault="00EA2CBD" w:rsidP="009D1253">
            <w:pPr>
              <w:jc w:val="center"/>
              <w:rPr>
                <w:rFonts w:ascii="Tahoma" w:hAnsi="Tahoma" w:cs="Tahoma"/>
                <w:sz w:val="20"/>
                <w:szCs w:val="20"/>
              </w:rPr>
            </w:pPr>
            <w:r w:rsidRPr="007D37E4">
              <w:rPr>
                <w:rFonts w:ascii="Tahoma" w:hAnsi="Tahoma" w:cs="Tahoma"/>
                <w:sz w:val="20"/>
                <w:szCs w:val="20"/>
              </w:rPr>
              <w:t>13,200</w:t>
            </w:r>
          </w:p>
        </w:tc>
        <w:tc>
          <w:tcPr>
            <w:tcW w:w="313" w:type="pct"/>
            <w:tcBorders>
              <w:top w:val="nil"/>
              <w:left w:val="single" w:sz="4" w:space="0" w:color="auto"/>
              <w:bottom w:val="single" w:sz="4" w:space="0" w:color="auto"/>
              <w:right w:val="single" w:sz="8" w:space="0" w:color="auto"/>
            </w:tcBorders>
            <w:shd w:val="clear" w:color="auto" w:fill="auto"/>
            <w:vAlign w:val="center"/>
          </w:tcPr>
          <w:p w14:paraId="3AA2A84E" w14:textId="77777777" w:rsidR="00EA2CBD" w:rsidRPr="007D37E4" w:rsidRDefault="00EA2CBD" w:rsidP="009D1253">
            <w:pPr>
              <w:jc w:val="center"/>
              <w:rPr>
                <w:rFonts w:ascii="Tahoma" w:hAnsi="Tahoma" w:cs="Tahoma"/>
                <w:sz w:val="20"/>
                <w:szCs w:val="20"/>
              </w:rPr>
            </w:pPr>
            <w:r w:rsidRPr="007D37E4">
              <w:rPr>
                <w:rFonts w:ascii="Tahoma" w:hAnsi="Tahoma" w:cs="Tahoma"/>
                <w:sz w:val="20"/>
                <w:szCs w:val="20"/>
              </w:rPr>
              <w:t>13,800</w:t>
            </w:r>
          </w:p>
        </w:tc>
        <w:tc>
          <w:tcPr>
            <w:tcW w:w="313" w:type="pct"/>
            <w:tcBorders>
              <w:top w:val="nil"/>
              <w:left w:val="single" w:sz="4" w:space="0" w:color="auto"/>
              <w:bottom w:val="single" w:sz="4" w:space="0" w:color="auto"/>
              <w:right w:val="single" w:sz="8" w:space="0" w:color="auto"/>
            </w:tcBorders>
            <w:vAlign w:val="center"/>
          </w:tcPr>
          <w:p w14:paraId="0D1F9912" w14:textId="77777777" w:rsidR="00EA2CBD" w:rsidRPr="008572C5" w:rsidRDefault="00EA2CBD" w:rsidP="009D1253">
            <w:pPr>
              <w:jc w:val="center"/>
              <w:rPr>
                <w:rFonts w:ascii="Tahoma" w:hAnsi="Tahoma" w:cs="Tahoma"/>
                <w:color w:val="000000"/>
                <w:sz w:val="20"/>
                <w:szCs w:val="20"/>
              </w:rPr>
            </w:pPr>
            <w:r>
              <w:rPr>
                <w:rFonts w:ascii="Tahoma" w:hAnsi="Tahoma" w:cs="Tahoma"/>
                <w:color w:val="000000"/>
                <w:sz w:val="20"/>
                <w:szCs w:val="20"/>
              </w:rPr>
              <w:t>9</w:t>
            </w:r>
            <w:r w:rsidRPr="008572C5">
              <w:rPr>
                <w:rFonts w:ascii="Tahoma" w:hAnsi="Tahoma" w:cs="Tahoma"/>
                <w:color w:val="000000"/>
                <w:sz w:val="20"/>
                <w:szCs w:val="20"/>
              </w:rPr>
              <w:t>,300</w:t>
            </w:r>
          </w:p>
        </w:tc>
        <w:tc>
          <w:tcPr>
            <w:tcW w:w="403" w:type="pct"/>
            <w:tcBorders>
              <w:top w:val="nil"/>
              <w:left w:val="single" w:sz="4" w:space="0" w:color="auto"/>
              <w:bottom w:val="single" w:sz="4" w:space="0" w:color="auto"/>
              <w:right w:val="single" w:sz="8" w:space="0" w:color="auto"/>
            </w:tcBorders>
            <w:vAlign w:val="center"/>
          </w:tcPr>
          <w:p w14:paraId="10400E20" w14:textId="77777777" w:rsidR="00EA2CBD" w:rsidRPr="008572C5" w:rsidRDefault="00EA2CBD" w:rsidP="009D1253">
            <w:pPr>
              <w:jc w:val="center"/>
              <w:rPr>
                <w:rFonts w:ascii="Tahoma" w:hAnsi="Tahoma" w:cs="Tahoma"/>
                <w:color w:val="000000"/>
                <w:sz w:val="20"/>
                <w:szCs w:val="20"/>
              </w:rPr>
            </w:pPr>
            <w:r>
              <w:rPr>
                <w:rFonts w:ascii="Tahoma" w:hAnsi="Tahoma" w:cs="Tahoma"/>
                <w:color w:val="000000"/>
                <w:sz w:val="20"/>
                <w:szCs w:val="20"/>
              </w:rPr>
              <w:t>9</w:t>
            </w:r>
            <w:r w:rsidRPr="008572C5">
              <w:rPr>
                <w:rFonts w:ascii="Tahoma" w:hAnsi="Tahoma" w:cs="Tahoma"/>
                <w:color w:val="000000"/>
                <w:sz w:val="20"/>
                <w:szCs w:val="20"/>
              </w:rPr>
              <w:t>,400</w:t>
            </w:r>
          </w:p>
        </w:tc>
      </w:tr>
      <w:tr w:rsidR="00EA2CBD" w:rsidRPr="008572C5" w14:paraId="1BA1BE85" w14:textId="77777777" w:rsidTr="009D1253">
        <w:trPr>
          <w:trHeight w:val="173"/>
        </w:trPr>
        <w:tc>
          <w:tcPr>
            <w:tcW w:w="478" w:type="pct"/>
            <w:vMerge/>
            <w:tcBorders>
              <w:left w:val="single" w:sz="8" w:space="0" w:color="auto"/>
              <w:right w:val="nil"/>
            </w:tcBorders>
            <w:tcMar>
              <w:top w:w="0" w:type="dxa"/>
              <w:left w:w="108" w:type="dxa"/>
              <w:bottom w:w="0" w:type="dxa"/>
              <w:right w:w="108" w:type="dxa"/>
            </w:tcMar>
            <w:vAlign w:val="center"/>
          </w:tcPr>
          <w:p w14:paraId="08821123" w14:textId="77777777" w:rsidR="00EA2CBD" w:rsidRPr="008572C5" w:rsidRDefault="00EA2CBD" w:rsidP="009D1253">
            <w:pPr>
              <w:jc w:val="center"/>
              <w:rPr>
                <w:rFonts w:ascii="Tahoma" w:hAnsi="Tahoma" w:cs="Tahoma"/>
                <w:sz w:val="20"/>
                <w:szCs w:val="20"/>
              </w:rPr>
            </w:pPr>
          </w:p>
        </w:tc>
        <w:tc>
          <w:tcPr>
            <w:tcW w:w="801" w:type="pct"/>
            <w:vMerge/>
            <w:tcBorders>
              <w:left w:val="single" w:sz="8" w:space="0" w:color="auto"/>
              <w:right w:val="single" w:sz="8" w:space="0" w:color="auto"/>
            </w:tcBorders>
            <w:shd w:val="clear" w:color="auto" w:fill="FFC000"/>
            <w:tcMar>
              <w:top w:w="0" w:type="dxa"/>
              <w:left w:w="108" w:type="dxa"/>
              <w:bottom w:w="0" w:type="dxa"/>
              <w:right w:w="108" w:type="dxa"/>
            </w:tcMar>
            <w:vAlign w:val="center"/>
          </w:tcPr>
          <w:p w14:paraId="00D82663" w14:textId="77777777" w:rsidR="00EA2CBD" w:rsidRPr="008572C5" w:rsidRDefault="00EA2CBD" w:rsidP="009D1253">
            <w:pPr>
              <w:jc w:val="center"/>
              <w:rPr>
                <w:rFonts w:ascii="Tahoma" w:hAnsi="Tahoma" w:cs="Tahoma"/>
                <w:color w:val="000000" w:themeColor="text1"/>
                <w:sz w:val="20"/>
                <w:szCs w:val="20"/>
              </w:rPr>
            </w:pPr>
          </w:p>
        </w:tc>
        <w:tc>
          <w:tcPr>
            <w:tcW w:w="394" w:type="pct"/>
            <w:vMerge/>
            <w:tcBorders>
              <w:left w:val="nil"/>
              <w:bottom w:val="single" w:sz="4" w:space="0" w:color="auto"/>
              <w:right w:val="single" w:sz="8" w:space="0" w:color="auto"/>
            </w:tcBorders>
            <w:noWrap/>
            <w:tcMar>
              <w:top w:w="0" w:type="dxa"/>
              <w:left w:w="28" w:type="dxa"/>
              <w:bottom w:w="0" w:type="dxa"/>
              <w:right w:w="28" w:type="dxa"/>
            </w:tcMar>
            <w:vAlign w:val="center"/>
          </w:tcPr>
          <w:p w14:paraId="7F45600E" w14:textId="77777777" w:rsidR="00EA2CBD" w:rsidRPr="008572C5" w:rsidRDefault="00EA2CBD" w:rsidP="009D1253">
            <w:pPr>
              <w:jc w:val="center"/>
              <w:rPr>
                <w:rFonts w:ascii="Tahoma" w:hAnsi="Tahoma" w:cs="Tahoma"/>
                <w:sz w:val="20"/>
                <w:szCs w:val="20"/>
              </w:rPr>
            </w:pPr>
          </w:p>
        </w:tc>
        <w:tc>
          <w:tcPr>
            <w:tcW w:w="490" w:type="pct"/>
            <w:tcBorders>
              <w:top w:val="single" w:sz="4" w:space="0" w:color="auto"/>
              <w:left w:val="nil"/>
              <w:bottom w:val="single" w:sz="4" w:space="0" w:color="auto"/>
              <w:right w:val="single" w:sz="8" w:space="0" w:color="auto"/>
            </w:tcBorders>
            <w:noWrap/>
            <w:tcMar>
              <w:top w:w="0" w:type="dxa"/>
              <w:left w:w="28" w:type="dxa"/>
              <w:bottom w:w="0" w:type="dxa"/>
              <w:right w:w="28" w:type="dxa"/>
            </w:tcMar>
            <w:vAlign w:val="center"/>
          </w:tcPr>
          <w:p w14:paraId="2382ECDA" w14:textId="77777777" w:rsidR="00EA2CBD" w:rsidRPr="008572C5" w:rsidRDefault="00EA2CBD" w:rsidP="009D1253">
            <w:pPr>
              <w:jc w:val="center"/>
              <w:rPr>
                <w:rFonts w:ascii="Tahoma" w:hAnsi="Tahoma" w:cs="Tahoma"/>
                <w:color w:val="000000"/>
                <w:sz w:val="20"/>
                <w:szCs w:val="20"/>
              </w:rPr>
            </w:pPr>
            <w:r w:rsidRPr="008572C5">
              <w:rPr>
                <w:rFonts w:ascii="Tahoma" w:hAnsi="Tahoma" w:cs="Tahoma"/>
                <w:color w:val="000000"/>
                <w:sz w:val="20"/>
                <w:szCs w:val="20"/>
              </w:rPr>
              <w:t>3 000 000</w:t>
            </w:r>
          </w:p>
        </w:tc>
        <w:tc>
          <w:tcPr>
            <w:tcW w:w="332" w:type="pct"/>
            <w:tcBorders>
              <w:top w:val="single" w:sz="4" w:space="0" w:color="auto"/>
              <w:left w:val="nil"/>
              <w:bottom w:val="single" w:sz="4" w:space="0" w:color="auto"/>
              <w:right w:val="single" w:sz="4" w:space="0" w:color="auto"/>
            </w:tcBorders>
            <w:shd w:val="clear" w:color="auto" w:fill="auto"/>
            <w:noWrap/>
            <w:tcMar>
              <w:top w:w="0" w:type="dxa"/>
              <w:left w:w="108" w:type="dxa"/>
              <w:bottom w:w="0" w:type="dxa"/>
              <w:right w:w="108" w:type="dxa"/>
            </w:tcMar>
            <w:vAlign w:val="center"/>
          </w:tcPr>
          <w:p w14:paraId="70C53EA2" w14:textId="77777777" w:rsidR="00EA2CBD" w:rsidRPr="007D37E4" w:rsidRDefault="00EA2CBD" w:rsidP="009D1253">
            <w:pPr>
              <w:jc w:val="center"/>
              <w:rPr>
                <w:rFonts w:ascii="Tahoma" w:hAnsi="Tahoma" w:cs="Tahoma"/>
                <w:sz w:val="20"/>
                <w:szCs w:val="20"/>
              </w:rPr>
            </w:pPr>
            <w:r w:rsidRPr="007D37E4">
              <w:rPr>
                <w:rFonts w:ascii="Tahoma" w:hAnsi="Tahoma" w:cs="Tahoma"/>
                <w:sz w:val="20"/>
                <w:szCs w:val="20"/>
              </w:rPr>
              <w:t>13,900</w:t>
            </w:r>
          </w:p>
        </w:tc>
        <w:tc>
          <w:tcPr>
            <w:tcW w:w="313" w:type="pct"/>
            <w:tcBorders>
              <w:top w:val="single" w:sz="4" w:space="0" w:color="auto"/>
              <w:left w:val="nil"/>
              <w:bottom w:val="single" w:sz="4" w:space="0" w:color="auto"/>
              <w:right w:val="single" w:sz="4" w:space="0" w:color="auto"/>
            </w:tcBorders>
            <w:vAlign w:val="center"/>
          </w:tcPr>
          <w:p w14:paraId="5A00CC14" w14:textId="77777777" w:rsidR="00EA2CBD" w:rsidRPr="007D37E4" w:rsidRDefault="00EA2CBD" w:rsidP="009D1253">
            <w:pPr>
              <w:jc w:val="center"/>
              <w:rPr>
                <w:rFonts w:ascii="Tahoma" w:hAnsi="Tahoma" w:cs="Tahoma"/>
                <w:sz w:val="20"/>
                <w:szCs w:val="20"/>
              </w:rPr>
            </w:pPr>
            <w:r w:rsidRPr="007D37E4">
              <w:rPr>
                <w:rFonts w:ascii="Tahoma" w:hAnsi="Tahoma" w:cs="Tahoma"/>
                <w:sz w:val="20"/>
                <w:szCs w:val="20"/>
              </w:rPr>
              <w:t>14,200</w:t>
            </w:r>
          </w:p>
        </w:tc>
        <w:tc>
          <w:tcPr>
            <w:tcW w:w="278" w:type="pct"/>
            <w:tcBorders>
              <w:top w:val="single" w:sz="4" w:space="0" w:color="auto"/>
              <w:left w:val="single" w:sz="4" w:space="0" w:color="auto"/>
              <w:bottom w:val="single" w:sz="4" w:space="0" w:color="auto"/>
              <w:right w:val="single" w:sz="4" w:space="0" w:color="auto"/>
            </w:tcBorders>
            <w:shd w:val="clear" w:color="auto" w:fill="auto"/>
            <w:vAlign w:val="center"/>
          </w:tcPr>
          <w:p w14:paraId="6BA20596" w14:textId="77777777" w:rsidR="00EA2CBD" w:rsidRPr="007D37E4" w:rsidRDefault="00EA2CBD" w:rsidP="009D1253">
            <w:pPr>
              <w:jc w:val="center"/>
              <w:rPr>
                <w:rFonts w:ascii="Tahoma" w:hAnsi="Tahoma" w:cs="Tahoma"/>
                <w:sz w:val="20"/>
                <w:szCs w:val="20"/>
              </w:rPr>
            </w:pPr>
            <w:r w:rsidRPr="007D37E4">
              <w:rPr>
                <w:rFonts w:ascii="Tahoma" w:hAnsi="Tahoma" w:cs="Tahoma"/>
                <w:sz w:val="20"/>
                <w:szCs w:val="20"/>
              </w:rPr>
              <w:t>14,200</w:t>
            </w:r>
          </w:p>
        </w:tc>
        <w:tc>
          <w:tcPr>
            <w:tcW w:w="259" w:type="pct"/>
            <w:tcBorders>
              <w:top w:val="single" w:sz="4" w:space="0" w:color="auto"/>
              <w:left w:val="single" w:sz="4" w:space="0" w:color="auto"/>
              <w:bottom w:val="single" w:sz="4" w:space="0" w:color="auto"/>
              <w:right w:val="single" w:sz="4" w:space="0" w:color="auto"/>
            </w:tcBorders>
            <w:shd w:val="clear" w:color="auto" w:fill="auto"/>
            <w:vAlign w:val="center"/>
          </w:tcPr>
          <w:p w14:paraId="41BD4207" w14:textId="77777777" w:rsidR="00EA2CBD" w:rsidRPr="007D37E4" w:rsidRDefault="00EA2CBD" w:rsidP="009D1253">
            <w:pPr>
              <w:jc w:val="center"/>
              <w:rPr>
                <w:rFonts w:ascii="Tahoma" w:hAnsi="Tahoma" w:cs="Tahoma"/>
                <w:sz w:val="20"/>
                <w:szCs w:val="20"/>
              </w:rPr>
            </w:pPr>
            <w:r w:rsidRPr="007D37E4">
              <w:rPr>
                <w:rFonts w:ascii="Tahoma" w:hAnsi="Tahoma" w:cs="Tahoma"/>
                <w:sz w:val="20"/>
                <w:szCs w:val="20"/>
              </w:rPr>
              <w:t>14,200</w:t>
            </w:r>
          </w:p>
        </w:tc>
        <w:tc>
          <w:tcPr>
            <w:tcW w:w="313" w:type="pct"/>
            <w:tcBorders>
              <w:top w:val="single" w:sz="4" w:space="0" w:color="auto"/>
              <w:left w:val="single" w:sz="4" w:space="0" w:color="auto"/>
              <w:bottom w:val="single" w:sz="4" w:space="0" w:color="auto"/>
              <w:right w:val="single" w:sz="4" w:space="0" w:color="auto"/>
            </w:tcBorders>
            <w:shd w:val="clear" w:color="auto" w:fill="auto"/>
            <w:vAlign w:val="center"/>
          </w:tcPr>
          <w:p w14:paraId="149AEE2C" w14:textId="77777777" w:rsidR="00EA2CBD" w:rsidRPr="007D37E4" w:rsidRDefault="00EA2CBD" w:rsidP="009D1253">
            <w:pPr>
              <w:jc w:val="center"/>
              <w:rPr>
                <w:rFonts w:ascii="Tahoma" w:hAnsi="Tahoma" w:cs="Tahoma"/>
                <w:sz w:val="20"/>
                <w:szCs w:val="20"/>
              </w:rPr>
            </w:pPr>
            <w:r w:rsidRPr="007D37E4">
              <w:rPr>
                <w:rFonts w:ascii="Tahoma" w:hAnsi="Tahoma" w:cs="Tahoma"/>
                <w:sz w:val="20"/>
                <w:szCs w:val="20"/>
              </w:rPr>
              <w:t>13,300</w:t>
            </w:r>
          </w:p>
        </w:tc>
        <w:tc>
          <w:tcPr>
            <w:tcW w:w="313" w:type="pct"/>
            <w:tcBorders>
              <w:top w:val="single" w:sz="4" w:space="0" w:color="auto"/>
              <w:left w:val="single" w:sz="4" w:space="0" w:color="auto"/>
              <w:bottom w:val="single" w:sz="4" w:space="0" w:color="auto"/>
              <w:right w:val="single" w:sz="4" w:space="0" w:color="auto"/>
            </w:tcBorders>
            <w:vAlign w:val="center"/>
          </w:tcPr>
          <w:p w14:paraId="16AFC97B" w14:textId="77777777" w:rsidR="00EA2CBD" w:rsidRPr="007D37E4" w:rsidRDefault="00EA2CBD" w:rsidP="009D1253">
            <w:pPr>
              <w:jc w:val="center"/>
              <w:rPr>
                <w:rFonts w:ascii="Tahoma" w:hAnsi="Tahoma" w:cs="Tahoma"/>
                <w:sz w:val="20"/>
                <w:szCs w:val="20"/>
              </w:rPr>
            </w:pPr>
            <w:r w:rsidRPr="007D37E4">
              <w:rPr>
                <w:rFonts w:ascii="Tahoma" w:hAnsi="Tahoma" w:cs="Tahoma"/>
                <w:sz w:val="20"/>
                <w:szCs w:val="20"/>
              </w:rPr>
              <w:t>13,400</w:t>
            </w:r>
          </w:p>
        </w:tc>
        <w:tc>
          <w:tcPr>
            <w:tcW w:w="313" w:type="pct"/>
            <w:tcBorders>
              <w:top w:val="single" w:sz="4" w:space="0" w:color="auto"/>
              <w:left w:val="single" w:sz="4" w:space="0" w:color="auto"/>
              <w:bottom w:val="single" w:sz="4" w:space="0" w:color="auto"/>
              <w:right w:val="single" w:sz="8" w:space="0" w:color="auto"/>
            </w:tcBorders>
            <w:shd w:val="clear" w:color="auto" w:fill="auto"/>
            <w:vAlign w:val="center"/>
          </w:tcPr>
          <w:p w14:paraId="70D12FB3" w14:textId="77777777" w:rsidR="00EA2CBD" w:rsidRPr="007D37E4" w:rsidRDefault="00EA2CBD" w:rsidP="009D1253">
            <w:pPr>
              <w:jc w:val="center"/>
              <w:rPr>
                <w:rFonts w:ascii="Tahoma" w:hAnsi="Tahoma" w:cs="Tahoma"/>
                <w:sz w:val="20"/>
                <w:szCs w:val="20"/>
              </w:rPr>
            </w:pPr>
            <w:r w:rsidRPr="007D37E4">
              <w:rPr>
                <w:rFonts w:ascii="Tahoma" w:hAnsi="Tahoma" w:cs="Tahoma"/>
                <w:sz w:val="20"/>
                <w:szCs w:val="20"/>
              </w:rPr>
              <w:t>14,000</w:t>
            </w:r>
          </w:p>
        </w:tc>
        <w:tc>
          <w:tcPr>
            <w:tcW w:w="313" w:type="pct"/>
            <w:tcBorders>
              <w:top w:val="single" w:sz="4" w:space="0" w:color="auto"/>
              <w:left w:val="single" w:sz="4" w:space="0" w:color="auto"/>
              <w:bottom w:val="single" w:sz="4" w:space="0" w:color="auto"/>
              <w:right w:val="single" w:sz="8" w:space="0" w:color="auto"/>
            </w:tcBorders>
            <w:vAlign w:val="center"/>
          </w:tcPr>
          <w:p w14:paraId="241FD2D3" w14:textId="77777777" w:rsidR="00EA2CBD" w:rsidRPr="008572C5" w:rsidRDefault="00EA2CBD" w:rsidP="009D1253">
            <w:pPr>
              <w:jc w:val="center"/>
              <w:rPr>
                <w:rFonts w:ascii="Tahoma" w:hAnsi="Tahoma" w:cs="Tahoma"/>
                <w:color w:val="000000"/>
                <w:sz w:val="20"/>
                <w:szCs w:val="20"/>
              </w:rPr>
            </w:pPr>
            <w:r>
              <w:rPr>
                <w:rFonts w:ascii="Tahoma" w:hAnsi="Tahoma" w:cs="Tahoma"/>
                <w:color w:val="000000"/>
                <w:sz w:val="20"/>
                <w:szCs w:val="20"/>
              </w:rPr>
              <w:t>9</w:t>
            </w:r>
            <w:r w:rsidRPr="008572C5">
              <w:rPr>
                <w:rFonts w:ascii="Tahoma" w:hAnsi="Tahoma" w:cs="Tahoma"/>
                <w:color w:val="000000"/>
                <w:sz w:val="20"/>
                <w:szCs w:val="20"/>
              </w:rPr>
              <w:t>,500</w:t>
            </w:r>
          </w:p>
        </w:tc>
        <w:tc>
          <w:tcPr>
            <w:tcW w:w="403" w:type="pct"/>
            <w:tcBorders>
              <w:top w:val="single" w:sz="4" w:space="0" w:color="auto"/>
              <w:left w:val="single" w:sz="4" w:space="0" w:color="auto"/>
              <w:bottom w:val="single" w:sz="4" w:space="0" w:color="auto"/>
              <w:right w:val="single" w:sz="8" w:space="0" w:color="auto"/>
            </w:tcBorders>
            <w:vAlign w:val="center"/>
          </w:tcPr>
          <w:p w14:paraId="73E7B899" w14:textId="77777777" w:rsidR="00EA2CBD" w:rsidRPr="008572C5" w:rsidRDefault="00EA2CBD" w:rsidP="009D1253">
            <w:pPr>
              <w:jc w:val="center"/>
              <w:rPr>
                <w:rFonts w:ascii="Tahoma" w:hAnsi="Tahoma" w:cs="Tahoma"/>
                <w:color w:val="000000"/>
                <w:sz w:val="20"/>
                <w:szCs w:val="20"/>
              </w:rPr>
            </w:pPr>
            <w:r>
              <w:rPr>
                <w:rFonts w:ascii="Tahoma" w:hAnsi="Tahoma" w:cs="Tahoma"/>
                <w:color w:val="000000"/>
                <w:sz w:val="20"/>
                <w:szCs w:val="20"/>
              </w:rPr>
              <w:t>9</w:t>
            </w:r>
            <w:r w:rsidRPr="008572C5">
              <w:rPr>
                <w:rFonts w:ascii="Tahoma" w:hAnsi="Tahoma" w:cs="Tahoma"/>
                <w:color w:val="000000"/>
                <w:sz w:val="20"/>
                <w:szCs w:val="20"/>
              </w:rPr>
              <w:t>,600</w:t>
            </w:r>
          </w:p>
        </w:tc>
      </w:tr>
      <w:tr w:rsidR="00EA2CBD" w:rsidRPr="008572C5" w14:paraId="6DFF40BB" w14:textId="77777777" w:rsidTr="009D1253">
        <w:trPr>
          <w:trHeight w:val="173"/>
        </w:trPr>
        <w:tc>
          <w:tcPr>
            <w:tcW w:w="478" w:type="pct"/>
            <w:vMerge/>
            <w:tcBorders>
              <w:left w:val="single" w:sz="8" w:space="0" w:color="auto"/>
              <w:bottom w:val="single" w:sz="4" w:space="0" w:color="auto"/>
              <w:right w:val="nil"/>
            </w:tcBorders>
            <w:tcMar>
              <w:top w:w="0" w:type="dxa"/>
              <w:left w:w="108" w:type="dxa"/>
              <w:bottom w:w="0" w:type="dxa"/>
              <w:right w:w="108" w:type="dxa"/>
            </w:tcMar>
            <w:vAlign w:val="center"/>
          </w:tcPr>
          <w:p w14:paraId="2716AE63" w14:textId="77777777" w:rsidR="00EA2CBD" w:rsidRPr="008572C5" w:rsidRDefault="00EA2CBD" w:rsidP="009D1253">
            <w:pPr>
              <w:jc w:val="center"/>
              <w:rPr>
                <w:rFonts w:ascii="Tahoma" w:hAnsi="Tahoma" w:cs="Tahoma"/>
                <w:sz w:val="20"/>
                <w:szCs w:val="20"/>
              </w:rPr>
            </w:pPr>
          </w:p>
        </w:tc>
        <w:tc>
          <w:tcPr>
            <w:tcW w:w="801" w:type="pct"/>
            <w:vMerge/>
            <w:tcBorders>
              <w:left w:val="single" w:sz="8" w:space="0" w:color="auto"/>
              <w:bottom w:val="single" w:sz="4" w:space="0" w:color="auto"/>
              <w:right w:val="single" w:sz="8" w:space="0" w:color="auto"/>
            </w:tcBorders>
            <w:shd w:val="clear" w:color="auto" w:fill="FFC000"/>
            <w:tcMar>
              <w:top w:w="0" w:type="dxa"/>
              <w:left w:w="108" w:type="dxa"/>
              <w:bottom w:w="0" w:type="dxa"/>
              <w:right w:w="108" w:type="dxa"/>
            </w:tcMar>
            <w:vAlign w:val="center"/>
          </w:tcPr>
          <w:p w14:paraId="2C2CDD0A" w14:textId="77777777" w:rsidR="00EA2CBD" w:rsidRPr="008572C5" w:rsidRDefault="00EA2CBD" w:rsidP="009D1253">
            <w:pPr>
              <w:jc w:val="center"/>
              <w:rPr>
                <w:rFonts w:ascii="Tahoma" w:hAnsi="Tahoma" w:cs="Tahoma"/>
                <w:color w:val="000000" w:themeColor="text1"/>
                <w:sz w:val="20"/>
                <w:szCs w:val="20"/>
              </w:rPr>
            </w:pPr>
          </w:p>
        </w:tc>
        <w:tc>
          <w:tcPr>
            <w:tcW w:w="394" w:type="pct"/>
            <w:tcBorders>
              <w:top w:val="single" w:sz="4" w:space="0" w:color="auto"/>
              <w:left w:val="nil"/>
              <w:bottom w:val="single" w:sz="4" w:space="0" w:color="auto"/>
              <w:right w:val="single" w:sz="8" w:space="0" w:color="auto"/>
            </w:tcBorders>
            <w:noWrap/>
            <w:tcMar>
              <w:top w:w="0" w:type="dxa"/>
              <w:left w:w="28" w:type="dxa"/>
              <w:bottom w:w="0" w:type="dxa"/>
              <w:right w:w="28" w:type="dxa"/>
            </w:tcMar>
            <w:vAlign w:val="center"/>
          </w:tcPr>
          <w:p w14:paraId="502890A3" w14:textId="77777777" w:rsidR="00EA2CBD" w:rsidRPr="008572C5" w:rsidRDefault="00EA2CBD" w:rsidP="009D1253">
            <w:pPr>
              <w:jc w:val="center"/>
              <w:rPr>
                <w:rFonts w:ascii="Tahoma" w:hAnsi="Tahoma" w:cs="Tahoma"/>
                <w:sz w:val="20"/>
                <w:szCs w:val="20"/>
              </w:rPr>
            </w:pPr>
            <w:r w:rsidRPr="008572C5">
              <w:rPr>
                <w:rFonts w:ascii="Tahoma" w:hAnsi="Tahoma" w:cs="Tahoma"/>
                <w:bCs/>
                <w:iCs/>
                <w:sz w:val="20"/>
                <w:szCs w:val="20"/>
              </w:rPr>
              <w:t>китайский юань</w:t>
            </w:r>
          </w:p>
        </w:tc>
        <w:tc>
          <w:tcPr>
            <w:tcW w:w="490" w:type="pct"/>
            <w:tcBorders>
              <w:top w:val="single" w:sz="4" w:space="0" w:color="auto"/>
              <w:left w:val="nil"/>
              <w:bottom w:val="single" w:sz="4" w:space="0" w:color="auto"/>
              <w:right w:val="single" w:sz="8" w:space="0" w:color="auto"/>
            </w:tcBorders>
            <w:noWrap/>
            <w:tcMar>
              <w:top w:w="0" w:type="dxa"/>
              <w:left w:w="28" w:type="dxa"/>
              <w:bottom w:w="0" w:type="dxa"/>
              <w:right w:w="28" w:type="dxa"/>
            </w:tcMar>
            <w:vAlign w:val="center"/>
          </w:tcPr>
          <w:p w14:paraId="3F41AC69" w14:textId="77777777" w:rsidR="00EA2CBD" w:rsidRPr="008572C5" w:rsidRDefault="00EA2CBD" w:rsidP="009D1253">
            <w:pPr>
              <w:jc w:val="center"/>
              <w:rPr>
                <w:rFonts w:ascii="Tahoma" w:hAnsi="Tahoma" w:cs="Tahoma"/>
                <w:color w:val="000000"/>
                <w:sz w:val="20"/>
                <w:szCs w:val="20"/>
              </w:rPr>
            </w:pPr>
            <w:r>
              <w:rPr>
                <w:rFonts w:ascii="Tahoma" w:hAnsi="Tahoma" w:cs="Tahoma"/>
                <w:color w:val="000000"/>
                <w:sz w:val="20"/>
                <w:szCs w:val="20"/>
              </w:rPr>
              <w:t>700</w:t>
            </w:r>
          </w:p>
        </w:tc>
        <w:tc>
          <w:tcPr>
            <w:tcW w:w="332" w:type="pct"/>
            <w:tcBorders>
              <w:top w:val="single" w:sz="4" w:space="0" w:color="auto"/>
              <w:left w:val="nil"/>
              <w:bottom w:val="single" w:sz="4" w:space="0" w:color="auto"/>
              <w:right w:val="single" w:sz="4" w:space="0" w:color="auto"/>
            </w:tcBorders>
            <w:shd w:val="clear" w:color="auto" w:fill="auto"/>
            <w:noWrap/>
            <w:tcMar>
              <w:top w:w="0" w:type="dxa"/>
              <w:left w:w="108" w:type="dxa"/>
              <w:bottom w:w="0" w:type="dxa"/>
              <w:right w:w="108" w:type="dxa"/>
            </w:tcMar>
            <w:vAlign w:val="center"/>
          </w:tcPr>
          <w:p w14:paraId="558000E6" w14:textId="77777777" w:rsidR="00EA2CBD" w:rsidRPr="008572C5" w:rsidRDefault="00EA2CBD" w:rsidP="009D1253">
            <w:pPr>
              <w:jc w:val="center"/>
              <w:rPr>
                <w:rFonts w:ascii="Tahoma" w:hAnsi="Tahoma" w:cs="Tahoma"/>
                <w:color w:val="000000"/>
                <w:sz w:val="20"/>
                <w:szCs w:val="20"/>
              </w:rPr>
            </w:pPr>
            <w:r>
              <w:rPr>
                <w:rFonts w:ascii="Tahoma" w:hAnsi="Tahoma" w:cs="Tahoma"/>
                <w:color w:val="000000"/>
                <w:sz w:val="20"/>
                <w:szCs w:val="20"/>
              </w:rPr>
              <w:t>-</w:t>
            </w:r>
          </w:p>
        </w:tc>
        <w:tc>
          <w:tcPr>
            <w:tcW w:w="313" w:type="pct"/>
            <w:tcBorders>
              <w:top w:val="single" w:sz="4" w:space="0" w:color="auto"/>
              <w:left w:val="nil"/>
              <w:bottom w:val="single" w:sz="4" w:space="0" w:color="auto"/>
              <w:right w:val="single" w:sz="4" w:space="0" w:color="auto"/>
            </w:tcBorders>
            <w:vAlign w:val="center"/>
          </w:tcPr>
          <w:p w14:paraId="2AAF5FB5" w14:textId="77777777" w:rsidR="00EA2CBD" w:rsidRPr="008572C5" w:rsidRDefault="00EA2CBD" w:rsidP="009D1253">
            <w:pPr>
              <w:jc w:val="center"/>
              <w:rPr>
                <w:rFonts w:ascii="Tahoma" w:hAnsi="Tahoma" w:cs="Tahoma"/>
                <w:color w:val="000000"/>
                <w:sz w:val="20"/>
                <w:szCs w:val="20"/>
              </w:rPr>
            </w:pPr>
            <w:r>
              <w:rPr>
                <w:rFonts w:ascii="Tahoma" w:hAnsi="Tahoma" w:cs="Tahoma"/>
                <w:color w:val="000000"/>
                <w:sz w:val="20"/>
                <w:szCs w:val="20"/>
              </w:rPr>
              <w:t>3,500</w:t>
            </w:r>
          </w:p>
        </w:tc>
        <w:tc>
          <w:tcPr>
            <w:tcW w:w="278" w:type="pct"/>
            <w:tcBorders>
              <w:top w:val="single" w:sz="4" w:space="0" w:color="auto"/>
              <w:left w:val="single" w:sz="4" w:space="0" w:color="auto"/>
              <w:bottom w:val="single" w:sz="4" w:space="0" w:color="auto"/>
              <w:right w:val="single" w:sz="4" w:space="0" w:color="auto"/>
            </w:tcBorders>
            <w:shd w:val="clear" w:color="auto" w:fill="auto"/>
            <w:vAlign w:val="center"/>
          </w:tcPr>
          <w:p w14:paraId="24F768AA" w14:textId="77777777" w:rsidR="00EA2CBD" w:rsidRPr="008572C5" w:rsidRDefault="00EA2CBD" w:rsidP="009D1253">
            <w:pPr>
              <w:jc w:val="center"/>
              <w:rPr>
                <w:rFonts w:ascii="Tahoma" w:hAnsi="Tahoma" w:cs="Tahoma"/>
                <w:color w:val="000000"/>
                <w:sz w:val="20"/>
                <w:szCs w:val="20"/>
              </w:rPr>
            </w:pPr>
            <w:r w:rsidRPr="008572C5">
              <w:rPr>
                <w:rFonts w:ascii="Tahoma" w:hAnsi="Tahoma" w:cs="Tahoma"/>
                <w:color w:val="000000"/>
                <w:sz w:val="20"/>
                <w:szCs w:val="20"/>
              </w:rPr>
              <w:t>-</w:t>
            </w:r>
          </w:p>
        </w:tc>
        <w:tc>
          <w:tcPr>
            <w:tcW w:w="259" w:type="pct"/>
            <w:tcBorders>
              <w:top w:val="single" w:sz="4" w:space="0" w:color="auto"/>
              <w:left w:val="single" w:sz="4" w:space="0" w:color="auto"/>
              <w:bottom w:val="single" w:sz="4" w:space="0" w:color="auto"/>
              <w:right w:val="single" w:sz="4" w:space="0" w:color="auto"/>
            </w:tcBorders>
            <w:shd w:val="clear" w:color="auto" w:fill="auto"/>
            <w:vAlign w:val="center"/>
          </w:tcPr>
          <w:p w14:paraId="4277074B" w14:textId="77777777" w:rsidR="00EA2CBD" w:rsidRPr="008572C5" w:rsidRDefault="00EA2CBD" w:rsidP="009D1253">
            <w:pPr>
              <w:jc w:val="center"/>
              <w:rPr>
                <w:rFonts w:ascii="Tahoma" w:hAnsi="Tahoma" w:cs="Tahoma"/>
                <w:color w:val="000000"/>
                <w:sz w:val="20"/>
                <w:szCs w:val="20"/>
              </w:rPr>
            </w:pPr>
            <w:r>
              <w:rPr>
                <w:rFonts w:ascii="Tahoma" w:hAnsi="Tahoma" w:cs="Tahoma"/>
                <w:color w:val="000000"/>
                <w:sz w:val="20"/>
                <w:szCs w:val="20"/>
              </w:rPr>
              <w:t>4,500</w:t>
            </w:r>
          </w:p>
        </w:tc>
        <w:tc>
          <w:tcPr>
            <w:tcW w:w="313" w:type="pct"/>
            <w:tcBorders>
              <w:top w:val="single" w:sz="4" w:space="0" w:color="auto"/>
              <w:left w:val="single" w:sz="4" w:space="0" w:color="auto"/>
              <w:bottom w:val="single" w:sz="4" w:space="0" w:color="auto"/>
              <w:right w:val="single" w:sz="4" w:space="0" w:color="auto"/>
            </w:tcBorders>
            <w:shd w:val="clear" w:color="auto" w:fill="auto"/>
            <w:vAlign w:val="center"/>
          </w:tcPr>
          <w:p w14:paraId="6B5F914D" w14:textId="77777777" w:rsidR="00EA2CBD" w:rsidRPr="008572C5" w:rsidRDefault="00EA2CBD" w:rsidP="009D1253">
            <w:pPr>
              <w:jc w:val="center"/>
              <w:rPr>
                <w:rFonts w:ascii="Tahoma" w:hAnsi="Tahoma" w:cs="Tahoma"/>
                <w:color w:val="000000"/>
                <w:sz w:val="20"/>
                <w:szCs w:val="20"/>
              </w:rPr>
            </w:pPr>
            <w:r w:rsidRPr="008572C5">
              <w:rPr>
                <w:rFonts w:ascii="Tahoma" w:hAnsi="Tahoma" w:cs="Tahoma"/>
                <w:color w:val="000000"/>
                <w:sz w:val="20"/>
                <w:szCs w:val="20"/>
              </w:rPr>
              <w:t>-</w:t>
            </w:r>
          </w:p>
        </w:tc>
        <w:tc>
          <w:tcPr>
            <w:tcW w:w="313" w:type="pct"/>
            <w:tcBorders>
              <w:top w:val="single" w:sz="4" w:space="0" w:color="auto"/>
              <w:left w:val="single" w:sz="4" w:space="0" w:color="auto"/>
              <w:bottom w:val="single" w:sz="4" w:space="0" w:color="auto"/>
              <w:right w:val="single" w:sz="4" w:space="0" w:color="auto"/>
            </w:tcBorders>
            <w:vAlign w:val="center"/>
          </w:tcPr>
          <w:p w14:paraId="4C5614A2" w14:textId="77777777" w:rsidR="00EA2CBD" w:rsidRPr="008572C5" w:rsidRDefault="00EA2CBD" w:rsidP="009D1253">
            <w:pPr>
              <w:jc w:val="center"/>
              <w:rPr>
                <w:rFonts w:ascii="Tahoma" w:hAnsi="Tahoma" w:cs="Tahoma"/>
                <w:sz w:val="20"/>
                <w:szCs w:val="20"/>
              </w:rPr>
            </w:pPr>
            <w:r w:rsidRPr="008572C5">
              <w:rPr>
                <w:rFonts w:ascii="Tahoma" w:hAnsi="Tahoma" w:cs="Tahoma"/>
                <w:sz w:val="20"/>
                <w:szCs w:val="20"/>
              </w:rPr>
              <w:t>-</w:t>
            </w:r>
          </w:p>
        </w:tc>
        <w:tc>
          <w:tcPr>
            <w:tcW w:w="313" w:type="pct"/>
            <w:tcBorders>
              <w:top w:val="single" w:sz="4" w:space="0" w:color="auto"/>
              <w:left w:val="single" w:sz="4" w:space="0" w:color="auto"/>
              <w:bottom w:val="single" w:sz="4" w:space="0" w:color="auto"/>
              <w:right w:val="single" w:sz="8" w:space="0" w:color="auto"/>
            </w:tcBorders>
            <w:shd w:val="clear" w:color="auto" w:fill="auto"/>
            <w:vAlign w:val="center"/>
          </w:tcPr>
          <w:p w14:paraId="1D6266CA" w14:textId="77777777" w:rsidR="00EA2CBD" w:rsidRPr="008572C5" w:rsidRDefault="00EA2CBD" w:rsidP="009D1253">
            <w:pPr>
              <w:jc w:val="center"/>
              <w:rPr>
                <w:rFonts w:ascii="Tahoma" w:hAnsi="Tahoma" w:cs="Tahoma"/>
                <w:color w:val="000000" w:themeColor="text1"/>
                <w:sz w:val="20"/>
                <w:szCs w:val="20"/>
              </w:rPr>
            </w:pPr>
            <w:r>
              <w:rPr>
                <w:rFonts w:ascii="Tahoma" w:hAnsi="Tahoma" w:cs="Tahoma"/>
                <w:color w:val="000000" w:themeColor="text1"/>
                <w:sz w:val="20"/>
                <w:szCs w:val="20"/>
              </w:rPr>
              <w:t>-</w:t>
            </w:r>
          </w:p>
        </w:tc>
        <w:tc>
          <w:tcPr>
            <w:tcW w:w="313" w:type="pct"/>
            <w:tcBorders>
              <w:top w:val="single" w:sz="4" w:space="0" w:color="auto"/>
              <w:left w:val="single" w:sz="4" w:space="0" w:color="auto"/>
              <w:bottom w:val="single" w:sz="4" w:space="0" w:color="auto"/>
              <w:right w:val="single" w:sz="8" w:space="0" w:color="auto"/>
            </w:tcBorders>
            <w:vAlign w:val="center"/>
          </w:tcPr>
          <w:p w14:paraId="630E285A" w14:textId="77777777" w:rsidR="00EA2CBD" w:rsidRPr="008572C5" w:rsidRDefault="00EA2CBD" w:rsidP="009D1253">
            <w:pPr>
              <w:jc w:val="center"/>
              <w:rPr>
                <w:rFonts w:ascii="Tahoma" w:hAnsi="Tahoma" w:cs="Tahoma"/>
                <w:color w:val="000000"/>
                <w:sz w:val="20"/>
                <w:szCs w:val="20"/>
              </w:rPr>
            </w:pPr>
            <w:r>
              <w:rPr>
                <w:rFonts w:ascii="Tahoma" w:hAnsi="Tahoma" w:cs="Tahoma"/>
                <w:color w:val="000000"/>
                <w:sz w:val="20"/>
                <w:szCs w:val="20"/>
              </w:rPr>
              <w:t>-</w:t>
            </w:r>
          </w:p>
        </w:tc>
        <w:tc>
          <w:tcPr>
            <w:tcW w:w="403" w:type="pct"/>
            <w:tcBorders>
              <w:top w:val="single" w:sz="4" w:space="0" w:color="auto"/>
              <w:left w:val="single" w:sz="4" w:space="0" w:color="auto"/>
              <w:bottom w:val="single" w:sz="4" w:space="0" w:color="auto"/>
              <w:right w:val="single" w:sz="8" w:space="0" w:color="auto"/>
            </w:tcBorders>
            <w:vAlign w:val="center"/>
          </w:tcPr>
          <w:p w14:paraId="312EDDC9" w14:textId="77777777" w:rsidR="00EA2CBD" w:rsidRPr="008572C5" w:rsidRDefault="00EA2CBD" w:rsidP="009D1253">
            <w:pPr>
              <w:jc w:val="center"/>
              <w:rPr>
                <w:rFonts w:ascii="Tahoma" w:hAnsi="Tahoma" w:cs="Tahoma"/>
                <w:color w:val="000000"/>
                <w:sz w:val="20"/>
                <w:szCs w:val="20"/>
              </w:rPr>
            </w:pPr>
            <w:r>
              <w:rPr>
                <w:rFonts w:ascii="Tahoma" w:hAnsi="Tahoma" w:cs="Tahoma"/>
                <w:color w:val="000000"/>
                <w:sz w:val="20"/>
                <w:szCs w:val="20"/>
              </w:rPr>
              <w:t>-</w:t>
            </w:r>
          </w:p>
        </w:tc>
      </w:tr>
    </w:tbl>
    <w:p w14:paraId="74634888" w14:textId="77777777" w:rsidR="00EA2CBD" w:rsidRPr="008572C5" w:rsidRDefault="00EA2CBD" w:rsidP="00EA2CBD">
      <w:pPr>
        <w:tabs>
          <w:tab w:val="left" w:pos="284"/>
        </w:tabs>
        <w:rPr>
          <w:rFonts w:ascii="Tahoma" w:hAnsi="Tahoma" w:cs="Tahoma"/>
          <w:sz w:val="18"/>
          <w:szCs w:val="18"/>
        </w:rPr>
      </w:pPr>
      <w:r w:rsidRPr="008572C5">
        <w:rPr>
          <w:rFonts w:ascii="Tahoma" w:hAnsi="Tahoma" w:cs="Tahoma"/>
          <w:sz w:val="18"/>
          <w:szCs w:val="18"/>
        </w:rPr>
        <w:t xml:space="preserve">* </w:t>
      </w:r>
      <w:r w:rsidRPr="008572C5">
        <w:rPr>
          <w:rFonts w:ascii="Tahoma" w:hAnsi="Tahoma" w:cs="Tahoma"/>
          <w:color w:val="000000" w:themeColor="text1"/>
          <w:sz w:val="18"/>
          <w:szCs w:val="18"/>
        </w:rPr>
        <w:t xml:space="preserve">Соответствует значению минимальной гарантированной ставки (годовых) с учетом округления, определяющему минимальный доход, выплачиваемый </w:t>
      </w:r>
      <w:r>
        <w:rPr>
          <w:rFonts w:ascii="Tahoma" w:hAnsi="Tahoma" w:cs="Tahoma"/>
          <w:color w:val="000000" w:themeColor="text1"/>
          <w:sz w:val="18"/>
          <w:szCs w:val="18"/>
        </w:rPr>
        <w:t>В</w:t>
      </w:r>
      <w:r w:rsidRPr="008572C5">
        <w:rPr>
          <w:rFonts w:ascii="Tahoma" w:hAnsi="Tahoma" w:cs="Tahoma"/>
          <w:color w:val="000000" w:themeColor="text1"/>
          <w:sz w:val="18"/>
          <w:szCs w:val="18"/>
        </w:rPr>
        <w:t xml:space="preserve">кладчику на сумму </w:t>
      </w:r>
      <w:r>
        <w:rPr>
          <w:rFonts w:ascii="Tahoma" w:hAnsi="Tahoma" w:cs="Tahoma"/>
          <w:color w:val="000000" w:themeColor="text1"/>
          <w:sz w:val="18"/>
          <w:szCs w:val="18"/>
        </w:rPr>
        <w:t>В</w:t>
      </w:r>
      <w:r w:rsidRPr="008572C5">
        <w:rPr>
          <w:rFonts w:ascii="Tahoma" w:hAnsi="Tahoma" w:cs="Tahoma"/>
          <w:color w:val="000000" w:themeColor="text1"/>
          <w:sz w:val="18"/>
          <w:szCs w:val="18"/>
        </w:rPr>
        <w:t xml:space="preserve">клада при условии хранения суммы </w:t>
      </w:r>
      <w:r>
        <w:rPr>
          <w:rFonts w:ascii="Tahoma" w:hAnsi="Tahoma" w:cs="Tahoma"/>
          <w:color w:val="000000" w:themeColor="text1"/>
          <w:sz w:val="18"/>
          <w:szCs w:val="18"/>
        </w:rPr>
        <w:t>В</w:t>
      </w:r>
      <w:r w:rsidRPr="008572C5">
        <w:rPr>
          <w:rFonts w:ascii="Tahoma" w:hAnsi="Tahoma" w:cs="Tahoma"/>
          <w:color w:val="000000" w:themeColor="text1"/>
          <w:sz w:val="18"/>
          <w:szCs w:val="18"/>
        </w:rPr>
        <w:t xml:space="preserve">клада до конца срока </w:t>
      </w:r>
      <w:r>
        <w:rPr>
          <w:rFonts w:ascii="Tahoma" w:hAnsi="Tahoma" w:cs="Tahoma"/>
          <w:color w:val="000000" w:themeColor="text1"/>
          <w:sz w:val="18"/>
          <w:szCs w:val="18"/>
        </w:rPr>
        <w:t>В</w:t>
      </w:r>
      <w:r w:rsidRPr="008572C5">
        <w:rPr>
          <w:rFonts w:ascii="Tahoma" w:hAnsi="Tahoma" w:cs="Tahoma"/>
          <w:color w:val="000000" w:themeColor="text1"/>
          <w:sz w:val="18"/>
          <w:szCs w:val="18"/>
        </w:rPr>
        <w:t xml:space="preserve">клада без учета каких-либо других условий. Порядок расчета минимальной гарантированной ставки по </w:t>
      </w:r>
      <w:r>
        <w:rPr>
          <w:rFonts w:ascii="Tahoma" w:hAnsi="Tahoma" w:cs="Tahoma"/>
          <w:color w:val="000000" w:themeColor="text1"/>
          <w:sz w:val="18"/>
          <w:szCs w:val="18"/>
        </w:rPr>
        <w:t>В</w:t>
      </w:r>
      <w:r w:rsidRPr="008572C5">
        <w:rPr>
          <w:rFonts w:ascii="Tahoma" w:hAnsi="Tahoma" w:cs="Tahoma"/>
          <w:color w:val="000000" w:themeColor="text1"/>
          <w:sz w:val="18"/>
          <w:szCs w:val="18"/>
        </w:rPr>
        <w:t>кладу определяется Банком России.</w:t>
      </w:r>
    </w:p>
    <w:p w14:paraId="1FE27A53" w14:textId="77777777" w:rsidR="00EA2CBD" w:rsidRPr="008572C5" w:rsidRDefault="00EA2CBD" w:rsidP="00EA2CBD">
      <w:pPr>
        <w:tabs>
          <w:tab w:val="left" w:pos="284"/>
        </w:tabs>
        <w:rPr>
          <w:rFonts w:ascii="Tahoma" w:hAnsi="Tahoma" w:cs="Tahoma"/>
          <w:b/>
          <w:bCs/>
          <w:iCs/>
          <w:sz w:val="22"/>
          <w:szCs w:val="22"/>
        </w:rPr>
      </w:pPr>
    </w:p>
    <w:p w14:paraId="4E7B91CD" w14:textId="77777777" w:rsidR="00EA2CBD" w:rsidRPr="008572C5" w:rsidRDefault="00EA2CBD" w:rsidP="000B3718">
      <w:pPr>
        <w:pStyle w:val="a5"/>
      </w:pPr>
      <w:r w:rsidRPr="008572C5">
        <w:rPr>
          <w:color w:val="E36C0A" w:themeColor="accent6" w:themeShade="BF"/>
        </w:rPr>
        <w:t>3.7.</w:t>
      </w:r>
      <w:r w:rsidRPr="008572C5">
        <w:rPr>
          <w:color w:val="E36C0A" w:themeColor="accent6" w:themeShade="BF"/>
        </w:rPr>
        <w:tab/>
        <w:t xml:space="preserve"> </w:t>
      </w:r>
      <w:r w:rsidRPr="008572C5">
        <w:t>Вклад «</w:t>
      </w:r>
      <w:r>
        <w:t>В плюсе</w:t>
      </w:r>
      <w:r w:rsidRPr="008572C5">
        <w:t>»</w:t>
      </w:r>
      <w:r>
        <w:t>, «В плюсе Онлайн»</w:t>
      </w:r>
    </w:p>
    <w:p w14:paraId="75954288" w14:textId="77777777" w:rsidR="00EA2CBD" w:rsidRPr="008572C5" w:rsidRDefault="00EA2CBD" w:rsidP="00EA2CBD">
      <w:pPr>
        <w:tabs>
          <w:tab w:val="left" w:pos="851"/>
        </w:tabs>
        <w:ind w:firstLine="426"/>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Условия:</w:t>
      </w:r>
    </w:p>
    <w:p w14:paraId="7A264C2C" w14:textId="77777777" w:rsidR="00EA2CBD" w:rsidRPr="008572C5" w:rsidRDefault="00EA2CBD" w:rsidP="00EA2CBD">
      <w:pPr>
        <w:numPr>
          <w:ilvl w:val="0"/>
          <w:numId w:val="72"/>
        </w:numPr>
        <w:contextualSpacing/>
        <w:jc w:val="both"/>
        <w:rPr>
          <w:rFonts w:ascii="Tahoma" w:hAnsi="Tahoma" w:cs="Tahoma"/>
          <w:sz w:val="22"/>
          <w:szCs w:val="22"/>
        </w:rPr>
      </w:pPr>
      <w:r w:rsidRPr="008572C5">
        <w:rPr>
          <w:rFonts w:ascii="Tahoma" w:eastAsia="Calibri" w:hAnsi="Tahoma" w:cs="Tahoma"/>
          <w:bCs/>
          <w:sz w:val="22"/>
          <w:szCs w:val="22"/>
          <w:lang w:eastAsia="en-US"/>
        </w:rPr>
        <w:t>Валюта - рубли</w:t>
      </w:r>
      <w:r w:rsidRPr="008572C5">
        <w:rPr>
          <w:rFonts w:ascii="Tahoma" w:hAnsi="Tahoma" w:cs="Tahoma"/>
          <w:bCs/>
          <w:sz w:val="22"/>
          <w:szCs w:val="22"/>
        </w:rPr>
        <w:t xml:space="preserve"> Российской Федерации (далее – рубли)</w:t>
      </w:r>
      <w:r w:rsidRPr="008572C5">
        <w:rPr>
          <w:rFonts w:ascii="Tahoma" w:hAnsi="Tahoma" w:cs="Tahoma"/>
          <w:sz w:val="22"/>
          <w:szCs w:val="22"/>
        </w:rPr>
        <w:t>;</w:t>
      </w:r>
    </w:p>
    <w:p w14:paraId="2A451C10" w14:textId="77777777" w:rsidR="00EA2CBD" w:rsidRPr="008572C5" w:rsidRDefault="00EA2CBD" w:rsidP="00EA2CBD">
      <w:pPr>
        <w:numPr>
          <w:ilvl w:val="0"/>
          <w:numId w:val="72"/>
        </w:numPr>
        <w:contextualSpacing/>
        <w:jc w:val="both"/>
        <w:rPr>
          <w:rFonts w:ascii="Tahoma" w:hAnsi="Tahoma" w:cs="Tahoma"/>
          <w:sz w:val="22"/>
          <w:szCs w:val="22"/>
        </w:rPr>
      </w:pPr>
      <w:r w:rsidRPr="008572C5">
        <w:rPr>
          <w:rFonts w:ascii="Tahoma" w:hAnsi="Tahoma" w:cs="Tahoma"/>
          <w:sz w:val="22"/>
          <w:szCs w:val="22"/>
        </w:rPr>
        <w:t>Минимальная сумма открытия Вклада – 50 000 рублей;</w:t>
      </w:r>
    </w:p>
    <w:p w14:paraId="385250D4" w14:textId="77777777" w:rsidR="00EA2CBD" w:rsidRPr="008572C5" w:rsidRDefault="00EA2CBD" w:rsidP="00EA2CBD">
      <w:pPr>
        <w:numPr>
          <w:ilvl w:val="0"/>
          <w:numId w:val="72"/>
        </w:numPr>
        <w:contextualSpacing/>
        <w:jc w:val="both"/>
        <w:rPr>
          <w:rFonts w:ascii="Tahoma" w:hAnsi="Tahoma" w:cs="Tahoma"/>
          <w:sz w:val="22"/>
          <w:szCs w:val="22"/>
        </w:rPr>
      </w:pPr>
      <w:r w:rsidRPr="008572C5">
        <w:rPr>
          <w:rFonts w:ascii="Tahoma" w:hAnsi="Tahoma" w:cs="Tahoma"/>
          <w:sz w:val="22"/>
          <w:szCs w:val="22"/>
        </w:rPr>
        <w:t>Максимальная сумма Вклада – не ограничена;</w:t>
      </w:r>
    </w:p>
    <w:p w14:paraId="48F3A5A3" w14:textId="77777777" w:rsidR="00EA2CBD" w:rsidRPr="008572C5" w:rsidRDefault="00EA2CBD" w:rsidP="00EA2CBD">
      <w:pPr>
        <w:numPr>
          <w:ilvl w:val="0"/>
          <w:numId w:val="72"/>
        </w:numPr>
        <w:contextualSpacing/>
        <w:jc w:val="both"/>
        <w:rPr>
          <w:rFonts w:ascii="Tahoma" w:hAnsi="Tahoma" w:cs="Tahoma"/>
          <w:sz w:val="22"/>
          <w:szCs w:val="22"/>
        </w:rPr>
      </w:pPr>
      <w:r w:rsidRPr="008572C5">
        <w:rPr>
          <w:rFonts w:ascii="Tahoma" w:hAnsi="Tahoma" w:cs="Tahoma"/>
          <w:sz w:val="22"/>
          <w:szCs w:val="22"/>
        </w:rPr>
        <w:t xml:space="preserve">Срок </w:t>
      </w:r>
      <w:r>
        <w:rPr>
          <w:rFonts w:ascii="Tahoma" w:hAnsi="Tahoma" w:cs="Tahoma"/>
          <w:sz w:val="22"/>
          <w:szCs w:val="22"/>
        </w:rPr>
        <w:t>В</w:t>
      </w:r>
      <w:r w:rsidRPr="008572C5">
        <w:rPr>
          <w:rFonts w:ascii="Tahoma" w:hAnsi="Tahoma" w:cs="Tahoma"/>
          <w:sz w:val="22"/>
          <w:szCs w:val="22"/>
        </w:rPr>
        <w:t>клада – 182 дня/</w:t>
      </w:r>
      <w:r>
        <w:rPr>
          <w:rFonts w:ascii="Tahoma" w:hAnsi="Tahoma" w:cs="Tahoma"/>
          <w:sz w:val="22"/>
          <w:szCs w:val="22"/>
        </w:rPr>
        <w:t xml:space="preserve"> 273 дня/</w:t>
      </w:r>
      <w:r w:rsidRPr="008572C5">
        <w:rPr>
          <w:rFonts w:ascii="Tahoma" w:hAnsi="Tahoma" w:cs="Tahoma"/>
          <w:sz w:val="22"/>
          <w:szCs w:val="22"/>
        </w:rPr>
        <w:t xml:space="preserve"> 367 дней;</w:t>
      </w:r>
    </w:p>
    <w:p w14:paraId="46264923" w14:textId="77777777" w:rsidR="00EA2CBD" w:rsidRPr="008572C5" w:rsidRDefault="00EA2CBD" w:rsidP="00EA2CBD">
      <w:pPr>
        <w:numPr>
          <w:ilvl w:val="0"/>
          <w:numId w:val="72"/>
        </w:numPr>
        <w:contextualSpacing/>
        <w:jc w:val="both"/>
        <w:rPr>
          <w:rFonts w:ascii="Tahoma" w:hAnsi="Tahoma" w:cs="Tahoma"/>
          <w:sz w:val="22"/>
          <w:szCs w:val="22"/>
        </w:rPr>
      </w:pPr>
      <w:r w:rsidRPr="008572C5">
        <w:rPr>
          <w:rFonts w:ascii="Tahoma" w:hAnsi="Tahoma" w:cs="Tahoma"/>
          <w:sz w:val="22"/>
          <w:szCs w:val="22"/>
        </w:rPr>
        <w:t>Вклад пополняемый, пополнение возможно в первые 90 дней с даты открытия Вклада;</w:t>
      </w:r>
    </w:p>
    <w:p w14:paraId="45D0A545" w14:textId="77777777" w:rsidR="00EA2CBD" w:rsidRPr="008572C5" w:rsidRDefault="00EA2CBD" w:rsidP="00EA2CBD">
      <w:pPr>
        <w:numPr>
          <w:ilvl w:val="0"/>
          <w:numId w:val="72"/>
        </w:numPr>
        <w:contextualSpacing/>
        <w:jc w:val="both"/>
        <w:rPr>
          <w:rFonts w:ascii="Tahoma" w:hAnsi="Tahoma" w:cs="Tahoma"/>
          <w:sz w:val="22"/>
          <w:szCs w:val="22"/>
        </w:rPr>
      </w:pPr>
      <w:r w:rsidRPr="008572C5">
        <w:rPr>
          <w:rFonts w:ascii="Tahoma" w:hAnsi="Tahoma" w:cs="Tahoma"/>
          <w:sz w:val="22"/>
          <w:szCs w:val="22"/>
        </w:rPr>
        <w:t>Не пролонгируемый;</w:t>
      </w:r>
    </w:p>
    <w:p w14:paraId="706134EF" w14:textId="77777777" w:rsidR="00EA2CBD" w:rsidRPr="008572C5" w:rsidRDefault="00EA2CBD" w:rsidP="00EA2CBD">
      <w:pPr>
        <w:numPr>
          <w:ilvl w:val="0"/>
          <w:numId w:val="72"/>
        </w:numPr>
        <w:contextualSpacing/>
        <w:jc w:val="both"/>
        <w:rPr>
          <w:rFonts w:ascii="Tahoma" w:hAnsi="Tahoma" w:cs="Tahoma"/>
          <w:sz w:val="22"/>
          <w:szCs w:val="22"/>
        </w:rPr>
      </w:pPr>
      <w:r w:rsidRPr="008572C5">
        <w:rPr>
          <w:rFonts w:ascii="Tahoma" w:hAnsi="Tahoma" w:cs="Tahoma"/>
          <w:sz w:val="22"/>
          <w:szCs w:val="22"/>
        </w:rPr>
        <w:t>Выплата процентов и суммы Вклада – в конце срока на счет, открытый в Банке;</w:t>
      </w:r>
    </w:p>
    <w:p w14:paraId="5C38B21A" w14:textId="77777777" w:rsidR="00EA2CBD" w:rsidRPr="008572C5" w:rsidRDefault="00EA2CBD" w:rsidP="00EA2CBD">
      <w:pPr>
        <w:numPr>
          <w:ilvl w:val="0"/>
          <w:numId w:val="72"/>
        </w:numPr>
        <w:contextualSpacing/>
        <w:jc w:val="both"/>
        <w:rPr>
          <w:rFonts w:ascii="Tahoma" w:hAnsi="Tahoma" w:cs="Tahoma"/>
          <w:sz w:val="22"/>
          <w:szCs w:val="22"/>
        </w:rPr>
      </w:pPr>
      <w:r w:rsidRPr="008572C5">
        <w:rPr>
          <w:rFonts w:ascii="Tahoma" w:hAnsi="Tahoma" w:cs="Tahoma"/>
          <w:sz w:val="22"/>
          <w:szCs w:val="22"/>
        </w:rPr>
        <w:t>Расходные операции по Вкладу – не предусмотрены;</w:t>
      </w:r>
    </w:p>
    <w:p w14:paraId="06158443" w14:textId="77777777" w:rsidR="00EA2CBD" w:rsidRPr="008572C5" w:rsidRDefault="00EA2CBD" w:rsidP="00EA2CBD">
      <w:pPr>
        <w:numPr>
          <w:ilvl w:val="0"/>
          <w:numId w:val="72"/>
        </w:numPr>
        <w:jc w:val="both"/>
        <w:rPr>
          <w:rFonts w:ascii="Tahoma" w:hAnsi="Tahoma" w:cs="Tahoma"/>
          <w:bCs/>
          <w:sz w:val="22"/>
          <w:szCs w:val="22"/>
        </w:rPr>
      </w:pPr>
      <w:r w:rsidRPr="003825F9">
        <w:rPr>
          <w:rFonts w:ascii="Tahoma" w:hAnsi="Tahoma" w:cs="Tahoma"/>
          <w:sz w:val="22"/>
          <w:szCs w:val="22"/>
        </w:rPr>
        <w:t>В случае досрочного возвращения Вклада в течение срока хранения Вклада по требованию Вкладчика проценты по Вкладу начисляются Вкладчику по ставке 0,01% годовых за весь срок хранения Вклада, начиная со дня, следующего за днем поступления денежных средств (Вклада) в Банк, и выплачиваются в день востребования суммы Вклада</w:t>
      </w:r>
      <w:r w:rsidRPr="008572C5">
        <w:rPr>
          <w:rFonts w:ascii="Tahoma" w:hAnsi="Tahoma" w:cs="Tahoma"/>
          <w:sz w:val="22"/>
          <w:szCs w:val="22"/>
        </w:rPr>
        <w:t>.</w:t>
      </w:r>
    </w:p>
    <w:tbl>
      <w:tblPr>
        <w:tblW w:w="5021" w:type="pct"/>
        <w:tblLayout w:type="fixed"/>
        <w:tblLook w:val="04A0" w:firstRow="1" w:lastRow="0" w:firstColumn="1" w:lastColumn="0" w:noHBand="0" w:noVBand="1"/>
      </w:tblPr>
      <w:tblGrid>
        <w:gridCol w:w="2169"/>
        <w:gridCol w:w="1649"/>
        <w:gridCol w:w="1133"/>
        <w:gridCol w:w="1701"/>
        <w:gridCol w:w="3687"/>
        <w:gridCol w:w="1983"/>
        <w:gridCol w:w="1224"/>
        <w:gridCol w:w="1640"/>
      </w:tblGrid>
      <w:tr w:rsidR="00EA2CBD" w:rsidRPr="008572C5" w14:paraId="4A483E4E" w14:textId="77777777" w:rsidTr="009D1253">
        <w:trPr>
          <w:trHeight w:val="458"/>
        </w:trPr>
        <w:tc>
          <w:tcPr>
            <w:tcW w:w="714" w:type="pct"/>
            <w:vMerge w:val="restart"/>
            <w:tcBorders>
              <w:top w:val="single" w:sz="8" w:space="0" w:color="auto"/>
              <w:left w:val="single" w:sz="8" w:space="0" w:color="auto"/>
              <w:bottom w:val="single" w:sz="8" w:space="0" w:color="000000"/>
              <w:right w:val="nil"/>
            </w:tcBorders>
            <w:shd w:val="clear" w:color="auto" w:fill="auto"/>
            <w:vAlign w:val="center"/>
            <w:hideMark/>
          </w:tcPr>
          <w:p w14:paraId="027FB8A3" w14:textId="77777777" w:rsidR="00EA2CBD" w:rsidRPr="008572C5" w:rsidRDefault="00EA2CBD" w:rsidP="009D1253">
            <w:pPr>
              <w:jc w:val="center"/>
              <w:rPr>
                <w:rFonts w:ascii="Tahoma" w:hAnsi="Tahoma" w:cs="Tahoma"/>
                <w:b/>
                <w:bCs/>
                <w:iCs/>
                <w:sz w:val="20"/>
                <w:szCs w:val="20"/>
              </w:rPr>
            </w:pPr>
            <w:r w:rsidRPr="008572C5">
              <w:rPr>
                <w:rFonts w:ascii="Tahoma" w:hAnsi="Tahoma" w:cs="Tahoma"/>
                <w:b/>
                <w:bCs/>
                <w:iCs/>
                <w:sz w:val="20"/>
                <w:szCs w:val="20"/>
              </w:rPr>
              <w:t>Ориентировочный сегмент</w:t>
            </w:r>
          </w:p>
        </w:tc>
        <w:tc>
          <w:tcPr>
            <w:tcW w:w="543" w:type="pct"/>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78DB04D3" w14:textId="77777777" w:rsidR="00EA2CBD" w:rsidRPr="008572C5" w:rsidRDefault="00EA2CBD" w:rsidP="009D1253">
            <w:pPr>
              <w:jc w:val="center"/>
              <w:rPr>
                <w:rFonts w:ascii="Tahoma" w:hAnsi="Tahoma" w:cs="Tahoma"/>
                <w:b/>
                <w:bCs/>
                <w:iCs/>
                <w:sz w:val="20"/>
                <w:szCs w:val="20"/>
              </w:rPr>
            </w:pPr>
            <w:r w:rsidRPr="008572C5">
              <w:rPr>
                <w:rFonts w:ascii="Tahoma" w:hAnsi="Tahoma" w:cs="Tahoma"/>
                <w:b/>
                <w:bCs/>
                <w:iCs/>
                <w:sz w:val="20"/>
                <w:szCs w:val="20"/>
              </w:rPr>
              <w:t>Продукт</w:t>
            </w:r>
          </w:p>
        </w:tc>
        <w:tc>
          <w:tcPr>
            <w:tcW w:w="933" w:type="pct"/>
            <w:gridSpan w:val="2"/>
            <w:tcBorders>
              <w:top w:val="single" w:sz="8" w:space="0" w:color="auto"/>
              <w:left w:val="nil"/>
              <w:bottom w:val="single" w:sz="4" w:space="0" w:color="auto"/>
              <w:right w:val="single" w:sz="4" w:space="0" w:color="auto"/>
            </w:tcBorders>
            <w:shd w:val="clear" w:color="auto" w:fill="auto"/>
            <w:noWrap/>
            <w:vAlign w:val="center"/>
            <w:hideMark/>
          </w:tcPr>
          <w:p w14:paraId="05551B07" w14:textId="77777777" w:rsidR="00EA2CBD" w:rsidRPr="008572C5" w:rsidRDefault="00EA2CBD" w:rsidP="009D1253">
            <w:pPr>
              <w:jc w:val="center"/>
              <w:rPr>
                <w:rFonts w:ascii="Tahoma" w:hAnsi="Tahoma" w:cs="Tahoma"/>
                <w:b/>
                <w:bCs/>
                <w:iCs/>
                <w:sz w:val="20"/>
                <w:szCs w:val="20"/>
              </w:rPr>
            </w:pPr>
            <w:r w:rsidRPr="008572C5">
              <w:rPr>
                <w:rFonts w:ascii="Tahoma" w:hAnsi="Tahoma" w:cs="Tahoma"/>
                <w:b/>
                <w:bCs/>
                <w:iCs/>
                <w:sz w:val="20"/>
                <w:szCs w:val="20"/>
              </w:rPr>
              <w:t xml:space="preserve">Базовые параметры </w:t>
            </w:r>
            <w:r>
              <w:rPr>
                <w:rFonts w:ascii="Tahoma" w:hAnsi="Tahoma" w:cs="Tahoma"/>
                <w:b/>
                <w:bCs/>
                <w:iCs/>
                <w:sz w:val="20"/>
                <w:szCs w:val="20"/>
              </w:rPr>
              <w:t>В</w:t>
            </w:r>
            <w:r w:rsidRPr="008572C5">
              <w:rPr>
                <w:rFonts w:ascii="Tahoma" w:hAnsi="Tahoma" w:cs="Tahoma"/>
                <w:b/>
                <w:bCs/>
                <w:iCs/>
                <w:sz w:val="20"/>
                <w:szCs w:val="20"/>
              </w:rPr>
              <w:t>клада</w:t>
            </w:r>
          </w:p>
        </w:tc>
        <w:tc>
          <w:tcPr>
            <w:tcW w:w="1214" w:type="pct"/>
            <w:vMerge w:val="restart"/>
            <w:tcBorders>
              <w:top w:val="single" w:sz="8" w:space="0" w:color="auto"/>
              <w:left w:val="nil"/>
              <w:right w:val="single" w:sz="4" w:space="0" w:color="auto"/>
            </w:tcBorders>
            <w:shd w:val="clear" w:color="auto" w:fill="auto"/>
            <w:noWrap/>
            <w:vAlign w:val="center"/>
          </w:tcPr>
          <w:p w14:paraId="2CFA9637" w14:textId="77777777" w:rsidR="00EA2CBD" w:rsidRPr="008572C5" w:rsidRDefault="00EA2CBD" w:rsidP="009D1253">
            <w:pPr>
              <w:jc w:val="center"/>
              <w:rPr>
                <w:rFonts w:ascii="Tahoma" w:hAnsi="Tahoma" w:cs="Tahoma"/>
                <w:b/>
                <w:bCs/>
                <w:iCs/>
                <w:sz w:val="20"/>
                <w:szCs w:val="20"/>
              </w:rPr>
            </w:pPr>
            <w:r w:rsidRPr="008572C5">
              <w:rPr>
                <w:rFonts w:ascii="Tahoma" w:hAnsi="Tahoma" w:cs="Tahoma"/>
                <w:b/>
                <w:bCs/>
                <w:iCs/>
                <w:sz w:val="20"/>
                <w:szCs w:val="20"/>
              </w:rPr>
              <w:t xml:space="preserve">Периоды действия процентной ставки в течение срока </w:t>
            </w:r>
            <w:r>
              <w:rPr>
                <w:rFonts w:ascii="Tahoma" w:hAnsi="Tahoma" w:cs="Tahoma"/>
                <w:b/>
                <w:bCs/>
                <w:iCs/>
                <w:sz w:val="20"/>
                <w:szCs w:val="20"/>
              </w:rPr>
              <w:t>В</w:t>
            </w:r>
            <w:r w:rsidRPr="008572C5">
              <w:rPr>
                <w:rFonts w:ascii="Tahoma" w:hAnsi="Tahoma" w:cs="Tahoma"/>
                <w:b/>
                <w:bCs/>
                <w:iCs/>
                <w:sz w:val="20"/>
                <w:szCs w:val="20"/>
              </w:rPr>
              <w:t>клада (в днях)</w:t>
            </w:r>
          </w:p>
        </w:tc>
        <w:tc>
          <w:tcPr>
            <w:tcW w:w="1596" w:type="pct"/>
            <w:gridSpan w:val="3"/>
            <w:tcBorders>
              <w:top w:val="single" w:sz="8" w:space="0" w:color="auto"/>
              <w:left w:val="nil"/>
              <w:bottom w:val="single" w:sz="4" w:space="0" w:color="auto"/>
              <w:right w:val="single" w:sz="4" w:space="0" w:color="auto"/>
            </w:tcBorders>
            <w:shd w:val="clear" w:color="auto" w:fill="auto"/>
            <w:vAlign w:val="center"/>
          </w:tcPr>
          <w:p w14:paraId="24617813" w14:textId="77777777" w:rsidR="00EA2CBD" w:rsidRPr="008572C5" w:rsidRDefault="00EA2CBD" w:rsidP="009D1253">
            <w:pPr>
              <w:jc w:val="center"/>
              <w:rPr>
                <w:rFonts w:ascii="Tahoma" w:hAnsi="Tahoma" w:cs="Tahoma"/>
                <w:b/>
                <w:bCs/>
                <w:iCs/>
                <w:sz w:val="20"/>
                <w:szCs w:val="20"/>
              </w:rPr>
            </w:pPr>
            <w:r w:rsidRPr="008572C5">
              <w:rPr>
                <w:rFonts w:ascii="Tahoma" w:hAnsi="Tahoma" w:cs="Tahoma"/>
                <w:b/>
                <w:bCs/>
                <w:iCs/>
                <w:sz w:val="20"/>
                <w:szCs w:val="20"/>
              </w:rPr>
              <w:t xml:space="preserve">Процентные ставки (% годовых) в зависимости от срока </w:t>
            </w:r>
            <w:r>
              <w:rPr>
                <w:rFonts w:ascii="Tahoma" w:hAnsi="Tahoma" w:cs="Tahoma"/>
                <w:b/>
                <w:bCs/>
                <w:iCs/>
                <w:sz w:val="20"/>
                <w:szCs w:val="20"/>
              </w:rPr>
              <w:t>В</w:t>
            </w:r>
            <w:r w:rsidRPr="008572C5">
              <w:rPr>
                <w:rFonts w:ascii="Tahoma" w:hAnsi="Tahoma" w:cs="Tahoma"/>
                <w:b/>
                <w:bCs/>
                <w:iCs/>
                <w:sz w:val="20"/>
                <w:szCs w:val="20"/>
              </w:rPr>
              <w:t>клада</w:t>
            </w:r>
          </w:p>
        </w:tc>
      </w:tr>
      <w:tr w:rsidR="00EA2CBD" w:rsidRPr="008572C5" w14:paraId="42BB9258" w14:textId="77777777" w:rsidTr="009D1253">
        <w:trPr>
          <w:trHeight w:val="60"/>
        </w:trPr>
        <w:tc>
          <w:tcPr>
            <w:tcW w:w="714" w:type="pct"/>
            <w:vMerge/>
            <w:tcBorders>
              <w:top w:val="single" w:sz="8" w:space="0" w:color="auto"/>
              <w:left w:val="single" w:sz="8" w:space="0" w:color="auto"/>
              <w:bottom w:val="single" w:sz="8" w:space="0" w:color="000000"/>
              <w:right w:val="nil"/>
            </w:tcBorders>
            <w:vAlign w:val="center"/>
            <w:hideMark/>
          </w:tcPr>
          <w:p w14:paraId="508B022A" w14:textId="77777777" w:rsidR="00EA2CBD" w:rsidRPr="008572C5" w:rsidRDefault="00EA2CBD" w:rsidP="009D1253">
            <w:pPr>
              <w:rPr>
                <w:rFonts w:ascii="Tahoma" w:hAnsi="Tahoma" w:cs="Tahoma"/>
                <w:bCs/>
                <w:iCs/>
                <w:sz w:val="20"/>
                <w:szCs w:val="20"/>
              </w:rPr>
            </w:pPr>
          </w:p>
        </w:tc>
        <w:tc>
          <w:tcPr>
            <w:tcW w:w="543" w:type="pct"/>
            <w:vMerge/>
            <w:tcBorders>
              <w:top w:val="single" w:sz="8" w:space="0" w:color="auto"/>
              <w:left w:val="single" w:sz="8" w:space="0" w:color="auto"/>
              <w:bottom w:val="single" w:sz="8" w:space="0" w:color="000000"/>
              <w:right w:val="single" w:sz="4" w:space="0" w:color="auto"/>
            </w:tcBorders>
            <w:vAlign w:val="center"/>
            <w:hideMark/>
          </w:tcPr>
          <w:p w14:paraId="7FDED833" w14:textId="77777777" w:rsidR="00EA2CBD" w:rsidRPr="008572C5" w:rsidRDefault="00EA2CBD" w:rsidP="009D1253">
            <w:pPr>
              <w:rPr>
                <w:rFonts w:ascii="Tahoma" w:hAnsi="Tahoma" w:cs="Tahoma"/>
                <w:bCs/>
                <w:iCs/>
                <w:sz w:val="20"/>
                <w:szCs w:val="20"/>
              </w:rPr>
            </w:pPr>
          </w:p>
        </w:tc>
        <w:tc>
          <w:tcPr>
            <w:tcW w:w="373" w:type="pct"/>
            <w:tcBorders>
              <w:top w:val="nil"/>
              <w:left w:val="nil"/>
              <w:bottom w:val="single" w:sz="8" w:space="0" w:color="auto"/>
              <w:right w:val="single" w:sz="4" w:space="0" w:color="auto"/>
            </w:tcBorders>
            <w:shd w:val="clear" w:color="auto" w:fill="auto"/>
            <w:noWrap/>
            <w:vAlign w:val="center"/>
            <w:hideMark/>
          </w:tcPr>
          <w:p w14:paraId="23191FA7" w14:textId="77777777" w:rsidR="00EA2CBD" w:rsidRPr="008572C5" w:rsidRDefault="00EA2CBD" w:rsidP="009D1253">
            <w:pPr>
              <w:jc w:val="center"/>
              <w:rPr>
                <w:rFonts w:ascii="Tahoma" w:hAnsi="Tahoma" w:cs="Tahoma"/>
                <w:b/>
                <w:bCs/>
                <w:iCs/>
                <w:sz w:val="20"/>
                <w:szCs w:val="20"/>
              </w:rPr>
            </w:pPr>
            <w:r w:rsidRPr="008572C5">
              <w:rPr>
                <w:rFonts w:ascii="Tahoma" w:hAnsi="Tahoma" w:cs="Tahoma"/>
                <w:b/>
                <w:bCs/>
                <w:iCs/>
                <w:sz w:val="20"/>
                <w:szCs w:val="20"/>
              </w:rPr>
              <w:t xml:space="preserve">Валюта </w:t>
            </w:r>
            <w:r>
              <w:rPr>
                <w:rFonts w:ascii="Tahoma" w:hAnsi="Tahoma" w:cs="Tahoma"/>
                <w:b/>
                <w:bCs/>
                <w:iCs/>
                <w:sz w:val="20"/>
                <w:szCs w:val="20"/>
              </w:rPr>
              <w:t>В</w:t>
            </w:r>
            <w:r w:rsidRPr="008572C5">
              <w:rPr>
                <w:rFonts w:ascii="Tahoma" w:hAnsi="Tahoma" w:cs="Tahoma"/>
                <w:b/>
                <w:bCs/>
                <w:iCs/>
                <w:sz w:val="20"/>
                <w:szCs w:val="20"/>
              </w:rPr>
              <w:t>клада</w:t>
            </w:r>
          </w:p>
        </w:tc>
        <w:tc>
          <w:tcPr>
            <w:tcW w:w="560" w:type="pct"/>
            <w:tcBorders>
              <w:top w:val="nil"/>
              <w:left w:val="nil"/>
              <w:bottom w:val="single" w:sz="8" w:space="0" w:color="auto"/>
              <w:right w:val="single" w:sz="4" w:space="0" w:color="auto"/>
            </w:tcBorders>
            <w:shd w:val="clear" w:color="auto" w:fill="auto"/>
            <w:noWrap/>
            <w:vAlign w:val="center"/>
            <w:hideMark/>
          </w:tcPr>
          <w:p w14:paraId="15E01EB7" w14:textId="77777777" w:rsidR="00EA2CBD" w:rsidRPr="008572C5" w:rsidRDefault="00EA2CBD" w:rsidP="009D1253">
            <w:pPr>
              <w:jc w:val="center"/>
              <w:rPr>
                <w:rFonts w:ascii="Tahoma" w:hAnsi="Tahoma" w:cs="Tahoma"/>
                <w:b/>
                <w:bCs/>
                <w:iCs/>
                <w:sz w:val="20"/>
                <w:szCs w:val="20"/>
              </w:rPr>
            </w:pPr>
            <w:r w:rsidRPr="008572C5">
              <w:rPr>
                <w:rFonts w:ascii="Tahoma" w:hAnsi="Tahoma" w:cs="Tahoma"/>
                <w:b/>
                <w:bCs/>
                <w:iCs/>
                <w:sz w:val="20"/>
                <w:szCs w:val="20"/>
              </w:rPr>
              <w:t>М</w:t>
            </w:r>
            <w:r>
              <w:rPr>
                <w:rFonts w:ascii="Tahoma" w:hAnsi="Tahoma" w:cs="Tahoma"/>
                <w:b/>
                <w:bCs/>
                <w:iCs/>
                <w:sz w:val="20"/>
                <w:szCs w:val="20"/>
              </w:rPr>
              <w:t>инимальная сумма В</w:t>
            </w:r>
            <w:r w:rsidRPr="008572C5">
              <w:rPr>
                <w:rFonts w:ascii="Tahoma" w:hAnsi="Tahoma" w:cs="Tahoma"/>
                <w:b/>
                <w:bCs/>
                <w:iCs/>
                <w:sz w:val="20"/>
                <w:szCs w:val="20"/>
              </w:rPr>
              <w:t xml:space="preserve">клада </w:t>
            </w:r>
          </w:p>
        </w:tc>
        <w:tc>
          <w:tcPr>
            <w:tcW w:w="1214" w:type="pct"/>
            <w:vMerge/>
            <w:tcBorders>
              <w:left w:val="nil"/>
              <w:bottom w:val="single" w:sz="8" w:space="0" w:color="auto"/>
              <w:right w:val="single" w:sz="4" w:space="0" w:color="auto"/>
            </w:tcBorders>
            <w:shd w:val="clear" w:color="auto" w:fill="auto"/>
            <w:noWrap/>
            <w:vAlign w:val="center"/>
          </w:tcPr>
          <w:p w14:paraId="52070C2D" w14:textId="77777777" w:rsidR="00EA2CBD" w:rsidRPr="008572C5" w:rsidRDefault="00EA2CBD" w:rsidP="009D1253">
            <w:pPr>
              <w:jc w:val="center"/>
              <w:rPr>
                <w:rFonts w:ascii="Tahoma" w:hAnsi="Tahoma" w:cs="Tahoma"/>
                <w:b/>
                <w:bCs/>
                <w:iCs/>
                <w:sz w:val="20"/>
                <w:szCs w:val="20"/>
              </w:rPr>
            </w:pPr>
          </w:p>
        </w:tc>
        <w:tc>
          <w:tcPr>
            <w:tcW w:w="653" w:type="pct"/>
            <w:tcBorders>
              <w:top w:val="nil"/>
              <w:left w:val="nil"/>
              <w:bottom w:val="single" w:sz="8" w:space="0" w:color="auto"/>
              <w:right w:val="single" w:sz="4" w:space="0" w:color="auto"/>
            </w:tcBorders>
            <w:shd w:val="clear" w:color="auto" w:fill="auto"/>
            <w:vAlign w:val="center"/>
          </w:tcPr>
          <w:p w14:paraId="736AEEF0" w14:textId="77777777" w:rsidR="00EA2CBD" w:rsidRPr="008572C5" w:rsidRDefault="00EA2CBD" w:rsidP="009D1253">
            <w:pPr>
              <w:jc w:val="center"/>
              <w:rPr>
                <w:rFonts w:ascii="Tahoma" w:hAnsi="Tahoma" w:cs="Tahoma"/>
                <w:b/>
                <w:bCs/>
                <w:iCs/>
                <w:sz w:val="20"/>
                <w:szCs w:val="20"/>
              </w:rPr>
            </w:pPr>
            <w:r w:rsidRPr="008572C5">
              <w:rPr>
                <w:rFonts w:ascii="Tahoma" w:hAnsi="Tahoma" w:cs="Tahoma"/>
                <w:b/>
                <w:bCs/>
                <w:iCs/>
                <w:sz w:val="20"/>
                <w:szCs w:val="20"/>
              </w:rPr>
              <w:t>182 дня</w:t>
            </w:r>
          </w:p>
        </w:tc>
        <w:tc>
          <w:tcPr>
            <w:tcW w:w="403" w:type="pct"/>
            <w:tcBorders>
              <w:top w:val="nil"/>
              <w:left w:val="nil"/>
              <w:bottom w:val="single" w:sz="8" w:space="0" w:color="auto"/>
              <w:right w:val="single" w:sz="4" w:space="0" w:color="auto"/>
            </w:tcBorders>
            <w:shd w:val="clear" w:color="auto" w:fill="auto"/>
            <w:vAlign w:val="center"/>
          </w:tcPr>
          <w:p w14:paraId="685D7029" w14:textId="77777777" w:rsidR="00EA2CBD" w:rsidRPr="008572C5" w:rsidRDefault="00EA2CBD" w:rsidP="009D1253">
            <w:pPr>
              <w:jc w:val="center"/>
              <w:rPr>
                <w:rFonts w:ascii="Tahoma" w:hAnsi="Tahoma" w:cs="Tahoma"/>
                <w:b/>
                <w:bCs/>
                <w:iCs/>
                <w:sz w:val="20"/>
                <w:szCs w:val="20"/>
              </w:rPr>
            </w:pPr>
            <w:r w:rsidRPr="00366D95">
              <w:rPr>
                <w:rFonts w:ascii="Tahoma" w:hAnsi="Tahoma" w:cs="Tahoma"/>
                <w:b/>
                <w:bCs/>
                <w:iCs/>
                <w:sz w:val="20"/>
                <w:szCs w:val="20"/>
              </w:rPr>
              <w:t>273 дня</w:t>
            </w:r>
          </w:p>
        </w:tc>
        <w:tc>
          <w:tcPr>
            <w:tcW w:w="540" w:type="pct"/>
            <w:tcBorders>
              <w:top w:val="nil"/>
              <w:left w:val="nil"/>
              <w:bottom w:val="single" w:sz="8" w:space="0" w:color="auto"/>
              <w:right w:val="single" w:sz="4" w:space="0" w:color="auto"/>
            </w:tcBorders>
            <w:shd w:val="clear" w:color="auto" w:fill="auto"/>
            <w:vAlign w:val="center"/>
          </w:tcPr>
          <w:p w14:paraId="63A4C237" w14:textId="77777777" w:rsidR="00EA2CBD" w:rsidRPr="008572C5" w:rsidRDefault="00EA2CBD" w:rsidP="009D1253">
            <w:pPr>
              <w:jc w:val="center"/>
              <w:rPr>
                <w:rFonts w:ascii="Tahoma" w:hAnsi="Tahoma" w:cs="Tahoma"/>
                <w:b/>
                <w:bCs/>
                <w:iCs/>
                <w:sz w:val="20"/>
                <w:szCs w:val="20"/>
              </w:rPr>
            </w:pPr>
            <w:r w:rsidRPr="008572C5">
              <w:rPr>
                <w:rFonts w:ascii="Tahoma" w:hAnsi="Tahoma" w:cs="Tahoma"/>
                <w:b/>
                <w:bCs/>
                <w:iCs/>
                <w:sz w:val="20"/>
                <w:szCs w:val="20"/>
              </w:rPr>
              <w:t>367 дней</w:t>
            </w:r>
          </w:p>
        </w:tc>
      </w:tr>
      <w:tr w:rsidR="00EA2CBD" w:rsidRPr="008572C5" w14:paraId="00D1CF8C" w14:textId="77777777" w:rsidTr="009D1253">
        <w:trPr>
          <w:trHeight w:val="64"/>
        </w:trPr>
        <w:tc>
          <w:tcPr>
            <w:tcW w:w="714" w:type="pct"/>
            <w:vMerge w:val="restart"/>
            <w:tcBorders>
              <w:top w:val="nil"/>
              <w:left w:val="single" w:sz="8" w:space="0" w:color="auto"/>
              <w:right w:val="nil"/>
            </w:tcBorders>
            <w:shd w:val="clear" w:color="auto" w:fill="auto"/>
            <w:vAlign w:val="center"/>
            <w:hideMark/>
          </w:tcPr>
          <w:p w14:paraId="30EA160F" w14:textId="77777777" w:rsidR="00EA2CBD" w:rsidRPr="008572C5" w:rsidRDefault="00EA2CBD" w:rsidP="009D1253">
            <w:pPr>
              <w:jc w:val="center"/>
              <w:rPr>
                <w:rFonts w:ascii="Tahoma" w:hAnsi="Tahoma" w:cs="Tahoma"/>
                <w:bCs/>
                <w:iCs/>
                <w:sz w:val="20"/>
                <w:szCs w:val="20"/>
              </w:rPr>
            </w:pPr>
            <w:r w:rsidRPr="008572C5">
              <w:rPr>
                <w:rFonts w:ascii="Tahoma" w:hAnsi="Tahoma" w:cs="Tahoma"/>
                <w:sz w:val="20"/>
                <w:szCs w:val="20"/>
              </w:rPr>
              <w:t>Все категории клиентов</w:t>
            </w:r>
          </w:p>
        </w:tc>
        <w:tc>
          <w:tcPr>
            <w:tcW w:w="543" w:type="pct"/>
            <w:vMerge w:val="restart"/>
            <w:tcBorders>
              <w:top w:val="nil"/>
              <w:left w:val="single" w:sz="8" w:space="0" w:color="auto"/>
              <w:right w:val="single" w:sz="4" w:space="0" w:color="auto"/>
            </w:tcBorders>
            <w:shd w:val="clear" w:color="000000" w:fill="FFC000"/>
            <w:vAlign w:val="center"/>
            <w:hideMark/>
          </w:tcPr>
          <w:p w14:paraId="1F5CF9FE" w14:textId="77777777" w:rsidR="00EA2CBD" w:rsidRPr="008572C5" w:rsidRDefault="00EA2CBD" w:rsidP="009D1253">
            <w:pPr>
              <w:jc w:val="center"/>
              <w:rPr>
                <w:rFonts w:ascii="Tahoma" w:hAnsi="Tahoma" w:cs="Tahoma"/>
                <w:bCs/>
                <w:iCs/>
                <w:sz w:val="20"/>
                <w:szCs w:val="20"/>
              </w:rPr>
            </w:pPr>
            <w:r>
              <w:rPr>
                <w:rFonts w:ascii="Tahoma" w:hAnsi="Tahoma" w:cs="Tahoma"/>
                <w:bCs/>
                <w:iCs/>
                <w:sz w:val="20"/>
                <w:szCs w:val="20"/>
              </w:rPr>
              <w:t>В плюсе</w:t>
            </w:r>
          </w:p>
        </w:tc>
        <w:tc>
          <w:tcPr>
            <w:tcW w:w="373" w:type="pct"/>
            <w:vMerge w:val="restart"/>
            <w:tcBorders>
              <w:top w:val="nil"/>
              <w:left w:val="nil"/>
              <w:right w:val="single" w:sz="4" w:space="0" w:color="auto"/>
            </w:tcBorders>
            <w:shd w:val="clear" w:color="auto" w:fill="auto"/>
            <w:noWrap/>
            <w:vAlign w:val="center"/>
            <w:hideMark/>
          </w:tcPr>
          <w:p w14:paraId="4CEF561F" w14:textId="77777777" w:rsidR="00EA2CBD" w:rsidRPr="008572C5" w:rsidRDefault="00EA2CBD" w:rsidP="009D1253">
            <w:pPr>
              <w:jc w:val="center"/>
              <w:rPr>
                <w:rFonts w:ascii="Tahoma" w:hAnsi="Tahoma" w:cs="Tahoma"/>
                <w:bCs/>
                <w:iCs/>
                <w:sz w:val="20"/>
                <w:szCs w:val="20"/>
              </w:rPr>
            </w:pPr>
            <w:r w:rsidRPr="008572C5">
              <w:rPr>
                <w:rFonts w:ascii="Tahoma" w:hAnsi="Tahoma" w:cs="Tahoma"/>
                <w:bCs/>
                <w:iCs/>
                <w:sz w:val="20"/>
                <w:szCs w:val="20"/>
              </w:rPr>
              <w:t>рубли</w:t>
            </w:r>
          </w:p>
        </w:tc>
        <w:tc>
          <w:tcPr>
            <w:tcW w:w="560" w:type="pct"/>
            <w:vMerge w:val="restart"/>
            <w:tcBorders>
              <w:top w:val="nil"/>
              <w:left w:val="nil"/>
              <w:right w:val="single" w:sz="4" w:space="0" w:color="auto"/>
            </w:tcBorders>
            <w:shd w:val="clear" w:color="auto" w:fill="auto"/>
            <w:noWrap/>
            <w:vAlign w:val="center"/>
            <w:hideMark/>
          </w:tcPr>
          <w:p w14:paraId="14C7BCBB" w14:textId="77777777" w:rsidR="00EA2CBD" w:rsidRPr="008572C5" w:rsidRDefault="00EA2CBD" w:rsidP="009D1253">
            <w:pPr>
              <w:jc w:val="center"/>
              <w:rPr>
                <w:rFonts w:ascii="Tahoma" w:hAnsi="Tahoma" w:cs="Tahoma"/>
                <w:bCs/>
                <w:iCs/>
                <w:sz w:val="20"/>
                <w:szCs w:val="20"/>
              </w:rPr>
            </w:pPr>
            <w:r w:rsidRPr="008572C5">
              <w:rPr>
                <w:rFonts w:ascii="Tahoma" w:hAnsi="Tahoma" w:cs="Tahoma"/>
                <w:bCs/>
                <w:iCs/>
                <w:sz w:val="20"/>
                <w:szCs w:val="20"/>
              </w:rPr>
              <w:t>50 000</w:t>
            </w:r>
          </w:p>
        </w:tc>
        <w:tc>
          <w:tcPr>
            <w:tcW w:w="1214" w:type="pct"/>
            <w:tcBorders>
              <w:top w:val="nil"/>
              <w:left w:val="nil"/>
              <w:bottom w:val="single" w:sz="4" w:space="0" w:color="auto"/>
              <w:right w:val="single" w:sz="4" w:space="0" w:color="auto"/>
            </w:tcBorders>
            <w:shd w:val="clear" w:color="auto" w:fill="auto"/>
            <w:noWrap/>
            <w:vAlign w:val="center"/>
          </w:tcPr>
          <w:p w14:paraId="4DA000C3" w14:textId="77777777" w:rsidR="00EA2CBD" w:rsidRPr="008572C5" w:rsidRDefault="00EA2CBD" w:rsidP="009D1253">
            <w:pPr>
              <w:jc w:val="center"/>
              <w:rPr>
                <w:rFonts w:ascii="Tahoma" w:hAnsi="Tahoma" w:cs="Tahoma"/>
                <w:sz w:val="20"/>
                <w:szCs w:val="20"/>
              </w:rPr>
            </w:pPr>
            <w:r w:rsidRPr="008572C5">
              <w:rPr>
                <w:rFonts w:ascii="Tahoma" w:hAnsi="Tahoma" w:cs="Tahoma"/>
                <w:sz w:val="20"/>
                <w:szCs w:val="20"/>
              </w:rPr>
              <w:t>до 90 дней включительно</w:t>
            </w:r>
          </w:p>
        </w:tc>
        <w:tc>
          <w:tcPr>
            <w:tcW w:w="653" w:type="pct"/>
            <w:tcBorders>
              <w:top w:val="nil"/>
              <w:left w:val="nil"/>
              <w:bottom w:val="single" w:sz="4" w:space="0" w:color="auto"/>
              <w:right w:val="single" w:sz="4" w:space="0" w:color="auto"/>
            </w:tcBorders>
            <w:shd w:val="clear" w:color="auto" w:fill="auto"/>
            <w:vAlign w:val="center"/>
          </w:tcPr>
          <w:p w14:paraId="0E4A26D7" w14:textId="77777777" w:rsidR="00EA2CBD" w:rsidRDefault="00EA2CBD" w:rsidP="009D1253">
            <w:pPr>
              <w:jc w:val="center"/>
              <w:rPr>
                <w:rFonts w:ascii="Tahoma" w:hAnsi="Tahoma" w:cs="Tahoma"/>
                <w:color w:val="000000"/>
                <w:sz w:val="20"/>
                <w:szCs w:val="20"/>
              </w:rPr>
            </w:pPr>
            <w:r>
              <w:rPr>
                <w:rFonts w:ascii="Tahoma" w:hAnsi="Tahoma" w:cs="Tahoma"/>
                <w:color w:val="000000"/>
                <w:sz w:val="20"/>
                <w:szCs w:val="20"/>
              </w:rPr>
              <w:t>24,000</w:t>
            </w:r>
          </w:p>
        </w:tc>
        <w:tc>
          <w:tcPr>
            <w:tcW w:w="403" w:type="pct"/>
            <w:tcBorders>
              <w:top w:val="nil"/>
              <w:left w:val="nil"/>
              <w:bottom w:val="single" w:sz="4" w:space="0" w:color="auto"/>
              <w:right w:val="single" w:sz="4" w:space="0" w:color="auto"/>
            </w:tcBorders>
            <w:shd w:val="clear" w:color="auto" w:fill="auto"/>
            <w:vAlign w:val="center"/>
          </w:tcPr>
          <w:p w14:paraId="4DC0AC18" w14:textId="77777777" w:rsidR="00EA2CBD" w:rsidRDefault="00EA2CBD" w:rsidP="009D1253">
            <w:pPr>
              <w:jc w:val="center"/>
              <w:rPr>
                <w:rFonts w:ascii="Tahoma" w:hAnsi="Tahoma" w:cs="Tahoma"/>
                <w:color w:val="000000"/>
                <w:sz w:val="20"/>
                <w:szCs w:val="20"/>
              </w:rPr>
            </w:pPr>
            <w:r>
              <w:rPr>
                <w:rFonts w:ascii="Tahoma" w:hAnsi="Tahoma" w:cs="Tahoma"/>
                <w:color w:val="000000"/>
                <w:sz w:val="20"/>
                <w:szCs w:val="20"/>
              </w:rPr>
              <w:t>25,000</w:t>
            </w:r>
          </w:p>
        </w:tc>
        <w:tc>
          <w:tcPr>
            <w:tcW w:w="540" w:type="pct"/>
            <w:tcBorders>
              <w:top w:val="nil"/>
              <w:left w:val="nil"/>
              <w:bottom w:val="single" w:sz="4" w:space="0" w:color="auto"/>
              <w:right w:val="single" w:sz="4" w:space="0" w:color="auto"/>
            </w:tcBorders>
            <w:shd w:val="clear" w:color="auto" w:fill="auto"/>
            <w:vAlign w:val="center"/>
          </w:tcPr>
          <w:p w14:paraId="7396F214" w14:textId="77777777" w:rsidR="00EA2CBD" w:rsidRDefault="00EA2CBD" w:rsidP="009D1253">
            <w:pPr>
              <w:jc w:val="center"/>
              <w:rPr>
                <w:rFonts w:ascii="Tahoma" w:hAnsi="Tahoma" w:cs="Tahoma"/>
                <w:color w:val="000000"/>
                <w:sz w:val="20"/>
                <w:szCs w:val="20"/>
              </w:rPr>
            </w:pPr>
            <w:r>
              <w:rPr>
                <w:rFonts w:ascii="Tahoma" w:hAnsi="Tahoma" w:cs="Tahoma"/>
                <w:color w:val="000000"/>
                <w:sz w:val="20"/>
                <w:szCs w:val="20"/>
              </w:rPr>
              <w:t>25,000</w:t>
            </w:r>
          </w:p>
        </w:tc>
      </w:tr>
      <w:tr w:rsidR="00EA2CBD" w:rsidRPr="008572C5" w14:paraId="72D25A1F" w14:textId="77777777" w:rsidTr="009D1253">
        <w:trPr>
          <w:trHeight w:val="64"/>
        </w:trPr>
        <w:tc>
          <w:tcPr>
            <w:tcW w:w="714" w:type="pct"/>
            <w:vMerge/>
            <w:tcBorders>
              <w:left w:val="single" w:sz="8" w:space="0" w:color="auto"/>
              <w:bottom w:val="single" w:sz="4" w:space="0" w:color="auto"/>
              <w:right w:val="nil"/>
            </w:tcBorders>
            <w:shd w:val="clear" w:color="auto" w:fill="auto"/>
            <w:vAlign w:val="center"/>
          </w:tcPr>
          <w:p w14:paraId="0C13DF17" w14:textId="77777777" w:rsidR="00EA2CBD" w:rsidRPr="008572C5" w:rsidRDefault="00EA2CBD" w:rsidP="009D1253">
            <w:pPr>
              <w:jc w:val="center"/>
              <w:rPr>
                <w:rFonts w:ascii="Tahoma" w:hAnsi="Tahoma" w:cs="Tahoma"/>
                <w:bCs/>
                <w:iCs/>
                <w:sz w:val="20"/>
                <w:szCs w:val="20"/>
              </w:rPr>
            </w:pPr>
          </w:p>
        </w:tc>
        <w:tc>
          <w:tcPr>
            <w:tcW w:w="543" w:type="pct"/>
            <w:vMerge/>
            <w:tcBorders>
              <w:left w:val="single" w:sz="8" w:space="0" w:color="auto"/>
              <w:bottom w:val="single" w:sz="4" w:space="0" w:color="auto"/>
              <w:right w:val="single" w:sz="4" w:space="0" w:color="auto"/>
            </w:tcBorders>
            <w:shd w:val="clear" w:color="000000" w:fill="FFC000"/>
            <w:vAlign w:val="center"/>
          </w:tcPr>
          <w:p w14:paraId="716235CB" w14:textId="77777777" w:rsidR="00EA2CBD" w:rsidRPr="008572C5" w:rsidRDefault="00EA2CBD" w:rsidP="009D1253">
            <w:pPr>
              <w:jc w:val="center"/>
              <w:rPr>
                <w:rFonts w:ascii="Tahoma" w:hAnsi="Tahoma" w:cs="Tahoma"/>
                <w:bCs/>
                <w:iCs/>
                <w:sz w:val="20"/>
                <w:szCs w:val="20"/>
              </w:rPr>
            </w:pPr>
          </w:p>
        </w:tc>
        <w:tc>
          <w:tcPr>
            <w:tcW w:w="373" w:type="pct"/>
            <w:vMerge/>
            <w:tcBorders>
              <w:left w:val="nil"/>
              <w:bottom w:val="single" w:sz="4" w:space="0" w:color="auto"/>
              <w:right w:val="single" w:sz="4" w:space="0" w:color="auto"/>
            </w:tcBorders>
            <w:shd w:val="clear" w:color="auto" w:fill="auto"/>
            <w:noWrap/>
            <w:vAlign w:val="center"/>
          </w:tcPr>
          <w:p w14:paraId="5FB69A2D" w14:textId="77777777" w:rsidR="00EA2CBD" w:rsidRPr="008572C5" w:rsidRDefault="00EA2CBD" w:rsidP="009D1253">
            <w:pPr>
              <w:jc w:val="center"/>
              <w:rPr>
                <w:rFonts w:ascii="Tahoma" w:hAnsi="Tahoma" w:cs="Tahoma"/>
                <w:bCs/>
                <w:iCs/>
                <w:sz w:val="20"/>
                <w:szCs w:val="20"/>
              </w:rPr>
            </w:pPr>
          </w:p>
        </w:tc>
        <w:tc>
          <w:tcPr>
            <w:tcW w:w="560" w:type="pct"/>
            <w:vMerge/>
            <w:tcBorders>
              <w:left w:val="nil"/>
              <w:bottom w:val="single" w:sz="4" w:space="0" w:color="auto"/>
              <w:right w:val="single" w:sz="4" w:space="0" w:color="auto"/>
            </w:tcBorders>
            <w:shd w:val="clear" w:color="auto" w:fill="auto"/>
            <w:noWrap/>
            <w:vAlign w:val="center"/>
          </w:tcPr>
          <w:p w14:paraId="7B45A874" w14:textId="77777777" w:rsidR="00EA2CBD" w:rsidRPr="008572C5" w:rsidRDefault="00EA2CBD" w:rsidP="009D1253">
            <w:pPr>
              <w:jc w:val="center"/>
              <w:rPr>
                <w:rFonts w:ascii="Tahoma" w:hAnsi="Tahoma" w:cs="Tahoma"/>
                <w:bCs/>
                <w:iCs/>
                <w:sz w:val="20"/>
                <w:szCs w:val="20"/>
              </w:rPr>
            </w:pPr>
          </w:p>
        </w:tc>
        <w:tc>
          <w:tcPr>
            <w:tcW w:w="1214" w:type="pct"/>
            <w:tcBorders>
              <w:top w:val="single" w:sz="4" w:space="0" w:color="auto"/>
              <w:left w:val="nil"/>
              <w:bottom w:val="single" w:sz="4" w:space="0" w:color="auto"/>
              <w:right w:val="single" w:sz="4" w:space="0" w:color="auto"/>
            </w:tcBorders>
            <w:shd w:val="clear" w:color="auto" w:fill="auto"/>
            <w:noWrap/>
            <w:vAlign w:val="center"/>
          </w:tcPr>
          <w:p w14:paraId="3A5C70DD" w14:textId="77777777" w:rsidR="00EA2CBD" w:rsidRPr="008572C5" w:rsidRDefault="00EA2CBD" w:rsidP="009D1253">
            <w:pPr>
              <w:jc w:val="center"/>
              <w:rPr>
                <w:rFonts w:ascii="Tahoma" w:hAnsi="Tahoma" w:cs="Tahoma"/>
                <w:sz w:val="20"/>
                <w:szCs w:val="20"/>
              </w:rPr>
            </w:pPr>
            <w:r w:rsidRPr="008572C5">
              <w:rPr>
                <w:rFonts w:ascii="Tahoma" w:hAnsi="Tahoma" w:cs="Tahoma"/>
                <w:sz w:val="20"/>
                <w:szCs w:val="20"/>
              </w:rPr>
              <w:t>с 91 дня</w:t>
            </w:r>
          </w:p>
        </w:tc>
        <w:tc>
          <w:tcPr>
            <w:tcW w:w="653" w:type="pct"/>
            <w:tcBorders>
              <w:top w:val="single" w:sz="4" w:space="0" w:color="auto"/>
              <w:left w:val="nil"/>
              <w:bottom w:val="single" w:sz="4" w:space="0" w:color="auto"/>
              <w:right w:val="single" w:sz="4" w:space="0" w:color="auto"/>
            </w:tcBorders>
            <w:shd w:val="clear" w:color="auto" w:fill="auto"/>
            <w:vAlign w:val="center"/>
          </w:tcPr>
          <w:p w14:paraId="0762988B" w14:textId="77777777" w:rsidR="00EA2CBD" w:rsidRDefault="00EA2CBD" w:rsidP="009D1253">
            <w:pPr>
              <w:jc w:val="center"/>
              <w:rPr>
                <w:rFonts w:ascii="Tahoma" w:hAnsi="Tahoma" w:cs="Tahoma"/>
                <w:color w:val="000000"/>
                <w:sz w:val="20"/>
                <w:szCs w:val="20"/>
              </w:rPr>
            </w:pPr>
            <w:r>
              <w:rPr>
                <w:rFonts w:ascii="Tahoma" w:hAnsi="Tahoma" w:cs="Tahoma"/>
                <w:color w:val="000000"/>
                <w:sz w:val="20"/>
                <w:szCs w:val="20"/>
              </w:rPr>
              <w:t>20,000</w:t>
            </w:r>
          </w:p>
        </w:tc>
        <w:tc>
          <w:tcPr>
            <w:tcW w:w="403" w:type="pct"/>
            <w:tcBorders>
              <w:top w:val="single" w:sz="4" w:space="0" w:color="auto"/>
              <w:left w:val="nil"/>
              <w:bottom w:val="single" w:sz="4" w:space="0" w:color="auto"/>
              <w:right w:val="single" w:sz="4" w:space="0" w:color="auto"/>
            </w:tcBorders>
            <w:shd w:val="clear" w:color="auto" w:fill="auto"/>
            <w:vAlign w:val="center"/>
          </w:tcPr>
          <w:p w14:paraId="6C82C032" w14:textId="77777777" w:rsidR="00EA2CBD" w:rsidRDefault="00EA2CBD" w:rsidP="009D1253">
            <w:pPr>
              <w:jc w:val="center"/>
              <w:rPr>
                <w:rFonts w:ascii="Tahoma" w:hAnsi="Tahoma" w:cs="Tahoma"/>
                <w:color w:val="000000"/>
                <w:sz w:val="20"/>
                <w:szCs w:val="20"/>
              </w:rPr>
            </w:pPr>
            <w:r>
              <w:rPr>
                <w:rFonts w:ascii="Tahoma" w:hAnsi="Tahoma" w:cs="Tahoma"/>
                <w:color w:val="000000"/>
                <w:sz w:val="20"/>
                <w:szCs w:val="20"/>
              </w:rPr>
              <w:t>21,000</w:t>
            </w:r>
          </w:p>
        </w:tc>
        <w:tc>
          <w:tcPr>
            <w:tcW w:w="540" w:type="pct"/>
            <w:tcBorders>
              <w:top w:val="single" w:sz="4" w:space="0" w:color="auto"/>
              <w:left w:val="nil"/>
              <w:bottom w:val="single" w:sz="4" w:space="0" w:color="auto"/>
              <w:right w:val="single" w:sz="4" w:space="0" w:color="auto"/>
            </w:tcBorders>
            <w:shd w:val="clear" w:color="auto" w:fill="auto"/>
            <w:vAlign w:val="center"/>
          </w:tcPr>
          <w:p w14:paraId="6F1424BD" w14:textId="77777777" w:rsidR="00EA2CBD" w:rsidRDefault="00EA2CBD" w:rsidP="009D1253">
            <w:pPr>
              <w:jc w:val="center"/>
              <w:rPr>
                <w:rFonts w:ascii="Tahoma" w:hAnsi="Tahoma" w:cs="Tahoma"/>
                <w:color w:val="000000"/>
                <w:sz w:val="20"/>
                <w:szCs w:val="20"/>
              </w:rPr>
            </w:pPr>
            <w:r>
              <w:rPr>
                <w:rFonts w:ascii="Tahoma" w:hAnsi="Tahoma" w:cs="Tahoma"/>
                <w:color w:val="000000"/>
                <w:sz w:val="20"/>
                <w:szCs w:val="20"/>
              </w:rPr>
              <w:t>22,000</w:t>
            </w:r>
          </w:p>
        </w:tc>
      </w:tr>
      <w:tr w:rsidR="00EA2CBD" w:rsidRPr="008572C5" w14:paraId="2AEA3515" w14:textId="77777777" w:rsidTr="009D1253">
        <w:trPr>
          <w:trHeight w:val="64"/>
        </w:trPr>
        <w:tc>
          <w:tcPr>
            <w:tcW w:w="3404" w:type="pct"/>
            <w:gridSpan w:val="5"/>
            <w:tcBorders>
              <w:top w:val="single" w:sz="4" w:space="0" w:color="auto"/>
              <w:left w:val="single" w:sz="8" w:space="0" w:color="auto"/>
              <w:bottom w:val="single" w:sz="4" w:space="0" w:color="auto"/>
              <w:right w:val="single" w:sz="4" w:space="0" w:color="auto"/>
            </w:tcBorders>
            <w:shd w:val="clear" w:color="auto" w:fill="auto"/>
            <w:vAlign w:val="center"/>
          </w:tcPr>
          <w:p w14:paraId="0AD85405" w14:textId="77777777" w:rsidR="00EA2CBD" w:rsidRPr="008572C5" w:rsidRDefault="00EA2CBD" w:rsidP="009D1253">
            <w:pPr>
              <w:jc w:val="right"/>
              <w:rPr>
                <w:rFonts w:ascii="Tahoma" w:hAnsi="Tahoma" w:cs="Tahoma"/>
                <w:sz w:val="20"/>
                <w:szCs w:val="20"/>
              </w:rPr>
            </w:pPr>
            <w:r w:rsidRPr="008572C5">
              <w:rPr>
                <w:rFonts w:ascii="Tahoma" w:hAnsi="Tahoma" w:cs="Tahoma"/>
                <w:sz w:val="20"/>
                <w:szCs w:val="20"/>
              </w:rPr>
              <w:t>Средневзвешенная ставка по вкладу*, % в год</w:t>
            </w:r>
          </w:p>
        </w:tc>
        <w:tc>
          <w:tcPr>
            <w:tcW w:w="653" w:type="pct"/>
            <w:tcBorders>
              <w:top w:val="single" w:sz="4" w:space="0" w:color="auto"/>
              <w:left w:val="nil"/>
              <w:bottom w:val="single" w:sz="4" w:space="0" w:color="auto"/>
              <w:right w:val="single" w:sz="4" w:space="0" w:color="auto"/>
            </w:tcBorders>
            <w:shd w:val="clear" w:color="auto" w:fill="auto"/>
            <w:vAlign w:val="center"/>
          </w:tcPr>
          <w:p w14:paraId="281C07EE" w14:textId="77777777" w:rsidR="00EA2CBD" w:rsidRPr="00A3768A" w:rsidRDefault="00EA2CBD" w:rsidP="009D1253">
            <w:pPr>
              <w:jc w:val="center"/>
              <w:rPr>
                <w:rFonts w:ascii="Tahoma" w:hAnsi="Tahoma" w:cs="Tahoma"/>
                <w:sz w:val="20"/>
                <w:szCs w:val="20"/>
              </w:rPr>
            </w:pPr>
            <w:r>
              <w:rPr>
                <w:rFonts w:ascii="Tahoma" w:hAnsi="Tahoma" w:cs="Tahoma"/>
                <w:sz w:val="20"/>
                <w:szCs w:val="20"/>
              </w:rPr>
              <w:t>21,9</w:t>
            </w:r>
            <w:r w:rsidRPr="00A3768A">
              <w:rPr>
                <w:rFonts w:ascii="Tahoma" w:hAnsi="Tahoma" w:cs="Tahoma"/>
                <w:sz w:val="20"/>
                <w:szCs w:val="20"/>
              </w:rPr>
              <w:t>7</w:t>
            </w:r>
            <w:r>
              <w:rPr>
                <w:rFonts w:ascii="Tahoma" w:hAnsi="Tahoma" w:cs="Tahoma"/>
                <w:sz w:val="20"/>
                <w:szCs w:val="20"/>
              </w:rPr>
              <w:t>8</w:t>
            </w:r>
          </w:p>
        </w:tc>
        <w:tc>
          <w:tcPr>
            <w:tcW w:w="403" w:type="pct"/>
            <w:tcBorders>
              <w:top w:val="single" w:sz="4" w:space="0" w:color="auto"/>
              <w:left w:val="nil"/>
              <w:bottom w:val="single" w:sz="4" w:space="0" w:color="auto"/>
              <w:right w:val="single" w:sz="4" w:space="0" w:color="auto"/>
            </w:tcBorders>
            <w:shd w:val="clear" w:color="auto" w:fill="auto"/>
            <w:vAlign w:val="center"/>
          </w:tcPr>
          <w:p w14:paraId="5668ED35" w14:textId="77777777" w:rsidR="00EA2CBD" w:rsidRPr="00A3768A" w:rsidRDefault="00EA2CBD" w:rsidP="009D1253">
            <w:pPr>
              <w:jc w:val="center"/>
              <w:rPr>
                <w:rFonts w:ascii="Tahoma" w:hAnsi="Tahoma" w:cs="Tahoma"/>
                <w:sz w:val="20"/>
                <w:szCs w:val="20"/>
              </w:rPr>
            </w:pPr>
            <w:r>
              <w:rPr>
                <w:rFonts w:ascii="Tahoma" w:hAnsi="Tahoma" w:cs="Tahoma"/>
                <w:sz w:val="20"/>
                <w:szCs w:val="20"/>
              </w:rPr>
              <w:t>22</w:t>
            </w:r>
            <w:r w:rsidRPr="00A3768A">
              <w:rPr>
                <w:rFonts w:ascii="Tahoma" w:hAnsi="Tahoma" w:cs="Tahoma"/>
                <w:sz w:val="20"/>
                <w:szCs w:val="20"/>
              </w:rPr>
              <w:t>,319</w:t>
            </w:r>
          </w:p>
        </w:tc>
        <w:tc>
          <w:tcPr>
            <w:tcW w:w="540" w:type="pct"/>
            <w:tcBorders>
              <w:top w:val="single" w:sz="4" w:space="0" w:color="auto"/>
              <w:left w:val="nil"/>
              <w:bottom w:val="single" w:sz="4" w:space="0" w:color="auto"/>
              <w:right w:val="single" w:sz="4" w:space="0" w:color="auto"/>
            </w:tcBorders>
            <w:shd w:val="clear" w:color="auto" w:fill="auto"/>
            <w:vAlign w:val="center"/>
          </w:tcPr>
          <w:p w14:paraId="1260E97E" w14:textId="77777777" w:rsidR="00EA2CBD" w:rsidRPr="00A3768A" w:rsidRDefault="00EA2CBD" w:rsidP="009D1253">
            <w:pPr>
              <w:jc w:val="center"/>
              <w:rPr>
                <w:rFonts w:ascii="Tahoma" w:hAnsi="Tahoma" w:cs="Tahoma"/>
                <w:sz w:val="20"/>
                <w:szCs w:val="20"/>
              </w:rPr>
            </w:pPr>
            <w:r>
              <w:rPr>
                <w:rFonts w:ascii="Tahoma" w:hAnsi="Tahoma" w:cs="Tahoma"/>
                <w:color w:val="000000"/>
                <w:sz w:val="20"/>
                <w:szCs w:val="20"/>
              </w:rPr>
              <w:t>22,736</w:t>
            </w:r>
          </w:p>
        </w:tc>
      </w:tr>
    </w:tbl>
    <w:p w14:paraId="760323D8" w14:textId="77777777" w:rsidR="00EA2CBD" w:rsidRPr="008572C5" w:rsidRDefault="00EA2CBD" w:rsidP="00EA2CBD">
      <w:pPr>
        <w:tabs>
          <w:tab w:val="left" w:pos="851"/>
        </w:tabs>
        <w:ind w:firstLine="426"/>
        <w:jc w:val="both"/>
        <w:rPr>
          <w:rFonts w:ascii="Tahoma" w:hAnsi="Tahoma" w:cs="Tahoma"/>
          <w:sz w:val="18"/>
          <w:szCs w:val="18"/>
        </w:rPr>
      </w:pPr>
      <w:r w:rsidRPr="008572C5">
        <w:rPr>
          <w:rFonts w:ascii="Tahoma" w:hAnsi="Tahoma" w:cs="Tahoma"/>
          <w:sz w:val="18"/>
          <w:szCs w:val="18"/>
        </w:rPr>
        <w:t xml:space="preserve">* Соответствует значению минимальной гарантированной ставки (годовых) с учетом округления, определяющему минимальный доход, выплачиваемый </w:t>
      </w:r>
      <w:r>
        <w:rPr>
          <w:rFonts w:ascii="Tahoma" w:hAnsi="Tahoma" w:cs="Tahoma"/>
          <w:sz w:val="18"/>
          <w:szCs w:val="18"/>
        </w:rPr>
        <w:t>В</w:t>
      </w:r>
      <w:r w:rsidRPr="008572C5">
        <w:rPr>
          <w:rFonts w:ascii="Tahoma" w:hAnsi="Tahoma" w:cs="Tahoma"/>
          <w:sz w:val="18"/>
          <w:szCs w:val="18"/>
        </w:rPr>
        <w:t xml:space="preserve">кладчику на сумму </w:t>
      </w:r>
      <w:r>
        <w:rPr>
          <w:rFonts w:ascii="Tahoma" w:hAnsi="Tahoma" w:cs="Tahoma"/>
          <w:sz w:val="18"/>
          <w:szCs w:val="18"/>
        </w:rPr>
        <w:t>В</w:t>
      </w:r>
      <w:r w:rsidRPr="008572C5">
        <w:rPr>
          <w:rFonts w:ascii="Tahoma" w:hAnsi="Tahoma" w:cs="Tahoma"/>
          <w:sz w:val="18"/>
          <w:szCs w:val="18"/>
        </w:rPr>
        <w:t xml:space="preserve">клада при условии хранения суммы </w:t>
      </w:r>
      <w:r>
        <w:rPr>
          <w:rFonts w:ascii="Tahoma" w:hAnsi="Tahoma" w:cs="Tahoma"/>
          <w:sz w:val="18"/>
          <w:szCs w:val="18"/>
        </w:rPr>
        <w:t>В</w:t>
      </w:r>
      <w:r w:rsidRPr="008572C5">
        <w:rPr>
          <w:rFonts w:ascii="Tahoma" w:hAnsi="Tahoma" w:cs="Tahoma"/>
          <w:sz w:val="18"/>
          <w:szCs w:val="18"/>
        </w:rPr>
        <w:t xml:space="preserve">клада до конца срока </w:t>
      </w:r>
      <w:r>
        <w:rPr>
          <w:rFonts w:ascii="Tahoma" w:hAnsi="Tahoma" w:cs="Tahoma"/>
          <w:sz w:val="18"/>
          <w:szCs w:val="18"/>
        </w:rPr>
        <w:t>В</w:t>
      </w:r>
      <w:r w:rsidRPr="008572C5">
        <w:rPr>
          <w:rFonts w:ascii="Tahoma" w:hAnsi="Tahoma" w:cs="Tahoma"/>
          <w:sz w:val="18"/>
          <w:szCs w:val="18"/>
        </w:rPr>
        <w:t xml:space="preserve">клада без учета каких-либо других условий. Порядок расчета минимальной гарантированной ставки по </w:t>
      </w:r>
      <w:r>
        <w:rPr>
          <w:rFonts w:ascii="Tahoma" w:hAnsi="Tahoma" w:cs="Tahoma"/>
          <w:sz w:val="18"/>
          <w:szCs w:val="18"/>
        </w:rPr>
        <w:t>В</w:t>
      </w:r>
      <w:r w:rsidRPr="008572C5">
        <w:rPr>
          <w:rFonts w:ascii="Tahoma" w:hAnsi="Tahoma" w:cs="Tahoma"/>
          <w:sz w:val="18"/>
          <w:szCs w:val="18"/>
        </w:rPr>
        <w:t>кладу определяется Банком России.</w:t>
      </w:r>
    </w:p>
    <w:p w14:paraId="7182FEAA" w14:textId="77777777" w:rsidR="00EA2CBD" w:rsidRDefault="00EA2CBD" w:rsidP="00EA2CBD">
      <w:pPr>
        <w:tabs>
          <w:tab w:val="left" w:pos="284"/>
        </w:tabs>
        <w:rPr>
          <w:rFonts w:ascii="Tahoma" w:hAnsi="Tahoma" w:cs="Tahoma"/>
          <w:bCs/>
          <w:iCs/>
          <w:color w:val="E36C0A"/>
          <w:sz w:val="22"/>
          <w:szCs w:val="22"/>
        </w:rPr>
      </w:pPr>
    </w:p>
    <w:p w14:paraId="4970C0DC" w14:textId="77777777" w:rsidR="00EA2CBD" w:rsidRPr="008572C5" w:rsidRDefault="00EA2CBD" w:rsidP="000B3718">
      <w:pPr>
        <w:pStyle w:val="a5"/>
      </w:pPr>
      <w:r w:rsidRPr="008572C5">
        <w:t>3.</w:t>
      </w:r>
      <w:r>
        <w:t>8</w:t>
      </w:r>
      <w:r w:rsidRPr="008572C5">
        <w:t>.</w:t>
      </w:r>
      <w:r w:rsidRPr="008572C5">
        <w:tab/>
        <w:t>Вклад «АТБ.</w:t>
      </w:r>
      <w:r>
        <w:t xml:space="preserve">ВИП. </w:t>
      </w:r>
      <w:r w:rsidRPr="008572C5">
        <w:t>Вклад» (без пополнения и снятия</w:t>
      </w:r>
      <w:r>
        <w:t>*</w:t>
      </w:r>
      <w:r w:rsidRPr="008572C5">
        <w:t>)</w:t>
      </w:r>
    </w:p>
    <w:p w14:paraId="05A39091" w14:textId="77777777" w:rsidR="00EA2CBD" w:rsidRPr="008572C5" w:rsidRDefault="00EA2CBD" w:rsidP="00EA2CBD">
      <w:pPr>
        <w:ind w:firstLine="426"/>
        <w:jc w:val="both"/>
        <w:rPr>
          <w:rFonts w:ascii="Tahoma" w:hAnsi="Tahoma" w:cs="Tahoma"/>
          <w:color w:val="000000"/>
          <w:sz w:val="22"/>
          <w:szCs w:val="22"/>
          <w:lang w:eastAsia="en-US"/>
        </w:rPr>
      </w:pPr>
      <w:r w:rsidRPr="008572C5">
        <w:rPr>
          <w:rFonts w:ascii="Tahoma" w:hAnsi="Tahoma" w:cs="Tahoma"/>
          <w:color w:val="000000"/>
          <w:sz w:val="22"/>
          <w:szCs w:val="22"/>
        </w:rPr>
        <w:t>Условия:</w:t>
      </w:r>
    </w:p>
    <w:p w14:paraId="6EEDB994" w14:textId="77777777" w:rsidR="00EA2CBD" w:rsidRPr="008572C5" w:rsidRDefault="00EA2CBD" w:rsidP="00EA2CBD">
      <w:pPr>
        <w:numPr>
          <w:ilvl w:val="0"/>
          <w:numId w:val="3"/>
        </w:numPr>
        <w:jc w:val="both"/>
        <w:rPr>
          <w:rFonts w:ascii="Tahoma" w:hAnsi="Tahoma" w:cs="Tahoma"/>
          <w:sz w:val="22"/>
          <w:szCs w:val="22"/>
        </w:rPr>
      </w:pPr>
      <w:r>
        <w:rPr>
          <w:rFonts w:ascii="Tahoma" w:hAnsi="Tahoma" w:cs="Tahoma"/>
          <w:sz w:val="22"/>
          <w:szCs w:val="22"/>
        </w:rPr>
        <w:t>Валюта – рубли РФ</w:t>
      </w:r>
      <w:r w:rsidRPr="008572C5">
        <w:rPr>
          <w:rFonts w:ascii="Tahoma" w:hAnsi="Tahoma" w:cs="Tahoma"/>
          <w:sz w:val="22"/>
          <w:szCs w:val="22"/>
        </w:rPr>
        <w:t>;</w:t>
      </w:r>
    </w:p>
    <w:p w14:paraId="30F557BB" w14:textId="77777777" w:rsidR="00EA2CBD" w:rsidRPr="008572C5" w:rsidRDefault="00EA2CBD" w:rsidP="00EA2CBD">
      <w:pPr>
        <w:numPr>
          <w:ilvl w:val="0"/>
          <w:numId w:val="3"/>
        </w:numPr>
        <w:jc w:val="both"/>
        <w:rPr>
          <w:rFonts w:ascii="Tahoma" w:hAnsi="Tahoma" w:cs="Tahoma"/>
          <w:sz w:val="22"/>
          <w:szCs w:val="22"/>
        </w:rPr>
      </w:pPr>
      <w:r w:rsidRPr="008572C5">
        <w:rPr>
          <w:rFonts w:ascii="Tahoma" w:hAnsi="Tahoma" w:cs="Tahoma"/>
          <w:sz w:val="22"/>
          <w:szCs w:val="22"/>
        </w:rPr>
        <w:t>Минима</w:t>
      </w:r>
      <w:r>
        <w:rPr>
          <w:rFonts w:ascii="Tahoma" w:hAnsi="Tahoma" w:cs="Tahoma"/>
          <w:sz w:val="22"/>
          <w:szCs w:val="22"/>
        </w:rPr>
        <w:t>льная сумма Вклада 7 000 000 рублей</w:t>
      </w:r>
      <w:r w:rsidRPr="008572C5">
        <w:rPr>
          <w:rFonts w:ascii="Tahoma" w:hAnsi="Tahoma" w:cs="Tahoma"/>
          <w:sz w:val="22"/>
          <w:szCs w:val="22"/>
        </w:rPr>
        <w:t>;</w:t>
      </w:r>
    </w:p>
    <w:p w14:paraId="4F33693D" w14:textId="77777777" w:rsidR="00EA2CBD" w:rsidRPr="008572C5" w:rsidRDefault="00EA2CBD" w:rsidP="00EA2CBD">
      <w:pPr>
        <w:numPr>
          <w:ilvl w:val="0"/>
          <w:numId w:val="3"/>
        </w:numPr>
        <w:jc w:val="both"/>
        <w:rPr>
          <w:rFonts w:ascii="Tahoma" w:hAnsi="Tahoma" w:cs="Tahoma"/>
          <w:sz w:val="22"/>
          <w:szCs w:val="22"/>
        </w:rPr>
      </w:pPr>
      <w:r w:rsidRPr="008572C5">
        <w:rPr>
          <w:rFonts w:ascii="Tahoma" w:hAnsi="Tahoma" w:cs="Tahoma"/>
          <w:sz w:val="22"/>
          <w:szCs w:val="22"/>
        </w:rPr>
        <w:t>Максимальная сумма Вклада – не ограничена;</w:t>
      </w:r>
    </w:p>
    <w:p w14:paraId="02592DDE" w14:textId="77777777" w:rsidR="00EA2CBD" w:rsidRDefault="00EA2CBD" w:rsidP="00EA2CBD">
      <w:pPr>
        <w:numPr>
          <w:ilvl w:val="0"/>
          <w:numId w:val="3"/>
        </w:numPr>
        <w:jc w:val="both"/>
        <w:rPr>
          <w:rFonts w:ascii="Tahoma" w:hAnsi="Tahoma" w:cs="Tahoma"/>
          <w:sz w:val="22"/>
          <w:szCs w:val="22"/>
        </w:rPr>
      </w:pPr>
      <w:r w:rsidRPr="008572C5">
        <w:rPr>
          <w:rFonts w:ascii="Tahoma" w:hAnsi="Tahoma" w:cs="Tahoma"/>
          <w:sz w:val="22"/>
          <w:szCs w:val="22"/>
        </w:rPr>
        <w:t>Срок Вклада</w:t>
      </w:r>
      <w:r>
        <w:rPr>
          <w:rFonts w:ascii="Tahoma" w:hAnsi="Tahoma" w:cs="Tahoma"/>
          <w:sz w:val="22"/>
          <w:szCs w:val="22"/>
        </w:rPr>
        <w:t xml:space="preserve">: </w:t>
      </w:r>
    </w:p>
    <w:p w14:paraId="324155EC" w14:textId="77777777" w:rsidR="00EA2CBD" w:rsidRPr="00823945" w:rsidRDefault="00EA2CBD" w:rsidP="00EA2CBD">
      <w:pPr>
        <w:ind w:left="709" w:firstLine="142"/>
        <w:jc w:val="both"/>
        <w:rPr>
          <w:rFonts w:ascii="Tahoma" w:hAnsi="Tahoma" w:cs="Tahoma"/>
          <w:sz w:val="22"/>
          <w:szCs w:val="22"/>
        </w:rPr>
      </w:pPr>
      <w:r>
        <w:rPr>
          <w:rFonts w:ascii="Tahoma" w:hAnsi="Tahoma" w:cs="Tahoma"/>
          <w:sz w:val="22"/>
          <w:szCs w:val="22"/>
        </w:rPr>
        <w:t xml:space="preserve">- </w:t>
      </w:r>
      <w:r w:rsidRPr="00823945">
        <w:rPr>
          <w:rFonts w:ascii="Tahoma" w:hAnsi="Tahoma" w:cs="Tahoma"/>
          <w:sz w:val="22"/>
          <w:szCs w:val="22"/>
        </w:rPr>
        <w:t>в рублях РФ: 62 дня / 92 дня/ 122 дня/ 182 дня/ 243 дня/ 273 дня/ 367 дней/ 731 день/ 1098 дней;</w:t>
      </w:r>
    </w:p>
    <w:p w14:paraId="0F8A0207" w14:textId="77777777" w:rsidR="00EA2CBD" w:rsidRPr="008572C5" w:rsidRDefault="00EA2CBD" w:rsidP="00EA2CBD">
      <w:pPr>
        <w:ind w:left="709" w:firstLine="142"/>
        <w:jc w:val="both"/>
        <w:rPr>
          <w:rFonts w:ascii="Tahoma" w:hAnsi="Tahoma" w:cs="Tahoma"/>
          <w:sz w:val="22"/>
          <w:szCs w:val="22"/>
        </w:rPr>
      </w:pPr>
      <w:r w:rsidRPr="00823945">
        <w:rPr>
          <w:rFonts w:ascii="Tahoma" w:hAnsi="Tahoma" w:cs="Tahoma"/>
          <w:sz w:val="22"/>
          <w:szCs w:val="22"/>
        </w:rPr>
        <w:t>- в китайских юанях: 92 дня/ 182 дня.</w:t>
      </w:r>
    </w:p>
    <w:p w14:paraId="3C7C6F01" w14:textId="77777777" w:rsidR="00EA2CBD" w:rsidRPr="008572C5" w:rsidRDefault="00EA2CBD" w:rsidP="00EA2CBD">
      <w:pPr>
        <w:numPr>
          <w:ilvl w:val="0"/>
          <w:numId w:val="3"/>
        </w:numPr>
        <w:jc w:val="both"/>
        <w:rPr>
          <w:rFonts w:ascii="Tahoma" w:hAnsi="Tahoma" w:cs="Tahoma"/>
          <w:sz w:val="22"/>
          <w:szCs w:val="22"/>
        </w:rPr>
      </w:pPr>
      <w:r w:rsidRPr="008572C5">
        <w:rPr>
          <w:rFonts w:ascii="Tahoma" w:hAnsi="Tahoma" w:cs="Tahoma"/>
          <w:sz w:val="22"/>
          <w:szCs w:val="22"/>
        </w:rPr>
        <w:t>Вклад не пополняемый;</w:t>
      </w:r>
    </w:p>
    <w:p w14:paraId="0CBB5681" w14:textId="77777777" w:rsidR="00EA2CBD" w:rsidRPr="008572C5" w:rsidRDefault="00EA2CBD" w:rsidP="00EA2CBD">
      <w:pPr>
        <w:numPr>
          <w:ilvl w:val="0"/>
          <w:numId w:val="3"/>
        </w:numPr>
        <w:jc w:val="both"/>
        <w:rPr>
          <w:rFonts w:ascii="Tahoma" w:hAnsi="Tahoma" w:cs="Tahoma"/>
          <w:sz w:val="22"/>
          <w:szCs w:val="22"/>
        </w:rPr>
      </w:pPr>
      <w:r w:rsidRPr="008572C5">
        <w:rPr>
          <w:rFonts w:ascii="Tahoma" w:hAnsi="Tahoma" w:cs="Tahoma"/>
          <w:color w:val="000000"/>
          <w:sz w:val="22"/>
          <w:szCs w:val="22"/>
        </w:rPr>
        <w:t>Вклад пролонгируемый</w:t>
      </w:r>
      <w:r w:rsidRPr="008572C5">
        <w:rPr>
          <w:rFonts w:ascii="Tahoma" w:hAnsi="Tahoma" w:cs="Tahoma"/>
          <w:sz w:val="22"/>
          <w:szCs w:val="22"/>
        </w:rPr>
        <w:t>;</w:t>
      </w:r>
    </w:p>
    <w:p w14:paraId="09F23DE0" w14:textId="77777777" w:rsidR="00EA2CBD" w:rsidRPr="00823945" w:rsidRDefault="00EA2CBD" w:rsidP="00EA2CBD">
      <w:pPr>
        <w:numPr>
          <w:ilvl w:val="0"/>
          <w:numId w:val="3"/>
        </w:numPr>
        <w:jc w:val="both"/>
        <w:rPr>
          <w:rFonts w:ascii="Tahoma" w:hAnsi="Tahoma" w:cs="Tahoma"/>
          <w:color w:val="000000"/>
          <w:sz w:val="22"/>
          <w:szCs w:val="22"/>
        </w:rPr>
      </w:pPr>
      <w:r w:rsidRPr="00823945">
        <w:rPr>
          <w:rFonts w:ascii="Tahoma" w:hAnsi="Tahoma" w:cs="Tahoma"/>
          <w:color w:val="000000"/>
          <w:sz w:val="22"/>
          <w:szCs w:val="22"/>
        </w:rPr>
        <w:t>Неснижаемый остаток по Вкладу – не предусмотрен;</w:t>
      </w:r>
    </w:p>
    <w:p w14:paraId="2D3C77E5" w14:textId="77777777" w:rsidR="00EA2CBD" w:rsidRPr="00823945" w:rsidRDefault="00EA2CBD" w:rsidP="00EA2CBD">
      <w:pPr>
        <w:numPr>
          <w:ilvl w:val="0"/>
          <w:numId w:val="3"/>
        </w:numPr>
        <w:jc w:val="both"/>
        <w:rPr>
          <w:rFonts w:ascii="Tahoma" w:hAnsi="Tahoma" w:cs="Tahoma"/>
          <w:color w:val="000000"/>
          <w:sz w:val="22"/>
          <w:szCs w:val="22"/>
        </w:rPr>
      </w:pPr>
      <w:r w:rsidRPr="00823945">
        <w:rPr>
          <w:rFonts w:ascii="Tahoma" w:hAnsi="Tahoma" w:cs="Tahoma"/>
          <w:color w:val="000000"/>
          <w:sz w:val="22"/>
          <w:szCs w:val="22"/>
        </w:rPr>
        <w:t>Выплата процентов и суммы Вклада – в конце срока на счет, открытый в Банке;</w:t>
      </w:r>
    </w:p>
    <w:p w14:paraId="03D0448B" w14:textId="77777777" w:rsidR="00EA2CBD" w:rsidRPr="00823945" w:rsidRDefault="00EA2CBD" w:rsidP="00EA2CBD">
      <w:pPr>
        <w:numPr>
          <w:ilvl w:val="0"/>
          <w:numId w:val="3"/>
        </w:numPr>
        <w:jc w:val="both"/>
        <w:rPr>
          <w:rFonts w:ascii="Tahoma" w:hAnsi="Tahoma" w:cs="Tahoma"/>
          <w:color w:val="000000"/>
          <w:sz w:val="22"/>
          <w:szCs w:val="22"/>
        </w:rPr>
      </w:pPr>
      <w:r w:rsidRPr="00823945">
        <w:rPr>
          <w:rFonts w:ascii="Tahoma" w:hAnsi="Tahoma" w:cs="Tahoma"/>
          <w:color w:val="000000"/>
          <w:sz w:val="22"/>
          <w:szCs w:val="22"/>
        </w:rPr>
        <w:t xml:space="preserve">В случае досрочного возвращения Вклада в течение срока хранения Вклада по требованию Вкладчика проценты по Вкладу начисляются Вкладчику по ставке 0,01% годовых за весь срок хранения Вклада, начиная со дня, следующего за днем поступления денежных средств (Вклада) в Банк, и выплачиваются в день востребования суммы Вклада. </w:t>
      </w:r>
    </w:p>
    <w:p w14:paraId="67E22C62" w14:textId="77777777" w:rsidR="00EA2CBD" w:rsidRDefault="00EA2CBD" w:rsidP="00EA2CBD">
      <w:pPr>
        <w:jc w:val="both"/>
        <w:rPr>
          <w:rFonts w:ascii="Tahoma" w:hAnsi="Tahoma" w:cs="Tahoma"/>
          <w:sz w:val="22"/>
          <w:szCs w:val="22"/>
        </w:rPr>
      </w:pPr>
    </w:p>
    <w:tbl>
      <w:tblPr>
        <w:tblW w:w="1477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638"/>
        <w:gridCol w:w="1297"/>
        <w:gridCol w:w="1785"/>
        <w:gridCol w:w="1135"/>
        <w:gridCol w:w="973"/>
        <w:gridCol w:w="1135"/>
        <w:gridCol w:w="1135"/>
        <w:gridCol w:w="1135"/>
        <w:gridCol w:w="1136"/>
        <w:gridCol w:w="1135"/>
        <w:gridCol w:w="1104"/>
        <w:gridCol w:w="1169"/>
      </w:tblGrid>
      <w:tr w:rsidR="00EA2CBD" w:rsidRPr="00863745" w14:paraId="671C572D" w14:textId="77777777" w:rsidTr="009D1253">
        <w:trPr>
          <w:trHeight w:val="124"/>
        </w:trPr>
        <w:tc>
          <w:tcPr>
            <w:tcW w:w="1638" w:type="dxa"/>
            <w:vMerge w:val="restart"/>
            <w:shd w:val="clear" w:color="000000" w:fill="FFFFFF"/>
            <w:vAlign w:val="center"/>
            <w:hideMark/>
          </w:tcPr>
          <w:p w14:paraId="6ACDAC07" w14:textId="77777777" w:rsidR="00EA2CBD" w:rsidRPr="00863745" w:rsidRDefault="00EA2CBD" w:rsidP="009D1253">
            <w:pPr>
              <w:jc w:val="center"/>
              <w:rPr>
                <w:rFonts w:ascii="Tahoma" w:hAnsi="Tahoma" w:cs="Tahoma"/>
                <w:b/>
                <w:bCs/>
                <w:sz w:val="20"/>
                <w:szCs w:val="20"/>
              </w:rPr>
            </w:pPr>
            <w:r w:rsidRPr="00863745">
              <w:rPr>
                <w:rFonts w:ascii="Tahoma" w:hAnsi="Tahoma" w:cs="Tahoma"/>
                <w:b/>
                <w:bCs/>
                <w:sz w:val="20"/>
                <w:szCs w:val="20"/>
              </w:rPr>
              <w:t>Продукт</w:t>
            </w:r>
          </w:p>
        </w:tc>
        <w:tc>
          <w:tcPr>
            <w:tcW w:w="3082" w:type="dxa"/>
            <w:gridSpan w:val="2"/>
            <w:shd w:val="clear" w:color="000000" w:fill="FFFFFF"/>
            <w:noWrap/>
            <w:vAlign w:val="center"/>
            <w:hideMark/>
          </w:tcPr>
          <w:p w14:paraId="6F4D6F1E" w14:textId="77777777" w:rsidR="00EA2CBD" w:rsidRPr="00863745" w:rsidRDefault="00EA2CBD" w:rsidP="009D1253">
            <w:pPr>
              <w:jc w:val="center"/>
              <w:rPr>
                <w:rFonts w:ascii="Tahoma" w:hAnsi="Tahoma" w:cs="Tahoma"/>
                <w:b/>
                <w:bCs/>
                <w:sz w:val="20"/>
                <w:szCs w:val="20"/>
              </w:rPr>
            </w:pPr>
            <w:r w:rsidRPr="00863745">
              <w:rPr>
                <w:rFonts w:ascii="Tahoma" w:hAnsi="Tahoma" w:cs="Tahoma"/>
                <w:b/>
                <w:bCs/>
                <w:sz w:val="20"/>
                <w:szCs w:val="20"/>
              </w:rPr>
              <w:t>Базовые параметры Вклада</w:t>
            </w:r>
          </w:p>
        </w:tc>
        <w:tc>
          <w:tcPr>
            <w:tcW w:w="10057" w:type="dxa"/>
            <w:gridSpan w:val="9"/>
            <w:shd w:val="clear" w:color="000000" w:fill="FFFFFF"/>
            <w:noWrap/>
            <w:vAlign w:val="center"/>
            <w:hideMark/>
          </w:tcPr>
          <w:p w14:paraId="08ACC55E" w14:textId="77777777" w:rsidR="00EA2CBD" w:rsidRPr="00863745" w:rsidRDefault="00EA2CBD" w:rsidP="009D1253">
            <w:pPr>
              <w:jc w:val="center"/>
              <w:rPr>
                <w:rFonts w:ascii="Tahoma" w:hAnsi="Tahoma" w:cs="Tahoma"/>
                <w:b/>
                <w:bCs/>
                <w:sz w:val="20"/>
                <w:szCs w:val="20"/>
              </w:rPr>
            </w:pPr>
            <w:r w:rsidRPr="00863745">
              <w:rPr>
                <w:rFonts w:ascii="Tahoma" w:hAnsi="Tahoma" w:cs="Tahoma"/>
                <w:b/>
                <w:bCs/>
                <w:sz w:val="20"/>
                <w:szCs w:val="20"/>
              </w:rPr>
              <w:t>Ценовые параметры по срокам привлечения</w:t>
            </w:r>
          </w:p>
        </w:tc>
      </w:tr>
      <w:tr w:rsidR="00EA2CBD" w:rsidRPr="00863745" w14:paraId="0C515891" w14:textId="77777777" w:rsidTr="009D1253">
        <w:trPr>
          <w:trHeight w:val="99"/>
        </w:trPr>
        <w:tc>
          <w:tcPr>
            <w:tcW w:w="1638" w:type="dxa"/>
            <w:vMerge/>
            <w:vAlign w:val="center"/>
            <w:hideMark/>
          </w:tcPr>
          <w:p w14:paraId="454943BF" w14:textId="77777777" w:rsidR="00EA2CBD" w:rsidRPr="00863745" w:rsidRDefault="00EA2CBD" w:rsidP="009D1253">
            <w:pPr>
              <w:rPr>
                <w:rFonts w:ascii="Tahoma" w:hAnsi="Tahoma" w:cs="Tahoma"/>
                <w:b/>
                <w:bCs/>
                <w:sz w:val="20"/>
                <w:szCs w:val="20"/>
              </w:rPr>
            </w:pPr>
          </w:p>
        </w:tc>
        <w:tc>
          <w:tcPr>
            <w:tcW w:w="1297" w:type="dxa"/>
            <w:vMerge w:val="restart"/>
            <w:shd w:val="clear" w:color="000000" w:fill="FFFFFF"/>
            <w:vAlign w:val="center"/>
            <w:hideMark/>
          </w:tcPr>
          <w:p w14:paraId="26B8CD88" w14:textId="77777777" w:rsidR="00EA2CBD" w:rsidRPr="00863745" w:rsidRDefault="00EA2CBD" w:rsidP="009D1253">
            <w:pPr>
              <w:jc w:val="center"/>
              <w:rPr>
                <w:rFonts w:ascii="Tahoma" w:hAnsi="Tahoma" w:cs="Tahoma"/>
                <w:b/>
                <w:bCs/>
                <w:sz w:val="20"/>
                <w:szCs w:val="20"/>
              </w:rPr>
            </w:pPr>
            <w:r w:rsidRPr="00863745">
              <w:rPr>
                <w:rFonts w:ascii="Tahoma" w:hAnsi="Tahoma" w:cs="Tahoma"/>
                <w:b/>
                <w:bCs/>
                <w:sz w:val="20"/>
                <w:szCs w:val="20"/>
              </w:rPr>
              <w:t>Валюта Вклада</w:t>
            </w:r>
          </w:p>
        </w:tc>
        <w:tc>
          <w:tcPr>
            <w:tcW w:w="1785" w:type="dxa"/>
            <w:vMerge w:val="restart"/>
            <w:shd w:val="clear" w:color="000000" w:fill="FFFFFF"/>
            <w:vAlign w:val="center"/>
            <w:hideMark/>
          </w:tcPr>
          <w:p w14:paraId="1AB19767" w14:textId="77777777" w:rsidR="00EA2CBD" w:rsidRPr="00863745" w:rsidRDefault="00EA2CBD" w:rsidP="009D1253">
            <w:pPr>
              <w:jc w:val="center"/>
              <w:rPr>
                <w:rFonts w:ascii="Tahoma" w:hAnsi="Tahoma" w:cs="Tahoma"/>
                <w:b/>
                <w:bCs/>
                <w:sz w:val="20"/>
                <w:szCs w:val="20"/>
              </w:rPr>
            </w:pPr>
            <w:r w:rsidRPr="00863745">
              <w:rPr>
                <w:rFonts w:ascii="Tahoma" w:hAnsi="Tahoma" w:cs="Tahoma"/>
                <w:b/>
                <w:bCs/>
                <w:sz w:val="20"/>
                <w:szCs w:val="20"/>
              </w:rPr>
              <w:t>Минимальная сумма Вклада</w:t>
            </w:r>
          </w:p>
        </w:tc>
        <w:tc>
          <w:tcPr>
            <w:tcW w:w="1135" w:type="dxa"/>
            <w:shd w:val="clear" w:color="000000" w:fill="FFFFFF"/>
            <w:noWrap/>
            <w:vAlign w:val="center"/>
            <w:hideMark/>
          </w:tcPr>
          <w:p w14:paraId="2A09F85A" w14:textId="77777777" w:rsidR="00EA2CBD" w:rsidRPr="00863745" w:rsidRDefault="00EA2CBD" w:rsidP="009D1253">
            <w:pPr>
              <w:jc w:val="center"/>
              <w:rPr>
                <w:rFonts w:ascii="Tahoma" w:hAnsi="Tahoma" w:cs="Tahoma"/>
                <w:b/>
                <w:bCs/>
                <w:sz w:val="20"/>
                <w:szCs w:val="20"/>
              </w:rPr>
            </w:pPr>
            <w:r w:rsidRPr="00863745">
              <w:rPr>
                <w:rFonts w:ascii="Tahoma" w:hAnsi="Tahoma" w:cs="Tahoma"/>
                <w:b/>
                <w:bCs/>
                <w:sz w:val="20"/>
                <w:szCs w:val="20"/>
              </w:rPr>
              <w:t>62 дня</w:t>
            </w:r>
          </w:p>
        </w:tc>
        <w:tc>
          <w:tcPr>
            <w:tcW w:w="973" w:type="dxa"/>
            <w:shd w:val="clear" w:color="000000" w:fill="FFFFFF"/>
            <w:noWrap/>
            <w:vAlign w:val="center"/>
            <w:hideMark/>
          </w:tcPr>
          <w:p w14:paraId="5B89556F" w14:textId="77777777" w:rsidR="00EA2CBD" w:rsidRPr="00863745" w:rsidRDefault="00EA2CBD" w:rsidP="009D1253">
            <w:pPr>
              <w:jc w:val="center"/>
              <w:rPr>
                <w:rFonts w:ascii="Tahoma" w:hAnsi="Tahoma" w:cs="Tahoma"/>
                <w:b/>
                <w:bCs/>
                <w:sz w:val="20"/>
                <w:szCs w:val="20"/>
              </w:rPr>
            </w:pPr>
            <w:r w:rsidRPr="00863745">
              <w:rPr>
                <w:rFonts w:ascii="Tahoma" w:hAnsi="Tahoma" w:cs="Tahoma"/>
                <w:b/>
                <w:bCs/>
                <w:sz w:val="20"/>
                <w:szCs w:val="20"/>
              </w:rPr>
              <w:t>92 дня</w:t>
            </w:r>
          </w:p>
        </w:tc>
        <w:tc>
          <w:tcPr>
            <w:tcW w:w="1135" w:type="dxa"/>
            <w:shd w:val="clear" w:color="000000" w:fill="FFFFFF"/>
            <w:noWrap/>
            <w:vAlign w:val="center"/>
            <w:hideMark/>
          </w:tcPr>
          <w:p w14:paraId="3E9F5AC4" w14:textId="77777777" w:rsidR="00EA2CBD" w:rsidRPr="00863745" w:rsidRDefault="00EA2CBD" w:rsidP="009D1253">
            <w:pPr>
              <w:jc w:val="center"/>
              <w:rPr>
                <w:rFonts w:ascii="Tahoma" w:hAnsi="Tahoma" w:cs="Tahoma"/>
                <w:b/>
                <w:bCs/>
                <w:sz w:val="20"/>
                <w:szCs w:val="20"/>
              </w:rPr>
            </w:pPr>
            <w:r w:rsidRPr="00863745">
              <w:rPr>
                <w:rFonts w:ascii="Tahoma" w:hAnsi="Tahoma" w:cs="Tahoma"/>
                <w:b/>
                <w:bCs/>
                <w:sz w:val="20"/>
                <w:szCs w:val="20"/>
              </w:rPr>
              <w:t>122 дня</w:t>
            </w:r>
          </w:p>
        </w:tc>
        <w:tc>
          <w:tcPr>
            <w:tcW w:w="1135" w:type="dxa"/>
            <w:shd w:val="clear" w:color="000000" w:fill="FFFFFF"/>
            <w:noWrap/>
            <w:vAlign w:val="center"/>
            <w:hideMark/>
          </w:tcPr>
          <w:p w14:paraId="0269EA12" w14:textId="77777777" w:rsidR="00EA2CBD" w:rsidRPr="00863745" w:rsidRDefault="00EA2CBD" w:rsidP="009D1253">
            <w:pPr>
              <w:jc w:val="center"/>
              <w:rPr>
                <w:rFonts w:ascii="Tahoma" w:hAnsi="Tahoma" w:cs="Tahoma"/>
                <w:b/>
                <w:bCs/>
                <w:sz w:val="20"/>
                <w:szCs w:val="20"/>
              </w:rPr>
            </w:pPr>
            <w:r w:rsidRPr="00863745">
              <w:rPr>
                <w:rFonts w:ascii="Tahoma" w:hAnsi="Tahoma" w:cs="Tahoma"/>
                <w:b/>
                <w:bCs/>
                <w:sz w:val="20"/>
                <w:szCs w:val="20"/>
              </w:rPr>
              <w:t>182 дня</w:t>
            </w:r>
          </w:p>
        </w:tc>
        <w:tc>
          <w:tcPr>
            <w:tcW w:w="1135" w:type="dxa"/>
            <w:shd w:val="clear" w:color="000000" w:fill="FFFFFF"/>
            <w:vAlign w:val="center"/>
          </w:tcPr>
          <w:p w14:paraId="3445785A" w14:textId="77777777" w:rsidR="00EA2CBD" w:rsidRPr="00863745" w:rsidRDefault="00EA2CBD" w:rsidP="009D1253">
            <w:pPr>
              <w:jc w:val="center"/>
              <w:rPr>
                <w:rFonts w:ascii="Tahoma" w:hAnsi="Tahoma" w:cs="Tahoma"/>
                <w:b/>
                <w:bCs/>
                <w:sz w:val="20"/>
                <w:szCs w:val="20"/>
              </w:rPr>
            </w:pPr>
            <w:r>
              <w:rPr>
                <w:rFonts w:ascii="Tahoma" w:hAnsi="Tahoma" w:cs="Tahoma"/>
                <w:b/>
                <w:bCs/>
                <w:sz w:val="20"/>
                <w:szCs w:val="20"/>
              </w:rPr>
              <w:t>243 дня</w:t>
            </w:r>
          </w:p>
        </w:tc>
        <w:tc>
          <w:tcPr>
            <w:tcW w:w="1136" w:type="dxa"/>
            <w:shd w:val="clear" w:color="000000" w:fill="FFFFFF"/>
            <w:vAlign w:val="center"/>
          </w:tcPr>
          <w:p w14:paraId="6826D6EF" w14:textId="77777777" w:rsidR="00EA2CBD" w:rsidRPr="00863745" w:rsidRDefault="00EA2CBD" w:rsidP="009D1253">
            <w:pPr>
              <w:jc w:val="center"/>
              <w:rPr>
                <w:rFonts w:ascii="Tahoma" w:hAnsi="Tahoma" w:cs="Tahoma"/>
                <w:b/>
                <w:bCs/>
                <w:sz w:val="20"/>
                <w:szCs w:val="20"/>
              </w:rPr>
            </w:pPr>
            <w:r>
              <w:rPr>
                <w:rFonts w:ascii="Tahoma" w:hAnsi="Tahoma" w:cs="Tahoma"/>
                <w:b/>
                <w:bCs/>
                <w:sz w:val="20"/>
                <w:szCs w:val="20"/>
              </w:rPr>
              <w:t>273 дня</w:t>
            </w:r>
          </w:p>
        </w:tc>
        <w:tc>
          <w:tcPr>
            <w:tcW w:w="1135" w:type="dxa"/>
            <w:shd w:val="clear" w:color="000000" w:fill="FFFFFF"/>
            <w:vAlign w:val="center"/>
          </w:tcPr>
          <w:p w14:paraId="35106F2F" w14:textId="77777777" w:rsidR="00EA2CBD" w:rsidRPr="00863745" w:rsidRDefault="00EA2CBD" w:rsidP="009D1253">
            <w:pPr>
              <w:jc w:val="center"/>
              <w:rPr>
                <w:rFonts w:ascii="Tahoma" w:hAnsi="Tahoma" w:cs="Tahoma"/>
                <w:b/>
                <w:bCs/>
                <w:sz w:val="20"/>
                <w:szCs w:val="20"/>
              </w:rPr>
            </w:pPr>
            <w:r>
              <w:rPr>
                <w:rFonts w:ascii="Tahoma" w:hAnsi="Tahoma" w:cs="Tahoma"/>
                <w:b/>
                <w:bCs/>
                <w:sz w:val="20"/>
                <w:szCs w:val="20"/>
              </w:rPr>
              <w:t>367 дней</w:t>
            </w:r>
          </w:p>
        </w:tc>
        <w:tc>
          <w:tcPr>
            <w:tcW w:w="1104" w:type="dxa"/>
            <w:shd w:val="clear" w:color="000000" w:fill="FFFFFF"/>
            <w:vAlign w:val="center"/>
          </w:tcPr>
          <w:p w14:paraId="5286282D" w14:textId="77777777" w:rsidR="00EA2CBD" w:rsidRPr="008572C5" w:rsidRDefault="00EA2CBD" w:rsidP="009D1253">
            <w:pPr>
              <w:jc w:val="center"/>
              <w:rPr>
                <w:rFonts w:ascii="Tahoma" w:hAnsi="Tahoma" w:cs="Tahoma"/>
                <w:b/>
                <w:bCs/>
                <w:sz w:val="20"/>
                <w:szCs w:val="20"/>
              </w:rPr>
            </w:pPr>
            <w:r w:rsidRPr="008572C5">
              <w:rPr>
                <w:rFonts w:ascii="Tahoma" w:hAnsi="Tahoma" w:cs="Tahoma"/>
                <w:b/>
                <w:bCs/>
                <w:sz w:val="20"/>
                <w:szCs w:val="20"/>
              </w:rPr>
              <w:t>731 день</w:t>
            </w:r>
          </w:p>
        </w:tc>
        <w:tc>
          <w:tcPr>
            <w:tcW w:w="1169" w:type="dxa"/>
            <w:shd w:val="clear" w:color="000000" w:fill="FFFFFF"/>
            <w:vAlign w:val="center"/>
          </w:tcPr>
          <w:p w14:paraId="7FC038D6" w14:textId="77777777" w:rsidR="00EA2CBD" w:rsidRPr="008572C5" w:rsidRDefault="00EA2CBD" w:rsidP="009D1253">
            <w:pPr>
              <w:jc w:val="center"/>
              <w:rPr>
                <w:rFonts w:ascii="Tahoma" w:hAnsi="Tahoma" w:cs="Tahoma"/>
                <w:b/>
                <w:bCs/>
                <w:sz w:val="20"/>
                <w:szCs w:val="20"/>
              </w:rPr>
            </w:pPr>
            <w:r w:rsidRPr="008572C5">
              <w:rPr>
                <w:rFonts w:ascii="Tahoma" w:hAnsi="Tahoma" w:cs="Tahoma"/>
                <w:b/>
                <w:bCs/>
                <w:sz w:val="20"/>
                <w:szCs w:val="20"/>
              </w:rPr>
              <w:t>1098 дней</w:t>
            </w:r>
          </w:p>
        </w:tc>
      </w:tr>
      <w:tr w:rsidR="00EA2CBD" w:rsidRPr="00863745" w14:paraId="6CFBD6FD" w14:textId="77777777" w:rsidTr="009D1253">
        <w:trPr>
          <w:trHeight w:val="453"/>
        </w:trPr>
        <w:tc>
          <w:tcPr>
            <w:tcW w:w="1638" w:type="dxa"/>
            <w:vMerge/>
            <w:vAlign w:val="center"/>
            <w:hideMark/>
          </w:tcPr>
          <w:p w14:paraId="27BF58AB" w14:textId="77777777" w:rsidR="00EA2CBD" w:rsidRPr="00863745" w:rsidRDefault="00EA2CBD" w:rsidP="009D1253">
            <w:pPr>
              <w:rPr>
                <w:rFonts w:ascii="Tahoma" w:hAnsi="Tahoma" w:cs="Tahoma"/>
                <w:b/>
                <w:bCs/>
                <w:sz w:val="20"/>
                <w:szCs w:val="20"/>
              </w:rPr>
            </w:pPr>
          </w:p>
        </w:tc>
        <w:tc>
          <w:tcPr>
            <w:tcW w:w="1297" w:type="dxa"/>
            <w:vMerge/>
            <w:vAlign w:val="center"/>
            <w:hideMark/>
          </w:tcPr>
          <w:p w14:paraId="72B94F1E" w14:textId="77777777" w:rsidR="00EA2CBD" w:rsidRPr="00863745" w:rsidRDefault="00EA2CBD" w:rsidP="009D1253">
            <w:pPr>
              <w:rPr>
                <w:rFonts w:ascii="Tahoma" w:hAnsi="Tahoma" w:cs="Tahoma"/>
                <w:b/>
                <w:bCs/>
                <w:sz w:val="20"/>
                <w:szCs w:val="20"/>
              </w:rPr>
            </w:pPr>
          </w:p>
        </w:tc>
        <w:tc>
          <w:tcPr>
            <w:tcW w:w="1785" w:type="dxa"/>
            <w:vMerge/>
            <w:vAlign w:val="center"/>
            <w:hideMark/>
          </w:tcPr>
          <w:p w14:paraId="4A1D182D" w14:textId="77777777" w:rsidR="00EA2CBD" w:rsidRPr="00863745" w:rsidRDefault="00EA2CBD" w:rsidP="009D1253">
            <w:pPr>
              <w:rPr>
                <w:rFonts w:ascii="Tahoma" w:hAnsi="Tahoma" w:cs="Tahoma"/>
                <w:b/>
                <w:bCs/>
                <w:sz w:val="20"/>
                <w:szCs w:val="20"/>
              </w:rPr>
            </w:pPr>
          </w:p>
        </w:tc>
        <w:tc>
          <w:tcPr>
            <w:tcW w:w="10057" w:type="dxa"/>
            <w:gridSpan w:val="9"/>
            <w:shd w:val="clear" w:color="000000" w:fill="FFFFFF"/>
            <w:vAlign w:val="center"/>
            <w:hideMark/>
          </w:tcPr>
          <w:p w14:paraId="59354DF0" w14:textId="77777777" w:rsidR="00EA2CBD" w:rsidRPr="00863745" w:rsidRDefault="00EA2CBD" w:rsidP="009D1253">
            <w:pPr>
              <w:jc w:val="center"/>
              <w:rPr>
                <w:rFonts w:ascii="Tahoma" w:hAnsi="Tahoma" w:cs="Tahoma"/>
                <w:b/>
                <w:bCs/>
                <w:sz w:val="20"/>
                <w:szCs w:val="20"/>
              </w:rPr>
            </w:pPr>
            <w:r w:rsidRPr="008572C5">
              <w:rPr>
                <w:rFonts w:ascii="Tahoma" w:hAnsi="Tahoma" w:cs="Tahoma"/>
                <w:b/>
                <w:bCs/>
                <w:sz w:val="20"/>
                <w:szCs w:val="20"/>
              </w:rPr>
              <w:t>Процентные ставки*</w:t>
            </w:r>
            <w:r>
              <w:rPr>
                <w:rFonts w:ascii="Tahoma" w:hAnsi="Tahoma" w:cs="Tahoma"/>
                <w:b/>
                <w:bCs/>
                <w:sz w:val="20"/>
                <w:szCs w:val="20"/>
              </w:rPr>
              <w:t>*</w:t>
            </w:r>
            <w:r w:rsidRPr="008572C5">
              <w:rPr>
                <w:rFonts w:ascii="Tahoma" w:hAnsi="Tahoma" w:cs="Tahoma"/>
                <w:b/>
                <w:bCs/>
                <w:sz w:val="20"/>
                <w:szCs w:val="20"/>
              </w:rPr>
              <w:t xml:space="preserve"> (% годовых) в зависимости от срока </w:t>
            </w:r>
            <w:r>
              <w:rPr>
                <w:rFonts w:ascii="Tahoma" w:hAnsi="Tahoma" w:cs="Tahoma"/>
                <w:b/>
                <w:bCs/>
                <w:sz w:val="20"/>
                <w:szCs w:val="20"/>
              </w:rPr>
              <w:t>В</w:t>
            </w:r>
            <w:r w:rsidRPr="008572C5">
              <w:rPr>
                <w:rFonts w:ascii="Tahoma" w:hAnsi="Tahoma" w:cs="Tahoma"/>
                <w:b/>
                <w:bCs/>
                <w:sz w:val="20"/>
                <w:szCs w:val="20"/>
              </w:rPr>
              <w:t>клада</w:t>
            </w:r>
          </w:p>
        </w:tc>
      </w:tr>
      <w:tr w:rsidR="00EA2CBD" w:rsidRPr="00863745" w14:paraId="242FCC52" w14:textId="77777777" w:rsidTr="009D1253">
        <w:trPr>
          <w:trHeight w:val="525"/>
        </w:trPr>
        <w:tc>
          <w:tcPr>
            <w:tcW w:w="1638" w:type="dxa"/>
            <w:vMerge w:val="restart"/>
            <w:shd w:val="clear" w:color="auto" w:fill="FFC000"/>
            <w:vAlign w:val="center"/>
            <w:hideMark/>
          </w:tcPr>
          <w:p w14:paraId="147389D8" w14:textId="77777777" w:rsidR="00EA2CBD" w:rsidRPr="00863745" w:rsidRDefault="00EA2CBD" w:rsidP="009D1253">
            <w:pPr>
              <w:jc w:val="center"/>
              <w:rPr>
                <w:rFonts w:ascii="Tahoma" w:hAnsi="Tahoma" w:cs="Tahoma"/>
                <w:bCs/>
                <w:sz w:val="20"/>
                <w:szCs w:val="20"/>
              </w:rPr>
            </w:pPr>
            <w:r w:rsidRPr="00863745">
              <w:rPr>
                <w:rFonts w:ascii="Tahoma" w:hAnsi="Tahoma" w:cs="Tahoma"/>
                <w:bCs/>
                <w:sz w:val="20"/>
                <w:szCs w:val="20"/>
              </w:rPr>
              <w:t>АТБ. ВИП Вклад</w:t>
            </w:r>
            <w:r w:rsidRPr="00863745">
              <w:rPr>
                <w:rFonts w:ascii="Tahoma" w:hAnsi="Tahoma" w:cs="Tahoma"/>
                <w:bCs/>
                <w:sz w:val="20"/>
                <w:szCs w:val="20"/>
              </w:rPr>
              <w:br/>
              <w:t>(без пополнения и снятия)</w:t>
            </w:r>
          </w:p>
        </w:tc>
        <w:tc>
          <w:tcPr>
            <w:tcW w:w="1297" w:type="dxa"/>
            <w:shd w:val="clear" w:color="000000" w:fill="FFFFFF"/>
            <w:noWrap/>
            <w:vAlign w:val="center"/>
            <w:hideMark/>
          </w:tcPr>
          <w:p w14:paraId="2F7BE688" w14:textId="77777777" w:rsidR="00EA2CBD" w:rsidRPr="00863745" w:rsidRDefault="00EA2CBD" w:rsidP="009D1253">
            <w:pPr>
              <w:jc w:val="center"/>
              <w:rPr>
                <w:rFonts w:ascii="Tahoma" w:hAnsi="Tahoma" w:cs="Tahoma"/>
                <w:sz w:val="20"/>
                <w:szCs w:val="20"/>
              </w:rPr>
            </w:pPr>
            <w:r w:rsidRPr="00863745">
              <w:rPr>
                <w:rFonts w:ascii="Tahoma" w:hAnsi="Tahoma" w:cs="Tahoma"/>
                <w:sz w:val="20"/>
                <w:szCs w:val="20"/>
              </w:rPr>
              <w:t>рубли</w:t>
            </w:r>
          </w:p>
        </w:tc>
        <w:tc>
          <w:tcPr>
            <w:tcW w:w="1785" w:type="dxa"/>
            <w:shd w:val="clear" w:color="000000" w:fill="FFFFFF"/>
            <w:noWrap/>
            <w:vAlign w:val="center"/>
            <w:hideMark/>
          </w:tcPr>
          <w:p w14:paraId="3F47B8B0" w14:textId="77777777" w:rsidR="00EA2CBD" w:rsidRPr="00863745" w:rsidRDefault="00EA2CBD" w:rsidP="009D1253">
            <w:pPr>
              <w:jc w:val="center"/>
              <w:rPr>
                <w:rFonts w:ascii="Tahoma" w:hAnsi="Tahoma" w:cs="Tahoma"/>
                <w:sz w:val="20"/>
                <w:szCs w:val="20"/>
              </w:rPr>
            </w:pPr>
            <w:r w:rsidRPr="00863745">
              <w:rPr>
                <w:rFonts w:ascii="Tahoma" w:hAnsi="Tahoma" w:cs="Tahoma"/>
                <w:sz w:val="20"/>
                <w:szCs w:val="20"/>
              </w:rPr>
              <w:t>7 000 000</w:t>
            </w:r>
          </w:p>
        </w:tc>
        <w:tc>
          <w:tcPr>
            <w:tcW w:w="1135" w:type="dxa"/>
            <w:shd w:val="clear" w:color="000000" w:fill="FFFFFF"/>
            <w:noWrap/>
            <w:vAlign w:val="center"/>
            <w:hideMark/>
          </w:tcPr>
          <w:p w14:paraId="3D850424" w14:textId="77777777" w:rsidR="00EA2CBD" w:rsidRDefault="00EA2CBD" w:rsidP="009D1253">
            <w:pPr>
              <w:jc w:val="center"/>
              <w:rPr>
                <w:rFonts w:ascii="Tahoma" w:hAnsi="Tahoma" w:cs="Tahoma"/>
                <w:sz w:val="20"/>
                <w:szCs w:val="20"/>
              </w:rPr>
            </w:pPr>
            <w:r>
              <w:rPr>
                <w:rFonts w:ascii="Tahoma" w:hAnsi="Tahoma" w:cs="Tahoma"/>
                <w:sz w:val="20"/>
                <w:szCs w:val="20"/>
              </w:rPr>
              <w:t>15,200</w:t>
            </w:r>
          </w:p>
        </w:tc>
        <w:tc>
          <w:tcPr>
            <w:tcW w:w="973" w:type="dxa"/>
            <w:shd w:val="clear" w:color="000000" w:fill="FFFFFF"/>
            <w:noWrap/>
            <w:vAlign w:val="center"/>
            <w:hideMark/>
          </w:tcPr>
          <w:p w14:paraId="32FCA881" w14:textId="77777777" w:rsidR="00EA2CBD" w:rsidRDefault="00EA2CBD" w:rsidP="009D1253">
            <w:pPr>
              <w:jc w:val="center"/>
              <w:rPr>
                <w:rFonts w:ascii="Tahoma" w:hAnsi="Tahoma" w:cs="Tahoma"/>
                <w:sz w:val="20"/>
                <w:szCs w:val="20"/>
              </w:rPr>
            </w:pPr>
            <w:r>
              <w:rPr>
                <w:rFonts w:ascii="Tahoma" w:hAnsi="Tahoma" w:cs="Tahoma"/>
                <w:sz w:val="20"/>
                <w:szCs w:val="20"/>
              </w:rPr>
              <w:t>22,000</w:t>
            </w:r>
          </w:p>
        </w:tc>
        <w:tc>
          <w:tcPr>
            <w:tcW w:w="1135" w:type="dxa"/>
            <w:shd w:val="clear" w:color="000000" w:fill="FFFFFF"/>
            <w:noWrap/>
            <w:vAlign w:val="center"/>
            <w:hideMark/>
          </w:tcPr>
          <w:p w14:paraId="21D92505" w14:textId="77777777" w:rsidR="00EA2CBD" w:rsidRDefault="00EA2CBD" w:rsidP="009D1253">
            <w:pPr>
              <w:jc w:val="center"/>
              <w:rPr>
                <w:rFonts w:ascii="Tahoma" w:hAnsi="Tahoma" w:cs="Tahoma"/>
                <w:sz w:val="20"/>
                <w:szCs w:val="20"/>
              </w:rPr>
            </w:pPr>
            <w:r>
              <w:rPr>
                <w:rFonts w:ascii="Tahoma" w:hAnsi="Tahoma" w:cs="Tahoma"/>
                <w:sz w:val="20"/>
                <w:szCs w:val="20"/>
              </w:rPr>
              <w:t>22,200</w:t>
            </w:r>
          </w:p>
        </w:tc>
        <w:tc>
          <w:tcPr>
            <w:tcW w:w="1135" w:type="dxa"/>
            <w:shd w:val="clear" w:color="000000" w:fill="FFFFFF"/>
            <w:noWrap/>
            <w:vAlign w:val="center"/>
            <w:hideMark/>
          </w:tcPr>
          <w:p w14:paraId="226E0796" w14:textId="77777777" w:rsidR="00EA2CBD" w:rsidRDefault="00EA2CBD" w:rsidP="009D1253">
            <w:pPr>
              <w:jc w:val="center"/>
              <w:rPr>
                <w:rFonts w:ascii="Tahoma" w:hAnsi="Tahoma" w:cs="Tahoma"/>
                <w:sz w:val="20"/>
                <w:szCs w:val="20"/>
              </w:rPr>
            </w:pPr>
            <w:r>
              <w:rPr>
                <w:rFonts w:ascii="Tahoma" w:hAnsi="Tahoma" w:cs="Tahoma"/>
                <w:sz w:val="20"/>
                <w:szCs w:val="20"/>
              </w:rPr>
              <w:t>22,500</w:t>
            </w:r>
          </w:p>
        </w:tc>
        <w:tc>
          <w:tcPr>
            <w:tcW w:w="1135" w:type="dxa"/>
            <w:shd w:val="clear" w:color="000000" w:fill="FFFFFF"/>
            <w:vAlign w:val="center"/>
          </w:tcPr>
          <w:p w14:paraId="7225C601" w14:textId="77777777" w:rsidR="00EA2CBD" w:rsidRDefault="00EA2CBD" w:rsidP="009D1253">
            <w:pPr>
              <w:jc w:val="center"/>
              <w:rPr>
                <w:rFonts w:ascii="Tahoma" w:hAnsi="Tahoma" w:cs="Tahoma"/>
                <w:sz w:val="20"/>
                <w:szCs w:val="20"/>
              </w:rPr>
            </w:pPr>
            <w:r>
              <w:rPr>
                <w:rFonts w:ascii="Tahoma" w:hAnsi="Tahoma" w:cs="Tahoma"/>
                <w:sz w:val="20"/>
                <w:szCs w:val="20"/>
              </w:rPr>
              <w:t>22,700</w:t>
            </w:r>
          </w:p>
        </w:tc>
        <w:tc>
          <w:tcPr>
            <w:tcW w:w="1136" w:type="dxa"/>
            <w:shd w:val="clear" w:color="000000" w:fill="FFFFFF"/>
            <w:vAlign w:val="center"/>
          </w:tcPr>
          <w:p w14:paraId="2E29FD44" w14:textId="77777777" w:rsidR="00EA2CBD" w:rsidRDefault="00EA2CBD" w:rsidP="009D1253">
            <w:pPr>
              <w:jc w:val="center"/>
              <w:rPr>
                <w:rFonts w:ascii="Tahoma" w:hAnsi="Tahoma" w:cs="Tahoma"/>
                <w:sz w:val="20"/>
                <w:szCs w:val="20"/>
              </w:rPr>
            </w:pPr>
            <w:r>
              <w:rPr>
                <w:rFonts w:ascii="Tahoma" w:hAnsi="Tahoma" w:cs="Tahoma"/>
                <w:sz w:val="20"/>
                <w:szCs w:val="20"/>
              </w:rPr>
              <w:t>23,000</w:t>
            </w:r>
          </w:p>
        </w:tc>
        <w:tc>
          <w:tcPr>
            <w:tcW w:w="1135" w:type="dxa"/>
            <w:shd w:val="clear" w:color="000000" w:fill="FFFFFF"/>
            <w:vAlign w:val="center"/>
          </w:tcPr>
          <w:p w14:paraId="1BE5D892" w14:textId="77777777" w:rsidR="00EA2CBD" w:rsidRDefault="00EA2CBD" w:rsidP="009D1253">
            <w:pPr>
              <w:jc w:val="center"/>
              <w:rPr>
                <w:rFonts w:ascii="Tahoma" w:hAnsi="Tahoma" w:cs="Tahoma"/>
                <w:sz w:val="20"/>
                <w:szCs w:val="20"/>
              </w:rPr>
            </w:pPr>
            <w:r>
              <w:rPr>
                <w:rFonts w:ascii="Tahoma" w:hAnsi="Tahoma" w:cs="Tahoma"/>
                <w:sz w:val="20"/>
                <w:szCs w:val="20"/>
              </w:rPr>
              <w:t>23,200</w:t>
            </w:r>
          </w:p>
        </w:tc>
        <w:tc>
          <w:tcPr>
            <w:tcW w:w="1104" w:type="dxa"/>
            <w:shd w:val="clear" w:color="000000" w:fill="FFFFFF"/>
            <w:vAlign w:val="center"/>
          </w:tcPr>
          <w:p w14:paraId="5BB21BB9" w14:textId="77777777" w:rsidR="00EA2CBD" w:rsidRDefault="00EA2CBD" w:rsidP="009D1253">
            <w:pPr>
              <w:jc w:val="center"/>
              <w:rPr>
                <w:rFonts w:ascii="Tahoma" w:hAnsi="Tahoma" w:cs="Tahoma"/>
                <w:sz w:val="20"/>
                <w:szCs w:val="20"/>
              </w:rPr>
            </w:pPr>
            <w:r>
              <w:rPr>
                <w:rFonts w:ascii="Tahoma" w:hAnsi="Tahoma" w:cs="Tahoma"/>
                <w:sz w:val="20"/>
                <w:szCs w:val="20"/>
              </w:rPr>
              <w:t>23,000</w:t>
            </w:r>
          </w:p>
        </w:tc>
        <w:tc>
          <w:tcPr>
            <w:tcW w:w="1169" w:type="dxa"/>
            <w:shd w:val="clear" w:color="000000" w:fill="FFFFFF"/>
            <w:vAlign w:val="center"/>
          </w:tcPr>
          <w:p w14:paraId="5ADE7B5F" w14:textId="77777777" w:rsidR="00EA2CBD" w:rsidRPr="002E5D29" w:rsidRDefault="00EA2CBD" w:rsidP="009D1253">
            <w:pPr>
              <w:jc w:val="center"/>
              <w:rPr>
                <w:rFonts w:ascii="Tahoma" w:hAnsi="Tahoma" w:cs="Tahoma"/>
                <w:sz w:val="20"/>
                <w:szCs w:val="20"/>
              </w:rPr>
            </w:pPr>
            <w:r w:rsidRPr="002E5D29">
              <w:rPr>
                <w:rFonts w:ascii="Tahoma" w:hAnsi="Tahoma" w:cs="Tahoma"/>
                <w:sz w:val="20"/>
                <w:szCs w:val="20"/>
              </w:rPr>
              <w:t>2</w:t>
            </w:r>
            <w:r>
              <w:rPr>
                <w:rFonts w:ascii="Tahoma" w:hAnsi="Tahoma" w:cs="Tahoma"/>
                <w:sz w:val="20"/>
                <w:szCs w:val="20"/>
              </w:rPr>
              <w:t>3</w:t>
            </w:r>
            <w:r w:rsidRPr="002E5D29">
              <w:rPr>
                <w:rFonts w:ascii="Tahoma" w:hAnsi="Tahoma" w:cs="Tahoma"/>
                <w:sz w:val="20"/>
                <w:szCs w:val="20"/>
              </w:rPr>
              <w:t>,000</w:t>
            </w:r>
          </w:p>
        </w:tc>
      </w:tr>
      <w:tr w:rsidR="00EA2CBD" w:rsidRPr="00863745" w14:paraId="098B14CA" w14:textId="77777777" w:rsidTr="009D1253">
        <w:trPr>
          <w:trHeight w:val="161"/>
        </w:trPr>
        <w:tc>
          <w:tcPr>
            <w:tcW w:w="1638" w:type="dxa"/>
            <w:vMerge/>
            <w:shd w:val="clear" w:color="auto" w:fill="FFC000"/>
            <w:vAlign w:val="center"/>
          </w:tcPr>
          <w:p w14:paraId="58BE3357" w14:textId="77777777" w:rsidR="00EA2CBD" w:rsidRPr="00863745" w:rsidRDefault="00EA2CBD" w:rsidP="009D1253">
            <w:pPr>
              <w:jc w:val="center"/>
              <w:rPr>
                <w:rFonts w:ascii="Tahoma" w:hAnsi="Tahoma" w:cs="Tahoma"/>
                <w:bCs/>
                <w:sz w:val="20"/>
                <w:szCs w:val="20"/>
              </w:rPr>
            </w:pPr>
          </w:p>
        </w:tc>
        <w:tc>
          <w:tcPr>
            <w:tcW w:w="1297" w:type="dxa"/>
            <w:shd w:val="clear" w:color="000000" w:fill="FFFFFF"/>
            <w:noWrap/>
            <w:vAlign w:val="center"/>
          </w:tcPr>
          <w:p w14:paraId="13C46A5F" w14:textId="77777777" w:rsidR="00EA2CBD" w:rsidRPr="00863745" w:rsidRDefault="00EA2CBD" w:rsidP="009D1253">
            <w:pPr>
              <w:jc w:val="center"/>
              <w:rPr>
                <w:rFonts w:ascii="Tahoma" w:hAnsi="Tahoma" w:cs="Tahoma"/>
                <w:sz w:val="20"/>
                <w:szCs w:val="20"/>
              </w:rPr>
            </w:pPr>
            <w:r w:rsidRPr="008572C5">
              <w:rPr>
                <w:rFonts w:ascii="Tahoma" w:hAnsi="Tahoma" w:cs="Tahoma"/>
                <w:bCs/>
                <w:iCs/>
                <w:sz w:val="20"/>
                <w:szCs w:val="20"/>
              </w:rPr>
              <w:t>китайский юань</w:t>
            </w:r>
          </w:p>
        </w:tc>
        <w:tc>
          <w:tcPr>
            <w:tcW w:w="1785" w:type="dxa"/>
            <w:shd w:val="clear" w:color="000000" w:fill="FFFFFF"/>
            <w:noWrap/>
            <w:vAlign w:val="center"/>
          </w:tcPr>
          <w:p w14:paraId="71318936" w14:textId="77777777" w:rsidR="00EA2CBD" w:rsidRPr="00863745" w:rsidRDefault="00EA2CBD" w:rsidP="009D1253">
            <w:pPr>
              <w:jc w:val="center"/>
              <w:rPr>
                <w:rFonts w:ascii="Tahoma" w:hAnsi="Tahoma" w:cs="Tahoma"/>
                <w:sz w:val="20"/>
                <w:szCs w:val="20"/>
              </w:rPr>
            </w:pPr>
            <w:r>
              <w:rPr>
                <w:rFonts w:ascii="Tahoma" w:hAnsi="Tahoma" w:cs="Tahoma"/>
                <w:sz w:val="20"/>
                <w:szCs w:val="20"/>
              </w:rPr>
              <w:t>500 000</w:t>
            </w:r>
          </w:p>
        </w:tc>
        <w:tc>
          <w:tcPr>
            <w:tcW w:w="1135" w:type="dxa"/>
            <w:shd w:val="clear" w:color="000000" w:fill="FFFFFF"/>
            <w:noWrap/>
            <w:vAlign w:val="center"/>
          </w:tcPr>
          <w:p w14:paraId="1469E07E" w14:textId="77777777" w:rsidR="00EA2CBD" w:rsidRDefault="00EA2CBD" w:rsidP="009D1253">
            <w:pPr>
              <w:jc w:val="center"/>
              <w:rPr>
                <w:rFonts w:ascii="Tahoma" w:hAnsi="Tahoma" w:cs="Tahoma"/>
                <w:sz w:val="20"/>
                <w:szCs w:val="20"/>
              </w:rPr>
            </w:pPr>
            <w:r>
              <w:rPr>
                <w:rFonts w:ascii="Tahoma" w:hAnsi="Tahoma" w:cs="Tahoma"/>
                <w:sz w:val="20"/>
                <w:szCs w:val="20"/>
              </w:rPr>
              <w:t>-</w:t>
            </w:r>
          </w:p>
        </w:tc>
        <w:tc>
          <w:tcPr>
            <w:tcW w:w="973" w:type="dxa"/>
            <w:shd w:val="clear" w:color="000000" w:fill="FFFFFF"/>
            <w:noWrap/>
            <w:vAlign w:val="center"/>
          </w:tcPr>
          <w:p w14:paraId="3CD60FA0" w14:textId="77777777" w:rsidR="00EA2CBD" w:rsidRDefault="00EA2CBD" w:rsidP="009D1253">
            <w:pPr>
              <w:jc w:val="center"/>
              <w:rPr>
                <w:rFonts w:ascii="Tahoma" w:hAnsi="Tahoma" w:cs="Tahoma"/>
                <w:sz w:val="20"/>
                <w:szCs w:val="20"/>
              </w:rPr>
            </w:pPr>
            <w:r>
              <w:rPr>
                <w:rFonts w:ascii="Tahoma" w:hAnsi="Tahoma" w:cs="Tahoma"/>
                <w:sz w:val="20"/>
                <w:szCs w:val="20"/>
              </w:rPr>
              <w:t>7,000</w:t>
            </w:r>
          </w:p>
        </w:tc>
        <w:tc>
          <w:tcPr>
            <w:tcW w:w="1135" w:type="dxa"/>
            <w:shd w:val="clear" w:color="000000" w:fill="FFFFFF"/>
            <w:noWrap/>
            <w:vAlign w:val="center"/>
          </w:tcPr>
          <w:p w14:paraId="7B223C65" w14:textId="77777777" w:rsidR="00EA2CBD" w:rsidRDefault="00EA2CBD" w:rsidP="009D1253">
            <w:pPr>
              <w:jc w:val="center"/>
              <w:rPr>
                <w:rFonts w:ascii="Tahoma" w:hAnsi="Tahoma" w:cs="Tahoma"/>
                <w:sz w:val="20"/>
                <w:szCs w:val="20"/>
              </w:rPr>
            </w:pPr>
            <w:r>
              <w:rPr>
                <w:rFonts w:ascii="Tahoma" w:hAnsi="Tahoma" w:cs="Tahoma"/>
                <w:sz w:val="20"/>
                <w:szCs w:val="20"/>
              </w:rPr>
              <w:t>-</w:t>
            </w:r>
          </w:p>
        </w:tc>
        <w:tc>
          <w:tcPr>
            <w:tcW w:w="1135" w:type="dxa"/>
            <w:shd w:val="clear" w:color="000000" w:fill="FFFFFF"/>
            <w:noWrap/>
            <w:vAlign w:val="center"/>
          </w:tcPr>
          <w:p w14:paraId="6B73F5A3" w14:textId="77777777" w:rsidR="00EA2CBD" w:rsidRDefault="00EA2CBD" w:rsidP="009D1253">
            <w:pPr>
              <w:jc w:val="center"/>
              <w:rPr>
                <w:rFonts w:ascii="Tahoma" w:hAnsi="Tahoma" w:cs="Tahoma"/>
                <w:sz w:val="20"/>
                <w:szCs w:val="20"/>
              </w:rPr>
            </w:pPr>
            <w:r>
              <w:rPr>
                <w:rFonts w:ascii="Tahoma" w:hAnsi="Tahoma" w:cs="Tahoma"/>
                <w:sz w:val="20"/>
                <w:szCs w:val="20"/>
              </w:rPr>
              <w:t>8,000</w:t>
            </w:r>
          </w:p>
        </w:tc>
        <w:tc>
          <w:tcPr>
            <w:tcW w:w="1135" w:type="dxa"/>
            <w:shd w:val="clear" w:color="000000" w:fill="FFFFFF"/>
            <w:vAlign w:val="center"/>
          </w:tcPr>
          <w:p w14:paraId="5AA34D4C" w14:textId="77777777" w:rsidR="00EA2CBD" w:rsidRDefault="00EA2CBD" w:rsidP="009D1253">
            <w:pPr>
              <w:jc w:val="center"/>
              <w:rPr>
                <w:rFonts w:ascii="Tahoma" w:hAnsi="Tahoma" w:cs="Tahoma"/>
                <w:sz w:val="20"/>
                <w:szCs w:val="20"/>
              </w:rPr>
            </w:pPr>
            <w:r>
              <w:rPr>
                <w:rFonts w:ascii="Tahoma" w:hAnsi="Tahoma" w:cs="Tahoma"/>
                <w:sz w:val="20"/>
                <w:szCs w:val="20"/>
              </w:rPr>
              <w:t>-</w:t>
            </w:r>
          </w:p>
        </w:tc>
        <w:tc>
          <w:tcPr>
            <w:tcW w:w="1136" w:type="dxa"/>
            <w:shd w:val="clear" w:color="000000" w:fill="FFFFFF"/>
            <w:vAlign w:val="center"/>
          </w:tcPr>
          <w:p w14:paraId="45D949C8" w14:textId="77777777" w:rsidR="00EA2CBD" w:rsidRDefault="00EA2CBD" w:rsidP="009D1253">
            <w:pPr>
              <w:jc w:val="center"/>
              <w:rPr>
                <w:rFonts w:ascii="Tahoma" w:hAnsi="Tahoma" w:cs="Tahoma"/>
                <w:sz w:val="20"/>
                <w:szCs w:val="20"/>
              </w:rPr>
            </w:pPr>
            <w:r>
              <w:rPr>
                <w:rFonts w:ascii="Tahoma" w:hAnsi="Tahoma" w:cs="Tahoma"/>
                <w:sz w:val="20"/>
                <w:szCs w:val="20"/>
              </w:rPr>
              <w:t>-</w:t>
            </w:r>
          </w:p>
        </w:tc>
        <w:tc>
          <w:tcPr>
            <w:tcW w:w="1135" w:type="dxa"/>
            <w:shd w:val="clear" w:color="000000" w:fill="FFFFFF"/>
            <w:vAlign w:val="center"/>
          </w:tcPr>
          <w:p w14:paraId="3BF04A15" w14:textId="77777777" w:rsidR="00EA2CBD" w:rsidRPr="00DF2B52" w:rsidRDefault="00EA2CBD" w:rsidP="009D1253">
            <w:pPr>
              <w:jc w:val="center"/>
              <w:rPr>
                <w:rFonts w:ascii="Tahoma" w:hAnsi="Tahoma" w:cs="Tahoma"/>
                <w:sz w:val="20"/>
                <w:szCs w:val="20"/>
              </w:rPr>
            </w:pPr>
            <w:r w:rsidRPr="001D7534">
              <w:rPr>
                <w:rFonts w:ascii="Tahoma" w:hAnsi="Tahoma" w:cs="Tahoma"/>
                <w:sz w:val="20"/>
                <w:szCs w:val="20"/>
              </w:rPr>
              <w:t>-</w:t>
            </w:r>
          </w:p>
        </w:tc>
        <w:tc>
          <w:tcPr>
            <w:tcW w:w="1104" w:type="dxa"/>
            <w:shd w:val="clear" w:color="000000" w:fill="FFFFFF"/>
            <w:vAlign w:val="center"/>
          </w:tcPr>
          <w:p w14:paraId="0C56EBF6" w14:textId="77777777" w:rsidR="00EA2CBD" w:rsidRPr="00DF2B52" w:rsidRDefault="00EA2CBD" w:rsidP="009D1253">
            <w:pPr>
              <w:jc w:val="center"/>
              <w:rPr>
                <w:rFonts w:ascii="Tahoma" w:hAnsi="Tahoma" w:cs="Tahoma"/>
                <w:sz w:val="20"/>
                <w:szCs w:val="20"/>
              </w:rPr>
            </w:pPr>
            <w:r w:rsidRPr="001D7534">
              <w:rPr>
                <w:rFonts w:ascii="Tahoma" w:hAnsi="Tahoma" w:cs="Tahoma"/>
                <w:sz w:val="20"/>
                <w:szCs w:val="20"/>
              </w:rPr>
              <w:t>-</w:t>
            </w:r>
          </w:p>
        </w:tc>
        <w:tc>
          <w:tcPr>
            <w:tcW w:w="1169" w:type="dxa"/>
            <w:shd w:val="clear" w:color="000000" w:fill="FFFFFF"/>
            <w:vAlign w:val="center"/>
          </w:tcPr>
          <w:p w14:paraId="7DA6F828" w14:textId="77777777" w:rsidR="00EA2CBD" w:rsidRPr="00DF2B52" w:rsidRDefault="00EA2CBD" w:rsidP="009D1253">
            <w:pPr>
              <w:jc w:val="center"/>
              <w:rPr>
                <w:rFonts w:ascii="Tahoma" w:hAnsi="Tahoma" w:cs="Tahoma"/>
                <w:sz w:val="20"/>
                <w:szCs w:val="20"/>
              </w:rPr>
            </w:pPr>
            <w:r w:rsidRPr="001D7534">
              <w:rPr>
                <w:rFonts w:ascii="Tahoma" w:hAnsi="Tahoma" w:cs="Tahoma"/>
                <w:sz w:val="20"/>
                <w:szCs w:val="20"/>
              </w:rPr>
              <w:t>-</w:t>
            </w:r>
          </w:p>
        </w:tc>
      </w:tr>
    </w:tbl>
    <w:p w14:paraId="37A93F68" w14:textId="77777777" w:rsidR="00EA2CBD" w:rsidRDefault="00EA2CBD" w:rsidP="00EA2CBD">
      <w:pPr>
        <w:tabs>
          <w:tab w:val="left" w:pos="851"/>
        </w:tabs>
        <w:ind w:left="567"/>
        <w:jc w:val="both"/>
        <w:rPr>
          <w:rFonts w:ascii="Tahoma" w:hAnsi="Tahoma" w:cs="Tahoma"/>
          <w:color w:val="000000"/>
          <w:sz w:val="18"/>
          <w:szCs w:val="18"/>
        </w:rPr>
      </w:pPr>
      <w:r>
        <w:rPr>
          <w:rFonts w:ascii="Tahoma" w:hAnsi="Tahoma" w:cs="Tahoma"/>
          <w:color w:val="000000" w:themeColor="text1"/>
          <w:sz w:val="18"/>
          <w:szCs w:val="18"/>
        </w:rPr>
        <w:t>*</w:t>
      </w:r>
      <w:r w:rsidRPr="00271DA0">
        <w:rPr>
          <w:rFonts w:ascii="Tahoma" w:hAnsi="Tahoma" w:cs="Tahoma"/>
          <w:color w:val="000000"/>
          <w:sz w:val="18"/>
          <w:szCs w:val="18"/>
        </w:rPr>
        <w:t xml:space="preserve"> </w:t>
      </w:r>
      <w:r w:rsidRPr="003C5724">
        <w:rPr>
          <w:rFonts w:ascii="Tahoma" w:hAnsi="Tahoma" w:cs="Tahoma"/>
          <w:color w:val="000000"/>
          <w:sz w:val="18"/>
          <w:szCs w:val="18"/>
        </w:rPr>
        <w:t>Снятие (частичное досрочное снятие) - досрочный возврат Вклада (части суммы по Договору Вклада) повлечет изменение условий о размере процентов и периодичности их выплаты в соответствии с условиями Договора Вклада. По Договору Вклада Банк выдает по первому требованию Вкладчика сумму Вклада или ее часть и соответствующие проценты</w:t>
      </w:r>
      <w:r>
        <w:rPr>
          <w:rFonts w:ascii="Tahoma" w:hAnsi="Tahoma" w:cs="Tahoma"/>
          <w:color w:val="000000"/>
          <w:sz w:val="18"/>
          <w:szCs w:val="18"/>
        </w:rPr>
        <w:t>.</w:t>
      </w:r>
    </w:p>
    <w:p w14:paraId="72F25132" w14:textId="77777777" w:rsidR="00EA2CBD" w:rsidRPr="008572C5" w:rsidRDefault="00EA2CBD" w:rsidP="00EA2CBD">
      <w:pPr>
        <w:ind w:left="567"/>
        <w:jc w:val="both"/>
        <w:rPr>
          <w:rFonts w:ascii="Tahoma" w:hAnsi="Tahoma" w:cs="Tahoma"/>
          <w:color w:val="000000"/>
          <w:sz w:val="18"/>
          <w:szCs w:val="18"/>
        </w:rPr>
      </w:pPr>
      <w:r w:rsidRPr="008572C5">
        <w:rPr>
          <w:rFonts w:ascii="Tahoma" w:hAnsi="Tahoma" w:cs="Tahoma"/>
          <w:sz w:val="18"/>
          <w:szCs w:val="18"/>
        </w:rPr>
        <w:t xml:space="preserve">** </w:t>
      </w:r>
      <w:r w:rsidRPr="008572C5">
        <w:rPr>
          <w:rFonts w:ascii="Tahoma" w:hAnsi="Tahoma" w:cs="Tahoma"/>
          <w:color w:val="000000" w:themeColor="text1"/>
          <w:sz w:val="18"/>
          <w:szCs w:val="18"/>
        </w:rPr>
        <w:t xml:space="preserve">Соответствует значению минимальной гарантированной ставки (годовых) с учетом округления, определяющему минимальный доход, выплачиваемый </w:t>
      </w:r>
      <w:r>
        <w:rPr>
          <w:rFonts w:ascii="Tahoma" w:hAnsi="Tahoma" w:cs="Tahoma"/>
          <w:color w:val="000000" w:themeColor="text1"/>
          <w:sz w:val="18"/>
          <w:szCs w:val="18"/>
        </w:rPr>
        <w:t>В</w:t>
      </w:r>
      <w:r w:rsidRPr="008572C5">
        <w:rPr>
          <w:rFonts w:ascii="Tahoma" w:hAnsi="Tahoma" w:cs="Tahoma"/>
          <w:color w:val="000000" w:themeColor="text1"/>
          <w:sz w:val="18"/>
          <w:szCs w:val="18"/>
        </w:rPr>
        <w:t xml:space="preserve">кладчику на сумму </w:t>
      </w:r>
      <w:r>
        <w:rPr>
          <w:rFonts w:ascii="Tahoma" w:hAnsi="Tahoma" w:cs="Tahoma"/>
          <w:color w:val="000000" w:themeColor="text1"/>
          <w:sz w:val="18"/>
          <w:szCs w:val="18"/>
        </w:rPr>
        <w:t>В</w:t>
      </w:r>
      <w:r w:rsidRPr="008572C5">
        <w:rPr>
          <w:rFonts w:ascii="Tahoma" w:hAnsi="Tahoma" w:cs="Tahoma"/>
          <w:color w:val="000000" w:themeColor="text1"/>
          <w:sz w:val="18"/>
          <w:szCs w:val="18"/>
        </w:rPr>
        <w:t xml:space="preserve">клада при условии хранения суммы </w:t>
      </w:r>
      <w:r>
        <w:rPr>
          <w:rFonts w:ascii="Tahoma" w:hAnsi="Tahoma" w:cs="Tahoma"/>
          <w:color w:val="000000" w:themeColor="text1"/>
          <w:sz w:val="18"/>
          <w:szCs w:val="18"/>
        </w:rPr>
        <w:t>В</w:t>
      </w:r>
      <w:r w:rsidRPr="008572C5">
        <w:rPr>
          <w:rFonts w:ascii="Tahoma" w:hAnsi="Tahoma" w:cs="Tahoma"/>
          <w:color w:val="000000" w:themeColor="text1"/>
          <w:sz w:val="18"/>
          <w:szCs w:val="18"/>
        </w:rPr>
        <w:t xml:space="preserve">клада до конца срока </w:t>
      </w:r>
      <w:r>
        <w:rPr>
          <w:rFonts w:ascii="Tahoma" w:hAnsi="Tahoma" w:cs="Tahoma"/>
          <w:color w:val="000000" w:themeColor="text1"/>
          <w:sz w:val="18"/>
          <w:szCs w:val="18"/>
        </w:rPr>
        <w:t>В</w:t>
      </w:r>
      <w:r w:rsidRPr="008572C5">
        <w:rPr>
          <w:rFonts w:ascii="Tahoma" w:hAnsi="Tahoma" w:cs="Tahoma"/>
          <w:color w:val="000000" w:themeColor="text1"/>
          <w:sz w:val="18"/>
          <w:szCs w:val="18"/>
        </w:rPr>
        <w:t xml:space="preserve">клада без учета каких-либо других условий. Порядок расчета минимальной гарантированной ставки по </w:t>
      </w:r>
      <w:r>
        <w:rPr>
          <w:rFonts w:ascii="Tahoma" w:hAnsi="Tahoma" w:cs="Tahoma"/>
          <w:color w:val="000000" w:themeColor="text1"/>
          <w:sz w:val="18"/>
          <w:szCs w:val="18"/>
        </w:rPr>
        <w:t>В</w:t>
      </w:r>
      <w:r w:rsidRPr="008572C5">
        <w:rPr>
          <w:rFonts w:ascii="Tahoma" w:hAnsi="Tahoma" w:cs="Tahoma"/>
          <w:color w:val="000000" w:themeColor="text1"/>
          <w:sz w:val="18"/>
          <w:szCs w:val="18"/>
        </w:rPr>
        <w:t>кладу определяется Банком России.</w:t>
      </w:r>
    </w:p>
    <w:p w14:paraId="5521D1E4" w14:textId="77777777" w:rsidR="00EA2CBD" w:rsidRPr="008572C5" w:rsidRDefault="00EA2CBD" w:rsidP="00EA2CBD">
      <w:pPr>
        <w:jc w:val="both"/>
        <w:rPr>
          <w:rFonts w:ascii="Tahoma" w:hAnsi="Tahoma" w:cs="Tahoma"/>
          <w:color w:val="000000"/>
          <w:sz w:val="22"/>
          <w:szCs w:val="22"/>
        </w:rPr>
      </w:pPr>
    </w:p>
    <w:p w14:paraId="0D7DF2DF" w14:textId="77777777" w:rsidR="00EA2CBD" w:rsidRPr="008572C5" w:rsidRDefault="00EA2CBD" w:rsidP="000B3718">
      <w:pPr>
        <w:pStyle w:val="a5"/>
      </w:pPr>
      <w:r>
        <w:t>3.9</w:t>
      </w:r>
      <w:r w:rsidRPr="008572C5">
        <w:t>.</w:t>
      </w:r>
      <w:r w:rsidRPr="008572C5">
        <w:tab/>
        <w:t>Вклад «АТБ.</w:t>
      </w:r>
      <w:r>
        <w:t>ВИП.</w:t>
      </w:r>
      <w:r w:rsidRPr="008572C5">
        <w:t xml:space="preserve"> Вклад» (с пополнением)</w:t>
      </w:r>
    </w:p>
    <w:p w14:paraId="33DAFCBA" w14:textId="77777777" w:rsidR="00EA2CBD" w:rsidRPr="008572C5" w:rsidRDefault="00EA2CBD" w:rsidP="00EA2CBD">
      <w:pPr>
        <w:ind w:firstLine="426"/>
        <w:jc w:val="both"/>
        <w:rPr>
          <w:rFonts w:ascii="Tahoma" w:hAnsi="Tahoma" w:cs="Tahoma"/>
          <w:color w:val="000000"/>
          <w:sz w:val="22"/>
          <w:szCs w:val="22"/>
          <w:lang w:eastAsia="en-US"/>
        </w:rPr>
      </w:pPr>
      <w:r w:rsidRPr="008572C5">
        <w:rPr>
          <w:rFonts w:ascii="Tahoma" w:hAnsi="Tahoma" w:cs="Tahoma"/>
          <w:color w:val="000000"/>
          <w:sz w:val="22"/>
          <w:szCs w:val="22"/>
        </w:rPr>
        <w:t>Условия:</w:t>
      </w:r>
    </w:p>
    <w:p w14:paraId="731E2962" w14:textId="77777777" w:rsidR="00EA2CBD" w:rsidRPr="008572C5" w:rsidRDefault="00EA2CBD" w:rsidP="00EA2CBD">
      <w:pPr>
        <w:numPr>
          <w:ilvl w:val="0"/>
          <w:numId w:val="3"/>
        </w:numPr>
        <w:jc w:val="both"/>
        <w:rPr>
          <w:rFonts w:ascii="Tahoma" w:hAnsi="Tahoma" w:cs="Tahoma"/>
          <w:sz w:val="22"/>
          <w:szCs w:val="22"/>
        </w:rPr>
      </w:pPr>
      <w:r>
        <w:rPr>
          <w:rFonts w:ascii="Tahoma" w:hAnsi="Tahoma" w:cs="Tahoma"/>
          <w:sz w:val="22"/>
          <w:szCs w:val="22"/>
        </w:rPr>
        <w:t>Валюта – рубли РФ</w:t>
      </w:r>
      <w:r w:rsidRPr="008572C5">
        <w:rPr>
          <w:rFonts w:ascii="Tahoma" w:hAnsi="Tahoma" w:cs="Tahoma"/>
          <w:sz w:val="22"/>
          <w:szCs w:val="22"/>
        </w:rPr>
        <w:t>;</w:t>
      </w:r>
    </w:p>
    <w:p w14:paraId="67268F2F" w14:textId="77777777" w:rsidR="00EA2CBD" w:rsidRPr="008572C5" w:rsidRDefault="00EA2CBD" w:rsidP="00EA2CBD">
      <w:pPr>
        <w:numPr>
          <w:ilvl w:val="0"/>
          <w:numId w:val="3"/>
        </w:numPr>
        <w:jc w:val="both"/>
        <w:rPr>
          <w:rFonts w:ascii="Tahoma" w:hAnsi="Tahoma" w:cs="Tahoma"/>
          <w:sz w:val="22"/>
          <w:szCs w:val="22"/>
        </w:rPr>
      </w:pPr>
      <w:r w:rsidRPr="008572C5">
        <w:rPr>
          <w:rFonts w:ascii="Tahoma" w:hAnsi="Tahoma" w:cs="Tahoma"/>
          <w:sz w:val="22"/>
          <w:szCs w:val="22"/>
        </w:rPr>
        <w:t>Минима</w:t>
      </w:r>
      <w:r>
        <w:rPr>
          <w:rFonts w:ascii="Tahoma" w:hAnsi="Tahoma" w:cs="Tahoma"/>
          <w:sz w:val="22"/>
          <w:szCs w:val="22"/>
        </w:rPr>
        <w:t>льная сумма Вклада 7 000 000 рублей</w:t>
      </w:r>
      <w:r w:rsidRPr="008572C5">
        <w:rPr>
          <w:rFonts w:ascii="Tahoma" w:hAnsi="Tahoma" w:cs="Tahoma"/>
          <w:sz w:val="22"/>
          <w:szCs w:val="22"/>
        </w:rPr>
        <w:t>;</w:t>
      </w:r>
    </w:p>
    <w:p w14:paraId="4D4FDE35" w14:textId="77777777" w:rsidR="00EA2CBD" w:rsidRPr="008572C5" w:rsidRDefault="00EA2CBD" w:rsidP="00EA2CBD">
      <w:pPr>
        <w:numPr>
          <w:ilvl w:val="0"/>
          <w:numId w:val="3"/>
        </w:numPr>
        <w:jc w:val="both"/>
        <w:rPr>
          <w:rFonts w:ascii="Tahoma" w:hAnsi="Tahoma" w:cs="Tahoma"/>
          <w:sz w:val="22"/>
          <w:szCs w:val="22"/>
        </w:rPr>
      </w:pPr>
      <w:r w:rsidRPr="008572C5">
        <w:rPr>
          <w:rFonts w:ascii="Tahoma" w:hAnsi="Tahoma" w:cs="Tahoma"/>
          <w:sz w:val="22"/>
          <w:szCs w:val="22"/>
        </w:rPr>
        <w:t>Максимальная сумма Вклада – не ограничена;</w:t>
      </w:r>
    </w:p>
    <w:p w14:paraId="0C0C72D2" w14:textId="77777777" w:rsidR="00EA2CBD" w:rsidRPr="008572C5" w:rsidRDefault="00EA2CBD" w:rsidP="00EA2CBD">
      <w:pPr>
        <w:numPr>
          <w:ilvl w:val="0"/>
          <w:numId w:val="3"/>
        </w:numPr>
        <w:jc w:val="both"/>
        <w:rPr>
          <w:rFonts w:ascii="Tahoma" w:hAnsi="Tahoma" w:cs="Tahoma"/>
          <w:sz w:val="22"/>
          <w:szCs w:val="22"/>
        </w:rPr>
      </w:pPr>
      <w:r w:rsidRPr="008572C5">
        <w:rPr>
          <w:rFonts w:ascii="Tahoma" w:hAnsi="Tahoma" w:cs="Tahoma"/>
          <w:sz w:val="22"/>
          <w:szCs w:val="22"/>
        </w:rPr>
        <w:t xml:space="preserve">Срок Вклада – </w:t>
      </w:r>
      <w:r>
        <w:rPr>
          <w:rFonts w:ascii="Tahoma" w:hAnsi="Tahoma" w:cs="Tahoma"/>
          <w:sz w:val="22"/>
          <w:szCs w:val="22"/>
        </w:rPr>
        <w:t>62 дня / 92 дня/ 122 дня/ 182 дня</w:t>
      </w:r>
      <w:r w:rsidRPr="008572C5">
        <w:rPr>
          <w:rFonts w:ascii="Tahoma" w:hAnsi="Tahoma" w:cs="Tahoma"/>
          <w:sz w:val="22"/>
          <w:szCs w:val="22"/>
        </w:rPr>
        <w:t>;</w:t>
      </w:r>
    </w:p>
    <w:p w14:paraId="549D946A" w14:textId="77777777" w:rsidR="00EA2CBD" w:rsidRPr="008572C5" w:rsidRDefault="00EA2CBD" w:rsidP="00EA2CBD">
      <w:pPr>
        <w:numPr>
          <w:ilvl w:val="0"/>
          <w:numId w:val="3"/>
        </w:numPr>
        <w:jc w:val="both"/>
        <w:rPr>
          <w:rFonts w:ascii="Tahoma" w:hAnsi="Tahoma" w:cs="Tahoma"/>
          <w:sz w:val="22"/>
          <w:szCs w:val="22"/>
        </w:rPr>
      </w:pPr>
      <w:r w:rsidRPr="008572C5">
        <w:rPr>
          <w:rFonts w:ascii="Tahoma" w:hAnsi="Tahoma" w:cs="Tahoma"/>
          <w:sz w:val="22"/>
          <w:szCs w:val="22"/>
        </w:rPr>
        <w:t>Вклад пополняемый;</w:t>
      </w:r>
    </w:p>
    <w:p w14:paraId="3C539434" w14:textId="77777777" w:rsidR="00EA2CBD" w:rsidRPr="008572C5" w:rsidRDefault="00EA2CBD" w:rsidP="00EA2CBD">
      <w:pPr>
        <w:numPr>
          <w:ilvl w:val="0"/>
          <w:numId w:val="3"/>
        </w:numPr>
        <w:jc w:val="both"/>
        <w:rPr>
          <w:rFonts w:ascii="Tahoma" w:hAnsi="Tahoma" w:cs="Tahoma"/>
          <w:sz w:val="22"/>
          <w:szCs w:val="22"/>
        </w:rPr>
      </w:pPr>
      <w:r w:rsidRPr="008572C5">
        <w:rPr>
          <w:rFonts w:ascii="Tahoma" w:hAnsi="Tahoma" w:cs="Tahoma"/>
          <w:color w:val="000000"/>
          <w:sz w:val="22"/>
          <w:szCs w:val="22"/>
        </w:rPr>
        <w:t>Вклад пролонгируемый</w:t>
      </w:r>
      <w:r w:rsidRPr="008572C5">
        <w:rPr>
          <w:rFonts w:ascii="Tahoma" w:hAnsi="Tahoma" w:cs="Tahoma"/>
          <w:sz w:val="22"/>
          <w:szCs w:val="22"/>
        </w:rPr>
        <w:t>;</w:t>
      </w:r>
    </w:p>
    <w:p w14:paraId="6D6965BB" w14:textId="77777777" w:rsidR="00EA2CBD" w:rsidRPr="008572C5" w:rsidRDefault="00EA2CBD" w:rsidP="00EA2CBD">
      <w:pPr>
        <w:numPr>
          <w:ilvl w:val="0"/>
          <w:numId w:val="3"/>
        </w:numPr>
        <w:jc w:val="both"/>
        <w:rPr>
          <w:rFonts w:ascii="Tahoma" w:hAnsi="Tahoma" w:cs="Tahoma"/>
          <w:sz w:val="22"/>
          <w:szCs w:val="22"/>
        </w:rPr>
      </w:pPr>
      <w:r w:rsidRPr="008572C5">
        <w:rPr>
          <w:rFonts w:ascii="Tahoma" w:hAnsi="Tahoma" w:cs="Tahoma"/>
          <w:sz w:val="22"/>
          <w:szCs w:val="22"/>
        </w:rPr>
        <w:t>Неснижаемый остаток по Вкладу – не предусмотрен;</w:t>
      </w:r>
    </w:p>
    <w:p w14:paraId="7F70A4C6" w14:textId="77777777" w:rsidR="00EA2CBD" w:rsidRPr="008572C5" w:rsidRDefault="00EA2CBD" w:rsidP="00EA2CBD">
      <w:pPr>
        <w:numPr>
          <w:ilvl w:val="0"/>
          <w:numId w:val="3"/>
        </w:numPr>
        <w:contextualSpacing/>
        <w:jc w:val="both"/>
        <w:rPr>
          <w:rFonts w:ascii="Tahoma" w:hAnsi="Tahoma" w:cs="Tahoma"/>
          <w:color w:val="000000" w:themeColor="text1"/>
          <w:sz w:val="22"/>
          <w:szCs w:val="22"/>
        </w:rPr>
      </w:pPr>
      <w:r w:rsidRPr="008572C5">
        <w:rPr>
          <w:rFonts w:ascii="Tahoma" w:hAnsi="Tahoma" w:cs="Tahoma"/>
          <w:color w:val="000000" w:themeColor="text1"/>
          <w:sz w:val="22"/>
          <w:szCs w:val="22"/>
        </w:rPr>
        <w:t>Выплата процентов – ежемесячно на выбор:</w:t>
      </w:r>
    </w:p>
    <w:p w14:paraId="1F6E4B39" w14:textId="77777777" w:rsidR="00EA2CBD" w:rsidRPr="008572C5" w:rsidRDefault="00EA2CBD" w:rsidP="00EA2CBD">
      <w:pPr>
        <w:ind w:left="720"/>
        <w:contextualSpacing/>
        <w:jc w:val="both"/>
        <w:rPr>
          <w:rFonts w:ascii="Tahoma" w:hAnsi="Tahoma" w:cs="Tahoma"/>
          <w:color w:val="000000" w:themeColor="text1"/>
          <w:sz w:val="22"/>
          <w:szCs w:val="22"/>
        </w:rPr>
      </w:pPr>
      <w:r w:rsidRPr="008572C5">
        <w:rPr>
          <w:rFonts w:ascii="Tahoma" w:hAnsi="Tahoma" w:cs="Tahoma"/>
          <w:color w:val="000000" w:themeColor="text1"/>
          <w:sz w:val="22"/>
          <w:szCs w:val="22"/>
        </w:rPr>
        <w:t>- на счет, открытый в Банке;</w:t>
      </w:r>
    </w:p>
    <w:p w14:paraId="654896F5" w14:textId="77777777" w:rsidR="00EA2CBD" w:rsidRPr="008572C5" w:rsidRDefault="00EA2CBD" w:rsidP="00EA2CBD">
      <w:pPr>
        <w:autoSpaceDE w:val="0"/>
        <w:autoSpaceDN w:val="0"/>
        <w:ind w:left="720"/>
        <w:contextualSpacing/>
        <w:jc w:val="both"/>
        <w:rPr>
          <w:rFonts w:ascii="Tahoma" w:hAnsi="Tahoma" w:cs="Tahoma"/>
          <w:color w:val="000000" w:themeColor="text1"/>
          <w:sz w:val="22"/>
          <w:szCs w:val="22"/>
        </w:rPr>
      </w:pPr>
      <w:r w:rsidRPr="008572C5">
        <w:rPr>
          <w:rFonts w:ascii="Tahoma" w:hAnsi="Tahoma" w:cs="Tahoma"/>
          <w:color w:val="000000" w:themeColor="text1"/>
          <w:sz w:val="22"/>
          <w:szCs w:val="22"/>
        </w:rPr>
        <w:t>- капитализация, т.е. причисление к основной сумме Вклада;</w:t>
      </w:r>
    </w:p>
    <w:p w14:paraId="2CD41942" w14:textId="77777777" w:rsidR="00EA2CBD" w:rsidRPr="008572C5" w:rsidRDefault="00EA2CBD" w:rsidP="00EA2CBD">
      <w:pPr>
        <w:numPr>
          <w:ilvl w:val="0"/>
          <w:numId w:val="3"/>
        </w:numPr>
        <w:autoSpaceDE w:val="0"/>
        <w:autoSpaceDN w:val="0"/>
        <w:contextualSpacing/>
        <w:jc w:val="both"/>
        <w:rPr>
          <w:rFonts w:ascii="Tahoma" w:hAnsi="Tahoma" w:cs="Tahoma"/>
          <w:sz w:val="22"/>
          <w:szCs w:val="22"/>
        </w:rPr>
      </w:pPr>
      <w:r w:rsidRPr="008572C5">
        <w:rPr>
          <w:rFonts w:ascii="Tahoma" w:hAnsi="Tahoma" w:cs="Tahoma"/>
          <w:color w:val="000000" w:themeColor="text1"/>
          <w:sz w:val="22"/>
          <w:szCs w:val="22"/>
        </w:rPr>
        <w:t>Выплата суммы Вклада – на счет, открытый в Банке;</w:t>
      </w:r>
    </w:p>
    <w:p w14:paraId="5FD9D42A" w14:textId="77777777" w:rsidR="00EA2CBD" w:rsidRPr="008572C5" w:rsidRDefault="00EA2CBD" w:rsidP="00EA2CBD">
      <w:pPr>
        <w:numPr>
          <w:ilvl w:val="0"/>
          <w:numId w:val="3"/>
        </w:numPr>
        <w:jc w:val="both"/>
        <w:rPr>
          <w:rFonts w:ascii="Tahoma" w:hAnsi="Tahoma" w:cs="Tahoma"/>
          <w:sz w:val="22"/>
          <w:szCs w:val="22"/>
        </w:rPr>
      </w:pPr>
      <w:r w:rsidRPr="00D64905">
        <w:rPr>
          <w:rFonts w:ascii="Tahoma" w:hAnsi="Tahoma" w:cs="Tahoma"/>
          <w:sz w:val="22"/>
          <w:szCs w:val="22"/>
        </w:rPr>
        <w:t>В случае досрочного возвращения Вклада в течение срока хранения Вклада по требованию Вкладчика проценты по Вкладу начисляются Вкладчику по ставке 0,01% годовых за весь срок хранения Вклада, начиная со дня, следующего за днем поступления денежных средств (Вклада) в Банк, и выплачиваются в день востребования суммы Вклада, а излишне уплаченные проценты удерживаются из выплачиваемой Вкладчику суммы</w:t>
      </w:r>
      <w:r w:rsidRPr="008572C5">
        <w:rPr>
          <w:rFonts w:ascii="Tahoma" w:hAnsi="Tahoma" w:cs="Tahoma"/>
          <w:sz w:val="22"/>
          <w:szCs w:val="22"/>
        </w:rPr>
        <w:t xml:space="preserve">. </w:t>
      </w:r>
    </w:p>
    <w:tbl>
      <w:tblPr>
        <w:tblW w:w="1461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1911"/>
        <w:gridCol w:w="3159"/>
        <w:gridCol w:w="1795"/>
        <w:gridCol w:w="1795"/>
        <w:gridCol w:w="1726"/>
        <w:gridCol w:w="1962"/>
      </w:tblGrid>
      <w:tr w:rsidR="00EA2CBD" w:rsidRPr="00863745" w14:paraId="56EAA6F8" w14:textId="77777777" w:rsidTr="009D1253">
        <w:trPr>
          <w:trHeight w:val="130"/>
        </w:trPr>
        <w:tc>
          <w:tcPr>
            <w:tcW w:w="2262" w:type="dxa"/>
            <w:vMerge w:val="restart"/>
            <w:shd w:val="clear" w:color="000000" w:fill="FFFFFF"/>
            <w:vAlign w:val="center"/>
            <w:hideMark/>
          </w:tcPr>
          <w:p w14:paraId="42AD2B45" w14:textId="77777777" w:rsidR="00EA2CBD" w:rsidRPr="00863745" w:rsidRDefault="00EA2CBD" w:rsidP="009D1253">
            <w:pPr>
              <w:jc w:val="center"/>
              <w:rPr>
                <w:rFonts w:ascii="Tahoma" w:hAnsi="Tahoma" w:cs="Tahoma"/>
                <w:b/>
                <w:bCs/>
                <w:sz w:val="20"/>
                <w:szCs w:val="20"/>
              </w:rPr>
            </w:pPr>
            <w:r w:rsidRPr="00863745">
              <w:rPr>
                <w:rFonts w:ascii="Tahoma" w:hAnsi="Tahoma" w:cs="Tahoma"/>
                <w:b/>
                <w:bCs/>
                <w:sz w:val="20"/>
                <w:szCs w:val="20"/>
              </w:rPr>
              <w:t>Продукт</w:t>
            </w:r>
          </w:p>
        </w:tc>
        <w:tc>
          <w:tcPr>
            <w:tcW w:w="5070" w:type="dxa"/>
            <w:gridSpan w:val="2"/>
            <w:shd w:val="clear" w:color="000000" w:fill="FFFFFF"/>
            <w:noWrap/>
            <w:vAlign w:val="center"/>
            <w:hideMark/>
          </w:tcPr>
          <w:p w14:paraId="0861D202" w14:textId="77777777" w:rsidR="00EA2CBD" w:rsidRPr="00863745" w:rsidRDefault="00EA2CBD" w:rsidP="009D1253">
            <w:pPr>
              <w:jc w:val="center"/>
              <w:rPr>
                <w:rFonts w:ascii="Tahoma" w:hAnsi="Tahoma" w:cs="Tahoma"/>
                <w:b/>
                <w:bCs/>
                <w:sz w:val="20"/>
                <w:szCs w:val="20"/>
              </w:rPr>
            </w:pPr>
            <w:r w:rsidRPr="00863745">
              <w:rPr>
                <w:rFonts w:ascii="Tahoma" w:hAnsi="Tahoma" w:cs="Tahoma"/>
                <w:b/>
                <w:bCs/>
                <w:sz w:val="20"/>
                <w:szCs w:val="20"/>
              </w:rPr>
              <w:t>Базовые параметры Вклада</w:t>
            </w:r>
          </w:p>
        </w:tc>
        <w:tc>
          <w:tcPr>
            <w:tcW w:w="7278" w:type="dxa"/>
            <w:gridSpan w:val="4"/>
            <w:shd w:val="clear" w:color="000000" w:fill="FFFFFF"/>
            <w:noWrap/>
            <w:vAlign w:val="center"/>
            <w:hideMark/>
          </w:tcPr>
          <w:p w14:paraId="2BC24555" w14:textId="77777777" w:rsidR="00EA2CBD" w:rsidRPr="00863745" w:rsidRDefault="00EA2CBD" w:rsidP="009D1253">
            <w:pPr>
              <w:jc w:val="center"/>
              <w:rPr>
                <w:rFonts w:ascii="Tahoma" w:hAnsi="Tahoma" w:cs="Tahoma"/>
                <w:b/>
                <w:bCs/>
                <w:sz w:val="20"/>
                <w:szCs w:val="20"/>
              </w:rPr>
            </w:pPr>
            <w:r w:rsidRPr="00863745">
              <w:rPr>
                <w:rFonts w:ascii="Tahoma" w:hAnsi="Tahoma" w:cs="Tahoma"/>
                <w:b/>
                <w:bCs/>
                <w:sz w:val="20"/>
                <w:szCs w:val="20"/>
              </w:rPr>
              <w:t>Ценовые параметры по срокам привлечения</w:t>
            </w:r>
          </w:p>
        </w:tc>
      </w:tr>
      <w:tr w:rsidR="00EA2CBD" w:rsidRPr="00863745" w14:paraId="2B5ACB73" w14:textId="77777777" w:rsidTr="009D1253">
        <w:trPr>
          <w:trHeight w:val="104"/>
        </w:trPr>
        <w:tc>
          <w:tcPr>
            <w:tcW w:w="2262" w:type="dxa"/>
            <w:vMerge/>
            <w:vAlign w:val="center"/>
            <w:hideMark/>
          </w:tcPr>
          <w:p w14:paraId="031450D0" w14:textId="77777777" w:rsidR="00EA2CBD" w:rsidRPr="00863745" w:rsidRDefault="00EA2CBD" w:rsidP="009D1253">
            <w:pPr>
              <w:rPr>
                <w:rFonts w:ascii="Tahoma" w:hAnsi="Tahoma" w:cs="Tahoma"/>
                <w:b/>
                <w:bCs/>
                <w:sz w:val="20"/>
                <w:szCs w:val="20"/>
              </w:rPr>
            </w:pPr>
          </w:p>
        </w:tc>
        <w:tc>
          <w:tcPr>
            <w:tcW w:w="1911" w:type="dxa"/>
            <w:vMerge w:val="restart"/>
            <w:shd w:val="clear" w:color="000000" w:fill="FFFFFF"/>
            <w:vAlign w:val="center"/>
            <w:hideMark/>
          </w:tcPr>
          <w:p w14:paraId="3D6CF170" w14:textId="77777777" w:rsidR="00EA2CBD" w:rsidRPr="00863745" w:rsidRDefault="00EA2CBD" w:rsidP="009D1253">
            <w:pPr>
              <w:jc w:val="center"/>
              <w:rPr>
                <w:rFonts w:ascii="Tahoma" w:hAnsi="Tahoma" w:cs="Tahoma"/>
                <w:b/>
                <w:bCs/>
                <w:sz w:val="20"/>
                <w:szCs w:val="20"/>
              </w:rPr>
            </w:pPr>
            <w:r w:rsidRPr="00863745">
              <w:rPr>
                <w:rFonts w:ascii="Tahoma" w:hAnsi="Tahoma" w:cs="Tahoma"/>
                <w:b/>
                <w:bCs/>
                <w:sz w:val="20"/>
                <w:szCs w:val="20"/>
              </w:rPr>
              <w:t>Валюта Вклада</w:t>
            </w:r>
          </w:p>
        </w:tc>
        <w:tc>
          <w:tcPr>
            <w:tcW w:w="3159" w:type="dxa"/>
            <w:vMerge w:val="restart"/>
            <w:shd w:val="clear" w:color="000000" w:fill="FFFFFF"/>
            <w:vAlign w:val="center"/>
            <w:hideMark/>
          </w:tcPr>
          <w:p w14:paraId="1777202C" w14:textId="77777777" w:rsidR="00EA2CBD" w:rsidRPr="00863745" w:rsidRDefault="00EA2CBD" w:rsidP="009D1253">
            <w:pPr>
              <w:jc w:val="center"/>
              <w:rPr>
                <w:rFonts w:ascii="Tahoma" w:hAnsi="Tahoma" w:cs="Tahoma"/>
                <w:b/>
                <w:bCs/>
                <w:sz w:val="20"/>
                <w:szCs w:val="20"/>
              </w:rPr>
            </w:pPr>
            <w:r w:rsidRPr="00863745">
              <w:rPr>
                <w:rFonts w:ascii="Tahoma" w:hAnsi="Tahoma" w:cs="Tahoma"/>
                <w:b/>
                <w:bCs/>
                <w:sz w:val="20"/>
                <w:szCs w:val="20"/>
              </w:rPr>
              <w:t>Минимальная сумма Вклада</w:t>
            </w:r>
          </w:p>
        </w:tc>
        <w:tc>
          <w:tcPr>
            <w:tcW w:w="1795" w:type="dxa"/>
            <w:shd w:val="clear" w:color="000000" w:fill="FFFFFF"/>
            <w:noWrap/>
            <w:vAlign w:val="center"/>
            <w:hideMark/>
          </w:tcPr>
          <w:p w14:paraId="5019F13B" w14:textId="77777777" w:rsidR="00EA2CBD" w:rsidRPr="00863745" w:rsidRDefault="00EA2CBD" w:rsidP="009D1253">
            <w:pPr>
              <w:jc w:val="center"/>
              <w:rPr>
                <w:rFonts w:ascii="Tahoma" w:hAnsi="Tahoma" w:cs="Tahoma"/>
                <w:b/>
                <w:bCs/>
                <w:sz w:val="20"/>
                <w:szCs w:val="20"/>
              </w:rPr>
            </w:pPr>
            <w:r w:rsidRPr="00863745">
              <w:rPr>
                <w:rFonts w:ascii="Tahoma" w:hAnsi="Tahoma" w:cs="Tahoma"/>
                <w:b/>
                <w:bCs/>
                <w:sz w:val="20"/>
                <w:szCs w:val="20"/>
              </w:rPr>
              <w:t>62 дня</w:t>
            </w:r>
          </w:p>
        </w:tc>
        <w:tc>
          <w:tcPr>
            <w:tcW w:w="1795" w:type="dxa"/>
            <w:shd w:val="clear" w:color="000000" w:fill="FFFFFF"/>
            <w:noWrap/>
            <w:vAlign w:val="center"/>
            <w:hideMark/>
          </w:tcPr>
          <w:p w14:paraId="0E483596" w14:textId="77777777" w:rsidR="00EA2CBD" w:rsidRPr="00863745" w:rsidRDefault="00EA2CBD" w:rsidP="009D1253">
            <w:pPr>
              <w:jc w:val="center"/>
              <w:rPr>
                <w:rFonts w:ascii="Tahoma" w:hAnsi="Tahoma" w:cs="Tahoma"/>
                <w:b/>
                <w:bCs/>
                <w:sz w:val="20"/>
                <w:szCs w:val="20"/>
              </w:rPr>
            </w:pPr>
            <w:r w:rsidRPr="00863745">
              <w:rPr>
                <w:rFonts w:ascii="Tahoma" w:hAnsi="Tahoma" w:cs="Tahoma"/>
                <w:b/>
                <w:bCs/>
                <w:sz w:val="20"/>
                <w:szCs w:val="20"/>
              </w:rPr>
              <w:t>92 дня</w:t>
            </w:r>
          </w:p>
        </w:tc>
        <w:tc>
          <w:tcPr>
            <w:tcW w:w="1726" w:type="dxa"/>
            <w:shd w:val="clear" w:color="000000" w:fill="FFFFFF"/>
            <w:noWrap/>
            <w:vAlign w:val="center"/>
            <w:hideMark/>
          </w:tcPr>
          <w:p w14:paraId="033C641B" w14:textId="77777777" w:rsidR="00EA2CBD" w:rsidRPr="00863745" w:rsidRDefault="00EA2CBD" w:rsidP="009D1253">
            <w:pPr>
              <w:jc w:val="center"/>
              <w:rPr>
                <w:rFonts w:ascii="Tahoma" w:hAnsi="Tahoma" w:cs="Tahoma"/>
                <w:b/>
                <w:bCs/>
                <w:sz w:val="20"/>
                <w:szCs w:val="20"/>
              </w:rPr>
            </w:pPr>
            <w:r w:rsidRPr="00863745">
              <w:rPr>
                <w:rFonts w:ascii="Tahoma" w:hAnsi="Tahoma" w:cs="Tahoma"/>
                <w:b/>
                <w:bCs/>
                <w:sz w:val="20"/>
                <w:szCs w:val="20"/>
              </w:rPr>
              <w:t>122 дня</w:t>
            </w:r>
          </w:p>
        </w:tc>
        <w:tc>
          <w:tcPr>
            <w:tcW w:w="1961" w:type="dxa"/>
            <w:shd w:val="clear" w:color="000000" w:fill="FFFFFF"/>
            <w:noWrap/>
            <w:vAlign w:val="center"/>
            <w:hideMark/>
          </w:tcPr>
          <w:p w14:paraId="3ED92485" w14:textId="77777777" w:rsidR="00EA2CBD" w:rsidRPr="00863745" w:rsidRDefault="00EA2CBD" w:rsidP="009D1253">
            <w:pPr>
              <w:jc w:val="center"/>
              <w:rPr>
                <w:rFonts w:ascii="Tahoma" w:hAnsi="Tahoma" w:cs="Tahoma"/>
                <w:b/>
                <w:bCs/>
                <w:sz w:val="20"/>
                <w:szCs w:val="20"/>
              </w:rPr>
            </w:pPr>
            <w:r w:rsidRPr="00863745">
              <w:rPr>
                <w:rFonts w:ascii="Tahoma" w:hAnsi="Tahoma" w:cs="Tahoma"/>
                <w:b/>
                <w:bCs/>
                <w:sz w:val="20"/>
                <w:szCs w:val="20"/>
              </w:rPr>
              <w:t>182 дня</w:t>
            </w:r>
          </w:p>
        </w:tc>
      </w:tr>
      <w:tr w:rsidR="00EA2CBD" w:rsidRPr="00863745" w14:paraId="6725242E" w14:textId="77777777" w:rsidTr="009D1253">
        <w:trPr>
          <w:trHeight w:val="344"/>
        </w:trPr>
        <w:tc>
          <w:tcPr>
            <w:tcW w:w="2262" w:type="dxa"/>
            <w:vMerge/>
            <w:vAlign w:val="center"/>
            <w:hideMark/>
          </w:tcPr>
          <w:p w14:paraId="553BD00B" w14:textId="77777777" w:rsidR="00EA2CBD" w:rsidRPr="00863745" w:rsidRDefault="00EA2CBD" w:rsidP="009D1253">
            <w:pPr>
              <w:rPr>
                <w:rFonts w:ascii="Tahoma" w:hAnsi="Tahoma" w:cs="Tahoma"/>
                <w:b/>
                <w:bCs/>
                <w:sz w:val="20"/>
                <w:szCs w:val="20"/>
              </w:rPr>
            </w:pPr>
          </w:p>
        </w:tc>
        <w:tc>
          <w:tcPr>
            <w:tcW w:w="1911" w:type="dxa"/>
            <w:vMerge/>
            <w:vAlign w:val="center"/>
            <w:hideMark/>
          </w:tcPr>
          <w:p w14:paraId="72A92AF5" w14:textId="77777777" w:rsidR="00EA2CBD" w:rsidRPr="00863745" w:rsidRDefault="00EA2CBD" w:rsidP="009D1253">
            <w:pPr>
              <w:rPr>
                <w:rFonts w:ascii="Tahoma" w:hAnsi="Tahoma" w:cs="Tahoma"/>
                <w:b/>
                <w:bCs/>
                <w:sz w:val="20"/>
                <w:szCs w:val="20"/>
              </w:rPr>
            </w:pPr>
          </w:p>
        </w:tc>
        <w:tc>
          <w:tcPr>
            <w:tcW w:w="3159" w:type="dxa"/>
            <w:vMerge/>
            <w:vAlign w:val="center"/>
            <w:hideMark/>
          </w:tcPr>
          <w:p w14:paraId="5EE1E799" w14:textId="77777777" w:rsidR="00EA2CBD" w:rsidRPr="00863745" w:rsidRDefault="00EA2CBD" w:rsidP="009D1253">
            <w:pPr>
              <w:rPr>
                <w:rFonts w:ascii="Tahoma" w:hAnsi="Tahoma" w:cs="Tahoma"/>
                <w:b/>
                <w:bCs/>
                <w:sz w:val="20"/>
                <w:szCs w:val="20"/>
              </w:rPr>
            </w:pPr>
          </w:p>
        </w:tc>
        <w:tc>
          <w:tcPr>
            <w:tcW w:w="7278" w:type="dxa"/>
            <w:gridSpan w:val="4"/>
            <w:shd w:val="clear" w:color="000000" w:fill="FFFFFF"/>
            <w:vAlign w:val="center"/>
            <w:hideMark/>
          </w:tcPr>
          <w:p w14:paraId="1B7EB652" w14:textId="77777777" w:rsidR="00EA2CBD" w:rsidRPr="00863745" w:rsidRDefault="00EA2CBD" w:rsidP="009D1253">
            <w:pPr>
              <w:jc w:val="center"/>
              <w:rPr>
                <w:rFonts w:ascii="Tahoma" w:hAnsi="Tahoma" w:cs="Tahoma"/>
                <w:b/>
                <w:bCs/>
                <w:sz w:val="20"/>
                <w:szCs w:val="20"/>
              </w:rPr>
            </w:pPr>
            <w:r>
              <w:rPr>
                <w:rFonts w:ascii="Tahoma" w:hAnsi="Tahoma" w:cs="Tahoma"/>
                <w:b/>
                <w:bCs/>
                <w:iCs/>
                <w:sz w:val="20"/>
                <w:szCs w:val="20"/>
              </w:rPr>
              <w:t>Процентные ставки**</w:t>
            </w:r>
            <w:r w:rsidRPr="008572C5">
              <w:rPr>
                <w:rFonts w:ascii="Tahoma" w:hAnsi="Tahoma" w:cs="Tahoma"/>
                <w:b/>
                <w:bCs/>
                <w:iCs/>
                <w:sz w:val="20"/>
                <w:szCs w:val="20"/>
              </w:rPr>
              <w:t xml:space="preserve"> (% годовых) / Доход с учетом капитализации</w:t>
            </w:r>
            <w:r>
              <w:rPr>
                <w:rFonts w:ascii="Tahoma" w:hAnsi="Tahoma" w:cs="Tahoma"/>
                <w:b/>
                <w:bCs/>
                <w:iCs/>
                <w:sz w:val="20"/>
                <w:szCs w:val="20"/>
              </w:rPr>
              <w:t>*</w:t>
            </w:r>
            <w:r w:rsidRPr="008572C5">
              <w:rPr>
                <w:rFonts w:ascii="Tahoma" w:hAnsi="Tahoma" w:cs="Tahoma"/>
                <w:b/>
                <w:bCs/>
                <w:iCs/>
                <w:sz w:val="20"/>
                <w:szCs w:val="20"/>
              </w:rPr>
              <w:t xml:space="preserve"> </w:t>
            </w:r>
            <w:r w:rsidRPr="008572C5">
              <w:rPr>
                <w:rFonts w:ascii="Tahoma" w:hAnsi="Tahoma" w:cs="Tahoma"/>
                <w:b/>
                <w:bCs/>
                <w:iCs/>
                <w:color w:val="000000" w:themeColor="text1"/>
                <w:sz w:val="20"/>
                <w:szCs w:val="20"/>
              </w:rPr>
              <w:t>(% годовых) в завис</w:t>
            </w:r>
            <w:r>
              <w:rPr>
                <w:rFonts w:ascii="Tahoma" w:hAnsi="Tahoma" w:cs="Tahoma"/>
                <w:b/>
                <w:bCs/>
                <w:iCs/>
                <w:color w:val="000000" w:themeColor="text1"/>
                <w:sz w:val="20"/>
                <w:szCs w:val="20"/>
              </w:rPr>
              <w:t>имости от срока Вклада</w:t>
            </w:r>
            <w:r w:rsidRPr="008572C5">
              <w:rPr>
                <w:rFonts w:ascii="Tahoma" w:hAnsi="Tahoma" w:cs="Tahoma"/>
                <w:b/>
                <w:bCs/>
                <w:iCs/>
                <w:color w:val="000000" w:themeColor="text1"/>
                <w:sz w:val="20"/>
                <w:szCs w:val="20"/>
              </w:rPr>
              <w:t>*</w:t>
            </w:r>
            <w:r>
              <w:rPr>
                <w:rFonts w:ascii="Tahoma" w:hAnsi="Tahoma" w:cs="Tahoma"/>
                <w:b/>
                <w:bCs/>
                <w:iCs/>
                <w:color w:val="000000" w:themeColor="text1"/>
                <w:sz w:val="20"/>
                <w:szCs w:val="20"/>
              </w:rPr>
              <w:t>*</w:t>
            </w:r>
          </w:p>
        </w:tc>
      </w:tr>
      <w:tr w:rsidR="00EA2CBD" w:rsidRPr="00863745" w14:paraId="25351C35" w14:textId="77777777" w:rsidTr="009D1253">
        <w:trPr>
          <w:trHeight w:val="733"/>
        </w:trPr>
        <w:tc>
          <w:tcPr>
            <w:tcW w:w="2262" w:type="dxa"/>
            <w:shd w:val="clear" w:color="auto" w:fill="FFC000"/>
            <w:vAlign w:val="center"/>
            <w:hideMark/>
          </w:tcPr>
          <w:p w14:paraId="16E9E1FD" w14:textId="77777777" w:rsidR="00EA2CBD" w:rsidRPr="00863745" w:rsidRDefault="00EA2CBD" w:rsidP="009D1253">
            <w:pPr>
              <w:jc w:val="center"/>
              <w:rPr>
                <w:rFonts w:ascii="Tahoma" w:hAnsi="Tahoma" w:cs="Tahoma"/>
                <w:bCs/>
                <w:sz w:val="20"/>
                <w:szCs w:val="20"/>
              </w:rPr>
            </w:pPr>
            <w:r w:rsidRPr="00863745">
              <w:rPr>
                <w:rFonts w:ascii="Tahoma" w:hAnsi="Tahoma" w:cs="Tahoma"/>
                <w:bCs/>
                <w:sz w:val="20"/>
                <w:szCs w:val="20"/>
              </w:rPr>
              <w:t>АТБ. ВИП Вклад</w:t>
            </w:r>
            <w:r w:rsidRPr="00863745">
              <w:rPr>
                <w:rFonts w:ascii="Tahoma" w:hAnsi="Tahoma" w:cs="Tahoma"/>
                <w:bCs/>
                <w:sz w:val="20"/>
                <w:szCs w:val="20"/>
              </w:rPr>
              <w:br/>
              <w:t>(</w:t>
            </w:r>
            <w:r>
              <w:rPr>
                <w:rFonts w:ascii="Tahoma" w:hAnsi="Tahoma" w:cs="Tahoma"/>
                <w:bCs/>
                <w:sz w:val="20"/>
                <w:szCs w:val="20"/>
              </w:rPr>
              <w:t xml:space="preserve">с </w:t>
            </w:r>
            <w:r w:rsidRPr="00863745">
              <w:rPr>
                <w:rFonts w:ascii="Tahoma" w:hAnsi="Tahoma" w:cs="Tahoma"/>
                <w:bCs/>
                <w:sz w:val="20"/>
                <w:szCs w:val="20"/>
              </w:rPr>
              <w:t>пополнени</w:t>
            </w:r>
            <w:r>
              <w:rPr>
                <w:rFonts w:ascii="Tahoma" w:hAnsi="Tahoma" w:cs="Tahoma"/>
                <w:bCs/>
                <w:sz w:val="20"/>
                <w:szCs w:val="20"/>
              </w:rPr>
              <w:t>ем</w:t>
            </w:r>
            <w:r w:rsidRPr="00863745">
              <w:rPr>
                <w:rFonts w:ascii="Tahoma" w:hAnsi="Tahoma" w:cs="Tahoma"/>
                <w:bCs/>
                <w:sz w:val="20"/>
                <w:szCs w:val="20"/>
              </w:rPr>
              <w:t>)</w:t>
            </w:r>
          </w:p>
        </w:tc>
        <w:tc>
          <w:tcPr>
            <w:tcW w:w="1911" w:type="dxa"/>
            <w:shd w:val="clear" w:color="000000" w:fill="FFFFFF"/>
            <w:noWrap/>
            <w:vAlign w:val="center"/>
            <w:hideMark/>
          </w:tcPr>
          <w:p w14:paraId="258F6241" w14:textId="77777777" w:rsidR="00EA2CBD" w:rsidRPr="00863745" w:rsidRDefault="00EA2CBD" w:rsidP="009D1253">
            <w:pPr>
              <w:jc w:val="center"/>
              <w:rPr>
                <w:rFonts w:ascii="Tahoma" w:hAnsi="Tahoma" w:cs="Tahoma"/>
                <w:sz w:val="20"/>
                <w:szCs w:val="20"/>
              </w:rPr>
            </w:pPr>
            <w:r w:rsidRPr="00863745">
              <w:rPr>
                <w:rFonts w:ascii="Tahoma" w:hAnsi="Tahoma" w:cs="Tahoma"/>
                <w:sz w:val="20"/>
                <w:szCs w:val="20"/>
              </w:rPr>
              <w:t>рубли</w:t>
            </w:r>
          </w:p>
        </w:tc>
        <w:tc>
          <w:tcPr>
            <w:tcW w:w="3159" w:type="dxa"/>
            <w:shd w:val="clear" w:color="000000" w:fill="FFFFFF"/>
            <w:noWrap/>
            <w:vAlign w:val="center"/>
            <w:hideMark/>
          </w:tcPr>
          <w:p w14:paraId="08B92C10" w14:textId="77777777" w:rsidR="00EA2CBD" w:rsidRPr="00863745" w:rsidRDefault="00EA2CBD" w:rsidP="009D1253">
            <w:pPr>
              <w:jc w:val="center"/>
              <w:rPr>
                <w:rFonts w:ascii="Tahoma" w:hAnsi="Tahoma" w:cs="Tahoma"/>
                <w:sz w:val="20"/>
                <w:szCs w:val="20"/>
              </w:rPr>
            </w:pPr>
            <w:r w:rsidRPr="00863745">
              <w:rPr>
                <w:rFonts w:ascii="Tahoma" w:hAnsi="Tahoma" w:cs="Tahoma"/>
                <w:sz w:val="20"/>
                <w:szCs w:val="20"/>
              </w:rPr>
              <w:t>7 000 000</w:t>
            </w:r>
          </w:p>
        </w:tc>
        <w:tc>
          <w:tcPr>
            <w:tcW w:w="1795" w:type="dxa"/>
            <w:shd w:val="clear" w:color="000000" w:fill="FFFFFF"/>
            <w:noWrap/>
            <w:vAlign w:val="center"/>
            <w:hideMark/>
          </w:tcPr>
          <w:p w14:paraId="42DC0A20" w14:textId="77777777" w:rsidR="00EA2CBD" w:rsidRPr="00D949E9" w:rsidRDefault="00EA2CBD" w:rsidP="009D1253">
            <w:pPr>
              <w:jc w:val="center"/>
              <w:rPr>
                <w:rFonts w:ascii="Tahoma" w:hAnsi="Tahoma" w:cs="Tahoma"/>
                <w:sz w:val="20"/>
                <w:szCs w:val="20"/>
              </w:rPr>
            </w:pPr>
            <w:r w:rsidRPr="00D949E9">
              <w:rPr>
                <w:rFonts w:ascii="Tahoma" w:hAnsi="Tahoma" w:cs="Tahoma"/>
                <w:sz w:val="20"/>
                <w:szCs w:val="20"/>
              </w:rPr>
              <w:t>14,460/ 14,549</w:t>
            </w:r>
          </w:p>
        </w:tc>
        <w:tc>
          <w:tcPr>
            <w:tcW w:w="1795" w:type="dxa"/>
            <w:shd w:val="clear" w:color="000000" w:fill="FFFFFF"/>
            <w:noWrap/>
            <w:vAlign w:val="center"/>
            <w:hideMark/>
          </w:tcPr>
          <w:p w14:paraId="0E7D3CD4" w14:textId="77777777" w:rsidR="00EA2CBD" w:rsidRPr="00D949E9" w:rsidRDefault="00EA2CBD" w:rsidP="009D1253">
            <w:pPr>
              <w:jc w:val="center"/>
              <w:rPr>
                <w:rFonts w:ascii="Tahoma" w:hAnsi="Tahoma" w:cs="Tahoma"/>
                <w:sz w:val="20"/>
                <w:szCs w:val="20"/>
              </w:rPr>
            </w:pPr>
            <w:r w:rsidRPr="00D949E9">
              <w:rPr>
                <w:rFonts w:ascii="Tahoma" w:hAnsi="Tahoma" w:cs="Tahoma"/>
                <w:sz w:val="20"/>
                <w:szCs w:val="20"/>
              </w:rPr>
              <w:t>14,800/ 14,986</w:t>
            </w:r>
          </w:p>
        </w:tc>
        <w:tc>
          <w:tcPr>
            <w:tcW w:w="1726" w:type="dxa"/>
            <w:shd w:val="clear" w:color="000000" w:fill="FFFFFF"/>
            <w:noWrap/>
            <w:vAlign w:val="center"/>
            <w:hideMark/>
          </w:tcPr>
          <w:p w14:paraId="75934443" w14:textId="77777777" w:rsidR="00EA2CBD" w:rsidRPr="00D949E9" w:rsidRDefault="00EA2CBD" w:rsidP="009D1253">
            <w:pPr>
              <w:jc w:val="center"/>
              <w:rPr>
                <w:rFonts w:ascii="Tahoma" w:hAnsi="Tahoma" w:cs="Tahoma"/>
                <w:sz w:val="20"/>
                <w:szCs w:val="20"/>
              </w:rPr>
            </w:pPr>
            <w:r w:rsidRPr="00D949E9">
              <w:rPr>
                <w:rFonts w:ascii="Tahoma" w:hAnsi="Tahoma" w:cs="Tahoma"/>
                <w:sz w:val="20"/>
                <w:szCs w:val="20"/>
              </w:rPr>
              <w:t>14,800/ 15,076</w:t>
            </w:r>
          </w:p>
        </w:tc>
        <w:tc>
          <w:tcPr>
            <w:tcW w:w="1961" w:type="dxa"/>
            <w:shd w:val="clear" w:color="000000" w:fill="FFFFFF"/>
            <w:noWrap/>
            <w:vAlign w:val="center"/>
            <w:hideMark/>
          </w:tcPr>
          <w:p w14:paraId="2DAEC7D6" w14:textId="77777777" w:rsidR="00EA2CBD" w:rsidRPr="00D949E9" w:rsidRDefault="00EA2CBD" w:rsidP="009D1253">
            <w:pPr>
              <w:jc w:val="center"/>
              <w:rPr>
                <w:rFonts w:ascii="Tahoma" w:hAnsi="Tahoma" w:cs="Tahoma"/>
                <w:sz w:val="20"/>
                <w:szCs w:val="20"/>
              </w:rPr>
            </w:pPr>
            <w:r w:rsidRPr="00D949E9">
              <w:rPr>
                <w:rFonts w:ascii="Tahoma" w:hAnsi="Tahoma" w:cs="Tahoma"/>
                <w:sz w:val="20"/>
                <w:szCs w:val="20"/>
              </w:rPr>
              <w:t>14,800/ 15,261</w:t>
            </w:r>
          </w:p>
        </w:tc>
      </w:tr>
    </w:tbl>
    <w:p w14:paraId="0187F154" w14:textId="77777777" w:rsidR="00EA2CBD" w:rsidRPr="008572C5" w:rsidRDefault="00EA2CBD" w:rsidP="00EA2CBD">
      <w:pPr>
        <w:tabs>
          <w:tab w:val="left" w:pos="851"/>
        </w:tabs>
        <w:rPr>
          <w:rFonts w:ascii="Tahoma" w:hAnsi="Tahoma" w:cs="Tahoma"/>
          <w:b/>
          <w:bCs/>
          <w:iCs/>
          <w:color w:val="E36C0A"/>
          <w:sz w:val="22"/>
          <w:szCs w:val="22"/>
        </w:rPr>
      </w:pPr>
    </w:p>
    <w:p w14:paraId="5741CF59" w14:textId="77777777" w:rsidR="00EA2CBD" w:rsidRPr="008572C5" w:rsidRDefault="00EA2CBD" w:rsidP="00EA2CBD">
      <w:pPr>
        <w:tabs>
          <w:tab w:val="left" w:pos="284"/>
        </w:tabs>
        <w:rPr>
          <w:rFonts w:ascii="Tahoma" w:hAnsi="Tahoma" w:cs="Tahoma"/>
          <w:color w:val="000000" w:themeColor="text1"/>
          <w:sz w:val="18"/>
          <w:szCs w:val="18"/>
        </w:rPr>
      </w:pPr>
      <w:r w:rsidRPr="008572C5">
        <w:rPr>
          <w:rFonts w:ascii="Tahoma" w:hAnsi="Tahoma" w:cs="Tahoma"/>
          <w:color w:val="000000" w:themeColor="text1"/>
          <w:sz w:val="18"/>
          <w:szCs w:val="18"/>
        </w:rPr>
        <w:t xml:space="preserve">*Капитализация - причисление процентов к основной сумме </w:t>
      </w:r>
      <w:r>
        <w:rPr>
          <w:rFonts w:ascii="Tahoma" w:hAnsi="Tahoma" w:cs="Tahoma"/>
          <w:color w:val="000000" w:themeColor="text1"/>
          <w:sz w:val="18"/>
          <w:szCs w:val="18"/>
        </w:rPr>
        <w:t>В</w:t>
      </w:r>
      <w:r w:rsidRPr="008572C5">
        <w:rPr>
          <w:rFonts w:ascii="Tahoma" w:hAnsi="Tahoma" w:cs="Tahoma"/>
          <w:color w:val="000000" w:themeColor="text1"/>
          <w:sz w:val="18"/>
          <w:szCs w:val="18"/>
        </w:rPr>
        <w:t>клада.</w:t>
      </w:r>
    </w:p>
    <w:p w14:paraId="12BC6D24" w14:textId="77777777" w:rsidR="00EA2CBD" w:rsidRPr="008572C5" w:rsidRDefault="00EA2CBD" w:rsidP="00EA2CBD">
      <w:pPr>
        <w:jc w:val="both"/>
        <w:rPr>
          <w:rFonts w:ascii="Tahoma" w:hAnsi="Tahoma" w:cs="Tahoma"/>
          <w:b/>
          <w:bCs/>
          <w:color w:val="E36C0A" w:themeColor="accent6" w:themeShade="BF"/>
          <w:sz w:val="22"/>
          <w:szCs w:val="22"/>
        </w:rPr>
      </w:pPr>
      <w:r w:rsidRPr="008572C5">
        <w:rPr>
          <w:rFonts w:ascii="Tahoma" w:hAnsi="Tahoma" w:cs="Tahoma"/>
          <w:sz w:val="18"/>
          <w:szCs w:val="18"/>
        </w:rPr>
        <w:t xml:space="preserve">** </w:t>
      </w:r>
      <w:r w:rsidRPr="008572C5">
        <w:rPr>
          <w:rFonts w:ascii="Tahoma" w:hAnsi="Tahoma" w:cs="Tahoma"/>
          <w:color w:val="000000" w:themeColor="text1"/>
          <w:sz w:val="18"/>
          <w:szCs w:val="18"/>
        </w:rPr>
        <w:t xml:space="preserve">Соответствует значению минимальной гарантированной ставки (годовых) с учетом округления, определяющему минимальный доход, выплачиваемый </w:t>
      </w:r>
      <w:r>
        <w:rPr>
          <w:rFonts w:ascii="Tahoma" w:hAnsi="Tahoma" w:cs="Tahoma"/>
          <w:color w:val="000000" w:themeColor="text1"/>
          <w:sz w:val="18"/>
          <w:szCs w:val="18"/>
        </w:rPr>
        <w:t>В</w:t>
      </w:r>
      <w:r w:rsidRPr="008572C5">
        <w:rPr>
          <w:rFonts w:ascii="Tahoma" w:hAnsi="Tahoma" w:cs="Tahoma"/>
          <w:color w:val="000000" w:themeColor="text1"/>
          <w:sz w:val="18"/>
          <w:szCs w:val="18"/>
        </w:rPr>
        <w:t xml:space="preserve">кладчику на сумму </w:t>
      </w:r>
      <w:r>
        <w:rPr>
          <w:rFonts w:ascii="Tahoma" w:hAnsi="Tahoma" w:cs="Tahoma"/>
          <w:color w:val="000000" w:themeColor="text1"/>
          <w:sz w:val="18"/>
          <w:szCs w:val="18"/>
        </w:rPr>
        <w:t>В</w:t>
      </w:r>
      <w:r w:rsidRPr="008572C5">
        <w:rPr>
          <w:rFonts w:ascii="Tahoma" w:hAnsi="Tahoma" w:cs="Tahoma"/>
          <w:color w:val="000000" w:themeColor="text1"/>
          <w:sz w:val="18"/>
          <w:szCs w:val="18"/>
        </w:rPr>
        <w:t xml:space="preserve">клада при условии хранения суммы </w:t>
      </w:r>
      <w:r>
        <w:rPr>
          <w:rFonts w:ascii="Tahoma" w:hAnsi="Tahoma" w:cs="Tahoma"/>
          <w:color w:val="000000" w:themeColor="text1"/>
          <w:sz w:val="18"/>
          <w:szCs w:val="18"/>
        </w:rPr>
        <w:t>В</w:t>
      </w:r>
      <w:r w:rsidRPr="008572C5">
        <w:rPr>
          <w:rFonts w:ascii="Tahoma" w:hAnsi="Tahoma" w:cs="Tahoma"/>
          <w:color w:val="000000" w:themeColor="text1"/>
          <w:sz w:val="18"/>
          <w:szCs w:val="18"/>
        </w:rPr>
        <w:t xml:space="preserve">клада до конца срока </w:t>
      </w:r>
      <w:r>
        <w:rPr>
          <w:rFonts w:ascii="Tahoma" w:hAnsi="Tahoma" w:cs="Tahoma"/>
          <w:color w:val="000000" w:themeColor="text1"/>
          <w:sz w:val="18"/>
          <w:szCs w:val="18"/>
        </w:rPr>
        <w:t>В</w:t>
      </w:r>
      <w:r w:rsidRPr="008572C5">
        <w:rPr>
          <w:rFonts w:ascii="Tahoma" w:hAnsi="Tahoma" w:cs="Tahoma"/>
          <w:color w:val="000000" w:themeColor="text1"/>
          <w:sz w:val="18"/>
          <w:szCs w:val="18"/>
        </w:rPr>
        <w:t xml:space="preserve">клада без учета каких-либо других условий. Порядок расчета минимальной гарантированной ставки по </w:t>
      </w:r>
      <w:r>
        <w:rPr>
          <w:rFonts w:ascii="Tahoma" w:hAnsi="Tahoma" w:cs="Tahoma"/>
          <w:color w:val="000000" w:themeColor="text1"/>
          <w:sz w:val="18"/>
          <w:szCs w:val="18"/>
        </w:rPr>
        <w:t>В</w:t>
      </w:r>
      <w:r w:rsidRPr="008572C5">
        <w:rPr>
          <w:rFonts w:ascii="Tahoma" w:hAnsi="Tahoma" w:cs="Tahoma"/>
          <w:color w:val="000000" w:themeColor="text1"/>
          <w:sz w:val="18"/>
          <w:szCs w:val="18"/>
        </w:rPr>
        <w:t>кладу определяется Банком России.</w:t>
      </w:r>
    </w:p>
    <w:p w14:paraId="61B3BAEB" w14:textId="77777777" w:rsidR="00EA2CBD" w:rsidRDefault="00EA2CBD" w:rsidP="00EA2CBD">
      <w:pPr>
        <w:tabs>
          <w:tab w:val="left" w:pos="284"/>
        </w:tabs>
        <w:rPr>
          <w:rFonts w:ascii="Tahoma" w:hAnsi="Tahoma" w:cs="Tahoma"/>
          <w:bCs/>
          <w:iCs/>
          <w:color w:val="E36C0A"/>
          <w:sz w:val="22"/>
          <w:szCs w:val="22"/>
        </w:rPr>
      </w:pPr>
    </w:p>
    <w:p w14:paraId="4716B618" w14:textId="77777777" w:rsidR="00EA2CBD" w:rsidRPr="008572C5" w:rsidRDefault="00EA2CBD" w:rsidP="000B3718">
      <w:pPr>
        <w:pStyle w:val="a5"/>
      </w:pPr>
      <w:r>
        <w:t>3.10.</w:t>
      </w:r>
      <w:r w:rsidRPr="00162227">
        <w:t xml:space="preserve"> </w:t>
      </w:r>
      <w:r w:rsidRPr="008572C5">
        <w:tab/>
        <w:t>Вклад «АТБ.</w:t>
      </w:r>
      <w:r>
        <w:t>ВИП.</w:t>
      </w:r>
      <w:r w:rsidRPr="008572C5">
        <w:t xml:space="preserve"> Вклад» (с пополнением</w:t>
      </w:r>
      <w:r>
        <w:t xml:space="preserve"> и снятием</w:t>
      </w:r>
      <w:r w:rsidRPr="008572C5">
        <w:t>)</w:t>
      </w:r>
    </w:p>
    <w:p w14:paraId="4D547FB3" w14:textId="77777777" w:rsidR="00EA2CBD" w:rsidRPr="008572C5" w:rsidRDefault="00EA2CBD" w:rsidP="00EA2CBD">
      <w:pPr>
        <w:ind w:firstLine="426"/>
        <w:jc w:val="both"/>
        <w:rPr>
          <w:rFonts w:ascii="Tahoma" w:hAnsi="Tahoma" w:cs="Tahoma"/>
          <w:color w:val="000000"/>
          <w:sz w:val="22"/>
          <w:szCs w:val="22"/>
          <w:lang w:eastAsia="en-US"/>
        </w:rPr>
      </w:pPr>
      <w:r w:rsidRPr="008572C5">
        <w:rPr>
          <w:rFonts w:ascii="Tahoma" w:hAnsi="Tahoma" w:cs="Tahoma"/>
          <w:color w:val="000000"/>
          <w:sz w:val="22"/>
          <w:szCs w:val="22"/>
        </w:rPr>
        <w:t>Условия:</w:t>
      </w:r>
    </w:p>
    <w:p w14:paraId="3DB3CCB8" w14:textId="77777777" w:rsidR="00EA2CBD" w:rsidRPr="008572C5" w:rsidRDefault="00EA2CBD" w:rsidP="00EA2CBD">
      <w:pPr>
        <w:numPr>
          <w:ilvl w:val="0"/>
          <w:numId w:val="3"/>
        </w:numPr>
        <w:jc w:val="both"/>
        <w:rPr>
          <w:rFonts w:ascii="Tahoma" w:hAnsi="Tahoma" w:cs="Tahoma"/>
          <w:sz w:val="22"/>
          <w:szCs w:val="22"/>
        </w:rPr>
      </w:pPr>
      <w:r>
        <w:rPr>
          <w:rFonts w:ascii="Tahoma" w:hAnsi="Tahoma" w:cs="Tahoma"/>
          <w:sz w:val="22"/>
          <w:szCs w:val="22"/>
        </w:rPr>
        <w:t>Валюта – рубли РФ</w:t>
      </w:r>
      <w:r w:rsidRPr="008572C5">
        <w:rPr>
          <w:rFonts w:ascii="Tahoma" w:hAnsi="Tahoma" w:cs="Tahoma"/>
          <w:sz w:val="22"/>
          <w:szCs w:val="22"/>
        </w:rPr>
        <w:t>;</w:t>
      </w:r>
    </w:p>
    <w:p w14:paraId="35C18EC1" w14:textId="77777777" w:rsidR="00EA2CBD" w:rsidRPr="008572C5" w:rsidRDefault="00EA2CBD" w:rsidP="00EA2CBD">
      <w:pPr>
        <w:numPr>
          <w:ilvl w:val="0"/>
          <w:numId w:val="3"/>
        </w:numPr>
        <w:jc w:val="both"/>
        <w:rPr>
          <w:rFonts w:ascii="Tahoma" w:hAnsi="Tahoma" w:cs="Tahoma"/>
          <w:sz w:val="22"/>
          <w:szCs w:val="22"/>
        </w:rPr>
      </w:pPr>
      <w:r w:rsidRPr="008572C5">
        <w:rPr>
          <w:rFonts w:ascii="Tahoma" w:hAnsi="Tahoma" w:cs="Tahoma"/>
          <w:sz w:val="22"/>
          <w:szCs w:val="22"/>
        </w:rPr>
        <w:t>Минима</w:t>
      </w:r>
      <w:r>
        <w:rPr>
          <w:rFonts w:ascii="Tahoma" w:hAnsi="Tahoma" w:cs="Tahoma"/>
          <w:sz w:val="22"/>
          <w:szCs w:val="22"/>
        </w:rPr>
        <w:t xml:space="preserve">льная сумма Вклада </w:t>
      </w:r>
      <w:r w:rsidRPr="008572C5">
        <w:rPr>
          <w:rFonts w:ascii="Tahoma" w:hAnsi="Tahoma" w:cs="Tahoma"/>
          <w:sz w:val="22"/>
          <w:szCs w:val="22"/>
        </w:rPr>
        <w:t>–</w:t>
      </w:r>
      <w:r>
        <w:rPr>
          <w:rFonts w:ascii="Tahoma" w:hAnsi="Tahoma" w:cs="Tahoma"/>
          <w:sz w:val="22"/>
          <w:szCs w:val="22"/>
        </w:rPr>
        <w:t xml:space="preserve"> 10 000 000 рублей</w:t>
      </w:r>
      <w:r w:rsidRPr="008572C5">
        <w:rPr>
          <w:rFonts w:ascii="Tahoma" w:hAnsi="Tahoma" w:cs="Tahoma"/>
          <w:sz w:val="22"/>
          <w:szCs w:val="22"/>
        </w:rPr>
        <w:t>;</w:t>
      </w:r>
    </w:p>
    <w:p w14:paraId="5D8E48C5" w14:textId="77777777" w:rsidR="00EA2CBD" w:rsidRPr="008572C5" w:rsidRDefault="00EA2CBD" w:rsidP="00EA2CBD">
      <w:pPr>
        <w:numPr>
          <w:ilvl w:val="0"/>
          <w:numId w:val="3"/>
        </w:numPr>
        <w:jc w:val="both"/>
        <w:rPr>
          <w:rFonts w:ascii="Tahoma" w:hAnsi="Tahoma" w:cs="Tahoma"/>
          <w:sz w:val="22"/>
          <w:szCs w:val="22"/>
        </w:rPr>
      </w:pPr>
      <w:r w:rsidRPr="008572C5">
        <w:rPr>
          <w:rFonts w:ascii="Tahoma" w:hAnsi="Tahoma" w:cs="Tahoma"/>
          <w:sz w:val="22"/>
          <w:szCs w:val="22"/>
        </w:rPr>
        <w:t xml:space="preserve">Максимальная сумма Вклада – </w:t>
      </w:r>
      <w:r>
        <w:rPr>
          <w:rFonts w:ascii="Tahoma" w:hAnsi="Tahoma" w:cs="Tahoma"/>
          <w:sz w:val="22"/>
          <w:szCs w:val="22"/>
        </w:rPr>
        <w:t>200 000 000 рублей</w:t>
      </w:r>
      <w:r w:rsidRPr="008572C5">
        <w:rPr>
          <w:rFonts w:ascii="Tahoma" w:hAnsi="Tahoma" w:cs="Tahoma"/>
          <w:sz w:val="22"/>
          <w:szCs w:val="22"/>
        </w:rPr>
        <w:t>;</w:t>
      </w:r>
    </w:p>
    <w:p w14:paraId="368A926C" w14:textId="77777777" w:rsidR="00EA2CBD" w:rsidRPr="008572C5" w:rsidRDefault="00EA2CBD" w:rsidP="00EA2CBD">
      <w:pPr>
        <w:numPr>
          <w:ilvl w:val="0"/>
          <w:numId w:val="3"/>
        </w:numPr>
        <w:jc w:val="both"/>
        <w:rPr>
          <w:rFonts w:ascii="Tahoma" w:hAnsi="Tahoma" w:cs="Tahoma"/>
          <w:sz w:val="22"/>
          <w:szCs w:val="22"/>
        </w:rPr>
      </w:pPr>
      <w:r w:rsidRPr="008572C5">
        <w:rPr>
          <w:rFonts w:ascii="Tahoma" w:hAnsi="Tahoma" w:cs="Tahoma"/>
          <w:sz w:val="22"/>
          <w:szCs w:val="22"/>
        </w:rPr>
        <w:t>Срок Вклада –</w:t>
      </w:r>
      <w:r>
        <w:rPr>
          <w:rFonts w:ascii="Tahoma" w:hAnsi="Tahoma" w:cs="Tahoma"/>
          <w:sz w:val="22"/>
          <w:szCs w:val="22"/>
        </w:rPr>
        <w:t xml:space="preserve"> 92 дня</w:t>
      </w:r>
      <w:r w:rsidRPr="008572C5">
        <w:rPr>
          <w:rFonts w:ascii="Tahoma" w:hAnsi="Tahoma" w:cs="Tahoma"/>
          <w:sz w:val="22"/>
          <w:szCs w:val="22"/>
        </w:rPr>
        <w:t>;</w:t>
      </w:r>
    </w:p>
    <w:p w14:paraId="7D1FFF70" w14:textId="77777777" w:rsidR="00EA2CBD" w:rsidRDefault="00EA2CBD" w:rsidP="00EA2CBD">
      <w:pPr>
        <w:numPr>
          <w:ilvl w:val="0"/>
          <w:numId w:val="3"/>
        </w:numPr>
        <w:jc w:val="both"/>
        <w:rPr>
          <w:rFonts w:ascii="Tahoma" w:hAnsi="Tahoma" w:cs="Tahoma"/>
          <w:sz w:val="22"/>
          <w:szCs w:val="22"/>
        </w:rPr>
      </w:pPr>
      <w:r w:rsidRPr="008572C5">
        <w:rPr>
          <w:rFonts w:ascii="Tahoma" w:hAnsi="Tahoma" w:cs="Tahoma"/>
          <w:sz w:val="22"/>
          <w:szCs w:val="22"/>
        </w:rPr>
        <w:t>Вклад пополняемый</w:t>
      </w:r>
      <w:r>
        <w:rPr>
          <w:rFonts w:ascii="Tahoma" w:hAnsi="Tahoma" w:cs="Tahoma"/>
          <w:sz w:val="22"/>
          <w:szCs w:val="22"/>
        </w:rPr>
        <w:t xml:space="preserve"> до максимальной суммы Вклада, м</w:t>
      </w:r>
      <w:r w:rsidRPr="007C170D">
        <w:rPr>
          <w:rFonts w:ascii="Tahoma" w:hAnsi="Tahoma" w:cs="Tahoma"/>
          <w:sz w:val="22"/>
          <w:szCs w:val="22"/>
        </w:rPr>
        <w:t>инимальная сумма пополнения не установлена</w:t>
      </w:r>
      <w:r w:rsidRPr="008572C5">
        <w:rPr>
          <w:rFonts w:ascii="Tahoma" w:hAnsi="Tahoma" w:cs="Tahoma"/>
          <w:sz w:val="22"/>
          <w:szCs w:val="22"/>
        </w:rPr>
        <w:t>;</w:t>
      </w:r>
    </w:p>
    <w:p w14:paraId="4F977375" w14:textId="77777777" w:rsidR="00EA2CBD" w:rsidRPr="008572C5" w:rsidRDefault="00EA2CBD" w:rsidP="00EA2CBD">
      <w:pPr>
        <w:numPr>
          <w:ilvl w:val="0"/>
          <w:numId w:val="3"/>
        </w:numPr>
        <w:jc w:val="both"/>
        <w:rPr>
          <w:rFonts w:ascii="Tahoma" w:hAnsi="Tahoma" w:cs="Tahoma"/>
          <w:sz w:val="22"/>
          <w:szCs w:val="22"/>
        </w:rPr>
      </w:pPr>
      <w:r>
        <w:rPr>
          <w:rFonts w:ascii="Tahoma" w:hAnsi="Tahoma" w:cs="Tahoma"/>
          <w:sz w:val="22"/>
          <w:szCs w:val="22"/>
        </w:rPr>
        <w:t>Расходные операции</w:t>
      </w:r>
      <w:r w:rsidRPr="007C170D">
        <w:rPr>
          <w:rFonts w:ascii="Tahoma" w:hAnsi="Tahoma" w:cs="Tahoma"/>
          <w:sz w:val="22"/>
          <w:szCs w:val="22"/>
        </w:rPr>
        <w:t xml:space="preserve"> </w:t>
      </w:r>
      <w:r>
        <w:rPr>
          <w:rFonts w:ascii="Tahoma" w:hAnsi="Tahoma" w:cs="Tahoma"/>
          <w:sz w:val="22"/>
          <w:szCs w:val="22"/>
        </w:rPr>
        <w:t>в</w:t>
      </w:r>
      <w:r w:rsidRPr="007C170D">
        <w:rPr>
          <w:rFonts w:ascii="Tahoma" w:hAnsi="Tahoma" w:cs="Tahoma"/>
          <w:sz w:val="22"/>
          <w:szCs w:val="22"/>
        </w:rPr>
        <w:t>озможны в любой сумме до Неснижаемого остатка</w:t>
      </w:r>
      <w:r>
        <w:rPr>
          <w:rFonts w:ascii="Tahoma" w:hAnsi="Tahoma" w:cs="Tahoma"/>
          <w:sz w:val="22"/>
          <w:szCs w:val="22"/>
        </w:rPr>
        <w:t>;</w:t>
      </w:r>
    </w:p>
    <w:p w14:paraId="00352E71" w14:textId="77777777" w:rsidR="00EA2CBD" w:rsidRDefault="00EA2CBD" w:rsidP="00EA2CBD">
      <w:pPr>
        <w:numPr>
          <w:ilvl w:val="0"/>
          <w:numId w:val="3"/>
        </w:numPr>
        <w:jc w:val="both"/>
        <w:rPr>
          <w:rFonts w:ascii="Tahoma" w:hAnsi="Tahoma" w:cs="Tahoma"/>
          <w:sz w:val="22"/>
          <w:szCs w:val="22"/>
        </w:rPr>
      </w:pPr>
      <w:r w:rsidRPr="008572C5">
        <w:rPr>
          <w:rFonts w:ascii="Tahoma" w:hAnsi="Tahoma" w:cs="Tahoma"/>
          <w:sz w:val="22"/>
          <w:szCs w:val="22"/>
        </w:rPr>
        <w:t xml:space="preserve">Неснижаемый остаток по Вкладу – </w:t>
      </w:r>
      <w:r>
        <w:rPr>
          <w:rFonts w:ascii="Tahoma" w:hAnsi="Tahoma" w:cs="Tahoma"/>
          <w:sz w:val="22"/>
          <w:szCs w:val="22"/>
        </w:rPr>
        <w:t>10 000 000 рублей</w:t>
      </w:r>
      <w:r w:rsidRPr="008572C5">
        <w:rPr>
          <w:rFonts w:ascii="Tahoma" w:hAnsi="Tahoma" w:cs="Tahoma"/>
          <w:sz w:val="22"/>
          <w:szCs w:val="22"/>
        </w:rPr>
        <w:t>;</w:t>
      </w:r>
    </w:p>
    <w:p w14:paraId="13435DD9" w14:textId="77777777" w:rsidR="00EA2CBD" w:rsidRPr="008572C5" w:rsidRDefault="00EA2CBD" w:rsidP="00EA2CBD">
      <w:pPr>
        <w:numPr>
          <w:ilvl w:val="0"/>
          <w:numId w:val="3"/>
        </w:numPr>
        <w:jc w:val="both"/>
        <w:rPr>
          <w:rFonts w:ascii="Tahoma" w:hAnsi="Tahoma" w:cs="Tahoma"/>
          <w:sz w:val="22"/>
          <w:szCs w:val="22"/>
        </w:rPr>
      </w:pPr>
      <w:r w:rsidRPr="008572C5">
        <w:rPr>
          <w:rFonts w:ascii="Tahoma" w:hAnsi="Tahoma" w:cs="Tahoma"/>
          <w:color w:val="000000"/>
          <w:sz w:val="22"/>
          <w:szCs w:val="22"/>
        </w:rPr>
        <w:t>Вклад пролонгируемый</w:t>
      </w:r>
      <w:r w:rsidRPr="008572C5">
        <w:rPr>
          <w:rFonts w:ascii="Tahoma" w:hAnsi="Tahoma" w:cs="Tahoma"/>
          <w:sz w:val="22"/>
          <w:szCs w:val="22"/>
        </w:rPr>
        <w:t>;</w:t>
      </w:r>
    </w:p>
    <w:p w14:paraId="1A741B89" w14:textId="77777777" w:rsidR="00EA2CBD" w:rsidRPr="008572C5" w:rsidRDefault="00EA2CBD" w:rsidP="00EA2CBD">
      <w:pPr>
        <w:numPr>
          <w:ilvl w:val="0"/>
          <w:numId w:val="3"/>
        </w:numPr>
        <w:contextualSpacing/>
        <w:jc w:val="both"/>
        <w:rPr>
          <w:rFonts w:ascii="Tahoma" w:hAnsi="Tahoma" w:cs="Tahoma"/>
          <w:color w:val="000000" w:themeColor="text1"/>
          <w:sz w:val="22"/>
          <w:szCs w:val="22"/>
        </w:rPr>
      </w:pPr>
      <w:r w:rsidRPr="008572C5">
        <w:rPr>
          <w:rFonts w:ascii="Tahoma" w:hAnsi="Tahoma" w:cs="Tahoma"/>
          <w:color w:val="000000" w:themeColor="text1"/>
          <w:sz w:val="22"/>
          <w:szCs w:val="22"/>
        </w:rPr>
        <w:t>Выплата процентов – ежемесячно на выбор:</w:t>
      </w:r>
    </w:p>
    <w:p w14:paraId="73512679" w14:textId="77777777" w:rsidR="00EA2CBD" w:rsidRPr="008572C5" w:rsidRDefault="00EA2CBD" w:rsidP="00EA2CBD">
      <w:pPr>
        <w:ind w:left="720"/>
        <w:contextualSpacing/>
        <w:jc w:val="both"/>
        <w:rPr>
          <w:rFonts w:ascii="Tahoma" w:hAnsi="Tahoma" w:cs="Tahoma"/>
          <w:color w:val="000000" w:themeColor="text1"/>
          <w:sz w:val="22"/>
          <w:szCs w:val="22"/>
        </w:rPr>
      </w:pPr>
      <w:r w:rsidRPr="008572C5">
        <w:rPr>
          <w:rFonts w:ascii="Tahoma" w:hAnsi="Tahoma" w:cs="Tahoma"/>
          <w:color w:val="000000" w:themeColor="text1"/>
          <w:sz w:val="22"/>
          <w:szCs w:val="22"/>
        </w:rPr>
        <w:t>- на счет, открытый в Банке;</w:t>
      </w:r>
    </w:p>
    <w:p w14:paraId="0B3DDBD7" w14:textId="77777777" w:rsidR="00EA2CBD" w:rsidRPr="008572C5" w:rsidRDefault="00EA2CBD" w:rsidP="00EA2CBD">
      <w:pPr>
        <w:autoSpaceDE w:val="0"/>
        <w:autoSpaceDN w:val="0"/>
        <w:ind w:left="720"/>
        <w:contextualSpacing/>
        <w:jc w:val="both"/>
        <w:rPr>
          <w:rFonts w:ascii="Tahoma" w:hAnsi="Tahoma" w:cs="Tahoma"/>
          <w:color w:val="000000" w:themeColor="text1"/>
          <w:sz w:val="22"/>
          <w:szCs w:val="22"/>
        </w:rPr>
      </w:pPr>
      <w:r w:rsidRPr="008572C5">
        <w:rPr>
          <w:rFonts w:ascii="Tahoma" w:hAnsi="Tahoma" w:cs="Tahoma"/>
          <w:color w:val="000000" w:themeColor="text1"/>
          <w:sz w:val="22"/>
          <w:szCs w:val="22"/>
        </w:rPr>
        <w:t>- капитализация, т.е. причисление к основной сумме Вклада;</w:t>
      </w:r>
    </w:p>
    <w:p w14:paraId="5F2771BD" w14:textId="77777777" w:rsidR="00EA2CBD" w:rsidRPr="008572C5" w:rsidRDefault="00EA2CBD" w:rsidP="00EA2CBD">
      <w:pPr>
        <w:numPr>
          <w:ilvl w:val="0"/>
          <w:numId w:val="3"/>
        </w:numPr>
        <w:autoSpaceDE w:val="0"/>
        <w:autoSpaceDN w:val="0"/>
        <w:contextualSpacing/>
        <w:jc w:val="both"/>
        <w:rPr>
          <w:rFonts w:ascii="Tahoma" w:hAnsi="Tahoma" w:cs="Tahoma"/>
          <w:sz w:val="22"/>
          <w:szCs w:val="22"/>
        </w:rPr>
      </w:pPr>
      <w:r w:rsidRPr="008572C5">
        <w:rPr>
          <w:rFonts w:ascii="Tahoma" w:hAnsi="Tahoma" w:cs="Tahoma"/>
          <w:color w:val="000000" w:themeColor="text1"/>
          <w:sz w:val="22"/>
          <w:szCs w:val="22"/>
        </w:rPr>
        <w:t>Выплата суммы Вклада – на счет, открытый в Банке;</w:t>
      </w:r>
    </w:p>
    <w:p w14:paraId="07434711" w14:textId="77777777" w:rsidR="00EA2CBD" w:rsidRPr="00A3342A" w:rsidRDefault="00EA2CBD" w:rsidP="00EA2CBD">
      <w:pPr>
        <w:numPr>
          <w:ilvl w:val="0"/>
          <w:numId w:val="3"/>
        </w:numPr>
        <w:jc w:val="both"/>
        <w:rPr>
          <w:rFonts w:ascii="Tahoma" w:hAnsi="Tahoma" w:cs="Tahoma"/>
          <w:sz w:val="22"/>
          <w:szCs w:val="22"/>
        </w:rPr>
      </w:pPr>
      <w:r w:rsidRPr="00D64905">
        <w:rPr>
          <w:rFonts w:ascii="Tahoma" w:hAnsi="Tahoma" w:cs="Tahoma"/>
          <w:sz w:val="22"/>
          <w:szCs w:val="22"/>
        </w:rPr>
        <w:t>В случае досрочного возвращения Вклада в течение срока хранения Вклада по требованию Вкладчика проценты по Вкладу начисляются Вкладчику по ставке 0,01% годовых за весь срок хранения Вклада, начиная со дня, следующего за днем поступления денежных средств (Вклада) в Банк, и выплачиваются в день востребования суммы Вклада, а излишне уплаченные проценты удерживаются из выплачиваемой Вкладчику суммы</w:t>
      </w:r>
      <w:r w:rsidRPr="00A3342A">
        <w:rPr>
          <w:rFonts w:ascii="Tahoma" w:hAnsi="Tahoma" w:cs="Tahoma"/>
          <w:sz w:val="22"/>
          <w:szCs w:val="22"/>
        </w:rPr>
        <w:t xml:space="preserve">. </w:t>
      </w:r>
    </w:p>
    <w:tbl>
      <w:tblPr>
        <w:tblW w:w="13974"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1139"/>
        <w:gridCol w:w="2214"/>
        <w:gridCol w:w="2721"/>
        <w:gridCol w:w="5890"/>
      </w:tblGrid>
      <w:tr w:rsidR="00EA2CBD" w:rsidRPr="00863745" w14:paraId="3A1105FD" w14:textId="77777777" w:rsidTr="009D1253">
        <w:trPr>
          <w:trHeight w:val="124"/>
        </w:trPr>
        <w:tc>
          <w:tcPr>
            <w:tcW w:w="2010" w:type="dxa"/>
            <w:vMerge w:val="restart"/>
            <w:shd w:val="clear" w:color="000000" w:fill="FFFFFF"/>
            <w:vAlign w:val="center"/>
            <w:hideMark/>
          </w:tcPr>
          <w:p w14:paraId="3B09FDC4" w14:textId="77777777" w:rsidR="00EA2CBD" w:rsidRPr="00863745" w:rsidRDefault="00EA2CBD" w:rsidP="009D1253">
            <w:pPr>
              <w:jc w:val="center"/>
              <w:rPr>
                <w:rFonts w:ascii="Tahoma" w:hAnsi="Tahoma" w:cs="Tahoma"/>
                <w:b/>
                <w:bCs/>
                <w:sz w:val="20"/>
                <w:szCs w:val="20"/>
              </w:rPr>
            </w:pPr>
            <w:r w:rsidRPr="00863745">
              <w:rPr>
                <w:rFonts w:ascii="Tahoma" w:hAnsi="Tahoma" w:cs="Tahoma"/>
                <w:b/>
                <w:bCs/>
                <w:sz w:val="20"/>
                <w:szCs w:val="20"/>
              </w:rPr>
              <w:t>Продукт</w:t>
            </w:r>
          </w:p>
        </w:tc>
        <w:tc>
          <w:tcPr>
            <w:tcW w:w="6074" w:type="dxa"/>
            <w:gridSpan w:val="3"/>
            <w:shd w:val="clear" w:color="000000" w:fill="FFFFFF"/>
            <w:noWrap/>
            <w:vAlign w:val="center"/>
            <w:hideMark/>
          </w:tcPr>
          <w:p w14:paraId="09591096" w14:textId="77777777" w:rsidR="00EA2CBD" w:rsidRPr="00863745" w:rsidRDefault="00EA2CBD" w:rsidP="009D1253">
            <w:pPr>
              <w:jc w:val="center"/>
              <w:rPr>
                <w:rFonts w:ascii="Tahoma" w:hAnsi="Tahoma" w:cs="Tahoma"/>
                <w:b/>
                <w:bCs/>
                <w:sz w:val="20"/>
                <w:szCs w:val="20"/>
              </w:rPr>
            </w:pPr>
            <w:r w:rsidRPr="00863745">
              <w:rPr>
                <w:rFonts w:ascii="Tahoma" w:hAnsi="Tahoma" w:cs="Tahoma"/>
                <w:b/>
                <w:bCs/>
                <w:sz w:val="20"/>
                <w:szCs w:val="20"/>
              </w:rPr>
              <w:t>Базовые параметры Вклада</w:t>
            </w:r>
          </w:p>
        </w:tc>
        <w:tc>
          <w:tcPr>
            <w:tcW w:w="5890" w:type="dxa"/>
            <w:shd w:val="clear" w:color="000000" w:fill="FFFFFF"/>
            <w:noWrap/>
            <w:vAlign w:val="center"/>
            <w:hideMark/>
          </w:tcPr>
          <w:p w14:paraId="38DE0FCD" w14:textId="77777777" w:rsidR="00EA2CBD" w:rsidRPr="00863745" w:rsidRDefault="00EA2CBD" w:rsidP="009D1253">
            <w:pPr>
              <w:jc w:val="center"/>
              <w:rPr>
                <w:rFonts w:ascii="Tahoma" w:hAnsi="Tahoma" w:cs="Tahoma"/>
                <w:b/>
                <w:bCs/>
                <w:sz w:val="20"/>
                <w:szCs w:val="20"/>
              </w:rPr>
            </w:pPr>
            <w:r w:rsidRPr="00863745">
              <w:rPr>
                <w:rFonts w:ascii="Tahoma" w:hAnsi="Tahoma" w:cs="Tahoma"/>
                <w:b/>
                <w:bCs/>
                <w:sz w:val="20"/>
                <w:szCs w:val="20"/>
              </w:rPr>
              <w:t>Ценовые параметры по срок</w:t>
            </w:r>
            <w:r>
              <w:rPr>
                <w:rFonts w:ascii="Tahoma" w:hAnsi="Tahoma" w:cs="Tahoma"/>
                <w:b/>
                <w:bCs/>
                <w:sz w:val="20"/>
                <w:szCs w:val="20"/>
              </w:rPr>
              <w:t>у</w:t>
            </w:r>
            <w:r w:rsidRPr="00863745">
              <w:rPr>
                <w:rFonts w:ascii="Tahoma" w:hAnsi="Tahoma" w:cs="Tahoma"/>
                <w:b/>
                <w:bCs/>
                <w:sz w:val="20"/>
                <w:szCs w:val="20"/>
              </w:rPr>
              <w:t xml:space="preserve"> привлечения</w:t>
            </w:r>
          </w:p>
        </w:tc>
      </w:tr>
      <w:tr w:rsidR="00EA2CBD" w:rsidRPr="00863745" w14:paraId="02186575" w14:textId="77777777" w:rsidTr="009D1253">
        <w:trPr>
          <w:trHeight w:val="99"/>
        </w:trPr>
        <w:tc>
          <w:tcPr>
            <w:tcW w:w="2010" w:type="dxa"/>
            <w:vMerge/>
            <w:vAlign w:val="center"/>
            <w:hideMark/>
          </w:tcPr>
          <w:p w14:paraId="3A1F7E92" w14:textId="77777777" w:rsidR="00EA2CBD" w:rsidRPr="00863745" w:rsidRDefault="00EA2CBD" w:rsidP="009D1253">
            <w:pPr>
              <w:rPr>
                <w:rFonts w:ascii="Tahoma" w:hAnsi="Tahoma" w:cs="Tahoma"/>
                <w:b/>
                <w:bCs/>
                <w:sz w:val="20"/>
                <w:szCs w:val="20"/>
              </w:rPr>
            </w:pPr>
          </w:p>
        </w:tc>
        <w:tc>
          <w:tcPr>
            <w:tcW w:w="1139" w:type="dxa"/>
            <w:vMerge w:val="restart"/>
            <w:shd w:val="clear" w:color="000000" w:fill="FFFFFF"/>
            <w:vAlign w:val="center"/>
            <w:hideMark/>
          </w:tcPr>
          <w:p w14:paraId="654781B3" w14:textId="77777777" w:rsidR="00EA2CBD" w:rsidRPr="00863745" w:rsidRDefault="00EA2CBD" w:rsidP="009D1253">
            <w:pPr>
              <w:jc w:val="center"/>
              <w:rPr>
                <w:rFonts w:ascii="Tahoma" w:hAnsi="Tahoma" w:cs="Tahoma"/>
                <w:b/>
                <w:bCs/>
                <w:sz w:val="20"/>
                <w:szCs w:val="20"/>
              </w:rPr>
            </w:pPr>
            <w:r w:rsidRPr="00863745">
              <w:rPr>
                <w:rFonts w:ascii="Tahoma" w:hAnsi="Tahoma" w:cs="Tahoma"/>
                <w:b/>
                <w:bCs/>
                <w:sz w:val="20"/>
                <w:szCs w:val="20"/>
              </w:rPr>
              <w:t>Валюта Вклада</w:t>
            </w:r>
          </w:p>
        </w:tc>
        <w:tc>
          <w:tcPr>
            <w:tcW w:w="2214" w:type="dxa"/>
            <w:vMerge w:val="restart"/>
            <w:shd w:val="clear" w:color="000000" w:fill="FFFFFF"/>
            <w:vAlign w:val="center"/>
            <w:hideMark/>
          </w:tcPr>
          <w:p w14:paraId="0347A7FE" w14:textId="77777777" w:rsidR="00EA2CBD" w:rsidRPr="00CC74F7" w:rsidRDefault="00EA2CBD" w:rsidP="009D1253">
            <w:pPr>
              <w:jc w:val="center"/>
              <w:rPr>
                <w:rFonts w:ascii="Tahoma" w:hAnsi="Tahoma" w:cs="Tahoma"/>
                <w:b/>
                <w:bCs/>
                <w:sz w:val="20"/>
                <w:szCs w:val="20"/>
              </w:rPr>
            </w:pPr>
            <w:r w:rsidRPr="00CC74F7">
              <w:rPr>
                <w:rFonts w:ascii="Tahoma" w:hAnsi="Tahoma" w:cs="Tahoma"/>
                <w:b/>
                <w:sz w:val="20"/>
                <w:szCs w:val="20"/>
              </w:rPr>
              <w:t xml:space="preserve">Минимальная сумма </w:t>
            </w:r>
            <w:r>
              <w:rPr>
                <w:rFonts w:ascii="Tahoma" w:hAnsi="Tahoma" w:cs="Tahoma"/>
                <w:b/>
                <w:sz w:val="20"/>
                <w:szCs w:val="20"/>
              </w:rPr>
              <w:t>В</w:t>
            </w:r>
            <w:r w:rsidRPr="00CC74F7">
              <w:rPr>
                <w:rFonts w:ascii="Tahoma" w:hAnsi="Tahoma" w:cs="Tahoma"/>
                <w:b/>
                <w:sz w:val="20"/>
                <w:szCs w:val="20"/>
              </w:rPr>
              <w:t xml:space="preserve">клада / Неснижаемый остаток </w:t>
            </w:r>
          </w:p>
        </w:tc>
        <w:tc>
          <w:tcPr>
            <w:tcW w:w="2719" w:type="dxa"/>
            <w:vMerge w:val="restart"/>
            <w:shd w:val="clear" w:color="000000" w:fill="FFFFFF"/>
            <w:vAlign w:val="center"/>
          </w:tcPr>
          <w:p w14:paraId="6F046754" w14:textId="77777777" w:rsidR="00EA2CBD" w:rsidRPr="00CC74F7" w:rsidRDefault="00EA2CBD" w:rsidP="009D1253">
            <w:pPr>
              <w:jc w:val="center"/>
              <w:rPr>
                <w:rFonts w:ascii="Tahoma" w:hAnsi="Tahoma" w:cs="Tahoma"/>
                <w:b/>
                <w:bCs/>
                <w:sz w:val="20"/>
                <w:szCs w:val="20"/>
              </w:rPr>
            </w:pPr>
            <w:r w:rsidRPr="00CC74F7">
              <w:rPr>
                <w:rFonts w:ascii="Tahoma" w:hAnsi="Tahoma" w:cs="Tahoma"/>
                <w:b/>
                <w:sz w:val="20"/>
                <w:szCs w:val="20"/>
              </w:rPr>
              <w:t xml:space="preserve">Максимальная сумма </w:t>
            </w:r>
            <w:r>
              <w:rPr>
                <w:rFonts w:ascii="Tahoma" w:hAnsi="Tahoma" w:cs="Tahoma"/>
                <w:b/>
                <w:sz w:val="20"/>
                <w:szCs w:val="20"/>
              </w:rPr>
              <w:t>В</w:t>
            </w:r>
            <w:r w:rsidRPr="00CC74F7">
              <w:rPr>
                <w:rFonts w:ascii="Tahoma" w:hAnsi="Tahoma" w:cs="Tahoma"/>
                <w:b/>
                <w:sz w:val="20"/>
                <w:szCs w:val="20"/>
              </w:rPr>
              <w:t>клада</w:t>
            </w:r>
          </w:p>
        </w:tc>
        <w:tc>
          <w:tcPr>
            <w:tcW w:w="5890" w:type="dxa"/>
            <w:shd w:val="clear" w:color="000000" w:fill="FFFFFF"/>
            <w:noWrap/>
            <w:vAlign w:val="center"/>
            <w:hideMark/>
          </w:tcPr>
          <w:p w14:paraId="16FCFA3B" w14:textId="77777777" w:rsidR="00EA2CBD" w:rsidRPr="00863745" w:rsidRDefault="00EA2CBD" w:rsidP="009D1253">
            <w:pPr>
              <w:jc w:val="center"/>
              <w:rPr>
                <w:rFonts w:ascii="Tahoma" w:hAnsi="Tahoma" w:cs="Tahoma"/>
                <w:b/>
                <w:bCs/>
                <w:sz w:val="20"/>
                <w:szCs w:val="20"/>
              </w:rPr>
            </w:pPr>
            <w:r>
              <w:rPr>
                <w:rFonts w:ascii="Tahoma" w:hAnsi="Tahoma" w:cs="Tahoma"/>
                <w:b/>
                <w:bCs/>
                <w:sz w:val="20"/>
                <w:szCs w:val="20"/>
              </w:rPr>
              <w:t>9</w:t>
            </w:r>
            <w:r w:rsidRPr="00863745">
              <w:rPr>
                <w:rFonts w:ascii="Tahoma" w:hAnsi="Tahoma" w:cs="Tahoma"/>
                <w:b/>
                <w:bCs/>
                <w:sz w:val="20"/>
                <w:szCs w:val="20"/>
              </w:rPr>
              <w:t>2 дня</w:t>
            </w:r>
          </w:p>
        </w:tc>
      </w:tr>
      <w:tr w:rsidR="00EA2CBD" w:rsidRPr="00863745" w14:paraId="4EC694BF" w14:textId="77777777" w:rsidTr="009D1253">
        <w:trPr>
          <w:trHeight w:val="328"/>
        </w:trPr>
        <w:tc>
          <w:tcPr>
            <w:tcW w:w="2010" w:type="dxa"/>
            <w:vMerge/>
            <w:vAlign w:val="center"/>
            <w:hideMark/>
          </w:tcPr>
          <w:p w14:paraId="7CF8D992" w14:textId="77777777" w:rsidR="00EA2CBD" w:rsidRPr="00863745" w:rsidRDefault="00EA2CBD" w:rsidP="009D1253">
            <w:pPr>
              <w:rPr>
                <w:rFonts w:ascii="Tahoma" w:hAnsi="Tahoma" w:cs="Tahoma"/>
                <w:b/>
                <w:bCs/>
                <w:sz w:val="20"/>
                <w:szCs w:val="20"/>
              </w:rPr>
            </w:pPr>
          </w:p>
        </w:tc>
        <w:tc>
          <w:tcPr>
            <w:tcW w:w="1139" w:type="dxa"/>
            <w:vMerge/>
            <w:vAlign w:val="center"/>
            <w:hideMark/>
          </w:tcPr>
          <w:p w14:paraId="71BFAC5A" w14:textId="77777777" w:rsidR="00EA2CBD" w:rsidRPr="00863745" w:rsidRDefault="00EA2CBD" w:rsidP="009D1253">
            <w:pPr>
              <w:rPr>
                <w:rFonts w:ascii="Tahoma" w:hAnsi="Tahoma" w:cs="Tahoma"/>
                <w:b/>
                <w:bCs/>
                <w:sz w:val="20"/>
                <w:szCs w:val="20"/>
              </w:rPr>
            </w:pPr>
          </w:p>
        </w:tc>
        <w:tc>
          <w:tcPr>
            <w:tcW w:w="2214" w:type="dxa"/>
            <w:vMerge/>
            <w:vAlign w:val="center"/>
            <w:hideMark/>
          </w:tcPr>
          <w:p w14:paraId="6143E244" w14:textId="77777777" w:rsidR="00EA2CBD" w:rsidRPr="00863745" w:rsidRDefault="00EA2CBD" w:rsidP="009D1253">
            <w:pPr>
              <w:rPr>
                <w:rFonts w:ascii="Tahoma" w:hAnsi="Tahoma" w:cs="Tahoma"/>
                <w:b/>
                <w:bCs/>
                <w:sz w:val="20"/>
                <w:szCs w:val="20"/>
              </w:rPr>
            </w:pPr>
          </w:p>
        </w:tc>
        <w:tc>
          <w:tcPr>
            <w:tcW w:w="2719" w:type="dxa"/>
            <w:vMerge/>
            <w:vAlign w:val="center"/>
          </w:tcPr>
          <w:p w14:paraId="044C485D" w14:textId="77777777" w:rsidR="00EA2CBD" w:rsidRPr="00863745" w:rsidRDefault="00EA2CBD" w:rsidP="009D1253">
            <w:pPr>
              <w:rPr>
                <w:rFonts w:ascii="Tahoma" w:hAnsi="Tahoma" w:cs="Tahoma"/>
                <w:b/>
                <w:bCs/>
                <w:sz w:val="20"/>
                <w:szCs w:val="20"/>
              </w:rPr>
            </w:pPr>
          </w:p>
        </w:tc>
        <w:tc>
          <w:tcPr>
            <w:tcW w:w="5890" w:type="dxa"/>
            <w:shd w:val="clear" w:color="000000" w:fill="FFFFFF"/>
            <w:vAlign w:val="center"/>
            <w:hideMark/>
          </w:tcPr>
          <w:p w14:paraId="7D80BC59" w14:textId="77777777" w:rsidR="00EA2CBD" w:rsidRPr="00863745" w:rsidRDefault="00EA2CBD" w:rsidP="009D1253">
            <w:pPr>
              <w:jc w:val="center"/>
              <w:rPr>
                <w:rFonts w:ascii="Tahoma" w:hAnsi="Tahoma" w:cs="Tahoma"/>
                <w:b/>
                <w:bCs/>
                <w:sz w:val="20"/>
                <w:szCs w:val="20"/>
              </w:rPr>
            </w:pPr>
            <w:r>
              <w:rPr>
                <w:rFonts w:ascii="Tahoma" w:hAnsi="Tahoma" w:cs="Tahoma"/>
                <w:b/>
                <w:bCs/>
                <w:iCs/>
                <w:sz w:val="20"/>
                <w:szCs w:val="20"/>
              </w:rPr>
              <w:t>Процентные ставки**</w:t>
            </w:r>
            <w:r w:rsidRPr="008572C5">
              <w:rPr>
                <w:rFonts w:ascii="Tahoma" w:hAnsi="Tahoma" w:cs="Tahoma"/>
                <w:b/>
                <w:bCs/>
                <w:iCs/>
                <w:sz w:val="20"/>
                <w:szCs w:val="20"/>
              </w:rPr>
              <w:t xml:space="preserve"> (% годовых) / Доход с учетом капитализации</w:t>
            </w:r>
            <w:r>
              <w:rPr>
                <w:rFonts w:ascii="Tahoma" w:hAnsi="Tahoma" w:cs="Tahoma"/>
                <w:b/>
                <w:bCs/>
                <w:iCs/>
                <w:sz w:val="20"/>
                <w:szCs w:val="20"/>
              </w:rPr>
              <w:t>*</w:t>
            </w:r>
            <w:r w:rsidRPr="008572C5">
              <w:rPr>
                <w:rFonts w:ascii="Tahoma" w:hAnsi="Tahoma" w:cs="Tahoma"/>
                <w:b/>
                <w:bCs/>
                <w:iCs/>
                <w:sz w:val="20"/>
                <w:szCs w:val="20"/>
              </w:rPr>
              <w:t xml:space="preserve"> </w:t>
            </w:r>
            <w:r w:rsidRPr="008572C5">
              <w:rPr>
                <w:rFonts w:ascii="Tahoma" w:hAnsi="Tahoma" w:cs="Tahoma"/>
                <w:b/>
                <w:bCs/>
                <w:iCs/>
                <w:color w:val="000000" w:themeColor="text1"/>
                <w:sz w:val="20"/>
                <w:szCs w:val="20"/>
              </w:rPr>
              <w:t>(% годовых) *</w:t>
            </w:r>
            <w:r>
              <w:rPr>
                <w:rFonts w:ascii="Tahoma" w:hAnsi="Tahoma" w:cs="Tahoma"/>
                <w:b/>
                <w:bCs/>
                <w:iCs/>
                <w:color w:val="000000" w:themeColor="text1"/>
                <w:sz w:val="20"/>
                <w:szCs w:val="20"/>
              </w:rPr>
              <w:t>*</w:t>
            </w:r>
          </w:p>
        </w:tc>
      </w:tr>
      <w:tr w:rsidR="00EA2CBD" w:rsidRPr="00863745" w14:paraId="2FF1699D" w14:textId="77777777" w:rsidTr="009D1253">
        <w:trPr>
          <w:trHeight w:val="698"/>
        </w:trPr>
        <w:tc>
          <w:tcPr>
            <w:tcW w:w="2010" w:type="dxa"/>
            <w:shd w:val="clear" w:color="auto" w:fill="FFC000"/>
            <w:vAlign w:val="center"/>
            <w:hideMark/>
          </w:tcPr>
          <w:p w14:paraId="33454B50" w14:textId="77777777" w:rsidR="00EA2CBD" w:rsidRPr="00863745" w:rsidRDefault="00EA2CBD" w:rsidP="009D1253">
            <w:pPr>
              <w:jc w:val="center"/>
              <w:rPr>
                <w:rFonts w:ascii="Tahoma" w:hAnsi="Tahoma" w:cs="Tahoma"/>
                <w:bCs/>
                <w:sz w:val="20"/>
                <w:szCs w:val="20"/>
              </w:rPr>
            </w:pPr>
            <w:r w:rsidRPr="008F0C29">
              <w:rPr>
                <w:rFonts w:ascii="Tahoma" w:hAnsi="Tahoma" w:cs="Tahoma"/>
                <w:bCs/>
                <w:sz w:val="20"/>
                <w:szCs w:val="20"/>
              </w:rPr>
              <w:t>АТБ. ВИП Вклад</w:t>
            </w:r>
            <w:r w:rsidRPr="008F0C29">
              <w:rPr>
                <w:rFonts w:ascii="Tahoma" w:hAnsi="Tahoma" w:cs="Tahoma"/>
                <w:bCs/>
                <w:sz w:val="20"/>
                <w:szCs w:val="20"/>
              </w:rPr>
              <w:br/>
              <w:t>(с пополнением и снятием)</w:t>
            </w:r>
          </w:p>
        </w:tc>
        <w:tc>
          <w:tcPr>
            <w:tcW w:w="1139" w:type="dxa"/>
            <w:shd w:val="clear" w:color="000000" w:fill="FFFFFF"/>
            <w:noWrap/>
            <w:vAlign w:val="center"/>
            <w:hideMark/>
          </w:tcPr>
          <w:p w14:paraId="0467136F" w14:textId="77777777" w:rsidR="00EA2CBD" w:rsidRPr="00863745" w:rsidRDefault="00EA2CBD" w:rsidP="009D1253">
            <w:pPr>
              <w:jc w:val="center"/>
              <w:rPr>
                <w:rFonts w:ascii="Tahoma" w:hAnsi="Tahoma" w:cs="Tahoma"/>
                <w:sz w:val="20"/>
                <w:szCs w:val="20"/>
              </w:rPr>
            </w:pPr>
            <w:r w:rsidRPr="00863745">
              <w:rPr>
                <w:rFonts w:ascii="Tahoma" w:hAnsi="Tahoma" w:cs="Tahoma"/>
                <w:sz w:val="20"/>
                <w:szCs w:val="20"/>
              </w:rPr>
              <w:t>рубли</w:t>
            </w:r>
          </w:p>
        </w:tc>
        <w:tc>
          <w:tcPr>
            <w:tcW w:w="2214" w:type="dxa"/>
            <w:shd w:val="clear" w:color="000000" w:fill="FFFFFF"/>
            <w:noWrap/>
            <w:vAlign w:val="center"/>
            <w:hideMark/>
          </w:tcPr>
          <w:p w14:paraId="016134DD" w14:textId="77777777" w:rsidR="00EA2CBD" w:rsidRPr="00863745" w:rsidRDefault="00EA2CBD" w:rsidP="009D1253">
            <w:pPr>
              <w:jc w:val="center"/>
              <w:rPr>
                <w:rFonts w:ascii="Tahoma" w:hAnsi="Tahoma" w:cs="Tahoma"/>
                <w:sz w:val="20"/>
                <w:szCs w:val="20"/>
              </w:rPr>
            </w:pPr>
            <w:r w:rsidRPr="00861653">
              <w:rPr>
                <w:rFonts w:ascii="Tahoma" w:hAnsi="Tahoma" w:cs="Tahoma"/>
                <w:sz w:val="16"/>
                <w:szCs w:val="16"/>
              </w:rPr>
              <w:t>10 000 000</w:t>
            </w:r>
          </w:p>
        </w:tc>
        <w:tc>
          <w:tcPr>
            <w:tcW w:w="2719" w:type="dxa"/>
            <w:shd w:val="clear" w:color="000000" w:fill="FFFFFF"/>
            <w:vAlign w:val="center"/>
          </w:tcPr>
          <w:p w14:paraId="0935A3DB" w14:textId="77777777" w:rsidR="00EA2CBD" w:rsidRPr="00863745" w:rsidRDefault="00EA2CBD" w:rsidP="009D1253">
            <w:pPr>
              <w:jc w:val="center"/>
              <w:rPr>
                <w:rFonts w:ascii="Tahoma" w:hAnsi="Tahoma" w:cs="Tahoma"/>
                <w:sz w:val="20"/>
                <w:szCs w:val="20"/>
              </w:rPr>
            </w:pPr>
            <w:r w:rsidRPr="00861653">
              <w:rPr>
                <w:rFonts w:ascii="Tahoma" w:hAnsi="Tahoma" w:cs="Tahoma"/>
                <w:sz w:val="16"/>
                <w:szCs w:val="16"/>
              </w:rPr>
              <w:t>200 000 000</w:t>
            </w:r>
          </w:p>
        </w:tc>
        <w:tc>
          <w:tcPr>
            <w:tcW w:w="5890" w:type="dxa"/>
            <w:shd w:val="clear" w:color="000000" w:fill="FFFFFF"/>
            <w:noWrap/>
            <w:vAlign w:val="center"/>
            <w:hideMark/>
          </w:tcPr>
          <w:p w14:paraId="69DBCA6B" w14:textId="77777777" w:rsidR="00EA2CBD" w:rsidRPr="00614979" w:rsidRDefault="00EA2CBD" w:rsidP="009D1253">
            <w:pPr>
              <w:jc w:val="center"/>
              <w:rPr>
                <w:rFonts w:ascii="Tahoma" w:hAnsi="Tahoma" w:cs="Tahoma"/>
                <w:sz w:val="20"/>
                <w:szCs w:val="20"/>
              </w:rPr>
            </w:pPr>
            <w:r>
              <w:rPr>
                <w:rFonts w:ascii="Tahoma" w:hAnsi="Tahoma" w:cs="Tahoma"/>
                <w:sz w:val="20"/>
                <w:szCs w:val="20"/>
              </w:rPr>
              <w:t>19</w:t>
            </w:r>
            <w:r w:rsidRPr="00614979">
              <w:rPr>
                <w:rFonts w:ascii="Tahoma" w:hAnsi="Tahoma" w:cs="Tahoma"/>
                <w:sz w:val="20"/>
                <w:szCs w:val="20"/>
              </w:rPr>
              <w:t>,000/ 1</w:t>
            </w:r>
            <w:r>
              <w:rPr>
                <w:rFonts w:ascii="Tahoma" w:hAnsi="Tahoma" w:cs="Tahoma"/>
                <w:sz w:val="20"/>
                <w:szCs w:val="20"/>
              </w:rPr>
              <w:t>9</w:t>
            </w:r>
            <w:r w:rsidRPr="00614979">
              <w:rPr>
                <w:rFonts w:ascii="Tahoma" w:hAnsi="Tahoma" w:cs="Tahoma"/>
                <w:sz w:val="20"/>
                <w:szCs w:val="20"/>
              </w:rPr>
              <w:t>,</w:t>
            </w:r>
            <w:r>
              <w:rPr>
                <w:rFonts w:ascii="Tahoma" w:hAnsi="Tahoma" w:cs="Tahoma"/>
                <w:sz w:val="20"/>
                <w:szCs w:val="20"/>
              </w:rPr>
              <w:t>304</w:t>
            </w:r>
          </w:p>
        </w:tc>
      </w:tr>
    </w:tbl>
    <w:p w14:paraId="5B6D7C0F" w14:textId="77777777" w:rsidR="00EA2CBD" w:rsidRDefault="00EA2CBD" w:rsidP="00EA2CBD">
      <w:pPr>
        <w:tabs>
          <w:tab w:val="left" w:pos="851"/>
        </w:tabs>
        <w:rPr>
          <w:rFonts w:ascii="Tahoma" w:hAnsi="Tahoma" w:cs="Tahoma"/>
          <w:b/>
          <w:bCs/>
          <w:iCs/>
          <w:color w:val="E36C0A"/>
          <w:sz w:val="22"/>
          <w:szCs w:val="22"/>
        </w:rPr>
      </w:pPr>
    </w:p>
    <w:p w14:paraId="123D24FE" w14:textId="77777777" w:rsidR="00EA2CBD" w:rsidRPr="008572C5" w:rsidRDefault="00EA2CBD" w:rsidP="00EA2CBD">
      <w:pPr>
        <w:tabs>
          <w:tab w:val="left" w:pos="284"/>
        </w:tabs>
        <w:rPr>
          <w:rFonts w:ascii="Tahoma" w:hAnsi="Tahoma" w:cs="Tahoma"/>
          <w:color w:val="000000" w:themeColor="text1"/>
          <w:sz w:val="18"/>
          <w:szCs w:val="18"/>
        </w:rPr>
      </w:pPr>
      <w:r w:rsidRPr="008572C5">
        <w:rPr>
          <w:rFonts w:ascii="Tahoma" w:hAnsi="Tahoma" w:cs="Tahoma"/>
          <w:color w:val="000000" w:themeColor="text1"/>
          <w:sz w:val="18"/>
          <w:szCs w:val="18"/>
        </w:rPr>
        <w:t xml:space="preserve">*Капитализация - причисление процентов к основной сумме </w:t>
      </w:r>
      <w:r>
        <w:rPr>
          <w:rFonts w:ascii="Tahoma" w:hAnsi="Tahoma" w:cs="Tahoma"/>
          <w:color w:val="000000" w:themeColor="text1"/>
          <w:sz w:val="18"/>
          <w:szCs w:val="18"/>
        </w:rPr>
        <w:t>В</w:t>
      </w:r>
      <w:r w:rsidRPr="008572C5">
        <w:rPr>
          <w:rFonts w:ascii="Tahoma" w:hAnsi="Tahoma" w:cs="Tahoma"/>
          <w:color w:val="000000" w:themeColor="text1"/>
          <w:sz w:val="18"/>
          <w:szCs w:val="18"/>
        </w:rPr>
        <w:t>клада.</w:t>
      </w:r>
    </w:p>
    <w:p w14:paraId="4EC0DA12" w14:textId="77777777" w:rsidR="00EA2CBD" w:rsidRPr="008572C5" w:rsidRDefault="00EA2CBD" w:rsidP="00EA2CBD">
      <w:pPr>
        <w:jc w:val="both"/>
        <w:rPr>
          <w:rFonts w:ascii="Tahoma" w:hAnsi="Tahoma" w:cs="Tahoma"/>
          <w:b/>
          <w:bCs/>
          <w:color w:val="E36C0A" w:themeColor="accent6" w:themeShade="BF"/>
          <w:sz w:val="22"/>
          <w:szCs w:val="22"/>
        </w:rPr>
      </w:pPr>
      <w:r w:rsidRPr="008572C5">
        <w:rPr>
          <w:rFonts w:ascii="Tahoma" w:hAnsi="Tahoma" w:cs="Tahoma"/>
          <w:sz w:val="18"/>
          <w:szCs w:val="18"/>
        </w:rPr>
        <w:t xml:space="preserve">** </w:t>
      </w:r>
      <w:r w:rsidRPr="008572C5">
        <w:rPr>
          <w:rFonts w:ascii="Tahoma" w:hAnsi="Tahoma" w:cs="Tahoma"/>
          <w:color w:val="000000" w:themeColor="text1"/>
          <w:sz w:val="18"/>
          <w:szCs w:val="18"/>
        </w:rPr>
        <w:t xml:space="preserve">Соответствует значению минимальной гарантированной ставки (годовых) с учетом округления, определяющему минимальный доход, выплачиваемый </w:t>
      </w:r>
      <w:r>
        <w:rPr>
          <w:rFonts w:ascii="Tahoma" w:hAnsi="Tahoma" w:cs="Tahoma"/>
          <w:color w:val="000000" w:themeColor="text1"/>
          <w:sz w:val="18"/>
          <w:szCs w:val="18"/>
        </w:rPr>
        <w:t>В</w:t>
      </w:r>
      <w:r w:rsidRPr="008572C5">
        <w:rPr>
          <w:rFonts w:ascii="Tahoma" w:hAnsi="Tahoma" w:cs="Tahoma"/>
          <w:color w:val="000000" w:themeColor="text1"/>
          <w:sz w:val="18"/>
          <w:szCs w:val="18"/>
        </w:rPr>
        <w:t xml:space="preserve">кладчику на сумму </w:t>
      </w:r>
      <w:r>
        <w:rPr>
          <w:rFonts w:ascii="Tahoma" w:hAnsi="Tahoma" w:cs="Tahoma"/>
          <w:color w:val="000000" w:themeColor="text1"/>
          <w:sz w:val="18"/>
          <w:szCs w:val="18"/>
        </w:rPr>
        <w:t>В</w:t>
      </w:r>
      <w:r w:rsidRPr="008572C5">
        <w:rPr>
          <w:rFonts w:ascii="Tahoma" w:hAnsi="Tahoma" w:cs="Tahoma"/>
          <w:color w:val="000000" w:themeColor="text1"/>
          <w:sz w:val="18"/>
          <w:szCs w:val="18"/>
        </w:rPr>
        <w:t xml:space="preserve">клада при условии хранения суммы </w:t>
      </w:r>
      <w:r>
        <w:rPr>
          <w:rFonts w:ascii="Tahoma" w:hAnsi="Tahoma" w:cs="Tahoma"/>
          <w:color w:val="000000" w:themeColor="text1"/>
          <w:sz w:val="18"/>
          <w:szCs w:val="18"/>
        </w:rPr>
        <w:t>В</w:t>
      </w:r>
      <w:r w:rsidRPr="008572C5">
        <w:rPr>
          <w:rFonts w:ascii="Tahoma" w:hAnsi="Tahoma" w:cs="Tahoma"/>
          <w:color w:val="000000" w:themeColor="text1"/>
          <w:sz w:val="18"/>
          <w:szCs w:val="18"/>
        </w:rPr>
        <w:t xml:space="preserve">клада до конца срока </w:t>
      </w:r>
      <w:r>
        <w:rPr>
          <w:rFonts w:ascii="Tahoma" w:hAnsi="Tahoma" w:cs="Tahoma"/>
          <w:color w:val="000000" w:themeColor="text1"/>
          <w:sz w:val="18"/>
          <w:szCs w:val="18"/>
        </w:rPr>
        <w:t>В</w:t>
      </w:r>
      <w:r w:rsidRPr="008572C5">
        <w:rPr>
          <w:rFonts w:ascii="Tahoma" w:hAnsi="Tahoma" w:cs="Tahoma"/>
          <w:color w:val="000000" w:themeColor="text1"/>
          <w:sz w:val="18"/>
          <w:szCs w:val="18"/>
        </w:rPr>
        <w:t xml:space="preserve">клада без учета каких-либо других условий. Порядок расчета минимальной гарантированной ставки по </w:t>
      </w:r>
      <w:r>
        <w:rPr>
          <w:rFonts w:ascii="Tahoma" w:hAnsi="Tahoma" w:cs="Tahoma"/>
          <w:color w:val="000000" w:themeColor="text1"/>
          <w:sz w:val="18"/>
          <w:szCs w:val="18"/>
        </w:rPr>
        <w:t>В</w:t>
      </w:r>
      <w:r w:rsidRPr="008572C5">
        <w:rPr>
          <w:rFonts w:ascii="Tahoma" w:hAnsi="Tahoma" w:cs="Tahoma"/>
          <w:color w:val="000000" w:themeColor="text1"/>
          <w:sz w:val="18"/>
          <w:szCs w:val="18"/>
        </w:rPr>
        <w:t>кладу определяется Банком России.</w:t>
      </w:r>
    </w:p>
    <w:p w14:paraId="577ACE69" w14:textId="77777777" w:rsidR="00EA2CBD" w:rsidRPr="008572C5" w:rsidRDefault="00EA2CBD" w:rsidP="00EA2CBD">
      <w:pPr>
        <w:tabs>
          <w:tab w:val="left" w:pos="284"/>
        </w:tabs>
        <w:rPr>
          <w:rFonts w:ascii="Tahoma" w:hAnsi="Tahoma" w:cs="Tahoma"/>
          <w:bCs/>
          <w:iCs/>
          <w:color w:val="E36C0A"/>
          <w:sz w:val="22"/>
          <w:szCs w:val="22"/>
        </w:rPr>
      </w:pPr>
    </w:p>
    <w:p w14:paraId="1D4D853D" w14:textId="77777777" w:rsidR="00EA2CBD" w:rsidRDefault="00EA2CBD" w:rsidP="000B3718">
      <w:pPr>
        <w:pStyle w:val="a5"/>
      </w:pPr>
      <w:r w:rsidRPr="00FD71EF">
        <w:t>3.11.</w:t>
      </w:r>
      <w:r>
        <w:t xml:space="preserve">1. </w:t>
      </w:r>
      <w:r w:rsidRPr="00FD71EF">
        <w:t>Вклад «Ключевой» (с пополнением)</w:t>
      </w:r>
      <w:r>
        <w:t xml:space="preserve"> (</w:t>
      </w:r>
      <w:r w:rsidRPr="002E5D29">
        <w:t>для вкладов, открытых по 03.10.2024</w:t>
      </w:r>
      <w:r>
        <w:t>)</w:t>
      </w:r>
    </w:p>
    <w:p w14:paraId="41FD28A3" w14:textId="77777777" w:rsidR="00EA2CBD" w:rsidRPr="00616185" w:rsidRDefault="00EA2CBD" w:rsidP="00EA2CBD">
      <w:pPr>
        <w:ind w:firstLine="426"/>
        <w:jc w:val="both"/>
        <w:rPr>
          <w:rFonts w:ascii="Tahoma" w:hAnsi="Tahoma" w:cs="Tahoma"/>
          <w:color w:val="000000"/>
          <w:sz w:val="22"/>
          <w:szCs w:val="22"/>
        </w:rPr>
      </w:pPr>
      <w:r w:rsidRPr="00616185">
        <w:rPr>
          <w:rFonts w:ascii="Tahoma" w:hAnsi="Tahoma" w:cs="Tahoma"/>
          <w:color w:val="000000"/>
          <w:sz w:val="22"/>
          <w:szCs w:val="22"/>
        </w:rPr>
        <w:t>Условия</w:t>
      </w:r>
      <w:r>
        <w:rPr>
          <w:rFonts w:ascii="Tahoma" w:hAnsi="Tahoma" w:cs="Tahoma"/>
          <w:color w:val="000000"/>
          <w:sz w:val="22"/>
          <w:szCs w:val="22"/>
        </w:rPr>
        <w:t>:</w:t>
      </w:r>
    </w:p>
    <w:p w14:paraId="280CC6E3" w14:textId="77777777" w:rsidR="00EA2CBD" w:rsidRPr="00616185" w:rsidRDefault="00EA2CBD" w:rsidP="00A44EB4">
      <w:pPr>
        <w:pStyle w:val="affe"/>
        <w:numPr>
          <w:ilvl w:val="0"/>
          <w:numId w:val="168"/>
        </w:numPr>
        <w:autoSpaceDE w:val="0"/>
        <w:autoSpaceDN w:val="0"/>
        <w:rPr>
          <w:rFonts w:ascii="Tahoma" w:hAnsi="Tahoma" w:cs="Tahoma"/>
          <w:b/>
          <w:bCs/>
          <w:sz w:val="22"/>
          <w:szCs w:val="22"/>
        </w:rPr>
      </w:pPr>
      <w:r w:rsidRPr="00616185">
        <w:rPr>
          <w:rFonts w:ascii="Tahoma" w:hAnsi="Tahoma" w:cs="Tahoma"/>
          <w:b/>
          <w:bCs/>
          <w:sz w:val="22"/>
          <w:szCs w:val="22"/>
        </w:rPr>
        <w:t xml:space="preserve">Сумма Вклада: </w:t>
      </w:r>
    </w:p>
    <w:p w14:paraId="0D36CBDC" w14:textId="77777777" w:rsidR="00EA2CBD" w:rsidRPr="00616185" w:rsidRDefault="00EA2CBD" w:rsidP="00EA2CBD">
      <w:pPr>
        <w:autoSpaceDE w:val="0"/>
        <w:autoSpaceDN w:val="0"/>
        <w:ind w:firstLine="709"/>
        <w:rPr>
          <w:rFonts w:ascii="Tahoma" w:hAnsi="Tahoma" w:cs="Tahoma"/>
          <w:sz w:val="22"/>
          <w:szCs w:val="22"/>
        </w:rPr>
      </w:pPr>
      <w:r w:rsidRPr="00616185">
        <w:rPr>
          <w:rFonts w:ascii="Tahoma" w:hAnsi="Tahoma" w:cs="Tahoma"/>
          <w:sz w:val="22"/>
          <w:szCs w:val="22"/>
        </w:rPr>
        <w:t>Минимальный сумма Вклада: 50 000 рублей.</w:t>
      </w:r>
    </w:p>
    <w:p w14:paraId="0A375ECA" w14:textId="77777777" w:rsidR="00EA2CBD" w:rsidRPr="00616185" w:rsidRDefault="00EA2CBD" w:rsidP="00EA2CBD">
      <w:pPr>
        <w:autoSpaceDE w:val="0"/>
        <w:autoSpaceDN w:val="0"/>
        <w:ind w:firstLine="709"/>
        <w:rPr>
          <w:rFonts w:ascii="Tahoma" w:hAnsi="Tahoma" w:cs="Tahoma"/>
          <w:sz w:val="22"/>
          <w:szCs w:val="22"/>
        </w:rPr>
      </w:pPr>
      <w:r w:rsidRPr="00616185">
        <w:rPr>
          <w:rFonts w:ascii="Tahoma" w:hAnsi="Tahoma" w:cs="Tahoma"/>
          <w:sz w:val="22"/>
          <w:szCs w:val="22"/>
        </w:rPr>
        <w:t>Максимальная сумма Вклада: без ограничений.</w:t>
      </w:r>
    </w:p>
    <w:p w14:paraId="093C10C7" w14:textId="77777777" w:rsidR="00EA2CBD" w:rsidRPr="00616185" w:rsidRDefault="00EA2CBD" w:rsidP="00A44EB4">
      <w:pPr>
        <w:pStyle w:val="affe"/>
        <w:numPr>
          <w:ilvl w:val="0"/>
          <w:numId w:val="168"/>
        </w:numPr>
        <w:autoSpaceDE w:val="0"/>
        <w:autoSpaceDN w:val="0"/>
        <w:rPr>
          <w:rFonts w:ascii="Tahoma" w:hAnsi="Tahoma" w:cs="Tahoma"/>
          <w:sz w:val="22"/>
          <w:szCs w:val="22"/>
        </w:rPr>
      </w:pPr>
      <w:r w:rsidRPr="00616185">
        <w:rPr>
          <w:rFonts w:ascii="Tahoma" w:hAnsi="Tahoma" w:cs="Tahoma"/>
          <w:b/>
          <w:bCs/>
          <w:sz w:val="22"/>
          <w:szCs w:val="22"/>
        </w:rPr>
        <w:t>Валюта Вклада:</w:t>
      </w:r>
      <w:r w:rsidRPr="00616185">
        <w:rPr>
          <w:rFonts w:ascii="Tahoma" w:hAnsi="Tahoma" w:cs="Tahoma"/>
          <w:sz w:val="22"/>
          <w:szCs w:val="22"/>
        </w:rPr>
        <w:t xml:space="preserve"> рубли РФ.</w:t>
      </w:r>
    </w:p>
    <w:p w14:paraId="605C47E8" w14:textId="77777777" w:rsidR="00EA2CBD" w:rsidRPr="00616185" w:rsidRDefault="00EA2CBD" w:rsidP="00A44EB4">
      <w:pPr>
        <w:pStyle w:val="affe"/>
        <w:numPr>
          <w:ilvl w:val="0"/>
          <w:numId w:val="168"/>
        </w:numPr>
        <w:autoSpaceDE w:val="0"/>
        <w:autoSpaceDN w:val="0"/>
        <w:rPr>
          <w:rFonts w:ascii="Tahoma" w:hAnsi="Tahoma" w:cs="Tahoma"/>
          <w:sz w:val="22"/>
          <w:szCs w:val="22"/>
        </w:rPr>
      </w:pPr>
      <w:r w:rsidRPr="00616185">
        <w:rPr>
          <w:rFonts w:ascii="Tahoma" w:hAnsi="Tahoma" w:cs="Tahoma"/>
          <w:b/>
          <w:bCs/>
          <w:sz w:val="22"/>
          <w:szCs w:val="22"/>
        </w:rPr>
        <w:t>Срок Вклада:</w:t>
      </w:r>
      <w:r w:rsidRPr="00616185">
        <w:rPr>
          <w:rFonts w:ascii="Tahoma" w:hAnsi="Tahoma" w:cs="Tahoma"/>
          <w:sz w:val="22"/>
          <w:szCs w:val="22"/>
        </w:rPr>
        <w:t xml:space="preserve"> 182 дня / 367 дней/ 731 день/ 1098 дней.</w:t>
      </w:r>
    </w:p>
    <w:p w14:paraId="4F3F702A" w14:textId="77777777" w:rsidR="00EA2CBD" w:rsidRPr="00616185" w:rsidRDefault="00EA2CBD" w:rsidP="00A44EB4">
      <w:pPr>
        <w:pStyle w:val="affe"/>
        <w:numPr>
          <w:ilvl w:val="0"/>
          <w:numId w:val="168"/>
        </w:numPr>
        <w:autoSpaceDE w:val="0"/>
        <w:autoSpaceDN w:val="0"/>
        <w:rPr>
          <w:rFonts w:ascii="Tahoma" w:hAnsi="Tahoma" w:cs="Tahoma"/>
          <w:sz w:val="22"/>
          <w:szCs w:val="22"/>
        </w:rPr>
      </w:pPr>
      <w:r w:rsidRPr="00616185">
        <w:rPr>
          <w:rFonts w:ascii="Tahoma" w:hAnsi="Tahoma" w:cs="Tahoma"/>
          <w:b/>
          <w:bCs/>
          <w:sz w:val="22"/>
          <w:szCs w:val="22"/>
        </w:rPr>
        <w:t xml:space="preserve">Дополнительные условия, влияющие на процентную ставку (если применимо): </w:t>
      </w:r>
    </w:p>
    <w:p w14:paraId="4FBECFC7" w14:textId="77777777" w:rsidR="00EA2CBD" w:rsidRPr="00616185" w:rsidRDefault="00EA2CBD" w:rsidP="00EA2CBD">
      <w:pPr>
        <w:spacing w:line="252" w:lineRule="auto"/>
        <w:ind w:firstLine="709"/>
        <w:jc w:val="both"/>
        <w:rPr>
          <w:rFonts w:ascii="Tahoma" w:hAnsi="Tahoma" w:cs="Tahoma"/>
          <w:sz w:val="22"/>
          <w:szCs w:val="22"/>
        </w:rPr>
      </w:pPr>
      <w:r w:rsidRPr="00616185">
        <w:rPr>
          <w:rFonts w:ascii="Tahoma" w:hAnsi="Tahoma" w:cs="Tahoma"/>
          <w:sz w:val="22"/>
          <w:szCs w:val="22"/>
        </w:rPr>
        <w:t xml:space="preserve">Процентная ставка является переменной, определяется исходя из размера действующей ключевой ставки Банка России (далее также - КС) и рассчитывается по формуле: </w:t>
      </w:r>
    </w:p>
    <w:p w14:paraId="6635DAEF" w14:textId="77777777" w:rsidR="00EA2CBD" w:rsidRPr="00616185" w:rsidRDefault="00EA2CBD" w:rsidP="00EA2CBD">
      <w:pPr>
        <w:spacing w:line="252" w:lineRule="auto"/>
        <w:ind w:firstLine="709"/>
        <w:jc w:val="both"/>
        <w:rPr>
          <w:rFonts w:ascii="Tahoma" w:hAnsi="Tahoma" w:cs="Tahoma"/>
          <w:sz w:val="22"/>
          <w:szCs w:val="22"/>
        </w:rPr>
      </w:pPr>
      <w:r w:rsidRPr="00616185">
        <w:rPr>
          <w:rFonts w:ascii="Tahoma" w:hAnsi="Tahoma" w:cs="Tahoma"/>
          <w:sz w:val="22"/>
          <w:szCs w:val="22"/>
        </w:rPr>
        <w:t xml:space="preserve">Итоговая процентная ставка, устанавливаемая по Договору Вклада за определяемый период (далее – Итоговая процентная ставка) = КС, действующая в каждый день срока Вклада, минус установленное Банком фиксированное значение в процентах годовых. </w:t>
      </w:r>
    </w:p>
    <w:p w14:paraId="3B1CF444" w14:textId="77777777" w:rsidR="00EA2CBD" w:rsidRPr="00616185" w:rsidRDefault="00EA2CBD" w:rsidP="00EA2CBD">
      <w:pPr>
        <w:spacing w:line="252" w:lineRule="auto"/>
        <w:ind w:firstLine="709"/>
        <w:jc w:val="both"/>
        <w:rPr>
          <w:rFonts w:ascii="Tahoma" w:hAnsi="Tahoma" w:cs="Tahoma"/>
          <w:sz w:val="22"/>
          <w:szCs w:val="22"/>
        </w:rPr>
      </w:pPr>
      <w:r w:rsidRPr="00616185">
        <w:rPr>
          <w:rFonts w:ascii="Tahoma" w:hAnsi="Tahoma" w:cs="Tahoma"/>
          <w:sz w:val="22"/>
          <w:szCs w:val="22"/>
        </w:rPr>
        <w:t>Если в результате расчетов Итоговой процентной ставки получено нулевое или отрицательное значение, то размер Итоговой процентной ставки устанавливается равным 0,01% годовых.</w:t>
      </w:r>
    </w:p>
    <w:p w14:paraId="60D3AEB1" w14:textId="77777777" w:rsidR="00EA2CBD" w:rsidRPr="00616185" w:rsidRDefault="00EA2CBD" w:rsidP="00EA2CBD">
      <w:pPr>
        <w:spacing w:line="252" w:lineRule="auto"/>
        <w:ind w:firstLine="709"/>
        <w:jc w:val="both"/>
        <w:rPr>
          <w:rStyle w:val="60"/>
          <w:rFonts w:ascii="Tahoma" w:hAnsi="Tahoma" w:cs="Tahoma"/>
        </w:rPr>
      </w:pPr>
      <w:r w:rsidRPr="00616185">
        <w:rPr>
          <w:rFonts w:ascii="Tahoma" w:hAnsi="Tahoma" w:cs="Tahoma"/>
          <w:sz w:val="22"/>
          <w:szCs w:val="22"/>
        </w:rPr>
        <w:t xml:space="preserve">Значение ключевой ставки Банка России представлено на официальном сайте Банка России </w:t>
      </w:r>
      <w:hyperlink r:id="rId82" w:history="1">
        <w:r w:rsidRPr="00616185">
          <w:rPr>
            <w:rStyle w:val="60"/>
            <w:rFonts w:ascii="Tahoma" w:hAnsi="Tahoma" w:cs="Tahoma"/>
          </w:rPr>
          <w:t>https://www.cbr.ru/hd_base/keyrate/</w:t>
        </w:r>
      </w:hyperlink>
      <w:r w:rsidRPr="00616185">
        <w:rPr>
          <w:rStyle w:val="60"/>
          <w:rFonts w:ascii="Tahoma" w:hAnsi="Tahoma" w:cs="Tahoma"/>
        </w:rPr>
        <w:t>.</w:t>
      </w:r>
    </w:p>
    <w:p w14:paraId="33E19BE9" w14:textId="77777777" w:rsidR="00EA2CBD" w:rsidRPr="00616185" w:rsidRDefault="00EA2CBD" w:rsidP="00EA2CBD">
      <w:pPr>
        <w:spacing w:line="252" w:lineRule="auto"/>
        <w:ind w:firstLine="709"/>
        <w:jc w:val="both"/>
        <w:rPr>
          <w:rFonts w:ascii="Tahoma" w:hAnsi="Tahoma" w:cs="Tahoma"/>
          <w:sz w:val="22"/>
          <w:szCs w:val="22"/>
        </w:rPr>
      </w:pPr>
      <w:r w:rsidRPr="00616185">
        <w:rPr>
          <w:rFonts w:ascii="Tahoma" w:hAnsi="Tahoma" w:cs="Tahoma"/>
          <w:sz w:val="22"/>
          <w:szCs w:val="22"/>
        </w:rPr>
        <w:t>В случае изменения размера ключевой ставки Банка России новая Итоговая процентная ставка по Вкладу начинает действовать с даты вступления в силу новой ключевой ставки Банка России с учетом следующего: в случае, если дата решения Банка России об изменении КС совпадает с датой начала ее действия, новое значение КС по Вкладу применяется со следующего календарного дня после даты начала действия нового значения КС, установленного Банком России.</w:t>
      </w:r>
    </w:p>
    <w:p w14:paraId="71270ACA" w14:textId="77777777" w:rsidR="00EA2CBD" w:rsidRPr="00616185" w:rsidRDefault="00EA2CBD" w:rsidP="00EA2CBD">
      <w:pPr>
        <w:spacing w:line="252" w:lineRule="auto"/>
        <w:ind w:firstLine="709"/>
        <w:jc w:val="both"/>
        <w:rPr>
          <w:rFonts w:ascii="Tahoma" w:hAnsi="Tahoma" w:cs="Tahoma"/>
          <w:sz w:val="22"/>
          <w:szCs w:val="22"/>
        </w:rPr>
      </w:pPr>
      <w:r w:rsidRPr="00616185">
        <w:rPr>
          <w:rFonts w:ascii="Tahoma" w:hAnsi="Tahoma" w:cs="Tahoma"/>
          <w:sz w:val="22"/>
          <w:szCs w:val="22"/>
        </w:rPr>
        <w:t xml:space="preserve">Информация о действующем размере процентной ставки по Договору Вклада размещается на сайте Банка: </w:t>
      </w:r>
      <w:hyperlink r:id="rId83" w:history="1">
        <w:r w:rsidRPr="00616185">
          <w:rPr>
            <w:rStyle w:val="60"/>
            <w:rFonts w:ascii="Tahoma" w:hAnsi="Tahoma" w:cs="Tahoma"/>
            <w:lang w:val="en-US"/>
          </w:rPr>
          <w:t>www</w:t>
        </w:r>
        <w:r w:rsidRPr="00616185">
          <w:rPr>
            <w:rStyle w:val="60"/>
            <w:rFonts w:ascii="Tahoma" w:hAnsi="Tahoma" w:cs="Tahoma"/>
            <w:snapToGrid w:val="0"/>
          </w:rPr>
          <w:t>.</w:t>
        </w:r>
        <w:r w:rsidRPr="00616185">
          <w:rPr>
            <w:rStyle w:val="60"/>
            <w:rFonts w:ascii="Tahoma" w:hAnsi="Tahoma" w:cs="Tahoma"/>
            <w:lang w:val="en-US"/>
          </w:rPr>
          <w:t>atb</w:t>
        </w:r>
        <w:r w:rsidRPr="00616185">
          <w:rPr>
            <w:rStyle w:val="60"/>
            <w:rFonts w:ascii="Tahoma" w:hAnsi="Tahoma" w:cs="Tahoma"/>
            <w:snapToGrid w:val="0"/>
          </w:rPr>
          <w:t>.</w:t>
        </w:r>
        <w:r w:rsidRPr="00616185">
          <w:rPr>
            <w:rStyle w:val="60"/>
            <w:rFonts w:ascii="Tahoma" w:hAnsi="Tahoma" w:cs="Tahoma"/>
            <w:lang w:val="en-US"/>
          </w:rPr>
          <w:t>su</w:t>
        </w:r>
      </w:hyperlink>
      <w:r w:rsidRPr="00616185">
        <w:rPr>
          <w:rFonts w:ascii="Tahoma" w:hAnsi="Tahoma" w:cs="Tahoma"/>
          <w:sz w:val="22"/>
          <w:szCs w:val="22"/>
        </w:rPr>
        <w:t xml:space="preserve">, в местах обслуживания клиентов и в каналах дистанционного банковского обслуживания (Интернет-банке «АТБ-Онлайн», Мобильном банке «АТБ банк»). </w:t>
      </w:r>
    </w:p>
    <w:p w14:paraId="01D5DCBA" w14:textId="77777777" w:rsidR="00EA2CBD" w:rsidRPr="00616185" w:rsidRDefault="00EA2CBD" w:rsidP="00EA2CBD">
      <w:pPr>
        <w:autoSpaceDE w:val="0"/>
        <w:autoSpaceDN w:val="0"/>
        <w:ind w:firstLine="709"/>
        <w:rPr>
          <w:rFonts w:ascii="Tahoma" w:hAnsi="Tahoma" w:cs="Tahoma"/>
          <w:sz w:val="22"/>
          <w:szCs w:val="22"/>
        </w:rPr>
      </w:pPr>
      <w:r w:rsidRPr="00616185">
        <w:rPr>
          <w:rFonts w:ascii="Tahoma" w:hAnsi="Tahoma" w:cs="Tahoma"/>
          <w:sz w:val="22"/>
          <w:szCs w:val="22"/>
        </w:rPr>
        <w:t xml:space="preserve">Информирование Вкладчика об изменении процентной ставки по Договору Вклада осуществляется Банком посредством публикации новой действующей ставки по Договору Вклада на сайте Банка: </w:t>
      </w:r>
      <w:hyperlink r:id="rId84" w:history="1">
        <w:r w:rsidRPr="00616185">
          <w:rPr>
            <w:rStyle w:val="60"/>
            <w:rFonts w:ascii="Tahoma" w:hAnsi="Tahoma" w:cs="Tahoma"/>
            <w:lang w:val="en-US"/>
          </w:rPr>
          <w:t>www</w:t>
        </w:r>
        <w:r w:rsidRPr="00616185">
          <w:rPr>
            <w:rStyle w:val="60"/>
            <w:rFonts w:ascii="Tahoma" w:hAnsi="Tahoma" w:cs="Tahoma"/>
            <w:snapToGrid w:val="0"/>
          </w:rPr>
          <w:t>.</w:t>
        </w:r>
        <w:r w:rsidRPr="00616185">
          <w:rPr>
            <w:rStyle w:val="60"/>
            <w:rFonts w:ascii="Tahoma" w:hAnsi="Tahoma" w:cs="Tahoma"/>
            <w:lang w:val="en-US"/>
          </w:rPr>
          <w:t>atb</w:t>
        </w:r>
        <w:r w:rsidRPr="00616185">
          <w:rPr>
            <w:rStyle w:val="60"/>
            <w:rFonts w:ascii="Tahoma" w:hAnsi="Tahoma" w:cs="Tahoma"/>
            <w:snapToGrid w:val="0"/>
          </w:rPr>
          <w:t>.</w:t>
        </w:r>
        <w:r w:rsidRPr="00616185">
          <w:rPr>
            <w:rStyle w:val="60"/>
            <w:rFonts w:ascii="Tahoma" w:hAnsi="Tahoma" w:cs="Tahoma"/>
            <w:lang w:val="en-US"/>
          </w:rPr>
          <w:t>su</w:t>
        </w:r>
      </w:hyperlink>
      <w:r w:rsidRPr="00616185">
        <w:rPr>
          <w:rFonts w:ascii="Tahoma" w:hAnsi="Tahoma" w:cs="Tahoma"/>
          <w:sz w:val="22"/>
          <w:szCs w:val="22"/>
        </w:rPr>
        <w:t>, в местах обслуживания клиентов и в каналах дистанционного банковского обслуживания (Интернет-банке «АТБ-Онлайн», Мобильном банке «АТБ банк») не позднее даты вступления в силу новой ключевой ставки Банка России.</w:t>
      </w:r>
    </w:p>
    <w:tbl>
      <w:tblPr>
        <w:tblW w:w="14968" w:type="dxa"/>
        <w:tblCellMar>
          <w:left w:w="0" w:type="dxa"/>
          <w:right w:w="0" w:type="dxa"/>
        </w:tblCellMar>
        <w:tblLook w:val="04A0" w:firstRow="1" w:lastRow="0" w:firstColumn="1" w:lastColumn="0" w:noHBand="0" w:noVBand="1"/>
      </w:tblPr>
      <w:tblGrid>
        <w:gridCol w:w="3180"/>
        <w:gridCol w:w="1493"/>
        <w:gridCol w:w="2467"/>
        <w:gridCol w:w="2158"/>
        <w:gridCol w:w="2055"/>
        <w:gridCol w:w="1932"/>
        <w:gridCol w:w="1683"/>
      </w:tblGrid>
      <w:tr w:rsidR="00EA2CBD" w:rsidRPr="002A040C" w14:paraId="633D6EE7" w14:textId="77777777" w:rsidTr="009D1253">
        <w:trPr>
          <w:trHeight w:val="194"/>
        </w:trPr>
        <w:tc>
          <w:tcPr>
            <w:tcW w:w="3180" w:type="dxa"/>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4816A12" w14:textId="77777777" w:rsidR="00EA2CBD" w:rsidRPr="002A040C" w:rsidRDefault="00EA2CBD" w:rsidP="009D1253">
            <w:pPr>
              <w:autoSpaceDE w:val="0"/>
              <w:autoSpaceDN w:val="0"/>
              <w:jc w:val="center"/>
              <w:rPr>
                <w:rFonts w:ascii="Tahoma" w:hAnsi="Tahoma" w:cs="Tahoma"/>
                <w:b/>
                <w:bCs/>
                <w:sz w:val="20"/>
                <w:szCs w:val="20"/>
                <w:lang w:eastAsia="en-US"/>
              </w:rPr>
            </w:pPr>
            <w:r w:rsidRPr="002A040C">
              <w:rPr>
                <w:rFonts w:ascii="Tahoma" w:hAnsi="Tahoma" w:cs="Tahoma"/>
                <w:b/>
                <w:bCs/>
                <w:sz w:val="20"/>
                <w:szCs w:val="20"/>
                <w:lang w:eastAsia="en-US"/>
              </w:rPr>
              <w:t>Ориентировочный сегмент</w:t>
            </w:r>
          </w:p>
        </w:tc>
        <w:tc>
          <w:tcPr>
            <w:tcW w:w="11788" w:type="dxa"/>
            <w:gridSpan w:val="6"/>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73CEE53E" w14:textId="77777777" w:rsidR="00EA2CBD" w:rsidRPr="002A040C" w:rsidRDefault="00EA2CBD" w:rsidP="009D1253">
            <w:pPr>
              <w:autoSpaceDE w:val="0"/>
              <w:autoSpaceDN w:val="0"/>
              <w:jc w:val="center"/>
              <w:rPr>
                <w:rFonts w:ascii="Tahoma" w:hAnsi="Tahoma" w:cs="Tahoma"/>
                <w:b/>
                <w:bCs/>
                <w:sz w:val="20"/>
                <w:szCs w:val="20"/>
                <w:lang w:eastAsia="en-US"/>
              </w:rPr>
            </w:pPr>
            <w:r w:rsidRPr="002A040C">
              <w:rPr>
                <w:rFonts w:ascii="Tahoma" w:hAnsi="Tahoma" w:cs="Tahoma"/>
                <w:b/>
                <w:bCs/>
                <w:sz w:val="20"/>
                <w:szCs w:val="20"/>
                <w:lang w:eastAsia="en-US"/>
              </w:rPr>
              <w:t xml:space="preserve">Формула расчета Итоговой процентной ставки (% годовых) в зависимости от срока Вклада </w:t>
            </w:r>
          </w:p>
        </w:tc>
      </w:tr>
      <w:tr w:rsidR="00EA2CBD" w:rsidRPr="002A040C" w14:paraId="70EB4B23" w14:textId="77777777" w:rsidTr="009D1253">
        <w:trPr>
          <w:trHeight w:val="194"/>
        </w:trPr>
        <w:tc>
          <w:tcPr>
            <w:tcW w:w="0" w:type="auto"/>
            <w:vMerge/>
            <w:tcBorders>
              <w:top w:val="single" w:sz="8" w:space="0" w:color="auto"/>
              <w:left w:val="single" w:sz="8" w:space="0" w:color="auto"/>
              <w:bottom w:val="single" w:sz="8" w:space="0" w:color="auto"/>
              <w:right w:val="single" w:sz="8" w:space="0" w:color="auto"/>
            </w:tcBorders>
            <w:vAlign w:val="center"/>
            <w:hideMark/>
          </w:tcPr>
          <w:p w14:paraId="46D47A7F" w14:textId="77777777" w:rsidR="00EA2CBD" w:rsidRPr="002A040C" w:rsidRDefault="00EA2CBD" w:rsidP="009D1253">
            <w:pPr>
              <w:rPr>
                <w:rFonts w:ascii="Tahoma" w:eastAsiaTheme="minorHAnsi" w:hAnsi="Tahoma" w:cs="Tahoma"/>
                <w:b/>
                <w:bCs/>
                <w:sz w:val="20"/>
                <w:szCs w:val="20"/>
                <w:lang w:eastAsia="en-US"/>
              </w:rPr>
            </w:pPr>
          </w:p>
        </w:tc>
        <w:tc>
          <w:tcPr>
            <w:tcW w:w="149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06C2729" w14:textId="77777777" w:rsidR="00EA2CBD" w:rsidRPr="002A040C" w:rsidRDefault="00EA2CBD" w:rsidP="009D1253">
            <w:pPr>
              <w:autoSpaceDE w:val="0"/>
              <w:autoSpaceDN w:val="0"/>
              <w:jc w:val="center"/>
              <w:rPr>
                <w:rFonts w:ascii="Tahoma" w:hAnsi="Tahoma" w:cs="Tahoma"/>
                <w:b/>
                <w:bCs/>
                <w:sz w:val="20"/>
                <w:szCs w:val="20"/>
                <w:lang w:eastAsia="en-US"/>
              </w:rPr>
            </w:pPr>
            <w:r w:rsidRPr="002A040C">
              <w:rPr>
                <w:rFonts w:ascii="Tahoma" w:hAnsi="Tahoma" w:cs="Tahoma"/>
                <w:b/>
                <w:bCs/>
                <w:sz w:val="20"/>
                <w:szCs w:val="20"/>
                <w:lang w:eastAsia="en-US"/>
              </w:rPr>
              <w:t>Валюта Вклада</w:t>
            </w:r>
          </w:p>
        </w:tc>
        <w:tc>
          <w:tcPr>
            <w:tcW w:w="246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027459C" w14:textId="77777777" w:rsidR="00EA2CBD" w:rsidRPr="002A040C" w:rsidRDefault="00EA2CBD" w:rsidP="009D1253">
            <w:pPr>
              <w:autoSpaceDE w:val="0"/>
              <w:autoSpaceDN w:val="0"/>
              <w:jc w:val="center"/>
              <w:rPr>
                <w:rFonts w:ascii="Tahoma" w:hAnsi="Tahoma" w:cs="Tahoma"/>
                <w:b/>
                <w:bCs/>
                <w:sz w:val="20"/>
                <w:szCs w:val="20"/>
                <w:lang w:eastAsia="en-US"/>
              </w:rPr>
            </w:pPr>
            <w:r w:rsidRPr="002A040C">
              <w:rPr>
                <w:rFonts w:ascii="Tahoma" w:hAnsi="Tahoma" w:cs="Tahoma"/>
                <w:b/>
                <w:bCs/>
                <w:sz w:val="20"/>
                <w:szCs w:val="20"/>
                <w:lang w:eastAsia="en-US"/>
              </w:rPr>
              <w:t xml:space="preserve">Минимальная сумма Вклада </w:t>
            </w:r>
          </w:p>
        </w:tc>
        <w:tc>
          <w:tcPr>
            <w:tcW w:w="215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DA632DB" w14:textId="77777777" w:rsidR="00EA2CBD" w:rsidRPr="002A040C" w:rsidRDefault="00EA2CBD" w:rsidP="009D1253">
            <w:pPr>
              <w:autoSpaceDE w:val="0"/>
              <w:autoSpaceDN w:val="0"/>
              <w:jc w:val="center"/>
              <w:rPr>
                <w:rFonts w:ascii="Tahoma" w:hAnsi="Tahoma" w:cs="Tahoma"/>
                <w:b/>
                <w:bCs/>
                <w:sz w:val="20"/>
                <w:szCs w:val="20"/>
                <w:lang w:eastAsia="en-US"/>
              </w:rPr>
            </w:pPr>
            <w:r w:rsidRPr="002A040C">
              <w:rPr>
                <w:rFonts w:ascii="Tahoma" w:hAnsi="Tahoma" w:cs="Tahoma"/>
                <w:b/>
                <w:bCs/>
                <w:sz w:val="20"/>
                <w:szCs w:val="20"/>
                <w:lang w:eastAsia="en-US"/>
              </w:rPr>
              <w:t>182 дня</w:t>
            </w:r>
          </w:p>
        </w:tc>
        <w:tc>
          <w:tcPr>
            <w:tcW w:w="205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BF9FCD0" w14:textId="77777777" w:rsidR="00EA2CBD" w:rsidRPr="002A040C" w:rsidRDefault="00EA2CBD" w:rsidP="009D1253">
            <w:pPr>
              <w:autoSpaceDE w:val="0"/>
              <w:autoSpaceDN w:val="0"/>
              <w:jc w:val="center"/>
              <w:rPr>
                <w:rFonts w:ascii="Tahoma" w:hAnsi="Tahoma" w:cs="Tahoma"/>
                <w:b/>
                <w:bCs/>
                <w:sz w:val="20"/>
                <w:szCs w:val="20"/>
                <w:lang w:eastAsia="en-US"/>
              </w:rPr>
            </w:pPr>
            <w:r w:rsidRPr="002A040C">
              <w:rPr>
                <w:rFonts w:ascii="Tahoma" w:hAnsi="Tahoma" w:cs="Tahoma"/>
                <w:b/>
                <w:bCs/>
                <w:sz w:val="20"/>
                <w:szCs w:val="20"/>
                <w:lang w:eastAsia="en-US"/>
              </w:rPr>
              <w:t>367 дней</w:t>
            </w:r>
          </w:p>
        </w:tc>
        <w:tc>
          <w:tcPr>
            <w:tcW w:w="193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06477C6" w14:textId="77777777" w:rsidR="00EA2CBD" w:rsidRPr="002A040C" w:rsidRDefault="00EA2CBD" w:rsidP="009D1253">
            <w:pPr>
              <w:autoSpaceDE w:val="0"/>
              <w:autoSpaceDN w:val="0"/>
              <w:jc w:val="center"/>
              <w:rPr>
                <w:rFonts w:ascii="Tahoma" w:hAnsi="Tahoma" w:cs="Tahoma"/>
                <w:b/>
                <w:bCs/>
                <w:sz w:val="20"/>
                <w:szCs w:val="20"/>
                <w:lang w:eastAsia="en-US"/>
              </w:rPr>
            </w:pPr>
            <w:r w:rsidRPr="002A040C">
              <w:rPr>
                <w:rFonts w:ascii="Tahoma" w:hAnsi="Tahoma" w:cs="Tahoma"/>
                <w:b/>
                <w:bCs/>
                <w:sz w:val="20"/>
                <w:szCs w:val="20"/>
                <w:lang w:eastAsia="en-US"/>
              </w:rPr>
              <w:t>731 день</w:t>
            </w:r>
          </w:p>
        </w:tc>
        <w:tc>
          <w:tcPr>
            <w:tcW w:w="168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953DA53" w14:textId="77777777" w:rsidR="00EA2CBD" w:rsidRPr="002A040C" w:rsidRDefault="00EA2CBD" w:rsidP="009D1253">
            <w:pPr>
              <w:autoSpaceDE w:val="0"/>
              <w:autoSpaceDN w:val="0"/>
              <w:jc w:val="center"/>
              <w:rPr>
                <w:rFonts w:ascii="Tahoma" w:hAnsi="Tahoma" w:cs="Tahoma"/>
                <w:b/>
                <w:bCs/>
                <w:sz w:val="20"/>
                <w:szCs w:val="20"/>
                <w:lang w:eastAsia="en-US"/>
              </w:rPr>
            </w:pPr>
            <w:r w:rsidRPr="002A040C">
              <w:rPr>
                <w:rFonts w:ascii="Tahoma" w:hAnsi="Tahoma" w:cs="Tahoma"/>
                <w:b/>
                <w:bCs/>
                <w:sz w:val="20"/>
                <w:szCs w:val="20"/>
                <w:lang w:eastAsia="en-US"/>
              </w:rPr>
              <w:t>1098 дней</w:t>
            </w:r>
          </w:p>
        </w:tc>
      </w:tr>
      <w:tr w:rsidR="00EA2CBD" w:rsidRPr="002A040C" w14:paraId="76E1FA07" w14:textId="77777777" w:rsidTr="009D1253">
        <w:trPr>
          <w:trHeight w:val="146"/>
        </w:trPr>
        <w:tc>
          <w:tcPr>
            <w:tcW w:w="318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DAE6545" w14:textId="77777777" w:rsidR="00EA2CBD" w:rsidRPr="002A040C" w:rsidRDefault="00EA2CBD" w:rsidP="009D1253">
            <w:pPr>
              <w:autoSpaceDE w:val="0"/>
              <w:autoSpaceDN w:val="0"/>
              <w:jc w:val="center"/>
              <w:rPr>
                <w:rFonts w:ascii="Tahoma" w:hAnsi="Tahoma" w:cs="Tahoma"/>
                <w:sz w:val="20"/>
                <w:szCs w:val="20"/>
                <w:lang w:eastAsia="en-US"/>
              </w:rPr>
            </w:pPr>
            <w:r w:rsidRPr="002A040C">
              <w:rPr>
                <w:rFonts w:ascii="Tahoma" w:hAnsi="Tahoma" w:cs="Tahoma"/>
                <w:sz w:val="20"/>
                <w:szCs w:val="20"/>
                <w:lang w:eastAsia="en-US"/>
              </w:rPr>
              <w:t>Все категории клиентов</w:t>
            </w:r>
          </w:p>
        </w:tc>
        <w:tc>
          <w:tcPr>
            <w:tcW w:w="1493" w:type="dxa"/>
            <w:vMerge w:val="restart"/>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66FBCBD" w14:textId="77777777" w:rsidR="00EA2CBD" w:rsidRPr="002A040C" w:rsidRDefault="00EA2CBD" w:rsidP="009D1253">
            <w:pPr>
              <w:autoSpaceDE w:val="0"/>
              <w:autoSpaceDN w:val="0"/>
              <w:jc w:val="center"/>
              <w:rPr>
                <w:rFonts w:ascii="Tahoma" w:hAnsi="Tahoma" w:cs="Tahoma"/>
                <w:sz w:val="20"/>
                <w:szCs w:val="20"/>
                <w:lang w:eastAsia="en-US"/>
              </w:rPr>
            </w:pPr>
            <w:r w:rsidRPr="002A040C">
              <w:rPr>
                <w:rFonts w:ascii="Tahoma" w:hAnsi="Tahoma" w:cs="Tahoma"/>
                <w:sz w:val="20"/>
                <w:szCs w:val="20"/>
                <w:lang w:eastAsia="en-US"/>
              </w:rPr>
              <w:t>рубли</w:t>
            </w:r>
          </w:p>
        </w:tc>
        <w:tc>
          <w:tcPr>
            <w:tcW w:w="246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7A89319" w14:textId="77777777" w:rsidR="00EA2CBD" w:rsidRPr="002A040C" w:rsidRDefault="00EA2CBD" w:rsidP="009D1253">
            <w:pPr>
              <w:autoSpaceDE w:val="0"/>
              <w:autoSpaceDN w:val="0"/>
              <w:jc w:val="center"/>
              <w:rPr>
                <w:rFonts w:ascii="Tahoma" w:hAnsi="Tahoma" w:cs="Tahoma"/>
                <w:sz w:val="20"/>
                <w:szCs w:val="20"/>
                <w:lang w:eastAsia="en-US"/>
              </w:rPr>
            </w:pPr>
            <w:r w:rsidRPr="002A040C">
              <w:rPr>
                <w:rFonts w:ascii="Tahoma" w:hAnsi="Tahoma" w:cs="Tahoma"/>
                <w:sz w:val="20"/>
                <w:szCs w:val="20"/>
                <w:lang w:eastAsia="en-US"/>
              </w:rPr>
              <w:t>50 000</w:t>
            </w:r>
          </w:p>
        </w:tc>
        <w:tc>
          <w:tcPr>
            <w:tcW w:w="215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9200A69" w14:textId="77777777" w:rsidR="00EA2CBD" w:rsidRPr="002A040C" w:rsidRDefault="00EA2CBD" w:rsidP="009D1253">
            <w:pPr>
              <w:autoSpaceDE w:val="0"/>
              <w:autoSpaceDN w:val="0"/>
              <w:jc w:val="center"/>
              <w:rPr>
                <w:rFonts w:ascii="Tahoma" w:hAnsi="Tahoma" w:cs="Tahoma"/>
                <w:sz w:val="20"/>
                <w:szCs w:val="20"/>
                <w:lang w:eastAsia="en-US"/>
              </w:rPr>
            </w:pPr>
            <w:r w:rsidRPr="002A040C">
              <w:rPr>
                <w:rFonts w:ascii="Tahoma" w:hAnsi="Tahoma" w:cs="Tahoma"/>
                <w:sz w:val="20"/>
                <w:szCs w:val="20"/>
                <w:lang w:eastAsia="en-US"/>
              </w:rPr>
              <w:t>КС минус 0,5% годовых</w:t>
            </w:r>
          </w:p>
        </w:tc>
        <w:tc>
          <w:tcPr>
            <w:tcW w:w="205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D3C404D" w14:textId="77777777" w:rsidR="00EA2CBD" w:rsidRPr="002A040C" w:rsidRDefault="00EA2CBD" w:rsidP="009D1253">
            <w:pPr>
              <w:autoSpaceDE w:val="0"/>
              <w:autoSpaceDN w:val="0"/>
              <w:jc w:val="center"/>
              <w:rPr>
                <w:rFonts w:ascii="Tahoma" w:hAnsi="Tahoma" w:cs="Tahoma"/>
                <w:sz w:val="20"/>
                <w:szCs w:val="20"/>
                <w:lang w:eastAsia="en-US"/>
              </w:rPr>
            </w:pPr>
            <w:r w:rsidRPr="002A040C">
              <w:rPr>
                <w:rFonts w:ascii="Tahoma" w:hAnsi="Tahoma" w:cs="Tahoma"/>
                <w:sz w:val="20"/>
                <w:szCs w:val="20"/>
                <w:lang w:eastAsia="en-US"/>
              </w:rPr>
              <w:t>КС минус 0,5% годовых</w:t>
            </w:r>
          </w:p>
        </w:tc>
        <w:tc>
          <w:tcPr>
            <w:tcW w:w="193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7BA1DD" w14:textId="77777777" w:rsidR="00EA2CBD" w:rsidRPr="002A040C" w:rsidRDefault="00EA2CBD" w:rsidP="009D1253">
            <w:pPr>
              <w:autoSpaceDE w:val="0"/>
              <w:autoSpaceDN w:val="0"/>
              <w:jc w:val="center"/>
              <w:rPr>
                <w:rFonts w:ascii="Tahoma" w:hAnsi="Tahoma" w:cs="Tahoma"/>
                <w:sz w:val="20"/>
                <w:szCs w:val="20"/>
                <w:lang w:eastAsia="en-US"/>
              </w:rPr>
            </w:pPr>
            <w:r w:rsidRPr="002A040C">
              <w:rPr>
                <w:rFonts w:ascii="Tahoma" w:hAnsi="Tahoma" w:cs="Tahoma"/>
                <w:sz w:val="20"/>
                <w:szCs w:val="20"/>
                <w:lang w:eastAsia="en-US"/>
              </w:rPr>
              <w:t>К</w:t>
            </w:r>
            <w:r>
              <w:rPr>
                <w:rFonts w:ascii="Tahoma" w:hAnsi="Tahoma" w:cs="Tahoma"/>
                <w:sz w:val="20"/>
                <w:szCs w:val="20"/>
                <w:lang w:eastAsia="en-US"/>
              </w:rPr>
              <w:t>С</w:t>
            </w:r>
            <w:r w:rsidRPr="002A040C">
              <w:rPr>
                <w:rFonts w:ascii="Tahoma" w:hAnsi="Tahoma" w:cs="Tahoma"/>
                <w:sz w:val="20"/>
                <w:szCs w:val="20"/>
                <w:lang w:eastAsia="en-US"/>
              </w:rPr>
              <w:t xml:space="preserve"> минус 0,5% годовых</w:t>
            </w:r>
          </w:p>
        </w:tc>
        <w:tc>
          <w:tcPr>
            <w:tcW w:w="168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0FD7798" w14:textId="77777777" w:rsidR="00EA2CBD" w:rsidRPr="002A040C" w:rsidRDefault="00EA2CBD" w:rsidP="009D1253">
            <w:pPr>
              <w:autoSpaceDE w:val="0"/>
              <w:autoSpaceDN w:val="0"/>
              <w:jc w:val="center"/>
              <w:rPr>
                <w:rFonts w:ascii="Tahoma" w:hAnsi="Tahoma" w:cs="Tahoma"/>
                <w:sz w:val="20"/>
                <w:szCs w:val="20"/>
                <w:lang w:eastAsia="en-US"/>
              </w:rPr>
            </w:pPr>
            <w:r w:rsidRPr="002A040C">
              <w:rPr>
                <w:rFonts w:ascii="Tahoma" w:hAnsi="Tahoma" w:cs="Tahoma"/>
                <w:sz w:val="20"/>
                <w:szCs w:val="20"/>
                <w:lang w:eastAsia="en-US"/>
              </w:rPr>
              <w:t>КС минус 0,5% г</w:t>
            </w:r>
            <w:r>
              <w:rPr>
                <w:rFonts w:ascii="Tahoma" w:hAnsi="Tahoma" w:cs="Tahoma"/>
                <w:sz w:val="20"/>
                <w:szCs w:val="20"/>
                <w:lang w:eastAsia="en-US"/>
              </w:rPr>
              <w:t>о</w:t>
            </w:r>
            <w:r w:rsidRPr="002A040C">
              <w:rPr>
                <w:rFonts w:ascii="Tahoma" w:hAnsi="Tahoma" w:cs="Tahoma"/>
                <w:sz w:val="20"/>
                <w:szCs w:val="20"/>
                <w:lang w:eastAsia="en-US"/>
              </w:rPr>
              <w:t>довых</w:t>
            </w:r>
          </w:p>
        </w:tc>
      </w:tr>
      <w:tr w:rsidR="00EA2CBD" w:rsidRPr="002A040C" w14:paraId="37805753" w14:textId="77777777" w:rsidTr="009D1253">
        <w:trPr>
          <w:trHeight w:val="166"/>
        </w:trPr>
        <w:tc>
          <w:tcPr>
            <w:tcW w:w="0" w:type="auto"/>
            <w:vMerge/>
            <w:tcBorders>
              <w:top w:val="nil"/>
              <w:left w:val="single" w:sz="8" w:space="0" w:color="auto"/>
              <w:bottom w:val="single" w:sz="8" w:space="0" w:color="auto"/>
              <w:right w:val="single" w:sz="8" w:space="0" w:color="auto"/>
            </w:tcBorders>
            <w:vAlign w:val="center"/>
            <w:hideMark/>
          </w:tcPr>
          <w:p w14:paraId="5641C964" w14:textId="77777777" w:rsidR="00EA2CBD" w:rsidRPr="002A040C" w:rsidRDefault="00EA2CBD" w:rsidP="009D1253">
            <w:pPr>
              <w:rPr>
                <w:rFonts w:ascii="Tahoma" w:eastAsiaTheme="minorHAnsi" w:hAnsi="Tahoma" w:cs="Tahoma"/>
                <w:sz w:val="20"/>
                <w:szCs w:val="20"/>
                <w:lang w:eastAsia="en-US"/>
              </w:rPr>
            </w:pPr>
          </w:p>
        </w:tc>
        <w:tc>
          <w:tcPr>
            <w:tcW w:w="0" w:type="auto"/>
            <w:vMerge/>
            <w:tcBorders>
              <w:top w:val="nil"/>
              <w:left w:val="nil"/>
              <w:bottom w:val="single" w:sz="8" w:space="0" w:color="auto"/>
              <w:right w:val="single" w:sz="8" w:space="0" w:color="auto"/>
            </w:tcBorders>
            <w:vAlign w:val="center"/>
            <w:hideMark/>
          </w:tcPr>
          <w:p w14:paraId="34D7DC11" w14:textId="77777777" w:rsidR="00EA2CBD" w:rsidRPr="002A040C" w:rsidRDefault="00EA2CBD" w:rsidP="009D1253">
            <w:pPr>
              <w:rPr>
                <w:rFonts w:ascii="Tahoma" w:eastAsiaTheme="minorHAnsi" w:hAnsi="Tahoma" w:cs="Tahoma"/>
                <w:sz w:val="20"/>
                <w:szCs w:val="20"/>
                <w:lang w:eastAsia="en-US"/>
              </w:rPr>
            </w:pPr>
          </w:p>
        </w:tc>
        <w:tc>
          <w:tcPr>
            <w:tcW w:w="10294" w:type="dxa"/>
            <w:gridSpan w:val="5"/>
            <w:tcBorders>
              <w:top w:val="nil"/>
              <w:left w:val="nil"/>
              <w:bottom w:val="single" w:sz="8" w:space="0" w:color="auto"/>
              <w:right w:val="single" w:sz="8" w:space="0" w:color="auto"/>
            </w:tcBorders>
            <w:tcMar>
              <w:top w:w="0" w:type="dxa"/>
              <w:left w:w="108" w:type="dxa"/>
              <w:bottom w:w="0" w:type="dxa"/>
              <w:right w:w="108" w:type="dxa"/>
            </w:tcMar>
            <w:hideMark/>
          </w:tcPr>
          <w:p w14:paraId="582250BD" w14:textId="77777777" w:rsidR="00EA2CBD" w:rsidRPr="002A040C" w:rsidRDefault="00EA2CBD" w:rsidP="009D1253">
            <w:pPr>
              <w:autoSpaceDE w:val="0"/>
              <w:autoSpaceDN w:val="0"/>
              <w:jc w:val="center"/>
              <w:rPr>
                <w:rFonts w:ascii="Tahoma" w:hAnsi="Tahoma" w:cs="Tahoma"/>
                <w:sz w:val="20"/>
                <w:szCs w:val="20"/>
                <w:lang w:eastAsia="en-US"/>
              </w:rPr>
            </w:pPr>
            <w:r w:rsidRPr="002A040C">
              <w:rPr>
                <w:rFonts w:ascii="Tahoma" w:hAnsi="Tahoma" w:cs="Tahoma"/>
                <w:sz w:val="20"/>
                <w:szCs w:val="20"/>
                <w:lang w:eastAsia="en-US"/>
              </w:rPr>
              <w:t>Итоговая процентная ставка (% годовых) в зависимости о</w:t>
            </w:r>
            <w:r>
              <w:rPr>
                <w:rFonts w:ascii="Tahoma" w:hAnsi="Tahoma" w:cs="Tahoma"/>
                <w:sz w:val="20"/>
                <w:szCs w:val="20"/>
                <w:lang w:eastAsia="en-US"/>
              </w:rPr>
              <w:t>т срока Вклада при значении КС 21</w:t>
            </w:r>
            <w:r w:rsidRPr="002A040C">
              <w:rPr>
                <w:rFonts w:ascii="Tahoma" w:hAnsi="Tahoma" w:cs="Tahoma"/>
                <w:sz w:val="20"/>
                <w:szCs w:val="20"/>
                <w:lang w:eastAsia="en-US"/>
              </w:rPr>
              <w:t xml:space="preserve">% годовых, действующем с </w:t>
            </w:r>
            <w:r>
              <w:rPr>
                <w:rFonts w:ascii="Tahoma" w:hAnsi="Tahoma" w:cs="Tahoma"/>
                <w:sz w:val="20"/>
                <w:szCs w:val="20"/>
                <w:lang w:eastAsia="en-US"/>
              </w:rPr>
              <w:t>28.10</w:t>
            </w:r>
            <w:r w:rsidRPr="002A040C">
              <w:rPr>
                <w:rFonts w:ascii="Tahoma" w:hAnsi="Tahoma" w:cs="Tahoma"/>
                <w:sz w:val="20"/>
                <w:szCs w:val="20"/>
                <w:lang w:eastAsia="en-US"/>
              </w:rPr>
              <w:t>.2024г. / с учетом капитализации процентов (причисления процентов к основной сумме Вклада)*</w:t>
            </w:r>
          </w:p>
        </w:tc>
      </w:tr>
      <w:tr w:rsidR="00EA2CBD" w:rsidRPr="002A040C" w14:paraId="3067DB49" w14:textId="77777777" w:rsidTr="009D1253">
        <w:trPr>
          <w:trHeight w:val="166"/>
        </w:trPr>
        <w:tc>
          <w:tcPr>
            <w:tcW w:w="0" w:type="auto"/>
            <w:vMerge/>
            <w:tcBorders>
              <w:top w:val="nil"/>
              <w:left w:val="single" w:sz="8" w:space="0" w:color="auto"/>
              <w:bottom w:val="single" w:sz="8" w:space="0" w:color="auto"/>
              <w:right w:val="single" w:sz="8" w:space="0" w:color="auto"/>
            </w:tcBorders>
            <w:vAlign w:val="center"/>
            <w:hideMark/>
          </w:tcPr>
          <w:p w14:paraId="51A2DDDF" w14:textId="77777777" w:rsidR="00EA2CBD" w:rsidRPr="002A040C" w:rsidRDefault="00EA2CBD" w:rsidP="009D1253">
            <w:pPr>
              <w:rPr>
                <w:rFonts w:ascii="Tahoma" w:eastAsiaTheme="minorHAnsi" w:hAnsi="Tahoma" w:cs="Tahoma"/>
                <w:sz w:val="20"/>
                <w:szCs w:val="20"/>
                <w:lang w:eastAsia="en-US"/>
              </w:rPr>
            </w:pPr>
          </w:p>
        </w:tc>
        <w:tc>
          <w:tcPr>
            <w:tcW w:w="0" w:type="auto"/>
            <w:vMerge/>
            <w:tcBorders>
              <w:top w:val="nil"/>
              <w:left w:val="nil"/>
              <w:bottom w:val="single" w:sz="8" w:space="0" w:color="auto"/>
              <w:right w:val="single" w:sz="8" w:space="0" w:color="auto"/>
            </w:tcBorders>
            <w:vAlign w:val="center"/>
            <w:hideMark/>
          </w:tcPr>
          <w:p w14:paraId="7026A23B" w14:textId="77777777" w:rsidR="00EA2CBD" w:rsidRPr="002A040C" w:rsidRDefault="00EA2CBD" w:rsidP="009D1253">
            <w:pPr>
              <w:rPr>
                <w:rFonts w:ascii="Tahoma" w:eastAsiaTheme="minorHAnsi" w:hAnsi="Tahoma" w:cs="Tahoma"/>
                <w:sz w:val="20"/>
                <w:szCs w:val="20"/>
                <w:lang w:eastAsia="en-US"/>
              </w:rPr>
            </w:pPr>
          </w:p>
        </w:tc>
        <w:tc>
          <w:tcPr>
            <w:tcW w:w="246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52A92B2" w14:textId="77777777" w:rsidR="00EA2CBD" w:rsidRPr="002A040C" w:rsidRDefault="00EA2CBD" w:rsidP="009D1253">
            <w:pPr>
              <w:autoSpaceDE w:val="0"/>
              <w:autoSpaceDN w:val="0"/>
              <w:jc w:val="center"/>
              <w:rPr>
                <w:rFonts w:ascii="Tahoma" w:hAnsi="Tahoma" w:cs="Tahoma"/>
                <w:sz w:val="20"/>
                <w:szCs w:val="20"/>
                <w:lang w:eastAsia="en-US"/>
              </w:rPr>
            </w:pPr>
            <w:r w:rsidRPr="002A040C">
              <w:rPr>
                <w:rFonts w:ascii="Tahoma" w:hAnsi="Tahoma" w:cs="Tahoma"/>
                <w:sz w:val="20"/>
                <w:szCs w:val="20"/>
                <w:lang w:eastAsia="en-US"/>
              </w:rPr>
              <w:t>50 000</w:t>
            </w:r>
          </w:p>
        </w:tc>
        <w:tc>
          <w:tcPr>
            <w:tcW w:w="2158" w:type="dxa"/>
            <w:tcBorders>
              <w:top w:val="nil"/>
              <w:left w:val="nil"/>
              <w:bottom w:val="single" w:sz="8" w:space="0" w:color="auto"/>
              <w:right w:val="single" w:sz="8" w:space="0" w:color="auto"/>
            </w:tcBorders>
            <w:tcMar>
              <w:top w:w="0" w:type="dxa"/>
              <w:left w:w="108" w:type="dxa"/>
              <w:bottom w:w="0" w:type="dxa"/>
              <w:right w:w="108" w:type="dxa"/>
            </w:tcMar>
            <w:hideMark/>
          </w:tcPr>
          <w:p w14:paraId="1D4A6173" w14:textId="77777777" w:rsidR="00EA2CBD" w:rsidRPr="002A040C" w:rsidRDefault="00EA2CBD" w:rsidP="009D1253">
            <w:pPr>
              <w:autoSpaceDE w:val="0"/>
              <w:autoSpaceDN w:val="0"/>
              <w:jc w:val="center"/>
              <w:rPr>
                <w:rFonts w:ascii="Tahoma" w:hAnsi="Tahoma" w:cs="Tahoma"/>
                <w:sz w:val="20"/>
                <w:szCs w:val="20"/>
                <w:lang w:eastAsia="en-US"/>
              </w:rPr>
            </w:pPr>
            <w:r>
              <w:rPr>
                <w:rFonts w:ascii="Tahoma" w:hAnsi="Tahoma" w:cs="Tahoma"/>
                <w:sz w:val="20"/>
                <w:szCs w:val="20"/>
                <w:lang w:eastAsia="en-US"/>
              </w:rPr>
              <w:t>20</w:t>
            </w:r>
            <w:r w:rsidRPr="002A040C">
              <w:rPr>
                <w:rFonts w:ascii="Tahoma" w:hAnsi="Tahoma" w:cs="Tahoma"/>
                <w:sz w:val="20"/>
                <w:szCs w:val="20"/>
                <w:lang w:eastAsia="en-US"/>
              </w:rPr>
              <w:t xml:space="preserve">,500 / </w:t>
            </w:r>
            <w:r>
              <w:rPr>
                <w:rFonts w:ascii="Tahoma" w:hAnsi="Tahoma" w:cs="Tahoma"/>
                <w:sz w:val="20"/>
                <w:szCs w:val="20"/>
                <w:lang w:eastAsia="en-US"/>
              </w:rPr>
              <w:t>21,392</w:t>
            </w:r>
          </w:p>
        </w:tc>
        <w:tc>
          <w:tcPr>
            <w:tcW w:w="2055" w:type="dxa"/>
            <w:tcBorders>
              <w:top w:val="nil"/>
              <w:left w:val="nil"/>
              <w:bottom w:val="single" w:sz="8" w:space="0" w:color="auto"/>
              <w:right w:val="single" w:sz="8" w:space="0" w:color="auto"/>
            </w:tcBorders>
            <w:tcMar>
              <w:top w:w="0" w:type="dxa"/>
              <w:left w:w="108" w:type="dxa"/>
              <w:bottom w:w="0" w:type="dxa"/>
              <w:right w:w="108" w:type="dxa"/>
            </w:tcMar>
            <w:hideMark/>
          </w:tcPr>
          <w:p w14:paraId="498947C0" w14:textId="77777777" w:rsidR="00EA2CBD" w:rsidRPr="002A040C" w:rsidRDefault="00EA2CBD" w:rsidP="009D1253">
            <w:pPr>
              <w:autoSpaceDE w:val="0"/>
              <w:autoSpaceDN w:val="0"/>
              <w:jc w:val="center"/>
              <w:rPr>
                <w:rFonts w:ascii="Tahoma" w:hAnsi="Tahoma" w:cs="Tahoma"/>
                <w:sz w:val="20"/>
                <w:szCs w:val="20"/>
                <w:lang w:eastAsia="en-US"/>
              </w:rPr>
            </w:pPr>
            <w:r>
              <w:rPr>
                <w:rFonts w:ascii="Tahoma" w:hAnsi="Tahoma" w:cs="Tahoma"/>
                <w:sz w:val="20"/>
                <w:szCs w:val="20"/>
                <w:lang w:eastAsia="en-US"/>
              </w:rPr>
              <w:t>20</w:t>
            </w:r>
            <w:r w:rsidRPr="002A040C">
              <w:rPr>
                <w:rFonts w:ascii="Tahoma" w:hAnsi="Tahoma" w:cs="Tahoma"/>
                <w:sz w:val="20"/>
                <w:szCs w:val="20"/>
                <w:lang w:eastAsia="en-US"/>
              </w:rPr>
              <w:t xml:space="preserve">,500 / </w:t>
            </w:r>
            <w:r>
              <w:rPr>
                <w:rFonts w:ascii="Tahoma" w:hAnsi="Tahoma" w:cs="Tahoma"/>
                <w:sz w:val="20"/>
                <w:szCs w:val="20"/>
                <w:lang w:eastAsia="en-US"/>
              </w:rPr>
              <w:t>22,553</w:t>
            </w:r>
          </w:p>
        </w:tc>
        <w:tc>
          <w:tcPr>
            <w:tcW w:w="1932" w:type="dxa"/>
            <w:tcBorders>
              <w:top w:val="nil"/>
              <w:left w:val="nil"/>
              <w:bottom w:val="single" w:sz="8" w:space="0" w:color="auto"/>
              <w:right w:val="single" w:sz="8" w:space="0" w:color="auto"/>
            </w:tcBorders>
            <w:tcMar>
              <w:top w:w="0" w:type="dxa"/>
              <w:left w:w="108" w:type="dxa"/>
              <w:bottom w:w="0" w:type="dxa"/>
              <w:right w:w="108" w:type="dxa"/>
            </w:tcMar>
            <w:hideMark/>
          </w:tcPr>
          <w:p w14:paraId="32927BD3" w14:textId="77777777" w:rsidR="00EA2CBD" w:rsidRPr="002A040C" w:rsidRDefault="00EA2CBD" w:rsidP="009D1253">
            <w:pPr>
              <w:autoSpaceDE w:val="0"/>
              <w:autoSpaceDN w:val="0"/>
              <w:jc w:val="center"/>
              <w:rPr>
                <w:rFonts w:ascii="Tahoma" w:hAnsi="Tahoma" w:cs="Tahoma"/>
                <w:sz w:val="20"/>
                <w:szCs w:val="20"/>
                <w:lang w:eastAsia="en-US"/>
              </w:rPr>
            </w:pPr>
            <w:r>
              <w:rPr>
                <w:rFonts w:ascii="Tahoma" w:hAnsi="Tahoma" w:cs="Tahoma"/>
                <w:sz w:val="20"/>
                <w:szCs w:val="20"/>
                <w:lang w:eastAsia="en-US"/>
              </w:rPr>
              <w:t>20,500</w:t>
            </w:r>
            <w:r w:rsidRPr="002A040C">
              <w:rPr>
                <w:rFonts w:ascii="Tahoma" w:hAnsi="Tahoma" w:cs="Tahoma"/>
                <w:sz w:val="20"/>
                <w:szCs w:val="20"/>
                <w:lang w:eastAsia="en-US"/>
              </w:rPr>
              <w:t xml:space="preserve"> / </w:t>
            </w:r>
            <w:r>
              <w:rPr>
                <w:rFonts w:ascii="Tahoma" w:hAnsi="Tahoma" w:cs="Tahoma"/>
                <w:sz w:val="20"/>
                <w:szCs w:val="20"/>
                <w:lang w:eastAsia="en-US"/>
              </w:rPr>
              <w:t>25,087</w:t>
            </w:r>
          </w:p>
        </w:tc>
        <w:tc>
          <w:tcPr>
            <w:tcW w:w="1681" w:type="dxa"/>
            <w:tcBorders>
              <w:top w:val="nil"/>
              <w:left w:val="nil"/>
              <w:bottom w:val="single" w:sz="8" w:space="0" w:color="auto"/>
              <w:right w:val="single" w:sz="8" w:space="0" w:color="auto"/>
            </w:tcBorders>
            <w:tcMar>
              <w:top w:w="0" w:type="dxa"/>
              <w:left w:w="108" w:type="dxa"/>
              <w:bottom w:w="0" w:type="dxa"/>
              <w:right w:w="108" w:type="dxa"/>
            </w:tcMar>
            <w:hideMark/>
          </w:tcPr>
          <w:p w14:paraId="38A516C8" w14:textId="77777777" w:rsidR="00EA2CBD" w:rsidRPr="002A040C" w:rsidRDefault="00EA2CBD" w:rsidP="009D1253">
            <w:pPr>
              <w:autoSpaceDE w:val="0"/>
              <w:autoSpaceDN w:val="0"/>
              <w:jc w:val="center"/>
              <w:rPr>
                <w:rFonts w:ascii="Tahoma" w:hAnsi="Tahoma" w:cs="Tahoma"/>
                <w:sz w:val="20"/>
                <w:szCs w:val="20"/>
                <w:lang w:eastAsia="en-US"/>
              </w:rPr>
            </w:pPr>
            <w:r>
              <w:rPr>
                <w:rFonts w:ascii="Tahoma" w:hAnsi="Tahoma" w:cs="Tahoma"/>
                <w:sz w:val="20"/>
                <w:szCs w:val="20"/>
                <w:lang w:eastAsia="en-US"/>
              </w:rPr>
              <w:t>20</w:t>
            </w:r>
            <w:r w:rsidRPr="002A040C">
              <w:rPr>
                <w:rFonts w:ascii="Tahoma" w:hAnsi="Tahoma" w:cs="Tahoma"/>
                <w:sz w:val="20"/>
                <w:szCs w:val="20"/>
                <w:lang w:eastAsia="en-US"/>
              </w:rPr>
              <w:t xml:space="preserve">,500 / </w:t>
            </w:r>
            <w:r>
              <w:rPr>
                <w:rFonts w:ascii="Tahoma" w:hAnsi="Tahoma" w:cs="Tahoma"/>
                <w:sz w:val="20"/>
                <w:szCs w:val="20"/>
                <w:lang w:eastAsia="en-US"/>
              </w:rPr>
              <w:t>28,027</w:t>
            </w:r>
          </w:p>
        </w:tc>
      </w:tr>
    </w:tbl>
    <w:p w14:paraId="1B545730" w14:textId="77777777" w:rsidR="00EA2CBD" w:rsidRPr="00616185" w:rsidRDefault="00EA2CBD" w:rsidP="00EA2CBD">
      <w:pPr>
        <w:jc w:val="both"/>
        <w:rPr>
          <w:rFonts w:ascii="Tahoma" w:hAnsi="Tahoma" w:cs="Tahoma"/>
          <w:sz w:val="20"/>
          <w:szCs w:val="20"/>
        </w:rPr>
      </w:pPr>
      <w:r w:rsidRPr="00616185">
        <w:rPr>
          <w:rFonts w:ascii="Tahoma" w:hAnsi="Tahoma" w:cs="Tahoma"/>
          <w:bCs/>
          <w:sz w:val="20"/>
          <w:szCs w:val="20"/>
        </w:rPr>
        <w:t>*через «/» указан размер Итоговой процентной ставки</w:t>
      </w:r>
      <w:r w:rsidRPr="00616185">
        <w:rPr>
          <w:rFonts w:ascii="Tahoma" w:hAnsi="Tahoma" w:cs="Tahoma"/>
          <w:sz w:val="20"/>
          <w:szCs w:val="20"/>
        </w:rPr>
        <w:t xml:space="preserve"> с учетом капитализации процентов, который рассчитывается в автоматизированной системе Банка в дату оформления Договора Вклада и может отличаться от указанных значений.</w:t>
      </w:r>
    </w:p>
    <w:p w14:paraId="0DA193D9" w14:textId="77777777" w:rsidR="00EA2CBD" w:rsidRDefault="00EA2CBD" w:rsidP="00EA2CBD">
      <w:pPr>
        <w:autoSpaceDE w:val="0"/>
        <w:autoSpaceDN w:val="0"/>
        <w:rPr>
          <w:rFonts w:ascii="Tahoma" w:hAnsi="Tahoma" w:cs="Tahoma"/>
          <w:b/>
          <w:bCs/>
          <w:sz w:val="22"/>
          <w:szCs w:val="22"/>
        </w:rPr>
      </w:pPr>
    </w:p>
    <w:p w14:paraId="0AB1A348" w14:textId="77777777" w:rsidR="00EA2CBD" w:rsidRPr="002A040C" w:rsidRDefault="00EA2CBD" w:rsidP="00EA2CBD">
      <w:pPr>
        <w:autoSpaceDE w:val="0"/>
        <w:autoSpaceDN w:val="0"/>
        <w:rPr>
          <w:rFonts w:ascii="Tahoma" w:hAnsi="Tahoma" w:cs="Tahoma"/>
          <w:b/>
          <w:bCs/>
          <w:sz w:val="22"/>
          <w:szCs w:val="22"/>
        </w:rPr>
      </w:pPr>
      <w:r w:rsidRPr="002A040C">
        <w:rPr>
          <w:rFonts w:ascii="Tahoma" w:hAnsi="Tahoma" w:cs="Tahoma"/>
          <w:b/>
          <w:bCs/>
          <w:sz w:val="22"/>
          <w:szCs w:val="22"/>
        </w:rPr>
        <w:t>Порядок начисления и получения процентов:</w:t>
      </w:r>
    </w:p>
    <w:p w14:paraId="5BD1C484" w14:textId="77777777" w:rsidR="00EA2CBD" w:rsidRPr="002A040C" w:rsidRDefault="00EA2CBD" w:rsidP="00EA2CBD">
      <w:pPr>
        <w:autoSpaceDE w:val="0"/>
        <w:autoSpaceDN w:val="0"/>
        <w:jc w:val="both"/>
        <w:rPr>
          <w:rFonts w:ascii="Tahoma" w:hAnsi="Tahoma" w:cs="Tahoma"/>
          <w:sz w:val="22"/>
          <w:szCs w:val="22"/>
        </w:rPr>
      </w:pPr>
      <w:r w:rsidRPr="002A040C">
        <w:rPr>
          <w:rFonts w:ascii="Tahoma" w:hAnsi="Tahoma" w:cs="Tahoma"/>
          <w:sz w:val="22"/>
          <w:szCs w:val="22"/>
        </w:rPr>
        <w:t>Начисление и выплата процентов по Вкладу осуществляется ежемесячно по выбору Вкладчика:</w:t>
      </w:r>
    </w:p>
    <w:p w14:paraId="196CE11C" w14:textId="77777777" w:rsidR="00EA2CBD" w:rsidRPr="002A040C" w:rsidRDefault="00EA2CBD" w:rsidP="00EA2CBD">
      <w:pPr>
        <w:autoSpaceDE w:val="0"/>
        <w:autoSpaceDN w:val="0"/>
        <w:jc w:val="both"/>
        <w:rPr>
          <w:rFonts w:ascii="Tahoma" w:hAnsi="Tahoma" w:cs="Tahoma"/>
          <w:sz w:val="22"/>
          <w:szCs w:val="22"/>
        </w:rPr>
      </w:pPr>
      <w:r w:rsidRPr="002A040C">
        <w:rPr>
          <w:rFonts w:ascii="Tahoma" w:hAnsi="Tahoma" w:cs="Tahoma"/>
          <w:sz w:val="22"/>
          <w:szCs w:val="22"/>
        </w:rPr>
        <w:t>- капитализация процентов, т.е. их причисление к сумме Вклада;</w:t>
      </w:r>
    </w:p>
    <w:p w14:paraId="0104AAE5" w14:textId="77777777" w:rsidR="00EA2CBD" w:rsidRDefault="00EA2CBD" w:rsidP="00EA2CBD">
      <w:pPr>
        <w:jc w:val="both"/>
        <w:rPr>
          <w:rFonts w:ascii="Tahoma" w:hAnsi="Tahoma" w:cs="Tahoma"/>
          <w:sz w:val="22"/>
          <w:szCs w:val="22"/>
        </w:rPr>
      </w:pPr>
      <w:r w:rsidRPr="002A040C">
        <w:rPr>
          <w:rFonts w:ascii="Tahoma" w:hAnsi="Tahoma" w:cs="Tahoma"/>
          <w:sz w:val="22"/>
          <w:szCs w:val="22"/>
        </w:rPr>
        <w:t>- перевод процентов на счет, открываемый в Банке, указываемый в Заявлении об открытии вклада.</w:t>
      </w:r>
    </w:p>
    <w:tbl>
      <w:tblPr>
        <w:tblW w:w="15100" w:type="dxa"/>
        <w:tblCellMar>
          <w:left w:w="0" w:type="dxa"/>
          <w:right w:w="0" w:type="dxa"/>
        </w:tblCellMar>
        <w:tblLook w:val="04A0" w:firstRow="1" w:lastRow="0" w:firstColumn="1" w:lastColumn="0" w:noHBand="0" w:noVBand="1"/>
      </w:tblPr>
      <w:tblGrid>
        <w:gridCol w:w="15100"/>
      </w:tblGrid>
      <w:tr w:rsidR="00EA2CBD" w:rsidRPr="002A040C" w14:paraId="08A84F30" w14:textId="77777777" w:rsidTr="009D1253">
        <w:tc>
          <w:tcPr>
            <w:tcW w:w="15100" w:type="dxa"/>
            <w:tcMar>
              <w:top w:w="102" w:type="dxa"/>
              <w:left w:w="62" w:type="dxa"/>
              <w:bottom w:w="102" w:type="dxa"/>
              <w:right w:w="62" w:type="dxa"/>
            </w:tcMar>
            <w:vAlign w:val="center"/>
            <w:hideMark/>
          </w:tcPr>
          <w:p w14:paraId="2B1CBDC1" w14:textId="77777777" w:rsidR="00EA2CBD" w:rsidRPr="002A040C" w:rsidRDefault="00EA2CBD" w:rsidP="009D1253">
            <w:pPr>
              <w:autoSpaceDE w:val="0"/>
              <w:autoSpaceDN w:val="0"/>
              <w:rPr>
                <w:rFonts w:ascii="Tahoma" w:hAnsi="Tahoma" w:cs="Tahoma"/>
                <w:sz w:val="22"/>
                <w:szCs w:val="22"/>
              </w:rPr>
            </w:pPr>
          </w:p>
        </w:tc>
      </w:tr>
      <w:tr w:rsidR="00EA2CBD" w:rsidRPr="002A040C" w14:paraId="45BD738E" w14:textId="77777777" w:rsidTr="009D1253">
        <w:tc>
          <w:tcPr>
            <w:tcW w:w="15100" w:type="dxa"/>
            <w:tcMar>
              <w:top w:w="102" w:type="dxa"/>
              <w:left w:w="62" w:type="dxa"/>
              <w:bottom w:w="102" w:type="dxa"/>
              <w:right w:w="62" w:type="dxa"/>
            </w:tcMar>
          </w:tcPr>
          <w:tbl>
            <w:tblPr>
              <w:tblW w:w="14966" w:type="dxa"/>
              <w:tblLook w:val="04A0" w:firstRow="1" w:lastRow="0" w:firstColumn="1" w:lastColumn="0" w:noHBand="0" w:noVBand="1"/>
            </w:tblPr>
            <w:tblGrid>
              <w:gridCol w:w="14966"/>
            </w:tblGrid>
            <w:tr w:rsidR="00EA2CBD" w:rsidRPr="002A040C" w14:paraId="6523A8F5" w14:textId="77777777" w:rsidTr="009D1253">
              <w:tc>
                <w:tcPr>
                  <w:tcW w:w="14966" w:type="dxa"/>
                  <w:tcBorders>
                    <w:top w:val="single" w:sz="4" w:space="0" w:color="auto"/>
                    <w:left w:val="single" w:sz="4" w:space="0" w:color="auto"/>
                    <w:bottom w:val="single" w:sz="4" w:space="0" w:color="auto"/>
                    <w:right w:val="single" w:sz="4" w:space="0" w:color="auto"/>
                  </w:tcBorders>
                  <w:hideMark/>
                </w:tcPr>
                <w:p w14:paraId="3BF29AA6" w14:textId="77777777" w:rsidR="00EA2CBD" w:rsidRPr="002A040C" w:rsidRDefault="00EA2CBD" w:rsidP="009D1253">
                  <w:pPr>
                    <w:autoSpaceDE w:val="0"/>
                    <w:autoSpaceDN w:val="0"/>
                    <w:rPr>
                      <w:rFonts w:ascii="Tahoma" w:hAnsi="Tahoma" w:cs="Tahoma"/>
                      <w:sz w:val="22"/>
                      <w:szCs w:val="22"/>
                    </w:rPr>
                  </w:pPr>
                  <w:r w:rsidRPr="002A040C">
                    <w:rPr>
                      <w:rFonts w:ascii="Tahoma" w:hAnsi="Tahoma" w:cs="Tahoma"/>
                      <w:sz w:val="22"/>
                      <w:szCs w:val="22"/>
                    </w:rPr>
                    <w:t>ОПЕРАЦИИ ПО ВКЛАДУ</w:t>
                  </w:r>
                </w:p>
              </w:tc>
            </w:tr>
            <w:tr w:rsidR="00EA2CBD" w:rsidRPr="002A040C" w14:paraId="6ED9E281" w14:textId="77777777" w:rsidTr="009D1253">
              <w:tc>
                <w:tcPr>
                  <w:tcW w:w="14966" w:type="dxa"/>
                  <w:tcBorders>
                    <w:top w:val="single" w:sz="4" w:space="0" w:color="auto"/>
                  </w:tcBorders>
                  <w:hideMark/>
                </w:tcPr>
                <w:p w14:paraId="2415AEA6" w14:textId="77777777" w:rsidR="00EA2CBD" w:rsidRPr="002A040C" w:rsidRDefault="00EA2CBD" w:rsidP="009D1253">
                  <w:pPr>
                    <w:autoSpaceDE w:val="0"/>
                    <w:autoSpaceDN w:val="0"/>
                    <w:jc w:val="both"/>
                    <w:rPr>
                      <w:rFonts w:ascii="Tahoma" w:hAnsi="Tahoma" w:cs="Tahoma"/>
                      <w:sz w:val="22"/>
                      <w:szCs w:val="22"/>
                    </w:rPr>
                  </w:pPr>
                  <w:r w:rsidRPr="00616185">
                    <w:rPr>
                      <w:rFonts w:ascii="Tahoma" w:hAnsi="Tahoma" w:cs="Tahoma"/>
                      <w:b/>
                      <w:sz w:val="22"/>
                      <w:szCs w:val="22"/>
                    </w:rPr>
                    <w:t>Возможность пополнения:</w:t>
                  </w:r>
                  <w:r w:rsidRPr="002A040C">
                    <w:rPr>
                      <w:rFonts w:ascii="Tahoma" w:hAnsi="Tahoma" w:cs="Tahoma"/>
                      <w:sz w:val="22"/>
                      <w:szCs w:val="22"/>
                    </w:rPr>
                    <w:t xml:space="preserve"> Пополнение возможно Вкладчиком путем внесения наличных денежных средств либо путем перевода безналичных денежных средств на счет Вклада. Минимальная и максимальная суммы пополнения не установлены. Внесение денежных средств на счёт Вклада возможно третьим лицом.</w:t>
                  </w:r>
                </w:p>
              </w:tc>
            </w:tr>
            <w:tr w:rsidR="00EA2CBD" w:rsidRPr="002A040C" w14:paraId="43C922D3" w14:textId="77777777" w:rsidTr="009D1253">
              <w:tc>
                <w:tcPr>
                  <w:tcW w:w="14966" w:type="dxa"/>
                  <w:hideMark/>
                </w:tcPr>
                <w:p w14:paraId="37D364A7" w14:textId="77777777" w:rsidR="00EA2CBD" w:rsidRPr="002A040C" w:rsidRDefault="00EA2CBD" w:rsidP="009D1253">
                  <w:pPr>
                    <w:autoSpaceDE w:val="0"/>
                    <w:autoSpaceDN w:val="0"/>
                    <w:jc w:val="both"/>
                    <w:rPr>
                      <w:rFonts w:ascii="Tahoma" w:hAnsi="Tahoma" w:cs="Tahoma"/>
                      <w:sz w:val="22"/>
                      <w:szCs w:val="22"/>
                    </w:rPr>
                  </w:pPr>
                  <w:r w:rsidRPr="00616185">
                    <w:rPr>
                      <w:rFonts w:ascii="Tahoma" w:hAnsi="Tahoma" w:cs="Tahoma"/>
                      <w:b/>
                      <w:sz w:val="22"/>
                      <w:szCs w:val="22"/>
                    </w:rPr>
                    <w:t>Расходные операции:</w:t>
                  </w:r>
                  <w:r w:rsidRPr="002A040C">
                    <w:rPr>
                      <w:rFonts w:ascii="Tahoma" w:hAnsi="Tahoma" w:cs="Tahoma"/>
                      <w:sz w:val="22"/>
                      <w:szCs w:val="22"/>
                    </w:rPr>
                    <w:t xml:space="preserve"> досрочный возврат Вклада/части суммы Вклада без изменения условий о размере процентов и периодичности их выплаты не предусмотрен. Досрочный возврат Вклада (части суммы по Договору Вклада) повлечет последствия, указанные ниже в графе «По инициативе клиента прекращение </w:t>
                  </w:r>
                  <w:r>
                    <w:rPr>
                      <w:rFonts w:ascii="Tahoma" w:hAnsi="Tahoma" w:cs="Tahoma"/>
                      <w:sz w:val="22"/>
                      <w:szCs w:val="22"/>
                    </w:rPr>
                    <w:t>Д</w:t>
                  </w:r>
                  <w:r w:rsidRPr="002A040C">
                    <w:rPr>
                      <w:rFonts w:ascii="Tahoma" w:hAnsi="Tahoma" w:cs="Tahoma"/>
                      <w:sz w:val="22"/>
                      <w:szCs w:val="22"/>
                    </w:rPr>
                    <w:t xml:space="preserve">оговора </w:t>
                  </w:r>
                  <w:r>
                    <w:rPr>
                      <w:rFonts w:ascii="Tahoma" w:hAnsi="Tahoma" w:cs="Tahoma"/>
                      <w:sz w:val="22"/>
                      <w:szCs w:val="22"/>
                    </w:rPr>
                    <w:t>В</w:t>
                  </w:r>
                  <w:r w:rsidRPr="002A040C">
                    <w:rPr>
                      <w:rFonts w:ascii="Tahoma" w:hAnsi="Tahoma" w:cs="Tahoma"/>
                      <w:sz w:val="22"/>
                      <w:szCs w:val="22"/>
                    </w:rPr>
                    <w:t xml:space="preserve">клада» </w:t>
                  </w:r>
                </w:p>
              </w:tc>
            </w:tr>
            <w:tr w:rsidR="00EA2CBD" w:rsidRPr="002A040C" w14:paraId="1EDB2CB6" w14:textId="77777777" w:rsidTr="009D1253">
              <w:tc>
                <w:tcPr>
                  <w:tcW w:w="14966" w:type="dxa"/>
                </w:tcPr>
                <w:p w14:paraId="1649CF6C" w14:textId="77777777" w:rsidR="00EA2CBD" w:rsidRPr="002A040C" w:rsidRDefault="00EA2CBD" w:rsidP="009D1253">
                  <w:pPr>
                    <w:autoSpaceDE w:val="0"/>
                    <w:autoSpaceDN w:val="0"/>
                    <w:rPr>
                      <w:rFonts w:ascii="Tahoma" w:hAnsi="Tahoma" w:cs="Tahoma"/>
                      <w:sz w:val="22"/>
                      <w:szCs w:val="22"/>
                    </w:rPr>
                  </w:pPr>
                </w:p>
                <w:p w14:paraId="28A722C0" w14:textId="77777777" w:rsidR="00EA2CBD" w:rsidRPr="002A040C" w:rsidRDefault="00EA2CBD" w:rsidP="009D1253">
                  <w:pPr>
                    <w:autoSpaceDE w:val="0"/>
                    <w:autoSpaceDN w:val="0"/>
                    <w:rPr>
                      <w:rFonts w:ascii="Tahoma" w:hAnsi="Tahoma" w:cs="Tahoma"/>
                      <w:b/>
                      <w:sz w:val="22"/>
                      <w:szCs w:val="22"/>
                    </w:rPr>
                  </w:pPr>
                  <w:r w:rsidRPr="002A040C">
                    <w:rPr>
                      <w:rFonts w:ascii="Tahoma" w:hAnsi="Tahoma" w:cs="Tahoma"/>
                      <w:b/>
                      <w:sz w:val="22"/>
                      <w:szCs w:val="22"/>
                    </w:rPr>
                    <w:t xml:space="preserve">По инициативе клиента прекращение </w:t>
                  </w:r>
                  <w:r>
                    <w:rPr>
                      <w:rFonts w:ascii="Tahoma" w:hAnsi="Tahoma" w:cs="Tahoma"/>
                      <w:b/>
                      <w:sz w:val="22"/>
                      <w:szCs w:val="22"/>
                    </w:rPr>
                    <w:t>Д</w:t>
                  </w:r>
                  <w:r w:rsidRPr="002A040C">
                    <w:rPr>
                      <w:rFonts w:ascii="Tahoma" w:hAnsi="Tahoma" w:cs="Tahoma"/>
                      <w:b/>
                      <w:sz w:val="22"/>
                      <w:szCs w:val="22"/>
                    </w:rPr>
                    <w:t xml:space="preserve">оговора </w:t>
                  </w:r>
                  <w:r>
                    <w:rPr>
                      <w:rFonts w:ascii="Tahoma" w:hAnsi="Tahoma" w:cs="Tahoma"/>
                      <w:b/>
                      <w:sz w:val="22"/>
                      <w:szCs w:val="22"/>
                    </w:rPr>
                    <w:t>В</w:t>
                  </w:r>
                  <w:r w:rsidRPr="002A040C">
                    <w:rPr>
                      <w:rFonts w:ascii="Tahoma" w:hAnsi="Tahoma" w:cs="Tahoma"/>
                      <w:b/>
                      <w:sz w:val="22"/>
                      <w:szCs w:val="22"/>
                    </w:rPr>
                    <w:t>клада:</w:t>
                  </w:r>
                </w:p>
                <w:p w14:paraId="2EECE24A" w14:textId="77777777" w:rsidR="00EA2CBD" w:rsidRPr="002A040C" w:rsidRDefault="00EA2CBD" w:rsidP="009D1253">
                  <w:pPr>
                    <w:autoSpaceDE w:val="0"/>
                    <w:autoSpaceDN w:val="0"/>
                    <w:jc w:val="both"/>
                    <w:rPr>
                      <w:rFonts w:ascii="Tahoma" w:hAnsi="Tahoma" w:cs="Tahoma"/>
                      <w:sz w:val="22"/>
                      <w:szCs w:val="22"/>
                    </w:rPr>
                  </w:pPr>
                  <w:r w:rsidRPr="002A040C">
                    <w:rPr>
                      <w:rFonts w:ascii="Tahoma" w:hAnsi="Tahoma" w:cs="Tahoma"/>
                      <w:sz w:val="22"/>
                      <w:szCs w:val="22"/>
                    </w:rPr>
                    <w:t xml:space="preserve">В случае частичного досрочного снятия Вкладчиком денежных средств со Вклада (части Вклада) Договор расторгается (прекращает свое действие без составления Сторонами соглашения о расторжении, иных документов о расторжении Договора). </w:t>
                  </w:r>
                </w:p>
                <w:p w14:paraId="50B1EFBF" w14:textId="77777777" w:rsidR="00EA2CBD" w:rsidRPr="00616185" w:rsidRDefault="00EA2CBD" w:rsidP="009D1253">
                  <w:pPr>
                    <w:autoSpaceDE w:val="0"/>
                    <w:autoSpaceDN w:val="0"/>
                    <w:jc w:val="both"/>
                    <w:rPr>
                      <w:rFonts w:ascii="Tahoma" w:hAnsi="Tahoma" w:cs="Tahoma"/>
                      <w:sz w:val="22"/>
                      <w:szCs w:val="22"/>
                    </w:rPr>
                  </w:pPr>
                  <w:r w:rsidRPr="00616185">
                    <w:rPr>
                      <w:rFonts w:ascii="Tahoma" w:hAnsi="Tahoma" w:cs="Tahoma"/>
                      <w:sz w:val="22"/>
                      <w:szCs w:val="22"/>
                    </w:rPr>
                    <w:t>Для возврата Вклада на сумму свыше 300 000 (Триста тысяч) рублей Вкладчик должен заказать соответствующую сумму в российских рублях в любом из подразделений (офисов) Банка или через Контактный центр Банка по телефону 8-800-775-8888 (по России звонок бесплатный) или (4162) 222-333 (для звонков из-за рубежа) не позднее чем за 1 (один) рабочий день до планируемой даты возврата Вклада.</w:t>
                  </w:r>
                </w:p>
                <w:p w14:paraId="55475B6F" w14:textId="77777777" w:rsidR="00EA2CBD" w:rsidRPr="00616185" w:rsidRDefault="00EA2CBD" w:rsidP="009D1253">
                  <w:pPr>
                    <w:autoSpaceDE w:val="0"/>
                    <w:autoSpaceDN w:val="0"/>
                    <w:jc w:val="both"/>
                    <w:rPr>
                      <w:rFonts w:ascii="Tahoma" w:hAnsi="Tahoma" w:cs="Tahoma"/>
                      <w:sz w:val="22"/>
                      <w:szCs w:val="22"/>
                    </w:rPr>
                  </w:pPr>
                  <w:r w:rsidRPr="002A040C">
                    <w:rPr>
                      <w:rFonts w:ascii="Tahoma" w:hAnsi="Tahoma" w:cs="Tahoma"/>
                      <w:sz w:val="22"/>
                      <w:szCs w:val="22"/>
                    </w:rPr>
                    <w:t>В случае досрочного возвращения Вклада в течение срока хранения Вклада по требованию Вкладчика проценты по Вкладу начисляются Вкладчику по ставке 0,01% годовых за весь срок Вклада, начиная со дня, следующего за днем поступления денежных средств (Вклада) в Банк, и выплачиваются в день востребования суммы Вклада, а излишне уплаченные проценты удерживаются из выплачиваемой Вкладчику суммы.</w:t>
                  </w:r>
                </w:p>
                <w:p w14:paraId="2D8BA47E" w14:textId="77777777" w:rsidR="00EA2CBD" w:rsidRPr="002A040C" w:rsidRDefault="00EA2CBD" w:rsidP="009D1253">
                  <w:pPr>
                    <w:autoSpaceDE w:val="0"/>
                    <w:autoSpaceDN w:val="0"/>
                    <w:jc w:val="both"/>
                    <w:rPr>
                      <w:rFonts w:ascii="Tahoma" w:hAnsi="Tahoma" w:cs="Tahoma"/>
                      <w:sz w:val="22"/>
                      <w:szCs w:val="22"/>
                    </w:rPr>
                  </w:pPr>
                </w:p>
                <w:p w14:paraId="61323037" w14:textId="77777777" w:rsidR="00EA2CBD" w:rsidRPr="00616185" w:rsidRDefault="00EA2CBD" w:rsidP="009D1253">
                  <w:pPr>
                    <w:autoSpaceDE w:val="0"/>
                    <w:autoSpaceDN w:val="0"/>
                    <w:rPr>
                      <w:rFonts w:ascii="Tahoma" w:hAnsi="Tahoma" w:cs="Tahoma"/>
                      <w:b/>
                      <w:sz w:val="22"/>
                      <w:szCs w:val="22"/>
                    </w:rPr>
                  </w:pPr>
                  <w:r w:rsidRPr="002A040C">
                    <w:rPr>
                      <w:rFonts w:ascii="Tahoma" w:hAnsi="Tahoma" w:cs="Tahoma"/>
                      <w:b/>
                      <w:sz w:val="22"/>
                      <w:szCs w:val="22"/>
                    </w:rPr>
                    <w:t>Если срок Вклада закончился:</w:t>
                  </w:r>
                </w:p>
                <w:p w14:paraId="5D70A1E5" w14:textId="77777777" w:rsidR="00EA2CBD" w:rsidRPr="002A040C" w:rsidRDefault="00EA2CBD" w:rsidP="009D1253">
                  <w:pPr>
                    <w:autoSpaceDE w:val="0"/>
                    <w:autoSpaceDN w:val="0"/>
                    <w:jc w:val="both"/>
                    <w:rPr>
                      <w:rFonts w:ascii="Tahoma" w:hAnsi="Tahoma" w:cs="Tahoma"/>
                      <w:sz w:val="22"/>
                      <w:szCs w:val="22"/>
                    </w:rPr>
                  </w:pPr>
                  <w:r w:rsidRPr="002A040C">
                    <w:rPr>
                      <w:rFonts w:ascii="Tahoma" w:hAnsi="Tahoma" w:cs="Tahoma"/>
                      <w:sz w:val="22"/>
                      <w:szCs w:val="22"/>
                    </w:rPr>
                    <w:t xml:space="preserve">Если Вклад не будет востребован Вкладчиком по истечении срока Вклада, указанного в Заявлении об открытии вклада, Договор Вклада продлевается (без составления сторонами дополнительных соглашений к Договору Вклада, иных документов). Продление срока Вклада осуществляется на такой же срок, но с начислением процентов по Ставке продления, действующей в Банке по данному виду Вклада на день продления в соответствии с Тарифами Банка, и на прочих условиях, действующих в Банке по данному виду Вклада на день его продления, при этом номер Счета по данному виду Вклада не изменяется. Договор Вклада продлевается неограниченное количество раз. </w:t>
                  </w:r>
                </w:p>
                <w:p w14:paraId="44FFA7F5" w14:textId="77777777" w:rsidR="00EA2CBD" w:rsidRPr="002A040C" w:rsidRDefault="00EA2CBD" w:rsidP="009D1253">
                  <w:pPr>
                    <w:autoSpaceDE w:val="0"/>
                    <w:autoSpaceDN w:val="0"/>
                    <w:jc w:val="both"/>
                    <w:rPr>
                      <w:rFonts w:ascii="Tahoma" w:hAnsi="Tahoma" w:cs="Tahoma"/>
                      <w:sz w:val="22"/>
                      <w:szCs w:val="22"/>
                    </w:rPr>
                  </w:pPr>
                  <w:r w:rsidRPr="002A040C">
                    <w:rPr>
                      <w:rFonts w:ascii="Tahoma" w:hAnsi="Tahoma" w:cs="Tahoma"/>
                      <w:sz w:val="22"/>
                      <w:szCs w:val="22"/>
                    </w:rPr>
                    <w:t>Если данный вид Вклада не действует в Банке на дату окончания срока Вклада/срока продления, сумма Вклада и начисленные проценты по Вкладу зачисляются на счет, открытый в Банке, указываемый в п. 13  Заявления об открытии вклада (ТБС или счет вклада «до востре</w:t>
                  </w:r>
                  <w:r>
                    <w:rPr>
                      <w:rFonts w:ascii="Tahoma" w:hAnsi="Tahoma" w:cs="Tahoma"/>
                      <w:sz w:val="22"/>
                      <w:szCs w:val="22"/>
                    </w:rPr>
                    <w:t>бования» - по выбору Вкладчика)</w:t>
                  </w:r>
                  <w:r w:rsidRPr="002A040C">
                    <w:rPr>
                      <w:rFonts w:ascii="Tahoma" w:hAnsi="Tahoma" w:cs="Tahoma"/>
                      <w:sz w:val="22"/>
                      <w:szCs w:val="22"/>
                    </w:rPr>
                    <w:t>.</w:t>
                  </w:r>
                </w:p>
              </w:tc>
            </w:tr>
          </w:tbl>
          <w:p w14:paraId="594EF943" w14:textId="77777777" w:rsidR="00EA2CBD" w:rsidRPr="002A040C" w:rsidRDefault="00EA2CBD" w:rsidP="009D1253">
            <w:pPr>
              <w:rPr>
                <w:rFonts w:ascii="Tahoma" w:eastAsiaTheme="minorHAnsi" w:hAnsi="Tahoma" w:cs="Tahoma"/>
                <w:sz w:val="22"/>
                <w:szCs w:val="22"/>
              </w:rPr>
            </w:pPr>
          </w:p>
        </w:tc>
      </w:tr>
    </w:tbl>
    <w:p w14:paraId="1006DDDD" w14:textId="77777777" w:rsidR="00EA2CBD" w:rsidRDefault="00EA2CBD" w:rsidP="00EA2CBD">
      <w:pPr>
        <w:jc w:val="both"/>
        <w:rPr>
          <w:rFonts w:ascii="Tahoma" w:hAnsi="Tahoma" w:cs="Tahoma"/>
          <w:b/>
          <w:bCs/>
          <w:color w:val="EB6C15"/>
          <w:sz w:val="22"/>
          <w:szCs w:val="22"/>
        </w:rPr>
      </w:pPr>
    </w:p>
    <w:p w14:paraId="727A2180" w14:textId="77777777" w:rsidR="00EA2CBD" w:rsidRDefault="00EA2CBD" w:rsidP="00EA2CBD">
      <w:pPr>
        <w:jc w:val="both"/>
        <w:rPr>
          <w:rFonts w:ascii="Tahoma" w:hAnsi="Tahoma" w:cs="Tahoma"/>
          <w:b/>
          <w:bCs/>
          <w:color w:val="EB6C15"/>
          <w:sz w:val="22"/>
          <w:szCs w:val="22"/>
        </w:rPr>
      </w:pPr>
    </w:p>
    <w:p w14:paraId="526430DF" w14:textId="77777777" w:rsidR="00EA2CBD" w:rsidRDefault="00EA2CBD" w:rsidP="000B3718">
      <w:pPr>
        <w:pStyle w:val="a5"/>
      </w:pPr>
      <w:r w:rsidRPr="00FD71EF">
        <w:t>3.1</w:t>
      </w:r>
      <w:r>
        <w:t>1</w:t>
      </w:r>
      <w:r w:rsidRPr="00FD71EF">
        <w:t>.</w:t>
      </w:r>
      <w:r>
        <w:t xml:space="preserve">2. </w:t>
      </w:r>
      <w:r w:rsidRPr="00FD71EF">
        <w:t>Вклад «Ключевой» (с пополнением)</w:t>
      </w:r>
      <w:r>
        <w:t xml:space="preserve"> (</w:t>
      </w:r>
      <w:r w:rsidRPr="002E5D29">
        <w:t xml:space="preserve">для вкладов, открытых </w:t>
      </w:r>
      <w:r>
        <w:t>с</w:t>
      </w:r>
      <w:r w:rsidRPr="002E5D29">
        <w:t xml:space="preserve"> 0</w:t>
      </w:r>
      <w:r>
        <w:t>4</w:t>
      </w:r>
      <w:r w:rsidRPr="002E5D29">
        <w:t>.10.2024</w:t>
      </w:r>
      <w:r>
        <w:t>)</w:t>
      </w:r>
    </w:p>
    <w:p w14:paraId="68B3C123" w14:textId="77777777" w:rsidR="00EA2CBD" w:rsidRPr="00616185" w:rsidRDefault="00EA2CBD" w:rsidP="00EA2CBD">
      <w:pPr>
        <w:ind w:firstLine="426"/>
        <w:jc w:val="both"/>
        <w:rPr>
          <w:rFonts w:ascii="Tahoma" w:hAnsi="Tahoma" w:cs="Tahoma"/>
          <w:color w:val="000000"/>
          <w:sz w:val="22"/>
          <w:szCs w:val="22"/>
        </w:rPr>
      </w:pPr>
      <w:r w:rsidRPr="00616185">
        <w:rPr>
          <w:rFonts w:ascii="Tahoma" w:hAnsi="Tahoma" w:cs="Tahoma"/>
          <w:color w:val="000000"/>
          <w:sz w:val="22"/>
          <w:szCs w:val="22"/>
        </w:rPr>
        <w:t>Условия</w:t>
      </w:r>
      <w:r>
        <w:rPr>
          <w:rFonts w:ascii="Tahoma" w:hAnsi="Tahoma" w:cs="Tahoma"/>
          <w:color w:val="000000"/>
          <w:sz w:val="22"/>
          <w:szCs w:val="22"/>
        </w:rPr>
        <w:t>:</w:t>
      </w:r>
    </w:p>
    <w:p w14:paraId="53054BA8" w14:textId="77777777" w:rsidR="00EA2CBD" w:rsidRPr="00616185" w:rsidRDefault="00EA2CBD" w:rsidP="00A44EB4">
      <w:pPr>
        <w:pStyle w:val="affe"/>
        <w:numPr>
          <w:ilvl w:val="0"/>
          <w:numId w:val="168"/>
        </w:numPr>
        <w:autoSpaceDE w:val="0"/>
        <w:autoSpaceDN w:val="0"/>
        <w:rPr>
          <w:rFonts w:ascii="Tahoma" w:hAnsi="Tahoma" w:cs="Tahoma"/>
          <w:b/>
          <w:bCs/>
          <w:sz w:val="22"/>
          <w:szCs w:val="22"/>
        </w:rPr>
      </w:pPr>
      <w:r w:rsidRPr="00616185">
        <w:rPr>
          <w:rFonts w:ascii="Tahoma" w:hAnsi="Tahoma" w:cs="Tahoma"/>
          <w:b/>
          <w:bCs/>
          <w:sz w:val="22"/>
          <w:szCs w:val="22"/>
        </w:rPr>
        <w:t xml:space="preserve">Сумма Вклада: </w:t>
      </w:r>
    </w:p>
    <w:p w14:paraId="0D34541C" w14:textId="77777777" w:rsidR="00EA2CBD" w:rsidRPr="00616185" w:rsidRDefault="00EA2CBD" w:rsidP="00EA2CBD">
      <w:pPr>
        <w:autoSpaceDE w:val="0"/>
        <w:autoSpaceDN w:val="0"/>
        <w:ind w:firstLine="709"/>
        <w:rPr>
          <w:rFonts w:ascii="Tahoma" w:hAnsi="Tahoma" w:cs="Tahoma"/>
          <w:sz w:val="22"/>
          <w:szCs w:val="22"/>
        </w:rPr>
      </w:pPr>
      <w:r w:rsidRPr="00616185">
        <w:rPr>
          <w:rFonts w:ascii="Tahoma" w:hAnsi="Tahoma" w:cs="Tahoma"/>
          <w:sz w:val="22"/>
          <w:szCs w:val="22"/>
        </w:rPr>
        <w:t>Минимальный сумма Вклада: 50 000 рублей.</w:t>
      </w:r>
    </w:p>
    <w:p w14:paraId="2B8B751D" w14:textId="77777777" w:rsidR="00EA2CBD" w:rsidRPr="00616185" w:rsidRDefault="00EA2CBD" w:rsidP="00EA2CBD">
      <w:pPr>
        <w:autoSpaceDE w:val="0"/>
        <w:autoSpaceDN w:val="0"/>
        <w:ind w:firstLine="709"/>
        <w:rPr>
          <w:rFonts w:ascii="Tahoma" w:hAnsi="Tahoma" w:cs="Tahoma"/>
          <w:sz w:val="22"/>
          <w:szCs w:val="22"/>
        </w:rPr>
      </w:pPr>
      <w:r w:rsidRPr="00616185">
        <w:rPr>
          <w:rFonts w:ascii="Tahoma" w:hAnsi="Tahoma" w:cs="Tahoma"/>
          <w:sz w:val="22"/>
          <w:szCs w:val="22"/>
        </w:rPr>
        <w:t>Максимальная сумма Вклада: без ограничений.</w:t>
      </w:r>
    </w:p>
    <w:p w14:paraId="2018A331" w14:textId="77777777" w:rsidR="00EA2CBD" w:rsidRPr="00616185" w:rsidRDefault="00EA2CBD" w:rsidP="00A44EB4">
      <w:pPr>
        <w:pStyle w:val="affe"/>
        <w:numPr>
          <w:ilvl w:val="0"/>
          <w:numId w:val="168"/>
        </w:numPr>
        <w:autoSpaceDE w:val="0"/>
        <w:autoSpaceDN w:val="0"/>
        <w:rPr>
          <w:rFonts w:ascii="Tahoma" w:hAnsi="Tahoma" w:cs="Tahoma"/>
          <w:sz w:val="22"/>
          <w:szCs w:val="22"/>
        </w:rPr>
      </w:pPr>
      <w:r w:rsidRPr="00616185">
        <w:rPr>
          <w:rFonts w:ascii="Tahoma" w:hAnsi="Tahoma" w:cs="Tahoma"/>
          <w:b/>
          <w:bCs/>
          <w:sz w:val="22"/>
          <w:szCs w:val="22"/>
        </w:rPr>
        <w:t>Валюта Вклада:</w:t>
      </w:r>
      <w:r w:rsidRPr="00616185">
        <w:rPr>
          <w:rFonts w:ascii="Tahoma" w:hAnsi="Tahoma" w:cs="Tahoma"/>
          <w:sz w:val="22"/>
          <w:szCs w:val="22"/>
        </w:rPr>
        <w:t xml:space="preserve"> рубли РФ.</w:t>
      </w:r>
    </w:p>
    <w:p w14:paraId="6C39577B" w14:textId="77777777" w:rsidR="00EA2CBD" w:rsidRPr="00616185" w:rsidRDefault="00EA2CBD" w:rsidP="00A44EB4">
      <w:pPr>
        <w:pStyle w:val="affe"/>
        <w:numPr>
          <w:ilvl w:val="0"/>
          <w:numId w:val="168"/>
        </w:numPr>
        <w:autoSpaceDE w:val="0"/>
        <w:autoSpaceDN w:val="0"/>
        <w:rPr>
          <w:rFonts w:ascii="Tahoma" w:hAnsi="Tahoma" w:cs="Tahoma"/>
          <w:sz w:val="22"/>
          <w:szCs w:val="22"/>
        </w:rPr>
      </w:pPr>
      <w:r w:rsidRPr="00616185">
        <w:rPr>
          <w:rFonts w:ascii="Tahoma" w:hAnsi="Tahoma" w:cs="Tahoma"/>
          <w:b/>
          <w:bCs/>
          <w:sz w:val="22"/>
          <w:szCs w:val="22"/>
        </w:rPr>
        <w:t>Срок Вклада:</w:t>
      </w:r>
      <w:r w:rsidRPr="00616185">
        <w:rPr>
          <w:rFonts w:ascii="Tahoma" w:hAnsi="Tahoma" w:cs="Tahoma"/>
          <w:sz w:val="22"/>
          <w:szCs w:val="22"/>
        </w:rPr>
        <w:t xml:space="preserve"> 182 дня / 367 дней/ 731 день/ 1098 дней.</w:t>
      </w:r>
    </w:p>
    <w:p w14:paraId="6EDDEADD" w14:textId="77777777" w:rsidR="00EA2CBD" w:rsidRPr="00616185" w:rsidRDefault="00EA2CBD" w:rsidP="00A44EB4">
      <w:pPr>
        <w:pStyle w:val="affe"/>
        <w:numPr>
          <w:ilvl w:val="0"/>
          <w:numId w:val="168"/>
        </w:numPr>
        <w:autoSpaceDE w:val="0"/>
        <w:autoSpaceDN w:val="0"/>
        <w:rPr>
          <w:rFonts w:ascii="Tahoma" w:hAnsi="Tahoma" w:cs="Tahoma"/>
          <w:sz w:val="22"/>
          <w:szCs w:val="22"/>
        </w:rPr>
      </w:pPr>
      <w:r w:rsidRPr="00616185">
        <w:rPr>
          <w:rFonts w:ascii="Tahoma" w:hAnsi="Tahoma" w:cs="Tahoma"/>
          <w:b/>
          <w:bCs/>
          <w:sz w:val="22"/>
          <w:szCs w:val="22"/>
        </w:rPr>
        <w:t xml:space="preserve">Дополнительные условия, влияющие на процентную ставку (если применимо): </w:t>
      </w:r>
    </w:p>
    <w:p w14:paraId="528810C0" w14:textId="77777777" w:rsidR="00EA2CBD" w:rsidRPr="00616185" w:rsidRDefault="00EA2CBD" w:rsidP="00EA2CBD">
      <w:pPr>
        <w:spacing w:line="252" w:lineRule="auto"/>
        <w:ind w:firstLine="709"/>
        <w:jc w:val="both"/>
        <w:rPr>
          <w:rFonts w:ascii="Tahoma" w:hAnsi="Tahoma" w:cs="Tahoma"/>
          <w:sz w:val="22"/>
          <w:szCs w:val="22"/>
        </w:rPr>
      </w:pPr>
      <w:r w:rsidRPr="00616185">
        <w:rPr>
          <w:rFonts w:ascii="Tahoma" w:hAnsi="Tahoma" w:cs="Tahoma"/>
          <w:sz w:val="22"/>
          <w:szCs w:val="22"/>
        </w:rPr>
        <w:t xml:space="preserve">Процентная ставка является переменной, определяется исходя из размера действующей ключевой ставки Банка России (далее также - КС) и рассчитывается по формуле: </w:t>
      </w:r>
    </w:p>
    <w:p w14:paraId="48F78851" w14:textId="77777777" w:rsidR="00EA2CBD" w:rsidRPr="00616185" w:rsidRDefault="00EA2CBD" w:rsidP="00EA2CBD">
      <w:pPr>
        <w:spacing w:line="252" w:lineRule="auto"/>
        <w:ind w:firstLine="709"/>
        <w:jc w:val="both"/>
        <w:rPr>
          <w:rFonts w:ascii="Tahoma" w:hAnsi="Tahoma" w:cs="Tahoma"/>
          <w:sz w:val="22"/>
          <w:szCs w:val="22"/>
        </w:rPr>
      </w:pPr>
      <w:r w:rsidRPr="00616185">
        <w:rPr>
          <w:rFonts w:ascii="Tahoma" w:hAnsi="Tahoma" w:cs="Tahoma"/>
          <w:sz w:val="22"/>
          <w:szCs w:val="22"/>
        </w:rPr>
        <w:t xml:space="preserve">Итоговая процентная ставка, устанавливаемая по Договору Вклада за определяемый период (далее – Итоговая процентная ставка) = КС, действующая в каждый день срока Вклада, минус установленное Банком фиксированное значение в процентах годовых. </w:t>
      </w:r>
    </w:p>
    <w:p w14:paraId="5B355AD9" w14:textId="77777777" w:rsidR="00EA2CBD" w:rsidRPr="00616185" w:rsidRDefault="00EA2CBD" w:rsidP="00EA2CBD">
      <w:pPr>
        <w:spacing w:line="252" w:lineRule="auto"/>
        <w:ind w:firstLine="709"/>
        <w:jc w:val="both"/>
        <w:rPr>
          <w:rFonts w:ascii="Tahoma" w:hAnsi="Tahoma" w:cs="Tahoma"/>
          <w:sz w:val="22"/>
          <w:szCs w:val="22"/>
        </w:rPr>
      </w:pPr>
      <w:r w:rsidRPr="00616185">
        <w:rPr>
          <w:rFonts w:ascii="Tahoma" w:hAnsi="Tahoma" w:cs="Tahoma"/>
          <w:sz w:val="22"/>
          <w:szCs w:val="22"/>
        </w:rPr>
        <w:t>Если в результате расчетов Итоговой процентной ставки получено нулевое или отрицательное значение, то размер Итоговой процентной ставки устанавливается равным 0,01% годовых.</w:t>
      </w:r>
    </w:p>
    <w:p w14:paraId="28EB255A" w14:textId="77777777" w:rsidR="00EA2CBD" w:rsidRPr="00616185" w:rsidRDefault="00EA2CBD" w:rsidP="00EA2CBD">
      <w:pPr>
        <w:spacing w:line="252" w:lineRule="auto"/>
        <w:ind w:firstLine="709"/>
        <w:jc w:val="both"/>
        <w:rPr>
          <w:rStyle w:val="60"/>
          <w:rFonts w:ascii="Tahoma" w:hAnsi="Tahoma" w:cs="Tahoma"/>
        </w:rPr>
      </w:pPr>
      <w:r w:rsidRPr="00616185">
        <w:rPr>
          <w:rFonts w:ascii="Tahoma" w:hAnsi="Tahoma" w:cs="Tahoma"/>
          <w:sz w:val="22"/>
          <w:szCs w:val="22"/>
        </w:rPr>
        <w:t xml:space="preserve">Значение ключевой ставки Банка России представлено на официальном сайте Банка России </w:t>
      </w:r>
      <w:hyperlink r:id="rId85" w:history="1">
        <w:r w:rsidRPr="00616185">
          <w:rPr>
            <w:rStyle w:val="60"/>
            <w:rFonts w:ascii="Tahoma" w:hAnsi="Tahoma" w:cs="Tahoma"/>
          </w:rPr>
          <w:t>https://www.cbr.ru/hd_base/keyrate/</w:t>
        </w:r>
      </w:hyperlink>
      <w:r w:rsidRPr="00616185">
        <w:rPr>
          <w:rStyle w:val="60"/>
          <w:rFonts w:ascii="Tahoma" w:hAnsi="Tahoma" w:cs="Tahoma"/>
        </w:rPr>
        <w:t>.</w:t>
      </w:r>
    </w:p>
    <w:p w14:paraId="6004C476" w14:textId="77777777" w:rsidR="00EA2CBD" w:rsidRPr="00616185" w:rsidRDefault="00EA2CBD" w:rsidP="00EA2CBD">
      <w:pPr>
        <w:spacing w:line="252" w:lineRule="auto"/>
        <w:ind w:firstLine="709"/>
        <w:jc w:val="both"/>
        <w:rPr>
          <w:rFonts w:ascii="Tahoma" w:hAnsi="Tahoma" w:cs="Tahoma"/>
          <w:sz w:val="22"/>
          <w:szCs w:val="22"/>
        </w:rPr>
      </w:pPr>
      <w:r w:rsidRPr="00616185">
        <w:rPr>
          <w:rFonts w:ascii="Tahoma" w:hAnsi="Tahoma" w:cs="Tahoma"/>
          <w:sz w:val="22"/>
          <w:szCs w:val="22"/>
        </w:rPr>
        <w:t>В случае изменения размера ключевой ставки Банка России новая Итоговая процентная ставка по Вкладу начинает действовать с даты вступления в силу новой ключевой ставки Банка России с учетом следующего: в случае, если дата решения Банка России об изменении КС совпадает с датой начала ее действия, новое значение КС по Вкладу применяется со следующего календарного дня после даты начала действия нового значения КС, установленного Банком России.</w:t>
      </w:r>
    </w:p>
    <w:p w14:paraId="31F1C9BF" w14:textId="77777777" w:rsidR="00EA2CBD" w:rsidRPr="00616185" w:rsidRDefault="00EA2CBD" w:rsidP="00EA2CBD">
      <w:pPr>
        <w:spacing w:line="252" w:lineRule="auto"/>
        <w:ind w:firstLine="709"/>
        <w:jc w:val="both"/>
        <w:rPr>
          <w:rFonts w:ascii="Tahoma" w:hAnsi="Tahoma" w:cs="Tahoma"/>
          <w:sz w:val="22"/>
          <w:szCs w:val="22"/>
        </w:rPr>
      </w:pPr>
      <w:r w:rsidRPr="00616185">
        <w:rPr>
          <w:rFonts w:ascii="Tahoma" w:hAnsi="Tahoma" w:cs="Tahoma"/>
          <w:sz w:val="22"/>
          <w:szCs w:val="22"/>
        </w:rPr>
        <w:t xml:space="preserve">Информация о действующем размере процентной ставки по Договору Вклада размещается на сайте Банка: </w:t>
      </w:r>
      <w:hyperlink r:id="rId86" w:history="1">
        <w:r w:rsidRPr="00616185">
          <w:rPr>
            <w:rStyle w:val="60"/>
            <w:rFonts w:ascii="Tahoma" w:hAnsi="Tahoma" w:cs="Tahoma"/>
            <w:lang w:val="en-US"/>
          </w:rPr>
          <w:t>www</w:t>
        </w:r>
        <w:r w:rsidRPr="00616185">
          <w:rPr>
            <w:rStyle w:val="60"/>
            <w:rFonts w:ascii="Tahoma" w:hAnsi="Tahoma" w:cs="Tahoma"/>
            <w:snapToGrid w:val="0"/>
          </w:rPr>
          <w:t>.</w:t>
        </w:r>
        <w:r w:rsidRPr="00616185">
          <w:rPr>
            <w:rStyle w:val="60"/>
            <w:rFonts w:ascii="Tahoma" w:hAnsi="Tahoma" w:cs="Tahoma"/>
            <w:lang w:val="en-US"/>
          </w:rPr>
          <w:t>atb</w:t>
        </w:r>
        <w:r w:rsidRPr="00616185">
          <w:rPr>
            <w:rStyle w:val="60"/>
            <w:rFonts w:ascii="Tahoma" w:hAnsi="Tahoma" w:cs="Tahoma"/>
            <w:snapToGrid w:val="0"/>
          </w:rPr>
          <w:t>.</w:t>
        </w:r>
        <w:r w:rsidRPr="00616185">
          <w:rPr>
            <w:rStyle w:val="60"/>
            <w:rFonts w:ascii="Tahoma" w:hAnsi="Tahoma" w:cs="Tahoma"/>
            <w:lang w:val="en-US"/>
          </w:rPr>
          <w:t>su</w:t>
        </w:r>
      </w:hyperlink>
      <w:r w:rsidRPr="00616185">
        <w:rPr>
          <w:rFonts w:ascii="Tahoma" w:hAnsi="Tahoma" w:cs="Tahoma"/>
          <w:sz w:val="22"/>
          <w:szCs w:val="22"/>
        </w:rPr>
        <w:t xml:space="preserve">, в местах обслуживания клиентов и в каналах дистанционного банковского обслуживания (Интернет-банке «АТБ-Онлайн», Мобильном банке «АТБ банк»). </w:t>
      </w:r>
    </w:p>
    <w:p w14:paraId="23D566ED" w14:textId="77777777" w:rsidR="00EA2CBD" w:rsidRPr="00616185" w:rsidRDefault="00EA2CBD" w:rsidP="00EA2CBD">
      <w:pPr>
        <w:autoSpaceDE w:val="0"/>
        <w:autoSpaceDN w:val="0"/>
        <w:ind w:firstLine="709"/>
        <w:rPr>
          <w:rFonts w:ascii="Tahoma" w:hAnsi="Tahoma" w:cs="Tahoma"/>
          <w:sz w:val="22"/>
          <w:szCs w:val="22"/>
        </w:rPr>
      </w:pPr>
      <w:r w:rsidRPr="00616185">
        <w:rPr>
          <w:rFonts w:ascii="Tahoma" w:hAnsi="Tahoma" w:cs="Tahoma"/>
          <w:sz w:val="22"/>
          <w:szCs w:val="22"/>
        </w:rPr>
        <w:t xml:space="preserve">Информирование Вкладчика об изменении процентной ставки по Договору Вклада осуществляется Банком посредством публикации новой действующей ставки по Договору Вклада на сайте Банка: </w:t>
      </w:r>
      <w:hyperlink r:id="rId87" w:history="1">
        <w:r w:rsidRPr="00616185">
          <w:rPr>
            <w:rStyle w:val="60"/>
            <w:rFonts w:ascii="Tahoma" w:hAnsi="Tahoma" w:cs="Tahoma"/>
            <w:lang w:val="en-US"/>
          </w:rPr>
          <w:t>www</w:t>
        </w:r>
        <w:r w:rsidRPr="00616185">
          <w:rPr>
            <w:rStyle w:val="60"/>
            <w:rFonts w:ascii="Tahoma" w:hAnsi="Tahoma" w:cs="Tahoma"/>
            <w:snapToGrid w:val="0"/>
          </w:rPr>
          <w:t>.</w:t>
        </w:r>
        <w:r w:rsidRPr="00616185">
          <w:rPr>
            <w:rStyle w:val="60"/>
            <w:rFonts w:ascii="Tahoma" w:hAnsi="Tahoma" w:cs="Tahoma"/>
            <w:lang w:val="en-US"/>
          </w:rPr>
          <w:t>atb</w:t>
        </w:r>
        <w:r w:rsidRPr="00616185">
          <w:rPr>
            <w:rStyle w:val="60"/>
            <w:rFonts w:ascii="Tahoma" w:hAnsi="Tahoma" w:cs="Tahoma"/>
            <w:snapToGrid w:val="0"/>
          </w:rPr>
          <w:t>.</w:t>
        </w:r>
        <w:r w:rsidRPr="00616185">
          <w:rPr>
            <w:rStyle w:val="60"/>
            <w:rFonts w:ascii="Tahoma" w:hAnsi="Tahoma" w:cs="Tahoma"/>
            <w:lang w:val="en-US"/>
          </w:rPr>
          <w:t>su</w:t>
        </w:r>
      </w:hyperlink>
      <w:r w:rsidRPr="00616185">
        <w:rPr>
          <w:rFonts w:ascii="Tahoma" w:hAnsi="Tahoma" w:cs="Tahoma"/>
          <w:sz w:val="22"/>
          <w:szCs w:val="22"/>
        </w:rPr>
        <w:t>, в местах обслуживания клиентов и в каналах дистанционного банковского обслуживания (Интернет-банке «АТБ-Онлайн», Мобильном банке «АТБ банк») не позднее даты вступления в силу новой ключевой ставки Банка России.</w:t>
      </w:r>
    </w:p>
    <w:tbl>
      <w:tblPr>
        <w:tblW w:w="14968" w:type="dxa"/>
        <w:tblCellMar>
          <w:left w:w="0" w:type="dxa"/>
          <w:right w:w="0" w:type="dxa"/>
        </w:tblCellMar>
        <w:tblLook w:val="04A0" w:firstRow="1" w:lastRow="0" w:firstColumn="1" w:lastColumn="0" w:noHBand="0" w:noVBand="1"/>
      </w:tblPr>
      <w:tblGrid>
        <w:gridCol w:w="3180"/>
        <w:gridCol w:w="1493"/>
        <w:gridCol w:w="2467"/>
        <w:gridCol w:w="2158"/>
        <w:gridCol w:w="2055"/>
        <w:gridCol w:w="1932"/>
        <w:gridCol w:w="1683"/>
      </w:tblGrid>
      <w:tr w:rsidR="00EA2CBD" w:rsidRPr="002A040C" w14:paraId="140E93AD" w14:textId="77777777" w:rsidTr="009D1253">
        <w:trPr>
          <w:trHeight w:val="194"/>
        </w:trPr>
        <w:tc>
          <w:tcPr>
            <w:tcW w:w="3180" w:type="dxa"/>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CDA50F6" w14:textId="77777777" w:rsidR="00EA2CBD" w:rsidRPr="002A040C" w:rsidRDefault="00EA2CBD" w:rsidP="009D1253">
            <w:pPr>
              <w:autoSpaceDE w:val="0"/>
              <w:autoSpaceDN w:val="0"/>
              <w:jc w:val="center"/>
              <w:rPr>
                <w:rFonts w:ascii="Tahoma" w:hAnsi="Tahoma" w:cs="Tahoma"/>
                <w:b/>
                <w:bCs/>
                <w:sz w:val="20"/>
                <w:szCs w:val="20"/>
                <w:lang w:eastAsia="en-US"/>
              </w:rPr>
            </w:pPr>
            <w:r w:rsidRPr="002A040C">
              <w:rPr>
                <w:rFonts w:ascii="Tahoma" w:hAnsi="Tahoma" w:cs="Tahoma"/>
                <w:b/>
                <w:bCs/>
                <w:sz w:val="20"/>
                <w:szCs w:val="20"/>
                <w:lang w:eastAsia="en-US"/>
              </w:rPr>
              <w:t>Ориентировочный сегмент</w:t>
            </w:r>
          </w:p>
        </w:tc>
        <w:tc>
          <w:tcPr>
            <w:tcW w:w="11788" w:type="dxa"/>
            <w:gridSpan w:val="6"/>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6E60D66A" w14:textId="77777777" w:rsidR="00EA2CBD" w:rsidRPr="002A040C" w:rsidRDefault="00EA2CBD" w:rsidP="009D1253">
            <w:pPr>
              <w:autoSpaceDE w:val="0"/>
              <w:autoSpaceDN w:val="0"/>
              <w:jc w:val="center"/>
              <w:rPr>
                <w:rFonts w:ascii="Tahoma" w:hAnsi="Tahoma" w:cs="Tahoma"/>
                <w:b/>
                <w:bCs/>
                <w:sz w:val="20"/>
                <w:szCs w:val="20"/>
                <w:lang w:eastAsia="en-US"/>
              </w:rPr>
            </w:pPr>
            <w:r w:rsidRPr="002A040C">
              <w:rPr>
                <w:rFonts w:ascii="Tahoma" w:hAnsi="Tahoma" w:cs="Tahoma"/>
                <w:b/>
                <w:bCs/>
                <w:sz w:val="20"/>
                <w:szCs w:val="20"/>
                <w:lang w:eastAsia="en-US"/>
              </w:rPr>
              <w:t xml:space="preserve">Формула расчета Итоговой процентной ставки (% годовых) в зависимости от срока Вклада </w:t>
            </w:r>
          </w:p>
        </w:tc>
      </w:tr>
      <w:tr w:rsidR="00EA2CBD" w:rsidRPr="002A040C" w14:paraId="0808E2FD" w14:textId="77777777" w:rsidTr="009D1253">
        <w:trPr>
          <w:trHeight w:val="194"/>
        </w:trPr>
        <w:tc>
          <w:tcPr>
            <w:tcW w:w="0" w:type="auto"/>
            <w:vMerge/>
            <w:tcBorders>
              <w:top w:val="single" w:sz="8" w:space="0" w:color="auto"/>
              <w:left w:val="single" w:sz="8" w:space="0" w:color="auto"/>
              <w:bottom w:val="single" w:sz="8" w:space="0" w:color="auto"/>
              <w:right w:val="single" w:sz="8" w:space="0" w:color="auto"/>
            </w:tcBorders>
            <w:vAlign w:val="center"/>
            <w:hideMark/>
          </w:tcPr>
          <w:p w14:paraId="0E440E5F" w14:textId="77777777" w:rsidR="00EA2CBD" w:rsidRPr="002A040C" w:rsidRDefault="00EA2CBD" w:rsidP="009D1253">
            <w:pPr>
              <w:rPr>
                <w:rFonts w:ascii="Tahoma" w:eastAsiaTheme="minorHAnsi" w:hAnsi="Tahoma" w:cs="Tahoma"/>
                <w:b/>
                <w:bCs/>
                <w:sz w:val="20"/>
                <w:szCs w:val="20"/>
                <w:lang w:eastAsia="en-US"/>
              </w:rPr>
            </w:pPr>
          </w:p>
        </w:tc>
        <w:tc>
          <w:tcPr>
            <w:tcW w:w="149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3E800AA" w14:textId="77777777" w:rsidR="00EA2CBD" w:rsidRPr="002A040C" w:rsidRDefault="00EA2CBD" w:rsidP="009D1253">
            <w:pPr>
              <w:autoSpaceDE w:val="0"/>
              <w:autoSpaceDN w:val="0"/>
              <w:jc w:val="center"/>
              <w:rPr>
                <w:rFonts w:ascii="Tahoma" w:hAnsi="Tahoma" w:cs="Tahoma"/>
                <w:b/>
                <w:bCs/>
                <w:sz w:val="20"/>
                <w:szCs w:val="20"/>
                <w:lang w:eastAsia="en-US"/>
              </w:rPr>
            </w:pPr>
            <w:r w:rsidRPr="002A040C">
              <w:rPr>
                <w:rFonts w:ascii="Tahoma" w:hAnsi="Tahoma" w:cs="Tahoma"/>
                <w:b/>
                <w:bCs/>
                <w:sz w:val="20"/>
                <w:szCs w:val="20"/>
                <w:lang w:eastAsia="en-US"/>
              </w:rPr>
              <w:t>Валюта Вклада</w:t>
            </w:r>
          </w:p>
        </w:tc>
        <w:tc>
          <w:tcPr>
            <w:tcW w:w="246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566E75C3" w14:textId="77777777" w:rsidR="00EA2CBD" w:rsidRPr="002A040C" w:rsidRDefault="00EA2CBD" w:rsidP="009D1253">
            <w:pPr>
              <w:autoSpaceDE w:val="0"/>
              <w:autoSpaceDN w:val="0"/>
              <w:jc w:val="center"/>
              <w:rPr>
                <w:rFonts w:ascii="Tahoma" w:hAnsi="Tahoma" w:cs="Tahoma"/>
                <w:b/>
                <w:bCs/>
                <w:sz w:val="20"/>
                <w:szCs w:val="20"/>
                <w:lang w:eastAsia="en-US"/>
              </w:rPr>
            </w:pPr>
            <w:r w:rsidRPr="002A040C">
              <w:rPr>
                <w:rFonts w:ascii="Tahoma" w:hAnsi="Tahoma" w:cs="Tahoma"/>
                <w:b/>
                <w:bCs/>
                <w:sz w:val="20"/>
                <w:szCs w:val="20"/>
                <w:lang w:eastAsia="en-US"/>
              </w:rPr>
              <w:t xml:space="preserve">Минимальная сумма Вклада </w:t>
            </w:r>
          </w:p>
        </w:tc>
        <w:tc>
          <w:tcPr>
            <w:tcW w:w="215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6A8AB47" w14:textId="77777777" w:rsidR="00EA2CBD" w:rsidRPr="002A040C" w:rsidRDefault="00EA2CBD" w:rsidP="009D1253">
            <w:pPr>
              <w:autoSpaceDE w:val="0"/>
              <w:autoSpaceDN w:val="0"/>
              <w:jc w:val="center"/>
              <w:rPr>
                <w:rFonts w:ascii="Tahoma" w:hAnsi="Tahoma" w:cs="Tahoma"/>
                <w:b/>
                <w:bCs/>
                <w:sz w:val="20"/>
                <w:szCs w:val="20"/>
                <w:lang w:eastAsia="en-US"/>
              </w:rPr>
            </w:pPr>
            <w:r w:rsidRPr="002A040C">
              <w:rPr>
                <w:rFonts w:ascii="Tahoma" w:hAnsi="Tahoma" w:cs="Tahoma"/>
                <w:b/>
                <w:bCs/>
                <w:sz w:val="20"/>
                <w:szCs w:val="20"/>
                <w:lang w:eastAsia="en-US"/>
              </w:rPr>
              <w:t>182 дня</w:t>
            </w:r>
          </w:p>
        </w:tc>
        <w:tc>
          <w:tcPr>
            <w:tcW w:w="205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FBFC324" w14:textId="77777777" w:rsidR="00EA2CBD" w:rsidRPr="002A040C" w:rsidRDefault="00EA2CBD" w:rsidP="009D1253">
            <w:pPr>
              <w:autoSpaceDE w:val="0"/>
              <w:autoSpaceDN w:val="0"/>
              <w:jc w:val="center"/>
              <w:rPr>
                <w:rFonts w:ascii="Tahoma" w:hAnsi="Tahoma" w:cs="Tahoma"/>
                <w:b/>
                <w:bCs/>
                <w:sz w:val="20"/>
                <w:szCs w:val="20"/>
                <w:lang w:eastAsia="en-US"/>
              </w:rPr>
            </w:pPr>
            <w:r w:rsidRPr="002A040C">
              <w:rPr>
                <w:rFonts w:ascii="Tahoma" w:hAnsi="Tahoma" w:cs="Tahoma"/>
                <w:b/>
                <w:bCs/>
                <w:sz w:val="20"/>
                <w:szCs w:val="20"/>
                <w:lang w:eastAsia="en-US"/>
              </w:rPr>
              <w:t>367 дней</w:t>
            </w:r>
          </w:p>
        </w:tc>
        <w:tc>
          <w:tcPr>
            <w:tcW w:w="193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AAE420D" w14:textId="77777777" w:rsidR="00EA2CBD" w:rsidRPr="002A040C" w:rsidRDefault="00EA2CBD" w:rsidP="009D1253">
            <w:pPr>
              <w:autoSpaceDE w:val="0"/>
              <w:autoSpaceDN w:val="0"/>
              <w:jc w:val="center"/>
              <w:rPr>
                <w:rFonts w:ascii="Tahoma" w:hAnsi="Tahoma" w:cs="Tahoma"/>
                <w:b/>
                <w:bCs/>
                <w:sz w:val="20"/>
                <w:szCs w:val="20"/>
                <w:lang w:eastAsia="en-US"/>
              </w:rPr>
            </w:pPr>
            <w:r w:rsidRPr="002A040C">
              <w:rPr>
                <w:rFonts w:ascii="Tahoma" w:hAnsi="Tahoma" w:cs="Tahoma"/>
                <w:b/>
                <w:bCs/>
                <w:sz w:val="20"/>
                <w:szCs w:val="20"/>
                <w:lang w:eastAsia="en-US"/>
              </w:rPr>
              <w:t>731 день</w:t>
            </w:r>
          </w:p>
        </w:tc>
        <w:tc>
          <w:tcPr>
            <w:tcW w:w="168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A28BDDE" w14:textId="77777777" w:rsidR="00EA2CBD" w:rsidRPr="002A040C" w:rsidRDefault="00EA2CBD" w:rsidP="009D1253">
            <w:pPr>
              <w:autoSpaceDE w:val="0"/>
              <w:autoSpaceDN w:val="0"/>
              <w:jc w:val="center"/>
              <w:rPr>
                <w:rFonts w:ascii="Tahoma" w:hAnsi="Tahoma" w:cs="Tahoma"/>
                <w:b/>
                <w:bCs/>
                <w:sz w:val="20"/>
                <w:szCs w:val="20"/>
                <w:lang w:eastAsia="en-US"/>
              </w:rPr>
            </w:pPr>
            <w:r w:rsidRPr="002A040C">
              <w:rPr>
                <w:rFonts w:ascii="Tahoma" w:hAnsi="Tahoma" w:cs="Tahoma"/>
                <w:b/>
                <w:bCs/>
                <w:sz w:val="20"/>
                <w:szCs w:val="20"/>
                <w:lang w:eastAsia="en-US"/>
              </w:rPr>
              <w:t>1098 дней</w:t>
            </w:r>
          </w:p>
        </w:tc>
      </w:tr>
      <w:tr w:rsidR="00EA2CBD" w:rsidRPr="002A040C" w14:paraId="6B4732ED" w14:textId="77777777" w:rsidTr="009D1253">
        <w:trPr>
          <w:trHeight w:val="146"/>
        </w:trPr>
        <w:tc>
          <w:tcPr>
            <w:tcW w:w="318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7F8C8C5" w14:textId="77777777" w:rsidR="00EA2CBD" w:rsidRPr="002A040C" w:rsidRDefault="00EA2CBD" w:rsidP="009D1253">
            <w:pPr>
              <w:autoSpaceDE w:val="0"/>
              <w:autoSpaceDN w:val="0"/>
              <w:jc w:val="center"/>
              <w:rPr>
                <w:rFonts w:ascii="Tahoma" w:hAnsi="Tahoma" w:cs="Tahoma"/>
                <w:sz w:val="20"/>
                <w:szCs w:val="20"/>
                <w:lang w:eastAsia="en-US"/>
              </w:rPr>
            </w:pPr>
            <w:r w:rsidRPr="002A040C">
              <w:rPr>
                <w:rFonts w:ascii="Tahoma" w:hAnsi="Tahoma" w:cs="Tahoma"/>
                <w:sz w:val="20"/>
                <w:szCs w:val="20"/>
                <w:lang w:eastAsia="en-US"/>
              </w:rPr>
              <w:t>Все категории клиентов</w:t>
            </w:r>
          </w:p>
        </w:tc>
        <w:tc>
          <w:tcPr>
            <w:tcW w:w="1493" w:type="dxa"/>
            <w:vMerge w:val="restart"/>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E3B04A1" w14:textId="77777777" w:rsidR="00EA2CBD" w:rsidRPr="002A040C" w:rsidRDefault="00EA2CBD" w:rsidP="009D1253">
            <w:pPr>
              <w:autoSpaceDE w:val="0"/>
              <w:autoSpaceDN w:val="0"/>
              <w:jc w:val="center"/>
              <w:rPr>
                <w:rFonts w:ascii="Tahoma" w:hAnsi="Tahoma" w:cs="Tahoma"/>
                <w:sz w:val="20"/>
                <w:szCs w:val="20"/>
                <w:lang w:eastAsia="en-US"/>
              </w:rPr>
            </w:pPr>
            <w:r w:rsidRPr="002A040C">
              <w:rPr>
                <w:rFonts w:ascii="Tahoma" w:hAnsi="Tahoma" w:cs="Tahoma"/>
                <w:sz w:val="20"/>
                <w:szCs w:val="20"/>
                <w:lang w:eastAsia="en-US"/>
              </w:rPr>
              <w:t>рубли</w:t>
            </w:r>
          </w:p>
        </w:tc>
        <w:tc>
          <w:tcPr>
            <w:tcW w:w="246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92D973D" w14:textId="77777777" w:rsidR="00EA2CBD" w:rsidRPr="002A040C" w:rsidRDefault="00EA2CBD" w:rsidP="009D1253">
            <w:pPr>
              <w:autoSpaceDE w:val="0"/>
              <w:autoSpaceDN w:val="0"/>
              <w:jc w:val="center"/>
              <w:rPr>
                <w:rFonts w:ascii="Tahoma" w:hAnsi="Tahoma" w:cs="Tahoma"/>
                <w:sz w:val="20"/>
                <w:szCs w:val="20"/>
                <w:lang w:eastAsia="en-US"/>
              </w:rPr>
            </w:pPr>
            <w:r w:rsidRPr="002A040C">
              <w:rPr>
                <w:rFonts w:ascii="Tahoma" w:hAnsi="Tahoma" w:cs="Tahoma"/>
                <w:sz w:val="20"/>
                <w:szCs w:val="20"/>
                <w:lang w:eastAsia="en-US"/>
              </w:rPr>
              <w:t>50 000</w:t>
            </w:r>
          </w:p>
        </w:tc>
        <w:tc>
          <w:tcPr>
            <w:tcW w:w="215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50FD7A7" w14:textId="77777777" w:rsidR="00EA2CBD" w:rsidRPr="002A040C" w:rsidRDefault="00EA2CBD" w:rsidP="009D1253">
            <w:pPr>
              <w:autoSpaceDE w:val="0"/>
              <w:autoSpaceDN w:val="0"/>
              <w:jc w:val="center"/>
              <w:rPr>
                <w:rFonts w:ascii="Tahoma" w:hAnsi="Tahoma" w:cs="Tahoma"/>
                <w:sz w:val="20"/>
                <w:szCs w:val="20"/>
                <w:lang w:eastAsia="en-US"/>
              </w:rPr>
            </w:pPr>
            <w:r w:rsidRPr="002A040C">
              <w:rPr>
                <w:rFonts w:ascii="Tahoma" w:hAnsi="Tahoma" w:cs="Tahoma"/>
                <w:sz w:val="20"/>
                <w:szCs w:val="20"/>
                <w:lang w:eastAsia="en-US"/>
              </w:rPr>
              <w:t xml:space="preserve">КС минус </w:t>
            </w:r>
            <w:r>
              <w:rPr>
                <w:rFonts w:ascii="Tahoma" w:hAnsi="Tahoma" w:cs="Tahoma"/>
                <w:sz w:val="20"/>
                <w:szCs w:val="20"/>
                <w:lang w:eastAsia="en-US"/>
              </w:rPr>
              <w:t>1</w:t>
            </w:r>
            <w:r w:rsidRPr="002A040C">
              <w:rPr>
                <w:rFonts w:ascii="Tahoma" w:hAnsi="Tahoma" w:cs="Tahoma"/>
                <w:sz w:val="20"/>
                <w:szCs w:val="20"/>
                <w:lang w:eastAsia="en-US"/>
              </w:rPr>
              <w:t>% годовых</w:t>
            </w:r>
          </w:p>
        </w:tc>
        <w:tc>
          <w:tcPr>
            <w:tcW w:w="205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BD0E8FF" w14:textId="77777777" w:rsidR="00EA2CBD" w:rsidRPr="002A040C" w:rsidRDefault="00EA2CBD" w:rsidP="009D1253">
            <w:pPr>
              <w:autoSpaceDE w:val="0"/>
              <w:autoSpaceDN w:val="0"/>
              <w:jc w:val="center"/>
              <w:rPr>
                <w:rFonts w:ascii="Tahoma" w:hAnsi="Tahoma" w:cs="Tahoma"/>
                <w:sz w:val="20"/>
                <w:szCs w:val="20"/>
                <w:lang w:eastAsia="en-US"/>
              </w:rPr>
            </w:pPr>
            <w:r w:rsidRPr="002A040C">
              <w:rPr>
                <w:rFonts w:ascii="Tahoma" w:hAnsi="Tahoma" w:cs="Tahoma"/>
                <w:sz w:val="20"/>
                <w:szCs w:val="20"/>
                <w:lang w:eastAsia="en-US"/>
              </w:rPr>
              <w:t xml:space="preserve">КС минус </w:t>
            </w:r>
            <w:r>
              <w:rPr>
                <w:rFonts w:ascii="Tahoma" w:hAnsi="Tahoma" w:cs="Tahoma"/>
                <w:sz w:val="20"/>
                <w:szCs w:val="20"/>
                <w:lang w:eastAsia="en-US"/>
              </w:rPr>
              <w:t>1</w:t>
            </w:r>
            <w:r w:rsidRPr="002A040C">
              <w:rPr>
                <w:rFonts w:ascii="Tahoma" w:hAnsi="Tahoma" w:cs="Tahoma"/>
                <w:sz w:val="20"/>
                <w:szCs w:val="20"/>
                <w:lang w:eastAsia="en-US"/>
              </w:rPr>
              <w:t>% годовых</w:t>
            </w:r>
          </w:p>
        </w:tc>
        <w:tc>
          <w:tcPr>
            <w:tcW w:w="193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8877BD7" w14:textId="77777777" w:rsidR="00EA2CBD" w:rsidRPr="002A040C" w:rsidRDefault="00EA2CBD" w:rsidP="009D1253">
            <w:pPr>
              <w:autoSpaceDE w:val="0"/>
              <w:autoSpaceDN w:val="0"/>
              <w:jc w:val="center"/>
              <w:rPr>
                <w:rFonts w:ascii="Tahoma" w:hAnsi="Tahoma" w:cs="Tahoma"/>
                <w:sz w:val="20"/>
                <w:szCs w:val="20"/>
                <w:lang w:eastAsia="en-US"/>
              </w:rPr>
            </w:pPr>
            <w:r w:rsidRPr="002A040C">
              <w:rPr>
                <w:rFonts w:ascii="Tahoma" w:hAnsi="Tahoma" w:cs="Tahoma"/>
                <w:sz w:val="20"/>
                <w:szCs w:val="20"/>
                <w:lang w:eastAsia="en-US"/>
              </w:rPr>
              <w:t>К</w:t>
            </w:r>
            <w:r>
              <w:rPr>
                <w:rFonts w:ascii="Tahoma" w:hAnsi="Tahoma" w:cs="Tahoma"/>
                <w:sz w:val="20"/>
                <w:szCs w:val="20"/>
                <w:lang w:eastAsia="en-US"/>
              </w:rPr>
              <w:t>С</w:t>
            </w:r>
            <w:r w:rsidRPr="002A040C">
              <w:rPr>
                <w:rFonts w:ascii="Tahoma" w:hAnsi="Tahoma" w:cs="Tahoma"/>
                <w:sz w:val="20"/>
                <w:szCs w:val="20"/>
                <w:lang w:eastAsia="en-US"/>
              </w:rPr>
              <w:t xml:space="preserve"> минус </w:t>
            </w:r>
            <w:r>
              <w:rPr>
                <w:rFonts w:ascii="Tahoma" w:hAnsi="Tahoma" w:cs="Tahoma"/>
                <w:sz w:val="20"/>
                <w:szCs w:val="20"/>
                <w:lang w:eastAsia="en-US"/>
              </w:rPr>
              <w:t>1</w:t>
            </w:r>
            <w:r w:rsidRPr="002A040C">
              <w:rPr>
                <w:rFonts w:ascii="Tahoma" w:hAnsi="Tahoma" w:cs="Tahoma"/>
                <w:sz w:val="20"/>
                <w:szCs w:val="20"/>
                <w:lang w:eastAsia="en-US"/>
              </w:rPr>
              <w:t>% годовых</w:t>
            </w:r>
          </w:p>
        </w:tc>
        <w:tc>
          <w:tcPr>
            <w:tcW w:w="168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0A6D507" w14:textId="77777777" w:rsidR="00EA2CBD" w:rsidRPr="002A040C" w:rsidRDefault="00EA2CBD" w:rsidP="009D1253">
            <w:pPr>
              <w:autoSpaceDE w:val="0"/>
              <w:autoSpaceDN w:val="0"/>
              <w:jc w:val="center"/>
              <w:rPr>
                <w:rFonts w:ascii="Tahoma" w:hAnsi="Tahoma" w:cs="Tahoma"/>
                <w:sz w:val="20"/>
                <w:szCs w:val="20"/>
                <w:lang w:eastAsia="en-US"/>
              </w:rPr>
            </w:pPr>
            <w:r w:rsidRPr="002A040C">
              <w:rPr>
                <w:rFonts w:ascii="Tahoma" w:hAnsi="Tahoma" w:cs="Tahoma"/>
                <w:sz w:val="20"/>
                <w:szCs w:val="20"/>
                <w:lang w:eastAsia="en-US"/>
              </w:rPr>
              <w:t xml:space="preserve">КС минус </w:t>
            </w:r>
            <w:r>
              <w:rPr>
                <w:rFonts w:ascii="Tahoma" w:hAnsi="Tahoma" w:cs="Tahoma"/>
                <w:sz w:val="20"/>
                <w:szCs w:val="20"/>
                <w:lang w:eastAsia="en-US"/>
              </w:rPr>
              <w:t>1</w:t>
            </w:r>
            <w:r w:rsidRPr="002A040C">
              <w:rPr>
                <w:rFonts w:ascii="Tahoma" w:hAnsi="Tahoma" w:cs="Tahoma"/>
                <w:sz w:val="20"/>
                <w:szCs w:val="20"/>
                <w:lang w:eastAsia="en-US"/>
              </w:rPr>
              <w:t>% г</w:t>
            </w:r>
            <w:r>
              <w:rPr>
                <w:rFonts w:ascii="Tahoma" w:hAnsi="Tahoma" w:cs="Tahoma"/>
                <w:sz w:val="20"/>
                <w:szCs w:val="20"/>
                <w:lang w:eastAsia="en-US"/>
              </w:rPr>
              <w:t>о</w:t>
            </w:r>
            <w:r w:rsidRPr="002A040C">
              <w:rPr>
                <w:rFonts w:ascii="Tahoma" w:hAnsi="Tahoma" w:cs="Tahoma"/>
                <w:sz w:val="20"/>
                <w:szCs w:val="20"/>
                <w:lang w:eastAsia="en-US"/>
              </w:rPr>
              <w:t>довых</w:t>
            </w:r>
          </w:p>
        </w:tc>
      </w:tr>
      <w:tr w:rsidR="00EA2CBD" w:rsidRPr="002A040C" w14:paraId="0D3EC1DD" w14:textId="77777777" w:rsidTr="009D1253">
        <w:trPr>
          <w:trHeight w:val="166"/>
        </w:trPr>
        <w:tc>
          <w:tcPr>
            <w:tcW w:w="0" w:type="auto"/>
            <w:vMerge/>
            <w:tcBorders>
              <w:top w:val="nil"/>
              <w:left w:val="single" w:sz="8" w:space="0" w:color="auto"/>
              <w:bottom w:val="single" w:sz="8" w:space="0" w:color="auto"/>
              <w:right w:val="single" w:sz="8" w:space="0" w:color="auto"/>
            </w:tcBorders>
            <w:vAlign w:val="center"/>
            <w:hideMark/>
          </w:tcPr>
          <w:p w14:paraId="25798F95" w14:textId="77777777" w:rsidR="00EA2CBD" w:rsidRPr="002A040C" w:rsidRDefault="00EA2CBD" w:rsidP="009D1253">
            <w:pPr>
              <w:rPr>
                <w:rFonts w:ascii="Tahoma" w:eastAsiaTheme="minorHAnsi" w:hAnsi="Tahoma" w:cs="Tahoma"/>
                <w:sz w:val="20"/>
                <w:szCs w:val="20"/>
                <w:lang w:eastAsia="en-US"/>
              </w:rPr>
            </w:pPr>
          </w:p>
        </w:tc>
        <w:tc>
          <w:tcPr>
            <w:tcW w:w="0" w:type="auto"/>
            <w:vMerge/>
            <w:tcBorders>
              <w:top w:val="nil"/>
              <w:left w:val="nil"/>
              <w:bottom w:val="single" w:sz="8" w:space="0" w:color="auto"/>
              <w:right w:val="single" w:sz="8" w:space="0" w:color="auto"/>
            </w:tcBorders>
            <w:vAlign w:val="center"/>
            <w:hideMark/>
          </w:tcPr>
          <w:p w14:paraId="438606BE" w14:textId="77777777" w:rsidR="00EA2CBD" w:rsidRPr="002A040C" w:rsidRDefault="00EA2CBD" w:rsidP="009D1253">
            <w:pPr>
              <w:rPr>
                <w:rFonts w:ascii="Tahoma" w:eastAsiaTheme="minorHAnsi" w:hAnsi="Tahoma" w:cs="Tahoma"/>
                <w:sz w:val="20"/>
                <w:szCs w:val="20"/>
                <w:lang w:eastAsia="en-US"/>
              </w:rPr>
            </w:pPr>
          </w:p>
        </w:tc>
        <w:tc>
          <w:tcPr>
            <w:tcW w:w="10294" w:type="dxa"/>
            <w:gridSpan w:val="5"/>
            <w:tcBorders>
              <w:top w:val="nil"/>
              <w:left w:val="nil"/>
              <w:bottom w:val="single" w:sz="8" w:space="0" w:color="auto"/>
              <w:right w:val="single" w:sz="8" w:space="0" w:color="auto"/>
            </w:tcBorders>
            <w:tcMar>
              <w:top w:w="0" w:type="dxa"/>
              <w:left w:w="108" w:type="dxa"/>
              <w:bottom w:w="0" w:type="dxa"/>
              <w:right w:w="108" w:type="dxa"/>
            </w:tcMar>
            <w:hideMark/>
          </w:tcPr>
          <w:p w14:paraId="07BD8909" w14:textId="77777777" w:rsidR="00EA2CBD" w:rsidRPr="002A040C" w:rsidRDefault="00EA2CBD" w:rsidP="009D1253">
            <w:pPr>
              <w:autoSpaceDE w:val="0"/>
              <w:autoSpaceDN w:val="0"/>
              <w:jc w:val="center"/>
              <w:rPr>
                <w:rFonts w:ascii="Tahoma" w:hAnsi="Tahoma" w:cs="Tahoma"/>
                <w:sz w:val="20"/>
                <w:szCs w:val="20"/>
                <w:lang w:eastAsia="en-US"/>
              </w:rPr>
            </w:pPr>
            <w:r w:rsidRPr="002A040C">
              <w:rPr>
                <w:rFonts w:ascii="Tahoma" w:hAnsi="Tahoma" w:cs="Tahoma"/>
                <w:sz w:val="20"/>
                <w:szCs w:val="20"/>
                <w:lang w:eastAsia="en-US"/>
              </w:rPr>
              <w:t>Итоговая процентная ставка (% годовых) в зависимости о</w:t>
            </w:r>
            <w:r>
              <w:rPr>
                <w:rFonts w:ascii="Tahoma" w:hAnsi="Tahoma" w:cs="Tahoma"/>
                <w:sz w:val="20"/>
                <w:szCs w:val="20"/>
                <w:lang w:eastAsia="en-US"/>
              </w:rPr>
              <w:t>т срока Вклада при значении КС 21</w:t>
            </w:r>
            <w:r w:rsidRPr="002A040C">
              <w:rPr>
                <w:rFonts w:ascii="Tahoma" w:hAnsi="Tahoma" w:cs="Tahoma"/>
                <w:sz w:val="20"/>
                <w:szCs w:val="20"/>
                <w:lang w:eastAsia="en-US"/>
              </w:rPr>
              <w:t xml:space="preserve">% годовых, действующем с </w:t>
            </w:r>
            <w:r>
              <w:rPr>
                <w:rFonts w:ascii="Tahoma" w:hAnsi="Tahoma" w:cs="Tahoma"/>
                <w:sz w:val="20"/>
                <w:szCs w:val="20"/>
                <w:lang w:eastAsia="en-US"/>
              </w:rPr>
              <w:t>28.10</w:t>
            </w:r>
            <w:r w:rsidRPr="002A040C">
              <w:rPr>
                <w:rFonts w:ascii="Tahoma" w:hAnsi="Tahoma" w:cs="Tahoma"/>
                <w:sz w:val="20"/>
                <w:szCs w:val="20"/>
                <w:lang w:eastAsia="en-US"/>
              </w:rPr>
              <w:t>.2024г. / с учетом капитализации процентов (причисления процентов к основной сумме Вклада)*</w:t>
            </w:r>
          </w:p>
        </w:tc>
      </w:tr>
      <w:tr w:rsidR="00EA2CBD" w:rsidRPr="002A040C" w14:paraId="1782B6A8" w14:textId="77777777" w:rsidTr="009D1253">
        <w:trPr>
          <w:trHeight w:val="166"/>
        </w:trPr>
        <w:tc>
          <w:tcPr>
            <w:tcW w:w="0" w:type="auto"/>
            <w:vMerge/>
            <w:tcBorders>
              <w:top w:val="nil"/>
              <w:left w:val="single" w:sz="8" w:space="0" w:color="auto"/>
              <w:bottom w:val="single" w:sz="8" w:space="0" w:color="auto"/>
              <w:right w:val="single" w:sz="8" w:space="0" w:color="auto"/>
            </w:tcBorders>
            <w:vAlign w:val="center"/>
            <w:hideMark/>
          </w:tcPr>
          <w:p w14:paraId="3B9FF97A" w14:textId="77777777" w:rsidR="00EA2CBD" w:rsidRPr="002A040C" w:rsidRDefault="00EA2CBD" w:rsidP="009D1253">
            <w:pPr>
              <w:rPr>
                <w:rFonts w:ascii="Tahoma" w:eastAsiaTheme="minorHAnsi" w:hAnsi="Tahoma" w:cs="Tahoma"/>
                <w:sz w:val="20"/>
                <w:szCs w:val="20"/>
                <w:lang w:eastAsia="en-US"/>
              </w:rPr>
            </w:pPr>
          </w:p>
        </w:tc>
        <w:tc>
          <w:tcPr>
            <w:tcW w:w="0" w:type="auto"/>
            <w:vMerge/>
            <w:tcBorders>
              <w:top w:val="nil"/>
              <w:left w:val="nil"/>
              <w:bottom w:val="single" w:sz="8" w:space="0" w:color="auto"/>
              <w:right w:val="single" w:sz="8" w:space="0" w:color="auto"/>
            </w:tcBorders>
            <w:vAlign w:val="center"/>
            <w:hideMark/>
          </w:tcPr>
          <w:p w14:paraId="03328E06" w14:textId="77777777" w:rsidR="00EA2CBD" w:rsidRPr="002A040C" w:rsidRDefault="00EA2CBD" w:rsidP="009D1253">
            <w:pPr>
              <w:rPr>
                <w:rFonts w:ascii="Tahoma" w:eastAsiaTheme="minorHAnsi" w:hAnsi="Tahoma" w:cs="Tahoma"/>
                <w:sz w:val="20"/>
                <w:szCs w:val="20"/>
                <w:lang w:eastAsia="en-US"/>
              </w:rPr>
            </w:pPr>
          </w:p>
        </w:tc>
        <w:tc>
          <w:tcPr>
            <w:tcW w:w="246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57F2158" w14:textId="77777777" w:rsidR="00EA2CBD" w:rsidRPr="002A040C" w:rsidRDefault="00EA2CBD" w:rsidP="009D1253">
            <w:pPr>
              <w:autoSpaceDE w:val="0"/>
              <w:autoSpaceDN w:val="0"/>
              <w:jc w:val="center"/>
              <w:rPr>
                <w:rFonts w:ascii="Tahoma" w:hAnsi="Tahoma" w:cs="Tahoma"/>
                <w:sz w:val="20"/>
                <w:szCs w:val="20"/>
                <w:lang w:eastAsia="en-US"/>
              </w:rPr>
            </w:pPr>
            <w:r w:rsidRPr="002A040C">
              <w:rPr>
                <w:rFonts w:ascii="Tahoma" w:hAnsi="Tahoma" w:cs="Tahoma"/>
                <w:sz w:val="20"/>
                <w:szCs w:val="20"/>
                <w:lang w:eastAsia="en-US"/>
              </w:rPr>
              <w:t>50 000</w:t>
            </w:r>
          </w:p>
        </w:tc>
        <w:tc>
          <w:tcPr>
            <w:tcW w:w="2158" w:type="dxa"/>
            <w:tcBorders>
              <w:top w:val="nil"/>
              <w:left w:val="nil"/>
              <w:bottom w:val="single" w:sz="8" w:space="0" w:color="auto"/>
              <w:right w:val="single" w:sz="8" w:space="0" w:color="auto"/>
            </w:tcBorders>
            <w:tcMar>
              <w:top w:w="0" w:type="dxa"/>
              <w:left w:w="108" w:type="dxa"/>
              <w:bottom w:w="0" w:type="dxa"/>
              <w:right w:w="108" w:type="dxa"/>
            </w:tcMar>
            <w:hideMark/>
          </w:tcPr>
          <w:p w14:paraId="392F0A68" w14:textId="77777777" w:rsidR="00EA2CBD" w:rsidRPr="002A040C" w:rsidRDefault="00EA2CBD" w:rsidP="009D1253">
            <w:pPr>
              <w:autoSpaceDE w:val="0"/>
              <w:autoSpaceDN w:val="0"/>
              <w:jc w:val="center"/>
              <w:rPr>
                <w:rFonts w:ascii="Tahoma" w:hAnsi="Tahoma" w:cs="Tahoma"/>
                <w:sz w:val="20"/>
                <w:szCs w:val="20"/>
                <w:lang w:eastAsia="en-US"/>
              </w:rPr>
            </w:pPr>
            <w:r>
              <w:rPr>
                <w:rFonts w:ascii="Tahoma" w:hAnsi="Tahoma" w:cs="Tahoma"/>
                <w:sz w:val="20"/>
                <w:szCs w:val="20"/>
                <w:lang w:eastAsia="en-US"/>
              </w:rPr>
              <w:t>20</w:t>
            </w:r>
            <w:r w:rsidRPr="00621191">
              <w:rPr>
                <w:rFonts w:ascii="Tahoma" w:hAnsi="Tahoma" w:cs="Tahoma"/>
                <w:sz w:val="20"/>
                <w:szCs w:val="20"/>
                <w:lang w:eastAsia="en-US"/>
              </w:rPr>
              <w:t>,000/</w:t>
            </w:r>
            <w:r>
              <w:rPr>
                <w:rFonts w:ascii="Tahoma" w:hAnsi="Tahoma" w:cs="Tahoma"/>
                <w:sz w:val="20"/>
                <w:szCs w:val="20"/>
                <w:lang w:eastAsia="en-US"/>
              </w:rPr>
              <w:t>20,849</w:t>
            </w:r>
          </w:p>
        </w:tc>
        <w:tc>
          <w:tcPr>
            <w:tcW w:w="2055" w:type="dxa"/>
            <w:tcBorders>
              <w:top w:val="nil"/>
              <w:left w:val="nil"/>
              <w:bottom w:val="single" w:sz="8" w:space="0" w:color="auto"/>
              <w:right w:val="single" w:sz="8" w:space="0" w:color="auto"/>
            </w:tcBorders>
            <w:tcMar>
              <w:top w:w="0" w:type="dxa"/>
              <w:left w:w="108" w:type="dxa"/>
              <w:bottom w:w="0" w:type="dxa"/>
              <w:right w:w="108" w:type="dxa"/>
            </w:tcMar>
            <w:hideMark/>
          </w:tcPr>
          <w:p w14:paraId="5CAF15AA" w14:textId="77777777" w:rsidR="00EA2CBD" w:rsidRPr="002A040C" w:rsidRDefault="00EA2CBD" w:rsidP="009D1253">
            <w:pPr>
              <w:autoSpaceDE w:val="0"/>
              <w:autoSpaceDN w:val="0"/>
              <w:jc w:val="center"/>
              <w:rPr>
                <w:rFonts w:ascii="Tahoma" w:hAnsi="Tahoma" w:cs="Tahoma"/>
                <w:sz w:val="20"/>
                <w:szCs w:val="20"/>
                <w:lang w:eastAsia="en-US"/>
              </w:rPr>
            </w:pPr>
            <w:r>
              <w:rPr>
                <w:rFonts w:ascii="Tahoma" w:hAnsi="Tahoma" w:cs="Tahoma"/>
                <w:sz w:val="20"/>
                <w:szCs w:val="20"/>
                <w:lang w:eastAsia="en-US"/>
              </w:rPr>
              <w:t>20</w:t>
            </w:r>
            <w:r w:rsidRPr="00621191">
              <w:rPr>
                <w:rFonts w:ascii="Tahoma" w:hAnsi="Tahoma" w:cs="Tahoma"/>
                <w:sz w:val="20"/>
                <w:szCs w:val="20"/>
                <w:lang w:eastAsia="en-US"/>
              </w:rPr>
              <w:t>,000/</w:t>
            </w:r>
            <w:r>
              <w:rPr>
                <w:rFonts w:ascii="Tahoma" w:hAnsi="Tahoma" w:cs="Tahoma"/>
                <w:sz w:val="20"/>
                <w:szCs w:val="20"/>
                <w:lang w:eastAsia="en-US"/>
              </w:rPr>
              <w:t>21,951</w:t>
            </w:r>
          </w:p>
        </w:tc>
        <w:tc>
          <w:tcPr>
            <w:tcW w:w="1932" w:type="dxa"/>
            <w:tcBorders>
              <w:top w:val="nil"/>
              <w:left w:val="nil"/>
              <w:bottom w:val="single" w:sz="8" w:space="0" w:color="auto"/>
              <w:right w:val="single" w:sz="8" w:space="0" w:color="auto"/>
            </w:tcBorders>
            <w:tcMar>
              <w:top w:w="0" w:type="dxa"/>
              <w:left w:w="108" w:type="dxa"/>
              <w:bottom w:w="0" w:type="dxa"/>
              <w:right w:w="108" w:type="dxa"/>
            </w:tcMar>
            <w:hideMark/>
          </w:tcPr>
          <w:p w14:paraId="43DF0B73" w14:textId="77777777" w:rsidR="00EA2CBD" w:rsidRPr="002A040C" w:rsidRDefault="00EA2CBD" w:rsidP="009D1253">
            <w:pPr>
              <w:autoSpaceDE w:val="0"/>
              <w:autoSpaceDN w:val="0"/>
              <w:jc w:val="center"/>
              <w:rPr>
                <w:rFonts w:ascii="Tahoma" w:hAnsi="Tahoma" w:cs="Tahoma"/>
                <w:sz w:val="20"/>
                <w:szCs w:val="20"/>
                <w:lang w:eastAsia="en-US"/>
              </w:rPr>
            </w:pPr>
            <w:r>
              <w:rPr>
                <w:rFonts w:ascii="Tahoma" w:hAnsi="Tahoma" w:cs="Tahoma"/>
                <w:sz w:val="20"/>
                <w:szCs w:val="20"/>
                <w:lang w:eastAsia="en-US"/>
              </w:rPr>
              <w:t>20</w:t>
            </w:r>
            <w:r w:rsidRPr="00621191">
              <w:rPr>
                <w:rFonts w:ascii="Tahoma" w:hAnsi="Tahoma" w:cs="Tahoma"/>
                <w:sz w:val="20"/>
                <w:szCs w:val="20"/>
                <w:lang w:eastAsia="en-US"/>
              </w:rPr>
              <w:t>,000/</w:t>
            </w:r>
            <w:r>
              <w:rPr>
                <w:rFonts w:ascii="Tahoma" w:hAnsi="Tahoma" w:cs="Tahoma"/>
                <w:sz w:val="20"/>
                <w:szCs w:val="20"/>
                <w:lang w:eastAsia="en-US"/>
              </w:rPr>
              <w:t>24,352</w:t>
            </w:r>
          </w:p>
        </w:tc>
        <w:tc>
          <w:tcPr>
            <w:tcW w:w="1681" w:type="dxa"/>
            <w:tcBorders>
              <w:top w:val="nil"/>
              <w:left w:val="nil"/>
              <w:bottom w:val="single" w:sz="8" w:space="0" w:color="auto"/>
              <w:right w:val="single" w:sz="8" w:space="0" w:color="auto"/>
            </w:tcBorders>
            <w:tcMar>
              <w:top w:w="0" w:type="dxa"/>
              <w:left w:w="108" w:type="dxa"/>
              <w:bottom w:w="0" w:type="dxa"/>
              <w:right w:w="108" w:type="dxa"/>
            </w:tcMar>
            <w:hideMark/>
          </w:tcPr>
          <w:p w14:paraId="5EC71BCF" w14:textId="77777777" w:rsidR="00EA2CBD" w:rsidRPr="002A040C" w:rsidRDefault="00EA2CBD" w:rsidP="009D1253">
            <w:pPr>
              <w:autoSpaceDE w:val="0"/>
              <w:autoSpaceDN w:val="0"/>
              <w:jc w:val="center"/>
              <w:rPr>
                <w:rFonts w:ascii="Tahoma" w:hAnsi="Tahoma" w:cs="Tahoma"/>
                <w:sz w:val="20"/>
                <w:szCs w:val="20"/>
                <w:lang w:eastAsia="en-US"/>
              </w:rPr>
            </w:pPr>
            <w:r>
              <w:rPr>
                <w:rFonts w:ascii="Tahoma" w:hAnsi="Tahoma" w:cs="Tahoma"/>
                <w:sz w:val="20"/>
                <w:szCs w:val="20"/>
                <w:lang w:eastAsia="en-US"/>
              </w:rPr>
              <w:t>20</w:t>
            </w:r>
            <w:r w:rsidRPr="00621191">
              <w:rPr>
                <w:rFonts w:ascii="Tahoma" w:hAnsi="Tahoma" w:cs="Tahoma"/>
                <w:sz w:val="20"/>
                <w:szCs w:val="20"/>
                <w:lang w:eastAsia="en-US"/>
              </w:rPr>
              <w:t>,000/</w:t>
            </w:r>
            <w:r>
              <w:rPr>
                <w:rFonts w:ascii="Tahoma" w:hAnsi="Tahoma" w:cs="Tahoma"/>
                <w:sz w:val="20"/>
                <w:szCs w:val="20"/>
                <w:lang w:eastAsia="en-US"/>
              </w:rPr>
              <w:t>27,128</w:t>
            </w:r>
          </w:p>
        </w:tc>
      </w:tr>
    </w:tbl>
    <w:p w14:paraId="0CA61870" w14:textId="77777777" w:rsidR="00EA2CBD" w:rsidRPr="00616185" w:rsidRDefault="00EA2CBD" w:rsidP="00EA2CBD">
      <w:pPr>
        <w:jc w:val="both"/>
        <w:rPr>
          <w:rFonts w:ascii="Tahoma" w:hAnsi="Tahoma" w:cs="Tahoma"/>
          <w:sz w:val="20"/>
          <w:szCs w:val="20"/>
        </w:rPr>
      </w:pPr>
      <w:r w:rsidRPr="00616185">
        <w:rPr>
          <w:rFonts w:ascii="Tahoma" w:hAnsi="Tahoma" w:cs="Tahoma"/>
          <w:bCs/>
          <w:sz w:val="20"/>
          <w:szCs w:val="20"/>
        </w:rPr>
        <w:t>*через «/» указан размер Итоговой процентной ставки</w:t>
      </w:r>
      <w:r w:rsidRPr="00616185">
        <w:rPr>
          <w:rFonts w:ascii="Tahoma" w:hAnsi="Tahoma" w:cs="Tahoma"/>
          <w:sz w:val="20"/>
          <w:szCs w:val="20"/>
        </w:rPr>
        <w:t xml:space="preserve"> с учетом капитализации процентов, который рассчитывается в автоматизированной системе Банка в дату оформления Договора Вклада и может отличаться от указанных значений.</w:t>
      </w:r>
    </w:p>
    <w:p w14:paraId="5B042626" w14:textId="77777777" w:rsidR="00EA2CBD" w:rsidRDefault="00EA2CBD" w:rsidP="00EA2CBD">
      <w:pPr>
        <w:autoSpaceDE w:val="0"/>
        <w:autoSpaceDN w:val="0"/>
        <w:rPr>
          <w:rFonts w:ascii="Tahoma" w:hAnsi="Tahoma" w:cs="Tahoma"/>
          <w:b/>
          <w:bCs/>
          <w:sz w:val="22"/>
          <w:szCs w:val="22"/>
        </w:rPr>
      </w:pPr>
    </w:p>
    <w:p w14:paraId="4938791D" w14:textId="77777777" w:rsidR="00EA2CBD" w:rsidRPr="002A040C" w:rsidRDefault="00EA2CBD" w:rsidP="00EA2CBD">
      <w:pPr>
        <w:autoSpaceDE w:val="0"/>
        <w:autoSpaceDN w:val="0"/>
        <w:rPr>
          <w:rFonts w:ascii="Tahoma" w:hAnsi="Tahoma" w:cs="Tahoma"/>
          <w:b/>
          <w:bCs/>
          <w:sz w:val="22"/>
          <w:szCs w:val="22"/>
        </w:rPr>
      </w:pPr>
      <w:r w:rsidRPr="002A040C">
        <w:rPr>
          <w:rFonts w:ascii="Tahoma" w:hAnsi="Tahoma" w:cs="Tahoma"/>
          <w:b/>
          <w:bCs/>
          <w:sz w:val="22"/>
          <w:szCs w:val="22"/>
        </w:rPr>
        <w:t>Порядок начисления и получения процентов:</w:t>
      </w:r>
    </w:p>
    <w:p w14:paraId="168B2A4D" w14:textId="77777777" w:rsidR="00EA2CBD" w:rsidRPr="002A040C" w:rsidRDefault="00EA2CBD" w:rsidP="00EA2CBD">
      <w:pPr>
        <w:autoSpaceDE w:val="0"/>
        <w:autoSpaceDN w:val="0"/>
        <w:jc w:val="both"/>
        <w:rPr>
          <w:rFonts w:ascii="Tahoma" w:hAnsi="Tahoma" w:cs="Tahoma"/>
          <w:sz w:val="22"/>
          <w:szCs w:val="22"/>
        </w:rPr>
      </w:pPr>
      <w:r w:rsidRPr="002A040C">
        <w:rPr>
          <w:rFonts w:ascii="Tahoma" w:hAnsi="Tahoma" w:cs="Tahoma"/>
          <w:sz w:val="22"/>
          <w:szCs w:val="22"/>
        </w:rPr>
        <w:t>Начисление и выплата процентов по Вкладу осуществляется ежемесячно по выбору Вкладчика:</w:t>
      </w:r>
    </w:p>
    <w:p w14:paraId="73E27A80" w14:textId="77777777" w:rsidR="00EA2CBD" w:rsidRPr="002A040C" w:rsidRDefault="00EA2CBD" w:rsidP="00EA2CBD">
      <w:pPr>
        <w:autoSpaceDE w:val="0"/>
        <w:autoSpaceDN w:val="0"/>
        <w:jc w:val="both"/>
        <w:rPr>
          <w:rFonts w:ascii="Tahoma" w:hAnsi="Tahoma" w:cs="Tahoma"/>
          <w:sz w:val="22"/>
          <w:szCs w:val="22"/>
        </w:rPr>
      </w:pPr>
      <w:r w:rsidRPr="002A040C">
        <w:rPr>
          <w:rFonts w:ascii="Tahoma" w:hAnsi="Tahoma" w:cs="Tahoma"/>
          <w:sz w:val="22"/>
          <w:szCs w:val="22"/>
        </w:rPr>
        <w:t>- капитализация процентов, т.е. их причисление к сумме Вклада;</w:t>
      </w:r>
    </w:p>
    <w:p w14:paraId="528278FC" w14:textId="77777777" w:rsidR="00EA2CBD" w:rsidRDefault="00EA2CBD" w:rsidP="00EA2CBD">
      <w:pPr>
        <w:jc w:val="both"/>
        <w:rPr>
          <w:rFonts w:ascii="Tahoma" w:hAnsi="Tahoma" w:cs="Tahoma"/>
          <w:sz w:val="22"/>
          <w:szCs w:val="22"/>
        </w:rPr>
      </w:pPr>
      <w:r w:rsidRPr="002A040C">
        <w:rPr>
          <w:rFonts w:ascii="Tahoma" w:hAnsi="Tahoma" w:cs="Tahoma"/>
          <w:sz w:val="22"/>
          <w:szCs w:val="22"/>
        </w:rPr>
        <w:t>- перевод процентов на счет, открываемый в Банке, указываемый в Заявлении об открытии вклада.</w:t>
      </w:r>
    </w:p>
    <w:tbl>
      <w:tblPr>
        <w:tblW w:w="15090" w:type="dxa"/>
        <w:tblCellMar>
          <w:left w:w="0" w:type="dxa"/>
          <w:right w:w="0" w:type="dxa"/>
        </w:tblCellMar>
        <w:tblLook w:val="04A0" w:firstRow="1" w:lastRow="0" w:firstColumn="1" w:lastColumn="0" w:noHBand="0" w:noVBand="1"/>
      </w:tblPr>
      <w:tblGrid>
        <w:gridCol w:w="15100"/>
      </w:tblGrid>
      <w:tr w:rsidR="00EA2CBD" w:rsidRPr="002A040C" w14:paraId="2347E377" w14:textId="77777777" w:rsidTr="009D1253">
        <w:tc>
          <w:tcPr>
            <w:tcW w:w="15090" w:type="dxa"/>
            <w:tcMar>
              <w:top w:w="102" w:type="dxa"/>
              <w:left w:w="62" w:type="dxa"/>
              <w:bottom w:w="102" w:type="dxa"/>
              <w:right w:w="62" w:type="dxa"/>
            </w:tcMar>
            <w:vAlign w:val="center"/>
            <w:hideMark/>
          </w:tcPr>
          <w:p w14:paraId="72683861" w14:textId="77777777" w:rsidR="00EA2CBD" w:rsidRPr="002A040C" w:rsidRDefault="00EA2CBD" w:rsidP="009D1253">
            <w:pPr>
              <w:autoSpaceDE w:val="0"/>
              <w:autoSpaceDN w:val="0"/>
              <w:rPr>
                <w:rFonts w:ascii="Tahoma" w:hAnsi="Tahoma" w:cs="Tahoma"/>
                <w:sz w:val="22"/>
                <w:szCs w:val="22"/>
              </w:rPr>
            </w:pPr>
          </w:p>
        </w:tc>
      </w:tr>
      <w:tr w:rsidR="00EA2CBD" w:rsidRPr="002A040C" w14:paraId="66B9EB89" w14:textId="77777777" w:rsidTr="009D1253">
        <w:tc>
          <w:tcPr>
            <w:tcW w:w="15090" w:type="dxa"/>
            <w:tcMar>
              <w:top w:w="102" w:type="dxa"/>
              <w:left w:w="62" w:type="dxa"/>
              <w:bottom w:w="102" w:type="dxa"/>
              <w:right w:w="62" w:type="dxa"/>
            </w:tcMar>
          </w:tcPr>
          <w:tbl>
            <w:tblPr>
              <w:tblW w:w="14966" w:type="dxa"/>
              <w:tblLook w:val="04A0" w:firstRow="1" w:lastRow="0" w:firstColumn="1" w:lastColumn="0" w:noHBand="0" w:noVBand="1"/>
            </w:tblPr>
            <w:tblGrid>
              <w:gridCol w:w="14966"/>
            </w:tblGrid>
            <w:tr w:rsidR="00EA2CBD" w:rsidRPr="002A040C" w14:paraId="2476E663" w14:textId="77777777" w:rsidTr="009D1253">
              <w:tc>
                <w:tcPr>
                  <w:tcW w:w="14966" w:type="dxa"/>
                  <w:tcBorders>
                    <w:top w:val="single" w:sz="4" w:space="0" w:color="auto"/>
                    <w:left w:val="single" w:sz="4" w:space="0" w:color="auto"/>
                    <w:bottom w:val="single" w:sz="4" w:space="0" w:color="auto"/>
                    <w:right w:val="single" w:sz="4" w:space="0" w:color="auto"/>
                  </w:tcBorders>
                  <w:hideMark/>
                </w:tcPr>
                <w:p w14:paraId="17EE1A62" w14:textId="77777777" w:rsidR="00EA2CBD" w:rsidRPr="002A040C" w:rsidRDefault="00EA2CBD" w:rsidP="009D1253">
                  <w:pPr>
                    <w:autoSpaceDE w:val="0"/>
                    <w:autoSpaceDN w:val="0"/>
                    <w:rPr>
                      <w:rFonts w:ascii="Tahoma" w:hAnsi="Tahoma" w:cs="Tahoma"/>
                      <w:sz w:val="22"/>
                      <w:szCs w:val="22"/>
                    </w:rPr>
                  </w:pPr>
                  <w:r w:rsidRPr="002A040C">
                    <w:rPr>
                      <w:rFonts w:ascii="Tahoma" w:hAnsi="Tahoma" w:cs="Tahoma"/>
                      <w:sz w:val="22"/>
                      <w:szCs w:val="22"/>
                    </w:rPr>
                    <w:t>ОПЕРАЦИИ ПО ВКЛАДУ</w:t>
                  </w:r>
                </w:p>
              </w:tc>
            </w:tr>
            <w:tr w:rsidR="00EA2CBD" w:rsidRPr="002A040C" w14:paraId="11E72A53" w14:textId="77777777" w:rsidTr="009D1253">
              <w:tc>
                <w:tcPr>
                  <w:tcW w:w="14966" w:type="dxa"/>
                  <w:tcBorders>
                    <w:top w:val="single" w:sz="4" w:space="0" w:color="auto"/>
                  </w:tcBorders>
                  <w:hideMark/>
                </w:tcPr>
                <w:p w14:paraId="00713411" w14:textId="77777777" w:rsidR="00EA2CBD" w:rsidRPr="002A040C" w:rsidRDefault="00EA2CBD" w:rsidP="009D1253">
                  <w:pPr>
                    <w:autoSpaceDE w:val="0"/>
                    <w:autoSpaceDN w:val="0"/>
                    <w:jc w:val="both"/>
                    <w:rPr>
                      <w:rFonts w:ascii="Tahoma" w:hAnsi="Tahoma" w:cs="Tahoma"/>
                      <w:sz w:val="22"/>
                      <w:szCs w:val="22"/>
                    </w:rPr>
                  </w:pPr>
                  <w:r w:rsidRPr="00616185">
                    <w:rPr>
                      <w:rFonts w:ascii="Tahoma" w:hAnsi="Tahoma" w:cs="Tahoma"/>
                      <w:b/>
                      <w:sz w:val="22"/>
                      <w:szCs w:val="22"/>
                    </w:rPr>
                    <w:t>Возможность пополнения:</w:t>
                  </w:r>
                  <w:r w:rsidRPr="002A040C">
                    <w:rPr>
                      <w:rFonts w:ascii="Tahoma" w:hAnsi="Tahoma" w:cs="Tahoma"/>
                      <w:sz w:val="22"/>
                      <w:szCs w:val="22"/>
                    </w:rPr>
                    <w:t xml:space="preserve"> Пополнение возможно Вкладчиком путем внесения наличных денежных средств либо путем перевода безналичных денежных средств на счет Вклада. Минимальная и максимальная суммы пополнения не установлены. Внесение денежных средств на счёт Вклада возможно третьим лицом.</w:t>
                  </w:r>
                </w:p>
              </w:tc>
            </w:tr>
            <w:tr w:rsidR="00EA2CBD" w:rsidRPr="002A040C" w14:paraId="3CB5B1C4" w14:textId="77777777" w:rsidTr="009D1253">
              <w:tc>
                <w:tcPr>
                  <w:tcW w:w="14966" w:type="dxa"/>
                  <w:hideMark/>
                </w:tcPr>
                <w:p w14:paraId="6C4F63D4" w14:textId="77777777" w:rsidR="00EA2CBD" w:rsidRPr="002A040C" w:rsidRDefault="00EA2CBD" w:rsidP="009D1253">
                  <w:pPr>
                    <w:autoSpaceDE w:val="0"/>
                    <w:autoSpaceDN w:val="0"/>
                    <w:jc w:val="both"/>
                    <w:rPr>
                      <w:rFonts w:ascii="Tahoma" w:hAnsi="Tahoma" w:cs="Tahoma"/>
                      <w:sz w:val="22"/>
                      <w:szCs w:val="22"/>
                    </w:rPr>
                  </w:pPr>
                  <w:r w:rsidRPr="00616185">
                    <w:rPr>
                      <w:rFonts w:ascii="Tahoma" w:hAnsi="Tahoma" w:cs="Tahoma"/>
                      <w:b/>
                      <w:sz w:val="22"/>
                      <w:szCs w:val="22"/>
                    </w:rPr>
                    <w:t>Расходные операции:</w:t>
                  </w:r>
                  <w:r w:rsidRPr="002A040C">
                    <w:rPr>
                      <w:rFonts w:ascii="Tahoma" w:hAnsi="Tahoma" w:cs="Tahoma"/>
                      <w:sz w:val="22"/>
                      <w:szCs w:val="22"/>
                    </w:rPr>
                    <w:t xml:space="preserve"> досрочный возврат Вклада/части суммы Вклада без изменения условий о размере процентов и периодичности их выплаты не предусмотрен. Досрочный возврат Вклада (части суммы по Договору Вклада) повлечет последствия, указанные ниже в графе «По инициативе клиента прекращение </w:t>
                  </w:r>
                  <w:r>
                    <w:rPr>
                      <w:rFonts w:ascii="Tahoma" w:hAnsi="Tahoma" w:cs="Tahoma"/>
                      <w:sz w:val="22"/>
                      <w:szCs w:val="22"/>
                    </w:rPr>
                    <w:t>Д</w:t>
                  </w:r>
                  <w:r w:rsidRPr="002A040C">
                    <w:rPr>
                      <w:rFonts w:ascii="Tahoma" w:hAnsi="Tahoma" w:cs="Tahoma"/>
                      <w:sz w:val="22"/>
                      <w:szCs w:val="22"/>
                    </w:rPr>
                    <w:t xml:space="preserve">оговора </w:t>
                  </w:r>
                  <w:r>
                    <w:rPr>
                      <w:rFonts w:ascii="Tahoma" w:hAnsi="Tahoma" w:cs="Tahoma"/>
                      <w:sz w:val="22"/>
                      <w:szCs w:val="22"/>
                    </w:rPr>
                    <w:t>В</w:t>
                  </w:r>
                  <w:r w:rsidRPr="002A040C">
                    <w:rPr>
                      <w:rFonts w:ascii="Tahoma" w:hAnsi="Tahoma" w:cs="Tahoma"/>
                      <w:sz w:val="22"/>
                      <w:szCs w:val="22"/>
                    </w:rPr>
                    <w:t xml:space="preserve">клада» </w:t>
                  </w:r>
                </w:p>
              </w:tc>
            </w:tr>
            <w:tr w:rsidR="00EA2CBD" w:rsidRPr="002A040C" w14:paraId="14561181" w14:textId="77777777" w:rsidTr="009D1253">
              <w:trPr>
                <w:trHeight w:val="1967"/>
              </w:trPr>
              <w:tc>
                <w:tcPr>
                  <w:tcW w:w="14966" w:type="dxa"/>
                </w:tcPr>
                <w:p w14:paraId="21718419" w14:textId="77777777" w:rsidR="00EA2CBD" w:rsidRPr="002A040C" w:rsidRDefault="00EA2CBD" w:rsidP="009D1253">
                  <w:pPr>
                    <w:autoSpaceDE w:val="0"/>
                    <w:autoSpaceDN w:val="0"/>
                    <w:rPr>
                      <w:rFonts w:ascii="Tahoma" w:hAnsi="Tahoma" w:cs="Tahoma"/>
                      <w:sz w:val="22"/>
                      <w:szCs w:val="22"/>
                    </w:rPr>
                  </w:pPr>
                </w:p>
                <w:p w14:paraId="1AE56908" w14:textId="77777777" w:rsidR="00EA2CBD" w:rsidRPr="002A040C" w:rsidRDefault="00EA2CBD" w:rsidP="009D1253">
                  <w:pPr>
                    <w:autoSpaceDE w:val="0"/>
                    <w:autoSpaceDN w:val="0"/>
                    <w:rPr>
                      <w:rFonts w:ascii="Tahoma" w:hAnsi="Tahoma" w:cs="Tahoma"/>
                      <w:b/>
                      <w:sz w:val="22"/>
                      <w:szCs w:val="22"/>
                    </w:rPr>
                  </w:pPr>
                  <w:r w:rsidRPr="002A040C">
                    <w:rPr>
                      <w:rFonts w:ascii="Tahoma" w:hAnsi="Tahoma" w:cs="Tahoma"/>
                      <w:b/>
                      <w:sz w:val="22"/>
                      <w:szCs w:val="22"/>
                    </w:rPr>
                    <w:t xml:space="preserve">По инициативе клиента прекращение </w:t>
                  </w:r>
                  <w:r>
                    <w:rPr>
                      <w:rFonts w:ascii="Tahoma" w:hAnsi="Tahoma" w:cs="Tahoma"/>
                      <w:b/>
                      <w:sz w:val="22"/>
                      <w:szCs w:val="22"/>
                    </w:rPr>
                    <w:t>Д</w:t>
                  </w:r>
                  <w:r w:rsidRPr="002A040C">
                    <w:rPr>
                      <w:rFonts w:ascii="Tahoma" w:hAnsi="Tahoma" w:cs="Tahoma"/>
                      <w:b/>
                      <w:sz w:val="22"/>
                      <w:szCs w:val="22"/>
                    </w:rPr>
                    <w:t xml:space="preserve">оговора </w:t>
                  </w:r>
                  <w:r>
                    <w:rPr>
                      <w:rFonts w:ascii="Tahoma" w:hAnsi="Tahoma" w:cs="Tahoma"/>
                      <w:b/>
                      <w:sz w:val="22"/>
                      <w:szCs w:val="22"/>
                    </w:rPr>
                    <w:t>В</w:t>
                  </w:r>
                  <w:r w:rsidRPr="002A040C">
                    <w:rPr>
                      <w:rFonts w:ascii="Tahoma" w:hAnsi="Tahoma" w:cs="Tahoma"/>
                      <w:b/>
                      <w:sz w:val="22"/>
                      <w:szCs w:val="22"/>
                    </w:rPr>
                    <w:t>клада:</w:t>
                  </w:r>
                </w:p>
                <w:p w14:paraId="6DFB295A" w14:textId="77777777" w:rsidR="00EA2CBD" w:rsidRPr="002A040C" w:rsidRDefault="00EA2CBD" w:rsidP="009D1253">
                  <w:pPr>
                    <w:autoSpaceDE w:val="0"/>
                    <w:autoSpaceDN w:val="0"/>
                    <w:jc w:val="both"/>
                    <w:rPr>
                      <w:rFonts w:ascii="Tahoma" w:hAnsi="Tahoma" w:cs="Tahoma"/>
                      <w:sz w:val="22"/>
                      <w:szCs w:val="22"/>
                    </w:rPr>
                  </w:pPr>
                  <w:r w:rsidRPr="002A040C">
                    <w:rPr>
                      <w:rFonts w:ascii="Tahoma" w:hAnsi="Tahoma" w:cs="Tahoma"/>
                      <w:sz w:val="22"/>
                      <w:szCs w:val="22"/>
                    </w:rPr>
                    <w:t xml:space="preserve">В случае частичного досрочного снятия Вкладчиком денежных средств со Вклада (части Вклада) Договор расторгается (прекращает свое действие без составления Сторонами соглашения о расторжении, иных документов о расторжении Договора). </w:t>
                  </w:r>
                </w:p>
                <w:p w14:paraId="576E4C8B" w14:textId="77777777" w:rsidR="00EA2CBD" w:rsidRPr="00616185" w:rsidRDefault="00EA2CBD" w:rsidP="009D1253">
                  <w:pPr>
                    <w:autoSpaceDE w:val="0"/>
                    <w:autoSpaceDN w:val="0"/>
                    <w:jc w:val="both"/>
                    <w:rPr>
                      <w:rFonts w:ascii="Tahoma" w:hAnsi="Tahoma" w:cs="Tahoma"/>
                      <w:sz w:val="22"/>
                      <w:szCs w:val="22"/>
                    </w:rPr>
                  </w:pPr>
                  <w:r w:rsidRPr="00616185">
                    <w:rPr>
                      <w:rFonts w:ascii="Tahoma" w:hAnsi="Tahoma" w:cs="Tahoma"/>
                      <w:sz w:val="22"/>
                      <w:szCs w:val="22"/>
                    </w:rPr>
                    <w:t>Для возврата Вклада на сумму свыше 300 000 (Триста тысяч) рублей Вкладчик должен заказать соответствующую сумму в российских рублях в любом из подразделений (офисов) Банка или через Контактный центр Банка по телефону 8-800-775-8888 (по России звонок бесплатный) или (4162) 222-333 (для звонков из-за рубежа) не позднее чем за 1 (один) рабочий день до планируемой даты возврата Вклада.</w:t>
                  </w:r>
                </w:p>
                <w:p w14:paraId="3D7B4B3C" w14:textId="77777777" w:rsidR="00EA2CBD" w:rsidRPr="00616185" w:rsidRDefault="00EA2CBD" w:rsidP="009D1253">
                  <w:pPr>
                    <w:autoSpaceDE w:val="0"/>
                    <w:autoSpaceDN w:val="0"/>
                    <w:jc w:val="both"/>
                    <w:rPr>
                      <w:rFonts w:ascii="Tahoma" w:hAnsi="Tahoma" w:cs="Tahoma"/>
                      <w:sz w:val="22"/>
                      <w:szCs w:val="22"/>
                    </w:rPr>
                  </w:pPr>
                  <w:r w:rsidRPr="002A040C">
                    <w:rPr>
                      <w:rFonts w:ascii="Tahoma" w:hAnsi="Tahoma" w:cs="Tahoma"/>
                      <w:sz w:val="22"/>
                      <w:szCs w:val="22"/>
                    </w:rPr>
                    <w:t>В случае досрочного возвращения Вклада в течение срока хранения Вклада по требованию Вкладчика проценты по Вкладу начисляются Вкладчику по ставке 0,01% годовых за весь срок Вклада, начиная со дня, следующего за днем поступления денежных средств (Вклада) в Банк, и выплачиваются в день востребования суммы Вклада, а излишне уплаченные проценты удерживаются из выплачиваемой Вкладчику суммы.</w:t>
                  </w:r>
                </w:p>
                <w:p w14:paraId="3E02155D" w14:textId="77777777" w:rsidR="00EA2CBD" w:rsidRPr="002A040C" w:rsidRDefault="00EA2CBD" w:rsidP="009D1253">
                  <w:pPr>
                    <w:autoSpaceDE w:val="0"/>
                    <w:autoSpaceDN w:val="0"/>
                    <w:jc w:val="both"/>
                    <w:rPr>
                      <w:rFonts w:ascii="Tahoma" w:hAnsi="Tahoma" w:cs="Tahoma"/>
                      <w:sz w:val="22"/>
                      <w:szCs w:val="22"/>
                    </w:rPr>
                  </w:pPr>
                </w:p>
                <w:p w14:paraId="70FA5F15" w14:textId="77777777" w:rsidR="00EA2CBD" w:rsidRPr="00616185" w:rsidRDefault="00EA2CBD" w:rsidP="009D1253">
                  <w:pPr>
                    <w:autoSpaceDE w:val="0"/>
                    <w:autoSpaceDN w:val="0"/>
                    <w:rPr>
                      <w:rFonts w:ascii="Tahoma" w:hAnsi="Tahoma" w:cs="Tahoma"/>
                      <w:b/>
                      <w:sz w:val="22"/>
                      <w:szCs w:val="22"/>
                    </w:rPr>
                  </w:pPr>
                  <w:r w:rsidRPr="002A040C">
                    <w:rPr>
                      <w:rFonts w:ascii="Tahoma" w:hAnsi="Tahoma" w:cs="Tahoma"/>
                      <w:b/>
                      <w:sz w:val="22"/>
                      <w:szCs w:val="22"/>
                    </w:rPr>
                    <w:t>Если срок Вклада закончился:</w:t>
                  </w:r>
                </w:p>
                <w:p w14:paraId="501EA1B6" w14:textId="77777777" w:rsidR="00EA2CBD" w:rsidRPr="002A040C" w:rsidRDefault="00EA2CBD" w:rsidP="009D1253">
                  <w:pPr>
                    <w:autoSpaceDE w:val="0"/>
                    <w:autoSpaceDN w:val="0"/>
                    <w:jc w:val="both"/>
                    <w:rPr>
                      <w:rFonts w:ascii="Tahoma" w:hAnsi="Tahoma" w:cs="Tahoma"/>
                      <w:sz w:val="22"/>
                      <w:szCs w:val="22"/>
                    </w:rPr>
                  </w:pPr>
                  <w:r w:rsidRPr="002A040C">
                    <w:rPr>
                      <w:rFonts w:ascii="Tahoma" w:hAnsi="Tahoma" w:cs="Tahoma"/>
                      <w:sz w:val="22"/>
                      <w:szCs w:val="22"/>
                    </w:rPr>
                    <w:t xml:space="preserve">Если Вклад не будет востребован Вкладчиком по истечении срока Вклада, указанного в Заявлении об открытии вклада, Договор Вклада продлевается (без составления сторонами дополнительных соглашений к Договору Вклада, иных документов). Продление срока Вклада осуществляется на такой же срок, но с начислением процентов по Ставке продления, действующей в Банке по данному виду Вклада на день продления в соответствии с Тарифами Банка, и на прочих условиях, действующих в Банке по данному виду Вклада на день его продления, при этом номер Счета по данному виду Вклада не изменяется. Договор Вклада продлевается неограниченное количество раз. </w:t>
                  </w:r>
                </w:p>
                <w:p w14:paraId="422EB156" w14:textId="77777777" w:rsidR="00EA2CBD" w:rsidRPr="002A040C" w:rsidRDefault="00EA2CBD" w:rsidP="009D1253">
                  <w:pPr>
                    <w:autoSpaceDE w:val="0"/>
                    <w:autoSpaceDN w:val="0"/>
                    <w:jc w:val="both"/>
                    <w:rPr>
                      <w:rFonts w:ascii="Tahoma" w:hAnsi="Tahoma" w:cs="Tahoma"/>
                      <w:sz w:val="22"/>
                      <w:szCs w:val="22"/>
                    </w:rPr>
                  </w:pPr>
                  <w:r w:rsidRPr="002A040C">
                    <w:rPr>
                      <w:rFonts w:ascii="Tahoma" w:hAnsi="Tahoma" w:cs="Tahoma"/>
                      <w:sz w:val="22"/>
                      <w:szCs w:val="22"/>
                    </w:rPr>
                    <w:t>Если данный вид Вклада не действует в Банке на дату окончания срока Вклада/срока продления, сумма Вклада и начисленные проценты по Вкладу зачисляются на счет, открытый в Банке, указываемый в п. 13  Заявления об открытии вклада (ТБС или счет вклада «до востре</w:t>
                  </w:r>
                  <w:r>
                    <w:rPr>
                      <w:rFonts w:ascii="Tahoma" w:hAnsi="Tahoma" w:cs="Tahoma"/>
                      <w:sz w:val="22"/>
                      <w:szCs w:val="22"/>
                    </w:rPr>
                    <w:t>бования» - по выбору Вкладчика)</w:t>
                  </w:r>
                  <w:r w:rsidRPr="002A040C">
                    <w:rPr>
                      <w:rFonts w:ascii="Tahoma" w:hAnsi="Tahoma" w:cs="Tahoma"/>
                      <w:sz w:val="22"/>
                      <w:szCs w:val="22"/>
                    </w:rPr>
                    <w:t>.</w:t>
                  </w:r>
                </w:p>
              </w:tc>
            </w:tr>
          </w:tbl>
          <w:p w14:paraId="44EA2C7F" w14:textId="77777777" w:rsidR="00EA2CBD" w:rsidRPr="002A040C" w:rsidRDefault="00EA2CBD" w:rsidP="009D1253">
            <w:pPr>
              <w:rPr>
                <w:rFonts w:ascii="Tahoma" w:eastAsiaTheme="minorHAnsi" w:hAnsi="Tahoma" w:cs="Tahoma"/>
                <w:sz w:val="22"/>
                <w:szCs w:val="22"/>
              </w:rPr>
            </w:pPr>
          </w:p>
        </w:tc>
      </w:tr>
    </w:tbl>
    <w:p w14:paraId="1930D3A2" w14:textId="77777777" w:rsidR="00DE6159" w:rsidRPr="008572C5" w:rsidRDefault="00DE6159" w:rsidP="008572C5">
      <w:pPr>
        <w:tabs>
          <w:tab w:val="left" w:pos="284"/>
        </w:tabs>
        <w:rPr>
          <w:rFonts w:ascii="Tahoma" w:hAnsi="Tahoma" w:cs="Tahoma"/>
          <w:bCs/>
          <w:iCs/>
          <w:color w:val="E36C0A"/>
          <w:sz w:val="22"/>
          <w:szCs w:val="22"/>
        </w:rPr>
      </w:pPr>
    </w:p>
    <w:p w14:paraId="2B989366" w14:textId="5DBDF84B" w:rsidR="008572C5" w:rsidRPr="008572C5" w:rsidRDefault="00DE6159" w:rsidP="000B3718">
      <w:pPr>
        <w:pStyle w:val="a5"/>
      </w:pPr>
      <w:r>
        <w:t>3.12</w:t>
      </w:r>
      <w:r w:rsidR="008572C5" w:rsidRPr="008572C5">
        <w:t>. Банковские счета в драгоценных металлах</w:t>
      </w:r>
    </w:p>
    <w:tbl>
      <w:tblPr>
        <w:tblW w:w="0" w:type="auto"/>
        <w:tblInd w:w="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5103"/>
      </w:tblGrid>
      <w:tr w:rsidR="008572C5" w:rsidRPr="008572C5" w14:paraId="0B00A3E4" w14:textId="77777777" w:rsidTr="00090437">
        <w:trPr>
          <w:trHeight w:val="310"/>
        </w:trPr>
        <w:tc>
          <w:tcPr>
            <w:tcW w:w="3369" w:type="dxa"/>
            <w:tcBorders>
              <w:top w:val="single" w:sz="4" w:space="0" w:color="auto"/>
              <w:left w:val="single" w:sz="4" w:space="0" w:color="auto"/>
              <w:bottom w:val="single" w:sz="4" w:space="0" w:color="auto"/>
              <w:right w:val="single" w:sz="4" w:space="0" w:color="auto"/>
            </w:tcBorders>
            <w:hideMark/>
          </w:tcPr>
          <w:p w14:paraId="175B7B5C" w14:textId="77777777" w:rsidR="008572C5" w:rsidRPr="008572C5" w:rsidRDefault="008572C5" w:rsidP="008572C5">
            <w:pPr>
              <w:tabs>
                <w:tab w:val="left" w:pos="284"/>
              </w:tabs>
              <w:rPr>
                <w:rFonts w:ascii="Tahoma" w:hAnsi="Tahoma" w:cs="Tahoma"/>
                <w:bCs/>
                <w:sz w:val="22"/>
                <w:szCs w:val="22"/>
              </w:rPr>
            </w:pPr>
            <w:r w:rsidRPr="008572C5">
              <w:rPr>
                <w:rFonts w:ascii="Tahoma" w:hAnsi="Tahoma" w:cs="Tahoma"/>
                <w:bCs/>
                <w:sz w:val="22"/>
                <w:szCs w:val="22"/>
              </w:rPr>
              <w:t>Наименование тарифа</w:t>
            </w:r>
          </w:p>
        </w:tc>
        <w:tc>
          <w:tcPr>
            <w:tcW w:w="5103" w:type="dxa"/>
            <w:tcBorders>
              <w:top w:val="single" w:sz="4" w:space="0" w:color="auto"/>
              <w:left w:val="single" w:sz="4" w:space="0" w:color="auto"/>
              <w:bottom w:val="single" w:sz="4" w:space="0" w:color="auto"/>
              <w:right w:val="single" w:sz="4" w:space="0" w:color="auto"/>
            </w:tcBorders>
            <w:hideMark/>
          </w:tcPr>
          <w:p w14:paraId="2B9840F4" w14:textId="77777777" w:rsidR="008572C5" w:rsidRPr="008572C5" w:rsidRDefault="008572C5" w:rsidP="008572C5">
            <w:pPr>
              <w:tabs>
                <w:tab w:val="left" w:pos="284"/>
              </w:tabs>
              <w:jc w:val="center"/>
              <w:rPr>
                <w:rFonts w:ascii="Tahoma" w:hAnsi="Tahoma" w:cs="Tahoma"/>
                <w:bCs/>
                <w:sz w:val="22"/>
                <w:szCs w:val="22"/>
              </w:rPr>
            </w:pPr>
            <w:r w:rsidRPr="008572C5">
              <w:rPr>
                <w:rFonts w:ascii="Tahoma" w:hAnsi="Tahoma" w:cs="Tahoma"/>
                <w:bCs/>
                <w:sz w:val="22"/>
                <w:szCs w:val="22"/>
              </w:rPr>
              <w:t>Размер тарифов</w:t>
            </w:r>
          </w:p>
        </w:tc>
      </w:tr>
      <w:tr w:rsidR="008572C5" w:rsidRPr="008572C5" w14:paraId="37861629" w14:textId="77777777" w:rsidTr="00090437">
        <w:trPr>
          <w:trHeight w:val="270"/>
        </w:trPr>
        <w:tc>
          <w:tcPr>
            <w:tcW w:w="3369" w:type="dxa"/>
            <w:tcBorders>
              <w:top w:val="single" w:sz="4" w:space="0" w:color="auto"/>
              <w:left w:val="single" w:sz="4" w:space="0" w:color="auto"/>
              <w:bottom w:val="single" w:sz="4" w:space="0" w:color="auto"/>
              <w:right w:val="single" w:sz="4" w:space="0" w:color="auto"/>
            </w:tcBorders>
            <w:hideMark/>
          </w:tcPr>
          <w:p w14:paraId="329C0DBD" w14:textId="77777777" w:rsidR="008572C5" w:rsidRPr="008572C5" w:rsidRDefault="008572C5" w:rsidP="008572C5">
            <w:pPr>
              <w:tabs>
                <w:tab w:val="left" w:pos="284"/>
              </w:tabs>
              <w:rPr>
                <w:rFonts w:ascii="Tahoma" w:hAnsi="Tahoma" w:cs="Tahoma"/>
                <w:bCs/>
                <w:sz w:val="22"/>
                <w:szCs w:val="22"/>
              </w:rPr>
            </w:pPr>
            <w:r w:rsidRPr="008572C5">
              <w:rPr>
                <w:rFonts w:ascii="Tahoma" w:hAnsi="Tahoma" w:cs="Tahoma"/>
                <w:bCs/>
                <w:sz w:val="22"/>
                <w:szCs w:val="22"/>
              </w:rPr>
              <w:t>Открытие счета</w:t>
            </w:r>
          </w:p>
        </w:tc>
        <w:tc>
          <w:tcPr>
            <w:tcW w:w="5103" w:type="dxa"/>
            <w:tcBorders>
              <w:top w:val="single" w:sz="4" w:space="0" w:color="auto"/>
              <w:left w:val="single" w:sz="4" w:space="0" w:color="auto"/>
              <w:bottom w:val="single" w:sz="4" w:space="0" w:color="auto"/>
              <w:right w:val="single" w:sz="4" w:space="0" w:color="auto"/>
            </w:tcBorders>
            <w:hideMark/>
          </w:tcPr>
          <w:p w14:paraId="27C7D012" w14:textId="77777777" w:rsidR="008572C5" w:rsidRPr="008572C5" w:rsidRDefault="008572C5" w:rsidP="008572C5">
            <w:pPr>
              <w:tabs>
                <w:tab w:val="left" w:pos="284"/>
              </w:tabs>
              <w:jc w:val="center"/>
              <w:rPr>
                <w:rFonts w:ascii="Tahoma" w:hAnsi="Tahoma" w:cs="Tahoma"/>
                <w:bCs/>
                <w:sz w:val="22"/>
                <w:szCs w:val="22"/>
              </w:rPr>
            </w:pPr>
            <w:r w:rsidRPr="008572C5">
              <w:rPr>
                <w:rFonts w:ascii="Tahoma" w:hAnsi="Tahoma" w:cs="Tahoma"/>
                <w:bCs/>
                <w:sz w:val="22"/>
                <w:szCs w:val="22"/>
              </w:rPr>
              <w:t>0%</w:t>
            </w:r>
          </w:p>
        </w:tc>
      </w:tr>
      <w:tr w:rsidR="008572C5" w:rsidRPr="008572C5" w14:paraId="102C90AB" w14:textId="77777777" w:rsidTr="00090437">
        <w:trPr>
          <w:trHeight w:val="225"/>
        </w:trPr>
        <w:tc>
          <w:tcPr>
            <w:tcW w:w="3369" w:type="dxa"/>
            <w:tcBorders>
              <w:top w:val="single" w:sz="4" w:space="0" w:color="auto"/>
              <w:left w:val="single" w:sz="4" w:space="0" w:color="auto"/>
              <w:bottom w:val="single" w:sz="4" w:space="0" w:color="auto"/>
              <w:right w:val="single" w:sz="4" w:space="0" w:color="auto"/>
            </w:tcBorders>
            <w:hideMark/>
          </w:tcPr>
          <w:p w14:paraId="2E0CF1A5" w14:textId="77777777" w:rsidR="008572C5" w:rsidRPr="008572C5" w:rsidRDefault="008572C5" w:rsidP="008572C5">
            <w:pPr>
              <w:tabs>
                <w:tab w:val="left" w:pos="284"/>
              </w:tabs>
              <w:rPr>
                <w:rFonts w:ascii="Tahoma" w:hAnsi="Tahoma" w:cs="Tahoma"/>
                <w:sz w:val="22"/>
                <w:szCs w:val="22"/>
              </w:rPr>
            </w:pPr>
            <w:r w:rsidRPr="008572C5">
              <w:rPr>
                <w:rFonts w:ascii="Tahoma" w:hAnsi="Tahoma" w:cs="Tahoma"/>
                <w:sz w:val="22"/>
                <w:szCs w:val="22"/>
              </w:rPr>
              <w:t>Ведение счета</w:t>
            </w:r>
          </w:p>
        </w:tc>
        <w:tc>
          <w:tcPr>
            <w:tcW w:w="5103" w:type="dxa"/>
            <w:tcBorders>
              <w:top w:val="single" w:sz="4" w:space="0" w:color="auto"/>
              <w:left w:val="single" w:sz="4" w:space="0" w:color="auto"/>
              <w:bottom w:val="single" w:sz="4" w:space="0" w:color="auto"/>
              <w:right w:val="single" w:sz="4" w:space="0" w:color="auto"/>
            </w:tcBorders>
            <w:hideMark/>
          </w:tcPr>
          <w:p w14:paraId="419F1D1C" w14:textId="77777777" w:rsidR="008572C5" w:rsidRPr="008572C5" w:rsidRDefault="008572C5" w:rsidP="008572C5">
            <w:pPr>
              <w:tabs>
                <w:tab w:val="left" w:pos="284"/>
              </w:tabs>
              <w:jc w:val="center"/>
              <w:rPr>
                <w:rFonts w:ascii="Tahoma" w:hAnsi="Tahoma" w:cs="Tahoma"/>
                <w:sz w:val="22"/>
                <w:szCs w:val="22"/>
              </w:rPr>
            </w:pPr>
            <w:r w:rsidRPr="008572C5">
              <w:rPr>
                <w:rFonts w:ascii="Tahoma" w:hAnsi="Tahoma" w:cs="Tahoma"/>
                <w:sz w:val="22"/>
                <w:szCs w:val="22"/>
              </w:rPr>
              <w:t>0%</w:t>
            </w:r>
          </w:p>
        </w:tc>
      </w:tr>
      <w:tr w:rsidR="008572C5" w:rsidRPr="008572C5" w14:paraId="31A550E6" w14:textId="77777777" w:rsidTr="00090437">
        <w:trPr>
          <w:trHeight w:val="270"/>
        </w:trPr>
        <w:tc>
          <w:tcPr>
            <w:tcW w:w="3369" w:type="dxa"/>
            <w:tcBorders>
              <w:top w:val="single" w:sz="4" w:space="0" w:color="auto"/>
              <w:left w:val="single" w:sz="4" w:space="0" w:color="auto"/>
              <w:bottom w:val="single" w:sz="4" w:space="0" w:color="auto"/>
              <w:right w:val="single" w:sz="4" w:space="0" w:color="auto"/>
            </w:tcBorders>
            <w:hideMark/>
          </w:tcPr>
          <w:p w14:paraId="18B6AD44" w14:textId="77777777" w:rsidR="008572C5" w:rsidRPr="008572C5" w:rsidRDefault="008572C5" w:rsidP="008572C5">
            <w:pPr>
              <w:tabs>
                <w:tab w:val="left" w:pos="284"/>
              </w:tabs>
              <w:rPr>
                <w:rFonts w:ascii="Tahoma" w:hAnsi="Tahoma" w:cs="Tahoma"/>
                <w:sz w:val="22"/>
                <w:szCs w:val="22"/>
              </w:rPr>
            </w:pPr>
            <w:r w:rsidRPr="008572C5">
              <w:rPr>
                <w:rFonts w:ascii="Tahoma" w:hAnsi="Tahoma" w:cs="Tahoma"/>
                <w:sz w:val="22"/>
                <w:szCs w:val="22"/>
              </w:rPr>
              <w:t>Выдача выписки по счету</w:t>
            </w:r>
          </w:p>
        </w:tc>
        <w:tc>
          <w:tcPr>
            <w:tcW w:w="5103" w:type="dxa"/>
            <w:tcBorders>
              <w:top w:val="single" w:sz="4" w:space="0" w:color="auto"/>
              <w:left w:val="single" w:sz="4" w:space="0" w:color="auto"/>
              <w:bottom w:val="single" w:sz="4" w:space="0" w:color="auto"/>
              <w:right w:val="single" w:sz="4" w:space="0" w:color="auto"/>
            </w:tcBorders>
            <w:hideMark/>
          </w:tcPr>
          <w:p w14:paraId="3321C592" w14:textId="77777777" w:rsidR="008572C5" w:rsidRPr="008572C5" w:rsidRDefault="008572C5" w:rsidP="008572C5">
            <w:pPr>
              <w:tabs>
                <w:tab w:val="left" w:pos="284"/>
              </w:tabs>
              <w:jc w:val="center"/>
              <w:rPr>
                <w:rFonts w:ascii="Tahoma" w:hAnsi="Tahoma" w:cs="Tahoma"/>
                <w:sz w:val="22"/>
                <w:szCs w:val="22"/>
              </w:rPr>
            </w:pPr>
            <w:r w:rsidRPr="008572C5">
              <w:rPr>
                <w:rFonts w:ascii="Tahoma" w:hAnsi="Tahoma" w:cs="Tahoma"/>
                <w:sz w:val="22"/>
                <w:szCs w:val="22"/>
              </w:rPr>
              <w:t>0%</w:t>
            </w:r>
          </w:p>
        </w:tc>
      </w:tr>
      <w:tr w:rsidR="008572C5" w:rsidRPr="008572C5" w14:paraId="651B7C94" w14:textId="77777777" w:rsidTr="00090437">
        <w:trPr>
          <w:trHeight w:val="220"/>
        </w:trPr>
        <w:tc>
          <w:tcPr>
            <w:tcW w:w="3369" w:type="dxa"/>
            <w:tcBorders>
              <w:top w:val="single" w:sz="4" w:space="0" w:color="auto"/>
              <w:left w:val="single" w:sz="4" w:space="0" w:color="auto"/>
              <w:bottom w:val="single" w:sz="4" w:space="0" w:color="auto"/>
              <w:right w:val="single" w:sz="4" w:space="0" w:color="auto"/>
            </w:tcBorders>
            <w:hideMark/>
          </w:tcPr>
          <w:p w14:paraId="2E1D5FBF" w14:textId="77777777" w:rsidR="008572C5" w:rsidRPr="008572C5" w:rsidRDefault="008572C5" w:rsidP="008572C5">
            <w:pPr>
              <w:tabs>
                <w:tab w:val="left" w:pos="284"/>
              </w:tabs>
              <w:rPr>
                <w:rFonts w:ascii="Tahoma" w:hAnsi="Tahoma" w:cs="Tahoma"/>
                <w:sz w:val="22"/>
                <w:szCs w:val="22"/>
              </w:rPr>
            </w:pPr>
            <w:r w:rsidRPr="008572C5">
              <w:rPr>
                <w:rFonts w:ascii="Tahoma" w:hAnsi="Tahoma" w:cs="Tahoma"/>
                <w:sz w:val="22"/>
                <w:szCs w:val="22"/>
              </w:rPr>
              <w:t>Выдача справок по счету</w:t>
            </w:r>
          </w:p>
        </w:tc>
        <w:tc>
          <w:tcPr>
            <w:tcW w:w="5103" w:type="dxa"/>
            <w:tcBorders>
              <w:top w:val="single" w:sz="4" w:space="0" w:color="auto"/>
              <w:left w:val="single" w:sz="4" w:space="0" w:color="auto"/>
              <w:bottom w:val="single" w:sz="4" w:space="0" w:color="auto"/>
              <w:right w:val="single" w:sz="4" w:space="0" w:color="auto"/>
            </w:tcBorders>
            <w:hideMark/>
          </w:tcPr>
          <w:p w14:paraId="37EEF436" w14:textId="77777777" w:rsidR="008572C5" w:rsidRPr="008572C5" w:rsidRDefault="008572C5" w:rsidP="008572C5">
            <w:pPr>
              <w:tabs>
                <w:tab w:val="left" w:pos="284"/>
              </w:tabs>
              <w:jc w:val="center"/>
              <w:rPr>
                <w:rFonts w:ascii="Tahoma" w:hAnsi="Tahoma" w:cs="Tahoma"/>
                <w:sz w:val="22"/>
                <w:szCs w:val="22"/>
              </w:rPr>
            </w:pPr>
            <w:r w:rsidRPr="008572C5">
              <w:rPr>
                <w:rFonts w:ascii="Tahoma" w:hAnsi="Tahoma" w:cs="Tahoma"/>
                <w:sz w:val="22"/>
                <w:szCs w:val="22"/>
              </w:rPr>
              <w:t>0%</w:t>
            </w:r>
          </w:p>
        </w:tc>
      </w:tr>
      <w:tr w:rsidR="008572C5" w:rsidRPr="008572C5" w14:paraId="40F18B91" w14:textId="77777777" w:rsidTr="00090437">
        <w:trPr>
          <w:trHeight w:val="225"/>
        </w:trPr>
        <w:tc>
          <w:tcPr>
            <w:tcW w:w="3369" w:type="dxa"/>
            <w:tcBorders>
              <w:top w:val="single" w:sz="4" w:space="0" w:color="auto"/>
              <w:left w:val="single" w:sz="4" w:space="0" w:color="auto"/>
              <w:bottom w:val="single" w:sz="4" w:space="0" w:color="auto"/>
              <w:right w:val="single" w:sz="4" w:space="0" w:color="auto"/>
            </w:tcBorders>
            <w:hideMark/>
          </w:tcPr>
          <w:p w14:paraId="6A87261C" w14:textId="77777777" w:rsidR="008572C5" w:rsidRPr="008572C5" w:rsidRDefault="008572C5" w:rsidP="008572C5">
            <w:pPr>
              <w:tabs>
                <w:tab w:val="left" w:pos="284"/>
              </w:tabs>
              <w:rPr>
                <w:rFonts w:ascii="Tahoma" w:hAnsi="Tahoma" w:cs="Tahoma"/>
                <w:sz w:val="22"/>
                <w:szCs w:val="22"/>
              </w:rPr>
            </w:pPr>
            <w:r w:rsidRPr="008572C5">
              <w:rPr>
                <w:rFonts w:ascii="Tahoma" w:hAnsi="Tahoma" w:cs="Tahoma"/>
                <w:sz w:val="22"/>
                <w:szCs w:val="22"/>
              </w:rPr>
              <w:t>Закрытие счета</w:t>
            </w:r>
          </w:p>
        </w:tc>
        <w:tc>
          <w:tcPr>
            <w:tcW w:w="5103" w:type="dxa"/>
            <w:tcBorders>
              <w:top w:val="single" w:sz="4" w:space="0" w:color="auto"/>
              <w:left w:val="single" w:sz="4" w:space="0" w:color="auto"/>
              <w:bottom w:val="single" w:sz="4" w:space="0" w:color="auto"/>
              <w:right w:val="single" w:sz="4" w:space="0" w:color="auto"/>
            </w:tcBorders>
            <w:hideMark/>
          </w:tcPr>
          <w:p w14:paraId="5DCDF309" w14:textId="77777777" w:rsidR="008572C5" w:rsidRPr="008572C5" w:rsidRDefault="008572C5" w:rsidP="008572C5">
            <w:pPr>
              <w:tabs>
                <w:tab w:val="left" w:pos="284"/>
              </w:tabs>
              <w:jc w:val="center"/>
              <w:rPr>
                <w:rFonts w:ascii="Tahoma" w:hAnsi="Tahoma" w:cs="Tahoma"/>
                <w:sz w:val="22"/>
                <w:szCs w:val="22"/>
              </w:rPr>
            </w:pPr>
            <w:r w:rsidRPr="008572C5">
              <w:rPr>
                <w:rFonts w:ascii="Tahoma" w:hAnsi="Tahoma" w:cs="Tahoma"/>
                <w:sz w:val="22"/>
                <w:szCs w:val="22"/>
              </w:rPr>
              <w:t>0%</w:t>
            </w:r>
          </w:p>
        </w:tc>
      </w:tr>
      <w:tr w:rsidR="008572C5" w:rsidRPr="008572C5" w14:paraId="37D37D64" w14:textId="77777777" w:rsidTr="00090437">
        <w:trPr>
          <w:trHeight w:val="315"/>
        </w:trPr>
        <w:tc>
          <w:tcPr>
            <w:tcW w:w="3369" w:type="dxa"/>
            <w:tcBorders>
              <w:top w:val="single" w:sz="4" w:space="0" w:color="auto"/>
              <w:left w:val="single" w:sz="4" w:space="0" w:color="auto"/>
              <w:bottom w:val="single" w:sz="4" w:space="0" w:color="auto"/>
              <w:right w:val="single" w:sz="4" w:space="0" w:color="auto"/>
            </w:tcBorders>
            <w:hideMark/>
          </w:tcPr>
          <w:p w14:paraId="0D8417B7" w14:textId="77777777" w:rsidR="008572C5" w:rsidRPr="008572C5" w:rsidRDefault="008572C5" w:rsidP="008572C5">
            <w:pPr>
              <w:tabs>
                <w:tab w:val="left" w:pos="284"/>
              </w:tabs>
              <w:rPr>
                <w:rFonts w:ascii="Tahoma" w:hAnsi="Tahoma" w:cs="Tahoma"/>
                <w:sz w:val="22"/>
                <w:szCs w:val="22"/>
              </w:rPr>
            </w:pPr>
            <w:r w:rsidRPr="008572C5">
              <w:rPr>
                <w:rFonts w:ascii="Tahoma" w:hAnsi="Tahoma" w:cs="Tahoma"/>
                <w:sz w:val="22"/>
                <w:szCs w:val="22"/>
              </w:rPr>
              <w:t>Покупка/продажа металла</w:t>
            </w:r>
          </w:p>
        </w:tc>
        <w:tc>
          <w:tcPr>
            <w:tcW w:w="5103" w:type="dxa"/>
            <w:tcBorders>
              <w:top w:val="single" w:sz="4" w:space="0" w:color="auto"/>
              <w:left w:val="single" w:sz="4" w:space="0" w:color="auto"/>
              <w:bottom w:val="single" w:sz="4" w:space="0" w:color="auto"/>
              <w:right w:val="single" w:sz="4" w:space="0" w:color="auto"/>
            </w:tcBorders>
            <w:hideMark/>
          </w:tcPr>
          <w:p w14:paraId="1F8E7963" w14:textId="77777777" w:rsidR="008572C5" w:rsidRPr="008572C5" w:rsidRDefault="008572C5" w:rsidP="008572C5">
            <w:pPr>
              <w:tabs>
                <w:tab w:val="left" w:pos="284"/>
              </w:tabs>
              <w:rPr>
                <w:rFonts w:ascii="Tahoma" w:hAnsi="Tahoma" w:cs="Tahoma"/>
                <w:sz w:val="22"/>
                <w:szCs w:val="22"/>
              </w:rPr>
            </w:pPr>
            <w:r w:rsidRPr="008572C5">
              <w:rPr>
                <w:rFonts w:ascii="Tahoma" w:hAnsi="Tahoma" w:cs="Tahoma"/>
                <w:sz w:val="22"/>
                <w:szCs w:val="22"/>
              </w:rPr>
              <w:t>Без взимания вознаграждения, по курсу Банка</w:t>
            </w:r>
          </w:p>
        </w:tc>
      </w:tr>
    </w:tbl>
    <w:p w14:paraId="477E4888" w14:textId="77777777" w:rsidR="008572C5" w:rsidRPr="008572C5" w:rsidRDefault="008572C5" w:rsidP="008572C5">
      <w:pPr>
        <w:shd w:val="clear" w:color="auto" w:fill="FFFFFF"/>
        <w:ind w:firstLine="426"/>
        <w:rPr>
          <w:rFonts w:ascii="Tahoma" w:hAnsi="Tahoma" w:cs="Tahoma"/>
          <w:color w:val="000000" w:themeColor="text1"/>
          <w:sz w:val="22"/>
          <w:szCs w:val="22"/>
          <w:lang w:eastAsia="en-US"/>
        </w:rPr>
      </w:pPr>
    </w:p>
    <w:p w14:paraId="52B17620" w14:textId="5E09AE22" w:rsidR="008572C5" w:rsidRPr="008572C5" w:rsidRDefault="00DE6159" w:rsidP="000B3718">
      <w:pPr>
        <w:pStyle w:val="a5"/>
      </w:pPr>
      <w:r>
        <w:t>3.13</w:t>
      </w:r>
      <w:r w:rsidR="008572C5" w:rsidRPr="008572C5">
        <w:t>.</w:t>
      </w:r>
      <w:r w:rsidR="008572C5" w:rsidRPr="008572C5">
        <w:tab/>
        <w:t>Специальный банковский счет «Номинальный счет»</w:t>
      </w:r>
    </w:p>
    <w:p w14:paraId="7D0D98F7" w14:textId="77777777" w:rsidR="008572C5" w:rsidRPr="008572C5" w:rsidRDefault="008572C5" w:rsidP="008572C5">
      <w:pPr>
        <w:tabs>
          <w:tab w:val="left" w:pos="284"/>
          <w:tab w:val="left" w:pos="567"/>
        </w:tabs>
        <w:ind w:firstLine="426"/>
        <w:jc w:val="both"/>
        <w:rPr>
          <w:rFonts w:ascii="Tahoma" w:hAnsi="Tahoma" w:cs="Tahoma"/>
          <w:bCs/>
          <w:sz w:val="22"/>
          <w:szCs w:val="22"/>
        </w:rPr>
      </w:pPr>
      <w:r w:rsidRPr="008572C5">
        <w:rPr>
          <w:rFonts w:ascii="Tahoma" w:hAnsi="Tahoma" w:cs="Tahoma"/>
          <w:bCs/>
          <w:sz w:val="22"/>
          <w:szCs w:val="22"/>
        </w:rPr>
        <w:t>Условия:</w:t>
      </w:r>
    </w:p>
    <w:p w14:paraId="0DB238CA" w14:textId="77777777" w:rsidR="008572C5" w:rsidRPr="008572C5" w:rsidRDefault="008572C5" w:rsidP="008572C5">
      <w:pPr>
        <w:numPr>
          <w:ilvl w:val="0"/>
          <w:numId w:val="2"/>
        </w:numPr>
        <w:tabs>
          <w:tab w:val="left" w:pos="709"/>
        </w:tabs>
        <w:ind w:left="0" w:firstLine="426"/>
        <w:contextualSpacing/>
        <w:jc w:val="both"/>
        <w:rPr>
          <w:rFonts w:ascii="Tahoma" w:hAnsi="Tahoma" w:cs="Tahoma"/>
          <w:sz w:val="22"/>
          <w:szCs w:val="22"/>
        </w:rPr>
      </w:pPr>
      <w:r w:rsidRPr="008572C5">
        <w:rPr>
          <w:rFonts w:ascii="Tahoma" w:hAnsi="Tahoma" w:cs="Tahoma"/>
          <w:sz w:val="22"/>
          <w:szCs w:val="22"/>
        </w:rPr>
        <w:t>Валюта счета – рубли;</w:t>
      </w:r>
    </w:p>
    <w:p w14:paraId="09395702" w14:textId="77777777" w:rsidR="008572C5" w:rsidRPr="008572C5" w:rsidRDefault="008572C5" w:rsidP="008572C5">
      <w:pPr>
        <w:numPr>
          <w:ilvl w:val="0"/>
          <w:numId w:val="2"/>
        </w:numPr>
        <w:tabs>
          <w:tab w:val="left" w:pos="709"/>
        </w:tabs>
        <w:ind w:left="0" w:firstLine="426"/>
        <w:contextualSpacing/>
        <w:jc w:val="both"/>
        <w:rPr>
          <w:rFonts w:ascii="Tahoma" w:hAnsi="Tahoma" w:cs="Tahoma"/>
          <w:sz w:val="22"/>
          <w:szCs w:val="22"/>
        </w:rPr>
      </w:pPr>
      <w:r w:rsidRPr="008572C5">
        <w:rPr>
          <w:rFonts w:ascii="Tahoma" w:hAnsi="Tahoma" w:cs="Tahoma"/>
          <w:sz w:val="22"/>
          <w:szCs w:val="22"/>
        </w:rPr>
        <w:t>Процентная ставка – 3,50% годовых;</w:t>
      </w:r>
    </w:p>
    <w:p w14:paraId="77CB8EFC" w14:textId="77777777" w:rsidR="008572C5" w:rsidRPr="008572C5" w:rsidRDefault="008572C5" w:rsidP="008572C5">
      <w:pPr>
        <w:numPr>
          <w:ilvl w:val="0"/>
          <w:numId w:val="2"/>
        </w:numPr>
        <w:tabs>
          <w:tab w:val="left" w:pos="709"/>
        </w:tabs>
        <w:ind w:left="0" w:firstLine="426"/>
        <w:contextualSpacing/>
        <w:jc w:val="both"/>
        <w:rPr>
          <w:rFonts w:ascii="Tahoma" w:hAnsi="Tahoma" w:cs="Tahoma"/>
          <w:sz w:val="22"/>
          <w:szCs w:val="22"/>
        </w:rPr>
      </w:pPr>
      <w:r w:rsidRPr="008572C5">
        <w:rPr>
          <w:rFonts w:ascii="Tahoma" w:hAnsi="Tahoma" w:cs="Tahoma"/>
          <w:sz w:val="22"/>
          <w:szCs w:val="22"/>
        </w:rPr>
        <w:t>Срок счета – бессрочный;</w:t>
      </w:r>
    </w:p>
    <w:p w14:paraId="573960A4" w14:textId="77777777" w:rsidR="008572C5" w:rsidRPr="008572C5" w:rsidRDefault="008572C5" w:rsidP="008572C5">
      <w:pPr>
        <w:numPr>
          <w:ilvl w:val="0"/>
          <w:numId w:val="2"/>
        </w:numPr>
        <w:tabs>
          <w:tab w:val="left" w:pos="709"/>
        </w:tabs>
        <w:ind w:left="0" w:firstLine="426"/>
        <w:contextualSpacing/>
        <w:jc w:val="both"/>
        <w:rPr>
          <w:rFonts w:ascii="Tahoma" w:hAnsi="Tahoma" w:cs="Tahoma"/>
          <w:sz w:val="22"/>
          <w:szCs w:val="22"/>
        </w:rPr>
      </w:pPr>
      <w:r w:rsidRPr="008572C5">
        <w:rPr>
          <w:rFonts w:ascii="Tahoma" w:hAnsi="Tahoma" w:cs="Tahoma"/>
          <w:sz w:val="22"/>
          <w:szCs w:val="22"/>
        </w:rPr>
        <w:t>Счет пополняемый, минимальная и максимальная сумма пополнения без ограничений;</w:t>
      </w:r>
    </w:p>
    <w:p w14:paraId="4F3D6099" w14:textId="77777777" w:rsidR="008572C5" w:rsidRPr="008572C5" w:rsidRDefault="008572C5" w:rsidP="008572C5">
      <w:pPr>
        <w:numPr>
          <w:ilvl w:val="0"/>
          <w:numId w:val="2"/>
        </w:numPr>
        <w:tabs>
          <w:tab w:val="left" w:pos="709"/>
        </w:tabs>
        <w:ind w:left="0" w:firstLine="426"/>
        <w:contextualSpacing/>
        <w:jc w:val="both"/>
        <w:rPr>
          <w:rFonts w:ascii="Tahoma" w:hAnsi="Tahoma" w:cs="Tahoma"/>
          <w:sz w:val="22"/>
          <w:szCs w:val="22"/>
        </w:rPr>
      </w:pPr>
      <w:r w:rsidRPr="008572C5">
        <w:rPr>
          <w:rFonts w:ascii="Tahoma" w:hAnsi="Tahoma" w:cs="Tahoma"/>
          <w:sz w:val="22"/>
          <w:szCs w:val="22"/>
        </w:rPr>
        <w:t>Минимальная сумма открытия счета – без ограничений;</w:t>
      </w:r>
    </w:p>
    <w:p w14:paraId="00AFB271" w14:textId="77777777" w:rsidR="008572C5" w:rsidRPr="008572C5" w:rsidRDefault="008572C5" w:rsidP="008572C5">
      <w:pPr>
        <w:numPr>
          <w:ilvl w:val="0"/>
          <w:numId w:val="2"/>
        </w:numPr>
        <w:tabs>
          <w:tab w:val="left" w:pos="709"/>
        </w:tabs>
        <w:ind w:left="0" w:firstLine="426"/>
        <w:contextualSpacing/>
        <w:jc w:val="both"/>
        <w:rPr>
          <w:rFonts w:ascii="Tahoma" w:hAnsi="Tahoma" w:cs="Tahoma"/>
          <w:sz w:val="22"/>
          <w:szCs w:val="22"/>
        </w:rPr>
      </w:pPr>
      <w:r w:rsidRPr="008572C5">
        <w:rPr>
          <w:rFonts w:ascii="Tahoma" w:hAnsi="Tahoma" w:cs="Tahoma"/>
          <w:sz w:val="22"/>
          <w:szCs w:val="22"/>
        </w:rPr>
        <w:t>Максимальная сумма открытия счета – без ограничений;</w:t>
      </w:r>
    </w:p>
    <w:p w14:paraId="6F5D38E5" w14:textId="77777777" w:rsidR="008572C5" w:rsidRPr="008572C5" w:rsidRDefault="008572C5" w:rsidP="008572C5">
      <w:pPr>
        <w:numPr>
          <w:ilvl w:val="0"/>
          <w:numId w:val="2"/>
        </w:numPr>
        <w:tabs>
          <w:tab w:val="left" w:pos="709"/>
        </w:tabs>
        <w:ind w:left="0" w:firstLine="426"/>
        <w:contextualSpacing/>
        <w:jc w:val="both"/>
        <w:rPr>
          <w:rFonts w:ascii="Tahoma" w:hAnsi="Tahoma" w:cs="Tahoma"/>
          <w:sz w:val="22"/>
          <w:szCs w:val="22"/>
        </w:rPr>
      </w:pPr>
      <w:r w:rsidRPr="008572C5">
        <w:rPr>
          <w:rFonts w:ascii="Tahoma" w:hAnsi="Tahoma" w:cs="Tahoma"/>
          <w:sz w:val="22"/>
          <w:szCs w:val="22"/>
        </w:rPr>
        <w:t>Проценты по Счету причисляются к остатку счета ежеквартально, исходя из процентной ставки, установленной по данному виду Счета;</w:t>
      </w:r>
    </w:p>
    <w:p w14:paraId="665C8A99" w14:textId="77777777" w:rsidR="008572C5" w:rsidRPr="008572C5" w:rsidRDefault="008572C5" w:rsidP="008572C5">
      <w:pPr>
        <w:numPr>
          <w:ilvl w:val="0"/>
          <w:numId w:val="2"/>
        </w:numPr>
        <w:tabs>
          <w:tab w:val="left" w:pos="709"/>
        </w:tabs>
        <w:ind w:left="0" w:firstLine="426"/>
        <w:contextualSpacing/>
        <w:jc w:val="both"/>
        <w:rPr>
          <w:rFonts w:ascii="Tahoma" w:hAnsi="Tahoma" w:cs="Tahoma"/>
          <w:sz w:val="22"/>
          <w:szCs w:val="22"/>
        </w:rPr>
      </w:pPr>
      <w:r w:rsidRPr="008572C5">
        <w:rPr>
          <w:rFonts w:ascii="Tahoma" w:hAnsi="Tahoma" w:cs="Tahoma"/>
          <w:sz w:val="22"/>
          <w:szCs w:val="22"/>
        </w:rPr>
        <w:t>Частичное снятие – по Счету возможно частичное снятие с сохранением процентной ставки до минимальной суммы Счета, установленного договором;</w:t>
      </w:r>
    </w:p>
    <w:p w14:paraId="073DFA0F" w14:textId="77777777" w:rsidR="008572C5" w:rsidRPr="008572C5" w:rsidRDefault="008572C5" w:rsidP="008572C5">
      <w:pPr>
        <w:numPr>
          <w:ilvl w:val="0"/>
          <w:numId w:val="2"/>
        </w:numPr>
        <w:tabs>
          <w:tab w:val="left" w:pos="709"/>
        </w:tabs>
        <w:ind w:left="0" w:firstLine="426"/>
        <w:contextualSpacing/>
        <w:jc w:val="both"/>
        <w:rPr>
          <w:rFonts w:ascii="Tahoma" w:hAnsi="Tahoma" w:cs="Tahoma"/>
          <w:sz w:val="22"/>
          <w:szCs w:val="22"/>
        </w:rPr>
      </w:pPr>
      <w:r w:rsidRPr="008572C5">
        <w:rPr>
          <w:rFonts w:ascii="Tahoma" w:hAnsi="Tahoma" w:cs="Tahoma"/>
          <w:sz w:val="22"/>
          <w:szCs w:val="22"/>
        </w:rPr>
        <w:t>При досрочном расторжении Счета проценты выплачиваются по процентной ставке указанной в договоре на дату открытия счета исходя из фактического срока нахождения средств на Счете.</w:t>
      </w:r>
    </w:p>
    <w:p w14:paraId="6FAEC931" w14:textId="77777777" w:rsidR="008572C5" w:rsidRPr="008572C5" w:rsidRDefault="008572C5" w:rsidP="008572C5">
      <w:pPr>
        <w:tabs>
          <w:tab w:val="left" w:pos="709"/>
        </w:tabs>
        <w:ind w:left="426"/>
        <w:contextualSpacing/>
        <w:jc w:val="both"/>
        <w:rPr>
          <w:rFonts w:ascii="Tahoma" w:hAnsi="Tahoma" w:cs="Tahoma"/>
          <w:sz w:val="22"/>
          <w:szCs w:val="22"/>
        </w:rPr>
      </w:pPr>
    </w:p>
    <w:p w14:paraId="3664D48D" w14:textId="26DD8130" w:rsidR="00FE537C" w:rsidRPr="008572C5" w:rsidRDefault="00FE537C" w:rsidP="000B3718">
      <w:pPr>
        <w:pStyle w:val="a5"/>
        <w:rPr>
          <w:rFonts w:eastAsia="Calibri"/>
        </w:rPr>
      </w:pPr>
      <w:r>
        <w:rPr>
          <w:rFonts w:eastAsia="Calibri"/>
        </w:rPr>
        <w:t>3.14.</w:t>
      </w:r>
      <w:r>
        <w:rPr>
          <w:rFonts w:eastAsia="Calibri"/>
        </w:rPr>
        <w:tab/>
      </w:r>
      <w:r w:rsidRPr="008572C5">
        <w:rPr>
          <w:rFonts w:eastAsia="Calibri"/>
        </w:rPr>
        <w:t>Условия накопительного счета «АТБ. Счет»для счетов, открытых с 07.06.2022 (действуют по 20.06.2022):</w:t>
      </w:r>
    </w:p>
    <w:p w14:paraId="553AF0D3"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Валюта счета – рубли Российской Федерации (далее – рубли);</w:t>
      </w:r>
    </w:p>
    <w:p w14:paraId="5135B30E"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Срок размещения – не ограничен;</w:t>
      </w:r>
    </w:p>
    <w:p w14:paraId="14230937"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Минимальный первоначальный взнос – не ограничен;</w:t>
      </w:r>
    </w:p>
    <w:p w14:paraId="1F253064"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Пополнение счета – без ограничений;</w:t>
      </w:r>
    </w:p>
    <w:p w14:paraId="70BE22A6"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Расходные операции по счету – без ограничений;</w:t>
      </w:r>
    </w:p>
    <w:p w14:paraId="49442E98"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Сумма неснижаемого остатка – без ограничений;</w:t>
      </w:r>
    </w:p>
    <w:p w14:paraId="57BC5376"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Максимальная сумма счета – без ограничений;</w:t>
      </w:r>
    </w:p>
    <w:p w14:paraId="6EDAB253"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Периодичность выплаты процентов - ежемесячно, исходя из процентной ставки, установленной по счету и суммы Минимального остатка денежных средств¹, находящихся на счете в течение Периода²;</w:t>
      </w:r>
    </w:p>
    <w:p w14:paraId="56F81FE6"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 xml:space="preserve">Способ выплаты процентов - </w:t>
      </w:r>
      <w:r w:rsidRPr="008572C5">
        <w:rPr>
          <w:rFonts w:ascii="Tahoma" w:eastAsia="Calibri" w:hAnsi="Tahoma" w:cs="Tahoma"/>
          <w:sz w:val="22"/>
          <w:szCs w:val="22"/>
          <w:lang w:eastAsia="en-US"/>
        </w:rPr>
        <w:t>проценты по Счету причисляются к остатку денежных средств на счете ежемесячно.</w:t>
      </w:r>
    </w:p>
    <w:p w14:paraId="07EC9D3D"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Открытие счета и управлением счетом в отделениях Банка и через дистанционные каналы банковского обслуживания Интернет-банк «АТБ-Онлайн»/ Мобильный банк «АТБ-Мобайл».</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17"/>
        <w:gridCol w:w="5110"/>
      </w:tblGrid>
      <w:tr w:rsidR="00FE537C" w:rsidRPr="008572C5" w14:paraId="6227017F" w14:textId="77777777" w:rsidTr="003D2438">
        <w:trPr>
          <w:trHeight w:val="221"/>
        </w:trPr>
        <w:tc>
          <w:tcPr>
            <w:tcW w:w="3311" w:type="pct"/>
            <w:tcBorders>
              <w:top w:val="single" w:sz="4" w:space="0" w:color="auto"/>
              <w:left w:val="single" w:sz="4" w:space="0" w:color="auto"/>
              <w:right w:val="single" w:sz="4" w:space="0" w:color="auto"/>
            </w:tcBorders>
            <w:hideMark/>
          </w:tcPr>
          <w:p w14:paraId="1B58E91B" w14:textId="77777777" w:rsidR="00FE537C" w:rsidRPr="008572C5" w:rsidRDefault="00FE537C" w:rsidP="003D2438">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 xml:space="preserve">Условия начисления процентов </w:t>
            </w:r>
          </w:p>
        </w:tc>
        <w:tc>
          <w:tcPr>
            <w:tcW w:w="1689" w:type="pct"/>
            <w:tcBorders>
              <w:top w:val="single" w:sz="4" w:space="0" w:color="auto"/>
              <w:left w:val="single" w:sz="4" w:space="0" w:color="auto"/>
              <w:right w:val="single" w:sz="4" w:space="0" w:color="auto"/>
            </w:tcBorders>
            <w:hideMark/>
          </w:tcPr>
          <w:p w14:paraId="3CF37046" w14:textId="77777777" w:rsidR="00FE537C" w:rsidRPr="008572C5" w:rsidRDefault="00FE537C" w:rsidP="003D2438">
            <w:pPr>
              <w:widowControl w:val="0"/>
              <w:tabs>
                <w:tab w:val="left" w:pos="426"/>
                <w:tab w:val="left" w:pos="851"/>
                <w:tab w:val="right" w:pos="10206"/>
              </w:tabs>
              <w:adjustRightInd w:val="0"/>
              <w:jc w:val="center"/>
              <w:rPr>
                <w:rFonts w:ascii="Tahoma" w:hAnsi="Tahoma" w:cs="Tahoma"/>
                <w:bCs/>
                <w:iCs/>
                <w:sz w:val="22"/>
                <w:szCs w:val="22"/>
              </w:rPr>
            </w:pPr>
            <w:r w:rsidRPr="008572C5">
              <w:rPr>
                <w:rFonts w:ascii="Tahoma" w:hAnsi="Tahoma" w:cs="Tahoma"/>
                <w:bCs/>
                <w:iCs/>
                <w:sz w:val="22"/>
                <w:szCs w:val="22"/>
              </w:rPr>
              <w:t>Процентная ставка, % годовых</w:t>
            </w:r>
          </w:p>
        </w:tc>
      </w:tr>
      <w:tr w:rsidR="00FE537C" w:rsidRPr="008572C5" w14:paraId="7A892855" w14:textId="77777777" w:rsidTr="003D2438">
        <w:trPr>
          <w:trHeight w:val="70"/>
        </w:trPr>
        <w:tc>
          <w:tcPr>
            <w:tcW w:w="3311" w:type="pct"/>
            <w:tcBorders>
              <w:top w:val="single" w:sz="4" w:space="0" w:color="auto"/>
              <w:left w:val="single" w:sz="4" w:space="0" w:color="auto"/>
              <w:bottom w:val="single" w:sz="4" w:space="0" w:color="auto"/>
              <w:right w:val="single" w:sz="4" w:space="0" w:color="auto"/>
            </w:tcBorders>
          </w:tcPr>
          <w:p w14:paraId="0D715DB3" w14:textId="77777777" w:rsidR="00FE537C" w:rsidRPr="008572C5" w:rsidRDefault="00FE537C" w:rsidP="003D2438">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Минимальный остаток по счету¹</w:t>
            </w:r>
          </w:p>
        </w:tc>
        <w:tc>
          <w:tcPr>
            <w:tcW w:w="1689" w:type="pct"/>
            <w:tcBorders>
              <w:top w:val="single" w:sz="4" w:space="0" w:color="auto"/>
              <w:left w:val="single" w:sz="4" w:space="0" w:color="auto"/>
              <w:bottom w:val="single" w:sz="4" w:space="0" w:color="auto"/>
              <w:right w:val="single" w:sz="4" w:space="0" w:color="auto"/>
            </w:tcBorders>
            <w:vAlign w:val="center"/>
          </w:tcPr>
          <w:p w14:paraId="51245978" w14:textId="77777777" w:rsidR="00FE537C" w:rsidRPr="008572C5" w:rsidRDefault="00FE537C" w:rsidP="003D2438">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11,00</w:t>
            </w:r>
          </w:p>
        </w:tc>
      </w:tr>
    </w:tbl>
    <w:p w14:paraId="7ADD399D" w14:textId="77777777" w:rsidR="00FE537C" w:rsidRPr="008572C5" w:rsidRDefault="00FE537C" w:rsidP="00FE537C">
      <w:pPr>
        <w:jc w:val="both"/>
        <w:rPr>
          <w:rFonts w:ascii="Tahoma" w:eastAsia="Calibri" w:hAnsi="Tahoma" w:cs="Tahoma"/>
          <w:bCs/>
          <w:sz w:val="22"/>
          <w:szCs w:val="22"/>
          <w:lang w:eastAsia="en-US"/>
        </w:rPr>
      </w:pPr>
    </w:p>
    <w:p w14:paraId="13F83C3E" w14:textId="77777777" w:rsidR="00FE537C" w:rsidRPr="008572C5" w:rsidRDefault="00FE537C" w:rsidP="00FE537C">
      <w:pPr>
        <w:ind w:left="-284" w:firstLine="284"/>
        <w:jc w:val="both"/>
        <w:rPr>
          <w:rFonts w:ascii="Tahoma" w:eastAsia="Calibri" w:hAnsi="Tahoma" w:cs="Tahoma"/>
          <w:sz w:val="18"/>
          <w:szCs w:val="18"/>
          <w:lang w:eastAsia="en-US"/>
        </w:rPr>
      </w:pPr>
      <w:r w:rsidRPr="008572C5">
        <w:rPr>
          <w:rFonts w:ascii="Tahoma" w:eastAsia="Calibri" w:hAnsi="Tahoma" w:cs="Tahoma"/>
          <w:sz w:val="18"/>
          <w:szCs w:val="18"/>
          <w:vertAlign w:val="superscript"/>
          <w:lang w:eastAsia="en-US"/>
        </w:rPr>
        <w:t>1</w:t>
      </w:r>
      <w:r w:rsidRPr="008572C5">
        <w:rPr>
          <w:rFonts w:ascii="Tahoma" w:eastAsia="Calibri" w:hAnsi="Tahoma" w:cs="Tahoma"/>
          <w:sz w:val="18"/>
          <w:szCs w:val="18"/>
          <w:lang w:eastAsia="en-US"/>
        </w:rPr>
        <w:t>Минимальный остаток по Счету – рассчитывается исходя из ежедневных остатков денежных средств на Счете Клиента в течение Периода</w:t>
      </w:r>
      <w:r w:rsidRPr="008572C5">
        <w:rPr>
          <w:rFonts w:ascii="Tahoma" w:eastAsia="Calibri" w:hAnsi="Tahoma" w:cs="Tahoma"/>
          <w:sz w:val="18"/>
          <w:szCs w:val="18"/>
          <w:vertAlign w:val="superscript"/>
          <w:lang w:eastAsia="en-US"/>
        </w:rPr>
        <w:t>2</w:t>
      </w:r>
      <w:r w:rsidRPr="008572C5">
        <w:rPr>
          <w:rFonts w:ascii="Tahoma" w:eastAsia="Calibri" w:hAnsi="Tahoma" w:cs="Tahoma"/>
          <w:sz w:val="18"/>
          <w:szCs w:val="18"/>
          <w:lang w:eastAsia="en-US"/>
        </w:rPr>
        <w:t>. Проценты за весь Период начисляются на  сумму минимального остатка денежных средств на Счете, который образуется на начало любого из дней в течение Периода, за который осуществляется выплата процентов Банком Клиенту, при этом выплата процентов за Период производится на Счет в последний день Периода.</w:t>
      </w:r>
    </w:p>
    <w:p w14:paraId="352BC1E8" w14:textId="77777777" w:rsidR="00FE537C" w:rsidRPr="008572C5" w:rsidRDefault="00FE537C" w:rsidP="00FE537C">
      <w:pPr>
        <w:ind w:left="-284" w:firstLine="284"/>
        <w:jc w:val="both"/>
        <w:rPr>
          <w:rFonts w:ascii="Tahoma" w:hAnsi="Tahoma" w:cs="Tahoma"/>
          <w:sz w:val="18"/>
          <w:szCs w:val="18"/>
        </w:rPr>
      </w:pPr>
      <w:r w:rsidRPr="008572C5">
        <w:rPr>
          <w:rFonts w:ascii="Tahoma" w:hAnsi="Tahoma" w:cs="Tahoma"/>
          <w:sz w:val="18"/>
          <w:szCs w:val="18"/>
          <w:vertAlign w:val="superscript"/>
        </w:rPr>
        <w:t>2</w:t>
      </w:r>
      <w:r w:rsidRPr="008572C5">
        <w:rPr>
          <w:rFonts w:ascii="Tahoma" w:hAnsi="Tahoma" w:cs="Tahoma"/>
          <w:sz w:val="18"/>
          <w:szCs w:val="18"/>
        </w:rPr>
        <w:t>Период – временной период, за который Клиенту Банком на Минимальный остаток средств на Счете начисляются проценты.  Первый Период исчисляется со дня, следующего за днем внесения денежных средств на Счет до календарного дня в следующем месяце, соответствующего дню открытия Счета включительно. Последующие Периоды исчисляются ежемесячно со дня, следующего после дня окончания предыдущего Периода до календарного дня в следующем месяце, соответствующего дню открытия Счета включительно.</w:t>
      </w:r>
    </w:p>
    <w:p w14:paraId="6ABAC1A3" w14:textId="77777777" w:rsidR="00FE537C" w:rsidRPr="008572C5" w:rsidRDefault="00FE537C" w:rsidP="00FE537C">
      <w:pPr>
        <w:ind w:left="-284" w:firstLine="284"/>
        <w:jc w:val="both"/>
        <w:rPr>
          <w:rFonts w:ascii="Tahoma" w:hAnsi="Tahoma" w:cs="Tahoma"/>
          <w:sz w:val="22"/>
          <w:szCs w:val="22"/>
        </w:rPr>
      </w:pPr>
      <w:r w:rsidRPr="008572C5">
        <w:rPr>
          <w:rFonts w:ascii="Tahoma" w:hAnsi="Tahoma" w:cs="Tahoma"/>
          <w:sz w:val="22"/>
          <w:szCs w:val="22"/>
        </w:rPr>
        <w:t>Размеры процентных ставок определяются Тарифами Банка. В случае внесения изменений в Тарифы Банка Банк информирует Клиента путем размещения информации об изменениях на Официальном сайте Банка и (или) в подразделениях Банка, и (или) через каналы дистанционного банковского обслуживания Интернет-банк «АТБ-Онлайн»/ Мобильный банк «АТБ-Мобайл» не менее чем за 3 рабочих дня до даты вступления изменений в силу.</w:t>
      </w:r>
    </w:p>
    <w:p w14:paraId="19A37AAF" w14:textId="77777777" w:rsidR="00FE537C" w:rsidRPr="008572C5" w:rsidRDefault="00FE537C" w:rsidP="00FE537C">
      <w:pPr>
        <w:ind w:left="-284" w:firstLine="284"/>
        <w:jc w:val="both"/>
        <w:rPr>
          <w:rFonts w:ascii="Tahoma" w:hAnsi="Tahoma" w:cs="Tahoma"/>
        </w:rPr>
      </w:pPr>
    </w:p>
    <w:p w14:paraId="2FA657B4" w14:textId="436294A2" w:rsidR="00FE537C" w:rsidRPr="008572C5" w:rsidRDefault="00FE537C" w:rsidP="000B3718">
      <w:pPr>
        <w:pStyle w:val="a5"/>
        <w:rPr>
          <w:rFonts w:eastAsia="Calibri"/>
        </w:rPr>
      </w:pPr>
      <w:r>
        <w:rPr>
          <w:rFonts w:eastAsia="Calibri"/>
        </w:rPr>
        <w:t>3.15.</w:t>
      </w:r>
      <w:r>
        <w:rPr>
          <w:rFonts w:eastAsia="Calibri"/>
        </w:rPr>
        <w:tab/>
      </w:r>
      <w:r w:rsidRPr="008572C5">
        <w:rPr>
          <w:rFonts w:eastAsia="Calibri"/>
        </w:rPr>
        <w:t>Условия накопительного счета «АТБ. Счет» для счетов, открытых с 07.06.2022 (действуют с 21.06.2022 по 04.08.2022):</w:t>
      </w:r>
    </w:p>
    <w:p w14:paraId="1B7F5CD9"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Валюта счета – рубли Российской Федерации (далее – рубли);</w:t>
      </w:r>
    </w:p>
    <w:p w14:paraId="0019BD1D"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Срок размещения – не ограничен;</w:t>
      </w:r>
    </w:p>
    <w:p w14:paraId="7678B190"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Минимальный первоначальный взнос – не ограничен;</w:t>
      </w:r>
    </w:p>
    <w:p w14:paraId="0F40CBB7"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Пополнение счета – без ограничений;</w:t>
      </w:r>
    </w:p>
    <w:p w14:paraId="43D3EA0C"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Расходные операции по счету – без ограничений;</w:t>
      </w:r>
    </w:p>
    <w:p w14:paraId="33C69B89"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Сумма неснижаемого остатка – без ограничений;</w:t>
      </w:r>
    </w:p>
    <w:p w14:paraId="6549B40E"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Максимальная сумма счета – без ограничений;</w:t>
      </w:r>
    </w:p>
    <w:p w14:paraId="578D5C65"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Периодичность выплаты процентов - ежемесячно, исходя из процентной ставки, установленной по счету и суммы Минимального остатка денежных средств¹, находящихся на счете в течение Периода²;</w:t>
      </w:r>
    </w:p>
    <w:p w14:paraId="651E6A54"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 xml:space="preserve">Способ выплаты процентов - </w:t>
      </w:r>
      <w:r w:rsidRPr="008572C5">
        <w:rPr>
          <w:rFonts w:ascii="Tahoma" w:eastAsia="Calibri" w:hAnsi="Tahoma" w:cs="Tahoma"/>
          <w:sz w:val="22"/>
          <w:szCs w:val="22"/>
          <w:lang w:eastAsia="en-US"/>
        </w:rPr>
        <w:t>проценты по Счету причисляются к остатку денежных средств на счете ежемесячно.</w:t>
      </w:r>
    </w:p>
    <w:p w14:paraId="5AE1F7F9"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Открытие счета и управлением счетом в отделениях Банка и через дистанционные каналы банковского обслуживания Интернет-банк «АТБ-Онлайн»/ Мобильный банк «АТБ-Мобайл».</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17"/>
        <w:gridCol w:w="5110"/>
      </w:tblGrid>
      <w:tr w:rsidR="00FE537C" w:rsidRPr="008572C5" w14:paraId="1E4A8E96" w14:textId="77777777" w:rsidTr="003D2438">
        <w:trPr>
          <w:trHeight w:val="221"/>
        </w:trPr>
        <w:tc>
          <w:tcPr>
            <w:tcW w:w="3311" w:type="pct"/>
            <w:tcBorders>
              <w:top w:val="single" w:sz="4" w:space="0" w:color="auto"/>
              <w:left w:val="single" w:sz="4" w:space="0" w:color="auto"/>
              <w:right w:val="single" w:sz="4" w:space="0" w:color="auto"/>
            </w:tcBorders>
            <w:hideMark/>
          </w:tcPr>
          <w:p w14:paraId="29F2F508" w14:textId="77777777" w:rsidR="00FE537C" w:rsidRPr="008572C5" w:rsidRDefault="00FE537C" w:rsidP="003D2438">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 xml:space="preserve">Условия начисления процентов </w:t>
            </w:r>
          </w:p>
        </w:tc>
        <w:tc>
          <w:tcPr>
            <w:tcW w:w="1689" w:type="pct"/>
            <w:tcBorders>
              <w:top w:val="single" w:sz="4" w:space="0" w:color="auto"/>
              <w:left w:val="single" w:sz="4" w:space="0" w:color="auto"/>
              <w:right w:val="single" w:sz="4" w:space="0" w:color="auto"/>
            </w:tcBorders>
            <w:hideMark/>
          </w:tcPr>
          <w:p w14:paraId="68AF0B1F" w14:textId="77777777" w:rsidR="00FE537C" w:rsidRPr="008572C5" w:rsidRDefault="00FE537C" w:rsidP="003D2438">
            <w:pPr>
              <w:widowControl w:val="0"/>
              <w:tabs>
                <w:tab w:val="left" w:pos="426"/>
                <w:tab w:val="left" w:pos="851"/>
                <w:tab w:val="right" w:pos="10206"/>
              </w:tabs>
              <w:adjustRightInd w:val="0"/>
              <w:jc w:val="center"/>
              <w:rPr>
                <w:rFonts w:ascii="Tahoma" w:hAnsi="Tahoma" w:cs="Tahoma"/>
                <w:bCs/>
                <w:iCs/>
                <w:sz w:val="22"/>
                <w:szCs w:val="22"/>
              </w:rPr>
            </w:pPr>
            <w:r w:rsidRPr="008572C5">
              <w:rPr>
                <w:rFonts w:ascii="Tahoma" w:hAnsi="Tahoma" w:cs="Tahoma"/>
                <w:bCs/>
                <w:iCs/>
                <w:sz w:val="22"/>
                <w:szCs w:val="22"/>
              </w:rPr>
              <w:t>Процентная ставка, % годовых</w:t>
            </w:r>
          </w:p>
        </w:tc>
      </w:tr>
      <w:tr w:rsidR="00FE537C" w:rsidRPr="008572C5" w14:paraId="1D28EEB8" w14:textId="77777777" w:rsidTr="003D2438">
        <w:trPr>
          <w:trHeight w:val="70"/>
        </w:trPr>
        <w:tc>
          <w:tcPr>
            <w:tcW w:w="3311" w:type="pct"/>
            <w:tcBorders>
              <w:top w:val="single" w:sz="4" w:space="0" w:color="auto"/>
              <w:left w:val="single" w:sz="4" w:space="0" w:color="auto"/>
              <w:bottom w:val="single" w:sz="4" w:space="0" w:color="auto"/>
              <w:right w:val="single" w:sz="4" w:space="0" w:color="auto"/>
            </w:tcBorders>
          </w:tcPr>
          <w:p w14:paraId="2D4CE0AB" w14:textId="77777777" w:rsidR="00FE537C" w:rsidRPr="008572C5" w:rsidRDefault="00FE537C" w:rsidP="003D2438">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Минимальный остаток по счету¹</w:t>
            </w:r>
          </w:p>
        </w:tc>
        <w:tc>
          <w:tcPr>
            <w:tcW w:w="1689" w:type="pct"/>
            <w:tcBorders>
              <w:top w:val="single" w:sz="4" w:space="0" w:color="auto"/>
              <w:left w:val="single" w:sz="4" w:space="0" w:color="auto"/>
              <w:bottom w:val="single" w:sz="4" w:space="0" w:color="auto"/>
              <w:right w:val="single" w:sz="4" w:space="0" w:color="auto"/>
            </w:tcBorders>
            <w:vAlign w:val="center"/>
          </w:tcPr>
          <w:p w14:paraId="7953C13B" w14:textId="77777777" w:rsidR="00FE537C" w:rsidRPr="008572C5" w:rsidRDefault="00FE537C" w:rsidP="003D2438">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9,50</w:t>
            </w:r>
          </w:p>
        </w:tc>
      </w:tr>
    </w:tbl>
    <w:p w14:paraId="465ACD1A" w14:textId="77777777" w:rsidR="00FE537C" w:rsidRPr="008572C5" w:rsidRDefault="00FE537C" w:rsidP="00FE537C">
      <w:pPr>
        <w:jc w:val="both"/>
        <w:rPr>
          <w:rFonts w:ascii="Tahoma" w:eastAsia="Calibri" w:hAnsi="Tahoma" w:cs="Tahoma"/>
          <w:bCs/>
          <w:sz w:val="22"/>
          <w:szCs w:val="22"/>
          <w:lang w:eastAsia="en-US"/>
        </w:rPr>
      </w:pPr>
    </w:p>
    <w:p w14:paraId="247B4A7E" w14:textId="77777777" w:rsidR="00FE537C" w:rsidRPr="008572C5" w:rsidRDefault="00FE537C" w:rsidP="00FE537C">
      <w:pPr>
        <w:ind w:left="-284" w:firstLine="284"/>
        <w:jc w:val="both"/>
        <w:rPr>
          <w:rFonts w:ascii="Tahoma" w:eastAsia="Calibri" w:hAnsi="Tahoma" w:cs="Tahoma"/>
          <w:sz w:val="18"/>
          <w:szCs w:val="18"/>
          <w:lang w:eastAsia="en-US"/>
        </w:rPr>
      </w:pPr>
      <w:r w:rsidRPr="008572C5">
        <w:rPr>
          <w:rFonts w:ascii="Tahoma" w:eastAsia="Calibri" w:hAnsi="Tahoma" w:cs="Tahoma"/>
          <w:sz w:val="18"/>
          <w:szCs w:val="18"/>
          <w:vertAlign w:val="superscript"/>
          <w:lang w:eastAsia="en-US"/>
        </w:rPr>
        <w:t>1</w:t>
      </w:r>
      <w:r w:rsidRPr="008572C5">
        <w:rPr>
          <w:rFonts w:ascii="Tahoma" w:eastAsia="Calibri" w:hAnsi="Tahoma" w:cs="Tahoma"/>
          <w:sz w:val="18"/>
          <w:szCs w:val="18"/>
          <w:lang w:eastAsia="en-US"/>
        </w:rPr>
        <w:t>Минимальный остаток по Счету – рассчитывается исходя из ежедневных остатков денежных средств на Счете Клиента в течение Периода</w:t>
      </w:r>
      <w:r w:rsidRPr="008572C5">
        <w:rPr>
          <w:rFonts w:ascii="Tahoma" w:eastAsia="Calibri" w:hAnsi="Tahoma" w:cs="Tahoma"/>
          <w:sz w:val="18"/>
          <w:szCs w:val="18"/>
          <w:vertAlign w:val="superscript"/>
          <w:lang w:eastAsia="en-US"/>
        </w:rPr>
        <w:t>2</w:t>
      </w:r>
      <w:r w:rsidRPr="008572C5">
        <w:rPr>
          <w:rFonts w:ascii="Tahoma" w:eastAsia="Calibri" w:hAnsi="Tahoma" w:cs="Tahoma"/>
          <w:sz w:val="18"/>
          <w:szCs w:val="18"/>
          <w:lang w:eastAsia="en-US"/>
        </w:rPr>
        <w:t>. Проценты за весь Период начисляются на  сумму минимального остатка денежных средств на Счете, который образуется на начало любого из дней в течение Периода, за который осуществляется выплата процентов Банком Клиенту, при этом выплата процентов за Период производится на Счет в последний день Периода.</w:t>
      </w:r>
    </w:p>
    <w:p w14:paraId="28E59AC4" w14:textId="77777777" w:rsidR="00FE537C" w:rsidRPr="008572C5" w:rsidRDefault="00FE537C" w:rsidP="00FE537C">
      <w:pPr>
        <w:ind w:left="-284" w:firstLine="284"/>
        <w:jc w:val="both"/>
        <w:rPr>
          <w:rFonts w:ascii="Tahoma" w:hAnsi="Tahoma" w:cs="Tahoma"/>
          <w:sz w:val="18"/>
          <w:szCs w:val="18"/>
        </w:rPr>
      </w:pPr>
      <w:r w:rsidRPr="008572C5">
        <w:rPr>
          <w:rFonts w:ascii="Tahoma" w:hAnsi="Tahoma" w:cs="Tahoma"/>
          <w:sz w:val="18"/>
          <w:szCs w:val="18"/>
          <w:vertAlign w:val="superscript"/>
        </w:rPr>
        <w:t>2</w:t>
      </w:r>
      <w:r w:rsidRPr="008572C5">
        <w:rPr>
          <w:rFonts w:ascii="Tahoma" w:hAnsi="Tahoma" w:cs="Tahoma"/>
          <w:sz w:val="18"/>
          <w:szCs w:val="18"/>
        </w:rPr>
        <w:t>Период – временной период, за который Клиенту Банком на Минимальный остаток средств на Счете начисляются проценты.  Первый Период исчисляется со дня, следующего за днем внесения денежных средств на Счет до календарного дня в следующем месяце, соответствующего дню открытия Счета включительно. Последующие Периоды исчисляются ежемесячно со дня, следующего после дня окончания предыдущего Периода до календарного дня в следующем месяце, соответствующего дню открытия Счета включительно.</w:t>
      </w:r>
    </w:p>
    <w:p w14:paraId="0B6F26A0" w14:textId="77777777" w:rsidR="00FE537C" w:rsidRPr="008572C5" w:rsidRDefault="00FE537C" w:rsidP="00FE537C">
      <w:pPr>
        <w:ind w:left="-284" w:firstLine="284"/>
        <w:jc w:val="both"/>
        <w:rPr>
          <w:rFonts w:ascii="Tahoma" w:hAnsi="Tahoma" w:cs="Tahoma"/>
          <w:sz w:val="22"/>
          <w:szCs w:val="22"/>
        </w:rPr>
      </w:pPr>
      <w:r w:rsidRPr="008572C5">
        <w:rPr>
          <w:rFonts w:ascii="Tahoma" w:hAnsi="Tahoma" w:cs="Tahoma"/>
          <w:sz w:val="22"/>
          <w:szCs w:val="22"/>
        </w:rPr>
        <w:t>Размеры процентных ставок определяются Тарифами Банка. В случае внесения изменений в Тарифы Банка Банк информирует Клиента путем размещения информации об изменениях на Официальном сайте Банка и (или) в подразделениях Банка, и (или) через каналы дистанционного банковского обслуживания Интернет-банк «АТБ-Онлайн»/ Мобильный банк «АТБ-Мобайл» не менее чем за 3 рабочих дня до даты вступления изменений в силу.</w:t>
      </w:r>
    </w:p>
    <w:p w14:paraId="42297E4C" w14:textId="77777777" w:rsidR="00FE537C" w:rsidRPr="008572C5" w:rsidRDefault="00FE537C" w:rsidP="00FE537C">
      <w:pPr>
        <w:tabs>
          <w:tab w:val="left" w:pos="709"/>
        </w:tabs>
        <w:ind w:left="426"/>
        <w:contextualSpacing/>
        <w:jc w:val="both"/>
        <w:rPr>
          <w:rFonts w:ascii="Tahoma" w:eastAsia="Calibri" w:hAnsi="Tahoma" w:cs="Tahoma"/>
          <w:b/>
          <w:bCs/>
          <w:color w:val="F79646" w:themeColor="accent6"/>
          <w:sz w:val="22"/>
          <w:szCs w:val="22"/>
          <w:lang w:eastAsia="en-US"/>
        </w:rPr>
      </w:pPr>
    </w:p>
    <w:p w14:paraId="4CDF0FF6" w14:textId="6DA91B5C" w:rsidR="00FE537C" w:rsidRPr="008572C5" w:rsidRDefault="00FE537C" w:rsidP="000B3718">
      <w:pPr>
        <w:pStyle w:val="a5"/>
        <w:rPr>
          <w:rFonts w:eastAsia="Calibri"/>
        </w:rPr>
      </w:pPr>
      <w:r>
        <w:rPr>
          <w:rFonts w:eastAsia="Calibri"/>
        </w:rPr>
        <w:t>3.16.</w:t>
      </w:r>
      <w:r>
        <w:rPr>
          <w:rFonts w:eastAsia="Calibri"/>
        </w:rPr>
        <w:tab/>
      </w:r>
      <w:r w:rsidRPr="008572C5">
        <w:rPr>
          <w:rFonts w:eastAsia="Calibri"/>
        </w:rPr>
        <w:t>Условия накопительного счета «АТБ. Счет» для счетов, открытых с 07.06.2022</w:t>
      </w:r>
      <w:r w:rsidRPr="008572C5">
        <w:rPr>
          <w:rFonts w:eastAsia="Calibri"/>
          <w:color w:val="FF0000"/>
        </w:rPr>
        <w:t xml:space="preserve"> </w:t>
      </w:r>
      <w:r w:rsidRPr="008572C5">
        <w:rPr>
          <w:rFonts w:eastAsia="Calibri"/>
        </w:rPr>
        <w:t>(действуют с 05.08.2022 по 11.09.2022):</w:t>
      </w:r>
    </w:p>
    <w:p w14:paraId="24742EDB"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Валюта счета – рубли Российской Федерации (далее – рубли);</w:t>
      </w:r>
    </w:p>
    <w:p w14:paraId="18363CE9"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Срок размещения – не ограничен;</w:t>
      </w:r>
    </w:p>
    <w:p w14:paraId="73CB76B5"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Минимальный первоначальный взнос – не ограничен;</w:t>
      </w:r>
    </w:p>
    <w:p w14:paraId="5F95E335"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Пополнение счета – без ограничений;</w:t>
      </w:r>
    </w:p>
    <w:p w14:paraId="143A3FFF"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Расходные операции по счету – без ограничений;</w:t>
      </w:r>
    </w:p>
    <w:p w14:paraId="19B5E804"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Сумма неснижаемого остатка – без ограничений;</w:t>
      </w:r>
    </w:p>
    <w:p w14:paraId="729294C7"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Максимальная сумма счета – без ограничений;</w:t>
      </w:r>
    </w:p>
    <w:p w14:paraId="7C628063"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Периодичность выплаты процентов - ежемесячно, исходя из процентной ставки, установленной по счету и суммы Минимального остатка денежных средств¹, находящихся на счете в течение Периода²;</w:t>
      </w:r>
    </w:p>
    <w:p w14:paraId="69E45DF5"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 xml:space="preserve">Способ выплаты процентов - </w:t>
      </w:r>
      <w:r w:rsidRPr="008572C5">
        <w:rPr>
          <w:rFonts w:ascii="Tahoma" w:eastAsia="Calibri" w:hAnsi="Tahoma" w:cs="Tahoma"/>
          <w:sz w:val="22"/>
          <w:szCs w:val="22"/>
          <w:lang w:eastAsia="en-US"/>
        </w:rPr>
        <w:t>проценты по Счету причисляются к остатку денежных средств на счете ежемесячно.</w:t>
      </w:r>
    </w:p>
    <w:p w14:paraId="78F573EA"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Открытие счета и управлением счетом в отделениях Банка и через дистанционные каналы банковского обслуживания Интернет-банк «АТБ-Онлайн»/ Мобильный банк «АТБ-Мобайл».</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17"/>
        <w:gridCol w:w="5110"/>
      </w:tblGrid>
      <w:tr w:rsidR="00FE537C" w:rsidRPr="008572C5" w14:paraId="09F38334" w14:textId="77777777" w:rsidTr="003D2438">
        <w:trPr>
          <w:trHeight w:val="221"/>
        </w:trPr>
        <w:tc>
          <w:tcPr>
            <w:tcW w:w="3311" w:type="pct"/>
            <w:tcBorders>
              <w:top w:val="single" w:sz="4" w:space="0" w:color="auto"/>
              <w:left w:val="single" w:sz="4" w:space="0" w:color="auto"/>
              <w:right w:val="single" w:sz="4" w:space="0" w:color="auto"/>
            </w:tcBorders>
            <w:hideMark/>
          </w:tcPr>
          <w:p w14:paraId="7B6CD822" w14:textId="77777777" w:rsidR="00FE537C" w:rsidRPr="008572C5" w:rsidRDefault="00FE537C" w:rsidP="003D2438">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 xml:space="preserve">Условия начисления процентов </w:t>
            </w:r>
          </w:p>
        </w:tc>
        <w:tc>
          <w:tcPr>
            <w:tcW w:w="1689" w:type="pct"/>
            <w:tcBorders>
              <w:top w:val="single" w:sz="4" w:space="0" w:color="auto"/>
              <w:left w:val="single" w:sz="4" w:space="0" w:color="auto"/>
              <w:right w:val="single" w:sz="4" w:space="0" w:color="auto"/>
            </w:tcBorders>
            <w:hideMark/>
          </w:tcPr>
          <w:p w14:paraId="19AC8192" w14:textId="77777777" w:rsidR="00FE537C" w:rsidRPr="008572C5" w:rsidRDefault="00FE537C" w:rsidP="003D2438">
            <w:pPr>
              <w:widowControl w:val="0"/>
              <w:tabs>
                <w:tab w:val="left" w:pos="426"/>
                <w:tab w:val="left" w:pos="851"/>
                <w:tab w:val="right" w:pos="10206"/>
              </w:tabs>
              <w:adjustRightInd w:val="0"/>
              <w:jc w:val="center"/>
              <w:rPr>
                <w:rFonts w:ascii="Tahoma" w:hAnsi="Tahoma" w:cs="Tahoma"/>
                <w:bCs/>
                <w:iCs/>
                <w:sz w:val="22"/>
                <w:szCs w:val="22"/>
              </w:rPr>
            </w:pPr>
            <w:r w:rsidRPr="008572C5">
              <w:rPr>
                <w:rFonts w:ascii="Tahoma" w:hAnsi="Tahoma" w:cs="Tahoma"/>
                <w:bCs/>
                <w:iCs/>
                <w:sz w:val="22"/>
                <w:szCs w:val="22"/>
              </w:rPr>
              <w:t>Процентная ставка, % годовых</w:t>
            </w:r>
          </w:p>
        </w:tc>
      </w:tr>
      <w:tr w:rsidR="00FE537C" w:rsidRPr="008572C5" w14:paraId="02C38309" w14:textId="77777777" w:rsidTr="003D2438">
        <w:trPr>
          <w:trHeight w:val="70"/>
        </w:trPr>
        <w:tc>
          <w:tcPr>
            <w:tcW w:w="3311" w:type="pct"/>
            <w:tcBorders>
              <w:top w:val="single" w:sz="4" w:space="0" w:color="auto"/>
              <w:left w:val="single" w:sz="4" w:space="0" w:color="auto"/>
              <w:bottom w:val="single" w:sz="4" w:space="0" w:color="auto"/>
              <w:right w:val="single" w:sz="4" w:space="0" w:color="auto"/>
            </w:tcBorders>
          </w:tcPr>
          <w:p w14:paraId="5DFD081A" w14:textId="77777777" w:rsidR="00FE537C" w:rsidRPr="008572C5" w:rsidRDefault="00FE537C" w:rsidP="003D2438">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Минимальный остаток по счету¹</w:t>
            </w:r>
          </w:p>
        </w:tc>
        <w:tc>
          <w:tcPr>
            <w:tcW w:w="1689" w:type="pct"/>
            <w:tcBorders>
              <w:top w:val="single" w:sz="4" w:space="0" w:color="auto"/>
              <w:left w:val="single" w:sz="4" w:space="0" w:color="auto"/>
              <w:bottom w:val="single" w:sz="4" w:space="0" w:color="auto"/>
              <w:right w:val="single" w:sz="4" w:space="0" w:color="auto"/>
            </w:tcBorders>
            <w:vAlign w:val="center"/>
          </w:tcPr>
          <w:p w14:paraId="4F2CBFB6" w14:textId="77777777" w:rsidR="00FE537C" w:rsidRPr="008572C5" w:rsidRDefault="00FE537C" w:rsidP="003D2438">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8,50</w:t>
            </w:r>
          </w:p>
        </w:tc>
      </w:tr>
    </w:tbl>
    <w:p w14:paraId="2186A28C" w14:textId="77777777" w:rsidR="00FE537C" w:rsidRPr="008572C5" w:rsidRDefault="00FE537C" w:rsidP="00FE537C">
      <w:pPr>
        <w:jc w:val="both"/>
        <w:rPr>
          <w:rFonts w:ascii="Tahoma" w:eastAsia="Calibri" w:hAnsi="Tahoma" w:cs="Tahoma"/>
          <w:bCs/>
          <w:sz w:val="22"/>
          <w:szCs w:val="22"/>
          <w:lang w:eastAsia="en-US"/>
        </w:rPr>
      </w:pPr>
    </w:p>
    <w:p w14:paraId="4516AA21" w14:textId="77777777" w:rsidR="00FE537C" w:rsidRPr="008572C5" w:rsidRDefault="00FE537C" w:rsidP="00FE537C">
      <w:pPr>
        <w:ind w:left="-284" w:firstLine="284"/>
        <w:jc w:val="both"/>
        <w:rPr>
          <w:rFonts w:ascii="Tahoma" w:eastAsia="Calibri" w:hAnsi="Tahoma" w:cs="Tahoma"/>
          <w:sz w:val="18"/>
          <w:szCs w:val="18"/>
          <w:lang w:eastAsia="en-US"/>
        </w:rPr>
      </w:pPr>
      <w:r w:rsidRPr="008572C5">
        <w:rPr>
          <w:rFonts w:ascii="Tahoma" w:eastAsia="Calibri" w:hAnsi="Tahoma" w:cs="Tahoma"/>
          <w:sz w:val="18"/>
          <w:szCs w:val="18"/>
          <w:vertAlign w:val="superscript"/>
          <w:lang w:eastAsia="en-US"/>
        </w:rPr>
        <w:t>1</w:t>
      </w:r>
      <w:r w:rsidRPr="008572C5">
        <w:rPr>
          <w:rFonts w:ascii="Tahoma" w:eastAsia="Calibri" w:hAnsi="Tahoma" w:cs="Tahoma"/>
          <w:sz w:val="18"/>
          <w:szCs w:val="18"/>
          <w:lang w:eastAsia="en-US"/>
        </w:rPr>
        <w:t>Минимальный остаток по Счету – рассчитывается исходя из ежедневных остатков денежных средств на Счете Клиента в течение Периода</w:t>
      </w:r>
      <w:r w:rsidRPr="008572C5">
        <w:rPr>
          <w:rFonts w:ascii="Tahoma" w:eastAsia="Calibri" w:hAnsi="Tahoma" w:cs="Tahoma"/>
          <w:sz w:val="18"/>
          <w:szCs w:val="18"/>
          <w:vertAlign w:val="superscript"/>
          <w:lang w:eastAsia="en-US"/>
        </w:rPr>
        <w:t>2</w:t>
      </w:r>
      <w:r w:rsidRPr="008572C5">
        <w:rPr>
          <w:rFonts w:ascii="Tahoma" w:eastAsia="Calibri" w:hAnsi="Tahoma" w:cs="Tahoma"/>
          <w:sz w:val="18"/>
          <w:szCs w:val="18"/>
          <w:lang w:eastAsia="en-US"/>
        </w:rPr>
        <w:t>. Проценты за весь Период начисляются на  сумму минимального остатка денежных средств на Счете, который образуется на начало любого из дней в течение Периода, за который осуществляется выплата процентов Банком Клиенту, при этом выплата процентов за Период производится на Счет в последний день Периода.</w:t>
      </w:r>
    </w:p>
    <w:p w14:paraId="11899998" w14:textId="77777777" w:rsidR="00FE537C" w:rsidRPr="008572C5" w:rsidRDefault="00FE537C" w:rsidP="00FE537C">
      <w:pPr>
        <w:ind w:left="-284" w:firstLine="284"/>
        <w:jc w:val="both"/>
        <w:rPr>
          <w:rFonts w:ascii="Tahoma" w:hAnsi="Tahoma" w:cs="Tahoma"/>
          <w:sz w:val="18"/>
          <w:szCs w:val="18"/>
        </w:rPr>
      </w:pPr>
      <w:r w:rsidRPr="008572C5">
        <w:rPr>
          <w:rFonts w:ascii="Tahoma" w:hAnsi="Tahoma" w:cs="Tahoma"/>
          <w:sz w:val="18"/>
          <w:szCs w:val="18"/>
          <w:vertAlign w:val="superscript"/>
        </w:rPr>
        <w:t>2</w:t>
      </w:r>
      <w:r w:rsidRPr="008572C5">
        <w:rPr>
          <w:rFonts w:ascii="Tahoma" w:hAnsi="Tahoma" w:cs="Tahoma"/>
          <w:sz w:val="18"/>
          <w:szCs w:val="18"/>
        </w:rPr>
        <w:t>Период – временной период, за который Клиенту Банком на Минимальный остаток средств на Счете начисляются проценты.  Первый Период исчисляется со дня, следующего за днем внесения денежных средств на Счет до календарного дня в следующем месяце, соответствующего дню открытия Счета включительно. Последующие Периоды исчисляются ежемесячно со дня, следующего после дня окончания предыдущего Периода до календарного дня в следующем месяце, соответствующего дню открытия Счета включительно.</w:t>
      </w:r>
    </w:p>
    <w:p w14:paraId="66D61B62" w14:textId="77777777" w:rsidR="00FE537C" w:rsidRPr="008572C5" w:rsidRDefault="00FE537C" w:rsidP="00FE537C">
      <w:pPr>
        <w:tabs>
          <w:tab w:val="left" w:pos="709"/>
        </w:tabs>
        <w:ind w:left="426"/>
        <w:contextualSpacing/>
        <w:jc w:val="both"/>
        <w:rPr>
          <w:rFonts w:ascii="Tahoma" w:hAnsi="Tahoma" w:cs="Tahoma"/>
          <w:sz w:val="22"/>
          <w:szCs w:val="22"/>
        </w:rPr>
      </w:pPr>
      <w:r w:rsidRPr="008572C5">
        <w:rPr>
          <w:rFonts w:ascii="Tahoma" w:hAnsi="Tahoma" w:cs="Tahoma"/>
          <w:sz w:val="22"/>
          <w:szCs w:val="22"/>
        </w:rPr>
        <w:t>Размеры процентных ставок определяются Тарифами Банка. В случае внесения изменений в Тарифы Банка Банк информирует Клиента путем размещения информации об изменениях на Официальном сайте Банка и (или) в подразделениях Банка, и (или) через каналы дистанционного банковского обслуживания Интернет-банк «АТБ-Онлайн»/ Мобильный банк «АТБ-Мобайл» не менее чем за 3 рабочих дня до даты вступления изменений в силу.</w:t>
      </w:r>
    </w:p>
    <w:p w14:paraId="3EE55D29" w14:textId="77777777" w:rsidR="00FE537C" w:rsidRPr="008572C5" w:rsidRDefault="00FE537C" w:rsidP="00FE537C">
      <w:pPr>
        <w:ind w:left="-284" w:firstLine="284"/>
        <w:jc w:val="both"/>
        <w:rPr>
          <w:rFonts w:ascii="Tahoma" w:eastAsia="Calibri" w:hAnsi="Tahoma" w:cs="Tahoma"/>
          <w:b/>
          <w:bCs/>
          <w:color w:val="FF0000"/>
          <w:sz w:val="22"/>
          <w:szCs w:val="22"/>
          <w:lang w:eastAsia="en-US"/>
        </w:rPr>
      </w:pPr>
    </w:p>
    <w:p w14:paraId="0033D094" w14:textId="3FC95FA4" w:rsidR="00FE537C" w:rsidRPr="008572C5" w:rsidRDefault="00FE537C" w:rsidP="000B3718">
      <w:pPr>
        <w:pStyle w:val="a5"/>
        <w:rPr>
          <w:rFonts w:eastAsia="Calibri"/>
        </w:rPr>
      </w:pPr>
      <w:r>
        <w:rPr>
          <w:rFonts w:eastAsia="Calibri"/>
        </w:rPr>
        <w:t>3.17.</w:t>
      </w:r>
      <w:r>
        <w:rPr>
          <w:rFonts w:eastAsia="Calibri"/>
        </w:rPr>
        <w:tab/>
      </w:r>
      <w:r w:rsidRPr="008572C5">
        <w:rPr>
          <w:rFonts w:eastAsia="Calibri"/>
        </w:rPr>
        <w:t>Условия накопительного счета «АТБ. Счет» для счетов, открытых с 07.06.2022 (действуют с 12.09.2022 по 19.10.2022):</w:t>
      </w:r>
    </w:p>
    <w:p w14:paraId="5ED579B5"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Валюта счета – рубли Российской Федерации (далее – рубли);</w:t>
      </w:r>
    </w:p>
    <w:p w14:paraId="3EAAFA95"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Срок размещения – не ограничен;</w:t>
      </w:r>
    </w:p>
    <w:p w14:paraId="405C0896"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Минимальный первоначальный взнос – не ограничен;</w:t>
      </w:r>
    </w:p>
    <w:p w14:paraId="25C22FE5"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Пополнение счета – без ограничений;</w:t>
      </w:r>
    </w:p>
    <w:p w14:paraId="25B43005"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Расходные операции по счету – без ограничений;</w:t>
      </w:r>
    </w:p>
    <w:p w14:paraId="0CA302C4"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Сумма неснижаемого остатка – без ограничений;</w:t>
      </w:r>
    </w:p>
    <w:p w14:paraId="64ADCF99"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Максимальная сумма счета – без ограничений;</w:t>
      </w:r>
    </w:p>
    <w:p w14:paraId="7B021BD6"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Периодичность выплаты процентов - ежемесячно, исходя из процентной ставки, установленной по счету и суммы Минимального остатка денежных средств¹, находящихся на счете в течение Периода²;</w:t>
      </w:r>
    </w:p>
    <w:p w14:paraId="1AF2D93B"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 xml:space="preserve">Способ выплаты процентов - </w:t>
      </w:r>
      <w:r w:rsidRPr="008572C5">
        <w:rPr>
          <w:rFonts w:ascii="Tahoma" w:eastAsia="Calibri" w:hAnsi="Tahoma" w:cs="Tahoma"/>
          <w:sz w:val="22"/>
          <w:szCs w:val="22"/>
          <w:lang w:eastAsia="en-US"/>
        </w:rPr>
        <w:t>проценты по Счету причисляются к остатку денежных средств на счете ежемесячно.</w:t>
      </w:r>
    </w:p>
    <w:p w14:paraId="718462E7"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Открытие счета и управлением счетом в отделениях Банка и через дистанционные каналы банковского обслуживания Интернет-банк «АТБ-Онлайн»/ Мобильный банк «АТБ-Мобайл».</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17"/>
        <w:gridCol w:w="5110"/>
      </w:tblGrid>
      <w:tr w:rsidR="00FE537C" w:rsidRPr="008572C5" w14:paraId="75AE6B13" w14:textId="77777777" w:rsidTr="003D2438">
        <w:trPr>
          <w:trHeight w:val="221"/>
        </w:trPr>
        <w:tc>
          <w:tcPr>
            <w:tcW w:w="3311" w:type="pct"/>
            <w:tcBorders>
              <w:top w:val="single" w:sz="4" w:space="0" w:color="auto"/>
              <w:left w:val="single" w:sz="4" w:space="0" w:color="auto"/>
              <w:right w:val="single" w:sz="4" w:space="0" w:color="auto"/>
            </w:tcBorders>
            <w:hideMark/>
          </w:tcPr>
          <w:p w14:paraId="7ED33A24" w14:textId="77777777" w:rsidR="00FE537C" w:rsidRPr="008572C5" w:rsidRDefault="00FE537C" w:rsidP="003D2438">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 xml:space="preserve">Условия начисления процентов </w:t>
            </w:r>
          </w:p>
        </w:tc>
        <w:tc>
          <w:tcPr>
            <w:tcW w:w="1689" w:type="pct"/>
            <w:tcBorders>
              <w:top w:val="single" w:sz="4" w:space="0" w:color="auto"/>
              <w:left w:val="single" w:sz="4" w:space="0" w:color="auto"/>
              <w:right w:val="single" w:sz="4" w:space="0" w:color="auto"/>
            </w:tcBorders>
            <w:hideMark/>
          </w:tcPr>
          <w:p w14:paraId="086A6B98" w14:textId="77777777" w:rsidR="00FE537C" w:rsidRPr="008572C5" w:rsidRDefault="00FE537C" w:rsidP="003D2438">
            <w:pPr>
              <w:widowControl w:val="0"/>
              <w:tabs>
                <w:tab w:val="left" w:pos="426"/>
                <w:tab w:val="left" w:pos="851"/>
                <w:tab w:val="right" w:pos="10206"/>
              </w:tabs>
              <w:adjustRightInd w:val="0"/>
              <w:jc w:val="center"/>
              <w:rPr>
                <w:rFonts w:ascii="Tahoma" w:hAnsi="Tahoma" w:cs="Tahoma"/>
                <w:bCs/>
                <w:iCs/>
                <w:sz w:val="22"/>
                <w:szCs w:val="22"/>
              </w:rPr>
            </w:pPr>
            <w:r w:rsidRPr="008572C5">
              <w:rPr>
                <w:rFonts w:ascii="Tahoma" w:hAnsi="Tahoma" w:cs="Tahoma"/>
                <w:bCs/>
                <w:iCs/>
                <w:sz w:val="22"/>
                <w:szCs w:val="22"/>
              </w:rPr>
              <w:t>Процентная ставка, % годовых</w:t>
            </w:r>
          </w:p>
        </w:tc>
      </w:tr>
      <w:tr w:rsidR="00FE537C" w:rsidRPr="008572C5" w14:paraId="1B8C7ADD" w14:textId="77777777" w:rsidTr="003D2438">
        <w:trPr>
          <w:trHeight w:val="70"/>
        </w:trPr>
        <w:tc>
          <w:tcPr>
            <w:tcW w:w="3311" w:type="pct"/>
            <w:tcBorders>
              <w:top w:val="single" w:sz="4" w:space="0" w:color="auto"/>
              <w:left w:val="single" w:sz="4" w:space="0" w:color="auto"/>
              <w:bottom w:val="single" w:sz="4" w:space="0" w:color="auto"/>
              <w:right w:val="single" w:sz="4" w:space="0" w:color="auto"/>
            </w:tcBorders>
          </w:tcPr>
          <w:p w14:paraId="3F4EB555" w14:textId="77777777" w:rsidR="00FE537C" w:rsidRPr="008572C5" w:rsidRDefault="00FE537C" w:rsidP="003D2438">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Минимальный остаток по счету¹</w:t>
            </w:r>
          </w:p>
        </w:tc>
        <w:tc>
          <w:tcPr>
            <w:tcW w:w="1689" w:type="pct"/>
            <w:tcBorders>
              <w:top w:val="single" w:sz="4" w:space="0" w:color="auto"/>
              <w:left w:val="single" w:sz="4" w:space="0" w:color="auto"/>
              <w:bottom w:val="single" w:sz="4" w:space="0" w:color="auto"/>
              <w:right w:val="single" w:sz="4" w:space="0" w:color="auto"/>
            </w:tcBorders>
            <w:vAlign w:val="center"/>
          </w:tcPr>
          <w:p w14:paraId="498F5A6A" w14:textId="77777777" w:rsidR="00FE537C" w:rsidRPr="008572C5" w:rsidRDefault="00FE537C" w:rsidP="003D2438">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8,00</w:t>
            </w:r>
          </w:p>
        </w:tc>
      </w:tr>
    </w:tbl>
    <w:p w14:paraId="77522867" w14:textId="77777777" w:rsidR="00FE537C" w:rsidRPr="008572C5" w:rsidRDefault="00FE537C" w:rsidP="00FE537C">
      <w:pPr>
        <w:jc w:val="both"/>
        <w:rPr>
          <w:rFonts w:ascii="Tahoma" w:eastAsia="Calibri" w:hAnsi="Tahoma" w:cs="Tahoma"/>
          <w:bCs/>
          <w:sz w:val="22"/>
          <w:szCs w:val="22"/>
          <w:lang w:eastAsia="en-US"/>
        </w:rPr>
      </w:pPr>
    </w:p>
    <w:p w14:paraId="25E4F97F" w14:textId="77777777" w:rsidR="00FE537C" w:rsidRPr="008572C5" w:rsidRDefault="00FE537C" w:rsidP="00FE537C">
      <w:pPr>
        <w:ind w:left="-284" w:firstLine="284"/>
        <w:jc w:val="both"/>
        <w:rPr>
          <w:rFonts w:ascii="Tahoma" w:eastAsia="Calibri" w:hAnsi="Tahoma" w:cs="Tahoma"/>
          <w:sz w:val="18"/>
          <w:szCs w:val="18"/>
          <w:lang w:eastAsia="en-US"/>
        </w:rPr>
      </w:pPr>
      <w:r w:rsidRPr="008572C5">
        <w:rPr>
          <w:rFonts w:ascii="Tahoma" w:eastAsia="Calibri" w:hAnsi="Tahoma" w:cs="Tahoma"/>
          <w:sz w:val="18"/>
          <w:szCs w:val="18"/>
          <w:vertAlign w:val="superscript"/>
          <w:lang w:eastAsia="en-US"/>
        </w:rPr>
        <w:t>1</w:t>
      </w:r>
      <w:r w:rsidRPr="008572C5">
        <w:rPr>
          <w:rFonts w:ascii="Tahoma" w:eastAsia="Calibri" w:hAnsi="Tahoma" w:cs="Tahoma"/>
          <w:sz w:val="18"/>
          <w:szCs w:val="18"/>
          <w:lang w:eastAsia="en-US"/>
        </w:rPr>
        <w:t>Минимальный остаток по Счету – рассчитывается исходя из ежедневных остатков денежных средств на Счете Клиента в течение Периода</w:t>
      </w:r>
      <w:r w:rsidRPr="008572C5">
        <w:rPr>
          <w:rFonts w:ascii="Tahoma" w:eastAsia="Calibri" w:hAnsi="Tahoma" w:cs="Tahoma"/>
          <w:sz w:val="18"/>
          <w:szCs w:val="18"/>
          <w:vertAlign w:val="superscript"/>
          <w:lang w:eastAsia="en-US"/>
        </w:rPr>
        <w:t>2</w:t>
      </w:r>
      <w:r w:rsidRPr="008572C5">
        <w:rPr>
          <w:rFonts w:ascii="Tahoma" w:eastAsia="Calibri" w:hAnsi="Tahoma" w:cs="Tahoma"/>
          <w:sz w:val="18"/>
          <w:szCs w:val="18"/>
          <w:lang w:eastAsia="en-US"/>
        </w:rPr>
        <w:t>. Проценты за весь Период начисляются на  сумму минимального остатка денежных средств на Счете, который образуется на начало любого из дней в течение Периода, за который осуществляется выплата процентов Банком Клиенту, при этом выплата процентов за Период производится на Счет в последний день Периода.</w:t>
      </w:r>
    </w:p>
    <w:p w14:paraId="5C443D33" w14:textId="77777777" w:rsidR="00FE537C" w:rsidRPr="008572C5" w:rsidRDefault="00FE537C" w:rsidP="00FE537C">
      <w:pPr>
        <w:ind w:left="-284" w:firstLine="284"/>
        <w:jc w:val="both"/>
        <w:rPr>
          <w:rFonts w:ascii="Tahoma" w:hAnsi="Tahoma" w:cs="Tahoma"/>
          <w:sz w:val="18"/>
          <w:szCs w:val="18"/>
        </w:rPr>
      </w:pPr>
      <w:r w:rsidRPr="008572C5">
        <w:rPr>
          <w:rFonts w:ascii="Tahoma" w:hAnsi="Tahoma" w:cs="Tahoma"/>
          <w:sz w:val="18"/>
          <w:szCs w:val="18"/>
          <w:vertAlign w:val="superscript"/>
        </w:rPr>
        <w:t>2</w:t>
      </w:r>
      <w:r w:rsidRPr="008572C5">
        <w:rPr>
          <w:rFonts w:ascii="Tahoma" w:hAnsi="Tahoma" w:cs="Tahoma"/>
          <w:sz w:val="18"/>
          <w:szCs w:val="18"/>
        </w:rPr>
        <w:t>Период – временной период, за который Клиенту Банком на Минимальный остаток средств на Счете начисляются проценты.  Первый Период исчисляется со дня, следующего за днем внесения денежных средств на Счет до календарного дня в следующем месяце, соответствующего дню открытия Счета включительно. Последующие Периоды исчисляются ежемесячно со дня, следующего после дня окончания предыдущего Периода до календарного дня в следующем месяце, соответствующего дню открытия Счета включительно.</w:t>
      </w:r>
    </w:p>
    <w:p w14:paraId="40ECB2FB" w14:textId="77777777" w:rsidR="00FE537C" w:rsidRPr="008572C5" w:rsidRDefault="00FE537C" w:rsidP="00FE537C">
      <w:pPr>
        <w:tabs>
          <w:tab w:val="left" w:pos="709"/>
        </w:tabs>
        <w:ind w:left="426"/>
        <w:contextualSpacing/>
        <w:jc w:val="both"/>
        <w:rPr>
          <w:rFonts w:ascii="Tahoma" w:hAnsi="Tahoma" w:cs="Tahoma"/>
          <w:sz w:val="22"/>
          <w:szCs w:val="22"/>
        </w:rPr>
      </w:pPr>
      <w:r w:rsidRPr="008572C5">
        <w:rPr>
          <w:rFonts w:ascii="Tahoma" w:hAnsi="Tahoma" w:cs="Tahoma"/>
          <w:sz w:val="22"/>
          <w:szCs w:val="22"/>
        </w:rPr>
        <w:t>Размеры процентных ставок определяются Тарифами Банка. В случае внесения изменений в Тарифы Банка Банк информирует Клиента путем размещения информации об изменениях на Официальном сайте Банка и (или) в подразделениях Банка, и (или) через каналы дистанционного банковского обслуживания Интернет-банк «АТБ-Онлайн»/ Мобильный банк «АТБ-Мобайл» не менее чем за 3 рабочих дня до даты вступления изменений в силу.</w:t>
      </w:r>
    </w:p>
    <w:p w14:paraId="539B1EC6" w14:textId="77777777" w:rsidR="00FE537C" w:rsidRPr="008572C5" w:rsidRDefault="00FE537C" w:rsidP="00FE537C">
      <w:pPr>
        <w:tabs>
          <w:tab w:val="left" w:pos="709"/>
        </w:tabs>
        <w:ind w:left="426"/>
        <w:contextualSpacing/>
        <w:jc w:val="both"/>
        <w:rPr>
          <w:rFonts w:ascii="Tahoma" w:hAnsi="Tahoma" w:cs="Tahoma"/>
          <w:sz w:val="22"/>
          <w:szCs w:val="22"/>
        </w:rPr>
      </w:pPr>
    </w:p>
    <w:p w14:paraId="00F878BC" w14:textId="021D2C78" w:rsidR="00FE537C" w:rsidRPr="008572C5" w:rsidRDefault="00FE537C" w:rsidP="000B3718">
      <w:pPr>
        <w:pStyle w:val="a5"/>
        <w:rPr>
          <w:rFonts w:eastAsia="Calibri"/>
        </w:rPr>
      </w:pPr>
      <w:r>
        <w:rPr>
          <w:rFonts w:eastAsia="Calibri"/>
        </w:rPr>
        <w:t>3.18.</w:t>
      </w:r>
      <w:r>
        <w:rPr>
          <w:rFonts w:eastAsia="Calibri"/>
        </w:rPr>
        <w:tab/>
      </w:r>
      <w:r w:rsidRPr="008572C5">
        <w:rPr>
          <w:rFonts w:eastAsia="Calibri"/>
        </w:rPr>
        <w:t xml:space="preserve">Условия накопительного счета «АТБ. Счет» для счетов, открытых с 07.06.2022 (действуют с 20.10.2022 </w:t>
      </w:r>
      <w:r w:rsidRPr="004D170A">
        <w:rPr>
          <w:rFonts w:eastAsia="Calibri"/>
        </w:rPr>
        <w:t>по 20.02.2023</w:t>
      </w:r>
      <w:r w:rsidRPr="008572C5">
        <w:rPr>
          <w:rFonts w:eastAsia="Calibri"/>
        </w:rPr>
        <w:t>):</w:t>
      </w:r>
    </w:p>
    <w:p w14:paraId="573C7FDD"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Валюта счета – рубли Российской Федерации (далее – рубли);</w:t>
      </w:r>
    </w:p>
    <w:p w14:paraId="47022AA3"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Срок размещения – не ограничен;</w:t>
      </w:r>
    </w:p>
    <w:p w14:paraId="392A7CFE"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Минимальный первоначальный взнос – не ограничен;</w:t>
      </w:r>
    </w:p>
    <w:p w14:paraId="2E09E495"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Пополнение счета – без ограничений;</w:t>
      </w:r>
    </w:p>
    <w:p w14:paraId="4C92E678"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Расходные операции по счету – без ограничений;</w:t>
      </w:r>
    </w:p>
    <w:p w14:paraId="3AA0683B"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Сумма неснижаемого остатка – без ограничений;</w:t>
      </w:r>
    </w:p>
    <w:p w14:paraId="36CB62B8"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Максимальная сумма счета – без ограничений;</w:t>
      </w:r>
    </w:p>
    <w:p w14:paraId="33970B08"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Периодичность выплаты процентов - ежемесячно, исходя из процентной ставки, установленной по счету и суммы Минимального остатка денежных средств¹, находящихся на счете в течение Периода²;</w:t>
      </w:r>
    </w:p>
    <w:p w14:paraId="448EF1BF"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 xml:space="preserve">Способ выплаты процентов - </w:t>
      </w:r>
      <w:r w:rsidRPr="008572C5">
        <w:rPr>
          <w:rFonts w:ascii="Tahoma" w:eastAsia="Calibri" w:hAnsi="Tahoma" w:cs="Tahoma"/>
          <w:sz w:val="22"/>
          <w:szCs w:val="22"/>
          <w:lang w:eastAsia="en-US"/>
        </w:rPr>
        <w:t>проценты по Счету причисляются к остатку денежных средств на счете ежемесячно.</w:t>
      </w:r>
    </w:p>
    <w:p w14:paraId="3ADCFCEF"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Открытие счета и управлением счетом в отделениях Банка и через дистанционные каналы банковского обслуживания Интернет-банк «АТБ-Онлайн»/ Мобильный банк «АТБ-Мобайл».</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17"/>
        <w:gridCol w:w="5110"/>
      </w:tblGrid>
      <w:tr w:rsidR="00FE537C" w:rsidRPr="008572C5" w14:paraId="6A32D196" w14:textId="77777777" w:rsidTr="003D2438">
        <w:trPr>
          <w:trHeight w:val="221"/>
        </w:trPr>
        <w:tc>
          <w:tcPr>
            <w:tcW w:w="3311" w:type="pct"/>
            <w:tcBorders>
              <w:top w:val="single" w:sz="4" w:space="0" w:color="auto"/>
              <w:left w:val="single" w:sz="4" w:space="0" w:color="auto"/>
              <w:right w:val="single" w:sz="4" w:space="0" w:color="auto"/>
            </w:tcBorders>
            <w:hideMark/>
          </w:tcPr>
          <w:p w14:paraId="4AE040C7" w14:textId="77777777" w:rsidR="00FE537C" w:rsidRPr="008572C5" w:rsidRDefault="00FE537C" w:rsidP="003D2438">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 xml:space="preserve">Условия начисления процентов </w:t>
            </w:r>
          </w:p>
        </w:tc>
        <w:tc>
          <w:tcPr>
            <w:tcW w:w="1689" w:type="pct"/>
            <w:tcBorders>
              <w:top w:val="single" w:sz="4" w:space="0" w:color="auto"/>
              <w:left w:val="single" w:sz="4" w:space="0" w:color="auto"/>
              <w:right w:val="single" w:sz="4" w:space="0" w:color="auto"/>
            </w:tcBorders>
            <w:hideMark/>
          </w:tcPr>
          <w:p w14:paraId="1821F7F9" w14:textId="77777777" w:rsidR="00FE537C" w:rsidRPr="008572C5" w:rsidRDefault="00FE537C" w:rsidP="003D2438">
            <w:pPr>
              <w:widowControl w:val="0"/>
              <w:tabs>
                <w:tab w:val="left" w:pos="426"/>
                <w:tab w:val="left" w:pos="851"/>
                <w:tab w:val="right" w:pos="10206"/>
              </w:tabs>
              <w:adjustRightInd w:val="0"/>
              <w:jc w:val="center"/>
              <w:rPr>
                <w:rFonts w:ascii="Tahoma" w:hAnsi="Tahoma" w:cs="Tahoma"/>
                <w:bCs/>
                <w:iCs/>
                <w:sz w:val="22"/>
                <w:szCs w:val="22"/>
              </w:rPr>
            </w:pPr>
            <w:r w:rsidRPr="008572C5">
              <w:rPr>
                <w:rFonts w:ascii="Tahoma" w:hAnsi="Tahoma" w:cs="Tahoma"/>
                <w:bCs/>
                <w:iCs/>
                <w:sz w:val="22"/>
                <w:szCs w:val="22"/>
              </w:rPr>
              <w:t>Процентная ставка, % годовых</w:t>
            </w:r>
          </w:p>
        </w:tc>
      </w:tr>
      <w:tr w:rsidR="00FE537C" w:rsidRPr="008572C5" w14:paraId="568CB0C2" w14:textId="77777777" w:rsidTr="003D2438">
        <w:trPr>
          <w:trHeight w:val="70"/>
        </w:trPr>
        <w:tc>
          <w:tcPr>
            <w:tcW w:w="3311" w:type="pct"/>
            <w:tcBorders>
              <w:top w:val="single" w:sz="4" w:space="0" w:color="auto"/>
              <w:left w:val="single" w:sz="4" w:space="0" w:color="auto"/>
              <w:bottom w:val="single" w:sz="4" w:space="0" w:color="auto"/>
              <w:right w:val="single" w:sz="4" w:space="0" w:color="auto"/>
            </w:tcBorders>
          </w:tcPr>
          <w:p w14:paraId="3A9F684B" w14:textId="77777777" w:rsidR="00FE537C" w:rsidRPr="008572C5" w:rsidRDefault="00FE537C" w:rsidP="003D2438">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Минимальный остаток по счету¹</w:t>
            </w:r>
          </w:p>
        </w:tc>
        <w:tc>
          <w:tcPr>
            <w:tcW w:w="1689" w:type="pct"/>
            <w:tcBorders>
              <w:top w:val="single" w:sz="4" w:space="0" w:color="auto"/>
              <w:left w:val="single" w:sz="4" w:space="0" w:color="auto"/>
              <w:bottom w:val="single" w:sz="4" w:space="0" w:color="auto"/>
              <w:right w:val="single" w:sz="4" w:space="0" w:color="auto"/>
            </w:tcBorders>
            <w:vAlign w:val="center"/>
          </w:tcPr>
          <w:p w14:paraId="1070E84E" w14:textId="77777777" w:rsidR="00FE537C" w:rsidRPr="008572C5" w:rsidRDefault="00FE537C" w:rsidP="003D2438">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7,50</w:t>
            </w:r>
          </w:p>
        </w:tc>
      </w:tr>
    </w:tbl>
    <w:p w14:paraId="6E65D3B2" w14:textId="77777777" w:rsidR="00FE537C" w:rsidRPr="008572C5" w:rsidRDefault="00FE537C" w:rsidP="00FE537C">
      <w:pPr>
        <w:jc w:val="both"/>
        <w:rPr>
          <w:rFonts w:ascii="Tahoma" w:eastAsia="Calibri" w:hAnsi="Tahoma" w:cs="Tahoma"/>
          <w:bCs/>
          <w:sz w:val="22"/>
          <w:szCs w:val="22"/>
          <w:lang w:eastAsia="en-US"/>
        </w:rPr>
      </w:pPr>
    </w:p>
    <w:p w14:paraId="53774FF8" w14:textId="77777777" w:rsidR="00FE537C" w:rsidRPr="008572C5" w:rsidRDefault="00FE537C" w:rsidP="00FE537C">
      <w:pPr>
        <w:ind w:left="-284" w:firstLine="284"/>
        <w:jc w:val="both"/>
        <w:rPr>
          <w:rFonts w:ascii="Tahoma" w:eastAsia="Calibri" w:hAnsi="Tahoma" w:cs="Tahoma"/>
          <w:sz w:val="18"/>
          <w:szCs w:val="18"/>
          <w:lang w:eastAsia="en-US"/>
        </w:rPr>
      </w:pPr>
      <w:r w:rsidRPr="008572C5">
        <w:rPr>
          <w:rFonts w:ascii="Tahoma" w:eastAsia="Calibri" w:hAnsi="Tahoma" w:cs="Tahoma"/>
          <w:sz w:val="18"/>
          <w:szCs w:val="18"/>
          <w:vertAlign w:val="superscript"/>
          <w:lang w:eastAsia="en-US"/>
        </w:rPr>
        <w:t>1</w:t>
      </w:r>
      <w:r w:rsidRPr="008572C5">
        <w:rPr>
          <w:rFonts w:ascii="Tahoma" w:eastAsia="Calibri" w:hAnsi="Tahoma" w:cs="Tahoma"/>
          <w:sz w:val="18"/>
          <w:szCs w:val="18"/>
          <w:lang w:eastAsia="en-US"/>
        </w:rPr>
        <w:t>Минимальный остаток по Счету – рассчитывается исходя из ежедневных остатков денежных средств на Счете Клиента в течение Периода</w:t>
      </w:r>
      <w:r w:rsidRPr="008572C5">
        <w:rPr>
          <w:rFonts w:ascii="Tahoma" w:eastAsia="Calibri" w:hAnsi="Tahoma" w:cs="Tahoma"/>
          <w:sz w:val="18"/>
          <w:szCs w:val="18"/>
          <w:vertAlign w:val="superscript"/>
          <w:lang w:eastAsia="en-US"/>
        </w:rPr>
        <w:t>2</w:t>
      </w:r>
      <w:r w:rsidRPr="008572C5">
        <w:rPr>
          <w:rFonts w:ascii="Tahoma" w:eastAsia="Calibri" w:hAnsi="Tahoma" w:cs="Tahoma"/>
          <w:sz w:val="18"/>
          <w:szCs w:val="18"/>
          <w:lang w:eastAsia="en-US"/>
        </w:rPr>
        <w:t>. Проценты за весь Период начисляются на  сумму минимального остатка денежных средств на Счете, который образуется на начало любого из дней в течение Периода, за который осуществляется выплата процентов Банком Клиенту, при этом выплата процентов за Период производится на Счет в последний день Периода.</w:t>
      </w:r>
    </w:p>
    <w:p w14:paraId="2343C41F" w14:textId="77777777" w:rsidR="00FE537C" w:rsidRPr="008572C5" w:rsidRDefault="00FE537C" w:rsidP="00FE537C">
      <w:pPr>
        <w:ind w:left="-284" w:firstLine="284"/>
        <w:jc w:val="both"/>
        <w:rPr>
          <w:rFonts w:ascii="Tahoma" w:hAnsi="Tahoma" w:cs="Tahoma"/>
          <w:sz w:val="18"/>
          <w:szCs w:val="18"/>
        </w:rPr>
      </w:pPr>
      <w:r w:rsidRPr="008572C5">
        <w:rPr>
          <w:rFonts w:ascii="Tahoma" w:hAnsi="Tahoma" w:cs="Tahoma"/>
          <w:sz w:val="18"/>
          <w:szCs w:val="18"/>
          <w:vertAlign w:val="superscript"/>
        </w:rPr>
        <w:t>2</w:t>
      </w:r>
      <w:r w:rsidRPr="008572C5">
        <w:rPr>
          <w:rFonts w:ascii="Tahoma" w:hAnsi="Tahoma" w:cs="Tahoma"/>
          <w:sz w:val="18"/>
          <w:szCs w:val="18"/>
        </w:rPr>
        <w:t>Период – временной период, за который Клиенту Банком на Минимальный остаток средств на Счете начисляются проценты.  Первый Период исчисляется со дня, следующего за днем внесения денежных средств на Счет до календарного дня в следующем месяце, соответствующего дню открытия Счета включительно. Последующие Периоды исчисляются ежемесячно со дня, следующего после дня окончания предыдущего Периода до календарного дня в следующем месяце, соответствующего дню открытия Счета включительно.</w:t>
      </w:r>
    </w:p>
    <w:p w14:paraId="79C7A9BB" w14:textId="77777777" w:rsidR="00FE537C" w:rsidRPr="008572C5" w:rsidRDefault="00FE537C" w:rsidP="00FE537C">
      <w:pPr>
        <w:tabs>
          <w:tab w:val="left" w:pos="709"/>
        </w:tabs>
        <w:ind w:left="426"/>
        <w:contextualSpacing/>
        <w:jc w:val="both"/>
        <w:rPr>
          <w:rFonts w:ascii="Tahoma" w:hAnsi="Tahoma" w:cs="Tahoma"/>
          <w:sz w:val="22"/>
          <w:szCs w:val="22"/>
        </w:rPr>
      </w:pPr>
      <w:r w:rsidRPr="008572C5">
        <w:rPr>
          <w:rFonts w:ascii="Tahoma" w:hAnsi="Tahoma" w:cs="Tahoma"/>
          <w:sz w:val="22"/>
          <w:szCs w:val="22"/>
        </w:rPr>
        <w:t>Размеры процентных ставок определяются Тарифами Банка. В случае внесения изменений в Тарифы Банка Банк информирует Клиента путем размещения информации об изменениях на Официальном сайте Банка и (или) в подразделениях Банка, и (или) через каналы дистанционного банковского обслуживания Интернет-банк «АТБ-Онлайн»/ Мобильный банк «АТБ-Мобайл» не менее чем за 3 рабочих дня до даты вступления изменений в силу.</w:t>
      </w:r>
    </w:p>
    <w:p w14:paraId="7BC76E48" w14:textId="77777777" w:rsidR="00FE537C" w:rsidRPr="008572C5" w:rsidRDefault="00FE537C" w:rsidP="00FE537C">
      <w:pPr>
        <w:tabs>
          <w:tab w:val="left" w:pos="709"/>
        </w:tabs>
        <w:ind w:left="426"/>
        <w:contextualSpacing/>
        <w:jc w:val="both"/>
        <w:rPr>
          <w:rFonts w:ascii="Tahoma" w:hAnsi="Tahoma" w:cs="Tahoma"/>
          <w:sz w:val="22"/>
          <w:szCs w:val="22"/>
        </w:rPr>
      </w:pPr>
    </w:p>
    <w:p w14:paraId="2CDEAA08" w14:textId="20C023FE" w:rsidR="00FE537C" w:rsidRPr="00FE537C" w:rsidRDefault="000B3718" w:rsidP="000B3718">
      <w:pPr>
        <w:pStyle w:val="a5"/>
        <w:rPr>
          <w:rFonts w:eastAsia="Calibri"/>
        </w:rPr>
      </w:pPr>
      <w:r>
        <w:rPr>
          <w:rFonts w:eastAsia="Calibri"/>
        </w:rPr>
        <w:t xml:space="preserve">3.19. </w:t>
      </w:r>
      <w:r w:rsidR="00FE537C" w:rsidRPr="00FE537C">
        <w:rPr>
          <w:rFonts w:eastAsia="Calibri"/>
        </w:rPr>
        <w:t>Условия накопительного счета «АТБ. Счет» для счетов, открытых с 07.06.2022 (действуют с 21.02.2023 по 27.08.2023):</w:t>
      </w:r>
    </w:p>
    <w:p w14:paraId="752DC1B4"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Валюта счета – рубли Российской Федерации (далее – рубли);</w:t>
      </w:r>
    </w:p>
    <w:p w14:paraId="776D1D8F"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Срок размещения – не ограничен;</w:t>
      </w:r>
    </w:p>
    <w:p w14:paraId="3013EADD"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Минимальный первоначальный взнос – не ограничен;</w:t>
      </w:r>
    </w:p>
    <w:p w14:paraId="0725FA21"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Пополнение счета – без ограничений;</w:t>
      </w:r>
    </w:p>
    <w:p w14:paraId="56F96F4C"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Расходные операции по счету – без ограничений;</w:t>
      </w:r>
    </w:p>
    <w:p w14:paraId="3A2F9000"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Сумма неснижаемого остатка – без ограничений;</w:t>
      </w:r>
    </w:p>
    <w:p w14:paraId="4DB41E3A"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Максимальная сумма счета – без ограничений;</w:t>
      </w:r>
    </w:p>
    <w:p w14:paraId="11F862D3"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Периодичность выплаты процентов - ежемесячно, исходя из процентной ставки, установленной по счету и суммы Минимального остатка денежных средств¹, находящихся на счете в течение Периода²;</w:t>
      </w:r>
    </w:p>
    <w:p w14:paraId="00F404A2"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 xml:space="preserve">Способ выплаты процентов - </w:t>
      </w:r>
      <w:r w:rsidRPr="008572C5">
        <w:rPr>
          <w:rFonts w:ascii="Tahoma" w:eastAsia="Calibri" w:hAnsi="Tahoma" w:cs="Tahoma"/>
          <w:sz w:val="22"/>
          <w:szCs w:val="22"/>
          <w:lang w:eastAsia="en-US"/>
        </w:rPr>
        <w:t>проценты по Счету причисляются к остатку денежных средств на счете ежемесячно.</w:t>
      </w:r>
    </w:p>
    <w:p w14:paraId="2C62755F"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Открытие счета и управлением счетом в отделениях Банка и через дистанционные каналы банковского обслуживания Интернет-банк «АТБ-Онлайн»/ Мобильный банк «АТБ-Мобайл».</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17"/>
        <w:gridCol w:w="5110"/>
      </w:tblGrid>
      <w:tr w:rsidR="00FE537C" w:rsidRPr="008572C5" w14:paraId="3145B27D" w14:textId="77777777" w:rsidTr="003D2438">
        <w:trPr>
          <w:trHeight w:val="221"/>
        </w:trPr>
        <w:tc>
          <w:tcPr>
            <w:tcW w:w="3311" w:type="pct"/>
            <w:tcBorders>
              <w:top w:val="single" w:sz="4" w:space="0" w:color="auto"/>
              <w:left w:val="single" w:sz="4" w:space="0" w:color="auto"/>
              <w:right w:val="single" w:sz="4" w:space="0" w:color="auto"/>
            </w:tcBorders>
            <w:hideMark/>
          </w:tcPr>
          <w:p w14:paraId="583D9208" w14:textId="77777777" w:rsidR="00FE537C" w:rsidRPr="008572C5" w:rsidRDefault="00FE537C" w:rsidP="003D2438">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 xml:space="preserve">Условия начисления процентов </w:t>
            </w:r>
          </w:p>
        </w:tc>
        <w:tc>
          <w:tcPr>
            <w:tcW w:w="1689" w:type="pct"/>
            <w:tcBorders>
              <w:top w:val="single" w:sz="4" w:space="0" w:color="auto"/>
              <w:left w:val="single" w:sz="4" w:space="0" w:color="auto"/>
              <w:right w:val="single" w:sz="4" w:space="0" w:color="auto"/>
            </w:tcBorders>
            <w:hideMark/>
          </w:tcPr>
          <w:p w14:paraId="4D181E0D" w14:textId="77777777" w:rsidR="00FE537C" w:rsidRPr="008572C5" w:rsidRDefault="00FE537C" w:rsidP="003D2438">
            <w:pPr>
              <w:widowControl w:val="0"/>
              <w:tabs>
                <w:tab w:val="left" w:pos="426"/>
                <w:tab w:val="left" w:pos="851"/>
                <w:tab w:val="right" w:pos="10206"/>
              </w:tabs>
              <w:adjustRightInd w:val="0"/>
              <w:jc w:val="center"/>
              <w:rPr>
                <w:rFonts w:ascii="Tahoma" w:hAnsi="Tahoma" w:cs="Tahoma"/>
                <w:bCs/>
                <w:iCs/>
                <w:sz w:val="22"/>
                <w:szCs w:val="22"/>
              </w:rPr>
            </w:pPr>
            <w:r w:rsidRPr="008572C5">
              <w:rPr>
                <w:rFonts w:ascii="Tahoma" w:hAnsi="Tahoma" w:cs="Tahoma"/>
                <w:bCs/>
                <w:iCs/>
                <w:sz w:val="22"/>
                <w:szCs w:val="22"/>
              </w:rPr>
              <w:t>Процентная ставка, % годовых</w:t>
            </w:r>
          </w:p>
        </w:tc>
      </w:tr>
      <w:tr w:rsidR="00FE537C" w:rsidRPr="008572C5" w14:paraId="296DE836" w14:textId="77777777" w:rsidTr="003D2438">
        <w:trPr>
          <w:trHeight w:val="70"/>
        </w:trPr>
        <w:tc>
          <w:tcPr>
            <w:tcW w:w="3311" w:type="pct"/>
            <w:tcBorders>
              <w:top w:val="single" w:sz="4" w:space="0" w:color="auto"/>
              <w:left w:val="single" w:sz="4" w:space="0" w:color="auto"/>
              <w:bottom w:val="single" w:sz="4" w:space="0" w:color="auto"/>
              <w:right w:val="single" w:sz="4" w:space="0" w:color="auto"/>
            </w:tcBorders>
          </w:tcPr>
          <w:p w14:paraId="59DD301D" w14:textId="77777777" w:rsidR="00FE537C" w:rsidRPr="008572C5" w:rsidRDefault="00FE537C" w:rsidP="003D2438">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Минимальный остаток по счету¹</w:t>
            </w:r>
          </w:p>
        </w:tc>
        <w:tc>
          <w:tcPr>
            <w:tcW w:w="1689" w:type="pct"/>
            <w:tcBorders>
              <w:top w:val="single" w:sz="4" w:space="0" w:color="auto"/>
              <w:left w:val="single" w:sz="4" w:space="0" w:color="auto"/>
              <w:bottom w:val="single" w:sz="4" w:space="0" w:color="auto"/>
              <w:right w:val="single" w:sz="4" w:space="0" w:color="auto"/>
            </w:tcBorders>
            <w:vAlign w:val="center"/>
          </w:tcPr>
          <w:p w14:paraId="158BA60C" w14:textId="77777777" w:rsidR="00FE537C" w:rsidRPr="008572C5" w:rsidRDefault="00FE537C" w:rsidP="003D2438">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7,00</w:t>
            </w:r>
          </w:p>
        </w:tc>
      </w:tr>
    </w:tbl>
    <w:p w14:paraId="78722EE3" w14:textId="77777777" w:rsidR="00FE537C" w:rsidRPr="008572C5" w:rsidRDefault="00FE537C" w:rsidP="00FE537C">
      <w:pPr>
        <w:jc w:val="both"/>
        <w:rPr>
          <w:rFonts w:ascii="Tahoma" w:eastAsia="Calibri" w:hAnsi="Tahoma" w:cs="Tahoma"/>
          <w:bCs/>
          <w:sz w:val="22"/>
          <w:szCs w:val="22"/>
          <w:lang w:eastAsia="en-US"/>
        </w:rPr>
      </w:pPr>
    </w:p>
    <w:p w14:paraId="4F7DC169" w14:textId="77777777" w:rsidR="00FE537C" w:rsidRPr="008572C5" w:rsidRDefault="00FE537C" w:rsidP="00FE537C">
      <w:pPr>
        <w:ind w:left="-284" w:firstLine="284"/>
        <w:jc w:val="both"/>
        <w:rPr>
          <w:rFonts w:ascii="Tahoma" w:eastAsia="Calibri" w:hAnsi="Tahoma" w:cs="Tahoma"/>
          <w:sz w:val="18"/>
          <w:szCs w:val="18"/>
          <w:lang w:eastAsia="en-US"/>
        </w:rPr>
      </w:pPr>
      <w:r w:rsidRPr="008572C5">
        <w:rPr>
          <w:rFonts w:ascii="Tahoma" w:eastAsia="Calibri" w:hAnsi="Tahoma" w:cs="Tahoma"/>
          <w:sz w:val="18"/>
          <w:szCs w:val="18"/>
          <w:vertAlign w:val="superscript"/>
          <w:lang w:eastAsia="en-US"/>
        </w:rPr>
        <w:t>1</w:t>
      </w:r>
      <w:r w:rsidRPr="008572C5">
        <w:rPr>
          <w:rFonts w:ascii="Tahoma" w:eastAsia="Calibri" w:hAnsi="Tahoma" w:cs="Tahoma"/>
          <w:sz w:val="18"/>
          <w:szCs w:val="18"/>
          <w:lang w:eastAsia="en-US"/>
        </w:rPr>
        <w:t>Минимальный остаток по Счету – рассчитывается исходя из ежедневных остатков денежных средств на Счете Клиента в течение Периода</w:t>
      </w:r>
      <w:r w:rsidRPr="008572C5">
        <w:rPr>
          <w:rFonts w:ascii="Tahoma" w:eastAsia="Calibri" w:hAnsi="Tahoma" w:cs="Tahoma"/>
          <w:sz w:val="18"/>
          <w:szCs w:val="18"/>
          <w:vertAlign w:val="superscript"/>
          <w:lang w:eastAsia="en-US"/>
        </w:rPr>
        <w:t>2</w:t>
      </w:r>
      <w:r w:rsidRPr="008572C5">
        <w:rPr>
          <w:rFonts w:ascii="Tahoma" w:eastAsia="Calibri" w:hAnsi="Tahoma" w:cs="Tahoma"/>
          <w:sz w:val="18"/>
          <w:szCs w:val="18"/>
          <w:lang w:eastAsia="en-US"/>
        </w:rPr>
        <w:t>. Проценты за весь Период начисляются на  сумму минимального остатка денежных средств на Счете, который образуется на начало любого из дней в течение Периода, за который осуществляется выплата процентов Банком Клиенту, при этом выплата процентов за Период производится на Счет в последний день Периода.</w:t>
      </w:r>
    </w:p>
    <w:p w14:paraId="2671B83B" w14:textId="77777777" w:rsidR="00FE537C" w:rsidRPr="008572C5" w:rsidRDefault="00FE537C" w:rsidP="00FE537C">
      <w:pPr>
        <w:ind w:left="-284" w:firstLine="284"/>
        <w:jc w:val="both"/>
        <w:rPr>
          <w:rFonts w:ascii="Tahoma" w:hAnsi="Tahoma" w:cs="Tahoma"/>
          <w:sz w:val="18"/>
          <w:szCs w:val="18"/>
        </w:rPr>
      </w:pPr>
      <w:r w:rsidRPr="008572C5">
        <w:rPr>
          <w:rFonts w:ascii="Tahoma" w:hAnsi="Tahoma" w:cs="Tahoma"/>
          <w:sz w:val="18"/>
          <w:szCs w:val="18"/>
          <w:vertAlign w:val="superscript"/>
        </w:rPr>
        <w:t>2</w:t>
      </w:r>
      <w:r w:rsidRPr="008572C5">
        <w:rPr>
          <w:rFonts w:ascii="Tahoma" w:hAnsi="Tahoma" w:cs="Tahoma"/>
          <w:sz w:val="18"/>
          <w:szCs w:val="18"/>
        </w:rPr>
        <w:t>Период – временной период, за который Клиенту Банком на Минимальный остаток средств на Счете начисляются проценты.  Первый Период исчисляется со дня, следующего за днем внесения денежных средств на Счет до календарного дня в следующем месяце, соответствующего дню открытия Счета включительно. Последующие Периоды исчисляются ежемесячно со дня, следующего после дня окончания предыдущего Периода до календарного дня в следующем месяце, соответствующего дню открытия Счета включительно.</w:t>
      </w:r>
    </w:p>
    <w:p w14:paraId="73B5762A" w14:textId="77777777" w:rsidR="00FE537C" w:rsidRDefault="00FE537C" w:rsidP="00FE537C">
      <w:pPr>
        <w:tabs>
          <w:tab w:val="left" w:pos="709"/>
        </w:tabs>
        <w:ind w:left="426"/>
        <w:contextualSpacing/>
        <w:jc w:val="both"/>
        <w:rPr>
          <w:rFonts w:ascii="Tahoma" w:hAnsi="Tahoma" w:cs="Tahoma"/>
          <w:sz w:val="22"/>
          <w:szCs w:val="22"/>
        </w:rPr>
      </w:pPr>
      <w:r w:rsidRPr="008572C5">
        <w:rPr>
          <w:rFonts w:ascii="Tahoma" w:hAnsi="Tahoma" w:cs="Tahoma"/>
          <w:sz w:val="22"/>
          <w:szCs w:val="22"/>
        </w:rPr>
        <w:t>Размеры процентных ставок определяются Тарифами Банка. В случае внесения изменений в Тарифы Банка Банк информирует Клиента путем размещения информации об изменениях на Официальном сайте Банка и (или) в подразделениях Банка, и (или) через каналы дистанционного банковского обслуживания Интернет-банк «АТБ-Онлайн»/ Мобильный банк «АТБ-Мобайл» не менее чем за 3 рабочих дня до даты вступления изменений в силу.</w:t>
      </w:r>
    </w:p>
    <w:p w14:paraId="13831515" w14:textId="77777777" w:rsidR="00FE537C" w:rsidRDefault="00FE537C" w:rsidP="00FE537C">
      <w:pPr>
        <w:tabs>
          <w:tab w:val="left" w:pos="709"/>
        </w:tabs>
        <w:ind w:left="426"/>
        <w:contextualSpacing/>
        <w:jc w:val="both"/>
        <w:rPr>
          <w:rFonts w:ascii="Tahoma" w:hAnsi="Tahoma" w:cs="Tahoma"/>
          <w:sz w:val="22"/>
          <w:szCs w:val="22"/>
        </w:rPr>
      </w:pPr>
    </w:p>
    <w:p w14:paraId="26CC88CB" w14:textId="6EFD51D8" w:rsidR="00FE537C" w:rsidRPr="00FE537C" w:rsidRDefault="000B3718" w:rsidP="000B3718">
      <w:pPr>
        <w:pStyle w:val="a5"/>
        <w:rPr>
          <w:rFonts w:eastAsia="Calibri"/>
        </w:rPr>
      </w:pPr>
      <w:r>
        <w:rPr>
          <w:rFonts w:eastAsia="Calibri"/>
        </w:rPr>
        <w:t xml:space="preserve">3.20. </w:t>
      </w:r>
      <w:r w:rsidR="00FE537C" w:rsidRPr="00FE537C">
        <w:rPr>
          <w:rFonts w:eastAsia="Calibri"/>
        </w:rPr>
        <w:t>Условия накопительного счета «АТБ. Счет» для счетов, открытых с 07.06.2022 (действуют с 28.08.2023</w:t>
      </w:r>
      <w:r w:rsidR="00FE537C" w:rsidRPr="00FE537C">
        <w:rPr>
          <w:rFonts w:eastAsia="Calibri"/>
          <w:color w:val="00B050"/>
        </w:rPr>
        <w:t xml:space="preserve"> </w:t>
      </w:r>
      <w:r w:rsidR="00FE537C" w:rsidRPr="00FE537C">
        <w:rPr>
          <w:rFonts w:eastAsia="Calibri"/>
        </w:rPr>
        <w:t>по 01.11.2023):</w:t>
      </w:r>
    </w:p>
    <w:p w14:paraId="0FA89623"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Валюта счета – рубли Российской Федерации (далее – рубли);</w:t>
      </w:r>
    </w:p>
    <w:p w14:paraId="51946DA4"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Срок размещения – не ограничен;</w:t>
      </w:r>
    </w:p>
    <w:p w14:paraId="463F1DDF"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Минимальный первоначальный взнос – не ограничен;</w:t>
      </w:r>
    </w:p>
    <w:p w14:paraId="7E69C00F"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Пополнение счета – без ограничений;</w:t>
      </w:r>
    </w:p>
    <w:p w14:paraId="39FA0DAA"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Расходные операции по счету – без ограничений;</w:t>
      </w:r>
    </w:p>
    <w:p w14:paraId="48EB034E"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Сумма неснижаемого остатка – без ограничений;</w:t>
      </w:r>
    </w:p>
    <w:p w14:paraId="7AEAAB49"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Максимальная сумма счета – без ограничений;</w:t>
      </w:r>
    </w:p>
    <w:p w14:paraId="17BA1B90"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Периодичность выплаты процентов - ежемесячно, исходя из процентной ставки, установленной по счету и суммы Минимального остатка денежных средств¹, находящихся на счете в течение Периода²;</w:t>
      </w:r>
    </w:p>
    <w:p w14:paraId="59C02985"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 xml:space="preserve">Способ выплаты процентов - </w:t>
      </w:r>
      <w:r w:rsidRPr="008572C5">
        <w:rPr>
          <w:rFonts w:ascii="Tahoma" w:eastAsia="Calibri" w:hAnsi="Tahoma" w:cs="Tahoma"/>
          <w:sz w:val="22"/>
          <w:szCs w:val="22"/>
          <w:lang w:eastAsia="en-US"/>
        </w:rPr>
        <w:t>проценты по Счету причисляются к остатку денежных средств на счете ежемесячно.</w:t>
      </w:r>
    </w:p>
    <w:p w14:paraId="3C05B4B9"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Открытие счета и управлением счетом в отделениях Банка и через дистанционные каналы банковского обслуживания Интернет-банк «АТБ-Онлайн»/ Мобильный банк «АТБ-Мобайл».</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17"/>
        <w:gridCol w:w="5110"/>
      </w:tblGrid>
      <w:tr w:rsidR="00FE537C" w:rsidRPr="008572C5" w14:paraId="56A481DC" w14:textId="77777777" w:rsidTr="003D2438">
        <w:trPr>
          <w:trHeight w:val="221"/>
        </w:trPr>
        <w:tc>
          <w:tcPr>
            <w:tcW w:w="3311" w:type="pct"/>
            <w:tcBorders>
              <w:top w:val="single" w:sz="4" w:space="0" w:color="auto"/>
              <w:left w:val="single" w:sz="4" w:space="0" w:color="auto"/>
              <w:right w:val="single" w:sz="4" w:space="0" w:color="auto"/>
            </w:tcBorders>
            <w:hideMark/>
          </w:tcPr>
          <w:p w14:paraId="41F2FC24" w14:textId="77777777" w:rsidR="00FE537C" w:rsidRPr="008572C5" w:rsidRDefault="00FE537C" w:rsidP="003D2438">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 xml:space="preserve">Условия начисления процентов </w:t>
            </w:r>
          </w:p>
        </w:tc>
        <w:tc>
          <w:tcPr>
            <w:tcW w:w="1689" w:type="pct"/>
            <w:tcBorders>
              <w:top w:val="single" w:sz="4" w:space="0" w:color="auto"/>
              <w:left w:val="single" w:sz="4" w:space="0" w:color="auto"/>
              <w:right w:val="single" w:sz="4" w:space="0" w:color="auto"/>
            </w:tcBorders>
            <w:hideMark/>
          </w:tcPr>
          <w:p w14:paraId="21BFD03D" w14:textId="77777777" w:rsidR="00FE537C" w:rsidRPr="008572C5" w:rsidRDefault="00FE537C" w:rsidP="003D2438">
            <w:pPr>
              <w:widowControl w:val="0"/>
              <w:tabs>
                <w:tab w:val="left" w:pos="426"/>
                <w:tab w:val="left" w:pos="851"/>
                <w:tab w:val="right" w:pos="10206"/>
              </w:tabs>
              <w:adjustRightInd w:val="0"/>
              <w:jc w:val="center"/>
              <w:rPr>
                <w:rFonts w:ascii="Tahoma" w:hAnsi="Tahoma" w:cs="Tahoma"/>
                <w:bCs/>
                <w:iCs/>
                <w:sz w:val="22"/>
                <w:szCs w:val="22"/>
              </w:rPr>
            </w:pPr>
            <w:r w:rsidRPr="008572C5">
              <w:rPr>
                <w:rFonts w:ascii="Tahoma" w:hAnsi="Tahoma" w:cs="Tahoma"/>
                <w:bCs/>
                <w:iCs/>
                <w:sz w:val="22"/>
                <w:szCs w:val="22"/>
              </w:rPr>
              <w:t>Процентная ставка, % годовых</w:t>
            </w:r>
          </w:p>
        </w:tc>
      </w:tr>
      <w:tr w:rsidR="00FE537C" w:rsidRPr="008572C5" w14:paraId="0A0940C2" w14:textId="77777777" w:rsidTr="003D2438">
        <w:trPr>
          <w:trHeight w:val="70"/>
        </w:trPr>
        <w:tc>
          <w:tcPr>
            <w:tcW w:w="3311" w:type="pct"/>
            <w:tcBorders>
              <w:top w:val="single" w:sz="4" w:space="0" w:color="auto"/>
              <w:left w:val="single" w:sz="4" w:space="0" w:color="auto"/>
              <w:bottom w:val="single" w:sz="4" w:space="0" w:color="auto"/>
              <w:right w:val="single" w:sz="4" w:space="0" w:color="auto"/>
            </w:tcBorders>
          </w:tcPr>
          <w:p w14:paraId="0016BCA0" w14:textId="77777777" w:rsidR="00FE537C" w:rsidRPr="008572C5" w:rsidRDefault="00FE537C" w:rsidP="003D2438">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Минимальный остаток по счету¹</w:t>
            </w:r>
          </w:p>
        </w:tc>
        <w:tc>
          <w:tcPr>
            <w:tcW w:w="1689" w:type="pct"/>
            <w:tcBorders>
              <w:top w:val="single" w:sz="4" w:space="0" w:color="auto"/>
              <w:left w:val="single" w:sz="4" w:space="0" w:color="auto"/>
              <w:bottom w:val="single" w:sz="4" w:space="0" w:color="auto"/>
              <w:right w:val="single" w:sz="4" w:space="0" w:color="auto"/>
            </w:tcBorders>
            <w:vAlign w:val="center"/>
          </w:tcPr>
          <w:p w14:paraId="034F0897" w14:textId="77777777" w:rsidR="00FE537C" w:rsidRPr="008572C5" w:rsidRDefault="00FE537C" w:rsidP="003D2438">
            <w:pPr>
              <w:tabs>
                <w:tab w:val="left" w:pos="284"/>
                <w:tab w:val="left" w:pos="426"/>
              </w:tabs>
              <w:jc w:val="center"/>
              <w:textAlignment w:val="top"/>
              <w:rPr>
                <w:rFonts w:ascii="Tahoma" w:hAnsi="Tahoma" w:cs="Tahoma"/>
                <w:bCs/>
                <w:iCs/>
                <w:sz w:val="22"/>
                <w:szCs w:val="22"/>
              </w:rPr>
            </w:pPr>
            <w:r>
              <w:rPr>
                <w:rFonts w:ascii="Tahoma" w:hAnsi="Tahoma" w:cs="Tahoma"/>
                <w:bCs/>
                <w:iCs/>
                <w:sz w:val="22"/>
                <w:szCs w:val="22"/>
              </w:rPr>
              <w:t>9</w:t>
            </w:r>
            <w:r w:rsidRPr="008572C5">
              <w:rPr>
                <w:rFonts w:ascii="Tahoma" w:hAnsi="Tahoma" w:cs="Tahoma"/>
                <w:bCs/>
                <w:iCs/>
                <w:sz w:val="22"/>
                <w:szCs w:val="22"/>
              </w:rPr>
              <w:t>,00</w:t>
            </w:r>
          </w:p>
        </w:tc>
      </w:tr>
    </w:tbl>
    <w:p w14:paraId="20060094" w14:textId="77777777" w:rsidR="00FE537C" w:rsidRPr="008572C5" w:rsidRDefault="00FE537C" w:rsidP="00FE537C">
      <w:pPr>
        <w:jc w:val="both"/>
        <w:rPr>
          <w:rFonts w:ascii="Tahoma" w:eastAsia="Calibri" w:hAnsi="Tahoma" w:cs="Tahoma"/>
          <w:bCs/>
          <w:sz w:val="22"/>
          <w:szCs w:val="22"/>
          <w:lang w:eastAsia="en-US"/>
        </w:rPr>
      </w:pPr>
    </w:p>
    <w:p w14:paraId="2150F498" w14:textId="77777777" w:rsidR="00FE537C" w:rsidRPr="008572C5" w:rsidRDefault="00FE537C" w:rsidP="00FE537C">
      <w:pPr>
        <w:ind w:left="-284" w:firstLine="284"/>
        <w:jc w:val="both"/>
        <w:rPr>
          <w:rFonts w:ascii="Tahoma" w:eastAsia="Calibri" w:hAnsi="Tahoma" w:cs="Tahoma"/>
          <w:sz w:val="18"/>
          <w:szCs w:val="18"/>
          <w:lang w:eastAsia="en-US"/>
        </w:rPr>
      </w:pPr>
      <w:r w:rsidRPr="008572C5">
        <w:rPr>
          <w:rFonts w:ascii="Tahoma" w:eastAsia="Calibri" w:hAnsi="Tahoma" w:cs="Tahoma"/>
          <w:sz w:val="18"/>
          <w:szCs w:val="18"/>
          <w:vertAlign w:val="superscript"/>
          <w:lang w:eastAsia="en-US"/>
        </w:rPr>
        <w:t>1</w:t>
      </w:r>
      <w:r w:rsidRPr="008572C5">
        <w:rPr>
          <w:rFonts w:ascii="Tahoma" w:eastAsia="Calibri" w:hAnsi="Tahoma" w:cs="Tahoma"/>
          <w:sz w:val="18"/>
          <w:szCs w:val="18"/>
          <w:lang w:eastAsia="en-US"/>
        </w:rPr>
        <w:t>Минимальный остаток по Счету – рассчитывается исходя из ежедневных остатков денежных средств на Счете Клиента в течение Периода</w:t>
      </w:r>
      <w:r w:rsidRPr="008572C5">
        <w:rPr>
          <w:rFonts w:ascii="Tahoma" w:eastAsia="Calibri" w:hAnsi="Tahoma" w:cs="Tahoma"/>
          <w:sz w:val="18"/>
          <w:szCs w:val="18"/>
          <w:vertAlign w:val="superscript"/>
          <w:lang w:eastAsia="en-US"/>
        </w:rPr>
        <w:t>2</w:t>
      </w:r>
      <w:r w:rsidRPr="008572C5">
        <w:rPr>
          <w:rFonts w:ascii="Tahoma" w:eastAsia="Calibri" w:hAnsi="Tahoma" w:cs="Tahoma"/>
          <w:sz w:val="18"/>
          <w:szCs w:val="18"/>
          <w:lang w:eastAsia="en-US"/>
        </w:rPr>
        <w:t>. Проценты за весь Период начисляются на  сумму минимального остатка денежных средств на Счете, который образуется на начало любого из дней в течение Периода, за который осуществляется выплата процентов Банком Клиенту, при этом выплата процентов за Период производится на Счет в последний день Периода.</w:t>
      </w:r>
    </w:p>
    <w:p w14:paraId="39C42FC7" w14:textId="77777777" w:rsidR="00FE537C" w:rsidRPr="008572C5" w:rsidRDefault="00FE537C" w:rsidP="00FE537C">
      <w:pPr>
        <w:ind w:left="-284" w:firstLine="284"/>
        <w:jc w:val="both"/>
        <w:rPr>
          <w:rFonts w:ascii="Tahoma" w:hAnsi="Tahoma" w:cs="Tahoma"/>
          <w:sz w:val="18"/>
          <w:szCs w:val="18"/>
        </w:rPr>
      </w:pPr>
      <w:r w:rsidRPr="008572C5">
        <w:rPr>
          <w:rFonts w:ascii="Tahoma" w:hAnsi="Tahoma" w:cs="Tahoma"/>
          <w:sz w:val="18"/>
          <w:szCs w:val="18"/>
          <w:vertAlign w:val="superscript"/>
        </w:rPr>
        <w:t>2</w:t>
      </w:r>
      <w:r w:rsidRPr="008572C5">
        <w:rPr>
          <w:rFonts w:ascii="Tahoma" w:hAnsi="Tahoma" w:cs="Tahoma"/>
          <w:sz w:val="18"/>
          <w:szCs w:val="18"/>
        </w:rPr>
        <w:t>Период – временной период, за который Клиенту Банком на Минимальный остаток средств на Счете начисляются проценты.  Первый Период исчисляется со дня, следующего за днем внесения денежных средств на Счет до календарного дня в следующем месяце, соответствующего дню открытия Счета включительно. Последующие Периоды исчисляются ежемесячно со дня, следующего после дня окончания предыдущего Периода до календарного дня в следующем месяце, соответствующего дню открытия Счета включительно.</w:t>
      </w:r>
    </w:p>
    <w:p w14:paraId="3669C6DA" w14:textId="77777777" w:rsidR="00FE537C" w:rsidRPr="008572C5" w:rsidRDefault="00FE537C" w:rsidP="00FE537C">
      <w:pPr>
        <w:tabs>
          <w:tab w:val="left" w:pos="709"/>
        </w:tabs>
        <w:ind w:left="426"/>
        <w:contextualSpacing/>
        <w:jc w:val="both"/>
        <w:rPr>
          <w:rFonts w:ascii="Tahoma" w:hAnsi="Tahoma" w:cs="Tahoma"/>
          <w:sz w:val="22"/>
          <w:szCs w:val="22"/>
        </w:rPr>
      </w:pPr>
      <w:r w:rsidRPr="008572C5">
        <w:rPr>
          <w:rFonts w:ascii="Tahoma" w:hAnsi="Tahoma" w:cs="Tahoma"/>
          <w:sz w:val="22"/>
          <w:szCs w:val="22"/>
        </w:rPr>
        <w:t>Размеры процентных ставок определяются Тарифами Банка. В случае внесения изменений в Тарифы Банка Банк информирует Клиента путем размещения информации об изменениях на Официальном сайте Банка и (или) в подразделениях Банка, и (или) через каналы дистанционного банковского обслуживания Интернет-банк «АТБ-Онлайн»/ Мобильный банк «АТБ-Мобайл» не менее чем за 3 рабочих дня до даты вступления изменений в силу.</w:t>
      </w:r>
    </w:p>
    <w:p w14:paraId="12FE5FB5" w14:textId="77777777" w:rsidR="00FE537C" w:rsidRPr="008572C5" w:rsidRDefault="00FE537C" w:rsidP="00FE537C">
      <w:pPr>
        <w:tabs>
          <w:tab w:val="left" w:pos="709"/>
        </w:tabs>
        <w:ind w:left="426"/>
        <w:contextualSpacing/>
        <w:jc w:val="both"/>
        <w:rPr>
          <w:rFonts w:ascii="Tahoma" w:hAnsi="Tahoma" w:cs="Tahoma"/>
          <w:sz w:val="22"/>
          <w:szCs w:val="22"/>
        </w:rPr>
      </w:pPr>
    </w:p>
    <w:p w14:paraId="43AA534F" w14:textId="77777777" w:rsidR="00FE537C" w:rsidRPr="008572C5" w:rsidRDefault="00FE537C" w:rsidP="00FE537C">
      <w:pPr>
        <w:tabs>
          <w:tab w:val="left" w:pos="709"/>
        </w:tabs>
        <w:ind w:left="426"/>
        <w:contextualSpacing/>
        <w:jc w:val="both"/>
        <w:rPr>
          <w:rFonts w:ascii="Tahoma" w:hAnsi="Tahoma" w:cs="Tahoma"/>
          <w:sz w:val="22"/>
          <w:szCs w:val="22"/>
        </w:rPr>
      </w:pPr>
    </w:p>
    <w:p w14:paraId="784ACC25" w14:textId="7D56A041" w:rsidR="00FE537C" w:rsidRPr="00FE537C" w:rsidRDefault="000B3718" w:rsidP="000B3718">
      <w:pPr>
        <w:pStyle w:val="a5"/>
        <w:rPr>
          <w:rFonts w:eastAsia="Calibri"/>
        </w:rPr>
      </w:pPr>
      <w:r>
        <w:rPr>
          <w:rFonts w:eastAsia="Calibri"/>
        </w:rPr>
        <w:t xml:space="preserve">3.21. </w:t>
      </w:r>
      <w:r w:rsidR="00FE537C" w:rsidRPr="00FE537C">
        <w:rPr>
          <w:rFonts w:eastAsia="Calibri"/>
        </w:rPr>
        <w:t>Условия накопительного счета «АТБ. Счет» для счетов, открытых с 07.06.2022 по 19.02.2024 (действуют с 02.11.2023 по</w:t>
      </w:r>
      <w:r w:rsidR="00FE537C" w:rsidRPr="00FE537C">
        <w:rPr>
          <w:rFonts w:eastAsia="Calibri"/>
          <w:color w:val="00B050"/>
        </w:rPr>
        <w:t xml:space="preserve">  ):</w:t>
      </w:r>
    </w:p>
    <w:p w14:paraId="6886AE76"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Валюта счета – рубли Российской Федерации (далее – рубли);</w:t>
      </w:r>
    </w:p>
    <w:p w14:paraId="11DFCAFF"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Срок размещения – не ограничен;</w:t>
      </w:r>
    </w:p>
    <w:p w14:paraId="517B6237"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Минимальный первоначальный взнос – не ограничен;</w:t>
      </w:r>
    </w:p>
    <w:p w14:paraId="0573C00F"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Пополнение счета – без ограничений;</w:t>
      </w:r>
    </w:p>
    <w:p w14:paraId="449BBE64"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Расходные операции по счету – без ограничений;</w:t>
      </w:r>
    </w:p>
    <w:p w14:paraId="25E3CBFC"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Сумма неснижаемого остатка – без ограничений;</w:t>
      </w:r>
    </w:p>
    <w:p w14:paraId="2F154B3B"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Максимальная сумма счета – без ограничений;</w:t>
      </w:r>
    </w:p>
    <w:p w14:paraId="5EF3D140"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Периодичность выплаты процентов - ежемесячно, исходя из процентной ставки, установленной по счету и суммы Минимального остатка денежных средств¹, находящихся на счете в течение Периода²;</w:t>
      </w:r>
    </w:p>
    <w:p w14:paraId="4AAF74A4"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 xml:space="preserve">Способ выплаты процентов - </w:t>
      </w:r>
      <w:r w:rsidRPr="008572C5">
        <w:rPr>
          <w:rFonts w:ascii="Tahoma" w:eastAsia="Calibri" w:hAnsi="Tahoma" w:cs="Tahoma"/>
          <w:sz w:val="22"/>
          <w:szCs w:val="22"/>
          <w:lang w:eastAsia="en-US"/>
        </w:rPr>
        <w:t>проценты по Счету причисляются к остатку денежных средств на счете ежемесячно.</w:t>
      </w:r>
    </w:p>
    <w:p w14:paraId="481AA31A"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Открытие счета и управлением счетом в отделениях Банка и через дистанционные каналы банковского обслуживания Интернет-банк «АТБ-Онлайн»/ Мобильный банк «АТБ-Мобайл»</w:t>
      </w:r>
      <w:r>
        <w:rPr>
          <w:rFonts w:ascii="Tahoma" w:eastAsia="Calibri" w:hAnsi="Tahoma" w:cs="Tahoma"/>
          <w:bCs/>
          <w:sz w:val="22"/>
          <w:szCs w:val="22"/>
          <w:lang w:eastAsia="en-US"/>
        </w:rPr>
        <w:t>/</w:t>
      </w:r>
      <w:r w:rsidRPr="0006208C">
        <w:t xml:space="preserve"> </w:t>
      </w:r>
      <w:r>
        <w:t>«</w:t>
      </w:r>
      <w:r w:rsidRPr="00A707EB">
        <w:rPr>
          <w:rFonts w:ascii="Tahoma" w:hAnsi="Tahoma" w:cs="Tahoma"/>
        </w:rPr>
        <w:t>АТБ банк»</w:t>
      </w:r>
      <w:r w:rsidRPr="008572C5">
        <w:rPr>
          <w:rFonts w:ascii="Tahoma" w:eastAsia="Calibri" w:hAnsi="Tahoma" w:cs="Tahoma"/>
          <w:bCs/>
          <w:sz w:val="22"/>
          <w:szCs w:val="22"/>
          <w:lang w:eastAsia="en-U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17"/>
        <w:gridCol w:w="5110"/>
      </w:tblGrid>
      <w:tr w:rsidR="00FE537C" w:rsidRPr="008572C5" w14:paraId="69D89A8A" w14:textId="77777777" w:rsidTr="003D2438">
        <w:trPr>
          <w:trHeight w:val="221"/>
        </w:trPr>
        <w:tc>
          <w:tcPr>
            <w:tcW w:w="3311" w:type="pct"/>
            <w:tcBorders>
              <w:top w:val="single" w:sz="4" w:space="0" w:color="auto"/>
              <w:left w:val="single" w:sz="4" w:space="0" w:color="auto"/>
              <w:right w:val="single" w:sz="4" w:space="0" w:color="auto"/>
            </w:tcBorders>
            <w:hideMark/>
          </w:tcPr>
          <w:p w14:paraId="40EFE906" w14:textId="77777777" w:rsidR="00FE537C" w:rsidRPr="008572C5" w:rsidRDefault="00FE537C" w:rsidP="003D2438">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 xml:space="preserve">Условия начисления процентов </w:t>
            </w:r>
          </w:p>
        </w:tc>
        <w:tc>
          <w:tcPr>
            <w:tcW w:w="1689" w:type="pct"/>
            <w:tcBorders>
              <w:top w:val="single" w:sz="4" w:space="0" w:color="auto"/>
              <w:left w:val="single" w:sz="4" w:space="0" w:color="auto"/>
              <w:right w:val="single" w:sz="4" w:space="0" w:color="auto"/>
            </w:tcBorders>
            <w:hideMark/>
          </w:tcPr>
          <w:p w14:paraId="4ECB5715" w14:textId="77777777" w:rsidR="00FE537C" w:rsidRPr="008572C5" w:rsidRDefault="00FE537C" w:rsidP="003D2438">
            <w:pPr>
              <w:widowControl w:val="0"/>
              <w:tabs>
                <w:tab w:val="left" w:pos="426"/>
                <w:tab w:val="left" w:pos="851"/>
                <w:tab w:val="right" w:pos="10206"/>
              </w:tabs>
              <w:adjustRightInd w:val="0"/>
              <w:jc w:val="center"/>
              <w:rPr>
                <w:rFonts w:ascii="Tahoma" w:hAnsi="Tahoma" w:cs="Tahoma"/>
                <w:bCs/>
                <w:iCs/>
                <w:sz w:val="22"/>
                <w:szCs w:val="22"/>
              </w:rPr>
            </w:pPr>
            <w:r w:rsidRPr="008572C5">
              <w:rPr>
                <w:rFonts w:ascii="Tahoma" w:hAnsi="Tahoma" w:cs="Tahoma"/>
                <w:bCs/>
                <w:iCs/>
                <w:sz w:val="22"/>
                <w:szCs w:val="22"/>
              </w:rPr>
              <w:t>Процентная ставка, % годовых</w:t>
            </w:r>
          </w:p>
        </w:tc>
      </w:tr>
      <w:tr w:rsidR="00FE537C" w:rsidRPr="008572C5" w14:paraId="144A5026" w14:textId="77777777" w:rsidTr="003D2438">
        <w:trPr>
          <w:trHeight w:val="70"/>
        </w:trPr>
        <w:tc>
          <w:tcPr>
            <w:tcW w:w="3311" w:type="pct"/>
            <w:tcBorders>
              <w:top w:val="single" w:sz="4" w:space="0" w:color="auto"/>
              <w:left w:val="single" w:sz="4" w:space="0" w:color="auto"/>
              <w:bottom w:val="single" w:sz="4" w:space="0" w:color="auto"/>
              <w:right w:val="single" w:sz="4" w:space="0" w:color="auto"/>
            </w:tcBorders>
          </w:tcPr>
          <w:p w14:paraId="35AD9F23" w14:textId="77777777" w:rsidR="00FE537C" w:rsidRPr="008572C5" w:rsidRDefault="00FE537C" w:rsidP="003D2438">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Минимальный остаток по счету¹</w:t>
            </w:r>
          </w:p>
        </w:tc>
        <w:tc>
          <w:tcPr>
            <w:tcW w:w="1689" w:type="pct"/>
            <w:tcBorders>
              <w:top w:val="single" w:sz="4" w:space="0" w:color="auto"/>
              <w:left w:val="single" w:sz="4" w:space="0" w:color="auto"/>
              <w:bottom w:val="single" w:sz="4" w:space="0" w:color="auto"/>
              <w:right w:val="single" w:sz="4" w:space="0" w:color="auto"/>
            </w:tcBorders>
            <w:vAlign w:val="center"/>
          </w:tcPr>
          <w:p w14:paraId="60BED6FB" w14:textId="77777777" w:rsidR="00FE537C" w:rsidRPr="008572C5" w:rsidRDefault="00FE537C" w:rsidP="003D2438">
            <w:pPr>
              <w:tabs>
                <w:tab w:val="left" w:pos="284"/>
                <w:tab w:val="left" w:pos="426"/>
              </w:tabs>
              <w:jc w:val="center"/>
              <w:textAlignment w:val="top"/>
              <w:rPr>
                <w:rFonts w:ascii="Tahoma" w:hAnsi="Tahoma" w:cs="Tahoma"/>
                <w:bCs/>
                <w:iCs/>
                <w:sz w:val="22"/>
                <w:szCs w:val="22"/>
              </w:rPr>
            </w:pPr>
            <w:r>
              <w:rPr>
                <w:rFonts w:ascii="Tahoma" w:hAnsi="Tahoma" w:cs="Tahoma"/>
                <w:bCs/>
                <w:iCs/>
                <w:sz w:val="22"/>
                <w:szCs w:val="22"/>
              </w:rPr>
              <w:t>11,50</w:t>
            </w:r>
          </w:p>
        </w:tc>
      </w:tr>
    </w:tbl>
    <w:p w14:paraId="01F18A0A" w14:textId="77777777" w:rsidR="00FE537C" w:rsidRPr="008572C5" w:rsidRDefault="00FE537C" w:rsidP="00FE537C">
      <w:pPr>
        <w:jc w:val="both"/>
        <w:rPr>
          <w:rFonts w:ascii="Tahoma" w:eastAsia="Calibri" w:hAnsi="Tahoma" w:cs="Tahoma"/>
          <w:bCs/>
          <w:sz w:val="22"/>
          <w:szCs w:val="22"/>
          <w:lang w:eastAsia="en-US"/>
        </w:rPr>
      </w:pPr>
    </w:p>
    <w:p w14:paraId="2A495902" w14:textId="77777777" w:rsidR="00FE537C" w:rsidRPr="008572C5" w:rsidRDefault="00FE537C" w:rsidP="00FE537C">
      <w:pPr>
        <w:ind w:left="-284" w:firstLine="284"/>
        <w:jc w:val="both"/>
        <w:rPr>
          <w:rFonts w:ascii="Tahoma" w:eastAsia="Calibri" w:hAnsi="Tahoma" w:cs="Tahoma"/>
          <w:sz w:val="18"/>
          <w:szCs w:val="18"/>
          <w:lang w:eastAsia="en-US"/>
        </w:rPr>
      </w:pPr>
      <w:r w:rsidRPr="008572C5">
        <w:rPr>
          <w:rFonts w:ascii="Tahoma" w:eastAsia="Calibri" w:hAnsi="Tahoma" w:cs="Tahoma"/>
          <w:sz w:val="18"/>
          <w:szCs w:val="18"/>
          <w:vertAlign w:val="superscript"/>
          <w:lang w:eastAsia="en-US"/>
        </w:rPr>
        <w:t>1</w:t>
      </w:r>
      <w:r w:rsidRPr="008572C5">
        <w:rPr>
          <w:rFonts w:ascii="Tahoma" w:eastAsia="Calibri" w:hAnsi="Tahoma" w:cs="Tahoma"/>
          <w:sz w:val="18"/>
          <w:szCs w:val="18"/>
          <w:lang w:eastAsia="en-US"/>
        </w:rPr>
        <w:t>Минимальный остаток по Счету – рассчитывается исходя из ежедневных остатков денежных средств на Счете Клиента в течение Периода</w:t>
      </w:r>
      <w:r w:rsidRPr="008572C5">
        <w:rPr>
          <w:rFonts w:ascii="Tahoma" w:eastAsia="Calibri" w:hAnsi="Tahoma" w:cs="Tahoma"/>
          <w:sz w:val="18"/>
          <w:szCs w:val="18"/>
          <w:vertAlign w:val="superscript"/>
          <w:lang w:eastAsia="en-US"/>
        </w:rPr>
        <w:t>2</w:t>
      </w:r>
      <w:r w:rsidRPr="008572C5">
        <w:rPr>
          <w:rFonts w:ascii="Tahoma" w:eastAsia="Calibri" w:hAnsi="Tahoma" w:cs="Tahoma"/>
          <w:sz w:val="18"/>
          <w:szCs w:val="18"/>
          <w:lang w:eastAsia="en-US"/>
        </w:rPr>
        <w:t>. Проценты за весь Период начисляются на  сумму минимального остатка денежных средств на Счете, который образуется на начало любого из дней в течение Периода, за который осуществляется выплата процентов Банком Клиенту, при этом выплата процентов за Период производится на Счет в последний день Периода.</w:t>
      </w:r>
    </w:p>
    <w:p w14:paraId="5AE85E1F" w14:textId="77777777" w:rsidR="00FE537C" w:rsidRPr="008572C5" w:rsidRDefault="00FE537C" w:rsidP="00FE537C">
      <w:pPr>
        <w:ind w:left="-284" w:firstLine="284"/>
        <w:jc w:val="both"/>
        <w:rPr>
          <w:rFonts w:ascii="Tahoma" w:hAnsi="Tahoma" w:cs="Tahoma"/>
          <w:sz w:val="18"/>
          <w:szCs w:val="18"/>
        </w:rPr>
      </w:pPr>
      <w:r w:rsidRPr="008572C5">
        <w:rPr>
          <w:rFonts w:ascii="Tahoma" w:hAnsi="Tahoma" w:cs="Tahoma"/>
          <w:sz w:val="18"/>
          <w:szCs w:val="18"/>
          <w:vertAlign w:val="superscript"/>
        </w:rPr>
        <w:t>2</w:t>
      </w:r>
      <w:r w:rsidRPr="008572C5">
        <w:rPr>
          <w:rFonts w:ascii="Tahoma" w:hAnsi="Tahoma" w:cs="Tahoma"/>
          <w:sz w:val="18"/>
          <w:szCs w:val="18"/>
        </w:rPr>
        <w:t>Период – временной период, за который Клиенту Банком на Минимальный остаток средств на Счете начисляются проценты.  Первый Период исчисляется со дня, следующего за днем внесения денежных средств на Счет до календарного дня в следующем месяце, соответствующего дню открытия Счета включительно. Последующие Периоды исчисляются ежемесячно со дня, следующего после дня окончания предыдущего Периода до календарного дня в следующем месяце, соответствующего дню открытия Счета включительно.</w:t>
      </w:r>
    </w:p>
    <w:p w14:paraId="1F6FA52E" w14:textId="77777777" w:rsidR="00FE537C" w:rsidRPr="008572C5" w:rsidRDefault="00FE537C" w:rsidP="00FE537C">
      <w:pPr>
        <w:tabs>
          <w:tab w:val="left" w:pos="709"/>
        </w:tabs>
        <w:ind w:left="426"/>
        <w:contextualSpacing/>
        <w:jc w:val="both"/>
        <w:rPr>
          <w:rFonts w:ascii="Tahoma" w:hAnsi="Tahoma" w:cs="Tahoma"/>
          <w:sz w:val="22"/>
          <w:szCs w:val="22"/>
        </w:rPr>
      </w:pPr>
      <w:r w:rsidRPr="008572C5">
        <w:rPr>
          <w:rFonts w:ascii="Tahoma" w:hAnsi="Tahoma" w:cs="Tahoma"/>
          <w:sz w:val="22"/>
          <w:szCs w:val="22"/>
        </w:rPr>
        <w:t>Размеры процентных ставок определяются Тарифами Банка. В случае внесения изменений в Тарифы Банка Банк информирует Клиента путем размещения информации об изменениях на Официальном сайте Банка и (или) в подразделениях Банка, и (или) через каналы дистанционного банковского обслуживания Интернет-банк «АТБ-Онлайн»/ Мобильный банк «АТБ-Мобайл»</w:t>
      </w:r>
      <w:r>
        <w:rPr>
          <w:rFonts w:ascii="Tahoma" w:hAnsi="Tahoma" w:cs="Tahoma"/>
          <w:sz w:val="22"/>
          <w:szCs w:val="22"/>
        </w:rPr>
        <w:t>/</w:t>
      </w:r>
      <w:r w:rsidRPr="00D53733">
        <w:t xml:space="preserve"> </w:t>
      </w:r>
      <w:r>
        <w:t>«</w:t>
      </w:r>
      <w:r w:rsidRPr="00A707EB">
        <w:rPr>
          <w:rFonts w:ascii="Tahoma" w:hAnsi="Tahoma" w:cs="Tahoma"/>
        </w:rPr>
        <w:t>АТБ банк»</w:t>
      </w:r>
      <w:r w:rsidRPr="008C0436">
        <w:rPr>
          <w:rFonts w:ascii="Tahoma" w:hAnsi="Tahoma" w:cs="Tahoma"/>
        </w:rPr>
        <w:t xml:space="preserve"> </w:t>
      </w:r>
      <w:r w:rsidRPr="008572C5">
        <w:rPr>
          <w:rFonts w:ascii="Tahoma" w:hAnsi="Tahoma" w:cs="Tahoma"/>
          <w:sz w:val="22"/>
          <w:szCs w:val="22"/>
        </w:rPr>
        <w:t>не менее чем за 3 рабочих дня до даты вступления изменений в силу.</w:t>
      </w:r>
    </w:p>
    <w:p w14:paraId="192087FE" w14:textId="77777777" w:rsidR="00FE537C" w:rsidRPr="008572C5" w:rsidRDefault="00FE537C" w:rsidP="00FE537C">
      <w:pPr>
        <w:tabs>
          <w:tab w:val="left" w:pos="709"/>
        </w:tabs>
        <w:ind w:left="426"/>
        <w:contextualSpacing/>
        <w:jc w:val="both"/>
        <w:rPr>
          <w:rFonts w:ascii="Tahoma" w:hAnsi="Tahoma" w:cs="Tahoma"/>
          <w:sz w:val="22"/>
          <w:szCs w:val="22"/>
        </w:rPr>
      </w:pPr>
    </w:p>
    <w:p w14:paraId="100DCA2F" w14:textId="3E12B96C" w:rsidR="00FE537C" w:rsidRPr="00FE537C" w:rsidRDefault="000B3718" w:rsidP="000B3718">
      <w:pPr>
        <w:pStyle w:val="a5"/>
        <w:rPr>
          <w:rFonts w:eastAsia="Calibri"/>
        </w:rPr>
      </w:pPr>
      <w:r>
        <w:rPr>
          <w:rFonts w:eastAsia="Calibri"/>
        </w:rPr>
        <w:t xml:space="preserve">3.22. </w:t>
      </w:r>
      <w:r w:rsidR="00FE537C" w:rsidRPr="00FE537C">
        <w:rPr>
          <w:rFonts w:eastAsia="Calibri"/>
        </w:rPr>
        <w:t>Условия накопительного счета «АТБ. Счет» для счетов, открытых с 20.02.2024 (действуют с 19.03.2024 по 05.06.2024):</w:t>
      </w:r>
    </w:p>
    <w:p w14:paraId="7C12154F"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Валюта счета – рубли Российской Федерации (далее – рубли);</w:t>
      </w:r>
    </w:p>
    <w:p w14:paraId="5CC8664B"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Срок размещения – не ограничен;</w:t>
      </w:r>
    </w:p>
    <w:p w14:paraId="0F0928FC"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Минимальный первоначальный взнос – не ограничен;</w:t>
      </w:r>
    </w:p>
    <w:p w14:paraId="6D7607F0"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Пополнение счета – без ограничений;</w:t>
      </w:r>
    </w:p>
    <w:p w14:paraId="641B6B76"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Расходные операции по счету – без ограничений;</w:t>
      </w:r>
    </w:p>
    <w:p w14:paraId="0AF66FA7"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Сумма неснижаемого остатка – без ограничений;</w:t>
      </w:r>
    </w:p>
    <w:p w14:paraId="2B260EB8"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Максимальная сумма счета – без ограничений;</w:t>
      </w:r>
    </w:p>
    <w:p w14:paraId="6E0F7365"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 xml:space="preserve">Периодичность выплаты процентов - ежемесячно, исходя из процентной ставки, установленной по счету и суммы </w:t>
      </w:r>
      <w:r>
        <w:rPr>
          <w:rFonts w:ascii="Tahoma" w:eastAsia="Calibri" w:hAnsi="Tahoma" w:cs="Tahoma"/>
          <w:bCs/>
          <w:sz w:val="22"/>
          <w:szCs w:val="22"/>
          <w:lang w:eastAsia="en-US"/>
        </w:rPr>
        <w:t>Среднего</w:t>
      </w:r>
      <w:r w:rsidRPr="008572C5">
        <w:rPr>
          <w:rFonts w:ascii="Tahoma" w:eastAsia="Calibri" w:hAnsi="Tahoma" w:cs="Tahoma"/>
          <w:bCs/>
          <w:sz w:val="22"/>
          <w:szCs w:val="22"/>
          <w:lang w:eastAsia="en-US"/>
        </w:rPr>
        <w:t xml:space="preserve"> остатка денежных средств¹, находящихся на счете в течение Периода²;</w:t>
      </w:r>
    </w:p>
    <w:p w14:paraId="61CADFA0"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 xml:space="preserve">Способ выплаты процентов - </w:t>
      </w:r>
      <w:r w:rsidRPr="008572C5">
        <w:rPr>
          <w:rFonts w:ascii="Tahoma" w:eastAsia="Calibri" w:hAnsi="Tahoma" w:cs="Tahoma"/>
          <w:sz w:val="22"/>
          <w:szCs w:val="22"/>
          <w:lang w:eastAsia="en-US"/>
        </w:rPr>
        <w:t>проценты по Счету причисляются к остатку денежных средств на счете ежемесячно.</w:t>
      </w:r>
    </w:p>
    <w:p w14:paraId="3EF1F9BB"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Открытие счета и управлением счетом в отделениях Банка и через дистанционные каналы банковского обслуживания Интернет-банк «АТБ-Онлайн»/ Мобильный банк «АТБ-Мобайл»</w:t>
      </w:r>
      <w:r>
        <w:rPr>
          <w:rFonts w:ascii="Tahoma" w:eastAsia="Calibri" w:hAnsi="Tahoma" w:cs="Tahoma"/>
          <w:bCs/>
          <w:sz w:val="22"/>
          <w:szCs w:val="22"/>
          <w:lang w:eastAsia="en-US"/>
        </w:rPr>
        <w:t>/</w:t>
      </w:r>
      <w:r>
        <w:t>«</w:t>
      </w:r>
      <w:r w:rsidRPr="00A707EB">
        <w:rPr>
          <w:rFonts w:ascii="Tahoma" w:hAnsi="Tahoma" w:cs="Tahoma"/>
        </w:rPr>
        <w:t>АТБ банк»</w:t>
      </w:r>
      <w:r w:rsidRPr="008572C5">
        <w:rPr>
          <w:rFonts w:ascii="Tahoma" w:eastAsia="Calibri" w:hAnsi="Tahoma" w:cs="Tahoma"/>
          <w:bCs/>
          <w:sz w:val="22"/>
          <w:szCs w:val="22"/>
          <w:lang w:eastAsia="en-U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17"/>
        <w:gridCol w:w="5110"/>
      </w:tblGrid>
      <w:tr w:rsidR="00FE537C" w:rsidRPr="008572C5" w14:paraId="3CBDC482" w14:textId="77777777" w:rsidTr="003D2438">
        <w:trPr>
          <w:trHeight w:val="221"/>
        </w:trPr>
        <w:tc>
          <w:tcPr>
            <w:tcW w:w="3311" w:type="pct"/>
            <w:tcBorders>
              <w:top w:val="single" w:sz="4" w:space="0" w:color="auto"/>
              <w:left w:val="single" w:sz="4" w:space="0" w:color="auto"/>
              <w:right w:val="single" w:sz="4" w:space="0" w:color="auto"/>
            </w:tcBorders>
            <w:hideMark/>
          </w:tcPr>
          <w:p w14:paraId="64065765" w14:textId="77777777" w:rsidR="00FE537C" w:rsidRPr="008572C5" w:rsidRDefault="00FE537C" w:rsidP="003D2438">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 xml:space="preserve">Условия начисления процентов </w:t>
            </w:r>
          </w:p>
        </w:tc>
        <w:tc>
          <w:tcPr>
            <w:tcW w:w="1689" w:type="pct"/>
            <w:tcBorders>
              <w:top w:val="single" w:sz="4" w:space="0" w:color="auto"/>
              <w:left w:val="single" w:sz="4" w:space="0" w:color="auto"/>
              <w:right w:val="single" w:sz="4" w:space="0" w:color="auto"/>
            </w:tcBorders>
            <w:hideMark/>
          </w:tcPr>
          <w:p w14:paraId="62539D13" w14:textId="77777777" w:rsidR="00FE537C" w:rsidRPr="008572C5" w:rsidRDefault="00FE537C" w:rsidP="003D2438">
            <w:pPr>
              <w:widowControl w:val="0"/>
              <w:tabs>
                <w:tab w:val="left" w:pos="426"/>
                <w:tab w:val="left" w:pos="851"/>
                <w:tab w:val="right" w:pos="10206"/>
              </w:tabs>
              <w:adjustRightInd w:val="0"/>
              <w:jc w:val="center"/>
              <w:rPr>
                <w:rFonts w:ascii="Tahoma" w:hAnsi="Tahoma" w:cs="Tahoma"/>
                <w:bCs/>
                <w:iCs/>
                <w:sz w:val="22"/>
                <w:szCs w:val="22"/>
              </w:rPr>
            </w:pPr>
            <w:r w:rsidRPr="008572C5">
              <w:rPr>
                <w:rFonts w:ascii="Tahoma" w:hAnsi="Tahoma" w:cs="Tahoma"/>
                <w:bCs/>
                <w:iCs/>
                <w:sz w:val="22"/>
                <w:szCs w:val="22"/>
              </w:rPr>
              <w:t>Процентная ставка, % годовых</w:t>
            </w:r>
          </w:p>
        </w:tc>
      </w:tr>
      <w:tr w:rsidR="00FE537C" w:rsidRPr="008572C5" w14:paraId="6808FE08" w14:textId="77777777" w:rsidTr="003D2438">
        <w:trPr>
          <w:trHeight w:val="70"/>
        </w:trPr>
        <w:tc>
          <w:tcPr>
            <w:tcW w:w="3311" w:type="pct"/>
            <w:tcBorders>
              <w:top w:val="single" w:sz="4" w:space="0" w:color="auto"/>
              <w:left w:val="single" w:sz="4" w:space="0" w:color="auto"/>
              <w:bottom w:val="single" w:sz="4" w:space="0" w:color="auto"/>
              <w:right w:val="single" w:sz="4" w:space="0" w:color="auto"/>
            </w:tcBorders>
          </w:tcPr>
          <w:p w14:paraId="57288A90" w14:textId="77777777" w:rsidR="00FE537C" w:rsidRPr="008572C5" w:rsidRDefault="00FE537C" w:rsidP="003D2438">
            <w:pPr>
              <w:widowControl w:val="0"/>
              <w:tabs>
                <w:tab w:val="left" w:pos="284"/>
                <w:tab w:val="left" w:pos="426"/>
              </w:tabs>
              <w:adjustRightInd w:val="0"/>
              <w:jc w:val="center"/>
              <w:rPr>
                <w:rFonts w:ascii="Tahoma" w:hAnsi="Tahoma" w:cs="Tahoma"/>
                <w:bCs/>
                <w:iCs/>
                <w:sz w:val="22"/>
                <w:szCs w:val="22"/>
              </w:rPr>
            </w:pPr>
            <w:r>
              <w:rPr>
                <w:rFonts w:ascii="Tahoma" w:hAnsi="Tahoma" w:cs="Tahoma"/>
                <w:bCs/>
                <w:iCs/>
                <w:sz w:val="22"/>
                <w:szCs w:val="22"/>
              </w:rPr>
              <w:t>Средний</w:t>
            </w:r>
            <w:r w:rsidRPr="008572C5">
              <w:rPr>
                <w:rFonts w:ascii="Tahoma" w:hAnsi="Tahoma" w:cs="Tahoma"/>
                <w:bCs/>
                <w:iCs/>
                <w:sz w:val="22"/>
                <w:szCs w:val="22"/>
              </w:rPr>
              <w:t xml:space="preserve"> остаток по счету¹</w:t>
            </w:r>
          </w:p>
        </w:tc>
        <w:tc>
          <w:tcPr>
            <w:tcW w:w="1689" w:type="pct"/>
            <w:tcBorders>
              <w:top w:val="single" w:sz="4" w:space="0" w:color="auto"/>
              <w:left w:val="single" w:sz="4" w:space="0" w:color="auto"/>
              <w:bottom w:val="single" w:sz="4" w:space="0" w:color="auto"/>
              <w:right w:val="single" w:sz="4" w:space="0" w:color="auto"/>
            </w:tcBorders>
            <w:vAlign w:val="center"/>
          </w:tcPr>
          <w:p w14:paraId="4958A043" w14:textId="77777777" w:rsidR="00FE537C" w:rsidRPr="008572C5" w:rsidRDefault="00FE537C" w:rsidP="003D2438">
            <w:pPr>
              <w:tabs>
                <w:tab w:val="left" w:pos="284"/>
                <w:tab w:val="left" w:pos="426"/>
              </w:tabs>
              <w:jc w:val="center"/>
              <w:textAlignment w:val="top"/>
              <w:rPr>
                <w:rFonts w:ascii="Tahoma" w:hAnsi="Tahoma" w:cs="Tahoma"/>
                <w:bCs/>
                <w:iCs/>
                <w:sz w:val="22"/>
                <w:szCs w:val="22"/>
              </w:rPr>
            </w:pPr>
            <w:r>
              <w:rPr>
                <w:rFonts w:ascii="Tahoma" w:hAnsi="Tahoma" w:cs="Tahoma"/>
                <w:bCs/>
                <w:iCs/>
                <w:sz w:val="22"/>
                <w:szCs w:val="22"/>
              </w:rPr>
              <w:t>13,00</w:t>
            </w:r>
          </w:p>
        </w:tc>
      </w:tr>
    </w:tbl>
    <w:p w14:paraId="3C0674FD" w14:textId="77777777" w:rsidR="00FE537C" w:rsidRPr="008572C5" w:rsidRDefault="00FE537C" w:rsidP="00FE537C">
      <w:pPr>
        <w:jc w:val="both"/>
        <w:rPr>
          <w:rFonts w:ascii="Tahoma" w:eastAsia="Calibri" w:hAnsi="Tahoma" w:cs="Tahoma"/>
          <w:bCs/>
          <w:sz w:val="22"/>
          <w:szCs w:val="22"/>
          <w:lang w:eastAsia="en-US"/>
        </w:rPr>
      </w:pPr>
    </w:p>
    <w:p w14:paraId="5EC2DFF5" w14:textId="77777777" w:rsidR="00FE537C" w:rsidRPr="00337FDB" w:rsidRDefault="00FE537C" w:rsidP="00FE537C">
      <w:pPr>
        <w:ind w:left="-284" w:firstLine="284"/>
        <w:jc w:val="both"/>
        <w:rPr>
          <w:rFonts w:ascii="Tahoma" w:eastAsia="Calibri" w:hAnsi="Tahoma" w:cs="Tahoma"/>
          <w:sz w:val="18"/>
          <w:szCs w:val="18"/>
          <w:lang w:eastAsia="en-US"/>
        </w:rPr>
      </w:pPr>
      <w:r w:rsidRPr="00337FDB">
        <w:rPr>
          <w:rFonts w:ascii="Tahoma" w:eastAsia="Calibri" w:hAnsi="Tahoma" w:cs="Tahoma"/>
          <w:sz w:val="18"/>
          <w:szCs w:val="18"/>
          <w:vertAlign w:val="superscript"/>
          <w:lang w:eastAsia="en-US"/>
        </w:rPr>
        <w:t>1</w:t>
      </w:r>
      <w:r w:rsidRPr="00337FDB">
        <w:rPr>
          <w:rFonts w:ascii="Tahoma" w:eastAsia="Calibri" w:hAnsi="Tahoma" w:cs="Tahoma"/>
          <w:sz w:val="18"/>
          <w:szCs w:val="18"/>
          <w:lang w:eastAsia="en-US"/>
        </w:rPr>
        <w:t xml:space="preserve">Средний остаток по </w:t>
      </w:r>
      <w:r>
        <w:rPr>
          <w:rFonts w:ascii="Tahoma" w:eastAsia="Calibri" w:hAnsi="Tahoma" w:cs="Tahoma"/>
          <w:sz w:val="18"/>
          <w:szCs w:val="18"/>
          <w:lang w:eastAsia="en-US"/>
        </w:rPr>
        <w:t>С</w:t>
      </w:r>
      <w:r w:rsidRPr="00337FDB">
        <w:rPr>
          <w:rFonts w:ascii="Tahoma" w:eastAsia="Calibri" w:hAnsi="Tahoma" w:cs="Tahoma"/>
          <w:sz w:val="18"/>
          <w:szCs w:val="18"/>
          <w:lang w:eastAsia="en-US"/>
        </w:rPr>
        <w:t xml:space="preserve">чету – это совокупный баланс денежных средств, рассчитанный путем сложения ежедневных входящих остатков денежных средств на </w:t>
      </w:r>
      <w:r>
        <w:rPr>
          <w:rFonts w:ascii="Tahoma" w:eastAsia="Calibri" w:hAnsi="Tahoma" w:cs="Tahoma"/>
          <w:sz w:val="18"/>
          <w:szCs w:val="18"/>
          <w:lang w:eastAsia="en-US"/>
        </w:rPr>
        <w:t>С</w:t>
      </w:r>
      <w:r w:rsidRPr="00337FDB">
        <w:rPr>
          <w:rFonts w:ascii="Tahoma" w:eastAsia="Calibri" w:hAnsi="Tahoma" w:cs="Tahoma"/>
          <w:sz w:val="18"/>
          <w:szCs w:val="18"/>
          <w:lang w:eastAsia="en-US"/>
        </w:rPr>
        <w:t xml:space="preserve">чете Клиента </w:t>
      </w:r>
      <w:r w:rsidRPr="00E25AF0">
        <w:rPr>
          <w:rFonts w:ascii="Tahoma" w:eastAsia="Calibri" w:hAnsi="Tahoma" w:cs="Tahoma"/>
          <w:sz w:val="18"/>
          <w:szCs w:val="18"/>
          <w:lang w:eastAsia="en-US"/>
        </w:rPr>
        <w:t>на начало каждого дня</w:t>
      </w:r>
      <w:r w:rsidRPr="00337FDB">
        <w:rPr>
          <w:rFonts w:ascii="Tahoma" w:eastAsia="Calibri" w:hAnsi="Tahoma" w:cs="Tahoma"/>
          <w:sz w:val="18"/>
          <w:szCs w:val="18"/>
          <w:lang w:eastAsia="en-US"/>
        </w:rPr>
        <w:t xml:space="preserve"> в течение календарного месяца (далее – Период</w:t>
      </w:r>
      <w:r w:rsidRPr="00337FDB">
        <w:rPr>
          <w:rFonts w:ascii="Tahoma" w:eastAsia="Calibri" w:hAnsi="Tahoma" w:cs="Tahoma"/>
          <w:sz w:val="18"/>
          <w:szCs w:val="18"/>
          <w:vertAlign w:val="superscript"/>
          <w:lang w:eastAsia="en-US"/>
        </w:rPr>
        <w:t>2</w:t>
      </w:r>
      <w:r w:rsidRPr="00337FDB">
        <w:rPr>
          <w:rFonts w:ascii="Tahoma" w:eastAsia="Calibri" w:hAnsi="Tahoma" w:cs="Tahoma"/>
          <w:sz w:val="18"/>
          <w:szCs w:val="18"/>
          <w:lang w:eastAsia="en-US"/>
        </w:rPr>
        <w:t xml:space="preserve">) и деления этой суммы на количество дней в этом </w:t>
      </w:r>
      <w:r>
        <w:rPr>
          <w:rFonts w:ascii="Tahoma" w:eastAsia="Calibri" w:hAnsi="Tahoma" w:cs="Tahoma"/>
          <w:sz w:val="18"/>
          <w:szCs w:val="18"/>
          <w:lang w:eastAsia="en-US"/>
        </w:rPr>
        <w:t>Периоде</w:t>
      </w:r>
      <w:r w:rsidRPr="00337FDB">
        <w:rPr>
          <w:rFonts w:ascii="Tahoma" w:eastAsia="Calibri" w:hAnsi="Tahoma" w:cs="Tahoma"/>
          <w:sz w:val="18"/>
          <w:szCs w:val="18"/>
          <w:lang w:eastAsia="en-US"/>
        </w:rPr>
        <w:t>.</w:t>
      </w:r>
    </w:p>
    <w:p w14:paraId="75168FDE" w14:textId="77777777" w:rsidR="00FE537C" w:rsidRPr="00337FDB" w:rsidRDefault="00FE537C" w:rsidP="00FE537C">
      <w:pPr>
        <w:ind w:left="-284" w:firstLine="284"/>
        <w:jc w:val="both"/>
        <w:rPr>
          <w:rFonts w:ascii="Tahoma" w:hAnsi="Tahoma" w:cs="Tahoma"/>
          <w:sz w:val="18"/>
          <w:szCs w:val="18"/>
        </w:rPr>
      </w:pPr>
      <w:r w:rsidRPr="00337FDB">
        <w:rPr>
          <w:rFonts w:ascii="Tahoma" w:hAnsi="Tahoma" w:cs="Tahoma"/>
          <w:sz w:val="18"/>
          <w:szCs w:val="18"/>
          <w:vertAlign w:val="superscript"/>
        </w:rPr>
        <w:t>2</w:t>
      </w:r>
      <w:r w:rsidRPr="00337FDB">
        <w:rPr>
          <w:rFonts w:ascii="Tahoma" w:hAnsi="Tahoma" w:cs="Tahoma"/>
          <w:sz w:val="18"/>
          <w:szCs w:val="18"/>
        </w:rPr>
        <w:t xml:space="preserve">Период – временной период, за который Клиенту Банком на Средний остаток средств на </w:t>
      </w:r>
      <w:r>
        <w:rPr>
          <w:rFonts w:ascii="Tahoma" w:hAnsi="Tahoma" w:cs="Tahoma"/>
          <w:sz w:val="18"/>
          <w:szCs w:val="18"/>
        </w:rPr>
        <w:t>С</w:t>
      </w:r>
      <w:r w:rsidRPr="00337FDB">
        <w:rPr>
          <w:rFonts w:ascii="Tahoma" w:hAnsi="Tahoma" w:cs="Tahoma"/>
          <w:sz w:val="18"/>
          <w:szCs w:val="18"/>
        </w:rPr>
        <w:t xml:space="preserve">чете начисляются проценты. Первый Период исчисляется со дня, следующего за днем внесения денежных средств на </w:t>
      </w:r>
      <w:r>
        <w:rPr>
          <w:rFonts w:ascii="Tahoma" w:hAnsi="Tahoma" w:cs="Tahoma"/>
          <w:sz w:val="18"/>
          <w:szCs w:val="18"/>
        </w:rPr>
        <w:t>С</w:t>
      </w:r>
      <w:r w:rsidRPr="00337FDB">
        <w:rPr>
          <w:rFonts w:ascii="Tahoma" w:hAnsi="Tahoma" w:cs="Tahoma"/>
          <w:sz w:val="18"/>
          <w:szCs w:val="18"/>
        </w:rPr>
        <w:t>чет до последнего календарного дня месяца. Последующие Периоды исчисляются ежемесячно с 1-го числа каждого календарного месяца до последнего календарного дня месяца</w:t>
      </w:r>
      <w:r>
        <w:rPr>
          <w:rFonts w:ascii="Tahoma" w:hAnsi="Tahoma" w:cs="Tahoma"/>
          <w:sz w:val="18"/>
          <w:szCs w:val="18"/>
        </w:rPr>
        <w:t>, в котором открыт Счет</w:t>
      </w:r>
      <w:r w:rsidRPr="00337FDB">
        <w:rPr>
          <w:rFonts w:ascii="Tahoma" w:hAnsi="Tahoma" w:cs="Tahoma"/>
          <w:sz w:val="18"/>
          <w:szCs w:val="18"/>
        </w:rPr>
        <w:t xml:space="preserve">. Выплата Банком Клиенту начисленных процентов производится на </w:t>
      </w:r>
      <w:r>
        <w:rPr>
          <w:rFonts w:ascii="Tahoma" w:hAnsi="Tahoma" w:cs="Tahoma"/>
          <w:sz w:val="18"/>
          <w:szCs w:val="18"/>
        </w:rPr>
        <w:t>С</w:t>
      </w:r>
      <w:r w:rsidRPr="00337FDB">
        <w:rPr>
          <w:rFonts w:ascii="Tahoma" w:hAnsi="Tahoma" w:cs="Tahoma"/>
          <w:sz w:val="18"/>
          <w:szCs w:val="18"/>
        </w:rPr>
        <w:t xml:space="preserve">чет в последний </w:t>
      </w:r>
      <w:r>
        <w:rPr>
          <w:rFonts w:ascii="Tahoma" w:hAnsi="Tahoma" w:cs="Tahoma"/>
          <w:sz w:val="18"/>
          <w:szCs w:val="18"/>
        </w:rPr>
        <w:t xml:space="preserve">календарный </w:t>
      </w:r>
      <w:r w:rsidRPr="00337FDB">
        <w:rPr>
          <w:rFonts w:ascii="Tahoma" w:hAnsi="Tahoma" w:cs="Tahoma"/>
          <w:sz w:val="18"/>
          <w:szCs w:val="18"/>
        </w:rPr>
        <w:t>день месяца.</w:t>
      </w:r>
    </w:p>
    <w:p w14:paraId="7D9A3DFE" w14:textId="77777777" w:rsidR="00FE537C" w:rsidRPr="00337FDB" w:rsidRDefault="00FE537C" w:rsidP="00FE537C">
      <w:pPr>
        <w:ind w:left="-284" w:firstLine="284"/>
        <w:jc w:val="both"/>
        <w:rPr>
          <w:rFonts w:ascii="Tahoma" w:hAnsi="Tahoma" w:cs="Tahoma"/>
          <w:sz w:val="18"/>
          <w:szCs w:val="18"/>
        </w:rPr>
      </w:pPr>
    </w:p>
    <w:p w14:paraId="21492D57" w14:textId="77777777" w:rsidR="00FE537C" w:rsidRPr="008572C5" w:rsidRDefault="00FE537C" w:rsidP="00FE537C">
      <w:pPr>
        <w:tabs>
          <w:tab w:val="left" w:pos="709"/>
        </w:tabs>
        <w:ind w:left="426"/>
        <w:contextualSpacing/>
        <w:jc w:val="both"/>
        <w:rPr>
          <w:rFonts w:ascii="Tahoma" w:hAnsi="Tahoma" w:cs="Tahoma"/>
          <w:sz w:val="22"/>
          <w:szCs w:val="22"/>
        </w:rPr>
      </w:pPr>
      <w:r w:rsidRPr="008572C5">
        <w:rPr>
          <w:rFonts w:ascii="Tahoma" w:hAnsi="Tahoma" w:cs="Tahoma"/>
          <w:sz w:val="22"/>
          <w:szCs w:val="22"/>
        </w:rPr>
        <w:t>Размеры процентных ставок определяются Тарифами Банка. В случае внесения изменений в Тарифы Банка Банк информирует Клиента путем размещения информации об изменениях на Официальном сайте Банка и (или) в подразделениях Банка, и (или) через каналы дистанционного банковского обслуживания Интернет-банк «АТБ-Онлайн»/ Мобильный банк «АТБ-Мобайл»</w:t>
      </w:r>
      <w:r>
        <w:rPr>
          <w:rFonts w:ascii="Tahoma" w:hAnsi="Tahoma" w:cs="Tahoma"/>
          <w:sz w:val="22"/>
          <w:szCs w:val="22"/>
        </w:rPr>
        <w:t xml:space="preserve"> /</w:t>
      </w:r>
      <w:r>
        <w:t>«</w:t>
      </w:r>
      <w:r w:rsidRPr="00A707EB">
        <w:rPr>
          <w:rFonts w:ascii="Tahoma" w:hAnsi="Tahoma" w:cs="Tahoma"/>
        </w:rPr>
        <w:t>АТБ банк»</w:t>
      </w:r>
      <w:r w:rsidRPr="008572C5">
        <w:rPr>
          <w:rFonts w:ascii="Tahoma" w:hAnsi="Tahoma" w:cs="Tahoma"/>
          <w:sz w:val="22"/>
          <w:szCs w:val="22"/>
        </w:rPr>
        <w:t xml:space="preserve"> не менее чем за 3 рабочих дня до даты вступления изменений в силу.</w:t>
      </w:r>
    </w:p>
    <w:p w14:paraId="0F5D2405" w14:textId="77777777" w:rsidR="00FE537C" w:rsidRPr="008572C5" w:rsidRDefault="00FE537C" w:rsidP="00FE537C">
      <w:pPr>
        <w:tabs>
          <w:tab w:val="left" w:pos="709"/>
        </w:tabs>
        <w:ind w:left="426"/>
        <w:contextualSpacing/>
        <w:jc w:val="both"/>
        <w:rPr>
          <w:rFonts w:ascii="Tahoma" w:hAnsi="Tahoma" w:cs="Tahoma"/>
          <w:sz w:val="22"/>
          <w:szCs w:val="22"/>
        </w:rPr>
      </w:pPr>
    </w:p>
    <w:p w14:paraId="033B9D40" w14:textId="77777777" w:rsidR="00FE537C" w:rsidRPr="008572C5" w:rsidRDefault="00FE537C" w:rsidP="000B3718">
      <w:pPr>
        <w:pStyle w:val="a5"/>
      </w:pPr>
    </w:p>
    <w:p w14:paraId="210C5407" w14:textId="35544F68" w:rsidR="00FE537C" w:rsidRPr="00FE537C" w:rsidRDefault="000B3718" w:rsidP="000B3718">
      <w:pPr>
        <w:pStyle w:val="a5"/>
        <w:rPr>
          <w:rFonts w:eastAsia="Calibri"/>
          <w:b/>
          <w:color w:val="F79646" w:themeColor="accent6"/>
          <w:lang w:eastAsia="en-US"/>
        </w:rPr>
      </w:pPr>
      <w:r>
        <w:rPr>
          <w:rFonts w:eastAsia="Calibri"/>
          <w:b/>
          <w:color w:val="F79646" w:themeColor="accent6"/>
          <w:lang w:eastAsia="en-US"/>
        </w:rPr>
        <w:t xml:space="preserve">3.23. </w:t>
      </w:r>
      <w:r w:rsidR="00FE537C" w:rsidRPr="00FE537C">
        <w:rPr>
          <w:rFonts w:eastAsia="Calibri"/>
          <w:b/>
          <w:color w:val="F79646" w:themeColor="accent6"/>
          <w:lang w:eastAsia="en-US"/>
        </w:rPr>
        <w:t>Условия накопительного счета «АТБ. Счет» для счетов, открытых с 20.02.2024 (действуют с 06.06.2024 по 07.06.2024):</w:t>
      </w:r>
    </w:p>
    <w:p w14:paraId="710057B9"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Валюта счета – рубли Российской Федерации (далее – рубли);</w:t>
      </w:r>
    </w:p>
    <w:p w14:paraId="35325A7B"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Срок размещения – не ограничен;</w:t>
      </w:r>
    </w:p>
    <w:p w14:paraId="67C5E757"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Минимальный первоначальный взнос – не ограничен;</w:t>
      </w:r>
    </w:p>
    <w:p w14:paraId="2E48D976"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Пополнение счета – без ограничений;</w:t>
      </w:r>
    </w:p>
    <w:p w14:paraId="3BCB4A13"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Расходные операции по счету – без ограничений;</w:t>
      </w:r>
    </w:p>
    <w:p w14:paraId="00E59C50"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Сумма неснижаемого остатка – без ограничений;</w:t>
      </w:r>
    </w:p>
    <w:p w14:paraId="03AA61A3"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Максимальная сумма счета – без ограничений;</w:t>
      </w:r>
    </w:p>
    <w:p w14:paraId="3A706303"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 xml:space="preserve">Периодичность выплаты процентов - ежемесячно, исходя из процентной ставки, установленной по счету и суммы </w:t>
      </w:r>
      <w:r>
        <w:rPr>
          <w:rFonts w:ascii="Tahoma" w:eastAsia="Calibri" w:hAnsi="Tahoma" w:cs="Tahoma"/>
          <w:bCs/>
          <w:sz w:val="22"/>
          <w:szCs w:val="22"/>
          <w:lang w:eastAsia="en-US"/>
        </w:rPr>
        <w:t>Среднего</w:t>
      </w:r>
      <w:r w:rsidRPr="008572C5">
        <w:rPr>
          <w:rFonts w:ascii="Tahoma" w:eastAsia="Calibri" w:hAnsi="Tahoma" w:cs="Tahoma"/>
          <w:bCs/>
          <w:sz w:val="22"/>
          <w:szCs w:val="22"/>
          <w:lang w:eastAsia="en-US"/>
        </w:rPr>
        <w:t xml:space="preserve"> остатка денежных средств¹, находящихся на счете в течение Периода²;</w:t>
      </w:r>
    </w:p>
    <w:p w14:paraId="0493434B"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 xml:space="preserve">Способ выплаты процентов - </w:t>
      </w:r>
      <w:r w:rsidRPr="008572C5">
        <w:rPr>
          <w:rFonts w:ascii="Tahoma" w:eastAsia="Calibri" w:hAnsi="Tahoma" w:cs="Tahoma"/>
          <w:sz w:val="22"/>
          <w:szCs w:val="22"/>
          <w:lang w:eastAsia="en-US"/>
        </w:rPr>
        <w:t>проценты по Счету причисляются к остатку денеж</w:t>
      </w:r>
      <w:r>
        <w:rPr>
          <w:rFonts w:ascii="Tahoma" w:eastAsia="Calibri" w:hAnsi="Tahoma" w:cs="Tahoma"/>
          <w:sz w:val="22"/>
          <w:szCs w:val="22"/>
          <w:lang w:eastAsia="en-US"/>
        </w:rPr>
        <w:t>ных средств на счете ежемесячно;</w:t>
      </w:r>
    </w:p>
    <w:p w14:paraId="20893644"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Открытие счета и управлением счетом в отделениях Банка и через дистанционные каналы банковского обслуживания Интернет-банк «АТБ-Онлайн»/ Мобильный банк «АТБ-Мобайл»</w:t>
      </w:r>
      <w:r>
        <w:rPr>
          <w:rFonts w:ascii="Tahoma" w:eastAsia="Calibri" w:hAnsi="Tahoma" w:cs="Tahoma"/>
          <w:bCs/>
          <w:sz w:val="22"/>
          <w:szCs w:val="22"/>
          <w:lang w:eastAsia="en-US"/>
        </w:rPr>
        <w:t>/</w:t>
      </w:r>
      <w:r>
        <w:t>«</w:t>
      </w:r>
      <w:r w:rsidRPr="00A707EB">
        <w:rPr>
          <w:rFonts w:ascii="Tahoma" w:hAnsi="Tahoma" w:cs="Tahoma"/>
        </w:rPr>
        <w:t>АТБ банк»</w:t>
      </w:r>
      <w:r w:rsidRPr="008572C5">
        <w:rPr>
          <w:rFonts w:ascii="Tahoma" w:eastAsia="Calibri" w:hAnsi="Tahoma" w:cs="Tahoma"/>
          <w:bCs/>
          <w:sz w:val="22"/>
          <w:szCs w:val="22"/>
          <w:lang w:eastAsia="en-U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17"/>
        <w:gridCol w:w="5110"/>
      </w:tblGrid>
      <w:tr w:rsidR="00FE537C" w:rsidRPr="008572C5" w14:paraId="01EA2AF9" w14:textId="77777777" w:rsidTr="003D2438">
        <w:trPr>
          <w:trHeight w:val="221"/>
        </w:trPr>
        <w:tc>
          <w:tcPr>
            <w:tcW w:w="3311" w:type="pct"/>
            <w:tcBorders>
              <w:top w:val="single" w:sz="4" w:space="0" w:color="auto"/>
              <w:left w:val="single" w:sz="4" w:space="0" w:color="auto"/>
              <w:right w:val="single" w:sz="4" w:space="0" w:color="auto"/>
            </w:tcBorders>
            <w:hideMark/>
          </w:tcPr>
          <w:p w14:paraId="4AF39403" w14:textId="77777777" w:rsidR="00FE537C" w:rsidRPr="008572C5" w:rsidRDefault="00FE537C" w:rsidP="003D2438">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 xml:space="preserve">Условия начисления процентов </w:t>
            </w:r>
          </w:p>
        </w:tc>
        <w:tc>
          <w:tcPr>
            <w:tcW w:w="1689" w:type="pct"/>
            <w:tcBorders>
              <w:top w:val="single" w:sz="4" w:space="0" w:color="auto"/>
              <w:left w:val="single" w:sz="4" w:space="0" w:color="auto"/>
              <w:right w:val="single" w:sz="4" w:space="0" w:color="auto"/>
            </w:tcBorders>
            <w:hideMark/>
          </w:tcPr>
          <w:p w14:paraId="7D82119A" w14:textId="77777777" w:rsidR="00FE537C" w:rsidRPr="008572C5" w:rsidRDefault="00FE537C" w:rsidP="003D2438">
            <w:pPr>
              <w:widowControl w:val="0"/>
              <w:tabs>
                <w:tab w:val="left" w:pos="426"/>
                <w:tab w:val="left" w:pos="851"/>
                <w:tab w:val="right" w:pos="10206"/>
              </w:tabs>
              <w:adjustRightInd w:val="0"/>
              <w:jc w:val="center"/>
              <w:rPr>
                <w:rFonts w:ascii="Tahoma" w:hAnsi="Tahoma" w:cs="Tahoma"/>
                <w:bCs/>
                <w:iCs/>
                <w:sz w:val="22"/>
                <w:szCs w:val="22"/>
              </w:rPr>
            </w:pPr>
            <w:r w:rsidRPr="008572C5">
              <w:rPr>
                <w:rFonts w:ascii="Tahoma" w:hAnsi="Tahoma" w:cs="Tahoma"/>
                <w:bCs/>
                <w:iCs/>
                <w:sz w:val="22"/>
                <w:szCs w:val="22"/>
              </w:rPr>
              <w:t>Процентная ставка, % годовых</w:t>
            </w:r>
          </w:p>
        </w:tc>
      </w:tr>
      <w:tr w:rsidR="00FE537C" w:rsidRPr="008572C5" w14:paraId="7B01F637" w14:textId="77777777" w:rsidTr="003D2438">
        <w:trPr>
          <w:trHeight w:val="70"/>
        </w:trPr>
        <w:tc>
          <w:tcPr>
            <w:tcW w:w="3311" w:type="pct"/>
            <w:tcBorders>
              <w:top w:val="single" w:sz="4" w:space="0" w:color="auto"/>
              <w:left w:val="single" w:sz="4" w:space="0" w:color="auto"/>
              <w:bottom w:val="single" w:sz="4" w:space="0" w:color="auto"/>
              <w:right w:val="single" w:sz="4" w:space="0" w:color="auto"/>
            </w:tcBorders>
          </w:tcPr>
          <w:p w14:paraId="0F7F46D6" w14:textId="77777777" w:rsidR="00FE537C" w:rsidRPr="008572C5" w:rsidRDefault="00FE537C" w:rsidP="003D2438">
            <w:pPr>
              <w:widowControl w:val="0"/>
              <w:tabs>
                <w:tab w:val="left" w:pos="284"/>
                <w:tab w:val="left" w:pos="426"/>
              </w:tabs>
              <w:adjustRightInd w:val="0"/>
              <w:jc w:val="center"/>
              <w:rPr>
                <w:rFonts w:ascii="Tahoma" w:hAnsi="Tahoma" w:cs="Tahoma"/>
                <w:bCs/>
                <w:iCs/>
                <w:sz w:val="22"/>
                <w:szCs w:val="22"/>
              </w:rPr>
            </w:pPr>
            <w:r>
              <w:rPr>
                <w:rFonts w:ascii="Tahoma" w:hAnsi="Tahoma" w:cs="Tahoma"/>
                <w:bCs/>
                <w:iCs/>
                <w:sz w:val="22"/>
                <w:szCs w:val="22"/>
              </w:rPr>
              <w:t>Средний</w:t>
            </w:r>
            <w:r w:rsidRPr="008572C5">
              <w:rPr>
                <w:rFonts w:ascii="Tahoma" w:hAnsi="Tahoma" w:cs="Tahoma"/>
                <w:bCs/>
                <w:iCs/>
                <w:sz w:val="22"/>
                <w:szCs w:val="22"/>
              </w:rPr>
              <w:t xml:space="preserve"> остаток по счету¹</w:t>
            </w:r>
          </w:p>
        </w:tc>
        <w:tc>
          <w:tcPr>
            <w:tcW w:w="1689" w:type="pct"/>
            <w:tcBorders>
              <w:top w:val="single" w:sz="4" w:space="0" w:color="auto"/>
              <w:left w:val="single" w:sz="4" w:space="0" w:color="auto"/>
              <w:bottom w:val="single" w:sz="4" w:space="0" w:color="auto"/>
              <w:right w:val="single" w:sz="4" w:space="0" w:color="auto"/>
            </w:tcBorders>
            <w:vAlign w:val="center"/>
          </w:tcPr>
          <w:p w14:paraId="20CD31F3" w14:textId="77777777" w:rsidR="00FE537C" w:rsidRPr="008572C5" w:rsidRDefault="00FE537C" w:rsidP="003D2438">
            <w:pPr>
              <w:tabs>
                <w:tab w:val="left" w:pos="284"/>
                <w:tab w:val="left" w:pos="426"/>
              </w:tabs>
              <w:jc w:val="center"/>
              <w:textAlignment w:val="top"/>
              <w:rPr>
                <w:rFonts w:ascii="Tahoma" w:hAnsi="Tahoma" w:cs="Tahoma"/>
                <w:bCs/>
                <w:iCs/>
                <w:sz w:val="22"/>
                <w:szCs w:val="22"/>
              </w:rPr>
            </w:pPr>
            <w:r>
              <w:rPr>
                <w:rFonts w:ascii="Tahoma" w:hAnsi="Tahoma" w:cs="Tahoma"/>
                <w:bCs/>
                <w:iCs/>
                <w:sz w:val="22"/>
                <w:szCs w:val="22"/>
              </w:rPr>
              <w:t>14,00</w:t>
            </w:r>
          </w:p>
        </w:tc>
      </w:tr>
    </w:tbl>
    <w:p w14:paraId="154F8C00" w14:textId="77777777" w:rsidR="00FE537C" w:rsidRPr="008572C5" w:rsidRDefault="00FE537C" w:rsidP="00FE537C">
      <w:pPr>
        <w:jc w:val="both"/>
        <w:rPr>
          <w:rFonts w:ascii="Tahoma" w:eastAsia="Calibri" w:hAnsi="Tahoma" w:cs="Tahoma"/>
          <w:bCs/>
          <w:sz w:val="22"/>
          <w:szCs w:val="22"/>
          <w:lang w:eastAsia="en-US"/>
        </w:rPr>
      </w:pPr>
    </w:p>
    <w:p w14:paraId="27BAA4C2" w14:textId="77777777" w:rsidR="00FE537C" w:rsidRPr="00337FDB" w:rsidRDefault="00FE537C" w:rsidP="00FE537C">
      <w:pPr>
        <w:ind w:left="-284" w:firstLine="284"/>
        <w:jc w:val="both"/>
        <w:rPr>
          <w:rFonts w:ascii="Tahoma" w:eastAsia="Calibri" w:hAnsi="Tahoma" w:cs="Tahoma"/>
          <w:sz w:val="18"/>
          <w:szCs w:val="18"/>
          <w:lang w:eastAsia="en-US"/>
        </w:rPr>
      </w:pPr>
      <w:r w:rsidRPr="00337FDB">
        <w:rPr>
          <w:rFonts w:ascii="Tahoma" w:eastAsia="Calibri" w:hAnsi="Tahoma" w:cs="Tahoma"/>
          <w:sz w:val="18"/>
          <w:szCs w:val="18"/>
          <w:vertAlign w:val="superscript"/>
          <w:lang w:eastAsia="en-US"/>
        </w:rPr>
        <w:t>1</w:t>
      </w:r>
      <w:r w:rsidRPr="00337FDB">
        <w:rPr>
          <w:rFonts w:ascii="Tahoma" w:eastAsia="Calibri" w:hAnsi="Tahoma" w:cs="Tahoma"/>
          <w:sz w:val="18"/>
          <w:szCs w:val="18"/>
          <w:lang w:eastAsia="en-US"/>
        </w:rPr>
        <w:t xml:space="preserve">Средний остаток по </w:t>
      </w:r>
      <w:r>
        <w:rPr>
          <w:rFonts w:ascii="Tahoma" w:eastAsia="Calibri" w:hAnsi="Tahoma" w:cs="Tahoma"/>
          <w:sz w:val="18"/>
          <w:szCs w:val="18"/>
          <w:lang w:eastAsia="en-US"/>
        </w:rPr>
        <w:t>С</w:t>
      </w:r>
      <w:r w:rsidRPr="00337FDB">
        <w:rPr>
          <w:rFonts w:ascii="Tahoma" w:eastAsia="Calibri" w:hAnsi="Tahoma" w:cs="Tahoma"/>
          <w:sz w:val="18"/>
          <w:szCs w:val="18"/>
          <w:lang w:eastAsia="en-US"/>
        </w:rPr>
        <w:t xml:space="preserve">чету – это совокупный баланс денежных средств, рассчитанный путем сложения ежедневных входящих остатков денежных средств на </w:t>
      </w:r>
      <w:r>
        <w:rPr>
          <w:rFonts w:ascii="Tahoma" w:eastAsia="Calibri" w:hAnsi="Tahoma" w:cs="Tahoma"/>
          <w:sz w:val="18"/>
          <w:szCs w:val="18"/>
          <w:lang w:eastAsia="en-US"/>
        </w:rPr>
        <w:t>С</w:t>
      </w:r>
      <w:r w:rsidRPr="00337FDB">
        <w:rPr>
          <w:rFonts w:ascii="Tahoma" w:eastAsia="Calibri" w:hAnsi="Tahoma" w:cs="Tahoma"/>
          <w:sz w:val="18"/>
          <w:szCs w:val="18"/>
          <w:lang w:eastAsia="en-US"/>
        </w:rPr>
        <w:t xml:space="preserve">чете Клиента </w:t>
      </w:r>
      <w:r w:rsidRPr="00E25AF0">
        <w:rPr>
          <w:rFonts w:ascii="Tahoma" w:eastAsia="Calibri" w:hAnsi="Tahoma" w:cs="Tahoma"/>
          <w:sz w:val="18"/>
          <w:szCs w:val="18"/>
          <w:lang w:eastAsia="en-US"/>
        </w:rPr>
        <w:t>на начало каждого дня</w:t>
      </w:r>
      <w:r w:rsidRPr="00337FDB">
        <w:rPr>
          <w:rFonts w:ascii="Tahoma" w:eastAsia="Calibri" w:hAnsi="Tahoma" w:cs="Tahoma"/>
          <w:sz w:val="18"/>
          <w:szCs w:val="18"/>
          <w:lang w:eastAsia="en-US"/>
        </w:rPr>
        <w:t xml:space="preserve"> в течение календарного месяца (далее – Период</w:t>
      </w:r>
      <w:r w:rsidRPr="00337FDB">
        <w:rPr>
          <w:rFonts w:ascii="Tahoma" w:eastAsia="Calibri" w:hAnsi="Tahoma" w:cs="Tahoma"/>
          <w:sz w:val="18"/>
          <w:szCs w:val="18"/>
          <w:vertAlign w:val="superscript"/>
          <w:lang w:eastAsia="en-US"/>
        </w:rPr>
        <w:t>2</w:t>
      </w:r>
      <w:r w:rsidRPr="00337FDB">
        <w:rPr>
          <w:rFonts w:ascii="Tahoma" w:eastAsia="Calibri" w:hAnsi="Tahoma" w:cs="Tahoma"/>
          <w:sz w:val="18"/>
          <w:szCs w:val="18"/>
          <w:lang w:eastAsia="en-US"/>
        </w:rPr>
        <w:t xml:space="preserve">) и деления этой суммы на количество дней в этом </w:t>
      </w:r>
      <w:r>
        <w:rPr>
          <w:rFonts w:ascii="Tahoma" w:eastAsia="Calibri" w:hAnsi="Tahoma" w:cs="Tahoma"/>
          <w:sz w:val="18"/>
          <w:szCs w:val="18"/>
          <w:lang w:eastAsia="en-US"/>
        </w:rPr>
        <w:t>Периоде</w:t>
      </w:r>
      <w:r w:rsidRPr="00337FDB">
        <w:rPr>
          <w:rFonts w:ascii="Tahoma" w:eastAsia="Calibri" w:hAnsi="Tahoma" w:cs="Tahoma"/>
          <w:sz w:val="18"/>
          <w:szCs w:val="18"/>
          <w:lang w:eastAsia="en-US"/>
        </w:rPr>
        <w:t>.</w:t>
      </w:r>
    </w:p>
    <w:p w14:paraId="3E4F6844" w14:textId="77777777" w:rsidR="00FE537C" w:rsidRPr="00337FDB" w:rsidRDefault="00FE537C" w:rsidP="00FE537C">
      <w:pPr>
        <w:ind w:left="-284" w:firstLine="284"/>
        <w:jc w:val="both"/>
        <w:rPr>
          <w:rFonts w:ascii="Tahoma" w:hAnsi="Tahoma" w:cs="Tahoma"/>
          <w:sz w:val="18"/>
          <w:szCs w:val="18"/>
        </w:rPr>
      </w:pPr>
      <w:r w:rsidRPr="00337FDB">
        <w:rPr>
          <w:rFonts w:ascii="Tahoma" w:hAnsi="Tahoma" w:cs="Tahoma"/>
          <w:sz w:val="18"/>
          <w:szCs w:val="18"/>
          <w:vertAlign w:val="superscript"/>
        </w:rPr>
        <w:t>2</w:t>
      </w:r>
      <w:r w:rsidRPr="00337FDB">
        <w:rPr>
          <w:rFonts w:ascii="Tahoma" w:hAnsi="Tahoma" w:cs="Tahoma"/>
          <w:sz w:val="18"/>
          <w:szCs w:val="18"/>
        </w:rPr>
        <w:t xml:space="preserve">Период – временной период, за который Клиенту Банком на Средний остаток средств на </w:t>
      </w:r>
      <w:r>
        <w:rPr>
          <w:rFonts w:ascii="Tahoma" w:hAnsi="Tahoma" w:cs="Tahoma"/>
          <w:sz w:val="18"/>
          <w:szCs w:val="18"/>
        </w:rPr>
        <w:t>С</w:t>
      </w:r>
      <w:r w:rsidRPr="00337FDB">
        <w:rPr>
          <w:rFonts w:ascii="Tahoma" w:hAnsi="Tahoma" w:cs="Tahoma"/>
          <w:sz w:val="18"/>
          <w:szCs w:val="18"/>
        </w:rPr>
        <w:t xml:space="preserve">чете начисляются проценты. Первый Период исчисляется со дня, следующего за днем внесения денежных средств на </w:t>
      </w:r>
      <w:r>
        <w:rPr>
          <w:rFonts w:ascii="Tahoma" w:hAnsi="Tahoma" w:cs="Tahoma"/>
          <w:sz w:val="18"/>
          <w:szCs w:val="18"/>
        </w:rPr>
        <w:t>С</w:t>
      </w:r>
      <w:r w:rsidRPr="00337FDB">
        <w:rPr>
          <w:rFonts w:ascii="Tahoma" w:hAnsi="Tahoma" w:cs="Tahoma"/>
          <w:sz w:val="18"/>
          <w:szCs w:val="18"/>
        </w:rPr>
        <w:t>чет до последнего календарного дня месяца. Последующие Периоды исчисляются ежемесячно с 1-го числа каждого календарного месяца до последнего календарного дня месяца</w:t>
      </w:r>
      <w:r>
        <w:rPr>
          <w:rFonts w:ascii="Tahoma" w:hAnsi="Tahoma" w:cs="Tahoma"/>
          <w:sz w:val="18"/>
          <w:szCs w:val="18"/>
        </w:rPr>
        <w:t>, в котором открыт Счет</w:t>
      </w:r>
      <w:r w:rsidRPr="00337FDB">
        <w:rPr>
          <w:rFonts w:ascii="Tahoma" w:hAnsi="Tahoma" w:cs="Tahoma"/>
          <w:sz w:val="18"/>
          <w:szCs w:val="18"/>
        </w:rPr>
        <w:t xml:space="preserve">. Выплата Банком Клиенту начисленных процентов производится на </w:t>
      </w:r>
      <w:r>
        <w:rPr>
          <w:rFonts w:ascii="Tahoma" w:hAnsi="Tahoma" w:cs="Tahoma"/>
          <w:sz w:val="18"/>
          <w:szCs w:val="18"/>
        </w:rPr>
        <w:t>С</w:t>
      </w:r>
      <w:r w:rsidRPr="00337FDB">
        <w:rPr>
          <w:rFonts w:ascii="Tahoma" w:hAnsi="Tahoma" w:cs="Tahoma"/>
          <w:sz w:val="18"/>
          <w:szCs w:val="18"/>
        </w:rPr>
        <w:t xml:space="preserve">чет в последний </w:t>
      </w:r>
      <w:r>
        <w:rPr>
          <w:rFonts w:ascii="Tahoma" w:hAnsi="Tahoma" w:cs="Tahoma"/>
          <w:sz w:val="18"/>
          <w:szCs w:val="18"/>
        </w:rPr>
        <w:t xml:space="preserve">календарный </w:t>
      </w:r>
      <w:r w:rsidRPr="00337FDB">
        <w:rPr>
          <w:rFonts w:ascii="Tahoma" w:hAnsi="Tahoma" w:cs="Tahoma"/>
          <w:sz w:val="18"/>
          <w:szCs w:val="18"/>
        </w:rPr>
        <w:t>день месяца.</w:t>
      </w:r>
    </w:p>
    <w:p w14:paraId="075FBE9D" w14:textId="77777777" w:rsidR="00FE537C" w:rsidRPr="00337FDB" w:rsidRDefault="00FE537C" w:rsidP="00FE537C">
      <w:pPr>
        <w:ind w:left="-284" w:firstLine="284"/>
        <w:jc w:val="both"/>
        <w:rPr>
          <w:rFonts w:ascii="Tahoma" w:hAnsi="Tahoma" w:cs="Tahoma"/>
          <w:sz w:val="18"/>
          <w:szCs w:val="18"/>
        </w:rPr>
      </w:pPr>
    </w:p>
    <w:p w14:paraId="7F205291" w14:textId="77777777" w:rsidR="00FE537C" w:rsidRPr="008572C5" w:rsidRDefault="00FE537C" w:rsidP="00FE537C">
      <w:pPr>
        <w:tabs>
          <w:tab w:val="left" w:pos="709"/>
        </w:tabs>
        <w:ind w:left="426"/>
        <w:contextualSpacing/>
        <w:jc w:val="both"/>
        <w:rPr>
          <w:rFonts w:ascii="Tahoma" w:hAnsi="Tahoma" w:cs="Tahoma"/>
          <w:sz w:val="22"/>
          <w:szCs w:val="22"/>
        </w:rPr>
      </w:pPr>
      <w:r w:rsidRPr="008572C5">
        <w:rPr>
          <w:rFonts w:ascii="Tahoma" w:hAnsi="Tahoma" w:cs="Tahoma"/>
          <w:sz w:val="22"/>
          <w:szCs w:val="22"/>
        </w:rPr>
        <w:t>Размеры процентных ставок определяются Тарифами Банка. В случае внесения изменений в Тарифы Банка Банк информирует Клиента путем размещения информации об изменениях на Официальном сайте Банка и (или) в подразделениях Банка, и (или) через каналы дистанционного банковского обслуживания Интернет-банк «АТБ-Онлайн»/ Мобильный банк «АТБ-Мобайл»</w:t>
      </w:r>
      <w:r>
        <w:rPr>
          <w:rFonts w:ascii="Tahoma" w:hAnsi="Tahoma" w:cs="Tahoma"/>
          <w:sz w:val="22"/>
          <w:szCs w:val="22"/>
        </w:rPr>
        <w:t xml:space="preserve"> /</w:t>
      </w:r>
      <w:r>
        <w:t>«</w:t>
      </w:r>
      <w:r w:rsidRPr="00A707EB">
        <w:rPr>
          <w:rFonts w:ascii="Tahoma" w:hAnsi="Tahoma" w:cs="Tahoma"/>
        </w:rPr>
        <w:t>АТБ банк»</w:t>
      </w:r>
      <w:r w:rsidRPr="008572C5">
        <w:rPr>
          <w:rFonts w:ascii="Tahoma" w:hAnsi="Tahoma" w:cs="Tahoma"/>
          <w:sz w:val="22"/>
          <w:szCs w:val="22"/>
        </w:rPr>
        <w:t xml:space="preserve"> не менее чем за 3 рабочих дня до даты вступления изменений в силу.</w:t>
      </w:r>
    </w:p>
    <w:p w14:paraId="160C7419" w14:textId="77777777" w:rsidR="00FE537C" w:rsidRPr="008572C5" w:rsidRDefault="00FE537C" w:rsidP="00FE537C">
      <w:pPr>
        <w:tabs>
          <w:tab w:val="left" w:pos="709"/>
        </w:tabs>
        <w:ind w:left="426"/>
        <w:contextualSpacing/>
        <w:jc w:val="both"/>
        <w:rPr>
          <w:rFonts w:ascii="Tahoma" w:hAnsi="Tahoma" w:cs="Tahoma"/>
          <w:sz w:val="22"/>
          <w:szCs w:val="22"/>
        </w:rPr>
      </w:pPr>
    </w:p>
    <w:p w14:paraId="76CE9A73" w14:textId="77777777" w:rsidR="00FE537C" w:rsidRDefault="00FE537C" w:rsidP="00FE537C">
      <w:pPr>
        <w:tabs>
          <w:tab w:val="left" w:pos="709"/>
        </w:tabs>
        <w:ind w:left="426"/>
        <w:contextualSpacing/>
        <w:jc w:val="both"/>
        <w:rPr>
          <w:rFonts w:ascii="Tahoma" w:hAnsi="Tahoma" w:cs="Tahoma"/>
          <w:sz w:val="22"/>
          <w:szCs w:val="22"/>
        </w:rPr>
      </w:pPr>
    </w:p>
    <w:p w14:paraId="6F0836E5" w14:textId="2F157BDC" w:rsidR="00FE537C" w:rsidRPr="00FE537C" w:rsidRDefault="000B3718" w:rsidP="000B3718">
      <w:pPr>
        <w:pStyle w:val="a5"/>
        <w:rPr>
          <w:rFonts w:eastAsia="Calibri"/>
          <w:color w:val="00B050"/>
        </w:rPr>
      </w:pPr>
      <w:r>
        <w:rPr>
          <w:rFonts w:eastAsia="Calibri"/>
        </w:rPr>
        <w:t xml:space="preserve">3.24. </w:t>
      </w:r>
      <w:r w:rsidR="00FE537C" w:rsidRPr="00FE537C">
        <w:rPr>
          <w:rFonts w:eastAsia="Calibri"/>
        </w:rPr>
        <w:t>Условия накопительного счета «АТБ. Счет» для счетов, открытых с 20.02.2024 по 20.08.2024 (действуют с 01.11.2024</w:t>
      </w:r>
      <w:r w:rsidR="00FE537C" w:rsidRPr="00FE537C">
        <w:rPr>
          <w:rFonts w:eastAsia="Calibri"/>
          <w:color w:val="00B050"/>
        </w:rPr>
        <w:t>):</w:t>
      </w:r>
    </w:p>
    <w:p w14:paraId="292ED89E"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Валюта счета – рубли Российской Федерации (далее – рубли);</w:t>
      </w:r>
    </w:p>
    <w:p w14:paraId="0538EEC2"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Срок размещения – не ограничен;</w:t>
      </w:r>
    </w:p>
    <w:p w14:paraId="742C3548"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Минимальный первоначальный взнос – не ограничен;</w:t>
      </w:r>
    </w:p>
    <w:p w14:paraId="5F04FCD2"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Пополнение счета – без ограничений;</w:t>
      </w:r>
    </w:p>
    <w:p w14:paraId="5D63F342"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Расходные операции по счету – без ограничений;</w:t>
      </w:r>
    </w:p>
    <w:p w14:paraId="5E780530"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Сумма неснижаемого остатка – без ограничений;</w:t>
      </w:r>
    </w:p>
    <w:p w14:paraId="3D6BF6F4"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Максимальная сумма счета – без ограничений;</w:t>
      </w:r>
    </w:p>
    <w:p w14:paraId="71EDB36C"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 xml:space="preserve">Периодичность выплаты процентов - ежемесячно, исходя из процентной ставки, установленной по счету и суммы </w:t>
      </w:r>
      <w:r>
        <w:rPr>
          <w:rFonts w:ascii="Tahoma" w:eastAsia="Calibri" w:hAnsi="Tahoma" w:cs="Tahoma"/>
          <w:bCs/>
          <w:sz w:val="22"/>
          <w:szCs w:val="22"/>
          <w:lang w:eastAsia="en-US"/>
        </w:rPr>
        <w:t>Среднего</w:t>
      </w:r>
      <w:r w:rsidRPr="008572C5">
        <w:rPr>
          <w:rFonts w:ascii="Tahoma" w:eastAsia="Calibri" w:hAnsi="Tahoma" w:cs="Tahoma"/>
          <w:bCs/>
          <w:sz w:val="22"/>
          <w:szCs w:val="22"/>
          <w:lang w:eastAsia="en-US"/>
        </w:rPr>
        <w:t xml:space="preserve"> остатка денежных средств¹, находящихся на счете в течение Периода²;</w:t>
      </w:r>
    </w:p>
    <w:p w14:paraId="47092CB2"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 xml:space="preserve">Способ выплаты процентов - </w:t>
      </w:r>
      <w:r w:rsidRPr="008572C5">
        <w:rPr>
          <w:rFonts w:ascii="Tahoma" w:eastAsia="Calibri" w:hAnsi="Tahoma" w:cs="Tahoma"/>
          <w:sz w:val="22"/>
          <w:szCs w:val="22"/>
          <w:lang w:eastAsia="en-US"/>
        </w:rPr>
        <w:t>проценты по Счету причисляются к остатку денеж</w:t>
      </w:r>
      <w:r>
        <w:rPr>
          <w:rFonts w:ascii="Tahoma" w:eastAsia="Calibri" w:hAnsi="Tahoma" w:cs="Tahoma"/>
          <w:sz w:val="22"/>
          <w:szCs w:val="22"/>
          <w:lang w:eastAsia="en-US"/>
        </w:rPr>
        <w:t>ных средств на счете ежемесячно;</w:t>
      </w:r>
    </w:p>
    <w:p w14:paraId="4604893F"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Открытие счета и управлением счетом в отделениях Банка и через дистанционные каналы банковского обслуживания Интернет-банк «АТБ-Онлайн»/ Мобильный банк «АТБ-Мобайл»</w:t>
      </w:r>
      <w:r>
        <w:rPr>
          <w:rFonts w:ascii="Tahoma" w:eastAsia="Calibri" w:hAnsi="Tahoma" w:cs="Tahoma"/>
          <w:bCs/>
          <w:sz w:val="22"/>
          <w:szCs w:val="22"/>
          <w:lang w:eastAsia="en-US"/>
        </w:rPr>
        <w:t>/</w:t>
      </w:r>
      <w:r>
        <w:t>«</w:t>
      </w:r>
      <w:r w:rsidRPr="00A707EB">
        <w:rPr>
          <w:rFonts w:ascii="Tahoma" w:hAnsi="Tahoma" w:cs="Tahoma"/>
        </w:rPr>
        <w:t>АТБ банк»</w:t>
      </w:r>
      <w:r w:rsidRPr="008572C5">
        <w:rPr>
          <w:rFonts w:ascii="Tahoma" w:eastAsia="Calibri" w:hAnsi="Tahoma" w:cs="Tahoma"/>
          <w:bCs/>
          <w:sz w:val="22"/>
          <w:szCs w:val="22"/>
          <w:lang w:eastAsia="en-U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17"/>
        <w:gridCol w:w="5110"/>
      </w:tblGrid>
      <w:tr w:rsidR="00FE537C" w:rsidRPr="008572C5" w14:paraId="7F5FC25D" w14:textId="77777777" w:rsidTr="003D2438">
        <w:trPr>
          <w:trHeight w:val="221"/>
        </w:trPr>
        <w:tc>
          <w:tcPr>
            <w:tcW w:w="3311" w:type="pct"/>
            <w:tcBorders>
              <w:top w:val="single" w:sz="4" w:space="0" w:color="auto"/>
              <w:left w:val="single" w:sz="4" w:space="0" w:color="auto"/>
              <w:right w:val="single" w:sz="4" w:space="0" w:color="auto"/>
            </w:tcBorders>
            <w:hideMark/>
          </w:tcPr>
          <w:p w14:paraId="371214E6" w14:textId="77777777" w:rsidR="00FE537C" w:rsidRPr="008572C5" w:rsidRDefault="00FE537C" w:rsidP="003D2438">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 xml:space="preserve">Условия начисления процентов </w:t>
            </w:r>
          </w:p>
        </w:tc>
        <w:tc>
          <w:tcPr>
            <w:tcW w:w="1689" w:type="pct"/>
            <w:tcBorders>
              <w:top w:val="single" w:sz="4" w:space="0" w:color="auto"/>
              <w:left w:val="single" w:sz="4" w:space="0" w:color="auto"/>
              <w:right w:val="single" w:sz="4" w:space="0" w:color="auto"/>
            </w:tcBorders>
            <w:hideMark/>
          </w:tcPr>
          <w:p w14:paraId="4BB87B51" w14:textId="77777777" w:rsidR="00FE537C" w:rsidRPr="008572C5" w:rsidRDefault="00FE537C" w:rsidP="003D2438">
            <w:pPr>
              <w:widowControl w:val="0"/>
              <w:tabs>
                <w:tab w:val="left" w:pos="426"/>
                <w:tab w:val="left" w:pos="851"/>
                <w:tab w:val="right" w:pos="10206"/>
              </w:tabs>
              <w:adjustRightInd w:val="0"/>
              <w:jc w:val="center"/>
              <w:rPr>
                <w:rFonts w:ascii="Tahoma" w:hAnsi="Tahoma" w:cs="Tahoma"/>
                <w:bCs/>
                <w:iCs/>
                <w:sz w:val="22"/>
                <w:szCs w:val="22"/>
              </w:rPr>
            </w:pPr>
            <w:r w:rsidRPr="008572C5">
              <w:rPr>
                <w:rFonts w:ascii="Tahoma" w:hAnsi="Tahoma" w:cs="Tahoma"/>
                <w:bCs/>
                <w:iCs/>
                <w:sz w:val="22"/>
                <w:szCs w:val="22"/>
              </w:rPr>
              <w:t>Процентная ставка, % годовых</w:t>
            </w:r>
          </w:p>
        </w:tc>
      </w:tr>
      <w:tr w:rsidR="00FE537C" w:rsidRPr="008572C5" w14:paraId="0AA0049E" w14:textId="77777777" w:rsidTr="003D2438">
        <w:trPr>
          <w:trHeight w:val="70"/>
        </w:trPr>
        <w:tc>
          <w:tcPr>
            <w:tcW w:w="3311" w:type="pct"/>
            <w:tcBorders>
              <w:top w:val="single" w:sz="4" w:space="0" w:color="auto"/>
              <w:left w:val="single" w:sz="4" w:space="0" w:color="auto"/>
              <w:bottom w:val="single" w:sz="4" w:space="0" w:color="auto"/>
              <w:right w:val="single" w:sz="4" w:space="0" w:color="auto"/>
            </w:tcBorders>
          </w:tcPr>
          <w:p w14:paraId="17B0783A" w14:textId="77777777" w:rsidR="00FE537C" w:rsidRPr="008572C5" w:rsidRDefault="00FE537C" w:rsidP="003D2438">
            <w:pPr>
              <w:widowControl w:val="0"/>
              <w:tabs>
                <w:tab w:val="left" w:pos="284"/>
                <w:tab w:val="left" w:pos="426"/>
              </w:tabs>
              <w:adjustRightInd w:val="0"/>
              <w:jc w:val="center"/>
              <w:rPr>
                <w:rFonts w:ascii="Tahoma" w:hAnsi="Tahoma" w:cs="Tahoma"/>
                <w:bCs/>
                <w:iCs/>
                <w:sz w:val="22"/>
                <w:szCs w:val="22"/>
              </w:rPr>
            </w:pPr>
            <w:r>
              <w:rPr>
                <w:rFonts w:ascii="Tahoma" w:hAnsi="Tahoma" w:cs="Tahoma"/>
                <w:bCs/>
                <w:iCs/>
                <w:sz w:val="22"/>
                <w:szCs w:val="22"/>
              </w:rPr>
              <w:t>Средний</w:t>
            </w:r>
            <w:r w:rsidRPr="008572C5">
              <w:rPr>
                <w:rFonts w:ascii="Tahoma" w:hAnsi="Tahoma" w:cs="Tahoma"/>
                <w:bCs/>
                <w:iCs/>
                <w:sz w:val="22"/>
                <w:szCs w:val="22"/>
              </w:rPr>
              <w:t xml:space="preserve"> остаток по счету¹</w:t>
            </w:r>
          </w:p>
        </w:tc>
        <w:tc>
          <w:tcPr>
            <w:tcW w:w="1689" w:type="pct"/>
            <w:tcBorders>
              <w:top w:val="single" w:sz="4" w:space="0" w:color="auto"/>
              <w:left w:val="single" w:sz="4" w:space="0" w:color="auto"/>
              <w:bottom w:val="single" w:sz="4" w:space="0" w:color="auto"/>
              <w:right w:val="single" w:sz="4" w:space="0" w:color="auto"/>
            </w:tcBorders>
            <w:vAlign w:val="center"/>
          </w:tcPr>
          <w:p w14:paraId="68010815" w14:textId="77777777" w:rsidR="00FE537C" w:rsidRPr="008572C5" w:rsidRDefault="00FE537C" w:rsidP="003D2438">
            <w:pPr>
              <w:tabs>
                <w:tab w:val="left" w:pos="284"/>
                <w:tab w:val="left" w:pos="426"/>
              </w:tabs>
              <w:jc w:val="center"/>
              <w:textAlignment w:val="top"/>
              <w:rPr>
                <w:rFonts w:ascii="Tahoma" w:hAnsi="Tahoma" w:cs="Tahoma"/>
                <w:bCs/>
                <w:iCs/>
                <w:sz w:val="22"/>
                <w:szCs w:val="22"/>
              </w:rPr>
            </w:pPr>
            <w:r>
              <w:rPr>
                <w:rFonts w:ascii="Tahoma" w:hAnsi="Tahoma" w:cs="Tahoma"/>
                <w:bCs/>
                <w:iCs/>
                <w:sz w:val="22"/>
                <w:szCs w:val="22"/>
              </w:rPr>
              <w:t>16,00</w:t>
            </w:r>
          </w:p>
        </w:tc>
      </w:tr>
    </w:tbl>
    <w:p w14:paraId="37DDE5F5" w14:textId="77777777" w:rsidR="00FE537C" w:rsidRPr="008572C5" w:rsidRDefault="00FE537C" w:rsidP="00FE537C">
      <w:pPr>
        <w:jc w:val="both"/>
        <w:rPr>
          <w:rFonts w:ascii="Tahoma" w:eastAsia="Calibri" w:hAnsi="Tahoma" w:cs="Tahoma"/>
          <w:bCs/>
          <w:sz w:val="22"/>
          <w:szCs w:val="22"/>
          <w:lang w:eastAsia="en-US"/>
        </w:rPr>
      </w:pPr>
    </w:p>
    <w:p w14:paraId="56CBC98F" w14:textId="77777777" w:rsidR="00FE537C" w:rsidRPr="00337FDB" w:rsidRDefault="00FE537C" w:rsidP="00FE537C">
      <w:pPr>
        <w:ind w:left="-284" w:firstLine="284"/>
        <w:jc w:val="both"/>
        <w:rPr>
          <w:rFonts w:ascii="Tahoma" w:eastAsia="Calibri" w:hAnsi="Tahoma" w:cs="Tahoma"/>
          <w:sz w:val="18"/>
          <w:szCs w:val="18"/>
          <w:lang w:eastAsia="en-US"/>
        </w:rPr>
      </w:pPr>
      <w:r w:rsidRPr="00337FDB">
        <w:rPr>
          <w:rFonts w:ascii="Tahoma" w:eastAsia="Calibri" w:hAnsi="Tahoma" w:cs="Tahoma"/>
          <w:sz w:val="18"/>
          <w:szCs w:val="18"/>
          <w:vertAlign w:val="superscript"/>
          <w:lang w:eastAsia="en-US"/>
        </w:rPr>
        <w:t>1</w:t>
      </w:r>
      <w:r w:rsidRPr="00337FDB">
        <w:rPr>
          <w:rFonts w:ascii="Tahoma" w:eastAsia="Calibri" w:hAnsi="Tahoma" w:cs="Tahoma"/>
          <w:sz w:val="18"/>
          <w:szCs w:val="18"/>
          <w:lang w:eastAsia="en-US"/>
        </w:rPr>
        <w:t xml:space="preserve">Средний остаток по </w:t>
      </w:r>
      <w:r>
        <w:rPr>
          <w:rFonts w:ascii="Tahoma" w:eastAsia="Calibri" w:hAnsi="Tahoma" w:cs="Tahoma"/>
          <w:sz w:val="18"/>
          <w:szCs w:val="18"/>
          <w:lang w:eastAsia="en-US"/>
        </w:rPr>
        <w:t>С</w:t>
      </w:r>
      <w:r w:rsidRPr="00337FDB">
        <w:rPr>
          <w:rFonts w:ascii="Tahoma" w:eastAsia="Calibri" w:hAnsi="Tahoma" w:cs="Tahoma"/>
          <w:sz w:val="18"/>
          <w:szCs w:val="18"/>
          <w:lang w:eastAsia="en-US"/>
        </w:rPr>
        <w:t xml:space="preserve">чету – это совокупный баланс денежных средств, рассчитанный путем сложения ежедневных входящих остатков денежных средств на </w:t>
      </w:r>
      <w:r>
        <w:rPr>
          <w:rFonts w:ascii="Tahoma" w:eastAsia="Calibri" w:hAnsi="Tahoma" w:cs="Tahoma"/>
          <w:sz w:val="18"/>
          <w:szCs w:val="18"/>
          <w:lang w:eastAsia="en-US"/>
        </w:rPr>
        <w:t>С</w:t>
      </w:r>
      <w:r w:rsidRPr="00337FDB">
        <w:rPr>
          <w:rFonts w:ascii="Tahoma" w:eastAsia="Calibri" w:hAnsi="Tahoma" w:cs="Tahoma"/>
          <w:sz w:val="18"/>
          <w:szCs w:val="18"/>
          <w:lang w:eastAsia="en-US"/>
        </w:rPr>
        <w:t xml:space="preserve">чете Клиента </w:t>
      </w:r>
      <w:r w:rsidRPr="00E25AF0">
        <w:rPr>
          <w:rFonts w:ascii="Tahoma" w:eastAsia="Calibri" w:hAnsi="Tahoma" w:cs="Tahoma"/>
          <w:sz w:val="18"/>
          <w:szCs w:val="18"/>
          <w:lang w:eastAsia="en-US"/>
        </w:rPr>
        <w:t>на начало каждого дня</w:t>
      </w:r>
      <w:r w:rsidRPr="00337FDB">
        <w:rPr>
          <w:rFonts w:ascii="Tahoma" w:eastAsia="Calibri" w:hAnsi="Tahoma" w:cs="Tahoma"/>
          <w:sz w:val="18"/>
          <w:szCs w:val="18"/>
          <w:lang w:eastAsia="en-US"/>
        </w:rPr>
        <w:t xml:space="preserve"> в течение календарного месяца (далее – Период</w:t>
      </w:r>
      <w:r w:rsidRPr="00337FDB">
        <w:rPr>
          <w:rFonts w:ascii="Tahoma" w:eastAsia="Calibri" w:hAnsi="Tahoma" w:cs="Tahoma"/>
          <w:sz w:val="18"/>
          <w:szCs w:val="18"/>
          <w:vertAlign w:val="superscript"/>
          <w:lang w:eastAsia="en-US"/>
        </w:rPr>
        <w:t>2</w:t>
      </w:r>
      <w:r w:rsidRPr="00337FDB">
        <w:rPr>
          <w:rFonts w:ascii="Tahoma" w:eastAsia="Calibri" w:hAnsi="Tahoma" w:cs="Tahoma"/>
          <w:sz w:val="18"/>
          <w:szCs w:val="18"/>
          <w:lang w:eastAsia="en-US"/>
        </w:rPr>
        <w:t xml:space="preserve">) и деления этой суммы на количество дней в этом </w:t>
      </w:r>
      <w:r>
        <w:rPr>
          <w:rFonts w:ascii="Tahoma" w:eastAsia="Calibri" w:hAnsi="Tahoma" w:cs="Tahoma"/>
          <w:sz w:val="18"/>
          <w:szCs w:val="18"/>
          <w:lang w:eastAsia="en-US"/>
        </w:rPr>
        <w:t>Периоде</w:t>
      </w:r>
      <w:r w:rsidRPr="00337FDB">
        <w:rPr>
          <w:rFonts w:ascii="Tahoma" w:eastAsia="Calibri" w:hAnsi="Tahoma" w:cs="Tahoma"/>
          <w:sz w:val="18"/>
          <w:szCs w:val="18"/>
          <w:lang w:eastAsia="en-US"/>
        </w:rPr>
        <w:t>.</w:t>
      </w:r>
    </w:p>
    <w:p w14:paraId="63005FD1" w14:textId="77777777" w:rsidR="00FE537C" w:rsidRPr="00337FDB" w:rsidRDefault="00FE537C" w:rsidP="00FE537C">
      <w:pPr>
        <w:ind w:left="-284" w:firstLine="284"/>
        <w:jc w:val="both"/>
        <w:rPr>
          <w:rFonts w:ascii="Tahoma" w:hAnsi="Tahoma" w:cs="Tahoma"/>
          <w:sz w:val="18"/>
          <w:szCs w:val="18"/>
        </w:rPr>
      </w:pPr>
      <w:r w:rsidRPr="00337FDB">
        <w:rPr>
          <w:rFonts w:ascii="Tahoma" w:hAnsi="Tahoma" w:cs="Tahoma"/>
          <w:sz w:val="18"/>
          <w:szCs w:val="18"/>
          <w:vertAlign w:val="superscript"/>
        </w:rPr>
        <w:t>2</w:t>
      </w:r>
      <w:r w:rsidRPr="00337FDB">
        <w:rPr>
          <w:rFonts w:ascii="Tahoma" w:hAnsi="Tahoma" w:cs="Tahoma"/>
          <w:sz w:val="18"/>
          <w:szCs w:val="18"/>
        </w:rPr>
        <w:t xml:space="preserve">Период – временной период, за который Клиенту Банком на Средний остаток средств на </w:t>
      </w:r>
      <w:r>
        <w:rPr>
          <w:rFonts w:ascii="Tahoma" w:hAnsi="Tahoma" w:cs="Tahoma"/>
          <w:sz w:val="18"/>
          <w:szCs w:val="18"/>
        </w:rPr>
        <w:t>С</w:t>
      </w:r>
      <w:r w:rsidRPr="00337FDB">
        <w:rPr>
          <w:rFonts w:ascii="Tahoma" w:hAnsi="Tahoma" w:cs="Tahoma"/>
          <w:sz w:val="18"/>
          <w:szCs w:val="18"/>
        </w:rPr>
        <w:t xml:space="preserve">чете начисляются проценты. Первый Период исчисляется со дня, следующего за днем внесения денежных средств на </w:t>
      </w:r>
      <w:r>
        <w:rPr>
          <w:rFonts w:ascii="Tahoma" w:hAnsi="Tahoma" w:cs="Tahoma"/>
          <w:sz w:val="18"/>
          <w:szCs w:val="18"/>
        </w:rPr>
        <w:t>С</w:t>
      </w:r>
      <w:r w:rsidRPr="00337FDB">
        <w:rPr>
          <w:rFonts w:ascii="Tahoma" w:hAnsi="Tahoma" w:cs="Tahoma"/>
          <w:sz w:val="18"/>
          <w:szCs w:val="18"/>
        </w:rPr>
        <w:t>чет до последнего календарного дня месяца. Последующие Периоды исчисляются ежемесячно с 1-го числа каждого календарного месяца до последнего календарного дня месяца</w:t>
      </w:r>
      <w:r>
        <w:rPr>
          <w:rFonts w:ascii="Tahoma" w:hAnsi="Tahoma" w:cs="Tahoma"/>
          <w:sz w:val="18"/>
          <w:szCs w:val="18"/>
        </w:rPr>
        <w:t>, в котором открыт Счет</w:t>
      </w:r>
      <w:r w:rsidRPr="00337FDB">
        <w:rPr>
          <w:rFonts w:ascii="Tahoma" w:hAnsi="Tahoma" w:cs="Tahoma"/>
          <w:sz w:val="18"/>
          <w:szCs w:val="18"/>
        </w:rPr>
        <w:t xml:space="preserve">. Выплата Банком Клиенту начисленных процентов производится на </w:t>
      </w:r>
      <w:r>
        <w:rPr>
          <w:rFonts w:ascii="Tahoma" w:hAnsi="Tahoma" w:cs="Tahoma"/>
          <w:sz w:val="18"/>
          <w:szCs w:val="18"/>
        </w:rPr>
        <w:t>С</w:t>
      </w:r>
      <w:r w:rsidRPr="00337FDB">
        <w:rPr>
          <w:rFonts w:ascii="Tahoma" w:hAnsi="Tahoma" w:cs="Tahoma"/>
          <w:sz w:val="18"/>
          <w:szCs w:val="18"/>
        </w:rPr>
        <w:t xml:space="preserve">чет в последний </w:t>
      </w:r>
      <w:r>
        <w:rPr>
          <w:rFonts w:ascii="Tahoma" w:hAnsi="Tahoma" w:cs="Tahoma"/>
          <w:sz w:val="18"/>
          <w:szCs w:val="18"/>
        </w:rPr>
        <w:t xml:space="preserve">календарный </w:t>
      </w:r>
      <w:r w:rsidRPr="00337FDB">
        <w:rPr>
          <w:rFonts w:ascii="Tahoma" w:hAnsi="Tahoma" w:cs="Tahoma"/>
          <w:sz w:val="18"/>
          <w:szCs w:val="18"/>
        </w:rPr>
        <w:t>день месяца.</w:t>
      </w:r>
    </w:p>
    <w:p w14:paraId="2068D235" w14:textId="77777777" w:rsidR="00FE537C" w:rsidRPr="00337FDB" w:rsidRDefault="00FE537C" w:rsidP="00FE537C">
      <w:pPr>
        <w:ind w:left="-284" w:firstLine="284"/>
        <w:jc w:val="both"/>
        <w:rPr>
          <w:rFonts w:ascii="Tahoma" w:hAnsi="Tahoma" w:cs="Tahoma"/>
          <w:sz w:val="18"/>
          <w:szCs w:val="18"/>
        </w:rPr>
      </w:pPr>
    </w:p>
    <w:p w14:paraId="705509B4" w14:textId="77777777" w:rsidR="00FE537C" w:rsidRPr="008572C5" w:rsidRDefault="00FE537C" w:rsidP="00FE537C">
      <w:pPr>
        <w:tabs>
          <w:tab w:val="left" w:pos="709"/>
        </w:tabs>
        <w:ind w:left="426"/>
        <w:contextualSpacing/>
        <w:jc w:val="both"/>
        <w:rPr>
          <w:rFonts w:ascii="Tahoma" w:hAnsi="Tahoma" w:cs="Tahoma"/>
          <w:sz w:val="22"/>
          <w:szCs w:val="22"/>
        </w:rPr>
      </w:pPr>
      <w:r w:rsidRPr="008572C5">
        <w:rPr>
          <w:rFonts w:ascii="Tahoma" w:hAnsi="Tahoma" w:cs="Tahoma"/>
          <w:sz w:val="22"/>
          <w:szCs w:val="22"/>
        </w:rPr>
        <w:t>Размеры процентных ставок определяются Тарифами Банка. В случае внесения изменений в Тарифы Банка Банк информирует Клиента путем размещения информации об изменениях на Официальном сайте Банка и (или) в подразделениях Банка, и (или) через каналы дистанционного банковского обслуживания Интернет-банк «АТБ-Онлайн»/ Мобильный банк «АТБ-Мобайл»</w:t>
      </w:r>
      <w:r>
        <w:rPr>
          <w:rFonts w:ascii="Tahoma" w:hAnsi="Tahoma" w:cs="Tahoma"/>
          <w:sz w:val="22"/>
          <w:szCs w:val="22"/>
        </w:rPr>
        <w:t xml:space="preserve"> /</w:t>
      </w:r>
      <w:r>
        <w:t>«</w:t>
      </w:r>
      <w:r w:rsidRPr="00A707EB">
        <w:rPr>
          <w:rFonts w:ascii="Tahoma" w:hAnsi="Tahoma" w:cs="Tahoma"/>
        </w:rPr>
        <w:t>АТБ банк»</w:t>
      </w:r>
      <w:r w:rsidRPr="008572C5">
        <w:rPr>
          <w:rFonts w:ascii="Tahoma" w:hAnsi="Tahoma" w:cs="Tahoma"/>
          <w:sz w:val="22"/>
          <w:szCs w:val="22"/>
        </w:rPr>
        <w:t xml:space="preserve"> не менее чем за 3 рабочих дня до даты вступления изменений в силу.</w:t>
      </w:r>
    </w:p>
    <w:p w14:paraId="09621F0D" w14:textId="77777777" w:rsidR="00FE537C" w:rsidRDefault="00FE537C" w:rsidP="00FE537C">
      <w:pPr>
        <w:tabs>
          <w:tab w:val="left" w:pos="709"/>
        </w:tabs>
        <w:ind w:left="426"/>
        <w:contextualSpacing/>
        <w:jc w:val="both"/>
        <w:rPr>
          <w:rFonts w:ascii="Tahoma" w:hAnsi="Tahoma" w:cs="Tahoma"/>
          <w:sz w:val="22"/>
          <w:szCs w:val="22"/>
        </w:rPr>
      </w:pPr>
    </w:p>
    <w:p w14:paraId="144DF57D" w14:textId="77777777" w:rsidR="00FE537C" w:rsidRDefault="00FE537C" w:rsidP="00FE537C">
      <w:pPr>
        <w:tabs>
          <w:tab w:val="left" w:pos="709"/>
        </w:tabs>
        <w:ind w:left="426"/>
        <w:contextualSpacing/>
        <w:jc w:val="both"/>
        <w:rPr>
          <w:rFonts w:ascii="Tahoma" w:hAnsi="Tahoma" w:cs="Tahoma"/>
          <w:sz w:val="22"/>
          <w:szCs w:val="22"/>
        </w:rPr>
      </w:pPr>
    </w:p>
    <w:p w14:paraId="0DCF85FE" w14:textId="326EF94F" w:rsidR="00FE537C" w:rsidRPr="00FE537C" w:rsidRDefault="000B3718" w:rsidP="000B3718">
      <w:pPr>
        <w:pStyle w:val="a5"/>
        <w:rPr>
          <w:rFonts w:eastAsia="Calibri"/>
          <w:color w:val="00B050"/>
        </w:rPr>
      </w:pPr>
      <w:r>
        <w:rPr>
          <w:rFonts w:eastAsia="Calibri"/>
        </w:rPr>
        <w:t xml:space="preserve">3.25. </w:t>
      </w:r>
      <w:r w:rsidR="00FE537C" w:rsidRPr="00FE537C">
        <w:rPr>
          <w:rFonts w:eastAsia="Calibri"/>
        </w:rPr>
        <w:t>Условия накопительного счета «АТБ. Счет» для счетов, открытых с 21.08.2024 по 10.09.2024 (действуют с 01.11.2024</w:t>
      </w:r>
      <w:r w:rsidR="00FE537C" w:rsidRPr="00FE537C">
        <w:rPr>
          <w:rFonts w:eastAsia="Calibri"/>
          <w:color w:val="00B050"/>
        </w:rPr>
        <w:t>):</w:t>
      </w:r>
    </w:p>
    <w:p w14:paraId="6D5422FC"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Валюта счета – рубли Российской Федерации (далее – рубли);</w:t>
      </w:r>
    </w:p>
    <w:p w14:paraId="4FCF02D9"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Срок размещения – не ограничен;</w:t>
      </w:r>
    </w:p>
    <w:p w14:paraId="53AD2ED9"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Минимальный первоначальный взнос – не ограничен;</w:t>
      </w:r>
    </w:p>
    <w:p w14:paraId="35EB29E0"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Пополнение счета – без ограничений;</w:t>
      </w:r>
    </w:p>
    <w:p w14:paraId="19B2578F"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Расходные операции по счету – без ограничений;</w:t>
      </w:r>
    </w:p>
    <w:p w14:paraId="69D5D2FA"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Сумма неснижаемого остатка – без ограничений;</w:t>
      </w:r>
    </w:p>
    <w:p w14:paraId="4B0BAC58"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Максимальная сумма счета – без ограничений;</w:t>
      </w:r>
    </w:p>
    <w:p w14:paraId="19DF788C"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 xml:space="preserve">Периодичность выплаты процентов - ежемесячно, исходя из процентной ставки, установленной по счету и суммы </w:t>
      </w:r>
      <w:r>
        <w:rPr>
          <w:rFonts w:ascii="Tahoma" w:eastAsia="Calibri" w:hAnsi="Tahoma" w:cs="Tahoma"/>
          <w:bCs/>
          <w:sz w:val="22"/>
          <w:szCs w:val="22"/>
          <w:lang w:eastAsia="en-US"/>
        </w:rPr>
        <w:t>Среднего</w:t>
      </w:r>
      <w:r w:rsidRPr="008572C5">
        <w:rPr>
          <w:rFonts w:ascii="Tahoma" w:eastAsia="Calibri" w:hAnsi="Tahoma" w:cs="Tahoma"/>
          <w:bCs/>
          <w:sz w:val="22"/>
          <w:szCs w:val="22"/>
          <w:lang w:eastAsia="en-US"/>
        </w:rPr>
        <w:t xml:space="preserve"> остатка денежных средств¹, находящихся на счете в течение Периода²;</w:t>
      </w:r>
    </w:p>
    <w:p w14:paraId="2D205EC3"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 xml:space="preserve">Способ выплаты процентов - </w:t>
      </w:r>
      <w:r w:rsidRPr="008572C5">
        <w:rPr>
          <w:rFonts w:ascii="Tahoma" w:eastAsia="Calibri" w:hAnsi="Tahoma" w:cs="Tahoma"/>
          <w:sz w:val="22"/>
          <w:szCs w:val="22"/>
          <w:lang w:eastAsia="en-US"/>
        </w:rPr>
        <w:t>проценты по Счету причисляются к остатку денежных средств на счете ежемесячно</w:t>
      </w:r>
      <w:r>
        <w:rPr>
          <w:rFonts w:ascii="Tahoma" w:eastAsia="Calibri" w:hAnsi="Tahoma" w:cs="Tahoma"/>
          <w:sz w:val="22"/>
          <w:szCs w:val="22"/>
          <w:lang w:eastAsia="en-US"/>
        </w:rPr>
        <w:t>;</w:t>
      </w:r>
    </w:p>
    <w:p w14:paraId="4DE038C1"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Открытие счета и управлением счетом в отделениях Банка и через дистанционные каналы банковского обслуживания Интернет-банк «АТБ-Онлайн»/ Мобильный банк «АТБ-Мобайл»</w:t>
      </w:r>
      <w:r>
        <w:rPr>
          <w:rFonts w:ascii="Tahoma" w:eastAsia="Calibri" w:hAnsi="Tahoma" w:cs="Tahoma"/>
          <w:bCs/>
          <w:sz w:val="22"/>
          <w:szCs w:val="22"/>
          <w:lang w:eastAsia="en-US"/>
        </w:rPr>
        <w:t>/</w:t>
      </w:r>
      <w:r>
        <w:t>«</w:t>
      </w:r>
      <w:r w:rsidRPr="00A707EB">
        <w:rPr>
          <w:rFonts w:ascii="Tahoma" w:hAnsi="Tahoma" w:cs="Tahoma"/>
        </w:rPr>
        <w:t>АТБ банк»</w:t>
      </w:r>
      <w:r w:rsidRPr="008572C5">
        <w:rPr>
          <w:rFonts w:ascii="Tahoma" w:eastAsia="Calibri" w:hAnsi="Tahoma" w:cs="Tahoma"/>
          <w:bCs/>
          <w:sz w:val="22"/>
          <w:szCs w:val="22"/>
          <w:lang w:eastAsia="en-U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4"/>
        <w:gridCol w:w="4822"/>
        <w:gridCol w:w="4641"/>
      </w:tblGrid>
      <w:tr w:rsidR="00FE537C" w:rsidRPr="00B075E5" w14:paraId="2E916E1F" w14:textId="77777777" w:rsidTr="003D2438">
        <w:trPr>
          <w:trHeight w:val="420"/>
        </w:trPr>
        <w:tc>
          <w:tcPr>
            <w:tcW w:w="1872" w:type="pct"/>
            <w:vMerge w:val="restart"/>
            <w:tcBorders>
              <w:top w:val="single" w:sz="4" w:space="0" w:color="auto"/>
              <w:left w:val="single" w:sz="4" w:space="0" w:color="auto"/>
              <w:right w:val="single" w:sz="4" w:space="0" w:color="auto"/>
            </w:tcBorders>
            <w:vAlign w:val="center"/>
            <w:hideMark/>
          </w:tcPr>
          <w:p w14:paraId="2DEE1CC1" w14:textId="77777777" w:rsidR="00FE537C" w:rsidRPr="00B075E5" w:rsidRDefault="00FE537C" w:rsidP="003D2438">
            <w:pPr>
              <w:tabs>
                <w:tab w:val="left" w:pos="284"/>
                <w:tab w:val="left" w:pos="426"/>
              </w:tabs>
              <w:jc w:val="center"/>
              <w:textAlignment w:val="top"/>
              <w:rPr>
                <w:rFonts w:ascii="Tahoma" w:hAnsi="Tahoma" w:cs="Tahoma"/>
                <w:bCs/>
                <w:iCs/>
                <w:sz w:val="22"/>
                <w:szCs w:val="22"/>
              </w:rPr>
            </w:pPr>
            <w:r w:rsidRPr="00B075E5">
              <w:rPr>
                <w:rFonts w:ascii="Tahoma" w:hAnsi="Tahoma" w:cs="Tahoma"/>
                <w:bCs/>
                <w:iCs/>
                <w:sz w:val="22"/>
                <w:szCs w:val="22"/>
              </w:rPr>
              <w:t xml:space="preserve">Условия начисления процентов </w:t>
            </w:r>
          </w:p>
        </w:tc>
        <w:tc>
          <w:tcPr>
            <w:tcW w:w="3128" w:type="pct"/>
            <w:gridSpan w:val="2"/>
            <w:tcBorders>
              <w:top w:val="single" w:sz="4" w:space="0" w:color="auto"/>
              <w:left w:val="single" w:sz="4" w:space="0" w:color="auto"/>
              <w:right w:val="single" w:sz="4" w:space="0" w:color="auto"/>
            </w:tcBorders>
            <w:vAlign w:val="center"/>
            <w:hideMark/>
          </w:tcPr>
          <w:p w14:paraId="22D1ED62" w14:textId="77777777" w:rsidR="00FE537C" w:rsidRPr="00EE53F4" w:rsidRDefault="00FE537C" w:rsidP="003D2438">
            <w:pPr>
              <w:jc w:val="center"/>
              <w:rPr>
                <w:rFonts w:ascii="Tahoma" w:hAnsi="Tahoma" w:cs="Tahoma"/>
                <w:sz w:val="22"/>
                <w:szCs w:val="22"/>
              </w:rPr>
            </w:pPr>
            <w:r w:rsidRPr="00EE53F4">
              <w:rPr>
                <w:rFonts w:ascii="Tahoma" w:hAnsi="Tahoma" w:cs="Tahoma"/>
                <w:sz w:val="22"/>
                <w:szCs w:val="22"/>
              </w:rPr>
              <w:t>Процентная ставка в зависимости от размера Среднего остатка по Счету</w:t>
            </w:r>
            <w:r w:rsidRPr="00EE53F4">
              <w:rPr>
                <w:rFonts w:ascii="Tahoma" w:hAnsi="Tahoma" w:cs="Tahoma"/>
                <w:sz w:val="22"/>
                <w:szCs w:val="22"/>
                <w:vertAlign w:val="superscript"/>
              </w:rPr>
              <w:t>1</w:t>
            </w:r>
            <w:r w:rsidRPr="00EE53F4">
              <w:rPr>
                <w:rFonts w:ascii="Tahoma" w:hAnsi="Tahoma" w:cs="Tahoma"/>
                <w:sz w:val="22"/>
                <w:szCs w:val="22"/>
              </w:rPr>
              <w:t xml:space="preserve">, </w:t>
            </w:r>
          </w:p>
          <w:p w14:paraId="6A8C9733" w14:textId="77777777" w:rsidR="00FE537C" w:rsidRPr="00B075E5" w:rsidRDefault="00FE537C" w:rsidP="003D2438">
            <w:pPr>
              <w:jc w:val="center"/>
              <w:rPr>
                <w:rFonts w:ascii="Tahoma" w:hAnsi="Tahoma" w:cs="Tahoma"/>
                <w:sz w:val="22"/>
                <w:szCs w:val="22"/>
              </w:rPr>
            </w:pPr>
            <w:r w:rsidRPr="00EE53F4">
              <w:rPr>
                <w:rFonts w:ascii="Tahoma" w:hAnsi="Tahoma" w:cs="Tahoma"/>
                <w:sz w:val="22"/>
                <w:szCs w:val="22"/>
              </w:rPr>
              <w:t>% годовых</w:t>
            </w:r>
          </w:p>
        </w:tc>
      </w:tr>
      <w:tr w:rsidR="00FE537C" w:rsidRPr="00B075E5" w14:paraId="76BC1FA6" w14:textId="77777777" w:rsidTr="003D2438">
        <w:trPr>
          <w:trHeight w:val="378"/>
        </w:trPr>
        <w:tc>
          <w:tcPr>
            <w:tcW w:w="1872" w:type="pct"/>
            <w:vMerge/>
            <w:tcBorders>
              <w:left w:val="single" w:sz="4" w:space="0" w:color="auto"/>
              <w:right w:val="single" w:sz="4" w:space="0" w:color="auto"/>
            </w:tcBorders>
            <w:vAlign w:val="center"/>
          </w:tcPr>
          <w:p w14:paraId="1C3A7900" w14:textId="77777777" w:rsidR="00FE537C" w:rsidRPr="00B075E5" w:rsidRDefault="00FE537C" w:rsidP="003D2438">
            <w:pPr>
              <w:tabs>
                <w:tab w:val="left" w:pos="284"/>
                <w:tab w:val="left" w:pos="426"/>
              </w:tabs>
              <w:jc w:val="center"/>
              <w:textAlignment w:val="top"/>
              <w:rPr>
                <w:rFonts w:ascii="Tahoma" w:hAnsi="Tahoma" w:cs="Tahoma"/>
                <w:bCs/>
                <w:iCs/>
                <w:sz w:val="22"/>
                <w:szCs w:val="22"/>
              </w:rPr>
            </w:pPr>
          </w:p>
        </w:tc>
        <w:tc>
          <w:tcPr>
            <w:tcW w:w="1594" w:type="pct"/>
            <w:tcBorders>
              <w:top w:val="single" w:sz="4" w:space="0" w:color="auto"/>
              <w:left w:val="single" w:sz="4" w:space="0" w:color="auto"/>
              <w:right w:val="single" w:sz="4" w:space="0" w:color="auto"/>
            </w:tcBorders>
            <w:vAlign w:val="center"/>
          </w:tcPr>
          <w:p w14:paraId="0A40B165" w14:textId="77777777" w:rsidR="00FE537C" w:rsidRPr="00B075E5" w:rsidRDefault="00FE537C" w:rsidP="003D2438">
            <w:pPr>
              <w:jc w:val="center"/>
              <w:rPr>
                <w:rFonts w:ascii="Tahoma" w:hAnsi="Tahoma" w:cs="Tahoma"/>
                <w:sz w:val="22"/>
                <w:szCs w:val="22"/>
              </w:rPr>
            </w:pPr>
            <w:r w:rsidRPr="00B075E5">
              <w:rPr>
                <w:rFonts w:ascii="Tahoma" w:hAnsi="Tahoma" w:cs="Tahoma"/>
                <w:sz w:val="22"/>
                <w:szCs w:val="22"/>
              </w:rPr>
              <w:t>От 0,01 руб. до 3 000 000,00 руб., включительно</w:t>
            </w:r>
          </w:p>
        </w:tc>
        <w:tc>
          <w:tcPr>
            <w:tcW w:w="1534" w:type="pct"/>
            <w:tcBorders>
              <w:top w:val="single" w:sz="4" w:space="0" w:color="auto"/>
              <w:left w:val="single" w:sz="4" w:space="0" w:color="auto"/>
              <w:right w:val="single" w:sz="4" w:space="0" w:color="auto"/>
            </w:tcBorders>
            <w:vAlign w:val="center"/>
          </w:tcPr>
          <w:p w14:paraId="6EE2329A" w14:textId="77777777" w:rsidR="00FE537C" w:rsidRPr="00B075E5" w:rsidRDefault="00FE537C" w:rsidP="003D2438">
            <w:pPr>
              <w:widowControl w:val="0"/>
              <w:tabs>
                <w:tab w:val="left" w:pos="426"/>
                <w:tab w:val="left" w:pos="851"/>
                <w:tab w:val="right" w:pos="10206"/>
              </w:tabs>
              <w:adjustRightInd w:val="0"/>
              <w:jc w:val="center"/>
              <w:rPr>
                <w:rFonts w:ascii="Tahoma" w:hAnsi="Tahoma" w:cs="Tahoma"/>
                <w:bCs/>
                <w:iCs/>
                <w:sz w:val="22"/>
                <w:szCs w:val="22"/>
              </w:rPr>
            </w:pPr>
            <w:r w:rsidRPr="00B075E5">
              <w:rPr>
                <w:rFonts w:ascii="Tahoma" w:hAnsi="Tahoma" w:cs="Tahoma"/>
                <w:sz w:val="22"/>
                <w:szCs w:val="22"/>
              </w:rPr>
              <w:t>На сумму превышения 3 000 000,00 руб.</w:t>
            </w:r>
          </w:p>
        </w:tc>
      </w:tr>
      <w:tr w:rsidR="00FE537C" w:rsidRPr="00B075E5" w14:paraId="1954586F" w14:textId="77777777" w:rsidTr="003D2438">
        <w:trPr>
          <w:trHeight w:val="70"/>
        </w:trPr>
        <w:tc>
          <w:tcPr>
            <w:tcW w:w="1872" w:type="pct"/>
            <w:tcBorders>
              <w:top w:val="single" w:sz="4" w:space="0" w:color="auto"/>
              <w:left w:val="single" w:sz="4" w:space="0" w:color="auto"/>
              <w:bottom w:val="single" w:sz="4" w:space="0" w:color="auto"/>
              <w:right w:val="single" w:sz="4" w:space="0" w:color="auto"/>
            </w:tcBorders>
            <w:vAlign w:val="center"/>
          </w:tcPr>
          <w:p w14:paraId="2A171E1D" w14:textId="77777777" w:rsidR="00FE537C" w:rsidRPr="00B075E5" w:rsidRDefault="00FE537C" w:rsidP="003D2438">
            <w:pPr>
              <w:widowControl w:val="0"/>
              <w:tabs>
                <w:tab w:val="left" w:pos="284"/>
                <w:tab w:val="left" w:pos="426"/>
              </w:tabs>
              <w:adjustRightInd w:val="0"/>
              <w:jc w:val="center"/>
              <w:rPr>
                <w:rFonts w:ascii="Tahoma" w:hAnsi="Tahoma" w:cs="Tahoma"/>
                <w:bCs/>
                <w:iCs/>
                <w:sz w:val="22"/>
                <w:szCs w:val="22"/>
              </w:rPr>
            </w:pPr>
            <w:r w:rsidRPr="00B075E5">
              <w:rPr>
                <w:rFonts w:ascii="Tahoma" w:hAnsi="Tahoma" w:cs="Tahoma"/>
                <w:bCs/>
                <w:iCs/>
                <w:sz w:val="22"/>
                <w:szCs w:val="22"/>
              </w:rPr>
              <w:t>Средний остаток по счету¹</w:t>
            </w:r>
          </w:p>
        </w:tc>
        <w:tc>
          <w:tcPr>
            <w:tcW w:w="1594" w:type="pct"/>
            <w:tcBorders>
              <w:top w:val="single" w:sz="4" w:space="0" w:color="auto"/>
              <w:left w:val="single" w:sz="4" w:space="0" w:color="auto"/>
              <w:bottom w:val="single" w:sz="4" w:space="0" w:color="auto"/>
              <w:right w:val="single" w:sz="4" w:space="0" w:color="auto"/>
            </w:tcBorders>
            <w:vAlign w:val="center"/>
          </w:tcPr>
          <w:p w14:paraId="53EB0D49" w14:textId="77777777" w:rsidR="00FE537C" w:rsidRPr="00B075E5" w:rsidRDefault="00FE537C" w:rsidP="003D2438">
            <w:pPr>
              <w:tabs>
                <w:tab w:val="left" w:pos="284"/>
                <w:tab w:val="left" w:pos="426"/>
              </w:tabs>
              <w:jc w:val="center"/>
              <w:textAlignment w:val="top"/>
              <w:rPr>
                <w:rFonts w:ascii="Tahoma" w:hAnsi="Tahoma" w:cs="Tahoma"/>
                <w:bCs/>
                <w:iCs/>
                <w:sz w:val="22"/>
                <w:szCs w:val="22"/>
              </w:rPr>
            </w:pPr>
            <w:r w:rsidRPr="00B075E5">
              <w:rPr>
                <w:rFonts w:ascii="Tahoma" w:hAnsi="Tahoma" w:cs="Tahoma"/>
                <w:bCs/>
                <w:iCs/>
                <w:sz w:val="22"/>
                <w:szCs w:val="22"/>
              </w:rPr>
              <w:t>1</w:t>
            </w:r>
            <w:r>
              <w:rPr>
                <w:rFonts w:ascii="Tahoma" w:hAnsi="Tahoma" w:cs="Tahoma"/>
                <w:bCs/>
                <w:iCs/>
                <w:sz w:val="22"/>
                <w:szCs w:val="22"/>
              </w:rPr>
              <w:t>6</w:t>
            </w:r>
            <w:r w:rsidRPr="00B075E5">
              <w:rPr>
                <w:rFonts w:ascii="Tahoma" w:hAnsi="Tahoma" w:cs="Tahoma"/>
                <w:bCs/>
                <w:iCs/>
                <w:sz w:val="22"/>
                <w:szCs w:val="22"/>
              </w:rPr>
              <w:t>,00</w:t>
            </w:r>
          </w:p>
        </w:tc>
        <w:tc>
          <w:tcPr>
            <w:tcW w:w="1534" w:type="pct"/>
            <w:tcBorders>
              <w:top w:val="single" w:sz="4" w:space="0" w:color="auto"/>
              <w:left w:val="single" w:sz="4" w:space="0" w:color="auto"/>
              <w:bottom w:val="single" w:sz="4" w:space="0" w:color="auto"/>
              <w:right w:val="single" w:sz="4" w:space="0" w:color="auto"/>
            </w:tcBorders>
            <w:vAlign w:val="center"/>
          </w:tcPr>
          <w:p w14:paraId="7B697FAF" w14:textId="77777777" w:rsidR="00FE537C" w:rsidRPr="00B075E5" w:rsidRDefault="00FE537C" w:rsidP="003D2438">
            <w:pPr>
              <w:tabs>
                <w:tab w:val="left" w:pos="284"/>
                <w:tab w:val="left" w:pos="426"/>
              </w:tabs>
              <w:jc w:val="center"/>
              <w:textAlignment w:val="top"/>
              <w:rPr>
                <w:rFonts w:ascii="Tahoma" w:hAnsi="Tahoma" w:cs="Tahoma"/>
                <w:bCs/>
                <w:iCs/>
                <w:sz w:val="22"/>
                <w:szCs w:val="22"/>
              </w:rPr>
            </w:pPr>
            <w:r>
              <w:rPr>
                <w:rFonts w:ascii="Tahoma" w:hAnsi="Tahoma" w:cs="Tahoma"/>
                <w:bCs/>
                <w:iCs/>
                <w:sz w:val="22"/>
                <w:szCs w:val="22"/>
              </w:rPr>
              <w:t>10,00</w:t>
            </w:r>
          </w:p>
        </w:tc>
      </w:tr>
    </w:tbl>
    <w:p w14:paraId="53D1578A" w14:textId="77777777" w:rsidR="00FE537C" w:rsidRPr="00B075E5" w:rsidRDefault="00FE537C" w:rsidP="00FE537C">
      <w:pPr>
        <w:jc w:val="both"/>
        <w:rPr>
          <w:rFonts w:ascii="Tahoma" w:eastAsia="Calibri" w:hAnsi="Tahoma" w:cs="Tahoma"/>
          <w:bCs/>
          <w:sz w:val="22"/>
          <w:szCs w:val="22"/>
          <w:lang w:eastAsia="en-US"/>
        </w:rPr>
      </w:pPr>
    </w:p>
    <w:p w14:paraId="21183256" w14:textId="77777777" w:rsidR="00FE537C" w:rsidRPr="00337FDB" w:rsidRDefault="00FE537C" w:rsidP="00FE537C">
      <w:pPr>
        <w:ind w:left="-284" w:firstLine="284"/>
        <w:jc w:val="both"/>
        <w:rPr>
          <w:rFonts w:ascii="Tahoma" w:eastAsia="Calibri" w:hAnsi="Tahoma" w:cs="Tahoma"/>
          <w:sz w:val="18"/>
          <w:szCs w:val="18"/>
          <w:lang w:eastAsia="en-US"/>
        </w:rPr>
      </w:pPr>
      <w:r w:rsidRPr="00337FDB">
        <w:rPr>
          <w:rFonts w:ascii="Tahoma" w:eastAsia="Calibri" w:hAnsi="Tahoma" w:cs="Tahoma"/>
          <w:sz w:val="18"/>
          <w:szCs w:val="18"/>
          <w:vertAlign w:val="superscript"/>
          <w:lang w:eastAsia="en-US"/>
        </w:rPr>
        <w:t>1</w:t>
      </w:r>
      <w:r w:rsidRPr="00337FDB">
        <w:rPr>
          <w:rFonts w:ascii="Tahoma" w:eastAsia="Calibri" w:hAnsi="Tahoma" w:cs="Tahoma"/>
          <w:sz w:val="18"/>
          <w:szCs w:val="18"/>
          <w:lang w:eastAsia="en-US"/>
        </w:rPr>
        <w:t xml:space="preserve">Средний остаток по </w:t>
      </w:r>
      <w:r>
        <w:rPr>
          <w:rFonts w:ascii="Tahoma" w:eastAsia="Calibri" w:hAnsi="Tahoma" w:cs="Tahoma"/>
          <w:sz w:val="18"/>
          <w:szCs w:val="18"/>
          <w:lang w:eastAsia="en-US"/>
        </w:rPr>
        <w:t>С</w:t>
      </w:r>
      <w:r w:rsidRPr="00337FDB">
        <w:rPr>
          <w:rFonts w:ascii="Tahoma" w:eastAsia="Calibri" w:hAnsi="Tahoma" w:cs="Tahoma"/>
          <w:sz w:val="18"/>
          <w:szCs w:val="18"/>
          <w:lang w:eastAsia="en-US"/>
        </w:rPr>
        <w:t xml:space="preserve">чету – это совокупный баланс денежных средств, рассчитанный путем сложения ежедневных входящих остатков денежных средств на </w:t>
      </w:r>
      <w:r>
        <w:rPr>
          <w:rFonts w:ascii="Tahoma" w:eastAsia="Calibri" w:hAnsi="Tahoma" w:cs="Tahoma"/>
          <w:sz w:val="18"/>
          <w:szCs w:val="18"/>
          <w:lang w:eastAsia="en-US"/>
        </w:rPr>
        <w:t>С</w:t>
      </w:r>
      <w:r w:rsidRPr="00337FDB">
        <w:rPr>
          <w:rFonts w:ascii="Tahoma" w:eastAsia="Calibri" w:hAnsi="Tahoma" w:cs="Tahoma"/>
          <w:sz w:val="18"/>
          <w:szCs w:val="18"/>
          <w:lang w:eastAsia="en-US"/>
        </w:rPr>
        <w:t xml:space="preserve">чете Клиента </w:t>
      </w:r>
      <w:r w:rsidRPr="00E25AF0">
        <w:rPr>
          <w:rFonts w:ascii="Tahoma" w:eastAsia="Calibri" w:hAnsi="Tahoma" w:cs="Tahoma"/>
          <w:sz w:val="18"/>
          <w:szCs w:val="18"/>
          <w:lang w:eastAsia="en-US"/>
        </w:rPr>
        <w:t>на начало каждого дня</w:t>
      </w:r>
      <w:r w:rsidRPr="00337FDB">
        <w:rPr>
          <w:rFonts w:ascii="Tahoma" w:eastAsia="Calibri" w:hAnsi="Tahoma" w:cs="Tahoma"/>
          <w:sz w:val="18"/>
          <w:szCs w:val="18"/>
          <w:lang w:eastAsia="en-US"/>
        </w:rPr>
        <w:t xml:space="preserve"> в течение календарного месяца (далее – Период</w:t>
      </w:r>
      <w:r w:rsidRPr="00337FDB">
        <w:rPr>
          <w:rFonts w:ascii="Tahoma" w:eastAsia="Calibri" w:hAnsi="Tahoma" w:cs="Tahoma"/>
          <w:sz w:val="18"/>
          <w:szCs w:val="18"/>
          <w:vertAlign w:val="superscript"/>
          <w:lang w:eastAsia="en-US"/>
        </w:rPr>
        <w:t>2</w:t>
      </w:r>
      <w:r w:rsidRPr="00337FDB">
        <w:rPr>
          <w:rFonts w:ascii="Tahoma" w:eastAsia="Calibri" w:hAnsi="Tahoma" w:cs="Tahoma"/>
          <w:sz w:val="18"/>
          <w:szCs w:val="18"/>
          <w:lang w:eastAsia="en-US"/>
        </w:rPr>
        <w:t xml:space="preserve">) и деления этой суммы на количество дней в этом </w:t>
      </w:r>
      <w:r>
        <w:rPr>
          <w:rFonts w:ascii="Tahoma" w:eastAsia="Calibri" w:hAnsi="Tahoma" w:cs="Tahoma"/>
          <w:sz w:val="18"/>
          <w:szCs w:val="18"/>
          <w:lang w:eastAsia="en-US"/>
        </w:rPr>
        <w:t>Периоде</w:t>
      </w:r>
      <w:r w:rsidRPr="00337FDB">
        <w:rPr>
          <w:rFonts w:ascii="Tahoma" w:eastAsia="Calibri" w:hAnsi="Tahoma" w:cs="Tahoma"/>
          <w:sz w:val="18"/>
          <w:szCs w:val="18"/>
          <w:lang w:eastAsia="en-US"/>
        </w:rPr>
        <w:t>.</w:t>
      </w:r>
    </w:p>
    <w:p w14:paraId="384FC19E" w14:textId="77777777" w:rsidR="00FE537C" w:rsidRPr="00337FDB" w:rsidRDefault="00FE537C" w:rsidP="00FE537C">
      <w:pPr>
        <w:ind w:left="-284" w:firstLine="284"/>
        <w:jc w:val="both"/>
        <w:rPr>
          <w:rFonts w:ascii="Tahoma" w:hAnsi="Tahoma" w:cs="Tahoma"/>
          <w:sz w:val="18"/>
          <w:szCs w:val="18"/>
        </w:rPr>
      </w:pPr>
      <w:r w:rsidRPr="00337FDB">
        <w:rPr>
          <w:rFonts w:ascii="Tahoma" w:hAnsi="Tahoma" w:cs="Tahoma"/>
          <w:sz w:val="18"/>
          <w:szCs w:val="18"/>
          <w:vertAlign w:val="superscript"/>
        </w:rPr>
        <w:t>2</w:t>
      </w:r>
      <w:r w:rsidRPr="00337FDB">
        <w:rPr>
          <w:rFonts w:ascii="Tahoma" w:hAnsi="Tahoma" w:cs="Tahoma"/>
          <w:sz w:val="18"/>
          <w:szCs w:val="18"/>
        </w:rPr>
        <w:t xml:space="preserve">Период – временной период, за который Клиенту Банком на Средний остаток средств на </w:t>
      </w:r>
      <w:r>
        <w:rPr>
          <w:rFonts w:ascii="Tahoma" w:hAnsi="Tahoma" w:cs="Tahoma"/>
          <w:sz w:val="18"/>
          <w:szCs w:val="18"/>
        </w:rPr>
        <w:t>С</w:t>
      </w:r>
      <w:r w:rsidRPr="00337FDB">
        <w:rPr>
          <w:rFonts w:ascii="Tahoma" w:hAnsi="Tahoma" w:cs="Tahoma"/>
          <w:sz w:val="18"/>
          <w:szCs w:val="18"/>
        </w:rPr>
        <w:t xml:space="preserve">чете начисляются проценты. Первый Период исчисляется со дня, следующего за днем внесения денежных средств на </w:t>
      </w:r>
      <w:r>
        <w:rPr>
          <w:rFonts w:ascii="Tahoma" w:hAnsi="Tahoma" w:cs="Tahoma"/>
          <w:sz w:val="18"/>
          <w:szCs w:val="18"/>
        </w:rPr>
        <w:t>С</w:t>
      </w:r>
      <w:r w:rsidRPr="00337FDB">
        <w:rPr>
          <w:rFonts w:ascii="Tahoma" w:hAnsi="Tahoma" w:cs="Tahoma"/>
          <w:sz w:val="18"/>
          <w:szCs w:val="18"/>
        </w:rPr>
        <w:t>чет до последнего календарного дня месяца. Последующие Периоды исчисляются ежемесячно с 1-го числа каждого календарного месяца до последнего календарного дня месяца</w:t>
      </w:r>
      <w:r>
        <w:rPr>
          <w:rFonts w:ascii="Tahoma" w:hAnsi="Tahoma" w:cs="Tahoma"/>
          <w:sz w:val="18"/>
          <w:szCs w:val="18"/>
        </w:rPr>
        <w:t>, в котором открыт Счет</w:t>
      </w:r>
      <w:r w:rsidRPr="00337FDB">
        <w:rPr>
          <w:rFonts w:ascii="Tahoma" w:hAnsi="Tahoma" w:cs="Tahoma"/>
          <w:sz w:val="18"/>
          <w:szCs w:val="18"/>
        </w:rPr>
        <w:t xml:space="preserve">. Выплата Банком Клиенту начисленных процентов производится на </w:t>
      </w:r>
      <w:r>
        <w:rPr>
          <w:rFonts w:ascii="Tahoma" w:hAnsi="Tahoma" w:cs="Tahoma"/>
          <w:sz w:val="18"/>
          <w:szCs w:val="18"/>
        </w:rPr>
        <w:t>С</w:t>
      </w:r>
      <w:r w:rsidRPr="00337FDB">
        <w:rPr>
          <w:rFonts w:ascii="Tahoma" w:hAnsi="Tahoma" w:cs="Tahoma"/>
          <w:sz w:val="18"/>
          <w:szCs w:val="18"/>
        </w:rPr>
        <w:t xml:space="preserve">чет в последний </w:t>
      </w:r>
      <w:r>
        <w:rPr>
          <w:rFonts w:ascii="Tahoma" w:hAnsi="Tahoma" w:cs="Tahoma"/>
          <w:sz w:val="18"/>
          <w:szCs w:val="18"/>
        </w:rPr>
        <w:t xml:space="preserve">календарный </w:t>
      </w:r>
      <w:r w:rsidRPr="00337FDB">
        <w:rPr>
          <w:rFonts w:ascii="Tahoma" w:hAnsi="Tahoma" w:cs="Tahoma"/>
          <w:sz w:val="18"/>
          <w:szCs w:val="18"/>
        </w:rPr>
        <w:t>день месяца.</w:t>
      </w:r>
    </w:p>
    <w:p w14:paraId="66C3A2F6" w14:textId="77777777" w:rsidR="00FE537C" w:rsidRPr="00337FDB" w:rsidRDefault="00FE537C" w:rsidP="00FE537C">
      <w:pPr>
        <w:ind w:left="-284" w:firstLine="284"/>
        <w:jc w:val="both"/>
        <w:rPr>
          <w:rFonts w:ascii="Tahoma" w:hAnsi="Tahoma" w:cs="Tahoma"/>
          <w:sz w:val="18"/>
          <w:szCs w:val="18"/>
        </w:rPr>
      </w:pPr>
    </w:p>
    <w:p w14:paraId="7A4FAC07" w14:textId="77777777" w:rsidR="00FE537C" w:rsidRPr="008572C5" w:rsidRDefault="00FE537C" w:rsidP="00FE537C">
      <w:pPr>
        <w:tabs>
          <w:tab w:val="left" w:pos="709"/>
        </w:tabs>
        <w:ind w:left="426"/>
        <w:contextualSpacing/>
        <w:jc w:val="both"/>
        <w:rPr>
          <w:rFonts w:ascii="Tahoma" w:hAnsi="Tahoma" w:cs="Tahoma"/>
          <w:sz w:val="22"/>
          <w:szCs w:val="22"/>
        </w:rPr>
      </w:pPr>
      <w:r w:rsidRPr="008572C5">
        <w:rPr>
          <w:rFonts w:ascii="Tahoma" w:hAnsi="Tahoma" w:cs="Tahoma"/>
          <w:sz w:val="22"/>
          <w:szCs w:val="22"/>
        </w:rPr>
        <w:t>Размеры процентных ставок определяются Тарифами Банка. В случае внесения изменений в Тарифы Банка Банк информирует Клиента путем размещения информации об изменениях на Официальном сайте Банка и (или) в подразделениях Банка, и (или) через каналы дистанционного банковского обслуживания Интернет-банк «АТБ-Онлайн»/ Мобильный банк «АТБ-Мобайл»</w:t>
      </w:r>
      <w:r>
        <w:rPr>
          <w:rFonts w:ascii="Tahoma" w:hAnsi="Tahoma" w:cs="Tahoma"/>
          <w:sz w:val="22"/>
          <w:szCs w:val="22"/>
        </w:rPr>
        <w:t xml:space="preserve"> /</w:t>
      </w:r>
      <w:r>
        <w:t>«</w:t>
      </w:r>
      <w:r w:rsidRPr="00A707EB">
        <w:rPr>
          <w:rFonts w:ascii="Tahoma" w:hAnsi="Tahoma" w:cs="Tahoma"/>
        </w:rPr>
        <w:t>АТБ банк»</w:t>
      </w:r>
      <w:r w:rsidRPr="008572C5">
        <w:rPr>
          <w:rFonts w:ascii="Tahoma" w:hAnsi="Tahoma" w:cs="Tahoma"/>
          <w:sz w:val="22"/>
          <w:szCs w:val="22"/>
        </w:rPr>
        <w:t xml:space="preserve"> не менее чем за 3 рабочих дня до даты вступления изменений в силу.</w:t>
      </w:r>
    </w:p>
    <w:p w14:paraId="5D8781A0" w14:textId="77777777" w:rsidR="00FE537C" w:rsidRDefault="00FE537C" w:rsidP="00FE537C">
      <w:pPr>
        <w:tabs>
          <w:tab w:val="left" w:pos="709"/>
        </w:tabs>
        <w:ind w:left="426"/>
        <w:contextualSpacing/>
        <w:jc w:val="both"/>
        <w:rPr>
          <w:rFonts w:ascii="Tahoma" w:hAnsi="Tahoma" w:cs="Tahoma"/>
          <w:sz w:val="22"/>
          <w:szCs w:val="22"/>
        </w:rPr>
      </w:pPr>
    </w:p>
    <w:p w14:paraId="3284C558" w14:textId="77777777" w:rsidR="00FE537C" w:rsidRDefault="00FE537C" w:rsidP="00FE537C">
      <w:pPr>
        <w:tabs>
          <w:tab w:val="left" w:pos="709"/>
        </w:tabs>
        <w:ind w:left="426"/>
        <w:contextualSpacing/>
        <w:jc w:val="both"/>
        <w:rPr>
          <w:rFonts w:ascii="Tahoma" w:hAnsi="Tahoma" w:cs="Tahoma"/>
          <w:sz w:val="22"/>
          <w:szCs w:val="22"/>
        </w:rPr>
      </w:pPr>
    </w:p>
    <w:p w14:paraId="2A93A23A" w14:textId="4BE72101" w:rsidR="00FE537C" w:rsidRPr="00FE537C" w:rsidRDefault="000B3718" w:rsidP="000B3718">
      <w:pPr>
        <w:pStyle w:val="a5"/>
        <w:rPr>
          <w:rFonts w:eastAsia="Calibri"/>
          <w:color w:val="00B050"/>
        </w:rPr>
      </w:pPr>
      <w:r>
        <w:rPr>
          <w:rFonts w:eastAsia="Calibri"/>
        </w:rPr>
        <w:t xml:space="preserve">3.26. </w:t>
      </w:r>
      <w:r w:rsidR="00FE537C" w:rsidRPr="00FE537C">
        <w:rPr>
          <w:rFonts w:eastAsia="Calibri"/>
        </w:rPr>
        <w:t>Условия накопительного счета «АТБ. Счет+» для счетов, открытых с 11.09.2024 (действуют с 01.11.2024</w:t>
      </w:r>
      <w:r w:rsidR="00FE537C" w:rsidRPr="00FE537C">
        <w:rPr>
          <w:rFonts w:eastAsia="Calibri"/>
          <w:color w:val="00B050"/>
        </w:rPr>
        <w:t>):</w:t>
      </w:r>
    </w:p>
    <w:p w14:paraId="7CC35C10"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Валюта счета – рубли Российской Федерации (далее – рубли);</w:t>
      </w:r>
    </w:p>
    <w:p w14:paraId="6DAFDF93"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Срок размещения – не ограничен;</w:t>
      </w:r>
    </w:p>
    <w:p w14:paraId="0F20FDB8"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Минимальный первоначальный взнос – не ограничен;</w:t>
      </w:r>
    </w:p>
    <w:p w14:paraId="7FB2444C"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Пополнение счета – без ограничений;</w:t>
      </w:r>
    </w:p>
    <w:p w14:paraId="74F30A3F"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Расходные операции по счету – без ограничений;</w:t>
      </w:r>
    </w:p>
    <w:p w14:paraId="2ADD0FCB"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Сумма неснижаемого остатка – без ограничений;</w:t>
      </w:r>
    </w:p>
    <w:p w14:paraId="7DB3B0CA"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Максимальная сумма счета – без ограничений;</w:t>
      </w:r>
    </w:p>
    <w:p w14:paraId="7192319C"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 xml:space="preserve">Периодичность выплаты процентов - ежемесячно, исходя из процентной ставки, установленной по счету и суммы </w:t>
      </w:r>
      <w:r>
        <w:rPr>
          <w:rFonts w:ascii="Tahoma" w:eastAsia="Calibri" w:hAnsi="Tahoma" w:cs="Tahoma"/>
          <w:bCs/>
          <w:sz w:val="22"/>
          <w:szCs w:val="22"/>
          <w:lang w:eastAsia="en-US"/>
        </w:rPr>
        <w:t>Ежедневного</w:t>
      </w:r>
      <w:r w:rsidRPr="008572C5">
        <w:rPr>
          <w:rFonts w:ascii="Tahoma" w:eastAsia="Calibri" w:hAnsi="Tahoma" w:cs="Tahoma"/>
          <w:bCs/>
          <w:sz w:val="22"/>
          <w:szCs w:val="22"/>
          <w:lang w:eastAsia="en-US"/>
        </w:rPr>
        <w:t xml:space="preserve"> остатка </w:t>
      </w:r>
      <w:r>
        <w:rPr>
          <w:rFonts w:ascii="Tahoma" w:eastAsia="Calibri" w:hAnsi="Tahoma" w:cs="Tahoma"/>
          <w:bCs/>
          <w:sz w:val="22"/>
          <w:szCs w:val="22"/>
          <w:lang w:eastAsia="en-US"/>
        </w:rPr>
        <w:t>по счету</w:t>
      </w:r>
      <w:r w:rsidRPr="008572C5">
        <w:rPr>
          <w:rFonts w:ascii="Tahoma" w:eastAsia="Calibri" w:hAnsi="Tahoma" w:cs="Tahoma"/>
          <w:bCs/>
          <w:sz w:val="22"/>
          <w:szCs w:val="22"/>
          <w:lang w:eastAsia="en-US"/>
        </w:rPr>
        <w:t>¹, находящ</w:t>
      </w:r>
      <w:r>
        <w:rPr>
          <w:rFonts w:ascii="Tahoma" w:eastAsia="Calibri" w:hAnsi="Tahoma" w:cs="Tahoma"/>
          <w:bCs/>
          <w:sz w:val="22"/>
          <w:szCs w:val="22"/>
          <w:lang w:eastAsia="en-US"/>
        </w:rPr>
        <w:t xml:space="preserve">ихся на счете </w:t>
      </w:r>
      <w:r w:rsidRPr="008572C5">
        <w:rPr>
          <w:rFonts w:ascii="Tahoma" w:eastAsia="Calibri" w:hAnsi="Tahoma" w:cs="Tahoma"/>
          <w:bCs/>
          <w:sz w:val="22"/>
          <w:szCs w:val="22"/>
          <w:lang w:eastAsia="en-US"/>
        </w:rPr>
        <w:t>в течение Периода²;</w:t>
      </w:r>
    </w:p>
    <w:p w14:paraId="1086342C"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 xml:space="preserve">Способ выплаты процентов - </w:t>
      </w:r>
      <w:r w:rsidRPr="008572C5">
        <w:rPr>
          <w:rFonts w:ascii="Tahoma" w:eastAsia="Calibri" w:hAnsi="Tahoma" w:cs="Tahoma"/>
          <w:sz w:val="22"/>
          <w:szCs w:val="22"/>
          <w:lang w:eastAsia="en-US"/>
        </w:rPr>
        <w:t>проценты по Счету причисляются к остатку денежных средств на счете ежемесячно</w:t>
      </w:r>
      <w:r>
        <w:rPr>
          <w:rFonts w:ascii="Tahoma" w:eastAsia="Calibri" w:hAnsi="Tahoma" w:cs="Tahoma"/>
          <w:sz w:val="22"/>
          <w:szCs w:val="22"/>
          <w:lang w:eastAsia="en-US"/>
        </w:rPr>
        <w:t>;</w:t>
      </w:r>
    </w:p>
    <w:p w14:paraId="078C3143" w14:textId="77777777" w:rsidR="00FE537C" w:rsidRPr="008572C5" w:rsidRDefault="00FE537C" w:rsidP="00FE537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Открытие счета и управлением счетом в отделениях Банка и через дистанционные каналы банковского обслуживания Интернет-банк «АТБ-Онлайн»/ Мобильный банк «АТБ-Мобайл»</w:t>
      </w:r>
      <w:r>
        <w:rPr>
          <w:rFonts w:ascii="Tahoma" w:eastAsia="Calibri" w:hAnsi="Tahoma" w:cs="Tahoma"/>
          <w:bCs/>
          <w:sz w:val="22"/>
          <w:szCs w:val="22"/>
          <w:lang w:eastAsia="en-US"/>
        </w:rPr>
        <w:t>/</w:t>
      </w:r>
      <w:r>
        <w:t>«</w:t>
      </w:r>
      <w:r w:rsidRPr="00A707EB">
        <w:rPr>
          <w:rFonts w:ascii="Tahoma" w:hAnsi="Tahoma" w:cs="Tahoma"/>
        </w:rPr>
        <w:t>АТБ банк»</w:t>
      </w:r>
      <w:r w:rsidRPr="008572C5">
        <w:rPr>
          <w:rFonts w:ascii="Tahoma" w:eastAsia="Calibri" w:hAnsi="Tahoma" w:cs="Tahoma"/>
          <w:bCs/>
          <w:sz w:val="22"/>
          <w:szCs w:val="22"/>
          <w:lang w:eastAsia="en-U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4"/>
        <w:gridCol w:w="4822"/>
        <w:gridCol w:w="4641"/>
      </w:tblGrid>
      <w:tr w:rsidR="00FE537C" w:rsidRPr="00B075E5" w14:paraId="09B3B8E5" w14:textId="77777777" w:rsidTr="003D2438">
        <w:trPr>
          <w:trHeight w:val="420"/>
        </w:trPr>
        <w:tc>
          <w:tcPr>
            <w:tcW w:w="1872" w:type="pct"/>
            <w:vMerge w:val="restart"/>
            <w:tcBorders>
              <w:top w:val="single" w:sz="4" w:space="0" w:color="auto"/>
              <w:left w:val="single" w:sz="4" w:space="0" w:color="auto"/>
              <w:right w:val="single" w:sz="4" w:space="0" w:color="auto"/>
            </w:tcBorders>
            <w:vAlign w:val="center"/>
            <w:hideMark/>
          </w:tcPr>
          <w:p w14:paraId="284A9070" w14:textId="77777777" w:rsidR="00FE537C" w:rsidRPr="00B075E5" w:rsidRDefault="00FE537C" w:rsidP="003D2438">
            <w:pPr>
              <w:tabs>
                <w:tab w:val="left" w:pos="284"/>
                <w:tab w:val="left" w:pos="426"/>
              </w:tabs>
              <w:jc w:val="center"/>
              <w:textAlignment w:val="top"/>
              <w:rPr>
                <w:rFonts w:ascii="Tahoma" w:hAnsi="Tahoma" w:cs="Tahoma"/>
                <w:bCs/>
                <w:iCs/>
                <w:sz w:val="22"/>
                <w:szCs w:val="22"/>
              </w:rPr>
            </w:pPr>
            <w:r w:rsidRPr="00B075E5">
              <w:rPr>
                <w:rFonts w:ascii="Tahoma" w:hAnsi="Tahoma" w:cs="Tahoma"/>
                <w:bCs/>
                <w:iCs/>
                <w:sz w:val="22"/>
                <w:szCs w:val="22"/>
              </w:rPr>
              <w:t xml:space="preserve">Условия начисления процентов </w:t>
            </w:r>
          </w:p>
        </w:tc>
        <w:tc>
          <w:tcPr>
            <w:tcW w:w="3128" w:type="pct"/>
            <w:gridSpan w:val="2"/>
            <w:tcBorders>
              <w:top w:val="single" w:sz="4" w:space="0" w:color="auto"/>
              <w:left w:val="single" w:sz="4" w:space="0" w:color="auto"/>
              <w:right w:val="single" w:sz="4" w:space="0" w:color="auto"/>
            </w:tcBorders>
            <w:vAlign w:val="center"/>
            <w:hideMark/>
          </w:tcPr>
          <w:p w14:paraId="4F93DBE6" w14:textId="77777777" w:rsidR="00FE537C" w:rsidRPr="00EE53F4" w:rsidRDefault="00FE537C" w:rsidP="003D2438">
            <w:pPr>
              <w:jc w:val="center"/>
              <w:rPr>
                <w:rFonts w:ascii="Tahoma" w:hAnsi="Tahoma" w:cs="Tahoma"/>
                <w:sz w:val="22"/>
                <w:szCs w:val="22"/>
              </w:rPr>
            </w:pPr>
            <w:r w:rsidRPr="00EE53F4">
              <w:rPr>
                <w:rFonts w:ascii="Tahoma" w:hAnsi="Tahoma" w:cs="Tahoma"/>
                <w:sz w:val="22"/>
                <w:szCs w:val="22"/>
              </w:rPr>
              <w:t xml:space="preserve">Процентная ставка в зависимости от размера </w:t>
            </w:r>
            <w:r>
              <w:rPr>
                <w:rFonts w:ascii="Tahoma" w:hAnsi="Tahoma" w:cs="Tahoma"/>
                <w:sz w:val="22"/>
                <w:szCs w:val="22"/>
              </w:rPr>
              <w:t>Ежедневного</w:t>
            </w:r>
            <w:r w:rsidRPr="00EE53F4">
              <w:rPr>
                <w:rFonts w:ascii="Tahoma" w:hAnsi="Tahoma" w:cs="Tahoma"/>
                <w:sz w:val="22"/>
                <w:szCs w:val="22"/>
              </w:rPr>
              <w:t xml:space="preserve"> остатка по Счету</w:t>
            </w:r>
            <w:r w:rsidRPr="00EE53F4">
              <w:rPr>
                <w:rFonts w:ascii="Tahoma" w:hAnsi="Tahoma" w:cs="Tahoma"/>
                <w:sz w:val="22"/>
                <w:szCs w:val="22"/>
                <w:vertAlign w:val="superscript"/>
              </w:rPr>
              <w:t>1</w:t>
            </w:r>
            <w:r w:rsidRPr="00EE53F4">
              <w:rPr>
                <w:rFonts w:ascii="Tahoma" w:hAnsi="Tahoma" w:cs="Tahoma"/>
                <w:sz w:val="22"/>
                <w:szCs w:val="22"/>
              </w:rPr>
              <w:t xml:space="preserve">, </w:t>
            </w:r>
          </w:p>
          <w:p w14:paraId="7667DDC5" w14:textId="77777777" w:rsidR="00FE537C" w:rsidRPr="00B075E5" w:rsidRDefault="00FE537C" w:rsidP="003D2438">
            <w:pPr>
              <w:jc w:val="center"/>
              <w:rPr>
                <w:rFonts w:ascii="Tahoma" w:hAnsi="Tahoma" w:cs="Tahoma"/>
                <w:sz w:val="22"/>
                <w:szCs w:val="22"/>
              </w:rPr>
            </w:pPr>
            <w:r w:rsidRPr="00EE53F4">
              <w:rPr>
                <w:rFonts w:ascii="Tahoma" w:hAnsi="Tahoma" w:cs="Tahoma"/>
                <w:sz w:val="22"/>
                <w:szCs w:val="22"/>
              </w:rPr>
              <w:t>% годовых</w:t>
            </w:r>
          </w:p>
        </w:tc>
      </w:tr>
      <w:tr w:rsidR="00FE537C" w:rsidRPr="00B075E5" w14:paraId="0B4808FD" w14:textId="77777777" w:rsidTr="003D2438">
        <w:trPr>
          <w:trHeight w:val="378"/>
        </w:trPr>
        <w:tc>
          <w:tcPr>
            <w:tcW w:w="1872" w:type="pct"/>
            <w:vMerge/>
            <w:tcBorders>
              <w:left w:val="single" w:sz="4" w:space="0" w:color="auto"/>
              <w:right w:val="single" w:sz="4" w:space="0" w:color="auto"/>
            </w:tcBorders>
            <w:vAlign w:val="center"/>
          </w:tcPr>
          <w:p w14:paraId="4EC8D313" w14:textId="77777777" w:rsidR="00FE537C" w:rsidRPr="00B075E5" w:rsidRDefault="00FE537C" w:rsidP="003D2438">
            <w:pPr>
              <w:tabs>
                <w:tab w:val="left" w:pos="284"/>
                <w:tab w:val="left" w:pos="426"/>
              </w:tabs>
              <w:jc w:val="center"/>
              <w:textAlignment w:val="top"/>
              <w:rPr>
                <w:rFonts w:ascii="Tahoma" w:hAnsi="Tahoma" w:cs="Tahoma"/>
                <w:bCs/>
                <w:iCs/>
                <w:sz w:val="22"/>
                <w:szCs w:val="22"/>
              </w:rPr>
            </w:pPr>
          </w:p>
        </w:tc>
        <w:tc>
          <w:tcPr>
            <w:tcW w:w="1594" w:type="pct"/>
            <w:tcBorders>
              <w:top w:val="single" w:sz="4" w:space="0" w:color="auto"/>
              <w:left w:val="single" w:sz="4" w:space="0" w:color="auto"/>
              <w:right w:val="single" w:sz="4" w:space="0" w:color="auto"/>
            </w:tcBorders>
            <w:vAlign w:val="center"/>
          </w:tcPr>
          <w:p w14:paraId="09566E5A" w14:textId="77777777" w:rsidR="00FE537C" w:rsidRPr="00B075E5" w:rsidRDefault="00FE537C" w:rsidP="003D2438">
            <w:pPr>
              <w:jc w:val="center"/>
              <w:rPr>
                <w:rFonts w:ascii="Tahoma" w:hAnsi="Tahoma" w:cs="Tahoma"/>
                <w:sz w:val="22"/>
                <w:szCs w:val="22"/>
              </w:rPr>
            </w:pPr>
            <w:r w:rsidRPr="00B075E5">
              <w:rPr>
                <w:rFonts w:ascii="Tahoma" w:hAnsi="Tahoma" w:cs="Tahoma"/>
                <w:sz w:val="22"/>
                <w:szCs w:val="22"/>
              </w:rPr>
              <w:t>От 0,01 руб. до 3 000 000,00 руб., включительно</w:t>
            </w:r>
          </w:p>
        </w:tc>
        <w:tc>
          <w:tcPr>
            <w:tcW w:w="1534" w:type="pct"/>
            <w:tcBorders>
              <w:top w:val="single" w:sz="4" w:space="0" w:color="auto"/>
              <w:left w:val="single" w:sz="4" w:space="0" w:color="auto"/>
              <w:right w:val="single" w:sz="4" w:space="0" w:color="auto"/>
            </w:tcBorders>
            <w:vAlign w:val="center"/>
          </w:tcPr>
          <w:p w14:paraId="53D41C21" w14:textId="77777777" w:rsidR="00FE537C" w:rsidRPr="00B075E5" w:rsidRDefault="00FE537C" w:rsidP="003D2438">
            <w:pPr>
              <w:widowControl w:val="0"/>
              <w:tabs>
                <w:tab w:val="left" w:pos="426"/>
                <w:tab w:val="left" w:pos="851"/>
                <w:tab w:val="right" w:pos="10206"/>
              </w:tabs>
              <w:adjustRightInd w:val="0"/>
              <w:jc w:val="center"/>
              <w:rPr>
                <w:rFonts w:ascii="Tahoma" w:hAnsi="Tahoma" w:cs="Tahoma"/>
                <w:bCs/>
                <w:iCs/>
                <w:sz w:val="22"/>
                <w:szCs w:val="22"/>
              </w:rPr>
            </w:pPr>
            <w:r w:rsidRPr="00B075E5">
              <w:rPr>
                <w:rFonts w:ascii="Tahoma" w:hAnsi="Tahoma" w:cs="Tahoma"/>
                <w:sz w:val="22"/>
                <w:szCs w:val="22"/>
              </w:rPr>
              <w:t>На сумму превышения 3 000 000,00 руб.</w:t>
            </w:r>
          </w:p>
        </w:tc>
      </w:tr>
      <w:tr w:rsidR="00FE537C" w:rsidRPr="00B075E5" w14:paraId="7D2C9646" w14:textId="77777777" w:rsidTr="003D2438">
        <w:trPr>
          <w:trHeight w:val="70"/>
        </w:trPr>
        <w:tc>
          <w:tcPr>
            <w:tcW w:w="1872" w:type="pct"/>
            <w:tcBorders>
              <w:top w:val="single" w:sz="4" w:space="0" w:color="auto"/>
              <w:left w:val="single" w:sz="4" w:space="0" w:color="auto"/>
              <w:bottom w:val="single" w:sz="4" w:space="0" w:color="auto"/>
              <w:right w:val="single" w:sz="4" w:space="0" w:color="auto"/>
            </w:tcBorders>
            <w:vAlign w:val="center"/>
          </w:tcPr>
          <w:p w14:paraId="658D9412" w14:textId="77777777" w:rsidR="00FE537C" w:rsidRPr="00B075E5" w:rsidRDefault="00FE537C" w:rsidP="003D2438">
            <w:pPr>
              <w:widowControl w:val="0"/>
              <w:tabs>
                <w:tab w:val="left" w:pos="284"/>
                <w:tab w:val="left" w:pos="426"/>
              </w:tabs>
              <w:adjustRightInd w:val="0"/>
              <w:jc w:val="center"/>
              <w:rPr>
                <w:rFonts w:ascii="Tahoma" w:hAnsi="Tahoma" w:cs="Tahoma"/>
                <w:bCs/>
                <w:iCs/>
                <w:sz w:val="22"/>
                <w:szCs w:val="22"/>
              </w:rPr>
            </w:pPr>
            <w:r>
              <w:rPr>
                <w:rFonts w:ascii="Tahoma" w:hAnsi="Tahoma" w:cs="Tahoma"/>
                <w:bCs/>
                <w:iCs/>
                <w:sz w:val="22"/>
                <w:szCs w:val="22"/>
              </w:rPr>
              <w:t>Ежедневный</w:t>
            </w:r>
            <w:r w:rsidRPr="00B075E5">
              <w:rPr>
                <w:rFonts w:ascii="Tahoma" w:hAnsi="Tahoma" w:cs="Tahoma"/>
                <w:bCs/>
                <w:iCs/>
                <w:sz w:val="22"/>
                <w:szCs w:val="22"/>
              </w:rPr>
              <w:t xml:space="preserve"> остаток по счету¹</w:t>
            </w:r>
          </w:p>
        </w:tc>
        <w:tc>
          <w:tcPr>
            <w:tcW w:w="1594" w:type="pct"/>
            <w:tcBorders>
              <w:top w:val="single" w:sz="4" w:space="0" w:color="auto"/>
              <w:left w:val="single" w:sz="4" w:space="0" w:color="auto"/>
              <w:bottom w:val="single" w:sz="4" w:space="0" w:color="auto"/>
              <w:right w:val="single" w:sz="4" w:space="0" w:color="auto"/>
            </w:tcBorders>
            <w:vAlign w:val="center"/>
          </w:tcPr>
          <w:p w14:paraId="03765F4B" w14:textId="77777777" w:rsidR="00FE537C" w:rsidRPr="00B075E5" w:rsidRDefault="00FE537C" w:rsidP="003D2438">
            <w:pPr>
              <w:tabs>
                <w:tab w:val="left" w:pos="284"/>
                <w:tab w:val="left" w:pos="426"/>
              </w:tabs>
              <w:jc w:val="center"/>
              <w:textAlignment w:val="top"/>
              <w:rPr>
                <w:rFonts w:ascii="Tahoma" w:hAnsi="Tahoma" w:cs="Tahoma"/>
                <w:bCs/>
                <w:iCs/>
                <w:sz w:val="22"/>
                <w:szCs w:val="22"/>
              </w:rPr>
            </w:pPr>
            <w:r w:rsidRPr="00B075E5">
              <w:rPr>
                <w:rFonts w:ascii="Tahoma" w:hAnsi="Tahoma" w:cs="Tahoma"/>
                <w:bCs/>
                <w:iCs/>
                <w:sz w:val="22"/>
                <w:szCs w:val="22"/>
              </w:rPr>
              <w:t>1</w:t>
            </w:r>
            <w:r>
              <w:rPr>
                <w:rFonts w:ascii="Tahoma" w:hAnsi="Tahoma" w:cs="Tahoma"/>
                <w:bCs/>
                <w:iCs/>
                <w:sz w:val="22"/>
                <w:szCs w:val="22"/>
              </w:rPr>
              <w:t>6</w:t>
            </w:r>
            <w:r w:rsidRPr="00B075E5">
              <w:rPr>
                <w:rFonts w:ascii="Tahoma" w:hAnsi="Tahoma" w:cs="Tahoma"/>
                <w:bCs/>
                <w:iCs/>
                <w:sz w:val="22"/>
                <w:szCs w:val="22"/>
              </w:rPr>
              <w:t>,00</w:t>
            </w:r>
          </w:p>
        </w:tc>
        <w:tc>
          <w:tcPr>
            <w:tcW w:w="1534" w:type="pct"/>
            <w:tcBorders>
              <w:top w:val="single" w:sz="4" w:space="0" w:color="auto"/>
              <w:left w:val="single" w:sz="4" w:space="0" w:color="auto"/>
              <w:bottom w:val="single" w:sz="4" w:space="0" w:color="auto"/>
              <w:right w:val="single" w:sz="4" w:space="0" w:color="auto"/>
            </w:tcBorders>
            <w:vAlign w:val="center"/>
          </w:tcPr>
          <w:p w14:paraId="6F32712C" w14:textId="77777777" w:rsidR="00FE537C" w:rsidRPr="00B075E5" w:rsidRDefault="00FE537C" w:rsidP="003D2438">
            <w:pPr>
              <w:tabs>
                <w:tab w:val="left" w:pos="284"/>
                <w:tab w:val="left" w:pos="426"/>
              </w:tabs>
              <w:jc w:val="center"/>
              <w:textAlignment w:val="top"/>
              <w:rPr>
                <w:rFonts w:ascii="Tahoma" w:hAnsi="Tahoma" w:cs="Tahoma"/>
                <w:bCs/>
                <w:iCs/>
                <w:sz w:val="22"/>
                <w:szCs w:val="22"/>
              </w:rPr>
            </w:pPr>
            <w:r>
              <w:rPr>
                <w:rFonts w:ascii="Tahoma" w:hAnsi="Tahoma" w:cs="Tahoma"/>
                <w:bCs/>
                <w:iCs/>
                <w:sz w:val="22"/>
                <w:szCs w:val="22"/>
              </w:rPr>
              <w:t>10,00</w:t>
            </w:r>
          </w:p>
        </w:tc>
      </w:tr>
      <w:tr w:rsidR="00FE537C" w:rsidRPr="00B075E5" w14:paraId="4D7C7A58" w14:textId="77777777" w:rsidTr="003D2438">
        <w:trPr>
          <w:trHeight w:val="70"/>
        </w:trPr>
        <w:tc>
          <w:tcPr>
            <w:tcW w:w="1872" w:type="pct"/>
            <w:tcBorders>
              <w:top w:val="single" w:sz="4" w:space="0" w:color="auto"/>
              <w:left w:val="single" w:sz="4" w:space="0" w:color="auto"/>
              <w:bottom w:val="single" w:sz="4" w:space="0" w:color="auto"/>
              <w:right w:val="single" w:sz="4" w:space="0" w:color="auto"/>
            </w:tcBorders>
            <w:vAlign w:val="center"/>
          </w:tcPr>
          <w:p w14:paraId="328DEDD9" w14:textId="77777777" w:rsidR="00FE537C" w:rsidRPr="00C115BA" w:rsidRDefault="00FE537C" w:rsidP="003D2438">
            <w:pPr>
              <w:widowControl w:val="0"/>
              <w:tabs>
                <w:tab w:val="left" w:pos="284"/>
                <w:tab w:val="left" w:pos="426"/>
              </w:tabs>
              <w:adjustRightInd w:val="0"/>
              <w:jc w:val="center"/>
              <w:rPr>
                <w:rFonts w:ascii="Tahoma" w:hAnsi="Tahoma" w:cs="Tahoma"/>
                <w:bCs/>
                <w:iCs/>
                <w:sz w:val="22"/>
                <w:szCs w:val="22"/>
              </w:rPr>
            </w:pPr>
            <w:r w:rsidRPr="00463769">
              <w:rPr>
                <w:rFonts w:ascii="Tahoma" w:hAnsi="Tahoma" w:cs="Tahoma"/>
                <w:bCs/>
                <w:iCs/>
                <w:sz w:val="22"/>
                <w:szCs w:val="22"/>
              </w:rPr>
              <w:t>при совершении Расходных операций по Карте</w:t>
            </w:r>
            <w:r w:rsidRPr="00463769">
              <w:rPr>
                <w:rFonts w:ascii="Tahoma" w:hAnsi="Tahoma" w:cs="Tahoma"/>
                <w:bCs/>
                <w:sz w:val="18"/>
                <w:szCs w:val="18"/>
                <w:vertAlign w:val="superscript"/>
              </w:rPr>
              <w:t>3</w:t>
            </w:r>
            <w:r>
              <w:rPr>
                <w:rFonts w:ascii="Tahoma" w:hAnsi="Tahoma" w:cs="Tahoma"/>
                <w:bCs/>
                <w:vertAlign w:val="superscript"/>
              </w:rPr>
              <w:t xml:space="preserve"> </w:t>
            </w:r>
            <w:r>
              <w:rPr>
                <w:rFonts w:ascii="Tahoma" w:hAnsi="Tahoma" w:cs="Tahoma"/>
                <w:bCs/>
                <w:iCs/>
                <w:sz w:val="22"/>
                <w:szCs w:val="22"/>
              </w:rPr>
              <w:t>от 10 000 руб.</w:t>
            </w:r>
          </w:p>
        </w:tc>
        <w:tc>
          <w:tcPr>
            <w:tcW w:w="1594" w:type="pct"/>
            <w:tcBorders>
              <w:top w:val="single" w:sz="4" w:space="0" w:color="auto"/>
              <w:left w:val="single" w:sz="4" w:space="0" w:color="auto"/>
              <w:bottom w:val="single" w:sz="4" w:space="0" w:color="auto"/>
              <w:right w:val="single" w:sz="4" w:space="0" w:color="auto"/>
            </w:tcBorders>
            <w:vAlign w:val="center"/>
          </w:tcPr>
          <w:p w14:paraId="09EA5F66" w14:textId="77777777" w:rsidR="00FE537C" w:rsidRPr="00B075E5" w:rsidRDefault="00FE537C" w:rsidP="003D2438">
            <w:pPr>
              <w:tabs>
                <w:tab w:val="left" w:pos="284"/>
                <w:tab w:val="left" w:pos="426"/>
              </w:tabs>
              <w:jc w:val="center"/>
              <w:textAlignment w:val="top"/>
              <w:rPr>
                <w:rFonts w:ascii="Tahoma" w:hAnsi="Tahoma" w:cs="Tahoma"/>
                <w:bCs/>
                <w:iCs/>
                <w:sz w:val="22"/>
                <w:szCs w:val="22"/>
              </w:rPr>
            </w:pPr>
            <w:r>
              <w:rPr>
                <w:rFonts w:ascii="Tahoma" w:hAnsi="Tahoma" w:cs="Tahoma"/>
                <w:bCs/>
                <w:iCs/>
                <w:sz w:val="22"/>
                <w:szCs w:val="22"/>
              </w:rPr>
              <w:t>18,</w:t>
            </w:r>
            <w:r w:rsidRPr="00B075E5">
              <w:rPr>
                <w:rFonts w:ascii="Tahoma" w:hAnsi="Tahoma" w:cs="Tahoma"/>
                <w:bCs/>
                <w:iCs/>
                <w:sz w:val="22"/>
                <w:szCs w:val="22"/>
              </w:rPr>
              <w:t>00</w:t>
            </w:r>
          </w:p>
        </w:tc>
        <w:tc>
          <w:tcPr>
            <w:tcW w:w="1534" w:type="pct"/>
            <w:tcBorders>
              <w:top w:val="single" w:sz="4" w:space="0" w:color="auto"/>
              <w:left w:val="single" w:sz="4" w:space="0" w:color="auto"/>
              <w:bottom w:val="single" w:sz="4" w:space="0" w:color="auto"/>
              <w:right w:val="single" w:sz="4" w:space="0" w:color="auto"/>
            </w:tcBorders>
            <w:vAlign w:val="center"/>
          </w:tcPr>
          <w:p w14:paraId="7F5A7D0E" w14:textId="77777777" w:rsidR="00FE537C" w:rsidRPr="00B075E5" w:rsidRDefault="00FE537C" w:rsidP="003D2438">
            <w:pPr>
              <w:tabs>
                <w:tab w:val="left" w:pos="284"/>
                <w:tab w:val="left" w:pos="426"/>
              </w:tabs>
              <w:jc w:val="center"/>
              <w:textAlignment w:val="top"/>
              <w:rPr>
                <w:rFonts w:ascii="Tahoma" w:hAnsi="Tahoma" w:cs="Tahoma"/>
                <w:bCs/>
                <w:iCs/>
                <w:sz w:val="22"/>
                <w:szCs w:val="22"/>
              </w:rPr>
            </w:pPr>
            <w:r>
              <w:rPr>
                <w:rFonts w:ascii="Tahoma" w:hAnsi="Tahoma" w:cs="Tahoma"/>
                <w:bCs/>
                <w:iCs/>
                <w:sz w:val="22"/>
                <w:szCs w:val="22"/>
              </w:rPr>
              <w:t>10,00</w:t>
            </w:r>
          </w:p>
        </w:tc>
      </w:tr>
    </w:tbl>
    <w:p w14:paraId="3B6E7057" w14:textId="77777777" w:rsidR="00FE537C" w:rsidRPr="00B075E5" w:rsidRDefault="00FE537C" w:rsidP="00FE537C">
      <w:pPr>
        <w:jc w:val="both"/>
        <w:rPr>
          <w:rFonts w:ascii="Tahoma" w:eastAsia="Calibri" w:hAnsi="Tahoma" w:cs="Tahoma"/>
          <w:bCs/>
          <w:sz w:val="22"/>
          <w:szCs w:val="22"/>
          <w:lang w:eastAsia="en-US"/>
        </w:rPr>
      </w:pPr>
    </w:p>
    <w:p w14:paraId="16D88270" w14:textId="77777777" w:rsidR="00FE537C" w:rsidRPr="00463769" w:rsidRDefault="00FE537C" w:rsidP="00FE537C">
      <w:pPr>
        <w:autoSpaceDE w:val="0"/>
        <w:autoSpaceDN w:val="0"/>
        <w:jc w:val="both"/>
        <w:rPr>
          <w:rFonts w:ascii="Tahoma" w:hAnsi="Tahoma" w:cs="Tahoma"/>
          <w:bCs/>
          <w:sz w:val="18"/>
          <w:szCs w:val="18"/>
        </w:rPr>
      </w:pPr>
      <w:r w:rsidRPr="00463769">
        <w:rPr>
          <w:rFonts w:ascii="Tahoma" w:hAnsi="Tahoma" w:cs="Tahoma"/>
          <w:bCs/>
          <w:sz w:val="18"/>
          <w:szCs w:val="18"/>
        </w:rPr>
        <w:t>Периодичность выплаты процентов - ежемесячно, исходя из процентной ставки, установленной по Счету и суммы Ежедневного остатка денежных средств</w:t>
      </w:r>
      <w:r w:rsidRPr="00463769">
        <w:rPr>
          <w:rFonts w:ascii="Tahoma" w:hAnsi="Tahoma" w:cs="Tahoma"/>
          <w:bCs/>
          <w:sz w:val="18"/>
          <w:szCs w:val="18"/>
          <w:vertAlign w:val="superscript"/>
        </w:rPr>
        <w:t xml:space="preserve">1 </w:t>
      </w:r>
      <w:r w:rsidRPr="00463769">
        <w:rPr>
          <w:rFonts w:ascii="Tahoma" w:hAnsi="Tahoma" w:cs="Tahoma"/>
          <w:bCs/>
          <w:sz w:val="18"/>
          <w:szCs w:val="18"/>
        </w:rPr>
        <w:t>для Счетов, находящихся на Счете в течение Периода</w:t>
      </w:r>
      <w:r w:rsidRPr="00463769">
        <w:rPr>
          <w:rFonts w:ascii="Tahoma" w:hAnsi="Tahoma" w:cs="Tahoma"/>
          <w:bCs/>
          <w:sz w:val="18"/>
          <w:szCs w:val="18"/>
          <w:vertAlign w:val="superscript"/>
        </w:rPr>
        <w:t>2</w:t>
      </w:r>
      <w:r w:rsidRPr="00463769">
        <w:rPr>
          <w:rFonts w:ascii="Tahoma" w:hAnsi="Tahoma" w:cs="Tahoma"/>
          <w:bCs/>
          <w:sz w:val="18"/>
          <w:szCs w:val="18"/>
        </w:rPr>
        <w:t>.</w:t>
      </w:r>
    </w:p>
    <w:p w14:paraId="0B10CB72" w14:textId="77777777" w:rsidR="00FE537C" w:rsidRPr="00463769" w:rsidRDefault="00FE537C" w:rsidP="00FE537C">
      <w:pPr>
        <w:autoSpaceDE w:val="0"/>
        <w:autoSpaceDN w:val="0"/>
        <w:jc w:val="both"/>
        <w:rPr>
          <w:rFonts w:ascii="Tahoma" w:hAnsi="Tahoma" w:cs="Tahoma"/>
          <w:sz w:val="18"/>
          <w:szCs w:val="18"/>
        </w:rPr>
      </w:pPr>
      <w:r w:rsidRPr="00463769">
        <w:rPr>
          <w:rFonts w:ascii="Tahoma" w:hAnsi="Tahoma" w:cs="Tahoma"/>
          <w:bCs/>
          <w:sz w:val="18"/>
          <w:szCs w:val="18"/>
        </w:rPr>
        <w:t xml:space="preserve">Способ выплаты процентов - </w:t>
      </w:r>
      <w:r w:rsidRPr="00463769">
        <w:rPr>
          <w:rFonts w:ascii="Tahoma" w:hAnsi="Tahoma" w:cs="Tahoma"/>
          <w:sz w:val="18"/>
          <w:szCs w:val="18"/>
        </w:rPr>
        <w:t>проценты по Счету причисляются к остатку денежных средств на Счете ежемесячно.</w:t>
      </w:r>
    </w:p>
    <w:p w14:paraId="1E599634" w14:textId="77777777" w:rsidR="00FE537C" w:rsidRPr="00463769" w:rsidRDefault="00FE537C" w:rsidP="00FE537C">
      <w:pPr>
        <w:autoSpaceDE w:val="0"/>
        <w:autoSpaceDN w:val="0"/>
        <w:jc w:val="both"/>
        <w:rPr>
          <w:rFonts w:ascii="Tahoma" w:hAnsi="Tahoma" w:cs="Tahoma"/>
          <w:bCs/>
          <w:sz w:val="18"/>
          <w:szCs w:val="18"/>
        </w:rPr>
      </w:pPr>
    </w:p>
    <w:p w14:paraId="6DE40ECC" w14:textId="77777777" w:rsidR="00FE537C" w:rsidRPr="00D76682" w:rsidRDefault="00FE537C" w:rsidP="00FE537C">
      <w:pPr>
        <w:pStyle w:val="afff0"/>
        <w:jc w:val="both"/>
        <w:rPr>
          <w:rFonts w:ascii="Tahoma" w:hAnsi="Tahoma" w:cs="Tahoma"/>
        </w:rPr>
      </w:pPr>
      <w:r w:rsidRPr="00463769">
        <w:rPr>
          <w:rFonts w:ascii="Tahoma" w:hAnsi="Tahoma" w:cs="Tahoma"/>
          <w:sz w:val="18"/>
          <w:szCs w:val="18"/>
          <w:vertAlign w:val="superscript"/>
        </w:rPr>
        <w:t>1</w:t>
      </w:r>
      <w:r w:rsidRPr="00D76682">
        <w:rPr>
          <w:rFonts w:ascii="Tahoma" w:eastAsia="Times New Roman" w:hAnsi="Tahoma" w:cs="Tahoma"/>
          <w:sz w:val="18"/>
          <w:szCs w:val="18"/>
          <w:lang w:eastAsia="ru-RU"/>
        </w:rPr>
        <w:t>Ежедневный остаток по Счету – это сумма денежных средств, которая ежедневно фиксируется в течение календарного месяца на Счете.</w:t>
      </w:r>
      <w:r w:rsidRPr="00DC6310">
        <w:rPr>
          <w:rFonts w:ascii="Tahoma" w:hAnsi="Tahoma" w:cs="Tahoma"/>
        </w:rPr>
        <w:t xml:space="preserve"> </w:t>
      </w:r>
      <w:r w:rsidRPr="00463769">
        <w:rPr>
          <w:rFonts w:ascii="Tahoma" w:hAnsi="Tahoma" w:cs="Tahoma"/>
          <w:sz w:val="18"/>
          <w:szCs w:val="18"/>
        </w:rPr>
        <w:t xml:space="preserve"> </w:t>
      </w:r>
    </w:p>
    <w:p w14:paraId="61189401" w14:textId="77777777" w:rsidR="00FE537C" w:rsidRPr="00463769" w:rsidRDefault="00FE537C" w:rsidP="00FE537C">
      <w:pPr>
        <w:autoSpaceDE w:val="0"/>
        <w:autoSpaceDN w:val="0"/>
        <w:jc w:val="both"/>
        <w:rPr>
          <w:rFonts w:ascii="Tahoma" w:hAnsi="Tahoma" w:cs="Tahoma"/>
          <w:sz w:val="18"/>
          <w:szCs w:val="18"/>
        </w:rPr>
      </w:pPr>
      <w:r w:rsidRPr="00463769">
        <w:rPr>
          <w:rFonts w:ascii="Tahoma" w:hAnsi="Tahoma" w:cs="Tahoma"/>
          <w:sz w:val="18"/>
          <w:szCs w:val="18"/>
          <w:vertAlign w:val="superscript"/>
        </w:rPr>
        <w:t>2</w:t>
      </w:r>
      <w:r w:rsidRPr="00463769">
        <w:rPr>
          <w:rFonts w:ascii="Tahoma" w:hAnsi="Tahoma" w:cs="Tahoma"/>
          <w:sz w:val="18"/>
          <w:szCs w:val="18"/>
        </w:rPr>
        <w:t>Период –</w:t>
      </w:r>
      <w:r w:rsidRPr="00463769">
        <w:rPr>
          <w:rFonts w:ascii="Tahoma" w:hAnsi="Tahoma" w:cs="Tahoma"/>
          <w:bCs/>
          <w:sz w:val="18"/>
          <w:szCs w:val="18"/>
        </w:rPr>
        <w:t xml:space="preserve"> </w:t>
      </w:r>
      <w:r w:rsidRPr="00463769">
        <w:rPr>
          <w:rFonts w:ascii="Tahoma" w:hAnsi="Tahoma" w:cs="Tahoma"/>
          <w:sz w:val="18"/>
          <w:szCs w:val="18"/>
        </w:rPr>
        <w:t>временной период, за который Клиенту Банком на Ежедневный остаток средств на Счете начисляются проценты. Первый Период исчисляется со дня, следующего за днем внесения денежных средств на Счет, до последнего календарного дня месяца, в котором открыт Счет. Последующие Периоды исчисляются ежемесячно с 1-го числа каждого календарного месяца до последнего календарного дня месяца. Выплата Банком Клиенту начисленных процентов производится на Счет в последний календарный день месяца.</w:t>
      </w:r>
    </w:p>
    <w:p w14:paraId="06F2D9C9" w14:textId="77777777" w:rsidR="00FE537C" w:rsidRPr="0089607A" w:rsidRDefault="00FE537C" w:rsidP="00FE537C">
      <w:pPr>
        <w:autoSpaceDE w:val="0"/>
        <w:autoSpaceDN w:val="0"/>
        <w:jc w:val="both"/>
        <w:rPr>
          <w:rFonts w:ascii="Tahoma" w:hAnsi="Tahoma" w:cs="Tahoma"/>
          <w:sz w:val="18"/>
          <w:szCs w:val="18"/>
        </w:rPr>
      </w:pPr>
      <w:r w:rsidRPr="00463769">
        <w:rPr>
          <w:rFonts w:ascii="Tahoma" w:hAnsi="Tahoma" w:cs="Tahoma"/>
          <w:bCs/>
          <w:sz w:val="18"/>
          <w:szCs w:val="18"/>
          <w:vertAlign w:val="superscript"/>
        </w:rPr>
        <w:t>3</w:t>
      </w:r>
      <w:r w:rsidRPr="0089607A">
        <w:rPr>
          <w:rFonts w:ascii="Tahoma" w:hAnsi="Tahoma" w:cs="Tahoma"/>
          <w:sz w:val="18"/>
          <w:szCs w:val="18"/>
        </w:rPr>
        <w:t xml:space="preserve">Расходные операции по Карте – совокупная сумма расходных операций по Счету Карты (основной и (или) дополнительной Карте), совершённых в каждом Периоде для учета Расходных операций по Счету Карты4, и списанных со Счета Карты. </w:t>
      </w:r>
    </w:p>
    <w:p w14:paraId="2D99AB51" w14:textId="77777777" w:rsidR="00FE537C" w:rsidRPr="0089607A" w:rsidRDefault="00FE537C" w:rsidP="00FE537C">
      <w:pPr>
        <w:autoSpaceDE w:val="0"/>
        <w:autoSpaceDN w:val="0"/>
        <w:jc w:val="both"/>
        <w:rPr>
          <w:rFonts w:ascii="Tahoma" w:hAnsi="Tahoma" w:cs="Tahoma"/>
          <w:sz w:val="18"/>
          <w:szCs w:val="18"/>
        </w:rPr>
      </w:pPr>
      <w:r w:rsidRPr="0089607A">
        <w:rPr>
          <w:rFonts w:ascii="Tahoma" w:hAnsi="Tahoma" w:cs="Tahoma"/>
          <w:sz w:val="18"/>
          <w:szCs w:val="18"/>
        </w:rPr>
        <w:t>Из расходных операций исключаются следующие операции по Счету Карты:</w:t>
      </w:r>
    </w:p>
    <w:p w14:paraId="7B4E1E36" w14:textId="77777777" w:rsidR="00FE537C" w:rsidRPr="0089607A" w:rsidRDefault="00FE537C" w:rsidP="00FE537C">
      <w:pPr>
        <w:autoSpaceDE w:val="0"/>
        <w:autoSpaceDN w:val="0"/>
        <w:jc w:val="both"/>
        <w:rPr>
          <w:rFonts w:ascii="Tahoma" w:hAnsi="Tahoma" w:cs="Tahoma"/>
          <w:sz w:val="18"/>
          <w:szCs w:val="18"/>
        </w:rPr>
      </w:pPr>
      <w:r w:rsidRPr="0089607A">
        <w:rPr>
          <w:rFonts w:ascii="Tahoma" w:hAnsi="Tahoma" w:cs="Tahoma"/>
          <w:sz w:val="18"/>
          <w:szCs w:val="18"/>
        </w:rPr>
        <w:t>- по снятию наличных денежных средств;</w:t>
      </w:r>
    </w:p>
    <w:p w14:paraId="7EE9EB02" w14:textId="77777777" w:rsidR="00FE537C" w:rsidRPr="0089607A" w:rsidRDefault="00FE537C" w:rsidP="00FE537C">
      <w:pPr>
        <w:autoSpaceDE w:val="0"/>
        <w:autoSpaceDN w:val="0"/>
        <w:jc w:val="both"/>
        <w:rPr>
          <w:rFonts w:ascii="Tahoma" w:hAnsi="Tahoma" w:cs="Tahoma"/>
          <w:sz w:val="18"/>
          <w:szCs w:val="18"/>
        </w:rPr>
      </w:pPr>
      <w:r w:rsidRPr="0089607A">
        <w:rPr>
          <w:rFonts w:ascii="Tahoma" w:hAnsi="Tahoma" w:cs="Tahoma"/>
          <w:sz w:val="18"/>
          <w:szCs w:val="18"/>
        </w:rPr>
        <w:t>- по безналичному переводу средств со счетов платежных (банковских) карт, переводов средств в целях пополнения остатков электронных денежных средств (пополнения электронных кошельков (Yandex-деньги, WebMoney, RBK Money, PayPal и иных электронных кошельков);</w:t>
      </w:r>
    </w:p>
    <w:p w14:paraId="6EE9B36B" w14:textId="77777777" w:rsidR="00FE537C" w:rsidRPr="0089607A" w:rsidRDefault="00FE537C" w:rsidP="00FE537C">
      <w:pPr>
        <w:autoSpaceDE w:val="0"/>
        <w:autoSpaceDN w:val="0"/>
        <w:jc w:val="both"/>
        <w:rPr>
          <w:rFonts w:ascii="Tahoma" w:hAnsi="Tahoma" w:cs="Tahoma"/>
          <w:sz w:val="18"/>
          <w:szCs w:val="18"/>
        </w:rPr>
      </w:pPr>
      <w:r w:rsidRPr="0089607A">
        <w:rPr>
          <w:rFonts w:ascii="Tahoma" w:hAnsi="Tahoma" w:cs="Tahoma"/>
          <w:sz w:val="18"/>
          <w:szCs w:val="18"/>
        </w:rPr>
        <w:t>- по переводу средств с карты на карту;</w:t>
      </w:r>
    </w:p>
    <w:p w14:paraId="16950E47" w14:textId="77777777" w:rsidR="00FE537C" w:rsidRPr="0089607A" w:rsidRDefault="00FE537C" w:rsidP="00FE537C">
      <w:pPr>
        <w:autoSpaceDE w:val="0"/>
        <w:autoSpaceDN w:val="0"/>
        <w:jc w:val="both"/>
        <w:rPr>
          <w:rFonts w:ascii="Tahoma" w:hAnsi="Tahoma" w:cs="Tahoma"/>
          <w:sz w:val="18"/>
          <w:szCs w:val="18"/>
        </w:rPr>
      </w:pPr>
      <w:r w:rsidRPr="0089607A">
        <w:rPr>
          <w:rFonts w:ascii="Tahoma" w:hAnsi="Tahoma" w:cs="Tahoma"/>
          <w:sz w:val="18"/>
          <w:szCs w:val="18"/>
        </w:rPr>
        <w:t>- операций по оплате услуг связи (мобильная связь, IP-телефония, интернет, ТВ), а также по оплате коммунальных услуг;</w:t>
      </w:r>
    </w:p>
    <w:p w14:paraId="6F517DC0" w14:textId="77777777" w:rsidR="00FE537C" w:rsidRPr="0089607A" w:rsidRDefault="00FE537C" w:rsidP="00FE537C">
      <w:pPr>
        <w:autoSpaceDE w:val="0"/>
        <w:autoSpaceDN w:val="0"/>
        <w:jc w:val="both"/>
        <w:rPr>
          <w:rFonts w:ascii="Tahoma" w:hAnsi="Tahoma" w:cs="Tahoma"/>
          <w:sz w:val="18"/>
          <w:szCs w:val="18"/>
        </w:rPr>
      </w:pPr>
      <w:r w:rsidRPr="0089607A">
        <w:rPr>
          <w:rFonts w:ascii="Tahoma" w:hAnsi="Tahoma" w:cs="Tahoma"/>
          <w:sz w:val="18"/>
          <w:szCs w:val="18"/>
        </w:rPr>
        <w:t xml:space="preserve">- </w:t>
      </w:r>
      <w:r w:rsidRPr="009508AC">
        <w:rPr>
          <w:rFonts w:ascii="Tahoma" w:hAnsi="Tahoma" w:cs="Tahoma"/>
          <w:sz w:val="20"/>
          <w:szCs w:val="20"/>
        </w:rPr>
        <w:t>переводы и покупки, совершенные через Систему быстрых платежей (в т.ч. с использованием QR-кодов, при выборе способов оплаты на веб-сайтах и в мобильных приложениях продавцов товаров и поставщиков услуг и т.п.)</w:t>
      </w:r>
      <w:r w:rsidRPr="0089607A">
        <w:rPr>
          <w:rFonts w:ascii="Tahoma" w:hAnsi="Tahoma" w:cs="Tahoma"/>
          <w:sz w:val="18"/>
          <w:szCs w:val="18"/>
        </w:rPr>
        <w:t>;</w:t>
      </w:r>
    </w:p>
    <w:p w14:paraId="2452254A" w14:textId="77777777" w:rsidR="00FE537C" w:rsidRPr="0089607A" w:rsidRDefault="00FE537C" w:rsidP="00FE537C">
      <w:pPr>
        <w:autoSpaceDE w:val="0"/>
        <w:autoSpaceDN w:val="0"/>
        <w:jc w:val="both"/>
        <w:rPr>
          <w:rFonts w:ascii="Tahoma" w:hAnsi="Tahoma" w:cs="Tahoma"/>
          <w:sz w:val="18"/>
          <w:szCs w:val="18"/>
        </w:rPr>
      </w:pPr>
      <w:r w:rsidRPr="0089607A">
        <w:rPr>
          <w:rFonts w:ascii="Tahoma" w:hAnsi="Tahoma" w:cs="Tahoma"/>
          <w:sz w:val="18"/>
          <w:szCs w:val="18"/>
        </w:rPr>
        <w:t>- расходные операции по МСС кодам: 4812, 4813, 4814, 4816, 4829, 4900, 5933, 5968, 6010, 6011, 6012, 6050, 6051, 6211, 6300, 6529, 6530, 6531, 6532, 6533, 6534, 6536, 6537, 6538, 6540, 7299, 7311, 7372, 7399, 7800, 7801, 7802, 7995, 9211, 9222, 9223, 9311, 9399, 9402, 9405. Значение МСС кодов приведено в Приложении №1.</w:t>
      </w:r>
    </w:p>
    <w:p w14:paraId="7E6D4924" w14:textId="77777777" w:rsidR="00FE537C" w:rsidRPr="0089607A" w:rsidRDefault="00FE537C" w:rsidP="00FE537C">
      <w:pPr>
        <w:autoSpaceDE w:val="0"/>
        <w:autoSpaceDN w:val="0"/>
        <w:jc w:val="both"/>
        <w:rPr>
          <w:rFonts w:ascii="Tahoma" w:hAnsi="Tahoma" w:cs="Tahoma"/>
          <w:sz w:val="18"/>
          <w:szCs w:val="18"/>
        </w:rPr>
      </w:pPr>
      <w:r>
        <w:rPr>
          <w:rFonts w:ascii="Tahoma" w:hAnsi="Tahoma" w:cs="Tahoma"/>
          <w:bCs/>
          <w:sz w:val="18"/>
          <w:szCs w:val="18"/>
          <w:vertAlign w:val="superscript"/>
        </w:rPr>
        <w:t>4</w:t>
      </w:r>
      <w:r w:rsidRPr="0089607A">
        <w:rPr>
          <w:rFonts w:ascii="Tahoma" w:hAnsi="Tahoma" w:cs="Tahoma"/>
          <w:sz w:val="18"/>
          <w:szCs w:val="18"/>
        </w:rPr>
        <w:t xml:space="preserve">Период для учета Расходных операций по Счету Карты – постоянно повторяющийся в течение всего срока действия Договора Счета период, постоянно равный 31 календарному дню и постоянно оканчивающийся в день, предшествующий предпоследнему дню каждого календарного месяца. Первый период также состоит из 31 календарного дня и оканчивается в день, предшествующий предпоследнему дню месяца, в котором заключен Договор Счета. </w:t>
      </w:r>
    </w:p>
    <w:p w14:paraId="419BF24C" w14:textId="77777777" w:rsidR="00FE537C" w:rsidRPr="0089607A" w:rsidRDefault="00FE537C" w:rsidP="00FE537C">
      <w:pPr>
        <w:jc w:val="both"/>
        <w:rPr>
          <w:rFonts w:ascii="Tahoma" w:hAnsi="Tahoma" w:cs="Tahoma"/>
          <w:sz w:val="16"/>
          <w:szCs w:val="16"/>
        </w:rPr>
      </w:pPr>
      <w:r w:rsidRPr="0089607A">
        <w:rPr>
          <w:rFonts w:ascii="Tahoma" w:hAnsi="Tahoma" w:cs="Tahoma"/>
          <w:sz w:val="16"/>
          <w:szCs w:val="16"/>
        </w:rPr>
        <w:t>Пример:</w:t>
      </w:r>
    </w:p>
    <w:p w14:paraId="16AB3025" w14:textId="77777777" w:rsidR="00FE537C" w:rsidRPr="0089607A" w:rsidRDefault="00FE537C" w:rsidP="00FE537C">
      <w:pPr>
        <w:pStyle w:val="affe"/>
        <w:numPr>
          <w:ilvl w:val="0"/>
          <w:numId w:val="166"/>
        </w:numPr>
        <w:spacing w:line="259" w:lineRule="auto"/>
        <w:ind w:left="366" w:hanging="366"/>
        <w:contextualSpacing/>
        <w:jc w:val="both"/>
        <w:rPr>
          <w:rFonts w:ascii="Tahoma" w:hAnsi="Tahoma" w:cs="Tahoma"/>
          <w:sz w:val="16"/>
          <w:szCs w:val="16"/>
        </w:rPr>
      </w:pPr>
      <w:r w:rsidRPr="0089607A">
        <w:rPr>
          <w:rFonts w:ascii="Tahoma" w:hAnsi="Tahoma" w:cs="Tahoma"/>
          <w:sz w:val="16"/>
          <w:szCs w:val="16"/>
        </w:rPr>
        <w:t xml:space="preserve">Клиент заключил Договор Счета и внес денежные средства на Счет 05.06.2024. Первый Период (для расчета процентов по Счету): с 06.06.2024 по 30.06.2024 включительно. Первый период для учета Расходных операций по Счету Карты: с 29.05.2024 по 28.06.2024 включительно. </w:t>
      </w:r>
    </w:p>
    <w:p w14:paraId="4062A973" w14:textId="77777777" w:rsidR="00FE537C" w:rsidRPr="0089607A" w:rsidRDefault="00FE537C" w:rsidP="00FE537C">
      <w:pPr>
        <w:pStyle w:val="affe"/>
        <w:numPr>
          <w:ilvl w:val="0"/>
          <w:numId w:val="166"/>
        </w:numPr>
        <w:spacing w:line="259" w:lineRule="auto"/>
        <w:ind w:left="366" w:hanging="366"/>
        <w:contextualSpacing/>
        <w:jc w:val="both"/>
        <w:rPr>
          <w:rFonts w:ascii="Tahoma" w:hAnsi="Tahoma" w:cs="Tahoma"/>
          <w:sz w:val="16"/>
          <w:szCs w:val="16"/>
        </w:rPr>
      </w:pPr>
      <w:r w:rsidRPr="0089607A">
        <w:rPr>
          <w:rFonts w:ascii="Tahoma" w:hAnsi="Tahoma" w:cs="Tahoma"/>
          <w:sz w:val="16"/>
          <w:szCs w:val="16"/>
        </w:rPr>
        <w:t xml:space="preserve">Следующий Период (для расчета процентов по Счету): с 01.07.2024 по 31.07.2024 включительно. Следующий Период для учета Расходных операций по Счету Карты: с 29.06.2024 по 29.07.2024 включительно. </w:t>
      </w:r>
    </w:p>
    <w:p w14:paraId="240B687C" w14:textId="77777777" w:rsidR="00FE537C" w:rsidRPr="0089607A" w:rsidRDefault="00FE537C" w:rsidP="00FE537C">
      <w:pPr>
        <w:autoSpaceDE w:val="0"/>
        <w:autoSpaceDN w:val="0"/>
        <w:jc w:val="both"/>
        <w:rPr>
          <w:rFonts w:ascii="Tahoma" w:hAnsi="Tahoma" w:cs="Tahoma"/>
          <w:sz w:val="16"/>
          <w:szCs w:val="16"/>
        </w:rPr>
      </w:pPr>
      <w:r w:rsidRPr="0089607A">
        <w:rPr>
          <w:rFonts w:ascii="Tahoma" w:hAnsi="Tahoma" w:cs="Tahoma"/>
          <w:sz w:val="16"/>
          <w:szCs w:val="16"/>
        </w:rPr>
        <w:t xml:space="preserve">       Последующие Периоды для учета Расходных операций по Счету Карты: с 30.07.2024 по 29.08.2024   включительно; с 29.08.2024 по 28.09.2024 включительно и так далее.</w:t>
      </w:r>
    </w:p>
    <w:p w14:paraId="64B4305D" w14:textId="77777777" w:rsidR="00FE537C" w:rsidRPr="00463769" w:rsidRDefault="00FE537C" w:rsidP="00FE537C">
      <w:pPr>
        <w:ind w:left="-284" w:firstLine="284"/>
        <w:jc w:val="both"/>
        <w:rPr>
          <w:rFonts w:ascii="Tahoma" w:hAnsi="Tahoma" w:cs="Tahoma"/>
          <w:sz w:val="18"/>
          <w:szCs w:val="18"/>
        </w:rPr>
      </w:pPr>
    </w:p>
    <w:p w14:paraId="6FB05F63" w14:textId="77777777" w:rsidR="00FE537C" w:rsidRPr="00337FDB" w:rsidRDefault="00FE537C" w:rsidP="00FE537C">
      <w:pPr>
        <w:ind w:left="-284" w:firstLine="284"/>
        <w:jc w:val="both"/>
        <w:rPr>
          <w:rFonts w:ascii="Tahoma" w:hAnsi="Tahoma" w:cs="Tahoma"/>
          <w:sz w:val="18"/>
          <w:szCs w:val="18"/>
        </w:rPr>
      </w:pPr>
    </w:p>
    <w:p w14:paraId="5C483F9D" w14:textId="77777777" w:rsidR="00FE537C" w:rsidRDefault="00FE537C" w:rsidP="00FE537C">
      <w:pPr>
        <w:tabs>
          <w:tab w:val="left" w:pos="709"/>
        </w:tabs>
        <w:ind w:left="426"/>
        <w:contextualSpacing/>
        <w:jc w:val="both"/>
        <w:rPr>
          <w:rFonts w:ascii="Tahoma" w:hAnsi="Tahoma" w:cs="Tahoma"/>
          <w:sz w:val="22"/>
          <w:szCs w:val="22"/>
        </w:rPr>
      </w:pPr>
      <w:r w:rsidRPr="008572C5">
        <w:rPr>
          <w:rFonts w:ascii="Tahoma" w:hAnsi="Tahoma" w:cs="Tahoma"/>
          <w:sz w:val="22"/>
          <w:szCs w:val="22"/>
        </w:rPr>
        <w:t>Размеры процентных ставок определяются Тарифами Банка. В случае внесения изменений в Тарифы Банка Банк информирует Клиента путем размещения информации об изменениях на Официальном сайте Банка и (или) в подразделениях Банка, и (или) через каналы дистанционного банковского обслуживания Интернет-банк «АТБ-Онлайн»/ Мобильный банк «АТБ-Мобайл»</w:t>
      </w:r>
      <w:r>
        <w:rPr>
          <w:rFonts w:ascii="Tahoma" w:hAnsi="Tahoma" w:cs="Tahoma"/>
          <w:sz w:val="22"/>
          <w:szCs w:val="22"/>
        </w:rPr>
        <w:t xml:space="preserve"> /</w:t>
      </w:r>
      <w:r>
        <w:t>«</w:t>
      </w:r>
      <w:r w:rsidRPr="00A707EB">
        <w:rPr>
          <w:rFonts w:ascii="Tahoma" w:hAnsi="Tahoma" w:cs="Tahoma"/>
        </w:rPr>
        <w:t>АТБ банк»</w:t>
      </w:r>
      <w:r w:rsidRPr="008572C5">
        <w:rPr>
          <w:rFonts w:ascii="Tahoma" w:hAnsi="Tahoma" w:cs="Tahoma"/>
          <w:sz w:val="22"/>
          <w:szCs w:val="22"/>
        </w:rPr>
        <w:t xml:space="preserve"> не менее чем за 3 рабочих дня до даты вступления изменений в силу.</w:t>
      </w:r>
    </w:p>
    <w:p w14:paraId="5ABD648B" w14:textId="77777777" w:rsidR="00FE537C" w:rsidRDefault="00FE537C" w:rsidP="00FE537C">
      <w:pPr>
        <w:jc w:val="right"/>
        <w:rPr>
          <w:rFonts w:ascii="Tahoma" w:hAnsi="Tahoma" w:cs="Tahoma"/>
        </w:rPr>
      </w:pPr>
      <w:r>
        <w:rPr>
          <w:rFonts w:ascii="Tahoma" w:hAnsi="Tahoma" w:cs="Tahoma"/>
        </w:rPr>
        <w:t>Приложение №1</w:t>
      </w:r>
    </w:p>
    <w:p w14:paraId="2EC701AA" w14:textId="77777777" w:rsidR="00FE537C" w:rsidRDefault="00FE537C" w:rsidP="00FE537C">
      <w:pPr>
        <w:jc w:val="center"/>
        <w:rPr>
          <w:rFonts w:ascii="Tahoma" w:hAnsi="Tahoma" w:cs="Tahoma"/>
        </w:rPr>
      </w:pPr>
      <w:r w:rsidRPr="004E0A28">
        <w:rPr>
          <w:rFonts w:ascii="Tahoma" w:hAnsi="Tahoma" w:cs="Tahoma"/>
        </w:rPr>
        <w:t xml:space="preserve">МСС-коды операций, </w:t>
      </w:r>
      <w:r>
        <w:rPr>
          <w:rFonts w:ascii="Tahoma" w:hAnsi="Tahoma" w:cs="Tahoma"/>
        </w:rPr>
        <w:t>которые</w:t>
      </w:r>
      <w:r w:rsidRPr="004E0A28">
        <w:rPr>
          <w:rFonts w:ascii="Tahoma" w:hAnsi="Tahoma" w:cs="Tahoma"/>
        </w:rPr>
        <w:t xml:space="preserve"> не</w:t>
      </w:r>
      <w:r>
        <w:rPr>
          <w:rFonts w:ascii="Tahoma" w:hAnsi="Tahoma" w:cs="Tahoma"/>
        </w:rPr>
        <w:t xml:space="preserve"> </w:t>
      </w:r>
      <w:r w:rsidRPr="004E0A28">
        <w:rPr>
          <w:rFonts w:ascii="Tahoma" w:hAnsi="Tahoma" w:cs="Tahoma"/>
        </w:rPr>
        <w:t xml:space="preserve">учитываются для расчета </w:t>
      </w:r>
      <w:r>
        <w:rPr>
          <w:rFonts w:ascii="Tahoma" w:hAnsi="Tahoma" w:cs="Tahoma"/>
        </w:rPr>
        <w:t>процентной ставки по Накопительному счету</w:t>
      </w:r>
      <w:r w:rsidRPr="004E0A28">
        <w:rPr>
          <w:rFonts w:ascii="Tahoma" w:hAnsi="Tahoma" w:cs="Tahoma"/>
        </w:rPr>
        <w:t>:</w:t>
      </w:r>
    </w:p>
    <w:tbl>
      <w:tblPr>
        <w:tblW w:w="12474" w:type="dxa"/>
        <w:tblInd w:w="-5" w:type="dxa"/>
        <w:tblCellMar>
          <w:top w:w="58" w:type="dxa"/>
          <w:left w:w="106" w:type="dxa"/>
          <w:right w:w="88" w:type="dxa"/>
        </w:tblCellMar>
        <w:tblLook w:val="04A0" w:firstRow="1" w:lastRow="0" w:firstColumn="1" w:lastColumn="0" w:noHBand="0" w:noVBand="1"/>
      </w:tblPr>
      <w:tblGrid>
        <w:gridCol w:w="9781"/>
        <w:gridCol w:w="2693"/>
      </w:tblGrid>
      <w:tr w:rsidR="00FE537C" w:rsidRPr="004E0A28" w14:paraId="1116A575" w14:textId="77777777" w:rsidTr="003D2438">
        <w:trPr>
          <w:trHeight w:val="206"/>
        </w:trPr>
        <w:tc>
          <w:tcPr>
            <w:tcW w:w="9781" w:type="dxa"/>
            <w:tcBorders>
              <w:top w:val="single" w:sz="4" w:space="0" w:color="000000"/>
              <w:left w:val="single" w:sz="4" w:space="0" w:color="000000"/>
              <w:bottom w:val="single" w:sz="4" w:space="0" w:color="000000"/>
              <w:right w:val="single" w:sz="4" w:space="0" w:color="000000"/>
            </w:tcBorders>
            <w:vAlign w:val="center"/>
          </w:tcPr>
          <w:p w14:paraId="23979014" w14:textId="77777777" w:rsidR="00FE537C" w:rsidRPr="004E0A28" w:rsidRDefault="00FE537C" w:rsidP="003D2438">
            <w:pPr>
              <w:jc w:val="center"/>
              <w:rPr>
                <w:rFonts w:ascii="Tahoma" w:hAnsi="Tahoma" w:cs="Tahoma"/>
                <w:b/>
                <w:sz w:val="20"/>
                <w:szCs w:val="20"/>
              </w:rPr>
            </w:pPr>
            <w:r w:rsidRPr="004E0A28">
              <w:rPr>
                <w:rFonts w:ascii="Tahoma" w:eastAsiaTheme="minorHAnsi" w:hAnsi="Tahoma" w:cs="Tahoma"/>
                <w:b/>
                <w:sz w:val="20"/>
                <w:szCs w:val="20"/>
              </w:rPr>
              <w:t>Категория операций</w:t>
            </w:r>
          </w:p>
        </w:tc>
        <w:tc>
          <w:tcPr>
            <w:tcW w:w="2693" w:type="dxa"/>
            <w:tcBorders>
              <w:top w:val="single" w:sz="4" w:space="0" w:color="000000"/>
              <w:left w:val="single" w:sz="4" w:space="0" w:color="000000"/>
              <w:bottom w:val="single" w:sz="4" w:space="0" w:color="000000"/>
              <w:right w:val="single" w:sz="4" w:space="0" w:color="000000"/>
            </w:tcBorders>
            <w:vAlign w:val="center"/>
          </w:tcPr>
          <w:p w14:paraId="087F2763" w14:textId="77777777" w:rsidR="00FE537C" w:rsidRPr="004E0A28" w:rsidRDefault="00FE537C" w:rsidP="003D2438">
            <w:pPr>
              <w:jc w:val="center"/>
              <w:rPr>
                <w:rFonts w:ascii="Tahoma" w:hAnsi="Tahoma" w:cs="Tahoma"/>
                <w:b/>
                <w:sz w:val="20"/>
                <w:szCs w:val="20"/>
              </w:rPr>
            </w:pPr>
            <w:r w:rsidRPr="004E0A28">
              <w:rPr>
                <w:rFonts w:ascii="Tahoma" w:eastAsiaTheme="minorHAnsi" w:hAnsi="Tahoma" w:cs="Tahoma"/>
                <w:b/>
                <w:sz w:val="20"/>
                <w:szCs w:val="20"/>
              </w:rPr>
              <w:t>МСС-коды операций</w:t>
            </w:r>
          </w:p>
        </w:tc>
      </w:tr>
      <w:tr w:rsidR="00FE537C" w:rsidRPr="004E0A28" w14:paraId="5A1B6141" w14:textId="77777777" w:rsidTr="003D2438">
        <w:trPr>
          <w:trHeight w:val="600"/>
        </w:trPr>
        <w:tc>
          <w:tcPr>
            <w:tcW w:w="9781" w:type="dxa"/>
            <w:tcBorders>
              <w:top w:val="single" w:sz="4" w:space="0" w:color="000000"/>
              <w:left w:val="single" w:sz="4" w:space="0" w:color="000000"/>
              <w:bottom w:val="single" w:sz="4" w:space="0" w:color="000000"/>
              <w:right w:val="single" w:sz="4" w:space="0" w:color="000000"/>
            </w:tcBorders>
            <w:vAlign w:val="center"/>
          </w:tcPr>
          <w:p w14:paraId="2CD63E97"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Оплата мобильной связи  на сайте МТС, Билайн, Мегафон, телекоммуникационные услуги или оборудование  </w:t>
            </w:r>
          </w:p>
        </w:tc>
        <w:tc>
          <w:tcPr>
            <w:tcW w:w="2693" w:type="dxa"/>
            <w:tcBorders>
              <w:top w:val="single" w:sz="4" w:space="0" w:color="000000"/>
              <w:left w:val="single" w:sz="4" w:space="0" w:color="000000"/>
              <w:bottom w:val="single" w:sz="4" w:space="0" w:color="000000"/>
              <w:right w:val="single" w:sz="4" w:space="0" w:color="000000"/>
            </w:tcBorders>
            <w:vAlign w:val="center"/>
          </w:tcPr>
          <w:p w14:paraId="322BEC77"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4812, 4813, 4814  </w:t>
            </w:r>
          </w:p>
        </w:tc>
      </w:tr>
      <w:tr w:rsidR="00FE537C" w:rsidRPr="004E0A28" w14:paraId="6C255863" w14:textId="77777777" w:rsidTr="003D2438">
        <w:trPr>
          <w:trHeight w:val="601"/>
        </w:trPr>
        <w:tc>
          <w:tcPr>
            <w:tcW w:w="9781" w:type="dxa"/>
            <w:tcBorders>
              <w:top w:val="single" w:sz="4" w:space="0" w:color="000000"/>
              <w:left w:val="single" w:sz="4" w:space="0" w:color="000000"/>
              <w:bottom w:val="single" w:sz="4" w:space="0" w:color="000000"/>
              <w:right w:val="single" w:sz="4" w:space="0" w:color="000000"/>
            </w:tcBorders>
            <w:vAlign w:val="center"/>
          </w:tcPr>
          <w:p w14:paraId="676ED427"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Услуги компьютерных и информационных сетей (интернет-провайдеры, Ростелеком, APPLE Store, ТТК и т</w:t>
            </w:r>
            <w:r>
              <w:rPr>
                <w:rFonts w:ascii="Tahoma" w:eastAsiaTheme="minorHAnsi" w:hAnsi="Tahoma" w:cs="Tahoma"/>
                <w:sz w:val="20"/>
                <w:szCs w:val="20"/>
              </w:rPr>
              <w:t>.</w:t>
            </w:r>
            <w:r w:rsidRPr="004E0A28">
              <w:rPr>
                <w:rFonts w:ascii="Tahoma" w:eastAsiaTheme="minorHAnsi" w:hAnsi="Tahoma" w:cs="Tahoma"/>
                <w:sz w:val="20"/>
                <w:szCs w:val="20"/>
              </w:rPr>
              <w:t>п</w:t>
            </w:r>
            <w:r>
              <w:rPr>
                <w:rFonts w:ascii="Tahoma" w:eastAsiaTheme="minorHAnsi" w:hAnsi="Tahoma" w:cs="Tahoma"/>
                <w:sz w:val="20"/>
                <w:szCs w:val="20"/>
              </w:rPr>
              <w:t>.</w:t>
            </w:r>
            <w:r w:rsidRPr="004E0A28">
              <w:rPr>
                <w:rFonts w:ascii="Tahoma" w:eastAsiaTheme="minorHAnsi" w:hAnsi="Tahoma" w:cs="Tahoma"/>
                <w:sz w:val="20"/>
                <w:szCs w:val="20"/>
              </w:rPr>
              <w:t xml:space="preserve">)  </w:t>
            </w:r>
          </w:p>
        </w:tc>
        <w:tc>
          <w:tcPr>
            <w:tcW w:w="2693" w:type="dxa"/>
            <w:tcBorders>
              <w:top w:val="single" w:sz="4" w:space="0" w:color="000000"/>
              <w:left w:val="single" w:sz="4" w:space="0" w:color="000000"/>
              <w:bottom w:val="single" w:sz="4" w:space="0" w:color="000000"/>
              <w:right w:val="single" w:sz="4" w:space="0" w:color="000000"/>
            </w:tcBorders>
            <w:vAlign w:val="center"/>
          </w:tcPr>
          <w:p w14:paraId="21CDB855"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4816, 7372  </w:t>
            </w:r>
          </w:p>
        </w:tc>
      </w:tr>
      <w:tr w:rsidR="00FE537C" w:rsidRPr="004E0A28" w14:paraId="3C3AC8D8" w14:textId="77777777" w:rsidTr="003D2438">
        <w:trPr>
          <w:trHeight w:val="600"/>
        </w:trPr>
        <w:tc>
          <w:tcPr>
            <w:tcW w:w="9781" w:type="dxa"/>
            <w:tcBorders>
              <w:top w:val="single" w:sz="4" w:space="0" w:color="000000"/>
              <w:left w:val="single" w:sz="4" w:space="0" w:color="000000"/>
              <w:bottom w:val="single" w:sz="4" w:space="0" w:color="000000"/>
              <w:right w:val="single" w:sz="4" w:space="0" w:color="000000"/>
            </w:tcBorders>
            <w:vAlign w:val="center"/>
          </w:tcPr>
          <w:p w14:paraId="6FBCC10D"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Перечисление средств на счета, открытые в финансовых организациях и платежных системах  </w:t>
            </w:r>
          </w:p>
        </w:tc>
        <w:tc>
          <w:tcPr>
            <w:tcW w:w="2693" w:type="dxa"/>
            <w:tcBorders>
              <w:top w:val="single" w:sz="4" w:space="0" w:color="000000"/>
              <w:left w:val="single" w:sz="4" w:space="0" w:color="000000"/>
              <w:bottom w:val="single" w:sz="4" w:space="0" w:color="000000"/>
              <w:right w:val="single" w:sz="4" w:space="0" w:color="000000"/>
            </w:tcBorders>
            <w:vAlign w:val="center"/>
          </w:tcPr>
          <w:p w14:paraId="37470FED"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4829  </w:t>
            </w:r>
          </w:p>
        </w:tc>
      </w:tr>
      <w:tr w:rsidR="00FE537C" w:rsidRPr="004E0A28" w14:paraId="082CFA65" w14:textId="77777777" w:rsidTr="003D2438">
        <w:trPr>
          <w:trHeight w:val="332"/>
        </w:trPr>
        <w:tc>
          <w:tcPr>
            <w:tcW w:w="9781" w:type="dxa"/>
            <w:tcBorders>
              <w:top w:val="single" w:sz="4" w:space="0" w:color="000000"/>
              <w:left w:val="single" w:sz="4" w:space="0" w:color="000000"/>
              <w:bottom w:val="single" w:sz="4" w:space="0" w:color="000000"/>
              <w:right w:val="single" w:sz="4" w:space="0" w:color="000000"/>
            </w:tcBorders>
            <w:vAlign w:val="center"/>
          </w:tcPr>
          <w:p w14:paraId="3637E6D4"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Коммунальные услуги ЖКХ и ЖКУ-электроэнергия, газ,</w:t>
            </w:r>
            <w:r>
              <w:rPr>
                <w:rFonts w:ascii="Tahoma" w:eastAsiaTheme="minorHAnsi" w:hAnsi="Tahoma" w:cs="Tahoma"/>
                <w:sz w:val="20"/>
                <w:szCs w:val="20"/>
              </w:rPr>
              <w:t xml:space="preserve"> </w:t>
            </w:r>
            <w:r w:rsidRPr="004E0A28">
              <w:rPr>
                <w:rFonts w:ascii="Tahoma" w:eastAsiaTheme="minorHAnsi" w:hAnsi="Tahoma" w:cs="Tahoma"/>
                <w:sz w:val="20"/>
                <w:szCs w:val="20"/>
              </w:rPr>
              <w:t>вода,</w:t>
            </w:r>
            <w:r>
              <w:rPr>
                <w:rFonts w:ascii="Tahoma" w:eastAsiaTheme="minorHAnsi" w:hAnsi="Tahoma" w:cs="Tahoma"/>
                <w:sz w:val="20"/>
                <w:szCs w:val="20"/>
              </w:rPr>
              <w:t xml:space="preserve"> </w:t>
            </w:r>
            <w:r w:rsidRPr="004E0A28">
              <w:rPr>
                <w:rFonts w:ascii="Tahoma" w:eastAsiaTheme="minorHAnsi" w:hAnsi="Tahoma" w:cs="Tahoma"/>
                <w:sz w:val="20"/>
                <w:szCs w:val="20"/>
              </w:rPr>
              <w:t xml:space="preserve">канализация  </w:t>
            </w:r>
          </w:p>
        </w:tc>
        <w:tc>
          <w:tcPr>
            <w:tcW w:w="2693" w:type="dxa"/>
            <w:tcBorders>
              <w:top w:val="single" w:sz="4" w:space="0" w:color="000000"/>
              <w:left w:val="single" w:sz="4" w:space="0" w:color="000000"/>
              <w:bottom w:val="single" w:sz="4" w:space="0" w:color="000000"/>
              <w:right w:val="single" w:sz="4" w:space="0" w:color="000000"/>
            </w:tcBorders>
            <w:vAlign w:val="center"/>
          </w:tcPr>
          <w:p w14:paraId="199F1D1F"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4900  </w:t>
            </w:r>
          </w:p>
        </w:tc>
      </w:tr>
      <w:tr w:rsidR="00FE537C" w:rsidRPr="004E0A28" w14:paraId="37435F01" w14:textId="77777777" w:rsidTr="003D2438">
        <w:trPr>
          <w:trHeight w:val="334"/>
        </w:trPr>
        <w:tc>
          <w:tcPr>
            <w:tcW w:w="9781" w:type="dxa"/>
            <w:tcBorders>
              <w:top w:val="single" w:sz="4" w:space="0" w:color="000000"/>
              <w:left w:val="single" w:sz="4" w:space="0" w:color="000000"/>
              <w:bottom w:val="single" w:sz="4" w:space="0" w:color="000000"/>
              <w:right w:val="single" w:sz="4" w:space="0" w:color="000000"/>
            </w:tcBorders>
            <w:vAlign w:val="center"/>
          </w:tcPr>
          <w:p w14:paraId="408E96C9"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Ломбарды  </w:t>
            </w:r>
          </w:p>
        </w:tc>
        <w:tc>
          <w:tcPr>
            <w:tcW w:w="2693" w:type="dxa"/>
            <w:tcBorders>
              <w:top w:val="single" w:sz="4" w:space="0" w:color="000000"/>
              <w:left w:val="single" w:sz="4" w:space="0" w:color="000000"/>
              <w:bottom w:val="single" w:sz="4" w:space="0" w:color="000000"/>
              <w:right w:val="single" w:sz="4" w:space="0" w:color="000000"/>
            </w:tcBorders>
            <w:vAlign w:val="center"/>
          </w:tcPr>
          <w:p w14:paraId="393B694C"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5933  </w:t>
            </w:r>
          </w:p>
        </w:tc>
      </w:tr>
      <w:tr w:rsidR="00FE537C" w:rsidRPr="004E0A28" w14:paraId="007A9686" w14:textId="77777777" w:rsidTr="003D2438">
        <w:trPr>
          <w:trHeight w:val="420"/>
        </w:trPr>
        <w:tc>
          <w:tcPr>
            <w:tcW w:w="9781" w:type="dxa"/>
            <w:tcBorders>
              <w:top w:val="single" w:sz="4" w:space="0" w:color="000000"/>
              <w:left w:val="single" w:sz="4" w:space="0" w:color="000000"/>
              <w:bottom w:val="single" w:sz="4" w:space="0" w:color="000000"/>
              <w:right w:val="single" w:sz="4" w:space="0" w:color="000000"/>
            </w:tcBorders>
            <w:vAlign w:val="center"/>
          </w:tcPr>
          <w:p w14:paraId="2EA06D66"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Получение наличных денежных средств через ПВН финансовых организаций  </w:t>
            </w:r>
          </w:p>
        </w:tc>
        <w:tc>
          <w:tcPr>
            <w:tcW w:w="2693" w:type="dxa"/>
            <w:tcBorders>
              <w:top w:val="single" w:sz="4" w:space="0" w:color="000000"/>
              <w:left w:val="single" w:sz="4" w:space="0" w:color="000000"/>
              <w:bottom w:val="single" w:sz="4" w:space="0" w:color="000000"/>
              <w:right w:val="single" w:sz="4" w:space="0" w:color="000000"/>
            </w:tcBorders>
            <w:vAlign w:val="center"/>
          </w:tcPr>
          <w:p w14:paraId="5B91B932"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6010  </w:t>
            </w:r>
          </w:p>
        </w:tc>
      </w:tr>
      <w:tr w:rsidR="00FE537C" w:rsidRPr="004E0A28" w14:paraId="7D6999E8" w14:textId="77777777" w:rsidTr="003D2438">
        <w:trPr>
          <w:trHeight w:val="598"/>
        </w:trPr>
        <w:tc>
          <w:tcPr>
            <w:tcW w:w="9781" w:type="dxa"/>
            <w:tcBorders>
              <w:top w:val="single" w:sz="4" w:space="0" w:color="000000"/>
              <w:left w:val="single" w:sz="4" w:space="0" w:color="000000"/>
              <w:bottom w:val="single" w:sz="4" w:space="0" w:color="000000"/>
              <w:right w:val="single" w:sz="4" w:space="0" w:color="000000"/>
            </w:tcBorders>
            <w:vAlign w:val="center"/>
          </w:tcPr>
          <w:p w14:paraId="79ED409C"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Получение наличных денежных средств через  банкоматы  финансовых организаций  </w:t>
            </w:r>
          </w:p>
        </w:tc>
        <w:tc>
          <w:tcPr>
            <w:tcW w:w="2693" w:type="dxa"/>
            <w:tcBorders>
              <w:top w:val="single" w:sz="4" w:space="0" w:color="000000"/>
              <w:left w:val="single" w:sz="4" w:space="0" w:color="000000"/>
              <w:bottom w:val="single" w:sz="4" w:space="0" w:color="000000"/>
              <w:right w:val="single" w:sz="4" w:space="0" w:color="000000"/>
            </w:tcBorders>
            <w:vAlign w:val="center"/>
          </w:tcPr>
          <w:p w14:paraId="1DD487C7"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6011  </w:t>
            </w:r>
          </w:p>
        </w:tc>
      </w:tr>
      <w:tr w:rsidR="00FE537C" w:rsidRPr="004E0A28" w14:paraId="6314302F" w14:textId="77777777" w:rsidTr="003D2438">
        <w:trPr>
          <w:trHeight w:val="334"/>
        </w:trPr>
        <w:tc>
          <w:tcPr>
            <w:tcW w:w="9781" w:type="dxa"/>
            <w:tcBorders>
              <w:top w:val="single" w:sz="4" w:space="0" w:color="000000"/>
              <w:left w:val="single" w:sz="4" w:space="0" w:color="000000"/>
              <w:bottom w:val="single" w:sz="4" w:space="0" w:color="000000"/>
              <w:right w:val="single" w:sz="4" w:space="0" w:color="000000"/>
            </w:tcBorders>
            <w:vAlign w:val="center"/>
          </w:tcPr>
          <w:p w14:paraId="57425776"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Услуги финансовых организаций, платежи в их пользу  </w:t>
            </w:r>
          </w:p>
        </w:tc>
        <w:tc>
          <w:tcPr>
            <w:tcW w:w="2693" w:type="dxa"/>
            <w:tcBorders>
              <w:top w:val="single" w:sz="4" w:space="0" w:color="000000"/>
              <w:left w:val="single" w:sz="4" w:space="0" w:color="000000"/>
              <w:bottom w:val="single" w:sz="4" w:space="0" w:color="000000"/>
              <w:right w:val="single" w:sz="4" w:space="0" w:color="000000"/>
            </w:tcBorders>
            <w:vAlign w:val="center"/>
          </w:tcPr>
          <w:p w14:paraId="27221F36"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6012  </w:t>
            </w:r>
          </w:p>
        </w:tc>
      </w:tr>
      <w:tr w:rsidR="00FE537C" w:rsidRPr="004E0A28" w14:paraId="0AFECE55" w14:textId="77777777" w:rsidTr="003D2438">
        <w:trPr>
          <w:trHeight w:val="335"/>
        </w:trPr>
        <w:tc>
          <w:tcPr>
            <w:tcW w:w="9781" w:type="dxa"/>
            <w:tcBorders>
              <w:top w:val="single" w:sz="4" w:space="0" w:color="000000"/>
              <w:left w:val="single" w:sz="4" w:space="0" w:color="000000"/>
              <w:bottom w:val="single" w:sz="4" w:space="0" w:color="000000"/>
              <w:right w:val="single" w:sz="4" w:space="0" w:color="000000"/>
            </w:tcBorders>
            <w:vAlign w:val="center"/>
          </w:tcPr>
          <w:p w14:paraId="1889658D"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Электронные средства платежа (квази-кэш)  </w:t>
            </w:r>
          </w:p>
        </w:tc>
        <w:tc>
          <w:tcPr>
            <w:tcW w:w="2693" w:type="dxa"/>
            <w:tcBorders>
              <w:top w:val="single" w:sz="4" w:space="0" w:color="000000"/>
              <w:left w:val="single" w:sz="4" w:space="0" w:color="000000"/>
              <w:bottom w:val="single" w:sz="4" w:space="0" w:color="000000"/>
              <w:right w:val="single" w:sz="4" w:space="0" w:color="000000"/>
            </w:tcBorders>
            <w:vAlign w:val="center"/>
          </w:tcPr>
          <w:p w14:paraId="6A0989F8"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6050  </w:t>
            </w:r>
          </w:p>
        </w:tc>
      </w:tr>
      <w:tr w:rsidR="00FE537C" w:rsidRPr="004E0A28" w14:paraId="58956EF1" w14:textId="77777777" w:rsidTr="003D2438">
        <w:trPr>
          <w:trHeight w:val="600"/>
        </w:trPr>
        <w:tc>
          <w:tcPr>
            <w:tcW w:w="9781" w:type="dxa"/>
            <w:tcBorders>
              <w:top w:val="single" w:sz="4" w:space="0" w:color="000000"/>
              <w:left w:val="single" w:sz="4" w:space="0" w:color="000000"/>
              <w:bottom w:val="single" w:sz="4" w:space="0" w:color="000000"/>
              <w:right w:val="single" w:sz="4" w:space="0" w:color="000000"/>
            </w:tcBorders>
            <w:vAlign w:val="center"/>
          </w:tcPr>
          <w:p w14:paraId="6C3E412F"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Нефинансовые организации-валютные операции, денежные переводы, дорожные чеки (квази-кэш)  </w:t>
            </w:r>
          </w:p>
        </w:tc>
        <w:tc>
          <w:tcPr>
            <w:tcW w:w="2693" w:type="dxa"/>
            <w:tcBorders>
              <w:top w:val="single" w:sz="4" w:space="0" w:color="000000"/>
              <w:left w:val="single" w:sz="4" w:space="0" w:color="000000"/>
              <w:bottom w:val="single" w:sz="4" w:space="0" w:color="000000"/>
              <w:right w:val="single" w:sz="4" w:space="0" w:color="000000"/>
            </w:tcBorders>
            <w:vAlign w:val="center"/>
          </w:tcPr>
          <w:p w14:paraId="2B578BA8"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6051  </w:t>
            </w:r>
          </w:p>
        </w:tc>
      </w:tr>
      <w:tr w:rsidR="00FE537C" w:rsidRPr="004E0A28" w14:paraId="3B4432FC" w14:textId="77777777" w:rsidTr="003D2438">
        <w:trPr>
          <w:trHeight w:val="334"/>
        </w:trPr>
        <w:tc>
          <w:tcPr>
            <w:tcW w:w="9781" w:type="dxa"/>
            <w:tcBorders>
              <w:top w:val="single" w:sz="4" w:space="0" w:color="000000"/>
              <w:left w:val="single" w:sz="4" w:space="0" w:color="000000"/>
              <w:bottom w:val="single" w:sz="4" w:space="0" w:color="000000"/>
              <w:right w:val="single" w:sz="4" w:space="0" w:color="000000"/>
            </w:tcBorders>
            <w:vAlign w:val="center"/>
          </w:tcPr>
          <w:p w14:paraId="77CDF541"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Услуги брокеров и дилеров ценных бумаг, приобретение ценных бумаг  </w:t>
            </w:r>
          </w:p>
        </w:tc>
        <w:tc>
          <w:tcPr>
            <w:tcW w:w="2693" w:type="dxa"/>
            <w:tcBorders>
              <w:top w:val="single" w:sz="4" w:space="0" w:color="000000"/>
              <w:left w:val="single" w:sz="4" w:space="0" w:color="000000"/>
              <w:bottom w:val="single" w:sz="4" w:space="0" w:color="000000"/>
              <w:right w:val="single" w:sz="4" w:space="0" w:color="000000"/>
            </w:tcBorders>
            <w:vAlign w:val="center"/>
          </w:tcPr>
          <w:p w14:paraId="3346B96C"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6211  </w:t>
            </w:r>
          </w:p>
        </w:tc>
      </w:tr>
      <w:tr w:rsidR="00FE537C" w:rsidRPr="004E0A28" w14:paraId="748BEBF5" w14:textId="77777777" w:rsidTr="003D2438">
        <w:trPr>
          <w:trHeight w:val="417"/>
        </w:trPr>
        <w:tc>
          <w:tcPr>
            <w:tcW w:w="9781" w:type="dxa"/>
            <w:tcBorders>
              <w:top w:val="single" w:sz="4" w:space="0" w:color="000000"/>
              <w:left w:val="single" w:sz="4" w:space="0" w:color="000000"/>
              <w:bottom w:val="single" w:sz="4" w:space="0" w:color="000000"/>
              <w:right w:val="single" w:sz="4" w:space="0" w:color="000000"/>
            </w:tcBorders>
            <w:vAlign w:val="center"/>
          </w:tcPr>
          <w:p w14:paraId="4264C3B7" w14:textId="77777777" w:rsidR="00FE537C" w:rsidRPr="004E0A28" w:rsidRDefault="00FE537C" w:rsidP="003D2438">
            <w:pPr>
              <w:rPr>
                <w:rFonts w:ascii="Tahoma" w:eastAsiaTheme="minorHAnsi" w:hAnsi="Tahoma" w:cs="Tahoma"/>
                <w:sz w:val="20"/>
                <w:szCs w:val="20"/>
              </w:rPr>
            </w:pPr>
            <w:r w:rsidRPr="004E0A28">
              <w:rPr>
                <w:rFonts w:ascii="Tahoma" w:eastAsiaTheme="minorHAnsi" w:hAnsi="Tahoma" w:cs="Tahoma"/>
                <w:sz w:val="20"/>
                <w:szCs w:val="20"/>
              </w:rPr>
              <w:t>Услуги страховых компаний</w:t>
            </w:r>
          </w:p>
        </w:tc>
        <w:tc>
          <w:tcPr>
            <w:tcW w:w="2693" w:type="dxa"/>
            <w:tcBorders>
              <w:top w:val="single" w:sz="4" w:space="0" w:color="000000"/>
              <w:left w:val="single" w:sz="4" w:space="0" w:color="000000"/>
              <w:bottom w:val="single" w:sz="4" w:space="0" w:color="000000"/>
              <w:right w:val="single" w:sz="4" w:space="0" w:color="000000"/>
            </w:tcBorders>
            <w:vAlign w:val="center"/>
          </w:tcPr>
          <w:p w14:paraId="2EB518FA" w14:textId="77777777" w:rsidR="00FE537C" w:rsidRPr="004E0A28" w:rsidRDefault="00FE537C" w:rsidP="003D2438">
            <w:pPr>
              <w:rPr>
                <w:rFonts w:ascii="Tahoma" w:eastAsiaTheme="minorHAnsi" w:hAnsi="Tahoma" w:cs="Tahoma"/>
                <w:sz w:val="20"/>
                <w:szCs w:val="20"/>
              </w:rPr>
            </w:pPr>
            <w:r w:rsidRPr="004E0A28">
              <w:rPr>
                <w:rFonts w:ascii="Tahoma" w:eastAsiaTheme="minorHAnsi" w:hAnsi="Tahoma" w:cs="Tahoma"/>
                <w:sz w:val="20"/>
                <w:szCs w:val="20"/>
              </w:rPr>
              <w:t>6300</w:t>
            </w:r>
          </w:p>
        </w:tc>
      </w:tr>
      <w:tr w:rsidR="00FE537C" w:rsidRPr="004E0A28" w14:paraId="23CF511D" w14:textId="77777777" w:rsidTr="003D2438">
        <w:trPr>
          <w:trHeight w:val="417"/>
        </w:trPr>
        <w:tc>
          <w:tcPr>
            <w:tcW w:w="9781" w:type="dxa"/>
            <w:tcBorders>
              <w:top w:val="single" w:sz="4" w:space="0" w:color="000000"/>
              <w:left w:val="single" w:sz="4" w:space="0" w:color="000000"/>
              <w:bottom w:val="single" w:sz="4" w:space="0" w:color="000000"/>
              <w:right w:val="single" w:sz="4" w:space="0" w:color="000000"/>
            </w:tcBorders>
            <w:vAlign w:val="center"/>
          </w:tcPr>
          <w:p w14:paraId="36E81E99"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Пополнение баланса счета в системе MasterCard</w:t>
            </w:r>
            <w:r>
              <w:rPr>
                <w:rFonts w:ascii="Tahoma" w:eastAsiaTheme="minorHAnsi" w:hAnsi="Tahoma" w:cs="Tahoma"/>
                <w:sz w:val="20"/>
                <w:szCs w:val="20"/>
              </w:rPr>
              <w:t xml:space="preserve"> </w:t>
            </w:r>
            <w:r w:rsidRPr="004E0A28">
              <w:rPr>
                <w:rFonts w:ascii="Tahoma" w:eastAsiaTheme="minorHAnsi" w:hAnsi="Tahoma" w:cs="Tahoma"/>
                <w:sz w:val="20"/>
                <w:szCs w:val="20"/>
              </w:rPr>
              <w:t xml:space="preserve">- для финансовых учреждений  </w:t>
            </w:r>
          </w:p>
        </w:tc>
        <w:tc>
          <w:tcPr>
            <w:tcW w:w="2693" w:type="dxa"/>
            <w:tcBorders>
              <w:top w:val="single" w:sz="4" w:space="0" w:color="000000"/>
              <w:left w:val="single" w:sz="4" w:space="0" w:color="000000"/>
              <w:bottom w:val="single" w:sz="4" w:space="0" w:color="000000"/>
              <w:right w:val="single" w:sz="4" w:space="0" w:color="000000"/>
            </w:tcBorders>
            <w:vAlign w:val="center"/>
          </w:tcPr>
          <w:p w14:paraId="01EAB285"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6529  </w:t>
            </w:r>
          </w:p>
        </w:tc>
      </w:tr>
      <w:tr w:rsidR="00FE537C" w:rsidRPr="004E0A28" w14:paraId="665E0542" w14:textId="77777777" w:rsidTr="003D2438">
        <w:trPr>
          <w:trHeight w:val="334"/>
        </w:trPr>
        <w:tc>
          <w:tcPr>
            <w:tcW w:w="9781" w:type="dxa"/>
            <w:tcBorders>
              <w:top w:val="single" w:sz="4" w:space="0" w:color="000000"/>
              <w:left w:val="single" w:sz="4" w:space="0" w:color="000000"/>
              <w:bottom w:val="single" w:sz="4" w:space="0" w:color="000000"/>
              <w:right w:val="single" w:sz="4" w:space="0" w:color="000000"/>
            </w:tcBorders>
            <w:vAlign w:val="center"/>
          </w:tcPr>
          <w:p w14:paraId="6367933C"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Пополнение баланса счета в системе MasterCard</w:t>
            </w:r>
            <w:r>
              <w:rPr>
                <w:rFonts w:ascii="Tahoma" w:eastAsiaTheme="minorHAnsi" w:hAnsi="Tahoma" w:cs="Tahoma"/>
                <w:sz w:val="20"/>
                <w:szCs w:val="20"/>
              </w:rPr>
              <w:t xml:space="preserve"> </w:t>
            </w:r>
            <w:r w:rsidRPr="004E0A28">
              <w:rPr>
                <w:rFonts w:ascii="Tahoma" w:eastAsiaTheme="minorHAnsi" w:hAnsi="Tahoma" w:cs="Tahoma"/>
                <w:sz w:val="20"/>
                <w:szCs w:val="20"/>
              </w:rPr>
              <w:t xml:space="preserve">- для торговых точек  </w:t>
            </w:r>
          </w:p>
        </w:tc>
        <w:tc>
          <w:tcPr>
            <w:tcW w:w="2693" w:type="dxa"/>
            <w:tcBorders>
              <w:top w:val="single" w:sz="4" w:space="0" w:color="000000"/>
              <w:left w:val="single" w:sz="4" w:space="0" w:color="000000"/>
              <w:bottom w:val="single" w:sz="4" w:space="0" w:color="000000"/>
              <w:right w:val="single" w:sz="4" w:space="0" w:color="000000"/>
            </w:tcBorders>
            <w:vAlign w:val="center"/>
          </w:tcPr>
          <w:p w14:paraId="17886381"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6530  </w:t>
            </w:r>
          </w:p>
        </w:tc>
      </w:tr>
      <w:tr w:rsidR="00FE537C" w:rsidRPr="004E0A28" w14:paraId="52C0F051" w14:textId="77777777" w:rsidTr="003D2438">
        <w:trPr>
          <w:trHeight w:val="332"/>
        </w:trPr>
        <w:tc>
          <w:tcPr>
            <w:tcW w:w="9781" w:type="dxa"/>
            <w:tcBorders>
              <w:top w:val="single" w:sz="4" w:space="0" w:color="000000"/>
              <w:left w:val="single" w:sz="4" w:space="0" w:color="000000"/>
              <w:bottom w:val="single" w:sz="4" w:space="0" w:color="000000"/>
              <w:right w:val="single" w:sz="4" w:space="0" w:color="000000"/>
            </w:tcBorders>
            <w:vAlign w:val="center"/>
          </w:tcPr>
          <w:p w14:paraId="3FFC9410"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Пополнение баланса счета в системе MasterCard</w:t>
            </w:r>
            <w:r>
              <w:rPr>
                <w:rFonts w:ascii="Tahoma" w:eastAsiaTheme="minorHAnsi" w:hAnsi="Tahoma" w:cs="Tahoma"/>
                <w:sz w:val="20"/>
                <w:szCs w:val="20"/>
              </w:rPr>
              <w:t xml:space="preserve"> </w:t>
            </w:r>
            <w:r w:rsidRPr="004E0A28">
              <w:rPr>
                <w:rFonts w:ascii="Tahoma" w:eastAsiaTheme="minorHAnsi" w:hAnsi="Tahoma" w:cs="Tahoma"/>
                <w:sz w:val="20"/>
                <w:szCs w:val="20"/>
              </w:rPr>
              <w:t xml:space="preserve">- перечисление денег  за покупку  </w:t>
            </w:r>
          </w:p>
        </w:tc>
        <w:tc>
          <w:tcPr>
            <w:tcW w:w="2693" w:type="dxa"/>
            <w:tcBorders>
              <w:top w:val="single" w:sz="4" w:space="0" w:color="000000"/>
              <w:left w:val="single" w:sz="4" w:space="0" w:color="000000"/>
              <w:bottom w:val="single" w:sz="4" w:space="0" w:color="000000"/>
              <w:right w:val="single" w:sz="4" w:space="0" w:color="000000"/>
            </w:tcBorders>
            <w:vAlign w:val="center"/>
          </w:tcPr>
          <w:p w14:paraId="57C8F08B"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6531  </w:t>
            </w:r>
          </w:p>
        </w:tc>
      </w:tr>
      <w:tr w:rsidR="00FE537C" w:rsidRPr="004E0A28" w14:paraId="0211F3F3" w14:textId="77777777" w:rsidTr="003D2438">
        <w:trPr>
          <w:trHeight w:val="332"/>
        </w:trPr>
        <w:tc>
          <w:tcPr>
            <w:tcW w:w="9781" w:type="dxa"/>
            <w:tcBorders>
              <w:top w:val="single" w:sz="4" w:space="0" w:color="000000"/>
              <w:left w:val="single" w:sz="4" w:space="0" w:color="000000"/>
              <w:bottom w:val="single" w:sz="4" w:space="0" w:color="000000"/>
              <w:right w:val="single" w:sz="4" w:space="0" w:color="000000"/>
            </w:tcBorders>
            <w:vAlign w:val="center"/>
          </w:tcPr>
          <w:p w14:paraId="4ED03BE0"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Платежные системы-финансовые организации -переводы  </w:t>
            </w:r>
          </w:p>
        </w:tc>
        <w:tc>
          <w:tcPr>
            <w:tcW w:w="2693" w:type="dxa"/>
            <w:tcBorders>
              <w:top w:val="single" w:sz="4" w:space="0" w:color="000000"/>
              <w:left w:val="single" w:sz="4" w:space="0" w:color="000000"/>
              <w:bottom w:val="single" w:sz="4" w:space="0" w:color="000000"/>
              <w:right w:val="single" w:sz="4" w:space="0" w:color="000000"/>
            </w:tcBorders>
            <w:vAlign w:val="center"/>
          </w:tcPr>
          <w:p w14:paraId="2595E229"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6532  </w:t>
            </w:r>
          </w:p>
        </w:tc>
      </w:tr>
      <w:tr w:rsidR="00FE537C" w:rsidRPr="004E0A28" w14:paraId="6370DAB5" w14:textId="77777777" w:rsidTr="003D2438">
        <w:trPr>
          <w:trHeight w:val="337"/>
        </w:trPr>
        <w:tc>
          <w:tcPr>
            <w:tcW w:w="9781" w:type="dxa"/>
            <w:tcBorders>
              <w:top w:val="single" w:sz="4" w:space="0" w:color="000000"/>
              <w:left w:val="single" w:sz="4" w:space="0" w:color="000000"/>
              <w:bottom w:val="single" w:sz="4" w:space="0" w:color="000000"/>
              <w:right w:val="single" w:sz="4" w:space="0" w:color="000000"/>
            </w:tcBorders>
            <w:vAlign w:val="center"/>
          </w:tcPr>
          <w:p w14:paraId="05C85579"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Оплата участнику  системы MasterCard – для торговых точек  </w:t>
            </w:r>
          </w:p>
        </w:tc>
        <w:tc>
          <w:tcPr>
            <w:tcW w:w="2693" w:type="dxa"/>
            <w:tcBorders>
              <w:top w:val="single" w:sz="4" w:space="0" w:color="000000"/>
              <w:left w:val="single" w:sz="4" w:space="0" w:color="000000"/>
              <w:bottom w:val="single" w:sz="4" w:space="0" w:color="000000"/>
              <w:right w:val="single" w:sz="4" w:space="0" w:color="000000"/>
            </w:tcBorders>
            <w:vAlign w:val="center"/>
          </w:tcPr>
          <w:p w14:paraId="7183AC2B"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6533  </w:t>
            </w:r>
          </w:p>
        </w:tc>
      </w:tr>
      <w:tr w:rsidR="00FE537C" w:rsidRPr="004E0A28" w14:paraId="03DCB711" w14:textId="77777777" w:rsidTr="003D2438">
        <w:trPr>
          <w:trHeight w:val="334"/>
        </w:trPr>
        <w:tc>
          <w:tcPr>
            <w:tcW w:w="9781" w:type="dxa"/>
            <w:tcBorders>
              <w:top w:val="single" w:sz="4" w:space="0" w:color="000000"/>
              <w:left w:val="single" w:sz="4" w:space="0" w:color="000000"/>
              <w:bottom w:val="single" w:sz="4" w:space="0" w:color="000000"/>
              <w:right w:val="single" w:sz="4" w:space="0" w:color="000000"/>
            </w:tcBorders>
            <w:vAlign w:val="center"/>
          </w:tcPr>
          <w:p w14:paraId="7B832E70"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Перевод денег в финансовом учреждении (только  MasterCard)  </w:t>
            </w:r>
          </w:p>
        </w:tc>
        <w:tc>
          <w:tcPr>
            <w:tcW w:w="2693" w:type="dxa"/>
            <w:tcBorders>
              <w:top w:val="single" w:sz="4" w:space="0" w:color="000000"/>
              <w:left w:val="single" w:sz="4" w:space="0" w:color="000000"/>
              <w:bottom w:val="single" w:sz="4" w:space="0" w:color="000000"/>
              <w:right w:val="single" w:sz="4" w:space="0" w:color="000000"/>
            </w:tcBorders>
            <w:vAlign w:val="center"/>
          </w:tcPr>
          <w:p w14:paraId="729972F9"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6534  </w:t>
            </w:r>
          </w:p>
        </w:tc>
      </w:tr>
      <w:tr w:rsidR="00FE537C" w:rsidRPr="004E0A28" w14:paraId="7093490E" w14:textId="77777777" w:rsidTr="003D2438">
        <w:trPr>
          <w:trHeight w:val="335"/>
        </w:trPr>
        <w:tc>
          <w:tcPr>
            <w:tcW w:w="9781" w:type="dxa"/>
            <w:tcBorders>
              <w:top w:val="single" w:sz="4" w:space="0" w:color="000000"/>
              <w:left w:val="single" w:sz="4" w:space="0" w:color="000000"/>
              <w:bottom w:val="single" w:sz="4" w:space="0" w:color="000000"/>
              <w:right w:val="single" w:sz="4" w:space="0" w:color="000000"/>
            </w:tcBorders>
            <w:vAlign w:val="center"/>
          </w:tcPr>
          <w:p w14:paraId="4567BD59"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Трансграничный перевод посредством системы MasterCard MoneySend  </w:t>
            </w:r>
          </w:p>
        </w:tc>
        <w:tc>
          <w:tcPr>
            <w:tcW w:w="2693" w:type="dxa"/>
            <w:tcBorders>
              <w:top w:val="single" w:sz="4" w:space="0" w:color="000000"/>
              <w:left w:val="single" w:sz="4" w:space="0" w:color="000000"/>
              <w:bottom w:val="single" w:sz="4" w:space="0" w:color="000000"/>
              <w:right w:val="single" w:sz="4" w:space="0" w:color="000000"/>
            </w:tcBorders>
            <w:vAlign w:val="center"/>
          </w:tcPr>
          <w:p w14:paraId="37D7E5AF"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6536, 6537, 6538  </w:t>
            </w:r>
          </w:p>
        </w:tc>
      </w:tr>
      <w:tr w:rsidR="00FE537C" w:rsidRPr="004E0A28" w14:paraId="3E59CE3E" w14:textId="77777777" w:rsidTr="003D2438">
        <w:trPr>
          <w:trHeight w:val="334"/>
        </w:trPr>
        <w:tc>
          <w:tcPr>
            <w:tcW w:w="9781" w:type="dxa"/>
            <w:tcBorders>
              <w:top w:val="single" w:sz="4" w:space="0" w:color="000000"/>
              <w:left w:val="single" w:sz="4" w:space="0" w:color="000000"/>
              <w:bottom w:val="single" w:sz="4" w:space="0" w:color="000000"/>
              <w:right w:val="single" w:sz="4" w:space="0" w:color="000000"/>
            </w:tcBorders>
            <w:vAlign w:val="center"/>
          </w:tcPr>
          <w:p w14:paraId="5D66A029"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Транзакции по финансированию POI (за исключением MoneySend)  </w:t>
            </w:r>
          </w:p>
        </w:tc>
        <w:tc>
          <w:tcPr>
            <w:tcW w:w="2693" w:type="dxa"/>
            <w:tcBorders>
              <w:top w:val="single" w:sz="4" w:space="0" w:color="000000"/>
              <w:left w:val="single" w:sz="4" w:space="0" w:color="000000"/>
              <w:bottom w:val="single" w:sz="4" w:space="0" w:color="000000"/>
              <w:right w:val="single" w:sz="4" w:space="0" w:color="000000"/>
            </w:tcBorders>
            <w:vAlign w:val="center"/>
          </w:tcPr>
          <w:p w14:paraId="451B2B52"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6540  </w:t>
            </w:r>
          </w:p>
        </w:tc>
      </w:tr>
      <w:tr w:rsidR="00FE537C" w:rsidRPr="004E0A28" w14:paraId="23E3602D" w14:textId="77777777" w:rsidTr="003D2438">
        <w:trPr>
          <w:trHeight w:val="332"/>
        </w:trPr>
        <w:tc>
          <w:tcPr>
            <w:tcW w:w="9781" w:type="dxa"/>
            <w:tcBorders>
              <w:top w:val="single" w:sz="4" w:space="0" w:color="000000"/>
              <w:left w:val="single" w:sz="4" w:space="0" w:color="000000"/>
              <w:bottom w:val="single" w:sz="4" w:space="0" w:color="000000"/>
              <w:right w:val="single" w:sz="4" w:space="0" w:color="000000"/>
            </w:tcBorders>
            <w:vAlign w:val="center"/>
          </w:tcPr>
          <w:p w14:paraId="1649F81E"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Иной сервис - нигде более не классифицированные  </w:t>
            </w:r>
          </w:p>
        </w:tc>
        <w:tc>
          <w:tcPr>
            <w:tcW w:w="2693" w:type="dxa"/>
            <w:tcBorders>
              <w:top w:val="single" w:sz="4" w:space="0" w:color="000000"/>
              <w:left w:val="single" w:sz="4" w:space="0" w:color="000000"/>
              <w:bottom w:val="single" w:sz="4" w:space="0" w:color="000000"/>
              <w:right w:val="single" w:sz="4" w:space="0" w:color="000000"/>
            </w:tcBorders>
            <w:vAlign w:val="center"/>
          </w:tcPr>
          <w:p w14:paraId="2EC05757"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7299  </w:t>
            </w:r>
          </w:p>
        </w:tc>
      </w:tr>
      <w:tr w:rsidR="00FE537C" w:rsidRPr="004E0A28" w14:paraId="1FEF31E9" w14:textId="77777777" w:rsidTr="003D2438">
        <w:trPr>
          <w:trHeight w:val="334"/>
        </w:trPr>
        <w:tc>
          <w:tcPr>
            <w:tcW w:w="9781" w:type="dxa"/>
            <w:tcBorders>
              <w:top w:val="single" w:sz="4" w:space="0" w:color="000000"/>
              <w:left w:val="single" w:sz="4" w:space="0" w:color="000000"/>
              <w:bottom w:val="single" w:sz="4" w:space="0" w:color="000000"/>
              <w:right w:val="single" w:sz="4" w:space="0" w:color="000000"/>
            </w:tcBorders>
            <w:vAlign w:val="center"/>
          </w:tcPr>
          <w:p w14:paraId="64ED6155"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Рекламные услуги  </w:t>
            </w:r>
          </w:p>
        </w:tc>
        <w:tc>
          <w:tcPr>
            <w:tcW w:w="2693" w:type="dxa"/>
            <w:tcBorders>
              <w:top w:val="single" w:sz="4" w:space="0" w:color="000000"/>
              <w:left w:val="single" w:sz="4" w:space="0" w:color="000000"/>
              <w:bottom w:val="single" w:sz="4" w:space="0" w:color="000000"/>
              <w:right w:val="single" w:sz="4" w:space="0" w:color="000000"/>
            </w:tcBorders>
            <w:vAlign w:val="center"/>
          </w:tcPr>
          <w:p w14:paraId="01BBE28F"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5968, 7311  </w:t>
            </w:r>
          </w:p>
        </w:tc>
      </w:tr>
      <w:tr w:rsidR="00FE537C" w:rsidRPr="004E0A28" w14:paraId="53B43B46" w14:textId="77777777" w:rsidTr="003D2438">
        <w:trPr>
          <w:trHeight w:val="334"/>
        </w:trPr>
        <w:tc>
          <w:tcPr>
            <w:tcW w:w="9781" w:type="dxa"/>
            <w:tcBorders>
              <w:top w:val="single" w:sz="4" w:space="0" w:color="000000"/>
              <w:left w:val="single" w:sz="4" w:space="0" w:color="000000"/>
              <w:bottom w:val="single" w:sz="4" w:space="0" w:color="000000"/>
              <w:right w:val="single" w:sz="4" w:space="0" w:color="000000"/>
            </w:tcBorders>
            <w:vAlign w:val="center"/>
          </w:tcPr>
          <w:p w14:paraId="365A86B2"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Бизнес услуги – нигде более не классифицированные  </w:t>
            </w:r>
          </w:p>
        </w:tc>
        <w:tc>
          <w:tcPr>
            <w:tcW w:w="2693" w:type="dxa"/>
            <w:tcBorders>
              <w:top w:val="single" w:sz="4" w:space="0" w:color="000000"/>
              <w:left w:val="single" w:sz="4" w:space="0" w:color="000000"/>
              <w:bottom w:val="single" w:sz="4" w:space="0" w:color="000000"/>
              <w:right w:val="single" w:sz="4" w:space="0" w:color="000000"/>
            </w:tcBorders>
            <w:vAlign w:val="center"/>
          </w:tcPr>
          <w:p w14:paraId="49EE3D58"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7399  </w:t>
            </w:r>
          </w:p>
        </w:tc>
      </w:tr>
      <w:tr w:rsidR="00FE537C" w:rsidRPr="004E0A28" w14:paraId="49B0588E" w14:textId="77777777" w:rsidTr="003D2438">
        <w:trPr>
          <w:trHeight w:val="334"/>
        </w:trPr>
        <w:tc>
          <w:tcPr>
            <w:tcW w:w="9781" w:type="dxa"/>
            <w:tcBorders>
              <w:top w:val="single" w:sz="4" w:space="0" w:color="000000"/>
              <w:left w:val="single" w:sz="4" w:space="0" w:color="000000"/>
              <w:bottom w:val="single" w:sz="4" w:space="0" w:color="000000"/>
              <w:right w:val="single" w:sz="4" w:space="0" w:color="000000"/>
            </w:tcBorders>
            <w:vAlign w:val="center"/>
          </w:tcPr>
          <w:p w14:paraId="4452D242"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Правительственная лотерея  </w:t>
            </w:r>
          </w:p>
        </w:tc>
        <w:tc>
          <w:tcPr>
            <w:tcW w:w="2693" w:type="dxa"/>
            <w:tcBorders>
              <w:top w:val="single" w:sz="4" w:space="0" w:color="000000"/>
              <w:left w:val="single" w:sz="4" w:space="0" w:color="000000"/>
              <w:bottom w:val="single" w:sz="4" w:space="0" w:color="000000"/>
              <w:right w:val="single" w:sz="4" w:space="0" w:color="000000"/>
            </w:tcBorders>
            <w:vAlign w:val="center"/>
          </w:tcPr>
          <w:p w14:paraId="3859020C"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7800  </w:t>
            </w:r>
          </w:p>
        </w:tc>
      </w:tr>
      <w:tr w:rsidR="00FE537C" w:rsidRPr="004E0A28" w14:paraId="6F67FFE9" w14:textId="77777777" w:rsidTr="003D2438">
        <w:trPr>
          <w:trHeight w:val="337"/>
        </w:trPr>
        <w:tc>
          <w:tcPr>
            <w:tcW w:w="9781" w:type="dxa"/>
            <w:tcBorders>
              <w:top w:val="single" w:sz="4" w:space="0" w:color="000000"/>
              <w:left w:val="single" w:sz="4" w:space="0" w:color="000000"/>
              <w:bottom w:val="single" w:sz="4" w:space="0" w:color="000000"/>
              <w:right w:val="single" w:sz="4" w:space="0" w:color="000000"/>
            </w:tcBorders>
            <w:vAlign w:val="center"/>
          </w:tcPr>
          <w:p w14:paraId="0D422365"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Азартные игры в интернете  </w:t>
            </w:r>
          </w:p>
        </w:tc>
        <w:tc>
          <w:tcPr>
            <w:tcW w:w="2693" w:type="dxa"/>
            <w:tcBorders>
              <w:top w:val="single" w:sz="4" w:space="0" w:color="000000"/>
              <w:left w:val="single" w:sz="4" w:space="0" w:color="000000"/>
              <w:bottom w:val="single" w:sz="4" w:space="0" w:color="000000"/>
              <w:right w:val="single" w:sz="4" w:space="0" w:color="000000"/>
            </w:tcBorders>
            <w:vAlign w:val="center"/>
          </w:tcPr>
          <w:p w14:paraId="3D548B12"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7801  </w:t>
            </w:r>
          </w:p>
        </w:tc>
      </w:tr>
      <w:tr w:rsidR="00FE537C" w:rsidRPr="004E0A28" w14:paraId="40732D58" w14:textId="77777777" w:rsidTr="003D2438">
        <w:trPr>
          <w:trHeight w:val="332"/>
        </w:trPr>
        <w:tc>
          <w:tcPr>
            <w:tcW w:w="9781" w:type="dxa"/>
            <w:tcBorders>
              <w:top w:val="single" w:sz="4" w:space="0" w:color="000000"/>
              <w:left w:val="single" w:sz="4" w:space="0" w:color="000000"/>
              <w:bottom w:val="single" w:sz="4" w:space="0" w:color="000000"/>
              <w:right w:val="single" w:sz="4" w:space="0" w:color="000000"/>
            </w:tcBorders>
            <w:vAlign w:val="center"/>
          </w:tcPr>
          <w:p w14:paraId="03D18DB3"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Лошадиные / собачьи бега  </w:t>
            </w:r>
          </w:p>
        </w:tc>
        <w:tc>
          <w:tcPr>
            <w:tcW w:w="2693" w:type="dxa"/>
            <w:tcBorders>
              <w:top w:val="single" w:sz="4" w:space="0" w:color="000000"/>
              <w:left w:val="single" w:sz="4" w:space="0" w:color="000000"/>
              <w:bottom w:val="single" w:sz="4" w:space="0" w:color="000000"/>
              <w:right w:val="single" w:sz="4" w:space="0" w:color="000000"/>
            </w:tcBorders>
            <w:vAlign w:val="center"/>
          </w:tcPr>
          <w:p w14:paraId="1935CFD7"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7802  </w:t>
            </w:r>
          </w:p>
        </w:tc>
      </w:tr>
      <w:tr w:rsidR="00FE537C" w:rsidRPr="004E0A28" w14:paraId="42D9F475" w14:textId="77777777" w:rsidTr="003D2438">
        <w:trPr>
          <w:trHeight w:val="586"/>
        </w:trPr>
        <w:tc>
          <w:tcPr>
            <w:tcW w:w="9781" w:type="dxa"/>
            <w:tcBorders>
              <w:top w:val="single" w:sz="4" w:space="0" w:color="000000"/>
              <w:left w:val="single" w:sz="4" w:space="0" w:color="000000"/>
              <w:bottom w:val="single" w:sz="4" w:space="0" w:color="000000"/>
              <w:right w:val="single" w:sz="4" w:space="0" w:color="000000"/>
            </w:tcBorders>
            <w:vAlign w:val="center"/>
          </w:tcPr>
          <w:p w14:paraId="1D9F5253"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Оплата ставок в играх, пари,  лотерейных билетов, услуг казино и тотализаторов и иной, основанной на риске деятельности  </w:t>
            </w:r>
          </w:p>
        </w:tc>
        <w:tc>
          <w:tcPr>
            <w:tcW w:w="2693" w:type="dxa"/>
            <w:tcBorders>
              <w:top w:val="single" w:sz="4" w:space="0" w:color="000000"/>
              <w:left w:val="single" w:sz="4" w:space="0" w:color="000000"/>
              <w:bottom w:val="single" w:sz="4" w:space="0" w:color="000000"/>
              <w:right w:val="single" w:sz="4" w:space="0" w:color="000000"/>
            </w:tcBorders>
            <w:vAlign w:val="center"/>
          </w:tcPr>
          <w:p w14:paraId="04260D54"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7995  </w:t>
            </w:r>
          </w:p>
        </w:tc>
      </w:tr>
      <w:tr w:rsidR="00FE537C" w:rsidRPr="004E0A28" w14:paraId="1461BC7C" w14:textId="77777777" w:rsidTr="003D2438">
        <w:trPr>
          <w:trHeight w:val="601"/>
        </w:trPr>
        <w:tc>
          <w:tcPr>
            <w:tcW w:w="9781" w:type="dxa"/>
            <w:tcBorders>
              <w:top w:val="single" w:sz="4" w:space="0" w:color="000000"/>
              <w:left w:val="single" w:sz="4" w:space="0" w:color="000000"/>
              <w:bottom w:val="single" w:sz="4" w:space="0" w:color="000000"/>
              <w:right w:val="single" w:sz="4" w:space="0" w:color="000000"/>
            </w:tcBorders>
            <w:vAlign w:val="center"/>
          </w:tcPr>
          <w:p w14:paraId="3E83F509"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Госуслуги </w:t>
            </w:r>
          </w:p>
        </w:tc>
        <w:tc>
          <w:tcPr>
            <w:tcW w:w="2693" w:type="dxa"/>
            <w:tcBorders>
              <w:top w:val="single" w:sz="4" w:space="0" w:color="000000"/>
              <w:left w:val="single" w:sz="4" w:space="0" w:color="000000"/>
              <w:bottom w:val="single" w:sz="4" w:space="0" w:color="000000"/>
              <w:right w:val="single" w:sz="4" w:space="0" w:color="000000"/>
            </w:tcBorders>
            <w:vAlign w:val="center"/>
          </w:tcPr>
          <w:p w14:paraId="675C2D83"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 xml:space="preserve">9211, 9222, 9223, 9311, </w:t>
            </w:r>
          </w:p>
          <w:p w14:paraId="564AF339" w14:textId="77777777" w:rsidR="00FE537C" w:rsidRPr="004E0A28" w:rsidRDefault="00FE537C" w:rsidP="003D2438">
            <w:pPr>
              <w:rPr>
                <w:rFonts w:ascii="Tahoma" w:hAnsi="Tahoma" w:cs="Tahoma"/>
                <w:sz w:val="20"/>
                <w:szCs w:val="20"/>
              </w:rPr>
            </w:pPr>
            <w:r w:rsidRPr="004E0A28">
              <w:rPr>
                <w:rFonts w:ascii="Tahoma" w:eastAsiaTheme="minorHAnsi" w:hAnsi="Tahoma" w:cs="Tahoma"/>
                <w:sz w:val="20"/>
                <w:szCs w:val="20"/>
              </w:rPr>
              <w:t>9399, 9402</w:t>
            </w:r>
            <w:r>
              <w:rPr>
                <w:rFonts w:ascii="Tahoma" w:eastAsiaTheme="minorHAnsi" w:hAnsi="Tahoma" w:cs="Tahoma"/>
                <w:sz w:val="20"/>
                <w:szCs w:val="20"/>
              </w:rPr>
              <w:t>,</w:t>
            </w:r>
            <w:r w:rsidRPr="004E0A28">
              <w:rPr>
                <w:rFonts w:ascii="Tahoma" w:eastAsiaTheme="minorHAnsi" w:hAnsi="Tahoma" w:cs="Tahoma"/>
                <w:sz w:val="20"/>
                <w:szCs w:val="20"/>
              </w:rPr>
              <w:t xml:space="preserve"> 9405 </w:t>
            </w:r>
          </w:p>
        </w:tc>
      </w:tr>
    </w:tbl>
    <w:p w14:paraId="153ACD59" w14:textId="77777777" w:rsidR="003650AB" w:rsidRDefault="003650AB" w:rsidP="003650AB">
      <w:pPr>
        <w:ind w:left="-284" w:firstLine="284"/>
        <w:jc w:val="both"/>
        <w:rPr>
          <w:rFonts w:ascii="Tahoma" w:eastAsia="Calibri" w:hAnsi="Tahoma" w:cs="Tahoma"/>
          <w:b/>
          <w:bCs/>
          <w:color w:val="F79646" w:themeColor="accent6"/>
          <w:sz w:val="22"/>
          <w:szCs w:val="22"/>
          <w:lang w:eastAsia="en-US"/>
        </w:rPr>
      </w:pPr>
    </w:p>
    <w:p w14:paraId="0BE492D9" w14:textId="2171A785" w:rsidR="003650AB" w:rsidRPr="008572C5" w:rsidRDefault="002B7E85" w:rsidP="000B3718">
      <w:pPr>
        <w:pStyle w:val="a5"/>
        <w:rPr>
          <w:rFonts w:eastAsia="Calibri"/>
        </w:rPr>
      </w:pPr>
      <w:r>
        <w:rPr>
          <w:rFonts w:eastAsia="Calibri"/>
        </w:rPr>
        <w:t>3.2</w:t>
      </w:r>
      <w:r w:rsidR="00955573">
        <w:rPr>
          <w:rFonts w:eastAsia="Calibri"/>
        </w:rPr>
        <w:t>7</w:t>
      </w:r>
      <w:r w:rsidR="003650AB">
        <w:rPr>
          <w:rFonts w:eastAsia="Calibri"/>
        </w:rPr>
        <w:t xml:space="preserve">. </w:t>
      </w:r>
      <w:r w:rsidR="003650AB" w:rsidRPr="008572C5">
        <w:rPr>
          <w:rFonts w:eastAsia="Calibri"/>
        </w:rPr>
        <w:t>Условия текущего банковского счета «Накопительный счет Супер Копилка» для счетов открытых до 01.02.2022:</w:t>
      </w:r>
    </w:p>
    <w:p w14:paraId="5AE23532"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Валюта счета – рубли Российской Федерации (далее – рубли);</w:t>
      </w:r>
    </w:p>
    <w:p w14:paraId="331F9901"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Срок размещения – не ограничен;</w:t>
      </w:r>
    </w:p>
    <w:p w14:paraId="5E3D8D09"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Минимальный первоначальный взнос – не ограничен;</w:t>
      </w:r>
    </w:p>
    <w:p w14:paraId="7A586BA8"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Пополнение счета – без ограничений;</w:t>
      </w:r>
    </w:p>
    <w:p w14:paraId="2D27009F"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Расходные операции по счету – без ограничений;</w:t>
      </w:r>
    </w:p>
    <w:p w14:paraId="4C4F9F84"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Сумма неснижаемого остатка – без ограничений;</w:t>
      </w:r>
    </w:p>
    <w:p w14:paraId="25A756EF"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Максимальная сумма счета – без ограничений;</w:t>
      </w:r>
    </w:p>
    <w:p w14:paraId="1FBEC958"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Периодичность выплаты процентов - ежемесячно, исходя из процентной ставки, установленной по счету и суммы Минимального остатка денежных средств¹, находящихся на счете в течение Периода²;</w:t>
      </w:r>
    </w:p>
    <w:p w14:paraId="753F097C"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 xml:space="preserve">Способ выплаты процентов - </w:t>
      </w:r>
      <w:r w:rsidRPr="008572C5">
        <w:rPr>
          <w:rFonts w:ascii="Tahoma" w:eastAsia="Calibri" w:hAnsi="Tahoma" w:cs="Tahoma"/>
          <w:sz w:val="22"/>
          <w:szCs w:val="22"/>
          <w:lang w:eastAsia="en-US"/>
        </w:rPr>
        <w:t>проценты по Счету причисляются к остатку денежных средств на счете ежемесячно.</w:t>
      </w:r>
    </w:p>
    <w:p w14:paraId="0E5BD60E"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Открытие счета и управлением счетом в отделениях Банка и через дистанционные каналы банковского обслуживания Интернет-банк «АТБ-Онлайн»/ Мобильный банк «АТБ-Мобайл».</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17"/>
        <w:gridCol w:w="5110"/>
      </w:tblGrid>
      <w:tr w:rsidR="003650AB" w:rsidRPr="008572C5" w14:paraId="78CF5D88" w14:textId="77777777" w:rsidTr="00EB2DE2">
        <w:trPr>
          <w:trHeight w:val="221"/>
        </w:trPr>
        <w:tc>
          <w:tcPr>
            <w:tcW w:w="3311" w:type="pct"/>
            <w:tcBorders>
              <w:top w:val="single" w:sz="4" w:space="0" w:color="auto"/>
              <w:left w:val="single" w:sz="4" w:space="0" w:color="auto"/>
              <w:right w:val="single" w:sz="4" w:space="0" w:color="auto"/>
            </w:tcBorders>
            <w:hideMark/>
          </w:tcPr>
          <w:p w14:paraId="742FA23C" w14:textId="77777777" w:rsidR="003650AB" w:rsidRPr="008572C5" w:rsidRDefault="003650AB" w:rsidP="00EB2DE2">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 xml:space="preserve">Минимальный остаток по счету¹ </w:t>
            </w:r>
          </w:p>
        </w:tc>
        <w:tc>
          <w:tcPr>
            <w:tcW w:w="1689" w:type="pct"/>
            <w:tcBorders>
              <w:top w:val="single" w:sz="4" w:space="0" w:color="auto"/>
              <w:left w:val="single" w:sz="4" w:space="0" w:color="auto"/>
              <w:right w:val="single" w:sz="4" w:space="0" w:color="auto"/>
            </w:tcBorders>
            <w:hideMark/>
          </w:tcPr>
          <w:p w14:paraId="626FDF1E" w14:textId="77777777" w:rsidR="003650AB" w:rsidRPr="008572C5" w:rsidRDefault="003650AB" w:rsidP="00EB2DE2">
            <w:pPr>
              <w:widowControl w:val="0"/>
              <w:tabs>
                <w:tab w:val="left" w:pos="426"/>
                <w:tab w:val="left" w:pos="851"/>
                <w:tab w:val="right" w:pos="10206"/>
              </w:tabs>
              <w:adjustRightInd w:val="0"/>
              <w:jc w:val="center"/>
              <w:rPr>
                <w:rFonts w:ascii="Tahoma" w:hAnsi="Tahoma" w:cs="Tahoma"/>
                <w:bCs/>
                <w:iCs/>
                <w:sz w:val="22"/>
                <w:szCs w:val="22"/>
              </w:rPr>
            </w:pPr>
            <w:r w:rsidRPr="008572C5">
              <w:rPr>
                <w:rFonts w:ascii="Tahoma" w:hAnsi="Tahoma" w:cs="Tahoma"/>
                <w:bCs/>
                <w:iCs/>
                <w:sz w:val="22"/>
                <w:szCs w:val="22"/>
              </w:rPr>
              <w:t>Процентная ставка, % годовых</w:t>
            </w:r>
          </w:p>
        </w:tc>
      </w:tr>
      <w:tr w:rsidR="003650AB" w:rsidRPr="008572C5" w14:paraId="79D9F2E5" w14:textId="77777777" w:rsidTr="00EB2DE2">
        <w:trPr>
          <w:trHeight w:val="70"/>
        </w:trPr>
        <w:tc>
          <w:tcPr>
            <w:tcW w:w="3311" w:type="pct"/>
            <w:tcBorders>
              <w:top w:val="single" w:sz="4" w:space="0" w:color="auto"/>
              <w:left w:val="single" w:sz="4" w:space="0" w:color="auto"/>
              <w:bottom w:val="single" w:sz="4" w:space="0" w:color="auto"/>
              <w:right w:val="single" w:sz="4" w:space="0" w:color="auto"/>
            </w:tcBorders>
          </w:tcPr>
          <w:p w14:paraId="4644303A" w14:textId="77777777" w:rsidR="003650AB" w:rsidRPr="008572C5" w:rsidRDefault="003650AB" w:rsidP="00EB2DE2">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До 500 000 рублей включительно</w:t>
            </w:r>
          </w:p>
        </w:tc>
        <w:tc>
          <w:tcPr>
            <w:tcW w:w="1689" w:type="pct"/>
            <w:tcBorders>
              <w:top w:val="single" w:sz="4" w:space="0" w:color="auto"/>
              <w:left w:val="single" w:sz="4" w:space="0" w:color="auto"/>
              <w:bottom w:val="single" w:sz="4" w:space="0" w:color="auto"/>
              <w:right w:val="single" w:sz="4" w:space="0" w:color="auto"/>
            </w:tcBorders>
            <w:vAlign w:val="center"/>
          </w:tcPr>
          <w:p w14:paraId="40FB0ACB" w14:textId="77777777" w:rsidR="003650AB" w:rsidRPr="008572C5" w:rsidRDefault="003650AB" w:rsidP="00EB2DE2">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4,65</w:t>
            </w:r>
          </w:p>
        </w:tc>
      </w:tr>
      <w:tr w:rsidR="003650AB" w:rsidRPr="008572C5" w14:paraId="4F042005" w14:textId="77777777" w:rsidTr="00EB2DE2">
        <w:trPr>
          <w:trHeight w:val="70"/>
        </w:trPr>
        <w:tc>
          <w:tcPr>
            <w:tcW w:w="3311" w:type="pct"/>
            <w:tcBorders>
              <w:top w:val="single" w:sz="4" w:space="0" w:color="auto"/>
              <w:left w:val="single" w:sz="4" w:space="0" w:color="auto"/>
              <w:bottom w:val="single" w:sz="4" w:space="0" w:color="auto"/>
              <w:right w:val="single" w:sz="4" w:space="0" w:color="auto"/>
            </w:tcBorders>
          </w:tcPr>
          <w:p w14:paraId="394843A3" w14:textId="77777777" w:rsidR="003650AB" w:rsidRPr="008572C5" w:rsidRDefault="003650AB" w:rsidP="00EB2DE2">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Свыше 500 000 рублей до 1 500 000 рублей включительно</w:t>
            </w:r>
          </w:p>
        </w:tc>
        <w:tc>
          <w:tcPr>
            <w:tcW w:w="1689" w:type="pct"/>
            <w:tcBorders>
              <w:top w:val="single" w:sz="4" w:space="0" w:color="auto"/>
              <w:left w:val="single" w:sz="4" w:space="0" w:color="auto"/>
              <w:bottom w:val="single" w:sz="4" w:space="0" w:color="auto"/>
              <w:right w:val="single" w:sz="4" w:space="0" w:color="auto"/>
            </w:tcBorders>
            <w:vAlign w:val="center"/>
          </w:tcPr>
          <w:p w14:paraId="24579537" w14:textId="77777777" w:rsidR="003650AB" w:rsidRPr="008572C5" w:rsidRDefault="003650AB" w:rsidP="00EB2DE2">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4,90</w:t>
            </w:r>
          </w:p>
        </w:tc>
      </w:tr>
      <w:tr w:rsidR="003650AB" w:rsidRPr="008572C5" w14:paraId="1710B4BD" w14:textId="77777777" w:rsidTr="00EB2DE2">
        <w:trPr>
          <w:trHeight w:val="70"/>
        </w:trPr>
        <w:tc>
          <w:tcPr>
            <w:tcW w:w="3311" w:type="pct"/>
            <w:tcBorders>
              <w:top w:val="single" w:sz="4" w:space="0" w:color="auto"/>
              <w:left w:val="single" w:sz="4" w:space="0" w:color="auto"/>
              <w:bottom w:val="single" w:sz="4" w:space="0" w:color="auto"/>
              <w:right w:val="single" w:sz="4" w:space="0" w:color="auto"/>
            </w:tcBorders>
          </w:tcPr>
          <w:p w14:paraId="6C4D2CC4" w14:textId="77777777" w:rsidR="003650AB" w:rsidRPr="008572C5" w:rsidRDefault="003650AB" w:rsidP="00EB2DE2">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Свыше 1 500 000 рублей до 3 000 000 рублей включительно</w:t>
            </w:r>
          </w:p>
        </w:tc>
        <w:tc>
          <w:tcPr>
            <w:tcW w:w="1689" w:type="pct"/>
            <w:tcBorders>
              <w:top w:val="single" w:sz="4" w:space="0" w:color="auto"/>
              <w:left w:val="single" w:sz="4" w:space="0" w:color="auto"/>
              <w:bottom w:val="single" w:sz="4" w:space="0" w:color="auto"/>
              <w:right w:val="single" w:sz="4" w:space="0" w:color="auto"/>
            </w:tcBorders>
            <w:vAlign w:val="center"/>
          </w:tcPr>
          <w:p w14:paraId="67BB49F2" w14:textId="77777777" w:rsidR="003650AB" w:rsidRPr="008572C5" w:rsidRDefault="003650AB" w:rsidP="00EB2DE2">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5,15</w:t>
            </w:r>
          </w:p>
        </w:tc>
      </w:tr>
      <w:tr w:rsidR="003650AB" w:rsidRPr="008572C5" w14:paraId="1145621D" w14:textId="77777777" w:rsidTr="00EB2DE2">
        <w:trPr>
          <w:trHeight w:val="70"/>
        </w:trPr>
        <w:tc>
          <w:tcPr>
            <w:tcW w:w="3311" w:type="pct"/>
            <w:tcBorders>
              <w:top w:val="single" w:sz="4" w:space="0" w:color="auto"/>
              <w:left w:val="single" w:sz="4" w:space="0" w:color="auto"/>
              <w:bottom w:val="single" w:sz="4" w:space="0" w:color="auto"/>
              <w:right w:val="single" w:sz="4" w:space="0" w:color="auto"/>
            </w:tcBorders>
          </w:tcPr>
          <w:p w14:paraId="76F278BE" w14:textId="77777777" w:rsidR="003650AB" w:rsidRPr="008572C5" w:rsidRDefault="003650AB" w:rsidP="00EB2DE2">
            <w:pPr>
              <w:widowControl w:val="0"/>
              <w:tabs>
                <w:tab w:val="left" w:pos="284"/>
                <w:tab w:val="left" w:pos="426"/>
              </w:tabs>
              <w:adjustRightInd w:val="0"/>
              <w:jc w:val="center"/>
              <w:rPr>
                <w:rFonts w:ascii="Tahoma" w:hAnsi="Tahoma" w:cs="Tahoma"/>
                <w:sz w:val="22"/>
                <w:szCs w:val="22"/>
              </w:rPr>
            </w:pPr>
            <w:r w:rsidRPr="008572C5">
              <w:rPr>
                <w:rFonts w:ascii="Tahoma" w:hAnsi="Tahoma" w:cs="Tahoma"/>
                <w:bCs/>
                <w:iCs/>
                <w:sz w:val="22"/>
                <w:szCs w:val="22"/>
              </w:rPr>
              <w:t>Свыше 3 000 000 рублей до 5 000 000 рублей включительно</w:t>
            </w:r>
          </w:p>
        </w:tc>
        <w:tc>
          <w:tcPr>
            <w:tcW w:w="1689" w:type="pct"/>
            <w:tcBorders>
              <w:top w:val="single" w:sz="4" w:space="0" w:color="auto"/>
              <w:left w:val="single" w:sz="4" w:space="0" w:color="auto"/>
              <w:bottom w:val="single" w:sz="4" w:space="0" w:color="auto"/>
              <w:right w:val="single" w:sz="4" w:space="0" w:color="auto"/>
            </w:tcBorders>
            <w:vAlign w:val="center"/>
          </w:tcPr>
          <w:p w14:paraId="4F0F192B" w14:textId="77777777" w:rsidR="003650AB" w:rsidRPr="008572C5" w:rsidRDefault="003650AB" w:rsidP="00EB2DE2">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5,40</w:t>
            </w:r>
          </w:p>
        </w:tc>
      </w:tr>
      <w:tr w:rsidR="003650AB" w:rsidRPr="008572C5" w14:paraId="31B5325E" w14:textId="77777777" w:rsidTr="00EB2DE2">
        <w:trPr>
          <w:trHeight w:val="70"/>
        </w:trPr>
        <w:tc>
          <w:tcPr>
            <w:tcW w:w="3311" w:type="pct"/>
            <w:tcBorders>
              <w:top w:val="single" w:sz="4" w:space="0" w:color="auto"/>
              <w:left w:val="single" w:sz="4" w:space="0" w:color="auto"/>
              <w:bottom w:val="single" w:sz="4" w:space="0" w:color="auto"/>
              <w:right w:val="single" w:sz="4" w:space="0" w:color="auto"/>
            </w:tcBorders>
          </w:tcPr>
          <w:p w14:paraId="2DD19DB2" w14:textId="77777777" w:rsidR="003650AB" w:rsidRPr="008572C5" w:rsidRDefault="003650AB" w:rsidP="00EB2DE2">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Свыше 5 000 000 рублей</w:t>
            </w:r>
          </w:p>
        </w:tc>
        <w:tc>
          <w:tcPr>
            <w:tcW w:w="1689" w:type="pct"/>
            <w:tcBorders>
              <w:top w:val="single" w:sz="4" w:space="0" w:color="auto"/>
              <w:left w:val="single" w:sz="4" w:space="0" w:color="auto"/>
              <w:bottom w:val="single" w:sz="4" w:space="0" w:color="auto"/>
              <w:right w:val="single" w:sz="4" w:space="0" w:color="auto"/>
            </w:tcBorders>
            <w:vAlign w:val="center"/>
          </w:tcPr>
          <w:p w14:paraId="5D9B811E" w14:textId="77777777" w:rsidR="003650AB" w:rsidRPr="008572C5" w:rsidRDefault="003650AB" w:rsidP="00EB2DE2">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6,50</w:t>
            </w:r>
          </w:p>
        </w:tc>
      </w:tr>
    </w:tbl>
    <w:p w14:paraId="0F5A0B28" w14:textId="77777777" w:rsidR="003650AB" w:rsidRPr="008572C5" w:rsidRDefault="003650AB" w:rsidP="003650AB">
      <w:pPr>
        <w:jc w:val="both"/>
        <w:rPr>
          <w:rFonts w:ascii="Tahoma" w:eastAsia="Calibri" w:hAnsi="Tahoma" w:cs="Tahoma"/>
          <w:bCs/>
          <w:sz w:val="22"/>
          <w:szCs w:val="22"/>
          <w:lang w:eastAsia="en-US"/>
        </w:rPr>
      </w:pPr>
    </w:p>
    <w:p w14:paraId="0C6AAA31" w14:textId="77777777" w:rsidR="003650AB" w:rsidRPr="008572C5" w:rsidRDefault="003650AB" w:rsidP="003650AB">
      <w:pPr>
        <w:ind w:left="-284" w:firstLine="284"/>
        <w:jc w:val="both"/>
        <w:rPr>
          <w:rFonts w:ascii="Tahoma" w:eastAsia="Calibri" w:hAnsi="Tahoma" w:cs="Tahoma"/>
          <w:sz w:val="18"/>
          <w:szCs w:val="18"/>
          <w:lang w:eastAsia="en-US"/>
        </w:rPr>
      </w:pPr>
      <w:r w:rsidRPr="008572C5">
        <w:rPr>
          <w:rFonts w:ascii="Tahoma" w:eastAsia="Calibri" w:hAnsi="Tahoma" w:cs="Tahoma"/>
          <w:sz w:val="18"/>
          <w:szCs w:val="18"/>
          <w:vertAlign w:val="superscript"/>
          <w:lang w:eastAsia="en-US"/>
        </w:rPr>
        <w:t>1</w:t>
      </w:r>
      <w:r w:rsidRPr="008572C5">
        <w:rPr>
          <w:rFonts w:ascii="Tahoma" w:eastAsia="Calibri" w:hAnsi="Tahoma" w:cs="Tahoma"/>
          <w:sz w:val="18"/>
          <w:szCs w:val="18"/>
          <w:lang w:eastAsia="en-US"/>
        </w:rPr>
        <w:t>Минимальный остаток по Счету – рассчитывается исходя из ежедневных остатков денежных средств на Счете Клиента в течение Периода</w:t>
      </w:r>
      <w:r w:rsidRPr="008572C5">
        <w:rPr>
          <w:rFonts w:ascii="Tahoma" w:eastAsia="Calibri" w:hAnsi="Tahoma" w:cs="Tahoma"/>
          <w:sz w:val="18"/>
          <w:szCs w:val="18"/>
          <w:vertAlign w:val="superscript"/>
          <w:lang w:eastAsia="en-US"/>
        </w:rPr>
        <w:t>2</w:t>
      </w:r>
      <w:r w:rsidRPr="008572C5">
        <w:rPr>
          <w:rFonts w:ascii="Tahoma" w:eastAsia="Calibri" w:hAnsi="Tahoma" w:cs="Tahoma"/>
          <w:sz w:val="18"/>
          <w:szCs w:val="18"/>
          <w:lang w:eastAsia="en-US"/>
        </w:rPr>
        <w:t>. Проценты за весь Период начисляются на  сумму минимального остатка денежных средств на Счете, который образуется на начало любого из дней в течение Периода, за который осуществляется выплата процентов Банком Клиенту, при этом выплата процентов за Период производится на Счет в последний день Периода.</w:t>
      </w:r>
    </w:p>
    <w:p w14:paraId="730FD72A" w14:textId="77777777" w:rsidR="003650AB" w:rsidRPr="008572C5" w:rsidRDefault="003650AB" w:rsidP="003650AB">
      <w:pPr>
        <w:ind w:left="-284" w:firstLine="284"/>
        <w:jc w:val="both"/>
        <w:rPr>
          <w:rFonts w:ascii="Tahoma" w:hAnsi="Tahoma" w:cs="Tahoma"/>
          <w:sz w:val="18"/>
          <w:szCs w:val="18"/>
        </w:rPr>
      </w:pPr>
      <w:r w:rsidRPr="008572C5">
        <w:rPr>
          <w:rFonts w:ascii="Tahoma" w:hAnsi="Tahoma" w:cs="Tahoma"/>
          <w:sz w:val="18"/>
          <w:szCs w:val="18"/>
          <w:vertAlign w:val="superscript"/>
        </w:rPr>
        <w:t>2</w:t>
      </w:r>
      <w:r w:rsidRPr="008572C5">
        <w:rPr>
          <w:rFonts w:ascii="Tahoma" w:hAnsi="Tahoma" w:cs="Tahoma"/>
          <w:sz w:val="18"/>
          <w:szCs w:val="18"/>
        </w:rPr>
        <w:t>Период – временной период, за который Клиенту Банком на Минимальный остаток средств на Счете начисляются проценты.  Первый Период исчисляется со дня, следующего за днем внесения денежных средств на Счет до календарного дня в следующем месяце, соответствующего дню открытия Счета включительно. Последующие Периоды исчисляются ежемесячно со дня, следующего после дня окончания предыдущего Периода до календарного дня в следующем месяце, соответствующего дню открытия Счета включительно.</w:t>
      </w:r>
    </w:p>
    <w:p w14:paraId="41BE5D65" w14:textId="77777777" w:rsidR="003650AB" w:rsidRPr="008572C5" w:rsidRDefault="003650AB" w:rsidP="003650AB">
      <w:pPr>
        <w:ind w:left="-284" w:firstLine="284"/>
        <w:jc w:val="both"/>
        <w:rPr>
          <w:rFonts w:ascii="Tahoma" w:hAnsi="Tahoma" w:cs="Tahoma"/>
          <w:sz w:val="22"/>
          <w:szCs w:val="22"/>
        </w:rPr>
      </w:pPr>
      <w:r w:rsidRPr="008572C5">
        <w:rPr>
          <w:rFonts w:ascii="Tahoma" w:hAnsi="Tahoma" w:cs="Tahoma"/>
          <w:sz w:val="22"/>
          <w:szCs w:val="22"/>
        </w:rPr>
        <w:t>Размеры процентных ставок определяются Тарифами Банка. В случае внесения изменений в Тарифы Банка Банк информирует Клиента путем размещения информации об изменениях на Официальном сайте Банка и (или) в подразделениях Банка, и (или) через каналы дистанционного банковского обслуживания Интернет-банк «АТБ-Онлайн»/ Мобильный банк «АТБ-Мобайл» не менее чем за 3 рабочих дня до даты вступления изменений в силу.</w:t>
      </w:r>
    </w:p>
    <w:p w14:paraId="3F11BE56" w14:textId="77777777" w:rsidR="003650AB" w:rsidRPr="008572C5" w:rsidRDefault="003650AB" w:rsidP="003650AB">
      <w:pPr>
        <w:ind w:left="-284" w:firstLine="284"/>
        <w:jc w:val="both"/>
        <w:rPr>
          <w:rFonts w:ascii="Tahoma" w:hAnsi="Tahoma" w:cs="Tahoma"/>
        </w:rPr>
      </w:pPr>
    </w:p>
    <w:p w14:paraId="26BFD07F" w14:textId="38554B5C" w:rsidR="003650AB" w:rsidRPr="008572C5" w:rsidRDefault="00DE6159" w:rsidP="000B3718">
      <w:pPr>
        <w:pStyle w:val="a5"/>
        <w:rPr>
          <w:rFonts w:eastAsia="Calibri"/>
        </w:rPr>
      </w:pPr>
      <w:r>
        <w:rPr>
          <w:rFonts w:eastAsia="Calibri"/>
        </w:rPr>
        <w:t>3.2</w:t>
      </w:r>
      <w:r w:rsidR="00955573">
        <w:rPr>
          <w:rFonts w:eastAsia="Calibri"/>
        </w:rPr>
        <w:t>8</w:t>
      </w:r>
      <w:r w:rsidR="003650AB" w:rsidRPr="008572C5">
        <w:rPr>
          <w:rFonts w:eastAsia="Calibri"/>
        </w:rPr>
        <w:t>. Условия текущего банковского счета «Накопительный счет Супер Копилка» для счетов открытых с 01.02.2022 по 03.03.2022:</w:t>
      </w:r>
    </w:p>
    <w:p w14:paraId="27AE5727"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Валюта счета – рубли Российской Федерации (далее – рубли);</w:t>
      </w:r>
    </w:p>
    <w:p w14:paraId="665243CA"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Срок размещения – не ограничен;</w:t>
      </w:r>
    </w:p>
    <w:p w14:paraId="7CFF874D"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Минимальный первоначальный взнос – не ограничен;</w:t>
      </w:r>
    </w:p>
    <w:p w14:paraId="71F69CE4"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Пополнение счета – без ограничений;</w:t>
      </w:r>
    </w:p>
    <w:p w14:paraId="1CEDC3DA"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Расходные операции по счету – без ограничений;</w:t>
      </w:r>
    </w:p>
    <w:p w14:paraId="687F40C2"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Сумма неснижаемого остатка – без ограничений;</w:t>
      </w:r>
    </w:p>
    <w:p w14:paraId="74E44603"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Максимальная сумма счета – без ограничений;</w:t>
      </w:r>
    </w:p>
    <w:p w14:paraId="745EE4BC"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Периодичность выплаты процентов - ежемесячно, исходя из процентной ставки, установленной по счету и суммы Минимального остатка денежных средств¹, находящихся на счете в течение Периода²;</w:t>
      </w:r>
    </w:p>
    <w:p w14:paraId="777A060A"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 xml:space="preserve">Способ выплаты процентов - </w:t>
      </w:r>
      <w:r w:rsidRPr="008572C5">
        <w:rPr>
          <w:rFonts w:ascii="Tahoma" w:eastAsia="Calibri" w:hAnsi="Tahoma" w:cs="Tahoma"/>
          <w:sz w:val="22"/>
          <w:szCs w:val="22"/>
          <w:lang w:eastAsia="en-US"/>
        </w:rPr>
        <w:t>проценты по Счету причисляются к остатку денежных средств на счете ежемесячно.</w:t>
      </w:r>
    </w:p>
    <w:p w14:paraId="1F46B6AE"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Открытие счета и управлением счетом в отделениях Банка и через дистанционные каналы банковского обслуживания Интернет-банк «АТБ-Онлайн»/ Мобильный банк «АТБ-Мобайл».</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17"/>
        <w:gridCol w:w="5110"/>
      </w:tblGrid>
      <w:tr w:rsidR="003650AB" w:rsidRPr="008572C5" w14:paraId="6D333298" w14:textId="77777777" w:rsidTr="00EB2DE2">
        <w:trPr>
          <w:trHeight w:val="221"/>
        </w:trPr>
        <w:tc>
          <w:tcPr>
            <w:tcW w:w="3311" w:type="pct"/>
            <w:tcBorders>
              <w:top w:val="single" w:sz="4" w:space="0" w:color="auto"/>
              <w:left w:val="single" w:sz="4" w:space="0" w:color="auto"/>
              <w:right w:val="single" w:sz="4" w:space="0" w:color="auto"/>
            </w:tcBorders>
            <w:hideMark/>
          </w:tcPr>
          <w:p w14:paraId="76DAED3A" w14:textId="77777777" w:rsidR="003650AB" w:rsidRPr="008572C5" w:rsidRDefault="003650AB" w:rsidP="00EB2DE2">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Минимальный остаток по счету¹</w:t>
            </w:r>
          </w:p>
        </w:tc>
        <w:tc>
          <w:tcPr>
            <w:tcW w:w="1689" w:type="pct"/>
            <w:tcBorders>
              <w:top w:val="single" w:sz="4" w:space="0" w:color="auto"/>
              <w:left w:val="single" w:sz="4" w:space="0" w:color="auto"/>
              <w:right w:val="single" w:sz="4" w:space="0" w:color="auto"/>
            </w:tcBorders>
            <w:hideMark/>
          </w:tcPr>
          <w:p w14:paraId="47CBB6DE" w14:textId="77777777" w:rsidR="003650AB" w:rsidRPr="008572C5" w:rsidRDefault="003650AB" w:rsidP="00EB2DE2">
            <w:pPr>
              <w:widowControl w:val="0"/>
              <w:tabs>
                <w:tab w:val="left" w:pos="426"/>
                <w:tab w:val="left" w:pos="851"/>
                <w:tab w:val="right" w:pos="10206"/>
              </w:tabs>
              <w:adjustRightInd w:val="0"/>
              <w:jc w:val="center"/>
              <w:rPr>
                <w:rFonts w:ascii="Tahoma" w:hAnsi="Tahoma" w:cs="Tahoma"/>
                <w:bCs/>
                <w:iCs/>
                <w:sz w:val="22"/>
                <w:szCs w:val="22"/>
              </w:rPr>
            </w:pPr>
            <w:r w:rsidRPr="008572C5">
              <w:rPr>
                <w:rFonts w:ascii="Tahoma" w:hAnsi="Tahoma" w:cs="Tahoma"/>
                <w:bCs/>
                <w:iCs/>
                <w:sz w:val="22"/>
                <w:szCs w:val="22"/>
              </w:rPr>
              <w:t>Процентная ставка, % годовых</w:t>
            </w:r>
          </w:p>
        </w:tc>
      </w:tr>
      <w:tr w:rsidR="003650AB" w:rsidRPr="008572C5" w14:paraId="03227706" w14:textId="77777777" w:rsidTr="00EB2DE2">
        <w:trPr>
          <w:trHeight w:val="70"/>
        </w:trPr>
        <w:tc>
          <w:tcPr>
            <w:tcW w:w="3311" w:type="pct"/>
            <w:tcBorders>
              <w:top w:val="single" w:sz="4" w:space="0" w:color="auto"/>
              <w:left w:val="single" w:sz="4" w:space="0" w:color="auto"/>
              <w:bottom w:val="single" w:sz="4" w:space="0" w:color="auto"/>
              <w:right w:val="single" w:sz="4" w:space="0" w:color="auto"/>
            </w:tcBorders>
          </w:tcPr>
          <w:p w14:paraId="6028EA27" w14:textId="77777777" w:rsidR="003650AB" w:rsidRPr="008572C5" w:rsidRDefault="003650AB" w:rsidP="00EB2DE2">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До 1 500 000 рублей включительно</w:t>
            </w:r>
          </w:p>
        </w:tc>
        <w:tc>
          <w:tcPr>
            <w:tcW w:w="1689" w:type="pct"/>
            <w:tcBorders>
              <w:top w:val="single" w:sz="4" w:space="0" w:color="auto"/>
              <w:left w:val="single" w:sz="4" w:space="0" w:color="auto"/>
              <w:bottom w:val="single" w:sz="4" w:space="0" w:color="auto"/>
              <w:right w:val="single" w:sz="4" w:space="0" w:color="auto"/>
            </w:tcBorders>
            <w:vAlign w:val="center"/>
          </w:tcPr>
          <w:p w14:paraId="1CABBA9A" w14:textId="77777777" w:rsidR="003650AB" w:rsidRPr="008572C5" w:rsidRDefault="003650AB" w:rsidP="00EB2DE2">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5,00</w:t>
            </w:r>
          </w:p>
        </w:tc>
      </w:tr>
      <w:tr w:rsidR="003650AB" w:rsidRPr="008572C5" w14:paraId="167931CF" w14:textId="77777777" w:rsidTr="00EB2DE2">
        <w:trPr>
          <w:trHeight w:val="70"/>
        </w:trPr>
        <w:tc>
          <w:tcPr>
            <w:tcW w:w="3311" w:type="pct"/>
            <w:tcBorders>
              <w:top w:val="single" w:sz="4" w:space="0" w:color="auto"/>
              <w:left w:val="single" w:sz="4" w:space="0" w:color="auto"/>
              <w:bottom w:val="single" w:sz="4" w:space="0" w:color="auto"/>
              <w:right w:val="single" w:sz="4" w:space="0" w:color="auto"/>
            </w:tcBorders>
          </w:tcPr>
          <w:p w14:paraId="5C3CC2D2" w14:textId="77777777" w:rsidR="003650AB" w:rsidRPr="008572C5" w:rsidRDefault="003650AB" w:rsidP="00EB2DE2">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Свыше 1 500 000 рублей до 5 000 000 рублей включительно</w:t>
            </w:r>
          </w:p>
        </w:tc>
        <w:tc>
          <w:tcPr>
            <w:tcW w:w="1689" w:type="pct"/>
            <w:tcBorders>
              <w:top w:val="single" w:sz="4" w:space="0" w:color="auto"/>
              <w:left w:val="single" w:sz="4" w:space="0" w:color="auto"/>
              <w:bottom w:val="single" w:sz="4" w:space="0" w:color="auto"/>
              <w:right w:val="single" w:sz="4" w:space="0" w:color="auto"/>
            </w:tcBorders>
            <w:vAlign w:val="center"/>
          </w:tcPr>
          <w:p w14:paraId="220AE17D" w14:textId="77777777" w:rsidR="003650AB" w:rsidRPr="008572C5" w:rsidRDefault="003650AB" w:rsidP="00EB2DE2">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6,00</w:t>
            </w:r>
          </w:p>
        </w:tc>
      </w:tr>
      <w:tr w:rsidR="003650AB" w:rsidRPr="008572C5" w14:paraId="457A2F0D" w14:textId="77777777" w:rsidTr="00EB2DE2">
        <w:trPr>
          <w:trHeight w:val="70"/>
        </w:trPr>
        <w:tc>
          <w:tcPr>
            <w:tcW w:w="3311" w:type="pct"/>
            <w:tcBorders>
              <w:top w:val="single" w:sz="4" w:space="0" w:color="auto"/>
              <w:left w:val="single" w:sz="4" w:space="0" w:color="auto"/>
              <w:bottom w:val="single" w:sz="4" w:space="0" w:color="auto"/>
              <w:right w:val="single" w:sz="4" w:space="0" w:color="auto"/>
            </w:tcBorders>
          </w:tcPr>
          <w:p w14:paraId="42788AEC" w14:textId="77777777" w:rsidR="003650AB" w:rsidRPr="008572C5" w:rsidRDefault="003650AB" w:rsidP="00EB2DE2">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Свыше 5 000 000 рублей</w:t>
            </w:r>
          </w:p>
        </w:tc>
        <w:tc>
          <w:tcPr>
            <w:tcW w:w="1689" w:type="pct"/>
            <w:tcBorders>
              <w:top w:val="single" w:sz="4" w:space="0" w:color="auto"/>
              <w:left w:val="single" w:sz="4" w:space="0" w:color="auto"/>
              <w:bottom w:val="single" w:sz="4" w:space="0" w:color="auto"/>
              <w:right w:val="single" w:sz="4" w:space="0" w:color="auto"/>
            </w:tcBorders>
            <w:vAlign w:val="center"/>
          </w:tcPr>
          <w:p w14:paraId="25764678" w14:textId="77777777" w:rsidR="003650AB" w:rsidRPr="008572C5" w:rsidRDefault="003650AB" w:rsidP="00EB2DE2">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7,00</w:t>
            </w:r>
          </w:p>
        </w:tc>
      </w:tr>
    </w:tbl>
    <w:p w14:paraId="7B6BEE2B" w14:textId="77777777" w:rsidR="003650AB" w:rsidRPr="008572C5" w:rsidRDefault="003650AB" w:rsidP="003650AB">
      <w:pPr>
        <w:jc w:val="both"/>
        <w:rPr>
          <w:rFonts w:ascii="Tahoma" w:eastAsia="Calibri" w:hAnsi="Tahoma" w:cs="Tahoma"/>
          <w:bCs/>
          <w:sz w:val="22"/>
          <w:szCs w:val="22"/>
          <w:lang w:eastAsia="en-US"/>
        </w:rPr>
      </w:pPr>
    </w:p>
    <w:p w14:paraId="769CEFC3" w14:textId="77777777" w:rsidR="003650AB" w:rsidRPr="008572C5" w:rsidRDefault="003650AB" w:rsidP="003650AB">
      <w:pPr>
        <w:ind w:left="-284" w:firstLine="284"/>
        <w:jc w:val="both"/>
        <w:rPr>
          <w:rFonts w:ascii="Tahoma" w:eastAsia="Calibri" w:hAnsi="Tahoma" w:cs="Tahoma"/>
          <w:sz w:val="18"/>
          <w:szCs w:val="18"/>
          <w:lang w:eastAsia="en-US"/>
        </w:rPr>
      </w:pPr>
      <w:r w:rsidRPr="008572C5">
        <w:rPr>
          <w:rFonts w:ascii="Tahoma" w:eastAsia="Calibri" w:hAnsi="Tahoma" w:cs="Tahoma"/>
          <w:sz w:val="18"/>
          <w:szCs w:val="18"/>
          <w:vertAlign w:val="superscript"/>
          <w:lang w:eastAsia="en-US"/>
        </w:rPr>
        <w:t>1</w:t>
      </w:r>
      <w:r w:rsidRPr="008572C5">
        <w:rPr>
          <w:rFonts w:ascii="Tahoma" w:eastAsia="Calibri" w:hAnsi="Tahoma" w:cs="Tahoma"/>
          <w:sz w:val="18"/>
          <w:szCs w:val="18"/>
          <w:lang w:eastAsia="en-US"/>
        </w:rPr>
        <w:t>Минимальный остаток по Счету – рассчитывается исходя из ежедневных остатков денежных средств на Счете Клиента в течение Периода</w:t>
      </w:r>
      <w:r w:rsidRPr="008572C5">
        <w:rPr>
          <w:rFonts w:ascii="Tahoma" w:eastAsia="Calibri" w:hAnsi="Tahoma" w:cs="Tahoma"/>
          <w:sz w:val="18"/>
          <w:szCs w:val="18"/>
          <w:vertAlign w:val="superscript"/>
          <w:lang w:eastAsia="en-US"/>
        </w:rPr>
        <w:t>2</w:t>
      </w:r>
      <w:r w:rsidRPr="008572C5">
        <w:rPr>
          <w:rFonts w:ascii="Tahoma" w:eastAsia="Calibri" w:hAnsi="Tahoma" w:cs="Tahoma"/>
          <w:sz w:val="18"/>
          <w:szCs w:val="18"/>
          <w:lang w:eastAsia="en-US"/>
        </w:rPr>
        <w:t>. Проценты за весь Период начисляются на  сумму минимального остатка денежных средств на Счете, который образуется на начало любого из дней в течение Периода, за который осуществляется выплата процентов Банком Клиенту, при этом выплата процентов за Период производится на Счет в последний день Периода.</w:t>
      </w:r>
    </w:p>
    <w:p w14:paraId="7DA70DB0" w14:textId="77777777" w:rsidR="003650AB" w:rsidRPr="008572C5" w:rsidRDefault="003650AB" w:rsidP="003650AB">
      <w:pPr>
        <w:ind w:left="-284" w:firstLine="284"/>
        <w:jc w:val="both"/>
        <w:rPr>
          <w:rFonts w:ascii="Tahoma" w:hAnsi="Tahoma" w:cs="Tahoma"/>
          <w:sz w:val="18"/>
          <w:szCs w:val="18"/>
        </w:rPr>
      </w:pPr>
      <w:r w:rsidRPr="008572C5">
        <w:rPr>
          <w:rFonts w:ascii="Tahoma" w:hAnsi="Tahoma" w:cs="Tahoma"/>
          <w:sz w:val="18"/>
          <w:szCs w:val="18"/>
          <w:vertAlign w:val="superscript"/>
        </w:rPr>
        <w:t>2</w:t>
      </w:r>
      <w:r w:rsidRPr="008572C5">
        <w:rPr>
          <w:rFonts w:ascii="Tahoma" w:hAnsi="Tahoma" w:cs="Tahoma"/>
          <w:sz w:val="18"/>
          <w:szCs w:val="18"/>
        </w:rPr>
        <w:t>Период – временной период, за который Клиенту Банком на Минимальный остаток средств на Счете начисляются проценты.  Первый Период исчисляется со дня, следующего за днем внесения денежных средств на Счет до календарного дня в следующем месяце, соответствующего дню открытия Счета включительно. Последующие Периоды исчисляются ежемесячно со дня, следующего после дня окончания предыдущего Периода до календарного дня в следующем месяце, соответствующего дню открытия Счета включительно.</w:t>
      </w:r>
    </w:p>
    <w:p w14:paraId="0CC510E7" w14:textId="77777777" w:rsidR="003650AB" w:rsidRPr="008572C5" w:rsidRDefault="003650AB" w:rsidP="003650AB">
      <w:pPr>
        <w:ind w:left="-284" w:firstLine="284"/>
        <w:jc w:val="both"/>
        <w:rPr>
          <w:rFonts w:ascii="Tahoma" w:hAnsi="Tahoma" w:cs="Tahoma"/>
          <w:sz w:val="22"/>
          <w:szCs w:val="22"/>
        </w:rPr>
      </w:pPr>
      <w:r w:rsidRPr="008572C5">
        <w:rPr>
          <w:rFonts w:ascii="Tahoma" w:hAnsi="Tahoma" w:cs="Tahoma"/>
          <w:sz w:val="22"/>
          <w:szCs w:val="22"/>
        </w:rPr>
        <w:t>Размеры процентных ставок определяются Тарифами Банка. В случае внесения изменений в Тарифы Банка Банк информирует Клиента путем размещения информации об изменениях на Официальном сайте Банка и (или) в подразделениях Банка, и (или) через каналы дистанционного банковского обслуживания Интернет-банк «АТБ-Онлайн»/ Мобильный банк «АТБ-Мобайл» не менее чем за 3 рабочих дня до даты вступления изменений в силу.</w:t>
      </w:r>
    </w:p>
    <w:p w14:paraId="7F261A0C" w14:textId="77777777" w:rsidR="003650AB" w:rsidRPr="008572C5" w:rsidRDefault="003650AB" w:rsidP="003650AB">
      <w:pPr>
        <w:ind w:left="-284" w:firstLine="284"/>
        <w:jc w:val="both"/>
        <w:rPr>
          <w:rFonts w:ascii="Tahoma" w:hAnsi="Tahoma" w:cs="Tahoma"/>
          <w:sz w:val="22"/>
          <w:szCs w:val="22"/>
        </w:rPr>
      </w:pPr>
    </w:p>
    <w:p w14:paraId="73C23E09" w14:textId="0131B01A" w:rsidR="003650AB" w:rsidRPr="008572C5" w:rsidRDefault="003650AB" w:rsidP="000B3718">
      <w:pPr>
        <w:pStyle w:val="a5"/>
        <w:rPr>
          <w:rFonts w:eastAsia="Calibri"/>
        </w:rPr>
      </w:pPr>
      <w:r w:rsidRPr="008572C5">
        <w:rPr>
          <w:rFonts w:eastAsia="Calibri"/>
        </w:rPr>
        <w:t>3.</w:t>
      </w:r>
      <w:r w:rsidR="002B7E85">
        <w:rPr>
          <w:rFonts w:eastAsia="Calibri"/>
        </w:rPr>
        <w:t>2</w:t>
      </w:r>
      <w:r w:rsidR="00955573">
        <w:rPr>
          <w:rFonts w:eastAsia="Calibri"/>
        </w:rPr>
        <w:t>9</w:t>
      </w:r>
      <w:r w:rsidRPr="008572C5">
        <w:rPr>
          <w:rFonts w:eastAsia="Calibri"/>
        </w:rPr>
        <w:t>. Условия текущего банковского счета «Накопительный счет Супер Копилка» для счетов открытых с 04.03.2022 (действуют по 20.06.2022):</w:t>
      </w:r>
    </w:p>
    <w:p w14:paraId="7DD2CCE3"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Валюта счета – рубли Российской Федерации (далее – рубли);</w:t>
      </w:r>
    </w:p>
    <w:p w14:paraId="1B0B16C7"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Срок размещения – не ограничен;</w:t>
      </w:r>
    </w:p>
    <w:p w14:paraId="1375A2F1"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Минимальный первоначальный взнос – не ограничен;</w:t>
      </w:r>
    </w:p>
    <w:p w14:paraId="22F8B871"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Пополнение счета – без ограничений;</w:t>
      </w:r>
    </w:p>
    <w:p w14:paraId="3AC88611"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Расходные операции по счету – без ограничений;</w:t>
      </w:r>
    </w:p>
    <w:p w14:paraId="39CC0ACD"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Сумма неснижаемого остатка – без ограничений;</w:t>
      </w:r>
    </w:p>
    <w:p w14:paraId="63C71F08"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Максимальная сумма счета – без ограничений;</w:t>
      </w:r>
    </w:p>
    <w:p w14:paraId="68FE5776"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Периодичность выплаты процентов - ежемесячно, исходя из процентной ставки, установленной по счету и суммы Минимального остатка денежных средств¹, находящихся на счете в течение Периода²;</w:t>
      </w:r>
    </w:p>
    <w:p w14:paraId="006E36BE"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 xml:space="preserve">Способ выплаты процентов - </w:t>
      </w:r>
      <w:r w:rsidRPr="008572C5">
        <w:rPr>
          <w:rFonts w:ascii="Tahoma" w:eastAsia="Calibri" w:hAnsi="Tahoma" w:cs="Tahoma"/>
          <w:sz w:val="22"/>
          <w:szCs w:val="22"/>
          <w:lang w:eastAsia="en-US"/>
        </w:rPr>
        <w:t>проценты по Счету причисляются к остатку денежных средств на счете ежемесячно.</w:t>
      </w:r>
    </w:p>
    <w:p w14:paraId="1F36C794"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Открытие счета и управлением счетом в отделениях Банка и через дистанционные каналы банковского обслуживания Интернет-банк «АТБ-Онлайн»/ Мобильный банк «АТБ-Мобайл».</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17"/>
        <w:gridCol w:w="5110"/>
      </w:tblGrid>
      <w:tr w:rsidR="003650AB" w:rsidRPr="008572C5" w14:paraId="290C3458" w14:textId="77777777" w:rsidTr="00EB2DE2">
        <w:trPr>
          <w:trHeight w:val="221"/>
        </w:trPr>
        <w:tc>
          <w:tcPr>
            <w:tcW w:w="3311" w:type="pct"/>
            <w:tcBorders>
              <w:top w:val="single" w:sz="4" w:space="0" w:color="auto"/>
              <w:left w:val="single" w:sz="4" w:space="0" w:color="auto"/>
              <w:right w:val="single" w:sz="4" w:space="0" w:color="auto"/>
            </w:tcBorders>
            <w:hideMark/>
          </w:tcPr>
          <w:p w14:paraId="13934738" w14:textId="77777777" w:rsidR="003650AB" w:rsidRPr="008572C5" w:rsidRDefault="003650AB" w:rsidP="00EB2DE2">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Минимальный остаток по счету¹</w:t>
            </w:r>
          </w:p>
        </w:tc>
        <w:tc>
          <w:tcPr>
            <w:tcW w:w="1689" w:type="pct"/>
            <w:tcBorders>
              <w:top w:val="single" w:sz="4" w:space="0" w:color="auto"/>
              <w:left w:val="single" w:sz="4" w:space="0" w:color="auto"/>
              <w:right w:val="single" w:sz="4" w:space="0" w:color="auto"/>
            </w:tcBorders>
            <w:hideMark/>
          </w:tcPr>
          <w:p w14:paraId="141FF524" w14:textId="77777777" w:rsidR="003650AB" w:rsidRPr="008572C5" w:rsidRDefault="003650AB" w:rsidP="00EB2DE2">
            <w:pPr>
              <w:widowControl w:val="0"/>
              <w:tabs>
                <w:tab w:val="left" w:pos="426"/>
                <w:tab w:val="left" w:pos="851"/>
                <w:tab w:val="right" w:pos="10206"/>
              </w:tabs>
              <w:adjustRightInd w:val="0"/>
              <w:jc w:val="center"/>
              <w:rPr>
                <w:rFonts w:ascii="Tahoma" w:hAnsi="Tahoma" w:cs="Tahoma"/>
                <w:bCs/>
                <w:iCs/>
                <w:sz w:val="22"/>
                <w:szCs w:val="22"/>
              </w:rPr>
            </w:pPr>
            <w:r w:rsidRPr="008572C5">
              <w:rPr>
                <w:rFonts w:ascii="Tahoma" w:hAnsi="Tahoma" w:cs="Tahoma"/>
                <w:bCs/>
                <w:iCs/>
                <w:sz w:val="22"/>
                <w:szCs w:val="22"/>
              </w:rPr>
              <w:t>Процентная ставка, % годовых</w:t>
            </w:r>
          </w:p>
        </w:tc>
      </w:tr>
      <w:tr w:rsidR="003650AB" w:rsidRPr="008572C5" w14:paraId="2A7CABE7" w14:textId="77777777" w:rsidTr="00EB2DE2">
        <w:trPr>
          <w:trHeight w:val="70"/>
        </w:trPr>
        <w:tc>
          <w:tcPr>
            <w:tcW w:w="3311" w:type="pct"/>
            <w:tcBorders>
              <w:top w:val="single" w:sz="4" w:space="0" w:color="auto"/>
              <w:left w:val="single" w:sz="4" w:space="0" w:color="auto"/>
              <w:bottom w:val="single" w:sz="4" w:space="0" w:color="auto"/>
              <w:right w:val="single" w:sz="4" w:space="0" w:color="auto"/>
            </w:tcBorders>
          </w:tcPr>
          <w:p w14:paraId="5440D006" w14:textId="77777777" w:rsidR="003650AB" w:rsidRPr="008572C5" w:rsidRDefault="003650AB" w:rsidP="00EB2DE2">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До 1 500 000 рублей включительно</w:t>
            </w:r>
          </w:p>
        </w:tc>
        <w:tc>
          <w:tcPr>
            <w:tcW w:w="1689" w:type="pct"/>
            <w:tcBorders>
              <w:top w:val="single" w:sz="4" w:space="0" w:color="auto"/>
              <w:left w:val="single" w:sz="4" w:space="0" w:color="auto"/>
              <w:bottom w:val="single" w:sz="4" w:space="0" w:color="auto"/>
              <w:right w:val="single" w:sz="4" w:space="0" w:color="auto"/>
            </w:tcBorders>
            <w:vAlign w:val="center"/>
          </w:tcPr>
          <w:p w14:paraId="55795347" w14:textId="77777777" w:rsidR="003650AB" w:rsidRPr="008572C5" w:rsidRDefault="003650AB" w:rsidP="00EB2DE2">
            <w:pPr>
              <w:tabs>
                <w:tab w:val="left" w:pos="284"/>
                <w:tab w:val="left" w:pos="426"/>
              </w:tabs>
              <w:jc w:val="center"/>
              <w:textAlignment w:val="top"/>
              <w:rPr>
                <w:rFonts w:ascii="Tahoma" w:hAnsi="Tahoma" w:cs="Tahoma"/>
                <w:bCs/>
                <w:iCs/>
                <w:color w:val="000000" w:themeColor="text1"/>
                <w:sz w:val="22"/>
                <w:szCs w:val="22"/>
              </w:rPr>
            </w:pPr>
            <w:r w:rsidRPr="008572C5">
              <w:rPr>
                <w:rFonts w:ascii="Tahoma" w:hAnsi="Tahoma" w:cs="Tahoma"/>
                <w:bCs/>
                <w:iCs/>
                <w:color w:val="000000" w:themeColor="text1"/>
                <w:sz w:val="22"/>
                <w:szCs w:val="22"/>
              </w:rPr>
              <w:t>11,00</w:t>
            </w:r>
          </w:p>
        </w:tc>
      </w:tr>
      <w:tr w:rsidR="003650AB" w:rsidRPr="008572C5" w14:paraId="14AB666F" w14:textId="77777777" w:rsidTr="00EB2DE2">
        <w:trPr>
          <w:trHeight w:val="70"/>
        </w:trPr>
        <w:tc>
          <w:tcPr>
            <w:tcW w:w="3311" w:type="pct"/>
            <w:tcBorders>
              <w:top w:val="single" w:sz="4" w:space="0" w:color="auto"/>
              <w:left w:val="single" w:sz="4" w:space="0" w:color="auto"/>
              <w:bottom w:val="single" w:sz="4" w:space="0" w:color="auto"/>
              <w:right w:val="single" w:sz="4" w:space="0" w:color="auto"/>
            </w:tcBorders>
          </w:tcPr>
          <w:p w14:paraId="0BDB7FFB" w14:textId="77777777" w:rsidR="003650AB" w:rsidRPr="008572C5" w:rsidRDefault="003650AB" w:rsidP="00EB2DE2">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Свыше 1 500 000 рублей до 5 000 000 рублей включительно</w:t>
            </w:r>
          </w:p>
        </w:tc>
        <w:tc>
          <w:tcPr>
            <w:tcW w:w="1689" w:type="pct"/>
            <w:tcBorders>
              <w:top w:val="single" w:sz="4" w:space="0" w:color="auto"/>
              <w:left w:val="single" w:sz="4" w:space="0" w:color="auto"/>
              <w:bottom w:val="single" w:sz="4" w:space="0" w:color="auto"/>
              <w:right w:val="single" w:sz="4" w:space="0" w:color="auto"/>
            </w:tcBorders>
            <w:vAlign w:val="center"/>
          </w:tcPr>
          <w:p w14:paraId="7EC98976" w14:textId="77777777" w:rsidR="003650AB" w:rsidRPr="008572C5" w:rsidRDefault="003650AB" w:rsidP="00EB2DE2">
            <w:pPr>
              <w:tabs>
                <w:tab w:val="left" w:pos="284"/>
                <w:tab w:val="left" w:pos="426"/>
              </w:tabs>
              <w:jc w:val="center"/>
              <w:textAlignment w:val="top"/>
              <w:rPr>
                <w:rFonts w:ascii="Tahoma" w:hAnsi="Tahoma" w:cs="Tahoma"/>
                <w:bCs/>
                <w:iCs/>
                <w:color w:val="000000" w:themeColor="text1"/>
                <w:sz w:val="22"/>
                <w:szCs w:val="22"/>
              </w:rPr>
            </w:pPr>
            <w:r w:rsidRPr="008572C5">
              <w:rPr>
                <w:rFonts w:ascii="Tahoma" w:hAnsi="Tahoma" w:cs="Tahoma"/>
                <w:bCs/>
                <w:iCs/>
                <w:color w:val="000000" w:themeColor="text1"/>
                <w:sz w:val="22"/>
                <w:szCs w:val="22"/>
              </w:rPr>
              <w:t>11,00</w:t>
            </w:r>
          </w:p>
        </w:tc>
      </w:tr>
      <w:tr w:rsidR="003650AB" w:rsidRPr="008572C5" w14:paraId="490FF4F0" w14:textId="77777777" w:rsidTr="00EB2DE2">
        <w:trPr>
          <w:trHeight w:val="70"/>
        </w:trPr>
        <w:tc>
          <w:tcPr>
            <w:tcW w:w="3311" w:type="pct"/>
            <w:tcBorders>
              <w:top w:val="single" w:sz="4" w:space="0" w:color="auto"/>
              <w:left w:val="single" w:sz="4" w:space="0" w:color="auto"/>
              <w:bottom w:val="single" w:sz="4" w:space="0" w:color="auto"/>
              <w:right w:val="single" w:sz="4" w:space="0" w:color="auto"/>
            </w:tcBorders>
          </w:tcPr>
          <w:p w14:paraId="0E857FD4" w14:textId="77777777" w:rsidR="003650AB" w:rsidRPr="008572C5" w:rsidRDefault="003650AB" w:rsidP="00EB2DE2">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Свыше 5 000 000 рублей</w:t>
            </w:r>
          </w:p>
        </w:tc>
        <w:tc>
          <w:tcPr>
            <w:tcW w:w="1689" w:type="pct"/>
            <w:tcBorders>
              <w:top w:val="single" w:sz="4" w:space="0" w:color="auto"/>
              <w:left w:val="single" w:sz="4" w:space="0" w:color="auto"/>
              <w:bottom w:val="single" w:sz="4" w:space="0" w:color="auto"/>
              <w:right w:val="single" w:sz="4" w:space="0" w:color="auto"/>
            </w:tcBorders>
            <w:vAlign w:val="center"/>
          </w:tcPr>
          <w:p w14:paraId="328590C7" w14:textId="77777777" w:rsidR="003650AB" w:rsidRPr="008572C5" w:rsidRDefault="003650AB" w:rsidP="00EB2DE2">
            <w:pPr>
              <w:tabs>
                <w:tab w:val="left" w:pos="284"/>
                <w:tab w:val="left" w:pos="426"/>
              </w:tabs>
              <w:jc w:val="center"/>
              <w:textAlignment w:val="top"/>
              <w:rPr>
                <w:rFonts w:ascii="Tahoma" w:hAnsi="Tahoma" w:cs="Tahoma"/>
                <w:bCs/>
                <w:iCs/>
                <w:color w:val="000000" w:themeColor="text1"/>
                <w:sz w:val="22"/>
                <w:szCs w:val="22"/>
              </w:rPr>
            </w:pPr>
            <w:r w:rsidRPr="008572C5">
              <w:rPr>
                <w:rFonts w:ascii="Tahoma" w:hAnsi="Tahoma" w:cs="Tahoma"/>
                <w:bCs/>
                <w:iCs/>
                <w:color w:val="000000" w:themeColor="text1"/>
                <w:sz w:val="22"/>
                <w:szCs w:val="22"/>
              </w:rPr>
              <w:t>11,00</w:t>
            </w:r>
          </w:p>
        </w:tc>
      </w:tr>
    </w:tbl>
    <w:p w14:paraId="04348271" w14:textId="77777777" w:rsidR="003650AB" w:rsidRPr="008572C5" w:rsidRDefault="003650AB" w:rsidP="003650AB">
      <w:pPr>
        <w:jc w:val="both"/>
        <w:rPr>
          <w:rFonts w:ascii="Tahoma" w:eastAsia="Calibri" w:hAnsi="Tahoma" w:cs="Tahoma"/>
          <w:bCs/>
          <w:sz w:val="22"/>
          <w:szCs w:val="22"/>
          <w:lang w:eastAsia="en-US"/>
        </w:rPr>
      </w:pPr>
    </w:p>
    <w:p w14:paraId="6D7CE810" w14:textId="77777777" w:rsidR="003650AB" w:rsidRPr="008572C5" w:rsidRDefault="003650AB" w:rsidP="003650AB">
      <w:pPr>
        <w:ind w:left="-284" w:firstLine="284"/>
        <w:jc w:val="both"/>
        <w:rPr>
          <w:rFonts w:ascii="Tahoma" w:eastAsia="Calibri" w:hAnsi="Tahoma" w:cs="Tahoma"/>
          <w:sz w:val="18"/>
          <w:szCs w:val="18"/>
          <w:lang w:eastAsia="en-US"/>
        </w:rPr>
      </w:pPr>
      <w:r w:rsidRPr="008572C5">
        <w:rPr>
          <w:rFonts w:ascii="Tahoma" w:eastAsia="Calibri" w:hAnsi="Tahoma" w:cs="Tahoma"/>
          <w:sz w:val="18"/>
          <w:szCs w:val="18"/>
          <w:vertAlign w:val="superscript"/>
          <w:lang w:eastAsia="en-US"/>
        </w:rPr>
        <w:t>1</w:t>
      </w:r>
      <w:r w:rsidRPr="008572C5">
        <w:rPr>
          <w:rFonts w:ascii="Tahoma" w:eastAsia="Calibri" w:hAnsi="Tahoma" w:cs="Tahoma"/>
          <w:sz w:val="18"/>
          <w:szCs w:val="18"/>
          <w:lang w:eastAsia="en-US"/>
        </w:rPr>
        <w:t>Минимальный остаток по Счету – рассчитывается исходя из ежедневных остатков денежных средств на Счете Клиента в течение Периода</w:t>
      </w:r>
      <w:r w:rsidRPr="008572C5">
        <w:rPr>
          <w:rFonts w:ascii="Tahoma" w:eastAsia="Calibri" w:hAnsi="Tahoma" w:cs="Tahoma"/>
          <w:sz w:val="18"/>
          <w:szCs w:val="18"/>
          <w:vertAlign w:val="superscript"/>
          <w:lang w:eastAsia="en-US"/>
        </w:rPr>
        <w:t>2</w:t>
      </w:r>
      <w:r w:rsidRPr="008572C5">
        <w:rPr>
          <w:rFonts w:ascii="Tahoma" w:eastAsia="Calibri" w:hAnsi="Tahoma" w:cs="Tahoma"/>
          <w:sz w:val="18"/>
          <w:szCs w:val="18"/>
          <w:lang w:eastAsia="en-US"/>
        </w:rPr>
        <w:t>. Проценты за весь Период начисляются на  сумму минимального остатка денежных средств на Счете, который образуется на начало любого из дней в течение Периода, за который осуществляется выплата процентов Банком Клиенту, при этом выплата процентов за Период производится на Счет в последний день Периода.</w:t>
      </w:r>
    </w:p>
    <w:p w14:paraId="6BDFA4CC" w14:textId="77777777" w:rsidR="003650AB" w:rsidRPr="008572C5" w:rsidRDefault="003650AB" w:rsidP="003650AB">
      <w:pPr>
        <w:ind w:left="-284" w:firstLine="284"/>
        <w:jc w:val="both"/>
        <w:rPr>
          <w:rFonts w:ascii="Tahoma" w:hAnsi="Tahoma" w:cs="Tahoma"/>
          <w:sz w:val="18"/>
          <w:szCs w:val="18"/>
        </w:rPr>
      </w:pPr>
      <w:r w:rsidRPr="008572C5">
        <w:rPr>
          <w:rFonts w:ascii="Tahoma" w:hAnsi="Tahoma" w:cs="Tahoma"/>
          <w:sz w:val="18"/>
          <w:szCs w:val="18"/>
          <w:vertAlign w:val="superscript"/>
        </w:rPr>
        <w:t>2</w:t>
      </w:r>
      <w:r w:rsidRPr="008572C5">
        <w:rPr>
          <w:rFonts w:ascii="Tahoma" w:hAnsi="Tahoma" w:cs="Tahoma"/>
          <w:sz w:val="18"/>
          <w:szCs w:val="18"/>
        </w:rPr>
        <w:t>Период – временной период, за который Клиенту Банком на Минимальный остаток средств на Счете начисляются проценты.  Первый Период исчисляется со дня, следующего за днем внесения денежных средств на Счет до календарного дня в следующем месяце, соответствующего дню открытия Счета включительно. Последующие Периоды исчисляются ежемесячно со дня, следующего после дня окончания предыдущего Периода до календарного дня в следующем месяце, соответствующего дню открытия Счета включительно.</w:t>
      </w:r>
    </w:p>
    <w:p w14:paraId="7DC21107" w14:textId="77777777" w:rsidR="003650AB" w:rsidRPr="008572C5" w:rsidRDefault="003650AB" w:rsidP="003650AB">
      <w:pPr>
        <w:ind w:left="-284" w:firstLine="284"/>
        <w:jc w:val="both"/>
        <w:rPr>
          <w:rFonts w:ascii="Tahoma" w:hAnsi="Tahoma" w:cs="Tahoma"/>
          <w:sz w:val="22"/>
          <w:szCs w:val="22"/>
        </w:rPr>
      </w:pPr>
      <w:r w:rsidRPr="008572C5">
        <w:rPr>
          <w:rFonts w:ascii="Tahoma" w:hAnsi="Tahoma" w:cs="Tahoma"/>
          <w:sz w:val="22"/>
          <w:szCs w:val="22"/>
        </w:rPr>
        <w:t>Размеры процентных ставок определяются Тарифами Банка. В случае внесения изменений в Тарифы Банка Банк информирует Клиента путем размещения информации об изменениях на Официальном сайте Банка и (или) в подразделениях Банка, и (или) через каналы дистанционного банковского обслуживания Интернет-банк «АТБ-Онлайн»/ Мобильный банк «АТБ-Мобайл» не менее чем за 3 рабочих дня до даты вступления изменений в силу.</w:t>
      </w:r>
    </w:p>
    <w:p w14:paraId="1914418A" w14:textId="77777777" w:rsidR="003650AB" w:rsidRPr="008572C5" w:rsidRDefault="003650AB" w:rsidP="003650AB">
      <w:pPr>
        <w:ind w:left="-284" w:firstLine="284"/>
        <w:jc w:val="both"/>
        <w:rPr>
          <w:rFonts w:ascii="Tahoma" w:hAnsi="Tahoma" w:cs="Tahoma"/>
        </w:rPr>
      </w:pPr>
    </w:p>
    <w:p w14:paraId="392318AF" w14:textId="2718D13D" w:rsidR="003650AB" w:rsidRPr="008572C5" w:rsidRDefault="003650AB" w:rsidP="000B3718">
      <w:pPr>
        <w:pStyle w:val="a5"/>
        <w:rPr>
          <w:rFonts w:eastAsia="Calibri"/>
        </w:rPr>
      </w:pPr>
      <w:r w:rsidRPr="008572C5">
        <w:rPr>
          <w:rFonts w:eastAsia="Calibri"/>
        </w:rPr>
        <w:t>3.</w:t>
      </w:r>
      <w:r w:rsidR="00955573">
        <w:rPr>
          <w:rFonts w:eastAsia="Calibri"/>
        </w:rPr>
        <w:t>30</w:t>
      </w:r>
      <w:r w:rsidRPr="008572C5">
        <w:rPr>
          <w:rFonts w:eastAsia="Calibri"/>
        </w:rPr>
        <w:t>. Условия текущего банковского счета «Накопительный счет Супер Копилка» для счетов открытых с 04.03.2022 (действуют с 21.06.2022 по 04.08.2022):</w:t>
      </w:r>
    </w:p>
    <w:p w14:paraId="1276CB57"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Валюта счета – рубли Российской Федерации (далее – рубли);</w:t>
      </w:r>
    </w:p>
    <w:p w14:paraId="7263934E"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Срок размещения – не ограничен;</w:t>
      </w:r>
    </w:p>
    <w:p w14:paraId="71171B35"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Минимальный первоначальный взнос – не ограничен;</w:t>
      </w:r>
    </w:p>
    <w:p w14:paraId="1E7BB478"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Пополнение счета – без ограничений;</w:t>
      </w:r>
    </w:p>
    <w:p w14:paraId="0AC72EF2"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Расходные операции по счету – без ограничений;</w:t>
      </w:r>
    </w:p>
    <w:p w14:paraId="1660BB1B"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Сумма неснижаемого остатка – без ограничений;</w:t>
      </w:r>
    </w:p>
    <w:p w14:paraId="17F6AF56"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Максимальная сумма счета – без ограничений;</w:t>
      </w:r>
    </w:p>
    <w:p w14:paraId="6DB13661"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Периодичность выплаты процентов - ежемесячно, исходя из процентной ставки, установленной по счету и суммы Минимального остатка денежных средств¹, находящихся на счете в течение Периода²;</w:t>
      </w:r>
    </w:p>
    <w:p w14:paraId="428013A9"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 xml:space="preserve">Способ выплаты процентов - </w:t>
      </w:r>
      <w:r w:rsidRPr="008572C5">
        <w:rPr>
          <w:rFonts w:ascii="Tahoma" w:eastAsia="Calibri" w:hAnsi="Tahoma" w:cs="Tahoma"/>
          <w:sz w:val="22"/>
          <w:szCs w:val="22"/>
          <w:lang w:eastAsia="en-US"/>
        </w:rPr>
        <w:t>проценты по Счету причисляются к остатку денежных средств на счете ежемесячно.</w:t>
      </w:r>
    </w:p>
    <w:p w14:paraId="467F0DF1"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Открытие счета и управлением счетом в отделениях Банка и через дистанционные каналы банковского обслуживания Интернет-банк «АТБ-Онлайн»/ Мобильный банк «АТБ-Мобайл».</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17"/>
        <w:gridCol w:w="5110"/>
      </w:tblGrid>
      <w:tr w:rsidR="003650AB" w:rsidRPr="008572C5" w14:paraId="66E12FBD" w14:textId="77777777" w:rsidTr="00EB2DE2">
        <w:trPr>
          <w:trHeight w:val="221"/>
        </w:trPr>
        <w:tc>
          <w:tcPr>
            <w:tcW w:w="3311" w:type="pct"/>
            <w:tcBorders>
              <w:top w:val="single" w:sz="4" w:space="0" w:color="auto"/>
              <w:left w:val="single" w:sz="4" w:space="0" w:color="auto"/>
              <w:right w:val="single" w:sz="4" w:space="0" w:color="auto"/>
            </w:tcBorders>
            <w:hideMark/>
          </w:tcPr>
          <w:p w14:paraId="13469E56" w14:textId="77777777" w:rsidR="003650AB" w:rsidRPr="008572C5" w:rsidRDefault="003650AB" w:rsidP="00EB2DE2">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Минимальный остаток по счету¹</w:t>
            </w:r>
          </w:p>
        </w:tc>
        <w:tc>
          <w:tcPr>
            <w:tcW w:w="1689" w:type="pct"/>
            <w:tcBorders>
              <w:top w:val="single" w:sz="4" w:space="0" w:color="auto"/>
              <w:left w:val="single" w:sz="4" w:space="0" w:color="auto"/>
              <w:right w:val="single" w:sz="4" w:space="0" w:color="auto"/>
            </w:tcBorders>
            <w:hideMark/>
          </w:tcPr>
          <w:p w14:paraId="1734FD2C" w14:textId="77777777" w:rsidR="003650AB" w:rsidRPr="008572C5" w:rsidRDefault="003650AB" w:rsidP="00EB2DE2">
            <w:pPr>
              <w:widowControl w:val="0"/>
              <w:tabs>
                <w:tab w:val="left" w:pos="426"/>
                <w:tab w:val="left" w:pos="851"/>
                <w:tab w:val="right" w:pos="10206"/>
              </w:tabs>
              <w:adjustRightInd w:val="0"/>
              <w:jc w:val="center"/>
              <w:rPr>
                <w:rFonts w:ascii="Tahoma" w:hAnsi="Tahoma" w:cs="Tahoma"/>
                <w:bCs/>
                <w:iCs/>
                <w:sz w:val="22"/>
                <w:szCs w:val="22"/>
              </w:rPr>
            </w:pPr>
            <w:r w:rsidRPr="008572C5">
              <w:rPr>
                <w:rFonts w:ascii="Tahoma" w:hAnsi="Tahoma" w:cs="Tahoma"/>
                <w:bCs/>
                <w:iCs/>
                <w:sz w:val="22"/>
                <w:szCs w:val="22"/>
              </w:rPr>
              <w:t>Процентная ставка, % годовых</w:t>
            </w:r>
          </w:p>
        </w:tc>
      </w:tr>
      <w:tr w:rsidR="003650AB" w:rsidRPr="008572C5" w14:paraId="3F09B522" w14:textId="77777777" w:rsidTr="00EB2DE2">
        <w:trPr>
          <w:trHeight w:val="70"/>
        </w:trPr>
        <w:tc>
          <w:tcPr>
            <w:tcW w:w="3311" w:type="pct"/>
            <w:tcBorders>
              <w:top w:val="single" w:sz="4" w:space="0" w:color="auto"/>
              <w:left w:val="single" w:sz="4" w:space="0" w:color="auto"/>
              <w:bottom w:val="single" w:sz="4" w:space="0" w:color="auto"/>
              <w:right w:val="single" w:sz="4" w:space="0" w:color="auto"/>
            </w:tcBorders>
          </w:tcPr>
          <w:p w14:paraId="67F14CAF" w14:textId="77777777" w:rsidR="003650AB" w:rsidRPr="008572C5" w:rsidRDefault="003650AB" w:rsidP="00EB2DE2">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До 1 500 000 рублей включительно</w:t>
            </w:r>
          </w:p>
        </w:tc>
        <w:tc>
          <w:tcPr>
            <w:tcW w:w="1689" w:type="pct"/>
            <w:tcBorders>
              <w:top w:val="single" w:sz="4" w:space="0" w:color="auto"/>
              <w:left w:val="single" w:sz="4" w:space="0" w:color="auto"/>
              <w:bottom w:val="single" w:sz="4" w:space="0" w:color="auto"/>
              <w:right w:val="single" w:sz="4" w:space="0" w:color="auto"/>
            </w:tcBorders>
            <w:vAlign w:val="center"/>
          </w:tcPr>
          <w:p w14:paraId="2F17CC69" w14:textId="77777777" w:rsidR="003650AB" w:rsidRPr="008572C5" w:rsidRDefault="003650AB" w:rsidP="00EB2DE2">
            <w:pPr>
              <w:tabs>
                <w:tab w:val="left" w:pos="284"/>
                <w:tab w:val="left" w:pos="426"/>
              </w:tabs>
              <w:jc w:val="center"/>
              <w:textAlignment w:val="top"/>
              <w:rPr>
                <w:rFonts w:ascii="Tahoma" w:hAnsi="Tahoma" w:cs="Tahoma"/>
                <w:bCs/>
                <w:iCs/>
                <w:color w:val="FF0000"/>
                <w:sz w:val="22"/>
                <w:szCs w:val="22"/>
              </w:rPr>
            </w:pPr>
            <w:r w:rsidRPr="008572C5">
              <w:rPr>
                <w:rFonts w:ascii="Tahoma" w:hAnsi="Tahoma" w:cs="Tahoma"/>
                <w:bCs/>
                <w:iCs/>
                <w:color w:val="000000" w:themeColor="text1"/>
                <w:sz w:val="22"/>
                <w:szCs w:val="22"/>
              </w:rPr>
              <w:t>9,50</w:t>
            </w:r>
          </w:p>
        </w:tc>
      </w:tr>
      <w:tr w:rsidR="003650AB" w:rsidRPr="008572C5" w14:paraId="31A3BE1D" w14:textId="77777777" w:rsidTr="00EB2DE2">
        <w:trPr>
          <w:trHeight w:val="70"/>
        </w:trPr>
        <w:tc>
          <w:tcPr>
            <w:tcW w:w="3311" w:type="pct"/>
            <w:tcBorders>
              <w:top w:val="single" w:sz="4" w:space="0" w:color="auto"/>
              <w:left w:val="single" w:sz="4" w:space="0" w:color="auto"/>
              <w:bottom w:val="single" w:sz="4" w:space="0" w:color="auto"/>
              <w:right w:val="single" w:sz="4" w:space="0" w:color="auto"/>
            </w:tcBorders>
          </w:tcPr>
          <w:p w14:paraId="72769CC9" w14:textId="77777777" w:rsidR="003650AB" w:rsidRPr="008572C5" w:rsidRDefault="003650AB" w:rsidP="00EB2DE2">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Свыше 1 500 000 рублей до 5 000 000 рублей включительно</w:t>
            </w:r>
          </w:p>
        </w:tc>
        <w:tc>
          <w:tcPr>
            <w:tcW w:w="1689" w:type="pct"/>
            <w:tcBorders>
              <w:top w:val="single" w:sz="4" w:space="0" w:color="auto"/>
              <w:left w:val="single" w:sz="4" w:space="0" w:color="auto"/>
              <w:bottom w:val="single" w:sz="4" w:space="0" w:color="auto"/>
              <w:right w:val="single" w:sz="4" w:space="0" w:color="auto"/>
            </w:tcBorders>
            <w:vAlign w:val="center"/>
          </w:tcPr>
          <w:p w14:paraId="4B69B724" w14:textId="77777777" w:rsidR="003650AB" w:rsidRPr="008572C5" w:rsidRDefault="003650AB" w:rsidP="00EB2DE2">
            <w:pPr>
              <w:tabs>
                <w:tab w:val="left" w:pos="284"/>
                <w:tab w:val="left" w:pos="426"/>
              </w:tabs>
              <w:jc w:val="center"/>
              <w:textAlignment w:val="top"/>
              <w:rPr>
                <w:rFonts w:ascii="Tahoma" w:hAnsi="Tahoma" w:cs="Tahoma"/>
                <w:bCs/>
                <w:iCs/>
                <w:color w:val="FF0000"/>
                <w:sz w:val="22"/>
                <w:szCs w:val="22"/>
              </w:rPr>
            </w:pPr>
            <w:r w:rsidRPr="008572C5">
              <w:rPr>
                <w:rFonts w:ascii="Tahoma" w:hAnsi="Tahoma" w:cs="Tahoma"/>
                <w:bCs/>
                <w:iCs/>
                <w:color w:val="000000" w:themeColor="text1"/>
                <w:sz w:val="22"/>
                <w:szCs w:val="22"/>
              </w:rPr>
              <w:t>9,50</w:t>
            </w:r>
          </w:p>
        </w:tc>
      </w:tr>
      <w:tr w:rsidR="003650AB" w:rsidRPr="008572C5" w14:paraId="3102009F" w14:textId="77777777" w:rsidTr="00EB2DE2">
        <w:trPr>
          <w:trHeight w:val="70"/>
        </w:trPr>
        <w:tc>
          <w:tcPr>
            <w:tcW w:w="3311" w:type="pct"/>
            <w:tcBorders>
              <w:top w:val="single" w:sz="4" w:space="0" w:color="auto"/>
              <w:left w:val="single" w:sz="4" w:space="0" w:color="auto"/>
              <w:bottom w:val="single" w:sz="4" w:space="0" w:color="auto"/>
              <w:right w:val="single" w:sz="4" w:space="0" w:color="auto"/>
            </w:tcBorders>
          </w:tcPr>
          <w:p w14:paraId="71C136CC" w14:textId="77777777" w:rsidR="003650AB" w:rsidRPr="008572C5" w:rsidRDefault="003650AB" w:rsidP="00EB2DE2">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Свыше 5 000 000 рублей</w:t>
            </w:r>
          </w:p>
        </w:tc>
        <w:tc>
          <w:tcPr>
            <w:tcW w:w="1689" w:type="pct"/>
            <w:tcBorders>
              <w:top w:val="single" w:sz="4" w:space="0" w:color="auto"/>
              <w:left w:val="single" w:sz="4" w:space="0" w:color="auto"/>
              <w:bottom w:val="single" w:sz="4" w:space="0" w:color="auto"/>
              <w:right w:val="single" w:sz="4" w:space="0" w:color="auto"/>
            </w:tcBorders>
            <w:vAlign w:val="center"/>
          </w:tcPr>
          <w:p w14:paraId="1C602F44" w14:textId="77777777" w:rsidR="003650AB" w:rsidRPr="008572C5" w:rsidRDefault="003650AB" w:rsidP="00EB2DE2">
            <w:pPr>
              <w:tabs>
                <w:tab w:val="left" w:pos="284"/>
                <w:tab w:val="left" w:pos="426"/>
              </w:tabs>
              <w:jc w:val="center"/>
              <w:textAlignment w:val="top"/>
              <w:rPr>
                <w:rFonts w:ascii="Tahoma" w:hAnsi="Tahoma" w:cs="Tahoma"/>
                <w:bCs/>
                <w:iCs/>
                <w:color w:val="FF0000"/>
                <w:sz w:val="22"/>
                <w:szCs w:val="22"/>
              </w:rPr>
            </w:pPr>
            <w:r w:rsidRPr="008572C5">
              <w:rPr>
                <w:rFonts w:ascii="Tahoma" w:hAnsi="Tahoma" w:cs="Tahoma"/>
                <w:bCs/>
                <w:iCs/>
                <w:color w:val="000000" w:themeColor="text1"/>
                <w:sz w:val="22"/>
                <w:szCs w:val="22"/>
              </w:rPr>
              <w:t>9,50</w:t>
            </w:r>
          </w:p>
        </w:tc>
      </w:tr>
    </w:tbl>
    <w:p w14:paraId="34DEA117" w14:textId="77777777" w:rsidR="003650AB" w:rsidRPr="008572C5" w:rsidRDefault="003650AB" w:rsidP="003650AB">
      <w:pPr>
        <w:jc w:val="both"/>
        <w:rPr>
          <w:rFonts w:ascii="Tahoma" w:eastAsia="Calibri" w:hAnsi="Tahoma" w:cs="Tahoma"/>
          <w:bCs/>
          <w:sz w:val="22"/>
          <w:szCs w:val="22"/>
          <w:lang w:eastAsia="en-US"/>
        </w:rPr>
      </w:pPr>
    </w:p>
    <w:p w14:paraId="5BD6B437" w14:textId="77777777" w:rsidR="003650AB" w:rsidRPr="008572C5" w:rsidRDefault="003650AB" w:rsidP="003650AB">
      <w:pPr>
        <w:ind w:left="-284" w:firstLine="284"/>
        <w:jc w:val="both"/>
        <w:rPr>
          <w:rFonts w:ascii="Tahoma" w:eastAsia="Calibri" w:hAnsi="Tahoma" w:cs="Tahoma"/>
          <w:sz w:val="18"/>
          <w:szCs w:val="18"/>
          <w:lang w:eastAsia="en-US"/>
        </w:rPr>
      </w:pPr>
      <w:r w:rsidRPr="008572C5">
        <w:rPr>
          <w:rFonts w:ascii="Tahoma" w:eastAsia="Calibri" w:hAnsi="Tahoma" w:cs="Tahoma"/>
          <w:sz w:val="18"/>
          <w:szCs w:val="18"/>
          <w:vertAlign w:val="superscript"/>
          <w:lang w:eastAsia="en-US"/>
        </w:rPr>
        <w:t>1</w:t>
      </w:r>
      <w:r w:rsidRPr="008572C5">
        <w:rPr>
          <w:rFonts w:ascii="Tahoma" w:eastAsia="Calibri" w:hAnsi="Tahoma" w:cs="Tahoma"/>
          <w:sz w:val="18"/>
          <w:szCs w:val="18"/>
          <w:lang w:eastAsia="en-US"/>
        </w:rPr>
        <w:t>Минимальный остаток по Счету – рассчитывается исходя из ежедневных остатков денежных средств на Счете Клиента в течение Периода</w:t>
      </w:r>
      <w:r w:rsidRPr="008572C5">
        <w:rPr>
          <w:rFonts w:ascii="Tahoma" w:eastAsia="Calibri" w:hAnsi="Tahoma" w:cs="Tahoma"/>
          <w:sz w:val="18"/>
          <w:szCs w:val="18"/>
          <w:vertAlign w:val="superscript"/>
          <w:lang w:eastAsia="en-US"/>
        </w:rPr>
        <w:t>2</w:t>
      </w:r>
      <w:r w:rsidRPr="008572C5">
        <w:rPr>
          <w:rFonts w:ascii="Tahoma" w:eastAsia="Calibri" w:hAnsi="Tahoma" w:cs="Tahoma"/>
          <w:sz w:val="18"/>
          <w:szCs w:val="18"/>
          <w:lang w:eastAsia="en-US"/>
        </w:rPr>
        <w:t>. Проценты за весь Период начисляются на  сумму минимального остатка денежных средств на Счете, который образуется на начало любого из дней в течение Периода, за который осуществляется выплата процентов Банком Клиенту, при этом выплата процентов за Период производится на Счет в последний день Периода.</w:t>
      </w:r>
    </w:p>
    <w:p w14:paraId="56CC790C" w14:textId="77777777" w:rsidR="003650AB" w:rsidRPr="008572C5" w:rsidRDefault="003650AB" w:rsidP="003650AB">
      <w:pPr>
        <w:ind w:left="-284" w:firstLine="284"/>
        <w:jc w:val="both"/>
        <w:rPr>
          <w:rFonts w:ascii="Tahoma" w:hAnsi="Tahoma" w:cs="Tahoma"/>
          <w:sz w:val="18"/>
          <w:szCs w:val="18"/>
        </w:rPr>
      </w:pPr>
      <w:r w:rsidRPr="008572C5">
        <w:rPr>
          <w:rFonts w:ascii="Tahoma" w:hAnsi="Tahoma" w:cs="Tahoma"/>
          <w:sz w:val="18"/>
          <w:szCs w:val="18"/>
          <w:vertAlign w:val="superscript"/>
        </w:rPr>
        <w:t>2</w:t>
      </w:r>
      <w:r w:rsidRPr="008572C5">
        <w:rPr>
          <w:rFonts w:ascii="Tahoma" w:hAnsi="Tahoma" w:cs="Tahoma"/>
          <w:sz w:val="18"/>
          <w:szCs w:val="18"/>
        </w:rPr>
        <w:t>Период – временной период, за который Клиенту Банком на Минимальный остаток средств на Счете начисляются проценты.  Первый Период исчисляется со дня, следующего за днем внесения денежных средств на Счет до календарного дня в следующем месяце, соответствующего дню открытия Счета включительно. Последующие Периоды исчисляются ежемесячно со дня, следующего после дня окончания предыдущего Периода до календарного дня в следующем месяце, соответствующего дню открытия Счета включительно.</w:t>
      </w:r>
    </w:p>
    <w:p w14:paraId="7D4C9DBE" w14:textId="77777777" w:rsidR="003650AB" w:rsidRPr="008572C5" w:rsidRDefault="003650AB" w:rsidP="003650AB">
      <w:pPr>
        <w:ind w:left="-284" w:firstLine="284"/>
        <w:jc w:val="both"/>
        <w:rPr>
          <w:rFonts w:ascii="Tahoma" w:eastAsia="Calibri" w:hAnsi="Tahoma" w:cs="Tahoma"/>
          <w:sz w:val="22"/>
          <w:szCs w:val="22"/>
          <w:lang w:eastAsia="en-US"/>
        </w:rPr>
      </w:pPr>
      <w:r w:rsidRPr="008572C5">
        <w:rPr>
          <w:rFonts w:ascii="Tahoma" w:eastAsia="Calibri" w:hAnsi="Tahoma" w:cs="Tahoma"/>
          <w:sz w:val="22"/>
          <w:szCs w:val="22"/>
          <w:lang w:eastAsia="en-US"/>
        </w:rPr>
        <w:t>Размеры процентных ставок определяются Тарифами Банка. В случае внесения изменений в Тарифы Банка Банк информирует Клиента путем размещения информации об изменениях на Официальном сайте Банка и (или) в подразделениях Банка, и (или) через каналы дистанционного банковского обслуживания Интернет-банк «АТБ-Онлайн»/ Мобильный банк «АТБ-Мобайл» не менее чем за 3 рабочих дня до даты вступления изменений в силу.</w:t>
      </w:r>
    </w:p>
    <w:p w14:paraId="7F4C80CC" w14:textId="77777777" w:rsidR="003650AB" w:rsidRPr="008572C5" w:rsidRDefault="003650AB" w:rsidP="003650AB">
      <w:pPr>
        <w:ind w:left="-284" w:firstLine="284"/>
        <w:jc w:val="both"/>
        <w:rPr>
          <w:rFonts w:ascii="Tahoma" w:eastAsia="Calibri" w:hAnsi="Tahoma" w:cs="Tahoma"/>
          <w:sz w:val="22"/>
          <w:szCs w:val="22"/>
          <w:lang w:eastAsia="en-US"/>
        </w:rPr>
      </w:pPr>
    </w:p>
    <w:p w14:paraId="34F61F33" w14:textId="4EA6ED8C" w:rsidR="003650AB" w:rsidRPr="008572C5" w:rsidRDefault="00955573" w:rsidP="000B3718">
      <w:pPr>
        <w:pStyle w:val="a5"/>
        <w:rPr>
          <w:rFonts w:eastAsia="Calibri"/>
        </w:rPr>
      </w:pPr>
      <w:r>
        <w:rPr>
          <w:rFonts w:eastAsia="Calibri"/>
        </w:rPr>
        <w:t>3.31</w:t>
      </w:r>
      <w:r w:rsidR="003650AB" w:rsidRPr="008572C5">
        <w:rPr>
          <w:rFonts w:eastAsia="Calibri"/>
        </w:rPr>
        <w:t>. Условия текущего банковского счета «Накопительный счет Супер Копилка» для счетов открытых с 04.03.2022 (действуют с 05.08.2022 по 11.09.2022):</w:t>
      </w:r>
    </w:p>
    <w:p w14:paraId="6117C290"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Валюта счета – рубли Российской Федерации (далее – рубли);</w:t>
      </w:r>
    </w:p>
    <w:p w14:paraId="679002C0"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Срок размещения – не ограничен;</w:t>
      </w:r>
    </w:p>
    <w:p w14:paraId="1AC663EF"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Минимальный первоначальный взнос – не ограничен;</w:t>
      </w:r>
    </w:p>
    <w:p w14:paraId="47F475AE"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Пополнение счета – без ограничений;</w:t>
      </w:r>
    </w:p>
    <w:p w14:paraId="08537459"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Расходные операции по счету – без ограничений;</w:t>
      </w:r>
    </w:p>
    <w:p w14:paraId="04A32F89"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Сумма неснижаемого остатка – без ограничений;</w:t>
      </w:r>
    </w:p>
    <w:p w14:paraId="03634CE7"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Максимальная сумма счета – без ограничений;</w:t>
      </w:r>
    </w:p>
    <w:p w14:paraId="1389DAE4"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Периодичность выплаты процентов - ежемесячно, исходя из процентной ставки, установленной по счету и суммы Минимального остатка денежных средств¹, находящихся на счете в течение Периода²;</w:t>
      </w:r>
    </w:p>
    <w:p w14:paraId="2A9F0D4F"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 xml:space="preserve">Способ выплаты процентов - </w:t>
      </w:r>
      <w:r w:rsidRPr="008572C5">
        <w:rPr>
          <w:rFonts w:ascii="Tahoma" w:eastAsia="Calibri" w:hAnsi="Tahoma" w:cs="Tahoma"/>
          <w:sz w:val="22"/>
          <w:szCs w:val="22"/>
          <w:lang w:eastAsia="en-US"/>
        </w:rPr>
        <w:t>проценты по Счету причисляются к остатку денежных средств на счете ежемесячно.</w:t>
      </w:r>
    </w:p>
    <w:p w14:paraId="32CE572F"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Открытие счета и управлением счетом в отделениях Банка и через дистанционные каналы банковского обслуживания Интернет-банк «АТБ-Онлайн»/ Мобильный банк «АТБ-Мобайл».</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17"/>
        <w:gridCol w:w="5110"/>
      </w:tblGrid>
      <w:tr w:rsidR="003650AB" w:rsidRPr="008572C5" w14:paraId="635E599E" w14:textId="77777777" w:rsidTr="00EB2DE2">
        <w:trPr>
          <w:trHeight w:val="221"/>
        </w:trPr>
        <w:tc>
          <w:tcPr>
            <w:tcW w:w="3311" w:type="pct"/>
            <w:tcBorders>
              <w:top w:val="single" w:sz="4" w:space="0" w:color="auto"/>
              <w:left w:val="single" w:sz="4" w:space="0" w:color="auto"/>
              <w:right w:val="single" w:sz="4" w:space="0" w:color="auto"/>
            </w:tcBorders>
            <w:hideMark/>
          </w:tcPr>
          <w:p w14:paraId="30F3647E" w14:textId="77777777" w:rsidR="003650AB" w:rsidRPr="008572C5" w:rsidRDefault="003650AB" w:rsidP="00EB2DE2">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Минимальный остаток по счету¹</w:t>
            </w:r>
          </w:p>
        </w:tc>
        <w:tc>
          <w:tcPr>
            <w:tcW w:w="1689" w:type="pct"/>
            <w:tcBorders>
              <w:top w:val="single" w:sz="4" w:space="0" w:color="auto"/>
              <w:left w:val="single" w:sz="4" w:space="0" w:color="auto"/>
              <w:right w:val="single" w:sz="4" w:space="0" w:color="auto"/>
            </w:tcBorders>
            <w:hideMark/>
          </w:tcPr>
          <w:p w14:paraId="0462F504" w14:textId="77777777" w:rsidR="003650AB" w:rsidRPr="008572C5" w:rsidRDefault="003650AB" w:rsidP="00EB2DE2">
            <w:pPr>
              <w:widowControl w:val="0"/>
              <w:tabs>
                <w:tab w:val="left" w:pos="426"/>
                <w:tab w:val="left" w:pos="851"/>
                <w:tab w:val="right" w:pos="10206"/>
              </w:tabs>
              <w:adjustRightInd w:val="0"/>
              <w:jc w:val="center"/>
              <w:rPr>
                <w:rFonts w:ascii="Tahoma" w:hAnsi="Tahoma" w:cs="Tahoma"/>
                <w:bCs/>
                <w:iCs/>
                <w:sz w:val="22"/>
                <w:szCs w:val="22"/>
              </w:rPr>
            </w:pPr>
            <w:r w:rsidRPr="008572C5">
              <w:rPr>
                <w:rFonts w:ascii="Tahoma" w:hAnsi="Tahoma" w:cs="Tahoma"/>
                <w:bCs/>
                <w:iCs/>
                <w:sz w:val="22"/>
                <w:szCs w:val="22"/>
              </w:rPr>
              <w:t>Процентная ставка, % годовых</w:t>
            </w:r>
          </w:p>
        </w:tc>
      </w:tr>
      <w:tr w:rsidR="003650AB" w:rsidRPr="008572C5" w14:paraId="599190E1" w14:textId="77777777" w:rsidTr="00EB2DE2">
        <w:trPr>
          <w:trHeight w:val="70"/>
        </w:trPr>
        <w:tc>
          <w:tcPr>
            <w:tcW w:w="3311" w:type="pct"/>
            <w:tcBorders>
              <w:top w:val="single" w:sz="4" w:space="0" w:color="auto"/>
              <w:left w:val="single" w:sz="4" w:space="0" w:color="auto"/>
              <w:bottom w:val="single" w:sz="4" w:space="0" w:color="auto"/>
              <w:right w:val="single" w:sz="4" w:space="0" w:color="auto"/>
            </w:tcBorders>
          </w:tcPr>
          <w:p w14:paraId="35A0E0F5" w14:textId="77777777" w:rsidR="003650AB" w:rsidRPr="008572C5" w:rsidRDefault="003650AB" w:rsidP="00EB2DE2">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До 1 500 000 рублей включительно</w:t>
            </w:r>
          </w:p>
        </w:tc>
        <w:tc>
          <w:tcPr>
            <w:tcW w:w="1689" w:type="pct"/>
            <w:tcBorders>
              <w:top w:val="single" w:sz="4" w:space="0" w:color="auto"/>
              <w:left w:val="single" w:sz="4" w:space="0" w:color="auto"/>
              <w:bottom w:val="single" w:sz="4" w:space="0" w:color="auto"/>
              <w:right w:val="single" w:sz="4" w:space="0" w:color="auto"/>
            </w:tcBorders>
            <w:vAlign w:val="center"/>
          </w:tcPr>
          <w:p w14:paraId="77E2F9AE" w14:textId="77777777" w:rsidR="003650AB" w:rsidRPr="008572C5" w:rsidRDefault="003650AB" w:rsidP="00EB2DE2">
            <w:pPr>
              <w:tabs>
                <w:tab w:val="left" w:pos="284"/>
                <w:tab w:val="left" w:pos="426"/>
              </w:tabs>
              <w:jc w:val="center"/>
              <w:textAlignment w:val="top"/>
              <w:rPr>
                <w:rFonts w:ascii="Tahoma" w:hAnsi="Tahoma" w:cs="Tahoma"/>
                <w:bCs/>
                <w:iCs/>
                <w:color w:val="000000" w:themeColor="text1"/>
                <w:sz w:val="22"/>
                <w:szCs w:val="22"/>
              </w:rPr>
            </w:pPr>
            <w:r w:rsidRPr="008572C5">
              <w:rPr>
                <w:rFonts w:ascii="Tahoma" w:hAnsi="Tahoma" w:cs="Tahoma"/>
                <w:bCs/>
                <w:iCs/>
                <w:color w:val="000000" w:themeColor="text1"/>
                <w:sz w:val="22"/>
                <w:szCs w:val="22"/>
              </w:rPr>
              <w:t>8,50</w:t>
            </w:r>
          </w:p>
        </w:tc>
      </w:tr>
      <w:tr w:rsidR="003650AB" w:rsidRPr="008572C5" w14:paraId="24A51C96" w14:textId="77777777" w:rsidTr="00EB2DE2">
        <w:trPr>
          <w:trHeight w:val="70"/>
        </w:trPr>
        <w:tc>
          <w:tcPr>
            <w:tcW w:w="3311" w:type="pct"/>
            <w:tcBorders>
              <w:top w:val="single" w:sz="4" w:space="0" w:color="auto"/>
              <w:left w:val="single" w:sz="4" w:space="0" w:color="auto"/>
              <w:bottom w:val="single" w:sz="4" w:space="0" w:color="auto"/>
              <w:right w:val="single" w:sz="4" w:space="0" w:color="auto"/>
            </w:tcBorders>
          </w:tcPr>
          <w:p w14:paraId="406FED91" w14:textId="77777777" w:rsidR="003650AB" w:rsidRPr="008572C5" w:rsidRDefault="003650AB" w:rsidP="00EB2DE2">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Свыше 1 500 000 рублей до 5 000 000 рублей включительно</w:t>
            </w:r>
          </w:p>
        </w:tc>
        <w:tc>
          <w:tcPr>
            <w:tcW w:w="1689" w:type="pct"/>
            <w:tcBorders>
              <w:top w:val="single" w:sz="4" w:space="0" w:color="auto"/>
              <w:left w:val="single" w:sz="4" w:space="0" w:color="auto"/>
              <w:bottom w:val="single" w:sz="4" w:space="0" w:color="auto"/>
              <w:right w:val="single" w:sz="4" w:space="0" w:color="auto"/>
            </w:tcBorders>
            <w:vAlign w:val="center"/>
          </w:tcPr>
          <w:p w14:paraId="20F9A7BF" w14:textId="77777777" w:rsidR="003650AB" w:rsidRPr="008572C5" w:rsidRDefault="003650AB" w:rsidP="00EB2DE2">
            <w:pPr>
              <w:tabs>
                <w:tab w:val="left" w:pos="284"/>
                <w:tab w:val="left" w:pos="426"/>
              </w:tabs>
              <w:jc w:val="center"/>
              <w:textAlignment w:val="top"/>
              <w:rPr>
                <w:rFonts w:ascii="Tahoma" w:hAnsi="Tahoma" w:cs="Tahoma"/>
                <w:bCs/>
                <w:iCs/>
                <w:color w:val="000000" w:themeColor="text1"/>
                <w:sz w:val="22"/>
                <w:szCs w:val="22"/>
              </w:rPr>
            </w:pPr>
            <w:r w:rsidRPr="008572C5">
              <w:rPr>
                <w:rFonts w:ascii="Tahoma" w:hAnsi="Tahoma" w:cs="Tahoma"/>
                <w:bCs/>
                <w:iCs/>
                <w:color w:val="000000" w:themeColor="text1"/>
                <w:sz w:val="22"/>
                <w:szCs w:val="22"/>
              </w:rPr>
              <w:t>8,50</w:t>
            </w:r>
          </w:p>
        </w:tc>
      </w:tr>
      <w:tr w:rsidR="003650AB" w:rsidRPr="008572C5" w14:paraId="551A4C20" w14:textId="77777777" w:rsidTr="00EB2DE2">
        <w:trPr>
          <w:trHeight w:val="70"/>
        </w:trPr>
        <w:tc>
          <w:tcPr>
            <w:tcW w:w="3311" w:type="pct"/>
            <w:tcBorders>
              <w:top w:val="single" w:sz="4" w:space="0" w:color="auto"/>
              <w:left w:val="single" w:sz="4" w:space="0" w:color="auto"/>
              <w:bottom w:val="single" w:sz="4" w:space="0" w:color="auto"/>
              <w:right w:val="single" w:sz="4" w:space="0" w:color="auto"/>
            </w:tcBorders>
          </w:tcPr>
          <w:p w14:paraId="6D4663EE" w14:textId="77777777" w:rsidR="003650AB" w:rsidRPr="008572C5" w:rsidRDefault="003650AB" w:rsidP="00EB2DE2">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Свыше 5 000 000 рублей</w:t>
            </w:r>
          </w:p>
        </w:tc>
        <w:tc>
          <w:tcPr>
            <w:tcW w:w="1689" w:type="pct"/>
            <w:tcBorders>
              <w:top w:val="single" w:sz="4" w:space="0" w:color="auto"/>
              <w:left w:val="single" w:sz="4" w:space="0" w:color="auto"/>
              <w:bottom w:val="single" w:sz="4" w:space="0" w:color="auto"/>
              <w:right w:val="single" w:sz="4" w:space="0" w:color="auto"/>
            </w:tcBorders>
            <w:vAlign w:val="center"/>
          </w:tcPr>
          <w:p w14:paraId="40749F91" w14:textId="77777777" w:rsidR="003650AB" w:rsidRPr="008572C5" w:rsidRDefault="003650AB" w:rsidP="00EB2DE2">
            <w:pPr>
              <w:tabs>
                <w:tab w:val="left" w:pos="284"/>
                <w:tab w:val="left" w:pos="426"/>
              </w:tabs>
              <w:jc w:val="center"/>
              <w:textAlignment w:val="top"/>
              <w:rPr>
                <w:rFonts w:ascii="Tahoma" w:hAnsi="Tahoma" w:cs="Tahoma"/>
                <w:bCs/>
                <w:iCs/>
                <w:color w:val="000000" w:themeColor="text1"/>
                <w:sz w:val="22"/>
                <w:szCs w:val="22"/>
              </w:rPr>
            </w:pPr>
            <w:r w:rsidRPr="008572C5">
              <w:rPr>
                <w:rFonts w:ascii="Tahoma" w:hAnsi="Tahoma" w:cs="Tahoma"/>
                <w:bCs/>
                <w:iCs/>
                <w:color w:val="000000" w:themeColor="text1"/>
                <w:sz w:val="22"/>
                <w:szCs w:val="22"/>
              </w:rPr>
              <w:t>8,50</w:t>
            </w:r>
          </w:p>
        </w:tc>
      </w:tr>
    </w:tbl>
    <w:p w14:paraId="6CE74848" w14:textId="77777777" w:rsidR="003650AB" w:rsidRPr="008572C5" w:rsidRDefault="003650AB" w:rsidP="003650AB">
      <w:pPr>
        <w:jc w:val="both"/>
        <w:rPr>
          <w:rFonts w:ascii="Tahoma" w:eastAsia="Calibri" w:hAnsi="Tahoma" w:cs="Tahoma"/>
          <w:bCs/>
          <w:sz w:val="22"/>
          <w:szCs w:val="22"/>
          <w:lang w:eastAsia="en-US"/>
        </w:rPr>
      </w:pPr>
    </w:p>
    <w:p w14:paraId="7FCCD821" w14:textId="77777777" w:rsidR="003650AB" w:rsidRPr="008572C5" w:rsidRDefault="003650AB" w:rsidP="003650AB">
      <w:pPr>
        <w:ind w:left="-284" w:firstLine="284"/>
        <w:jc w:val="both"/>
        <w:rPr>
          <w:rFonts w:ascii="Tahoma" w:eastAsia="Calibri" w:hAnsi="Tahoma" w:cs="Tahoma"/>
          <w:sz w:val="18"/>
          <w:szCs w:val="18"/>
          <w:lang w:eastAsia="en-US"/>
        </w:rPr>
      </w:pPr>
      <w:r w:rsidRPr="008572C5">
        <w:rPr>
          <w:rFonts w:ascii="Tahoma" w:eastAsia="Calibri" w:hAnsi="Tahoma" w:cs="Tahoma"/>
          <w:sz w:val="18"/>
          <w:szCs w:val="18"/>
          <w:vertAlign w:val="superscript"/>
          <w:lang w:eastAsia="en-US"/>
        </w:rPr>
        <w:t>1</w:t>
      </w:r>
      <w:r w:rsidRPr="008572C5">
        <w:rPr>
          <w:rFonts w:ascii="Tahoma" w:eastAsia="Calibri" w:hAnsi="Tahoma" w:cs="Tahoma"/>
          <w:sz w:val="18"/>
          <w:szCs w:val="18"/>
          <w:lang w:eastAsia="en-US"/>
        </w:rPr>
        <w:t>Минимальный остаток по Счету – рассчитывается исходя из ежедневных остатков денежных средств на Счете Клиента в течение Периода</w:t>
      </w:r>
      <w:r w:rsidRPr="008572C5">
        <w:rPr>
          <w:rFonts w:ascii="Tahoma" w:eastAsia="Calibri" w:hAnsi="Tahoma" w:cs="Tahoma"/>
          <w:sz w:val="18"/>
          <w:szCs w:val="18"/>
          <w:vertAlign w:val="superscript"/>
          <w:lang w:eastAsia="en-US"/>
        </w:rPr>
        <w:t>2</w:t>
      </w:r>
      <w:r w:rsidRPr="008572C5">
        <w:rPr>
          <w:rFonts w:ascii="Tahoma" w:eastAsia="Calibri" w:hAnsi="Tahoma" w:cs="Tahoma"/>
          <w:sz w:val="18"/>
          <w:szCs w:val="18"/>
          <w:lang w:eastAsia="en-US"/>
        </w:rPr>
        <w:t>. Проценты за весь Период начисляются на  сумму минимального остатка денежных средств на Счете, который образуется на начало любого из дней в течение Периода, за который осуществляется выплата процентов Банком Клиенту, при этом выплата процентов за Период производится на Счет в последний день Периода.</w:t>
      </w:r>
    </w:p>
    <w:p w14:paraId="708C726E" w14:textId="77777777" w:rsidR="003650AB" w:rsidRPr="008572C5" w:rsidRDefault="003650AB" w:rsidP="003650AB">
      <w:pPr>
        <w:ind w:left="-284" w:firstLine="284"/>
        <w:jc w:val="both"/>
        <w:rPr>
          <w:rFonts w:ascii="Tahoma" w:hAnsi="Tahoma" w:cs="Tahoma"/>
          <w:sz w:val="18"/>
          <w:szCs w:val="18"/>
        </w:rPr>
      </w:pPr>
      <w:r w:rsidRPr="008572C5">
        <w:rPr>
          <w:rFonts w:ascii="Tahoma" w:hAnsi="Tahoma" w:cs="Tahoma"/>
          <w:sz w:val="18"/>
          <w:szCs w:val="18"/>
          <w:vertAlign w:val="superscript"/>
        </w:rPr>
        <w:t>2</w:t>
      </w:r>
      <w:r w:rsidRPr="008572C5">
        <w:rPr>
          <w:rFonts w:ascii="Tahoma" w:hAnsi="Tahoma" w:cs="Tahoma"/>
          <w:sz w:val="18"/>
          <w:szCs w:val="18"/>
        </w:rPr>
        <w:t>Период – временной период, за который Клиенту Банком на Минимальный остаток средств на Счете начисляются проценты.  Первый Период исчисляется со дня, следующего за днем внесения денежных средств на Счет до календарного дня в следующем месяце, соответствующего дню открытия Счета включительно. Последующие Периоды исчисляются ежемесячно со дня, следующего после дня окончания предыдущего Периода до календарного дня в следующем месяце, соответствующего дню открытия Счета включительно.</w:t>
      </w:r>
    </w:p>
    <w:p w14:paraId="570EDD52" w14:textId="77777777" w:rsidR="003650AB" w:rsidRPr="008572C5" w:rsidRDefault="003650AB" w:rsidP="003650AB">
      <w:pPr>
        <w:ind w:left="-284" w:firstLine="284"/>
        <w:jc w:val="both"/>
        <w:rPr>
          <w:rFonts w:ascii="Tahoma" w:eastAsia="Calibri" w:hAnsi="Tahoma" w:cs="Tahoma"/>
          <w:sz w:val="22"/>
          <w:szCs w:val="22"/>
          <w:lang w:eastAsia="en-US"/>
        </w:rPr>
      </w:pPr>
      <w:r w:rsidRPr="008572C5">
        <w:rPr>
          <w:rFonts w:ascii="Tahoma" w:eastAsia="Calibri" w:hAnsi="Tahoma" w:cs="Tahoma"/>
          <w:sz w:val="22"/>
          <w:szCs w:val="22"/>
          <w:lang w:eastAsia="en-US"/>
        </w:rPr>
        <w:t>Размеры процентных ставок определяются Тарифами Банка. В случае внесения изменений в Тарифы Банка Банк информирует Клиента путем размещения информации об изменениях на Официальном сайте Банка и (или) в подразделениях Банка, и (или) через каналы дистанционного банковского обслуживания Интернет-банк «АТБ-Онлайн»/ Мобильный банк «АТБ-Мобайл» не менее чем за 3 рабочих дня до даты вступления изменений в силу.</w:t>
      </w:r>
    </w:p>
    <w:p w14:paraId="704D7A43" w14:textId="77777777" w:rsidR="003650AB" w:rsidRPr="008572C5" w:rsidRDefault="003650AB" w:rsidP="003650AB">
      <w:pPr>
        <w:ind w:left="-284" w:firstLine="284"/>
        <w:jc w:val="both"/>
        <w:rPr>
          <w:rFonts w:ascii="Tahoma" w:eastAsia="Calibri" w:hAnsi="Tahoma" w:cs="Tahoma"/>
          <w:sz w:val="22"/>
          <w:szCs w:val="22"/>
          <w:lang w:eastAsia="en-US"/>
        </w:rPr>
      </w:pPr>
    </w:p>
    <w:p w14:paraId="6758569F" w14:textId="5E829C84" w:rsidR="003650AB" w:rsidRPr="008572C5" w:rsidRDefault="00955573" w:rsidP="000B3718">
      <w:pPr>
        <w:pStyle w:val="a5"/>
        <w:rPr>
          <w:rFonts w:eastAsia="Calibri"/>
        </w:rPr>
      </w:pPr>
      <w:r>
        <w:rPr>
          <w:rFonts w:eastAsia="Calibri"/>
        </w:rPr>
        <w:t>3.32</w:t>
      </w:r>
      <w:r w:rsidR="003650AB" w:rsidRPr="008572C5">
        <w:rPr>
          <w:rFonts w:eastAsia="Calibri"/>
        </w:rPr>
        <w:t>. Условия текущего банковского счета «Накопительный счет Супер Копилка» для счетов открытых с 04.03.2022 (действуют с 12.09.2022 по 19.10.2022):</w:t>
      </w:r>
    </w:p>
    <w:p w14:paraId="42FFFC63"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Валюта счета – рубли Российской Федерации (далее – рубли);</w:t>
      </w:r>
    </w:p>
    <w:p w14:paraId="718227A5"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Срок размещения – не ограничен;</w:t>
      </w:r>
    </w:p>
    <w:p w14:paraId="2937E24C"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Минимальный первоначальный взнос – не ограничен;</w:t>
      </w:r>
    </w:p>
    <w:p w14:paraId="5FF1531A"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Пополнение счета – без ограничений;</w:t>
      </w:r>
    </w:p>
    <w:p w14:paraId="480DEFF3"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Расходные операции по счету – без ограничений;</w:t>
      </w:r>
    </w:p>
    <w:p w14:paraId="59BB1F82"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Сумма неснижаемого остатка – без ограничений;</w:t>
      </w:r>
    </w:p>
    <w:p w14:paraId="7AB49D15"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Максимальная сумма счета – без ограничений;</w:t>
      </w:r>
    </w:p>
    <w:p w14:paraId="7DFB2D2E"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Периодичность выплаты процентов - ежемесячно, исходя из процентной ставки, установленной по счету и суммы Минимального остатка денежных средств¹, находящихся на счете в течение Периода²;</w:t>
      </w:r>
    </w:p>
    <w:p w14:paraId="280135F9"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 xml:space="preserve">Способ выплаты процентов - </w:t>
      </w:r>
      <w:r w:rsidRPr="008572C5">
        <w:rPr>
          <w:rFonts w:ascii="Tahoma" w:eastAsia="Calibri" w:hAnsi="Tahoma" w:cs="Tahoma"/>
          <w:sz w:val="22"/>
          <w:szCs w:val="22"/>
          <w:lang w:eastAsia="en-US"/>
        </w:rPr>
        <w:t>проценты по Счету причисляются к остатку денежных средств на счете ежемесячно.</w:t>
      </w:r>
    </w:p>
    <w:p w14:paraId="51805976"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Открытие счета и управлением счетом в отделениях Банка и через дистанционные каналы банковского обслуживания Интернет-банк «АТБ-Онлайн»/ Мобильный банк «АТБ-Мобайл».</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17"/>
        <w:gridCol w:w="5110"/>
      </w:tblGrid>
      <w:tr w:rsidR="003650AB" w:rsidRPr="008572C5" w14:paraId="303423D4" w14:textId="77777777" w:rsidTr="00EB2DE2">
        <w:trPr>
          <w:trHeight w:val="221"/>
        </w:trPr>
        <w:tc>
          <w:tcPr>
            <w:tcW w:w="3311" w:type="pct"/>
            <w:tcBorders>
              <w:top w:val="single" w:sz="4" w:space="0" w:color="auto"/>
              <w:left w:val="single" w:sz="4" w:space="0" w:color="auto"/>
              <w:right w:val="single" w:sz="4" w:space="0" w:color="auto"/>
            </w:tcBorders>
            <w:hideMark/>
          </w:tcPr>
          <w:p w14:paraId="43F4F310" w14:textId="77777777" w:rsidR="003650AB" w:rsidRPr="008572C5" w:rsidRDefault="003650AB" w:rsidP="00EB2DE2">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Минимальный остаток по счету¹</w:t>
            </w:r>
          </w:p>
        </w:tc>
        <w:tc>
          <w:tcPr>
            <w:tcW w:w="1689" w:type="pct"/>
            <w:tcBorders>
              <w:top w:val="single" w:sz="4" w:space="0" w:color="auto"/>
              <w:left w:val="single" w:sz="4" w:space="0" w:color="auto"/>
              <w:right w:val="single" w:sz="4" w:space="0" w:color="auto"/>
            </w:tcBorders>
            <w:hideMark/>
          </w:tcPr>
          <w:p w14:paraId="271D7592" w14:textId="77777777" w:rsidR="003650AB" w:rsidRPr="008572C5" w:rsidRDefault="003650AB" w:rsidP="00EB2DE2">
            <w:pPr>
              <w:widowControl w:val="0"/>
              <w:tabs>
                <w:tab w:val="left" w:pos="426"/>
                <w:tab w:val="left" w:pos="851"/>
                <w:tab w:val="right" w:pos="10206"/>
              </w:tabs>
              <w:adjustRightInd w:val="0"/>
              <w:jc w:val="center"/>
              <w:rPr>
                <w:rFonts w:ascii="Tahoma" w:hAnsi="Tahoma" w:cs="Tahoma"/>
                <w:bCs/>
                <w:iCs/>
                <w:sz w:val="22"/>
                <w:szCs w:val="22"/>
              </w:rPr>
            </w:pPr>
            <w:r w:rsidRPr="008572C5">
              <w:rPr>
                <w:rFonts w:ascii="Tahoma" w:hAnsi="Tahoma" w:cs="Tahoma"/>
                <w:bCs/>
                <w:iCs/>
                <w:sz w:val="22"/>
                <w:szCs w:val="22"/>
              </w:rPr>
              <w:t>Процентная ставка, % годовых</w:t>
            </w:r>
          </w:p>
        </w:tc>
      </w:tr>
      <w:tr w:rsidR="003650AB" w:rsidRPr="008572C5" w14:paraId="59BC9DE8" w14:textId="77777777" w:rsidTr="00EB2DE2">
        <w:trPr>
          <w:trHeight w:val="70"/>
        </w:trPr>
        <w:tc>
          <w:tcPr>
            <w:tcW w:w="3311" w:type="pct"/>
            <w:tcBorders>
              <w:top w:val="single" w:sz="4" w:space="0" w:color="auto"/>
              <w:left w:val="single" w:sz="4" w:space="0" w:color="auto"/>
              <w:bottom w:val="single" w:sz="4" w:space="0" w:color="auto"/>
              <w:right w:val="single" w:sz="4" w:space="0" w:color="auto"/>
            </w:tcBorders>
          </w:tcPr>
          <w:p w14:paraId="5B4F41EC" w14:textId="77777777" w:rsidR="003650AB" w:rsidRPr="008572C5" w:rsidRDefault="003650AB" w:rsidP="00EB2DE2">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До 1 500 000 рублей включительно</w:t>
            </w:r>
          </w:p>
        </w:tc>
        <w:tc>
          <w:tcPr>
            <w:tcW w:w="1689" w:type="pct"/>
            <w:tcBorders>
              <w:top w:val="single" w:sz="4" w:space="0" w:color="auto"/>
              <w:left w:val="single" w:sz="4" w:space="0" w:color="auto"/>
              <w:bottom w:val="single" w:sz="4" w:space="0" w:color="auto"/>
              <w:right w:val="single" w:sz="4" w:space="0" w:color="auto"/>
            </w:tcBorders>
            <w:vAlign w:val="center"/>
          </w:tcPr>
          <w:p w14:paraId="0AA0E6A2" w14:textId="77777777" w:rsidR="003650AB" w:rsidRPr="008572C5" w:rsidRDefault="003650AB" w:rsidP="00EB2DE2">
            <w:pPr>
              <w:tabs>
                <w:tab w:val="left" w:pos="284"/>
                <w:tab w:val="left" w:pos="426"/>
              </w:tabs>
              <w:jc w:val="center"/>
              <w:textAlignment w:val="top"/>
              <w:rPr>
                <w:rFonts w:ascii="Tahoma" w:hAnsi="Tahoma" w:cs="Tahoma"/>
                <w:bCs/>
                <w:iCs/>
                <w:color w:val="000000" w:themeColor="text1"/>
                <w:sz w:val="22"/>
                <w:szCs w:val="22"/>
              </w:rPr>
            </w:pPr>
            <w:r w:rsidRPr="008572C5">
              <w:rPr>
                <w:rFonts w:ascii="Tahoma" w:hAnsi="Tahoma" w:cs="Tahoma"/>
                <w:bCs/>
                <w:iCs/>
                <w:color w:val="000000" w:themeColor="text1"/>
                <w:sz w:val="22"/>
                <w:szCs w:val="22"/>
              </w:rPr>
              <w:t>8,00</w:t>
            </w:r>
          </w:p>
        </w:tc>
      </w:tr>
      <w:tr w:rsidR="003650AB" w:rsidRPr="008572C5" w14:paraId="6473BFA3" w14:textId="77777777" w:rsidTr="00EB2DE2">
        <w:trPr>
          <w:trHeight w:val="70"/>
        </w:trPr>
        <w:tc>
          <w:tcPr>
            <w:tcW w:w="3311" w:type="pct"/>
            <w:tcBorders>
              <w:top w:val="single" w:sz="4" w:space="0" w:color="auto"/>
              <w:left w:val="single" w:sz="4" w:space="0" w:color="auto"/>
              <w:bottom w:val="single" w:sz="4" w:space="0" w:color="auto"/>
              <w:right w:val="single" w:sz="4" w:space="0" w:color="auto"/>
            </w:tcBorders>
          </w:tcPr>
          <w:p w14:paraId="3402AAF1" w14:textId="77777777" w:rsidR="003650AB" w:rsidRPr="008572C5" w:rsidRDefault="003650AB" w:rsidP="00EB2DE2">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Свыше 1 500 000 рублей до 5 000 000 рублей включительно</w:t>
            </w:r>
          </w:p>
        </w:tc>
        <w:tc>
          <w:tcPr>
            <w:tcW w:w="1689" w:type="pct"/>
            <w:tcBorders>
              <w:top w:val="single" w:sz="4" w:space="0" w:color="auto"/>
              <w:left w:val="single" w:sz="4" w:space="0" w:color="auto"/>
              <w:bottom w:val="single" w:sz="4" w:space="0" w:color="auto"/>
              <w:right w:val="single" w:sz="4" w:space="0" w:color="auto"/>
            </w:tcBorders>
            <w:vAlign w:val="center"/>
          </w:tcPr>
          <w:p w14:paraId="6564BB56" w14:textId="77777777" w:rsidR="003650AB" w:rsidRPr="008572C5" w:rsidRDefault="003650AB" w:rsidP="00EB2DE2">
            <w:pPr>
              <w:tabs>
                <w:tab w:val="left" w:pos="284"/>
                <w:tab w:val="left" w:pos="426"/>
              </w:tabs>
              <w:jc w:val="center"/>
              <w:textAlignment w:val="top"/>
              <w:rPr>
                <w:rFonts w:ascii="Tahoma" w:hAnsi="Tahoma" w:cs="Tahoma"/>
                <w:bCs/>
                <w:iCs/>
                <w:color w:val="000000" w:themeColor="text1"/>
                <w:sz w:val="22"/>
                <w:szCs w:val="22"/>
              </w:rPr>
            </w:pPr>
            <w:r w:rsidRPr="008572C5">
              <w:rPr>
                <w:rFonts w:ascii="Tahoma" w:hAnsi="Tahoma" w:cs="Tahoma"/>
                <w:bCs/>
                <w:iCs/>
                <w:color w:val="000000" w:themeColor="text1"/>
                <w:sz w:val="22"/>
                <w:szCs w:val="22"/>
              </w:rPr>
              <w:t>8,00</w:t>
            </w:r>
          </w:p>
        </w:tc>
      </w:tr>
      <w:tr w:rsidR="003650AB" w:rsidRPr="008572C5" w14:paraId="58FCC4EE" w14:textId="77777777" w:rsidTr="00EB2DE2">
        <w:trPr>
          <w:trHeight w:val="70"/>
        </w:trPr>
        <w:tc>
          <w:tcPr>
            <w:tcW w:w="3311" w:type="pct"/>
            <w:tcBorders>
              <w:top w:val="single" w:sz="4" w:space="0" w:color="auto"/>
              <w:left w:val="single" w:sz="4" w:space="0" w:color="auto"/>
              <w:bottom w:val="single" w:sz="4" w:space="0" w:color="auto"/>
              <w:right w:val="single" w:sz="4" w:space="0" w:color="auto"/>
            </w:tcBorders>
          </w:tcPr>
          <w:p w14:paraId="478BB18C" w14:textId="77777777" w:rsidR="003650AB" w:rsidRPr="008572C5" w:rsidRDefault="003650AB" w:rsidP="00EB2DE2">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Свыше 5 000 000 рублей</w:t>
            </w:r>
          </w:p>
        </w:tc>
        <w:tc>
          <w:tcPr>
            <w:tcW w:w="1689" w:type="pct"/>
            <w:tcBorders>
              <w:top w:val="single" w:sz="4" w:space="0" w:color="auto"/>
              <w:left w:val="single" w:sz="4" w:space="0" w:color="auto"/>
              <w:bottom w:val="single" w:sz="4" w:space="0" w:color="auto"/>
              <w:right w:val="single" w:sz="4" w:space="0" w:color="auto"/>
            </w:tcBorders>
            <w:vAlign w:val="center"/>
          </w:tcPr>
          <w:p w14:paraId="55271FD3" w14:textId="77777777" w:rsidR="003650AB" w:rsidRPr="008572C5" w:rsidRDefault="003650AB" w:rsidP="00EB2DE2">
            <w:pPr>
              <w:tabs>
                <w:tab w:val="left" w:pos="284"/>
                <w:tab w:val="left" w:pos="426"/>
              </w:tabs>
              <w:jc w:val="center"/>
              <w:textAlignment w:val="top"/>
              <w:rPr>
                <w:rFonts w:ascii="Tahoma" w:hAnsi="Tahoma" w:cs="Tahoma"/>
                <w:bCs/>
                <w:iCs/>
                <w:color w:val="000000" w:themeColor="text1"/>
                <w:sz w:val="22"/>
                <w:szCs w:val="22"/>
              </w:rPr>
            </w:pPr>
            <w:r w:rsidRPr="008572C5">
              <w:rPr>
                <w:rFonts w:ascii="Tahoma" w:hAnsi="Tahoma" w:cs="Tahoma"/>
                <w:bCs/>
                <w:iCs/>
                <w:color w:val="000000" w:themeColor="text1"/>
                <w:sz w:val="22"/>
                <w:szCs w:val="22"/>
              </w:rPr>
              <w:t>8,00</w:t>
            </w:r>
          </w:p>
        </w:tc>
      </w:tr>
    </w:tbl>
    <w:p w14:paraId="741BD226" w14:textId="77777777" w:rsidR="003650AB" w:rsidRPr="008572C5" w:rsidRDefault="003650AB" w:rsidP="003650AB">
      <w:pPr>
        <w:jc w:val="both"/>
        <w:rPr>
          <w:rFonts w:ascii="Tahoma" w:eastAsia="Calibri" w:hAnsi="Tahoma" w:cs="Tahoma"/>
          <w:bCs/>
          <w:sz w:val="22"/>
          <w:szCs w:val="22"/>
          <w:lang w:eastAsia="en-US"/>
        </w:rPr>
      </w:pPr>
    </w:p>
    <w:p w14:paraId="6A59E706" w14:textId="77777777" w:rsidR="003650AB" w:rsidRPr="008572C5" w:rsidRDefault="003650AB" w:rsidP="003650AB">
      <w:pPr>
        <w:ind w:left="-284" w:firstLine="284"/>
        <w:jc w:val="both"/>
        <w:rPr>
          <w:rFonts w:ascii="Tahoma" w:eastAsia="Calibri" w:hAnsi="Tahoma" w:cs="Tahoma"/>
          <w:sz w:val="18"/>
          <w:szCs w:val="18"/>
          <w:lang w:eastAsia="en-US"/>
        </w:rPr>
      </w:pPr>
      <w:r w:rsidRPr="008572C5">
        <w:rPr>
          <w:rFonts w:ascii="Tahoma" w:eastAsia="Calibri" w:hAnsi="Tahoma" w:cs="Tahoma"/>
          <w:sz w:val="18"/>
          <w:szCs w:val="18"/>
          <w:vertAlign w:val="superscript"/>
          <w:lang w:eastAsia="en-US"/>
        </w:rPr>
        <w:t>1</w:t>
      </w:r>
      <w:r w:rsidRPr="008572C5">
        <w:rPr>
          <w:rFonts w:ascii="Tahoma" w:eastAsia="Calibri" w:hAnsi="Tahoma" w:cs="Tahoma"/>
          <w:sz w:val="18"/>
          <w:szCs w:val="18"/>
          <w:lang w:eastAsia="en-US"/>
        </w:rPr>
        <w:t>Минимальный остаток по Счету – рассчитывается исходя из ежедневных остатков денежных средств на Счете Клиента в течение Периода</w:t>
      </w:r>
      <w:r w:rsidRPr="008572C5">
        <w:rPr>
          <w:rFonts w:ascii="Tahoma" w:eastAsia="Calibri" w:hAnsi="Tahoma" w:cs="Tahoma"/>
          <w:sz w:val="18"/>
          <w:szCs w:val="18"/>
          <w:vertAlign w:val="superscript"/>
          <w:lang w:eastAsia="en-US"/>
        </w:rPr>
        <w:t>2</w:t>
      </w:r>
      <w:r w:rsidRPr="008572C5">
        <w:rPr>
          <w:rFonts w:ascii="Tahoma" w:eastAsia="Calibri" w:hAnsi="Tahoma" w:cs="Tahoma"/>
          <w:sz w:val="18"/>
          <w:szCs w:val="18"/>
          <w:lang w:eastAsia="en-US"/>
        </w:rPr>
        <w:t>. Проценты за весь Период начисляются на  сумму минимального остатка денежных средств на Счете, который образуется на начало любого из дней в течение Периода, за который осуществляется выплата процентов Банком Клиенту, при этом выплата процентов за Период производится на Счет в последний день Периода.</w:t>
      </w:r>
    </w:p>
    <w:p w14:paraId="1600CEB0" w14:textId="77777777" w:rsidR="003650AB" w:rsidRPr="008572C5" w:rsidRDefault="003650AB" w:rsidP="003650AB">
      <w:pPr>
        <w:ind w:left="-284" w:firstLine="284"/>
        <w:jc w:val="both"/>
        <w:rPr>
          <w:rFonts w:ascii="Tahoma" w:hAnsi="Tahoma" w:cs="Tahoma"/>
          <w:sz w:val="18"/>
          <w:szCs w:val="18"/>
        </w:rPr>
      </w:pPr>
      <w:r w:rsidRPr="008572C5">
        <w:rPr>
          <w:rFonts w:ascii="Tahoma" w:hAnsi="Tahoma" w:cs="Tahoma"/>
          <w:sz w:val="18"/>
          <w:szCs w:val="18"/>
          <w:vertAlign w:val="superscript"/>
        </w:rPr>
        <w:t>2</w:t>
      </w:r>
      <w:r w:rsidRPr="008572C5">
        <w:rPr>
          <w:rFonts w:ascii="Tahoma" w:hAnsi="Tahoma" w:cs="Tahoma"/>
          <w:sz w:val="18"/>
          <w:szCs w:val="18"/>
        </w:rPr>
        <w:t>Период – временной период, за который Клиенту Банком на Минимальный остаток средств на Счете начисляются проценты.  Первый Период исчисляется со дня, следующего за днем внесения денежных средств на Счет до календарного дня в следующем месяце, соответствующего дню открытия Счета включительно. Последующие Периоды исчисляются ежемесячно со дня, следующего после дня окончания предыдущего Периода до календарного дня в следующем месяце, соответствующего дню открытия Счета включительно.</w:t>
      </w:r>
    </w:p>
    <w:p w14:paraId="3805F2EE" w14:textId="77777777" w:rsidR="003650AB" w:rsidRPr="008572C5" w:rsidRDefault="003650AB" w:rsidP="003650AB">
      <w:pPr>
        <w:ind w:left="-284" w:firstLine="284"/>
        <w:jc w:val="both"/>
        <w:rPr>
          <w:rFonts w:ascii="Tahoma" w:eastAsia="Calibri" w:hAnsi="Tahoma" w:cs="Tahoma"/>
          <w:sz w:val="22"/>
          <w:szCs w:val="22"/>
          <w:lang w:eastAsia="en-US"/>
        </w:rPr>
      </w:pPr>
      <w:r w:rsidRPr="008572C5">
        <w:rPr>
          <w:rFonts w:ascii="Tahoma" w:eastAsia="Calibri" w:hAnsi="Tahoma" w:cs="Tahoma"/>
          <w:sz w:val="22"/>
          <w:szCs w:val="22"/>
          <w:lang w:eastAsia="en-US"/>
        </w:rPr>
        <w:t>Размеры процентных ставок определяются Тарифами Банка. В случае внесения изменений в Тарифы Банка Банк информирует Клиента путем размещения информации об изменениях на Официальном сайте Банка и (или) в подразделениях Банка, и (или) через каналы дистанционного банковского обслуживания Интернет-банк «АТБ-Онлайн»/ Мобильный банк «АТБ-Мобайл» не менее чем за 3 рабочих дня до даты вступления изменений в силу.</w:t>
      </w:r>
    </w:p>
    <w:p w14:paraId="574568C1" w14:textId="77777777" w:rsidR="003650AB" w:rsidRPr="008572C5" w:rsidRDefault="003650AB" w:rsidP="003650AB">
      <w:pPr>
        <w:ind w:left="-284" w:firstLine="284"/>
        <w:jc w:val="both"/>
        <w:rPr>
          <w:rFonts w:ascii="Tahoma" w:eastAsia="Calibri" w:hAnsi="Tahoma" w:cs="Tahoma"/>
          <w:color w:val="00B050"/>
          <w:sz w:val="22"/>
          <w:szCs w:val="22"/>
          <w:lang w:eastAsia="en-US"/>
        </w:rPr>
      </w:pPr>
    </w:p>
    <w:p w14:paraId="1CD09B38" w14:textId="1B0C914A" w:rsidR="003650AB" w:rsidRPr="008572C5" w:rsidRDefault="0033066F" w:rsidP="000B3718">
      <w:pPr>
        <w:pStyle w:val="a5"/>
        <w:rPr>
          <w:rFonts w:eastAsia="Calibri"/>
        </w:rPr>
      </w:pPr>
      <w:r>
        <w:rPr>
          <w:rFonts w:eastAsia="Calibri"/>
        </w:rPr>
        <w:t>3.3</w:t>
      </w:r>
      <w:r w:rsidR="00955573">
        <w:rPr>
          <w:rFonts w:eastAsia="Calibri"/>
        </w:rPr>
        <w:t>3</w:t>
      </w:r>
      <w:r w:rsidR="003650AB" w:rsidRPr="008572C5">
        <w:rPr>
          <w:rFonts w:eastAsia="Calibri"/>
        </w:rPr>
        <w:t xml:space="preserve">. Условия текущего банковского счета «Накопительный счет Супер Копилка» для счетов открытых с 04.03.2022 (действуют с 20.10.2022 </w:t>
      </w:r>
      <w:r w:rsidR="003650AB" w:rsidRPr="00CD490E">
        <w:rPr>
          <w:rFonts w:eastAsia="Calibri"/>
        </w:rPr>
        <w:t>по 20.02.2023</w:t>
      </w:r>
      <w:r w:rsidR="003650AB" w:rsidRPr="008572C5">
        <w:rPr>
          <w:rFonts w:eastAsia="Calibri"/>
        </w:rPr>
        <w:t>):</w:t>
      </w:r>
    </w:p>
    <w:p w14:paraId="09DF646D"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Валюта счета – рубли Российской Федерации (далее – рубли);</w:t>
      </w:r>
    </w:p>
    <w:p w14:paraId="5A1C5C19"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Срок размещения – не ограничен;</w:t>
      </w:r>
    </w:p>
    <w:p w14:paraId="0D061542"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Минимальный первоначальный взнос – не ограничен;</w:t>
      </w:r>
    </w:p>
    <w:p w14:paraId="3D6A4737"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Пополнение счета – без ограничений;</w:t>
      </w:r>
    </w:p>
    <w:p w14:paraId="313AD256"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Расходные операции по счету – без ограничений;</w:t>
      </w:r>
    </w:p>
    <w:p w14:paraId="38A4006A"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Сумма неснижаемого остатка – без ограничений;</w:t>
      </w:r>
    </w:p>
    <w:p w14:paraId="06B0ADD1"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Максимальная сумма счета – без ограничений;</w:t>
      </w:r>
    </w:p>
    <w:p w14:paraId="4308CD18"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Периодичность выплаты процентов - ежемесячно, исходя из процентной ставки, установленной по счету и суммы Минимального остатка денежных средств¹, находящихся на счете в течение Периода²;</w:t>
      </w:r>
    </w:p>
    <w:p w14:paraId="43B0E4F7"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 xml:space="preserve">Способ выплаты процентов - </w:t>
      </w:r>
      <w:r w:rsidRPr="008572C5">
        <w:rPr>
          <w:rFonts w:ascii="Tahoma" w:eastAsia="Calibri" w:hAnsi="Tahoma" w:cs="Tahoma"/>
          <w:sz w:val="22"/>
          <w:szCs w:val="22"/>
          <w:lang w:eastAsia="en-US"/>
        </w:rPr>
        <w:t>проценты по Счету причисляются к остатку денежных средств на счете ежемесячно.</w:t>
      </w:r>
    </w:p>
    <w:p w14:paraId="744CAA00"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Открытие счета и управлением счетом в отделениях Банка и через дистанционные каналы банковского обслуживания Интернет-банк «АТБ-Онлайн»/ Мобильный банк «АТБ-Мобайл».</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17"/>
        <w:gridCol w:w="5110"/>
      </w:tblGrid>
      <w:tr w:rsidR="003650AB" w:rsidRPr="008572C5" w14:paraId="6CA3FED7" w14:textId="77777777" w:rsidTr="00EB2DE2">
        <w:trPr>
          <w:trHeight w:val="221"/>
        </w:trPr>
        <w:tc>
          <w:tcPr>
            <w:tcW w:w="3311" w:type="pct"/>
            <w:tcBorders>
              <w:top w:val="single" w:sz="4" w:space="0" w:color="auto"/>
              <w:left w:val="single" w:sz="4" w:space="0" w:color="auto"/>
              <w:right w:val="single" w:sz="4" w:space="0" w:color="auto"/>
            </w:tcBorders>
            <w:hideMark/>
          </w:tcPr>
          <w:p w14:paraId="3C22ACC6" w14:textId="77777777" w:rsidR="003650AB" w:rsidRPr="008572C5" w:rsidRDefault="003650AB" w:rsidP="00EB2DE2">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Минимальный остаток по счету¹</w:t>
            </w:r>
          </w:p>
        </w:tc>
        <w:tc>
          <w:tcPr>
            <w:tcW w:w="1689" w:type="pct"/>
            <w:tcBorders>
              <w:top w:val="single" w:sz="4" w:space="0" w:color="auto"/>
              <w:left w:val="single" w:sz="4" w:space="0" w:color="auto"/>
              <w:right w:val="single" w:sz="4" w:space="0" w:color="auto"/>
            </w:tcBorders>
            <w:hideMark/>
          </w:tcPr>
          <w:p w14:paraId="194AFBA1" w14:textId="77777777" w:rsidR="003650AB" w:rsidRPr="008572C5" w:rsidRDefault="003650AB" w:rsidP="00EB2DE2">
            <w:pPr>
              <w:widowControl w:val="0"/>
              <w:tabs>
                <w:tab w:val="left" w:pos="426"/>
                <w:tab w:val="left" w:pos="851"/>
                <w:tab w:val="right" w:pos="10206"/>
              </w:tabs>
              <w:adjustRightInd w:val="0"/>
              <w:jc w:val="center"/>
              <w:rPr>
                <w:rFonts w:ascii="Tahoma" w:hAnsi="Tahoma" w:cs="Tahoma"/>
                <w:bCs/>
                <w:iCs/>
                <w:sz w:val="22"/>
                <w:szCs w:val="22"/>
              </w:rPr>
            </w:pPr>
            <w:r w:rsidRPr="008572C5">
              <w:rPr>
                <w:rFonts w:ascii="Tahoma" w:hAnsi="Tahoma" w:cs="Tahoma"/>
                <w:bCs/>
                <w:iCs/>
                <w:sz w:val="22"/>
                <w:szCs w:val="22"/>
              </w:rPr>
              <w:t>Процентная ставка, % годовых</w:t>
            </w:r>
          </w:p>
        </w:tc>
      </w:tr>
      <w:tr w:rsidR="003650AB" w:rsidRPr="008572C5" w14:paraId="67E4E724" w14:textId="77777777" w:rsidTr="00EB2DE2">
        <w:trPr>
          <w:trHeight w:val="70"/>
        </w:trPr>
        <w:tc>
          <w:tcPr>
            <w:tcW w:w="3311" w:type="pct"/>
            <w:tcBorders>
              <w:top w:val="single" w:sz="4" w:space="0" w:color="auto"/>
              <w:left w:val="single" w:sz="4" w:space="0" w:color="auto"/>
              <w:bottom w:val="single" w:sz="4" w:space="0" w:color="auto"/>
              <w:right w:val="single" w:sz="4" w:space="0" w:color="auto"/>
            </w:tcBorders>
          </w:tcPr>
          <w:p w14:paraId="6A747683" w14:textId="77777777" w:rsidR="003650AB" w:rsidRPr="008572C5" w:rsidRDefault="003650AB" w:rsidP="00EB2DE2">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До 1 500 000 рублей включительно</w:t>
            </w:r>
          </w:p>
        </w:tc>
        <w:tc>
          <w:tcPr>
            <w:tcW w:w="1689" w:type="pct"/>
            <w:tcBorders>
              <w:top w:val="single" w:sz="4" w:space="0" w:color="auto"/>
              <w:left w:val="single" w:sz="4" w:space="0" w:color="auto"/>
              <w:bottom w:val="single" w:sz="4" w:space="0" w:color="auto"/>
              <w:right w:val="single" w:sz="4" w:space="0" w:color="auto"/>
            </w:tcBorders>
            <w:vAlign w:val="center"/>
          </w:tcPr>
          <w:p w14:paraId="10F37BE6" w14:textId="77777777" w:rsidR="003650AB" w:rsidRPr="008572C5" w:rsidRDefault="003650AB" w:rsidP="00EB2DE2">
            <w:pPr>
              <w:tabs>
                <w:tab w:val="left" w:pos="284"/>
                <w:tab w:val="left" w:pos="426"/>
              </w:tabs>
              <w:jc w:val="center"/>
              <w:textAlignment w:val="top"/>
              <w:rPr>
                <w:rFonts w:ascii="Tahoma" w:hAnsi="Tahoma" w:cs="Tahoma"/>
                <w:bCs/>
                <w:iCs/>
                <w:color w:val="000000" w:themeColor="text1"/>
                <w:sz w:val="22"/>
                <w:szCs w:val="22"/>
              </w:rPr>
            </w:pPr>
            <w:r w:rsidRPr="008572C5">
              <w:rPr>
                <w:rFonts w:ascii="Tahoma" w:hAnsi="Tahoma" w:cs="Tahoma"/>
                <w:bCs/>
                <w:iCs/>
                <w:color w:val="000000" w:themeColor="text1"/>
                <w:sz w:val="22"/>
                <w:szCs w:val="22"/>
              </w:rPr>
              <w:t>7,50</w:t>
            </w:r>
          </w:p>
        </w:tc>
      </w:tr>
      <w:tr w:rsidR="003650AB" w:rsidRPr="008572C5" w14:paraId="7DBE913D" w14:textId="77777777" w:rsidTr="00EB2DE2">
        <w:trPr>
          <w:trHeight w:val="70"/>
        </w:trPr>
        <w:tc>
          <w:tcPr>
            <w:tcW w:w="3311" w:type="pct"/>
            <w:tcBorders>
              <w:top w:val="single" w:sz="4" w:space="0" w:color="auto"/>
              <w:left w:val="single" w:sz="4" w:space="0" w:color="auto"/>
              <w:bottom w:val="single" w:sz="4" w:space="0" w:color="auto"/>
              <w:right w:val="single" w:sz="4" w:space="0" w:color="auto"/>
            </w:tcBorders>
          </w:tcPr>
          <w:p w14:paraId="53843FF2" w14:textId="77777777" w:rsidR="003650AB" w:rsidRPr="008572C5" w:rsidRDefault="003650AB" w:rsidP="00EB2DE2">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Свыше 1 500 000 рублей до 5 000 000 рублей включительно</w:t>
            </w:r>
          </w:p>
        </w:tc>
        <w:tc>
          <w:tcPr>
            <w:tcW w:w="1689" w:type="pct"/>
            <w:tcBorders>
              <w:top w:val="single" w:sz="4" w:space="0" w:color="auto"/>
              <w:left w:val="single" w:sz="4" w:space="0" w:color="auto"/>
              <w:bottom w:val="single" w:sz="4" w:space="0" w:color="auto"/>
              <w:right w:val="single" w:sz="4" w:space="0" w:color="auto"/>
            </w:tcBorders>
            <w:vAlign w:val="center"/>
          </w:tcPr>
          <w:p w14:paraId="13960806" w14:textId="77777777" w:rsidR="003650AB" w:rsidRPr="008572C5" w:rsidRDefault="003650AB" w:rsidP="00EB2DE2">
            <w:pPr>
              <w:tabs>
                <w:tab w:val="left" w:pos="284"/>
                <w:tab w:val="left" w:pos="426"/>
              </w:tabs>
              <w:jc w:val="center"/>
              <w:textAlignment w:val="top"/>
              <w:rPr>
                <w:rFonts w:ascii="Tahoma" w:hAnsi="Tahoma" w:cs="Tahoma"/>
                <w:bCs/>
                <w:iCs/>
                <w:color w:val="000000" w:themeColor="text1"/>
                <w:sz w:val="22"/>
                <w:szCs w:val="22"/>
              </w:rPr>
            </w:pPr>
            <w:r w:rsidRPr="008572C5">
              <w:rPr>
                <w:rFonts w:ascii="Tahoma" w:hAnsi="Tahoma" w:cs="Tahoma"/>
                <w:bCs/>
                <w:iCs/>
                <w:color w:val="000000" w:themeColor="text1"/>
                <w:sz w:val="22"/>
                <w:szCs w:val="22"/>
              </w:rPr>
              <w:t>7,50</w:t>
            </w:r>
          </w:p>
        </w:tc>
      </w:tr>
      <w:tr w:rsidR="003650AB" w:rsidRPr="008572C5" w14:paraId="0BAFEDCD" w14:textId="77777777" w:rsidTr="00EB2DE2">
        <w:trPr>
          <w:trHeight w:val="70"/>
        </w:trPr>
        <w:tc>
          <w:tcPr>
            <w:tcW w:w="3311" w:type="pct"/>
            <w:tcBorders>
              <w:top w:val="single" w:sz="4" w:space="0" w:color="auto"/>
              <w:left w:val="single" w:sz="4" w:space="0" w:color="auto"/>
              <w:bottom w:val="single" w:sz="4" w:space="0" w:color="auto"/>
              <w:right w:val="single" w:sz="4" w:space="0" w:color="auto"/>
            </w:tcBorders>
          </w:tcPr>
          <w:p w14:paraId="12D6C0CE" w14:textId="77777777" w:rsidR="003650AB" w:rsidRPr="008572C5" w:rsidRDefault="003650AB" w:rsidP="00EB2DE2">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Свыше 5 000 000 рублей</w:t>
            </w:r>
          </w:p>
        </w:tc>
        <w:tc>
          <w:tcPr>
            <w:tcW w:w="1689" w:type="pct"/>
            <w:tcBorders>
              <w:top w:val="single" w:sz="4" w:space="0" w:color="auto"/>
              <w:left w:val="single" w:sz="4" w:space="0" w:color="auto"/>
              <w:bottom w:val="single" w:sz="4" w:space="0" w:color="auto"/>
              <w:right w:val="single" w:sz="4" w:space="0" w:color="auto"/>
            </w:tcBorders>
            <w:vAlign w:val="center"/>
          </w:tcPr>
          <w:p w14:paraId="53AF6B30" w14:textId="77777777" w:rsidR="003650AB" w:rsidRPr="008572C5" w:rsidRDefault="003650AB" w:rsidP="00EB2DE2">
            <w:pPr>
              <w:tabs>
                <w:tab w:val="left" w:pos="284"/>
                <w:tab w:val="left" w:pos="426"/>
              </w:tabs>
              <w:jc w:val="center"/>
              <w:textAlignment w:val="top"/>
              <w:rPr>
                <w:rFonts w:ascii="Tahoma" w:hAnsi="Tahoma" w:cs="Tahoma"/>
                <w:bCs/>
                <w:iCs/>
                <w:color w:val="000000" w:themeColor="text1"/>
                <w:sz w:val="22"/>
                <w:szCs w:val="22"/>
              </w:rPr>
            </w:pPr>
            <w:r w:rsidRPr="008572C5">
              <w:rPr>
                <w:rFonts w:ascii="Tahoma" w:hAnsi="Tahoma" w:cs="Tahoma"/>
                <w:bCs/>
                <w:iCs/>
                <w:color w:val="000000" w:themeColor="text1"/>
                <w:sz w:val="22"/>
                <w:szCs w:val="22"/>
              </w:rPr>
              <w:t>7,50</w:t>
            </w:r>
          </w:p>
        </w:tc>
      </w:tr>
    </w:tbl>
    <w:p w14:paraId="77429162" w14:textId="77777777" w:rsidR="003650AB" w:rsidRPr="008572C5" w:rsidRDefault="003650AB" w:rsidP="003650AB">
      <w:pPr>
        <w:jc w:val="both"/>
        <w:rPr>
          <w:rFonts w:ascii="Tahoma" w:eastAsia="Calibri" w:hAnsi="Tahoma" w:cs="Tahoma"/>
          <w:bCs/>
          <w:sz w:val="22"/>
          <w:szCs w:val="22"/>
          <w:lang w:eastAsia="en-US"/>
        </w:rPr>
      </w:pPr>
    </w:p>
    <w:p w14:paraId="4FD05A7B" w14:textId="77777777" w:rsidR="003650AB" w:rsidRPr="008572C5" w:rsidRDefault="003650AB" w:rsidP="003650AB">
      <w:pPr>
        <w:ind w:left="-284" w:firstLine="284"/>
        <w:jc w:val="both"/>
        <w:rPr>
          <w:rFonts w:ascii="Tahoma" w:eastAsia="Calibri" w:hAnsi="Tahoma" w:cs="Tahoma"/>
          <w:sz w:val="18"/>
          <w:szCs w:val="18"/>
          <w:lang w:eastAsia="en-US"/>
        </w:rPr>
      </w:pPr>
      <w:r w:rsidRPr="008572C5">
        <w:rPr>
          <w:rFonts w:ascii="Tahoma" w:eastAsia="Calibri" w:hAnsi="Tahoma" w:cs="Tahoma"/>
          <w:sz w:val="18"/>
          <w:szCs w:val="18"/>
          <w:vertAlign w:val="superscript"/>
          <w:lang w:eastAsia="en-US"/>
        </w:rPr>
        <w:t>1</w:t>
      </w:r>
      <w:r w:rsidRPr="008572C5">
        <w:rPr>
          <w:rFonts w:ascii="Tahoma" w:eastAsia="Calibri" w:hAnsi="Tahoma" w:cs="Tahoma"/>
          <w:sz w:val="18"/>
          <w:szCs w:val="18"/>
          <w:lang w:eastAsia="en-US"/>
        </w:rPr>
        <w:t>Минимальный остаток по Счету – рассчитывается исходя из ежедневных остатков денежных средств на Счете Клиента в течение Периода</w:t>
      </w:r>
      <w:r w:rsidRPr="008572C5">
        <w:rPr>
          <w:rFonts w:ascii="Tahoma" w:eastAsia="Calibri" w:hAnsi="Tahoma" w:cs="Tahoma"/>
          <w:sz w:val="18"/>
          <w:szCs w:val="18"/>
          <w:vertAlign w:val="superscript"/>
          <w:lang w:eastAsia="en-US"/>
        </w:rPr>
        <w:t>2</w:t>
      </w:r>
      <w:r w:rsidRPr="008572C5">
        <w:rPr>
          <w:rFonts w:ascii="Tahoma" w:eastAsia="Calibri" w:hAnsi="Tahoma" w:cs="Tahoma"/>
          <w:sz w:val="18"/>
          <w:szCs w:val="18"/>
          <w:lang w:eastAsia="en-US"/>
        </w:rPr>
        <w:t>. Проценты за весь Период начисляются на  сумму минимального остатка денежных средств на Счете, который образуется на начало любого из дней в течение Периода, за который осуществляется выплата процентов Банком Клиенту, при этом выплата процентов за Период производится на Счет в последний день Периода.</w:t>
      </w:r>
    </w:p>
    <w:p w14:paraId="072C0085" w14:textId="77777777" w:rsidR="003650AB" w:rsidRPr="008572C5" w:rsidRDefault="003650AB" w:rsidP="003650AB">
      <w:pPr>
        <w:ind w:left="-284" w:firstLine="284"/>
        <w:jc w:val="both"/>
        <w:rPr>
          <w:rFonts w:ascii="Tahoma" w:hAnsi="Tahoma" w:cs="Tahoma"/>
          <w:sz w:val="18"/>
          <w:szCs w:val="18"/>
        </w:rPr>
      </w:pPr>
      <w:r w:rsidRPr="008572C5">
        <w:rPr>
          <w:rFonts w:ascii="Tahoma" w:hAnsi="Tahoma" w:cs="Tahoma"/>
          <w:sz w:val="18"/>
          <w:szCs w:val="18"/>
          <w:vertAlign w:val="superscript"/>
        </w:rPr>
        <w:t>2</w:t>
      </w:r>
      <w:r w:rsidRPr="008572C5">
        <w:rPr>
          <w:rFonts w:ascii="Tahoma" w:hAnsi="Tahoma" w:cs="Tahoma"/>
          <w:sz w:val="18"/>
          <w:szCs w:val="18"/>
        </w:rPr>
        <w:t>Период – временной период, за который Клиенту Банком на Минимальный остаток средств на Счете начисляются проценты.  Первый Период исчисляется со дня, следующего за днем внесения денежных средств на Счет до календарного дня в следующем месяце, соответствующего дню открытия Счета включительно. Последующие Периоды исчисляются ежемесячно со дня, следующего после дня окончания предыдущего Периода до календарного дня в следующем месяце, соответствующего дню открытия Счета включительно.</w:t>
      </w:r>
    </w:p>
    <w:p w14:paraId="3E1CAE02" w14:textId="77777777" w:rsidR="003650AB" w:rsidRPr="008572C5" w:rsidRDefault="003650AB" w:rsidP="003650AB">
      <w:pPr>
        <w:ind w:left="-284" w:firstLine="284"/>
        <w:jc w:val="both"/>
        <w:rPr>
          <w:rFonts w:ascii="Tahoma" w:eastAsia="Calibri" w:hAnsi="Tahoma" w:cs="Tahoma"/>
          <w:sz w:val="22"/>
          <w:szCs w:val="22"/>
          <w:lang w:eastAsia="en-US"/>
        </w:rPr>
      </w:pPr>
      <w:r w:rsidRPr="008572C5">
        <w:rPr>
          <w:rFonts w:ascii="Tahoma" w:eastAsia="Calibri" w:hAnsi="Tahoma" w:cs="Tahoma"/>
          <w:sz w:val="22"/>
          <w:szCs w:val="22"/>
          <w:lang w:eastAsia="en-US"/>
        </w:rPr>
        <w:t>Размеры процентных ставок определяются Тарифами Банка. В случае внесения изменений в Тарифы Банка Банк информирует Клиента путем размещения информации об изменениях на Официальном сайте Банка и (или) в подразделениях Банка, и (или) через каналы дистанционного банковского обслуживания Интернет-банк «АТБ-Онлайн»/ Мобильный банк «АТБ-Мобайл» не менее чем за 3 рабочих дня до даты вступления изменений в силу.</w:t>
      </w:r>
    </w:p>
    <w:p w14:paraId="6D4C4556" w14:textId="77777777" w:rsidR="003650AB" w:rsidRPr="008572C5" w:rsidRDefault="003650AB" w:rsidP="003650AB">
      <w:pPr>
        <w:ind w:left="-284" w:firstLine="284"/>
        <w:jc w:val="both"/>
        <w:rPr>
          <w:rFonts w:ascii="Tahoma" w:eastAsia="Calibri" w:hAnsi="Tahoma" w:cs="Tahoma"/>
          <w:sz w:val="22"/>
          <w:szCs w:val="22"/>
          <w:lang w:eastAsia="en-US"/>
        </w:rPr>
      </w:pPr>
    </w:p>
    <w:p w14:paraId="220CE071" w14:textId="4F26E357" w:rsidR="003650AB" w:rsidRPr="00CD490E" w:rsidRDefault="007A5600" w:rsidP="000B3718">
      <w:pPr>
        <w:pStyle w:val="a5"/>
        <w:rPr>
          <w:rFonts w:eastAsia="Calibri"/>
        </w:rPr>
      </w:pPr>
      <w:r>
        <w:rPr>
          <w:rFonts w:eastAsia="Calibri"/>
        </w:rPr>
        <w:t>3.3</w:t>
      </w:r>
      <w:r w:rsidR="00955573">
        <w:rPr>
          <w:rFonts w:eastAsia="Calibri"/>
        </w:rPr>
        <w:t>4</w:t>
      </w:r>
      <w:r w:rsidR="003650AB" w:rsidRPr="00CD490E">
        <w:rPr>
          <w:rFonts w:eastAsia="Calibri"/>
        </w:rPr>
        <w:t>. Условия текущего банковского счета «Накопительный счет Супер Копилка» для счетов открытых с 04.03.2022 (действуют с 21.02.2023</w:t>
      </w:r>
      <w:r w:rsidR="003650AB">
        <w:rPr>
          <w:rFonts w:eastAsia="Calibri"/>
        </w:rPr>
        <w:t xml:space="preserve"> </w:t>
      </w:r>
      <w:r w:rsidR="003650AB" w:rsidRPr="004531AB">
        <w:rPr>
          <w:rFonts w:eastAsia="Calibri"/>
        </w:rPr>
        <w:t>по 27.08.2023</w:t>
      </w:r>
      <w:r w:rsidR="003650AB" w:rsidRPr="00CD490E">
        <w:rPr>
          <w:rFonts w:eastAsia="Calibri"/>
        </w:rPr>
        <w:t>):</w:t>
      </w:r>
    </w:p>
    <w:p w14:paraId="630B0D9D"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Валюта счета – рубли Российской Федерации (далее – рубли);</w:t>
      </w:r>
    </w:p>
    <w:p w14:paraId="3A163393"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Срок размещения – не ограничен;</w:t>
      </w:r>
    </w:p>
    <w:p w14:paraId="00C56BB1"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Минимальный первоначальный взнос – не ограничен;</w:t>
      </w:r>
    </w:p>
    <w:p w14:paraId="30C11E3F"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Пополнение счета – без ограничений;</w:t>
      </w:r>
    </w:p>
    <w:p w14:paraId="7BB23286"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Расходные операции по счету – без ограничений;</w:t>
      </w:r>
    </w:p>
    <w:p w14:paraId="7E4929A3"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Сумма неснижаемого остатка – без ограничений;</w:t>
      </w:r>
    </w:p>
    <w:p w14:paraId="57CF4A79"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Максимальная сумма счета – без ограничений;</w:t>
      </w:r>
    </w:p>
    <w:p w14:paraId="4668F254"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Периодичность выплаты процентов - ежемесячно, исходя из процентной ставки, установленной по счету и суммы Минимального остатка денежных средств¹, находящихся на счете в течение Периода²;</w:t>
      </w:r>
    </w:p>
    <w:p w14:paraId="43254959"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 xml:space="preserve">Способ выплаты процентов - </w:t>
      </w:r>
      <w:r w:rsidRPr="008572C5">
        <w:rPr>
          <w:rFonts w:ascii="Tahoma" w:eastAsia="Calibri" w:hAnsi="Tahoma" w:cs="Tahoma"/>
          <w:sz w:val="22"/>
          <w:szCs w:val="22"/>
          <w:lang w:eastAsia="en-US"/>
        </w:rPr>
        <w:t>проценты по Счету причисляются к остатку денежных средств на счете ежемесячно.</w:t>
      </w:r>
    </w:p>
    <w:p w14:paraId="087BA417"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Открытие счета и управлением счетом в отделениях Банка и через дистанционные каналы банковского обслуживания Интернет-банк «АТБ-Онлайн»/ Мобильный банк «АТБ-Мобайл».</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17"/>
        <w:gridCol w:w="5110"/>
      </w:tblGrid>
      <w:tr w:rsidR="003650AB" w:rsidRPr="008572C5" w14:paraId="196EB73B" w14:textId="77777777" w:rsidTr="00EB2DE2">
        <w:trPr>
          <w:trHeight w:val="221"/>
        </w:trPr>
        <w:tc>
          <w:tcPr>
            <w:tcW w:w="3311" w:type="pct"/>
            <w:tcBorders>
              <w:top w:val="single" w:sz="4" w:space="0" w:color="auto"/>
              <w:left w:val="single" w:sz="4" w:space="0" w:color="auto"/>
              <w:right w:val="single" w:sz="4" w:space="0" w:color="auto"/>
            </w:tcBorders>
            <w:hideMark/>
          </w:tcPr>
          <w:p w14:paraId="0A52C825" w14:textId="77777777" w:rsidR="003650AB" w:rsidRPr="008572C5" w:rsidRDefault="003650AB" w:rsidP="00EB2DE2">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Минимальный остаток по счету¹</w:t>
            </w:r>
          </w:p>
        </w:tc>
        <w:tc>
          <w:tcPr>
            <w:tcW w:w="1689" w:type="pct"/>
            <w:tcBorders>
              <w:top w:val="single" w:sz="4" w:space="0" w:color="auto"/>
              <w:left w:val="single" w:sz="4" w:space="0" w:color="auto"/>
              <w:right w:val="single" w:sz="4" w:space="0" w:color="auto"/>
            </w:tcBorders>
            <w:hideMark/>
          </w:tcPr>
          <w:p w14:paraId="24D4F95A" w14:textId="77777777" w:rsidR="003650AB" w:rsidRPr="008572C5" w:rsidRDefault="003650AB" w:rsidP="00EB2DE2">
            <w:pPr>
              <w:widowControl w:val="0"/>
              <w:tabs>
                <w:tab w:val="left" w:pos="426"/>
                <w:tab w:val="left" w:pos="851"/>
                <w:tab w:val="right" w:pos="10206"/>
              </w:tabs>
              <w:adjustRightInd w:val="0"/>
              <w:jc w:val="center"/>
              <w:rPr>
                <w:rFonts w:ascii="Tahoma" w:hAnsi="Tahoma" w:cs="Tahoma"/>
                <w:bCs/>
                <w:iCs/>
                <w:sz w:val="22"/>
                <w:szCs w:val="22"/>
              </w:rPr>
            </w:pPr>
            <w:r w:rsidRPr="008572C5">
              <w:rPr>
                <w:rFonts w:ascii="Tahoma" w:hAnsi="Tahoma" w:cs="Tahoma"/>
                <w:bCs/>
                <w:iCs/>
                <w:sz w:val="22"/>
                <w:szCs w:val="22"/>
              </w:rPr>
              <w:t>Процентная ставка, % годовых</w:t>
            </w:r>
          </w:p>
        </w:tc>
      </w:tr>
      <w:tr w:rsidR="003650AB" w:rsidRPr="008572C5" w14:paraId="147C5654" w14:textId="77777777" w:rsidTr="00EB2DE2">
        <w:trPr>
          <w:trHeight w:val="70"/>
        </w:trPr>
        <w:tc>
          <w:tcPr>
            <w:tcW w:w="3311" w:type="pct"/>
            <w:tcBorders>
              <w:top w:val="single" w:sz="4" w:space="0" w:color="auto"/>
              <w:left w:val="single" w:sz="4" w:space="0" w:color="auto"/>
              <w:bottom w:val="single" w:sz="4" w:space="0" w:color="auto"/>
              <w:right w:val="single" w:sz="4" w:space="0" w:color="auto"/>
            </w:tcBorders>
          </w:tcPr>
          <w:p w14:paraId="47781B7D" w14:textId="77777777" w:rsidR="003650AB" w:rsidRPr="008572C5" w:rsidRDefault="003650AB" w:rsidP="00EB2DE2">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До 1 500 000 рублей включительно</w:t>
            </w:r>
          </w:p>
        </w:tc>
        <w:tc>
          <w:tcPr>
            <w:tcW w:w="1689" w:type="pct"/>
            <w:tcBorders>
              <w:top w:val="single" w:sz="4" w:space="0" w:color="auto"/>
              <w:left w:val="single" w:sz="4" w:space="0" w:color="auto"/>
              <w:bottom w:val="single" w:sz="4" w:space="0" w:color="auto"/>
              <w:right w:val="single" w:sz="4" w:space="0" w:color="auto"/>
            </w:tcBorders>
            <w:vAlign w:val="center"/>
          </w:tcPr>
          <w:p w14:paraId="65C36812" w14:textId="77777777" w:rsidR="003650AB" w:rsidRPr="008572C5" w:rsidRDefault="003650AB" w:rsidP="00EB2DE2">
            <w:pPr>
              <w:tabs>
                <w:tab w:val="left" w:pos="284"/>
                <w:tab w:val="left" w:pos="426"/>
              </w:tabs>
              <w:jc w:val="center"/>
              <w:textAlignment w:val="top"/>
              <w:rPr>
                <w:rFonts w:ascii="Tahoma" w:hAnsi="Tahoma" w:cs="Tahoma"/>
                <w:bCs/>
                <w:iCs/>
                <w:color w:val="000000" w:themeColor="text1"/>
                <w:sz w:val="22"/>
                <w:szCs w:val="22"/>
              </w:rPr>
            </w:pPr>
            <w:r w:rsidRPr="008572C5">
              <w:rPr>
                <w:rFonts w:ascii="Tahoma" w:hAnsi="Tahoma" w:cs="Tahoma"/>
                <w:bCs/>
                <w:iCs/>
                <w:color w:val="000000" w:themeColor="text1"/>
                <w:sz w:val="22"/>
                <w:szCs w:val="22"/>
              </w:rPr>
              <w:t>7,00</w:t>
            </w:r>
          </w:p>
        </w:tc>
      </w:tr>
      <w:tr w:rsidR="003650AB" w:rsidRPr="008572C5" w14:paraId="4C39CEC4" w14:textId="77777777" w:rsidTr="00EB2DE2">
        <w:trPr>
          <w:trHeight w:val="70"/>
        </w:trPr>
        <w:tc>
          <w:tcPr>
            <w:tcW w:w="3311" w:type="pct"/>
            <w:tcBorders>
              <w:top w:val="single" w:sz="4" w:space="0" w:color="auto"/>
              <w:left w:val="single" w:sz="4" w:space="0" w:color="auto"/>
              <w:bottom w:val="single" w:sz="4" w:space="0" w:color="auto"/>
              <w:right w:val="single" w:sz="4" w:space="0" w:color="auto"/>
            </w:tcBorders>
          </w:tcPr>
          <w:p w14:paraId="01089B8D" w14:textId="77777777" w:rsidR="003650AB" w:rsidRPr="008572C5" w:rsidRDefault="003650AB" w:rsidP="00EB2DE2">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Свыше 1 500 000 рублей до 5 000 000 рублей включительно</w:t>
            </w:r>
          </w:p>
        </w:tc>
        <w:tc>
          <w:tcPr>
            <w:tcW w:w="1689" w:type="pct"/>
            <w:tcBorders>
              <w:top w:val="single" w:sz="4" w:space="0" w:color="auto"/>
              <w:left w:val="single" w:sz="4" w:space="0" w:color="auto"/>
              <w:bottom w:val="single" w:sz="4" w:space="0" w:color="auto"/>
              <w:right w:val="single" w:sz="4" w:space="0" w:color="auto"/>
            </w:tcBorders>
            <w:vAlign w:val="center"/>
          </w:tcPr>
          <w:p w14:paraId="42442B31" w14:textId="77777777" w:rsidR="003650AB" w:rsidRPr="008572C5" w:rsidRDefault="003650AB" w:rsidP="00EB2DE2">
            <w:pPr>
              <w:tabs>
                <w:tab w:val="left" w:pos="284"/>
                <w:tab w:val="left" w:pos="426"/>
              </w:tabs>
              <w:jc w:val="center"/>
              <w:textAlignment w:val="top"/>
              <w:rPr>
                <w:rFonts w:ascii="Tahoma" w:hAnsi="Tahoma" w:cs="Tahoma"/>
                <w:bCs/>
                <w:iCs/>
                <w:color w:val="000000" w:themeColor="text1"/>
                <w:sz w:val="22"/>
                <w:szCs w:val="22"/>
              </w:rPr>
            </w:pPr>
            <w:r w:rsidRPr="008572C5">
              <w:rPr>
                <w:rFonts w:ascii="Tahoma" w:hAnsi="Tahoma" w:cs="Tahoma"/>
                <w:bCs/>
                <w:iCs/>
                <w:color w:val="000000" w:themeColor="text1"/>
                <w:sz w:val="22"/>
                <w:szCs w:val="22"/>
              </w:rPr>
              <w:t>7,00</w:t>
            </w:r>
          </w:p>
        </w:tc>
      </w:tr>
      <w:tr w:rsidR="003650AB" w:rsidRPr="008572C5" w14:paraId="3B1BE302" w14:textId="77777777" w:rsidTr="00EB2DE2">
        <w:trPr>
          <w:trHeight w:val="70"/>
        </w:trPr>
        <w:tc>
          <w:tcPr>
            <w:tcW w:w="3311" w:type="pct"/>
            <w:tcBorders>
              <w:top w:val="single" w:sz="4" w:space="0" w:color="auto"/>
              <w:left w:val="single" w:sz="4" w:space="0" w:color="auto"/>
              <w:bottom w:val="single" w:sz="4" w:space="0" w:color="auto"/>
              <w:right w:val="single" w:sz="4" w:space="0" w:color="auto"/>
            </w:tcBorders>
          </w:tcPr>
          <w:p w14:paraId="60BE23F2" w14:textId="77777777" w:rsidR="003650AB" w:rsidRPr="008572C5" w:rsidRDefault="003650AB" w:rsidP="00EB2DE2">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Свыше 5 000 000 рублей</w:t>
            </w:r>
          </w:p>
        </w:tc>
        <w:tc>
          <w:tcPr>
            <w:tcW w:w="1689" w:type="pct"/>
            <w:tcBorders>
              <w:top w:val="single" w:sz="4" w:space="0" w:color="auto"/>
              <w:left w:val="single" w:sz="4" w:space="0" w:color="auto"/>
              <w:bottom w:val="single" w:sz="4" w:space="0" w:color="auto"/>
              <w:right w:val="single" w:sz="4" w:space="0" w:color="auto"/>
            </w:tcBorders>
            <w:vAlign w:val="center"/>
          </w:tcPr>
          <w:p w14:paraId="7975E695" w14:textId="77777777" w:rsidR="003650AB" w:rsidRPr="008572C5" w:rsidRDefault="003650AB" w:rsidP="00EB2DE2">
            <w:pPr>
              <w:tabs>
                <w:tab w:val="left" w:pos="284"/>
                <w:tab w:val="left" w:pos="426"/>
              </w:tabs>
              <w:jc w:val="center"/>
              <w:textAlignment w:val="top"/>
              <w:rPr>
                <w:rFonts w:ascii="Tahoma" w:hAnsi="Tahoma" w:cs="Tahoma"/>
                <w:bCs/>
                <w:iCs/>
                <w:color w:val="000000" w:themeColor="text1"/>
                <w:sz w:val="22"/>
                <w:szCs w:val="22"/>
              </w:rPr>
            </w:pPr>
            <w:r w:rsidRPr="008572C5">
              <w:rPr>
                <w:rFonts w:ascii="Tahoma" w:hAnsi="Tahoma" w:cs="Tahoma"/>
                <w:bCs/>
                <w:iCs/>
                <w:color w:val="000000" w:themeColor="text1"/>
                <w:sz w:val="22"/>
                <w:szCs w:val="22"/>
              </w:rPr>
              <w:t>7,00</w:t>
            </w:r>
          </w:p>
        </w:tc>
      </w:tr>
    </w:tbl>
    <w:p w14:paraId="37E08763" w14:textId="77777777" w:rsidR="003650AB" w:rsidRPr="008572C5" w:rsidRDefault="003650AB" w:rsidP="003650AB">
      <w:pPr>
        <w:jc w:val="both"/>
        <w:rPr>
          <w:rFonts w:ascii="Tahoma" w:eastAsia="Calibri" w:hAnsi="Tahoma" w:cs="Tahoma"/>
          <w:bCs/>
          <w:sz w:val="22"/>
          <w:szCs w:val="22"/>
          <w:lang w:eastAsia="en-US"/>
        </w:rPr>
      </w:pPr>
    </w:p>
    <w:p w14:paraId="3BB6BBA1" w14:textId="77777777" w:rsidR="003650AB" w:rsidRPr="008572C5" w:rsidRDefault="003650AB" w:rsidP="003650AB">
      <w:pPr>
        <w:ind w:left="-284" w:firstLine="284"/>
        <w:jc w:val="both"/>
        <w:rPr>
          <w:rFonts w:ascii="Tahoma" w:eastAsia="Calibri" w:hAnsi="Tahoma" w:cs="Tahoma"/>
          <w:sz w:val="18"/>
          <w:szCs w:val="18"/>
          <w:lang w:eastAsia="en-US"/>
        </w:rPr>
      </w:pPr>
      <w:r w:rsidRPr="008572C5">
        <w:rPr>
          <w:rFonts w:ascii="Tahoma" w:eastAsia="Calibri" w:hAnsi="Tahoma" w:cs="Tahoma"/>
          <w:sz w:val="18"/>
          <w:szCs w:val="18"/>
          <w:vertAlign w:val="superscript"/>
          <w:lang w:eastAsia="en-US"/>
        </w:rPr>
        <w:t>1</w:t>
      </w:r>
      <w:r w:rsidRPr="008572C5">
        <w:rPr>
          <w:rFonts w:ascii="Tahoma" w:eastAsia="Calibri" w:hAnsi="Tahoma" w:cs="Tahoma"/>
          <w:sz w:val="18"/>
          <w:szCs w:val="18"/>
          <w:lang w:eastAsia="en-US"/>
        </w:rPr>
        <w:t>Минимальный остаток по Счету – рассчитывается исходя из ежедневных остатков денежных средств на Счете Клиента в течение Периода</w:t>
      </w:r>
      <w:r w:rsidRPr="008572C5">
        <w:rPr>
          <w:rFonts w:ascii="Tahoma" w:eastAsia="Calibri" w:hAnsi="Tahoma" w:cs="Tahoma"/>
          <w:sz w:val="18"/>
          <w:szCs w:val="18"/>
          <w:vertAlign w:val="superscript"/>
          <w:lang w:eastAsia="en-US"/>
        </w:rPr>
        <w:t>2</w:t>
      </w:r>
      <w:r w:rsidRPr="008572C5">
        <w:rPr>
          <w:rFonts w:ascii="Tahoma" w:eastAsia="Calibri" w:hAnsi="Tahoma" w:cs="Tahoma"/>
          <w:sz w:val="18"/>
          <w:szCs w:val="18"/>
          <w:lang w:eastAsia="en-US"/>
        </w:rPr>
        <w:t>. Проценты за весь Период начисляются на  сумму минимального остатка денежных средств на Счете, который образуется на начало любого из дней в течение Периода, за который осуществляется выплата процентов Банком Клиенту, при этом выплата процентов за Период производится на Счет в последний день Периода.</w:t>
      </w:r>
    </w:p>
    <w:p w14:paraId="6C48E115" w14:textId="77777777" w:rsidR="003650AB" w:rsidRPr="008572C5" w:rsidRDefault="003650AB" w:rsidP="003650AB">
      <w:pPr>
        <w:ind w:left="-284" w:firstLine="284"/>
        <w:jc w:val="both"/>
        <w:rPr>
          <w:rFonts w:ascii="Tahoma" w:hAnsi="Tahoma" w:cs="Tahoma"/>
          <w:sz w:val="18"/>
          <w:szCs w:val="18"/>
        </w:rPr>
      </w:pPr>
      <w:r w:rsidRPr="008572C5">
        <w:rPr>
          <w:rFonts w:ascii="Tahoma" w:hAnsi="Tahoma" w:cs="Tahoma"/>
          <w:sz w:val="18"/>
          <w:szCs w:val="18"/>
          <w:vertAlign w:val="superscript"/>
        </w:rPr>
        <w:t>2</w:t>
      </w:r>
      <w:r w:rsidRPr="008572C5">
        <w:rPr>
          <w:rFonts w:ascii="Tahoma" w:hAnsi="Tahoma" w:cs="Tahoma"/>
          <w:sz w:val="18"/>
          <w:szCs w:val="18"/>
        </w:rPr>
        <w:t>Период – временной период, за который Клиенту Банком на Минимальный остаток средств на Счете начисляются проценты.  Первый Период исчисляется со дня, следующего за днем внесения денежных средств на Счет до календарного дня в следующем месяце, соответствующего дню открытия Счета включительно. Последующие Периоды исчисляются ежемесячно со дня, следующего после дня окончания предыдущего Периода до календарного дня в следующем месяце, соответствующего дню открытия Счета включительно.</w:t>
      </w:r>
    </w:p>
    <w:p w14:paraId="42EFDB6A" w14:textId="77777777" w:rsidR="003650AB" w:rsidRPr="008572C5" w:rsidRDefault="003650AB" w:rsidP="003650AB">
      <w:pPr>
        <w:ind w:left="-284" w:firstLine="284"/>
        <w:jc w:val="both"/>
        <w:rPr>
          <w:rFonts w:ascii="Calibri" w:eastAsia="Calibri" w:hAnsi="Calibri"/>
          <w:sz w:val="22"/>
          <w:szCs w:val="22"/>
          <w:lang w:eastAsia="en-US"/>
        </w:rPr>
      </w:pPr>
      <w:r w:rsidRPr="008572C5">
        <w:rPr>
          <w:rFonts w:ascii="Tahoma" w:eastAsia="Calibri" w:hAnsi="Tahoma" w:cs="Tahoma"/>
          <w:sz w:val="22"/>
          <w:szCs w:val="22"/>
          <w:lang w:eastAsia="en-US"/>
        </w:rPr>
        <w:t>Размеры процентных ставок определяются Тарифами Банка. В случае внесения изменений в Тарифы Банка Банк информирует Клиента путем размещения информации об изменениях на Официальном сайте Банка и (или) в подразделениях Банка, и (или) через каналы дистанционного банковского обслуживания Интернет-банк «АТБ-Онлайн»/ Мобильный банк «АТБ-Мобайл» не менее чем за 3 рабочих дня до даты вступления изменений в силу.</w:t>
      </w:r>
    </w:p>
    <w:p w14:paraId="06C143DC" w14:textId="77777777" w:rsidR="003650AB" w:rsidRDefault="003650AB" w:rsidP="003650AB">
      <w:pPr>
        <w:tabs>
          <w:tab w:val="left" w:pos="1134"/>
        </w:tabs>
        <w:contextualSpacing/>
        <w:jc w:val="both"/>
        <w:rPr>
          <w:rFonts w:ascii="Tahoma" w:hAnsi="Tahoma" w:cs="Tahoma"/>
          <w:sz w:val="22"/>
          <w:szCs w:val="22"/>
        </w:rPr>
      </w:pPr>
    </w:p>
    <w:p w14:paraId="3F54F3F0" w14:textId="3A2FF195" w:rsidR="003650AB" w:rsidRPr="00CD490E" w:rsidRDefault="00F41C52" w:rsidP="000B3718">
      <w:pPr>
        <w:pStyle w:val="a5"/>
        <w:rPr>
          <w:rFonts w:eastAsia="Calibri"/>
          <w:color w:val="00B050"/>
        </w:rPr>
      </w:pPr>
      <w:r>
        <w:rPr>
          <w:rFonts w:eastAsia="Calibri"/>
        </w:rPr>
        <w:t>3.3</w:t>
      </w:r>
      <w:r w:rsidR="00955573">
        <w:rPr>
          <w:rFonts w:eastAsia="Calibri"/>
        </w:rPr>
        <w:t>5</w:t>
      </w:r>
      <w:r w:rsidR="003650AB" w:rsidRPr="00CD490E">
        <w:rPr>
          <w:rFonts w:eastAsia="Calibri"/>
        </w:rPr>
        <w:t xml:space="preserve">. Условия текущего банковского счета «Накопительный счет Супер Копилка» для счетов открытых с 04.03.2022 </w:t>
      </w:r>
      <w:r w:rsidR="003650AB" w:rsidRPr="004531AB">
        <w:rPr>
          <w:rFonts w:eastAsia="Calibri"/>
        </w:rPr>
        <w:t>(действуют с 28.08.2023 по 01.11.2023):</w:t>
      </w:r>
    </w:p>
    <w:p w14:paraId="391F0DB0"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Валюта счета – рубли Российской Федерации (далее – рубли);</w:t>
      </w:r>
    </w:p>
    <w:p w14:paraId="775CE80F"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Срок размещения – не ограничен;</w:t>
      </w:r>
    </w:p>
    <w:p w14:paraId="423F8075"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Минимальный первоначальный взнос – не ограничен;</w:t>
      </w:r>
    </w:p>
    <w:p w14:paraId="192FEFD5"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Пополнение счета – без ограничений;</w:t>
      </w:r>
    </w:p>
    <w:p w14:paraId="5F10845C"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Расходные операции по счету – без ограничений;</w:t>
      </w:r>
    </w:p>
    <w:p w14:paraId="17B2B04A"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Сумма неснижаемого остатка – без ограничений;</w:t>
      </w:r>
    </w:p>
    <w:p w14:paraId="3D21CBD1"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Максимальная сумма счета – без ограничений;</w:t>
      </w:r>
    </w:p>
    <w:p w14:paraId="5494EEF6"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Периодичность выплаты процентов - ежемесячно, исходя из процентной ставки, установленной по счету и суммы Минимального остатка денежных средств¹, находящихся на счете в течение Периода²;</w:t>
      </w:r>
    </w:p>
    <w:p w14:paraId="70A02BA1"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 xml:space="preserve">Способ выплаты процентов - </w:t>
      </w:r>
      <w:r w:rsidRPr="008572C5">
        <w:rPr>
          <w:rFonts w:ascii="Tahoma" w:eastAsia="Calibri" w:hAnsi="Tahoma" w:cs="Tahoma"/>
          <w:sz w:val="22"/>
          <w:szCs w:val="22"/>
          <w:lang w:eastAsia="en-US"/>
        </w:rPr>
        <w:t>проценты по Счету причисляются к остатку денежных средств на счете ежемесячно.</w:t>
      </w:r>
    </w:p>
    <w:p w14:paraId="4BB6BEA4"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Открытие счета и управлением счетом в отделениях Банка и через дистанционные каналы банковского обслуживания Интернет-банк «АТБ-Онлайн»/ Мобильный банк «АТБ-Мобайл».</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17"/>
        <w:gridCol w:w="5110"/>
      </w:tblGrid>
      <w:tr w:rsidR="003650AB" w:rsidRPr="008572C5" w14:paraId="217E491C" w14:textId="77777777" w:rsidTr="00EB2DE2">
        <w:trPr>
          <w:trHeight w:val="221"/>
        </w:trPr>
        <w:tc>
          <w:tcPr>
            <w:tcW w:w="3311" w:type="pct"/>
            <w:tcBorders>
              <w:top w:val="single" w:sz="4" w:space="0" w:color="auto"/>
              <w:left w:val="single" w:sz="4" w:space="0" w:color="auto"/>
              <w:right w:val="single" w:sz="4" w:space="0" w:color="auto"/>
            </w:tcBorders>
            <w:hideMark/>
          </w:tcPr>
          <w:p w14:paraId="3CBC7CDC" w14:textId="77777777" w:rsidR="003650AB" w:rsidRPr="008572C5" w:rsidRDefault="003650AB" w:rsidP="00EB2DE2">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Минимальный остаток по счету¹</w:t>
            </w:r>
          </w:p>
        </w:tc>
        <w:tc>
          <w:tcPr>
            <w:tcW w:w="1689" w:type="pct"/>
            <w:tcBorders>
              <w:top w:val="single" w:sz="4" w:space="0" w:color="auto"/>
              <w:left w:val="single" w:sz="4" w:space="0" w:color="auto"/>
              <w:right w:val="single" w:sz="4" w:space="0" w:color="auto"/>
            </w:tcBorders>
            <w:hideMark/>
          </w:tcPr>
          <w:p w14:paraId="260ED140" w14:textId="77777777" w:rsidR="003650AB" w:rsidRPr="008572C5" w:rsidRDefault="003650AB" w:rsidP="00EB2DE2">
            <w:pPr>
              <w:widowControl w:val="0"/>
              <w:tabs>
                <w:tab w:val="left" w:pos="426"/>
                <w:tab w:val="left" w:pos="851"/>
                <w:tab w:val="right" w:pos="10206"/>
              </w:tabs>
              <w:adjustRightInd w:val="0"/>
              <w:jc w:val="center"/>
              <w:rPr>
                <w:rFonts w:ascii="Tahoma" w:hAnsi="Tahoma" w:cs="Tahoma"/>
                <w:bCs/>
                <w:iCs/>
                <w:sz w:val="22"/>
                <w:szCs w:val="22"/>
              </w:rPr>
            </w:pPr>
            <w:r w:rsidRPr="008572C5">
              <w:rPr>
                <w:rFonts w:ascii="Tahoma" w:hAnsi="Tahoma" w:cs="Tahoma"/>
                <w:bCs/>
                <w:iCs/>
                <w:sz w:val="22"/>
                <w:szCs w:val="22"/>
              </w:rPr>
              <w:t>Процентная ставка, % годовых</w:t>
            </w:r>
          </w:p>
        </w:tc>
      </w:tr>
      <w:tr w:rsidR="003650AB" w:rsidRPr="008572C5" w14:paraId="3CA45146" w14:textId="77777777" w:rsidTr="00EB2DE2">
        <w:trPr>
          <w:trHeight w:val="70"/>
        </w:trPr>
        <w:tc>
          <w:tcPr>
            <w:tcW w:w="3311" w:type="pct"/>
            <w:tcBorders>
              <w:top w:val="single" w:sz="4" w:space="0" w:color="auto"/>
              <w:left w:val="single" w:sz="4" w:space="0" w:color="auto"/>
              <w:bottom w:val="single" w:sz="4" w:space="0" w:color="auto"/>
              <w:right w:val="single" w:sz="4" w:space="0" w:color="auto"/>
            </w:tcBorders>
          </w:tcPr>
          <w:p w14:paraId="04C78E3E" w14:textId="77777777" w:rsidR="003650AB" w:rsidRPr="008572C5" w:rsidRDefault="003650AB" w:rsidP="00EB2DE2">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До 1 500 000 рублей включительно</w:t>
            </w:r>
          </w:p>
        </w:tc>
        <w:tc>
          <w:tcPr>
            <w:tcW w:w="1689" w:type="pct"/>
            <w:tcBorders>
              <w:top w:val="single" w:sz="4" w:space="0" w:color="auto"/>
              <w:left w:val="single" w:sz="4" w:space="0" w:color="auto"/>
              <w:bottom w:val="single" w:sz="4" w:space="0" w:color="auto"/>
              <w:right w:val="single" w:sz="4" w:space="0" w:color="auto"/>
            </w:tcBorders>
            <w:vAlign w:val="center"/>
          </w:tcPr>
          <w:p w14:paraId="76A8968B" w14:textId="77777777" w:rsidR="003650AB" w:rsidRPr="008572C5" w:rsidRDefault="003650AB" w:rsidP="00EB2DE2">
            <w:pPr>
              <w:tabs>
                <w:tab w:val="left" w:pos="284"/>
                <w:tab w:val="left" w:pos="426"/>
              </w:tabs>
              <w:jc w:val="center"/>
              <w:textAlignment w:val="top"/>
              <w:rPr>
                <w:rFonts w:ascii="Tahoma" w:hAnsi="Tahoma" w:cs="Tahoma"/>
                <w:bCs/>
                <w:iCs/>
                <w:color w:val="000000" w:themeColor="text1"/>
                <w:sz w:val="22"/>
                <w:szCs w:val="22"/>
              </w:rPr>
            </w:pPr>
            <w:r>
              <w:rPr>
                <w:rFonts w:ascii="Tahoma" w:hAnsi="Tahoma" w:cs="Tahoma"/>
                <w:bCs/>
                <w:iCs/>
                <w:color w:val="000000" w:themeColor="text1"/>
                <w:sz w:val="22"/>
                <w:szCs w:val="22"/>
              </w:rPr>
              <w:t>9</w:t>
            </w:r>
            <w:r w:rsidRPr="008572C5">
              <w:rPr>
                <w:rFonts w:ascii="Tahoma" w:hAnsi="Tahoma" w:cs="Tahoma"/>
                <w:bCs/>
                <w:iCs/>
                <w:color w:val="000000" w:themeColor="text1"/>
                <w:sz w:val="22"/>
                <w:szCs w:val="22"/>
              </w:rPr>
              <w:t>,00</w:t>
            </w:r>
          </w:p>
        </w:tc>
      </w:tr>
      <w:tr w:rsidR="003650AB" w:rsidRPr="008572C5" w14:paraId="34DDBD3F" w14:textId="77777777" w:rsidTr="00EB2DE2">
        <w:trPr>
          <w:trHeight w:val="70"/>
        </w:trPr>
        <w:tc>
          <w:tcPr>
            <w:tcW w:w="3311" w:type="pct"/>
            <w:tcBorders>
              <w:top w:val="single" w:sz="4" w:space="0" w:color="auto"/>
              <w:left w:val="single" w:sz="4" w:space="0" w:color="auto"/>
              <w:bottom w:val="single" w:sz="4" w:space="0" w:color="auto"/>
              <w:right w:val="single" w:sz="4" w:space="0" w:color="auto"/>
            </w:tcBorders>
          </w:tcPr>
          <w:p w14:paraId="06CED129" w14:textId="77777777" w:rsidR="003650AB" w:rsidRPr="008572C5" w:rsidRDefault="003650AB" w:rsidP="00EB2DE2">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Свыше 1 500 000 рублей до 5 000 000 рублей включительно</w:t>
            </w:r>
          </w:p>
        </w:tc>
        <w:tc>
          <w:tcPr>
            <w:tcW w:w="1689" w:type="pct"/>
            <w:tcBorders>
              <w:top w:val="single" w:sz="4" w:space="0" w:color="auto"/>
              <w:left w:val="single" w:sz="4" w:space="0" w:color="auto"/>
              <w:bottom w:val="single" w:sz="4" w:space="0" w:color="auto"/>
              <w:right w:val="single" w:sz="4" w:space="0" w:color="auto"/>
            </w:tcBorders>
            <w:vAlign w:val="center"/>
          </w:tcPr>
          <w:p w14:paraId="473AC67E" w14:textId="77777777" w:rsidR="003650AB" w:rsidRPr="008572C5" w:rsidRDefault="003650AB" w:rsidP="00EB2DE2">
            <w:pPr>
              <w:tabs>
                <w:tab w:val="left" w:pos="284"/>
                <w:tab w:val="left" w:pos="426"/>
              </w:tabs>
              <w:jc w:val="center"/>
              <w:textAlignment w:val="top"/>
              <w:rPr>
                <w:rFonts w:ascii="Tahoma" w:hAnsi="Tahoma" w:cs="Tahoma"/>
                <w:bCs/>
                <w:iCs/>
                <w:color w:val="000000" w:themeColor="text1"/>
                <w:sz w:val="22"/>
                <w:szCs w:val="22"/>
              </w:rPr>
            </w:pPr>
            <w:r>
              <w:rPr>
                <w:rFonts w:ascii="Tahoma" w:hAnsi="Tahoma" w:cs="Tahoma"/>
                <w:bCs/>
                <w:iCs/>
                <w:color w:val="000000" w:themeColor="text1"/>
                <w:sz w:val="22"/>
                <w:szCs w:val="22"/>
              </w:rPr>
              <w:t>9</w:t>
            </w:r>
            <w:r w:rsidRPr="008572C5">
              <w:rPr>
                <w:rFonts w:ascii="Tahoma" w:hAnsi="Tahoma" w:cs="Tahoma"/>
                <w:bCs/>
                <w:iCs/>
                <w:color w:val="000000" w:themeColor="text1"/>
                <w:sz w:val="22"/>
                <w:szCs w:val="22"/>
              </w:rPr>
              <w:t>,00</w:t>
            </w:r>
          </w:p>
        </w:tc>
      </w:tr>
      <w:tr w:rsidR="003650AB" w:rsidRPr="008572C5" w14:paraId="138548CB" w14:textId="77777777" w:rsidTr="00EB2DE2">
        <w:trPr>
          <w:trHeight w:val="70"/>
        </w:trPr>
        <w:tc>
          <w:tcPr>
            <w:tcW w:w="3311" w:type="pct"/>
            <w:tcBorders>
              <w:top w:val="single" w:sz="4" w:space="0" w:color="auto"/>
              <w:left w:val="single" w:sz="4" w:space="0" w:color="auto"/>
              <w:bottom w:val="single" w:sz="4" w:space="0" w:color="auto"/>
              <w:right w:val="single" w:sz="4" w:space="0" w:color="auto"/>
            </w:tcBorders>
          </w:tcPr>
          <w:p w14:paraId="39B1DBD3" w14:textId="77777777" w:rsidR="003650AB" w:rsidRPr="008572C5" w:rsidRDefault="003650AB" w:rsidP="00EB2DE2">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Свыше 5 000 000 рублей</w:t>
            </w:r>
          </w:p>
        </w:tc>
        <w:tc>
          <w:tcPr>
            <w:tcW w:w="1689" w:type="pct"/>
            <w:tcBorders>
              <w:top w:val="single" w:sz="4" w:space="0" w:color="auto"/>
              <w:left w:val="single" w:sz="4" w:space="0" w:color="auto"/>
              <w:bottom w:val="single" w:sz="4" w:space="0" w:color="auto"/>
              <w:right w:val="single" w:sz="4" w:space="0" w:color="auto"/>
            </w:tcBorders>
            <w:vAlign w:val="center"/>
          </w:tcPr>
          <w:p w14:paraId="774B017E" w14:textId="77777777" w:rsidR="003650AB" w:rsidRPr="008572C5" w:rsidRDefault="003650AB" w:rsidP="00EB2DE2">
            <w:pPr>
              <w:tabs>
                <w:tab w:val="left" w:pos="284"/>
                <w:tab w:val="left" w:pos="426"/>
              </w:tabs>
              <w:jc w:val="center"/>
              <w:textAlignment w:val="top"/>
              <w:rPr>
                <w:rFonts w:ascii="Tahoma" w:hAnsi="Tahoma" w:cs="Tahoma"/>
                <w:bCs/>
                <w:iCs/>
                <w:color w:val="000000" w:themeColor="text1"/>
                <w:sz w:val="22"/>
                <w:szCs w:val="22"/>
              </w:rPr>
            </w:pPr>
            <w:r>
              <w:rPr>
                <w:rFonts w:ascii="Tahoma" w:hAnsi="Tahoma" w:cs="Tahoma"/>
                <w:bCs/>
                <w:iCs/>
                <w:color w:val="000000" w:themeColor="text1"/>
                <w:sz w:val="22"/>
                <w:szCs w:val="22"/>
              </w:rPr>
              <w:t>9</w:t>
            </w:r>
            <w:r w:rsidRPr="008572C5">
              <w:rPr>
                <w:rFonts w:ascii="Tahoma" w:hAnsi="Tahoma" w:cs="Tahoma"/>
                <w:bCs/>
                <w:iCs/>
                <w:color w:val="000000" w:themeColor="text1"/>
                <w:sz w:val="22"/>
                <w:szCs w:val="22"/>
              </w:rPr>
              <w:t>,00</w:t>
            </w:r>
          </w:p>
        </w:tc>
      </w:tr>
    </w:tbl>
    <w:p w14:paraId="7B465DB2" w14:textId="77777777" w:rsidR="003650AB" w:rsidRPr="008572C5" w:rsidRDefault="003650AB" w:rsidP="003650AB">
      <w:pPr>
        <w:jc w:val="both"/>
        <w:rPr>
          <w:rFonts w:ascii="Tahoma" w:eastAsia="Calibri" w:hAnsi="Tahoma" w:cs="Tahoma"/>
          <w:bCs/>
          <w:sz w:val="22"/>
          <w:szCs w:val="22"/>
          <w:lang w:eastAsia="en-US"/>
        </w:rPr>
      </w:pPr>
    </w:p>
    <w:p w14:paraId="55858095" w14:textId="77777777" w:rsidR="003650AB" w:rsidRPr="008572C5" w:rsidRDefault="003650AB" w:rsidP="003650AB">
      <w:pPr>
        <w:ind w:left="-284" w:firstLine="284"/>
        <w:jc w:val="both"/>
        <w:rPr>
          <w:rFonts w:ascii="Tahoma" w:eastAsia="Calibri" w:hAnsi="Tahoma" w:cs="Tahoma"/>
          <w:sz w:val="18"/>
          <w:szCs w:val="18"/>
          <w:lang w:eastAsia="en-US"/>
        </w:rPr>
      </w:pPr>
      <w:r w:rsidRPr="008572C5">
        <w:rPr>
          <w:rFonts w:ascii="Tahoma" w:eastAsia="Calibri" w:hAnsi="Tahoma" w:cs="Tahoma"/>
          <w:sz w:val="18"/>
          <w:szCs w:val="18"/>
          <w:vertAlign w:val="superscript"/>
          <w:lang w:eastAsia="en-US"/>
        </w:rPr>
        <w:t>1</w:t>
      </w:r>
      <w:r w:rsidRPr="008572C5">
        <w:rPr>
          <w:rFonts w:ascii="Tahoma" w:eastAsia="Calibri" w:hAnsi="Tahoma" w:cs="Tahoma"/>
          <w:sz w:val="18"/>
          <w:szCs w:val="18"/>
          <w:lang w:eastAsia="en-US"/>
        </w:rPr>
        <w:t>Минимальный остаток по Счету – рассчитывается исходя из ежедневных остатков денежных средств на Счете Клиента в течение Периода</w:t>
      </w:r>
      <w:r w:rsidRPr="008572C5">
        <w:rPr>
          <w:rFonts w:ascii="Tahoma" w:eastAsia="Calibri" w:hAnsi="Tahoma" w:cs="Tahoma"/>
          <w:sz w:val="18"/>
          <w:szCs w:val="18"/>
          <w:vertAlign w:val="superscript"/>
          <w:lang w:eastAsia="en-US"/>
        </w:rPr>
        <w:t>2</w:t>
      </w:r>
      <w:r w:rsidRPr="008572C5">
        <w:rPr>
          <w:rFonts w:ascii="Tahoma" w:eastAsia="Calibri" w:hAnsi="Tahoma" w:cs="Tahoma"/>
          <w:sz w:val="18"/>
          <w:szCs w:val="18"/>
          <w:lang w:eastAsia="en-US"/>
        </w:rPr>
        <w:t>. Проценты за весь Период начисляются на  сумму минимального остатка денежных средств на Счете, который образуется на начало любого из дней в течение Периода, за который осуществляется выплата процентов Банком Клиенту, при этом выплата процентов за Период производится на Счет в последний день Периода.</w:t>
      </w:r>
    </w:p>
    <w:p w14:paraId="7DA2A4F9" w14:textId="77777777" w:rsidR="003650AB" w:rsidRPr="008572C5" w:rsidRDefault="003650AB" w:rsidP="003650AB">
      <w:pPr>
        <w:ind w:left="-284" w:firstLine="284"/>
        <w:jc w:val="both"/>
        <w:rPr>
          <w:rFonts w:ascii="Tahoma" w:hAnsi="Tahoma" w:cs="Tahoma"/>
          <w:sz w:val="18"/>
          <w:szCs w:val="18"/>
        </w:rPr>
      </w:pPr>
      <w:r w:rsidRPr="008572C5">
        <w:rPr>
          <w:rFonts w:ascii="Tahoma" w:hAnsi="Tahoma" w:cs="Tahoma"/>
          <w:sz w:val="18"/>
          <w:szCs w:val="18"/>
          <w:vertAlign w:val="superscript"/>
        </w:rPr>
        <w:t>2</w:t>
      </w:r>
      <w:r w:rsidRPr="008572C5">
        <w:rPr>
          <w:rFonts w:ascii="Tahoma" w:hAnsi="Tahoma" w:cs="Tahoma"/>
          <w:sz w:val="18"/>
          <w:szCs w:val="18"/>
        </w:rPr>
        <w:t>Период – временной период, за который Клиенту Банком на Минимальный остаток средств на Счете начисляются проценты.  Первый Период исчисляется со дня, следующего за днем внесения денежных средств на Счет до календарного дня в следующем месяце, соответствующего дню открытия Счета включительно. Последующие Периоды исчисляются ежемесячно со дня, следующего после дня окончания предыдущего Периода до календарного дня в следующем месяце, соответствующего дню открытия Счета включительно.</w:t>
      </w:r>
    </w:p>
    <w:p w14:paraId="639FE448" w14:textId="77777777" w:rsidR="003650AB" w:rsidRPr="008572C5" w:rsidRDefault="003650AB" w:rsidP="003650AB">
      <w:pPr>
        <w:ind w:left="-284" w:firstLine="284"/>
        <w:jc w:val="both"/>
        <w:rPr>
          <w:rFonts w:ascii="Calibri" w:eastAsia="Calibri" w:hAnsi="Calibri"/>
          <w:sz w:val="22"/>
          <w:szCs w:val="22"/>
          <w:lang w:eastAsia="en-US"/>
        </w:rPr>
      </w:pPr>
      <w:r w:rsidRPr="008572C5">
        <w:rPr>
          <w:rFonts w:ascii="Tahoma" w:eastAsia="Calibri" w:hAnsi="Tahoma" w:cs="Tahoma"/>
          <w:sz w:val="22"/>
          <w:szCs w:val="22"/>
          <w:lang w:eastAsia="en-US"/>
        </w:rPr>
        <w:t>Размеры процентных ставок определяются Тарифами Банка. В случае внесения изменений в Тарифы Банка Банк информирует Клиента путем размещения информации об изменениях на Официальном сайте Банка и (или) в подразделениях Банка, и (или) через каналы дистанционного банковского обслуживания Интернет-банк «АТБ-Онлайн»/ Мобильный банк «АТБ-Мобайл» не менее чем за 3 рабочих дня до даты вступления изменений в силу.</w:t>
      </w:r>
    </w:p>
    <w:p w14:paraId="080599DE" w14:textId="77777777" w:rsidR="003650AB" w:rsidRPr="008572C5" w:rsidRDefault="003650AB" w:rsidP="003650AB">
      <w:pPr>
        <w:tabs>
          <w:tab w:val="left" w:pos="1134"/>
        </w:tabs>
        <w:contextualSpacing/>
        <w:jc w:val="both"/>
        <w:rPr>
          <w:rFonts w:ascii="Tahoma" w:hAnsi="Tahoma" w:cs="Tahoma"/>
          <w:sz w:val="22"/>
          <w:szCs w:val="22"/>
        </w:rPr>
      </w:pPr>
    </w:p>
    <w:p w14:paraId="59EC88DA" w14:textId="0FB2FD74" w:rsidR="003650AB" w:rsidRPr="00CD490E" w:rsidRDefault="002B7E85" w:rsidP="000B3718">
      <w:pPr>
        <w:pStyle w:val="a5"/>
        <w:rPr>
          <w:rFonts w:eastAsia="Calibri"/>
          <w:color w:val="00B050"/>
        </w:rPr>
      </w:pPr>
      <w:r>
        <w:rPr>
          <w:rFonts w:eastAsia="Calibri"/>
        </w:rPr>
        <w:t>3.3</w:t>
      </w:r>
      <w:r w:rsidR="00955573">
        <w:rPr>
          <w:rFonts w:eastAsia="Calibri"/>
        </w:rPr>
        <w:t>6</w:t>
      </w:r>
      <w:r w:rsidR="003650AB" w:rsidRPr="004531AB">
        <w:rPr>
          <w:rFonts w:eastAsia="Calibri"/>
        </w:rPr>
        <w:t>.</w:t>
      </w:r>
      <w:r w:rsidR="003650AB" w:rsidRPr="004531AB">
        <w:rPr>
          <w:rFonts w:eastAsia="Calibri"/>
        </w:rPr>
        <w:tab/>
      </w:r>
      <w:r w:rsidR="003650AB" w:rsidRPr="00CD490E">
        <w:rPr>
          <w:rFonts w:eastAsia="Calibri"/>
        </w:rPr>
        <w:t xml:space="preserve">Условия текущего банковского счета «Накопительный счет Супер Копилка» для счетов открытых с 04.03.2022 </w:t>
      </w:r>
      <w:r w:rsidR="003650AB" w:rsidRPr="004531AB">
        <w:rPr>
          <w:rFonts w:eastAsia="Calibri"/>
        </w:rPr>
        <w:t xml:space="preserve">(действуют с </w:t>
      </w:r>
      <w:r w:rsidR="003650AB">
        <w:rPr>
          <w:rFonts w:eastAsia="Calibri"/>
        </w:rPr>
        <w:t>02</w:t>
      </w:r>
      <w:r w:rsidR="003650AB" w:rsidRPr="004531AB">
        <w:rPr>
          <w:rFonts w:eastAsia="Calibri"/>
        </w:rPr>
        <w:t>.11.2023):</w:t>
      </w:r>
    </w:p>
    <w:p w14:paraId="624AFDAB"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Валюта счета – рубли Российской Федерации (далее – рубли);</w:t>
      </w:r>
    </w:p>
    <w:p w14:paraId="71F2673A"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Срок размещения – не ограничен;</w:t>
      </w:r>
    </w:p>
    <w:p w14:paraId="7B6F21AA"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Минимальный первоначальный взнос – не ограничен;</w:t>
      </w:r>
    </w:p>
    <w:p w14:paraId="716B71DD"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Пополнение счета – без ограничений;</w:t>
      </w:r>
    </w:p>
    <w:p w14:paraId="41FC15E9"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Расходные операции по счету – без ограничений;</w:t>
      </w:r>
    </w:p>
    <w:p w14:paraId="7EE15166"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Сумма неснижаемого остатка – без ограничений;</w:t>
      </w:r>
    </w:p>
    <w:p w14:paraId="24FCBA61"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Максимальная сумма счета – без ограничений;</w:t>
      </w:r>
    </w:p>
    <w:p w14:paraId="0E86ECB0"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Периодичность выплаты процентов - ежемесячно, исходя из процентной ставки, установленной по счету и суммы Минимального остатка денежных средств¹, находящихся на счете в течение Периода²;</w:t>
      </w:r>
    </w:p>
    <w:p w14:paraId="6932E06B"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 xml:space="preserve">Способ выплаты процентов - </w:t>
      </w:r>
      <w:r w:rsidRPr="008572C5">
        <w:rPr>
          <w:rFonts w:ascii="Tahoma" w:eastAsia="Calibri" w:hAnsi="Tahoma" w:cs="Tahoma"/>
          <w:sz w:val="22"/>
          <w:szCs w:val="22"/>
          <w:lang w:eastAsia="en-US"/>
        </w:rPr>
        <w:t>проценты по Счету причисляются к остатку денежных средств на счете ежемесячно.</w:t>
      </w:r>
    </w:p>
    <w:p w14:paraId="5FD869D2" w14:textId="77777777" w:rsidR="003650AB" w:rsidRPr="008572C5" w:rsidRDefault="003650AB" w:rsidP="00EB4F4C">
      <w:pPr>
        <w:widowControl w:val="0"/>
        <w:numPr>
          <w:ilvl w:val="0"/>
          <w:numId w:val="59"/>
        </w:numPr>
        <w:autoSpaceDE w:val="0"/>
        <w:autoSpaceDN w:val="0"/>
        <w:adjustRightInd w:val="0"/>
        <w:ind w:left="-284" w:firstLine="641"/>
        <w:jc w:val="both"/>
        <w:rPr>
          <w:rFonts w:ascii="Tahoma" w:eastAsia="Calibri" w:hAnsi="Tahoma" w:cs="Tahoma"/>
          <w:bCs/>
          <w:sz w:val="22"/>
          <w:szCs w:val="22"/>
          <w:lang w:eastAsia="en-US"/>
        </w:rPr>
      </w:pPr>
      <w:r w:rsidRPr="008572C5">
        <w:rPr>
          <w:rFonts w:ascii="Tahoma" w:eastAsia="Calibri" w:hAnsi="Tahoma" w:cs="Tahoma"/>
          <w:bCs/>
          <w:sz w:val="22"/>
          <w:szCs w:val="22"/>
          <w:lang w:eastAsia="en-US"/>
        </w:rPr>
        <w:t>Открытие счета и управлением счетом в отделениях Банка и через дистанционные каналы банковского обслуживания Интернет-банк «АТБ-Онлайн»/ Мобильный банк «АТБ-Мобайл».</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17"/>
        <w:gridCol w:w="5110"/>
      </w:tblGrid>
      <w:tr w:rsidR="003650AB" w:rsidRPr="008572C5" w14:paraId="672242FF" w14:textId="77777777" w:rsidTr="00EB2DE2">
        <w:trPr>
          <w:trHeight w:val="295"/>
        </w:trPr>
        <w:tc>
          <w:tcPr>
            <w:tcW w:w="3311" w:type="pct"/>
            <w:tcBorders>
              <w:top w:val="single" w:sz="4" w:space="0" w:color="auto"/>
              <w:left w:val="single" w:sz="4" w:space="0" w:color="auto"/>
              <w:right w:val="single" w:sz="4" w:space="0" w:color="auto"/>
            </w:tcBorders>
            <w:hideMark/>
          </w:tcPr>
          <w:p w14:paraId="0C608E49" w14:textId="77777777" w:rsidR="003650AB" w:rsidRPr="008572C5" w:rsidRDefault="003650AB" w:rsidP="00EB2DE2">
            <w:pPr>
              <w:tabs>
                <w:tab w:val="left" w:pos="284"/>
                <w:tab w:val="left" w:pos="426"/>
              </w:tabs>
              <w:jc w:val="center"/>
              <w:textAlignment w:val="top"/>
              <w:rPr>
                <w:rFonts w:ascii="Tahoma" w:hAnsi="Tahoma" w:cs="Tahoma"/>
                <w:bCs/>
                <w:iCs/>
                <w:sz w:val="22"/>
                <w:szCs w:val="22"/>
              </w:rPr>
            </w:pPr>
            <w:r w:rsidRPr="008572C5">
              <w:rPr>
                <w:rFonts w:ascii="Tahoma" w:hAnsi="Tahoma" w:cs="Tahoma"/>
                <w:bCs/>
                <w:iCs/>
                <w:sz w:val="22"/>
                <w:szCs w:val="22"/>
              </w:rPr>
              <w:t>Минимальный остаток по счету¹</w:t>
            </w:r>
          </w:p>
        </w:tc>
        <w:tc>
          <w:tcPr>
            <w:tcW w:w="1689" w:type="pct"/>
            <w:tcBorders>
              <w:top w:val="single" w:sz="4" w:space="0" w:color="auto"/>
              <w:left w:val="single" w:sz="4" w:space="0" w:color="auto"/>
              <w:right w:val="single" w:sz="4" w:space="0" w:color="auto"/>
            </w:tcBorders>
            <w:hideMark/>
          </w:tcPr>
          <w:p w14:paraId="6F3F36B2" w14:textId="77777777" w:rsidR="003650AB" w:rsidRPr="008572C5" w:rsidRDefault="003650AB" w:rsidP="00EB2DE2">
            <w:pPr>
              <w:widowControl w:val="0"/>
              <w:tabs>
                <w:tab w:val="left" w:pos="426"/>
                <w:tab w:val="left" w:pos="851"/>
                <w:tab w:val="right" w:pos="10206"/>
              </w:tabs>
              <w:adjustRightInd w:val="0"/>
              <w:jc w:val="center"/>
              <w:rPr>
                <w:rFonts w:ascii="Tahoma" w:hAnsi="Tahoma" w:cs="Tahoma"/>
                <w:bCs/>
                <w:iCs/>
                <w:sz w:val="22"/>
                <w:szCs w:val="22"/>
              </w:rPr>
            </w:pPr>
            <w:r w:rsidRPr="008572C5">
              <w:rPr>
                <w:rFonts w:ascii="Tahoma" w:hAnsi="Tahoma" w:cs="Tahoma"/>
                <w:bCs/>
                <w:iCs/>
                <w:sz w:val="22"/>
                <w:szCs w:val="22"/>
              </w:rPr>
              <w:t>Процентная ставка, % годовых</w:t>
            </w:r>
          </w:p>
        </w:tc>
      </w:tr>
      <w:tr w:rsidR="003650AB" w:rsidRPr="008572C5" w14:paraId="4390106D" w14:textId="77777777" w:rsidTr="00EB2DE2">
        <w:trPr>
          <w:trHeight w:val="70"/>
        </w:trPr>
        <w:tc>
          <w:tcPr>
            <w:tcW w:w="3311" w:type="pct"/>
            <w:tcBorders>
              <w:top w:val="single" w:sz="4" w:space="0" w:color="auto"/>
              <w:left w:val="single" w:sz="4" w:space="0" w:color="auto"/>
              <w:bottom w:val="single" w:sz="4" w:space="0" w:color="auto"/>
              <w:right w:val="single" w:sz="4" w:space="0" w:color="auto"/>
            </w:tcBorders>
          </w:tcPr>
          <w:p w14:paraId="2871260D" w14:textId="77777777" w:rsidR="003650AB" w:rsidRPr="008572C5" w:rsidRDefault="003650AB" w:rsidP="00EB2DE2">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До 1 500 000 рублей включительно</w:t>
            </w:r>
          </w:p>
        </w:tc>
        <w:tc>
          <w:tcPr>
            <w:tcW w:w="1689" w:type="pct"/>
            <w:tcBorders>
              <w:top w:val="single" w:sz="4" w:space="0" w:color="auto"/>
              <w:left w:val="single" w:sz="4" w:space="0" w:color="auto"/>
              <w:bottom w:val="single" w:sz="4" w:space="0" w:color="auto"/>
              <w:right w:val="single" w:sz="4" w:space="0" w:color="auto"/>
            </w:tcBorders>
            <w:vAlign w:val="center"/>
          </w:tcPr>
          <w:p w14:paraId="17CD8C67" w14:textId="77777777" w:rsidR="003650AB" w:rsidRPr="008572C5" w:rsidRDefault="003650AB" w:rsidP="00EB2DE2">
            <w:pPr>
              <w:tabs>
                <w:tab w:val="left" w:pos="284"/>
                <w:tab w:val="left" w:pos="426"/>
              </w:tabs>
              <w:jc w:val="center"/>
              <w:textAlignment w:val="top"/>
              <w:rPr>
                <w:rFonts w:ascii="Tahoma" w:hAnsi="Tahoma" w:cs="Tahoma"/>
                <w:bCs/>
                <w:iCs/>
                <w:color w:val="000000" w:themeColor="text1"/>
                <w:sz w:val="22"/>
                <w:szCs w:val="22"/>
              </w:rPr>
            </w:pPr>
            <w:r>
              <w:rPr>
                <w:rFonts w:ascii="Tahoma" w:hAnsi="Tahoma" w:cs="Tahoma"/>
                <w:bCs/>
                <w:iCs/>
                <w:color w:val="000000" w:themeColor="text1"/>
                <w:sz w:val="22"/>
                <w:szCs w:val="22"/>
              </w:rPr>
              <w:t>11,50</w:t>
            </w:r>
          </w:p>
        </w:tc>
      </w:tr>
      <w:tr w:rsidR="003650AB" w:rsidRPr="008572C5" w14:paraId="7DA06D84" w14:textId="77777777" w:rsidTr="00EB2DE2">
        <w:trPr>
          <w:trHeight w:val="70"/>
        </w:trPr>
        <w:tc>
          <w:tcPr>
            <w:tcW w:w="3311" w:type="pct"/>
            <w:tcBorders>
              <w:top w:val="single" w:sz="4" w:space="0" w:color="auto"/>
              <w:left w:val="single" w:sz="4" w:space="0" w:color="auto"/>
              <w:bottom w:val="single" w:sz="4" w:space="0" w:color="auto"/>
              <w:right w:val="single" w:sz="4" w:space="0" w:color="auto"/>
            </w:tcBorders>
          </w:tcPr>
          <w:p w14:paraId="08D30A9B" w14:textId="77777777" w:rsidR="003650AB" w:rsidRPr="008572C5" w:rsidRDefault="003650AB" w:rsidP="00EB2DE2">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Свыше 1 500 000 рублей до 5 000 000 рублей включительно</w:t>
            </w:r>
          </w:p>
        </w:tc>
        <w:tc>
          <w:tcPr>
            <w:tcW w:w="1689" w:type="pct"/>
            <w:tcBorders>
              <w:top w:val="single" w:sz="4" w:space="0" w:color="auto"/>
              <w:left w:val="single" w:sz="4" w:space="0" w:color="auto"/>
              <w:bottom w:val="single" w:sz="4" w:space="0" w:color="auto"/>
              <w:right w:val="single" w:sz="4" w:space="0" w:color="auto"/>
            </w:tcBorders>
            <w:vAlign w:val="center"/>
          </w:tcPr>
          <w:p w14:paraId="234A8A18" w14:textId="77777777" w:rsidR="003650AB" w:rsidRPr="008572C5" w:rsidRDefault="003650AB" w:rsidP="00EB2DE2">
            <w:pPr>
              <w:tabs>
                <w:tab w:val="left" w:pos="284"/>
                <w:tab w:val="left" w:pos="426"/>
              </w:tabs>
              <w:jc w:val="center"/>
              <w:textAlignment w:val="top"/>
              <w:rPr>
                <w:rFonts w:ascii="Tahoma" w:hAnsi="Tahoma" w:cs="Tahoma"/>
                <w:bCs/>
                <w:iCs/>
                <w:color w:val="000000" w:themeColor="text1"/>
                <w:sz w:val="22"/>
                <w:szCs w:val="22"/>
              </w:rPr>
            </w:pPr>
            <w:r>
              <w:rPr>
                <w:rFonts w:ascii="Tahoma" w:hAnsi="Tahoma" w:cs="Tahoma"/>
                <w:bCs/>
                <w:iCs/>
                <w:color w:val="000000" w:themeColor="text1"/>
                <w:sz w:val="22"/>
                <w:szCs w:val="22"/>
              </w:rPr>
              <w:t>11,50</w:t>
            </w:r>
          </w:p>
        </w:tc>
      </w:tr>
      <w:tr w:rsidR="003650AB" w:rsidRPr="008572C5" w14:paraId="2DF080A0" w14:textId="77777777" w:rsidTr="00EB2DE2">
        <w:trPr>
          <w:trHeight w:val="70"/>
        </w:trPr>
        <w:tc>
          <w:tcPr>
            <w:tcW w:w="3311" w:type="pct"/>
            <w:tcBorders>
              <w:top w:val="single" w:sz="4" w:space="0" w:color="auto"/>
              <w:left w:val="single" w:sz="4" w:space="0" w:color="auto"/>
              <w:bottom w:val="single" w:sz="4" w:space="0" w:color="auto"/>
              <w:right w:val="single" w:sz="4" w:space="0" w:color="auto"/>
            </w:tcBorders>
          </w:tcPr>
          <w:p w14:paraId="0E966701" w14:textId="77777777" w:rsidR="003650AB" w:rsidRPr="008572C5" w:rsidRDefault="003650AB" w:rsidP="00EB2DE2">
            <w:pPr>
              <w:widowControl w:val="0"/>
              <w:tabs>
                <w:tab w:val="left" w:pos="284"/>
                <w:tab w:val="left" w:pos="426"/>
              </w:tabs>
              <w:adjustRightInd w:val="0"/>
              <w:jc w:val="center"/>
              <w:rPr>
                <w:rFonts w:ascii="Tahoma" w:hAnsi="Tahoma" w:cs="Tahoma"/>
                <w:bCs/>
                <w:iCs/>
                <w:sz w:val="22"/>
                <w:szCs w:val="22"/>
              </w:rPr>
            </w:pPr>
            <w:r w:rsidRPr="008572C5">
              <w:rPr>
                <w:rFonts w:ascii="Tahoma" w:hAnsi="Tahoma" w:cs="Tahoma"/>
                <w:bCs/>
                <w:iCs/>
                <w:sz w:val="22"/>
                <w:szCs w:val="22"/>
              </w:rPr>
              <w:t>Свыше 5 000 000 рублей</w:t>
            </w:r>
          </w:p>
        </w:tc>
        <w:tc>
          <w:tcPr>
            <w:tcW w:w="1689" w:type="pct"/>
            <w:tcBorders>
              <w:top w:val="single" w:sz="4" w:space="0" w:color="auto"/>
              <w:left w:val="single" w:sz="4" w:space="0" w:color="auto"/>
              <w:bottom w:val="single" w:sz="4" w:space="0" w:color="auto"/>
              <w:right w:val="single" w:sz="4" w:space="0" w:color="auto"/>
            </w:tcBorders>
            <w:vAlign w:val="center"/>
          </w:tcPr>
          <w:p w14:paraId="3AFA4331" w14:textId="77777777" w:rsidR="003650AB" w:rsidRPr="008572C5" w:rsidRDefault="003650AB" w:rsidP="00EB2DE2">
            <w:pPr>
              <w:tabs>
                <w:tab w:val="left" w:pos="284"/>
                <w:tab w:val="left" w:pos="426"/>
              </w:tabs>
              <w:jc w:val="center"/>
              <w:textAlignment w:val="top"/>
              <w:rPr>
                <w:rFonts w:ascii="Tahoma" w:hAnsi="Tahoma" w:cs="Tahoma"/>
                <w:bCs/>
                <w:iCs/>
                <w:color w:val="000000" w:themeColor="text1"/>
                <w:sz w:val="22"/>
                <w:szCs w:val="22"/>
              </w:rPr>
            </w:pPr>
            <w:r>
              <w:rPr>
                <w:rFonts w:ascii="Tahoma" w:hAnsi="Tahoma" w:cs="Tahoma"/>
                <w:bCs/>
                <w:iCs/>
                <w:color w:val="000000" w:themeColor="text1"/>
                <w:sz w:val="22"/>
                <w:szCs w:val="22"/>
              </w:rPr>
              <w:t>11,50</w:t>
            </w:r>
          </w:p>
        </w:tc>
      </w:tr>
    </w:tbl>
    <w:p w14:paraId="7E833B16" w14:textId="77777777" w:rsidR="003650AB" w:rsidRPr="008572C5" w:rsidRDefault="003650AB" w:rsidP="003650AB">
      <w:pPr>
        <w:jc w:val="both"/>
        <w:rPr>
          <w:rFonts w:ascii="Tahoma" w:eastAsia="Calibri" w:hAnsi="Tahoma" w:cs="Tahoma"/>
          <w:bCs/>
          <w:sz w:val="22"/>
          <w:szCs w:val="22"/>
          <w:lang w:eastAsia="en-US"/>
        </w:rPr>
      </w:pPr>
    </w:p>
    <w:p w14:paraId="0B7EA758" w14:textId="77777777" w:rsidR="003650AB" w:rsidRPr="008572C5" w:rsidRDefault="003650AB" w:rsidP="003650AB">
      <w:pPr>
        <w:ind w:left="-284" w:firstLine="284"/>
        <w:jc w:val="both"/>
        <w:rPr>
          <w:rFonts w:ascii="Tahoma" w:eastAsia="Calibri" w:hAnsi="Tahoma" w:cs="Tahoma"/>
          <w:sz w:val="18"/>
          <w:szCs w:val="18"/>
          <w:lang w:eastAsia="en-US"/>
        </w:rPr>
      </w:pPr>
      <w:r w:rsidRPr="008572C5">
        <w:rPr>
          <w:rFonts w:ascii="Tahoma" w:eastAsia="Calibri" w:hAnsi="Tahoma" w:cs="Tahoma"/>
          <w:sz w:val="18"/>
          <w:szCs w:val="18"/>
          <w:vertAlign w:val="superscript"/>
          <w:lang w:eastAsia="en-US"/>
        </w:rPr>
        <w:t>1</w:t>
      </w:r>
      <w:r w:rsidRPr="008572C5">
        <w:rPr>
          <w:rFonts w:ascii="Tahoma" w:eastAsia="Calibri" w:hAnsi="Tahoma" w:cs="Tahoma"/>
          <w:sz w:val="18"/>
          <w:szCs w:val="18"/>
          <w:lang w:eastAsia="en-US"/>
        </w:rPr>
        <w:t>Минимальный остаток по Счету – рассчитывается исходя из ежедневных остатков денежных средств на Счете Клиента в течение Периода</w:t>
      </w:r>
      <w:r w:rsidRPr="008572C5">
        <w:rPr>
          <w:rFonts w:ascii="Tahoma" w:eastAsia="Calibri" w:hAnsi="Tahoma" w:cs="Tahoma"/>
          <w:sz w:val="18"/>
          <w:szCs w:val="18"/>
          <w:vertAlign w:val="superscript"/>
          <w:lang w:eastAsia="en-US"/>
        </w:rPr>
        <w:t>2</w:t>
      </w:r>
      <w:r w:rsidRPr="008572C5">
        <w:rPr>
          <w:rFonts w:ascii="Tahoma" w:eastAsia="Calibri" w:hAnsi="Tahoma" w:cs="Tahoma"/>
          <w:sz w:val="18"/>
          <w:szCs w:val="18"/>
          <w:lang w:eastAsia="en-US"/>
        </w:rPr>
        <w:t>. Проценты за весь Период начисляются на  сумму минимального остатка денежных средств на Счете, который образуется на начало любого из дней в течение Периода, за который осуществляется выплата процентов Банком Клиенту, при этом выплата процентов за Период производится на Счет в последний день Периода.</w:t>
      </w:r>
    </w:p>
    <w:p w14:paraId="14E68143" w14:textId="77777777" w:rsidR="003650AB" w:rsidRPr="008572C5" w:rsidRDefault="003650AB" w:rsidP="003650AB">
      <w:pPr>
        <w:ind w:left="-284" w:firstLine="284"/>
        <w:jc w:val="both"/>
        <w:rPr>
          <w:rFonts w:ascii="Tahoma" w:hAnsi="Tahoma" w:cs="Tahoma"/>
          <w:sz w:val="18"/>
          <w:szCs w:val="18"/>
        </w:rPr>
      </w:pPr>
      <w:r w:rsidRPr="008572C5">
        <w:rPr>
          <w:rFonts w:ascii="Tahoma" w:hAnsi="Tahoma" w:cs="Tahoma"/>
          <w:sz w:val="18"/>
          <w:szCs w:val="18"/>
          <w:vertAlign w:val="superscript"/>
        </w:rPr>
        <w:t>2</w:t>
      </w:r>
      <w:r w:rsidRPr="008572C5">
        <w:rPr>
          <w:rFonts w:ascii="Tahoma" w:hAnsi="Tahoma" w:cs="Tahoma"/>
          <w:sz w:val="18"/>
          <w:szCs w:val="18"/>
        </w:rPr>
        <w:t>Период – временной период, за который Клиенту Банком на Минимальный остаток средств на Счете начисляются проценты.  Первый Период исчисляется со дня, следующего за днем внесения денежных средств на Счет до календарного дня в следующем месяце, соответствующего дню открытия Счета включительно. Последующие Периоды исчисляются ежемесячно со дня, следующего после дня окончания предыдущего Периода до календарного дня в следующем месяце, соответствующего дню открытия Счета включительно.</w:t>
      </w:r>
    </w:p>
    <w:p w14:paraId="69F993D8" w14:textId="77777777" w:rsidR="003650AB" w:rsidRPr="008572C5" w:rsidRDefault="003650AB" w:rsidP="003650AB">
      <w:pPr>
        <w:ind w:left="-284" w:firstLine="284"/>
        <w:jc w:val="both"/>
        <w:rPr>
          <w:rFonts w:ascii="Calibri" w:eastAsia="Calibri" w:hAnsi="Calibri"/>
          <w:sz w:val="22"/>
          <w:szCs w:val="22"/>
          <w:lang w:eastAsia="en-US"/>
        </w:rPr>
      </w:pPr>
      <w:r w:rsidRPr="008572C5">
        <w:rPr>
          <w:rFonts w:ascii="Tahoma" w:eastAsia="Calibri" w:hAnsi="Tahoma" w:cs="Tahoma"/>
          <w:sz w:val="22"/>
          <w:szCs w:val="22"/>
          <w:lang w:eastAsia="en-US"/>
        </w:rPr>
        <w:t>Размеры процентных ставок определяются Тарифами Банка. В случае внесения изменений в Тарифы Банка Банк информирует Клиента путем размещения информации об изменениях на Официальном сайте Банка и (или) в подразделениях Банка, и (или) через каналы дистанционного банковского обслуживания Интернет-банк «АТБ-Онлайн»/ Мобильный банк «АТБ-Мобайл» не менее чем за 3 рабочих дня до даты вступления изменений в силу.</w:t>
      </w:r>
    </w:p>
    <w:p w14:paraId="79CE5963" w14:textId="77777777" w:rsidR="00090437" w:rsidRPr="00090437" w:rsidRDefault="00090437" w:rsidP="00090437">
      <w:pPr>
        <w:tabs>
          <w:tab w:val="left" w:pos="1134"/>
        </w:tabs>
        <w:contextualSpacing/>
        <w:jc w:val="both"/>
        <w:rPr>
          <w:rFonts w:ascii="Tahoma" w:hAnsi="Tahoma" w:cs="Tahoma"/>
          <w:sz w:val="22"/>
          <w:szCs w:val="22"/>
        </w:rPr>
      </w:pPr>
    </w:p>
    <w:p w14:paraId="7C481A28" w14:textId="71FDECA1" w:rsidR="00090437" w:rsidRPr="00090437" w:rsidRDefault="002B7E85" w:rsidP="000B3718">
      <w:pPr>
        <w:pStyle w:val="a5"/>
      </w:pPr>
      <w:r>
        <w:t>3.3</w:t>
      </w:r>
      <w:r w:rsidR="00955573">
        <w:t>7</w:t>
      </w:r>
      <w:r w:rsidR="00090437" w:rsidRPr="00090437">
        <w:t>.</w:t>
      </w:r>
      <w:r w:rsidR="00090437" w:rsidRPr="00090437">
        <w:tab/>
        <w:t>Вклад «Сохрани» (условия для пролонгируемых вкладов)</w:t>
      </w:r>
    </w:p>
    <w:p w14:paraId="75205FA6" w14:textId="77777777" w:rsidR="00090437" w:rsidRPr="00090437" w:rsidRDefault="00090437" w:rsidP="00DE6159">
      <w:pPr>
        <w:tabs>
          <w:tab w:val="left" w:pos="284"/>
          <w:tab w:val="left" w:pos="567"/>
        </w:tabs>
        <w:ind w:firstLine="426"/>
        <w:jc w:val="both"/>
        <w:rPr>
          <w:rFonts w:ascii="Tahoma" w:hAnsi="Tahoma" w:cs="Tahoma"/>
          <w:bCs/>
          <w:sz w:val="22"/>
          <w:szCs w:val="22"/>
        </w:rPr>
      </w:pPr>
      <w:r w:rsidRPr="00090437">
        <w:rPr>
          <w:rFonts w:ascii="Tahoma" w:hAnsi="Tahoma" w:cs="Tahoma"/>
          <w:bCs/>
          <w:sz w:val="22"/>
          <w:szCs w:val="22"/>
        </w:rPr>
        <w:t>Условия:</w:t>
      </w:r>
    </w:p>
    <w:p w14:paraId="76024B87" w14:textId="77777777" w:rsidR="00090437" w:rsidRPr="00090437" w:rsidRDefault="00090437" w:rsidP="00090437">
      <w:pPr>
        <w:numPr>
          <w:ilvl w:val="0"/>
          <w:numId w:val="8"/>
        </w:numPr>
        <w:contextualSpacing/>
        <w:jc w:val="both"/>
        <w:rPr>
          <w:rFonts w:ascii="Tahoma" w:hAnsi="Tahoma" w:cs="Tahoma"/>
          <w:sz w:val="22"/>
          <w:szCs w:val="22"/>
        </w:rPr>
      </w:pPr>
      <w:r w:rsidRPr="00090437">
        <w:rPr>
          <w:rFonts w:ascii="Tahoma" w:hAnsi="Tahoma" w:cs="Tahoma"/>
          <w:color w:val="000000" w:themeColor="text1"/>
          <w:sz w:val="22"/>
          <w:szCs w:val="22"/>
        </w:rPr>
        <w:t>Валюта - рубли</w:t>
      </w:r>
      <w:r w:rsidRPr="00090437">
        <w:rPr>
          <w:rFonts w:ascii="Tahoma" w:hAnsi="Tahoma" w:cs="Tahoma"/>
          <w:sz w:val="22"/>
          <w:szCs w:val="22"/>
        </w:rPr>
        <w:t>, китайский юань;</w:t>
      </w:r>
    </w:p>
    <w:p w14:paraId="51186D5B" w14:textId="77777777" w:rsidR="00090437" w:rsidRPr="00090437" w:rsidRDefault="00090437" w:rsidP="00090437">
      <w:pPr>
        <w:numPr>
          <w:ilvl w:val="0"/>
          <w:numId w:val="8"/>
        </w:numPr>
        <w:contextualSpacing/>
        <w:jc w:val="both"/>
        <w:rPr>
          <w:rFonts w:ascii="Tahoma" w:hAnsi="Tahoma" w:cs="Tahoma"/>
          <w:sz w:val="22"/>
          <w:szCs w:val="22"/>
        </w:rPr>
      </w:pPr>
      <w:r w:rsidRPr="00090437">
        <w:rPr>
          <w:rFonts w:ascii="Tahoma" w:hAnsi="Tahoma" w:cs="Tahoma"/>
          <w:sz w:val="22"/>
          <w:szCs w:val="22"/>
        </w:rPr>
        <w:t>Минимальная сумма Вклада 5 000 рублей/ 700 китайских юаней;</w:t>
      </w:r>
    </w:p>
    <w:p w14:paraId="31282AE1" w14:textId="77777777" w:rsidR="00090437" w:rsidRPr="00090437" w:rsidRDefault="00090437" w:rsidP="00090437">
      <w:pPr>
        <w:numPr>
          <w:ilvl w:val="0"/>
          <w:numId w:val="8"/>
        </w:numPr>
        <w:contextualSpacing/>
        <w:jc w:val="both"/>
        <w:rPr>
          <w:rFonts w:ascii="Tahoma" w:hAnsi="Tahoma" w:cs="Tahoma"/>
          <w:sz w:val="22"/>
          <w:szCs w:val="22"/>
        </w:rPr>
      </w:pPr>
      <w:r w:rsidRPr="00090437">
        <w:rPr>
          <w:rFonts w:ascii="Tahoma" w:hAnsi="Tahoma" w:cs="Tahoma"/>
          <w:sz w:val="22"/>
          <w:szCs w:val="22"/>
        </w:rPr>
        <w:t>Максимальная сумма Вклада – не ограничена;</w:t>
      </w:r>
    </w:p>
    <w:p w14:paraId="6D01C603" w14:textId="77777777" w:rsidR="00090437" w:rsidRPr="00090437" w:rsidRDefault="00090437" w:rsidP="00090437">
      <w:pPr>
        <w:numPr>
          <w:ilvl w:val="0"/>
          <w:numId w:val="8"/>
        </w:numPr>
        <w:contextualSpacing/>
        <w:jc w:val="both"/>
        <w:rPr>
          <w:rFonts w:ascii="Tahoma" w:hAnsi="Tahoma" w:cs="Tahoma"/>
          <w:sz w:val="22"/>
          <w:szCs w:val="22"/>
        </w:rPr>
      </w:pPr>
      <w:r w:rsidRPr="00090437">
        <w:rPr>
          <w:rFonts w:ascii="Tahoma" w:hAnsi="Tahoma" w:cs="Tahoma"/>
          <w:sz w:val="22"/>
          <w:szCs w:val="22"/>
        </w:rPr>
        <w:t>Срок Вклада – 92 дня/ 182 дня/ 367 дней/ 731 день/ 1098 дней;</w:t>
      </w:r>
    </w:p>
    <w:p w14:paraId="78165DD8" w14:textId="77777777" w:rsidR="00090437" w:rsidRPr="00090437" w:rsidRDefault="00090437" w:rsidP="00090437">
      <w:pPr>
        <w:numPr>
          <w:ilvl w:val="0"/>
          <w:numId w:val="8"/>
        </w:numPr>
        <w:contextualSpacing/>
        <w:jc w:val="both"/>
        <w:rPr>
          <w:rFonts w:ascii="Tahoma" w:hAnsi="Tahoma" w:cs="Tahoma"/>
          <w:sz w:val="22"/>
          <w:szCs w:val="22"/>
        </w:rPr>
      </w:pPr>
      <w:r w:rsidRPr="00090437">
        <w:rPr>
          <w:rFonts w:ascii="Tahoma" w:hAnsi="Tahoma" w:cs="Tahoma"/>
          <w:sz w:val="22"/>
          <w:szCs w:val="22"/>
        </w:rPr>
        <w:t>Вклад не пополняемый;</w:t>
      </w:r>
    </w:p>
    <w:p w14:paraId="0D1B11F2" w14:textId="77777777" w:rsidR="00090437" w:rsidRPr="00090437" w:rsidRDefault="00090437" w:rsidP="00090437">
      <w:pPr>
        <w:numPr>
          <w:ilvl w:val="0"/>
          <w:numId w:val="8"/>
        </w:numPr>
        <w:contextualSpacing/>
        <w:jc w:val="both"/>
        <w:rPr>
          <w:rFonts w:ascii="Tahoma" w:hAnsi="Tahoma" w:cs="Tahoma"/>
          <w:color w:val="000000" w:themeColor="text1"/>
          <w:sz w:val="22"/>
          <w:szCs w:val="22"/>
        </w:rPr>
      </w:pPr>
      <w:r w:rsidRPr="00090437">
        <w:rPr>
          <w:rFonts w:ascii="Tahoma" w:hAnsi="Tahoma" w:cs="Tahoma"/>
          <w:sz w:val="22"/>
          <w:szCs w:val="22"/>
        </w:rPr>
        <w:t xml:space="preserve">Продление (автоматическое перезаключение) Договора без оформления </w:t>
      </w:r>
      <w:r w:rsidRPr="00090437">
        <w:rPr>
          <w:rFonts w:ascii="Tahoma" w:hAnsi="Tahoma" w:cs="Tahoma"/>
          <w:color w:val="000000" w:themeColor="text1"/>
          <w:sz w:val="22"/>
          <w:szCs w:val="22"/>
        </w:rPr>
        <w:t>дополнительных соглашений – без ограничений;</w:t>
      </w:r>
    </w:p>
    <w:p w14:paraId="628C28BC" w14:textId="77777777" w:rsidR="00090437" w:rsidRPr="00090437" w:rsidRDefault="00090437" w:rsidP="00090437">
      <w:pPr>
        <w:numPr>
          <w:ilvl w:val="0"/>
          <w:numId w:val="8"/>
        </w:numPr>
        <w:contextualSpacing/>
        <w:jc w:val="both"/>
        <w:rPr>
          <w:rFonts w:ascii="Tahoma" w:hAnsi="Tahoma" w:cs="Tahoma"/>
          <w:color w:val="000000" w:themeColor="text1"/>
          <w:sz w:val="22"/>
          <w:szCs w:val="22"/>
        </w:rPr>
      </w:pPr>
      <w:r w:rsidRPr="00090437">
        <w:rPr>
          <w:rFonts w:ascii="Tahoma" w:hAnsi="Tahoma" w:cs="Tahoma"/>
          <w:color w:val="000000" w:themeColor="text1"/>
          <w:sz w:val="22"/>
          <w:szCs w:val="22"/>
        </w:rPr>
        <w:t>Выплата процентов и суммы Вклада – в конце срока на счет банковской карты или Вклад «Личный счет» (до востребования)/ «Пенсионная сберкнижка до востребования» (для пенсионеров*);</w:t>
      </w:r>
    </w:p>
    <w:p w14:paraId="36039A80" w14:textId="77777777" w:rsidR="00090437" w:rsidRPr="00090437" w:rsidRDefault="00090437" w:rsidP="00090437">
      <w:pPr>
        <w:numPr>
          <w:ilvl w:val="0"/>
          <w:numId w:val="8"/>
        </w:numPr>
        <w:contextualSpacing/>
        <w:jc w:val="both"/>
        <w:rPr>
          <w:rFonts w:ascii="Tahoma" w:hAnsi="Tahoma" w:cs="Tahoma"/>
          <w:color w:val="000000" w:themeColor="text1"/>
          <w:sz w:val="22"/>
          <w:szCs w:val="22"/>
        </w:rPr>
      </w:pPr>
      <w:r w:rsidRPr="00090437">
        <w:rPr>
          <w:rFonts w:ascii="Tahoma" w:hAnsi="Tahoma" w:cs="Tahoma"/>
          <w:color w:val="000000" w:themeColor="text1"/>
          <w:sz w:val="22"/>
          <w:szCs w:val="22"/>
        </w:rPr>
        <w:t>Расходные операции по Вкладу – не предусмотрены;</w:t>
      </w:r>
    </w:p>
    <w:p w14:paraId="434AF10C" w14:textId="77777777" w:rsidR="00090437" w:rsidRPr="00090437" w:rsidRDefault="00090437" w:rsidP="00090437">
      <w:pPr>
        <w:numPr>
          <w:ilvl w:val="0"/>
          <w:numId w:val="8"/>
        </w:numPr>
        <w:contextualSpacing/>
        <w:jc w:val="both"/>
        <w:rPr>
          <w:rFonts w:ascii="Tahoma" w:hAnsi="Tahoma" w:cs="Tahoma"/>
          <w:color w:val="000000" w:themeColor="text1"/>
          <w:sz w:val="22"/>
          <w:szCs w:val="22"/>
        </w:rPr>
      </w:pPr>
      <w:r w:rsidRPr="00090437">
        <w:rPr>
          <w:rFonts w:ascii="Tahoma" w:hAnsi="Tahoma" w:cs="Tahoma"/>
          <w:color w:val="000000" w:themeColor="text1"/>
          <w:sz w:val="22"/>
          <w:szCs w:val="22"/>
        </w:rPr>
        <w:t>Досрочный отзыв:</w:t>
      </w:r>
    </w:p>
    <w:p w14:paraId="2D0E3D51" w14:textId="77777777" w:rsidR="00090437" w:rsidRPr="00090437" w:rsidRDefault="00090437" w:rsidP="00090437">
      <w:pPr>
        <w:ind w:left="720"/>
        <w:jc w:val="both"/>
        <w:rPr>
          <w:rFonts w:ascii="Tahoma" w:hAnsi="Tahoma" w:cs="Tahoma"/>
          <w:color w:val="000000" w:themeColor="text1"/>
          <w:sz w:val="22"/>
          <w:szCs w:val="22"/>
        </w:rPr>
      </w:pPr>
      <w:r w:rsidRPr="00090437">
        <w:rPr>
          <w:rFonts w:ascii="Tahoma" w:hAnsi="Tahoma" w:cs="Tahoma"/>
          <w:color w:val="000000" w:themeColor="text1"/>
          <w:sz w:val="22"/>
          <w:szCs w:val="22"/>
        </w:rPr>
        <w:t>- При расторжении в период до истечения 70% срока хранения Вклада - по ставке вклада «Личный счет» (до востребования)/ «Пенсионная сберкнижка до востребования» (для пенсионеров*) действующей в Банке на день досрочного расторжения Договора;</w:t>
      </w:r>
    </w:p>
    <w:p w14:paraId="16530BBE" w14:textId="77777777" w:rsidR="00090437" w:rsidRPr="00090437" w:rsidRDefault="00090437" w:rsidP="00090437">
      <w:pPr>
        <w:ind w:left="720"/>
        <w:jc w:val="both"/>
        <w:rPr>
          <w:rFonts w:ascii="Tahoma" w:hAnsi="Tahoma" w:cs="Tahoma"/>
          <w:color w:val="000000" w:themeColor="text1"/>
          <w:sz w:val="22"/>
          <w:szCs w:val="22"/>
        </w:rPr>
      </w:pPr>
      <w:r w:rsidRPr="00090437">
        <w:rPr>
          <w:rFonts w:ascii="Tahoma" w:hAnsi="Tahoma" w:cs="Tahoma"/>
          <w:color w:val="000000" w:themeColor="text1"/>
          <w:sz w:val="22"/>
          <w:szCs w:val="22"/>
        </w:rPr>
        <w:t>- При расторжении в период по истечении не менее 70% срока хранения Вклада - из расчета 1/2 процентной ставки по данному виду Вклада действующей в Банке на день досрочного расторжения Договора.</w:t>
      </w:r>
    </w:p>
    <w:p w14:paraId="0AF63E29" w14:textId="77777777" w:rsidR="00090437" w:rsidRPr="00090437" w:rsidRDefault="00090437" w:rsidP="00090437">
      <w:pPr>
        <w:tabs>
          <w:tab w:val="left" w:pos="284"/>
        </w:tabs>
        <w:rPr>
          <w:rFonts w:ascii="Tahoma" w:hAnsi="Tahoma" w:cs="Tahoma"/>
          <w:bCs/>
        </w:rPr>
      </w:pPr>
    </w:p>
    <w:tbl>
      <w:tblPr>
        <w:tblW w:w="15041" w:type="dxa"/>
        <w:tblInd w:w="93" w:type="dxa"/>
        <w:tblLayout w:type="fixed"/>
        <w:tblLook w:val="04A0" w:firstRow="1" w:lastRow="0" w:firstColumn="1" w:lastColumn="0" w:noHBand="0" w:noVBand="1"/>
      </w:tblPr>
      <w:tblGrid>
        <w:gridCol w:w="1882"/>
        <w:gridCol w:w="2410"/>
        <w:gridCol w:w="2126"/>
        <w:gridCol w:w="2126"/>
        <w:gridCol w:w="1276"/>
        <w:gridCol w:w="1134"/>
        <w:gridCol w:w="1276"/>
        <w:gridCol w:w="1275"/>
        <w:gridCol w:w="1536"/>
      </w:tblGrid>
      <w:tr w:rsidR="00090437" w:rsidRPr="00090437" w14:paraId="47AB4E35" w14:textId="77777777" w:rsidTr="00090437">
        <w:trPr>
          <w:trHeight w:val="319"/>
        </w:trPr>
        <w:tc>
          <w:tcPr>
            <w:tcW w:w="1882" w:type="dxa"/>
            <w:vMerge w:val="restart"/>
            <w:tcBorders>
              <w:top w:val="single" w:sz="8" w:space="0" w:color="auto"/>
              <w:left w:val="single" w:sz="8" w:space="0" w:color="auto"/>
              <w:bottom w:val="single" w:sz="8" w:space="0" w:color="000000"/>
              <w:right w:val="nil"/>
            </w:tcBorders>
            <w:shd w:val="clear" w:color="auto" w:fill="auto"/>
            <w:vAlign w:val="center"/>
            <w:hideMark/>
          </w:tcPr>
          <w:p w14:paraId="23BB5EF9"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Ориентировочный сегмент</w:t>
            </w:r>
          </w:p>
        </w:tc>
        <w:tc>
          <w:tcPr>
            <w:tcW w:w="2410"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66373326"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Продукт</w:t>
            </w:r>
          </w:p>
        </w:tc>
        <w:tc>
          <w:tcPr>
            <w:tcW w:w="4252" w:type="dxa"/>
            <w:gridSpan w:val="2"/>
            <w:tcBorders>
              <w:top w:val="single" w:sz="8" w:space="0" w:color="auto"/>
              <w:left w:val="nil"/>
              <w:bottom w:val="single" w:sz="4" w:space="0" w:color="auto"/>
              <w:right w:val="single" w:sz="4" w:space="0" w:color="auto"/>
            </w:tcBorders>
            <w:shd w:val="clear" w:color="auto" w:fill="auto"/>
            <w:noWrap/>
            <w:vAlign w:val="center"/>
            <w:hideMark/>
          </w:tcPr>
          <w:p w14:paraId="6EB21796"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Базовые параметры вклада</w:t>
            </w:r>
          </w:p>
        </w:tc>
        <w:tc>
          <w:tcPr>
            <w:tcW w:w="6497" w:type="dxa"/>
            <w:gridSpan w:val="5"/>
            <w:tcBorders>
              <w:top w:val="single" w:sz="4" w:space="0" w:color="auto"/>
              <w:left w:val="nil"/>
              <w:bottom w:val="single" w:sz="4" w:space="0" w:color="auto"/>
              <w:right w:val="single" w:sz="4" w:space="0" w:color="auto"/>
            </w:tcBorders>
          </w:tcPr>
          <w:p w14:paraId="413FCD14"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color w:val="000000" w:themeColor="text1"/>
                <w:sz w:val="20"/>
                <w:szCs w:val="20"/>
              </w:rPr>
              <w:t>Процентные ставки** (% годовых) в зависимости от срока договора вклада</w:t>
            </w:r>
          </w:p>
        </w:tc>
      </w:tr>
      <w:tr w:rsidR="00090437" w:rsidRPr="00090437" w14:paraId="7ABDD4DE" w14:textId="77777777" w:rsidTr="00090437">
        <w:trPr>
          <w:trHeight w:val="319"/>
        </w:trPr>
        <w:tc>
          <w:tcPr>
            <w:tcW w:w="1882" w:type="dxa"/>
            <w:vMerge/>
            <w:tcBorders>
              <w:top w:val="single" w:sz="8" w:space="0" w:color="auto"/>
              <w:left w:val="single" w:sz="8" w:space="0" w:color="auto"/>
              <w:bottom w:val="single" w:sz="8" w:space="0" w:color="000000"/>
              <w:right w:val="nil"/>
            </w:tcBorders>
            <w:vAlign w:val="center"/>
            <w:hideMark/>
          </w:tcPr>
          <w:p w14:paraId="11E42E35" w14:textId="77777777" w:rsidR="00090437" w:rsidRPr="00090437" w:rsidRDefault="00090437" w:rsidP="00090437">
            <w:pPr>
              <w:rPr>
                <w:rFonts w:ascii="Tahoma" w:hAnsi="Tahoma" w:cs="Tahoma"/>
                <w:b/>
                <w:bCs/>
                <w:iCs/>
                <w:color w:val="000000" w:themeColor="text1"/>
                <w:sz w:val="20"/>
                <w:szCs w:val="20"/>
              </w:rPr>
            </w:pPr>
          </w:p>
        </w:tc>
        <w:tc>
          <w:tcPr>
            <w:tcW w:w="2410" w:type="dxa"/>
            <w:vMerge/>
            <w:tcBorders>
              <w:top w:val="single" w:sz="8" w:space="0" w:color="auto"/>
              <w:left w:val="single" w:sz="8" w:space="0" w:color="auto"/>
              <w:bottom w:val="single" w:sz="8" w:space="0" w:color="000000"/>
              <w:right w:val="single" w:sz="4" w:space="0" w:color="auto"/>
            </w:tcBorders>
            <w:vAlign w:val="center"/>
            <w:hideMark/>
          </w:tcPr>
          <w:p w14:paraId="79CD70C1" w14:textId="77777777" w:rsidR="00090437" w:rsidRPr="00090437" w:rsidRDefault="00090437" w:rsidP="00090437">
            <w:pPr>
              <w:rPr>
                <w:rFonts w:ascii="Tahoma" w:hAnsi="Tahoma" w:cs="Tahoma"/>
                <w:b/>
                <w:bCs/>
                <w:iCs/>
                <w:color w:val="000000" w:themeColor="text1"/>
                <w:sz w:val="20"/>
                <w:szCs w:val="20"/>
              </w:rPr>
            </w:pPr>
          </w:p>
        </w:tc>
        <w:tc>
          <w:tcPr>
            <w:tcW w:w="2126" w:type="dxa"/>
            <w:tcBorders>
              <w:top w:val="nil"/>
              <w:left w:val="nil"/>
              <w:bottom w:val="single" w:sz="8" w:space="0" w:color="auto"/>
              <w:right w:val="single" w:sz="4" w:space="0" w:color="auto"/>
            </w:tcBorders>
            <w:shd w:val="clear" w:color="auto" w:fill="auto"/>
            <w:noWrap/>
            <w:vAlign w:val="center"/>
            <w:hideMark/>
          </w:tcPr>
          <w:p w14:paraId="596BA395"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Валюта вклада</w:t>
            </w:r>
          </w:p>
        </w:tc>
        <w:tc>
          <w:tcPr>
            <w:tcW w:w="2126" w:type="dxa"/>
            <w:tcBorders>
              <w:top w:val="nil"/>
              <w:left w:val="nil"/>
              <w:bottom w:val="single" w:sz="8" w:space="0" w:color="auto"/>
              <w:right w:val="single" w:sz="4" w:space="0" w:color="auto"/>
            </w:tcBorders>
            <w:shd w:val="clear" w:color="auto" w:fill="auto"/>
            <w:noWrap/>
            <w:vAlign w:val="center"/>
            <w:hideMark/>
          </w:tcPr>
          <w:p w14:paraId="116F748E"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 xml:space="preserve">Минимальная сумма вклада </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7BD734DD"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92 дня</w:t>
            </w:r>
          </w:p>
        </w:tc>
        <w:tc>
          <w:tcPr>
            <w:tcW w:w="1134" w:type="dxa"/>
            <w:tcBorders>
              <w:top w:val="nil"/>
              <w:left w:val="single" w:sz="4" w:space="0" w:color="auto"/>
              <w:bottom w:val="single" w:sz="8" w:space="0" w:color="auto"/>
              <w:right w:val="single" w:sz="4" w:space="0" w:color="auto"/>
            </w:tcBorders>
            <w:shd w:val="clear" w:color="auto" w:fill="auto"/>
            <w:noWrap/>
            <w:vAlign w:val="center"/>
            <w:hideMark/>
          </w:tcPr>
          <w:p w14:paraId="0A13F4DB"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182 дня</w:t>
            </w:r>
          </w:p>
        </w:tc>
        <w:tc>
          <w:tcPr>
            <w:tcW w:w="1276" w:type="dxa"/>
            <w:tcBorders>
              <w:top w:val="nil"/>
              <w:left w:val="nil"/>
              <w:bottom w:val="single" w:sz="8" w:space="0" w:color="auto"/>
              <w:right w:val="single" w:sz="4" w:space="0" w:color="auto"/>
            </w:tcBorders>
            <w:shd w:val="clear" w:color="auto" w:fill="auto"/>
            <w:noWrap/>
            <w:vAlign w:val="center"/>
            <w:hideMark/>
          </w:tcPr>
          <w:p w14:paraId="3AA51EB2"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367 дней</w:t>
            </w:r>
          </w:p>
        </w:tc>
        <w:tc>
          <w:tcPr>
            <w:tcW w:w="1275" w:type="dxa"/>
            <w:tcBorders>
              <w:top w:val="nil"/>
              <w:left w:val="nil"/>
              <w:bottom w:val="single" w:sz="8" w:space="0" w:color="auto"/>
              <w:right w:val="single" w:sz="4" w:space="0" w:color="auto"/>
            </w:tcBorders>
            <w:shd w:val="clear" w:color="auto" w:fill="auto"/>
            <w:noWrap/>
            <w:vAlign w:val="center"/>
            <w:hideMark/>
          </w:tcPr>
          <w:p w14:paraId="6B9761C9"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731 день</w:t>
            </w:r>
          </w:p>
        </w:tc>
        <w:tc>
          <w:tcPr>
            <w:tcW w:w="1536" w:type="dxa"/>
            <w:tcBorders>
              <w:top w:val="nil"/>
              <w:left w:val="nil"/>
              <w:bottom w:val="single" w:sz="8" w:space="0" w:color="auto"/>
              <w:right w:val="single" w:sz="4" w:space="0" w:color="auto"/>
            </w:tcBorders>
            <w:shd w:val="clear" w:color="auto" w:fill="auto"/>
            <w:noWrap/>
            <w:vAlign w:val="center"/>
            <w:hideMark/>
          </w:tcPr>
          <w:p w14:paraId="298F5508"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1098 дней</w:t>
            </w:r>
          </w:p>
        </w:tc>
      </w:tr>
      <w:tr w:rsidR="00090437" w:rsidRPr="00090437" w14:paraId="09C078BD" w14:textId="77777777" w:rsidTr="00090437">
        <w:trPr>
          <w:trHeight w:val="60"/>
        </w:trPr>
        <w:tc>
          <w:tcPr>
            <w:tcW w:w="1882" w:type="dxa"/>
            <w:vMerge w:val="restart"/>
            <w:tcBorders>
              <w:top w:val="nil"/>
              <w:left w:val="single" w:sz="8" w:space="0" w:color="auto"/>
              <w:right w:val="nil"/>
            </w:tcBorders>
            <w:shd w:val="clear" w:color="auto" w:fill="auto"/>
            <w:vAlign w:val="center"/>
            <w:hideMark/>
          </w:tcPr>
          <w:p w14:paraId="5F9C34FE" w14:textId="77777777" w:rsidR="00090437" w:rsidRPr="00090437" w:rsidRDefault="00090437" w:rsidP="00090437">
            <w:pPr>
              <w:jc w:val="center"/>
              <w:rPr>
                <w:rFonts w:ascii="Tahoma" w:hAnsi="Tahoma" w:cs="Tahoma"/>
                <w:bCs/>
                <w:iCs/>
                <w:color w:val="000000" w:themeColor="text1"/>
                <w:sz w:val="20"/>
                <w:szCs w:val="20"/>
              </w:rPr>
            </w:pPr>
            <w:r w:rsidRPr="00090437">
              <w:rPr>
                <w:rFonts w:ascii="Tahoma" w:hAnsi="Tahoma" w:cs="Tahoma"/>
                <w:bCs/>
                <w:iCs/>
                <w:color w:val="000000" w:themeColor="text1"/>
                <w:sz w:val="20"/>
                <w:szCs w:val="20"/>
              </w:rPr>
              <w:t>Все категории клиентов</w:t>
            </w:r>
          </w:p>
        </w:tc>
        <w:tc>
          <w:tcPr>
            <w:tcW w:w="2410" w:type="dxa"/>
            <w:vMerge w:val="restart"/>
            <w:tcBorders>
              <w:top w:val="nil"/>
              <w:left w:val="single" w:sz="8" w:space="0" w:color="auto"/>
              <w:right w:val="single" w:sz="4" w:space="0" w:color="auto"/>
            </w:tcBorders>
            <w:shd w:val="clear" w:color="000000" w:fill="FFC000"/>
            <w:vAlign w:val="center"/>
            <w:hideMark/>
          </w:tcPr>
          <w:p w14:paraId="06A9E74B" w14:textId="77777777" w:rsidR="00090437" w:rsidRPr="00090437" w:rsidRDefault="00090437" w:rsidP="00090437">
            <w:pPr>
              <w:jc w:val="center"/>
              <w:rPr>
                <w:rFonts w:ascii="Tahoma" w:hAnsi="Tahoma" w:cs="Tahoma"/>
                <w:bCs/>
                <w:iCs/>
                <w:color w:val="000000" w:themeColor="text1"/>
                <w:sz w:val="20"/>
                <w:szCs w:val="20"/>
              </w:rPr>
            </w:pPr>
            <w:r w:rsidRPr="00090437">
              <w:rPr>
                <w:rFonts w:ascii="Tahoma" w:hAnsi="Tahoma" w:cs="Tahoma"/>
                <w:bCs/>
                <w:iCs/>
                <w:color w:val="000000" w:themeColor="text1"/>
                <w:sz w:val="20"/>
                <w:szCs w:val="20"/>
              </w:rPr>
              <w:t>Сохрани</w:t>
            </w:r>
          </w:p>
        </w:tc>
        <w:tc>
          <w:tcPr>
            <w:tcW w:w="2126" w:type="dxa"/>
            <w:tcBorders>
              <w:top w:val="nil"/>
              <w:left w:val="nil"/>
              <w:bottom w:val="single" w:sz="4" w:space="0" w:color="auto"/>
              <w:right w:val="single" w:sz="4" w:space="0" w:color="auto"/>
            </w:tcBorders>
            <w:shd w:val="clear" w:color="auto" w:fill="auto"/>
            <w:noWrap/>
            <w:vAlign w:val="center"/>
            <w:hideMark/>
          </w:tcPr>
          <w:p w14:paraId="3F1AD4C1" w14:textId="77777777" w:rsidR="00090437" w:rsidRPr="00090437" w:rsidRDefault="00090437" w:rsidP="00090437">
            <w:pPr>
              <w:jc w:val="center"/>
              <w:rPr>
                <w:rFonts w:ascii="Tahoma" w:hAnsi="Tahoma" w:cs="Tahoma"/>
                <w:bCs/>
                <w:iCs/>
                <w:color w:val="000000" w:themeColor="text1"/>
                <w:sz w:val="20"/>
                <w:szCs w:val="20"/>
              </w:rPr>
            </w:pPr>
            <w:r w:rsidRPr="00090437">
              <w:rPr>
                <w:rFonts w:ascii="Tahoma" w:hAnsi="Tahoma" w:cs="Tahoma"/>
                <w:bCs/>
                <w:iCs/>
                <w:color w:val="000000" w:themeColor="text1"/>
                <w:sz w:val="20"/>
                <w:szCs w:val="20"/>
              </w:rPr>
              <w:t>рубли</w:t>
            </w:r>
          </w:p>
        </w:tc>
        <w:tc>
          <w:tcPr>
            <w:tcW w:w="2126" w:type="dxa"/>
            <w:tcBorders>
              <w:top w:val="nil"/>
              <w:left w:val="nil"/>
              <w:bottom w:val="single" w:sz="4" w:space="0" w:color="auto"/>
              <w:right w:val="single" w:sz="4" w:space="0" w:color="auto"/>
            </w:tcBorders>
            <w:shd w:val="clear" w:color="auto" w:fill="auto"/>
            <w:noWrap/>
            <w:vAlign w:val="center"/>
            <w:hideMark/>
          </w:tcPr>
          <w:p w14:paraId="0360C5E9" w14:textId="77777777" w:rsidR="00090437" w:rsidRPr="00090437" w:rsidRDefault="00090437" w:rsidP="00090437">
            <w:pPr>
              <w:jc w:val="center"/>
              <w:rPr>
                <w:rFonts w:ascii="Tahoma" w:hAnsi="Tahoma" w:cs="Tahoma"/>
                <w:bCs/>
                <w:iCs/>
                <w:color w:val="000000" w:themeColor="text1"/>
                <w:sz w:val="20"/>
                <w:szCs w:val="20"/>
              </w:rPr>
            </w:pPr>
            <w:r w:rsidRPr="00090437">
              <w:rPr>
                <w:rFonts w:ascii="Tahoma" w:hAnsi="Tahoma" w:cs="Tahoma"/>
                <w:bCs/>
                <w:iCs/>
                <w:color w:val="000000" w:themeColor="text1"/>
                <w:sz w:val="20"/>
                <w:szCs w:val="20"/>
              </w:rPr>
              <w:t>5 000</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32952E4C"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5,700</w:t>
            </w:r>
          </w:p>
        </w:tc>
        <w:tc>
          <w:tcPr>
            <w:tcW w:w="1134" w:type="dxa"/>
            <w:tcBorders>
              <w:top w:val="nil"/>
              <w:left w:val="single" w:sz="4" w:space="0" w:color="auto"/>
              <w:bottom w:val="single" w:sz="4" w:space="0" w:color="auto"/>
              <w:right w:val="single" w:sz="4" w:space="0" w:color="auto"/>
            </w:tcBorders>
            <w:shd w:val="clear" w:color="auto" w:fill="auto"/>
            <w:noWrap/>
            <w:vAlign w:val="center"/>
          </w:tcPr>
          <w:p w14:paraId="201DEB5C"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5,100</w:t>
            </w:r>
          </w:p>
        </w:tc>
        <w:tc>
          <w:tcPr>
            <w:tcW w:w="1276" w:type="dxa"/>
            <w:tcBorders>
              <w:top w:val="nil"/>
              <w:left w:val="nil"/>
              <w:bottom w:val="single" w:sz="4" w:space="0" w:color="auto"/>
              <w:right w:val="single" w:sz="4" w:space="0" w:color="auto"/>
            </w:tcBorders>
            <w:shd w:val="clear" w:color="auto" w:fill="auto"/>
            <w:noWrap/>
            <w:vAlign w:val="center"/>
          </w:tcPr>
          <w:p w14:paraId="36DAE26B"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5,900</w:t>
            </w:r>
          </w:p>
        </w:tc>
        <w:tc>
          <w:tcPr>
            <w:tcW w:w="1275" w:type="dxa"/>
            <w:tcBorders>
              <w:top w:val="nil"/>
              <w:left w:val="nil"/>
              <w:bottom w:val="single" w:sz="4" w:space="0" w:color="auto"/>
              <w:right w:val="single" w:sz="4" w:space="0" w:color="auto"/>
            </w:tcBorders>
            <w:shd w:val="clear" w:color="auto" w:fill="auto"/>
            <w:noWrap/>
            <w:vAlign w:val="center"/>
          </w:tcPr>
          <w:p w14:paraId="062CECFB"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5,800</w:t>
            </w:r>
          </w:p>
        </w:tc>
        <w:tc>
          <w:tcPr>
            <w:tcW w:w="1536" w:type="dxa"/>
            <w:tcBorders>
              <w:top w:val="nil"/>
              <w:left w:val="nil"/>
              <w:bottom w:val="single" w:sz="4" w:space="0" w:color="auto"/>
              <w:right w:val="single" w:sz="4" w:space="0" w:color="auto"/>
            </w:tcBorders>
            <w:shd w:val="clear" w:color="auto" w:fill="auto"/>
            <w:noWrap/>
            <w:vAlign w:val="center"/>
          </w:tcPr>
          <w:p w14:paraId="048BFEF4"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6,000</w:t>
            </w:r>
          </w:p>
        </w:tc>
      </w:tr>
      <w:tr w:rsidR="00090437" w:rsidRPr="00090437" w14:paraId="0CFDC1B8" w14:textId="77777777" w:rsidTr="00090437">
        <w:trPr>
          <w:trHeight w:val="78"/>
        </w:trPr>
        <w:tc>
          <w:tcPr>
            <w:tcW w:w="1882" w:type="dxa"/>
            <w:vMerge/>
            <w:tcBorders>
              <w:left w:val="single" w:sz="8" w:space="0" w:color="auto"/>
              <w:bottom w:val="single" w:sz="4" w:space="0" w:color="auto"/>
              <w:right w:val="nil"/>
            </w:tcBorders>
            <w:vAlign w:val="center"/>
          </w:tcPr>
          <w:p w14:paraId="37E49093" w14:textId="77777777" w:rsidR="00090437" w:rsidRPr="00090437" w:rsidRDefault="00090437" w:rsidP="00090437">
            <w:pPr>
              <w:rPr>
                <w:rFonts w:ascii="Tahoma" w:hAnsi="Tahoma" w:cs="Tahoma"/>
                <w:bCs/>
                <w:iCs/>
                <w:color w:val="000000" w:themeColor="text1"/>
                <w:sz w:val="20"/>
                <w:szCs w:val="20"/>
              </w:rPr>
            </w:pPr>
          </w:p>
        </w:tc>
        <w:tc>
          <w:tcPr>
            <w:tcW w:w="2410" w:type="dxa"/>
            <w:vMerge/>
            <w:tcBorders>
              <w:left w:val="single" w:sz="8" w:space="0" w:color="auto"/>
              <w:right w:val="single" w:sz="4" w:space="0" w:color="auto"/>
            </w:tcBorders>
            <w:vAlign w:val="center"/>
          </w:tcPr>
          <w:p w14:paraId="568B2DCB" w14:textId="77777777" w:rsidR="00090437" w:rsidRPr="00090437" w:rsidRDefault="00090437" w:rsidP="00090437">
            <w:pPr>
              <w:rPr>
                <w:rFonts w:ascii="Tahoma" w:hAnsi="Tahoma" w:cs="Tahoma"/>
                <w:bCs/>
                <w:iCs/>
                <w:color w:val="000000" w:themeColor="text1"/>
                <w:sz w:val="20"/>
                <w:szCs w:val="20"/>
              </w:rPr>
            </w:pPr>
          </w:p>
        </w:tc>
        <w:tc>
          <w:tcPr>
            <w:tcW w:w="2126" w:type="dxa"/>
            <w:tcBorders>
              <w:top w:val="single" w:sz="4" w:space="0" w:color="auto"/>
              <w:left w:val="nil"/>
              <w:bottom w:val="nil"/>
              <w:right w:val="single" w:sz="4" w:space="0" w:color="auto"/>
            </w:tcBorders>
            <w:shd w:val="clear" w:color="auto" w:fill="auto"/>
            <w:noWrap/>
            <w:vAlign w:val="center"/>
          </w:tcPr>
          <w:p w14:paraId="3468AF25"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китайский юань</w:t>
            </w:r>
          </w:p>
        </w:tc>
        <w:tc>
          <w:tcPr>
            <w:tcW w:w="2126" w:type="dxa"/>
            <w:tcBorders>
              <w:top w:val="nil"/>
              <w:left w:val="nil"/>
              <w:bottom w:val="single" w:sz="8" w:space="0" w:color="auto"/>
              <w:right w:val="single" w:sz="4" w:space="0" w:color="auto"/>
            </w:tcBorders>
            <w:shd w:val="clear" w:color="auto" w:fill="auto"/>
            <w:noWrap/>
            <w:vAlign w:val="center"/>
          </w:tcPr>
          <w:p w14:paraId="2F13F596"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700</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2BC1387C"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1,400</w:t>
            </w:r>
          </w:p>
        </w:tc>
        <w:tc>
          <w:tcPr>
            <w:tcW w:w="1134" w:type="dxa"/>
            <w:tcBorders>
              <w:top w:val="nil"/>
              <w:left w:val="single" w:sz="4" w:space="0" w:color="auto"/>
              <w:bottom w:val="single" w:sz="8" w:space="0" w:color="auto"/>
              <w:right w:val="single" w:sz="4" w:space="0" w:color="auto"/>
            </w:tcBorders>
            <w:shd w:val="clear" w:color="auto" w:fill="auto"/>
            <w:noWrap/>
            <w:vAlign w:val="center"/>
          </w:tcPr>
          <w:p w14:paraId="2EA0C158"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1,600</w:t>
            </w:r>
          </w:p>
        </w:tc>
        <w:tc>
          <w:tcPr>
            <w:tcW w:w="1276" w:type="dxa"/>
            <w:tcBorders>
              <w:top w:val="nil"/>
              <w:left w:val="nil"/>
              <w:bottom w:val="single" w:sz="8" w:space="0" w:color="auto"/>
              <w:right w:val="single" w:sz="4" w:space="0" w:color="auto"/>
            </w:tcBorders>
            <w:shd w:val="clear" w:color="auto" w:fill="auto"/>
            <w:noWrap/>
            <w:vAlign w:val="center"/>
          </w:tcPr>
          <w:p w14:paraId="68260DB4"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1,800</w:t>
            </w:r>
          </w:p>
        </w:tc>
        <w:tc>
          <w:tcPr>
            <w:tcW w:w="1275" w:type="dxa"/>
            <w:tcBorders>
              <w:top w:val="nil"/>
              <w:left w:val="nil"/>
              <w:bottom w:val="single" w:sz="8" w:space="0" w:color="auto"/>
              <w:right w:val="single" w:sz="4" w:space="0" w:color="auto"/>
            </w:tcBorders>
            <w:shd w:val="clear" w:color="auto" w:fill="auto"/>
            <w:noWrap/>
            <w:vAlign w:val="center"/>
          </w:tcPr>
          <w:p w14:paraId="16E8B033"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1,700</w:t>
            </w:r>
          </w:p>
        </w:tc>
        <w:tc>
          <w:tcPr>
            <w:tcW w:w="1536" w:type="dxa"/>
            <w:tcBorders>
              <w:top w:val="nil"/>
              <w:left w:val="nil"/>
              <w:bottom w:val="single" w:sz="8" w:space="0" w:color="auto"/>
              <w:right w:val="single" w:sz="4" w:space="0" w:color="auto"/>
            </w:tcBorders>
            <w:shd w:val="clear" w:color="auto" w:fill="auto"/>
            <w:noWrap/>
            <w:vAlign w:val="center"/>
          </w:tcPr>
          <w:p w14:paraId="77BC4707"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1,600</w:t>
            </w:r>
          </w:p>
        </w:tc>
      </w:tr>
      <w:tr w:rsidR="00090437" w:rsidRPr="00090437" w14:paraId="556FA3B7" w14:textId="77777777" w:rsidTr="00090437">
        <w:trPr>
          <w:trHeight w:val="86"/>
        </w:trPr>
        <w:tc>
          <w:tcPr>
            <w:tcW w:w="1882" w:type="dxa"/>
            <w:vMerge w:val="restart"/>
            <w:tcBorders>
              <w:top w:val="single" w:sz="8" w:space="0" w:color="auto"/>
              <w:left w:val="single" w:sz="8" w:space="0" w:color="auto"/>
              <w:right w:val="nil"/>
            </w:tcBorders>
            <w:shd w:val="clear" w:color="auto" w:fill="auto"/>
            <w:vAlign w:val="center"/>
            <w:hideMark/>
          </w:tcPr>
          <w:p w14:paraId="7DFD7227" w14:textId="77777777" w:rsidR="00090437" w:rsidRPr="00090437" w:rsidRDefault="00090437" w:rsidP="00090437">
            <w:pPr>
              <w:jc w:val="center"/>
              <w:rPr>
                <w:rFonts w:ascii="Tahoma" w:hAnsi="Tahoma" w:cs="Tahoma"/>
                <w:bCs/>
                <w:iCs/>
                <w:color w:val="000000" w:themeColor="text1"/>
                <w:sz w:val="20"/>
                <w:szCs w:val="20"/>
              </w:rPr>
            </w:pPr>
            <w:r w:rsidRPr="00090437">
              <w:rPr>
                <w:rFonts w:ascii="Tahoma" w:hAnsi="Tahoma" w:cs="Tahoma"/>
                <w:bCs/>
                <w:iCs/>
                <w:color w:val="000000" w:themeColor="text1"/>
                <w:sz w:val="20"/>
                <w:szCs w:val="20"/>
              </w:rPr>
              <w:t>Пенсионеры*</w:t>
            </w:r>
          </w:p>
        </w:tc>
        <w:tc>
          <w:tcPr>
            <w:tcW w:w="2410" w:type="dxa"/>
            <w:vMerge/>
            <w:tcBorders>
              <w:left w:val="single" w:sz="8" w:space="0" w:color="auto"/>
              <w:right w:val="single" w:sz="4" w:space="0" w:color="auto"/>
            </w:tcBorders>
            <w:vAlign w:val="center"/>
            <w:hideMark/>
          </w:tcPr>
          <w:p w14:paraId="7F1138DA" w14:textId="77777777" w:rsidR="00090437" w:rsidRPr="00090437" w:rsidRDefault="00090437" w:rsidP="00090437">
            <w:pPr>
              <w:rPr>
                <w:rFonts w:ascii="Tahoma" w:hAnsi="Tahoma" w:cs="Tahoma"/>
                <w:bCs/>
                <w:iCs/>
                <w:color w:val="000000" w:themeColor="text1"/>
                <w:sz w:val="20"/>
                <w:szCs w:val="20"/>
              </w:rPr>
            </w:pPr>
          </w:p>
        </w:tc>
        <w:tc>
          <w:tcPr>
            <w:tcW w:w="2126" w:type="dxa"/>
            <w:tcBorders>
              <w:top w:val="single" w:sz="8" w:space="0" w:color="auto"/>
              <w:left w:val="nil"/>
              <w:bottom w:val="single" w:sz="4" w:space="0" w:color="auto"/>
              <w:right w:val="single" w:sz="4" w:space="0" w:color="auto"/>
            </w:tcBorders>
            <w:shd w:val="clear" w:color="auto" w:fill="auto"/>
            <w:noWrap/>
            <w:vAlign w:val="center"/>
            <w:hideMark/>
          </w:tcPr>
          <w:p w14:paraId="52BEF89B"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рубли</w:t>
            </w:r>
          </w:p>
        </w:tc>
        <w:tc>
          <w:tcPr>
            <w:tcW w:w="2126" w:type="dxa"/>
            <w:tcBorders>
              <w:top w:val="nil"/>
              <w:left w:val="nil"/>
              <w:bottom w:val="single" w:sz="4" w:space="0" w:color="auto"/>
              <w:right w:val="single" w:sz="4" w:space="0" w:color="auto"/>
            </w:tcBorders>
            <w:shd w:val="clear" w:color="auto" w:fill="auto"/>
            <w:noWrap/>
            <w:vAlign w:val="center"/>
            <w:hideMark/>
          </w:tcPr>
          <w:p w14:paraId="0354446E"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5 000</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52D1D593"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5,700</w:t>
            </w:r>
          </w:p>
        </w:tc>
        <w:tc>
          <w:tcPr>
            <w:tcW w:w="1134" w:type="dxa"/>
            <w:tcBorders>
              <w:top w:val="nil"/>
              <w:left w:val="single" w:sz="4" w:space="0" w:color="auto"/>
              <w:bottom w:val="single" w:sz="4" w:space="0" w:color="auto"/>
              <w:right w:val="single" w:sz="4" w:space="0" w:color="auto"/>
            </w:tcBorders>
            <w:shd w:val="clear" w:color="auto" w:fill="auto"/>
            <w:noWrap/>
            <w:vAlign w:val="center"/>
          </w:tcPr>
          <w:p w14:paraId="56FB4949"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5,100</w:t>
            </w:r>
          </w:p>
        </w:tc>
        <w:tc>
          <w:tcPr>
            <w:tcW w:w="1276" w:type="dxa"/>
            <w:tcBorders>
              <w:top w:val="nil"/>
              <w:left w:val="nil"/>
              <w:bottom w:val="single" w:sz="4" w:space="0" w:color="auto"/>
              <w:right w:val="single" w:sz="4" w:space="0" w:color="auto"/>
            </w:tcBorders>
            <w:shd w:val="clear" w:color="auto" w:fill="auto"/>
            <w:noWrap/>
            <w:vAlign w:val="center"/>
          </w:tcPr>
          <w:p w14:paraId="0137610C"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5,900</w:t>
            </w:r>
          </w:p>
        </w:tc>
        <w:tc>
          <w:tcPr>
            <w:tcW w:w="1275" w:type="dxa"/>
            <w:tcBorders>
              <w:top w:val="nil"/>
              <w:left w:val="nil"/>
              <w:bottom w:val="single" w:sz="4" w:space="0" w:color="auto"/>
              <w:right w:val="single" w:sz="4" w:space="0" w:color="auto"/>
            </w:tcBorders>
            <w:shd w:val="clear" w:color="auto" w:fill="auto"/>
            <w:noWrap/>
            <w:vAlign w:val="center"/>
          </w:tcPr>
          <w:p w14:paraId="4492AF93"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5,800</w:t>
            </w:r>
          </w:p>
        </w:tc>
        <w:tc>
          <w:tcPr>
            <w:tcW w:w="1536" w:type="dxa"/>
            <w:tcBorders>
              <w:top w:val="nil"/>
              <w:left w:val="nil"/>
              <w:bottom w:val="single" w:sz="4" w:space="0" w:color="auto"/>
              <w:right w:val="single" w:sz="4" w:space="0" w:color="auto"/>
            </w:tcBorders>
            <w:shd w:val="clear" w:color="auto" w:fill="auto"/>
            <w:noWrap/>
            <w:vAlign w:val="center"/>
          </w:tcPr>
          <w:p w14:paraId="4A66664E"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6,000</w:t>
            </w:r>
          </w:p>
        </w:tc>
      </w:tr>
      <w:tr w:rsidR="00090437" w:rsidRPr="00090437" w14:paraId="6F76F73D" w14:textId="77777777" w:rsidTr="00090437">
        <w:trPr>
          <w:trHeight w:val="70"/>
        </w:trPr>
        <w:tc>
          <w:tcPr>
            <w:tcW w:w="1882" w:type="dxa"/>
            <w:vMerge/>
            <w:tcBorders>
              <w:left w:val="single" w:sz="8" w:space="0" w:color="auto"/>
              <w:bottom w:val="single" w:sz="8" w:space="0" w:color="000000"/>
              <w:right w:val="nil"/>
            </w:tcBorders>
            <w:vAlign w:val="center"/>
          </w:tcPr>
          <w:p w14:paraId="36E8741B" w14:textId="77777777" w:rsidR="00090437" w:rsidRPr="00090437" w:rsidRDefault="00090437" w:rsidP="00090437">
            <w:pPr>
              <w:rPr>
                <w:rFonts w:ascii="Tahoma" w:hAnsi="Tahoma" w:cs="Tahoma"/>
                <w:bCs/>
                <w:iCs/>
                <w:color w:val="000000" w:themeColor="text1"/>
                <w:sz w:val="20"/>
                <w:szCs w:val="20"/>
              </w:rPr>
            </w:pPr>
          </w:p>
        </w:tc>
        <w:tc>
          <w:tcPr>
            <w:tcW w:w="2410" w:type="dxa"/>
            <w:vMerge/>
            <w:tcBorders>
              <w:left w:val="single" w:sz="8" w:space="0" w:color="auto"/>
              <w:right w:val="single" w:sz="4" w:space="0" w:color="auto"/>
            </w:tcBorders>
            <w:vAlign w:val="center"/>
          </w:tcPr>
          <w:p w14:paraId="0EBAF45F" w14:textId="77777777" w:rsidR="00090437" w:rsidRPr="00090437" w:rsidRDefault="00090437" w:rsidP="00090437">
            <w:pPr>
              <w:rPr>
                <w:rFonts w:ascii="Tahoma" w:hAnsi="Tahoma" w:cs="Tahoma"/>
                <w:bCs/>
                <w:iCs/>
                <w:color w:val="000000" w:themeColor="text1"/>
                <w:sz w:val="20"/>
                <w:szCs w:val="20"/>
              </w:rPr>
            </w:pPr>
          </w:p>
        </w:tc>
        <w:tc>
          <w:tcPr>
            <w:tcW w:w="2126" w:type="dxa"/>
            <w:tcBorders>
              <w:top w:val="single" w:sz="4" w:space="0" w:color="auto"/>
              <w:left w:val="nil"/>
              <w:bottom w:val="nil"/>
              <w:right w:val="single" w:sz="4" w:space="0" w:color="auto"/>
            </w:tcBorders>
            <w:shd w:val="clear" w:color="auto" w:fill="auto"/>
            <w:noWrap/>
            <w:vAlign w:val="center"/>
          </w:tcPr>
          <w:p w14:paraId="353D9BB5"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китайский юань</w:t>
            </w:r>
          </w:p>
        </w:tc>
        <w:tc>
          <w:tcPr>
            <w:tcW w:w="2126" w:type="dxa"/>
            <w:tcBorders>
              <w:top w:val="single" w:sz="4" w:space="0" w:color="auto"/>
              <w:left w:val="nil"/>
              <w:bottom w:val="single" w:sz="8" w:space="0" w:color="auto"/>
              <w:right w:val="single" w:sz="4" w:space="0" w:color="auto"/>
            </w:tcBorders>
            <w:shd w:val="clear" w:color="auto" w:fill="auto"/>
            <w:noWrap/>
            <w:vAlign w:val="center"/>
          </w:tcPr>
          <w:p w14:paraId="178B3544"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700</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52872241"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1,400</w:t>
            </w:r>
          </w:p>
        </w:tc>
        <w:tc>
          <w:tcPr>
            <w:tcW w:w="1134" w:type="dxa"/>
            <w:tcBorders>
              <w:top w:val="nil"/>
              <w:left w:val="single" w:sz="4" w:space="0" w:color="auto"/>
              <w:bottom w:val="single" w:sz="8" w:space="0" w:color="auto"/>
              <w:right w:val="single" w:sz="4" w:space="0" w:color="auto"/>
            </w:tcBorders>
            <w:shd w:val="clear" w:color="auto" w:fill="auto"/>
            <w:noWrap/>
            <w:vAlign w:val="center"/>
          </w:tcPr>
          <w:p w14:paraId="253A0C6E"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1,600</w:t>
            </w:r>
          </w:p>
        </w:tc>
        <w:tc>
          <w:tcPr>
            <w:tcW w:w="1276" w:type="dxa"/>
            <w:tcBorders>
              <w:top w:val="nil"/>
              <w:left w:val="nil"/>
              <w:bottom w:val="single" w:sz="8" w:space="0" w:color="auto"/>
              <w:right w:val="single" w:sz="4" w:space="0" w:color="auto"/>
            </w:tcBorders>
            <w:shd w:val="clear" w:color="auto" w:fill="auto"/>
            <w:noWrap/>
            <w:vAlign w:val="center"/>
          </w:tcPr>
          <w:p w14:paraId="3EFB9241"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1,800</w:t>
            </w:r>
          </w:p>
        </w:tc>
        <w:tc>
          <w:tcPr>
            <w:tcW w:w="1275" w:type="dxa"/>
            <w:tcBorders>
              <w:top w:val="nil"/>
              <w:left w:val="nil"/>
              <w:bottom w:val="single" w:sz="8" w:space="0" w:color="auto"/>
              <w:right w:val="single" w:sz="4" w:space="0" w:color="auto"/>
            </w:tcBorders>
            <w:shd w:val="clear" w:color="auto" w:fill="auto"/>
            <w:noWrap/>
            <w:vAlign w:val="center"/>
          </w:tcPr>
          <w:p w14:paraId="5426AD97"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1,700</w:t>
            </w:r>
          </w:p>
        </w:tc>
        <w:tc>
          <w:tcPr>
            <w:tcW w:w="1536" w:type="dxa"/>
            <w:tcBorders>
              <w:top w:val="nil"/>
              <w:left w:val="nil"/>
              <w:bottom w:val="single" w:sz="8" w:space="0" w:color="auto"/>
              <w:right w:val="single" w:sz="4" w:space="0" w:color="auto"/>
            </w:tcBorders>
            <w:shd w:val="clear" w:color="auto" w:fill="auto"/>
            <w:noWrap/>
            <w:vAlign w:val="center"/>
          </w:tcPr>
          <w:p w14:paraId="6ADE5BDC"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1,600</w:t>
            </w:r>
          </w:p>
        </w:tc>
      </w:tr>
      <w:tr w:rsidR="00090437" w:rsidRPr="00090437" w14:paraId="70EB93EE" w14:textId="77777777" w:rsidTr="00090437">
        <w:trPr>
          <w:trHeight w:val="132"/>
        </w:trPr>
        <w:tc>
          <w:tcPr>
            <w:tcW w:w="1882" w:type="dxa"/>
            <w:vMerge w:val="restart"/>
            <w:tcBorders>
              <w:top w:val="nil"/>
              <w:left w:val="single" w:sz="8" w:space="0" w:color="auto"/>
              <w:right w:val="nil"/>
            </w:tcBorders>
            <w:shd w:val="clear" w:color="auto" w:fill="auto"/>
            <w:vAlign w:val="center"/>
            <w:hideMark/>
          </w:tcPr>
          <w:p w14:paraId="41F7C3CA" w14:textId="77777777" w:rsidR="00090437" w:rsidRPr="00090437" w:rsidRDefault="00090437" w:rsidP="00090437">
            <w:pPr>
              <w:jc w:val="center"/>
              <w:rPr>
                <w:rFonts w:ascii="Tahoma" w:hAnsi="Tahoma" w:cs="Tahoma"/>
                <w:bCs/>
                <w:iCs/>
                <w:color w:val="000000" w:themeColor="text1"/>
                <w:sz w:val="20"/>
                <w:szCs w:val="20"/>
              </w:rPr>
            </w:pPr>
            <w:r w:rsidRPr="00090437">
              <w:rPr>
                <w:rFonts w:ascii="Tahoma" w:hAnsi="Tahoma" w:cs="Tahoma"/>
                <w:bCs/>
                <w:iCs/>
                <w:color w:val="000000" w:themeColor="text1"/>
                <w:sz w:val="20"/>
                <w:szCs w:val="20"/>
              </w:rPr>
              <w:t>Все категории клиентов</w:t>
            </w:r>
          </w:p>
        </w:tc>
        <w:tc>
          <w:tcPr>
            <w:tcW w:w="2410" w:type="dxa"/>
            <w:vMerge/>
            <w:tcBorders>
              <w:left w:val="single" w:sz="8" w:space="0" w:color="auto"/>
              <w:right w:val="single" w:sz="4" w:space="0" w:color="auto"/>
            </w:tcBorders>
            <w:vAlign w:val="center"/>
            <w:hideMark/>
          </w:tcPr>
          <w:p w14:paraId="591EF41F" w14:textId="77777777" w:rsidR="00090437" w:rsidRPr="00090437" w:rsidRDefault="00090437" w:rsidP="00090437">
            <w:pPr>
              <w:rPr>
                <w:rFonts w:ascii="Tahoma" w:hAnsi="Tahoma" w:cs="Tahoma"/>
                <w:bCs/>
                <w:iCs/>
                <w:color w:val="000000" w:themeColor="text1"/>
                <w:sz w:val="20"/>
                <w:szCs w:val="20"/>
              </w:rPr>
            </w:pPr>
          </w:p>
        </w:tc>
        <w:tc>
          <w:tcPr>
            <w:tcW w:w="2126" w:type="dxa"/>
            <w:tcBorders>
              <w:top w:val="single" w:sz="8" w:space="0" w:color="auto"/>
              <w:left w:val="nil"/>
              <w:bottom w:val="single" w:sz="4" w:space="0" w:color="auto"/>
              <w:right w:val="single" w:sz="4" w:space="0" w:color="auto"/>
            </w:tcBorders>
            <w:shd w:val="clear" w:color="auto" w:fill="auto"/>
            <w:noWrap/>
            <w:vAlign w:val="center"/>
            <w:hideMark/>
          </w:tcPr>
          <w:p w14:paraId="13883E01"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рубли</w:t>
            </w:r>
          </w:p>
        </w:tc>
        <w:tc>
          <w:tcPr>
            <w:tcW w:w="2126" w:type="dxa"/>
            <w:tcBorders>
              <w:top w:val="nil"/>
              <w:left w:val="nil"/>
              <w:bottom w:val="single" w:sz="4" w:space="0" w:color="auto"/>
              <w:right w:val="single" w:sz="4" w:space="0" w:color="auto"/>
            </w:tcBorders>
            <w:shd w:val="clear" w:color="auto" w:fill="auto"/>
            <w:noWrap/>
            <w:vAlign w:val="center"/>
            <w:hideMark/>
          </w:tcPr>
          <w:p w14:paraId="6CBF5FB0"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1 500 000</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04C6CD0A"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5,700</w:t>
            </w:r>
          </w:p>
        </w:tc>
        <w:tc>
          <w:tcPr>
            <w:tcW w:w="1134" w:type="dxa"/>
            <w:tcBorders>
              <w:top w:val="nil"/>
              <w:left w:val="single" w:sz="4" w:space="0" w:color="auto"/>
              <w:bottom w:val="single" w:sz="4" w:space="0" w:color="auto"/>
              <w:right w:val="single" w:sz="4" w:space="0" w:color="auto"/>
            </w:tcBorders>
            <w:shd w:val="clear" w:color="auto" w:fill="auto"/>
            <w:noWrap/>
            <w:vAlign w:val="center"/>
          </w:tcPr>
          <w:p w14:paraId="59B4B3E6"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5,100</w:t>
            </w:r>
          </w:p>
        </w:tc>
        <w:tc>
          <w:tcPr>
            <w:tcW w:w="1276" w:type="dxa"/>
            <w:tcBorders>
              <w:top w:val="nil"/>
              <w:left w:val="nil"/>
              <w:bottom w:val="single" w:sz="4" w:space="0" w:color="auto"/>
              <w:right w:val="single" w:sz="4" w:space="0" w:color="auto"/>
            </w:tcBorders>
            <w:shd w:val="clear" w:color="auto" w:fill="auto"/>
            <w:noWrap/>
            <w:vAlign w:val="center"/>
          </w:tcPr>
          <w:p w14:paraId="04667266"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5,900</w:t>
            </w:r>
          </w:p>
        </w:tc>
        <w:tc>
          <w:tcPr>
            <w:tcW w:w="1275" w:type="dxa"/>
            <w:tcBorders>
              <w:top w:val="nil"/>
              <w:left w:val="nil"/>
              <w:bottom w:val="single" w:sz="4" w:space="0" w:color="auto"/>
              <w:right w:val="single" w:sz="4" w:space="0" w:color="auto"/>
            </w:tcBorders>
            <w:shd w:val="clear" w:color="auto" w:fill="auto"/>
            <w:noWrap/>
            <w:vAlign w:val="center"/>
          </w:tcPr>
          <w:p w14:paraId="693F5F7C"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5,800</w:t>
            </w:r>
          </w:p>
        </w:tc>
        <w:tc>
          <w:tcPr>
            <w:tcW w:w="1536" w:type="dxa"/>
            <w:tcBorders>
              <w:top w:val="nil"/>
              <w:left w:val="nil"/>
              <w:bottom w:val="single" w:sz="4" w:space="0" w:color="auto"/>
              <w:right w:val="single" w:sz="4" w:space="0" w:color="auto"/>
            </w:tcBorders>
            <w:shd w:val="clear" w:color="auto" w:fill="auto"/>
            <w:noWrap/>
            <w:vAlign w:val="center"/>
          </w:tcPr>
          <w:p w14:paraId="3F3F0D3C"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6,000</w:t>
            </w:r>
          </w:p>
        </w:tc>
      </w:tr>
      <w:tr w:rsidR="00090437" w:rsidRPr="00090437" w14:paraId="597131D9" w14:textId="77777777" w:rsidTr="00090437">
        <w:trPr>
          <w:trHeight w:val="206"/>
        </w:trPr>
        <w:tc>
          <w:tcPr>
            <w:tcW w:w="1882" w:type="dxa"/>
            <w:vMerge/>
            <w:tcBorders>
              <w:left w:val="single" w:sz="8" w:space="0" w:color="auto"/>
              <w:bottom w:val="single" w:sz="4" w:space="0" w:color="auto"/>
              <w:right w:val="nil"/>
            </w:tcBorders>
            <w:vAlign w:val="center"/>
          </w:tcPr>
          <w:p w14:paraId="18970933" w14:textId="77777777" w:rsidR="00090437" w:rsidRPr="00090437" w:rsidRDefault="00090437" w:rsidP="00090437">
            <w:pPr>
              <w:rPr>
                <w:rFonts w:ascii="Tahoma" w:hAnsi="Tahoma" w:cs="Tahoma"/>
                <w:bCs/>
                <w:iCs/>
                <w:color w:val="000000" w:themeColor="text1"/>
                <w:sz w:val="20"/>
                <w:szCs w:val="20"/>
              </w:rPr>
            </w:pPr>
          </w:p>
        </w:tc>
        <w:tc>
          <w:tcPr>
            <w:tcW w:w="2410" w:type="dxa"/>
            <w:vMerge/>
            <w:tcBorders>
              <w:left w:val="single" w:sz="8" w:space="0" w:color="auto"/>
              <w:bottom w:val="single" w:sz="4" w:space="0" w:color="auto"/>
              <w:right w:val="single" w:sz="4" w:space="0" w:color="auto"/>
            </w:tcBorders>
            <w:vAlign w:val="center"/>
          </w:tcPr>
          <w:p w14:paraId="7548A731" w14:textId="77777777" w:rsidR="00090437" w:rsidRPr="00090437" w:rsidRDefault="00090437" w:rsidP="00090437">
            <w:pPr>
              <w:rPr>
                <w:rFonts w:ascii="Tahoma" w:hAnsi="Tahoma" w:cs="Tahoma"/>
                <w:bCs/>
                <w:iCs/>
                <w:color w:val="000000" w:themeColor="text1"/>
                <w:sz w:val="20"/>
                <w:szCs w:val="20"/>
              </w:rPr>
            </w:pPr>
          </w:p>
        </w:tc>
        <w:tc>
          <w:tcPr>
            <w:tcW w:w="2126" w:type="dxa"/>
            <w:tcBorders>
              <w:top w:val="single" w:sz="4" w:space="0" w:color="auto"/>
              <w:left w:val="nil"/>
              <w:bottom w:val="single" w:sz="4" w:space="0" w:color="auto"/>
              <w:right w:val="single" w:sz="4" w:space="0" w:color="auto"/>
            </w:tcBorders>
            <w:shd w:val="clear" w:color="auto" w:fill="auto"/>
            <w:noWrap/>
            <w:vAlign w:val="center"/>
          </w:tcPr>
          <w:p w14:paraId="7F42EF71"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китайский юань</w:t>
            </w:r>
          </w:p>
        </w:tc>
        <w:tc>
          <w:tcPr>
            <w:tcW w:w="2126" w:type="dxa"/>
            <w:tcBorders>
              <w:top w:val="single" w:sz="4" w:space="0" w:color="auto"/>
              <w:left w:val="nil"/>
              <w:bottom w:val="single" w:sz="4" w:space="0" w:color="auto"/>
              <w:right w:val="single" w:sz="4" w:space="0" w:color="auto"/>
            </w:tcBorders>
            <w:shd w:val="clear" w:color="auto" w:fill="auto"/>
            <w:noWrap/>
            <w:vAlign w:val="center"/>
          </w:tcPr>
          <w:p w14:paraId="45E8D0F0"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700 000</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0FA47004"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1,600</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6A015A"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1,800</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27C2A081"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2,000</w:t>
            </w:r>
          </w:p>
        </w:tc>
        <w:tc>
          <w:tcPr>
            <w:tcW w:w="1275" w:type="dxa"/>
            <w:tcBorders>
              <w:top w:val="single" w:sz="4" w:space="0" w:color="auto"/>
              <w:left w:val="nil"/>
              <w:bottom w:val="single" w:sz="4" w:space="0" w:color="auto"/>
              <w:right w:val="single" w:sz="4" w:space="0" w:color="auto"/>
            </w:tcBorders>
            <w:shd w:val="clear" w:color="auto" w:fill="auto"/>
            <w:noWrap/>
            <w:vAlign w:val="center"/>
          </w:tcPr>
          <w:p w14:paraId="7094414A"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1,900</w:t>
            </w:r>
          </w:p>
        </w:tc>
        <w:tc>
          <w:tcPr>
            <w:tcW w:w="1536" w:type="dxa"/>
            <w:tcBorders>
              <w:top w:val="single" w:sz="4" w:space="0" w:color="auto"/>
              <w:left w:val="nil"/>
              <w:bottom w:val="single" w:sz="4" w:space="0" w:color="auto"/>
              <w:right w:val="single" w:sz="4" w:space="0" w:color="auto"/>
            </w:tcBorders>
            <w:shd w:val="clear" w:color="auto" w:fill="auto"/>
            <w:noWrap/>
            <w:vAlign w:val="center"/>
          </w:tcPr>
          <w:p w14:paraId="02999837"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1,800</w:t>
            </w:r>
          </w:p>
        </w:tc>
      </w:tr>
    </w:tbl>
    <w:p w14:paraId="669230B1" w14:textId="77777777" w:rsidR="00090437" w:rsidRPr="00090437" w:rsidRDefault="00090437" w:rsidP="00090437">
      <w:pPr>
        <w:tabs>
          <w:tab w:val="left" w:pos="284"/>
          <w:tab w:val="left" w:pos="567"/>
        </w:tabs>
        <w:jc w:val="both"/>
        <w:rPr>
          <w:rFonts w:ascii="Tahoma" w:hAnsi="Tahoma" w:cs="Tahoma"/>
          <w:bCs/>
          <w:sz w:val="22"/>
          <w:szCs w:val="22"/>
        </w:rPr>
      </w:pPr>
    </w:p>
    <w:p w14:paraId="1162E57F" w14:textId="77777777" w:rsidR="00090437" w:rsidRPr="00090437" w:rsidRDefault="00090437" w:rsidP="00090437">
      <w:pPr>
        <w:jc w:val="both"/>
        <w:rPr>
          <w:rFonts w:ascii="Tahoma" w:hAnsi="Tahoma" w:cs="Tahoma"/>
          <w:color w:val="000000" w:themeColor="text1"/>
          <w:sz w:val="16"/>
          <w:szCs w:val="16"/>
          <w:shd w:val="clear" w:color="auto" w:fill="FFFFFF"/>
        </w:rPr>
      </w:pPr>
      <w:r w:rsidRPr="00090437">
        <w:rPr>
          <w:rFonts w:ascii="Tahoma" w:hAnsi="Tahoma" w:cs="Tahoma"/>
          <w:color w:val="000000" w:themeColor="text1"/>
          <w:sz w:val="16"/>
          <w:szCs w:val="16"/>
        </w:rPr>
        <w:t xml:space="preserve">*Пенсионер - </w:t>
      </w:r>
      <w:r w:rsidRPr="00090437">
        <w:rPr>
          <w:rFonts w:ascii="Tahoma" w:hAnsi="Tahoma" w:cs="Tahoma"/>
          <w:color w:val="000000" w:themeColor="text1"/>
          <w:sz w:val="16"/>
          <w:szCs w:val="16"/>
          <w:shd w:val="clear" w:color="auto" w:fill="FFFFFF"/>
        </w:rPr>
        <w:t>физическое лицо, открывающее вклад при предъявлении пенсионного удостоверения или иного документа, подтверждающего в соответствии с законодательством РФ право на получение пенсии.</w:t>
      </w:r>
    </w:p>
    <w:p w14:paraId="1A0B01E5" w14:textId="77777777" w:rsidR="00090437" w:rsidRPr="00090437" w:rsidRDefault="00090437" w:rsidP="00090437">
      <w:pPr>
        <w:jc w:val="both"/>
        <w:rPr>
          <w:rFonts w:ascii="Tahoma" w:hAnsi="Tahoma" w:cs="Tahoma"/>
          <w:b/>
          <w:color w:val="000000" w:themeColor="text1"/>
          <w:sz w:val="16"/>
          <w:szCs w:val="16"/>
          <w:shd w:val="clear" w:color="auto" w:fill="FFFFFF"/>
        </w:rPr>
      </w:pPr>
      <w:r w:rsidRPr="00090437">
        <w:rPr>
          <w:rFonts w:ascii="Tahoma" w:hAnsi="Tahoma" w:cs="Tahoma"/>
          <w:color w:val="000000" w:themeColor="text1"/>
          <w:sz w:val="16"/>
          <w:szCs w:val="16"/>
        </w:rPr>
        <w:t xml:space="preserve">** </w:t>
      </w:r>
      <w:r w:rsidRPr="00090437">
        <w:rPr>
          <w:rFonts w:ascii="Tahoma" w:hAnsi="Tahoma" w:cs="Tahoma"/>
          <w:sz w:val="18"/>
          <w:szCs w:val="18"/>
        </w:rPr>
        <w:t>Соответствует значению минимальной гарантированной ставки (годовых) с учетом округления, определяющему минимальный доход, выплачиваемый вкладчику на сумму вклада при условии хранения суммы вклада до конца срока вклада без учета каких-либо других условий. Порядок расчета минимальной гарантированной ставки по вкладу определяется Банком России.</w:t>
      </w:r>
    </w:p>
    <w:p w14:paraId="33546FFB" w14:textId="77777777" w:rsidR="00090437" w:rsidRPr="00090437" w:rsidRDefault="00090437" w:rsidP="00090437">
      <w:pPr>
        <w:spacing w:before="40" w:after="40"/>
        <w:jc w:val="both"/>
        <w:rPr>
          <w:rFonts w:ascii="Tahoma" w:hAnsi="Tahoma" w:cs="Tahoma"/>
          <w:color w:val="000000" w:themeColor="text1"/>
          <w:sz w:val="16"/>
          <w:szCs w:val="16"/>
        </w:rPr>
      </w:pPr>
    </w:p>
    <w:p w14:paraId="4958B617" w14:textId="77777777" w:rsidR="00090437" w:rsidRPr="00090437" w:rsidRDefault="00090437" w:rsidP="00090437">
      <w:pPr>
        <w:spacing w:before="40" w:after="40"/>
        <w:jc w:val="both"/>
        <w:rPr>
          <w:rFonts w:ascii="Tahoma" w:hAnsi="Tahoma" w:cs="Tahoma"/>
          <w:b/>
          <w:color w:val="000000" w:themeColor="text1"/>
          <w:sz w:val="16"/>
          <w:szCs w:val="16"/>
        </w:rPr>
      </w:pPr>
      <w:r w:rsidRPr="00090437">
        <w:rPr>
          <w:rFonts w:ascii="Tahoma" w:hAnsi="Tahoma" w:cs="Tahoma"/>
          <w:b/>
          <w:color w:val="000000" w:themeColor="text1"/>
          <w:sz w:val="16"/>
          <w:szCs w:val="16"/>
        </w:rPr>
        <w:t>Дополнительное условие по Вкладу в китайских юанях:</w:t>
      </w:r>
    </w:p>
    <w:p w14:paraId="6B4E7C40" w14:textId="77777777" w:rsidR="00090437" w:rsidRPr="00090437" w:rsidRDefault="00090437" w:rsidP="00090437">
      <w:pPr>
        <w:spacing w:before="40" w:after="40"/>
        <w:jc w:val="both"/>
        <w:rPr>
          <w:rFonts w:ascii="Tahoma" w:hAnsi="Tahoma" w:cs="Tahoma"/>
          <w:color w:val="000000" w:themeColor="text1"/>
          <w:sz w:val="16"/>
          <w:szCs w:val="16"/>
        </w:rPr>
      </w:pPr>
      <w:r w:rsidRPr="00090437">
        <w:rPr>
          <w:rFonts w:ascii="Tahoma" w:hAnsi="Tahoma" w:cs="Tahoma"/>
          <w:color w:val="000000" w:themeColor="text1"/>
          <w:sz w:val="16"/>
          <w:szCs w:val="16"/>
        </w:rPr>
        <w:t>Прием денежных средств и выдача осуществляются в валюте Российский рубль, и конвертируются во Вклад в Китайские юани по курсу Банка на дату совершения соответствующей операции во всех Подразделениях Банка, кроме ЦО ДАО в г. Благовещенск, ОО № 75 в г. Хабаровск, ОО № 45 в г. Якутск "Азиатско-Тихоокеанский Банк" (АО), ОО № 2 в г. Красноярск, ОО № 110 в г. Иркутск Филиала «Азиатско-Тихоокеанский Банк» (АО) в г. Улан-Удэ.</w:t>
      </w:r>
    </w:p>
    <w:p w14:paraId="3D0192AB" w14:textId="77777777" w:rsidR="00090437" w:rsidRPr="00090437" w:rsidRDefault="00090437" w:rsidP="00090437">
      <w:pPr>
        <w:widowControl w:val="0"/>
        <w:tabs>
          <w:tab w:val="left" w:pos="284"/>
        </w:tabs>
        <w:autoSpaceDE w:val="0"/>
        <w:autoSpaceDN w:val="0"/>
        <w:adjustRightInd w:val="0"/>
        <w:jc w:val="both"/>
        <w:rPr>
          <w:rFonts w:ascii="Tahoma" w:hAnsi="Tahoma" w:cs="Tahoma"/>
          <w:sz w:val="16"/>
          <w:szCs w:val="16"/>
        </w:rPr>
      </w:pPr>
      <w:r w:rsidRPr="00090437">
        <w:rPr>
          <w:rFonts w:ascii="Tahoma" w:hAnsi="Tahoma" w:cs="Tahoma"/>
          <w:color w:val="000000" w:themeColor="text1"/>
          <w:sz w:val="16"/>
          <w:szCs w:val="16"/>
        </w:rPr>
        <w:t>Прием денежных средств и выдача осуществляются в валюте Китайский юань и Российский рубль, и конвертируются во Вклад в Китайские юани по курсу Банка на дату совершения соответствующей операции в ЦО ДАО в г. Благовещенск, ОО № 75 в г. Хабаровск, ОО № 45 в г. Якутск "Азиатско-Тихоокеанский Банк" (АО), ОО № 2 в г. Красноярск, ОО № 110 в г. Иркутск Филиала «Азиатско-Тихоокеанский Банк» (АО) в г. Улан-Удэ.</w:t>
      </w:r>
    </w:p>
    <w:p w14:paraId="006487DC" w14:textId="77777777" w:rsidR="00090437" w:rsidRPr="00090437" w:rsidRDefault="00090437" w:rsidP="00090437">
      <w:pPr>
        <w:tabs>
          <w:tab w:val="left" w:pos="284"/>
          <w:tab w:val="left" w:pos="567"/>
        </w:tabs>
        <w:jc w:val="both"/>
        <w:rPr>
          <w:rFonts w:ascii="Tahoma" w:hAnsi="Tahoma" w:cs="Tahoma"/>
          <w:bCs/>
          <w:sz w:val="22"/>
          <w:szCs w:val="22"/>
        </w:rPr>
      </w:pPr>
    </w:p>
    <w:p w14:paraId="2BBCBF51" w14:textId="16B9AC3A" w:rsidR="00090437" w:rsidRPr="00090437" w:rsidRDefault="002B7E85" w:rsidP="000B3718">
      <w:pPr>
        <w:pStyle w:val="a5"/>
      </w:pPr>
      <w:r>
        <w:t>3.3</w:t>
      </w:r>
      <w:r w:rsidR="00955573">
        <w:t>8</w:t>
      </w:r>
      <w:r w:rsidR="00090437" w:rsidRPr="00090437">
        <w:t>.</w:t>
      </w:r>
      <w:r w:rsidR="00090437" w:rsidRPr="00090437">
        <w:tab/>
        <w:t>Вклад «Накопи» (условия для пролонгируемых вкладов)</w:t>
      </w:r>
    </w:p>
    <w:p w14:paraId="03044958" w14:textId="77777777" w:rsidR="00090437" w:rsidRPr="00090437" w:rsidRDefault="00090437" w:rsidP="00DE6159">
      <w:pPr>
        <w:tabs>
          <w:tab w:val="left" w:pos="284"/>
          <w:tab w:val="left" w:pos="567"/>
        </w:tabs>
        <w:ind w:firstLine="426"/>
        <w:jc w:val="both"/>
        <w:rPr>
          <w:rFonts w:ascii="Tahoma" w:hAnsi="Tahoma" w:cs="Tahoma"/>
          <w:bCs/>
          <w:sz w:val="22"/>
          <w:szCs w:val="22"/>
        </w:rPr>
      </w:pPr>
      <w:r w:rsidRPr="00090437">
        <w:rPr>
          <w:rFonts w:ascii="Tahoma" w:hAnsi="Tahoma" w:cs="Tahoma"/>
          <w:bCs/>
          <w:sz w:val="22"/>
          <w:szCs w:val="22"/>
        </w:rPr>
        <w:t>Условия:</w:t>
      </w:r>
    </w:p>
    <w:p w14:paraId="567E5855" w14:textId="77777777" w:rsidR="00090437" w:rsidRPr="00090437" w:rsidRDefault="00090437" w:rsidP="00090437">
      <w:pPr>
        <w:numPr>
          <w:ilvl w:val="0"/>
          <w:numId w:val="9"/>
        </w:numPr>
        <w:contextualSpacing/>
        <w:jc w:val="both"/>
        <w:rPr>
          <w:rFonts w:ascii="Tahoma" w:hAnsi="Tahoma" w:cs="Tahoma"/>
          <w:sz w:val="22"/>
          <w:szCs w:val="22"/>
        </w:rPr>
      </w:pPr>
      <w:r w:rsidRPr="00090437">
        <w:rPr>
          <w:rFonts w:ascii="Tahoma" w:hAnsi="Tahoma" w:cs="Tahoma"/>
          <w:color w:val="000000" w:themeColor="text1"/>
          <w:sz w:val="22"/>
          <w:szCs w:val="22"/>
        </w:rPr>
        <w:t xml:space="preserve">Валюта  - </w:t>
      </w:r>
      <w:r w:rsidRPr="00090437">
        <w:rPr>
          <w:rFonts w:ascii="Tahoma" w:hAnsi="Tahoma" w:cs="Tahoma"/>
          <w:sz w:val="22"/>
          <w:szCs w:val="22"/>
        </w:rPr>
        <w:t>рубли;</w:t>
      </w:r>
    </w:p>
    <w:p w14:paraId="480FAAE5" w14:textId="77777777" w:rsidR="00090437" w:rsidRPr="00090437" w:rsidRDefault="00090437" w:rsidP="00090437">
      <w:pPr>
        <w:numPr>
          <w:ilvl w:val="0"/>
          <w:numId w:val="9"/>
        </w:numPr>
        <w:contextualSpacing/>
        <w:jc w:val="both"/>
        <w:rPr>
          <w:rFonts w:ascii="Tahoma" w:hAnsi="Tahoma" w:cs="Tahoma"/>
          <w:sz w:val="22"/>
          <w:szCs w:val="22"/>
        </w:rPr>
      </w:pPr>
      <w:r w:rsidRPr="00090437">
        <w:rPr>
          <w:rFonts w:ascii="Tahoma" w:hAnsi="Tahoma" w:cs="Tahoma"/>
          <w:sz w:val="22"/>
          <w:szCs w:val="22"/>
        </w:rPr>
        <w:t>Минимальная сумма Вклада – 5 000 рублей;</w:t>
      </w:r>
    </w:p>
    <w:p w14:paraId="1C1BE0E5" w14:textId="77777777" w:rsidR="00090437" w:rsidRPr="00090437" w:rsidRDefault="00090437" w:rsidP="00090437">
      <w:pPr>
        <w:numPr>
          <w:ilvl w:val="0"/>
          <w:numId w:val="9"/>
        </w:numPr>
        <w:contextualSpacing/>
        <w:jc w:val="both"/>
        <w:rPr>
          <w:rFonts w:ascii="Tahoma" w:hAnsi="Tahoma" w:cs="Tahoma"/>
          <w:sz w:val="22"/>
          <w:szCs w:val="22"/>
        </w:rPr>
      </w:pPr>
      <w:r w:rsidRPr="00090437">
        <w:rPr>
          <w:rFonts w:ascii="Tahoma" w:hAnsi="Tahoma" w:cs="Tahoma"/>
          <w:sz w:val="22"/>
          <w:szCs w:val="22"/>
        </w:rPr>
        <w:t>Максимальная сумма Вклада – не ограничена;</w:t>
      </w:r>
    </w:p>
    <w:p w14:paraId="748F7287" w14:textId="77777777" w:rsidR="00090437" w:rsidRPr="00090437" w:rsidRDefault="00090437" w:rsidP="00090437">
      <w:pPr>
        <w:numPr>
          <w:ilvl w:val="0"/>
          <w:numId w:val="9"/>
        </w:numPr>
        <w:contextualSpacing/>
        <w:jc w:val="both"/>
        <w:rPr>
          <w:rFonts w:ascii="Tahoma" w:hAnsi="Tahoma" w:cs="Tahoma"/>
          <w:sz w:val="22"/>
          <w:szCs w:val="22"/>
        </w:rPr>
      </w:pPr>
      <w:r w:rsidRPr="00090437">
        <w:rPr>
          <w:rFonts w:ascii="Tahoma" w:hAnsi="Tahoma" w:cs="Tahoma"/>
          <w:sz w:val="22"/>
          <w:szCs w:val="22"/>
        </w:rPr>
        <w:t>Срок вклада – 92 дня/ 182 дня/ 367 дней/ 731 день/ 1098 дней;</w:t>
      </w:r>
    </w:p>
    <w:p w14:paraId="3E298DDE" w14:textId="77777777" w:rsidR="00090437" w:rsidRPr="00090437" w:rsidRDefault="00090437" w:rsidP="00090437">
      <w:pPr>
        <w:numPr>
          <w:ilvl w:val="0"/>
          <w:numId w:val="9"/>
        </w:numPr>
        <w:contextualSpacing/>
        <w:jc w:val="both"/>
        <w:rPr>
          <w:rFonts w:ascii="Tahoma" w:hAnsi="Tahoma" w:cs="Tahoma"/>
          <w:sz w:val="22"/>
          <w:szCs w:val="22"/>
        </w:rPr>
      </w:pPr>
      <w:r w:rsidRPr="00090437">
        <w:rPr>
          <w:rFonts w:ascii="Tahoma" w:hAnsi="Tahoma" w:cs="Tahoma"/>
          <w:sz w:val="22"/>
          <w:szCs w:val="22"/>
        </w:rPr>
        <w:t>Вклад пополняемый, последний дополнительный взнос не менее чем за 30 дней до окончания срока Вклада;</w:t>
      </w:r>
    </w:p>
    <w:p w14:paraId="5B345BFB" w14:textId="77777777" w:rsidR="00090437" w:rsidRPr="00090437" w:rsidRDefault="00090437" w:rsidP="00090437">
      <w:pPr>
        <w:numPr>
          <w:ilvl w:val="0"/>
          <w:numId w:val="9"/>
        </w:numPr>
        <w:contextualSpacing/>
        <w:jc w:val="both"/>
        <w:rPr>
          <w:rFonts w:ascii="Tahoma" w:hAnsi="Tahoma" w:cs="Tahoma"/>
          <w:sz w:val="22"/>
          <w:szCs w:val="22"/>
        </w:rPr>
      </w:pPr>
      <w:r w:rsidRPr="00090437">
        <w:rPr>
          <w:rFonts w:ascii="Tahoma" w:hAnsi="Tahoma" w:cs="Tahoma"/>
          <w:sz w:val="22"/>
          <w:szCs w:val="22"/>
        </w:rPr>
        <w:t>Продление (автоматическое перезаключение) Договора без оформления дополнительных соглашений – без ограничений;</w:t>
      </w:r>
    </w:p>
    <w:p w14:paraId="02B9A054" w14:textId="77777777" w:rsidR="00090437" w:rsidRPr="00090437" w:rsidRDefault="00090437" w:rsidP="00090437">
      <w:pPr>
        <w:numPr>
          <w:ilvl w:val="0"/>
          <w:numId w:val="9"/>
        </w:numPr>
        <w:contextualSpacing/>
        <w:jc w:val="both"/>
        <w:rPr>
          <w:rFonts w:ascii="Tahoma" w:hAnsi="Tahoma" w:cs="Tahoma"/>
          <w:sz w:val="22"/>
          <w:szCs w:val="22"/>
        </w:rPr>
      </w:pPr>
      <w:r w:rsidRPr="00090437">
        <w:rPr>
          <w:rFonts w:ascii="Tahoma" w:hAnsi="Tahoma" w:cs="Tahoma"/>
          <w:sz w:val="22"/>
          <w:szCs w:val="22"/>
        </w:rPr>
        <w:t>Выплаты процентов – ежемесячно на выбор:</w:t>
      </w:r>
    </w:p>
    <w:p w14:paraId="26485876" w14:textId="77777777" w:rsidR="00090437" w:rsidRPr="00090437" w:rsidRDefault="00090437" w:rsidP="00090437">
      <w:pPr>
        <w:ind w:left="720"/>
        <w:jc w:val="both"/>
        <w:rPr>
          <w:rFonts w:ascii="Tahoma" w:hAnsi="Tahoma" w:cs="Tahoma"/>
          <w:color w:val="000000" w:themeColor="text1"/>
          <w:sz w:val="22"/>
          <w:szCs w:val="22"/>
        </w:rPr>
      </w:pPr>
      <w:r w:rsidRPr="00090437">
        <w:rPr>
          <w:rFonts w:ascii="Tahoma" w:hAnsi="Tahoma" w:cs="Tahoma"/>
          <w:sz w:val="22"/>
          <w:szCs w:val="22"/>
        </w:rPr>
        <w:t>- на счет банковской карты</w:t>
      </w:r>
      <w:r w:rsidRPr="00090437">
        <w:rPr>
          <w:rFonts w:ascii="Tahoma" w:hAnsi="Tahoma" w:cs="Tahoma"/>
          <w:color w:val="000000" w:themeColor="text1"/>
          <w:sz w:val="22"/>
          <w:szCs w:val="22"/>
        </w:rPr>
        <w:t>;</w:t>
      </w:r>
    </w:p>
    <w:p w14:paraId="40766536" w14:textId="77777777" w:rsidR="00090437" w:rsidRPr="00090437" w:rsidRDefault="00090437" w:rsidP="00090437">
      <w:pPr>
        <w:ind w:left="720"/>
        <w:jc w:val="both"/>
        <w:rPr>
          <w:rFonts w:ascii="Tahoma" w:hAnsi="Tahoma" w:cs="Tahoma"/>
          <w:color w:val="000000" w:themeColor="text1"/>
          <w:sz w:val="22"/>
          <w:szCs w:val="22"/>
        </w:rPr>
      </w:pPr>
      <w:r w:rsidRPr="00090437">
        <w:rPr>
          <w:rFonts w:ascii="Tahoma" w:hAnsi="Tahoma" w:cs="Tahoma"/>
          <w:color w:val="000000" w:themeColor="text1"/>
          <w:sz w:val="22"/>
          <w:szCs w:val="22"/>
        </w:rPr>
        <w:t>- капитализация, т.е. причисление к основной сумме Вклада;</w:t>
      </w:r>
    </w:p>
    <w:p w14:paraId="191597E5" w14:textId="77777777" w:rsidR="00090437" w:rsidRPr="00090437" w:rsidRDefault="00090437" w:rsidP="00090437">
      <w:pPr>
        <w:numPr>
          <w:ilvl w:val="0"/>
          <w:numId w:val="9"/>
        </w:numPr>
        <w:contextualSpacing/>
        <w:jc w:val="both"/>
        <w:rPr>
          <w:rFonts w:ascii="Tahoma" w:hAnsi="Tahoma" w:cs="Tahoma"/>
          <w:color w:val="000000" w:themeColor="text1"/>
          <w:sz w:val="22"/>
          <w:szCs w:val="22"/>
        </w:rPr>
      </w:pPr>
      <w:r w:rsidRPr="00090437">
        <w:rPr>
          <w:rFonts w:ascii="Tahoma" w:hAnsi="Tahoma" w:cs="Tahoma"/>
          <w:color w:val="000000" w:themeColor="text1"/>
          <w:sz w:val="22"/>
          <w:szCs w:val="22"/>
        </w:rPr>
        <w:t>Выплата суммы Вклада – на Вклад «Личный счет» (до востребования)/ «Пенсионная сберкнижка до востребования» (для пенсионеров*);</w:t>
      </w:r>
    </w:p>
    <w:p w14:paraId="6C70E669" w14:textId="77777777" w:rsidR="00090437" w:rsidRPr="00090437" w:rsidRDefault="00090437" w:rsidP="00090437">
      <w:pPr>
        <w:numPr>
          <w:ilvl w:val="0"/>
          <w:numId w:val="9"/>
        </w:numPr>
        <w:contextualSpacing/>
        <w:jc w:val="both"/>
        <w:rPr>
          <w:rFonts w:ascii="Tahoma" w:hAnsi="Tahoma" w:cs="Tahoma"/>
          <w:color w:val="000000" w:themeColor="text1"/>
          <w:sz w:val="22"/>
          <w:szCs w:val="22"/>
        </w:rPr>
      </w:pPr>
      <w:r w:rsidRPr="00090437">
        <w:rPr>
          <w:rFonts w:ascii="Tahoma" w:hAnsi="Tahoma" w:cs="Tahoma"/>
          <w:color w:val="000000" w:themeColor="text1"/>
          <w:sz w:val="22"/>
          <w:szCs w:val="22"/>
        </w:rPr>
        <w:t>Расходные операции по Вкладу – не предусмотрены;</w:t>
      </w:r>
    </w:p>
    <w:p w14:paraId="42442927" w14:textId="77777777" w:rsidR="00090437" w:rsidRPr="00090437" w:rsidRDefault="00090437" w:rsidP="00090437">
      <w:pPr>
        <w:numPr>
          <w:ilvl w:val="0"/>
          <w:numId w:val="9"/>
        </w:numPr>
        <w:jc w:val="both"/>
        <w:rPr>
          <w:rFonts w:ascii="Tahoma" w:hAnsi="Tahoma" w:cs="Tahoma"/>
          <w:bCs/>
          <w:sz w:val="22"/>
          <w:szCs w:val="22"/>
        </w:rPr>
      </w:pPr>
      <w:r w:rsidRPr="00090437">
        <w:rPr>
          <w:rFonts w:ascii="Tahoma" w:hAnsi="Tahoma" w:cs="Tahoma"/>
          <w:color w:val="000000" w:themeColor="text1"/>
          <w:sz w:val="22"/>
          <w:szCs w:val="22"/>
        </w:rPr>
        <w:t>При досрочном расторжении Вклада проценты выплачиваются по ставке Вклада «Личный счет» (до востребования)/ «Пенсионная сберкнижка до востребования» (для пенсионеров*).</w:t>
      </w:r>
    </w:p>
    <w:p w14:paraId="4BEBA34B" w14:textId="77777777" w:rsidR="00090437" w:rsidRPr="00090437" w:rsidRDefault="00090437" w:rsidP="00090437">
      <w:pPr>
        <w:tabs>
          <w:tab w:val="left" w:pos="284"/>
          <w:tab w:val="left" w:pos="567"/>
        </w:tabs>
        <w:jc w:val="both"/>
        <w:rPr>
          <w:rFonts w:ascii="Tahoma" w:hAnsi="Tahoma" w:cs="Tahoma"/>
          <w:bCs/>
          <w:sz w:val="22"/>
          <w:szCs w:val="22"/>
        </w:rPr>
      </w:pPr>
    </w:p>
    <w:tbl>
      <w:tblPr>
        <w:tblW w:w="5000" w:type="pct"/>
        <w:tblLayout w:type="fixed"/>
        <w:tblLook w:val="04A0" w:firstRow="1" w:lastRow="0" w:firstColumn="1" w:lastColumn="0" w:noHBand="0" w:noVBand="1"/>
      </w:tblPr>
      <w:tblGrid>
        <w:gridCol w:w="1945"/>
        <w:gridCol w:w="1672"/>
        <w:gridCol w:w="2096"/>
        <w:gridCol w:w="1957"/>
        <w:gridCol w:w="1533"/>
        <w:gridCol w:w="1558"/>
        <w:gridCol w:w="1561"/>
        <w:gridCol w:w="1418"/>
        <w:gridCol w:w="1382"/>
      </w:tblGrid>
      <w:tr w:rsidR="00090437" w:rsidRPr="00090437" w14:paraId="303B1684" w14:textId="77777777" w:rsidTr="00090437">
        <w:trPr>
          <w:trHeight w:val="319"/>
        </w:trPr>
        <w:tc>
          <w:tcPr>
            <w:tcW w:w="643" w:type="pct"/>
            <w:vMerge w:val="restart"/>
            <w:tcBorders>
              <w:top w:val="single" w:sz="8" w:space="0" w:color="auto"/>
              <w:left w:val="single" w:sz="8" w:space="0" w:color="auto"/>
              <w:bottom w:val="single" w:sz="8" w:space="0" w:color="000000"/>
              <w:right w:val="nil"/>
            </w:tcBorders>
            <w:shd w:val="clear" w:color="auto" w:fill="auto"/>
            <w:vAlign w:val="center"/>
            <w:hideMark/>
          </w:tcPr>
          <w:p w14:paraId="29E46431"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Ориентировочный сегмент</w:t>
            </w:r>
          </w:p>
        </w:tc>
        <w:tc>
          <w:tcPr>
            <w:tcW w:w="553" w:type="pct"/>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39E46D83"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Продукт</w:t>
            </w:r>
          </w:p>
        </w:tc>
        <w:tc>
          <w:tcPr>
            <w:tcW w:w="1340" w:type="pct"/>
            <w:gridSpan w:val="2"/>
            <w:tcBorders>
              <w:top w:val="single" w:sz="8" w:space="0" w:color="auto"/>
              <w:left w:val="nil"/>
              <w:bottom w:val="single" w:sz="4" w:space="0" w:color="auto"/>
              <w:right w:val="single" w:sz="4" w:space="0" w:color="auto"/>
            </w:tcBorders>
            <w:shd w:val="clear" w:color="auto" w:fill="auto"/>
            <w:noWrap/>
            <w:vAlign w:val="center"/>
            <w:hideMark/>
          </w:tcPr>
          <w:p w14:paraId="0B4A1FE5"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Базовые параметры вклада</w:t>
            </w:r>
          </w:p>
        </w:tc>
        <w:tc>
          <w:tcPr>
            <w:tcW w:w="2464" w:type="pct"/>
            <w:gridSpan w:val="5"/>
            <w:tcBorders>
              <w:top w:val="single" w:sz="8" w:space="0" w:color="auto"/>
              <w:left w:val="nil"/>
              <w:bottom w:val="single" w:sz="4" w:space="0" w:color="auto"/>
              <w:right w:val="single" w:sz="4" w:space="0" w:color="auto"/>
            </w:tcBorders>
            <w:shd w:val="clear" w:color="auto" w:fill="auto"/>
            <w:noWrap/>
            <w:vAlign w:val="center"/>
            <w:hideMark/>
          </w:tcPr>
          <w:p w14:paraId="35B65DD9" w14:textId="77777777" w:rsidR="00090437" w:rsidRPr="00090437" w:rsidRDefault="00090437" w:rsidP="00090437">
            <w:pPr>
              <w:jc w:val="center"/>
              <w:rPr>
                <w:rFonts w:ascii="Tahoma" w:hAnsi="Tahoma" w:cs="Tahoma"/>
                <w:bCs/>
                <w:iCs/>
                <w:sz w:val="20"/>
                <w:szCs w:val="20"/>
              </w:rPr>
            </w:pPr>
            <w:r w:rsidRPr="00090437">
              <w:rPr>
                <w:rFonts w:ascii="Tahoma" w:hAnsi="Tahoma" w:cs="Tahoma"/>
                <w:b/>
                <w:color w:val="000000" w:themeColor="text1"/>
                <w:sz w:val="20"/>
                <w:szCs w:val="20"/>
              </w:rPr>
              <w:t>Процентные ставки** (% годовых) / Доход с учетом капитализации (% годовых) в зависимости от срока договора вклада**</w:t>
            </w:r>
          </w:p>
        </w:tc>
      </w:tr>
      <w:tr w:rsidR="00090437" w:rsidRPr="00090437" w14:paraId="3CC035FB" w14:textId="77777777" w:rsidTr="00090437">
        <w:trPr>
          <w:trHeight w:val="319"/>
        </w:trPr>
        <w:tc>
          <w:tcPr>
            <w:tcW w:w="643" w:type="pct"/>
            <w:vMerge/>
            <w:tcBorders>
              <w:top w:val="single" w:sz="8" w:space="0" w:color="auto"/>
              <w:left w:val="single" w:sz="8" w:space="0" w:color="auto"/>
              <w:bottom w:val="single" w:sz="8" w:space="0" w:color="000000"/>
              <w:right w:val="nil"/>
            </w:tcBorders>
            <w:vAlign w:val="center"/>
            <w:hideMark/>
          </w:tcPr>
          <w:p w14:paraId="65DB80C5" w14:textId="77777777" w:rsidR="00090437" w:rsidRPr="00090437" w:rsidRDefault="00090437" w:rsidP="00090437">
            <w:pPr>
              <w:rPr>
                <w:rFonts w:ascii="Tahoma" w:hAnsi="Tahoma" w:cs="Tahoma"/>
                <w:bCs/>
                <w:iCs/>
                <w:sz w:val="20"/>
                <w:szCs w:val="20"/>
              </w:rPr>
            </w:pPr>
          </w:p>
        </w:tc>
        <w:tc>
          <w:tcPr>
            <w:tcW w:w="553" w:type="pct"/>
            <w:vMerge/>
            <w:tcBorders>
              <w:top w:val="single" w:sz="8" w:space="0" w:color="auto"/>
              <w:left w:val="single" w:sz="8" w:space="0" w:color="auto"/>
              <w:bottom w:val="single" w:sz="8" w:space="0" w:color="000000"/>
              <w:right w:val="single" w:sz="4" w:space="0" w:color="auto"/>
            </w:tcBorders>
            <w:vAlign w:val="center"/>
            <w:hideMark/>
          </w:tcPr>
          <w:p w14:paraId="30E7F5F6" w14:textId="77777777" w:rsidR="00090437" w:rsidRPr="00090437" w:rsidRDefault="00090437" w:rsidP="00090437">
            <w:pPr>
              <w:rPr>
                <w:rFonts w:ascii="Tahoma" w:hAnsi="Tahoma" w:cs="Tahoma"/>
                <w:bCs/>
                <w:iCs/>
                <w:sz w:val="20"/>
                <w:szCs w:val="20"/>
              </w:rPr>
            </w:pPr>
          </w:p>
        </w:tc>
        <w:tc>
          <w:tcPr>
            <w:tcW w:w="693" w:type="pct"/>
            <w:tcBorders>
              <w:top w:val="nil"/>
              <w:left w:val="nil"/>
              <w:bottom w:val="single" w:sz="8" w:space="0" w:color="auto"/>
              <w:right w:val="single" w:sz="4" w:space="0" w:color="auto"/>
            </w:tcBorders>
            <w:shd w:val="clear" w:color="auto" w:fill="auto"/>
            <w:noWrap/>
            <w:vAlign w:val="center"/>
            <w:hideMark/>
          </w:tcPr>
          <w:p w14:paraId="4DD3A387"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Валюта вклада</w:t>
            </w:r>
          </w:p>
        </w:tc>
        <w:tc>
          <w:tcPr>
            <w:tcW w:w="647" w:type="pct"/>
            <w:tcBorders>
              <w:top w:val="nil"/>
              <w:left w:val="nil"/>
              <w:bottom w:val="single" w:sz="8" w:space="0" w:color="auto"/>
              <w:right w:val="single" w:sz="4" w:space="0" w:color="auto"/>
            </w:tcBorders>
            <w:shd w:val="clear" w:color="auto" w:fill="auto"/>
            <w:noWrap/>
            <w:vAlign w:val="center"/>
            <w:hideMark/>
          </w:tcPr>
          <w:p w14:paraId="4B353E9F"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 xml:space="preserve">Минимальная сумма вклада </w:t>
            </w:r>
          </w:p>
        </w:tc>
        <w:tc>
          <w:tcPr>
            <w:tcW w:w="507" w:type="pct"/>
            <w:tcBorders>
              <w:top w:val="nil"/>
              <w:left w:val="nil"/>
              <w:bottom w:val="single" w:sz="8" w:space="0" w:color="auto"/>
              <w:right w:val="single" w:sz="4" w:space="0" w:color="auto"/>
            </w:tcBorders>
            <w:shd w:val="clear" w:color="auto" w:fill="auto"/>
            <w:noWrap/>
            <w:vAlign w:val="center"/>
          </w:tcPr>
          <w:p w14:paraId="54B025AA"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92 дня</w:t>
            </w:r>
          </w:p>
        </w:tc>
        <w:tc>
          <w:tcPr>
            <w:tcW w:w="515" w:type="pct"/>
            <w:tcBorders>
              <w:top w:val="nil"/>
              <w:left w:val="nil"/>
              <w:bottom w:val="single" w:sz="8" w:space="0" w:color="auto"/>
              <w:right w:val="single" w:sz="4" w:space="0" w:color="auto"/>
            </w:tcBorders>
            <w:shd w:val="clear" w:color="auto" w:fill="auto"/>
            <w:vAlign w:val="center"/>
          </w:tcPr>
          <w:p w14:paraId="04A1C4AD"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182 дня</w:t>
            </w:r>
          </w:p>
        </w:tc>
        <w:tc>
          <w:tcPr>
            <w:tcW w:w="516" w:type="pct"/>
            <w:tcBorders>
              <w:top w:val="nil"/>
              <w:left w:val="nil"/>
              <w:bottom w:val="single" w:sz="8" w:space="0" w:color="auto"/>
              <w:right w:val="single" w:sz="4" w:space="0" w:color="auto"/>
            </w:tcBorders>
            <w:shd w:val="clear" w:color="auto" w:fill="auto"/>
            <w:noWrap/>
            <w:vAlign w:val="center"/>
            <w:hideMark/>
          </w:tcPr>
          <w:p w14:paraId="4D02D320"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367 дней</w:t>
            </w:r>
          </w:p>
        </w:tc>
        <w:tc>
          <w:tcPr>
            <w:tcW w:w="469" w:type="pct"/>
            <w:tcBorders>
              <w:top w:val="nil"/>
              <w:left w:val="nil"/>
              <w:bottom w:val="single" w:sz="8" w:space="0" w:color="auto"/>
              <w:right w:val="single" w:sz="4" w:space="0" w:color="auto"/>
            </w:tcBorders>
            <w:shd w:val="clear" w:color="auto" w:fill="auto"/>
            <w:noWrap/>
            <w:vAlign w:val="center"/>
            <w:hideMark/>
          </w:tcPr>
          <w:p w14:paraId="006A47E6"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731 день</w:t>
            </w:r>
          </w:p>
        </w:tc>
        <w:tc>
          <w:tcPr>
            <w:tcW w:w="457" w:type="pct"/>
            <w:tcBorders>
              <w:top w:val="nil"/>
              <w:left w:val="nil"/>
              <w:bottom w:val="single" w:sz="8" w:space="0" w:color="auto"/>
              <w:right w:val="single" w:sz="4" w:space="0" w:color="auto"/>
            </w:tcBorders>
            <w:shd w:val="clear" w:color="auto" w:fill="auto"/>
            <w:vAlign w:val="center"/>
          </w:tcPr>
          <w:p w14:paraId="0854EACB"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1098 дней</w:t>
            </w:r>
          </w:p>
        </w:tc>
      </w:tr>
      <w:tr w:rsidR="00090437" w:rsidRPr="00090437" w14:paraId="45214CAF" w14:textId="77777777" w:rsidTr="00090437">
        <w:trPr>
          <w:trHeight w:val="60"/>
        </w:trPr>
        <w:tc>
          <w:tcPr>
            <w:tcW w:w="643" w:type="pct"/>
            <w:tcBorders>
              <w:top w:val="nil"/>
              <w:left w:val="single" w:sz="8" w:space="0" w:color="auto"/>
              <w:right w:val="nil"/>
            </w:tcBorders>
            <w:shd w:val="clear" w:color="auto" w:fill="auto"/>
            <w:vAlign w:val="center"/>
            <w:hideMark/>
          </w:tcPr>
          <w:p w14:paraId="34E3A10F"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Все категории клиентов</w:t>
            </w:r>
          </w:p>
        </w:tc>
        <w:tc>
          <w:tcPr>
            <w:tcW w:w="553" w:type="pct"/>
            <w:vMerge w:val="restart"/>
            <w:tcBorders>
              <w:top w:val="nil"/>
              <w:left w:val="single" w:sz="8" w:space="0" w:color="auto"/>
              <w:right w:val="single" w:sz="4" w:space="0" w:color="auto"/>
            </w:tcBorders>
            <w:shd w:val="clear" w:color="000000" w:fill="FFC000"/>
            <w:vAlign w:val="center"/>
            <w:hideMark/>
          </w:tcPr>
          <w:p w14:paraId="1BA68788"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«Накопи»</w:t>
            </w:r>
          </w:p>
        </w:tc>
        <w:tc>
          <w:tcPr>
            <w:tcW w:w="693" w:type="pct"/>
            <w:tcBorders>
              <w:top w:val="nil"/>
              <w:left w:val="nil"/>
              <w:bottom w:val="single" w:sz="4" w:space="0" w:color="auto"/>
              <w:right w:val="single" w:sz="4" w:space="0" w:color="auto"/>
            </w:tcBorders>
            <w:shd w:val="clear" w:color="auto" w:fill="auto"/>
            <w:noWrap/>
            <w:vAlign w:val="center"/>
            <w:hideMark/>
          </w:tcPr>
          <w:p w14:paraId="5EAA2008"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рубли</w:t>
            </w:r>
          </w:p>
        </w:tc>
        <w:tc>
          <w:tcPr>
            <w:tcW w:w="647" w:type="pct"/>
            <w:tcBorders>
              <w:top w:val="nil"/>
              <w:left w:val="nil"/>
              <w:bottom w:val="single" w:sz="4" w:space="0" w:color="auto"/>
              <w:right w:val="single" w:sz="4" w:space="0" w:color="auto"/>
            </w:tcBorders>
            <w:shd w:val="clear" w:color="auto" w:fill="auto"/>
            <w:noWrap/>
            <w:vAlign w:val="center"/>
            <w:hideMark/>
          </w:tcPr>
          <w:p w14:paraId="3F9BB284" w14:textId="77777777" w:rsidR="00090437" w:rsidRPr="00090437" w:rsidRDefault="00090437" w:rsidP="00090437">
            <w:pPr>
              <w:jc w:val="center"/>
              <w:rPr>
                <w:rFonts w:ascii="Tahoma" w:hAnsi="Tahoma" w:cs="Tahoma"/>
                <w:bCs/>
                <w:iCs/>
                <w:color w:val="000000" w:themeColor="text1"/>
                <w:sz w:val="20"/>
                <w:szCs w:val="20"/>
              </w:rPr>
            </w:pPr>
            <w:r w:rsidRPr="00090437">
              <w:rPr>
                <w:rFonts w:ascii="Tahoma" w:hAnsi="Tahoma" w:cs="Tahoma"/>
                <w:bCs/>
                <w:iCs/>
                <w:color w:val="000000" w:themeColor="text1"/>
                <w:sz w:val="20"/>
                <w:szCs w:val="20"/>
              </w:rPr>
              <w:t>5 000</w:t>
            </w:r>
          </w:p>
        </w:tc>
        <w:tc>
          <w:tcPr>
            <w:tcW w:w="507" w:type="pct"/>
            <w:tcBorders>
              <w:top w:val="nil"/>
              <w:left w:val="nil"/>
              <w:bottom w:val="single" w:sz="4" w:space="0" w:color="auto"/>
              <w:right w:val="single" w:sz="4" w:space="0" w:color="auto"/>
            </w:tcBorders>
            <w:shd w:val="clear" w:color="auto" w:fill="auto"/>
            <w:noWrap/>
            <w:vAlign w:val="center"/>
          </w:tcPr>
          <w:p w14:paraId="531C431A"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5,200/ 5,223</w:t>
            </w:r>
          </w:p>
        </w:tc>
        <w:tc>
          <w:tcPr>
            <w:tcW w:w="515" w:type="pct"/>
            <w:tcBorders>
              <w:top w:val="nil"/>
              <w:left w:val="nil"/>
              <w:bottom w:val="single" w:sz="4" w:space="0" w:color="auto"/>
              <w:right w:val="single" w:sz="4" w:space="0" w:color="auto"/>
            </w:tcBorders>
            <w:shd w:val="clear" w:color="auto" w:fill="auto"/>
            <w:vAlign w:val="center"/>
          </w:tcPr>
          <w:p w14:paraId="7E470B6B"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5,800/ 5,870</w:t>
            </w:r>
          </w:p>
        </w:tc>
        <w:tc>
          <w:tcPr>
            <w:tcW w:w="516" w:type="pct"/>
            <w:tcBorders>
              <w:top w:val="nil"/>
              <w:left w:val="nil"/>
              <w:bottom w:val="single" w:sz="4" w:space="0" w:color="auto"/>
              <w:right w:val="single" w:sz="4" w:space="0" w:color="auto"/>
            </w:tcBorders>
            <w:shd w:val="clear" w:color="auto" w:fill="auto"/>
            <w:noWrap/>
            <w:vAlign w:val="center"/>
          </w:tcPr>
          <w:p w14:paraId="068DF2F3"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6,200/ 6,380</w:t>
            </w:r>
          </w:p>
        </w:tc>
        <w:tc>
          <w:tcPr>
            <w:tcW w:w="469" w:type="pct"/>
            <w:tcBorders>
              <w:top w:val="nil"/>
              <w:left w:val="nil"/>
              <w:bottom w:val="single" w:sz="4" w:space="0" w:color="auto"/>
              <w:right w:val="single" w:sz="4" w:space="0" w:color="auto"/>
            </w:tcBorders>
            <w:shd w:val="clear" w:color="auto" w:fill="auto"/>
            <w:noWrap/>
            <w:vAlign w:val="center"/>
          </w:tcPr>
          <w:p w14:paraId="0EADF71F"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6,100/ 6,471</w:t>
            </w:r>
          </w:p>
        </w:tc>
        <w:tc>
          <w:tcPr>
            <w:tcW w:w="457" w:type="pct"/>
            <w:tcBorders>
              <w:top w:val="nil"/>
              <w:left w:val="nil"/>
              <w:bottom w:val="single" w:sz="4" w:space="0" w:color="auto"/>
              <w:right w:val="single" w:sz="4" w:space="0" w:color="auto"/>
            </w:tcBorders>
            <w:shd w:val="clear" w:color="auto" w:fill="auto"/>
            <w:vAlign w:val="center"/>
          </w:tcPr>
          <w:p w14:paraId="42EE257F"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5,600/ 6,084</w:t>
            </w:r>
          </w:p>
        </w:tc>
      </w:tr>
      <w:tr w:rsidR="00090437" w:rsidRPr="00090437" w14:paraId="683B26F3" w14:textId="77777777" w:rsidTr="00090437">
        <w:trPr>
          <w:trHeight w:val="60"/>
        </w:trPr>
        <w:tc>
          <w:tcPr>
            <w:tcW w:w="643" w:type="pct"/>
            <w:tcBorders>
              <w:top w:val="single" w:sz="8" w:space="0" w:color="auto"/>
              <w:left w:val="single" w:sz="8" w:space="0" w:color="auto"/>
              <w:bottom w:val="single" w:sz="4" w:space="0" w:color="auto"/>
              <w:right w:val="nil"/>
            </w:tcBorders>
            <w:shd w:val="clear" w:color="auto" w:fill="auto"/>
            <w:vAlign w:val="center"/>
            <w:hideMark/>
          </w:tcPr>
          <w:p w14:paraId="29879D5B"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Пенсионеры*</w:t>
            </w:r>
          </w:p>
        </w:tc>
        <w:tc>
          <w:tcPr>
            <w:tcW w:w="553" w:type="pct"/>
            <w:vMerge/>
            <w:tcBorders>
              <w:left w:val="single" w:sz="8" w:space="0" w:color="auto"/>
              <w:right w:val="single" w:sz="4" w:space="0" w:color="auto"/>
            </w:tcBorders>
            <w:vAlign w:val="center"/>
            <w:hideMark/>
          </w:tcPr>
          <w:p w14:paraId="52AC8659" w14:textId="77777777" w:rsidR="00090437" w:rsidRPr="00090437" w:rsidRDefault="00090437" w:rsidP="00090437">
            <w:pPr>
              <w:rPr>
                <w:rFonts w:ascii="Tahoma" w:hAnsi="Tahoma" w:cs="Tahoma"/>
                <w:bCs/>
                <w:iCs/>
                <w:sz w:val="20"/>
                <w:szCs w:val="20"/>
              </w:rPr>
            </w:pPr>
          </w:p>
        </w:tc>
        <w:tc>
          <w:tcPr>
            <w:tcW w:w="693" w:type="pct"/>
            <w:tcBorders>
              <w:top w:val="single" w:sz="8" w:space="0" w:color="auto"/>
              <w:left w:val="nil"/>
              <w:bottom w:val="single" w:sz="4" w:space="0" w:color="auto"/>
              <w:right w:val="single" w:sz="4" w:space="0" w:color="auto"/>
            </w:tcBorders>
            <w:shd w:val="clear" w:color="auto" w:fill="auto"/>
            <w:noWrap/>
            <w:vAlign w:val="center"/>
            <w:hideMark/>
          </w:tcPr>
          <w:p w14:paraId="3FAAD973"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рубли</w:t>
            </w:r>
          </w:p>
        </w:tc>
        <w:tc>
          <w:tcPr>
            <w:tcW w:w="647" w:type="pct"/>
            <w:tcBorders>
              <w:top w:val="nil"/>
              <w:left w:val="nil"/>
              <w:bottom w:val="single" w:sz="4" w:space="0" w:color="auto"/>
              <w:right w:val="single" w:sz="4" w:space="0" w:color="auto"/>
            </w:tcBorders>
            <w:shd w:val="clear" w:color="auto" w:fill="auto"/>
            <w:noWrap/>
            <w:vAlign w:val="center"/>
            <w:hideMark/>
          </w:tcPr>
          <w:p w14:paraId="1864F7CE"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5 000</w:t>
            </w:r>
          </w:p>
        </w:tc>
        <w:tc>
          <w:tcPr>
            <w:tcW w:w="507" w:type="pct"/>
            <w:tcBorders>
              <w:top w:val="nil"/>
              <w:left w:val="nil"/>
              <w:bottom w:val="single" w:sz="4" w:space="0" w:color="auto"/>
              <w:right w:val="single" w:sz="4" w:space="0" w:color="auto"/>
            </w:tcBorders>
            <w:shd w:val="clear" w:color="auto" w:fill="auto"/>
            <w:noWrap/>
            <w:vAlign w:val="center"/>
          </w:tcPr>
          <w:p w14:paraId="74836A4E"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5,200/ 5,223</w:t>
            </w:r>
          </w:p>
        </w:tc>
        <w:tc>
          <w:tcPr>
            <w:tcW w:w="515" w:type="pct"/>
            <w:tcBorders>
              <w:top w:val="nil"/>
              <w:left w:val="nil"/>
              <w:bottom w:val="single" w:sz="4" w:space="0" w:color="auto"/>
              <w:right w:val="single" w:sz="4" w:space="0" w:color="auto"/>
            </w:tcBorders>
            <w:shd w:val="clear" w:color="auto" w:fill="auto"/>
            <w:vAlign w:val="center"/>
          </w:tcPr>
          <w:p w14:paraId="709235AF"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5,800/ 5,870</w:t>
            </w:r>
          </w:p>
        </w:tc>
        <w:tc>
          <w:tcPr>
            <w:tcW w:w="516" w:type="pct"/>
            <w:tcBorders>
              <w:top w:val="nil"/>
              <w:left w:val="nil"/>
              <w:bottom w:val="single" w:sz="4" w:space="0" w:color="auto"/>
              <w:right w:val="single" w:sz="4" w:space="0" w:color="auto"/>
            </w:tcBorders>
            <w:shd w:val="clear" w:color="auto" w:fill="auto"/>
            <w:noWrap/>
            <w:vAlign w:val="center"/>
          </w:tcPr>
          <w:p w14:paraId="34226473"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6,200/ 6,380</w:t>
            </w:r>
          </w:p>
        </w:tc>
        <w:tc>
          <w:tcPr>
            <w:tcW w:w="469" w:type="pct"/>
            <w:tcBorders>
              <w:top w:val="nil"/>
              <w:left w:val="nil"/>
              <w:bottom w:val="single" w:sz="4" w:space="0" w:color="auto"/>
              <w:right w:val="single" w:sz="4" w:space="0" w:color="auto"/>
            </w:tcBorders>
            <w:shd w:val="clear" w:color="auto" w:fill="auto"/>
            <w:noWrap/>
            <w:vAlign w:val="center"/>
          </w:tcPr>
          <w:p w14:paraId="26745C95"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6,100/ 6,471</w:t>
            </w:r>
          </w:p>
        </w:tc>
        <w:tc>
          <w:tcPr>
            <w:tcW w:w="457" w:type="pct"/>
            <w:tcBorders>
              <w:top w:val="nil"/>
              <w:left w:val="nil"/>
              <w:bottom w:val="single" w:sz="4" w:space="0" w:color="auto"/>
              <w:right w:val="single" w:sz="4" w:space="0" w:color="auto"/>
            </w:tcBorders>
            <w:shd w:val="clear" w:color="auto" w:fill="auto"/>
            <w:vAlign w:val="center"/>
          </w:tcPr>
          <w:p w14:paraId="59107A92"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5,600/ 6,084</w:t>
            </w:r>
          </w:p>
        </w:tc>
      </w:tr>
      <w:tr w:rsidR="00090437" w:rsidRPr="00090437" w14:paraId="707A2442" w14:textId="77777777" w:rsidTr="00090437">
        <w:trPr>
          <w:trHeight w:val="60"/>
        </w:trPr>
        <w:tc>
          <w:tcPr>
            <w:tcW w:w="643" w:type="pct"/>
            <w:tcBorders>
              <w:top w:val="single" w:sz="4" w:space="0" w:color="auto"/>
              <w:left w:val="single" w:sz="8" w:space="0" w:color="auto"/>
              <w:bottom w:val="single" w:sz="4" w:space="0" w:color="auto"/>
              <w:right w:val="nil"/>
            </w:tcBorders>
            <w:shd w:val="clear" w:color="auto" w:fill="auto"/>
            <w:vAlign w:val="center"/>
            <w:hideMark/>
          </w:tcPr>
          <w:p w14:paraId="40523868"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Все категории клиентов</w:t>
            </w:r>
          </w:p>
        </w:tc>
        <w:tc>
          <w:tcPr>
            <w:tcW w:w="553" w:type="pct"/>
            <w:vMerge/>
            <w:tcBorders>
              <w:left w:val="single" w:sz="8" w:space="0" w:color="auto"/>
              <w:bottom w:val="single" w:sz="4" w:space="0" w:color="auto"/>
              <w:right w:val="single" w:sz="4" w:space="0" w:color="auto"/>
            </w:tcBorders>
            <w:vAlign w:val="center"/>
            <w:hideMark/>
          </w:tcPr>
          <w:p w14:paraId="2D4AB87C" w14:textId="77777777" w:rsidR="00090437" w:rsidRPr="00090437" w:rsidRDefault="00090437" w:rsidP="00090437">
            <w:pPr>
              <w:rPr>
                <w:rFonts w:ascii="Tahoma" w:hAnsi="Tahoma" w:cs="Tahoma"/>
                <w:bCs/>
                <w:iCs/>
                <w:sz w:val="20"/>
                <w:szCs w:val="20"/>
              </w:rPr>
            </w:pPr>
          </w:p>
        </w:tc>
        <w:tc>
          <w:tcPr>
            <w:tcW w:w="693" w:type="pct"/>
            <w:tcBorders>
              <w:top w:val="single" w:sz="8" w:space="0" w:color="auto"/>
              <w:left w:val="nil"/>
              <w:bottom w:val="single" w:sz="4" w:space="0" w:color="auto"/>
              <w:right w:val="single" w:sz="4" w:space="0" w:color="auto"/>
            </w:tcBorders>
            <w:shd w:val="clear" w:color="auto" w:fill="auto"/>
            <w:noWrap/>
            <w:vAlign w:val="center"/>
            <w:hideMark/>
          </w:tcPr>
          <w:p w14:paraId="26944A8F"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рубли</w:t>
            </w:r>
          </w:p>
        </w:tc>
        <w:tc>
          <w:tcPr>
            <w:tcW w:w="647" w:type="pct"/>
            <w:tcBorders>
              <w:top w:val="nil"/>
              <w:left w:val="nil"/>
              <w:bottom w:val="single" w:sz="4" w:space="0" w:color="auto"/>
              <w:right w:val="single" w:sz="4" w:space="0" w:color="auto"/>
            </w:tcBorders>
            <w:shd w:val="clear" w:color="auto" w:fill="auto"/>
            <w:noWrap/>
            <w:vAlign w:val="center"/>
            <w:hideMark/>
          </w:tcPr>
          <w:p w14:paraId="21FD1DCD"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1 500 000</w:t>
            </w:r>
          </w:p>
        </w:tc>
        <w:tc>
          <w:tcPr>
            <w:tcW w:w="507" w:type="pct"/>
            <w:tcBorders>
              <w:top w:val="nil"/>
              <w:left w:val="nil"/>
              <w:bottom w:val="single" w:sz="4" w:space="0" w:color="auto"/>
              <w:right w:val="single" w:sz="4" w:space="0" w:color="auto"/>
            </w:tcBorders>
            <w:shd w:val="clear" w:color="auto" w:fill="auto"/>
            <w:noWrap/>
            <w:vAlign w:val="center"/>
          </w:tcPr>
          <w:p w14:paraId="066D10C0"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5,200/ 5,223</w:t>
            </w:r>
          </w:p>
        </w:tc>
        <w:tc>
          <w:tcPr>
            <w:tcW w:w="515" w:type="pct"/>
            <w:tcBorders>
              <w:top w:val="nil"/>
              <w:left w:val="nil"/>
              <w:bottom w:val="single" w:sz="4" w:space="0" w:color="auto"/>
              <w:right w:val="single" w:sz="4" w:space="0" w:color="auto"/>
            </w:tcBorders>
            <w:shd w:val="clear" w:color="auto" w:fill="auto"/>
            <w:vAlign w:val="center"/>
          </w:tcPr>
          <w:p w14:paraId="21284FF9"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5,800/ 5,870</w:t>
            </w:r>
          </w:p>
        </w:tc>
        <w:tc>
          <w:tcPr>
            <w:tcW w:w="516" w:type="pct"/>
            <w:tcBorders>
              <w:top w:val="nil"/>
              <w:left w:val="nil"/>
              <w:bottom w:val="single" w:sz="4" w:space="0" w:color="auto"/>
              <w:right w:val="single" w:sz="4" w:space="0" w:color="auto"/>
            </w:tcBorders>
            <w:shd w:val="clear" w:color="auto" w:fill="auto"/>
            <w:noWrap/>
            <w:vAlign w:val="center"/>
          </w:tcPr>
          <w:p w14:paraId="2290BC1B"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6,200/ 6,380</w:t>
            </w:r>
          </w:p>
        </w:tc>
        <w:tc>
          <w:tcPr>
            <w:tcW w:w="469" w:type="pct"/>
            <w:tcBorders>
              <w:top w:val="nil"/>
              <w:left w:val="nil"/>
              <w:bottom w:val="single" w:sz="4" w:space="0" w:color="auto"/>
              <w:right w:val="single" w:sz="4" w:space="0" w:color="auto"/>
            </w:tcBorders>
            <w:shd w:val="clear" w:color="auto" w:fill="auto"/>
            <w:noWrap/>
            <w:vAlign w:val="center"/>
          </w:tcPr>
          <w:p w14:paraId="258D1793"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6,100/ 6,471</w:t>
            </w:r>
          </w:p>
        </w:tc>
        <w:tc>
          <w:tcPr>
            <w:tcW w:w="457" w:type="pct"/>
            <w:tcBorders>
              <w:top w:val="nil"/>
              <w:left w:val="nil"/>
              <w:bottom w:val="single" w:sz="4" w:space="0" w:color="auto"/>
              <w:right w:val="single" w:sz="4" w:space="0" w:color="auto"/>
            </w:tcBorders>
            <w:shd w:val="clear" w:color="auto" w:fill="auto"/>
            <w:vAlign w:val="center"/>
          </w:tcPr>
          <w:p w14:paraId="30CE2BFC"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5,600/ 6,084</w:t>
            </w:r>
          </w:p>
        </w:tc>
      </w:tr>
    </w:tbl>
    <w:p w14:paraId="18CDDD48" w14:textId="77777777" w:rsidR="00090437" w:rsidRPr="00090437" w:rsidRDefault="00090437" w:rsidP="00090437">
      <w:pPr>
        <w:tabs>
          <w:tab w:val="left" w:pos="284"/>
          <w:tab w:val="left" w:pos="567"/>
        </w:tabs>
        <w:jc w:val="both"/>
        <w:rPr>
          <w:rFonts w:ascii="Tahoma" w:hAnsi="Tahoma" w:cs="Tahoma"/>
          <w:bCs/>
          <w:sz w:val="22"/>
        </w:rPr>
      </w:pPr>
    </w:p>
    <w:p w14:paraId="2CAEDCD0" w14:textId="77777777" w:rsidR="00090437" w:rsidRPr="00090437" w:rsidRDefault="00090437" w:rsidP="00090437">
      <w:pPr>
        <w:tabs>
          <w:tab w:val="left" w:pos="851"/>
        </w:tabs>
        <w:ind w:firstLine="426"/>
        <w:jc w:val="both"/>
        <w:rPr>
          <w:rFonts w:ascii="Tahoma" w:hAnsi="Tahoma" w:cs="Tahoma"/>
          <w:color w:val="000000" w:themeColor="text1"/>
          <w:sz w:val="16"/>
          <w:szCs w:val="16"/>
          <w:shd w:val="clear" w:color="auto" w:fill="FFFFFF"/>
        </w:rPr>
      </w:pPr>
      <w:r w:rsidRPr="00090437">
        <w:rPr>
          <w:rFonts w:ascii="Tahoma" w:hAnsi="Tahoma" w:cs="Tahoma"/>
          <w:color w:val="000000" w:themeColor="text1"/>
          <w:sz w:val="16"/>
          <w:szCs w:val="16"/>
        </w:rPr>
        <w:t xml:space="preserve">*Пенсионер - </w:t>
      </w:r>
      <w:r w:rsidRPr="00090437">
        <w:rPr>
          <w:rFonts w:ascii="Tahoma" w:hAnsi="Tahoma" w:cs="Tahoma"/>
          <w:color w:val="000000" w:themeColor="text1"/>
          <w:sz w:val="16"/>
          <w:szCs w:val="16"/>
          <w:shd w:val="clear" w:color="auto" w:fill="FFFFFF"/>
        </w:rPr>
        <w:t>физическое лицо, открывающее вклад при предъявлении пенсионного удостоверения или иного документа, подтверждающего в соответствии с законодательством РФ право на получение пенсии.</w:t>
      </w:r>
    </w:p>
    <w:p w14:paraId="4B59E03E" w14:textId="77777777" w:rsidR="00090437" w:rsidRPr="00090437" w:rsidRDefault="00090437" w:rsidP="00090437">
      <w:pPr>
        <w:tabs>
          <w:tab w:val="left" w:pos="851"/>
        </w:tabs>
        <w:ind w:firstLine="426"/>
        <w:jc w:val="both"/>
        <w:rPr>
          <w:rFonts w:ascii="Tahoma" w:hAnsi="Tahoma" w:cs="Tahoma"/>
          <w:color w:val="000000" w:themeColor="text1"/>
          <w:sz w:val="16"/>
          <w:szCs w:val="16"/>
          <w:shd w:val="clear" w:color="auto" w:fill="FFFFFF"/>
        </w:rPr>
      </w:pPr>
      <w:r w:rsidRPr="00090437">
        <w:rPr>
          <w:rFonts w:ascii="Tahoma" w:hAnsi="Tahoma" w:cs="Tahoma"/>
          <w:color w:val="000000" w:themeColor="text1"/>
          <w:sz w:val="16"/>
          <w:szCs w:val="16"/>
        </w:rPr>
        <w:t xml:space="preserve">** </w:t>
      </w:r>
      <w:r w:rsidRPr="00090437">
        <w:rPr>
          <w:rFonts w:ascii="Tahoma" w:hAnsi="Tahoma" w:cs="Tahoma"/>
          <w:color w:val="000000" w:themeColor="text1"/>
          <w:sz w:val="18"/>
          <w:szCs w:val="18"/>
        </w:rPr>
        <w:t>Соответствует значению минимальной гарантированной ставки (годовых) с учетом округления, определяющему минимальный доход, выплачиваемый вкладчику на сумму вклада при условии хранения суммы вклада до конца срока вклада без учета каких-либо других условий. Порядок расчета минимальной гарантированной ставки по вкладу определяется Банком России.</w:t>
      </w:r>
    </w:p>
    <w:p w14:paraId="51FC8BB4" w14:textId="77777777" w:rsidR="00090437" w:rsidRPr="00090437" w:rsidRDefault="00090437" w:rsidP="00090437">
      <w:pPr>
        <w:tabs>
          <w:tab w:val="left" w:pos="851"/>
        </w:tabs>
        <w:ind w:firstLine="426"/>
        <w:jc w:val="both"/>
        <w:rPr>
          <w:rFonts w:ascii="Tahoma" w:hAnsi="Tahoma" w:cs="Tahoma"/>
          <w:b/>
          <w:color w:val="000000" w:themeColor="text1"/>
          <w:sz w:val="16"/>
          <w:szCs w:val="16"/>
          <w:shd w:val="clear" w:color="auto" w:fill="FFFFFF"/>
        </w:rPr>
      </w:pPr>
    </w:p>
    <w:p w14:paraId="608868C8" w14:textId="266D1D87" w:rsidR="00090437" w:rsidRPr="00090437" w:rsidRDefault="002B7E85" w:rsidP="000B3718">
      <w:pPr>
        <w:pStyle w:val="a5"/>
      </w:pPr>
      <w:r>
        <w:t>3.3</w:t>
      </w:r>
      <w:r w:rsidR="00955573">
        <w:t>9</w:t>
      </w:r>
      <w:r w:rsidR="00090437" w:rsidRPr="00090437">
        <w:t>.</w:t>
      </w:r>
      <w:r w:rsidR="00090437" w:rsidRPr="00090437">
        <w:tab/>
        <w:t>Вклад «Сохрани Онлайн» (условия для пролонгируемых вкладов)</w:t>
      </w:r>
    </w:p>
    <w:p w14:paraId="6C28AC2D" w14:textId="77777777" w:rsidR="00090437" w:rsidRPr="00090437" w:rsidRDefault="00090437" w:rsidP="00DE6159">
      <w:pPr>
        <w:tabs>
          <w:tab w:val="left" w:pos="284"/>
        </w:tabs>
        <w:ind w:firstLine="426"/>
        <w:jc w:val="both"/>
        <w:rPr>
          <w:rFonts w:ascii="Tahoma" w:hAnsi="Tahoma" w:cs="Tahoma"/>
          <w:b/>
          <w:bCs/>
          <w:iCs/>
          <w:sz w:val="22"/>
          <w:szCs w:val="22"/>
        </w:rPr>
      </w:pPr>
      <w:r w:rsidRPr="00090437">
        <w:rPr>
          <w:rFonts w:ascii="Tahoma" w:hAnsi="Tahoma" w:cs="Tahoma"/>
          <w:color w:val="000000"/>
          <w:sz w:val="22"/>
          <w:szCs w:val="22"/>
          <w:lang w:eastAsia="en-US"/>
        </w:rPr>
        <w:t>Условия:</w:t>
      </w:r>
    </w:p>
    <w:p w14:paraId="6F622D49" w14:textId="77777777" w:rsidR="00090437" w:rsidRPr="00090437" w:rsidRDefault="00090437" w:rsidP="00090437">
      <w:pPr>
        <w:numPr>
          <w:ilvl w:val="0"/>
          <w:numId w:val="11"/>
        </w:numPr>
        <w:autoSpaceDN w:val="0"/>
        <w:contextualSpacing/>
        <w:jc w:val="both"/>
        <w:rPr>
          <w:rFonts w:ascii="Tahoma" w:hAnsi="Tahoma" w:cs="Tahoma"/>
          <w:sz w:val="22"/>
          <w:szCs w:val="22"/>
        </w:rPr>
      </w:pPr>
      <w:r w:rsidRPr="00090437">
        <w:rPr>
          <w:rFonts w:ascii="Tahoma" w:hAnsi="Tahoma" w:cs="Tahoma"/>
          <w:sz w:val="22"/>
          <w:szCs w:val="22"/>
        </w:rPr>
        <w:t>Валюта - рубли;</w:t>
      </w:r>
    </w:p>
    <w:p w14:paraId="24703BF0" w14:textId="77777777" w:rsidR="00090437" w:rsidRPr="00090437" w:rsidRDefault="00090437" w:rsidP="00090437">
      <w:pPr>
        <w:numPr>
          <w:ilvl w:val="0"/>
          <w:numId w:val="11"/>
        </w:numPr>
        <w:autoSpaceDN w:val="0"/>
        <w:contextualSpacing/>
        <w:jc w:val="both"/>
        <w:rPr>
          <w:rFonts w:ascii="Tahoma" w:hAnsi="Tahoma" w:cs="Tahoma"/>
          <w:sz w:val="22"/>
          <w:szCs w:val="22"/>
        </w:rPr>
      </w:pPr>
      <w:r w:rsidRPr="00090437">
        <w:rPr>
          <w:rFonts w:ascii="Tahoma" w:hAnsi="Tahoma" w:cs="Tahoma"/>
          <w:sz w:val="22"/>
          <w:szCs w:val="22"/>
        </w:rPr>
        <w:t>Минимальная сумма Вклада 5 000 рублей;</w:t>
      </w:r>
    </w:p>
    <w:p w14:paraId="00B827C1" w14:textId="77777777" w:rsidR="00090437" w:rsidRPr="00090437" w:rsidRDefault="00090437" w:rsidP="00090437">
      <w:pPr>
        <w:numPr>
          <w:ilvl w:val="0"/>
          <w:numId w:val="11"/>
        </w:numPr>
        <w:autoSpaceDN w:val="0"/>
        <w:contextualSpacing/>
        <w:jc w:val="both"/>
        <w:rPr>
          <w:rFonts w:ascii="Tahoma" w:hAnsi="Tahoma" w:cs="Tahoma"/>
          <w:sz w:val="22"/>
          <w:szCs w:val="22"/>
        </w:rPr>
      </w:pPr>
      <w:r w:rsidRPr="00090437">
        <w:rPr>
          <w:rFonts w:ascii="Tahoma" w:hAnsi="Tahoma" w:cs="Tahoma"/>
          <w:sz w:val="22"/>
          <w:szCs w:val="22"/>
        </w:rPr>
        <w:t>Максимальная сумма Вклада – не ограничена;</w:t>
      </w:r>
    </w:p>
    <w:p w14:paraId="33D9C81E" w14:textId="77777777" w:rsidR="00090437" w:rsidRPr="00090437" w:rsidRDefault="00090437" w:rsidP="00090437">
      <w:pPr>
        <w:numPr>
          <w:ilvl w:val="0"/>
          <w:numId w:val="11"/>
        </w:numPr>
        <w:autoSpaceDN w:val="0"/>
        <w:contextualSpacing/>
        <w:jc w:val="both"/>
        <w:rPr>
          <w:rFonts w:ascii="Tahoma" w:hAnsi="Tahoma" w:cs="Tahoma"/>
          <w:sz w:val="22"/>
          <w:szCs w:val="22"/>
        </w:rPr>
      </w:pPr>
      <w:r w:rsidRPr="00090437">
        <w:rPr>
          <w:rFonts w:ascii="Tahoma" w:hAnsi="Tahoma" w:cs="Tahoma"/>
          <w:sz w:val="22"/>
          <w:szCs w:val="22"/>
        </w:rPr>
        <w:t>Срок Вклада – 92 дня/ 182 дня/ 367 дней/ 731 день/ 1098 дней;</w:t>
      </w:r>
    </w:p>
    <w:p w14:paraId="44DEF8CC" w14:textId="77777777" w:rsidR="00090437" w:rsidRPr="00090437" w:rsidRDefault="00090437" w:rsidP="00090437">
      <w:pPr>
        <w:numPr>
          <w:ilvl w:val="0"/>
          <w:numId w:val="11"/>
        </w:numPr>
        <w:autoSpaceDN w:val="0"/>
        <w:contextualSpacing/>
        <w:jc w:val="both"/>
        <w:rPr>
          <w:rFonts w:ascii="Tahoma" w:hAnsi="Tahoma" w:cs="Tahoma"/>
          <w:color w:val="000000" w:themeColor="text1"/>
          <w:sz w:val="22"/>
          <w:szCs w:val="22"/>
        </w:rPr>
      </w:pPr>
      <w:r w:rsidRPr="00090437">
        <w:rPr>
          <w:rFonts w:ascii="Tahoma" w:hAnsi="Tahoma" w:cs="Tahoma"/>
          <w:color w:val="000000" w:themeColor="text1"/>
          <w:sz w:val="22"/>
          <w:szCs w:val="22"/>
        </w:rPr>
        <w:t>Вклад не пополняемый;</w:t>
      </w:r>
    </w:p>
    <w:p w14:paraId="38FB7D8B" w14:textId="77777777" w:rsidR="00090437" w:rsidRPr="00090437" w:rsidRDefault="00090437" w:rsidP="00090437">
      <w:pPr>
        <w:numPr>
          <w:ilvl w:val="0"/>
          <w:numId w:val="11"/>
        </w:numPr>
        <w:autoSpaceDN w:val="0"/>
        <w:contextualSpacing/>
        <w:jc w:val="both"/>
        <w:rPr>
          <w:rFonts w:ascii="Tahoma" w:hAnsi="Tahoma" w:cs="Tahoma"/>
          <w:color w:val="000000" w:themeColor="text1"/>
          <w:sz w:val="22"/>
          <w:szCs w:val="22"/>
        </w:rPr>
      </w:pPr>
      <w:r w:rsidRPr="00090437">
        <w:rPr>
          <w:rFonts w:ascii="Tahoma" w:hAnsi="Tahoma" w:cs="Tahoma"/>
          <w:color w:val="000000" w:themeColor="text1"/>
          <w:sz w:val="22"/>
          <w:szCs w:val="22"/>
        </w:rPr>
        <w:t>Продление (автоматическое перезаключение) Договора без оформления дополнительных соглашений – без ограничений;</w:t>
      </w:r>
    </w:p>
    <w:p w14:paraId="230C0DF9" w14:textId="77777777" w:rsidR="00090437" w:rsidRPr="00090437" w:rsidRDefault="00090437" w:rsidP="00090437">
      <w:pPr>
        <w:numPr>
          <w:ilvl w:val="0"/>
          <w:numId w:val="11"/>
        </w:numPr>
        <w:autoSpaceDN w:val="0"/>
        <w:contextualSpacing/>
        <w:jc w:val="both"/>
        <w:rPr>
          <w:rFonts w:ascii="Tahoma" w:hAnsi="Tahoma" w:cs="Tahoma"/>
          <w:sz w:val="22"/>
          <w:szCs w:val="22"/>
        </w:rPr>
      </w:pPr>
      <w:r w:rsidRPr="00090437">
        <w:rPr>
          <w:rFonts w:ascii="Tahoma" w:hAnsi="Tahoma" w:cs="Tahoma"/>
          <w:sz w:val="22"/>
          <w:szCs w:val="22"/>
        </w:rPr>
        <w:t>Выплата процентов и суммы Вклада – в конце срока на счет банковской карты;</w:t>
      </w:r>
    </w:p>
    <w:p w14:paraId="2080C015" w14:textId="77777777" w:rsidR="00090437" w:rsidRPr="00090437" w:rsidRDefault="00090437" w:rsidP="00090437">
      <w:pPr>
        <w:numPr>
          <w:ilvl w:val="0"/>
          <w:numId w:val="11"/>
        </w:numPr>
        <w:autoSpaceDN w:val="0"/>
        <w:contextualSpacing/>
        <w:jc w:val="both"/>
        <w:rPr>
          <w:rFonts w:ascii="Tahoma" w:hAnsi="Tahoma" w:cs="Tahoma"/>
          <w:sz w:val="22"/>
          <w:szCs w:val="22"/>
        </w:rPr>
      </w:pPr>
      <w:r w:rsidRPr="00090437">
        <w:rPr>
          <w:rFonts w:ascii="Tahoma" w:hAnsi="Tahoma" w:cs="Tahoma"/>
          <w:sz w:val="22"/>
          <w:szCs w:val="22"/>
        </w:rPr>
        <w:t>Частичное снятие – не предусмотрено;</w:t>
      </w:r>
    </w:p>
    <w:p w14:paraId="0655A911" w14:textId="77777777" w:rsidR="00090437" w:rsidRPr="00090437" w:rsidRDefault="00090437" w:rsidP="00090437">
      <w:pPr>
        <w:numPr>
          <w:ilvl w:val="0"/>
          <w:numId w:val="11"/>
        </w:numPr>
        <w:autoSpaceDN w:val="0"/>
        <w:contextualSpacing/>
        <w:jc w:val="both"/>
        <w:rPr>
          <w:rFonts w:ascii="Tahoma" w:hAnsi="Tahoma" w:cs="Tahoma"/>
          <w:sz w:val="22"/>
          <w:szCs w:val="22"/>
        </w:rPr>
      </w:pPr>
      <w:r w:rsidRPr="00090437">
        <w:rPr>
          <w:rFonts w:ascii="Tahoma" w:hAnsi="Tahoma" w:cs="Tahoma"/>
          <w:sz w:val="22"/>
          <w:szCs w:val="22"/>
        </w:rPr>
        <w:t>Досрочный отзыв:</w:t>
      </w:r>
    </w:p>
    <w:p w14:paraId="1F43B6F0" w14:textId="77777777" w:rsidR="00090437" w:rsidRPr="00090437" w:rsidRDefault="00090437" w:rsidP="00090437">
      <w:pPr>
        <w:ind w:left="993" w:hanging="284"/>
        <w:jc w:val="both"/>
        <w:rPr>
          <w:rFonts w:ascii="Tahoma" w:hAnsi="Tahoma" w:cs="Tahoma"/>
          <w:sz w:val="22"/>
          <w:szCs w:val="22"/>
        </w:rPr>
      </w:pPr>
      <w:r w:rsidRPr="00090437">
        <w:rPr>
          <w:rFonts w:ascii="Tahoma" w:hAnsi="Tahoma" w:cs="Tahoma"/>
          <w:sz w:val="22"/>
          <w:szCs w:val="22"/>
        </w:rPr>
        <w:t>- При расторжении в период до истечения 70% срока хранения Вклада - по ставке вклада «Личный счет» (до востребования) действующей в Банке на день досрочного расторжения Договора;</w:t>
      </w:r>
    </w:p>
    <w:p w14:paraId="03CDCCCA" w14:textId="77777777" w:rsidR="00090437" w:rsidRPr="00090437" w:rsidRDefault="00090437" w:rsidP="00090437">
      <w:pPr>
        <w:ind w:left="993" w:hanging="284"/>
        <w:jc w:val="both"/>
        <w:rPr>
          <w:rFonts w:ascii="Tahoma" w:hAnsi="Tahoma" w:cs="Tahoma"/>
          <w:sz w:val="22"/>
          <w:szCs w:val="22"/>
        </w:rPr>
      </w:pPr>
      <w:r w:rsidRPr="00090437">
        <w:rPr>
          <w:rFonts w:ascii="Tahoma" w:hAnsi="Tahoma" w:cs="Tahoma"/>
          <w:sz w:val="22"/>
          <w:szCs w:val="22"/>
        </w:rPr>
        <w:t>- При расторжении в период по истечении не менее 70% срока хранения Вклада - из расчета 1/2 процентной ставки по данному виду Вклада действующей в Банке на день досрочного расторжения Договора.</w:t>
      </w:r>
    </w:p>
    <w:p w14:paraId="09360C52" w14:textId="77777777" w:rsidR="00090437" w:rsidRPr="00090437" w:rsidRDefault="00090437" w:rsidP="00090437">
      <w:pPr>
        <w:tabs>
          <w:tab w:val="left" w:pos="284"/>
        </w:tabs>
        <w:jc w:val="both"/>
        <w:rPr>
          <w:rFonts w:ascii="Tahoma" w:hAnsi="Tahoma" w:cs="Tahoma"/>
          <w:b/>
          <w:bCs/>
          <w:iCs/>
          <w:color w:val="E36C0A"/>
          <w:sz w:val="22"/>
          <w:szCs w:val="22"/>
        </w:rPr>
      </w:pPr>
    </w:p>
    <w:tbl>
      <w:tblPr>
        <w:tblW w:w="5000" w:type="pct"/>
        <w:tblLayout w:type="fixed"/>
        <w:tblLook w:val="04A0" w:firstRow="1" w:lastRow="0" w:firstColumn="1" w:lastColumn="0" w:noHBand="0" w:noVBand="1"/>
      </w:tblPr>
      <w:tblGrid>
        <w:gridCol w:w="2127"/>
        <w:gridCol w:w="2374"/>
        <w:gridCol w:w="1775"/>
        <w:gridCol w:w="1936"/>
        <w:gridCol w:w="1273"/>
        <w:gridCol w:w="1370"/>
        <w:gridCol w:w="1373"/>
        <w:gridCol w:w="1376"/>
        <w:gridCol w:w="1518"/>
      </w:tblGrid>
      <w:tr w:rsidR="00090437" w:rsidRPr="00090437" w14:paraId="5603733B" w14:textId="77777777" w:rsidTr="00090437">
        <w:trPr>
          <w:trHeight w:val="319"/>
        </w:trPr>
        <w:tc>
          <w:tcPr>
            <w:tcW w:w="703" w:type="pct"/>
            <w:vMerge w:val="restart"/>
            <w:tcBorders>
              <w:top w:val="single" w:sz="8" w:space="0" w:color="auto"/>
              <w:left w:val="single" w:sz="8" w:space="0" w:color="auto"/>
              <w:bottom w:val="single" w:sz="8" w:space="0" w:color="000000"/>
              <w:right w:val="nil"/>
            </w:tcBorders>
            <w:shd w:val="clear" w:color="auto" w:fill="auto"/>
            <w:vAlign w:val="center"/>
            <w:hideMark/>
          </w:tcPr>
          <w:p w14:paraId="79835C55"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Ориентировочный сегмент</w:t>
            </w:r>
          </w:p>
        </w:tc>
        <w:tc>
          <w:tcPr>
            <w:tcW w:w="785" w:type="pct"/>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3F7A3213"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Продукт</w:t>
            </w:r>
          </w:p>
        </w:tc>
        <w:tc>
          <w:tcPr>
            <w:tcW w:w="1227" w:type="pct"/>
            <w:gridSpan w:val="2"/>
            <w:tcBorders>
              <w:top w:val="single" w:sz="8" w:space="0" w:color="auto"/>
              <w:left w:val="nil"/>
              <w:bottom w:val="single" w:sz="4" w:space="0" w:color="auto"/>
              <w:right w:val="single" w:sz="4" w:space="0" w:color="auto"/>
            </w:tcBorders>
            <w:shd w:val="clear" w:color="auto" w:fill="auto"/>
            <w:noWrap/>
            <w:vAlign w:val="center"/>
            <w:hideMark/>
          </w:tcPr>
          <w:p w14:paraId="4DDFCCDB"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Базовые параметры вклада</w:t>
            </w:r>
          </w:p>
        </w:tc>
        <w:tc>
          <w:tcPr>
            <w:tcW w:w="2285" w:type="pct"/>
            <w:gridSpan w:val="5"/>
            <w:tcBorders>
              <w:top w:val="single" w:sz="8" w:space="0" w:color="auto"/>
              <w:left w:val="nil"/>
              <w:bottom w:val="single" w:sz="4" w:space="0" w:color="auto"/>
              <w:right w:val="single" w:sz="4" w:space="0" w:color="auto"/>
            </w:tcBorders>
            <w:shd w:val="clear" w:color="auto" w:fill="auto"/>
            <w:noWrap/>
            <w:vAlign w:val="center"/>
            <w:hideMark/>
          </w:tcPr>
          <w:p w14:paraId="1DC2D21D" w14:textId="77777777" w:rsidR="00090437" w:rsidRPr="00090437" w:rsidRDefault="00090437" w:rsidP="00090437">
            <w:pPr>
              <w:jc w:val="center"/>
              <w:rPr>
                <w:rFonts w:ascii="Tahoma" w:hAnsi="Tahoma" w:cs="Tahoma"/>
                <w:bCs/>
                <w:iCs/>
                <w:sz w:val="20"/>
                <w:szCs w:val="20"/>
              </w:rPr>
            </w:pPr>
            <w:r w:rsidRPr="00090437">
              <w:rPr>
                <w:rFonts w:ascii="Tahoma" w:hAnsi="Tahoma" w:cs="Tahoma"/>
                <w:b/>
                <w:color w:val="000000" w:themeColor="text1"/>
                <w:sz w:val="20"/>
                <w:szCs w:val="20"/>
              </w:rPr>
              <w:t xml:space="preserve">Процентные ставки* (% годовых) в </w:t>
            </w:r>
            <w:r w:rsidRPr="00090437">
              <w:rPr>
                <w:rFonts w:ascii="Tahoma" w:hAnsi="Tahoma" w:cs="Tahoma"/>
                <w:b/>
                <w:sz w:val="20"/>
                <w:szCs w:val="20"/>
              </w:rPr>
              <w:t>зависимости от срока договора вклада</w:t>
            </w:r>
          </w:p>
        </w:tc>
      </w:tr>
      <w:tr w:rsidR="00090437" w:rsidRPr="00090437" w14:paraId="40F453AA" w14:textId="77777777" w:rsidTr="00090437">
        <w:trPr>
          <w:trHeight w:val="319"/>
        </w:trPr>
        <w:tc>
          <w:tcPr>
            <w:tcW w:w="703" w:type="pct"/>
            <w:vMerge/>
            <w:tcBorders>
              <w:top w:val="single" w:sz="8" w:space="0" w:color="auto"/>
              <w:left w:val="single" w:sz="8" w:space="0" w:color="auto"/>
              <w:bottom w:val="single" w:sz="8" w:space="0" w:color="000000"/>
              <w:right w:val="nil"/>
            </w:tcBorders>
            <w:vAlign w:val="center"/>
            <w:hideMark/>
          </w:tcPr>
          <w:p w14:paraId="5D689053" w14:textId="77777777" w:rsidR="00090437" w:rsidRPr="00090437" w:rsidRDefault="00090437" w:rsidP="00090437">
            <w:pPr>
              <w:rPr>
                <w:rFonts w:ascii="Tahoma" w:hAnsi="Tahoma" w:cs="Tahoma"/>
                <w:bCs/>
                <w:iCs/>
                <w:sz w:val="20"/>
                <w:szCs w:val="20"/>
              </w:rPr>
            </w:pPr>
          </w:p>
        </w:tc>
        <w:tc>
          <w:tcPr>
            <w:tcW w:w="785" w:type="pct"/>
            <w:vMerge/>
            <w:tcBorders>
              <w:top w:val="single" w:sz="8" w:space="0" w:color="auto"/>
              <w:left w:val="single" w:sz="8" w:space="0" w:color="auto"/>
              <w:bottom w:val="single" w:sz="8" w:space="0" w:color="000000"/>
              <w:right w:val="single" w:sz="4" w:space="0" w:color="auto"/>
            </w:tcBorders>
            <w:vAlign w:val="center"/>
            <w:hideMark/>
          </w:tcPr>
          <w:p w14:paraId="0F759D97" w14:textId="77777777" w:rsidR="00090437" w:rsidRPr="00090437" w:rsidRDefault="00090437" w:rsidP="00090437">
            <w:pPr>
              <w:rPr>
                <w:rFonts w:ascii="Tahoma" w:hAnsi="Tahoma" w:cs="Tahoma"/>
                <w:bCs/>
                <w:iCs/>
                <w:sz w:val="20"/>
                <w:szCs w:val="20"/>
              </w:rPr>
            </w:pPr>
          </w:p>
        </w:tc>
        <w:tc>
          <w:tcPr>
            <w:tcW w:w="587" w:type="pct"/>
            <w:tcBorders>
              <w:top w:val="nil"/>
              <w:left w:val="nil"/>
              <w:bottom w:val="single" w:sz="8" w:space="0" w:color="auto"/>
              <w:right w:val="single" w:sz="4" w:space="0" w:color="auto"/>
            </w:tcBorders>
            <w:shd w:val="clear" w:color="auto" w:fill="auto"/>
            <w:noWrap/>
            <w:vAlign w:val="center"/>
            <w:hideMark/>
          </w:tcPr>
          <w:p w14:paraId="2E2B70BD"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Валюта вклада</w:t>
            </w:r>
          </w:p>
        </w:tc>
        <w:tc>
          <w:tcPr>
            <w:tcW w:w="640" w:type="pct"/>
            <w:tcBorders>
              <w:top w:val="nil"/>
              <w:left w:val="nil"/>
              <w:bottom w:val="single" w:sz="8" w:space="0" w:color="auto"/>
              <w:right w:val="single" w:sz="4" w:space="0" w:color="auto"/>
            </w:tcBorders>
            <w:shd w:val="clear" w:color="auto" w:fill="auto"/>
            <w:noWrap/>
            <w:vAlign w:val="center"/>
            <w:hideMark/>
          </w:tcPr>
          <w:p w14:paraId="5390D60E"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 xml:space="preserve">Минимальная сумма вклада </w:t>
            </w:r>
          </w:p>
        </w:tc>
        <w:tc>
          <w:tcPr>
            <w:tcW w:w="421" w:type="pct"/>
            <w:tcBorders>
              <w:top w:val="nil"/>
              <w:left w:val="nil"/>
              <w:bottom w:val="single" w:sz="8" w:space="0" w:color="auto"/>
              <w:right w:val="single" w:sz="4" w:space="0" w:color="auto"/>
            </w:tcBorders>
            <w:shd w:val="clear" w:color="auto" w:fill="auto"/>
            <w:noWrap/>
            <w:vAlign w:val="center"/>
            <w:hideMark/>
          </w:tcPr>
          <w:p w14:paraId="7670B74A"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92 дня</w:t>
            </w:r>
          </w:p>
        </w:tc>
        <w:tc>
          <w:tcPr>
            <w:tcW w:w="453" w:type="pct"/>
            <w:tcBorders>
              <w:top w:val="nil"/>
              <w:left w:val="nil"/>
              <w:bottom w:val="single" w:sz="8" w:space="0" w:color="auto"/>
              <w:right w:val="single" w:sz="4" w:space="0" w:color="auto"/>
            </w:tcBorders>
            <w:shd w:val="clear" w:color="auto" w:fill="auto"/>
            <w:vAlign w:val="center"/>
          </w:tcPr>
          <w:p w14:paraId="5D349AC6"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182 дня</w:t>
            </w:r>
          </w:p>
        </w:tc>
        <w:tc>
          <w:tcPr>
            <w:tcW w:w="454" w:type="pct"/>
            <w:tcBorders>
              <w:top w:val="nil"/>
              <w:left w:val="nil"/>
              <w:bottom w:val="single" w:sz="8" w:space="0" w:color="auto"/>
              <w:right w:val="single" w:sz="4" w:space="0" w:color="auto"/>
            </w:tcBorders>
            <w:shd w:val="clear" w:color="auto" w:fill="auto"/>
            <w:noWrap/>
            <w:vAlign w:val="center"/>
            <w:hideMark/>
          </w:tcPr>
          <w:p w14:paraId="462298BD"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367 дней</w:t>
            </w:r>
          </w:p>
        </w:tc>
        <w:tc>
          <w:tcPr>
            <w:tcW w:w="455" w:type="pct"/>
            <w:tcBorders>
              <w:top w:val="nil"/>
              <w:left w:val="nil"/>
              <w:bottom w:val="single" w:sz="8" w:space="0" w:color="auto"/>
              <w:right w:val="single" w:sz="4" w:space="0" w:color="auto"/>
            </w:tcBorders>
            <w:shd w:val="clear" w:color="auto" w:fill="auto"/>
            <w:noWrap/>
            <w:vAlign w:val="center"/>
            <w:hideMark/>
          </w:tcPr>
          <w:p w14:paraId="384A5956"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731 день</w:t>
            </w:r>
          </w:p>
        </w:tc>
        <w:tc>
          <w:tcPr>
            <w:tcW w:w="502" w:type="pct"/>
            <w:tcBorders>
              <w:top w:val="nil"/>
              <w:left w:val="nil"/>
              <w:bottom w:val="single" w:sz="8" w:space="0" w:color="auto"/>
              <w:right w:val="single" w:sz="4" w:space="0" w:color="auto"/>
            </w:tcBorders>
            <w:shd w:val="clear" w:color="auto" w:fill="auto"/>
            <w:vAlign w:val="center"/>
          </w:tcPr>
          <w:p w14:paraId="17520772"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1098 дней</w:t>
            </w:r>
          </w:p>
        </w:tc>
      </w:tr>
      <w:tr w:rsidR="00090437" w:rsidRPr="00090437" w14:paraId="53752E56" w14:textId="77777777" w:rsidTr="00090437">
        <w:trPr>
          <w:trHeight w:val="319"/>
        </w:trPr>
        <w:tc>
          <w:tcPr>
            <w:tcW w:w="703" w:type="pct"/>
            <w:vMerge w:val="restart"/>
            <w:tcBorders>
              <w:top w:val="nil"/>
              <w:left w:val="single" w:sz="8" w:space="0" w:color="auto"/>
              <w:right w:val="nil"/>
            </w:tcBorders>
            <w:shd w:val="clear" w:color="auto" w:fill="auto"/>
            <w:vAlign w:val="center"/>
            <w:hideMark/>
          </w:tcPr>
          <w:p w14:paraId="783A83E3"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Все категории клиентов</w:t>
            </w:r>
          </w:p>
        </w:tc>
        <w:tc>
          <w:tcPr>
            <w:tcW w:w="785" w:type="pct"/>
            <w:vMerge w:val="restart"/>
            <w:tcBorders>
              <w:top w:val="nil"/>
              <w:left w:val="single" w:sz="8" w:space="0" w:color="auto"/>
              <w:bottom w:val="single" w:sz="8" w:space="0" w:color="000000"/>
              <w:right w:val="single" w:sz="4" w:space="0" w:color="auto"/>
            </w:tcBorders>
            <w:shd w:val="clear" w:color="000000" w:fill="FFC000"/>
            <w:vAlign w:val="center"/>
            <w:hideMark/>
          </w:tcPr>
          <w:p w14:paraId="77E28137"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Сохрани Онлайн</w:t>
            </w:r>
          </w:p>
        </w:tc>
        <w:tc>
          <w:tcPr>
            <w:tcW w:w="587" w:type="pct"/>
            <w:vMerge w:val="restart"/>
            <w:tcBorders>
              <w:top w:val="nil"/>
              <w:left w:val="nil"/>
              <w:right w:val="single" w:sz="4" w:space="0" w:color="auto"/>
            </w:tcBorders>
            <w:shd w:val="clear" w:color="auto" w:fill="auto"/>
            <w:noWrap/>
            <w:vAlign w:val="center"/>
            <w:hideMark/>
          </w:tcPr>
          <w:p w14:paraId="47840E98"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рубли</w:t>
            </w:r>
          </w:p>
        </w:tc>
        <w:tc>
          <w:tcPr>
            <w:tcW w:w="640" w:type="pct"/>
            <w:tcBorders>
              <w:top w:val="nil"/>
              <w:left w:val="nil"/>
              <w:bottom w:val="single" w:sz="4" w:space="0" w:color="auto"/>
              <w:right w:val="single" w:sz="4" w:space="0" w:color="auto"/>
            </w:tcBorders>
            <w:shd w:val="clear" w:color="auto" w:fill="auto"/>
            <w:noWrap/>
            <w:vAlign w:val="center"/>
            <w:hideMark/>
          </w:tcPr>
          <w:p w14:paraId="3030C18D"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5 000</w:t>
            </w:r>
          </w:p>
        </w:tc>
        <w:tc>
          <w:tcPr>
            <w:tcW w:w="421" w:type="pct"/>
            <w:tcBorders>
              <w:top w:val="nil"/>
              <w:left w:val="nil"/>
              <w:bottom w:val="single" w:sz="4" w:space="0" w:color="auto"/>
              <w:right w:val="single" w:sz="4" w:space="0" w:color="auto"/>
            </w:tcBorders>
            <w:shd w:val="clear" w:color="auto" w:fill="auto"/>
            <w:noWrap/>
            <w:vAlign w:val="center"/>
          </w:tcPr>
          <w:p w14:paraId="597DFA04"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5,900</w:t>
            </w:r>
          </w:p>
        </w:tc>
        <w:tc>
          <w:tcPr>
            <w:tcW w:w="453" w:type="pct"/>
            <w:tcBorders>
              <w:top w:val="nil"/>
              <w:left w:val="nil"/>
              <w:bottom w:val="single" w:sz="4" w:space="0" w:color="auto"/>
              <w:right w:val="single" w:sz="4" w:space="0" w:color="auto"/>
            </w:tcBorders>
            <w:shd w:val="clear" w:color="auto" w:fill="auto"/>
            <w:vAlign w:val="center"/>
          </w:tcPr>
          <w:p w14:paraId="50ED4358"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5,300</w:t>
            </w:r>
          </w:p>
        </w:tc>
        <w:tc>
          <w:tcPr>
            <w:tcW w:w="454" w:type="pct"/>
            <w:tcBorders>
              <w:top w:val="nil"/>
              <w:left w:val="nil"/>
              <w:bottom w:val="single" w:sz="4" w:space="0" w:color="auto"/>
              <w:right w:val="single" w:sz="4" w:space="0" w:color="auto"/>
            </w:tcBorders>
            <w:shd w:val="clear" w:color="auto" w:fill="auto"/>
            <w:noWrap/>
            <w:vAlign w:val="center"/>
          </w:tcPr>
          <w:p w14:paraId="393D6348"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6,100</w:t>
            </w:r>
          </w:p>
        </w:tc>
        <w:tc>
          <w:tcPr>
            <w:tcW w:w="455" w:type="pct"/>
            <w:tcBorders>
              <w:top w:val="nil"/>
              <w:left w:val="nil"/>
              <w:bottom w:val="single" w:sz="4" w:space="0" w:color="auto"/>
              <w:right w:val="single" w:sz="4" w:space="0" w:color="auto"/>
            </w:tcBorders>
            <w:shd w:val="clear" w:color="auto" w:fill="auto"/>
            <w:noWrap/>
            <w:vAlign w:val="center"/>
          </w:tcPr>
          <w:p w14:paraId="0316929B"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6,000</w:t>
            </w:r>
          </w:p>
        </w:tc>
        <w:tc>
          <w:tcPr>
            <w:tcW w:w="502" w:type="pct"/>
            <w:tcBorders>
              <w:top w:val="nil"/>
              <w:left w:val="nil"/>
              <w:bottom w:val="single" w:sz="4" w:space="0" w:color="auto"/>
              <w:right w:val="single" w:sz="4" w:space="0" w:color="auto"/>
            </w:tcBorders>
            <w:shd w:val="clear" w:color="auto" w:fill="auto"/>
            <w:vAlign w:val="center"/>
          </w:tcPr>
          <w:p w14:paraId="140308CC"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6,200</w:t>
            </w:r>
          </w:p>
        </w:tc>
      </w:tr>
      <w:tr w:rsidR="00090437" w:rsidRPr="00090437" w14:paraId="25A00F60" w14:textId="77777777" w:rsidTr="00090437">
        <w:trPr>
          <w:trHeight w:val="405"/>
        </w:trPr>
        <w:tc>
          <w:tcPr>
            <w:tcW w:w="703" w:type="pct"/>
            <w:vMerge/>
            <w:tcBorders>
              <w:left w:val="single" w:sz="8" w:space="0" w:color="auto"/>
              <w:bottom w:val="single" w:sz="4" w:space="0" w:color="auto"/>
              <w:right w:val="nil"/>
            </w:tcBorders>
            <w:shd w:val="clear" w:color="auto" w:fill="auto"/>
            <w:vAlign w:val="center"/>
          </w:tcPr>
          <w:p w14:paraId="517F7ADF" w14:textId="77777777" w:rsidR="00090437" w:rsidRPr="00090437" w:rsidRDefault="00090437" w:rsidP="00090437">
            <w:pPr>
              <w:jc w:val="center"/>
              <w:rPr>
                <w:rFonts w:ascii="Tahoma" w:hAnsi="Tahoma" w:cs="Tahoma"/>
                <w:bCs/>
                <w:iCs/>
                <w:sz w:val="20"/>
                <w:szCs w:val="20"/>
              </w:rPr>
            </w:pPr>
          </w:p>
        </w:tc>
        <w:tc>
          <w:tcPr>
            <w:tcW w:w="785" w:type="pct"/>
            <w:vMerge/>
            <w:tcBorders>
              <w:top w:val="nil"/>
              <w:left w:val="single" w:sz="8" w:space="0" w:color="auto"/>
              <w:bottom w:val="single" w:sz="8" w:space="0" w:color="000000"/>
              <w:right w:val="single" w:sz="4" w:space="0" w:color="auto"/>
            </w:tcBorders>
            <w:vAlign w:val="center"/>
            <w:hideMark/>
          </w:tcPr>
          <w:p w14:paraId="2299B0DA" w14:textId="77777777" w:rsidR="00090437" w:rsidRPr="00090437" w:rsidRDefault="00090437" w:rsidP="00090437">
            <w:pPr>
              <w:rPr>
                <w:rFonts w:ascii="Tahoma" w:hAnsi="Tahoma" w:cs="Tahoma"/>
                <w:bCs/>
                <w:iCs/>
                <w:sz w:val="20"/>
                <w:szCs w:val="20"/>
              </w:rPr>
            </w:pPr>
          </w:p>
        </w:tc>
        <w:tc>
          <w:tcPr>
            <w:tcW w:w="587" w:type="pct"/>
            <w:vMerge/>
            <w:tcBorders>
              <w:left w:val="nil"/>
              <w:bottom w:val="single" w:sz="4" w:space="0" w:color="auto"/>
              <w:right w:val="single" w:sz="4" w:space="0" w:color="auto"/>
            </w:tcBorders>
            <w:shd w:val="clear" w:color="auto" w:fill="auto"/>
            <w:noWrap/>
            <w:vAlign w:val="center"/>
            <w:hideMark/>
          </w:tcPr>
          <w:p w14:paraId="7D226DFD" w14:textId="77777777" w:rsidR="00090437" w:rsidRPr="00090437" w:rsidRDefault="00090437" w:rsidP="00090437">
            <w:pPr>
              <w:jc w:val="center"/>
              <w:rPr>
                <w:rFonts w:ascii="Tahoma" w:hAnsi="Tahoma" w:cs="Tahoma"/>
                <w:bCs/>
                <w:iCs/>
                <w:sz w:val="20"/>
                <w:szCs w:val="20"/>
              </w:rPr>
            </w:pPr>
          </w:p>
        </w:tc>
        <w:tc>
          <w:tcPr>
            <w:tcW w:w="640" w:type="pct"/>
            <w:tcBorders>
              <w:top w:val="nil"/>
              <w:left w:val="nil"/>
              <w:bottom w:val="single" w:sz="4" w:space="0" w:color="auto"/>
              <w:right w:val="single" w:sz="4" w:space="0" w:color="auto"/>
            </w:tcBorders>
            <w:shd w:val="clear" w:color="auto" w:fill="auto"/>
            <w:noWrap/>
            <w:vAlign w:val="center"/>
            <w:hideMark/>
          </w:tcPr>
          <w:p w14:paraId="2CE27819"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1 500 000</w:t>
            </w:r>
          </w:p>
        </w:tc>
        <w:tc>
          <w:tcPr>
            <w:tcW w:w="421" w:type="pct"/>
            <w:tcBorders>
              <w:top w:val="nil"/>
              <w:left w:val="nil"/>
              <w:bottom w:val="single" w:sz="4" w:space="0" w:color="auto"/>
              <w:right w:val="single" w:sz="4" w:space="0" w:color="auto"/>
            </w:tcBorders>
            <w:shd w:val="clear" w:color="auto" w:fill="auto"/>
            <w:noWrap/>
            <w:vAlign w:val="center"/>
          </w:tcPr>
          <w:p w14:paraId="07263439"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5,900</w:t>
            </w:r>
          </w:p>
        </w:tc>
        <w:tc>
          <w:tcPr>
            <w:tcW w:w="453" w:type="pct"/>
            <w:tcBorders>
              <w:top w:val="nil"/>
              <w:left w:val="nil"/>
              <w:bottom w:val="single" w:sz="4" w:space="0" w:color="auto"/>
              <w:right w:val="single" w:sz="4" w:space="0" w:color="auto"/>
            </w:tcBorders>
            <w:shd w:val="clear" w:color="auto" w:fill="auto"/>
            <w:vAlign w:val="center"/>
          </w:tcPr>
          <w:p w14:paraId="5FAE19B7"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5,300</w:t>
            </w:r>
          </w:p>
        </w:tc>
        <w:tc>
          <w:tcPr>
            <w:tcW w:w="454" w:type="pct"/>
            <w:tcBorders>
              <w:top w:val="nil"/>
              <w:left w:val="nil"/>
              <w:bottom w:val="single" w:sz="4" w:space="0" w:color="auto"/>
              <w:right w:val="single" w:sz="4" w:space="0" w:color="auto"/>
            </w:tcBorders>
            <w:shd w:val="clear" w:color="auto" w:fill="auto"/>
            <w:noWrap/>
            <w:vAlign w:val="center"/>
          </w:tcPr>
          <w:p w14:paraId="351D655C"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6,100</w:t>
            </w:r>
          </w:p>
        </w:tc>
        <w:tc>
          <w:tcPr>
            <w:tcW w:w="455" w:type="pct"/>
            <w:tcBorders>
              <w:top w:val="nil"/>
              <w:left w:val="nil"/>
              <w:bottom w:val="single" w:sz="4" w:space="0" w:color="auto"/>
              <w:right w:val="single" w:sz="4" w:space="0" w:color="auto"/>
            </w:tcBorders>
            <w:shd w:val="clear" w:color="auto" w:fill="auto"/>
            <w:noWrap/>
            <w:vAlign w:val="center"/>
          </w:tcPr>
          <w:p w14:paraId="43C65922"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6,000</w:t>
            </w:r>
          </w:p>
        </w:tc>
        <w:tc>
          <w:tcPr>
            <w:tcW w:w="502" w:type="pct"/>
            <w:tcBorders>
              <w:top w:val="nil"/>
              <w:left w:val="nil"/>
              <w:bottom w:val="single" w:sz="4" w:space="0" w:color="auto"/>
              <w:right w:val="single" w:sz="4" w:space="0" w:color="auto"/>
            </w:tcBorders>
            <w:shd w:val="clear" w:color="auto" w:fill="auto"/>
            <w:vAlign w:val="center"/>
          </w:tcPr>
          <w:p w14:paraId="2B56379B"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6,200</w:t>
            </w:r>
          </w:p>
        </w:tc>
      </w:tr>
    </w:tbl>
    <w:p w14:paraId="087A9618" w14:textId="77777777" w:rsidR="00090437" w:rsidRPr="00090437" w:rsidRDefault="00090437" w:rsidP="00090437">
      <w:pPr>
        <w:tabs>
          <w:tab w:val="left" w:pos="284"/>
        </w:tabs>
        <w:jc w:val="both"/>
        <w:rPr>
          <w:rFonts w:ascii="Tahoma" w:hAnsi="Tahoma" w:cs="Tahoma"/>
          <w:color w:val="FF0000"/>
          <w:sz w:val="16"/>
          <w:szCs w:val="16"/>
        </w:rPr>
      </w:pPr>
    </w:p>
    <w:p w14:paraId="61DCBD61" w14:textId="77777777" w:rsidR="00090437" w:rsidRPr="00090437" w:rsidRDefault="00090437" w:rsidP="00090437">
      <w:pPr>
        <w:tabs>
          <w:tab w:val="left" w:pos="284"/>
        </w:tabs>
        <w:jc w:val="both"/>
        <w:rPr>
          <w:rFonts w:ascii="Tahoma" w:hAnsi="Tahoma" w:cs="Tahoma"/>
          <w:b/>
          <w:bCs/>
          <w:iCs/>
          <w:color w:val="E36C0A"/>
          <w:sz w:val="22"/>
          <w:szCs w:val="22"/>
        </w:rPr>
      </w:pPr>
      <w:r w:rsidRPr="00090437">
        <w:rPr>
          <w:rFonts w:ascii="Tahoma" w:hAnsi="Tahoma" w:cs="Tahoma"/>
          <w:color w:val="000000" w:themeColor="text1"/>
          <w:sz w:val="16"/>
          <w:szCs w:val="16"/>
        </w:rPr>
        <w:t xml:space="preserve">* </w:t>
      </w:r>
      <w:r w:rsidRPr="00090437">
        <w:rPr>
          <w:rFonts w:ascii="Tahoma" w:hAnsi="Tahoma" w:cs="Tahoma"/>
          <w:color w:val="000000" w:themeColor="text1"/>
          <w:sz w:val="18"/>
          <w:szCs w:val="18"/>
        </w:rPr>
        <w:t xml:space="preserve">Соответствует </w:t>
      </w:r>
      <w:r w:rsidRPr="00090437">
        <w:rPr>
          <w:rFonts w:ascii="Tahoma" w:hAnsi="Tahoma" w:cs="Tahoma"/>
          <w:sz w:val="18"/>
          <w:szCs w:val="18"/>
        </w:rPr>
        <w:t>значению минимальной гарантированной ставки (годовых) с учетом округления, определяющему минимальный доход, выплачиваемый вкладчику на сумму вклада при условии хранения суммы вклада до конца срока вклада без учета каких-либо других условий. Порядок расчета минимальной гарантированной ставки по вкладу определяется Банком России.</w:t>
      </w:r>
    </w:p>
    <w:p w14:paraId="6C5A27F3" w14:textId="77777777" w:rsidR="00090437" w:rsidRPr="00090437" w:rsidRDefault="00090437" w:rsidP="00090437">
      <w:pPr>
        <w:tabs>
          <w:tab w:val="left" w:pos="284"/>
        </w:tabs>
        <w:jc w:val="both"/>
        <w:rPr>
          <w:rFonts w:ascii="Tahoma" w:hAnsi="Tahoma" w:cs="Tahoma"/>
          <w:b/>
          <w:bCs/>
          <w:iCs/>
          <w:color w:val="E36C0A"/>
          <w:sz w:val="22"/>
          <w:szCs w:val="22"/>
        </w:rPr>
      </w:pPr>
    </w:p>
    <w:p w14:paraId="59BB7CD4" w14:textId="67AE17D0" w:rsidR="00090437" w:rsidRPr="00090437" w:rsidRDefault="00955573" w:rsidP="000B3718">
      <w:pPr>
        <w:pStyle w:val="a5"/>
      </w:pPr>
      <w:r>
        <w:t>3.40</w:t>
      </w:r>
      <w:r w:rsidR="00090437" w:rsidRPr="00090437">
        <w:t>.</w:t>
      </w:r>
      <w:r w:rsidR="00090437" w:rsidRPr="00090437">
        <w:tab/>
        <w:t>Вклад «Накопи Онлайн» (условия для пролонгируемых вкладов)</w:t>
      </w:r>
    </w:p>
    <w:p w14:paraId="08B0AC0F" w14:textId="77777777" w:rsidR="00090437" w:rsidRPr="00090437" w:rsidRDefault="00090437" w:rsidP="00DE6159">
      <w:pPr>
        <w:tabs>
          <w:tab w:val="left" w:pos="284"/>
        </w:tabs>
        <w:ind w:firstLine="426"/>
        <w:jc w:val="both"/>
        <w:rPr>
          <w:rFonts w:ascii="Tahoma" w:hAnsi="Tahoma" w:cs="Tahoma"/>
          <w:b/>
          <w:bCs/>
          <w:iCs/>
          <w:sz w:val="22"/>
          <w:szCs w:val="22"/>
        </w:rPr>
      </w:pPr>
      <w:r w:rsidRPr="00090437">
        <w:rPr>
          <w:rFonts w:ascii="Tahoma" w:hAnsi="Tahoma" w:cs="Tahoma"/>
          <w:color w:val="000000"/>
          <w:sz w:val="22"/>
          <w:szCs w:val="22"/>
          <w:lang w:eastAsia="en-US"/>
        </w:rPr>
        <w:t>Условия:</w:t>
      </w:r>
    </w:p>
    <w:p w14:paraId="7CC56328" w14:textId="77777777" w:rsidR="00090437" w:rsidRPr="00090437" w:rsidRDefault="00090437" w:rsidP="00090437">
      <w:pPr>
        <w:widowControl w:val="0"/>
        <w:numPr>
          <w:ilvl w:val="0"/>
          <w:numId w:val="11"/>
        </w:numPr>
        <w:tabs>
          <w:tab w:val="left" w:pos="284"/>
          <w:tab w:val="left" w:pos="567"/>
        </w:tabs>
        <w:autoSpaceDE w:val="0"/>
        <w:autoSpaceDN w:val="0"/>
        <w:adjustRightInd w:val="0"/>
        <w:contextualSpacing/>
        <w:jc w:val="both"/>
        <w:rPr>
          <w:rFonts w:ascii="Tahoma" w:hAnsi="Tahoma" w:cs="Tahoma"/>
          <w:color w:val="000000"/>
          <w:sz w:val="22"/>
          <w:szCs w:val="22"/>
          <w:lang w:eastAsia="en-US"/>
        </w:rPr>
      </w:pPr>
      <w:r w:rsidRPr="00090437">
        <w:rPr>
          <w:rFonts w:ascii="Tahoma" w:hAnsi="Tahoma" w:cs="Tahoma"/>
          <w:color w:val="000000"/>
          <w:sz w:val="22"/>
          <w:szCs w:val="22"/>
          <w:lang w:eastAsia="en-US"/>
        </w:rPr>
        <w:t>Валюта - рубли;</w:t>
      </w:r>
    </w:p>
    <w:p w14:paraId="3B7A0013" w14:textId="77777777" w:rsidR="00090437" w:rsidRPr="00090437" w:rsidRDefault="00090437" w:rsidP="00090437">
      <w:pPr>
        <w:widowControl w:val="0"/>
        <w:numPr>
          <w:ilvl w:val="0"/>
          <w:numId w:val="11"/>
        </w:numPr>
        <w:tabs>
          <w:tab w:val="left" w:pos="284"/>
          <w:tab w:val="left" w:pos="567"/>
        </w:tabs>
        <w:autoSpaceDE w:val="0"/>
        <w:autoSpaceDN w:val="0"/>
        <w:adjustRightInd w:val="0"/>
        <w:contextualSpacing/>
        <w:jc w:val="both"/>
        <w:rPr>
          <w:rFonts w:ascii="Tahoma" w:hAnsi="Tahoma" w:cs="Tahoma"/>
          <w:color w:val="000000"/>
          <w:sz w:val="22"/>
          <w:szCs w:val="22"/>
          <w:lang w:eastAsia="en-US"/>
        </w:rPr>
      </w:pPr>
      <w:r w:rsidRPr="00090437">
        <w:rPr>
          <w:rFonts w:ascii="Tahoma" w:hAnsi="Tahoma" w:cs="Tahoma"/>
          <w:color w:val="000000"/>
          <w:sz w:val="22"/>
          <w:szCs w:val="22"/>
          <w:lang w:eastAsia="en-US"/>
        </w:rPr>
        <w:t>Минимальная сумма Вклада – 5 000 рублей;</w:t>
      </w:r>
    </w:p>
    <w:p w14:paraId="5261AD32" w14:textId="77777777" w:rsidR="00090437" w:rsidRPr="00090437" w:rsidRDefault="00090437" w:rsidP="00090437">
      <w:pPr>
        <w:widowControl w:val="0"/>
        <w:numPr>
          <w:ilvl w:val="0"/>
          <w:numId w:val="11"/>
        </w:numPr>
        <w:tabs>
          <w:tab w:val="left" w:pos="284"/>
          <w:tab w:val="left" w:pos="567"/>
        </w:tabs>
        <w:autoSpaceDE w:val="0"/>
        <w:autoSpaceDN w:val="0"/>
        <w:adjustRightInd w:val="0"/>
        <w:contextualSpacing/>
        <w:jc w:val="both"/>
        <w:rPr>
          <w:rFonts w:ascii="Tahoma" w:hAnsi="Tahoma" w:cs="Tahoma"/>
          <w:color w:val="000000"/>
          <w:sz w:val="22"/>
          <w:szCs w:val="22"/>
          <w:lang w:eastAsia="en-US"/>
        </w:rPr>
      </w:pPr>
      <w:r w:rsidRPr="00090437">
        <w:rPr>
          <w:rFonts w:ascii="Tahoma" w:hAnsi="Tahoma" w:cs="Tahoma"/>
          <w:color w:val="000000"/>
          <w:sz w:val="22"/>
          <w:szCs w:val="22"/>
          <w:lang w:eastAsia="en-US"/>
        </w:rPr>
        <w:t>Максимальная сумма Вклада – не ограничена;</w:t>
      </w:r>
    </w:p>
    <w:p w14:paraId="083E3E45" w14:textId="77777777" w:rsidR="00090437" w:rsidRPr="00090437" w:rsidRDefault="00090437" w:rsidP="00090437">
      <w:pPr>
        <w:widowControl w:val="0"/>
        <w:numPr>
          <w:ilvl w:val="0"/>
          <w:numId w:val="11"/>
        </w:numPr>
        <w:tabs>
          <w:tab w:val="left" w:pos="284"/>
          <w:tab w:val="left" w:pos="567"/>
        </w:tabs>
        <w:autoSpaceDE w:val="0"/>
        <w:autoSpaceDN w:val="0"/>
        <w:adjustRightInd w:val="0"/>
        <w:contextualSpacing/>
        <w:jc w:val="both"/>
        <w:rPr>
          <w:rFonts w:ascii="Tahoma" w:hAnsi="Tahoma" w:cs="Tahoma"/>
          <w:color w:val="000000"/>
          <w:sz w:val="22"/>
          <w:szCs w:val="22"/>
          <w:lang w:eastAsia="en-US"/>
        </w:rPr>
      </w:pPr>
      <w:r w:rsidRPr="00090437">
        <w:rPr>
          <w:rFonts w:ascii="Tahoma" w:hAnsi="Tahoma" w:cs="Tahoma"/>
          <w:color w:val="000000"/>
          <w:sz w:val="22"/>
          <w:szCs w:val="22"/>
          <w:lang w:eastAsia="en-US"/>
        </w:rPr>
        <w:t xml:space="preserve">Срок </w:t>
      </w:r>
      <w:r w:rsidRPr="00090437">
        <w:rPr>
          <w:rFonts w:ascii="Tahoma" w:hAnsi="Tahoma" w:cs="Tahoma"/>
          <w:sz w:val="22"/>
          <w:szCs w:val="22"/>
          <w:lang w:eastAsia="en-US"/>
        </w:rPr>
        <w:t xml:space="preserve">вклада – 92 дня/ 182 </w:t>
      </w:r>
      <w:r w:rsidRPr="00090437">
        <w:rPr>
          <w:rFonts w:ascii="Tahoma" w:hAnsi="Tahoma" w:cs="Tahoma"/>
          <w:color w:val="000000"/>
          <w:sz w:val="22"/>
          <w:szCs w:val="22"/>
          <w:lang w:eastAsia="en-US"/>
        </w:rPr>
        <w:t>дня/ 367 дней/ 731 день/ 1098 дней;</w:t>
      </w:r>
    </w:p>
    <w:p w14:paraId="56E78E25" w14:textId="77777777" w:rsidR="00090437" w:rsidRPr="00090437" w:rsidRDefault="00090437" w:rsidP="00090437">
      <w:pPr>
        <w:widowControl w:val="0"/>
        <w:numPr>
          <w:ilvl w:val="0"/>
          <w:numId w:val="11"/>
        </w:numPr>
        <w:tabs>
          <w:tab w:val="left" w:pos="284"/>
          <w:tab w:val="left" w:pos="567"/>
        </w:tabs>
        <w:autoSpaceDE w:val="0"/>
        <w:autoSpaceDN w:val="0"/>
        <w:adjustRightInd w:val="0"/>
        <w:contextualSpacing/>
        <w:jc w:val="both"/>
        <w:rPr>
          <w:rFonts w:ascii="Tahoma" w:hAnsi="Tahoma" w:cs="Tahoma"/>
          <w:color w:val="000000" w:themeColor="text1"/>
          <w:sz w:val="22"/>
          <w:szCs w:val="22"/>
          <w:lang w:eastAsia="en-US"/>
        </w:rPr>
      </w:pPr>
      <w:r w:rsidRPr="00090437">
        <w:rPr>
          <w:rFonts w:ascii="Tahoma" w:hAnsi="Tahoma" w:cs="Tahoma"/>
          <w:color w:val="000000" w:themeColor="text1"/>
          <w:sz w:val="22"/>
          <w:szCs w:val="22"/>
          <w:lang w:eastAsia="en-US"/>
        </w:rPr>
        <w:t>Вклад пополняемый, последний дополнительный взнос не менее чем за 30 дней до окончания срока Вклада;</w:t>
      </w:r>
    </w:p>
    <w:p w14:paraId="0C44FA4F" w14:textId="77777777" w:rsidR="00090437" w:rsidRPr="00090437" w:rsidRDefault="00090437" w:rsidP="00090437">
      <w:pPr>
        <w:widowControl w:val="0"/>
        <w:numPr>
          <w:ilvl w:val="0"/>
          <w:numId w:val="11"/>
        </w:numPr>
        <w:tabs>
          <w:tab w:val="left" w:pos="284"/>
          <w:tab w:val="left" w:pos="567"/>
        </w:tabs>
        <w:autoSpaceDE w:val="0"/>
        <w:autoSpaceDN w:val="0"/>
        <w:adjustRightInd w:val="0"/>
        <w:contextualSpacing/>
        <w:jc w:val="both"/>
        <w:rPr>
          <w:rFonts w:ascii="Tahoma" w:hAnsi="Tahoma" w:cs="Tahoma"/>
          <w:color w:val="000000" w:themeColor="text1"/>
          <w:sz w:val="22"/>
          <w:szCs w:val="22"/>
          <w:lang w:eastAsia="en-US"/>
        </w:rPr>
      </w:pPr>
      <w:r w:rsidRPr="00090437">
        <w:rPr>
          <w:rFonts w:ascii="Tahoma" w:hAnsi="Tahoma" w:cs="Tahoma"/>
          <w:color w:val="000000" w:themeColor="text1"/>
          <w:sz w:val="22"/>
          <w:szCs w:val="22"/>
        </w:rPr>
        <w:t>Продление (автоматическое перезаключение) Договора без оформления дополнительных соглашений – без ограничений;</w:t>
      </w:r>
    </w:p>
    <w:p w14:paraId="4D436C82" w14:textId="77777777" w:rsidR="00090437" w:rsidRPr="00090437" w:rsidRDefault="00090437" w:rsidP="00090437">
      <w:pPr>
        <w:widowControl w:val="0"/>
        <w:numPr>
          <w:ilvl w:val="0"/>
          <w:numId w:val="11"/>
        </w:numPr>
        <w:tabs>
          <w:tab w:val="left" w:pos="284"/>
          <w:tab w:val="left" w:pos="567"/>
        </w:tabs>
        <w:autoSpaceDE w:val="0"/>
        <w:autoSpaceDN w:val="0"/>
        <w:adjustRightInd w:val="0"/>
        <w:contextualSpacing/>
        <w:jc w:val="both"/>
        <w:rPr>
          <w:rFonts w:ascii="Tahoma" w:hAnsi="Tahoma" w:cs="Tahoma"/>
          <w:color w:val="000000"/>
          <w:sz w:val="22"/>
          <w:szCs w:val="22"/>
          <w:lang w:eastAsia="en-US"/>
        </w:rPr>
      </w:pPr>
      <w:r w:rsidRPr="00090437">
        <w:rPr>
          <w:rFonts w:ascii="Tahoma" w:hAnsi="Tahoma" w:cs="Tahoma"/>
          <w:color w:val="000000"/>
          <w:sz w:val="22"/>
          <w:szCs w:val="22"/>
          <w:lang w:eastAsia="en-US"/>
        </w:rPr>
        <w:t>Выплаты процентов – ежемесячно на счет банковской карты;</w:t>
      </w:r>
    </w:p>
    <w:p w14:paraId="2EA69FD4" w14:textId="77777777" w:rsidR="00090437" w:rsidRPr="00090437" w:rsidRDefault="00090437" w:rsidP="00090437">
      <w:pPr>
        <w:widowControl w:val="0"/>
        <w:numPr>
          <w:ilvl w:val="0"/>
          <w:numId w:val="11"/>
        </w:numPr>
        <w:tabs>
          <w:tab w:val="left" w:pos="284"/>
          <w:tab w:val="left" w:pos="567"/>
        </w:tabs>
        <w:autoSpaceDE w:val="0"/>
        <w:autoSpaceDN w:val="0"/>
        <w:adjustRightInd w:val="0"/>
        <w:contextualSpacing/>
        <w:jc w:val="both"/>
        <w:rPr>
          <w:rFonts w:ascii="Tahoma" w:hAnsi="Tahoma" w:cs="Tahoma"/>
          <w:color w:val="000000"/>
          <w:sz w:val="22"/>
          <w:szCs w:val="22"/>
          <w:lang w:eastAsia="en-US"/>
        </w:rPr>
      </w:pPr>
      <w:r w:rsidRPr="00090437">
        <w:rPr>
          <w:rFonts w:ascii="Tahoma" w:hAnsi="Tahoma" w:cs="Tahoma"/>
          <w:color w:val="000000"/>
          <w:sz w:val="22"/>
          <w:szCs w:val="22"/>
          <w:lang w:eastAsia="en-US"/>
        </w:rPr>
        <w:t>Выплата суммы Вклада – на счет банковской карты;</w:t>
      </w:r>
    </w:p>
    <w:p w14:paraId="494E515F" w14:textId="77777777" w:rsidR="00090437" w:rsidRPr="00090437" w:rsidRDefault="00090437" w:rsidP="00090437">
      <w:pPr>
        <w:widowControl w:val="0"/>
        <w:numPr>
          <w:ilvl w:val="0"/>
          <w:numId w:val="11"/>
        </w:numPr>
        <w:tabs>
          <w:tab w:val="left" w:pos="284"/>
          <w:tab w:val="left" w:pos="567"/>
        </w:tabs>
        <w:autoSpaceDE w:val="0"/>
        <w:autoSpaceDN w:val="0"/>
        <w:adjustRightInd w:val="0"/>
        <w:contextualSpacing/>
        <w:jc w:val="both"/>
        <w:rPr>
          <w:rFonts w:ascii="Tahoma" w:hAnsi="Tahoma" w:cs="Tahoma"/>
          <w:color w:val="000000"/>
          <w:sz w:val="22"/>
          <w:szCs w:val="22"/>
          <w:lang w:eastAsia="en-US"/>
        </w:rPr>
      </w:pPr>
      <w:r w:rsidRPr="00090437">
        <w:rPr>
          <w:rFonts w:ascii="Tahoma" w:hAnsi="Tahoma" w:cs="Tahoma"/>
          <w:color w:val="000000"/>
          <w:sz w:val="22"/>
          <w:szCs w:val="22"/>
          <w:lang w:eastAsia="en-US"/>
        </w:rPr>
        <w:t>Частичное снятие – не предусмотрено;</w:t>
      </w:r>
    </w:p>
    <w:p w14:paraId="5C947CAE" w14:textId="77777777" w:rsidR="00090437" w:rsidRPr="00090437" w:rsidRDefault="00090437" w:rsidP="00090437">
      <w:pPr>
        <w:widowControl w:val="0"/>
        <w:numPr>
          <w:ilvl w:val="0"/>
          <w:numId w:val="11"/>
        </w:numPr>
        <w:tabs>
          <w:tab w:val="left" w:pos="284"/>
          <w:tab w:val="left" w:pos="567"/>
        </w:tabs>
        <w:autoSpaceDE w:val="0"/>
        <w:autoSpaceDN w:val="0"/>
        <w:adjustRightInd w:val="0"/>
        <w:contextualSpacing/>
        <w:jc w:val="both"/>
        <w:rPr>
          <w:rFonts w:ascii="Tahoma" w:hAnsi="Tahoma" w:cs="Tahoma"/>
          <w:color w:val="000000"/>
          <w:sz w:val="22"/>
          <w:szCs w:val="22"/>
          <w:lang w:eastAsia="en-US"/>
        </w:rPr>
      </w:pPr>
      <w:r w:rsidRPr="00090437">
        <w:rPr>
          <w:rFonts w:ascii="Tahoma" w:hAnsi="Tahoma" w:cs="Tahoma"/>
          <w:color w:val="000000"/>
          <w:sz w:val="22"/>
          <w:szCs w:val="22"/>
          <w:lang w:eastAsia="en-US"/>
        </w:rPr>
        <w:t>При досрочном расторжении Вклада проценты выплачиваются по ставке Вклада «Личный счет» (до востребования).</w:t>
      </w:r>
    </w:p>
    <w:p w14:paraId="478010E1" w14:textId="77777777" w:rsidR="00090437" w:rsidRPr="00090437" w:rsidRDefault="00090437" w:rsidP="00090437">
      <w:pPr>
        <w:tabs>
          <w:tab w:val="left" w:pos="284"/>
        </w:tabs>
        <w:jc w:val="both"/>
        <w:rPr>
          <w:rFonts w:ascii="Tahoma" w:hAnsi="Tahoma" w:cs="Tahoma"/>
          <w:b/>
          <w:bCs/>
          <w:iCs/>
          <w:color w:val="E36C0A"/>
          <w:sz w:val="22"/>
          <w:szCs w:val="22"/>
        </w:rPr>
      </w:pPr>
    </w:p>
    <w:tbl>
      <w:tblPr>
        <w:tblW w:w="5000" w:type="pct"/>
        <w:tblLayout w:type="fixed"/>
        <w:tblLook w:val="04A0" w:firstRow="1" w:lastRow="0" w:firstColumn="1" w:lastColumn="0" w:noHBand="0" w:noVBand="1"/>
      </w:tblPr>
      <w:tblGrid>
        <w:gridCol w:w="2127"/>
        <w:gridCol w:w="2374"/>
        <w:gridCol w:w="1775"/>
        <w:gridCol w:w="1936"/>
        <w:gridCol w:w="1273"/>
        <w:gridCol w:w="1370"/>
        <w:gridCol w:w="1373"/>
        <w:gridCol w:w="1376"/>
        <w:gridCol w:w="1518"/>
      </w:tblGrid>
      <w:tr w:rsidR="00090437" w:rsidRPr="00090437" w14:paraId="0C9839CB" w14:textId="77777777" w:rsidTr="00090437">
        <w:trPr>
          <w:trHeight w:val="319"/>
        </w:trPr>
        <w:tc>
          <w:tcPr>
            <w:tcW w:w="703" w:type="pct"/>
            <w:vMerge w:val="restart"/>
            <w:tcBorders>
              <w:top w:val="single" w:sz="8" w:space="0" w:color="auto"/>
              <w:left w:val="single" w:sz="8" w:space="0" w:color="auto"/>
              <w:bottom w:val="single" w:sz="8" w:space="0" w:color="000000"/>
              <w:right w:val="nil"/>
            </w:tcBorders>
            <w:shd w:val="clear" w:color="auto" w:fill="auto"/>
            <w:vAlign w:val="center"/>
            <w:hideMark/>
          </w:tcPr>
          <w:p w14:paraId="17145046"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Ориентировочный сегмент</w:t>
            </w:r>
          </w:p>
        </w:tc>
        <w:tc>
          <w:tcPr>
            <w:tcW w:w="785" w:type="pct"/>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01583A51"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Продукт</w:t>
            </w:r>
          </w:p>
        </w:tc>
        <w:tc>
          <w:tcPr>
            <w:tcW w:w="1227" w:type="pct"/>
            <w:gridSpan w:val="2"/>
            <w:tcBorders>
              <w:top w:val="single" w:sz="8" w:space="0" w:color="auto"/>
              <w:left w:val="nil"/>
              <w:bottom w:val="single" w:sz="4" w:space="0" w:color="auto"/>
              <w:right w:val="single" w:sz="4" w:space="0" w:color="auto"/>
            </w:tcBorders>
            <w:shd w:val="clear" w:color="auto" w:fill="auto"/>
            <w:noWrap/>
            <w:vAlign w:val="center"/>
            <w:hideMark/>
          </w:tcPr>
          <w:p w14:paraId="30C1E156"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Базовые параметры вклада</w:t>
            </w:r>
          </w:p>
        </w:tc>
        <w:tc>
          <w:tcPr>
            <w:tcW w:w="2285" w:type="pct"/>
            <w:gridSpan w:val="5"/>
            <w:tcBorders>
              <w:top w:val="single" w:sz="8" w:space="0" w:color="auto"/>
              <w:left w:val="nil"/>
              <w:bottom w:val="single" w:sz="4" w:space="0" w:color="auto"/>
              <w:right w:val="single" w:sz="4" w:space="0" w:color="auto"/>
            </w:tcBorders>
            <w:shd w:val="clear" w:color="auto" w:fill="auto"/>
            <w:noWrap/>
            <w:vAlign w:val="center"/>
            <w:hideMark/>
          </w:tcPr>
          <w:p w14:paraId="18EE64A8" w14:textId="77777777" w:rsidR="00090437" w:rsidRPr="00090437" w:rsidRDefault="00090437" w:rsidP="00090437">
            <w:pPr>
              <w:jc w:val="center"/>
              <w:rPr>
                <w:rFonts w:ascii="Tahoma" w:hAnsi="Tahoma" w:cs="Tahoma"/>
                <w:bCs/>
                <w:iCs/>
                <w:sz w:val="20"/>
                <w:szCs w:val="20"/>
              </w:rPr>
            </w:pPr>
            <w:r w:rsidRPr="00090437">
              <w:rPr>
                <w:rFonts w:ascii="Tahoma" w:hAnsi="Tahoma" w:cs="Tahoma"/>
                <w:b/>
                <w:color w:val="000000" w:themeColor="text1"/>
                <w:sz w:val="20"/>
                <w:szCs w:val="20"/>
              </w:rPr>
              <w:t>Процентные ставки* (% годовых</w:t>
            </w:r>
            <w:r w:rsidRPr="00090437">
              <w:rPr>
                <w:rFonts w:ascii="Tahoma" w:hAnsi="Tahoma" w:cs="Tahoma"/>
                <w:b/>
                <w:sz w:val="20"/>
                <w:szCs w:val="20"/>
              </w:rPr>
              <w:t>) в зависимости от срока договора вклада</w:t>
            </w:r>
          </w:p>
        </w:tc>
      </w:tr>
      <w:tr w:rsidR="00090437" w:rsidRPr="00090437" w14:paraId="0F76155F" w14:textId="77777777" w:rsidTr="00090437">
        <w:trPr>
          <w:trHeight w:val="319"/>
        </w:trPr>
        <w:tc>
          <w:tcPr>
            <w:tcW w:w="703" w:type="pct"/>
            <w:vMerge/>
            <w:tcBorders>
              <w:top w:val="single" w:sz="8" w:space="0" w:color="auto"/>
              <w:left w:val="single" w:sz="8" w:space="0" w:color="auto"/>
              <w:bottom w:val="single" w:sz="8" w:space="0" w:color="000000"/>
              <w:right w:val="nil"/>
            </w:tcBorders>
            <w:vAlign w:val="center"/>
            <w:hideMark/>
          </w:tcPr>
          <w:p w14:paraId="46EDD7C8" w14:textId="77777777" w:rsidR="00090437" w:rsidRPr="00090437" w:rsidRDefault="00090437" w:rsidP="00090437">
            <w:pPr>
              <w:rPr>
                <w:rFonts w:ascii="Tahoma" w:hAnsi="Tahoma" w:cs="Tahoma"/>
                <w:bCs/>
                <w:iCs/>
                <w:sz w:val="20"/>
                <w:szCs w:val="20"/>
              </w:rPr>
            </w:pPr>
          </w:p>
        </w:tc>
        <w:tc>
          <w:tcPr>
            <w:tcW w:w="785" w:type="pct"/>
            <w:vMerge/>
            <w:tcBorders>
              <w:top w:val="single" w:sz="8" w:space="0" w:color="auto"/>
              <w:left w:val="single" w:sz="8" w:space="0" w:color="auto"/>
              <w:bottom w:val="single" w:sz="8" w:space="0" w:color="000000"/>
              <w:right w:val="single" w:sz="4" w:space="0" w:color="auto"/>
            </w:tcBorders>
            <w:vAlign w:val="center"/>
            <w:hideMark/>
          </w:tcPr>
          <w:p w14:paraId="2D7BEA3D" w14:textId="77777777" w:rsidR="00090437" w:rsidRPr="00090437" w:rsidRDefault="00090437" w:rsidP="00090437">
            <w:pPr>
              <w:rPr>
                <w:rFonts w:ascii="Tahoma" w:hAnsi="Tahoma" w:cs="Tahoma"/>
                <w:bCs/>
                <w:iCs/>
                <w:sz w:val="20"/>
                <w:szCs w:val="20"/>
              </w:rPr>
            </w:pPr>
          </w:p>
        </w:tc>
        <w:tc>
          <w:tcPr>
            <w:tcW w:w="587" w:type="pct"/>
            <w:tcBorders>
              <w:top w:val="nil"/>
              <w:left w:val="nil"/>
              <w:bottom w:val="single" w:sz="8" w:space="0" w:color="auto"/>
              <w:right w:val="single" w:sz="4" w:space="0" w:color="auto"/>
            </w:tcBorders>
            <w:shd w:val="clear" w:color="auto" w:fill="auto"/>
            <w:noWrap/>
            <w:vAlign w:val="center"/>
            <w:hideMark/>
          </w:tcPr>
          <w:p w14:paraId="05D5E867"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Валюта вклада</w:t>
            </w:r>
          </w:p>
        </w:tc>
        <w:tc>
          <w:tcPr>
            <w:tcW w:w="640" w:type="pct"/>
            <w:tcBorders>
              <w:top w:val="nil"/>
              <w:left w:val="nil"/>
              <w:bottom w:val="single" w:sz="8" w:space="0" w:color="auto"/>
              <w:right w:val="single" w:sz="4" w:space="0" w:color="auto"/>
            </w:tcBorders>
            <w:shd w:val="clear" w:color="auto" w:fill="auto"/>
            <w:noWrap/>
            <w:vAlign w:val="center"/>
            <w:hideMark/>
          </w:tcPr>
          <w:p w14:paraId="7A415A68"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 xml:space="preserve">Минимальная сумма вклада </w:t>
            </w:r>
          </w:p>
        </w:tc>
        <w:tc>
          <w:tcPr>
            <w:tcW w:w="421" w:type="pct"/>
            <w:tcBorders>
              <w:top w:val="nil"/>
              <w:left w:val="nil"/>
              <w:bottom w:val="single" w:sz="8" w:space="0" w:color="auto"/>
              <w:right w:val="single" w:sz="4" w:space="0" w:color="auto"/>
            </w:tcBorders>
            <w:shd w:val="clear" w:color="auto" w:fill="auto"/>
            <w:noWrap/>
            <w:vAlign w:val="center"/>
            <w:hideMark/>
          </w:tcPr>
          <w:p w14:paraId="38364151"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92 дня</w:t>
            </w:r>
          </w:p>
        </w:tc>
        <w:tc>
          <w:tcPr>
            <w:tcW w:w="453" w:type="pct"/>
            <w:tcBorders>
              <w:top w:val="nil"/>
              <w:left w:val="nil"/>
              <w:bottom w:val="single" w:sz="8" w:space="0" w:color="auto"/>
              <w:right w:val="single" w:sz="4" w:space="0" w:color="auto"/>
            </w:tcBorders>
            <w:shd w:val="clear" w:color="auto" w:fill="auto"/>
            <w:vAlign w:val="center"/>
          </w:tcPr>
          <w:p w14:paraId="14748BE2"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182 дня</w:t>
            </w:r>
          </w:p>
        </w:tc>
        <w:tc>
          <w:tcPr>
            <w:tcW w:w="454" w:type="pct"/>
            <w:tcBorders>
              <w:top w:val="nil"/>
              <w:left w:val="nil"/>
              <w:bottom w:val="single" w:sz="8" w:space="0" w:color="auto"/>
              <w:right w:val="single" w:sz="4" w:space="0" w:color="auto"/>
            </w:tcBorders>
            <w:shd w:val="clear" w:color="auto" w:fill="auto"/>
            <w:noWrap/>
            <w:vAlign w:val="center"/>
            <w:hideMark/>
          </w:tcPr>
          <w:p w14:paraId="56270D34"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367 дней</w:t>
            </w:r>
          </w:p>
        </w:tc>
        <w:tc>
          <w:tcPr>
            <w:tcW w:w="455" w:type="pct"/>
            <w:tcBorders>
              <w:top w:val="nil"/>
              <w:left w:val="nil"/>
              <w:bottom w:val="single" w:sz="8" w:space="0" w:color="auto"/>
              <w:right w:val="single" w:sz="4" w:space="0" w:color="auto"/>
            </w:tcBorders>
            <w:shd w:val="clear" w:color="auto" w:fill="auto"/>
            <w:noWrap/>
            <w:vAlign w:val="center"/>
            <w:hideMark/>
          </w:tcPr>
          <w:p w14:paraId="33327542"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731 день</w:t>
            </w:r>
          </w:p>
        </w:tc>
        <w:tc>
          <w:tcPr>
            <w:tcW w:w="502" w:type="pct"/>
            <w:tcBorders>
              <w:top w:val="nil"/>
              <w:left w:val="nil"/>
              <w:bottom w:val="single" w:sz="8" w:space="0" w:color="auto"/>
              <w:right w:val="single" w:sz="4" w:space="0" w:color="auto"/>
            </w:tcBorders>
            <w:shd w:val="clear" w:color="auto" w:fill="auto"/>
            <w:vAlign w:val="center"/>
          </w:tcPr>
          <w:p w14:paraId="31C93800"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1098 дней</w:t>
            </w:r>
          </w:p>
        </w:tc>
      </w:tr>
      <w:tr w:rsidR="00090437" w:rsidRPr="00090437" w14:paraId="012902E5" w14:textId="77777777" w:rsidTr="00090437">
        <w:trPr>
          <w:trHeight w:val="319"/>
        </w:trPr>
        <w:tc>
          <w:tcPr>
            <w:tcW w:w="703" w:type="pct"/>
            <w:vMerge w:val="restart"/>
            <w:tcBorders>
              <w:top w:val="nil"/>
              <w:left w:val="single" w:sz="8" w:space="0" w:color="auto"/>
              <w:right w:val="nil"/>
            </w:tcBorders>
            <w:shd w:val="clear" w:color="auto" w:fill="auto"/>
            <w:vAlign w:val="center"/>
            <w:hideMark/>
          </w:tcPr>
          <w:p w14:paraId="401E87EC"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Все категории клиентов</w:t>
            </w:r>
          </w:p>
        </w:tc>
        <w:tc>
          <w:tcPr>
            <w:tcW w:w="785" w:type="pct"/>
            <w:vMerge w:val="restart"/>
            <w:tcBorders>
              <w:top w:val="nil"/>
              <w:left w:val="single" w:sz="8" w:space="0" w:color="auto"/>
              <w:bottom w:val="single" w:sz="8" w:space="0" w:color="000000"/>
              <w:right w:val="single" w:sz="4" w:space="0" w:color="auto"/>
            </w:tcBorders>
            <w:shd w:val="clear" w:color="000000" w:fill="FFC000"/>
            <w:vAlign w:val="center"/>
            <w:hideMark/>
          </w:tcPr>
          <w:p w14:paraId="6E513B3A"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Накопи Онлайн</w:t>
            </w:r>
          </w:p>
        </w:tc>
        <w:tc>
          <w:tcPr>
            <w:tcW w:w="587" w:type="pct"/>
            <w:vMerge w:val="restart"/>
            <w:tcBorders>
              <w:top w:val="nil"/>
              <w:left w:val="nil"/>
              <w:right w:val="single" w:sz="4" w:space="0" w:color="auto"/>
            </w:tcBorders>
            <w:shd w:val="clear" w:color="auto" w:fill="auto"/>
            <w:noWrap/>
            <w:vAlign w:val="center"/>
            <w:hideMark/>
          </w:tcPr>
          <w:p w14:paraId="3D5A1FC0"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рубли</w:t>
            </w:r>
          </w:p>
        </w:tc>
        <w:tc>
          <w:tcPr>
            <w:tcW w:w="640" w:type="pct"/>
            <w:tcBorders>
              <w:top w:val="nil"/>
              <w:left w:val="nil"/>
              <w:bottom w:val="single" w:sz="4" w:space="0" w:color="auto"/>
              <w:right w:val="single" w:sz="4" w:space="0" w:color="auto"/>
            </w:tcBorders>
            <w:shd w:val="clear" w:color="auto" w:fill="auto"/>
            <w:noWrap/>
            <w:vAlign w:val="center"/>
            <w:hideMark/>
          </w:tcPr>
          <w:p w14:paraId="4580D002"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5 000</w:t>
            </w:r>
          </w:p>
        </w:tc>
        <w:tc>
          <w:tcPr>
            <w:tcW w:w="421" w:type="pct"/>
            <w:tcBorders>
              <w:top w:val="nil"/>
              <w:left w:val="nil"/>
              <w:bottom w:val="single" w:sz="4" w:space="0" w:color="auto"/>
              <w:right w:val="single" w:sz="4" w:space="0" w:color="auto"/>
            </w:tcBorders>
            <w:shd w:val="clear" w:color="auto" w:fill="auto"/>
            <w:noWrap/>
            <w:vAlign w:val="center"/>
          </w:tcPr>
          <w:p w14:paraId="79B8AC99"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5,400</w:t>
            </w:r>
          </w:p>
        </w:tc>
        <w:tc>
          <w:tcPr>
            <w:tcW w:w="453" w:type="pct"/>
            <w:tcBorders>
              <w:top w:val="nil"/>
              <w:left w:val="nil"/>
              <w:bottom w:val="single" w:sz="4" w:space="0" w:color="auto"/>
              <w:right w:val="single" w:sz="4" w:space="0" w:color="auto"/>
            </w:tcBorders>
            <w:shd w:val="clear" w:color="auto" w:fill="auto"/>
            <w:vAlign w:val="center"/>
          </w:tcPr>
          <w:p w14:paraId="3CC25B8C"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5,000</w:t>
            </w:r>
          </w:p>
        </w:tc>
        <w:tc>
          <w:tcPr>
            <w:tcW w:w="454" w:type="pct"/>
            <w:tcBorders>
              <w:top w:val="nil"/>
              <w:left w:val="nil"/>
              <w:bottom w:val="single" w:sz="4" w:space="0" w:color="auto"/>
              <w:right w:val="single" w:sz="4" w:space="0" w:color="auto"/>
            </w:tcBorders>
            <w:shd w:val="clear" w:color="auto" w:fill="auto"/>
            <w:noWrap/>
            <w:vAlign w:val="center"/>
          </w:tcPr>
          <w:p w14:paraId="073EEE58"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5,400</w:t>
            </w:r>
          </w:p>
        </w:tc>
        <w:tc>
          <w:tcPr>
            <w:tcW w:w="455" w:type="pct"/>
            <w:tcBorders>
              <w:top w:val="nil"/>
              <w:left w:val="nil"/>
              <w:bottom w:val="single" w:sz="4" w:space="0" w:color="auto"/>
              <w:right w:val="single" w:sz="4" w:space="0" w:color="auto"/>
            </w:tcBorders>
            <w:shd w:val="clear" w:color="auto" w:fill="auto"/>
            <w:noWrap/>
            <w:vAlign w:val="center"/>
          </w:tcPr>
          <w:p w14:paraId="144A4957"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6,300</w:t>
            </w:r>
          </w:p>
        </w:tc>
        <w:tc>
          <w:tcPr>
            <w:tcW w:w="502" w:type="pct"/>
            <w:tcBorders>
              <w:top w:val="nil"/>
              <w:left w:val="nil"/>
              <w:bottom w:val="single" w:sz="4" w:space="0" w:color="auto"/>
              <w:right w:val="single" w:sz="4" w:space="0" w:color="auto"/>
            </w:tcBorders>
            <w:shd w:val="clear" w:color="auto" w:fill="auto"/>
            <w:vAlign w:val="center"/>
          </w:tcPr>
          <w:p w14:paraId="00EC37E5"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5,800</w:t>
            </w:r>
          </w:p>
        </w:tc>
      </w:tr>
      <w:tr w:rsidR="00090437" w:rsidRPr="00090437" w14:paraId="3AD8FEEA" w14:textId="77777777" w:rsidTr="00090437">
        <w:trPr>
          <w:trHeight w:val="405"/>
        </w:trPr>
        <w:tc>
          <w:tcPr>
            <w:tcW w:w="703" w:type="pct"/>
            <w:vMerge/>
            <w:tcBorders>
              <w:left w:val="single" w:sz="8" w:space="0" w:color="auto"/>
              <w:bottom w:val="single" w:sz="4" w:space="0" w:color="auto"/>
              <w:right w:val="nil"/>
            </w:tcBorders>
            <w:shd w:val="clear" w:color="auto" w:fill="auto"/>
            <w:vAlign w:val="center"/>
          </w:tcPr>
          <w:p w14:paraId="1D60AF3C" w14:textId="77777777" w:rsidR="00090437" w:rsidRPr="00090437" w:rsidRDefault="00090437" w:rsidP="00090437">
            <w:pPr>
              <w:jc w:val="center"/>
              <w:rPr>
                <w:rFonts w:ascii="Tahoma" w:hAnsi="Tahoma" w:cs="Tahoma"/>
                <w:bCs/>
                <w:iCs/>
                <w:sz w:val="20"/>
                <w:szCs w:val="20"/>
              </w:rPr>
            </w:pPr>
          </w:p>
        </w:tc>
        <w:tc>
          <w:tcPr>
            <w:tcW w:w="785" w:type="pct"/>
            <w:vMerge/>
            <w:tcBorders>
              <w:top w:val="nil"/>
              <w:left w:val="single" w:sz="8" w:space="0" w:color="auto"/>
              <w:bottom w:val="single" w:sz="8" w:space="0" w:color="000000"/>
              <w:right w:val="single" w:sz="4" w:space="0" w:color="auto"/>
            </w:tcBorders>
            <w:vAlign w:val="center"/>
            <w:hideMark/>
          </w:tcPr>
          <w:p w14:paraId="212F5DEF" w14:textId="77777777" w:rsidR="00090437" w:rsidRPr="00090437" w:rsidRDefault="00090437" w:rsidP="00090437">
            <w:pPr>
              <w:rPr>
                <w:rFonts w:ascii="Tahoma" w:hAnsi="Tahoma" w:cs="Tahoma"/>
                <w:bCs/>
                <w:iCs/>
                <w:sz w:val="20"/>
                <w:szCs w:val="20"/>
              </w:rPr>
            </w:pPr>
          </w:p>
        </w:tc>
        <w:tc>
          <w:tcPr>
            <w:tcW w:w="587" w:type="pct"/>
            <w:vMerge/>
            <w:tcBorders>
              <w:left w:val="nil"/>
              <w:bottom w:val="single" w:sz="4" w:space="0" w:color="auto"/>
              <w:right w:val="single" w:sz="4" w:space="0" w:color="auto"/>
            </w:tcBorders>
            <w:shd w:val="clear" w:color="auto" w:fill="auto"/>
            <w:noWrap/>
            <w:vAlign w:val="center"/>
            <w:hideMark/>
          </w:tcPr>
          <w:p w14:paraId="31336FCE" w14:textId="77777777" w:rsidR="00090437" w:rsidRPr="00090437" w:rsidRDefault="00090437" w:rsidP="00090437">
            <w:pPr>
              <w:jc w:val="center"/>
              <w:rPr>
                <w:rFonts w:ascii="Tahoma" w:hAnsi="Tahoma" w:cs="Tahoma"/>
                <w:bCs/>
                <w:iCs/>
                <w:sz w:val="20"/>
                <w:szCs w:val="20"/>
              </w:rPr>
            </w:pPr>
          </w:p>
        </w:tc>
        <w:tc>
          <w:tcPr>
            <w:tcW w:w="640" w:type="pct"/>
            <w:tcBorders>
              <w:top w:val="nil"/>
              <w:left w:val="nil"/>
              <w:bottom w:val="single" w:sz="4" w:space="0" w:color="auto"/>
              <w:right w:val="single" w:sz="4" w:space="0" w:color="auto"/>
            </w:tcBorders>
            <w:shd w:val="clear" w:color="auto" w:fill="auto"/>
            <w:noWrap/>
            <w:vAlign w:val="center"/>
            <w:hideMark/>
          </w:tcPr>
          <w:p w14:paraId="1D550918"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1 500 000</w:t>
            </w:r>
          </w:p>
        </w:tc>
        <w:tc>
          <w:tcPr>
            <w:tcW w:w="421" w:type="pct"/>
            <w:tcBorders>
              <w:top w:val="nil"/>
              <w:left w:val="nil"/>
              <w:bottom w:val="single" w:sz="4" w:space="0" w:color="auto"/>
              <w:right w:val="single" w:sz="4" w:space="0" w:color="auto"/>
            </w:tcBorders>
            <w:shd w:val="clear" w:color="auto" w:fill="auto"/>
            <w:noWrap/>
            <w:vAlign w:val="center"/>
          </w:tcPr>
          <w:p w14:paraId="624A91FB"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5,400</w:t>
            </w:r>
          </w:p>
        </w:tc>
        <w:tc>
          <w:tcPr>
            <w:tcW w:w="453" w:type="pct"/>
            <w:tcBorders>
              <w:top w:val="nil"/>
              <w:left w:val="nil"/>
              <w:bottom w:val="single" w:sz="4" w:space="0" w:color="auto"/>
              <w:right w:val="single" w:sz="4" w:space="0" w:color="auto"/>
            </w:tcBorders>
            <w:shd w:val="clear" w:color="auto" w:fill="auto"/>
            <w:vAlign w:val="center"/>
          </w:tcPr>
          <w:p w14:paraId="61CF2B7A"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5,000</w:t>
            </w:r>
          </w:p>
        </w:tc>
        <w:tc>
          <w:tcPr>
            <w:tcW w:w="454" w:type="pct"/>
            <w:tcBorders>
              <w:top w:val="nil"/>
              <w:left w:val="nil"/>
              <w:bottom w:val="single" w:sz="4" w:space="0" w:color="auto"/>
              <w:right w:val="single" w:sz="4" w:space="0" w:color="auto"/>
            </w:tcBorders>
            <w:shd w:val="clear" w:color="auto" w:fill="auto"/>
            <w:noWrap/>
            <w:vAlign w:val="center"/>
          </w:tcPr>
          <w:p w14:paraId="63C3CF05"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5,400</w:t>
            </w:r>
          </w:p>
        </w:tc>
        <w:tc>
          <w:tcPr>
            <w:tcW w:w="455" w:type="pct"/>
            <w:tcBorders>
              <w:top w:val="nil"/>
              <w:left w:val="nil"/>
              <w:bottom w:val="single" w:sz="4" w:space="0" w:color="auto"/>
              <w:right w:val="single" w:sz="4" w:space="0" w:color="auto"/>
            </w:tcBorders>
            <w:shd w:val="clear" w:color="auto" w:fill="auto"/>
            <w:noWrap/>
            <w:vAlign w:val="center"/>
          </w:tcPr>
          <w:p w14:paraId="69E9DBA4"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6,300</w:t>
            </w:r>
          </w:p>
        </w:tc>
        <w:tc>
          <w:tcPr>
            <w:tcW w:w="502" w:type="pct"/>
            <w:tcBorders>
              <w:top w:val="nil"/>
              <w:left w:val="nil"/>
              <w:bottom w:val="single" w:sz="4" w:space="0" w:color="auto"/>
              <w:right w:val="single" w:sz="4" w:space="0" w:color="auto"/>
            </w:tcBorders>
            <w:shd w:val="clear" w:color="auto" w:fill="auto"/>
            <w:vAlign w:val="center"/>
          </w:tcPr>
          <w:p w14:paraId="4B9C00D6"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5,800</w:t>
            </w:r>
          </w:p>
        </w:tc>
      </w:tr>
    </w:tbl>
    <w:p w14:paraId="31B82370" w14:textId="77777777" w:rsidR="00090437" w:rsidRPr="00090437" w:rsidRDefault="00090437" w:rsidP="00090437">
      <w:pPr>
        <w:tabs>
          <w:tab w:val="left" w:pos="851"/>
        </w:tabs>
        <w:ind w:firstLine="426"/>
        <w:jc w:val="both"/>
        <w:rPr>
          <w:rFonts w:ascii="Tahoma" w:hAnsi="Tahoma" w:cs="Tahoma"/>
          <w:b/>
          <w:color w:val="000000" w:themeColor="text1"/>
          <w:sz w:val="16"/>
          <w:szCs w:val="16"/>
          <w:shd w:val="clear" w:color="auto" w:fill="FFFFFF"/>
        </w:rPr>
      </w:pPr>
    </w:p>
    <w:p w14:paraId="00343DA8" w14:textId="77777777" w:rsidR="00090437" w:rsidRPr="00090437" w:rsidRDefault="00090437" w:rsidP="00090437">
      <w:pPr>
        <w:tabs>
          <w:tab w:val="left" w:pos="851"/>
        </w:tabs>
        <w:ind w:firstLine="426"/>
        <w:jc w:val="both"/>
        <w:rPr>
          <w:rFonts w:ascii="Tahoma" w:hAnsi="Tahoma" w:cs="Tahoma"/>
          <w:sz w:val="18"/>
          <w:szCs w:val="18"/>
        </w:rPr>
      </w:pPr>
      <w:r w:rsidRPr="00090437">
        <w:rPr>
          <w:rFonts w:ascii="Tahoma" w:hAnsi="Tahoma" w:cs="Tahoma"/>
          <w:color w:val="000000" w:themeColor="text1"/>
          <w:sz w:val="16"/>
          <w:szCs w:val="16"/>
        </w:rPr>
        <w:t xml:space="preserve">* </w:t>
      </w:r>
      <w:r w:rsidRPr="00090437">
        <w:rPr>
          <w:rFonts w:ascii="Tahoma" w:hAnsi="Tahoma" w:cs="Tahoma"/>
          <w:color w:val="000000" w:themeColor="text1"/>
          <w:sz w:val="18"/>
          <w:szCs w:val="18"/>
        </w:rPr>
        <w:t xml:space="preserve">Соответствует </w:t>
      </w:r>
      <w:r w:rsidRPr="00090437">
        <w:rPr>
          <w:rFonts w:ascii="Tahoma" w:hAnsi="Tahoma" w:cs="Tahoma"/>
          <w:sz w:val="18"/>
          <w:szCs w:val="18"/>
        </w:rPr>
        <w:t>значению минимальной гарантированной ставки (годовых) с учетом округления, определяющему минимальный доход, выплачиваемый вкладчику на сумму вклада при условии хранения суммы вклада до конца срока вклада без учета каких-либо других условий. Порядок расчета минимальной гарантированной ставки по вкладу определяется Банком России.</w:t>
      </w:r>
    </w:p>
    <w:p w14:paraId="6F2E11D2" w14:textId="77777777" w:rsidR="00090437" w:rsidRPr="00090437" w:rsidRDefault="00090437" w:rsidP="00090437">
      <w:pPr>
        <w:tabs>
          <w:tab w:val="left" w:pos="851"/>
        </w:tabs>
        <w:ind w:firstLine="426"/>
        <w:jc w:val="both"/>
        <w:rPr>
          <w:rFonts w:ascii="Tahoma" w:hAnsi="Tahoma" w:cs="Tahoma"/>
          <w:b/>
          <w:color w:val="000000" w:themeColor="text1"/>
          <w:sz w:val="16"/>
          <w:szCs w:val="16"/>
          <w:shd w:val="clear" w:color="auto" w:fill="FFFFFF"/>
        </w:rPr>
      </w:pPr>
    </w:p>
    <w:p w14:paraId="556EA38B" w14:textId="7B1E8339" w:rsidR="00090437" w:rsidRPr="00090437" w:rsidRDefault="002B7E85" w:rsidP="000B3718">
      <w:pPr>
        <w:pStyle w:val="a5"/>
      </w:pPr>
      <w:r>
        <w:t>3.</w:t>
      </w:r>
      <w:r w:rsidR="00DE6159">
        <w:t>4</w:t>
      </w:r>
      <w:r w:rsidR="00955573">
        <w:t>1</w:t>
      </w:r>
      <w:r w:rsidR="00090437" w:rsidRPr="00090437">
        <w:t>. Вклад «Лето» (условия для пролонгируемых вкладов)</w:t>
      </w:r>
    </w:p>
    <w:p w14:paraId="1084F646" w14:textId="77777777" w:rsidR="00090437" w:rsidRPr="00090437" w:rsidRDefault="00090437" w:rsidP="00090437">
      <w:pPr>
        <w:tabs>
          <w:tab w:val="left" w:pos="851"/>
        </w:tabs>
        <w:ind w:firstLine="426"/>
        <w:jc w:val="both"/>
        <w:rPr>
          <w:rFonts w:ascii="Tahoma" w:hAnsi="Tahoma" w:cs="Tahoma"/>
          <w:bCs/>
          <w:iCs/>
          <w:color w:val="000000" w:themeColor="text1"/>
          <w:sz w:val="22"/>
          <w:szCs w:val="22"/>
        </w:rPr>
      </w:pPr>
      <w:r w:rsidRPr="00090437">
        <w:rPr>
          <w:rFonts w:ascii="Tahoma" w:hAnsi="Tahoma" w:cs="Tahoma"/>
          <w:bCs/>
          <w:iCs/>
          <w:color w:val="000000" w:themeColor="text1"/>
          <w:sz w:val="22"/>
          <w:szCs w:val="22"/>
        </w:rPr>
        <w:t>Условия:</w:t>
      </w:r>
    </w:p>
    <w:p w14:paraId="57E888AF"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Валюта - рубли;</w:t>
      </w:r>
    </w:p>
    <w:p w14:paraId="0ED096B1"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Минимальная сумма Вклада 50 000 рублей;</w:t>
      </w:r>
    </w:p>
    <w:p w14:paraId="7331B41A"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Максимальная сумма Вклада – не ограничена;</w:t>
      </w:r>
    </w:p>
    <w:p w14:paraId="54D7454D"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Срок Вклада – 92 дня;</w:t>
      </w:r>
    </w:p>
    <w:p w14:paraId="618A7E8D"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Вклад не пополняемый;</w:t>
      </w:r>
    </w:p>
    <w:p w14:paraId="1925D06D"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Вклад пролонгируемый;</w:t>
      </w:r>
    </w:p>
    <w:p w14:paraId="5AB999F9"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Неснижаемый остаток по Вкладу – не предусмотрен;</w:t>
      </w:r>
    </w:p>
    <w:p w14:paraId="1D54BE06" w14:textId="77777777" w:rsidR="00090437" w:rsidRPr="00090437" w:rsidRDefault="00090437" w:rsidP="00090437">
      <w:pPr>
        <w:widowControl w:val="0"/>
        <w:numPr>
          <w:ilvl w:val="0"/>
          <w:numId w:val="3"/>
        </w:numPr>
        <w:tabs>
          <w:tab w:val="left" w:pos="284"/>
          <w:tab w:val="left" w:pos="709"/>
          <w:tab w:val="left" w:pos="851"/>
        </w:tabs>
        <w:autoSpaceDE w:val="0"/>
        <w:autoSpaceDN w:val="0"/>
        <w:adjustRightInd w:val="0"/>
        <w:contextualSpacing/>
        <w:jc w:val="both"/>
        <w:rPr>
          <w:rFonts w:ascii="Tahoma" w:hAnsi="Tahoma" w:cs="Tahoma"/>
          <w:sz w:val="22"/>
          <w:szCs w:val="22"/>
        </w:rPr>
      </w:pPr>
      <w:r w:rsidRPr="00090437">
        <w:rPr>
          <w:rFonts w:ascii="Tahoma" w:hAnsi="Tahoma" w:cs="Tahoma"/>
          <w:sz w:val="22"/>
          <w:szCs w:val="22"/>
        </w:rPr>
        <w:t>Выплата процентов и суммы Вклада – в конце срока на счет банковской карты или Вклад «Личный счет» (до востребования);</w:t>
      </w:r>
    </w:p>
    <w:p w14:paraId="570ABA7B" w14:textId="77777777" w:rsidR="00090437" w:rsidRPr="00090437" w:rsidRDefault="00090437" w:rsidP="00090437">
      <w:pPr>
        <w:numPr>
          <w:ilvl w:val="0"/>
          <w:numId w:val="3"/>
        </w:numPr>
        <w:tabs>
          <w:tab w:val="left" w:pos="851"/>
        </w:tabs>
        <w:jc w:val="both"/>
        <w:rPr>
          <w:rFonts w:ascii="Tahoma" w:hAnsi="Tahoma" w:cs="Tahoma"/>
          <w:sz w:val="22"/>
          <w:szCs w:val="22"/>
        </w:rPr>
      </w:pPr>
      <w:r w:rsidRPr="00090437">
        <w:rPr>
          <w:rFonts w:ascii="Tahoma" w:hAnsi="Tahoma" w:cs="Tahoma"/>
          <w:sz w:val="22"/>
          <w:szCs w:val="22"/>
        </w:rPr>
        <w:t xml:space="preserve">При досрочном расторжении Договора Вклада проценты выплачиваются по ставке Вклада Банка «Личный счет» (до востребования). </w:t>
      </w:r>
    </w:p>
    <w:tbl>
      <w:tblPr>
        <w:tblW w:w="5000" w:type="pct"/>
        <w:tblLayout w:type="fixed"/>
        <w:tblLook w:val="04A0" w:firstRow="1" w:lastRow="0" w:firstColumn="1" w:lastColumn="0" w:noHBand="0" w:noVBand="1"/>
      </w:tblPr>
      <w:tblGrid>
        <w:gridCol w:w="2157"/>
        <w:gridCol w:w="2404"/>
        <w:gridCol w:w="1803"/>
        <w:gridCol w:w="3003"/>
        <w:gridCol w:w="5755"/>
      </w:tblGrid>
      <w:tr w:rsidR="00090437" w:rsidRPr="00090437" w14:paraId="2AA2B40B" w14:textId="77777777" w:rsidTr="00090437">
        <w:trPr>
          <w:trHeight w:val="319"/>
        </w:trPr>
        <w:tc>
          <w:tcPr>
            <w:tcW w:w="713" w:type="pct"/>
            <w:vMerge w:val="restart"/>
            <w:tcBorders>
              <w:top w:val="single" w:sz="8" w:space="0" w:color="auto"/>
              <w:left w:val="single" w:sz="8" w:space="0" w:color="auto"/>
              <w:bottom w:val="single" w:sz="8" w:space="0" w:color="000000"/>
              <w:right w:val="nil"/>
            </w:tcBorders>
            <w:shd w:val="clear" w:color="auto" w:fill="auto"/>
            <w:vAlign w:val="center"/>
            <w:hideMark/>
          </w:tcPr>
          <w:p w14:paraId="51A0D367"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Ориентировочный сегмент</w:t>
            </w:r>
          </w:p>
        </w:tc>
        <w:tc>
          <w:tcPr>
            <w:tcW w:w="795" w:type="pct"/>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21DB04A4"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Продукт</w:t>
            </w:r>
          </w:p>
        </w:tc>
        <w:tc>
          <w:tcPr>
            <w:tcW w:w="1589" w:type="pct"/>
            <w:gridSpan w:val="2"/>
            <w:tcBorders>
              <w:top w:val="single" w:sz="8" w:space="0" w:color="auto"/>
              <w:left w:val="nil"/>
              <w:bottom w:val="single" w:sz="4" w:space="0" w:color="auto"/>
              <w:right w:val="single" w:sz="4" w:space="0" w:color="auto"/>
            </w:tcBorders>
            <w:shd w:val="clear" w:color="auto" w:fill="auto"/>
            <w:noWrap/>
            <w:vAlign w:val="center"/>
            <w:hideMark/>
          </w:tcPr>
          <w:p w14:paraId="6A4DC278"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Базовые параметры вклада</w:t>
            </w:r>
          </w:p>
        </w:tc>
        <w:tc>
          <w:tcPr>
            <w:tcW w:w="1903" w:type="pct"/>
            <w:tcBorders>
              <w:top w:val="single" w:sz="8" w:space="0" w:color="auto"/>
              <w:left w:val="nil"/>
              <w:bottom w:val="single" w:sz="4" w:space="0" w:color="auto"/>
              <w:right w:val="single" w:sz="4" w:space="0" w:color="auto"/>
            </w:tcBorders>
            <w:shd w:val="clear" w:color="auto" w:fill="auto"/>
            <w:noWrap/>
            <w:vAlign w:val="center"/>
            <w:hideMark/>
          </w:tcPr>
          <w:p w14:paraId="442A6CF4" w14:textId="77777777" w:rsidR="00090437" w:rsidRPr="00090437" w:rsidRDefault="00090437" w:rsidP="00090437">
            <w:pPr>
              <w:jc w:val="center"/>
              <w:rPr>
                <w:rFonts w:ascii="Tahoma" w:hAnsi="Tahoma" w:cs="Tahoma"/>
                <w:bCs/>
                <w:iCs/>
                <w:sz w:val="20"/>
                <w:szCs w:val="20"/>
              </w:rPr>
            </w:pPr>
            <w:r w:rsidRPr="00090437">
              <w:rPr>
                <w:rFonts w:ascii="Tahoma" w:hAnsi="Tahoma" w:cs="Tahoma"/>
                <w:b/>
                <w:color w:val="000000" w:themeColor="text1"/>
                <w:sz w:val="20"/>
                <w:szCs w:val="20"/>
              </w:rPr>
              <w:t>Процентные ставки* (% годовых</w:t>
            </w:r>
            <w:r w:rsidRPr="00090437">
              <w:rPr>
                <w:rFonts w:ascii="Tahoma" w:hAnsi="Tahoma" w:cs="Tahoma"/>
                <w:b/>
                <w:sz w:val="20"/>
                <w:szCs w:val="20"/>
              </w:rPr>
              <w:t>) в зависимости от срока договора вклада</w:t>
            </w:r>
          </w:p>
        </w:tc>
      </w:tr>
      <w:tr w:rsidR="00090437" w:rsidRPr="00090437" w14:paraId="72D2801A" w14:textId="77777777" w:rsidTr="00090437">
        <w:trPr>
          <w:trHeight w:val="319"/>
        </w:trPr>
        <w:tc>
          <w:tcPr>
            <w:tcW w:w="713" w:type="pct"/>
            <w:vMerge/>
            <w:tcBorders>
              <w:top w:val="single" w:sz="8" w:space="0" w:color="auto"/>
              <w:left w:val="single" w:sz="8" w:space="0" w:color="auto"/>
              <w:bottom w:val="single" w:sz="8" w:space="0" w:color="000000"/>
              <w:right w:val="nil"/>
            </w:tcBorders>
            <w:vAlign w:val="center"/>
            <w:hideMark/>
          </w:tcPr>
          <w:p w14:paraId="3EE1D6F3" w14:textId="77777777" w:rsidR="00090437" w:rsidRPr="00090437" w:rsidRDefault="00090437" w:rsidP="00090437">
            <w:pPr>
              <w:rPr>
                <w:rFonts w:ascii="Tahoma" w:hAnsi="Tahoma" w:cs="Tahoma"/>
                <w:bCs/>
                <w:iCs/>
                <w:sz w:val="20"/>
                <w:szCs w:val="20"/>
              </w:rPr>
            </w:pPr>
          </w:p>
        </w:tc>
        <w:tc>
          <w:tcPr>
            <w:tcW w:w="795" w:type="pct"/>
            <w:vMerge/>
            <w:tcBorders>
              <w:top w:val="single" w:sz="8" w:space="0" w:color="auto"/>
              <w:left w:val="single" w:sz="8" w:space="0" w:color="auto"/>
              <w:bottom w:val="single" w:sz="8" w:space="0" w:color="000000"/>
              <w:right w:val="single" w:sz="4" w:space="0" w:color="auto"/>
            </w:tcBorders>
            <w:vAlign w:val="center"/>
            <w:hideMark/>
          </w:tcPr>
          <w:p w14:paraId="78FFF0A8" w14:textId="77777777" w:rsidR="00090437" w:rsidRPr="00090437" w:rsidRDefault="00090437" w:rsidP="00090437">
            <w:pPr>
              <w:rPr>
                <w:rFonts w:ascii="Tahoma" w:hAnsi="Tahoma" w:cs="Tahoma"/>
                <w:bCs/>
                <w:iCs/>
                <w:sz w:val="20"/>
                <w:szCs w:val="20"/>
              </w:rPr>
            </w:pPr>
          </w:p>
        </w:tc>
        <w:tc>
          <w:tcPr>
            <w:tcW w:w="596" w:type="pct"/>
            <w:tcBorders>
              <w:top w:val="nil"/>
              <w:left w:val="nil"/>
              <w:bottom w:val="single" w:sz="8" w:space="0" w:color="auto"/>
              <w:right w:val="single" w:sz="4" w:space="0" w:color="auto"/>
            </w:tcBorders>
            <w:shd w:val="clear" w:color="auto" w:fill="auto"/>
            <w:noWrap/>
            <w:vAlign w:val="center"/>
            <w:hideMark/>
          </w:tcPr>
          <w:p w14:paraId="0DC048B5"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Валюта вклада</w:t>
            </w:r>
          </w:p>
        </w:tc>
        <w:tc>
          <w:tcPr>
            <w:tcW w:w="993" w:type="pct"/>
            <w:tcBorders>
              <w:top w:val="nil"/>
              <w:left w:val="nil"/>
              <w:bottom w:val="single" w:sz="8" w:space="0" w:color="auto"/>
              <w:right w:val="single" w:sz="4" w:space="0" w:color="auto"/>
            </w:tcBorders>
            <w:shd w:val="clear" w:color="auto" w:fill="auto"/>
            <w:noWrap/>
            <w:vAlign w:val="center"/>
            <w:hideMark/>
          </w:tcPr>
          <w:p w14:paraId="24B1FBFB"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 xml:space="preserve">Минимальная сумма вклада </w:t>
            </w:r>
          </w:p>
        </w:tc>
        <w:tc>
          <w:tcPr>
            <w:tcW w:w="1903" w:type="pct"/>
            <w:tcBorders>
              <w:top w:val="nil"/>
              <w:left w:val="nil"/>
              <w:bottom w:val="single" w:sz="8" w:space="0" w:color="auto"/>
              <w:right w:val="single" w:sz="4" w:space="0" w:color="auto"/>
            </w:tcBorders>
            <w:shd w:val="clear" w:color="auto" w:fill="auto"/>
            <w:noWrap/>
            <w:vAlign w:val="center"/>
          </w:tcPr>
          <w:p w14:paraId="5B1C96D0"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92 дня</w:t>
            </w:r>
          </w:p>
        </w:tc>
      </w:tr>
      <w:tr w:rsidR="00090437" w:rsidRPr="00090437" w14:paraId="2D127165" w14:textId="77777777" w:rsidTr="00090437">
        <w:trPr>
          <w:trHeight w:val="173"/>
        </w:trPr>
        <w:tc>
          <w:tcPr>
            <w:tcW w:w="713" w:type="pct"/>
            <w:tcBorders>
              <w:top w:val="nil"/>
              <w:left w:val="single" w:sz="8" w:space="0" w:color="auto"/>
              <w:bottom w:val="single" w:sz="4" w:space="0" w:color="auto"/>
              <w:right w:val="nil"/>
            </w:tcBorders>
            <w:shd w:val="clear" w:color="auto" w:fill="auto"/>
            <w:vAlign w:val="center"/>
            <w:hideMark/>
          </w:tcPr>
          <w:p w14:paraId="10895DC9"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Все категории клиентов</w:t>
            </w:r>
          </w:p>
        </w:tc>
        <w:tc>
          <w:tcPr>
            <w:tcW w:w="795" w:type="pct"/>
            <w:tcBorders>
              <w:top w:val="nil"/>
              <w:left w:val="single" w:sz="8" w:space="0" w:color="auto"/>
              <w:bottom w:val="single" w:sz="4" w:space="0" w:color="auto"/>
              <w:right w:val="single" w:sz="4" w:space="0" w:color="auto"/>
            </w:tcBorders>
            <w:shd w:val="clear" w:color="000000" w:fill="FFC000"/>
            <w:vAlign w:val="center"/>
            <w:hideMark/>
          </w:tcPr>
          <w:p w14:paraId="00DF90B6"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Лето</w:t>
            </w:r>
          </w:p>
        </w:tc>
        <w:tc>
          <w:tcPr>
            <w:tcW w:w="596" w:type="pct"/>
            <w:tcBorders>
              <w:top w:val="nil"/>
              <w:left w:val="nil"/>
              <w:bottom w:val="single" w:sz="4" w:space="0" w:color="auto"/>
              <w:right w:val="single" w:sz="4" w:space="0" w:color="auto"/>
            </w:tcBorders>
            <w:shd w:val="clear" w:color="auto" w:fill="auto"/>
            <w:noWrap/>
            <w:vAlign w:val="center"/>
            <w:hideMark/>
          </w:tcPr>
          <w:p w14:paraId="1BBF3B6F"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рубли</w:t>
            </w:r>
          </w:p>
        </w:tc>
        <w:tc>
          <w:tcPr>
            <w:tcW w:w="993" w:type="pct"/>
            <w:tcBorders>
              <w:top w:val="nil"/>
              <w:left w:val="nil"/>
              <w:bottom w:val="single" w:sz="4" w:space="0" w:color="auto"/>
              <w:right w:val="single" w:sz="4" w:space="0" w:color="auto"/>
            </w:tcBorders>
            <w:shd w:val="clear" w:color="auto" w:fill="auto"/>
            <w:noWrap/>
            <w:vAlign w:val="center"/>
            <w:hideMark/>
          </w:tcPr>
          <w:p w14:paraId="1257D656"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50 000</w:t>
            </w:r>
          </w:p>
        </w:tc>
        <w:tc>
          <w:tcPr>
            <w:tcW w:w="1903" w:type="pct"/>
            <w:tcBorders>
              <w:top w:val="nil"/>
              <w:left w:val="nil"/>
              <w:bottom w:val="single" w:sz="4" w:space="0" w:color="auto"/>
              <w:right w:val="single" w:sz="4" w:space="0" w:color="auto"/>
            </w:tcBorders>
            <w:shd w:val="clear" w:color="auto" w:fill="auto"/>
            <w:noWrap/>
            <w:vAlign w:val="center"/>
          </w:tcPr>
          <w:p w14:paraId="4EC66B62"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3,800</w:t>
            </w:r>
          </w:p>
        </w:tc>
      </w:tr>
    </w:tbl>
    <w:p w14:paraId="3795094E" w14:textId="77777777" w:rsidR="00090437" w:rsidRPr="00090437" w:rsidRDefault="00090437" w:rsidP="00090437">
      <w:pPr>
        <w:tabs>
          <w:tab w:val="left" w:pos="851"/>
        </w:tabs>
        <w:ind w:left="426"/>
        <w:contextualSpacing/>
        <w:jc w:val="both"/>
        <w:rPr>
          <w:rFonts w:ascii="Tahoma" w:hAnsi="Tahoma" w:cs="Tahoma"/>
          <w:color w:val="FF0000"/>
          <w:sz w:val="16"/>
          <w:szCs w:val="16"/>
        </w:rPr>
      </w:pPr>
      <w:r w:rsidRPr="00090437">
        <w:rPr>
          <w:rFonts w:ascii="Tahoma" w:hAnsi="Tahoma" w:cs="Tahoma"/>
          <w:color w:val="000000" w:themeColor="text1"/>
          <w:sz w:val="16"/>
          <w:szCs w:val="16"/>
        </w:rPr>
        <w:t xml:space="preserve">* </w:t>
      </w:r>
      <w:r w:rsidRPr="00090437">
        <w:rPr>
          <w:rFonts w:ascii="Tahoma" w:hAnsi="Tahoma" w:cs="Tahoma"/>
          <w:color w:val="000000" w:themeColor="text1"/>
          <w:sz w:val="18"/>
          <w:szCs w:val="18"/>
        </w:rPr>
        <w:t>С</w:t>
      </w:r>
      <w:r w:rsidRPr="00090437">
        <w:rPr>
          <w:rFonts w:ascii="Tahoma" w:hAnsi="Tahoma" w:cs="Tahoma"/>
          <w:sz w:val="18"/>
          <w:szCs w:val="18"/>
        </w:rPr>
        <w:t>оответствует значению минимальной гарантированной ставки (годовых) с учетом округления, определяющему минимальный доход, выплачиваемый вкладчику на сумму вклада при условии хранения суммы вклада до конца срока вклада без учета каких-либо других условий. Порядок расчета минимальной гарантированной ставки по вкладу определяется Банком России.</w:t>
      </w:r>
    </w:p>
    <w:p w14:paraId="6B92D877" w14:textId="77777777" w:rsidR="00090437" w:rsidRPr="00090437" w:rsidRDefault="00090437" w:rsidP="00090437">
      <w:pPr>
        <w:tabs>
          <w:tab w:val="left" w:pos="851"/>
        </w:tabs>
        <w:ind w:left="426"/>
        <w:contextualSpacing/>
        <w:jc w:val="both"/>
        <w:rPr>
          <w:rFonts w:ascii="Tahoma" w:hAnsi="Tahoma" w:cs="Tahoma"/>
          <w:b/>
          <w:bCs/>
          <w:iCs/>
          <w:color w:val="E36C0A" w:themeColor="accent6" w:themeShade="BF"/>
          <w:sz w:val="22"/>
          <w:szCs w:val="22"/>
        </w:rPr>
      </w:pPr>
    </w:p>
    <w:p w14:paraId="7B8732FB" w14:textId="41E1EE50" w:rsidR="00090437" w:rsidRPr="00090437" w:rsidRDefault="00955573" w:rsidP="000B3718">
      <w:pPr>
        <w:pStyle w:val="a5"/>
      </w:pPr>
      <w:r>
        <w:t>3.42</w:t>
      </w:r>
      <w:r w:rsidR="00090437" w:rsidRPr="00090437">
        <w:t>. Вклад «Лето 5,5» (условия для пролонгируемых вкладов)</w:t>
      </w:r>
    </w:p>
    <w:p w14:paraId="0CBBBACD" w14:textId="77777777" w:rsidR="00090437" w:rsidRPr="00090437" w:rsidRDefault="00090437" w:rsidP="000B3718">
      <w:pPr>
        <w:pStyle w:val="a5"/>
        <w:rPr>
          <w:color w:val="000000" w:themeColor="text1"/>
        </w:rPr>
      </w:pPr>
      <w:r w:rsidRPr="00090437">
        <w:rPr>
          <w:color w:val="000000" w:themeColor="text1"/>
        </w:rPr>
        <w:t>Условия:</w:t>
      </w:r>
    </w:p>
    <w:p w14:paraId="18FA0871"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Валюта - рубли;</w:t>
      </w:r>
    </w:p>
    <w:p w14:paraId="4B2292D8"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Минимальная сумма Вклада 50 000 рублей;</w:t>
      </w:r>
    </w:p>
    <w:p w14:paraId="0868405D"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Максимальная сумма Вклада – не ограничена;</w:t>
      </w:r>
    </w:p>
    <w:p w14:paraId="2279E5BC"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Срок Вклада – 92 дня;</w:t>
      </w:r>
    </w:p>
    <w:p w14:paraId="396F2EBF"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Вклад не пополняемый;</w:t>
      </w:r>
    </w:p>
    <w:p w14:paraId="796119DE"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Вклад пролонгируемый;</w:t>
      </w:r>
    </w:p>
    <w:p w14:paraId="1D2A5A9A"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Неснижаемый остаток по Вкладу – не предусмотрен;</w:t>
      </w:r>
    </w:p>
    <w:p w14:paraId="7CE290A5" w14:textId="77777777" w:rsidR="00090437" w:rsidRPr="00090437" w:rsidRDefault="00090437" w:rsidP="00090437">
      <w:pPr>
        <w:widowControl w:val="0"/>
        <w:numPr>
          <w:ilvl w:val="0"/>
          <w:numId w:val="3"/>
        </w:numPr>
        <w:tabs>
          <w:tab w:val="left" w:pos="284"/>
          <w:tab w:val="left" w:pos="709"/>
          <w:tab w:val="left" w:pos="851"/>
        </w:tabs>
        <w:autoSpaceDE w:val="0"/>
        <w:autoSpaceDN w:val="0"/>
        <w:adjustRightInd w:val="0"/>
        <w:contextualSpacing/>
        <w:jc w:val="both"/>
        <w:rPr>
          <w:rFonts w:ascii="Tahoma" w:hAnsi="Tahoma" w:cs="Tahoma"/>
          <w:sz w:val="22"/>
          <w:szCs w:val="22"/>
        </w:rPr>
      </w:pPr>
      <w:r w:rsidRPr="00090437">
        <w:rPr>
          <w:rFonts w:ascii="Tahoma" w:hAnsi="Tahoma" w:cs="Tahoma"/>
          <w:sz w:val="22"/>
          <w:szCs w:val="22"/>
        </w:rPr>
        <w:t>Выплата процентов и суммы Вклада – в конце срока на счет банковской карты или Вклад «Личный счет» (до востребования);</w:t>
      </w:r>
    </w:p>
    <w:p w14:paraId="1AD40DD1" w14:textId="77777777" w:rsidR="00090437" w:rsidRPr="00090437" w:rsidRDefault="00090437" w:rsidP="00090437">
      <w:pPr>
        <w:numPr>
          <w:ilvl w:val="0"/>
          <w:numId w:val="3"/>
        </w:numPr>
        <w:tabs>
          <w:tab w:val="left" w:pos="851"/>
        </w:tabs>
        <w:jc w:val="both"/>
        <w:rPr>
          <w:rFonts w:ascii="Tahoma" w:hAnsi="Tahoma" w:cs="Tahoma"/>
          <w:sz w:val="22"/>
          <w:szCs w:val="22"/>
        </w:rPr>
      </w:pPr>
      <w:r w:rsidRPr="00090437">
        <w:rPr>
          <w:rFonts w:ascii="Tahoma" w:hAnsi="Tahoma" w:cs="Tahoma"/>
          <w:sz w:val="22"/>
          <w:szCs w:val="22"/>
        </w:rPr>
        <w:t xml:space="preserve">При досрочном расторжении Договора Вклада проценты выплачиваются по ставке Вклада Банка «Личный счет» (до востребования). </w:t>
      </w:r>
    </w:p>
    <w:tbl>
      <w:tblPr>
        <w:tblW w:w="5000" w:type="pct"/>
        <w:tblLayout w:type="fixed"/>
        <w:tblLook w:val="04A0" w:firstRow="1" w:lastRow="0" w:firstColumn="1" w:lastColumn="0" w:noHBand="0" w:noVBand="1"/>
      </w:tblPr>
      <w:tblGrid>
        <w:gridCol w:w="2157"/>
        <w:gridCol w:w="2404"/>
        <w:gridCol w:w="1803"/>
        <w:gridCol w:w="3003"/>
        <w:gridCol w:w="5755"/>
      </w:tblGrid>
      <w:tr w:rsidR="00090437" w:rsidRPr="00090437" w14:paraId="10D553AD" w14:textId="77777777" w:rsidTr="00090437">
        <w:trPr>
          <w:trHeight w:val="319"/>
        </w:trPr>
        <w:tc>
          <w:tcPr>
            <w:tcW w:w="713" w:type="pct"/>
            <w:vMerge w:val="restart"/>
            <w:tcBorders>
              <w:top w:val="single" w:sz="8" w:space="0" w:color="auto"/>
              <w:left w:val="single" w:sz="8" w:space="0" w:color="auto"/>
              <w:bottom w:val="single" w:sz="8" w:space="0" w:color="000000"/>
              <w:right w:val="nil"/>
            </w:tcBorders>
            <w:shd w:val="clear" w:color="auto" w:fill="auto"/>
            <w:vAlign w:val="center"/>
            <w:hideMark/>
          </w:tcPr>
          <w:p w14:paraId="5422D8C6"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Ориентировочный сегмент</w:t>
            </w:r>
          </w:p>
        </w:tc>
        <w:tc>
          <w:tcPr>
            <w:tcW w:w="795" w:type="pct"/>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57E31991"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Продукт</w:t>
            </w:r>
          </w:p>
        </w:tc>
        <w:tc>
          <w:tcPr>
            <w:tcW w:w="1589" w:type="pct"/>
            <w:gridSpan w:val="2"/>
            <w:tcBorders>
              <w:top w:val="single" w:sz="8" w:space="0" w:color="auto"/>
              <w:left w:val="nil"/>
              <w:bottom w:val="single" w:sz="4" w:space="0" w:color="auto"/>
              <w:right w:val="single" w:sz="4" w:space="0" w:color="auto"/>
            </w:tcBorders>
            <w:shd w:val="clear" w:color="auto" w:fill="auto"/>
            <w:noWrap/>
            <w:vAlign w:val="center"/>
            <w:hideMark/>
          </w:tcPr>
          <w:p w14:paraId="3E58B042"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Базовые параметры вклада</w:t>
            </w:r>
          </w:p>
        </w:tc>
        <w:tc>
          <w:tcPr>
            <w:tcW w:w="1903" w:type="pct"/>
            <w:tcBorders>
              <w:top w:val="single" w:sz="8" w:space="0" w:color="auto"/>
              <w:left w:val="nil"/>
              <w:bottom w:val="single" w:sz="4" w:space="0" w:color="auto"/>
              <w:right w:val="single" w:sz="4" w:space="0" w:color="auto"/>
            </w:tcBorders>
            <w:shd w:val="clear" w:color="auto" w:fill="auto"/>
            <w:noWrap/>
            <w:vAlign w:val="center"/>
            <w:hideMark/>
          </w:tcPr>
          <w:p w14:paraId="6B6EB2FC" w14:textId="77777777" w:rsidR="00090437" w:rsidRPr="00090437" w:rsidRDefault="00090437" w:rsidP="00090437">
            <w:pPr>
              <w:jc w:val="center"/>
              <w:rPr>
                <w:rFonts w:ascii="Tahoma" w:hAnsi="Tahoma" w:cs="Tahoma"/>
                <w:bCs/>
                <w:iCs/>
                <w:sz w:val="20"/>
                <w:szCs w:val="20"/>
              </w:rPr>
            </w:pPr>
            <w:r w:rsidRPr="00090437">
              <w:rPr>
                <w:rFonts w:ascii="Tahoma" w:hAnsi="Tahoma" w:cs="Tahoma"/>
                <w:b/>
                <w:color w:val="000000" w:themeColor="text1"/>
                <w:sz w:val="20"/>
                <w:szCs w:val="20"/>
              </w:rPr>
              <w:t>Процентные ставки* (% годовых</w:t>
            </w:r>
            <w:r w:rsidRPr="00090437">
              <w:rPr>
                <w:rFonts w:ascii="Tahoma" w:hAnsi="Tahoma" w:cs="Tahoma"/>
                <w:b/>
                <w:sz w:val="20"/>
                <w:szCs w:val="20"/>
              </w:rPr>
              <w:t>) в зависимости от срока договора вклада</w:t>
            </w:r>
          </w:p>
        </w:tc>
      </w:tr>
      <w:tr w:rsidR="00090437" w:rsidRPr="00090437" w14:paraId="36C7CD27" w14:textId="77777777" w:rsidTr="00090437">
        <w:trPr>
          <w:trHeight w:val="319"/>
        </w:trPr>
        <w:tc>
          <w:tcPr>
            <w:tcW w:w="713" w:type="pct"/>
            <w:vMerge/>
            <w:tcBorders>
              <w:top w:val="single" w:sz="8" w:space="0" w:color="auto"/>
              <w:left w:val="single" w:sz="8" w:space="0" w:color="auto"/>
              <w:bottom w:val="single" w:sz="8" w:space="0" w:color="000000"/>
              <w:right w:val="nil"/>
            </w:tcBorders>
            <w:vAlign w:val="center"/>
            <w:hideMark/>
          </w:tcPr>
          <w:p w14:paraId="62F7DD80" w14:textId="77777777" w:rsidR="00090437" w:rsidRPr="00090437" w:rsidRDefault="00090437" w:rsidP="00090437">
            <w:pPr>
              <w:rPr>
                <w:rFonts w:ascii="Tahoma" w:hAnsi="Tahoma" w:cs="Tahoma"/>
                <w:bCs/>
                <w:iCs/>
                <w:sz w:val="20"/>
                <w:szCs w:val="20"/>
              </w:rPr>
            </w:pPr>
          </w:p>
        </w:tc>
        <w:tc>
          <w:tcPr>
            <w:tcW w:w="795" w:type="pct"/>
            <w:vMerge/>
            <w:tcBorders>
              <w:top w:val="single" w:sz="8" w:space="0" w:color="auto"/>
              <w:left w:val="single" w:sz="8" w:space="0" w:color="auto"/>
              <w:bottom w:val="single" w:sz="8" w:space="0" w:color="000000"/>
              <w:right w:val="single" w:sz="4" w:space="0" w:color="auto"/>
            </w:tcBorders>
            <w:vAlign w:val="center"/>
            <w:hideMark/>
          </w:tcPr>
          <w:p w14:paraId="59F9668B" w14:textId="77777777" w:rsidR="00090437" w:rsidRPr="00090437" w:rsidRDefault="00090437" w:rsidP="00090437">
            <w:pPr>
              <w:rPr>
                <w:rFonts w:ascii="Tahoma" w:hAnsi="Tahoma" w:cs="Tahoma"/>
                <w:bCs/>
                <w:iCs/>
                <w:sz w:val="20"/>
                <w:szCs w:val="20"/>
              </w:rPr>
            </w:pPr>
          </w:p>
        </w:tc>
        <w:tc>
          <w:tcPr>
            <w:tcW w:w="596" w:type="pct"/>
            <w:tcBorders>
              <w:top w:val="nil"/>
              <w:left w:val="nil"/>
              <w:bottom w:val="single" w:sz="8" w:space="0" w:color="auto"/>
              <w:right w:val="single" w:sz="4" w:space="0" w:color="auto"/>
            </w:tcBorders>
            <w:shd w:val="clear" w:color="auto" w:fill="auto"/>
            <w:noWrap/>
            <w:vAlign w:val="center"/>
            <w:hideMark/>
          </w:tcPr>
          <w:p w14:paraId="4FDFC3AD"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Валюта вклада</w:t>
            </w:r>
          </w:p>
        </w:tc>
        <w:tc>
          <w:tcPr>
            <w:tcW w:w="993" w:type="pct"/>
            <w:tcBorders>
              <w:top w:val="nil"/>
              <w:left w:val="nil"/>
              <w:bottom w:val="single" w:sz="8" w:space="0" w:color="auto"/>
              <w:right w:val="single" w:sz="4" w:space="0" w:color="auto"/>
            </w:tcBorders>
            <w:shd w:val="clear" w:color="auto" w:fill="auto"/>
            <w:noWrap/>
            <w:vAlign w:val="center"/>
            <w:hideMark/>
          </w:tcPr>
          <w:p w14:paraId="5662B43D"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 xml:space="preserve">Минимальная сумма вклада </w:t>
            </w:r>
          </w:p>
        </w:tc>
        <w:tc>
          <w:tcPr>
            <w:tcW w:w="1903" w:type="pct"/>
            <w:tcBorders>
              <w:top w:val="nil"/>
              <w:left w:val="nil"/>
              <w:bottom w:val="single" w:sz="8" w:space="0" w:color="auto"/>
              <w:right w:val="single" w:sz="4" w:space="0" w:color="auto"/>
            </w:tcBorders>
            <w:shd w:val="clear" w:color="auto" w:fill="auto"/>
            <w:noWrap/>
            <w:vAlign w:val="center"/>
          </w:tcPr>
          <w:p w14:paraId="23A973AF"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92 дня</w:t>
            </w:r>
          </w:p>
        </w:tc>
      </w:tr>
      <w:tr w:rsidR="00090437" w:rsidRPr="00090437" w14:paraId="3E86A142" w14:textId="77777777" w:rsidTr="00090437">
        <w:trPr>
          <w:trHeight w:val="173"/>
        </w:trPr>
        <w:tc>
          <w:tcPr>
            <w:tcW w:w="713" w:type="pct"/>
            <w:tcBorders>
              <w:top w:val="nil"/>
              <w:left w:val="single" w:sz="8" w:space="0" w:color="auto"/>
              <w:bottom w:val="single" w:sz="4" w:space="0" w:color="auto"/>
              <w:right w:val="nil"/>
            </w:tcBorders>
            <w:shd w:val="clear" w:color="auto" w:fill="auto"/>
            <w:vAlign w:val="center"/>
            <w:hideMark/>
          </w:tcPr>
          <w:p w14:paraId="2A161D12"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Все категории клиентов</w:t>
            </w:r>
          </w:p>
        </w:tc>
        <w:tc>
          <w:tcPr>
            <w:tcW w:w="795" w:type="pct"/>
            <w:tcBorders>
              <w:top w:val="nil"/>
              <w:left w:val="single" w:sz="8" w:space="0" w:color="auto"/>
              <w:bottom w:val="single" w:sz="4" w:space="0" w:color="auto"/>
              <w:right w:val="single" w:sz="4" w:space="0" w:color="auto"/>
            </w:tcBorders>
            <w:shd w:val="clear" w:color="000000" w:fill="FFC000"/>
            <w:vAlign w:val="center"/>
            <w:hideMark/>
          </w:tcPr>
          <w:p w14:paraId="2D661574"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Лето 5,5</w:t>
            </w:r>
          </w:p>
        </w:tc>
        <w:tc>
          <w:tcPr>
            <w:tcW w:w="596" w:type="pct"/>
            <w:tcBorders>
              <w:top w:val="nil"/>
              <w:left w:val="nil"/>
              <w:bottom w:val="single" w:sz="4" w:space="0" w:color="auto"/>
              <w:right w:val="single" w:sz="4" w:space="0" w:color="auto"/>
            </w:tcBorders>
            <w:shd w:val="clear" w:color="auto" w:fill="auto"/>
            <w:noWrap/>
            <w:vAlign w:val="center"/>
            <w:hideMark/>
          </w:tcPr>
          <w:p w14:paraId="4051DBC8"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рубли</w:t>
            </w:r>
          </w:p>
        </w:tc>
        <w:tc>
          <w:tcPr>
            <w:tcW w:w="993" w:type="pct"/>
            <w:tcBorders>
              <w:top w:val="nil"/>
              <w:left w:val="nil"/>
              <w:bottom w:val="single" w:sz="4" w:space="0" w:color="auto"/>
              <w:right w:val="single" w:sz="4" w:space="0" w:color="auto"/>
            </w:tcBorders>
            <w:shd w:val="clear" w:color="auto" w:fill="auto"/>
            <w:noWrap/>
            <w:vAlign w:val="center"/>
            <w:hideMark/>
          </w:tcPr>
          <w:p w14:paraId="1F695CED"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50 000</w:t>
            </w:r>
          </w:p>
        </w:tc>
        <w:tc>
          <w:tcPr>
            <w:tcW w:w="1903" w:type="pct"/>
            <w:tcBorders>
              <w:top w:val="nil"/>
              <w:left w:val="nil"/>
              <w:bottom w:val="single" w:sz="4" w:space="0" w:color="auto"/>
              <w:right w:val="single" w:sz="4" w:space="0" w:color="auto"/>
            </w:tcBorders>
            <w:shd w:val="clear" w:color="auto" w:fill="auto"/>
            <w:noWrap/>
            <w:vAlign w:val="center"/>
          </w:tcPr>
          <w:p w14:paraId="281EBEB3"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3,800</w:t>
            </w:r>
          </w:p>
        </w:tc>
      </w:tr>
    </w:tbl>
    <w:p w14:paraId="4DE53EB6" w14:textId="77777777" w:rsidR="00090437" w:rsidRPr="00090437" w:rsidRDefault="00090437" w:rsidP="00090437">
      <w:pPr>
        <w:tabs>
          <w:tab w:val="left" w:pos="851"/>
        </w:tabs>
        <w:ind w:left="426"/>
        <w:contextualSpacing/>
        <w:jc w:val="both"/>
        <w:rPr>
          <w:rFonts w:ascii="Tahoma" w:hAnsi="Tahoma" w:cs="Tahoma"/>
          <w:sz w:val="18"/>
          <w:szCs w:val="18"/>
        </w:rPr>
      </w:pPr>
      <w:r w:rsidRPr="00090437">
        <w:rPr>
          <w:rFonts w:ascii="Tahoma" w:hAnsi="Tahoma" w:cs="Tahoma"/>
          <w:sz w:val="18"/>
          <w:szCs w:val="18"/>
        </w:rPr>
        <w:t>*Соответствует значению минимальной гарантированной ставки (годовых) с учетом округления, определяющему минимальный доход, выплачиваемый вкладчику на сумму вклада при условии хранения суммы вклада до конца срока вклада без учета каких-либо других условий. Порядок расчета минимальной гарантированной ставки по вкладу определяется Банком России.</w:t>
      </w:r>
    </w:p>
    <w:p w14:paraId="6EA3AEDF" w14:textId="77777777" w:rsidR="00090437" w:rsidRPr="00090437" w:rsidRDefault="00090437" w:rsidP="00090437">
      <w:pPr>
        <w:tabs>
          <w:tab w:val="left" w:pos="851"/>
        </w:tabs>
        <w:ind w:left="426"/>
        <w:contextualSpacing/>
        <w:jc w:val="both"/>
        <w:rPr>
          <w:rFonts w:ascii="Tahoma" w:hAnsi="Tahoma" w:cs="Tahoma"/>
          <w:b/>
          <w:bCs/>
          <w:iCs/>
          <w:color w:val="E36C0A" w:themeColor="accent6" w:themeShade="BF"/>
          <w:sz w:val="22"/>
          <w:szCs w:val="22"/>
        </w:rPr>
      </w:pPr>
    </w:p>
    <w:p w14:paraId="18788A4A" w14:textId="61973725" w:rsidR="00090437" w:rsidRPr="00090437" w:rsidRDefault="00DE6159" w:rsidP="000B3718">
      <w:pPr>
        <w:pStyle w:val="a5"/>
      </w:pPr>
      <w:r>
        <w:t>3.4</w:t>
      </w:r>
      <w:r w:rsidR="00955573">
        <w:t>3</w:t>
      </w:r>
      <w:r w:rsidR="00090437" w:rsidRPr="00090437">
        <w:t>. Вклад «Лето Онлайн» (условия для пролонгируемых вкладов)</w:t>
      </w:r>
    </w:p>
    <w:p w14:paraId="635DF44D" w14:textId="77777777" w:rsidR="00090437" w:rsidRPr="00090437" w:rsidRDefault="00090437" w:rsidP="00090437">
      <w:pPr>
        <w:tabs>
          <w:tab w:val="left" w:pos="851"/>
        </w:tabs>
        <w:ind w:firstLine="426"/>
        <w:jc w:val="both"/>
        <w:rPr>
          <w:rFonts w:ascii="Tahoma" w:hAnsi="Tahoma" w:cs="Tahoma"/>
          <w:bCs/>
          <w:iCs/>
          <w:color w:val="000000" w:themeColor="text1"/>
          <w:sz w:val="22"/>
          <w:szCs w:val="22"/>
        </w:rPr>
      </w:pPr>
      <w:r w:rsidRPr="00090437">
        <w:rPr>
          <w:rFonts w:ascii="Tahoma" w:hAnsi="Tahoma" w:cs="Tahoma"/>
          <w:bCs/>
          <w:iCs/>
          <w:color w:val="000000" w:themeColor="text1"/>
          <w:sz w:val="22"/>
          <w:szCs w:val="22"/>
        </w:rPr>
        <w:t>Условия:</w:t>
      </w:r>
    </w:p>
    <w:p w14:paraId="26720963"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Валюта - рубли;</w:t>
      </w:r>
    </w:p>
    <w:p w14:paraId="7FDEE584"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Минимальная сумма Вклада 50 000 рублей;</w:t>
      </w:r>
    </w:p>
    <w:p w14:paraId="2517EEE4"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Максимальная сумма Вклада – не ограничена;</w:t>
      </w:r>
    </w:p>
    <w:p w14:paraId="22347713"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Срок Вклада – 92 дня;</w:t>
      </w:r>
    </w:p>
    <w:p w14:paraId="51C8CA00"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Вклад не пополняемый;</w:t>
      </w:r>
    </w:p>
    <w:p w14:paraId="1EFA4163"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Вклад пролонгируемый;</w:t>
      </w:r>
    </w:p>
    <w:p w14:paraId="01AB2F36"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Неснижаемый остаток по Вкладу – не предусмотрен;</w:t>
      </w:r>
    </w:p>
    <w:p w14:paraId="1F3EDF98" w14:textId="77777777" w:rsidR="00090437" w:rsidRPr="00090437" w:rsidRDefault="00090437" w:rsidP="00090437">
      <w:pPr>
        <w:widowControl w:val="0"/>
        <w:numPr>
          <w:ilvl w:val="0"/>
          <w:numId w:val="3"/>
        </w:numPr>
        <w:tabs>
          <w:tab w:val="left" w:pos="284"/>
          <w:tab w:val="left" w:pos="709"/>
          <w:tab w:val="left" w:pos="851"/>
        </w:tabs>
        <w:autoSpaceDE w:val="0"/>
        <w:autoSpaceDN w:val="0"/>
        <w:adjustRightInd w:val="0"/>
        <w:contextualSpacing/>
        <w:jc w:val="both"/>
        <w:rPr>
          <w:rFonts w:ascii="Tahoma" w:hAnsi="Tahoma" w:cs="Tahoma"/>
          <w:sz w:val="22"/>
          <w:szCs w:val="22"/>
        </w:rPr>
      </w:pPr>
      <w:r w:rsidRPr="00090437">
        <w:rPr>
          <w:rFonts w:ascii="Tahoma" w:hAnsi="Tahoma" w:cs="Tahoma"/>
          <w:sz w:val="22"/>
          <w:szCs w:val="22"/>
        </w:rPr>
        <w:t>Выплата процентов и суммы Вклада – в конце срока на счет банковской карты или Вклад «Личный счет» (до востребования);</w:t>
      </w:r>
    </w:p>
    <w:p w14:paraId="4A148DCE" w14:textId="77777777" w:rsidR="00090437" w:rsidRPr="00090437" w:rsidRDefault="00090437" w:rsidP="00090437">
      <w:pPr>
        <w:numPr>
          <w:ilvl w:val="0"/>
          <w:numId w:val="3"/>
        </w:numPr>
        <w:tabs>
          <w:tab w:val="left" w:pos="851"/>
        </w:tabs>
        <w:jc w:val="both"/>
        <w:rPr>
          <w:rFonts w:ascii="Tahoma" w:hAnsi="Tahoma" w:cs="Tahoma"/>
          <w:sz w:val="22"/>
          <w:szCs w:val="22"/>
        </w:rPr>
      </w:pPr>
      <w:r w:rsidRPr="00090437">
        <w:rPr>
          <w:rFonts w:ascii="Tahoma" w:hAnsi="Tahoma" w:cs="Tahoma"/>
          <w:sz w:val="22"/>
          <w:szCs w:val="22"/>
        </w:rPr>
        <w:t xml:space="preserve">При досрочном расторжении Договора Вклада проценты выплачиваются по ставке Вклада Банка «Личный счет» (до востребования). </w:t>
      </w:r>
    </w:p>
    <w:tbl>
      <w:tblPr>
        <w:tblW w:w="5000" w:type="pct"/>
        <w:tblLayout w:type="fixed"/>
        <w:tblLook w:val="04A0" w:firstRow="1" w:lastRow="0" w:firstColumn="1" w:lastColumn="0" w:noHBand="0" w:noVBand="1"/>
      </w:tblPr>
      <w:tblGrid>
        <w:gridCol w:w="2157"/>
        <w:gridCol w:w="2404"/>
        <w:gridCol w:w="1803"/>
        <w:gridCol w:w="3003"/>
        <w:gridCol w:w="5755"/>
      </w:tblGrid>
      <w:tr w:rsidR="00090437" w:rsidRPr="00090437" w14:paraId="606398F6" w14:textId="77777777" w:rsidTr="00090437">
        <w:trPr>
          <w:trHeight w:val="319"/>
        </w:trPr>
        <w:tc>
          <w:tcPr>
            <w:tcW w:w="713" w:type="pct"/>
            <w:vMerge w:val="restart"/>
            <w:tcBorders>
              <w:top w:val="single" w:sz="8" w:space="0" w:color="auto"/>
              <w:left w:val="single" w:sz="8" w:space="0" w:color="auto"/>
              <w:bottom w:val="single" w:sz="8" w:space="0" w:color="000000"/>
              <w:right w:val="nil"/>
            </w:tcBorders>
            <w:shd w:val="clear" w:color="auto" w:fill="auto"/>
            <w:vAlign w:val="center"/>
            <w:hideMark/>
          </w:tcPr>
          <w:p w14:paraId="11910289"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Ориентировочный сегмент</w:t>
            </w:r>
          </w:p>
        </w:tc>
        <w:tc>
          <w:tcPr>
            <w:tcW w:w="795" w:type="pct"/>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031B0E6D"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Продукт</w:t>
            </w:r>
          </w:p>
        </w:tc>
        <w:tc>
          <w:tcPr>
            <w:tcW w:w="1589" w:type="pct"/>
            <w:gridSpan w:val="2"/>
            <w:tcBorders>
              <w:top w:val="single" w:sz="8" w:space="0" w:color="auto"/>
              <w:left w:val="nil"/>
              <w:bottom w:val="single" w:sz="4" w:space="0" w:color="auto"/>
              <w:right w:val="single" w:sz="4" w:space="0" w:color="auto"/>
            </w:tcBorders>
            <w:shd w:val="clear" w:color="auto" w:fill="auto"/>
            <w:noWrap/>
            <w:vAlign w:val="center"/>
            <w:hideMark/>
          </w:tcPr>
          <w:p w14:paraId="4005181B"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Базовые параметры вклада</w:t>
            </w:r>
          </w:p>
        </w:tc>
        <w:tc>
          <w:tcPr>
            <w:tcW w:w="1903" w:type="pct"/>
            <w:tcBorders>
              <w:top w:val="single" w:sz="8" w:space="0" w:color="auto"/>
              <w:left w:val="nil"/>
              <w:bottom w:val="single" w:sz="4" w:space="0" w:color="auto"/>
              <w:right w:val="single" w:sz="4" w:space="0" w:color="auto"/>
            </w:tcBorders>
            <w:shd w:val="clear" w:color="auto" w:fill="auto"/>
            <w:noWrap/>
            <w:vAlign w:val="center"/>
            <w:hideMark/>
          </w:tcPr>
          <w:p w14:paraId="1E7A999B" w14:textId="77777777" w:rsidR="00090437" w:rsidRPr="00090437" w:rsidRDefault="00090437" w:rsidP="00090437">
            <w:pPr>
              <w:jc w:val="center"/>
              <w:rPr>
                <w:rFonts w:ascii="Tahoma" w:hAnsi="Tahoma" w:cs="Tahoma"/>
                <w:bCs/>
                <w:iCs/>
                <w:sz w:val="20"/>
                <w:szCs w:val="20"/>
              </w:rPr>
            </w:pPr>
            <w:r w:rsidRPr="00090437">
              <w:rPr>
                <w:rFonts w:ascii="Tahoma" w:hAnsi="Tahoma" w:cs="Tahoma"/>
                <w:b/>
                <w:color w:val="000000" w:themeColor="text1"/>
                <w:sz w:val="20"/>
                <w:szCs w:val="20"/>
              </w:rPr>
              <w:t>Процентные ставки* (% годовых</w:t>
            </w:r>
            <w:r w:rsidRPr="00090437">
              <w:rPr>
                <w:rFonts w:ascii="Tahoma" w:hAnsi="Tahoma" w:cs="Tahoma"/>
                <w:b/>
                <w:sz w:val="20"/>
                <w:szCs w:val="20"/>
              </w:rPr>
              <w:t>) в зависимости от срока договора вклада</w:t>
            </w:r>
          </w:p>
        </w:tc>
      </w:tr>
      <w:tr w:rsidR="00090437" w:rsidRPr="00090437" w14:paraId="5E3C2B77" w14:textId="77777777" w:rsidTr="00090437">
        <w:trPr>
          <w:trHeight w:val="319"/>
        </w:trPr>
        <w:tc>
          <w:tcPr>
            <w:tcW w:w="713" w:type="pct"/>
            <w:vMerge/>
            <w:tcBorders>
              <w:top w:val="single" w:sz="8" w:space="0" w:color="auto"/>
              <w:left w:val="single" w:sz="8" w:space="0" w:color="auto"/>
              <w:bottom w:val="single" w:sz="8" w:space="0" w:color="000000"/>
              <w:right w:val="nil"/>
            </w:tcBorders>
            <w:vAlign w:val="center"/>
            <w:hideMark/>
          </w:tcPr>
          <w:p w14:paraId="67F00469" w14:textId="77777777" w:rsidR="00090437" w:rsidRPr="00090437" w:rsidRDefault="00090437" w:rsidP="00090437">
            <w:pPr>
              <w:rPr>
                <w:rFonts w:ascii="Tahoma" w:hAnsi="Tahoma" w:cs="Tahoma"/>
                <w:bCs/>
                <w:iCs/>
                <w:sz w:val="20"/>
                <w:szCs w:val="20"/>
              </w:rPr>
            </w:pPr>
          </w:p>
        </w:tc>
        <w:tc>
          <w:tcPr>
            <w:tcW w:w="795" w:type="pct"/>
            <w:vMerge/>
            <w:tcBorders>
              <w:top w:val="single" w:sz="8" w:space="0" w:color="auto"/>
              <w:left w:val="single" w:sz="8" w:space="0" w:color="auto"/>
              <w:bottom w:val="single" w:sz="8" w:space="0" w:color="000000"/>
              <w:right w:val="single" w:sz="4" w:space="0" w:color="auto"/>
            </w:tcBorders>
            <w:vAlign w:val="center"/>
            <w:hideMark/>
          </w:tcPr>
          <w:p w14:paraId="7DE61153" w14:textId="77777777" w:rsidR="00090437" w:rsidRPr="00090437" w:rsidRDefault="00090437" w:rsidP="00090437">
            <w:pPr>
              <w:rPr>
                <w:rFonts w:ascii="Tahoma" w:hAnsi="Tahoma" w:cs="Tahoma"/>
                <w:bCs/>
                <w:iCs/>
                <w:sz w:val="20"/>
                <w:szCs w:val="20"/>
              </w:rPr>
            </w:pPr>
          </w:p>
        </w:tc>
        <w:tc>
          <w:tcPr>
            <w:tcW w:w="596" w:type="pct"/>
            <w:tcBorders>
              <w:top w:val="nil"/>
              <w:left w:val="nil"/>
              <w:bottom w:val="single" w:sz="8" w:space="0" w:color="auto"/>
              <w:right w:val="single" w:sz="4" w:space="0" w:color="auto"/>
            </w:tcBorders>
            <w:shd w:val="clear" w:color="auto" w:fill="auto"/>
            <w:noWrap/>
            <w:vAlign w:val="center"/>
            <w:hideMark/>
          </w:tcPr>
          <w:p w14:paraId="7E338D8B"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Валюта вклада</w:t>
            </w:r>
          </w:p>
        </w:tc>
        <w:tc>
          <w:tcPr>
            <w:tcW w:w="993" w:type="pct"/>
            <w:tcBorders>
              <w:top w:val="nil"/>
              <w:left w:val="nil"/>
              <w:bottom w:val="single" w:sz="8" w:space="0" w:color="auto"/>
              <w:right w:val="single" w:sz="4" w:space="0" w:color="auto"/>
            </w:tcBorders>
            <w:shd w:val="clear" w:color="auto" w:fill="auto"/>
            <w:noWrap/>
            <w:vAlign w:val="center"/>
            <w:hideMark/>
          </w:tcPr>
          <w:p w14:paraId="1AC9F905"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 xml:space="preserve">Минимальная сумма вклада </w:t>
            </w:r>
          </w:p>
        </w:tc>
        <w:tc>
          <w:tcPr>
            <w:tcW w:w="1903" w:type="pct"/>
            <w:tcBorders>
              <w:top w:val="nil"/>
              <w:left w:val="nil"/>
              <w:bottom w:val="single" w:sz="8" w:space="0" w:color="auto"/>
              <w:right w:val="single" w:sz="4" w:space="0" w:color="auto"/>
            </w:tcBorders>
            <w:shd w:val="clear" w:color="auto" w:fill="auto"/>
            <w:noWrap/>
            <w:vAlign w:val="center"/>
          </w:tcPr>
          <w:p w14:paraId="51630178"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92 дня</w:t>
            </w:r>
          </w:p>
        </w:tc>
      </w:tr>
      <w:tr w:rsidR="00090437" w:rsidRPr="00090437" w14:paraId="3B8722EF" w14:textId="77777777" w:rsidTr="00090437">
        <w:trPr>
          <w:trHeight w:val="173"/>
        </w:trPr>
        <w:tc>
          <w:tcPr>
            <w:tcW w:w="713" w:type="pct"/>
            <w:tcBorders>
              <w:top w:val="nil"/>
              <w:left w:val="single" w:sz="8" w:space="0" w:color="auto"/>
              <w:bottom w:val="single" w:sz="4" w:space="0" w:color="auto"/>
              <w:right w:val="nil"/>
            </w:tcBorders>
            <w:shd w:val="clear" w:color="auto" w:fill="auto"/>
            <w:vAlign w:val="center"/>
            <w:hideMark/>
          </w:tcPr>
          <w:p w14:paraId="455C4A06"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Все категории клиентов</w:t>
            </w:r>
          </w:p>
        </w:tc>
        <w:tc>
          <w:tcPr>
            <w:tcW w:w="795" w:type="pct"/>
            <w:tcBorders>
              <w:top w:val="nil"/>
              <w:left w:val="single" w:sz="8" w:space="0" w:color="auto"/>
              <w:bottom w:val="single" w:sz="4" w:space="0" w:color="auto"/>
              <w:right w:val="single" w:sz="4" w:space="0" w:color="auto"/>
            </w:tcBorders>
            <w:shd w:val="clear" w:color="000000" w:fill="FFC000"/>
            <w:vAlign w:val="center"/>
            <w:hideMark/>
          </w:tcPr>
          <w:p w14:paraId="0090A133"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Лето Онлайн</w:t>
            </w:r>
          </w:p>
        </w:tc>
        <w:tc>
          <w:tcPr>
            <w:tcW w:w="596" w:type="pct"/>
            <w:tcBorders>
              <w:top w:val="nil"/>
              <w:left w:val="nil"/>
              <w:bottom w:val="single" w:sz="4" w:space="0" w:color="auto"/>
              <w:right w:val="single" w:sz="4" w:space="0" w:color="auto"/>
            </w:tcBorders>
            <w:shd w:val="clear" w:color="auto" w:fill="auto"/>
            <w:noWrap/>
            <w:vAlign w:val="center"/>
            <w:hideMark/>
          </w:tcPr>
          <w:p w14:paraId="4784CCE9"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рубли</w:t>
            </w:r>
          </w:p>
        </w:tc>
        <w:tc>
          <w:tcPr>
            <w:tcW w:w="993" w:type="pct"/>
            <w:tcBorders>
              <w:top w:val="nil"/>
              <w:left w:val="nil"/>
              <w:bottom w:val="single" w:sz="4" w:space="0" w:color="auto"/>
              <w:right w:val="single" w:sz="4" w:space="0" w:color="auto"/>
            </w:tcBorders>
            <w:shd w:val="clear" w:color="auto" w:fill="auto"/>
            <w:noWrap/>
            <w:vAlign w:val="center"/>
            <w:hideMark/>
          </w:tcPr>
          <w:p w14:paraId="4CB5E701"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50 000</w:t>
            </w:r>
          </w:p>
        </w:tc>
        <w:tc>
          <w:tcPr>
            <w:tcW w:w="1903" w:type="pct"/>
            <w:tcBorders>
              <w:top w:val="nil"/>
              <w:left w:val="nil"/>
              <w:bottom w:val="single" w:sz="4" w:space="0" w:color="auto"/>
              <w:right w:val="single" w:sz="4" w:space="0" w:color="auto"/>
            </w:tcBorders>
            <w:shd w:val="clear" w:color="auto" w:fill="auto"/>
            <w:noWrap/>
            <w:vAlign w:val="center"/>
          </w:tcPr>
          <w:p w14:paraId="796BE6EE"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4,000</w:t>
            </w:r>
          </w:p>
        </w:tc>
      </w:tr>
    </w:tbl>
    <w:p w14:paraId="4A540902" w14:textId="77777777" w:rsidR="00090437" w:rsidRPr="00090437" w:rsidRDefault="00090437" w:rsidP="00090437">
      <w:pPr>
        <w:jc w:val="both"/>
        <w:rPr>
          <w:rFonts w:ascii="Tahoma" w:hAnsi="Tahoma" w:cs="Tahoma"/>
          <w:sz w:val="18"/>
          <w:szCs w:val="18"/>
        </w:rPr>
      </w:pPr>
      <w:r w:rsidRPr="00090437">
        <w:rPr>
          <w:rFonts w:ascii="Tahoma" w:hAnsi="Tahoma" w:cs="Tahoma"/>
          <w:sz w:val="18"/>
          <w:szCs w:val="18"/>
        </w:rPr>
        <w:t>*Соответствует значению минимальной гарантированной ставки (годовых) с учетом округления, определяющему минимальный доход, выплачиваемый вкладчику на сумму вклада при условии хранения суммы вклада до конца срока вклада без учета каких-либо других условий. Порядок расчета минимальной гарантированной ставки по вкладу определяется Банком России.</w:t>
      </w:r>
    </w:p>
    <w:p w14:paraId="14EA77EF" w14:textId="77777777" w:rsidR="00090437" w:rsidRPr="00090437" w:rsidRDefault="00090437" w:rsidP="00090437">
      <w:pPr>
        <w:jc w:val="both"/>
        <w:rPr>
          <w:rFonts w:ascii="Tahoma" w:hAnsi="Tahoma" w:cs="Tahoma"/>
          <w:sz w:val="22"/>
          <w:szCs w:val="22"/>
        </w:rPr>
      </w:pPr>
    </w:p>
    <w:p w14:paraId="0207B603" w14:textId="5069E9DE" w:rsidR="00090437" w:rsidRPr="00090437" w:rsidRDefault="007A5600" w:rsidP="000B3718">
      <w:pPr>
        <w:pStyle w:val="a5"/>
      </w:pPr>
      <w:r>
        <w:t>3.4</w:t>
      </w:r>
      <w:r w:rsidR="00955573">
        <w:t>4</w:t>
      </w:r>
      <w:r w:rsidR="00090437" w:rsidRPr="00090437">
        <w:t>.</w:t>
      </w:r>
      <w:r w:rsidR="00090437" w:rsidRPr="00090437">
        <w:tab/>
        <w:t>Вклад «Морошка» (условия для пролонгируемых вкладов)</w:t>
      </w:r>
    </w:p>
    <w:p w14:paraId="7CDE4EAD" w14:textId="77777777" w:rsidR="00090437" w:rsidRPr="00090437" w:rsidRDefault="00090437" w:rsidP="00090437">
      <w:pPr>
        <w:tabs>
          <w:tab w:val="left" w:pos="851"/>
        </w:tabs>
        <w:ind w:firstLine="426"/>
        <w:jc w:val="both"/>
        <w:rPr>
          <w:rFonts w:ascii="Tahoma" w:hAnsi="Tahoma" w:cs="Tahoma"/>
          <w:bCs/>
          <w:iCs/>
          <w:color w:val="000000" w:themeColor="text1"/>
          <w:sz w:val="22"/>
          <w:szCs w:val="22"/>
        </w:rPr>
      </w:pPr>
      <w:r w:rsidRPr="00090437">
        <w:rPr>
          <w:rFonts w:ascii="Tahoma" w:hAnsi="Tahoma" w:cs="Tahoma"/>
          <w:bCs/>
          <w:iCs/>
          <w:color w:val="000000" w:themeColor="text1"/>
          <w:sz w:val="22"/>
          <w:szCs w:val="22"/>
        </w:rPr>
        <w:t>Условия:</w:t>
      </w:r>
    </w:p>
    <w:p w14:paraId="777D4EE3"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Валюта - рубли;</w:t>
      </w:r>
    </w:p>
    <w:p w14:paraId="1D485DF7"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Минимальная сумма Вклада 50 000 рублей;</w:t>
      </w:r>
    </w:p>
    <w:p w14:paraId="7C499E2D"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Максимальная сумма Вклада – не ограничена;</w:t>
      </w:r>
    </w:p>
    <w:p w14:paraId="2F460F32"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Срок Вклада – 182 дня;</w:t>
      </w:r>
    </w:p>
    <w:p w14:paraId="2DC1CBE7"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Вклад не пополняемый;</w:t>
      </w:r>
    </w:p>
    <w:p w14:paraId="7EB8357B"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Вклад пролонгируемый;</w:t>
      </w:r>
    </w:p>
    <w:p w14:paraId="7BE8A458"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Неснижаемый остаток по Вкладу – не предусмотрен;</w:t>
      </w:r>
    </w:p>
    <w:p w14:paraId="26F5BD21" w14:textId="77777777" w:rsidR="00090437" w:rsidRPr="00090437" w:rsidRDefault="00090437" w:rsidP="00090437">
      <w:pPr>
        <w:widowControl w:val="0"/>
        <w:numPr>
          <w:ilvl w:val="0"/>
          <w:numId w:val="3"/>
        </w:numPr>
        <w:tabs>
          <w:tab w:val="left" w:pos="284"/>
          <w:tab w:val="left" w:pos="709"/>
          <w:tab w:val="left" w:pos="851"/>
        </w:tabs>
        <w:autoSpaceDE w:val="0"/>
        <w:autoSpaceDN w:val="0"/>
        <w:adjustRightInd w:val="0"/>
        <w:contextualSpacing/>
        <w:jc w:val="both"/>
        <w:rPr>
          <w:rFonts w:ascii="Tahoma" w:hAnsi="Tahoma" w:cs="Tahoma"/>
          <w:sz w:val="22"/>
          <w:szCs w:val="22"/>
        </w:rPr>
      </w:pPr>
      <w:r w:rsidRPr="00090437">
        <w:rPr>
          <w:rFonts w:ascii="Tahoma" w:hAnsi="Tahoma" w:cs="Tahoma"/>
          <w:sz w:val="22"/>
          <w:szCs w:val="22"/>
        </w:rPr>
        <w:t>Выплата процентов и суммы Вклада – в конце срока на счет банковской карты или Вклад «Личный счет» (до востребования);</w:t>
      </w:r>
    </w:p>
    <w:p w14:paraId="3C6569E3" w14:textId="77777777" w:rsidR="00090437" w:rsidRPr="00090437" w:rsidRDefault="00090437" w:rsidP="00090437">
      <w:pPr>
        <w:numPr>
          <w:ilvl w:val="0"/>
          <w:numId w:val="3"/>
        </w:numPr>
        <w:tabs>
          <w:tab w:val="left" w:pos="851"/>
        </w:tabs>
        <w:jc w:val="both"/>
        <w:rPr>
          <w:rFonts w:ascii="Tahoma" w:hAnsi="Tahoma" w:cs="Tahoma"/>
          <w:sz w:val="22"/>
          <w:szCs w:val="22"/>
        </w:rPr>
      </w:pPr>
      <w:r w:rsidRPr="00090437">
        <w:rPr>
          <w:rFonts w:ascii="Tahoma" w:hAnsi="Tahoma" w:cs="Tahoma"/>
          <w:sz w:val="22"/>
          <w:szCs w:val="22"/>
        </w:rPr>
        <w:t xml:space="preserve">При досрочном расторжении Договора Вклада проценты выплачиваются по ставке Вклада Банка «Личный счет» (до востребования). </w:t>
      </w:r>
    </w:p>
    <w:tbl>
      <w:tblPr>
        <w:tblW w:w="5000" w:type="pct"/>
        <w:tblLayout w:type="fixed"/>
        <w:tblLook w:val="04A0" w:firstRow="1" w:lastRow="0" w:firstColumn="1" w:lastColumn="0" w:noHBand="0" w:noVBand="1"/>
      </w:tblPr>
      <w:tblGrid>
        <w:gridCol w:w="2157"/>
        <w:gridCol w:w="2404"/>
        <w:gridCol w:w="1803"/>
        <w:gridCol w:w="3003"/>
        <w:gridCol w:w="5755"/>
      </w:tblGrid>
      <w:tr w:rsidR="00090437" w:rsidRPr="00090437" w14:paraId="3ADAA4EE" w14:textId="77777777" w:rsidTr="00090437">
        <w:trPr>
          <w:trHeight w:val="319"/>
        </w:trPr>
        <w:tc>
          <w:tcPr>
            <w:tcW w:w="713" w:type="pct"/>
            <w:vMerge w:val="restart"/>
            <w:tcBorders>
              <w:top w:val="single" w:sz="8" w:space="0" w:color="auto"/>
              <w:left w:val="single" w:sz="8" w:space="0" w:color="auto"/>
              <w:bottom w:val="single" w:sz="8" w:space="0" w:color="000000"/>
              <w:right w:val="nil"/>
            </w:tcBorders>
            <w:shd w:val="clear" w:color="auto" w:fill="auto"/>
            <w:vAlign w:val="center"/>
            <w:hideMark/>
          </w:tcPr>
          <w:p w14:paraId="199C0D92"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Ориентировочный сегмент</w:t>
            </w:r>
          </w:p>
        </w:tc>
        <w:tc>
          <w:tcPr>
            <w:tcW w:w="795" w:type="pct"/>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12C1674B"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Продукт</w:t>
            </w:r>
          </w:p>
        </w:tc>
        <w:tc>
          <w:tcPr>
            <w:tcW w:w="1589" w:type="pct"/>
            <w:gridSpan w:val="2"/>
            <w:tcBorders>
              <w:top w:val="single" w:sz="8" w:space="0" w:color="auto"/>
              <w:left w:val="nil"/>
              <w:bottom w:val="single" w:sz="4" w:space="0" w:color="auto"/>
              <w:right w:val="single" w:sz="4" w:space="0" w:color="auto"/>
            </w:tcBorders>
            <w:shd w:val="clear" w:color="auto" w:fill="auto"/>
            <w:noWrap/>
            <w:vAlign w:val="center"/>
            <w:hideMark/>
          </w:tcPr>
          <w:p w14:paraId="20A46624"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Базовые параметры вклада</w:t>
            </w:r>
          </w:p>
        </w:tc>
        <w:tc>
          <w:tcPr>
            <w:tcW w:w="1903" w:type="pct"/>
            <w:tcBorders>
              <w:top w:val="single" w:sz="8" w:space="0" w:color="auto"/>
              <w:left w:val="nil"/>
              <w:bottom w:val="single" w:sz="4" w:space="0" w:color="auto"/>
              <w:right w:val="single" w:sz="4" w:space="0" w:color="auto"/>
            </w:tcBorders>
            <w:shd w:val="clear" w:color="auto" w:fill="auto"/>
            <w:noWrap/>
            <w:vAlign w:val="center"/>
            <w:hideMark/>
          </w:tcPr>
          <w:p w14:paraId="5DEF27E7" w14:textId="77777777" w:rsidR="00090437" w:rsidRPr="00090437" w:rsidRDefault="00090437" w:rsidP="00090437">
            <w:pPr>
              <w:jc w:val="center"/>
              <w:rPr>
                <w:rFonts w:ascii="Tahoma" w:hAnsi="Tahoma" w:cs="Tahoma"/>
                <w:bCs/>
                <w:iCs/>
                <w:sz w:val="20"/>
                <w:szCs w:val="20"/>
              </w:rPr>
            </w:pPr>
            <w:r w:rsidRPr="00090437">
              <w:rPr>
                <w:rFonts w:ascii="Tahoma" w:hAnsi="Tahoma" w:cs="Tahoma"/>
                <w:b/>
                <w:color w:val="000000" w:themeColor="text1"/>
                <w:sz w:val="20"/>
                <w:szCs w:val="20"/>
              </w:rPr>
              <w:t>Процентные ставки* (% годовых</w:t>
            </w:r>
            <w:r w:rsidRPr="00090437">
              <w:rPr>
                <w:rFonts w:ascii="Tahoma" w:hAnsi="Tahoma" w:cs="Tahoma"/>
                <w:b/>
                <w:sz w:val="20"/>
                <w:szCs w:val="20"/>
              </w:rPr>
              <w:t>) в зависимости от срока договора вклада</w:t>
            </w:r>
          </w:p>
        </w:tc>
      </w:tr>
      <w:tr w:rsidR="00090437" w:rsidRPr="00090437" w14:paraId="2E26F214" w14:textId="77777777" w:rsidTr="00090437">
        <w:trPr>
          <w:trHeight w:val="319"/>
        </w:trPr>
        <w:tc>
          <w:tcPr>
            <w:tcW w:w="713" w:type="pct"/>
            <w:vMerge/>
            <w:tcBorders>
              <w:top w:val="single" w:sz="8" w:space="0" w:color="auto"/>
              <w:left w:val="single" w:sz="8" w:space="0" w:color="auto"/>
              <w:bottom w:val="single" w:sz="8" w:space="0" w:color="000000"/>
              <w:right w:val="nil"/>
            </w:tcBorders>
            <w:vAlign w:val="center"/>
            <w:hideMark/>
          </w:tcPr>
          <w:p w14:paraId="70F61A65" w14:textId="77777777" w:rsidR="00090437" w:rsidRPr="00090437" w:rsidRDefault="00090437" w:rsidP="00090437">
            <w:pPr>
              <w:rPr>
                <w:rFonts w:ascii="Tahoma" w:hAnsi="Tahoma" w:cs="Tahoma"/>
                <w:bCs/>
                <w:iCs/>
                <w:sz w:val="20"/>
                <w:szCs w:val="20"/>
              </w:rPr>
            </w:pPr>
          </w:p>
        </w:tc>
        <w:tc>
          <w:tcPr>
            <w:tcW w:w="795" w:type="pct"/>
            <w:vMerge/>
            <w:tcBorders>
              <w:top w:val="single" w:sz="8" w:space="0" w:color="auto"/>
              <w:left w:val="single" w:sz="8" w:space="0" w:color="auto"/>
              <w:bottom w:val="single" w:sz="8" w:space="0" w:color="000000"/>
              <w:right w:val="single" w:sz="4" w:space="0" w:color="auto"/>
            </w:tcBorders>
            <w:vAlign w:val="center"/>
            <w:hideMark/>
          </w:tcPr>
          <w:p w14:paraId="2C5F9006" w14:textId="77777777" w:rsidR="00090437" w:rsidRPr="00090437" w:rsidRDefault="00090437" w:rsidP="00090437">
            <w:pPr>
              <w:rPr>
                <w:rFonts w:ascii="Tahoma" w:hAnsi="Tahoma" w:cs="Tahoma"/>
                <w:bCs/>
                <w:iCs/>
                <w:sz w:val="20"/>
                <w:szCs w:val="20"/>
              </w:rPr>
            </w:pPr>
          </w:p>
        </w:tc>
        <w:tc>
          <w:tcPr>
            <w:tcW w:w="596" w:type="pct"/>
            <w:tcBorders>
              <w:top w:val="nil"/>
              <w:left w:val="nil"/>
              <w:bottom w:val="single" w:sz="8" w:space="0" w:color="auto"/>
              <w:right w:val="single" w:sz="4" w:space="0" w:color="auto"/>
            </w:tcBorders>
            <w:shd w:val="clear" w:color="auto" w:fill="auto"/>
            <w:noWrap/>
            <w:vAlign w:val="center"/>
            <w:hideMark/>
          </w:tcPr>
          <w:p w14:paraId="69250F6B"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Валюта вклада</w:t>
            </w:r>
          </w:p>
        </w:tc>
        <w:tc>
          <w:tcPr>
            <w:tcW w:w="993" w:type="pct"/>
            <w:tcBorders>
              <w:top w:val="nil"/>
              <w:left w:val="nil"/>
              <w:bottom w:val="single" w:sz="8" w:space="0" w:color="auto"/>
              <w:right w:val="single" w:sz="4" w:space="0" w:color="auto"/>
            </w:tcBorders>
            <w:shd w:val="clear" w:color="auto" w:fill="auto"/>
            <w:noWrap/>
            <w:vAlign w:val="center"/>
            <w:hideMark/>
          </w:tcPr>
          <w:p w14:paraId="4DCD6286"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 xml:space="preserve">Минимальная сумма вклада </w:t>
            </w:r>
          </w:p>
        </w:tc>
        <w:tc>
          <w:tcPr>
            <w:tcW w:w="1903" w:type="pct"/>
            <w:tcBorders>
              <w:top w:val="nil"/>
              <w:left w:val="nil"/>
              <w:bottom w:val="single" w:sz="8" w:space="0" w:color="auto"/>
              <w:right w:val="single" w:sz="4" w:space="0" w:color="auto"/>
            </w:tcBorders>
            <w:shd w:val="clear" w:color="auto" w:fill="auto"/>
            <w:noWrap/>
            <w:vAlign w:val="center"/>
          </w:tcPr>
          <w:p w14:paraId="5B4982AC"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182 дня</w:t>
            </w:r>
          </w:p>
        </w:tc>
      </w:tr>
      <w:tr w:rsidR="00090437" w:rsidRPr="00090437" w14:paraId="38D2BB51" w14:textId="77777777" w:rsidTr="00090437">
        <w:trPr>
          <w:trHeight w:val="173"/>
        </w:trPr>
        <w:tc>
          <w:tcPr>
            <w:tcW w:w="713" w:type="pct"/>
            <w:tcBorders>
              <w:top w:val="nil"/>
              <w:left w:val="single" w:sz="8" w:space="0" w:color="auto"/>
              <w:bottom w:val="single" w:sz="4" w:space="0" w:color="auto"/>
              <w:right w:val="nil"/>
            </w:tcBorders>
            <w:shd w:val="clear" w:color="auto" w:fill="auto"/>
            <w:vAlign w:val="center"/>
            <w:hideMark/>
          </w:tcPr>
          <w:p w14:paraId="2721AAD4"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Все категории клиентов</w:t>
            </w:r>
          </w:p>
        </w:tc>
        <w:tc>
          <w:tcPr>
            <w:tcW w:w="795" w:type="pct"/>
            <w:tcBorders>
              <w:top w:val="nil"/>
              <w:left w:val="single" w:sz="8" w:space="0" w:color="auto"/>
              <w:bottom w:val="single" w:sz="4" w:space="0" w:color="auto"/>
              <w:right w:val="single" w:sz="4" w:space="0" w:color="auto"/>
            </w:tcBorders>
            <w:shd w:val="clear" w:color="000000" w:fill="FFC000"/>
            <w:vAlign w:val="center"/>
            <w:hideMark/>
          </w:tcPr>
          <w:p w14:paraId="51A35E62"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Морошка</w:t>
            </w:r>
          </w:p>
        </w:tc>
        <w:tc>
          <w:tcPr>
            <w:tcW w:w="596" w:type="pct"/>
            <w:tcBorders>
              <w:top w:val="nil"/>
              <w:left w:val="nil"/>
              <w:bottom w:val="single" w:sz="4" w:space="0" w:color="auto"/>
              <w:right w:val="single" w:sz="4" w:space="0" w:color="auto"/>
            </w:tcBorders>
            <w:shd w:val="clear" w:color="auto" w:fill="auto"/>
            <w:noWrap/>
            <w:vAlign w:val="center"/>
            <w:hideMark/>
          </w:tcPr>
          <w:p w14:paraId="0368A781"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рубли</w:t>
            </w:r>
          </w:p>
        </w:tc>
        <w:tc>
          <w:tcPr>
            <w:tcW w:w="993" w:type="pct"/>
            <w:tcBorders>
              <w:top w:val="nil"/>
              <w:left w:val="nil"/>
              <w:bottom w:val="single" w:sz="4" w:space="0" w:color="auto"/>
              <w:right w:val="single" w:sz="4" w:space="0" w:color="auto"/>
            </w:tcBorders>
            <w:shd w:val="clear" w:color="auto" w:fill="auto"/>
            <w:noWrap/>
            <w:vAlign w:val="center"/>
            <w:hideMark/>
          </w:tcPr>
          <w:p w14:paraId="60EEA16E"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50 000</w:t>
            </w:r>
          </w:p>
        </w:tc>
        <w:tc>
          <w:tcPr>
            <w:tcW w:w="1903" w:type="pct"/>
            <w:tcBorders>
              <w:top w:val="nil"/>
              <w:left w:val="nil"/>
              <w:bottom w:val="single" w:sz="4" w:space="0" w:color="auto"/>
              <w:right w:val="single" w:sz="4" w:space="0" w:color="auto"/>
            </w:tcBorders>
            <w:shd w:val="clear" w:color="auto" w:fill="auto"/>
            <w:noWrap/>
            <w:vAlign w:val="center"/>
          </w:tcPr>
          <w:p w14:paraId="3DB3E130"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4,000</w:t>
            </w:r>
          </w:p>
        </w:tc>
      </w:tr>
    </w:tbl>
    <w:p w14:paraId="0768D3D8" w14:textId="77777777" w:rsidR="00090437" w:rsidRPr="00090437" w:rsidRDefault="00090437" w:rsidP="00090437">
      <w:pPr>
        <w:tabs>
          <w:tab w:val="left" w:pos="284"/>
        </w:tabs>
        <w:rPr>
          <w:rFonts w:ascii="Tahoma" w:hAnsi="Tahoma" w:cs="Tahoma"/>
          <w:sz w:val="18"/>
          <w:szCs w:val="18"/>
        </w:rPr>
      </w:pPr>
      <w:r w:rsidRPr="00090437">
        <w:rPr>
          <w:rFonts w:ascii="Tahoma" w:hAnsi="Tahoma" w:cs="Tahoma"/>
          <w:sz w:val="18"/>
          <w:szCs w:val="18"/>
        </w:rPr>
        <w:t>*Соответствует значению минимальной гарантированной ставки (годовых) с учетом округления, определяющему минимальный доход, выплачиваемый вкладчику на сумму вклада при условии хранения суммы вклада до конца срока вклада без учета каких-либо других условий. Порядок расчета минимальной гарантированной ставки по вкладу определяется Банком России.</w:t>
      </w:r>
    </w:p>
    <w:p w14:paraId="5B93A889" w14:textId="77777777" w:rsidR="00090437" w:rsidRPr="00090437" w:rsidRDefault="00090437" w:rsidP="00090437">
      <w:pPr>
        <w:tabs>
          <w:tab w:val="left" w:pos="284"/>
        </w:tabs>
        <w:rPr>
          <w:rFonts w:ascii="Tahoma" w:hAnsi="Tahoma" w:cs="Tahoma"/>
          <w:sz w:val="22"/>
          <w:szCs w:val="22"/>
        </w:rPr>
      </w:pPr>
    </w:p>
    <w:p w14:paraId="4AB569E8" w14:textId="1BD9DADF" w:rsidR="00090437" w:rsidRPr="00090437" w:rsidRDefault="00DE6159" w:rsidP="000B3718">
      <w:pPr>
        <w:pStyle w:val="a5"/>
      </w:pPr>
      <w:r>
        <w:t>3.4</w:t>
      </w:r>
      <w:r w:rsidR="00955573">
        <w:t>5</w:t>
      </w:r>
      <w:r w:rsidR="00090437" w:rsidRPr="00090437">
        <w:t>.</w:t>
      </w:r>
      <w:r w:rsidR="00090437" w:rsidRPr="00090437">
        <w:tab/>
        <w:t>Вклад «Масленица» (условия для пролонгируемых вкладов)</w:t>
      </w:r>
    </w:p>
    <w:p w14:paraId="2CACD6D4" w14:textId="77777777" w:rsidR="00090437" w:rsidRPr="00090437" w:rsidRDefault="00090437" w:rsidP="00090437">
      <w:pPr>
        <w:tabs>
          <w:tab w:val="left" w:pos="851"/>
        </w:tabs>
        <w:ind w:firstLine="426"/>
        <w:jc w:val="both"/>
        <w:rPr>
          <w:rFonts w:ascii="Tahoma" w:hAnsi="Tahoma" w:cs="Tahoma"/>
          <w:bCs/>
          <w:iCs/>
          <w:color w:val="000000" w:themeColor="text1"/>
          <w:sz w:val="22"/>
          <w:szCs w:val="22"/>
        </w:rPr>
      </w:pPr>
      <w:r w:rsidRPr="00090437">
        <w:rPr>
          <w:rFonts w:ascii="Tahoma" w:hAnsi="Tahoma" w:cs="Tahoma"/>
          <w:bCs/>
          <w:iCs/>
          <w:color w:val="000000" w:themeColor="text1"/>
          <w:sz w:val="22"/>
          <w:szCs w:val="22"/>
        </w:rPr>
        <w:t>Условия:</w:t>
      </w:r>
    </w:p>
    <w:p w14:paraId="7DBA4BEB"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Валюта - рубли;</w:t>
      </w:r>
    </w:p>
    <w:p w14:paraId="6EFF6C75"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Минимальная сумма Вклада 50 000 рублей;</w:t>
      </w:r>
    </w:p>
    <w:p w14:paraId="57F0A888"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Максимальная сумма Вклада – не ограничена;</w:t>
      </w:r>
    </w:p>
    <w:p w14:paraId="467E5621"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Срок Вклада – 182 дня/ 367 дней/ 500 дней;</w:t>
      </w:r>
    </w:p>
    <w:p w14:paraId="77BAF8F7"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Вклад не пополняемый;</w:t>
      </w:r>
    </w:p>
    <w:p w14:paraId="5AEE18C9"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color w:val="000000" w:themeColor="text1"/>
          <w:sz w:val="22"/>
          <w:szCs w:val="22"/>
        </w:rPr>
        <w:t>Продление (автоматическое перезаключение) Договора без оформления дополнительных соглашений – без ограничений</w:t>
      </w:r>
      <w:r w:rsidRPr="00090437">
        <w:rPr>
          <w:rFonts w:ascii="Tahoma" w:hAnsi="Tahoma" w:cs="Tahoma"/>
          <w:sz w:val="22"/>
          <w:szCs w:val="22"/>
        </w:rPr>
        <w:t>;</w:t>
      </w:r>
    </w:p>
    <w:p w14:paraId="7B39B700"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Неснижаемый остаток по Вкладу – не предусмотрен;</w:t>
      </w:r>
    </w:p>
    <w:p w14:paraId="702E6EFD" w14:textId="77777777" w:rsidR="00090437" w:rsidRPr="00090437" w:rsidRDefault="00090437" w:rsidP="00090437">
      <w:pPr>
        <w:widowControl w:val="0"/>
        <w:numPr>
          <w:ilvl w:val="0"/>
          <w:numId w:val="3"/>
        </w:numPr>
        <w:tabs>
          <w:tab w:val="left" w:pos="284"/>
          <w:tab w:val="left" w:pos="709"/>
          <w:tab w:val="left" w:pos="851"/>
        </w:tabs>
        <w:autoSpaceDE w:val="0"/>
        <w:autoSpaceDN w:val="0"/>
        <w:adjustRightInd w:val="0"/>
        <w:contextualSpacing/>
        <w:jc w:val="both"/>
        <w:rPr>
          <w:rFonts w:ascii="Tahoma" w:hAnsi="Tahoma" w:cs="Tahoma"/>
          <w:sz w:val="22"/>
          <w:szCs w:val="22"/>
        </w:rPr>
      </w:pPr>
      <w:r w:rsidRPr="00090437">
        <w:rPr>
          <w:rFonts w:ascii="Tahoma" w:hAnsi="Tahoma" w:cs="Tahoma"/>
          <w:sz w:val="22"/>
          <w:szCs w:val="22"/>
        </w:rPr>
        <w:t>Выплата процентов и суммы Вклада – в конце срока на счет банковской карты или Вклад «Личный счет» (до востребования);</w:t>
      </w:r>
    </w:p>
    <w:p w14:paraId="4064C0A5" w14:textId="77777777" w:rsidR="00090437" w:rsidRPr="00090437" w:rsidRDefault="00090437" w:rsidP="00090437">
      <w:pPr>
        <w:numPr>
          <w:ilvl w:val="0"/>
          <w:numId w:val="3"/>
        </w:numPr>
        <w:tabs>
          <w:tab w:val="left" w:pos="851"/>
        </w:tabs>
        <w:jc w:val="both"/>
        <w:rPr>
          <w:rFonts w:ascii="Tahoma" w:hAnsi="Tahoma" w:cs="Tahoma"/>
          <w:sz w:val="22"/>
          <w:szCs w:val="22"/>
        </w:rPr>
      </w:pPr>
      <w:r w:rsidRPr="00090437">
        <w:rPr>
          <w:rFonts w:ascii="Tahoma" w:hAnsi="Tahoma" w:cs="Tahoma"/>
          <w:sz w:val="22"/>
          <w:szCs w:val="22"/>
        </w:rPr>
        <w:t xml:space="preserve">При досрочном расторжении Договора Вклада проценты выплачиваются по ставке Вклада Банка «Личный счет» (до востребования). </w:t>
      </w:r>
    </w:p>
    <w:tbl>
      <w:tblPr>
        <w:tblW w:w="5000" w:type="pct"/>
        <w:tblLayout w:type="fixed"/>
        <w:tblLook w:val="04A0" w:firstRow="1" w:lastRow="0" w:firstColumn="1" w:lastColumn="0" w:noHBand="0" w:noVBand="1"/>
      </w:tblPr>
      <w:tblGrid>
        <w:gridCol w:w="2061"/>
        <w:gridCol w:w="2309"/>
        <w:gridCol w:w="1709"/>
        <w:gridCol w:w="2912"/>
        <w:gridCol w:w="2199"/>
        <w:gridCol w:w="2126"/>
        <w:gridCol w:w="1806"/>
      </w:tblGrid>
      <w:tr w:rsidR="00090437" w:rsidRPr="00090437" w14:paraId="5B72A24C" w14:textId="77777777" w:rsidTr="00090437">
        <w:trPr>
          <w:trHeight w:val="319"/>
        </w:trPr>
        <w:tc>
          <w:tcPr>
            <w:tcW w:w="681" w:type="pct"/>
            <w:vMerge w:val="restart"/>
            <w:tcBorders>
              <w:top w:val="single" w:sz="8" w:space="0" w:color="auto"/>
              <w:left w:val="single" w:sz="8" w:space="0" w:color="auto"/>
              <w:bottom w:val="single" w:sz="8" w:space="0" w:color="000000"/>
              <w:right w:val="nil"/>
            </w:tcBorders>
            <w:shd w:val="clear" w:color="auto" w:fill="auto"/>
            <w:vAlign w:val="center"/>
            <w:hideMark/>
          </w:tcPr>
          <w:p w14:paraId="743F4099"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Ориентировочный сегмент</w:t>
            </w:r>
          </w:p>
        </w:tc>
        <w:tc>
          <w:tcPr>
            <w:tcW w:w="763" w:type="pct"/>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399E1270"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Продукт</w:t>
            </w:r>
          </w:p>
        </w:tc>
        <w:tc>
          <w:tcPr>
            <w:tcW w:w="1528" w:type="pct"/>
            <w:gridSpan w:val="2"/>
            <w:tcBorders>
              <w:top w:val="single" w:sz="8" w:space="0" w:color="auto"/>
              <w:left w:val="nil"/>
              <w:bottom w:val="single" w:sz="4" w:space="0" w:color="auto"/>
              <w:right w:val="single" w:sz="4" w:space="0" w:color="auto"/>
            </w:tcBorders>
            <w:shd w:val="clear" w:color="auto" w:fill="auto"/>
            <w:noWrap/>
            <w:vAlign w:val="center"/>
            <w:hideMark/>
          </w:tcPr>
          <w:p w14:paraId="0036190D"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Базовые параметры вклада</w:t>
            </w:r>
          </w:p>
        </w:tc>
        <w:tc>
          <w:tcPr>
            <w:tcW w:w="2027" w:type="pct"/>
            <w:gridSpan w:val="3"/>
            <w:tcBorders>
              <w:top w:val="single" w:sz="8" w:space="0" w:color="auto"/>
              <w:left w:val="nil"/>
              <w:bottom w:val="single" w:sz="4" w:space="0" w:color="auto"/>
              <w:right w:val="single" w:sz="4" w:space="0" w:color="auto"/>
            </w:tcBorders>
            <w:shd w:val="clear" w:color="auto" w:fill="auto"/>
            <w:noWrap/>
            <w:vAlign w:val="center"/>
            <w:hideMark/>
          </w:tcPr>
          <w:p w14:paraId="366BAA57" w14:textId="77777777" w:rsidR="00090437" w:rsidRPr="00090437" w:rsidRDefault="00090437" w:rsidP="00090437">
            <w:pPr>
              <w:jc w:val="center"/>
              <w:rPr>
                <w:rFonts w:ascii="Tahoma" w:hAnsi="Tahoma" w:cs="Tahoma"/>
                <w:bCs/>
                <w:iCs/>
                <w:sz w:val="20"/>
                <w:szCs w:val="20"/>
              </w:rPr>
            </w:pPr>
            <w:r w:rsidRPr="00090437">
              <w:rPr>
                <w:rFonts w:ascii="Tahoma" w:hAnsi="Tahoma" w:cs="Tahoma"/>
                <w:b/>
                <w:color w:val="000000" w:themeColor="text1"/>
                <w:sz w:val="20"/>
                <w:szCs w:val="20"/>
              </w:rPr>
              <w:t xml:space="preserve">Процентные ставки* (% </w:t>
            </w:r>
            <w:r w:rsidRPr="00090437">
              <w:rPr>
                <w:rFonts w:ascii="Tahoma" w:hAnsi="Tahoma" w:cs="Tahoma"/>
                <w:b/>
                <w:sz w:val="20"/>
                <w:szCs w:val="20"/>
              </w:rPr>
              <w:t>годовых) в зависимости от срока договора вклада</w:t>
            </w:r>
          </w:p>
        </w:tc>
      </w:tr>
      <w:tr w:rsidR="00090437" w:rsidRPr="00090437" w14:paraId="4BE2FED9" w14:textId="77777777" w:rsidTr="00090437">
        <w:trPr>
          <w:trHeight w:val="319"/>
        </w:trPr>
        <w:tc>
          <w:tcPr>
            <w:tcW w:w="681" w:type="pct"/>
            <w:vMerge/>
            <w:tcBorders>
              <w:top w:val="single" w:sz="8" w:space="0" w:color="auto"/>
              <w:left w:val="single" w:sz="8" w:space="0" w:color="auto"/>
              <w:bottom w:val="single" w:sz="8" w:space="0" w:color="000000"/>
              <w:right w:val="nil"/>
            </w:tcBorders>
            <w:vAlign w:val="center"/>
            <w:hideMark/>
          </w:tcPr>
          <w:p w14:paraId="57C92BE7" w14:textId="77777777" w:rsidR="00090437" w:rsidRPr="00090437" w:rsidRDefault="00090437" w:rsidP="00090437">
            <w:pPr>
              <w:rPr>
                <w:rFonts w:ascii="Tahoma" w:hAnsi="Tahoma" w:cs="Tahoma"/>
                <w:bCs/>
                <w:iCs/>
                <w:sz w:val="20"/>
                <w:szCs w:val="20"/>
              </w:rPr>
            </w:pPr>
          </w:p>
        </w:tc>
        <w:tc>
          <w:tcPr>
            <w:tcW w:w="763" w:type="pct"/>
            <w:vMerge/>
            <w:tcBorders>
              <w:top w:val="single" w:sz="8" w:space="0" w:color="auto"/>
              <w:left w:val="single" w:sz="8" w:space="0" w:color="auto"/>
              <w:bottom w:val="single" w:sz="8" w:space="0" w:color="000000"/>
              <w:right w:val="single" w:sz="4" w:space="0" w:color="auto"/>
            </w:tcBorders>
            <w:vAlign w:val="center"/>
            <w:hideMark/>
          </w:tcPr>
          <w:p w14:paraId="5BA62524" w14:textId="77777777" w:rsidR="00090437" w:rsidRPr="00090437" w:rsidRDefault="00090437" w:rsidP="00090437">
            <w:pPr>
              <w:rPr>
                <w:rFonts w:ascii="Tahoma" w:hAnsi="Tahoma" w:cs="Tahoma"/>
                <w:bCs/>
                <w:iCs/>
                <w:sz w:val="20"/>
                <w:szCs w:val="20"/>
              </w:rPr>
            </w:pPr>
          </w:p>
        </w:tc>
        <w:tc>
          <w:tcPr>
            <w:tcW w:w="565" w:type="pct"/>
            <w:tcBorders>
              <w:top w:val="nil"/>
              <w:left w:val="nil"/>
              <w:bottom w:val="single" w:sz="8" w:space="0" w:color="auto"/>
              <w:right w:val="single" w:sz="4" w:space="0" w:color="auto"/>
            </w:tcBorders>
            <w:shd w:val="clear" w:color="auto" w:fill="auto"/>
            <w:noWrap/>
            <w:vAlign w:val="center"/>
            <w:hideMark/>
          </w:tcPr>
          <w:p w14:paraId="0FEBC952"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Валюта вклада</w:t>
            </w:r>
          </w:p>
        </w:tc>
        <w:tc>
          <w:tcPr>
            <w:tcW w:w="963" w:type="pct"/>
            <w:tcBorders>
              <w:top w:val="nil"/>
              <w:left w:val="nil"/>
              <w:bottom w:val="single" w:sz="8" w:space="0" w:color="auto"/>
              <w:right w:val="single" w:sz="4" w:space="0" w:color="auto"/>
            </w:tcBorders>
            <w:shd w:val="clear" w:color="auto" w:fill="auto"/>
            <w:noWrap/>
            <w:vAlign w:val="center"/>
            <w:hideMark/>
          </w:tcPr>
          <w:p w14:paraId="63971033"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 xml:space="preserve">Минимальная сумма вклада </w:t>
            </w:r>
          </w:p>
        </w:tc>
        <w:tc>
          <w:tcPr>
            <w:tcW w:w="727" w:type="pct"/>
            <w:tcBorders>
              <w:top w:val="nil"/>
              <w:left w:val="nil"/>
              <w:bottom w:val="single" w:sz="8" w:space="0" w:color="auto"/>
              <w:right w:val="single" w:sz="4" w:space="0" w:color="auto"/>
            </w:tcBorders>
            <w:shd w:val="clear" w:color="auto" w:fill="auto"/>
            <w:noWrap/>
            <w:vAlign w:val="center"/>
          </w:tcPr>
          <w:p w14:paraId="35556452"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182 дня</w:t>
            </w:r>
          </w:p>
        </w:tc>
        <w:tc>
          <w:tcPr>
            <w:tcW w:w="703" w:type="pct"/>
            <w:tcBorders>
              <w:top w:val="nil"/>
              <w:left w:val="nil"/>
              <w:bottom w:val="single" w:sz="8" w:space="0" w:color="auto"/>
              <w:right w:val="single" w:sz="4" w:space="0" w:color="auto"/>
            </w:tcBorders>
            <w:shd w:val="clear" w:color="auto" w:fill="auto"/>
            <w:vAlign w:val="center"/>
          </w:tcPr>
          <w:p w14:paraId="27F677EE"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367 дней</w:t>
            </w:r>
          </w:p>
        </w:tc>
        <w:tc>
          <w:tcPr>
            <w:tcW w:w="597" w:type="pct"/>
            <w:tcBorders>
              <w:top w:val="nil"/>
              <w:left w:val="nil"/>
              <w:bottom w:val="single" w:sz="8" w:space="0" w:color="auto"/>
              <w:right w:val="single" w:sz="4" w:space="0" w:color="auto"/>
            </w:tcBorders>
            <w:shd w:val="clear" w:color="auto" w:fill="auto"/>
            <w:vAlign w:val="center"/>
          </w:tcPr>
          <w:p w14:paraId="3563ACA5"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500 дней</w:t>
            </w:r>
          </w:p>
        </w:tc>
      </w:tr>
      <w:tr w:rsidR="00090437" w:rsidRPr="00090437" w14:paraId="6FB072D7" w14:textId="77777777" w:rsidTr="00090437">
        <w:trPr>
          <w:trHeight w:val="173"/>
        </w:trPr>
        <w:tc>
          <w:tcPr>
            <w:tcW w:w="681" w:type="pct"/>
            <w:tcBorders>
              <w:top w:val="nil"/>
              <w:left w:val="single" w:sz="8" w:space="0" w:color="auto"/>
              <w:bottom w:val="single" w:sz="4" w:space="0" w:color="auto"/>
              <w:right w:val="nil"/>
            </w:tcBorders>
            <w:shd w:val="clear" w:color="auto" w:fill="auto"/>
            <w:vAlign w:val="center"/>
            <w:hideMark/>
          </w:tcPr>
          <w:p w14:paraId="5E579A8E"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Все категории клиентов</w:t>
            </w:r>
          </w:p>
        </w:tc>
        <w:tc>
          <w:tcPr>
            <w:tcW w:w="763" w:type="pct"/>
            <w:tcBorders>
              <w:top w:val="nil"/>
              <w:left w:val="single" w:sz="8" w:space="0" w:color="auto"/>
              <w:bottom w:val="single" w:sz="4" w:space="0" w:color="auto"/>
              <w:right w:val="single" w:sz="4" w:space="0" w:color="auto"/>
            </w:tcBorders>
            <w:shd w:val="clear" w:color="000000" w:fill="FFC000"/>
            <w:vAlign w:val="center"/>
            <w:hideMark/>
          </w:tcPr>
          <w:p w14:paraId="61D11D9D"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Масленица</w:t>
            </w:r>
          </w:p>
        </w:tc>
        <w:tc>
          <w:tcPr>
            <w:tcW w:w="565" w:type="pct"/>
            <w:tcBorders>
              <w:top w:val="nil"/>
              <w:left w:val="nil"/>
              <w:bottom w:val="single" w:sz="4" w:space="0" w:color="auto"/>
              <w:right w:val="single" w:sz="4" w:space="0" w:color="auto"/>
            </w:tcBorders>
            <w:shd w:val="clear" w:color="auto" w:fill="auto"/>
            <w:noWrap/>
            <w:vAlign w:val="center"/>
            <w:hideMark/>
          </w:tcPr>
          <w:p w14:paraId="2E69FCAF"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рубли</w:t>
            </w:r>
          </w:p>
        </w:tc>
        <w:tc>
          <w:tcPr>
            <w:tcW w:w="963" w:type="pct"/>
            <w:tcBorders>
              <w:top w:val="nil"/>
              <w:left w:val="nil"/>
              <w:bottom w:val="single" w:sz="4" w:space="0" w:color="auto"/>
              <w:right w:val="single" w:sz="4" w:space="0" w:color="auto"/>
            </w:tcBorders>
            <w:shd w:val="clear" w:color="auto" w:fill="auto"/>
            <w:noWrap/>
            <w:vAlign w:val="center"/>
            <w:hideMark/>
          </w:tcPr>
          <w:p w14:paraId="330F8796"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50 000</w:t>
            </w:r>
          </w:p>
        </w:tc>
        <w:tc>
          <w:tcPr>
            <w:tcW w:w="727" w:type="pct"/>
            <w:tcBorders>
              <w:top w:val="nil"/>
              <w:left w:val="nil"/>
              <w:bottom w:val="single" w:sz="4" w:space="0" w:color="auto"/>
              <w:right w:val="single" w:sz="4" w:space="0" w:color="auto"/>
            </w:tcBorders>
            <w:shd w:val="clear" w:color="auto" w:fill="auto"/>
            <w:noWrap/>
            <w:vAlign w:val="center"/>
          </w:tcPr>
          <w:p w14:paraId="75D1604D"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4,500</w:t>
            </w:r>
          </w:p>
        </w:tc>
        <w:tc>
          <w:tcPr>
            <w:tcW w:w="703" w:type="pct"/>
            <w:tcBorders>
              <w:top w:val="nil"/>
              <w:left w:val="nil"/>
              <w:bottom w:val="single" w:sz="4" w:space="0" w:color="auto"/>
              <w:right w:val="single" w:sz="4" w:space="0" w:color="auto"/>
            </w:tcBorders>
            <w:shd w:val="clear" w:color="auto" w:fill="auto"/>
            <w:vAlign w:val="center"/>
          </w:tcPr>
          <w:p w14:paraId="7C686FDE"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4,700</w:t>
            </w:r>
          </w:p>
        </w:tc>
        <w:tc>
          <w:tcPr>
            <w:tcW w:w="597" w:type="pct"/>
            <w:tcBorders>
              <w:top w:val="nil"/>
              <w:left w:val="nil"/>
              <w:bottom w:val="single" w:sz="4" w:space="0" w:color="auto"/>
              <w:right w:val="single" w:sz="4" w:space="0" w:color="auto"/>
            </w:tcBorders>
            <w:shd w:val="clear" w:color="auto" w:fill="auto"/>
            <w:vAlign w:val="center"/>
          </w:tcPr>
          <w:p w14:paraId="4D988844"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5,000</w:t>
            </w:r>
          </w:p>
        </w:tc>
      </w:tr>
    </w:tbl>
    <w:p w14:paraId="5F328FA6" w14:textId="77777777" w:rsidR="00090437" w:rsidRPr="00090437" w:rsidRDefault="00090437" w:rsidP="00090437">
      <w:pPr>
        <w:tabs>
          <w:tab w:val="left" w:pos="851"/>
        </w:tabs>
        <w:ind w:left="426"/>
        <w:contextualSpacing/>
        <w:jc w:val="both"/>
        <w:rPr>
          <w:rFonts w:ascii="Tahoma" w:hAnsi="Tahoma" w:cs="Tahoma"/>
          <w:color w:val="FF0000"/>
          <w:sz w:val="16"/>
          <w:szCs w:val="16"/>
        </w:rPr>
      </w:pPr>
      <w:r w:rsidRPr="00090437">
        <w:rPr>
          <w:rFonts w:ascii="Tahoma" w:hAnsi="Tahoma" w:cs="Tahoma"/>
          <w:sz w:val="18"/>
          <w:szCs w:val="18"/>
        </w:rPr>
        <w:t>*Соответствует значению минимальной гарантированной ставки (годовых) с учетом округления, определяющему минимальный доход, выплачиваемый вкладчику на сумму вклада при условии хранения суммы вклада до конца срока вклада без учета каких-либо других условий. Порядок расчета минимальной гарантированной ставки по вкладу определяется Банком России.</w:t>
      </w:r>
    </w:p>
    <w:p w14:paraId="31BDC2B9" w14:textId="77777777" w:rsidR="00090437" w:rsidRPr="00090437" w:rsidRDefault="00090437" w:rsidP="00090437">
      <w:pPr>
        <w:tabs>
          <w:tab w:val="left" w:pos="851"/>
        </w:tabs>
        <w:ind w:left="426"/>
        <w:contextualSpacing/>
        <w:jc w:val="both"/>
        <w:rPr>
          <w:rFonts w:ascii="Tahoma" w:hAnsi="Tahoma" w:cs="Tahoma"/>
          <w:b/>
          <w:bCs/>
          <w:iCs/>
          <w:color w:val="E36C0A" w:themeColor="accent6" w:themeShade="BF"/>
          <w:sz w:val="22"/>
          <w:szCs w:val="22"/>
        </w:rPr>
      </w:pPr>
    </w:p>
    <w:p w14:paraId="57E410DE" w14:textId="4C5798AF" w:rsidR="00090437" w:rsidRPr="00090437" w:rsidRDefault="002B7E85" w:rsidP="000B3718">
      <w:pPr>
        <w:pStyle w:val="a5"/>
      </w:pPr>
      <w:r>
        <w:t>3.4</w:t>
      </w:r>
      <w:r w:rsidR="00955573">
        <w:t>6</w:t>
      </w:r>
      <w:r>
        <w:t>.</w:t>
      </w:r>
      <w:r w:rsidR="00090437" w:rsidRPr="00090437">
        <w:tab/>
        <w:t>Вклад «Масленица Онлайн» (условия для пролонгируемых вкладов)</w:t>
      </w:r>
    </w:p>
    <w:p w14:paraId="6367F06F" w14:textId="77777777" w:rsidR="00090437" w:rsidRPr="00090437" w:rsidRDefault="00090437" w:rsidP="00090437">
      <w:pPr>
        <w:tabs>
          <w:tab w:val="left" w:pos="851"/>
        </w:tabs>
        <w:ind w:firstLine="426"/>
        <w:jc w:val="both"/>
        <w:rPr>
          <w:rFonts w:ascii="Tahoma" w:hAnsi="Tahoma" w:cs="Tahoma"/>
          <w:bCs/>
          <w:iCs/>
          <w:color w:val="000000" w:themeColor="text1"/>
          <w:sz w:val="22"/>
          <w:szCs w:val="22"/>
        </w:rPr>
      </w:pPr>
      <w:r w:rsidRPr="00090437">
        <w:rPr>
          <w:rFonts w:ascii="Tahoma" w:hAnsi="Tahoma" w:cs="Tahoma"/>
          <w:bCs/>
          <w:iCs/>
          <w:color w:val="000000" w:themeColor="text1"/>
          <w:sz w:val="22"/>
          <w:szCs w:val="22"/>
        </w:rPr>
        <w:t>Условия:</w:t>
      </w:r>
    </w:p>
    <w:p w14:paraId="257FBFB9"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Валюта - рубли;</w:t>
      </w:r>
    </w:p>
    <w:p w14:paraId="30EAD72D"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Минимальная сумма Вклада 50 000 рублей;</w:t>
      </w:r>
    </w:p>
    <w:p w14:paraId="3C4DB150"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Максимальная сумма Вклада – не ограничена;</w:t>
      </w:r>
    </w:p>
    <w:p w14:paraId="0B982D59"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Срок Вклада – 182 дня/ 367 дней/ 500 дней;</w:t>
      </w:r>
    </w:p>
    <w:p w14:paraId="6810564B"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Вклад не пополняемый;</w:t>
      </w:r>
    </w:p>
    <w:p w14:paraId="55CB6678"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color w:val="000000" w:themeColor="text1"/>
          <w:sz w:val="22"/>
          <w:szCs w:val="22"/>
        </w:rPr>
        <w:t>Продление (автоматическое перезаключение) Договора без оформления дополнительных соглашений – без ограничений</w:t>
      </w:r>
      <w:r w:rsidRPr="00090437">
        <w:rPr>
          <w:rFonts w:ascii="Tahoma" w:hAnsi="Tahoma" w:cs="Tahoma"/>
          <w:sz w:val="22"/>
          <w:szCs w:val="22"/>
        </w:rPr>
        <w:t>;</w:t>
      </w:r>
    </w:p>
    <w:p w14:paraId="7726E0A8" w14:textId="77777777" w:rsidR="00090437" w:rsidRPr="00090437" w:rsidRDefault="00090437" w:rsidP="00090437">
      <w:pPr>
        <w:numPr>
          <w:ilvl w:val="0"/>
          <w:numId w:val="3"/>
        </w:numPr>
        <w:contextualSpacing/>
        <w:jc w:val="both"/>
        <w:rPr>
          <w:rFonts w:ascii="Tahoma" w:hAnsi="Tahoma" w:cs="Tahoma"/>
          <w:sz w:val="22"/>
          <w:szCs w:val="22"/>
        </w:rPr>
      </w:pPr>
      <w:r w:rsidRPr="00090437">
        <w:rPr>
          <w:rFonts w:ascii="Tahoma" w:hAnsi="Tahoma" w:cs="Tahoma"/>
          <w:sz w:val="22"/>
          <w:szCs w:val="22"/>
        </w:rPr>
        <w:t>Неснижаемый остаток по Вкладу – не предусмотрен;</w:t>
      </w:r>
    </w:p>
    <w:p w14:paraId="29858FC8" w14:textId="77777777" w:rsidR="00090437" w:rsidRPr="00090437" w:rsidRDefault="00090437" w:rsidP="00090437">
      <w:pPr>
        <w:widowControl w:val="0"/>
        <w:numPr>
          <w:ilvl w:val="0"/>
          <w:numId w:val="3"/>
        </w:numPr>
        <w:tabs>
          <w:tab w:val="left" w:pos="284"/>
          <w:tab w:val="left" w:pos="709"/>
          <w:tab w:val="left" w:pos="851"/>
        </w:tabs>
        <w:autoSpaceDE w:val="0"/>
        <w:autoSpaceDN w:val="0"/>
        <w:adjustRightInd w:val="0"/>
        <w:contextualSpacing/>
        <w:jc w:val="both"/>
        <w:rPr>
          <w:rFonts w:ascii="Tahoma" w:hAnsi="Tahoma" w:cs="Tahoma"/>
          <w:sz w:val="22"/>
          <w:szCs w:val="22"/>
        </w:rPr>
      </w:pPr>
      <w:r w:rsidRPr="00090437">
        <w:rPr>
          <w:rFonts w:ascii="Tahoma" w:hAnsi="Tahoma" w:cs="Tahoma"/>
          <w:sz w:val="22"/>
          <w:szCs w:val="22"/>
        </w:rPr>
        <w:t>Выплата процентов и суммы Вклада – в конце срока на счет банковской карты;</w:t>
      </w:r>
    </w:p>
    <w:p w14:paraId="03E9C427" w14:textId="77777777" w:rsidR="00090437" w:rsidRPr="00090437" w:rsidRDefault="00090437" w:rsidP="00090437">
      <w:pPr>
        <w:numPr>
          <w:ilvl w:val="0"/>
          <w:numId w:val="3"/>
        </w:numPr>
        <w:tabs>
          <w:tab w:val="left" w:pos="851"/>
        </w:tabs>
        <w:jc w:val="both"/>
        <w:rPr>
          <w:rFonts w:ascii="Tahoma" w:hAnsi="Tahoma" w:cs="Tahoma"/>
          <w:sz w:val="22"/>
          <w:szCs w:val="22"/>
        </w:rPr>
      </w:pPr>
      <w:r w:rsidRPr="00090437">
        <w:rPr>
          <w:rFonts w:ascii="Tahoma" w:hAnsi="Tahoma" w:cs="Tahoma"/>
          <w:sz w:val="22"/>
          <w:szCs w:val="22"/>
        </w:rPr>
        <w:t xml:space="preserve">При досрочном расторжении Договора Вклада проценты выплачиваются по ставке Вклада Банка «Личный счет» (до востребования). </w:t>
      </w:r>
    </w:p>
    <w:tbl>
      <w:tblPr>
        <w:tblW w:w="5000" w:type="pct"/>
        <w:tblLayout w:type="fixed"/>
        <w:tblLook w:val="04A0" w:firstRow="1" w:lastRow="0" w:firstColumn="1" w:lastColumn="0" w:noHBand="0" w:noVBand="1"/>
      </w:tblPr>
      <w:tblGrid>
        <w:gridCol w:w="2061"/>
        <w:gridCol w:w="2309"/>
        <w:gridCol w:w="1709"/>
        <w:gridCol w:w="2912"/>
        <w:gridCol w:w="2199"/>
        <w:gridCol w:w="2126"/>
        <w:gridCol w:w="1806"/>
      </w:tblGrid>
      <w:tr w:rsidR="00090437" w:rsidRPr="00090437" w14:paraId="0DF25B44" w14:textId="77777777" w:rsidTr="00090437">
        <w:trPr>
          <w:trHeight w:val="319"/>
        </w:trPr>
        <w:tc>
          <w:tcPr>
            <w:tcW w:w="681" w:type="pct"/>
            <w:vMerge w:val="restart"/>
            <w:tcBorders>
              <w:top w:val="single" w:sz="8" w:space="0" w:color="auto"/>
              <w:left w:val="single" w:sz="8" w:space="0" w:color="auto"/>
              <w:bottom w:val="single" w:sz="8" w:space="0" w:color="000000"/>
              <w:right w:val="nil"/>
            </w:tcBorders>
            <w:shd w:val="clear" w:color="auto" w:fill="auto"/>
            <w:vAlign w:val="center"/>
            <w:hideMark/>
          </w:tcPr>
          <w:p w14:paraId="3A16AD23"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Ориентировочный сегмент</w:t>
            </w:r>
          </w:p>
        </w:tc>
        <w:tc>
          <w:tcPr>
            <w:tcW w:w="763" w:type="pct"/>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12FCEE8F"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Продукт</w:t>
            </w:r>
          </w:p>
        </w:tc>
        <w:tc>
          <w:tcPr>
            <w:tcW w:w="1528" w:type="pct"/>
            <w:gridSpan w:val="2"/>
            <w:tcBorders>
              <w:top w:val="single" w:sz="8" w:space="0" w:color="auto"/>
              <w:left w:val="nil"/>
              <w:bottom w:val="single" w:sz="4" w:space="0" w:color="auto"/>
              <w:right w:val="single" w:sz="4" w:space="0" w:color="auto"/>
            </w:tcBorders>
            <w:shd w:val="clear" w:color="auto" w:fill="auto"/>
            <w:noWrap/>
            <w:vAlign w:val="center"/>
            <w:hideMark/>
          </w:tcPr>
          <w:p w14:paraId="0C58AB6F"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Базовые параметры вклада</w:t>
            </w:r>
          </w:p>
        </w:tc>
        <w:tc>
          <w:tcPr>
            <w:tcW w:w="2027" w:type="pct"/>
            <w:gridSpan w:val="3"/>
            <w:tcBorders>
              <w:top w:val="single" w:sz="8" w:space="0" w:color="auto"/>
              <w:left w:val="nil"/>
              <w:bottom w:val="single" w:sz="4" w:space="0" w:color="auto"/>
              <w:right w:val="single" w:sz="4" w:space="0" w:color="auto"/>
            </w:tcBorders>
            <w:shd w:val="clear" w:color="auto" w:fill="auto"/>
            <w:noWrap/>
            <w:vAlign w:val="center"/>
            <w:hideMark/>
          </w:tcPr>
          <w:p w14:paraId="40B57FBD" w14:textId="77777777" w:rsidR="00090437" w:rsidRPr="00090437" w:rsidRDefault="00090437" w:rsidP="00090437">
            <w:pPr>
              <w:jc w:val="center"/>
              <w:rPr>
                <w:rFonts w:ascii="Tahoma" w:hAnsi="Tahoma" w:cs="Tahoma"/>
                <w:bCs/>
                <w:iCs/>
                <w:sz w:val="20"/>
                <w:szCs w:val="20"/>
              </w:rPr>
            </w:pPr>
            <w:r w:rsidRPr="00090437">
              <w:rPr>
                <w:rFonts w:ascii="Tahoma" w:hAnsi="Tahoma" w:cs="Tahoma"/>
                <w:b/>
                <w:color w:val="000000" w:themeColor="text1"/>
                <w:sz w:val="20"/>
                <w:szCs w:val="20"/>
              </w:rPr>
              <w:t xml:space="preserve">Процентные ставки* (% годовых) </w:t>
            </w:r>
            <w:r w:rsidRPr="00090437">
              <w:rPr>
                <w:rFonts w:ascii="Tahoma" w:hAnsi="Tahoma" w:cs="Tahoma"/>
                <w:b/>
                <w:sz w:val="20"/>
                <w:szCs w:val="20"/>
              </w:rPr>
              <w:t>в зависимости от срока договора вклада</w:t>
            </w:r>
          </w:p>
        </w:tc>
      </w:tr>
      <w:tr w:rsidR="00090437" w:rsidRPr="00090437" w14:paraId="3AFBB22F" w14:textId="77777777" w:rsidTr="00090437">
        <w:trPr>
          <w:trHeight w:val="319"/>
        </w:trPr>
        <w:tc>
          <w:tcPr>
            <w:tcW w:w="681" w:type="pct"/>
            <w:vMerge/>
            <w:tcBorders>
              <w:top w:val="single" w:sz="8" w:space="0" w:color="auto"/>
              <w:left w:val="single" w:sz="8" w:space="0" w:color="auto"/>
              <w:bottom w:val="single" w:sz="8" w:space="0" w:color="000000"/>
              <w:right w:val="nil"/>
            </w:tcBorders>
            <w:vAlign w:val="center"/>
            <w:hideMark/>
          </w:tcPr>
          <w:p w14:paraId="25A3FEDF" w14:textId="77777777" w:rsidR="00090437" w:rsidRPr="00090437" w:rsidRDefault="00090437" w:rsidP="00090437">
            <w:pPr>
              <w:rPr>
                <w:rFonts w:ascii="Tahoma" w:hAnsi="Tahoma" w:cs="Tahoma"/>
                <w:bCs/>
                <w:iCs/>
                <w:sz w:val="20"/>
                <w:szCs w:val="20"/>
              </w:rPr>
            </w:pPr>
          </w:p>
        </w:tc>
        <w:tc>
          <w:tcPr>
            <w:tcW w:w="763" w:type="pct"/>
            <w:vMerge/>
            <w:tcBorders>
              <w:top w:val="single" w:sz="8" w:space="0" w:color="auto"/>
              <w:left w:val="single" w:sz="8" w:space="0" w:color="auto"/>
              <w:bottom w:val="single" w:sz="8" w:space="0" w:color="000000"/>
              <w:right w:val="single" w:sz="4" w:space="0" w:color="auto"/>
            </w:tcBorders>
            <w:vAlign w:val="center"/>
            <w:hideMark/>
          </w:tcPr>
          <w:p w14:paraId="1F756936" w14:textId="77777777" w:rsidR="00090437" w:rsidRPr="00090437" w:rsidRDefault="00090437" w:rsidP="00090437">
            <w:pPr>
              <w:rPr>
                <w:rFonts w:ascii="Tahoma" w:hAnsi="Tahoma" w:cs="Tahoma"/>
                <w:bCs/>
                <w:iCs/>
                <w:sz w:val="20"/>
                <w:szCs w:val="20"/>
              </w:rPr>
            </w:pPr>
          </w:p>
        </w:tc>
        <w:tc>
          <w:tcPr>
            <w:tcW w:w="565" w:type="pct"/>
            <w:tcBorders>
              <w:top w:val="nil"/>
              <w:left w:val="nil"/>
              <w:bottom w:val="single" w:sz="8" w:space="0" w:color="auto"/>
              <w:right w:val="single" w:sz="4" w:space="0" w:color="auto"/>
            </w:tcBorders>
            <w:shd w:val="clear" w:color="auto" w:fill="auto"/>
            <w:noWrap/>
            <w:vAlign w:val="center"/>
            <w:hideMark/>
          </w:tcPr>
          <w:p w14:paraId="7651F8EE"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Валюта вклада</w:t>
            </w:r>
          </w:p>
        </w:tc>
        <w:tc>
          <w:tcPr>
            <w:tcW w:w="963" w:type="pct"/>
            <w:tcBorders>
              <w:top w:val="nil"/>
              <w:left w:val="nil"/>
              <w:bottom w:val="single" w:sz="8" w:space="0" w:color="auto"/>
              <w:right w:val="single" w:sz="4" w:space="0" w:color="auto"/>
            </w:tcBorders>
            <w:shd w:val="clear" w:color="auto" w:fill="auto"/>
            <w:noWrap/>
            <w:vAlign w:val="center"/>
            <w:hideMark/>
          </w:tcPr>
          <w:p w14:paraId="41C7CB21"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 xml:space="preserve">Минимальная сумма вклада </w:t>
            </w:r>
          </w:p>
        </w:tc>
        <w:tc>
          <w:tcPr>
            <w:tcW w:w="727" w:type="pct"/>
            <w:tcBorders>
              <w:top w:val="nil"/>
              <w:left w:val="nil"/>
              <w:bottom w:val="single" w:sz="8" w:space="0" w:color="auto"/>
              <w:right w:val="single" w:sz="4" w:space="0" w:color="auto"/>
            </w:tcBorders>
            <w:shd w:val="clear" w:color="auto" w:fill="auto"/>
            <w:noWrap/>
            <w:vAlign w:val="center"/>
          </w:tcPr>
          <w:p w14:paraId="28C896D1"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182 дня</w:t>
            </w:r>
          </w:p>
        </w:tc>
        <w:tc>
          <w:tcPr>
            <w:tcW w:w="703" w:type="pct"/>
            <w:tcBorders>
              <w:top w:val="nil"/>
              <w:left w:val="nil"/>
              <w:bottom w:val="single" w:sz="8" w:space="0" w:color="auto"/>
              <w:right w:val="single" w:sz="4" w:space="0" w:color="auto"/>
            </w:tcBorders>
            <w:shd w:val="clear" w:color="auto" w:fill="auto"/>
            <w:vAlign w:val="center"/>
          </w:tcPr>
          <w:p w14:paraId="324EA3FF"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367 дней</w:t>
            </w:r>
          </w:p>
        </w:tc>
        <w:tc>
          <w:tcPr>
            <w:tcW w:w="597" w:type="pct"/>
            <w:tcBorders>
              <w:top w:val="nil"/>
              <w:left w:val="nil"/>
              <w:bottom w:val="single" w:sz="8" w:space="0" w:color="auto"/>
              <w:right w:val="single" w:sz="4" w:space="0" w:color="auto"/>
            </w:tcBorders>
            <w:shd w:val="clear" w:color="auto" w:fill="auto"/>
            <w:vAlign w:val="center"/>
          </w:tcPr>
          <w:p w14:paraId="0DF63FD6"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500 дней</w:t>
            </w:r>
          </w:p>
        </w:tc>
      </w:tr>
      <w:tr w:rsidR="00090437" w:rsidRPr="00090437" w14:paraId="47FFF27F" w14:textId="77777777" w:rsidTr="00090437">
        <w:trPr>
          <w:trHeight w:val="173"/>
        </w:trPr>
        <w:tc>
          <w:tcPr>
            <w:tcW w:w="681" w:type="pct"/>
            <w:tcBorders>
              <w:top w:val="nil"/>
              <w:left w:val="single" w:sz="8" w:space="0" w:color="auto"/>
              <w:bottom w:val="single" w:sz="4" w:space="0" w:color="auto"/>
              <w:right w:val="nil"/>
            </w:tcBorders>
            <w:shd w:val="clear" w:color="auto" w:fill="auto"/>
            <w:vAlign w:val="center"/>
            <w:hideMark/>
          </w:tcPr>
          <w:p w14:paraId="64EF8CD0"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Все категории клиентов</w:t>
            </w:r>
          </w:p>
        </w:tc>
        <w:tc>
          <w:tcPr>
            <w:tcW w:w="763" w:type="pct"/>
            <w:tcBorders>
              <w:top w:val="nil"/>
              <w:left w:val="single" w:sz="8" w:space="0" w:color="auto"/>
              <w:bottom w:val="single" w:sz="4" w:space="0" w:color="auto"/>
              <w:right w:val="single" w:sz="4" w:space="0" w:color="auto"/>
            </w:tcBorders>
            <w:shd w:val="clear" w:color="000000" w:fill="FFC000"/>
            <w:vAlign w:val="center"/>
            <w:hideMark/>
          </w:tcPr>
          <w:p w14:paraId="54F9FC4D"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Масленица Онлайн</w:t>
            </w:r>
          </w:p>
        </w:tc>
        <w:tc>
          <w:tcPr>
            <w:tcW w:w="565" w:type="pct"/>
            <w:tcBorders>
              <w:top w:val="nil"/>
              <w:left w:val="nil"/>
              <w:bottom w:val="single" w:sz="4" w:space="0" w:color="auto"/>
              <w:right w:val="single" w:sz="4" w:space="0" w:color="auto"/>
            </w:tcBorders>
            <w:shd w:val="clear" w:color="auto" w:fill="auto"/>
            <w:noWrap/>
            <w:vAlign w:val="center"/>
            <w:hideMark/>
          </w:tcPr>
          <w:p w14:paraId="1550EFAA"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рубли</w:t>
            </w:r>
          </w:p>
        </w:tc>
        <w:tc>
          <w:tcPr>
            <w:tcW w:w="963" w:type="pct"/>
            <w:tcBorders>
              <w:top w:val="nil"/>
              <w:left w:val="nil"/>
              <w:bottom w:val="single" w:sz="4" w:space="0" w:color="auto"/>
              <w:right w:val="single" w:sz="4" w:space="0" w:color="auto"/>
            </w:tcBorders>
            <w:shd w:val="clear" w:color="auto" w:fill="auto"/>
            <w:noWrap/>
            <w:vAlign w:val="center"/>
            <w:hideMark/>
          </w:tcPr>
          <w:p w14:paraId="5D07107E"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50 000</w:t>
            </w:r>
          </w:p>
        </w:tc>
        <w:tc>
          <w:tcPr>
            <w:tcW w:w="727" w:type="pct"/>
            <w:tcBorders>
              <w:top w:val="nil"/>
              <w:left w:val="nil"/>
              <w:bottom w:val="single" w:sz="4" w:space="0" w:color="auto"/>
              <w:right w:val="single" w:sz="4" w:space="0" w:color="auto"/>
            </w:tcBorders>
            <w:shd w:val="clear" w:color="auto" w:fill="auto"/>
            <w:noWrap/>
            <w:vAlign w:val="center"/>
          </w:tcPr>
          <w:p w14:paraId="73109367"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4,500</w:t>
            </w:r>
          </w:p>
        </w:tc>
        <w:tc>
          <w:tcPr>
            <w:tcW w:w="703" w:type="pct"/>
            <w:tcBorders>
              <w:top w:val="nil"/>
              <w:left w:val="nil"/>
              <w:bottom w:val="single" w:sz="4" w:space="0" w:color="auto"/>
              <w:right w:val="single" w:sz="4" w:space="0" w:color="auto"/>
            </w:tcBorders>
            <w:shd w:val="clear" w:color="auto" w:fill="auto"/>
            <w:vAlign w:val="center"/>
          </w:tcPr>
          <w:p w14:paraId="5DF3CA41"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4,700</w:t>
            </w:r>
          </w:p>
        </w:tc>
        <w:tc>
          <w:tcPr>
            <w:tcW w:w="597" w:type="pct"/>
            <w:tcBorders>
              <w:top w:val="nil"/>
              <w:left w:val="nil"/>
              <w:bottom w:val="single" w:sz="4" w:space="0" w:color="auto"/>
              <w:right w:val="single" w:sz="4" w:space="0" w:color="auto"/>
            </w:tcBorders>
            <w:shd w:val="clear" w:color="auto" w:fill="auto"/>
            <w:vAlign w:val="center"/>
          </w:tcPr>
          <w:p w14:paraId="6CA318EB"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5,000</w:t>
            </w:r>
          </w:p>
        </w:tc>
      </w:tr>
    </w:tbl>
    <w:p w14:paraId="4106C72E" w14:textId="77777777" w:rsidR="00090437" w:rsidRPr="00090437" w:rsidRDefault="00090437" w:rsidP="00090437">
      <w:pPr>
        <w:tabs>
          <w:tab w:val="left" w:pos="284"/>
        </w:tabs>
        <w:rPr>
          <w:rFonts w:ascii="Tahoma" w:hAnsi="Tahoma" w:cs="Tahoma"/>
          <w:color w:val="FF0000"/>
          <w:sz w:val="16"/>
          <w:szCs w:val="16"/>
        </w:rPr>
      </w:pPr>
      <w:r w:rsidRPr="00090437">
        <w:rPr>
          <w:rFonts w:ascii="Tahoma" w:hAnsi="Tahoma" w:cs="Tahoma"/>
          <w:sz w:val="18"/>
          <w:szCs w:val="18"/>
        </w:rPr>
        <w:t>*Соответствует значению минимальной гарантированной ставки (годовых) с учетом округления, определяющему минимальный доход, выплачиваемый вкладчику на сумму вклада при условии хранения суммы вклада до конца срока вклада без учета каких-либо других условий. Порядок расчета минимальной гарантированной ставки по вкладу определяется Банком России.</w:t>
      </w:r>
    </w:p>
    <w:p w14:paraId="3C140FC5" w14:textId="77777777" w:rsidR="00090437" w:rsidRPr="00090437" w:rsidRDefault="00090437" w:rsidP="00090437">
      <w:pPr>
        <w:tabs>
          <w:tab w:val="left" w:pos="284"/>
        </w:tabs>
        <w:rPr>
          <w:rFonts w:ascii="Tahoma" w:hAnsi="Tahoma" w:cs="Tahoma"/>
          <w:b/>
          <w:bCs/>
          <w:iCs/>
          <w:sz w:val="22"/>
          <w:szCs w:val="22"/>
        </w:rPr>
      </w:pPr>
    </w:p>
    <w:p w14:paraId="68ADCD29" w14:textId="1C0A4369" w:rsidR="00090437" w:rsidRPr="00090437" w:rsidRDefault="002B7E85" w:rsidP="000B3718">
      <w:pPr>
        <w:pStyle w:val="a5"/>
      </w:pPr>
      <w:r>
        <w:t>3.4</w:t>
      </w:r>
      <w:r w:rsidR="00955573">
        <w:t>7</w:t>
      </w:r>
      <w:r w:rsidR="00090437" w:rsidRPr="00090437">
        <w:t>.</w:t>
      </w:r>
      <w:r w:rsidR="00090437" w:rsidRPr="00090437">
        <w:tab/>
        <w:t>Вклад «Мёд» (условия для пролонгируемых вкладов)</w:t>
      </w:r>
    </w:p>
    <w:p w14:paraId="6EA47A81" w14:textId="77777777" w:rsidR="00090437" w:rsidRPr="00090437" w:rsidRDefault="00090437" w:rsidP="00090437">
      <w:pPr>
        <w:tabs>
          <w:tab w:val="left" w:pos="851"/>
        </w:tabs>
        <w:ind w:firstLine="426"/>
        <w:jc w:val="both"/>
        <w:rPr>
          <w:rFonts w:ascii="Tahoma" w:hAnsi="Tahoma" w:cs="Tahoma"/>
          <w:bCs/>
          <w:iCs/>
          <w:color w:val="000000" w:themeColor="text1"/>
          <w:sz w:val="22"/>
          <w:szCs w:val="22"/>
        </w:rPr>
      </w:pPr>
      <w:r w:rsidRPr="00090437">
        <w:rPr>
          <w:rFonts w:ascii="Tahoma" w:hAnsi="Tahoma" w:cs="Tahoma"/>
          <w:bCs/>
          <w:iCs/>
          <w:color w:val="000000" w:themeColor="text1"/>
          <w:sz w:val="22"/>
          <w:szCs w:val="22"/>
        </w:rPr>
        <w:t>Условия:</w:t>
      </w:r>
    </w:p>
    <w:p w14:paraId="36FC942F" w14:textId="77777777" w:rsidR="00090437" w:rsidRPr="00090437" w:rsidRDefault="00090437" w:rsidP="00090437">
      <w:pPr>
        <w:widowControl w:val="0"/>
        <w:numPr>
          <w:ilvl w:val="0"/>
          <w:numId w:val="3"/>
        </w:numPr>
        <w:autoSpaceDE w:val="0"/>
        <w:autoSpaceDN w:val="0"/>
        <w:adjustRightInd w:val="0"/>
        <w:jc w:val="both"/>
        <w:rPr>
          <w:rFonts w:ascii="Tahoma" w:eastAsia="Calibri" w:hAnsi="Tahoma" w:cs="Tahoma"/>
          <w:bCs/>
          <w:sz w:val="22"/>
          <w:szCs w:val="22"/>
          <w:lang w:eastAsia="en-US"/>
        </w:rPr>
      </w:pPr>
      <w:r w:rsidRPr="00090437">
        <w:rPr>
          <w:rFonts w:ascii="Tahoma" w:eastAsia="Calibri" w:hAnsi="Tahoma" w:cs="Tahoma"/>
          <w:bCs/>
          <w:sz w:val="22"/>
          <w:szCs w:val="22"/>
          <w:lang w:eastAsia="en-US"/>
        </w:rPr>
        <w:t>Валюта - рубли Российской Федерации (далее – рубли);</w:t>
      </w:r>
    </w:p>
    <w:p w14:paraId="12CDA984" w14:textId="77777777" w:rsidR="00090437" w:rsidRPr="00090437" w:rsidRDefault="00090437" w:rsidP="00090437">
      <w:pPr>
        <w:widowControl w:val="0"/>
        <w:numPr>
          <w:ilvl w:val="0"/>
          <w:numId w:val="3"/>
        </w:numPr>
        <w:autoSpaceDE w:val="0"/>
        <w:autoSpaceDN w:val="0"/>
        <w:adjustRightInd w:val="0"/>
        <w:jc w:val="both"/>
        <w:rPr>
          <w:rFonts w:ascii="Tahoma" w:eastAsia="Calibri" w:hAnsi="Tahoma" w:cs="Tahoma"/>
          <w:bCs/>
          <w:color w:val="000000" w:themeColor="text1"/>
          <w:sz w:val="22"/>
          <w:szCs w:val="22"/>
          <w:lang w:eastAsia="en-US"/>
        </w:rPr>
      </w:pPr>
      <w:r w:rsidRPr="00090437">
        <w:rPr>
          <w:rFonts w:ascii="Tahoma" w:eastAsia="Calibri" w:hAnsi="Tahoma" w:cs="Tahoma"/>
          <w:bCs/>
          <w:color w:val="000000" w:themeColor="text1"/>
          <w:sz w:val="22"/>
          <w:szCs w:val="22"/>
          <w:lang w:eastAsia="en-US"/>
        </w:rPr>
        <w:t>Срок Вклада 92 дня/ 182 дня/ 367 дней/ 500 дней/ 731 день/ 1098 дней;</w:t>
      </w:r>
    </w:p>
    <w:p w14:paraId="76ECE9A4" w14:textId="77777777" w:rsidR="00090437" w:rsidRPr="00090437" w:rsidRDefault="00090437" w:rsidP="00090437">
      <w:pPr>
        <w:widowControl w:val="0"/>
        <w:numPr>
          <w:ilvl w:val="0"/>
          <w:numId w:val="3"/>
        </w:numPr>
        <w:autoSpaceDE w:val="0"/>
        <w:autoSpaceDN w:val="0"/>
        <w:adjustRightInd w:val="0"/>
        <w:jc w:val="both"/>
        <w:rPr>
          <w:rFonts w:ascii="Tahoma" w:eastAsia="Calibri" w:hAnsi="Tahoma" w:cs="Tahoma"/>
          <w:bCs/>
          <w:sz w:val="22"/>
          <w:szCs w:val="22"/>
          <w:lang w:eastAsia="en-US"/>
        </w:rPr>
      </w:pPr>
      <w:r w:rsidRPr="00090437">
        <w:rPr>
          <w:rFonts w:ascii="Tahoma" w:eastAsia="Calibri" w:hAnsi="Tahoma" w:cs="Tahoma"/>
          <w:bCs/>
          <w:sz w:val="22"/>
          <w:szCs w:val="22"/>
          <w:lang w:eastAsia="en-US"/>
        </w:rPr>
        <w:t>Минимальная сумма Вклада 10 000 рублей;</w:t>
      </w:r>
    </w:p>
    <w:p w14:paraId="79CC3DB9" w14:textId="77777777" w:rsidR="00090437" w:rsidRPr="00090437" w:rsidRDefault="00090437" w:rsidP="00090437">
      <w:pPr>
        <w:widowControl w:val="0"/>
        <w:numPr>
          <w:ilvl w:val="0"/>
          <w:numId w:val="3"/>
        </w:numPr>
        <w:autoSpaceDE w:val="0"/>
        <w:autoSpaceDN w:val="0"/>
        <w:adjustRightInd w:val="0"/>
        <w:jc w:val="both"/>
        <w:rPr>
          <w:rFonts w:ascii="Tahoma" w:eastAsia="Calibri" w:hAnsi="Tahoma" w:cs="Tahoma"/>
          <w:bCs/>
          <w:sz w:val="22"/>
          <w:szCs w:val="22"/>
          <w:lang w:eastAsia="en-US"/>
        </w:rPr>
      </w:pPr>
      <w:r w:rsidRPr="00090437">
        <w:rPr>
          <w:rFonts w:ascii="Tahoma" w:eastAsia="Calibri" w:hAnsi="Tahoma" w:cs="Tahoma"/>
          <w:bCs/>
          <w:sz w:val="22"/>
          <w:szCs w:val="22"/>
          <w:lang w:eastAsia="en-US"/>
        </w:rPr>
        <w:t>Максимальная сумма Вклада – без ограничений;</w:t>
      </w:r>
    </w:p>
    <w:p w14:paraId="2B68D9DE" w14:textId="77777777" w:rsidR="00090437" w:rsidRPr="00090437" w:rsidRDefault="00090437" w:rsidP="00090437">
      <w:pPr>
        <w:widowControl w:val="0"/>
        <w:numPr>
          <w:ilvl w:val="0"/>
          <w:numId w:val="3"/>
        </w:numPr>
        <w:autoSpaceDE w:val="0"/>
        <w:autoSpaceDN w:val="0"/>
        <w:adjustRightInd w:val="0"/>
        <w:jc w:val="both"/>
        <w:rPr>
          <w:rFonts w:ascii="Tahoma" w:eastAsia="Calibri" w:hAnsi="Tahoma" w:cs="Tahoma"/>
          <w:bCs/>
          <w:sz w:val="22"/>
          <w:szCs w:val="22"/>
          <w:lang w:eastAsia="en-US"/>
        </w:rPr>
      </w:pPr>
      <w:r w:rsidRPr="00090437">
        <w:rPr>
          <w:rFonts w:ascii="Tahoma" w:eastAsia="Calibri" w:hAnsi="Tahoma" w:cs="Tahoma"/>
          <w:bCs/>
          <w:sz w:val="22"/>
          <w:szCs w:val="22"/>
          <w:lang w:eastAsia="en-US"/>
        </w:rPr>
        <w:t>Вклад не пополняемый;</w:t>
      </w:r>
    </w:p>
    <w:p w14:paraId="707AF6A2" w14:textId="77777777" w:rsidR="00090437" w:rsidRPr="00090437" w:rsidRDefault="00090437" w:rsidP="00090437">
      <w:pPr>
        <w:widowControl w:val="0"/>
        <w:numPr>
          <w:ilvl w:val="0"/>
          <w:numId w:val="3"/>
        </w:numPr>
        <w:autoSpaceDE w:val="0"/>
        <w:autoSpaceDN w:val="0"/>
        <w:adjustRightInd w:val="0"/>
        <w:jc w:val="both"/>
        <w:rPr>
          <w:rFonts w:ascii="Tahoma" w:eastAsia="Calibri" w:hAnsi="Tahoma" w:cs="Tahoma"/>
          <w:bCs/>
          <w:sz w:val="22"/>
          <w:szCs w:val="22"/>
          <w:lang w:eastAsia="en-US"/>
        </w:rPr>
      </w:pPr>
      <w:r w:rsidRPr="00090437">
        <w:rPr>
          <w:rFonts w:ascii="Tahoma" w:eastAsia="Calibri" w:hAnsi="Tahoma" w:cs="Tahoma"/>
          <w:sz w:val="22"/>
          <w:szCs w:val="22"/>
          <w:lang w:eastAsia="en-US"/>
        </w:rPr>
        <w:t>Продление (автоматическое перезаключение) Договора без оформления дополнительных соглашений – без ограничений;</w:t>
      </w:r>
    </w:p>
    <w:p w14:paraId="38548EA7" w14:textId="77777777" w:rsidR="00090437" w:rsidRPr="00090437" w:rsidRDefault="00090437" w:rsidP="00090437">
      <w:pPr>
        <w:widowControl w:val="0"/>
        <w:numPr>
          <w:ilvl w:val="0"/>
          <w:numId w:val="3"/>
        </w:numPr>
        <w:autoSpaceDE w:val="0"/>
        <w:autoSpaceDN w:val="0"/>
        <w:adjustRightInd w:val="0"/>
        <w:jc w:val="both"/>
        <w:rPr>
          <w:rFonts w:ascii="Tahoma" w:eastAsia="Calibri" w:hAnsi="Tahoma" w:cs="Tahoma"/>
          <w:bCs/>
          <w:sz w:val="22"/>
          <w:szCs w:val="22"/>
          <w:lang w:eastAsia="en-US"/>
        </w:rPr>
      </w:pPr>
      <w:r w:rsidRPr="00090437">
        <w:rPr>
          <w:rFonts w:ascii="Tahoma" w:eastAsia="Calibri" w:hAnsi="Tahoma" w:cs="Tahoma"/>
          <w:bCs/>
          <w:sz w:val="22"/>
          <w:szCs w:val="22"/>
          <w:lang w:eastAsia="en-US"/>
        </w:rPr>
        <w:t>Выплата процентов по Вкладу – ежемесячно на выбор:</w:t>
      </w:r>
    </w:p>
    <w:p w14:paraId="1EF1626E" w14:textId="77777777" w:rsidR="00090437" w:rsidRPr="00090437" w:rsidRDefault="00090437" w:rsidP="00090437">
      <w:pPr>
        <w:widowControl w:val="0"/>
        <w:autoSpaceDE w:val="0"/>
        <w:autoSpaceDN w:val="0"/>
        <w:adjustRightInd w:val="0"/>
        <w:ind w:left="720"/>
        <w:jc w:val="both"/>
        <w:rPr>
          <w:rFonts w:ascii="Tahoma" w:eastAsia="Calibri" w:hAnsi="Tahoma" w:cs="Tahoma"/>
          <w:bCs/>
          <w:sz w:val="22"/>
          <w:szCs w:val="22"/>
          <w:lang w:eastAsia="en-US"/>
        </w:rPr>
      </w:pPr>
      <w:r w:rsidRPr="00090437">
        <w:rPr>
          <w:rFonts w:ascii="Tahoma" w:eastAsia="Calibri" w:hAnsi="Tahoma" w:cs="Tahoma"/>
          <w:bCs/>
          <w:sz w:val="22"/>
          <w:szCs w:val="22"/>
          <w:lang w:eastAsia="en-US"/>
        </w:rPr>
        <w:t xml:space="preserve">- </w:t>
      </w:r>
      <w:r w:rsidRPr="00090437">
        <w:rPr>
          <w:rFonts w:ascii="Tahoma" w:eastAsia="Calibri" w:hAnsi="Tahoma" w:cs="Tahoma"/>
          <w:bCs/>
          <w:color w:val="000000" w:themeColor="text1"/>
          <w:sz w:val="22"/>
          <w:szCs w:val="22"/>
          <w:lang w:eastAsia="en-US"/>
        </w:rPr>
        <w:t>на счет банковской карты</w:t>
      </w:r>
      <w:r w:rsidRPr="00090437">
        <w:rPr>
          <w:rFonts w:ascii="Tahoma" w:eastAsia="Calibri" w:hAnsi="Tahoma" w:cs="Tahoma"/>
          <w:bCs/>
          <w:sz w:val="22"/>
          <w:szCs w:val="22"/>
          <w:lang w:eastAsia="en-US"/>
        </w:rPr>
        <w:t xml:space="preserve"> (только при открытии Вклада в отделении);</w:t>
      </w:r>
    </w:p>
    <w:p w14:paraId="2D59CD8F" w14:textId="77777777" w:rsidR="00090437" w:rsidRPr="00090437" w:rsidRDefault="00090437" w:rsidP="00090437">
      <w:pPr>
        <w:widowControl w:val="0"/>
        <w:autoSpaceDE w:val="0"/>
        <w:autoSpaceDN w:val="0"/>
        <w:adjustRightInd w:val="0"/>
        <w:ind w:left="720"/>
        <w:jc w:val="both"/>
        <w:rPr>
          <w:rFonts w:ascii="Tahoma" w:eastAsia="Calibri" w:hAnsi="Tahoma" w:cs="Tahoma"/>
          <w:bCs/>
          <w:sz w:val="22"/>
          <w:szCs w:val="22"/>
          <w:lang w:eastAsia="en-US"/>
        </w:rPr>
      </w:pPr>
      <w:r w:rsidRPr="00090437">
        <w:rPr>
          <w:rFonts w:ascii="Tahoma" w:eastAsia="Calibri" w:hAnsi="Tahoma" w:cs="Tahoma"/>
          <w:bCs/>
          <w:sz w:val="22"/>
          <w:szCs w:val="22"/>
          <w:lang w:eastAsia="en-US"/>
        </w:rPr>
        <w:t>- капитализация, т.е. причисление к основной сумме Вклада;</w:t>
      </w:r>
    </w:p>
    <w:p w14:paraId="692FB83F" w14:textId="77777777" w:rsidR="00090437" w:rsidRPr="00090437" w:rsidRDefault="00090437" w:rsidP="00090437">
      <w:pPr>
        <w:widowControl w:val="0"/>
        <w:numPr>
          <w:ilvl w:val="0"/>
          <w:numId w:val="3"/>
        </w:numPr>
        <w:autoSpaceDE w:val="0"/>
        <w:autoSpaceDN w:val="0"/>
        <w:adjustRightInd w:val="0"/>
        <w:jc w:val="both"/>
        <w:rPr>
          <w:rFonts w:ascii="Tahoma" w:eastAsia="Calibri" w:hAnsi="Tahoma" w:cs="Tahoma"/>
          <w:bCs/>
          <w:color w:val="000000" w:themeColor="text1"/>
          <w:sz w:val="22"/>
          <w:szCs w:val="22"/>
          <w:lang w:eastAsia="en-US"/>
        </w:rPr>
      </w:pPr>
      <w:r w:rsidRPr="00090437">
        <w:rPr>
          <w:rFonts w:ascii="Tahoma" w:eastAsia="Calibri" w:hAnsi="Tahoma" w:cs="Tahoma"/>
          <w:bCs/>
          <w:color w:val="000000" w:themeColor="text1"/>
          <w:sz w:val="22"/>
          <w:szCs w:val="22"/>
          <w:lang w:eastAsia="en-US"/>
        </w:rPr>
        <w:t>Выплата суммы Вклада – в конце срока на вклад «Личный счет» (до востребования), открытый в Банке;</w:t>
      </w:r>
    </w:p>
    <w:p w14:paraId="66BC25CC" w14:textId="77777777" w:rsidR="00090437" w:rsidRPr="00090437" w:rsidRDefault="00090437" w:rsidP="00090437">
      <w:pPr>
        <w:numPr>
          <w:ilvl w:val="0"/>
          <w:numId w:val="3"/>
        </w:numPr>
        <w:tabs>
          <w:tab w:val="left" w:pos="851"/>
        </w:tabs>
        <w:jc w:val="both"/>
        <w:rPr>
          <w:rFonts w:ascii="Tahoma" w:hAnsi="Tahoma" w:cs="Tahoma"/>
          <w:sz w:val="22"/>
          <w:szCs w:val="22"/>
        </w:rPr>
      </w:pPr>
      <w:r w:rsidRPr="00090437">
        <w:rPr>
          <w:rFonts w:ascii="Tahoma" w:hAnsi="Tahoma" w:cs="Tahoma"/>
          <w:color w:val="000000" w:themeColor="text1"/>
          <w:sz w:val="22"/>
          <w:szCs w:val="22"/>
        </w:rPr>
        <w:t>В случае досрочного отзыва Вклада по требованию Вкладчика проценты по Вкладу начисляются и выплачиваются Вкладчику по ставке Вклада «Личный счет» (до востребования) исходя из фактического срока нахождения средств во Вкладе. При этом возможно уменьшение основной суммы Вклада за счет пересчета ранее выплаченных процентов.</w:t>
      </w:r>
      <w:r w:rsidRPr="00090437">
        <w:rPr>
          <w:rFonts w:ascii="Tahoma" w:hAnsi="Tahoma" w:cs="Tahoma"/>
          <w:sz w:val="22"/>
          <w:szCs w:val="22"/>
        </w:rPr>
        <w:t xml:space="preserve"> </w:t>
      </w:r>
    </w:p>
    <w:p w14:paraId="5B02E5F0" w14:textId="77777777" w:rsidR="00090437" w:rsidRPr="00090437" w:rsidRDefault="00090437" w:rsidP="00090437">
      <w:pPr>
        <w:numPr>
          <w:ilvl w:val="0"/>
          <w:numId w:val="3"/>
        </w:numPr>
        <w:tabs>
          <w:tab w:val="left" w:pos="851"/>
        </w:tabs>
        <w:jc w:val="both"/>
        <w:rPr>
          <w:rFonts w:ascii="Tahoma" w:hAnsi="Tahoma" w:cs="Tahoma"/>
          <w:color w:val="000000" w:themeColor="text1"/>
          <w:sz w:val="22"/>
          <w:szCs w:val="22"/>
        </w:rPr>
      </w:pPr>
      <w:r w:rsidRPr="00090437">
        <w:rPr>
          <w:rFonts w:ascii="Tahoma" w:hAnsi="Tahoma" w:cs="Tahoma"/>
          <w:color w:val="000000" w:themeColor="text1"/>
          <w:sz w:val="22"/>
          <w:szCs w:val="22"/>
        </w:rPr>
        <w:t>Открытие счета и управлением счетом в отделениях Банка и через дистанционные каналы банковского обслуживания Интернет-банк «АТБ-Онлайн»/ Мобильный банк «АТБ-Мобайл»</w:t>
      </w:r>
    </w:p>
    <w:tbl>
      <w:tblPr>
        <w:tblW w:w="5000" w:type="pct"/>
        <w:tblLayout w:type="fixed"/>
        <w:tblLook w:val="04A0" w:firstRow="1" w:lastRow="0" w:firstColumn="1" w:lastColumn="0" w:noHBand="0" w:noVBand="1"/>
      </w:tblPr>
      <w:tblGrid>
        <w:gridCol w:w="1949"/>
        <w:gridCol w:w="2196"/>
        <w:gridCol w:w="1594"/>
        <w:gridCol w:w="1766"/>
        <w:gridCol w:w="1276"/>
        <w:gridCol w:w="1134"/>
        <w:gridCol w:w="1276"/>
        <w:gridCol w:w="1276"/>
        <w:gridCol w:w="1276"/>
        <w:gridCol w:w="1379"/>
      </w:tblGrid>
      <w:tr w:rsidR="00090437" w:rsidRPr="00090437" w14:paraId="095E52BF" w14:textId="77777777" w:rsidTr="00090437">
        <w:trPr>
          <w:trHeight w:val="319"/>
        </w:trPr>
        <w:tc>
          <w:tcPr>
            <w:tcW w:w="644" w:type="pct"/>
            <w:vMerge w:val="restart"/>
            <w:tcBorders>
              <w:top w:val="single" w:sz="8" w:space="0" w:color="auto"/>
              <w:left w:val="single" w:sz="8" w:space="0" w:color="auto"/>
              <w:bottom w:val="single" w:sz="8" w:space="0" w:color="000000"/>
              <w:right w:val="nil"/>
            </w:tcBorders>
            <w:shd w:val="clear" w:color="auto" w:fill="auto"/>
            <w:vAlign w:val="center"/>
            <w:hideMark/>
          </w:tcPr>
          <w:p w14:paraId="193C186F"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Ориентировочный сегмент</w:t>
            </w:r>
          </w:p>
        </w:tc>
        <w:tc>
          <w:tcPr>
            <w:tcW w:w="726" w:type="pct"/>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3182118C"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Продукт</w:t>
            </w:r>
          </w:p>
        </w:tc>
        <w:tc>
          <w:tcPr>
            <w:tcW w:w="1111" w:type="pct"/>
            <w:gridSpan w:val="2"/>
            <w:tcBorders>
              <w:top w:val="single" w:sz="8" w:space="0" w:color="auto"/>
              <w:left w:val="nil"/>
              <w:bottom w:val="single" w:sz="4" w:space="0" w:color="auto"/>
              <w:right w:val="single" w:sz="4" w:space="0" w:color="auto"/>
            </w:tcBorders>
            <w:shd w:val="clear" w:color="auto" w:fill="auto"/>
            <w:noWrap/>
            <w:vAlign w:val="center"/>
            <w:hideMark/>
          </w:tcPr>
          <w:p w14:paraId="65E7FCAD"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Базовые параметры вклада</w:t>
            </w:r>
          </w:p>
        </w:tc>
        <w:tc>
          <w:tcPr>
            <w:tcW w:w="2519" w:type="pct"/>
            <w:gridSpan w:val="6"/>
            <w:tcBorders>
              <w:top w:val="single" w:sz="8" w:space="0" w:color="auto"/>
              <w:left w:val="nil"/>
              <w:bottom w:val="single" w:sz="4" w:space="0" w:color="auto"/>
              <w:right w:val="single" w:sz="4" w:space="0" w:color="auto"/>
            </w:tcBorders>
            <w:shd w:val="clear" w:color="auto" w:fill="auto"/>
            <w:noWrap/>
            <w:vAlign w:val="center"/>
            <w:hideMark/>
          </w:tcPr>
          <w:p w14:paraId="0FD56A5E" w14:textId="77777777" w:rsidR="00090437" w:rsidRPr="00090437" w:rsidRDefault="00090437" w:rsidP="00090437">
            <w:pPr>
              <w:jc w:val="center"/>
              <w:rPr>
                <w:rFonts w:ascii="Tahoma" w:hAnsi="Tahoma" w:cs="Tahoma"/>
                <w:bCs/>
                <w:iCs/>
                <w:sz w:val="20"/>
                <w:szCs w:val="20"/>
              </w:rPr>
            </w:pPr>
            <w:r w:rsidRPr="00090437">
              <w:rPr>
                <w:rFonts w:ascii="Tahoma" w:hAnsi="Tahoma" w:cs="Tahoma"/>
                <w:b/>
                <w:color w:val="000000" w:themeColor="text1"/>
                <w:sz w:val="20"/>
                <w:szCs w:val="20"/>
              </w:rPr>
              <w:t>Процентные ставки* (% годовых) / Доход с учетом капитализации (% годовых) в зависимости от срока договора вклада*</w:t>
            </w:r>
          </w:p>
        </w:tc>
      </w:tr>
      <w:tr w:rsidR="00090437" w:rsidRPr="00090437" w14:paraId="328A57E7" w14:textId="77777777" w:rsidTr="00090437">
        <w:trPr>
          <w:trHeight w:val="319"/>
        </w:trPr>
        <w:tc>
          <w:tcPr>
            <w:tcW w:w="644" w:type="pct"/>
            <w:vMerge/>
            <w:tcBorders>
              <w:top w:val="single" w:sz="8" w:space="0" w:color="auto"/>
              <w:left w:val="single" w:sz="8" w:space="0" w:color="auto"/>
              <w:bottom w:val="single" w:sz="8" w:space="0" w:color="000000"/>
              <w:right w:val="nil"/>
            </w:tcBorders>
            <w:vAlign w:val="center"/>
            <w:hideMark/>
          </w:tcPr>
          <w:p w14:paraId="02991E84" w14:textId="77777777" w:rsidR="00090437" w:rsidRPr="00090437" w:rsidRDefault="00090437" w:rsidP="00090437">
            <w:pPr>
              <w:rPr>
                <w:rFonts w:ascii="Tahoma" w:hAnsi="Tahoma" w:cs="Tahoma"/>
                <w:bCs/>
                <w:iCs/>
                <w:sz w:val="20"/>
                <w:szCs w:val="20"/>
              </w:rPr>
            </w:pPr>
          </w:p>
        </w:tc>
        <w:tc>
          <w:tcPr>
            <w:tcW w:w="726" w:type="pct"/>
            <w:vMerge/>
            <w:tcBorders>
              <w:top w:val="single" w:sz="8" w:space="0" w:color="auto"/>
              <w:left w:val="single" w:sz="8" w:space="0" w:color="auto"/>
              <w:bottom w:val="single" w:sz="8" w:space="0" w:color="000000"/>
              <w:right w:val="single" w:sz="4" w:space="0" w:color="auto"/>
            </w:tcBorders>
            <w:vAlign w:val="center"/>
            <w:hideMark/>
          </w:tcPr>
          <w:p w14:paraId="4734591D" w14:textId="77777777" w:rsidR="00090437" w:rsidRPr="00090437" w:rsidRDefault="00090437" w:rsidP="00090437">
            <w:pPr>
              <w:rPr>
                <w:rFonts w:ascii="Tahoma" w:hAnsi="Tahoma" w:cs="Tahoma"/>
                <w:bCs/>
                <w:iCs/>
                <w:sz w:val="20"/>
                <w:szCs w:val="20"/>
              </w:rPr>
            </w:pPr>
          </w:p>
        </w:tc>
        <w:tc>
          <w:tcPr>
            <w:tcW w:w="527" w:type="pct"/>
            <w:tcBorders>
              <w:top w:val="nil"/>
              <w:left w:val="nil"/>
              <w:bottom w:val="single" w:sz="8" w:space="0" w:color="auto"/>
              <w:right w:val="single" w:sz="4" w:space="0" w:color="auto"/>
            </w:tcBorders>
            <w:shd w:val="clear" w:color="auto" w:fill="auto"/>
            <w:noWrap/>
            <w:vAlign w:val="center"/>
            <w:hideMark/>
          </w:tcPr>
          <w:p w14:paraId="3E4B78FE"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Валюта вклада</w:t>
            </w:r>
          </w:p>
        </w:tc>
        <w:tc>
          <w:tcPr>
            <w:tcW w:w="584" w:type="pct"/>
            <w:tcBorders>
              <w:top w:val="nil"/>
              <w:left w:val="nil"/>
              <w:bottom w:val="single" w:sz="8" w:space="0" w:color="auto"/>
              <w:right w:val="single" w:sz="4" w:space="0" w:color="auto"/>
            </w:tcBorders>
            <w:shd w:val="clear" w:color="auto" w:fill="auto"/>
            <w:noWrap/>
            <w:vAlign w:val="center"/>
            <w:hideMark/>
          </w:tcPr>
          <w:p w14:paraId="706D6F61"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 xml:space="preserve">Минимальная сумма вклада </w:t>
            </w:r>
          </w:p>
        </w:tc>
        <w:tc>
          <w:tcPr>
            <w:tcW w:w="422" w:type="pct"/>
            <w:tcBorders>
              <w:top w:val="nil"/>
              <w:left w:val="nil"/>
              <w:bottom w:val="single" w:sz="8" w:space="0" w:color="auto"/>
              <w:right w:val="single" w:sz="4" w:space="0" w:color="auto"/>
            </w:tcBorders>
            <w:shd w:val="clear" w:color="auto" w:fill="auto"/>
            <w:noWrap/>
            <w:vAlign w:val="center"/>
          </w:tcPr>
          <w:p w14:paraId="3156C48A"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92 дня</w:t>
            </w:r>
          </w:p>
        </w:tc>
        <w:tc>
          <w:tcPr>
            <w:tcW w:w="375" w:type="pct"/>
            <w:tcBorders>
              <w:top w:val="nil"/>
              <w:left w:val="nil"/>
              <w:bottom w:val="single" w:sz="8" w:space="0" w:color="auto"/>
              <w:right w:val="single" w:sz="4" w:space="0" w:color="auto"/>
            </w:tcBorders>
            <w:shd w:val="clear" w:color="auto" w:fill="auto"/>
            <w:vAlign w:val="center"/>
          </w:tcPr>
          <w:p w14:paraId="68BEB5FA"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182 дня</w:t>
            </w:r>
          </w:p>
        </w:tc>
        <w:tc>
          <w:tcPr>
            <w:tcW w:w="422" w:type="pct"/>
            <w:tcBorders>
              <w:top w:val="nil"/>
              <w:left w:val="nil"/>
              <w:bottom w:val="single" w:sz="8" w:space="0" w:color="auto"/>
              <w:right w:val="single" w:sz="4" w:space="0" w:color="auto"/>
            </w:tcBorders>
            <w:shd w:val="clear" w:color="auto" w:fill="auto"/>
            <w:noWrap/>
            <w:vAlign w:val="center"/>
            <w:hideMark/>
          </w:tcPr>
          <w:p w14:paraId="77581B79"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367 дней</w:t>
            </w:r>
          </w:p>
        </w:tc>
        <w:tc>
          <w:tcPr>
            <w:tcW w:w="422" w:type="pct"/>
            <w:tcBorders>
              <w:top w:val="nil"/>
              <w:left w:val="nil"/>
              <w:bottom w:val="single" w:sz="8" w:space="0" w:color="auto"/>
              <w:right w:val="single" w:sz="4" w:space="0" w:color="auto"/>
            </w:tcBorders>
            <w:shd w:val="clear" w:color="auto" w:fill="auto"/>
            <w:vAlign w:val="center"/>
          </w:tcPr>
          <w:p w14:paraId="0A22E121"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500 дней</w:t>
            </w:r>
          </w:p>
        </w:tc>
        <w:tc>
          <w:tcPr>
            <w:tcW w:w="422" w:type="pct"/>
            <w:tcBorders>
              <w:top w:val="nil"/>
              <w:left w:val="nil"/>
              <w:bottom w:val="single" w:sz="8" w:space="0" w:color="auto"/>
              <w:right w:val="single" w:sz="4" w:space="0" w:color="auto"/>
            </w:tcBorders>
            <w:shd w:val="clear" w:color="auto" w:fill="auto"/>
            <w:vAlign w:val="center"/>
          </w:tcPr>
          <w:p w14:paraId="77235F50"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731 день</w:t>
            </w:r>
          </w:p>
        </w:tc>
        <w:tc>
          <w:tcPr>
            <w:tcW w:w="456" w:type="pct"/>
            <w:tcBorders>
              <w:top w:val="nil"/>
              <w:left w:val="nil"/>
              <w:bottom w:val="single" w:sz="8" w:space="0" w:color="auto"/>
              <w:right w:val="single" w:sz="4" w:space="0" w:color="auto"/>
            </w:tcBorders>
            <w:shd w:val="clear" w:color="auto" w:fill="auto"/>
            <w:vAlign w:val="center"/>
          </w:tcPr>
          <w:p w14:paraId="230C8656"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1098 дней</w:t>
            </w:r>
          </w:p>
        </w:tc>
      </w:tr>
      <w:tr w:rsidR="00090437" w:rsidRPr="00090437" w14:paraId="2D87EC67" w14:textId="77777777" w:rsidTr="00090437">
        <w:trPr>
          <w:trHeight w:val="173"/>
        </w:trPr>
        <w:tc>
          <w:tcPr>
            <w:tcW w:w="644" w:type="pct"/>
            <w:tcBorders>
              <w:top w:val="nil"/>
              <w:left w:val="single" w:sz="8" w:space="0" w:color="auto"/>
              <w:bottom w:val="single" w:sz="4" w:space="0" w:color="auto"/>
              <w:right w:val="nil"/>
            </w:tcBorders>
            <w:shd w:val="clear" w:color="auto" w:fill="auto"/>
            <w:vAlign w:val="center"/>
            <w:hideMark/>
          </w:tcPr>
          <w:p w14:paraId="005AF76A"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Все категории клиентов</w:t>
            </w:r>
          </w:p>
        </w:tc>
        <w:tc>
          <w:tcPr>
            <w:tcW w:w="726" w:type="pct"/>
            <w:tcBorders>
              <w:top w:val="nil"/>
              <w:left w:val="single" w:sz="8" w:space="0" w:color="auto"/>
              <w:bottom w:val="single" w:sz="4" w:space="0" w:color="auto"/>
              <w:right w:val="single" w:sz="4" w:space="0" w:color="auto"/>
            </w:tcBorders>
            <w:shd w:val="clear" w:color="000000" w:fill="FFC000"/>
            <w:vAlign w:val="center"/>
            <w:hideMark/>
          </w:tcPr>
          <w:p w14:paraId="3CD23D5A"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Мёд</w:t>
            </w:r>
          </w:p>
        </w:tc>
        <w:tc>
          <w:tcPr>
            <w:tcW w:w="527" w:type="pct"/>
            <w:tcBorders>
              <w:top w:val="nil"/>
              <w:left w:val="nil"/>
              <w:bottom w:val="single" w:sz="4" w:space="0" w:color="auto"/>
              <w:right w:val="single" w:sz="4" w:space="0" w:color="auto"/>
            </w:tcBorders>
            <w:shd w:val="clear" w:color="auto" w:fill="auto"/>
            <w:noWrap/>
            <w:vAlign w:val="center"/>
            <w:hideMark/>
          </w:tcPr>
          <w:p w14:paraId="6888871A"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рубли</w:t>
            </w:r>
          </w:p>
        </w:tc>
        <w:tc>
          <w:tcPr>
            <w:tcW w:w="584" w:type="pct"/>
            <w:tcBorders>
              <w:top w:val="nil"/>
              <w:left w:val="nil"/>
              <w:bottom w:val="single" w:sz="4" w:space="0" w:color="auto"/>
              <w:right w:val="single" w:sz="4" w:space="0" w:color="auto"/>
            </w:tcBorders>
            <w:shd w:val="clear" w:color="auto" w:fill="auto"/>
            <w:noWrap/>
            <w:vAlign w:val="center"/>
            <w:hideMark/>
          </w:tcPr>
          <w:p w14:paraId="58B3DDC4"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10 000</w:t>
            </w:r>
          </w:p>
        </w:tc>
        <w:tc>
          <w:tcPr>
            <w:tcW w:w="422" w:type="pct"/>
            <w:tcBorders>
              <w:top w:val="nil"/>
              <w:left w:val="nil"/>
              <w:bottom w:val="single" w:sz="4" w:space="0" w:color="auto"/>
              <w:right w:val="single" w:sz="4" w:space="0" w:color="auto"/>
            </w:tcBorders>
            <w:shd w:val="clear" w:color="auto" w:fill="auto"/>
            <w:noWrap/>
            <w:vAlign w:val="center"/>
          </w:tcPr>
          <w:p w14:paraId="074F8292"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5,000/ 5,021</w:t>
            </w:r>
          </w:p>
        </w:tc>
        <w:tc>
          <w:tcPr>
            <w:tcW w:w="375" w:type="pct"/>
            <w:tcBorders>
              <w:top w:val="nil"/>
              <w:left w:val="nil"/>
              <w:bottom w:val="single" w:sz="4" w:space="0" w:color="auto"/>
              <w:right w:val="single" w:sz="4" w:space="0" w:color="auto"/>
            </w:tcBorders>
            <w:shd w:val="clear" w:color="auto" w:fill="auto"/>
            <w:vAlign w:val="center"/>
          </w:tcPr>
          <w:p w14:paraId="1050D0C4"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5,000/ 5,052</w:t>
            </w:r>
          </w:p>
        </w:tc>
        <w:tc>
          <w:tcPr>
            <w:tcW w:w="422" w:type="pct"/>
            <w:tcBorders>
              <w:top w:val="nil"/>
              <w:left w:val="nil"/>
              <w:bottom w:val="single" w:sz="4" w:space="0" w:color="auto"/>
              <w:right w:val="single" w:sz="4" w:space="0" w:color="auto"/>
            </w:tcBorders>
            <w:shd w:val="clear" w:color="auto" w:fill="auto"/>
            <w:noWrap/>
            <w:vAlign w:val="center"/>
          </w:tcPr>
          <w:p w14:paraId="0765ABC0"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5,000/ 5,117</w:t>
            </w:r>
          </w:p>
        </w:tc>
        <w:tc>
          <w:tcPr>
            <w:tcW w:w="422" w:type="pct"/>
            <w:tcBorders>
              <w:top w:val="nil"/>
              <w:left w:val="nil"/>
              <w:bottom w:val="single" w:sz="4" w:space="0" w:color="auto"/>
              <w:right w:val="single" w:sz="4" w:space="0" w:color="auto"/>
            </w:tcBorders>
            <w:shd w:val="clear" w:color="auto" w:fill="auto"/>
            <w:vAlign w:val="center"/>
          </w:tcPr>
          <w:p w14:paraId="627A8F3C"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5,000/ 5,164</w:t>
            </w:r>
          </w:p>
        </w:tc>
        <w:tc>
          <w:tcPr>
            <w:tcW w:w="422" w:type="pct"/>
            <w:tcBorders>
              <w:top w:val="nil"/>
              <w:left w:val="nil"/>
              <w:bottom w:val="single" w:sz="4" w:space="0" w:color="auto"/>
              <w:right w:val="single" w:sz="4" w:space="0" w:color="auto"/>
            </w:tcBorders>
            <w:shd w:val="clear" w:color="auto" w:fill="auto"/>
            <w:vAlign w:val="center"/>
          </w:tcPr>
          <w:p w14:paraId="12D5CA44"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5,000/ 5,247</w:t>
            </w:r>
          </w:p>
        </w:tc>
        <w:tc>
          <w:tcPr>
            <w:tcW w:w="456" w:type="pct"/>
            <w:tcBorders>
              <w:top w:val="nil"/>
              <w:left w:val="nil"/>
              <w:bottom w:val="single" w:sz="4" w:space="0" w:color="auto"/>
              <w:right w:val="single" w:sz="4" w:space="0" w:color="auto"/>
            </w:tcBorders>
            <w:shd w:val="clear" w:color="auto" w:fill="auto"/>
            <w:vAlign w:val="center"/>
          </w:tcPr>
          <w:p w14:paraId="2EBD4189"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5,000/ 5,384</w:t>
            </w:r>
          </w:p>
        </w:tc>
      </w:tr>
    </w:tbl>
    <w:p w14:paraId="5284F7C5" w14:textId="77777777" w:rsidR="00090437" w:rsidRPr="00090437" w:rsidRDefault="00090437" w:rsidP="00090437">
      <w:pPr>
        <w:tabs>
          <w:tab w:val="left" w:pos="284"/>
        </w:tabs>
        <w:rPr>
          <w:rFonts w:ascii="Tahoma" w:hAnsi="Tahoma" w:cs="Tahoma"/>
          <w:color w:val="FF0000"/>
          <w:sz w:val="16"/>
          <w:szCs w:val="16"/>
        </w:rPr>
      </w:pPr>
      <w:r w:rsidRPr="00090437">
        <w:rPr>
          <w:rFonts w:ascii="Tahoma" w:hAnsi="Tahoma" w:cs="Tahoma"/>
          <w:sz w:val="18"/>
          <w:szCs w:val="18"/>
        </w:rPr>
        <w:t>*Соответствует значению минимальной гарантированной ставки (годовых) с учетом округления, определяющему минимальный доход, выплачиваемый вкладчику на сумму вклада при условии хранения суммы вклада до конца срока вклада без учета каких-либо других условий. Порядок расчета минимальной гарантированной ставки по вкладу определяется Банком России.</w:t>
      </w:r>
    </w:p>
    <w:p w14:paraId="52221DED" w14:textId="77777777" w:rsidR="00090437" w:rsidRPr="00090437" w:rsidRDefault="00090437" w:rsidP="00090437">
      <w:pPr>
        <w:tabs>
          <w:tab w:val="left" w:pos="284"/>
        </w:tabs>
        <w:rPr>
          <w:rFonts w:ascii="Tahoma" w:hAnsi="Tahoma" w:cs="Tahoma"/>
          <w:b/>
          <w:bCs/>
          <w:iCs/>
          <w:sz w:val="22"/>
          <w:szCs w:val="22"/>
        </w:rPr>
      </w:pPr>
    </w:p>
    <w:p w14:paraId="01E2F361" w14:textId="717DEE12" w:rsidR="00090437" w:rsidRPr="00090437" w:rsidRDefault="002B7E85" w:rsidP="000B3718">
      <w:pPr>
        <w:pStyle w:val="a5"/>
      </w:pPr>
      <w:r>
        <w:rPr>
          <w:color w:val="E36C0A" w:themeColor="accent6" w:themeShade="BF"/>
        </w:rPr>
        <w:t>3.4</w:t>
      </w:r>
      <w:r w:rsidR="00955573">
        <w:rPr>
          <w:color w:val="E36C0A" w:themeColor="accent6" w:themeShade="BF"/>
        </w:rPr>
        <w:t>8</w:t>
      </w:r>
      <w:r w:rsidR="00090437" w:rsidRPr="00090437">
        <w:rPr>
          <w:color w:val="E36C0A" w:themeColor="accent6" w:themeShade="BF"/>
        </w:rPr>
        <w:t>.</w:t>
      </w:r>
      <w:r w:rsidR="00090437" w:rsidRPr="00090437">
        <w:rPr>
          <w:color w:val="E36C0A" w:themeColor="accent6" w:themeShade="BF"/>
        </w:rPr>
        <w:tab/>
      </w:r>
      <w:r w:rsidR="00090437" w:rsidRPr="00090437">
        <w:t>Вклад «Пара мандаринов» (условия для пролонгируемых вкладов)</w:t>
      </w:r>
    </w:p>
    <w:p w14:paraId="7A9F8163" w14:textId="77777777" w:rsidR="00090437" w:rsidRPr="00090437" w:rsidRDefault="00090437" w:rsidP="00EB4F4C">
      <w:pPr>
        <w:numPr>
          <w:ilvl w:val="0"/>
          <w:numId w:val="72"/>
        </w:numPr>
        <w:contextualSpacing/>
        <w:jc w:val="both"/>
        <w:rPr>
          <w:rFonts w:ascii="Tahoma" w:hAnsi="Tahoma" w:cs="Tahoma"/>
          <w:sz w:val="22"/>
          <w:szCs w:val="22"/>
        </w:rPr>
      </w:pPr>
      <w:r w:rsidRPr="00090437">
        <w:rPr>
          <w:rFonts w:ascii="Tahoma" w:hAnsi="Tahoma" w:cs="Tahoma"/>
          <w:color w:val="000000" w:themeColor="text1"/>
          <w:sz w:val="22"/>
          <w:szCs w:val="22"/>
        </w:rPr>
        <w:t xml:space="preserve">Валюта - </w:t>
      </w:r>
      <w:r w:rsidRPr="00090437">
        <w:rPr>
          <w:rFonts w:ascii="Tahoma" w:hAnsi="Tahoma" w:cs="Tahoma"/>
          <w:bCs/>
          <w:sz w:val="22"/>
          <w:szCs w:val="22"/>
        </w:rPr>
        <w:t>рубли Российской Федерации (далее – рубли)</w:t>
      </w:r>
      <w:r w:rsidRPr="00090437">
        <w:rPr>
          <w:rFonts w:ascii="Tahoma" w:hAnsi="Tahoma" w:cs="Tahoma"/>
          <w:sz w:val="22"/>
          <w:szCs w:val="22"/>
        </w:rPr>
        <w:t>;</w:t>
      </w:r>
    </w:p>
    <w:p w14:paraId="5433B92A" w14:textId="77777777" w:rsidR="00090437" w:rsidRPr="00090437" w:rsidRDefault="00090437" w:rsidP="00EB4F4C">
      <w:pPr>
        <w:numPr>
          <w:ilvl w:val="0"/>
          <w:numId w:val="72"/>
        </w:numPr>
        <w:contextualSpacing/>
        <w:jc w:val="both"/>
        <w:rPr>
          <w:rFonts w:ascii="Tahoma" w:hAnsi="Tahoma" w:cs="Tahoma"/>
          <w:sz w:val="22"/>
          <w:szCs w:val="22"/>
        </w:rPr>
      </w:pPr>
      <w:r w:rsidRPr="00090437">
        <w:rPr>
          <w:rFonts w:ascii="Tahoma" w:hAnsi="Tahoma" w:cs="Tahoma"/>
          <w:sz w:val="22"/>
          <w:szCs w:val="22"/>
        </w:rPr>
        <w:t>Минимальная сумма открытия Вклада – 5 000 рублей;</w:t>
      </w:r>
    </w:p>
    <w:p w14:paraId="5F5356F3" w14:textId="77777777" w:rsidR="00090437" w:rsidRPr="00090437" w:rsidRDefault="00090437" w:rsidP="00EB4F4C">
      <w:pPr>
        <w:numPr>
          <w:ilvl w:val="0"/>
          <w:numId w:val="72"/>
        </w:numPr>
        <w:contextualSpacing/>
        <w:jc w:val="both"/>
        <w:rPr>
          <w:rFonts w:ascii="Tahoma" w:hAnsi="Tahoma" w:cs="Tahoma"/>
          <w:sz w:val="22"/>
          <w:szCs w:val="22"/>
        </w:rPr>
      </w:pPr>
      <w:r w:rsidRPr="00090437">
        <w:rPr>
          <w:rFonts w:ascii="Tahoma" w:hAnsi="Tahoma" w:cs="Tahoma"/>
          <w:sz w:val="22"/>
          <w:szCs w:val="22"/>
        </w:rPr>
        <w:t>Максимальная сумма Вклада – не ограничена;</w:t>
      </w:r>
    </w:p>
    <w:p w14:paraId="1B3B8830" w14:textId="77777777" w:rsidR="00090437" w:rsidRPr="00090437" w:rsidRDefault="00090437" w:rsidP="00EB4F4C">
      <w:pPr>
        <w:numPr>
          <w:ilvl w:val="0"/>
          <w:numId w:val="72"/>
        </w:numPr>
        <w:contextualSpacing/>
        <w:jc w:val="both"/>
        <w:rPr>
          <w:rFonts w:ascii="Tahoma" w:hAnsi="Tahoma" w:cs="Tahoma"/>
          <w:sz w:val="22"/>
          <w:szCs w:val="22"/>
        </w:rPr>
      </w:pPr>
      <w:r w:rsidRPr="00090437">
        <w:rPr>
          <w:rFonts w:ascii="Tahoma" w:hAnsi="Tahoma" w:cs="Tahoma"/>
          <w:sz w:val="22"/>
          <w:szCs w:val="22"/>
        </w:rPr>
        <w:t>Срок вклада – 120 дней/ 182 дня/ 367 дней/ 500 дней/ 731 день/ 1098 дней;</w:t>
      </w:r>
    </w:p>
    <w:p w14:paraId="55E46018" w14:textId="77777777" w:rsidR="00090437" w:rsidRPr="00090437" w:rsidRDefault="00090437" w:rsidP="00EB4F4C">
      <w:pPr>
        <w:numPr>
          <w:ilvl w:val="0"/>
          <w:numId w:val="72"/>
        </w:numPr>
        <w:contextualSpacing/>
        <w:jc w:val="both"/>
        <w:rPr>
          <w:rFonts w:ascii="Tahoma" w:hAnsi="Tahoma" w:cs="Tahoma"/>
          <w:sz w:val="22"/>
          <w:szCs w:val="22"/>
        </w:rPr>
      </w:pPr>
      <w:r w:rsidRPr="00090437">
        <w:rPr>
          <w:rFonts w:ascii="Tahoma" w:hAnsi="Tahoma" w:cs="Tahoma"/>
          <w:sz w:val="22"/>
          <w:szCs w:val="22"/>
        </w:rPr>
        <w:t>Вклад пополняемый;</w:t>
      </w:r>
    </w:p>
    <w:p w14:paraId="35475D93" w14:textId="77777777" w:rsidR="00090437" w:rsidRPr="00090437" w:rsidRDefault="00090437" w:rsidP="00EB4F4C">
      <w:pPr>
        <w:numPr>
          <w:ilvl w:val="0"/>
          <w:numId w:val="72"/>
        </w:numPr>
        <w:contextualSpacing/>
        <w:jc w:val="both"/>
        <w:rPr>
          <w:rFonts w:ascii="Tahoma" w:hAnsi="Tahoma" w:cs="Tahoma"/>
          <w:sz w:val="22"/>
          <w:szCs w:val="22"/>
        </w:rPr>
      </w:pPr>
      <w:r w:rsidRPr="00090437">
        <w:rPr>
          <w:rFonts w:ascii="Tahoma" w:hAnsi="Tahoma" w:cs="Tahoma"/>
          <w:sz w:val="22"/>
          <w:szCs w:val="22"/>
        </w:rPr>
        <w:t>Продление (автоматическое перезаключение) Договора без оформления дополнительных соглашений – без ограничений;</w:t>
      </w:r>
    </w:p>
    <w:p w14:paraId="0DDD969D" w14:textId="77777777" w:rsidR="00090437" w:rsidRPr="00090437" w:rsidRDefault="00090437" w:rsidP="00EB4F4C">
      <w:pPr>
        <w:numPr>
          <w:ilvl w:val="0"/>
          <w:numId w:val="72"/>
        </w:numPr>
        <w:contextualSpacing/>
        <w:jc w:val="both"/>
        <w:rPr>
          <w:rFonts w:ascii="Tahoma" w:hAnsi="Tahoma" w:cs="Tahoma"/>
          <w:sz w:val="22"/>
          <w:szCs w:val="22"/>
        </w:rPr>
      </w:pPr>
      <w:r w:rsidRPr="00090437">
        <w:rPr>
          <w:rFonts w:ascii="Tahoma" w:hAnsi="Tahoma" w:cs="Tahoma"/>
          <w:sz w:val="22"/>
          <w:szCs w:val="22"/>
        </w:rPr>
        <w:t>Выплата процентов и суммы Вклада – в конце срока на счет банковской карты или Вклад «Личный счет» (до востребования);</w:t>
      </w:r>
    </w:p>
    <w:p w14:paraId="08E7C015" w14:textId="77777777" w:rsidR="00090437" w:rsidRPr="00090437" w:rsidRDefault="00090437" w:rsidP="00EB4F4C">
      <w:pPr>
        <w:numPr>
          <w:ilvl w:val="0"/>
          <w:numId w:val="72"/>
        </w:numPr>
        <w:contextualSpacing/>
        <w:jc w:val="both"/>
        <w:rPr>
          <w:rFonts w:ascii="Tahoma" w:hAnsi="Tahoma" w:cs="Tahoma"/>
          <w:color w:val="000000" w:themeColor="text1"/>
          <w:sz w:val="22"/>
          <w:szCs w:val="22"/>
        </w:rPr>
      </w:pPr>
      <w:r w:rsidRPr="00090437">
        <w:rPr>
          <w:rFonts w:ascii="Tahoma" w:hAnsi="Tahoma" w:cs="Tahoma"/>
          <w:sz w:val="22"/>
          <w:szCs w:val="22"/>
        </w:rPr>
        <w:t>Расходные операции по Вкладу – не предусмотрены</w:t>
      </w:r>
      <w:r w:rsidRPr="00090437">
        <w:rPr>
          <w:rFonts w:ascii="Tahoma" w:hAnsi="Tahoma" w:cs="Tahoma"/>
          <w:color w:val="000000" w:themeColor="text1"/>
          <w:sz w:val="22"/>
          <w:szCs w:val="22"/>
        </w:rPr>
        <w:t>;</w:t>
      </w:r>
    </w:p>
    <w:p w14:paraId="3DC09E33" w14:textId="77777777" w:rsidR="00090437" w:rsidRPr="00090437" w:rsidRDefault="00090437" w:rsidP="00EB4F4C">
      <w:pPr>
        <w:numPr>
          <w:ilvl w:val="0"/>
          <w:numId w:val="72"/>
        </w:numPr>
        <w:jc w:val="both"/>
        <w:rPr>
          <w:rFonts w:ascii="Tahoma" w:hAnsi="Tahoma" w:cs="Tahoma"/>
          <w:bCs/>
          <w:sz w:val="22"/>
          <w:szCs w:val="22"/>
        </w:rPr>
      </w:pPr>
      <w:r w:rsidRPr="00090437">
        <w:rPr>
          <w:rFonts w:ascii="Tahoma" w:hAnsi="Tahoma" w:cs="Tahoma"/>
          <w:color w:val="000000" w:themeColor="text1"/>
          <w:sz w:val="22"/>
          <w:szCs w:val="22"/>
        </w:rPr>
        <w:t>В случае досрочного отзыва Вклада по требованию Вкладчика проценты по Вкладу начисляются и выплачиваются Вкладчику по ставке Вклада «Личный счет» (до востребования) исходя из фактического срока нахождения средств во Вкладе.</w:t>
      </w:r>
    </w:p>
    <w:p w14:paraId="2181E9B0" w14:textId="77777777" w:rsidR="00090437" w:rsidRPr="00090437" w:rsidRDefault="00090437" w:rsidP="00EB4F4C">
      <w:pPr>
        <w:numPr>
          <w:ilvl w:val="0"/>
          <w:numId w:val="72"/>
        </w:numPr>
        <w:jc w:val="both"/>
        <w:rPr>
          <w:rFonts w:ascii="Tahoma" w:hAnsi="Tahoma" w:cs="Tahoma"/>
          <w:bCs/>
          <w:sz w:val="22"/>
          <w:szCs w:val="22"/>
        </w:rPr>
      </w:pPr>
      <w:r w:rsidRPr="00090437">
        <w:rPr>
          <w:rFonts w:ascii="Tahoma" w:hAnsi="Tahoma" w:cs="Tahoma"/>
          <w:color w:val="000000" w:themeColor="text1"/>
          <w:sz w:val="22"/>
          <w:szCs w:val="22"/>
        </w:rPr>
        <w:t>Открытие Вклада и управлением Вкладов в отделениях Банка и через дистанционные каналы банковского обслуживания Интернет-банк «АТБ-Онлайн»/ Мобильный банк «АТБ-Мобайл»</w:t>
      </w:r>
    </w:p>
    <w:tbl>
      <w:tblPr>
        <w:tblW w:w="5021" w:type="pct"/>
        <w:tblLayout w:type="fixed"/>
        <w:tblLook w:val="04A0" w:firstRow="1" w:lastRow="0" w:firstColumn="1" w:lastColumn="0" w:noHBand="0" w:noVBand="1"/>
      </w:tblPr>
      <w:tblGrid>
        <w:gridCol w:w="2203"/>
        <w:gridCol w:w="1957"/>
        <w:gridCol w:w="1673"/>
        <w:gridCol w:w="1677"/>
        <w:gridCol w:w="1257"/>
        <w:gridCol w:w="1254"/>
        <w:gridCol w:w="1257"/>
        <w:gridCol w:w="1257"/>
        <w:gridCol w:w="1257"/>
        <w:gridCol w:w="1394"/>
      </w:tblGrid>
      <w:tr w:rsidR="00090437" w:rsidRPr="00090437" w14:paraId="7091F662" w14:textId="77777777" w:rsidTr="00090437">
        <w:trPr>
          <w:trHeight w:val="458"/>
        </w:trPr>
        <w:tc>
          <w:tcPr>
            <w:tcW w:w="725" w:type="pct"/>
            <w:vMerge w:val="restart"/>
            <w:tcBorders>
              <w:top w:val="single" w:sz="8" w:space="0" w:color="auto"/>
              <w:left w:val="single" w:sz="8" w:space="0" w:color="auto"/>
              <w:bottom w:val="single" w:sz="8" w:space="0" w:color="000000"/>
              <w:right w:val="nil"/>
            </w:tcBorders>
            <w:shd w:val="clear" w:color="auto" w:fill="auto"/>
            <w:vAlign w:val="center"/>
            <w:hideMark/>
          </w:tcPr>
          <w:p w14:paraId="0FEED2A4"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Ориентировочный сегмент</w:t>
            </w:r>
          </w:p>
        </w:tc>
        <w:tc>
          <w:tcPr>
            <w:tcW w:w="644" w:type="pct"/>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58139EEA"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Продукт</w:t>
            </w:r>
          </w:p>
        </w:tc>
        <w:tc>
          <w:tcPr>
            <w:tcW w:w="1103" w:type="pct"/>
            <w:gridSpan w:val="2"/>
            <w:tcBorders>
              <w:top w:val="single" w:sz="8" w:space="0" w:color="auto"/>
              <w:left w:val="nil"/>
              <w:bottom w:val="single" w:sz="4" w:space="0" w:color="auto"/>
              <w:right w:val="single" w:sz="4" w:space="0" w:color="auto"/>
            </w:tcBorders>
            <w:shd w:val="clear" w:color="auto" w:fill="auto"/>
            <w:noWrap/>
            <w:vAlign w:val="center"/>
            <w:hideMark/>
          </w:tcPr>
          <w:p w14:paraId="03C45FD6"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Базовые параметры вклада</w:t>
            </w:r>
          </w:p>
        </w:tc>
        <w:tc>
          <w:tcPr>
            <w:tcW w:w="2528" w:type="pct"/>
            <w:gridSpan w:val="6"/>
            <w:tcBorders>
              <w:top w:val="single" w:sz="8" w:space="0" w:color="auto"/>
              <w:left w:val="nil"/>
              <w:bottom w:val="single" w:sz="4" w:space="0" w:color="auto"/>
              <w:right w:val="single" w:sz="4" w:space="0" w:color="auto"/>
            </w:tcBorders>
            <w:shd w:val="clear" w:color="auto" w:fill="auto"/>
            <w:noWrap/>
            <w:vAlign w:val="center"/>
            <w:hideMark/>
          </w:tcPr>
          <w:p w14:paraId="1F9D4CA4" w14:textId="77777777" w:rsidR="00090437" w:rsidRPr="00090437" w:rsidRDefault="00090437" w:rsidP="00090437">
            <w:pPr>
              <w:jc w:val="center"/>
              <w:rPr>
                <w:rFonts w:ascii="Tahoma" w:hAnsi="Tahoma" w:cs="Tahoma"/>
                <w:bCs/>
                <w:iCs/>
                <w:sz w:val="20"/>
                <w:szCs w:val="20"/>
              </w:rPr>
            </w:pPr>
            <w:r w:rsidRPr="00090437">
              <w:rPr>
                <w:rFonts w:ascii="Tahoma" w:hAnsi="Tahoma" w:cs="Tahoma"/>
                <w:b/>
                <w:color w:val="000000" w:themeColor="text1"/>
                <w:sz w:val="20"/>
                <w:szCs w:val="20"/>
              </w:rPr>
              <w:t>Процентные ставки* (% годовых</w:t>
            </w:r>
            <w:r w:rsidRPr="00090437">
              <w:rPr>
                <w:rFonts w:ascii="Tahoma" w:hAnsi="Tahoma" w:cs="Tahoma"/>
                <w:b/>
                <w:sz w:val="20"/>
                <w:szCs w:val="20"/>
              </w:rPr>
              <w:t>) в зависимости от срока договора вклада</w:t>
            </w:r>
          </w:p>
        </w:tc>
      </w:tr>
      <w:tr w:rsidR="00090437" w:rsidRPr="00090437" w14:paraId="05424DBC" w14:textId="77777777" w:rsidTr="00090437">
        <w:trPr>
          <w:trHeight w:val="60"/>
        </w:trPr>
        <w:tc>
          <w:tcPr>
            <w:tcW w:w="725" w:type="pct"/>
            <w:vMerge/>
            <w:tcBorders>
              <w:top w:val="single" w:sz="8" w:space="0" w:color="auto"/>
              <w:left w:val="single" w:sz="8" w:space="0" w:color="auto"/>
              <w:bottom w:val="single" w:sz="8" w:space="0" w:color="000000"/>
              <w:right w:val="nil"/>
            </w:tcBorders>
            <w:vAlign w:val="center"/>
            <w:hideMark/>
          </w:tcPr>
          <w:p w14:paraId="2AA60065" w14:textId="77777777" w:rsidR="00090437" w:rsidRPr="00090437" w:rsidRDefault="00090437" w:rsidP="00090437">
            <w:pPr>
              <w:rPr>
                <w:rFonts w:ascii="Tahoma" w:hAnsi="Tahoma" w:cs="Tahoma"/>
                <w:bCs/>
                <w:iCs/>
                <w:sz w:val="20"/>
                <w:szCs w:val="20"/>
              </w:rPr>
            </w:pPr>
          </w:p>
        </w:tc>
        <w:tc>
          <w:tcPr>
            <w:tcW w:w="644" w:type="pct"/>
            <w:vMerge/>
            <w:tcBorders>
              <w:top w:val="single" w:sz="8" w:space="0" w:color="auto"/>
              <w:left w:val="single" w:sz="8" w:space="0" w:color="auto"/>
              <w:bottom w:val="single" w:sz="8" w:space="0" w:color="000000"/>
              <w:right w:val="single" w:sz="4" w:space="0" w:color="auto"/>
            </w:tcBorders>
            <w:vAlign w:val="center"/>
            <w:hideMark/>
          </w:tcPr>
          <w:p w14:paraId="3D69E0A8" w14:textId="77777777" w:rsidR="00090437" w:rsidRPr="00090437" w:rsidRDefault="00090437" w:rsidP="00090437">
            <w:pPr>
              <w:rPr>
                <w:rFonts w:ascii="Tahoma" w:hAnsi="Tahoma" w:cs="Tahoma"/>
                <w:bCs/>
                <w:iCs/>
                <w:sz w:val="20"/>
                <w:szCs w:val="20"/>
              </w:rPr>
            </w:pPr>
          </w:p>
        </w:tc>
        <w:tc>
          <w:tcPr>
            <w:tcW w:w="551" w:type="pct"/>
            <w:tcBorders>
              <w:top w:val="nil"/>
              <w:left w:val="nil"/>
              <w:bottom w:val="single" w:sz="8" w:space="0" w:color="auto"/>
              <w:right w:val="single" w:sz="4" w:space="0" w:color="auto"/>
            </w:tcBorders>
            <w:shd w:val="clear" w:color="auto" w:fill="auto"/>
            <w:noWrap/>
            <w:vAlign w:val="center"/>
            <w:hideMark/>
          </w:tcPr>
          <w:p w14:paraId="21DC6F31"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Валюта вклада</w:t>
            </w:r>
          </w:p>
        </w:tc>
        <w:tc>
          <w:tcPr>
            <w:tcW w:w="552" w:type="pct"/>
            <w:tcBorders>
              <w:top w:val="nil"/>
              <w:left w:val="nil"/>
              <w:bottom w:val="single" w:sz="8" w:space="0" w:color="auto"/>
              <w:right w:val="single" w:sz="4" w:space="0" w:color="auto"/>
            </w:tcBorders>
            <w:shd w:val="clear" w:color="auto" w:fill="auto"/>
            <w:noWrap/>
            <w:vAlign w:val="center"/>
            <w:hideMark/>
          </w:tcPr>
          <w:p w14:paraId="20A25C55"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 xml:space="preserve">Минимальная сумма вклада </w:t>
            </w:r>
          </w:p>
        </w:tc>
        <w:tc>
          <w:tcPr>
            <w:tcW w:w="414" w:type="pct"/>
            <w:tcBorders>
              <w:top w:val="nil"/>
              <w:left w:val="nil"/>
              <w:bottom w:val="single" w:sz="8" w:space="0" w:color="auto"/>
              <w:right w:val="single" w:sz="4" w:space="0" w:color="auto"/>
            </w:tcBorders>
            <w:shd w:val="clear" w:color="auto" w:fill="auto"/>
            <w:noWrap/>
            <w:vAlign w:val="center"/>
          </w:tcPr>
          <w:p w14:paraId="0FBCDED5"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120 дней</w:t>
            </w:r>
          </w:p>
        </w:tc>
        <w:tc>
          <w:tcPr>
            <w:tcW w:w="413" w:type="pct"/>
            <w:tcBorders>
              <w:top w:val="nil"/>
              <w:left w:val="nil"/>
              <w:bottom w:val="single" w:sz="8" w:space="0" w:color="auto"/>
              <w:right w:val="single" w:sz="4" w:space="0" w:color="auto"/>
            </w:tcBorders>
            <w:shd w:val="clear" w:color="auto" w:fill="auto"/>
            <w:vAlign w:val="center"/>
          </w:tcPr>
          <w:p w14:paraId="5BBD3C76"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182 дня</w:t>
            </w:r>
          </w:p>
        </w:tc>
        <w:tc>
          <w:tcPr>
            <w:tcW w:w="414" w:type="pct"/>
            <w:tcBorders>
              <w:top w:val="nil"/>
              <w:left w:val="nil"/>
              <w:bottom w:val="single" w:sz="8" w:space="0" w:color="auto"/>
              <w:right w:val="single" w:sz="4" w:space="0" w:color="auto"/>
            </w:tcBorders>
            <w:shd w:val="clear" w:color="auto" w:fill="auto"/>
            <w:vAlign w:val="center"/>
          </w:tcPr>
          <w:p w14:paraId="05C565B8"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367 дней</w:t>
            </w:r>
          </w:p>
        </w:tc>
        <w:tc>
          <w:tcPr>
            <w:tcW w:w="414" w:type="pct"/>
            <w:tcBorders>
              <w:top w:val="nil"/>
              <w:left w:val="nil"/>
              <w:bottom w:val="single" w:sz="8" w:space="0" w:color="auto"/>
              <w:right w:val="single" w:sz="4" w:space="0" w:color="auto"/>
            </w:tcBorders>
            <w:shd w:val="clear" w:color="auto" w:fill="auto"/>
            <w:vAlign w:val="center"/>
          </w:tcPr>
          <w:p w14:paraId="00DBF813"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500 дней</w:t>
            </w:r>
          </w:p>
        </w:tc>
        <w:tc>
          <w:tcPr>
            <w:tcW w:w="414" w:type="pct"/>
            <w:tcBorders>
              <w:top w:val="nil"/>
              <w:left w:val="nil"/>
              <w:bottom w:val="single" w:sz="8" w:space="0" w:color="auto"/>
              <w:right w:val="single" w:sz="4" w:space="0" w:color="auto"/>
            </w:tcBorders>
            <w:shd w:val="clear" w:color="auto" w:fill="auto"/>
            <w:vAlign w:val="center"/>
          </w:tcPr>
          <w:p w14:paraId="11C8952C"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731 день</w:t>
            </w:r>
          </w:p>
        </w:tc>
        <w:tc>
          <w:tcPr>
            <w:tcW w:w="459" w:type="pct"/>
            <w:tcBorders>
              <w:top w:val="nil"/>
              <w:left w:val="nil"/>
              <w:bottom w:val="single" w:sz="8" w:space="0" w:color="auto"/>
              <w:right w:val="single" w:sz="4" w:space="0" w:color="auto"/>
            </w:tcBorders>
            <w:shd w:val="clear" w:color="auto" w:fill="auto"/>
            <w:vAlign w:val="center"/>
          </w:tcPr>
          <w:p w14:paraId="570F692A"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1098 дней</w:t>
            </w:r>
          </w:p>
        </w:tc>
      </w:tr>
      <w:tr w:rsidR="00090437" w:rsidRPr="00090437" w14:paraId="48B02F6C" w14:textId="77777777" w:rsidTr="00090437">
        <w:trPr>
          <w:trHeight w:val="64"/>
        </w:trPr>
        <w:tc>
          <w:tcPr>
            <w:tcW w:w="725" w:type="pct"/>
            <w:tcBorders>
              <w:top w:val="nil"/>
              <w:left w:val="single" w:sz="8" w:space="0" w:color="auto"/>
              <w:bottom w:val="single" w:sz="4" w:space="0" w:color="auto"/>
              <w:right w:val="nil"/>
            </w:tcBorders>
            <w:shd w:val="clear" w:color="auto" w:fill="auto"/>
            <w:vAlign w:val="center"/>
            <w:hideMark/>
          </w:tcPr>
          <w:p w14:paraId="5BACDC71"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Все категории клиентов</w:t>
            </w:r>
          </w:p>
        </w:tc>
        <w:tc>
          <w:tcPr>
            <w:tcW w:w="644" w:type="pct"/>
            <w:tcBorders>
              <w:top w:val="nil"/>
              <w:left w:val="single" w:sz="8" w:space="0" w:color="auto"/>
              <w:bottom w:val="single" w:sz="4" w:space="0" w:color="auto"/>
              <w:right w:val="single" w:sz="4" w:space="0" w:color="auto"/>
            </w:tcBorders>
            <w:shd w:val="clear" w:color="000000" w:fill="FFC000"/>
            <w:vAlign w:val="center"/>
            <w:hideMark/>
          </w:tcPr>
          <w:p w14:paraId="1191CF45"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Пара мандаринов</w:t>
            </w:r>
          </w:p>
        </w:tc>
        <w:tc>
          <w:tcPr>
            <w:tcW w:w="551" w:type="pct"/>
            <w:tcBorders>
              <w:top w:val="nil"/>
              <w:left w:val="nil"/>
              <w:bottom w:val="single" w:sz="4" w:space="0" w:color="auto"/>
              <w:right w:val="single" w:sz="4" w:space="0" w:color="auto"/>
            </w:tcBorders>
            <w:shd w:val="clear" w:color="auto" w:fill="auto"/>
            <w:noWrap/>
            <w:vAlign w:val="center"/>
            <w:hideMark/>
          </w:tcPr>
          <w:p w14:paraId="21C932FB"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рубли</w:t>
            </w:r>
          </w:p>
        </w:tc>
        <w:tc>
          <w:tcPr>
            <w:tcW w:w="552" w:type="pct"/>
            <w:tcBorders>
              <w:top w:val="nil"/>
              <w:left w:val="nil"/>
              <w:bottom w:val="single" w:sz="4" w:space="0" w:color="auto"/>
              <w:right w:val="single" w:sz="4" w:space="0" w:color="auto"/>
            </w:tcBorders>
            <w:shd w:val="clear" w:color="auto" w:fill="auto"/>
            <w:noWrap/>
            <w:vAlign w:val="center"/>
            <w:hideMark/>
          </w:tcPr>
          <w:p w14:paraId="3EB58167"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5 000</w:t>
            </w:r>
          </w:p>
        </w:tc>
        <w:tc>
          <w:tcPr>
            <w:tcW w:w="414" w:type="pct"/>
            <w:tcBorders>
              <w:top w:val="nil"/>
              <w:left w:val="nil"/>
              <w:bottom w:val="single" w:sz="4" w:space="0" w:color="auto"/>
              <w:right w:val="single" w:sz="4" w:space="0" w:color="auto"/>
            </w:tcBorders>
            <w:shd w:val="clear" w:color="auto" w:fill="auto"/>
            <w:noWrap/>
            <w:vAlign w:val="center"/>
          </w:tcPr>
          <w:p w14:paraId="54322B6D"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6,000</w:t>
            </w:r>
          </w:p>
        </w:tc>
        <w:tc>
          <w:tcPr>
            <w:tcW w:w="413" w:type="pct"/>
            <w:tcBorders>
              <w:top w:val="nil"/>
              <w:left w:val="nil"/>
              <w:bottom w:val="single" w:sz="4" w:space="0" w:color="auto"/>
              <w:right w:val="single" w:sz="4" w:space="0" w:color="auto"/>
            </w:tcBorders>
            <w:shd w:val="clear" w:color="auto" w:fill="auto"/>
            <w:vAlign w:val="center"/>
          </w:tcPr>
          <w:p w14:paraId="23B8DABA"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9,500</w:t>
            </w:r>
          </w:p>
        </w:tc>
        <w:tc>
          <w:tcPr>
            <w:tcW w:w="414" w:type="pct"/>
            <w:tcBorders>
              <w:top w:val="nil"/>
              <w:left w:val="nil"/>
              <w:bottom w:val="single" w:sz="4" w:space="0" w:color="auto"/>
              <w:right w:val="single" w:sz="4" w:space="0" w:color="auto"/>
            </w:tcBorders>
            <w:shd w:val="clear" w:color="auto" w:fill="auto"/>
            <w:vAlign w:val="center"/>
          </w:tcPr>
          <w:p w14:paraId="05ABDB27"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6,700</w:t>
            </w:r>
          </w:p>
        </w:tc>
        <w:tc>
          <w:tcPr>
            <w:tcW w:w="414" w:type="pct"/>
            <w:tcBorders>
              <w:top w:val="nil"/>
              <w:left w:val="nil"/>
              <w:bottom w:val="single" w:sz="4" w:space="0" w:color="auto"/>
              <w:right w:val="single" w:sz="4" w:space="0" w:color="auto"/>
            </w:tcBorders>
            <w:shd w:val="clear" w:color="auto" w:fill="auto"/>
            <w:vAlign w:val="center"/>
          </w:tcPr>
          <w:p w14:paraId="2D0328E2"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6,900</w:t>
            </w:r>
          </w:p>
        </w:tc>
        <w:tc>
          <w:tcPr>
            <w:tcW w:w="414" w:type="pct"/>
            <w:tcBorders>
              <w:top w:val="nil"/>
              <w:left w:val="nil"/>
              <w:bottom w:val="single" w:sz="4" w:space="0" w:color="auto"/>
              <w:right w:val="single" w:sz="4" w:space="0" w:color="auto"/>
            </w:tcBorders>
            <w:shd w:val="clear" w:color="auto" w:fill="auto"/>
            <w:vAlign w:val="center"/>
          </w:tcPr>
          <w:p w14:paraId="6D44250A"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7,200</w:t>
            </w:r>
          </w:p>
        </w:tc>
        <w:tc>
          <w:tcPr>
            <w:tcW w:w="459" w:type="pct"/>
            <w:tcBorders>
              <w:top w:val="nil"/>
              <w:left w:val="nil"/>
              <w:bottom w:val="single" w:sz="4" w:space="0" w:color="auto"/>
              <w:right w:val="single" w:sz="4" w:space="0" w:color="auto"/>
            </w:tcBorders>
            <w:shd w:val="clear" w:color="auto" w:fill="auto"/>
            <w:vAlign w:val="center"/>
          </w:tcPr>
          <w:p w14:paraId="6A4DE0A6"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7,500</w:t>
            </w:r>
          </w:p>
        </w:tc>
      </w:tr>
    </w:tbl>
    <w:p w14:paraId="2A182A63" w14:textId="77777777" w:rsidR="00090437" w:rsidRPr="00090437" w:rsidRDefault="00090437" w:rsidP="00090437">
      <w:pPr>
        <w:tabs>
          <w:tab w:val="left" w:pos="284"/>
        </w:tabs>
        <w:rPr>
          <w:rFonts w:ascii="Tahoma" w:hAnsi="Tahoma" w:cs="Tahoma"/>
          <w:b/>
          <w:bCs/>
          <w:iCs/>
          <w:sz w:val="22"/>
          <w:szCs w:val="22"/>
        </w:rPr>
      </w:pPr>
      <w:r w:rsidRPr="00090437">
        <w:rPr>
          <w:rFonts w:ascii="Tahoma" w:hAnsi="Tahoma" w:cs="Tahoma"/>
          <w:sz w:val="18"/>
          <w:szCs w:val="18"/>
        </w:rPr>
        <w:t>*Соответствует значению минимальной гарантированной ставки (годовых) с учетом округления, определяющему минимальный доход, выплачиваемый вкладчику на сумму вклада при условии хранения суммы вклада до конца срока вклада без учета каких-либо других условий. Порядок расчета минимальной гарантированной ставки по вкладу определяется Банком России.</w:t>
      </w:r>
    </w:p>
    <w:p w14:paraId="7C1EDDDF" w14:textId="77777777" w:rsidR="00090437" w:rsidRPr="00090437" w:rsidRDefault="00090437" w:rsidP="00090437">
      <w:pPr>
        <w:tabs>
          <w:tab w:val="left" w:pos="284"/>
        </w:tabs>
        <w:rPr>
          <w:rFonts w:ascii="Tahoma" w:hAnsi="Tahoma" w:cs="Tahoma"/>
          <w:b/>
          <w:bCs/>
          <w:iCs/>
          <w:sz w:val="22"/>
          <w:szCs w:val="22"/>
        </w:rPr>
      </w:pPr>
    </w:p>
    <w:p w14:paraId="47329FE9" w14:textId="692077AD" w:rsidR="00090437" w:rsidRPr="00090437" w:rsidRDefault="002B7E85" w:rsidP="000B3718">
      <w:pPr>
        <w:pStyle w:val="a5"/>
      </w:pPr>
      <w:r>
        <w:t>3.4</w:t>
      </w:r>
      <w:r w:rsidR="00955573">
        <w:t>9</w:t>
      </w:r>
      <w:r w:rsidR="00090437" w:rsidRPr="00090437">
        <w:t>.</w:t>
      </w:r>
      <w:r w:rsidR="00090437" w:rsidRPr="00090437">
        <w:tab/>
        <w:t>Вклад «Сохрани+» (условия для пролонгируемых вкладов)</w:t>
      </w:r>
    </w:p>
    <w:p w14:paraId="7C2D76B2" w14:textId="77777777" w:rsidR="00090437" w:rsidRPr="00090437" w:rsidRDefault="00090437" w:rsidP="00090437">
      <w:pPr>
        <w:tabs>
          <w:tab w:val="left" w:pos="284"/>
          <w:tab w:val="left" w:pos="567"/>
        </w:tabs>
        <w:jc w:val="both"/>
        <w:rPr>
          <w:rFonts w:ascii="Tahoma" w:hAnsi="Tahoma" w:cs="Tahoma"/>
          <w:bCs/>
          <w:sz w:val="22"/>
          <w:szCs w:val="22"/>
        </w:rPr>
      </w:pPr>
      <w:r w:rsidRPr="00090437">
        <w:rPr>
          <w:rFonts w:ascii="Tahoma" w:hAnsi="Tahoma" w:cs="Tahoma"/>
          <w:bCs/>
          <w:sz w:val="22"/>
          <w:szCs w:val="22"/>
        </w:rPr>
        <w:t>Условия:</w:t>
      </w:r>
    </w:p>
    <w:p w14:paraId="772F8EAF" w14:textId="77777777" w:rsidR="00090437" w:rsidRPr="00090437" w:rsidRDefault="00090437" w:rsidP="00090437">
      <w:pPr>
        <w:numPr>
          <w:ilvl w:val="0"/>
          <w:numId w:val="8"/>
        </w:numPr>
        <w:contextualSpacing/>
        <w:jc w:val="both"/>
        <w:rPr>
          <w:rFonts w:ascii="Tahoma" w:hAnsi="Tahoma" w:cs="Tahoma"/>
          <w:sz w:val="22"/>
          <w:szCs w:val="22"/>
        </w:rPr>
      </w:pPr>
      <w:r w:rsidRPr="00090437">
        <w:rPr>
          <w:rFonts w:ascii="Tahoma" w:hAnsi="Tahoma" w:cs="Tahoma"/>
          <w:color w:val="000000" w:themeColor="text1"/>
          <w:sz w:val="22"/>
          <w:szCs w:val="22"/>
        </w:rPr>
        <w:t xml:space="preserve">Валюта – рубли, </w:t>
      </w:r>
      <w:r w:rsidRPr="00090437">
        <w:rPr>
          <w:rFonts w:ascii="Tahoma" w:hAnsi="Tahoma" w:cs="Tahoma"/>
          <w:sz w:val="22"/>
          <w:szCs w:val="22"/>
        </w:rPr>
        <w:t>китайский юань;</w:t>
      </w:r>
    </w:p>
    <w:p w14:paraId="7681D1DF" w14:textId="77777777" w:rsidR="00090437" w:rsidRPr="00090437" w:rsidRDefault="00090437" w:rsidP="00090437">
      <w:pPr>
        <w:numPr>
          <w:ilvl w:val="0"/>
          <w:numId w:val="8"/>
        </w:numPr>
        <w:contextualSpacing/>
        <w:jc w:val="both"/>
        <w:rPr>
          <w:rFonts w:ascii="Tahoma" w:hAnsi="Tahoma" w:cs="Tahoma"/>
          <w:sz w:val="22"/>
          <w:szCs w:val="22"/>
        </w:rPr>
      </w:pPr>
      <w:r w:rsidRPr="00090437">
        <w:rPr>
          <w:rFonts w:ascii="Tahoma" w:hAnsi="Tahoma" w:cs="Tahoma"/>
          <w:sz w:val="22"/>
          <w:szCs w:val="22"/>
        </w:rPr>
        <w:t>Минимальная сумма Вклада 5 000 рублей/ 700 китайских юаней;</w:t>
      </w:r>
    </w:p>
    <w:p w14:paraId="6D5D536B" w14:textId="77777777" w:rsidR="00090437" w:rsidRPr="00090437" w:rsidRDefault="00090437" w:rsidP="00090437">
      <w:pPr>
        <w:numPr>
          <w:ilvl w:val="0"/>
          <w:numId w:val="8"/>
        </w:numPr>
        <w:contextualSpacing/>
        <w:jc w:val="both"/>
        <w:rPr>
          <w:rFonts w:ascii="Tahoma" w:hAnsi="Tahoma" w:cs="Tahoma"/>
          <w:sz w:val="22"/>
          <w:szCs w:val="22"/>
        </w:rPr>
      </w:pPr>
      <w:r w:rsidRPr="00090437">
        <w:rPr>
          <w:rFonts w:ascii="Tahoma" w:hAnsi="Tahoma" w:cs="Tahoma"/>
          <w:sz w:val="22"/>
          <w:szCs w:val="22"/>
        </w:rPr>
        <w:t>Максимальная сумма Вклада – не ограничена;</w:t>
      </w:r>
    </w:p>
    <w:p w14:paraId="30561001" w14:textId="77777777" w:rsidR="00090437" w:rsidRPr="00090437" w:rsidRDefault="00090437" w:rsidP="00090437">
      <w:pPr>
        <w:numPr>
          <w:ilvl w:val="0"/>
          <w:numId w:val="8"/>
        </w:numPr>
        <w:contextualSpacing/>
        <w:jc w:val="both"/>
        <w:rPr>
          <w:rFonts w:ascii="Tahoma" w:hAnsi="Tahoma" w:cs="Tahoma"/>
          <w:sz w:val="22"/>
          <w:szCs w:val="22"/>
        </w:rPr>
      </w:pPr>
      <w:r w:rsidRPr="00090437">
        <w:rPr>
          <w:rFonts w:ascii="Tahoma" w:hAnsi="Tahoma" w:cs="Tahoma"/>
          <w:sz w:val="22"/>
          <w:szCs w:val="22"/>
        </w:rPr>
        <w:t>Срок Вклада – 92 дня/ 182 дня/ 367 дней/ 500 дней/ 731 день/ 1098 дней;</w:t>
      </w:r>
    </w:p>
    <w:p w14:paraId="70B0D1FF" w14:textId="77777777" w:rsidR="00090437" w:rsidRPr="00090437" w:rsidRDefault="00090437" w:rsidP="00090437">
      <w:pPr>
        <w:numPr>
          <w:ilvl w:val="0"/>
          <w:numId w:val="8"/>
        </w:numPr>
        <w:contextualSpacing/>
        <w:jc w:val="both"/>
        <w:rPr>
          <w:rFonts w:ascii="Tahoma" w:hAnsi="Tahoma" w:cs="Tahoma"/>
          <w:sz w:val="22"/>
          <w:szCs w:val="22"/>
        </w:rPr>
      </w:pPr>
      <w:r w:rsidRPr="00090437">
        <w:rPr>
          <w:rFonts w:ascii="Tahoma" w:hAnsi="Tahoma" w:cs="Tahoma"/>
          <w:sz w:val="22"/>
          <w:szCs w:val="22"/>
        </w:rPr>
        <w:t>Вклад пополняемый;</w:t>
      </w:r>
    </w:p>
    <w:p w14:paraId="4A752975" w14:textId="77777777" w:rsidR="00090437" w:rsidRPr="00090437" w:rsidRDefault="00090437" w:rsidP="00090437">
      <w:pPr>
        <w:numPr>
          <w:ilvl w:val="0"/>
          <w:numId w:val="8"/>
        </w:numPr>
        <w:contextualSpacing/>
        <w:jc w:val="both"/>
        <w:rPr>
          <w:rFonts w:ascii="Tahoma" w:hAnsi="Tahoma" w:cs="Tahoma"/>
          <w:color w:val="000000" w:themeColor="text1"/>
          <w:sz w:val="22"/>
          <w:szCs w:val="22"/>
        </w:rPr>
      </w:pPr>
      <w:r w:rsidRPr="00090437">
        <w:rPr>
          <w:rFonts w:ascii="Tahoma" w:hAnsi="Tahoma" w:cs="Tahoma"/>
          <w:sz w:val="22"/>
          <w:szCs w:val="22"/>
        </w:rPr>
        <w:t xml:space="preserve">Продление (автоматическое перезаключение) Договора без оформления </w:t>
      </w:r>
      <w:r w:rsidRPr="00090437">
        <w:rPr>
          <w:rFonts w:ascii="Tahoma" w:hAnsi="Tahoma" w:cs="Tahoma"/>
          <w:color w:val="000000" w:themeColor="text1"/>
          <w:sz w:val="22"/>
          <w:szCs w:val="22"/>
        </w:rPr>
        <w:t>дополнительных соглашений – без ограничений;</w:t>
      </w:r>
    </w:p>
    <w:p w14:paraId="0BC4573B" w14:textId="77777777" w:rsidR="00090437" w:rsidRPr="00090437" w:rsidRDefault="00090437" w:rsidP="00090437">
      <w:pPr>
        <w:numPr>
          <w:ilvl w:val="0"/>
          <w:numId w:val="8"/>
        </w:numPr>
        <w:contextualSpacing/>
        <w:jc w:val="both"/>
        <w:rPr>
          <w:rFonts w:ascii="Tahoma" w:hAnsi="Tahoma" w:cs="Tahoma"/>
          <w:color w:val="000000" w:themeColor="text1"/>
          <w:sz w:val="22"/>
          <w:szCs w:val="22"/>
        </w:rPr>
      </w:pPr>
      <w:r w:rsidRPr="00090437">
        <w:rPr>
          <w:rFonts w:ascii="Tahoma" w:hAnsi="Tahoma" w:cs="Tahoma"/>
          <w:color w:val="000000" w:themeColor="text1"/>
          <w:sz w:val="22"/>
          <w:szCs w:val="22"/>
        </w:rPr>
        <w:t>Выплата процентов – ежемесячно на выбор:</w:t>
      </w:r>
    </w:p>
    <w:p w14:paraId="0653313A" w14:textId="77777777" w:rsidR="00090437" w:rsidRPr="00090437" w:rsidRDefault="00090437" w:rsidP="00090437">
      <w:pPr>
        <w:ind w:left="720"/>
        <w:contextualSpacing/>
        <w:jc w:val="both"/>
        <w:rPr>
          <w:rFonts w:ascii="Tahoma" w:hAnsi="Tahoma" w:cs="Tahoma"/>
          <w:color w:val="000000" w:themeColor="text1"/>
          <w:sz w:val="22"/>
          <w:szCs w:val="22"/>
        </w:rPr>
      </w:pPr>
      <w:r w:rsidRPr="00090437">
        <w:rPr>
          <w:rFonts w:ascii="Tahoma" w:hAnsi="Tahoma" w:cs="Tahoma"/>
          <w:color w:val="000000" w:themeColor="text1"/>
          <w:sz w:val="22"/>
          <w:szCs w:val="22"/>
        </w:rPr>
        <w:t>- на счет, открытый в Банке;</w:t>
      </w:r>
    </w:p>
    <w:p w14:paraId="409439CA" w14:textId="77777777" w:rsidR="00090437" w:rsidRPr="00090437" w:rsidRDefault="00090437" w:rsidP="00090437">
      <w:pPr>
        <w:ind w:left="720"/>
        <w:contextualSpacing/>
        <w:jc w:val="both"/>
        <w:rPr>
          <w:rFonts w:ascii="Tahoma" w:hAnsi="Tahoma" w:cs="Tahoma"/>
          <w:color w:val="000000" w:themeColor="text1"/>
          <w:sz w:val="22"/>
          <w:szCs w:val="22"/>
        </w:rPr>
      </w:pPr>
      <w:r w:rsidRPr="00090437">
        <w:rPr>
          <w:rFonts w:ascii="Tahoma" w:hAnsi="Tahoma" w:cs="Tahoma"/>
          <w:color w:val="000000" w:themeColor="text1"/>
          <w:sz w:val="22"/>
          <w:szCs w:val="22"/>
        </w:rPr>
        <w:t>- капитализация, т.е. причисление к основной сумме Вклада;</w:t>
      </w:r>
    </w:p>
    <w:p w14:paraId="1179CB4F" w14:textId="77777777" w:rsidR="00090437" w:rsidRPr="00090437" w:rsidRDefault="00090437" w:rsidP="00090437">
      <w:pPr>
        <w:numPr>
          <w:ilvl w:val="0"/>
          <w:numId w:val="8"/>
        </w:numPr>
        <w:contextualSpacing/>
        <w:jc w:val="both"/>
        <w:rPr>
          <w:rFonts w:ascii="Tahoma" w:hAnsi="Tahoma" w:cs="Tahoma"/>
          <w:color w:val="000000" w:themeColor="text1"/>
          <w:sz w:val="22"/>
          <w:szCs w:val="22"/>
        </w:rPr>
      </w:pPr>
      <w:r w:rsidRPr="00090437">
        <w:rPr>
          <w:rFonts w:ascii="Tahoma" w:hAnsi="Tahoma" w:cs="Tahoma"/>
          <w:color w:val="000000" w:themeColor="text1"/>
          <w:sz w:val="22"/>
          <w:szCs w:val="22"/>
        </w:rPr>
        <w:t>Выплата суммы Вклада – на счет, открытый в Банке;</w:t>
      </w:r>
    </w:p>
    <w:p w14:paraId="08794FC6" w14:textId="77777777" w:rsidR="00090437" w:rsidRPr="00090437" w:rsidRDefault="00090437" w:rsidP="00090437">
      <w:pPr>
        <w:numPr>
          <w:ilvl w:val="0"/>
          <w:numId w:val="8"/>
        </w:numPr>
        <w:contextualSpacing/>
        <w:jc w:val="both"/>
        <w:rPr>
          <w:rFonts w:ascii="Tahoma" w:hAnsi="Tahoma" w:cs="Tahoma"/>
          <w:color w:val="000000" w:themeColor="text1"/>
          <w:sz w:val="22"/>
          <w:szCs w:val="22"/>
        </w:rPr>
      </w:pPr>
      <w:r w:rsidRPr="00090437">
        <w:rPr>
          <w:rFonts w:ascii="Tahoma" w:hAnsi="Tahoma" w:cs="Tahoma"/>
          <w:color w:val="000000" w:themeColor="text1"/>
          <w:sz w:val="22"/>
          <w:szCs w:val="22"/>
        </w:rPr>
        <w:t>Расходные операции по Вкладу – не предусмотрены;</w:t>
      </w:r>
    </w:p>
    <w:p w14:paraId="30F609A4" w14:textId="77777777" w:rsidR="00090437" w:rsidRPr="00090437" w:rsidRDefault="00090437" w:rsidP="00090437">
      <w:pPr>
        <w:numPr>
          <w:ilvl w:val="0"/>
          <w:numId w:val="8"/>
        </w:numPr>
        <w:contextualSpacing/>
        <w:jc w:val="both"/>
        <w:rPr>
          <w:rFonts w:ascii="Tahoma" w:hAnsi="Tahoma" w:cs="Tahoma"/>
          <w:color w:val="000000" w:themeColor="text1"/>
          <w:sz w:val="22"/>
          <w:szCs w:val="22"/>
        </w:rPr>
      </w:pPr>
      <w:r w:rsidRPr="00090437">
        <w:rPr>
          <w:rFonts w:ascii="Tahoma" w:hAnsi="Tahoma" w:cs="Tahoma"/>
          <w:color w:val="000000" w:themeColor="text1"/>
          <w:sz w:val="22"/>
          <w:szCs w:val="22"/>
        </w:rPr>
        <w:t>В случае досрочного отзыва Вклада по требованию Вкладчика проценты по Вкладу начисляются и выплачиваются Вкладчику по ставке Вклада «Личный счет» (до востребования) исходя из фактического срока нахождения средств во Вкладе. При этом возможно уменьшение основной суммы Вклада за счет пересчета ранее выплаченных процентов.</w:t>
      </w:r>
    </w:p>
    <w:tbl>
      <w:tblPr>
        <w:tblW w:w="15206" w:type="dxa"/>
        <w:tblInd w:w="93" w:type="dxa"/>
        <w:tblLayout w:type="fixed"/>
        <w:tblLook w:val="04A0" w:firstRow="1" w:lastRow="0" w:firstColumn="1" w:lastColumn="0" w:noHBand="0" w:noVBand="1"/>
      </w:tblPr>
      <w:tblGrid>
        <w:gridCol w:w="2307"/>
        <w:gridCol w:w="1418"/>
        <w:gridCol w:w="1701"/>
        <w:gridCol w:w="1701"/>
        <w:gridCol w:w="1276"/>
        <w:gridCol w:w="1134"/>
        <w:gridCol w:w="1417"/>
        <w:gridCol w:w="1417"/>
        <w:gridCol w:w="1418"/>
        <w:gridCol w:w="1417"/>
      </w:tblGrid>
      <w:tr w:rsidR="00090437" w:rsidRPr="00090437" w14:paraId="3AA2CB3C" w14:textId="77777777" w:rsidTr="00090437">
        <w:trPr>
          <w:trHeight w:val="319"/>
        </w:trPr>
        <w:tc>
          <w:tcPr>
            <w:tcW w:w="2307" w:type="dxa"/>
            <w:vMerge w:val="restart"/>
            <w:tcBorders>
              <w:top w:val="single" w:sz="8" w:space="0" w:color="auto"/>
              <w:left w:val="single" w:sz="8" w:space="0" w:color="auto"/>
              <w:bottom w:val="single" w:sz="8" w:space="0" w:color="000000"/>
              <w:right w:val="nil"/>
            </w:tcBorders>
            <w:shd w:val="clear" w:color="auto" w:fill="auto"/>
            <w:vAlign w:val="center"/>
            <w:hideMark/>
          </w:tcPr>
          <w:p w14:paraId="69DCA095"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Ориентировочный сегмент</w:t>
            </w:r>
          </w:p>
        </w:tc>
        <w:tc>
          <w:tcPr>
            <w:tcW w:w="1418"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50096352"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Продукт</w:t>
            </w:r>
          </w:p>
        </w:tc>
        <w:tc>
          <w:tcPr>
            <w:tcW w:w="3402" w:type="dxa"/>
            <w:gridSpan w:val="2"/>
            <w:tcBorders>
              <w:top w:val="single" w:sz="8" w:space="0" w:color="auto"/>
              <w:left w:val="nil"/>
              <w:bottom w:val="single" w:sz="4" w:space="0" w:color="auto"/>
              <w:right w:val="single" w:sz="4" w:space="0" w:color="auto"/>
            </w:tcBorders>
            <w:shd w:val="clear" w:color="auto" w:fill="auto"/>
            <w:noWrap/>
            <w:vAlign w:val="center"/>
            <w:hideMark/>
          </w:tcPr>
          <w:p w14:paraId="13342FE9"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Базовые параметры вклада</w:t>
            </w:r>
          </w:p>
        </w:tc>
        <w:tc>
          <w:tcPr>
            <w:tcW w:w="8079" w:type="dxa"/>
            <w:gridSpan w:val="6"/>
            <w:tcBorders>
              <w:top w:val="single" w:sz="4" w:space="0" w:color="auto"/>
              <w:left w:val="nil"/>
              <w:bottom w:val="single" w:sz="4" w:space="0" w:color="auto"/>
              <w:right w:val="single" w:sz="4" w:space="0" w:color="auto"/>
            </w:tcBorders>
          </w:tcPr>
          <w:p w14:paraId="541EBF6E"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Процентные ставки* (% годовых) / Доход с учетом капитализации (% годовых) в зависимости от срока договора вклада*</w:t>
            </w:r>
          </w:p>
        </w:tc>
      </w:tr>
      <w:tr w:rsidR="00090437" w:rsidRPr="00090437" w14:paraId="4A9D9407" w14:textId="77777777" w:rsidTr="00090437">
        <w:trPr>
          <w:trHeight w:val="319"/>
        </w:trPr>
        <w:tc>
          <w:tcPr>
            <w:tcW w:w="2307" w:type="dxa"/>
            <w:vMerge/>
            <w:tcBorders>
              <w:top w:val="single" w:sz="8" w:space="0" w:color="auto"/>
              <w:left w:val="single" w:sz="8" w:space="0" w:color="auto"/>
              <w:bottom w:val="single" w:sz="8" w:space="0" w:color="000000"/>
              <w:right w:val="nil"/>
            </w:tcBorders>
            <w:vAlign w:val="center"/>
            <w:hideMark/>
          </w:tcPr>
          <w:p w14:paraId="125B8255" w14:textId="77777777" w:rsidR="00090437" w:rsidRPr="00090437" w:rsidRDefault="00090437" w:rsidP="00090437">
            <w:pPr>
              <w:rPr>
                <w:rFonts w:ascii="Tahoma" w:hAnsi="Tahoma" w:cs="Tahoma"/>
                <w:b/>
                <w:bCs/>
                <w:iCs/>
                <w:color w:val="000000" w:themeColor="text1"/>
                <w:sz w:val="20"/>
                <w:szCs w:val="20"/>
              </w:rPr>
            </w:pPr>
          </w:p>
        </w:tc>
        <w:tc>
          <w:tcPr>
            <w:tcW w:w="1418" w:type="dxa"/>
            <w:vMerge/>
            <w:tcBorders>
              <w:top w:val="single" w:sz="8" w:space="0" w:color="auto"/>
              <w:left w:val="single" w:sz="8" w:space="0" w:color="auto"/>
              <w:bottom w:val="single" w:sz="8" w:space="0" w:color="000000"/>
              <w:right w:val="single" w:sz="4" w:space="0" w:color="auto"/>
            </w:tcBorders>
            <w:vAlign w:val="center"/>
            <w:hideMark/>
          </w:tcPr>
          <w:p w14:paraId="5BA3BFEF" w14:textId="77777777" w:rsidR="00090437" w:rsidRPr="00090437" w:rsidRDefault="00090437" w:rsidP="00090437">
            <w:pPr>
              <w:rPr>
                <w:rFonts w:ascii="Tahoma" w:hAnsi="Tahoma" w:cs="Tahoma"/>
                <w:b/>
                <w:bCs/>
                <w:iCs/>
                <w:color w:val="000000" w:themeColor="text1"/>
                <w:sz w:val="20"/>
                <w:szCs w:val="20"/>
              </w:rPr>
            </w:pPr>
          </w:p>
        </w:tc>
        <w:tc>
          <w:tcPr>
            <w:tcW w:w="1701" w:type="dxa"/>
            <w:tcBorders>
              <w:top w:val="nil"/>
              <w:left w:val="nil"/>
              <w:bottom w:val="single" w:sz="8" w:space="0" w:color="auto"/>
              <w:right w:val="single" w:sz="4" w:space="0" w:color="auto"/>
            </w:tcBorders>
            <w:shd w:val="clear" w:color="auto" w:fill="auto"/>
            <w:noWrap/>
            <w:vAlign w:val="center"/>
            <w:hideMark/>
          </w:tcPr>
          <w:p w14:paraId="3407117C"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Валюта вклада</w:t>
            </w:r>
          </w:p>
        </w:tc>
        <w:tc>
          <w:tcPr>
            <w:tcW w:w="1701" w:type="dxa"/>
            <w:tcBorders>
              <w:top w:val="nil"/>
              <w:left w:val="nil"/>
              <w:bottom w:val="single" w:sz="8" w:space="0" w:color="auto"/>
              <w:right w:val="single" w:sz="4" w:space="0" w:color="auto"/>
            </w:tcBorders>
            <w:shd w:val="clear" w:color="auto" w:fill="auto"/>
            <w:noWrap/>
            <w:vAlign w:val="center"/>
            <w:hideMark/>
          </w:tcPr>
          <w:p w14:paraId="0E369DD6"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 xml:space="preserve">Минимальная сумма вклада </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6051E1C6"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92 дня</w:t>
            </w:r>
          </w:p>
        </w:tc>
        <w:tc>
          <w:tcPr>
            <w:tcW w:w="1134" w:type="dxa"/>
            <w:tcBorders>
              <w:top w:val="nil"/>
              <w:left w:val="single" w:sz="4" w:space="0" w:color="auto"/>
              <w:bottom w:val="single" w:sz="8" w:space="0" w:color="auto"/>
              <w:right w:val="single" w:sz="4" w:space="0" w:color="auto"/>
            </w:tcBorders>
            <w:shd w:val="clear" w:color="auto" w:fill="auto"/>
            <w:noWrap/>
            <w:vAlign w:val="center"/>
            <w:hideMark/>
          </w:tcPr>
          <w:p w14:paraId="404F4A43"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182 дня</w:t>
            </w:r>
          </w:p>
        </w:tc>
        <w:tc>
          <w:tcPr>
            <w:tcW w:w="1417" w:type="dxa"/>
            <w:tcBorders>
              <w:top w:val="nil"/>
              <w:left w:val="nil"/>
              <w:bottom w:val="single" w:sz="8" w:space="0" w:color="auto"/>
              <w:right w:val="single" w:sz="4" w:space="0" w:color="auto"/>
            </w:tcBorders>
            <w:shd w:val="clear" w:color="auto" w:fill="auto"/>
            <w:noWrap/>
            <w:vAlign w:val="center"/>
            <w:hideMark/>
          </w:tcPr>
          <w:p w14:paraId="3CE0C44E"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367 дней</w:t>
            </w:r>
          </w:p>
        </w:tc>
        <w:tc>
          <w:tcPr>
            <w:tcW w:w="1417" w:type="dxa"/>
            <w:tcBorders>
              <w:top w:val="nil"/>
              <w:left w:val="nil"/>
              <w:bottom w:val="single" w:sz="8" w:space="0" w:color="auto"/>
              <w:right w:val="single" w:sz="4" w:space="0" w:color="auto"/>
            </w:tcBorders>
            <w:shd w:val="clear" w:color="auto" w:fill="auto"/>
            <w:vAlign w:val="center"/>
          </w:tcPr>
          <w:p w14:paraId="15D7C79E"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500 дней</w:t>
            </w:r>
          </w:p>
        </w:tc>
        <w:tc>
          <w:tcPr>
            <w:tcW w:w="1418" w:type="dxa"/>
            <w:tcBorders>
              <w:top w:val="nil"/>
              <w:left w:val="nil"/>
              <w:bottom w:val="single" w:sz="8" w:space="0" w:color="auto"/>
              <w:right w:val="single" w:sz="4" w:space="0" w:color="auto"/>
            </w:tcBorders>
            <w:shd w:val="clear" w:color="auto" w:fill="auto"/>
            <w:noWrap/>
            <w:vAlign w:val="center"/>
            <w:hideMark/>
          </w:tcPr>
          <w:p w14:paraId="1211C5BA"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731 день</w:t>
            </w:r>
          </w:p>
        </w:tc>
        <w:tc>
          <w:tcPr>
            <w:tcW w:w="1417" w:type="dxa"/>
            <w:tcBorders>
              <w:top w:val="nil"/>
              <w:left w:val="nil"/>
              <w:bottom w:val="single" w:sz="8" w:space="0" w:color="auto"/>
              <w:right w:val="single" w:sz="4" w:space="0" w:color="auto"/>
            </w:tcBorders>
            <w:shd w:val="clear" w:color="auto" w:fill="auto"/>
            <w:noWrap/>
            <w:vAlign w:val="center"/>
            <w:hideMark/>
          </w:tcPr>
          <w:p w14:paraId="4EDB356E"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1098 дней</w:t>
            </w:r>
          </w:p>
        </w:tc>
      </w:tr>
      <w:tr w:rsidR="00090437" w:rsidRPr="00090437" w14:paraId="743991E8" w14:textId="77777777" w:rsidTr="00090437">
        <w:trPr>
          <w:trHeight w:val="60"/>
        </w:trPr>
        <w:tc>
          <w:tcPr>
            <w:tcW w:w="2307" w:type="dxa"/>
            <w:vMerge w:val="restart"/>
            <w:tcBorders>
              <w:top w:val="nil"/>
              <w:left w:val="single" w:sz="8" w:space="0" w:color="auto"/>
              <w:right w:val="nil"/>
            </w:tcBorders>
            <w:shd w:val="clear" w:color="auto" w:fill="auto"/>
            <w:vAlign w:val="center"/>
            <w:hideMark/>
          </w:tcPr>
          <w:p w14:paraId="1A44ACEF" w14:textId="77777777" w:rsidR="00090437" w:rsidRPr="00090437" w:rsidRDefault="00090437" w:rsidP="00090437">
            <w:pPr>
              <w:jc w:val="center"/>
              <w:rPr>
                <w:rFonts w:ascii="Tahoma" w:hAnsi="Tahoma" w:cs="Tahoma"/>
                <w:bCs/>
                <w:iCs/>
                <w:color w:val="000000" w:themeColor="text1"/>
                <w:sz w:val="20"/>
                <w:szCs w:val="20"/>
              </w:rPr>
            </w:pPr>
            <w:r w:rsidRPr="00090437">
              <w:rPr>
                <w:rFonts w:ascii="Tahoma" w:hAnsi="Tahoma" w:cs="Tahoma"/>
                <w:bCs/>
                <w:iCs/>
                <w:color w:val="000000" w:themeColor="text1"/>
                <w:sz w:val="20"/>
                <w:szCs w:val="20"/>
              </w:rPr>
              <w:t>Все категории клиентов</w:t>
            </w:r>
          </w:p>
        </w:tc>
        <w:tc>
          <w:tcPr>
            <w:tcW w:w="1418" w:type="dxa"/>
            <w:vMerge w:val="restart"/>
            <w:tcBorders>
              <w:top w:val="nil"/>
              <w:left w:val="single" w:sz="8" w:space="0" w:color="auto"/>
              <w:right w:val="single" w:sz="4" w:space="0" w:color="auto"/>
            </w:tcBorders>
            <w:shd w:val="clear" w:color="000000" w:fill="FFC000"/>
            <w:vAlign w:val="center"/>
            <w:hideMark/>
          </w:tcPr>
          <w:p w14:paraId="57AAFEE0" w14:textId="77777777" w:rsidR="00090437" w:rsidRPr="00090437" w:rsidRDefault="00090437" w:rsidP="00090437">
            <w:pPr>
              <w:jc w:val="center"/>
              <w:rPr>
                <w:rFonts w:ascii="Tahoma" w:hAnsi="Tahoma" w:cs="Tahoma"/>
                <w:bCs/>
                <w:iCs/>
                <w:color w:val="000000" w:themeColor="text1"/>
                <w:sz w:val="20"/>
                <w:szCs w:val="20"/>
              </w:rPr>
            </w:pPr>
            <w:r w:rsidRPr="00090437">
              <w:rPr>
                <w:rFonts w:ascii="Tahoma" w:hAnsi="Tahoma" w:cs="Tahoma"/>
                <w:bCs/>
                <w:iCs/>
                <w:color w:val="000000" w:themeColor="text1"/>
                <w:sz w:val="20"/>
                <w:szCs w:val="20"/>
              </w:rPr>
              <w:t>Сохрани+</w:t>
            </w:r>
          </w:p>
        </w:tc>
        <w:tc>
          <w:tcPr>
            <w:tcW w:w="1701" w:type="dxa"/>
            <w:tcBorders>
              <w:top w:val="nil"/>
              <w:left w:val="nil"/>
              <w:bottom w:val="single" w:sz="4" w:space="0" w:color="auto"/>
              <w:right w:val="single" w:sz="4" w:space="0" w:color="auto"/>
            </w:tcBorders>
            <w:shd w:val="clear" w:color="auto" w:fill="auto"/>
            <w:noWrap/>
            <w:vAlign w:val="center"/>
            <w:hideMark/>
          </w:tcPr>
          <w:p w14:paraId="5600BE1A" w14:textId="77777777" w:rsidR="00090437" w:rsidRPr="00090437" w:rsidRDefault="00090437" w:rsidP="00090437">
            <w:pPr>
              <w:jc w:val="center"/>
              <w:rPr>
                <w:rFonts w:ascii="Tahoma" w:hAnsi="Tahoma" w:cs="Tahoma"/>
                <w:bCs/>
                <w:iCs/>
                <w:color w:val="000000" w:themeColor="text1"/>
                <w:sz w:val="20"/>
                <w:szCs w:val="20"/>
              </w:rPr>
            </w:pPr>
            <w:r w:rsidRPr="00090437">
              <w:rPr>
                <w:rFonts w:ascii="Tahoma" w:hAnsi="Tahoma" w:cs="Tahoma"/>
                <w:bCs/>
                <w:iCs/>
                <w:color w:val="000000" w:themeColor="text1"/>
                <w:sz w:val="20"/>
                <w:szCs w:val="20"/>
              </w:rPr>
              <w:t>рубли</w:t>
            </w:r>
          </w:p>
        </w:tc>
        <w:tc>
          <w:tcPr>
            <w:tcW w:w="1701" w:type="dxa"/>
            <w:tcBorders>
              <w:top w:val="nil"/>
              <w:left w:val="nil"/>
              <w:bottom w:val="single" w:sz="4" w:space="0" w:color="auto"/>
              <w:right w:val="single" w:sz="4" w:space="0" w:color="auto"/>
            </w:tcBorders>
            <w:shd w:val="clear" w:color="auto" w:fill="auto"/>
            <w:noWrap/>
            <w:vAlign w:val="center"/>
            <w:hideMark/>
          </w:tcPr>
          <w:p w14:paraId="7589C668" w14:textId="77777777" w:rsidR="00090437" w:rsidRPr="00090437" w:rsidRDefault="00090437" w:rsidP="00090437">
            <w:pPr>
              <w:jc w:val="center"/>
              <w:rPr>
                <w:rFonts w:ascii="Tahoma" w:hAnsi="Tahoma" w:cs="Tahoma"/>
                <w:bCs/>
                <w:iCs/>
                <w:color w:val="000000" w:themeColor="text1"/>
                <w:sz w:val="20"/>
                <w:szCs w:val="20"/>
              </w:rPr>
            </w:pPr>
            <w:r w:rsidRPr="00090437">
              <w:rPr>
                <w:rFonts w:ascii="Tahoma" w:hAnsi="Tahoma" w:cs="Tahoma"/>
                <w:bCs/>
                <w:iCs/>
                <w:color w:val="000000" w:themeColor="text1"/>
                <w:sz w:val="20"/>
                <w:szCs w:val="20"/>
              </w:rPr>
              <w:t>5 000</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418D7140"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5,770/ 5,798</w:t>
            </w:r>
          </w:p>
        </w:tc>
        <w:tc>
          <w:tcPr>
            <w:tcW w:w="1134" w:type="dxa"/>
            <w:tcBorders>
              <w:top w:val="nil"/>
              <w:left w:val="single" w:sz="4" w:space="0" w:color="auto"/>
              <w:bottom w:val="single" w:sz="4" w:space="0" w:color="auto"/>
              <w:right w:val="single" w:sz="4" w:space="0" w:color="auto"/>
            </w:tcBorders>
            <w:shd w:val="clear" w:color="auto" w:fill="auto"/>
            <w:noWrap/>
            <w:vAlign w:val="center"/>
          </w:tcPr>
          <w:p w14:paraId="6A3E8C9F"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5,000/ 5,052</w:t>
            </w:r>
          </w:p>
        </w:tc>
        <w:tc>
          <w:tcPr>
            <w:tcW w:w="1417" w:type="dxa"/>
            <w:tcBorders>
              <w:top w:val="nil"/>
              <w:left w:val="nil"/>
              <w:bottom w:val="single" w:sz="4" w:space="0" w:color="auto"/>
              <w:right w:val="single" w:sz="4" w:space="0" w:color="auto"/>
            </w:tcBorders>
            <w:shd w:val="clear" w:color="auto" w:fill="auto"/>
            <w:noWrap/>
            <w:vAlign w:val="center"/>
          </w:tcPr>
          <w:p w14:paraId="7CA5B0EF"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5,000/ 5,117</w:t>
            </w:r>
          </w:p>
        </w:tc>
        <w:tc>
          <w:tcPr>
            <w:tcW w:w="1417" w:type="dxa"/>
            <w:tcBorders>
              <w:top w:val="nil"/>
              <w:left w:val="nil"/>
              <w:bottom w:val="single" w:sz="4" w:space="0" w:color="auto"/>
              <w:right w:val="single" w:sz="4" w:space="0" w:color="auto"/>
            </w:tcBorders>
            <w:shd w:val="clear" w:color="auto" w:fill="auto"/>
            <w:vAlign w:val="center"/>
          </w:tcPr>
          <w:p w14:paraId="7B81C6B8"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5,690/ 5,903</w:t>
            </w:r>
          </w:p>
        </w:tc>
        <w:tc>
          <w:tcPr>
            <w:tcW w:w="1418" w:type="dxa"/>
            <w:tcBorders>
              <w:top w:val="nil"/>
              <w:left w:val="nil"/>
              <w:bottom w:val="single" w:sz="4" w:space="0" w:color="auto"/>
              <w:right w:val="single" w:sz="4" w:space="0" w:color="auto"/>
            </w:tcBorders>
            <w:shd w:val="clear" w:color="auto" w:fill="auto"/>
            <w:noWrap/>
            <w:vAlign w:val="center"/>
          </w:tcPr>
          <w:p w14:paraId="3CB17176"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5,590/ 5,900</w:t>
            </w:r>
          </w:p>
        </w:tc>
        <w:tc>
          <w:tcPr>
            <w:tcW w:w="1417" w:type="dxa"/>
            <w:tcBorders>
              <w:top w:val="nil"/>
              <w:left w:val="nil"/>
              <w:bottom w:val="single" w:sz="4" w:space="0" w:color="auto"/>
              <w:right w:val="single" w:sz="4" w:space="0" w:color="auto"/>
            </w:tcBorders>
            <w:shd w:val="clear" w:color="auto" w:fill="auto"/>
            <w:noWrap/>
            <w:vAlign w:val="center"/>
          </w:tcPr>
          <w:p w14:paraId="7E5A9601"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5,440/ 5,896</w:t>
            </w:r>
          </w:p>
        </w:tc>
      </w:tr>
      <w:tr w:rsidR="00090437" w:rsidRPr="00090437" w14:paraId="19DF9374" w14:textId="77777777" w:rsidTr="00090437">
        <w:trPr>
          <w:trHeight w:val="78"/>
        </w:trPr>
        <w:tc>
          <w:tcPr>
            <w:tcW w:w="2307" w:type="dxa"/>
            <w:vMerge/>
            <w:tcBorders>
              <w:left w:val="single" w:sz="8" w:space="0" w:color="auto"/>
              <w:bottom w:val="single" w:sz="4" w:space="0" w:color="auto"/>
              <w:right w:val="nil"/>
            </w:tcBorders>
            <w:vAlign w:val="center"/>
          </w:tcPr>
          <w:p w14:paraId="5F9F60B3" w14:textId="77777777" w:rsidR="00090437" w:rsidRPr="00090437" w:rsidRDefault="00090437" w:rsidP="00090437">
            <w:pPr>
              <w:rPr>
                <w:rFonts w:ascii="Tahoma" w:hAnsi="Tahoma" w:cs="Tahoma"/>
                <w:bCs/>
                <w:iCs/>
                <w:color w:val="000000" w:themeColor="text1"/>
                <w:sz w:val="20"/>
                <w:szCs w:val="20"/>
              </w:rPr>
            </w:pPr>
          </w:p>
        </w:tc>
        <w:tc>
          <w:tcPr>
            <w:tcW w:w="1418" w:type="dxa"/>
            <w:vMerge/>
            <w:tcBorders>
              <w:left w:val="single" w:sz="8" w:space="0" w:color="auto"/>
              <w:right w:val="single" w:sz="4" w:space="0" w:color="auto"/>
            </w:tcBorders>
            <w:vAlign w:val="center"/>
          </w:tcPr>
          <w:p w14:paraId="004D90C4" w14:textId="77777777" w:rsidR="00090437" w:rsidRPr="00090437" w:rsidRDefault="00090437" w:rsidP="00090437">
            <w:pPr>
              <w:rPr>
                <w:rFonts w:ascii="Tahoma" w:hAnsi="Tahoma" w:cs="Tahoma"/>
                <w:bCs/>
                <w:iCs/>
                <w:color w:val="000000" w:themeColor="text1"/>
                <w:sz w:val="20"/>
                <w:szCs w:val="20"/>
              </w:rPr>
            </w:pPr>
          </w:p>
        </w:tc>
        <w:tc>
          <w:tcPr>
            <w:tcW w:w="1701" w:type="dxa"/>
            <w:tcBorders>
              <w:top w:val="single" w:sz="4" w:space="0" w:color="auto"/>
              <w:left w:val="nil"/>
              <w:bottom w:val="nil"/>
              <w:right w:val="single" w:sz="4" w:space="0" w:color="auto"/>
            </w:tcBorders>
            <w:shd w:val="clear" w:color="auto" w:fill="auto"/>
            <w:noWrap/>
            <w:vAlign w:val="center"/>
          </w:tcPr>
          <w:p w14:paraId="3AB76B99"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китайский юань</w:t>
            </w:r>
          </w:p>
        </w:tc>
        <w:tc>
          <w:tcPr>
            <w:tcW w:w="1701" w:type="dxa"/>
            <w:tcBorders>
              <w:top w:val="nil"/>
              <w:left w:val="nil"/>
              <w:bottom w:val="single" w:sz="8" w:space="0" w:color="auto"/>
              <w:right w:val="single" w:sz="4" w:space="0" w:color="auto"/>
            </w:tcBorders>
            <w:shd w:val="clear" w:color="auto" w:fill="auto"/>
            <w:noWrap/>
            <w:vAlign w:val="center"/>
          </w:tcPr>
          <w:p w14:paraId="29A78F7F"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700</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1C38C4DE"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1,400/ 1,402</w:t>
            </w:r>
          </w:p>
        </w:tc>
        <w:tc>
          <w:tcPr>
            <w:tcW w:w="1134" w:type="dxa"/>
            <w:tcBorders>
              <w:top w:val="nil"/>
              <w:left w:val="single" w:sz="4" w:space="0" w:color="auto"/>
              <w:bottom w:val="single" w:sz="8" w:space="0" w:color="auto"/>
              <w:right w:val="single" w:sz="4" w:space="0" w:color="auto"/>
            </w:tcBorders>
            <w:shd w:val="clear" w:color="auto" w:fill="auto"/>
            <w:noWrap/>
            <w:vAlign w:val="center"/>
          </w:tcPr>
          <w:p w14:paraId="48E5484C"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1,600/ 1,605</w:t>
            </w:r>
          </w:p>
        </w:tc>
        <w:tc>
          <w:tcPr>
            <w:tcW w:w="1417" w:type="dxa"/>
            <w:tcBorders>
              <w:top w:val="nil"/>
              <w:left w:val="nil"/>
              <w:bottom w:val="single" w:sz="8" w:space="0" w:color="auto"/>
              <w:right w:val="single" w:sz="4" w:space="0" w:color="auto"/>
            </w:tcBorders>
            <w:shd w:val="clear" w:color="auto" w:fill="auto"/>
            <w:noWrap/>
            <w:vAlign w:val="center"/>
          </w:tcPr>
          <w:p w14:paraId="1F1368AC"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1,800/ 1,815</w:t>
            </w:r>
          </w:p>
        </w:tc>
        <w:tc>
          <w:tcPr>
            <w:tcW w:w="1417" w:type="dxa"/>
            <w:tcBorders>
              <w:top w:val="nil"/>
              <w:left w:val="nil"/>
              <w:bottom w:val="single" w:sz="8" w:space="0" w:color="auto"/>
              <w:right w:val="single" w:sz="4" w:space="0" w:color="auto"/>
            </w:tcBorders>
            <w:shd w:val="clear" w:color="auto" w:fill="auto"/>
            <w:vAlign w:val="center"/>
          </w:tcPr>
          <w:p w14:paraId="46A358E3"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1,700/ 1,719</w:t>
            </w:r>
          </w:p>
        </w:tc>
        <w:tc>
          <w:tcPr>
            <w:tcW w:w="1418" w:type="dxa"/>
            <w:tcBorders>
              <w:top w:val="nil"/>
              <w:left w:val="nil"/>
              <w:bottom w:val="single" w:sz="8" w:space="0" w:color="auto"/>
              <w:right w:val="single" w:sz="4" w:space="0" w:color="auto"/>
            </w:tcBorders>
            <w:shd w:val="clear" w:color="auto" w:fill="auto"/>
            <w:noWrap/>
            <w:vAlign w:val="center"/>
          </w:tcPr>
          <w:p w14:paraId="0395E478"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1,700/ 1,728</w:t>
            </w:r>
          </w:p>
        </w:tc>
        <w:tc>
          <w:tcPr>
            <w:tcW w:w="1417" w:type="dxa"/>
            <w:tcBorders>
              <w:top w:val="nil"/>
              <w:left w:val="nil"/>
              <w:bottom w:val="single" w:sz="8" w:space="0" w:color="auto"/>
              <w:right w:val="single" w:sz="4" w:space="0" w:color="auto"/>
            </w:tcBorders>
            <w:shd w:val="clear" w:color="auto" w:fill="auto"/>
            <w:noWrap/>
            <w:vAlign w:val="center"/>
          </w:tcPr>
          <w:p w14:paraId="286A8791"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1,600/ 1,638</w:t>
            </w:r>
          </w:p>
        </w:tc>
      </w:tr>
      <w:tr w:rsidR="00090437" w:rsidRPr="00090437" w14:paraId="4B17DDD8" w14:textId="77777777" w:rsidTr="00090437">
        <w:trPr>
          <w:trHeight w:val="86"/>
        </w:trPr>
        <w:tc>
          <w:tcPr>
            <w:tcW w:w="2307" w:type="dxa"/>
            <w:tcBorders>
              <w:top w:val="single" w:sz="8" w:space="0" w:color="auto"/>
              <w:left w:val="single" w:sz="8" w:space="0" w:color="auto"/>
              <w:bottom w:val="single" w:sz="4" w:space="0" w:color="auto"/>
              <w:right w:val="nil"/>
            </w:tcBorders>
            <w:shd w:val="clear" w:color="auto" w:fill="auto"/>
            <w:vAlign w:val="center"/>
            <w:hideMark/>
          </w:tcPr>
          <w:p w14:paraId="31289173" w14:textId="77777777" w:rsidR="00090437" w:rsidRPr="00090437" w:rsidRDefault="00090437" w:rsidP="00090437">
            <w:pPr>
              <w:jc w:val="center"/>
              <w:rPr>
                <w:rFonts w:ascii="Tahoma" w:hAnsi="Tahoma" w:cs="Tahoma"/>
                <w:bCs/>
                <w:iCs/>
                <w:color w:val="000000" w:themeColor="text1"/>
                <w:sz w:val="20"/>
                <w:szCs w:val="20"/>
              </w:rPr>
            </w:pPr>
            <w:r w:rsidRPr="00090437">
              <w:rPr>
                <w:rFonts w:ascii="Tahoma" w:hAnsi="Tahoma" w:cs="Tahoma"/>
                <w:bCs/>
                <w:iCs/>
                <w:color w:val="000000" w:themeColor="text1"/>
                <w:sz w:val="20"/>
                <w:szCs w:val="20"/>
              </w:rPr>
              <w:t>Льготная категория*</w:t>
            </w:r>
          </w:p>
        </w:tc>
        <w:tc>
          <w:tcPr>
            <w:tcW w:w="1418" w:type="dxa"/>
            <w:vMerge/>
            <w:tcBorders>
              <w:left w:val="single" w:sz="8" w:space="0" w:color="auto"/>
              <w:right w:val="single" w:sz="4" w:space="0" w:color="auto"/>
            </w:tcBorders>
            <w:vAlign w:val="center"/>
            <w:hideMark/>
          </w:tcPr>
          <w:p w14:paraId="7C60A71D" w14:textId="77777777" w:rsidR="00090437" w:rsidRPr="00090437" w:rsidRDefault="00090437" w:rsidP="00090437">
            <w:pPr>
              <w:rPr>
                <w:rFonts w:ascii="Tahoma" w:hAnsi="Tahoma" w:cs="Tahoma"/>
                <w:bCs/>
                <w:iCs/>
                <w:color w:val="000000" w:themeColor="text1"/>
                <w:sz w:val="20"/>
                <w:szCs w:val="20"/>
              </w:rPr>
            </w:pPr>
          </w:p>
        </w:tc>
        <w:tc>
          <w:tcPr>
            <w:tcW w:w="1701" w:type="dxa"/>
            <w:tcBorders>
              <w:top w:val="single" w:sz="8" w:space="0" w:color="auto"/>
              <w:left w:val="nil"/>
              <w:bottom w:val="single" w:sz="4" w:space="0" w:color="auto"/>
              <w:right w:val="single" w:sz="4" w:space="0" w:color="auto"/>
            </w:tcBorders>
            <w:shd w:val="clear" w:color="auto" w:fill="auto"/>
            <w:noWrap/>
            <w:vAlign w:val="center"/>
            <w:hideMark/>
          </w:tcPr>
          <w:p w14:paraId="22F80889"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рубли</w:t>
            </w:r>
          </w:p>
        </w:tc>
        <w:tc>
          <w:tcPr>
            <w:tcW w:w="1701" w:type="dxa"/>
            <w:tcBorders>
              <w:top w:val="nil"/>
              <w:left w:val="nil"/>
              <w:bottom w:val="single" w:sz="4" w:space="0" w:color="auto"/>
              <w:right w:val="single" w:sz="4" w:space="0" w:color="auto"/>
            </w:tcBorders>
            <w:shd w:val="clear" w:color="auto" w:fill="auto"/>
            <w:noWrap/>
            <w:vAlign w:val="center"/>
            <w:hideMark/>
          </w:tcPr>
          <w:p w14:paraId="206C3322"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5 000</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71F25E24"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5,970/ 6,000</w:t>
            </w:r>
          </w:p>
        </w:tc>
        <w:tc>
          <w:tcPr>
            <w:tcW w:w="1134" w:type="dxa"/>
            <w:tcBorders>
              <w:top w:val="nil"/>
              <w:left w:val="single" w:sz="4" w:space="0" w:color="auto"/>
              <w:bottom w:val="single" w:sz="4" w:space="0" w:color="auto"/>
              <w:right w:val="single" w:sz="4" w:space="0" w:color="auto"/>
            </w:tcBorders>
            <w:shd w:val="clear" w:color="auto" w:fill="auto"/>
            <w:noWrap/>
            <w:vAlign w:val="center"/>
          </w:tcPr>
          <w:p w14:paraId="7A126D28"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5,190/ 5,246</w:t>
            </w:r>
          </w:p>
        </w:tc>
        <w:tc>
          <w:tcPr>
            <w:tcW w:w="1417" w:type="dxa"/>
            <w:tcBorders>
              <w:top w:val="nil"/>
              <w:left w:val="nil"/>
              <w:bottom w:val="single" w:sz="4" w:space="0" w:color="auto"/>
              <w:right w:val="single" w:sz="4" w:space="0" w:color="auto"/>
            </w:tcBorders>
            <w:shd w:val="clear" w:color="auto" w:fill="auto"/>
            <w:noWrap/>
            <w:vAlign w:val="center"/>
          </w:tcPr>
          <w:p w14:paraId="2FF28EE5"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5,250/ 5,379</w:t>
            </w:r>
          </w:p>
        </w:tc>
        <w:tc>
          <w:tcPr>
            <w:tcW w:w="1417" w:type="dxa"/>
            <w:tcBorders>
              <w:top w:val="nil"/>
              <w:left w:val="nil"/>
              <w:bottom w:val="single" w:sz="4" w:space="0" w:color="auto"/>
              <w:right w:val="single" w:sz="4" w:space="0" w:color="auto"/>
            </w:tcBorders>
            <w:shd w:val="clear" w:color="auto" w:fill="auto"/>
            <w:vAlign w:val="center"/>
          </w:tcPr>
          <w:p w14:paraId="0760A84F"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5,870/ 6,097</w:t>
            </w:r>
          </w:p>
        </w:tc>
        <w:tc>
          <w:tcPr>
            <w:tcW w:w="1418" w:type="dxa"/>
            <w:tcBorders>
              <w:top w:val="nil"/>
              <w:left w:val="nil"/>
              <w:bottom w:val="single" w:sz="4" w:space="0" w:color="auto"/>
              <w:right w:val="single" w:sz="4" w:space="0" w:color="auto"/>
            </w:tcBorders>
            <w:shd w:val="clear" w:color="auto" w:fill="auto"/>
            <w:noWrap/>
            <w:vAlign w:val="center"/>
          </w:tcPr>
          <w:p w14:paraId="22258C42"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5,770/ 6,101</w:t>
            </w:r>
          </w:p>
        </w:tc>
        <w:tc>
          <w:tcPr>
            <w:tcW w:w="1417" w:type="dxa"/>
            <w:tcBorders>
              <w:top w:val="nil"/>
              <w:left w:val="nil"/>
              <w:bottom w:val="single" w:sz="4" w:space="0" w:color="auto"/>
              <w:right w:val="single" w:sz="4" w:space="0" w:color="auto"/>
            </w:tcBorders>
            <w:shd w:val="clear" w:color="auto" w:fill="auto"/>
            <w:noWrap/>
            <w:vAlign w:val="center"/>
          </w:tcPr>
          <w:p w14:paraId="1582843D"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5,610/ 6,096</w:t>
            </w:r>
          </w:p>
        </w:tc>
      </w:tr>
      <w:tr w:rsidR="00090437" w:rsidRPr="00090437" w14:paraId="161317B2" w14:textId="77777777" w:rsidTr="00090437">
        <w:trPr>
          <w:trHeight w:val="132"/>
        </w:trPr>
        <w:tc>
          <w:tcPr>
            <w:tcW w:w="2307" w:type="dxa"/>
            <w:tcBorders>
              <w:top w:val="single" w:sz="4" w:space="0" w:color="auto"/>
              <w:left w:val="single" w:sz="8" w:space="0" w:color="auto"/>
              <w:bottom w:val="single" w:sz="4" w:space="0" w:color="auto"/>
              <w:right w:val="nil"/>
            </w:tcBorders>
            <w:shd w:val="clear" w:color="auto" w:fill="auto"/>
            <w:vAlign w:val="center"/>
            <w:hideMark/>
          </w:tcPr>
          <w:p w14:paraId="6DA67E75" w14:textId="77777777" w:rsidR="00090437" w:rsidRPr="00090437" w:rsidRDefault="00090437" w:rsidP="00090437">
            <w:pPr>
              <w:jc w:val="center"/>
              <w:rPr>
                <w:rFonts w:ascii="Tahoma" w:hAnsi="Tahoma" w:cs="Tahoma"/>
                <w:bCs/>
                <w:iCs/>
                <w:color w:val="000000" w:themeColor="text1"/>
                <w:sz w:val="20"/>
                <w:szCs w:val="20"/>
              </w:rPr>
            </w:pPr>
            <w:r w:rsidRPr="00090437">
              <w:rPr>
                <w:rFonts w:ascii="Tahoma" w:hAnsi="Tahoma" w:cs="Tahoma"/>
                <w:bCs/>
                <w:iCs/>
                <w:color w:val="000000" w:themeColor="text1"/>
                <w:sz w:val="20"/>
                <w:szCs w:val="20"/>
              </w:rPr>
              <w:t>Статус**</w:t>
            </w:r>
          </w:p>
        </w:tc>
        <w:tc>
          <w:tcPr>
            <w:tcW w:w="1418" w:type="dxa"/>
            <w:vMerge/>
            <w:tcBorders>
              <w:left w:val="single" w:sz="8" w:space="0" w:color="auto"/>
              <w:bottom w:val="single" w:sz="4" w:space="0" w:color="auto"/>
              <w:right w:val="single" w:sz="4" w:space="0" w:color="auto"/>
            </w:tcBorders>
            <w:vAlign w:val="center"/>
            <w:hideMark/>
          </w:tcPr>
          <w:p w14:paraId="274E4A4A" w14:textId="77777777" w:rsidR="00090437" w:rsidRPr="00090437" w:rsidRDefault="00090437" w:rsidP="00090437">
            <w:pPr>
              <w:rPr>
                <w:rFonts w:ascii="Tahoma" w:hAnsi="Tahoma" w:cs="Tahoma"/>
                <w:bCs/>
                <w:iCs/>
                <w:color w:val="000000" w:themeColor="text1"/>
                <w:sz w:val="20"/>
                <w:szCs w:val="20"/>
              </w:rPr>
            </w:pPr>
          </w:p>
        </w:tc>
        <w:tc>
          <w:tcPr>
            <w:tcW w:w="1701" w:type="dxa"/>
            <w:tcBorders>
              <w:top w:val="single" w:sz="8" w:space="0" w:color="auto"/>
              <w:left w:val="nil"/>
              <w:bottom w:val="single" w:sz="4" w:space="0" w:color="auto"/>
              <w:right w:val="single" w:sz="4" w:space="0" w:color="auto"/>
            </w:tcBorders>
            <w:shd w:val="clear" w:color="auto" w:fill="auto"/>
            <w:noWrap/>
            <w:vAlign w:val="center"/>
            <w:hideMark/>
          </w:tcPr>
          <w:p w14:paraId="0184AF0F"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рубли</w:t>
            </w:r>
          </w:p>
        </w:tc>
        <w:tc>
          <w:tcPr>
            <w:tcW w:w="1701" w:type="dxa"/>
            <w:tcBorders>
              <w:top w:val="nil"/>
              <w:left w:val="nil"/>
              <w:bottom w:val="single" w:sz="4" w:space="0" w:color="auto"/>
              <w:right w:val="single" w:sz="4" w:space="0" w:color="auto"/>
            </w:tcBorders>
            <w:shd w:val="clear" w:color="auto" w:fill="auto"/>
            <w:noWrap/>
            <w:vAlign w:val="center"/>
            <w:hideMark/>
          </w:tcPr>
          <w:p w14:paraId="5A3C9270"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3 000 000</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60CAB12C"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5,970/ 6,000</w:t>
            </w:r>
          </w:p>
        </w:tc>
        <w:tc>
          <w:tcPr>
            <w:tcW w:w="1134" w:type="dxa"/>
            <w:tcBorders>
              <w:top w:val="nil"/>
              <w:left w:val="single" w:sz="4" w:space="0" w:color="auto"/>
              <w:bottom w:val="single" w:sz="4" w:space="0" w:color="auto"/>
              <w:right w:val="single" w:sz="4" w:space="0" w:color="auto"/>
            </w:tcBorders>
            <w:shd w:val="clear" w:color="auto" w:fill="auto"/>
            <w:noWrap/>
            <w:vAlign w:val="center"/>
          </w:tcPr>
          <w:p w14:paraId="5AFBCC29"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5,190/ 5,246</w:t>
            </w:r>
          </w:p>
        </w:tc>
        <w:tc>
          <w:tcPr>
            <w:tcW w:w="1417" w:type="dxa"/>
            <w:tcBorders>
              <w:top w:val="nil"/>
              <w:left w:val="nil"/>
              <w:bottom w:val="single" w:sz="4" w:space="0" w:color="auto"/>
              <w:right w:val="single" w:sz="4" w:space="0" w:color="auto"/>
            </w:tcBorders>
            <w:shd w:val="clear" w:color="auto" w:fill="auto"/>
            <w:noWrap/>
            <w:vAlign w:val="center"/>
          </w:tcPr>
          <w:p w14:paraId="08D41F4F"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5,250/ 5,379</w:t>
            </w:r>
          </w:p>
        </w:tc>
        <w:tc>
          <w:tcPr>
            <w:tcW w:w="1417" w:type="dxa"/>
            <w:tcBorders>
              <w:top w:val="nil"/>
              <w:left w:val="nil"/>
              <w:bottom w:val="single" w:sz="4" w:space="0" w:color="auto"/>
              <w:right w:val="single" w:sz="4" w:space="0" w:color="auto"/>
            </w:tcBorders>
            <w:shd w:val="clear" w:color="auto" w:fill="auto"/>
            <w:vAlign w:val="center"/>
          </w:tcPr>
          <w:p w14:paraId="4CC1C814"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5,870/ 6,097</w:t>
            </w:r>
          </w:p>
        </w:tc>
        <w:tc>
          <w:tcPr>
            <w:tcW w:w="1418" w:type="dxa"/>
            <w:tcBorders>
              <w:top w:val="nil"/>
              <w:left w:val="nil"/>
              <w:bottom w:val="single" w:sz="4" w:space="0" w:color="auto"/>
              <w:right w:val="single" w:sz="4" w:space="0" w:color="auto"/>
            </w:tcBorders>
            <w:shd w:val="clear" w:color="auto" w:fill="auto"/>
            <w:noWrap/>
            <w:vAlign w:val="center"/>
          </w:tcPr>
          <w:p w14:paraId="412591D0"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5,770/ 6,101</w:t>
            </w:r>
          </w:p>
        </w:tc>
        <w:tc>
          <w:tcPr>
            <w:tcW w:w="1417" w:type="dxa"/>
            <w:tcBorders>
              <w:top w:val="nil"/>
              <w:left w:val="nil"/>
              <w:bottom w:val="single" w:sz="4" w:space="0" w:color="auto"/>
              <w:right w:val="single" w:sz="4" w:space="0" w:color="auto"/>
            </w:tcBorders>
            <w:shd w:val="clear" w:color="auto" w:fill="auto"/>
            <w:noWrap/>
            <w:vAlign w:val="center"/>
          </w:tcPr>
          <w:p w14:paraId="5957BDA4" w14:textId="77777777" w:rsidR="00090437" w:rsidRPr="00090437" w:rsidRDefault="00090437" w:rsidP="00090437">
            <w:pPr>
              <w:jc w:val="center"/>
              <w:rPr>
                <w:rFonts w:ascii="Tahoma" w:hAnsi="Tahoma" w:cs="Tahoma"/>
                <w:color w:val="000000"/>
                <w:sz w:val="20"/>
                <w:szCs w:val="20"/>
              </w:rPr>
            </w:pPr>
            <w:r w:rsidRPr="00090437">
              <w:rPr>
                <w:rFonts w:ascii="Tahoma" w:hAnsi="Tahoma" w:cs="Tahoma"/>
                <w:color w:val="000000"/>
                <w:sz w:val="20"/>
                <w:szCs w:val="20"/>
              </w:rPr>
              <w:t>5,610/ 6,096</w:t>
            </w:r>
          </w:p>
        </w:tc>
      </w:tr>
    </w:tbl>
    <w:p w14:paraId="7580B657" w14:textId="77777777" w:rsidR="00090437" w:rsidRPr="00090437" w:rsidRDefault="00090437" w:rsidP="00090437">
      <w:pPr>
        <w:tabs>
          <w:tab w:val="left" w:pos="851"/>
        </w:tabs>
        <w:rPr>
          <w:rFonts w:ascii="Tahoma" w:hAnsi="Tahoma" w:cs="Tahoma"/>
          <w:b/>
          <w:bCs/>
          <w:iCs/>
          <w:color w:val="E36C0A"/>
          <w:sz w:val="22"/>
          <w:szCs w:val="22"/>
        </w:rPr>
      </w:pPr>
    </w:p>
    <w:p w14:paraId="65E02E06" w14:textId="77777777" w:rsidR="00090437" w:rsidRPr="00090437" w:rsidRDefault="00090437" w:rsidP="00090437">
      <w:pPr>
        <w:tabs>
          <w:tab w:val="left" w:pos="851"/>
        </w:tabs>
        <w:rPr>
          <w:rFonts w:ascii="Tahoma" w:hAnsi="Tahoma" w:cs="Tahoma"/>
          <w:color w:val="FF0000"/>
          <w:sz w:val="16"/>
          <w:szCs w:val="16"/>
        </w:rPr>
      </w:pPr>
      <w:r w:rsidRPr="00090437">
        <w:rPr>
          <w:rFonts w:ascii="Tahoma" w:hAnsi="Tahoma" w:cs="Tahoma"/>
          <w:sz w:val="18"/>
          <w:szCs w:val="18"/>
        </w:rPr>
        <w:t>*Соответствует значению минимальной гарантированной ставки (годовых) с учетом округления, определяющему минимальный доход, выплачиваемый вкладчику на сумму вклада при условии хранения суммы вклада до конца срока вклада без учета каких-либо других условий. Порядок расчета минимальной гарантированной ставки по вкладу определяется Банком России.</w:t>
      </w:r>
    </w:p>
    <w:p w14:paraId="64529749" w14:textId="77777777" w:rsidR="00090437" w:rsidRPr="00090437" w:rsidRDefault="00090437" w:rsidP="00090437">
      <w:pPr>
        <w:tabs>
          <w:tab w:val="left" w:pos="851"/>
        </w:tabs>
        <w:rPr>
          <w:rFonts w:ascii="Tahoma" w:hAnsi="Tahoma" w:cs="Tahoma"/>
          <w:b/>
          <w:bCs/>
          <w:iCs/>
          <w:color w:val="E36C0A"/>
          <w:sz w:val="22"/>
          <w:szCs w:val="22"/>
        </w:rPr>
      </w:pPr>
    </w:p>
    <w:p w14:paraId="4F82B611" w14:textId="572E4D4F" w:rsidR="00090437" w:rsidRPr="00090437" w:rsidRDefault="00955573" w:rsidP="000B3718">
      <w:pPr>
        <w:pStyle w:val="a5"/>
      </w:pPr>
      <w:r>
        <w:t>3.50</w:t>
      </w:r>
      <w:r w:rsidR="00090437" w:rsidRPr="00090437">
        <w:t>.</w:t>
      </w:r>
      <w:r w:rsidR="00090437" w:rsidRPr="00090437">
        <w:tab/>
        <w:t>Вклад «Управляй» (условия для пролонгируемых вкадов)</w:t>
      </w:r>
    </w:p>
    <w:p w14:paraId="648F8F41" w14:textId="77777777" w:rsidR="00090437" w:rsidRPr="00090437" w:rsidRDefault="00090437" w:rsidP="00090437">
      <w:pPr>
        <w:tabs>
          <w:tab w:val="left" w:pos="284"/>
        </w:tabs>
        <w:jc w:val="both"/>
        <w:rPr>
          <w:rFonts w:ascii="Tahoma" w:hAnsi="Tahoma" w:cs="Tahoma"/>
          <w:bCs/>
          <w:sz w:val="22"/>
          <w:szCs w:val="22"/>
        </w:rPr>
      </w:pPr>
      <w:r w:rsidRPr="00090437">
        <w:rPr>
          <w:rFonts w:ascii="Tahoma" w:hAnsi="Tahoma" w:cs="Tahoma"/>
          <w:bCs/>
          <w:sz w:val="22"/>
          <w:szCs w:val="22"/>
        </w:rPr>
        <w:t>Условия:</w:t>
      </w:r>
    </w:p>
    <w:p w14:paraId="72778BB9" w14:textId="77777777" w:rsidR="00090437" w:rsidRPr="00090437" w:rsidRDefault="00090437" w:rsidP="00090437">
      <w:pPr>
        <w:numPr>
          <w:ilvl w:val="0"/>
          <w:numId w:val="10"/>
        </w:numPr>
        <w:contextualSpacing/>
        <w:jc w:val="both"/>
        <w:rPr>
          <w:rFonts w:ascii="Tahoma" w:hAnsi="Tahoma" w:cs="Tahoma"/>
          <w:sz w:val="22"/>
          <w:szCs w:val="22"/>
        </w:rPr>
      </w:pPr>
      <w:r w:rsidRPr="00090437">
        <w:rPr>
          <w:rFonts w:ascii="Tahoma" w:hAnsi="Tahoma" w:cs="Tahoma"/>
          <w:sz w:val="22"/>
          <w:szCs w:val="22"/>
        </w:rPr>
        <w:t>Валюта  - рубли;</w:t>
      </w:r>
    </w:p>
    <w:p w14:paraId="6F38339D" w14:textId="77777777" w:rsidR="00090437" w:rsidRPr="00090437" w:rsidRDefault="00090437" w:rsidP="00090437">
      <w:pPr>
        <w:numPr>
          <w:ilvl w:val="0"/>
          <w:numId w:val="10"/>
        </w:numPr>
        <w:contextualSpacing/>
        <w:jc w:val="both"/>
        <w:rPr>
          <w:rFonts w:ascii="Tahoma" w:hAnsi="Tahoma" w:cs="Tahoma"/>
          <w:sz w:val="22"/>
          <w:szCs w:val="22"/>
        </w:rPr>
      </w:pPr>
      <w:r w:rsidRPr="00090437">
        <w:rPr>
          <w:rFonts w:ascii="Tahoma" w:hAnsi="Tahoma" w:cs="Tahoma"/>
          <w:sz w:val="22"/>
          <w:szCs w:val="22"/>
        </w:rPr>
        <w:t>Минимальная сумма Вклада (неснижаемый остаток) – 1 000 рублей;</w:t>
      </w:r>
    </w:p>
    <w:p w14:paraId="5A20EE2B" w14:textId="77777777" w:rsidR="00090437" w:rsidRPr="00090437" w:rsidRDefault="00090437" w:rsidP="00090437">
      <w:pPr>
        <w:numPr>
          <w:ilvl w:val="0"/>
          <w:numId w:val="10"/>
        </w:numPr>
        <w:contextualSpacing/>
        <w:jc w:val="both"/>
        <w:rPr>
          <w:rFonts w:ascii="Tahoma" w:hAnsi="Tahoma" w:cs="Tahoma"/>
          <w:color w:val="000000" w:themeColor="text1"/>
          <w:sz w:val="22"/>
          <w:szCs w:val="22"/>
        </w:rPr>
      </w:pPr>
      <w:r w:rsidRPr="00090437">
        <w:rPr>
          <w:rFonts w:ascii="Tahoma" w:hAnsi="Tahoma" w:cs="Tahoma"/>
          <w:color w:val="000000" w:themeColor="text1"/>
          <w:sz w:val="22"/>
          <w:szCs w:val="22"/>
        </w:rPr>
        <w:t>Максимальная сумма Вклада — не ограничена;</w:t>
      </w:r>
    </w:p>
    <w:p w14:paraId="3C5DC342" w14:textId="77777777" w:rsidR="00090437" w:rsidRPr="00090437" w:rsidRDefault="00090437" w:rsidP="00090437">
      <w:pPr>
        <w:numPr>
          <w:ilvl w:val="0"/>
          <w:numId w:val="10"/>
        </w:numPr>
        <w:contextualSpacing/>
        <w:jc w:val="both"/>
        <w:rPr>
          <w:rFonts w:ascii="Tahoma" w:hAnsi="Tahoma" w:cs="Tahoma"/>
          <w:color w:val="000000" w:themeColor="text1"/>
          <w:sz w:val="22"/>
          <w:szCs w:val="22"/>
        </w:rPr>
      </w:pPr>
      <w:r w:rsidRPr="00090437">
        <w:rPr>
          <w:rFonts w:ascii="Tahoma" w:hAnsi="Tahoma" w:cs="Tahoma"/>
          <w:color w:val="000000" w:themeColor="text1"/>
          <w:sz w:val="22"/>
          <w:szCs w:val="22"/>
        </w:rPr>
        <w:t>Срок Вклада – 92 дня/ 182 дня/ 367 дней/ 500 дней/ 731 день/ 1098 дней;</w:t>
      </w:r>
    </w:p>
    <w:p w14:paraId="74189A6F" w14:textId="77777777" w:rsidR="00090437" w:rsidRPr="00090437" w:rsidRDefault="00090437" w:rsidP="00090437">
      <w:pPr>
        <w:numPr>
          <w:ilvl w:val="0"/>
          <w:numId w:val="10"/>
        </w:numPr>
        <w:contextualSpacing/>
        <w:jc w:val="both"/>
        <w:rPr>
          <w:rFonts w:ascii="Tahoma" w:hAnsi="Tahoma" w:cs="Tahoma"/>
          <w:color w:val="000000" w:themeColor="text1"/>
          <w:sz w:val="22"/>
          <w:szCs w:val="22"/>
        </w:rPr>
      </w:pPr>
      <w:r w:rsidRPr="00090437">
        <w:rPr>
          <w:rFonts w:ascii="Tahoma" w:hAnsi="Tahoma" w:cs="Tahoma"/>
          <w:color w:val="000000" w:themeColor="text1"/>
          <w:sz w:val="22"/>
          <w:szCs w:val="22"/>
        </w:rPr>
        <w:t>Вклад пополняемый;</w:t>
      </w:r>
    </w:p>
    <w:p w14:paraId="6EE97DE5" w14:textId="77777777" w:rsidR="00090437" w:rsidRPr="00090437" w:rsidRDefault="00090437" w:rsidP="00090437">
      <w:pPr>
        <w:numPr>
          <w:ilvl w:val="0"/>
          <w:numId w:val="10"/>
        </w:numPr>
        <w:contextualSpacing/>
        <w:jc w:val="both"/>
        <w:rPr>
          <w:rFonts w:ascii="Tahoma" w:hAnsi="Tahoma" w:cs="Tahoma"/>
          <w:color w:val="000000" w:themeColor="text1"/>
          <w:sz w:val="22"/>
          <w:szCs w:val="22"/>
        </w:rPr>
      </w:pPr>
      <w:r w:rsidRPr="00090437">
        <w:rPr>
          <w:rFonts w:ascii="Tahoma" w:hAnsi="Tahoma" w:cs="Tahoma"/>
          <w:color w:val="000000" w:themeColor="text1"/>
          <w:sz w:val="22"/>
          <w:szCs w:val="22"/>
        </w:rPr>
        <w:t>Продление (автоматическое перезаключение) Договора без оформления дополнительных соглашений – без ограничений;</w:t>
      </w:r>
    </w:p>
    <w:p w14:paraId="0E8FB7D9" w14:textId="77777777" w:rsidR="00090437" w:rsidRPr="00090437" w:rsidRDefault="00090437" w:rsidP="00090437">
      <w:pPr>
        <w:widowControl w:val="0"/>
        <w:numPr>
          <w:ilvl w:val="0"/>
          <w:numId w:val="10"/>
        </w:numPr>
        <w:tabs>
          <w:tab w:val="left" w:pos="851"/>
        </w:tabs>
        <w:adjustRightInd w:val="0"/>
        <w:ind w:right="-1"/>
        <w:jc w:val="both"/>
        <w:rPr>
          <w:rFonts w:ascii="Tahoma" w:hAnsi="Tahoma" w:cs="Tahoma"/>
          <w:color w:val="000000" w:themeColor="text1"/>
          <w:sz w:val="22"/>
          <w:szCs w:val="22"/>
        </w:rPr>
      </w:pPr>
      <w:r w:rsidRPr="00090437">
        <w:rPr>
          <w:rFonts w:ascii="Tahoma" w:hAnsi="Tahoma" w:cs="Tahoma"/>
          <w:color w:val="000000" w:themeColor="text1"/>
          <w:sz w:val="22"/>
          <w:szCs w:val="22"/>
        </w:rPr>
        <w:t>Выплата процентов - ежемесячно на счет банковской карты;</w:t>
      </w:r>
    </w:p>
    <w:p w14:paraId="3A8CCAD6" w14:textId="77777777" w:rsidR="00090437" w:rsidRPr="00090437" w:rsidRDefault="00090437" w:rsidP="00090437">
      <w:pPr>
        <w:widowControl w:val="0"/>
        <w:numPr>
          <w:ilvl w:val="0"/>
          <w:numId w:val="10"/>
        </w:numPr>
        <w:tabs>
          <w:tab w:val="left" w:pos="851"/>
        </w:tabs>
        <w:adjustRightInd w:val="0"/>
        <w:ind w:right="-1"/>
        <w:jc w:val="both"/>
        <w:rPr>
          <w:rFonts w:ascii="Tahoma" w:hAnsi="Tahoma" w:cs="Tahoma"/>
          <w:color w:val="000000" w:themeColor="text1"/>
          <w:sz w:val="22"/>
          <w:szCs w:val="22"/>
        </w:rPr>
      </w:pPr>
      <w:r w:rsidRPr="00090437">
        <w:rPr>
          <w:rFonts w:ascii="Tahoma" w:hAnsi="Tahoma" w:cs="Tahoma"/>
          <w:color w:val="000000" w:themeColor="text1"/>
          <w:sz w:val="22"/>
          <w:szCs w:val="22"/>
        </w:rPr>
        <w:t>Выплата суммы Вклада – на счет банковской карты или Вклад «Личный счет» (до востребования);</w:t>
      </w:r>
    </w:p>
    <w:p w14:paraId="464E46C3" w14:textId="77777777" w:rsidR="00090437" w:rsidRPr="00090437" w:rsidRDefault="00090437" w:rsidP="00090437">
      <w:pPr>
        <w:widowControl w:val="0"/>
        <w:numPr>
          <w:ilvl w:val="0"/>
          <w:numId w:val="10"/>
        </w:numPr>
        <w:tabs>
          <w:tab w:val="left" w:pos="851"/>
        </w:tabs>
        <w:autoSpaceDE w:val="0"/>
        <w:autoSpaceDN w:val="0"/>
        <w:adjustRightInd w:val="0"/>
        <w:ind w:right="-1"/>
        <w:jc w:val="both"/>
        <w:rPr>
          <w:rFonts w:ascii="Tahoma" w:hAnsi="Tahoma" w:cs="Tahoma"/>
          <w:color w:val="000000" w:themeColor="text1"/>
          <w:sz w:val="22"/>
          <w:szCs w:val="22"/>
        </w:rPr>
      </w:pPr>
      <w:r w:rsidRPr="00090437">
        <w:rPr>
          <w:rFonts w:ascii="Tahoma" w:hAnsi="Tahoma" w:cs="Tahoma"/>
          <w:color w:val="000000" w:themeColor="text1"/>
          <w:sz w:val="22"/>
          <w:szCs w:val="22"/>
        </w:rPr>
        <w:t>Частичное снятие – по Вкладу возможно частичное снятие с сохранением процентной ставки до неснижаемого остатка, установленного Договором;</w:t>
      </w:r>
    </w:p>
    <w:p w14:paraId="43FD8A92" w14:textId="77777777" w:rsidR="00090437" w:rsidRPr="00090437" w:rsidRDefault="00090437" w:rsidP="00090437">
      <w:pPr>
        <w:widowControl w:val="0"/>
        <w:numPr>
          <w:ilvl w:val="0"/>
          <w:numId w:val="10"/>
        </w:numPr>
        <w:tabs>
          <w:tab w:val="left" w:pos="851"/>
        </w:tabs>
        <w:autoSpaceDE w:val="0"/>
        <w:autoSpaceDN w:val="0"/>
        <w:adjustRightInd w:val="0"/>
        <w:ind w:right="-1"/>
        <w:jc w:val="both"/>
        <w:rPr>
          <w:rFonts w:ascii="Tahoma" w:hAnsi="Tahoma" w:cs="Tahoma"/>
          <w:color w:val="000000" w:themeColor="text1"/>
          <w:sz w:val="22"/>
          <w:szCs w:val="22"/>
        </w:rPr>
      </w:pPr>
      <w:r w:rsidRPr="00090437">
        <w:rPr>
          <w:rFonts w:ascii="Tahoma" w:hAnsi="Tahoma" w:cs="Tahoma"/>
          <w:color w:val="000000" w:themeColor="text1"/>
          <w:sz w:val="22"/>
          <w:szCs w:val="22"/>
        </w:rPr>
        <w:t>В случае досрочного отзыва Вклада по требованию Вкладчика проценты по Вкладу начисляются и выплачиваются Вкладчику по ставке Вклада «Личный счет» (до востребования) исходя из фактического срока нахождения средств во Вкладе. При этом возможно уменьшение основной суммы Вклада за счет пересчета ранее выплаченных процентов.</w:t>
      </w:r>
    </w:p>
    <w:p w14:paraId="70B9D3CF" w14:textId="77777777" w:rsidR="00090437" w:rsidRPr="00090437" w:rsidRDefault="00090437" w:rsidP="00090437">
      <w:pPr>
        <w:tabs>
          <w:tab w:val="left" w:pos="284"/>
        </w:tabs>
        <w:jc w:val="both"/>
        <w:rPr>
          <w:rFonts w:ascii="Tahoma" w:hAnsi="Tahoma" w:cs="Tahoma"/>
          <w:b/>
          <w:bCs/>
          <w:iCs/>
          <w:color w:val="000000" w:themeColor="text1"/>
          <w:sz w:val="22"/>
          <w:szCs w:val="22"/>
        </w:rPr>
      </w:pPr>
    </w:p>
    <w:tbl>
      <w:tblPr>
        <w:tblW w:w="4975" w:type="pct"/>
        <w:tblLayout w:type="fixed"/>
        <w:tblLook w:val="04A0" w:firstRow="1" w:lastRow="0" w:firstColumn="1" w:lastColumn="0" w:noHBand="0" w:noVBand="1"/>
      </w:tblPr>
      <w:tblGrid>
        <w:gridCol w:w="1269"/>
        <w:gridCol w:w="1131"/>
        <w:gridCol w:w="1216"/>
        <w:gridCol w:w="1902"/>
        <w:gridCol w:w="1842"/>
        <w:gridCol w:w="1821"/>
        <w:gridCol w:w="837"/>
        <w:gridCol w:w="975"/>
        <w:gridCol w:w="1116"/>
        <w:gridCol w:w="975"/>
        <w:gridCol w:w="978"/>
        <w:gridCol w:w="984"/>
      </w:tblGrid>
      <w:tr w:rsidR="00090437" w:rsidRPr="00090437" w14:paraId="44875DD4" w14:textId="77777777" w:rsidTr="00090437">
        <w:trPr>
          <w:trHeight w:val="319"/>
        </w:trPr>
        <w:tc>
          <w:tcPr>
            <w:tcW w:w="422" w:type="pct"/>
            <w:vMerge w:val="restart"/>
            <w:tcBorders>
              <w:top w:val="single" w:sz="8" w:space="0" w:color="auto"/>
              <w:left w:val="single" w:sz="8" w:space="0" w:color="auto"/>
              <w:bottom w:val="single" w:sz="8" w:space="0" w:color="000000"/>
              <w:right w:val="nil"/>
            </w:tcBorders>
            <w:shd w:val="clear" w:color="auto" w:fill="auto"/>
            <w:vAlign w:val="center"/>
            <w:hideMark/>
          </w:tcPr>
          <w:p w14:paraId="23FFA510"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Ориентировочный сегмент</w:t>
            </w:r>
          </w:p>
        </w:tc>
        <w:tc>
          <w:tcPr>
            <w:tcW w:w="376" w:type="pct"/>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216C09D7"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Продукт</w:t>
            </w:r>
          </w:p>
        </w:tc>
        <w:tc>
          <w:tcPr>
            <w:tcW w:w="2253" w:type="pct"/>
            <w:gridSpan w:val="4"/>
            <w:tcBorders>
              <w:top w:val="single" w:sz="8" w:space="0" w:color="auto"/>
              <w:left w:val="nil"/>
              <w:bottom w:val="single" w:sz="4" w:space="0" w:color="auto"/>
              <w:right w:val="single" w:sz="4" w:space="0" w:color="auto"/>
            </w:tcBorders>
            <w:shd w:val="clear" w:color="auto" w:fill="auto"/>
            <w:noWrap/>
            <w:vAlign w:val="center"/>
            <w:hideMark/>
          </w:tcPr>
          <w:p w14:paraId="48C24B55"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Базовые параметры вклада</w:t>
            </w:r>
          </w:p>
        </w:tc>
        <w:tc>
          <w:tcPr>
            <w:tcW w:w="1949" w:type="pct"/>
            <w:gridSpan w:val="6"/>
            <w:tcBorders>
              <w:top w:val="single" w:sz="8" w:space="0" w:color="auto"/>
              <w:left w:val="nil"/>
              <w:bottom w:val="single" w:sz="4" w:space="0" w:color="auto"/>
              <w:right w:val="single" w:sz="4" w:space="0" w:color="auto"/>
            </w:tcBorders>
            <w:shd w:val="clear" w:color="auto" w:fill="auto"/>
            <w:noWrap/>
            <w:vAlign w:val="center"/>
            <w:hideMark/>
          </w:tcPr>
          <w:p w14:paraId="60D0C7A1" w14:textId="77777777" w:rsidR="00090437" w:rsidRPr="00090437" w:rsidRDefault="00090437" w:rsidP="00090437">
            <w:pPr>
              <w:jc w:val="center"/>
              <w:rPr>
                <w:rFonts w:ascii="Tahoma" w:hAnsi="Tahoma" w:cs="Tahoma"/>
                <w:bCs/>
                <w:iCs/>
                <w:color w:val="000000" w:themeColor="text1"/>
                <w:sz w:val="20"/>
                <w:szCs w:val="20"/>
              </w:rPr>
            </w:pPr>
            <w:r w:rsidRPr="00090437">
              <w:rPr>
                <w:rFonts w:ascii="Tahoma" w:hAnsi="Tahoma" w:cs="Tahoma"/>
                <w:b/>
                <w:color w:val="000000" w:themeColor="text1"/>
                <w:sz w:val="20"/>
                <w:szCs w:val="20"/>
              </w:rPr>
              <w:t>Процентные ставки* (% годовых) в зависимости от срока договора вклада</w:t>
            </w:r>
          </w:p>
        </w:tc>
      </w:tr>
      <w:tr w:rsidR="00090437" w:rsidRPr="00090437" w14:paraId="7FBCB337" w14:textId="77777777" w:rsidTr="00090437">
        <w:trPr>
          <w:trHeight w:val="319"/>
        </w:trPr>
        <w:tc>
          <w:tcPr>
            <w:tcW w:w="422" w:type="pct"/>
            <w:vMerge/>
            <w:tcBorders>
              <w:top w:val="single" w:sz="8" w:space="0" w:color="auto"/>
              <w:left w:val="single" w:sz="8" w:space="0" w:color="auto"/>
              <w:bottom w:val="single" w:sz="8" w:space="0" w:color="000000"/>
              <w:right w:val="nil"/>
            </w:tcBorders>
            <w:vAlign w:val="center"/>
            <w:hideMark/>
          </w:tcPr>
          <w:p w14:paraId="18276EE7" w14:textId="77777777" w:rsidR="00090437" w:rsidRPr="00090437" w:rsidRDefault="00090437" w:rsidP="00090437">
            <w:pPr>
              <w:rPr>
                <w:rFonts w:ascii="Tahoma" w:hAnsi="Tahoma" w:cs="Tahoma"/>
                <w:bCs/>
                <w:iCs/>
                <w:color w:val="000000" w:themeColor="text1"/>
                <w:sz w:val="20"/>
                <w:szCs w:val="20"/>
              </w:rPr>
            </w:pPr>
          </w:p>
        </w:tc>
        <w:tc>
          <w:tcPr>
            <w:tcW w:w="376" w:type="pct"/>
            <w:vMerge/>
            <w:tcBorders>
              <w:top w:val="single" w:sz="8" w:space="0" w:color="auto"/>
              <w:left w:val="single" w:sz="8" w:space="0" w:color="auto"/>
              <w:bottom w:val="single" w:sz="8" w:space="0" w:color="000000"/>
              <w:right w:val="single" w:sz="4" w:space="0" w:color="auto"/>
            </w:tcBorders>
            <w:vAlign w:val="center"/>
            <w:hideMark/>
          </w:tcPr>
          <w:p w14:paraId="3BD64213" w14:textId="77777777" w:rsidR="00090437" w:rsidRPr="00090437" w:rsidRDefault="00090437" w:rsidP="00090437">
            <w:pPr>
              <w:rPr>
                <w:rFonts w:ascii="Tahoma" w:hAnsi="Tahoma" w:cs="Tahoma"/>
                <w:bCs/>
                <w:iCs/>
                <w:color w:val="000000" w:themeColor="text1"/>
                <w:sz w:val="20"/>
                <w:szCs w:val="20"/>
              </w:rPr>
            </w:pPr>
          </w:p>
        </w:tc>
        <w:tc>
          <w:tcPr>
            <w:tcW w:w="404" w:type="pct"/>
            <w:tcBorders>
              <w:top w:val="nil"/>
              <w:left w:val="nil"/>
              <w:bottom w:val="single" w:sz="8" w:space="0" w:color="auto"/>
              <w:right w:val="single" w:sz="4" w:space="0" w:color="auto"/>
            </w:tcBorders>
            <w:shd w:val="clear" w:color="auto" w:fill="auto"/>
            <w:noWrap/>
            <w:vAlign w:val="center"/>
            <w:hideMark/>
          </w:tcPr>
          <w:p w14:paraId="25B1A88C"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Валюта вклада</w:t>
            </w:r>
          </w:p>
        </w:tc>
        <w:tc>
          <w:tcPr>
            <w:tcW w:w="632" w:type="pct"/>
            <w:tcBorders>
              <w:top w:val="nil"/>
              <w:left w:val="nil"/>
              <w:bottom w:val="single" w:sz="8" w:space="0" w:color="auto"/>
              <w:right w:val="single" w:sz="4" w:space="0" w:color="auto"/>
            </w:tcBorders>
            <w:shd w:val="clear" w:color="auto" w:fill="auto"/>
            <w:noWrap/>
            <w:vAlign w:val="center"/>
            <w:hideMark/>
          </w:tcPr>
          <w:p w14:paraId="2B9BCDF0"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 xml:space="preserve">Минимальная сумма вклада </w:t>
            </w:r>
          </w:p>
        </w:tc>
        <w:tc>
          <w:tcPr>
            <w:tcW w:w="612" w:type="pct"/>
            <w:tcBorders>
              <w:top w:val="nil"/>
              <w:left w:val="nil"/>
              <w:bottom w:val="single" w:sz="8" w:space="0" w:color="auto"/>
              <w:right w:val="single" w:sz="4" w:space="0" w:color="auto"/>
            </w:tcBorders>
            <w:shd w:val="clear" w:color="auto" w:fill="auto"/>
            <w:vAlign w:val="center"/>
          </w:tcPr>
          <w:p w14:paraId="13384A2E"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Неснижаемый остаток</w:t>
            </w:r>
          </w:p>
        </w:tc>
        <w:tc>
          <w:tcPr>
            <w:tcW w:w="605" w:type="pct"/>
            <w:tcBorders>
              <w:top w:val="nil"/>
              <w:left w:val="nil"/>
              <w:bottom w:val="single" w:sz="8" w:space="0" w:color="auto"/>
              <w:right w:val="single" w:sz="4" w:space="0" w:color="auto"/>
            </w:tcBorders>
            <w:shd w:val="clear" w:color="auto" w:fill="auto"/>
            <w:vAlign w:val="center"/>
          </w:tcPr>
          <w:p w14:paraId="71827FF4"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Максимальная сумма вклада</w:t>
            </w:r>
          </w:p>
        </w:tc>
        <w:tc>
          <w:tcPr>
            <w:tcW w:w="278" w:type="pct"/>
            <w:tcBorders>
              <w:top w:val="nil"/>
              <w:left w:val="nil"/>
              <w:bottom w:val="single" w:sz="8" w:space="0" w:color="auto"/>
              <w:right w:val="single" w:sz="4" w:space="0" w:color="auto"/>
            </w:tcBorders>
            <w:shd w:val="clear" w:color="auto" w:fill="auto"/>
            <w:vAlign w:val="center"/>
          </w:tcPr>
          <w:p w14:paraId="3673AB27"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92 дня</w:t>
            </w:r>
          </w:p>
        </w:tc>
        <w:tc>
          <w:tcPr>
            <w:tcW w:w="324" w:type="pct"/>
            <w:tcBorders>
              <w:top w:val="nil"/>
              <w:left w:val="nil"/>
              <w:bottom w:val="single" w:sz="8" w:space="0" w:color="auto"/>
              <w:right w:val="single" w:sz="4" w:space="0" w:color="auto"/>
            </w:tcBorders>
            <w:shd w:val="clear" w:color="auto" w:fill="auto"/>
            <w:vAlign w:val="center"/>
          </w:tcPr>
          <w:p w14:paraId="0E79C638"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182 дня</w:t>
            </w:r>
          </w:p>
        </w:tc>
        <w:tc>
          <w:tcPr>
            <w:tcW w:w="371" w:type="pct"/>
            <w:tcBorders>
              <w:top w:val="nil"/>
              <w:left w:val="nil"/>
              <w:bottom w:val="single" w:sz="8" w:space="0" w:color="auto"/>
              <w:right w:val="single" w:sz="4" w:space="0" w:color="auto"/>
            </w:tcBorders>
            <w:shd w:val="clear" w:color="auto" w:fill="auto"/>
            <w:vAlign w:val="center"/>
          </w:tcPr>
          <w:p w14:paraId="70B61E05"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367 дней</w:t>
            </w:r>
          </w:p>
        </w:tc>
        <w:tc>
          <w:tcPr>
            <w:tcW w:w="324" w:type="pct"/>
            <w:tcBorders>
              <w:top w:val="nil"/>
              <w:left w:val="nil"/>
              <w:bottom w:val="single" w:sz="8" w:space="0" w:color="auto"/>
              <w:right w:val="single" w:sz="4" w:space="0" w:color="auto"/>
            </w:tcBorders>
            <w:shd w:val="clear" w:color="auto" w:fill="auto"/>
            <w:vAlign w:val="center"/>
          </w:tcPr>
          <w:p w14:paraId="15AA9131"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500 дней</w:t>
            </w:r>
          </w:p>
        </w:tc>
        <w:tc>
          <w:tcPr>
            <w:tcW w:w="325" w:type="pct"/>
            <w:tcBorders>
              <w:top w:val="nil"/>
              <w:left w:val="nil"/>
              <w:bottom w:val="single" w:sz="8" w:space="0" w:color="auto"/>
              <w:right w:val="single" w:sz="4" w:space="0" w:color="auto"/>
            </w:tcBorders>
            <w:shd w:val="clear" w:color="auto" w:fill="auto"/>
            <w:vAlign w:val="center"/>
          </w:tcPr>
          <w:p w14:paraId="4B90C384"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731 день</w:t>
            </w:r>
          </w:p>
        </w:tc>
        <w:tc>
          <w:tcPr>
            <w:tcW w:w="327" w:type="pct"/>
            <w:tcBorders>
              <w:top w:val="nil"/>
              <w:left w:val="nil"/>
              <w:bottom w:val="single" w:sz="8" w:space="0" w:color="auto"/>
              <w:right w:val="single" w:sz="4" w:space="0" w:color="auto"/>
            </w:tcBorders>
            <w:shd w:val="clear" w:color="auto" w:fill="auto"/>
            <w:vAlign w:val="center"/>
          </w:tcPr>
          <w:p w14:paraId="0BA97A12"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1098 дней</w:t>
            </w:r>
          </w:p>
        </w:tc>
      </w:tr>
      <w:tr w:rsidR="00090437" w:rsidRPr="00090437" w14:paraId="2A01B151" w14:textId="77777777" w:rsidTr="00090437">
        <w:trPr>
          <w:trHeight w:val="319"/>
        </w:trPr>
        <w:tc>
          <w:tcPr>
            <w:tcW w:w="422" w:type="pct"/>
            <w:tcBorders>
              <w:top w:val="nil"/>
              <w:left w:val="single" w:sz="8" w:space="0" w:color="auto"/>
              <w:bottom w:val="single" w:sz="4" w:space="0" w:color="auto"/>
              <w:right w:val="nil"/>
            </w:tcBorders>
            <w:shd w:val="clear" w:color="auto" w:fill="auto"/>
            <w:vAlign w:val="center"/>
            <w:hideMark/>
          </w:tcPr>
          <w:p w14:paraId="05344B68" w14:textId="77777777" w:rsidR="00090437" w:rsidRPr="00090437" w:rsidRDefault="00090437" w:rsidP="00090437">
            <w:pPr>
              <w:jc w:val="center"/>
              <w:rPr>
                <w:rFonts w:ascii="Tahoma" w:hAnsi="Tahoma" w:cs="Tahoma"/>
                <w:bCs/>
                <w:iCs/>
                <w:color w:val="000000" w:themeColor="text1"/>
                <w:sz w:val="20"/>
                <w:szCs w:val="20"/>
              </w:rPr>
            </w:pPr>
            <w:r w:rsidRPr="00090437">
              <w:rPr>
                <w:rFonts w:ascii="Tahoma" w:hAnsi="Tahoma" w:cs="Tahoma"/>
                <w:bCs/>
                <w:iCs/>
                <w:color w:val="000000" w:themeColor="text1"/>
                <w:sz w:val="20"/>
                <w:szCs w:val="20"/>
              </w:rPr>
              <w:t>Все категории клиентов</w:t>
            </w:r>
          </w:p>
        </w:tc>
        <w:tc>
          <w:tcPr>
            <w:tcW w:w="376" w:type="pct"/>
            <w:tcBorders>
              <w:top w:val="nil"/>
              <w:left w:val="single" w:sz="8" w:space="0" w:color="auto"/>
              <w:bottom w:val="single" w:sz="4" w:space="0" w:color="auto"/>
              <w:right w:val="single" w:sz="4" w:space="0" w:color="auto"/>
            </w:tcBorders>
            <w:shd w:val="clear" w:color="000000" w:fill="FFC000"/>
            <w:vAlign w:val="center"/>
            <w:hideMark/>
          </w:tcPr>
          <w:p w14:paraId="423D8329" w14:textId="77777777" w:rsidR="00090437" w:rsidRPr="00090437" w:rsidRDefault="00090437" w:rsidP="00090437">
            <w:pPr>
              <w:jc w:val="center"/>
              <w:rPr>
                <w:rFonts w:ascii="Tahoma" w:hAnsi="Tahoma" w:cs="Tahoma"/>
                <w:bCs/>
                <w:iCs/>
                <w:color w:val="000000" w:themeColor="text1"/>
                <w:sz w:val="20"/>
                <w:szCs w:val="20"/>
              </w:rPr>
            </w:pPr>
            <w:r w:rsidRPr="00090437">
              <w:rPr>
                <w:rFonts w:ascii="Tahoma" w:hAnsi="Tahoma" w:cs="Tahoma"/>
                <w:bCs/>
                <w:iCs/>
                <w:color w:val="000000" w:themeColor="text1"/>
                <w:sz w:val="20"/>
                <w:szCs w:val="20"/>
              </w:rPr>
              <w:t>Управляй</w:t>
            </w:r>
          </w:p>
        </w:tc>
        <w:tc>
          <w:tcPr>
            <w:tcW w:w="404" w:type="pct"/>
            <w:tcBorders>
              <w:top w:val="nil"/>
              <w:left w:val="nil"/>
              <w:bottom w:val="single" w:sz="4" w:space="0" w:color="auto"/>
              <w:right w:val="single" w:sz="4" w:space="0" w:color="auto"/>
            </w:tcBorders>
            <w:shd w:val="clear" w:color="auto" w:fill="auto"/>
            <w:noWrap/>
            <w:vAlign w:val="center"/>
            <w:hideMark/>
          </w:tcPr>
          <w:p w14:paraId="4CDDA671" w14:textId="77777777" w:rsidR="00090437" w:rsidRPr="00090437" w:rsidRDefault="00090437" w:rsidP="00090437">
            <w:pPr>
              <w:jc w:val="center"/>
              <w:rPr>
                <w:rFonts w:ascii="Tahoma" w:hAnsi="Tahoma" w:cs="Tahoma"/>
                <w:bCs/>
                <w:iCs/>
                <w:color w:val="000000" w:themeColor="text1"/>
                <w:sz w:val="20"/>
                <w:szCs w:val="20"/>
              </w:rPr>
            </w:pPr>
            <w:r w:rsidRPr="00090437">
              <w:rPr>
                <w:rFonts w:ascii="Tahoma" w:hAnsi="Tahoma" w:cs="Tahoma"/>
                <w:bCs/>
                <w:iCs/>
                <w:color w:val="000000" w:themeColor="text1"/>
                <w:sz w:val="20"/>
                <w:szCs w:val="20"/>
              </w:rPr>
              <w:t>рубли</w:t>
            </w:r>
          </w:p>
        </w:tc>
        <w:tc>
          <w:tcPr>
            <w:tcW w:w="632" w:type="pct"/>
            <w:tcBorders>
              <w:top w:val="nil"/>
              <w:left w:val="nil"/>
              <w:bottom w:val="single" w:sz="4" w:space="0" w:color="auto"/>
              <w:right w:val="single" w:sz="4" w:space="0" w:color="auto"/>
            </w:tcBorders>
            <w:shd w:val="clear" w:color="auto" w:fill="auto"/>
            <w:noWrap/>
            <w:vAlign w:val="center"/>
          </w:tcPr>
          <w:p w14:paraId="6E472220" w14:textId="77777777" w:rsidR="00090437" w:rsidRPr="00090437" w:rsidRDefault="00090437" w:rsidP="00090437">
            <w:pPr>
              <w:jc w:val="center"/>
              <w:rPr>
                <w:rFonts w:ascii="Tahoma" w:hAnsi="Tahoma" w:cs="Tahoma"/>
                <w:bCs/>
                <w:iCs/>
                <w:color w:val="000000" w:themeColor="text1"/>
                <w:sz w:val="20"/>
                <w:szCs w:val="20"/>
              </w:rPr>
            </w:pPr>
            <w:r w:rsidRPr="00090437">
              <w:rPr>
                <w:rFonts w:ascii="Tahoma" w:hAnsi="Tahoma" w:cs="Tahoma"/>
                <w:bCs/>
                <w:iCs/>
                <w:color w:val="000000" w:themeColor="text1"/>
                <w:sz w:val="20"/>
                <w:szCs w:val="20"/>
              </w:rPr>
              <w:t>от 1 000</w:t>
            </w:r>
          </w:p>
        </w:tc>
        <w:tc>
          <w:tcPr>
            <w:tcW w:w="612" w:type="pct"/>
            <w:tcBorders>
              <w:top w:val="nil"/>
              <w:left w:val="nil"/>
              <w:bottom w:val="single" w:sz="4" w:space="0" w:color="auto"/>
              <w:right w:val="single" w:sz="4" w:space="0" w:color="auto"/>
            </w:tcBorders>
            <w:shd w:val="clear" w:color="auto" w:fill="auto"/>
            <w:vAlign w:val="center"/>
          </w:tcPr>
          <w:p w14:paraId="39F5271A" w14:textId="77777777" w:rsidR="00090437" w:rsidRPr="00090437" w:rsidRDefault="00090437" w:rsidP="00090437">
            <w:pPr>
              <w:jc w:val="center"/>
              <w:rPr>
                <w:rFonts w:ascii="Tahoma" w:hAnsi="Tahoma" w:cs="Tahoma"/>
                <w:bCs/>
                <w:iCs/>
                <w:color w:val="000000" w:themeColor="text1"/>
                <w:sz w:val="20"/>
                <w:szCs w:val="20"/>
              </w:rPr>
            </w:pPr>
            <w:r w:rsidRPr="00090437">
              <w:rPr>
                <w:rFonts w:ascii="Tahoma" w:hAnsi="Tahoma" w:cs="Tahoma"/>
                <w:bCs/>
                <w:iCs/>
                <w:color w:val="000000" w:themeColor="text1"/>
                <w:sz w:val="20"/>
                <w:szCs w:val="20"/>
              </w:rPr>
              <w:t>1 000</w:t>
            </w:r>
          </w:p>
        </w:tc>
        <w:tc>
          <w:tcPr>
            <w:tcW w:w="605" w:type="pct"/>
            <w:tcBorders>
              <w:top w:val="nil"/>
              <w:left w:val="nil"/>
              <w:bottom w:val="single" w:sz="4" w:space="0" w:color="auto"/>
              <w:right w:val="single" w:sz="4" w:space="0" w:color="auto"/>
            </w:tcBorders>
            <w:shd w:val="clear" w:color="auto" w:fill="auto"/>
            <w:vAlign w:val="center"/>
          </w:tcPr>
          <w:p w14:paraId="0CE9E57E" w14:textId="77777777" w:rsidR="00090437" w:rsidRPr="00090437" w:rsidRDefault="00090437" w:rsidP="00090437">
            <w:pPr>
              <w:jc w:val="center"/>
              <w:rPr>
                <w:rFonts w:ascii="Tahoma" w:hAnsi="Tahoma" w:cs="Tahoma"/>
                <w:bCs/>
                <w:iCs/>
                <w:color w:val="000000" w:themeColor="text1"/>
                <w:sz w:val="20"/>
                <w:szCs w:val="20"/>
              </w:rPr>
            </w:pPr>
            <w:r w:rsidRPr="00090437">
              <w:rPr>
                <w:rFonts w:ascii="Tahoma" w:hAnsi="Tahoma" w:cs="Tahoma"/>
                <w:bCs/>
                <w:iCs/>
                <w:color w:val="000000" w:themeColor="text1"/>
                <w:sz w:val="20"/>
                <w:szCs w:val="20"/>
              </w:rPr>
              <w:t>Не ограничена</w:t>
            </w:r>
          </w:p>
        </w:tc>
        <w:tc>
          <w:tcPr>
            <w:tcW w:w="278" w:type="pct"/>
            <w:tcBorders>
              <w:top w:val="nil"/>
              <w:left w:val="nil"/>
              <w:bottom w:val="single" w:sz="4" w:space="0" w:color="auto"/>
              <w:right w:val="single" w:sz="4" w:space="0" w:color="auto"/>
            </w:tcBorders>
            <w:shd w:val="clear" w:color="auto" w:fill="auto"/>
            <w:vAlign w:val="center"/>
          </w:tcPr>
          <w:p w14:paraId="0415CC79"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5,200</w:t>
            </w:r>
          </w:p>
        </w:tc>
        <w:tc>
          <w:tcPr>
            <w:tcW w:w="324" w:type="pct"/>
            <w:tcBorders>
              <w:top w:val="nil"/>
              <w:left w:val="nil"/>
              <w:bottom w:val="single" w:sz="4" w:space="0" w:color="auto"/>
              <w:right w:val="single" w:sz="4" w:space="0" w:color="auto"/>
            </w:tcBorders>
            <w:shd w:val="clear" w:color="auto" w:fill="auto"/>
            <w:vAlign w:val="center"/>
          </w:tcPr>
          <w:p w14:paraId="5351EC30"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4,600</w:t>
            </w:r>
          </w:p>
        </w:tc>
        <w:tc>
          <w:tcPr>
            <w:tcW w:w="371" w:type="pct"/>
            <w:tcBorders>
              <w:top w:val="nil"/>
              <w:left w:val="nil"/>
              <w:bottom w:val="single" w:sz="4" w:space="0" w:color="auto"/>
              <w:right w:val="single" w:sz="4" w:space="0" w:color="auto"/>
            </w:tcBorders>
            <w:shd w:val="clear" w:color="auto" w:fill="auto"/>
            <w:vAlign w:val="center"/>
          </w:tcPr>
          <w:p w14:paraId="08DECA0D"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4,800</w:t>
            </w:r>
          </w:p>
        </w:tc>
        <w:tc>
          <w:tcPr>
            <w:tcW w:w="324" w:type="pct"/>
            <w:tcBorders>
              <w:top w:val="nil"/>
              <w:left w:val="nil"/>
              <w:bottom w:val="single" w:sz="4" w:space="0" w:color="auto"/>
              <w:right w:val="single" w:sz="4" w:space="0" w:color="auto"/>
            </w:tcBorders>
            <w:shd w:val="clear" w:color="auto" w:fill="auto"/>
            <w:vAlign w:val="center"/>
          </w:tcPr>
          <w:p w14:paraId="65FA1BAE"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4,600</w:t>
            </w:r>
          </w:p>
        </w:tc>
        <w:tc>
          <w:tcPr>
            <w:tcW w:w="325" w:type="pct"/>
            <w:tcBorders>
              <w:top w:val="nil"/>
              <w:left w:val="nil"/>
              <w:bottom w:val="single" w:sz="4" w:space="0" w:color="auto"/>
              <w:right w:val="single" w:sz="4" w:space="0" w:color="auto"/>
            </w:tcBorders>
            <w:shd w:val="clear" w:color="auto" w:fill="auto"/>
            <w:vAlign w:val="center"/>
          </w:tcPr>
          <w:p w14:paraId="4704BC93"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4,700</w:t>
            </w:r>
          </w:p>
        </w:tc>
        <w:tc>
          <w:tcPr>
            <w:tcW w:w="327" w:type="pct"/>
            <w:tcBorders>
              <w:top w:val="nil"/>
              <w:left w:val="nil"/>
              <w:bottom w:val="single" w:sz="4" w:space="0" w:color="auto"/>
              <w:right w:val="single" w:sz="4" w:space="0" w:color="auto"/>
            </w:tcBorders>
            <w:shd w:val="clear" w:color="auto" w:fill="auto"/>
            <w:vAlign w:val="center"/>
          </w:tcPr>
          <w:p w14:paraId="1BC32F7E"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2,900</w:t>
            </w:r>
          </w:p>
        </w:tc>
      </w:tr>
    </w:tbl>
    <w:p w14:paraId="1DFC4147" w14:textId="77777777" w:rsidR="00090437" w:rsidRPr="00090437" w:rsidRDefault="00090437" w:rsidP="00090437">
      <w:pPr>
        <w:tabs>
          <w:tab w:val="left" w:pos="284"/>
        </w:tabs>
        <w:rPr>
          <w:rFonts w:ascii="Tahoma" w:hAnsi="Tahoma" w:cs="Tahoma"/>
          <w:sz w:val="22"/>
          <w:szCs w:val="22"/>
        </w:rPr>
      </w:pPr>
      <w:r w:rsidRPr="00090437">
        <w:rPr>
          <w:rFonts w:ascii="Tahoma" w:hAnsi="Tahoma" w:cs="Tahoma"/>
          <w:sz w:val="18"/>
          <w:szCs w:val="18"/>
        </w:rPr>
        <w:t>*Соответствует значению минимальной гарантированной ставки (годовых) с учетом округления, определяющему минимальный доход, выплачиваемый вкладчику на сумму вклада при условии хранения суммы вклада до конца срока вклада без учета каких-либо других условий. Порядок расчета минимальной гарантированной ставки по вкладу определяется Банком России.</w:t>
      </w:r>
    </w:p>
    <w:p w14:paraId="7160F3E4" w14:textId="77777777" w:rsidR="00090437" w:rsidRPr="00090437" w:rsidRDefault="00090437" w:rsidP="00090437">
      <w:pPr>
        <w:tabs>
          <w:tab w:val="left" w:pos="284"/>
        </w:tabs>
        <w:rPr>
          <w:rFonts w:ascii="Tahoma" w:hAnsi="Tahoma" w:cs="Tahoma"/>
          <w:sz w:val="22"/>
          <w:szCs w:val="22"/>
        </w:rPr>
      </w:pPr>
    </w:p>
    <w:p w14:paraId="2F796D63" w14:textId="096C12F3" w:rsidR="00090437" w:rsidRPr="00090437" w:rsidRDefault="00955573" w:rsidP="000B3718">
      <w:pPr>
        <w:pStyle w:val="a5"/>
      </w:pPr>
      <w:r>
        <w:t>3.51</w:t>
      </w:r>
      <w:r w:rsidR="00090437" w:rsidRPr="00090437">
        <w:t>.</w:t>
      </w:r>
      <w:r w:rsidR="00090437" w:rsidRPr="00090437">
        <w:tab/>
        <w:t>Вклад «Сохрани+ Онлайн» (условия для пролонгируемых вкадов)</w:t>
      </w:r>
    </w:p>
    <w:p w14:paraId="606636AB" w14:textId="77777777" w:rsidR="00090437" w:rsidRPr="00090437" w:rsidRDefault="00090437" w:rsidP="00090437">
      <w:pPr>
        <w:tabs>
          <w:tab w:val="left" w:pos="284"/>
        </w:tabs>
        <w:jc w:val="both"/>
        <w:rPr>
          <w:rFonts w:ascii="Tahoma" w:hAnsi="Tahoma" w:cs="Tahoma"/>
          <w:b/>
          <w:bCs/>
          <w:iCs/>
          <w:sz w:val="22"/>
          <w:szCs w:val="22"/>
        </w:rPr>
      </w:pPr>
      <w:r w:rsidRPr="00090437">
        <w:rPr>
          <w:rFonts w:ascii="Tahoma" w:hAnsi="Tahoma" w:cs="Tahoma"/>
          <w:color w:val="000000"/>
          <w:sz w:val="22"/>
          <w:szCs w:val="22"/>
          <w:lang w:eastAsia="en-US"/>
        </w:rPr>
        <w:t>Условия:</w:t>
      </w:r>
    </w:p>
    <w:p w14:paraId="4C4C37CE" w14:textId="77777777" w:rsidR="00090437" w:rsidRPr="00090437" w:rsidRDefault="00090437" w:rsidP="00090437">
      <w:pPr>
        <w:numPr>
          <w:ilvl w:val="0"/>
          <w:numId w:val="8"/>
        </w:numPr>
        <w:contextualSpacing/>
        <w:jc w:val="both"/>
        <w:rPr>
          <w:rFonts w:ascii="Tahoma" w:hAnsi="Tahoma" w:cs="Tahoma"/>
          <w:sz w:val="22"/>
          <w:szCs w:val="22"/>
        </w:rPr>
      </w:pPr>
      <w:r w:rsidRPr="00090437">
        <w:rPr>
          <w:rFonts w:ascii="Tahoma" w:hAnsi="Tahoma" w:cs="Tahoma"/>
          <w:color w:val="000000" w:themeColor="text1"/>
          <w:sz w:val="22"/>
          <w:szCs w:val="22"/>
        </w:rPr>
        <w:t>Валюта - рубли</w:t>
      </w:r>
      <w:r w:rsidRPr="00090437">
        <w:rPr>
          <w:rFonts w:ascii="Tahoma" w:hAnsi="Tahoma" w:cs="Tahoma"/>
          <w:sz w:val="22"/>
          <w:szCs w:val="22"/>
        </w:rPr>
        <w:t>;</w:t>
      </w:r>
    </w:p>
    <w:p w14:paraId="2305B314" w14:textId="77777777" w:rsidR="00090437" w:rsidRPr="00090437" w:rsidRDefault="00090437" w:rsidP="00090437">
      <w:pPr>
        <w:numPr>
          <w:ilvl w:val="0"/>
          <w:numId w:val="8"/>
        </w:numPr>
        <w:contextualSpacing/>
        <w:jc w:val="both"/>
        <w:rPr>
          <w:rFonts w:ascii="Tahoma" w:hAnsi="Tahoma" w:cs="Tahoma"/>
          <w:sz w:val="22"/>
          <w:szCs w:val="22"/>
        </w:rPr>
      </w:pPr>
      <w:r w:rsidRPr="00090437">
        <w:rPr>
          <w:rFonts w:ascii="Tahoma" w:hAnsi="Tahoma" w:cs="Tahoma"/>
          <w:sz w:val="22"/>
          <w:szCs w:val="22"/>
        </w:rPr>
        <w:t>Минимальная сумма Вклада 5 000 рублей;</w:t>
      </w:r>
    </w:p>
    <w:p w14:paraId="2CB3C68E" w14:textId="77777777" w:rsidR="00090437" w:rsidRPr="00090437" w:rsidRDefault="00090437" w:rsidP="00090437">
      <w:pPr>
        <w:numPr>
          <w:ilvl w:val="0"/>
          <w:numId w:val="8"/>
        </w:numPr>
        <w:contextualSpacing/>
        <w:jc w:val="both"/>
        <w:rPr>
          <w:rFonts w:ascii="Tahoma" w:hAnsi="Tahoma" w:cs="Tahoma"/>
          <w:sz w:val="22"/>
          <w:szCs w:val="22"/>
        </w:rPr>
      </w:pPr>
      <w:r w:rsidRPr="00090437">
        <w:rPr>
          <w:rFonts w:ascii="Tahoma" w:hAnsi="Tahoma" w:cs="Tahoma"/>
          <w:sz w:val="22"/>
          <w:szCs w:val="22"/>
        </w:rPr>
        <w:t>Максимальная сумма Вклада – не ограничена;</w:t>
      </w:r>
    </w:p>
    <w:p w14:paraId="07D50996" w14:textId="77777777" w:rsidR="00090437" w:rsidRPr="00090437" w:rsidRDefault="00090437" w:rsidP="00090437">
      <w:pPr>
        <w:numPr>
          <w:ilvl w:val="0"/>
          <w:numId w:val="8"/>
        </w:numPr>
        <w:contextualSpacing/>
        <w:jc w:val="both"/>
        <w:rPr>
          <w:rFonts w:ascii="Tahoma" w:hAnsi="Tahoma" w:cs="Tahoma"/>
          <w:sz w:val="22"/>
          <w:szCs w:val="22"/>
        </w:rPr>
      </w:pPr>
      <w:r w:rsidRPr="00090437">
        <w:rPr>
          <w:rFonts w:ascii="Tahoma" w:hAnsi="Tahoma" w:cs="Tahoma"/>
          <w:sz w:val="22"/>
          <w:szCs w:val="22"/>
        </w:rPr>
        <w:t>Срок Вклада – 92 дня/ 182 дня/ 367 дней/ 500 дней/ 731 день/ 1098 дней;</w:t>
      </w:r>
    </w:p>
    <w:p w14:paraId="12DD645C" w14:textId="77777777" w:rsidR="00090437" w:rsidRPr="00090437" w:rsidRDefault="00090437" w:rsidP="00090437">
      <w:pPr>
        <w:numPr>
          <w:ilvl w:val="0"/>
          <w:numId w:val="8"/>
        </w:numPr>
        <w:contextualSpacing/>
        <w:jc w:val="both"/>
        <w:rPr>
          <w:rFonts w:ascii="Tahoma" w:hAnsi="Tahoma" w:cs="Tahoma"/>
          <w:sz w:val="22"/>
          <w:szCs w:val="22"/>
        </w:rPr>
      </w:pPr>
      <w:r w:rsidRPr="00090437">
        <w:rPr>
          <w:rFonts w:ascii="Tahoma" w:hAnsi="Tahoma" w:cs="Tahoma"/>
          <w:sz w:val="22"/>
          <w:szCs w:val="22"/>
        </w:rPr>
        <w:t>Вклад пополняемый;</w:t>
      </w:r>
    </w:p>
    <w:p w14:paraId="525FDEFC" w14:textId="77777777" w:rsidR="00090437" w:rsidRPr="00090437" w:rsidRDefault="00090437" w:rsidP="00090437">
      <w:pPr>
        <w:numPr>
          <w:ilvl w:val="0"/>
          <w:numId w:val="8"/>
        </w:numPr>
        <w:contextualSpacing/>
        <w:jc w:val="both"/>
        <w:rPr>
          <w:rFonts w:ascii="Tahoma" w:hAnsi="Tahoma" w:cs="Tahoma"/>
          <w:color w:val="000000" w:themeColor="text1"/>
          <w:sz w:val="22"/>
          <w:szCs w:val="22"/>
        </w:rPr>
      </w:pPr>
      <w:r w:rsidRPr="00090437">
        <w:rPr>
          <w:rFonts w:ascii="Tahoma" w:hAnsi="Tahoma" w:cs="Tahoma"/>
          <w:sz w:val="22"/>
          <w:szCs w:val="22"/>
        </w:rPr>
        <w:t xml:space="preserve">Продление (автоматическое перезаключение) Договора без оформления </w:t>
      </w:r>
      <w:r w:rsidRPr="00090437">
        <w:rPr>
          <w:rFonts w:ascii="Tahoma" w:hAnsi="Tahoma" w:cs="Tahoma"/>
          <w:color w:val="000000" w:themeColor="text1"/>
          <w:sz w:val="22"/>
          <w:szCs w:val="22"/>
        </w:rPr>
        <w:t>дополнительных соглашений – без ограничений;</w:t>
      </w:r>
    </w:p>
    <w:p w14:paraId="42FA40EA" w14:textId="77777777" w:rsidR="00090437" w:rsidRPr="00090437" w:rsidRDefault="00090437" w:rsidP="00090437">
      <w:pPr>
        <w:numPr>
          <w:ilvl w:val="0"/>
          <w:numId w:val="8"/>
        </w:numPr>
        <w:contextualSpacing/>
        <w:jc w:val="both"/>
        <w:rPr>
          <w:rFonts w:ascii="Tahoma" w:hAnsi="Tahoma" w:cs="Tahoma"/>
          <w:color w:val="000000" w:themeColor="text1"/>
          <w:sz w:val="22"/>
          <w:szCs w:val="22"/>
        </w:rPr>
      </w:pPr>
      <w:r w:rsidRPr="00090437">
        <w:rPr>
          <w:rFonts w:ascii="Tahoma" w:hAnsi="Tahoma" w:cs="Tahoma"/>
          <w:sz w:val="22"/>
          <w:szCs w:val="22"/>
        </w:rPr>
        <w:t>Выплаты процентов – ежемесячно на счет, открытый в Банке</w:t>
      </w:r>
      <w:r w:rsidRPr="00090437">
        <w:rPr>
          <w:rFonts w:ascii="Tahoma" w:hAnsi="Tahoma" w:cs="Tahoma"/>
          <w:color w:val="000000" w:themeColor="text1"/>
          <w:sz w:val="22"/>
          <w:szCs w:val="22"/>
        </w:rPr>
        <w:t>;</w:t>
      </w:r>
    </w:p>
    <w:p w14:paraId="159922E8" w14:textId="77777777" w:rsidR="00090437" w:rsidRPr="00090437" w:rsidRDefault="00090437" w:rsidP="00090437">
      <w:pPr>
        <w:numPr>
          <w:ilvl w:val="0"/>
          <w:numId w:val="8"/>
        </w:numPr>
        <w:contextualSpacing/>
        <w:jc w:val="both"/>
        <w:rPr>
          <w:rFonts w:ascii="Tahoma" w:hAnsi="Tahoma" w:cs="Tahoma"/>
          <w:color w:val="000000" w:themeColor="text1"/>
          <w:sz w:val="22"/>
          <w:szCs w:val="22"/>
        </w:rPr>
      </w:pPr>
      <w:r w:rsidRPr="00090437">
        <w:rPr>
          <w:rFonts w:ascii="Tahoma" w:hAnsi="Tahoma" w:cs="Tahoma"/>
          <w:color w:val="000000" w:themeColor="text1"/>
          <w:sz w:val="22"/>
          <w:szCs w:val="22"/>
        </w:rPr>
        <w:t>Выплата суммы Вклада – на счет, открытый в Банке;</w:t>
      </w:r>
    </w:p>
    <w:p w14:paraId="2EDCE637" w14:textId="77777777" w:rsidR="00090437" w:rsidRPr="00090437" w:rsidRDefault="00090437" w:rsidP="00090437">
      <w:pPr>
        <w:numPr>
          <w:ilvl w:val="0"/>
          <w:numId w:val="8"/>
        </w:numPr>
        <w:contextualSpacing/>
        <w:jc w:val="both"/>
        <w:rPr>
          <w:rFonts w:ascii="Tahoma" w:hAnsi="Tahoma" w:cs="Tahoma"/>
          <w:color w:val="000000" w:themeColor="text1"/>
          <w:sz w:val="22"/>
          <w:szCs w:val="22"/>
        </w:rPr>
      </w:pPr>
      <w:r w:rsidRPr="00090437">
        <w:rPr>
          <w:rFonts w:ascii="Tahoma" w:hAnsi="Tahoma" w:cs="Tahoma"/>
          <w:color w:val="000000" w:themeColor="text1"/>
          <w:sz w:val="22"/>
          <w:szCs w:val="22"/>
        </w:rPr>
        <w:t>Расходные операции по Вкладу – не предусмотрены;</w:t>
      </w:r>
    </w:p>
    <w:p w14:paraId="6B788DD7" w14:textId="77777777" w:rsidR="00090437" w:rsidRPr="00090437" w:rsidRDefault="00090437" w:rsidP="00090437">
      <w:pPr>
        <w:numPr>
          <w:ilvl w:val="0"/>
          <w:numId w:val="8"/>
        </w:numPr>
        <w:jc w:val="both"/>
        <w:rPr>
          <w:rFonts w:ascii="Tahoma" w:hAnsi="Tahoma" w:cs="Tahoma"/>
          <w:color w:val="000000" w:themeColor="text1"/>
          <w:sz w:val="22"/>
          <w:szCs w:val="22"/>
        </w:rPr>
      </w:pPr>
      <w:r w:rsidRPr="00090437">
        <w:rPr>
          <w:rFonts w:ascii="Tahoma" w:hAnsi="Tahoma" w:cs="Tahoma"/>
          <w:color w:val="000000" w:themeColor="text1"/>
          <w:sz w:val="22"/>
          <w:szCs w:val="22"/>
        </w:rPr>
        <w:t>В случае досрочного отзыва Вклада по требованию Вкладчика проценты по Вкладу начисляются и выплачиваются Вкладчику по ставке Вклада «Личный счет» (до востребования) исходя из фактического срока нахождения средств во Вкладе. При этом возможно уменьшение основной суммы Вклада за счет пересчета ранее выплаченных процентов.</w:t>
      </w:r>
    </w:p>
    <w:tbl>
      <w:tblPr>
        <w:tblW w:w="15490" w:type="dxa"/>
        <w:tblInd w:w="93" w:type="dxa"/>
        <w:tblLayout w:type="fixed"/>
        <w:tblLook w:val="04A0" w:firstRow="1" w:lastRow="0" w:firstColumn="1" w:lastColumn="0" w:noHBand="0" w:noVBand="1"/>
      </w:tblPr>
      <w:tblGrid>
        <w:gridCol w:w="2307"/>
        <w:gridCol w:w="2126"/>
        <w:gridCol w:w="1276"/>
        <w:gridCol w:w="1843"/>
        <w:gridCol w:w="1134"/>
        <w:gridCol w:w="1276"/>
        <w:gridCol w:w="1275"/>
        <w:gridCol w:w="1418"/>
        <w:gridCol w:w="1417"/>
        <w:gridCol w:w="1418"/>
      </w:tblGrid>
      <w:tr w:rsidR="00090437" w:rsidRPr="00090437" w14:paraId="0354AEC4" w14:textId="77777777" w:rsidTr="00090437">
        <w:trPr>
          <w:trHeight w:val="319"/>
        </w:trPr>
        <w:tc>
          <w:tcPr>
            <w:tcW w:w="2307" w:type="dxa"/>
            <w:vMerge w:val="restart"/>
            <w:tcBorders>
              <w:top w:val="single" w:sz="8" w:space="0" w:color="auto"/>
              <w:left w:val="single" w:sz="8" w:space="0" w:color="auto"/>
              <w:bottom w:val="single" w:sz="8" w:space="0" w:color="000000"/>
              <w:right w:val="nil"/>
            </w:tcBorders>
            <w:shd w:val="clear" w:color="auto" w:fill="auto"/>
            <w:vAlign w:val="center"/>
            <w:hideMark/>
          </w:tcPr>
          <w:p w14:paraId="0AE66459"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Ориентировочный сегмент</w:t>
            </w:r>
          </w:p>
        </w:tc>
        <w:tc>
          <w:tcPr>
            <w:tcW w:w="2126"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43A46BE5"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Продукт</w:t>
            </w:r>
          </w:p>
        </w:tc>
        <w:tc>
          <w:tcPr>
            <w:tcW w:w="3119" w:type="dxa"/>
            <w:gridSpan w:val="2"/>
            <w:tcBorders>
              <w:top w:val="single" w:sz="8" w:space="0" w:color="auto"/>
              <w:left w:val="nil"/>
              <w:bottom w:val="single" w:sz="4" w:space="0" w:color="auto"/>
              <w:right w:val="single" w:sz="4" w:space="0" w:color="auto"/>
            </w:tcBorders>
            <w:shd w:val="clear" w:color="auto" w:fill="auto"/>
            <w:noWrap/>
            <w:vAlign w:val="center"/>
            <w:hideMark/>
          </w:tcPr>
          <w:p w14:paraId="15CC0790"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Базовые параметры вклада</w:t>
            </w:r>
          </w:p>
        </w:tc>
        <w:tc>
          <w:tcPr>
            <w:tcW w:w="7938" w:type="dxa"/>
            <w:gridSpan w:val="6"/>
            <w:tcBorders>
              <w:top w:val="single" w:sz="4" w:space="0" w:color="auto"/>
              <w:left w:val="nil"/>
              <w:bottom w:val="single" w:sz="4" w:space="0" w:color="auto"/>
              <w:right w:val="single" w:sz="4" w:space="0" w:color="auto"/>
            </w:tcBorders>
          </w:tcPr>
          <w:p w14:paraId="4F4ACAD8"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color w:val="000000" w:themeColor="text1"/>
                <w:sz w:val="20"/>
                <w:szCs w:val="20"/>
              </w:rPr>
              <w:t>Процентные ставки* (% годовых) в зависимости от срока договора вклада</w:t>
            </w:r>
          </w:p>
        </w:tc>
      </w:tr>
      <w:tr w:rsidR="00090437" w:rsidRPr="00090437" w14:paraId="03C5508F" w14:textId="77777777" w:rsidTr="00090437">
        <w:trPr>
          <w:trHeight w:val="253"/>
        </w:trPr>
        <w:tc>
          <w:tcPr>
            <w:tcW w:w="2307" w:type="dxa"/>
            <w:vMerge/>
            <w:tcBorders>
              <w:top w:val="single" w:sz="8" w:space="0" w:color="auto"/>
              <w:left w:val="single" w:sz="8" w:space="0" w:color="auto"/>
              <w:bottom w:val="single" w:sz="8" w:space="0" w:color="000000"/>
              <w:right w:val="nil"/>
            </w:tcBorders>
            <w:vAlign w:val="center"/>
            <w:hideMark/>
          </w:tcPr>
          <w:p w14:paraId="62C15710" w14:textId="77777777" w:rsidR="00090437" w:rsidRPr="00090437" w:rsidRDefault="00090437" w:rsidP="00090437">
            <w:pPr>
              <w:rPr>
                <w:rFonts w:ascii="Tahoma" w:hAnsi="Tahoma" w:cs="Tahoma"/>
                <w:b/>
                <w:bCs/>
                <w:iCs/>
                <w:color w:val="000000" w:themeColor="text1"/>
                <w:sz w:val="20"/>
                <w:szCs w:val="20"/>
              </w:rPr>
            </w:pPr>
          </w:p>
        </w:tc>
        <w:tc>
          <w:tcPr>
            <w:tcW w:w="2126" w:type="dxa"/>
            <w:vMerge/>
            <w:tcBorders>
              <w:top w:val="single" w:sz="8" w:space="0" w:color="auto"/>
              <w:left w:val="single" w:sz="8" w:space="0" w:color="auto"/>
              <w:bottom w:val="single" w:sz="8" w:space="0" w:color="000000"/>
              <w:right w:val="single" w:sz="4" w:space="0" w:color="auto"/>
            </w:tcBorders>
            <w:vAlign w:val="center"/>
            <w:hideMark/>
          </w:tcPr>
          <w:p w14:paraId="2E35F40E" w14:textId="77777777" w:rsidR="00090437" w:rsidRPr="00090437" w:rsidRDefault="00090437" w:rsidP="00090437">
            <w:pPr>
              <w:rPr>
                <w:rFonts w:ascii="Tahoma" w:hAnsi="Tahoma" w:cs="Tahoma"/>
                <w:b/>
                <w:bCs/>
                <w:iCs/>
                <w:color w:val="000000" w:themeColor="text1"/>
                <w:sz w:val="20"/>
                <w:szCs w:val="20"/>
              </w:rPr>
            </w:pPr>
          </w:p>
        </w:tc>
        <w:tc>
          <w:tcPr>
            <w:tcW w:w="1276" w:type="dxa"/>
            <w:tcBorders>
              <w:top w:val="nil"/>
              <w:left w:val="nil"/>
              <w:bottom w:val="single" w:sz="8" w:space="0" w:color="auto"/>
              <w:right w:val="single" w:sz="4" w:space="0" w:color="auto"/>
            </w:tcBorders>
            <w:shd w:val="clear" w:color="auto" w:fill="auto"/>
            <w:noWrap/>
            <w:vAlign w:val="center"/>
            <w:hideMark/>
          </w:tcPr>
          <w:p w14:paraId="66E09580"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Валюта вклада</w:t>
            </w:r>
          </w:p>
        </w:tc>
        <w:tc>
          <w:tcPr>
            <w:tcW w:w="1843" w:type="dxa"/>
            <w:tcBorders>
              <w:top w:val="nil"/>
              <w:left w:val="nil"/>
              <w:bottom w:val="single" w:sz="8" w:space="0" w:color="auto"/>
              <w:right w:val="single" w:sz="4" w:space="0" w:color="auto"/>
            </w:tcBorders>
            <w:shd w:val="clear" w:color="auto" w:fill="auto"/>
            <w:noWrap/>
            <w:vAlign w:val="center"/>
            <w:hideMark/>
          </w:tcPr>
          <w:p w14:paraId="50D4363A"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 xml:space="preserve">Минимальная сумма вклада </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78312A08"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92 дня</w:t>
            </w:r>
          </w:p>
        </w:tc>
        <w:tc>
          <w:tcPr>
            <w:tcW w:w="1276" w:type="dxa"/>
            <w:tcBorders>
              <w:top w:val="nil"/>
              <w:left w:val="single" w:sz="4" w:space="0" w:color="auto"/>
              <w:bottom w:val="single" w:sz="8" w:space="0" w:color="auto"/>
              <w:right w:val="single" w:sz="4" w:space="0" w:color="auto"/>
            </w:tcBorders>
            <w:shd w:val="clear" w:color="auto" w:fill="auto"/>
            <w:noWrap/>
            <w:vAlign w:val="center"/>
            <w:hideMark/>
          </w:tcPr>
          <w:p w14:paraId="11266261"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182 дня</w:t>
            </w:r>
          </w:p>
        </w:tc>
        <w:tc>
          <w:tcPr>
            <w:tcW w:w="1275" w:type="dxa"/>
            <w:tcBorders>
              <w:top w:val="nil"/>
              <w:left w:val="nil"/>
              <w:bottom w:val="single" w:sz="8" w:space="0" w:color="auto"/>
              <w:right w:val="single" w:sz="4" w:space="0" w:color="auto"/>
            </w:tcBorders>
            <w:shd w:val="clear" w:color="auto" w:fill="auto"/>
            <w:noWrap/>
            <w:vAlign w:val="center"/>
            <w:hideMark/>
          </w:tcPr>
          <w:p w14:paraId="0898E541"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367 дней</w:t>
            </w:r>
          </w:p>
        </w:tc>
        <w:tc>
          <w:tcPr>
            <w:tcW w:w="1418" w:type="dxa"/>
            <w:tcBorders>
              <w:top w:val="nil"/>
              <w:left w:val="nil"/>
              <w:bottom w:val="single" w:sz="8" w:space="0" w:color="auto"/>
              <w:right w:val="single" w:sz="4" w:space="0" w:color="auto"/>
            </w:tcBorders>
            <w:shd w:val="clear" w:color="auto" w:fill="auto"/>
            <w:noWrap/>
            <w:vAlign w:val="center"/>
            <w:hideMark/>
          </w:tcPr>
          <w:p w14:paraId="6C9FA310"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500 дней</w:t>
            </w:r>
          </w:p>
        </w:tc>
        <w:tc>
          <w:tcPr>
            <w:tcW w:w="1417" w:type="dxa"/>
            <w:tcBorders>
              <w:top w:val="nil"/>
              <w:left w:val="nil"/>
              <w:bottom w:val="single" w:sz="8" w:space="0" w:color="auto"/>
              <w:right w:val="single" w:sz="4" w:space="0" w:color="auto"/>
            </w:tcBorders>
            <w:shd w:val="clear" w:color="auto" w:fill="auto"/>
            <w:vAlign w:val="center"/>
          </w:tcPr>
          <w:p w14:paraId="433F7C59"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731 день</w:t>
            </w:r>
          </w:p>
        </w:tc>
        <w:tc>
          <w:tcPr>
            <w:tcW w:w="1418" w:type="dxa"/>
            <w:tcBorders>
              <w:top w:val="nil"/>
              <w:left w:val="nil"/>
              <w:bottom w:val="single" w:sz="8" w:space="0" w:color="auto"/>
              <w:right w:val="single" w:sz="4" w:space="0" w:color="auto"/>
            </w:tcBorders>
            <w:shd w:val="clear" w:color="auto" w:fill="auto"/>
            <w:noWrap/>
            <w:vAlign w:val="center"/>
            <w:hideMark/>
          </w:tcPr>
          <w:p w14:paraId="75922C95" w14:textId="77777777" w:rsidR="00090437" w:rsidRPr="00090437" w:rsidRDefault="00090437" w:rsidP="00090437">
            <w:pPr>
              <w:jc w:val="center"/>
              <w:rPr>
                <w:rFonts w:ascii="Tahoma" w:hAnsi="Tahoma" w:cs="Tahoma"/>
                <w:b/>
                <w:bCs/>
                <w:iCs/>
                <w:sz w:val="20"/>
                <w:szCs w:val="20"/>
              </w:rPr>
            </w:pPr>
            <w:r w:rsidRPr="00090437">
              <w:rPr>
                <w:rFonts w:ascii="Tahoma" w:hAnsi="Tahoma" w:cs="Tahoma"/>
                <w:b/>
                <w:bCs/>
                <w:iCs/>
                <w:sz w:val="20"/>
                <w:szCs w:val="20"/>
              </w:rPr>
              <w:t>1098 дней</w:t>
            </w:r>
          </w:p>
        </w:tc>
      </w:tr>
      <w:tr w:rsidR="00090437" w:rsidRPr="00090437" w14:paraId="7909D499" w14:textId="77777777" w:rsidTr="00090437">
        <w:trPr>
          <w:trHeight w:val="60"/>
        </w:trPr>
        <w:tc>
          <w:tcPr>
            <w:tcW w:w="2307" w:type="dxa"/>
            <w:vMerge w:val="restart"/>
            <w:tcBorders>
              <w:top w:val="nil"/>
              <w:left w:val="single" w:sz="8" w:space="0" w:color="auto"/>
              <w:right w:val="nil"/>
            </w:tcBorders>
            <w:shd w:val="clear" w:color="auto" w:fill="auto"/>
            <w:vAlign w:val="center"/>
            <w:hideMark/>
          </w:tcPr>
          <w:p w14:paraId="43B03E50" w14:textId="77777777" w:rsidR="00090437" w:rsidRPr="00090437" w:rsidRDefault="00090437" w:rsidP="00090437">
            <w:pPr>
              <w:jc w:val="center"/>
              <w:rPr>
                <w:rFonts w:ascii="Tahoma" w:hAnsi="Tahoma" w:cs="Tahoma"/>
                <w:bCs/>
                <w:iCs/>
                <w:color w:val="000000" w:themeColor="text1"/>
                <w:sz w:val="20"/>
                <w:szCs w:val="20"/>
              </w:rPr>
            </w:pPr>
            <w:r w:rsidRPr="00090437">
              <w:rPr>
                <w:rFonts w:ascii="Tahoma" w:hAnsi="Tahoma" w:cs="Tahoma"/>
                <w:bCs/>
                <w:iCs/>
                <w:color w:val="000000" w:themeColor="text1"/>
                <w:sz w:val="20"/>
                <w:szCs w:val="20"/>
              </w:rPr>
              <w:t>Все категории клиентов</w:t>
            </w:r>
          </w:p>
        </w:tc>
        <w:tc>
          <w:tcPr>
            <w:tcW w:w="2126" w:type="dxa"/>
            <w:vMerge w:val="restart"/>
            <w:tcBorders>
              <w:top w:val="nil"/>
              <w:left w:val="single" w:sz="8" w:space="0" w:color="auto"/>
              <w:right w:val="single" w:sz="4" w:space="0" w:color="auto"/>
            </w:tcBorders>
            <w:shd w:val="clear" w:color="000000" w:fill="FFC000"/>
            <w:vAlign w:val="center"/>
            <w:hideMark/>
          </w:tcPr>
          <w:p w14:paraId="5B535E06" w14:textId="77777777" w:rsidR="00090437" w:rsidRPr="00090437" w:rsidRDefault="00090437" w:rsidP="00090437">
            <w:pPr>
              <w:jc w:val="center"/>
              <w:rPr>
                <w:rFonts w:ascii="Tahoma" w:hAnsi="Tahoma" w:cs="Tahoma"/>
                <w:bCs/>
                <w:iCs/>
                <w:color w:val="000000" w:themeColor="text1"/>
                <w:sz w:val="20"/>
                <w:szCs w:val="20"/>
              </w:rPr>
            </w:pPr>
            <w:r w:rsidRPr="00090437">
              <w:rPr>
                <w:rFonts w:ascii="Tahoma" w:hAnsi="Tahoma" w:cs="Tahoma"/>
                <w:bCs/>
                <w:iCs/>
                <w:color w:val="000000" w:themeColor="text1"/>
                <w:sz w:val="20"/>
                <w:szCs w:val="20"/>
              </w:rPr>
              <w:t>Сохрани+ Онлайн</w:t>
            </w:r>
          </w:p>
        </w:tc>
        <w:tc>
          <w:tcPr>
            <w:tcW w:w="1276" w:type="dxa"/>
            <w:tcBorders>
              <w:top w:val="nil"/>
              <w:left w:val="nil"/>
              <w:bottom w:val="single" w:sz="4" w:space="0" w:color="auto"/>
              <w:right w:val="single" w:sz="4" w:space="0" w:color="auto"/>
            </w:tcBorders>
            <w:shd w:val="clear" w:color="auto" w:fill="auto"/>
            <w:noWrap/>
            <w:vAlign w:val="center"/>
            <w:hideMark/>
          </w:tcPr>
          <w:p w14:paraId="284AF9A7" w14:textId="77777777" w:rsidR="00090437" w:rsidRPr="00090437" w:rsidRDefault="00090437" w:rsidP="00090437">
            <w:pPr>
              <w:jc w:val="center"/>
              <w:rPr>
                <w:rFonts w:ascii="Tahoma" w:hAnsi="Tahoma" w:cs="Tahoma"/>
                <w:bCs/>
                <w:iCs/>
                <w:color w:val="000000" w:themeColor="text1"/>
                <w:sz w:val="20"/>
                <w:szCs w:val="20"/>
              </w:rPr>
            </w:pPr>
            <w:r w:rsidRPr="00090437">
              <w:rPr>
                <w:rFonts w:ascii="Tahoma" w:hAnsi="Tahoma" w:cs="Tahoma"/>
                <w:bCs/>
                <w:iCs/>
                <w:color w:val="000000" w:themeColor="text1"/>
                <w:sz w:val="20"/>
                <w:szCs w:val="20"/>
              </w:rPr>
              <w:t>рубли</w:t>
            </w:r>
          </w:p>
        </w:tc>
        <w:tc>
          <w:tcPr>
            <w:tcW w:w="1843" w:type="dxa"/>
            <w:tcBorders>
              <w:top w:val="nil"/>
              <w:left w:val="nil"/>
              <w:bottom w:val="single" w:sz="4" w:space="0" w:color="auto"/>
              <w:right w:val="single" w:sz="4" w:space="0" w:color="auto"/>
            </w:tcBorders>
            <w:shd w:val="clear" w:color="auto" w:fill="auto"/>
            <w:noWrap/>
            <w:vAlign w:val="center"/>
            <w:hideMark/>
          </w:tcPr>
          <w:p w14:paraId="5F583D9A" w14:textId="77777777" w:rsidR="00090437" w:rsidRPr="00090437" w:rsidRDefault="00090437" w:rsidP="00090437">
            <w:pPr>
              <w:jc w:val="center"/>
              <w:rPr>
                <w:rFonts w:ascii="Tahoma" w:hAnsi="Tahoma" w:cs="Tahoma"/>
                <w:bCs/>
                <w:iCs/>
                <w:color w:val="000000" w:themeColor="text1"/>
                <w:sz w:val="20"/>
                <w:szCs w:val="20"/>
              </w:rPr>
            </w:pPr>
            <w:r w:rsidRPr="00090437">
              <w:rPr>
                <w:rFonts w:ascii="Tahoma" w:hAnsi="Tahoma" w:cs="Tahoma"/>
                <w:bCs/>
                <w:iCs/>
                <w:color w:val="000000" w:themeColor="text1"/>
                <w:sz w:val="20"/>
                <w:szCs w:val="20"/>
              </w:rPr>
              <w:t>5 000</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57403727"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6,000</w:t>
            </w:r>
          </w:p>
        </w:tc>
        <w:tc>
          <w:tcPr>
            <w:tcW w:w="1276" w:type="dxa"/>
            <w:tcBorders>
              <w:top w:val="nil"/>
              <w:left w:val="single" w:sz="4" w:space="0" w:color="auto"/>
              <w:bottom w:val="single" w:sz="4" w:space="0" w:color="auto"/>
              <w:right w:val="single" w:sz="4" w:space="0" w:color="auto"/>
            </w:tcBorders>
            <w:shd w:val="clear" w:color="auto" w:fill="auto"/>
            <w:noWrap/>
            <w:vAlign w:val="center"/>
          </w:tcPr>
          <w:p w14:paraId="5590B6D2"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5,300</w:t>
            </w:r>
          </w:p>
        </w:tc>
        <w:tc>
          <w:tcPr>
            <w:tcW w:w="1275" w:type="dxa"/>
            <w:tcBorders>
              <w:top w:val="nil"/>
              <w:left w:val="nil"/>
              <w:bottom w:val="single" w:sz="4" w:space="0" w:color="auto"/>
              <w:right w:val="single" w:sz="4" w:space="0" w:color="auto"/>
            </w:tcBorders>
            <w:shd w:val="clear" w:color="auto" w:fill="auto"/>
            <w:noWrap/>
            <w:vAlign w:val="center"/>
          </w:tcPr>
          <w:p w14:paraId="2BC28675"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5,500</w:t>
            </w:r>
          </w:p>
        </w:tc>
        <w:tc>
          <w:tcPr>
            <w:tcW w:w="1418" w:type="dxa"/>
            <w:tcBorders>
              <w:top w:val="nil"/>
              <w:left w:val="nil"/>
              <w:bottom w:val="single" w:sz="4" w:space="0" w:color="auto"/>
              <w:right w:val="single" w:sz="4" w:space="0" w:color="auto"/>
            </w:tcBorders>
            <w:shd w:val="clear" w:color="auto" w:fill="auto"/>
            <w:noWrap/>
            <w:vAlign w:val="center"/>
          </w:tcPr>
          <w:p w14:paraId="60AD0D1F"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5,700</w:t>
            </w:r>
          </w:p>
        </w:tc>
        <w:tc>
          <w:tcPr>
            <w:tcW w:w="1417" w:type="dxa"/>
            <w:tcBorders>
              <w:top w:val="nil"/>
              <w:left w:val="nil"/>
              <w:bottom w:val="single" w:sz="4" w:space="0" w:color="auto"/>
              <w:right w:val="single" w:sz="4" w:space="0" w:color="auto"/>
            </w:tcBorders>
            <w:shd w:val="clear" w:color="auto" w:fill="auto"/>
            <w:vAlign w:val="center"/>
          </w:tcPr>
          <w:p w14:paraId="69DD3733"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5,500</w:t>
            </w:r>
          </w:p>
        </w:tc>
        <w:tc>
          <w:tcPr>
            <w:tcW w:w="1418" w:type="dxa"/>
            <w:tcBorders>
              <w:top w:val="nil"/>
              <w:left w:val="nil"/>
              <w:bottom w:val="single" w:sz="4" w:space="0" w:color="auto"/>
              <w:right w:val="single" w:sz="4" w:space="0" w:color="auto"/>
            </w:tcBorders>
            <w:shd w:val="clear" w:color="auto" w:fill="auto"/>
            <w:noWrap/>
            <w:vAlign w:val="center"/>
          </w:tcPr>
          <w:p w14:paraId="669B90AB"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5,200</w:t>
            </w:r>
          </w:p>
        </w:tc>
      </w:tr>
      <w:tr w:rsidR="00090437" w:rsidRPr="00090437" w14:paraId="15D65854" w14:textId="77777777" w:rsidTr="00090437">
        <w:trPr>
          <w:trHeight w:val="132"/>
        </w:trPr>
        <w:tc>
          <w:tcPr>
            <w:tcW w:w="2307" w:type="dxa"/>
            <w:vMerge/>
            <w:tcBorders>
              <w:left w:val="single" w:sz="8" w:space="0" w:color="auto"/>
              <w:bottom w:val="single" w:sz="4" w:space="0" w:color="auto"/>
              <w:right w:val="nil"/>
            </w:tcBorders>
            <w:shd w:val="clear" w:color="auto" w:fill="auto"/>
            <w:vAlign w:val="center"/>
          </w:tcPr>
          <w:p w14:paraId="092DE1AE" w14:textId="77777777" w:rsidR="00090437" w:rsidRPr="00090437" w:rsidRDefault="00090437" w:rsidP="00090437">
            <w:pPr>
              <w:jc w:val="center"/>
              <w:rPr>
                <w:rFonts w:ascii="Tahoma" w:hAnsi="Tahoma" w:cs="Tahoma"/>
                <w:bCs/>
                <w:iCs/>
                <w:color w:val="000000" w:themeColor="text1"/>
                <w:sz w:val="20"/>
                <w:szCs w:val="20"/>
              </w:rPr>
            </w:pPr>
          </w:p>
        </w:tc>
        <w:tc>
          <w:tcPr>
            <w:tcW w:w="2126" w:type="dxa"/>
            <w:vMerge/>
            <w:tcBorders>
              <w:left w:val="single" w:sz="8" w:space="0" w:color="auto"/>
              <w:bottom w:val="single" w:sz="4" w:space="0" w:color="auto"/>
              <w:right w:val="single" w:sz="4" w:space="0" w:color="auto"/>
            </w:tcBorders>
            <w:vAlign w:val="center"/>
            <w:hideMark/>
          </w:tcPr>
          <w:p w14:paraId="4037797F" w14:textId="77777777" w:rsidR="00090437" w:rsidRPr="00090437" w:rsidRDefault="00090437" w:rsidP="00090437">
            <w:pPr>
              <w:rPr>
                <w:rFonts w:ascii="Tahoma" w:hAnsi="Tahoma" w:cs="Tahoma"/>
                <w:bCs/>
                <w:iCs/>
                <w:color w:val="000000" w:themeColor="text1"/>
                <w:sz w:val="20"/>
                <w:szCs w:val="20"/>
              </w:rPr>
            </w:pP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2B3CDA33"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рубли</w:t>
            </w:r>
          </w:p>
        </w:tc>
        <w:tc>
          <w:tcPr>
            <w:tcW w:w="1843" w:type="dxa"/>
            <w:tcBorders>
              <w:top w:val="nil"/>
              <w:left w:val="nil"/>
              <w:bottom w:val="single" w:sz="4" w:space="0" w:color="auto"/>
              <w:right w:val="single" w:sz="4" w:space="0" w:color="auto"/>
            </w:tcBorders>
            <w:shd w:val="clear" w:color="auto" w:fill="auto"/>
            <w:noWrap/>
            <w:vAlign w:val="center"/>
            <w:hideMark/>
          </w:tcPr>
          <w:p w14:paraId="588BA0EE" w14:textId="77777777" w:rsidR="00090437" w:rsidRPr="00090437" w:rsidRDefault="00090437" w:rsidP="00090437">
            <w:pPr>
              <w:jc w:val="center"/>
              <w:rPr>
                <w:rFonts w:ascii="Tahoma" w:hAnsi="Tahoma" w:cs="Tahoma"/>
                <w:bCs/>
                <w:iCs/>
                <w:sz w:val="20"/>
                <w:szCs w:val="20"/>
              </w:rPr>
            </w:pPr>
            <w:r w:rsidRPr="00090437">
              <w:rPr>
                <w:rFonts w:ascii="Tahoma" w:hAnsi="Tahoma" w:cs="Tahoma"/>
                <w:bCs/>
                <w:iCs/>
                <w:sz w:val="20"/>
                <w:szCs w:val="20"/>
              </w:rPr>
              <w:t>3 000 000</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7FA9B275"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6,200</w:t>
            </w:r>
          </w:p>
        </w:tc>
        <w:tc>
          <w:tcPr>
            <w:tcW w:w="1276" w:type="dxa"/>
            <w:tcBorders>
              <w:top w:val="nil"/>
              <w:left w:val="single" w:sz="4" w:space="0" w:color="auto"/>
              <w:bottom w:val="single" w:sz="4" w:space="0" w:color="auto"/>
              <w:right w:val="single" w:sz="4" w:space="0" w:color="auto"/>
            </w:tcBorders>
            <w:shd w:val="clear" w:color="auto" w:fill="auto"/>
            <w:noWrap/>
            <w:vAlign w:val="center"/>
          </w:tcPr>
          <w:p w14:paraId="2C303734"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5,500</w:t>
            </w:r>
          </w:p>
        </w:tc>
        <w:tc>
          <w:tcPr>
            <w:tcW w:w="1275" w:type="dxa"/>
            <w:tcBorders>
              <w:top w:val="nil"/>
              <w:left w:val="nil"/>
              <w:bottom w:val="single" w:sz="4" w:space="0" w:color="auto"/>
              <w:right w:val="single" w:sz="4" w:space="0" w:color="auto"/>
            </w:tcBorders>
            <w:shd w:val="clear" w:color="auto" w:fill="auto"/>
            <w:noWrap/>
            <w:vAlign w:val="center"/>
          </w:tcPr>
          <w:p w14:paraId="50C293BE"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5,700</w:t>
            </w:r>
          </w:p>
        </w:tc>
        <w:tc>
          <w:tcPr>
            <w:tcW w:w="1418" w:type="dxa"/>
            <w:tcBorders>
              <w:top w:val="nil"/>
              <w:left w:val="nil"/>
              <w:bottom w:val="single" w:sz="4" w:space="0" w:color="auto"/>
              <w:right w:val="single" w:sz="4" w:space="0" w:color="auto"/>
            </w:tcBorders>
            <w:shd w:val="clear" w:color="auto" w:fill="auto"/>
            <w:noWrap/>
            <w:vAlign w:val="center"/>
          </w:tcPr>
          <w:p w14:paraId="53AAAF4C"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5,900</w:t>
            </w:r>
          </w:p>
        </w:tc>
        <w:tc>
          <w:tcPr>
            <w:tcW w:w="1417" w:type="dxa"/>
            <w:tcBorders>
              <w:top w:val="nil"/>
              <w:left w:val="nil"/>
              <w:bottom w:val="single" w:sz="4" w:space="0" w:color="auto"/>
              <w:right w:val="single" w:sz="4" w:space="0" w:color="auto"/>
            </w:tcBorders>
            <w:shd w:val="clear" w:color="auto" w:fill="auto"/>
            <w:vAlign w:val="center"/>
          </w:tcPr>
          <w:p w14:paraId="5613D731"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5,700</w:t>
            </w:r>
          </w:p>
        </w:tc>
        <w:tc>
          <w:tcPr>
            <w:tcW w:w="1418" w:type="dxa"/>
            <w:tcBorders>
              <w:top w:val="nil"/>
              <w:left w:val="nil"/>
              <w:bottom w:val="single" w:sz="4" w:space="0" w:color="auto"/>
              <w:right w:val="single" w:sz="4" w:space="0" w:color="auto"/>
            </w:tcBorders>
            <w:shd w:val="clear" w:color="auto" w:fill="auto"/>
            <w:noWrap/>
            <w:vAlign w:val="center"/>
          </w:tcPr>
          <w:p w14:paraId="523351CF"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5,400</w:t>
            </w:r>
          </w:p>
        </w:tc>
      </w:tr>
    </w:tbl>
    <w:p w14:paraId="5B075818" w14:textId="77777777" w:rsidR="00090437" w:rsidRPr="00090437" w:rsidRDefault="00090437" w:rsidP="00090437">
      <w:pPr>
        <w:tabs>
          <w:tab w:val="left" w:pos="284"/>
        </w:tabs>
        <w:jc w:val="both"/>
        <w:rPr>
          <w:rFonts w:ascii="Tahoma" w:hAnsi="Tahoma" w:cs="Tahoma"/>
          <w:color w:val="FF0000"/>
          <w:sz w:val="16"/>
          <w:szCs w:val="16"/>
        </w:rPr>
      </w:pPr>
      <w:r w:rsidRPr="00090437">
        <w:rPr>
          <w:rFonts w:ascii="Tahoma" w:hAnsi="Tahoma" w:cs="Tahoma"/>
          <w:sz w:val="18"/>
          <w:szCs w:val="18"/>
        </w:rPr>
        <w:t>*Соответствует значению минимальной гарантированной ставки (годовых) с учетом округления, определяющему минимальный доход, выплачиваемый вкладчику на сумму вклада при условии хранения суммы вклада до конца срока вклада без учета каких-либо других условий. Порядок расчета минимальной гарантированной ставки по вкладу определяется Банком России.</w:t>
      </w:r>
    </w:p>
    <w:p w14:paraId="43CB78CB" w14:textId="77777777" w:rsidR="00090437" w:rsidRPr="00090437" w:rsidRDefault="00090437" w:rsidP="00090437">
      <w:pPr>
        <w:tabs>
          <w:tab w:val="left" w:pos="284"/>
        </w:tabs>
        <w:jc w:val="both"/>
        <w:rPr>
          <w:rFonts w:ascii="Tahoma" w:hAnsi="Tahoma" w:cs="Tahoma"/>
          <w:b/>
          <w:bCs/>
          <w:iCs/>
          <w:color w:val="E36C0A"/>
          <w:sz w:val="22"/>
          <w:szCs w:val="22"/>
        </w:rPr>
      </w:pPr>
    </w:p>
    <w:p w14:paraId="6FE5E90C" w14:textId="3AEFAB63" w:rsidR="00090437" w:rsidRPr="00090437" w:rsidRDefault="00DE6159" w:rsidP="000B3718">
      <w:pPr>
        <w:pStyle w:val="a5"/>
      </w:pPr>
      <w:r>
        <w:t>3.5</w:t>
      </w:r>
      <w:r w:rsidR="00955573">
        <w:t>2</w:t>
      </w:r>
      <w:r w:rsidR="00090437" w:rsidRPr="00090437">
        <w:t>.</w:t>
      </w:r>
      <w:r w:rsidR="00090437" w:rsidRPr="00090437">
        <w:tab/>
        <w:t>Вклад «Управляй Онлайн» (условия для пролонгируемых вкадов)</w:t>
      </w:r>
    </w:p>
    <w:p w14:paraId="622A6160" w14:textId="77777777" w:rsidR="00090437" w:rsidRPr="00090437" w:rsidRDefault="00090437" w:rsidP="00090437">
      <w:pPr>
        <w:tabs>
          <w:tab w:val="left" w:pos="284"/>
        </w:tabs>
        <w:jc w:val="both"/>
        <w:rPr>
          <w:rFonts w:ascii="Tahoma" w:hAnsi="Tahoma" w:cs="Tahoma"/>
          <w:b/>
          <w:bCs/>
          <w:iCs/>
          <w:sz w:val="22"/>
          <w:szCs w:val="22"/>
        </w:rPr>
      </w:pPr>
      <w:r w:rsidRPr="00090437">
        <w:rPr>
          <w:rFonts w:ascii="Tahoma" w:hAnsi="Tahoma" w:cs="Tahoma"/>
          <w:color w:val="000000"/>
          <w:sz w:val="22"/>
          <w:szCs w:val="22"/>
          <w:lang w:eastAsia="en-US"/>
        </w:rPr>
        <w:t>Условия:</w:t>
      </w:r>
    </w:p>
    <w:p w14:paraId="0EE68EFF" w14:textId="77777777" w:rsidR="00090437" w:rsidRPr="00090437" w:rsidRDefault="00090437" w:rsidP="006D3ED5">
      <w:pPr>
        <w:numPr>
          <w:ilvl w:val="0"/>
          <w:numId w:val="75"/>
        </w:numPr>
        <w:autoSpaceDN w:val="0"/>
        <w:contextualSpacing/>
        <w:jc w:val="both"/>
        <w:rPr>
          <w:rFonts w:ascii="Tahoma" w:hAnsi="Tahoma" w:cs="Tahoma"/>
          <w:sz w:val="22"/>
          <w:szCs w:val="22"/>
        </w:rPr>
      </w:pPr>
      <w:r w:rsidRPr="00090437">
        <w:rPr>
          <w:rFonts w:ascii="Tahoma" w:hAnsi="Tahoma" w:cs="Tahoma"/>
          <w:sz w:val="22"/>
          <w:szCs w:val="22"/>
        </w:rPr>
        <w:t>Валюта - рубли;</w:t>
      </w:r>
    </w:p>
    <w:p w14:paraId="3E088E6D" w14:textId="77777777" w:rsidR="00090437" w:rsidRPr="00090437" w:rsidRDefault="00090437" w:rsidP="006D3ED5">
      <w:pPr>
        <w:numPr>
          <w:ilvl w:val="0"/>
          <w:numId w:val="75"/>
        </w:numPr>
        <w:autoSpaceDN w:val="0"/>
        <w:contextualSpacing/>
        <w:jc w:val="both"/>
        <w:rPr>
          <w:rFonts w:ascii="Tahoma" w:hAnsi="Tahoma" w:cs="Tahoma"/>
          <w:sz w:val="22"/>
          <w:szCs w:val="22"/>
        </w:rPr>
      </w:pPr>
      <w:r w:rsidRPr="00090437">
        <w:rPr>
          <w:rFonts w:ascii="Tahoma" w:hAnsi="Tahoma" w:cs="Tahoma"/>
          <w:sz w:val="22"/>
          <w:szCs w:val="22"/>
        </w:rPr>
        <w:t>Минимальная сумма Вклада (неснижаемый остаток) - 1 000 рублей;</w:t>
      </w:r>
    </w:p>
    <w:p w14:paraId="694CB181" w14:textId="77777777" w:rsidR="00090437" w:rsidRPr="00090437" w:rsidRDefault="00090437" w:rsidP="006D3ED5">
      <w:pPr>
        <w:numPr>
          <w:ilvl w:val="0"/>
          <w:numId w:val="75"/>
        </w:numPr>
        <w:autoSpaceDN w:val="0"/>
        <w:contextualSpacing/>
        <w:jc w:val="both"/>
        <w:rPr>
          <w:rFonts w:ascii="Tahoma" w:hAnsi="Tahoma" w:cs="Tahoma"/>
          <w:sz w:val="22"/>
          <w:szCs w:val="22"/>
        </w:rPr>
      </w:pPr>
      <w:r w:rsidRPr="00090437">
        <w:rPr>
          <w:rFonts w:ascii="Tahoma" w:hAnsi="Tahoma" w:cs="Tahoma"/>
          <w:sz w:val="22"/>
          <w:szCs w:val="22"/>
        </w:rPr>
        <w:t>Максимальная сумма Вклада – не ограничена;</w:t>
      </w:r>
    </w:p>
    <w:p w14:paraId="3E428DC3" w14:textId="77777777" w:rsidR="00090437" w:rsidRPr="00090437" w:rsidRDefault="00090437" w:rsidP="006D3ED5">
      <w:pPr>
        <w:numPr>
          <w:ilvl w:val="0"/>
          <w:numId w:val="75"/>
        </w:numPr>
        <w:autoSpaceDN w:val="0"/>
        <w:contextualSpacing/>
        <w:jc w:val="both"/>
        <w:rPr>
          <w:rFonts w:ascii="Tahoma" w:hAnsi="Tahoma" w:cs="Tahoma"/>
          <w:color w:val="000000" w:themeColor="text1"/>
          <w:sz w:val="22"/>
          <w:szCs w:val="22"/>
        </w:rPr>
      </w:pPr>
      <w:r w:rsidRPr="00090437">
        <w:rPr>
          <w:rFonts w:ascii="Tahoma" w:hAnsi="Tahoma" w:cs="Tahoma"/>
          <w:sz w:val="22"/>
          <w:szCs w:val="22"/>
        </w:rPr>
        <w:t xml:space="preserve">Срок Вклада – 92 дня/ 182 дня/ 367 дней/ </w:t>
      </w:r>
      <w:r w:rsidRPr="00090437">
        <w:rPr>
          <w:rFonts w:ascii="Tahoma" w:hAnsi="Tahoma" w:cs="Tahoma"/>
          <w:color w:val="000000" w:themeColor="text1"/>
          <w:sz w:val="22"/>
          <w:szCs w:val="22"/>
        </w:rPr>
        <w:t>500 дней/ 731 день/ 1098 дней;</w:t>
      </w:r>
    </w:p>
    <w:p w14:paraId="1A453AE6" w14:textId="77777777" w:rsidR="00090437" w:rsidRPr="00090437" w:rsidRDefault="00090437" w:rsidP="006D3ED5">
      <w:pPr>
        <w:numPr>
          <w:ilvl w:val="0"/>
          <w:numId w:val="75"/>
        </w:numPr>
        <w:autoSpaceDN w:val="0"/>
        <w:contextualSpacing/>
        <w:jc w:val="both"/>
        <w:rPr>
          <w:rFonts w:ascii="Tahoma" w:hAnsi="Tahoma" w:cs="Tahoma"/>
          <w:color w:val="000000" w:themeColor="text1"/>
          <w:sz w:val="22"/>
          <w:szCs w:val="22"/>
        </w:rPr>
      </w:pPr>
      <w:r w:rsidRPr="00090437">
        <w:rPr>
          <w:rFonts w:ascii="Tahoma" w:hAnsi="Tahoma" w:cs="Tahoma"/>
          <w:color w:val="000000" w:themeColor="text1"/>
          <w:sz w:val="22"/>
          <w:szCs w:val="22"/>
        </w:rPr>
        <w:t>Вклад пополняемый;</w:t>
      </w:r>
    </w:p>
    <w:p w14:paraId="6CF140D9" w14:textId="77777777" w:rsidR="00090437" w:rsidRPr="00090437" w:rsidRDefault="00090437" w:rsidP="006D3ED5">
      <w:pPr>
        <w:numPr>
          <w:ilvl w:val="0"/>
          <w:numId w:val="75"/>
        </w:numPr>
        <w:autoSpaceDN w:val="0"/>
        <w:contextualSpacing/>
        <w:jc w:val="both"/>
        <w:rPr>
          <w:rFonts w:ascii="Tahoma" w:hAnsi="Tahoma" w:cs="Tahoma"/>
          <w:color w:val="000000" w:themeColor="text1"/>
          <w:sz w:val="22"/>
          <w:szCs w:val="22"/>
        </w:rPr>
      </w:pPr>
      <w:r w:rsidRPr="00090437">
        <w:rPr>
          <w:rFonts w:ascii="Tahoma" w:hAnsi="Tahoma" w:cs="Tahoma"/>
          <w:color w:val="000000" w:themeColor="text1"/>
          <w:sz w:val="22"/>
          <w:szCs w:val="22"/>
        </w:rPr>
        <w:t>Продление (автоматическое перезаключение) Договора без оформления дополнительных соглашений – без ограничений;</w:t>
      </w:r>
    </w:p>
    <w:p w14:paraId="7E51C6FB" w14:textId="77777777" w:rsidR="00090437" w:rsidRPr="00090437" w:rsidRDefault="00090437" w:rsidP="006D3ED5">
      <w:pPr>
        <w:widowControl w:val="0"/>
        <w:numPr>
          <w:ilvl w:val="0"/>
          <w:numId w:val="75"/>
        </w:numPr>
        <w:tabs>
          <w:tab w:val="left" w:pos="851"/>
        </w:tabs>
        <w:autoSpaceDN w:val="0"/>
        <w:adjustRightInd w:val="0"/>
        <w:ind w:right="-1"/>
        <w:contextualSpacing/>
        <w:jc w:val="both"/>
        <w:rPr>
          <w:rFonts w:ascii="Tahoma" w:hAnsi="Tahoma" w:cs="Tahoma"/>
          <w:color w:val="000000" w:themeColor="text1"/>
          <w:sz w:val="22"/>
          <w:szCs w:val="22"/>
        </w:rPr>
      </w:pPr>
      <w:r w:rsidRPr="00090437">
        <w:rPr>
          <w:rFonts w:ascii="Tahoma" w:hAnsi="Tahoma" w:cs="Tahoma"/>
          <w:color w:val="000000" w:themeColor="text1"/>
          <w:sz w:val="22"/>
          <w:szCs w:val="22"/>
        </w:rPr>
        <w:t>Выплата процентов и суммы Вклада- ежемесячно на счет банковской карты;</w:t>
      </w:r>
    </w:p>
    <w:p w14:paraId="224B78A8" w14:textId="77777777" w:rsidR="00090437" w:rsidRPr="00090437" w:rsidRDefault="00090437" w:rsidP="006D3ED5">
      <w:pPr>
        <w:widowControl w:val="0"/>
        <w:numPr>
          <w:ilvl w:val="0"/>
          <w:numId w:val="75"/>
        </w:numPr>
        <w:tabs>
          <w:tab w:val="left" w:pos="851"/>
        </w:tabs>
        <w:autoSpaceDE w:val="0"/>
        <w:autoSpaceDN w:val="0"/>
        <w:adjustRightInd w:val="0"/>
        <w:ind w:right="-1"/>
        <w:contextualSpacing/>
        <w:jc w:val="both"/>
        <w:rPr>
          <w:rFonts w:ascii="Tahoma" w:hAnsi="Tahoma" w:cs="Tahoma"/>
          <w:color w:val="000000" w:themeColor="text1"/>
          <w:sz w:val="22"/>
          <w:szCs w:val="22"/>
        </w:rPr>
      </w:pPr>
      <w:r w:rsidRPr="00090437">
        <w:rPr>
          <w:rFonts w:ascii="Tahoma" w:hAnsi="Tahoma" w:cs="Tahoma"/>
          <w:color w:val="000000" w:themeColor="text1"/>
          <w:sz w:val="22"/>
          <w:szCs w:val="22"/>
        </w:rPr>
        <w:t>Частичное снятие – по Вкладу возможно частичное снятие с сохранением процентной ставки до неснижаемого остатка, установленного Договором;</w:t>
      </w:r>
    </w:p>
    <w:p w14:paraId="4460870B" w14:textId="77777777" w:rsidR="00090437" w:rsidRPr="00090437" w:rsidRDefault="00090437" w:rsidP="006D3ED5">
      <w:pPr>
        <w:widowControl w:val="0"/>
        <w:numPr>
          <w:ilvl w:val="0"/>
          <w:numId w:val="75"/>
        </w:numPr>
        <w:tabs>
          <w:tab w:val="left" w:pos="284"/>
          <w:tab w:val="left" w:pos="851"/>
        </w:tabs>
        <w:autoSpaceDE w:val="0"/>
        <w:autoSpaceDN w:val="0"/>
        <w:adjustRightInd w:val="0"/>
        <w:contextualSpacing/>
        <w:jc w:val="both"/>
        <w:rPr>
          <w:rFonts w:ascii="Tahoma" w:hAnsi="Tahoma" w:cs="Tahoma"/>
          <w:color w:val="000000" w:themeColor="text1"/>
          <w:sz w:val="22"/>
          <w:szCs w:val="22"/>
          <w:lang w:eastAsia="en-US"/>
        </w:rPr>
      </w:pPr>
      <w:r w:rsidRPr="00090437">
        <w:rPr>
          <w:rFonts w:ascii="Tahoma" w:hAnsi="Tahoma" w:cs="Tahoma"/>
          <w:color w:val="000000" w:themeColor="text1"/>
          <w:sz w:val="22"/>
          <w:szCs w:val="22"/>
        </w:rPr>
        <w:t>В случае досрочного отзыва Вклада по требованию Вкладчика проценты по Вкладу начисляются и выплачиваются Вкладчику по ставке Вклада «Личный счет» (до востребования) исходя из фактического срока нахождения средств во Вкладе. При этом возможно уменьшение основной суммы Вклада за счет пересчета ранее выплаченных процентов.</w:t>
      </w:r>
    </w:p>
    <w:p w14:paraId="46298BCF" w14:textId="77777777" w:rsidR="00090437" w:rsidRPr="00090437" w:rsidRDefault="00090437" w:rsidP="00090437">
      <w:pPr>
        <w:tabs>
          <w:tab w:val="left" w:pos="284"/>
        </w:tabs>
        <w:jc w:val="both"/>
        <w:rPr>
          <w:rFonts w:ascii="Tahoma" w:hAnsi="Tahoma" w:cs="Tahoma"/>
          <w:b/>
          <w:bCs/>
          <w:iCs/>
          <w:color w:val="000000" w:themeColor="text1"/>
          <w:sz w:val="22"/>
          <w:szCs w:val="22"/>
        </w:rPr>
      </w:pPr>
    </w:p>
    <w:tbl>
      <w:tblPr>
        <w:tblW w:w="5021" w:type="pct"/>
        <w:tblLayout w:type="fixed"/>
        <w:tblLook w:val="04A0" w:firstRow="1" w:lastRow="0" w:firstColumn="1" w:lastColumn="0" w:noHBand="0" w:noVBand="1"/>
      </w:tblPr>
      <w:tblGrid>
        <w:gridCol w:w="2039"/>
        <w:gridCol w:w="2285"/>
        <w:gridCol w:w="1686"/>
        <w:gridCol w:w="2627"/>
        <w:gridCol w:w="1276"/>
        <w:gridCol w:w="1276"/>
        <w:gridCol w:w="1078"/>
        <w:gridCol w:w="1106"/>
        <w:gridCol w:w="835"/>
        <w:gridCol w:w="978"/>
      </w:tblGrid>
      <w:tr w:rsidR="00090437" w:rsidRPr="00090437" w14:paraId="346EEAC7" w14:textId="77777777" w:rsidTr="00090437">
        <w:trPr>
          <w:trHeight w:val="319"/>
        </w:trPr>
        <w:tc>
          <w:tcPr>
            <w:tcW w:w="671" w:type="pct"/>
            <w:vMerge w:val="restart"/>
            <w:tcBorders>
              <w:top w:val="single" w:sz="8" w:space="0" w:color="auto"/>
              <w:left w:val="single" w:sz="8" w:space="0" w:color="auto"/>
              <w:bottom w:val="single" w:sz="8" w:space="0" w:color="000000"/>
              <w:right w:val="nil"/>
            </w:tcBorders>
            <w:shd w:val="clear" w:color="auto" w:fill="auto"/>
            <w:vAlign w:val="center"/>
            <w:hideMark/>
          </w:tcPr>
          <w:p w14:paraId="42E563BC"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Ориентировочный сегмент</w:t>
            </w:r>
          </w:p>
        </w:tc>
        <w:tc>
          <w:tcPr>
            <w:tcW w:w="752" w:type="pct"/>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752FED79"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Продукт</w:t>
            </w:r>
          </w:p>
        </w:tc>
        <w:tc>
          <w:tcPr>
            <w:tcW w:w="1420" w:type="pct"/>
            <w:gridSpan w:val="2"/>
            <w:tcBorders>
              <w:top w:val="single" w:sz="8" w:space="0" w:color="auto"/>
              <w:left w:val="nil"/>
              <w:bottom w:val="single" w:sz="4" w:space="0" w:color="auto"/>
              <w:right w:val="single" w:sz="4" w:space="0" w:color="auto"/>
            </w:tcBorders>
            <w:shd w:val="clear" w:color="auto" w:fill="auto"/>
            <w:noWrap/>
            <w:vAlign w:val="center"/>
            <w:hideMark/>
          </w:tcPr>
          <w:p w14:paraId="4AB6346A"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Базовые параметры вклада</w:t>
            </w:r>
          </w:p>
        </w:tc>
        <w:tc>
          <w:tcPr>
            <w:tcW w:w="2156" w:type="pct"/>
            <w:gridSpan w:val="6"/>
            <w:tcBorders>
              <w:top w:val="single" w:sz="8" w:space="0" w:color="auto"/>
              <w:left w:val="nil"/>
              <w:bottom w:val="single" w:sz="4" w:space="0" w:color="auto"/>
              <w:right w:val="single" w:sz="4" w:space="0" w:color="auto"/>
            </w:tcBorders>
            <w:shd w:val="clear" w:color="auto" w:fill="auto"/>
            <w:noWrap/>
            <w:vAlign w:val="center"/>
            <w:hideMark/>
          </w:tcPr>
          <w:p w14:paraId="4B05B148" w14:textId="77777777" w:rsidR="00090437" w:rsidRPr="00090437" w:rsidRDefault="00090437" w:rsidP="00090437">
            <w:pPr>
              <w:jc w:val="center"/>
              <w:rPr>
                <w:rFonts w:ascii="Tahoma" w:hAnsi="Tahoma" w:cs="Tahoma"/>
                <w:bCs/>
                <w:iCs/>
                <w:color w:val="000000" w:themeColor="text1"/>
                <w:sz w:val="20"/>
                <w:szCs w:val="20"/>
              </w:rPr>
            </w:pPr>
            <w:r w:rsidRPr="00090437">
              <w:rPr>
                <w:rFonts w:ascii="Tahoma" w:hAnsi="Tahoma" w:cs="Tahoma"/>
                <w:b/>
                <w:color w:val="000000" w:themeColor="text1"/>
                <w:sz w:val="20"/>
                <w:szCs w:val="20"/>
              </w:rPr>
              <w:t>Процентные ставки* (% годовых) в зависимости от срока договора вклада</w:t>
            </w:r>
          </w:p>
        </w:tc>
      </w:tr>
      <w:tr w:rsidR="00090437" w:rsidRPr="00090437" w14:paraId="417F0C2A" w14:textId="77777777" w:rsidTr="00090437">
        <w:trPr>
          <w:trHeight w:val="319"/>
        </w:trPr>
        <w:tc>
          <w:tcPr>
            <w:tcW w:w="671" w:type="pct"/>
            <w:vMerge/>
            <w:tcBorders>
              <w:top w:val="single" w:sz="8" w:space="0" w:color="auto"/>
              <w:left w:val="single" w:sz="8" w:space="0" w:color="auto"/>
              <w:bottom w:val="single" w:sz="8" w:space="0" w:color="000000"/>
              <w:right w:val="nil"/>
            </w:tcBorders>
            <w:vAlign w:val="center"/>
            <w:hideMark/>
          </w:tcPr>
          <w:p w14:paraId="1E31A30C" w14:textId="77777777" w:rsidR="00090437" w:rsidRPr="00090437" w:rsidRDefault="00090437" w:rsidP="00090437">
            <w:pPr>
              <w:rPr>
                <w:rFonts w:ascii="Tahoma" w:hAnsi="Tahoma" w:cs="Tahoma"/>
                <w:bCs/>
                <w:iCs/>
                <w:color w:val="000000" w:themeColor="text1"/>
                <w:sz w:val="20"/>
                <w:szCs w:val="20"/>
              </w:rPr>
            </w:pPr>
          </w:p>
        </w:tc>
        <w:tc>
          <w:tcPr>
            <w:tcW w:w="752" w:type="pct"/>
            <w:vMerge/>
            <w:tcBorders>
              <w:top w:val="single" w:sz="8" w:space="0" w:color="auto"/>
              <w:left w:val="single" w:sz="8" w:space="0" w:color="auto"/>
              <w:bottom w:val="single" w:sz="8" w:space="0" w:color="000000"/>
              <w:right w:val="single" w:sz="4" w:space="0" w:color="auto"/>
            </w:tcBorders>
            <w:vAlign w:val="center"/>
            <w:hideMark/>
          </w:tcPr>
          <w:p w14:paraId="7148B329" w14:textId="77777777" w:rsidR="00090437" w:rsidRPr="00090437" w:rsidRDefault="00090437" w:rsidP="00090437">
            <w:pPr>
              <w:rPr>
                <w:rFonts w:ascii="Tahoma" w:hAnsi="Tahoma" w:cs="Tahoma"/>
                <w:bCs/>
                <w:iCs/>
                <w:color w:val="000000" w:themeColor="text1"/>
                <w:sz w:val="20"/>
                <w:szCs w:val="20"/>
              </w:rPr>
            </w:pPr>
          </w:p>
        </w:tc>
        <w:tc>
          <w:tcPr>
            <w:tcW w:w="555" w:type="pct"/>
            <w:tcBorders>
              <w:top w:val="nil"/>
              <w:left w:val="nil"/>
              <w:bottom w:val="single" w:sz="8" w:space="0" w:color="auto"/>
              <w:right w:val="single" w:sz="4" w:space="0" w:color="auto"/>
            </w:tcBorders>
            <w:shd w:val="clear" w:color="auto" w:fill="auto"/>
            <w:noWrap/>
            <w:vAlign w:val="center"/>
            <w:hideMark/>
          </w:tcPr>
          <w:p w14:paraId="0D0E27C1"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Валюта вклада</w:t>
            </w:r>
          </w:p>
        </w:tc>
        <w:tc>
          <w:tcPr>
            <w:tcW w:w="865" w:type="pct"/>
            <w:tcBorders>
              <w:top w:val="nil"/>
              <w:left w:val="nil"/>
              <w:bottom w:val="single" w:sz="8" w:space="0" w:color="auto"/>
              <w:right w:val="single" w:sz="4" w:space="0" w:color="auto"/>
            </w:tcBorders>
            <w:shd w:val="clear" w:color="auto" w:fill="auto"/>
            <w:noWrap/>
            <w:vAlign w:val="center"/>
            <w:hideMark/>
          </w:tcPr>
          <w:p w14:paraId="7317D454"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 xml:space="preserve">Минимальная сумма вклада </w:t>
            </w:r>
          </w:p>
        </w:tc>
        <w:tc>
          <w:tcPr>
            <w:tcW w:w="420" w:type="pct"/>
            <w:tcBorders>
              <w:top w:val="nil"/>
              <w:left w:val="nil"/>
              <w:bottom w:val="single" w:sz="8" w:space="0" w:color="auto"/>
              <w:right w:val="single" w:sz="4" w:space="0" w:color="auto"/>
            </w:tcBorders>
            <w:shd w:val="clear" w:color="auto" w:fill="auto"/>
            <w:noWrap/>
            <w:vAlign w:val="center"/>
            <w:hideMark/>
          </w:tcPr>
          <w:p w14:paraId="743983B6"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92 дня</w:t>
            </w:r>
          </w:p>
        </w:tc>
        <w:tc>
          <w:tcPr>
            <w:tcW w:w="420" w:type="pct"/>
            <w:tcBorders>
              <w:top w:val="nil"/>
              <w:left w:val="nil"/>
              <w:bottom w:val="single" w:sz="8" w:space="0" w:color="auto"/>
              <w:right w:val="single" w:sz="4" w:space="0" w:color="auto"/>
            </w:tcBorders>
            <w:shd w:val="clear" w:color="auto" w:fill="auto"/>
            <w:vAlign w:val="center"/>
          </w:tcPr>
          <w:p w14:paraId="5D7EDE38"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182 дня</w:t>
            </w:r>
          </w:p>
        </w:tc>
        <w:tc>
          <w:tcPr>
            <w:tcW w:w="355" w:type="pct"/>
            <w:tcBorders>
              <w:top w:val="nil"/>
              <w:left w:val="nil"/>
              <w:bottom w:val="single" w:sz="8" w:space="0" w:color="auto"/>
              <w:right w:val="single" w:sz="4" w:space="0" w:color="auto"/>
            </w:tcBorders>
            <w:shd w:val="clear" w:color="auto" w:fill="auto"/>
            <w:noWrap/>
            <w:vAlign w:val="center"/>
            <w:hideMark/>
          </w:tcPr>
          <w:p w14:paraId="671FE2FB"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367 дней</w:t>
            </w:r>
          </w:p>
        </w:tc>
        <w:tc>
          <w:tcPr>
            <w:tcW w:w="364" w:type="pct"/>
            <w:tcBorders>
              <w:top w:val="nil"/>
              <w:left w:val="nil"/>
              <w:bottom w:val="single" w:sz="8" w:space="0" w:color="auto"/>
              <w:right w:val="single" w:sz="4" w:space="0" w:color="auto"/>
            </w:tcBorders>
            <w:shd w:val="clear" w:color="auto" w:fill="auto"/>
            <w:vAlign w:val="center"/>
          </w:tcPr>
          <w:p w14:paraId="4D53B2D1"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500 дней</w:t>
            </w:r>
          </w:p>
        </w:tc>
        <w:tc>
          <w:tcPr>
            <w:tcW w:w="275" w:type="pct"/>
            <w:tcBorders>
              <w:top w:val="nil"/>
              <w:left w:val="nil"/>
              <w:bottom w:val="single" w:sz="8" w:space="0" w:color="auto"/>
              <w:right w:val="single" w:sz="4" w:space="0" w:color="auto"/>
            </w:tcBorders>
            <w:shd w:val="clear" w:color="auto" w:fill="auto"/>
            <w:vAlign w:val="center"/>
          </w:tcPr>
          <w:p w14:paraId="1EFFCA87"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731 день</w:t>
            </w:r>
          </w:p>
        </w:tc>
        <w:tc>
          <w:tcPr>
            <w:tcW w:w="322" w:type="pct"/>
            <w:tcBorders>
              <w:top w:val="nil"/>
              <w:left w:val="nil"/>
              <w:bottom w:val="single" w:sz="8" w:space="0" w:color="auto"/>
              <w:right w:val="single" w:sz="4" w:space="0" w:color="auto"/>
            </w:tcBorders>
            <w:shd w:val="clear" w:color="auto" w:fill="auto"/>
            <w:vAlign w:val="center"/>
          </w:tcPr>
          <w:p w14:paraId="56096546" w14:textId="77777777" w:rsidR="00090437" w:rsidRPr="00090437" w:rsidRDefault="00090437" w:rsidP="00090437">
            <w:pPr>
              <w:jc w:val="center"/>
              <w:rPr>
                <w:rFonts w:ascii="Tahoma" w:hAnsi="Tahoma" w:cs="Tahoma"/>
                <w:b/>
                <w:bCs/>
                <w:iCs/>
                <w:color w:val="000000" w:themeColor="text1"/>
                <w:sz w:val="20"/>
                <w:szCs w:val="20"/>
              </w:rPr>
            </w:pPr>
            <w:r w:rsidRPr="00090437">
              <w:rPr>
                <w:rFonts w:ascii="Tahoma" w:hAnsi="Tahoma" w:cs="Tahoma"/>
                <w:b/>
                <w:bCs/>
                <w:iCs/>
                <w:color w:val="000000" w:themeColor="text1"/>
                <w:sz w:val="20"/>
                <w:szCs w:val="20"/>
              </w:rPr>
              <w:t>1098 дней</w:t>
            </w:r>
          </w:p>
        </w:tc>
      </w:tr>
      <w:tr w:rsidR="00090437" w:rsidRPr="00090437" w14:paraId="0EF11891" w14:textId="77777777" w:rsidTr="00090437">
        <w:trPr>
          <w:trHeight w:val="173"/>
        </w:trPr>
        <w:tc>
          <w:tcPr>
            <w:tcW w:w="671" w:type="pct"/>
            <w:tcBorders>
              <w:top w:val="nil"/>
              <w:left w:val="single" w:sz="8" w:space="0" w:color="auto"/>
              <w:bottom w:val="single" w:sz="4" w:space="0" w:color="auto"/>
              <w:right w:val="nil"/>
            </w:tcBorders>
            <w:shd w:val="clear" w:color="auto" w:fill="auto"/>
            <w:vAlign w:val="center"/>
            <w:hideMark/>
          </w:tcPr>
          <w:p w14:paraId="42028A03" w14:textId="77777777" w:rsidR="00090437" w:rsidRPr="00090437" w:rsidRDefault="00090437" w:rsidP="00090437">
            <w:pPr>
              <w:jc w:val="center"/>
              <w:rPr>
                <w:rFonts w:ascii="Tahoma" w:hAnsi="Tahoma" w:cs="Tahoma"/>
                <w:bCs/>
                <w:iCs/>
                <w:color w:val="000000" w:themeColor="text1"/>
                <w:sz w:val="20"/>
                <w:szCs w:val="20"/>
              </w:rPr>
            </w:pPr>
            <w:r w:rsidRPr="00090437">
              <w:rPr>
                <w:rFonts w:ascii="Tahoma" w:hAnsi="Tahoma" w:cs="Tahoma"/>
                <w:bCs/>
                <w:iCs/>
                <w:color w:val="000000" w:themeColor="text1"/>
                <w:sz w:val="20"/>
                <w:szCs w:val="20"/>
              </w:rPr>
              <w:t>Все категории клиентов</w:t>
            </w:r>
          </w:p>
        </w:tc>
        <w:tc>
          <w:tcPr>
            <w:tcW w:w="752" w:type="pct"/>
            <w:tcBorders>
              <w:top w:val="nil"/>
              <w:left w:val="single" w:sz="8" w:space="0" w:color="auto"/>
              <w:bottom w:val="single" w:sz="4" w:space="0" w:color="auto"/>
              <w:right w:val="single" w:sz="4" w:space="0" w:color="auto"/>
            </w:tcBorders>
            <w:shd w:val="clear" w:color="000000" w:fill="FFC000"/>
            <w:vAlign w:val="center"/>
            <w:hideMark/>
          </w:tcPr>
          <w:p w14:paraId="76757E5C" w14:textId="77777777" w:rsidR="00090437" w:rsidRPr="00090437" w:rsidRDefault="00090437" w:rsidP="00090437">
            <w:pPr>
              <w:jc w:val="center"/>
              <w:rPr>
                <w:rFonts w:ascii="Tahoma" w:hAnsi="Tahoma" w:cs="Tahoma"/>
                <w:bCs/>
                <w:iCs/>
                <w:color w:val="000000" w:themeColor="text1"/>
                <w:sz w:val="20"/>
                <w:szCs w:val="20"/>
              </w:rPr>
            </w:pPr>
            <w:r w:rsidRPr="00090437">
              <w:rPr>
                <w:rFonts w:ascii="Tahoma" w:hAnsi="Tahoma" w:cs="Tahoma"/>
                <w:bCs/>
                <w:iCs/>
                <w:color w:val="000000" w:themeColor="text1"/>
                <w:sz w:val="20"/>
                <w:szCs w:val="20"/>
              </w:rPr>
              <w:t>Управляй Онлайн</w:t>
            </w:r>
          </w:p>
        </w:tc>
        <w:tc>
          <w:tcPr>
            <w:tcW w:w="555" w:type="pct"/>
            <w:tcBorders>
              <w:top w:val="nil"/>
              <w:left w:val="nil"/>
              <w:bottom w:val="single" w:sz="4" w:space="0" w:color="auto"/>
              <w:right w:val="single" w:sz="4" w:space="0" w:color="auto"/>
            </w:tcBorders>
            <w:shd w:val="clear" w:color="auto" w:fill="auto"/>
            <w:noWrap/>
            <w:vAlign w:val="center"/>
            <w:hideMark/>
          </w:tcPr>
          <w:p w14:paraId="147D977F" w14:textId="77777777" w:rsidR="00090437" w:rsidRPr="00090437" w:rsidRDefault="00090437" w:rsidP="00090437">
            <w:pPr>
              <w:jc w:val="center"/>
              <w:rPr>
                <w:rFonts w:ascii="Tahoma" w:hAnsi="Tahoma" w:cs="Tahoma"/>
                <w:bCs/>
                <w:iCs/>
                <w:color w:val="000000" w:themeColor="text1"/>
                <w:sz w:val="20"/>
                <w:szCs w:val="20"/>
              </w:rPr>
            </w:pPr>
            <w:r w:rsidRPr="00090437">
              <w:rPr>
                <w:rFonts w:ascii="Tahoma" w:hAnsi="Tahoma" w:cs="Tahoma"/>
                <w:bCs/>
                <w:iCs/>
                <w:color w:val="000000" w:themeColor="text1"/>
                <w:sz w:val="20"/>
                <w:szCs w:val="20"/>
              </w:rPr>
              <w:t>рубли</w:t>
            </w:r>
          </w:p>
        </w:tc>
        <w:tc>
          <w:tcPr>
            <w:tcW w:w="865" w:type="pct"/>
            <w:tcBorders>
              <w:top w:val="nil"/>
              <w:left w:val="nil"/>
              <w:bottom w:val="single" w:sz="4" w:space="0" w:color="auto"/>
              <w:right w:val="single" w:sz="4" w:space="0" w:color="auto"/>
            </w:tcBorders>
            <w:shd w:val="clear" w:color="auto" w:fill="auto"/>
            <w:noWrap/>
            <w:vAlign w:val="center"/>
            <w:hideMark/>
          </w:tcPr>
          <w:p w14:paraId="31299138" w14:textId="77777777" w:rsidR="00090437" w:rsidRPr="00090437" w:rsidRDefault="00090437" w:rsidP="00090437">
            <w:pPr>
              <w:jc w:val="center"/>
              <w:rPr>
                <w:rFonts w:ascii="Tahoma" w:hAnsi="Tahoma" w:cs="Tahoma"/>
                <w:bCs/>
                <w:iCs/>
                <w:color w:val="000000" w:themeColor="text1"/>
                <w:sz w:val="20"/>
                <w:szCs w:val="20"/>
              </w:rPr>
            </w:pPr>
            <w:r w:rsidRPr="00090437">
              <w:rPr>
                <w:rFonts w:ascii="Tahoma" w:hAnsi="Tahoma" w:cs="Tahoma"/>
                <w:bCs/>
                <w:iCs/>
                <w:color w:val="000000" w:themeColor="text1"/>
                <w:sz w:val="20"/>
                <w:szCs w:val="20"/>
              </w:rPr>
              <w:t>1 000</w:t>
            </w:r>
          </w:p>
        </w:tc>
        <w:tc>
          <w:tcPr>
            <w:tcW w:w="420" w:type="pct"/>
            <w:tcBorders>
              <w:top w:val="nil"/>
              <w:left w:val="nil"/>
              <w:bottom w:val="single" w:sz="4" w:space="0" w:color="auto"/>
              <w:right w:val="single" w:sz="4" w:space="0" w:color="auto"/>
            </w:tcBorders>
            <w:shd w:val="clear" w:color="auto" w:fill="auto"/>
            <w:noWrap/>
            <w:vAlign w:val="center"/>
          </w:tcPr>
          <w:p w14:paraId="22B4E005"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5,400</w:t>
            </w:r>
          </w:p>
        </w:tc>
        <w:tc>
          <w:tcPr>
            <w:tcW w:w="420" w:type="pct"/>
            <w:tcBorders>
              <w:top w:val="nil"/>
              <w:left w:val="nil"/>
              <w:bottom w:val="single" w:sz="4" w:space="0" w:color="auto"/>
              <w:right w:val="single" w:sz="4" w:space="0" w:color="auto"/>
            </w:tcBorders>
            <w:shd w:val="clear" w:color="auto" w:fill="auto"/>
            <w:vAlign w:val="center"/>
          </w:tcPr>
          <w:p w14:paraId="1002EF05"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4,800</w:t>
            </w:r>
          </w:p>
        </w:tc>
        <w:tc>
          <w:tcPr>
            <w:tcW w:w="355" w:type="pct"/>
            <w:tcBorders>
              <w:top w:val="nil"/>
              <w:left w:val="nil"/>
              <w:bottom w:val="single" w:sz="4" w:space="0" w:color="auto"/>
              <w:right w:val="single" w:sz="4" w:space="0" w:color="auto"/>
            </w:tcBorders>
            <w:shd w:val="clear" w:color="auto" w:fill="auto"/>
            <w:noWrap/>
            <w:vAlign w:val="center"/>
          </w:tcPr>
          <w:p w14:paraId="5B984611"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5,000</w:t>
            </w:r>
          </w:p>
        </w:tc>
        <w:tc>
          <w:tcPr>
            <w:tcW w:w="364" w:type="pct"/>
            <w:tcBorders>
              <w:top w:val="nil"/>
              <w:left w:val="nil"/>
              <w:bottom w:val="single" w:sz="4" w:space="0" w:color="auto"/>
              <w:right w:val="single" w:sz="4" w:space="0" w:color="auto"/>
            </w:tcBorders>
            <w:shd w:val="clear" w:color="auto" w:fill="auto"/>
            <w:vAlign w:val="center"/>
          </w:tcPr>
          <w:p w14:paraId="7BC4DD4D"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4,800</w:t>
            </w:r>
          </w:p>
        </w:tc>
        <w:tc>
          <w:tcPr>
            <w:tcW w:w="275" w:type="pct"/>
            <w:tcBorders>
              <w:top w:val="nil"/>
              <w:left w:val="nil"/>
              <w:bottom w:val="single" w:sz="4" w:space="0" w:color="auto"/>
              <w:right w:val="single" w:sz="4" w:space="0" w:color="auto"/>
            </w:tcBorders>
            <w:shd w:val="clear" w:color="auto" w:fill="auto"/>
            <w:vAlign w:val="center"/>
          </w:tcPr>
          <w:p w14:paraId="4A6ADF17"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4,900</w:t>
            </w:r>
          </w:p>
        </w:tc>
        <w:tc>
          <w:tcPr>
            <w:tcW w:w="322" w:type="pct"/>
            <w:tcBorders>
              <w:top w:val="nil"/>
              <w:left w:val="nil"/>
              <w:bottom w:val="single" w:sz="4" w:space="0" w:color="auto"/>
              <w:right w:val="single" w:sz="4" w:space="0" w:color="auto"/>
            </w:tcBorders>
            <w:shd w:val="clear" w:color="auto" w:fill="auto"/>
            <w:vAlign w:val="center"/>
          </w:tcPr>
          <w:p w14:paraId="00FD429C" w14:textId="77777777" w:rsidR="00090437" w:rsidRPr="00090437" w:rsidRDefault="00090437" w:rsidP="00090437">
            <w:pPr>
              <w:jc w:val="center"/>
              <w:rPr>
                <w:rFonts w:ascii="Tahoma" w:hAnsi="Tahoma" w:cs="Tahoma"/>
                <w:sz w:val="20"/>
                <w:szCs w:val="20"/>
              </w:rPr>
            </w:pPr>
            <w:r w:rsidRPr="00090437">
              <w:rPr>
                <w:rFonts w:ascii="Tahoma" w:hAnsi="Tahoma" w:cs="Tahoma"/>
                <w:sz w:val="20"/>
                <w:szCs w:val="20"/>
              </w:rPr>
              <w:t>3,100</w:t>
            </w:r>
          </w:p>
        </w:tc>
      </w:tr>
    </w:tbl>
    <w:p w14:paraId="52482780" w14:textId="77777777" w:rsidR="00090437" w:rsidRPr="00090437" w:rsidRDefault="00090437" w:rsidP="00090437">
      <w:pPr>
        <w:tabs>
          <w:tab w:val="left" w:pos="284"/>
        </w:tabs>
        <w:rPr>
          <w:rFonts w:ascii="Tahoma" w:hAnsi="Tahoma" w:cs="Tahoma"/>
          <w:sz w:val="22"/>
          <w:szCs w:val="22"/>
        </w:rPr>
      </w:pPr>
      <w:r w:rsidRPr="00090437">
        <w:rPr>
          <w:rFonts w:ascii="Tahoma" w:hAnsi="Tahoma" w:cs="Tahoma"/>
          <w:sz w:val="18"/>
          <w:szCs w:val="18"/>
        </w:rPr>
        <w:t>*Соответствует значению минимальной гарантированной ставки (годовых) с учетом округления, определяющему минимальный доход, выплачиваемый вкладчику на сумму вклада при условии хранения суммы вклада до конца срока вклада без учета каких-либо других условий. Порядок расчета минимальной гарантированной ставки по вкладу определяется Банком России.</w:t>
      </w:r>
    </w:p>
    <w:p w14:paraId="35204104" w14:textId="77777777" w:rsidR="00090437" w:rsidRPr="00090437" w:rsidRDefault="00090437" w:rsidP="00090437">
      <w:pPr>
        <w:tabs>
          <w:tab w:val="left" w:pos="284"/>
        </w:tabs>
        <w:rPr>
          <w:rFonts w:ascii="Tahoma" w:hAnsi="Tahoma" w:cs="Tahoma"/>
          <w:sz w:val="22"/>
          <w:szCs w:val="22"/>
        </w:rPr>
      </w:pPr>
    </w:p>
    <w:p w14:paraId="316AFAA4" w14:textId="77777777" w:rsidR="00090437" w:rsidRPr="00090437" w:rsidRDefault="00090437" w:rsidP="00090437">
      <w:pPr>
        <w:tabs>
          <w:tab w:val="left" w:pos="284"/>
        </w:tabs>
        <w:rPr>
          <w:rFonts w:ascii="Tahoma" w:hAnsi="Tahoma" w:cs="Tahoma"/>
          <w:bCs/>
          <w:iCs/>
          <w:color w:val="E36C0A"/>
          <w:sz w:val="22"/>
          <w:szCs w:val="22"/>
        </w:rPr>
      </w:pPr>
      <w:r w:rsidRPr="00090437">
        <w:rPr>
          <w:rFonts w:ascii="Tahoma" w:hAnsi="Tahoma" w:cs="Tahoma"/>
          <w:bCs/>
          <w:iCs/>
          <w:color w:val="E36C0A"/>
          <w:sz w:val="22"/>
          <w:szCs w:val="22"/>
        </w:rPr>
        <w:t>Доходы по Вкладам подлежат налогообложению в случаях, порядке и размере, предусмотренных действующим законодательством РФ.</w:t>
      </w:r>
    </w:p>
    <w:p w14:paraId="5E4728DA" w14:textId="60FE8BE9" w:rsidR="008572C5" w:rsidRDefault="00090437" w:rsidP="008572C5">
      <w:pPr>
        <w:rPr>
          <w:rFonts w:ascii="Tahoma" w:hAnsi="Tahoma" w:cs="Tahoma"/>
          <w:sz w:val="22"/>
          <w:szCs w:val="22"/>
        </w:rPr>
      </w:pPr>
      <w:r w:rsidRPr="00090437">
        <w:rPr>
          <w:rFonts w:ascii="Tahoma" w:hAnsi="Tahoma" w:cs="Tahoma"/>
          <w:bCs/>
          <w:iCs/>
          <w:color w:val="E36C0A"/>
          <w:sz w:val="22"/>
          <w:szCs w:val="22"/>
        </w:rPr>
        <w:t>Все вклады и счета застрахованы в порядке, размерах и на условиях, установленных Федеральным Законом «О страховании вкладов в банках Российской Федерации» от 23.12.2003 № 177 - ФЗ.</w:t>
      </w:r>
    </w:p>
    <w:p w14:paraId="62B223E5" w14:textId="36529BFA" w:rsidR="00C41428" w:rsidRDefault="00C41428">
      <w:pPr>
        <w:rPr>
          <w:rFonts w:ascii="Tahoma" w:hAnsi="Tahoma" w:cs="Tahoma"/>
          <w:sz w:val="22"/>
          <w:szCs w:val="22"/>
        </w:rPr>
      </w:pPr>
      <w:r>
        <w:rPr>
          <w:rFonts w:ascii="Tahoma" w:hAnsi="Tahoma" w:cs="Tahoma"/>
          <w:sz w:val="22"/>
          <w:szCs w:val="22"/>
        </w:rPr>
        <w:br w:type="page"/>
      </w:r>
    </w:p>
    <w:p w14:paraId="6FEF9EB4" w14:textId="4CB540D4" w:rsidR="00090437" w:rsidRDefault="005B68FD" w:rsidP="008572C5">
      <w:pPr>
        <w:rPr>
          <w:rFonts w:ascii="Tahoma" w:hAnsi="Tahoma" w:cs="Tahoma"/>
          <w:sz w:val="22"/>
          <w:szCs w:val="22"/>
        </w:rPr>
      </w:pPr>
      <w:r w:rsidRPr="00CE5927">
        <w:rPr>
          <w:rFonts w:ascii="Tahoma" w:hAnsi="Tahoma" w:cs="Tahoma"/>
          <w:b/>
          <w:noProof/>
          <w:sz w:val="22"/>
          <w:szCs w:val="22"/>
        </w:rPr>
        <mc:AlternateContent>
          <mc:Choice Requires="wps">
            <w:drawing>
              <wp:anchor distT="0" distB="0" distL="114300" distR="114300" simplePos="0" relativeHeight="251662848" behindDoc="0" locked="0" layoutInCell="1" allowOverlap="1" wp14:anchorId="6EEB1A2C" wp14:editId="4532FC0B">
                <wp:simplePos x="0" y="0"/>
                <wp:positionH relativeFrom="margin">
                  <wp:posOffset>209550</wp:posOffset>
                </wp:positionH>
                <wp:positionV relativeFrom="margin">
                  <wp:posOffset>-155575</wp:posOffset>
                </wp:positionV>
                <wp:extent cx="6972300" cy="819150"/>
                <wp:effectExtent l="19050" t="19050" r="38100" b="57150"/>
                <wp:wrapNone/>
                <wp:docPr id="10" name="AutoShap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2300" cy="819150"/>
                        </a:xfrm>
                        <a:prstGeom prst="roundRect">
                          <a:avLst>
                            <a:gd name="adj" fmla="val 16667"/>
                          </a:avLst>
                        </a:prstGeom>
                        <a:solidFill>
                          <a:srgbClr val="F79646"/>
                        </a:solidFill>
                        <a:ln w="38100">
                          <a:solidFill>
                            <a:srgbClr val="F2F2F2"/>
                          </a:solidFill>
                          <a:round/>
                          <a:headEnd/>
                          <a:tailEnd/>
                        </a:ln>
                        <a:effectLst>
                          <a:outerShdw dist="28398" dir="3806097" algn="ctr" rotWithShape="0">
                            <a:srgbClr val="974706">
                              <a:alpha val="50000"/>
                            </a:srgbClr>
                          </a:outerShdw>
                        </a:effectLst>
                      </wps:spPr>
                      <wps:txbx>
                        <w:txbxContent>
                          <w:p w14:paraId="3CA130A4" w14:textId="77777777" w:rsidR="009D1253" w:rsidRPr="00E03C7C" w:rsidRDefault="009D1253" w:rsidP="005B68FD">
                            <w:pPr>
                              <w:rPr>
                                <w:rFonts w:ascii="Arial Narrow" w:hAnsi="Arial Narrow"/>
                                <w:sz w:val="72"/>
                                <w:szCs w:val="72"/>
                              </w:rPr>
                            </w:pPr>
                            <w:r>
                              <w:rPr>
                                <w:rFonts w:ascii="Arial Narrow" w:hAnsi="Arial Narrow"/>
                                <w:sz w:val="72"/>
                                <w:szCs w:val="72"/>
                              </w:rPr>
                              <w:t>4</w:t>
                            </w:r>
                            <w:r w:rsidRPr="00E03C7C">
                              <w:rPr>
                                <w:rFonts w:ascii="Arial Narrow" w:hAnsi="Arial Narrow"/>
                                <w:sz w:val="72"/>
                                <w:szCs w:val="72"/>
                              </w:rPr>
                              <w:t>. Банковские карты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EEB1A2C" id="AutoShape 286" o:spid="_x0000_s1026" style="position:absolute;margin-left:16.5pt;margin-top:-12.25pt;width:549pt;height:64.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" fillcolor="#f79646" strokecolor="#f2f2f2" strokeweight="3pt">
                <v:shadow on="t" color="#974706" opacity=".5" offset="1pt"/>
                <v:textbox>
                  <w:txbxContent>
                    <w:p w14:paraId="3CA130A4" w14:textId="77777777" w:rsidR="009D1253" w:rsidRPr="00E03C7C" w:rsidRDefault="009D1253" w:rsidP="005B68FD">
                      <w:pPr>
                        <w:rPr>
                          <w:rFonts w:ascii="Arial Narrow" w:hAnsi="Arial Narrow"/>
                          <w:sz w:val="72"/>
                          <w:szCs w:val="72"/>
                        </w:rPr>
                      </w:pPr>
                      <w:r>
                        <w:rPr>
                          <w:rFonts w:ascii="Arial Narrow" w:hAnsi="Arial Narrow"/>
                          <w:sz w:val="72"/>
                          <w:szCs w:val="72"/>
                        </w:rPr>
                        <w:t>4</w:t>
                      </w:r>
                      <w:r w:rsidRPr="00E03C7C">
                        <w:rPr>
                          <w:rFonts w:ascii="Arial Narrow" w:hAnsi="Arial Narrow"/>
                          <w:sz w:val="72"/>
                          <w:szCs w:val="72"/>
                        </w:rPr>
                        <w:t>. Банковские карты</w:t>
                      </w:r>
                    </w:p>
                  </w:txbxContent>
                </v:textbox>
                <w10:wrap anchorx="margin" anchory="margin"/>
              </v:roundrect>
            </w:pict>
          </mc:Fallback>
        </mc:AlternateContent>
      </w:r>
    </w:p>
    <w:p w14:paraId="0786CE2A" w14:textId="6DD2D7FF" w:rsidR="00090437" w:rsidRDefault="00090437" w:rsidP="008572C5">
      <w:pPr>
        <w:rPr>
          <w:rFonts w:ascii="Tahoma" w:hAnsi="Tahoma" w:cs="Tahoma"/>
          <w:sz w:val="22"/>
          <w:szCs w:val="22"/>
        </w:rPr>
      </w:pPr>
    </w:p>
    <w:p w14:paraId="58D27C6A" w14:textId="73AE6B7E" w:rsidR="00090437" w:rsidRDefault="00090437" w:rsidP="008572C5">
      <w:pPr>
        <w:rPr>
          <w:rFonts w:ascii="Tahoma" w:hAnsi="Tahoma" w:cs="Tahoma"/>
          <w:sz w:val="22"/>
          <w:szCs w:val="22"/>
        </w:rPr>
      </w:pPr>
    </w:p>
    <w:p w14:paraId="27968A6F" w14:textId="77777777" w:rsidR="000B3718" w:rsidRDefault="000B3718" w:rsidP="008572C5">
      <w:pPr>
        <w:rPr>
          <w:rFonts w:ascii="Tahoma" w:hAnsi="Tahoma" w:cs="Tahoma"/>
          <w:sz w:val="22"/>
          <w:szCs w:val="22"/>
        </w:rPr>
      </w:pPr>
    </w:p>
    <w:p w14:paraId="038D8B36" w14:textId="2A3C896B" w:rsidR="000B3718" w:rsidRPr="000B3718" w:rsidRDefault="000B3718" w:rsidP="000B3718">
      <w:pPr>
        <w:pStyle w:val="a5"/>
      </w:pPr>
      <w:r w:rsidRPr="000B3718">
        <w:t>4. Банковские карты</w:t>
      </w:r>
    </w:p>
    <w:p w14:paraId="055EBA76" w14:textId="4CBDE2DC" w:rsidR="00090437" w:rsidRDefault="00090437" w:rsidP="008572C5">
      <w:pPr>
        <w:rPr>
          <w:rFonts w:ascii="Tahoma" w:hAnsi="Tahoma" w:cs="Tahoma"/>
          <w:sz w:val="22"/>
          <w:szCs w:val="22"/>
        </w:rPr>
      </w:pPr>
    </w:p>
    <w:p w14:paraId="2BB4ED56" w14:textId="63321D7B" w:rsidR="00090437" w:rsidRDefault="00090437" w:rsidP="008572C5">
      <w:pPr>
        <w:rPr>
          <w:rFonts w:ascii="Tahoma" w:hAnsi="Tahoma" w:cs="Tahoma"/>
          <w:sz w:val="22"/>
          <w:szCs w:val="22"/>
        </w:rPr>
      </w:pPr>
    </w:p>
    <w:p w14:paraId="0EE40DD4" w14:textId="77777777" w:rsidR="005B68FD" w:rsidRPr="00CA0D75" w:rsidRDefault="005B68FD" w:rsidP="000B3718">
      <w:pPr>
        <w:pStyle w:val="a5"/>
      </w:pPr>
      <w:r>
        <w:t>4.1.ТАРИФНЫЙ ПЛАН «АТБ КАРТА</w:t>
      </w:r>
      <w:r w:rsidRPr="00CA0D75">
        <w:t>»</w:t>
      </w:r>
      <w:r w:rsidRPr="00A06AD6">
        <w:rPr>
          <w:vertAlign w:val="superscript"/>
        </w:rPr>
        <w:t>26</w:t>
      </w:r>
      <w:r>
        <w:rPr>
          <w:vertAlign w:val="superscript"/>
        </w:rPr>
        <w:t>, 27</w:t>
      </w:r>
    </w:p>
    <w:tbl>
      <w:tblPr>
        <w:tblW w:w="1705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6"/>
        <w:gridCol w:w="6394"/>
        <w:gridCol w:w="57"/>
        <w:gridCol w:w="1644"/>
        <w:gridCol w:w="2205"/>
        <w:gridCol w:w="12"/>
        <w:gridCol w:w="1978"/>
        <w:gridCol w:w="1103"/>
        <w:gridCol w:w="1019"/>
        <w:gridCol w:w="1644"/>
        <w:gridCol w:w="275"/>
      </w:tblGrid>
      <w:tr w:rsidR="005B68FD" w:rsidRPr="00C91E39" w14:paraId="4D771D68" w14:textId="77777777" w:rsidTr="005B68FD">
        <w:trPr>
          <w:gridAfter w:val="2"/>
          <w:wAfter w:w="2177" w:type="dxa"/>
          <w:trHeight w:val="995"/>
        </w:trPr>
        <w:tc>
          <w:tcPr>
            <w:tcW w:w="7083" w:type="dxa"/>
            <w:gridSpan w:val="2"/>
            <w:shd w:val="clear" w:color="auto" w:fill="595959" w:themeFill="text1" w:themeFillTint="A6"/>
          </w:tcPr>
          <w:p w14:paraId="5DF3407A" w14:textId="77777777" w:rsidR="005B68FD" w:rsidRPr="00C91E39" w:rsidRDefault="005B68FD" w:rsidP="005B68FD">
            <w:pPr>
              <w:rPr>
                <w:rFonts w:ascii="Tahoma" w:hAnsi="Tahoma" w:cs="Tahoma"/>
                <w:b/>
                <w:bCs/>
                <w:color w:val="FFFFFF" w:themeColor="background1"/>
                <w:sz w:val="20"/>
                <w:szCs w:val="16"/>
              </w:rPr>
            </w:pPr>
            <w:r w:rsidRPr="00C91E39">
              <w:rPr>
                <w:rFonts w:ascii="Tahoma" w:hAnsi="Tahoma" w:cs="Tahoma"/>
                <w:b/>
                <w:bCs/>
                <w:noProof/>
                <w:color w:val="FFFFFF" w:themeColor="background1"/>
                <w:sz w:val="20"/>
                <w:szCs w:val="16"/>
              </w:rPr>
              <mc:AlternateContent>
                <mc:Choice Requires="wps">
                  <w:drawing>
                    <wp:anchor distT="0" distB="0" distL="114300" distR="114300" simplePos="0" relativeHeight="251655680" behindDoc="0" locked="0" layoutInCell="1" allowOverlap="1" wp14:anchorId="3FBDBE0B" wp14:editId="4FFC089D">
                      <wp:simplePos x="0" y="0"/>
                      <wp:positionH relativeFrom="column">
                        <wp:posOffset>-74295</wp:posOffset>
                      </wp:positionH>
                      <wp:positionV relativeFrom="paragraph">
                        <wp:posOffset>-1905</wp:posOffset>
                      </wp:positionV>
                      <wp:extent cx="4533900" cy="762000"/>
                      <wp:effectExtent l="0" t="0" r="19050" b="1905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4533900"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87D3E1" id="Прямая соединительная линия 1"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15pt" to="351.1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" strokecolor="black [3040]"/>
                  </w:pict>
                </mc:Fallback>
              </mc:AlternateContent>
            </w:r>
            <w:r w:rsidRPr="00C91E39">
              <w:rPr>
                <w:rFonts w:ascii="Tahoma" w:hAnsi="Tahoma" w:cs="Tahoma"/>
                <w:b/>
                <w:bCs/>
                <w:color w:val="FFFFFF" w:themeColor="background1"/>
                <w:sz w:val="20"/>
                <w:szCs w:val="16"/>
              </w:rPr>
              <w:t xml:space="preserve">                                   Тип банковской Карты</w:t>
            </w:r>
            <w:r w:rsidRPr="00C91E39">
              <w:rPr>
                <w:rFonts w:ascii="Tahoma" w:hAnsi="Tahoma" w:cs="Tahoma"/>
                <w:b/>
                <w:bCs/>
                <w:color w:val="FFFFFF" w:themeColor="background1"/>
                <w:sz w:val="20"/>
                <w:szCs w:val="16"/>
                <w:vertAlign w:val="superscript"/>
              </w:rPr>
              <w:t>1</w:t>
            </w:r>
          </w:p>
          <w:p w14:paraId="57FD6694" w14:textId="77777777" w:rsidR="005B68FD" w:rsidRPr="00C91E39" w:rsidRDefault="005B68FD" w:rsidP="005B68FD">
            <w:pPr>
              <w:rPr>
                <w:rFonts w:ascii="Tahoma" w:hAnsi="Tahoma" w:cs="Tahoma"/>
                <w:b/>
                <w:bCs/>
                <w:color w:val="FFFFFF" w:themeColor="background1"/>
                <w:sz w:val="20"/>
                <w:szCs w:val="16"/>
              </w:rPr>
            </w:pPr>
          </w:p>
          <w:p w14:paraId="2F5528F0" w14:textId="77777777" w:rsidR="005B68FD" w:rsidRPr="00C91E39" w:rsidRDefault="005B68FD" w:rsidP="005B68FD">
            <w:pPr>
              <w:rPr>
                <w:rFonts w:ascii="Tahoma" w:hAnsi="Tahoma" w:cs="Tahoma"/>
                <w:b/>
                <w:bCs/>
                <w:color w:val="FFFFFF" w:themeColor="background1"/>
                <w:sz w:val="20"/>
                <w:szCs w:val="16"/>
              </w:rPr>
            </w:pPr>
          </w:p>
          <w:p w14:paraId="71104B9D" w14:textId="77777777" w:rsidR="005B68FD" w:rsidRPr="00C91E39" w:rsidRDefault="005B68FD" w:rsidP="005B68FD">
            <w:pPr>
              <w:rPr>
                <w:rFonts w:ascii="Tahoma" w:hAnsi="Tahoma" w:cs="Tahoma"/>
                <w:b/>
                <w:bCs/>
                <w:color w:val="FFFFFF" w:themeColor="background1"/>
                <w:sz w:val="20"/>
                <w:szCs w:val="16"/>
              </w:rPr>
            </w:pPr>
          </w:p>
          <w:p w14:paraId="1931AA5E" w14:textId="77777777" w:rsidR="005B68FD" w:rsidRPr="00C91E39" w:rsidRDefault="005B68FD" w:rsidP="005B68FD">
            <w:pPr>
              <w:rPr>
                <w:rFonts w:ascii="Tahoma" w:hAnsi="Tahoma" w:cs="Tahoma"/>
                <w:b/>
                <w:bCs/>
                <w:color w:val="FFFFFF" w:themeColor="background1"/>
                <w:sz w:val="20"/>
                <w:szCs w:val="16"/>
              </w:rPr>
            </w:pPr>
            <w:r w:rsidRPr="00C91E39">
              <w:rPr>
                <w:rFonts w:ascii="Tahoma" w:hAnsi="Tahoma" w:cs="Tahoma"/>
                <w:b/>
                <w:bCs/>
                <w:color w:val="FFFFFF" w:themeColor="background1"/>
                <w:sz w:val="20"/>
                <w:szCs w:val="16"/>
              </w:rPr>
              <w:t xml:space="preserve">Условия предоставления услуги          </w:t>
            </w:r>
          </w:p>
        </w:tc>
        <w:tc>
          <w:tcPr>
            <w:tcW w:w="1701" w:type="dxa"/>
            <w:gridSpan w:val="2"/>
            <w:shd w:val="clear" w:color="auto" w:fill="595959" w:themeFill="text1" w:themeFillTint="A6"/>
          </w:tcPr>
          <w:p w14:paraId="21619405" w14:textId="77777777" w:rsidR="005B68FD" w:rsidRPr="00C91E39" w:rsidRDefault="005B68FD" w:rsidP="005B68FD">
            <w:pPr>
              <w:rPr>
                <w:rFonts w:ascii="Tahoma" w:hAnsi="Tahoma" w:cs="Tahoma"/>
                <w:b/>
                <w:bCs/>
                <w:color w:val="FFFFFF" w:themeColor="background1"/>
                <w:sz w:val="20"/>
                <w:szCs w:val="16"/>
              </w:rPr>
            </w:pPr>
          </w:p>
          <w:p w14:paraId="37783C50" w14:textId="77777777" w:rsidR="005B68FD" w:rsidRPr="00C91E39" w:rsidRDefault="005B68FD" w:rsidP="005B68FD">
            <w:pPr>
              <w:jc w:val="center"/>
              <w:rPr>
                <w:rFonts w:ascii="Tahoma" w:hAnsi="Tahoma" w:cs="Tahoma"/>
                <w:b/>
                <w:bCs/>
                <w:color w:val="FFFFFF" w:themeColor="background1"/>
                <w:sz w:val="20"/>
                <w:szCs w:val="16"/>
              </w:rPr>
            </w:pPr>
            <w:r w:rsidRPr="00C91E39">
              <w:rPr>
                <w:rFonts w:ascii="Tahoma" w:hAnsi="Tahoma" w:cs="Tahoma"/>
                <w:b/>
                <w:bCs/>
                <w:color w:val="FFFFFF" w:themeColor="background1"/>
                <w:sz w:val="20"/>
                <w:szCs w:val="16"/>
                <w:lang w:val="en-US"/>
              </w:rPr>
              <w:t>Visa</w:t>
            </w:r>
            <w:r w:rsidRPr="00C91E39">
              <w:rPr>
                <w:rFonts w:ascii="Tahoma" w:hAnsi="Tahoma" w:cs="Tahoma"/>
                <w:b/>
                <w:bCs/>
                <w:color w:val="FFFFFF" w:themeColor="background1"/>
                <w:sz w:val="20"/>
                <w:szCs w:val="16"/>
              </w:rPr>
              <w:t xml:space="preserve"> </w:t>
            </w:r>
            <w:r w:rsidRPr="00C91E39">
              <w:rPr>
                <w:rFonts w:ascii="Tahoma" w:hAnsi="Tahoma" w:cs="Tahoma"/>
                <w:b/>
                <w:bCs/>
                <w:color w:val="FFFFFF" w:themeColor="background1"/>
                <w:sz w:val="20"/>
                <w:szCs w:val="16"/>
                <w:lang w:val="en-US"/>
              </w:rPr>
              <w:t>Gold</w:t>
            </w:r>
            <w:r w:rsidRPr="00C91E39">
              <w:rPr>
                <w:rFonts w:ascii="Tahoma" w:hAnsi="Tahoma" w:cs="Tahoma"/>
                <w:b/>
                <w:bCs/>
                <w:color w:val="FFFFFF" w:themeColor="background1"/>
                <w:sz w:val="20"/>
                <w:szCs w:val="16"/>
              </w:rPr>
              <w:t xml:space="preserve"> (именная и неименная)</w:t>
            </w:r>
          </w:p>
        </w:tc>
        <w:tc>
          <w:tcPr>
            <w:tcW w:w="1984" w:type="dxa"/>
            <w:shd w:val="clear" w:color="auto" w:fill="595959" w:themeFill="text1" w:themeFillTint="A6"/>
          </w:tcPr>
          <w:p w14:paraId="1AAEA141" w14:textId="77777777" w:rsidR="005B68FD" w:rsidRPr="00C91E39" w:rsidRDefault="005B68FD" w:rsidP="005B68FD">
            <w:pPr>
              <w:jc w:val="center"/>
              <w:rPr>
                <w:rFonts w:ascii="Tahoma" w:hAnsi="Tahoma" w:cs="Tahoma"/>
                <w:b/>
                <w:bCs/>
                <w:color w:val="FFFFFF" w:themeColor="background1"/>
                <w:sz w:val="20"/>
                <w:szCs w:val="16"/>
              </w:rPr>
            </w:pPr>
          </w:p>
          <w:p w14:paraId="386D0C70" w14:textId="77777777" w:rsidR="005B68FD" w:rsidRPr="00C91E39" w:rsidRDefault="005B68FD" w:rsidP="005B68FD">
            <w:pPr>
              <w:jc w:val="center"/>
              <w:rPr>
                <w:rFonts w:ascii="Tahoma" w:hAnsi="Tahoma" w:cs="Tahoma"/>
                <w:b/>
                <w:bCs/>
                <w:color w:val="FFFFFF" w:themeColor="background1"/>
                <w:sz w:val="20"/>
                <w:szCs w:val="16"/>
              </w:rPr>
            </w:pPr>
            <w:r w:rsidRPr="00C91E39">
              <w:rPr>
                <w:rFonts w:ascii="Tahoma" w:hAnsi="Tahoma" w:cs="Tahoma"/>
                <w:b/>
                <w:bCs/>
                <w:color w:val="FFFFFF" w:themeColor="background1"/>
                <w:sz w:val="20"/>
                <w:szCs w:val="16"/>
              </w:rPr>
              <w:t>Мир</w:t>
            </w:r>
            <w:r w:rsidRPr="00C91E39">
              <w:rPr>
                <w:rFonts w:ascii="Tahoma" w:hAnsi="Tahoma" w:cs="Tahoma"/>
                <w:b/>
                <w:bCs/>
                <w:color w:val="FFFFFF" w:themeColor="background1"/>
                <w:sz w:val="20"/>
                <w:szCs w:val="16"/>
                <w:vertAlign w:val="superscript"/>
              </w:rPr>
              <w:t>2</w:t>
            </w:r>
            <w:r w:rsidRPr="00C91E39">
              <w:rPr>
                <w:rFonts w:ascii="Tahoma" w:hAnsi="Tahoma" w:cs="Tahoma"/>
                <w:b/>
                <w:bCs/>
                <w:color w:val="FFFFFF" w:themeColor="background1"/>
                <w:sz w:val="20"/>
                <w:szCs w:val="16"/>
              </w:rPr>
              <w:t xml:space="preserve"> (именная и неименная)</w:t>
            </w:r>
          </w:p>
        </w:tc>
        <w:tc>
          <w:tcPr>
            <w:tcW w:w="1990" w:type="dxa"/>
            <w:gridSpan w:val="2"/>
            <w:shd w:val="clear" w:color="auto" w:fill="595959" w:themeFill="text1" w:themeFillTint="A6"/>
          </w:tcPr>
          <w:p w14:paraId="4A82E5A6" w14:textId="77777777" w:rsidR="005B68FD" w:rsidRPr="00C91E39" w:rsidRDefault="005B68FD" w:rsidP="005B68FD">
            <w:pPr>
              <w:rPr>
                <w:rFonts w:ascii="Tahoma" w:hAnsi="Tahoma" w:cs="Tahoma"/>
                <w:b/>
                <w:bCs/>
                <w:color w:val="FFFFFF" w:themeColor="background1"/>
                <w:sz w:val="20"/>
                <w:szCs w:val="16"/>
              </w:rPr>
            </w:pPr>
          </w:p>
          <w:p w14:paraId="1AB0FDA7" w14:textId="77777777" w:rsidR="005B68FD" w:rsidRPr="00C91E39" w:rsidRDefault="005B68FD" w:rsidP="005B68FD">
            <w:pPr>
              <w:jc w:val="center"/>
              <w:rPr>
                <w:rFonts w:ascii="Tahoma" w:hAnsi="Tahoma" w:cs="Tahoma"/>
                <w:b/>
                <w:bCs/>
                <w:color w:val="FFFFFF" w:themeColor="background1"/>
                <w:sz w:val="20"/>
                <w:szCs w:val="16"/>
              </w:rPr>
            </w:pPr>
            <w:r w:rsidRPr="00C91E39">
              <w:rPr>
                <w:rFonts w:ascii="Tahoma" w:hAnsi="Tahoma" w:cs="Tahoma"/>
                <w:b/>
                <w:bCs/>
                <w:color w:val="FFFFFF" w:themeColor="background1"/>
                <w:sz w:val="20"/>
                <w:szCs w:val="16"/>
              </w:rPr>
              <w:t>UnionPay Gold в рублях (именная)</w:t>
            </w:r>
          </w:p>
        </w:tc>
        <w:tc>
          <w:tcPr>
            <w:tcW w:w="2122" w:type="dxa"/>
            <w:gridSpan w:val="2"/>
            <w:shd w:val="clear" w:color="auto" w:fill="595959" w:themeFill="text1" w:themeFillTint="A6"/>
          </w:tcPr>
          <w:p w14:paraId="12FFBC2C" w14:textId="77777777" w:rsidR="005B68FD" w:rsidRPr="00C91E39" w:rsidRDefault="005B68FD" w:rsidP="005B68FD">
            <w:pPr>
              <w:jc w:val="center"/>
              <w:rPr>
                <w:rFonts w:ascii="Tahoma" w:hAnsi="Tahoma" w:cs="Tahoma"/>
                <w:b/>
                <w:bCs/>
                <w:color w:val="FFFFFF" w:themeColor="background1"/>
                <w:sz w:val="20"/>
                <w:szCs w:val="16"/>
              </w:rPr>
            </w:pPr>
          </w:p>
          <w:p w14:paraId="77E2A8EA" w14:textId="77777777" w:rsidR="005B68FD" w:rsidRPr="00C91E39" w:rsidRDefault="005B68FD" w:rsidP="005B68FD">
            <w:pPr>
              <w:jc w:val="center"/>
              <w:rPr>
                <w:rFonts w:ascii="Tahoma" w:hAnsi="Tahoma" w:cs="Tahoma"/>
                <w:b/>
                <w:bCs/>
                <w:color w:val="FFFFFF" w:themeColor="background1"/>
                <w:sz w:val="20"/>
                <w:szCs w:val="16"/>
              </w:rPr>
            </w:pPr>
            <w:r w:rsidRPr="00C91E39">
              <w:rPr>
                <w:rFonts w:ascii="Tahoma" w:hAnsi="Tahoma" w:cs="Tahoma"/>
                <w:b/>
                <w:bCs/>
                <w:color w:val="FFFFFF" w:themeColor="background1"/>
                <w:sz w:val="20"/>
                <w:szCs w:val="16"/>
              </w:rPr>
              <w:t>UnionPay Gold в юанях (именная)</w:t>
            </w:r>
          </w:p>
        </w:tc>
      </w:tr>
      <w:tr w:rsidR="005B68FD" w:rsidRPr="00C91E39" w14:paraId="5BACDF0D" w14:textId="77777777" w:rsidTr="005B68FD">
        <w:tblPrEx>
          <w:tblLook w:val="04A0" w:firstRow="1" w:lastRow="0" w:firstColumn="1" w:lastColumn="0" w:noHBand="0" w:noVBand="1"/>
        </w:tblPrEx>
        <w:trPr>
          <w:gridAfter w:val="2"/>
          <w:wAfter w:w="2177" w:type="dxa"/>
          <w:trHeight w:val="285"/>
        </w:trPr>
        <w:tc>
          <w:tcPr>
            <w:tcW w:w="689" w:type="dxa"/>
            <w:shd w:val="clear" w:color="auto" w:fill="595959" w:themeFill="text1" w:themeFillTint="A6"/>
            <w:noWrap/>
            <w:vAlign w:val="bottom"/>
          </w:tcPr>
          <w:p w14:paraId="6DAFF71F" w14:textId="77777777" w:rsidR="005B68FD" w:rsidRPr="00C91E39" w:rsidRDefault="005B68FD" w:rsidP="005B68FD">
            <w:pPr>
              <w:rPr>
                <w:rFonts w:ascii="Tahoma" w:hAnsi="Tahoma" w:cs="Tahoma"/>
                <w:b/>
                <w:bCs/>
                <w:color w:val="FFFFFF" w:themeColor="background1"/>
                <w:sz w:val="20"/>
                <w:szCs w:val="16"/>
              </w:rPr>
            </w:pPr>
            <w:r w:rsidRPr="00C91E39">
              <w:rPr>
                <w:rFonts w:ascii="Tahoma" w:hAnsi="Tahoma" w:cs="Tahoma"/>
                <w:b/>
                <w:bCs/>
                <w:color w:val="FFFFFF" w:themeColor="background1"/>
                <w:sz w:val="20"/>
                <w:szCs w:val="16"/>
                <w:lang w:val="en-US"/>
              </w:rPr>
              <w:t>1</w:t>
            </w:r>
            <w:r w:rsidRPr="00C91E39">
              <w:rPr>
                <w:rFonts w:ascii="Tahoma" w:hAnsi="Tahoma" w:cs="Tahoma"/>
                <w:b/>
                <w:bCs/>
                <w:color w:val="FFFFFF" w:themeColor="background1"/>
                <w:sz w:val="20"/>
                <w:szCs w:val="16"/>
              </w:rPr>
              <w:t>.</w:t>
            </w:r>
          </w:p>
        </w:tc>
        <w:tc>
          <w:tcPr>
            <w:tcW w:w="14191" w:type="dxa"/>
            <w:gridSpan w:val="8"/>
            <w:shd w:val="clear" w:color="auto" w:fill="595959" w:themeFill="text1" w:themeFillTint="A6"/>
            <w:vAlign w:val="bottom"/>
          </w:tcPr>
          <w:p w14:paraId="12A84006" w14:textId="77777777" w:rsidR="005B68FD" w:rsidRPr="00C91E39" w:rsidRDefault="005B68FD" w:rsidP="005B68FD">
            <w:pPr>
              <w:rPr>
                <w:rFonts w:ascii="Tahoma" w:hAnsi="Tahoma" w:cs="Tahoma"/>
                <w:b/>
                <w:bCs/>
                <w:color w:val="FFFFFF" w:themeColor="background1"/>
                <w:sz w:val="20"/>
                <w:szCs w:val="16"/>
              </w:rPr>
            </w:pPr>
            <w:r w:rsidRPr="00C91E39">
              <w:rPr>
                <w:rFonts w:ascii="Tahoma" w:hAnsi="Tahoma" w:cs="Tahoma"/>
                <w:b/>
                <w:bCs/>
                <w:color w:val="FFFFFF" w:themeColor="background1"/>
                <w:sz w:val="20"/>
                <w:szCs w:val="16"/>
              </w:rPr>
              <w:t>Условия предоставления тарифного плана</w:t>
            </w:r>
          </w:p>
        </w:tc>
      </w:tr>
      <w:tr w:rsidR="005B68FD" w:rsidRPr="00C91E39" w14:paraId="2A412B6C" w14:textId="77777777" w:rsidTr="005B68FD">
        <w:tblPrEx>
          <w:tblLook w:val="04A0" w:firstRow="1" w:lastRow="0" w:firstColumn="1" w:lastColumn="0" w:noHBand="0" w:noVBand="1"/>
        </w:tblPrEx>
        <w:trPr>
          <w:gridAfter w:val="2"/>
          <w:wAfter w:w="2177" w:type="dxa"/>
          <w:trHeight w:val="546"/>
        </w:trPr>
        <w:tc>
          <w:tcPr>
            <w:tcW w:w="689" w:type="dxa"/>
            <w:shd w:val="clear" w:color="auto" w:fill="auto"/>
            <w:noWrap/>
            <w:vAlign w:val="center"/>
          </w:tcPr>
          <w:p w14:paraId="11F5CA65" w14:textId="77777777" w:rsidR="005B68FD" w:rsidRPr="00C91E39" w:rsidRDefault="005B68FD" w:rsidP="005B68FD">
            <w:pPr>
              <w:jc w:val="center"/>
              <w:rPr>
                <w:rFonts w:ascii="Tahoma" w:hAnsi="Tahoma" w:cs="Tahoma"/>
                <w:sz w:val="20"/>
                <w:szCs w:val="16"/>
                <w:lang w:val="en-US"/>
              </w:rPr>
            </w:pPr>
            <w:r w:rsidRPr="00C91E39">
              <w:rPr>
                <w:rFonts w:ascii="Tahoma" w:hAnsi="Tahoma" w:cs="Tahoma"/>
                <w:sz w:val="20"/>
                <w:szCs w:val="16"/>
                <w:lang w:val="en-US"/>
              </w:rPr>
              <w:t>1.1</w:t>
            </w:r>
          </w:p>
        </w:tc>
        <w:tc>
          <w:tcPr>
            <w:tcW w:w="6394" w:type="dxa"/>
            <w:shd w:val="clear" w:color="auto" w:fill="auto"/>
            <w:noWrap/>
            <w:vAlign w:val="center"/>
            <w:hideMark/>
          </w:tcPr>
          <w:p w14:paraId="1D6241E9" w14:textId="77777777" w:rsidR="005B68FD" w:rsidRPr="00C91E39" w:rsidRDefault="005B68FD" w:rsidP="005B68FD">
            <w:pPr>
              <w:rPr>
                <w:rFonts w:ascii="Tahoma" w:hAnsi="Tahoma" w:cs="Tahoma"/>
                <w:color w:val="000000"/>
                <w:sz w:val="20"/>
                <w:szCs w:val="16"/>
              </w:rPr>
            </w:pPr>
            <w:r w:rsidRPr="00C91E39">
              <w:rPr>
                <w:rFonts w:ascii="Tahoma" w:hAnsi="Tahoma" w:cs="Tahoma"/>
                <w:color w:val="000000"/>
                <w:sz w:val="20"/>
                <w:szCs w:val="16"/>
              </w:rPr>
              <w:t>категории Клиента</w:t>
            </w:r>
          </w:p>
        </w:tc>
        <w:tc>
          <w:tcPr>
            <w:tcW w:w="7797" w:type="dxa"/>
            <w:gridSpan w:val="7"/>
            <w:shd w:val="clear" w:color="auto" w:fill="auto"/>
            <w:vAlign w:val="center"/>
            <w:hideMark/>
          </w:tcPr>
          <w:p w14:paraId="5D874A7B"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Тарифный план предоставляется Клиентам - физическим лицам и участникам зарплатного проекта Банка</w:t>
            </w:r>
            <w:r w:rsidRPr="00C91E39">
              <w:rPr>
                <w:rFonts w:ascii="Tahoma" w:hAnsi="Tahoma" w:cs="Tahoma"/>
                <w:sz w:val="20"/>
                <w:szCs w:val="16"/>
                <w:vertAlign w:val="superscript"/>
              </w:rPr>
              <w:t>3,4</w:t>
            </w:r>
            <w:r w:rsidRPr="00C91E39">
              <w:rPr>
                <w:rFonts w:ascii="Tahoma" w:hAnsi="Tahoma" w:cs="Tahoma"/>
                <w:sz w:val="20"/>
                <w:szCs w:val="16"/>
              </w:rPr>
              <w:t>, заключившим Договор Карты. Одному Клиенту может быть предоставлена только одна основная Карта одного типа в</w:t>
            </w:r>
            <w:r>
              <w:rPr>
                <w:rFonts w:ascii="Tahoma" w:hAnsi="Tahoma" w:cs="Tahoma"/>
                <w:sz w:val="20"/>
                <w:szCs w:val="16"/>
              </w:rPr>
              <w:t xml:space="preserve"> рамках Тарифного плана «АТБ карта</w:t>
            </w:r>
            <w:r w:rsidRPr="00C91E39">
              <w:rPr>
                <w:rFonts w:ascii="Tahoma" w:hAnsi="Tahoma" w:cs="Tahoma"/>
                <w:sz w:val="20"/>
                <w:szCs w:val="16"/>
              </w:rPr>
              <w:t>».</w:t>
            </w:r>
          </w:p>
        </w:tc>
      </w:tr>
      <w:tr w:rsidR="005B68FD" w:rsidRPr="00C91E39" w14:paraId="4AEE0886" w14:textId="77777777" w:rsidTr="005B68FD">
        <w:tblPrEx>
          <w:tblLook w:val="04A0" w:firstRow="1" w:lastRow="0" w:firstColumn="1" w:lastColumn="0" w:noHBand="0" w:noVBand="1"/>
        </w:tblPrEx>
        <w:trPr>
          <w:gridAfter w:val="2"/>
          <w:wAfter w:w="2177" w:type="dxa"/>
          <w:trHeight w:val="98"/>
        </w:trPr>
        <w:tc>
          <w:tcPr>
            <w:tcW w:w="689" w:type="dxa"/>
            <w:shd w:val="clear" w:color="auto" w:fill="auto"/>
            <w:noWrap/>
            <w:vAlign w:val="center"/>
            <w:hideMark/>
          </w:tcPr>
          <w:p w14:paraId="212BA6CD"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1.2.</w:t>
            </w:r>
          </w:p>
        </w:tc>
        <w:tc>
          <w:tcPr>
            <w:tcW w:w="6394" w:type="dxa"/>
            <w:shd w:val="clear" w:color="auto" w:fill="auto"/>
            <w:noWrap/>
            <w:vAlign w:val="center"/>
            <w:hideMark/>
          </w:tcPr>
          <w:p w14:paraId="22AAD4C6" w14:textId="77777777" w:rsidR="005B68FD" w:rsidRPr="00C91E39" w:rsidRDefault="005B68FD" w:rsidP="005B68FD">
            <w:pPr>
              <w:rPr>
                <w:rFonts w:ascii="Tahoma" w:hAnsi="Tahoma" w:cs="Tahoma"/>
                <w:sz w:val="20"/>
                <w:szCs w:val="16"/>
              </w:rPr>
            </w:pPr>
            <w:r w:rsidRPr="00C91E39">
              <w:rPr>
                <w:rFonts w:ascii="Tahoma" w:hAnsi="Tahoma" w:cs="Tahoma"/>
                <w:sz w:val="20"/>
                <w:szCs w:val="16"/>
              </w:rPr>
              <w:t>каналы оформления</w:t>
            </w:r>
          </w:p>
        </w:tc>
        <w:tc>
          <w:tcPr>
            <w:tcW w:w="7797" w:type="dxa"/>
            <w:gridSpan w:val="7"/>
            <w:shd w:val="clear" w:color="auto" w:fill="auto"/>
            <w:vAlign w:val="center"/>
            <w:hideMark/>
          </w:tcPr>
          <w:p w14:paraId="0EB182A7" w14:textId="77777777" w:rsidR="005B68FD" w:rsidRPr="00C91E39" w:rsidRDefault="005B68FD" w:rsidP="005B68FD">
            <w:pPr>
              <w:spacing w:after="240"/>
              <w:jc w:val="center"/>
              <w:rPr>
                <w:rFonts w:ascii="Tahoma" w:hAnsi="Tahoma" w:cs="Tahoma"/>
                <w:sz w:val="20"/>
                <w:szCs w:val="16"/>
              </w:rPr>
            </w:pPr>
            <w:r w:rsidRPr="00C91E39">
              <w:rPr>
                <w:rFonts w:ascii="Tahoma" w:hAnsi="Tahoma" w:cs="Tahoma"/>
                <w:sz w:val="20"/>
                <w:szCs w:val="16"/>
              </w:rPr>
              <w:t>Офисы Банка, Интернет-банк «АТБ-Онлайн», Мобильный банк</w:t>
            </w:r>
            <w:r w:rsidRPr="00C91E39">
              <w:rPr>
                <w:rFonts w:ascii="Tahoma" w:hAnsi="Tahoma" w:cs="Tahoma"/>
                <w:sz w:val="20"/>
                <w:szCs w:val="16"/>
                <w:vertAlign w:val="superscript"/>
              </w:rPr>
              <w:t>5</w:t>
            </w:r>
          </w:p>
        </w:tc>
      </w:tr>
      <w:tr w:rsidR="005B68FD" w:rsidRPr="00C91E39" w14:paraId="2B241F7A" w14:textId="77777777" w:rsidTr="005B68FD">
        <w:tblPrEx>
          <w:tblLook w:val="04A0" w:firstRow="1" w:lastRow="0" w:firstColumn="1" w:lastColumn="0" w:noHBand="0" w:noVBand="1"/>
        </w:tblPrEx>
        <w:trPr>
          <w:gridAfter w:val="2"/>
          <w:wAfter w:w="2177" w:type="dxa"/>
          <w:trHeight w:val="285"/>
        </w:trPr>
        <w:tc>
          <w:tcPr>
            <w:tcW w:w="689" w:type="dxa"/>
            <w:shd w:val="clear" w:color="000000" w:fill="595959"/>
            <w:noWrap/>
            <w:vAlign w:val="center"/>
            <w:hideMark/>
          </w:tcPr>
          <w:p w14:paraId="28C9DDF0" w14:textId="77777777" w:rsidR="005B68FD" w:rsidRPr="00C91E39" w:rsidRDefault="005B68FD" w:rsidP="005B68FD">
            <w:pPr>
              <w:jc w:val="center"/>
              <w:rPr>
                <w:rFonts w:ascii="Tahoma" w:hAnsi="Tahoma" w:cs="Tahoma"/>
                <w:b/>
                <w:bCs/>
                <w:color w:val="FFFFFF"/>
                <w:sz w:val="20"/>
                <w:szCs w:val="16"/>
              </w:rPr>
            </w:pPr>
            <w:r w:rsidRPr="00C91E39">
              <w:rPr>
                <w:rFonts w:ascii="Tahoma" w:hAnsi="Tahoma" w:cs="Tahoma"/>
                <w:b/>
                <w:bCs/>
                <w:color w:val="FFFFFF"/>
                <w:sz w:val="20"/>
                <w:szCs w:val="16"/>
              </w:rPr>
              <w:t>2.</w:t>
            </w:r>
          </w:p>
        </w:tc>
        <w:tc>
          <w:tcPr>
            <w:tcW w:w="14191" w:type="dxa"/>
            <w:gridSpan w:val="8"/>
            <w:shd w:val="clear" w:color="000000" w:fill="595959"/>
            <w:noWrap/>
            <w:vAlign w:val="center"/>
            <w:hideMark/>
          </w:tcPr>
          <w:p w14:paraId="6354112F" w14:textId="77777777" w:rsidR="005B68FD" w:rsidRPr="00C91E39" w:rsidRDefault="005B68FD" w:rsidP="005B68FD">
            <w:pPr>
              <w:rPr>
                <w:rFonts w:ascii="Tahoma" w:hAnsi="Tahoma" w:cs="Tahoma"/>
                <w:b/>
                <w:bCs/>
                <w:color w:val="FFFFFF"/>
                <w:sz w:val="20"/>
                <w:szCs w:val="16"/>
              </w:rPr>
            </w:pPr>
            <w:r w:rsidRPr="00C91E39">
              <w:rPr>
                <w:rFonts w:ascii="Tahoma" w:hAnsi="Tahoma" w:cs="Tahoma"/>
                <w:b/>
                <w:bCs/>
                <w:color w:val="FFFFFF"/>
                <w:sz w:val="20"/>
                <w:szCs w:val="16"/>
              </w:rPr>
              <w:t>Стоимость ежемесячного обслуживания Карты</w:t>
            </w:r>
          </w:p>
        </w:tc>
      </w:tr>
      <w:tr w:rsidR="005B68FD" w:rsidRPr="00C91E39" w14:paraId="2DF45A87" w14:textId="77777777" w:rsidTr="005B68FD">
        <w:tblPrEx>
          <w:tblLook w:val="04A0" w:firstRow="1" w:lastRow="0" w:firstColumn="1" w:lastColumn="0" w:noHBand="0" w:noVBand="1"/>
        </w:tblPrEx>
        <w:trPr>
          <w:gridAfter w:val="2"/>
          <w:wAfter w:w="2177" w:type="dxa"/>
          <w:trHeight w:val="635"/>
        </w:trPr>
        <w:tc>
          <w:tcPr>
            <w:tcW w:w="689" w:type="dxa"/>
            <w:shd w:val="clear" w:color="000000" w:fill="FFFFFF"/>
            <w:noWrap/>
            <w:vAlign w:val="center"/>
            <w:hideMark/>
          </w:tcPr>
          <w:p w14:paraId="23D85846"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2.1.</w:t>
            </w:r>
          </w:p>
        </w:tc>
        <w:tc>
          <w:tcPr>
            <w:tcW w:w="6394" w:type="dxa"/>
            <w:shd w:val="clear" w:color="000000" w:fill="FFFFFF"/>
            <w:vAlign w:val="center"/>
            <w:hideMark/>
          </w:tcPr>
          <w:p w14:paraId="3DBF3DD0" w14:textId="77777777" w:rsidR="005B68FD" w:rsidRPr="00C91E39" w:rsidRDefault="005B68FD" w:rsidP="005B68FD">
            <w:pPr>
              <w:rPr>
                <w:rFonts w:ascii="Tahoma" w:hAnsi="Tahoma" w:cs="Tahoma"/>
                <w:sz w:val="20"/>
                <w:szCs w:val="16"/>
              </w:rPr>
            </w:pPr>
            <w:r w:rsidRPr="00C91E39">
              <w:rPr>
                <w:rFonts w:ascii="Tahoma" w:hAnsi="Tahoma" w:cs="Tahoma"/>
                <w:sz w:val="20"/>
                <w:szCs w:val="16"/>
              </w:rPr>
              <w:t>при безналичном зачислении на Счет Карты заработной платы</w:t>
            </w:r>
            <w:r w:rsidRPr="00C91E39">
              <w:rPr>
                <w:rFonts w:ascii="Tahoma" w:hAnsi="Tahoma" w:cs="Tahoma"/>
                <w:sz w:val="20"/>
                <w:szCs w:val="16"/>
                <w:vertAlign w:val="superscript"/>
              </w:rPr>
              <w:t>6</w:t>
            </w:r>
            <w:r w:rsidRPr="00C91E39">
              <w:rPr>
                <w:rFonts w:ascii="Tahoma" w:hAnsi="Tahoma" w:cs="Tahoma"/>
                <w:sz w:val="20"/>
                <w:szCs w:val="16"/>
              </w:rPr>
              <w:t xml:space="preserve"> Клиента в Отчетном периоде</w:t>
            </w:r>
            <w:r w:rsidRPr="00C91E39">
              <w:rPr>
                <w:rFonts w:ascii="Tahoma" w:hAnsi="Tahoma" w:cs="Tahoma"/>
                <w:sz w:val="20"/>
                <w:szCs w:val="16"/>
                <w:vertAlign w:val="superscript"/>
              </w:rPr>
              <w:t>7</w:t>
            </w:r>
            <w:r w:rsidRPr="00C91E39">
              <w:rPr>
                <w:rFonts w:ascii="Tahoma" w:hAnsi="Tahoma" w:cs="Tahoma"/>
                <w:sz w:val="20"/>
                <w:szCs w:val="16"/>
              </w:rPr>
              <w:t>,при отсутствии перерыва в зачислении заработной платы или наличии перерыва в зачислении заработной платы не более 2-х календарных месяцев подряд</w:t>
            </w:r>
          </w:p>
        </w:tc>
        <w:tc>
          <w:tcPr>
            <w:tcW w:w="7797" w:type="dxa"/>
            <w:gridSpan w:val="7"/>
            <w:vMerge w:val="restart"/>
            <w:shd w:val="clear" w:color="auto" w:fill="auto"/>
            <w:noWrap/>
            <w:vAlign w:val="center"/>
            <w:hideMark/>
          </w:tcPr>
          <w:p w14:paraId="6CB319DE" w14:textId="77777777" w:rsidR="005B68FD" w:rsidRPr="00C91E39" w:rsidRDefault="005B68FD" w:rsidP="005B68FD">
            <w:pPr>
              <w:jc w:val="center"/>
              <w:rPr>
                <w:rFonts w:ascii="Tahoma" w:hAnsi="Tahoma" w:cs="Tahoma"/>
                <w:b/>
                <w:bCs/>
                <w:sz w:val="20"/>
                <w:szCs w:val="16"/>
              </w:rPr>
            </w:pPr>
            <w:r w:rsidRPr="00C91E39">
              <w:rPr>
                <w:rFonts w:ascii="Tahoma" w:hAnsi="Tahoma" w:cs="Tahoma"/>
                <w:b/>
                <w:bCs/>
                <w:sz w:val="20"/>
                <w:szCs w:val="16"/>
              </w:rPr>
              <w:t>БЕСПЛАТНО</w:t>
            </w:r>
          </w:p>
        </w:tc>
      </w:tr>
      <w:tr w:rsidR="005B68FD" w:rsidRPr="00C91E39" w14:paraId="48DFF212" w14:textId="77777777" w:rsidTr="005B68FD">
        <w:tblPrEx>
          <w:tblLook w:val="04A0" w:firstRow="1" w:lastRow="0" w:firstColumn="1" w:lastColumn="0" w:noHBand="0" w:noVBand="1"/>
        </w:tblPrEx>
        <w:trPr>
          <w:gridAfter w:val="2"/>
          <w:wAfter w:w="2177" w:type="dxa"/>
          <w:trHeight w:val="404"/>
        </w:trPr>
        <w:tc>
          <w:tcPr>
            <w:tcW w:w="689" w:type="dxa"/>
            <w:shd w:val="clear" w:color="000000" w:fill="FFFFFF"/>
            <w:noWrap/>
            <w:vAlign w:val="center"/>
            <w:hideMark/>
          </w:tcPr>
          <w:p w14:paraId="1241B0B5"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2.2.</w:t>
            </w:r>
          </w:p>
        </w:tc>
        <w:tc>
          <w:tcPr>
            <w:tcW w:w="6394" w:type="dxa"/>
            <w:shd w:val="clear" w:color="000000" w:fill="FFFFFF"/>
            <w:vAlign w:val="center"/>
            <w:hideMark/>
          </w:tcPr>
          <w:p w14:paraId="7D24C40D" w14:textId="77777777" w:rsidR="005B68FD" w:rsidRPr="00C91E39" w:rsidRDefault="005B68FD" w:rsidP="005B68FD">
            <w:pPr>
              <w:rPr>
                <w:rFonts w:ascii="Tahoma" w:hAnsi="Tahoma" w:cs="Tahoma"/>
                <w:sz w:val="20"/>
                <w:szCs w:val="16"/>
              </w:rPr>
            </w:pPr>
            <w:r w:rsidRPr="00C91E39">
              <w:rPr>
                <w:rFonts w:ascii="Tahoma" w:hAnsi="Tahoma" w:cs="Tahoma"/>
                <w:sz w:val="20"/>
                <w:szCs w:val="16"/>
              </w:rPr>
              <w:t>при совершении безналичных операций в ТСП</w:t>
            </w:r>
            <w:r w:rsidRPr="00C91E39">
              <w:rPr>
                <w:rFonts w:ascii="Tahoma" w:hAnsi="Tahoma" w:cs="Tahoma"/>
                <w:sz w:val="20"/>
                <w:szCs w:val="16"/>
                <w:vertAlign w:val="superscript"/>
              </w:rPr>
              <w:t>8</w:t>
            </w:r>
            <w:r w:rsidRPr="00C91E39">
              <w:rPr>
                <w:rFonts w:ascii="Tahoma" w:hAnsi="Tahoma" w:cs="Tahoma"/>
                <w:sz w:val="20"/>
                <w:szCs w:val="16"/>
              </w:rPr>
              <w:t xml:space="preserve"> на сумму более 30 000 рублей</w:t>
            </w:r>
            <w:r w:rsidRPr="00C91E39">
              <w:rPr>
                <w:rFonts w:ascii="Tahoma" w:hAnsi="Tahoma" w:cs="Tahoma"/>
                <w:sz w:val="20"/>
                <w:szCs w:val="16"/>
                <w:vertAlign w:val="superscript"/>
              </w:rPr>
              <w:t>9</w:t>
            </w:r>
            <w:r w:rsidRPr="00C91E39">
              <w:rPr>
                <w:rFonts w:ascii="Tahoma" w:hAnsi="Tahoma" w:cs="Tahoma"/>
                <w:sz w:val="20"/>
                <w:szCs w:val="16"/>
              </w:rPr>
              <w:t>/2 800 юаней</w:t>
            </w:r>
            <w:r w:rsidRPr="00C91E39">
              <w:rPr>
                <w:rFonts w:ascii="Tahoma" w:hAnsi="Tahoma" w:cs="Tahoma"/>
                <w:sz w:val="20"/>
                <w:szCs w:val="16"/>
                <w:vertAlign w:val="superscript"/>
              </w:rPr>
              <w:t>10</w:t>
            </w:r>
            <w:r w:rsidRPr="00C91E39">
              <w:rPr>
                <w:rFonts w:ascii="Tahoma" w:hAnsi="Tahoma" w:cs="Tahoma"/>
                <w:sz w:val="20"/>
                <w:szCs w:val="16"/>
              </w:rPr>
              <w:t xml:space="preserve"> в Отчетном периоде</w:t>
            </w:r>
            <w:r w:rsidRPr="00C91E39">
              <w:rPr>
                <w:rFonts w:ascii="Tahoma" w:hAnsi="Tahoma" w:cs="Tahoma"/>
                <w:sz w:val="20"/>
                <w:szCs w:val="16"/>
                <w:vertAlign w:val="superscript"/>
              </w:rPr>
              <w:t>7</w:t>
            </w:r>
          </w:p>
        </w:tc>
        <w:tc>
          <w:tcPr>
            <w:tcW w:w="7797" w:type="dxa"/>
            <w:gridSpan w:val="7"/>
            <w:vMerge/>
            <w:vAlign w:val="center"/>
            <w:hideMark/>
          </w:tcPr>
          <w:p w14:paraId="06821EB0" w14:textId="77777777" w:rsidR="005B68FD" w:rsidRPr="00C91E39" w:rsidRDefault="005B68FD" w:rsidP="005B68FD">
            <w:pPr>
              <w:rPr>
                <w:rFonts w:ascii="Tahoma" w:hAnsi="Tahoma" w:cs="Tahoma"/>
                <w:b/>
                <w:bCs/>
                <w:sz w:val="20"/>
                <w:szCs w:val="16"/>
              </w:rPr>
            </w:pPr>
          </w:p>
        </w:tc>
      </w:tr>
      <w:tr w:rsidR="005B68FD" w:rsidRPr="00C91E39" w14:paraId="05362214" w14:textId="77777777" w:rsidTr="005B68FD">
        <w:tblPrEx>
          <w:tblLook w:val="04A0" w:firstRow="1" w:lastRow="0" w:firstColumn="1" w:lastColumn="0" w:noHBand="0" w:noVBand="1"/>
        </w:tblPrEx>
        <w:trPr>
          <w:gridAfter w:val="2"/>
          <w:wAfter w:w="2177" w:type="dxa"/>
          <w:trHeight w:val="551"/>
        </w:trPr>
        <w:tc>
          <w:tcPr>
            <w:tcW w:w="689" w:type="dxa"/>
            <w:shd w:val="clear" w:color="000000" w:fill="FFFFFF"/>
            <w:noWrap/>
            <w:vAlign w:val="center"/>
            <w:hideMark/>
          </w:tcPr>
          <w:p w14:paraId="525675DA"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2.3.</w:t>
            </w:r>
          </w:p>
        </w:tc>
        <w:tc>
          <w:tcPr>
            <w:tcW w:w="6394" w:type="dxa"/>
            <w:shd w:val="clear" w:color="000000" w:fill="FFFFFF"/>
            <w:vAlign w:val="center"/>
            <w:hideMark/>
          </w:tcPr>
          <w:p w14:paraId="59F419D0" w14:textId="77777777" w:rsidR="005B68FD" w:rsidRPr="00C91E39" w:rsidRDefault="005B68FD" w:rsidP="005B68FD">
            <w:pPr>
              <w:rPr>
                <w:rFonts w:ascii="Tahoma" w:hAnsi="Tahoma" w:cs="Tahoma"/>
                <w:sz w:val="20"/>
                <w:szCs w:val="16"/>
              </w:rPr>
            </w:pPr>
            <w:r w:rsidRPr="00C91E39">
              <w:rPr>
                <w:rFonts w:ascii="Tahoma" w:hAnsi="Tahoma" w:cs="Tahoma"/>
                <w:sz w:val="20"/>
                <w:szCs w:val="16"/>
              </w:rPr>
              <w:t>При выборе Счета Карты в качестве счета для зачисления процентов по срочному Вкладу, открытому в Банке</w:t>
            </w:r>
            <w:r w:rsidRPr="00C91E39">
              <w:rPr>
                <w:rFonts w:ascii="Tahoma" w:hAnsi="Tahoma" w:cs="Tahoma"/>
                <w:sz w:val="20"/>
                <w:szCs w:val="16"/>
                <w:vertAlign w:val="superscript"/>
              </w:rPr>
              <w:t>11</w:t>
            </w:r>
            <w:r w:rsidRPr="00C91E39">
              <w:rPr>
                <w:rFonts w:ascii="Tahoma" w:hAnsi="Tahoma" w:cs="Tahoma"/>
                <w:sz w:val="20"/>
                <w:szCs w:val="16"/>
              </w:rPr>
              <w:t xml:space="preserve"> (на ежемесячной основе и/или по окончании срока Вклада)</w:t>
            </w:r>
          </w:p>
        </w:tc>
        <w:tc>
          <w:tcPr>
            <w:tcW w:w="7797" w:type="dxa"/>
            <w:gridSpan w:val="7"/>
            <w:vMerge/>
            <w:vAlign w:val="center"/>
            <w:hideMark/>
          </w:tcPr>
          <w:p w14:paraId="048F36CE" w14:textId="77777777" w:rsidR="005B68FD" w:rsidRPr="00C91E39" w:rsidRDefault="005B68FD" w:rsidP="005B68FD">
            <w:pPr>
              <w:rPr>
                <w:rFonts w:ascii="Tahoma" w:hAnsi="Tahoma" w:cs="Tahoma"/>
                <w:b/>
                <w:bCs/>
                <w:sz w:val="20"/>
                <w:szCs w:val="16"/>
              </w:rPr>
            </w:pPr>
          </w:p>
        </w:tc>
      </w:tr>
      <w:tr w:rsidR="005B68FD" w:rsidRPr="00C91E39" w14:paraId="358822B6" w14:textId="77777777" w:rsidTr="005B68FD">
        <w:tblPrEx>
          <w:tblLook w:val="04A0" w:firstRow="1" w:lastRow="0" w:firstColumn="1" w:lastColumn="0" w:noHBand="0" w:noVBand="1"/>
        </w:tblPrEx>
        <w:trPr>
          <w:gridAfter w:val="2"/>
          <w:wAfter w:w="2177" w:type="dxa"/>
          <w:trHeight w:val="551"/>
        </w:trPr>
        <w:tc>
          <w:tcPr>
            <w:tcW w:w="689" w:type="dxa"/>
            <w:shd w:val="clear" w:color="000000" w:fill="FFFFFF"/>
            <w:noWrap/>
            <w:vAlign w:val="center"/>
          </w:tcPr>
          <w:p w14:paraId="08C6174F"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2.4.</w:t>
            </w:r>
          </w:p>
        </w:tc>
        <w:tc>
          <w:tcPr>
            <w:tcW w:w="6394" w:type="dxa"/>
            <w:shd w:val="clear" w:color="000000" w:fill="FFFFFF"/>
            <w:vAlign w:val="center"/>
          </w:tcPr>
          <w:p w14:paraId="3278F476" w14:textId="77777777" w:rsidR="005B68FD" w:rsidRPr="00C91E39" w:rsidRDefault="005B68FD" w:rsidP="005B68FD">
            <w:pPr>
              <w:rPr>
                <w:rFonts w:ascii="Tahoma" w:hAnsi="Tahoma" w:cs="Tahoma"/>
                <w:sz w:val="20"/>
                <w:szCs w:val="16"/>
              </w:rPr>
            </w:pPr>
            <w:r w:rsidRPr="00C91E39">
              <w:rPr>
                <w:rFonts w:ascii="Tahoma" w:hAnsi="Tahoma" w:cs="Tahoma"/>
                <w:sz w:val="20"/>
                <w:szCs w:val="16"/>
              </w:rPr>
              <w:t>при безналичном зачислении на Счет Карты пенсионных и/или социальных выплат Клиента в Отчетном периоде</w:t>
            </w:r>
            <w:r w:rsidRPr="00C91E39">
              <w:rPr>
                <w:rFonts w:ascii="Tahoma" w:hAnsi="Tahoma" w:cs="Tahoma"/>
                <w:sz w:val="20"/>
                <w:szCs w:val="16"/>
                <w:vertAlign w:val="superscript"/>
              </w:rPr>
              <w:t>7</w:t>
            </w:r>
          </w:p>
        </w:tc>
        <w:tc>
          <w:tcPr>
            <w:tcW w:w="1701" w:type="dxa"/>
            <w:gridSpan w:val="2"/>
            <w:vAlign w:val="center"/>
          </w:tcPr>
          <w:p w14:paraId="654726A3" w14:textId="77777777" w:rsidR="005B68FD" w:rsidRPr="00C91E39" w:rsidRDefault="005B68FD" w:rsidP="005B68FD">
            <w:pPr>
              <w:jc w:val="center"/>
              <w:rPr>
                <w:rFonts w:ascii="Tahoma" w:hAnsi="Tahoma" w:cs="Tahoma"/>
                <w:bCs/>
                <w:sz w:val="20"/>
                <w:szCs w:val="16"/>
              </w:rPr>
            </w:pPr>
            <w:r w:rsidRPr="00C91E39">
              <w:rPr>
                <w:rFonts w:ascii="Tahoma" w:hAnsi="Tahoma" w:cs="Tahoma"/>
                <w:bCs/>
                <w:sz w:val="20"/>
                <w:szCs w:val="16"/>
              </w:rPr>
              <w:t>не применимо</w:t>
            </w:r>
          </w:p>
        </w:tc>
        <w:tc>
          <w:tcPr>
            <w:tcW w:w="1984" w:type="dxa"/>
            <w:vAlign w:val="center"/>
          </w:tcPr>
          <w:p w14:paraId="75A217E6" w14:textId="77777777" w:rsidR="005B68FD" w:rsidRPr="00C91E39" w:rsidRDefault="005B68FD" w:rsidP="005B68FD">
            <w:pPr>
              <w:jc w:val="center"/>
              <w:rPr>
                <w:rFonts w:ascii="Tahoma" w:hAnsi="Tahoma" w:cs="Tahoma"/>
                <w:b/>
                <w:bCs/>
                <w:sz w:val="20"/>
                <w:szCs w:val="16"/>
              </w:rPr>
            </w:pPr>
            <w:r w:rsidRPr="00C91E39">
              <w:rPr>
                <w:rFonts w:ascii="Tahoma" w:hAnsi="Tahoma" w:cs="Tahoma"/>
                <w:b/>
                <w:bCs/>
                <w:sz w:val="20"/>
                <w:szCs w:val="16"/>
              </w:rPr>
              <w:t>БЕСПЛАТНО</w:t>
            </w:r>
          </w:p>
        </w:tc>
        <w:tc>
          <w:tcPr>
            <w:tcW w:w="4112" w:type="dxa"/>
            <w:gridSpan w:val="4"/>
            <w:vAlign w:val="center"/>
          </w:tcPr>
          <w:p w14:paraId="667BC6D7" w14:textId="77777777" w:rsidR="005B68FD" w:rsidRPr="00C91E39" w:rsidRDefault="005B68FD" w:rsidP="005B68FD">
            <w:pPr>
              <w:jc w:val="center"/>
              <w:rPr>
                <w:rFonts w:ascii="Tahoma" w:hAnsi="Tahoma" w:cs="Tahoma"/>
                <w:b/>
                <w:bCs/>
                <w:sz w:val="20"/>
                <w:szCs w:val="16"/>
              </w:rPr>
            </w:pPr>
            <w:r w:rsidRPr="00C91E39">
              <w:rPr>
                <w:rFonts w:ascii="Tahoma" w:hAnsi="Tahoma" w:cs="Tahoma"/>
                <w:bCs/>
                <w:sz w:val="20"/>
                <w:szCs w:val="16"/>
              </w:rPr>
              <w:t>не применимо</w:t>
            </w:r>
          </w:p>
        </w:tc>
      </w:tr>
      <w:tr w:rsidR="005B68FD" w:rsidRPr="00C91E39" w14:paraId="4C65EE8C" w14:textId="77777777" w:rsidTr="005B68FD">
        <w:tblPrEx>
          <w:tblLook w:val="04A0" w:firstRow="1" w:lastRow="0" w:firstColumn="1" w:lastColumn="0" w:noHBand="0" w:noVBand="1"/>
        </w:tblPrEx>
        <w:trPr>
          <w:gridAfter w:val="2"/>
          <w:wAfter w:w="2177" w:type="dxa"/>
          <w:trHeight w:val="465"/>
        </w:trPr>
        <w:tc>
          <w:tcPr>
            <w:tcW w:w="689" w:type="dxa"/>
            <w:shd w:val="clear" w:color="000000" w:fill="FFFFFF"/>
            <w:noWrap/>
            <w:vAlign w:val="center"/>
            <w:hideMark/>
          </w:tcPr>
          <w:p w14:paraId="42A87C94"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2.5.</w:t>
            </w:r>
          </w:p>
        </w:tc>
        <w:tc>
          <w:tcPr>
            <w:tcW w:w="6394" w:type="dxa"/>
            <w:shd w:val="clear" w:color="000000" w:fill="FFFFFF"/>
            <w:vAlign w:val="center"/>
            <w:hideMark/>
          </w:tcPr>
          <w:p w14:paraId="54C01926" w14:textId="77777777" w:rsidR="005B68FD" w:rsidRPr="00C91E39" w:rsidRDefault="005B68FD" w:rsidP="005B68FD">
            <w:pPr>
              <w:rPr>
                <w:rFonts w:ascii="Tahoma" w:hAnsi="Tahoma" w:cs="Tahoma"/>
                <w:sz w:val="20"/>
                <w:szCs w:val="16"/>
              </w:rPr>
            </w:pPr>
            <w:r w:rsidRPr="00C91E39">
              <w:rPr>
                <w:rFonts w:ascii="Tahoma" w:hAnsi="Tahoma" w:cs="Tahoma"/>
                <w:sz w:val="20"/>
                <w:szCs w:val="16"/>
              </w:rPr>
              <w:t>в иных случаях</w:t>
            </w:r>
          </w:p>
        </w:tc>
        <w:tc>
          <w:tcPr>
            <w:tcW w:w="3685" w:type="dxa"/>
            <w:gridSpan w:val="3"/>
            <w:shd w:val="clear" w:color="auto" w:fill="auto"/>
            <w:noWrap/>
            <w:vAlign w:val="center"/>
            <w:hideMark/>
          </w:tcPr>
          <w:p w14:paraId="6891A968" w14:textId="77777777" w:rsidR="005B68FD" w:rsidRPr="00C91E39" w:rsidRDefault="005B68FD" w:rsidP="005B68FD">
            <w:pPr>
              <w:jc w:val="center"/>
              <w:rPr>
                <w:rFonts w:ascii="Tahoma" w:hAnsi="Tahoma" w:cs="Tahoma"/>
                <w:b/>
                <w:bCs/>
                <w:sz w:val="20"/>
                <w:szCs w:val="16"/>
              </w:rPr>
            </w:pPr>
            <w:r w:rsidRPr="00C91E39">
              <w:rPr>
                <w:rFonts w:ascii="Tahoma" w:hAnsi="Tahoma" w:cs="Tahoma"/>
                <w:b/>
                <w:bCs/>
                <w:sz w:val="20"/>
                <w:szCs w:val="16"/>
              </w:rPr>
              <w:t>БЕСПЛАТНО</w:t>
            </w:r>
          </w:p>
        </w:tc>
        <w:tc>
          <w:tcPr>
            <w:tcW w:w="1990" w:type="dxa"/>
            <w:gridSpan w:val="2"/>
            <w:shd w:val="clear" w:color="auto" w:fill="auto"/>
            <w:vAlign w:val="center"/>
            <w:hideMark/>
          </w:tcPr>
          <w:p w14:paraId="371CFC7C"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399 рублей</w:t>
            </w:r>
            <w:r w:rsidRPr="00C91E39">
              <w:rPr>
                <w:rFonts w:ascii="Tahoma" w:hAnsi="Tahoma" w:cs="Tahoma"/>
                <w:sz w:val="20"/>
                <w:szCs w:val="16"/>
                <w:vertAlign w:val="superscript"/>
              </w:rPr>
              <w:t>12</w:t>
            </w:r>
          </w:p>
        </w:tc>
        <w:tc>
          <w:tcPr>
            <w:tcW w:w="2122" w:type="dxa"/>
            <w:gridSpan w:val="2"/>
            <w:shd w:val="clear" w:color="auto" w:fill="auto"/>
            <w:vAlign w:val="center"/>
            <w:hideMark/>
          </w:tcPr>
          <w:p w14:paraId="6E0EE4A1"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38 юаней</w:t>
            </w:r>
            <w:r w:rsidRPr="00C91E39">
              <w:rPr>
                <w:rFonts w:ascii="Tahoma" w:hAnsi="Tahoma" w:cs="Tahoma"/>
                <w:sz w:val="20"/>
                <w:szCs w:val="16"/>
                <w:vertAlign w:val="superscript"/>
              </w:rPr>
              <w:t>12</w:t>
            </w:r>
          </w:p>
        </w:tc>
      </w:tr>
      <w:tr w:rsidR="005B68FD" w:rsidRPr="00C91E39" w14:paraId="550D0452" w14:textId="77777777" w:rsidTr="005B68FD">
        <w:tblPrEx>
          <w:tblLook w:val="04A0" w:firstRow="1" w:lastRow="0" w:firstColumn="1" w:lastColumn="0" w:noHBand="0" w:noVBand="1"/>
        </w:tblPrEx>
        <w:trPr>
          <w:gridAfter w:val="2"/>
          <w:wAfter w:w="2177" w:type="dxa"/>
          <w:trHeight w:val="285"/>
        </w:trPr>
        <w:tc>
          <w:tcPr>
            <w:tcW w:w="689" w:type="dxa"/>
            <w:shd w:val="clear" w:color="000000" w:fill="595959"/>
            <w:noWrap/>
            <w:vAlign w:val="center"/>
            <w:hideMark/>
          </w:tcPr>
          <w:p w14:paraId="7D7D46A6" w14:textId="77777777" w:rsidR="005B68FD" w:rsidRPr="00C91E39" w:rsidRDefault="005B68FD" w:rsidP="005B68FD">
            <w:pPr>
              <w:jc w:val="center"/>
              <w:rPr>
                <w:rFonts w:ascii="Tahoma" w:hAnsi="Tahoma" w:cs="Tahoma"/>
                <w:b/>
                <w:bCs/>
                <w:color w:val="FFFFFF"/>
                <w:sz w:val="20"/>
                <w:szCs w:val="16"/>
              </w:rPr>
            </w:pPr>
            <w:r w:rsidRPr="00C91E39">
              <w:rPr>
                <w:rFonts w:ascii="Tahoma" w:hAnsi="Tahoma" w:cs="Tahoma"/>
                <w:b/>
                <w:bCs/>
                <w:color w:val="FFFFFF"/>
                <w:sz w:val="20"/>
                <w:szCs w:val="16"/>
              </w:rPr>
              <w:t>3.</w:t>
            </w:r>
          </w:p>
        </w:tc>
        <w:tc>
          <w:tcPr>
            <w:tcW w:w="14191" w:type="dxa"/>
            <w:gridSpan w:val="8"/>
            <w:shd w:val="clear" w:color="000000" w:fill="595959"/>
            <w:noWrap/>
            <w:vAlign w:val="center"/>
            <w:hideMark/>
          </w:tcPr>
          <w:p w14:paraId="4A0C4DAF" w14:textId="77777777" w:rsidR="005B68FD" w:rsidRPr="00C91E39" w:rsidRDefault="005B68FD" w:rsidP="005B68FD">
            <w:pPr>
              <w:rPr>
                <w:rFonts w:ascii="Tahoma" w:hAnsi="Tahoma" w:cs="Tahoma"/>
                <w:b/>
                <w:bCs/>
                <w:color w:val="FFFFFF"/>
                <w:sz w:val="20"/>
                <w:szCs w:val="16"/>
              </w:rPr>
            </w:pPr>
            <w:r w:rsidRPr="00C91E39">
              <w:rPr>
                <w:rFonts w:ascii="Tahoma" w:hAnsi="Tahoma" w:cs="Tahoma"/>
                <w:b/>
                <w:bCs/>
                <w:color w:val="FFFFFF"/>
                <w:sz w:val="20"/>
                <w:szCs w:val="16"/>
              </w:rPr>
              <w:t xml:space="preserve">Условия выпуска и обслуживания Карты </w:t>
            </w:r>
          </w:p>
        </w:tc>
      </w:tr>
      <w:tr w:rsidR="005B68FD" w:rsidRPr="00C91E39" w14:paraId="6CBC7B22" w14:textId="77777777" w:rsidTr="005B68FD">
        <w:tblPrEx>
          <w:tblLook w:val="04A0" w:firstRow="1" w:lastRow="0" w:firstColumn="1" w:lastColumn="0" w:noHBand="0" w:noVBand="1"/>
        </w:tblPrEx>
        <w:trPr>
          <w:gridAfter w:val="2"/>
          <w:wAfter w:w="2177" w:type="dxa"/>
          <w:trHeight w:val="285"/>
        </w:trPr>
        <w:tc>
          <w:tcPr>
            <w:tcW w:w="689" w:type="dxa"/>
            <w:shd w:val="clear" w:color="000000" w:fill="FFFFFF"/>
            <w:noWrap/>
            <w:vAlign w:val="center"/>
            <w:hideMark/>
          </w:tcPr>
          <w:p w14:paraId="6F6B9E25"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3.1.</w:t>
            </w:r>
          </w:p>
        </w:tc>
        <w:tc>
          <w:tcPr>
            <w:tcW w:w="6394" w:type="dxa"/>
            <w:shd w:val="clear" w:color="auto" w:fill="auto"/>
            <w:vAlign w:val="center"/>
            <w:hideMark/>
          </w:tcPr>
          <w:p w14:paraId="0E9EE1EA" w14:textId="77777777" w:rsidR="005B68FD" w:rsidRPr="00C91E39" w:rsidRDefault="005B68FD" w:rsidP="005B68FD">
            <w:pPr>
              <w:rPr>
                <w:rFonts w:ascii="Tahoma" w:hAnsi="Tahoma" w:cs="Tahoma"/>
                <w:sz w:val="20"/>
                <w:szCs w:val="16"/>
              </w:rPr>
            </w:pPr>
            <w:r w:rsidRPr="00C91E39">
              <w:rPr>
                <w:rFonts w:ascii="Tahoma" w:hAnsi="Tahoma" w:cs="Tahoma"/>
                <w:sz w:val="20"/>
                <w:szCs w:val="16"/>
              </w:rPr>
              <w:t>валюта Счета Карты</w:t>
            </w:r>
          </w:p>
        </w:tc>
        <w:tc>
          <w:tcPr>
            <w:tcW w:w="5675" w:type="dxa"/>
            <w:gridSpan w:val="5"/>
            <w:shd w:val="clear" w:color="auto" w:fill="auto"/>
            <w:noWrap/>
            <w:vAlign w:val="center"/>
            <w:hideMark/>
          </w:tcPr>
          <w:p w14:paraId="004D73DA" w14:textId="77777777" w:rsidR="005B68FD" w:rsidRPr="00C91E39" w:rsidRDefault="005B68FD" w:rsidP="005B68FD">
            <w:pPr>
              <w:jc w:val="center"/>
              <w:rPr>
                <w:rFonts w:ascii="Tahoma" w:hAnsi="Tahoma" w:cs="Tahoma"/>
                <w:color w:val="000000"/>
                <w:sz w:val="20"/>
                <w:szCs w:val="16"/>
              </w:rPr>
            </w:pPr>
            <w:r w:rsidRPr="00C91E39">
              <w:rPr>
                <w:rFonts w:ascii="Tahoma" w:hAnsi="Tahoma" w:cs="Tahoma"/>
                <w:color w:val="000000"/>
                <w:sz w:val="20"/>
                <w:szCs w:val="16"/>
              </w:rPr>
              <w:t>российский рубль</w:t>
            </w:r>
          </w:p>
        </w:tc>
        <w:tc>
          <w:tcPr>
            <w:tcW w:w="2122" w:type="dxa"/>
            <w:gridSpan w:val="2"/>
            <w:shd w:val="clear" w:color="000000" w:fill="FFFFFF"/>
            <w:noWrap/>
            <w:vAlign w:val="center"/>
            <w:hideMark/>
          </w:tcPr>
          <w:p w14:paraId="36621B42" w14:textId="77777777" w:rsidR="005B68FD" w:rsidRPr="00C91E39" w:rsidRDefault="005B68FD" w:rsidP="005B68FD">
            <w:pPr>
              <w:jc w:val="center"/>
              <w:rPr>
                <w:rFonts w:ascii="Tahoma" w:hAnsi="Tahoma" w:cs="Tahoma"/>
                <w:color w:val="000000"/>
                <w:sz w:val="20"/>
                <w:szCs w:val="16"/>
              </w:rPr>
            </w:pPr>
            <w:r w:rsidRPr="00C91E39">
              <w:rPr>
                <w:rFonts w:ascii="Tahoma" w:hAnsi="Tahoma" w:cs="Tahoma"/>
                <w:color w:val="000000"/>
                <w:sz w:val="20"/>
                <w:szCs w:val="16"/>
              </w:rPr>
              <w:t>китайский юань</w:t>
            </w:r>
          </w:p>
        </w:tc>
      </w:tr>
      <w:tr w:rsidR="005B68FD" w:rsidRPr="00C91E39" w14:paraId="170DCBF6" w14:textId="77777777" w:rsidTr="005B68FD">
        <w:tblPrEx>
          <w:tblLook w:val="04A0" w:firstRow="1" w:lastRow="0" w:firstColumn="1" w:lastColumn="0" w:noHBand="0" w:noVBand="1"/>
        </w:tblPrEx>
        <w:trPr>
          <w:gridAfter w:val="2"/>
          <w:wAfter w:w="2177" w:type="dxa"/>
          <w:trHeight w:val="285"/>
        </w:trPr>
        <w:tc>
          <w:tcPr>
            <w:tcW w:w="689" w:type="dxa"/>
            <w:shd w:val="clear" w:color="auto" w:fill="auto"/>
            <w:noWrap/>
            <w:vAlign w:val="center"/>
            <w:hideMark/>
          </w:tcPr>
          <w:p w14:paraId="15CCAC82"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3.2.</w:t>
            </w:r>
          </w:p>
        </w:tc>
        <w:tc>
          <w:tcPr>
            <w:tcW w:w="6394" w:type="dxa"/>
            <w:shd w:val="clear" w:color="auto" w:fill="auto"/>
            <w:vAlign w:val="center"/>
            <w:hideMark/>
          </w:tcPr>
          <w:p w14:paraId="6802B318" w14:textId="77777777" w:rsidR="005B68FD" w:rsidRPr="00C91E39" w:rsidRDefault="005B68FD" w:rsidP="005B68FD">
            <w:pPr>
              <w:rPr>
                <w:rFonts w:ascii="Tahoma" w:hAnsi="Tahoma" w:cs="Tahoma"/>
                <w:sz w:val="20"/>
                <w:szCs w:val="16"/>
              </w:rPr>
            </w:pPr>
            <w:r w:rsidRPr="00C91E39">
              <w:rPr>
                <w:rFonts w:ascii="Tahoma" w:hAnsi="Tahoma" w:cs="Tahoma"/>
                <w:sz w:val="20"/>
                <w:szCs w:val="16"/>
              </w:rPr>
              <w:t>годовое обслуживание Карты3 год</w:t>
            </w:r>
          </w:p>
        </w:tc>
        <w:tc>
          <w:tcPr>
            <w:tcW w:w="7797" w:type="dxa"/>
            <w:gridSpan w:val="7"/>
            <w:vMerge w:val="restart"/>
            <w:shd w:val="clear" w:color="auto" w:fill="auto"/>
            <w:noWrap/>
            <w:vAlign w:val="center"/>
            <w:hideMark/>
          </w:tcPr>
          <w:p w14:paraId="4A9D7E94" w14:textId="77777777" w:rsidR="005B68FD" w:rsidRPr="00C91E39" w:rsidRDefault="005B68FD" w:rsidP="005B68FD">
            <w:pPr>
              <w:jc w:val="center"/>
              <w:rPr>
                <w:rFonts w:ascii="Tahoma" w:hAnsi="Tahoma" w:cs="Tahoma"/>
                <w:b/>
                <w:bCs/>
                <w:color w:val="000000"/>
                <w:sz w:val="20"/>
                <w:szCs w:val="16"/>
              </w:rPr>
            </w:pPr>
            <w:r w:rsidRPr="00C91E39">
              <w:rPr>
                <w:rFonts w:ascii="Tahoma" w:hAnsi="Tahoma" w:cs="Tahoma"/>
                <w:b/>
                <w:bCs/>
                <w:color w:val="000000"/>
                <w:sz w:val="20"/>
                <w:szCs w:val="16"/>
              </w:rPr>
              <w:t>БЕСПЛАТНО</w:t>
            </w:r>
          </w:p>
        </w:tc>
      </w:tr>
      <w:tr w:rsidR="005B68FD" w:rsidRPr="00C91E39" w14:paraId="7760051F" w14:textId="77777777" w:rsidTr="005B68FD">
        <w:tblPrEx>
          <w:tblLook w:val="04A0" w:firstRow="1" w:lastRow="0" w:firstColumn="1" w:lastColumn="0" w:noHBand="0" w:noVBand="1"/>
        </w:tblPrEx>
        <w:trPr>
          <w:gridAfter w:val="2"/>
          <w:wAfter w:w="2177" w:type="dxa"/>
          <w:trHeight w:val="570"/>
        </w:trPr>
        <w:tc>
          <w:tcPr>
            <w:tcW w:w="689" w:type="dxa"/>
            <w:shd w:val="clear" w:color="auto" w:fill="auto"/>
            <w:noWrap/>
            <w:vAlign w:val="center"/>
            <w:hideMark/>
          </w:tcPr>
          <w:p w14:paraId="075647D4"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3.3.</w:t>
            </w:r>
          </w:p>
        </w:tc>
        <w:tc>
          <w:tcPr>
            <w:tcW w:w="6394" w:type="dxa"/>
            <w:shd w:val="clear" w:color="auto" w:fill="auto"/>
            <w:vAlign w:val="center"/>
            <w:hideMark/>
          </w:tcPr>
          <w:p w14:paraId="140E50FB" w14:textId="77777777" w:rsidR="005B68FD" w:rsidRPr="00C91E39" w:rsidRDefault="005B68FD" w:rsidP="005B68FD">
            <w:pPr>
              <w:rPr>
                <w:rFonts w:ascii="Tahoma" w:hAnsi="Tahoma" w:cs="Tahoma"/>
                <w:sz w:val="20"/>
                <w:szCs w:val="16"/>
              </w:rPr>
            </w:pPr>
            <w:r w:rsidRPr="00547BCA">
              <w:rPr>
                <w:rFonts w:ascii="Tahoma" w:hAnsi="Tahoma" w:cs="Tahoma"/>
                <w:sz w:val="20"/>
                <w:szCs w:val="16"/>
              </w:rPr>
              <w:t>перевыпуск Карты (основной и дополнительной) по любой из причин в т.ч. плановый перевыпуск по сроку без ограничений по количеству раз</w:t>
            </w:r>
          </w:p>
        </w:tc>
        <w:tc>
          <w:tcPr>
            <w:tcW w:w="7797" w:type="dxa"/>
            <w:gridSpan w:val="7"/>
            <w:vMerge/>
            <w:vAlign w:val="center"/>
            <w:hideMark/>
          </w:tcPr>
          <w:p w14:paraId="0445732C" w14:textId="77777777" w:rsidR="005B68FD" w:rsidRPr="00C91E39" w:rsidRDefault="005B68FD" w:rsidP="005B68FD">
            <w:pPr>
              <w:rPr>
                <w:rFonts w:ascii="Tahoma" w:hAnsi="Tahoma" w:cs="Tahoma"/>
                <w:b/>
                <w:bCs/>
                <w:color w:val="000000"/>
                <w:sz w:val="20"/>
                <w:szCs w:val="16"/>
              </w:rPr>
            </w:pPr>
          </w:p>
        </w:tc>
      </w:tr>
      <w:tr w:rsidR="005B68FD" w:rsidRPr="00C91E39" w14:paraId="3B1B1B5A" w14:textId="77777777" w:rsidTr="005B68FD">
        <w:tblPrEx>
          <w:tblLook w:val="04A0" w:firstRow="1" w:lastRow="0" w:firstColumn="1" w:lastColumn="0" w:noHBand="0" w:noVBand="1"/>
        </w:tblPrEx>
        <w:trPr>
          <w:gridAfter w:val="2"/>
          <w:wAfter w:w="2177" w:type="dxa"/>
          <w:trHeight w:val="300"/>
        </w:trPr>
        <w:tc>
          <w:tcPr>
            <w:tcW w:w="689" w:type="dxa"/>
            <w:shd w:val="clear" w:color="auto" w:fill="auto"/>
            <w:noWrap/>
            <w:vAlign w:val="center"/>
            <w:hideMark/>
          </w:tcPr>
          <w:p w14:paraId="39B1618F" w14:textId="77777777" w:rsidR="005B68FD" w:rsidRPr="00C91E39" w:rsidRDefault="005B68FD" w:rsidP="005B68FD">
            <w:pPr>
              <w:jc w:val="center"/>
              <w:rPr>
                <w:rFonts w:ascii="Tahoma" w:hAnsi="Tahoma" w:cs="Tahoma"/>
                <w:color w:val="000000"/>
                <w:sz w:val="20"/>
                <w:szCs w:val="16"/>
              </w:rPr>
            </w:pPr>
            <w:r w:rsidRPr="00C91E39">
              <w:rPr>
                <w:rFonts w:ascii="Tahoma" w:hAnsi="Tahoma" w:cs="Tahoma"/>
                <w:color w:val="000000"/>
                <w:sz w:val="20"/>
                <w:szCs w:val="16"/>
              </w:rPr>
              <w:t>3.4.</w:t>
            </w:r>
          </w:p>
        </w:tc>
        <w:tc>
          <w:tcPr>
            <w:tcW w:w="6394" w:type="dxa"/>
            <w:shd w:val="clear" w:color="auto" w:fill="auto"/>
            <w:vAlign w:val="center"/>
            <w:hideMark/>
          </w:tcPr>
          <w:p w14:paraId="64F888FB" w14:textId="77777777" w:rsidR="005B68FD" w:rsidRPr="00C91E39" w:rsidRDefault="005B68FD" w:rsidP="005B68FD">
            <w:pPr>
              <w:rPr>
                <w:rFonts w:ascii="Tahoma" w:hAnsi="Tahoma" w:cs="Tahoma"/>
                <w:color w:val="000000"/>
                <w:sz w:val="20"/>
                <w:szCs w:val="16"/>
              </w:rPr>
            </w:pPr>
            <w:r w:rsidRPr="00C91E39">
              <w:rPr>
                <w:rFonts w:ascii="Tahoma" w:hAnsi="Tahoma" w:cs="Tahoma"/>
                <w:color w:val="000000"/>
                <w:sz w:val="20"/>
                <w:szCs w:val="16"/>
              </w:rPr>
              <w:t>Вид Карты (основной и дополнительных)</w:t>
            </w:r>
          </w:p>
        </w:tc>
        <w:tc>
          <w:tcPr>
            <w:tcW w:w="7797" w:type="dxa"/>
            <w:gridSpan w:val="7"/>
            <w:shd w:val="clear" w:color="000000" w:fill="FFFFFF"/>
            <w:noWrap/>
            <w:vAlign w:val="center"/>
            <w:hideMark/>
          </w:tcPr>
          <w:p w14:paraId="2DAC03D0" w14:textId="77777777" w:rsidR="005B68FD" w:rsidRPr="00C91E39" w:rsidRDefault="005B68FD" w:rsidP="005B68FD">
            <w:pPr>
              <w:jc w:val="center"/>
              <w:rPr>
                <w:rFonts w:ascii="Tahoma" w:hAnsi="Tahoma" w:cs="Tahoma"/>
                <w:color w:val="000000"/>
                <w:sz w:val="20"/>
                <w:szCs w:val="16"/>
              </w:rPr>
            </w:pPr>
            <w:r w:rsidRPr="00C91E39">
              <w:rPr>
                <w:rFonts w:ascii="Tahoma" w:hAnsi="Tahoma" w:cs="Tahoma"/>
                <w:color w:val="000000"/>
                <w:sz w:val="20"/>
                <w:szCs w:val="16"/>
              </w:rPr>
              <w:t>платежная расчетная (дебетовая)</w:t>
            </w:r>
          </w:p>
        </w:tc>
      </w:tr>
      <w:tr w:rsidR="005B68FD" w:rsidRPr="00C91E39" w14:paraId="3A9DDEC6" w14:textId="77777777" w:rsidTr="005B68FD">
        <w:tblPrEx>
          <w:tblLook w:val="04A0" w:firstRow="1" w:lastRow="0" w:firstColumn="1" w:lastColumn="0" w:noHBand="0" w:noVBand="1"/>
        </w:tblPrEx>
        <w:trPr>
          <w:gridAfter w:val="2"/>
          <w:wAfter w:w="2177" w:type="dxa"/>
          <w:trHeight w:val="300"/>
        </w:trPr>
        <w:tc>
          <w:tcPr>
            <w:tcW w:w="689" w:type="dxa"/>
            <w:shd w:val="clear" w:color="000000" w:fill="595959"/>
            <w:noWrap/>
            <w:vAlign w:val="center"/>
            <w:hideMark/>
          </w:tcPr>
          <w:p w14:paraId="19F52EE7" w14:textId="77777777" w:rsidR="005B68FD" w:rsidRPr="00C91E39" w:rsidRDefault="005B68FD" w:rsidP="005B68FD">
            <w:pPr>
              <w:jc w:val="center"/>
              <w:rPr>
                <w:rFonts w:ascii="Tahoma" w:hAnsi="Tahoma" w:cs="Tahoma"/>
                <w:b/>
                <w:bCs/>
                <w:color w:val="FFFFFF"/>
                <w:sz w:val="20"/>
                <w:szCs w:val="16"/>
              </w:rPr>
            </w:pPr>
            <w:r w:rsidRPr="00C91E39">
              <w:rPr>
                <w:rFonts w:ascii="Tahoma" w:hAnsi="Tahoma" w:cs="Tahoma"/>
                <w:b/>
                <w:bCs/>
                <w:color w:val="FFFFFF"/>
                <w:sz w:val="20"/>
                <w:szCs w:val="16"/>
              </w:rPr>
              <w:t>3.5.</w:t>
            </w:r>
          </w:p>
        </w:tc>
        <w:tc>
          <w:tcPr>
            <w:tcW w:w="14191" w:type="dxa"/>
            <w:gridSpan w:val="8"/>
            <w:shd w:val="clear" w:color="000000" w:fill="595959"/>
            <w:noWrap/>
            <w:vAlign w:val="center"/>
            <w:hideMark/>
          </w:tcPr>
          <w:p w14:paraId="6E151A46" w14:textId="77777777" w:rsidR="005B68FD" w:rsidRPr="00C91E39" w:rsidRDefault="005B68FD" w:rsidP="005B68FD">
            <w:pPr>
              <w:rPr>
                <w:rFonts w:ascii="Tahoma" w:hAnsi="Tahoma" w:cs="Tahoma"/>
                <w:b/>
                <w:bCs/>
                <w:color w:val="FFFFFF"/>
                <w:sz w:val="20"/>
                <w:szCs w:val="16"/>
              </w:rPr>
            </w:pPr>
            <w:r w:rsidRPr="00C91E39">
              <w:rPr>
                <w:rFonts w:ascii="Tahoma" w:hAnsi="Tahoma" w:cs="Tahoma"/>
                <w:b/>
                <w:bCs/>
                <w:color w:val="FFFFFF"/>
                <w:sz w:val="20"/>
                <w:szCs w:val="16"/>
              </w:rPr>
              <w:t>Основная Карта</w:t>
            </w:r>
          </w:p>
        </w:tc>
      </w:tr>
      <w:tr w:rsidR="005B68FD" w:rsidRPr="00C91E39" w14:paraId="20F5FBE4" w14:textId="77777777" w:rsidTr="005B68FD">
        <w:tblPrEx>
          <w:tblLook w:val="04A0" w:firstRow="1" w:lastRow="0" w:firstColumn="1" w:lastColumn="0" w:noHBand="0" w:noVBand="1"/>
        </w:tblPrEx>
        <w:trPr>
          <w:gridAfter w:val="2"/>
          <w:wAfter w:w="2177" w:type="dxa"/>
          <w:trHeight w:val="330"/>
        </w:trPr>
        <w:tc>
          <w:tcPr>
            <w:tcW w:w="689" w:type="dxa"/>
            <w:shd w:val="clear" w:color="auto" w:fill="auto"/>
            <w:noWrap/>
            <w:vAlign w:val="center"/>
            <w:hideMark/>
          </w:tcPr>
          <w:p w14:paraId="557828C5"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3.5.1.</w:t>
            </w:r>
          </w:p>
        </w:tc>
        <w:tc>
          <w:tcPr>
            <w:tcW w:w="6394" w:type="dxa"/>
            <w:shd w:val="clear" w:color="000000" w:fill="FFFFFF"/>
            <w:vAlign w:val="center"/>
            <w:hideMark/>
          </w:tcPr>
          <w:p w14:paraId="7DC0FB68" w14:textId="77777777" w:rsidR="005B68FD" w:rsidRPr="00C91E39" w:rsidRDefault="005B68FD" w:rsidP="005B68FD">
            <w:pPr>
              <w:rPr>
                <w:rFonts w:ascii="Tahoma" w:hAnsi="Tahoma" w:cs="Tahoma"/>
                <w:sz w:val="20"/>
                <w:szCs w:val="16"/>
              </w:rPr>
            </w:pPr>
            <w:r w:rsidRPr="00C91E39">
              <w:rPr>
                <w:rFonts w:ascii="Tahoma" w:hAnsi="Tahoma" w:cs="Tahoma"/>
                <w:sz w:val="20"/>
                <w:szCs w:val="16"/>
              </w:rPr>
              <w:t>выпуск основной Карты</w:t>
            </w:r>
          </w:p>
        </w:tc>
        <w:tc>
          <w:tcPr>
            <w:tcW w:w="3685" w:type="dxa"/>
            <w:gridSpan w:val="3"/>
            <w:vMerge w:val="restart"/>
            <w:shd w:val="clear" w:color="auto" w:fill="auto"/>
            <w:noWrap/>
            <w:vAlign w:val="center"/>
            <w:hideMark/>
          </w:tcPr>
          <w:p w14:paraId="6F79CFEC" w14:textId="77777777" w:rsidR="005B68FD" w:rsidRPr="00C91E39" w:rsidRDefault="005B68FD" w:rsidP="005B68FD">
            <w:pPr>
              <w:jc w:val="center"/>
              <w:rPr>
                <w:rFonts w:ascii="Tahoma" w:hAnsi="Tahoma" w:cs="Tahoma"/>
                <w:b/>
                <w:bCs/>
                <w:color w:val="000000"/>
                <w:sz w:val="20"/>
                <w:szCs w:val="16"/>
                <w:lang w:val="en-US"/>
              </w:rPr>
            </w:pPr>
            <w:r w:rsidRPr="00C91E39">
              <w:rPr>
                <w:rFonts w:ascii="Tahoma" w:hAnsi="Tahoma" w:cs="Tahoma"/>
                <w:b/>
                <w:bCs/>
                <w:color w:val="000000"/>
                <w:sz w:val="20"/>
                <w:szCs w:val="16"/>
              </w:rPr>
              <w:t>БЕСПЛАТНО</w:t>
            </w:r>
          </w:p>
        </w:tc>
        <w:tc>
          <w:tcPr>
            <w:tcW w:w="1990" w:type="dxa"/>
            <w:gridSpan w:val="2"/>
            <w:shd w:val="clear" w:color="auto" w:fill="auto"/>
            <w:vAlign w:val="center"/>
            <w:hideMark/>
          </w:tcPr>
          <w:p w14:paraId="2F2A766A"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5000 рублей</w:t>
            </w:r>
            <w:r w:rsidRPr="00C91E39">
              <w:rPr>
                <w:rFonts w:ascii="Tahoma" w:hAnsi="Tahoma" w:cs="Tahoma"/>
                <w:sz w:val="20"/>
                <w:szCs w:val="16"/>
                <w:vertAlign w:val="superscript"/>
              </w:rPr>
              <w:t>13</w:t>
            </w:r>
          </w:p>
        </w:tc>
        <w:tc>
          <w:tcPr>
            <w:tcW w:w="2122" w:type="dxa"/>
            <w:gridSpan w:val="2"/>
            <w:shd w:val="clear" w:color="auto" w:fill="auto"/>
            <w:vAlign w:val="center"/>
            <w:hideMark/>
          </w:tcPr>
          <w:p w14:paraId="0B0D86B8"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450 юаней</w:t>
            </w:r>
            <w:r w:rsidRPr="00C91E39">
              <w:rPr>
                <w:rFonts w:ascii="Tahoma" w:hAnsi="Tahoma" w:cs="Tahoma"/>
                <w:sz w:val="20"/>
                <w:szCs w:val="16"/>
                <w:vertAlign w:val="superscript"/>
              </w:rPr>
              <w:t>13</w:t>
            </w:r>
          </w:p>
        </w:tc>
      </w:tr>
      <w:tr w:rsidR="005B68FD" w:rsidRPr="00C91E39" w14:paraId="728FC277" w14:textId="77777777" w:rsidTr="005B68FD">
        <w:tblPrEx>
          <w:tblLook w:val="04A0" w:firstRow="1" w:lastRow="0" w:firstColumn="1" w:lastColumn="0" w:noHBand="0" w:noVBand="1"/>
        </w:tblPrEx>
        <w:trPr>
          <w:gridAfter w:val="2"/>
          <w:wAfter w:w="2177" w:type="dxa"/>
          <w:trHeight w:val="285"/>
        </w:trPr>
        <w:tc>
          <w:tcPr>
            <w:tcW w:w="689" w:type="dxa"/>
            <w:shd w:val="clear" w:color="auto" w:fill="auto"/>
            <w:noWrap/>
            <w:vAlign w:val="center"/>
            <w:hideMark/>
          </w:tcPr>
          <w:p w14:paraId="17CD1267"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3.5.2.</w:t>
            </w:r>
          </w:p>
        </w:tc>
        <w:tc>
          <w:tcPr>
            <w:tcW w:w="6394" w:type="dxa"/>
            <w:shd w:val="clear" w:color="auto" w:fill="auto"/>
            <w:vAlign w:val="center"/>
            <w:hideMark/>
          </w:tcPr>
          <w:p w14:paraId="3147B237" w14:textId="77777777" w:rsidR="005B68FD" w:rsidRPr="00C91E39" w:rsidRDefault="005B68FD" w:rsidP="005B68FD">
            <w:pPr>
              <w:rPr>
                <w:rFonts w:ascii="Tahoma" w:hAnsi="Tahoma" w:cs="Tahoma"/>
                <w:sz w:val="20"/>
                <w:szCs w:val="16"/>
              </w:rPr>
            </w:pPr>
            <w:r w:rsidRPr="00C91E39">
              <w:rPr>
                <w:rFonts w:ascii="Tahoma" w:hAnsi="Tahoma" w:cs="Tahoma"/>
                <w:sz w:val="20"/>
                <w:szCs w:val="16"/>
              </w:rPr>
              <w:t xml:space="preserve">открытие Счета Карты </w:t>
            </w:r>
          </w:p>
        </w:tc>
        <w:tc>
          <w:tcPr>
            <w:tcW w:w="3685" w:type="dxa"/>
            <w:gridSpan w:val="3"/>
            <w:vMerge/>
            <w:vAlign w:val="center"/>
            <w:hideMark/>
          </w:tcPr>
          <w:p w14:paraId="268CB5AF" w14:textId="77777777" w:rsidR="005B68FD" w:rsidRPr="00C91E39" w:rsidRDefault="005B68FD" w:rsidP="005B68FD">
            <w:pPr>
              <w:rPr>
                <w:rFonts w:ascii="Tahoma" w:hAnsi="Tahoma" w:cs="Tahoma"/>
                <w:b/>
                <w:bCs/>
                <w:color w:val="000000"/>
                <w:sz w:val="20"/>
                <w:szCs w:val="16"/>
              </w:rPr>
            </w:pPr>
          </w:p>
        </w:tc>
        <w:tc>
          <w:tcPr>
            <w:tcW w:w="4112" w:type="dxa"/>
            <w:gridSpan w:val="4"/>
            <w:shd w:val="clear" w:color="auto" w:fill="auto"/>
            <w:noWrap/>
            <w:vAlign w:val="center"/>
            <w:hideMark/>
          </w:tcPr>
          <w:p w14:paraId="7F22BBE8" w14:textId="77777777" w:rsidR="005B68FD" w:rsidRPr="00C91E39" w:rsidRDefault="005B68FD" w:rsidP="005B68FD">
            <w:pPr>
              <w:jc w:val="center"/>
              <w:rPr>
                <w:rFonts w:ascii="Tahoma" w:hAnsi="Tahoma" w:cs="Tahoma"/>
                <w:b/>
                <w:bCs/>
                <w:color w:val="000000"/>
                <w:sz w:val="20"/>
                <w:szCs w:val="16"/>
              </w:rPr>
            </w:pPr>
            <w:r w:rsidRPr="00C91E39">
              <w:rPr>
                <w:rFonts w:ascii="Tahoma" w:hAnsi="Tahoma" w:cs="Tahoma"/>
                <w:b/>
                <w:bCs/>
                <w:color w:val="000000"/>
                <w:sz w:val="20"/>
                <w:szCs w:val="16"/>
              </w:rPr>
              <w:t>БЕСПЛАТНО</w:t>
            </w:r>
          </w:p>
        </w:tc>
      </w:tr>
      <w:tr w:rsidR="005B68FD" w:rsidRPr="00C91E39" w14:paraId="24598886" w14:textId="77777777" w:rsidTr="005B68FD">
        <w:tblPrEx>
          <w:tblLook w:val="04A0" w:firstRow="1" w:lastRow="0" w:firstColumn="1" w:lastColumn="0" w:noHBand="0" w:noVBand="1"/>
        </w:tblPrEx>
        <w:trPr>
          <w:gridAfter w:val="2"/>
          <w:wAfter w:w="2177" w:type="dxa"/>
          <w:trHeight w:val="285"/>
        </w:trPr>
        <w:tc>
          <w:tcPr>
            <w:tcW w:w="689" w:type="dxa"/>
            <w:shd w:val="clear" w:color="auto" w:fill="auto"/>
            <w:noWrap/>
            <w:vAlign w:val="center"/>
            <w:hideMark/>
          </w:tcPr>
          <w:p w14:paraId="102453EF"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3.5.3.</w:t>
            </w:r>
          </w:p>
        </w:tc>
        <w:tc>
          <w:tcPr>
            <w:tcW w:w="6394" w:type="dxa"/>
            <w:shd w:val="clear" w:color="auto" w:fill="auto"/>
            <w:vAlign w:val="center"/>
            <w:hideMark/>
          </w:tcPr>
          <w:p w14:paraId="5CB49F4F" w14:textId="77777777" w:rsidR="005B68FD" w:rsidRPr="00C91E39" w:rsidRDefault="005B68FD" w:rsidP="005B68FD">
            <w:pPr>
              <w:rPr>
                <w:rFonts w:ascii="Tahoma" w:hAnsi="Tahoma" w:cs="Tahoma"/>
                <w:sz w:val="20"/>
                <w:szCs w:val="16"/>
              </w:rPr>
            </w:pPr>
            <w:r w:rsidRPr="00C91E39">
              <w:rPr>
                <w:rFonts w:ascii="Tahoma" w:hAnsi="Tahoma" w:cs="Tahoma"/>
                <w:sz w:val="20"/>
                <w:szCs w:val="16"/>
              </w:rPr>
              <w:t>срок действия основной Карты</w:t>
            </w:r>
          </w:p>
        </w:tc>
        <w:tc>
          <w:tcPr>
            <w:tcW w:w="1701" w:type="dxa"/>
            <w:gridSpan w:val="2"/>
            <w:shd w:val="clear" w:color="000000" w:fill="FFFFFF"/>
            <w:noWrap/>
            <w:vAlign w:val="center"/>
            <w:hideMark/>
          </w:tcPr>
          <w:p w14:paraId="18508F57" w14:textId="77777777" w:rsidR="005B68FD" w:rsidRPr="00C91E39" w:rsidRDefault="005B68FD" w:rsidP="005B68FD">
            <w:pPr>
              <w:jc w:val="center"/>
              <w:rPr>
                <w:rFonts w:ascii="Tahoma" w:hAnsi="Tahoma" w:cs="Tahoma"/>
                <w:color w:val="000000"/>
                <w:sz w:val="20"/>
                <w:szCs w:val="16"/>
              </w:rPr>
            </w:pPr>
            <w:r w:rsidRPr="00C91E39">
              <w:rPr>
                <w:rFonts w:ascii="Tahoma" w:hAnsi="Tahoma" w:cs="Tahoma"/>
                <w:color w:val="000000"/>
                <w:sz w:val="20"/>
                <w:szCs w:val="16"/>
              </w:rPr>
              <w:t>3 года</w:t>
            </w:r>
          </w:p>
        </w:tc>
        <w:tc>
          <w:tcPr>
            <w:tcW w:w="1984" w:type="dxa"/>
            <w:shd w:val="clear" w:color="000000" w:fill="FFFFFF"/>
            <w:noWrap/>
            <w:vAlign w:val="center"/>
            <w:hideMark/>
          </w:tcPr>
          <w:p w14:paraId="6597B6D3" w14:textId="77777777" w:rsidR="005B68FD" w:rsidRPr="00C91E39" w:rsidRDefault="005B68FD" w:rsidP="005B68FD">
            <w:pPr>
              <w:jc w:val="center"/>
              <w:rPr>
                <w:rFonts w:ascii="Tahoma" w:hAnsi="Tahoma" w:cs="Tahoma"/>
                <w:color w:val="000000"/>
                <w:sz w:val="20"/>
                <w:szCs w:val="16"/>
              </w:rPr>
            </w:pPr>
            <w:r w:rsidRPr="00C91E39">
              <w:rPr>
                <w:rFonts w:ascii="Tahoma" w:hAnsi="Tahoma" w:cs="Tahoma"/>
                <w:color w:val="000000"/>
                <w:sz w:val="20"/>
                <w:szCs w:val="16"/>
              </w:rPr>
              <w:t>6 лет</w:t>
            </w:r>
          </w:p>
        </w:tc>
        <w:tc>
          <w:tcPr>
            <w:tcW w:w="4112" w:type="dxa"/>
            <w:gridSpan w:val="4"/>
            <w:shd w:val="clear" w:color="auto" w:fill="auto"/>
            <w:noWrap/>
            <w:vAlign w:val="center"/>
            <w:hideMark/>
          </w:tcPr>
          <w:p w14:paraId="084D9BAA" w14:textId="77777777" w:rsidR="005B68FD" w:rsidRPr="00C91E39" w:rsidRDefault="005B68FD" w:rsidP="005B68FD">
            <w:pPr>
              <w:jc w:val="center"/>
              <w:rPr>
                <w:rFonts w:ascii="Tahoma" w:hAnsi="Tahoma" w:cs="Tahoma"/>
                <w:color w:val="000000"/>
                <w:sz w:val="20"/>
                <w:szCs w:val="16"/>
              </w:rPr>
            </w:pPr>
            <w:r w:rsidRPr="00C91E39">
              <w:rPr>
                <w:rFonts w:ascii="Tahoma" w:hAnsi="Tahoma" w:cs="Tahoma"/>
                <w:color w:val="000000"/>
                <w:sz w:val="20"/>
                <w:szCs w:val="16"/>
              </w:rPr>
              <w:t>3 года</w:t>
            </w:r>
          </w:p>
        </w:tc>
      </w:tr>
      <w:tr w:rsidR="005B68FD" w:rsidRPr="00C91E39" w14:paraId="4752EA07" w14:textId="77777777" w:rsidTr="005B68FD">
        <w:tblPrEx>
          <w:tblLook w:val="04A0" w:firstRow="1" w:lastRow="0" w:firstColumn="1" w:lastColumn="0" w:noHBand="0" w:noVBand="1"/>
        </w:tblPrEx>
        <w:trPr>
          <w:gridAfter w:val="2"/>
          <w:wAfter w:w="2177" w:type="dxa"/>
          <w:trHeight w:val="285"/>
        </w:trPr>
        <w:tc>
          <w:tcPr>
            <w:tcW w:w="689" w:type="dxa"/>
            <w:shd w:val="clear" w:color="000000" w:fill="595959"/>
            <w:noWrap/>
            <w:vAlign w:val="center"/>
            <w:hideMark/>
          </w:tcPr>
          <w:p w14:paraId="19D74643" w14:textId="77777777" w:rsidR="005B68FD" w:rsidRPr="00C91E39" w:rsidRDefault="005B68FD" w:rsidP="005B68FD">
            <w:pPr>
              <w:jc w:val="center"/>
              <w:rPr>
                <w:rFonts w:ascii="Tahoma" w:hAnsi="Tahoma" w:cs="Tahoma"/>
                <w:b/>
                <w:bCs/>
                <w:color w:val="FFFFFF"/>
                <w:sz w:val="20"/>
                <w:szCs w:val="16"/>
              </w:rPr>
            </w:pPr>
            <w:r w:rsidRPr="00C91E39">
              <w:rPr>
                <w:rFonts w:ascii="Tahoma" w:hAnsi="Tahoma" w:cs="Tahoma"/>
                <w:b/>
                <w:bCs/>
                <w:color w:val="FFFFFF"/>
                <w:sz w:val="20"/>
                <w:szCs w:val="16"/>
              </w:rPr>
              <w:t>3.6.</w:t>
            </w:r>
          </w:p>
        </w:tc>
        <w:tc>
          <w:tcPr>
            <w:tcW w:w="14191" w:type="dxa"/>
            <w:gridSpan w:val="8"/>
            <w:shd w:val="clear" w:color="000000" w:fill="595959"/>
            <w:noWrap/>
            <w:vAlign w:val="center"/>
            <w:hideMark/>
          </w:tcPr>
          <w:p w14:paraId="72AF3A0D" w14:textId="77777777" w:rsidR="005B68FD" w:rsidRPr="00C91E39" w:rsidRDefault="005B68FD" w:rsidP="005B68FD">
            <w:pPr>
              <w:rPr>
                <w:rFonts w:ascii="Tahoma" w:hAnsi="Tahoma" w:cs="Tahoma"/>
                <w:b/>
                <w:bCs/>
                <w:color w:val="FFFFFF"/>
                <w:sz w:val="20"/>
                <w:szCs w:val="16"/>
              </w:rPr>
            </w:pPr>
            <w:r w:rsidRPr="00C91E39">
              <w:rPr>
                <w:rFonts w:ascii="Tahoma" w:hAnsi="Tahoma" w:cs="Tahoma"/>
                <w:b/>
                <w:bCs/>
                <w:color w:val="FFFFFF"/>
                <w:sz w:val="20"/>
                <w:szCs w:val="16"/>
              </w:rPr>
              <w:t>Дополнительная Карта</w:t>
            </w:r>
          </w:p>
        </w:tc>
      </w:tr>
      <w:tr w:rsidR="005B68FD" w:rsidRPr="00C91E39" w14:paraId="5B83BD00" w14:textId="77777777" w:rsidTr="005B68FD">
        <w:tblPrEx>
          <w:tblLook w:val="04A0" w:firstRow="1" w:lastRow="0" w:firstColumn="1" w:lastColumn="0" w:noHBand="0" w:noVBand="1"/>
        </w:tblPrEx>
        <w:trPr>
          <w:gridAfter w:val="2"/>
          <w:wAfter w:w="2177" w:type="dxa"/>
          <w:trHeight w:val="300"/>
        </w:trPr>
        <w:tc>
          <w:tcPr>
            <w:tcW w:w="689" w:type="dxa"/>
            <w:shd w:val="clear" w:color="000000" w:fill="FFFFFF"/>
            <w:noWrap/>
            <w:vAlign w:val="center"/>
            <w:hideMark/>
          </w:tcPr>
          <w:p w14:paraId="52E8D832"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3.6.1.</w:t>
            </w:r>
          </w:p>
        </w:tc>
        <w:tc>
          <w:tcPr>
            <w:tcW w:w="6394" w:type="dxa"/>
            <w:shd w:val="clear" w:color="000000" w:fill="FFFFFF"/>
            <w:vAlign w:val="center"/>
            <w:hideMark/>
          </w:tcPr>
          <w:p w14:paraId="49BAE535" w14:textId="77777777" w:rsidR="005B68FD" w:rsidRPr="00C91E39" w:rsidRDefault="005B68FD" w:rsidP="005B68FD">
            <w:pPr>
              <w:rPr>
                <w:rFonts w:ascii="Tahoma" w:hAnsi="Tahoma" w:cs="Tahoma"/>
                <w:sz w:val="20"/>
                <w:szCs w:val="16"/>
              </w:rPr>
            </w:pPr>
            <w:r w:rsidRPr="00C91E39">
              <w:rPr>
                <w:rFonts w:ascii="Tahoma" w:hAnsi="Tahoma" w:cs="Tahoma"/>
                <w:sz w:val="20"/>
                <w:szCs w:val="16"/>
              </w:rPr>
              <w:t>возможный тип дополнительной Карты</w:t>
            </w:r>
          </w:p>
        </w:tc>
        <w:tc>
          <w:tcPr>
            <w:tcW w:w="5675" w:type="dxa"/>
            <w:gridSpan w:val="5"/>
            <w:shd w:val="clear" w:color="000000" w:fill="FFFFFF"/>
            <w:vAlign w:val="center"/>
            <w:hideMark/>
          </w:tcPr>
          <w:p w14:paraId="21F80370" w14:textId="77777777" w:rsidR="005B68FD" w:rsidRPr="00C91E39" w:rsidRDefault="005B68FD" w:rsidP="005B68FD">
            <w:pPr>
              <w:jc w:val="center"/>
              <w:rPr>
                <w:rFonts w:ascii="Tahoma" w:hAnsi="Tahoma" w:cs="Tahoma"/>
                <w:sz w:val="20"/>
                <w:szCs w:val="16"/>
              </w:rPr>
            </w:pPr>
            <w:r w:rsidRPr="00C91E39">
              <w:rPr>
                <w:rFonts w:ascii="Tahoma" w:hAnsi="Tahoma" w:cs="Tahoma"/>
                <w:b/>
                <w:bCs/>
                <w:sz w:val="20"/>
                <w:szCs w:val="16"/>
              </w:rPr>
              <w:t>Visa Gold, Мир</w:t>
            </w:r>
            <w:r w:rsidRPr="00C91E39">
              <w:rPr>
                <w:rFonts w:ascii="Tahoma" w:hAnsi="Tahoma" w:cs="Tahoma"/>
                <w:b/>
                <w:bCs/>
                <w:sz w:val="20"/>
                <w:szCs w:val="16"/>
                <w:vertAlign w:val="superscript"/>
              </w:rPr>
              <w:t>14</w:t>
            </w:r>
          </w:p>
        </w:tc>
        <w:tc>
          <w:tcPr>
            <w:tcW w:w="2122" w:type="dxa"/>
            <w:gridSpan w:val="2"/>
            <w:vMerge w:val="restart"/>
            <w:shd w:val="clear" w:color="000000" w:fill="FFFFFF"/>
            <w:vAlign w:val="center"/>
          </w:tcPr>
          <w:p w14:paraId="42A8A9B8"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не предусмотрено</w:t>
            </w:r>
          </w:p>
        </w:tc>
      </w:tr>
      <w:tr w:rsidR="005B68FD" w:rsidRPr="00C91E39" w14:paraId="4A1375D7" w14:textId="77777777" w:rsidTr="005B68FD">
        <w:tblPrEx>
          <w:tblLook w:val="04A0" w:firstRow="1" w:lastRow="0" w:firstColumn="1" w:lastColumn="0" w:noHBand="0" w:noVBand="1"/>
        </w:tblPrEx>
        <w:trPr>
          <w:gridAfter w:val="2"/>
          <w:wAfter w:w="2177" w:type="dxa"/>
          <w:trHeight w:val="285"/>
        </w:trPr>
        <w:tc>
          <w:tcPr>
            <w:tcW w:w="689" w:type="dxa"/>
            <w:shd w:val="clear" w:color="000000" w:fill="FFFFFF"/>
            <w:noWrap/>
            <w:vAlign w:val="center"/>
            <w:hideMark/>
          </w:tcPr>
          <w:p w14:paraId="67F69BF0"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3.6.2.</w:t>
            </w:r>
          </w:p>
        </w:tc>
        <w:tc>
          <w:tcPr>
            <w:tcW w:w="6394" w:type="dxa"/>
            <w:shd w:val="clear" w:color="000000" w:fill="FFFFFF"/>
            <w:vAlign w:val="center"/>
            <w:hideMark/>
          </w:tcPr>
          <w:p w14:paraId="7AC93873" w14:textId="77777777" w:rsidR="005B68FD" w:rsidRPr="00C91E39" w:rsidRDefault="005B68FD" w:rsidP="005B68FD">
            <w:pPr>
              <w:rPr>
                <w:rFonts w:ascii="Tahoma" w:hAnsi="Tahoma" w:cs="Tahoma"/>
                <w:sz w:val="20"/>
                <w:szCs w:val="16"/>
              </w:rPr>
            </w:pPr>
            <w:r w:rsidRPr="00C91E39">
              <w:rPr>
                <w:rFonts w:ascii="Tahoma" w:hAnsi="Tahoma" w:cs="Tahoma"/>
                <w:sz w:val="20"/>
                <w:szCs w:val="16"/>
              </w:rPr>
              <w:t>выпуск дополнительной Карты</w:t>
            </w:r>
          </w:p>
        </w:tc>
        <w:tc>
          <w:tcPr>
            <w:tcW w:w="5675" w:type="dxa"/>
            <w:gridSpan w:val="5"/>
            <w:vMerge w:val="restart"/>
            <w:shd w:val="clear" w:color="auto" w:fill="auto"/>
            <w:noWrap/>
            <w:vAlign w:val="center"/>
            <w:hideMark/>
          </w:tcPr>
          <w:p w14:paraId="1487940F" w14:textId="77777777" w:rsidR="005B68FD" w:rsidRPr="00C91E39" w:rsidRDefault="005B68FD" w:rsidP="005B68FD">
            <w:pPr>
              <w:jc w:val="center"/>
              <w:rPr>
                <w:rFonts w:ascii="Tahoma" w:hAnsi="Tahoma" w:cs="Tahoma"/>
                <w:sz w:val="20"/>
                <w:szCs w:val="16"/>
              </w:rPr>
            </w:pPr>
            <w:r w:rsidRPr="00C91E39">
              <w:rPr>
                <w:rFonts w:ascii="Tahoma" w:hAnsi="Tahoma" w:cs="Tahoma"/>
                <w:b/>
                <w:bCs/>
                <w:sz w:val="20"/>
                <w:szCs w:val="16"/>
              </w:rPr>
              <w:t>БЕСПЛАТНО</w:t>
            </w:r>
          </w:p>
        </w:tc>
        <w:tc>
          <w:tcPr>
            <w:tcW w:w="2122" w:type="dxa"/>
            <w:gridSpan w:val="2"/>
            <w:vMerge/>
            <w:vAlign w:val="center"/>
          </w:tcPr>
          <w:p w14:paraId="3047B5BA" w14:textId="77777777" w:rsidR="005B68FD" w:rsidRPr="00C91E39" w:rsidRDefault="005B68FD" w:rsidP="005B68FD">
            <w:pPr>
              <w:rPr>
                <w:rFonts w:ascii="Tahoma" w:hAnsi="Tahoma" w:cs="Tahoma"/>
                <w:sz w:val="20"/>
                <w:szCs w:val="16"/>
              </w:rPr>
            </w:pPr>
          </w:p>
        </w:tc>
      </w:tr>
      <w:tr w:rsidR="005B68FD" w:rsidRPr="00C91E39" w14:paraId="5B4C52CA" w14:textId="77777777" w:rsidTr="005B68FD">
        <w:tblPrEx>
          <w:tblLook w:val="04A0" w:firstRow="1" w:lastRow="0" w:firstColumn="1" w:lastColumn="0" w:noHBand="0" w:noVBand="1"/>
        </w:tblPrEx>
        <w:trPr>
          <w:gridAfter w:val="2"/>
          <w:wAfter w:w="2177" w:type="dxa"/>
          <w:trHeight w:val="285"/>
        </w:trPr>
        <w:tc>
          <w:tcPr>
            <w:tcW w:w="689" w:type="dxa"/>
            <w:shd w:val="clear" w:color="auto" w:fill="auto"/>
            <w:noWrap/>
            <w:vAlign w:val="center"/>
            <w:hideMark/>
          </w:tcPr>
          <w:p w14:paraId="679C87B4"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3.6.3.</w:t>
            </w:r>
          </w:p>
        </w:tc>
        <w:tc>
          <w:tcPr>
            <w:tcW w:w="6394" w:type="dxa"/>
            <w:shd w:val="clear" w:color="000000" w:fill="FFFFFF"/>
            <w:vAlign w:val="center"/>
            <w:hideMark/>
          </w:tcPr>
          <w:p w14:paraId="7B0EF2FB" w14:textId="77777777" w:rsidR="005B68FD" w:rsidRPr="00C91E39" w:rsidRDefault="005B68FD" w:rsidP="005B68FD">
            <w:pPr>
              <w:rPr>
                <w:rFonts w:ascii="Tahoma" w:hAnsi="Tahoma" w:cs="Tahoma"/>
                <w:sz w:val="20"/>
                <w:szCs w:val="16"/>
              </w:rPr>
            </w:pPr>
            <w:r w:rsidRPr="00C91E39">
              <w:rPr>
                <w:rFonts w:ascii="Tahoma" w:hAnsi="Tahoma" w:cs="Tahoma"/>
                <w:sz w:val="20"/>
                <w:szCs w:val="16"/>
              </w:rPr>
              <w:t>ежемесячное обслуживание дополнительной Карты</w:t>
            </w:r>
          </w:p>
        </w:tc>
        <w:tc>
          <w:tcPr>
            <w:tcW w:w="5675" w:type="dxa"/>
            <w:gridSpan w:val="5"/>
            <w:vMerge/>
            <w:vAlign w:val="center"/>
            <w:hideMark/>
          </w:tcPr>
          <w:p w14:paraId="078C8B49" w14:textId="77777777" w:rsidR="005B68FD" w:rsidRPr="00C91E39" w:rsidRDefault="005B68FD" w:rsidP="005B68FD">
            <w:pPr>
              <w:rPr>
                <w:rFonts w:ascii="Tahoma" w:hAnsi="Tahoma" w:cs="Tahoma"/>
                <w:sz w:val="20"/>
                <w:szCs w:val="16"/>
              </w:rPr>
            </w:pPr>
          </w:p>
        </w:tc>
        <w:tc>
          <w:tcPr>
            <w:tcW w:w="2122" w:type="dxa"/>
            <w:gridSpan w:val="2"/>
            <w:vMerge/>
            <w:vAlign w:val="center"/>
          </w:tcPr>
          <w:p w14:paraId="35C82BFD" w14:textId="77777777" w:rsidR="005B68FD" w:rsidRPr="00C91E39" w:rsidRDefault="005B68FD" w:rsidP="005B68FD">
            <w:pPr>
              <w:rPr>
                <w:rFonts w:ascii="Tahoma" w:hAnsi="Tahoma" w:cs="Tahoma"/>
                <w:sz w:val="20"/>
                <w:szCs w:val="16"/>
              </w:rPr>
            </w:pPr>
          </w:p>
        </w:tc>
      </w:tr>
      <w:tr w:rsidR="005B68FD" w:rsidRPr="00C91E39" w14:paraId="1D02B5D6" w14:textId="77777777" w:rsidTr="005B68FD">
        <w:tblPrEx>
          <w:tblLook w:val="04A0" w:firstRow="1" w:lastRow="0" w:firstColumn="1" w:lastColumn="0" w:noHBand="0" w:noVBand="1"/>
        </w:tblPrEx>
        <w:trPr>
          <w:gridAfter w:val="2"/>
          <w:wAfter w:w="2177" w:type="dxa"/>
          <w:trHeight w:val="124"/>
        </w:trPr>
        <w:tc>
          <w:tcPr>
            <w:tcW w:w="689" w:type="dxa"/>
            <w:shd w:val="clear" w:color="auto" w:fill="auto"/>
            <w:noWrap/>
            <w:vAlign w:val="center"/>
            <w:hideMark/>
          </w:tcPr>
          <w:p w14:paraId="1A10ECF9"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3.6.4.</w:t>
            </w:r>
          </w:p>
        </w:tc>
        <w:tc>
          <w:tcPr>
            <w:tcW w:w="6394" w:type="dxa"/>
            <w:shd w:val="clear" w:color="auto" w:fill="auto"/>
            <w:vAlign w:val="center"/>
            <w:hideMark/>
          </w:tcPr>
          <w:p w14:paraId="165FBAEA" w14:textId="77777777" w:rsidR="005B68FD" w:rsidRPr="00C91E39" w:rsidRDefault="005B68FD" w:rsidP="005B68FD">
            <w:pPr>
              <w:rPr>
                <w:rFonts w:ascii="Tahoma" w:hAnsi="Tahoma" w:cs="Tahoma"/>
                <w:sz w:val="20"/>
                <w:szCs w:val="16"/>
              </w:rPr>
            </w:pPr>
            <w:r w:rsidRPr="00C91E39">
              <w:rPr>
                <w:rFonts w:ascii="Tahoma" w:hAnsi="Tahoma" w:cs="Tahoma"/>
                <w:sz w:val="20"/>
                <w:szCs w:val="16"/>
              </w:rPr>
              <w:t xml:space="preserve">количество возможных дополнительных Карт, выпущенных к одному Счету </w:t>
            </w:r>
          </w:p>
        </w:tc>
        <w:tc>
          <w:tcPr>
            <w:tcW w:w="5675" w:type="dxa"/>
            <w:gridSpan w:val="5"/>
            <w:shd w:val="clear" w:color="auto" w:fill="auto"/>
            <w:noWrap/>
            <w:vAlign w:val="center"/>
            <w:hideMark/>
          </w:tcPr>
          <w:p w14:paraId="71926E28"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2 шт.</w:t>
            </w:r>
          </w:p>
        </w:tc>
        <w:tc>
          <w:tcPr>
            <w:tcW w:w="2122" w:type="dxa"/>
            <w:gridSpan w:val="2"/>
            <w:vMerge/>
            <w:vAlign w:val="center"/>
          </w:tcPr>
          <w:p w14:paraId="1998FBDB" w14:textId="77777777" w:rsidR="005B68FD" w:rsidRPr="00C91E39" w:rsidRDefault="005B68FD" w:rsidP="005B68FD">
            <w:pPr>
              <w:rPr>
                <w:rFonts w:ascii="Tahoma" w:hAnsi="Tahoma" w:cs="Tahoma"/>
                <w:sz w:val="20"/>
                <w:szCs w:val="16"/>
              </w:rPr>
            </w:pPr>
          </w:p>
        </w:tc>
      </w:tr>
      <w:tr w:rsidR="005B68FD" w:rsidRPr="00C91E39" w14:paraId="25C78318" w14:textId="77777777" w:rsidTr="005B68FD">
        <w:tblPrEx>
          <w:tblLook w:val="04A0" w:firstRow="1" w:lastRow="0" w:firstColumn="1" w:lastColumn="0" w:noHBand="0" w:noVBand="1"/>
        </w:tblPrEx>
        <w:trPr>
          <w:gridAfter w:val="2"/>
          <w:wAfter w:w="2177" w:type="dxa"/>
          <w:trHeight w:val="285"/>
        </w:trPr>
        <w:tc>
          <w:tcPr>
            <w:tcW w:w="689" w:type="dxa"/>
            <w:shd w:val="clear" w:color="auto" w:fill="auto"/>
            <w:noWrap/>
            <w:vAlign w:val="center"/>
            <w:hideMark/>
          </w:tcPr>
          <w:p w14:paraId="0C068BD7"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3.6.5.</w:t>
            </w:r>
          </w:p>
        </w:tc>
        <w:tc>
          <w:tcPr>
            <w:tcW w:w="6394" w:type="dxa"/>
            <w:shd w:val="clear" w:color="000000" w:fill="FFFFFF"/>
            <w:vAlign w:val="center"/>
            <w:hideMark/>
          </w:tcPr>
          <w:p w14:paraId="722F7A50" w14:textId="77777777" w:rsidR="005B68FD" w:rsidRPr="00C91E39" w:rsidRDefault="005B68FD" w:rsidP="005B68FD">
            <w:pPr>
              <w:rPr>
                <w:rFonts w:ascii="Tahoma" w:hAnsi="Tahoma" w:cs="Tahoma"/>
                <w:sz w:val="20"/>
                <w:szCs w:val="16"/>
              </w:rPr>
            </w:pPr>
            <w:r w:rsidRPr="00C91E39">
              <w:rPr>
                <w:rFonts w:ascii="Tahoma" w:hAnsi="Tahoma" w:cs="Tahoma"/>
                <w:sz w:val="20"/>
                <w:szCs w:val="16"/>
              </w:rPr>
              <w:t>срок действия дополнительной Карты Мир</w:t>
            </w:r>
          </w:p>
        </w:tc>
        <w:tc>
          <w:tcPr>
            <w:tcW w:w="5675" w:type="dxa"/>
            <w:gridSpan w:val="5"/>
            <w:shd w:val="clear" w:color="000000" w:fill="FFFFFF"/>
            <w:noWrap/>
            <w:vAlign w:val="center"/>
            <w:hideMark/>
          </w:tcPr>
          <w:p w14:paraId="22744CA5"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6 лет</w:t>
            </w:r>
          </w:p>
        </w:tc>
        <w:tc>
          <w:tcPr>
            <w:tcW w:w="2122" w:type="dxa"/>
            <w:gridSpan w:val="2"/>
            <w:vMerge w:val="restart"/>
            <w:shd w:val="clear" w:color="000000" w:fill="FFFFFF"/>
            <w:vAlign w:val="center"/>
          </w:tcPr>
          <w:p w14:paraId="62AD19E6" w14:textId="77777777" w:rsidR="005B68FD" w:rsidRPr="00C91E39" w:rsidRDefault="005B68FD" w:rsidP="005B68FD">
            <w:pPr>
              <w:ind w:left="-104"/>
              <w:rPr>
                <w:rFonts w:ascii="Tahoma" w:hAnsi="Tahoma" w:cs="Tahoma"/>
                <w:sz w:val="20"/>
                <w:szCs w:val="16"/>
              </w:rPr>
            </w:pPr>
          </w:p>
        </w:tc>
      </w:tr>
      <w:tr w:rsidR="005B68FD" w:rsidRPr="00C91E39" w14:paraId="54CC05D3" w14:textId="77777777" w:rsidTr="005B68FD">
        <w:tblPrEx>
          <w:tblLook w:val="04A0" w:firstRow="1" w:lastRow="0" w:firstColumn="1" w:lastColumn="0" w:noHBand="0" w:noVBand="1"/>
        </w:tblPrEx>
        <w:trPr>
          <w:gridAfter w:val="2"/>
          <w:wAfter w:w="2177" w:type="dxa"/>
          <w:trHeight w:val="285"/>
        </w:trPr>
        <w:tc>
          <w:tcPr>
            <w:tcW w:w="689" w:type="dxa"/>
            <w:shd w:val="clear" w:color="auto" w:fill="auto"/>
            <w:noWrap/>
            <w:vAlign w:val="center"/>
          </w:tcPr>
          <w:p w14:paraId="71FCF0D4"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3.6.6.</w:t>
            </w:r>
          </w:p>
        </w:tc>
        <w:tc>
          <w:tcPr>
            <w:tcW w:w="6394" w:type="dxa"/>
            <w:shd w:val="clear" w:color="000000" w:fill="FFFFFF"/>
            <w:vAlign w:val="center"/>
          </w:tcPr>
          <w:p w14:paraId="0FAFEF4D" w14:textId="77777777" w:rsidR="005B68FD" w:rsidRPr="00C91E39" w:rsidRDefault="005B68FD" w:rsidP="005B68FD">
            <w:pPr>
              <w:rPr>
                <w:rFonts w:ascii="Tahoma" w:hAnsi="Tahoma" w:cs="Tahoma"/>
                <w:sz w:val="20"/>
                <w:szCs w:val="16"/>
              </w:rPr>
            </w:pPr>
            <w:r w:rsidRPr="00C91E39">
              <w:rPr>
                <w:rFonts w:ascii="Tahoma" w:hAnsi="Tahoma" w:cs="Tahoma"/>
                <w:sz w:val="20"/>
                <w:szCs w:val="16"/>
              </w:rPr>
              <w:t>срок действия дополнительной Карты Visa</w:t>
            </w:r>
          </w:p>
        </w:tc>
        <w:tc>
          <w:tcPr>
            <w:tcW w:w="5675" w:type="dxa"/>
            <w:gridSpan w:val="5"/>
            <w:shd w:val="clear" w:color="000000" w:fill="FFFFFF"/>
            <w:noWrap/>
            <w:vAlign w:val="center"/>
          </w:tcPr>
          <w:p w14:paraId="6B7C213B"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3 года</w:t>
            </w:r>
          </w:p>
        </w:tc>
        <w:tc>
          <w:tcPr>
            <w:tcW w:w="2122" w:type="dxa"/>
            <w:gridSpan w:val="2"/>
            <w:vMerge/>
            <w:shd w:val="clear" w:color="000000" w:fill="FFFFFF"/>
            <w:vAlign w:val="center"/>
          </w:tcPr>
          <w:p w14:paraId="1413C07C" w14:textId="77777777" w:rsidR="005B68FD" w:rsidRPr="00C91E39" w:rsidRDefault="005B68FD" w:rsidP="005B68FD">
            <w:pPr>
              <w:rPr>
                <w:rFonts w:ascii="Tahoma" w:hAnsi="Tahoma" w:cs="Tahoma"/>
                <w:sz w:val="20"/>
                <w:szCs w:val="16"/>
              </w:rPr>
            </w:pPr>
          </w:p>
        </w:tc>
      </w:tr>
      <w:tr w:rsidR="005B68FD" w:rsidRPr="00C91E39" w14:paraId="3C88CEEB" w14:textId="77777777" w:rsidTr="005B68FD">
        <w:tblPrEx>
          <w:tblLook w:val="04A0" w:firstRow="1" w:lastRow="0" w:firstColumn="1" w:lastColumn="0" w:noHBand="0" w:noVBand="1"/>
        </w:tblPrEx>
        <w:trPr>
          <w:gridAfter w:val="2"/>
          <w:wAfter w:w="2177" w:type="dxa"/>
          <w:trHeight w:val="315"/>
        </w:trPr>
        <w:tc>
          <w:tcPr>
            <w:tcW w:w="689" w:type="dxa"/>
            <w:shd w:val="clear" w:color="000000" w:fill="595959"/>
            <w:noWrap/>
            <w:vAlign w:val="center"/>
            <w:hideMark/>
          </w:tcPr>
          <w:p w14:paraId="32085302" w14:textId="77777777" w:rsidR="005B68FD" w:rsidRPr="00C91E39" w:rsidRDefault="005B68FD" w:rsidP="005B68FD">
            <w:pPr>
              <w:jc w:val="center"/>
              <w:rPr>
                <w:rFonts w:ascii="Tahoma" w:hAnsi="Tahoma" w:cs="Tahoma"/>
                <w:b/>
                <w:bCs/>
                <w:color w:val="FFFFFF"/>
                <w:sz w:val="20"/>
                <w:szCs w:val="16"/>
              </w:rPr>
            </w:pPr>
            <w:r w:rsidRPr="00C91E39">
              <w:rPr>
                <w:rFonts w:ascii="Tahoma" w:hAnsi="Tahoma" w:cs="Tahoma"/>
                <w:b/>
                <w:bCs/>
                <w:color w:val="FFFFFF"/>
                <w:sz w:val="20"/>
                <w:szCs w:val="16"/>
              </w:rPr>
              <w:t>4.</w:t>
            </w:r>
          </w:p>
        </w:tc>
        <w:tc>
          <w:tcPr>
            <w:tcW w:w="14191" w:type="dxa"/>
            <w:gridSpan w:val="8"/>
            <w:shd w:val="clear" w:color="000000" w:fill="595959"/>
            <w:noWrap/>
            <w:vAlign w:val="center"/>
            <w:hideMark/>
          </w:tcPr>
          <w:p w14:paraId="04654806" w14:textId="77777777" w:rsidR="005B68FD" w:rsidRPr="00C91E39" w:rsidRDefault="005B68FD" w:rsidP="005B68FD">
            <w:pPr>
              <w:rPr>
                <w:rFonts w:ascii="Tahoma" w:hAnsi="Tahoma" w:cs="Tahoma"/>
                <w:b/>
                <w:bCs/>
                <w:color w:val="FFFFFF"/>
                <w:sz w:val="20"/>
                <w:szCs w:val="16"/>
              </w:rPr>
            </w:pPr>
            <w:r w:rsidRPr="00C91E39">
              <w:rPr>
                <w:rFonts w:ascii="Tahoma" w:hAnsi="Tahoma" w:cs="Tahoma"/>
                <w:b/>
                <w:bCs/>
                <w:color w:val="FFFFFF"/>
                <w:sz w:val="20"/>
                <w:szCs w:val="16"/>
              </w:rPr>
              <w:t>Начисление процентов Банком Клиенту на остаток денежных средств по Счету Карты в Периоде</w:t>
            </w:r>
            <w:r w:rsidRPr="00C91E39">
              <w:rPr>
                <w:rFonts w:ascii="Tahoma" w:hAnsi="Tahoma" w:cs="Tahoma"/>
                <w:b/>
                <w:bCs/>
                <w:color w:val="FFFFFF"/>
                <w:sz w:val="20"/>
                <w:szCs w:val="16"/>
                <w:vertAlign w:val="superscript"/>
              </w:rPr>
              <w:t>15</w:t>
            </w:r>
          </w:p>
        </w:tc>
      </w:tr>
      <w:tr w:rsidR="005B68FD" w:rsidRPr="00C91E39" w14:paraId="215FB7C6" w14:textId="77777777" w:rsidTr="005B68FD">
        <w:tblPrEx>
          <w:tblLook w:val="04A0" w:firstRow="1" w:lastRow="0" w:firstColumn="1" w:lastColumn="0" w:noHBand="0" w:noVBand="1"/>
        </w:tblPrEx>
        <w:trPr>
          <w:gridAfter w:val="2"/>
          <w:wAfter w:w="2177" w:type="dxa"/>
          <w:trHeight w:val="300"/>
        </w:trPr>
        <w:tc>
          <w:tcPr>
            <w:tcW w:w="689" w:type="dxa"/>
            <w:shd w:val="clear" w:color="000000" w:fill="595959"/>
            <w:noWrap/>
            <w:vAlign w:val="center"/>
            <w:hideMark/>
          </w:tcPr>
          <w:p w14:paraId="6776E4CF" w14:textId="77777777" w:rsidR="005B68FD" w:rsidRPr="00C91E39" w:rsidRDefault="005B68FD" w:rsidP="005B68FD">
            <w:pPr>
              <w:jc w:val="center"/>
              <w:rPr>
                <w:rFonts w:ascii="Tahoma" w:hAnsi="Tahoma" w:cs="Tahoma"/>
                <w:b/>
                <w:bCs/>
                <w:color w:val="FFFFFF"/>
                <w:sz w:val="20"/>
                <w:szCs w:val="16"/>
              </w:rPr>
            </w:pPr>
            <w:r w:rsidRPr="00C91E39">
              <w:rPr>
                <w:rFonts w:ascii="Tahoma" w:hAnsi="Tahoma" w:cs="Tahoma"/>
                <w:b/>
                <w:bCs/>
                <w:color w:val="FFFFFF"/>
                <w:sz w:val="20"/>
                <w:szCs w:val="16"/>
              </w:rPr>
              <w:t>4.1.</w:t>
            </w:r>
          </w:p>
        </w:tc>
        <w:tc>
          <w:tcPr>
            <w:tcW w:w="14191" w:type="dxa"/>
            <w:gridSpan w:val="8"/>
            <w:shd w:val="clear" w:color="000000" w:fill="595959"/>
            <w:noWrap/>
            <w:vAlign w:val="center"/>
            <w:hideMark/>
          </w:tcPr>
          <w:p w14:paraId="5734D86D" w14:textId="77777777" w:rsidR="005B68FD" w:rsidRPr="00C91E39" w:rsidRDefault="005B68FD" w:rsidP="005B68FD">
            <w:pPr>
              <w:rPr>
                <w:rFonts w:ascii="Tahoma" w:hAnsi="Tahoma" w:cs="Tahoma"/>
                <w:b/>
                <w:bCs/>
                <w:color w:val="FFFFFF"/>
                <w:sz w:val="20"/>
                <w:szCs w:val="16"/>
              </w:rPr>
            </w:pPr>
            <w:r w:rsidRPr="00C91E39">
              <w:rPr>
                <w:rFonts w:ascii="Tahoma" w:hAnsi="Tahoma" w:cs="Tahoma"/>
                <w:b/>
                <w:bCs/>
                <w:color w:val="FFFFFF"/>
                <w:sz w:val="20"/>
                <w:szCs w:val="16"/>
              </w:rPr>
              <w:t>Процентная ставка на остаток денежных средств в рублях на Счете Карты, % годовых</w:t>
            </w:r>
          </w:p>
        </w:tc>
      </w:tr>
      <w:tr w:rsidR="005B68FD" w:rsidRPr="00C91E39" w14:paraId="555B9B30" w14:textId="77777777" w:rsidTr="005B68FD">
        <w:tblPrEx>
          <w:tblLook w:val="04A0" w:firstRow="1" w:lastRow="0" w:firstColumn="1" w:lastColumn="0" w:noHBand="0" w:noVBand="1"/>
        </w:tblPrEx>
        <w:trPr>
          <w:gridAfter w:val="2"/>
          <w:wAfter w:w="2177" w:type="dxa"/>
          <w:trHeight w:val="1040"/>
        </w:trPr>
        <w:tc>
          <w:tcPr>
            <w:tcW w:w="689" w:type="dxa"/>
            <w:shd w:val="clear" w:color="000000" w:fill="FFFFFF"/>
            <w:noWrap/>
            <w:vAlign w:val="center"/>
            <w:hideMark/>
          </w:tcPr>
          <w:p w14:paraId="7019E92A"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4.1.1.</w:t>
            </w:r>
          </w:p>
        </w:tc>
        <w:tc>
          <w:tcPr>
            <w:tcW w:w="6394" w:type="dxa"/>
            <w:shd w:val="clear" w:color="000000" w:fill="FFFFFF"/>
            <w:vAlign w:val="center"/>
            <w:hideMark/>
          </w:tcPr>
          <w:p w14:paraId="2D12DFFA" w14:textId="77777777" w:rsidR="005B68FD" w:rsidRPr="00C91E39" w:rsidRDefault="005B68FD" w:rsidP="005B68FD">
            <w:pPr>
              <w:rPr>
                <w:rFonts w:ascii="Tahoma" w:hAnsi="Tahoma" w:cs="Tahoma"/>
                <w:sz w:val="20"/>
                <w:szCs w:val="16"/>
              </w:rPr>
            </w:pPr>
            <w:r w:rsidRPr="00C91E39">
              <w:rPr>
                <w:rFonts w:ascii="Tahoma" w:hAnsi="Tahoma" w:cs="Tahoma"/>
                <w:sz w:val="20"/>
                <w:szCs w:val="16"/>
              </w:rPr>
              <w:t>при безналичном зачислении на Счет Карты заработной платы</w:t>
            </w:r>
            <w:r w:rsidRPr="00C91E39">
              <w:rPr>
                <w:rFonts w:ascii="Tahoma" w:hAnsi="Tahoma" w:cs="Tahoma"/>
                <w:sz w:val="20"/>
                <w:szCs w:val="16"/>
                <w:vertAlign w:val="superscript"/>
              </w:rPr>
              <w:t xml:space="preserve">6 </w:t>
            </w:r>
            <w:r w:rsidRPr="00C91E39">
              <w:rPr>
                <w:rFonts w:ascii="Tahoma" w:hAnsi="Tahoma" w:cs="Tahoma"/>
                <w:sz w:val="20"/>
                <w:szCs w:val="16"/>
              </w:rPr>
              <w:t>Клиента в Отчетном периоде</w:t>
            </w:r>
            <w:r w:rsidRPr="00C91E39">
              <w:rPr>
                <w:rFonts w:ascii="Tahoma" w:hAnsi="Tahoma" w:cs="Tahoma"/>
                <w:sz w:val="20"/>
                <w:szCs w:val="16"/>
                <w:vertAlign w:val="superscript"/>
              </w:rPr>
              <w:t>7</w:t>
            </w:r>
            <w:r w:rsidRPr="00C91E39">
              <w:rPr>
                <w:rFonts w:ascii="Tahoma" w:hAnsi="Tahoma" w:cs="Tahoma"/>
                <w:sz w:val="20"/>
                <w:szCs w:val="16"/>
              </w:rPr>
              <w:t>, при отсутствии перерыва в зачислении заработной платы либо наличии перерыва в зачислении заработной платы не более 2-х календарных месяцев подряд</w:t>
            </w:r>
          </w:p>
        </w:tc>
        <w:tc>
          <w:tcPr>
            <w:tcW w:w="5675" w:type="dxa"/>
            <w:gridSpan w:val="5"/>
            <w:vMerge w:val="restart"/>
            <w:shd w:val="clear" w:color="000000" w:fill="FFFFFF"/>
            <w:vAlign w:val="center"/>
            <w:hideMark/>
          </w:tcPr>
          <w:p w14:paraId="48274D11"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5%</w:t>
            </w:r>
          </w:p>
        </w:tc>
        <w:tc>
          <w:tcPr>
            <w:tcW w:w="2122" w:type="dxa"/>
            <w:gridSpan w:val="2"/>
            <w:vMerge w:val="restart"/>
            <w:shd w:val="clear" w:color="auto" w:fill="auto"/>
            <w:vAlign w:val="center"/>
            <w:hideMark/>
          </w:tcPr>
          <w:p w14:paraId="26C45773"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не предусмотрено</w:t>
            </w:r>
          </w:p>
        </w:tc>
      </w:tr>
      <w:tr w:rsidR="005B68FD" w:rsidRPr="00C91E39" w14:paraId="0017C01D" w14:textId="77777777" w:rsidTr="005B68FD">
        <w:tblPrEx>
          <w:tblLook w:val="04A0" w:firstRow="1" w:lastRow="0" w:firstColumn="1" w:lastColumn="0" w:noHBand="0" w:noVBand="1"/>
        </w:tblPrEx>
        <w:trPr>
          <w:gridAfter w:val="2"/>
          <w:wAfter w:w="2177" w:type="dxa"/>
          <w:trHeight w:val="559"/>
        </w:trPr>
        <w:tc>
          <w:tcPr>
            <w:tcW w:w="689" w:type="dxa"/>
            <w:shd w:val="clear" w:color="000000" w:fill="FFFFFF"/>
            <w:noWrap/>
            <w:vAlign w:val="center"/>
            <w:hideMark/>
          </w:tcPr>
          <w:p w14:paraId="365D540F"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4.1.2.</w:t>
            </w:r>
          </w:p>
        </w:tc>
        <w:tc>
          <w:tcPr>
            <w:tcW w:w="6394" w:type="dxa"/>
            <w:shd w:val="clear" w:color="000000" w:fill="FFFFFF"/>
            <w:vAlign w:val="center"/>
            <w:hideMark/>
          </w:tcPr>
          <w:p w14:paraId="356E9233" w14:textId="77777777" w:rsidR="005B68FD" w:rsidRPr="00C91E39" w:rsidRDefault="005B68FD" w:rsidP="005B68FD">
            <w:pPr>
              <w:rPr>
                <w:rFonts w:ascii="Tahoma" w:hAnsi="Tahoma" w:cs="Tahoma"/>
                <w:sz w:val="20"/>
                <w:szCs w:val="16"/>
              </w:rPr>
            </w:pPr>
            <w:r w:rsidRPr="00C91E39">
              <w:rPr>
                <w:rFonts w:ascii="Tahoma" w:hAnsi="Tahoma" w:cs="Tahoma"/>
                <w:sz w:val="20"/>
                <w:szCs w:val="16"/>
              </w:rPr>
              <w:t>при совершении безналичных операций в ТСП</w:t>
            </w:r>
            <w:r w:rsidRPr="00C91E39">
              <w:rPr>
                <w:rFonts w:ascii="Tahoma" w:hAnsi="Tahoma" w:cs="Tahoma"/>
                <w:sz w:val="20"/>
                <w:szCs w:val="16"/>
                <w:vertAlign w:val="superscript"/>
              </w:rPr>
              <w:t>8</w:t>
            </w:r>
            <w:r w:rsidRPr="00C91E39">
              <w:rPr>
                <w:rFonts w:ascii="Tahoma" w:hAnsi="Tahoma" w:cs="Tahoma"/>
                <w:sz w:val="20"/>
                <w:szCs w:val="16"/>
              </w:rPr>
              <w:t xml:space="preserve"> на сумму более 15 000 рублей</w:t>
            </w:r>
            <w:r w:rsidRPr="00C91E39">
              <w:rPr>
                <w:rFonts w:ascii="Tahoma" w:hAnsi="Tahoma" w:cs="Tahoma"/>
                <w:sz w:val="20"/>
                <w:szCs w:val="16"/>
                <w:vertAlign w:val="superscript"/>
              </w:rPr>
              <w:t>12</w:t>
            </w:r>
            <w:r w:rsidRPr="00C91E39">
              <w:rPr>
                <w:rFonts w:ascii="Tahoma" w:hAnsi="Tahoma" w:cs="Tahoma"/>
                <w:sz w:val="20"/>
                <w:szCs w:val="16"/>
              </w:rPr>
              <w:t>/30 000 рублей</w:t>
            </w:r>
            <w:r w:rsidRPr="00C91E39">
              <w:rPr>
                <w:rFonts w:ascii="Tahoma" w:hAnsi="Tahoma" w:cs="Tahoma"/>
                <w:sz w:val="20"/>
                <w:szCs w:val="16"/>
                <w:vertAlign w:val="superscript"/>
              </w:rPr>
              <w:t>9</w:t>
            </w:r>
            <w:r w:rsidRPr="00C91E39">
              <w:rPr>
                <w:rFonts w:ascii="Tahoma" w:hAnsi="Tahoma" w:cs="Tahoma"/>
                <w:sz w:val="20"/>
                <w:szCs w:val="16"/>
              </w:rPr>
              <w:t xml:space="preserve"> в Отчетном периоде</w:t>
            </w:r>
            <w:r w:rsidRPr="00C91E39">
              <w:rPr>
                <w:rFonts w:ascii="Tahoma" w:hAnsi="Tahoma" w:cs="Tahoma"/>
                <w:sz w:val="20"/>
                <w:szCs w:val="16"/>
                <w:vertAlign w:val="superscript"/>
              </w:rPr>
              <w:t>7</w:t>
            </w:r>
          </w:p>
        </w:tc>
        <w:tc>
          <w:tcPr>
            <w:tcW w:w="5675" w:type="dxa"/>
            <w:gridSpan w:val="5"/>
            <w:vMerge/>
            <w:vAlign w:val="center"/>
            <w:hideMark/>
          </w:tcPr>
          <w:p w14:paraId="6DEB84B1" w14:textId="77777777" w:rsidR="005B68FD" w:rsidRPr="00C91E39" w:rsidRDefault="005B68FD" w:rsidP="005B68FD">
            <w:pPr>
              <w:rPr>
                <w:rFonts w:ascii="Tahoma" w:hAnsi="Tahoma" w:cs="Tahoma"/>
                <w:sz w:val="20"/>
                <w:szCs w:val="16"/>
              </w:rPr>
            </w:pPr>
          </w:p>
        </w:tc>
        <w:tc>
          <w:tcPr>
            <w:tcW w:w="2122" w:type="dxa"/>
            <w:gridSpan w:val="2"/>
            <w:vMerge/>
            <w:vAlign w:val="center"/>
            <w:hideMark/>
          </w:tcPr>
          <w:p w14:paraId="7F4E7627" w14:textId="77777777" w:rsidR="005B68FD" w:rsidRPr="00C91E39" w:rsidRDefault="005B68FD" w:rsidP="005B68FD">
            <w:pPr>
              <w:rPr>
                <w:rFonts w:ascii="Tahoma" w:hAnsi="Tahoma" w:cs="Tahoma"/>
                <w:sz w:val="20"/>
                <w:szCs w:val="16"/>
              </w:rPr>
            </w:pPr>
          </w:p>
        </w:tc>
      </w:tr>
      <w:tr w:rsidR="005B68FD" w:rsidRPr="00C91E39" w14:paraId="216DA843" w14:textId="77777777" w:rsidTr="005B68FD">
        <w:tblPrEx>
          <w:tblLook w:val="04A0" w:firstRow="1" w:lastRow="0" w:firstColumn="1" w:lastColumn="0" w:noHBand="0" w:noVBand="1"/>
        </w:tblPrEx>
        <w:trPr>
          <w:gridAfter w:val="2"/>
          <w:wAfter w:w="2177" w:type="dxa"/>
          <w:trHeight w:val="411"/>
        </w:trPr>
        <w:tc>
          <w:tcPr>
            <w:tcW w:w="689" w:type="dxa"/>
            <w:shd w:val="clear" w:color="000000" w:fill="FFFFFF"/>
            <w:noWrap/>
            <w:vAlign w:val="center"/>
            <w:hideMark/>
          </w:tcPr>
          <w:p w14:paraId="2A31DB73"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4.1.3.</w:t>
            </w:r>
          </w:p>
        </w:tc>
        <w:tc>
          <w:tcPr>
            <w:tcW w:w="6394" w:type="dxa"/>
            <w:shd w:val="clear" w:color="000000" w:fill="FFFFFF"/>
            <w:vAlign w:val="center"/>
            <w:hideMark/>
          </w:tcPr>
          <w:p w14:paraId="55BC861F" w14:textId="77777777" w:rsidR="005B68FD" w:rsidRPr="00C91E39" w:rsidRDefault="005B68FD" w:rsidP="005B68FD">
            <w:pPr>
              <w:rPr>
                <w:rFonts w:ascii="Tahoma" w:hAnsi="Tahoma" w:cs="Tahoma"/>
                <w:sz w:val="20"/>
                <w:szCs w:val="16"/>
              </w:rPr>
            </w:pPr>
            <w:r w:rsidRPr="00C91E39">
              <w:rPr>
                <w:rFonts w:ascii="Tahoma" w:hAnsi="Tahoma" w:cs="Tahoma"/>
                <w:sz w:val="20"/>
                <w:szCs w:val="16"/>
              </w:rPr>
              <w:t>При выборе Счета Карты в качестве счета для зачисления процентов по срочному Вкладу, открытому в Банке</w:t>
            </w:r>
            <w:r w:rsidRPr="00C91E39">
              <w:rPr>
                <w:rFonts w:ascii="Tahoma" w:hAnsi="Tahoma" w:cs="Tahoma"/>
                <w:sz w:val="20"/>
                <w:szCs w:val="16"/>
                <w:vertAlign w:val="superscript"/>
              </w:rPr>
              <w:t>11</w:t>
            </w:r>
            <w:r w:rsidRPr="00C91E39">
              <w:rPr>
                <w:rFonts w:ascii="Tahoma" w:hAnsi="Tahoma" w:cs="Tahoma"/>
                <w:sz w:val="20"/>
                <w:szCs w:val="16"/>
              </w:rPr>
              <w:t xml:space="preserve"> (на ежемесячной основе и/или по окончании срока Вклада)</w:t>
            </w:r>
          </w:p>
        </w:tc>
        <w:tc>
          <w:tcPr>
            <w:tcW w:w="5675" w:type="dxa"/>
            <w:gridSpan w:val="5"/>
            <w:vMerge/>
            <w:vAlign w:val="center"/>
            <w:hideMark/>
          </w:tcPr>
          <w:p w14:paraId="3C723558" w14:textId="77777777" w:rsidR="005B68FD" w:rsidRPr="00C91E39" w:rsidRDefault="005B68FD" w:rsidP="005B68FD">
            <w:pPr>
              <w:rPr>
                <w:rFonts w:ascii="Tahoma" w:hAnsi="Tahoma" w:cs="Tahoma"/>
                <w:sz w:val="20"/>
                <w:szCs w:val="16"/>
              </w:rPr>
            </w:pPr>
          </w:p>
        </w:tc>
        <w:tc>
          <w:tcPr>
            <w:tcW w:w="2122" w:type="dxa"/>
            <w:gridSpan w:val="2"/>
            <w:vMerge/>
            <w:vAlign w:val="center"/>
            <w:hideMark/>
          </w:tcPr>
          <w:p w14:paraId="047541E5" w14:textId="77777777" w:rsidR="005B68FD" w:rsidRPr="00C91E39" w:rsidRDefault="005B68FD" w:rsidP="005B68FD">
            <w:pPr>
              <w:rPr>
                <w:rFonts w:ascii="Tahoma" w:hAnsi="Tahoma" w:cs="Tahoma"/>
                <w:sz w:val="20"/>
                <w:szCs w:val="16"/>
              </w:rPr>
            </w:pPr>
          </w:p>
        </w:tc>
      </w:tr>
      <w:tr w:rsidR="005B68FD" w:rsidRPr="00C91E39" w14:paraId="72B5A6AA" w14:textId="77777777" w:rsidTr="005B68FD">
        <w:tblPrEx>
          <w:tblLook w:val="04A0" w:firstRow="1" w:lastRow="0" w:firstColumn="1" w:lastColumn="0" w:noHBand="0" w:noVBand="1"/>
        </w:tblPrEx>
        <w:trPr>
          <w:gridAfter w:val="2"/>
          <w:wAfter w:w="2177" w:type="dxa"/>
          <w:trHeight w:val="638"/>
        </w:trPr>
        <w:tc>
          <w:tcPr>
            <w:tcW w:w="689" w:type="dxa"/>
            <w:shd w:val="clear" w:color="000000" w:fill="FFFFFF"/>
            <w:noWrap/>
            <w:vAlign w:val="center"/>
            <w:hideMark/>
          </w:tcPr>
          <w:p w14:paraId="06DCE36B"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4.1.4.</w:t>
            </w:r>
          </w:p>
        </w:tc>
        <w:tc>
          <w:tcPr>
            <w:tcW w:w="6394" w:type="dxa"/>
            <w:shd w:val="clear" w:color="000000" w:fill="FFFFFF"/>
            <w:vAlign w:val="center"/>
            <w:hideMark/>
          </w:tcPr>
          <w:p w14:paraId="630D2183" w14:textId="77777777" w:rsidR="005B68FD" w:rsidRPr="00C91E39" w:rsidRDefault="005B68FD" w:rsidP="005B68FD">
            <w:pPr>
              <w:rPr>
                <w:rFonts w:ascii="Tahoma" w:hAnsi="Tahoma" w:cs="Tahoma"/>
                <w:sz w:val="20"/>
                <w:szCs w:val="16"/>
              </w:rPr>
            </w:pPr>
            <w:r w:rsidRPr="00C91E39">
              <w:rPr>
                <w:rFonts w:ascii="Tahoma" w:hAnsi="Tahoma" w:cs="Tahoma"/>
                <w:sz w:val="20"/>
                <w:szCs w:val="16"/>
              </w:rPr>
              <w:t>при безналичном зачислении на Счет Карты пенсионных и/или социальных выплат Клиента в Отчетном периоде</w:t>
            </w:r>
            <w:r w:rsidRPr="00C91E39">
              <w:rPr>
                <w:rFonts w:ascii="Tahoma" w:hAnsi="Tahoma" w:cs="Tahoma"/>
                <w:sz w:val="20"/>
                <w:szCs w:val="16"/>
                <w:vertAlign w:val="superscript"/>
              </w:rPr>
              <w:t>7</w:t>
            </w:r>
          </w:p>
        </w:tc>
        <w:tc>
          <w:tcPr>
            <w:tcW w:w="1701" w:type="dxa"/>
            <w:gridSpan w:val="2"/>
            <w:shd w:val="clear" w:color="000000" w:fill="FFFFFF"/>
            <w:vAlign w:val="center"/>
            <w:hideMark/>
          </w:tcPr>
          <w:p w14:paraId="09CB8DC9"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не применимо</w:t>
            </w:r>
          </w:p>
        </w:tc>
        <w:tc>
          <w:tcPr>
            <w:tcW w:w="1984" w:type="dxa"/>
            <w:shd w:val="clear" w:color="000000" w:fill="FFFFFF"/>
            <w:vAlign w:val="center"/>
            <w:hideMark/>
          </w:tcPr>
          <w:p w14:paraId="610B20C6"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5%</w:t>
            </w:r>
          </w:p>
        </w:tc>
        <w:tc>
          <w:tcPr>
            <w:tcW w:w="1990" w:type="dxa"/>
            <w:gridSpan w:val="2"/>
            <w:shd w:val="clear" w:color="000000" w:fill="FFFFFF"/>
            <w:vAlign w:val="center"/>
            <w:hideMark/>
          </w:tcPr>
          <w:p w14:paraId="02F53416"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не применимо</w:t>
            </w:r>
          </w:p>
        </w:tc>
        <w:tc>
          <w:tcPr>
            <w:tcW w:w="2122" w:type="dxa"/>
            <w:gridSpan w:val="2"/>
            <w:vAlign w:val="center"/>
            <w:hideMark/>
          </w:tcPr>
          <w:p w14:paraId="13DBCF8A" w14:textId="77777777" w:rsidR="005B68FD" w:rsidRPr="00C91E39" w:rsidRDefault="005B68FD" w:rsidP="005B68FD">
            <w:pPr>
              <w:rPr>
                <w:rFonts w:ascii="Tahoma" w:hAnsi="Tahoma" w:cs="Tahoma"/>
                <w:sz w:val="20"/>
                <w:szCs w:val="16"/>
              </w:rPr>
            </w:pPr>
          </w:p>
        </w:tc>
      </w:tr>
      <w:tr w:rsidR="005B68FD" w:rsidRPr="00C91E39" w14:paraId="2860FC91" w14:textId="77777777" w:rsidTr="005B68FD">
        <w:tblPrEx>
          <w:tblLook w:val="04A0" w:firstRow="1" w:lastRow="0" w:firstColumn="1" w:lastColumn="0" w:noHBand="0" w:noVBand="1"/>
        </w:tblPrEx>
        <w:trPr>
          <w:gridAfter w:val="2"/>
          <w:wAfter w:w="2177" w:type="dxa"/>
          <w:trHeight w:val="285"/>
        </w:trPr>
        <w:tc>
          <w:tcPr>
            <w:tcW w:w="689" w:type="dxa"/>
            <w:shd w:val="clear" w:color="000000" w:fill="FFFFFF"/>
            <w:noWrap/>
            <w:vAlign w:val="center"/>
            <w:hideMark/>
          </w:tcPr>
          <w:p w14:paraId="3DC7CE2E"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4.1.5.</w:t>
            </w:r>
          </w:p>
        </w:tc>
        <w:tc>
          <w:tcPr>
            <w:tcW w:w="6394" w:type="dxa"/>
            <w:shd w:val="clear" w:color="000000" w:fill="FFFFFF"/>
            <w:vAlign w:val="center"/>
            <w:hideMark/>
          </w:tcPr>
          <w:p w14:paraId="353D8F75" w14:textId="77777777" w:rsidR="005B68FD" w:rsidRPr="00C91E39" w:rsidRDefault="005B68FD" w:rsidP="005B68FD">
            <w:pPr>
              <w:rPr>
                <w:rFonts w:ascii="Tahoma" w:hAnsi="Tahoma" w:cs="Tahoma"/>
                <w:sz w:val="20"/>
                <w:szCs w:val="16"/>
              </w:rPr>
            </w:pPr>
            <w:r w:rsidRPr="00C91E39">
              <w:rPr>
                <w:rFonts w:ascii="Tahoma" w:hAnsi="Tahoma" w:cs="Tahoma"/>
                <w:sz w:val="20"/>
                <w:szCs w:val="16"/>
              </w:rPr>
              <w:t>в иных случаях</w:t>
            </w:r>
          </w:p>
        </w:tc>
        <w:tc>
          <w:tcPr>
            <w:tcW w:w="5675" w:type="dxa"/>
            <w:gridSpan w:val="5"/>
            <w:shd w:val="clear" w:color="000000" w:fill="FFFFFF"/>
            <w:vAlign w:val="center"/>
            <w:hideMark/>
          </w:tcPr>
          <w:p w14:paraId="15B53FB1"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2%</w:t>
            </w:r>
          </w:p>
        </w:tc>
        <w:tc>
          <w:tcPr>
            <w:tcW w:w="2122" w:type="dxa"/>
            <w:gridSpan w:val="2"/>
            <w:vMerge w:val="restart"/>
            <w:vAlign w:val="center"/>
            <w:hideMark/>
          </w:tcPr>
          <w:p w14:paraId="65592804" w14:textId="77777777" w:rsidR="005B68FD" w:rsidRPr="00C91E39" w:rsidRDefault="005B68FD" w:rsidP="005B68FD">
            <w:pPr>
              <w:rPr>
                <w:rFonts w:ascii="Tahoma" w:hAnsi="Tahoma" w:cs="Tahoma"/>
                <w:sz w:val="20"/>
                <w:szCs w:val="16"/>
              </w:rPr>
            </w:pPr>
          </w:p>
        </w:tc>
      </w:tr>
      <w:tr w:rsidR="005B68FD" w:rsidRPr="00C91E39" w14:paraId="1E741EDA" w14:textId="77777777" w:rsidTr="005B68FD">
        <w:tblPrEx>
          <w:tblLook w:val="04A0" w:firstRow="1" w:lastRow="0" w:firstColumn="1" w:lastColumn="0" w:noHBand="0" w:noVBand="1"/>
        </w:tblPrEx>
        <w:trPr>
          <w:gridAfter w:val="2"/>
          <w:wAfter w:w="2177" w:type="dxa"/>
          <w:trHeight w:val="285"/>
        </w:trPr>
        <w:tc>
          <w:tcPr>
            <w:tcW w:w="689" w:type="dxa"/>
            <w:shd w:val="clear" w:color="000000" w:fill="FFFFFF"/>
            <w:noWrap/>
            <w:vAlign w:val="center"/>
            <w:hideMark/>
          </w:tcPr>
          <w:p w14:paraId="2BC61BB9"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4.2.</w:t>
            </w:r>
          </w:p>
        </w:tc>
        <w:tc>
          <w:tcPr>
            <w:tcW w:w="6394" w:type="dxa"/>
            <w:shd w:val="clear" w:color="auto" w:fill="auto"/>
            <w:vAlign w:val="center"/>
            <w:hideMark/>
          </w:tcPr>
          <w:p w14:paraId="6A2241E6" w14:textId="77777777" w:rsidR="005B68FD" w:rsidRPr="00C91E39" w:rsidRDefault="005B68FD" w:rsidP="005B68FD">
            <w:pPr>
              <w:rPr>
                <w:rFonts w:ascii="Tahoma" w:hAnsi="Tahoma" w:cs="Tahoma"/>
                <w:sz w:val="20"/>
                <w:szCs w:val="16"/>
              </w:rPr>
            </w:pPr>
            <w:r w:rsidRPr="00C91E39">
              <w:rPr>
                <w:rFonts w:ascii="Tahoma" w:hAnsi="Tahoma" w:cs="Tahoma"/>
                <w:sz w:val="20"/>
                <w:szCs w:val="16"/>
              </w:rPr>
              <w:t>периодичность выплаты процентов</w:t>
            </w:r>
          </w:p>
        </w:tc>
        <w:tc>
          <w:tcPr>
            <w:tcW w:w="5675" w:type="dxa"/>
            <w:gridSpan w:val="5"/>
            <w:shd w:val="clear" w:color="auto" w:fill="auto"/>
            <w:vAlign w:val="center"/>
            <w:hideMark/>
          </w:tcPr>
          <w:p w14:paraId="3F470F83" w14:textId="77777777" w:rsidR="005B68FD" w:rsidRPr="00C91E39" w:rsidRDefault="005B68FD" w:rsidP="005B68FD">
            <w:pPr>
              <w:jc w:val="center"/>
              <w:rPr>
                <w:rFonts w:ascii="Tahoma" w:hAnsi="Tahoma" w:cs="Tahoma"/>
                <w:sz w:val="20"/>
                <w:szCs w:val="16"/>
              </w:rPr>
            </w:pPr>
            <w:r w:rsidRPr="00C91E39">
              <w:rPr>
                <w:rFonts w:ascii="Tahoma" w:hAnsi="Tahoma" w:cs="Tahoma"/>
                <w:b/>
                <w:bCs/>
                <w:sz w:val="20"/>
                <w:szCs w:val="16"/>
              </w:rPr>
              <w:t>ЕЖЕМЕСЯЧНО</w:t>
            </w:r>
            <w:r w:rsidRPr="00C91E39">
              <w:rPr>
                <w:rFonts w:ascii="Tahoma" w:hAnsi="Tahoma" w:cs="Tahoma"/>
                <w:sz w:val="20"/>
                <w:szCs w:val="16"/>
              </w:rPr>
              <w:t xml:space="preserve"> в дату, соответствующую дате открытия Счета Карты</w:t>
            </w:r>
            <w:r w:rsidRPr="00C91E39">
              <w:rPr>
                <w:rFonts w:ascii="Tahoma" w:hAnsi="Tahoma" w:cs="Tahoma"/>
                <w:sz w:val="20"/>
                <w:szCs w:val="16"/>
                <w:vertAlign w:val="superscript"/>
              </w:rPr>
              <w:t>15</w:t>
            </w:r>
          </w:p>
        </w:tc>
        <w:tc>
          <w:tcPr>
            <w:tcW w:w="2122" w:type="dxa"/>
            <w:gridSpan w:val="2"/>
            <w:vMerge/>
            <w:vAlign w:val="center"/>
            <w:hideMark/>
          </w:tcPr>
          <w:p w14:paraId="242AF134" w14:textId="77777777" w:rsidR="005B68FD" w:rsidRPr="00C91E39" w:rsidRDefault="005B68FD" w:rsidP="005B68FD">
            <w:pPr>
              <w:rPr>
                <w:rFonts w:ascii="Tahoma" w:hAnsi="Tahoma" w:cs="Tahoma"/>
                <w:sz w:val="20"/>
                <w:szCs w:val="16"/>
              </w:rPr>
            </w:pPr>
          </w:p>
        </w:tc>
      </w:tr>
      <w:tr w:rsidR="005B68FD" w:rsidRPr="00C91E39" w14:paraId="374E5928" w14:textId="77777777" w:rsidTr="005B68FD">
        <w:tblPrEx>
          <w:tblLook w:val="04A0" w:firstRow="1" w:lastRow="0" w:firstColumn="1" w:lastColumn="0" w:noHBand="0" w:noVBand="1"/>
        </w:tblPrEx>
        <w:trPr>
          <w:gridAfter w:val="2"/>
          <w:wAfter w:w="2177" w:type="dxa"/>
          <w:trHeight w:val="345"/>
        </w:trPr>
        <w:tc>
          <w:tcPr>
            <w:tcW w:w="689" w:type="dxa"/>
            <w:shd w:val="clear" w:color="000000" w:fill="595959"/>
            <w:noWrap/>
            <w:vAlign w:val="center"/>
            <w:hideMark/>
          </w:tcPr>
          <w:p w14:paraId="67D04532" w14:textId="77777777" w:rsidR="005B68FD" w:rsidRPr="00C91E39" w:rsidRDefault="005B68FD" w:rsidP="005B68FD">
            <w:pPr>
              <w:jc w:val="center"/>
              <w:rPr>
                <w:rFonts w:ascii="Tahoma" w:hAnsi="Tahoma" w:cs="Tahoma"/>
                <w:b/>
                <w:bCs/>
                <w:color w:val="FFFFFF"/>
                <w:sz w:val="20"/>
                <w:szCs w:val="16"/>
              </w:rPr>
            </w:pPr>
            <w:r w:rsidRPr="00C91E39">
              <w:rPr>
                <w:rFonts w:ascii="Tahoma" w:hAnsi="Tahoma" w:cs="Tahoma"/>
                <w:b/>
                <w:bCs/>
                <w:color w:val="FFFFFF"/>
                <w:sz w:val="20"/>
                <w:szCs w:val="16"/>
              </w:rPr>
              <w:t>5.</w:t>
            </w:r>
          </w:p>
        </w:tc>
        <w:tc>
          <w:tcPr>
            <w:tcW w:w="14191" w:type="dxa"/>
            <w:gridSpan w:val="8"/>
            <w:shd w:val="clear" w:color="000000" w:fill="595959"/>
            <w:noWrap/>
            <w:vAlign w:val="center"/>
            <w:hideMark/>
          </w:tcPr>
          <w:p w14:paraId="3BFB6B40" w14:textId="77777777" w:rsidR="005B68FD" w:rsidRPr="00C91E39" w:rsidRDefault="005B68FD" w:rsidP="005B68FD">
            <w:pPr>
              <w:rPr>
                <w:rFonts w:ascii="Tahoma" w:hAnsi="Tahoma" w:cs="Tahoma"/>
                <w:b/>
                <w:bCs/>
                <w:color w:val="FFFFFF"/>
                <w:sz w:val="20"/>
                <w:szCs w:val="16"/>
              </w:rPr>
            </w:pPr>
            <w:r w:rsidRPr="00C91E39">
              <w:rPr>
                <w:rFonts w:ascii="Tahoma" w:hAnsi="Tahoma" w:cs="Tahoma"/>
                <w:b/>
                <w:bCs/>
                <w:color w:val="FFFFFF"/>
                <w:sz w:val="20"/>
                <w:szCs w:val="16"/>
              </w:rPr>
              <w:t>Лимит кредитования (при волеизъявлении Клиента)</w:t>
            </w:r>
          </w:p>
        </w:tc>
      </w:tr>
      <w:tr w:rsidR="005B68FD" w:rsidRPr="00C91E39" w14:paraId="21E2BE20" w14:textId="77777777" w:rsidTr="005B68FD">
        <w:tblPrEx>
          <w:tblLook w:val="04A0" w:firstRow="1" w:lastRow="0" w:firstColumn="1" w:lastColumn="0" w:noHBand="0" w:noVBand="1"/>
        </w:tblPrEx>
        <w:trPr>
          <w:gridAfter w:val="2"/>
          <w:wAfter w:w="2177" w:type="dxa"/>
          <w:trHeight w:val="285"/>
        </w:trPr>
        <w:tc>
          <w:tcPr>
            <w:tcW w:w="689" w:type="dxa"/>
            <w:shd w:val="clear" w:color="auto" w:fill="auto"/>
            <w:noWrap/>
            <w:vAlign w:val="center"/>
            <w:hideMark/>
          </w:tcPr>
          <w:p w14:paraId="53BF2461"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5.1.</w:t>
            </w:r>
          </w:p>
        </w:tc>
        <w:tc>
          <w:tcPr>
            <w:tcW w:w="6394" w:type="dxa"/>
            <w:shd w:val="clear" w:color="auto" w:fill="auto"/>
            <w:vAlign w:val="center"/>
            <w:hideMark/>
          </w:tcPr>
          <w:p w14:paraId="66E376B3" w14:textId="77777777" w:rsidR="005B68FD" w:rsidRPr="00C91E39" w:rsidRDefault="005B68FD" w:rsidP="005B68FD">
            <w:pPr>
              <w:rPr>
                <w:rFonts w:ascii="Tahoma" w:hAnsi="Tahoma" w:cs="Tahoma"/>
                <w:color w:val="000000"/>
                <w:sz w:val="20"/>
                <w:szCs w:val="16"/>
              </w:rPr>
            </w:pPr>
            <w:r w:rsidRPr="00C91E39">
              <w:rPr>
                <w:rFonts w:ascii="Tahoma" w:hAnsi="Tahoma" w:cs="Tahoma"/>
                <w:color w:val="000000"/>
                <w:sz w:val="20"/>
                <w:szCs w:val="16"/>
              </w:rPr>
              <w:t>Лимит кредитования</w:t>
            </w:r>
          </w:p>
        </w:tc>
        <w:tc>
          <w:tcPr>
            <w:tcW w:w="7797" w:type="dxa"/>
            <w:gridSpan w:val="7"/>
            <w:shd w:val="clear" w:color="auto" w:fill="auto"/>
            <w:noWrap/>
            <w:vAlign w:val="center"/>
            <w:hideMark/>
          </w:tcPr>
          <w:p w14:paraId="3F4DAC96"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не предусмотрен</w:t>
            </w:r>
          </w:p>
        </w:tc>
      </w:tr>
      <w:tr w:rsidR="005B68FD" w:rsidRPr="00C91E39" w14:paraId="42FC93FD" w14:textId="77777777" w:rsidTr="005B68FD">
        <w:tblPrEx>
          <w:tblLook w:val="04A0" w:firstRow="1" w:lastRow="0" w:firstColumn="1" w:lastColumn="0" w:noHBand="0" w:noVBand="1"/>
        </w:tblPrEx>
        <w:trPr>
          <w:gridAfter w:val="2"/>
          <w:wAfter w:w="2177" w:type="dxa"/>
          <w:trHeight w:val="285"/>
        </w:trPr>
        <w:tc>
          <w:tcPr>
            <w:tcW w:w="689" w:type="dxa"/>
            <w:shd w:val="clear" w:color="000000" w:fill="595959"/>
            <w:noWrap/>
            <w:vAlign w:val="center"/>
            <w:hideMark/>
          </w:tcPr>
          <w:p w14:paraId="12A49DFB" w14:textId="77777777" w:rsidR="005B68FD" w:rsidRPr="00C91E39" w:rsidRDefault="005B68FD" w:rsidP="005B68FD">
            <w:pPr>
              <w:jc w:val="center"/>
              <w:rPr>
                <w:rFonts w:ascii="Tahoma" w:hAnsi="Tahoma" w:cs="Tahoma"/>
                <w:b/>
                <w:bCs/>
                <w:color w:val="FFFFFF"/>
                <w:sz w:val="20"/>
                <w:szCs w:val="16"/>
              </w:rPr>
            </w:pPr>
            <w:r w:rsidRPr="00C91E39">
              <w:rPr>
                <w:rFonts w:ascii="Tahoma" w:hAnsi="Tahoma" w:cs="Tahoma"/>
                <w:b/>
                <w:bCs/>
                <w:color w:val="FFFFFF"/>
                <w:sz w:val="20"/>
                <w:szCs w:val="16"/>
              </w:rPr>
              <w:t>6.</w:t>
            </w:r>
          </w:p>
        </w:tc>
        <w:tc>
          <w:tcPr>
            <w:tcW w:w="14191" w:type="dxa"/>
            <w:gridSpan w:val="8"/>
            <w:shd w:val="clear" w:color="000000" w:fill="595959"/>
            <w:noWrap/>
            <w:vAlign w:val="center"/>
            <w:hideMark/>
          </w:tcPr>
          <w:p w14:paraId="504D5D2E" w14:textId="77777777" w:rsidR="005B68FD" w:rsidRPr="00C91E39" w:rsidRDefault="005B68FD" w:rsidP="005B68FD">
            <w:pPr>
              <w:rPr>
                <w:rFonts w:ascii="Tahoma" w:hAnsi="Tahoma" w:cs="Tahoma"/>
                <w:b/>
                <w:bCs/>
                <w:color w:val="FFFFFF"/>
                <w:sz w:val="20"/>
                <w:szCs w:val="16"/>
              </w:rPr>
            </w:pPr>
            <w:r w:rsidRPr="00C91E39">
              <w:rPr>
                <w:rFonts w:ascii="Tahoma" w:hAnsi="Tahoma" w:cs="Tahoma"/>
                <w:b/>
                <w:bCs/>
                <w:color w:val="FFFFFF"/>
                <w:sz w:val="20"/>
                <w:szCs w:val="16"/>
              </w:rPr>
              <w:t>Условия обслуживания операций с наличными денежными средствами с использованием Карты</w:t>
            </w:r>
          </w:p>
        </w:tc>
      </w:tr>
      <w:tr w:rsidR="005B68FD" w:rsidRPr="00C91E39" w14:paraId="67B50B16" w14:textId="77777777" w:rsidTr="005B68FD">
        <w:tblPrEx>
          <w:tblLook w:val="04A0" w:firstRow="1" w:lastRow="0" w:firstColumn="1" w:lastColumn="0" w:noHBand="0" w:noVBand="1"/>
        </w:tblPrEx>
        <w:trPr>
          <w:gridAfter w:val="2"/>
          <w:wAfter w:w="2177" w:type="dxa"/>
          <w:trHeight w:val="390"/>
        </w:trPr>
        <w:tc>
          <w:tcPr>
            <w:tcW w:w="689" w:type="dxa"/>
            <w:shd w:val="clear" w:color="000000" w:fill="595959"/>
            <w:noWrap/>
            <w:vAlign w:val="center"/>
            <w:hideMark/>
          </w:tcPr>
          <w:p w14:paraId="6EC6286D" w14:textId="77777777" w:rsidR="005B68FD" w:rsidRPr="00C91E39" w:rsidRDefault="005B68FD" w:rsidP="005B68FD">
            <w:pPr>
              <w:jc w:val="center"/>
              <w:rPr>
                <w:rFonts w:ascii="Tahoma" w:hAnsi="Tahoma" w:cs="Tahoma"/>
                <w:b/>
                <w:bCs/>
                <w:color w:val="FFFFFF"/>
                <w:sz w:val="20"/>
                <w:szCs w:val="16"/>
              </w:rPr>
            </w:pPr>
            <w:r w:rsidRPr="00C91E39">
              <w:rPr>
                <w:rFonts w:ascii="Tahoma" w:hAnsi="Tahoma" w:cs="Tahoma"/>
                <w:b/>
                <w:bCs/>
                <w:color w:val="FFFFFF"/>
                <w:sz w:val="20"/>
                <w:szCs w:val="16"/>
              </w:rPr>
              <w:t>6.1.</w:t>
            </w:r>
          </w:p>
        </w:tc>
        <w:tc>
          <w:tcPr>
            <w:tcW w:w="14191" w:type="dxa"/>
            <w:gridSpan w:val="8"/>
            <w:shd w:val="clear" w:color="000000" w:fill="595959"/>
            <w:vAlign w:val="center"/>
            <w:hideMark/>
          </w:tcPr>
          <w:p w14:paraId="4309BD6E" w14:textId="77777777" w:rsidR="005B68FD" w:rsidRPr="00C91E39" w:rsidRDefault="005B68FD" w:rsidP="005B68FD">
            <w:pPr>
              <w:rPr>
                <w:rFonts w:ascii="Tahoma" w:hAnsi="Tahoma" w:cs="Tahoma"/>
                <w:b/>
                <w:bCs/>
                <w:color w:val="FFFFFF"/>
                <w:sz w:val="20"/>
                <w:szCs w:val="16"/>
              </w:rPr>
            </w:pPr>
            <w:r w:rsidRPr="00547BCA">
              <w:rPr>
                <w:rFonts w:ascii="Tahoma" w:hAnsi="Tahoma" w:cs="Tahoma"/>
                <w:b/>
                <w:bCs/>
                <w:color w:val="FFFFFF"/>
                <w:sz w:val="20"/>
                <w:szCs w:val="16"/>
              </w:rPr>
              <w:t>Лимиты совершения операций выдачи наличных в банкоматах и в пунктах выдачи наличных любых банков, в т.ч. Банка</w:t>
            </w:r>
            <w:r w:rsidRPr="00547BCA">
              <w:rPr>
                <w:rFonts w:ascii="Tahoma" w:hAnsi="Tahoma" w:cs="Tahoma"/>
                <w:b/>
                <w:bCs/>
                <w:color w:val="FFFFFF"/>
                <w:sz w:val="20"/>
                <w:szCs w:val="16"/>
                <w:vertAlign w:val="superscript"/>
              </w:rPr>
              <w:t>3,16</w:t>
            </w:r>
            <w:r w:rsidRPr="00547BCA">
              <w:rPr>
                <w:rFonts w:ascii="Tahoma" w:hAnsi="Tahoma" w:cs="Tahoma"/>
                <w:b/>
                <w:bCs/>
                <w:color w:val="FFFFFF"/>
                <w:sz w:val="20"/>
                <w:szCs w:val="16"/>
              </w:rPr>
              <w:t>, с одной Карты Клиента (основной и дополнительной)</w:t>
            </w:r>
            <w:r w:rsidRPr="00547BCA">
              <w:rPr>
                <w:rFonts w:ascii="Tahoma" w:hAnsi="Tahoma" w:cs="Tahoma"/>
                <w:b/>
                <w:bCs/>
                <w:color w:val="FFFFFF"/>
                <w:sz w:val="20"/>
                <w:szCs w:val="16"/>
              </w:rPr>
              <w:tab/>
            </w:r>
            <w:r w:rsidRPr="00547BCA">
              <w:rPr>
                <w:rFonts w:ascii="Tahoma" w:hAnsi="Tahoma" w:cs="Tahoma"/>
                <w:b/>
                <w:bCs/>
                <w:color w:val="FFFFFF"/>
                <w:sz w:val="20"/>
                <w:szCs w:val="16"/>
              </w:rPr>
              <w:tab/>
            </w:r>
            <w:r w:rsidRPr="00547BCA">
              <w:rPr>
                <w:rFonts w:ascii="Tahoma" w:hAnsi="Tahoma" w:cs="Tahoma"/>
                <w:b/>
                <w:bCs/>
                <w:color w:val="FFFFFF"/>
                <w:sz w:val="20"/>
                <w:szCs w:val="16"/>
              </w:rPr>
              <w:tab/>
            </w:r>
            <w:r w:rsidRPr="00547BCA">
              <w:rPr>
                <w:rFonts w:ascii="Tahoma" w:hAnsi="Tahoma" w:cs="Tahoma"/>
                <w:b/>
                <w:bCs/>
                <w:color w:val="FFFFFF"/>
                <w:sz w:val="20"/>
                <w:szCs w:val="16"/>
              </w:rPr>
              <w:tab/>
            </w:r>
          </w:p>
        </w:tc>
      </w:tr>
      <w:tr w:rsidR="005B68FD" w:rsidRPr="00C91E39" w14:paraId="71557377" w14:textId="77777777" w:rsidTr="005B68FD">
        <w:tblPrEx>
          <w:tblLook w:val="04A0" w:firstRow="1" w:lastRow="0" w:firstColumn="1" w:lastColumn="0" w:noHBand="0" w:noVBand="1"/>
        </w:tblPrEx>
        <w:trPr>
          <w:gridAfter w:val="2"/>
          <w:wAfter w:w="2177" w:type="dxa"/>
          <w:trHeight w:val="285"/>
        </w:trPr>
        <w:tc>
          <w:tcPr>
            <w:tcW w:w="689" w:type="dxa"/>
            <w:shd w:val="clear" w:color="auto" w:fill="auto"/>
            <w:noWrap/>
            <w:vAlign w:val="center"/>
            <w:hideMark/>
          </w:tcPr>
          <w:p w14:paraId="27773AF0"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6.1.1.</w:t>
            </w:r>
          </w:p>
        </w:tc>
        <w:tc>
          <w:tcPr>
            <w:tcW w:w="6394" w:type="dxa"/>
            <w:shd w:val="clear" w:color="auto" w:fill="auto"/>
            <w:vAlign w:val="center"/>
            <w:hideMark/>
          </w:tcPr>
          <w:p w14:paraId="241CCAE7" w14:textId="77777777" w:rsidR="005B68FD" w:rsidRPr="00C91E39" w:rsidRDefault="005B68FD" w:rsidP="005B68FD">
            <w:pPr>
              <w:rPr>
                <w:rFonts w:ascii="Tahoma" w:hAnsi="Tahoma" w:cs="Tahoma"/>
                <w:color w:val="000000"/>
                <w:sz w:val="20"/>
                <w:szCs w:val="16"/>
              </w:rPr>
            </w:pPr>
            <w:r w:rsidRPr="00C91E39">
              <w:rPr>
                <w:rFonts w:ascii="Tahoma" w:hAnsi="Tahoma" w:cs="Tahoma"/>
                <w:color w:val="000000"/>
                <w:sz w:val="20"/>
                <w:szCs w:val="16"/>
              </w:rPr>
              <w:t>ежедневно (с 00 до 24ч. Московского времени)</w:t>
            </w:r>
          </w:p>
        </w:tc>
        <w:tc>
          <w:tcPr>
            <w:tcW w:w="3685" w:type="dxa"/>
            <w:gridSpan w:val="3"/>
            <w:shd w:val="clear" w:color="000000" w:fill="FFFFFF"/>
            <w:vAlign w:val="center"/>
            <w:hideMark/>
          </w:tcPr>
          <w:p w14:paraId="7FA0BEDB" w14:textId="77777777" w:rsidR="005B68FD" w:rsidRPr="00C91E39" w:rsidRDefault="005B68FD" w:rsidP="005B68FD">
            <w:pPr>
              <w:jc w:val="center"/>
              <w:rPr>
                <w:rFonts w:ascii="Tahoma" w:hAnsi="Tahoma" w:cs="Tahoma"/>
                <w:color w:val="000000"/>
                <w:sz w:val="20"/>
                <w:szCs w:val="16"/>
              </w:rPr>
            </w:pPr>
            <w:r w:rsidRPr="00C91E39">
              <w:rPr>
                <w:rFonts w:ascii="Tahoma" w:hAnsi="Tahoma" w:cs="Tahoma"/>
                <w:color w:val="000000"/>
                <w:sz w:val="20"/>
                <w:szCs w:val="16"/>
              </w:rPr>
              <w:t>200 000 рублей</w:t>
            </w:r>
          </w:p>
        </w:tc>
        <w:tc>
          <w:tcPr>
            <w:tcW w:w="1990" w:type="dxa"/>
            <w:gridSpan w:val="2"/>
            <w:shd w:val="clear" w:color="000000" w:fill="FFFFFF"/>
            <w:vAlign w:val="center"/>
            <w:hideMark/>
          </w:tcPr>
          <w:p w14:paraId="54C6C793" w14:textId="77777777" w:rsidR="005B68FD" w:rsidRPr="00C91E39" w:rsidRDefault="005B68FD" w:rsidP="005B68FD">
            <w:pPr>
              <w:jc w:val="center"/>
              <w:rPr>
                <w:rFonts w:ascii="Tahoma" w:hAnsi="Tahoma" w:cs="Tahoma"/>
                <w:color w:val="000000"/>
                <w:sz w:val="20"/>
                <w:szCs w:val="16"/>
              </w:rPr>
            </w:pPr>
            <w:r w:rsidRPr="00C91E39">
              <w:rPr>
                <w:rFonts w:ascii="Tahoma" w:hAnsi="Tahoma" w:cs="Tahoma"/>
                <w:color w:val="000000"/>
                <w:sz w:val="20"/>
                <w:szCs w:val="16"/>
              </w:rPr>
              <w:t>400 000 рублей</w:t>
            </w:r>
          </w:p>
        </w:tc>
        <w:tc>
          <w:tcPr>
            <w:tcW w:w="2122" w:type="dxa"/>
            <w:gridSpan w:val="2"/>
            <w:shd w:val="clear" w:color="000000" w:fill="FFFFFF"/>
            <w:vAlign w:val="center"/>
            <w:hideMark/>
          </w:tcPr>
          <w:p w14:paraId="68E34185" w14:textId="77777777" w:rsidR="005B68FD" w:rsidRPr="00C91E39" w:rsidRDefault="005B68FD" w:rsidP="005B68FD">
            <w:pPr>
              <w:jc w:val="center"/>
              <w:rPr>
                <w:rFonts w:ascii="Tahoma" w:hAnsi="Tahoma" w:cs="Tahoma"/>
                <w:color w:val="000000"/>
                <w:sz w:val="20"/>
                <w:szCs w:val="16"/>
              </w:rPr>
            </w:pPr>
            <w:r w:rsidRPr="00C91E39">
              <w:rPr>
                <w:rFonts w:ascii="Tahoma" w:hAnsi="Tahoma" w:cs="Tahoma"/>
                <w:color w:val="000000"/>
                <w:sz w:val="20"/>
                <w:szCs w:val="16"/>
              </w:rPr>
              <w:t>38 000 юаней</w:t>
            </w:r>
          </w:p>
        </w:tc>
      </w:tr>
      <w:tr w:rsidR="005B68FD" w:rsidRPr="00C91E39" w14:paraId="6B8AEE39" w14:textId="77777777" w:rsidTr="005B68FD">
        <w:tblPrEx>
          <w:tblLook w:val="04A0" w:firstRow="1" w:lastRow="0" w:firstColumn="1" w:lastColumn="0" w:noHBand="0" w:noVBand="1"/>
        </w:tblPrEx>
        <w:trPr>
          <w:gridAfter w:val="2"/>
          <w:wAfter w:w="2177" w:type="dxa"/>
          <w:trHeight w:val="285"/>
        </w:trPr>
        <w:tc>
          <w:tcPr>
            <w:tcW w:w="689" w:type="dxa"/>
            <w:shd w:val="clear" w:color="auto" w:fill="auto"/>
            <w:noWrap/>
            <w:vAlign w:val="center"/>
            <w:hideMark/>
          </w:tcPr>
          <w:p w14:paraId="763B8880"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6.1.2.</w:t>
            </w:r>
          </w:p>
        </w:tc>
        <w:tc>
          <w:tcPr>
            <w:tcW w:w="6394" w:type="dxa"/>
            <w:shd w:val="clear" w:color="auto" w:fill="auto"/>
            <w:vAlign w:val="center"/>
            <w:hideMark/>
          </w:tcPr>
          <w:p w14:paraId="64F08278" w14:textId="77777777" w:rsidR="005B68FD" w:rsidRPr="00C91E39" w:rsidRDefault="005B68FD" w:rsidP="005B68FD">
            <w:pPr>
              <w:rPr>
                <w:rFonts w:ascii="Tahoma" w:hAnsi="Tahoma" w:cs="Tahoma"/>
                <w:color w:val="000000"/>
                <w:sz w:val="20"/>
                <w:szCs w:val="16"/>
              </w:rPr>
            </w:pPr>
            <w:r w:rsidRPr="00C91E39">
              <w:rPr>
                <w:rFonts w:ascii="Tahoma" w:hAnsi="Tahoma" w:cs="Tahoma"/>
                <w:color w:val="000000"/>
                <w:sz w:val="20"/>
                <w:szCs w:val="16"/>
              </w:rPr>
              <w:t>ежемесячно (с 00 часов 1-го числа до 24 часов последнего числа месяца (включительно))</w:t>
            </w:r>
          </w:p>
        </w:tc>
        <w:tc>
          <w:tcPr>
            <w:tcW w:w="3685" w:type="dxa"/>
            <w:gridSpan w:val="3"/>
            <w:shd w:val="clear" w:color="000000" w:fill="FFFFFF"/>
            <w:vAlign w:val="center"/>
            <w:hideMark/>
          </w:tcPr>
          <w:p w14:paraId="79CA2C0D" w14:textId="77777777" w:rsidR="005B68FD" w:rsidRPr="00C91E39" w:rsidRDefault="005B68FD" w:rsidP="005B68FD">
            <w:pPr>
              <w:jc w:val="center"/>
              <w:rPr>
                <w:rFonts w:ascii="Tahoma" w:hAnsi="Tahoma" w:cs="Tahoma"/>
                <w:color w:val="000000"/>
                <w:sz w:val="20"/>
                <w:szCs w:val="16"/>
              </w:rPr>
            </w:pPr>
            <w:r w:rsidRPr="00C91E39">
              <w:rPr>
                <w:rFonts w:ascii="Tahoma" w:hAnsi="Tahoma" w:cs="Tahoma"/>
                <w:color w:val="000000"/>
                <w:sz w:val="20"/>
                <w:szCs w:val="16"/>
              </w:rPr>
              <w:t>400 000 рублей</w:t>
            </w:r>
          </w:p>
        </w:tc>
        <w:tc>
          <w:tcPr>
            <w:tcW w:w="1990" w:type="dxa"/>
            <w:gridSpan w:val="2"/>
            <w:shd w:val="clear" w:color="000000" w:fill="FFFFFF"/>
            <w:vAlign w:val="center"/>
            <w:hideMark/>
          </w:tcPr>
          <w:p w14:paraId="5C08F598" w14:textId="77777777" w:rsidR="005B68FD" w:rsidRPr="00C91E39" w:rsidRDefault="005B68FD" w:rsidP="005B68FD">
            <w:pPr>
              <w:jc w:val="center"/>
              <w:rPr>
                <w:rFonts w:ascii="Tahoma" w:hAnsi="Tahoma" w:cs="Tahoma"/>
                <w:color w:val="000000"/>
                <w:sz w:val="20"/>
                <w:szCs w:val="16"/>
              </w:rPr>
            </w:pPr>
            <w:r w:rsidRPr="00C91E39">
              <w:rPr>
                <w:rFonts w:ascii="Tahoma" w:hAnsi="Tahoma" w:cs="Tahoma"/>
                <w:color w:val="000000"/>
                <w:sz w:val="20"/>
                <w:szCs w:val="16"/>
              </w:rPr>
              <w:t>1 000 000 рублей</w:t>
            </w:r>
          </w:p>
        </w:tc>
        <w:tc>
          <w:tcPr>
            <w:tcW w:w="2122" w:type="dxa"/>
            <w:gridSpan w:val="2"/>
            <w:shd w:val="clear" w:color="000000" w:fill="FFFFFF"/>
            <w:vAlign w:val="center"/>
            <w:hideMark/>
          </w:tcPr>
          <w:p w14:paraId="5EC2A042" w14:textId="77777777" w:rsidR="005B68FD" w:rsidRPr="00C91E39" w:rsidRDefault="005B68FD" w:rsidP="005B68FD">
            <w:pPr>
              <w:jc w:val="center"/>
              <w:rPr>
                <w:rFonts w:ascii="Tahoma" w:hAnsi="Tahoma" w:cs="Tahoma"/>
                <w:color w:val="000000"/>
                <w:sz w:val="20"/>
                <w:szCs w:val="16"/>
              </w:rPr>
            </w:pPr>
            <w:r w:rsidRPr="00C91E39">
              <w:rPr>
                <w:rFonts w:ascii="Tahoma" w:hAnsi="Tahoma" w:cs="Tahoma"/>
                <w:color w:val="000000"/>
                <w:sz w:val="20"/>
                <w:szCs w:val="16"/>
              </w:rPr>
              <w:t>95 000 юаней</w:t>
            </w:r>
          </w:p>
        </w:tc>
      </w:tr>
      <w:tr w:rsidR="005B68FD" w:rsidRPr="00C91E39" w14:paraId="5EBD54F5" w14:textId="77777777" w:rsidTr="005B68FD">
        <w:tblPrEx>
          <w:tblLook w:val="04A0" w:firstRow="1" w:lastRow="0" w:firstColumn="1" w:lastColumn="0" w:noHBand="0" w:noVBand="1"/>
        </w:tblPrEx>
        <w:trPr>
          <w:gridAfter w:val="2"/>
          <w:wAfter w:w="2177" w:type="dxa"/>
          <w:trHeight w:val="360"/>
        </w:trPr>
        <w:tc>
          <w:tcPr>
            <w:tcW w:w="689" w:type="dxa"/>
            <w:shd w:val="clear" w:color="000000" w:fill="595959"/>
            <w:noWrap/>
            <w:vAlign w:val="center"/>
            <w:hideMark/>
          </w:tcPr>
          <w:p w14:paraId="4BE1F046" w14:textId="77777777" w:rsidR="005B68FD" w:rsidRPr="00C91E39" w:rsidRDefault="005B68FD" w:rsidP="005B68FD">
            <w:pPr>
              <w:jc w:val="center"/>
              <w:rPr>
                <w:rFonts w:ascii="Tahoma" w:hAnsi="Tahoma" w:cs="Tahoma"/>
                <w:b/>
                <w:bCs/>
                <w:color w:val="FFFFFF"/>
                <w:sz w:val="20"/>
                <w:szCs w:val="16"/>
              </w:rPr>
            </w:pPr>
            <w:r w:rsidRPr="00C91E39">
              <w:rPr>
                <w:rFonts w:ascii="Tahoma" w:hAnsi="Tahoma" w:cs="Tahoma"/>
                <w:b/>
                <w:bCs/>
                <w:color w:val="FFFFFF"/>
                <w:sz w:val="20"/>
                <w:szCs w:val="16"/>
              </w:rPr>
              <w:t>6.2.</w:t>
            </w:r>
          </w:p>
        </w:tc>
        <w:tc>
          <w:tcPr>
            <w:tcW w:w="14191" w:type="dxa"/>
            <w:gridSpan w:val="8"/>
            <w:shd w:val="clear" w:color="000000" w:fill="595959"/>
            <w:vAlign w:val="center"/>
            <w:hideMark/>
          </w:tcPr>
          <w:p w14:paraId="35CB991A" w14:textId="77777777" w:rsidR="005B68FD" w:rsidRPr="00C91E39" w:rsidRDefault="005B68FD" w:rsidP="005B68FD">
            <w:pPr>
              <w:rPr>
                <w:rFonts w:ascii="Tahoma" w:hAnsi="Tahoma" w:cs="Tahoma"/>
                <w:b/>
                <w:bCs/>
                <w:color w:val="FFFFFF"/>
                <w:sz w:val="20"/>
                <w:szCs w:val="16"/>
              </w:rPr>
            </w:pPr>
            <w:r w:rsidRPr="00C91E39">
              <w:rPr>
                <w:rFonts w:ascii="Tahoma" w:hAnsi="Tahoma" w:cs="Tahoma"/>
                <w:b/>
                <w:bCs/>
                <w:color w:val="FFFFFF"/>
                <w:sz w:val="20"/>
                <w:szCs w:val="16"/>
              </w:rPr>
              <w:t>Лимиты выдачи наличных в ТСП</w:t>
            </w:r>
            <w:r w:rsidRPr="00C91E39">
              <w:rPr>
                <w:rFonts w:ascii="Tahoma" w:hAnsi="Tahoma" w:cs="Tahoma"/>
                <w:b/>
                <w:bCs/>
                <w:color w:val="FFFFFF"/>
                <w:sz w:val="20"/>
                <w:szCs w:val="16"/>
                <w:vertAlign w:val="superscript"/>
              </w:rPr>
              <w:t>8</w:t>
            </w:r>
            <w:r w:rsidRPr="00C91E39">
              <w:rPr>
                <w:rFonts w:ascii="Tahoma" w:hAnsi="Tahoma" w:cs="Tahoma"/>
                <w:b/>
                <w:bCs/>
                <w:color w:val="FFFFFF"/>
                <w:sz w:val="20"/>
                <w:szCs w:val="16"/>
              </w:rPr>
              <w:t xml:space="preserve">, предоставляющих услугу выдачи наличных денежных средств при </w:t>
            </w:r>
            <w:r>
              <w:rPr>
                <w:rFonts w:ascii="Tahoma" w:hAnsi="Tahoma" w:cs="Tahoma"/>
                <w:b/>
                <w:bCs/>
                <w:color w:val="FFFFFF"/>
                <w:sz w:val="20"/>
                <w:szCs w:val="16"/>
              </w:rPr>
              <w:t xml:space="preserve">совершении покупки, с одного Счета </w:t>
            </w:r>
            <w:r w:rsidRPr="00C91E39">
              <w:rPr>
                <w:rFonts w:ascii="Tahoma" w:hAnsi="Tahoma" w:cs="Tahoma"/>
                <w:b/>
                <w:bCs/>
                <w:color w:val="FFFFFF"/>
                <w:sz w:val="20"/>
                <w:szCs w:val="16"/>
              </w:rPr>
              <w:t>Карты Клиента</w:t>
            </w:r>
          </w:p>
        </w:tc>
      </w:tr>
      <w:tr w:rsidR="005B68FD" w:rsidRPr="00C91E39" w14:paraId="67170F9D" w14:textId="77777777" w:rsidTr="005B68FD">
        <w:tblPrEx>
          <w:tblLook w:val="04A0" w:firstRow="1" w:lastRow="0" w:firstColumn="1" w:lastColumn="0" w:noHBand="0" w:noVBand="1"/>
        </w:tblPrEx>
        <w:trPr>
          <w:gridAfter w:val="2"/>
          <w:wAfter w:w="2177" w:type="dxa"/>
          <w:trHeight w:val="495"/>
        </w:trPr>
        <w:tc>
          <w:tcPr>
            <w:tcW w:w="689" w:type="dxa"/>
            <w:shd w:val="clear" w:color="auto" w:fill="auto"/>
            <w:noWrap/>
            <w:vAlign w:val="center"/>
            <w:hideMark/>
          </w:tcPr>
          <w:p w14:paraId="20712508"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6.2.1.</w:t>
            </w:r>
          </w:p>
        </w:tc>
        <w:tc>
          <w:tcPr>
            <w:tcW w:w="6394" w:type="dxa"/>
            <w:shd w:val="clear" w:color="000000" w:fill="FFFFFF"/>
            <w:vAlign w:val="center"/>
            <w:hideMark/>
          </w:tcPr>
          <w:p w14:paraId="2FA65835" w14:textId="77777777" w:rsidR="005B68FD" w:rsidRPr="00C91E39" w:rsidRDefault="005B68FD" w:rsidP="005B68FD">
            <w:pPr>
              <w:rPr>
                <w:rFonts w:ascii="Tahoma" w:hAnsi="Tahoma" w:cs="Tahoma"/>
                <w:color w:val="000000"/>
                <w:sz w:val="20"/>
                <w:szCs w:val="16"/>
              </w:rPr>
            </w:pPr>
            <w:r w:rsidRPr="00C91E39">
              <w:rPr>
                <w:rFonts w:ascii="Tahoma" w:hAnsi="Tahoma" w:cs="Tahoma"/>
                <w:color w:val="000000"/>
                <w:sz w:val="20"/>
                <w:szCs w:val="16"/>
              </w:rPr>
              <w:t>ежедневно (с 00 до 24 ч. московского времени)</w:t>
            </w:r>
          </w:p>
        </w:tc>
        <w:tc>
          <w:tcPr>
            <w:tcW w:w="7797" w:type="dxa"/>
            <w:gridSpan w:val="7"/>
            <w:shd w:val="clear" w:color="auto" w:fill="auto"/>
            <w:noWrap/>
            <w:vAlign w:val="center"/>
            <w:hideMark/>
          </w:tcPr>
          <w:p w14:paraId="1B92BADA" w14:textId="77777777" w:rsidR="005B68FD" w:rsidRPr="00C91E39" w:rsidRDefault="005B68FD" w:rsidP="005B68FD">
            <w:pPr>
              <w:jc w:val="center"/>
              <w:rPr>
                <w:rFonts w:ascii="Tahoma" w:hAnsi="Tahoma" w:cs="Tahoma"/>
                <w:color w:val="000000"/>
                <w:sz w:val="20"/>
                <w:szCs w:val="16"/>
              </w:rPr>
            </w:pPr>
            <w:r w:rsidRPr="00C91E39">
              <w:rPr>
                <w:rFonts w:ascii="Tahoma" w:hAnsi="Tahoma" w:cs="Tahoma"/>
                <w:color w:val="000000"/>
                <w:sz w:val="20"/>
                <w:szCs w:val="16"/>
              </w:rPr>
              <w:t>5 000 рублей</w:t>
            </w:r>
            <w:r w:rsidRPr="00C91E39">
              <w:rPr>
                <w:rFonts w:ascii="Tahoma" w:hAnsi="Tahoma" w:cs="Tahoma"/>
                <w:color w:val="000000"/>
                <w:sz w:val="20"/>
                <w:szCs w:val="16"/>
                <w:vertAlign w:val="superscript"/>
              </w:rPr>
              <w:t>17</w:t>
            </w:r>
          </w:p>
        </w:tc>
      </w:tr>
      <w:tr w:rsidR="005B68FD" w:rsidRPr="00C91E39" w14:paraId="41E53242" w14:textId="77777777" w:rsidTr="005B68FD">
        <w:tblPrEx>
          <w:tblLook w:val="04A0" w:firstRow="1" w:lastRow="0" w:firstColumn="1" w:lastColumn="0" w:noHBand="0" w:noVBand="1"/>
        </w:tblPrEx>
        <w:trPr>
          <w:gridAfter w:val="2"/>
          <w:wAfter w:w="2177" w:type="dxa"/>
          <w:trHeight w:val="465"/>
        </w:trPr>
        <w:tc>
          <w:tcPr>
            <w:tcW w:w="689" w:type="dxa"/>
            <w:shd w:val="clear" w:color="000000" w:fill="FFFFFF"/>
            <w:noWrap/>
            <w:vAlign w:val="center"/>
            <w:hideMark/>
          </w:tcPr>
          <w:p w14:paraId="7ABEF2BE"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6.2.2.</w:t>
            </w:r>
          </w:p>
        </w:tc>
        <w:tc>
          <w:tcPr>
            <w:tcW w:w="6394" w:type="dxa"/>
            <w:shd w:val="clear" w:color="000000" w:fill="FFFFFF"/>
            <w:vAlign w:val="center"/>
            <w:hideMark/>
          </w:tcPr>
          <w:p w14:paraId="0A7354C5" w14:textId="77777777" w:rsidR="005B68FD" w:rsidRPr="00C91E39" w:rsidRDefault="005B68FD" w:rsidP="005B68FD">
            <w:pPr>
              <w:rPr>
                <w:rFonts w:ascii="Tahoma" w:hAnsi="Tahoma" w:cs="Tahoma"/>
                <w:color w:val="000000"/>
                <w:sz w:val="20"/>
                <w:szCs w:val="16"/>
              </w:rPr>
            </w:pPr>
            <w:r w:rsidRPr="00C91E39">
              <w:rPr>
                <w:rFonts w:ascii="Tahoma" w:hAnsi="Tahoma" w:cs="Tahoma"/>
                <w:color w:val="000000"/>
                <w:sz w:val="20"/>
                <w:szCs w:val="16"/>
              </w:rPr>
              <w:t>ежемесячно (в течение календарного месяца)</w:t>
            </w:r>
          </w:p>
        </w:tc>
        <w:tc>
          <w:tcPr>
            <w:tcW w:w="7797" w:type="dxa"/>
            <w:gridSpan w:val="7"/>
            <w:shd w:val="clear" w:color="auto" w:fill="auto"/>
            <w:noWrap/>
            <w:vAlign w:val="center"/>
            <w:hideMark/>
          </w:tcPr>
          <w:p w14:paraId="0587B2DB"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30 000 рублей</w:t>
            </w:r>
            <w:r w:rsidRPr="00C91E39">
              <w:rPr>
                <w:rFonts w:ascii="Tahoma" w:hAnsi="Tahoma" w:cs="Tahoma"/>
                <w:sz w:val="20"/>
                <w:szCs w:val="16"/>
                <w:vertAlign w:val="superscript"/>
              </w:rPr>
              <w:t>17</w:t>
            </w:r>
          </w:p>
        </w:tc>
      </w:tr>
      <w:tr w:rsidR="005B68FD" w:rsidRPr="00C91E39" w14:paraId="6AA2A77E" w14:textId="77777777" w:rsidTr="005B68FD">
        <w:tblPrEx>
          <w:tblLook w:val="04A0" w:firstRow="1" w:lastRow="0" w:firstColumn="1" w:lastColumn="0" w:noHBand="0" w:noVBand="1"/>
        </w:tblPrEx>
        <w:trPr>
          <w:gridAfter w:val="2"/>
          <w:wAfter w:w="2177" w:type="dxa"/>
          <w:trHeight w:val="330"/>
        </w:trPr>
        <w:tc>
          <w:tcPr>
            <w:tcW w:w="689" w:type="dxa"/>
            <w:shd w:val="clear" w:color="000000" w:fill="595959"/>
            <w:noWrap/>
            <w:vAlign w:val="center"/>
            <w:hideMark/>
          </w:tcPr>
          <w:p w14:paraId="10C5D862" w14:textId="77777777" w:rsidR="005B68FD" w:rsidRPr="00C91E39" w:rsidRDefault="005B68FD" w:rsidP="005B68FD">
            <w:pPr>
              <w:jc w:val="center"/>
              <w:rPr>
                <w:rFonts w:ascii="Tahoma" w:hAnsi="Tahoma" w:cs="Tahoma"/>
                <w:b/>
                <w:bCs/>
                <w:color w:val="FFFFFF"/>
                <w:sz w:val="20"/>
                <w:szCs w:val="16"/>
              </w:rPr>
            </w:pPr>
            <w:r w:rsidRPr="00C91E39">
              <w:rPr>
                <w:rFonts w:ascii="Tahoma" w:hAnsi="Tahoma" w:cs="Tahoma"/>
                <w:b/>
                <w:bCs/>
                <w:color w:val="FFFFFF"/>
                <w:sz w:val="20"/>
                <w:szCs w:val="16"/>
              </w:rPr>
              <w:t>6.3.</w:t>
            </w:r>
          </w:p>
        </w:tc>
        <w:tc>
          <w:tcPr>
            <w:tcW w:w="14191" w:type="dxa"/>
            <w:gridSpan w:val="8"/>
            <w:shd w:val="clear" w:color="000000" w:fill="595959"/>
            <w:vAlign w:val="center"/>
            <w:hideMark/>
          </w:tcPr>
          <w:p w14:paraId="110AE93E" w14:textId="77777777" w:rsidR="005B68FD" w:rsidRPr="00C91E39" w:rsidRDefault="005B68FD" w:rsidP="005B68FD">
            <w:pPr>
              <w:rPr>
                <w:rFonts w:ascii="Tahoma" w:hAnsi="Tahoma" w:cs="Tahoma"/>
                <w:b/>
                <w:bCs/>
                <w:color w:val="FFFFFF"/>
                <w:sz w:val="20"/>
                <w:szCs w:val="16"/>
              </w:rPr>
            </w:pPr>
            <w:r w:rsidRPr="00C91E39">
              <w:rPr>
                <w:rFonts w:ascii="Tahoma" w:hAnsi="Tahoma" w:cs="Tahoma"/>
                <w:b/>
                <w:bCs/>
                <w:color w:val="FFFFFF"/>
                <w:sz w:val="20"/>
                <w:szCs w:val="16"/>
              </w:rPr>
              <w:t>Выдача наличных денежных средств с использованием Карты с учетом лимитов совершения операций</w:t>
            </w:r>
          </w:p>
        </w:tc>
      </w:tr>
      <w:tr w:rsidR="005B68FD" w:rsidRPr="00C91E39" w14:paraId="0C65BBB6" w14:textId="77777777" w:rsidTr="005B68FD">
        <w:tblPrEx>
          <w:tblLook w:val="04A0" w:firstRow="1" w:lastRow="0" w:firstColumn="1" w:lastColumn="0" w:noHBand="0" w:noVBand="1"/>
        </w:tblPrEx>
        <w:trPr>
          <w:gridAfter w:val="2"/>
          <w:wAfter w:w="2177" w:type="dxa"/>
          <w:trHeight w:val="450"/>
        </w:trPr>
        <w:tc>
          <w:tcPr>
            <w:tcW w:w="689" w:type="dxa"/>
            <w:shd w:val="clear" w:color="000000" w:fill="FFFFFF"/>
            <w:noWrap/>
            <w:vAlign w:val="center"/>
            <w:hideMark/>
          </w:tcPr>
          <w:p w14:paraId="7D0080E9"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6.3.1.</w:t>
            </w:r>
          </w:p>
        </w:tc>
        <w:tc>
          <w:tcPr>
            <w:tcW w:w="6394" w:type="dxa"/>
            <w:shd w:val="clear" w:color="000000" w:fill="FFFFFF"/>
            <w:vAlign w:val="center"/>
            <w:hideMark/>
          </w:tcPr>
          <w:p w14:paraId="175E5951" w14:textId="77777777" w:rsidR="005B68FD" w:rsidRPr="00C91E39" w:rsidRDefault="005B68FD" w:rsidP="005B68FD">
            <w:pPr>
              <w:rPr>
                <w:rFonts w:ascii="Tahoma" w:hAnsi="Tahoma" w:cs="Tahoma"/>
                <w:sz w:val="20"/>
                <w:szCs w:val="16"/>
              </w:rPr>
            </w:pPr>
            <w:r w:rsidRPr="00C91E39">
              <w:rPr>
                <w:rFonts w:ascii="Tahoma" w:hAnsi="Tahoma" w:cs="Tahoma"/>
                <w:sz w:val="20"/>
                <w:szCs w:val="16"/>
              </w:rPr>
              <w:t>в банкоматах и пунктах выдачи наличных Банка</w:t>
            </w:r>
            <w:r w:rsidRPr="00C91E39">
              <w:rPr>
                <w:rFonts w:ascii="Tahoma" w:hAnsi="Tahoma" w:cs="Tahoma"/>
                <w:sz w:val="20"/>
                <w:szCs w:val="16"/>
                <w:vertAlign w:val="superscript"/>
              </w:rPr>
              <w:t>3</w:t>
            </w:r>
          </w:p>
        </w:tc>
        <w:tc>
          <w:tcPr>
            <w:tcW w:w="7797" w:type="dxa"/>
            <w:gridSpan w:val="7"/>
            <w:shd w:val="clear" w:color="000000" w:fill="FFFFFF"/>
            <w:noWrap/>
            <w:vAlign w:val="center"/>
            <w:hideMark/>
          </w:tcPr>
          <w:p w14:paraId="199536D8" w14:textId="77777777" w:rsidR="005B68FD" w:rsidRPr="00C91E39" w:rsidRDefault="005B68FD" w:rsidP="005B68FD">
            <w:pPr>
              <w:jc w:val="center"/>
              <w:rPr>
                <w:rFonts w:ascii="Tahoma" w:hAnsi="Tahoma" w:cs="Tahoma"/>
                <w:b/>
                <w:bCs/>
                <w:sz w:val="20"/>
                <w:szCs w:val="16"/>
              </w:rPr>
            </w:pPr>
            <w:r w:rsidRPr="00C91E39">
              <w:rPr>
                <w:rFonts w:ascii="Tahoma" w:hAnsi="Tahoma" w:cs="Tahoma"/>
                <w:b/>
                <w:bCs/>
                <w:sz w:val="20"/>
                <w:szCs w:val="16"/>
              </w:rPr>
              <w:t>БЕСПЛАТНО</w:t>
            </w:r>
          </w:p>
        </w:tc>
      </w:tr>
      <w:tr w:rsidR="005B68FD" w:rsidRPr="00C91E39" w14:paraId="73E8985A" w14:textId="77777777" w:rsidTr="005B68FD">
        <w:tblPrEx>
          <w:tblLook w:val="04A0" w:firstRow="1" w:lastRow="0" w:firstColumn="1" w:lastColumn="0" w:noHBand="0" w:noVBand="1"/>
        </w:tblPrEx>
        <w:trPr>
          <w:gridAfter w:val="2"/>
          <w:wAfter w:w="2177" w:type="dxa"/>
          <w:trHeight w:val="1177"/>
        </w:trPr>
        <w:tc>
          <w:tcPr>
            <w:tcW w:w="689" w:type="dxa"/>
            <w:shd w:val="clear" w:color="auto" w:fill="auto"/>
            <w:noWrap/>
            <w:vAlign w:val="center"/>
            <w:hideMark/>
          </w:tcPr>
          <w:p w14:paraId="35DEF448"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6.3.2.</w:t>
            </w:r>
          </w:p>
        </w:tc>
        <w:tc>
          <w:tcPr>
            <w:tcW w:w="6394" w:type="dxa"/>
            <w:shd w:val="clear" w:color="auto" w:fill="auto"/>
            <w:vAlign w:val="center"/>
            <w:hideMark/>
          </w:tcPr>
          <w:p w14:paraId="454E4CB7" w14:textId="77777777" w:rsidR="005B68FD" w:rsidRPr="00C91E39" w:rsidRDefault="005B68FD" w:rsidP="005B68FD">
            <w:pPr>
              <w:rPr>
                <w:rFonts w:ascii="Tahoma" w:hAnsi="Tahoma" w:cs="Tahoma"/>
                <w:sz w:val="20"/>
                <w:szCs w:val="16"/>
              </w:rPr>
            </w:pPr>
            <w:r w:rsidRPr="00C91E39">
              <w:rPr>
                <w:rFonts w:ascii="Tahoma" w:hAnsi="Tahoma" w:cs="Tahoma"/>
                <w:sz w:val="20"/>
                <w:szCs w:val="16"/>
              </w:rPr>
              <w:t>в банкоматах других банков</w:t>
            </w:r>
            <w:r w:rsidRPr="00C91E39">
              <w:rPr>
                <w:rFonts w:ascii="Tahoma" w:hAnsi="Tahoma" w:cs="Tahoma"/>
                <w:sz w:val="20"/>
                <w:szCs w:val="16"/>
                <w:vertAlign w:val="superscript"/>
              </w:rPr>
              <w:t>25</w:t>
            </w:r>
            <w:r w:rsidRPr="00C91E39">
              <w:rPr>
                <w:rFonts w:ascii="Tahoma" w:hAnsi="Tahoma" w:cs="Tahoma"/>
                <w:sz w:val="20"/>
                <w:szCs w:val="16"/>
              </w:rPr>
              <w:t xml:space="preserve"> на территории РФ</w:t>
            </w:r>
          </w:p>
        </w:tc>
        <w:tc>
          <w:tcPr>
            <w:tcW w:w="5675" w:type="dxa"/>
            <w:gridSpan w:val="5"/>
            <w:shd w:val="clear" w:color="auto" w:fill="auto"/>
            <w:vAlign w:val="center"/>
            <w:hideMark/>
          </w:tcPr>
          <w:p w14:paraId="67E1EB29" w14:textId="77777777" w:rsidR="005B68FD" w:rsidRPr="00C91E39" w:rsidRDefault="005B68FD" w:rsidP="005B68FD">
            <w:pPr>
              <w:jc w:val="center"/>
              <w:rPr>
                <w:rFonts w:ascii="Tahoma" w:hAnsi="Tahoma" w:cs="Tahoma"/>
                <w:b/>
                <w:bCs/>
                <w:color w:val="000000"/>
                <w:sz w:val="20"/>
                <w:szCs w:val="16"/>
              </w:rPr>
            </w:pPr>
            <w:r w:rsidRPr="00C91E39">
              <w:rPr>
                <w:rFonts w:ascii="Tahoma" w:hAnsi="Tahoma" w:cs="Tahoma"/>
                <w:b/>
                <w:bCs/>
                <w:color w:val="000000"/>
                <w:sz w:val="20"/>
                <w:szCs w:val="16"/>
              </w:rPr>
              <w:t xml:space="preserve">БЕСПЛАТНО: </w:t>
            </w:r>
            <w:r w:rsidRPr="00C91E39">
              <w:rPr>
                <w:rFonts w:ascii="Tahoma" w:hAnsi="Tahoma" w:cs="Tahoma"/>
                <w:color w:val="000000"/>
                <w:sz w:val="20"/>
                <w:szCs w:val="16"/>
              </w:rPr>
              <w:t>при выдаче до 100 тыс. руб. (включительно) в календарный месяц,</w:t>
            </w:r>
            <w:r w:rsidRPr="00C91E39">
              <w:rPr>
                <w:rFonts w:ascii="Tahoma" w:hAnsi="Tahoma" w:cs="Tahoma"/>
                <w:b/>
                <w:bCs/>
                <w:color w:val="000000"/>
                <w:sz w:val="20"/>
                <w:szCs w:val="16"/>
              </w:rPr>
              <w:br/>
            </w:r>
            <w:r w:rsidRPr="00C91E39">
              <w:rPr>
                <w:rFonts w:ascii="Tahoma" w:hAnsi="Tahoma" w:cs="Tahoma"/>
                <w:color w:val="000000"/>
                <w:sz w:val="20"/>
                <w:szCs w:val="16"/>
              </w:rPr>
              <w:t xml:space="preserve"> свыше: 1% от суммы операции</w:t>
            </w:r>
          </w:p>
        </w:tc>
        <w:tc>
          <w:tcPr>
            <w:tcW w:w="2122" w:type="dxa"/>
            <w:gridSpan w:val="2"/>
            <w:shd w:val="clear" w:color="auto" w:fill="auto"/>
            <w:vAlign w:val="center"/>
            <w:hideMark/>
          </w:tcPr>
          <w:p w14:paraId="61076633" w14:textId="77777777" w:rsidR="005B68FD" w:rsidRPr="00C91E39" w:rsidRDefault="005B68FD" w:rsidP="005B68FD">
            <w:pPr>
              <w:jc w:val="center"/>
              <w:rPr>
                <w:rFonts w:ascii="Tahoma" w:hAnsi="Tahoma" w:cs="Tahoma"/>
                <w:b/>
                <w:bCs/>
                <w:color w:val="000000"/>
                <w:sz w:val="20"/>
                <w:szCs w:val="16"/>
              </w:rPr>
            </w:pPr>
            <w:r w:rsidRPr="00C91E39">
              <w:rPr>
                <w:rFonts w:ascii="Tahoma" w:hAnsi="Tahoma" w:cs="Tahoma"/>
                <w:b/>
                <w:bCs/>
                <w:color w:val="000000"/>
                <w:sz w:val="20"/>
                <w:szCs w:val="16"/>
              </w:rPr>
              <w:t xml:space="preserve">БЕСПЛАТНО: </w:t>
            </w:r>
            <w:r w:rsidRPr="00C91E39">
              <w:rPr>
                <w:rFonts w:ascii="Tahoma" w:hAnsi="Tahoma" w:cs="Tahoma"/>
                <w:color w:val="000000"/>
                <w:sz w:val="20"/>
                <w:szCs w:val="16"/>
              </w:rPr>
              <w:t>при выдаче эквивалента до 9 500 юаней</w:t>
            </w:r>
            <w:r w:rsidRPr="00C91E39">
              <w:rPr>
                <w:rFonts w:ascii="Tahoma" w:hAnsi="Tahoma" w:cs="Tahoma"/>
                <w:color w:val="000000"/>
                <w:sz w:val="20"/>
                <w:szCs w:val="16"/>
                <w:vertAlign w:val="superscript"/>
              </w:rPr>
              <w:t>17</w:t>
            </w:r>
            <w:r w:rsidRPr="00C91E39">
              <w:rPr>
                <w:rFonts w:ascii="Tahoma" w:hAnsi="Tahoma" w:cs="Tahoma"/>
                <w:color w:val="000000"/>
                <w:sz w:val="20"/>
                <w:szCs w:val="16"/>
              </w:rPr>
              <w:t xml:space="preserve"> (включительно) </w:t>
            </w:r>
            <w:r w:rsidRPr="00C91E39">
              <w:rPr>
                <w:rFonts w:ascii="Tahoma" w:hAnsi="Tahoma" w:cs="Tahoma"/>
                <w:color w:val="000000"/>
                <w:sz w:val="20"/>
                <w:szCs w:val="16"/>
              </w:rPr>
              <w:br/>
              <w:t>в календарный месяц,</w:t>
            </w:r>
            <w:r w:rsidRPr="00C91E39">
              <w:rPr>
                <w:rFonts w:ascii="Tahoma" w:hAnsi="Tahoma" w:cs="Tahoma"/>
                <w:color w:val="000000"/>
                <w:sz w:val="20"/>
                <w:szCs w:val="16"/>
              </w:rPr>
              <w:br/>
              <w:t>свыше: 1% от суммы операции</w:t>
            </w:r>
          </w:p>
        </w:tc>
      </w:tr>
      <w:tr w:rsidR="005B68FD" w:rsidRPr="00C91E39" w14:paraId="5D7C2843" w14:textId="77777777" w:rsidTr="005B68FD">
        <w:tblPrEx>
          <w:tblLook w:val="04A0" w:firstRow="1" w:lastRow="0" w:firstColumn="1" w:lastColumn="0" w:noHBand="0" w:noVBand="1"/>
        </w:tblPrEx>
        <w:trPr>
          <w:gridAfter w:val="2"/>
          <w:wAfter w:w="2177" w:type="dxa"/>
          <w:trHeight w:val="292"/>
        </w:trPr>
        <w:tc>
          <w:tcPr>
            <w:tcW w:w="689" w:type="dxa"/>
            <w:shd w:val="clear" w:color="auto" w:fill="auto"/>
            <w:noWrap/>
            <w:vAlign w:val="center"/>
            <w:hideMark/>
          </w:tcPr>
          <w:p w14:paraId="3D29AF21"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6.3.3.</w:t>
            </w:r>
          </w:p>
        </w:tc>
        <w:tc>
          <w:tcPr>
            <w:tcW w:w="6394" w:type="dxa"/>
            <w:shd w:val="clear" w:color="auto" w:fill="auto"/>
            <w:vAlign w:val="center"/>
            <w:hideMark/>
          </w:tcPr>
          <w:p w14:paraId="03305757" w14:textId="77777777" w:rsidR="005B68FD" w:rsidRPr="00C91E39" w:rsidRDefault="005B68FD" w:rsidP="005B68FD">
            <w:pPr>
              <w:rPr>
                <w:rFonts w:ascii="Tahoma" w:hAnsi="Tahoma" w:cs="Tahoma"/>
                <w:sz w:val="20"/>
                <w:szCs w:val="16"/>
              </w:rPr>
            </w:pPr>
            <w:r w:rsidRPr="00C91E39">
              <w:rPr>
                <w:rFonts w:ascii="Tahoma" w:hAnsi="Tahoma" w:cs="Tahoma"/>
                <w:sz w:val="20"/>
                <w:szCs w:val="16"/>
              </w:rPr>
              <w:t>в пунктах выдачи наличных других банков</w:t>
            </w:r>
            <w:r w:rsidRPr="00C91E39">
              <w:rPr>
                <w:rFonts w:ascii="Tahoma" w:hAnsi="Tahoma" w:cs="Tahoma"/>
                <w:sz w:val="20"/>
                <w:szCs w:val="16"/>
                <w:vertAlign w:val="superscript"/>
              </w:rPr>
              <w:t>25</w:t>
            </w:r>
            <w:r w:rsidRPr="00C91E39">
              <w:rPr>
                <w:rFonts w:ascii="Tahoma" w:hAnsi="Tahoma" w:cs="Tahoma"/>
                <w:sz w:val="20"/>
                <w:szCs w:val="16"/>
              </w:rPr>
              <w:t xml:space="preserve"> на территории РФ</w:t>
            </w:r>
          </w:p>
        </w:tc>
        <w:tc>
          <w:tcPr>
            <w:tcW w:w="7797" w:type="dxa"/>
            <w:gridSpan w:val="7"/>
            <w:shd w:val="clear" w:color="auto" w:fill="auto"/>
            <w:vAlign w:val="center"/>
            <w:hideMark/>
          </w:tcPr>
          <w:p w14:paraId="7093499E" w14:textId="77777777" w:rsidR="005B68FD" w:rsidRPr="00C91E39" w:rsidRDefault="005B68FD" w:rsidP="005B68FD">
            <w:pPr>
              <w:jc w:val="center"/>
              <w:rPr>
                <w:rFonts w:ascii="Tahoma" w:hAnsi="Tahoma" w:cs="Tahoma"/>
                <w:color w:val="000000"/>
                <w:sz w:val="20"/>
                <w:szCs w:val="16"/>
              </w:rPr>
            </w:pPr>
            <w:r w:rsidRPr="00C91E39">
              <w:rPr>
                <w:rFonts w:ascii="Tahoma" w:hAnsi="Tahoma" w:cs="Tahoma"/>
                <w:color w:val="000000"/>
                <w:sz w:val="20"/>
                <w:szCs w:val="16"/>
              </w:rPr>
              <w:t>1% от суммы операции</w:t>
            </w:r>
          </w:p>
        </w:tc>
      </w:tr>
      <w:tr w:rsidR="005B68FD" w:rsidRPr="00C91E39" w14:paraId="657AEE8C" w14:textId="77777777" w:rsidTr="005B68FD">
        <w:tblPrEx>
          <w:tblLook w:val="04A0" w:firstRow="1" w:lastRow="0" w:firstColumn="1" w:lastColumn="0" w:noHBand="0" w:noVBand="1"/>
        </w:tblPrEx>
        <w:trPr>
          <w:gridAfter w:val="2"/>
          <w:wAfter w:w="2177" w:type="dxa"/>
          <w:trHeight w:val="1170"/>
        </w:trPr>
        <w:tc>
          <w:tcPr>
            <w:tcW w:w="689" w:type="dxa"/>
            <w:shd w:val="clear" w:color="auto" w:fill="auto"/>
            <w:noWrap/>
            <w:vAlign w:val="center"/>
            <w:hideMark/>
          </w:tcPr>
          <w:p w14:paraId="7F217877"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6.3.4.</w:t>
            </w:r>
          </w:p>
        </w:tc>
        <w:tc>
          <w:tcPr>
            <w:tcW w:w="6394" w:type="dxa"/>
            <w:shd w:val="clear" w:color="auto" w:fill="auto"/>
            <w:vAlign w:val="center"/>
            <w:hideMark/>
          </w:tcPr>
          <w:p w14:paraId="42175D2C" w14:textId="77777777" w:rsidR="005B68FD" w:rsidRPr="00C91E39" w:rsidRDefault="005B68FD" w:rsidP="005B68FD">
            <w:pPr>
              <w:rPr>
                <w:rFonts w:ascii="Tahoma" w:hAnsi="Tahoma" w:cs="Tahoma"/>
                <w:color w:val="000000"/>
                <w:sz w:val="20"/>
                <w:szCs w:val="16"/>
              </w:rPr>
            </w:pPr>
            <w:r w:rsidRPr="00C91E39">
              <w:rPr>
                <w:rFonts w:ascii="Tahoma" w:hAnsi="Tahoma" w:cs="Tahoma"/>
                <w:color w:val="000000"/>
                <w:sz w:val="20"/>
                <w:szCs w:val="16"/>
              </w:rPr>
              <w:t>в банкоматах других банков</w:t>
            </w:r>
            <w:r w:rsidRPr="00C91E39">
              <w:rPr>
                <w:rFonts w:ascii="Tahoma" w:hAnsi="Tahoma" w:cs="Tahoma"/>
                <w:sz w:val="20"/>
                <w:szCs w:val="16"/>
                <w:vertAlign w:val="superscript"/>
              </w:rPr>
              <w:t>25</w:t>
            </w:r>
            <w:r w:rsidRPr="00C91E39">
              <w:rPr>
                <w:rFonts w:ascii="Tahoma" w:hAnsi="Tahoma" w:cs="Tahoma"/>
                <w:color w:val="000000"/>
                <w:sz w:val="20"/>
                <w:szCs w:val="16"/>
              </w:rPr>
              <w:t xml:space="preserve"> и в пунктах выдачи наличных других банков</w:t>
            </w:r>
            <w:r w:rsidRPr="00C91E39">
              <w:rPr>
                <w:rFonts w:ascii="Tahoma" w:hAnsi="Tahoma" w:cs="Tahoma"/>
                <w:sz w:val="20"/>
                <w:szCs w:val="16"/>
                <w:vertAlign w:val="superscript"/>
              </w:rPr>
              <w:t>25</w:t>
            </w:r>
            <w:r w:rsidRPr="00C91E39">
              <w:rPr>
                <w:rFonts w:ascii="Tahoma" w:hAnsi="Tahoma" w:cs="Tahoma"/>
                <w:color w:val="000000"/>
                <w:sz w:val="20"/>
                <w:szCs w:val="16"/>
              </w:rPr>
              <w:t xml:space="preserve"> за рубежом</w:t>
            </w:r>
            <w:r w:rsidRPr="00C91E39">
              <w:rPr>
                <w:rFonts w:ascii="Tahoma" w:hAnsi="Tahoma" w:cs="Tahoma"/>
                <w:color w:val="000000"/>
                <w:sz w:val="20"/>
                <w:szCs w:val="16"/>
                <w:vertAlign w:val="superscript"/>
              </w:rPr>
              <w:t>18</w:t>
            </w:r>
          </w:p>
        </w:tc>
        <w:tc>
          <w:tcPr>
            <w:tcW w:w="5675" w:type="dxa"/>
            <w:gridSpan w:val="5"/>
            <w:shd w:val="clear" w:color="000000" w:fill="FFFFFF"/>
            <w:vAlign w:val="center"/>
            <w:hideMark/>
          </w:tcPr>
          <w:p w14:paraId="155E4936" w14:textId="77777777" w:rsidR="005B68FD" w:rsidRPr="00C91E39" w:rsidRDefault="005B68FD" w:rsidP="005B68FD">
            <w:pPr>
              <w:jc w:val="center"/>
              <w:rPr>
                <w:rFonts w:ascii="Tahoma" w:hAnsi="Tahoma" w:cs="Tahoma"/>
                <w:color w:val="000000"/>
                <w:sz w:val="20"/>
                <w:szCs w:val="16"/>
              </w:rPr>
            </w:pPr>
            <w:r w:rsidRPr="00C91E39">
              <w:rPr>
                <w:rFonts w:ascii="Tahoma" w:hAnsi="Tahoma" w:cs="Tahoma"/>
                <w:color w:val="000000"/>
                <w:sz w:val="20"/>
                <w:szCs w:val="16"/>
              </w:rPr>
              <w:t>1% от суммы операции, мин. 150 рублей</w:t>
            </w:r>
          </w:p>
        </w:tc>
        <w:tc>
          <w:tcPr>
            <w:tcW w:w="2122" w:type="dxa"/>
            <w:gridSpan w:val="2"/>
            <w:shd w:val="clear" w:color="auto" w:fill="auto"/>
            <w:vAlign w:val="center"/>
            <w:hideMark/>
          </w:tcPr>
          <w:p w14:paraId="5D2B697E" w14:textId="77777777" w:rsidR="005B68FD" w:rsidRPr="00C91E39" w:rsidRDefault="005B68FD" w:rsidP="005B68FD">
            <w:pPr>
              <w:jc w:val="center"/>
              <w:rPr>
                <w:rFonts w:ascii="Tahoma" w:hAnsi="Tahoma" w:cs="Tahoma"/>
                <w:color w:val="000000"/>
                <w:sz w:val="20"/>
                <w:szCs w:val="16"/>
              </w:rPr>
            </w:pPr>
            <w:r w:rsidRPr="00C91E39">
              <w:rPr>
                <w:rFonts w:ascii="Tahoma" w:hAnsi="Tahoma" w:cs="Tahoma"/>
                <w:color w:val="000000"/>
                <w:sz w:val="20"/>
                <w:szCs w:val="16"/>
              </w:rPr>
              <w:t>0,7% от суммы операции при снятии эквивалента до 9 500 юаней</w:t>
            </w:r>
            <w:r w:rsidRPr="00C91E39">
              <w:rPr>
                <w:rFonts w:ascii="Tahoma" w:hAnsi="Tahoma" w:cs="Tahoma"/>
                <w:color w:val="000000"/>
                <w:sz w:val="20"/>
                <w:szCs w:val="16"/>
                <w:vertAlign w:val="superscript"/>
              </w:rPr>
              <w:t>17</w:t>
            </w:r>
            <w:r w:rsidRPr="00C91E39">
              <w:rPr>
                <w:rFonts w:ascii="Tahoma" w:hAnsi="Tahoma" w:cs="Tahoma"/>
                <w:color w:val="000000"/>
                <w:sz w:val="20"/>
                <w:szCs w:val="16"/>
              </w:rPr>
              <w:t xml:space="preserve"> (включительно) в календарный месяц,</w:t>
            </w:r>
            <w:r w:rsidRPr="00C91E39">
              <w:rPr>
                <w:rFonts w:ascii="Tahoma" w:hAnsi="Tahoma" w:cs="Tahoma"/>
                <w:color w:val="000000"/>
                <w:sz w:val="20"/>
                <w:szCs w:val="16"/>
              </w:rPr>
              <w:br/>
              <w:t>свыше: 1% от суммы операции, мин. 15 юаней</w:t>
            </w:r>
          </w:p>
        </w:tc>
      </w:tr>
      <w:tr w:rsidR="005B68FD" w:rsidRPr="00C91E39" w14:paraId="55015482" w14:textId="77777777" w:rsidTr="005B68FD">
        <w:tblPrEx>
          <w:tblLook w:val="04A0" w:firstRow="1" w:lastRow="0" w:firstColumn="1" w:lastColumn="0" w:noHBand="0" w:noVBand="1"/>
        </w:tblPrEx>
        <w:trPr>
          <w:gridAfter w:val="2"/>
          <w:wAfter w:w="2177" w:type="dxa"/>
          <w:trHeight w:val="630"/>
        </w:trPr>
        <w:tc>
          <w:tcPr>
            <w:tcW w:w="689" w:type="dxa"/>
            <w:shd w:val="clear" w:color="auto" w:fill="auto"/>
            <w:noWrap/>
            <w:vAlign w:val="center"/>
            <w:hideMark/>
          </w:tcPr>
          <w:p w14:paraId="381E60A7"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6.3.5.</w:t>
            </w:r>
          </w:p>
        </w:tc>
        <w:tc>
          <w:tcPr>
            <w:tcW w:w="6394" w:type="dxa"/>
            <w:shd w:val="clear" w:color="auto" w:fill="auto"/>
            <w:vAlign w:val="center"/>
            <w:hideMark/>
          </w:tcPr>
          <w:p w14:paraId="006EC0D0" w14:textId="77777777" w:rsidR="005B68FD" w:rsidRPr="00C91E39" w:rsidRDefault="005B68FD" w:rsidP="005B68FD">
            <w:pPr>
              <w:rPr>
                <w:rFonts w:ascii="Tahoma" w:hAnsi="Tahoma" w:cs="Tahoma"/>
                <w:sz w:val="20"/>
                <w:szCs w:val="16"/>
              </w:rPr>
            </w:pPr>
            <w:r w:rsidRPr="00C91E39">
              <w:rPr>
                <w:rFonts w:ascii="Tahoma" w:hAnsi="Tahoma" w:cs="Tahoma"/>
                <w:sz w:val="20"/>
                <w:szCs w:val="16"/>
              </w:rPr>
              <w:t>в ТСП</w:t>
            </w:r>
            <w:r w:rsidRPr="00C91E39">
              <w:rPr>
                <w:rFonts w:ascii="Tahoma" w:hAnsi="Tahoma" w:cs="Tahoma"/>
                <w:sz w:val="20"/>
                <w:szCs w:val="16"/>
                <w:vertAlign w:val="superscript"/>
              </w:rPr>
              <w:t>8</w:t>
            </w:r>
            <w:r w:rsidRPr="00C91E39">
              <w:rPr>
                <w:rFonts w:ascii="Tahoma" w:hAnsi="Tahoma" w:cs="Tahoma"/>
                <w:sz w:val="20"/>
                <w:szCs w:val="16"/>
              </w:rPr>
              <w:t>, предоставляющих услугу выдачи наличных денежных средств при совершении покупки</w:t>
            </w:r>
            <w:r w:rsidRPr="00C91E39">
              <w:rPr>
                <w:rFonts w:ascii="Tahoma" w:hAnsi="Tahoma" w:cs="Tahoma"/>
                <w:sz w:val="20"/>
                <w:szCs w:val="16"/>
                <w:vertAlign w:val="superscript"/>
              </w:rPr>
              <w:t>19</w:t>
            </w:r>
          </w:p>
        </w:tc>
        <w:tc>
          <w:tcPr>
            <w:tcW w:w="7797" w:type="dxa"/>
            <w:gridSpan w:val="7"/>
            <w:shd w:val="clear" w:color="000000" w:fill="FFFFFF"/>
            <w:noWrap/>
            <w:vAlign w:val="center"/>
            <w:hideMark/>
          </w:tcPr>
          <w:p w14:paraId="33E78C62" w14:textId="77777777" w:rsidR="005B68FD" w:rsidRPr="00C91E39" w:rsidRDefault="005B68FD" w:rsidP="005B68FD">
            <w:pPr>
              <w:jc w:val="center"/>
              <w:rPr>
                <w:rFonts w:ascii="Tahoma" w:hAnsi="Tahoma" w:cs="Tahoma"/>
                <w:b/>
                <w:bCs/>
                <w:sz w:val="20"/>
                <w:szCs w:val="16"/>
              </w:rPr>
            </w:pPr>
            <w:r w:rsidRPr="00C91E39">
              <w:rPr>
                <w:rFonts w:ascii="Tahoma" w:hAnsi="Tahoma" w:cs="Tahoma"/>
                <w:b/>
                <w:bCs/>
                <w:sz w:val="20"/>
                <w:szCs w:val="16"/>
              </w:rPr>
              <w:t>БЕСПЛАТНО</w:t>
            </w:r>
          </w:p>
        </w:tc>
      </w:tr>
      <w:tr w:rsidR="005B68FD" w:rsidRPr="00C91E39" w14:paraId="346FBF44" w14:textId="77777777" w:rsidTr="005B68FD">
        <w:tblPrEx>
          <w:tblLook w:val="04A0" w:firstRow="1" w:lastRow="0" w:firstColumn="1" w:lastColumn="0" w:noHBand="0" w:noVBand="1"/>
        </w:tblPrEx>
        <w:trPr>
          <w:gridAfter w:val="2"/>
          <w:wAfter w:w="2177" w:type="dxa"/>
          <w:trHeight w:val="285"/>
        </w:trPr>
        <w:tc>
          <w:tcPr>
            <w:tcW w:w="689" w:type="dxa"/>
            <w:shd w:val="clear" w:color="000000" w:fill="595959"/>
            <w:noWrap/>
            <w:vAlign w:val="center"/>
            <w:hideMark/>
          </w:tcPr>
          <w:p w14:paraId="2F13DA74" w14:textId="77777777" w:rsidR="005B68FD" w:rsidRPr="00C91E39" w:rsidRDefault="005B68FD" w:rsidP="005B68FD">
            <w:pPr>
              <w:jc w:val="center"/>
              <w:rPr>
                <w:rFonts w:ascii="Tahoma" w:hAnsi="Tahoma" w:cs="Tahoma"/>
                <w:b/>
                <w:bCs/>
                <w:color w:val="FFFFFF"/>
                <w:sz w:val="20"/>
                <w:szCs w:val="16"/>
              </w:rPr>
            </w:pPr>
            <w:r w:rsidRPr="00C91E39">
              <w:rPr>
                <w:rFonts w:ascii="Tahoma" w:hAnsi="Tahoma" w:cs="Tahoma"/>
                <w:b/>
                <w:bCs/>
                <w:color w:val="FFFFFF"/>
                <w:sz w:val="20"/>
                <w:szCs w:val="16"/>
              </w:rPr>
              <w:t>6.4.</w:t>
            </w:r>
          </w:p>
        </w:tc>
        <w:tc>
          <w:tcPr>
            <w:tcW w:w="14191" w:type="dxa"/>
            <w:gridSpan w:val="8"/>
            <w:shd w:val="clear" w:color="000000" w:fill="595959"/>
            <w:vAlign w:val="center"/>
            <w:hideMark/>
          </w:tcPr>
          <w:p w14:paraId="27B0606B" w14:textId="77777777" w:rsidR="005B68FD" w:rsidRPr="00C91E39" w:rsidRDefault="005B68FD" w:rsidP="005B68FD">
            <w:pPr>
              <w:rPr>
                <w:rFonts w:ascii="Tahoma" w:hAnsi="Tahoma" w:cs="Tahoma"/>
                <w:b/>
                <w:bCs/>
                <w:color w:val="FFFFFF"/>
                <w:sz w:val="20"/>
                <w:szCs w:val="16"/>
              </w:rPr>
            </w:pPr>
            <w:r w:rsidRPr="00C91E39">
              <w:rPr>
                <w:rFonts w:ascii="Tahoma" w:hAnsi="Tahoma" w:cs="Tahoma"/>
                <w:b/>
                <w:bCs/>
                <w:color w:val="FFFFFF"/>
                <w:sz w:val="20"/>
                <w:szCs w:val="16"/>
              </w:rPr>
              <w:t>Прием и зачисление наличных денежных средств с использованием Карты</w:t>
            </w:r>
          </w:p>
        </w:tc>
      </w:tr>
      <w:tr w:rsidR="005B68FD" w:rsidRPr="00C91E39" w14:paraId="77C2CC4F" w14:textId="77777777" w:rsidTr="005B68FD">
        <w:tblPrEx>
          <w:tblLook w:val="04A0" w:firstRow="1" w:lastRow="0" w:firstColumn="1" w:lastColumn="0" w:noHBand="0" w:noVBand="1"/>
        </w:tblPrEx>
        <w:trPr>
          <w:gridAfter w:val="2"/>
          <w:wAfter w:w="2177" w:type="dxa"/>
          <w:trHeight w:val="477"/>
        </w:trPr>
        <w:tc>
          <w:tcPr>
            <w:tcW w:w="689" w:type="dxa"/>
            <w:shd w:val="clear" w:color="auto" w:fill="auto"/>
            <w:noWrap/>
            <w:vAlign w:val="center"/>
            <w:hideMark/>
          </w:tcPr>
          <w:p w14:paraId="3E0957BD"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6.4.1.</w:t>
            </w:r>
          </w:p>
        </w:tc>
        <w:tc>
          <w:tcPr>
            <w:tcW w:w="6394" w:type="dxa"/>
            <w:shd w:val="clear" w:color="auto" w:fill="auto"/>
            <w:vAlign w:val="center"/>
            <w:hideMark/>
          </w:tcPr>
          <w:p w14:paraId="0777C4CE" w14:textId="77777777" w:rsidR="005B68FD" w:rsidRPr="00C91E39" w:rsidRDefault="005B68FD" w:rsidP="005B68FD">
            <w:pPr>
              <w:rPr>
                <w:rFonts w:ascii="Tahoma" w:hAnsi="Tahoma" w:cs="Tahoma"/>
                <w:color w:val="000000"/>
                <w:sz w:val="20"/>
                <w:szCs w:val="16"/>
              </w:rPr>
            </w:pPr>
            <w:r w:rsidRPr="00C91E39">
              <w:rPr>
                <w:rFonts w:ascii="Tahoma" w:hAnsi="Tahoma" w:cs="Tahoma"/>
                <w:color w:val="000000"/>
                <w:sz w:val="20"/>
                <w:szCs w:val="16"/>
              </w:rPr>
              <w:t>на Счет Карты</w:t>
            </w:r>
            <w:r w:rsidRPr="00C91E39">
              <w:rPr>
                <w:rFonts w:ascii="Tahoma" w:hAnsi="Tahoma" w:cs="Tahoma"/>
                <w:color w:val="000000"/>
                <w:sz w:val="20"/>
                <w:szCs w:val="16"/>
                <w:vertAlign w:val="superscript"/>
              </w:rPr>
              <w:t>20</w:t>
            </w:r>
            <w:r w:rsidRPr="00C91E39">
              <w:rPr>
                <w:rFonts w:ascii="Tahoma" w:hAnsi="Tahoma" w:cs="Tahoma"/>
                <w:color w:val="000000"/>
                <w:sz w:val="20"/>
                <w:szCs w:val="16"/>
              </w:rPr>
              <w:t xml:space="preserve"> в кассах Банка</w:t>
            </w:r>
            <w:r w:rsidRPr="00C91E39">
              <w:rPr>
                <w:rFonts w:ascii="Tahoma" w:hAnsi="Tahoma" w:cs="Tahoma"/>
                <w:color w:val="000000"/>
                <w:sz w:val="20"/>
                <w:szCs w:val="16"/>
                <w:vertAlign w:val="superscript"/>
              </w:rPr>
              <w:t>3</w:t>
            </w:r>
            <w:r w:rsidRPr="00C91E39">
              <w:rPr>
                <w:rFonts w:ascii="Tahoma" w:hAnsi="Tahoma" w:cs="Tahoma"/>
                <w:color w:val="000000"/>
                <w:sz w:val="20"/>
                <w:szCs w:val="16"/>
              </w:rPr>
              <w:t>, банкоматах Банка</w:t>
            </w:r>
            <w:r w:rsidRPr="00C91E39">
              <w:rPr>
                <w:rFonts w:ascii="Tahoma" w:hAnsi="Tahoma" w:cs="Tahoma"/>
                <w:color w:val="000000"/>
                <w:sz w:val="20"/>
                <w:szCs w:val="16"/>
                <w:vertAlign w:val="superscript"/>
              </w:rPr>
              <w:t>3</w:t>
            </w:r>
            <w:r w:rsidRPr="00C91E39">
              <w:rPr>
                <w:rFonts w:ascii="Tahoma" w:hAnsi="Tahoma" w:cs="Tahoma"/>
                <w:color w:val="000000"/>
                <w:sz w:val="20"/>
                <w:szCs w:val="16"/>
              </w:rPr>
              <w:t xml:space="preserve"> и через терминалы самообслуживания Банка</w:t>
            </w:r>
            <w:r w:rsidRPr="00C91E39">
              <w:rPr>
                <w:rFonts w:ascii="Tahoma" w:hAnsi="Tahoma" w:cs="Tahoma"/>
                <w:color w:val="000000"/>
                <w:sz w:val="20"/>
                <w:szCs w:val="16"/>
                <w:vertAlign w:val="superscript"/>
              </w:rPr>
              <w:t>3</w:t>
            </w:r>
          </w:p>
        </w:tc>
        <w:tc>
          <w:tcPr>
            <w:tcW w:w="7797" w:type="dxa"/>
            <w:gridSpan w:val="7"/>
            <w:shd w:val="clear" w:color="auto" w:fill="auto"/>
            <w:vAlign w:val="center"/>
            <w:hideMark/>
          </w:tcPr>
          <w:p w14:paraId="18C5CFD5" w14:textId="77777777" w:rsidR="005B68FD" w:rsidRPr="00C91E39" w:rsidRDefault="005B68FD" w:rsidP="005B68FD">
            <w:pPr>
              <w:jc w:val="center"/>
              <w:rPr>
                <w:rFonts w:ascii="Tahoma" w:hAnsi="Tahoma" w:cs="Tahoma"/>
                <w:b/>
                <w:bCs/>
                <w:color w:val="000000"/>
                <w:sz w:val="20"/>
                <w:szCs w:val="16"/>
              </w:rPr>
            </w:pPr>
            <w:r w:rsidRPr="00C91E39">
              <w:rPr>
                <w:rFonts w:ascii="Tahoma" w:hAnsi="Tahoma" w:cs="Tahoma"/>
                <w:b/>
                <w:bCs/>
                <w:color w:val="000000"/>
                <w:sz w:val="20"/>
                <w:szCs w:val="16"/>
              </w:rPr>
              <w:t>БЕСПЛАТНО</w:t>
            </w:r>
          </w:p>
        </w:tc>
      </w:tr>
      <w:tr w:rsidR="005B68FD" w:rsidRPr="00C91E39" w14:paraId="0F327E30" w14:textId="77777777" w:rsidTr="005B68FD">
        <w:tblPrEx>
          <w:tblLook w:val="04A0" w:firstRow="1" w:lastRow="0" w:firstColumn="1" w:lastColumn="0" w:noHBand="0" w:noVBand="1"/>
        </w:tblPrEx>
        <w:trPr>
          <w:gridAfter w:val="2"/>
          <w:wAfter w:w="2177" w:type="dxa"/>
          <w:trHeight w:val="541"/>
        </w:trPr>
        <w:tc>
          <w:tcPr>
            <w:tcW w:w="689" w:type="dxa"/>
            <w:shd w:val="clear" w:color="auto" w:fill="auto"/>
            <w:noWrap/>
            <w:vAlign w:val="center"/>
            <w:hideMark/>
          </w:tcPr>
          <w:p w14:paraId="0724D9CE"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6.4.2.</w:t>
            </w:r>
          </w:p>
        </w:tc>
        <w:tc>
          <w:tcPr>
            <w:tcW w:w="6394" w:type="dxa"/>
            <w:shd w:val="clear" w:color="auto" w:fill="auto"/>
            <w:vAlign w:val="center"/>
            <w:hideMark/>
          </w:tcPr>
          <w:p w14:paraId="2BC464EA" w14:textId="77777777" w:rsidR="005B68FD" w:rsidRPr="00C91E39" w:rsidRDefault="005B68FD" w:rsidP="005B68FD">
            <w:pPr>
              <w:rPr>
                <w:rFonts w:ascii="Tahoma" w:hAnsi="Tahoma" w:cs="Tahoma"/>
                <w:color w:val="000000"/>
                <w:sz w:val="20"/>
                <w:szCs w:val="16"/>
              </w:rPr>
            </w:pPr>
            <w:r w:rsidRPr="00C91E39">
              <w:rPr>
                <w:rFonts w:ascii="Tahoma" w:hAnsi="Tahoma" w:cs="Tahoma"/>
                <w:color w:val="000000"/>
                <w:sz w:val="20"/>
                <w:szCs w:val="16"/>
              </w:rPr>
              <w:t>наличных денежных средств на Счет Карты</w:t>
            </w:r>
            <w:r w:rsidRPr="00C91E39">
              <w:rPr>
                <w:rFonts w:ascii="Tahoma" w:hAnsi="Tahoma" w:cs="Tahoma"/>
                <w:color w:val="000000"/>
                <w:sz w:val="20"/>
                <w:szCs w:val="16"/>
                <w:vertAlign w:val="superscript"/>
              </w:rPr>
              <w:t>20</w:t>
            </w:r>
            <w:r w:rsidRPr="00C91E39">
              <w:rPr>
                <w:rFonts w:ascii="Tahoma" w:hAnsi="Tahoma" w:cs="Tahoma"/>
                <w:color w:val="000000"/>
                <w:sz w:val="20"/>
                <w:szCs w:val="16"/>
              </w:rPr>
              <w:t xml:space="preserve"> через розничные сети партнеров</w:t>
            </w:r>
          </w:p>
        </w:tc>
        <w:tc>
          <w:tcPr>
            <w:tcW w:w="7797" w:type="dxa"/>
            <w:gridSpan w:val="7"/>
            <w:shd w:val="clear" w:color="auto" w:fill="auto"/>
            <w:vAlign w:val="center"/>
            <w:hideMark/>
          </w:tcPr>
          <w:p w14:paraId="28603DE0" w14:textId="77777777" w:rsidR="005B68FD" w:rsidRPr="00C91E39" w:rsidRDefault="005B68FD" w:rsidP="005B68FD">
            <w:pPr>
              <w:jc w:val="center"/>
              <w:rPr>
                <w:rFonts w:ascii="Tahoma" w:hAnsi="Tahoma" w:cs="Tahoma"/>
                <w:b/>
                <w:bCs/>
                <w:color w:val="000000"/>
                <w:sz w:val="20"/>
                <w:szCs w:val="16"/>
              </w:rPr>
            </w:pPr>
            <w:r w:rsidRPr="00C91E39">
              <w:rPr>
                <w:rFonts w:ascii="Tahoma" w:hAnsi="Tahoma" w:cs="Tahoma"/>
                <w:b/>
                <w:bCs/>
                <w:color w:val="000000"/>
                <w:sz w:val="20"/>
                <w:szCs w:val="16"/>
              </w:rPr>
              <w:t xml:space="preserve">БЕСПЛАТНО </w:t>
            </w:r>
            <w:r w:rsidRPr="00C91E39">
              <w:rPr>
                <w:rFonts w:ascii="Tahoma" w:hAnsi="Tahoma" w:cs="Tahoma"/>
                <w:b/>
                <w:bCs/>
                <w:color w:val="000000"/>
                <w:sz w:val="20"/>
                <w:szCs w:val="16"/>
              </w:rPr>
              <w:br/>
            </w:r>
            <w:r w:rsidRPr="00C91E39">
              <w:rPr>
                <w:rFonts w:ascii="Tahoma" w:hAnsi="Tahoma" w:cs="Tahoma"/>
                <w:color w:val="000000"/>
                <w:sz w:val="20"/>
                <w:szCs w:val="16"/>
              </w:rPr>
              <w:t>(возможно взимание комиссии за пополнение в розничной сети партнеров)</w:t>
            </w:r>
          </w:p>
        </w:tc>
      </w:tr>
      <w:tr w:rsidR="005B68FD" w:rsidRPr="00C91E39" w14:paraId="19A5FD10" w14:textId="77777777" w:rsidTr="005B68FD">
        <w:tblPrEx>
          <w:tblLook w:val="04A0" w:firstRow="1" w:lastRow="0" w:firstColumn="1" w:lastColumn="0" w:noHBand="0" w:noVBand="1"/>
        </w:tblPrEx>
        <w:trPr>
          <w:gridAfter w:val="2"/>
          <w:wAfter w:w="2177" w:type="dxa"/>
          <w:trHeight w:val="280"/>
        </w:trPr>
        <w:tc>
          <w:tcPr>
            <w:tcW w:w="689" w:type="dxa"/>
            <w:shd w:val="clear" w:color="000000" w:fill="595959"/>
            <w:noWrap/>
            <w:vAlign w:val="center"/>
            <w:hideMark/>
          </w:tcPr>
          <w:p w14:paraId="1F1FB9AD" w14:textId="77777777" w:rsidR="005B68FD" w:rsidRPr="00C91E39" w:rsidRDefault="005B68FD" w:rsidP="005B68FD">
            <w:pPr>
              <w:jc w:val="center"/>
              <w:rPr>
                <w:rFonts w:ascii="Tahoma" w:hAnsi="Tahoma" w:cs="Tahoma"/>
                <w:b/>
                <w:bCs/>
                <w:color w:val="FFFFFF"/>
                <w:sz w:val="20"/>
                <w:szCs w:val="16"/>
              </w:rPr>
            </w:pPr>
            <w:r w:rsidRPr="00C91E39">
              <w:rPr>
                <w:rFonts w:ascii="Tahoma" w:hAnsi="Tahoma" w:cs="Tahoma"/>
                <w:b/>
                <w:bCs/>
                <w:color w:val="FFFFFF"/>
                <w:sz w:val="20"/>
                <w:szCs w:val="16"/>
              </w:rPr>
              <w:t>7.</w:t>
            </w:r>
          </w:p>
        </w:tc>
        <w:tc>
          <w:tcPr>
            <w:tcW w:w="14191" w:type="dxa"/>
            <w:gridSpan w:val="8"/>
            <w:shd w:val="clear" w:color="000000" w:fill="595959"/>
            <w:vAlign w:val="center"/>
            <w:hideMark/>
          </w:tcPr>
          <w:p w14:paraId="1F22EB34" w14:textId="77777777" w:rsidR="005B68FD" w:rsidRPr="00C91E39" w:rsidRDefault="005B68FD" w:rsidP="005B68FD">
            <w:pPr>
              <w:rPr>
                <w:rFonts w:ascii="Tahoma" w:hAnsi="Tahoma" w:cs="Tahoma"/>
                <w:b/>
                <w:bCs/>
                <w:color w:val="FFFFFF"/>
                <w:sz w:val="20"/>
                <w:szCs w:val="16"/>
              </w:rPr>
            </w:pPr>
            <w:r w:rsidRPr="00C91E39">
              <w:rPr>
                <w:rFonts w:ascii="Tahoma" w:hAnsi="Tahoma" w:cs="Tahoma"/>
                <w:b/>
                <w:bCs/>
                <w:color w:val="FFFFFF"/>
                <w:sz w:val="20"/>
                <w:szCs w:val="16"/>
              </w:rPr>
              <w:t>Совершение безналичных операций в ТСП</w:t>
            </w:r>
            <w:r w:rsidRPr="00C91E39">
              <w:rPr>
                <w:rFonts w:ascii="Tahoma" w:hAnsi="Tahoma" w:cs="Tahoma"/>
                <w:b/>
                <w:bCs/>
                <w:color w:val="FFFFFF"/>
                <w:sz w:val="20"/>
                <w:szCs w:val="16"/>
                <w:vertAlign w:val="superscript"/>
              </w:rPr>
              <w:t xml:space="preserve">8 </w:t>
            </w:r>
            <w:r w:rsidRPr="00C91E39">
              <w:rPr>
                <w:rFonts w:ascii="Tahoma" w:hAnsi="Tahoma" w:cs="Tahoma"/>
                <w:b/>
                <w:bCs/>
                <w:color w:val="FFFFFF"/>
                <w:sz w:val="20"/>
                <w:szCs w:val="16"/>
              </w:rPr>
              <w:t>и сети Интернет (оплата товаров, работ, услуг, результатов интеллектуальной деятельности)</w:t>
            </w:r>
          </w:p>
        </w:tc>
      </w:tr>
      <w:tr w:rsidR="005B68FD" w:rsidRPr="00C91E39" w14:paraId="6B52B786" w14:textId="77777777" w:rsidTr="005B68FD">
        <w:tblPrEx>
          <w:tblLook w:val="04A0" w:firstRow="1" w:lastRow="0" w:firstColumn="1" w:lastColumn="0" w:noHBand="0" w:noVBand="1"/>
        </w:tblPrEx>
        <w:trPr>
          <w:gridAfter w:val="2"/>
          <w:wAfter w:w="2177" w:type="dxa"/>
          <w:trHeight w:val="470"/>
        </w:trPr>
        <w:tc>
          <w:tcPr>
            <w:tcW w:w="689" w:type="dxa"/>
            <w:shd w:val="clear" w:color="auto" w:fill="auto"/>
            <w:noWrap/>
            <w:vAlign w:val="center"/>
            <w:hideMark/>
          </w:tcPr>
          <w:p w14:paraId="0FEA1A1E"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7.1.</w:t>
            </w:r>
          </w:p>
        </w:tc>
        <w:tc>
          <w:tcPr>
            <w:tcW w:w="6394" w:type="dxa"/>
            <w:shd w:val="clear" w:color="auto" w:fill="auto"/>
            <w:vAlign w:val="center"/>
            <w:hideMark/>
          </w:tcPr>
          <w:p w14:paraId="22F8B96E" w14:textId="77777777" w:rsidR="005B68FD" w:rsidRPr="00C91E39" w:rsidRDefault="005B68FD" w:rsidP="005B68FD">
            <w:pPr>
              <w:rPr>
                <w:rFonts w:ascii="Tahoma" w:hAnsi="Tahoma" w:cs="Tahoma"/>
                <w:color w:val="000000"/>
                <w:sz w:val="20"/>
                <w:szCs w:val="16"/>
              </w:rPr>
            </w:pPr>
            <w:r w:rsidRPr="00C91E39">
              <w:rPr>
                <w:rFonts w:ascii="Tahoma" w:hAnsi="Tahoma" w:cs="Tahoma"/>
                <w:color w:val="000000"/>
                <w:sz w:val="20"/>
                <w:szCs w:val="16"/>
              </w:rPr>
              <w:t>совершение безналичных операций в ТСП</w:t>
            </w:r>
            <w:r w:rsidRPr="00C91E39">
              <w:rPr>
                <w:rFonts w:ascii="Tahoma" w:hAnsi="Tahoma" w:cs="Tahoma"/>
                <w:color w:val="000000"/>
                <w:sz w:val="20"/>
                <w:szCs w:val="16"/>
                <w:vertAlign w:val="superscript"/>
              </w:rPr>
              <w:t>8</w:t>
            </w:r>
            <w:r w:rsidRPr="00C91E39">
              <w:rPr>
                <w:rFonts w:ascii="Tahoma" w:hAnsi="Tahoma" w:cs="Tahoma"/>
                <w:color w:val="000000"/>
                <w:sz w:val="20"/>
                <w:szCs w:val="16"/>
              </w:rPr>
              <w:t xml:space="preserve"> (оплата товаров, работ, услуг, результатов интеллектуальной деятельности)</w:t>
            </w:r>
          </w:p>
        </w:tc>
        <w:tc>
          <w:tcPr>
            <w:tcW w:w="7797" w:type="dxa"/>
            <w:gridSpan w:val="7"/>
            <w:shd w:val="clear" w:color="auto" w:fill="auto"/>
            <w:noWrap/>
            <w:vAlign w:val="center"/>
            <w:hideMark/>
          </w:tcPr>
          <w:p w14:paraId="3AEE8435" w14:textId="77777777" w:rsidR="005B68FD" w:rsidRPr="00C91E39" w:rsidRDefault="005B68FD" w:rsidP="005B68FD">
            <w:pPr>
              <w:jc w:val="center"/>
              <w:rPr>
                <w:rFonts w:ascii="Tahoma" w:hAnsi="Tahoma" w:cs="Tahoma"/>
                <w:b/>
                <w:bCs/>
                <w:color w:val="000000"/>
                <w:sz w:val="20"/>
                <w:szCs w:val="16"/>
              </w:rPr>
            </w:pPr>
            <w:r w:rsidRPr="00C91E39">
              <w:rPr>
                <w:rFonts w:ascii="Tahoma" w:hAnsi="Tahoma" w:cs="Tahoma"/>
                <w:b/>
                <w:bCs/>
                <w:color w:val="000000"/>
                <w:sz w:val="20"/>
                <w:szCs w:val="16"/>
              </w:rPr>
              <w:t>БЕСПЛАТНО</w:t>
            </w:r>
          </w:p>
        </w:tc>
      </w:tr>
      <w:tr w:rsidR="005B68FD" w:rsidRPr="00C91E39" w14:paraId="09966AEB" w14:textId="77777777" w:rsidTr="005B68FD">
        <w:tblPrEx>
          <w:tblLook w:val="04A0" w:firstRow="1" w:lastRow="0" w:firstColumn="1" w:lastColumn="0" w:noHBand="0" w:noVBand="1"/>
        </w:tblPrEx>
        <w:trPr>
          <w:gridAfter w:val="2"/>
          <w:wAfter w:w="2177" w:type="dxa"/>
          <w:trHeight w:val="547"/>
        </w:trPr>
        <w:tc>
          <w:tcPr>
            <w:tcW w:w="689" w:type="dxa"/>
            <w:shd w:val="clear" w:color="auto" w:fill="auto"/>
            <w:noWrap/>
            <w:vAlign w:val="center"/>
            <w:hideMark/>
          </w:tcPr>
          <w:p w14:paraId="5F577A73"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7.2.</w:t>
            </w:r>
          </w:p>
        </w:tc>
        <w:tc>
          <w:tcPr>
            <w:tcW w:w="6394" w:type="dxa"/>
            <w:shd w:val="clear" w:color="auto" w:fill="auto"/>
            <w:vAlign w:val="center"/>
            <w:hideMark/>
          </w:tcPr>
          <w:p w14:paraId="3A0187D6" w14:textId="77777777" w:rsidR="005B68FD" w:rsidRPr="00C91E39" w:rsidRDefault="005B68FD" w:rsidP="005B68FD">
            <w:pPr>
              <w:rPr>
                <w:rFonts w:ascii="Tahoma" w:hAnsi="Tahoma" w:cs="Tahoma"/>
                <w:color w:val="000000"/>
                <w:sz w:val="20"/>
                <w:szCs w:val="16"/>
              </w:rPr>
            </w:pPr>
            <w:r w:rsidRPr="00C91E39">
              <w:rPr>
                <w:rFonts w:ascii="Tahoma" w:hAnsi="Tahoma" w:cs="Tahoma"/>
                <w:color w:val="000000"/>
                <w:sz w:val="20"/>
                <w:szCs w:val="16"/>
              </w:rPr>
              <w:t>проведение «уникальных» транзакций и квази-кэш операций: оплата дорожных чеков, денежных обязательств, лотерейных билетов, игровых фишек в казино и пр.</w:t>
            </w:r>
          </w:p>
        </w:tc>
        <w:tc>
          <w:tcPr>
            <w:tcW w:w="7797" w:type="dxa"/>
            <w:gridSpan w:val="7"/>
            <w:shd w:val="clear" w:color="auto" w:fill="auto"/>
            <w:vAlign w:val="center"/>
            <w:hideMark/>
          </w:tcPr>
          <w:p w14:paraId="67C4F275"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3% от суммы операции</w:t>
            </w:r>
            <w:r w:rsidRPr="00C91E39">
              <w:rPr>
                <w:rFonts w:ascii="Tahoma" w:hAnsi="Tahoma" w:cs="Tahoma"/>
                <w:sz w:val="20"/>
                <w:szCs w:val="16"/>
                <w:vertAlign w:val="superscript"/>
              </w:rPr>
              <w:t>21</w:t>
            </w:r>
          </w:p>
        </w:tc>
      </w:tr>
      <w:tr w:rsidR="005B68FD" w:rsidRPr="00C91E39" w14:paraId="3C5BE44D" w14:textId="77777777" w:rsidTr="005B68FD">
        <w:tblPrEx>
          <w:tblLook w:val="04A0" w:firstRow="1" w:lastRow="0" w:firstColumn="1" w:lastColumn="0" w:noHBand="0" w:noVBand="1"/>
        </w:tblPrEx>
        <w:trPr>
          <w:gridAfter w:val="2"/>
          <w:wAfter w:w="2177" w:type="dxa"/>
          <w:trHeight w:val="1475"/>
        </w:trPr>
        <w:tc>
          <w:tcPr>
            <w:tcW w:w="689" w:type="dxa"/>
            <w:shd w:val="clear" w:color="auto" w:fill="auto"/>
            <w:noWrap/>
            <w:vAlign w:val="center"/>
          </w:tcPr>
          <w:p w14:paraId="6A9068E0"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7.3.</w:t>
            </w:r>
          </w:p>
        </w:tc>
        <w:tc>
          <w:tcPr>
            <w:tcW w:w="6394" w:type="dxa"/>
            <w:shd w:val="clear" w:color="auto" w:fill="auto"/>
            <w:vAlign w:val="center"/>
          </w:tcPr>
          <w:p w14:paraId="4114395C" w14:textId="77777777" w:rsidR="005B68FD" w:rsidRPr="00C91E39" w:rsidRDefault="005B68FD" w:rsidP="005B68FD">
            <w:pPr>
              <w:rPr>
                <w:rFonts w:ascii="Tahoma" w:hAnsi="Tahoma" w:cs="Tahoma"/>
                <w:color w:val="000000"/>
                <w:sz w:val="20"/>
                <w:szCs w:val="16"/>
              </w:rPr>
            </w:pPr>
            <w:r w:rsidRPr="00C91E39">
              <w:rPr>
                <w:rFonts w:ascii="Tahoma" w:hAnsi="Tahoma" w:cs="Tahoma"/>
                <w:color w:val="000000"/>
                <w:sz w:val="20"/>
                <w:szCs w:val="16"/>
              </w:rPr>
              <w:t>конверсия</w:t>
            </w:r>
            <w:r w:rsidRPr="00C91E39">
              <w:rPr>
                <w:rFonts w:ascii="Tahoma" w:hAnsi="Tahoma" w:cs="Tahoma"/>
                <w:color w:val="000000"/>
                <w:sz w:val="20"/>
                <w:szCs w:val="16"/>
                <w:vertAlign w:val="superscript"/>
              </w:rPr>
              <w:t xml:space="preserve">24 </w:t>
            </w:r>
            <w:r w:rsidRPr="00C91E39">
              <w:rPr>
                <w:rFonts w:ascii="Tahoma" w:hAnsi="Tahoma" w:cs="Tahoma"/>
                <w:color w:val="000000"/>
                <w:sz w:val="20"/>
                <w:szCs w:val="16"/>
              </w:rPr>
              <w:t>при совершении оплаты в ТСП</w:t>
            </w:r>
            <w:r w:rsidRPr="00C91E39">
              <w:rPr>
                <w:rFonts w:ascii="Tahoma" w:hAnsi="Tahoma" w:cs="Tahoma"/>
                <w:color w:val="000000"/>
                <w:sz w:val="20"/>
                <w:szCs w:val="16"/>
                <w:vertAlign w:val="superscript"/>
              </w:rPr>
              <w:t>8</w:t>
            </w:r>
          </w:p>
        </w:tc>
        <w:tc>
          <w:tcPr>
            <w:tcW w:w="7797" w:type="dxa"/>
            <w:gridSpan w:val="7"/>
            <w:shd w:val="clear" w:color="auto" w:fill="auto"/>
            <w:vAlign w:val="center"/>
          </w:tcPr>
          <w:p w14:paraId="3FE94C0C"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по курсу Банка на момент совершения операции: если валюта Счета Карты Клиента отлична от валюты расчетов Банка с Платежной системой в этом регионе (валюта расчетов Банка с Платежной системой в этом регионе при этом идентична валюте совершения операции);</w:t>
            </w:r>
          </w:p>
          <w:p w14:paraId="74174917"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дополнительно применяются курс и тарифы Платежной системы Visa/UnionPay International на момент проведения расчетов с Банком: если валюта совершения операции – отлична от валюты расчетов Банка с Платежной системой, дополнительно к конверсии Платежная система применяет +2% от суммы операции по курсу Банка (для операций по Картам Visa и UnionPay International).</w:t>
            </w:r>
          </w:p>
        </w:tc>
      </w:tr>
      <w:tr w:rsidR="005B68FD" w:rsidRPr="00C91E39" w14:paraId="292E1911" w14:textId="77777777" w:rsidTr="005B68FD">
        <w:tblPrEx>
          <w:tblLook w:val="04A0" w:firstRow="1" w:lastRow="0" w:firstColumn="1" w:lastColumn="0" w:noHBand="0" w:noVBand="1"/>
        </w:tblPrEx>
        <w:trPr>
          <w:gridAfter w:val="2"/>
          <w:wAfter w:w="2177" w:type="dxa"/>
          <w:trHeight w:val="258"/>
        </w:trPr>
        <w:tc>
          <w:tcPr>
            <w:tcW w:w="689" w:type="dxa"/>
            <w:shd w:val="clear" w:color="000000" w:fill="595959"/>
            <w:noWrap/>
            <w:vAlign w:val="center"/>
            <w:hideMark/>
          </w:tcPr>
          <w:p w14:paraId="2C523C02" w14:textId="77777777" w:rsidR="005B68FD" w:rsidRPr="00C91E39" w:rsidRDefault="005B68FD" w:rsidP="005B68FD">
            <w:pPr>
              <w:jc w:val="center"/>
              <w:rPr>
                <w:rFonts w:ascii="Tahoma" w:hAnsi="Tahoma" w:cs="Tahoma"/>
                <w:b/>
                <w:bCs/>
                <w:color w:val="FFFFFF"/>
                <w:sz w:val="20"/>
                <w:szCs w:val="16"/>
              </w:rPr>
            </w:pPr>
            <w:r w:rsidRPr="00C91E39">
              <w:rPr>
                <w:rFonts w:ascii="Tahoma" w:hAnsi="Tahoma" w:cs="Tahoma"/>
                <w:b/>
                <w:bCs/>
                <w:color w:val="FFFFFF"/>
                <w:sz w:val="20"/>
                <w:szCs w:val="16"/>
              </w:rPr>
              <w:t>8.</w:t>
            </w:r>
          </w:p>
        </w:tc>
        <w:tc>
          <w:tcPr>
            <w:tcW w:w="14191" w:type="dxa"/>
            <w:gridSpan w:val="8"/>
            <w:shd w:val="clear" w:color="000000" w:fill="595959"/>
            <w:noWrap/>
            <w:vAlign w:val="center"/>
            <w:hideMark/>
          </w:tcPr>
          <w:p w14:paraId="69D4F0FD" w14:textId="77777777" w:rsidR="005B68FD" w:rsidRPr="00C91E39" w:rsidRDefault="005B68FD" w:rsidP="005B68FD">
            <w:pPr>
              <w:rPr>
                <w:rFonts w:ascii="Tahoma" w:hAnsi="Tahoma" w:cs="Tahoma"/>
                <w:b/>
                <w:bCs/>
                <w:color w:val="FFFFFF"/>
                <w:sz w:val="20"/>
                <w:szCs w:val="16"/>
              </w:rPr>
            </w:pPr>
            <w:r w:rsidRPr="00C91E39">
              <w:rPr>
                <w:rFonts w:ascii="Tahoma" w:hAnsi="Tahoma" w:cs="Tahoma"/>
                <w:b/>
                <w:bCs/>
                <w:color w:val="FFFFFF"/>
                <w:sz w:val="20"/>
                <w:szCs w:val="16"/>
              </w:rPr>
              <w:t>Дистанционные банковские сервисы Банка</w:t>
            </w:r>
          </w:p>
        </w:tc>
      </w:tr>
      <w:tr w:rsidR="005B68FD" w:rsidRPr="00C91E39" w14:paraId="7F55C529" w14:textId="77777777" w:rsidTr="005B68FD">
        <w:tblPrEx>
          <w:tblLook w:val="04A0" w:firstRow="1" w:lastRow="0" w:firstColumn="1" w:lastColumn="0" w:noHBand="0" w:noVBand="1"/>
        </w:tblPrEx>
        <w:trPr>
          <w:gridAfter w:val="2"/>
          <w:wAfter w:w="2177" w:type="dxa"/>
          <w:trHeight w:val="888"/>
        </w:trPr>
        <w:tc>
          <w:tcPr>
            <w:tcW w:w="689" w:type="dxa"/>
            <w:shd w:val="clear" w:color="000000" w:fill="FFFFFF"/>
            <w:noWrap/>
            <w:vAlign w:val="center"/>
            <w:hideMark/>
          </w:tcPr>
          <w:p w14:paraId="68845E04"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8.1.</w:t>
            </w:r>
          </w:p>
        </w:tc>
        <w:tc>
          <w:tcPr>
            <w:tcW w:w="6394" w:type="dxa"/>
            <w:shd w:val="clear" w:color="000000" w:fill="FFFFFF"/>
            <w:vAlign w:val="center"/>
            <w:hideMark/>
          </w:tcPr>
          <w:p w14:paraId="3917AC2D" w14:textId="77777777" w:rsidR="005B68FD" w:rsidRPr="00C91E39" w:rsidRDefault="005B68FD" w:rsidP="005B68FD">
            <w:pPr>
              <w:rPr>
                <w:rFonts w:ascii="Tahoma" w:hAnsi="Tahoma" w:cs="Tahoma"/>
                <w:sz w:val="20"/>
                <w:szCs w:val="16"/>
              </w:rPr>
            </w:pPr>
            <w:r w:rsidRPr="00C91E39">
              <w:rPr>
                <w:rFonts w:ascii="Tahoma" w:hAnsi="Tahoma" w:cs="Tahoma"/>
                <w:sz w:val="20"/>
                <w:szCs w:val="16"/>
              </w:rPr>
              <w:t>стоимость услуги СМС-информирования (полный пакет): в том числе детализирование уведомление о приходных и расходных операциях по Счету Карты/иные сведения по усмотрению Банка в формате СМС-сообщений на Номер мобильного телефона Клиента, указанный Клиентом Банку в качестве основного</w:t>
            </w:r>
          </w:p>
        </w:tc>
        <w:tc>
          <w:tcPr>
            <w:tcW w:w="5675" w:type="dxa"/>
            <w:gridSpan w:val="5"/>
            <w:shd w:val="clear" w:color="auto" w:fill="auto"/>
            <w:noWrap/>
            <w:vAlign w:val="center"/>
            <w:hideMark/>
          </w:tcPr>
          <w:p w14:paraId="5C350354" w14:textId="77777777" w:rsidR="005B68FD" w:rsidRPr="00C91E39" w:rsidRDefault="005B68FD" w:rsidP="005B68FD">
            <w:pPr>
              <w:jc w:val="center"/>
              <w:rPr>
                <w:rFonts w:ascii="Tahoma" w:hAnsi="Tahoma" w:cs="Tahoma"/>
                <w:b/>
                <w:bCs/>
                <w:sz w:val="20"/>
                <w:szCs w:val="16"/>
              </w:rPr>
            </w:pPr>
            <w:r w:rsidRPr="00C91E39">
              <w:rPr>
                <w:rFonts w:ascii="Tahoma" w:hAnsi="Tahoma" w:cs="Tahoma"/>
                <w:b/>
                <w:bCs/>
                <w:sz w:val="20"/>
                <w:szCs w:val="16"/>
              </w:rPr>
              <w:t xml:space="preserve">69 рублей </w:t>
            </w:r>
            <w:r w:rsidRPr="00C91E39">
              <w:rPr>
                <w:rFonts w:ascii="Tahoma" w:hAnsi="Tahoma" w:cs="Tahoma"/>
                <w:sz w:val="20"/>
                <w:szCs w:val="16"/>
              </w:rPr>
              <w:t>в месяц</w:t>
            </w:r>
          </w:p>
        </w:tc>
        <w:tc>
          <w:tcPr>
            <w:tcW w:w="2122" w:type="dxa"/>
            <w:gridSpan w:val="2"/>
            <w:shd w:val="clear" w:color="auto" w:fill="auto"/>
            <w:noWrap/>
            <w:vAlign w:val="center"/>
            <w:hideMark/>
          </w:tcPr>
          <w:p w14:paraId="78CD8434" w14:textId="77777777" w:rsidR="005B68FD" w:rsidRPr="00C91E39" w:rsidRDefault="005B68FD" w:rsidP="005B68FD">
            <w:pPr>
              <w:jc w:val="center"/>
              <w:rPr>
                <w:rFonts w:ascii="Tahoma" w:hAnsi="Tahoma" w:cs="Tahoma"/>
                <w:b/>
                <w:bCs/>
                <w:sz w:val="20"/>
                <w:szCs w:val="16"/>
              </w:rPr>
            </w:pPr>
            <w:r w:rsidRPr="00C91E39">
              <w:rPr>
                <w:rFonts w:ascii="Tahoma" w:hAnsi="Tahoma" w:cs="Tahoma"/>
                <w:b/>
                <w:bCs/>
                <w:sz w:val="20"/>
                <w:szCs w:val="16"/>
              </w:rPr>
              <w:t xml:space="preserve">7 юаней </w:t>
            </w:r>
            <w:r w:rsidRPr="00C91E39">
              <w:rPr>
                <w:rFonts w:ascii="Tahoma" w:hAnsi="Tahoma" w:cs="Tahoma"/>
                <w:sz w:val="20"/>
                <w:szCs w:val="16"/>
              </w:rPr>
              <w:t>в месяц</w:t>
            </w:r>
          </w:p>
        </w:tc>
      </w:tr>
      <w:tr w:rsidR="005B68FD" w:rsidRPr="00C91E39" w14:paraId="4B628812" w14:textId="77777777" w:rsidTr="005B68FD">
        <w:tblPrEx>
          <w:tblLook w:val="04A0" w:firstRow="1" w:lastRow="0" w:firstColumn="1" w:lastColumn="0" w:noHBand="0" w:noVBand="1"/>
        </w:tblPrEx>
        <w:trPr>
          <w:gridAfter w:val="2"/>
          <w:wAfter w:w="2177" w:type="dxa"/>
          <w:trHeight w:val="726"/>
        </w:trPr>
        <w:tc>
          <w:tcPr>
            <w:tcW w:w="689" w:type="dxa"/>
            <w:shd w:val="clear" w:color="auto" w:fill="auto"/>
            <w:noWrap/>
            <w:vAlign w:val="center"/>
            <w:hideMark/>
          </w:tcPr>
          <w:p w14:paraId="1879A2EB"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8.2.</w:t>
            </w:r>
          </w:p>
        </w:tc>
        <w:tc>
          <w:tcPr>
            <w:tcW w:w="6394" w:type="dxa"/>
            <w:shd w:val="clear" w:color="000000" w:fill="FFFFFF"/>
            <w:vAlign w:val="center"/>
            <w:hideMark/>
          </w:tcPr>
          <w:p w14:paraId="0D6BCFF1" w14:textId="77777777" w:rsidR="005B68FD" w:rsidRPr="00C91E39" w:rsidRDefault="005B68FD" w:rsidP="005B68FD">
            <w:pPr>
              <w:rPr>
                <w:rFonts w:ascii="Tahoma" w:hAnsi="Tahoma" w:cs="Tahoma"/>
                <w:sz w:val="20"/>
                <w:szCs w:val="16"/>
              </w:rPr>
            </w:pPr>
            <w:r w:rsidRPr="00C91E39">
              <w:rPr>
                <w:rFonts w:ascii="Tahoma" w:hAnsi="Tahoma" w:cs="Tahoma"/>
                <w:sz w:val="20"/>
                <w:szCs w:val="16"/>
              </w:rPr>
              <w:t>стоимость услуги СМС-информирования (обязательный пакет): краткие уведомления о расходных операциях по Счету Карты/иные сведения по усмотрению Банка в формате СМС-сообщений на мобильный телефон Клиента, указанный Клиентом Банку в качестве основного</w:t>
            </w:r>
          </w:p>
        </w:tc>
        <w:tc>
          <w:tcPr>
            <w:tcW w:w="7797" w:type="dxa"/>
            <w:gridSpan w:val="7"/>
            <w:vMerge w:val="restart"/>
            <w:shd w:val="clear" w:color="auto" w:fill="auto"/>
            <w:noWrap/>
            <w:vAlign w:val="center"/>
            <w:hideMark/>
          </w:tcPr>
          <w:p w14:paraId="7C14F75C" w14:textId="77777777" w:rsidR="005B68FD" w:rsidRPr="00C91E39" w:rsidRDefault="005B68FD" w:rsidP="005B68FD">
            <w:pPr>
              <w:jc w:val="center"/>
              <w:rPr>
                <w:rFonts w:ascii="Tahoma" w:hAnsi="Tahoma" w:cs="Tahoma"/>
                <w:b/>
                <w:bCs/>
                <w:sz w:val="20"/>
                <w:szCs w:val="16"/>
              </w:rPr>
            </w:pPr>
            <w:r w:rsidRPr="00C91E39">
              <w:rPr>
                <w:rFonts w:ascii="Tahoma" w:hAnsi="Tahoma" w:cs="Tahoma"/>
                <w:b/>
                <w:bCs/>
                <w:sz w:val="20"/>
                <w:szCs w:val="16"/>
              </w:rPr>
              <w:t>БЕСПЛАТНО</w:t>
            </w:r>
          </w:p>
        </w:tc>
      </w:tr>
      <w:tr w:rsidR="005B68FD" w:rsidRPr="00C91E39" w14:paraId="6751F87F" w14:textId="77777777" w:rsidTr="005B68FD">
        <w:tblPrEx>
          <w:tblLook w:val="04A0" w:firstRow="1" w:lastRow="0" w:firstColumn="1" w:lastColumn="0" w:noHBand="0" w:noVBand="1"/>
        </w:tblPrEx>
        <w:trPr>
          <w:gridAfter w:val="2"/>
          <w:wAfter w:w="2177" w:type="dxa"/>
          <w:trHeight w:val="384"/>
        </w:trPr>
        <w:tc>
          <w:tcPr>
            <w:tcW w:w="689" w:type="dxa"/>
            <w:shd w:val="clear" w:color="auto" w:fill="auto"/>
            <w:noWrap/>
            <w:vAlign w:val="center"/>
            <w:hideMark/>
          </w:tcPr>
          <w:p w14:paraId="1E0AF9ED"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8.3.</w:t>
            </w:r>
          </w:p>
        </w:tc>
        <w:tc>
          <w:tcPr>
            <w:tcW w:w="6394" w:type="dxa"/>
            <w:shd w:val="clear" w:color="auto" w:fill="auto"/>
            <w:vAlign w:val="center"/>
            <w:hideMark/>
          </w:tcPr>
          <w:p w14:paraId="2622B558" w14:textId="77777777" w:rsidR="005B68FD" w:rsidRPr="00C91E39" w:rsidRDefault="005B68FD" w:rsidP="005B68FD">
            <w:pPr>
              <w:rPr>
                <w:rFonts w:ascii="Tahoma" w:hAnsi="Tahoma" w:cs="Tahoma"/>
                <w:sz w:val="20"/>
                <w:szCs w:val="16"/>
              </w:rPr>
            </w:pPr>
            <w:r w:rsidRPr="00C91E39">
              <w:rPr>
                <w:rFonts w:ascii="Tahoma" w:hAnsi="Tahoma" w:cs="Tahoma"/>
                <w:sz w:val="20"/>
                <w:szCs w:val="16"/>
              </w:rPr>
              <w:t>доступ в Каналы ДБО Банка: «АТБ-Онлайн», Мобильный банк</w:t>
            </w:r>
          </w:p>
        </w:tc>
        <w:tc>
          <w:tcPr>
            <w:tcW w:w="7797" w:type="dxa"/>
            <w:gridSpan w:val="7"/>
            <w:vMerge/>
            <w:vAlign w:val="center"/>
            <w:hideMark/>
          </w:tcPr>
          <w:p w14:paraId="1C93A5F2" w14:textId="77777777" w:rsidR="005B68FD" w:rsidRPr="00C91E39" w:rsidRDefault="005B68FD" w:rsidP="005B68FD">
            <w:pPr>
              <w:rPr>
                <w:rFonts w:ascii="Tahoma" w:hAnsi="Tahoma" w:cs="Tahoma"/>
                <w:b/>
                <w:bCs/>
                <w:sz w:val="20"/>
                <w:szCs w:val="16"/>
              </w:rPr>
            </w:pPr>
          </w:p>
        </w:tc>
      </w:tr>
      <w:tr w:rsidR="005B68FD" w:rsidRPr="00C91E39" w14:paraId="1E4824AD" w14:textId="77777777" w:rsidTr="005B68FD">
        <w:tblPrEx>
          <w:tblLook w:val="04A0" w:firstRow="1" w:lastRow="0" w:firstColumn="1" w:lastColumn="0" w:noHBand="0" w:noVBand="1"/>
        </w:tblPrEx>
        <w:trPr>
          <w:gridAfter w:val="2"/>
          <w:wAfter w:w="2177" w:type="dxa"/>
          <w:trHeight w:val="276"/>
        </w:trPr>
        <w:tc>
          <w:tcPr>
            <w:tcW w:w="689" w:type="dxa"/>
            <w:shd w:val="clear" w:color="auto" w:fill="auto"/>
            <w:noWrap/>
            <w:vAlign w:val="center"/>
            <w:hideMark/>
          </w:tcPr>
          <w:p w14:paraId="4EB71A32"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8.4.</w:t>
            </w:r>
          </w:p>
        </w:tc>
        <w:tc>
          <w:tcPr>
            <w:tcW w:w="6394" w:type="dxa"/>
            <w:shd w:val="clear" w:color="auto" w:fill="auto"/>
            <w:vAlign w:val="center"/>
            <w:hideMark/>
          </w:tcPr>
          <w:p w14:paraId="6174C5E1" w14:textId="77777777" w:rsidR="005B68FD" w:rsidRPr="00C91E39" w:rsidRDefault="005B68FD" w:rsidP="005B68FD">
            <w:pPr>
              <w:rPr>
                <w:rFonts w:ascii="Tahoma" w:hAnsi="Tahoma" w:cs="Tahoma"/>
                <w:sz w:val="20"/>
                <w:szCs w:val="16"/>
              </w:rPr>
            </w:pPr>
            <w:r w:rsidRPr="00C91E39">
              <w:rPr>
                <w:rFonts w:ascii="Tahoma" w:hAnsi="Tahoma" w:cs="Tahoma"/>
                <w:sz w:val="20"/>
                <w:szCs w:val="16"/>
              </w:rPr>
              <w:t>выписка по Счету Карты в Каналах ДБО Банка: «АТБ-Онлайн», Мобильный банк</w:t>
            </w:r>
          </w:p>
        </w:tc>
        <w:tc>
          <w:tcPr>
            <w:tcW w:w="7797" w:type="dxa"/>
            <w:gridSpan w:val="7"/>
            <w:vMerge/>
            <w:vAlign w:val="center"/>
            <w:hideMark/>
          </w:tcPr>
          <w:p w14:paraId="57D84126" w14:textId="77777777" w:rsidR="005B68FD" w:rsidRPr="00C91E39" w:rsidRDefault="005B68FD" w:rsidP="005B68FD">
            <w:pPr>
              <w:rPr>
                <w:rFonts w:ascii="Tahoma" w:hAnsi="Tahoma" w:cs="Tahoma"/>
                <w:b/>
                <w:bCs/>
                <w:sz w:val="20"/>
                <w:szCs w:val="16"/>
              </w:rPr>
            </w:pPr>
          </w:p>
        </w:tc>
      </w:tr>
      <w:tr w:rsidR="005B68FD" w:rsidRPr="00C91E39" w14:paraId="616B49D9" w14:textId="77777777" w:rsidTr="005B68FD">
        <w:tblPrEx>
          <w:tblLook w:val="04A0" w:firstRow="1" w:lastRow="0" w:firstColumn="1" w:lastColumn="0" w:noHBand="0" w:noVBand="1"/>
        </w:tblPrEx>
        <w:trPr>
          <w:gridAfter w:val="2"/>
          <w:wAfter w:w="2177" w:type="dxa"/>
          <w:trHeight w:val="266"/>
        </w:trPr>
        <w:tc>
          <w:tcPr>
            <w:tcW w:w="689" w:type="dxa"/>
            <w:shd w:val="clear" w:color="auto" w:fill="auto"/>
            <w:noWrap/>
            <w:vAlign w:val="center"/>
            <w:hideMark/>
          </w:tcPr>
          <w:p w14:paraId="50B3BA78"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8.5.</w:t>
            </w:r>
          </w:p>
        </w:tc>
        <w:tc>
          <w:tcPr>
            <w:tcW w:w="6394" w:type="dxa"/>
            <w:shd w:val="clear" w:color="auto" w:fill="auto"/>
            <w:vAlign w:val="center"/>
            <w:hideMark/>
          </w:tcPr>
          <w:p w14:paraId="1A055B39" w14:textId="77777777" w:rsidR="005B68FD" w:rsidRPr="00C91E39" w:rsidRDefault="005B68FD" w:rsidP="005B68FD">
            <w:pPr>
              <w:rPr>
                <w:rFonts w:ascii="Tahoma" w:hAnsi="Tahoma" w:cs="Tahoma"/>
                <w:sz w:val="20"/>
                <w:szCs w:val="16"/>
              </w:rPr>
            </w:pPr>
            <w:r w:rsidRPr="00C91E39">
              <w:rPr>
                <w:rFonts w:ascii="Tahoma" w:hAnsi="Tahoma" w:cs="Tahoma"/>
                <w:sz w:val="20"/>
                <w:szCs w:val="16"/>
              </w:rPr>
              <w:t>выписка по Счету Карты в банкоматах Банка</w:t>
            </w:r>
            <w:r w:rsidRPr="00C91E39">
              <w:rPr>
                <w:rFonts w:ascii="Tahoma" w:hAnsi="Tahoma" w:cs="Tahoma"/>
                <w:sz w:val="20"/>
                <w:szCs w:val="16"/>
                <w:vertAlign w:val="superscript"/>
              </w:rPr>
              <w:t>3</w:t>
            </w:r>
          </w:p>
        </w:tc>
        <w:tc>
          <w:tcPr>
            <w:tcW w:w="7797" w:type="dxa"/>
            <w:gridSpan w:val="7"/>
            <w:vMerge/>
            <w:vAlign w:val="center"/>
            <w:hideMark/>
          </w:tcPr>
          <w:p w14:paraId="5A895413" w14:textId="77777777" w:rsidR="005B68FD" w:rsidRPr="00C91E39" w:rsidRDefault="005B68FD" w:rsidP="005B68FD">
            <w:pPr>
              <w:rPr>
                <w:rFonts w:ascii="Tahoma" w:hAnsi="Tahoma" w:cs="Tahoma"/>
                <w:b/>
                <w:bCs/>
                <w:sz w:val="20"/>
                <w:szCs w:val="16"/>
              </w:rPr>
            </w:pPr>
          </w:p>
        </w:tc>
      </w:tr>
      <w:tr w:rsidR="005B68FD" w:rsidRPr="00C91E39" w14:paraId="6CD8F8E8" w14:textId="77777777" w:rsidTr="005B68FD">
        <w:tblPrEx>
          <w:tblLook w:val="04A0" w:firstRow="1" w:lastRow="0" w:firstColumn="1" w:lastColumn="0" w:noHBand="0" w:noVBand="1"/>
        </w:tblPrEx>
        <w:trPr>
          <w:gridAfter w:val="2"/>
          <w:wAfter w:w="2177" w:type="dxa"/>
          <w:trHeight w:val="412"/>
        </w:trPr>
        <w:tc>
          <w:tcPr>
            <w:tcW w:w="689" w:type="dxa"/>
            <w:shd w:val="clear" w:color="auto" w:fill="auto"/>
            <w:noWrap/>
            <w:vAlign w:val="center"/>
            <w:hideMark/>
          </w:tcPr>
          <w:p w14:paraId="6BFCE7B7"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8.6.</w:t>
            </w:r>
          </w:p>
        </w:tc>
        <w:tc>
          <w:tcPr>
            <w:tcW w:w="6394" w:type="dxa"/>
            <w:shd w:val="clear" w:color="auto" w:fill="auto"/>
            <w:vAlign w:val="center"/>
            <w:hideMark/>
          </w:tcPr>
          <w:p w14:paraId="6052482C" w14:textId="77777777" w:rsidR="005B68FD" w:rsidRPr="00C91E39" w:rsidRDefault="005B68FD" w:rsidP="005B68FD">
            <w:pPr>
              <w:rPr>
                <w:rFonts w:ascii="Tahoma" w:hAnsi="Tahoma" w:cs="Tahoma"/>
                <w:sz w:val="20"/>
                <w:szCs w:val="16"/>
              </w:rPr>
            </w:pPr>
            <w:r w:rsidRPr="00C91E39">
              <w:rPr>
                <w:rFonts w:ascii="Tahoma" w:hAnsi="Tahoma" w:cs="Tahoma"/>
                <w:sz w:val="20"/>
                <w:szCs w:val="16"/>
              </w:rPr>
              <w:t>запрос баланса Счета Карты в банкоматах Банка</w:t>
            </w:r>
            <w:r w:rsidRPr="00C91E39">
              <w:rPr>
                <w:rFonts w:ascii="Tahoma" w:hAnsi="Tahoma" w:cs="Tahoma"/>
                <w:sz w:val="20"/>
                <w:szCs w:val="16"/>
                <w:vertAlign w:val="superscript"/>
              </w:rPr>
              <w:t>3</w:t>
            </w:r>
            <w:r w:rsidRPr="00C91E39">
              <w:rPr>
                <w:rFonts w:ascii="Tahoma" w:hAnsi="Tahoma" w:cs="Tahoma"/>
                <w:sz w:val="20"/>
                <w:szCs w:val="16"/>
              </w:rPr>
              <w:t xml:space="preserve"> посредством вывода информации на экран устройства и/или чек</w:t>
            </w:r>
          </w:p>
        </w:tc>
        <w:tc>
          <w:tcPr>
            <w:tcW w:w="7797" w:type="dxa"/>
            <w:gridSpan w:val="7"/>
            <w:vMerge/>
            <w:vAlign w:val="center"/>
            <w:hideMark/>
          </w:tcPr>
          <w:p w14:paraId="4FA7A104" w14:textId="77777777" w:rsidR="005B68FD" w:rsidRPr="00C91E39" w:rsidRDefault="005B68FD" w:rsidP="005B68FD">
            <w:pPr>
              <w:rPr>
                <w:rFonts w:ascii="Tahoma" w:hAnsi="Tahoma" w:cs="Tahoma"/>
                <w:b/>
                <w:bCs/>
                <w:sz w:val="20"/>
                <w:szCs w:val="16"/>
              </w:rPr>
            </w:pPr>
          </w:p>
        </w:tc>
      </w:tr>
      <w:tr w:rsidR="005B68FD" w:rsidRPr="00C91E39" w14:paraId="59DFDCF5" w14:textId="77777777" w:rsidTr="005B68FD">
        <w:tblPrEx>
          <w:tblLook w:val="04A0" w:firstRow="1" w:lastRow="0" w:firstColumn="1" w:lastColumn="0" w:noHBand="0" w:noVBand="1"/>
        </w:tblPrEx>
        <w:trPr>
          <w:gridAfter w:val="2"/>
          <w:wAfter w:w="2177" w:type="dxa"/>
          <w:trHeight w:val="1425"/>
        </w:trPr>
        <w:tc>
          <w:tcPr>
            <w:tcW w:w="689" w:type="dxa"/>
            <w:shd w:val="clear" w:color="auto" w:fill="auto"/>
            <w:noWrap/>
            <w:vAlign w:val="center"/>
            <w:hideMark/>
          </w:tcPr>
          <w:p w14:paraId="5AD1D00B"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8.7.</w:t>
            </w:r>
          </w:p>
        </w:tc>
        <w:tc>
          <w:tcPr>
            <w:tcW w:w="6394" w:type="dxa"/>
            <w:shd w:val="clear" w:color="auto" w:fill="auto"/>
            <w:vAlign w:val="center"/>
            <w:hideMark/>
          </w:tcPr>
          <w:p w14:paraId="3E272843" w14:textId="77777777" w:rsidR="005B68FD" w:rsidRPr="00C91E39" w:rsidRDefault="005B68FD" w:rsidP="005B68FD">
            <w:pPr>
              <w:rPr>
                <w:rFonts w:ascii="Tahoma" w:hAnsi="Tahoma" w:cs="Tahoma"/>
                <w:sz w:val="20"/>
                <w:szCs w:val="16"/>
              </w:rPr>
            </w:pPr>
            <w:r w:rsidRPr="00C91E39">
              <w:rPr>
                <w:rFonts w:ascii="Tahoma" w:hAnsi="Tahoma" w:cs="Tahoma"/>
                <w:sz w:val="20"/>
                <w:szCs w:val="16"/>
              </w:rPr>
              <w:t>запрос баланса Счета Карты в банкоматах других банков</w:t>
            </w:r>
            <w:r w:rsidRPr="00C91E39">
              <w:rPr>
                <w:rFonts w:ascii="Tahoma" w:hAnsi="Tahoma" w:cs="Tahoma"/>
                <w:sz w:val="20"/>
                <w:szCs w:val="16"/>
                <w:vertAlign w:val="superscript"/>
              </w:rPr>
              <w:t>22</w:t>
            </w:r>
          </w:p>
        </w:tc>
        <w:tc>
          <w:tcPr>
            <w:tcW w:w="5675" w:type="dxa"/>
            <w:gridSpan w:val="5"/>
            <w:shd w:val="clear" w:color="auto" w:fill="auto"/>
            <w:vAlign w:val="center"/>
            <w:hideMark/>
          </w:tcPr>
          <w:p w14:paraId="7F406C40" w14:textId="77777777" w:rsidR="005B68FD" w:rsidRPr="00C91E39" w:rsidRDefault="005B68FD" w:rsidP="005B68FD">
            <w:pPr>
              <w:jc w:val="center"/>
              <w:rPr>
                <w:rFonts w:ascii="Tahoma" w:hAnsi="Tahoma" w:cs="Tahoma"/>
                <w:sz w:val="20"/>
                <w:szCs w:val="16"/>
              </w:rPr>
            </w:pPr>
            <w:r w:rsidRPr="00C91E39">
              <w:rPr>
                <w:rFonts w:ascii="Tahoma" w:hAnsi="Tahoma" w:cs="Tahoma"/>
                <w:b/>
                <w:sz w:val="20"/>
                <w:szCs w:val="16"/>
              </w:rPr>
              <w:t>0 рублей</w:t>
            </w:r>
            <w:r w:rsidRPr="00C91E39">
              <w:rPr>
                <w:rFonts w:ascii="Tahoma" w:hAnsi="Tahoma" w:cs="Tahoma"/>
                <w:sz w:val="20"/>
                <w:szCs w:val="16"/>
              </w:rPr>
              <w:t xml:space="preserve"> – при запросе баланса в банкомате другого банка впервые с момента получения Клиентом Карты;</w:t>
            </w:r>
            <w:r w:rsidRPr="00C91E39">
              <w:rPr>
                <w:rFonts w:ascii="Tahoma" w:hAnsi="Tahoma" w:cs="Tahoma"/>
                <w:sz w:val="20"/>
                <w:szCs w:val="16"/>
              </w:rPr>
              <w:br/>
            </w:r>
            <w:r w:rsidRPr="00C91E39">
              <w:rPr>
                <w:rFonts w:ascii="Tahoma" w:hAnsi="Tahoma" w:cs="Tahoma"/>
                <w:b/>
                <w:sz w:val="20"/>
                <w:szCs w:val="16"/>
              </w:rPr>
              <w:t>45 рублей</w:t>
            </w:r>
            <w:r w:rsidRPr="00C91E39">
              <w:rPr>
                <w:rFonts w:ascii="Tahoma" w:hAnsi="Tahoma" w:cs="Tahoma"/>
                <w:sz w:val="20"/>
                <w:szCs w:val="16"/>
              </w:rPr>
              <w:t xml:space="preserve"> – при каждом последующем запросе баланса.</w:t>
            </w:r>
          </w:p>
        </w:tc>
        <w:tc>
          <w:tcPr>
            <w:tcW w:w="2122" w:type="dxa"/>
            <w:gridSpan w:val="2"/>
            <w:shd w:val="clear" w:color="auto" w:fill="auto"/>
            <w:vAlign w:val="center"/>
            <w:hideMark/>
          </w:tcPr>
          <w:p w14:paraId="6585D240" w14:textId="77777777" w:rsidR="005B68FD" w:rsidRPr="00C91E39" w:rsidRDefault="005B68FD" w:rsidP="005B68FD">
            <w:pPr>
              <w:jc w:val="center"/>
              <w:rPr>
                <w:rFonts w:ascii="Tahoma" w:hAnsi="Tahoma" w:cs="Tahoma"/>
                <w:sz w:val="20"/>
                <w:szCs w:val="16"/>
              </w:rPr>
            </w:pPr>
            <w:r w:rsidRPr="00C91E39">
              <w:rPr>
                <w:rFonts w:ascii="Tahoma" w:hAnsi="Tahoma" w:cs="Tahoma"/>
                <w:b/>
                <w:sz w:val="20"/>
                <w:szCs w:val="16"/>
              </w:rPr>
              <w:t>0 юаней</w:t>
            </w:r>
            <w:r w:rsidRPr="00C91E39">
              <w:rPr>
                <w:rFonts w:ascii="Tahoma" w:hAnsi="Tahoma" w:cs="Tahoma"/>
                <w:sz w:val="20"/>
                <w:szCs w:val="16"/>
              </w:rPr>
              <w:t xml:space="preserve"> – при запросе баланса в банкомате другого банка впервые с момента получения Клиентом Карты;</w:t>
            </w:r>
            <w:r w:rsidRPr="00C91E39">
              <w:rPr>
                <w:rFonts w:ascii="Tahoma" w:hAnsi="Tahoma" w:cs="Tahoma"/>
                <w:sz w:val="20"/>
                <w:szCs w:val="16"/>
              </w:rPr>
              <w:br/>
            </w:r>
            <w:r w:rsidRPr="00C91E39">
              <w:rPr>
                <w:rFonts w:ascii="Tahoma" w:hAnsi="Tahoma" w:cs="Tahoma"/>
                <w:b/>
                <w:sz w:val="20"/>
                <w:szCs w:val="16"/>
              </w:rPr>
              <w:t>5 юаней</w:t>
            </w:r>
            <w:r w:rsidRPr="00C91E39">
              <w:rPr>
                <w:rFonts w:ascii="Tahoma" w:hAnsi="Tahoma" w:cs="Tahoma"/>
                <w:sz w:val="20"/>
                <w:szCs w:val="16"/>
              </w:rPr>
              <w:t xml:space="preserve"> – при каждом последующем запросе баланса.</w:t>
            </w:r>
          </w:p>
        </w:tc>
      </w:tr>
      <w:tr w:rsidR="005B68FD" w:rsidRPr="00C91E39" w14:paraId="7C6876C5" w14:textId="77777777" w:rsidTr="005B68FD">
        <w:tblPrEx>
          <w:tblLook w:val="04A0" w:firstRow="1" w:lastRow="0" w:firstColumn="1" w:lastColumn="0" w:noHBand="0" w:noVBand="1"/>
        </w:tblPrEx>
        <w:trPr>
          <w:gridAfter w:val="2"/>
          <w:wAfter w:w="2177" w:type="dxa"/>
          <w:trHeight w:val="285"/>
        </w:trPr>
        <w:tc>
          <w:tcPr>
            <w:tcW w:w="689" w:type="dxa"/>
            <w:shd w:val="clear" w:color="000000" w:fill="595959"/>
            <w:noWrap/>
            <w:vAlign w:val="center"/>
            <w:hideMark/>
          </w:tcPr>
          <w:p w14:paraId="7C2C7892" w14:textId="77777777" w:rsidR="005B68FD" w:rsidRPr="00C91E39" w:rsidRDefault="005B68FD" w:rsidP="005B68FD">
            <w:pPr>
              <w:jc w:val="center"/>
              <w:rPr>
                <w:rFonts w:ascii="Tahoma" w:hAnsi="Tahoma" w:cs="Tahoma"/>
                <w:b/>
                <w:bCs/>
                <w:color w:val="FFFFFF"/>
                <w:sz w:val="20"/>
                <w:szCs w:val="16"/>
              </w:rPr>
            </w:pPr>
            <w:r w:rsidRPr="00C91E39">
              <w:rPr>
                <w:rFonts w:ascii="Tahoma" w:hAnsi="Tahoma" w:cs="Tahoma"/>
                <w:b/>
                <w:bCs/>
                <w:color w:val="FFFFFF"/>
                <w:sz w:val="20"/>
                <w:szCs w:val="16"/>
              </w:rPr>
              <w:t>9.</w:t>
            </w:r>
          </w:p>
        </w:tc>
        <w:tc>
          <w:tcPr>
            <w:tcW w:w="14191" w:type="dxa"/>
            <w:gridSpan w:val="8"/>
            <w:shd w:val="clear" w:color="000000" w:fill="595959"/>
            <w:noWrap/>
            <w:vAlign w:val="center"/>
            <w:hideMark/>
          </w:tcPr>
          <w:p w14:paraId="511A6383" w14:textId="77777777" w:rsidR="005B68FD" w:rsidRPr="00C91E39" w:rsidRDefault="005B68FD" w:rsidP="005B68FD">
            <w:pPr>
              <w:rPr>
                <w:rFonts w:ascii="Tahoma" w:hAnsi="Tahoma" w:cs="Tahoma"/>
                <w:b/>
                <w:bCs/>
                <w:color w:val="FFFFFF"/>
                <w:sz w:val="20"/>
                <w:szCs w:val="16"/>
              </w:rPr>
            </w:pPr>
            <w:r w:rsidRPr="00C91E39">
              <w:rPr>
                <w:rFonts w:ascii="Tahoma" w:hAnsi="Tahoma" w:cs="Tahoma"/>
                <w:b/>
                <w:bCs/>
                <w:color w:val="FFFFFF"/>
                <w:sz w:val="20"/>
                <w:szCs w:val="16"/>
              </w:rPr>
              <w:t>Приостановление/возобновление операций с Картой</w:t>
            </w:r>
          </w:p>
        </w:tc>
      </w:tr>
      <w:tr w:rsidR="005B68FD" w:rsidRPr="00C91E39" w14:paraId="0CD4C7E8" w14:textId="77777777" w:rsidTr="005B68FD">
        <w:tblPrEx>
          <w:tblLook w:val="04A0" w:firstRow="1" w:lastRow="0" w:firstColumn="1" w:lastColumn="0" w:noHBand="0" w:noVBand="1"/>
        </w:tblPrEx>
        <w:trPr>
          <w:gridAfter w:val="2"/>
          <w:wAfter w:w="2177" w:type="dxa"/>
          <w:trHeight w:val="416"/>
        </w:trPr>
        <w:tc>
          <w:tcPr>
            <w:tcW w:w="689" w:type="dxa"/>
            <w:shd w:val="clear" w:color="auto" w:fill="auto"/>
            <w:noWrap/>
            <w:vAlign w:val="center"/>
            <w:hideMark/>
          </w:tcPr>
          <w:p w14:paraId="4EA17022"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9.1.</w:t>
            </w:r>
          </w:p>
        </w:tc>
        <w:tc>
          <w:tcPr>
            <w:tcW w:w="6394" w:type="dxa"/>
            <w:shd w:val="clear" w:color="auto" w:fill="auto"/>
            <w:vAlign w:val="center"/>
            <w:hideMark/>
          </w:tcPr>
          <w:p w14:paraId="225798E7" w14:textId="77777777" w:rsidR="005B68FD" w:rsidRPr="00C91E39" w:rsidRDefault="005B68FD" w:rsidP="005B68FD">
            <w:pPr>
              <w:rPr>
                <w:rFonts w:ascii="Tahoma" w:hAnsi="Tahoma" w:cs="Tahoma"/>
                <w:color w:val="000000"/>
                <w:sz w:val="20"/>
                <w:szCs w:val="16"/>
              </w:rPr>
            </w:pPr>
            <w:r w:rsidRPr="00C91E39">
              <w:rPr>
                <w:rFonts w:ascii="Tahoma" w:hAnsi="Tahoma" w:cs="Tahoma"/>
                <w:color w:val="000000"/>
                <w:sz w:val="20"/>
                <w:szCs w:val="16"/>
              </w:rPr>
              <w:t>блокировка/разблокировка Карты в базе данных Банка</w:t>
            </w:r>
            <w:r w:rsidRPr="00C91E39">
              <w:rPr>
                <w:rFonts w:ascii="Tahoma" w:hAnsi="Tahoma" w:cs="Tahoma"/>
                <w:color w:val="000000"/>
                <w:sz w:val="20"/>
                <w:szCs w:val="16"/>
                <w:vertAlign w:val="superscript"/>
              </w:rPr>
              <w:t xml:space="preserve">3 </w:t>
            </w:r>
            <w:r w:rsidRPr="00C91E39">
              <w:rPr>
                <w:rFonts w:ascii="Tahoma" w:hAnsi="Tahoma" w:cs="Tahoma"/>
                <w:color w:val="000000"/>
                <w:sz w:val="20"/>
                <w:szCs w:val="16"/>
              </w:rPr>
              <w:t>посредством Каналов ДБО Банка</w:t>
            </w:r>
          </w:p>
        </w:tc>
        <w:tc>
          <w:tcPr>
            <w:tcW w:w="7797" w:type="dxa"/>
            <w:gridSpan w:val="7"/>
            <w:vMerge w:val="restart"/>
            <w:shd w:val="clear" w:color="auto" w:fill="auto"/>
            <w:noWrap/>
            <w:vAlign w:val="center"/>
            <w:hideMark/>
          </w:tcPr>
          <w:p w14:paraId="15919383" w14:textId="77777777" w:rsidR="005B68FD" w:rsidRPr="00C91E39" w:rsidRDefault="005B68FD" w:rsidP="005B68FD">
            <w:pPr>
              <w:jc w:val="center"/>
              <w:rPr>
                <w:rFonts w:ascii="Tahoma" w:hAnsi="Tahoma" w:cs="Tahoma"/>
                <w:b/>
                <w:bCs/>
                <w:color w:val="000000"/>
                <w:sz w:val="20"/>
                <w:szCs w:val="16"/>
              </w:rPr>
            </w:pPr>
            <w:r w:rsidRPr="00C91E39">
              <w:rPr>
                <w:rFonts w:ascii="Tahoma" w:hAnsi="Tahoma" w:cs="Tahoma"/>
                <w:b/>
                <w:bCs/>
                <w:color w:val="000000"/>
                <w:sz w:val="20"/>
                <w:szCs w:val="16"/>
              </w:rPr>
              <w:t>БЕСПЛАТНО</w:t>
            </w:r>
          </w:p>
        </w:tc>
      </w:tr>
      <w:tr w:rsidR="005B68FD" w:rsidRPr="00C91E39" w14:paraId="6B919BE0" w14:textId="77777777" w:rsidTr="005B68FD">
        <w:tblPrEx>
          <w:tblLook w:val="04A0" w:firstRow="1" w:lastRow="0" w:firstColumn="1" w:lastColumn="0" w:noHBand="0" w:noVBand="1"/>
        </w:tblPrEx>
        <w:trPr>
          <w:gridAfter w:val="2"/>
          <w:wAfter w:w="2177" w:type="dxa"/>
          <w:trHeight w:val="407"/>
        </w:trPr>
        <w:tc>
          <w:tcPr>
            <w:tcW w:w="689" w:type="dxa"/>
            <w:shd w:val="clear" w:color="auto" w:fill="auto"/>
            <w:noWrap/>
            <w:vAlign w:val="center"/>
            <w:hideMark/>
          </w:tcPr>
          <w:p w14:paraId="5A05D56A"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9.2.</w:t>
            </w:r>
          </w:p>
        </w:tc>
        <w:tc>
          <w:tcPr>
            <w:tcW w:w="6394" w:type="dxa"/>
            <w:shd w:val="clear" w:color="auto" w:fill="auto"/>
            <w:vAlign w:val="center"/>
            <w:hideMark/>
          </w:tcPr>
          <w:p w14:paraId="2CD91DF3" w14:textId="77777777" w:rsidR="005B68FD" w:rsidRPr="00C91E39" w:rsidRDefault="005B68FD" w:rsidP="005B68FD">
            <w:pPr>
              <w:rPr>
                <w:rFonts w:ascii="Tahoma" w:hAnsi="Tahoma" w:cs="Tahoma"/>
                <w:color w:val="000000"/>
                <w:sz w:val="20"/>
                <w:szCs w:val="16"/>
              </w:rPr>
            </w:pPr>
            <w:r w:rsidRPr="00C91E39">
              <w:rPr>
                <w:rFonts w:ascii="Tahoma" w:hAnsi="Tahoma" w:cs="Tahoma"/>
                <w:color w:val="000000"/>
                <w:sz w:val="20"/>
                <w:szCs w:val="16"/>
              </w:rPr>
              <w:t>блокировка/разблокировка Карты в базе данных Банка</w:t>
            </w:r>
            <w:r w:rsidRPr="00C91E39">
              <w:rPr>
                <w:rFonts w:ascii="Tahoma" w:hAnsi="Tahoma" w:cs="Tahoma"/>
                <w:color w:val="000000"/>
                <w:sz w:val="20"/>
                <w:szCs w:val="16"/>
                <w:vertAlign w:val="superscript"/>
              </w:rPr>
              <w:t>3</w:t>
            </w:r>
            <w:r w:rsidRPr="00C91E39">
              <w:rPr>
                <w:rFonts w:ascii="Tahoma" w:hAnsi="Tahoma" w:cs="Tahoma"/>
                <w:color w:val="000000"/>
                <w:sz w:val="20"/>
                <w:szCs w:val="16"/>
              </w:rPr>
              <w:t xml:space="preserve"> при оформлении операции работником Банка</w:t>
            </w:r>
            <w:r w:rsidRPr="00C91E39">
              <w:rPr>
                <w:rFonts w:ascii="Tahoma" w:hAnsi="Tahoma" w:cs="Tahoma"/>
                <w:color w:val="000000"/>
                <w:sz w:val="20"/>
                <w:szCs w:val="16"/>
                <w:vertAlign w:val="superscript"/>
              </w:rPr>
              <w:t>3</w:t>
            </w:r>
            <w:r w:rsidRPr="00C91E39">
              <w:rPr>
                <w:rFonts w:ascii="Tahoma" w:hAnsi="Tahoma" w:cs="Tahoma"/>
                <w:color w:val="000000"/>
                <w:sz w:val="20"/>
                <w:szCs w:val="16"/>
              </w:rPr>
              <w:t xml:space="preserve"> по заявлению Клиента в офисе Банка</w:t>
            </w:r>
            <w:r w:rsidRPr="00C91E39">
              <w:rPr>
                <w:rFonts w:ascii="Tahoma" w:hAnsi="Tahoma" w:cs="Tahoma"/>
                <w:color w:val="000000"/>
                <w:sz w:val="20"/>
                <w:szCs w:val="16"/>
                <w:vertAlign w:val="superscript"/>
              </w:rPr>
              <w:t>3</w:t>
            </w:r>
          </w:p>
        </w:tc>
        <w:tc>
          <w:tcPr>
            <w:tcW w:w="7797" w:type="dxa"/>
            <w:gridSpan w:val="7"/>
            <w:vMerge/>
            <w:vAlign w:val="center"/>
            <w:hideMark/>
          </w:tcPr>
          <w:p w14:paraId="205EAFF9" w14:textId="77777777" w:rsidR="005B68FD" w:rsidRPr="00C91E39" w:rsidRDefault="005B68FD" w:rsidP="005B68FD">
            <w:pPr>
              <w:rPr>
                <w:rFonts w:ascii="Tahoma" w:hAnsi="Tahoma" w:cs="Tahoma"/>
                <w:b/>
                <w:bCs/>
                <w:color w:val="000000"/>
                <w:sz w:val="20"/>
                <w:szCs w:val="16"/>
              </w:rPr>
            </w:pPr>
          </w:p>
        </w:tc>
      </w:tr>
      <w:tr w:rsidR="005B68FD" w:rsidRPr="00C91E39" w14:paraId="78C23752" w14:textId="77777777" w:rsidTr="005B68FD">
        <w:tblPrEx>
          <w:tblLook w:val="04A0" w:firstRow="1" w:lastRow="0" w:firstColumn="1" w:lastColumn="0" w:noHBand="0" w:noVBand="1"/>
        </w:tblPrEx>
        <w:trPr>
          <w:gridAfter w:val="2"/>
          <w:wAfter w:w="2177" w:type="dxa"/>
          <w:trHeight w:val="275"/>
        </w:trPr>
        <w:tc>
          <w:tcPr>
            <w:tcW w:w="689" w:type="dxa"/>
            <w:shd w:val="clear" w:color="auto" w:fill="auto"/>
            <w:noWrap/>
            <w:vAlign w:val="center"/>
            <w:hideMark/>
          </w:tcPr>
          <w:p w14:paraId="4C15D7F6"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9.3.</w:t>
            </w:r>
          </w:p>
        </w:tc>
        <w:tc>
          <w:tcPr>
            <w:tcW w:w="6394" w:type="dxa"/>
            <w:shd w:val="clear" w:color="auto" w:fill="auto"/>
            <w:vAlign w:val="center"/>
            <w:hideMark/>
          </w:tcPr>
          <w:p w14:paraId="7D0ACE4E" w14:textId="77777777" w:rsidR="005B68FD" w:rsidRPr="00C91E39" w:rsidRDefault="005B68FD" w:rsidP="005B68FD">
            <w:pPr>
              <w:rPr>
                <w:rFonts w:ascii="Tahoma" w:hAnsi="Tahoma" w:cs="Tahoma"/>
                <w:color w:val="000000"/>
                <w:sz w:val="20"/>
                <w:szCs w:val="16"/>
              </w:rPr>
            </w:pPr>
            <w:r w:rsidRPr="00C91E39">
              <w:rPr>
                <w:rFonts w:ascii="Tahoma" w:hAnsi="Tahoma" w:cs="Tahoma"/>
                <w:color w:val="000000"/>
                <w:sz w:val="20"/>
                <w:szCs w:val="16"/>
              </w:rPr>
              <w:t>выдача остатка денежных средств со Счета Карты после закрытия Счета Карты</w:t>
            </w:r>
          </w:p>
        </w:tc>
        <w:tc>
          <w:tcPr>
            <w:tcW w:w="7797" w:type="dxa"/>
            <w:gridSpan w:val="7"/>
            <w:vMerge/>
            <w:vAlign w:val="center"/>
            <w:hideMark/>
          </w:tcPr>
          <w:p w14:paraId="229993A7" w14:textId="77777777" w:rsidR="005B68FD" w:rsidRPr="00C91E39" w:rsidRDefault="005B68FD" w:rsidP="005B68FD">
            <w:pPr>
              <w:rPr>
                <w:rFonts w:ascii="Tahoma" w:hAnsi="Tahoma" w:cs="Tahoma"/>
                <w:b/>
                <w:bCs/>
                <w:color w:val="000000"/>
                <w:sz w:val="20"/>
                <w:szCs w:val="16"/>
              </w:rPr>
            </w:pPr>
          </w:p>
        </w:tc>
      </w:tr>
      <w:tr w:rsidR="005B68FD" w:rsidRPr="00C91E39" w14:paraId="07CD1A10" w14:textId="77777777" w:rsidTr="005B68FD">
        <w:tblPrEx>
          <w:tblLook w:val="04A0" w:firstRow="1" w:lastRow="0" w:firstColumn="1" w:lastColumn="0" w:noHBand="0" w:noVBand="1"/>
        </w:tblPrEx>
        <w:trPr>
          <w:gridAfter w:val="2"/>
          <w:wAfter w:w="2177" w:type="dxa"/>
          <w:trHeight w:val="417"/>
        </w:trPr>
        <w:tc>
          <w:tcPr>
            <w:tcW w:w="689" w:type="dxa"/>
            <w:shd w:val="clear" w:color="auto" w:fill="auto"/>
            <w:noWrap/>
            <w:vAlign w:val="center"/>
            <w:hideMark/>
          </w:tcPr>
          <w:p w14:paraId="4DD133D5"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9.4.</w:t>
            </w:r>
          </w:p>
        </w:tc>
        <w:tc>
          <w:tcPr>
            <w:tcW w:w="6394" w:type="dxa"/>
            <w:shd w:val="clear" w:color="auto" w:fill="auto"/>
            <w:vAlign w:val="center"/>
            <w:hideMark/>
          </w:tcPr>
          <w:p w14:paraId="6DBE53B5" w14:textId="77777777" w:rsidR="005B68FD" w:rsidRPr="00C91E39" w:rsidRDefault="005B68FD" w:rsidP="005B68FD">
            <w:pPr>
              <w:rPr>
                <w:rFonts w:ascii="Tahoma" w:hAnsi="Tahoma" w:cs="Tahoma"/>
                <w:color w:val="000000"/>
                <w:sz w:val="20"/>
                <w:szCs w:val="16"/>
              </w:rPr>
            </w:pPr>
            <w:r w:rsidRPr="00C91E39">
              <w:rPr>
                <w:rFonts w:ascii="Tahoma" w:hAnsi="Tahoma" w:cs="Tahoma"/>
                <w:color w:val="000000"/>
                <w:sz w:val="20"/>
                <w:szCs w:val="16"/>
              </w:rPr>
              <w:t>постановка Карты в международный стоп-лист (на 2 недели) по волеизъявлению Клиента, 1 (один) регион</w:t>
            </w:r>
          </w:p>
        </w:tc>
        <w:tc>
          <w:tcPr>
            <w:tcW w:w="7797" w:type="dxa"/>
            <w:gridSpan w:val="7"/>
            <w:shd w:val="clear" w:color="auto" w:fill="auto"/>
            <w:noWrap/>
            <w:vAlign w:val="center"/>
            <w:hideMark/>
          </w:tcPr>
          <w:p w14:paraId="399E4515" w14:textId="77777777" w:rsidR="005B68FD" w:rsidRPr="00C91E39" w:rsidRDefault="005B68FD" w:rsidP="005B68FD">
            <w:pPr>
              <w:jc w:val="center"/>
              <w:rPr>
                <w:rFonts w:ascii="Tahoma" w:hAnsi="Tahoma" w:cs="Tahoma"/>
                <w:color w:val="000000"/>
                <w:sz w:val="20"/>
                <w:szCs w:val="16"/>
              </w:rPr>
            </w:pPr>
            <w:r w:rsidRPr="00C91E39">
              <w:rPr>
                <w:rFonts w:ascii="Tahoma" w:hAnsi="Tahoma" w:cs="Tahoma"/>
                <w:color w:val="000000"/>
                <w:sz w:val="20"/>
                <w:szCs w:val="16"/>
              </w:rPr>
              <w:t>1 500 рублей</w:t>
            </w:r>
          </w:p>
        </w:tc>
      </w:tr>
      <w:tr w:rsidR="005B68FD" w:rsidRPr="00C91E39" w14:paraId="0B1C67E7" w14:textId="77777777" w:rsidTr="005B68FD">
        <w:tblPrEx>
          <w:tblLook w:val="04A0" w:firstRow="1" w:lastRow="0" w:firstColumn="1" w:lastColumn="0" w:noHBand="0" w:noVBand="1"/>
        </w:tblPrEx>
        <w:trPr>
          <w:gridAfter w:val="2"/>
          <w:wAfter w:w="2177" w:type="dxa"/>
          <w:trHeight w:val="285"/>
        </w:trPr>
        <w:tc>
          <w:tcPr>
            <w:tcW w:w="689" w:type="dxa"/>
            <w:shd w:val="clear" w:color="000000" w:fill="595959"/>
            <w:noWrap/>
            <w:vAlign w:val="center"/>
            <w:hideMark/>
          </w:tcPr>
          <w:p w14:paraId="626D8CB6" w14:textId="77777777" w:rsidR="005B68FD" w:rsidRPr="00C91E39" w:rsidRDefault="005B68FD" w:rsidP="005B68FD">
            <w:pPr>
              <w:jc w:val="center"/>
              <w:rPr>
                <w:rFonts w:ascii="Tahoma" w:hAnsi="Tahoma" w:cs="Tahoma"/>
                <w:b/>
                <w:bCs/>
                <w:color w:val="FFFFFF"/>
                <w:sz w:val="20"/>
                <w:szCs w:val="16"/>
              </w:rPr>
            </w:pPr>
            <w:r w:rsidRPr="00C91E39">
              <w:rPr>
                <w:rFonts w:ascii="Tahoma" w:hAnsi="Tahoma" w:cs="Tahoma"/>
                <w:b/>
                <w:bCs/>
                <w:color w:val="FFFFFF"/>
                <w:sz w:val="20"/>
                <w:szCs w:val="16"/>
              </w:rPr>
              <w:t>10.</w:t>
            </w:r>
          </w:p>
        </w:tc>
        <w:tc>
          <w:tcPr>
            <w:tcW w:w="14191" w:type="dxa"/>
            <w:gridSpan w:val="8"/>
            <w:shd w:val="clear" w:color="000000" w:fill="595959"/>
            <w:noWrap/>
            <w:vAlign w:val="center"/>
            <w:hideMark/>
          </w:tcPr>
          <w:p w14:paraId="1FBC051A" w14:textId="77777777" w:rsidR="005B68FD" w:rsidRPr="00C91E39" w:rsidRDefault="005B68FD" w:rsidP="005B68FD">
            <w:pPr>
              <w:rPr>
                <w:rFonts w:ascii="Tahoma" w:hAnsi="Tahoma" w:cs="Tahoma"/>
                <w:b/>
                <w:bCs/>
                <w:color w:val="FFFFFF"/>
                <w:sz w:val="20"/>
                <w:szCs w:val="16"/>
              </w:rPr>
            </w:pPr>
            <w:r w:rsidRPr="00C91E39">
              <w:rPr>
                <w:rFonts w:ascii="Tahoma" w:hAnsi="Tahoma" w:cs="Tahoma"/>
                <w:b/>
                <w:bCs/>
                <w:color w:val="FFFFFF"/>
                <w:sz w:val="20"/>
                <w:szCs w:val="16"/>
              </w:rPr>
              <w:t>Прочие операции</w:t>
            </w:r>
          </w:p>
        </w:tc>
      </w:tr>
      <w:tr w:rsidR="005B68FD" w:rsidRPr="00C91E39" w14:paraId="41AE0568" w14:textId="77777777" w:rsidTr="005B68FD">
        <w:tblPrEx>
          <w:tblLook w:val="04A0" w:firstRow="1" w:lastRow="0" w:firstColumn="1" w:lastColumn="0" w:noHBand="0" w:noVBand="1"/>
        </w:tblPrEx>
        <w:trPr>
          <w:gridAfter w:val="2"/>
          <w:wAfter w:w="2177" w:type="dxa"/>
          <w:trHeight w:val="315"/>
        </w:trPr>
        <w:tc>
          <w:tcPr>
            <w:tcW w:w="689" w:type="dxa"/>
            <w:shd w:val="clear" w:color="auto" w:fill="auto"/>
            <w:noWrap/>
            <w:vAlign w:val="center"/>
            <w:hideMark/>
          </w:tcPr>
          <w:p w14:paraId="5BCAB7E6"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10.1.</w:t>
            </w:r>
          </w:p>
        </w:tc>
        <w:tc>
          <w:tcPr>
            <w:tcW w:w="6394" w:type="dxa"/>
            <w:shd w:val="clear" w:color="auto" w:fill="auto"/>
            <w:vAlign w:val="center"/>
            <w:hideMark/>
          </w:tcPr>
          <w:p w14:paraId="0AFDC820" w14:textId="77777777" w:rsidR="005B68FD" w:rsidRPr="00C91E39" w:rsidRDefault="005B68FD" w:rsidP="005B68FD">
            <w:pPr>
              <w:rPr>
                <w:rFonts w:ascii="Tahoma" w:hAnsi="Tahoma" w:cs="Tahoma"/>
                <w:color w:val="000000"/>
                <w:sz w:val="20"/>
                <w:szCs w:val="16"/>
              </w:rPr>
            </w:pPr>
            <w:r w:rsidRPr="00C91E39">
              <w:rPr>
                <w:rFonts w:ascii="Tahoma" w:hAnsi="Tahoma" w:cs="Tahoma"/>
                <w:color w:val="000000"/>
                <w:sz w:val="20"/>
                <w:szCs w:val="16"/>
              </w:rPr>
              <w:t>выписка по Счету Карты в отделении Банка</w:t>
            </w:r>
            <w:r w:rsidRPr="00C91E39">
              <w:rPr>
                <w:rFonts w:ascii="Tahoma" w:hAnsi="Tahoma" w:cs="Tahoma"/>
                <w:color w:val="000000"/>
                <w:sz w:val="20"/>
                <w:szCs w:val="16"/>
                <w:vertAlign w:val="superscript"/>
              </w:rPr>
              <w:t>3</w:t>
            </w:r>
          </w:p>
        </w:tc>
        <w:tc>
          <w:tcPr>
            <w:tcW w:w="7797" w:type="dxa"/>
            <w:gridSpan w:val="7"/>
            <w:shd w:val="clear" w:color="auto" w:fill="auto"/>
            <w:noWrap/>
            <w:vAlign w:val="center"/>
            <w:hideMark/>
          </w:tcPr>
          <w:p w14:paraId="44F337BC" w14:textId="77777777" w:rsidR="005B68FD" w:rsidRPr="00C91E39" w:rsidRDefault="005B68FD" w:rsidP="005B68FD">
            <w:pPr>
              <w:jc w:val="center"/>
              <w:rPr>
                <w:rFonts w:ascii="Tahoma" w:hAnsi="Tahoma" w:cs="Tahoma"/>
                <w:color w:val="000000"/>
                <w:sz w:val="20"/>
                <w:szCs w:val="16"/>
              </w:rPr>
            </w:pPr>
            <w:r w:rsidRPr="00C91E39">
              <w:rPr>
                <w:rFonts w:ascii="Tahoma" w:hAnsi="Tahoma" w:cs="Tahoma"/>
                <w:color w:val="000000"/>
                <w:sz w:val="20"/>
                <w:szCs w:val="16"/>
              </w:rPr>
              <w:t>250 рублей</w:t>
            </w:r>
          </w:p>
        </w:tc>
      </w:tr>
      <w:tr w:rsidR="005B68FD" w:rsidRPr="00C91E39" w14:paraId="39884561" w14:textId="77777777" w:rsidTr="005B68FD">
        <w:tblPrEx>
          <w:tblLook w:val="04A0" w:firstRow="1" w:lastRow="0" w:firstColumn="1" w:lastColumn="0" w:noHBand="0" w:noVBand="1"/>
        </w:tblPrEx>
        <w:trPr>
          <w:gridAfter w:val="2"/>
          <w:wAfter w:w="2177" w:type="dxa"/>
          <w:trHeight w:val="551"/>
        </w:trPr>
        <w:tc>
          <w:tcPr>
            <w:tcW w:w="689" w:type="dxa"/>
            <w:shd w:val="clear" w:color="auto" w:fill="auto"/>
            <w:noWrap/>
            <w:vAlign w:val="center"/>
            <w:hideMark/>
          </w:tcPr>
          <w:p w14:paraId="4C124604"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10.2.</w:t>
            </w:r>
          </w:p>
        </w:tc>
        <w:tc>
          <w:tcPr>
            <w:tcW w:w="6394" w:type="dxa"/>
            <w:shd w:val="clear" w:color="auto" w:fill="auto"/>
            <w:vAlign w:val="center"/>
            <w:hideMark/>
          </w:tcPr>
          <w:p w14:paraId="7414DC1F" w14:textId="77777777" w:rsidR="005B68FD" w:rsidRPr="00C91E39" w:rsidRDefault="005B68FD" w:rsidP="005B68FD">
            <w:pPr>
              <w:rPr>
                <w:rFonts w:ascii="Tahoma" w:hAnsi="Tahoma" w:cs="Tahoma"/>
                <w:color w:val="000000"/>
                <w:sz w:val="20"/>
                <w:szCs w:val="16"/>
              </w:rPr>
            </w:pPr>
            <w:r w:rsidRPr="00C91E39">
              <w:rPr>
                <w:rFonts w:ascii="Tahoma" w:hAnsi="Tahoma" w:cs="Tahoma"/>
                <w:color w:val="000000"/>
                <w:sz w:val="20"/>
                <w:szCs w:val="16"/>
              </w:rPr>
              <w:t>услуги, оказанные другими банками (авторизация по телексу, направление в Банк</w:t>
            </w:r>
            <w:r w:rsidRPr="00C91E39">
              <w:rPr>
                <w:rFonts w:ascii="Tahoma" w:hAnsi="Tahoma" w:cs="Tahoma"/>
                <w:color w:val="000000"/>
                <w:sz w:val="20"/>
                <w:szCs w:val="16"/>
                <w:vertAlign w:val="superscript"/>
              </w:rPr>
              <w:t>3</w:t>
            </w:r>
            <w:r w:rsidRPr="00C91E39">
              <w:rPr>
                <w:rFonts w:ascii="Tahoma" w:hAnsi="Tahoma" w:cs="Tahoma"/>
                <w:color w:val="000000"/>
                <w:sz w:val="20"/>
                <w:szCs w:val="16"/>
              </w:rPr>
              <w:t xml:space="preserve"> информации об утере/краже Карты)</w:t>
            </w:r>
          </w:p>
        </w:tc>
        <w:tc>
          <w:tcPr>
            <w:tcW w:w="7797" w:type="dxa"/>
            <w:gridSpan w:val="7"/>
            <w:shd w:val="clear" w:color="auto" w:fill="auto"/>
            <w:noWrap/>
            <w:vAlign w:val="center"/>
            <w:hideMark/>
          </w:tcPr>
          <w:p w14:paraId="5F4D74D7" w14:textId="77777777" w:rsidR="005B68FD" w:rsidRPr="00C91E39" w:rsidRDefault="005B68FD" w:rsidP="005B68FD">
            <w:pPr>
              <w:jc w:val="center"/>
              <w:rPr>
                <w:rFonts w:ascii="Tahoma" w:hAnsi="Tahoma" w:cs="Tahoma"/>
                <w:color w:val="000000"/>
                <w:sz w:val="20"/>
                <w:szCs w:val="16"/>
              </w:rPr>
            </w:pPr>
            <w:r w:rsidRPr="00C91E39">
              <w:rPr>
                <w:rFonts w:ascii="Tahoma" w:hAnsi="Tahoma" w:cs="Tahoma"/>
                <w:color w:val="000000"/>
                <w:sz w:val="20"/>
                <w:szCs w:val="16"/>
              </w:rPr>
              <w:t>по фактическим затратам Банка</w:t>
            </w:r>
            <w:r w:rsidRPr="00C91E39">
              <w:rPr>
                <w:rFonts w:ascii="Tahoma" w:hAnsi="Tahoma" w:cs="Tahoma"/>
                <w:color w:val="000000"/>
                <w:sz w:val="20"/>
                <w:szCs w:val="16"/>
                <w:vertAlign w:val="superscript"/>
              </w:rPr>
              <w:t>3</w:t>
            </w:r>
          </w:p>
        </w:tc>
      </w:tr>
      <w:tr w:rsidR="005B68FD" w:rsidRPr="00C91E39" w14:paraId="55D9E318" w14:textId="77777777" w:rsidTr="005B68FD">
        <w:tblPrEx>
          <w:tblLook w:val="04A0" w:firstRow="1" w:lastRow="0" w:firstColumn="1" w:lastColumn="0" w:noHBand="0" w:noVBand="1"/>
        </w:tblPrEx>
        <w:trPr>
          <w:gridAfter w:val="2"/>
          <w:wAfter w:w="2177" w:type="dxa"/>
          <w:trHeight w:val="285"/>
        </w:trPr>
        <w:tc>
          <w:tcPr>
            <w:tcW w:w="689" w:type="dxa"/>
            <w:shd w:val="clear" w:color="000000" w:fill="595959"/>
            <w:noWrap/>
            <w:vAlign w:val="center"/>
            <w:hideMark/>
          </w:tcPr>
          <w:p w14:paraId="3BDA7BF2" w14:textId="77777777" w:rsidR="005B68FD" w:rsidRPr="00C91E39" w:rsidRDefault="005B68FD" w:rsidP="005B68FD">
            <w:pPr>
              <w:jc w:val="center"/>
              <w:rPr>
                <w:rFonts w:ascii="Tahoma" w:hAnsi="Tahoma" w:cs="Tahoma"/>
                <w:b/>
                <w:bCs/>
                <w:color w:val="FFFFFF"/>
                <w:sz w:val="20"/>
                <w:szCs w:val="16"/>
              </w:rPr>
            </w:pPr>
            <w:r w:rsidRPr="00C91E39">
              <w:rPr>
                <w:rFonts w:ascii="Tahoma" w:hAnsi="Tahoma" w:cs="Tahoma"/>
                <w:b/>
                <w:bCs/>
                <w:color w:val="FFFFFF"/>
                <w:sz w:val="20"/>
                <w:szCs w:val="16"/>
              </w:rPr>
              <w:t>11.</w:t>
            </w:r>
          </w:p>
        </w:tc>
        <w:tc>
          <w:tcPr>
            <w:tcW w:w="14191" w:type="dxa"/>
            <w:gridSpan w:val="8"/>
            <w:shd w:val="clear" w:color="000000" w:fill="595959"/>
            <w:noWrap/>
            <w:vAlign w:val="center"/>
            <w:hideMark/>
          </w:tcPr>
          <w:p w14:paraId="47D1C75C" w14:textId="77777777" w:rsidR="005B68FD" w:rsidRPr="00C91E39" w:rsidRDefault="005B68FD" w:rsidP="005B68FD">
            <w:pPr>
              <w:rPr>
                <w:rFonts w:ascii="Tahoma" w:hAnsi="Tahoma" w:cs="Tahoma"/>
                <w:b/>
                <w:bCs/>
                <w:color w:val="FFFFFF"/>
                <w:sz w:val="20"/>
                <w:szCs w:val="16"/>
              </w:rPr>
            </w:pPr>
            <w:r w:rsidRPr="00C91E39">
              <w:rPr>
                <w:rFonts w:ascii="Tahoma" w:hAnsi="Tahoma" w:cs="Tahoma"/>
                <w:b/>
                <w:bCs/>
                <w:color w:val="FFFFFF"/>
                <w:sz w:val="20"/>
                <w:szCs w:val="16"/>
              </w:rPr>
              <w:t>Правила Программ лояльности</w:t>
            </w:r>
          </w:p>
        </w:tc>
      </w:tr>
      <w:tr w:rsidR="005B68FD" w:rsidRPr="00C91E39" w14:paraId="3C5F6E6B" w14:textId="77777777" w:rsidTr="005B68FD">
        <w:tblPrEx>
          <w:tblLook w:val="04A0" w:firstRow="1" w:lastRow="0" w:firstColumn="1" w:lastColumn="0" w:noHBand="0" w:noVBand="1"/>
        </w:tblPrEx>
        <w:trPr>
          <w:gridAfter w:val="2"/>
          <w:wAfter w:w="2177" w:type="dxa"/>
          <w:trHeight w:val="315"/>
        </w:trPr>
        <w:tc>
          <w:tcPr>
            <w:tcW w:w="689" w:type="dxa"/>
            <w:shd w:val="clear" w:color="000000" w:fill="FFFFFF"/>
            <w:noWrap/>
            <w:vAlign w:val="center"/>
            <w:hideMark/>
          </w:tcPr>
          <w:p w14:paraId="22EA0549"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11.1.</w:t>
            </w:r>
          </w:p>
        </w:tc>
        <w:tc>
          <w:tcPr>
            <w:tcW w:w="6394" w:type="dxa"/>
            <w:shd w:val="clear" w:color="auto" w:fill="auto"/>
            <w:noWrap/>
            <w:vAlign w:val="bottom"/>
            <w:hideMark/>
          </w:tcPr>
          <w:p w14:paraId="06D974C6" w14:textId="77777777" w:rsidR="005B68FD" w:rsidRPr="00C91E39" w:rsidRDefault="005B68FD" w:rsidP="005B68FD">
            <w:pPr>
              <w:rPr>
                <w:rFonts w:ascii="Tahoma" w:hAnsi="Tahoma" w:cs="Tahoma"/>
                <w:sz w:val="20"/>
                <w:szCs w:val="16"/>
              </w:rPr>
            </w:pPr>
            <w:r w:rsidRPr="00C91E39">
              <w:rPr>
                <w:rFonts w:ascii="Tahoma" w:hAnsi="Tahoma" w:cs="Tahoma"/>
                <w:sz w:val="20"/>
                <w:szCs w:val="16"/>
              </w:rPr>
              <w:t>Программа лояльности для Клиентов-держателей Банковских карт «Азиатско-Тихоокеанский Банк, (АО)», размещенная на Сайте Банка www.atb.su и Подразделениях Банка</w:t>
            </w:r>
          </w:p>
        </w:tc>
        <w:tc>
          <w:tcPr>
            <w:tcW w:w="7797" w:type="dxa"/>
            <w:gridSpan w:val="7"/>
            <w:shd w:val="clear" w:color="000000" w:fill="FFFFFF"/>
            <w:noWrap/>
            <w:vAlign w:val="center"/>
            <w:hideMark/>
          </w:tcPr>
          <w:p w14:paraId="5F618CB2"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 xml:space="preserve"> Согласно действующей Бонусной программе «Стандарт-Бонус», размещенной на Сайте Банка www.atb.su и в Подразделениях Банка</w:t>
            </w:r>
            <w:r w:rsidRPr="00C91E39">
              <w:rPr>
                <w:rFonts w:ascii="Tahoma" w:hAnsi="Tahoma" w:cs="Tahoma"/>
                <w:sz w:val="20"/>
                <w:szCs w:val="16"/>
                <w:vertAlign w:val="superscript"/>
              </w:rPr>
              <w:t>3</w:t>
            </w:r>
          </w:p>
        </w:tc>
      </w:tr>
      <w:tr w:rsidR="005B68FD" w:rsidRPr="00C91E39" w14:paraId="7C14CF66" w14:textId="77777777" w:rsidTr="005B68FD">
        <w:tblPrEx>
          <w:tblLook w:val="04A0" w:firstRow="1" w:lastRow="0" w:firstColumn="1" w:lastColumn="0" w:noHBand="0" w:noVBand="1"/>
        </w:tblPrEx>
        <w:trPr>
          <w:gridAfter w:val="2"/>
          <w:wAfter w:w="2177" w:type="dxa"/>
          <w:trHeight w:val="1425"/>
        </w:trPr>
        <w:tc>
          <w:tcPr>
            <w:tcW w:w="689" w:type="dxa"/>
            <w:shd w:val="clear" w:color="000000" w:fill="FFFFFF"/>
            <w:noWrap/>
            <w:vAlign w:val="center"/>
            <w:hideMark/>
          </w:tcPr>
          <w:p w14:paraId="341BCBF9"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11.2.</w:t>
            </w:r>
          </w:p>
        </w:tc>
        <w:tc>
          <w:tcPr>
            <w:tcW w:w="6394" w:type="dxa"/>
            <w:shd w:val="clear" w:color="auto" w:fill="auto"/>
            <w:noWrap/>
            <w:vAlign w:val="center"/>
            <w:hideMark/>
          </w:tcPr>
          <w:p w14:paraId="296CE5C7" w14:textId="77777777" w:rsidR="005B68FD" w:rsidRPr="00C91E39" w:rsidRDefault="005B68FD" w:rsidP="005B68FD">
            <w:pPr>
              <w:rPr>
                <w:rFonts w:ascii="Tahoma" w:hAnsi="Tahoma" w:cs="Tahoma"/>
                <w:sz w:val="20"/>
                <w:szCs w:val="16"/>
              </w:rPr>
            </w:pPr>
            <w:r w:rsidRPr="00C91E39">
              <w:rPr>
                <w:rFonts w:ascii="Tahoma" w:hAnsi="Tahoma" w:cs="Tahoma"/>
                <w:sz w:val="20"/>
                <w:szCs w:val="16"/>
              </w:rPr>
              <w:t>Программа лояльности «Привет, Мир!»</w:t>
            </w:r>
            <w:r w:rsidRPr="00C91E39">
              <w:rPr>
                <w:rFonts w:ascii="Tahoma" w:hAnsi="Tahoma" w:cs="Tahoma"/>
                <w:sz w:val="20"/>
                <w:szCs w:val="16"/>
                <w:vertAlign w:val="superscript"/>
              </w:rPr>
              <w:t>23</w:t>
            </w:r>
          </w:p>
        </w:tc>
        <w:tc>
          <w:tcPr>
            <w:tcW w:w="1701" w:type="dxa"/>
            <w:gridSpan w:val="2"/>
            <w:shd w:val="clear" w:color="000000" w:fill="FFFFFF"/>
            <w:vAlign w:val="center"/>
            <w:hideMark/>
          </w:tcPr>
          <w:p w14:paraId="51B7C05C"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 xml:space="preserve"> не применимо </w:t>
            </w:r>
          </w:p>
        </w:tc>
        <w:tc>
          <w:tcPr>
            <w:tcW w:w="1984" w:type="dxa"/>
            <w:shd w:val="clear" w:color="000000" w:fill="FFFFFF"/>
            <w:vAlign w:val="center"/>
            <w:hideMark/>
          </w:tcPr>
          <w:p w14:paraId="115B64B0"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Согласно действующим Правилам программы лояльности «Привет, мир!» Акционерного общества «Национальная система платежных карт», размещенным на его Официальном сайте privetmir.ru/cashback/</w:t>
            </w:r>
          </w:p>
        </w:tc>
        <w:tc>
          <w:tcPr>
            <w:tcW w:w="4112" w:type="dxa"/>
            <w:gridSpan w:val="4"/>
            <w:shd w:val="clear" w:color="000000" w:fill="FFFFFF"/>
            <w:vAlign w:val="center"/>
            <w:hideMark/>
          </w:tcPr>
          <w:p w14:paraId="7A32708D" w14:textId="77777777" w:rsidR="005B68FD" w:rsidRPr="00C91E39" w:rsidRDefault="005B68FD" w:rsidP="005B68FD">
            <w:pPr>
              <w:jc w:val="center"/>
              <w:rPr>
                <w:rFonts w:ascii="Tahoma" w:hAnsi="Tahoma" w:cs="Tahoma"/>
                <w:sz w:val="20"/>
                <w:szCs w:val="16"/>
              </w:rPr>
            </w:pPr>
            <w:r w:rsidRPr="00C91E39">
              <w:rPr>
                <w:rFonts w:ascii="Tahoma" w:hAnsi="Tahoma" w:cs="Tahoma"/>
                <w:sz w:val="20"/>
                <w:szCs w:val="16"/>
              </w:rPr>
              <w:t xml:space="preserve"> не применимо </w:t>
            </w:r>
          </w:p>
        </w:tc>
      </w:tr>
      <w:tr w:rsidR="005B68FD" w:rsidRPr="00C91E39" w14:paraId="69159F16" w14:textId="77777777" w:rsidTr="005B6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45"/>
        </w:trPr>
        <w:tc>
          <w:tcPr>
            <w:tcW w:w="7140" w:type="dxa"/>
            <w:gridSpan w:val="3"/>
            <w:tcBorders>
              <w:top w:val="single" w:sz="4" w:space="0" w:color="auto"/>
              <w:left w:val="nil"/>
              <w:bottom w:val="nil"/>
              <w:right w:val="nil"/>
            </w:tcBorders>
            <w:shd w:val="clear" w:color="auto" w:fill="auto"/>
            <w:vAlign w:val="center"/>
            <w:hideMark/>
          </w:tcPr>
          <w:p w14:paraId="456577C3" w14:textId="77777777" w:rsidR="005B68FD" w:rsidRPr="00C91E39" w:rsidRDefault="005B68FD" w:rsidP="005B68FD">
            <w:pPr>
              <w:rPr>
                <w:rFonts w:ascii="Tahoma" w:hAnsi="Tahoma" w:cs="Tahoma"/>
                <w:b/>
                <w:bCs/>
                <w:color w:val="000000"/>
                <w:sz w:val="20"/>
                <w:szCs w:val="18"/>
              </w:rPr>
            </w:pPr>
            <w:r w:rsidRPr="00C91E39">
              <w:rPr>
                <w:rFonts w:ascii="Tahoma" w:hAnsi="Tahoma" w:cs="Tahoma"/>
                <w:b/>
                <w:bCs/>
                <w:color w:val="000000"/>
                <w:sz w:val="20"/>
                <w:szCs w:val="18"/>
              </w:rPr>
              <w:t>Примечания:</w:t>
            </w:r>
          </w:p>
        </w:tc>
        <w:tc>
          <w:tcPr>
            <w:tcW w:w="3640" w:type="dxa"/>
            <w:gridSpan w:val="3"/>
            <w:tcBorders>
              <w:top w:val="nil"/>
              <w:left w:val="nil"/>
              <w:bottom w:val="nil"/>
              <w:right w:val="nil"/>
            </w:tcBorders>
            <w:shd w:val="clear" w:color="auto" w:fill="auto"/>
            <w:vAlign w:val="center"/>
            <w:hideMark/>
          </w:tcPr>
          <w:p w14:paraId="60B0497B" w14:textId="77777777" w:rsidR="005B68FD" w:rsidRPr="00C91E39" w:rsidRDefault="005B68FD" w:rsidP="005B68FD">
            <w:pPr>
              <w:rPr>
                <w:rFonts w:ascii="Tahoma" w:hAnsi="Tahoma" w:cs="Tahoma"/>
                <w:b/>
                <w:bCs/>
                <w:color w:val="000000"/>
                <w:sz w:val="20"/>
                <w:szCs w:val="18"/>
              </w:rPr>
            </w:pPr>
          </w:p>
        </w:tc>
        <w:tc>
          <w:tcPr>
            <w:tcW w:w="3081" w:type="dxa"/>
            <w:gridSpan w:val="2"/>
            <w:tcBorders>
              <w:top w:val="nil"/>
              <w:left w:val="nil"/>
              <w:bottom w:val="nil"/>
              <w:right w:val="nil"/>
            </w:tcBorders>
            <w:shd w:val="clear" w:color="auto" w:fill="auto"/>
            <w:vAlign w:val="center"/>
            <w:hideMark/>
          </w:tcPr>
          <w:p w14:paraId="65FFE51F" w14:textId="77777777" w:rsidR="005B68FD" w:rsidRPr="00C91E39" w:rsidRDefault="005B68FD" w:rsidP="005B68FD">
            <w:pPr>
              <w:rPr>
                <w:rFonts w:ascii="Tahoma" w:hAnsi="Tahoma" w:cs="Tahoma"/>
                <w:sz w:val="20"/>
                <w:szCs w:val="18"/>
              </w:rPr>
            </w:pPr>
          </w:p>
        </w:tc>
        <w:tc>
          <w:tcPr>
            <w:tcW w:w="2926" w:type="dxa"/>
            <w:gridSpan w:val="2"/>
            <w:tcBorders>
              <w:top w:val="nil"/>
              <w:left w:val="nil"/>
              <w:bottom w:val="nil"/>
              <w:right w:val="nil"/>
            </w:tcBorders>
            <w:shd w:val="clear" w:color="000000" w:fill="FFFFFF"/>
            <w:vAlign w:val="center"/>
            <w:hideMark/>
          </w:tcPr>
          <w:p w14:paraId="2505D69E" w14:textId="77777777" w:rsidR="005B68FD" w:rsidRPr="00C91E39" w:rsidRDefault="005B68FD" w:rsidP="005B68FD">
            <w:pPr>
              <w:jc w:val="center"/>
              <w:rPr>
                <w:rFonts w:ascii="Tahoma" w:hAnsi="Tahoma" w:cs="Tahoma"/>
                <w:b/>
                <w:bCs/>
                <w:color w:val="000000"/>
                <w:sz w:val="20"/>
                <w:szCs w:val="18"/>
              </w:rPr>
            </w:pPr>
            <w:r w:rsidRPr="00C91E39">
              <w:rPr>
                <w:rFonts w:ascii="Tahoma" w:hAnsi="Tahoma" w:cs="Tahoma"/>
                <w:b/>
                <w:bCs/>
                <w:color w:val="000000"/>
                <w:sz w:val="20"/>
                <w:szCs w:val="18"/>
              </w:rPr>
              <w:t> </w:t>
            </w:r>
          </w:p>
        </w:tc>
        <w:tc>
          <w:tcPr>
            <w:tcW w:w="270" w:type="dxa"/>
            <w:tcBorders>
              <w:top w:val="nil"/>
              <w:left w:val="nil"/>
              <w:bottom w:val="nil"/>
              <w:right w:val="nil"/>
            </w:tcBorders>
            <w:shd w:val="clear" w:color="000000" w:fill="FFFFFF"/>
            <w:vAlign w:val="center"/>
            <w:hideMark/>
          </w:tcPr>
          <w:p w14:paraId="6C0724A4" w14:textId="77777777" w:rsidR="005B68FD" w:rsidRPr="00C91E39" w:rsidRDefault="005B68FD" w:rsidP="005B68FD">
            <w:pPr>
              <w:jc w:val="center"/>
              <w:rPr>
                <w:rFonts w:ascii="Tahoma" w:hAnsi="Tahoma" w:cs="Tahoma"/>
                <w:b/>
                <w:bCs/>
                <w:color w:val="000000"/>
                <w:sz w:val="20"/>
                <w:szCs w:val="18"/>
              </w:rPr>
            </w:pPr>
            <w:r w:rsidRPr="00C91E39">
              <w:rPr>
                <w:rFonts w:ascii="Tahoma" w:hAnsi="Tahoma" w:cs="Tahoma"/>
                <w:b/>
                <w:bCs/>
                <w:color w:val="000000"/>
                <w:sz w:val="20"/>
                <w:szCs w:val="18"/>
              </w:rPr>
              <w:t> </w:t>
            </w:r>
          </w:p>
        </w:tc>
      </w:tr>
      <w:tr w:rsidR="005B68FD" w:rsidRPr="00C91E39" w14:paraId="7306D575" w14:textId="77777777" w:rsidTr="005B6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2177" w:type="dxa"/>
          <w:trHeight w:val="660"/>
        </w:trPr>
        <w:tc>
          <w:tcPr>
            <w:tcW w:w="14880" w:type="dxa"/>
            <w:gridSpan w:val="9"/>
            <w:tcBorders>
              <w:top w:val="nil"/>
              <w:left w:val="nil"/>
              <w:bottom w:val="nil"/>
              <w:right w:val="nil"/>
            </w:tcBorders>
            <w:shd w:val="clear" w:color="auto" w:fill="auto"/>
            <w:vAlign w:val="center"/>
            <w:hideMark/>
          </w:tcPr>
          <w:p w14:paraId="7D850467" w14:textId="77777777" w:rsidR="005B68FD" w:rsidRPr="00C91E39" w:rsidRDefault="005B68FD" w:rsidP="005B68FD">
            <w:pPr>
              <w:jc w:val="both"/>
              <w:rPr>
                <w:rFonts w:ascii="Tahoma" w:hAnsi="Tahoma" w:cs="Tahoma"/>
                <w:sz w:val="20"/>
                <w:szCs w:val="22"/>
              </w:rPr>
            </w:pPr>
            <w:r w:rsidRPr="00C91E39">
              <w:rPr>
                <w:rFonts w:ascii="Tahoma" w:hAnsi="Tahoma" w:cs="Tahoma"/>
                <w:sz w:val="20"/>
                <w:szCs w:val="22"/>
                <w:vertAlign w:val="superscript"/>
              </w:rPr>
              <w:t>1</w:t>
            </w:r>
            <w:r w:rsidRPr="00C91E39">
              <w:rPr>
                <w:rFonts w:ascii="Tahoma" w:hAnsi="Tahoma" w:cs="Tahoma"/>
                <w:sz w:val="20"/>
                <w:szCs w:val="22"/>
              </w:rPr>
              <w:t>Карта – банковская (платежная) карта той платежной системы, карты которой эмитирует Банк</w:t>
            </w:r>
            <w:r w:rsidRPr="00C91E39">
              <w:rPr>
                <w:rFonts w:ascii="Tahoma" w:hAnsi="Tahoma" w:cs="Tahoma"/>
                <w:sz w:val="20"/>
                <w:szCs w:val="22"/>
                <w:vertAlign w:val="superscript"/>
              </w:rPr>
              <w:t>3</w:t>
            </w:r>
            <w:r w:rsidRPr="00C91E39">
              <w:rPr>
                <w:rFonts w:ascii="Tahoma" w:hAnsi="Tahoma" w:cs="Tahoma"/>
                <w:sz w:val="20"/>
                <w:szCs w:val="22"/>
              </w:rPr>
              <w:t>, выпущенная Банком</w:t>
            </w:r>
            <w:r w:rsidRPr="00C91E39">
              <w:rPr>
                <w:rFonts w:ascii="Tahoma" w:hAnsi="Tahoma" w:cs="Tahoma"/>
                <w:sz w:val="20"/>
                <w:szCs w:val="22"/>
                <w:vertAlign w:val="superscript"/>
              </w:rPr>
              <w:t>3</w:t>
            </w:r>
            <w:r w:rsidRPr="00C91E39">
              <w:rPr>
                <w:rFonts w:ascii="Tahoma" w:hAnsi="Tahoma" w:cs="Tahoma"/>
                <w:sz w:val="20"/>
                <w:szCs w:val="22"/>
              </w:rPr>
              <w:t xml:space="preserve"> для Клиента на имя Держателя карты на основании Заявления о банковском обслуживании при получении и использовании банковских (платежных) карт «Азиатско-Тихоокеанский Банк» (АО). Правила использования Карты устанавливаются нормативно-правовыми актами Банка России, платежной системой и Универсальным договором банковского обслуживания.</w:t>
            </w:r>
          </w:p>
        </w:tc>
      </w:tr>
      <w:tr w:rsidR="005B68FD" w:rsidRPr="00C91E39" w14:paraId="40F43A32" w14:textId="77777777" w:rsidTr="005B6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2177" w:type="dxa"/>
          <w:trHeight w:val="705"/>
        </w:trPr>
        <w:tc>
          <w:tcPr>
            <w:tcW w:w="14880" w:type="dxa"/>
            <w:gridSpan w:val="9"/>
            <w:tcBorders>
              <w:top w:val="nil"/>
              <w:left w:val="nil"/>
              <w:bottom w:val="nil"/>
              <w:right w:val="nil"/>
            </w:tcBorders>
            <w:shd w:val="clear" w:color="auto" w:fill="auto"/>
            <w:hideMark/>
          </w:tcPr>
          <w:p w14:paraId="6837D506" w14:textId="77777777" w:rsidR="005B68FD" w:rsidRPr="00C91E39" w:rsidRDefault="005B68FD" w:rsidP="005B68FD">
            <w:pPr>
              <w:jc w:val="both"/>
              <w:rPr>
                <w:rFonts w:ascii="Tahoma" w:hAnsi="Tahoma" w:cs="Tahoma"/>
                <w:sz w:val="20"/>
                <w:szCs w:val="22"/>
              </w:rPr>
            </w:pPr>
            <w:r w:rsidRPr="00C91E39">
              <w:rPr>
                <w:rFonts w:ascii="Tahoma" w:hAnsi="Tahoma" w:cs="Tahoma"/>
                <w:sz w:val="20"/>
                <w:szCs w:val="22"/>
                <w:vertAlign w:val="superscript"/>
              </w:rPr>
              <w:t>2</w:t>
            </w:r>
            <w:r w:rsidRPr="00C91E39">
              <w:rPr>
                <w:rFonts w:ascii="Tahoma" w:hAnsi="Tahoma" w:cs="Tahoma"/>
                <w:sz w:val="20"/>
                <w:szCs w:val="22"/>
              </w:rPr>
              <w:t>Карта национальной платежной системы «Мир». Для Клиентов-физических лиц, получающих выплаты, предусмотренные п.4 ч.5.5 ст.30.5 Федерального закона 161-ФЗ «О национальной платежной системе» от 27.06.2011г., на платежные (банковские) Карты национальной платежной системы «Мир», выпущенные Банком</w:t>
            </w:r>
            <w:r w:rsidRPr="00C91E39">
              <w:rPr>
                <w:rFonts w:ascii="Tahoma" w:hAnsi="Tahoma" w:cs="Tahoma"/>
                <w:sz w:val="20"/>
                <w:szCs w:val="22"/>
                <w:vertAlign w:val="superscript"/>
              </w:rPr>
              <w:t>3</w:t>
            </w:r>
            <w:r w:rsidRPr="00C91E39">
              <w:rPr>
                <w:rFonts w:ascii="Tahoma" w:hAnsi="Tahoma" w:cs="Tahoma"/>
                <w:sz w:val="20"/>
                <w:szCs w:val="22"/>
              </w:rPr>
              <w:t xml:space="preserve">, операции, предусмотренные п.1 ч.5 ст.30.5 Федерального закона, производятся Банком безвозмездно. </w:t>
            </w:r>
          </w:p>
        </w:tc>
      </w:tr>
      <w:tr w:rsidR="005B68FD" w:rsidRPr="00C91E39" w14:paraId="0A092611" w14:textId="77777777" w:rsidTr="005B6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2177" w:type="dxa"/>
          <w:trHeight w:val="171"/>
        </w:trPr>
        <w:tc>
          <w:tcPr>
            <w:tcW w:w="14880" w:type="dxa"/>
            <w:gridSpan w:val="9"/>
            <w:tcBorders>
              <w:top w:val="nil"/>
              <w:left w:val="nil"/>
              <w:bottom w:val="nil"/>
              <w:right w:val="nil"/>
            </w:tcBorders>
            <w:shd w:val="clear" w:color="auto" w:fill="auto"/>
            <w:hideMark/>
          </w:tcPr>
          <w:p w14:paraId="74696308" w14:textId="77777777" w:rsidR="005B68FD" w:rsidRPr="00C91E39" w:rsidRDefault="005B68FD" w:rsidP="005B68FD">
            <w:pPr>
              <w:jc w:val="both"/>
              <w:rPr>
                <w:rFonts w:ascii="Tahoma" w:hAnsi="Tahoma" w:cs="Tahoma"/>
                <w:sz w:val="20"/>
                <w:szCs w:val="22"/>
              </w:rPr>
            </w:pPr>
            <w:r w:rsidRPr="00C91E39">
              <w:rPr>
                <w:rFonts w:ascii="Tahoma" w:hAnsi="Tahoma" w:cs="Tahoma"/>
                <w:sz w:val="20"/>
                <w:szCs w:val="22"/>
                <w:vertAlign w:val="superscript"/>
              </w:rPr>
              <w:t>3</w:t>
            </w:r>
            <w:r w:rsidRPr="00C91E39">
              <w:rPr>
                <w:rFonts w:ascii="Tahoma" w:hAnsi="Tahoma" w:cs="Tahoma"/>
                <w:sz w:val="20"/>
                <w:szCs w:val="22"/>
              </w:rPr>
              <w:t>Банк – «Азиатско-Тихоокеанский Банк» (Акционерное общество).</w:t>
            </w:r>
          </w:p>
        </w:tc>
      </w:tr>
      <w:tr w:rsidR="005B68FD" w:rsidRPr="00C91E39" w14:paraId="2F29D2A2" w14:textId="77777777" w:rsidTr="005B6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2177" w:type="dxa"/>
          <w:trHeight w:val="735"/>
        </w:trPr>
        <w:tc>
          <w:tcPr>
            <w:tcW w:w="14880" w:type="dxa"/>
            <w:gridSpan w:val="9"/>
            <w:tcBorders>
              <w:top w:val="nil"/>
              <w:left w:val="nil"/>
              <w:bottom w:val="nil"/>
              <w:right w:val="nil"/>
            </w:tcBorders>
            <w:shd w:val="clear" w:color="auto" w:fill="auto"/>
            <w:hideMark/>
          </w:tcPr>
          <w:p w14:paraId="1C060CE8" w14:textId="77777777" w:rsidR="005B68FD" w:rsidRPr="00C91E39" w:rsidRDefault="005B68FD" w:rsidP="005B68FD">
            <w:pPr>
              <w:jc w:val="both"/>
              <w:rPr>
                <w:rFonts w:ascii="Tahoma" w:hAnsi="Tahoma" w:cs="Tahoma"/>
                <w:sz w:val="20"/>
                <w:szCs w:val="22"/>
              </w:rPr>
            </w:pPr>
            <w:r w:rsidRPr="00C91E39">
              <w:rPr>
                <w:rFonts w:ascii="Tahoma" w:hAnsi="Tahoma" w:cs="Tahoma"/>
                <w:sz w:val="20"/>
                <w:szCs w:val="22"/>
                <w:vertAlign w:val="superscript"/>
              </w:rPr>
              <w:t>4</w:t>
            </w:r>
            <w:r w:rsidRPr="00C91E39">
              <w:rPr>
                <w:rFonts w:ascii="Tahoma" w:hAnsi="Tahoma" w:cs="Tahoma"/>
                <w:sz w:val="20"/>
                <w:szCs w:val="22"/>
              </w:rPr>
              <w:t>Зарплатный проект – оказание Банком</w:t>
            </w:r>
            <w:r w:rsidRPr="00C91E39">
              <w:rPr>
                <w:rFonts w:ascii="Tahoma" w:hAnsi="Tahoma" w:cs="Tahoma"/>
                <w:sz w:val="20"/>
                <w:szCs w:val="22"/>
                <w:vertAlign w:val="superscript"/>
              </w:rPr>
              <w:t>3</w:t>
            </w:r>
            <w:r w:rsidRPr="00C91E39">
              <w:rPr>
                <w:rFonts w:ascii="Tahoma" w:hAnsi="Tahoma" w:cs="Tahoma"/>
                <w:sz w:val="20"/>
                <w:szCs w:val="22"/>
              </w:rPr>
              <w:t xml:space="preserve"> услуг клиенту-юридическому лицу/индивидуальному предпринимателю (далее – Работодатель) на основании заключенного с ним договора по зачислению денежных средств, причитающихся работникам Работодателя, на Счета работников Работодателя. Выпуск Карт в рамках Договора о Зарплатном проекте возможен при наличии технической возможности.</w:t>
            </w:r>
          </w:p>
        </w:tc>
      </w:tr>
      <w:tr w:rsidR="005B68FD" w:rsidRPr="00C91E39" w14:paraId="109FD5D6" w14:textId="77777777" w:rsidTr="005B6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2177" w:type="dxa"/>
          <w:trHeight w:val="720"/>
        </w:trPr>
        <w:tc>
          <w:tcPr>
            <w:tcW w:w="14880" w:type="dxa"/>
            <w:gridSpan w:val="9"/>
            <w:tcBorders>
              <w:top w:val="nil"/>
              <w:left w:val="nil"/>
              <w:bottom w:val="nil"/>
              <w:right w:val="nil"/>
            </w:tcBorders>
            <w:shd w:val="clear" w:color="000000" w:fill="FFFFFF"/>
            <w:hideMark/>
          </w:tcPr>
          <w:p w14:paraId="72826D16" w14:textId="77777777" w:rsidR="005B68FD" w:rsidRPr="00C91E39" w:rsidRDefault="005B68FD" w:rsidP="005B68FD">
            <w:pPr>
              <w:jc w:val="both"/>
              <w:rPr>
                <w:rFonts w:ascii="Tahoma" w:hAnsi="Tahoma" w:cs="Tahoma"/>
                <w:sz w:val="20"/>
                <w:szCs w:val="22"/>
              </w:rPr>
            </w:pPr>
            <w:r w:rsidRPr="00C91E39">
              <w:rPr>
                <w:rFonts w:ascii="Tahoma" w:hAnsi="Tahoma" w:cs="Tahoma"/>
                <w:sz w:val="20"/>
                <w:szCs w:val="22"/>
                <w:vertAlign w:val="superscript"/>
              </w:rPr>
              <w:t>5</w:t>
            </w:r>
            <w:r w:rsidRPr="00C91E39">
              <w:rPr>
                <w:rFonts w:ascii="Tahoma" w:hAnsi="Tahoma" w:cs="Tahoma"/>
                <w:sz w:val="20"/>
                <w:szCs w:val="22"/>
              </w:rPr>
              <w:t>При оформлении Карты в Каналах ДБО: Интернет-банке «АТБ-Онлайн» и/или Мобильном банке (при наличии технической возможности) физическому лицу открывается Счет Карты и Цифровая карта (Карта, выпущенная по технологии без физического носителя). При этом, количество Цифровых карт не может быть более 2-х, выпущенных одному Клиенту.</w:t>
            </w:r>
          </w:p>
        </w:tc>
      </w:tr>
      <w:tr w:rsidR="005B68FD" w:rsidRPr="00C91E39" w14:paraId="1B865F4A" w14:textId="77777777" w:rsidTr="005B6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2177" w:type="dxa"/>
          <w:trHeight w:val="481"/>
        </w:trPr>
        <w:tc>
          <w:tcPr>
            <w:tcW w:w="14880" w:type="dxa"/>
            <w:gridSpan w:val="9"/>
            <w:tcBorders>
              <w:top w:val="nil"/>
              <w:left w:val="nil"/>
              <w:bottom w:val="nil"/>
              <w:right w:val="nil"/>
            </w:tcBorders>
            <w:shd w:val="clear" w:color="000000" w:fill="FFFFFF"/>
            <w:hideMark/>
          </w:tcPr>
          <w:p w14:paraId="5EDB3B7F" w14:textId="77777777" w:rsidR="005B68FD" w:rsidRPr="00C91E39" w:rsidRDefault="005B68FD" w:rsidP="005B68FD">
            <w:pPr>
              <w:jc w:val="both"/>
              <w:rPr>
                <w:rFonts w:ascii="Tahoma" w:hAnsi="Tahoma" w:cs="Tahoma"/>
                <w:sz w:val="20"/>
                <w:szCs w:val="22"/>
              </w:rPr>
            </w:pPr>
            <w:r w:rsidRPr="00C91E39">
              <w:rPr>
                <w:rFonts w:ascii="Tahoma" w:hAnsi="Tahoma" w:cs="Tahoma"/>
                <w:sz w:val="20"/>
                <w:szCs w:val="22"/>
                <w:vertAlign w:val="superscript"/>
              </w:rPr>
              <w:t>6</w:t>
            </w:r>
            <w:r w:rsidRPr="00C91E39">
              <w:rPr>
                <w:rFonts w:ascii="Tahoma" w:hAnsi="Tahoma" w:cs="Tahoma"/>
                <w:sz w:val="20"/>
                <w:szCs w:val="22"/>
              </w:rPr>
              <w:t>Под «Заработной платой» понимаются исключительно поступления денежных средств на счет Карты Клиента, которые можно отнести к таковым согласно действующему законодательству РФ.</w:t>
            </w:r>
          </w:p>
        </w:tc>
      </w:tr>
      <w:tr w:rsidR="005B68FD" w:rsidRPr="00C91E39" w14:paraId="2F21B448" w14:textId="77777777" w:rsidTr="005B6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2177" w:type="dxa"/>
          <w:trHeight w:val="1230"/>
        </w:trPr>
        <w:tc>
          <w:tcPr>
            <w:tcW w:w="14880" w:type="dxa"/>
            <w:gridSpan w:val="9"/>
            <w:tcBorders>
              <w:top w:val="nil"/>
              <w:left w:val="nil"/>
              <w:bottom w:val="nil"/>
              <w:right w:val="nil"/>
            </w:tcBorders>
            <w:shd w:val="clear" w:color="000000" w:fill="FFFFFF"/>
            <w:hideMark/>
          </w:tcPr>
          <w:p w14:paraId="0D025FCB" w14:textId="77777777" w:rsidR="005B68FD" w:rsidRPr="00C91E39" w:rsidRDefault="005B68FD" w:rsidP="005B68FD">
            <w:pPr>
              <w:jc w:val="both"/>
              <w:rPr>
                <w:rFonts w:ascii="Tahoma" w:hAnsi="Tahoma" w:cs="Tahoma"/>
                <w:sz w:val="20"/>
                <w:szCs w:val="22"/>
              </w:rPr>
            </w:pPr>
            <w:r w:rsidRPr="00C91E39">
              <w:rPr>
                <w:rFonts w:ascii="Tahoma" w:hAnsi="Tahoma" w:cs="Tahoma"/>
                <w:sz w:val="20"/>
                <w:szCs w:val="22"/>
                <w:vertAlign w:val="superscript"/>
              </w:rPr>
              <w:t>7</w:t>
            </w:r>
            <w:r w:rsidRPr="00C91E39">
              <w:rPr>
                <w:rFonts w:ascii="Tahoma" w:hAnsi="Tahoma" w:cs="Tahoma"/>
                <w:sz w:val="20"/>
                <w:szCs w:val="22"/>
              </w:rPr>
              <w:t xml:space="preserve">Отчётный период – временной период, за который Банком взимается комиссия за ежемесячное обслуживание Карты по настоящему Тарифному плану. Первый Отчётный период исчисляется со дня предоставления Клиентом Банку Заявления о банковском обслуживании при получении и использовании банковских (платежных) карт «Азиатско-Тихоокеанский Банк» (АО) до календарного дня в следующем месяце, соответствующего дню открытия Счета Карты включительно. Последующие Отчётные периоды исчисляются ежемесячно со дня, следующего за днём окончания предыдущего Отчётного периода, до дня, соответствующего дню открытия Счета Карты. Плата за услугу взимается Банком ежемесячно, на следующий день после окончания Отчётного периода. Услуга Банком Клиенту не оказывается и плата за нее не взимается в случае отсутствия операций по Счету Карты в Отчётном периоде. </w:t>
            </w:r>
          </w:p>
        </w:tc>
      </w:tr>
      <w:tr w:rsidR="005B68FD" w:rsidRPr="00C91E39" w14:paraId="21D1B048" w14:textId="77777777" w:rsidTr="005B6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2177" w:type="dxa"/>
          <w:trHeight w:val="630"/>
        </w:trPr>
        <w:tc>
          <w:tcPr>
            <w:tcW w:w="14880" w:type="dxa"/>
            <w:gridSpan w:val="9"/>
            <w:tcBorders>
              <w:top w:val="nil"/>
              <w:left w:val="nil"/>
              <w:bottom w:val="nil"/>
              <w:right w:val="nil"/>
            </w:tcBorders>
            <w:shd w:val="clear" w:color="auto" w:fill="auto"/>
            <w:hideMark/>
          </w:tcPr>
          <w:p w14:paraId="3B0DF736" w14:textId="77777777" w:rsidR="005B68FD" w:rsidRPr="00C91E39" w:rsidRDefault="005B68FD" w:rsidP="005B68FD">
            <w:pPr>
              <w:jc w:val="both"/>
              <w:rPr>
                <w:rFonts w:ascii="Tahoma" w:hAnsi="Tahoma" w:cs="Tahoma"/>
                <w:sz w:val="20"/>
                <w:szCs w:val="22"/>
              </w:rPr>
            </w:pPr>
            <w:r w:rsidRPr="00C91E39">
              <w:rPr>
                <w:rFonts w:ascii="Tahoma" w:hAnsi="Tahoma" w:cs="Tahoma"/>
                <w:sz w:val="20"/>
                <w:szCs w:val="22"/>
                <w:vertAlign w:val="superscript"/>
              </w:rPr>
              <w:t>8</w:t>
            </w:r>
            <w:r w:rsidRPr="00C91E39">
              <w:rPr>
                <w:rFonts w:ascii="Tahoma" w:hAnsi="Tahoma" w:cs="Tahoma"/>
                <w:sz w:val="20"/>
                <w:szCs w:val="22"/>
              </w:rPr>
              <w:t>ТСП (торгово-сервисные предприятия) – юридическое или физическое лицо-индивидуальный предприниматель, самозанятый (за исключением кредитных организаций), осуществляющее реализацию товаров (услуг, работ, результатов интеллектуальной деятельности), оплата которых производится Клиентами Банка с использованием Карты/реквизитов Карты через электронные средства платежа (POS-терминалы, платежные терминалы), а также через сеть Интернет.</w:t>
            </w:r>
          </w:p>
        </w:tc>
      </w:tr>
      <w:tr w:rsidR="005B68FD" w:rsidRPr="00C91E39" w14:paraId="1C196E2A" w14:textId="77777777" w:rsidTr="005B6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2177" w:type="dxa"/>
          <w:trHeight w:val="300"/>
        </w:trPr>
        <w:tc>
          <w:tcPr>
            <w:tcW w:w="14880" w:type="dxa"/>
            <w:gridSpan w:val="9"/>
            <w:tcBorders>
              <w:top w:val="nil"/>
              <w:left w:val="nil"/>
              <w:bottom w:val="nil"/>
              <w:right w:val="nil"/>
            </w:tcBorders>
            <w:shd w:val="clear" w:color="auto" w:fill="auto"/>
            <w:noWrap/>
            <w:hideMark/>
          </w:tcPr>
          <w:p w14:paraId="04646F96" w14:textId="77777777" w:rsidR="005B68FD" w:rsidRPr="00C91E39" w:rsidRDefault="005B68FD" w:rsidP="005B68FD">
            <w:pPr>
              <w:jc w:val="both"/>
              <w:rPr>
                <w:rFonts w:ascii="Tahoma" w:hAnsi="Tahoma" w:cs="Tahoma"/>
                <w:sz w:val="20"/>
                <w:szCs w:val="22"/>
              </w:rPr>
            </w:pPr>
            <w:r w:rsidRPr="00C91E39">
              <w:rPr>
                <w:rFonts w:ascii="Tahoma" w:hAnsi="Tahoma" w:cs="Tahoma"/>
                <w:sz w:val="20"/>
                <w:szCs w:val="22"/>
                <w:vertAlign w:val="superscript"/>
              </w:rPr>
              <w:t>9</w:t>
            </w:r>
            <w:r w:rsidRPr="00C91E39">
              <w:rPr>
                <w:rFonts w:ascii="Tahoma" w:hAnsi="Tahoma" w:cs="Tahoma"/>
                <w:sz w:val="20"/>
                <w:szCs w:val="22"/>
              </w:rPr>
              <w:t>Для Карт UnionPay в валюте российский рубль.</w:t>
            </w:r>
          </w:p>
        </w:tc>
      </w:tr>
      <w:tr w:rsidR="005B68FD" w:rsidRPr="00C91E39" w14:paraId="2C10150A" w14:textId="77777777" w:rsidTr="005B6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2177" w:type="dxa"/>
          <w:trHeight w:val="330"/>
        </w:trPr>
        <w:tc>
          <w:tcPr>
            <w:tcW w:w="14880" w:type="dxa"/>
            <w:gridSpan w:val="9"/>
            <w:tcBorders>
              <w:top w:val="nil"/>
              <w:left w:val="nil"/>
              <w:bottom w:val="nil"/>
              <w:right w:val="nil"/>
            </w:tcBorders>
            <w:shd w:val="clear" w:color="000000" w:fill="FFFFFF"/>
            <w:hideMark/>
          </w:tcPr>
          <w:p w14:paraId="16A3FC3B" w14:textId="77777777" w:rsidR="005B68FD" w:rsidRPr="00C91E39" w:rsidRDefault="005B68FD" w:rsidP="005B68FD">
            <w:pPr>
              <w:jc w:val="both"/>
              <w:rPr>
                <w:rFonts w:ascii="Tahoma" w:hAnsi="Tahoma" w:cs="Tahoma"/>
                <w:sz w:val="20"/>
                <w:szCs w:val="22"/>
              </w:rPr>
            </w:pPr>
            <w:r w:rsidRPr="00C91E39">
              <w:rPr>
                <w:rFonts w:ascii="Tahoma" w:hAnsi="Tahoma" w:cs="Tahoma"/>
                <w:sz w:val="20"/>
                <w:szCs w:val="22"/>
                <w:vertAlign w:val="superscript"/>
              </w:rPr>
              <w:t>10</w:t>
            </w:r>
            <w:r w:rsidRPr="00C91E39">
              <w:rPr>
                <w:rFonts w:ascii="Tahoma" w:hAnsi="Tahoma" w:cs="Tahoma"/>
                <w:sz w:val="20"/>
                <w:szCs w:val="22"/>
              </w:rPr>
              <w:t>Для Карт UnionPay в валюте китайский юань.</w:t>
            </w:r>
          </w:p>
        </w:tc>
      </w:tr>
      <w:tr w:rsidR="005B68FD" w:rsidRPr="00C91E39" w14:paraId="2F57378D" w14:textId="77777777" w:rsidTr="005B6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2177" w:type="dxa"/>
          <w:trHeight w:val="300"/>
        </w:trPr>
        <w:tc>
          <w:tcPr>
            <w:tcW w:w="14880" w:type="dxa"/>
            <w:gridSpan w:val="9"/>
            <w:tcBorders>
              <w:top w:val="nil"/>
              <w:left w:val="nil"/>
              <w:bottom w:val="nil"/>
              <w:right w:val="nil"/>
            </w:tcBorders>
            <w:shd w:val="clear" w:color="auto" w:fill="auto"/>
            <w:noWrap/>
            <w:vAlign w:val="bottom"/>
            <w:hideMark/>
          </w:tcPr>
          <w:p w14:paraId="0003DD8E" w14:textId="77777777" w:rsidR="005B68FD" w:rsidRPr="00C91E39" w:rsidRDefault="005B68FD" w:rsidP="005B68FD">
            <w:pPr>
              <w:jc w:val="both"/>
              <w:rPr>
                <w:rFonts w:ascii="Tahoma" w:hAnsi="Tahoma" w:cs="Tahoma"/>
                <w:sz w:val="20"/>
                <w:szCs w:val="22"/>
              </w:rPr>
            </w:pPr>
            <w:r w:rsidRPr="00C91E39">
              <w:rPr>
                <w:rFonts w:ascii="Tahoma" w:hAnsi="Tahoma" w:cs="Tahoma"/>
                <w:sz w:val="20"/>
                <w:szCs w:val="22"/>
                <w:vertAlign w:val="superscript"/>
              </w:rPr>
              <w:t>11</w:t>
            </w:r>
            <w:r w:rsidRPr="00C91E39">
              <w:rPr>
                <w:rFonts w:ascii="Tahoma" w:hAnsi="Tahoma" w:cs="Tahoma"/>
                <w:sz w:val="20"/>
                <w:szCs w:val="22"/>
              </w:rPr>
              <w:t>Ежемесячный перевод процентов на Счет Карты возможен только, если валюта Вклада совпадает с валютой Счета Карты, которую Клиент выбрал для ежемесячного перевода процентов.</w:t>
            </w:r>
          </w:p>
        </w:tc>
      </w:tr>
      <w:tr w:rsidR="005B68FD" w:rsidRPr="00C91E39" w14:paraId="1699C786" w14:textId="77777777" w:rsidTr="005B6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2177" w:type="dxa"/>
          <w:trHeight w:val="1515"/>
        </w:trPr>
        <w:tc>
          <w:tcPr>
            <w:tcW w:w="14880" w:type="dxa"/>
            <w:gridSpan w:val="9"/>
            <w:tcBorders>
              <w:top w:val="nil"/>
              <w:left w:val="nil"/>
              <w:bottom w:val="nil"/>
              <w:right w:val="nil"/>
            </w:tcBorders>
            <w:shd w:val="clear" w:color="000000" w:fill="FFFFFF"/>
            <w:hideMark/>
          </w:tcPr>
          <w:p w14:paraId="3FFAE115" w14:textId="77777777" w:rsidR="005B68FD" w:rsidRPr="00C91E39" w:rsidRDefault="005B68FD" w:rsidP="005B68FD">
            <w:pPr>
              <w:jc w:val="both"/>
              <w:rPr>
                <w:rFonts w:ascii="Tahoma" w:hAnsi="Tahoma" w:cs="Tahoma"/>
                <w:sz w:val="20"/>
                <w:szCs w:val="22"/>
              </w:rPr>
            </w:pPr>
            <w:r w:rsidRPr="00C91E39">
              <w:rPr>
                <w:rFonts w:ascii="Tahoma" w:hAnsi="Tahoma" w:cs="Tahoma"/>
                <w:sz w:val="20"/>
                <w:szCs w:val="22"/>
                <w:vertAlign w:val="superscript"/>
              </w:rPr>
              <w:t>12</w:t>
            </w:r>
            <w:r w:rsidRPr="00C91E39">
              <w:rPr>
                <w:rFonts w:ascii="Tahoma" w:hAnsi="Tahoma" w:cs="Tahoma"/>
                <w:sz w:val="20"/>
                <w:szCs w:val="22"/>
              </w:rPr>
              <w:t xml:space="preserve">Бесплатно: </w:t>
            </w:r>
            <w:r>
              <w:rPr>
                <w:rFonts w:ascii="Tahoma" w:hAnsi="Tahoma" w:cs="Tahoma"/>
                <w:sz w:val="20"/>
                <w:szCs w:val="22"/>
              </w:rPr>
              <w:t xml:space="preserve">для карт Мир и </w:t>
            </w:r>
            <w:r>
              <w:rPr>
                <w:rFonts w:ascii="Tahoma" w:hAnsi="Tahoma" w:cs="Tahoma"/>
                <w:sz w:val="20"/>
                <w:szCs w:val="22"/>
                <w:lang w:val="en-US"/>
              </w:rPr>
              <w:t>Visa</w:t>
            </w:r>
            <w:r>
              <w:rPr>
                <w:rFonts w:ascii="Tahoma" w:hAnsi="Tahoma" w:cs="Tahoma"/>
                <w:sz w:val="20"/>
                <w:szCs w:val="22"/>
              </w:rPr>
              <w:t xml:space="preserve">; </w:t>
            </w:r>
            <w:r w:rsidRPr="00C91E39">
              <w:rPr>
                <w:rFonts w:ascii="Tahoma" w:hAnsi="Tahoma" w:cs="Tahoma"/>
                <w:sz w:val="20"/>
                <w:szCs w:val="22"/>
              </w:rPr>
              <w:t>для Карт UnionPay – при совершении безналичных операций в ТСП на сумму более 30 000 рублей</w:t>
            </w:r>
            <w:r w:rsidRPr="00C91E39">
              <w:rPr>
                <w:rFonts w:ascii="Tahoma" w:hAnsi="Tahoma" w:cs="Tahoma"/>
                <w:sz w:val="20"/>
                <w:szCs w:val="22"/>
                <w:vertAlign w:val="superscript"/>
              </w:rPr>
              <w:t>9</w:t>
            </w:r>
            <w:r w:rsidRPr="00C91E39">
              <w:rPr>
                <w:rFonts w:ascii="Tahoma" w:hAnsi="Tahoma" w:cs="Tahoma"/>
                <w:sz w:val="20"/>
                <w:szCs w:val="22"/>
              </w:rPr>
              <w:t>/2 800 юаней</w:t>
            </w:r>
            <w:r w:rsidRPr="00C91E39">
              <w:rPr>
                <w:rFonts w:ascii="Tahoma" w:hAnsi="Tahoma" w:cs="Tahoma"/>
                <w:sz w:val="20"/>
                <w:szCs w:val="22"/>
                <w:vertAlign w:val="superscript"/>
              </w:rPr>
              <w:t>10</w:t>
            </w:r>
            <w:r w:rsidRPr="00C91E39">
              <w:rPr>
                <w:rFonts w:ascii="Tahoma" w:hAnsi="Tahoma" w:cs="Tahoma"/>
                <w:sz w:val="20"/>
                <w:szCs w:val="22"/>
              </w:rPr>
              <w:t xml:space="preserve"> в Отчётном периоде (учитываются операции, отраженные в выписке по Счету Карты за Отчётный период). При расчете комиссии учитываются операции оплаты товаров (услуг, работ, результатов интеллектуальной деятельности) в ТСП, совершенные Клиентом с использованием Карты/Счета Карты, за исключением следующих операций: денежные переводы со Счёта Карты Клиента между своими счетами или на счета третьих лиц (открытые как в Банке, так и в других кредитных организациях), переводы с карты на карту и квази-кэш, оплата товаров (услуг, работ, результатов интеллектуальной деятельности) в разделе «Платежи» Интернет-Банка </w:t>
            </w:r>
            <w:r>
              <w:rPr>
                <w:rFonts w:ascii="Tahoma" w:hAnsi="Tahoma" w:cs="Tahoma"/>
                <w:sz w:val="20"/>
                <w:szCs w:val="22"/>
              </w:rPr>
              <w:t xml:space="preserve">«АТБ-Онлайн» </w:t>
            </w:r>
            <w:r w:rsidRPr="00C91E39">
              <w:rPr>
                <w:rFonts w:ascii="Tahoma" w:hAnsi="Tahoma" w:cs="Tahoma"/>
                <w:sz w:val="20"/>
                <w:szCs w:val="22"/>
              </w:rPr>
              <w:t>и/или Мобильного Банка; платежи и переводы с целью пополнения любых виртуальных и/или электронных кошельков, или иных электронных денежных средств; операции с МСС-кодами: 4829, 6012, 6050, 6529, 6530, 6531, 6532, 6533, 6534, 6536, 6537, 6538, 6051, 6540, 7372, 7399, 7995, 8999.</w:t>
            </w:r>
          </w:p>
        </w:tc>
      </w:tr>
      <w:tr w:rsidR="005B68FD" w:rsidRPr="00C91E39" w14:paraId="13C991E7" w14:textId="77777777" w:rsidTr="005B6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2177" w:type="dxa"/>
          <w:trHeight w:val="375"/>
        </w:trPr>
        <w:tc>
          <w:tcPr>
            <w:tcW w:w="14880" w:type="dxa"/>
            <w:gridSpan w:val="9"/>
            <w:tcBorders>
              <w:top w:val="nil"/>
              <w:left w:val="nil"/>
              <w:bottom w:val="nil"/>
              <w:right w:val="nil"/>
            </w:tcBorders>
            <w:shd w:val="clear" w:color="000000" w:fill="FFFFFF"/>
            <w:hideMark/>
          </w:tcPr>
          <w:p w14:paraId="2488163B" w14:textId="77777777" w:rsidR="005B68FD" w:rsidRPr="00C91E39" w:rsidRDefault="005B68FD" w:rsidP="005B68FD">
            <w:pPr>
              <w:jc w:val="both"/>
              <w:rPr>
                <w:rFonts w:ascii="Tahoma" w:hAnsi="Tahoma" w:cs="Tahoma"/>
                <w:sz w:val="20"/>
                <w:szCs w:val="22"/>
              </w:rPr>
            </w:pPr>
            <w:r w:rsidRPr="00C91E39">
              <w:rPr>
                <w:rFonts w:ascii="Tahoma" w:hAnsi="Tahoma" w:cs="Tahoma"/>
                <w:sz w:val="20"/>
                <w:szCs w:val="22"/>
                <w:vertAlign w:val="superscript"/>
              </w:rPr>
              <w:t>13</w:t>
            </w:r>
            <w:r w:rsidRPr="00C91E39">
              <w:rPr>
                <w:rFonts w:ascii="Tahoma" w:hAnsi="Tahoma" w:cs="Tahoma"/>
                <w:sz w:val="20"/>
                <w:szCs w:val="22"/>
              </w:rPr>
              <w:t>Комиссия за выпуск Карты начисляется и оплачивается Клиентом на основании заранее данного Клиентом акцепта в дату подачи им в Банк Заявления о банковском обслуживании при получении и использовании банковских (платежных) карт «Азиатско-Тихоокеанский Банк» (АО).</w:t>
            </w:r>
          </w:p>
        </w:tc>
      </w:tr>
      <w:tr w:rsidR="005B68FD" w:rsidRPr="00C91E39" w14:paraId="0CFDB3B3" w14:textId="77777777" w:rsidTr="005B6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2177" w:type="dxa"/>
          <w:trHeight w:val="248"/>
        </w:trPr>
        <w:tc>
          <w:tcPr>
            <w:tcW w:w="14880" w:type="dxa"/>
            <w:gridSpan w:val="9"/>
            <w:tcBorders>
              <w:top w:val="nil"/>
              <w:left w:val="nil"/>
              <w:bottom w:val="nil"/>
              <w:right w:val="nil"/>
            </w:tcBorders>
            <w:shd w:val="clear" w:color="auto" w:fill="auto"/>
            <w:noWrap/>
            <w:hideMark/>
          </w:tcPr>
          <w:p w14:paraId="36EF14CC" w14:textId="77777777" w:rsidR="005B68FD" w:rsidRPr="00C91E39" w:rsidRDefault="005B68FD" w:rsidP="005B68FD">
            <w:pPr>
              <w:jc w:val="both"/>
              <w:rPr>
                <w:rFonts w:ascii="Tahoma" w:hAnsi="Tahoma" w:cs="Tahoma"/>
                <w:color w:val="000000"/>
                <w:sz w:val="20"/>
                <w:szCs w:val="22"/>
              </w:rPr>
            </w:pPr>
            <w:r w:rsidRPr="00C91E39">
              <w:rPr>
                <w:rFonts w:ascii="Tahoma" w:hAnsi="Tahoma" w:cs="Tahoma"/>
                <w:color w:val="000000"/>
                <w:sz w:val="20"/>
                <w:szCs w:val="22"/>
                <w:vertAlign w:val="superscript"/>
              </w:rPr>
              <w:t>14</w:t>
            </w:r>
            <w:r w:rsidRPr="00C91E39">
              <w:rPr>
                <w:rFonts w:ascii="Tahoma" w:hAnsi="Tahoma" w:cs="Tahoma"/>
                <w:color w:val="000000"/>
                <w:sz w:val="20"/>
                <w:szCs w:val="22"/>
              </w:rPr>
              <w:t>Выпуск дополнительных Карт через каналы ДБО возможен исключительно платежной системы «Мир».</w:t>
            </w:r>
          </w:p>
        </w:tc>
      </w:tr>
      <w:tr w:rsidR="005B68FD" w:rsidRPr="00C91E39" w14:paraId="62F7C833" w14:textId="77777777" w:rsidTr="005B6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2177" w:type="dxa"/>
          <w:trHeight w:val="1485"/>
        </w:trPr>
        <w:tc>
          <w:tcPr>
            <w:tcW w:w="14880" w:type="dxa"/>
            <w:gridSpan w:val="9"/>
            <w:tcBorders>
              <w:top w:val="nil"/>
              <w:left w:val="nil"/>
              <w:bottom w:val="nil"/>
              <w:right w:val="nil"/>
            </w:tcBorders>
            <w:shd w:val="clear" w:color="auto" w:fill="auto"/>
            <w:hideMark/>
          </w:tcPr>
          <w:p w14:paraId="7BE3887B" w14:textId="77777777" w:rsidR="005B68FD" w:rsidRPr="00C91E39" w:rsidRDefault="005B68FD" w:rsidP="005B68FD">
            <w:pPr>
              <w:jc w:val="both"/>
              <w:rPr>
                <w:rFonts w:ascii="Tahoma" w:hAnsi="Tahoma" w:cs="Tahoma"/>
                <w:color w:val="000000"/>
                <w:sz w:val="20"/>
                <w:szCs w:val="22"/>
              </w:rPr>
            </w:pPr>
            <w:r w:rsidRPr="00C91E39">
              <w:rPr>
                <w:rFonts w:ascii="Tahoma" w:hAnsi="Tahoma" w:cs="Tahoma"/>
                <w:color w:val="000000"/>
                <w:sz w:val="20"/>
                <w:szCs w:val="22"/>
                <w:vertAlign w:val="superscript"/>
              </w:rPr>
              <w:t>15</w:t>
            </w:r>
            <w:r w:rsidRPr="00C91E39">
              <w:rPr>
                <w:rFonts w:ascii="Tahoma" w:hAnsi="Tahoma" w:cs="Tahoma"/>
                <w:color w:val="000000"/>
                <w:sz w:val="20"/>
                <w:szCs w:val="22"/>
              </w:rPr>
              <w:t>Период – временной период, за который Клиенту на остаток денежных средств на Счете Карты Банком начисляются проценты. Первый Период исчисляется со дня, следующего за днем внесения денежных средств на Счет Карты по день текущего (либо следующего, в случае отсутствия такого дня в текущем) месяца включительно, соответствующий дню открытия Счета Карты. Последующие Периоды исчисляются ежемесячно со дня, следующего после дня окончания предыдущего Периода по календарный день следующего месяца включительно, соответствующий дню открытия Счета Карты. Проценты начисляются Банком на остаток денежных средств, находящийся на Счете Карты на начало Операционного дня в течение всего отчетного Периода, за который осуществляется выплата процентов. Дата выплаты начисленных процентов за Период происходит в последний день Периода. Если в каком-либо календарном месяце отсутствует число, на которое должен приходиться день окончания Периода, Банк производит выплату процентов в последний существующий день Периода.</w:t>
            </w:r>
          </w:p>
        </w:tc>
      </w:tr>
      <w:tr w:rsidR="005B68FD" w:rsidRPr="00C91E39" w14:paraId="5888A967" w14:textId="77777777" w:rsidTr="005B6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2177" w:type="dxa"/>
          <w:trHeight w:val="390"/>
        </w:trPr>
        <w:tc>
          <w:tcPr>
            <w:tcW w:w="14880" w:type="dxa"/>
            <w:gridSpan w:val="9"/>
            <w:tcBorders>
              <w:top w:val="nil"/>
              <w:left w:val="nil"/>
              <w:bottom w:val="nil"/>
              <w:right w:val="nil"/>
            </w:tcBorders>
            <w:shd w:val="clear" w:color="auto" w:fill="auto"/>
            <w:hideMark/>
          </w:tcPr>
          <w:p w14:paraId="56C82D8F" w14:textId="77777777" w:rsidR="005B68FD" w:rsidRPr="00C91E39" w:rsidRDefault="005B68FD" w:rsidP="005B68FD">
            <w:pPr>
              <w:jc w:val="both"/>
              <w:rPr>
                <w:rFonts w:ascii="Tahoma" w:hAnsi="Tahoma" w:cs="Tahoma"/>
                <w:sz w:val="20"/>
                <w:szCs w:val="22"/>
              </w:rPr>
            </w:pPr>
            <w:r w:rsidRPr="00C91E39">
              <w:rPr>
                <w:rFonts w:ascii="Tahoma" w:hAnsi="Tahoma" w:cs="Tahoma"/>
                <w:sz w:val="20"/>
                <w:szCs w:val="22"/>
                <w:vertAlign w:val="superscript"/>
              </w:rPr>
              <w:t>16</w:t>
            </w:r>
            <w:r w:rsidRPr="00C91E39">
              <w:rPr>
                <w:rFonts w:ascii="Tahoma" w:hAnsi="Tahoma" w:cs="Tahoma"/>
                <w:sz w:val="20"/>
                <w:szCs w:val="22"/>
              </w:rPr>
              <w:t>Выдача денежных средств в кассах Банка производится без ограничений (за исключением случаев, предусмотренных законодательством Российской Федерации) с предъявлением документа, удостоверяющего личность.</w:t>
            </w:r>
          </w:p>
        </w:tc>
      </w:tr>
      <w:tr w:rsidR="005B68FD" w:rsidRPr="00C91E39" w14:paraId="2A277EE7" w14:textId="77777777" w:rsidTr="005B6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2177" w:type="dxa"/>
          <w:trHeight w:val="310"/>
        </w:trPr>
        <w:tc>
          <w:tcPr>
            <w:tcW w:w="14880" w:type="dxa"/>
            <w:gridSpan w:val="9"/>
            <w:tcBorders>
              <w:top w:val="nil"/>
              <w:left w:val="nil"/>
              <w:bottom w:val="nil"/>
              <w:right w:val="nil"/>
            </w:tcBorders>
            <w:shd w:val="clear" w:color="000000" w:fill="FFFFFF"/>
            <w:hideMark/>
          </w:tcPr>
          <w:p w14:paraId="0DD7C830" w14:textId="77777777" w:rsidR="005B68FD" w:rsidRPr="00C91E39" w:rsidRDefault="005B68FD" w:rsidP="005B68FD">
            <w:pPr>
              <w:jc w:val="both"/>
              <w:rPr>
                <w:rFonts w:ascii="Tahoma" w:hAnsi="Tahoma" w:cs="Tahoma"/>
                <w:sz w:val="20"/>
                <w:szCs w:val="22"/>
              </w:rPr>
            </w:pPr>
            <w:r w:rsidRPr="00C91E39">
              <w:rPr>
                <w:rFonts w:ascii="Tahoma" w:hAnsi="Tahoma" w:cs="Tahoma"/>
                <w:sz w:val="20"/>
                <w:szCs w:val="22"/>
                <w:vertAlign w:val="superscript"/>
              </w:rPr>
              <w:t>17</w:t>
            </w:r>
            <w:r w:rsidRPr="00C91E39">
              <w:rPr>
                <w:rFonts w:ascii="Tahoma" w:hAnsi="Tahoma" w:cs="Tahoma"/>
                <w:sz w:val="20"/>
                <w:szCs w:val="22"/>
              </w:rPr>
              <w:t>Для Карт в юанях расчет конвертации в иные валюты происходит по курсу Банка</w:t>
            </w:r>
            <w:r w:rsidRPr="00C91E39">
              <w:rPr>
                <w:rFonts w:ascii="Tahoma" w:hAnsi="Tahoma" w:cs="Tahoma"/>
                <w:sz w:val="20"/>
                <w:szCs w:val="22"/>
                <w:vertAlign w:val="superscript"/>
              </w:rPr>
              <w:t>3</w:t>
            </w:r>
            <w:r w:rsidRPr="00C91E39">
              <w:rPr>
                <w:rFonts w:ascii="Tahoma" w:hAnsi="Tahoma" w:cs="Tahoma"/>
                <w:sz w:val="20"/>
                <w:szCs w:val="22"/>
              </w:rPr>
              <w:t xml:space="preserve"> на дату совершения Операции.</w:t>
            </w:r>
          </w:p>
        </w:tc>
      </w:tr>
      <w:tr w:rsidR="005B68FD" w:rsidRPr="00C91E39" w14:paraId="4911990C" w14:textId="77777777" w:rsidTr="005B6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2177" w:type="dxa"/>
          <w:trHeight w:val="299"/>
        </w:trPr>
        <w:tc>
          <w:tcPr>
            <w:tcW w:w="14880" w:type="dxa"/>
            <w:gridSpan w:val="9"/>
            <w:tcBorders>
              <w:top w:val="nil"/>
              <w:left w:val="nil"/>
              <w:bottom w:val="nil"/>
              <w:right w:val="nil"/>
            </w:tcBorders>
            <w:shd w:val="clear" w:color="000000" w:fill="FFFFFF"/>
            <w:hideMark/>
          </w:tcPr>
          <w:p w14:paraId="483C36DD" w14:textId="77777777" w:rsidR="005B68FD" w:rsidRPr="00C91E39" w:rsidRDefault="005B68FD" w:rsidP="005B68FD">
            <w:pPr>
              <w:jc w:val="both"/>
              <w:rPr>
                <w:rFonts w:ascii="Tahoma" w:hAnsi="Tahoma" w:cs="Tahoma"/>
                <w:sz w:val="20"/>
                <w:szCs w:val="22"/>
              </w:rPr>
            </w:pPr>
            <w:r w:rsidRPr="00C91E39">
              <w:rPr>
                <w:rFonts w:ascii="Tahoma" w:hAnsi="Tahoma" w:cs="Tahoma"/>
                <w:sz w:val="20"/>
                <w:szCs w:val="22"/>
                <w:vertAlign w:val="superscript"/>
              </w:rPr>
              <w:t>18</w:t>
            </w:r>
            <w:r w:rsidRPr="00C91E39">
              <w:rPr>
                <w:rFonts w:ascii="Tahoma" w:hAnsi="Tahoma" w:cs="Tahoma"/>
                <w:sz w:val="20"/>
                <w:szCs w:val="22"/>
              </w:rPr>
              <w:t>Выдача денежных средств в пунктах выдачи наличных (ПВН) за рубежом для Карт UnionPay не предусмотрена.</w:t>
            </w:r>
          </w:p>
        </w:tc>
      </w:tr>
      <w:tr w:rsidR="005B68FD" w:rsidRPr="00C91E39" w14:paraId="1F132DBD" w14:textId="77777777" w:rsidTr="005B6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2177" w:type="dxa"/>
          <w:trHeight w:val="390"/>
        </w:trPr>
        <w:tc>
          <w:tcPr>
            <w:tcW w:w="14880" w:type="dxa"/>
            <w:gridSpan w:val="9"/>
            <w:tcBorders>
              <w:top w:val="nil"/>
              <w:left w:val="nil"/>
              <w:bottom w:val="nil"/>
              <w:right w:val="nil"/>
            </w:tcBorders>
            <w:shd w:val="clear" w:color="000000" w:fill="FFFFFF"/>
            <w:hideMark/>
          </w:tcPr>
          <w:p w14:paraId="43293641" w14:textId="77777777" w:rsidR="005B68FD" w:rsidRPr="00C91E39" w:rsidRDefault="005B68FD" w:rsidP="005B68FD">
            <w:pPr>
              <w:jc w:val="both"/>
              <w:rPr>
                <w:rFonts w:ascii="Tahoma" w:hAnsi="Tahoma" w:cs="Tahoma"/>
                <w:sz w:val="20"/>
                <w:szCs w:val="22"/>
              </w:rPr>
            </w:pPr>
            <w:r w:rsidRPr="00C91E39">
              <w:rPr>
                <w:rFonts w:ascii="Tahoma" w:hAnsi="Tahoma" w:cs="Tahoma"/>
                <w:sz w:val="20"/>
                <w:szCs w:val="22"/>
                <w:vertAlign w:val="superscript"/>
              </w:rPr>
              <w:t>19</w:t>
            </w:r>
            <w:r w:rsidRPr="00C91E39">
              <w:rPr>
                <w:rFonts w:ascii="Tahoma" w:hAnsi="Tahoma" w:cs="Tahoma"/>
                <w:sz w:val="20"/>
                <w:szCs w:val="22"/>
              </w:rPr>
              <w:t>Платежными системами и ТСП</w:t>
            </w:r>
            <w:r w:rsidRPr="00C91E39">
              <w:rPr>
                <w:rFonts w:ascii="Tahoma" w:hAnsi="Tahoma" w:cs="Tahoma"/>
                <w:sz w:val="20"/>
                <w:szCs w:val="22"/>
                <w:vertAlign w:val="superscript"/>
              </w:rPr>
              <w:t>8</w:t>
            </w:r>
            <w:r w:rsidRPr="00C91E39">
              <w:rPr>
                <w:rFonts w:ascii="Tahoma" w:hAnsi="Tahoma" w:cs="Tahoma"/>
                <w:sz w:val="20"/>
                <w:szCs w:val="22"/>
              </w:rPr>
              <w:t xml:space="preserve"> могут быть установлены собственные ограничения по предоставлению данной услуги. О наличии услуги и ограничениях по ней необходимо уточнять в ТСП.</w:t>
            </w:r>
          </w:p>
        </w:tc>
      </w:tr>
      <w:tr w:rsidR="005B68FD" w:rsidRPr="00C91E39" w14:paraId="31978E37" w14:textId="77777777" w:rsidTr="005B6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2177" w:type="dxa"/>
          <w:trHeight w:val="435"/>
        </w:trPr>
        <w:tc>
          <w:tcPr>
            <w:tcW w:w="14880" w:type="dxa"/>
            <w:gridSpan w:val="9"/>
            <w:tcBorders>
              <w:top w:val="nil"/>
              <w:left w:val="nil"/>
              <w:bottom w:val="nil"/>
              <w:right w:val="nil"/>
            </w:tcBorders>
            <w:shd w:val="clear" w:color="000000" w:fill="FFFFFF"/>
            <w:hideMark/>
          </w:tcPr>
          <w:p w14:paraId="3DCE6222" w14:textId="77777777" w:rsidR="005B68FD" w:rsidRPr="00C91E39" w:rsidRDefault="005B68FD" w:rsidP="005B68FD">
            <w:pPr>
              <w:jc w:val="both"/>
              <w:rPr>
                <w:rFonts w:ascii="Tahoma" w:hAnsi="Tahoma" w:cs="Tahoma"/>
                <w:sz w:val="20"/>
                <w:szCs w:val="22"/>
              </w:rPr>
            </w:pPr>
            <w:r w:rsidRPr="00C91E39">
              <w:rPr>
                <w:rFonts w:ascii="Tahoma" w:hAnsi="Tahoma" w:cs="Tahoma"/>
                <w:sz w:val="20"/>
                <w:szCs w:val="22"/>
                <w:vertAlign w:val="superscript"/>
              </w:rPr>
              <w:t>20</w:t>
            </w:r>
            <w:r w:rsidRPr="00C91E39">
              <w:rPr>
                <w:rFonts w:ascii="Tahoma" w:hAnsi="Tahoma" w:cs="Tahoma"/>
                <w:sz w:val="20"/>
                <w:szCs w:val="22"/>
              </w:rPr>
              <w:t>Счет Карты – текущий банковский счет, открываемый в соответствии с настоящим Тарифным планом Банком Клиенту в рамках заключения Договора Карты между Банком и Клиентом.</w:t>
            </w:r>
          </w:p>
        </w:tc>
      </w:tr>
      <w:tr w:rsidR="005B68FD" w:rsidRPr="00C91E39" w14:paraId="574DF765" w14:textId="77777777" w:rsidTr="005B6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2177" w:type="dxa"/>
          <w:trHeight w:val="543"/>
        </w:trPr>
        <w:tc>
          <w:tcPr>
            <w:tcW w:w="14880" w:type="dxa"/>
            <w:gridSpan w:val="9"/>
            <w:tcBorders>
              <w:top w:val="nil"/>
              <w:left w:val="nil"/>
              <w:bottom w:val="nil"/>
              <w:right w:val="nil"/>
            </w:tcBorders>
            <w:shd w:val="clear" w:color="000000" w:fill="FFFFFF"/>
            <w:hideMark/>
          </w:tcPr>
          <w:p w14:paraId="1E37A1FC" w14:textId="77777777" w:rsidR="005B68FD" w:rsidRPr="00C91E39" w:rsidRDefault="005B68FD" w:rsidP="005B68FD">
            <w:pPr>
              <w:jc w:val="both"/>
              <w:rPr>
                <w:rFonts w:ascii="Tahoma" w:hAnsi="Tahoma" w:cs="Tahoma"/>
                <w:sz w:val="20"/>
                <w:szCs w:val="22"/>
              </w:rPr>
            </w:pPr>
            <w:r w:rsidRPr="00C91E39">
              <w:rPr>
                <w:rFonts w:ascii="Tahoma" w:hAnsi="Tahoma" w:cs="Tahoma"/>
                <w:sz w:val="20"/>
                <w:szCs w:val="22"/>
                <w:vertAlign w:val="superscript"/>
              </w:rPr>
              <w:t>21</w:t>
            </w:r>
            <w:r w:rsidRPr="00C91E39">
              <w:rPr>
                <w:rFonts w:ascii="Tahoma" w:hAnsi="Tahoma" w:cs="Tahoma"/>
                <w:sz w:val="20"/>
                <w:szCs w:val="22"/>
              </w:rPr>
              <w:t>По безналичным операциям с МСС-кодами: 4829 «Денежные переводы», 6012 «Финансовые институты – торговля и услуги», 6538 «Денежные переводы с Карты на Карту», 6534 «Платежная операция», 6051 «Квази-Кэш в нефинансовые учреждения» – комиссия не взимается.</w:t>
            </w:r>
          </w:p>
        </w:tc>
      </w:tr>
      <w:tr w:rsidR="005B68FD" w:rsidRPr="00C91E39" w14:paraId="000C30AB" w14:textId="77777777" w:rsidTr="005B6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2177" w:type="dxa"/>
          <w:trHeight w:val="465"/>
        </w:trPr>
        <w:tc>
          <w:tcPr>
            <w:tcW w:w="14880" w:type="dxa"/>
            <w:gridSpan w:val="9"/>
            <w:tcBorders>
              <w:top w:val="nil"/>
              <w:left w:val="nil"/>
              <w:bottom w:val="nil"/>
              <w:right w:val="nil"/>
            </w:tcBorders>
            <w:shd w:val="clear" w:color="auto" w:fill="auto"/>
            <w:hideMark/>
          </w:tcPr>
          <w:p w14:paraId="6518B608" w14:textId="77777777" w:rsidR="005B68FD" w:rsidRPr="00C91E39" w:rsidRDefault="005B68FD" w:rsidP="005B68FD">
            <w:pPr>
              <w:jc w:val="both"/>
              <w:rPr>
                <w:rFonts w:ascii="Tahoma" w:hAnsi="Tahoma" w:cs="Tahoma"/>
                <w:sz w:val="20"/>
                <w:szCs w:val="22"/>
              </w:rPr>
            </w:pPr>
            <w:r w:rsidRPr="00C91E39">
              <w:rPr>
                <w:rFonts w:ascii="Tahoma" w:hAnsi="Tahoma" w:cs="Tahoma"/>
                <w:sz w:val="20"/>
                <w:szCs w:val="22"/>
                <w:vertAlign w:val="superscript"/>
              </w:rPr>
              <w:t>22</w:t>
            </w:r>
            <w:r w:rsidRPr="00C91E39">
              <w:rPr>
                <w:rFonts w:ascii="Tahoma" w:hAnsi="Tahoma" w:cs="Tahoma"/>
                <w:sz w:val="20"/>
                <w:szCs w:val="22"/>
              </w:rPr>
              <w:t>В случае отсутствия на Счете Карты Клиента доступных денежных средств в размере, необходимом для списания комиссии за услугу, услуга Клиенту не оказывается, комиссия не взимается.</w:t>
            </w:r>
          </w:p>
        </w:tc>
      </w:tr>
      <w:tr w:rsidR="005B68FD" w:rsidRPr="00C91E39" w14:paraId="022CCD35" w14:textId="77777777" w:rsidTr="005B6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2177" w:type="dxa"/>
          <w:trHeight w:val="1090"/>
        </w:trPr>
        <w:tc>
          <w:tcPr>
            <w:tcW w:w="14880" w:type="dxa"/>
            <w:gridSpan w:val="9"/>
            <w:tcBorders>
              <w:top w:val="nil"/>
              <w:left w:val="nil"/>
              <w:bottom w:val="nil"/>
              <w:right w:val="nil"/>
            </w:tcBorders>
            <w:shd w:val="clear" w:color="auto" w:fill="auto"/>
            <w:hideMark/>
          </w:tcPr>
          <w:p w14:paraId="6EB3C8D7" w14:textId="77777777" w:rsidR="005B68FD" w:rsidRPr="00C91E39" w:rsidRDefault="005B68FD" w:rsidP="005B68FD">
            <w:pPr>
              <w:jc w:val="both"/>
              <w:rPr>
                <w:rFonts w:ascii="Tahoma" w:hAnsi="Tahoma" w:cs="Tahoma"/>
                <w:sz w:val="20"/>
                <w:szCs w:val="22"/>
              </w:rPr>
            </w:pPr>
            <w:r w:rsidRPr="00C91E39">
              <w:rPr>
                <w:rFonts w:ascii="Tahoma" w:hAnsi="Tahoma" w:cs="Tahoma"/>
                <w:sz w:val="20"/>
                <w:szCs w:val="22"/>
                <w:vertAlign w:val="superscript"/>
              </w:rPr>
              <w:t>23</w:t>
            </w:r>
            <w:r w:rsidRPr="00C91E39">
              <w:rPr>
                <w:rFonts w:ascii="Tahoma" w:hAnsi="Tahoma" w:cs="Tahoma"/>
                <w:sz w:val="20"/>
                <w:szCs w:val="22"/>
              </w:rPr>
              <w:t>Подключение Программы лояльности Акционерного общества «Национальная система платежных карт» (по тексту – Программа лояльности АО «НСПК») происходит по волеизъявлению Клиента автоматически при выдаче Клиенту Карты платежной системы «Мир». Клиент имеет право выразить отказ в подключении к Программе лояльности АО «НСПК», а также подключать/отключать ее самостоятельно посредством личного кабинета Программы лояльности АО «НСПК». Подключение Программы лояльности АО «НСПК» происходит исключительно на условиях действующих Правил программы лояльности "Привет, мир!" Акционерного общества «Национальная система платежных карт», размещенных на его Официальном сайте privetmir.ru, и исключительно к Картам платежной системы «Мир».</w:t>
            </w:r>
          </w:p>
        </w:tc>
      </w:tr>
      <w:tr w:rsidR="005B68FD" w:rsidRPr="00C91E39" w14:paraId="3C896BFD" w14:textId="77777777" w:rsidTr="005B6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2177" w:type="dxa"/>
          <w:trHeight w:val="333"/>
        </w:trPr>
        <w:tc>
          <w:tcPr>
            <w:tcW w:w="14880" w:type="dxa"/>
            <w:gridSpan w:val="9"/>
            <w:tcBorders>
              <w:top w:val="nil"/>
              <w:left w:val="nil"/>
              <w:bottom w:val="nil"/>
              <w:right w:val="nil"/>
            </w:tcBorders>
            <w:shd w:val="clear" w:color="auto" w:fill="auto"/>
            <w:hideMark/>
          </w:tcPr>
          <w:p w14:paraId="0BC91724" w14:textId="77777777" w:rsidR="005B68FD" w:rsidRPr="00C91E39" w:rsidRDefault="005B68FD" w:rsidP="005B68FD">
            <w:pPr>
              <w:jc w:val="both"/>
              <w:rPr>
                <w:rFonts w:ascii="Tahoma" w:hAnsi="Tahoma" w:cs="Tahoma"/>
                <w:sz w:val="20"/>
                <w:szCs w:val="22"/>
              </w:rPr>
            </w:pPr>
            <w:r w:rsidRPr="00C91E39">
              <w:rPr>
                <w:rFonts w:ascii="Tahoma" w:hAnsi="Tahoma" w:cs="Tahoma"/>
                <w:sz w:val="20"/>
                <w:szCs w:val="22"/>
                <w:vertAlign w:val="superscript"/>
              </w:rPr>
              <w:t>24</w:t>
            </w:r>
            <w:r w:rsidRPr="00C91E39">
              <w:rPr>
                <w:rFonts w:ascii="Tahoma" w:hAnsi="Tahoma" w:cs="Tahoma"/>
                <w:sz w:val="20"/>
                <w:szCs w:val="22"/>
              </w:rPr>
              <w:t xml:space="preserve">Конверсия – процедура пересчета суммы, номинированной в одной иностранной валюте, в сумму, номинированную в другой иностранной валюте, с использованием соответствующего курса одной иностранной валюты к другой иностранной валюте. </w:t>
            </w:r>
          </w:p>
        </w:tc>
      </w:tr>
      <w:tr w:rsidR="005B68FD" w:rsidRPr="00C91E39" w14:paraId="205C7BDA" w14:textId="77777777" w:rsidTr="005B6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2177" w:type="dxa"/>
          <w:trHeight w:val="368"/>
        </w:trPr>
        <w:tc>
          <w:tcPr>
            <w:tcW w:w="14880" w:type="dxa"/>
            <w:gridSpan w:val="9"/>
            <w:tcBorders>
              <w:top w:val="nil"/>
              <w:left w:val="nil"/>
              <w:bottom w:val="nil"/>
              <w:right w:val="nil"/>
            </w:tcBorders>
            <w:shd w:val="clear" w:color="auto" w:fill="auto"/>
            <w:hideMark/>
          </w:tcPr>
          <w:p w14:paraId="7F00A44F" w14:textId="77777777" w:rsidR="005B68FD" w:rsidRDefault="005B68FD" w:rsidP="005B68FD">
            <w:pPr>
              <w:jc w:val="both"/>
              <w:rPr>
                <w:rFonts w:ascii="Tahoma" w:hAnsi="Tahoma" w:cs="Tahoma"/>
                <w:sz w:val="20"/>
                <w:szCs w:val="22"/>
              </w:rPr>
            </w:pPr>
            <w:r w:rsidRPr="00C91E39">
              <w:rPr>
                <w:rFonts w:ascii="Tahoma" w:hAnsi="Tahoma" w:cs="Tahoma"/>
                <w:sz w:val="20"/>
                <w:szCs w:val="22"/>
                <w:vertAlign w:val="superscript"/>
              </w:rPr>
              <w:t>25</w:t>
            </w:r>
            <w:r w:rsidRPr="00C91E39">
              <w:rPr>
                <w:rFonts w:ascii="Tahoma" w:hAnsi="Tahoma" w:cs="Tahoma"/>
                <w:sz w:val="20"/>
                <w:szCs w:val="22"/>
              </w:rPr>
              <w:t>Другой банк может взимать комиссию согласно своим тарифам.</w:t>
            </w:r>
          </w:p>
          <w:p w14:paraId="56AC72B1" w14:textId="77777777" w:rsidR="005B68FD" w:rsidRPr="00547BCA" w:rsidRDefault="005B68FD" w:rsidP="005B68FD">
            <w:pPr>
              <w:jc w:val="both"/>
              <w:rPr>
                <w:rFonts w:ascii="Tahoma" w:hAnsi="Tahoma" w:cs="Tahoma"/>
                <w:sz w:val="20"/>
                <w:szCs w:val="22"/>
              </w:rPr>
            </w:pPr>
            <w:r w:rsidRPr="00547BCA">
              <w:rPr>
                <w:rFonts w:ascii="Tahoma" w:hAnsi="Tahoma" w:cs="Tahoma"/>
                <w:sz w:val="20"/>
                <w:szCs w:val="22"/>
                <w:vertAlign w:val="superscript"/>
              </w:rPr>
              <w:t>26</w:t>
            </w:r>
            <w:r w:rsidRPr="00547BCA">
              <w:rPr>
                <w:rFonts w:ascii="Tahoma" w:hAnsi="Tahoma" w:cs="Tahoma"/>
                <w:sz w:val="20"/>
                <w:szCs w:val="22"/>
              </w:rPr>
              <w:t>Операции по счетам, вкладам и использование Карт осуществляются с учетом ограничений, установленных платежными системами АО НСПК Мир, Visa International и UnionPay International, иными уполномоченными лицами/органами Российской Федерации и иностранных государств, международными организациями, а также законодательством Российской Федерации, в том числе актами Центрального банка РФ.</w:t>
            </w:r>
            <w:r w:rsidRPr="00547BCA">
              <w:rPr>
                <w:rFonts w:ascii="Tahoma" w:hAnsi="Tahoma" w:cs="Tahoma"/>
                <w:sz w:val="20"/>
                <w:szCs w:val="22"/>
              </w:rPr>
              <w:tab/>
            </w:r>
            <w:r w:rsidRPr="00547BCA">
              <w:rPr>
                <w:rFonts w:ascii="Tahoma" w:hAnsi="Tahoma" w:cs="Tahoma"/>
                <w:sz w:val="20"/>
                <w:szCs w:val="22"/>
              </w:rPr>
              <w:tab/>
            </w:r>
            <w:r w:rsidRPr="00547BCA">
              <w:rPr>
                <w:rFonts w:ascii="Tahoma" w:hAnsi="Tahoma" w:cs="Tahoma"/>
                <w:sz w:val="20"/>
                <w:szCs w:val="22"/>
              </w:rPr>
              <w:tab/>
            </w:r>
            <w:r w:rsidRPr="00547BCA">
              <w:rPr>
                <w:rFonts w:ascii="Tahoma" w:hAnsi="Tahoma" w:cs="Tahoma"/>
                <w:sz w:val="20"/>
                <w:szCs w:val="22"/>
              </w:rPr>
              <w:tab/>
            </w:r>
            <w:r w:rsidRPr="00547BCA">
              <w:rPr>
                <w:rFonts w:ascii="Tahoma" w:hAnsi="Tahoma" w:cs="Tahoma"/>
                <w:sz w:val="20"/>
                <w:szCs w:val="22"/>
              </w:rPr>
              <w:tab/>
            </w:r>
          </w:p>
          <w:p w14:paraId="30B8E437" w14:textId="77777777" w:rsidR="005B68FD" w:rsidRPr="00547BCA" w:rsidRDefault="005B68FD" w:rsidP="005B68FD">
            <w:pPr>
              <w:jc w:val="both"/>
              <w:rPr>
                <w:rFonts w:ascii="Tahoma" w:hAnsi="Tahoma" w:cs="Tahoma"/>
                <w:sz w:val="20"/>
                <w:szCs w:val="22"/>
              </w:rPr>
            </w:pPr>
            <w:r w:rsidRPr="00547BCA">
              <w:rPr>
                <w:rFonts w:ascii="Tahoma" w:hAnsi="Tahoma" w:cs="Tahoma"/>
                <w:sz w:val="20"/>
                <w:szCs w:val="22"/>
                <w:vertAlign w:val="superscript"/>
              </w:rPr>
              <w:t>27</w:t>
            </w:r>
            <w:r w:rsidRPr="00547BCA">
              <w:rPr>
                <w:rFonts w:ascii="Tahoma" w:hAnsi="Tahoma" w:cs="Tahoma"/>
                <w:sz w:val="20"/>
                <w:szCs w:val="22"/>
              </w:rPr>
              <w:t>Банк не взимает комиссию за осуществление по поручению физического лица операций по переводу денежных средств в рублях в размере в совокупности ежемесячно не более 30 000 000 рублей с банковского счета/вклада физического лица, открытого в Банке, на банковский счет/вклад этого физического лица, открытый в другой кредитной организации, или специальный счет оператора финансовой платформы, бенефициаром по которому выступает это физическое лицо. Банк не устанавливает ограничения размера/количества таких операций в пределах указанного в настоящем пункте совокупного ежемесячного размера операций (вне зависимости от используемого при переводе денежных средств сервиса, в т.ч. при переводе в Сервисе быстрых платежей платежной системы Банка России, Каналах ДБО).</w:t>
            </w:r>
          </w:p>
          <w:p w14:paraId="4017EBBF" w14:textId="77777777" w:rsidR="005B68FD" w:rsidRPr="00547BCA" w:rsidRDefault="005B68FD" w:rsidP="005B68FD">
            <w:pPr>
              <w:jc w:val="both"/>
              <w:rPr>
                <w:rFonts w:ascii="Tahoma" w:hAnsi="Tahoma" w:cs="Tahoma"/>
                <w:sz w:val="20"/>
                <w:szCs w:val="22"/>
              </w:rPr>
            </w:pPr>
            <w:r w:rsidRPr="00547BCA">
              <w:rPr>
                <w:rFonts w:ascii="Tahoma" w:hAnsi="Tahoma" w:cs="Tahoma"/>
                <w:sz w:val="20"/>
                <w:szCs w:val="22"/>
              </w:rPr>
              <w:t>Правила, определенные выше в настоящем пункте, не распространяются на: 1) операции по переводу денежных средств, осуществляемые при личном присутствии физического лица или его представителя в Банке; 2) операции по переводу денежных средств с использованием платежных карт, осуществляемые по правилам платежных систем, в рамках которых эмитируются платежные карты.</w:t>
            </w:r>
          </w:p>
          <w:p w14:paraId="70BBC916" w14:textId="77777777" w:rsidR="005B68FD" w:rsidRDefault="005B68FD" w:rsidP="005B68FD">
            <w:pPr>
              <w:jc w:val="both"/>
              <w:rPr>
                <w:rFonts w:ascii="Tahoma" w:hAnsi="Tahoma" w:cs="Tahoma"/>
                <w:sz w:val="20"/>
                <w:szCs w:val="22"/>
              </w:rPr>
            </w:pPr>
            <w:r w:rsidRPr="00547BCA">
              <w:rPr>
                <w:rFonts w:ascii="Tahoma" w:hAnsi="Tahoma" w:cs="Tahoma"/>
                <w:sz w:val="20"/>
                <w:szCs w:val="22"/>
              </w:rPr>
              <w:t>Банк не взимает комиссию за перечисление платы за жилое помещение и коммунальные услуги, пеней за несвоевременное и (или) неполное внесение платы за жилое помещение и коммунальные услуги для категории клиентов, перечень которых установлен Распоряжением Правительства РФ №1059-р от 27 апреля 2024 г. в соответствии со статьей 155 Жилищного кодекса РФ, статьей 29 Федерального закона «О банк</w:t>
            </w:r>
            <w:r>
              <w:rPr>
                <w:rFonts w:ascii="Tahoma" w:hAnsi="Tahoma" w:cs="Tahoma"/>
                <w:sz w:val="20"/>
                <w:szCs w:val="22"/>
              </w:rPr>
              <w:t>ах и банковской деятельности».</w:t>
            </w:r>
            <w:r w:rsidRPr="00547BCA">
              <w:rPr>
                <w:rFonts w:ascii="Tahoma" w:hAnsi="Tahoma" w:cs="Tahoma"/>
                <w:sz w:val="20"/>
                <w:szCs w:val="22"/>
              </w:rPr>
              <w:tab/>
            </w:r>
          </w:p>
          <w:p w14:paraId="6F1E54DD" w14:textId="77777777" w:rsidR="005B68FD" w:rsidRPr="00547BCA" w:rsidRDefault="005B68FD" w:rsidP="005B68FD">
            <w:pPr>
              <w:jc w:val="both"/>
              <w:rPr>
                <w:rFonts w:ascii="Tahoma" w:hAnsi="Tahoma" w:cs="Tahoma"/>
                <w:sz w:val="20"/>
                <w:szCs w:val="22"/>
              </w:rPr>
            </w:pPr>
            <w:r w:rsidRPr="00547BCA">
              <w:rPr>
                <w:rFonts w:ascii="Tahoma" w:hAnsi="Tahoma" w:cs="Tahoma"/>
                <w:sz w:val="20"/>
                <w:szCs w:val="22"/>
              </w:rPr>
              <w:t>Все предусмотренные настоящим документом платежи взимаются (списываются) Банком в порядке прямого дебетования (списание по заранее данному акцепту) со Счета Карты Клиента в Банке и(или) иных счетов Клиента в Банке в момент совершения соответствующей операции, если иное не установлено настоящим документом/договором с Клиентом.</w:t>
            </w:r>
          </w:p>
          <w:p w14:paraId="79AA967F" w14:textId="77777777" w:rsidR="005B68FD" w:rsidRPr="00C91E39" w:rsidRDefault="005B68FD" w:rsidP="005B68FD">
            <w:pPr>
              <w:jc w:val="both"/>
              <w:rPr>
                <w:rFonts w:ascii="Tahoma" w:hAnsi="Tahoma" w:cs="Tahoma"/>
                <w:sz w:val="20"/>
                <w:szCs w:val="22"/>
              </w:rPr>
            </w:pPr>
            <w:r w:rsidRPr="00547BCA">
              <w:rPr>
                <w:rFonts w:ascii="Tahoma" w:hAnsi="Tahoma" w:cs="Tahoma"/>
                <w:sz w:val="20"/>
                <w:szCs w:val="22"/>
              </w:rPr>
              <w:t>Не указанные в настоящем документе термины применяются в значении, указанном в Универсальном договоре банковского обслуживания физических лиц «Азиатско-Тихоокеанский Банк» (АО), размещённом на Сайте Банка www.</w:t>
            </w:r>
            <w:r>
              <w:rPr>
                <w:rFonts w:ascii="Tahoma" w:hAnsi="Tahoma" w:cs="Tahoma"/>
                <w:sz w:val="20"/>
                <w:szCs w:val="22"/>
              </w:rPr>
              <w:t>atb.su, Подразделениях Банка.</w:t>
            </w:r>
            <w:r w:rsidRPr="00547BCA">
              <w:rPr>
                <w:rFonts w:ascii="Tahoma" w:hAnsi="Tahoma" w:cs="Tahoma"/>
                <w:sz w:val="20"/>
                <w:szCs w:val="22"/>
              </w:rPr>
              <w:tab/>
            </w:r>
            <w:r w:rsidRPr="00547BCA">
              <w:rPr>
                <w:rFonts w:ascii="Tahoma" w:hAnsi="Tahoma" w:cs="Tahoma"/>
                <w:sz w:val="20"/>
                <w:szCs w:val="22"/>
              </w:rPr>
              <w:tab/>
            </w:r>
            <w:r w:rsidRPr="00547BCA">
              <w:rPr>
                <w:rFonts w:ascii="Tahoma" w:hAnsi="Tahoma" w:cs="Tahoma"/>
                <w:sz w:val="20"/>
                <w:szCs w:val="22"/>
              </w:rPr>
              <w:tab/>
            </w:r>
            <w:r w:rsidRPr="00547BCA">
              <w:rPr>
                <w:rFonts w:ascii="Tahoma" w:hAnsi="Tahoma" w:cs="Tahoma"/>
                <w:sz w:val="20"/>
                <w:szCs w:val="22"/>
              </w:rPr>
              <w:tab/>
            </w:r>
            <w:r w:rsidRPr="00547BCA">
              <w:rPr>
                <w:rFonts w:ascii="Tahoma" w:hAnsi="Tahoma" w:cs="Tahoma"/>
                <w:sz w:val="20"/>
                <w:szCs w:val="22"/>
              </w:rPr>
              <w:tab/>
            </w:r>
            <w:r w:rsidRPr="00547BCA">
              <w:rPr>
                <w:rFonts w:ascii="Tahoma" w:hAnsi="Tahoma" w:cs="Tahoma"/>
                <w:sz w:val="20"/>
                <w:szCs w:val="22"/>
              </w:rPr>
              <w:tab/>
            </w:r>
          </w:p>
        </w:tc>
      </w:tr>
    </w:tbl>
    <w:p w14:paraId="17081B76" w14:textId="77777777" w:rsidR="005B68FD" w:rsidRDefault="005B68FD" w:rsidP="005B68FD">
      <w:pPr>
        <w:tabs>
          <w:tab w:val="left" w:pos="851"/>
        </w:tabs>
        <w:ind w:left="426"/>
        <w:rPr>
          <w:rFonts w:ascii="Tahoma" w:hAnsi="Tahoma" w:cs="Tahoma"/>
          <w:b/>
          <w:bCs/>
          <w:iCs/>
          <w:color w:val="E36C0A"/>
          <w:sz w:val="22"/>
          <w:szCs w:val="22"/>
        </w:rPr>
      </w:pPr>
    </w:p>
    <w:p w14:paraId="2D12395D" w14:textId="77777777" w:rsidR="005B68FD" w:rsidRDefault="005B68FD" w:rsidP="000B3718">
      <w:pPr>
        <w:pStyle w:val="a5"/>
      </w:pPr>
      <w:r>
        <w:t>4.1.1. ТАРИФНЫЙ ПЛАН «АТБ КАРТА (СПЕЦИАЛЬНАЯ)</w:t>
      </w:r>
      <w:r w:rsidRPr="00CA0D75">
        <w:t>»</w:t>
      </w:r>
      <w:r w:rsidRPr="005700E6">
        <w:rPr>
          <w:vertAlign w:val="superscript"/>
        </w:rPr>
        <w:t>16</w:t>
      </w:r>
    </w:p>
    <w:tbl>
      <w:tblPr>
        <w:tblW w:w="23155" w:type="dxa"/>
        <w:tblLook w:val="04A0" w:firstRow="1" w:lastRow="0" w:firstColumn="1" w:lastColumn="0" w:noHBand="0" w:noVBand="1"/>
      </w:tblPr>
      <w:tblGrid>
        <w:gridCol w:w="985"/>
        <w:gridCol w:w="6953"/>
        <w:gridCol w:w="3686"/>
        <w:gridCol w:w="3542"/>
        <w:gridCol w:w="2117"/>
        <w:gridCol w:w="2118"/>
        <w:gridCol w:w="3754"/>
      </w:tblGrid>
      <w:tr w:rsidR="005B68FD" w:rsidRPr="00DE7078" w14:paraId="47A18545" w14:textId="77777777" w:rsidTr="005B68FD">
        <w:trPr>
          <w:gridAfter w:val="3"/>
          <w:wAfter w:w="7989" w:type="dxa"/>
          <w:trHeight w:val="360"/>
        </w:trPr>
        <w:tc>
          <w:tcPr>
            <w:tcW w:w="15166" w:type="dxa"/>
            <w:gridSpan w:val="4"/>
            <w:tcBorders>
              <w:top w:val="nil"/>
              <w:left w:val="nil"/>
              <w:bottom w:val="single" w:sz="4" w:space="0" w:color="auto"/>
              <w:right w:val="nil"/>
            </w:tcBorders>
            <w:shd w:val="clear" w:color="auto" w:fill="auto"/>
            <w:noWrap/>
            <w:vAlign w:val="center"/>
            <w:hideMark/>
          </w:tcPr>
          <w:p w14:paraId="2F2F60CE" w14:textId="77777777" w:rsidR="005B68FD" w:rsidRPr="00DE7078" w:rsidRDefault="005B68FD" w:rsidP="005B68FD">
            <w:pPr>
              <w:rPr>
                <w:rFonts w:ascii="Tahoma" w:hAnsi="Tahoma" w:cs="Tahoma"/>
                <w:sz w:val="28"/>
                <w:szCs w:val="28"/>
              </w:rPr>
            </w:pPr>
          </w:p>
        </w:tc>
      </w:tr>
      <w:tr w:rsidR="005B68FD" w:rsidRPr="00DE7078" w14:paraId="4DBD385C" w14:textId="77777777" w:rsidTr="005B68FD">
        <w:trPr>
          <w:gridAfter w:val="1"/>
          <w:wAfter w:w="3754" w:type="dxa"/>
          <w:trHeight w:val="300"/>
        </w:trPr>
        <w:tc>
          <w:tcPr>
            <w:tcW w:w="7938" w:type="dxa"/>
            <w:gridSpan w:val="2"/>
            <w:tcBorders>
              <w:top w:val="single" w:sz="4" w:space="0" w:color="auto"/>
              <w:left w:val="single" w:sz="4" w:space="0" w:color="auto"/>
              <w:bottom w:val="single" w:sz="4" w:space="0" w:color="auto"/>
              <w:right w:val="single" w:sz="4" w:space="0" w:color="auto"/>
            </w:tcBorders>
            <w:shd w:val="clear" w:color="auto" w:fill="595959" w:themeFill="text1" w:themeFillTint="A6"/>
            <w:noWrap/>
            <w:hideMark/>
          </w:tcPr>
          <w:p w14:paraId="1A827804" w14:textId="77777777" w:rsidR="005B68FD" w:rsidRPr="00C91E39" w:rsidRDefault="005B68FD" w:rsidP="005B68FD">
            <w:pPr>
              <w:rPr>
                <w:rFonts w:ascii="Tahoma" w:hAnsi="Tahoma" w:cs="Tahoma"/>
                <w:b/>
                <w:bCs/>
                <w:color w:val="FFFFFF" w:themeColor="background1"/>
                <w:sz w:val="20"/>
                <w:szCs w:val="16"/>
              </w:rPr>
            </w:pPr>
            <w:r w:rsidRPr="00C91E39">
              <w:rPr>
                <w:rFonts w:ascii="Tahoma" w:hAnsi="Tahoma" w:cs="Tahoma"/>
                <w:b/>
                <w:bCs/>
                <w:noProof/>
                <w:color w:val="FFFFFF" w:themeColor="background1"/>
                <w:sz w:val="20"/>
                <w:szCs w:val="16"/>
              </w:rPr>
              <mc:AlternateContent>
                <mc:Choice Requires="wps">
                  <w:drawing>
                    <wp:anchor distT="0" distB="0" distL="114300" distR="114300" simplePos="0" relativeHeight="251660800" behindDoc="0" locked="0" layoutInCell="1" allowOverlap="1" wp14:anchorId="770D111F" wp14:editId="12E347FA">
                      <wp:simplePos x="0" y="0"/>
                      <wp:positionH relativeFrom="column">
                        <wp:posOffset>-76151</wp:posOffset>
                      </wp:positionH>
                      <wp:positionV relativeFrom="paragraph">
                        <wp:posOffset>-25</wp:posOffset>
                      </wp:positionV>
                      <wp:extent cx="5070764" cy="748146"/>
                      <wp:effectExtent l="0" t="0" r="34925" b="33020"/>
                      <wp:wrapNone/>
                      <wp:docPr id="1926" name="Прямая соединительная линия 1926"/>
                      <wp:cNvGraphicFramePr/>
                      <a:graphic xmlns:a="http://schemas.openxmlformats.org/drawingml/2006/main">
                        <a:graphicData uri="http://schemas.microsoft.com/office/word/2010/wordprocessingShape">
                          <wps:wsp>
                            <wps:cNvCnPr/>
                            <wps:spPr>
                              <a:xfrm>
                                <a:off x="0" y="0"/>
                                <a:ext cx="5070764" cy="7481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4524F6" id="Прямая соединительная линия 1926"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0" to="393.25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" strokecolor="black [3040]"/>
                  </w:pict>
                </mc:Fallback>
              </mc:AlternateContent>
            </w:r>
            <w:r w:rsidRPr="00C91E39">
              <w:rPr>
                <w:rFonts w:ascii="Tahoma" w:hAnsi="Tahoma" w:cs="Tahoma"/>
                <w:b/>
                <w:bCs/>
                <w:color w:val="FFFFFF" w:themeColor="background1"/>
                <w:sz w:val="20"/>
                <w:szCs w:val="16"/>
              </w:rPr>
              <w:t xml:space="preserve">                                   Тип банковской Карты</w:t>
            </w:r>
            <w:r w:rsidRPr="00C91E39">
              <w:rPr>
                <w:rFonts w:ascii="Tahoma" w:hAnsi="Tahoma" w:cs="Tahoma"/>
                <w:b/>
                <w:bCs/>
                <w:color w:val="FFFFFF" w:themeColor="background1"/>
                <w:sz w:val="20"/>
                <w:szCs w:val="16"/>
                <w:vertAlign w:val="superscript"/>
              </w:rPr>
              <w:t>1</w:t>
            </w:r>
          </w:p>
          <w:p w14:paraId="1A430407" w14:textId="77777777" w:rsidR="005B68FD" w:rsidRPr="00C91E39" w:rsidRDefault="005B68FD" w:rsidP="005B68FD">
            <w:pPr>
              <w:rPr>
                <w:rFonts w:ascii="Tahoma" w:hAnsi="Tahoma" w:cs="Tahoma"/>
                <w:b/>
                <w:bCs/>
                <w:color w:val="FFFFFF" w:themeColor="background1"/>
                <w:sz w:val="20"/>
                <w:szCs w:val="16"/>
              </w:rPr>
            </w:pPr>
          </w:p>
          <w:p w14:paraId="17FE3A77" w14:textId="77777777" w:rsidR="005B68FD" w:rsidRPr="00C91E39" w:rsidRDefault="005B68FD" w:rsidP="005B68FD">
            <w:pPr>
              <w:rPr>
                <w:rFonts w:ascii="Tahoma" w:hAnsi="Tahoma" w:cs="Tahoma"/>
                <w:b/>
                <w:bCs/>
                <w:color w:val="FFFFFF" w:themeColor="background1"/>
                <w:sz w:val="20"/>
                <w:szCs w:val="16"/>
              </w:rPr>
            </w:pPr>
          </w:p>
          <w:p w14:paraId="0F15AA5F" w14:textId="77777777" w:rsidR="005B68FD" w:rsidRPr="00C91E39" w:rsidRDefault="005B68FD" w:rsidP="005B68FD">
            <w:pPr>
              <w:rPr>
                <w:rFonts w:ascii="Tahoma" w:hAnsi="Tahoma" w:cs="Tahoma"/>
                <w:b/>
                <w:bCs/>
                <w:color w:val="FFFFFF" w:themeColor="background1"/>
                <w:sz w:val="20"/>
                <w:szCs w:val="16"/>
              </w:rPr>
            </w:pPr>
          </w:p>
          <w:p w14:paraId="4D35A865" w14:textId="77777777" w:rsidR="005B68FD" w:rsidRPr="001A7D3D" w:rsidRDefault="005B68FD" w:rsidP="005B68FD">
            <w:pPr>
              <w:rPr>
                <w:rFonts w:ascii="Tahoma" w:hAnsi="Tahoma" w:cs="Tahoma"/>
                <w:b/>
                <w:bCs/>
                <w:color w:val="FFFFFF" w:themeColor="background1"/>
                <w:sz w:val="20"/>
                <w:szCs w:val="16"/>
              </w:rPr>
            </w:pPr>
            <w:r w:rsidRPr="00C91E39">
              <w:rPr>
                <w:rFonts w:ascii="Tahoma" w:hAnsi="Tahoma" w:cs="Tahoma"/>
                <w:b/>
                <w:bCs/>
                <w:color w:val="FFFFFF" w:themeColor="background1"/>
                <w:sz w:val="20"/>
                <w:szCs w:val="16"/>
              </w:rPr>
              <w:t xml:space="preserve">Условия предоставления услуги          </w:t>
            </w:r>
          </w:p>
        </w:tc>
        <w:tc>
          <w:tcPr>
            <w:tcW w:w="3686" w:type="dxa"/>
            <w:tcBorders>
              <w:top w:val="single" w:sz="4" w:space="0" w:color="auto"/>
              <w:left w:val="single" w:sz="4" w:space="0" w:color="auto"/>
              <w:bottom w:val="single" w:sz="4" w:space="0" w:color="auto"/>
              <w:right w:val="single" w:sz="4" w:space="0" w:color="auto"/>
            </w:tcBorders>
            <w:shd w:val="clear" w:color="auto" w:fill="595959" w:themeFill="text1" w:themeFillTint="A6"/>
            <w:noWrap/>
            <w:hideMark/>
          </w:tcPr>
          <w:p w14:paraId="1E8A1923" w14:textId="77777777" w:rsidR="005B68FD" w:rsidRPr="00C91E39" w:rsidRDefault="005B68FD" w:rsidP="005B68FD">
            <w:pPr>
              <w:rPr>
                <w:rFonts w:ascii="Tahoma" w:hAnsi="Tahoma" w:cs="Tahoma"/>
                <w:b/>
                <w:bCs/>
                <w:color w:val="FFFFFF" w:themeColor="background1"/>
                <w:sz w:val="20"/>
                <w:szCs w:val="16"/>
              </w:rPr>
            </w:pPr>
          </w:p>
          <w:p w14:paraId="32F32384" w14:textId="77777777" w:rsidR="005B68FD" w:rsidRPr="00C91E39" w:rsidRDefault="005B68FD" w:rsidP="005B68FD">
            <w:pPr>
              <w:jc w:val="center"/>
              <w:rPr>
                <w:rFonts w:ascii="Tahoma" w:hAnsi="Tahoma" w:cs="Tahoma"/>
                <w:b/>
                <w:bCs/>
                <w:color w:val="FFFFFF" w:themeColor="background1"/>
                <w:sz w:val="20"/>
                <w:szCs w:val="16"/>
              </w:rPr>
            </w:pPr>
            <w:r w:rsidRPr="00C91E39">
              <w:rPr>
                <w:rFonts w:ascii="Tahoma" w:hAnsi="Tahoma" w:cs="Tahoma"/>
                <w:b/>
                <w:bCs/>
                <w:color w:val="FFFFFF" w:themeColor="background1"/>
                <w:sz w:val="20"/>
                <w:szCs w:val="16"/>
                <w:lang w:val="en-US"/>
              </w:rPr>
              <w:t>Visa</w:t>
            </w:r>
            <w:r w:rsidRPr="00C91E39">
              <w:rPr>
                <w:rFonts w:ascii="Tahoma" w:hAnsi="Tahoma" w:cs="Tahoma"/>
                <w:b/>
                <w:bCs/>
                <w:color w:val="FFFFFF" w:themeColor="background1"/>
                <w:sz w:val="20"/>
                <w:szCs w:val="16"/>
              </w:rPr>
              <w:t xml:space="preserve"> </w:t>
            </w:r>
            <w:r w:rsidRPr="00C91E39">
              <w:rPr>
                <w:rFonts w:ascii="Tahoma" w:hAnsi="Tahoma" w:cs="Tahoma"/>
                <w:b/>
                <w:bCs/>
                <w:color w:val="FFFFFF" w:themeColor="background1"/>
                <w:sz w:val="20"/>
                <w:szCs w:val="16"/>
                <w:lang w:val="en-US"/>
              </w:rPr>
              <w:t>Gold</w:t>
            </w:r>
            <w:r w:rsidRPr="00C91E39">
              <w:rPr>
                <w:rFonts w:ascii="Tahoma" w:hAnsi="Tahoma" w:cs="Tahoma"/>
                <w:b/>
                <w:bCs/>
                <w:color w:val="FFFFFF" w:themeColor="background1"/>
                <w:sz w:val="20"/>
                <w:szCs w:val="16"/>
              </w:rPr>
              <w:t xml:space="preserve"> (именная и неименная)</w:t>
            </w:r>
          </w:p>
        </w:tc>
        <w:tc>
          <w:tcPr>
            <w:tcW w:w="3542" w:type="dxa"/>
            <w:tcBorders>
              <w:top w:val="single" w:sz="4" w:space="0" w:color="auto"/>
              <w:left w:val="single" w:sz="4" w:space="0" w:color="auto"/>
              <w:bottom w:val="single" w:sz="4" w:space="0" w:color="auto"/>
              <w:right w:val="single" w:sz="4" w:space="0" w:color="auto"/>
            </w:tcBorders>
            <w:shd w:val="clear" w:color="auto" w:fill="595959" w:themeFill="text1" w:themeFillTint="A6"/>
            <w:noWrap/>
            <w:hideMark/>
          </w:tcPr>
          <w:p w14:paraId="34A64397" w14:textId="77777777" w:rsidR="005B68FD" w:rsidRPr="00C91E39" w:rsidRDefault="005B68FD" w:rsidP="005B68FD">
            <w:pPr>
              <w:jc w:val="center"/>
              <w:rPr>
                <w:rFonts w:ascii="Tahoma" w:hAnsi="Tahoma" w:cs="Tahoma"/>
                <w:b/>
                <w:bCs/>
                <w:color w:val="FFFFFF" w:themeColor="background1"/>
                <w:sz w:val="20"/>
                <w:szCs w:val="16"/>
              </w:rPr>
            </w:pPr>
          </w:p>
          <w:p w14:paraId="697BBA04" w14:textId="77777777" w:rsidR="005B68FD" w:rsidRPr="00C91E39" w:rsidRDefault="005B68FD" w:rsidP="005B68FD">
            <w:pPr>
              <w:jc w:val="center"/>
              <w:rPr>
                <w:rFonts w:ascii="Tahoma" w:hAnsi="Tahoma" w:cs="Tahoma"/>
                <w:b/>
                <w:bCs/>
                <w:color w:val="FFFFFF" w:themeColor="background1"/>
                <w:sz w:val="20"/>
                <w:szCs w:val="16"/>
              </w:rPr>
            </w:pPr>
            <w:r w:rsidRPr="00C91E39">
              <w:rPr>
                <w:rFonts w:ascii="Tahoma" w:hAnsi="Tahoma" w:cs="Tahoma"/>
                <w:b/>
                <w:bCs/>
                <w:color w:val="FFFFFF" w:themeColor="background1"/>
                <w:sz w:val="20"/>
                <w:szCs w:val="16"/>
              </w:rPr>
              <w:t>Мир</w:t>
            </w:r>
            <w:r w:rsidRPr="00C91E39">
              <w:rPr>
                <w:rFonts w:ascii="Tahoma" w:hAnsi="Tahoma" w:cs="Tahoma"/>
                <w:b/>
                <w:bCs/>
                <w:color w:val="FFFFFF" w:themeColor="background1"/>
                <w:sz w:val="20"/>
                <w:szCs w:val="16"/>
                <w:vertAlign w:val="superscript"/>
              </w:rPr>
              <w:t>2</w:t>
            </w:r>
            <w:r w:rsidRPr="00C91E39">
              <w:rPr>
                <w:rFonts w:ascii="Tahoma" w:hAnsi="Tahoma" w:cs="Tahoma"/>
                <w:b/>
                <w:bCs/>
                <w:color w:val="FFFFFF" w:themeColor="background1"/>
                <w:sz w:val="20"/>
                <w:szCs w:val="16"/>
              </w:rPr>
              <w:t xml:space="preserve"> (именная и неименная)</w:t>
            </w:r>
          </w:p>
        </w:tc>
        <w:tc>
          <w:tcPr>
            <w:tcW w:w="2117" w:type="dxa"/>
          </w:tcPr>
          <w:p w14:paraId="4A9C1434" w14:textId="77777777" w:rsidR="005B68FD" w:rsidRPr="00C91E39" w:rsidRDefault="005B68FD" w:rsidP="005B68FD">
            <w:pPr>
              <w:rPr>
                <w:rFonts w:ascii="Tahoma" w:hAnsi="Tahoma" w:cs="Tahoma"/>
                <w:b/>
                <w:bCs/>
                <w:color w:val="FFFFFF" w:themeColor="background1"/>
                <w:sz w:val="20"/>
                <w:szCs w:val="16"/>
              </w:rPr>
            </w:pPr>
          </w:p>
          <w:p w14:paraId="60BFE62E" w14:textId="77777777" w:rsidR="005B68FD" w:rsidRPr="00C91E39" w:rsidRDefault="005B68FD" w:rsidP="005B68FD">
            <w:pPr>
              <w:jc w:val="center"/>
              <w:rPr>
                <w:rFonts w:ascii="Tahoma" w:hAnsi="Tahoma" w:cs="Tahoma"/>
                <w:b/>
                <w:bCs/>
                <w:color w:val="FFFFFF" w:themeColor="background1"/>
                <w:sz w:val="20"/>
                <w:szCs w:val="16"/>
              </w:rPr>
            </w:pPr>
            <w:r w:rsidRPr="00C91E39">
              <w:rPr>
                <w:rFonts w:ascii="Tahoma" w:hAnsi="Tahoma" w:cs="Tahoma"/>
                <w:b/>
                <w:bCs/>
                <w:color w:val="FFFFFF" w:themeColor="background1"/>
                <w:sz w:val="20"/>
                <w:szCs w:val="16"/>
              </w:rPr>
              <w:t>UnionPay Gold в рублях (именная)</w:t>
            </w:r>
          </w:p>
        </w:tc>
        <w:tc>
          <w:tcPr>
            <w:tcW w:w="2118" w:type="dxa"/>
          </w:tcPr>
          <w:p w14:paraId="3CEE6401" w14:textId="77777777" w:rsidR="005B68FD" w:rsidRPr="00C91E39" w:rsidRDefault="005B68FD" w:rsidP="005B68FD">
            <w:pPr>
              <w:jc w:val="center"/>
              <w:rPr>
                <w:rFonts w:ascii="Tahoma" w:hAnsi="Tahoma" w:cs="Tahoma"/>
                <w:b/>
                <w:bCs/>
                <w:color w:val="FFFFFF" w:themeColor="background1"/>
                <w:sz w:val="20"/>
                <w:szCs w:val="16"/>
              </w:rPr>
            </w:pPr>
          </w:p>
          <w:p w14:paraId="207F466B" w14:textId="77777777" w:rsidR="005B68FD" w:rsidRPr="00C91E39" w:rsidRDefault="005B68FD" w:rsidP="005B68FD">
            <w:pPr>
              <w:jc w:val="center"/>
              <w:rPr>
                <w:rFonts w:ascii="Tahoma" w:hAnsi="Tahoma" w:cs="Tahoma"/>
                <w:b/>
                <w:bCs/>
                <w:color w:val="FFFFFF" w:themeColor="background1"/>
                <w:sz w:val="20"/>
                <w:szCs w:val="16"/>
              </w:rPr>
            </w:pPr>
            <w:r w:rsidRPr="00C91E39">
              <w:rPr>
                <w:rFonts w:ascii="Tahoma" w:hAnsi="Tahoma" w:cs="Tahoma"/>
                <w:b/>
                <w:bCs/>
                <w:color w:val="FFFFFF" w:themeColor="background1"/>
                <w:sz w:val="20"/>
                <w:szCs w:val="16"/>
              </w:rPr>
              <w:t>UnionPay Gold в юанях (именная)</w:t>
            </w:r>
          </w:p>
        </w:tc>
      </w:tr>
      <w:tr w:rsidR="005B68FD" w:rsidRPr="00DE7078" w14:paraId="200E2D42" w14:textId="77777777" w:rsidTr="005B68FD">
        <w:trPr>
          <w:gridAfter w:val="3"/>
          <w:wAfter w:w="7989" w:type="dxa"/>
          <w:trHeight w:val="315"/>
        </w:trPr>
        <w:tc>
          <w:tcPr>
            <w:tcW w:w="985" w:type="dxa"/>
            <w:tcBorders>
              <w:top w:val="single" w:sz="4" w:space="0" w:color="auto"/>
              <w:left w:val="single" w:sz="4" w:space="0" w:color="auto"/>
              <w:bottom w:val="single" w:sz="4" w:space="0" w:color="auto"/>
              <w:right w:val="single" w:sz="4" w:space="0" w:color="auto"/>
            </w:tcBorders>
            <w:shd w:val="clear" w:color="000000" w:fill="595959"/>
            <w:noWrap/>
            <w:vAlign w:val="bottom"/>
            <w:hideMark/>
          </w:tcPr>
          <w:p w14:paraId="6F27F1D1" w14:textId="77777777" w:rsidR="005B68FD" w:rsidRPr="001A7D3D" w:rsidRDefault="005B68FD" w:rsidP="005B68FD">
            <w:pPr>
              <w:jc w:val="center"/>
              <w:rPr>
                <w:rFonts w:ascii="Tahoma" w:hAnsi="Tahoma" w:cs="Tahoma"/>
                <w:bCs/>
                <w:color w:val="FFFFFF" w:themeColor="background1"/>
                <w:sz w:val="22"/>
                <w:szCs w:val="16"/>
              </w:rPr>
            </w:pPr>
            <w:r w:rsidRPr="001A7D3D">
              <w:rPr>
                <w:rFonts w:ascii="Tahoma" w:hAnsi="Tahoma" w:cs="Tahoma"/>
                <w:bCs/>
                <w:color w:val="FFFFFF" w:themeColor="background1"/>
                <w:sz w:val="22"/>
                <w:szCs w:val="16"/>
                <w:lang w:val="en-US"/>
              </w:rPr>
              <w:t>1</w:t>
            </w:r>
            <w:r w:rsidRPr="001A7D3D">
              <w:rPr>
                <w:rFonts w:ascii="Tahoma" w:hAnsi="Tahoma" w:cs="Tahoma"/>
                <w:bCs/>
                <w:color w:val="FFFFFF" w:themeColor="background1"/>
                <w:sz w:val="22"/>
                <w:szCs w:val="16"/>
              </w:rPr>
              <w:t>.</w:t>
            </w:r>
          </w:p>
        </w:tc>
        <w:tc>
          <w:tcPr>
            <w:tcW w:w="14181" w:type="dxa"/>
            <w:gridSpan w:val="3"/>
            <w:tcBorders>
              <w:top w:val="single" w:sz="4" w:space="0" w:color="auto"/>
              <w:left w:val="nil"/>
              <w:bottom w:val="single" w:sz="4" w:space="0" w:color="auto"/>
              <w:right w:val="nil"/>
            </w:tcBorders>
            <w:shd w:val="clear" w:color="000000" w:fill="595959"/>
            <w:noWrap/>
            <w:vAlign w:val="bottom"/>
            <w:hideMark/>
          </w:tcPr>
          <w:p w14:paraId="6A74DB4E" w14:textId="77777777" w:rsidR="005B68FD" w:rsidRPr="001A7D3D" w:rsidRDefault="005B68FD" w:rsidP="005B68FD">
            <w:pPr>
              <w:rPr>
                <w:rFonts w:ascii="Tahoma" w:hAnsi="Tahoma" w:cs="Tahoma"/>
                <w:bCs/>
                <w:color w:val="FFFFFF" w:themeColor="background1"/>
                <w:sz w:val="22"/>
                <w:szCs w:val="16"/>
              </w:rPr>
            </w:pPr>
            <w:r w:rsidRPr="001A7D3D">
              <w:rPr>
                <w:rFonts w:ascii="Tahoma" w:hAnsi="Tahoma" w:cs="Tahoma"/>
                <w:bCs/>
                <w:color w:val="FFFFFF" w:themeColor="background1"/>
                <w:sz w:val="22"/>
                <w:szCs w:val="16"/>
              </w:rPr>
              <w:t>Условия предоставления тарифного плана</w:t>
            </w:r>
          </w:p>
        </w:tc>
      </w:tr>
      <w:tr w:rsidR="005B68FD" w:rsidRPr="00DE7078" w14:paraId="5C796E53" w14:textId="77777777" w:rsidTr="005B68FD">
        <w:trPr>
          <w:gridAfter w:val="3"/>
          <w:wAfter w:w="7989" w:type="dxa"/>
          <w:trHeight w:val="285"/>
        </w:trPr>
        <w:tc>
          <w:tcPr>
            <w:tcW w:w="985" w:type="dxa"/>
            <w:tcBorders>
              <w:top w:val="nil"/>
              <w:left w:val="single" w:sz="4" w:space="0" w:color="auto"/>
              <w:bottom w:val="single" w:sz="4" w:space="0" w:color="auto"/>
              <w:right w:val="single" w:sz="4" w:space="0" w:color="auto"/>
            </w:tcBorders>
            <w:shd w:val="clear" w:color="000000" w:fill="FFFFFF"/>
            <w:noWrap/>
            <w:vAlign w:val="center"/>
            <w:hideMark/>
          </w:tcPr>
          <w:p w14:paraId="5AEB025C" w14:textId="77777777" w:rsidR="005B68FD" w:rsidRPr="00C91E39" w:rsidRDefault="005B68FD" w:rsidP="005B68FD">
            <w:pPr>
              <w:jc w:val="center"/>
              <w:rPr>
                <w:rFonts w:ascii="Tahoma" w:hAnsi="Tahoma" w:cs="Tahoma"/>
                <w:sz w:val="20"/>
                <w:szCs w:val="16"/>
                <w:lang w:val="en-US"/>
              </w:rPr>
            </w:pPr>
            <w:r w:rsidRPr="00C91E39">
              <w:rPr>
                <w:rFonts w:ascii="Tahoma" w:hAnsi="Tahoma" w:cs="Tahoma"/>
                <w:sz w:val="20"/>
                <w:szCs w:val="16"/>
                <w:lang w:val="en-US"/>
              </w:rPr>
              <w:t>1.1</w:t>
            </w:r>
          </w:p>
        </w:tc>
        <w:tc>
          <w:tcPr>
            <w:tcW w:w="6953" w:type="dxa"/>
            <w:tcBorders>
              <w:top w:val="nil"/>
              <w:left w:val="nil"/>
              <w:bottom w:val="single" w:sz="4" w:space="0" w:color="auto"/>
              <w:right w:val="single" w:sz="4" w:space="0" w:color="auto"/>
            </w:tcBorders>
            <w:shd w:val="clear" w:color="000000" w:fill="FFFFFF"/>
            <w:vAlign w:val="center"/>
            <w:hideMark/>
          </w:tcPr>
          <w:p w14:paraId="04C664E8" w14:textId="77777777" w:rsidR="005B68FD" w:rsidRPr="001A7D3D" w:rsidRDefault="005B68FD" w:rsidP="005B68FD">
            <w:pPr>
              <w:rPr>
                <w:rFonts w:ascii="Tahoma" w:hAnsi="Tahoma" w:cs="Tahoma"/>
                <w:color w:val="000000"/>
                <w:sz w:val="22"/>
                <w:szCs w:val="22"/>
              </w:rPr>
            </w:pPr>
            <w:r w:rsidRPr="001A7D3D">
              <w:rPr>
                <w:rFonts w:ascii="Tahoma" w:hAnsi="Tahoma" w:cs="Tahoma"/>
                <w:color w:val="000000"/>
                <w:sz w:val="22"/>
                <w:szCs w:val="22"/>
              </w:rPr>
              <w:t>категории Клиента</w:t>
            </w:r>
          </w:p>
        </w:tc>
        <w:tc>
          <w:tcPr>
            <w:tcW w:w="7228" w:type="dxa"/>
            <w:gridSpan w:val="2"/>
            <w:tcBorders>
              <w:top w:val="single" w:sz="4" w:space="0" w:color="auto"/>
              <w:left w:val="nil"/>
              <w:bottom w:val="single" w:sz="4" w:space="0" w:color="auto"/>
              <w:right w:val="single" w:sz="4" w:space="0" w:color="auto"/>
            </w:tcBorders>
            <w:shd w:val="clear" w:color="auto" w:fill="auto"/>
            <w:noWrap/>
            <w:vAlign w:val="center"/>
            <w:hideMark/>
          </w:tcPr>
          <w:p w14:paraId="4A19D7D2" w14:textId="77777777" w:rsidR="005B68FD" w:rsidRPr="001A7D3D" w:rsidRDefault="005B68FD" w:rsidP="005B68FD">
            <w:pPr>
              <w:jc w:val="center"/>
              <w:rPr>
                <w:rFonts w:ascii="Tahoma" w:hAnsi="Tahoma" w:cs="Tahoma"/>
                <w:sz w:val="22"/>
                <w:szCs w:val="22"/>
              </w:rPr>
            </w:pPr>
            <w:r w:rsidRPr="001A7D3D">
              <w:rPr>
                <w:rFonts w:ascii="Tahoma" w:hAnsi="Tahoma" w:cs="Tahoma"/>
                <w:sz w:val="22"/>
                <w:szCs w:val="22"/>
              </w:rPr>
              <w:t>Тарифный план предоставляется Клиентам - физическим лицам и участникам зарплатного проекта Банка</w:t>
            </w:r>
            <w:r w:rsidRPr="001A7D3D">
              <w:rPr>
                <w:rFonts w:ascii="Tahoma" w:hAnsi="Tahoma" w:cs="Tahoma"/>
                <w:sz w:val="22"/>
                <w:szCs w:val="22"/>
                <w:vertAlign w:val="superscript"/>
              </w:rPr>
              <w:t>3,4</w:t>
            </w:r>
            <w:r w:rsidRPr="001A7D3D">
              <w:rPr>
                <w:rFonts w:ascii="Tahoma" w:hAnsi="Tahoma" w:cs="Tahoma"/>
                <w:sz w:val="22"/>
                <w:szCs w:val="22"/>
              </w:rPr>
              <w:t>, заключившим Договор Карты. Одному Клиенту может быть предоставлена только одна основная Карта одного типа в рамках Тарифного плана «АТБ карта».</w:t>
            </w:r>
          </w:p>
        </w:tc>
      </w:tr>
      <w:tr w:rsidR="005B68FD" w:rsidRPr="00DE7078" w14:paraId="310C238B" w14:textId="77777777" w:rsidTr="005B68FD">
        <w:trPr>
          <w:trHeight w:val="285"/>
        </w:trPr>
        <w:tc>
          <w:tcPr>
            <w:tcW w:w="985" w:type="dxa"/>
            <w:tcBorders>
              <w:top w:val="single" w:sz="4" w:space="0" w:color="auto"/>
              <w:left w:val="single" w:sz="4" w:space="0" w:color="auto"/>
              <w:bottom w:val="single" w:sz="4" w:space="0" w:color="auto"/>
              <w:right w:val="single" w:sz="4" w:space="0" w:color="auto"/>
            </w:tcBorders>
            <w:shd w:val="clear" w:color="000000" w:fill="595959"/>
            <w:noWrap/>
            <w:vAlign w:val="center"/>
            <w:hideMark/>
          </w:tcPr>
          <w:p w14:paraId="398A5A97" w14:textId="77777777" w:rsidR="005B68FD" w:rsidRPr="0022442A" w:rsidRDefault="005B68FD" w:rsidP="005B68FD">
            <w:pPr>
              <w:jc w:val="center"/>
              <w:rPr>
                <w:rFonts w:ascii="Tahoma" w:hAnsi="Tahoma" w:cs="Tahoma"/>
                <w:color w:val="FFFFFF"/>
                <w:sz w:val="22"/>
                <w:szCs w:val="22"/>
              </w:rPr>
            </w:pPr>
            <w:r w:rsidRPr="0022442A">
              <w:rPr>
                <w:rFonts w:ascii="Tahoma" w:hAnsi="Tahoma" w:cs="Tahoma"/>
                <w:color w:val="FFFFFF"/>
                <w:sz w:val="22"/>
                <w:szCs w:val="22"/>
              </w:rPr>
              <w:t>1.2.</w:t>
            </w:r>
          </w:p>
        </w:tc>
        <w:tc>
          <w:tcPr>
            <w:tcW w:w="14181" w:type="dxa"/>
            <w:gridSpan w:val="3"/>
            <w:tcBorders>
              <w:top w:val="single" w:sz="4" w:space="0" w:color="auto"/>
              <w:left w:val="nil"/>
              <w:bottom w:val="single" w:sz="4" w:space="0" w:color="auto"/>
              <w:right w:val="single" w:sz="4" w:space="0" w:color="auto"/>
            </w:tcBorders>
            <w:shd w:val="clear" w:color="000000" w:fill="595959"/>
            <w:noWrap/>
            <w:vAlign w:val="center"/>
            <w:hideMark/>
          </w:tcPr>
          <w:p w14:paraId="0BC2370A" w14:textId="77777777" w:rsidR="005B68FD" w:rsidRPr="0022442A" w:rsidRDefault="005B68FD" w:rsidP="005B68FD">
            <w:pPr>
              <w:rPr>
                <w:rFonts w:ascii="Tahoma" w:hAnsi="Tahoma" w:cs="Tahoma"/>
                <w:color w:val="FFFFFF"/>
                <w:sz w:val="22"/>
                <w:szCs w:val="22"/>
              </w:rPr>
            </w:pPr>
            <w:r w:rsidRPr="0022442A">
              <w:rPr>
                <w:rFonts w:ascii="Tahoma" w:hAnsi="Tahoma" w:cs="Tahoma"/>
                <w:color w:val="FFFFFF"/>
                <w:sz w:val="22"/>
                <w:szCs w:val="22"/>
              </w:rPr>
              <w:t>каналы оформления</w:t>
            </w:r>
          </w:p>
        </w:tc>
        <w:tc>
          <w:tcPr>
            <w:tcW w:w="7989" w:type="dxa"/>
            <w:gridSpan w:val="3"/>
            <w:vAlign w:val="center"/>
          </w:tcPr>
          <w:p w14:paraId="34C6287D" w14:textId="77777777" w:rsidR="005B68FD" w:rsidRPr="00C91E39" w:rsidRDefault="005B68FD" w:rsidP="005B68FD">
            <w:pPr>
              <w:spacing w:after="240"/>
              <w:jc w:val="center"/>
              <w:rPr>
                <w:rFonts w:ascii="Tahoma" w:hAnsi="Tahoma" w:cs="Tahoma"/>
                <w:sz w:val="20"/>
                <w:szCs w:val="16"/>
              </w:rPr>
            </w:pPr>
            <w:r w:rsidRPr="00C91E39">
              <w:rPr>
                <w:rFonts w:ascii="Tahoma" w:hAnsi="Tahoma" w:cs="Tahoma"/>
                <w:sz w:val="20"/>
                <w:szCs w:val="16"/>
              </w:rPr>
              <w:t>Офисы Банка, Интернет-банк «АТБ-Онлайн», Мобильный банк</w:t>
            </w:r>
            <w:r w:rsidRPr="00C91E39">
              <w:rPr>
                <w:rFonts w:ascii="Tahoma" w:hAnsi="Tahoma" w:cs="Tahoma"/>
                <w:sz w:val="20"/>
                <w:szCs w:val="16"/>
                <w:vertAlign w:val="superscript"/>
              </w:rPr>
              <w:t>5</w:t>
            </w:r>
          </w:p>
        </w:tc>
      </w:tr>
      <w:tr w:rsidR="005B68FD" w:rsidRPr="00DE7078" w14:paraId="7FC39AF1" w14:textId="77777777" w:rsidTr="005B68FD">
        <w:trPr>
          <w:gridAfter w:val="3"/>
          <w:wAfter w:w="7989" w:type="dxa"/>
          <w:trHeight w:val="285"/>
        </w:trPr>
        <w:tc>
          <w:tcPr>
            <w:tcW w:w="985" w:type="dxa"/>
            <w:tcBorders>
              <w:top w:val="nil"/>
              <w:left w:val="single" w:sz="4" w:space="0" w:color="auto"/>
              <w:bottom w:val="single" w:sz="4" w:space="0" w:color="auto"/>
              <w:right w:val="single" w:sz="4" w:space="0" w:color="auto"/>
            </w:tcBorders>
            <w:shd w:val="clear" w:color="000000" w:fill="FFFFFF"/>
            <w:noWrap/>
            <w:vAlign w:val="center"/>
            <w:hideMark/>
          </w:tcPr>
          <w:p w14:paraId="39BC670F"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3.1.</w:t>
            </w:r>
          </w:p>
        </w:tc>
        <w:tc>
          <w:tcPr>
            <w:tcW w:w="6953" w:type="dxa"/>
            <w:tcBorders>
              <w:top w:val="nil"/>
              <w:left w:val="nil"/>
              <w:bottom w:val="single" w:sz="4" w:space="0" w:color="auto"/>
              <w:right w:val="single" w:sz="4" w:space="0" w:color="auto"/>
            </w:tcBorders>
            <w:shd w:val="clear" w:color="auto" w:fill="auto"/>
            <w:vAlign w:val="center"/>
            <w:hideMark/>
          </w:tcPr>
          <w:p w14:paraId="0BCA82F1" w14:textId="77777777" w:rsidR="005B68FD" w:rsidRPr="00DE7078" w:rsidRDefault="005B68FD" w:rsidP="005B68FD">
            <w:pPr>
              <w:rPr>
                <w:rFonts w:ascii="Tahoma" w:hAnsi="Tahoma" w:cs="Tahoma"/>
                <w:sz w:val="22"/>
                <w:szCs w:val="22"/>
              </w:rPr>
            </w:pPr>
            <w:r w:rsidRPr="00DE7078">
              <w:rPr>
                <w:rFonts w:ascii="Tahoma" w:hAnsi="Tahoma" w:cs="Tahoma"/>
                <w:sz w:val="22"/>
                <w:szCs w:val="22"/>
              </w:rPr>
              <w:t>валюта Счета Карты</w:t>
            </w:r>
          </w:p>
        </w:tc>
        <w:tc>
          <w:tcPr>
            <w:tcW w:w="7228" w:type="dxa"/>
            <w:gridSpan w:val="2"/>
            <w:tcBorders>
              <w:top w:val="single" w:sz="4" w:space="0" w:color="auto"/>
              <w:left w:val="nil"/>
              <w:bottom w:val="single" w:sz="4" w:space="0" w:color="auto"/>
              <w:right w:val="single" w:sz="4" w:space="0" w:color="auto"/>
            </w:tcBorders>
            <w:shd w:val="clear" w:color="auto" w:fill="auto"/>
            <w:noWrap/>
            <w:vAlign w:val="center"/>
            <w:hideMark/>
          </w:tcPr>
          <w:p w14:paraId="730E1EE1" w14:textId="77777777" w:rsidR="005B68FD" w:rsidRPr="00DE7078" w:rsidRDefault="005B68FD" w:rsidP="005B68FD">
            <w:pPr>
              <w:jc w:val="center"/>
              <w:rPr>
                <w:rFonts w:ascii="Tahoma" w:hAnsi="Tahoma" w:cs="Tahoma"/>
                <w:color w:val="000000"/>
                <w:sz w:val="22"/>
                <w:szCs w:val="22"/>
              </w:rPr>
            </w:pPr>
            <w:r w:rsidRPr="00DE7078">
              <w:rPr>
                <w:rFonts w:ascii="Tahoma" w:hAnsi="Tahoma" w:cs="Tahoma"/>
                <w:color w:val="000000"/>
                <w:sz w:val="22"/>
                <w:szCs w:val="22"/>
              </w:rPr>
              <w:t>российский рубль</w:t>
            </w:r>
          </w:p>
        </w:tc>
      </w:tr>
      <w:tr w:rsidR="005B68FD" w:rsidRPr="00DE7078" w14:paraId="5AA54AC9" w14:textId="77777777" w:rsidTr="005B68FD">
        <w:trPr>
          <w:gridAfter w:val="3"/>
          <w:wAfter w:w="7989" w:type="dxa"/>
          <w:trHeight w:val="285"/>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0E1BFD79"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3.2.</w:t>
            </w:r>
          </w:p>
        </w:tc>
        <w:tc>
          <w:tcPr>
            <w:tcW w:w="6953" w:type="dxa"/>
            <w:tcBorders>
              <w:top w:val="nil"/>
              <w:left w:val="nil"/>
              <w:bottom w:val="single" w:sz="4" w:space="0" w:color="auto"/>
              <w:right w:val="single" w:sz="4" w:space="0" w:color="auto"/>
            </w:tcBorders>
            <w:shd w:val="clear" w:color="auto" w:fill="auto"/>
            <w:vAlign w:val="center"/>
            <w:hideMark/>
          </w:tcPr>
          <w:p w14:paraId="62D7D06A" w14:textId="77777777" w:rsidR="005B68FD" w:rsidRPr="00DE7078" w:rsidRDefault="005B68FD" w:rsidP="005B68FD">
            <w:pPr>
              <w:rPr>
                <w:rFonts w:ascii="Tahoma" w:hAnsi="Tahoma" w:cs="Tahoma"/>
                <w:sz w:val="22"/>
                <w:szCs w:val="22"/>
              </w:rPr>
            </w:pPr>
            <w:r w:rsidRPr="00DE7078">
              <w:rPr>
                <w:rFonts w:ascii="Tahoma" w:hAnsi="Tahoma" w:cs="Tahoma"/>
                <w:sz w:val="22"/>
                <w:szCs w:val="22"/>
              </w:rPr>
              <w:t>годовое обслуживание Карты</w:t>
            </w:r>
          </w:p>
        </w:tc>
        <w:tc>
          <w:tcPr>
            <w:tcW w:w="722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635AF6" w14:textId="77777777" w:rsidR="005B68FD" w:rsidRPr="00DE7078" w:rsidRDefault="005B68FD" w:rsidP="005B68FD">
            <w:pPr>
              <w:jc w:val="center"/>
              <w:rPr>
                <w:rFonts w:ascii="Tahoma" w:hAnsi="Tahoma" w:cs="Tahoma"/>
                <w:color w:val="000000"/>
                <w:sz w:val="22"/>
                <w:szCs w:val="22"/>
              </w:rPr>
            </w:pPr>
            <w:r w:rsidRPr="00DE7078">
              <w:rPr>
                <w:rFonts w:ascii="Tahoma" w:hAnsi="Tahoma" w:cs="Tahoma"/>
                <w:color w:val="000000"/>
                <w:sz w:val="22"/>
                <w:szCs w:val="22"/>
              </w:rPr>
              <w:t>БЕСПЛАТНО</w:t>
            </w:r>
          </w:p>
        </w:tc>
      </w:tr>
      <w:tr w:rsidR="005B68FD" w:rsidRPr="00DE7078" w14:paraId="64BDF627" w14:textId="77777777" w:rsidTr="005B68FD">
        <w:trPr>
          <w:gridAfter w:val="3"/>
          <w:wAfter w:w="7989" w:type="dxa"/>
          <w:trHeight w:val="570"/>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1232DC6F"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3.3.</w:t>
            </w:r>
          </w:p>
        </w:tc>
        <w:tc>
          <w:tcPr>
            <w:tcW w:w="6953" w:type="dxa"/>
            <w:tcBorders>
              <w:top w:val="nil"/>
              <w:left w:val="nil"/>
              <w:bottom w:val="single" w:sz="4" w:space="0" w:color="auto"/>
              <w:right w:val="single" w:sz="4" w:space="0" w:color="auto"/>
            </w:tcBorders>
            <w:shd w:val="clear" w:color="auto" w:fill="auto"/>
            <w:vAlign w:val="center"/>
            <w:hideMark/>
          </w:tcPr>
          <w:p w14:paraId="443F58E1" w14:textId="77777777" w:rsidR="005B68FD" w:rsidRPr="00DE7078" w:rsidRDefault="005B68FD" w:rsidP="005B68FD">
            <w:pPr>
              <w:rPr>
                <w:rFonts w:ascii="Tahoma" w:hAnsi="Tahoma" w:cs="Tahoma"/>
                <w:sz w:val="22"/>
                <w:szCs w:val="22"/>
              </w:rPr>
            </w:pPr>
            <w:r w:rsidRPr="00DE7078">
              <w:rPr>
                <w:rFonts w:ascii="Tahoma" w:hAnsi="Tahoma" w:cs="Tahoma"/>
                <w:sz w:val="22"/>
                <w:szCs w:val="22"/>
              </w:rPr>
              <w:t>перевыпуск Карты (основной и дополнительной) по любой из причин в т.ч. плановый перевыпуск по сроку</w:t>
            </w:r>
          </w:p>
        </w:tc>
        <w:tc>
          <w:tcPr>
            <w:tcW w:w="7228" w:type="dxa"/>
            <w:gridSpan w:val="2"/>
            <w:vMerge/>
            <w:tcBorders>
              <w:top w:val="nil"/>
              <w:left w:val="nil"/>
              <w:bottom w:val="single" w:sz="4" w:space="0" w:color="auto"/>
              <w:right w:val="single" w:sz="4" w:space="0" w:color="auto"/>
            </w:tcBorders>
            <w:vAlign w:val="center"/>
            <w:hideMark/>
          </w:tcPr>
          <w:p w14:paraId="4D417F50" w14:textId="77777777" w:rsidR="005B68FD" w:rsidRPr="00DE7078" w:rsidRDefault="005B68FD" w:rsidP="005B68FD">
            <w:pPr>
              <w:rPr>
                <w:rFonts w:ascii="Tahoma" w:hAnsi="Tahoma" w:cs="Tahoma"/>
                <w:color w:val="000000"/>
                <w:sz w:val="22"/>
                <w:szCs w:val="22"/>
              </w:rPr>
            </w:pPr>
          </w:p>
        </w:tc>
      </w:tr>
      <w:tr w:rsidR="005B68FD" w:rsidRPr="00DE7078" w14:paraId="5BEF34D6" w14:textId="77777777" w:rsidTr="005B68FD">
        <w:trPr>
          <w:gridAfter w:val="3"/>
          <w:wAfter w:w="7989" w:type="dxa"/>
          <w:trHeight w:val="300"/>
        </w:trPr>
        <w:tc>
          <w:tcPr>
            <w:tcW w:w="985" w:type="dxa"/>
            <w:tcBorders>
              <w:top w:val="nil"/>
              <w:left w:val="single" w:sz="8" w:space="0" w:color="auto"/>
              <w:bottom w:val="single" w:sz="8" w:space="0" w:color="auto"/>
              <w:right w:val="single" w:sz="8" w:space="0" w:color="auto"/>
            </w:tcBorders>
            <w:shd w:val="clear" w:color="auto" w:fill="auto"/>
            <w:noWrap/>
            <w:vAlign w:val="center"/>
            <w:hideMark/>
          </w:tcPr>
          <w:p w14:paraId="66992B0E" w14:textId="77777777" w:rsidR="005B68FD" w:rsidRPr="00DE7078" w:rsidRDefault="005B68FD" w:rsidP="005B68FD">
            <w:pPr>
              <w:jc w:val="center"/>
              <w:rPr>
                <w:rFonts w:ascii="Tahoma" w:hAnsi="Tahoma" w:cs="Tahoma"/>
                <w:color w:val="000000"/>
                <w:sz w:val="22"/>
                <w:szCs w:val="22"/>
              </w:rPr>
            </w:pPr>
            <w:r w:rsidRPr="00DE7078">
              <w:rPr>
                <w:rFonts w:ascii="Tahoma" w:hAnsi="Tahoma" w:cs="Tahoma"/>
                <w:color w:val="000000"/>
                <w:sz w:val="22"/>
                <w:szCs w:val="22"/>
              </w:rPr>
              <w:t>3.4.</w:t>
            </w:r>
          </w:p>
        </w:tc>
        <w:tc>
          <w:tcPr>
            <w:tcW w:w="6953" w:type="dxa"/>
            <w:tcBorders>
              <w:top w:val="nil"/>
              <w:left w:val="nil"/>
              <w:bottom w:val="single" w:sz="8" w:space="0" w:color="auto"/>
              <w:right w:val="single" w:sz="8" w:space="0" w:color="auto"/>
            </w:tcBorders>
            <w:shd w:val="clear" w:color="auto" w:fill="auto"/>
            <w:vAlign w:val="center"/>
            <w:hideMark/>
          </w:tcPr>
          <w:p w14:paraId="1D159FB7" w14:textId="77777777" w:rsidR="005B68FD" w:rsidRPr="00DE7078" w:rsidRDefault="005B68FD" w:rsidP="005B68FD">
            <w:pPr>
              <w:rPr>
                <w:rFonts w:ascii="Tahoma" w:hAnsi="Tahoma" w:cs="Tahoma"/>
                <w:color w:val="000000"/>
                <w:sz w:val="22"/>
                <w:szCs w:val="22"/>
              </w:rPr>
            </w:pPr>
            <w:r w:rsidRPr="00DE7078">
              <w:rPr>
                <w:rFonts w:ascii="Tahoma" w:hAnsi="Tahoma" w:cs="Tahoma"/>
                <w:color w:val="000000"/>
                <w:sz w:val="22"/>
                <w:szCs w:val="22"/>
              </w:rPr>
              <w:t>вид Карты (основной и дополнительных)</w:t>
            </w:r>
          </w:p>
        </w:tc>
        <w:tc>
          <w:tcPr>
            <w:tcW w:w="7228" w:type="dxa"/>
            <w:gridSpan w:val="2"/>
            <w:tcBorders>
              <w:top w:val="single" w:sz="4" w:space="0" w:color="auto"/>
              <w:left w:val="nil"/>
              <w:bottom w:val="single" w:sz="4" w:space="0" w:color="auto"/>
              <w:right w:val="single" w:sz="4" w:space="0" w:color="000000"/>
            </w:tcBorders>
            <w:shd w:val="clear" w:color="000000" w:fill="FFFFFF"/>
            <w:noWrap/>
            <w:vAlign w:val="center"/>
            <w:hideMark/>
          </w:tcPr>
          <w:p w14:paraId="619CEAF9" w14:textId="77777777" w:rsidR="005B68FD" w:rsidRPr="00DE7078" w:rsidRDefault="005B68FD" w:rsidP="005B68FD">
            <w:pPr>
              <w:jc w:val="center"/>
              <w:rPr>
                <w:rFonts w:ascii="Tahoma" w:hAnsi="Tahoma" w:cs="Tahoma"/>
                <w:color w:val="000000"/>
                <w:sz w:val="22"/>
                <w:szCs w:val="22"/>
              </w:rPr>
            </w:pPr>
            <w:r w:rsidRPr="00DE7078">
              <w:rPr>
                <w:rFonts w:ascii="Tahoma" w:hAnsi="Tahoma" w:cs="Tahoma"/>
                <w:color w:val="000000"/>
                <w:sz w:val="22"/>
                <w:szCs w:val="22"/>
              </w:rPr>
              <w:t>платежная расчетная (дебетовая)</w:t>
            </w:r>
          </w:p>
        </w:tc>
      </w:tr>
      <w:tr w:rsidR="005B68FD" w:rsidRPr="00DE7078" w14:paraId="07143035" w14:textId="77777777" w:rsidTr="005B68FD">
        <w:trPr>
          <w:gridAfter w:val="3"/>
          <w:wAfter w:w="7989" w:type="dxa"/>
          <w:trHeight w:val="285"/>
        </w:trPr>
        <w:tc>
          <w:tcPr>
            <w:tcW w:w="985" w:type="dxa"/>
            <w:tcBorders>
              <w:top w:val="single" w:sz="4" w:space="0" w:color="auto"/>
              <w:left w:val="single" w:sz="4" w:space="0" w:color="auto"/>
              <w:bottom w:val="single" w:sz="4" w:space="0" w:color="auto"/>
              <w:right w:val="single" w:sz="4" w:space="0" w:color="auto"/>
            </w:tcBorders>
            <w:shd w:val="clear" w:color="000000" w:fill="595959"/>
            <w:noWrap/>
            <w:vAlign w:val="center"/>
            <w:hideMark/>
          </w:tcPr>
          <w:p w14:paraId="02CAE28B" w14:textId="77777777" w:rsidR="005B68FD" w:rsidRPr="00DE7078" w:rsidRDefault="005B68FD" w:rsidP="005B68FD">
            <w:pPr>
              <w:jc w:val="center"/>
              <w:rPr>
                <w:rFonts w:ascii="Tahoma" w:hAnsi="Tahoma" w:cs="Tahoma"/>
                <w:color w:val="FFFFFF"/>
                <w:sz w:val="22"/>
                <w:szCs w:val="22"/>
              </w:rPr>
            </w:pPr>
            <w:r w:rsidRPr="00DE7078">
              <w:rPr>
                <w:rFonts w:ascii="Tahoma" w:hAnsi="Tahoma" w:cs="Tahoma"/>
                <w:color w:val="FFFFFF"/>
                <w:sz w:val="22"/>
                <w:szCs w:val="22"/>
              </w:rPr>
              <w:t>3.5.</w:t>
            </w:r>
          </w:p>
        </w:tc>
        <w:tc>
          <w:tcPr>
            <w:tcW w:w="14181" w:type="dxa"/>
            <w:gridSpan w:val="3"/>
            <w:tcBorders>
              <w:top w:val="single" w:sz="4" w:space="0" w:color="auto"/>
              <w:left w:val="nil"/>
              <w:bottom w:val="single" w:sz="4" w:space="0" w:color="auto"/>
              <w:right w:val="single" w:sz="4" w:space="0" w:color="auto"/>
            </w:tcBorders>
            <w:shd w:val="clear" w:color="000000" w:fill="595959"/>
            <w:noWrap/>
            <w:vAlign w:val="center"/>
            <w:hideMark/>
          </w:tcPr>
          <w:p w14:paraId="3C619815" w14:textId="77777777" w:rsidR="005B68FD" w:rsidRPr="00DE7078" w:rsidRDefault="005B68FD" w:rsidP="005B68FD">
            <w:pPr>
              <w:rPr>
                <w:rFonts w:ascii="Tahoma" w:hAnsi="Tahoma" w:cs="Tahoma"/>
                <w:color w:val="FFFFFF"/>
                <w:sz w:val="22"/>
                <w:szCs w:val="22"/>
              </w:rPr>
            </w:pPr>
            <w:r w:rsidRPr="00DE7078">
              <w:rPr>
                <w:rFonts w:ascii="Tahoma" w:hAnsi="Tahoma" w:cs="Tahoma"/>
                <w:color w:val="FFFFFF"/>
                <w:sz w:val="22"/>
                <w:szCs w:val="22"/>
              </w:rPr>
              <w:t>Основная Карта</w:t>
            </w:r>
          </w:p>
        </w:tc>
      </w:tr>
      <w:tr w:rsidR="005B68FD" w:rsidRPr="00DE7078" w14:paraId="66B9731F" w14:textId="77777777" w:rsidTr="005B68FD">
        <w:trPr>
          <w:gridAfter w:val="3"/>
          <w:wAfter w:w="7989" w:type="dxa"/>
          <w:trHeight w:val="285"/>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2C8A0BD1"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3.5.1.</w:t>
            </w:r>
          </w:p>
        </w:tc>
        <w:tc>
          <w:tcPr>
            <w:tcW w:w="6953" w:type="dxa"/>
            <w:tcBorders>
              <w:top w:val="nil"/>
              <w:left w:val="nil"/>
              <w:bottom w:val="single" w:sz="4" w:space="0" w:color="auto"/>
              <w:right w:val="single" w:sz="4" w:space="0" w:color="auto"/>
            </w:tcBorders>
            <w:shd w:val="clear" w:color="000000" w:fill="FFFFFF"/>
            <w:vAlign w:val="center"/>
            <w:hideMark/>
          </w:tcPr>
          <w:p w14:paraId="46F40AFF" w14:textId="77777777" w:rsidR="005B68FD" w:rsidRPr="00DE7078" w:rsidRDefault="005B68FD" w:rsidP="005B68FD">
            <w:pPr>
              <w:rPr>
                <w:rFonts w:ascii="Tahoma" w:hAnsi="Tahoma" w:cs="Tahoma"/>
                <w:sz w:val="22"/>
                <w:szCs w:val="22"/>
              </w:rPr>
            </w:pPr>
            <w:r w:rsidRPr="00DE7078">
              <w:rPr>
                <w:rFonts w:ascii="Tahoma" w:hAnsi="Tahoma" w:cs="Tahoma"/>
                <w:sz w:val="22"/>
                <w:szCs w:val="22"/>
              </w:rPr>
              <w:t>выпуск основной Карты</w:t>
            </w:r>
          </w:p>
        </w:tc>
        <w:tc>
          <w:tcPr>
            <w:tcW w:w="722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56A9B6" w14:textId="77777777" w:rsidR="005B68FD" w:rsidRPr="00DE7078" w:rsidRDefault="005B68FD" w:rsidP="005B68FD">
            <w:pPr>
              <w:jc w:val="center"/>
              <w:rPr>
                <w:rFonts w:ascii="Tahoma" w:hAnsi="Tahoma" w:cs="Tahoma"/>
                <w:color w:val="000000"/>
                <w:sz w:val="22"/>
                <w:szCs w:val="22"/>
              </w:rPr>
            </w:pPr>
            <w:r w:rsidRPr="00DE7078">
              <w:rPr>
                <w:rFonts w:ascii="Tahoma" w:hAnsi="Tahoma" w:cs="Tahoma"/>
                <w:color w:val="000000"/>
                <w:sz w:val="22"/>
                <w:szCs w:val="22"/>
              </w:rPr>
              <w:t>БЕСПЛАТНО</w:t>
            </w:r>
          </w:p>
        </w:tc>
      </w:tr>
      <w:tr w:rsidR="005B68FD" w:rsidRPr="00DE7078" w14:paraId="09E313D8" w14:textId="77777777" w:rsidTr="005B68FD">
        <w:trPr>
          <w:gridAfter w:val="3"/>
          <w:wAfter w:w="7989" w:type="dxa"/>
          <w:trHeight w:val="285"/>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73825B74"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3.5.2.</w:t>
            </w:r>
          </w:p>
        </w:tc>
        <w:tc>
          <w:tcPr>
            <w:tcW w:w="6953" w:type="dxa"/>
            <w:tcBorders>
              <w:top w:val="nil"/>
              <w:left w:val="nil"/>
              <w:bottom w:val="single" w:sz="4" w:space="0" w:color="auto"/>
              <w:right w:val="single" w:sz="4" w:space="0" w:color="auto"/>
            </w:tcBorders>
            <w:shd w:val="clear" w:color="auto" w:fill="auto"/>
            <w:vAlign w:val="center"/>
            <w:hideMark/>
          </w:tcPr>
          <w:p w14:paraId="6AFB6042" w14:textId="77777777" w:rsidR="005B68FD" w:rsidRPr="00DE7078" w:rsidRDefault="005B68FD" w:rsidP="005B68FD">
            <w:pPr>
              <w:rPr>
                <w:rFonts w:ascii="Tahoma" w:hAnsi="Tahoma" w:cs="Tahoma"/>
                <w:sz w:val="22"/>
                <w:szCs w:val="22"/>
              </w:rPr>
            </w:pPr>
            <w:r w:rsidRPr="00DE7078">
              <w:rPr>
                <w:rFonts w:ascii="Tahoma" w:hAnsi="Tahoma" w:cs="Tahoma"/>
                <w:sz w:val="22"/>
                <w:szCs w:val="22"/>
              </w:rPr>
              <w:t xml:space="preserve">открытие Счета Карты </w:t>
            </w:r>
          </w:p>
        </w:tc>
        <w:tc>
          <w:tcPr>
            <w:tcW w:w="7228" w:type="dxa"/>
            <w:gridSpan w:val="2"/>
            <w:vMerge/>
            <w:tcBorders>
              <w:top w:val="nil"/>
              <w:left w:val="nil"/>
              <w:bottom w:val="single" w:sz="4" w:space="0" w:color="auto"/>
              <w:right w:val="single" w:sz="4" w:space="0" w:color="auto"/>
            </w:tcBorders>
            <w:vAlign w:val="center"/>
            <w:hideMark/>
          </w:tcPr>
          <w:p w14:paraId="48A8AC34" w14:textId="77777777" w:rsidR="005B68FD" w:rsidRPr="00DE7078" w:rsidRDefault="005B68FD" w:rsidP="005B68FD">
            <w:pPr>
              <w:rPr>
                <w:rFonts w:ascii="Tahoma" w:hAnsi="Tahoma" w:cs="Tahoma"/>
                <w:color w:val="000000"/>
                <w:sz w:val="22"/>
                <w:szCs w:val="22"/>
              </w:rPr>
            </w:pPr>
          </w:p>
        </w:tc>
      </w:tr>
      <w:tr w:rsidR="005B68FD" w:rsidRPr="00DE7078" w14:paraId="660FA238" w14:textId="77777777" w:rsidTr="005B68FD">
        <w:trPr>
          <w:gridAfter w:val="3"/>
          <w:wAfter w:w="7989" w:type="dxa"/>
          <w:trHeight w:val="285"/>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677D0DD9"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3.5.3.</w:t>
            </w:r>
          </w:p>
        </w:tc>
        <w:tc>
          <w:tcPr>
            <w:tcW w:w="6953" w:type="dxa"/>
            <w:tcBorders>
              <w:top w:val="nil"/>
              <w:left w:val="nil"/>
              <w:bottom w:val="single" w:sz="4" w:space="0" w:color="auto"/>
              <w:right w:val="single" w:sz="4" w:space="0" w:color="auto"/>
            </w:tcBorders>
            <w:shd w:val="clear" w:color="auto" w:fill="auto"/>
            <w:vAlign w:val="center"/>
            <w:hideMark/>
          </w:tcPr>
          <w:p w14:paraId="43892981" w14:textId="77777777" w:rsidR="005B68FD" w:rsidRPr="00DE7078" w:rsidRDefault="005B68FD" w:rsidP="005B68FD">
            <w:pPr>
              <w:rPr>
                <w:rFonts w:ascii="Tahoma" w:hAnsi="Tahoma" w:cs="Tahoma"/>
                <w:sz w:val="22"/>
                <w:szCs w:val="22"/>
              </w:rPr>
            </w:pPr>
            <w:r w:rsidRPr="00DE7078">
              <w:rPr>
                <w:rFonts w:ascii="Tahoma" w:hAnsi="Tahoma" w:cs="Tahoma"/>
                <w:sz w:val="22"/>
                <w:szCs w:val="22"/>
              </w:rPr>
              <w:t>срок действия основной Карты</w:t>
            </w:r>
          </w:p>
        </w:tc>
        <w:tc>
          <w:tcPr>
            <w:tcW w:w="3686" w:type="dxa"/>
            <w:tcBorders>
              <w:top w:val="nil"/>
              <w:left w:val="nil"/>
              <w:bottom w:val="single" w:sz="4" w:space="0" w:color="auto"/>
              <w:right w:val="single" w:sz="4" w:space="0" w:color="auto"/>
            </w:tcBorders>
            <w:shd w:val="clear" w:color="000000" w:fill="FFFFFF"/>
            <w:noWrap/>
            <w:vAlign w:val="center"/>
            <w:hideMark/>
          </w:tcPr>
          <w:p w14:paraId="000A1462" w14:textId="77777777" w:rsidR="005B68FD" w:rsidRPr="00DE7078" w:rsidRDefault="005B68FD" w:rsidP="005B68FD">
            <w:pPr>
              <w:jc w:val="center"/>
              <w:rPr>
                <w:rFonts w:ascii="Tahoma" w:hAnsi="Tahoma" w:cs="Tahoma"/>
                <w:color w:val="000000"/>
                <w:sz w:val="22"/>
                <w:szCs w:val="22"/>
              </w:rPr>
            </w:pPr>
            <w:r w:rsidRPr="00DE7078">
              <w:rPr>
                <w:rFonts w:ascii="Tahoma" w:hAnsi="Tahoma" w:cs="Tahoma"/>
                <w:color w:val="000000"/>
                <w:sz w:val="22"/>
                <w:szCs w:val="22"/>
              </w:rPr>
              <w:t>3 года</w:t>
            </w:r>
          </w:p>
        </w:tc>
        <w:tc>
          <w:tcPr>
            <w:tcW w:w="3542" w:type="dxa"/>
            <w:tcBorders>
              <w:top w:val="nil"/>
              <w:left w:val="nil"/>
              <w:bottom w:val="single" w:sz="4" w:space="0" w:color="auto"/>
              <w:right w:val="single" w:sz="4" w:space="0" w:color="auto"/>
            </w:tcBorders>
            <w:shd w:val="clear" w:color="000000" w:fill="FFFFFF"/>
            <w:noWrap/>
            <w:vAlign w:val="center"/>
            <w:hideMark/>
          </w:tcPr>
          <w:p w14:paraId="1DBC90E7" w14:textId="77777777" w:rsidR="005B68FD" w:rsidRPr="00DE7078" w:rsidRDefault="005B68FD" w:rsidP="005B68FD">
            <w:pPr>
              <w:jc w:val="center"/>
              <w:rPr>
                <w:rFonts w:ascii="Tahoma" w:hAnsi="Tahoma" w:cs="Tahoma"/>
                <w:color w:val="000000"/>
                <w:sz w:val="22"/>
                <w:szCs w:val="22"/>
              </w:rPr>
            </w:pPr>
            <w:r w:rsidRPr="00DE7078">
              <w:rPr>
                <w:rFonts w:ascii="Tahoma" w:hAnsi="Tahoma" w:cs="Tahoma"/>
                <w:color w:val="000000"/>
                <w:sz w:val="22"/>
                <w:szCs w:val="22"/>
              </w:rPr>
              <w:t>6 лет</w:t>
            </w:r>
          </w:p>
        </w:tc>
      </w:tr>
      <w:tr w:rsidR="005B68FD" w:rsidRPr="00DE7078" w14:paraId="572804E7" w14:textId="77777777" w:rsidTr="005B68FD">
        <w:trPr>
          <w:gridAfter w:val="3"/>
          <w:wAfter w:w="7989" w:type="dxa"/>
          <w:trHeight w:val="285"/>
        </w:trPr>
        <w:tc>
          <w:tcPr>
            <w:tcW w:w="985" w:type="dxa"/>
            <w:tcBorders>
              <w:top w:val="nil"/>
              <w:left w:val="single" w:sz="4" w:space="0" w:color="auto"/>
              <w:bottom w:val="single" w:sz="4" w:space="0" w:color="auto"/>
              <w:right w:val="single" w:sz="4" w:space="0" w:color="auto"/>
            </w:tcBorders>
            <w:shd w:val="clear" w:color="000000" w:fill="595959"/>
            <w:noWrap/>
            <w:vAlign w:val="center"/>
            <w:hideMark/>
          </w:tcPr>
          <w:p w14:paraId="00CF1D95" w14:textId="77777777" w:rsidR="005B68FD" w:rsidRPr="00DE7078" w:rsidRDefault="005B68FD" w:rsidP="005B68FD">
            <w:pPr>
              <w:jc w:val="center"/>
              <w:rPr>
                <w:rFonts w:ascii="Tahoma" w:hAnsi="Tahoma" w:cs="Tahoma"/>
                <w:color w:val="FFFFFF"/>
                <w:sz w:val="22"/>
                <w:szCs w:val="22"/>
              </w:rPr>
            </w:pPr>
            <w:r w:rsidRPr="00DE7078">
              <w:rPr>
                <w:rFonts w:ascii="Tahoma" w:hAnsi="Tahoma" w:cs="Tahoma"/>
                <w:color w:val="FFFFFF"/>
                <w:sz w:val="22"/>
                <w:szCs w:val="22"/>
              </w:rPr>
              <w:t>3.6.</w:t>
            </w:r>
          </w:p>
        </w:tc>
        <w:tc>
          <w:tcPr>
            <w:tcW w:w="14181" w:type="dxa"/>
            <w:gridSpan w:val="3"/>
            <w:tcBorders>
              <w:top w:val="single" w:sz="4" w:space="0" w:color="auto"/>
              <w:left w:val="nil"/>
              <w:bottom w:val="single" w:sz="4" w:space="0" w:color="auto"/>
              <w:right w:val="single" w:sz="4" w:space="0" w:color="auto"/>
            </w:tcBorders>
            <w:shd w:val="clear" w:color="000000" w:fill="595959"/>
            <w:noWrap/>
            <w:vAlign w:val="center"/>
            <w:hideMark/>
          </w:tcPr>
          <w:p w14:paraId="24AE8B70" w14:textId="77777777" w:rsidR="005B68FD" w:rsidRPr="00DE7078" w:rsidRDefault="005B68FD" w:rsidP="005B68FD">
            <w:pPr>
              <w:rPr>
                <w:rFonts w:ascii="Tahoma" w:hAnsi="Tahoma" w:cs="Tahoma"/>
                <w:color w:val="FFFFFF"/>
                <w:sz w:val="22"/>
                <w:szCs w:val="22"/>
              </w:rPr>
            </w:pPr>
            <w:r w:rsidRPr="00DE7078">
              <w:rPr>
                <w:rFonts w:ascii="Tahoma" w:hAnsi="Tahoma" w:cs="Tahoma"/>
                <w:color w:val="FFFFFF"/>
                <w:sz w:val="22"/>
                <w:szCs w:val="22"/>
              </w:rPr>
              <w:t>Дополнительная Карта</w:t>
            </w:r>
          </w:p>
        </w:tc>
      </w:tr>
      <w:tr w:rsidR="005B68FD" w:rsidRPr="00DE7078" w14:paraId="46175344" w14:textId="77777777" w:rsidTr="005B68FD">
        <w:trPr>
          <w:gridAfter w:val="3"/>
          <w:wAfter w:w="7989" w:type="dxa"/>
          <w:trHeight w:val="285"/>
        </w:trPr>
        <w:tc>
          <w:tcPr>
            <w:tcW w:w="985" w:type="dxa"/>
            <w:tcBorders>
              <w:top w:val="nil"/>
              <w:left w:val="single" w:sz="4" w:space="0" w:color="auto"/>
              <w:bottom w:val="single" w:sz="4" w:space="0" w:color="auto"/>
              <w:right w:val="single" w:sz="4" w:space="0" w:color="auto"/>
            </w:tcBorders>
            <w:shd w:val="clear" w:color="000000" w:fill="FFFFFF"/>
            <w:noWrap/>
            <w:vAlign w:val="center"/>
            <w:hideMark/>
          </w:tcPr>
          <w:p w14:paraId="3551069F"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3.6.1.</w:t>
            </w:r>
          </w:p>
        </w:tc>
        <w:tc>
          <w:tcPr>
            <w:tcW w:w="6953" w:type="dxa"/>
            <w:tcBorders>
              <w:top w:val="nil"/>
              <w:left w:val="nil"/>
              <w:bottom w:val="single" w:sz="4" w:space="0" w:color="auto"/>
              <w:right w:val="nil"/>
            </w:tcBorders>
            <w:shd w:val="clear" w:color="000000" w:fill="FFFFFF"/>
            <w:vAlign w:val="center"/>
            <w:hideMark/>
          </w:tcPr>
          <w:p w14:paraId="0077C4C0" w14:textId="77777777" w:rsidR="005B68FD" w:rsidRPr="00DE7078" w:rsidRDefault="005B68FD" w:rsidP="005B68FD">
            <w:pPr>
              <w:rPr>
                <w:rFonts w:ascii="Tahoma" w:hAnsi="Tahoma" w:cs="Tahoma"/>
                <w:sz w:val="22"/>
                <w:szCs w:val="22"/>
              </w:rPr>
            </w:pPr>
            <w:r w:rsidRPr="00DE7078">
              <w:rPr>
                <w:rFonts w:ascii="Tahoma" w:hAnsi="Tahoma" w:cs="Tahoma"/>
                <w:sz w:val="22"/>
                <w:szCs w:val="22"/>
              </w:rPr>
              <w:t>возможный тип дополнительной Карты</w:t>
            </w:r>
          </w:p>
        </w:tc>
        <w:tc>
          <w:tcPr>
            <w:tcW w:w="3686" w:type="dxa"/>
            <w:tcBorders>
              <w:top w:val="nil"/>
              <w:left w:val="single" w:sz="4" w:space="0" w:color="auto"/>
              <w:bottom w:val="single" w:sz="4" w:space="0" w:color="auto"/>
              <w:right w:val="single" w:sz="4" w:space="0" w:color="auto"/>
            </w:tcBorders>
            <w:shd w:val="clear" w:color="000000" w:fill="FFFFFF"/>
            <w:vAlign w:val="center"/>
            <w:hideMark/>
          </w:tcPr>
          <w:p w14:paraId="0DC3BC11"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Visa Gold, Мир</w:t>
            </w:r>
            <w:r w:rsidRPr="00DE7078">
              <w:rPr>
                <w:rFonts w:ascii="Tahoma" w:hAnsi="Tahoma" w:cs="Tahoma"/>
                <w:sz w:val="20"/>
                <w:szCs w:val="20"/>
                <w:vertAlign w:val="superscript"/>
              </w:rPr>
              <w:t>6</w:t>
            </w:r>
          </w:p>
        </w:tc>
        <w:tc>
          <w:tcPr>
            <w:tcW w:w="3542" w:type="dxa"/>
            <w:tcBorders>
              <w:top w:val="nil"/>
              <w:left w:val="nil"/>
              <w:bottom w:val="single" w:sz="4" w:space="0" w:color="auto"/>
              <w:right w:val="single" w:sz="4" w:space="0" w:color="auto"/>
            </w:tcBorders>
            <w:shd w:val="clear" w:color="000000" w:fill="FFFFFF"/>
            <w:vAlign w:val="center"/>
            <w:hideMark/>
          </w:tcPr>
          <w:p w14:paraId="29128223"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Visa Gold, Мир</w:t>
            </w:r>
            <w:r w:rsidRPr="00DE7078">
              <w:rPr>
                <w:rFonts w:ascii="Tahoma" w:hAnsi="Tahoma" w:cs="Tahoma"/>
                <w:sz w:val="20"/>
                <w:szCs w:val="20"/>
                <w:vertAlign w:val="superscript"/>
              </w:rPr>
              <w:t>6</w:t>
            </w:r>
          </w:p>
        </w:tc>
      </w:tr>
      <w:tr w:rsidR="005B68FD" w:rsidRPr="00DE7078" w14:paraId="2C2A9FB0" w14:textId="77777777" w:rsidTr="005B68FD">
        <w:trPr>
          <w:gridAfter w:val="3"/>
          <w:wAfter w:w="7989" w:type="dxa"/>
          <w:trHeight w:val="285"/>
        </w:trPr>
        <w:tc>
          <w:tcPr>
            <w:tcW w:w="985" w:type="dxa"/>
            <w:tcBorders>
              <w:top w:val="nil"/>
              <w:left w:val="single" w:sz="4" w:space="0" w:color="auto"/>
              <w:bottom w:val="single" w:sz="4" w:space="0" w:color="auto"/>
              <w:right w:val="single" w:sz="4" w:space="0" w:color="auto"/>
            </w:tcBorders>
            <w:shd w:val="clear" w:color="000000" w:fill="FFFFFF"/>
            <w:noWrap/>
            <w:vAlign w:val="center"/>
            <w:hideMark/>
          </w:tcPr>
          <w:p w14:paraId="07E23208"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3.6.2.</w:t>
            </w:r>
          </w:p>
        </w:tc>
        <w:tc>
          <w:tcPr>
            <w:tcW w:w="6953" w:type="dxa"/>
            <w:tcBorders>
              <w:top w:val="nil"/>
              <w:left w:val="nil"/>
              <w:bottom w:val="single" w:sz="4" w:space="0" w:color="auto"/>
              <w:right w:val="single" w:sz="4" w:space="0" w:color="auto"/>
            </w:tcBorders>
            <w:shd w:val="clear" w:color="000000" w:fill="FFFFFF"/>
            <w:vAlign w:val="center"/>
            <w:hideMark/>
          </w:tcPr>
          <w:p w14:paraId="0BA6224B" w14:textId="77777777" w:rsidR="005B68FD" w:rsidRPr="00DE7078" w:rsidRDefault="005B68FD" w:rsidP="005B68FD">
            <w:pPr>
              <w:rPr>
                <w:rFonts w:ascii="Tahoma" w:hAnsi="Tahoma" w:cs="Tahoma"/>
                <w:sz w:val="22"/>
                <w:szCs w:val="22"/>
              </w:rPr>
            </w:pPr>
            <w:r w:rsidRPr="00DE7078">
              <w:rPr>
                <w:rFonts w:ascii="Tahoma" w:hAnsi="Tahoma" w:cs="Tahoma"/>
                <w:sz w:val="22"/>
                <w:szCs w:val="22"/>
              </w:rPr>
              <w:t>выпуск дополнительной Карты</w:t>
            </w:r>
          </w:p>
        </w:tc>
        <w:tc>
          <w:tcPr>
            <w:tcW w:w="7228"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14:paraId="7F7E525C"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БЕСПЛАТНО</w:t>
            </w:r>
          </w:p>
        </w:tc>
      </w:tr>
      <w:tr w:rsidR="005B68FD" w:rsidRPr="00DE7078" w14:paraId="3FA96679" w14:textId="77777777" w:rsidTr="005B68FD">
        <w:trPr>
          <w:gridAfter w:val="3"/>
          <w:wAfter w:w="7989" w:type="dxa"/>
          <w:trHeight w:val="285"/>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7A3CFDF9"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3.6.3.</w:t>
            </w:r>
          </w:p>
        </w:tc>
        <w:tc>
          <w:tcPr>
            <w:tcW w:w="6953" w:type="dxa"/>
            <w:tcBorders>
              <w:top w:val="nil"/>
              <w:left w:val="nil"/>
              <w:bottom w:val="single" w:sz="4" w:space="0" w:color="auto"/>
              <w:right w:val="single" w:sz="4" w:space="0" w:color="auto"/>
            </w:tcBorders>
            <w:shd w:val="clear" w:color="000000" w:fill="FFFFFF"/>
            <w:vAlign w:val="center"/>
            <w:hideMark/>
          </w:tcPr>
          <w:p w14:paraId="10E82DE6" w14:textId="77777777" w:rsidR="005B68FD" w:rsidRPr="00DE7078" w:rsidRDefault="005B68FD" w:rsidP="005B68FD">
            <w:pPr>
              <w:rPr>
                <w:rFonts w:ascii="Tahoma" w:hAnsi="Tahoma" w:cs="Tahoma"/>
                <w:sz w:val="22"/>
                <w:szCs w:val="22"/>
              </w:rPr>
            </w:pPr>
            <w:r w:rsidRPr="00DE7078">
              <w:rPr>
                <w:rFonts w:ascii="Tahoma" w:hAnsi="Tahoma" w:cs="Tahoma"/>
                <w:sz w:val="22"/>
                <w:szCs w:val="22"/>
              </w:rPr>
              <w:t>ежемесячное обслуживание дополнительной Карты</w:t>
            </w:r>
          </w:p>
        </w:tc>
        <w:tc>
          <w:tcPr>
            <w:tcW w:w="7228" w:type="dxa"/>
            <w:gridSpan w:val="2"/>
            <w:vMerge/>
            <w:tcBorders>
              <w:top w:val="nil"/>
              <w:left w:val="nil"/>
              <w:bottom w:val="single" w:sz="4" w:space="0" w:color="auto"/>
              <w:right w:val="single" w:sz="4" w:space="0" w:color="auto"/>
            </w:tcBorders>
            <w:vAlign w:val="center"/>
            <w:hideMark/>
          </w:tcPr>
          <w:p w14:paraId="36358E85" w14:textId="77777777" w:rsidR="005B68FD" w:rsidRPr="00DE7078" w:rsidRDefault="005B68FD" w:rsidP="005B68FD">
            <w:pPr>
              <w:rPr>
                <w:rFonts w:ascii="Tahoma" w:hAnsi="Tahoma" w:cs="Tahoma"/>
                <w:sz w:val="22"/>
                <w:szCs w:val="22"/>
              </w:rPr>
            </w:pPr>
          </w:p>
        </w:tc>
      </w:tr>
      <w:tr w:rsidR="005B68FD" w:rsidRPr="00DE7078" w14:paraId="3739A750" w14:textId="77777777" w:rsidTr="005B68FD">
        <w:trPr>
          <w:gridAfter w:val="3"/>
          <w:wAfter w:w="7989" w:type="dxa"/>
          <w:trHeight w:val="570"/>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60CD07D9"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3.6.4.</w:t>
            </w:r>
          </w:p>
        </w:tc>
        <w:tc>
          <w:tcPr>
            <w:tcW w:w="6953" w:type="dxa"/>
            <w:tcBorders>
              <w:top w:val="nil"/>
              <w:left w:val="nil"/>
              <w:bottom w:val="single" w:sz="4" w:space="0" w:color="auto"/>
              <w:right w:val="single" w:sz="4" w:space="0" w:color="auto"/>
            </w:tcBorders>
            <w:shd w:val="clear" w:color="auto" w:fill="auto"/>
            <w:vAlign w:val="center"/>
            <w:hideMark/>
          </w:tcPr>
          <w:p w14:paraId="34B2EC25" w14:textId="77777777" w:rsidR="005B68FD" w:rsidRPr="00DE7078" w:rsidRDefault="005B68FD" w:rsidP="005B68FD">
            <w:pPr>
              <w:rPr>
                <w:rFonts w:ascii="Tahoma" w:hAnsi="Tahoma" w:cs="Tahoma"/>
                <w:sz w:val="22"/>
                <w:szCs w:val="22"/>
              </w:rPr>
            </w:pPr>
            <w:r w:rsidRPr="00DE7078">
              <w:rPr>
                <w:rFonts w:ascii="Tahoma" w:hAnsi="Tahoma" w:cs="Tahoma"/>
                <w:sz w:val="22"/>
                <w:szCs w:val="22"/>
              </w:rPr>
              <w:t xml:space="preserve">количество возможных дополнительных Карт, выпущенных к одному Счету </w:t>
            </w:r>
            <w:r>
              <w:rPr>
                <w:rFonts w:ascii="Tahoma" w:hAnsi="Tahoma" w:cs="Tahoma"/>
                <w:sz w:val="22"/>
                <w:szCs w:val="22"/>
              </w:rPr>
              <w:t>без ограничений по количеству раз</w:t>
            </w:r>
          </w:p>
        </w:tc>
        <w:tc>
          <w:tcPr>
            <w:tcW w:w="7228" w:type="dxa"/>
            <w:gridSpan w:val="2"/>
            <w:tcBorders>
              <w:top w:val="single" w:sz="4" w:space="0" w:color="auto"/>
              <w:left w:val="nil"/>
              <w:bottom w:val="single" w:sz="4" w:space="0" w:color="auto"/>
              <w:right w:val="single" w:sz="4" w:space="0" w:color="auto"/>
            </w:tcBorders>
            <w:shd w:val="clear" w:color="auto" w:fill="auto"/>
            <w:noWrap/>
            <w:vAlign w:val="center"/>
            <w:hideMark/>
          </w:tcPr>
          <w:p w14:paraId="4F1A18E3"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2 шт.</w:t>
            </w:r>
          </w:p>
        </w:tc>
      </w:tr>
      <w:tr w:rsidR="005B68FD" w:rsidRPr="00DE7078" w14:paraId="71BEB6FA" w14:textId="77777777" w:rsidTr="005B68FD">
        <w:trPr>
          <w:gridAfter w:val="3"/>
          <w:wAfter w:w="7989" w:type="dxa"/>
          <w:trHeight w:val="285"/>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39D482A7"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3.6.5.</w:t>
            </w:r>
          </w:p>
        </w:tc>
        <w:tc>
          <w:tcPr>
            <w:tcW w:w="6953" w:type="dxa"/>
            <w:tcBorders>
              <w:top w:val="nil"/>
              <w:left w:val="nil"/>
              <w:bottom w:val="single" w:sz="4" w:space="0" w:color="auto"/>
              <w:right w:val="single" w:sz="4" w:space="0" w:color="auto"/>
            </w:tcBorders>
            <w:shd w:val="clear" w:color="000000" w:fill="FFFFFF"/>
            <w:vAlign w:val="center"/>
            <w:hideMark/>
          </w:tcPr>
          <w:p w14:paraId="28A50B4C" w14:textId="77777777" w:rsidR="005B68FD" w:rsidRPr="00DE7078" w:rsidRDefault="005B68FD" w:rsidP="005B68FD">
            <w:pPr>
              <w:rPr>
                <w:rFonts w:ascii="Tahoma" w:hAnsi="Tahoma" w:cs="Tahoma"/>
                <w:sz w:val="22"/>
                <w:szCs w:val="22"/>
              </w:rPr>
            </w:pPr>
            <w:r w:rsidRPr="00DE7078">
              <w:rPr>
                <w:rFonts w:ascii="Tahoma" w:hAnsi="Tahoma" w:cs="Tahoma"/>
                <w:sz w:val="22"/>
                <w:szCs w:val="22"/>
              </w:rPr>
              <w:t>срок действия дополнительной Карты</w:t>
            </w:r>
          </w:p>
        </w:tc>
        <w:tc>
          <w:tcPr>
            <w:tcW w:w="3686" w:type="dxa"/>
            <w:tcBorders>
              <w:top w:val="nil"/>
              <w:left w:val="nil"/>
              <w:bottom w:val="single" w:sz="4" w:space="0" w:color="auto"/>
              <w:right w:val="single" w:sz="4" w:space="0" w:color="auto"/>
            </w:tcBorders>
            <w:shd w:val="clear" w:color="000000" w:fill="FFFFFF"/>
            <w:noWrap/>
            <w:vAlign w:val="center"/>
            <w:hideMark/>
          </w:tcPr>
          <w:p w14:paraId="5EAF3926"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3 года</w:t>
            </w:r>
          </w:p>
        </w:tc>
        <w:tc>
          <w:tcPr>
            <w:tcW w:w="3542" w:type="dxa"/>
            <w:tcBorders>
              <w:top w:val="nil"/>
              <w:left w:val="nil"/>
              <w:bottom w:val="single" w:sz="4" w:space="0" w:color="auto"/>
              <w:right w:val="single" w:sz="4" w:space="0" w:color="auto"/>
            </w:tcBorders>
            <w:shd w:val="clear" w:color="000000" w:fill="FFFFFF"/>
            <w:noWrap/>
            <w:vAlign w:val="center"/>
            <w:hideMark/>
          </w:tcPr>
          <w:p w14:paraId="03305F25"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6 лет</w:t>
            </w:r>
          </w:p>
        </w:tc>
      </w:tr>
      <w:tr w:rsidR="005B68FD" w:rsidRPr="00DE7078" w14:paraId="110737C2" w14:textId="77777777" w:rsidTr="005B68FD">
        <w:trPr>
          <w:gridAfter w:val="3"/>
          <w:wAfter w:w="7989" w:type="dxa"/>
          <w:trHeight w:val="315"/>
        </w:trPr>
        <w:tc>
          <w:tcPr>
            <w:tcW w:w="985" w:type="dxa"/>
            <w:tcBorders>
              <w:top w:val="nil"/>
              <w:left w:val="single" w:sz="4" w:space="0" w:color="auto"/>
              <w:bottom w:val="single" w:sz="4" w:space="0" w:color="auto"/>
              <w:right w:val="single" w:sz="4" w:space="0" w:color="auto"/>
            </w:tcBorders>
            <w:shd w:val="clear" w:color="000000" w:fill="595959"/>
            <w:noWrap/>
            <w:vAlign w:val="center"/>
            <w:hideMark/>
          </w:tcPr>
          <w:p w14:paraId="3C7E78ED" w14:textId="77777777" w:rsidR="005B68FD" w:rsidRPr="00DE7078" w:rsidRDefault="005B68FD" w:rsidP="005B68FD">
            <w:pPr>
              <w:jc w:val="center"/>
              <w:rPr>
                <w:rFonts w:ascii="Tahoma" w:hAnsi="Tahoma" w:cs="Tahoma"/>
                <w:color w:val="FFFFFF"/>
                <w:sz w:val="22"/>
                <w:szCs w:val="22"/>
              </w:rPr>
            </w:pPr>
            <w:r w:rsidRPr="00DE7078">
              <w:rPr>
                <w:rFonts w:ascii="Tahoma" w:hAnsi="Tahoma" w:cs="Tahoma"/>
                <w:color w:val="FFFFFF"/>
                <w:sz w:val="22"/>
                <w:szCs w:val="22"/>
              </w:rPr>
              <w:t>4.</w:t>
            </w:r>
          </w:p>
        </w:tc>
        <w:tc>
          <w:tcPr>
            <w:tcW w:w="14181" w:type="dxa"/>
            <w:gridSpan w:val="3"/>
            <w:tcBorders>
              <w:top w:val="single" w:sz="4" w:space="0" w:color="auto"/>
              <w:left w:val="nil"/>
              <w:bottom w:val="single" w:sz="4" w:space="0" w:color="auto"/>
              <w:right w:val="nil"/>
            </w:tcBorders>
            <w:shd w:val="clear" w:color="000000" w:fill="595959"/>
            <w:noWrap/>
            <w:vAlign w:val="center"/>
            <w:hideMark/>
          </w:tcPr>
          <w:p w14:paraId="5AF2006D" w14:textId="77777777" w:rsidR="005B68FD" w:rsidRPr="00DE7078" w:rsidRDefault="005B68FD" w:rsidP="005B68FD">
            <w:pPr>
              <w:rPr>
                <w:rFonts w:ascii="Tahoma" w:hAnsi="Tahoma" w:cs="Tahoma"/>
                <w:color w:val="FFFFFF"/>
                <w:sz w:val="22"/>
                <w:szCs w:val="22"/>
              </w:rPr>
            </w:pPr>
            <w:r w:rsidRPr="00DE7078">
              <w:rPr>
                <w:rFonts w:ascii="Tahoma" w:hAnsi="Tahoma" w:cs="Tahoma"/>
                <w:color w:val="FFFFFF"/>
                <w:sz w:val="22"/>
                <w:szCs w:val="22"/>
              </w:rPr>
              <w:t>Начисление процентов Банком Клиенту на остаток денежных средств на Счете Карты в Периоде</w:t>
            </w:r>
            <w:r w:rsidRPr="00DE7078">
              <w:rPr>
                <w:rFonts w:ascii="Tahoma" w:hAnsi="Tahoma" w:cs="Tahoma"/>
                <w:color w:val="FFFFFF"/>
                <w:sz w:val="22"/>
                <w:szCs w:val="22"/>
                <w:vertAlign w:val="superscript"/>
              </w:rPr>
              <w:t>7</w:t>
            </w:r>
          </w:p>
        </w:tc>
      </w:tr>
      <w:tr w:rsidR="005B68FD" w:rsidRPr="00DE7078" w14:paraId="7A50224E" w14:textId="77777777" w:rsidTr="005B68FD">
        <w:trPr>
          <w:gridAfter w:val="3"/>
          <w:wAfter w:w="7989" w:type="dxa"/>
          <w:trHeight w:val="285"/>
        </w:trPr>
        <w:tc>
          <w:tcPr>
            <w:tcW w:w="985" w:type="dxa"/>
            <w:tcBorders>
              <w:top w:val="nil"/>
              <w:left w:val="single" w:sz="4" w:space="0" w:color="auto"/>
              <w:bottom w:val="single" w:sz="4" w:space="0" w:color="auto"/>
              <w:right w:val="single" w:sz="4" w:space="0" w:color="auto"/>
            </w:tcBorders>
            <w:shd w:val="clear" w:color="000000" w:fill="595959"/>
            <w:noWrap/>
            <w:vAlign w:val="center"/>
            <w:hideMark/>
          </w:tcPr>
          <w:p w14:paraId="5CF2BF01" w14:textId="77777777" w:rsidR="005B68FD" w:rsidRPr="00DE7078" w:rsidRDefault="005B68FD" w:rsidP="005B68FD">
            <w:pPr>
              <w:jc w:val="center"/>
              <w:rPr>
                <w:rFonts w:ascii="Tahoma" w:hAnsi="Tahoma" w:cs="Tahoma"/>
                <w:color w:val="FFFFFF"/>
                <w:sz w:val="22"/>
                <w:szCs w:val="22"/>
              </w:rPr>
            </w:pPr>
            <w:r w:rsidRPr="00DE7078">
              <w:rPr>
                <w:rFonts w:ascii="Tahoma" w:hAnsi="Tahoma" w:cs="Tahoma"/>
                <w:color w:val="FFFFFF"/>
                <w:sz w:val="22"/>
                <w:szCs w:val="22"/>
              </w:rPr>
              <w:t>4.1.</w:t>
            </w:r>
          </w:p>
        </w:tc>
        <w:tc>
          <w:tcPr>
            <w:tcW w:w="6953" w:type="dxa"/>
            <w:tcBorders>
              <w:top w:val="nil"/>
              <w:left w:val="nil"/>
              <w:bottom w:val="single" w:sz="4" w:space="0" w:color="auto"/>
              <w:right w:val="single" w:sz="4" w:space="0" w:color="auto"/>
            </w:tcBorders>
            <w:shd w:val="clear" w:color="000000" w:fill="595959"/>
            <w:noWrap/>
            <w:vAlign w:val="center"/>
            <w:hideMark/>
          </w:tcPr>
          <w:p w14:paraId="679665AC" w14:textId="77777777" w:rsidR="005B68FD" w:rsidRPr="00DE7078" w:rsidRDefault="005B68FD" w:rsidP="005B68FD">
            <w:pPr>
              <w:rPr>
                <w:rFonts w:ascii="Tahoma" w:hAnsi="Tahoma" w:cs="Tahoma"/>
                <w:color w:val="FFFFFF"/>
                <w:sz w:val="22"/>
                <w:szCs w:val="22"/>
              </w:rPr>
            </w:pPr>
            <w:r w:rsidRPr="00DE7078">
              <w:rPr>
                <w:rFonts w:ascii="Tahoma" w:hAnsi="Tahoma" w:cs="Tahoma"/>
                <w:color w:val="FFFFFF"/>
                <w:sz w:val="22"/>
                <w:szCs w:val="22"/>
              </w:rPr>
              <w:t>Процентная ставка на остаток денежных средств в рублях на Счете Карты, % годовых</w:t>
            </w:r>
          </w:p>
        </w:tc>
        <w:tc>
          <w:tcPr>
            <w:tcW w:w="3686" w:type="dxa"/>
            <w:tcBorders>
              <w:top w:val="nil"/>
              <w:left w:val="nil"/>
              <w:bottom w:val="single" w:sz="4" w:space="0" w:color="auto"/>
              <w:right w:val="nil"/>
            </w:tcBorders>
            <w:shd w:val="clear" w:color="000000" w:fill="595959"/>
            <w:noWrap/>
            <w:vAlign w:val="center"/>
            <w:hideMark/>
          </w:tcPr>
          <w:p w14:paraId="0FC76F4C" w14:textId="77777777" w:rsidR="005B68FD" w:rsidRPr="00DE7078" w:rsidRDefault="005B68FD" w:rsidP="005B68FD">
            <w:pPr>
              <w:rPr>
                <w:rFonts w:ascii="Tahoma" w:hAnsi="Tahoma" w:cs="Tahoma"/>
                <w:color w:val="FFFFFF"/>
                <w:sz w:val="22"/>
                <w:szCs w:val="22"/>
              </w:rPr>
            </w:pPr>
            <w:r w:rsidRPr="00DE7078">
              <w:rPr>
                <w:rFonts w:ascii="Tahoma" w:hAnsi="Tahoma" w:cs="Tahoma"/>
                <w:color w:val="FFFFFF"/>
                <w:sz w:val="22"/>
                <w:szCs w:val="22"/>
              </w:rPr>
              <w:t> </w:t>
            </w:r>
          </w:p>
        </w:tc>
        <w:tc>
          <w:tcPr>
            <w:tcW w:w="3542" w:type="dxa"/>
            <w:tcBorders>
              <w:top w:val="nil"/>
              <w:left w:val="nil"/>
              <w:bottom w:val="single" w:sz="4" w:space="0" w:color="auto"/>
              <w:right w:val="single" w:sz="4" w:space="0" w:color="auto"/>
            </w:tcBorders>
            <w:shd w:val="clear" w:color="000000" w:fill="595959"/>
            <w:noWrap/>
            <w:vAlign w:val="center"/>
            <w:hideMark/>
          </w:tcPr>
          <w:p w14:paraId="71057B17" w14:textId="77777777" w:rsidR="005B68FD" w:rsidRPr="00DE7078" w:rsidRDefault="005B68FD" w:rsidP="005B68FD">
            <w:pPr>
              <w:rPr>
                <w:rFonts w:ascii="Tahoma" w:hAnsi="Tahoma" w:cs="Tahoma"/>
                <w:color w:val="FFFFFF"/>
                <w:sz w:val="22"/>
                <w:szCs w:val="22"/>
              </w:rPr>
            </w:pPr>
            <w:r w:rsidRPr="00DE7078">
              <w:rPr>
                <w:rFonts w:ascii="Tahoma" w:hAnsi="Tahoma" w:cs="Tahoma"/>
                <w:color w:val="FFFFFF"/>
                <w:sz w:val="22"/>
                <w:szCs w:val="22"/>
              </w:rPr>
              <w:t> </w:t>
            </w:r>
          </w:p>
        </w:tc>
      </w:tr>
      <w:tr w:rsidR="005B68FD" w:rsidRPr="00DE7078" w14:paraId="4E7E4119" w14:textId="77777777" w:rsidTr="005B68FD">
        <w:trPr>
          <w:gridAfter w:val="3"/>
          <w:wAfter w:w="7989" w:type="dxa"/>
          <w:trHeight w:val="285"/>
        </w:trPr>
        <w:tc>
          <w:tcPr>
            <w:tcW w:w="985" w:type="dxa"/>
            <w:tcBorders>
              <w:top w:val="nil"/>
              <w:left w:val="single" w:sz="4" w:space="0" w:color="auto"/>
              <w:bottom w:val="single" w:sz="4" w:space="0" w:color="auto"/>
              <w:right w:val="single" w:sz="4" w:space="0" w:color="auto"/>
            </w:tcBorders>
            <w:shd w:val="clear" w:color="000000" w:fill="FFFFFF"/>
            <w:noWrap/>
            <w:vAlign w:val="center"/>
            <w:hideMark/>
          </w:tcPr>
          <w:p w14:paraId="6F40FB66"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4.1.1.</w:t>
            </w:r>
          </w:p>
        </w:tc>
        <w:tc>
          <w:tcPr>
            <w:tcW w:w="6953" w:type="dxa"/>
            <w:tcBorders>
              <w:top w:val="nil"/>
              <w:left w:val="nil"/>
              <w:bottom w:val="single" w:sz="4" w:space="0" w:color="auto"/>
              <w:right w:val="single" w:sz="4" w:space="0" w:color="auto"/>
            </w:tcBorders>
            <w:shd w:val="clear" w:color="000000" w:fill="FFFFFF"/>
            <w:vAlign w:val="center"/>
            <w:hideMark/>
          </w:tcPr>
          <w:p w14:paraId="2AF97C01" w14:textId="77777777" w:rsidR="005B68FD" w:rsidRPr="00DE7078" w:rsidRDefault="005B68FD" w:rsidP="005B68FD">
            <w:pPr>
              <w:rPr>
                <w:rFonts w:ascii="Tahoma" w:hAnsi="Tahoma" w:cs="Tahoma"/>
                <w:sz w:val="22"/>
                <w:szCs w:val="22"/>
              </w:rPr>
            </w:pPr>
            <w:r w:rsidRPr="00DE7078">
              <w:rPr>
                <w:rFonts w:ascii="Tahoma" w:hAnsi="Tahoma" w:cs="Tahoma"/>
                <w:sz w:val="22"/>
                <w:szCs w:val="22"/>
              </w:rPr>
              <w:t>процентная ставка, % годовых</w:t>
            </w:r>
          </w:p>
        </w:tc>
        <w:tc>
          <w:tcPr>
            <w:tcW w:w="7228" w:type="dxa"/>
            <w:gridSpan w:val="2"/>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40170742"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не предусмотрено</w:t>
            </w:r>
          </w:p>
        </w:tc>
      </w:tr>
      <w:tr w:rsidR="005B68FD" w:rsidRPr="00DE7078" w14:paraId="74A33151" w14:textId="77777777" w:rsidTr="005B68FD">
        <w:trPr>
          <w:gridAfter w:val="3"/>
          <w:wAfter w:w="7989" w:type="dxa"/>
          <w:trHeight w:val="285"/>
        </w:trPr>
        <w:tc>
          <w:tcPr>
            <w:tcW w:w="985" w:type="dxa"/>
            <w:tcBorders>
              <w:top w:val="nil"/>
              <w:left w:val="single" w:sz="4" w:space="0" w:color="auto"/>
              <w:bottom w:val="single" w:sz="4" w:space="0" w:color="auto"/>
              <w:right w:val="single" w:sz="4" w:space="0" w:color="auto"/>
            </w:tcBorders>
            <w:shd w:val="clear" w:color="000000" w:fill="FFFFFF"/>
            <w:noWrap/>
            <w:vAlign w:val="center"/>
            <w:hideMark/>
          </w:tcPr>
          <w:p w14:paraId="5C9438EB"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4.1.2.</w:t>
            </w:r>
          </w:p>
        </w:tc>
        <w:tc>
          <w:tcPr>
            <w:tcW w:w="6953" w:type="dxa"/>
            <w:tcBorders>
              <w:top w:val="nil"/>
              <w:left w:val="nil"/>
              <w:bottom w:val="single" w:sz="4" w:space="0" w:color="auto"/>
              <w:right w:val="single" w:sz="4" w:space="0" w:color="auto"/>
            </w:tcBorders>
            <w:shd w:val="clear" w:color="000000" w:fill="FFFFFF"/>
            <w:vAlign w:val="center"/>
            <w:hideMark/>
          </w:tcPr>
          <w:p w14:paraId="3D586B3C" w14:textId="77777777" w:rsidR="005B68FD" w:rsidRPr="00DE7078" w:rsidRDefault="005B68FD" w:rsidP="005B68FD">
            <w:pPr>
              <w:rPr>
                <w:rFonts w:ascii="Tahoma" w:hAnsi="Tahoma" w:cs="Tahoma"/>
                <w:sz w:val="22"/>
                <w:szCs w:val="22"/>
              </w:rPr>
            </w:pPr>
            <w:r w:rsidRPr="00DE7078">
              <w:rPr>
                <w:rFonts w:ascii="Tahoma" w:hAnsi="Tahoma" w:cs="Tahoma"/>
                <w:sz w:val="22"/>
                <w:szCs w:val="22"/>
              </w:rPr>
              <w:t>периодичность начисления процентов</w:t>
            </w:r>
          </w:p>
        </w:tc>
        <w:tc>
          <w:tcPr>
            <w:tcW w:w="7228" w:type="dxa"/>
            <w:gridSpan w:val="2"/>
            <w:vMerge/>
            <w:tcBorders>
              <w:top w:val="nil"/>
              <w:left w:val="nil"/>
              <w:bottom w:val="single" w:sz="4" w:space="0" w:color="auto"/>
              <w:right w:val="single" w:sz="4" w:space="0" w:color="auto"/>
            </w:tcBorders>
            <w:vAlign w:val="center"/>
            <w:hideMark/>
          </w:tcPr>
          <w:p w14:paraId="0416AACD" w14:textId="77777777" w:rsidR="005B68FD" w:rsidRPr="00DE7078" w:rsidRDefault="005B68FD" w:rsidP="005B68FD">
            <w:pPr>
              <w:rPr>
                <w:rFonts w:ascii="Tahoma" w:hAnsi="Tahoma" w:cs="Tahoma"/>
                <w:sz w:val="22"/>
                <w:szCs w:val="22"/>
              </w:rPr>
            </w:pPr>
          </w:p>
        </w:tc>
      </w:tr>
      <w:tr w:rsidR="005B68FD" w:rsidRPr="00DE7078" w14:paraId="70F8F257" w14:textId="77777777" w:rsidTr="005B68FD">
        <w:trPr>
          <w:gridAfter w:val="3"/>
          <w:wAfter w:w="7989" w:type="dxa"/>
          <w:trHeight w:val="285"/>
        </w:trPr>
        <w:tc>
          <w:tcPr>
            <w:tcW w:w="985" w:type="dxa"/>
            <w:tcBorders>
              <w:top w:val="nil"/>
              <w:left w:val="single" w:sz="4" w:space="0" w:color="auto"/>
              <w:bottom w:val="single" w:sz="4" w:space="0" w:color="auto"/>
              <w:right w:val="single" w:sz="4" w:space="0" w:color="auto"/>
            </w:tcBorders>
            <w:shd w:val="clear" w:color="000000" w:fill="595959"/>
            <w:noWrap/>
            <w:vAlign w:val="center"/>
            <w:hideMark/>
          </w:tcPr>
          <w:p w14:paraId="33A7EF21" w14:textId="77777777" w:rsidR="005B68FD" w:rsidRPr="00DE7078" w:rsidRDefault="005B68FD" w:rsidP="005B68FD">
            <w:pPr>
              <w:jc w:val="center"/>
              <w:rPr>
                <w:rFonts w:ascii="Tahoma" w:hAnsi="Tahoma" w:cs="Tahoma"/>
                <w:color w:val="FFFFFF"/>
                <w:sz w:val="22"/>
                <w:szCs w:val="22"/>
              </w:rPr>
            </w:pPr>
            <w:r w:rsidRPr="00DE7078">
              <w:rPr>
                <w:rFonts w:ascii="Tahoma" w:hAnsi="Tahoma" w:cs="Tahoma"/>
                <w:color w:val="FFFFFF"/>
                <w:sz w:val="22"/>
                <w:szCs w:val="22"/>
              </w:rPr>
              <w:t>5.</w:t>
            </w:r>
          </w:p>
        </w:tc>
        <w:tc>
          <w:tcPr>
            <w:tcW w:w="14181" w:type="dxa"/>
            <w:gridSpan w:val="3"/>
            <w:tcBorders>
              <w:top w:val="single" w:sz="4" w:space="0" w:color="auto"/>
              <w:left w:val="nil"/>
              <w:bottom w:val="single" w:sz="4" w:space="0" w:color="auto"/>
              <w:right w:val="nil"/>
            </w:tcBorders>
            <w:shd w:val="clear" w:color="000000" w:fill="595959"/>
            <w:noWrap/>
            <w:vAlign w:val="center"/>
            <w:hideMark/>
          </w:tcPr>
          <w:p w14:paraId="4C8DA4D2" w14:textId="77777777" w:rsidR="005B68FD" w:rsidRPr="00DE7078" w:rsidRDefault="005B68FD" w:rsidP="005B68FD">
            <w:pPr>
              <w:rPr>
                <w:rFonts w:ascii="Tahoma" w:hAnsi="Tahoma" w:cs="Tahoma"/>
                <w:color w:val="FFFFFF"/>
                <w:sz w:val="22"/>
                <w:szCs w:val="22"/>
              </w:rPr>
            </w:pPr>
            <w:r w:rsidRPr="00DE7078">
              <w:rPr>
                <w:rFonts w:ascii="Tahoma" w:hAnsi="Tahoma" w:cs="Tahoma"/>
                <w:color w:val="FFFFFF"/>
                <w:sz w:val="22"/>
                <w:szCs w:val="22"/>
              </w:rPr>
              <w:t>Лимит кредитования (при волеизъявлении Клиента)</w:t>
            </w:r>
          </w:p>
        </w:tc>
      </w:tr>
      <w:tr w:rsidR="005B68FD" w:rsidRPr="00DE7078" w14:paraId="136F01AE" w14:textId="77777777" w:rsidTr="005B68FD">
        <w:trPr>
          <w:gridAfter w:val="3"/>
          <w:wAfter w:w="7989" w:type="dxa"/>
          <w:trHeight w:val="285"/>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1975DC95"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5.1.</w:t>
            </w:r>
          </w:p>
        </w:tc>
        <w:tc>
          <w:tcPr>
            <w:tcW w:w="6953" w:type="dxa"/>
            <w:tcBorders>
              <w:top w:val="nil"/>
              <w:left w:val="nil"/>
              <w:bottom w:val="single" w:sz="4" w:space="0" w:color="auto"/>
              <w:right w:val="nil"/>
            </w:tcBorders>
            <w:shd w:val="clear" w:color="auto" w:fill="auto"/>
            <w:vAlign w:val="center"/>
            <w:hideMark/>
          </w:tcPr>
          <w:p w14:paraId="599C0609" w14:textId="77777777" w:rsidR="005B68FD" w:rsidRPr="00DE7078" w:rsidRDefault="005B68FD" w:rsidP="005B68FD">
            <w:pPr>
              <w:rPr>
                <w:rFonts w:ascii="Tahoma" w:hAnsi="Tahoma" w:cs="Tahoma"/>
                <w:color w:val="000000"/>
                <w:sz w:val="22"/>
                <w:szCs w:val="22"/>
              </w:rPr>
            </w:pPr>
            <w:r w:rsidRPr="00DE7078">
              <w:rPr>
                <w:rFonts w:ascii="Tahoma" w:hAnsi="Tahoma" w:cs="Tahoma"/>
                <w:color w:val="000000"/>
                <w:sz w:val="22"/>
                <w:szCs w:val="22"/>
              </w:rPr>
              <w:t>Лимит кредитования</w:t>
            </w:r>
          </w:p>
        </w:tc>
        <w:tc>
          <w:tcPr>
            <w:tcW w:w="7228"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1A0732A"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не предусмотрено</w:t>
            </w:r>
          </w:p>
        </w:tc>
      </w:tr>
      <w:tr w:rsidR="005B68FD" w:rsidRPr="00DE7078" w14:paraId="5A409A7C" w14:textId="77777777" w:rsidTr="005B68FD">
        <w:trPr>
          <w:gridAfter w:val="3"/>
          <w:wAfter w:w="7989" w:type="dxa"/>
          <w:trHeight w:val="285"/>
        </w:trPr>
        <w:tc>
          <w:tcPr>
            <w:tcW w:w="985" w:type="dxa"/>
            <w:tcBorders>
              <w:top w:val="nil"/>
              <w:left w:val="single" w:sz="4" w:space="0" w:color="auto"/>
              <w:bottom w:val="single" w:sz="4" w:space="0" w:color="auto"/>
              <w:right w:val="single" w:sz="4" w:space="0" w:color="auto"/>
            </w:tcBorders>
            <w:shd w:val="clear" w:color="000000" w:fill="595959"/>
            <w:noWrap/>
            <w:vAlign w:val="center"/>
            <w:hideMark/>
          </w:tcPr>
          <w:p w14:paraId="24A02783" w14:textId="77777777" w:rsidR="005B68FD" w:rsidRPr="00DE7078" w:rsidRDefault="005B68FD" w:rsidP="005B68FD">
            <w:pPr>
              <w:jc w:val="center"/>
              <w:rPr>
                <w:rFonts w:ascii="Tahoma" w:hAnsi="Tahoma" w:cs="Tahoma"/>
                <w:color w:val="FFFFFF"/>
                <w:sz w:val="22"/>
                <w:szCs w:val="22"/>
              </w:rPr>
            </w:pPr>
            <w:r w:rsidRPr="00DE7078">
              <w:rPr>
                <w:rFonts w:ascii="Tahoma" w:hAnsi="Tahoma" w:cs="Tahoma"/>
                <w:color w:val="FFFFFF"/>
                <w:sz w:val="22"/>
                <w:szCs w:val="22"/>
              </w:rPr>
              <w:t>6.</w:t>
            </w:r>
          </w:p>
        </w:tc>
        <w:tc>
          <w:tcPr>
            <w:tcW w:w="14181" w:type="dxa"/>
            <w:gridSpan w:val="3"/>
            <w:tcBorders>
              <w:top w:val="single" w:sz="4" w:space="0" w:color="auto"/>
              <w:left w:val="nil"/>
              <w:bottom w:val="single" w:sz="4" w:space="0" w:color="auto"/>
              <w:right w:val="nil"/>
            </w:tcBorders>
            <w:shd w:val="clear" w:color="000000" w:fill="595959"/>
            <w:noWrap/>
            <w:vAlign w:val="center"/>
            <w:hideMark/>
          </w:tcPr>
          <w:p w14:paraId="2F188204" w14:textId="77777777" w:rsidR="005B68FD" w:rsidRPr="00DE7078" w:rsidRDefault="005B68FD" w:rsidP="005B68FD">
            <w:pPr>
              <w:rPr>
                <w:rFonts w:ascii="Tahoma" w:hAnsi="Tahoma" w:cs="Tahoma"/>
                <w:color w:val="FFFFFF"/>
                <w:sz w:val="22"/>
                <w:szCs w:val="22"/>
              </w:rPr>
            </w:pPr>
            <w:r w:rsidRPr="00DE7078">
              <w:rPr>
                <w:rFonts w:ascii="Tahoma" w:hAnsi="Tahoma" w:cs="Tahoma"/>
                <w:color w:val="FFFFFF"/>
                <w:sz w:val="22"/>
                <w:szCs w:val="22"/>
              </w:rPr>
              <w:t>Условия обслуживания операций с наличными денежными средствами с использованием Карты</w:t>
            </w:r>
          </w:p>
        </w:tc>
      </w:tr>
      <w:tr w:rsidR="005B68FD" w:rsidRPr="00DE7078" w14:paraId="3DD19352" w14:textId="77777777" w:rsidTr="005B68FD">
        <w:trPr>
          <w:gridAfter w:val="3"/>
          <w:wAfter w:w="7989" w:type="dxa"/>
          <w:trHeight w:val="285"/>
        </w:trPr>
        <w:tc>
          <w:tcPr>
            <w:tcW w:w="985" w:type="dxa"/>
            <w:tcBorders>
              <w:top w:val="nil"/>
              <w:left w:val="single" w:sz="4" w:space="0" w:color="auto"/>
              <w:bottom w:val="single" w:sz="4" w:space="0" w:color="auto"/>
              <w:right w:val="single" w:sz="4" w:space="0" w:color="auto"/>
            </w:tcBorders>
            <w:shd w:val="clear" w:color="000000" w:fill="595959"/>
            <w:noWrap/>
            <w:vAlign w:val="center"/>
            <w:hideMark/>
          </w:tcPr>
          <w:p w14:paraId="7B736860" w14:textId="77777777" w:rsidR="005B68FD" w:rsidRPr="00DE7078" w:rsidRDefault="005B68FD" w:rsidP="005B68FD">
            <w:pPr>
              <w:jc w:val="center"/>
              <w:rPr>
                <w:rFonts w:ascii="Tahoma" w:hAnsi="Tahoma" w:cs="Tahoma"/>
                <w:color w:val="FFFFFF"/>
                <w:sz w:val="22"/>
                <w:szCs w:val="22"/>
              </w:rPr>
            </w:pPr>
            <w:r w:rsidRPr="00DE7078">
              <w:rPr>
                <w:rFonts w:ascii="Tahoma" w:hAnsi="Tahoma" w:cs="Tahoma"/>
                <w:color w:val="FFFFFF"/>
                <w:sz w:val="22"/>
                <w:szCs w:val="22"/>
              </w:rPr>
              <w:t>6.1.</w:t>
            </w:r>
          </w:p>
        </w:tc>
        <w:tc>
          <w:tcPr>
            <w:tcW w:w="14181" w:type="dxa"/>
            <w:gridSpan w:val="3"/>
            <w:tcBorders>
              <w:top w:val="single" w:sz="4" w:space="0" w:color="auto"/>
              <w:left w:val="nil"/>
              <w:bottom w:val="single" w:sz="4" w:space="0" w:color="auto"/>
              <w:right w:val="nil"/>
            </w:tcBorders>
            <w:shd w:val="clear" w:color="000000" w:fill="595959"/>
            <w:vAlign w:val="center"/>
            <w:hideMark/>
          </w:tcPr>
          <w:p w14:paraId="15782935" w14:textId="77777777" w:rsidR="005B68FD" w:rsidRPr="00DE7078" w:rsidRDefault="005B68FD" w:rsidP="005B68FD">
            <w:pPr>
              <w:rPr>
                <w:rFonts w:ascii="Tahoma" w:hAnsi="Tahoma" w:cs="Tahoma"/>
                <w:color w:val="FFFFFF"/>
                <w:sz w:val="22"/>
                <w:szCs w:val="22"/>
              </w:rPr>
            </w:pPr>
            <w:r w:rsidRPr="00DE7078">
              <w:rPr>
                <w:rFonts w:ascii="Tahoma" w:hAnsi="Tahoma" w:cs="Tahoma"/>
                <w:color w:val="FFFFFF"/>
                <w:sz w:val="22"/>
                <w:szCs w:val="22"/>
              </w:rPr>
              <w:t>Лимиты совершения операций выдачи наличных в банкоматах и в пунктах выдачи наличных любых банков, в т.ч.  Банка</w:t>
            </w:r>
            <w:r w:rsidRPr="00DE7078">
              <w:rPr>
                <w:rFonts w:ascii="Tahoma" w:hAnsi="Tahoma" w:cs="Tahoma"/>
                <w:color w:val="FFFFFF"/>
                <w:sz w:val="22"/>
                <w:szCs w:val="22"/>
                <w:vertAlign w:val="superscript"/>
              </w:rPr>
              <w:t>3,8</w:t>
            </w:r>
            <w:r>
              <w:rPr>
                <w:rFonts w:ascii="Tahoma" w:hAnsi="Tahoma" w:cs="Tahoma"/>
                <w:color w:val="FFFFFF"/>
                <w:sz w:val="22"/>
                <w:szCs w:val="22"/>
              </w:rPr>
              <w:t xml:space="preserve">, с одной </w:t>
            </w:r>
            <w:r w:rsidRPr="00DE7078">
              <w:rPr>
                <w:rFonts w:ascii="Tahoma" w:hAnsi="Tahoma" w:cs="Tahoma"/>
                <w:color w:val="FFFFFF"/>
                <w:sz w:val="22"/>
                <w:szCs w:val="22"/>
              </w:rPr>
              <w:t>Карты Клиента</w:t>
            </w:r>
            <w:r>
              <w:rPr>
                <w:rFonts w:ascii="Tahoma" w:hAnsi="Tahoma" w:cs="Tahoma"/>
                <w:color w:val="FFFFFF"/>
                <w:sz w:val="22"/>
                <w:szCs w:val="22"/>
              </w:rPr>
              <w:t xml:space="preserve"> (основной и дополнительной)</w:t>
            </w:r>
          </w:p>
        </w:tc>
      </w:tr>
      <w:tr w:rsidR="005B68FD" w:rsidRPr="00DE7078" w14:paraId="541BAC99" w14:textId="77777777" w:rsidTr="005B68FD">
        <w:trPr>
          <w:gridAfter w:val="3"/>
          <w:wAfter w:w="7989" w:type="dxa"/>
          <w:trHeight w:val="285"/>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2C0D8C0E"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6.1.1.</w:t>
            </w:r>
          </w:p>
        </w:tc>
        <w:tc>
          <w:tcPr>
            <w:tcW w:w="6953" w:type="dxa"/>
            <w:tcBorders>
              <w:top w:val="nil"/>
              <w:left w:val="nil"/>
              <w:bottom w:val="single" w:sz="4" w:space="0" w:color="auto"/>
              <w:right w:val="nil"/>
            </w:tcBorders>
            <w:shd w:val="clear" w:color="auto" w:fill="auto"/>
            <w:vAlign w:val="center"/>
            <w:hideMark/>
          </w:tcPr>
          <w:p w14:paraId="1EC2B1B5" w14:textId="77777777" w:rsidR="005B68FD" w:rsidRPr="00DE7078" w:rsidRDefault="005B68FD" w:rsidP="005B68FD">
            <w:pPr>
              <w:rPr>
                <w:rFonts w:ascii="Tahoma" w:hAnsi="Tahoma" w:cs="Tahoma"/>
                <w:color w:val="000000"/>
                <w:sz w:val="22"/>
                <w:szCs w:val="22"/>
              </w:rPr>
            </w:pPr>
            <w:r w:rsidRPr="00DE7078">
              <w:rPr>
                <w:rFonts w:ascii="Tahoma" w:hAnsi="Tahoma" w:cs="Tahoma"/>
                <w:color w:val="000000"/>
                <w:sz w:val="22"/>
                <w:szCs w:val="22"/>
              </w:rPr>
              <w:t>ежедневно (с 00 до 24ч. Московского времени)</w:t>
            </w:r>
          </w:p>
        </w:tc>
        <w:tc>
          <w:tcPr>
            <w:tcW w:w="7228" w:type="dxa"/>
            <w:gridSpan w:val="2"/>
            <w:tcBorders>
              <w:top w:val="single" w:sz="4" w:space="0" w:color="auto"/>
              <w:left w:val="single" w:sz="4" w:space="0" w:color="auto"/>
              <w:bottom w:val="single" w:sz="4" w:space="0" w:color="auto"/>
              <w:right w:val="single" w:sz="4" w:space="0" w:color="000000"/>
            </w:tcBorders>
            <w:shd w:val="clear" w:color="000000" w:fill="FFFFFF"/>
            <w:vAlign w:val="center"/>
            <w:hideMark/>
          </w:tcPr>
          <w:p w14:paraId="2E281E35" w14:textId="77777777" w:rsidR="005B68FD" w:rsidRPr="00DE7078" w:rsidRDefault="005B68FD" w:rsidP="005B68FD">
            <w:pPr>
              <w:jc w:val="center"/>
              <w:rPr>
                <w:rFonts w:ascii="Tahoma" w:hAnsi="Tahoma" w:cs="Tahoma"/>
                <w:color w:val="000000"/>
                <w:sz w:val="22"/>
                <w:szCs w:val="22"/>
              </w:rPr>
            </w:pPr>
            <w:r w:rsidRPr="00DE7078">
              <w:rPr>
                <w:rFonts w:ascii="Tahoma" w:hAnsi="Tahoma" w:cs="Tahoma"/>
                <w:color w:val="000000"/>
                <w:sz w:val="22"/>
                <w:szCs w:val="22"/>
              </w:rPr>
              <w:t>200 000 рублей</w:t>
            </w:r>
          </w:p>
        </w:tc>
      </w:tr>
      <w:tr w:rsidR="005B68FD" w:rsidRPr="00DE7078" w14:paraId="507E1127" w14:textId="77777777" w:rsidTr="005B68FD">
        <w:trPr>
          <w:gridAfter w:val="3"/>
          <w:wAfter w:w="7989" w:type="dxa"/>
          <w:trHeight w:val="285"/>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44B93F26"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6.1.2.</w:t>
            </w:r>
          </w:p>
        </w:tc>
        <w:tc>
          <w:tcPr>
            <w:tcW w:w="6953" w:type="dxa"/>
            <w:tcBorders>
              <w:top w:val="nil"/>
              <w:left w:val="nil"/>
              <w:bottom w:val="single" w:sz="4" w:space="0" w:color="auto"/>
              <w:right w:val="nil"/>
            </w:tcBorders>
            <w:shd w:val="clear" w:color="auto" w:fill="auto"/>
            <w:vAlign w:val="center"/>
            <w:hideMark/>
          </w:tcPr>
          <w:p w14:paraId="11B87F48" w14:textId="77777777" w:rsidR="005B68FD" w:rsidRPr="00DE7078" w:rsidRDefault="005B68FD" w:rsidP="005B68FD">
            <w:pPr>
              <w:rPr>
                <w:rFonts w:ascii="Tahoma" w:hAnsi="Tahoma" w:cs="Tahoma"/>
                <w:color w:val="000000"/>
                <w:sz w:val="22"/>
                <w:szCs w:val="22"/>
              </w:rPr>
            </w:pPr>
            <w:r w:rsidRPr="00DE7078">
              <w:rPr>
                <w:rFonts w:ascii="Tahoma" w:hAnsi="Tahoma" w:cs="Tahoma"/>
                <w:color w:val="000000"/>
                <w:sz w:val="22"/>
                <w:szCs w:val="22"/>
              </w:rPr>
              <w:t>ежемесячно (в течение календарного месяца)</w:t>
            </w:r>
          </w:p>
        </w:tc>
        <w:tc>
          <w:tcPr>
            <w:tcW w:w="7228"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6DF7A4E7" w14:textId="77777777" w:rsidR="005B68FD" w:rsidRPr="00DE7078" w:rsidRDefault="005B68FD" w:rsidP="005B68FD">
            <w:pPr>
              <w:jc w:val="center"/>
              <w:rPr>
                <w:rFonts w:ascii="Tahoma" w:hAnsi="Tahoma" w:cs="Tahoma"/>
                <w:color w:val="000000"/>
                <w:sz w:val="22"/>
                <w:szCs w:val="22"/>
              </w:rPr>
            </w:pPr>
            <w:r w:rsidRPr="00DE7078">
              <w:rPr>
                <w:rFonts w:ascii="Tahoma" w:hAnsi="Tahoma" w:cs="Tahoma"/>
                <w:color w:val="000000"/>
                <w:sz w:val="22"/>
                <w:szCs w:val="22"/>
              </w:rPr>
              <w:t>400 000 рублей</w:t>
            </w:r>
          </w:p>
        </w:tc>
      </w:tr>
      <w:tr w:rsidR="005B68FD" w:rsidRPr="00DE7078" w14:paraId="0675FEE2" w14:textId="77777777" w:rsidTr="005B68FD">
        <w:trPr>
          <w:gridAfter w:val="3"/>
          <w:wAfter w:w="7989" w:type="dxa"/>
          <w:trHeight w:val="285"/>
        </w:trPr>
        <w:tc>
          <w:tcPr>
            <w:tcW w:w="985" w:type="dxa"/>
            <w:tcBorders>
              <w:top w:val="nil"/>
              <w:left w:val="single" w:sz="4" w:space="0" w:color="auto"/>
              <w:bottom w:val="single" w:sz="4" w:space="0" w:color="auto"/>
              <w:right w:val="single" w:sz="4" w:space="0" w:color="auto"/>
            </w:tcBorders>
            <w:shd w:val="clear" w:color="000000" w:fill="595959"/>
            <w:noWrap/>
            <w:vAlign w:val="center"/>
            <w:hideMark/>
          </w:tcPr>
          <w:p w14:paraId="0F64D9EA" w14:textId="77777777" w:rsidR="005B68FD" w:rsidRPr="00DE7078" w:rsidRDefault="005B68FD" w:rsidP="005B68FD">
            <w:pPr>
              <w:jc w:val="center"/>
              <w:rPr>
                <w:rFonts w:ascii="Tahoma" w:hAnsi="Tahoma" w:cs="Tahoma"/>
                <w:color w:val="FFFFFF"/>
                <w:sz w:val="22"/>
                <w:szCs w:val="22"/>
              </w:rPr>
            </w:pPr>
            <w:r w:rsidRPr="00DE7078">
              <w:rPr>
                <w:rFonts w:ascii="Tahoma" w:hAnsi="Tahoma" w:cs="Tahoma"/>
                <w:color w:val="FFFFFF"/>
                <w:sz w:val="22"/>
                <w:szCs w:val="22"/>
              </w:rPr>
              <w:t>6.2.</w:t>
            </w:r>
          </w:p>
        </w:tc>
        <w:tc>
          <w:tcPr>
            <w:tcW w:w="14181" w:type="dxa"/>
            <w:gridSpan w:val="3"/>
            <w:tcBorders>
              <w:top w:val="single" w:sz="4" w:space="0" w:color="auto"/>
              <w:left w:val="nil"/>
              <w:bottom w:val="single" w:sz="4" w:space="0" w:color="auto"/>
              <w:right w:val="nil"/>
            </w:tcBorders>
            <w:shd w:val="clear" w:color="000000" w:fill="595959"/>
            <w:vAlign w:val="center"/>
            <w:hideMark/>
          </w:tcPr>
          <w:p w14:paraId="2B08AA32" w14:textId="77777777" w:rsidR="005B68FD" w:rsidRPr="00DE7078" w:rsidRDefault="005B68FD" w:rsidP="005B68FD">
            <w:pPr>
              <w:rPr>
                <w:rFonts w:ascii="Tahoma" w:hAnsi="Tahoma" w:cs="Tahoma"/>
                <w:color w:val="FFFFFF"/>
                <w:sz w:val="22"/>
                <w:szCs w:val="22"/>
              </w:rPr>
            </w:pPr>
            <w:r w:rsidRPr="00DE7078">
              <w:rPr>
                <w:rFonts w:ascii="Tahoma" w:hAnsi="Tahoma" w:cs="Tahoma"/>
                <w:color w:val="FFFFFF"/>
                <w:sz w:val="22"/>
                <w:szCs w:val="22"/>
              </w:rPr>
              <w:t>Лимиты выдачи наличных в ТСП</w:t>
            </w:r>
            <w:r w:rsidRPr="00DE7078">
              <w:rPr>
                <w:rFonts w:ascii="Tahoma" w:hAnsi="Tahoma" w:cs="Tahoma"/>
                <w:color w:val="FFFFFF"/>
                <w:sz w:val="22"/>
                <w:szCs w:val="22"/>
                <w:vertAlign w:val="superscript"/>
              </w:rPr>
              <w:t>9</w:t>
            </w:r>
            <w:r w:rsidRPr="00DE7078">
              <w:rPr>
                <w:rFonts w:ascii="Tahoma" w:hAnsi="Tahoma" w:cs="Tahoma"/>
                <w:color w:val="FFFFFF"/>
                <w:sz w:val="22"/>
                <w:szCs w:val="22"/>
              </w:rPr>
              <w:t>, предоставляющих услугу выдачи наличных денежных средств при совершении покупки, с одного Счета Карты Клиента</w:t>
            </w:r>
          </w:p>
        </w:tc>
      </w:tr>
      <w:tr w:rsidR="005B68FD" w:rsidRPr="00DE7078" w14:paraId="646844CE" w14:textId="77777777" w:rsidTr="005B68FD">
        <w:trPr>
          <w:gridAfter w:val="3"/>
          <w:wAfter w:w="7989" w:type="dxa"/>
          <w:trHeight w:val="285"/>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77BFD8D9"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6.2.1.</w:t>
            </w:r>
          </w:p>
        </w:tc>
        <w:tc>
          <w:tcPr>
            <w:tcW w:w="6953" w:type="dxa"/>
            <w:tcBorders>
              <w:top w:val="nil"/>
              <w:left w:val="nil"/>
              <w:bottom w:val="single" w:sz="4" w:space="0" w:color="auto"/>
              <w:right w:val="nil"/>
            </w:tcBorders>
            <w:shd w:val="clear" w:color="000000" w:fill="FFFFFF"/>
            <w:vAlign w:val="center"/>
            <w:hideMark/>
          </w:tcPr>
          <w:p w14:paraId="15EEF83E" w14:textId="77777777" w:rsidR="005B68FD" w:rsidRPr="00DE7078" w:rsidRDefault="005B68FD" w:rsidP="005B68FD">
            <w:pPr>
              <w:rPr>
                <w:rFonts w:ascii="Tahoma" w:hAnsi="Tahoma" w:cs="Tahoma"/>
                <w:color w:val="000000"/>
                <w:sz w:val="22"/>
                <w:szCs w:val="22"/>
              </w:rPr>
            </w:pPr>
            <w:r w:rsidRPr="00DE7078">
              <w:rPr>
                <w:rFonts w:ascii="Tahoma" w:hAnsi="Tahoma" w:cs="Tahoma"/>
                <w:color w:val="000000"/>
                <w:sz w:val="22"/>
                <w:szCs w:val="22"/>
              </w:rPr>
              <w:t>ежедневно (с 00 до 24 ч. московского времени)</w:t>
            </w:r>
          </w:p>
        </w:tc>
        <w:tc>
          <w:tcPr>
            <w:tcW w:w="7228"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BB61C4C" w14:textId="77777777" w:rsidR="005B68FD" w:rsidRPr="00DE7078" w:rsidRDefault="005B68FD" w:rsidP="005B68FD">
            <w:pPr>
              <w:jc w:val="center"/>
              <w:rPr>
                <w:rFonts w:ascii="Tahoma" w:hAnsi="Tahoma" w:cs="Tahoma"/>
                <w:color w:val="000000"/>
                <w:sz w:val="22"/>
                <w:szCs w:val="22"/>
              </w:rPr>
            </w:pPr>
            <w:r w:rsidRPr="00DE7078">
              <w:rPr>
                <w:rFonts w:ascii="Tahoma" w:hAnsi="Tahoma" w:cs="Tahoma"/>
                <w:color w:val="000000"/>
                <w:sz w:val="22"/>
                <w:szCs w:val="22"/>
              </w:rPr>
              <w:t>5 000 рублей</w:t>
            </w:r>
          </w:p>
        </w:tc>
      </w:tr>
      <w:tr w:rsidR="005B68FD" w:rsidRPr="00DE7078" w14:paraId="22A44726" w14:textId="77777777" w:rsidTr="005B68FD">
        <w:trPr>
          <w:gridAfter w:val="3"/>
          <w:wAfter w:w="7989" w:type="dxa"/>
          <w:trHeight w:val="285"/>
        </w:trPr>
        <w:tc>
          <w:tcPr>
            <w:tcW w:w="985" w:type="dxa"/>
            <w:tcBorders>
              <w:top w:val="nil"/>
              <w:left w:val="single" w:sz="4" w:space="0" w:color="auto"/>
              <w:bottom w:val="single" w:sz="4" w:space="0" w:color="auto"/>
              <w:right w:val="single" w:sz="4" w:space="0" w:color="auto"/>
            </w:tcBorders>
            <w:shd w:val="clear" w:color="000000" w:fill="FFFFFF"/>
            <w:noWrap/>
            <w:vAlign w:val="center"/>
            <w:hideMark/>
          </w:tcPr>
          <w:p w14:paraId="0F2491B1"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6.2.2.</w:t>
            </w:r>
          </w:p>
        </w:tc>
        <w:tc>
          <w:tcPr>
            <w:tcW w:w="6953" w:type="dxa"/>
            <w:tcBorders>
              <w:top w:val="nil"/>
              <w:left w:val="nil"/>
              <w:bottom w:val="single" w:sz="4" w:space="0" w:color="auto"/>
              <w:right w:val="nil"/>
            </w:tcBorders>
            <w:shd w:val="clear" w:color="000000" w:fill="FFFFFF"/>
            <w:vAlign w:val="center"/>
            <w:hideMark/>
          </w:tcPr>
          <w:p w14:paraId="08F5FAA3" w14:textId="77777777" w:rsidR="005B68FD" w:rsidRPr="00DE7078" w:rsidRDefault="005B68FD" w:rsidP="005B68FD">
            <w:pPr>
              <w:rPr>
                <w:rFonts w:ascii="Tahoma" w:hAnsi="Tahoma" w:cs="Tahoma"/>
                <w:color w:val="000000"/>
                <w:sz w:val="22"/>
                <w:szCs w:val="22"/>
              </w:rPr>
            </w:pPr>
            <w:r w:rsidRPr="00DE7078">
              <w:rPr>
                <w:rFonts w:ascii="Tahoma" w:hAnsi="Tahoma" w:cs="Tahoma"/>
                <w:color w:val="000000"/>
                <w:sz w:val="22"/>
                <w:szCs w:val="22"/>
              </w:rPr>
              <w:t>ежемесячно (в течение календарного месяца)</w:t>
            </w:r>
          </w:p>
        </w:tc>
        <w:tc>
          <w:tcPr>
            <w:tcW w:w="7228"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F9CEFB1"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30 000 рублей</w:t>
            </w:r>
          </w:p>
        </w:tc>
      </w:tr>
      <w:tr w:rsidR="005B68FD" w:rsidRPr="00DE7078" w14:paraId="129A0172" w14:textId="77777777" w:rsidTr="005B68FD">
        <w:trPr>
          <w:gridAfter w:val="3"/>
          <w:wAfter w:w="7989" w:type="dxa"/>
          <w:trHeight w:val="285"/>
        </w:trPr>
        <w:tc>
          <w:tcPr>
            <w:tcW w:w="985" w:type="dxa"/>
            <w:tcBorders>
              <w:top w:val="nil"/>
              <w:left w:val="single" w:sz="4" w:space="0" w:color="auto"/>
              <w:bottom w:val="single" w:sz="4" w:space="0" w:color="auto"/>
              <w:right w:val="single" w:sz="4" w:space="0" w:color="auto"/>
            </w:tcBorders>
            <w:shd w:val="clear" w:color="000000" w:fill="595959"/>
            <w:noWrap/>
            <w:vAlign w:val="center"/>
            <w:hideMark/>
          </w:tcPr>
          <w:p w14:paraId="134A3B39" w14:textId="77777777" w:rsidR="005B68FD" w:rsidRPr="00DE7078" w:rsidRDefault="005B68FD" w:rsidP="005B68FD">
            <w:pPr>
              <w:jc w:val="center"/>
              <w:rPr>
                <w:rFonts w:ascii="Tahoma" w:hAnsi="Tahoma" w:cs="Tahoma"/>
                <w:color w:val="FFFFFF"/>
                <w:sz w:val="22"/>
                <w:szCs w:val="22"/>
              </w:rPr>
            </w:pPr>
            <w:r w:rsidRPr="00DE7078">
              <w:rPr>
                <w:rFonts w:ascii="Tahoma" w:hAnsi="Tahoma" w:cs="Tahoma"/>
                <w:color w:val="FFFFFF"/>
                <w:sz w:val="22"/>
                <w:szCs w:val="22"/>
              </w:rPr>
              <w:t>6.3.</w:t>
            </w:r>
          </w:p>
        </w:tc>
        <w:tc>
          <w:tcPr>
            <w:tcW w:w="14181" w:type="dxa"/>
            <w:gridSpan w:val="3"/>
            <w:tcBorders>
              <w:top w:val="single" w:sz="4" w:space="0" w:color="auto"/>
              <w:left w:val="nil"/>
              <w:bottom w:val="single" w:sz="4" w:space="0" w:color="auto"/>
              <w:right w:val="nil"/>
            </w:tcBorders>
            <w:shd w:val="clear" w:color="000000" w:fill="595959"/>
            <w:vAlign w:val="center"/>
            <w:hideMark/>
          </w:tcPr>
          <w:p w14:paraId="21CEB8F3" w14:textId="77777777" w:rsidR="005B68FD" w:rsidRPr="00DE7078" w:rsidRDefault="005B68FD" w:rsidP="005B68FD">
            <w:pPr>
              <w:rPr>
                <w:rFonts w:ascii="Tahoma" w:hAnsi="Tahoma" w:cs="Tahoma"/>
                <w:color w:val="FFFFFF"/>
                <w:sz w:val="22"/>
                <w:szCs w:val="22"/>
              </w:rPr>
            </w:pPr>
            <w:r w:rsidRPr="00DE7078">
              <w:rPr>
                <w:rFonts w:ascii="Tahoma" w:hAnsi="Tahoma" w:cs="Tahoma"/>
                <w:color w:val="FFFFFF"/>
                <w:sz w:val="22"/>
                <w:szCs w:val="22"/>
              </w:rPr>
              <w:t>Выдача наличных денежных средств с использованием Карты с учетом лимитов совершения операций</w:t>
            </w:r>
          </w:p>
        </w:tc>
      </w:tr>
      <w:tr w:rsidR="005B68FD" w:rsidRPr="00DE7078" w14:paraId="7C89D5D3" w14:textId="77777777" w:rsidTr="005B68FD">
        <w:trPr>
          <w:gridAfter w:val="3"/>
          <w:wAfter w:w="7989" w:type="dxa"/>
          <w:trHeight w:val="315"/>
        </w:trPr>
        <w:tc>
          <w:tcPr>
            <w:tcW w:w="985" w:type="dxa"/>
            <w:tcBorders>
              <w:top w:val="nil"/>
              <w:left w:val="single" w:sz="4" w:space="0" w:color="auto"/>
              <w:bottom w:val="nil"/>
              <w:right w:val="single" w:sz="4" w:space="0" w:color="auto"/>
            </w:tcBorders>
            <w:shd w:val="clear" w:color="000000" w:fill="FFFFFF"/>
            <w:noWrap/>
            <w:vAlign w:val="center"/>
            <w:hideMark/>
          </w:tcPr>
          <w:p w14:paraId="39362A9C"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6.3.1.</w:t>
            </w:r>
          </w:p>
        </w:tc>
        <w:tc>
          <w:tcPr>
            <w:tcW w:w="6953" w:type="dxa"/>
            <w:tcBorders>
              <w:top w:val="nil"/>
              <w:left w:val="nil"/>
              <w:bottom w:val="single" w:sz="4" w:space="0" w:color="auto"/>
              <w:right w:val="nil"/>
            </w:tcBorders>
            <w:shd w:val="clear" w:color="000000" w:fill="FFFFFF"/>
            <w:vAlign w:val="center"/>
            <w:hideMark/>
          </w:tcPr>
          <w:p w14:paraId="6E0D855A" w14:textId="77777777" w:rsidR="005B68FD" w:rsidRPr="00DE7078" w:rsidRDefault="005B68FD" w:rsidP="005B68FD">
            <w:pPr>
              <w:rPr>
                <w:rFonts w:ascii="Tahoma" w:hAnsi="Tahoma" w:cs="Tahoma"/>
                <w:sz w:val="22"/>
                <w:szCs w:val="22"/>
              </w:rPr>
            </w:pPr>
            <w:r w:rsidRPr="00DE7078">
              <w:rPr>
                <w:rFonts w:ascii="Tahoma" w:hAnsi="Tahoma" w:cs="Tahoma"/>
                <w:sz w:val="22"/>
                <w:szCs w:val="22"/>
              </w:rPr>
              <w:t>в банкоматах и пунктах выдачи наличных Банка</w:t>
            </w:r>
            <w:r w:rsidRPr="00DE7078">
              <w:rPr>
                <w:rFonts w:ascii="Tahoma" w:hAnsi="Tahoma" w:cs="Tahoma"/>
                <w:sz w:val="22"/>
                <w:szCs w:val="22"/>
                <w:vertAlign w:val="superscript"/>
              </w:rPr>
              <w:t>3</w:t>
            </w:r>
          </w:p>
        </w:tc>
        <w:tc>
          <w:tcPr>
            <w:tcW w:w="7228" w:type="dxa"/>
            <w:gridSpan w:val="2"/>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7C1B001"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БЕСПЛАТНО</w:t>
            </w:r>
          </w:p>
        </w:tc>
      </w:tr>
      <w:tr w:rsidR="005B68FD" w:rsidRPr="00DE7078" w14:paraId="0C7B070D" w14:textId="77777777" w:rsidTr="005B68FD">
        <w:trPr>
          <w:gridAfter w:val="3"/>
          <w:wAfter w:w="7989" w:type="dxa"/>
          <w:trHeight w:val="285"/>
        </w:trPr>
        <w:tc>
          <w:tcPr>
            <w:tcW w:w="985" w:type="dxa"/>
            <w:tcBorders>
              <w:top w:val="single" w:sz="4" w:space="0" w:color="auto"/>
              <w:left w:val="single" w:sz="4" w:space="0" w:color="auto"/>
              <w:bottom w:val="nil"/>
              <w:right w:val="single" w:sz="4" w:space="0" w:color="auto"/>
            </w:tcBorders>
            <w:shd w:val="clear" w:color="auto" w:fill="auto"/>
            <w:noWrap/>
            <w:vAlign w:val="center"/>
            <w:hideMark/>
          </w:tcPr>
          <w:p w14:paraId="4EDCFA16"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6.3.2.</w:t>
            </w:r>
          </w:p>
        </w:tc>
        <w:tc>
          <w:tcPr>
            <w:tcW w:w="6953" w:type="dxa"/>
            <w:tcBorders>
              <w:top w:val="nil"/>
              <w:left w:val="nil"/>
              <w:bottom w:val="single" w:sz="4" w:space="0" w:color="auto"/>
              <w:right w:val="nil"/>
            </w:tcBorders>
            <w:shd w:val="clear" w:color="auto" w:fill="auto"/>
            <w:vAlign w:val="center"/>
            <w:hideMark/>
          </w:tcPr>
          <w:p w14:paraId="0E72F057" w14:textId="77777777" w:rsidR="005B68FD" w:rsidRPr="00DE7078" w:rsidRDefault="005B68FD" w:rsidP="005B68FD">
            <w:pPr>
              <w:rPr>
                <w:rFonts w:ascii="Tahoma" w:hAnsi="Tahoma" w:cs="Tahoma"/>
                <w:sz w:val="22"/>
                <w:szCs w:val="22"/>
              </w:rPr>
            </w:pPr>
            <w:r w:rsidRPr="00DE7078">
              <w:rPr>
                <w:rFonts w:ascii="Tahoma" w:hAnsi="Tahoma" w:cs="Tahoma"/>
                <w:sz w:val="22"/>
                <w:szCs w:val="22"/>
              </w:rPr>
              <w:t>в банкоматах других банков на территории РФ</w:t>
            </w:r>
          </w:p>
        </w:tc>
        <w:tc>
          <w:tcPr>
            <w:tcW w:w="7228"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6A7B04FB" w14:textId="77777777" w:rsidR="005B68FD" w:rsidRPr="00DE7078" w:rsidRDefault="005B68FD" w:rsidP="005B68FD">
            <w:pPr>
              <w:jc w:val="center"/>
              <w:rPr>
                <w:rFonts w:ascii="Tahoma" w:hAnsi="Tahoma" w:cs="Tahoma"/>
                <w:color w:val="000000"/>
                <w:sz w:val="22"/>
                <w:szCs w:val="22"/>
              </w:rPr>
            </w:pPr>
            <w:r w:rsidRPr="00DE7078">
              <w:rPr>
                <w:rFonts w:ascii="Tahoma" w:hAnsi="Tahoma" w:cs="Tahoma"/>
                <w:color w:val="000000"/>
                <w:sz w:val="22"/>
                <w:szCs w:val="22"/>
              </w:rPr>
              <w:t>БЕСПЛАТНО: при выдаче до 100 тыс. руб. (включительно) в календарный месяц,</w:t>
            </w:r>
            <w:r w:rsidRPr="00DE7078">
              <w:rPr>
                <w:rFonts w:ascii="Tahoma" w:hAnsi="Tahoma" w:cs="Tahoma"/>
                <w:color w:val="000000"/>
                <w:sz w:val="22"/>
                <w:szCs w:val="22"/>
              </w:rPr>
              <w:br/>
              <w:t xml:space="preserve"> свыше: 1% от суммы операции</w:t>
            </w:r>
          </w:p>
        </w:tc>
      </w:tr>
      <w:tr w:rsidR="005B68FD" w:rsidRPr="00DE7078" w14:paraId="67F83CC0" w14:textId="77777777" w:rsidTr="005B68FD">
        <w:trPr>
          <w:gridAfter w:val="3"/>
          <w:wAfter w:w="7989" w:type="dxa"/>
          <w:trHeight w:val="570"/>
        </w:trPr>
        <w:tc>
          <w:tcPr>
            <w:tcW w:w="985" w:type="dxa"/>
            <w:tcBorders>
              <w:top w:val="single" w:sz="4" w:space="0" w:color="auto"/>
              <w:left w:val="single" w:sz="4" w:space="0" w:color="auto"/>
              <w:bottom w:val="nil"/>
              <w:right w:val="single" w:sz="4" w:space="0" w:color="auto"/>
            </w:tcBorders>
            <w:shd w:val="clear" w:color="auto" w:fill="auto"/>
            <w:noWrap/>
            <w:vAlign w:val="center"/>
            <w:hideMark/>
          </w:tcPr>
          <w:p w14:paraId="66CA267B"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6.3.3.</w:t>
            </w:r>
          </w:p>
        </w:tc>
        <w:tc>
          <w:tcPr>
            <w:tcW w:w="6953" w:type="dxa"/>
            <w:tcBorders>
              <w:top w:val="nil"/>
              <w:left w:val="nil"/>
              <w:bottom w:val="single" w:sz="4" w:space="0" w:color="auto"/>
              <w:right w:val="nil"/>
            </w:tcBorders>
            <w:shd w:val="clear" w:color="auto" w:fill="auto"/>
            <w:vAlign w:val="center"/>
            <w:hideMark/>
          </w:tcPr>
          <w:p w14:paraId="743335B1" w14:textId="77777777" w:rsidR="005B68FD" w:rsidRPr="00DE7078" w:rsidRDefault="005B68FD" w:rsidP="005B68FD">
            <w:pPr>
              <w:rPr>
                <w:rFonts w:ascii="Tahoma" w:hAnsi="Tahoma" w:cs="Tahoma"/>
                <w:sz w:val="22"/>
                <w:szCs w:val="22"/>
              </w:rPr>
            </w:pPr>
            <w:r w:rsidRPr="00DE7078">
              <w:rPr>
                <w:rFonts w:ascii="Tahoma" w:hAnsi="Tahoma" w:cs="Tahoma"/>
                <w:sz w:val="22"/>
                <w:szCs w:val="22"/>
              </w:rPr>
              <w:t>в пунктах выдачи наличных других банков на территории РФ</w:t>
            </w:r>
          </w:p>
        </w:tc>
        <w:tc>
          <w:tcPr>
            <w:tcW w:w="7228"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6B9FAE8D" w14:textId="77777777" w:rsidR="005B68FD" w:rsidRPr="00DE7078" w:rsidRDefault="005B68FD" w:rsidP="005B68FD">
            <w:pPr>
              <w:jc w:val="center"/>
              <w:rPr>
                <w:rFonts w:ascii="Tahoma" w:hAnsi="Tahoma" w:cs="Tahoma"/>
                <w:color w:val="000000"/>
                <w:sz w:val="22"/>
                <w:szCs w:val="22"/>
              </w:rPr>
            </w:pPr>
            <w:r w:rsidRPr="00DE7078">
              <w:rPr>
                <w:rFonts w:ascii="Tahoma" w:hAnsi="Tahoma" w:cs="Tahoma"/>
                <w:color w:val="000000"/>
                <w:sz w:val="22"/>
                <w:szCs w:val="22"/>
              </w:rPr>
              <w:t>1% от суммы операции</w:t>
            </w:r>
          </w:p>
        </w:tc>
      </w:tr>
      <w:tr w:rsidR="005B68FD" w:rsidRPr="00DE7078" w14:paraId="15015A88" w14:textId="77777777" w:rsidTr="005B68FD">
        <w:trPr>
          <w:gridAfter w:val="3"/>
          <w:wAfter w:w="7989" w:type="dxa"/>
          <w:trHeight w:val="570"/>
        </w:trPr>
        <w:tc>
          <w:tcPr>
            <w:tcW w:w="985" w:type="dxa"/>
            <w:tcBorders>
              <w:top w:val="single" w:sz="4" w:space="0" w:color="auto"/>
              <w:left w:val="single" w:sz="4" w:space="0" w:color="auto"/>
              <w:bottom w:val="nil"/>
              <w:right w:val="single" w:sz="4" w:space="0" w:color="auto"/>
            </w:tcBorders>
            <w:shd w:val="clear" w:color="auto" w:fill="auto"/>
            <w:noWrap/>
            <w:vAlign w:val="center"/>
            <w:hideMark/>
          </w:tcPr>
          <w:p w14:paraId="393F7063"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6.3.4.</w:t>
            </w:r>
          </w:p>
        </w:tc>
        <w:tc>
          <w:tcPr>
            <w:tcW w:w="6953" w:type="dxa"/>
            <w:tcBorders>
              <w:top w:val="nil"/>
              <w:left w:val="nil"/>
              <w:bottom w:val="single" w:sz="4" w:space="0" w:color="auto"/>
              <w:right w:val="nil"/>
            </w:tcBorders>
            <w:shd w:val="clear" w:color="auto" w:fill="auto"/>
            <w:vAlign w:val="center"/>
            <w:hideMark/>
          </w:tcPr>
          <w:p w14:paraId="51C74940" w14:textId="77777777" w:rsidR="005B68FD" w:rsidRPr="00DE7078" w:rsidRDefault="005B68FD" w:rsidP="005B68FD">
            <w:pPr>
              <w:rPr>
                <w:rFonts w:ascii="Tahoma" w:hAnsi="Tahoma" w:cs="Tahoma"/>
                <w:color w:val="000000"/>
                <w:sz w:val="22"/>
                <w:szCs w:val="22"/>
              </w:rPr>
            </w:pPr>
            <w:r w:rsidRPr="00DE7078">
              <w:rPr>
                <w:rFonts w:ascii="Tahoma" w:hAnsi="Tahoma" w:cs="Tahoma"/>
                <w:color w:val="000000"/>
                <w:sz w:val="22"/>
                <w:szCs w:val="22"/>
              </w:rPr>
              <w:t>в банкоматах других банков и в пунктах выдачи наличных других банков за рубежом</w:t>
            </w:r>
          </w:p>
        </w:tc>
        <w:tc>
          <w:tcPr>
            <w:tcW w:w="7228" w:type="dxa"/>
            <w:gridSpan w:val="2"/>
            <w:tcBorders>
              <w:top w:val="single" w:sz="4" w:space="0" w:color="auto"/>
              <w:left w:val="single" w:sz="4" w:space="0" w:color="auto"/>
              <w:bottom w:val="single" w:sz="4" w:space="0" w:color="auto"/>
              <w:right w:val="single" w:sz="4" w:space="0" w:color="000000"/>
            </w:tcBorders>
            <w:shd w:val="clear" w:color="000000" w:fill="FFFFFF"/>
            <w:vAlign w:val="center"/>
            <w:hideMark/>
          </w:tcPr>
          <w:p w14:paraId="6551FA6F" w14:textId="77777777" w:rsidR="005B68FD" w:rsidRPr="00DE7078" w:rsidRDefault="005B68FD" w:rsidP="005B68FD">
            <w:pPr>
              <w:jc w:val="center"/>
              <w:rPr>
                <w:rFonts w:ascii="Tahoma" w:hAnsi="Tahoma" w:cs="Tahoma"/>
                <w:color w:val="000000"/>
                <w:sz w:val="22"/>
                <w:szCs w:val="22"/>
              </w:rPr>
            </w:pPr>
            <w:r w:rsidRPr="00DE7078">
              <w:rPr>
                <w:rFonts w:ascii="Tahoma" w:hAnsi="Tahoma" w:cs="Tahoma"/>
                <w:color w:val="000000"/>
                <w:sz w:val="22"/>
                <w:szCs w:val="22"/>
              </w:rPr>
              <w:t>1% от суммы операции, мин. 150 рублей</w:t>
            </w:r>
          </w:p>
        </w:tc>
      </w:tr>
      <w:tr w:rsidR="005B68FD" w:rsidRPr="00DE7078" w14:paraId="5CC8949D" w14:textId="77777777" w:rsidTr="005B68FD">
        <w:trPr>
          <w:gridAfter w:val="3"/>
          <w:wAfter w:w="7989" w:type="dxa"/>
          <w:trHeight w:val="630"/>
        </w:trPr>
        <w:tc>
          <w:tcPr>
            <w:tcW w:w="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FABD97"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6.3.5.</w:t>
            </w:r>
          </w:p>
        </w:tc>
        <w:tc>
          <w:tcPr>
            <w:tcW w:w="6953" w:type="dxa"/>
            <w:tcBorders>
              <w:top w:val="nil"/>
              <w:left w:val="nil"/>
              <w:bottom w:val="single" w:sz="4" w:space="0" w:color="auto"/>
              <w:right w:val="single" w:sz="4" w:space="0" w:color="auto"/>
            </w:tcBorders>
            <w:shd w:val="clear" w:color="auto" w:fill="auto"/>
            <w:vAlign w:val="center"/>
            <w:hideMark/>
          </w:tcPr>
          <w:p w14:paraId="01482DD0" w14:textId="77777777" w:rsidR="005B68FD" w:rsidRPr="00DE7078" w:rsidRDefault="005B68FD" w:rsidP="005B68FD">
            <w:pPr>
              <w:rPr>
                <w:rFonts w:ascii="Tahoma" w:hAnsi="Tahoma" w:cs="Tahoma"/>
                <w:sz w:val="22"/>
                <w:szCs w:val="22"/>
              </w:rPr>
            </w:pPr>
            <w:r w:rsidRPr="00DE7078">
              <w:rPr>
                <w:rFonts w:ascii="Tahoma" w:hAnsi="Tahoma" w:cs="Tahoma"/>
                <w:sz w:val="22"/>
                <w:szCs w:val="22"/>
              </w:rPr>
              <w:t>в ТСП</w:t>
            </w:r>
            <w:r w:rsidRPr="00DE7078">
              <w:rPr>
                <w:rFonts w:ascii="Tahoma" w:hAnsi="Tahoma" w:cs="Tahoma"/>
                <w:sz w:val="22"/>
                <w:szCs w:val="22"/>
                <w:vertAlign w:val="superscript"/>
              </w:rPr>
              <w:t>9</w:t>
            </w:r>
            <w:r w:rsidRPr="00DE7078">
              <w:rPr>
                <w:rFonts w:ascii="Tahoma" w:hAnsi="Tahoma" w:cs="Tahoma"/>
                <w:sz w:val="22"/>
                <w:szCs w:val="22"/>
              </w:rPr>
              <w:t>, предоставляющих услугу выдачи наличных денежных средств при совершении покупки</w:t>
            </w:r>
            <w:r w:rsidRPr="00DE7078">
              <w:rPr>
                <w:rFonts w:ascii="Tahoma" w:hAnsi="Tahoma" w:cs="Tahoma"/>
                <w:sz w:val="22"/>
                <w:szCs w:val="22"/>
                <w:vertAlign w:val="superscript"/>
              </w:rPr>
              <w:t>10</w:t>
            </w:r>
          </w:p>
        </w:tc>
        <w:tc>
          <w:tcPr>
            <w:tcW w:w="7228" w:type="dxa"/>
            <w:gridSpan w:val="2"/>
            <w:tcBorders>
              <w:top w:val="single" w:sz="4" w:space="0" w:color="auto"/>
              <w:left w:val="nil"/>
              <w:bottom w:val="single" w:sz="4" w:space="0" w:color="auto"/>
              <w:right w:val="single" w:sz="4" w:space="0" w:color="000000"/>
            </w:tcBorders>
            <w:shd w:val="clear" w:color="000000" w:fill="FFFFFF"/>
            <w:noWrap/>
            <w:vAlign w:val="center"/>
            <w:hideMark/>
          </w:tcPr>
          <w:p w14:paraId="49124407"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БЕСПЛАТНО</w:t>
            </w:r>
          </w:p>
        </w:tc>
      </w:tr>
      <w:tr w:rsidR="005B68FD" w:rsidRPr="00DE7078" w14:paraId="1F9BF92D" w14:textId="77777777" w:rsidTr="005B68FD">
        <w:trPr>
          <w:gridAfter w:val="3"/>
          <w:wAfter w:w="7989" w:type="dxa"/>
          <w:trHeight w:val="285"/>
        </w:trPr>
        <w:tc>
          <w:tcPr>
            <w:tcW w:w="985" w:type="dxa"/>
            <w:tcBorders>
              <w:top w:val="nil"/>
              <w:left w:val="single" w:sz="4" w:space="0" w:color="auto"/>
              <w:bottom w:val="single" w:sz="4" w:space="0" w:color="auto"/>
              <w:right w:val="single" w:sz="4" w:space="0" w:color="auto"/>
            </w:tcBorders>
            <w:shd w:val="clear" w:color="000000" w:fill="595959"/>
            <w:noWrap/>
            <w:vAlign w:val="center"/>
            <w:hideMark/>
          </w:tcPr>
          <w:p w14:paraId="15FA28B3" w14:textId="77777777" w:rsidR="005B68FD" w:rsidRPr="00DE7078" w:rsidRDefault="005B68FD" w:rsidP="005B68FD">
            <w:pPr>
              <w:jc w:val="center"/>
              <w:rPr>
                <w:rFonts w:ascii="Tahoma" w:hAnsi="Tahoma" w:cs="Tahoma"/>
                <w:color w:val="FFFFFF"/>
                <w:sz w:val="22"/>
                <w:szCs w:val="22"/>
              </w:rPr>
            </w:pPr>
            <w:r w:rsidRPr="00DE7078">
              <w:rPr>
                <w:rFonts w:ascii="Tahoma" w:hAnsi="Tahoma" w:cs="Tahoma"/>
                <w:color w:val="FFFFFF"/>
                <w:sz w:val="22"/>
                <w:szCs w:val="22"/>
              </w:rPr>
              <w:t>6.4.</w:t>
            </w:r>
          </w:p>
        </w:tc>
        <w:tc>
          <w:tcPr>
            <w:tcW w:w="14181" w:type="dxa"/>
            <w:gridSpan w:val="3"/>
            <w:tcBorders>
              <w:top w:val="single" w:sz="4" w:space="0" w:color="auto"/>
              <w:left w:val="nil"/>
              <w:bottom w:val="single" w:sz="4" w:space="0" w:color="auto"/>
              <w:right w:val="nil"/>
            </w:tcBorders>
            <w:shd w:val="clear" w:color="000000" w:fill="595959"/>
            <w:vAlign w:val="center"/>
            <w:hideMark/>
          </w:tcPr>
          <w:p w14:paraId="38F81074" w14:textId="77777777" w:rsidR="005B68FD" w:rsidRPr="00DE7078" w:rsidRDefault="005B68FD" w:rsidP="005B68FD">
            <w:pPr>
              <w:rPr>
                <w:rFonts w:ascii="Tahoma" w:hAnsi="Tahoma" w:cs="Tahoma"/>
                <w:color w:val="FFFFFF"/>
                <w:sz w:val="22"/>
                <w:szCs w:val="22"/>
              </w:rPr>
            </w:pPr>
            <w:r w:rsidRPr="00DE7078">
              <w:rPr>
                <w:rFonts w:ascii="Tahoma" w:hAnsi="Tahoma" w:cs="Tahoma"/>
                <w:color w:val="FFFFFF"/>
                <w:sz w:val="22"/>
                <w:szCs w:val="22"/>
              </w:rPr>
              <w:t>Прием и зачисление наличных денежных средств с использованием Карты</w:t>
            </w:r>
          </w:p>
        </w:tc>
      </w:tr>
      <w:tr w:rsidR="005B68FD" w:rsidRPr="00DE7078" w14:paraId="3CB8EA00" w14:textId="77777777" w:rsidTr="005B68FD">
        <w:trPr>
          <w:gridAfter w:val="3"/>
          <w:wAfter w:w="7989" w:type="dxa"/>
          <w:trHeight w:val="630"/>
        </w:trPr>
        <w:tc>
          <w:tcPr>
            <w:tcW w:w="985" w:type="dxa"/>
            <w:tcBorders>
              <w:top w:val="nil"/>
              <w:left w:val="single" w:sz="4" w:space="0" w:color="auto"/>
              <w:bottom w:val="nil"/>
              <w:right w:val="single" w:sz="4" w:space="0" w:color="auto"/>
            </w:tcBorders>
            <w:shd w:val="clear" w:color="auto" w:fill="auto"/>
            <w:noWrap/>
            <w:vAlign w:val="center"/>
            <w:hideMark/>
          </w:tcPr>
          <w:p w14:paraId="3DB2EE51"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6.4.1.</w:t>
            </w:r>
          </w:p>
        </w:tc>
        <w:tc>
          <w:tcPr>
            <w:tcW w:w="6953" w:type="dxa"/>
            <w:tcBorders>
              <w:top w:val="nil"/>
              <w:left w:val="nil"/>
              <w:bottom w:val="single" w:sz="4" w:space="0" w:color="auto"/>
              <w:right w:val="single" w:sz="4" w:space="0" w:color="auto"/>
            </w:tcBorders>
            <w:shd w:val="clear" w:color="auto" w:fill="auto"/>
            <w:vAlign w:val="center"/>
            <w:hideMark/>
          </w:tcPr>
          <w:p w14:paraId="146D7165" w14:textId="77777777" w:rsidR="005B68FD" w:rsidRPr="00DE7078" w:rsidRDefault="005B68FD" w:rsidP="005B68FD">
            <w:pPr>
              <w:rPr>
                <w:rFonts w:ascii="Tahoma" w:hAnsi="Tahoma" w:cs="Tahoma"/>
                <w:color w:val="000000"/>
                <w:sz w:val="22"/>
                <w:szCs w:val="22"/>
              </w:rPr>
            </w:pPr>
            <w:r w:rsidRPr="00DE7078">
              <w:rPr>
                <w:rFonts w:ascii="Tahoma" w:hAnsi="Tahoma" w:cs="Tahoma"/>
                <w:color w:val="000000"/>
                <w:sz w:val="22"/>
                <w:szCs w:val="22"/>
              </w:rPr>
              <w:t>на Счет Карты</w:t>
            </w:r>
            <w:r w:rsidRPr="00DE7078">
              <w:rPr>
                <w:rFonts w:ascii="Tahoma" w:hAnsi="Tahoma" w:cs="Tahoma"/>
                <w:color w:val="000000"/>
                <w:sz w:val="22"/>
                <w:szCs w:val="22"/>
                <w:vertAlign w:val="superscript"/>
              </w:rPr>
              <w:t>11</w:t>
            </w:r>
            <w:r w:rsidRPr="00DE7078">
              <w:rPr>
                <w:rFonts w:ascii="Tahoma" w:hAnsi="Tahoma" w:cs="Tahoma"/>
                <w:color w:val="000000"/>
                <w:sz w:val="22"/>
                <w:szCs w:val="22"/>
              </w:rPr>
              <w:t xml:space="preserve"> в кассах Банка</w:t>
            </w:r>
            <w:r w:rsidRPr="00DE7078">
              <w:rPr>
                <w:rFonts w:ascii="Tahoma" w:hAnsi="Tahoma" w:cs="Tahoma"/>
                <w:color w:val="000000"/>
                <w:sz w:val="22"/>
                <w:szCs w:val="22"/>
                <w:vertAlign w:val="superscript"/>
              </w:rPr>
              <w:t>3</w:t>
            </w:r>
            <w:r w:rsidRPr="00DE7078">
              <w:rPr>
                <w:rFonts w:ascii="Tahoma" w:hAnsi="Tahoma" w:cs="Tahoma"/>
                <w:color w:val="000000"/>
                <w:sz w:val="22"/>
                <w:szCs w:val="22"/>
              </w:rPr>
              <w:t>, банкоматах Банка</w:t>
            </w:r>
            <w:r w:rsidRPr="00DE7078">
              <w:rPr>
                <w:rFonts w:ascii="Tahoma" w:hAnsi="Tahoma" w:cs="Tahoma"/>
                <w:color w:val="000000"/>
                <w:sz w:val="22"/>
                <w:szCs w:val="22"/>
                <w:vertAlign w:val="superscript"/>
              </w:rPr>
              <w:t>3</w:t>
            </w:r>
            <w:r w:rsidRPr="00DE7078">
              <w:rPr>
                <w:rFonts w:ascii="Tahoma" w:hAnsi="Tahoma" w:cs="Tahoma"/>
                <w:color w:val="000000"/>
                <w:sz w:val="22"/>
                <w:szCs w:val="22"/>
              </w:rPr>
              <w:t xml:space="preserve"> и через терминалы самообслуживания Банка</w:t>
            </w:r>
            <w:r w:rsidRPr="00DE7078">
              <w:rPr>
                <w:rFonts w:ascii="Tahoma" w:hAnsi="Tahoma" w:cs="Tahoma"/>
                <w:color w:val="000000"/>
                <w:sz w:val="22"/>
                <w:szCs w:val="22"/>
                <w:vertAlign w:val="superscript"/>
              </w:rPr>
              <w:t>3</w:t>
            </w:r>
          </w:p>
        </w:tc>
        <w:tc>
          <w:tcPr>
            <w:tcW w:w="7228" w:type="dxa"/>
            <w:gridSpan w:val="2"/>
            <w:tcBorders>
              <w:top w:val="single" w:sz="4" w:space="0" w:color="auto"/>
              <w:left w:val="nil"/>
              <w:bottom w:val="single" w:sz="4" w:space="0" w:color="auto"/>
              <w:right w:val="single" w:sz="4" w:space="0" w:color="auto"/>
            </w:tcBorders>
            <w:shd w:val="clear" w:color="auto" w:fill="auto"/>
            <w:vAlign w:val="center"/>
            <w:hideMark/>
          </w:tcPr>
          <w:p w14:paraId="45A3EC9C" w14:textId="77777777" w:rsidR="005B68FD" w:rsidRPr="00DE7078" w:rsidRDefault="005B68FD" w:rsidP="005B68FD">
            <w:pPr>
              <w:jc w:val="center"/>
              <w:rPr>
                <w:rFonts w:ascii="Tahoma" w:hAnsi="Tahoma" w:cs="Tahoma"/>
                <w:color w:val="000000"/>
                <w:sz w:val="22"/>
                <w:szCs w:val="22"/>
              </w:rPr>
            </w:pPr>
            <w:r w:rsidRPr="00DE7078">
              <w:rPr>
                <w:rFonts w:ascii="Tahoma" w:hAnsi="Tahoma" w:cs="Tahoma"/>
                <w:color w:val="000000"/>
                <w:sz w:val="22"/>
                <w:szCs w:val="22"/>
              </w:rPr>
              <w:t>БЕСПЛАТНО</w:t>
            </w:r>
          </w:p>
        </w:tc>
      </w:tr>
      <w:tr w:rsidR="005B68FD" w:rsidRPr="00DE7078" w14:paraId="2577C607" w14:textId="77777777" w:rsidTr="005B68FD">
        <w:trPr>
          <w:gridAfter w:val="3"/>
          <w:wAfter w:w="7989" w:type="dxa"/>
          <w:trHeight w:val="600"/>
        </w:trPr>
        <w:tc>
          <w:tcPr>
            <w:tcW w:w="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F5C6DD"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6.4.2.</w:t>
            </w:r>
          </w:p>
        </w:tc>
        <w:tc>
          <w:tcPr>
            <w:tcW w:w="6953" w:type="dxa"/>
            <w:tcBorders>
              <w:top w:val="nil"/>
              <w:left w:val="nil"/>
              <w:bottom w:val="single" w:sz="4" w:space="0" w:color="auto"/>
              <w:right w:val="single" w:sz="4" w:space="0" w:color="auto"/>
            </w:tcBorders>
            <w:shd w:val="clear" w:color="auto" w:fill="auto"/>
            <w:vAlign w:val="center"/>
            <w:hideMark/>
          </w:tcPr>
          <w:p w14:paraId="1BDABCFE" w14:textId="77777777" w:rsidR="005B68FD" w:rsidRPr="00DE7078" w:rsidRDefault="005B68FD" w:rsidP="005B68FD">
            <w:pPr>
              <w:rPr>
                <w:rFonts w:ascii="Tahoma" w:hAnsi="Tahoma" w:cs="Tahoma"/>
                <w:color w:val="000000"/>
                <w:sz w:val="22"/>
                <w:szCs w:val="22"/>
              </w:rPr>
            </w:pPr>
            <w:r w:rsidRPr="00DE7078">
              <w:rPr>
                <w:rFonts w:ascii="Tahoma" w:hAnsi="Tahoma" w:cs="Tahoma"/>
                <w:color w:val="000000"/>
                <w:sz w:val="22"/>
                <w:szCs w:val="22"/>
              </w:rPr>
              <w:t>наличных денежных средств на Счет Карты</w:t>
            </w:r>
            <w:r w:rsidRPr="00DE7078">
              <w:rPr>
                <w:rFonts w:ascii="Tahoma" w:hAnsi="Tahoma" w:cs="Tahoma"/>
                <w:color w:val="000000"/>
                <w:sz w:val="22"/>
                <w:szCs w:val="22"/>
                <w:vertAlign w:val="superscript"/>
              </w:rPr>
              <w:t>11</w:t>
            </w:r>
            <w:r w:rsidRPr="00DE7078">
              <w:rPr>
                <w:rFonts w:ascii="Tahoma" w:hAnsi="Tahoma" w:cs="Tahoma"/>
                <w:color w:val="000000"/>
                <w:sz w:val="22"/>
                <w:szCs w:val="22"/>
              </w:rPr>
              <w:t xml:space="preserve"> через розничные сети партнеров</w:t>
            </w:r>
          </w:p>
        </w:tc>
        <w:tc>
          <w:tcPr>
            <w:tcW w:w="7228" w:type="dxa"/>
            <w:gridSpan w:val="2"/>
            <w:tcBorders>
              <w:top w:val="single" w:sz="4" w:space="0" w:color="auto"/>
              <w:left w:val="nil"/>
              <w:bottom w:val="single" w:sz="4" w:space="0" w:color="auto"/>
              <w:right w:val="single" w:sz="4" w:space="0" w:color="auto"/>
            </w:tcBorders>
            <w:shd w:val="clear" w:color="auto" w:fill="auto"/>
            <w:vAlign w:val="center"/>
            <w:hideMark/>
          </w:tcPr>
          <w:p w14:paraId="3191124C" w14:textId="77777777" w:rsidR="005B68FD" w:rsidRPr="00DE7078" w:rsidRDefault="005B68FD" w:rsidP="005B68FD">
            <w:pPr>
              <w:jc w:val="center"/>
              <w:rPr>
                <w:rFonts w:ascii="Tahoma" w:hAnsi="Tahoma" w:cs="Tahoma"/>
                <w:color w:val="000000"/>
                <w:sz w:val="22"/>
                <w:szCs w:val="22"/>
              </w:rPr>
            </w:pPr>
            <w:r w:rsidRPr="00DE7078">
              <w:rPr>
                <w:rFonts w:ascii="Tahoma" w:hAnsi="Tahoma" w:cs="Tahoma"/>
                <w:color w:val="000000"/>
                <w:sz w:val="22"/>
                <w:szCs w:val="22"/>
              </w:rPr>
              <w:t xml:space="preserve">БЕСПЛАТНО </w:t>
            </w:r>
            <w:r w:rsidRPr="00DE7078">
              <w:rPr>
                <w:rFonts w:ascii="Tahoma" w:hAnsi="Tahoma" w:cs="Tahoma"/>
                <w:color w:val="000000"/>
                <w:sz w:val="22"/>
                <w:szCs w:val="22"/>
              </w:rPr>
              <w:br/>
              <w:t>(возможно взимание комиссии за пополнение в розничной сети партнеров)</w:t>
            </w:r>
          </w:p>
        </w:tc>
      </w:tr>
      <w:tr w:rsidR="005B68FD" w:rsidRPr="00DE7078" w14:paraId="2E750525" w14:textId="77777777" w:rsidTr="005B68FD">
        <w:trPr>
          <w:gridAfter w:val="3"/>
          <w:wAfter w:w="7989" w:type="dxa"/>
          <w:trHeight w:val="285"/>
        </w:trPr>
        <w:tc>
          <w:tcPr>
            <w:tcW w:w="985" w:type="dxa"/>
            <w:tcBorders>
              <w:top w:val="nil"/>
              <w:left w:val="single" w:sz="4" w:space="0" w:color="auto"/>
              <w:bottom w:val="single" w:sz="4" w:space="0" w:color="auto"/>
              <w:right w:val="single" w:sz="4" w:space="0" w:color="auto"/>
            </w:tcBorders>
            <w:shd w:val="clear" w:color="000000" w:fill="595959"/>
            <w:noWrap/>
            <w:vAlign w:val="center"/>
            <w:hideMark/>
          </w:tcPr>
          <w:p w14:paraId="7EF4BAE7" w14:textId="77777777" w:rsidR="005B68FD" w:rsidRPr="00DE7078" w:rsidRDefault="005B68FD" w:rsidP="005B68FD">
            <w:pPr>
              <w:jc w:val="center"/>
              <w:rPr>
                <w:rFonts w:ascii="Tahoma" w:hAnsi="Tahoma" w:cs="Tahoma"/>
                <w:color w:val="FFFFFF"/>
                <w:sz w:val="22"/>
                <w:szCs w:val="22"/>
              </w:rPr>
            </w:pPr>
            <w:r w:rsidRPr="00DE7078">
              <w:rPr>
                <w:rFonts w:ascii="Tahoma" w:hAnsi="Tahoma" w:cs="Tahoma"/>
                <w:color w:val="FFFFFF"/>
                <w:sz w:val="22"/>
                <w:szCs w:val="22"/>
              </w:rPr>
              <w:t>7.</w:t>
            </w:r>
          </w:p>
        </w:tc>
        <w:tc>
          <w:tcPr>
            <w:tcW w:w="14181" w:type="dxa"/>
            <w:gridSpan w:val="3"/>
            <w:tcBorders>
              <w:top w:val="single" w:sz="4" w:space="0" w:color="auto"/>
              <w:left w:val="nil"/>
              <w:bottom w:val="single" w:sz="4" w:space="0" w:color="auto"/>
              <w:right w:val="nil"/>
            </w:tcBorders>
            <w:shd w:val="clear" w:color="000000" w:fill="595959"/>
            <w:vAlign w:val="center"/>
            <w:hideMark/>
          </w:tcPr>
          <w:p w14:paraId="0DB3313F" w14:textId="77777777" w:rsidR="005B68FD" w:rsidRPr="00DE7078" w:rsidRDefault="005B68FD" w:rsidP="005B68FD">
            <w:pPr>
              <w:rPr>
                <w:rFonts w:ascii="Tahoma" w:hAnsi="Tahoma" w:cs="Tahoma"/>
                <w:color w:val="FFFFFF"/>
                <w:sz w:val="22"/>
                <w:szCs w:val="22"/>
              </w:rPr>
            </w:pPr>
            <w:r w:rsidRPr="00DE7078">
              <w:rPr>
                <w:rFonts w:ascii="Tahoma" w:hAnsi="Tahoma" w:cs="Tahoma"/>
                <w:color w:val="FFFFFF"/>
                <w:sz w:val="22"/>
                <w:szCs w:val="22"/>
              </w:rPr>
              <w:t>Совершение безналичных операций в ТСП</w:t>
            </w:r>
            <w:r w:rsidRPr="00DE7078">
              <w:rPr>
                <w:rFonts w:ascii="Tahoma" w:hAnsi="Tahoma" w:cs="Tahoma"/>
                <w:color w:val="FFFFFF"/>
                <w:sz w:val="22"/>
                <w:szCs w:val="22"/>
                <w:vertAlign w:val="superscript"/>
              </w:rPr>
              <w:t xml:space="preserve">9 </w:t>
            </w:r>
            <w:r w:rsidRPr="00DE7078">
              <w:rPr>
                <w:rFonts w:ascii="Tahoma" w:hAnsi="Tahoma" w:cs="Tahoma"/>
                <w:color w:val="FFFFFF"/>
                <w:sz w:val="22"/>
                <w:szCs w:val="22"/>
              </w:rPr>
              <w:t>и сети Интернет (оплата товаров, работ, услуг, результатов интеллектуальной деятельности)</w:t>
            </w:r>
          </w:p>
        </w:tc>
      </w:tr>
      <w:tr w:rsidR="005B68FD" w:rsidRPr="00DE7078" w14:paraId="02E7E00B" w14:textId="77777777" w:rsidTr="005B68FD">
        <w:trPr>
          <w:gridAfter w:val="3"/>
          <w:wAfter w:w="7989" w:type="dxa"/>
          <w:trHeight w:val="885"/>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5A532C50"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7.1.</w:t>
            </w:r>
          </w:p>
        </w:tc>
        <w:tc>
          <w:tcPr>
            <w:tcW w:w="6953" w:type="dxa"/>
            <w:tcBorders>
              <w:top w:val="nil"/>
              <w:left w:val="nil"/>
              <w:bottom w:val="single" w:sz="4" w:space="0" w:color="auto"/>
              <w:right w:val="single" w:sz="4" w:space="0" w:color="auto"/>
            </w:tcBorders>
            <w:shd w:val="clear" w:color="auto" w:fill="auto"/>
            <w:vAlign w:val="center"/>
            <w:hideMark/>
          </w:tcPr>
          <w:p w14:paraId="43D7EB07" w14:textId="77777777" w:rsidR="005B68FD" w:rsidRPr="00DE7078" w:rsidRDefault="005B68FD" w:rsidP="005B68FD">
            <w:pPr>
              <w:rPr>
                <w:rFonts w:ascii="Tahoma" w:hAnsi="Tahoma" w:cs="Tahoma"/>
                <w:color w:val="000000"/>
                <w:sz w:val="22"/>
                <w:szCs w:val="22"/>
              </w:rPr>
            </w:pPr>
            <w:r w:rsidRPr="00DE7078">
              <w:rPr>
                <w:rFonts w:ascii="Tahoma" w:hAnsi="Tahoma" w:cs="Tahoma"/>
                <w:color w:val="000000"/>
                <w:sz w:val="22"/>
                <w:szCs w:val="22"/>
              </w:rPr>
              <w:t>совершение безналичных операций в ТСП</w:t>
            </w:r>
            <w:r w:rsidRPr="00DE7078">
              <w:rPr>
                <w:rFonts w:ascii="Tahoma" w:hAnsi="Tahoma" w:cs="Tahoma"/>
                <w:color w:val="000000"/>
                <w:sz w:val="22"/>
                <w:szCs w:val="22"/>
                <w:vertAlign w:val="superscript"/>
              </w:rPr>
              <w:t>9</w:t>
            </w:r>
            <w:r w:rsidRPr="00DE7078">
              <w:rPr>
                <w:rFonts w:ascii="Tahoma" w:hAnsi="Tahoma" w:cs="Tahoma"/>
                <w:color w:val="000000"/>
                <w:sz w:val="22"/>
                <w:szCs w:val="22"/>
              </w:rPr>
              <w:t xml:space="preserve"> (оплата товаров, работ, услуг, результатов интеллектуальной деятельности)</w:t>
            </w:r>
          </w:p>
        </w:tc>
        <w:tc>
          <w:tcPr>
            <w:tcW w:w="7228" w:type="dxa"/>
            <w:gridSpan w:val="2"/>
            <w:tcBorders>
              <w:top w:val="single" w:sz="4" w:space="0" w:color="auto"/>
              <w:left w:val="nil"/>
              <w:bottom w:val="single" w:sz="4" w:space="0" w:color="auto"/>
              <w:right w:val="single" w:sz="4" w:space="0" w:color="auto"/>
            </w:tcBorders>
            <w:shd w:val="clear" w:color="auto" w:fill="auto"/>
            <w:noWrap/>
            <w:vAlign w:val="center"/>
            <w:hideMark/>
          </w:tcPr>
          <w:p w14:paraId="4D604FF2" w14:textId="77777777" w:rsidR="005B68FD" w:rsidRPr="00DE7078" w:rsidRDefault="005B68FD" w:rsidP="005B68FD">
            <w:pPr>
              <w:jc w:val="center"/>
              <w:rPr>
                <w:rFonts w:ascii="Tahoma" w:hAnsi="Tahoma" w:cs="Tahoma"/>
                <w:color w:val="000000"/>
                <w:sz w:val="22"/>
                <w:szCs w:val="22"/>
              </w:rPr>
            </w:pPr>
            <w:r w:rsidRPr="00DE7078">
              <w:rPr>
                <w:rFonts w:ascii="Tahoma" w:hAnsi="Tahoma" w:cs="Tahoma"/>
                <w:color w:val="000000"/>
                <w:sz w:val="22"/>
                <w:szCs w:val="22"/>
              </w:rPr>
              <w:t>БЕСПЛАТНО</w:t>
            </w:r>
          </w:p>
        </w:tc>
      </w:tr>
      <w:tr w:rsidR="005B68FD" w:rsidRPr="00DE7078" w14:paraId="20D17AD7" w14:textId="77777777" w:rsidTr="005B68FD">
        <w:trPr>
          <w:gridAfter w:val="3"/>
          <w:wAfter w:w="7989" w:type="dxa"/>
          <w:trHeight w:val="1140"/>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148AB368"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7.2.</w:t>
            </w:r>
          </w:p>
        </w:tc>
        <w:tc>
          <w:tcPr>
            <w:tcW w:w="6953" w:type="dxa"/>
            <w:tcBorders>
              <w:top w:val="nil"/>
              <w:left w:val="nil"/>
              <w:bottom w:val="single" w:sz="4" w:space="0" w:color="auto"/>
              <w:right w:val="single" w:sz="4" w:space="0" w:color="auto"/>
            </w:tcBorders>
            <w:shd w:val="clear" w:color="auto" w:fill="auto"/>
            <w:vAlign w:val="center"/>
            <w:hideMark/>
          </w:tcPr>
          <w:p w14:paraId="2811531C" w14:textId="77777777" w:rsidR="005B68FD" w:rsidRPr="00DE7078" w:rsidRDefault="005B68FD" w:rsidP="005B68FD">
            <w:pPr>
              <w:rPr>
                <w:rFonts w:ascii="Tahoma" w:hAnsi="Tahoma" w:cs="Tahoma"/>
                <w:color w:val="000000"/>
                <w:sz w:val="22"/>
                <w:szCs w:val="22"/>
              </w:rPr>
            </w:pPr>
            <w:r w:rsidRPr="00DE7078">
              <w:rPr>
                <w:rFonts w:ascii="Tahoma" w:hAnsi="Tahoma" w:cs="Tahoma"/>
                <w:color w:val="000000"/>
                <w:sz w:val="22"/>
                <w:szCs w:val="22"/>
              </w:rPr>
              <w:t>проведение «уникальных» транзакций и квази-кэш операций: оплата дорожных чеков, денежных обязательств, лотерейных билетов, игровых фишек в казино и пр.</w:t>
            </w:r>
          </w:p>
        </w:tc>
        <w:tc>
          <w:tcPr>
            <w:tcW w:w="7228" w:type="dxa"/>
            <w:gridSpan w:val="2"/>
            <w:tcBorders>
              <w:top w:val="single" w:sz="4" w:space="0" w:color="auto"/>
              <w:left w:val="nil"/>
              <w:bottom w:val="single" w:sz="4" w:space="0" w:color="auto"/>
              <w:right w:val="single" w:sz="4" w:space="0" w:color="auto"/>
            </w:tcBorders>
            <w:shd w:val="clear" w:color="auto" w:fill="auto"/>
            <w:vAlign w:val="center"/>
            <w:hideMark/>
          </w:tcPr>
          <w:p w14:paraId="3BAE17BD"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3% от суммы операции</w:t>
            </w:r>
            <w:r w:rsidRPr="00DE7078">
              <w:rPr>
                <w:rFonts w:ascii="Tahoma" w:hAnsi="Tahoma" w:cs="Tahoma"/>
                <w:sz w:val="22"/>
                <w:szCs w:val="22"/>
                <w:vertAlign w:val="superscript"/>
              </w:rPr>
              <w:t>12</w:t>
            </w:r>
          </w:p>
        </w:tc>
      </w:tr>
      <w:tr w:rsidR="005B68FD" w:rsidRPr="00DE7078" w14:paraId="2D3FEED6" w14:textId="77777777" w:rsidTr="005B68FD">
        <w:trPr>
          <w:gridAfter w:val="3"/>
          <w:wAfter w:w="7989" w:type="dxa"/>
          <w:trHeight w:val="285"/>
        </w:trPr>
        <w:tc>
          <w:tcPr>
            <w:tcW w:w="985" w:type="dxa"/>
            <w:tcBorders>
              <w:top w:val="nil"/>
              <w:left w:val="single" w:sz="4" w:space="0" w:color="auto"/>
              <w:bottom w:val="single" w:sz="4" w:space="0" w:color="auto"/>
              <w:right w:val="single" w:sz="4" w:space="0" w:color="auto"/>
            </w:tcBorders>
            <w:shd w:val="clear" w:color="000000" w:fill="595959"/>
            <w:noWrap/>
            <w:vAlign w:val="center"/>
            <w:hideMark/>
          </w:tcPr>
          <w:p w14:paraId="1F624108" w14:textId="77777777" w:rsidR="005B68FD" w:rsidRPr="00DE7078" w:rsidRDefault="005B68FD" w:rsidP="005B68FD">
            <w:pPr>
              <w:jc w:val="center"/>
              <w:rPr>
                <w:rFonts w:ascii="Tahoma" w:hAnsi="Tahoma" w:cs="Tahoma"/>
                <w:color w:val="FFFFFF"/>
                <w:sz w:val="22"/>
                <w:szCs w:val="22"/>
              </w:rPr>
            </w:pPr>
            <w:r w:rsidRPr="00DE7078">
              <w:rPr>
                <w:rFonts w:ascii="Tahoma" w:hAnsi="Tahoma" w:cs="Tahoma"/>
                <w:color w:val="FFFFFF"/>
                <w:sz w:val="22"/>
                <w:szCs w:val="22"/>
              </w:rPr>
              <w:t>8.</w:t>
            </w:r>
          </w:p>
        </w:tc>
        <w:tc>
          <w:tcPr>
            <w:tcW w:w="14181" w:type="dxa"/>
            <w:gridSpan w:val="3"/>
            <w:tcBorders>
              <w:top w:val="single" w:sz="4" w:space="0" w:color="auto"/>
              <w:left w:val="nil"/>
              <w:bottom w:val="single" w:sz="4" w:space="0" w:color="auto"/>
              <w:right w:val="nil"/>
            </w:tcBorders>
            <w:shd w:val="clear" w:color="000000" w:fill="595959"/>
            <w:noWrap/>
            <w:vAlign w:val="center"/>
            <w:hideMark/>
          </w:tcPr>
          <w:p w14:paraId="176588DB" w14:textId="77777777" w:rsidR="005B68FD" w:rsidRPr="00DE7078" w:rsidRDefault="005B68FD" w:rsidP="005B68FD">
            <w:pPr>
              <w:rPr>
                <w:rFonts w:ascii="Tahoma" w:hAnsi="Tahoma" w:cs="Tahoma"/>
                <w:color w:val="FFFFFF"/>
                <w:sz w:val="22"/>
                <w:szCs w:val="22"/>
              </w:rPr>
            </w:pPr>
            <w:r w:rsidRPr="00DE7078">
              <w:rPr>
                <w:rFonts w:ascii="Tahoma" w:hAnsi="Tahoma" w:cs="Tahoma"/>
                <w:color w:val="FFFFFF"/>
                <w:sz w:val="22"/>
                <w:szCs w:val="22"/>
              </w:rPr>
              <w:t>Дистанционные банковские сервисы Банка</w:t>
            </w:r>
          </w:p>
        </w:tc>
      </w:tr>
      <w:tr w:rsidR="005B68FD" w:rsidRPr="00DE7078" w14:paraId="6697A2E6" w14:textId="77777777" w:rsidTr="005B68FD">
        <w:trPr>
          <w:gridAfter w:val="3"/>
          <w:wAfter w:w="7989" w:type="dxa"/>
          <w:trHeight w:val="1425"/>
        </w:trPr>
        <w:tc>
          <w:tcPr>
            <w:tcW w:w="985" w:type="dxa"/>
            <w:tcBorders>
              <w:top w:val="nil"/>
              <w:left w:val="single" w:sz="4" w:space="0" w:color="auto"/>
              <w:bottom w:val="single" w:sz="4" w:space="0" w:color="auto"/>
              <w:right w:val="single" w:sz="4" w:space="0" w:color="auto"/>
            </w:tcBorders>
            <w:shd w:val="clear" w:color="000000" w:fill="FFFFFF"/>
            <w:noWrap/>
            <w:vAlign w:val="center"/>
            <w:hideMark/>
          </w:tcPr>
          <w:p w14:paraId="08BA40D7"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8.1.</w:t>
            </w:r>
          </w:p>
        </w:tc>
        <w:tc>
          <w:tcPr>
            <w:tcW w:w="6953" w:type="dxa"/>
            <w:tcBorders>
              <w:top w:val="nil"/>
              <w:left w:val="nil"/>
              <w:bottom w:val="single" w:sz="4" w:space="0" w:color="auto"/>
              <w:right w:val="nil"/>
            </w:tcBorders>
            <w:shd w:val="clear" w:color="000000" w:fill="FFFFFF"/>
            <w:vAlign w:val="center"/>
            <w:hideMark/>
          </w:tcPr>
          <w:p w14:paraId="6C563B50" w14:textId="77777777" w:rsidR="005B68FD" w:rsidRPr="00DE7078" w:rsidRDefault="005B68FD" w:rsidP="005B68FD">
            <w:pPr>
              <w:rPr>
                <w:rFonts w:ascii="Tahoma" w:hAnsi="Tahoma" w:cs="Tahoma"/>
                <w:sz w:val="22"/>
                <w:szCs w:val="22"/>
              </w:rPr>
            </w:pPr>
            <w:r w:rsidRPr="00DE7078">
              <w:rPr>
                <w:rFonts w:ascii="Tahoma" w:hAnsi="Tahoma" w:cs="Tahoma"/>
                <w:sz w:val="22"/>
                <w:szCs w:val="22"/>
              </w:rPr>
              <w:t>стоимость услуги СМС-информирования (полный пакет): детализирование уведомление о приходных и расходных операциях по Счету Карты в формате СМС-сообщений на Номер мобильного телефона Клиента, указанный Клиентом Банку в качестве основного</w:t>
            </w:r>
          </w:p>
        </w:tc>
        <w:tc>
          <w:tcPr>
            <w:tcW w:w="722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2E69A4"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БЕСПЛАТНО</w:t>
            </w:r>
          </w:p>
        </w:tc>
      </w:tr>
      <w:tr w:rsidR="005B68FD" w:rsidRPr="00DE7078" w14:paraId="1B14FA3C" w14:textId="77777777" w:rsidTr="005B68FD">
        <w:trPr>
          <w:gridAfter w:val="3"/>
          <w:wAfter w:w="7989" w:type="dxa"/>
          <w:trHeight w:val="1425"/>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62514817"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8.2.</w:t>
            </w:r>
          </w:p>
        </w:tc>
        <w:tc>
          <w:tcPr>
            <w:tcW w:w="6953" w:type="dxa"/>
            <w:tcBorders>
              <w:top w:val="single" w:sz="4" w:space="0" w:color="auto"/>
              <w:left w:val="nil"/>
              <w:bottom w:val="single" w:sz="4" w:space="0" w:color="auto"/>
              <w:right w:val="single" w:sz="4" w:space="0" w:color="auto"/>
            </w:tcBorders>
            <w:shd w:val="clear" w:color="000000" w:fill="FFFFFF"/>
            <w:vAlign w:val="center"/>
            <w:hideMark/>
          </w:tcPr>
          <w:p w14:paraId="634781D4" w14:textId="77777777" w:rsidR="005B68FD" w:rsidRPr="00DE7078" w:rsidRDefault="005B68FD" w:rsidP="005B68FD">
            <w:pPr>
              <w:rPr>
                <w:rFonts w:ascii="Tahoma" w:hAnsi="Tahoma" w:cs="Tahoma"/>
                <w:sz w:val="22"/>
                <w:szCs w:val="22"/>
              </w:rPr>
            </w:pPr>
            <w:r w:rsidRPr="00DE7078">
              <w:rPr>
                <w:rFonts w:ascii="Tahoma" w:hAnsi="Tahoma" w:cs="Tahoma"/>
                <w:sz w:val="22"/>
                <w:szCs w:val="22"/>
              </w:rPr>
              <w:t>стоимость услуги СМС-информирования (обязательный пакет): краткие уведомления о расходных операциях по Счету Карты в формате СМС-сообщений на Номер мобильного телефона Клиента, указанный Клиентом Банку в качестве основного</w:t>
            </w:r>
          </w:p>
        </w:tc>
        <w:tc>
          <w:tcPr>
            <w:tcW w:w="7228" w:type="dxa"/>
            <w:gridSpan w:val="2"/>
            <w:vMerge/>
            <w:tcBorders>
              <w:top w:val="single" w:sz="4" w:space="0" w:color="auto"/>
              <w:left w:val="single" w:sz="4" w:space="0" w:color="auto"/>
              <w:bottom w:val="single" w:sz="4" w:space="0" w:color="auto"/>
              <w:right w:val="single" w:sz="4" w:space="0" w:color="auto"/>
            </w:tcBorders>
            <w:vAlign w:val="center"/>
            <w:hideMark/>
          </w:tcPr>
          <w:p w14:paraId="494C9C4C" w14:textId="77777777" w:rsidR="005B68FD" w:rsidRPr="00DE7078" w:rsidRDefault="005B68FD" w:rsidP="005B68FD">
            <w:pPr>
              <w:rPr>
                <w:rFonts w:ascii="Tahoma" w:hAnsi="Tahoma" w:cs="Tahoma"/>
                <w:sz w:val="22"/>
                <w:szCs w:val="22"/>
              </w:rPr>
            </w:pPr>
          </w:p>
        </w:tc>
      </w:tr>
      <w:tr w:rsidR="005B68FD" w:rsidRPr="00DE7078" w14:paraId="22F09D3E" w14:textId="77777777" w:rsidTr="005B68FD">
        <w:trPr>
          <w:gridAfter w:val="3"/>
          <w:wAfter w:w="7989" w:type="dxa"/>
          <w:trHeight w:val="570"/>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0ED0957C"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8.3.</w:t>
            </w:r>
          </w:p>
        </w:tc>
        <w:tc>
          <w:tcPr>
            <w:tcW w:w="6953" w:type="dxa"/>
            <w:tcBorders>
              <w:top w:val="single" w:sz="4" w:space="0" w:color="auto"/>
              <w:left w:val="nil"/>
              <w:bottom w:val="single" w:sz="4" w:space="0" w:color="auto"/>
              <w:right w:val="single" w:sz="4" w:space="0" w:color="auto"/>
            </w:tcBorders>
            <w:shd w:val="clear" w:color="auto" w:fill="auto"/>
            <w:vAlign w:val="center"/>
            <w:hideMark/>
          </w:tcPr>
          <w:p w14:paraId="730366AC" w14:textId="77777777" w:rsidR="005B68FD" w:rsidRPr="00DE7078" w:rsidRDefault="005B68FD" w:rsidP="005B68FD">
            <w:pPr>
              <w:rPr>
                <w:rFonts w:ascii="Tahoma" w:hAnsi="Tahoma" w:cs="Tahoma"/>
                <w:sz w:val="22"/>
                <w:szCs w:val="22"/>
              </w:rPr>
            </w:pPr>
            <w:r w:rsidRPr="00DE7078">
              <w:rPr>
                <w:rFonts w:ascii="Tahoma" w:hAnsi="Tahoma" w:cs="Tahoma"/>
                <w:sz w:val="22"/>
                <w:szCs w:val="22"/>
              </w:rPr>
              <w:t>доступ в Каналы ДБО Банка: «АТБ-Онлайн», Мобильный банк</w:t>
            </w:r>
          </w:p>
        </w:tc>
        <w:tc>
          <w:tcPr>
            <w:tcW w:w="7228" w:type="dxa"/>
            <w:gridSpan w:val="2"/>
            <w:vMerge/>
            <w:tcBorders>
              <w:top w:val="single" w:sz="4" w:space="0" w:color="auto"/>
              <w:left w:val="single" w:sz="4" w:space="0" w:color="auto"/>
              <w:bottom w:val="single" w:sz="4" w:space="0" w:color="auto"/>
              <w:right w:val="single" w:sz="4" w:space="0" w:color="auto"/>
            </w:tcBorders>
            <w:vAlign w:val="center"/>
            <w:hideMark/>
          </w:tcPr>
          <w:p w14:paraId="6486D044" w14:textId="77777777" w:rsidR="005B68FD" w:rsidRPr="00DE7078" w:rsidRDefault="005B68FD" w:rsidP="005B68FD">
            <w:pPr>
              <w:rPr>
                <w:rFonts w:ascii="Tahoma" w:hAnsi="Tahoma" w:cs="Tahoma"/>
                <w:sz w:val="22"/>
                <w:szCs w:val="22"/>
              </w:rPr>
            </w:pPr>
          </w:p>
        </w:tc>
      </w:tr>
      <w:tr w:rsidR="005B68FD" w:rsidRPr="00DE7078" w14:paraId="026EB077" w14:textId="77777777" w:rsidTr="005B68FD">
        <w:trPr>
          <w:gridAfter w:val="3"/>
          <w:wAfter w:w="7989" w:type="dxa"/>
          <w:trHeight w:val="570"/>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03CD1384"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8.4.</w:t>
            </w:r>
          </w:p>
        </w:tc>
        <w:tc>
          <w:tcPr>
            <w:tcW w:w="6953" w:type="dxa"/>
            <w:tcBorders>
              <w:top w:val="single" w:sz="4" w:space="0" w:color="auto"/>
              <w:left w:val="nil"/>
              <w:bottom w:val="single" w:sz="4" w:space="0" w:color="auto"/>
              <w:right w:val="single" w:sz="4" w:space="0" w:color="auto"/>
            </w:tcBorders>
            <w:shd w:val="clear" w:color="auto" w:fill="auto"/>
            <w:vAlign w:val="center"/>
            <w:hideMark/>
          </w:tcPr>
          <w:p w14:paraId="6D726712" w14:textId="77777777" w:rsidR="005B68FD" w:rsidRPr="00DE7078" w:rsidRDefault="005B68FD" w:rsidP="005B68FD">
            <w:pPr>
              <w:rPr>
                <w:rFonts w:ascii="Tahoma" w:hAnsi="Tahoma" w:cs="Tahoma"/>
                <w:sz w:val="22"/>
                <w:szCs w:val="22"/>
              </w:rPr>
            </w:pPr>
            <w:r w:rsidRPr="00DE7078">
              <w:rPr>
                <w:rFonts w:ascii="Tahoma" w:hAnsi="Tahoma" w:cs="Tahoma"/>
                <w:sz w:val="22"/>
                <w:szCs w:val="22"/>
              </w:rPr>
              <w:t>выписка по Счету Карты в Каналах ДБО Банка: «АТБ-Онлайн», Мобильный банк</w:t>
            </w:r>
          </w:p>
        </w:tc>
        <w:tc>
          <w:tcPr>
            <w:tcW w:w="7228" w:type="dxa"/>
            <w:gridSpan w:val="2"/>
            <w:vMerge/>
            <w:tcBorders>
              <w:top w:val="single" w:sz="4" w:space="0" w:color="auto"/>
              <w:left w:val="single" w:sz="4" w:space="0" w:color="auto"/>
              <w:bottom w:val="single" w:sz="4" w:space="0" w:color="auto"/>
              <w:right w:val="single" w:sz="4" w:space="0" w:color="auto"/>
            </w:tcBorders>
            <w:vAlign w:val="center"/>
            <w:hideMark/>
          </w:tcPr>
          <w:p w14:paraId="58E91F9D" w14:textId="77777777" w:rsidR="005B68FD" w:rsidRPr="00DE7078" w:rsidRDefault="005B68FD" w:rsidP="005B68FD">
            <w:pPr>
              <w:rPr>
                <w:rFonts w:ascii="Tahoma" w:hAnsi="Tahoma" w:cs="Tahoma"/>
                <w:sz w:val="22"/>
                <w:szCs w:val="22"/>
              </w:rPr>
            </w:pPr>
          </w:p>
        </w:tc>
      </w:tr>
      <w:tr w:rsidR="005B68FD" w:rsidRPr="00DE7078" w14:paraId="699706EF" w14:textId="77777777" w:rsidTr="005B68FD">
        <w:trPr>
          <w:gridAfter w:val="3"/>
          <w:wAfter w:w="7989" w:type="dxa"/>
          <w:trHeight w:val="315"/>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6B748451"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8.5.</w:t>
            </w:r>
          </w:p>
        </w:tc>
        <w:tc>
          <w:tcPr>
            <w:tcW w:w="6953" w:type="dxa"/>
            <w:tcBorders>
              <w:top w:val="single" w:sz="4" w:space="0" w:color="auto"/>
              <w:left w:val="nil"/>
              <w:bottom w:val="single" w:sz="4" w:space="0" w:color="auto"/>
              <w:right w:val="single" w:sz="4" w:space="0" w:color="auto"/>
            </w:tcBorders>
            <w:shd w:val="clear" w:color="auto" w:fill="auto"/>
            <w:vAlign w:val="center"/>
            <w:hideMark/>
          </w:tcPr>
          <w:p w14:paraId="70051561" w14:textId="77777777" w:rsidR="005B68FD" w:rsidRPr="00DE7078" w:rsidRDefault="005B68FD" w:rsidP="005B68FD">
            <w:pPr>
              <w:rPr>
                <w:rFonts w:ascii="Tahoma" w:hAnsi="Tahoma" w:cs="Tahoma"/>
                <w:sz w:val="22"/>
                <w:szCs w:val="22"/>
              </w:rPr>
            </w:pPr>
            <w:r w:rsidRPr="00DE7078">
              <w:rPr>
                <w:rFonts w:ascii="Tahoma" w:hAnsi="Tahoma" w:cs="Tahoma"/>
                <w:sz w:val="22"/>
                <w:szCs w:val="22"/>
              </w:rPr>
              <w:t>выписка по Счету Карты в банкоматах Банка</w:t>
            </w:r>
            <w:r w:rsidRPr="00DE7078">
              <w:rPr>
                <w:rFonts w:ascii="Tahoma" w:hAnsi="Tahoma" w:cs="Tahoma"/>
                <w:sz w:val="22"/>
                <w:szCs w:val="22"/>
                <w:vertAlign w:val="superscript"/>
              </w:rPr>
              <w:t>3</w:t>
            </w:r>
          </w:p>
        </w:tc>
        <w:tc>
          <w:tcPr>
            <w:tcW w:w="7228" w:type="dxa"/>
            <w:gridSpan w:val="2"/>
            <w:vMerge/>
            <w:tcBorders>
              <w:top w:val="single" w:sz="4" w:space="0" w:color="auto"/>
              <w:left w:val="single" w:sz="4" w:space="0" w:color="auto"/>
              <w:bottom w:val="single" w:sz="4" w:space="0" w:color="auto"/>
              <w:right w:val="single" w:sz="4" w:space="0" w:color="auto"/>
            </w:tcBorders>
            <w:vAlign w:val="center"/>
            <w:hideMark/>
          </w:tcPr>
          <w:p w14:paraId="0E12280C" w14:textId="77777777" w:rsidR="005B68FD" w:rsidRPr="00DE7078" w:rsidRDefault="005B68FD" w:rsidP="005B68FD">
            <w:pPr>
              <w:rPr>
                <w:rFonts w:ascii="Tahoma" w:hAnsi="Tahoma" w:cs="Tahoma"/>
                <w:sz w:val="22"/>
                <w:szCs w:val="22"/>
              </w:rPr>
            </w:pPr>
          </w:p>
        </w:tc>
      </w:tr>
      <w:tr w:rsidR="005B68FD" w:rsidRPr="00DE7078" w14:paraId="3EFEB5FB" w14:textId="77777777" w:rsidTr="005B68FD">
        <w:trPr>
          <w:gridAfter w:val="3"/>
          <w:wAfter w:w="7989" w:type="dxa"/>
          <w:trHeight w:val="885"/>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61F1EFF7"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8.6.</w:t>
            </w:r>
          </w:p>
        </w:tc>
        <w:tc>
          <w:tcPr>
            <w:tcW w:w="6953" w:type="dxa"/>
            <w:tcBorders>
              <w:top w:val="single" w:sz="4" w:space="0" w:color="auto"/>
              <w:left w:val="nil"/>
              <w:bottom w:val="single" w:sz="4" w:space="0" w:color="auto"/>
              <w:right w:val="single" w:sz="4" w:space="0" w:color="auto"/>
            </w:tcBorders>
            <w:shd w:val="clear" w:color="auto" w:fill="auto"/>
            <w:vAlign w:val="center"/>
            <w:hideMark/>
          </w:tcPr>
          <w:p w14:paraId="198FBB36" w14:textId="77777777" w:rsidR="005B68FD" w:rsidRPr="00DE7078" w:rsidRDefault="005B68FD" w:rsidP="005B68FD">
            <w:pPr>
              <w:rPr>
                <w:rFonts w:ascii="Tahoma" w:hAnsi="Tahoma" w:cs="Tahoma"/>
                <w:sz w:val="22"/>
                <w:szCs w:val="22"/>
              </w:rPr>
            </w:pPr>
            <w:r w:rsidRPr="00DE7078">
              <w:rPr>
                <w:rFonts w:ascii="Tahoma" w:hAnsi="Tahoma" w:cs="Tahoma"/>
                <w:sz w:val="22"/>
                <w:szCs w:val="22"/>
              </w:rPr>
              <w:t>запрос баланса Счета Карты в банкоматах Банка</w:t>
            </w:r>
            <w:r w:rsidRPr="00DE7078">
              <w:rPr>
                <w:rFonts w:ascii="Tahoma" w:hAnsi="Tahoma" w:cs="Tahoma"/>
                <w:sz w:val="22"/>
                <w:szCs w:val="22"/>
                <w:vertAlign w:val="superscript"/>
              </w:rPr>
              <w:t>3</w:t>
            </w:r>
            <w:r w:rsidRPr="00DE7078">
              <w:rPr>
                <w:rFonts w:ascii="Tahoma" w:hAnsi="Tahoma" w:cs="Tahoma"/>
                <w:sz w:val="22"/>
                <w:szCs w:val="22"/>
              </w:rPr>
              <w:t xml:space="preserve"> посредством вывода информации на экран устройства и/или чек</w:t>
            </w:r>
          </w:p>
        </w:tc>
        <w:tc>
          <w:tcPr>
            <w:tcW w:w="7228" w:type="dxa"/>
            <w:gridSpan w:val="2"/>
            <w:vMerge/>
            <w:tcBorders>
              <w:top w:val="single" w:sz="4" w:space="0" w:color="auto"/>
              <w:left w:val="single" w:sz="4" w:space="0" w:color="auto"/>
              <w:bottom w:val="single" w:sz="4" w:space="0" w:color="auto"/>
              <w:right w:val="single" w:sz="4" w:space="0" w:color="auto"/>
            </w:tcBorders>
            <w:vAlign w:val="center"/>
            <w:hideMark/>
          </w:tcPr>
          <w:p w14:paraId="3A0DD059" w14:textId="77777777" w:rsidR="005B68FD" w:rsidRPr="00DE7078" w:rsidRDefault="005B68FD" w:rsidP="005B68FD">
            <w:pPr>
              <w:rPr>
                <w:rFonts w:ascii="Tahoma" w:hAnsi="Tahoma" w:cs="Tahoma"/>
                <w:sz w:val="22"/>
                <w:szCs w:val="22"/>
              </w:rPr>
            </w:pPr>
          </w:p>
        </w:tc>
      </w:tr>
      <w:tr w:rsidR="005B68FD" w:rsidRPr="00DE7078" w14:paraId="43AE7C70" w14:textId="77777777" w:rsidTr="005B68FD">
        <w:trPr>
          <w:gridAfter w:val="3"/>
          <w:wAfter w:w="7989" w:type="dxa"/>
          <w:trHeight w:val="1080"/>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4C983B3E"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8.7.</w:t>
            </w:r>
          </w:p>
        </w:tc>
        <w:tc>
          <w:tcPr>
            <w:tcW w:w="6953" w:type="dxa"/>
            <w:tcBorders>
              <w:top w:val="nil"/>
              <w:left w:val="nil"/>
              <w:bottom w:val="single" w:sz="4" w:space="0" w:color="auto"/>
              <w:right w:val="single" w:sz="4" w:space="0" w:color="auto"/>
            </w:tcBorders>
            <w:shd w:val="clear" w:color="auto" w:fill="auto"/>
            <w:vAlign w:val="center"/>
            <w:hideMark/>
          </w:tcPr>
          <w:p w14:paraId="0725AA4B" w14:textId="77777777" w:rsidR="005B68FD" w:rsidRPr="00DE7078" w:rsidRDefault="005B68FD" w:rsidP="005B68FD">
            <w:pPr>
              <w:rPr>
                <w:rFonts w:ascii="Tahoma" w:hAnsi="Tahoma" w:cs="Tahoma"/>
                <w:sz w:val="22"/>
                <w:szCs w:val="22"/>
              </w:rPr>
            </w:pPr>
            <w:r w:rsidRPr="00DE7078">
              <w:rPr>
                <w:rFonts w:ascii="Tahoma" w:hAnsi="Tahoma" w:cs="Tahoma"/>
                <w:sz w:val="22"/>
                <w:szCs w:val="22"/>
              </w:rPr>
              <w:t>запрос баланса Счета Карты в банкоматах других банков</w:t>
            </w:r>
            <w:r w:rsidRPr="00DE7078">
              <w:rPr>
                <w:rFonts w:ascii="Tahoma" w:hAnsi="Tahoma" w:cs="Tahoma"/>
                <w:sz w:val="22"/>
                <w:szCs w:val="22"/>
                <w:vertAlign w:val="superscript"/>
              </w:rPr>
              <w:t>13</w:t>
            </w:r>
          </w:p>
        </w:tc>
        <w:tc>
          <w:tcPr>
            <w:tcW w:w="7228" w:type="dxa"/>
            <w:gridSpan w:val="2"/>
            <w:tcBorders>
              <w:top w:val="single" w:sz="4" w:space="0" w:color="auto"/>
              <w:left w:val="nil"/>
              <w:bottom w:val="single" w:sz="4" w:space="0" w:color="auto"/>
              <w:right w:val="single" w:sz="4" w:space="0" w:color="auto"/>
            </w:tcBorders>
            <w:shd w:val="clear" w:color="auto" w:fill="auto"/>
            <w:vAlign w:val="center"/>
            <w:hideMark/>
          </w:tcPr>
          <w:p w14:paraId="4B02C0E2"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0 рублей – при запросе баланса в банкомате другого банка впервые с момента получения Клиентом Карты;</w:t>
            </w:r>
            <w:r w:rsidRPr="00DE7078">
              <w:rPr>
                <w:rFonts w:ascii="Tahoma" w:hAnsi="Tahoma" w:cs="Tahoma"/>
                <w:sz w:val="22"/>
                <w:szCs w:val="22"/>
              </w:rPr>
              <w:br/>
              <w:t>45 рублей – при каждом последующем запросе баланса.</w:t>
            </w:r>
          </w:p>
        </w:tc>
      </w:tr>
      <w:tr w:rsidR="005B68FD" w:rsidRPr="00DE7078" w14:paraId="63CFA779" w14:textId="77777777" w:rsidTr="005B68FD">
        <w:trPr>
          <w:gridAfter w:val="3"/>
          <w:wAfter w:w="7989" w:type="dxa"/>
          <w:trHeight w:val="285"/>
        </w:trPr>
        <w:tc>
          <w:tcPr>
            <w:tcW w:w="985" w:type="dxa"/>
            <w:tcBorders>
              <w:top w:val="nil"/>
              <w:left w:val="single" w:sz="4" w:space="0" w:color="auto"/>
              <w:bottom w:val="single" w:sz="4" w:space="0" w:color="auto"/>
              <w:right w:val="single" w:sz="4" w:space="0" w:color="auto"/>
            </w:tcBorders>
            <w:shd w:val="clear" w:color="000000" w:fill="595959"/>
            <w:noWrap/>
            <w:vAlign w:val="center"/>
            <w:hideMark/>
          </w:tcPr>
          <w:p w14:paraId="17E8A277" w14:textId="77777777" w:rsidR="005B68FD" w:rsidRPr="00DE7078" w:rsidRDefault="005B68FD" w:rsidP="005B68FD">
            <w:pPr>
              <w:jc w:val="center"/>
              <w:rPr>
                <w:rFonts w:ascii="Tahoma" w:hAnsi="Tahoma" w:cs="Tahoma"/>
                <w:color w:val="FFFFFF"/>
                <w:sz w:val="22"/>
                <w:szCs w:val="22"/>
              </w:rPr>
            </w:pPr>
            <w:r w:rsidRPr="00DE7078">
              <w:rPr>
                <w:rFonts w:ascii="Tahoma" w:hAnsi="Tahoma" w:cs="Tahoma"/>
                <w:color w:val="FFFFFF"/>
                <w:sz w:val="22"/>
                <w:szCs w:val="22"/>
              </w:rPr>
              <w:t>9.</w:t>
            </w:r>
          </w:p>
        </w:tc>
        <w:tc>
          <w:tcPr>
            <w:tcW w:w="14181" w:type="dxa"/>
            <w:gridSpan w:val="3"/>
            <w:tcBorders>
              <w:top w:val="single" w:sz="4" w:space="0" w:color="auto"/>
              <w:left w:val="nil"/>
              <w:bottom w:val="single" w:sz="4" w:space="0" w:color="auto"/>
              <w:right w:val="nil"/>
            </w:tcBorders>
            <w:shd w:val="clear" w:color="000000" w:fill="595959"/>
            <w:noWrap/>
            <w:vAlign w:val="center"/>
            <w:hideMark/>
          </w:tcPr>
          <w:p w14:paraId="52AD7789" w14:textId="77777777" w:rsidR="005B68FD" w:rsidRPr="00DE7078" w:rsidRDefault="005B68FD" w:rsidP="005B68FD">
            <w:pPr>
              <w:rPr>
                <w:rFonts w:ascii="Tahoma" w:hAnsi="Tahoma" w:cs="Tahoma"/>
                <w:color w:val="FFFFFF"/>
                <w:sz w:val="22"/>
                <w:szCs w:val="22"/>
              </w:rPr>
            </w:pPr>
            <w:r w:rsidRPr="00DE7078">
              <w:rPr>
                <w:rFonts w:ascii="Tahoma" w:hAnsi="Tahoma" w:cs="Tahoma"/>
                <w:color w:val="FFFFFF"/>
                <w:sz w:val="22"/>
                <w:szCs w:val="22"/>
              </w:rPr>
              <w:t>Приостановление/возобновление операций с Картой</w:t>
            </w:r>
          </w:p>
        </w:tc>
      </w:tr>
      <w:tr w:rsidR="005B68FD" w:rsidRPr="00DE7078" w14:paraId="676FEA8F" w14:textId="77777777" w:rsidTr="005B68FD">
        <w:trPr>
          <w:gridAfter w:val="3"/>
          <w:wAfter w:w="7989" w:type="dxa"/>
          <w:trHeight w:val="885"/>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3058AB98"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9.1.</w:t>
            </w:r>
          </w:p>
        </w:tc>
        <w:tc>
          <w:tcPr>
            <w:tcW w:w="6953" w:type="dxa"/>
            <w:tcBorders>
              <w:top w:val="nil"/>
              <w:left w:val="nil"/>
              <w:bottom w:val="single" w:sz="4" w:space="0" w:color="auto"/>
              <w:right w:val="single" w:sz="4" w:space="0" w:color="auto"/>
            </w:tcBorders>
            <w:shd w:val="clear" w:color="auto" w:fill="auto"/>
            <w:vAlign w:val="center"/>
            <w:hideMark/>
          </w:tcPr>
          <w:p w14:paraId="54BBA981" w14:textId="77777777" w:rsidR="005B68FD" w:rsidRPr="00DE7078" w:rsidRDefault="005B68FD" w:rsidP="005B68FD">
            <w:pPr>
              <w:rPr>
                <w:rFonts w:ascii="Tahoma" w:hAnsi="Tahoma" w:cs="Tahoma"/>
                <w:color w:val="000000"/>
                <w:sz w:val="22"/>
                <w:szCs w:val="22"/>
              </w:rPr>
            </w:pPr>
            <w:r w:rsidRPr="00DE7078">
              <w:rPr>
                <w:rFonts w:ascii="Tahoma" w:hAnsi="Tahoma" w:cs="Tahoma"/>
                <w:color w:val="000000"/>
                <w:sz w:val="22"/>
                <w:szCs w:val="22"/>
              </w:rPr>
              <w:t>блокировка/разблокировка Карты в базе данных Процессингового Центра Банка</w:t>
            </w:r>
            <w:r w:rsidRPr="00DE7078">
              <w:rPr>
                <w:rFonts w:ascii="Tahoma" w:hAnsi="Tahoma" w:cs="Tahoma"/>
                <w:color w:val="000000"/>
                <w:sz w:val="22"/>
                <w:szCs w:val="22"/>
                <w:vertAlign w:val="superscript"/>
              </w:rPr>
              <w:t xml:space="preserve">3 </w:t>
            </w:r>
            <w:r w:rsidRPr="00DE7078">
              <w:rPr>
                <w:rFonts w:ascii="Tahoma" w:hAnsi="Tahoma" w:cs="Tahoma"/>
                <w:color w:val="000000"/>
                <w:sz w:val="22"/>
                <w:szCs w:val="22"/>
              </w:rPr>
              <w:t>посредством каналов дистанционного банковского обслуживания</w:t>
            </w:r>
          </w:p>
        </w:tc>
        <w:tc>
          <w:tcPr>
            <w:tcW w:w="722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62980C" w14:textId="77777777" w:rsidR="005B68FD" w:rsidRPr="00DE7078" w:rsidRDefault="005B68FD" w:rsidP="005B68FD">
            <w:pPr>
              <w:jc w:val="center"/>
              <w:rPr>
                <w:rFonts w:ascii="Tahoma" w:hAnsi="Tahoma" w:cs="Tahoma"/>
                <w:color w:val="000000"/>
                <w:sz w:val="22"/>
                <w:szCs w:val="22"/>
              </w:rPr>
            </w:pPr>
            <w:r w:rsidRPr="00DE7078">
              <w:rPr>
                <w:rFonts w:ascii="Tahoma" w:hAnsi="Tahoma" w:cs="Tahoma"/>
                <w:color w:val="000000"/>
                <w:sz w:val="22"/>
                <w:szCs w:val="22"/>
              </w:rPr>
              <w:t>БЕСПЛАТНО</w:t>
            </w:r>
          </w:p>
        </w:tc>
      </w:tr>
      <w:tr w:rsidR="005B68FD" w:rsidRPr="00DE7078" w14:paraId="029A0B4C" w14:textId="77777777" w:rsidTr="005B68FD">
        <w:trPr>
          <w:gridAfter w:val="3"/>
          <w:wAfter w:w="7989" w:type="dxa"/>
          <w:trHeight w:val="1230"/>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4B8666DC"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9.2.</w:t>
            </w:r>
          </w:p>
        </w:tc>
        <w:tc>
          <w:tcPr>
            <w:tcW w:w="6953" w:type="dxa"/>
            <w:tcBorders>
              <w:top w:val="nil"/>
              <w:left w:val="nil"/>
              <w:bottom w:val="single" w:sz="4" w:space="0" w:color="auto"/>
              <w:right w:val="single" w:sz="4" w:space="0" w:color="auto"/>
            </w:tcBorders>
            <w:shd w:val="clear" w:color="auto" w:fill="auto"/>
            <w:vAlign w:val="center"/>
            <w:hideMark/>
          </w:tcPr>
          <w:p w14:paraId="7E24E9DF" w14:textId="77777777" w:rsidR="005B68FD" w:rsidRPr="00DE7078" w:rsidRDefault="005B68FD" w:rsidP="005B68FD">
            <w:pPr>
              <w:rPr>
                <w:rFonts w:ascii="Tahoma" w:hAnsi="Tahoma" w:cs="Tahoma"/>
                <w:color w:val="000000"/>
                <w:sz w:val="22"/>
                <w:szCs w:val="22"/>
              </w:rPr>
            </w:pPr>
            <w:r w:rsidRPr="00DE7078">
              <w:rPr>
                <w:rFonts w:ascii="Tahoma" w:hAnsi="Tahoma" w:cs="Tahoma"/>
                <w:color w:val="000000"/>
                <w:sz w:val="22"/>
                <w:szCs w:val="22"/>
              </w:rPr>
              <w:t>блокировка/разблокировка Карты в базе данных Процессингового Центра Банка</w:t>
            </w:r>
            <w:r w:rsidRPr="00DE7078">
              <w:rPr>
                <w:rFonts w:ascii="Tahoma" w:hAnsi="Tahoma" w:cs="Tahoma"/>
                <w:color w:val="000000"/>
                <w:sz w:val="22"/>
                <w:szCs w:val="22"/>
                <w:vertAlign w:val="superscript"/>
              </w:rPr>
              <w:t>3</w:t>
            </w:r>
            <w:r w:rsidRPr="00DE7078">
              <w:rPr>
                <w:rFonts w:ascii="Tahoma" w:hAnsi="Tahoma" w:cs="Tahoma"/>
                <w:color w:val="000000"/>
                <w:sz w:val="22"/>
                <w:szCs w:val="22"/>
              </w:rPr>
              <w:t xml:space="preserve"> при оформлении операции работником Банка</w:t>
            </w:r>
            <w:r w:rsidRPr="00DE7078">
              <w:rPr>
                <w:rFonts w:ascii="Tahoma" w:hAnsi="Tahoma" w:cs="Tahoma"/>
                <w:color w:val="000000"/>
                <w:sz w:val="22"/>
                <w:szCs w:val="22"/>
                <w:vertAlign w:val="superscript"/>
              </w:rPr>
              <w:t>3</w:t>
            </w:r>
            <w:r w:rsidRPr="00DE7078">
              <w:rPr>
                <w:rFonts w:ascii="Tahoma" w:hAnsi="Tahoma" w:cs="Tahoma"/>
                <w:color w:val="000000"/>
                <w:sz w:val="22"/>
                <w:szCs w:val="22"/>
              </w:rPr>
              <w:t xml:space="preserve"> по заявлению Клиента в офисе Банка</w:t>
            </w:r>
            <w:r w:rsidRPr="00DE7078">
              <w:rPr>
                <w:rFonts w:ascii="Tahoma" w:hAnsi="Tahoma" w:cs="Tahoma"/>
                <w:color w:val="000000"/>
                <w:sz w:val="22"/>
                <w:szCs w:val="22"/>
                <w:vertAlign w:val="superscript"/>
              </w:rPr>
              <w:t>3</w:t>
            </w:r>
          </w:p>
        </w:tc>
        <w:tc>
          <w:tcPr>
            <w:tcW w:w="7228" w:type="dxa"/>
            <w:gridSpan w:val="2"/>
            <w:vMerge/>
            <w:tcBorders>
              <w:top w:val="nil"/>
              <w:left w:val="nil"/>
              <w:bottom w:val="single" w:sz="4" w:space="0" w:color="auto"/>
              <w:right w:val="single" w:sz="4" w:space="0" w:color="auto"/>
            </w:tcBorders>
            <w:vAlign w:val="center"/>
            <w:hideMark/>
          </w:tcPr>
          <w:p w14:paraId="692D1C0D" w14:textId="77777777" w:rsidR="005B68FD" w:rsidRPr="00DE7078" w:rsidRDefault="005B68FD" w:rsidP="005B68FD">
            <w:pPr>
              <w:rPr>
                <w:rFonts w:ascii="Tahoma" w:hAnsi="Tahoma" w:cs="Tahoma"/>
                <w:color w:val="000000"/>
                <w:sz w:val="22"/>
                <w:szCs w:val="22"/>
              </w:rPr>
            </w:pPr>
          </w:p>
        </w:tc>
      </w:tr>
      <w:tr w:rsidR="005B68FD" w:rsidRPr="00DE7078" w14:paraId="098EF6D0" w14:textId="77777777" w:rsidTr="005B68FD">
        <w:trPr>
          <w:gridAfter w:val="3"/>
          <w:wAfter w:w="7989" w:type="dxa"/>
          <w:trHeight w:val="570"/>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6AB01DA7"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9.3.</w:t>
            </w:r>
          </w:p>
        </w:tc>
        <w:tc>
          <w:tcPr>
            <w:tcW w:w="6953" w:type="dxa"/>
            <w:tcBorders>
              <w:top w:val="nil"/>
              <w:left w:val="nil"/>
              <w:bottom w:val="single" w:sz="4" w:space="0" w:color="auto"/>
              <w:right w:val="single" w:sz="4" w:space="0" w:color="auto"/>
            </w:tcBorders>
            <w:shd w:val="clear" w:color="auto" w:fill="auto"/>
            <w:vAlign w:val="center"/>
            <w:hideMark/>
          </w:tcPr>
          <w:p w14:paraId="016E6E9C" w14:textId="77777777" w:rsidR="005B68FD" w:rsidRPr="00DE7078" w:rsidRDefault="005B68FD" w:rsidP="005B68FD">
            <w:pPr>
              <w:rPr>
                <w:rFonts w:ascii="Tahoma" w:hAnsi="Tahoma" w:cs="Tahoma"/>
                <w:color w:val="000000"/>
                <w:sz w:val="22"/>
                <w:szCs w:val="22"/>
              </w:rPr>
            </w:pPr>
            <w:r w:rsidRPr="00DE7078">
              <w:rPr>
                <w:rFonts w:ascii="Tahoma" w:hAnsi="Tahoma" w:cs="Tahoma"/>
                <w:color w:val="000000"/>
                <w:sz w:val="22"/>
                <w:szCs w:val="22"/>
              </w:rPr>
              <w:t>выдача остатка денежных средств со Счета Карты после закрытия Счета Карты</w:t>
            </w:r>
          </w:p>
        </w:tc>
        <w:tc>
          <w:tcPr>
            <w:tcW w:w="7228" w:type="dxa"/>
            <w:gridSpan w:val="2"/>
            <w:vMerge/>
            <w:tcBorders>
              <w:top w:val="nil"/>
              <w:left w:val="nil"/>
              <w:bottom w:val="single" w:sz="4" w:space="0" w:color="auto"/>
              <w:right w:val="single" w:sz="4" w:space="0" w:color="auto"/>
            </w:tcBorders>
            <w:vAlign w:val="center"/>
            <w:hideMark/>
          </w:tcPr>
          <w:p w14:paraId="0496001C" w14:textId="77777777" w:rsidR="005B68FD" w:rsidRPr="00DE7078" w:rsidRDefault="005B68FD" w:rsidP="005B68FD">
            <w:pPr>
              <w:rPr>
                <w:rFonts w:ascii="Tahoma" w:hAnsi="Tahoma" w:cs="Tahoma"/>
                <w:color w:val="000000"/>
                <w:sz w:val="22"/>
                <w:szCs w:val="22"/>
              </w:rPr>
            </w:pPr>
          </w:p>
        </w:tc>
      </w:tr>
      <w:tr w:rsidR="005B68FD" w:rsidRPr="00DE7078" w14:paraId="4AF6AD6B" w14:textId="77777777" w:rsidTr="005B68FD">
        <w:trPr>
          <w:gridAfter w:val="3"/>
          <w:wAfter w:w="7989" w:type="dxa"/>
          <w:trHeight w:val="570"/>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4C9F30DB"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9.4.</w:t>
            </w:r>
          </w:p>
        </w:tc>
        <w:tc>
          <w:tcPr>
            <w:tcW w:w="6953" w:type="dxa"/>
            <w:tcBorders>
              <w:top w:val="nil"/>
              <w:left w:val="nil"/>
              <w:bottom w:val="single" w:sz="4" w:space="0" w:color="auto"/>
              <w:right w:val="single" w:sz="4" w:space="0" w:color="auto"/>
            </w:tcBorders>
            <w:shd w:val="clear" w:color="auto" w:fill="auto"/>
            <w:vAlign w:val="center"/>
            <w:hideMark/>
          </w:tcPr>
          <w:p w14:paraId="12223156" w14:textId="77777777" w:rsidR="005B68FD" w:rsidRPr="00DE7078" w:rsidRDefault="005B68FD" w:rsidP="005B68FD">
            <w:pPr>
              <w:rPr>
                <w:rFonts w:ascii="Tahoma" w:hAnsi="Tahoma" w:cs="Tahoma"/>
                <w:color w:val="000000"/>
                <w:sz w:val="22"/>
                <w:szCs w:val="22"/>
              </w:rPr>
            </w:pPr>
            <w:r w:rsidRPr="00DE7078">
              <w:rPr>
                <w:rFonts w:ascii="Tahoma" w:hAnsi="Tahoma" w:cs="Tahoma"/>
                <w:color w:val="000000"/>
                <w:sz w:val="22"/>
                <w:szCs w:val="22"/>
              </w:rPr>
              <w:t>постановка Карты в международный стоп-лист (на 2 недели) по волеизъявлению Клиента, 1 (один) регион</w:t>
            </w:r>
          </w:p>
        </w:tc>
        <w:tc>
          <w:tcPr>
            <w:tcW w:w="7228" w:type="dxa"/>
            <w:gridSpan w:val="2"/>
            <w:tcBorders>
              <w:top w:val="single" w:sz="4" w:space="0" w:color="auto"/>
              <w:left w:val="nil"/>
              <w:bottom w:val="single" w:sz="4" w:space="0" w:color="auto"/>
              <w:right w:val="single" w:sz="4" w:space="0" w:color="auto"/>
            </w:tcBorders>
            <w:shd w:val="clear" w:color="auto" w:fill="auto"/>
            <w:noWrap/>
            <w:vAlign w:val="center"/>
            <w:hideMark/>
          </w:tcPr>
          <w:p w14:paraId="44CB6BE3" w14:textId="77777777" w:rsidR="005B68FD" w:rsidRPr="00DE7078" w:rsidRDefault="005B68FD" w:rsidP="005B68FD">
            <w:pPr>
              <w:jc w:val="center"/>
              <w:rPr>
                <w:rFonts w:ascii="Tahoma" w:hAnsi="Tahoma" w:cs="Tahoma"/>
                <w:color w:val="000000"/>
                <w:sz w:val="22"/>
                <w:szCs w:val="22"/>
              </w:rPr>
            </w:pPr>
            <w:r w:rsidRPr="00DE7078">
              <w:rPr>
                <w:rFonts w:ascii="Tahoma" w:hAnsi="Tahoma" w:cs="Tahoma"/>
                <w:color w:val="000000"/>
                <w:sz w:val="22"/>
                <w:szCs w:val="22"/>
              </w:rPr>
              <w:t>1 500 рублей</w:t>
            </w:r>
          </w:p>
        </w:tc>
      </w:tr>
      <w:tr w:rsidR="005B68FD" w:rsidRPr="00DE7078" w14:paraId="04FB7337" w14:textId="77777777" w:rsidTr="005B68FD">
        <w:trPr>
          <w:gridAfter w:val="3"/>
          <w:wAfter w:w="7989" w:type="dxa"/>
          <w:trHeight w:val="285"/>
        </w:trPr>
        <w:tc>
          <w:tcPr>
            <w:tcW w:w="985" w:type="dxa"/>
            <w:tcBorders>
              <w:top w:val="nil"/>
              <w:left w:val="single" w:sz="4" w:space="0" w:color="auto"/>
              <w:bottom w:val="single" w:sz="4" w:space="0" w:color="auto"/>
              <w:right w:val="single" w:sz="4" w:space="0" w:color="auto"/>
            </w:tcBorders>
            <w:shd w:val="clear" w:color="000000" w:fill="595959"/>
            <w:noWrap/>
            <w:vAlign w:val="center"/>
            <w:hideMark/>
          </w:tcPr>
          <w:p w14:paraId="7467C66C" w14:textId="77777777" w:rsidR="005B68FD" w:rsidRPr="00DE7078" w:rsidRDefault="005B68FD" w:rsidP="005B68FD">
            <w:pPr>
              <w:jc w:val="center"/>
              <w:rPr>
                <w:rFonts w:ascii="Tahoma" w:hAnsi="Tahoma" w:cs="Tahoma"/>
                <w:color w:val="FFFFFF"/>
                <w:sz w:val="22"/>
                <w:szCs w:val="22"/>
              </w:rPr>
            </w:pPr>
            <w:r w:rsidRPr="00DE7078">
              <w:rPr>
                <w:rFonts w:ascii="Tahoma" w:hAnsi="Tahoma" w:cs="Tahoma"/>
                <w:color w:val="FFFFFF"/>
                <w:sz w:val="22"/>
                <w:szCs w:val="22"/>
              </w:rPr>
              <w:t>10.</w:t>
            </w:r>
          </w:p>
        </w:tc>
        <w:tc>
          <w:tcPr>
            <w:tcW w:w="14181" w:type="dxa"/>
            <w:gridSpan w:val="3"/>
            <w:tcBorders>
              <w:top w:val="single" w:sz="4" w:space="0" w:color="auto"/>
              <w:left w:val="nil"/>
              <w:bottom w:val="single" w:sz="4" w:space="0" w:color="auto"/>
              <w:right w:val="nil"/>
            </w:tcBorders>
            <w:shd w:val="clear" w:color="000000" w:fill="595959"/>
            <w:noWrap/>
            <w:vAlign w:val="center"/>
            <w:hideMark/>
          </w:tcPr>
          <w:p w14:paraId="4C34144C" w14:textId="77777777" w:rsidR="005B68FD" w:rsidRPr="00DE7078" w:rsidRDefault="005B68FD" w:rsidP="005B68FD">
            <w:pPr>
              <w:rPr>
                <w:rFonts w:ascii="Tahoma" w:hAnsi="Tahoma" w:cs="Tahoma"/>
                <w:color w:val="FFFFFF"/>
                <w:sz w:val="22"/>
                <w:szCs w:val="22"/>
              </w:rPr>
            </w:pPr>
            <w:r w:rsidRPr="00DE7078">
              <w:rPr>
                <w:rFonts w:ascii="Tahoma" w:hAnsi="Tahoma" w:cs="Tahoma"/>
                <w:color w:val="FFFFFF"/>
                <w:sz w:val="22"/>
                <w:szCs w:val="22"/>
              </w:rPr>
              <w:t>Прочие операции</w:t>
            </w:r>
          </w:p>
        </w:tc>
      </w:tr>
      <w:tr w:rsidR="005B68FD" w:rsidRPr="00DE7078" w14:paraId="273E6A7A" w14:textId="77777777" w:rsidTr="005B68FD">
        <w:trPr>
          <w:gridAfter w:val="3"/>
          <w:wAfter w:w="7989" w:type="dxa"/>
          <w:trHeight w:val="315"/>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3D7FC306"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10.1.</w:t>
            </w:r>
          </w:p>
        </w:tc>
        <w:tc>
          <w:tcPr>
            <w:tcW w:w="6953" w:type="dxa"/>
            <w:tcBorders>
              <w:top w:val="nil"/>
              <w:left w:val="nil"/>
              <w:bottom w:val="single" w:sz="4" w:space="0" w:color="auto"/>
              <w:right w:val="single" w:sz="4" w:space="0" w:color="auto"/>
            </w:tcBorders>
            <w:shd w:val="clear" w:color="auto" w:fill="auto"/>
            <w:vAlign w:val="center"/>
            <w:hideMark/>
          </w:tcPr>
          <w:p w14:paraId="69697FF0" w14:textId="77777777" w:rsidR="005B68FD" w:rsidRPr="00DE7078" w:rsidRDefault="005B68FD" w:rsidP="005B68FD">
            <w:pPr>
              <w:rPr>
                <w:rFonts w:ascii="Tahoma" w:hAnsi="Tahoma" w:cs="Tahoma"/>
                <w:color w:val="000000"/>
                <w:sz w:val="22"/>
                <w:szCs w:val="22"/>
              </w:rPr>
            </w:pPr>
            <w:r w:rsidRPr="00DE7078">
              <w:rPr>
                <w:rFonts w:ascii="Tahoma" w:hAnsi="Tahoma" w:cs="Tahoma"/>
                <w:color w:val="000000"/>
                <w:sz w:val="22"/>
                <w:szCs w:val="22"/>
              </w:rPr>
              <w:t>выписка по Счету Карты в отделении Банка</w:t>
            </w:r>
            <w:r w:rsidRPr="00DE7078">
              <w:rPr>
                <w:rFonts w:ascii="Tahoma" w:hAnsi="Tahoma" w:cs="Tahoma"/>
                <w:color w:val="000000"/>
                <w:sz w:val="22"/>
                <w:szCs w:val="22"/>
                <w:vertAlign w:val="superscript"/>
              </w:rPr>
              <w:t>3</w:t>
            </w:r>
          </w:p>
        </w:tc>
        <w:tc>
          <w:tcPr>
            <w:tcW w:w="7228" w:type="dxa"/>
            <w:gridSpan w:val="2"/>
            <w:tcBorders>
              <w:top w:val="single" w:sz="4" w:space="0" w:color="auto"/>
              <w:left w:val="nil"/>
              <w:bottom w:val="single" w:sz="4" w:space="0" w:color="auto"/>
              <w:right w:val="single" w:sz="4" w:space="0" w:color="auto"/>
            </w:tcBorders>
            <w:shd w:val="clear" w:color="auto" w:fill="auto"/>
            <w:noWrap/>
            <w:vAlign w:val="center"/>
            <w:hideMark/>
          </w:tcPr>
          <w:p w14:paraId="0F5E1453" w14:textId="77777777" w:rsidR="005B68FD" w:rsidRPr="00DE7078" w:rsidRDefault="005B68FD" w:rsidP="005B68FD">
            <w:pPr>
              <w:jc w:val="center"/>
              <w:rPr>
                <w:rFonts w:ascii="Tahoma" w:hAnsi="Tahoma" w:cs="Tahoma"/>
                <w:color w:val="000000"/>
                <w:sz w:val="22"/>
                <w:szCs w:val="22"/>
              </w:rPr>
            </w:pPr>
            <w:r w:rsidRPr="00DE7078">
              <w:rPr>
                <w:rFonts w:ascii="Tahoma" w:hAnsi="Tahoma" w:cs="Tahoma"/>
                <w:color w:val="000000"/>
                <w:sz w:val="22"/>
                <w:szCs w:val="22"/>
              </w:rPr>
              <w:t>250 рублей</w:t>
            </w:r>
          </w:p>
        </w:tc>
      </w:tr>
      <w:tr w:rsidR="005B68FD" w:rsidRPr="00DE7078" w14:paraId="1E78A82A" w14:textId="77777777" w:rsidTr="005B68FD">
        <w:trPr>
          <w:gridAfter w:val="3"/>
          <w:wAfter w:w="7989" w:type="dxa"/>
          <w:trHeight w:val="885"/>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14:paraId="2087983F"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10.2.</w:t>
            </w:r>
          </w:p>
        </w:tc>
        <w:tc>
          <w:tcPr>
            <w:tcW w:w="6953" w:type="dxa"/>
            <w:tcBorders>
              <w:top w:val="nil"/>
              <w:left w:val="nil"/>
              <w:bottom w:val="single" w:sz="4" w:space="0" w:color="auto"/>
              <w:right w:val="single" w:sz="4" w:space="0" w:color="auto"/>
            </w:tcBorders>
            <w:shd w:val="clear" w:color="auto" w:fill="auto"/>
            <w:vAlign w:val="center"/>
            <w:hideMark/>
          </w:tcPr>
          <w:p w14:paraId="0CE87F22" w14:textId="77777777" w:rsidR="005B68FD" w:rsidRPr="00DE7078" w:rsidRDefault="005B68FD" w:rsidP="005B68FD">
            <w:pPr>
              <w:rPr>
                <w:rFonts w:ascii="Tahoma" w:hAnsi="Tahoma" w:cs="Tahoma"/>
                <w:color w:val="000000"/>
                <w:sz w:val="22"/>
                <w:szCs w:val="22"/>
              </w:rPr>
            </w:pPr>
            <w:r w:rsidRPr="00DE7078">
              <w:rPr>
                <w:rFonts w:ascii="Tahoma" w:hAnsi="Tahoma" w:cs="Tahoma"/>
                <w:color w:val="000000"/>
                <w:sz w:val="22"/>
                <w:szCs w:val="22"/>
              </w:rPr>
              <w:t>услуги, оказанные другими банками (авторизация по телексу, направление в Банк</w:t>
            </w:r>
            <w:r w:rsidRPr="00DE7078">
              <w:rPr>
                <w:rFonts w:ascii="Tahoma" w:hAnsi="Tahoma" w:cs="Tahoma"/>
                <w:color w:val="000000"/>
                <w:sz w:val="22"/>
                <w:szCs w:val="22"/>
                <w:vertAlign w:val="superscript"/>
              </w:rPr>
              <w:t>3</w:t>
            </w:r>
            <w:r w:rsidRPr="00DE7078">
              <w:rPr>
                <w:rFonts w:ascii="Tahoma" w:hAnsi="Tahoma" w:cs="Tahoma"/>
                <w:color w:val="000000"/>
                <w:sz w:val="22"/>
                <w:szCs w:val="22"/>
              </w:rPr>
              <w:t xml:space="preserve"> информации об утере/краже Карты)</w:t>
            </w:r>
          </w:p>
        </w:tc>
        <w:tc>
          <w:tcPr>
            <w:tcW w:w="7228" w:type="dxa"/>
            <w:gridSpan w:val="2"/>
            <w:tcBorders>
              <w:top w:val="single" w:sz="4" w:space="0" w:color="auto"/>
              <w:left w:val="nil"/>
              <w:bottom w:val="single" w:sz="4" w:space="0" w:color="auto"/>
              <w:right w:val="single" w:sz="4" w:space="0" w:color="auto"/>
            </w:tcBorders>
            <w:shd w:val="clear" w:color="auto" w:fill="auto"/>
            <w:noWrap/>
            <w:vAlign w:val="center"/>
            <w:hideMark/>
          </w:tcPr>
          <w:p w14:paraId="4E61F173" w14:textId="77777777" w:rsidR="005B68FD" w:rsidRPr="00DE7078" w:rsidRDefault="005B68FD" w:rsidP="005B68FD">
            <w:pPr>
              <w:jc w:val="center"/>
              <w:rPr>
                <w:rFonts w:ascii="Tahoma" w:hAnsi="Tahoma" w:cs="Tahoma"/>
                <w:color w:val="000000"/>
                <w:sz w:val="22"/>
                <w:szCs w:val="22"/>
              </w:rPr>
            </w:pPr>
            <w:r w:rsidRPr="00DE7078">
              <w:rPr>
                <w:rFonts w:ascii="Tahoma" w:hAnsi="Tahoma" w:cs="Tahoma"/>
                <w:color w:val="000000"/>
                <w:sz w:val="22"/>
                <w:szCs w:val="22"/>
              </w:rPr>
              <w:t>по фактическим затратам Банка</w:t>
            </w:r>
            <w:r w:rsidRPr="00DE7078">
              <w:rPr>
                <w:rFonts w:ascii="Tahoma" w:hAnsi="Tahoma" w:cs="Tahoma"/>
                <w:color w:val="000000"/>
                <w:sz w:val="22"/>
                <w:szCs w:val="22"/>
                <w:vertAlign w:val="superscript"/>
              </w:rPr>
              <w:t>3</w:t>
            </w:r>
          </w:p>
        </w:tc>
      </w:tr>
      <w:tr w:rsidR="005B68FD" w:rsidRPr="00DE7078" w14:paraId="11DD07B2" w14:textId="77777777" w:rsidTr="005B68FD">
        <w:trPr>
          <w:gridAfter w:val="3"/>
          <w:wAfter w:w="7989" w:type="dxa"/>
          <w:trHeight w:val="285"/>
        </w:trPr>
        <w:tc>
          <w:tcPr>
            <w:tcW w:w="985" w:type="dxa"/>
            <w:tcBorders>
              <w:top w:val="nil"/>
              <w:left w:val="single" w:sz="4" w:space="0" w:color="auto"/>
              <w:bottom w:val="single" w:sz="4" w:space="0" w:color="auto"/>
              <w:right w:val="single" w:sz="4" w:space="0" w:color="auto"/>
            </w:tcBorders>
            <w:shd w:val="clear" w:color="000000" w:fill="595959"/>
            <w:noWrap/>
            <w:vAlign w:val="center"/>
            <w:hideMark/>
          </w:tcPr>
          <w:p w14:paraId="15D80F81" w14:textId="77777777" w:rsidR="005B68FD" w:rsidRPr="00DE7078" w:rsidRDefault="005B68FD" w:rsidP="005B68FD">
            <w:pPr>
              <w:jc w:val="center"/>
              <w:rPr>
                <w:rFonts w:ascii="Tahoma" w:hAnsi="Tahoma" w:cs="Tahoma"/>
                <w:color w:val="FFFFFF"/>
                <w:sz w:val="22"/>
                <w:szCs w:val="22"/>
              </w:rPr>
            </w:pPr>
            <w:r w:rsidRPr="00DE7078">
              <w:rPr>
                <w:rFonts w:ascii="Tahoma" w:hAnsi="Tahoma" w:cs="Tahoma"/>
                <w:color w:val="FFFFFF"/>
                <w:sz w:val="22"/>
                <w:szCs w:val="22"/>
              </w:rPr>
              <w:t>11.</w:t>
            </w:r>
          </w:p>
        </w:tc>
        <w:tc>
          <w:tcPr>
            <w:tcW w:w="14181" w:type="dxa"/>
            <w:gridSpan w:val="3"/>
            <w:tcBorders>
              <w:top w:val="single" w:sz="4" w:space="0" w:color="auto"/>
              <w:left w:val="nil"/>
              <w:bottom w:val="single" w:sz="4" w:space="0" w:color="000000"/>
              <w:right w:val="nil"/>
            </w:tcBorders>
            <w:shd w:val="clear" w:color="000000" w:fill="595959"/>
            <w:noWrap/>
            <w:vAlign w:val="center"/>
            <w:hideMark/>
          </w:tcPr>
          <w:p w14:paraId="1CD77CD7" w14:textId="77777777" w:rsidR="005B68FD" w:rsidRPr="00DE7078" w:rsidRDefault="005B68FD" w:rsidP="005B68FD">
            <w:pPr>
              <w:rPr>
                <w:rFonts w:ascii="Tahoma" w:hAnsi="Tahoma" w:cs="Tahoma"/>
                <w:color w:val="FFFFFF"/>
                <w:sz w:val="22"/>
                <w:szCs w:val="22"/>
              </w:rPr>
            </w:pPr>
            <w:r w:rsidRPr="00DE7078">
              <w:rPr>
                <w:rFonts w:ascii="Tahoma" w:hAnsi="Tahoma" w:cs="Tahoma"/>
                <w:color w:val="FFFFFF"/>
                <w:sz w:val="22"/>
                <w:szCs w:val="22"/>
              </w:rPr>
              <w:t>Правила Программ лояльности</w:t>
            </w:r>
          </w:p>
        </w:tc>
      </w:tr>
      <w:tr w:rsidR="005B68FD" w:rsidRPr="00DE7078" w14:paraId="638C42AD" w14:textId="77777777" w:rsidTr="005B68FD">
        <w:trPr>
          <w:gridAfter w:val="3"/>
          <w:wAfter w:w="7989" w:type="dxa"/>
          <w:trHeight w:val="675"/>
        </w:trPr>
        <w:tc>
          <w:tcPr>
            <w:tcW w:w="985" w:type="dxa"/>
            <w:tcBorders>
              <w:top w:val="nil"/>
              <w:left w:val="single" w:sz="4" w:space="0" w:color="auto"/>
              <w:bottom w:val="single" w:sz="4" w:space="0" w:color="auto"/>
              <w:right w:val="nil"/>
            </w:tcBorders>
            <w:shd w:val="clear" w:color="000000" w:fill="FFFFFF"/>
            <w:noWrap/>
            <w:vAlign w:val="center"/>
            <w:hideMark/>
          </w:tcPr>
          <w:p w14:paraId="677CE4FE"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11.1.</w:t>
            </w:r>
          </w:p>
        </w:tc>
        <w:tc>
          <w:tcPr>
            <w:tcW w:w="6953" w:type="dxa"/>
            <w:tcBorders>
              <w:top w:val="nil"/>
              <w:left w:val="single" w:sz="4" w:space="0" w:color="auto"/>
              <w:bottom w:val="single" w:sz="4" w:space="0" w:color="auto"/>
              <w:right w:val="single" w:sz="4" w:space="0" w:color="auto"/>
            </w:tcBorders>
            <w:shd w:val="clear" w:color="auto" w:fill="auto"/>
            <w:noWrap/>
            <w:vAlign w:val="bottom"/>
            <w:hideMark/>
          </w:tcPr>
          <w:p w14:paraId="3D69E05B" w14:textId="77777777" w:rsidR="005B68FD" w:rsidRPr="00DE7078" w:rsidRDefault="005B68FD" w:rsidP="005B68FD">
            <w:pPr>
              <w:rPr>
                <w:rFonts w:ascii="Tahoma" w:hAnsi="Tahoma" w:cs="Tahoma"/>
                <w:sz w:val="22"/>
                <w:szCs w:val="22"/>
              </w:rPr>
            </w:pPr>
            <w:r w:rsidRPr="00DE7078">
              <w:rPr>
                <w:rFonts w:ascii="Tahoma" w:hAnsi="Tahoma" w:cs="Tahoma"/>
                <w:sz w:val="22"/>
                <w:szCs w:val="22"/>
              </w:rPr>
              <w:t>Программа лояльности Банка</w:t>
            </w:r>
            <w:r w:rsidRPr="00DE7078">
              <w:rPr>
                <w:rFonts w:ascii="Tahoma" w:hAnsi="Tahoma" w:cs="Tahoma"/>
                <w:sz w:val="22"/>
                <w:szCs w:val="22"/>
                <w:vertAlign w:val="superscript"/>
              </w:rPr>
              <w:t>3,14</w:t>
            </w:r>
          </w:p>
        </w:tc>
        <w:tc>
          <w:tcPr>
            <w:tcW w:w="7228" w:type="dxa"/>
            <w:gridSpan w:val="2"/>
            <w:tcBorders>
              <w:top w:val="single" w:sz="4" w:space="0" w:color="auto"/>
              <w:left w:val="nil"/>
              <w:bottom w:val="single" w:sz="4" w:space="0" w:color="auto"/>
              <w:right w:val="single" w:sz="4" w:space="0" w:color="auto"/>
            </w:tcBorders>
            <w:shd w:val="clear" w:color="000000" w:fill="FFFFFF"/>
            <w:vAlign w:val="center"/>
            <w:hideMark/>
          </w:tcPr>
          <w:p w14:paraId="21D0D51B"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 xml:space="preserve"> Согласно действующей Бонусной программе «Стандарт-Бонус», размещенной на Официальном сайте Банка www.atb.su и в Подразделениях Банка</w:t>
            </w:r>
            <w:r w:rsidRPr="008F6D51">
              <w:rPr>
                <w:rFonts w:ascii="Tahoma" w:hAnsi="Tahoma" w:cs="Tahoma"/>
                <w:sz w:val="22"/>
                <w:szCs w:val="22"/>
                <w:vertAlign w:val="superscript"/>
              </w:rPr>
              <w:t xml:space="preserve">3 </w:t>
            </w:r>
          </w:p>
        </w:tc>
      </w:tr>
      <w:tr w:rsidR="005B68FD" w:rsidRPr="00DE7078" w14:paraId="37C36AA5" w14:textId="77777777" w:rsidTr="005B68FD">
        <w:trPr>
          <w:gridAfter w:val="3"/>
          <w:wAfter w:w="7989" w:type="dxa"/>
          <w:trHeight w:val="1425"/>
        </w:trPr>
        <w:tc>
          <w:tcPr>
            <w:tcW w:w="985" w:type="dxa"/>
            <w:tcBorders>
              <w:top w:val="nil"/>
              <w:left w:val="single" w:sz="4" w:space="0" w:color="auto"/>
              <w:bottom w:val="single" w:sz="4" w:space="0" w:color="auto"/>
              <w:right w:val="nil"/>
            </w:tcBorders>
            <w:shd w:val="clear" w:color="000000" w:fill="FFFFFF"/>
            <w:noWrap/>
            <w:vAlign w:val="center"/>
            <w:hideMark/>
          </w:tcPr>
          <w:p w14:paraId="16E6C6D5"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11.2.</w:t>
            </w:r>
          </w:p>
        </w:tc>
        <w:tc>
          <w:tcPr>
            <w:tcW w:w="6953" w:type="dxa"/>
            <w:tcBorders>
              <w:top w:val="nil"/>
              <w:left w:val="single" w:sz="4" w:space="0" w:color="auto"/>
              <w:bottom w:val="single" w:sz="4" w:space="0" w:color="auto"/>
              <w:right w:val="single" w:sz="4" w:space="0" w:color="auto"/>
            </w:tcBorders>
            <w:shd w:val="clear" w:color="auto" w:fill="auto"/>
            <w:noWrap/>
            <w:vAlign w:val="center"/>
            <w:hideMark/>
          </w:tcPr>
          <w:p w14:paraId="2E66A702" w14:textId="77777777" w:rsidR="005B68FD" w:rsidRPr="00DE7078" w:rsidRDefault="005B68FD" w:rsidP="005B68FD">
            <w:pPr>
              <w:rPr>
                <w:rFonts w:ascii="Tahoma" w:hAnsi="Tahoma" w:cs="Tahoma"/>
                <w:sz w:val="22"/>
                <w:szCs w:val="22"/>
              </w:rPr>
            </w:pPr>
            <w:r w:rsidRPr="00DE7078">
              <w:rPr>
                <w:rFonts w:ascii="Tahoma" w:hAnsi="Tahoma" w:cs="Tahoma"/>
                <w:sz w:val="22"/>
                <w:szCs w:val="22"/>
              </w:rPr>
              <w:t>Программа лояльности «Привет, Мир!»</w:t>
            </w:r>
            <w:r w:rsidRPr="00DE7078">
              <w:rPr>
                <w:rFonts w:ascii="Tahoma" w:hAnsi="Tahoma" w:cs="Tahoma"/>
                <w:sz w:val="22"/>
                <w:szCs w:val="22"/>
                <w:vertAlign w:val="superscript"/>
              </w:rPr>
              <w:t>15</w:t>
            </w:r>
          </w:p>
        </w:tc>
        <w:tc>
          <w:tcPr>
            <w:tcW w:w="3686" w:type="dxa"/>
            <w:tcBorders>
              <w:top w:val="nil"/>
              <w:left w:val="nil"/>
              <w:bottom w:val="single" w:sz="4" w:space="0" w:color="auto"/>
              <w:right w:val="single" w:sz="4" w:space="0" w:color="auto"/>
            </w:tcBorders>
            <w:shd w:val="clear" w:color="000000" w:fill="FFFFFF"/>
            <w:vAlign w:val="center"/>
            <w:hideMark/>
          </w:tcPr>
          <w:p w14:paraId="3321B219" w14:textId="77777777" w:rsidR="005B68FD" w:rsidRPr="00DE7078" w:rsidRDefault="005B68FD" w:rsidP="005B68FD">
            <w:pPr>
              <w:jc w:val="center"/>
              <w:rPr>
                <w:rFonts w:ascii="Tahoma" w:hAnsi="Tahoma" w:cs="Tahoma"/>
                <w:sz w:val="22"/>
                <w:szCs w:val="22"/>
              </w:rPr>
            </w:pPr>
            <w:r w:rsidRPr="00DE7078">
              <w:rPr>
                <w:rFonts w:ascii="Tahoma" w:hAnsi="Tahoma" w:cs="Tahoma"/>
                <w:sz w:val="22"/>
                <w:szCs w:val="22"/>
              </w:rPr>
              <w:t xml:space="preserve"> не применимо </w:t>
            </w:r>
          </w:p>
        </w:tc>
        <w:tc>
          <w:tcPr>
            <w:tcW w:w="3542" w:type="dxa"/>
            <w:tcBorders>
              <w:top w:val="nil"/>
              <w:left w:val="nil"/>
              <w:bottom w:val="single" w:sz="4" w:space="0" w:color="auto"/>
              <w:right w:val="single" w:sz="4" w:space="0" w:color="auto"/>
            </w:tcBorders>
            <w:shd w:val="clear" w:color="000000" w:fill="FFFFFF"/>
            <w:vAlign w:val="center"/>
            <w:hideMark/>
          </w:tcPr>
          <w:p w14:paraId="2EBA2FAA" w14:textId="77777777" w:rsidR="005B68FD" w:rsidRPr="00DE7078" w:rsidRDefault="005B68FD" w:rsidP="005B68FD">
            <w:pPr>
              <w:jc w:val="center"/>
              <w:rPr>
                <w:rFonts w:ascii="Tahoma" w:hAnsi="Tahoma" w:cs="Tahoma"/>
                <w:color w:val="000000"/>
                <w:sz w:val="22"/>
                <w:szCs w:val="22"/>
              </w:rPr>
            </w:pPr>
            <w:r w:rsidRPr="00DE7078">
              <w:rPr>
                <w:rFonts w:ascii="Tahoma" w:hAnsi="Tahoma" w:cs="Tahoma"/>
                <w:color w:val="000000"/>
                <w:sz w:val="22"/>
                <w:szCs w:val="22"/>
              </w:rPr>
              <w:t xml:space="preserve"> Согласно действующим Правилам программы лояльности «Привет, мир!» Акционерного общества «Национальная система платежных карт», размещенным на его  Официальном сайте privetmir.ru/cashback/ </w:t>
            </w:r>
          </w:p>
        </w:tc>
      </w:tr>
      <w:tr w:rsidR="005B68FD" w:rsidRPr="00DE7078" w14:paraId="2D00661A" w14:textId="77777777" w:rsidTr="005B68FD">
        <w:trPr>
          <w:gridAfter w:val="3"/>
          <w:wAfter w:w="7989" w:type="dxa"/>
          <w:trHeight w:val="285"/>
        </w:trPr>
        <w:tc>
          <w:tcPr>
            <w:tcW w:w="15166" w:type="dxa"/>
            <w:gridSpan w:val="4"/>
            <w:tcBorders>
              <w:top w:val="nil"/>
              <w:left w:val="nil"/>
              <w:bottom w:val="nil"/>
              <w:right w:val="nil"/>
            </w:tcBorders>
            <w:shd w:val="clear" w:color="auto" w:fill="auto"/>
            <w:vAlign w:val="center"/>
            <w:hideMark/>
          </w:tcPr>
          <w:p w14:paraId="5EDF0645" w14:textId="77777777" w:rsidR="005B68FD" w:rsidRPr="00DE7078" w:rsidRDefault="005B68FD" w:rsidP="005B68FD">
            <w:pPr>
              <w:jc w:val="both"/>
              <w:rPr>
                <w:rFonts w:ascii="Tahoma" w:hAnsi="Tahoma" w:cs="Tahoma"/>
                <w:color w:val="000000"/>
                <w:sz w:val="22"/>
                <w:szCs w:val="22"/>
              </w:rPr>
            </w:pPr>
            <w:r w:rsidRPr="00DE7078">
              <w:rPr>
                <w:rFonts w:ascii="Tahoma" w:hAnsi="Tahoma" w:cs="Tahoma"/>
                <w:color w:val="000000"/>
                <w:sz w:val="22"/>
                <w:szCs w:val="22"/>
              </w:rPr>
              <w:t>Примечания:</w:t>
            </w:r>
          </w:p>
        </w:tc>
      </w:tr>
      <w:tr w:rsidR="005B68FD" w:rsidRPr="00DE7078" w14:paraId="22B00E89" w14:textId="77777777" w:rsidTr="005B68FD">
        <w:trPr>
          <w:gridAfter w:val="3"/>
          <w:wAfter w:w="7989" w:type="dxa"/>
          <w:trHeight w:val="1350"/>
        </w:trPr>
        <w:tc>
          <w:tcPr>
            <w:tcW w:w="15166" w:type="dxa"/>
            <w:gridSpan w:val="4"/>
            <w:tcBorders>
              <w:top w:val="nil"/>
              <w:left w:val="nil"/>
              <w:bottom w:val="nil"/>
              <w:right w:val="nil"/>
            </w:tcBorders>
            <w:shd w:val="clear" w:color="auto" w:fill="auto"/>
            <w:vAlign w:val="center"/>
            <w:hideMark/>
          </w:tcPr>
          <w:p w14:paraId="0359AF8B" w14:textId="77777777" w:rsidR="005B68FD" w:rsidRPr="00DE7078" w:rsidRDefault="005B68FD" w:rsidP="005B68FD">
            <w:pPr>
              <w:jc w:val="both"/>
              <w:rPr>
                <w:rFonts w:ascii="Tahoma" w:hAnsi="Tahoma" w:cs="Tahoma"/>
                <w:sz w:val="22"/>
                <w:szCs w:val="22"/>
              </w:rPr>
            </w:pPr>
            <w:r w:rsidRPr="00DE7078">
              <w:rPr>
                <w:rFonts w:ascii="Tahoma" w:hAnsi="Tahoma" w:cs="Tahoma"/>
                <w:sz w:val="22"/>
                <w:szCs w:val="22"/>
                <w:vertAlign w:val="superscript"/>
              </w:rPr>
              <w:t>1</w:t>
            </w:r>
            <w:r w:rsidRPr="00DE7078">
              <w:rPr>
                <w:rFonts w:ascii="Tahoma" w:hAnsi="Tahoma" w:cs="Tahoma"/>
                <w:sz w:val="22"/>
                <w:szCs w:val="22"/>
              </w:rPr>
              <w:t>Карта – банковская (платежная) карта той платежной системы, карты которой эмитирует Банк</w:t>
            </w:r>
            <w:r w:rsidRPr="00DE7078">
              <w:rPr>
                <w:rFonts w:ascii="Tahoma" w:hAnsi="Tahoma" w:cs="Tahoma"/>
                <w:sz w:val="22"/>
                <w:szCs w:val="22"/>
                <w:vertAlign w:val="superscript"/>
              </w:rPr>
              <w:t>3</w:t>
            </w:r>
            <w:r w:rsidRPr="00DE7078">
              <w:rPr>
                <w:rFonts w:ascii="Tahoma" w:hAnsi="Tahoma" w:cs="Tahoma"/>
                <w:sz w:val="22"/>
                <w:szCs w:val="22"/>
              </w:rPr>
              <w:t>, выпущенная Банком</w:t>
            </w:r>
            <w:r w:rsidRPr="00DE7078">
              <w:rPr>
                <w:rFonts w:ascii="Tahoma" w:hAnsi="Tahoma" w:cs="Tahoma"/>
                <w:sz w:val="22"/>
                <w:szCs w:val="22"/>
                <w:vertAlign w:val="superscript"/>
              </w:rPr>
              <w:t>3</w:t>
            </w:r>
            <w:r w:rsidRPr="00DE7078">
              <w:rPr>
                <w:rFonts w:ascii="Tahoma" w:hAnsi="Tahoma" w:cs="Tahoma"/>
                <w:sz w:val="22"/>
                <w:szCs w:val="22"/>
              </w:rPr>
              <w:t xml:space="preserve"> для Клиента на имя Держателя карты на основании Заявления о банковском обслуживании при получении и использовании банковских (платежных) карт «Азиатско-Тихоокеанский Банк» (АО). Правила использования Карты устанавливаются нормативно-правовыми актами Банка России, платежной системой и Универсальным договором банковского обслуживания (далее – УДБО).</w:t>
            </w:r>
          </w:p>
        </w:tc>
      </w:tr>
      <w:tr w:rsidR="005B68FD" w:rsidRPr="00DE7078" w14:paraId="1121E588" w14:textId="77777777" w:rsidTr="005B68FD">
        <w:trPr>
          <w:gridAfter w:val="3"/>
          <w:wAfter w:w="7989" w:type="dxa"/>
          <w:trHeight w:val="1050"/>
        </w:trPr>
        <w:tc>
          <w:tcPr>
            <w:tcW w:w="15166" w:type="dxa"/>
            <w:gridSpan w:val="4"/>
            <w:tcBorders>
              <w:top w:val="nil"/>
              <w:left w:val="nil"/>
              <w:bottom w:val="nil"/>
              <w:right w:val="nil"/>
            </w:tcBorders>
            <w:shd w:val="clear" w:color="auto" w:fill="auto"/>
            <w:hideMark/>
          </w:tcPr>
          <w:p w14:paraId="572A6999" w14:textId="77777777" w:rsidR="005B68FD" w:rsidRPr="00DE7078" w:rsidRDefault="005B68FD" w:rsidP="005B68FD">
            <w:pPr>
              <w:jc w:val="both"/>
              <w:rPr>
                <w:rFonts w:ascii="Tahoma" w:hAnsi="Tahoma" w:cs="Tahoma"/>
                <w:sz w:val="22"/>
                <w:szCs w:val="22"/>
              </w:rPr>
            </w:pPr>
            <w:r w:rsidRPr="00DE7078">
              <w:rPr>
                <w:rFonts w:ascii="Tahoma" w:hAnsi="Tahoma" w:cs="Tahoma"/>
                <w:sz w:val="22"/>
                <w:szCs w:val="22"/>
                <w:vertAlign w:val="superscript"/>
              </w:rPr>
              <w:t>2</w:t>
            </w:r>
            <w:r w:rsidRPr="00DE7078">
              <w:rPr>
                <w:rFonts w:ascii="Tahoma" w:hAnsi="Tahoma" w:cs="Tahoma"/>
                <w:sz w:val="22"/>
                <w:szCs w:val="22"/>
              </w:rPr>
              <w:t>Карта национальной платежной системы «Мир». Для Клиентов-физических лиц, получающих выплаты, предусмотренные п.4 ч.5.5 ст.30.5 Федерального закона 161-ФЗ «О национальной платежной системе» от 27.06.2011г., на платежные (банковские) Карты национальной платежной системы «Мир», выпущенные Банком</w:t>
            </w:r>
            <w:r w:rsidRPr="00DE7078">
              <w:rPr>
                <w:rFonts w:ascii="Tahoma" w:hAnsi="Tahoma" w:cs="Tahoma"/>
                <w:sz w:val="22"/>
                <w:szCs w:val="22"/>
                <w:vertAlign w:val="superscript"/>
              </w:rPr>
              <w:t>3</w:t>
            </w:r>
            <w:r w:rsidRPr="00DE7078">
              <w:rPr>
                <w:rFonts w:ascii="Tahoma" w:hAnsi="Tahoma" w:cs="Tahoma"/>
                <w:sz w:val="22"/>
                <w:szCs w:val="22"/>
              </w:rPr>
              <w:t xml:space="preserve">, операции, предусмотренные п.1 ч.5 ст.30.5 Федерального закона, производятся Банком безвозмездно. </w:t>
            </w:r>
          </w:p>
        </w:tc>
      </w:tr>
      <w:tr w:rsidR="005B68FD" w:rsidRPr="00DE7078" w14:paraId="3448DBBB" w14:textId="77777777" w:rsidTr="005B68FD">
        <w:trPr>
          <w:gridAfter w:val="3"/>
          <w:wAfter w:w="7989" w:type="dxa"/>
          <w:trHeight w:val="375"/>
        </w:trPr>
        <w:tc>
          <w:tcPr>
            <w:tcW w:w="15166" w:type="dxa"/>
            <w:gridSpan w:val="4"/>
            <w:tcBorders>
              <w:top w:val="nil"/>
              <w:left w:val="nil"/>
              <w:bottom w:val="nil"/>
              <w:right w:val="nil"/>
            </w:tcBorders>
            <w:shd w:val="clear" w:color="auto" w:fill="auto"/>
            <w:hideMark/>
          </w:tcPr>
          <w:p w14:paraId="5C6F48CE" w14:textId="77777777" w:rsidR="005B68FD" w:rsidRPr="00DE7078" w:rsidRDefault="005B68FD" w:rsidP="005B68FD">
            <w:pPr>
              <w:jc w:val="both"/>
              <w:rPr>
                <w:rFonts w:ascii="Tahoma" w:hAnsi="Tahoma" w:cs="Tahoma"/>
                <w:sz w:val="22"/>
                <w:szCs w:val="22"/>
              </w:rPr>
            </w:pPr>
            <w:r w:rsidRPr="00DE7078">
              <w:rPr>
                <w:rFonts w:ascii="Tahoma" w:hAnsi="Tahoma" w:cs="Tahoma"/>
                <w:sz w:val="22"/>
                <w:szCs w:val="22"/>
                <w:vertAlign w:val="superscript"/>
              </w:rPr>
              <w:t>3</w:t>
            </w:r>
            <w:r w:rsidRPr="00DE7078">
              <w:rPr>
                <w:rFonts w:ascii="Tahoma" w:hAnsi="Tahoma" w:cs="Tahoma"/>
                <w:sz w:val="22"/>
                <w:szCs w:val="22"/>
              </w:rPr>
              <w:t>Банк – «Азиатско-Тихоокеанский Банк» (Акционерное общество).</w:t>
            </w:r>
          </w:p>
        </w:tc>
      </w:tr>
      <w:tr w:rsidR="005B68FD" w:rsidRPr="00DE7078" w14:paraId="44D860EC" w14:textId="77777777" w:rsidTr="005B68FD">
        <w:trPr>
          <w:gridAfter w:val="3"/>
          <w:wAfter w:w="7989" w:type="dxa"/>
          <w:trHeight w:val="945"/>
        </w:trPr>
        <w:tc>
          <w:tcPr>
            <w:tcW w:w="15166" w:type="dxa"/>
            <w:gridSpan w:val="4"/>
            <w:tcBorders>
              <w:top w:val="nil"/>
              <w:left w:val="nil"/>
              <w:bottom w:val="nil"/>
              <w:right w:val="nil"/>
            </w:tcBorders>
            <w:shd w:val="clear" w:color="000000" w:fill="FFFFFF"/>
            <w:hideMark/>
          </w:tcPr>
          <w:p w14:paraId="6A22670E" w14:textId="77777777" w:rsidR="005B68FD" w:rsidRPr="00DE7078" w:rsidRDefault="005B68FD" w:rsidP="005B68FD">
            <w:pPr>
              <w:jc w:val="both"/>
              <w:rPr>
                <w:rFonts w:ascii="Tahoma" w:hAnsi="Tahoma" w:cs="Tahoma"/>
                <w:sz w:val="22"/>
                <w:szCs w:val="22"/>
              </w:rPr>
            </w:pPr>
            <w:r w:rsidRPr="00DE7078">
              <w:rPr>
                <w:rFonts w:ascii="Tahoma" w:hAnsi="Tahoma" w:cs="Tahoma"/>
                <w:sz w:val="22"/>
                <w:szCs w:val="22"/>
                <w:vertAlign w:val="superscript"/>
              </w:rPr>
              <w:t>4</w:t>
            </w:r>
            <w:r w:rsidRPr="00DE7078">
              <w:rPr>
                <w:rFonts w:ascii="Tahoma" w:hAnsi="Tahoma" w:cs="Tahoma"/>
                <w:sz w:val="22"/>
                <w:szCs w:val="22"/>
              </w:rPr>
              <w:t>Основная Карта оформляется исключительно в Каналах ДБО (Интернет-банке «АТБ-Онлайн» и/или Мобильном банке «АТБ банк») и исключительно в формате Цифровой карты (Карта, выпущенная по технологии без физического носителя). Дополнительные Карты могут быть оформлены Клиентом исключительно на физическом носителе (без возможности выпуска в формате Цифровой карты), как в Каналах ДБО, так и в Офисах Банка</w:t>
            </w:r>
            <w:r w:rsidRPr="00DE7078">
              <w:rPr>
                <w:rFonts w:ascii="Tahoma" w:hAnsi="Tahoma" w:cs="Tahoma"/>
                <w:sz w:val="22"/>
                <w:szCs w:val="22"/>
                <w:vertAlign w:val="superscript"/>
              </w:rPr>
              <w:t>3</w:t>
            </w:r>
            <w:r w:rsidRPr="00DE7078">
              <w:rPr>
                <w:rFonts w:ascii="Tahoma" w:hAnsi="Tahoma" w:cs="Tahoma"/>
                <w:sz w:val="22"/>
                <w:szCs w:val="22"/>
              </w:rPr>
              <w:t>.</w:t>
            </w:r>
          </w:p>
        </w:tc>
      </w:tr>
      <w:tr w:rsidR="005B68FD" w:rsidRPr="00DE7078" w14:paraId="10E1D096" w14:textId="77777777" w:rsidTr="005B68FD">
        <w:trPr>
          <w:gridAfter w:val="3"/>
          <w:wAfter w:w="7989" w:type="dxa"/>
          <w:trHeight w:val="1523"/>
        </w:trPr>
        <w:tc>
          <w:tcPr>
            <w:tcW w:w="15166" w:type="dxa"/>
            <w:gridSpan w:val="4"/>
            <w:tcBorders>
              <w:top w:val="nil"/>
              <w:left w:val="nil"/>
              <w:bottom w:val="nil"/>
              <w:right w:val="nil"/>
            </w:tcBorders>
            <w:shd w:val="clear" w:color="000000" w:fill="FFFFFF"/>
            <w:hideMark/>
          </w:tcPr>
          <w:p w14:paraId="3C0B1999" w14:textId="77777777" w:rsidR="005B68FD" w:rsidRPr="00DE7078" w:rsidRDefault="005B68FD" w:rsidP="005B68FD">
            <w:pPr>
              <w:jc w:val="both"/>
              <w:rPr>
                <w:rFonts w:ascii="Tahoma" w:hAnsi="Tahoma" w:cs="Tahoma"/>
                <w:color w:val="000000"/>
                <w:sz w:val="22"/>
                <w:szCs w:val="22"/>
              </w:rPr>
            </w:pPr>
            <w:r w:rsidRPr="00DE7078">
              <w:rPr>
                <w:rFonts w:ascii="Tahoma" w:hAnsi="Tahoma" w:cs="Tahoma"/>
                <w:color w:val="000000"/>
                <w:sz w:val="22"/>
                <w:szCs w:val="22"/>
                <w:vertAlign w:val="superscript"/>
              </w:rPr>
              <w:t>5</w:t>
            </w:r>
            <w:r w:rsidRPr="00DE7078">
              <w:rPr>
                <w:rFonts w:ascii="Tahoma" w:hAnsi="Tahoma" w:cs="Tahoma"/>
                <w:color w:val="000000"/>
                <w:sz w:val="22"/>
                <w:szCs w:val="22"/>
              </w:rPr>
              <w:t xml:space="preserve">Отчётный период – временной период, за который Банком взимается комиссия за ежемесячное обслуживание Карты по настоящему Тарифному плану. Первый Отчётный период исчисляется со дня предоставления Клиентом Банку Заявления о банковском обслуживании при получении и использовании банковских (платежных) карт «Азиатско-Тихоокеанский Банк» (АО) до календарного дня в следующем месяце, соответствующего дню открытия Счета Карты включительно. Последующие Отчётные периоды исчисляются ежемесячно со дня, следующего за днём окончания предыдущего Отчётного периода, до дня, соответствующего дню открытия Счета Карты. Плата за услугу взимается Банком ежемесячно, на следующий день после окончания Отчётного периода. Услуга Банком Клиенту не оказывается и плата за нее не взимается в случае отсутствия операций по Счету Карты в Отчётном периоде.  </w:t>
            </w:r>
          </w:p>
        </w:tc>
      </w:tr>
      <w:tr w:rsidR="005B68FD" w:rsidRPr="00DE7078" w14:paraId="5804FEF2" w14:textId="77777777" w:rsidTr="005B68FD">
        <w:trPr>
          <w:gridAfter w:val="3"/>
          <w:wAfter w:w="7989" w:type="dxa"/>
          <w:trHeight w:val="315"/>
        </w:trPr>
        <w:tc>
          <w:tcPr>
            <w:tcW w:w="15166" w:type="dxa"/>
            <w:gridSpan w:val="4"/>
            <w:tcBorders>
              <w:top w:val="nil"/>
              <w:left w:val="nil"/>
              <w:bottom w:val="nil"/>
              <w:right w:val="nil"/>
            </w:tcBorders>
            <w:shd w:val="clear" w:color="auto" w:fill="auto"/>
            <w:noWrap/>
            <w:hideMark/>
          </w:tcPr>
          <w:p w14:paraId="420BC157" w14:textId="77777777" w:rsidR="005B68FD" w:rsidRPr="00DE7078" w:rsidRDefault="005B68FD" w:rsidP="005B68FD">
            <w:pPr>
              <w:jc w:val="both"/>
              <w:rPr>
                <w:rFonts w:ascii="Tahoma" w:hAnsi="Tahoma" w:cs="Tahoma"/>
                <w:color w:val="000000"/>
                <w:sz w:val="22"/>
                <w:szCs w:val="22"/>
              </w:rPr>
            </w:pPr>
            <w:r w:rsidRPr="00DE7078">
              <w:rPr>
                <w:rFonts w:ascii="Tahoma" w:hAnsi="Tahoma" w:cs="Tahoma"/>
                <w:color w:val="000000"/>
                <w:sz w:val="22"/>
                <w:szCs w:val="22"/>
                <w:vertAlign w:val="superscript"/>
              </w:rPr>
              <w:t>6</w:t>
            </w:r>
            <w:r w:rsidRPr="00DE7078">
              <w:rPr>
                <w:rFonts w:ascii="Tahoma" w:hAnsi="Tahoma" w:cs="Tahoma"/>
                <w:color w:val="000000"/>
                <w:sz w:val="22"/>
                <w:szCs w:val="22"/>
              </w:rPr>
              <w:t>Выпуск дополнительных Карт через каналы ДБО возможен исключительно платежной системы «Мир».</w:t>
            </w:r>
          </w:p>
        </w:tc>
      </w:tr>
      <w:tr w:rsidR="005B68FD" w:rsidRPr="00DE7078" w14:paraId="14A3CA92" w14:textId="77777777" w:rsidTr="005B68FD">
        <w:trPr>
          <w:gridAfter w:val="3"/>
          <w:wAfter w:w="7989" w:type="dxa"/>
          <w:trHeight w:val="2130"/>
        </w:trPr>
        <w:tc>
          <w:tcPr>
            <w:tcW w:w="15166" w:type="dxa"/>
            <w:gridSpan w:val="4"/>
            <w:tcBorders>
              <w:top w:val="nil"/>
              <w:left w:val="nil"/>
              <w:bottom w:val="nil"/>
              <w:right w:val="nil"/>
            </w:tcBorders>
            <w:shd w:val="clear" w:color="auto" w:fill="auto"/>
            <w:hideMark/>
          </w:tcPr>
          <w:p w14:paraId="52B569AC" w14:textId="77777777" w:rsidR="005B68FD" w:rsidRPr="00DE7078" w:rsidRDefault="005B68FD" w:rsidP="005B68FD">
            <w:pPr>
              <w:jc w:val="both"/>
              <w:rPr>
                <w:rFonts w:ascii="Tahoma" w:hAnsi="Tahoma" w:cs="Tahoma"/>
                <w:color w:val="000000"/>
                <w:sz w:val="22"/>
                <w:szCs w:val="22"/>
              </w:rPr>
            </w:pPr>
            <w:r w:rsidRPr="00DE7078">
              <w:rPr>
                <w:rFonts w:ascii="Tahoma" w:hAnsi="Tahoma" w:cs="Tahoma"/>
                <w:color w:val="000000"/>
                <w:sz w:val="22"/>
                <w:szCs w:val="22"/>
                <w:vertAlign w:val="superscript"/>
              </w:rPr>
              <w:t>7</w:t>
            </w:r>
            <w:r w:rsidRPr="00DE7078">
              <w:rPr>
                <w:rFonts w:ascii="Tahoma" w:hAnsi="Tahoma" w:cs="Tahoma"/>
                <w:color w:val="000000"/>
                <w:sz w:val="22"/>
                <w:szCs w:val="22"/>
              </w:rPr>
              <w:t>Период – временной период, за который Клиенту на остаток денежных средств на Счете Карты Банком начисляются проценты. Первый Период исчисляется со дня, следующего за днем внесения денежных средств на Счет Карты по день текущего (либо следующего, в случае отсутствия такого дня в текущем) месяца включительно, соответствующий дню открытия Счета Карты. Последующие Периоды исчисляются ежемесячно со дня, следующего после дня окончания предыдущего Периода по календарный день следующего месяца включительно, соответствующий дню открытия Счета Карты. Проценты начисляются Банком на остаток денежных средств, находящийся на Счете Карты на начало Операционного дня в течение всего отчетного Периода, за который осуществляется выплата процентов. Дата выплаты начисленных процентов за Период происходит в последний день Периода. Если в каком-либо календарном месяце отсутствует число, на которое должен приходиться день окончания Периода, Банк производит выплату процентов в последний существующий день Периода.</w:t>
            </w:r>
          </w:p>
        </w:tc>
      </w:tr>
      <w:tr w:rsidR="005B68FD" w:rsidRPr="00DE7078" w14:paraId="7246B663" w14:textId="77777777" w:rsidTr="005B68FD">
        <w:trPr>
          <w:gridAfter w:val="3"/>
          <w:wAfter w:w="7989" w:type="dxa"/>
          <w:trHeight w:val="780"/>
        </w:trPr>
        <w:tc>
          <w:tcPr>
            <w:tcW w:w="15166" w:type="dxa"/>
            <w:gridSpan w:val="4"/>
            <w:tcBorders>
              <w:top w:val="nil"/>
              <w:left w:val="nil"/>
              <w:bottom w:val="nil"/>
              <w:right w:val="nil"/>
            </w:tcBorders>
            <w:shd w:val="clear" w:color="auto" w:fill="auto"/>
            <w:hideMark/>
          </w:tcPr>
          <w:p w14:paraId="6A9F09C5" w14:textId="77777777" w:rsidR="005B68FD" w:rsidRPr="00DE7078" w:rsidRDefault="005B68FD" w:rsidP="005B68FD">
            <w:pPr>
              <w:jc w:val="both"/>
              <w:rPr>
                <w:rFonts w:ascii="Tahoma" w:hAnsi="Tahoma" w:cs="Tahoma"/>
                <w:sz w:val="22"/>
                <w:szCs w:val="22"/>
              </w:rPr>
            </w:pPr>
            <w:r w:rsidRPr="00DE7078">
              <w:rPr>
                <w:rFonts w:ascii="Tahoma" w:hAnsi="Tahoma" w:cs="Tahoma"/>
                <w:sz w:val="22"/>
                <w:szCs w:val="22"/>
                <w:vertAlign w:val="superscript"/>
              </w:rPr>
              <w:t>8</w:t>
            </w:r>
            <w:r w:rsidRPr="00DE7078">
              <w:rPr>
                <w:rFonts w:ascii="Tahoma" w:hAnsi="Tahoma" w:cs="Tahoma"/>
                <w:sz w:val="22"/>
                <w:szCs w:val="22"/>
              </w:rPr>
              <w:t>Выдача денежных средств в кассах Банка производится без ограничений (за исключением случаев, предусмотренных законодательством Российской Федерации) с предъявлением документа, удостоверяющего личность.</w:t>
            </w:r>
          </w:p>
        </w:tc>
      </w:tr>
      <w:tr w:rsidR="005B68FD" w:rsidRPr="00DE7078" w14:paraId="4A47B070" w14:textId="77777777" w:rsidTr="005B68FD">
        <w:trPr>
          <w:gridAfter w:val="3"/>
          <w:wAfter w:w="7989" w:type="dxa"/>
          <w:trHeight w:val="945"/>
        </w:trPr>
        <w:tc>
          <w:tcPr>
            <w:tcW w:w="15166" w:type="dxa"/>
            <w:gridSpan w:val="4"/>
            <w:tcBorders>
              <w:top w:val="nil"/>
              <w:left w:val="nil"/>
              <w:bottom w:val="nil"/>
              <w:right w:val="nil"/>
            </w:tcBorders>
            <w:shd w:val="clear" w:color="auto" w:fill="auto"/>
            <w:hideMark/>
          </w:tcPr>
          <w:p w14:paraId="1DCFDC6B" w14:textId="77777777" w:rsidR="005B68FD" w:rsidRPr="00DE7078" w:rsidRDefault="005B68FD" w:rsidP="005B68FD">
            <w:pPr>
              <w:jc w:val="both"/>
              <w:rPr>
                <w:rFonts w:ascii="Tahoma" w:hAnsi="Tahoma" w:cs="Tahoma"/>
                <w:sz w:val="22"/>
                <w:szCs w:val="22"/>
              </w:rPr>
            </w:pPr>
            <w:r w:rsidRPr="00DE7078">
              <w:rPr>
                <w:rFonts w:ascii="Tahoma" w:hAnsi="Tahoma" w:cs="Tahoma"/>
                <w:sz w:val="22"/>
                <w:szCs w:val="22"/>
                <w:vertAlign w:val="superscript"/>
              </w:rPr>
              <w:t>9</w:t>
            </w:r>
            <w:r w:rsidRPr="00DE7078">
              <w:rPr>
                <w:rFonts w:ascii="Tahoma" w:hAnsi="Tahoma" w:cs="Tahoma"/>
                <w:sz w:val="22"/>
                <w:szCs w:val="22"/>
              </w:rPr>
              <w:t>ТСП (торгово-сервисные предприятия) – юридическое или физическое лицо-индивидуальный предприниматель, самозанятый (за исключением кредитных организаций), осуществляющее реализацию товаров (услуг, работ, результатов интеллектуальной деятельности), оплата которых производится Клиентами Банка с использованием Карты/реквизитов Карты через электронные средства платежа (POS-терминалы, платежные терминалы), а также через сеть Интернет.</w:t>
            </w:r>
          </w:p>
        </w:tc>
      </w:tr>
      <w:tr w:rsidR="005B68FD" w:rsidRPr="00DE7078" w14:paraId="6C7D1BF1" w14:textId="77777777" w:rsidTr="005B68FD">
        <w:trPr>
          <w:gridAfter w:val="3"/>
          <w:wAfter w:w="7989" w:type="dxa"/>
          <w:trHeight w:val="630"/>
        </w:trPr>
        <w:tc>
          <w:tcPr>
            <w:tcW w:w="15166" w:type="dxa"/>
            <w:gridSpan w:val="4"/>
            <w:tcBorders>
              <w:top w:val="nil"/>
              <w:left w:val="nil"/>
              <w:bottom w:val="nil"/>
              <w:right w:val="nil"/>
            </w:tcBorders>
            <w:shd w:val="clear" w:color="000000" w:fill="FFFFFF"/>
            <w:hideMark/>
          </w:tcPr>
          <w:p w14:paraId="3B48A20A" w14:textId="77777777" w:rsidR="005B68FD" w:rsidRPr="00DE7078" w:rsidRDefault="005B68FD" w:rsidP="005B68FD">
            <w:pPr>
              <w:jc w:val="both"/>
              <w:rPr>
                <w:rFonts w:ascii="Tahoma" w:hAnsi="Tahoma" w:cs="Tahoma"/>
                <w:sz w:val="22"/>
                <w:szCs w:val="22"/>
              </w:rPr>
            </w:pPr>
            <w:r w:rsidRPr="00DE7078">
              <w:rPr>
                <w:rFonts w:ascii="Tahoma" w:hAnsi="Tahoma" w:cs="Tahoma"/>
                <w:sz w:val="22"/>
                <w:szCs w:val="22"/>
                <w:vertAlign w:val="superscript"/>
              </w:rPr>
              <w:t>10</w:t>
            </w:r>
            <w:r w:rsidRPr="00DE7078">
              <w:rPr>
                <w:rFonts w:ascii="Tahoma" w:hAnsi="Tahoma" w:cs="Tahoma"/>
                <w:sz w:val="22"/>
                <w:szCs w:val="22"/>
              </w:rPr>
              <w:t>Платежными системами и ТСП</w:t>
            </w:r>
            <w:r w:rsidRPr="00DE7078">
              <w:rPr>
                <w:rFonts w:ascii="Tahoma" w:hAnsi="Tahoma" w:cs="Tahoma"/>
                <w:sz w:val="22"/>
                <w:szCs w:val="22"/>
                <w:vertAlign w:val="superscript"/>
              </w:rPr>
              <w:t>9</w:t>
            </w:r>
            <w:r w:rsidRPr="00DE7078">
              <w:rPr>
                <w:rFonts w:ascii="Tahoma" w:hAnsi="Tahoma" w:cs="Tahoma"/>
                <w:sz w:val="22"/>
                <w:szCs w:val="22"/>
              </w:rPr>
              <w:t xml:space="preserve"> могут быть установлены собственные ограничения по предоставлению данной услуги. О наличии услуги и ограничениях по ней необходимо уточнять в ТСП.</w:t>
            </w:r>
          </w:p>
        </w:tc>
      </w:tr>
      <w:tr w:rsidR="005B68FD" w:rsidRPr="00DE7078" w14:paraId="750B6A35" w14:textId="77777777" w:rsidTr="005B68FD">
        <w:trPr>
          <w:gridAfter w:val="3"/>
          <w:wAfter w:w="7989" w:type="dxa"/>
          <w:trHeight w:val="645"/>
        </w:trPr>
        <w:tc>
          <w:tcPr>
            <w:tcW w:w="15166" w:type="dxa"/>
            <w:gridSpan w:val="4"/>
            <w:tcBorders>
              <w:top w:val="nil"/>
              <w:left w:val="nil"/>
              <w:bottom w:val="nil"/>
              <w:right w:val="nil"/>
            </w:tcBorders>
            <w:shd w:val="clear" w:color="000000" w:fill="FFFFFF"/>
            <w:hideMark/>
          </w:tcPr>
          <w:p w14:paraId="16A5E33D" w14:textId="77777777" w:rsidR="005B68FD" w:rsidRPr="00DE7078" w:rsidRDefault="005B68FD" w:rsidP="005B68FD">
            <w:pPr>
              <w:jc w:val="both"/>
              <w:rPr>
                <w:rFonts w:ascii="Tahoma" w:hAnsi="Tahoma" w:cs="Tahoma"/>
                <w:sz w:val="22"/>
                <w:szCs w:val="22"/>
              </w:rPr>
            </w:pPr>
            <w:r w:rsidRPr="00DE7078">
              <w:rPr>
                <w:rFonts w:ascii="Tahoma" w:hAnsi="Tahoma" w:cs="Tahoma"/>
                <w:sz w:val="22"/>
                <w:szCs w:val="22"/>
                <w:vertAlign w:val="superscript"/>
              </w:rPr>
              <w:t>11</w:t>
            </w:r>
            <w:r w:rsidRPr="00DE7078">
              <w:rPr>
                <w:rFonts w:ascii="Tahoma" w:hAnsi="Tahoma" w:cs="Tahoma"/>
                <w:sz w:val="22"/>
                <w:szCs w:val="22"/>
              </w:rPr>
              <w:t>Счет Карты – текущий банковский счет, открываемый в соответствии с настоящим Тарифным планом Банком Клиенту в рамках заключения Договора Карты между Банком и Клиентом.</w:t>
            </w:r>
          </w:p>
        </w:tc>
      </w:tr>
      <w:tr w:rsidR="005B68FD" w:rsidRPr="00DE7078" w14:paraId="7498D9C4" w14:textId="77777777" w:rsidTr="005B68FD">
        <w:trPr>
          <w:gridAfter w:val="3"/>
          <w:wAfter w:w="7989" w:type="dxa"/>
          <w:trHeight w:val="615"/>
        </w:trPr>
        <w:tc>
          <w:tcPr>
            <w:tcW w:w="15166" w:type="dxa"/>
            <w:gridSpan w:val="4"/>
            <w:tcBorders>
              <w:top w:val="nil"/>
              <w:left w:val="nil"/>
              <w:bottom w:val="nil"/>
              <w:right w:val="nil"/>
            </w:tcBorders>
            <w:shd w:val="clear" w:color="000000" w:fill="FFFFFF"/>
            <w:hideMark/>
          </w:tcPr>
          <w:p w14:paraId="51F6654B" w14:textId="77777777" w:rsidR="005B68FD" w:rsidRPr="00DE7078" w:rsidRDefault="005B68FD" w:rsidP="005B68FD">
            <w:pPr>
              <w:jc w:val="both"/>
              <w:rPr>
                <w:rFonts w:ascii="Tahoma" w:hAnsi="Tahoma" w:cs="Tahoma"/>
                <w:sz w:val="22"/>
                <w:szCs w:val="22"/>
              </w:rPr>
            </w:pPr>
            <w:r w:rsidRPr="00DE7078">
              <w:rPr>
                <w:rFonts w:ascii="Tahoma" w:hAnsi="Tahoma" w:cs="Tahoma"/>
                <w:sz w:val="22"/>
                <w:szCs w:val="22"/>
                <w:vertAlign w:val="superscript"/>
              </w:rPr>
              <w:t>12</w:t>
            </w:r>
            <w:r w:rsidRPr="00DE7078">
              <w:rPr>
                <w:rFonts w:ascii="Tahoma" w:hAnsi="Tahoma" w:cs="Tahoma"/>
                <w:sz w:val="22"/>
                <w:szCs w:val="22"/>
              </w:rPr>
              <w:t>По безналичным операциям с МСС-кодами: 4829 «Денежные переводы», 6012 «Финансовые институты – торговля и услуги», 6538 «Денежные переводы с Карты на Карту», 6534 «Платежная операция», 6051 «Квази-Кэш в нефинансовые учреждения» – комиссия не взимается.</w:t>
            </w:r>
          </w:p>
        </w:tc>
      </w:tr>
      <w:tr w:rsidR="005B68FD" w:rsidRPr="00DE7078" w14:paraId="0CD5827F" w14:textId="77777777" w:rsidTr="005B68FD">
        <w:trPr>
          <w:gridAfter w:val="3"/>
          <w:wAfter w:w="7989" w:type="dxa"/>
          <w:trHeight w:val="615"/>
        </w:trPr>
        <w:tc>
          <w:tcPr>
            <w:tcW w:w="15166" w:type="dxa"/>
            <w:gridSpan w:val="4"/>
            <w:tcBorders>
              <w:top w:val="nil"/>
              <w:left w:val="nil"/>
              <w:bottom w:val="nil"/>
              <w:right w:val="nil"/>
            </w:tcBorders>
            <w:shd w:val="clear" w:color="auto" w:fill="auto"/>
            <w:hideMark/>
          </w:tcPr>
          <w:p w14:paraId="26E72725" w14:textId="77777777" w:rsidR="005B68FD" w:rsidRPr="00DE7078" w:rsidRDefault="005B68FD" w:rsidP="005B68FD">
            <w:pPr>
              <w:jc w:val="both"/>
              <w:rPr>
                <w:rFonts w:ascii="Tahoma" w:hAnsi="Tahoma" w:cs="Tahoma"/>
                <w:sz w:val="22"/>
                <w:szCs w:val="22"/>
              </w:rPr>
            </w:pPr>
            <w:r w:rsidRPr="00DE7078">
              <w:rPr>
                <w:rFonts w:ascii="Tahoma" w:hAnsi="Tahoma" w:cs="Tahoma"/>
                <w:sz w:val="22"/>
                <w:szCs w:val="22"/>
                <w:vertAlign w:val="superscript"/>
              </w:rPr>
              <w:t>13</w:t>
            </w:r>
            <w:r w:rsidRPr="00DE7078">
              <w:rPr>
                <w:rFonts w:ascii="Tahoma" w:hAnsi="Tahoma" w:cs="Tahoma"/>
                <w:sz w:val="22"/>
                <w:szCs w:val="22"/>
              </w:rPr>
              <w:t>В случае отсутствия на Счете Карты Клиента доступных денежных средств в размере, необходимом для списания комиссии за услугу, услуга Клиенту не оказывается, комиссия не взимается.</w:t>
            </w:r>
          </w:p>
        </w:tc>
      </w:tr>
      <w:tr w:rsidR="005B68FD" w:rsidRPr="00DE7078" w14:paraId="6023E185" w14:textId="77777777" w:rsidTr="005B68FD">
        <w:trPr>
          <w:gridAfter w:val="3"/>
          <w:wAfter w:w="7989" w:type="dxa"/>
          <w:trHeight w:val="645"/>
        </w:trPr>
        <w:tc>
          <w:tcPr>
            <w:tcW w:w="15166" w:type="dxa"/>
            <w:gridSpan w:val="4"/>
            <w:tcBorders>
              <w:top w:val="nil"/>
              <w:left w:val="nil"/>
              <w:bottom w:val="nil"/>
              <w:right w:val="nil"/>
            </w:tcBorders>
            <w:shd w:val="clear" w:color="auto" w:fill="auto"/>
            <w:hideMark/>
          </w:tcPr>
          <w:p w14:paraId="75FC039F" w14:textId="77777777" w:rsidR="005B68FD" w:rsidRPr="00DE7078" w:rsidRDefault="005B68FD" w:rsidP="005B68FD">
            <w:pPr>
              <w:jc w:val="both"/>
              <w:rPr>
                <w:rFonts w:ascii="Tahoma" w:hAnsi="Tahoma" w:cs="Tahoma"/>
                <w:sz w:val="22"/>
                <w:szCs w:val="22"/>
              </w:rPr>
            </w:pPr>
            <w:r w:rsidRPr="00DE7078">
              <w:rPr>
                <w:rFonts w:ascii="Tahoma" w:hAnsi="Tahoma" w:cs="Tahoma"/>
                <w:sz w:val="22"/>
                <w:szCs w:val="22"/>
                <w:vertAlign w:val="superscript"/>
              </w:rPr>
              <w:t>14</w:t>
            </w:r>
            <w:r w:rsidRPr="00DE7078">
              <w:rPr>
                <w:rFonts w:ascii="Tahoma" w:hAnsi="Tahoma" w:cs="Tahoma"/>
                <w:sz w:val="22"/>
                <w:szCs w:val="22"/>
              </w:rPr>
              <w:t>В соответствии с Программой лояльности для Клиентов-держателей банковских карт «Азиатско-Тихоокеанский Банк» (АО), размещённой на Сайте Банка www.atb.su и в Подразделениях Банка.</w:t>
            </w:r>
          </w:p>
        </w:tc>
      </w:tr>
      <w:tr w:rsidR="005B68FD" w:rsidRPr="00DE7078" w14:paraId="31242575" w14:textId="77777777" w:rsidTr="005B68FD">
        <w:trPr>
          <w:gridAfter w:val="3"/>
          <w:wAfter w:w="7989" w:type="dxa"/>
          <w:trHeight w:val="1650"/>
        </w:trPr>
        <w:tc>
          <w:tcPr>
            <w:tcW w:w="15166" w:type="dxa"/>
            <w:gridSpan w:val="4"/>
            <w:tcBorders>
              <w:top w:val="nil"/>
              <w:left w:val="nil"/>
              <w:bottom w:val="nil"/>
              <w:right w:val="nil"/>
            </w:tcBorders>
            <w:shd w:val="clear" w:color="auto" w:fill="auto"/>
            <w:hideMark/>
          </w:tcPr>
          <w:p w14:paraId="5B8FA7C5" w14:textId="77777777" w:rsidR="005B68FD" w:rsidRPr="00DE7078" w:rsidRDefault="005B68FD" w:rsidP="005B68FD">
            <w:pPr>
              <w:jc w:val="both"/>
              <w:rPr>
                <w:rFonts w:ascii="Tahoma" w:hAnsi="Tahoma" w:cs="Tahoma"/>
                <w:sz w:val="22"/>
                <w:szCs w:val="22"/>
              </w:rPr>
            </w:pPr>
            <w:r w:rsidRPr="00DE7078">
              <w:rPr>
                <w:rFonts w:ascii="Tahoma" w:hAnsi="Tahoma" w:cs="Tahoma"/>
                <w:sz w:val="22"/>
                <w:szCs w:val="22"/>
                <w:vertAlign w:val="superscript"/>
              </w:rPr>
              <w:t>15</w:t>
            </w:r>
            <w:r w:rsidRPr="00DE7078">
              <w:rPr>
                <w:rFonts w:ascii="Tahoma" w:hAnsi="Tahoma" w:cs="Tahoma"/>
                <w:sz w:val="22"/>
                <w:szCs w:val="22"/>
              </w:rPr>
              <w:t xml:space="preserve">Подключение Программы лояльности Акционерного общества «Национальная система платежных карт» (по тексту – Программа лояльности АО «НСПК») происходит автоматически при выдаче Клиенту Карты платежной системы «Мир». Клиент имеет право выразить отказ в подключении к Программе лояльности АО «НСПК», а также подключать/отключать ее самостоятельно посредством личного кабинета Программы лояльности АО «НСПК». Подключение Программы лояльности АО «НСПК» происходит исключительно на условиях действующих Правил программы лояльности «Привет, мир!» Акционерного общества «Национальная система платежных карт», размещенных на его Официальном сайте privetmir.ru, и исключительно к Картам платежной системы </w:t>
            </w:r>
          </w:p>
        </w:tc>
      </w:tr>
      <w:tr w:rsidR="005B68FD" w:rsidRPr="00DE7078" w14:paraId="4FA51CD9" w14:textId="77777777" w:rsidTr="005B68FD">
        <w:trPr>
          <w:gridAfter w:val="3"/>
          <w:wAfter w:w="7989" w:type="dxa"/>
          <w:trHeight w:val="3030"/>
        </w:trPr>
        <w:tc>
          <w:tcPr>
            <w:tcW w:w="15166" w:type="dxa"/>
            <w:gridSpan w:val="4"/>
            <w:tcBorders>
              <w:top w:val="nil"/>
              <w:left w:val="nil"/>
              <w:bottom w:val="nil"/>
              <w:right w:val="nil"/>
            </w:tcBorders>
            <w:shd w:val="clear" w:color="auto" w:fill="auto"/>
            <w:hideMark/>
          </w:tcPr>
          <w:p w14:paraId="52BDBAC4" w14:textId="77777777" w:rsidR="005B68FD" w:rsidRPr="005700E6" w:rsidRDefault="005B68FD" w:rsidP="005B68FD">
            <w:pPr>
              <w:jc w:val="both"/>
              <w:rPr>
                <w:rFonts w:ascii="Tahoma" w:hAnsi="Tahoma" w:cs="Tahoma"/>
                <w:sz w:val="22"/>
                <w:szCs w:val="22"/>
              </w:rPr>
            </w:pPr>
            <w:r w:rsidRPr="005700E6">
              <w:rPr>
                <w:rFonts w:ascii="Tahoma" w:hAnsi="Tahoma" w:cs="Tahoma"/>
                <w:sz w:val="22"/>
                <w:szCs w:val="22"/>
                <w:vertAlign w:val="superscript"/>
              </w:rPr>
              <w:t>16</w:t>
            </w:r>
            <w:r w:rsidRPr="005700E6">
              <w:rPr>
                <w:rFonts w:ascii="Tahoma" w:hAnsi="Tahoma" w:cs="Tahoma"/>
                <w:sz w:val="22"/>
                <w:szCs w:val="22"/>
              </w:rPr>
              <w:t>Банк не взимает комиссию за осуществление по поручению физического лица операций по переводу денежных средств в рублях в размере в совокупности ежемесячно не более 30 000 000 рублей с банковского счета/вклада физического лица, открытого в Банке, на банковский счет/вклад этого физического лица, открытый в другой кредитной организации, или специальный счет оператора финансовой платформы, бенефициаром по которому выступает это физическое лицо. Банк не устанавливает ограничения размера/количества таких операций в пределах указанного в настоящем пункте совокупного ежемесячного размера операций (вне зависимости от используемого при переводе денежных средств сервиса, в т.ч. при переводе в Сервисе быстрых платежей платежной системы Банка России, Каналах ДБО).</w:t>
            </w:r>
          </w:p>
          <w:p w14:paraId="53B2D30F" w14:textId="77777777" w:rsidR="005B68FD" w:rsidRPr="005700E6" w:rsidRDefault="005B68FD" w:rsidP="005B68FD">
            <w:pPr>
              <w:jc w:val="both"/>
              <w:rPr>
                <w:rFonts w:ascii="Tahoma" w:hAnsi="Tahoma" w:cs="Tahoma"/>
                <w:sz w:val="22"/>
                <w:szCs w:val="22"/>
              </w:rPr>
            </w:pPr>
            <w:r w:rsidRPr="005700E6">
              <w:rPr>
                <w:rFonts w:ascii="Tahoma" w:hAnsi="Tahoma" w:cs="Tahoma"/>
                <w:sz w:val="22"/>
                <w:szCs w:val="22"/>
              </w:rPr>
              <w:t>Правила, определенные выше в настоящем пункте, не распространяются на: 1) операции по переводу денежных средств, осуществляемые при личном присутствии физического лица или его представителя в Банке; 2) операции по переводу денежных средств с использованием платежных карт, осуществляемые по правилам платежных систем, в рамках которых эмитируются платежные карты.</w:t>
            </w:r>
          </w:p>
          <w:p w14:paraId="0E57C8D5" w14:textId="77777777" w:rsidR="005B68FD" w:rsidRPr="005700E6" w:rsidRDefault="005B68FD" w:rsidP="005B68FD">
            <w:pPr>
              <w:jc w:val="both"/>
              <w:rPr>
                <w:rFonts w:ascii="Tahoma" w:hAnsi="Tahoma" w:cs="Tahoma"/>
                <w:sz w:val="22"/>
                <w:szCs w:val="22"/>
              </w:rPr>
            </w:pPr>
            <w:r w:rsidRPr="005700E6">
              <w:rPr>
                <w:rFonts w:ascii="Tahoma" w:hAnsi="Tahoma" w:cs="Tahoma"/>
                <w:sz w:val="22"/>
                <w:szCs w:val="22"/>
              </w:rPr>
              <w:t>Банк не взимает комиссию за перечисление платы за жилое помещение и коммунальные услуги, пеней за несвоевременное и (или) неполное внесение платы за жилое помещение и коммунальные услуги для категории клиентов, перечень которых установлен Распоряжением Правительства РФ №1059-р от 27 апреля 2024 г. в соответствии со статьей 155 Жилищного кодекса РФ, статьей 29 Федерального закона «О банках и банковской деятельности»."</w:t>
            </w:r>
            <w:r w:rsidRPr="005700E6">
              <w:rPr>
                <w:rFonts w:ascii="Tahoma" w:hAnsi="Tahoma" w:cs="Tahoma"/>
                <w:sz w:val="22"/>
                <w:szCs w:val="22"/>
              </w:rPr>
              <w:tab/>
            </w:r>
            <w:r w:rsidRPr="005700E6">
              <w:rPr>
                <w:rFonts w:ascii="Tahoma" w:hAnsi="Tahoma" w:cs="Tahoma"/>
                <w:sz w:val="22"/>
                <w:szCs w:val="22"/>
              </w:rPr>
              <w:tab/>
            </w:r>
            <w:r w:rsidRPr="005700E6">
              <w:rPr>
                <w:rFonts w:ascii="Tahoma" w:hAnsi="Tahoma" w:cs="Tahoma"/>
                <w:sz w:val="22"/>
                <w:szCs w:val="22"/>
              </w:rPr>
              <w:tab/>
            </w:r>
          </w:p>
          <w:p w14:paraId="58C059CF" w14:textId="77777777" w:rsidR="005B68FD" w:rsidRPr="005700E6" w:rsidRDefault="005B68FD" w:rsidP="005B68FD">
            <w:pPr>
              <w:jc w:val="both"/>
              <w:rPr>
                <w:rFonts w:ascii="Tahoma" w:hAnsi="Tahoma" w:cs="Tahoma"/>
                <w:sz w:val="22"/>
                <w:szCs w:val="22"/>
              </w:rPr>
            </w:pPr>
            <w:r w:rsidRPr="005700E6">
              <w:rPr>
                <w:rFonts w:ascii="Tahoma" w:hAnsi="Tahoma" w:cs="Tahoma"/>
                <w:sz w:val="22"/>
                <w:szCs w:val="22"/>
              </w:rPr>
              <w:t>"Операции по счетам, вкладам и использование Карт осуществляются с учетом ограничений, установленных платежными системами АО НСПК Мир, Visa International, иными уполномоченными лицами/органами Российской Федерации и иностранных государств, международными организациями, а также законодательством Российской Федерации, в том числе актами Центрального банка РФ.</w:t>
            </w:r>
          </w:p>
          <w:p w14:paraId="66425082" w14:textId="77777777" w:rsidR="005B68FD" w:rsidRPr="005700E6" w:rsidRDefault="005B68FD" w:rsidP="005B68FD">
            <w:pPr>
              <w:jc w:val="both"/>
              <w:rPr>
                <w:rFonts w:ascii="Tahoma" w:hAnsi="Tahoma" w:cs="Tahoma"/>
                <w:sz w:val="22"/>
                <w:szCs w:val="22"/>
              </w:rPr>
            </w:pPr>
            <w:r w:rsidRPr="005700E6">
              <w:rPr>
                <w:rFonts w:ascii="Tahoma" w:hAnsi="Tahoma" w:cs="Tahoma"/>
                <w:sz w:val="22"/>
                <w:szCs w:val="22"/>
              </w:rPr>
              <w:t>Все предусмотренные настоящим документом платежи взимаются (списываются) Банком в порядке прямого дебетования (списание по заранее данному акцепту) со Счета Карты Клиента в Банке и(или) иных счетов Клиента в Банке в момент совершения соответствующей операции, если иное не установлено настоящим документом/договором с Клиентом.</w:t>
            </w:r>
          </w:p>
          <w:p w14:paraId="1917842A" w14:textId="77777777" w:rsidR="005B68FD" w:rsidRDefault="005B68FD" w:rsidP="005B68FD">
            <w:pPr>
              <w:jc w:val="both"/>
              <w:rPr>
                <w:rFonts w:ascii="Tahoma" w:hAnsi="Tahoma" w:cs="Tahoma"/>
                <w:sz w:val="22"/>
                <w:szCs w:val="22"/>
              </w:rPr>
            </w:pPr>
            <w:r w:rsidRPr="005700E6">
              <w:rPr>
                <w:rFonts w:ascii="Tahoma" w:hAnsi="Tahoma" w:cs="Tahoma"/>
                <w:sz w:val="22"/>
                <w:szCs w:val="22"/>
              </w:rPr>
              <w:t>Не указанные в настоящем документе термины применяются в значении, указанном в Универсальном договоре банковского обслуживания физических лиц «Азиатско-Тихоокеанский Банк» (АО), размещённом на Сайте Банка www.</w:t>
            </w:r>
            <w:r>
              <w:rPr>
                <w:rFonts w:ascii="Tahoma" w:hAnsi="Tahoma" w:cs="Tahoma"/>
                <w:sz w:val="22"/>
                <w:szCs w:val="22"/>
              </w:rPr>
              <w:t>atb.su, Подразделениях Банка.</w:t>
            </w:r>
          </w:p>
          <w:p w14:paraId="3635F92E" w14:textId="77777777" w:rsidR="005B68FD" w:rsidRPr="00DE7078" w:rsidRDefault="005B68FD" w:rsidP="005B68FD">
            <w:pPr>
              <w:jc w:val="both"/>
              <w:rPr>
                <w:rFonts w:ascii="Tahoma" w:hAnsi="Tahoma" w:cs="Tahoma"/>
                <w:sz w:val="22"/>
                <w:szCs w:val="22"/>
              </w:rPr>
            </w:pPr>
          </w:p>
        </w:tc>
      </w:tr>
    </w:tbl>
    <w:p w14:paraId="0C508115" w14:textId="77777777" w:rsidR="005B68FD" w:rsidRDefault="005B68FD" w:rsidP="005B68FD">
      <w:pPr>
        <w:tabs>
          <w:tab w:val="left" w:pos="851"/>
        </w:tabs>
        <w:ind w:left="426"/>
        <w:rPr>
          <w:rFonts w:ascii="Tahoma" w:hAnsi="Tahoma" w:cs="Tahoma"/>
          <w:b/>
          <w:bCs/>
          <w:iCs/>
          <w:color w:val="E36C0A"/>
          <w:sz w:val="22"/>
          <w:szCs w:val="22"/>
        </w:rPr>
      </w:pPr>
    </w:p>
    <w:tbl>
      <w:tblPr>
        <w:tblW w:w="14636" w:type="dxa"/>
        <w:tblLook w:val="04A0" w:firstRow="1" w:lastRow="0" w:firstColumn="1" w:lastColumn="0" w:noHBand="0" w:noVBand="1"/>
      </w:tblPr>
      <w:tblGrid>
        <w:gridCol w:w="828"/>
        <w:gridCol w:w="4987"/>
        <w:gridCol w:w="4410"/>
        <w:gridCol w:w="4411"/>
      </w:tblGrid>
      <w:tr w:rsidR="005B68FD" w:rsidRPr="008A7633" w14:paraId="35B23702" w14:textId="77777777" w:rsidTr="005B68FD">
        <w:trPr>
          <w:trHeight w:val="640"/>
        </w:trPr>
        <w:tc>
          <w:tcPr>
            <w:tcW w:w="14636" w:type="dxa"/>
            <w:gridSpan w:val="4"/>
            <w:shd w:val="clear" w:color="auto" w:fill="FFFFFF" w:themeFill="background1"/>
            <w:noWrap/>
            <w:vAlign w:val="center"/>
          </w:tcPr>
          <w:p w14:paraId="0774CAB7" w14:textId="77777777" w:rsidR="005B68FD" w:rsidRPr="005B68FD" w:rsidRDefault="005B68FD" w:rsidP="000B3718">
            <w:pPr>
              <w:pStyle w:val="a5"/>
            </w:pPr>
            <w:r w:rsidRPr="005B68FD">
              <w:t>4.1.2. ТАРИФНЫЙ ПЛАН «АТБ КАРТА ЗАРПЛАТНАЯ»</w:t>
            </w:r>
            <w:r w:rsidRPr="005B68FD">
              <w:rPr>
                <w:vertAlign w:val="superscript"/>
              </w:rPr>
              <w:t>1, 16</w:t>
            </w:r>
          </w:p>
          <w:p w14:paraId="269177EB" w14:textId="77777777" w:rsidR="005B68FD" w:rsidRPr="008A7633" w:rsidRDefault="005B68FD" w:rsidP="005B68FD">
            <w:pPr>
              <w:jc w:val="center"/>
              <w:rPr>
                <w:rFonts w:ascii="Tahoma" w:hAnsi="Tahoma" w:cs="Tahoma"/>
                <w:b/>
                <w:color w:val="FFFFFF" w:themeColor="background1"/>
              </w:rPr>
            </w:pPr>
            <w:r>
              <w:rPr>
                <w:rFonts w:ascii="Tahoma" w:hAnsi="Tahoma" w:cs="Tahoma"/>
                <w:b/>
                <w:noProof/>
                <w:color w:val="FFFFFF" w:themeColor="background1"/>
              </w:rPr>
              <mc:AlternateContent>
                <mc:Choice Requires="wps">
                  <w:drawing>
                    <wp:anchor distT="0" distB="0" distL="114300" distR="114300" simplePos="0" relativeHeight="251661824" behindDoc="0" locked="0" layoutInCell="1" allowOverlap="1" wp14:anchorId="5BE37BD7" wp14:editId="344D0C9A">
                      <wp:simplePos x="0" y="0"/>
                      <wp:positionH relativeFrom="column">
                        <wp:posOffset>-74295</wp:posOffset>
                      </wp:positionH>
                      <wp:positionV relativeFrom="paragraph">
                        <wp:posOffset>217805</wp:posOffset>
                      </wp:positionV>
                      <wp:extent cx="3733800" cy="752475"/>
                      <wp:effectExtent l="0" t="0" r="19050" b="28575"/>
                      <wp:wrapNone/>
                      <wp:docPr id="12" name="Прямая соединительная линия 12"/>
                      <wp:cNvGraphicFramePr/>
                      <a:graphic xmlns:a="http://schemas.openxmlformats.org/drawingml/2006/main">
                        <a:graphicData uri="http://schemas.microsoft.com/office/word/2010/wordprocessingShape">
                          <wps:wsp>
                            <wps:cNvCnPr/>
                            <wps:spPr>
                              <a:xfrm>
                                <a:off x="0" y="0"/>
                                <a:ext cx="3733800" cy="752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3B9A8F" id="Прямая соединительная линия 12"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5.85pt,17.15pt" to="288.15pt,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" strokecolor="black [3040]"/>
                  </w:pict>
                </mc:Fallback>
              </mc:AlternateContent>
            </w:r>
          </w:p>
        </w:tc>
      </w:tr>
      <w:tr w:rsidR="005B68FD" w:rsidRPr="005B68FD" w14:paraId="5845EDCE" w14:textId="77777777" w:rsidTr="005B68FD">
        <w:trPr>
          <w:trHeight w:val="640"/>
        </w:trPr>
        <w:tc>
          <w:tcPr>
            <w:tcW w:w="5815" w:type="dxa"/>
            <w:gridSpan w:val="2"/>
            <w:tcBorders>
              <w:top w:val="single" w:sz="4" w:space="0" w:color="auto"/>
              <w:left w:val="single" w:sz="4" w:space="0" w:color="auto"/>
              <w:right w:val="single" w:sz="4" w:space="0" w:color="auto"/>
            </w:tcBorders>
            <w:shd w:val="clear" w:color="auto" w:fill="595959" w:themeFill="text1" w:themeFillTint="A6"/>
            <w:noWrap/>
            <w:vAlign w:val="center"/>
          </w:tcPr>
          <w:p w14:paraId="10F509E4" w14:textId="77777777" w:rsidR="005B68FD" w:rsidRPr="005B68FD" w:rsidRDefault="005B68FD" w:rsidP="005B68FD">
            <w:pPr>
              <w:ind w:firstLine="2860"/>
              <w:rPr>
                <w:rFonts w:ascii="Tahoma" w:hAnsi="Tahoma" w:cs="Tahoma"/>
                <w:b/>
                <w:color w:val="FFFFFF" w:themeColor="background1"/>
                <w:sz w:val="22"/>
                <w:szCs w:val="22"/>
              </w:rPr>
            </w:pPr>
            <w:r w:rsidRPr="005B68FD">
              <w:rPr>
                <w:rFonts w:ascii="Tahoma" w:hAnsi="Tahoma" w:cs="Tahoma"/>
                <w:b/>
                <w:color w:val="FFFFFF" w:themeColor="background1"/>
                <w:sz w:val="22"/>
                <w:szCs w:val="22"/>
              </w:rPr>
              <w:t>Тип банковской Карты</w:t>
            </w:r>
            <w:r w:rsidRPr="005B68FD">
              <w:rPr>
                <w:rFonts w:ascii="Tahoma" w:hAnsi="Tahoma" w:cs="Tahoma"/>
                <w:b/>
                <w:color w:val="FFFFFF" w:themeColor="background1"/>
                <w:sz w:val="22"/>
                <w:szCs w:val="22"/>
                <w:vertAlign w:val="superscript"/>
              </w:rPr>
              <w:t>2</w:t>
            </w:r>
          </w:p>
          <w:p w14:paraId="23893237" w14:textId="77777777" w:rsidR="005B68FD" w:rsidRPr="005B68FD" w:rsidRDefault="005B68FD" w:rsidP="005B68FD">
            <w:pPr>
              <w:rPr>
                <w:rFonts w:ascii="Tahoma" w:hAnsi="Tahoma" w:cs="Tahoma"/>
                <w:b/>
                <w:color w:val="FFFFFF" w:themeColor="background1"/>
                <w:sz w:val="22"/>
                <w:szCs w:val="22"/>
              </w:rPr>
            </w:pPr>
          </w:p>
          <w:p w14:paraId="61583F45" w14:textId="77777777" w:rsidR="005B68FD" w:rsidRPr="005B68FD" w:rsidRDefault="005B68FD" w:rsidP="005B68FD">
            <w:pPr>
              <w:rPr>
                <w:rFonts w:ascii="Tahoma" w:hAnsi="Tahoma" w:cs="Tahoma"/>
                <w:b/>
                <w:color w:val="FFFFFF" w:themeColor="background1"/>
                <w:sz w:val="22"/>
                <w:szCs w:val="22"/>
              </w:rPr>
            </w:pPr>
            <w:r w:rsidRPr="005B68FD">
              <w:rPr>
                <w:rFonts w:ascii="Tahoma" w:hAnsi="Tahoma" w:cs="Tahoma"/>
                <w:b/>
                <w:color w:val="FFFFFF" w:themeColor="background1"/>
                <w:sz w:val="22"/>
                <w:szCs w:val="22"/>
              </w:rPr>
              <w:t>Условия предоставления услуги</w:t>
            </w:r>
          </w:p>
        </w:tc>
        <w:tc>
          <w:tcPr>
            <w:tcW w:w="4410" w:type="dxa"/>
            <w:tcBorders>
              <w:top w:val="single" w:sz="4" w:space="0" w:color="auto"/>
              <w:left w:val="nil"/>
              <w:right w:val="single" w:sz="4" w:space="0" w:color="auto"/>
            </w:tcBorders>
            <w:shd w:val="clear" w:color="auto" w:fill="595959" w:themeFill="text1" w:themeFillTint="A6"/>
            <w:noWrap/>
            <w:vAlign w:val="center"/>
          </w:tcPr>
          <w:p w14:paraId="11802B5C" w14:textId="77777777" w:rsidR="005B68FD" w:rsidRPr="005B68FD" w:rsidRDefault="005B68FD" w:rsidP="005B68FD">
            <w:pPr>
              <w:jc w:val="center"/>
              <w:rPr>
                <w:rFonts w:ascii="Tahoma" w:hAnsi="Tahoma" w:cs="Tahoma"/>
                <w:b/>
                <w:color w:val="FFFFFF" w:themeColor="background1"/>
                <w:sz w:val="22"/>
                <w:szCs w:val="22"/>
              </w:rPr>
            </w:pPr>
            <w:r w:rsidRPr="005B68FD">
              <w:rPr>
                <w:rFonts w:ascii="Tahoma" w:hAnsi="Tahoma" w:cs="Tahoma"/>
                <w:b/>
                <w:color w:val="FFFFFF" w:themeColor="background1"/>
                <w:sz w:val="22"/>
                <w:szCs w:val="22"/>
              </w:rPr>
              <w:t>Мир (именная и неименная)</w:t>
            </w:r>
          </w:p>
        </w:tc>
        <w:tc>
          <w:tcPr>
            <w:tcW w:w="4411" w:type="dxa"/>
            <w:tcBorders>
              <w:top w:val="single" w:sz="4" w:space="0" w:color="auto"/>
              <w:left w:val="nil"/>
              <w:right w:val="single" w:sz="4" w:space="0" w:color="auto"/>
            </w:tcBorders>
            <w:shd w:val="clear" w:color="auto" w:fill="595959" w:themeFill="text1" w:themeFillTint="A6"/>
            <w:vAlign w:val="center"/>
          </w:tcPr>
          <w:p w14:paraId="7D0C3478" w14:textId="77777777" w:rsidR="005B68FD" w:rsidRPr="005B68FD" w:rsidRDefault="005B68FD" w:rsidP="005B68FD">
            <w:pPr>
              <w:jc w:val="center"/>
              <w:rPr>
                <w:rFonts w:ascii="Tahoma" w:hAnsi="Tahoma" w:cs="Tahoma"/>
                <w:b/>
                <w:color w:val="FFFFFF" w:themeColor="background1"/>
                <w:sz w:val="22"/>
                <w:szCs w:val="22"/>
              </w:rPr>
            </w:pPr>
            <w:r w:rsidRPr="005B68FD">
              <w:rPr>
                <w:rFonts w:ascii="Tahoma" w:hAnsi="Tahoma" w:cs="Tahoma"/>
                <w:b/>
                <w:color w:val="FFFFFF" w:themeColor="background1"/>
                <w:sz w:val="22"/>
                <w:szCs w:val="22"/>
                <w:lang w:val="en-US"/>
              </w:rPr>
              <w:t>Vis</w:t>
            </w:r>
            <w:r w:rsidRPr="005B68FD">
              <w:rPr>
                <w:rFonts w:ascii="Tahoma" w:hAnsi="Tahoma" w:cs="Tahoma"/>
                <w:b/>
                <w:color w:val="FFFFFF" w:themeColor="background1"/>
                <w:sz w:val="22"/>
                <w:szCs w:val="22"/>
              </w:rPr>
              <w:t xml:space="preserve"> </w:t>
            </w:r>
            <w:r w:rsidRPr="005B68FD">
              <w:rPr>
                <w:rFonts w:ascii="Tahoma" w:hAnsi="Tahoma" w:cs="Tahoma"/>
                <w:b/>
                <w:color w:val="FFFFFF" w:themeColor="background1"/>
                <w:sz w:val="22"/>
                <w:szCs w:val="22"/>
                <w:lang w:val="en-US"/>
              </w:rPr>
              <w:t>Gold</w:t>
            </w:r>
            <w:r w:rsidRPr="005B68FD">
              <w:rPr>
                <w:rFonts w:ascii="Tahoma" w:hAnsi="Tahoma" w:cs="Tahoma"/>
                <w:b/>
                <w:color w:val="FFFFFF" w:themeColor="background1"/>
                <w:sz w:val="22"/>
                <w:szCs w:val="22"/>
              </w:rPr>
              <w:t>* (именная и неименная)</w:t>
            </w:r>
          </w:p>
        </w:tc>
      </w:tr>
      <w:tr w:rsidR="005B68FD" w:rsidRPr="005B68FD" w14:paraId="70D16448" w14:textId="77777777" w:rsidTr="005B68FD">
        <w:trPr>
          <w:trHeight w:val="315"/>
        </w:trPr>
        <w:tc>
          <w:tcPr>
            <w:tcW w:w="828" w:type="dxa"/>
            <w:tcBorders>
              <w:top w:val="single" w:sz="4" w:space="0" w:color="auto"/>
              <w:left w:val="single" w:sz="4" w:space="0" w:color="auto"/>
              <w:bottom w:val="single" w:sz="4" w:space="0" w:color="auto"/>
              <w:right w:val="single" w:sz="4" w:space="0" w:color="auto"/>
            </w:tcBorders>
            <w:shd w:val="clear" w:color="auto" w:fill="595959" w:themeFill="text1" w:themeFillTint="A6"/>
            <w:noWrap/>
            <w:vAlign w:val="center"/>
          </w:tcPr>
          <w:p w14:paraId="0DC0EEC0" w14:textId="77777777" w:rsidR="005B68FD" w:rsidRPr="005B68FD" w:rsidRDefault="005B68FD" w:rsidP="005B68FD">
            <w:pPr>
              <w:jc w:val="center"/>
              <w:rPr>
                <w:rFonts w:ascii="Tahoma" w:hAnsi="Tahoma" w:cs="Tahoma"/>
                <w:b/>
                <w:bCs/>
                <w:color w:val="FFFFFF"/>
                <w:sz w:val="22"/>
                <w:szCs w:val="22"/>
              </w:rPr>
            </w:pPr>
            <w:r w:rsidRPr="005B68FD">
              <w:rPr>
                <w:rFonts w:ascii="Tahoma" w:hAnsi="Tahoma" w:cs="Tahoma"/>
                <w:b/>
                <w:bCs/>
                <w:color w:val="FFFFFF"/>
                <w:sz w:val="22"/>
                <w:szCs w:val="22"/>
              </w:rPr>
              <w:t>1.</w:t>
            </w:r>
          </w:p>
        </w:tc>
        <w:tc>
          <w:tcPr>
            <w:tcW w:w="13808" w:type="dxa"/>
            <w:gridSpan w:val="3"/>
            <w:tcBorders>
              <w:top w:val="single" w:sz="4" w:space="0" w:color="auto"/>
              <w:left w:val="nil"/>
              <w:bottom w:val="single" w:sz="4" w:space="0" w:color="auto"/>
              <w:right w:val="single" w:sz="4" w:space="0" w:color="auto"/>
            </w:tcBorders>
            <w:shd w:val="clear" w:color="auto" w:fill="595959" w:themeFill="text1" w:themeFillTint="A6"/>
            <w:vAlign w:val="center"/>
          </w:tcPr>
          <w:p w14:paraId="3D93F957" w14:textId="77777777" w:rsidR="005B68FD" w:rsidRPr="005B68FD" w:rsidRDefault="005B68FD" w:rsidP="005B68FD">
            <w:pPr>
              <w:rPr>
                <w:rFonts w:ascii="Tahoma" w:hAnsi="Tahoma" w:cs="Tahoma"/>
                <w:b/>
                <w:bCs/>
                <w:color w:val="FFFFFF"/>
                <w:sz w:val="22"/>
                <w:szCs w:val="22"/>
              </w:rPr>
            </w:pPr>
            <w:r w:rsidRPr="005B68FD">
              <w:rPr>
                <w:rFonts w:ascii="Tahoma" w:hAnsi="Tahoma" w:cs="Tahoma"/>
                <w:b/>
                <w:bCs/>
                <w:color w:val="FFFFFF"/>
                <w:sz w:val="22"/>
                <w:szCs w:val="22"/>
              </w:rPr>
              <w:t>Условия выпуска и обслуживания Карты</w:t>
            </w:r>
          </w:p>
        </w:tc>
      </w:tr>
      <w:tr w:rsidR="005B68FD" w:rsidRPr="005B68FD" w14:paraId="04584E13" w14:textId="77777777" w:rsidTr="005B68FD">
        <w:trPr>
          <w:trHeight w:val="315"/>
        </w:trPr>
        <w:tc>
          <w:tcPr>
            <w:tcW w:w="82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C010AA7"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1.1.</w:t>
            </w:r>
          </w:p>
        </w:tc>
        <w:tc>
          <w:tcPr>
            <w:tcW w:w="4987" w:type="dxa"/>
            <w:tcBorders>
              <w:top w:val="single" w:sz="4" w:space="0" w:color="auto"/>
              <w:left w:val="nil"/>
              <w:bottom w:val="single" w:sz="4" w:space="0" w:color="auto"/>
              <w:right w:val="single" w:sz="4" w:space="0" w:color="auto"/>
            </w:tcBorders>
            <w:shd w:val="clear" w:color="auto" w:fill="auto"/>
            <w:vAlign w:val="center"/>
            <w:hideMark/>
          </w:tcPr>
          <w:p w14:paraId="3F02831B" w14:textId="77777777" w:rsidR="005B68FD" w:rsidRPr="005B68FD" w:rsidRDefault="005B68FD" w:rsidP="005B68FD">
            <w:pPr>
              <w:jc w:val="both"/>
              <w:rPr>
                <w:rFonts w:ascii="Tahoma" w:hAnsi="Tahoma" w:cs="Tahoma"/>
                <w:sz w:val="22"/>
                <w:szCs w:val="22"/>
              </w:rPr>
            </w:pPr>
            <w:r w:rsidRPr="005B68FD">
              <w:rPr>
                <w:rFonts w:ascii="Tahoma" w:hAnsi="Tahoma" w:cs="Tahoma"/>
                <w:sz w:val="22"/>
                <w:szCs w:val="22"/>
              </w:rPr>
              <w:t>валюта Счета Карты</w:t>
            </w:r>
            <w:r w:rsidRPr="005B68FD">
              <w:rPr>
                <w:rFonts w:ascii="Tahoma" w:hAnsi="Tahoma" w:cs="Tahoma"/>
                <w:sz w:val="22"/>
                <w:szCs w:val="22"/>
                <w:vertAlign w:val="superscript"/>
              </w:rPr>
              <w:t>3</w:t>
            </w:r>
          </w:p>
        </w:tc>
        <w:tc>
          <w:tcPr>
            <w:tcW w:w="8821" w:type="dxa"/>
            <w:gridSpan w:val="2"/>
            <w:tcBorders>
              <w:top w:val="single" w:sz="4" w:space="0" w:color="auto"/>
              <w:left w:val="nil"/>
              <w:bottom w:val="single" w:sz="4" w:space="0" w:color="auto"/>
              <w:right w:val="single" w:sz="4" w:space="0" w:color="auto"/>
            </w:tcBorders>
            <w:shd w:val="clear" w:color="auto" w:fill="auto"/>
            <w:noWrap/>
            <w:vAlign w:val="center"/>
            <w:hideMark/>
          </w:tcPr>
          <w:p w14:paraId="5E6C85DD" w14:textId="77777777" w:rsidR="005B68FD" w:rsidRPr="005B68FD" w:rsidRDefault="005B68FD" w:rsidP="005B68FD">
            <w:pPr>
              <w:jc w:val="center"/>
              <w:rPr>
                <w:rFonts w:ascii="Tahoma" w:hAnsi="Tahoma" w:cs="Tahoma"/>
                <w:color w:val="000000"/>
                <w:sz w:val="22"/>
                <w:szCs w:val="22"/>
              </w:rPr>
            </w:pPr>
            <w:r w:rsidRPr="005B68FD">
              <w:rPr>
                <w:rFonts w:ascii="Tahoma" w:hAnsi="Tahoma" w:cs="Tahoma"/>
                <w:color w:val="000000"/>
                <w:sz w:val="22"/>
                <w:szCs w:val="22"/>
              </w:rPr>
              <w:t>российский рубль</w:t>
            </w:r>
          </w:p>
        </w:tc>
      </w:tr>
      <w:tr w:rsidR="005B68FD" w:rsidRPr="005B68FD" w14:paraId="1B4B682E" w14:textId="77777777" w:rsidTr="005B68FD">
        <w:trPr>
          <w:trHeight w:val="300"/>
        </w:trPr>
        <w:tc>
          <w:tcPr>
            <w:tcW w:w="828" w:type="dxa"/>
            <w:tcBorders>
              <w:top w:val="nil"/>
              <w:left w:val="single" w:sz="4" w:space="0" w:color="auto"/>
              <w:bottom w:val="single" w:sz="4" w:space="0" w:color="auto"/>
              <w:right w:val="single" w:sz="4" w:space="0" w:color="auto"/>
            </w:tcBorders>
            <w:shd w:val="clear" w:color="000000" w:fill="FFFFFF"/>
            <w:noWrap/>
            <w:vAlign w:val="center"/>
            <w:hideMark/>
          </w:tcPr>
          <w:p w14:paraId="4AB7D9C3"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1.2.</w:t>
            </w:r>
          </w:p>
        </w:tc>
        <w:tc>
          <w:tcPr>
            <w:tcW w:w="4987" w:type="dxa"/>
            <w:tcBorders>
              <w:top w:val="nil"/>
              <w:left w:val="nil"/>
              <w:bottom w:val="single" w:sz="4" w:space="0" w:color="auto"/>
              <w:right w:val="single" w:sz="4" w:space="0" w:color="auto"/>
            </w:tcBorders>
            <w:shd w:val="clear" w:color="auto" w:fill="auto"/>
            <w:vAlign w:val="center"/>
            <w:hideMark/>
          </w:tcPr>
          <w:p w14:paraId="0A29E3C9" w14:textId="77777777" w:rsidR="005B68FD" w:rsidRPr="005B68FD" w:rsidRDefault="005B68FD" w:rsidP="005B68FD">
            <w:pPr>
              <w:jc w:val="both"/>
              <w:rPr>
                <w:rFonts w:ascii="Tahoma" w:hAnsi="Tahoma" w:cs="Tahoma"/>
                <w:sz w:val="22"/>
                <w:szCs w:val="22"/>
              </w:rPr>
            </w:pPr>
            <w:r w:rsidRPr="005B68FD">
              <w:rPr>
                <w:rFonts w:ascii="Tahoma" w:hAnsi="Tahoma" w:cs="Tahoma"/>
                <w:sz w:val="22"/>
                <w:szCs w:val="22"/>
              </w:rPr>
              <w:t>ежемесячное обслуживание Карты</w:t>
            </w:r>
          </w:p>
        </w:tc>
        <w:tc>
          <w:tcPr>
            <w:tcW w:w="8821"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14569D" w14:textId="77777777" w:rsidR="005B68FD" w:rsidRPr="005B68FD" w:rsidRDefault="005B68FD" w:rsidP="005B68FD">
            <w:pPr>
              <w:jc w:val="center"/>
              <w:rPr>
                <w:rFonts w:ascii="Tahoma" w:hAnsi="Tahoma" w:cs="Tahoma"/>
                <w:b/>
                <w:bCs/>
                <w:color w:val="000000"/>
                <w:sz w:val="22"/>
                <w:szCs w:val="22"/>
              </w:rPr>
            </w:pPr>
            <w:r w:rsidRPr="005B68FD">
              <w:rPr>
                <w:rFonts w:ascii="Tahoma" w:hAnsi="Tahoma" w:cs="Tahoma"/>
                <w:b/>
                <w:bCs/>
                <w:color w:val="000000"/>
                <w:sz w:val="22"/>
                <w:szCs w:val="22"/>
              </w:rPr>
              <w:t>БЕСПЛАТНО</w:t>
            </w:r>
          </w:p>
        </w:tc>
      </w:tr>
      <w:tr w:rsidR="005B68FD" w:rsidRPr="005B68FD" w14:paraId="3B570035" w14:textId="77777777" w:rsidTr="005B68FD">
        <w:trPr>
          <w:trHeight w:val="570"/>
        </w:trPr>
        <w:tc>
          <w:tcPr>
            <w:tcW w:w="828" w:type="dxa"/>
            <w:tcBorders>
              <w:top w:val="nil"/>
              <w:left w:val="single" w:sz="4" w:space="0" w:color="auto"/>
              <w:bottom w:val="single" w:sz="4" w:space="0" w:color="auto"/>
              <w:right w:val="single" w:sz="4" w:space="0" w:color="auto"/>
            </w:tcBorders>
            <w:shd w:val="clear" w:color="000000" w:fill="FFFFFF"/>
            <w:noWrap/>
            <w:vAlign w:val="center"/>
            <w:hideMark/>
          </w:tcPr>
          <w:p w14:paraId="36E86775"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1.3.</w:t>
            </w:r>
          </w:p>
        </w:tc>
        <w:tc>
          <w:tcPr>
            <w:tcW w:w="4987" w:type="dxa"/>
            <w:tcBorders>
              <w:top w:val="nil"/>
              <w:left w:val="nil"/>
              <w:bottom w:val="single" w:sz="4" w:space="0" w:color="auto"/>
              <w:right w:val="single" w:sz="4" w:space="0" w:color="auto"/>
            </w:tcBorders>
            <w:shd w:val="clear" w:color="auto" w:fill="auto"/>
            <w:vAlign w:val="center"/>
            <w:hideMark/>
          </w:tcPr>
          <w:p w14:paraId="0CD5B691" w14:textId="77777777" w:rsidR="005B68FD" w:rsidRPr="005B68FD" w:rsidRDefault="005B68FD" w:rsidP="005B68FD">
            <w:pPr>
              <w:jc w:val="both"/>
              <w:rPr>
                <w:rFonts w:ascii="Tahoma" w:hAnsi="Tahoma" w:cs="Tahoma"/>
                <w:sz w:val="22"/>
                <w:szCs w:val="22"/>
              </w:rPr>
            </w:pPr>
            <w:r w:rsidRPr="005B68FD">
              <w:rPr>
                <w:rFonts w:ascii="Tahoma" w:hAnsi="Tahoma" w:cs="Tahoma"/>
                <w:sz w:val="22"/>
                <w:szCs w:val="22"/>
              </w:rPr>
              <w:t>перевыпуск Карты (основной и дополнительной) по любой из причин в т.ч. плановый перевыпуск по сроку без ограничений по количеству раз</w:t>
            </w:r>
          </w:p>
        </w:tc>
        <w:tc>
          <w:tcPr>
            <w:tcW w:w="8821" w:type="dxa"/>
            <w:gridSpan w:val="2"/>
            <w:vMerge/>
            <w:tcBorders>
              <w:top w:val="nil"/>
              <w:left w:val="nil"/>
              <w:bottom w:val="single" w:sz="4" w:space="0" w:color="auto"/>
              <w:right w:val="single" w:sz="4" w:space="0" w:color="auto"/>
            </w:tcBorders>
            <w:vAlign w:val="center"/>
            <w:hideMark/>
          </w:tcPr>
          <w:p w14:paraId="7DC9A1F4" w14:textId="77777777" w:rsidR="005B68FD" w:rsidRPr="005B68FD" w:rsidRDefault="005B68FD" w:rsidP="005B68FD">
            <w:pPr>
              <w:rPr>
                <w:rFonts w:ascii="Tahoma" w:hAnsi="Tahoma" w:cs="Tahoma"/>
                <w:b/>
                <w:bCs/>
                <w:color w:val="000000"/>
                <w:sz w:val="22"/>
                <w:szCs w:val="22"/>
              </w:rPr>
            </w:pPr>
          </w:p>
        </w:tc>
      </w:tr>
      <w:tr w:rsidR="005B68FD" w:rsidRPr="005B68FD" w14:paraId="4CEBB716" w14:textId="77777777" w:rsidTr="005B68FD">
        <w:trPr>
          <w:trHeight w:val="300"/>
        </w:trPr>
        <w:tc>
          <w:tcPr>
            <w:tcW w:w="828" w:type="dxa"/>
            <w:tcBorders>
              <w:top w:val="nil"/>
              <w:left w:val="single" w:sz="4" w:space="0" w:color="auto"/>
              <w:bottom w:val="single" w:sz="4" w:space="0" w:color="auto"/>
              <w:right w:val="single" w:sz="4" w:space="0" w:color="auto"/>
            </w:tcBorders>
            <w:shd w:val="clear" w:color="000000" w:fill="FFFFFF"/>
            <w:noWrap/>
            <w:vAlign w:val="center"/>
            <w:hideMark/>
          </w:tcPr>
          <w:p w14:paraId="13AFC0C1"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1.4.</w:t>
            </w:r>
          </w:p>
        </w:tc>
        <w:tc>
          <w:tcPr>
            <w:tcW w:w="4987" w:type="dxa"/>
            <w:tcBorders>
              <w:top w:val="nil"/>
              <w:left w:val="nil"/>
              <w:bottom w:val="single" w:sz="4" w:space="0" w:color="auto"/>
              <w:right w:val="single" w:sz="4" w:space="0" w:color="auto"/>
            </w:tcBorders>
            <w:shd w:val="clear" w:color="auto" w:fill="auto"/>
            <w:vAlign w:val="center"/>
            <w:hideMark/>
          </w:tcPr>
          <w:p w14:paraId="58827B3D" w14:textId="77777777" w:rsidR="005B68FD" w:rsidRPr="005B68FD" w:rsidRDefault="005B68FD" w:rsidP="005B68FD">
            <w:pPr>
              <w:jc w:val="both"/>
              <w:rPr>
                <w:rFonts w:ascii="Tahoma" w:hAnsi="Tahoma" w:cs="Tahoma"/>
                <w:color w:val="000000"/>
                <w:sz w:val="22"/>
                <w:szCs w:val="22"/>
              </w:rPr>
            </w:pPr>
            <w:r w:rsidRPr="005B68FD">
              <w:rPr>
                <w:rFonts w:ascii="Tahoma" w:hAnsi="Tahoma" w:cs="Tahoma"/>
                <w:color w:val="000000"/>
                <w:sz w:val="22"/>
                <w:szCs w:val="22"/>
              </w:rPr>
              <w:t>вид Карты (основной и дополнительных)</w:t>
            </w:r>
          </w:p>
        </w:tc>
        <w:tc>
          <w:tcPr>
            <w:tcW w:w="8821" w:type="dxa"/>
            <w:gridSpan w:val="2"/>
            <w:tcBorders>
              <w:top w:val="single" w:sz="4" w:space="0" w:color="auto"/>
              <w:left w:val="nil"/>
              <w:bottom w:val="single" w:sz="4" w:space="0" w:color="auto"/>
              <w:right w:val="single" w:sz="4" w:space="0" w:color="auto"/>
            </w:tcBorders>
            <w:shd w:val="clear" w:color="000000" w:fill="FFFFFF"/>
            <w:noWrap/>
            <w:vAlign w:val="center"/>
            <w:hideMark/>
          </w:tcPr>
          <w:p w14:paraId="20BEA5CF" w14:textId="77777777" w:rsidR="005B68FD" w:rsidRPr="005B68FD" w:rsidRDefault="005B68FD" w:rsidP="005B68FD">
            <w:pPr>
              <w:jc w:val="center"/>
              <w:rPr>
                <w:rFonts w:ascii="Tahoma" w:hAnsi="Tahoma" w:cs="Tahoma"/>
                <w:color w:val="000000"/>
                <w:sz w:val="22"/>
                <w:szCs w:val="22"/>
              </w:rPr>
            </w:pPr>
            <w:r w:rsidRPr="005B68FD">
              <w:rPr>
                <w:rFonts w:ascii="Tahoma" w:hAnsi="Tahoma" w:cs="Tahoma"/>
                <w:color w:val="000000"/>
                <w:sz w:val="22"/>
                <w:szCs w:val="22"/>
              </w:rPr>
              <w:t>платежная расчетная (дебетовая)</w:t>
            </w:r>
          </w:p>
        </w:tc>
      </w:tr>
      <w:tr w:rsidR="005B68FD" w:rsidRPr="005B68FD" w14:paraId="249506FD" w14:textId="77777777" w:rsidTr="005B68FD">
        <w:trPr>
          <w:trHeight w:val="300"/>
        </w:trPr>
        <w:tc>
          <w:tcPr>
            <w:tcW w:w="828" w:type="dxa"/>
            <w:tcBorders>
              <w:top w:val="nil"/>
              <w:left w:val="single" w:sz="4" w:space="0" w:color="auto"/>
              <w:bottom w:val="single" w:sz="4" w:space="0" w:color="auto"/>
              <w:right w:val="single" w:sz="4" w:space="0" w:color="auto"/>
            </w:tcBorders>
            <w:shd w:val="clear" w:color="000000" w:fill="595959"/>
            <w:noWrap/>
            <w:vAlign w:val="center"/>
            <w:hideMark/>
          </w:tcPr>
          <w:p w14:paraId="09DBAC60" w14:textId="77777777" w:rsidR="005B68FD" w:rsidRPr="005B68FD" w:rsidRDefault="005B68FD" w:rsidP="005B68FD">
            <w:pPr>
              <w:jc w:val="center"/>
              <w:rPr>
                <w:rFonts w:ascii="Tahoma" w:hAnsi="Tahoma" w:cs="Tahoma"/>
                <w:b/>
                <w:bCs/>
                <w:color w:val="FFFFFF"/>
                <w:sz w:val="22"/>
                <w:szCs w:val="22"/>
              </w:rPr>
            </w:pPr>
            <w:r w:rsidRPr="005B68FD">
              <w:rPr>
                <w:rFonts w:ascii="Tahoma" w:hAnsi="Tahoma" w:cs="Tahoma"/>
                <w:b/>
                <w:bCs/>
                <w:color w:val="FFFFFF"/>
                <w:sz w:val="22"/>
                <w:szCs w:val="22"/>
              </w:rPr>
              <w:t>1.5.</w:t>
            </w:r>
          </w:p>
        </w:tc>
        <w:tc>
          <w:tcPr>
            <w:tcW w:w="4987" w:type="dxa"/>
            <w:tcBorders>
              <w:top w:val="nil"/>
              <w:left w:val="nil"/>
              <w:bottom w:val="single" w:sz="4" w:space="0" w:color="auto"/>
              <w:right w:val="single" w:sz="4" w:space="0" w:color="auto"/>
            </w:tcBorders>
            <w:shd w:val="clear" w:color="000000" w:fill="595959"/>
            <w:noWrap/>
            <w:vAlign w:val="center"/>
            <w:hideMark/>
          </w:tcPr>
          <w:p w14:paraId="4B708922" w14:textId="77777777" w:rsidR="005B68FD" w:rsidRPr="005B68FD" w:rsidRDefault="005B68FD" w:rsidP="005B68FD">
            <w:pPr>
              <w:rPr>
                <w:rFonts w:ascii="Tahoma" w:hAnsi="Tahoma" w:cs="Tahoma"/>
                <w:b/>
                <w:bCs/>
                <w:color w:val="FFFFFF"/>
                <w:sz w:val="22"/>
                <w:szCs w:val="22"/>
              </w:rPr>
            </w:pPr>
            <w:r w:rsidRPr="005B68FD">
              <w:rPr>
                <w:rFonts w:ascii="Tahoma" w:hAnsi="Tahoma" w:cs="Tahoma"/>
                <w:b/>
                <w:bCs/>
                <w:color w:val="FFFFFF"/>
                <w:sz w:val="22"/>
                <w:szCs w:val="22"/>
              </w:rPr>
              <w:t>Основная Карта</w:t>
            </w:r>
          </w:p>
        </w:tc>
        <w:tc>
          <w:tcPr>
            <w:tcW w:w="8821" w:type="dxa"/>
            <w:gridSpan w:val="2"/>
            <w:tcBorders>
              <w:top w:val="single" w:sz="4" w:space="0" w:color="auto"/>
              <w:left w:val="nil"/>
              <w:bottom w:val="single" w:sz="4" w:space="0" w:color="auto"/>
              <w:right w:val="single" w:sz="4" w:space="0" w:color="auto"/>
            </w:tcBorders>
            <w:shd w:val="clear" w:color="000000" w:fill="595959"/>
            <w:noWrap/>
            <w:vAlign w:val="center"/>
            <w:hideMark/>
          </w:tcPr>
          <w:p w14:paraId="3749C846" w14:textId="77777777" w:rsidR="005B68FD" w:rsidRPr="005B68FD" w:rsidRDefault="005B68FD" w:rsidP="005B68FD">
            <w:pPr>
              <w:jc w:val="center"/>
              <w:rPr>
                <w:rFonts w:ascii="Tahoma" w:hAnsi="Tahoma" w:cs="Tahoma"/>
                <w:b/>
                <w:bCs/>
                <w:color w:val="FFFFFF"/>
                <w:sz w:val="22"/>
                <w:szCs w:val="22"/>
              </w:rPr>
            </w:pPr>
            <w:r w:rsidRPr="005B68FD">
              <w:rPr>
                <w:rFonts w:ascii="Tahoma" w:hAnsi="Tahoma" w:cs="Tahoma"/>
                <w:b/>
                <w:bCs/>
                <w:color w:val="FFFFFF"/>
                <w:sz w:val="22"/>
                <w:szCs w:val="22"/>
              </w:rPr>
              <w:t> </w:t>
            </w:r>
          </w:p>
        </w:tc>
      </w:tr>
      <w:tr w:rsidR="005B68FD" w:rsidRPr="005B68FD" w14:paraId="1E84200A" w14:textId="77777777" w:rsidTr="005B68FD">
        <w:trPr>
          <w:trHeight w:val="300"/>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0439DE6C"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1.5.1.</w:t>
            </w:r>
          </w:p>
        </w:tc>
        <w:tc>
          <w:tcPr>
            <w:tcW w:w="4987" w:type="dxa"/>
            <w:tcBorders>
              <w:top w:val="nil"/>
              <w:left w:val="nil"/>
              <w:bottom w:val="single" w:sz="4" w:space="0" w:color="auto"/>
              <w:right w:val="single" w:sz="4" w:space="0" w:color="auto"/>
            </w:tcBorders>
            <w:shd w:val="clear" w:color="000000" w:fill="FFFFFF"/>
            <w:vAlign w:val="center"/>
            <w:hideMark/>
          </w:tcPr>
          <w:p w14:paraId="3B1685CA" w14:textId="77777777" w:rsidR="005B68FD" w:rsidRPr="005B68FD" w:rsidRDefault="005B68FD" w:rsidP="005B68FD">
            <w:pPr>
              <w:rPr>
                <w:rFonts w:ascii="Tahoma" w:hAnsi="Tahoma" w:cs="Tahoma"/>
                <w:sz w:val="22"/>
                <w:szCs w:val="22"/>
              </w:rPr>
            </w:pPr>
            <w:r w:rsidRPr="005B68FD">
              <w:rPr>
                <w:rFonts w:ascii="Tahoma" w:hAnsi="Tahoma" w:cs="Tahoma"/>
                <w:sz w:val="22"/>
                <w:szCs w:val="22"/>
              </w:rPr>
              <w:t>выпуск основной Карты</w:t>
            </w:r>
          </w:p>
        </w:tc>
        <w:tc>
          <w:tcPr>
            <w:tcW w:w="8821"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1764D5" w14:textId="77777777" w:rsidR="005B68FD" w:rsidRPr="005B68FD" w:rsidRDefault="005B68FD" w:rsidP="005B68FD">
            <w:pPr>
              <w:jc w:val="center"/>
              <w:rPr>
                <w:rFonts w:ascii="Tahoma" w:hAnsi="Tahoma" w:cs="Tahoma"/>
                <w:b/>
                <w:bCs/>
                <w:color w:val="000000"/>
                <w:sz w:val="22"/>
                <w:szCs w:val="22"/>
              </w:rPr>
            </w:pPr>
            <w:r w:rsidRPr="005B68FD">
              <w:rPr>
                <w:rFonts w:ascii="Tahoma" w:hAnsi="Tahoma" w:cs="Tahoma"/>
                <w:b/>
                <w:bCs/>
                <w:color w:val="000000"/>
                <w:sz w:val="22"/>
                <w:szCs w:val="22"/>
              </w:rPr>
              <w:t>БЕСПЛАТНО</w:t>
            </w:r>
          </w:p>
        </w:tc>
      </w:tr>
      <w:tr w:rsidR="005B68FD" w:rsidRPr="005B68FD" w14:paraId="0E7EFC13" w14:textId="77777777" w:rsidTr="005B68FD">
        <w:trPr>
          <w:trHeight w:val="315"/>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4DCDDF3F"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1.5.2.</w:t>
            </w:r>
          </w:p>
        </w:tc>
        <w:tc>
          <w:tcPr>
            <w:tcW w:w="4987" w:type="dxa"/>
            <w:tcBorders>
              <w:top w:val="nil"/>
              <w:left w:val="nil"/>
              <w:bottom w:val="single" w:sz="4" w:space="0" w:color="auto"/>
              <w:right w:val="single" w:sz="4" w:space="0" w:color="auto"/>
            </w:tcBorders>
            <w:shd w:val="clear" w:color="auto" w:fill="auto"/>
            <w:vAlign w:val="center"/>
            <w:hideMark/>
          </w:tcPr>
          <w:p w14:paraId="6DFA55E4" w14:textId="77777777" w:rsidR="005B68FD" w:rsidRPr="005B68FD" w:rsidRDefault="005B68FD" w:rsidP="005B68FD">
            <w:pPr>
              <w:rPr>
                <w:rFonts w:ascii="Tahoma" w:hAnsi="Tahoma" w:cs="Tahoma"/>
                <w:sz w:val="22"/>
                <w:szCs w:val="22"/>
              </w:rPr>
            </w:pPr>
            <w:r w:rsidRPr="005B68FD">
              <w:rPr>
                <w:rFonts w:ascii="Tahoma" w:hAnsi="Tahoma" w:cs="Tahoma"/>
                <w:sz w:val="22"/>
                <w:szCs w:val="22"/>
              </w:rPr>
              <w:t>открытие Счета Карты</w:t>
            </w:r>
            <w:r w:rsidRPr="005B68FD">
              <w:rPr>
                <w:rFonts w:ascii="Tahoma" w:hAnsi="Tahoma" w:cs="Tahoma"/>
                <w:sz w:val="22"/>
                <w:szCs w:val="22"/>
                <w:vertAlign w:val="superscript"/>
              </w:rPr>
              <w:t>3</w:t>
            </w:r>
            <w:r w:rsidRPr="005B68FD">
              <w:rPr>
                <w:rFonts w:ascii="Tahoma" w:hAnsi="Tahoma" w:cs="Tahoma"/>
                <w:sz w:val="22"/>
                <w:szCs w:val="22"/>
              </w:rPr>
              <w:t xml:space="preserve"> </w:t>
            </w:r>
          </w:p>
        </w:tc>
        <w:tc>
          <w:tcPr>
            <w:tcW w:w="8821" w:type="dxa"/>
            <w:gridSpan w:val="2"/>
            <w:vMerge/>
            <w:tcBorders>
              <w:top w:val="nil"/>
              <w:left w:val="nil"/>
              <w:bottom w:val="single" w:sz="4" w:space="0" w:color="auto"/>
              <w:right w:val="single" w:sz="4" w:space="0" w:color="auto"/>
            </w:tcBorders>
            <w:vAlign w:val="center"/>
            <w:hideMark/>
          </w:tcPr>
          <w:p w14:paraId="37BDFC25" w14:textId="77777777" w:rsidR="005B68FD" w:rsidRPr="005B68FD" w:rsidRDefault="005B68FD" w:rsidP="005B68FD">
            <w:pPr>
              <w:rPr>
                <w:rFonts w:ascii="Tahoma" w:hAnsi="Tahoma" w:cs="Tahoma"/>
                <w:b/>
                <w:bCs/>
                <w:color w:val="000000"/>
                <w:sz w:val="22"/>
                <w:szCs w:val="22"/>
              </w:rPr>
            </w:pPr>
          </w:p>
        </w:tc>
      </w:tr>
      <w:tr w:rsidR="005B68FD" w:rsidRPr="005B68FD" w14:paraId="0287D731" w14:textId="77777777" w:rsidTr="005B68FD">
        <w:trPr>
          <w:trHeight w:val="300"/>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38991635"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1.5.3.</w:t>
            </w:r>
          </w:p>
        </w:tc>
        <w:tc>
          <w:tcPr>
            <w:tcW w:w="4987" w:type="dxa"/>
            <w:tcBorders>
              <w:top w:val="nil"/>
              <w:left w:val="nil"/>
              <w:bottom w:val="single" w:sz="4" w:space="0" w:color="auto"/>
              <w:right w:val="single" w:sz="4" w:space="0" w:color="auto"/>
            </w:tcBorders>
            <w:shd w:val="clear" w:color="auto" w:fill="auto"/>
            <w:vAlign w:val="center"/>
            <w:hideMark/>
          </w:tcPr>
          <w:p w14:paraId="63F5B6A9" w14:textId="77777777" w:rsidR="005B68FD" w:rsidRPr="005B68FD" w:rsidRDefault="005B68FD" w:rsidP="005B68FD">
            <w:pPr>
              <w:rPr>
                <w:rFonts w:ascii="Tahoma" w:hAnsi="Tahoma" w:cs="Tahoma"/>
                <w:sz w:val="22"/>
                <w:szCs w:val="22"/>
              </w:rPr>
            </w:pPr>
            <w:r w:rsidRPr="005B68FD">
              <w:rPr>
                <w:rFonts w:ascii="Tahoma" w:hAnsi="Tahoma" w:cs="Tahoma"/>
                <w:sz w:val="22"/>
                <w:szCs w:val="22"/>
              </w:rPr>
              <w:t>срок действия основной Карты</w:t>
            </w:r>
          </w:p>
        </w:tc>
        <w:tc>
          <w:tcPr>
            <w:tcW w:w="4410" w:type="dxa"/>
            <w:tcBorders>
              <w:top w:val="nil"/>
              <w:left w:val="nil"/>
              <w:bottom w:val="single" w:sz="4" w:space="0" w:color="auto"/>
              <w:right w:val="single" w:sz="4" w:space="0" w:color="auto"/>
            </w:tcBorders>
            <w:shd w:val="clear" w:color="000000" w:fill="FFFFFF"/>
            <w:noWrap/>
            <w:vAlign w:val="center"/>
            <w:hideMark/>
          </w:tcPr>
          <w:p w14:paraId="646D4F34" w14:textId="77777777" w:rsidR="005B68FD" w:rsidRPr="005B68FD" w:rsidRDefault="005B68FD" w:rsidP="005B68FD">
            <w:pPr>
              <w:jc w:val="center"/>
              <w:rPr>
                <w:rFonts w:ascii="Tahoma" w:hAnsi="Tahoma" w:cs="Tahoma"/>
                <w:color w:val="000000"/>
                <w:sz w:val="22"/>
                <w:szCs w:val="22"/>
              </w:rPr>
            </w:pPr>
            <w:r w:rsidRPr="005B68FD">
              <w:rPr>
                <w:rFonts w:ascii="Tahoma" w:hAnsi="Tahoma" w:cs="Tahoma"/>
                <w:color w:val="000000"/>
                <w:sz w:val="22"/>
                <w:szCs w:val="22"/>
              </w:rPr>
              <w:t>6 лет</w:t>
            </w:r>
          </w:p>
        </w:tc>
        <w:tc>
          <w:tcPr>
            <w:tcW w:w="4411" w:type="dxa"/>
            <w:tcBorders>
              <w:top w:val="nil"/>
              <w:left w:val="nil"/>
              <w:bottom w:val="single" w:sz="4" w:space="0" w:color="auto"/>
              <w:right w:val="single" w:sz="4" w:space="0" w:color="auto"/>
            </w:tcBorders>
            <w:shd w:val="clear" w:color="000000" w:fill="FFFFFF"/>
            <w:noWrap/>
            <w:vAlign w:val="center"/>
            <w:hideMark/>
          </w:tcPr>
          <w:p w14:paraId="5084679D" w14:textId="77777777" w:rsidR="005B68FD" w:rsidRPr="005B68FD" w:rsidRDefault="005B68FD" w:rsidP="005B68FD">
            <w:pPr>
              <w:jc w:val="center"/>
              <w:rPr>
                <w:rFonts w:ascii="Tahoma" w:hAnsi="Tahoma" w:cs="Tahoma"/>
                <w:color w:val="000000"/>
                <w:sz w:val="22"/>
                <w:szCs w:val="22"/>
              </w:rPr>
            </w:pPr>
            <w:r w:rsidRPr="005B68FD">
              <w:rPr>
                <w:rFonts w:ascii="Tahoma" w:hAnsi="Tahoma" w:cs="Tahoma"/>
                <w:color w:val="000000"/>
                <w:sz w:val="22"/>
                <w:szCs w:val="22"/>
              </w:rPr>
              <w:t>3 года</w:t>
            </w:r>
          </w:p>
        </w:tc>
      </w:tr>
      <w:tr w:rsidR="005B68FD" w:rsidRPr="005B68FD" w14:paraId="75BE9C98" w14:textId="77777777" w:rsidTr="005B68FD">
        <w:trPr>
          <w:trHeight w:val="300"/>
        </w:trPr>
        <w:tc>
          <w:tcPr>
            <w:tcW w:w="828" w:type="dxa"/>
            <w:tcBorders>
              <w:top w:val="nil"/>
              <w:left w:val="single" w:sz="4" w:space="0" w:color="auto"/>
              <w:bottom w:val="single" w:sz="4" w:space="0" w:color="auto"/>
              <w:right w:val="single" w:sz="4" w:space="0" w:color="auto"/>
            </w:tcBorders>
            <w:shd w:val="clear" w:color="000000" w:fill="595959"/>
            <w:noWrap/>
            <w:vAlign w:val="center"/>
            <w:hideMark/>
          </w:tcPr>
          <w:p w14:paraId="30572E85" w14:textId="77777777" w:rsidR="005B68FD" w:rsidRPr="005B68FD" w:rsidRDefault="005B68FD" w:rsidP="005B68FD">
            <w:pPr>
              <w:jc w:val="center"/>
              <w:rPr>
                <w:rFonts w:ascii="Tahoma" w:hAnsi="Tahoma" w:cs="Tahoma"/>
                <w:b/>
                <w:bCs/>
                <w:color w:val="FFFFFF"/>
                <w:sz w:val="22"/>
                <w:szCs w:val="22"/>
              </w:rPr>
            </w:pPr>
            <w:r w:rsidRPr="005B68FD">
              <w:rPr>
                <w:rFonts w:ascii="Tahoma" w:hAnsi="Tahoma" w:cs="Tahoma"/>
                <w:b/>
                <w:bCs/>
                <w:color w:val="FFFFFF"/>
                <w:sz w:val="22"/>
                <w:szCs w:val="22"/>
              </w:rPr>
              <w:t>1.6.</w:t>
            </w:r>
          </w:p>
        </w:tc>
        <w:tc>
          <w:tcPr>
            <w:tcW w:w="13808" w:type="dxa"/>
            <w:gridSpan w:val="3"/>
            <w:tcBorders>
              <w:top w:val="single" w:sz="4" w:space="0" w:color="auto"/>
              <w:left w:val="nil"/>
              <w:bottom w:val="single" w:sz="4" w:space="0" w:color="auto"/>
              <w:right w:val="single" w:sz="4" w:space="0" w:color="auto"/>
            </w:tcBorders>
            <w:shd w:val="clear" w:color="000000" w:fill="595959"/>
            <w:noWrap/>
            <w:vAlign w:val="center"/>
            <w:hideMark/>
          </w:tcPr>
          <w:p w14:paraId="1BA0753E" w14:textId="77777777" w:rsidR="005B68FD" w:rsidRPr="005B68FD" w:rsidRDefault="005B68FD" w:rsidP="005B68FD">
            <w:pPr>
              <w:rPr>
                <w:rFonts w:ascii="Tahoma" w:hAnsi="Tahoma" w:cs="Tahoma"/>
                <w:b/>
                <w:bCs/>
                <w:color w:val="FFFFFF"/>
                <w:sz w:val="22"/>
                <w:szCs w:val="22"/>
              </w:rPr>
            </w:pPr>
            <w:r w:rsidRPr="005B68FD">
              <w:rPr>
                <w:rFonts w:ascii="Tahoma" w:hAnsi="Tahoma" w:cs="Tahoma"/>
                <w:b/>
                <w:bCs/>
                <w:color w:val="FFFFFF"/>
                <w:sz w:val="22"/>
                <w:szCs w:val="22"/>
              </w:rPr>
              <w:t>Дополнительная Карта</w:t>
            </w:r>
          </w:p>
        </w:tc>
      </w:tr>
      <w:tr w:rsidR="005B68FD" w:rsidRPr="005B68FD" w14:paraId="6E65B657" w14:textId="77777777" w:rsidTr="005B68FD">
        <w:trPr>
          <w:trHeight w:val="300"/>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2C8A6197"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1.6.1.</w:t>
            </w:r>
          </w:p>
        </w:tc>
        <w:tc>
          <w:tcPr>
            <w:tcW w:w="4987" w:type="dxa"/>
            <w:tcBorders>
              <w:top w:val="nil"/>
              <w:left w:val="nil"/>
              <w:bottom w:val="single" w:sz="4" w:space="0" w:color="auto"/>
              <w:right w:val="single" w:sz="4" w:space="0" w:color="auto"/>
            </w:tcBorders>
            <w:shd w:val="clear" w:color="000000" w:fill="FFFFFF"/>
            <w:vAlign w:val="center"/>
            <w:hideMark/>
          </w:tcPr>
          <w:p w14:paraId="53CEA6C3" w14:textId="77777777" w:rsidR="005B68FD" w:rsidRPr="005B68FD" w:rsidRDefault="005B68FD" w:rsidP="005B68FD">
            <w:pPr>
              <w:jc w:val="both"/>
              <w:rPr>
                <w:rFonts w:ascii="Tahoma" w:hAnsi="Tahoma" w:cs="Tahoma"/>
                <w:sz w:val="22"/>
                <w:szCs w:val="22"/>
              </w:rPr>
            </w:pPr>
            <w:r w:rsidRPr="005B68FD">
              <w:rPr>
                <w:rFonts w:ascii="Tahoma" w:hAnsi="Tahoma" w:cs="Tahoma"/>
                <w:sz w:val="22"/>
                <w:szCs w:val="22"/>
              </w:rPr>
              <w:t>тип дополнительной Карты</w:t>
            </w:r>
          </w:p>
        </w:tc>
        <w:tc>
          <w:tcPr>
            <w:tcW w:w="8821" w:type="dxa"/>
            <w:gridSpan w:val="2"/>
            <w:tcBorders>
              <w:top w:val="single" w:sz="4" w:space="0" w:color="auto"/>
              <w:left w:val="nil"/>
              <w:bottom w:val="single" w:sz="4" w:space="0" w:color="auto"/>
              <w:right w:val="single" w:sz="4" w:space="0" w:color="auto"/>
            </w:tcBorders>
            <w:shd w:val="clear" w:color="000000" w:fill="FFFFFF"/>
            <w:vAlign w:val="center"/>
            <w:hideMark/>
          </w:tcPr>
          <w:p w14:paraId="39E05690" w14:textId="77777777" w:rsidR="005B68FD" w:rsidRPr="005B68FD" w:rsidRDefault="005B68FD" w:rsidP="005B68FD">
            <w:pPr>
              <w:jc w:val="center"/>
              <w:rPr>
                <w:rFonts w:ascii="Tahoma" w:hAnsi="Tahoma" w:cs="Tahoma"/>
                <w:b/>
                <w:bCs/>
                <w:sz w:val="22"/>
                <w:szCs w:val="22"/>
              </w:rPr>
            </w:pPr>
            <w:r w:rsidRPr="005B68FD">
              <w:rPr>
                <w:rFonts w:ascii="Tahoma" w:hAnsi="Tahoma" w:cs="Tahoma"/>
                <w:b/>
                <w:bCs/>
                <w:sz w:val="22"/>
                <w:szCs w:val="22"/>
              </w:rPr>
              <w:t xml:space="preserve"> Мир</w:t>
            </w:r>
          </w:p>
        </w:tc>
      </w:tr>
      <w:tr w:rsidR="005B68FD" w:rsidRPr="005B68FD" w14:paraId="4BF8C981" w14:textId="77777777" w:rsidTr="005B68FD">
        <w:trPr>
          <w:trHeight w:val="300"/>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4F111440"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1.6.2.</w:t>
            </w:r>
          </w:p>
        </w:tc>
        <w:tc>
          <w:tcPr>
            <w:tcW w:w="4987" w:type="dxa"/>
            <w:tcBorders>
              <w:top w:val="nil"/>
              <w:left w:val="nil"/>
              <w:bottom w:val="single" w:sz="4" w:space="0" w:color="auto"/>
              <w:right w:val="single" w:sz="4" w:space="0" w:color="auto"/>
            </w:tcBorders>
            <w:shd w:val="clear" w:color="000000" w:fill="FFFFFF"/>
            <w:vAlign w:val="center"/>
            <w:hideMark/>
          </w:tcPr>
          <w:p w14:paraId="5D42C3C6" w14:textId="77777777" w:rsidR="005B68FD" w:rsidRPr="005B68FD" w:rsidRDefault="005B68FD" w:rsidP="005B68FD">
            <w:pPr>
              <w:jc w:val="both"/>
              <w:rPr>
                <w:rFonts w:ascii="Tahoma" w:hAnsi="Tahoma" w:cs="Tahoma"/>
                <w:sz w:val="22"/>
                <w:szCs w:val="22"/>
              </w:rPr>
            </w:pPr>
            <w:r w:rsidRPr="005B68FD">
              <w:rPr>
                <w:rFonts w:ascii="Tahoma" w:hAnsi="Tahoma" w:cs="Tahoma"/>
                <w:sz w:val="22"/>
                <w:szCs w:val="22"/>
              </w:rPr>
              <w:t>выпуск дополнительной Карты</w:t>
            </w:r>
          </w:p>
        </w:tc>
        <w:tc>
          <w:tcPr>
            <w:tcW w:w="8821"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5D6BAD" w14:textId="77777777" w:rsidR="005B68FD" w:rsidRPr="005B68FD" w:rsidRDefault="005B68FD" w:rsidP="005B68FD">
            <w:pPr>
              <w:jc w:val="center"/>
              <w:rPr>
                <w:rFonts w:ascii="Tahoma" w:hAnsi="Tahoma" w:cs="Tahoma"/>
                <w:b/>
                <w:bCs/>
                <w:color w:val="000000"/>
                <w:sz w:val="22"/>
                <w:szCs w:val="22"/>
              </w:rPr>
            </w:pPr>
            <w:r w:rsidRPr="005B68FD">
              <w:rPr>
                <w:rFonts w:ascii="Tahoma" w:hAnsi="Tahoma" w:cs="Tahoma"/>
                <w:b/>
                <w:bCs/>
                <w:color w:val="000000"/>
                <w:sz w:val="22"/>
                <w:szCs w:val="22"/>
              </w:rPr>
              <w:t>БЕСПЛАТНО</w:t>
            </w:r>
          </w:p>
        </w:tc>
      </w:tr>
      <w:tr w:rsidR="005B68FD" w:rsidRPr="005B68FD" w14:paraId="1F4F85C4" w14:textId="77777777" w:rsidTr="005B68FD">
        <w:trPr>
          <w:trHeight w:val="300"/>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225724CB"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1.6.3.</w:t>
            </w:r>
          </w:p>
        </w:tc>
        <w:tc>
          <w:tcPr>
            <w:tcW w:w="4987" w:type="dxa"/>
            <w:tcBorders>
              <w:top w:val="nil"/>
              <w:left w:val="nil"/>
              <w:bottom w:val="single" w:sz="4" w:space="0" w:color="auto"/>
              <w:right w:val="single" w:sz="4" w:space="0" w:color="auto"/>
            </w:tcBorders>
            <w:shd w:val="clear" w:color="000000" w:fill="FFFFFF"/>
            <w:vAlign w:val="center"/>
            <w:hideMark/>
          </w:tcPr>
          <w:p w14:paraId="042B4BCD" w14:textId="77777777" w:rsidR="005B68FD" w:rsidRPr="005B68FD" w:rsidRDefault="005B68FD" w:rsidP="005B68FD">
            <w:pPr>
              <w:jc w:val="both"/>
              <w:rPr>
                <w:rFonts w:ascii="Tahoma" w:hAnsi="Tahoma" w:cs="Tahoma"/>
                <w:sz w:val="22"/>
                <w:szCs w:val="22"/>
              </w:rPr>
            </w:pPr>
            <w:r w:rsidRPr="005B68FD">
              <w:rPr>
                <w:rFonts w:ascii="Tahoma" w:hAnsi="Tahoma" w:cs="Tahoma"/>
                <w:sz w:val="22"/>
                <w:szCs w:val="22"/>
              </w:rPr>
              <w:t>ежемесячное обслуживание дополнительной Карты</w:t>
            </w:r>
          </w:p>
        </w:tc>
        <w:tc>
          <w:tcPr>
            <w:tcW w:w="8821" w:type="dxa"/>
            <w:gridSpan w:val="2"/>
            <w:vMerge/>
            <w:tcBorders>
              <w:top w:val="nil"/>
              <w:left w:val="nil"/>
              <w:bottom w:val="single" w:sz="4" w:space="0" w:color="auto"/>
              <w:right w:val="single" w:sz="4" w:space="0" w:color="auto"/>
            </w:tcBorders>
            <w:vAlign w:val="center"/>
            <w:hideMark/>
          </w:tcPr>
          <w:p w14:paraId="0C07B8F7" w14:textId="77777777" w:rsidR="005B68FD" w:rsidRPr="005B68FD" w:rsidRDefault="005B68FD" w:rsidP="005B68FD">
            <w:pPr>
              <w:rPr>
                <w:rFonts w:ascii="Tahoma" w:hAnsi="Tahoma" w:cs="Tahoma"/>
                <w:b/>
                <w:bCs/>
                <w:color w:val="000000"/>
                <w:sz w:val="22"/>
                <w:szCs w:val="22"/>
              </w:rPr>
            </w:pPr>
          </w:p>
        </w:tc>
      </w:tr>
      <w:tr w:rsidR="005B68FD" w:rsidRPr="005B68FD" w14:paraId="68DC8B79" w14:textId="77777777" w:rsidTr="005B68FD">
        <w:trPr>
          <w:trHeight w:val="570"/>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48CB8638"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1.6.4.</w:t>
            </w:r>
          </w:p>
        </w:tc>
        <w:tc>
          <w:tcPr>
            <w:tcW w:w="4987" w:type="dxa"/>
            <w:tcBorders>
              <w:top w:val="nil"/>
              <w:left w:val="nil"/>
              <w:bottom w:val="single" w:sz="4" w:space="0" w:color="auto"/>
              <w:right w:val="single" w:sz="4" w:space="0" w:color="auto"/>
            </w:tcBorders>
            <w:shd w:val="clear" w:color="auto" w:fill="auto"/>
            <w:vAlign w:val="center"/>
            <w:hideMark/>
          </w:tcPr>
          <w:p w14:paraId="42E90044" w14:textId="77777777" w:rsidR="005B68FD" w:rsidRPr="005B68FD" w:rsidRDefault="005B68FD" w:rsidP="005B68FD">
            <w:pPr>
              <w:jc w:val="both"/>
              <w:rPr>
                <w:rFonts w:ascii="Tahoma" w:hAnsi="Tahoma" w:cs="Tahoma"/>
                <w:sz w:val="22"/>
                <w:szCs w:val="22"/>
              </w:rPr>
            </w:pPr>
            <w:r w:rsidRPr="005B68FD">
              <w:rPr>
                <w:rFonts w:ascii="Tahoma" w:hAnsi="Tahoma" w:cs="Tahoma"/>
                <w:sz w:val="22"/>
                <w:szCs w:val="22"/>
              </w:rPr>
              <w:t xml:space="preserve">количество возможных дополнительных Карт, выпущенных к одному Счету </w:t>
            </w:r>
          </w:p>
        </w:tc>
        <w:tc>
          <w:tcPr>
            <w:tcW w:w="8821" w:type="dxa"/>
            <w:gridSpan w:val="2"/>
            <w:tcBorders>
              <w:top w:val="single" w:sz="4" w:space="0" w:color="auto"/>
              <w:left w:val="nil"/>
              <w:bottom w:val="single" w:sz="4" w:space="0" w:color="auto"/>
              <w:right w:val="single" w:sz="4" w:space="0" w:color="auto"/>
            </w:tcBorders>
            <w:shd w:val="clear" w:color="auto" w:fill="auto"/>
            <w:noWrap/>
            <w:vAlign w:val="center"/>
            <w:hideMark/>
          </w:tcPr>
          <w:p w14:paraId="7FBBF615"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не более 3 шт.</w:t>
            </w:r>
          </w:p>
        </w:tc>
      </w:tr>
      <w:tr w:rsidR="005B68FD" w:rsidRPr="005B68FD" w14:paraId="79E8C281" w14:textId="77777777" w:rsidTr="005B68FD">
        <w:trPr>
          <w:trHeight w:val="300"/>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6FDF86EF"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1.6.5.</w:t>
            </w:r>
          </w:p>
        </w:tc>
        <w:tc>
          <w:tcPr>
            <w:tcW w:w="4987" w:type="dxa"/>
            <w:tcBorders>
              <w:top w:val="nil"/>
              <w:left w:val="nil"/>
              <w:bottom w:val="single" w:sz="4" w:space="0" w:color="auto"/>
              <w:right w:val="single" w:sz="4" w:space="0" w:color="auto"/>
            </w:tcBorders>
            <w:shd w:val="clear" w:color="000000" w:fill="FFFFFF"/>
            <w:vAlign w:val="center"/>
            <w:hideMark/>
          </w:tcPr>
          <w:p w14:paraId="6D4860D4" w14:textId="77777777" w:rsidR="005B68FD" w:rsidRPr="005B68FD" w:rsidRDefault="005B68FD" w:rsidP="005B68FD">
            <w:pPr>
              <w:jc w:val="both"/>
              <w:rPr>
                <w:rFonts w:ascii="Tahoma" w:hAnsi="Tahoma" w:cs="Tahoma"/>
                <w:sz w:val="22"/>
                <w:szCs w:val="22"/>
              </w:rPr>
            </w:pPr>
            <w:r w:rsidRPr="005B68FD">
              <w:rPr>
                <w:rFonts w:ascii="Tahoma" w:hAnsi="Tahoma" w:cs="Tahoma"/>
                <w:sz w:val="22"/>
                <w:szCs w:val="22"/>
              </w:rPr>
              <w:t xml:space="preserve">срок действия дополнительной Карты </w:t>
            </w:r>
          </w:p>
        </w:tc>
        <w:tc>
          <w:tcPr>
            <w:tcW w:w="8821" w:type="dxa"/>
            <w:gridSpan w:val="2"/>
            <w:tcBorders>
              <w:top w:val="single" w:sz="4" w:space="0" w:color="auto"/>
              <w:left w:val="nil"/>
              <w:bottom w:val="single" w:sz="4" w:space="0" w:color="auto"/>
              <w:right w:val="single" w:sz="4" w:space="0" w:color="auto"/>
            </w:tcBorders>
            <w:shd w:val="clear" w:color="000000" w:fill="FFFFFF"/>
            <w:noWrap/>
            <w:vAlign w:val="center"/>
            <w:hideMark/>
          </w:tcPr>
          <w:p w14:paraId="0CB79556" w14:textId="77777777" w:rsidR="005B68FD" w:rsidRPr="005B68FD" w:rsidRDefault="005B68FD" w:rsidP="005B68FD">
            <w:pPr>
              <w:jc w:val="center"/>
              <w:rPr>
                <w:rFonts w:ascii="Tahoma" w:hAnsi="Tahoma" w:cs="Tahoma"/>
                <w:color w:val="000000"/>
                <w:sz w:val="22"/>
                <w:szCs w:val="22"/>
              </w:rPr>
            </w:pPr>
            <w:r w:rsidRPr="005B68FD">
              <w:rPr>
                <w:rFonts w:ascii="Tahoma" w:hAnsi="Tahoma" w:cs="Tahoma"/>
                <w:color w:val="000000"/>
                <w:sz w:val="22"/>
                <w:szCs w:val="22"/>
              </w:rPr>
              <w:t>6 лет</w:t>
            </w:r>
          </w:p>
        </w:tc>
      </w:tr>
      <w:tr w:rsidR="005B68FD" w:rsidRPr="005B68FD" w14:paraId="6EDB6F35" w14:textId="77777777" w:rsidTr="005B68FD">
        <w:trPr>
          <w:trHeight w:val="315"/>
        </w:trPr>
        <w:tc>
          <w:tcPr>
            <w:tcW w:w="828" w:type="dxa"/>
            <w:tcBorders>
              <w:top w:val="nil"/>
              <w:left w:val="single" w:sz="4" w:space="0" w:color="auto"/>
              <w:bottom w:val="single" w:sz="4" w:space="0" w:color="auto"/>
              <w:right w:val="single" w:sz="4" w:space="0" w:color="auto"/>
            </w:tcBorders>
            <w:shd w:val="clear" w:color="000000" w:fill="595959"/>
            <w:noWrap/>
            <w:vAlign w:val="center"/>
            <w:hideMark/>
          </w:tcPr>
          <w:p w14:paraId="717ACCE4" w14:textId="77777777" w:rsidR="005B68FD" w:rsidRPr="005B68FD" w:rsidRDefault="005B68FD" w:rsidP="005B68FD">
            <w:pPr>
              <w:jc w:val="center"/>
              <w:rPr>
                <w:rFonts w:ascii="Tahoma" w:hAnsi="Tahoma" w:cs="Tahoma"/>
                <w:b/>
                <w:bCs/>
                <w:color w:val="FFFFFF"/>
                <w:sz w:val="22"/>
                <w:szCs w:val="22"/>
              </w:rPr>
            </w:pPr>
            <w:r w:rsidRPr="005B68FD">
              <w:rPr>
                <w:rFonts w:ascii="Tahoma" w:hAnsi="Tahoma" w:cs="Tahoma"/>
                <w:b/>
                <w:bCs/>
                <w:color w:val="FFFFFF"/>
                <w:sz w:val="22"/>
                <w:szCs w:val="22"/>
              </w:rPr>
              <w:t>2.</w:t>
            </w:r>
          </w:p>
        </w:tc>
        <w:tc>
          <w:tcPr>
            <w:tcW w:w="13808" w:type="dxa"/>
            <w:gridSpan w:val="3"/>
            <w:tcBorders>
              <w:top w:val="single" w:sz="4" w:space="0" w:color="auto"/>
              <w:left w:val="nil"/>
              <w:bottom w:val="single" w:sz="4" w:space="0" w:color="auto"/>
              <w:right w:val="single" w:sz="4" w:space="0" w:color="auto"/>
            </w:tcBorders>
            <w:shd w:val="clear" w:color="000000" w:fill="595959"/>
            <w:noWrap/>
            <w:vAlign w:val="center"/>
            <w:hideMark/>
          </w:tcPr>
          <w:p w14:paraId="0F1334C0" w14:textId="77777777" w:rsidR="005B68FD" w:rsidRPr="005B68FD" w:rsidRDefault="005B68FD" w:rsidP="005B68FD">
            <w:pPr>
              <w:rPr>
                <w:rFonts w:ascii="Tahoma" w:hAnsi="Tahoma" w:cs="Tahoma"/>
                <w:b/>
                <w:bCs/>
                <w:color w:val="FFFFFF"/>
                <w:sz w:val="22"/>
                <w:szCs w:val="22"/>
              </w:rPr>
            </w:pPr>
            <w:r w:rsidRPr="005B68FD">
              <w:rPr>
                <w:rFonts w:ascii="Tahoma" w:hAnsi="Tahoma" w:cs="Tahoma"/>
                <w:b/>
                <w:bCs/>
                <w:color w:val="FFFFFF"/>
                <w:sz w:val="22"/>
                <w:szCs w:val="22"/>
              </w:rPr>
              <w:t>Начисление процентов Банком</w:t>
            </w:r>
            <w:r w:rsidRPr="005B68FD">
              <w:rPr>
                <w:rFonts w:ascii="Tahoma" w:hAnsi="Tahoma" w:cs="Tahoma"/>
                <w:b/>
                <w:bCs/>
                <w:color w:val="FFFFFF"/>
                <w:sz w:val="22"/>
                <w:szCs w:val="22"/>
                <w:vertAlign w:val="superscript"/>
              </w:rPr>
              <w:t>4</w:t>
            </w:r>
            <w:r w:rsidRPr="005B68FD">
              <w:rPr>
                <w:rFonts w:ascii="Tahoma" w:hAnsi="Tahoma" w:cs="Tahoma"/>
                <w:b/>
                <w:bCs/>
                <w:color w:val="FFFFFF"/>
                <w:sz w:val="22"/>
                <w:szCs w:val="22"/>
              </w:rPr>
              <w:t xml:space="preserve"> Клиенту на остаток денежных средств на Счете Карты</w:t>
            </w:r>
            <w:r w:rsidRPr="005B68FD">
              <w:rPr>
                <w:rFonts w:ascii="Tahoma" w:hAnsi="Tahoma" w:cs="Tahoma"/>
                <w:b/>
                <w:bCs/>
                <w:color w:val="FFFFFF"/>
                <w:sz w:val="22"/>
                <w:szCs w:val="22"/>
                <w:vertAlign w:val="superscript"/>
              </w:rPr>
              <w:t>3</w:t>
            </w:r>
            <w:r w:rsidRPr="005B68FD">
              <w:rPr>
                <w:rFonts w:ascii="Tahoma" w:hAnsi="Tahoma" w:cs="Tahoma"/>
                <w:b/>
                <w:bCs/>
                <w:color w:val="FFFFFF"/>
                <w:sz w:val="22"/>
                <w:szCs w:val="22"/>
              </w:rPr>
              <w:t xml:space="preserve"> в Периоде</w:t>
            </w:r>
            <w:r w:rsidRPr="005B68FD">
              <w:rPr>
                <w:rFonts w:ascii="Tahoma" w:hAnsi="Tahoma" w:cs="Tahoma"/>
                <w:b/>
                <w:bCs/>
                <w:color w:val="FFFFFF"/>
                <w:sz w:val="22"/>
                <w:szCs w:val="22"/>
                <w:vertAlign w:val="superscript"/>
              </w:rPr>
              <w:t>5</w:t>
            </w:r>
          </w:p>
        </w:tc>
      </w:tr>
      <w:tr w:rsidR="005B68FD" w:rsidRPr="005B68FD" w14:paraId="07AA4E38" w14:textId="77777777" w:rsidTr="005B68FD">
        <w:trPr>
          <w:trHeight w:val="401"/>
        </w:trPr>
        <w:tc>
          <w:tcPr>
            <w:tcW w:w="828" w:type="dxa"/>
            <w:tcBorders>
              <w:top w:val="nil"/>
              <w:left w:val="single" w:sz="4" w:space="0" w:color="auto"/>
              <w:bottom w:val="single" w:sz="4" w:space="0" w:color="auto"/>
              <w:right w:val="single" w:sz="4" w:space="0" w:color="auto"/>
            </w:tcBorders>
            <w:shd w:val="clear" w:color="000000" w:fill="595959"/>
            <w:noWrap/>
            <w:vAlign w:val="center"/>
            <w:hideMark/>
          </w:tcPr>
          <w:p w14:paraId="73462CB3" w14:textId="77777777" w:rsidR="005B68FD" w:rsidRPr="005B68FD" w:rsidRDefault="005B68FD" w:rsidP="005B68FD">
            <w:pPr>
              <w:jc w:val="center"/>
              <w:rPr>
                <w:rFonts w:ascii="Tahoma" w:hAnsi="Tahoma" w:cs="Tahoma"/>
                <w:b/>
                <w:bCs/>
                <w:color w:val="FFFFFF"/>
                <w:sz w:val="22"/>
                <w:szCs w:val="22"/>
              </w:rPr>
            </w:pPr>
            <w:r w:rsidRPr="005B68FD">
              <w:rPr>
                <w:rFonts w:ascii="Tahoma" w:hAnsi="Tahoma" w:cs="Tahoma"/>
                <w:b/>
                <w:bCs/>
                <w:color w:val="FFFFFF"/>
                <w:sz w:val="22"/>
                <w:szCs w:val="22"/>
              </w:rPr>
              <w:t>2.1.</w:t>
            </w:r>
          </w:p>
        </w:tc>
        <w:tc>
          <w:tcPr>
            <w:tcW w:w="13808" w:type="dxa"/>
            <w:gridSpan w:val="3"/>
            <w:tcBorders>
              <w:top w:val="nil"/>
              <w:left w:val="nil"/>
              <w:bottom w:val="single" w:sz="4" w:space="0" w:color="auto"/>
              <w:right w:val="single" w:sz="4" w:space="0" w:color="auto"/>
            </w:tcBorders>
            <w:shd w:val="clear" w:color="000000" w:fill="595959"/>
            <w:noWrap/>
            <w:vAlign w:val="center"/>
            <w:hideMark/>
          </w:tcPr>
          <w:p w14:paraId="662DD752" w14:textId="77777777" w:rsidR="005B68FD" w:rsidRPr="005B68FD" w:rsidRDefault="005B68FD" w:rsidP="005B68FD">
            <w:pPr>
              <w:rPr>
                <w:rFonts w:ascii="Tahoma" w:hAnsi="Tahoma" w:cs="Tahoma"/>
                <w:b/>
                <w:bCs/>
                <w:color w:val="FFFFFF"/>
                <w:sz w:val="22"/>
                <w:szCs w:val="22"/>
              </w:rPr>
            </w:pPr>
            <w:r w:rsidRPr="005B68FD">
              <w:rPr>
                <w:rFonts w:ascii="Tahoma" w:hAnsi="Tahoma" w:cs="Tahoma"/>
                <w:b/>
                <w:bCs/>
                <w:color w:val="FFFFFF"/>
                <w:sz w:val="22"/>
                <w:szCs w:val="22"/>
              </w:rPr>
              <w:t>Процентная ставка на остаток денежных средств в рублях на Счете Карты</w:t>
            </w:r>
            <w:r w:rsidRPr="005B68FD">
              <w:rPr>
                <w:rFonts w:ascii="Tahoma" w:hAnsi="Tahoma" w:cs="Tahoma"/>
                <w:b/>
                <w:bCs/>
                <w:color w:val="FFFFFF"/>
                <w:sz w:val="22"/>
                <w:szCs w:val="22"/>
                <w:vertAlign w:val="superscript"/>
              </w:rPr>
              <w:t>3</w:t>
            </w:r>
            <w:r w:rsidRPr="005B68FD">
              <w:rPr>
                <w:rFonts w:ascii="Tahoma" w:hAnsi="Tahoma" w:cs="Tahoma"/>
                <w:b/>
                <w:bCs/>
                <w:color w:val="FFFFFF"/>
                <w:sz w:val="22"/>
                <w:szCs w:val="22"/>
              </w:rPr>
              <w:t>, % годовых</w:t>
            </w:r>
          </w:p>
        </w:tc>
      </w:tr>
      <w:tr w:rsidR="005B68FD" w:rsidRPr="005B68FD" w14:paraId="00D333E6" w14:textId="77777777" w:rsidTr="005B68FD">
        <w:trPr>
          <w:trHeight w:val="1410"/>
        </w:trPr>
        <w:tc>
          <w:tcPr>
            <w:tcW w:w="82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B875D43"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2.1.1.</w:t>
            </w:r>
          </w:p>
        </w:tc>
        <w:tc>
          <w:tcPr>
            <w:tcW w:w="4987" w:type="dxa"/>
            <w:tcBorders>
              <w:top w:val="single" w:sz="4" w:space="0" w:color="auto"/>
              <w:left w:val="nil"/>
              <w:bottom w:val="single" w:sz="4" w:space="0" w:color="auto"/>
              <w:right w:val="single" w:sz="4" w:space="0" w:color="auto"/>
            </w:tcBorders>
            <w:shd w:val="clear" w:color="auto" w:fill="auto"/>
            <w:vAlign w:val="center"/>
            <w:hideMark/>
          </w:tcPr>
          <w:p w14:paraId="03119F8C" w14:textId="77777777" w:rsidR="005B68FD" w:rsidRPr="005B68FD" w:rsidRDefault="005B68FD" w:rsidP="005B68FD">
            <w:pPr>
              <w:jc w:val="both"/>
              <w:rPr>
                <w:rFonts w:ascii="Tahoma" w:hAnsi="Tahoma" w:cs="Tahoma"/>
                <w:sz w:val="22"/>
                <w:szCs w:val="22"/>
              </w:rPr>
            </w:pPr>
            <w:r w:rsidRPr="005B68FD">
              <w:rPr>
                <w:rFonts w:ascii="Tahoma" w:hAnsi="Tahoma" w:cs="Tahoma"/>
                <w:sz w:val="22"/>
                <w:szCs w:val="22"/>
              </w:rPr>
              <w:t>при безналичном зачислении на Счет Карты заработной платы</w:t>
            </w:r>
            <w:r w:rsidRPr="005B68FD">
              <w:rPr>
                <w:rFonts w:ascii="Tahoma" w:hAnsi="Tahoma" w:cs="Tahoma"/>
                <w:sz w:val="22"/>
                <w:szCs w:val="22"/>
                <w:vertAlign w:val="superscript"/>
              </w:rPr>
              <w:t>6</w:t>
            </w:r>
            <w:r w:rsidRPr="005B68FD">
              <w:rPr>
                <w:rFonts w:ascii="Tahoma" w:hAnsi="Tahoma" w:cs="Tahoma"/>
                <w:sz w:val="22"/>
                <w:szCs w:val="22"/>
              </w:rPr>
              <w:t xml:space="preserve"> Клиента в Отчетном периоде</w:t>
            </w:r>
            <w:r w:rsidRPr="005B68FD">
              <w:rPr>
                <w:rFonts w:ascii="Tahoma" w:hAnsi="Tahoma" w:cs="Tahoma"/>
                <w:sz w:val="22"/>
                <w:szCs w:val="22"/>
                <w:vertAlign w:val="superscript"/>
              </w:rPr>
              <w:t>7</w:t>
            </w:r>
            <w:r w:rsidRPr="005B68FD">
              <w:rPr>
                <w:rFonts w:ascii="Tahoma" w:hAnsi="Tahoma" w:cs="Tahoma"/>
                <w:sz w:val="22"/>
                <w:szCs w:val="22"/>
              </w:rPr>
              <w:t>, при отсутствии перерыва в зачислении заработной платы либо наличии перерыва в зачислении заработной платы не более 2-х календарных месяцев подряд</w:t>
            </w:r>
          </w:p>
        </w:tc>
        <w:tc>
          <w:tcPr>
            <w:tcW w:w="8821" w:type="dxa"/>
            <w:gridSpan w:val="2"/>
            <w:vMerge w:val="restart"/>
            <w:tcBorders>
              <w:top w:val="single" w:sz="4" w:space="0" w:color="auto"/>
              <w:left w:val="single" w:sz="4" w:space="0" w:color="auto"/>
              <w:bottom w:val="single" w:sz="4" w:space="0" w:color="000000"/>
              <w:right w:val="single" w:sz="4" w:space="0" w:color="000000"/>
            </w:tcBorders>
            <w:shd w:val="clear" w:color="000000" w:fill="FFFFFF"/>
            <w:vAlign w:val="center"/>
            <w:hideMark/>
          </w:tcPr>
          <w:p w14:paraId="562266EB"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5%</w:t>
            </w:r>
          </w:p>
        </w:tc>
      </w:tr>
      <w:tr w:rsidR="005B68FD" w:rsidRPr="005B68FD" w14:paraId="6BA3B016" w14:textId="77777777" w:rsidTr="005B68FD">
        <w:trPr>
          <w:trHeight w:val="735"/>
        </w:trPr>
        <w:tc>
          <w:tcPr>
            <w:tcW w:w="828" w:type="dxa"/>
            <w:tcBorders>
              <w:top w:val="nil"/>
              <w:left w:val="single" w:sz="4" w:space="0" w:color="auto"/>
              <w:bottom w:val="single" w:sz="4" w:space="0" w:color="auto"/>
              <w:right w:val="single" w:sz="4" w:space="0" w:color="auto"/>
            </w:tcBorders>
            <w:shd w:val="clear" w:color="000000" w:fill="FFFFFF"/>
            <w:noWrap/>
            <w:vAlign w:val="center"/>
            <w:hideMark/>
          </w:tcPr>
          <w:p w14:paraId="417A9F99"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2.1.2.</w:t>
            </w:r>
          </w:p>
        </w:tc>
        <w:tc>
          <w:tcPr>
            <w:tcW w:w="4987" w:type="dxa"/>
            <w:tcBorders>
              <w:top w:val="nil"/>
              <w:left w:val="nil"/>
              <w:bottom w:val="single" w:sz="4" w:space="0" w:color="auto"/>
              <w:right w:val="single" w:sz="4" w:space="0" w:color="auto"/>
            </w:tcBorders>
            <w:shd w:val="clear" w:color="000000" w:fill="FFFFFF"/>
            <w:vAlign w:val="center"/>
            <w:hideMark/>
          </w:tcPr>
          <w:p w14:paraId="18498E65" w14:textId="77777777" w:rsidR="005B68FD" w:rsidRPr="005B68FD" w:rsidRDefault="005B68FD" w:rsidP="005B68FD">
            <w:pPr>
              <w:jc w:val="both"/>
              <w:rPr>
                <w:rFonts w:ascii="Tahoma" w:hAnsi="Tahoma" w:cs="Tahoma"/>
                <w:sz w:val="22"/>
                <w:szCs w:val="22"/>
              </w:rPr>
            </w:pPr>
            <w:r w:rsidRPr="005B68FD">
              <w:rPr>
                <w:rFonts w:ascii="Tahoma" w:hAnsi="Tahoma" w:cs="Tahoma"/>
                <w:sz w:val="22"/>
                <w:szCs w:val="22"/>
              </w:rPr>
              <w:t>при совершении безналичных операций в ТСП</w:t>
            </w:r>
            <w:r w:rsidRPr="005B68FD">
              <w:rPr>
                <w:rFonts w:ascii="Tahoma" w:hAnsi="Tahoma" w:cs="Tahoma"/>
                <w:sz w:val="22"/>
                <w:szCs w:val="22"/>
                <w:vertAlign w:val="superscript"/>
              </w:rPr>
              <w:t>6</w:t>
            </w:r>
            <w:r w:rsidRPr="005B68FD">
              <w:rPr>
                <w:rFonts w:ascii="Tahoma" w:hAnsi="Tahoma" w:cs="Tahoma"/>
                <w:sz w:val="22"/>
                <w:szCs w:val="22"/>
              </w:rPr>
              <w:t xml:space="preserve"> на сумму более 15 000 рублей в Отчетном периоде</w:t>
            </w:r>
            <w:r w:rsidRPr="005B68FD">
              <w:rPr>
                <w:rFonts w:ascii="Tahoma" w:hAnsi="Tahoma" w:cs="Tahoma"/>
                <w:sz w:val="22"/>
                <w:szCs w:val="22"/>
                <w:vertAlign w:val="superscript"/>
              </w:rPr>
              <w:t>7</w:t>
            </w:r>
          </w:p>
        </w:tc>
        <w:tc>
          <w:tcPr>
            <w:tcW w:w="8821" w:type="dxa"/>
            <w:gridSpan w:val="2"/>
            <w:vMerge/>
            <w:tcBorders>
              <w:top w:val="nil"/>
              <w:left w:val="nil"/>
              <w:bottom w:val="single" w:sz="4" w:space="0" w:color="auto"/>
              <w:right w:val="single" w:sz="4" w:space="0" w:color="auto"/>
            </w:tcBorders>
            <w:vAlign w:val="center"/>
            <w:hideMark/>
          </w:tcPr>
          <w:p w14:paraId="58E88784" w14:textId="77777777" w:rsidR="005B68FD" w:rsidRPr="005B68FD" w:rsidRDefault="005B68FD" w:rsidP="005B68FD">
            <w:pPr>
              <w:rPr>
                <w:rFonts w:ascii="Tahoma" w:hAnsi="Tahoma" w:cs="Tahoma"/>
                <w:sz w:val="22"/>
                <w:szCs w:val="22"/>
              </w:rPr>
            </w:pPr>
          </w:p>
        </w:tc>
      </w:tr>
      <w:tr w:rsidR="005B68FD" w:rsidRPr="005B68FD" w14:paraId="628BF0F1" w14:textId="77777777" w:rsidTr="005B68FD">
        <w:trPr>
          <w:trHeight w:val="300"/>
        </w:trPr>
        <w:tc>
          <w:tcPr>
            <w:tcW w:w="828" w:type="dxa"/>
            <w:tcBorders>
              <w:top w:val="nil"/>
              <w:left w:val="single" w:sz="4" w:space="0" w:color="auto"/>
              <w:bottom w:val="single" w:sz="4" w:space="0" w:color="auto"/>
              <w:right w:val="single" w:sz="4" w:space="0" w:color="auto"/>
            </w:tcBorders>
            <w:shd w:val="clear" w:color="000000" w:fill="FFFFFF"/>
            <w:noWrap/>
            <w:vAlign w:val="center"/>
            <w:hideMark/>
          </w:tcPr>
          <w:p w14:paraId="01A733BB"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2.1.3.</w:t>
            </w:r>
          </w:p>
        </w:tc>
        <w:tc>
          <w:tcPr>
            <w:tcW w:w="4987" w:type="dxa"/>
            <w:tcBorders>
              <w:top w:val="nil"/>
              <w:left w:val="nil"/>
              <w:bottom w:val="single" w:sz="4" w:space="0" w:color="auto"/>
              <w:right w:val="single" w:sz="4" w:space="0" w:color="auto"/>
            </w:tcBorders>
            <w:shd w:val="clear" w:color="000000" w:fill="FFFFFF"/>
            <w:vAlign w:val="center"/>
            <w:hideMark/>
          </w:tcPr>
          <w:p w14:paraId="06784A9A" w14:textId="77777777" w:rsidR="005B68FD" w:rsidRPr="005B68FD" w:rsidRDefault="005B68FD" w:rsidP="005B68FD">
            <w:pPr>
              <w:jc w:val="both"/>
              <w:rPr>
                <w:rFonts w:ascii="Tahoma" w:hAnsi="Tahoma" w:cs="Tahoma"/>
                <w:sz w:val="22"/>
                <w:szCs w:val="22"/>
              </w:rPr>
            </w:pPr>
            <w:r w:rsidRPr="005B68FD">
              <w:rPr>
                <w:rFonts w:ascii="Tahoma" w:hAnsi="Tahoma" w:cs="Tahoma"/>
                <w:sz w:val="22"/>
                <w:szCs w:val="22"/>
              </w:rPr>
              <w:t>в иных случаях</w:t>
            </w:r>
          </w:p>
        </w:tc>
        <w:tc>
          <w:tcPr>
            <w:tcW w:w="8821" w:type="dxa"/>
            <w:gridSpan w:val="2"/>
            <w:tcBorders>
              <w:top w:val="single" w:sz="4" w:space="0" w:color="auto"/>
              <w:left w:val="nil"/>
              <w:bottom w:val="single" w:sz="4" w:space="0" w:color="auto"/>
              <w:right w:val="single" w:sz="4" w:space="0" w:color="auto"/>
            </w:tcBorders>
            <w:shd w:val="clear" w:color="000000" w:fill="FFFFFF"/>
            <w:vAlign w:val="center"/>
            <w:hideMark/>
          </w:tcPr>
          <w:p w14:paraId="4FD2BC3B"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2%</w:t>
            </w:r>
          </w:p>
        </w:tc>
      </w:tr>
      <w:tr w:rsidR="005B68FD" w:rsidRPr="005B68FD" w14:paraId="5988A640" w14:textId="77777777" w:rsidTr="005B68FD">
        <w:trPr>
          <w:trHeight w:val="405"/>
        </w:trPr>
        <w:tc>
          <w:tcPr>
            <w:tcW w:w="828" w:type="dxa"/>
            <w:tcBorders>
              <w:top w:val="nil"/>
              <w:left w:val="single" w:sz="4" w:space="0" w:color="auto"/>
              <w:bottom w:val="single" w:sz="4" w:space="0" w:color="auto"/>
              <w:right w:val="single" w:sz="4" w:space="0" w:color="auto"/>
            </w:tcBorders>
            <w:shd w:val="clear" w:color="000000" w:fill="FFFFFF"/>
            <w:noWrap/>
            <w:vAlign w:val="center"/>
            <w:hideMark/>
          </w:tcPr>
          <w:p w14:paraId="2DA72F69"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2.2.</w:t>
            </w:r>
          </w:p>
        </w:tc>
        <w:tc>
          <w:tcPr>
            <w:tcW w:w="4987" w:type="dxa"/>
            <w:tcBorders>
              <w:top w:val="nil"/>
              <w:left w:val="nil"/>
              <w:bottom w:val="single" w:sz="4" w:space="0" w:color="auto"/>
              <w:right w:val="single" w:sz="4" w:space="0" w:color="auto"/>
            </w:tcBorders>
            <w:shd w:val="clear" w:color="auto" w:fill="auto"/>
            <w:vAlign w:val="center"/>
            <w:hideMark/>
          </w:tcPr>
          <w:p w14:paraId="01D28B2B" w14:textId="77777777" w:rsidR="005B68FD" w:rsidRPr="005B68FD" w:rsidRDefault="005B68FD" w:rsidP="005B68FD">
            <w:pPr>
              <w:jc w:val="both"/>
              <w:rPr>
                <w:rFonts w:ascii="Tahoma" w:hAnsi="Tahoma" w:cs="Tahoma"/>
                <w:sz w:val="22"/>
                <w:szCs w:val="22"/>
              </w:rPr>
            </w:pPr>
            <w:r w:rsidRPr="005B68FD">
              <w:rPr>
                <w:rFonts w:ascii="Tahoma" w:hAnsi="Tahoma" w:cs="Tahoma"/>
                <w:sz w:val="22"/>
                <w:szCs w:val="22"/>
              </w:rPr>
              <w:t>периодичность выплаты процентов</w:t>
            </w:r>
          </w:p>
        </w:tc>
        <w:tc>
          <w:tcPr>
            <w:tcW w:w="8821" w:type="dxa"/>
            <w:gridSpan w:val="2"/>
            <w:tcBorders>
              <w:top w:val="single" w:sz="4" w:space="0" w:color="auto"/>
              <w:left w:val="nil"/>
              <w:bottom w:val="single" w:sz="4" w:space="0" w:color="auto"/>
              <w:right w:val="single" w:sz="4" w:space="0" w:color="auto"/>
            </w:tcBorders>
            <w:shd w:val="clear" w:color="auto" w:fill="auto"/>
            <w:vAlign w:val="center"/>
            <w:hideMark/>
          </w:tcPr>
          <w:p w14:paraId="053190B2"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ЕЖЕМЕСЯЧНО в дату, соответствующую дате открытия Счета Карты</w:t>
            </w:r>
            <w:r w:rsidRPr="005B68FD">
              <w:rPr>
                <w:rFonts w:ascii="Tahoma" w:hAnsi="Tahoma" w:cs="Tahoma"/>
                <w:sz w:val="22"/>
                <w:szCs w:val="22"/>
                <w:vertAlign w:val="superscript"/>
              </w:rPr>
              <w:t>3</w:t>
            </w:r>
            <w:r w:rsidRPr="005B68FD">
              <w:rPr>
                <w:rFonts w:ascii="Tahoma" w:hAnsi="Tahoma" w:cs="Tahoma"/>
                <w:sz w:val="22"/>
                <w:szCs w:val="22"/>
              </w:rPr>
              <w:t xml:space="preserve"> </w:t>
            </w:r>
          </w:p>
        </w:tc>
      </w:tr>
      <w:tr w:rsidR="005B68FD" w:rsidRPr="005B68FD" w14:paraId="3A6E8CC9" w14:textId="77777777" w:rsidTr="005B68FD">
        <w:trPr>
          <w:trHeight w:val="345"/>
        </w:trPr>
        <w:tc>
          <w:tcPr>
            <w:tcW w:w="828" w:type="dxa"/>
            <w:tcBorders>
              <w:top w:val="nil"/>
              <w:left w:val="single" w:sz="4" w:space="0" w:color="auto"/>
              <w:bottom w:val="single" w:sz="4" w:space="0" w:color="auto"/>
              <w:right w:val="single" w:sz="4" w:space="0" w:color="auto"/>
            </w:tcBorders>
            <w:shd w:val="clear" w:color="000000" w:fill="595959"/>
            <w:noWrap/>
            <w:vAlign w:val="center"/>
            <w:hideMark/>
          </w:tcPr>
          <w:p w14:paraId="6A5ECED0" w14:textId="77777777" w:rsidR="005B68FD" w:rsidRPr="005B68FD" w:rsidRDefault="005B68FD" w:rsidP="005B68FD">
            <w:pPr>
              <w:jc w:val="center"/>
              <w:rPr>
                <w:rFonts w:ascii="Tahoma" w:hAnsi="Tahoma" w:cs="Tahoma"/>
                <w:b/>
                <w:bCs/>
                <w:color w:val="FFFFFF"/>
                <w:sz w:val="22"/>
                <w:szCs w:val="22"/>
              </w:rPr>
            </w:pPr>
            <w:r w:rsidRPr="005B68FD">
              <w:rPr>
                <w:rFonts w:ascii="Tahoma" w:hAnsi="Tahoma" w:cs="Tahoma"/>
                <w:b/>
                <w:bCs/>
                <w:color w:val="FFFFFF"/>
                <w:sz w:val="22"/>
                <w:szCs w:val="22"/>
              </w:rPr>
              <w:t>3.</w:t>
            </w:r>
          </w:p>
        </w:tc>
        <w:tc>
          <w:tcPr>
            <w:tcW w:w="13808" w:type="dxa"/>
            <w:gridSpan w:val="3"/>
            <w:tcBorders>
              <w:top w:val="single" w:sz="4" w:space="0" w:color="auto"/>
              <w:left w:val="nil"/>
              <w:bottom w:val="single" w:sz="4" w:space="0" w:color="auto"/>
              <w:right w:val="single" w:sz="4" w:space="0" w:color="auto"/>
            </w:tcBorders>
            <w:shd w:val="clear" w:color="000000" w:fill="595959"/>
            <w:noWrap/>
            <w:vAlign w:val="center"/>
            <w:hideMark/>
          </w:tcPr>
          <w:p w14:paraId="5230EFDB" w14:textId="77777777" w:rsidR="005B68FD" w:rsidRPr="005B68FD" w:rsidRDefault="005B68FD" w:rsidP="005B68FD">
            <w:pPr>
              <w:rPr>
                <w:rFonts w:ascii="Tahoma" w:hAnsi="Tahoma" w:cs="Tahoma"/>
                <w:b/>
                <w:bCs/>
                <w:color w:val="FFFFFF"/>
                <w:sz w:val="22"/>
                <w:szCs w:val="22"/>
              </w:rPr>
            </w:pPr>
            <w:r w:rsidRPr="005B68FD">
              <w:rPr>
                <w:rFonts w:ascii="Tahoma" w:hAnsi="Tahoma" w:cs="Tahoma"/>
                <w:b/>
                <w:bCs/>
                <w:color w:val="FFFFFF"/>
                <w:sz w:val="22"/>
                <w:szCs w:val="22"/>
              </w:rPr>
              <w:t>Лимит кредитования (при волеизъявлении Клиента)</w:t>
            </w:r>
          </w:p>
        </w:tc>
      </w:tr>
      <w:tr w:rsidR="005B68FD" w:rsidRPr="005B68FD" w14:paraId="51C610D1" w14:textId="77777777" w:rsidTr="005B68FD">
        <w:trPr>
          <w:trHeight w:val="285"/>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3E1BC7E5"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3.1.</w:t>
            </w:r>
          </w:p>
        </w:tc>
        <w:tc>
          <w:tcPr>
            <w:tcW w:w="4987" w:type="dxa"/>
            <w:tcBorders>
              <w:top w:val="nil"/>
              <w:left w:val="nil"/>
              <w:bottom w:val="single" w:sz="4" w:space="0" w:color="auto"/>
              <w:right w:val="single" w:sz="4" w:space="0" w:color="auto"/>
            </w:tcBorders>
            <w:shd w:val="clear" w:color="auto" w:fill="auto"/>
            <w:vAlign w:val="center"/>
            <w:hideMark/>
          </w:tcPr>
          <w:p w14:paraId="4AD083F7" w14:textId="77777777" w:rsidR="005B68FD" w:rsidRPr="005B68FD" w:rsidRDefault="005B68FD" w:rsidP="005B68FD">
            <w:pPr>
              <w:rPr>
                <w:rFonts w:ascii="Tahoma" w:hAnsi="Tahoma" w:cs="Tahoma"/>
                <w:color w:val="000000"/>
                <w:sz w:val="22"/>
                <w:szCs w:val="22"/>
              </w:rPr>
            </w:pPr>
            <w:r w:rsidRPr="005B68FD">
              <w:rPr>
                <w:rFonts w:ascii="Tahoma" w:hAnsi="Tahoma" w:cs="Tahoma"/>
                <w:color w:val="000000"/>
                <w:sz w:val="22"/>
                <w:szCs w:val="22"/>
              </w:rPr>
              <w:t>Лимит кредитования</w:t>
            </w:r>
          </w:p>
        </w:tc>
        <w:tc>
          <w:tcPr>
            <w:tcW w:w="8821" w:type="dxa"/>
            <w:gridSpan w:val="2"/>
            <w:tcBorders>
              <w:top w:val="single" w:sz="4" w:space="0" w:color="auto"/>
              <w:left w:val="nil"/>
              <w:bottom w:val="single" w:sz="4" w:space="0" w:color="auto"/>
              <w:right w:val="single" w:sz="4" w:space="0" w:color="auto"/>
            </w:tcBorders>
            <w:shd w:val="clear" w:color="auto" w:fill="auto"/>
            <w:noWrap/>
            <w:vAlign w:val="center"/>
            <w:hideMark/>
          </w:tcPr>
          <w:p w14:paraId="3C638A86"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не предусмотрен</w:t>
            </w:r>
          </w:p>
        </w:tc>
      </w:tr>
      <w:tr w:rsidR="005B68FD" w:rsidRPr="005B68FD" w14:paraId="12C3B703" w14:textId="77777777" w:rsidTr="005B68FD">
        <w:trPr>
          <w:trHeight w:val="417"/>
        </w:trPr>
        <w:tc>
          <w:tcPr>
            <w:tcW w:w="828" w:type="dxa"/>
            <w:tcBorders>
              <w:top w:val="nil"/>
              <w:left w:val="single" w:sz="4" w:space="0" w:color="auto"/>
              <w:bottom w:val="single" w:sz="4" w:space="0" w:color="auto"/>
              <w:right w:val="single" w:sz="4" w:space="0" w:color="auto"/>
            </w:tcBorders>
            <w:shd w:val="clear" w:color="000000" w:fill="595959"/>
            <w:noWrap/>
            <w:vAlign w:val="center"/>
            <w:hideMark/>
          </w:tcPr>
          <w:p w14:paraId="36800F79" w14:textId="77777777" w:rsidR="005B68FD" w:rsidRPr="005B68FD" w:rsidRDefault="005B68FD" w:rsidP="005B68FD">
            <w:pPr>
              <w:jc w:val="center"/>
              <w:rPr>
                <w:rFonts w:ascii="Tahoma" w:hAnsi="Tahoma" w:cs="Tahoma"/>
                <w:b/>
                <w:bCs/>
                <w:color w:val="FFFFFF"/>
                <w:sz w:val="22"/>
                <w:szCs w:val="22"/>
              </w:rPr>
            </w:pPr>
            <w:r w:rsidRPr="005B68FD">
              <w:rPr>
                <w:rFonts w:ascii="Tahoma" w:hAnsi="Tahoma" w:cs="Tahoma"/>
                <w:b/>
                <w:bCs/>
                <w:color w:val="FFFFFF"/>
                <w:sz w:val="22"/>
                <w:szCs w:val="22"/>
              </w:rPr>
              <w:t>4.</w:t>
            </w:r>
          </w:p>
        </w:tc>
        <w:tc>
          <w:tcPr>
            <w:tcW w:w="13808" w:type="dxa"/>
            <w:gridSpan w:val="3"/>
            <w:tcBorders>
              <w:top w:val="single" w:sz="4" w:space="0" w:color="auto"/>
              <w:left w:val="nil"/>
              <w:bottom w:val="single" w:sz="4" w:space="0" w:color="auto"/>
              <w:right w:val="single" w:sz="4" w:space="0" w:color="auto"/>
            </w:tcBorders>
            <w:shd w:val="clear" w:color="000000" w:fill="595959"/>
            <w:noWrap/>
            <w:vAlign w:val="center"/>
            <w:hideMark/>
          </w:tcPr>
          <w:p w14:paraId="69DE5DDC" w14:textId="77777777" w:rsidR="005B68FD" w:rsidRPr="005B68FD" w:rsidRDefault="005B68FD" w:rsidP="005B68FD">
            <w:pPr>
              <w:rPr>
                <w:rFonts w:ascii="Tahoma" w:hAnsi="Tahoma" w:cs="Tahoma"/>
                <w:b/>
                <w:bCs/>
                <w:color w:val="FFFFFF"/>
                <w:sz w:val="22"/>
                <w:szCs w:val="22"/>
              </w:rPr>
            </w:pPr>
            <w:r w:rsidRPr="005B68FD">
              <w:rPr>
                <w:rFonts w:ascii="Tahoma" w:hAnsi="Tahoma" w:cs="Tahoma"/>
                <w:b/>
                <w:bCs/>
                <w:color w:val="FFFFFF"/>
                <w:sz w:val="22"/>
                <w:szCs w:val="22"/>
              </w:rPr>
              <w:t>Условия обслуживания операций с наличными денежными средствами с использованием Карты</w:t>
            </w:r>
          </w:p>
        </w:tc>
      </w:tr>
      <w:tr w:rsidR="005B68FD" w:rsidRPr="005B68FD" w14:paraId="1302B601" w14:textId="77777777" w:rsidTr="005B68FD">
        <w:trPr>
          <w:trHeight w:val="675"/>
        </w:trPr>
        <w:tc>
          <w:tcPr>
            <w:tcW w:w="828" w:type="dxa"/>
            <w:tcBorders>
              <w:top w:val="nil"/>
              <w:left w:val="single" w:sz="4" w:space="0" w:color="auto"/>
              <w:bottom w:val="single" w:sz="4" w:space="0" w:color="auto"/>
              <w:right w:val="single" w:sz="4" w:space="0" w:color="auto"/>
            </w:tcBorders>
            <w:shd w:val="clear" w:color="000000" w:fill="595959"/>
            <w:noWrap/>
            <w:vAlign w:val="center"/>
            <w:hideMark/>
          </w:tcPr>
          <w:p w14:paraId="7950ABC1" w14:textId="77777777" w:rsidR="005B68FD" w:rsidRPr="005B68FD" w:rsidRDefault="005B68FD" w:rsidP="005B68FD">
            <w:pPr>
              <w:jc w:val="center"/>
              <w:rPr>
                <w:rFonts w:ascii="Tahoma" w:hAnsi="Tahoma" w:cs="Tahoma"/>
                <w:b/>
                <w:bCs/>
                <w:color w:val="FFFFFF"/>
                <w:sz w:val="22"/>
                <w:szCs w:val="22"/>
              </w:rPr>
            </w:pPr>
            <w:r w:rsidRPr="005B68FD">
              <w:rPr>
                <w:rFonts w:ascii="Tahoma" w:hAnsi="Tahoma" w:cs="Tahoma"/>
                <w:b/>
                <w:bCs/>
                <w:color w:val="FFFFFF"/>
                <w:sz w:val="22"/>
                <w:szCs w:val="22"/>
              </w:rPr>
              <w:t>4.1.</w:t>
            </w:r>
          </w:p>
        </w:tc>
        <w:tc>
          <w:tcPr>
            <w:tcW w:w="13808" w:type="dxa"/>
            <w:gridSpan w:val="3"/>
            <w:tcBorders>
              <w:top w:val="single" w:sz="4" w:space="0" w:color="auto"/>
              <w:left w:val="nil"/>
              <w:bottom w:val="single" w:sz="4" w:space="0" w:color="auto"/>
              <w:right w:val="single" w:sz="4" w:space="0" w:color="auto"/>
            </w:tcBorders>
            <w:shd w:val="clear" w:color="000000" w:fill="595959"/>
            <w:vAlign w:val="center"/>
            <w:hideMark/>
          </w:tcPr>
          <w:p w14:paraId="26D9F7C3" w14:textId="77777777" w:rsidR="005B68FD" w:rsidRPr="005B68FD" w:rsidRDefault="005B68FD" w:rsidP="005B68FD">
            <w:pPr>
              <w:rPr>
                <w:rFonts w:ascii="Tahoma" w:hAnsi="Tahoma" w:cs="Tahoma"/>
                <w:b/>
                <w:bCs/>
                <w:color w:val="FFFFFF"/>
                <w:sz w:val="22"/>
                <w:szCs w:val="22"/>
              </w:rPr>
            </w:pPr>
            <w:r w:rsidRPr="005B68FD">
              <w:rPr>
                <w:rFonts w:ascii="Tahoma" w:hAnsi="Tahoma" w:cs="Tahoma"/>
                <w:b/>
                <w:bCs/>
                <w:color w:val="FFFFFF"/>
                <w:sz w:val="22"/>
                <w:szCs w:val="22"/>
              </w:rPr>
              <w:t>Лимиты совершения операций выдачи наличных в банкоматах и в пунктах выдачи наличных любых банков, в т.ч. Банка</w:t>
            </w:r>
            <w:r w:rsidRPr="005B68FD">
              <w:rPr>
                <w:rFonts w:ascii="Tahoma" w:hAnsi="Tahoma" w:cs="Tahoma"/>
                <w:b/>
                <w:bCs/>
                <w:color w:val="FFFFFF"/>
                <w:sz w:val="22"/>
                <w:szCs w:val="22"/>
                <w:vertAlign w:val="superscript"/>
              </w:rPr>
              <w:t>4,8</w:t>
            </w:r>
            <w:r w:rsidRPr="005B68FD">
              <w:rPr>
                <w:rFonts w:ascii="Tahoma" w:hAnsi="Tahoma" w:cs="Tahoma"/>
                <w:b/>
                <w:bCs/>
                <w:color w:val="FFFFFF"/>
                <w:sz w:val="22"/>
                <w:szCs w:val="22"/>
              </w:rPr>
              <w:t>, с  Карты Клиента (основной и дополнительной)</w:t>
            </w:r>
          </w:p>
        </w:tc>
      </w:tr>
      <w:tr w:rsidR="005B68FD" w:rsidRPr="005B68FD" w14:paraId="74956326" w14:textId="77777777" w:rsidTr="005B68FD">
        <w:trPr>
          <w:trHeight w:val="300"/>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6A0D06BF"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4.1.1.</w:t>
            </w:r>
          </w:p>
        </w:tc>
        <w:tc>
          <w:tcPr>
            <w:tcW w:w="4987" w:type="dxa"/>
            <w:tcBorders>
              <w:top w:val="nil"/>
              <w:left w:val="nil"/>
              <w:bottom w:val="single" w:sz="4" w:space="0" w:color="auto"/>
              <w:right w:val="single" w:sz="4" w:space="0" w:color="auto"/>
            </w:tcBorders>
            <w:shd w:val="clear" w:color="auto" w:fill="auto"/>
            <w:vAlign w:val="center"/>
            <w:hideMark/>
          </w:tcPr>
          <w:p w14:paraId="10C8CB0B" w14:textId="77777777" w:rsidR="005B68FD" w:rsidRPr="005B68FD" w:rsidRDefault="005B68FD" w:rsidP="005B68FD">
            <w:pPr>
              <w:jc w:val="both"/>
              <w:rPr>
                <w:rFonts w:ascii="Tahoma" w:hAnsi="Tahoma" w:cs="Tahoma"/>
                <w:color w:val="000000"/>
                <w:sz w:val="22"/>
                <w:szCs w:val="22"/>
              </w:rPr>
            </w:pPr>
            <w:r w:rsidRPr="005B68FD">
              <w:rPr>
                <w:rFonts w:ascii="Tahoma" w:hAnsi="Tahoma" w:cs="Tahoma"/>
                <w:color w:val="000000"/>
                <w:sz w:val="22"/>
                <w:szCs w:val="22"/>
              </w:rPr>
              <w:t>ежедневно (с 00 до 24 ч. московского времени)</w:t>
            </w:r>
          </w:p>
        </w:tc>
        <w:tc>
          <w:tcPr>
            <w:tcW w:w="8821" w:type="dxa"/>
            <w:gridSpan w:val="2"/>
            <w:tcBorders>
              <w:top w:val="single" w:sz="4" w:space="0" w:color="auto"/>
              <w:left w:val="nil"/>
              <w:bottom w:val="single" w:sz="4" w:space="0" w:color="auto"/>
              <w:right w:val="single" w:sz="4" w:space="0" w:color="auto"/>
            </w:tcBorders>
            <w:shd w:val="clear" w:color="auto" w:fill="auto"/>
            <w:noWrap/>
            <w:vAlign w:val="center"/>
            <w:hideMark/>
          </w:tcPr>
          <w:p w14:paraId="02222FEE"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250 000 рублей</w:t>
            </w:r>
          </w:p>
        </w:tc>
      </w:tr>
      <w:tr w:rsidR="005B68FD" w:rsidRPr="005B68FD" w14:paraId="6DE2AD10" w14:textId="77777777" w:rsidTr="005B68FD">
        <w:trPr>
          <w:trHeight w:val="570"/>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220990A9"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4.1.2.</w:t>
            </w:r>
          </w:p>
        </w:tc>
        <w:tc>
          <w:tcPr>
            <w:tcW w:w="4987" w:type="dxa"/>
            <w:tcBorders>
              <w:top w:val="nil"/>
              <w:left w:val="nil"/>
              <w:bottom w:val="single" w:sz="4" w:space="0" w:color="auto"/>
              <w:right w:val="single" w:sz="4" w:space="0" w:color="auto"/>
            </w:tcBorders>
            <w:shd w:val="clear" w:color="auto" w:fill="auto"/>
            <w:vAlign w:val="center"/>
            <w:hideMark/>
          </w:tcPr>
          <w:p w14:paraId="63FF6481" w14:textId="77777777" w:rsidR="005B68FD" w:rsidRPr="005B68FD" w:rsidRDefault="005B68FD" w:rsidP="005B68FD">
            <w:pPr>
              <w:jc w:val="both"/>
              <w:rPr>
                <w:rFonts w:ascii="Tahoma" w:hAnsi="Tahoma" w:cs="Tahoma"/>
                <w:sz w:val="22"/>
                <w:szCs w:val="22"/>
              </w:rPr>
            </w:pPr>
            <w:r w:rsidRPr="005B68FD">
              <w:rPr>
                <w:rFonts w:ascii="Tahoma" w:hAnsi="Tahoma" w:cs="Tahoma"/>
                <w:sz w:val="22"/>
                <w:szCs w:val="22"/>
              </w:rPr>
              <w:t>ежемесячно (с 00 часов 1-го числа до 24 часов последнего числа месяца (включительно)</w:t>
            </w:r>
          </w:p>
        </w:tc>
        <w:tc>
          <w:tcPr>
            <w:tcW w:w="8821" w:type="dxa"/>
            <w:gridSpan w:val="2"/>
            <w:tcBorders>
              <w:top w:val="single" w:sz="4" w:space="0" w:color="auto"/>
              <w:left w:val="nil"/>
              <w:bottom w:val="single" w:sz="4" w:space="0" w:color="auto"/>
              <w:right w:val="single" w:sz="4" w:space="0" w:color="auto"/>
            </w:tcBorders>
            <w:shd w:val="clear" w:color="000000" w:fill="FFFFFF"/>
            <w:vAlign w:val="center"/>
            <w:hideMark/>
          </w:tcPr>
          <w:p w14:paraId="57BFA325"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600 000 рублей</w:t>
            </w:r>
          </w:p>
        </w:tc>
      </w:tr>
      <w:tr w:rsidR="005B68FD" w:rsidRPr="005B68FD" w14:paraId="17D6762C" w14:textId="77777777" w:rsidTr="005B68FD">
        <w:trPr>
          <w:trHeight w:val="645"/>
        </w:trPr>
        <w:tc>
          <w:tcPr>
            <w:tcW w:w="828" w:type="dxa"/>
            <w:tcBorders>
              <w:top w:val="nil"/>
              <w:left w:val="single" w:sz="4" w:space="0" w:color="auto"/>
              <w:bottom w:val="single" w:sz="4" w:space="0" w:color="auto"/>
              <w:right w:val="single" w:sz="4" w:space="0" w:color="auto"/>
            </w:tcBorders>
            <w:shd w:val="clear" w:color="000000" w:fill="595959"/>
            <w:noWrap/>
            <w:vAlign w:val="center"/>
            <w:hideMark/>
          </w:tcPr>
          <w:p w14:paraId="2C162ADC" w14:textId="77777777" w:rsidR="005B68FD" w:rsidRPr="005B68FD" w:rsidRDefault="005B68FD" w:rsidP="005B68FD">
            <w:pPr>
              <w:jc w:val="center"/>
              <w:rPr>
                <w:rFonts w:ascii="Tahoma" w:hAnsi="Tahoma" w:cs="Tahoma"/>
                <w:b/>
                <w:bCs/>
                <w:color w:val="FFFFFF"/>
                <w:sz w:val="22"/>
                <w:szCs w:val="22"/>
              </w:rPr>
            </w:pPr>
            <w:r w:rsidRPr="005B68FD">
              <w:rPr>
                <w:rFonts w:ascii="Tahoma" w:hAnsi="Tahoma" w:cs="Tahoma"/>
                <w:b/>
                <w:bCs/>
                <w:color w:val="FFFFFF"/>
                <w:sz w:val="22"/>
                <w:szCs w:val="22"/>
              </w:rPr>
              <w:t>4.2.</w:t>
            </w:r>
          </w:p>
        </w:tc>
        <w:tc>
          <w:tcPr>
            <w:tcW w:w="13808" w:type="dxa"/>
            <w:gridSpan w:val="3"/>
            <w:tcBorders>
              <w:top w:val="single" w:sz="4" w:space="0" w:color="auto"/>
              <w:left w:val="nil"/>
              <w:bottom w:val="single" w:sz="4" w:space="0" w:color="auto"/>
              <w:right w:val="single" w:sz="4" w:space="0" w:color="auto"/>
            </w:tcBorders>
            <w:shd w:val="clear" w:color="000000" w:fill="595959"/>
            <w:vAlign w:val="center"/>
            <w:hideMark/>
          </w:tcPr>
          <w:p w14:paraId="69771110" w14:textId="77777777" w:rsidR="005B68FD" w:rsidRPr="005B68FD" w:rsidRDefault="005B68FD" w:rsidP="005B68FD">
            <w:pPr>
              <w:rPr>
                <w:rFonts w:ascii="Tahoma" w:hAnsi="Tahoma" w:cs="Tahoma"/>
                <w:b/>
                <w:bCs/>
                <w:color w:val="FFFFFF"/>
                <w:sz w:val="22"/>
                <w:szCs w:val="22"/>
              </w:rPr>
            </w:pPr>
            <w:r w:rsidRPr="005B68FD">
              <w:rPr>
                <w:rFonts w:ascii="Tahoma" w:hAnsi="Tahoma" w:cs="Tahoma"/>
                <w:b/>
                <w:bCs/>
                <w:color w:val="FFFFFF"/>
                <w:sz w:val="22"/>
                <w:szCs w:val="22"/>
              </w:rPr>
              <w:t>Лимиты выдачи наличных в ТСП</w:t>
            </w:r>
            <w:r w:rsidRPr="005B68FD">
              <w:rPr>
                <w:rFonts w:ascii="Tahoma" w:hAnsi="Tahoma" w:cs="Tahoma"/>
                <w:b/>
                <w:bCs/>
                <w:color w:val="FFFFFF"/>
                <w:sz w:val="22"/>
                <w:szCs w:val="22"/>
                <w:vertAlign w:val="superscript"/>
              </w:rPr>
              <w:t>6</w:t>
            </w:r>
            <w:r w:rsidRPr="005B68FD">
              <w:rPr>
                <w:rFonts w:ascii="Tahoma" w:hAnsi="Tahoma" w:cs="Tahoma"/>
                <w:b/>
                <w:bCs/>
                <w:color w:val="FFFFFF"/>
                <w:sz w:val="22"/>
                <w:szCs w:val="22"/>
              </w:rPr>
              <w:t>, предоставляющих услугу выдачи наличных денежных средств при совершении покупки, с одного Счета Карты</w:t>
            </w:r>
            <w:r w:rsidRPr="005B68FD">
              <w:rPr>
                <w:rFonts w:ascii="Tahoma" w:hAnsi="Tahoma" w:cs="Tahoma"/>
                <w:b/>
                <w:bCs/>
                <w:color w:val="FFFFFF"/>
                <w:sz w:val="22"/>
                <w:szCs w:val="22"/>
                <w:vertAlign w:val="superscript"/>
              </w:rPr>
              <w:t>3</w:t>
            </w:r>
            <w:r w:rsidRPr="005B68FD">
              <w:rPr>
                <w:rFonts w:ascii="Tahoma" w:hAnsi="Tahoma" w:cs="Tahoma"/>
                <w:b/>
                <w:bCs/>
                <w:color w:val="FFFFFF"/>
                <w:sz w:val="22"/>
                <w:szCs w:val="22"/>
              </w:rPr>
              <w:t xml:space="preserve"> Клиента</w:t>
            </w:r>
          </w:p>
        </w:tc>
      </w:tr>
      <w:tr w:rsidR="005B68FD" w:rsidRPr="005B68FD" w14:paraId="36450BE7" w14:textId="77777777" w:rsidTr="005B68FD">
        <w:trPr>
          <w:trHeight w:val="495"/>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198023EB"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4.2.1.</w:t>
            </w:r>
          </w:p>
        </w:tc>
        <w:tc>
          <w:tcPr>
            <w:tcW w:w="4987" w:type="dxa"/>
            <w:tcBorders>
              <w:top w:val="nil"/>
              <w:left w:val="nil"/>
              <w:bottom w:val="single" w:sz="4" w:space="0" w:color="auto"/>
              <w:right w:val="single" w:sz="4" w:space="0" w:color="auto"/>
            </w:tcBorders>
            <w:shd w:val="clear" w:color="000000" w:fill="FFFFFF"/>
            <w:vAlign w:val="center"/>
            <w:hideMark/>
          </w:tcPr>
          <w:p w14:paraId="63EEAF1B" w14:textId="77777777" w:rsidR="005B68FD" w:rsidRPr="005B68FD" w:rsidRDefault="005B68FD" w:rsidP="005B68FD">
            <w:pPr>
              <w:jc w:val="both"/>
              <w:rPr>
                <w:rFonts w:ascii="Tahoma" w:hAnsi="Tahoma" w:cs="Tahoma"/>
                <w:color w:val="000000"/>
                <w:sz w:val="22"/>
                <w:szCs w:val="22"/>
              </w:rPr>
            </w:pPr>
            <w:r w:rsidRPr="005B68FD">
              <w:rPr>
                <w:rFonts w:ascii="Tahoma" w:hAnsi="Tahoma" w:cs="Tahoma"/>
                <w:color w:val="000000"/>
                <w:sz w:val="22"/>
                <w:szCs w:val="22"/>
              </w:rPr>
              <w:t>ежедневно (с 00 до 24 ч. московского времени)</w:t>
            </w:r>
          </w:p>
        </w:tc>
        <w:tc>
          <w:tcPr>
            <w:tcW w:w="8821" w:type="dxa"/>
            <w:gridSpan w:val="2"/>
            <w:tcBorders>
              <w:top w:val="single" w:sz="4" w:space="0" w:color="auto"/>
              <w:left w:val="nil"/>
              <w:bottom w:val="single" w:sz="4" w:space="0" w:color="auto"/>
              <w:right w:val="single" w:sz="4" w:space="0" w:color="auto"/>
            </w:tcBorders>
            <w:shd w:val="clear" w:color="auto" w:fill="auto"/>
            <w:noWrap/>
            <w:vAlign w:val="center"/>
            <w:hideMark/>
          </w:tcPr>
          <w:p w14:paraId="56C09C9D"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5 000 рублей</w:t>
            </w:r>
          </w:p>
        </w:tc>
      </w:tr>
      <w:tr w:rsidR="005B68FD" w:rsidRPr="005B68FD" w14:paraId="6CB701C6" w14:textId="77777777" w:rsidTr="005B68FD">
        <w:trPr>
          <w:trHeight w:val="465"/>
        </w:trPr>
        <w:tc>
          <w:tcPr>
            <w:tcW w:w="828" w:type="dxa"/>
            <w:tcBorders>
              <w:top w:val="nil"/>
              <w:left w:val="single" w:sz="4" w:space="0" w:color="auto"/>
              <w:bottom w:val="single" w:sz="4" w:space="0" w:color="auto"/>
              <w:right w:val="single" w:sz="4" w:space="0" w:color="auto"/>
            </w:tcBorders>
            <w:shd w:val="clear" w:color="000000" w:fill="FFFFFF"/>
            <w:noWrap/>
            <w:vAlign w:val="center"/>
            <w:hideMark/>
          </w:tcPr>
          <w:p w14:paraId="11E660BB"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4.2.2.</w:t>
            </w:r>
          </w:p>
        </w:tc>
        <w:tc>
          <w:tcPr>
            <w:tcW w:w="4987" w:type="dxa"/>
            <w:tcBorders>
              <w:top w:val="nil"/>
              <w:left w:val="nil"/>
              <w:bottom w:val="single" w:sz="4" w:space="0" w:color="auto"/>
              <w:right w:val="single" w:sz="4" w:space="0" w:color="auto"/>
            </w:tcBorders>
            <w:shd w:val="clear" w:color="000000" w:fill="FFFFFF"/>
            <w:vAlign w:val="center"/>
            <w:hideMark/>
          </w:tcPr>
          <w:p w14:paraId="4E19A82B" w14:textId="77777777" w:rsidR="005B68FD" w:rsidRPr="005B68FD" w:rsidRDefault="005B68FD" w:rsidP="005B68FD">
            <w:pPr>
              <w:jc w:val="both"/>
              <w:rPr>
                <w:rFonts w:ascii="Tahoma" w:hAnsi="Tahoma" w:cs="Tahoma"/>
                <w:color w:val="000000"/>
                <w:sz w:val="22"/>
                <w:szCs w:val="22"/>
              </w:rPr>
            </w:pPr>
            <w:r w:rsidRPr="005B68FD">
              <w:rPr>
                <w:rFonts w:ascii="Tahoma" w:hAnsi="Tahoma" w:cs="Tahoma"/>
                <w:color w:val="000000"/>
                <w:sz w:val="22"/>
                <w:szCs w:val="22"/>
              </w:rPr>
              <w:t>ежемесячно (в течение календарного месяца)</w:t>
            </w:r>
          </w:p>
        </w:tc>
        <w:tc>
          <w:tcPr>
            <w:tcW w:w="8821" w:type="dxa"/>
            <w:gridSpan w:val="2"/>
            <w:tcBorders>
              <w:top w:val="single" w:sz="4" w:space="0" w:color="auto"/>
              <w:left w:val="nil"/>
              <w:bottom w:val="single" w:sz="4" w:space="0" w:color="auto"/>
              <w:right w:val="single" w:sz="4" w:space="0" w:color="auto"/>
            </w:tcBorders>
            <w:shd w:val="clear" w:color="auto" w:fill="auto"/>
            <w:noWrap/>
            <w:vAlign w:val="center"/>
            <w:hideMark/>
          </w:tcPr>
          <w:p w14:paraId="49556957"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30 000 рублей</w:t>
            </w:r>
          </w:p>
        </w:tc>
      </w:tr>
      <w:tr w:rsidR="005B68FD" w:rsidRPr="005B68FD" w14:paraId="1CCA73A7" w14:textId="77777777" w:rsidTr="005B68FD">
        <w:trPr>
          <w:trHeight w:val="330"/>
        </w:trPr>
        <w:tc>
          <w:tcPr>
            <w:tcW w:w="828" w:type="dxa"/>
            <w:tcBorders>
              <w:top w:val="nil"/>
              <w:left w:val="single" w:sz="4" w:space="0" w:color="auto"/>
              <w:bottom w:val="single" w:sz="4" w:space="0" w:color="auto"/>
              <w:right w:val="single" w:sz="4" w:space="0" w:color="auto"/>
            </w:tcBorders>
            <w:shd w:val="clear" w:color="000000" w:fill="595959"/>
            <w:noWrap/>
            <w:vAlign w:val="center"/>
            <w:hideMark/>
          </w:tcPr>
          <w:p w14:paraId="43CBFA99" w14:textId="77777777" w:rsidR="005B68FD" w:rsidRPr="005B68FD" w:rsidRDefault="005B68FD" w:rsidP="005B68FD">
            <w:pPr>
              <w:jc w:val="center"/>
              <w:rPr>
                <w:rFonts w:ascii="Tahoma" w:hAnsi="Tahoma" w:cs="Tahoma"/>
                <w:b/>
                <w:bCs/>
                <w:color w:val="FFFFFF"/>
                <w:sz w:val="22"/>
                <w:szCs w:val="22"/>
              </w:rPr>
            </w:pPr>
            <w:r w:rsidRPr="005B68FD">
              <w:rPr>
                <w:rFonts w:ascii="Tahoma" w:hAnsi="Tahoma" w:cs="Tahoma"/>
                <w:b/>
                <w:bCs/>
                <w:color w:val="FFFFFF"/>
                <w:sz w:val="22"/>
                <w:szCs w:val="22"/>
              </w:rPr>
              <w:t>4.3.</w:t>
            </w:r>
          </w:p>
        </w:tc>
        <w:tc>
          <w:tcPr>
            <w:tcW w:w="13808" w:type="dxa"/>
            <w:gridSpan w:val="3"/>
            <w:tcBorders>
              <w:top w:val="single" w:sz="4" w:space="0" w:color="auto"/>
              <w:left w:val="nil"/>
              <w:bottom w:val="single" w:sz="4" w:space="0" w:color="auto"/>
              <w:right w:val="single" w:sz="4" w:space="0" w:color="auto"/>
            </w:tcBorders>
            <w:shd w:val="clear" w:color="000000" w:fill="595959"/>
            <w:vAlign w:val="center"/>
            <w:hideMark/>
          </w:tcPr>
          <w:p w14:paraId="03598831" w14:textId="77777777" w:rsidR="005B68FD" w:rsidRPr="005B68FD" w:rsidRDefault="005B68FD" w:rsidP="005B68FD">
            <w:pPr>
              <w:rPr>
                <w:rFonts w:ascii="Tahoma" w:hAnsi="Tahoma" w:cs="Tahoma"/>
                <w:b/>
                <w:bCs/>
                <w:color w:val="FFFFFF"/>
                <w:sz w:val="22"/>
                <w:szCs w:val="22"/>
              </w:rPr>
            </w:pPr>
            <w:r w:rsidRPr="005B68FD">
              <w:rPr>
                <w:rFonts w:ascii="Tahoma" w:hAnsi="Tahoma" w:cs="Tahoma"/>
                <w:b/>
                <w:bCs/>
                <w:color w:val="FFFFFF"/>
                <w:sz w:val="22"/>
                <w:szCs w:val="22"/>
              </w:rPr>
              <w:t>Выдача наличных денежных средств с использованием Карты с учетом лимитов совершения операций</w:t>
            </w:r>
          </w:p>
        </w:tc>
      </w:tr>
      <w:tr w:rsidR="005B68FD" w:rsidRPr="005B68FD" w14:paraId="6B823195" w14:textId="77777777" w:rsidTr="005B68FD">
        <w:trPr>
          <w:trHeight w:val="450"/>
        </w:trPr>
        <w:tc>
          <w:tcPr>
            <w:tcW w:w="828" w:type="dxa"/>
            <w:tcBorders>
              <w:top w:val="nil"/>
              <w:left w:val="single" w:sz="4" w:space="0" w:color="auto"/>
              <w:bottom w:val="single" w:sz="4" w:space="0" w:color="auto"/>
              <w:right w:val="single" w:sz="4" w:space="0" w:color="auto"/>
            </w:tcBorders>
            <w:shd w:val="clear" w:color="000000" w:fill="FFFFFF"/>
            <w:noWrap/>
            <w:vAlign w:val="center"/>
            <w:hideMark/>
          </w:tcPr>
          <w:p w14:paraId="1DC39BD2"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4.3.1.</w:t>
            </w:r>
          </w:p>
        </w:tc>
        <w:tc>
          <w:tcPr>
            <w:tcW w:w="4987" w:type="dxa"/>
            <w:tcBorders>
              <w:top w:val="nil"/>
              <w:left w:val="nil"/>
              <w:bottom w:val="single" w:sz="4" w:space="0" w:color="auto"/>
              <w:right w:val="single" w:sz="4" w:space="0" w:color="auto"/>
            </w:tcBorders>
            <w:shd w:val="clear" w:color="000000" w:fill="FFFFFF"/>
            <w:vAlign w:val="center"/>
            <w:hideMark/>
          </w:tcPr>
          <w:p w14:paraId="743D8C12" w14:textId="77777777" w:rsidR="005B68FD" w:rsidRPr="005B68FD" w:rsidRDefault="005B68FD" w:rsidP="005B68FD">
            <w:pPr>
              <w:jc w:val="both"/>
              <w:rPr>
                <w:rFonts w:ascii="Tahoma" w:hAnsi="Tahoma" w:cs="Tahoma"/>
                <w:sz w:val="22"/>
                <w:szCs w:val="22"/>
              </w:rPr>
            </w:pPr>
            <w:r w:rsidRPr="005B68FD">
              <w:rPr>
                <w:rFonts w:ascii="Tahoma" w:hAnsi="Tahoma" w:cs="Tahoma"/>
                <w:sz w:val="22"/>
                <w:szCs w:val="22"/>
              </w:rPr>
              <w:t>в банкоматах и пунктах выдачи наличных Банка</w:t>
            </w:r>
            <w:r w:rsidRPr="005B68FD">
              <w:rPr>
                <w:rFonts w:ascii="Tahoma" w:hAnsi="Tahoma" w:cs="Tahoma"/>
                <w:sz w:val="22"/>
                <w:szCs w:val="22"/>
                <w:vertAlign w:val="superscript"/>
              </w:rPr>
              <w:t>4</w:t>
            </w:r>
          </w:p>
        </w:tc>
        <w:tc>
          <w:tcPr>
            <w:tcW w:w="8821" w:type="dxa"/>
            <w:gridSpan w:val="2"/>
            <w:tcBorders>
              <w:top w:val="single" w:sz="4" w:space="0" w:color="auto"/>
              <w:left w:val="nil"/>
              <w:bottom w:val="single" w:sz="4" w:space="0" w:color="auto"/>
              <w:right w:val="single" w:sz="4" w:space="0" w:color="auto"/>
            </w:tcBorders>
            <w:shd w:val="clear" w:color="000000" w:fill="FFFFFF"/>
            <w:noWrap/>
            <w:vAlign w:val="center"/>
            <w:hideMark/>
          </w:tcPr>
          <w:p w14:paraId="783384FF" w14:textId="77777777" w:rsidR="005B68FD" w:rsidRPr="005B68FD" w:rsidRDefault="005B68FD" w:rsidP="005B68FD">
            <w:pPr>
              <w:jc w:val="center"/>
              <w:rPr>
                <w:rFonts w:ascii="Tahoma" w:hAnsi="Tahoma" w:cs="Tahoma"/>
                <w:b/>
                <w:bCs/>
                <w:sz w:val="22"/>
                <w:szCs w:val="22"/>
              </w:rPr>
            </w:pPr>
            <w:r w:rsidRPr="005B68FD">
              <w:rPr>
                <w:rFonts w:ascii="Tahoma" w:hAnsi="Tahoma" w:cs="Tahoma"/>
                <w:b/>
                <w:bCs/>
                <w:sz w:val="22"/>
                <w:szCs w:val="22"/>
              </w:rPr>
              <w:t>БЕСПЛАТНО</w:t>
            </w:r>
          </w:p>
        </w:tc>
      </w:tr>
      <w:tr w:rsidR="005B68FD" w:rsidRPr="005B68FD" w14:paraId="79571A65" w14:textId="77777777" w:rsidTr="005B68FD">
        <w:trPr>
          <w:trHeight w:val="627"/>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7CB50036"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4.3.2.</w:t>
            </w:r>
          </w:p>
        </w:tc>
        <w:tc>
          <w:tcPr>
            <w:tcW w:w="4987" w:type="dxa"/>
            <w:tcBorders>
              <w:top w:val="nil"/>
              <w:left w:val="nil"/>
              <w:bottom w:val="single" w:sz="4" w:space="0" w:color="auto"/>
              <w:right w:val="single" w:sz="4" w:space="0" w:color="auto"/>
            </w:tcBorders>
            <w:shd w:val="clear" w:color="auto" w:fill="auto"/>
            <w:vAlign w:val="center"/>
            <w:hideMark/>
          </w:tcPr>
          <w:p w14:paraId="46D604CA" w14:textId="77777777" w:rsidR="005B68FD" w:rsidRPr="005B68FD" w:rsidRDefault="005B68FD" w:rsidP="005B68FD">
            <w:pPr>
              <w:jc w:val="both"/>
              <w:rPr>
                <w:rFonts w:ascii="Tahoma" w:hAnsi="Tahoma" w:cs="Tahoma"/>
                <w:sz w:val="22"/>
                <w:szCs w:val="22"/>
              </w:rPr>
            </w:pPr>
            <w:r w:rsidRPr="005B68FD">
              <w:rPr>
                <w:rFonts w:ascii="Tahoma" w:hAnsi="Tahoma" w:cs="Tahoma"/>
                <w:sz w:val="22"/>
                <w:szCs w:val="22"/>
              </w:rPr>
              <w:t>в банкоматах других банков</w:t>
            </w:r>
            <w:r w:rsidRPr="005B68FD">
              <w:rPr>
                <w:rFonts w:ascii="Tahoma" w:hAnsi="Tahoma" w:cs="Tahoma"/>
                <w:sz w:val="22"/>
                <w:szCs w:val="22"/>
                <w:vertAlign w:val="superscript"/>
              </w:rPr>
              <w:t>14</w:t>
            </w:r>
            <w:r w:rsidRPr="005B68FD">
              <w:rPr>
                <w:rFonts w:ascii="Tahoma" w:hAnsi="Tahoma" w:cs="Tahoma"/>
                <w:sz w:val="22"/>
                <w:szCs w:val="22"/>
              </w:rPr>
              <w:t xml:space="preserve"> на территории РФ</w:t>
            </w:r>
          </w:p>
        </w:tc>
        <w:tc>
          <w:tcPr>
            <w:tcW w:w="8821" w:type="dxa"/>
            <w:gridSpan w:val="2"/>
            <w:tcBorders>
              <w:top w:val="single" w:sz="4" w:space="0" w:color="auto"/>
              <w:left w:val="nil"/>
              <w:bottom w:val="single" w:sz="4" w:space="0" w:color="auto"/>
              <w:right w:val="single" w:sz="4" w:space="0" w:color="auto"/>
            </w:tcBorders>
            <w:shd w:val="clear" w:color="auto" w:fill="auto"/>
            <w:vAlign w:val="center"/>
            <w:hideMark/>
          </w:tcPr>
          <w:p w14:paraId="1B8285E3" w14:textId="77777777" w:rsidR="005B68FD" w:rsidRPr="005B68FD" w:rsidRDefault="005B68FD" w:rsidP="005B68FD">
            <w:pPr>
              <w:jc w:val="center"/>
              <w:rPr>
                <w:rFonts w:ascii="Tahoma" w:hAnsi="Tahoma" w:cs="Tahoma"/>
                <w:b/>
                <w:bCs/>
                <w:sz w:val="22"/>
                <w:szCs w:val="22"/>
              </w:rPr>
            </w:pPr>
            <w:r w:rsidRPr="005B68FD">
              <w:rPr>
                <w:rFonts w:ascii="Tahoma" w:hAnsi="Tahoma" w:cs="Tahoma"/>
                <w:b/>
                <w:bCs/>
                <w:sz w:val="22"/>
                <w:szCs w:val="22"/>
              </w:rPr>
              <w:t xml:space="preserve">БЕСПЛАТНО: </w:t>
            </w:r>
            <w:r w:rsidRPr="005B68FD">
              <w:rPr>
                <w:rFonts w:ascii="Tahoma" w:hAnsi="Tahoma" w:cs="Tahoma"/>
                <w:sz w:val="22"/>
                <w:szCs w:val="22"/>
              </w:rPr>
              <w:t>при выдаче до 100 тыс. руб. (включительно) в календарный месяц,</w:t>
            </w:r>
            <w:r w:rsidRPr="005B68FD">
              <w:rPr>
                <w:rFonts w:ascii="Tahoma" w:hAnsi="Tahoma" w:cs="Tahoma"/>
                <w:b/>
                <w:bCs/>
                <w:sz w:val="22"/>
                <w:szCs w:val="22"/>
              </w:rPr>
              <w:br/>
            </w:r>
            <w:r w:rsidRPr="005B68FD">
              <w:rPr>
                <w:rFonts w:ascii="Tahoma" w:hAnsi="Tahoma" w:cs="Tahoma"/>
                <w:sz w:val="22"/>
                <w:szCs w:val="22"/>
              </w:rPr>
              <w:t>свыше: 1% от суммы операции</w:t>
            </w:r>
          </w:p>
        </w:tc>
      </w:tr>
      <w:tr w:rsidR="005B68FD" w:rsidRPr="005B68FD" w14:paraId="5A460151" w14:textId="77777777" w:rsidTr="005B68FD">
        <w:trPr>
          <w:trHeight w:val="645"/>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9C9918"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4.3.3.</w:t>
            </w:r>
          </w:p>
        </w:tc>
        <w:tc>
          <w:tcPr>
            <w:tcW w:w="49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A9DFB3" w14:textId="77777777" w:rsidR="005B68FD" w:rsidRPr="005B68FD" w:rsidRDefault="005B68FD" w:rsidP="005B68FD">
            <w:pPr>
              <w:jc w:val="both"/>
              <w:rPr>
                <w:rFonts w:ascii="Tahoma" w:hAnsi="Tahoma" w:cs="Tahoma"/>
                <w:sz w:val="22"/>
                <w:szCs w:val="22"/>
              </w:rPr>
            </w:pPr>
            <w:r w:rsidRPr="005B68FD">
              <w:rPr>
                <w:rFonts w:ascii="Tahoma" w:hAnsi="Tahoma" w:cs="Tahoma"/>
                <w:sz w:val="22"/>
                <w:szCs w:val="22"/>
              </w:rPr>
              <w:t>в пунктах выдачи наличных других банков</w:t>
            </w:r>
            <w:r w:rsidRPr="005B68FD">
              <w:rPr>
                <w:rFonts w:ascii="Tahoma" w:hAnsi="Tahoma" w:cs="Tahoma"/>
                <w:sz w:val="22"/>
                <w:szCs w:val="22"/>
                <w:vertAlign w:val="superscript"/>
              </w:rPr>
              <w:t>14</w:t>
            </w:r>
            <w:r w:rsidRPr="005B68FD">
              <w:rPr>
                <w:rFonts w:ascii="Tahoma" w:hAnsi="Tahoma" w:cs="Tahoma"/>
                <w:sz w:val="22"/>
                <w:szCs w:val="22"/>
              </w:rPr>
              <w:t xml:space="preserve"> на территории РФ</w:t>
            </w:r>
          </w:p>
        </w:tc>
        <w:tc>
          <w:tcPr>
            <w:tcW w:w="882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EF78F6C" w14:textId="77777777" w:rsidR="005B68FD" w:rsidRPr="005B68FD" w:rsidRDefault="005B68FD" w:rsidP="005B68FD">
            <w:pPr>
              <w:jc w:val="center"/>
              <w:rPr>
                <w:rFonts w:ascii="Tahoma" w:hAnsi="Tahoma" w:cs="Tahoma"/>
                <w:color w:val="000000"/>
                <w:sz w:val="22"/>
                <w:szCs w:val="22"/>
              </w:rPr>
            </w:pPr>
            <w:r w:rsidRPr="005B68FD">
              <w:rPr>
                <w:rFonts w:ascii="Tahoma" w:hAnsi="Tahoma" w:cs="Tahoma"/>
                <w:color w:val="000000"/>
                <w:sz w:val="22"/>
                <w:szCs w:val="22"/>
              </w:rPr>
              <w:t>1% от суммы операции</w:t>
            </w:r>
          </w:p>
        </w:tc>
      </w:tr>
      <w:tr w:rsidR="005B68FD" w:rsidRPr="005B68FD" w14:paraId="1FBDA331" w14:textId="77777777" w:rsidTr="005B68FD">
        <w:trPr>
          <w:trHeight w:val="660"/>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AD6D85"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4.3.4.</w:t>
            </w:r>
          </w:p>
        </w:tc>
        <w:tc>
          <w:tcPr>
            <w:tcW w:w="49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4F7323" w14:textId="77777777" w:rsidR="005B68FD" w:rsidRPr="005B68FD" w:rsidRDefault="005B68FD" w:rsidP="005B68FD">
            <w:pPr>
              <w:jc w:val="both"/>
              <w:rPr>
                <w:rFonts w:ascii="Tahoma" w:hAnsi="Tahoma" w:cs="Tahoma"/>
                <w:sz w:val="22"/>
                <w:szCs w:val="22"/>
              </w:rPr>
            </w:pPr>
            <w:r w:rsidRPr="005B68FD">
              <w:rPr>
                <w:rFonts w:ascii="Tahoma" w:hAnsi="Tahoma" w:cs="Tahoma"/>
                <w:sz w:val="22"/>
                <w:szCs w:val="22"/>
              </w:rPr>
              <w:t>в банкоматах других банков</w:t>
            </w:r>
            <w:r w:rsidRPr="005B68FD">
              <w:rPr>
                <w:rFonts w:ascii="Tahoma" w:hAnsi="Tahoma" w:cs="Tahoma"/>
                <w:sz w:val="22"/>
                <w:szCs w:val="22"/>
                <w:vertAlign w:val="superscript"/>
              </w:rPr>
              <w:t>14</w:t>
            </w:r>
            <w:r w:rsidRPr="005B68FD">
              <w:rPr>
                <w:rFonts w:ascii="Tahoma" w:hAnsi="Tahoma" w:cs="Tahoma"/>
                <w:sz w:val="22"/>
                <w:szCs w:val="22"/>
              </w:rPr>
              <w:t xml:space="preserve"> и в пунктах выдачи наличных других банков</w:t>
            </w:r>
            <w:r w:rsidRPr="005B68FD">
              <w:rPr>
                <w:rFonts w:ascii="Tahoma" w:hAnsi="Tahoma" w:cs="Tahoma"/>
                <w:sz w:val="22"/>
                <w:szCs w:val="22"/>
                <w:vertAlign w:val="superscript"/>
              </w:rPr>
              <w:t>14</w:t>
            </w:r>
            <w:r w:rsidRPr="005B68FD">
              <w:rPr>
                <w:rFonts w:ascii="Tahoma" w:hAnsi="Tahoma" w:cs="Tahoma"/>
                <w:sz w:val="22"/>
                <w:szCs w:val="22"/>
              </w:rPr>
              <w:t xml:space="preserve"> за рубежом</w:t>
            </w:r>
          </w:p>
        </w:tc>
        <w:tc>
          <w:tcPr>
            <w:tcW w:w="882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500EE2A" w14:textId="77777777" w:rsidR="005B68FD" w:rsidRPr="005B68FD" w:rsidRDefault="005B68FD" w:rsidP="005B68FD">
            <w:pPr>
              <w:jc w:val="center"/>
              <w:rPr>
                <w:rFonts w:ascii="Tahoma" w:hAnsi="Tahoma" w:cs="Tahoma"/>
                <w:color w:val="000000"/>
                <w:sz w:val="22"/>
                <w:szCs w:val="22"/>
              </w:rPr>
            </w:pPr>
            <w:r w:rsidRPr="005B68FD">
              <w:rPr>
                <w:rFonts w:ascii="Tahoma" w:hAnsi="Tahoma" w:cs="Tahoma"/>
                <w:color w:val="000000"/>
                <w:sz w:val="22"/>
                <w:szCs w:val="22"/>
              </w:rPr>
              <w:t>1% от суммы операции, мин. 150 рублей</w:t>
            </w:r>
          </w:p>
        </w:tc>
      </w:tr>
      <w:tr w:rsidR="005B68FD" w:rsidRPr="005B68FD" w14:paraId="6701D8F5" w14:textId="77777777" w:rsidTr="005B68FD">
        <w:trPr>
          <w:trHeight w:val="855"/>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2A51C9"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4.3.5.</w:t>
            </w:r>
          </w:p>
        </w:tc>
        <w:tc>
          <w:tcPr>
            <w:tcW w:w="4987" w:type="dxa"/>
            <w:tcBorders>
              <w:top w:val="single" w:sz="4" w:space="0" w:color="auto"/>
              <w:left w:val="nil"/>
              <w:bottom w:val="single" w:sz="4" w:space="0" w:color="auto"/>
              <w:right w:val="single" w:sz="4" w:space="0" w:color="auto"/>
            </w:tcBorders>
            <w:shd w:val="clear" w:color="auto" w:fill="auto"/>
            <w:vAlign w:val="center"/>
            <w:hideMark/>
          </w:tcPr>
          <w:p w14:paraId="779074B1" w14:textId="77777777" w:rsidR="005B68FD" w:rsidRPr="005B68FD" w:rsidRDefault="005B68FD" w:rsidP="005B68FD">
            <w:pPr>
              <w:jc w:val="both"/>
              <w:rPr>
                <w:rFonts w:ascii="Tahoma" w:hAnsi="Tahoma" w:cs="Tahoma"/>
                <w:sz w:val="22"/>
                <w:szCs w:val="22"/>
              </w:rPr>
            </w:pPr>
            <w:r w:rsidRPr="005B68FD">
              <w:rPr>
                <w:rFonts w:ascii="Tahoma" w:hAnsi="Tahoma" w:cs="Tahoma"/>
                <w:sz w:val="22"/>
                <w:szCs w:val="22"/>
              </w:rPr>
              <w:t>в ТСП</w:t>
            </w:r>
            <w:r w:rsidRPr="005B68FD">
              <w:rPr>
                <w:rFonts w:ascii="Tahoma" w:hAnsi="Tahoma" w:cs="Tahoma"/>
                <w:sz w:val="22"/>
                <w:szCs w:val="22"/>
                <w:vertAlign w:val="superscript"/>
              </w:rPr>
              <w:t>6</w:t>
            </w:r>
            <w:r w:rsidRPr="005B68FD">
              <w:rPr>
                <w:rFonts w:ascii="Tahoma" w:hAnsi="Tahoma" w:cs="Tahoma"/>
                <w:sz w:val="22"/>
                <w:szCs w:val="22"/>
              </w:rPr>
              <w:t>, предоставляющих услугу выдачи наличных денежных средств при совершении покупки</w:t>
            </w:r>
            <w:r w:rsidRPr="005B68FD">
              <w:rPr>
                <w:rFonts w:ascii="Tahoma" w:hAnsi="Tahoma" w:cs="Tahoma"/>
                <w:sz w:val="22"/>
                <w:szCs w:val="22"/>
                <w:vertAlign w:val="superscript"/>
              </w:rPr>
              <w:t>9</w:t>
            </w:r>
          </w:p>
        </w:tc>
        <w:tc>
          <w:tcPr>
            <w:tcW w:w="8821" w:type="dxa"/>
            <w:gridSpan w:val="2"/>
            <w:tcBorders>
              <w:top w:val="single" w:sz="4" w:space="0" w:color="auto"/>
              <w:left w:val="nil"/>
              <w:bottom w:val="single" w:sz="4" w:space="0" w:color="auto"/>
              <w:right w:val="single" w:sz="4" w:space="0" w:color="auto"/>
            </w:tcBorders>
            <w:shd w:val="clear" w:color="000000" w:fill="FFFFFF"/>
            <w:noWrap/>
            <w:vAlign w:val="center"/>
            <w:hideMark/>
          </w:tcPr>
          <w:p w14:paraId="7BD9A0FC" w14:textId="77777777" w:rsidR="005B68FD" w:rsidRPr="005B68FD" w:rsidRDefault="005B68FD" w:rsidP="005B68FD">
            <w:pPr>
              <w:jc w:val="center"/>
              <w:rPr>
                <w:rFonts w:ascii="Tahoma" w:hAnsi="Tahoma" w:cs="Tahoma"/>
                <w:b/>
                <w:bCs/>
                <w:sz w:val="22"/>
                <w:szCs w:val="22"/>
              </w:rPr>
            </w:pPr>
            <w:r w:rsidRPr="005B68FD">
              <w:rPr>
                <w:rFonts w:ascii="Tahoma" w:hAnsi="Tahoma" w:cs="Tahoma"/>
                <w:b/>
                <w:bCs/>
                <w:sz w:val="22"/>
                <w:szCs w:val="22"/>
              </w:rPr>
              <w:t>БЕСПЛАТНО</w:t>
            </w:r>
          </w:p>
        </w:tc>
      </w:tr>
      <w:tr w:rsidR="005B68FD" w:rsidRPr="005B68FD" w14:paraId="1DBDFB0B" w14:textId="77777777" w:rsidTr="005B68FD">
        <w:trPr>
          <w:trHeight w:val="285"/>
        </w:trPr>
        <w:tc>
          <w:tcPr>
            <w:tcW w:w="828" w:type="dxa"/>
            <w:tcBorders>
              <w:top w:val="nil"/>
              <w:left w:val="single" w:sz="4" w:space="0" w:color="auto"/>
              <w:bottom w:val="single" w:sz="4" w:space="0" w:color="auto"/>
              <w:right w:val="single" w:sz="4" w:space="0" w:color="auto"/>
            </w:tcBorders>
            <w:shd w:val="clear" w:color="000000" w:fill="595959"/>
            <w:noWrap/>
            <w:vAlign w:val="center"/>
            <w:hideMark/>
          </w:tcPr>
          <w:p w14:paraId="4CED211F" w14:textId="77777777" w:rsidR="005B68FD" w:rsidRPr="005B68FD" w:rsidRDefault="005B68FD" w:rsidP="005B68FD">
            <w:pPr>
              <w:jc w:val="center"/>
              <w:rPr>
                <w:rFonts w:ascii="Tahoma" w:hAnsi="Tahoma" w:cs="Tahoma"/>
                <w:b/>
                <w:bCs/>
                <w:color w:val="FFFFFF"/>
                <w:sz w:val="22"/>
                <w:szCs w:val="22"/>
              </w:rPr>
            </w:pPr>
            <w:r w:rsidRPr="005B68FD">
              <w:rPr>
                <w:rFonts w:ascii="Tahoma" w:hAnsi="Tahoma" w:cs="Tahoma"/>
                <w:b/>
                <w:bCs/>
                <w:color w:val="FFFFFF"/>
                <w:sz w:val="22"/>
                <w:szCs w:val="22"/>
              </w:rPr>
              <w:t>4.4.</w:t>
            </w:r>
          </w:p>
        </w:tc>
        <w:tc>
          <w:tcPr>
            <w:tcW w:w="13808" w:type="dxa"/>
            <w:gridSpan w:val="3"/>
            <w:tcBorders>
              <w:top w:val="single" w:sz="4" w:space="0" w:color="auto"/>
              <w:left w:val="nil"/>
              <w:bottom w:val="single" w:sz="4" w:space="0" w:color="auto"/>
              <w:right w:val="single" w:sz="4" w:space="0" w:color="auto"/>
            </w:tcBorders>
            <w:shd w:val="clear" w:color="000000" w:fill="595959"/>
            <w:vAlign w:val="center"/>
            <w:hideMark/>
          </w:tcPr>
          <w:p w14:paraId="401C6E3D" w14:textId="77777777" w:rsidR="005B68FD" w:rsidRPr="005B68FD" w:rsidRDefault="005B68FD" w:rsidP="005B68FD">
            <w:pPr>
              <w:rPr>
                <w:rFonts w:ascii="Tahoma" w:hAnsi="Tahoma" w:cs="Tahoma"/>
                <w:b/>
                <w:bCs/>
                <w:color w:val="FFFFFF"/>
                <w:sz w:val="22"/>
                <w:szCs w:val="22"/>
              </w:rPr>
            </w:pPr>
            <w:r w:rsidRPr="005B68FD">
              <w:rPr>
                <w:rFonts w:ascii="Tahoma" w:hAnsi="Tahoma" w:cs="Tahoma"/>
                <w:b/>
                <w:bCs/>
                <w:color w:val="FFFFFF"/>
                <w:sz w:val="22"/>
                <w:szCs w:val="22"/>
              </w:rPr>
              <w:t>Прием и зачисление наличных денежных средств с использованием Карты</w:t>
            </w:r>
          </w:p>
        </w:tc>
      </w:tr>
      <w:tr w:rsidR="005B68FD" w:rsidRPr="005B68FD" w14:paraId="44A39789" w14:textId="77777777" w:rsidTr="005B68FD">
        <w:trPr>
          <w:trHeight w:val="855"/>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1C54A985"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4.4.1.</w:t>
            </w:r>
          </w:p>
        </w:tc>
        <w:tc>
          <w:tcPr>
            <w:tcW w:w="4987" w:type="dxa"/>
            <w:tcBorders>
              <w:top w:val="nil"/>
              <w:left w:val="nil"/>
              <w:bottom w:val="single" w:sz="4" w:space="0" w:color="auto"/>
              <w:right w:val="single" w:sz="4" w:space="0" w:color="auto"/>
            </w:tcBorders>
            <w:shd w:val="clear" w:color="auto" w:fill="auto"/>
            <w:vAlign w:val="center"/>
            <w:hideMark/>
          </w:tcPr>
          <w:p w14:paraId="76F80298" w14:textId="77777777" w:rsidR="005B68FD" w:rsidRPr="005B68FD" w:rsidRDefault="005B68FD" w:rsidP="005B68FD">
            <w:pPr>
              <w:jc w:val="both"/>
              <w:rPr>
                <w:rFonts w:ascii="Tahoma" w:hAnsi="Tahoma" w:cs="Tahoma"/>
                <w:color w:val="000000"/>
                <w:sz w:val="22"/>
                <w:szCs w:val="22"/>
              </w:rPr>
            </w:pPr>
            <w:r w:rsidRPr="005B68FD">
              <w:rPr>
                <w:rFonts w:ascii="Tahoma" w:hAnsi="Tahoma" w:cs="Tahoma"/>
                <w:color w:val="000000"/>
                <w:sz w:val="22"/>
                <w:szCs w:val="22"/>
              </w:rPr>
              <w:t>на Счет Карты</w:t>
            </w:r>
            <w:r w:rsidRPr="005B68FD">
              <w:rPr>
                <w:rFonts w:ascii="Tahoma" w:hAnsi="Tahoma" w:cs="Tahoma"/>
                <w:color w:val="000000"/>
                <w:sz w:val="22"/>
                <w:szCs w:val="22"/>
                <w:vertAlign w:val="superscript"/>
              </w:rPr>
              <w:t>3</w:t>
            </w:r>
            <w:r w:rsidRPr="005B68FD">
              <w:rPr>
                <w:rFonts w:ascii="Tahoma" w:hAnsi="Tahoma" w:cs="Tahoma"/>
                <w:color w:val="000000"/>
                <w:sz w:val="22"/>
                <w:szCs w:val="22"/>
              </w:rPr>
              <w:t xml:space="preserve"> в кассах Банка</w:t>
            </w:r>
            <w:r w:rsidRPr="005B68FD">
              <w:rPr>
                <w:rFonts w:ascii="Tahoma" w:hAnsi="Tahoma" w:cs="Tahoma"/>
                <w:color w:val="000000"/>
                <w:sz w:val="22"/>
                <w:szCs w:val="22"/>
                <w:vertAlign w:val="superscript"/>
              </w:rPr>
              <w:t>4</w:t>
            </w:r>
            <w:r w:rsidRPr="005B68FD">
              <w:rPr>
                <w:rFonts w:ascii="Tahoma" w:hAnsi="Tahoma" w:cs="Tahoma"/>
                <w:color w:val="000000"/>
                <w:sz w:val="22"/>
                <w:szCs w:val="22"/>
              </w:rPr>
              <w:t>, банкоматах Банка</w:t>
            </w:r>
            <w:r w:rsidRPr="005B68FD">
              <w:rPr>
                <w:rFonts w:ascii="Tahoma" w:hAnsi="Tahoma" w:cs="Tahoma"/>
                <w:color w:val="000000"/>
                <w:sz w:val="22"/>
                <w:szCs w:val="22"/>
                <w:vertAlign w:val="superscript"/>
              </w:rPr>
              <w:t>4</w:t>
            </w:r>
            <w:r w:rsidRPr="005B68FD">
              <w:rPr>
                <w:rFonts w:ascii="Tahoma" w:hAnsi="Tahoma" w:cs="Tahoma"/>
                <w:color w:val="000000"/>
                <w:sz w:val="22"/>
                <w:szCs w:val="22"/>
              </w:rPr>
              <w:t xml:space="preserve"> и через терминалы самообслуживания Банка</w:t>
            </w:r>
            <w:r w:rsidRPr="005B68FD">
              <w:rPr>
                <w:rFonts w:ascii="Tahoma" w:hAnsi="Tahoma" w:cs="Tahoma"/>
                <w:color w:val="000000"/>
                <w:sz w:val="22"/>
                <w:szCs w:val="22"/>
                <w:vertAlign w:val="superscript"/>
              </w:rPr>
              <w:t>4</w:t>
            </w:r>
          </w:p>
        </w:tc>
        <w:tc>
          <w:tcPr>
            <w:tcW w:w="8821" w:type="dxa"/>
            <w:gridSpan w:val="2"/>
            <w:tcBorders>
              <w:top w:val="single" w:sz="4" w:space="0" w:color="auto"/>
              <w:left w:val="nil"/>
              <w:bottom w:val="single" w:sz="4" w:space="0" w:color="auto"/>
              <w:right w:val="single" w:sz="4" w:space="0" w:color="auto"/>
            </w:tcBorders>
            <w:shd w:val="clear" w:color="000000" w:fill="FFFFFF"/>
            <w:noWrap/>
            <w:vAlign w:val="center"/>
            <w:hideMark/>
          </w:tcPr>
          <w:p w14:paraId="238872AA" w14:textId="77777777" w:rsidR="005B68FD" w:rsidRPr="005B68FD" w:rsidRDefault="005B68FD" w:rsidP="005B68FD">
            <w:pPr>
              <w:jc w:val="center"/>
              <w:rPr>
                <w:rFonts w:ascii="Tahoma" w:hAnsi="Tahoma" w:cs="Tahoma"/>
                <w:b/>
                <w:bCs/>
                <w:sz w:val="22"/>
                <w:szCs w:val="22"/>
              </w:rPr>
            </w:pPr>
            <w:r w:rsidRPr="005B68FD">
              <w:rPr>
                <w:rFonts w:ascii="Tahoma" w:hAnsi="Tahoma" w:cs="Tahoma"/>
                <w:b/>
                <w:bCs/>
                <w:sz w:val="22"/>
                <w:szCs w:val="22"/>
              </w:rPr>
              <w:t>БЕСПЛАТНО</w:t>
            </w:r>
          </w:p>
        </w:tc>
      </w:tr>
      <w:tr w:rsidR="005B68FD" w:rsidRPr="005B68FD" w14:paraId="3BBF4829" w14:textId="77777777" w:rsidTr="005B68FD">
        <w:trPr>
          <w:trHeight w:val="855"/>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52F929F3"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4.4.2.</w:t>
            </w:r>
          </w:p>
        </w:tc>
        <w:tc>
          <w:tcPr>
            <w:tcW w:w="4987" w:type="dxa"/>
            <w:tcBorders>
              <w:top w:val="nil"/>
              <w:left w:val="nil"/>
              <w:bottom w:val="single" w:sz="4" w:space="0" w:color="auto"/>
              <w:right w:val="single" w:sz="4" w:space="0" w:color="auto"/>
            </w:tcBorders>
            <w:shd w:val="clear" w:color="auto" w:fill="auto"/>
            <w:vAlign w:val="center"/>
            <w:hideMark/>
          </w:tcPr>
          <w:p w14:paraId="3BCB3E8C" w14:textId="77777777" w:rsidR="005B68FD" w:rsidRPr="005B68FD" w:rsidRDefault="005B68FD" w:rsidP="005B68FD">
            <w:pPr>
              <w:jc w:val="both"/>
              <w:rPr>
                <w:rFonts w:ascii="Tahoma" w:hAnsi="Tahoma" w:cs="Tahoma"/>
                <w:sz w:val="22"/>
                <w:szCs w:val="22"/>
              </w:rPr>
            </w:pPr>
            <w:r w:rsidRPr="005B68FD">
              <w:rPr>
                <w:rFonts w:ascii="Tahoma" w:hAnsi="Tahoma" w:cs="Tahoma"/>
                <w:sz w:val="22"/>
                <w:szCs w:val="22"/>
              </w:rPr>
              <w:t>на Счет Карты</w:t>
            </w:r>
            <w:r w:rsidRPr="005B68FD">
              <w:rPr>
                <w:rFonts w:ascii="Tahoma" w:hAnsi="Tahoma" w:cs="Tahoma"/>
                <w:sz w:val="22"/>
                <w:szCs w:val="22"/>
                <w:vertAlign w:val="superscript"/>
              </w:rPr>
              <w:t>3</w:t>
            </w:r>
            <w:r w:rsidRPr="005B68FD">
              <w:rPr>
                <w:rFonts w:ascii="Tahoma" w:hAnsi="Tahoma" w:cs="Tahoma"/>
                <w:sz w:val="22"/>
                <w:szCs w:val="22"/>
              </w:rPr>
              <w:t xml:space="preserve"> через розничные сети других банков</w:t>
            </w:r>
          </w:p>
        </w:tc>
        <w:tc>
          <w:tcPr>
            <w:tcW w:w="8821" w:type="dxa"/>
            <w:gridSpan w:val="2"/>
            <w:tcBorders>
              <w:top w:val="single" w:sz="4" w:space="0" w:color="auto"/>
              <w:left w:val="nil"/>
              <w:bottom w:val="single" w:sz="4" w:space="0" w:color="auto"/>
              <w:right w:val="single" w:sz="4" w:space="0" w:color="auto"/>
            </w:tcBorders>
            <w:shd w:val="clear" w:color="auto" w:fill="auto"/>
            <w:vAlign w:val="center"/>
            <w:hideMark/>
          </w:tcPr>
          <w:p w14:paraId="7F2B5094" w14:textId="77777777" w:rsidR="005B68FD" w:rsidRPr="005B68FD" w:rsidRDefault="005B68FD" w:rsidP="005B68FD">
            <w:pPr>
              <w:jc w:val="center"/>
              <w:rPr>
                <w:rFonts w:ascii="Tahoma" w:hAnsi="Tahoma" w:cs="Tahoma"/>
                <w:b/>
                <w:bCs/>
                <w:sz w:val="22"/>
                <w:szCs w:val="22"/>
              </w:rPr>
            </w:pPr>
            <w:r w:rsidRPr="005B68FD">
              <w:rPr>
                <w:rFonts w:ascii="Tahoma" w:hAnsi="Tahoma" w:cs="Tahoma"/>
                <w:b/>
                <w:bCs/>
                <w:sz w:val="22"/>
                <w:szCs w:val="22"/>
              </w:rPr>
              <w:t xml:space="preserve">БЕСПЛАТНО </w:t>
            </w:r>
            <w:r w:rsidRPr="005B68FD">
              <w:rPr>
                <w:rFonts w:ascii="Tahoma" w:hAnsi="Tahoma" w:cs="Tahoma"/>
                <w:b/>
                <w:bCs/>
                <w:sz w:val="22"/>
                <w:szCs w:val="22"/>
              </w:rPr>
              <w:br/>
            </w:r>
            <w:r w:rsidRPr="005B68FD">
              <w:rPr>
                <w:rFonts w:ascii="Tahoma" w:hAnsi="Tahoma" w:cs="Tahoma"/>
                <w:sz w:val="22"/>
                <w:szCs w:val="22"/>
              </w:rPr>
              <w:t>(возможно взимание комиссии за пополнение в розничной сети других банков)</w:t>
            </w:r>
          </w:p>
        </w:tc>
      </w:tr>
      <w:tr w:rsidR="005B68FD" w:rsidRPr="005B68FD" w14:paraId="4B8C36E9" w14:textId="77777777" w:rsidTr="005B68FD">
        <w:trPr>
          <w:trHeight w:val="735"/>
        </w:trPr>
        <w:tc>
          <w:tcPr>
            <w:tcW w:w="828" w:type="dxa"/>
            <w:tcBorders>
              <w:top w:val="nil"/>
              <w:left w:val="single" w:sz="4" w:space="0" w:color="auto"/>
              <w:bottom w:val="single" w:sz="4" w:space="0" w:color="auto"/>
              <w:right w:val="single" w:sz="4" w:space="0" w:color="auto"/>
            </w:tcBorders>
            <w:shd w:val="clear" w:color="000000" w:fill="595959"/>
            <w:noWrap/>
            <w:vAlign w:val="center"/>
            <w:hideMark/>
          </w:tcPr>
          <w:p w14:paraId="34401341" w14:textId="77777777" w:rsidR="005B68FD" w:rsidRPr="005B68FD" w:rsidRDefault="005B68FD" w:rsidP="005B68FD">
            <w:pPr>
              <w:jc w:val="center"/>
              <w:rPr>
                <w:rFonts w:ascii="Tahoma" w:hAnsi="Tahoma" w:cs="Tahoma"/>
                <w:b/>
                <w:bCs/>
                <w:color w:val="FFFFFF"/>
                <w:sz w:val="22"/>
                <w:szCs w:val="22"/>
              </w:rPr>
            </w:pPr>
            <w:r w:rsidRPr="005B68FD">
              <w:rPr>
                <w:rFonts w:ascii="Tahoma" w:hAnsi="Tahoma" w:cs="Tahoma"/>
                <w:b/>
                <w:bCs/>
                <w:color w:val="FFFFFF"/>
                <w:sz w:val="22"/>
                <w:szCs w:val="22"/>
              </w:rPr>
              <w:t>5.</w:t>
            </w:r>
          </w:p>
        </w:tc>
        <w:tc>
          <w:tcPr>
            <w:tcW w:w="13808" w:type="dxa"/>
            <w:gridSpan w:val="3"/>
            <w:tcBorders>
              <w:top w:val="single" w:sz="4" w:space="0" w:color="auto"/>
              <w:left w:val="nil"/>
              <w:bottom w:val="single" w:sz="4" w:space="0" w:color="auto"/>
              <w:right w:val="single" w:sz="4" w:space="0" w:color="auto"/>
            </w:tcBorders>
            <w:shd w:val="clear" w:color="000000" w:fill="595959"/>
            <w:vAlign w:val="center"/>
            <w:hideMark/>
          </w:tcPr>
          <w:p w14:paraId="192F6D99" w14:textId="77777777" w:rsidR="005B68FD" w:rsidRPr="005B68FD" w:rsidRDefault="005B68FD" w:rsidP="005B68FD">
            <w:pPr>
              <w:rPr>
                <w:rFonts w:ascii="Tahoma" w:hAnsi="Tahoma" w:cs="Tahoma"/>
                <w:b/>
                <w:bCs/>
                <w:color w:val="FFFFFF"/>
                <w:sz w:val="22"/>
                <w:szCs w:val="22"/>
              </w:rPr>
            </w:pPr>
            <w:r w:rsidRPr="005B68FD">
              <w:rPr>
                <w:rFonts w:ascii="Tahoma" w:hAnsi="Tahoma" w:cs="Tahoma"/>
                <w:b/>
                <w:bCs/>
                <w:color w:val="FFFFFF"/>
                <w:sz w:val="22"/>
                <w:szCs w:val="22"/>
              </w:rPr>
              <w:t>Совершение безналичных операций в ТСП</w:t>
            </w:r>
            <w:r w:rsidRPr="005B68FD">
              <w:rPr>
                <w:rFonts w:ascii="Tahoma" w:hAnsi="Tahoma" w:cs="Tahoma"/>
                <w:b/>
                <w:bCs/>
                <w:color w:val="FFFFFF"/>
                <w:sz w:val="22"/>
                <w:szCs w:val="22"/>
                <w:vertAlign w:val="superscript"/>
              </w:rPr>
              <w:t xml:space="preserve">6 </w:t>
            </w:r>
            <w:r w:rsidRPr="005B68FD">
              <w:rPr>
                <w:rFonts w:ascii="Tahoma" w:hAnsi="Tahoma" w:cs="Tahoma"/>
                <w:b/>
                <w:bCs/>
                <w:color w:val="FFFFFF"/>
                <w:sz w:val="22"/>
                <w:szCs w:val="22"/>
              </w:rPr>
              <w:t>и сети Интернет (оплата товаров, работ, услуг, результатов интеллектуальной деятельности) с использованием Карты</w:t>
            </w:r>
          </w:p>
        </w:tc>
      </w:tr>
      <w:tr w:rsidR="005B68FD" w:rsidRPr="005B68FD" w14:paraId="54286872" w14:textId="77777777" w:rsidTr="005B68FD">
        <w:trPr>
          <w:trHeight w:val="930"/>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5D23688D"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5.1.</w:t>
            </w:r>
          </w:p>
        </w:tc>
        <w:tc>
          <w:tcPr>
            <w:tcW w:w="4987" w:type="dxa"/>
            <w:tcBorders>
              <w:top w:val="nil"/>
              <w:left w:val="nil"/>
              <w:bottom w:val="single" w:sz="4" w:space="0" w:color="auto"/>
              <w:right w:val="single" w:sz="4" w:space="0" w:color="auto"/>
            </w:tcBorders>
            <w:shd w:val="clear" w:color="auto" w:fill="auto"/>
            <w:vAlign w:val="center"/>
            <w:hideMark/>
          </w:tcPr>
          <w:p w14:paraId="326ED63F" w14:textId="77777777" w:rsidR="005B68FD" w:rsidRPr="005B68FD" w:rsidRDefault="005B68FD" w:rsidP="005B68FD">
            <w:pPr>
              <w:jc w:val="both"/>
              <w:rPr>
                <w:rFonts w:ascii="Tahoma" w:hAnsi="Tahoma" w:cs="Tahoma"/>
                <w:color w:val="000000"/>
                <w:sz w:val="22"/>
                <w:szCs w:val="22"/>
              </w:rPr>
            </w:pPr>
            <w:r w:rsidRPr="005B68FD">
              <w:rPr>
                <w:rFonts w:ascii="Tahoma" w:hAnsi="Tahoma" w:cs="Tahoma"/>
                <w:color w:val="000000"/>
                <w:sz w:val="22"/>
                <w:szCs w:val="22"/>
              </w:rPr>
              <w:t>совершение безналичных операций в ТСП</w:t>
            </w:r>
            <w:r w:rsidRPr="005B68FD">
              <w:rPr>
                <w:rFonts w:ascii="Tahoma" w:hAnsi="Tahoma" w:cs="Tahoma"/>
                <w:color w:val="000000"/>
                <w:sz w:val="22"/>
                <w:szCs w:val="22"/>
                <w:vertAlign w:val="superscript"/>
              </w:rPr>
              <w:t>6</w:t>
            </w:r>
            <w:r w:rsidRPr="005B68FD">
              <w:rPr>
                <w:rFonts w:ascii="Tahoma" w:hAnsi="Tahoma" w:cs="Tahoma"/>
                <w:color w:val="000000"/>
                <w:sz w:val="22"/>
                <w:szCs w:val="22"/>
              </w:rPr>
              <w:t xml:space="preserve"> (оплата товаров, работ, услуг, результатов интеллектуальной деятельности)</w:t>
            </w:r>
          </w:p>
        </w:tc>
        <w:tc>
          <w:tcPr>
            <w:tcW w:w="8821" w:type="dxa"/>
            <w:gridSpan w:val="2"/>
            <w:tcBorders>
              <w:top w:val="single" w:sz="4" w:space="0" w:color="auto"/>
              <w:left w:val="nil"/>
              <w:bottom w:val="single" w:sz="4" w:space="0" w:color="auto"/>
              <w:right w:val="single" w:sz="4" w:space="0" w:color="auto"/>
            </w:tcBorders>
            <w:shd w:val="clear" w:color="auto" w:fill="auto"/>
            <w:vAlign w:val="center"/>
            <w:hideMark/>
          </w:tcPr>
          <w:p w14:paraId="611DED60" w14:textId="77777777" w:rsidR="005B68FD" w:rsidRPr="005B68FD" w:rsidRDefault="005B68FD" w:rsidP="005B68FD">
            <w:pPr>
              <w:jc w:val="center"/>
              <w:rPr>
                <w:rFonts w:ascii="Tahoma" w:hAnsi="Tahoma" w:cs="Tahoma"/>
                <w:b/>
                <w:bCs/>
                <w:color w:val="000000"/>
                <w:sz w:val="22"/>
                <w:szCs w:val="22"/>
              </w:rPr>
            </w:pPr>
            <w:r w:rsidRPr="005B68FD">
              <w:rPr>
                <w:rFonts w:ascii="Tahoma" w:hAnsi="Tahoma" w:cs="Tahoma"/>
                <w:b/>
                <w:bCs/>
                <w:color w:val="000000"/>
                <w:sz w:val="22"/>
                <w:szCs w:val="22"/>
              </w:rPr>
              <w:t>БЕСПЛАТНО</w:t>
            </w:r>
          </w:p>
        </w:tc>
      </w:tr>
      <w:tr w:rsidR="005B68FD" w:rsidRPr="005B68FD" w14:paraId="43313C59" w14:textId="77777777" w:rsidTr="005B68FD">
        <w:trPr>
          <w:trHeight w:val="930"/>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2D3BBED3"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5.2.</w:t>
            </w:r>
          </w:p>
        </w:tc>
        <w:tc>
          <w:tcPr>
            <w:tcW w:w="4987" w:type="dxa"/>
            <w:tcBorders>
              <w:top w:val="nil"/>
              <w:left w:val="nil"/>
              <w:bottom w:val="single" w:sz="4" w:space="0" w:color="auto"/>
              <w:right w:val="single" w:sz="4" w:space="0" w:color="auto"/>
            </w:tcBorders>
            <w:shd w:val="clear" w:color="auto" w:fill="auto"/>
            <w:vAlign w:val="center"/>
            <w:hideMark/>
          </w:tcPr>
          <w:p w14:paraId="68145D39" w14:textId="77777777" w:rsidR="005B68FD" w:rsidRPr="005B68FD" w:rsidRDefault="005B68FD" w:rsidP="005B68FD">
            <w:pPr>
              <w:jc w:val="both"/>
              <w:rPr>
                <w:rFonts w:ascii="Tahoma" w:hAnsi="Tahoma" w:cs="Tahoma"/>
                <w:color w:val="000000"/>
                <w:sz w:val="22"/>
                <w:szCs w:val="22"/>
              </w:rPr>
            </w:pPr>
            <w:r w:rsidRPr="005B68FD">
              <w:rPr>
                <w:rFonts w:ascii="Tahoma" w:hAnsi="Tahoma" w:cs="Tahoma"/>
                <w:color w:val="000000"/>
                <w:sz w:val="22"/>
                <w:szCs w:val="22"/>
              </w:rPr>
              <w:t>проведение «уникальных» транзакций и квази-кэш операций: оплата дорожных чеков, денежных обязательств, лотерейных билетов, игровых фишек в казино и пр.</w:t>
            </w:r>
          </w:p>
        </w:tc>
        <w:tc>
          <w:tcPr>
            <w:tcW w:w="8821" w:type="dxa"/>
            <w:gridSpan w:val="2"/>
            <w:tcBorders>
              <w:top w:val="single" w:sz="4" w:space="0" w:color="auto"/>
              <w:left w:val="nil"/>
              <w:bottom w:val="single" w:sz="4" w:space="0" w:color="auto"/>
              <w:right w:val="single" w:sz="4" w:space="0" w:color="auto"/>
            </w:tcBorders>
            <w:shd w:val="clear" w:color="auto" w:fill="auto"/>
            <w:vAlign w:val="center"/>
            <w:hideMark/>
          </w:tcPr>
          <w:p w14:paraId="704932DD"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3% от суммы операции</w:t>
            </w:r>
            <w:r w:rsidRPr="005B68FD">
              <w:rPr>
                <w:rFonts w:ascii="Tahoma" w:hAnsi="Tahoma" w:cs="Tahoma"/>
                <w:sz w:val="22"/>
                <w:szCs w:val="22"/>
                <w:vertAlign w:val="superscript"/>
              </w:rPr>
              <w:t>9</w:t>
            </w:r>
          </w:p>
        </w:tc>
      </w:tr>
      <w:tr w:rsidR="005B68FD" w:rsidRPr="005B68FD" w14:paraId="275ECE2D" w14:textId="77777777" w:rsidTr="005B68FD">
        <w:trPr>
          <w:trHeight w:val="1170"/>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52E50A1B"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5.3.</w:t>
            </w:r>
          </w:p>
        </w:tc>
        <w:tc>
          <w:tcPr>
            <w:tcW w:w="4987" w:type="dxa"/>
            <w:tcBorders>
              <w:top w:val="nil"/>
              <w:left w:val="nil"/>
              <w:bottom w:val="single" w:sz="4" w:space="0" w:color="auto"/>
              <w:right w:val="single" w:sz="4" w:space="0" w:color="auto"/>
            </w:tcBorders>
            <w:shd w:val="clear" w:color="auto" w:fill="auto"/>
            <w:vAlign w:val="center"/>
            <w:hideMark/>
          </w:tcPr>
          <w:p w14:paraId="37C19D9A" w14:textId="77777777" w:rsidR="005B68FD" w:rsidRPr="005B68FD" w:rsidRDefault="005B68FD" w:rsidP="005B68FD">
            <w:pPr>
              <w:jc w:val="both"/>
              <w:rPr>
                <w:rFonts w:ascii="Tahoma" w:hAnsi="Tahoma" w:cs="Tahoma"/>
                <w:sz w:val="22"/>
                <w:szCs w:val="22"/>
              </w:rPr>
            </w:pPr>
            <w:r w:rsidRPr="005B68FD">
              <w:rPr>
                <w:rFonts w:ascii="Tahoma" w:hAnsi="Tahoma" w:cs="Tahoma"/>
                <w:sz w:val="22"/>
                <w:szCs w:val="22"/>
              </w:rPr>
              <w:t>конверсия</w:t>
            </w:r>
            <w:r w:rsidRPr="005B68FD">
              <w:rPr>
                <w:rFonts w:ascii="Tahoma" w:hAnsi="Tahoma" w:cs="Tahoma"/>
                <w:sz w:val="22"/>
                <w:szCs w:val="22"/>
                <w:vertAlign w:val="superscript"/>
              </w:rPr>
              <w:t xml:space="preserve">24 </w:t>
            </w:r>
            <w:r w:rsidRPr="005B68FD">
              <w:rPr>
                <w:rFonts w:ascii="Tahoma" w:hAnsi="Tahoma" w:cs="Tahoma"/>
                <w:sz w:val="22"/>
                <w:szCs w:val="22"/>
              </w:rPr>
              <w:t>при совершении оплаты в ТСП</w:t>
            </w:r>
          </w:p>
        </w:tc>
        <w:tc>
          <w:tcPr>
            <w:tcW w:w="8821" w:type="dxa"/>
            <w:gridSpan w:val="2"/>
            <w:tcBorders>
              <w:top w:val="single" w:sz="4" w:space="0" w:color="auto"/>
              <w:left w:val="nil"/>
              <w:bottom w:val="single" w:sz="4" w:space="0" w:color="auto"/>
              <w:right w:val="single" w:sz="4" w:space="0" w:color="auto"/>
            </w:tcBorders>
            <w:shd w:val="clear" w:color="auto" w:fill="auto"/>
            <w:vAlign w:val="center"/>
            <w:hideMark/>
          </w:tcPr>
          <w:p w14:paraId="19C7F716" w14:textId="77777777" w:rsidR="005B68FD" w:rsidRPr="005B68FD" w:rsidRDefault="005B68FD" w:rsidP="005B68FD">
            <w:pPr>
              <w:jc w:val="center"/>
              <w:rPr>
                <w:rFonts w:ascii="Tahoma" w:hAnsi="Tahoma" w:cs="Tahoma"/>
                <w:color w:val="000000"/>
                <w:sz w:val="22"/>
                <w:szCs w:val="22"/>
              </w:rPr>
            </w:pPr>
            <w:r w:rsidRPr="005B68FD">
              <w:rPr>
                <w:rFonts w:ascii="Tahoma" w:hAnsi="Tahoma" w:cs="Tahoma"/>
                <w:color w:val="000000"/>
                <w:sz w:val="22"/>
                <w:szCs w:val="22"/>
              </w:rPr>
              <w:t>по курсу Банка на момент совершения операции: если валюта Счета Карты Клиента отлична от валюты расчетов Банка с Платежной системой в этом регионе (валюта расчетов Банка с Платежной системой в этом регионе при этом идентична валюте совершения операции)</w:t>
            </w:r>
          </w:p>
        </w:tc>
      </w:tr>
      <w:tr w:rsidR="005B68FD" w:rsidRPr="005B68FD" w14:paraId="51030545" w14:textId="77777777" w:rsidTr="005B68FD">
        <w:trPr>
          <w:trHeight w:val="480"/>
        </w:trPr>
        <w:tc>
          <w:tcPr>
            <w:tcW w:w="828" w:type="dxa"/>
            <w:tcBorders>
              <w:top w:val="nil"/>
              <w:left w:val="single" w:sz="4" w:space="0" w:color="auto"/>
              <w:bottom w:val="single" w:sz="4" w:space="0" w:color="auto"/>
              <w:right w:val="single" w:sz="4" w:space="0" w:color="auto"/>
            </w:tcBorders>
            <w:shd w:val="clear" w:color="000000" w:fill="595959"/>
            <w:noWrap/>
            <w:vAlign w:val="center"/>
            <w:hideMark/>
          </w:tcPr>
          <w:p w14:paraId="7B185D40" w14:textId="77777777" w:rsidR="005B68FD" w:rsidRPr="005B68FD" w:rsidRDefault="005B68FD" w:rsidP="005B68FD">
            <w:pPr>
              <w:jc w:val="center"/>
              <w:rPr>
                <w:rFonts w:ascii="Tahoma" w:hAnsi="Tahoma" w:cs="Tahoma"/>
                <w:b/>
                <w:bCs/>
                <w:color w:val="FFFFFF"/>
                <w:sz w:val="22"/>
                <w:szCs w:val="22"/>
              </w:rPr>
            </w:pPr>
            <w:r w:rsidRPr="005B68FD">
              <w:rPr>
                <w:rFonts w:ascii="Tahoma" w:hAnsi="Tahoma" w:cs="Tahoma"/>
                <w:b/>
                <w:bCs/>
                <w:color w:val="FFFFFF"/>
                <w:sz w:val="22"/>
                <w:szCs w:val="22"/>
              </w:rPr>
              <w:t>6.</w:t>
            </w:r>
          </w:p>
        </w:tc>
        <w:tc>
          <w:tcPr>
            <w:tcW w:w="13808" w:type="dxa"/>
            <w:gridSpan w:val="3"/>
            <w:tcBorders>
              <w:top w:val="single" w:sz="4" w:space="0" w:color="auto"/>
              <w:left w:val="nil"/>
              <w:bottom w:val="single" w:sz="4" w:space="0" w:color="auto"/>
              <w:right w:val="single" w:sz="4" w:space="0" w:color="auto"/>
            </w:tcBorders>
            <w:shd w:val="clear" w:color="000000" w:fill="595959"/>
            <w:vAlign w:val="center"/>
            <w:hideMark/>
          </w:tcPr>
          <w:p w14:paraId="70BE5656" w14:textId="77777777" w:rsidR="005B68FD" w:rsidRPr="005B68FD" w:rsidRDefault="005B68FD" w:rsidP="005B68FD">
            <w:pPr>
              <w:rPr>
                <w:rFonts w:ascii="Tahoma" w:hAnsi="Tahoma" w:cs="Tahoma"/>
                <w:b/>
                <w:bCs/>
                <w:color w:val="FFFFFF"/>
                <w:sz w:val="22"/>
                <w:szCs w:val="22"/>
              </w:rPr>
            </w:pPr>
            <w:r w:rsidRPr="005B68FD">
              <w:rPr>
                <w:rFonts w:ascii="Tahoma" w:hAnsi="Tahoma" w:cs="Tahoma"/>
                <w:b/>
                <w:bCs/>
                <w:color w:val="FFFFFF"/>
                <w:sz w:val="22"/>
                <w:szCs w:val="22"/>
              </w:rPr>
              <w:t>Каналы дистанционного банковского обслуживания (далее – Каналы ДБО)</w:t>
            </w:r>
          </w:p>
        </w:tc>
      </w:tr>
      <w:tr w:rsidR="005B68FD" w:rsidRPr="005B68FD" w14:paraId="64AD380B" w14:textId="77777777" w:rsidTr="005B68FD">
        <w:trPr>
          <w:trHeight w:val="549"/>
        </w:trPr>
        <w:tc>
          <w:tcPr>
            <w:tcW w:w="82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BEE14C9"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6.1.</w:t>
            </w:r>
          </w:p>
        </w:tc>
        <w:tc>
          <w:tcPr>
            <w:tcW w:w="4987" w:type="dxa"/>
            <w:tcBorders>
              <w:top w:val="single" w:sz="4" w:space="0" w:color="auto"/>
              <w:left w:val="nil"/>
              <w:bottom w:val="single" w:sz="4" w:space="0" w:color="auto"/>
              <w:right w:val="single" w:sz="4" w:space="0" w:color="auto"/>
            </w:tcBorders>
            <w:shd w:val="clear" w:color="auto" w:fill="auto"/>
            <w:vAlign w:val="center"/>
            <w:hideMark/>
          </w:tcPr>
          <w:p w14:paraId="77A0525C" w14:textId="77777777" w:rsidR="005B68FD" w:rsidRPr="005B68FD" w:rsidRDefault="005B68FD" w:rsidP="005B68FD">
            <w:pPr>
              <w:jc w:val="both"/>
              <w:rPr>
                <w:rFonts w:ascii="Tahoma" w:hAnsi="Tahoma" w:cs="Tahoma"/>
                <w:sz w:val="22"/>
                <w:szCs w:val="22"/>
              </w:rPr>
            </w:pPr>
            <w:r w:rsidRPr="005B68FD">
              <w:rPr>
                <w:rFonts w:ascii="Tahoma" w:hAnsi="Tahoma" w:cs="Tahoma"/>
                <w:sz w:val="22"/>
                <w:szCs w:val="22"/>
              </w:rPr>
              <w:t>стоимость услуги СМС-информирования (полный пакет): в том числе детализирование уведомление о приходных и расходных операциях по Счету Карты/иные сведения по усмотрению Банка в формате СМС-сообщений на Номер мобильного телефона Клиента, указанный Клиентом Банку в качестве основного</w:t>
            </w:r>
          </w:p>
        </w:tc>
        <w:tc>
          <w:tcPr>
            <w:tcW w:w="8821" w:type="dxa"/>
            <w:gridSpan w:val="2"/>
            <w:tcBorders>
              <w:top w:val="single" w:sz="4" w:space="0" w:color="auto"/>
              <w:left w:val="nil"/>
              <w:bottom w:val="single" w:sz="4" w:space="0" w:color="auto"/>
              <w:right w:val="single" w:sz="4" w:space="0" w:color="auto"/>
            </w:tcBorders>
            <w:shd w:val="clear" w:color="auto" w:fill="auto"/>
            <w:noWrap/>
            <w:vAlign w:val="center"/>
            <w:hideMark/>
          </w:tcPr>
          <w:p w14:paraId="5C8490A0" w14:textId="77777777" w:rsidR="005B68FD" w:rsidRPr="005B68FD" w:rsidRDefault="005B68FD" w:rsidP="005B68FD">
            <w:pPr>
              <w:jc w:val="center"/>
              <w:rPr>
                <w:rFonts w:ascii="Tahoma" w:hAnsi="Tahoma" w:cs="Tahoma"/>
                <w:b/>
                <w:bCs/>
                <w:sz w:val="22"/>
                <w:szCs w:val="22"/>
              </w:rPr>
            </w:pPr>
            <w:r w:rsidRPr="005B68FD">
              <w:rPr>
                <w:rFonts w:ascii="Tahoma" w:hAnsi="Tahoma" w:cs="Tahoma"/>
                <w:b/>
                <w:bCs/>
                <w:sz w:val="22"/>
                <w:szCs w:val="22"/>
              </w:rPr>
              <w:t xml:space="preserve"> 69 руб. </w:t>
            </w:r>
            <w:r w:rsidRPr="005B68FD">
              <w:rPr>
                <w:rFonts w:ascii="Tahoma" w:hAnsi="Tahoma" w:cs="Tahoma"/>
                <w:sz w:val="22"/>
                <w:szCs w:val="22"/>
              </w:rPr>
              <w:t>в мес</w:t>
            </w:r>
          </w:p>
        </w:tc>
      </w:tr>
      <w:tr w:rsidR="005B68FD" w:rsidRPr="005B68FD" w14:paraId="0DE8833F" w14:textId="77777777" w:rsidTr="005B68FD">
        <w:trPr>
          <w:trHeight w:val="1425"/>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644BE9BE"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6.2.</w:t>
            </w:r>
          </w:p>
        </w:tc>
        <w:tc>
          <w:tcPr>
            <w:tcW w:w="4987" w:type="dxa"/>
            <w:tcBorders>
              <w:top w:val="nil"/>
              <w:left w:val="nil"/>
              <w:bottom w:val="single" w:sz="4" w:space="0" w:color="auto"/>
              <w:right w:val="single" w:sz="4" w:space="0" w:color="auto"/>
            </w:tcBorders>
            <w:shd w:val="clear" w:color="auto" w:fill="auto"/>
            <w:vAlign w:val="center"/>
            <w:hideMark/>
          </w:tcPr>
          <w:p w14:paraId="4F52FF81" w14:textId="77777777" w:rsidR="005B68FD" w:rsidRPr="005B68FD" w:rsidRDefault="005B68FD" w:rsidP="005B68FD">
            <w:pPr>
              <w:jc w:val="both"/>
              <w:rPr>
                <w:rFonts w:ascii="Tahoma" w:hAnsi="Tahoma" w:cs="Tahoma"/>
                <w:sz w:val="22"/>
                <w:szCs w:val="22"/>
              </w:rPr>
            </w:pPr>
            <w:r w:rsidRPr="005B68FD">
              <w:rPr>
                <w:rFonts w:ascii="Tahoma" w:hAnsi="Tahoma" w:cs="Tahoma"/>
                <w:sz w:val="22"/>
                <w:szCs w:val="22"/>
              </w:rPr>
              <w:t>стоимость услуги СМС-информирования (обязательный пакет): краткие уведомления о расходных операциях по Счету Карты/иные сведения по усмотрению Банка в формате СМС-сообщений на мобильный телефон Клиента, указанный Клиентом Банку в качестве основного</w:t>
            </w:r>
          </w:p>
        </w:tc>
        <w:tc>
          <w:tcPr>
            <w:tcW w:w="8821"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20DDC4" w14:textId="77777777" w:rsidR="005B68FD" w:rsidRPr="005B68FD" w:rsidRDefault="005B68FD" w:rsidP="005B68FD">
            <w:pPr>
              <w:jc w:val="center"/>
              <w:rPr>
                <w:rFonts w:ascii="Tahoma" w:hAnsi="Tahoma" w:cs="Tahoma"/>
                <w:b/>
                <w:bCs/>
                <w:sz w:val="22"/>
                <w:szCs w:val="22"/>
              </w:rPr>
            </w:pPr>
            <w:r w:rsidRPr="005B68FD">
              <w:rPr>
                <w:rFonts w:ascii="Tahoma" w:hAnsi="Tahoma" w:cs="Tahoma"/>
                <w:b/>
                <w:bCs/>
                <w:sz w:val="22"/>
                <w:szCs w:val="22"/>
              </w:rPr>
              <w:t>БЕСПЛАТНО</w:t>
            </w:r>
          </w:p>
        </w:tc>
      </w:tr>
      <w:tr w:rsidR="005B68FD" w:rsidRPr="005B68FD" w14:paraId="40665C95" w14:textId="77777777" w:rsidTr="005B68FD">
        <w:trPr>
          <w:trHeight w:val="300"/>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2BFFAF9A"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6.3.</w:t>
            </w:r>
          </w:p>
        </w:tc>
        <w:tc>
          <w:tcPr>
            <w:tcW w:w="4987" w:type="dxa"/>
            <w:tcBorders>
              <w:top w:val="nil"/>
              <w:left w:val="nil"/>
              <w:bottom w:val="single" w:sz="4" w:space="0" w:color="auto"/>
              <w:right w:val="single" w:sz="4" w:space="0" w:color="auto"/>
            </w:tcBorders>
            <w:shd w:val="clear" w:color="auto" w:fill="auto"/>
            <w:vAlign w:val="center"/>
            <w:hideMark/>
          </w:tcPr>
          <w:p w14:paraId="0B0064C4" w14:textId="77777777" w:rsidR="005B68FD" w:rsidRPr="005B68FD" w:rsidRDefault="005B68FD" w:rsidP="005B68FD">
            <w:pPr>
              <w:jc w:val="both"/>
              <w:rPr>
                <w:rFonts w:ascii="Tahoma" w:hAnsi="Tahoma" w:cs="Tahoma"/>
                <w:sz w:val="22"/>
                <w:szCs w:val="22"/>
              </w:rPr>
            </w:pPr>
            <w:r w:rsidRPr="005B68FD">
              <w:rPr>
                <w:rFonts w:ascii="Tahoma" w:hAnsi="Tahoma" w:cs="Tahoma"/>
                <w:sz w:val="22"/>
                <w:szCs w:val="22"/>
              </w:rPr>
              <w:t>доступ в Каналы ДБО Банка: «АТБ-Онлайн», Мобильный банк</w:t>
            </w:r>
          </w:p>
        </w:tc>
        <w:tc>
          <w:tcPr>
            <w:tcW w:w="8821" w:type="dxa"/>
            <w:gridSpan w:val="2"/>
            <w:vMerge/>
            <w:tcBorders>
              <w:top w:val="single" w:sz="4" w:space="0" w:color="auto"/>
              <w:left w:val="nil"/>
              <w:bottom w:val="single" w:sz="4" w:space="0" w:color="auto"/>
              <w:right w:val="single" w:sz="4" w:space="0" w:color="auto"/>
            </w:tcBorders>
            <w:vAlign w:val="center"/>
            <w:hideMark/>
          </w:tcPr>
          <w:p w14:paraId="29266110" w14:textId="77777777" w:rsidR="005B68FD" w:rsidRPr="005B68FD" w:rsidRDefault="005B68FD" w:rsidP="005B68FD">
            <w:pPr>
              <w:rPr>
                <w:rFonts w:ascii="Tahoma" w:hAnsi="Tahoma" w:cs="Tahoma"/>
                <w:b/>
                <w:bCs/>
                <w:sz w:val="22"/>
                <w:szCs w:val="22"/>
              </w:rPr>
            </w:pPr>
          </w:p>
        </w:tc>
      </w:tr>
      <w:tr w:rsidR="005B68FD" w:rsidRPr="005B68FD" w14:paraId="6B9F321B" w14:textId="77777777" w:rsidTr="005B68FD">
        <w:trPr>
          <w:trHeight w:val="600"/>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31FA9BB1"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6.4.</w:t>
            </w:r>
          </w:p>
        </w:tc>
        <w:tc>
          <w:tcPr>
            <w:tcW w:w="4987" w:type="dxa"/>
            <w:tcBorders>
              <w:top w:val="single" w:sz="4" w:space="0" w:color="auto"/>
              <w:left w:val="nil"/>
              <w:bottom w:val="single" w:sz="4" w:space="0" w:color="auto"/>
              <w:right w:val="single" w:sz="4" w:space="0" w:color="auto"/>
            </w:tcBorders>
            <w:shd w:val="clear" w:color="auto" w:fill="auto"/>
            <w:vAlign w:val="center"/>
            <w:hideMark/>
          </w:tcPr>
          <w:p w14:paraId="7633ADCA" w14:textId="77777777" w:rsidR="005B68FD" w:rsidRPr="005B68FD" w:rsidRDefault="005B68FD" w:rsidP="005B68FD">
            <w:pPr>
              <w:jc w:val="both"/>
              <w:rPr>
                <w:rFonts w:ascii="Tahoma" w:hAnsi="Tahoma" w:cs="Tahoma"/>
                <w:sz w:val="22"/>
                <w:szCs w:val="22"/>
              </w:rPr>
            </w:pPr>
            <w:r w:rsidRPr="005B68FD">
              <w:rPr>
                <w:rFonts w:ascii="Tahoma" w:hAnsi="Tahoma" w:cs="Tahoma"/>
                <w:sz w:val="22"/>
                <w:szCs w:val="22"/>
              </w:rPr>
              <w:t>выписка по Счету Карты</w:t>
            </w:r>
            <w:r w:rsidRPr="005B68FD">
              <w:rPr>
                <w:rFonts w:ascii="Tahoma" w:hAnsi="Tahoma" w:cs="Tahoma"/>
                <w:sz w:val="22"/>
                <w:szCs w:val="22"/>
                <w:vertAlign w:val="superscript"/>
              </w:rPr>
              <w:t>3</w:t>
            </w:r>
            <w:r w:rsidRPr="005B68FD">
              <w:rPr>
                <w:rFonts w:ascii="Tahoma" w:hAnsi="Tahoma" w:cs="Tahoma"/>
                <w:sz w:val="22"/>
                <w:szCs w:val="22"/>
              </w:rPr>
              <w:t xml:space="preserve"> в Каналах ДБО Банка: «АТБ-Онлайн», Мобильный банк</w:t>
            </w:r>
          </w:p>
        </w:tc>
        <w:tc>
          <w:tcPr>
            <w:tcW w:w="8821" w:type="dxa"/>
            <w:gridSpan w:val="2"/>
            <w:vMerge/>
            <w:tcBorders>
              <w:top w:val="single" w:sz="4" w:space="0" w:color="auto"/>
              <w:left w:val="single" w:sz="4" w:space="0" w:color="auto"/>
              <w:bottom w:val="single" w:sz="4" w:space="0" w:color="auto"/>
              <w:right w:val="single" w:sz="4" w:space="0" w:color="auto"/>
            </w:tcBorders>
            <w:vAlign w:val="center"/>
            <w:hideMark/>
          </w:tcPr>
          <w:p w14:paraId="379F0C14" w14:textId="77777777" w:rsidR="005B68FD" w:rsidRPr="005B68FD" w:rsidRDefault="005B68FD" w:rsidP="005B68FD">
            <w:pPr>
              <w:rPr>
                <w:rFonts w:ascii="Tahoma" w:hAnsi="Tahoma" w:cs="Tahoma"/>
                <w:b/>
                <w:bCs/>
                <w:sz w:val="22"/>
                <w:szCs w:val="22"/>
              </w:rPr>
            </w:pPr>
          </w:p>
        </w:tc>
      </w:tr>
      <w:tr w:rsidR="005B68FD" w:rsidRPr="005B68FD" w14:paraId="17F7B3C4" w14:textId="77777777" w:rsidTr="005B68FD">
        <w:trPr>
          <w:trHeight w:val="435"/>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555223A7"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6.5.</w:t>
            </w:r>
          </w:p>
        </w:tc>
        <w:tc>
          <w:tcPr>
            <w:tcW w:w="4987" w:type="dxa"/>
            <w:tcBorders>
              <w:top w:val="nil"/>
              <w:left w:val="nil"/>
              <w:bottom w:val="single" w:sz="4" w:space="0" w:color="auto"/>
              <w:right w:val="single" w:sz="4" w:space="0" w:color="auto"/>
            </w:tcBorders>
            <w:shd w:val="clear" w:color="auto" w:fill="auto"/>
            <w:vAlign w:val="center"/>
            <w:hideMark/>
          </w:tcPr>
          <w:p w14:paraId="4B2EA299" w14:textId="77777777" w:rsidR="005B68FD" w:rsidRPr="005B68FD" w:rsidRDefault="005B68FD" w:rsidP="005B68FD">
            <w:pPr>
              <w:jc w:val="both"/>
              <w:rPr>
                <w:rFonts w:ascii="Tahoma" w:hAnsi="Tahoma" w:cs="Tahoma"/>
                <w:sz w:val="22"/>
                <w:szCs w:val="22"/>
              </w:rPr>
            </w:pPr>
            <w:r w:rsidRPr="005B68FD">
              <w:rPr>
                <w:rFonts w:ascii="Tahoma" w:hAnsi="Tahoma" w:cs="Tahoma"/>
                <w:sz w:val="22"/>
                <w:szCs w:val="22"/>
              </w:rPr>
              <w:t>выписка по Счету Карты</w:t>
            </w:r>
            <w:r w:rsidRPr="005B68FD">
              <w:rPr>
                <w:rFonts w:ascii="Tahoma" w:hAnsi="Tahoma" w:cs="Tahoma"/>
                <w:sz w:val="22"/>
                <w:szCs w:val="22"/>
                <w:vertAlign w:val="superscript"/>
              </w:rPr>
              <w:t>3</w:t>
            </w:r>
            <w:r w:rsidRPr="005B68FD">
              <w:rPr>
                <w:rFonts w:ascii="Tahoma" w:hAnsi="Tahoma" w:cs="Tahoma"/>
                <w:sz w:val="22"/>
                <w:szCs w:val="22"/>
              </w:rPr>
              <w:t xml:space="preserve"> в банкоматах Банка</w:t>
            </w:r>
            <w:r w:rsidRPr="005B68FD">
              <w:rPr>
                <w:rFonts w:ascii="Tahoma" w:hAnsi="Tahoma" w:cs="Tahoma"/>
                <w:sz w:val="22"/>
                <w:szCs w:val="22"/>
                <w:vertAlign w:val="superscript"/>
              </w:rPr>
              <w:t>4</w:t>
            </w:r>
          </w:p>
        </w:tc>
        <w:tc>
          <w:tcPr>
            <w:tcW w:w="8821" w:type="dxa"/>
            <w:gridSpan w:val="2"/>
            <w:vMerge/>
            <w:tcBorders>
              <w:top w:val="single" w:sz="4" w:space="0" w:color="auto"/>
              <w:left w:val="nil"/>
              <w:bottom w:val="single" w:sz="4" w:space="0" w:color="auto"/>
              <w:right w:val="single" w:sz="4" w:space="0" w:color="auto"/>
            </w:tcBorders>
            <w:vAlign w:val="center"/>
            <w:hideMark/>
          </w:tcPr>
          <w:p w14:paraId="572094C2" w14:textId="77777777" w:rsidR="005B68FD" w:rsidRPr="005B68FD" w:rsidRDefault="005B68FD" w:rsidP="005B68FD">
            <w:pPr>
              <w:rPr>
                <w:rFonts w:ascii="Tahoma" w:hAnsi="Tahoma" w:cs="Tahoma"/>
                <w:b/>
                <w:bCs/>
                <w:sz w:val="22"/>
                <w:szCs w:val="22"/>
              </w:rPr>
            </w:pPr>
          </w:p>
        </w:tc>
      </w:tr>
      <w:tr w:rsidR="005B68FD" w:rsidRPr="005B68FD" w14:paraId="55028AF3" w14:textId="77777777" w:rsidTr="005B68FD">
        <w:trPr>
          <w:trHeight w:val="600"/>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14B81F27"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6.6.</w:t>
            </w:r>
          </w:p>
        </w:tc>
        <w:tc>
          <w:tcPr>
            <w:tcW w:w="4987" w:type="dxa"/>
            <w:tcBorders>
              <w:top w:val="nil"/>
              <w:left w:val="nil"/>
              <w:bottom w:val="single" w:sz="4" w:space="0" w:color="auto"/>
              <w:right w:val="single" w:sz="4" w:space="0" w:color="auto"/>
            </w:tcBorders>
            <w:shd w:val="clear" w:color="auto" w:fill="auto"/>
            <w:vAlign w:val="center"/>
            <w:hideMark/>
          </w:tcPr>
          <w:p w14:paraId="768FD070" w14:textId="77777777" w:rsidR="005B68FD" w:rsidRPr="005B68FD" w:rsidRDefault="005B68FD" w:rsidP="005B68FD">
            <w:pPr>
              <w:jc w:val="both"/>
              <w:rPr>
                <w:rFonts w:ascii="Tahoma" w:hAnsi="Tahoma" w:cs="Tahoma"/>
                <w:sz w:val="22"/>
                <w:szCs w:val="22"/>
              </w:rPr>
            </w:pPr>
            <w:r w:rsidRPr="005B68FD">
              <w:rPr>
                <w:rFonts w:ascii="Tahoma" w:hAnsi="Tahoma" w:cs="Tahoma"/>
                <w:sz w:val="22"/>
                <w:szCs w:val="22"/>
              </w:rPr>
              <w:t>запрос баланса Счета Карты</w:t>
            </w:r>
            <w:r w:rsidRPr="005B68FD">
              <w:rPr>
                <w:rFonts w:ascii="Tahoma" w:hAnsi="Tahoma" w:cs="Tahoma"/>
                <w:sz w:val="22"/>
                <w:szCs w:val="22"/>
                <w:vertAlign w:val="superscript"/>
              </w:rPr>
              <w:t>3</w:t>
            </w:r>
            <w:r w:rsidRPr="005B68FD">
              <w:rPr>
                <w:rFonts w:ascii="Tahoma" w:hAnsi="Tahoma" w:cs="Tahoma"/>
                <w:sz w:val="22"/>
                <w:szCs w:val="22"/>
              </w:rPr>
              <w:t xml:space="preserve"> в банкоматах Банка</w:t>
            </w:r>
            <w:r w:rsidRPr="005B68FD">
              <w:rPr>
                <w:rFonts w:ascii="Tahoma" w:hAnsi="Tahoma" w:cs="Tahoma"/>
                <w:sz w:val="22"/>
                <w:szCs w:val="22"/>
                <w:vertAlign w:val="superscript"/>
              </w:rPr>
              <w:t>4</w:t>
            </w:r>
            <w:r w:rsidRPr="005B68FD">
              <w:rPr>
                <w:rFonts w:ascii="Tahoma" w:hAnsi="Tahoma" w:cs="Tahoma"/>
                <w:sz w:val="22"/>
                <w:szCs w:val="22"/>
              </w:rPr>
              <w:t xml:space="preserve"> посредством вывода информации на экран устройства и/или чек</w:t>
            </w:r>
          </w:p>
        </w:tc>
        <w:tc>
          <w:tcPr>
            <w:tcW w:w="8821" w:type="dxa"/>
            <w:gridSpan w:val="2"/>
            <w:vMerge/>
            <w:tcBorders>
              <w:top w:val="single" w:sz="4" w:space="0" w:color="auto"/>
              <w:left w:val="nil"/>
              <w:bottom w:val="single" w:sz="4" w:space="0" w:color="auto"/>
              <w:right w:val="single" w:sz="4" w:space="0" w:color="auto"/>
            </w:tcBorders>
            <w:vAlign w:val="center"/>
            <w:hideMark/>
          </w:tcPr>
          <w:p w14:paraId="063C5E83" w14:textId="77777777" w:rsidR="005B68FD" w:rsidRPr="005B68FD" w:rsidRDefault="005B68FD" w:rsidP="005B68FD">
            <w:pPr>
              <w:rPr>
                <w:rFonts w:ascii="Tahoma" w:hAnsi="Tahoma" w:cs="Tahoma"/>
                <w:b/>
                <w:bCs/>
                <w:sz w:val="22"/>
                <w:szCs w:val="22"/>
              </w:rPr>
            </w:pPr>
          </w:p>
        </w:tc>
      </w:tr>
      <w:tr w:rsidR="005B68FD" w:rsidRPr="005B68FD" w14:paraId="06B0F8CF" w14:textId="77777777" w:rsidTr="005B68FD">
        <w:trPr>
          <w:trHeight w:val="855"/>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5D99716E"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6.7.</w:t>
            </w:r>
          </w:p>
        </w:tc>
        <w:tc>
          <w:tcPr>
            <w:tcW w:w="4987" w:type="dxa"/>
            <w:tcBorders>
              <w:top w:val="nil"/>
              <w:left w:val="nil"/>
              <w:bottom w:val="single" w:sz="4" w:space="0" w:color="auto"/>
              <w:right w:val="single" w:sz="4" w:space="0" w:color="auto"/>
            </w:tcBorders>
            <w:shd w:val="clear" w:color="auto" w:fill="auto"/>
            <w:vAlign w:val="center"/>
            <w:hideMark/>
          </w:tcPr>
          <w:p w14:paraId="62A16B0A" w14:textId="77777777" w:rsidR="005B68FD" w:rsidRPr="005B68FD" w:rsidRDefault="005B68FD" w:rsidP="005B68FD">
            <w:pPr>
              <w:jc w:val="both"/>
              <w:rPr>
                <w:rFonts w:ascii="Tahoma" w:hAnsi="Tahoma" w:cs="Tahoma"/>
                <w:sz w:val="22"/>
                <w:szCs w:val="22"/>
              </w:rPr>
            </w:pPr>
            <w:r w:rsidRPr="005B68FD">
              <w:rPr>
                <w:rFonts w:ascii="Tahoma" w:hAnsi="Tahoma" w:cs="Tahoma"/>
                <w:sz w:val="22"/>
                <w:szCs w:val="22"/>
              </w:rPr>
              <w:t>запрос баланса Счета Карты</w:t>
            </w:r>
            <w:r w:rsidRPr="005B68FD">
              <w:rPr>
                <w:rFonts w:ascii="Tahoma" w:hAnsi="Tahoma" w:cs="Tahoma"/>
                <w:sz w:val="22"/>
                <w:szCs w:val="22"/>
                <w:vertAlign w:val="superscript"/>
              </w:rPr>
              <w:t>3</w:t>
            </w:r>
            <w:r w:rsidRPr="005B68FD">
              <w:rPr>
                <w:rFonts w:ascii="Tahoma" w:hAnsi="Tahoma" w:cs="Tahoma"/>
                <w:sz w:val="22"/>
                <w:szCs w:val="22"/>
              </w:rPr>
              <w:t xml:space="preserve"> в банкоматах других банков</w:t>
            </w:r>
            <w:r w:rsidRPr="005B68FD">
              <w:rPr>
                <w:rFonts w:ascii="Tahoma" w:hAnsi="Tahoma" w:cs="Tahoma"/>
                <w:sz w:val="22"/>
                <w:szCs w:val="22"/>
                <w:vertAlign w:val="superscript"/>
              </w:rPr>
              <w:t>11</w:t>
            </w:r>
          </w:p>
        </w:tc>
        <w:tc>
          <w:tcPr>
            <w:tcW w:w="8821" w:type="dxa"/>
            <w:gridSpan w:val="2"/>
            <w:tcBorders>
              <w:top w:val="single" w:sz="4" w:space="0" w:color="auto"/>
              <w:left w:val="nil"/>
              <w:bottom w:val="single" w:sz="4" w:space="0" w:color="auto"/>
              <w:right w:val="single" w:sz="4" w:space="0" w:color="auto"/>
            </w:tcBorders>
            <w:shd w:val="clear" w:color="auto" w:fill="auto"/>
            <w:vAlign w:val="center"/>
            <w:hideMark/>
          </w:tcPr>
          <w:p w14:paraId="659455EB" w14:textId="77777777" w:rsidR="005B68FD" w:rsidRPr="005B68FD" w:rsidRDefault="005B68FD" w:rsidP="005B68FD">
            <w:pPr>
              <w:jc w:val="center"/>
              <w:rPr>
                <w:rFonts w:ascii="Tahoma" w:hAnsi="Tahoma" w:cs="Tahoma"/>
                <w:sz w:val="22"/>
                <w:szCs w:val="22"/>
              </w:rPr>
            </w:pPr>
            <w:r w:rsidRPr="005B68FD">
              <w:rPr>
                <w:rFonts w:ascii="Tahoma" w:hAnsi="Tahoma" w:cs="Tahoma"/>
                <w:b/>
                <w:bCs/>
                <w:sz w:val="22"/>
                <w:szCs w:val="22"/>
              </w:rPr>
              <w:t>0 рублей</w:t>
            </w:r>
            <w:r w:rsidRPr="005B68FD">
              <w:rPr>
                <w:rFonts w:ascii="Tahoma" w:hAnsi="Tahoma" w:cs="Tahoma"/>
                <w:sz w:val="22"/>
                <w:szCs w:val="22"/>
              </w:rPr>
              <w:t xml:space="preserve"> – при запросе баланса в банкомате другого банка впервые с момента получения Клиентом Карты;</w:t>
            </w:r>
            <w:r w:rsidRPr="005B68FD">
              <w:rPr>
                <w:rFonts w:ascii="Tahoma" w:hAnsi="Tahoma" w:cs="Tahoma"/>
                <w:sz w:val="22"/>
                <w:szCs w:val="22"/>
              </w:rPr>
              <w:br/>
            </w:r>
            <w:r w:rsidRPr="005B68FD">
              <w:rPr>
                <w:rFonts w:ascii="Tahoma" w:hAnsi="Tahoma" w:cs="Tahoma"/>
                <w:b/>
                <w:bCs/>
                <w:sz w:val="22"/>
                <w:szCs w:val="22"/>
              </w:rPr>
              <w:t>45 рублей</w:t>
            </w:r>
            <w:r w:rsidRPr="005B68FD">
              <w:rPr>
                <w:rFonts w:ascii="Tahoma" w:hAnsi="Tahoma" w:cs="Tahoma"/>
                <w:sz w:val="22"/>
                <w:szCs w:val="22"/>
              </w:rPr>
              <w:t xml:space="preserve"> – при каждом последующем запросе баланса.</w:t>
            </w:r>
          </w:p>
        </w:tc>
      </w:tr>
      <w:tr w:rsidR="005B68FD" w:rsidRPr="005B68FD" w14:paraId="0199B881" w14:textId="77777777" w:rsidTr="005B68FD">
        <w:trPr>
          <w:trHeight w:val="300"/>
        </w:trPr>
        <w:tc>
          <w:tcPr>
            <w:tcW w:w="828" w:type="dxa"/>
            <w:tcBorders>
              <w:top w:val="nil"/>
              <w:left w:val="single" w:sz="4" w:space="0" w:color="auto"/>
              <w:bottom w:val="single" w:sz="4" w:space="0" w:color="auto"/>
              <w:right w:val="single" w:sz="4" w:space="0" w:color="auto"/>
            </w:tcBorders>
            <w:shd w:val="clear" w:color="000000" w:fill="595959"/>
            <w:noWrap/>
            <w:vAlign w:val="center"/>
            <w:hideMark/>
          </w:tcPr>
          <w:p w14:paraId="4E45C7E8" w14:textId="77777777" w:rsidR="005B68FD" w:rsidRPr="005B68FD" w:rsidRDefault="005B68FD" w:rsidP="005B68FD">
            <w:pPr>
              <w:jc w:val="center"/>
              <w:rPr>
                <w:rFonts w:ascii="Tahoma" w:hAnsi="Tahoma" w:cs="Tahoma"/>
                <w:b/>
                <w:bCs/>
                <w:color w:val="FFFFFF"/>
                <w:sz w:val="22"/>
                <w:szCs w:val="22"/>
              </w:rPr>
            </w:pPr>
            <w:r w:rsidRPr="005B68FD">
              <w:rPr>
                <w:rFonts w:ascii="Tahoma" w:hAnsi="Tahoma" w:cs="Tahoma"/>
                <w:b/>
                <w:bCs/>
                <w:color w:val="FFFFFF"/>
                <w:sz w:val="22"/>
                <w:szCs w:val="22"/>
              </w:rPr>
              <w:t>7.</w:t>
            </w:r>
          </w:p>
        </w:tc>
        <w:tc>
          <w:tcPr>
            <w:tcW w:w="13808" w:type="dxa"/>
            <w:gridSpan w:val="3"/>
            <w:tcBorders>
              <w:top w:val="single" w:sz="4" w:space="0" w:color="auto"/>
              <w:left w:val="nil"/>
              <w:bottom w:val="single" w:sz="4" w:space="0" w:color="auto"/>
              <w:right w:val="single" w:sz="4" w:space="0" w:color="auto"/>
            </w:tcBorders>
            <w:shd w:val="clear" w:color="000000" w:fill="595959"/>
            <w:noWrap/>
            <w:vAlign w:val="center"/>
            <w:hideMark/>
          </w:tcPr>
          <w:p w14:paraId="6612FDA6" w14:textId="77777777" w:rsidR="005B68FD" w:rsidRPr="005B68FD" w:rsidRDefault="005B68FD" w:rsidP="005B68FD">
            <w:pPr>
              <w:rPr>
                <w:rFonts w:ascii="Tahoma" w:hAnsi="Tahoma" w:cs="Tahoma"/>
                <w:b/>
                <w:bCs/>
                <w:color w:val="FFFFFF"/>
                <w:sz w:val="22"/>
                <w:szCs w:val="22"/>
              </w:rPr>
            </w:pPr>
            <w:r w:rsidRPr="005B68FD">
              <w:rPr>
                <w:rFonts w:ascii="Tahoma" w:hAnsi="Tahoma" w:cs="Tahoma"/>
                <w:b/>
                <w:bCs/>
                <w:color w:val="FFFFFF"/>
                <w:sz w:val="22"/>
                <w:szCs w:val="22"/>
              </w:rPr>
              <w:t>Приостановление/возобновление операций с Картой</w:t>
            </w:r>
          </w:p>
        </w:tc>
      </w:tr>
      <w:tr w:rsidR="005B68FD" w:rsidRPr="005B68FD" w14:paraId="114F4C41" w14:textId="77777777" w:rsidTr="005B68FD">
        <w:trPr>
          <w:trHeight w:val="600"/>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0147CF42"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7.1.</w:t>
            </w:r>
          </w:p>
        </w:tc>
        <w:tc>
          <w:tcPr>
            <w:tcW w:w="4987" w:type="dxa"/>
            <w:tcBorders>
              <w:top w:val="nil"/>
              <w:left w:val="nil"/>
              <w:bottom w:val="single" w:sz="4" w:space="0" w:color="auto"/>
              <w:right w:val="single" w:sz="4" w:space="0" w:color="auto"/>
            </w:tcBorders>
            <w:shd w:val="clear" w:color="auto" w:fill="auto"/>
            <w:vAlign w:val="center"/>
            <w:hideMark/>
          </w:tcPr>
          <w:p w14:paraId="3AE6D8C4" w14:textId="77777777" w:rsidR="005B68FD" w:rsidRPr="005B68FD" w:rsidRDefault="005B68FD" w:rsidP="005B68FD">
            <w:pPr>
              <w:jc w:val="both"/>
              <w:rPr>
                <w:rFonts w:ascii="Tahoma" w:hAnsi="Tahoma" w:cs="Tahoma"/>
                <w:color w:val="000000"/>
                <w:sz w:val="22"/>
                <w:szCs w:val="22"/>
              </w:rPr>
            </w:pPr>
            <w:r w:rsidRPr="005B68FD">
              <w:rPr>
                <w:rFonts w:ascii="Tahoma" w:hAnsi="Tahoma" w:cs="Tahoma"/>
                <w:color w:val="000000"/>
                <w:sz w:val="22"/>
                <w:szCs w:val="22"/>
              </w:rPr>
              <w:t>блокировка/разблокировка Карты в базе данных Банка</w:t>
            </w:r>
            <w:r w:rsidRPr="005B68FD">
              <w:rPr>
                <w:rFonts w:ascii="Tahoma" w:hAnsi="Tahoma" w:cs="Tahoma"/>
                <w:color w:val="000000"/>
                <w:sz w:val="22"/>
                <w:szCs w:val="22"/>
                <w:vertAlign w:val="superscript"/>
              </w:rPr>
              <w:t xml:space="preserve">4 </w:t>
            </w:r>
            <w:r w:rsidRPr="005B68FD">
              <w:rPr>
                <w:rFonts w:ascii="Tahoma" w:hAnsi="Tahoma" w:cs="Tahoma"/>
                <w:color w:val="000000"/>
                <w:sz w:val="22"/>
                <w:szCs w:val="22"/>
              </w:rPr>
              <w:t>посредством Каналов ДБО Банка</w:t>
            </w:r>
          </w:p>
        </w:tc>
        <w:tc>
          <w:tcPr>
            <w:tcW w:w="8821"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16A89C" w14:textId="77777777" w:rsidR="005B68FD" w:rsidRPr="005B68FD" w:rsidRDefault="005B68FD" w:rsidP="005B68FD">
            <w:pPr>
              <w:jc w:val="center"/>
              <w:rPr>
                <w:rFonts w:ascii="Tahoma" w:hAnsi="Tahoma" w:cs="Tahoma"/>
                <w:b/>
                <w:bCs/>
                <w:color w:val="000000"/>
                <w:sz w:val="22"/>
                <w:szCs w:val="22"/>
              </w:rPr>
            </w:pPr>
            <w:r w:rsidRPr="005B68FD">
              <w:rPr>
                <w:rFonts w:ascii="Tahoma" w:hAnsi="Tahoma" w:cs="Tahoma"/>
                <w:b/>
                <w:bCs/>
                <w:color w:val="000000"/>
                <w:sz w:val="22"/>
                <w:szCs w:val="22"/>
              </w:rPr>
              <w:t>БЕСПЛАТНО</w:t>
            </w:r>
          </w:p>
        </w:tc>
      </w:tr>
      <w:tr w:rsidR="005B68FD" w:rsidRPr="005B68FD" w14:paraId="5D59AE9D" w14:textId="77777777" w:rsidTr="005B68FD">
        <w:trPr>
          <w:trHeight w:val="1320"/>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2D1C73"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7.2.</w:t>
            </w:r>
          </w:p>
        </w:tc>
        <w:tc>
          <w:tcPr>
            <w:tcW w:w="49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A94285" w14:textId="77777777" w:rsidR="005B68FD" w:rsidRPr="005B68FD" w:rsidRDefault="005B68FD" w:rsidP="005B68FD">
            <w:pPr>
              <w:jc w:val="both"/>
              <w:rPr>
                <w:rFonts w:ascii="Tahoma" w:hAnsi="Tahoma" w:cs="Tahoma"/>
                <w:color w:val="000000"/>
                <w:sz w:val="22"/>
                <w:szCs w:val="22"/>
              </w:rPr>
            </w:pPr>
            <w:r w:rsidRPr="005B68FD">
              <w:rPr>
                <w:rFonts w:ascii="Tahoma" w:hAnsi="Tahoma" w:cs="Tahoma"/>
                <w:color w:val="000000"/>
                <w:sz w:val="22"/>
                <w:szCs w:val="22"/>
              </w:rPr>
              <w:t>блокировка/разблокировка Карты в базе данных Банка</w:t>
            </w:r>
            <w:r w:rsidRPr="005B68FD">
              <w:rPr>
                <w:rFonts w:ascii="Tahoma" w:hAnsi="Tahoma" w:cs="Tahoma"/>
                <w:color w:val="000000"/>
                <w:sz w:val="22"/>
                <w:szCs w:val="22"/>
                <w:vertAlign w:val="superscript"/>
              </w:rPr>
              <w:t>4</w:t>
            </w:r>
            <w:r w:rsidRPr="005B68FD">
              <w:rPr>
                <w:rFonts w:ascii="Tahoma" w:hAnsi="Tahoma" w:cs="Tahoma"/>
                <w:color w:val="000000"/>
                <w:sz w:val="22"/>
                <w:szCs w:val="22"/>
              </w:rPr>
              <w:t xml:space="preserve"> при оформлении операции работником Банка</w:t>
            </w:r>
            <w:r w:rsidRPr="005B68FD">
              <w:rPr>
                <w:rFonts w:ascii="Tahoma" w:hAnsi="Tahoma" w:cs="Tahoma"/>
                <w:color w:val="000000"/>
                <w:sz w:val="22"/>
                <w:szCs w:val="22"/>
                <w:vertAlign w:val="superscript"/>
              </w:rPr>
              <w:t>4</w:t>
            </w:r>
            <w:r w:rsidRPr="005B68FD">
              <w:rPr>
                <w:rFonts w:ascii="Tahoma" w:hAnsi="Tahoma" w:cs="Tahoma"/>
                <w:color w:val="000000"/>
                <w:sz w:val="22"/>
                <w:szCs w:val="22"/>
              </w:rPr>
              <w:t xml:space="preserve"> по заявлению Клиента в офисе Банка</w:t>
            </w:r>
            <w:r w:rsidRPr="005B68FD">
              <w:rPr>
                <w:rFonts w:ascii="Tahoma" w:hAnsi="Tahoma" w:cs="Tahoma"/>
                <w:color w:val="000000"/>
                <w:sz w:val="22"/>
                <w:szCs w:val="22"/>
                <w:vertAlign w:val="superscript"/>
              </w:rPr>
              <w:t>4</w:t>
            </w:r>
          </w:p>
        </w:tc>
        <w:tc>
          <w:tcPr>
            <w:tcW w:w="8821" w:type="dxa"/>
            <w:gridSpan w:val="2"/>
            <w:vMerge/>
            <w:tcBorders>
              <w:top w:val="nil"/>
              <w:left w:val="single" w:sz="4" w:space="0" w:color="auto"/>
              <w:bottom w:val="single" w:sz="4" w:space="0" w:color="auto"/>
              <w:right w:val="single" w:sz="4" w:space="0" w:color="auto"/>
            </w:tcBorders>
            <w:vAlign w:val="center"/>
            <w:hideMark/>
          </w:tcPr>
          <w:p w14:paraId="3B699A85" w14:textId="77777777" w:rsidR="005B68FD" w:rsidRPr="005B68FD" w:rsidRDefault="005B68FD" w:rsidP="005B68FD">
            <w:pPr>
              <w:rPr>
                <w:rFonts w:ascii="Tahoma" w:hAnsi="Tahoma" w:cs="Tahoma"/>
                <w:b/>
                <w:bCs/>
                <w:color w:val="000000"/>
                <w:sz w:val="22"/>
                <w:szCs w:val="22"/>
              </w:rPr>
            </w:pPr>
          </w:p>
        </w:tc>
      </w:tr>
      <w:tr w:rsidR="005B68FD" w:rsidRPr="005B68FD" w14:paraId="0CB9D288" w14:textId="77777777" w:rsidTr="005B68FD">
        <w:trPr>
          <w:trHeight w:val="600"/>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8CB61E"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7.3.</w:t>
            </w:r>
          </w:p>
        </w:tc>
        <w:tc>
          <w:tcPr>
            <w:tcW w:w="4987" w:type="dxa"/>
            <w:tcBorders>
              <w:top w:val="single" w:sz="4" w:space="0" w:color="auto"/>
              <w:left w:val="nil"/>
              <w:bottom w:val="single" w:sz="4" w:space="0" w:color="auto"/>
              <w:right w:val="single" w:sz="4" w:space="0" w:color="auto"/>
            </w:tcBorders>
            <w:shd w:val="clear" w:color="auto" w:fill="auto"/>
            <w:vAlign w:val="center"/>
            <w:hideMark/>
          </w:tcPr>
          <w:p w14:paraId="35338B1E" w14:textId="77777777" w:rsidR="005B68FD" w:rsidRPr="005B68FD" w:rsidRDefault="005B68FD" w:rsidP="005B68FD">
            <w:pPr>
              <w:jc w:val="both"/>
              <w:rPr>
                <w:rFonts w:ascii="Tahoma" w:hAnsi="Tahoma" w:cs="Tahoma"/>
                <w:color w:val="000000"/>
                <w:sz w:val="22"/>
                <w:szCs w:val="22"/>
              </w:rPr>
            </w:pPr>
            <w:r w:rsidRPr="005B68FD">
              <w:rPr>
                <w:rFonts w:ascii="Tahoma" w:hAnsi="Tahoma" w:cs="Tahoma"/>
                <w:color w:val="000000"/>
                <w:sz w:val="22"/>
                <w:szCs w:val="22"/>
              </w:rPr>
              <w:t>выдача остатка денежных средств со Счета Карты после закрытия Счета Карты</w:t>
            </w:r>
            <w:r w:rsidRPr="005B68FD">
              <w:rPr>
                <w:rFonts w:ascii="Tahoma" w:hAnsi="Tahoma" w:cs="Tahoma"/>
                <w:color w:val="000000"/>
                <w:sz w:val="22"/>
                <w:szCs w:val="22"/>
                <w:vertAlign w:val="superscript"/>
              </w:rPr>
              <w:t>3</w:t>
            </w:r>
          </w:p>
        </w:tc>
        <w:tc>
          <w:tcPr>
            <w:tcW w:w="8821" w:type="dxa"/>
            <w:gridSpan w:val="2"/>
            <w:vMerge/>
            <w:tcBorders>
              <w:top w:val="nil"/>
              <w:left w:val="nil"/>
              <w:bottom w:val="single" w:sz="4" w:space="0" w:color="auto"/>
              <w:right w:val="single" w:sz="4" w:space="0" w:color="auto"/>
            </w:tcBorders>
            <w:vAlign w:val="center"/>
            <w:hideMark/>
          </w:tcPr>
          <w:p w14:paraId="156CDF29" w14:textId="77777777" w:rsidR="005B68FD" w:rsidRPr="005B68FD" w:rsidRDefault="005B68FD" w:rsidP="005B68FD">
            <w:pPr>
              <w:rPr>
                <w:rFonts w:ascii="Tahoma" w:hAnsi="Tahoma" w:cs="Tahoma"/>
                <w:b/>
                <w:bCs/>
                <w:color w:val="000000"/>
                <w:sz w:val="22"/>
                <w:szCs w:val="22"/>
              </w:rPr>
            </w:pPr>
          </w:p>
        </w:tc>
      </w:tr>
      <w:tr w:rsidR="005B68FD" w:rsidRPr="005B68FD" w14:paraId="40905AB7" w14:textId="77777777" w:rsidTr="005B68FD">
        <w:trPr>
          <w:trHeight w:val="780"/>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4FCE6C72"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7.4.</w:t>
            </w:r>
          </w:p>
        </w:tc>
        <w:tc>
          <w:tcPr>
            <w:tcW w:w="4987" w:type="dxa"/>
            <w:tcBorders>
              <w:top w:val="nil"/>
              <w:left w:val="nil"/>
              <w:bottom w:val="single" w:sz="4" w:space="0" w:color="auto"/>
              <w:right w:val="single" w:sz="4" w:space="0" w:color="auto"/>
            </w:tcBorders>
            <w:shd w:val="clear" w:color="auto" w:fill="auto"/>
            <w:vAlign w:val="center"/>
            <w:hideMark/>
          </w:tcPr>
          <w:p w14:paraId="3D231E5E" w14:textId="77777777" w:rsidR="005B68FD" w:rsidRPr="005B68FD" w:rsidRDefault="005B68FD" w:rsidP="005B68FD">
            <w:pPr>
              <w:jc w:val="both"/>
              <w:rPr>
                <w:rFonts w:ascii="Tahoma" w:hAnsi="Tahoma" w:cs="Tahoma"/>
                <w:color w:val="000000"/>
                <w:sz w:val="22"/>
                <w:szCs w:val="22"/>
              </w:rPr>
            </w:pPr>
            <w:r w:rsidRPr="005B68FD">
              <w:rPr>
                <w:rFonts w:ascii="Tahoma" w:hAnsi="Tahoma" w:cs="Tahoma"/>
                <w:color w:val="000000"/>
                <w:sz w:val="22"/>
                <w:szCs w:val="22"/>
              </w:rPr>
              <w:t>постановка Карты в международный стоп-лист (на 2 недели) по волеизъявлению Клиента, 1 (один) регион</w:t>
            </w:r>
          </w:p>
        </w:tc>
        <w:tc>
          <w:tcPr>
            <w:tcW w:w="8821"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50C488" w14:textId="77777777" w:rsidR="005B68FD" w:rsidRPr="005B68FD" w:rsidRDefault="005B68FD" w:rsidP="005B68FD">
            <w:pPr>
              <w:jc w:val="center"/>
              <w:rPr>
                <w:rFonts w:ascii="Tahoma" w:hAnsi="Tahoma" w:cs="Tahoma"/>
                <w:color w:val="000000"/>
                <w:sz w:val="22"/>
                <w:szCs w:val="22"/>
              </w:rPr>
            </w:pPr>
            <w:r w:rsidRPr="005B68FD">
              <w:rPr>
                <w:rFonts w:ascii="Tahoma" w:hAnsi="Tahoma" w:cs="Tahoma"/>
                <w:color w:val="000000"/>
                <w:sz w:val="22"/>
                <w:szCs w:val="22"/>
              </w:rPr>
              <w:t>1 500 рублей</w:t>
            </w:r>
          </w:p>
        </w:tc>
      </w:tr>
      <w:tr w:rsidR="005B68FD" w:rsidRPr="005B68FD" w14:paraId="0D27C85A" w14:textId="77777777" w:rsidTr="005B68FD">
        <w:trPr>
          <w:trHeight w:val="300"/>
        </w:trPr>
        <w:tc>
          <w:tcPr>
            <w:tcW w:w="828" w:type="dxa"/>
            <w:tcBorders>
              <w:top w:val="nil"/>
              <w:left w:val="single" w:sz="4" w:space="0" w:color="auto"/>
              <w:bottom w:val="single" w:sz="4" w:space="0" w:color="auto"/>
              <w:right w:val="single" w:sz="4" w:space="0" w:color="auto"/>
            </w:tcBorders>
            <w:shd w:val="clear" w:color="000000" w:fill="595959"/>
            <w:noWrap/>
            <w:vAlign w:val="center"/>
            <w:hideMark/>
          </w:tcPr>
          <w:p w14:paraId="7CF4F8FE" w14:textId="77777777" w:rsidR="005B68FD" w:rsidRPr="005B68FD" w:rsidRDefault="005B68FD" w:rsidP="005B68FD">
            <w:pPr>
              <w:jc w:val="center"/>
              <w:rPr>
                <w:rFonts w:ascii="Tahoma" w:hAnsi="Tahoma" w:cs="Tahoma"/>
                <w:b/>
                <w:bCs/>
                <w:color w:val="FFFFFF"/>
                <w:sz w:val="22"/>
                <w:szCs w:val="22"/>
              </w:rPr>
            </w:pPr>
            <w:r w:rsidRPr="005B68FD">
              <w:rPr>
                <w:rFonts w:ascii="Tahoma" w:hAnsi="Tahoma" w:cs="Tahoma"/>
                <w:b/>
                <w:bCs/>
                <w:color w:val="FFFFFF"/>
                <w:sz w:val="22"/>
                <w:szCs w:val="22"/>
              </w:rPr>
              <w:t>8.</w:t>
            </w:r>
          </w:p>
        </w:tc>
        <w:tc>
          <w:tcPr>
            <w:tcW w:w="13808" w:type="dxa"/>
            <w:gridSpan w:val="3"/>
            <w:tcBorders>
              <w:top w:val="single" w:sz="4" w:space="0" w:color="auto"/>
              <w:left w:val="nil"/>
              <w:bottom w:val="single" w:sz="4" w:space="0" w:color="auto"/>
              <w:right w:val="single" w:sz="4" w:space="0" w:color="auto"/>
            </w:tcBorders>
            <w:shd w:val="clear" w:color="000000" w:fill="595959"/>
            <w:noWrap/>
            <w:vAlign w:val="center"/>
            <w:hideMark/>
          </w:tcPr>
          <w:p w14:paraId="5D01124C" w14:textId="77777777" w:rsidR="005B68FD" w:rsidRPr="005B68FD" w:rsidRDefault="005B68FD" w:rsidP="005B68FD">
            <w:pPr>
              <w:rPr>
                <w:rFonts w:ascii="Tahoma" w:hAnsi="Tahoma" w:cs="Tahoma"/>
                <w:b/>
                <w:bCs/>
                <w:color w:val="FFFFFF"/>
                <w:sz w:val="22"/>
                <w:szCs w:val="22"/>
              </w:rPr>
            </w:pPr>
            <w:r w:rsidRPr="005B68FD">
              <w:rPr>
                <w:rFonts w:ascii="Tahoma" w:hAnsi="Tahoma" w:cs="Tahoma"/>
                <w:b/>
                <w:bCs/>
                <w:color w:val="FFFFFF"/>
                <w:sz w:val="22"/>
                <w:szCs w:val="22"/>
              </w:rPr>
              <w:t>Прочие операции</w:t>
            </w:r>
          </w:p>
        </w:tc>
      </w:tr>
      <w:tr w:rsidR="005B68FD" w:rsidRPr="005B68FD" w14:paraId="1E778104" w14:textId="77777777" w:rsidTr="005B68FD">
        <w:trPr>
          <w:trHeight w:val="315"/>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4A3DD6E6"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8.1.</w:t>
            </w:r>
          </w:p>
        </w:tc>
        <w:tc>
          <w:tcPr>
            <w:tcW w:w="4987" w:type="dxa"/>
            <w:tcBorders>
              <w:top w:val="nil"/>
              <w:left w:val="nil"/>
              <w:bottom w:val="single" w:sz="4" w:space="0" w:color="auto"/>
              <w:right w:val="single" w:sz="4" w:space="0" w:color="auto"/>
            </w:tcBorders>
            <w:shd w:val="clear" w:color="auto" w:fill="auto"/>
            <w:vAlign w:val="center"/>
            <w:hideMark/>
          </w:tcPr>
          <w:p w14:paraId="416A03DB" w14:textId="77777777" w:rsidR="005B68FD" w:rsidRPr="005B68FD" w:rsidRDefault="005B68FD" w:rsidP="005B68FD">
            <w:pPr>
              <w:rPr>
                <w:rFonts w:ascii="Tahoma" w:hAnsi="Tahoma" w:cs="Tahoma"/>
                <w:color w:val="000000"/>
                <w:sz w:val="22"/>
                <w:szCs w:val="22"/>
              </w:rPr>
            </w:pPr>
            <w:r w:rsidRPr="005B68FD">
              <w:rPr>
                <w:rFonts w:ascii="Tahoma" w:hAnsi="Tahoma" w:cs="Tahoma"/>
                <w:color w:val="000000"/>
                <w:sz w:val="22"/>
                <w:szCs w:val="22"/>
              </w:rPr>
              <w:t>выписка по Счету Карты в отделении Банка</w:t>
            </w:r>
            <w:r w:rsidRPr="005B68FD">
              <w:rPr>
                <w:rFonts w:ascii="Tahoma" w:hAnsi="Tahoma" w:cs="Tahoma"/>
                <w:color w:val="000000"/>
                <w:sz w:val="22"/>
                <w:szCs w:val="22"/>
                <w:vertAlign w:val="superscript"/>
              </w:rPr>
              <w:t>4</w:t>
            </w:r>
          </w:p>
        </w:tc>
        <w:tc>
          <w:tcPr>
            <w:tcW w:w="8821" w:type="dxa"/>
            <w:gridSpan w:val="2"/>
            <w:tcBorders>
              <w:top w:val="single" w:sz="4" w:space="0" w:color="auto"/>
              <w:left w:val="nil"/>
              <w:bottom w:val="single" w:sz="4" w:space="0" w:color="auto"/>
              <w:right w:val="single" w:sz="4" w:space="0" w:color="auto"/>
            </w:tcBorders>
            <w:shd w:val="clear" w:color="auto" w:fill="auto"/>
            <w:noWrap/>
            <w:vAlign w:val="center"/>
            <w:hideMark/>
          </w:tcPr>
          <w:p w14:paraId="1B22BB48" w14:textId="77777777" w:rsidR="005B68FD" w:rsidRPr="005B68FD" w:rsidRDefault="005B68FD" w:rsidP="005B68FD">
            <w:pPr>
              <w:jc w:val="center"/>
              <w:rPr>
                <w:rFonts w:ascii="Tahoma" w:hAnsi="Tahoma" w:cs="Tahoma"/>
                <w:color w:val="000000"/>
                <w:sz w:val="22"/>
                <w:szCs w:val="22"/>
              </w:rPr>
            </w:pPr>
            <w:r w:rsidRPr="005B68FD">
              <w:rPr>
                <w:rFonts w:ascii="Tahoma" w:hAnsi="Tahoma" w:cs="Tahoma"/>
                <w:color w:val="000000"/>
                <w:sz w:val="22"/>
                <w:szCs w:val="22"/>
              </w:rPr>
              <w:t>250 руб.</w:t>
            </w:r>
          </w:p>
        </w:tc>
      </w:tr>
      <w:tr w:rsidR="005B68FD" w:rsidRPr="005B68FD" w14:paraId="5DFC21EA" w14:textId="77777777" w:rsidTr="005B68FD">
        <w:trPr>
          <w:trHeight w:val="300"/>
        </w:trPr>
        <w:tc>
          <w:tcPr>
            <w:tcW w:w="828" w:type="dxa"/>
            <w:tcBorders>
              <w:top w:val="nil"/>
              <w:left w:val="single" w:sz="4" w:space="0" w:color="auto"/>
              <w:bottom w:val="single" w:sz="4" w:space="0" w:color="auto"/>
              <w:right w:val="single" w:sz="4" w:space="0" w:color="auto"/>
            </w:tcBorders>
            <w:shd w:val="clear" w:color="000000" w:fill="595959"/>
            <w:noWrap/>
            <w:vAlign w:val="center"/>
            <w:hideMark/>
          </w:tcPr>
          <w:p w14:paraId="699D3158" w14:textId="77777777" w:rsidR="005B68FD" w:rsidRPr="005B68FD" w:rsidRDefault="005B68FD" w:rsidP="005B68FD">
            <w:pPr>
              <w:jc w:val="center"/>
              <w:rPr>
                <w:rFonts w:ascii="Tahoma" w:hAnsi="Tahoma" w:cs="Tahoma"/>
                <w:b/>
                <w:bCs/>
                <w:color w:val="FFFFFF"/>
                <w:sz w:val="22"/>
                <w:szCs w:val="22"/>
              </w:rPr>
            </w:pPr>
            <w:r w:rsidRPr="005B68FD">
              <w:rPr>
                <w:rFonts w:ascii="Tahoma" w:hAnsi="Tahoma" w:cs="Tahoma"/>
                <w:b/>
                <w:bCs/>
                <w:color w:val="FFFFFF"/>
                <w:sz w:val="22"/>
                <w:szCs w:val="22"/>
              </w:rPr>
              <w:t>9.</w:t>
            </w:r>
          </w:p>
        </w:tc>
        <w:tc>
          <w:tcPr>
            <w:tcW w:w="13808" w:type="dxa"/>
            <w:gridSpan w:val="3"/>
            <w:tcBorders>
              <w:top w:val="single" w:sz="4" w:space="0" w:color="auto"/>
              <w:left w:val="nil"/>
              <w:bottom w:val="single" w:sz="4" w:space="0" w:color="auto"/>
              <w:right w:val="single" w:sz="4" w:space="0" w:color="auto"/>
            </w:tcBorders>
            <w:shd w:val="clear" w:color="000000" w:fill="595959"/>
            <w:noWrap/>
            <w:vAlign w:val="center"/>
            <w:hideMark/>
          </w:tcPr>
          <w:p w14:paraId="4E7AF454" w14:textId="77777777" w:rsidR="005B68FD" w:rsidRPr="005B68FD" w:rsidRDefault="005B68FD" w:rsidP="005B68FD">
            <w:pPr>
              <w:rPr>
                <w:rFonts w:ascii="Tahoma" w:hAnsi="Tahoma" w:cs="Tahoma"/>
                <w:b/>
                <w:bCs/>
                <w:color w:val="FFFFFF"/>
                <w:sz w:val="22"/>
                <w:szCs w:val="22"/>
              </w:rPr>
            </w:pPr>
            <w:r w:rsidRPr="005B68FD">
              <w:rPr>
                <w:rFonts w:ascii="Tahoma" w:hAnsi="Tahoma" w:cs="Tahoma"/>
                <w:b/>
                <w:bCs/>
                <w:color w:val="FFFFFF"/>
                <w:sz w:val="22"/>
                <w:szCs w:val="22"/>
              </w:rPr>
              <w:t>Правила Программ лояльности</w:t>
            </w:r>
          </w:p>
        </w:tc>
      </w:tr>
      <w:tr w:rsidR="005B68FD" w:rsidRPr="005B68FD" w14:paraId="37E9CFC8" w14:textId="77777777" w:rsidTr="005B68FD">
        <w:trPr>
          <w:trHeight w:val="1035"/>
        </w:trPr>
        <w:tc>
          <w:tcPr>
            <w:tcW w:w="828" w:type="dxa"/>
            <w:tcBorders>
              <w:top w:val="nil"/>
              <w:left w:val="single" w:sz="4" w:space="0" w:color="auto"/>
              <w:bottom w:val="single" w:sz="4" w:space="0" w:color="auto"/>
              <w:right w:val="single" w:sz="4" w:space="0" w:color="auto"/>
            </w:tcBorders>
            <w:shd w:val="clear" w:color="000000" w:fill="FFFFFF"/>
            <w:noWrap/>
            <w:vAlign w:val="center"/>
            <w:hideMark/>
          </w:tcPr>
          <w:p w14:paraId="2CAE0153"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9.1.</w:t>
            </w:r>
          </w:p>
        </w:tc>
        <w:tc>
          <w:tcPr>
            <w:tcW w:w="4987" w:type="dxa"/>
            <w:tcBorders>
              <w:top w:val="nil"/>
              <w:left w:val="nil"/>
              <w:bottom w:val="single" w:sz="4" w:space="0" w:color="auto"/>
              <w:right w:val="single" w:sz="4" w:space="0" w:color="auto"/>
            </w:tcBorders>
            <w:shd w:val="clear" w:color="auto" w:fill="auto"/>
            <w:vAlign w:val="bottom"/>
            <w:hideMark/>
          </w:tcPr>
          <w:p w14:paraId="2A759589" w14:textId="77777777" w:rsidR="005B68FD" w:rsidRPr="005B68FD" w:rsidRDefault="005B68FD" w:rsidP="005B68FD">
            <w:pPr>
              <w:jc w:val="both"/>
              <w:rPr>
                <w:rFonts w:ascii="Tahoma" w:hAnsi="Tahoma" w:cs="Tahoma"/>
                <w:sz w:val="22"/>
                <w:szCs w:val="22"/>
              </w:rPr>
            </w:pPr>
            <w:r w:rsidRPr="005B68FD">
              <w:rPr>
                <w:rFonts w:ascii="Tahoma" w:hAnsi="Tahoma" w:cs="Tahoma"/>
                <w:sz w:val="22"/>
                <w:szCs w:val="22"/>
              </w:rPr>
              <w:t>Программа лояльности для Клиентов-держателей Банковских карт «Азиатско-Тихоокеанский Банк, (АО)», размещенная на Сайте Банка www.atb.su и в подразделениях Банка</w:t>
            </w:r>
            <w:r w:rsidRPr="005B68FD">
              <w:rPr>
                <w:rFonts w:ascii="Tahoma" w:hAnsi="Tahoma" w:cs="Tahoma"/>
                <w:sz w:val="22"/>
                <w:szCs w:val="22"/>
                <w:vertAlign w:val="superscript"/>
              </w:rPr>
              <w:t>4,12</w:t>
            </w:r>
          </w:p>
        </w:tc>
        <w:tc>
          <w:tcPr>
            <w:tcW w:w="8821" w:type="dxa"/>
            <w:gridSpan w:val="2"/>
            <w:tcBorders>
              <w:top w:val="single" w:sz="4" w:space="0" w:color="auto"/>
              <w:left w:val="nil"/>
              <w:bottom w:val="single" w:sz="4" w:space="0" w:color="auto"/>
              <w:right w:val="single" w:sz="4" w:space="0" w:color="auto"/>
            </w:tcBorders>
            <w:shd w:val="clear" w:color="auto" w:fill="auto"/>
            <w:vAlign w:val="center"/>
            <w:hideMark/>
          </w:tcPr>
          <w:p w14:paraId="7BF66E13"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Согласно действующей Бонусной программе «Стандарт-Бонус», размещенной на Сайте Банка www.atb.su и в Подразделениях Банка</w:t>
            </w:r>
            <w:r w:rsidRPr="005B68FD">
              <w:rPr>
                <w:rFonts w:ascii="Tahoma" w:hAnsi="Tahoma" w:cs="Tahoma"/>
                <w:sz w:val="22"/>
                <w:szCs w:val="22"/>
                <w:vertAlign w:val="superscript"/>
              </w:rPr>
              <w:t>4</w:t>
            </w:r>
          </w:p>
        </w:tc>
      </w:tr>
      <w:tr w:rsidR="005B68FD" w:rsidRPr="005B68FD" w14:paraId="7FDADF28" w14:textId="77777777" w:rsidTr="005B68FD">
        <w:trPr>
          <w:trHeight w:val="855"/>
        </w:trPr>
        <w:tc>
          <w:tcPr>
            <w:tcW w:w="828" w:type="dxa"/>
            <w:tcBorders>
              <w:top w:val="nil"/>
              <w:left w:val="single" w:sz="4" w:space="0" w:color="auto"/>
              <w:bottom w:val="single" w:sz="4" w:space="0" w:color="auto"/>
              <w:right w:val="single" w:sz="4" w:space="0" w:color="auto"/>
            </w:tcBorders>
            <w:shd w:val="clear" w:color="000000" w:fill="FFFFFF"/>
            <w:noWrap/>
            <w:vAlign w:val="center"/>
            <w:hideMark/>
          </w:tcPr>
          <w:p w14:paraId="1FD4EF52"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9.2.</w:t>
            </w:r>
          </w:p>
        </w:tc>
        <w:tc>
          <w:tcPr>
            <w:tcW w:w="4987" w:type="dxa"/>
            <w:tcBorders>
              <w:top w:val="nil"/>
              <w:left w:val="nil"/>
              <w:bottom w:val="single" w:sz="4" w:space="0" w:color="auto"/>
              <w:right w:val="single" w:sz="4" w:space="0" w:color="auto"/>
            </w:tcBorders>
            <w:shd w:val="clear" w:color="auto" w:fill="auto"/>
            <w:noWrap/>
            <w:vAlign w:val="center"/>
            <w:hideMark/>
          </w:tcPr>
          <w:p w14:paraId="46EDD117" w14:textId="77777777" w:rsidR="005B68FD" w:rsidRPr="005B68FD" w:rsidRDefault="005B68FD" w:rsidP="005B68FD">
            <w:pPr>
              <w:jc w:val="both"/>
              <w:rPr>
                <w:rFonts w:ascii="Tahoma" w:hAnsi="Tahoma" w:cs="Tahoma"/>
                <w:sz w:val="22"/>
                <w:szCs w:val="22"/>
              </w:rPr>
            </w:pPr>
            <w:r w:rsidRPr="005B68FD">
              <w:rPr>
                <w:rFonts w:ascii="Tahoma" w:hAnsi="Tahoma" w:cs="Tahoma"/>
                <w:sz w:val="22"/>
                <w:szCs w:val="22"/>
              </w:rPr>
              <w:t>Программа лояльности «Привет, Мир!»</w:t>
            </w:r>
            <w:r w:rsidRPr="005B68FD">
              <w:rPr>
                <w:rFonts w:ascii="Tahoma" w:hAnsi="Tahoma" w:cs="Tahoma"/>
                <w:sz w:val="22"/>
                <w:szCs w:val="22"/>
                <w:vertAlign w:val="superscript"/>
              </w:rPr>
              <w:t>13</w:t>
            </w:r>
          </w:p>
        </w:tc>
        <w:tc>
          <w:tcPr>
            <w:tcW w:w="4410" w:type="dxa"/>
            <w:tcBorders>
              <w:top w:val="nil"/>
              <w:left w:val="nil"/>
              <w:bottom w:val="single" w:sz="4" w:space="0" w:color="auto"/>
              <w:right w:val="single" w:sz="4" w:space="0" w:color="auto"/>
            </w:tcBorders>
            <w:shd w:val="clear" w:color="000000" w:fill="FFFFFF"/>
            <w:vAlign w:val="center"/>
            <w:hideMark/>
          </w:tcPr>
          <w:p w14:paraId="2C7B30F4" w14:textId="77777777" w:rsidR="005B68FD" w:rsidRPr="005B68FD" w:rsidRDefault="005B68FD" w:rsidP="005B68FD">
            <w:pPr>
              <w:jc w:val="both"/>
              <w:rPr>
                <w:rFonts w:ascii="Tahoma" w:hAnsi="Tahoma" w:cs="Tahoma"/>
                <w:color w:val="000000"/>
                <w:sz w:val="22"/>
                <w:szCs w:val="22"/>
              </w:rPr>
            </w:pPr>
            <w:r w:rsidRPr="005B68FD">
              <w:rPr>
                <w:rFonts w:ascii="Tahoma" w:hAnsi="Tahoma" w:cs="Tahoma"/>
                <w:color w:val="000000"/>
                <w:sz w:val="22"/>
                <w:szCs w:val="22"/>
              </w:rPr>
              <w:t xml:space="preserve">Согласно действующим Правилам программы лояльности «Привет, мир!» Акционерного общества «Национальная система платежных карт», размещенным на его Официальном сайте privetmir.ru/cashback/ </w:t>
            </w:r>
          </w:p>
        </w:tc>
        <w:tc>
          <w:tcPr>
            <w:tcW w:w="4411" w:type="dxa"/>
            <w:tcBorders>
              <w:top w:val="nil"/>
              <w:left w:val="nil"/>
              <w:bottom w:val="single" w:sz="4" w:space="0" w:color="auto"/>
              <w:right w:val="single" w:sz="4" w:space="0" w:color="auto"/>
            </w:tcBorders>
            <w:shd w:val="clear" w:color="000000" w:fill="FFFFFF"/>
            <w:vAlign w:val="center"/>
            <w:hideMark/>
          </w:tcPr>
          <w:p w14:paraId="0D11D311" w14:textId="77777777" w:rsidR="005B68FD" w:rsidRPr="005B68FD" w:rsidRDefault="005B68FD" w:rsidP="005B68FD">
            <w:pPr>
              <w:jc w:val="center"/>
              <w:rPr>
                <w:rFonts w:ascii="Tahoma" w:hAnsi="Tahoma" w:cs="Tahoma"/>
                <w:sz w:val="22"/>
                <w:szCs w:val="22"/>
              </w:rPr>
            </w:pPr>
            <w:r w:rsidRPr="005B68FD">
              <w:rPr>
                <w:rFonts w:ascii="Tahoma" w:hAnsi="Tahoma" w:cs="Tahoma"/>
                <w:sz w:val="22"/>
                <w:szCs w:val="22"/>
              </w:rPr>
              <w:t xml:space="preserve"> не применимо </w:t>
            </w:r>
          </w:p>
        </w:tc>
      </w:tr>
    </w:tbl>
    <w:p w14:paraId="0AAFF347" w14:textId="77777777" w:rsidR="005B68FD" w:rsidRPr="005B68FD" w:rsidRDefault="005B68FD" w:rsidP="005B68FD">
      <w:pPr>
        <w:tabs>
          <w:tab w:val="left" w:pos="851"/>
        </w:tabs>
        <w:ind w:left="426"/>
        <w:rPr>
          <w:rFonts w:ascii="Tahoma" w:hAnsi="Tahoma" w:cs="Tahoma"/>
          <w:b/>
          <w:bCs/>
          <w:iCs/>
          <w:color w:val="E36C0A"/>
          <w:sz w:val="22"/>
          <w:szCs w:val="22"/>
        </w:rPr>
      </w:pPr>
    </w:p>
    <w:tbl>
      <w:tblPr>
        <w:tblW w:w="16676" w:type="dxa"/>
        <w:tblLayout w:type="fixed"/>
        <w:tblLook w:val="04A0" w:firstRow="1" w:lastRow="0" w:firstColumn="1" w:lastColumn="0" w:noHBand="0" w:noVBand="1"/>
      </w:tblPr>
      <w:tblGrid>
        <w:gridCol w:w="8360"/>
        <w:gridCol w:w="6382"/>
        <w:gridCol w:w="1698"/>
        <w:gridCol w:w="236"/>
      </w:tblGrid>
      <w:tr w:rsidR="005B68FD" w14:paraId="678E9F72" w14:textId="77777777" w:rsidTr="005B68FD">
        <w:trPr>
          <w:trHeight w:val="345"/>
        </w:trPr>
        <w:tc>
          <w:tcPr>
            <w:tcW w:w="8360" w:type="dxa"/>
            <w:tcBorders>
              <w:top w:val="single" w:sz="4" w:space="0" w:color="auto"/>
              <w:left w:val="nil"/>
              <w:bottom w:val="nil"/>
              <w:right w:val="nil"/>
            </w:tcBorders>
            <w:shd w:val="clear" w:color="auto" w:fill="auto"/>
            <w:vAlign w:val="center"/>
            <w:hideMark/>
          </w:tcPr>
          <w:p w14:paraId="1B149415" w14:textId="77777777" w:rsidR="005B68FD" w:rsidRDefault="005B68FD" w:rsidP="005B68FD">
            <w:pPr>
              <w:rPr>
                <w:rFonts w:ascii="Tahoma" w:hAnsi="Tahoma" w:cs="Tahoma"/>
                <w:b/>
                <w:bCs/>
                <w:color w:val="000000"/>
                <w:sz w:val="22"/>
                <w:szCs w:val="22"/>
              </w:rPr>
            </w:pPr>
            <w:r>
              <w:rPr>
                <w:rFonts w:ascii="Tahoma" w:hAnsi="Tahoma" w:cs="Tahoma"/>
                <w:b/>
                <w:bCs/>
                <w:color w:val="000000"/>
                <w:sz w:val="22"/>
                <w:szCs w:val="22"/>
              </w:rPr>
              <w:t>Примечания:</w:t>
            </w:r>
          </w:p>
        </w:tc>
        <w:tc>
          <w:tcPr>
            <w:tcW w:w="8080" w:type="dxa"/>
            <w:gridSpan w:val="2"/>
            <w:tcBorders>
              <w:top w:val="nil"/>
              <w:left w:val="nil"/>
              <w:bottom w:val="nil"/>
              <w:right w:val="nil"/>
            </w:tcBorders>
            <w:shd w:val="clear" w:color="auto" w:fill="auto"/>
            <w:vAlign w:val="center"/>
            <w:hideMark/>
          </w:tcPr>
          <w:p w14:paraId="7F81A053" w14:textId="77777777" w:rsidR="005B68FD" w:rsidRDefault="005B68FD" w:rsidP="005B68FD">
            <w:pPr>
              <w:rPr>
                <w:rFonts w:ascii="Tahoma" w:hAnsi="Tahoma" w:cs="Tahoma"/>
                <w:b/>
                <w:bCs/>
                <w:color w:val="000000"/>
                <w:sz w:val="22"/>
                <w:szCs w:val="22"/>
              </w:rPr>
            </w:pPr>
          </w:p>
        </w:tc>
        <w:tc>
          <w:tcPr>
            <w:tcW w:w="236" w:type="dxa"/>
            <w:tcBorders>
              <w:top w:val="nil"/>
              <w:left w:val="nil"/>
              <w:bottom w:val="nil"/>
              <w:right w:val="nil"/>
            </w:tcBorders>
            <w:shd w:val="clear" w:color="auto" w:fill="auto"/>
            <w:noWrap/>
            <w:vAlign w:val="bottom"/>
            <w:hideMark/>
          </w:tcPr>
          <w:p w14:paraId="2AF080EC" w14:textId="77777777" w:rsidR="005B68FD" w:rsidRDefault="005B68FD" w:rsidP="005B68FD">
            <w:pPr>
              <w:rPr>
                <w:sz w:val="20"/>
                <w:szCs w:val="20"/>
              </w:rPr>
            </w:pPr>
          </w:p>
        </w:tc>
      </w:tr>
      <w:tr w:rsidR="005B68FD" w14:paraId="23860580" w14:textId="77777777" w:rsidTr="005B68FD">
        <w:trPr>
          <w:gridAfter w:val="2"/>
          <w:wAfter w:w="1934" w:type="dxa"/>
          <w:trHeight w:val="1680"/>
        </w:trPr>
        <w:tc>
          <w:tcPr>
            <w:tcW w:w="14742" w:type="dxa"/>
            <w:gridSpan w:val="2"/>
            <w:tcBorders>
              <w:top w:val="nil"/>
              <w:left w:val="nil"/>
              <w:bottom w:val="nil"/>
              <w:right w:val="nil"/>
            </w:tcBorders>
            <w:shd w:val="clear" w:color="auto" w:fill="auto"/>
            <w:vAlign w:val="center"/>
            <w:hideMark/>
          </w:tcPr>
          <w:p w14:paraId="6587BDB7" w14:textId="77777777" w:rsidR="005B68FD" w:rsidRDefault="005B68FD" w:rsidP="005B68FD">
            <w:pPr>
              <w:rPr>
                <w:rFonts w:ascii="Tahoma" w:hAnsi="Tahoma" w:cs="Tahoma"/>
                <w:sz w:val="22"/>
                <w:szCs w:val="22"/>
              </w:rPr>
            </w:pPr>
            <w:r>
              <w:rPr>
                <w:rFonts w:ascii="Tahoma" w:hAnsi="Tahoma" w:cs="Tahoma"/>
                <w:sz w:val="22"/>
                <w:szCs w:val="22"/>
                <w:vertAlign w:val="superscript"/>
              </w:rPr>
              <w:t>1</w:t>
            </w:r>
            <w:r>
              <w:rPr>
                <w:rFonts w:ascii="Tahoma" w:hAnsi="Tahoma" w:cs="Tahoma"/>
                <w:sz w:val="22"/>
                <w:szCs w:val="22"/>
              </w:rPr>
              <w:t>Тарифный план «АТБ карта Зарплатная» предоставляется при наличии технической возможности Клиентам - физическим лицам-участникам Зарплатного проекта в «Азиатско-Тихоокеанский Банк» (АО) (далее – Банк). Одному Клиенту может быть предоставлена только одна основная Карта одного типа в рамках Тарифного плана «АТБ карта Зарплатная».</w:t>
            </w:r>
            <w:r>
              <w:rPr>
                <w:rFonts w:ascii="Tahoma" w:hAnsi="Tahoma" w:cs="Tahoma"/>
                <w:sz w:val="22"/>
                <w:szCs w:val="22"/>
              </w:rPr>
              <w:br/>
              <w:t>Зарплатный проект – оказание Банком комплекса банковских услуг Клиенту-юридическому лицу/индивидуальному предпринимателю/физическому лицу, занимающемуся в установленном действующим законодательством Российской Федерации порядке частной практикой (далее – Организация), направленных на автоматизацию зачисления заработной платы и иных выплат (больничных, отпускных и т.д.) работникам Организации.</w:t>
            </w:r>
          </w:p>
        </w:tc>
      </w:tr>
      <w:tr w:rsidR="005B68FD" w14:paraId="45456DE5" w14:textId="77777777" w:rsidTr="005B68FD">
        <w:trPr>
          <w:gridAfter w:val="2"/>
          <w:wAfter w:w="1934" w:type="dxa"/>
          <w:trHeight w:val="1163"/>
        </w:trPr>
        <w:tc>
          <w:tcPr>
            <w:tcW w:w="14742" w:type="dxa"/>
            <w:gridSpan w:val="2"/>
            <w:tcBorders>
              <w:top w:val="nil"/>
              <w:left w:val="nil"/>
              <w:bottom w:val="nil"/>
              <w:right w:val="nil"/>
            </w:tcBorders>
            <w:shd w:val="clear" w:color="auto" w:fill="auto"/>
            <w:vAlign w:val="center"/>
            <w:hideMark/>
          </w:tcPr>
          <w:p w14:paraId="678DC82E" w14:textId="77777777" w:rsidR="005B68FD" w:rsidRDefault="005B68FD" w:rsidP="005B68FD">
            <w:pPr>
              <w:rPr>
                <w:rFonts w:ascii="Tahoma" w:hAnsi="Tahoma" w:cs="Tahoma"/>
                <w:sz w:val="22"/>
                <w:szCs w:val="22"/>
              </w:rPr>
            </w:pPr>
            <w:r>
              <w:rPr>
                <w:rFonts w:ascii="Tahoma" w:hAnsi="Tahoma" w:cs="Tahoma"/>
                <w:sz w:val="22"/>
                <w:szCs w:val="22"/>
                <w:vertAlign w:val="superscript"/>
              </w:rPr>
              <w:t>2</w:t>
            </w:r>
            <w:r>
              <w:rPr>
                <w:rFonts w:ascii="Tahoma" w:hAnsi="Tahoma" w:cs="Tahoma"/>
                <w:sz w:val="22"/>
                <w:szCs w:val="22"/>
              </w:rPr>
              <w:t>Карта – банковская (платежная) карта платежной системы Мир, выпущенная Банком для Клиента на имя Держателя карты на основании Заявления о банковском обслуживании при получении и использовании банковских (платежных) карт «Азиатско-Тихоокеанский Банк» (АО). Правила использования Карты устанавливаются нормативно-правовыми актами Банка России, платежной системой и Универсальным договором банковского обслуживания (далее – УДБО).</w:t>
            </w:r>
          </w:p>
        </w:tc>
      </w:tr>
      <w:tr w:rsidR="005B68FD" w14:paraId="712FB3DD" w14:textId="77777777" w:rsidTr="005B68FD">
        <w:trPr>
          <w:gridAfter w:val="2"/>
          <w:wAfter w:w="1934" w:type="dxa"/>
          <w:trHeight w:val="630"/>
        </w:trPr>
        <w:tc>
          <w:tcPr>
            <w:tcW w:w="14742" w:type="dxa"/>
            <w:gridSpan w:val="2"/>
            <w:tcBorders>
              <w:top w:val="nil"/>
              <w:left w:val="nil"/>
              <w:bottom w:val="nil"/>
              <w:right w:val="nil"/>
            </w:tcBorders>
            <w:shd w:val="clear" w:color="000000" w:fill="FFFFFF"/>
            <w:hideMark/>
          </w:tcPr>
          <w:p w14:paraId="1395B439" w14:textId="77777777" w:rsidR="005B68FD" w:rsidRDefault="005B68FD" w:rsidP="005B68FD">
            <w:pPr>
              <w:rPr>
                <w:rFonts w:ascii="Tahoma" w:hAnsi="Tahoma" w:cs="Tahoma"/>
                <w:sz w:val="22"/>
                <w:szCs w:val="22"/>
              </w:rPr>
            </w:pPr>
            <w:r>
              <w:rPr>
                <w:rFonts w:ascii="Tahoma" w:hAnsi="Tahoma" w:cs="Tahoma"/>
                <w:sz w:val="22"/>
                <w:szCs w:val="22"/>
                <w:vertAlign w:val="superscript"/>
              </w:rPr>
              <w:t>3</w:t>
            </w:r>
            <w:r>
              <w:rPr>
                <w:rFonts w:ascii="Tahoma" w:hAnsi="Tahoma" w:cs="Tahoma"/>
                <w:sz w:val="22"/>
                <w:szCs w:val="22"/>
              </w:rPr>
              <w:t>Счет Карты – текущий банковский счет, открываемый в соответствии с настоящим Тарифным планом Банком</w:t>
            </w:r>
            <w:r>
              <w:rPr>
                <w:rFonts w:ascii="Tahoma" w:hAnsi="Tahoma" w:cs="Tahoma"/>
                <w:sz w:val="22"/>
                <w:szCs w:val="22"/>
                <w:vertAlign w:val="superscript"/>
              </w:rPr>
              <w:t>4</w:t>
            </w:r>
            <w:r>
              <w:rPr>
                <w:rFonts w:ascii="Tahoma" w:hAnsi="Tahoma" w:cs="Tahoma"/>
                <w:sz w:val="22"/>
                <w:szCs w:val="22"/>
              </w:rPr>
              <w:t xml:space="preserve"> Клиенту в рамках заключения Договора Карты между Банком</w:t>
            </w:r>
            <w:r>
              <w:rPr>
                <w:rFonts w:ascii="Tahoma" w:hAnsi="Tahoma" w:cs="Tahoma"/>
                <w:sz w:val="22"/>
                <w:szCs w:val="22"/>
                <w:vertAlign w:val="superscript"/>
              </w:rPr>
              <w:t>4</w:t>
            </w:r>
            <w:r>
              <w:rPr>
                <w:rFonts w:ascii="Tahoma" w:hAnsi="Tahoma" w:cs="Tahoma"/>
                <w:sz w:val="22"/>
                <w:szCs w:val="22"/>
              </w:rPr>
              <w:t xml:space="preserve"> и Клиентом.</w:t>
            </w:r>
          </w:p>
        </w:tc>
      </w:tr>
      <w:tr w:rsidR="005B68FD" w14:paraId="73F2351F" w14:textId="77777777" w:rsidTr="005B68FD">
        <w:trPr>
          <w:gridAfter w:val="2"/>
          <w:wAfter w:w="1934" w:type="dxa"/>
          <w:trHeight w:val="405"/>
        </w:trPr>
        <w:tc>
          <w:tcPr>
            <w:tcW w:w="14742" w:type="dxa"/>
            <w:gridSpan w:val="2"/>
            <w:tcBorders>
              <w:top w:val="nil"/>
              <w:left w:val="nil"/>
              <w:bottom w:val="nil"/>
              <w:right w:val="nil"/>
            </w:tcBorders>
            <w:shd w:val="clear" w:color="auto" w:fill="auto"/>
            <w:hideMark/>
          </w:tcPr>
          <w:p w14:paraId="4E14183A" w14:textId="77777777" w:rsidR="005B68FD" w:rsidRDefault="005B68FD" w:rsidP="005B68FD">
            <w:pPr>
              <w:rPr>
                <w:rFonts w:ascii="Tahoma" w:hAnsi="Tahoma" w:cs="Tahoma"/>
                <w:sz w:val="22"/>
                <w:szCs w:val="22"/>
              </w:rPr>
            </w:pPr>
            <w:r>
              <w:rPr>
                <w:rFonts w:ascii="Tahoma" w:hAnsi="Tahoma" w:cs="Tahoma"/>
                <w:sz w:val="22"/>
                <w:szCs w:val="22"/>
                <w:vertAlign w:val="superscript"/>
              </w:rPr>
              <w:t>4</w:t>
            </w:r>
            <w:r>
              <w:rPr>
                <w:rFonts w:ascii="Tahoma" w:hAnsi="Tahoma" w:cs="Tahoma"/>
                <w:sz w:val="22"/>
                <w:szCs w:val="22"/>
              </w:rPr>
              <w:t>Банк – «Азиатско-Тихоокеанский Банк» (Акционерное общество).</w:t>
            </w:r>
          </w:p>
        </w:tc>
      </w:tr>
      <w:tr w:rsidR="005B68FD" w14:paraId="70ABFF15" w14:textId="77777777" w:rsidTr="005B68FD">
        <w:trPr>
          <w:gridAfter w:val="2"/>
          <w:wAfter w:w="1934" w:type="dxa"/>
          <w:trHeight w:val="2070"/>
        </w:trPr>
        <w:tc>
          <w:tcPr>
            <w:tcW w:w="14742" w:type="dxa"/>
            <w:gridSpan w:val="2"/>
            <w:tcBorders>
              <w:top w:val="nil"/>
              <w:left w:val="nil"/>
              <w:bottom w:val="nil"/>
              <w:right w:val="nil"/>
            </w:tcBorders>
            <w:shd w:val="clear" w:color="auto" w:fill="auto"/>
            <w:hideMark/>
          </w:tcPr>
          <w:p w14:paraId="2DECCE1D" w14:textId="77777777" w:rsidR="005B68FD" w:rsidRDefault="005B68FD" w:rsidP="005B68FD">
            <w:pPr>
              <w:rPr>
                <w:rFonts w:ascii="Tahoma" w:hAnsi="Tahoma" w:cs="Tahoma"/>
                <w:color w:val="000000"/>
                <w:sz w:val="22"/>
                <w:szCs w:val="22"/>
              </w:rPr>
            </w:pPr>
            <w:r>
              <w:rPr>
                <w:rFonts w:ascii="Tahoma" w:hAnsi="Tahoma" w:cs="Tahoma"/>
                <w:color w:val="000000"/>
                <w:sz w:val="22"/>
                <w:szCs w:val="22"/>
                <w:vertAlign w:val="superscript"/>
              </w:rPr>
              <w:t>5</w:t>
            </w:r>
            <w:r>
              <w:rPr>
                <w:rFonts w:ascii="Tahoma" w:hAnsi="Tahoma" w:cs="Tahoma"/>
                <w:color w:val="000000"/>
                <w:sz w:val="22"/>
                <w:szCs w:val="22"/>
              </w:rPr>
              <w:t>Период – временной период, за который Клиенту на остаток денежных средств на Счете Карты Банком начисляются проценты. Первый Период исчисляется со дня, следующего за днем внесения денежных средств на Счет Карты по день текущего (либо следующего, в случае отсутствия такого дня в текущем) месяца включительно, соответствующий дню открытия Счета Карты. Последующие Периоды исчисляются ежемесячно со дня, следующего после дня окончания предыдущего Периода по календарный день следующего месяца включительно, соответствующий дню открытия Счета Карты. Проценты начисляются Банком на остаток денежных средств, находящийся на Счете Карты на начало Операционного дня в течение всего отчетного Периода, за который осуществляется выплата процентов. Дата выплаты начисленных процентов за Период происходит в последний день Периода. Если в каком-либо календарном месяце отсутствует число, на которое должен приходиться день окончания Периода, Банк производит выплату процентов в последний существующий день Периода.</w:t>
            </w:r>
          </w:p>
        </w:tc>
      </w:tr>
      <w:tr w:rsidR="005B68FD" w14:paraId="049AB5F6" w14:textId="77777777" w:rsidTr="005B68FD">
        <w:trPr>
          <w:gridAfter w:val="2"/>
          <w:wAfter w:w="1934" w:type="dxa"/>
          <w:trHeight w:val="1065"/>
        </w:trPr>
        <w:tc>
          <w:tcPr>
            <w:tcW w:w="14742" w:type="dxa"/>
            <w:gridSpan w:val="2"/>
            <w:tcBorders>
              <w:top w:val="nil"/>
              <w:left w:val="nil"/>
              <w:bottom w:val="nil"/>
              <w:right w:val="nil"/>
            </w:tcBorders>
            <w:shd w:val="clear" w:color="auto" w:fill="auto"/>
            <w:hideMark/>
          </w:tcPr>
          <w:p w14:paraId="1165AC96" w14:textId="77777777" w:rsidR="005B68FD" w:rsidRDefault="005B68FD" w:rsidP="005B68FD">
            <w:pPr>
              <w:rPr>
                <w:rFonts w:ascii="Tahoma" w:hAnsi="Tahoma" w:cs="Tahoma"/>
                <w:sz w:val="22"/>
                <w:szCs w:val="22"/>
              </w:rPr>
            </w:pPr>
            <w:r>
              <w:rPr>
                <w:rFonts w:ascii="Tahoma" w:hAnsi="Tahoma" w:cs="Tahoma"/>
                <w:sz w:val="22"/>
                <w:szCs w:val="22"/>
                <w:vertAlign w:val="superscript"/>
              </w:rPr>
              <w:t>6</w:t>
            </w:r>
            <w:r>
              <w:rPr>
                <w:rFonts w:ascii="Tahoma" w:hAnsi="Tahoma" w:cs="Tahoma"/>
                <w:sz w:val="22"/>
                <w:szCs w:val="22"/>
              </w:rPr>
              <w:t>ТСП (торгово-сервисные предприятия) – юридическое или физическое лицо-индивидуальный предприниматель, самозанятый (за исключением кредитных организаций), осуществляющее реализацию товаров (услуг, работ, результатов интеллектуальной деятельности), оплата которых производится Клиентами Банка с использованием Карты/реквизитов Карты через электронные средства платежа (POS-терминалы, платежные терминалы), а также через сеть Интернет.</w:t>
            </w:r>
          </w:p>
        </w:tc>
      </w:tr>
      <w:tr w:rsidR="005B68FD" w14:paraId="36CA4719" w14:textId="77777777" w:rsidTr="005B68FD">
        <w:trPr>
          <w:gridAfter w:val="2"/>
          <w:wAfter w:w="1934" w:type="dxa"/>
          <w:trHeight w:val="1200"/>
        </w:trPr>
        <w:tc>
          <w:tcPr>
            <w:tcW w:w="14742" w:type="dxa"/>
            <w:gridSpan w:val="2"/>
            <w:tcBorders>
              <w:top w:val="nil"/>
              <w:left w:val="nil"/>
              <w:bottom w:val="nil"/>
              <w:right w:val="nil"/>
            </w:tcBorders>
            <w:shd w:val="clear" w:color="000000" w:fill="FFFFFF"/>
            <w:hideMark/>
          </w:tcPr>
          <w:p w14:paraId="3E434C13" w14:textId="77777777" w:rsidR="005B68FD" w:rsidRDefault="005B68FD" w:rsidP="005B68FD">
            <w:pPr>
              <w:rPr>
                <w:rFonts w:ascii="Tahoma" w:hAnsi="Tahoma" w:cs="Tahoma"/>
                <w:sz w:val="22"/>
                <w:szCs w:val="22"/>
              </w:rPr>
            </w:pPr>
            <w:r>
              <w:rPr>
                <w:rFonts w:ascii="Tahoma" w:hAnsi="Tahoma" w:cs="Tahoma"/>
                <w:sz w:val="22"/>
                <w:szCs w:val="22"/>
                <w:vertAlign w:val="superscript"/>
              </w:rPr>
              <w:t>7</w:t>
            </w:r>
            <w:r>
              <w:rPr>
                <w:rFonts w:ascii="Tahoma" w:hAnsi="Tahoma" w:cs="Tahoma"/>
                <w:sz w:val="22"/>
                <w:szCs w:val="22"/>
              </w:rPr>
              <w:t>Отчётный период – временной период. Первый Отчётный период исчисляется со дня предоставления Клиентом Банку Заявления о банковском обслуживании при получении и использовании банковских (платежных) карт «Азиатско-Тихоокеанский Банк» (АО) до календарного дня в следующем месяце, соответствующего дню открытия Счета Карты включительно. Последующие Отчётные периоды исчисляются ежемесячно со дня, следующего за днём окончания предыдущего Отчётного периода, до дня, соответствующего дню открытия Счета Карты.</w:t>
            </w:r>
          </w:p>
        </w:tc>
      </w:tr>
      <w:tr w:rsidR="005B68FD" w14:paraId="3C827535" w14:textId="77777777" w:rsidTr="005B68FD">
        <w:trPr>
          <w:gridAfter w:val="2"/>
          <w:wAfter w:w="1934" w:type="dxa"/>
          <w:trHeight w:val="675"/>
        </w:trPr>
        <w:tc>
          <w:tcPr>
            <w:tcW w:w="14742" w:type="dxa"/>
            <w:gridSpan w:val="2"/>
            <w:tcBorders>
              <w:top w:val="nil"/>
              <w:left w:val="nil"/>
              <w:bottom w:val="nil"/>
              <w:right w:val="nil"/>
            </w:tcBorders>
            <w:shd w:val="clear" w:color="auto" w:fill="auto"/>
            <w:hideMark/>
          </w:tcPr>
          <w:p w14:paraId="09166DE4" w14:textId="77777777" w:rsidR="005B68FD" w:rsidRDefault="005B68FD" w:rsidP="005B68FD">
            <w:pPr>
              <w:rPr>
                <w:rFonts w:ascii="Tahoma" w:hAnsi="Tahoma" w:cs="Tahoma"/>
                <w:sz w:val="22"/>
                <w:szCs w:val="22"/>
              </w:rPr>
            </w:pPr>
            <w:r>
              <w:rPr>
                <w:rFonts w:ascii="Tahoma" w:hAnsi="Tahoma" w:cs="Tahoma"/>
                <w:sz w:val="22"/>
                <w:szCs w:val="22"/>
                <w:vertAlign w:val="superscript"/>
              </w:rPr>
              <w:t>8</w:t>
            </w:r>
            <w:r>
              <w:rPr>
                <w:rFonts w:ascii="Tahoma" w:hAnsi="Tahoma" w:cs="Tahoma"/>
                <w:sz w:val="22"/>
                <w:szCs w:val="22"/>
              </w:rPr>
              <w:t>Выдача денежных средств в кассах Банка производится без ограничений (за исключением случаев, предусмотренных законодательством Российской Федерации) с предъявлением документа, удостоверяющего личность.</w:t>
            </w:r>
          </w:p>
        </w:tc>
      </w:tr>
      <w:tr w:rsidR="005B68FD" w14:paraId="23D73A2E" w14:textId="77777777" w:rsidTr="005B68FD">
        <w:trPr>
          <w:gridAfter w:val="2"/>
          <w:wAfter w:w="1934" w:type="dxa"/>
          <w:trHeight w:val="645"/>
        </w:trPr>
        <w:tc>
          <w:tcPr>
            <w:tcW w:w="14742" w:type="dxa"/>
            <w:gridSpan w:val="2"/>
            <w:tcBorders>
              <w:top w:val="nil"/>
              <w:left w:val="nil"/>
              <w:bottom w:val="nil"/>
              <w:right w:val="nil"/>
            </w:tcBorders>
            <w:shd w:val="clear" w:color="000000" w:fill="FFFFFF"/>
            <w:hideMark/>
          </w:tcPr>
          <w:p w14:paraId="73D740A0" w14:textId="77777777" w:rsidR="005B68FD" w:rsidRDefault="005B68FD" w:rsidP="005B68FD">
            <w:pPr>
              <w:rPr>
                <w:rFonts w:ascii="Tahoma" w:hAnsi="Tahoma" w:cs="Tahoma"/>
                <w:sz w:val="22"/>
                <w:szCs w:val="22"/>
              </w:rPr>
            </w:pPr>
            <w:r>
              <w:rPr>
                <w:rFonts w:ascii="Tahoma" w:hAnsi="Tahoma" w:cs="Tahoma"/>
                <w:sz w:val="22"/>
                <w:szCs w:val="22"/>
                <w:vertAlign w:val="superscript"/>
              </w:rPr>
              <w:t>9</w:t>
            </w:r>
            <w:r>
              <w:rPr>
                <w:rFonts w:ascii="Tahoma" w:hAnsi="Tahoma" w:cs="Tahoma"/>
                <w:sz w:val="22"/>
                <w:szCs w:val="22"/>
              </w:rPr>
              <w:t>Платежной системой и ТСП</w:t>
            </w:r>
            <w:r>
              <w:rPr>
                <w:rFonts w:ascii="Tahoma" w:hAnsi="Tahoma" w:cs="Tahoma"/>
                <w:sz w:val="22"/>
                <w:szCs w:val="22"/>
                <w:vertAlign w:val="superscript"/>
              </w:rPr>
              <w:t>6</w:t>
            </w:r>
            <w:r>
              <w:rPr>
                <w:rFonts w:ascii="Tahoma" w:hAnsi="Tahoma" w:cs="Tahoma"/>
                <w:sz w:val="22"/>
                <w:szCs w:val="22"/>
              </w:rPr>
              <w:t xml:space="preserve"> могут быть установлены собственные ограничения по предоставлению данной услуги. О наличии услуги и ограничениях по ней необходимо уточнять в ТСП</w:t>
            </w:r>
            <w:r>
              <w:rPr>
                <w:rFonts w:ascii="Tahoma" w:hAnsi="Tahoma" w:cs="Tahoma"/>
                <w:sz w:val="22"/>
                <w:szCs w:val="22"/>
                <w:vertAlign w:val="superscript"/>
              </w:rPr>
              <w:t>6</w:t>
            </w:r>
            <w:r>
              <w:rPr>
                <w:rFonts w:ascii="Tahoma" w:hAnsi="Tahoma" w:cs="Tahoma"/>
                <w:sz w:val="22"/>
                <w:szCs w:val="22"/>
              </w:rPr>
              <w:t>.</w:t>
            </w:r>
          </w:p>
        </w:tc>
      </w:tr>
      <w:tr w:rsidR="005B68FD" w14:paraId="2C0368EB" w14:textId="77777777" w:rsidTr="005B68FD">
        <w:trPr>
          <w:gridAfter w:val="2"/>
          <w:wAfter w:w="1934" w:type="dxa"/>
          <w:trHeight w:val="660"/>
        </w:trPr>
        <w:tc>
          <w:tcPr>
            <w:tcW w:w="14742" w:type="dxa"/>
            <w:gridSpan w:val="2"/>
            <w:tcBorders>
              <w:top w:val="nil"/>
              <w:left w:val="nil"/>
              <w:bottom w:val="nil"/>
              <w:right w:val="nil"/>
            </w:tcBorders>
            <w:shd w:val="clear" w:color="000000" w:fill="FFFFFF"/>
            <w:hideMark/>
          </w:tcPr>
          <w:p w14:paraId="12DFBA86" w14:textId="77777777" w:rsidR="005B68FD" w:rsidRDefault="005B68FD" w:rsidP="005B68FD">
            <w:pPr>
              <w:rPr>
                <w:rFonts w:ascii="Tahoma" w:hAnsi="Tahoma" w:cs="Tahoma"/>
                <w:sz w:val="22"/>
                <w:szCs w:val="22"/>
              </w:rPr>
            </w:pPr>
            <w:r>
              <w:rPr>
                <w:rFonts w:ascii="Tahoma" w:hAnsi="Tahoma" w:cs="Tahoma"/>
                <w:sz w:val="22"/>
                <w:szCs w:val="22"/>
                <w:vertAlign w:val="superscript"/>
              </w:rPr>
              <w:t>10</w:t>
            </w:r>
            <w:r>
              <w:rPr>
                <w:rFonts w:ascii="Tahoma" w:hAnsi="Tahoma" w:cs="Tahoma"/>
                <w:sz w:val="22"/>
                <w:szCs w:val="22"/>
              </w:rPr>
              <w:t>По безналичным операциям с МСС-кодами: 4829 «Денежные переводы», 6012 «Финансовые институты – торговля и услуги», 6538 «Денежные переводы с Карты на Карту», 6534 «Платежная операция», 6051 «Квази-Кэш в нефинансовые учреждения» – комиссия не взимается.</w:t>
            </w:r>
          </w:p>
        </w:tc>
      </w:tr>
      <w:tr w:rsidR="005B68FD" w14:paraId="460D5ABE" w14:textId="77777777" w:rsidTr="005B68FD">
        <w:trPr>
          <w:gridAfter w:val="2"/>
          <w:wAfter w:w="1934" w:type="dxa"/>
          <w:trHeight w:val="683"/>
        </w:trPr>
        <w:tc>
          <w:tcPr>
            <w:tcW w:w="14742" w:type="dxa"/>
            <w:gridSpan w:val="2"/>
            <w:tcBorders>
              <w:top w:val="nil"/>
              <w:left w:val="nil"/>
              <w:bottom w:val="nil"/>
              <w:right w:val="nil"/>
            </w:tcBorders>
            <w:shd w:val="clear" w:color="auto" w:fill="auto"/>
            <w:hideMark/>
          </w:tcPr>
          <w:p w14:paraId="19DCC8BB" w14:textId="77777777" w:rsidR="005B68FD" w:rsidRDefault="005B68FD" w:rsidP="005B68FD">
            <w:pPr>
              <w:rPr>
                <w:rFonts w:ascii="Tahoma" w:hAnsi="Tahoma" w:cs="Tahoma"/>
                <w:sz w:val="22"/>
                <w:szCs w:val="22"/>
              </w:rPr>
            </w:pPr>
            <w:r>
              <w:rPr>
                <w:rFonts w:ascii="Tahoma" w:hAnsi="Tahoma" w:cs="Tahoma"/>
                <w:sz w:val="22"/>
                <w:szCs w:val="22"/>
                <w:vertAlign w:val="superscript"/>
              </w:rPr>
              <w:t>11</w:t>
            </w:r>
            <w:r>
              <w:rPr>
                <w:rFonts w:ascii="Tahoma" w:hAnsi="Tahoma" w:cs="Tahoma"/>
                <w:sz w:val="22"/>
                <w:szCs w:val="22"/>
              </w:rPr>
              <w:t>В случае отсутствия на Счете Карты Клиента доступных денежных средств в размере, необходимом для списания комиссии за услугу, услуга Клиенту не оказывается, комиссия не взимается.</w:t>
            </w:r>
          </w:p>
        </w:tc>
      </w:tr>
      <w:tr w:rsidR="005B68FD" w14:paraId="1B1CBD0C" w14:textId="77777777" w:rsidTr="005B68FD">
        <w:trPr>
          <w:gridAfter w:val="2"/>
          <w:wAfter w:w="1934" w:type="dxa"/>
          <w:trHeight w:val="795"/>
        </w:trPr>
        <w:tc>
          <w:tcPr>
            <w:tcW w:w="14742" w:type="dxa"/>
            <w:gridSpan w:val="2"/>
            <w:tcBorders>
              <w:top w:val="nil"/>
              <w:left w:val="nil"/>
              <w:bottom w:val="nil"/>
              <w:right w:val="nil"/>
            </w:tcBorders>
            <w:shd w:val="clear" w:color="auto" w:fill="auto"/>
            <w:hideMark/>
          </w:tcPr>
          <w:p w14:paraId="095EF654" w14:textId="77777777" w:rsidR="005B68FD" w:rsidRDefault="005B68FD" w:rsidP="005B68FD">
            <w:pPr>
              <w:rPr>
                <w:rFonts w:ascii="Tahoma" w:hAnsi="Tahoma" w:cs="Tahoma"/>
                <w:sz w:val="22"/>
                <w:szCs w:val="22"/>
              </w:rPr>
            </w:pPr>
            <w:r>
              <w:rPr>
                <w:rFonts w:ascii="Tahoma" w:hAnsi="Tahoma" w:cs="Tahoma"/>
                <w:sz w:val="22"/>
                <w:szCs w:val="22"/>
                <w:vertAlign w:val="superscript"/>
              </w:rPr>
              <w:t>12</w:t>
            </w:r>
            <w:r>
              <w:rPr>
                <w:rFonts w:ascii="Tahoma" w:hAnsi="Tahoma" w:cs="Tahoma"/>
                <w:sz w:val="22"/>
                <w:szCs w:val="22"/>
              </w:rPr>
              <w:t>В соответствии с Программой лояльности для Клиентов-держателей банковских карт «Азиатско-Тихоокеанский Банк» (АО), размещённой на Сайте Банка www.atb.su и в Подразделениях Банка.</w:t>
            </w:r>
          </w:p>
        </w:tc>
      </w:tr>
      <w:tr w:rsidR="005B68FD" w14:paraId="1F273495" w14:textId="77777777" w:rsidTr="005B68FD">
        <w:trPr>
          <w:gridAfter w:val="2"/>
          <w:wAfter w:w="1934" w:type="dxa"/>
          <w:trHeight w:val="1590"/>
        </w:trPr>
        <w:tc>
          <w:tcPr>
            <w:tcW w:w="14742" w:type="dxa"/>
            <w:gridSpan w:val="2"/>
            <w:tcBorders>
              <w:top w:val="nil"/>
              <w:left w:val="nil"/>
              <w:bottom w:val="nil"/>
              <w:right w:val="nil"/>
            </w:tcBorders>
            <w:shd w:val="clear" w:color="auto" w:fill="auto"/>
            <w:hideMark/>
          </w:tcPr>
          <w:p w14:paraId="388D489B" w14:textId="77777777" w:rsidR="005B68FD" w:rsidRDefault="005B68FD" w:rsidP="005B68FD">
            <w:pPr>
              <w:rPr>
                <w:rFonts w:ascii="Tahoma" w:hAnsi="Tahoma" w:cs="Tahoma"/>
                <w:sz w:val="22"/>
                <w:szCs w:val="22"/>
              </w:rPr>
            </w:pPr>
            <w:r>
              <w:rPr>
                <w:rFonts w:ascii="Tahoma" w:hAnsi="Tahoma" w:cs="Tahoma"/>
                <w:sz w:val="22"/>
                <w:szCs w:val="22"/>
                <w:vertAlign w:val="superscript"/>
              </w:rPr>
              <w:t>13</w:t>
            </w:r>
            <w:r>
              <w:rPr>
                <w:rFonts w:ascii="Tahoma" w:hAnsi="Tahoma" w:cs="Tahoma"/>
                <w:sz w:val="22"/>
                <w:szCs w:val="22"/>
              </w:rPr>
              <w:t>Подключение Программы лояльности Акционерного общества «Национальная система платежных карт» (по тексту – Программа лояльности АО «НСПК») происходит по волеизъявлению Клиента автоматически при выдаче Клиенту Карты платежной системы «Мир». Клиент имеет право выразить отказ в подключении к Программе лояльности АО «НСПК», а также подключать/отключать ее самостоятельно посредством личного кабинета Программы лояльности АО «НСПК». Подключение Программы лояльности АО «НСПК» происходит исключительно на условиях действующих Правил программы лояльности "Привет, мир!" Акционерного общества «Национальная система платежных карт», размещенных на его Официальном сайте privetmir.ru, и исключительно к Картам платежной системы «Мир».</w:t>
            </w:r>
          </w:p>
        </w:tc>
      </w:tr>
      <w:tr w:rsidR="005B68FD" w14:paraId="5F9D0DC0" w14:textId="77777777" w:rsidTr="005B68FD">
        <w:trPr>
          <w:gridAfter w:val="2"/>
          <w:wAfter w:w="1934" w:type="dxa"/>
          <w:trHeight w:val="435"/>
        </w:trPr>
        <w:tc>
          <w:tcPr>
            <w:tcW w:w="14742" w:type="dxa"/>
            <w:gridSpan w:val="2"/>
            <w:tcBorders>
              <w:top w:val="nil"/>
              <w:left w:val="nil"/>
              <w:bottom w:val="nil"/>
              <w:right w:val="nil"/>
            </w:tcBorders>
            <w:shd w:val="clear" w:color="auto" w:fill="auto"/>
            <w:hideMark/>
          </w:tcPr>
          <w:p w14:paraId="3E18FC8A" w14:textId="77777777" w:rsidR="005B68FD" w:rsidRDefault="005B68FD" w:rsidP="005B68FD">
            <w:pPr>
              <w:rPr>
                <w:rFonts w:ascii="Tahoma" w:hAnsi="Tahoma" w:cs="Tahoma"/>
                <w:sz w:val="22"/>
                <w:szCs w:val="22"/>
              </w:rPr>
            </w:pPr>
            <w:r>
              <w:rPr>
                <w:rFonts w:ascii="Tahoma" w:hAnsi="Tahoma" w:cs="Tahoma"/>
                <w:sz w:val="22"/>
                <w:szCs w:val="22"/>
                <w:vertAlign w:val="superscript"/>
              </w:rPr>
              <w:t>14</w:t>
            </w:r>
            <w:r>
              <w:rPr>
                <w:rFonts w:ascii="Tahoma" w:hAnsi="Tahoma" w:cs="Tahoma"/>
                <w:sz w:val="22"/>
                <w:szCs w:val="22"/>
              </w:rPr>
              <w:t>Другой банк может взимать комиссию согласно своим тарифам.</w:t>
            </w:r>
          </w:p>
        </w:tc>
      </w:tr>
      <w:tr w:rsidR="005B68FD" w14:paraId="62DABB73" w14:textId="77777777" w:rsidTr="005B68FD">
        <w:trPr>
          <w:gridAfter w:val="2"/>
          <w:wAfter w:w="1934" w:type="dxa"/>
          <w:trHeight w:val="690"/>
        </w:trPr>
        <w:tc>
          <w:tcPr>
            <w:tcW w:w="14742" w:type="dxa"/>
            <w:gridSpan w:val="2"/>
            <w:tcBorders>
              <w:top w:val="nil"/>
              <w:left w:val="nil"/>
              <w:bottom w:val="nil"/>
              <w:right w:val="nil"/>
            </w:tcBorders>
            <w:shd w:val="clear" w:color="auto" w:fill="auto"/>
            <w:hideMark/>
          </w:tcPr>
          <w:p w14:paraId="272573DD" w14:textId="77777777" w:rsidR="005B68FD" w:rsidRDefault="005B68FD" w:rsidP="005B68FD">
            <w:pPr>
              <w:rPr>
                <w:rFonts w:ascii="Tahoma" w:hAnsi="Tahoma" w:cs="Tahoma"/>
                <w:sz w:val="22"/>
                <w:szCs w:val="22"/>
              </w:rPr>
            </w:pPr>
            <w:r>
              <w:rPr>
                <w:rFonts w:ascii="Tahoma" w:hAnsi="Tahoma" w:cs="Tahoma"/>
                <w:sz w:val="22"/>
                <w:szCs w:val="22"/>
                <w:vertAlign w:val="superscript"/>
              </w:rPr>
              <w:t>15</w:t>
            </w:r>
            <w:r>
              <w:rPr>
                <w:rFonts w:ascii="Tahoma" w:hAnsi="Tahoma" w:cs="Tahoma"/>
                <w:sz w:val="22"/>
                <w:szCs w:val="22"/>
              </w:rPr>
              <w:t xml:space="preserve">Конверсия – процедура пересчета суммы, номинированной в одной иностранной валюте, в сумму, номинированную в другой иностранной валюте, с использованием соответствующего курса одной иностранной валюты к другой иностранной валюте. </w:t>
            </w:r>
          </w:p>
        </w:tc>
      </w:tr>
      <w:tr w:rsidR="005B68FD" w14:paraId="1014F85C" w14:textId="77777777" w:rsidTr="005B68FD">
        <w:trPr>
          <w:gridAfter w:val="2"/>
          <w:wAfter w:w="1934" w:type="dxa"/>
          <w:trHeight w:val="3255"/>
        </w:trPr>
        <w:tc>
          <w:tcPr>
            <w:tcW w:w="14742" w:type="dxa"/>
            <w:gridSpan w:val="2"/>
            <w:tcBorders>
              <w:top w:val="nil"/>
              <w:left w:val="nil"/>
              <w:bottom w:val="nil"/>
              <w:right w:val="nil"/>
            </w:tcBorders>
            <w:shd w:val="clear" w:color="auto" w:fill="auto"/>
            <w:hideMark/>
          </w:tcPr>
          <w:p w14:paraId="7C5626A1" w14:textId="77777777" w:rsidR="005B68FD" w:rsidRDefault="005B68FD" w:rsidP="005B68FD">
            <w:pPr>
              <w:rPr>
                <w:rFonts w:ascii="Tahoma" w:hAnsi="Tahoma" w:cs="Tahoma"/>
                <w:sz w:val="22"/>
                <w:szCs w:val="22"/>
              </w:rPr>
            </w:pPr>
            <w:r>
              <w:rPr>
                <w:rFonts w:ascii="Tahoma" w:hAnsi="Tahoma" w:cs="Tahoma"/>
                <w:sz w:val="22"/>
                <w:szCs w:val="22"/>
                <w:vertAlign w:val="superscript"/>
              </w:rPr>
              <w:t>16</w:t>
            </w:r>
            <w:r>
              <w:rPr>
                <w:rFonts w:ascii="Tahoma" w:hAnsi="Tahoma" w:cs="Tahoma"/>
                <w:sz w:val="22"/>
                <w:szCs w:val="22"/>
              </w:rPr>
              <w:t>Банк не взимает комиссию за осуществление по поручению физического лица операций по переводу денежных средств в рублях в размере в совокупности ежемесячно не более 30 000 000 рублей с банковского счета/вклада физического лица, открытого в Банке, на банковский счет/вклад этого физического лица, открытый в другой кредитной организации, или специальный счет оператора финансовой платформы, бенефициаром по которому выступает это физическое лицо. Банк не устанавливает ограничения размера/количества таких операций в пределах указанного в настоящем пункте совокупного ежемесячного размера операций (вне зависимости от используемого при переводе денежных средств сервиса, в т.ч. при переводе в Сервисе быстрых платежей платежной системы Банка России, Каналах ДБО).</w:t>
            </w:r>
            <w:r>
              <w:rPr>
                <w:rFonts w:ascii="Tahoma" w:hAnsi="Tahoma" w:cs="Tahoma"/>
                <w:sz w:val="22"/>
                <w:szCs w:val="22"/>
              </w:rPr>
              <w:br/>
              <w:t>Правила, определенные выше в настоящем пункте, не распространяются на: 1) операции по переводу денежных средств, осуществляемые при личном присутствии физического лица или его представителя в Банке; 2) операции по переводу денежных средств с использованием платежных карт, осуществляемые по правилам платежных систем, в рамках которых эмитируются платежные карты.</w:t>
            </w:r>
            <w:r>
              <w:rPr>
                <w:rFonts w:ascii="Tahoma" w:hAnsi="Tahoma" w:cs="Tahoma"/>
                <w:sz w:val="22"/>
                <w:szCs w:val="22"/>
              </w:rPr>
              <w:br/>
              <w:t>Банк не взимает комиссию за перечисление платы за жилое помещение и коммунальные услуги, пеней за несвоевременное и (или) неполное внесение платы за жилое помещение и коммунальные услуги для категории клиентов, перечень которых установлен Распоряжением Правительства РФ №1059-р от 27 апреля 2024 г. в соответствии со статьей 155 Жилищного кодекса РФ, статьей 29 Федерального закона «О банках и банковской деятельности».</w:t>
            </w:r>
          </w:p>
        </w:tc>
      </w:tr>
      <w:tr w:rsidR="005B68FD" w14:paraId="0706FEBF" w14:textId="77777777" w:rsidTr="005B68FD">
        <w:trPr>
          <w:gridAfter w:val="2"/>
          <w:wAfter w:w="1934" w:type="dxa"/>
          <w:trHeight w:val="945"/>
        </w:trPr>
        <w:tc>
          <w:tcPr>
            <w:tcW w:w="14742" w:type="dxa"/>
            <w:gridSpan w:val="2"/>
            <w:tcBorders>
              <w:top w:val="nil"/>
              <w:left w:val="nil"/>
              <w:bottom w:val="nil"/>
              <w:right w:val="nil"/>
            </w:tcBorders>
            <w:shd w:val="clear" w:color="auto" w:fill="auto"/>
            <w:hideMark/>
          </w:tcPr>
          <w:p w14:paraId="0F889D4B" w14:textId="77777777" w:rsidR="005B68FD" w:rsidRDefault="005B68FD" w:rsidP="005B68FD">
            <w:pPr>
              <w:rPr>
                <w:rFonts w:ascii="Tahoma" w:hAnsi="Tahoma" w:cs="Tahoma"/>
                <w:color w:val="000000"/>
                <w:sz w:val="22"/>
                <w:szCs w:val="22"/>
              </w:rPr>
            </w:pPr>
            <w:r>
              <w:rPr>
                <w:rFonts w:ascii="Tahoma" w:hAnsi="Tahoma" w:cs="Tahoma"/>
                <w:color w:val="000000"/>
                <w:sz w:val="22"/>
                <w:szCs w:val="22"/>
              </w:rPr>
              <w:t>*Банк осуществляет обслуживание уже оформленных Карт типа Visa Gold. Открытие новых Счетов Карт, а также выпуск новых Карт типа Visa Gold не осуществляется. Перевыпуск Карт типа Visa Gold по любой из причин производится исключительно на Карты платежной системы Мир на условиях и в соответствии с настоящим Тарифным планом.</w:t>
            </w:r>
          </w:p>
        </w:tc>
      </w:tr>
      <w:tr w:rsidR="005B68FD" w14:paraId="4B20EACD" w14:textId="77777777" w:rsidTr="005B68FD">
        <w:trPr>
          <w:gridAfter w:val="2"/>
          <w:wAfter w:w="1934" w:type="dxa"/>
          <w:trHeight w:val="2430"/>
        </w:trPr>
        <w:tc>
          <w:tcPr>
            <w:tcW w:w="14742" w:type="dxa"/>
            <w:gridSpan w:val="2"/>
            <w:tcBorders>
              <w:top w:val="nil"/>
              <w:left w:val="nil"/>
              <w:bottom w:val="nil"/>
              <w:right w:val="nil"/>
            </w:tcBorders>
            <w:shd w:val="clear" w:color="auto" w:fill="auto"/>
            <w:hideMark/>
          </w:tcPr>
          <w:p w14:paraId="32679737" w14:textId="77777777" w:rsidR="005B68FD" w:rsidRDefault="005B68FD" w:rsidP="005B68FD">
            <w:pPr>
              <w:rPr>
                <w:rFonts w:ascii="Tahoma" w:hAnsi="Tahoma" w:cs="Tahoma"/>
                <w:sz w:val="22"/>
                <w:szCs w:val="22"/>
              </w:rPr>
            </w:pPr>
            <w:r>
              <w:rPr>
                <w:rFonts w:ascii="Tahoma" w:hAnsi="Tahoma" w:cs="Tahoma"/>
                <w:sz w:val="22"/>
                <w:szCs w:val="22"/>
              </w:rPr>
              <w:t>Операции по счетам, вкладам и использование Карт осуществляются с учетом ограничений, установленных платежной системой АО НСПК Мир, иными уполномоченными лицами/органами Российской Федерации и иностранных государств, международными организациями, а также законодательством Российской Федерации, в том числе актами Центрального банка РФ.</w:t>
            </w:r>
            <w:r>
              <w:rPr>
                <w:rFonts w:ascii="Tahoma" w:hAnsi="Tahoma" w:cs="Tahoma"/>
                <w:sz w:val="22"/>
                <w:szCs w:val="22"/>
              </w:rPr>
              <w:br/>
              <w:t>Все предусмотренные настоящим документом платежи взимаются (списываются) Банком в порядке прямого дебетования (списание по заранее данному акцепту) со Счета Карты Клиента в Банке и(или) иных счетов Клиента в Банке в момент совершения соответствующей операции, если иное не установлено настоящим документом/договором с Клиентом.</w:t>
            </w:r>
            <w:r>
              <w:rPr>
                <w:rFonts w:ascii="Tahoma" w:hAnsi="Tahoma" w:cs="Tahoma"/>
                <w:sz w:val="22"/>
                <w:szCs w:val="22"/>
              </w:rPr>
              <w:br/>
              <w:t>Не указанные в настоящем документе термины применяются в значении, указанном в Универсальном договоре банковского обслуживания физических лиц «Азиатско-Тихоокеанский Банк» (АО), размещённом на Сайте Банка www.atb.su, Подразделениях Банка.</w:t>
            </w:r>
          </w:p>
        </w:tc>
      </w:tr>
    </w:tbl>
    <w:p w14:paraId="5337FB74" w14:textId="074C93EE" w:rsidR="005B68FD" w:rsidRDefault="005B68FD" w:rsidP="005B68FD">
      <w:pPr>
        <w:rPr>
          <w:rFonts w:ascii="Tahoma" w:hAnsi="Tahoma" w:cs="Tahoma"/>
          <w:sz w:val="22"/>
          <w:szCs w:val="22"/>
        </w:rPr>
      </w:pPr>
    </w:p>
    <w:p w14:paraId="1FD3C517" w14:textId="76E72C49" w:rsidR="001816CD" w:rsidRDefault="001816CD" w:rsidP="005B68FD">
      <w:pPr>
        <w:rPr>
          <w:rFonts w:ascii="Tahoma" w:hAnsi="Tahoma" w:cs="Tahoma"/>
          <w:sz w:val="22"/>
          <w:szCs w:val="22"/>
        </w:rPr>
      </w:pPr>
    </w:p>
    <w:p w14:paraId="1D9AF63D" w14:textId="7F4CE960" w:rsidR="001816CD" w:rsidRDefault="001816CD" w:rsidP="005B68FD">
      <w:pPr>
        <w:rPr>
          <w:rFonts w:ascii="Tahoma" w:hAnsi="Tahoma" w:cs="Tahoma"/>
          <w:sz w:val="22"/>
          <w:szCs w:val="22"/>
        </w:rPr>
      </w:pPr>
    </w:p>
    <w:p w14:paraId="44A20EAC" w14:textId="77777777" w:rsidR="001816CD" w:rsidRDefault="001816CD" w:rsidP="005B68FD">
      <w:pPr>
        <w:rPr>
          <w:rFonts w:ascii="Tahoma" w:hAnsi="Tahoma" w:cs="Tahoma"/>
          <w:sz w:val="22"/>
          <w:szCs w:val="22"/>
        </w:rPr>
      </w:pPr>
    </w:p>
    <w:p w14:paraId="25B68402" w14:textId="77777777" w:rsidR="005B68FD" w:rsidRDefault="005B68FD" w:rsidP="000B3718">
      <w:pPr>
        <w:pStyle w:val="a5"/>
      </w:pPr>
      <w:r>
        <w:t>4.1.3. ТАРИФНЫЙ ПЛАН «АТБ КАРТА</w:t>
      </w:r>
      <w:r w:rsidRPr="00CC61DA">
        <w:t xml:space="preserve"> </w:t>
      </w:r>
      <w:r>
        <w:t>(</w:t>
      </w:r>
      <w:r w:rsidRPr="00CC61DA">
        <w:t>ЕДИНАЯ КАРТА САХАЛИНЦА</w:t>
      </w:r>
      <w:r>
        <w:t>)</w:t>
      </w:r>
      <w:r w:rsidRPr="00CC61DA">
        <w:t>»</w:t>
      </w:r>
      <w:r w:rsidRPr="00786524">
        <w:rPr>
          <w:vertAlign w:val="superscript"/>
        </w:rPr>
        <w:t>17</w:t>
      </w:r>
    </w:p>
    <w:p w14:paraId="65F305A9" w14:textId="77777777" w:rsidR="005B68FD" w:rsidRPr="00CC61DA" w:rsidRDefault="005B68FD" w:rsidP="005B68FD">
      <w:pPr>
        <w:tabs>
          <w:tab w:val="left" w:pos="851"/>
        </w:tabs>
        <w:ind w:left="426"/>
        <w:rPr>
          <w:rFonts w:ascii="Tahoma" w:hAnsi="Tahoma" w:cs="Tahoma"/>
          <w:b/>
          <w:bCs/>
          <w:iCs/>
          <w:color w:val="E36C0A"/>
          <w:sz w:val="22"/>
          <w:szCs w:val="22"/>
        </w:rPr>
      </w:pPr>
    </w:p>
    <w:tbl>
      <w:tblPr>
        <w:tblW w:w="15163" w:type="dxa"/>
        <w:tblInd w:w="-5" w:type="dxa"/>
        <w:tblLook w:val="04A0" w:firstRow="1" w:lastRow="0" w:firstColumn="1" w:lastColumn="0" w:noHBand="0" w:noVBand="1"/>
      </w:tblPr>
      <w:tblGrid>
        <w:gridCol w:w="820"/>
        <w:gridCol w:w="5271"/>
        <w:gridCol w:w="1049"/>
        <w:gridCol w:w="8023"/>
      </w:tblGrid>
      <w:tr w:rsidR="005B68FD" w:rsidRPr="005379F0" w14:paraId="5BDE0550" w14:textId="77777777" w:rsidTr="005B68FD">
        <w:trPr>
          <w:trHeight w:val="276"/>
        </w:trPr>
        <w:tc>
          <w:tcPr>
            <w:tcW w:w="6091" w:type="dxa"/>
            <w:gridSpan w:val="2"/>
            <w:tcBorders>
              <w:top w:val="single" w:sz="4" w:space="0" w:color="auto"/>
              <w:left w:val="single" w:sz="4" w:space="0" w:color="auto"/>
              <w:bottom w:val="single" w:sz="4" w:space="0" w:color="auto"/>
              <w:right w:val="single" w:sz="4" w:space="0" w:color="auto"/>
            </w:tcBorders>
            <w:shd w:val="clear" w:color="auto" w:fill="595959" w:themeFill="text1" w:themeFillTint="A6"/>
            <w:noWrap/>
            <w:vAlign w:val="center"/>
            <w:hideMark/>
          </w:tcPr>
          <w:p w14:paraId="372D026E" w14:textId="77777777" w:rsidR="005B68FD" w:rsidRPr="00C248C2" w:rsidRDefault="005B68FD" w:rsidP="005B68FD">
            <w:pPr>
              <w:rPr>
                <w:rFonts w:ascii="Tahoma" w:hAnsi="Tahoma" w:cs="Tahoma"/>
                <w:b/>
                <w:color w:val="FFFFFF" w:themeColor="background1"/>
                <w:sz w:val="22"/>
                <w:szCs w:val="22"/>
              </w:rPr>
            </w:pPr>
            <w:r w:rsidRPr="00C91E39">
              <w:rPr>
                <w:rFonts w:ascii="Calibri" w:hAnsi="Calibri" w:cs="Calibri"/>
                <w:noProof/>
                <w:color w:val="000000"/>
                <w:sz w:val="20"/>
                <w:szCs w:val="22"/>
              </w:rPr>
              <mc:AlternateContent>
                <mc:Choice Requires="wps">
                  <w:drawing>
                    <wp:anchor distT="0" distB="0" distL="114300" distR="114300" simplePos="0" relativeHeight="251656704" behindDoc="0" locked="0" layoutInCell="1" allowOverlap="1" wp14:anchorId="089D68C9" wp14:editId="0AE92E10">
                      <wp:simplePos x="0" y="0"/>
                      <wp:positionH relativeFrom="column">
                        <wp:posOffset>-62865</wp:posOffset>
                      </wp:positionH>
                      <wp:positionV relativeFrom="paragraph">
                        <wp:posOffset>3810</wp:posOffset>
                      </wp:positionV>
                      <wp:extent cx="3859530" cy="659130"/>
                      <wp:effectExtent l="0" t="0" r="26670" b="26670"/>
                      <wp:wrapNone/>
                      <wp:docPr id="13" name="Прямая соединительная линия 13"/>
                      <wp:cNvGraphicFramePr/>
                      <a:graphic xmlns:a="http://schemas.openxmlformats.org/drawingml/2006/main">
                        <a:graphicData uri="http://schemas.microsoft.com/office/word/2010/wordprocessingShape">
                          <wps:wsp>
                            <wps:cNvCnPr/>
                            <wps:spPr>
                              <a:xfrm>
                                <a:off x="0" y="0"/>
                                <a:ext cx="3859530" cy="6591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B67F2D" id="Прямая соединительная линия 1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3pt" to="298.95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" strokecolor="black [3213]"/>
                  </w:pict>
                </mc:Fallback>
              </mc:AlternateContent>
            </w:r>
            <w:r w:rsidRPr="00C248C2">
              <w:rPr>
                <w:rFonts w:ascii="Tahoma" w:hAnsi="Tahoma" w:cs="Tahoma"/>
                <w:b/>
                <w:color w:val="FFFFFF" w:themeColor="background1"/>
                <w:sz w:val="22"/>
                <w:szCs w:val="22"/>
              </w:rPr>
              <w:t xml:space="preserve">                            Тип банковской Карты</w:t>
            </w:r>
            <w:r w:rsidRPr="00C248C2">
              <w:rPr>
                <w:rFonts w:ascii="Tahoma" w:hAnsi="Tahoma" w:cs="Tahoma"/>
                <w:b/>
                <w:color w:val="FFFFFF" w:themeColor="background1"/>
                <w:sz w:val="22"/>
                <w:szCs w:val="22"/>
                <w:vertAlign w:val="superscript"/>
              </w:rPr>
              <w:t>1</w:t>
            </w:r>
          </w:p>
          <w:p w14:paraId="54C30E3A" w14:textId="77777777" w:rsidR="005B68FD" w:rsidRPr="00C248C2" w:rsidRDefault="005B68FD" w:rsidP="005B68FD">
            <w:pPr>
              <w:rPr>
                <w:rFonts w:ascii="Tahoma" w:hAnsi="Tahoma" w:cs="Tahoma"/>
                <w:b/>
                <w:color w:val="FFFFFF" w:themeColor="background1"/>
                <w:sz w:val="22"/>
                <w:szCs w:val="22"/>
              </w:rPr>
            </w:pPr>
          </w:p>
          <w:p w14:paraId="5A059FDC" w14:textId="77777777" w:rsidR="005B68FD" w:rsidRPr="00C248C2" w:rsidRDefault="005B68FD" w:rsidP="005B68FD">
            <w:pPr>
              <w:rPr>
                <w:rFonts w:ascii="Tahoma" w:hAnsi="Tahoma" w:cs="Tahoma"/>
                <w:b/>
                <w:color w:val="FFFFFF" w:themeColor="background1"/>
                <w:sz w:val="22"/>
                <w:szCs w:val="22"/>
              </w:rPr>
            </w:pPr>
          </w:p>
          <w:p w14:paraId="24D29E21" w14:textId="77777777" w:rsidR="005B68FD" w:rsidRPr="00C248C2" w:rsidRDefault="005B68FD" w:rsidP="005B68FD">
            <w:pPr>
              <w:rPr>
                <w:rFonts w:ascii="Tahoma" w:hAnsi="Tahoma" w:cs="Tahoma"/>
                <w:b/>
                <w:color w:val="FFFFFF" w:themeColor="background1"/>
                <w:sz w:val="22"/>
                <w:szCs w:val="22"/>
              </w:rPr>
            </w:pPr>
            <w:r w:rsidRPr="00C248C2">
              <w:rPr>
                <w:rFonts w:ascii="Tahoma" w:hAnsi="Tahoma" w:cs="Tahoma"/>
                <w:b/>
                <w:color w:val="FFFFFF" w:themeColor="background1"/>
                <w:sz w:val="22"/>
                <w:szCs w:val="22"/>
              </w:rPr>
              <w:t>Условия предоставления услуги</w:t>
            </w:r>
          </w:p>
        </w:tc>
        <w:tc>
          <w:tcPr>
            <w:tcW w:w="9072" w:type="dxa"/>
            <w:gridSpan w:val="2"/>
            <w:tcBorders>
              <w:top w:val="single" w:sz="4" w:space="0" w:color="auto"/>
              <w:left w:val="nil"/>
              <w:bottom w:val="single" w:sz="4" w:space="0" w:color="auto"/>
              <w:right w:val="single" w:sz="4" w:space="0" w:color="auto"/>
            </w:tcBorders>
            <w:shd w:val="clear" w:color="auto" w:fill="595959" w:themeFill="text1" w:themeFillTint="A6"/>
            <w:vAlign w:val="center"/>
          </w:tcPr>
          <w:p w14:paraId="3F091E59" w14:textId="77777777" w:rsidR="005B68FD" w:rsidRPr="00C248C2" w:rsidRDefault="005B68FD" w:rsidP="005B68FD">
            <w:pPr>
              <w:jc w:val="center"/>
              <w:rPr>
                <w:rFonts w:ascii="Tahoma" w:hAnsi="Tahoma" w:cs="Tahoma"/>
                <w:b/>
                <w:color w:val="FFFFFF" w:themeColor="background1"/>
                <w:sz w:val="22"/>
                <w:szCs w:val="22"/>
              </w:rPr>
            </w:pPr>
            <w:r w:rsidRPr="00C248C2">
              <w:rPr>
                <w:rFonts w:ascii="Tahoma" w:hAnsi="Tahoma" w:cs="Tahoma"/>
                <w:b/>
                <w:color w:val="FFFFFF" w:themeColor="background1"/>
                <w:sz w:val="22"/>
                <w:szCs w:val="22"/>
              </w:rPr>
              <w:t>Мир</w:t>
            </w:r>
            <w:r w:rsidRPr="00C248C2">
              <w:rPr>
                <w:rFonts w:ascii="Tahoma" w:hAnsi="Tahoma" w:cs="Tahoma"/>
                <w:b/>
                <w:color w:val="FFFFFF" w:themeColor="background1"/>
                <w:sz w:val="22"/>
                <w:szCs w:val="22"/>
                <w:vertAlign w:val="superscript"/>
              </w:rPr>
              <w:t>2</w:t>
            </w:r>
            <w:r w:rsidRPr="00C248C2">
              <w:rPr>
                <w:rFonts w:ascii="Tahoma" w:hAnsi="Tahoma" w:cs="Tahoma"/>
                <w:b/>
                <w:color w:val="FFFFFF" w:themeColor="background1"/>
                <w:sz w:val="22"/>
                <w:szCs w:val="22"/>
              </w:rPr>
              <w:t xml:space="preserve"> (именная и неименная)</w:t>
            </w:r>
          </w:p>
        </w:tc>
      </w:tr>
      <w:tr w:rsidR="005B68FD" w:rsidRPr="005379F0" w14:paraId="13078CD7" w14:textId="77777777" w:rsidTr="005B68FD">
        <w:trPr>
          <w:trHeight w:val="276"/>
        </w:trPr>
        <w:tc>
          <w:tcPr>
            <w:tcW w:w="820" w:type="dxa"/>
            <w:tcBorders>
              <w:top w:val="single" w:sz="4" w:space="0" w:color="auto"/>
              <w:left w:val="single" w:sz="4" w:space="0" w:color="auto"/>
              <w:bottom w:val="single" w:sz="4" w:space="0" w:color="auto"/>
              <w:right w:val="single" w:sz="4" w:space="0" w:color="auto"/>
            </w:tcBorders>
            <w:shd w:val="clear" w:color="auto" w:fill="595959" w:themeFill="text1" w:themeFillTint="A6"/>
            <w:noWrap/>
            <w:vAlign w:val="center"/>
          </w:tcPr>
          <w:p w14:paraId="6F7EA4C1" w14:textId="77777777" w:rsidR="005B68FD" w:rsidRPr="00C248C2" w:rsidRDefault="005B68FD" w:rsidP="005B68FD">
            <w:pPr>
              <w:rPr>
                <w:rFonts w:ascii="Tahoma" w:hAnsi="Tahoma" w:cs="Tahoma"/>
                <w:b/>
                <w:color w:val="FFFFFF" w:themeColor="background1"/>
                <w:sz w:val="22"/>
                <w:szCs w:val="22"/>
              </w:rPr>
            </w:pPr>
            <w:r w:rsidRPr="00C248C2">
              <w:rPr>
                <w:rFonts w:ascii="Tahoma" w:hAnsi="Tahoma" w:cs="Tahoma"/>
                <w:b/>
                <w:color w:val="FFFFFF" w:themeColor="background1"/>
                <w:sz w:val="22"/>
                <w:szCs w:val="22"/>
              </w:rPr>
              <w:t>1.</w:t>
            </w:r>
          </w:p>
        </w:tc>
        <w:tc>
          <w:tcPr>
            <w:tcW w:w="14343" w:type="dxa"/>
            <w:gridSpan w:val="3"/>
            <w:tcBorders>
              <w:top w:val="single" w:sz="4" w:space="0" w:color="auto"/>
              <w:left w:val="nil"/>
              <w:bottom w:val="single" w:sz="4" w:space="0" w:color="auto"/>
              <w:right w:val="single" w:sz="4" w:space="0" w:color="auto"/>
            </w:tcBorders>
            <w:shd w:val="clear" w:color="auto" w:fill="595959" w:themeFill="text1" w:themeFillTint="A6"/>
            <w:noWrap/>
            <w:vAlign w:val="center"/>
          </w:tcPr>
          <w:p w14:paraId="68836005" w14:textId="77777777" w:rsidR="005B68FD" w:rsidRPr="00C248C2" w:rsidRDefault="005B68FD" w:rsidP="005B68FD">
            <w:pPr>
              <w:jc w:val="center"/>
              <w:rPr>
                <w:rFonts w:ascii="Tahoma" w:hAnsi="Tahoma" w:cs="Tahoma"/>
                <w:b/>
                <w:color w:val="FFFFFF" w:themeColor="background1"/>
                <w:sz w:val="22"/>
                <w:szCs w:val="22"/>
              </w:rPr>
            </w:pPr>
            <w:r w:rsidRPr="00C248C2">
              <w:rPr>
                <w:rFonts w:ascii="Tahoma" w:hAnsi="Tahoma" w:cs="Tahoma"/>
                <w:b/>
                <w:color w:val="FFFFFF" w:themeColor="background1"/>
                <w:sz w:val="22"/>
                <w:szCs w:val="22"/>
              </w:rPr>
              <w:t>Условия предоставления тарифного план</w:t>
            </w:r>
          </w:p>
        </w:tc>
      </w:tr>
      <w:tr w:rsidR="005B68FD" w:rsidRPr="005379F0" w14:paraId="15389752" w14:textId="77777777" w:rsidTr="005B68FD">
        <w:trPr>
          <w:trHeight w:val="1495"/>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B2D299" w14:textId="77777777" w:rsidR="005B68FD" w:rsidRPr="005379F0" w:rsidRDefault="005B68FD" w:rsidP="005B68FD">
            <w:pPr>
              <w:rPr>
                <w:rFonts w:ascii="Tahoma" w:hAnsi="Tahoma" w:cs="Tahoma"/>
                <w:sz w:val="22"/>
                <w:szCs w:val="22"/>
              </w:rPr>
            </w:pPr>
            <w:r w:rsidRPr="005379F0">
              <w:rPr>
                <w:rFonts w:ascii="Tahoma" w:hAnsi="Tahoma" w:cs="Tahoma"/>
                <w:sz w:val="22"/>
                <w:szCs w:val="22"/>
              </w:rPr>
              <w:t>1.1.</w:t>
            </w:r>
          </w:p>
        </w:tc>
        <w:tc>
          <w:tcPr>
            <w:tcW w:w="5271" w:type="dxa"/>
            <w:tcBorders>
              <w:top w:val="single" w:sz="4" w:space="0" w:color="auto"/>
              <w:left w:val="nil"/>
              <w:bottom w:val="single" w:sz="4" w:space="0" w:color="auto"/>
              <w:right w:val="single" w:sz="4" w:space="0" w:color="auto"/>
            </w:tcBorders>
            <w:shd w:val="clear" w:color="auto" w:fill="auto"/>
            <w:noWrap/>
            <w:vAlign w:val="center"/>
          </w:tcPr>
          <w:p w14:paraId="1E45FDCB" w14:textId="77777777" w:rsidR="005B68FD" w:rsidRPr="005379F0" w:rsidRDefault="005B68FD" w:rsidP="005B68FD">
            <w:pPr>
              <w:rPr>
                <w:rFonts w:ascii="Tahoma" w:hAnsi="Tahoma" w:cs="Tahoma"/>
                <w:sz w:val="22"/>
                <w:szCs w:val="22"/>
              </w:rPr>
            </w:pPr>
            <w:r w:rsidRPr="005379F0">
              <w:rPr>
                <w:rFonts w:ascii="Tahoma" w:hAnsi="Tahoma" w:cs="Tahoma"/>
                <w:sz w:val="22"/>
                <w:szCs w:val="22"/>
              </w:rPr>
              <w:t>категории Клиента</w:t>
            </w:r>
          </w:p>
        </w:tc>
        <w:tc>
          <w:tcPr>
            <w:tcW w:w="9072" w:type="dxa"/>
            <w:gridSpan w:val="2"/>
            <w:tcBorders>
              <w:top w:val="single" w:sz="4" w:space="0" w:color="auto"/>
              <w:left w:val="nil"/>
              <w:bottom w:val="single" w:sz="4" w:space="0" w:color="auto"/>
              <w:right w:val="single" w:sz="4" w:space="0" w:color="auto"/>
            </w:tcBorders>
            <w:shd w:val="clear" w:color="auto" w:fill="auto"/>
            <w:vAlign w:val="center"/>
          </w:tcPr>
          <w:p w14:paraId="7E260FC9"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 xml:space="preserve">Услуги по настоящему тарифному плану предоставляются физическим лицам - гражданам Российской Федерации, относящимся к категориям граждан, указанным в Постановлении Правительства Сахалинской области от 19.08.2019 N 365 «О реализации в Сахалинской области проекта «Единая карта сахалинца».                     </w:t>
            </w:r>
            <w:r w:rsidRPr="005379F0">
              <w:rPr>
                <w:rFonts w:ascii="Tahoma" w:hAnsi="Tahoma" w:cs="Tahoma"/>
                <w:sz w:val="22"/>
                <w:szCs w:val="22"/>
              </w:rPr>
              <w:br/>
              <w:t xml:space="preserve">Одному Клиенту может быть предоставлена только одна основная карта типа «Мир» </w:t>
            </w:r>
            <w:r>
              <w:rPr>
                <w:rFonts w:ascii="Tahoma" w:hAnsi="Tahoma" w:cs="Tahoma"/>
                <w:sz w:val="22"/>
                <w:szCs w:val="22"/>
              </w:rPr>
              <w:t>в рамках Тарифного плана «АТБ карта</w:t>
            </w:r>
            <w:r w:rsidRPr="005379F0">
              <w:rPr>
                <w:rFonts w:ascii="Tahoma" w:hAnsi="Tahoma" w:cs="Tahoma"/>
                <w:sz w:val="22"/>
                <w:szCs w:val="22"/>
              </w:rPr>
              <w:t xml:space="preserve"> (Единая карта сахалинца)» (выпуск дополнительной карты не предусмотрен).</w:t>
            </w:r>
          </w:p>
        </w:tc>
      </w:tr>
      <w:tr w:rsidR="005B68FD" w:rsidRPr="005379F0" w14:paraId="37FE2387" w14:textId="77777777" w:rsidTr="005B68FD">
        <w:trPr>
          <w:trHeight w:val="276"/>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11DDA9" w14:textId="77777777" w:rsidR="005B68FD" w:rsidRPr="005379F0" w:rsidRDefault="005B68FD" w:rsidP="005B68FD">
            <w:pPr>
              <w:rPr>
                <w:rFonts w:ascii="Tahoma" w:hAnsi="Tahoma" w:cs="Tahoma"/>
                <w:sz w:val="22"/>
                <w:szCs w:val="22"/>
              </w:rPr>
            </w:pPr>
            <w:r w:rsidRPr="005379F0">
              <w:rPr>
                <w:rFonts w:ascii="Tahoma" w:hAnsi="Tahoma" w:cs="Tahoma"/>
                <w:sz w:val="22"/>
                <w:szCs w:val="22"/>
              </w:rPr>
              <w:t>1.2</w:t>
            </w:r>
          </w:p>
        </w:tc>
        <w:tc>
          <w:tcPr>
            <w:tcW w:w="5271" w:type="dxa"/>
            <w:tcBorders>
              <w:top w:val="single" w:sz="4" w:space="0" w:color="auto"/>
              <w:left w:val="nil"/>
              <w:bottom w:val="single" w:sz="4" w:space="0" w:color="auto"/>
              <w:right w:val="single" w:sz="4" w:space="0" w:color="auto"/>
            </w:tcBorders>
            <w:shd w:val="clear" w:color="auto" w:fill="auto"/>
            <w:noWrap/>
            <w:vAlign w:val="center"/>
          </w:tcPr>
          <w:p w14:paraId="43717110" w14:textId="77777777" w:rsidR="005B68FD" w:rsidRPr="005379F0" w:rsidRDefault="005B68FD" w:rsidP="005B68FD">
            <w:pPr>
              <w:rPr>
                <w:rFonts w:ascii="Tahoma" w:hAnsi="Tahoma" w:cs="Tahoma"/>
                <w:sz w:val="22"/>
                <w:szCs w:val="22"/>
              </w:rPr>
            </w:pPr>
            <w:r w:rsidRPr="005379F0">
              <w:rPr>
                <w:rFonts w:ascii="Tahoma" w:hAnsi="Tahoma" w:cs="Tahoma"/>
                <w:sz w:val="22"/>
                <w:szCs w:val="22"/>
              </w:rPr>
              <w:t>каналы оформления</w:t>
            </w:r>
          </w:p>
        </w:tc>
        <w:tc>
          <w:tcPr>
            <w:tcW w:w="9072" w:type="dxa"/>
            <w:gridSpan w:val="2"/>
            <w:tcBorders>
              <w:top w:val="single" w:sz="4" w:space="0" w:color="auto"/>
              <w:left w:val="nil"/>
              <w:bottom w:val="single" w:sz="4" w:space="0" w:color="auto"/>
              <w:right w:val="single" w:sz="4" w:space="0" w:color="auto"/>
            </w:tcBorders>
            <w:shd w:val="clear" w:color="auto" w:fill="auto"/>
            <w:vAlign w:val="center"/>
          </w:tcPr>
          <w:p w14:paraId="720B5664"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Офис Банка</w:t>
            </w:r>
            <w:r w:rsidRPr="00C248C2">
              <w:rPr>
                <w:rFonts w:ascii="Tahoma" w:hAnsi="Tahoma" w:cs="Tahoma"/>
                <w:sz w:val="22"/>
                <w:szCs w:val="22"/>
                <w:vertAlign w:val="superscript"/>
              </w:rPr>
              <w:t>3</w:t>
            </w:r>
          </w:p>
        </w:tc>
      </w:tr>
      <w:tr w:rsidR="005B68FD" w:rsidRPr="005379F0" w14:paraId="35727202" w14:textId="77777777" w:rsidTr="005B68FD">
        <w:trPr>
          <w:trHeight w:val="276"/>
        </w:trPr>
        <w:tc>
          <w:tcPr>
            <w:tcW w:w="820" w:type="dxa"/>
            <w:tcBorders>
              <w:top w:val="single" w:sz="4" w:space="0" w:color="auto"/>
              <w:left w:val="single" w:sz="4" w:space="0" w:color="auto"/>
              <w:bottom w:val="single" w:sz="4" w:space="0" w:color="auto"/>
              <w:right w:val="single" w:sz="4" w:space="0" w:color="auto"/>
            </w:tcBorders>
            <w:shd w:val="clear" w:color="auto" w:fill="595959" w:themeFill="text1" w:themeFillTint="A6"/>
            <w:noWrap/>
            <w:vAlign w:val="center"/>
          </w:tcPr>
          <w:p w14:paraId="2BA5CCC8" w14:textId="77777777" w:rsidR="005B68FD" w:rsidRPr="00C248C2" w:rsidRDefault="005B68FD" w:rsidP="005B68FD">
            <w:pPr>
              <w:rPr>
                <w:rFonts w:ascii="Tahoma" w:hAnsi="Tahoma" w:cs="Tahoma"/>
                <w:b/>
                <w:color w:val="FFFFFF" w:themeColor="background1"/>
                <w:sz w:val="22"/>
                <w:szCs w:val="22"/>
              </w:rPr>
            </w:pPr>
            <w:r w:rsidRPr="00C248C2">
              <w:rPr>
                <w:rFonts w:ascii="Tahoma" w:hAnsi="Tahoma" w:cs="Tahoma"/>
                <w:b/>
                <w:color w:val="FFFFFF" w:themeColor="background1"/>
                <w:sz w:val="22"/>
                <w:szCs w:val="22"/>
              </w:rPr>
              <w:t>2.</w:t>
            </w:r>
          </w:p>
        </w:tc>
        <w:tc>
          <w:tcPr>
            <w:tcW w:w="14343" w:type="dxa"/>
            <w:gridSpan w:val="3"/>
            <w:tcBorders>
              <w:top w:val="single" w:sz="4" w:space="0" w:color="auto"/>
              <w:left w:val="nil"/>
              <w:bottom w:val="single" w:sz="4" w:space="0" w:color="auto"/>
              <w:right w:val="single" w:sz="4" w:space="0" w:color="auto"/>
            </w:tcBorders>
            <w:shd w:val="clear" w:color="auto" w:fill="595959" w:themeFill="text1" w:themeFillTint="A6"/>
            <w:noWrap/>
            <w:vAlign w:val="center"/>
          </w:tcPr>
          <w:p w14:paraId="12ADED39" w14:textId="77777777" w:rsidR="005B68FD" w:rsidRPr="00C248C2" w:rsidRDefault="005B68FD" w:rsidP="005B68FD">
            <w:pPr>
              <w:rPr>
                <w:rFonts w:ascii="Tahoma" w:hAnsi="Tahoma" w:cs="Tahoma"/>
                <w:b/>
                <w:color w:val="FFFFFF" w:themeColor="background1"/>
                <w:sz w:val="22"/>
                <w:szCs w:val="22"/>
              </w:rPr>
            </w:pPr>
            <w:r w:rsidRPr="00C248C2">
              <w:rPr>
                <w:rFonts w:ascii="Tahoma" w:hAnsi="Tahoma" w:cs="Tahoma"/>
                <w:b/>
                <w:color w:val="FFFFFF" w:themeColor="background1"/>
                <w:sz w:val="22"/>
                <w:szCs w:val="22"/>
              </w:rPr>
              <w:t>Условия выпуска и обслуживания Карты</w:t>
            </w:r>
          </w:p>
        </w:tc>
      </w:tr>
      <w:tr w:rsidR="005B68FD" w:rsidRPr="005379F0" w14:paraId="6E0EAA2B" w14:textId="77777777" w:rsidTr="005B68FD">
        <w:trPr>
          <w:trHeight w:val="276"/>
        </w:trPr>
        <w:tc>
          <w:tcPr>
            <w:tcW w:w="820" w:type="dxa"/>
            <w:tcBorders>
              <w:top w:val="nil"/>
              <w:left w:val="single" w:sz="4" w:space="0" w:color="auto"/>
              <w:bottom w:val="single" w:sz="4" w:space="0" w:color="auto"/>
              <w:right w:val="single" w:sz="4" w:space="0" w:color="auto"/>
            </w:tcBorders>
            <w:shd w:val="clear" w:color="000000" w:fill="FFFFFF"/>
            <w:noWrap/>
            <w:vAlign w:val="center"/>
            <w:hideMark/>
          </w:tcPr>
          <w:p w14:paraId="028C8974" w14:textId="77777777" w:rsidR="005B68FD" w:rsidRPr="005379F0" w:rsidRDefault="005B68FD" w:rsidP="005B68FD">
            <w:pPr>
              <w:rPr>
                <w:rFonts w:ascii="Tahoma" w:hAnsi="Tahoma" w:cs="Tahoma"/>
                <w:sz w:val="22"/>
                <w:szCs w:val="22"/>
              </w:rPr>
            </w:pPr>
            <w:r>
              <w:rPr>
                <w:rFonts w:ascii="Tahoma" w:hAnsi="Tahoma" w:cs="Tahoma"/>
                <w:sz w:val="22"/>
                <w:szCs w:val="22"/>
              </w:rPr>
              <w:t>2</w:t>
            </w:r>
            <w:r w:rsidRPr="005379F0">
              <w:rPr>
                <w:rFonts w:ascii="Tahoma" w:hAnsi="Tahoma" w:cs="Tahoma"/>
                <w:sz w:val="22"/>
                <w:szCs w:val="22"/>
              </w:rPr>
              <w:t>.1.</w:t>
            </w:r>
          </w:p>
        </w:tc>
        <w:tc>
          <w:tcPr>
            <w:tcW w:w="5271" w:type="dxa"/>
            <w:tcBorders>
              <w:top w:val="nil"/>
              <w:left w:val="nil"/>
              <w:bottom w:val="single" w:sz="4" w:space="0" w:color="auto"/>
              <w:right w:val="single" w:sz="4" w:space="0" w:color="auto"/>
            </w:tcBorders>
            <w:shd w:val="clear" w:color="auto" w:fill="auto"/>
            <w:vAlign w:val="center"/>
            <w:hideMark/>
          </w:tcPr>
          <w:p w14:paraId="6481C8A2" w14:textId="77777777" w:rsidR="005B68FD" w:rsidRPr="005379F0" w:rsidRDefault="005B68FD" w:rsidP="005B68FD">
            <w:pPr>
              <w:rPr>
                <w:rFonts w:ascii="Tahoma" w:hAnsi="Tahoma" w:cs="Tahoma"/>
                <w:sz w:val="22"/>
                <w:szCs w:val="22"/>
              </w:rPr>
            </w:pPr>
            <w:r w:rsidRPr="005379F0">
              <w:rPr>
                <w:rFonts w:ascii="Tahoma" w:hAnsi="Tahoma" w:cs="Tahoma"/>
                <w:sz w:val="22"/>
                <w:szCs w:val="22"/>
              </w:rPr>
              <w:t>валюта Счета Карты</w:t>
            </w:r>
          </w:p>
        </w:tc>
        <w:tc>
          <w:tcPr>
            <w:tcW w:w="9072" w:type="dxa"/>
            <w:gridSpan w:val="2"/>
            <w:tcBorders>
              <w:top w:val="nil"/>
              <w:left w:val="nil"/>
              <w:bottom w:val="single" w:sz="4" w:space="0" w:color="auto"/>
              <w:right w:val="single" w:sz="4" w:space="0" w:color="auto"/>
            </w:tcBorders>
            <w:shd w:val="clear" w:color="auto" w:fill="auto"/>
            <w:noWrap/>
            <w:vAlign w:val="center"/>
            <w:hideMark/>
          </w:tcPr>
          <w:p w14:paraId="61FAD01C"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российский рубль</w:t>
            </w:r>
          </w:p>
        </w:tc>
      </w:tr>
      <w:tr w:rsidR="005B68FD" w:rsidRPr="005379F0" w14:paraId="77EC4CC6" w14:textId="77777777" w:rsidTr="005B68FD">
        <w:trPr>
          <w:trHeight w:val="276"/>
        </w:trPr>
        <w:tc>
          <w:tcPr>
            <w:tcW w:w="820" w:type="dxa"/>
            <w:tcBorders>
              <w:top w:val="nil"/>
              <w:left w:val="single" w:sz="4" w:space="0" w:color="auto"/>
              <w:bottom w:val="single" w:sz="4" w:space="0" w:color="auto"/>
              <w:right w:val="single" w:sz="4" w:space="0" w:color="auto"/>
            </w:tcBorders>
            <w:shd w:val="clear" w:color="000000" w:fill="FFFFFF"/>
            <w:noWrap/>
            <w:vAlign w:val="center"/>
          </w:tcPr>
          <w:p w14:paraId="43A33852" w14:textId="77777777" w:rsidR="005B68FD" w:rsidRPr="005E2BFF" w:rsidRDefault="005B68FD" w:rsidP="005B68FD">
            <w:pPr>
              <w:rPr>
                <w:rFonts w:ascii="Tahoma" w:hAnsi="Tahoma" w:cs="Tahoma"/>
                <w:sz w:val="22"/>
                <w:szCs w:val="22"/>
                <w:lang w:val="en-US"/>
              </w:rPr>
            </w:pPr>
            <w:r>
              <w:rPr>
                <w:rFonts w:ascii="Tahoma" w:hAnsi="Tahoma" w:cs="Tahoma"/>
                <w:sz w:val="22"/>
                <w:szCs w:val="22"/>
              </w:rPr>
              <w:t>2</w:t>
            </w:r>
            <w:r>
              <w:rPr>
                <w:rFonts w:ascii="Tahoma" w:hAnsi="Tahoma" w:cs="Tahoma"/>
                <w:sz w:val="22"/>
                <w:szCs w:val="22"/>
                <w:lang w:val="en-US"/>
              </w:rPr>
              <w:t>.</w:t>
            </w:r>
            <w:r>
              <w:rPr>
                <w:rFonts w:ascii="Tahoma" w:hAnsi="Tahoma" w:cs="Tahoma"/>
                <w:sz w:val="22"/>
                <w:szCs w:val="22"/>
              </w:rPr>
              <w:t>2</w:t>
            </w:r>
            <w:r>
              <w:rPr>
                <w:rFonts w:ascii="Tahoma" w:hAnsi="Tahoma" w:cs="Tahoma"/>
                <w:sz w:val="22"/>
                <w:szCs w:val="22"/>
                <w:lang w:val="en-US"/>
              </w:rPr>
              <w:t>.</w:t>
            </w:r>
          </w:p>
        </w:tc>
        <w:tc>
          <w:tcPr>
            <w:tcW w:w="5271" w:type="dxa"/>
            <w:tcBorders>
              <w:top w:val="nil"/>
              <w:left w:val="nil"/>
              <w:bottom w:val="single" w:sz="4" w:space="0" w:color="auto"/>
              <w:right w:val="single" w:sz="4" w:space="0" w:color="auto"/>
            </w:tcBorders>
            <w:shd w:val="clear" w:color="auto" w:fill="auto"/>
            <w:vAlign w:val="center"/>
          </w:tcPr>
          <w:p w14:paraId="67B46FA3" w14:textId="77777777" w:rsidR="005B68FD" w:rsidRPr="005379F0" w:rsidRDefault="005B68FD" w:rsidP="005B68FD">
            <w:pPr>
              <w:rPr>
                <w:rFonts w:ascii="Tahoma" w:hAnsi="Tahoma" w:cs="Tahoma"/>
                <w:sz w:val="22"/>
                <w:szCs w:val="22"/>
              </w:rPr>
            </w:pPr>
            <w:r>
              <w:rPr>
                <w:rFonts w:ascii="Tahoma" w:hAnsi="Tahoma" w:cs="Tahoma"/>
                <w:sz w:val="22"/>
                <w:szCs w:val="22"/>
              </w:rPr>
              <w:t>Ежемесячное обслуживание Карты</w:t>
            </w:r>
          </w:p>
        </w:tc>
        <w:tc>
          <w:tcPr>
            <w:tcW w:w="9072" w:type="dxa"/>
            <w:gridSpan w:val="2"/>
            <w:vMerge w:val="restart"/>
            <w:tcBorders>
              <w:top w:val="nil"/>
              <w:left w:val="nil"/>
              <w:right w:val="single" w:sz="4" w:space="0" w:color="auto"/>
            </w:tcBorders>
            <w:shd w:val="clear" w:color="auto" w:fill="auto"/>
            <w:noWrap/>
            <w:vAlign w:val="center"/>
          </w:tcPr>
          <w:p w14:paraId="102BB5DB"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БЕСПЛАТНО</w:t>
            </w:r>
          </w:p>
        </w:tc>
      </w:tr>
      <w:tr w:rsidR="005B68FD" w:rsidRPr="005379F0" w14:paraId="0A92D242" w14:textId="77777777" w:rsidTr="005B68FD">
        <w:trPr>
          <w:trHeight w:val="276"/>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3F4A4D4D" w14:textId="77777777" w:rsidR="005B68FD" w:rsidRPr="005379F0" w:rsidRDefault="005B68FD" w:rsidP="005B68FD">
            <w:pPr>
              <w:rPr>
                <w:rFonts w:ascii="Tahoma" w:hAnsi="Tahoma" w:cs="Tahoma"/>
                <w:sz w:val="22"/>
                <w:szCs w:val="22"/>
              </w:rPr>
            </w:pPr>
            <w:r>
              <w:rPr>
                <w:rFonts w:ascii="Tahoma" w:hAnsi="Tahoma" w:cs="Tahoma"/>
                <w:sz w:val="22"/>
                <w:szCs w:val="22"/>
              </w:rPr>
              <w:t>2</w:t>
            </w:r>
            <w:r w:rsidRPr="005379F0">
              <w:rPr>
                <w:rFonts w:ascii="Tahoma" w:hAnsi="Tahoma" w:cs="Tahoma"/>
                <w:sz w:val="22"/>
                <w:szCs w:val="22"/>
              </w:rPr>
              <w:t>.</w:t>
            </w:r>
            <w:r>
              <w:rPr>
                <w:rFonts w:ascii="Tahoma" w:hAnsi="Tahoma" w:cs="Tahoma"/>
                <w:sz w:val="22"/>
                <w:szCs w:val="22"/>
              </w:rPr>
              <w:t>3</w:t>
            </w:r>
            <w:r w:rsidRPr="005379F0">
              <w:rPr>
                <w:rFonts w:ascii="Tahoma" w:hAnsi="Tahoma" w:cs="Tahoma"/>
                <w:sz w:val="22"/>
                <w:szCs w:val="22"/>
              </w:rPr>
              <w:t>.</w:t>
            </w:r>
          </w:p>
        </w:tc>
        <w:tc>
          <w:tcPr>
            <w:tcW w:w="5271" w:type="dxa"/>
            <w:tcBorders>
              <w:top w:val="nil"/>
              <w:left w:val="nil"/>
              <w:bottom w:val="single" w:sz="4" w:space="0" w:color="auto"/>
              <w:right w:val="single" w:sz="4" w:space="0" w:color="auto"/>
            </w:tcBorders>
            <w:shd w:val="clear" w:color="auto" w:fill="auto"/>
            <w:vAlign w:val="center"/>
            <w:hideMark/>
          </w:tcPr>
          <w:p w14:paraId="2084691A" w14:textId="77777777" w:rsidR="005B68FD" w:rsidRPr="005379F0" w:rsidRDefault="005B68FD" w:rsidP="005B68FD">
            <w:pPr>
              <w:rPr>
                <w:rFonts w:ascii="Tahoma" w:hAnsi="Tahoma" w:cs="Tahoma"/>
                <w:sz w:val="22"/>
                <w:szCs w:val="22"/>
              </w:rPr>
            </w:pPr>
            <w:r w:rsidRPr="005379F0">
              <w:rPr>
                <w:rFonts w:ascii="Tahoma" w:hAnsi="Tahoma" w:cs="Tahoma"/>
                <w:sz w:val="22"/>
                <w:szCs w:val="22"/>
              </w:rPr>
              <w:t>годовое обслуживание Карты</w:t>
            </w:r>
          </w:p>
        </w:tc>
        <w:tc>
          <w:tcPr>
            <w:tcW w:w="9072" w:type="dxa"/>
            <w:gridSpan w:val="2"/>
            <w:vMerge/>
            <w:tcBorders>
              <w:left w:val="single" w:sz="4" w:space="0" w:color="auto"/>
              <w:right w:val="single" w:sz="4" w:space="0" w:color="auto"/>
            </w:tcBorders>
            <w:shd w:val="clear" w:color="auto" w:fill="auto"/>
            <w:noWrap/>
            <w:vAlign w:val="center"/>
            <w:hideMark/>
          </w:tcPr>
          <w:p w14:paraId="12C0D407" w14:textId="77777777" w:rsidR="005B68FD" w:rsidRPr="005379F0" w:rsidRDefault="005B68FD" w:rsidP="005B68FD">
            <w:pPr>
              <w:jc w:val="center"/>
              <w:rPr>
                <w:rFonts w:ascii="Tahoma" w:hAnsi="Tahoma" w:cs="Tahoma"/>
                <w:sz w:val="22"/>
                <w:szCs w:val="22"/>
              </w:rPr>
            </w:pPr>
          </w:p>
        </w:tc>
      </w:tr>
      <w:tr w:rsidR="005B68FD" w:rsidRPr="005379F0" w14:paraId="358431E4" w14:textId="77777777" w:rsidTr="005B68FD">
        <w:trPr>
          <w:trHeight w:val="552"/>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3D98ECEB" w14:textId="77777777" w:rsidR="005B68FD" w:rsidRPr="005379F0" w:rsidRDefault="005B68FD" w:rsidP="005B68FD">
            <w:pPr>
              <w:rPr>
                <w:rFonts w:ascii="Tahoma" w:hAnsi="Tahoma" w:cs="Tahoma"/>
                <w:sz w:val="22"/>
                <w:szCs w:val="22"/>
              </w:rPr>
            </w:pPr>
            <w:r>
              <w:rPr>
                <w:rFonts w:ascii="Tahoma" w:hAnsi="Tahoma" w:cs="Tahoma"/>
                <w:sz w:val="22"/>
                <w:szCs w:val="22"/>
              </w:rPr>
              <w:t>2</w:t>
            </w:r>
            <w:r w:rsidRPr="005379F0">
              <w:rPr>
                <w:rFonts w:ascii="Tahoma" w:hAnsi="Tahoma" w:cs="Tahoma"/>
                <w:sz w:val="22"/>
                <w:szCs w:val="22"/>
              </w:rPr>
              <w:t>.3</w:t>
            </w:r>
            <w:r>
              <w:rPr>
                <w:rFonts w:ascii="Tahoma" w:hAnsi="Tahoma" w:cs="Tahoma"/>
                <w:sz w:val="22"/>
                <w:szCs w:val="22"/>
              </w:rPr>
              <w:t>.</w:t>
            </w:r>
          </w:p>
        </w:tc>
        <w:tc>
          <w:tcPr>
            <w:tcW w:w="5271" w:type="dxa"/>
            <w:tcBorders>
              <w:top w:val="nil"/>
              <w:left w:val="nil"/>
              <w:bottom w:val="single" w:sz="4" w:space="0" w:color="auto"/>
              <w:right w:val="single" w:sz="4" w:space="0" w:color="auto"/>
            </w:tcBorders>
            <w:shd w:val="clear" w:color="auto" w:fill="auto"/>
            <w:vAlign w:val="center"/>
            <w:hideMark/>
          </w:tcPr>
          <w:p w14:paraId="2EC5BD07" w14:textId="77777777" w:rsidR="005B68FD" w:rsidRPr="005379F0" w:rsidRDefault="005B68FD" w:rsidP="005B68FD">
            <w:pPr>
              <w:rPr>
                <w:rFonts w:ascii="Tahoma" w:hAnsi="Tahoma" w:cs="Tahoma"/>
                <w:sz w:val="22"/>
                <w:szCs w:val="22"/>
              </w:rPr>
            </w:pPr>
            <w:r w:rsidRPr="005379F0">
              <w:rPr>
                <w:rFonts w:ascii="Tahoma" w:hAnsi="Tahoma" w:cs="Tahoma"/>
                <w:sz w:val="22"/>
                <w:szCs w:val="22"/>
              </w:rPr>
              <w:t>перевыпуск Карты по любой из причин в т.ч. плановый перевыпуск по сроку</w:t>
            </w:r>
            <w:r>
              <w:rPr>
                <w:rFonts w:ascii="Tahoma" w:hAnsi="Tahoma" w:cs="Tahoma"/>
                <w:sz w:val="22"/>
                <w:szCs w:val="22"/>
              </w:rPr>
              <w:t xml:space="preserve"> без ограничений по количеству раз</w:t>
            </w:r>
          </w:p>
        </w:tc>
        <w:tc>
          <w:tcPr>
            <w:tcW w:w="9072" w:type="dxa"/>
            <w:gridSpan w:val="2"/>
            <w:vMerge/>
            <w:tcBorders>
              <w:left w:val="single" w:sz="4" w:space="0" w:color="auto"/>
              <w:bottom w:val="single" w:sz="4" w:space="0" w:color="000000"/>
              <w:right w:val="single" w:sz="4" w:space="0" w:color="auto"/>
            </w:tcBorders>
            <w:vAlign w:val="center"/>
            <w:hideMark/>
          </w:tcPr>
          <w:p w14:paraId="72F17E38" w14:textId="77777777" w:rsidR="005B68FD" w:rsidRPr="005379F0" w:rsidRDefault="005B68FD" w:rsidP="005B68FD">
            <w:pPr>
              <w:jc w:val="center"/>
              <w:rPr>
                <w:rFonts w:ascii="Tahoma" w:hAnsi="Tahoma" w:cs="Tahoma"/>
                <w:sz w:val="22"/>
                <w:szCs w:val="22"/>
              </w:rPr>
            </w:pPr>
          </w:p>
        </w:tc>
      </w:tr>
      <w:tr w:rsidR="005B68FD" w:rsidRPr="005379F0" w14:paraId="42B8215C" w14:textId="77777777" w:rsidTr="005B68FD">
        <w:trPr>
          <w:trHeight w:val="288"/>
        </w:trPr>
        <w:tc>
          <w:tcPr>
            <w:tcW w:w="820" w:type="dxa"/>
            <w:tcBorders>
              <w:top w:val="nil"/>
              <w:left w:val="single" w:sz="8" w:space="0" w:color="auto"/>
              <w:bottom w:val="single" w:sz="8" w:space="0" w:color="auto"/>
              <w:right w:val="single" w:sz="8" w:space="0" w:color="auto"/>
            </w:tcBorders>
            <w:shd w:val="clear" w:color="auto" w:fill="auto"/>
            <w:noWrap/>
            <w:vAlign w:val="center"/>
            <w:hideMark/>
          </w:tcPr>
          <w:p w14:paraId="2B7AC1EF" w14:textId="77777777" w:rsidR="005B68FD" w:rsidRPr="005379F0" w:rsidRDefault="005B68FD" w:rsidP="005B68FD">
            <w:pPr>
              <w:rPr>
                <w:rFonts w:ascii="Tahoma" w:hAnsi="Tahoma" w:cs="Tahoma"/>
                <w:sz w:val="22"/>
                <w:szCs w:val="22"/>
              </w:rPr>
            </w:pPr>
            <w:r>
              <w:rPr>
                <w:rFonts w:ascii="Tahoma" w:hAnsi="Tahoma" w:cs="Tahoma"/>
                <w:sz w:val="22"/>
                <w:szCs w:val="22"/>
              </w:rPr>
              <w:t>2.5.</w:t>
            </w:r>
          </w:p>
        </w:tc>
        <w:tc>
          <w:tcPr>
            <w:tcW w:w="5271" w:type="dxa"/>
            <w:tcBorders>
              <w:top w:val="nil"/>
              <w:left w:val="nil"/>
              <w:bottom w:val="single" w:sz="8" w:space="0" w:color="auto"/>
              <w:right w:val="single" w:sz="8" w:space="0" w:color="auto"/>
            </w:tcBorders>
            <w:shd w:val="clear" w:color="auto" w:fill="auto"/>
            <w:vAlign w:val="center"/>
            <w:hideMark/>
          </w:tcPr>
          <w:p w14:paraId="1F6EB9F4" w14:textId="77777777" w:rsidR="005B68FD" w:rsidRPr="005379F0" w:rsidRDefault="005B68FD" w:rsidP="005B68FD">
            <w:pPr>
              <w:rPr>
                <w:rFonts w:ascii="Tahoma" w:hAnsi="Tahoma" w:cs="Tahoma"/>
                <w:sz w:val="22"/>
                <w:szCs w:val="22"/>
              </w:rPr>
            </w:pPr>
            <w:r w:rsidRPr="005379F0">
              <w:rPr>
                <w:rFonts w:ascii="Tahoma" w:hAnsi="Tahoma" w:cs="Tahoma"/>
                <w:sz w:val="22"/>
                <w:szCs w:val="22"/>
              </w:rPr>
              <w:t>Вид Карты</w:t>
            </w:r>
          </w:p>
        </w:tc>
        <w:tc>
          <w:tcPr>
            <w:tcW w:w="9072" w:type="dxa"/>
            <w:gridSpan w:val="2"/>
            <w:tcBorders>
              <w:top w:val="nil"/>
              <w:left w:val="nil"/>
              <w:bottom w:val="nil"/>
              <w:right w:val="nil"/>
            </w:tcBorders>
            <w:shd w:val="clear" w:color="000000" w:fill="FFFFFF"/>
            <w:noWrap/>
            <w:vAlign w:val="center"/>
            <w:hideMark/>
          </w:tcPr>
          <w:p w14:paraId="75E08E18"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платежная расчетная (дебетовая)</w:t>
            </w:r>
          </w:p>
        </w:tc>
      </w:tr>
      <w:tr w:rsidR="005B68FD" w:rsidRPr="005379F0" w14:paraId="4C8AA54A" w14:textId="77777777" w:rsidTr="005B68FD">
        <w:trPr>
          <w:trHeight w:val="276"/>
        </w:trPr>
        <w:tc>
          <w:tcPr>
            <w:tcW w:w="820" w:type="dxa"/>
            <w:tcBorders>
              <w:top w:val="single" w:sz="4" w:space="0" w:color="auto"/>
              <w:left w:val="single" w:sz="4" w:space="0" w:color="auto"/>
              <w:bottom w:val="single" w:sz="4" w:space="0" w:color="auto"/>
              <w:right w:val="single" w:sz="4" w:space="0" w:color="auto"/>
            </w:tcBorders>
            <w:shd w:val="clear" w:color="000000" w:fill="595959"/>
            <w:noWrap/>
            <w:vAlign w:val="center"/>
            <w:hideMark/>
          </w:tcPr>
          <w:p w14:paraId="2CE49CF7" w14:textId="77777777" w:rsidR="005B68FD" w:rsidRPr="00430968" w:rsidRDefault="005B68FD" w:rsidP="005B68FD">
            <w:pPr>
              <w:rPr>
                <w:rFonts w:ascii="Tahoma" w:hAnsi="Tahoma" w:cs="Tahoma"/>
                <w:b/>
                <w:color w:val="FFFFFF" w:themeColor="background1"/>
                <w:sz w:val="22"/>
                <w:szCs w:val="22"/>
              </w:rPr>
            </w:pPr>
            <w:r>
              <w:rPr>
                <w:rFonts w:ascii="Tahoma" w:hAnsi="Tahoma" w:cs="Tahoma"/>
                <w:b/>
                <w:color w:val="FFFFFF" w:themeColor="background1"/>
                <w:sz w:val="22"/>
                <w:szCs w:val="22"/>
              </w:rPr>
              <w:t>3.</w:t>
            </w:r>
          </w:p>
        </w:tc>
        <w:tc>
          <w:tcPr>
            <w:tcW w:w="14343" w:type="dxa"/>
            <w:gridSpan w:val="3"/>
            <w:tcBorders>
              <w:top w:val="single" w:sz="4" w:space="0" w:color="auto"/>
              <w:left w:val="nil"/>
              <w:bottom w:val="single" w:sz="4" w:space="0" w:color="auto"/>
              <w:right w:val="single" w:sz="4" w:space="0" w:color="auto"/>
            </w:tcBorders>
            <w:shd w:val="clear" w:color="000000" w:fill="595959"/>
            <w:noWrap/>
            <w:vAlign w:val="center"/>
            <w:hideMark/>
          </w:tcPr>
          <w:p w14:paraId="596681B3" w14:textId="77777777" w:rsidR="005B68FD" w:rsidRPr="00430968" w:rsidRDefault="005B68FD" w:rsidP="005B68FD">
            <w:pPr>
              <w:rPr>
                <w:rFonts w:ascii="Tahoma" w:hAnsi="Tahoma" w:cs="Tahoma"/>
                <w:b/>
                <w:color w:val="FFFFFF" w:themeColor="background1"/>
                <w:sz w:val="22"/>
                <w:szCs w:val="22"/>
              </w:rPr>
            </w:pPr>
            <w:r w:rsidRPr="00430968">
              <w:rPr>
                <w:rFonts w:ascii="Tahoma" w:hAnsi="Tahoma" w:cs="Tahoma"/>
                <w:b/>
                <w:color w:val="FFFFFF" w:themeColor="background1"/>
                <w:sz w:val="22"/>
                <w:szCs w:val="22"/>
              </w:rPr>
              <w:t>Основная Карта</w:t>
            </w:r>
          </w:p>
        </w:tc>
      </w:tr>
      <w:tr w:rsidR="005B68FD" w:rsidRPr="005379F0" w14:paraId="4F9DF7DD" w14:textId="77777777" w:rsidTr="005B68FD">
        <w:trPr>
          <w:trHeight w:val="276"/>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7DF3EBFC" w14:textId="77777777" w:rsidR="005B68FD" w:rsidRPr="005379F0" w:rsidRDefault="005B68FD" w:rsidP="005B68FD">
            <w:pPr>
              <w:rPr>
                <w:rFonts w:ascii="Tahoma" w:hAnsi="Tahoma" w:cs="Tahoma"/>
                <w:sz w:val="22"/>
                <w:szCs w:val="22"/>
              </w:rPr>
            </w:pPr>
            <w:r>
              <w:rPr>
                <w:rFonts w:ascii="Tahoma" w:hAnsi="Tahoma" w:cs="Tahoma"/>
                <w:sz w:val="22"/>
                <w:szCs w:val="22"/>
              </w:rPr>
              <w:t>3.</w:t>
            </w:r>
            <w:r w:rsidRPr="005379F0">
              <w:rPr>
                <w:rFonts w:ascii="Tahoma" w:hAnsi="Tahoma" w:cs="Tahoma"/>
                <w:sz w:val="22"/>
                <w:szCs w:val="22"/>
              </w:rPr>
              <w:t>1.</w:t>
            </w:r>
          </w:p>
        </w:tc>
        <w:tc>
          <w:tcPr>
            <w:tcW w:w="5271" w:type="dxa"/>
            <w:tcBorders>
              <w:top w:val="nil"/>
              <w:left w:val="nil"/>
              <w:bottom w:val="single" w:sz="4" w:space="0" w:color="auto"/>
              <w:right w:val="single" w:sz="4" w:space="0" w:color="auto"/>
            </w:tcBorders>
            <w:shd w:val="clear" w:color="000000" w:fill="FFFFFF"/>
            <w:vAlign w:val="center"/>
            <w:hideMark/>
          </w:tcPr>
          <w:p w14:paraId="11B1162A" w14:textId="77777777" w:rsidR="005B68FD" w:rsidRPr="005379F0" w:rsidRDefault="005B68FD" w:rsidP="005B68FD">
            <w:pPr>
              <w:rPr>
                <w:rFonts w:ascii="Tahoma" w:hAnsi="Tahoma" w:cs="Tahoma"/>
                <w:sz w:val="22"/>
                <w:szCs w:val="22"/>
              </w:rPr>
            </w:pPr>
            <w:r w:rsidRPr="005379F0">
              <w:rPr>
                <w:rFonts w:ascii="Tahoma" w:hAnsi="Tahoma" w:cs="Tahoma"/>
                <w:sz w:val="22"/>
                <w:szCs w:val="22"/>
              </w:rPr>
              <w:t>выпуск основной Карты</w:t>
            </w:r>
          </w:p>
        </w:tc>
        <w:tc>
          <w:tcPr>
            <w:tcW w:w="9072"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14:paraId="51AC0739"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БЕСПЛАТНО</w:t>
            </w:r>
          </w:p>
        </w:tc>
      </w:tr>
      <w:tr w:rsidR="005B68FD" w:rsidRPr="005379F0" w14:paraId="62E395F4" w14:textId="77777777" w:rsidTr="005B68FD">
        <w:trPr>
          <w:trHeight w:val="276"/>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7A3AB12C" w14:textId="77777777" w:rsidR="005B68FD" w:rsidRPr="005379F0" w:rsidRDefault="005B68FD" w:rsidP="005B68FD">
            <w:pPr>
              <w:rPr>
                <w:rFonts w:ascii="Tahoma" w:hAnsi="Tahoma" w:cs="Tahoma"/>
                <w:sz w:val="22"/>
                <w:szCs w:val="22"/>
              </w:rPr>
            </w:pPr>
            <w:r>
              <w:rPr>
                <w:rFonts w:ascii="Tahoma" w:hAnsi="Tahoma" w:cs="Tahoma"/>
                <w:sz w:val="22"/>
                <w:szCs w:val="22"/>
              </w:rPr>
              <w:t>3.</w:t>
            </w:r>
            <w:r w:rsidRPr="005379F0">
              <w:rPr>
                <w:rFonts w:ascii="Tahoma" w:hAnsi="Tahoma" w:cs="Tahoma"/>
                <w:sz w:val="22"/>
                <w:szCs w:val="22"/>
              </w:rPr>
              <w:t>2.</w:t>
            </w:r>
          </w:p>
        </w:tc>
        <w:tc>
          <w:tcPr>
            <w:tcW w:w="5271" w:type="dxa"/>
            <w:tcBorders>
              <w:top w:val="nil"/>
              <w:left w:val="nil"/>
              <w:bottom w:val="single" w:sz="4" w:space="0" w:color="auto"/>
              <w:right w:val="single" w:sz="4" w:space="0" w:color="auto"/>
            </w:tcBorders>
            <w:shd w:val="clear" w:color="auto" w:fill="auto"/>
            <w:vAlign w:val="center"/>
            <w:hideMark/>
          </w:tcPr>
          <w:p w14:paraId="38ABE7A9" w14:textId="77777777" w:rsidR="005B68FD" w:rsidRPr="005379F0" w:rsidRDefault="005B68FD" w:rsidP="005B68FD">
            <w:pPr>
              <w:rPr>
                <w:rFonts w:ascii="Tahoma" w:hAnsi="Tahoma" w:cs="Tahoma"/>
                <w:sz w:val="22"/>
                <w:szCs w:val="22"/>
              </w:rPr>
            </w:pPr>
            <w:r w:rsidRPr="005379F0">
              <w:rPr>
                <w:rFonts w:ascii="Tahoma" w:hAnsi="Tahoma" w:cs="Tahoma"/>
                <w:sz w:val="22"/>
                <w:szCs w:val="22"/>
              </w:rPr>
              <w:t xml:space="preserve">открытие Счета Карты </w:t>
            </w:r>
          </w:p>
        </w:tc>
        <w:tc>
          <w:tcPr>
            <w:tcW w:w="9072" w:type="dxa"/>
            <w:gridSpan w:val="2"/>
            <w:vMerge/>
            <w:tcBorders>
              <w:top w:val="nil"/>
              <w:left w:val="single" w:sz="4" w:space="0" w:color="auto"/>
              <w:bottom w:val="single" w:sz="4" w:space="0" w:color="auto"/>
              <w:right w:val="single" w:sz="4" w:space="0" w:color="auto"/>
            </w:tcBorders>
            <w:vAlign w:val="center"/>
            <w:hideMark/>
          </w:tcPr>
          <w:p w14:paraId="35E30FD8" w14:textId="77777777" w:rsidR="005B68FD" w:rsidRPr="005379F0" w:rsidRDefault="005B68FD" w:rsidP="005B68FD">
            <w:pPr>
              <w:jc w:val="center"/>
              <w:rPr>
                <w:rFonts w:ascii="Tahoma" w:hAnsi="Tahoma" w:cs="Tahoma"/>
                <w:sz w:val="22"/>
                <w:szCs w:val="22"/>
              </w:rPr>
            </w:pPr>
          </w:p>
        </w:tc>
      </w:tr>
      <w:tr w:rsidR="005B68FD" w:rsidRPr="005379F0" w14:paraId="0E702F09" w14:textId="77777777" w:rsidTr="005B68FD">
        <w:trPr>
          <w:trHeight w:val="276"/>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4FFC8C3A" w14:textId="77777777" w:rsidR="005B68FD" w:rsidRPr="005379F0" w:rsidRDefault="005B68FD" w:rsidP="005B68FD">
            <w:pPr>
              <w:rPr>
                <w:rFonts w:ascii="Tahoma" w:hAnsi="Tahoma" w:cs="Tahoma"/>
                <w:sz w:val="22"/>
                <w:szCs w:val="22"/>
              </w:rPr>
            </w:pPr>
            <w:r>
              <w:rPr>
                <w:rFonts w:ascii="Tahoma" w:hAnsi="Tahoma" w:cs="Tahoma"/>
                <w:sz w:val="22"/>
                <w:szCs w:val="22"/>
              </w:rPr>
              <w:t>3.</w:t>
            </w:r>
            <w:r w:rsidRPr="005379F0">
              <w:rPr>
                <w:rFonts w:ascii="Tahoma" w:hAnsi="Tahoma" w:cs="Tahoma"/>
                <w:sz w:val="22"/>
                <w:szCs w:val="22"/>
              </w:rPr>
              <w:t>3.</w:t>
            </w:r>
          </w:p>
        </w:tc>
        <w:tc>
          <w:tcPr>
            <w:tcW w:w="5271" w:type="dxa"/>
            <w:tcBorders>
              <w:top w:val="nil"/>
              <w:left w:val="nil"/>
              <w:bottom w:val="single" w:sz="4" w:space="0" w:color="auto"/>
              <w:right w:val="single" w:sz="4" w:space="0" w:color="auto"/>
            </w:tcBorders>
            <w:shd w:val="clear" w:color="auto" w:fill="auto"/>
            <w:vAlign w:val="center"/>
            <w:hideMark/>
          </w:tcPr>
          <w:p w14:paraId="269C7E10" w14:textId="77777777" w:rsidR="005B68FD" w:rsidRPr="005379F0" w:rsidRDefault="005B68FD" w:rsidP="005B68FD">
            <w:pPr>
              <w:rPr>
                <w:rFonts w:ascii="Tahoma" w:hAnsi="Tahoma" w:cs="Tahoma"/>
                <w:sz w:val="22"/>
                <w:szCs w:val="22"/>
              </w:rPr>
            </w:pPr>
            <w:r w:rsidRPr="005379F0">
              <w:rPr>
                <w:rFonts w:ascii="Tahoma" w:hAnsi="Tahoma" w:cs="Tahoma"/>
                <w:sz w:val="22"/>
                <w:szCs w:val="22"/>
              </w:rPr>
              <w:t>срок действия основной Карты</w:t>
            </w:r>
          </w:p>
        </w:tc>
        <w:tc>
          <w:tcPr>
            <w:tcW w:w="9072" w:type="dxa"/>
            <w:gridSpan w:val="2"/>
            <w:tcBorders>
              <w:top w:val="nil"/>
              <w:left w:val="nil"/>
              <w:bottom w:val="single" w:sz="4" w:space="0" w:color="auto"/>
              <w:right w:val="single" w:sz="4" w:space="0" w:color="auto"/>
            </w:tcBorders>
            <w:shd w:val="clear" w:color="000000" w:fill="FFFFFF"/>
            <w:noWrap/>
            <w:vAlign w:val="center"/>
            <w:hideMark/>
          </w:tcPr>
          <w:p w14:paraId="5C9D025A"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6 лет</w:t>
            </w:r>
          </w:p>
        </w:tc>
      </w:tr>
      <w:tr w:rsidR="005B68FD" w:rsidRPr="005379F0" w14:paraId="768718CD" w14:textId="77777777" w:rsidTr="005B68FD">
        <w:trPr>
          <w:trHeight w:val="276"/>
        </w:trPr>
        <w:tc>
          <w:tcPr>
            <w:tcW w:w="820" w:type="dxa"/>
            <w:tcBorders>
              <w:top w:val="nil"/>
              <w:left w:val="single" w:sz="4" w:space="0" w:color="auto"/>
              <w:bottom w:val="single" w:sz="4" w:space="0" w:color="auto"/>
              <w:right w:val="single" w:sz="4" w:space="0" w:color="auto"/>
            </w:tcBorders>
            <w:shd w:val="clear" w:color="000000" w:fill="595959"/>
            <w:noWrap/>
            <w:vAlign w:val="center"/>
            <w:hideMark/>
          </w:tcPr>
          <w:p w14:paraId="00C914CF" w14:textId="77777777" w:rsidR="005B68FD" w:rsidRPr="00C248C2" w:rsidRDefault="005B68FD" w:rsidP="005B68FD">
            <w:pPr>
              <w:rPr>
                <w:rFonts w:ascii="Tahoma" w:hAnsi="Tahoma" w:cs="Tahoma"/>
                <w:b/>
                <w:color w:val="FFFFFF" w:themeColor="background1"/>
                <w:sz w:val="22"/>
                <w:szCs w:val="22"/>
              </w:rPr>
            </w:pPr>
            <w:r>
              <w:rPr>
                <w:rFonts w:ascii="Tahoma" w:hAnsi="Tahoma" w:cs="Tahoma"/>
                <w:b/>
                <w:color w:val="FFFFFF" w:themeColor="background1"/>
                <w:sz w:val="22"/>
                <w:szCs w:val="22"/>
              </w:rPr>
              <w:t>3.4</w:t>
            </w:r>
            <w:r w:rsidRPr="00C248C2">
              <w:rPr>
                <w:rFonts w:ascii="Tahoma" w:hAnsi="Tahoma" w:cs="Tahoma"/>
                <w:b/>
                <w:color w:val="FFFFFF" w:themeColor="background1"/>
                <w:sz w:val="22"/>
                <w:szCs w:val="22"/>
              </w:rPr>
              <w:t>.</w:t>
            </w:r>
          </w:p>
        </w:tc>
        <w:tc>
          <w:tcPr>
            <w:tcW w:w="14343" w:type="dxa"/>
            <w:gridSpan w:val="3"/>
            <w:tcBorders>
              <w:top w:val="single" w:sz="4" w:space="0" w:color="auto"/>
              <w:left w:val="nil"/>
              <w:bottom w:val="single" w:sz="4" w:space="0" w:color="auto"/>
              <w:right w:val="single" w:sz="4" w:space="0" w:color="auto"/>
            </w:tcBorders>
            <w:shd w:val="clear" w:color="000000" w:fill="595959"/>
            <w:noWrap/>
            <w:vAlign w:val="center"/>
            <w:hideMark/>
          </w:tcPr>
          <w:p w14:paraId="3D3006F1" w14:textId="77777777" w:rsidR="005B68FD" w:rsidRPr="00C248C2" w:rsidRDefault="005B68FD" w:rsidP="005B68FD">
            <w:pPr>
              <w:rPr>
                <w:rFonts w:ascii="Tahoma" w:hAnsi="Tahoma" w:cs="Tahoma"/>
                <w:b/>
                <w:color w:val="FFFFFF" w:themeColor="background1"/>
                <w:sz w:val="22"/>
                <w:szCs w:val="22"/>
              </w:rPr>
            </w:pPr>
            <w:r w:rsidRPr="00C248C2">
              <w:rPr>
                <w:rFonts w:ascii="Tahoma" w:hAnsi="Tahoma" w:cs="Tahoma"/>
                <w:b/>
                <w:color w:val="FFFFFF" w:themeColor="background1"/>
                <w:sz w:val="22"/>
                <w:szCs w:val="22"/>
              </w:rPr>
              <w:t>Дополнительная Карта</w:t>
            </w:r>
          </w:p>
        </w:tc>
      </w:tr>
      <w:tr w:rsidR="005B68FD" w:rsidRPr="005379F0" w14:paraId="108A1444" w14:textId="77777777" w:rsidTr="005B68FD">
        <w:trPr>
          <w:trHeight w:val="276"/>
        </w:trPr>
        <w:tc>
          <w:tcPr>
            <w:tcW w:w="820" w:type="dxa"/>
            <w:tcBorders>
              <w:top w:val="nil"/>
              <w:left w:val="single" w:sz="4" w:space="0" w:color="auto"/>
              <w:bottom w:val="single" w:sz="4" w:space="0" w:color="auto"/>
              <w:right w:val="single" w:sz="4" w:space="0" w:color="auto"/>
            </w:tcBorders>
            <w:shd w:val="clear" w:color="000000" w:fill="FFFFFF"/>
            <w:noWrap/>
            <w:vAlign w:val="center"/>
            <w:hideMark/>
          </w:tcPr>
          <w:p w14:paraId="37CF6031" w14:textId="77777777" w:rsidR="005B68FD" w:rsidRPr="005379F0" w:rsidRDefault="005B68FD" w:rsidP="005B68FD">
            <w:pPr>
              <w:rPr>
                <w:rFonts w:ascii="Tahoma" w:hAnsi="Tahoma" w:cs="Tahoma"/>
                <w:sz w:val="22"/>
                <w:szCs w:val="22"/>
              </w:rPr>
            </w:pPr>
            <w:r>
              <w:rPr>
                <w:rFonts w:ascii="Tahoma" w:hAnsi="Tahoma" w:cs="Tahoma"/>
                <w:sz w:val="22"/>
                <w:szCs w:val="22"/>
              </w:rPr>
              <w:t>3.4</w:t>
            </w:r>
            <w:r w:rsidRPr="005379F0">
              <w:rPr>
                <w:rFonts w:ascii="Tahoma" w:hAnsi="Tahoma" w:cs="Tahoma"/>
                <w:sz w:val="22"/>
                <w:szCs w:val="22"/>
              </w:rPr>
              <w:t>.1.</w:t>
            </w:r>
          </w:p>
        </w:tc>
        <w:tc>
          <w:tcPr>
            <w:tcW w:w="5271" w:type="dxa"/>
            <w:tcBorders>
              <w:top w:val="nil"/>
              <w:left w:val="nil"/>
              <w:bottom w:val="single" w:sz="4" w:space="0" w:color="auto"/>
              <w:right w:val="nil"/>
            </w:tcBorders>
            <w:shd w:val="clear" w:color="000000" w:fill="FFFFFF"/>
            <w:vAlign w:val="center"/>
            <w:hideMark/>
          </w:tcPr>
          <w:p w14:paraId="29AA0B0C" w14:textId="77777777" w:rsidR="005B68FD" w:rsidRPr="005379F0" w:rsidRDefault="005B68FD" w:rsidP="005B68FD">
            <w:pPr>
              <w:rPr>
                <w:rFonts w:ascii="Tahoma" w:hAnsi="Tahoma" w:cs="Tahoma"/>
                <w:sz w:val="22"/>
                <w:szCs w:val="22"/>
              </w:rPr>
            </w:pPr>
            <w:r w:rsidRPr="005379F0">
              <w:rPr>
                <w:rFonts w:ascii="Tahoma" w:hAnsi="Tahoma" w:cs="Tahoma"/>
                <w:sz w:val="22"/>
                <w:szCs w:val="22"/>
              </w:rPr>
              <w:t>выпуск дополнительной карты</w:t>
            </w:r>
          </w:p>
        </w:tc>
        <w:tc>
          <w:tcPr>
            <w:tcW w:w="9072" w:type="dxa"/>
            <w:gridSpan w:val="2"/>
            <w:tcBorders>
              <w:top w:val="nil"/>
              <w:left w:val="single" w:sz="4" w:space="0" w:color="auto"/>
              <w:bottom w:val="single" w:sz="4" w:space="0" w:color="auto"/>
              <w:right w:val="single" w:sz="4" w:space="0" w:color="auto"/>
            </w:tcBorders>
            <w:shd w:val="clear" w:color="000000" w:fill="FFFFFF"/>
            <w:vAlign w:val="center"/>
            <w:hideMark/>
          </w:tcPr>
          <w:p w14:paraId="7B769DA1"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не предусмотрено</w:t>
            </w:r>
          </w:p>
        </w:tc>
      </w:tr>
      <w:tr w:rsidR="005B68FD" w:rsidRPr="005379F0" w14:paraId="015A23F6" w14:textId="77777777" w:rsidTr="005B68FD">
        <w:trPr>
          <w:trHeight w:val="312"/>
        </w:trPr>
        <w:tc>
          <w:tcPr>
            <w:tcW w:w="820" w:type="dxa"/>
            <w:tcBorders>
              <w:top w:val="nil"/>
              <w:left w:val="single" w:sz="4" w:space="0" w:color="auto"/>
              <w:bottom w:val="single" w:sz="4" w:space="0" w:color="auto"/>
              <w:right w:val="single" w:sz="4" w:space="0" w:color="auto"/>
            </w:tcBorders>
            <w:shd w:val="clear" w:color="000000" w:fill="595959"/>
            <w:noWrap/>
            <w:vAlign w:val="center"/>
            <w:hideMark/>
          </w:tcPr>
          <w:p w14:paraId="1C38220A" w14:textId="77777777" w:rsidR="005B68FD" w:rsidRPr="00C248C2" w:rsidRDefault="005B68FD" w:rsidP="005B68FD">
            <w:pPr>
              <w:rPr>
                <w:rFonts w:ascii="Tahoma" w:hAnsi="Tahoma" w:cs="Tahoma"/>
                <w:b/>
                <w:color w:val="FFFFFF" w:themeColor="background1"/>
                <w:sz w:val="22"/>
                <w:szCs w:val="22"/>
              </w:rPr>
            </w:pPr>
            <w:r w:rsidRPr="00C248C2">
              <w:rPr>
                <w:rFonts w:ascii="Tahoma" w:hAnsi="Tahoma" w:cs="Tahoma"/>
                <w:b/>
                <w:color w:val="FFFFFF" w:themeColor="background1"/>
                <w:sz w:val="22"/>
                <w:szCs w:val="22"/>
              </w:rPr>
              <w:t>4.</w:t>
            </w:r>
          </w:p>
        </w:tc>
        <w:tc>
          <w:tcPr>
            <w:tcW w:w="14343" w:type="dxa"/>
            <w:gridSpan w:val="3"/>
            <w:tcBorders>
              <w:top w:val="single" w:sz="4" w:space="0" w:color="auto"/>
              <w:left w:val="nil"/>
              <w:bottom w:val="single" w:sz="4" w:space="0" w:color="auto"/>
              <w:right w:val="nil"/>
            </w:tcBorders>
            <w:shd w:val="clear" w:color="000000" w:fill="595959"/>
            <w:noWrap/>
            <w:vAlign w:val="center"/>
            <w:hideMark/>
          </w:tcPr>
          <w:p w14:paraId="307E88FD" w14:textId="77777777" w:rsidR="005B68FD" w:rsidRPr="00C248C2" w:rsidRDefault="005B68FD" w:rsidP="005B68FD">
            <w:pPr>
              <w:rPr>
                <w:rFonts w:ascii="Tahoma" w:hAnsi="Tahoma" w:cs="Tahoma"/>
                <w:b/>
                <w:color w:val="FFFFFF" w:themeColor="background1"/>
                <w:sz w:val="22"/>
                <w:szCs w:val="22"/>
              </w:rPr>
            </w:pPr>
            <w:r w:rsidRPr="00C248C2">
              <w:rPr>
                <w:rFonts w:ascii="Tahoma" w:hAnsi="Tahoma" w:cs="Tahoma"/>
                <w:b/>
                <w:color w:val="FFFFFF" w:themeColor="background1"/>
                <w:sz w:val="22"/>
                <w:szCs w:val="22"/>
              </w:rPr>
              <w:t>Начисление процентов Банком Клиенту на остаток денежных средств по Счету Карты в Периоде</w:t>
            </w:r>
            <w:r w:rsidRPr="00430968">
              <w:rPr>
                <w:rFonts w:ascii="Tahoma" w:hAnsi="Tahoma" w:cs="Tahoma"/>
                <w:b/>
                <w:color w:val="FFFFFF" w:themeColor="background1"/>
                <w:sz w:val="22"/>
                <w:szCs w:val="22"/>
                <w:vertAlign w:val="superscript"/>
              </w:rPr>
              <w:t>8</w:t>
            </w:r>
          </w:p>
        </w:tc>
      </w:tr>
      <w:tr w:rsidR="005B68FD" w:rsidRPr="005379F0" w14:paraId="075D8CE1" w14:textId="77777777" w:rsidTr="005B68FD">
        <w:trPr>
          <w:trHeight w:val="300"/>
        </w:trPr>
        <w:tc>
          <w:tcPr>
            <w:tcW w:w="820" w:type="dxa"/>
            <w:tcBorders>
              <w:top w:val="nil"/>
              <w:left w:val="single" w:sz="4" w:space="0" w:color="auto"/>
              <w:bottom w:val="single" w:sz="4" w:space="0" w:color="auto"/>
              <w:right w:val="single" w:sz="4" w:space="0" w:color="auto"/>
            </w:tcBorders>
            <w:shd w:val="clear" w:color="000000" w:fill="595959"/>
            <w:noWrap/>
            <w:vAlign w:val="center"/>
            <w:hideMark/>
          </w:tcPr>
          <w:p w14:paraId="7A2243DE" w14:textId="77777777" w:rsidR="005B68FD" w:rsidRPr="00C248C2" w:rsidRDefault="005B68FD" w:rsidP="005B68FD">
            <w:pPr>
              <w:rPr>
                <w:rFonts w:ascii="Tahoma" w:hAnsi="Tahoma" w:cs="Tahoma"/>
                <w:b/>
                <w:color w:val="FFFFFF" w:themeColor="background1"/>
                <w:sz w:val="22"/>
                <w:szCs w:val="22"/>
              </w:rPr>
            </w:pPr>
            <w:r w:rsidRPr="00C248C2">
              <w:rPr>
                <w:rFonts w:ascii="Tahoma" w:hAnsi="Tahoma" w:cs="Tahoma"/>
                <w:b/>
                <w:color w:val="FFFFFF" w:themeColor="background1"/>
                <w:sz w:val="22"/>
                <w:szCs w:val="22"/>
              </w:rPr>
              <w:t>4.1.</w:t>
            </w:r>
          </w:p>
        </w:tc>
        <w:tc>
          <w:tcPr>
            <w:tcW w:w="14343" w:type="dxa"/>
            <w:gridSpan w:val="3"/>
            <w:tcBorders>
              <w:top w:val="nil"/>
              <w:left w:val="nil"/>
              <w:bottom w:val="single" w:sz="4" w:space="0" w:color="auto"/>
              <w:right w:val="single" w:sz="4" w:space="0" w:color="auto"/>
            </w:tcBorders>
            <w:shd w:val="clear" w:color="000000" w:fill="595959"/>
            <w:noWrap/>
            <w:vAlign w:val="center"/>
            <w:hideMark/>
          </w:tcPr>
          <w:p w14:paraId="0F92A200" w14:textId="77777777" w:rsidR="005B68FD" w:rsidRPr="005379F0" w:rsidRDefault="005B68FD" w:rsidP="005B68FD">
            <w:pPr>
              <w:rPr>
                <w:rFonts w:ascii="Tahoma" w:hAnsi="Tahoma" w:cs="Tahoma"/>
                <w:sz w:val="22"/>
                <w:szCs w:val="22"/>
              </w:rPr>
            </w:pPr>
            <w:r w:rsidRPr="00C248C2">
              <w:rPr>
                <w:rFonts w:ascii="Tahoma" w:hAnsi="Tahoma" w:cs="Tahoma"/>
                <w:b/>
                <w:color w:val="FFFFFF" w:themeColor="background1"/>
                <w:sz w:val="22"/>
                <w:szCs w:val="22"/>
              </w:rPr>
              <w:t>Процентная ставка на остаток денежных средств в рублях на Счете Карты, % годовых</w:t>
            </w:r>
          </w:p>
        </w:tc>
      </w:tr>
      <w:tr w:rsidR="005B68FD" w:rsidRPr="005379F0" w14:paraId="6EDA2A58" w14:textId="77777777" w:rsidTr="005B68FD">
        <w:trPr>
          <w:trHeight w:val="1416"/>
        </w:trPr>
        <w:tc>
          <w:tcPr>
            <w:tcW w:w="820" w:type="dxa"/>
            <w:tcBorders>
              <w:top w:val="nil"/>
              <w:left w:val="single" w:sz="4" w:space="0" w:color="auto"/>
              <w:bottom w:val="single" w:sz="4" w:space="0" w:color="auto"/>
              <w:right w:val="single" w:sz="4" w:space="0" w:color="auto"/>
            </w:tcBorders>
            <w:shd w:val="clear" w:color="000000" w:fill="FFFFFF"/>
            <w:noWrap/>
            <w:vAlign w:val="center"/>
            <w:hideMark/>
          </w:tcPr>
          <w:p w14:paraId="2AF25407" w14:textId="77777777" w:rsidR="005B68FD" w:rsidRPr="005379F0" w:rsidRDefault="005B68FD" w:rsidP="005B68FD">
            <w:pPr>
              <w:rPr>
                <w:rFonts w:ascii="Tahoma" w:hAnsi="Tahoma" w:cs="Tahoma"/>
                <w:sz w:val="22"/>
                <w:szCs w:val="22"/>
              </w:rPr>
            </w:pPr>
            <w:r w:rsidRPr="005379F0">
              <w:rPr>
                <w:rFonts w:ascii="Tahoma" w:hAnsi="Tahoma" w:cs="Tahoma"/>
                <w:sz w:val="22"/>
                <w:szCs w:val="22"/>
              </w:rPr>
              <w:t>4.1.1.</w:t>
            </w:r>
          </w:p>
        </w:tc>
        <w:tc>
          <w:tcPr>
            <w:tcW w:w="5271" w:type="dxa"/>
            <w:tcBorders>
              <w:top w:val="nil"/>
              <w:left w:val="nil"/>
              <w:bottom w:val="single" w:sz="4" w:space="0" w:color="auto"/>
              <w:right w:val="single" w:sz="4" w:space="0" w:color="auto"/>
            </w:tcBorders>
            <w:shd w:val="clear" w:color="000000" w:fill="FFFFFF"/>
            <w:vAlign w:val="center"/>
            <w:hideMark/>
          </w:tcPr>
          <w:p w14:paraId="2D8E648A" w14:textId="77777777" w:rsidR="005B68FD" w:rsidRPr="00430968" w:rsidRDefault="005B68FD" w:rsidP="005B68FD">
            <w:pPr>
              <w:rPr>
                <w:rFonts w:ascii="Tahoma" w:hAnsi="Tahoma" w:cs="Tahoma"/>
                <w:sz w:val="22"/>
                <w:szCs w:val="22"/>
              </w:rPr>
            </w:pPr>
            <w:r w:rsidRPr="00430968">
              <w:rPr>
                <w:rFonts w:ascii="Tahoma" w:hAnsi="Tahoma" w:cs="Tahoma"/>
                <w:sz w:val="22"/>
                <w:szCs w:val="22"/>
              </w:rPr>
              <w:t>при безналичном зачислении на Счет Карты заработной платы4 Клиента в Отчетном периоде5, но при отсутствии перерыва в зачислении заработной платы или наличии перерыва в зачислении заработной платы не более 2-х календарных месяцев подряд</w:t>
            </w:r>
          </w:p>
        </w:tc>
        <w:tc>
          <w:tcPr>
            <w:tcW w:w="9072" w:type="dxa"/>
            <w:gridSpan w:val="2"/>
            <w:vMerge w:val="restart"/>
            <w:tcBorders>
              <w:top w:val="nil"/>
              <w:left w:val="single" w:sz="4" w:space="0" w:color="auto"/>
              <w:bottom w:val="single" w:sz="4" w:space="0" w:color="000000"/>
              <w:right w:val="single" w:sz="4" w:space="0" w:color="auto"/>
            </w:tcBorders>
            <w:shd w:val="clear" w:color="000000" w:fill="FFFFFF"/>
            <w:vAlign w:val="center"/>
            <w:hideMark/>
          </w:tcPr>
          <w:p w14:paraId="4AB3CD5C"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5%</w:t>
            </w:r>
          </w:p>
        </w:tc>
      </w:tr>
      <w:tr w:rsidR="005B68FD" w:rsidRPr="005379F0" w14:paraId="0E4F538E" w14:textId="77777777" w:rsidTr="005B68FD">
        <w:trPr>
          <w:trHeight w:val="624"/>
        </w:trPr>
        <w:tc>
          <w:tcPr>
            <w:tcW w:w="820" w:type="dxa"/>
            <w:tcBorders>
              <w:top w:val="nil"/>
              <w:left w:val="single" w:sz="4" w:space="0" w:color="auto"/>
              <w:bottom w:val="single" w:sz="4" w:space="0" w:color="auto"/>
              <w:right w:val="single" w:sz="4" w:space="0" w:color="auto"/>
            </w:tcBorders>
            <w:shd w:val="clear" w:color="000000" w:fill="FFFFFF"/>
            <w:noWrap/>
            <w:vAlign w:val="center"/>
            <w:hideMark/>
          </w:tcPr>
          <w:p w14:paraId="42976FB3" w14:textId="77777777" w:rsidR="005B68FD" w:rsidRPr="005379F0" w:rsidRDefault="005B68FD" w:rsidP="005B68FD">
            <w:pPr>
              <w:rPr>
                <w:rFonts w:ascii="Tahoma" w:hAnsi="Tahoma" w:cs="Tahoma"/>
                <w:sz w:val="22"/>
                <w:szCs w:val="22"/>
              </w:rPr>
            </w:pPr>
            <w:r w:rsidRPr="005379F0">
              <w:rPr>
                <w:rFonts w:ascii="Tahoma" w:hAnsi="Tahoma" w:cs="Tahoma"/>
                <w:sz w:val="22"/>
                <w:szCs w:val="22"/>
              </w:rPr>
              <w:t>4.1.2.</w:t>
            </w:r>
          </w:p>
        </w:tc>
        <w:tc>
          <w:tcPr>
            <w:tcW w:w="5271" w:type="dxa"/>
            <w:tcBorders>
              <w:top w:val="nil"/>
              <w:left w:val="nil"/>
              <w:bottom w:val="single" w:sz="4" w:space="0" w:color="auto"/>
              <w:right w:val="single" w:sz="4" w:space="0" w:color="auto"/>
            </w:tcBorders>
            <w:shd w:val="clear" w:color="000000" w:fill="FFFFFF"/>
            <w:vAlign w:val="center"/>
            <w:hideMark/>
          </w:tcPr>
          <w:p w14:paraId="46A4F813" w14:textId="77777777" w:rsidR="005B68FD" w:rsidRPr="00430968" w:rsidRDefault="005B68FD" w:rsidP="005B68FD">
            <w:pPr>
              <w:rPr>
                <w:rFonts w:ascii="Tahoma" w:hAnsi="Tahoma" w:cs="Tahoma"/>
                <w:sz w:val="22"/>
                <w:szCs w:val="22"/>
              </w:rPr>
            </w:pPr>
            <w:r w:rsidRPr="00430968">
              <w:rPr>
                <w:rFonts w:ascii="Tahoma" w:hAnsi="Tahoma" w:cs="Tahoma"/>
                <w:sz w:val="22"/>
                <w:szCs w:val="22"/>
              </w:rPr>
              <w:t>при совершении безналичных операций в ТСП</w:t>
            </w:r>
            <w:r w:rsidRPr="00430968">
              <w:rPr>
                <w:rFonts w:ascii="Tahoma" w:hAnsi="Tahoma" w:cs="Tahoma"/>
                <w:sz w:val="22"/>
                <w:szCs w:val="22"/>
                <w:vertAlign w:val="superscript"/>
              </w:rPr>
              <w:t>6</w:t>
            </w:r>
            <w:r w:rsidRPr="00430968">
              <w:rPr>
                <w:rFonts w:ascii="Tahoma" w:hAnsi="Tahoma" w:cs="Tahoma"/>
                <w:sz w:val="22"/>
                <w:szCs w:val="22"/>
              </w:rPr>
              <w:t xml:space="preserve"> на сумму более 15 000 рублей в Отчетном периоде</w:t>
            </w:r>
            <w:r w:rsidRPr="00430968">
              <w:rPr>
                <w:rFonts w:ascii="Tahoma" w:hAnsi="Tahoma" w:cs="Tahoma"/>
                <w:sz w:val="22"/>
                <w:szCs w:val="22"/>
                <w:vertAlign w:val="superscript"/>
              </w:rPr>
              <w:t>5</w:t>
            </w:r>
          </w:p>
        </w:tc>
        <w:tc>
          <w:tcPr>
            <w:tcW w:w="9072" w:type="dxa"/>
            <w:gridSpan w:val="2"/>
            <w:vMerge/>
            <w:tcBorders>
              <w:top w:val="nil"/>
              <w:left w:val="single" w:sz="4" w:space="0" w:color="auto"/>
              <w:bottom w:val="single" w:sz="4" w:space="0" w:color="000000"/>
              <w:right w:val="single" w:sz="4" w:space="0" w:color="auto"/>
            </w:tcBorders>
            <w:vAlign w:val="center"/>
            <w:hideMark/>
          </w:tcPr>
          <w:p w14:paraId="41CDC6C5" w14:textId="77777777" w:rsidR="005B68FD" w:rsidRPr="005379F0" w:rsidRDefault="005B68FD" w:rsidP="005B68FD">
            <w:pPr>
              <w:jc w:val="center"/>
              <w:rPr>
                <w:rFonts w:ascii="Tahoma" w:hAnsi="Tahoma" w:cs="Tahoma"/>
                <w:sz w:val="22"/>
                <w:szCs w:val="22"/>
              </w:rPr>
            </w:pPr>
          </w:p>
        </w:tc>
      </w:tr>
      <w:tr w:rsidR="005B68FD" w:rsidRPr="005379F0" w14:paraId="77BC54DC" w14:textId="77777777" w:rsidTr="005B68FD">
        <w:trPr>
          <w:trHeight w:val="1020"/>
        </w:trPr>
        <w:tc>
          <w:tcPr>
            <w:tcW w:w="820" w:type="dxa"/>
            <w:tcBorders>
              <w:top w:val="nil"/>
              <w:left w:val="single" w:sz="4" w:space="0" w:color="auto"/>
              <w:bottom w:val="single" w:sz="4" w:space="0" w:color="auto"/>
              <w:right w:val="single" w:sz="4" w:space="0" w:color="auto"/>
            </w:tcBorders>
            <w:shd w:val="clear" w:color="000000" w:fill="FFFFFF"/>
            <w:noWrap/>
            <w:vAlign w:val="center"/>
            <w:hideMark/>
          </w:tcPr>
          <w:p w14:paraId="144515DA" w14:textId="77777777" w:rsidR="005B68FD" w:rsidRPr="005379F0" w:rsidRDefault="005B68FD" w:rsidP="005B68FD">
            <w:pPr>
              <w:rPr>
                <w:rFonts w:ascii="Tahoma" w:hAnsi="Tahoma" w:cs="Tahoma"/>
                <w:sz w:val="22"/>
                <w:szCs w:val="22"/>
              </w:rPr>
            </w:pPr>
            <w:r w:rsidRPr="005379F0">
              <w:rPr>
                <w:rFonts w:ascii="Tahoma" w:hAnsi="Tahoma" w:cs="Tahoma"/>
                <w:sz w:val="22"/>
                <w:szCs w:val="22"/>
              </w:rPr>
              <w:t>4.1.3.</w:t>
            </w:r>
          </w:p>
        </w:tc>
        <w:tc>
          <w:tcPr>
            <w:tcW w:w="5271" w:type="dxa"/>
            <w:tcBorders>
              <w:top w:val="nil"/>
              <w:left w:val="nil"/>
              <w:bottom w:val="single" w:sz="4" w:space="0" w:color="auto"/>
              <w:right w:val="single" w:sz="4" w:space="0" w:color="auto"/>
            </w:tcBorders>
            <w:shd w:val="clear" w:color="000000" w:fill="FFFFFF"/>
            <w:vAlign w:val="center"/>
            <w:hideMark/>
          </w:tcPr>
          <w:p w14:paraId="39640691" w14:textId="77777777" w:rsidR="005B68FD" w:rsidRPr="005379F0" w:rsidRDefault="005B68FD" w:rsidP="005B68FD">
            <w:pPr>
              <w:rPr>
                <w:rFonts w:ascii="Tahoma" w:hAnsi="Tahoma" w:cs="Tahoma"/>
                <w:sz w:val="22"/>
                <w:szCs w:val="22"/>
              </w:rPr>
            </w:pPr>
            <w:r>
              <w:rPr>
                <w:rFonts w:ascii="Tahoma" w:hAnsi="Tahoma" w:cs="Tahoma"/>
                <w:sz w:val="22"/>
                <w:szCs w:val="22"/>
              </w:rPr>
              <w:t>При выборе Счета Карты в качестве счета для зачисления процентов по срочному Вкладу, открытому в Банке</w:t>
            </w:r>
            <w:r>
              <w:rPr>
                <w:rFonts w:ascii="Tahoma" w:hAnsi="Tahoma" w:cs="Tahoma"/>
                <w:sz w:val="22"/>
                <w:szCs w:val="22"/>
                <w:vertAlign w:val="superscript"/>
              </w:rPr>
              <w:t>11</w:t>
            </w:r>
            <w:r>
              <w:rPr>
                <w:rFonts w:ascii="Tahoma" w:hAnsi="Tahoma" w:cs="Tahoma"/>
                <w:sz w:val="22"/>
                <w:szCs w:val="22"/>
              </w:rPr>
              <w:t xml:space="preserve"> (на ежемесячной основе и/или по окончании срока Вклада)</w:t>
            </w:r>
          </w:p>
        </w:tc>
        <w:tc>
          <w:tcPr>
            <w:tcW w:w="9072" w:type="dxa"/>
            <w:gridSpan w:val="2"/>
            <w:vMerge/>
            <w:tcBorders>
              <w:top w:val="nil"/>
              <w:left w:val="single" w:sz="4" w:space="0" w:color="auto"/>
              <w:bottom w:val="single" w:sz="4" w:space="0" w:color="000000"/>
              <w:right w:val="single" w:sz="4" w:space="0" w:color="auto"/>
            </w:tcBorders>
            <w:vAlign w:val="center"/>
            <w:hideMark/>
          </w:tcPr>
          <w:p w14:paraId="4D5CAF42" w14:textId="77777777" w:rsidR="005B68FD" w:rsidRPr="005379F0" w:rsidRDefault="005B68FD" w:rsidP="005B68FD">
            <w:pPr>
              <w:jc w:val="center"/>
              <w:rPr>
                <w:rFonts w:ascii="Tahoma" w:hAnsi="Tahoma" w:cs="Tahoma"/>
                <w:sz w:val="22"/>
                <w:szCs w:val="22"/>
              </w:rPr>
            </w:pPr>
          </w:p>
        </w:tc>
      </w:tr>
      <w:tr w:rsidR="005B68FD" w:rsidRPr="005379F0" w14:paraId="2623CE41" w14:textId="77777777" w:rsidTr="005B68FD">
        <w:trPr>
          <w:trHeight w:val="588"/>
        </w:trPr>
        <w:tc>
          <w:tcPr>
            <w:tcW w:w="820" w:type="dxa"/>
            <w:tcBorders>
              <w:top w:val="nil"/>
              <w:left w:val="single" w:sz="4" w:space="0" w:color="auto"/>
              <w:bottom w:val="single" w:sz="4" w:space="0" w:color="auto"/>
              <w:right w:val="single" w:sz="4" w:space="0" w:color="auto"/>
            </w:tcBorders>
            <w:shd w:val="clear" w:color="000000" w:fill="FFFFFF"/>
            <w:noWrap/>
            <w:vAlign w:val="center"/>
            <w:hideMark/>
          </w:tcPr>
          <w:p w14:paraId="0F106C9E" w14:textId="77777777" w:rsidR="005B68FD" w:rsidRPr="005379F0" w:rsidRDefault="005B68FD" w:rsidP="005B68FD">
            <w:pPr>
              <w:rPr>
                <w:rFonts w:ascii="Tahoma" w:hAnsi="Tahoma" w:cs="Tahoma"/>
                <w:sz w:val="22"/>
                <w:szCs w:val="22"/>
              </w:rPr>
            </w:pPr>
            <w:r w:rsidRPr="005379F0">
              <w:rPr>
                <w:rFonts w:ascii="Tahoma" w:hAnsi="Tahoma" w:cs="Tahoma"/>
                <w:sz w:val="22"/>
                <w:szCs w:val="22"/>
              </w:rPr>
              <w:t>4.1.4.</w:t>
            </w:r>
          </w:p>
        </w:tc>
        <w:tc>
          <w:tcPr>
            <w:tcW w:w="5271" w:type="dxa"/>
            <w:tcBorders>
              <w:top w:val="nil"/>
              <w:left w:val="nil"/>
              <w:bottom w:val="single" w:sz="4" w:space="0" w:color="auto"/>
              <w:right w:val="single" w:sz="4" w:space="0" w:color="auto"/>
            </w:tcBorders>
            <w:shd w:val="clear" w:color="000000" w:fill="FFFFFF"/>
            <w:vAlign w:val="center"/>
            <w:hideMark/>
          </w:tcPr>
          <w:p w14:paraId="0423A412" w14:textId="77777777" w:rsidR="005B68FD" w:rsidRPr="005379F0" w:rsidRDefault="005B68FD" w:rsidP="005B68FD">
            <w:pPr>
              <w:rPr>
                <w:rFonts w:ascii="Tahoma" w:hAnsi="Tahoma" w:cs="Tahoma"/>
                <w:sz w:val="22"/>
                <w:szCs w:val="22"/>
              </w:rPr>
            </w:pPr>
            <w:r>
              <w:rPr>
                <w:rFonts w:ascii="Tahoma" w:hAnsi="Tahoma" w:cs="Tahoma"/>
                <w:sz w:val="22"/>
                <w:szCs w:val="22"/>
              </w:rPr>
              <w:t>при безналичном зачислении на Счет Карты пенсионных и/или социальных выплат Клиента в Отчетном периоде</w:t>
            </w:r>
            <w:r>
              <w:rPr>
                <w:rFonts w:ascii="Tahoma" w:hAnsi="Tahoma" w:cs="Tahoma"/>
                <w:sz w:val="22"/>
                <w:szCs w:val="22"/>
                <w:vertAlign w:val="superscript"/>
              </w:rPr>
              <w:t>5</w:t>
            </w:r>
          </w:p>
        </w:tc>
        <w:tc>
          <w:tcPr>
            <w:tcW w:w="9072" w:type="dxa"/>
            <w:gridSpan w:val="2"/>
            <w:vMerge/>
            <w:tcBorders>
              <w:top w:val="nil"/>
              <w:left w:val="single" w:sz="4" w:space="0" w:color="auto"/>
              <w:bottom w:val="single" w:sz="4" w:space="0" w:color="000000"/>
              <w:right w:val="single" w:sz="4" w:space="0" w:color="auto"/>
            </w:tcBorders>
            <w:vAlign w:val="center"/>
            <w:hideMark/>
          </w:tcPr>
          <w:p w14:paraId="665A02A1" w14:textId="77777777" w:rsidR="005B68FD" w:rsidRPr="005379F0" w:rsidRDefault="005B68FD" w:rsidP="005B68FD">
            <w:pPr>
              <w:jc w:val="center"/>
              <w:rPr>
                <w:rFonts w:ascii="Tahoma" w:hAnsi="Tahoma" w:cs="Tahoma"/>
                <w:sz w:val="22"/>
                <w:szCs w:val="22"/>
              </w:rPr>
            </w:pPr>
          </w:p>
        </w:tc>
      </w:tr>
      <w:tr w:rsidR="005B68FD" w:rsidRPr="005379F0" w14:paraId="2AEB68F3" w14:textId="77777777" w:rsidTr="005B68FD">
        <w:trPr>
          <w:trHeight w:val="276"/>
        </w:trPr>
        <w:tc>
          <w:tcPr>
            <w:tcW w:w="820" w:type="dxa"/>
            <w:tcBorders>
              <w:top w:val="nil"/>
              <w:left w:val="single" w:sz="4" w:space="0" w:color="auto"/>
              <w:bottom w:val="single" w:sz="4" w:space="0" w:color="auto"/>
              <w:right w:val="single" w:sz="4" w:space="0" w:color="auto"/>
            </w:tcBorders>
            <w:shd w:val="clear" w:color="000000" w:fill="FFFFFF"/>
            <w:noWrap/>
            <w:vAlign w:val="center"/>
            <w:hideMark/>
          </w:tcPr>
          <w:p w14:paraId="46AC5F71" w14:textId="77777777" w:rsidR="005B68FD" w:rsidRPr="005379F0" w:rsidRDefault="005B68FD" w:rsidP="005B68FD">
            <w:pPr>
              <w:rPr>
                <w:rFonts w:ascii="Tahoma" w:hAnsi="Tahoma" w:cs="Tahoma"/>
                <w:sz w:val="22"/>
                <w:szCs w:val="22"/>
              </w:rPr>
            </w:pPr>
            <w:r w:rsidRPr="005379F0">
              <w:rPr>
                <w:rFonts w:ascii="Tahoma" w:hAnsi="Tahoma" w:cs="Tahoma"/>
                <w:sz w:val="22"/>
                <w:szCs w:val="22"/>
              </w:rPr>
              <w:t>4.1.5.</w:t>
            </w:r>
          </w:p>
        </w:tc>
        <w:tc>
          <w:tcPr>
            <w:tcW w:w="5271" w:type="dxa"/>
            <w:tcBorders>
              <w:top w:val="nil"/>
              <w:left w:val="nil"/>
              <w:bottom w:val="single" w:sz="4" w:space="0" w:color="auto"/>
              <w:right w:val="single" w:sz="4" w:space="0" w:color="auto"/>
            </w:tcBorders>
            <w:shd w:val="clear" w:color="000000" w:fill="FFFFFF"/>
            <w:vAlign w:val="center"/>
            <w:hideMark/>
          </w:tcPr>
          <w:p w14:paraId="5DD644FF" w14:textId="77777777" w:rsidR="005B68FD" w:rsidRPr="005379F0" w:rsidRDefault="005B68FD" w:rsidP="005B68FD">
            <w:pPr>
              <w:rPr>
                <w:rFonts w:ascii="Tahoma" w:hAnsi="Tahoma" w:cs="Tahoma"/>
                <w:sz w:val="22"/>
                <w:szCs w:val="22"/>
              </w:rPr>
            </w:pPr>
            <w:r w:rsidRPr="005379F0">
              <w:rPr>
                <w:rFonts w:ascii="Tahoma" w:hAnsi="Tahoma" w:cs="Tahoma"/>
                <w:sz w:val="22"/>
                <w:szCs w:val="22"/>
              </w:rPr>
              <w:t>в иных случаях</w:t>
            </w:r>
          </w:p>
        </w:tc>
        <w:tc>
          <w:tcPr>
            <w:tcW w:w="9072" w:type="dxa"/>
            <w:gridSpan w:val="2"/>
            <w:tcBorders>
              <w:top w:val="nil"/>
              <w:left w:val="nil"/>
              <w:bottom w:val="single" w:sz="4" w:space="0" w:color="auto"/>
              <w:right w:val="single" w:sz="4" w:space="0" w:color="auto"/>
            </w:tcBorders>
            <w:shd w:val="clear" w:color="000000" w:fill="FFFFFF"/>
            <w:vAlign w:val="center"/>
            <w:hideMark/>
          </w:tcPr>
          <w:p w14:paraId="0021C767"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2%</w:t>
            </w:r>
          </w:p>
        </w:tc>
      </w:tr>
      <w:tr w:rsidR="005B68FD" w:rsidRPr="005379F0" w14:paraId="0A380E50" w14:textId="77777777" w:rsidTr="005B68FD">
        <w:trPr>
          <w:trHeight w:val="540"/>
        </w:trPr>
        <w:tc>
          <w:tcPr>
            <w:tcW w:w="820" w:type="dxa"/>
            <w:tcBorders>
              <w:top w:val="nil"/>
              <w:left w:val="single" w:sz="4" w:space="0" w:color="auto"/>
              <w:bottom w:val="single" w:sz="4" w:space="0" w:color="auto"/>
              <w:right w:val="single" w:sz="4" w:space="0" w:color="auto"/>
            </w:tcBorders>
            <w:shd w:val="clear" w:color="000000" w:fill="FFFFFF"/>
            <w:noWrap/>
            <w:vAlign w:val="center"/>
            <w:hideMark/>
          </w:tcPr>
          <w:p w14:paraId="24260467" w14:textId="77777777" w:rsidR="005B68FD" w:rsidRPr="005379F0" w:rsidRDefault="005B68FD" w:rsidP="005B68FD">
            <w:pPr>
              <w:rPr>
                <w:rFonts w:ascii="Tahoma" w:hAnsi="Tahoma" w:cs="Tahoma"/>
                <w:sz w:val="22"/>
                <w:szCs w:val="22"/>
              </w:rPr>
            </w:pPr>
            <w:r w:rsidRPr="005379F0">
              <w:rPr>
                <w:rFonts w:ascii="Tahoma" w:hAnsi="Tahoma" w:cs="Tahoma"/>
                <w:sz w:val="22"/>
                <w:szCs w:val="22"/>
              </w:rPr>
              <w:t>4.2.</w:t>
            </w:r>
          </w:p>
        </w:tc>
        <w:tc>
          <w:tcPr>
            <w:tcW w:w="5271" w:type="dxa"/>
            <w:tcBorders>
              <w:top w:val="nil"/>
              <w:left w:val="nil"/>
              <w:bottom w:val="single" w:sz="4" w:space="0" w:color="auto"/>
              <w:right w:val="single" w:sz="4" w:space="0" w:color="auto"/>
            </w:tcBorders>
            <w:shd w:val="clear" w:color="auto" w:fill="auto"/>
            <w:vAlign w:val="center"/>
            <w:hideMark/>
          </w:tcPr>
          <w:p w14:paraId="6183A846" w14:textId="77777777" w:rsidR="005B68FD" w:rsidRPr="005379F0" w:rsidRDefault="005B68FD" w:rsidP="005B68FD">
            <w:pPr>
              <w:rPr>
                <w:rFonts w:ascii="Tahoma" w:hAnsi="Tahoma" w:cs="Tahoma"/>
                <w:sz w:val="22"/>
                <w:szCs w:val="22"/>
              </w:rPr>
            </w:pPr>
            <w:r w:rsidRPr="005379F0">
              <w:rPr>
                <w:rFonts w:ascii="Tahoma" w:hAnsi="Tahoma" w:cs="Tahoma"/>
                <w:sz w:val="22"/>
                <w:szCs w:val="22"/>
              </w:rPr>
              <w:t>периодичность выплаты процентов</w:t>
            </w:r>
          </w:p>
        </w:tc>
        <w:tc>
          <w:tcPr>
            <w:tcW w:w="9072" w:type="dxa"/>
            <w:gridSpan w:val="2"/>
            <w:tcBorders>
              <w:top w:val="single" w:sz="4" w:space="0" w:color="auto"/>
              <w:left w:val="nil"/>
              <w:bottom w:val="single" w:sz="4" w:space="0" w:color="auto"/>
              <w:right w:val="single" w:sz="4" w:space="0" w:color="auto"/>
            </w:tcBorders>
            <w:shd w:val="clear" w:color="auto" w:fill="auto"/>
            <w:vAlign w:val="center"/>
            <w:hideMark/>
          </w:tcPr>
          <w:p w14:paraId="12DB82DD"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ЕЖЕМЕСЯЧНО в дату, соответствующую дате открытия Счета Карты</w:t>
            </w:r>
            <w:r w:rsidRPr="00430968">
              <w:rPr>
                <w:rFonts w:ascii="Tahoma" w:hAnsi="Tahoma" w:cs="Tahoma"/>
                <w:sz w:val="22"/>
                <w:szCs w:val="22"/>
                <w:vertAlign w:val="superscript"/>
              </w:rPr>
              <w:t>8</w:t>
            </w:r>
          </w:p>
        </w:tc>
      </w:tr>
      <w:tr w:rsidR="005B68FD" w:rsidRPr="005379F0" w14:paraId="1851754E" w14:textId="77777777" w:rsidTr="005B68FD">
        <w:trPr>
          <w:trHeight w:val="345"/>
        </w:trPr>
        <w:tc>
          <w:tcPr>
            <w:tcW w:w="820" w:type="dxa"/>
            <w:tcBorders>
              <w:top w:val="nil"/>
              <w:left w:val="single" w:sz="4" w:space="0" w:color="auto"/>
              <w:bottom w:val="single" w:sz="4" w:space="0" w:color="auto"/>
              <w:right w:val="single" w:sz="4" w:space="0" w:color="auto"/>
            </w:tcBorders>
            <w:shd w:val="clear" w:color="000000" w:fill="595959"/>
            <w:noWrap/>
            <w:vAlign w:val="center"/>
            <w:hideMark/>
          </w:tcPr>
          <w:p w14:paraId="2389C51E" w14:textId="77777777" w:rsidR="005B68FD" w:rsidRPr="00C248C2" w:rsidRDefault="005B68FD" w:rsidP="005B68FD">
            <w:pPr>
              <w:rPr>
                <w:rFonts w:ascii="Tahoma" w:hAnsi="Tahoma" w:cs="Tahoma"/>
                <w:b/>
                <w:color w:val="FFFFFF" w:themeColor="background1"/>
                <w:sz w:val="22"/>
                <w:szCs w:val="22"/>
              </w:rPr>
            </w:pPr>
            <w:r w:rsidRPr="00C248C2">
              <w:rPr>
                <w:rFonts w:ascii="Tahoma" w:hAnsi="Tahoma" w:cs="Tahoma"/>
                <w:b/>
                <w:color w:val="FFFFFF" w:themeColor="background1"/>
                <w:sz w:val="22"/>
                <w:szCs w:val="22"/>
              </w:rPr>
              <w:t>5.</w:t>
            </w:r>
          </w:p>
        </w:tc>
        <w:tc>
          <w:tcPr>
            <w:tcW w:w="14343" w:type="dxa"/>
            <w:gridSpan w:val="3"/>
            <w:tcBorders>
              <w:top w:val="single" w:sz="4" w:space="0" w:color="auto"/>
              <w:left w:val="nil"/>
              <w:bottom w:val="single" w:sz="4" w:space="0" w:color="auto"/>
              <w:right w:val="nil"/>
            </w:tcBorders>
            <w:shd w:val="clear" w:color="000000" w:fill="595959"/>
            <w:noWrap/>
            <w:vAlign w:val="center"/>
            <w:hideMark/>
          </w:tcPr>
          <w:p w14:paraId="775BD042" w14:textId="77777777" w:rsidR="005B68FD" w:rsidRPr="00C248C2" w:rsidRDefault="005B68FD" w:rsidP="005B68FD">
            <w:pPr>
              <w:rPr>
                <w:rFonts w:ascii="Tahoma" w:hAnsi="Tahoma" w:cs="Tahoma"/>
                <w:b/>
                <w:color w:val="FFFFFF" w:themeColor="background1"/>
                <w:sz w:val="22"/>
                <w:szCs w:val="22"/>
              </w:rPr>
            </w:pPr>
            <w:r w:rsidRPr="00C248C2">
              <w:rPr>
                <w:rFonts w:ascii="Tahoma" w:hAnsi="Tahoma" w:cs="Tahoma"/>
                <w:b/>
                <w:color w:val="FFFFFF" w:themeColor="background1"/>
                <w:sz w:val="22"/>
                <w:szCs w:val="22"/>
              </w:rPr>
              <w:t>Лимит кредитования (при волеизъявлении Клиента)</w:t>
            </w:r>
          </w:p>
        </w:tc>
      </w:tr>
      <w:tr w:rsidR="005B68FD" w:rsidRPr="005379F0" w14:paraId="1757E932" w14:textId="77777777" w:rsidTr="005B68FD">
        <w:trPr>
          <w:trHeight w:val="28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080DF899" w14:textId="77777777" w:rsidR="005B68FD" w:rsidRPr="005379F0" w:rsidRDefault="005B68FD" w:rsidP="005B68FD">
            <w:pPr>
              <w:rPr>
                <w:rFonts w:ascii="Tahoma" w:hAnsi="Tahoma" w:cs="Tahoma"/>
                <w:sz w:val="22"/>
                <w:szCs w:val="22"/>
              </w:rPr>
            </w:pPr>
            <w:r w:rsidRPr="005379F0">
              <w:rPr>
                <w:rFonts w:ascii="Tahoma" w:hAnsi="Tahoma" w:cs="Tahoma"/>
                <w:sz w:val="22"/>
                <w:szCs w:val="22"/>
              </w:rPr>
              <w:t>5.1.</w:t>
            </w:r>
          </w:p>
        </w:tc>
        <w:tc>
          <w:tcPr>
            <w:tcW w:w="5271" w:type="dxa"/>
            <w:tcBorders>
              <w:top w:val="nil"/>
              <w:left w:val="nil"/>
              <w:bottom w:val="single" w:sz="4" w:space="0" w:color="auto"/>
              <w:right w:val="single" w:sz="4" w:space="0" w:color="auto"/>
            </w:tcBorders>
            <w:shd w:val="clear" w:color="auto" w:fill="auto"/>
            <w:vAlign w:val="center"/>
            <w:hideMark/>
          </w:tcPr>
          <w:p w14:paraId="1B06AF18" w14:textId="77777777" w:rsidR="005B68FD" w:rsidRPr="005379F0" w:rsidRDefault="005B68FD" w:rsidP="005B68FD">
            <w:pPr>
              <w:rPr>
                <w:rFonts w:ascii="Tahoma" w:hAnsi="Tahoma" w:cs="Tahoma"/>
                <w:sz w:val="22"/>
                <w:szCs w:val="22"/>
              </w:rPr>
            </w:pPr>
            <w:r w:rsidRPr="005379F0">
              <w:rPr>
                <w:rFonts w:ascii="Tahoma" w:hAnsi="Tahoma" w:cs="Tahoma"/>
                <w:sz w:val="22"/>
                <w:szCs w:val="22"/>
              </w:rPr>
              <w:t>Лимит кредитования</w:t>
            </w:r>
          </w:p>
        </w:tc>
        <w:tc>
          <w:tcPr>
            <w:tcW w:w="9072" w:type="dxa"/>
            <w:gridSpan w:val="2"/>
            <w:tcBorders>
              <w:top w:val="nil"/>
              <w:left w:val="nil"/>
              <w:bottom w:val="single" w:sz="4" w:space="0" w:color="auto"/>
              <w:right w:val="single" w:sz="4" w:space="0" w:color="auto"/>
            </w:tcBorders>
            <w:shd w:val="clear" w:color="000000" w:fill="FFFFFF"/>
            <w:vAlign w:val="center"/>
            <w:hideMark/>
          </w:tcPr>
          <w:p w14:paraId="6A77F752"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не предоставляется</w:t>
            </w:r>
          </w:p>
        </w:tc>
      </w:tr>
      <w:tr w:rsidR="005B68FD" w:rsidRPr="005379F0" w14:paraId="4C8D8956" w14:textId="77777777" w:rsidTr="005B68FD">
        <w:trPr>
          <w:trHeight w:val="276"/>
        </w:trPr>
        <w:tc>
          <w:tcPr>
            <w:tcW w:w="820" w:type="dxa"/>
            <w:tcBorders>
              <w:top w:val="nil"/>
              <w:left w:val="single" w:sz="4" w:space="0" w:color="auto"/>
              <w:bottom w:val="single" w:sz="4" w:space="0" w:color="auto"/>
              <w:right w:val="single" w:sz="4" w:space="0" w:color="auto"/>
            </w:tcBorders>
            <w:shd w:val="clear" w:color="000000" w:fill="595959"/>
            <w:noWrap/>
            <w:vAlign w:val="center"/>
            <w:hideMark/>
          </w:tcPr>
          <w:p w14:paraId="2299E5ED" w14:textId="77777777" w:rsidR="005B68FD" w:rsidRPr="00C248C2" w:rsidRDefault="005B68FD" w:rsidP="005B68FD">
            <w:pPr>
              <w:rPr>
                <w:rFonts w:ascii="Tahoma" w:hAnsi="Tahoma" w:cs="Tahoma"/>
                <w:b/>
                <w:color w:val="FFFFFF" w:themeColor="background1"/>
                <w:sz w:val="22"/>
                <w:szCs w:val="22"/>
              </w:rPr>
            </w:pPr>
            <w:r w:rsidRPr="00C248C2">
              <w:rPr>
                <w:rFonts w:ascii="Tahoma" w:hAnsi="Tahoma" w:cs="Tahoma"/>
                <w:b/>
                <w:color w:val="FFFFFF" w:themeColor="background1"/>
                <w:sz w:val="22"/>
                <w:szCs w:val="22"/>
              </w:rPr>
              <w:t>6.</w:t>
            </w:r>
          </w:p>
        </w:tc>
        <w:tc>
          <w:tcPr>
            <w:tcW w:w="14343" w:type="dxa"/>
            <w:gridSpan w:val="3"/>
            <w:tcBorders>
              <w:top w:val="single" w:sz="4" w:space="0" w:color="auto"/>
              <w:left w:val="nil"/>
              <w:bottom w:val="single" w:sz="4" w:space="0" w:color="auto"/>
              <w:right w:val="nil"/>
            </w:tcBorders>
            <w:shd w:val="clear" w:color="000000" w:fill="595959"/>
            <w:noWrap/>
            <w:vAlign w:val="center"/>
            <w:hideMark/>
          </w:tcPr>
          <w:p w14:paraId="051688DF" w14:textId="77777777" w:rsidR="005B68FD" w:rsidRPr="00C248C2" w:rsidRDefault="005B68FD" w:rsidP="005B68FD">
            <w:pPr>
              <w:rPr>
                <w:rFonts w:ascii="Tahoma" w:hAnsi="Tahoma" w:cs="Tahoma"/>
                <w:b/>
                <w:color w:val="FFFFFF" w:themeColor="background1"/>
                <w:sz w:val="22"/>
                <w:szCs w:val="22"/>
              </w:rPr>
            </w:pPr>
            <w:r w:rsidRPr="00C248C2">
              <w:rPr>
                <w:rFonts w:ascii="Tahoma" w:hAnsi="Tahoma" w:cs="Tahoma"/>
                <w:b/>
                <w:color w:val="FFFFFF" w:themeColor="background1"/>
                <w:sz w:val="22"/>
                <w:szCs w:val="22"/>
              </w:rPr>
              <w:t>Условия обслуживания операций с наличными денежными средствами с использованием Карты</w:t>
            </w:r>
          </w:p>
        </w:tc>
      </w:tr>
      <w:tr w:rsidR="005B68FD" w:rsidRPr="005379F0" w14:paraId="185D6BD3" w14:textId="77777777" w:rsidTr="005B68FD">
        <w:trPr>
          <w:trHeight w:val="564"/>
        </w:trPr>
        <w:tc>
          <w:tcPr>
            <w:tcW w:w="820" w:type="dxa"/>
            <w:tcBorders>
              <w:top w:val="nil"/>
              <w:left w:val="single" w:sz="4" w:space="0" w:color="auto"/>
              <w:bottom w:val="single" w:sz="4" w:space="0" w:color="auto"/>
              <w:right w:val="single" w:sz="4" w:space="0" w:color="auto"/>
            </w:tcBorders>
            <w:shd w:val="clear" w:color="000000" w:fill="595959"/>
            <w:noWrap/>
            <w:vAlign w:val="center"/>
            <w:hideMark/>
          </w:tcPr>
          <w:p w14:paraId="6CDA762A" w14:textId="77777777" w:rsidR="005B68FD" w:rsidRPr="00C248C2" w:rsidRDefault="005B68FD" w:rsidP="005B68FD">
            <w:pPr>
              <w:rPr>
                <w:rFonts w:ascii="Tahoma" w:hAnsi="Tahoma" w:cs="Tahoma"/>
                <w:b/>
                <w:color w:val="FFFFFF" w:themeColor="background1"/>
                <w:sz w:val="22"/>
                <w:szCs w:val="22"/>
              </w:rPr>
            </w:pPr>
            <w:r w:rsidRPr="00C248C2">
              <w:rPr>
                <w:rFonts w:ascii="Tahoma" w:hAnsi="Tahoma" w:cs="Tahoma"/>
                <w:b/>
                <w:color w:val="FFFFFF" w:themeColor="background1"/>
                <w:sz w:val="22"/>
                <w:szCs w:val="22"/>
              </w:rPr>
              <w:t>6.1.</w:t>
            </w:r>
          </w:p>
        </w:tc>
        <w:tc>
          <w:tcPr>
            <w:tcW w:w="14343" w:type="dxa"/>
            <w:gridSpan w:val="3"/>
            <w:tcBorders>
              <w:top w:val="single" w:sz="4" w:space="0" w:color="auto"/>
              <w:left w:val="nil"/>
              <w:bottom w:val="single" w:sz="4" w:space="0" w:color="auto"/>
              <w:right w:val="nil"/>
            </w:tcBorders>
            <w:shd w:val="clear" w:color="000000" w:fill="595959"/>
            <w:vAlign w:val="center"/>
            <w:hideMark/>
          </w:tcPr>
          <w:p w14:paraId="13F425DE" w14:textId="77777777" w:rsidR="005B68FD" w:rsidRPr="00430968" w:rsidRDefault="005B68FD" w:rsidP="005B68FD">
            <w:pPr>
              <w:rPr>
                <w:rFonts w:ascii="Tahoma" w:hAnsi="Tahoma" w:cs="Tahoma"/>
                <w:b/>
                <w:bCs/>
                <w:color w:val="FFFFFF"/>
                <w:sz w:val="22"/>
                <w:szCs w:val="22"/>
              </w:rPr>
            </w:pPr>
            <w:r>
              <w:rPr>
                <w:rFonts w:ascii="Tahoma" w:hAnsi="Tahoma" w:cs="Tahoma"/>
                <w:b/>
                <w:bCs/>
                <w:color w:val="FFFFFF"/>
                <w:sz w:val="22"/>
                <w:szCs w:val="22"/>
              </w:rPr>
              <w:t>Лимиты совершения операций выдачи наличных в банкоматах и в пунктах выдачи наличных любых банков, в т.ч. Банка</w:t>
            </w:r>
            <w:r>
              <w:rPr>
                <w:rFonts w:ascii="Tahoma" w:hAnsi="Tahoma" w:cs="Tahoma"/>
                <w:b/>
                <w:bCs/>
                <w:color w:val="FFFFFF"/>
                <w:sz w:val="22"/>
                <w:szCs w:val="22"/>
                <w:vertAlign w:val="superscript"/>
              </w:rPr>
              <w:t>3,9</w:t>
            </w:r>
            <w:r>
              <w:rPr>
                <w:rFonts w:ascii="Tahoma" w:hAnsi="Tahoma" w:cs="Tahoma"/>
                <w:b/>
                <w:bCs/>
                <w:color w:val="FFFFFF"/>
                <w:sz w:val="22"/>
                <w:szCs w:val="22"/>
              </w:rPr>
              <w:t>, с одной Карты Клиента (основной и дополнительной)</w:t>
            </w:r>
          </w:p>
        </w:tc>
      </w:tr>
      <w:tr w:rsidR="005B68FD" w:rsidRPr="005379F0" w14:paraId="3C814B1B" w14:textId="77777777" w:rsidTr="005B68FD">
        <w:trPr>
          <w:trHeight w:val="276"/>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52FE3DA4" w14:textId="77777777" w:rsidR="005B68FD" w:rsidRPr="005379F0" w:rsidRDefault="005B68FD" w:rsidP="005B68FD">
            <w:pPr>
              <w:rPr>
                <w:rFonts w:ascii="Tahoma" w:hAnsi="Tahoma" w:cs="Tahoma"/>
                <w:sz w:val="22"/>
                <w:szCs w:val="22"/>
              </w:rPr>
            </w:pPr>
            <w:r w:rsidRPr="005379F0">
              <w:rPr>
                <w:rFonts w:ascii="Tahoma" w:hAnsi="Tahoma" w:cs="Tahoma"/>
                <w:sz w:val="22"/>
                <w:szCs w:val="22"/>
              </w:rPr>
              <w:t>6.1.1.</w:t>
            </w:r>
          </w:p>
        </w:tc>
        <w:tc>
          <w:tcPr>
            <w:tcW w:w="5271" w:type="dxa"/>
            <w:tcBorders>
              <w:top w:val="nil"/>
              <w:left w:val="nil"/>
              <w:bottom w:val="single" w:sz="4" w:space="0" w:color="auto"/>
              <w:right w:val="nil"/>
            </w:tcBorders>
            <w:shd w:val="clear" w:color="auto" w:fill="auto"/>
            <w:vAlign w:val="center"/>
            <w:hideMark/>
          </w:tcPr>
          <w:p w14:paraId="7E8F9B0F" w14:textId="77777777" w:rsidR="005B68FD" w:rsidRPr="005379F0" w:rsidRDefault="005B68FD" w:rsidP="005B68FD">
            <w:pPr>
              <w:rPr>
                <w:rFonts w:ascii="Tahoma" w:hAnsi="Tahoma" w:cs="Tahoma"/>
                <w:sz w:val="22"/>
                <w:szCs w:val="22"/>
              </w:rPr>
            </w:pPr>
            <w:r w:rsidRPr="005379F0">
              <w:rPr>
                <w:rFonts w:ascii="Tahoma" w:hAnsi="Tahoma" w:cs="Tahoma"/>
                <w:sz w:val="22"/>
                <w:szCs w:val="22"/>
              </w:rPr>
              <w:t>ежедневно (с 00 до 24ч. Московского времени)</w:t>
            </w:r>
          </w:p>
        </w:tc>
        <w:tc>
          <w:tcPr>
            <w:tcW w:w="9072" w:type="dxa"/>
            <w:gridSpan w:val="2"/>
            <w:tcBorders>
              <w:top w:val="nil"/>
              <w:left w:val="single" w:sz="4" w:space="0" w:color="auto"/>
              <w:bottom w:val="single" w:sz="4" w:space="0" w:color="auto"/>
              <w:right w:val="single" w:sz="4" w:space="0" w:color="auto"/>
            </w:tcBorders>
            <w:shd w:val="clear" w:color="000000" w:fill="FFFFFF"/>
            <w:vAlign w:val="center"/>
            <w:hideMark/>
          </w:tcPr>
          <w:p w14:paraId="663C9086"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200 000 рублей</w:t>
            </w:r>
          </w:p>
        </w:tc>
      </w:tr>
      <w:tr w:rsidR="005B68FD" w:rsidRPr="005379F0" w14:paraId="6AAD3245" w14:textId="77777777" w:rsidTr="005B68FD">
        <w:trPr>
          <w:trHeight w:val="276"/>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472B3043" w14:textId="77777777" w:rsidR="005B68FD" w:rsidRPr="005379F0" w:rsidRDefault="005B68FD" w:rsidP="005B68FD">
            <w:pPr>
              <w:rPr>
                <w:rFonts w:ascii="Tahoma" w:hAnsi="Tahoma" w:cs="Tahoma"/>
                <w:sz w:val="22"/>
                <w:szCs w:val="22"/>
              </w:rPr>
            </w:pPr>
            <w:r w:rsidRPr="005379F0">
              <w:rPr>
                <w:rFonts w:ascii="Tahoma" w:hAnsi="Tahoma" w:cs="Tahoma"/>
                <w:sz w:val="22"/>
                <w:szCs w:val="22"/>
              </w:rPr>
              <w:t>6.1.2.</w:t>
            </w:r>
          </w:p>
        </w:tc>
        <w:tc>
          <w:tcPr>
            <w:tcW w:w="5271" w:type="dxa"/>
            <w:tcBorders>
              <w:top w:val="nil"/>
              <w:left w:val="nil"/>
              <w:bottom w:val="single" w:sz="4" w:space="0" w:color="auto"/>
              <w:right w:val="nil"/>
            </w:tcBorders>
            <w:shd w:val="clear" w:color="auto" w:fill="auto"/>
            <w:vAlign w:val="center"/>
            <w:hideMark/>
          </w:tcPr>
          <w:p w14:paraId="5EE751EE" w14:textId="77777777" w:rsidR="005B68FD" w:rsidRPr="005379F0" w:rsidRDefault="005B68FD" w:rsidP="005B68FD">
            <w:pPr>
              <w:rPr>
                <w:rFonts w:ascii="Tahoma" w:hAnsi="Tahoma" w:cs="Tahoma"/>
                <w:sz w:val="22"/>
                <w:szCs w:val="22"/>
              </w:rPr>
            </w:pPr>
            <w:r w:rsidRPr="005379F0">
              <w:rPr>
                <w:rFonts w:ascii="Tahoma" w:hAnsi="Tahoma" w:cs="Tahoma"/>
                <w:sz w:val="22"/>
                <w:szCs w:val="22"/>
              </w:rPr>
              <w:t>ежемесячно (в течение календарного месяца)</w:t>
            </w:r>
          </w:p>
        </w:tc>
        <w:tc>
          <w:tcPr>
            <w:tcW w:w="9072" w:type="dxa"/>
            <w:gridSpan w:val="2"/>
            <w:tcBorders>
              <w:top w:val="nil"/>
              <w:left w:val="single" w:sz="4" w:space="0" w:color="auto"/>
              <w:bottom w:val="single" w:sz="4" w:space="0" w:color="auto"/>
              <w:right w:val="single" w:sz="4" w:space="0" w:color="auto"/>
            </w:tcBorders>
            <w:shd w:val="clear" w:color="000000" w:fill="FFFFFF"/>
            <w:vAlign w:val="center"/>
            <w:hideMark/>
          </w:tcPr>
          <w:p w14:paraId="6B3EFE43"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400 000 рублей</w:t>
            </w:r>
          </w:p>
        </w:tc>
      </w:tr>
      <w:tr w:rsidR="005B68FD" w:rsidRPr="005379F0" w14:paraId="72E53E49" w14:textId="77777777" w:rsidTr="005B68FD">
        <w:trPr>
          <w:trHeight w:val="624"/>
        </w:trPr>
        <w:tc>
          <w:tcPr>
            <w:tcW w:w="820" w:type="dxa"/>
            <w:tcBorders>
              <w:top w:val="nil"/>
              <w:left w:val="single" w:sz="4" w:space="0" w:color="auto"/>
              <w:bottom w:val="single" w:sz="4" w:space="0" w:color="auto"/>
              <w:right w:val="single" w:sz="4" w:space="0" w:color="auto"/>
            </w:tcBorders>
            <w:shd w:val="clear" w:color="000000" w:fill="595959"/>
            <w:noWrap/>
            <w:vAlign w:val="center"/>
            <w:hideMark/>
          </w:tcPr>
          <w:p w14:paraId="116E6A7E" w14:textId="77777777" w:rsidR="005B68FD" w:rsidRPr="00C248C2" w:rsidRDefault="005B68FD" w:rsidP="005B68FD">
            <w:pPr>
              <w:rPr>
                <w:rFonts w:ascii="Tahoma" w:hAnsi="Tahoma" w:cs="Tahoma"/>
                <w:b/>
                <w:color w:val="FFFFFF" w:themeColor="background1"/>
                <w:sz w:val="22"/>
                <w:szCs w:val="22"/>
              </w:rPr>
            </w:pPr>
            <w:r w:rsidRPr="00C248C2">
              <w:rPr>
                <w:rFonts w:ascii="Tahoma" w:hAnsi="Tahoma" w:cs="Tahoma"/>
                <w:b/>
                <w:color w:val="FFFFFF" w:themeColor="background1"/>
                <w:sz w:val="22"/>
                <w:szCs w:val="22"/>
              </w:rPr>
              <w:t>6.2.</w:t>
            </w:r>
          </w:p>
        </w:tc>
        <w:tc>
          <w:tcPr>
            <w:tcW w:w="14343" w:type="dxa"/>
            <w:gridSpan w:val="3"/>
            <w:tcBorders>
              <w:top w:val="single" w:sz="4" w:space="0" w:color="auto"/>
              <w:left w:val="nil"/>
              <w:bottom w:val="single" w:sz="4" w:space="0" w:color="auto"/>
              <w:right w:val="nil"/>
            </w:tcBorders>
            <w:shd w:val="clear" w:color="000000" w:fill="595959"/>
            <w:vAlign w:val="center"/>
            <w:hideMark/>
          </w:tcPr>
          <w:p w14:paraId="53F82D0D" w14:textId="77777777" w:rsidR="005B68FD" w:rsidRPr="00C248C2" w:rsidRDefault="005B68FD" w:rsidP="005B68FD">
            <w:pPr>
              <w:rPr>
                <w:rFonts w:ascii="Tahoma" w:hAnsi="Tahoma" w:cs="Tahoma"/>
                <w:b/>
                <w:color w:val="FFFFFF" w:themeColor="background1"/>
                <w:sz w:val="22"/>
                <w:szCs w:val="22"/>
              </w:rPr>
            </w:pPr>
            <w:r w:rsidRPr="00C248C2">
              <w:rPr>
                <w:rFonts w:ascii="Tahoma" w:hAnsi="Tahoma" w:cs="Tahoma"/>
                <w:b/>
                <w:color w:val="FFFFFF" w:themeColor="background1"/>
                <w:sz w:val="22"/>
                <w:szCs w:val="22"/>
              </w:rPr>
              <w:t>Лимиты выдачи наличных в ТСП</w:t>
            </w:r>
            <w:r w:rsidRPr="00430968">
              <w:rPr>
                <w:rFonts w:ascii="Tahoma" w:hAnsi="Tahoma" w:cs="Tahoma"/>
                <w:b/>
                <w:color w:val="FFFFFF" w:themeColor="background1"/>
                <w:sz w:val="22"/>
                <w:szCs w:val="22"/>
                <w:vertAlign w:val="superscript"/>
              </w:rPr>
              <w:t>6</w:t>
            </w:r>
            <w:r w:rsidRPr="00C248C2">
              <w:rPr>
                <w:rFonts w:ascii="Tahoma" w:hAnsi="Tahoma" w:cs="Tahoma"/>
                <w:b/>
                <w:color w:val="FFFFFF" w:themeColor="background1"/>
                <w:sz w:val="22"/>
                <w:szCs w:val="22"/>
              </w:rPr>
              <w:t>, предоставляющих услугу выдачи наличных денежных средств при совершении покупки, с одного Счета Карты Клиента</w:t>
            </w:r>
          </w:p>
        </w:tc>
      </w:tr>
      <w:tr w:rsidR="005B68FD" w:rsidRPr="005379F0" w14:paraId="24DA8908" w14:textId="77777777" w:rsidTr="005B68FD">
        <w:trPr>
          <w:trHeight w:val="49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5F936C4E" w14:textId="77777777" w:rsidR="005B68FD" w:rsidRPr="005379F0" w:rsidRDefault="005B68FD" w:rsidP="005B68FD">
            <w:pPr>
              <w:rPr>
                <w:rFonts w:ascii="Tahoma" w:hAnsi="Tahoma" w:cs="Tahoma"/>
                <w:sz w:val="22"/>
                <w:szCs w:val="22"/>
              </w:rPr>
            </w:pPr>
            <w:r w:rsidRPr="005379F0">
              <w:rPr>
                <w:rFonts w:ascii="Tahoma" w:hAnsi="Tahoma" w:cs="Tahoma"/>
                <w:sz w:val="22"/>
                <w:szCs w:val="22"/>
              </w:rPr>
              <w:t>6.2.1.</w:t>
            </w:r>
          </w:p>
        </w:tc>
        <w:tc>
          <w:tcPr>
            <w:tcW w:w="5271" w:type="dxa"/>
            <w:tcBorders>
              <w:top w:val="nil"/>
              <w:left w:val="nil"/>
              <w:bottom w:val="single" w:sz="4" w:space="0" w:color="auto"/>
              <w:right w:val="nil"/>
            </w:tcBorders>
            <w:shd w:val="clear" w:color="000000" w:fill="FFFFFF"/>
            <w:vAlign w:val="center"/>
            <w:hideMark/>
          </w:tcPr>
          <w:p w14:paraId="35AEDADB" w14:textId="77777777" w:rsidR="005B68FD" w:rsidRPr="005379F0" w:rsidRDefault="005B68FD" w:rsidP="005B68FD">
            <w:pPr>
              <w:rPr>
                <w:rFonts w:ascii="Tahoma" w:hAnsi="Tahoma" w:cs="Tahoma"/>
                <w:sz w:val="22"/>
                <w:szCs w:val="22"/>
              </w:rPr>
            </w:pPr>
            <w:r w:rsidRPr="005379F0">
              <w:rPr>
                <w:rFonts w:ascii="Tahoma" w:hAnsi="Tahoma" w:cs="Tahoma"/>
                <w:sz w:val="22"/>
                <w:szCs w:val="22"/>
              </w:rPr>
              <w:t>ежедневно (с 00 до 24 ч. московского времени)</w:t>
            </w:r>
          </w:p>
        </w:tc>
        <w:tc>
          <w:tcPr>
            <w:tcW w:w="9072" w:type="dxa"/>
            <w:gridSpan w:val="2"/>
            <w:tcBorders>
              <w:top w:val="nil"/>
              <w:left w:val="single" w:sz="4" w:space="0" w:color="auto"/>
              <w:bottom w:val="single" w:sz="4" w:space="0" w:color="auto"/>
              <w:right w:val="single" w:sz="4" w:space="0" w:color="auto"/>
            </w:tcBorders>
            <w:shd w:val="clear" w:color="auto" w:fill="auto"/>
            <w:noWrap/>
            <w:vAlign w:val="center"/>
            <w:hideMark/>
          </w:tcPr>
          <w:p w14:paraId="100EDA54" w14:textId="77777777" w:rsidR="005B68FD" w:rsidRDefault="005B68FD" w:rsidP="005B68FD">
            <w:pPr>
              <w:jc w:val="center"/>
              <w:rPr>
                <w:rFonts w:ascii="Tahoma" w:hAnsi="Tahoma" w:cs="Tahoma"/>
                <w:color w:val="000000"/>
                <w:sz w:val="22"/>
                <w:szCs w:val="22"/>
              </w:rPr>
            </w:pPr>
            <w:r>
              <w:rPr>
                <w:rFonts w:ascii="Tahoma" w:hAnsi="Tahoma" w:cs="Tahoma"/>
                <w:color w:val="000000"/>
                <w:sz w:val="22"/>
                <w:szCs w:val="22"/>
              </w:rPr>
              <w:t>5 000 рублей</w:t>
            </w:r>
            <w:r>
              <w:rPr>
                <w:rFonts w:ascii="Tahoma" w:hAnsi="Tahoma" w:cs="Tahoma"/>
                <w:color w:val="000000"/>
                <w:sz w:val="22"/>
                <w:szCs w:val="22"/>
                <w:vertAlign w:val="superscript"/>
              </w:rPr>
              <w:t>10</w:t>
            </w:r>
          </w:p>
        </w:tc>
      </w:tr>
      <w:tr w:rsidR="005B68FD" w:rsidRPr="005379F0" w14:paraId="6EABFD37" w14:textId="77777777" w:rsidTr="005B68FD">
        <w:trPr>
          <w:trHeight w:val="465"/>
        </w:trPr>
        <w:tc>
          <w:tcPr>
            <w:tcW w:w="820" w:type="dxa"/>
            <w:tcBorders>
              <w:top w:val="nil"/>
              <w:left w:val="single" w:sz="4" w:space="0" w:color="auto"/>
              <w:bottom w:val="single" w:sz="4" w:space="0" w:color="auto"/>
              <w:right w:val="single" w:sz="4" w:space="0" w:color="auto"/>
            </w:tcBorders>
            <w:shd w:val="clear" w:color="000000" w:fill="FFFFFF"/>
            <w:noWrap/>
            <w:vAlign w:val="center"/>
            <w:hideMark/>
          </w:tcPr>
          <w:p w14:paraId="6EC7BA71" w14:textId="77777777" w:rsidR="005B68FD" w:rsidRPr="005379F0" w:rsidRDefault="005B68FD" w:rsidP="005B68FD">
            <w:pPr>
              <w:rPr>
                <w:rFonts w:ascii="Tahoma" w:hAnsi="Tahoma" w:cs="Tahoma"/>
                <w:sz w:val="22"/>
                <w:szCs w:val="22"/>
              </w:rPr>
            </w:pPr>
            <w:r w:rsidRPr="005379F0">
              <w:rPr>
                <w:rFonts w:ascii="Tahoma" w:hAnsi="Tahoma" w:cs="Tahoma"/>
                <w:sz w:val="22"/>
                <w:szCs w:val="22"/>
              </w:rPr>
              <w:t>6.2.2.</w:t>
            </w:r>
          </w:p>
        </w:tc>
        <w:tc>
          <w:tcPr>
            <w:tcW w:w="5271" w:type="dxa"/>
            <w:tcBorders>
              <w:top w:val="nil"/>
              <w:left w:val="nil"/>
              <w:bottom w:val="single" w:sz="4" w:space="0" w:color="auto"/>
              <w:right w:val="nil"/>
            </w:tcBorders>
            <w:shd w:val="clear" w:color="000000" w:fill="FFFFFF"/>
            <w:vAlign w:val="center"/>
            <w:hideMark/>
          </w:tcPr>
          <w:p w14:paraId="7F486646" w14:textId="77777777" w:rsidR="005B68FD" w:rsidRPr="005379F0" w:rsidRDefault="005B68FD" w:rsidP="005B68FD">
            <w:pPr>
              <w:rPr>
                <w:rFonts w:ascii="Tahoma" w:hAnsi="Tahoma" w:cs="Tahoma"/>
                <w:sz w:val="22"/>
                <w:szCs w:val="22"/>
              </w:rPr>
            </w:pPr>
            <w:r>
              <w:rPr>
                <w:rFonts w:ascii="Tahoma" w:hAnsi="Tahoma" w:cs="Tahoma"/>
                <w:sz w:val="22"/>
                <w:szCs w:val="22"/>
              </w:rPr>
              <w:t>ежемесячно (с 00 часов 1-го числа до 24 часов последнего числа месяца (включительно))</w:t>
            </w:r>
          </w:p>
        </w:tc>
        <w:tc>
          <w:tcPr>
            <w:tcW w:w="9072" w:type="dxa"/>
            <w:gridSpan w:val="2"/>
            <w:tcBorders>
              <w:top w:val="nil"/>
              <w:left w:val="single" w:sz="4" w:space="0" w:color="auto"/>
              <w:bottom w:val="single" w:sz="4" w:space="0" w:color="auto"/>
              <w:right w:val="single" w:sz="4" w:space="0" w:color="auto"/>
            </w:tcBorders>
            <w:shd w:val="clear" w:color="auto" w:fill="auto"/>
            <w:noWrap/>
            <w:vAlign w:val="center"/>
            <w:hideMark/>
          </w:tcPr>
          <w:p w14:paraId="17889AEC" w14:textId="77777777" w:rsidR="005B68FD" w:rsidRDefault="005B68FD" w:rsidP="005B68FD">
            <w:pPr>
              <w:jc w:val="center"/>
              <w:rPr>
                <w:rFonts w:ascii="Tahoma" w:hAnsi="Tahoma" w:cs="Tahoma"/>
                <w:color w:val="000000"/>
                <w:sz w:val="22"/>
                <w:szCs w:val="22"/>
              </w:rPr>
            </w:pPr>
            <w:r>
              <w:rPr>
                <w:rFonts w:ascii="Tahoma" w:hAnsi="Tahoma" w:cs="Tahoma"/>
                <w:color w:val="000000"/>
                <w:sz w:val="22"/>
                <w:szCs w:val="22"/>
              </w:rPr>
              <w:t>30 000 рублей</w:t>
            </w:r>
            <w:r>
              <w:rPr>
                <w:rFonts w:ascii="Tahoma" w:hAnsi="Tahoma" w:cs="Tahoma"/>
                <w:color w:val="000000"/>
                <w:sz w:val="22"/>
                <w:szCs w:val="22"/>
                <w:vertAlign w:val="superscript"/>
              </w:rPr>
              <w:t>10</w:t>
            </w:r>
          </w:p>
        </w:tc>
      </w:tr>
      <w:tr w:rsidR="005B68FD" w:rsidRPr="005379F0" w14:paraId="07BA2B2E" w14:textId="77777777" w:rsidTr="005B68FD">
        <w:trPr>
          <w:trHeight w:val="330"/>
        </w:trPr>
        <w:tc>
          <w:tcPr>
            <w:tcW w:w="820" w:type="dxa"/>
            <w:tcBorders>
              <w:top w:val="nil"/>
              <w:left w:val="single" w:sz="4" w:space="0" w:color="auto"/>
              <w:bottom w:val="single" w:sz="4" w:space="0" w:color="auto"/>
              <w:right w:val="single" w:sz="4" w:space="0" w:color="auto"/>
            </w:tcBorders>
            <w:shd w:val="clear" w:color="000000" w:fill="595959"/>
            <w:noWrap/>
            <w:vAlign w:val="center"/>
            <w:hideMark/>
          </w:tcPr>
          <w:p w14:paraId="571E0AA2" w14:textId="77777777" w:rsidR="005B68FD" w:rsidRPr="00C248C2" w:rsidRDefault="005B68FD" w:rsidP="005B68FD">
            <w:pPr>
              <w:rPr>
                <w:rFonts w:ascii="Tahoma" w:hAnsi="Tahoma" w:cs="Tahoma"/>
                <w:b/>
                <w:color w:val="FFFFFF" w:themeColor="background1"/>
                <w:sz w:val="22"/>
                <w:szCs w:val="22"/>
              </w:rPr>
            </w:pPr>
            <w:r w:rsidRPr="00C248C2">
              <w:rPr>
                <w:rFonts w:ascii="Tahoma" w:hAnsi="Tahoma" w:cs="Tahoma"/>
                <w:b/>
                <w:color w:val="FFFFFF" w:themeColor="background1"/>
                <w:sz w:val="22"/>
                <w:szCs w:val="22"/>
              </w:rPr>
              <w:t>6.3.</w:t>
            </w:r>
          </w:p>
        </w:tc>
        <w:tc>
          <w:tcPr>
            <w:tcW w:w="14343" w:type="dxa"/>
            <w:gridSpan w:val="3"/>
            <w:tcBorders>
              <w:top w:val="single" w:sz="4" w:space="0" w:color="auto"/>
              <w:left w:val="nil"/>
              <w:bottom w:val="single" w:sz="4" w:space="0" w:color="auto"/>
              <w:right w:val="nil"/>
            </w:tcBorders>
            <w:shd w:val="clear" w:color="000000" w:fill="595959"/>
            <w:vAlign w:val="center"/>
            <w:hideMark/>
          </w:tcPr>
          <w:p w14:paraId="368AD92C" w14:textId="77777777" w:rsidR="005B68FD" w:rsidRPr="00C248C2" w:rsidRDefault="005B68FD" w:rsidP="005B68FD">
            <w:pPr>
              <w:rPr>
                <w:rFonts w:ascii="Tahoma" w:hAnsi="Tahoma" w:cs="Tahoma"/>
                <w:b/>
                <w:color w:val="FFFFFF" w:themeColor="background1"/>
                <w:sz w:val="22"/>
                <w:szCs w:val="22"/>
              </w:rPr>
            </w:pPr>
            <w:r w:rsidRPr="00C248C2">
              <w:rPr>
                <w:rFonts w:ascii="Tahoma" w:hAnsi="Tahoma" w:cs="Tahoma"/>
                <w:b/>
                <w:color w:val="FFFFFF" w:themeColor="background1"/>
                <w:sz w:val="22"/>
                <w:szCs w:val="22"/>
              </w:rPr>
              <w:t>Выдача наличных денежных средств с использованием Карты с учетом лимитов совершения операций</w:t>
            </w:r>
          </w:p>
        </w:tc>
      </w:tr>
      <w:tr w:rsidR="005B68FD" w:rsidRPr="005379F0" w14:paraId="5FF096E0" w14:textId="77777777" w:rsidTr="005B68FD">
        <w:trPr>
          <w:trHeight w:val="450"/>
        </w:trPr>
        <w:tc>
          <w:tcPr>
            <w:tcW w:w="820" w:type="dxa"/>
            <w:tcBorders>
              <w:top w:val="nil"/>
              <w:left w:val="single" w:sz="4" w:space="0" w:color="auto"/>
              <w:bottom w:val="nil"/>
              <w:right w:val="single" w:sz="4" w:space="0" w:color="auto"/>
            </w:tcBorders>
            <w:shd w:val="clear" w:color="000000" w:fill="FFFFFF"/>
            <w:noWrap/>
            <w:vAlign w:val="center"/>
            <w:hideMark/>
          </w:tcPr>
          <w:p w14:paraId="0C172E0D" w14:textId="77777777" w:rsidR="005B68FD" w:rsidRPr="005379F0" w:rsidRDefault="005B68FD" w:rsidP="005B68FD">
            <w:pPr>
              <w:rPr>
                <w:rFonts w:ascii="Tahoma" w:hAnsi="Tahoma" w:cs="Tahoma"/>
                <w:sz w:val="22"/>
                <w:szCs w:val="22"/>
              </w:rPr>
            </w:pPr>
            <w:r w:rsidRPr="005379F0">
              <w:rPr>
                <w:rFonts w:ascii="Tahoma" w:hAnsi="Tahoma" w:cs="Tahoma"/>
                <w:sz w:val="22"/>
                <w:szCs w:val="22"/>
              </w:rPr>
              <w:t>6.3.1.</w:t>
            </w:r>
          </w:p>
        </w:tc>
        <w:tc>
          <w:tcPr>
            <w:tcW w:w="5271" w:type="dxa"/>
            <w:tcBorders>
              <w:top w:val="nil"/>
              <w:left w:val="nil"/>
              <w:bottom w:val="single" w:sz="4" w:space="0" w:color="auto"/>
              <w:right w:val="nil"/>
            </w:tcBorders>
            <w:shd w:val="clear" w:color="000000" w:fill="FFFFFF"/>
            <w:vAlign w:val="center"/>
            <w:hideMark/>
          </w:tcPr>
          <w:p w14:paraId="704E4DE2" w14:textId="77777777" w:rsidR="005B68FD" w:rsidRPr="005379F0" w:rsidRDefault="005B68FD" w:rsidP="005B68FD">
            <w:pPr>
              <w:rPr>
                <w:rFonts w:ascii="Tahoma" w:hAnsi="Tahoma" w:cs="Tahoma"/>
                <w:sz w:val="22"/>
                <w:szCs w:val="22"/>
              </w:rPr>
            </w:pPr>
            <w:r>
              <w:rPr>
                <w:rFonts w:ascii="Tahoma" w:hAnsi="Tahoma" w:cs="Tahoma"/>
                <w:sz w:val="22"/>
                <w:szCs w:val="22"/>
              </w:rPr>
              <w:t>в банкоматах и пунктах выдачи наличных Банка</w:t>
            </w:r>
            <w:r>
              <w:rPr>
                <w:rFonts w:ascii="Tahoma" w:hAnsi="Tahoma" w:cs="Tahoma"/>
                <w:sz w:val="22"/>
                <w:szCs w:val="22"/>
                <w:vertAlign w:val="superscript"/>
              </w:rPr>
              <w:t>3</w:t>
            </w:r>
          </w:p>
        </w:tc>
        <w:tc>
          <w:tcPr>
            <w:tcW w:w="9072" w:type="dxa"/>
            <w:gridSpan w:val="2"/>
            <w:tcBorders>
              <w:top w:val="nil"/>
              <w:left w:val="single" w:sz="4" w:space="0" w:color="auto"/>
              <w:bottom w:val="single" w:sz="4" w:space="0" w:color="auto"/>
              <w:right w:val="single" w:sz="4" w:space="0" w:color="auto"/>
            </w:tcBorders>
            <w:shd w:val="clear" w:color="000000" w:fill="FFFFFF"/>
            <w:noWrap/>
            <w:vAlign w:val="center"/>
            <w:hideMark/>
          </w:tcPr>
          <w:p w14:paraId="070EDAE7"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БЕСПЛАТНО</w:t>
            </w:r>
          </w:p>
        </w:tc>
      </w:tr>
      <w:tr w:rsidR="005B68FD" w:rsidRPr="005379F0" w14:paraId="0B07F319" w14:textId="77777777" w:rsidTr="005B68FD">
        <w:trPr>
          <w:trHeight w:val="1350"/>
        </w:trPr>
        <w:tc>
          <w:tcPr>
            <w:tcW w:w="820" w:type="dxa"/>
            <w:tcBorders>
              <w:top w:val="single" w:sz="4" w:space="0" w:color="auto"/>
              <w:left w:val="single" w:sz="4" w:space="0" w:color="auto"/>
              <w:bottom w:val="nil"/>
              <w:right w:val="single" w:sz="4" w:space="0" w:color="auto"/>
            </w:tcBorders>
            <w:shd w:val="clear" w:color="auto" w:fill="auto"/>
            <w:noWrap/>
            <w:vAlign w:val="center"/>
            <w:hideMark/>
          </w:tcPr>
          <w:p w14:paraId="2BD8E9BD" w14:textId="77777777" w:rsidR="005B68FD" w:rsidRPr="005379F0" w:rsidRDefault="005B68FD" w:rsidP="005B68FD">
            <w:pPr>
              <w:rPr>
                <w:rFonts w:ascii="Tahoma" w:hAnsi="Tahoma" w:cs="Tahoma"/>
                <w:sz w:val="22"/>
                <w:szCs w:val="22"/>
              </w:rPr>
            </w:pPr>
            <w:r w:rsidRPr="005379F0">
              <w:rPr>
                <w:rFonts w:ascii="Tahoma" w:hAnsi="Tahoma" w:cs="Tahoma"/>
                <w:sz w:val="22"/>
                <w:szCs w:val="22"/>
              </w:rPr>
              <w:t>6.3.2.</w:t>
            </w:r>
          </w:p>
        </w:tc>
        <w:tc>
          <w:tcPr>
            <w:tcW w:w="5271" w:type="dxa"/>
            <w:tcBorders>
              <w:top w:val="nil"/>
              <w:left w:val="nil"/>
              <w:bottom w:val="single" w:sz="4" w:space="0" w:color="auto"/>
              <w:right w:val="nil"/>
            </w:tcBorders>
            <w:shd w:val="clear" w:color="auto" w:fill="auto"/>
            <w:vAlign w:val="center"/>
            <w:hideMark/>
          </w:tcPr>
          <w:p w14:paraId="3B8BD3BF" w14:textId="77777777" w:rsidR="005B68FD" w:rsidRPr="005379F0" w:rsidRDefault="005B68FD" w:rsidP="005B68FD">
            <w:pPr>
              <w:rPr>
                <w:rFonts w:ascii="Tahoma" w:hAnsi="Tahoma" w:cs="Tahoma"/>
                <w:sz w:val="22"/>
                <w:szCs w:val="22"/>
              </w:rPr>
            </w:pPr>
            <w:r>
              <w:rPr>
                <w:rFonts w:ascii="Tahoma" w:hAnsi="Tahoma" w:cs="Tahoma"/>
                <w:sz w:val="22"/>
                <w:szCs w:val="22"/>
              </w:rPr>
              <w:t>в банкоматах других банков</w:t>
            </w:r>
            <w:r>
              <w:rPr>
                <w:rFonts w:ascii="Tahoma" w:hAnsi="Tahoma" w:cs="Tahoma"/>
                <w:sz w:val="22"/>
                <w:szCs w:val="22"/>
                <w:vertAlign w:val="superscript"/>
              </w:rPr>
              <w:t>16</w:t>
            </w:r>
            <w:r>
              <w:rPr>
                <w:rFonts w:ascii="Tahoma" w:hAnsi="Tahoma" w:cs="Tahoma"/>
                <w:sz w:val="22"/>
                <w:szCs w:val="22"/>
              </w:rPr>
              <w:t xml:space="preserve"> на территории РФ</w:t>
            </w:r>
          </w:p>
        </w:tc>
        <w:tc>
          <w:tcPr>
            <w:tcW w:w="9072" w:type="dxa"/>
            <w:gridSpan w:val="2"/>
            <w:tcBorders>
              <w:top w:val="nil"/>
              <w:left w:val="single" w:sz="4" w:space="0" w:color="auto"/>
              <w:bottom w:val="single" w:sz="4" w:space="0" w:color="auto"/>
              <w:right w:val="single" w:sz="4" w:space="0" w:color="auto"/>
            </w:tcBorders>
            <w:shd w:val="clear" w:color="auto" w:fill="auto"/>
            <w:vAlign w:val="center"/>
            <w:hideMark/>
          </w:tcPr>
          <w:p w14:paraId="7E47294A"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БЕСПЛАТНО: при выдаче до 100 тыс. руб. (включительно) в календарный месяц,</w:t>
            </w:r>
            <w:r w:rsidRPr="005379F0">
              <w:rPr>
                <w:rFonts w:ascii="Tahoma" w:hAnsi="Tahoma" w:cs="Tahoma"/>
                <w:sz w:val="22"/>
                <w:szCs w:val="22"/>
              </w:rPr>
              <w:br/>
              <w:t xml:space="preserve"> свыше: 1% от суммы операции</w:t>
            </w:r>
          </w:p>
        </w:tc>
      </w:tr>
      <w:tr w:rsidR="005B68FD" w:rsidRPr="005379F0" w14:paraId="5DED5295" w14:textId="77777777" w:rsidTr="005B68FD">
        <w:trPr>
          <w:trHeight w:val="645"/>
        </w:trPr>
        <w:tc>
          <w:tcPr>
            <w:tcW w:w="820" w:type="dxa"/>
            <w:tcBorders>
              <w:top w:val="single" w:sz="4" w:space="0" w:color="auto"/>
              <w:left w:val="single" w:sz="4" w:space="0" w:color="auto"/>
              <w:bottom w:val="nil"/>
              <w:right w:val="single" w:sz="4" w:space="0" w:color="auto"/>
            </w:tcBorders>
            <w:shd w:val="clear" w:color="auto" w:fill="auto"/>
            <w:noWrap/>
            <w:vAlign w:val="center"/>
            <w:hideMark/>
          </w:tcPr>
          <w:p w14:paraId="4B05B942" w14:textId="77777777" w:rsidR="005B68FD" w:rsidRPr="005379F0" w:rsidRDefault="005B68FD" w:rsidP="005B68FD">
            <w:pPr>
              <w:rPr>
                <w:rFonts w:ascii="Tahoma" w:hAnsi="Tahoma" w:cs="Tahoma"/>
                <w:sz w:val="22"/>
                <w:szCs w:val="22"/>
              </w:rPr>
            </w:pPr>
            <w:r w:rsidRPr="005379F0">
              <w:rPr>
                <w:rFonts w:ascii="Tahoma" w:hAnsi="Tahoma" w:cs="Tahoma"/>
                <w:sz w:val="22"/>
                <w:szCs w:val="22"/>
              </w:rPr>
              <w:t>6.3.3.</w:t>
            </w:r>
          </w:p>
        </w:tc>
        <w:tc>
          <w:tcPr>
            <w:tcW w:w="5271" w:type="dxa"/>
            <w:tcBorders>
              <w:top w:val="nil"/>
              <w:left w:val="nil"/>
              <w:bottom w:val="single" w:sz="4" w:space="0" w:color="auto"/>
              <w:right w:val="nil"/>
            </w:tcBorders>
            <w:shd w:val="clear" w:color="auto" w:fill="auto"/>
            <w:vAlign w:val="center"/>
            <w:hideMark/>
          </w:tcPr>
          <w:p w14:paraId="35A0F524" w14:textId="77777777" w:rsidR="005B68FD" w:rsidRPr="005379F0" w:rsidRDefault="005B68FD" w:rsidP="005B68FD">
            <w:pPr>
              <w:rPr>
                <w:rFonts w:ascii="Tahoma" w:hAnsi="Tahoma" w:cs="Tahoma"/>
                <w:sz w:val="22"/>
                <w:szCs w:val="22"/>
              </w:rPr>
            </w:pPr>
            <w:r>
              <w:rPr>
                <w:rFonts w:ascii="Tahoma" w:hAnsi="Tahoma" w:cs="Tahoma"/>
                <w:sz w:val="22"/>
                <w:szCs w:val="22"/>
              </w:rPr>
              <w:t>в пунктах выдачи наличных других банков</w:t>
            </w:r>
            <w:r>
              <w:rPr>
                <w:rFonts w:ascii="Tahoma" w:hAnsi="Tahoma" w:cs="Tahoma"/>
                <w:sz w:val="22"/>
                <w:szCs w:val="22"/>
                <w:vertAlign w:val="superscript"/>
              </w:rPr>
              <w:t>16</w:t>
            </w:r>
            <w:r>
              <w:rPr>
                <w:rFonts w:ascii="Tahoma" w:hAnsi="Tahoma" w:cs="Tahoma"/>
                <w:sz w:val="22"/>
                <w:szCs w:val="22"/>
              </w:rPr>
              <w:t xml:space="preserve">  на территории РФ</w:t>
            </w:r>
          </w:p>
        </w:tc>
        <w:tc>
          <w:tcPr>
            <w:tcW w:w="9072" w:type="dxa"/>
            <w:gridSpan w:val="2"/>
            <w:tcBorders>
              <w:top w:val="nil"/>
              <w:left w:val="single" w:sz="4" w:space="0" w:color="auto"/>
              <w:bottom w:val="single" w:sz="4" w:space="0" w:color="auto"/>
              <w:right w:val="single" w:sz="4" w:space="0" w:color="auto"/>
            </w:tcBorders>
            <w:shd w:val="clear" w:color="auto" w:fill="auto"/>
            <w:vAlign w:val="center"/>
            <w:hideMark/>
          </w:tcPr>
          <w:p w14:paraId="7AE92996"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1% от суммы операции</w:t>
            </w:r>
          </w:p>
        </w:tc>
      </w:tr>
      <w:tr w:rsidR="005B68FD" w:rsidRPr="005379F0" w14:paraId="47F2932F" w14:textId="77777777" w:rsidTr="005B68FD">
        <w:trPr>
          <w:trHeight w:val="552"/>
        </w:trPr>
        <w:tc>
          <w:tcPr>
            <w:tcW w:w="820" w:type="dxa"/>
            <w:tcBorders>
              <w:top w:val="single" w:sz="4" w:space="0" w:color="auto"/>
              <w:left w:val="single" w:sz="4" w:space="0" w:color="auto"/>
              <w:bottom w:val="nil"/>
              <w:right w:val="single" w:sz="4" w:space="0" w:color="auto"/>
            </w:tcBorders>
            <w:shd w:val="clear" w:color="auto" w:fill="auto"/>
            <w:noWrap/>
            <w:vAlign w:val="center"/>
            <w:hideMark/>
          </w:tcPr>
          <w:p w14:paraId="7485F7F7" w14:textId="77777777" w:rsidR="005B68FD" w:rsidRPr="005379F0" w:rsidRDefault="005B68FD" w:rsidP="005B68FD">
            <w:pPr>
              <w:rPr>
                <w:rFonts w:ascii="Tahoma" w:hAnsi="Tahoma" w:cs="Tahoma"/>
                <w:sz w:val="22"/>
                <w:szCs w:val="22"/>
              </w:rPr>
            </w:pPr>
            <w:r w:rsidRPr="005379F0">
              <w:rPr>
                <w:rFonts w:ascii="Tahoma" w:hAnsi="Tahoma" w:cs="Tahoma"/>
                <w:sz w:val="22"/>
                <w:szCs w:val="22"/>
              </w:rPr>
              <w:t>6.3.4.</w:t>
            </w:r>
          </w:p>
        </w:tc>
        <w:tc>
          <w:tcPr>
            <w:tcW w:w="5271" w:type="dxa"/>
            <w:tcBorders>
              <w:top w:val="nil"/>
              <w:left w:val="nil"/>
              <w:bottom w:val="single" w:sz="4" w:space="0" w:color="auto"/>
              <w:right w:val="nil"/>
            </w:tcBorders>
            <w:shd w:val="clear" w:color="auto" w:fill="auto"/>
            <w:vAlign w:val="center"/>
            <w:hideMark/>
          </w:tcPr>
          <w:p w14:paraId="5286B6C4" w14:textId="77777777" w:rsidR="005B68FD" w:rsidRPr="005379F0" w:rsidRDefault="005B68FD" w:rsidP="005B68FD">
            <w:pPr>
              <w:rPr>
                <w:rFonts w:ascii="Tahoma" w:hAnsi="Tahoma" w:cs="Tahoma"/>
                <w:sz w:val="22"/>
                <w:szCs w:val="22"/>
              </w:rPr>
            </w:pPr>
            <w:r>
              <w:rPr>
                <w:rFonts w:ascii="Tahoma" w:hAnsi="Tahoma" w:cs="Tahoma"/>
                <w:sz w:val="22"/>
                <w:szCs w:val="22"/>
              </w:rPr>
              <w:t>в банкоматах других банков</w:t>
            </w:r>
            <w:r>
              <w:rPr>
                <w:rFonts w:ascii="Tahoma" w:hAnsi="Tahoma" w:cs="Tahoma"/>
                <w:sz w:val="22"/>
                <w:szCs w:val="22"/>
                <w:vertAlign w:val="superscript"/>
              </w:rPr>
              <w:t>16</w:t>
            </w:r>
            <w:r>
              <w:rPr>
                <w:rFonts w:ascii="Tahoma" w:hAnsi="Tahoma" w:cs="Tahoma"/>
                <w:sz w:val="22"/>
                <w:szCs w:val="22"/>
              </w:rPr>
              <w:t xml:space="preserve"> и в пунктах выдачи наличных других банков</w:t>
            </w:r>
            <w:r>
              <w:rPr>
                <w:rFonts w:ascii="Tahoma" w:hAnsi="Tahoma" w:cs="Tahoma"/>
                <w:sz w:val="22"/>
                <w:szCs w:val="22"/>
                <w:vertAlign w:val="superscript"/>
              </w:rPr>
              <w:t>16</w:t>
            </w:r>
            <w:r>
              <w:rPr>
                <w:rFonts w:ascii="Tahoma" w:hAnsi="Tahoma" w:cs="Tahoma"/>
                <w:sz w:val="22"/>
                <w:szCs w:val="22"/>
              </w:rPr>
              <w:t xml:space="preserve"> за рубежом</w:t>
            </w:r>
          </w:p>
        </w:tc>
        <w:tc>
          <w:tcPr>
            <w:tcW w:w="9072" w:type="dxa"/>
            <w:gridSpan w:val="2"/>
            <w:tcBorders>
              <w:top w:val="nil"/>
              <w:left w:val="single" w:sz="4" w:space="0" w:color="auto"/>
              <w:bottom w:val="single" w:sz="4" w:space="0" w:color="auto"/>
              <w:right w:val="single" w:sz="4" w:space="0" w:color="auto"/>
            </w:tcBorders>
            <w:shd w:val="clear" w:color="000000" w:fill="FFFFFF"/>
            <w:vAlign w:val="center"/>
            <w:hideMark/>
          </w:tcPr>
          <w:p w14:paraId="151E56BF"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1% от суммы операции, мин. 150 рублей</w:t>
            </w:r>
          </w:p>
        </w:tc>
      </w:tr>
      <w:tr w:rsidR="005B68FD" w:rsidRPr="005379F0" w14:paraId="053F9291" w14:textId="77777777" w:rsidTr="005B68FD">
        <w:trPr>
          <w:trHeight w:val="624"/>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55BF3" w14:textId="77777777" w:rsidR="005B68FD" w:rsidRPr="005379F0" w:rsidRDefault="005B68FD" w:rsidP="005B68FD">
            <w:pPr>
              <w:rPr>
                <w:rFonts w:ascii="Tahoma" w:hAnsi="Tahoma" w:cs="Tahoma"/>
                <w:sz w:val="22"/>
                <w:szCs w:val="22"/>
              </w:rPr>
            </w:pPr>
            <w:r w:rsidRPr="005379F0">
              <w:rPr>
                <w:rFonts w:ascii="Tahoma" w:hAnsi="Tahoma" w:cs="Tahoma"/>
                <w:sz w:val="22"/>
                <w:szCs w:val="22"/>
              </w:rPr>
              <w:t>6.3.5.</w:t>
            </w:r>
          </w:p>
        </w:tc>
        <w:tc>
          <w:tcPr>
            <w:tcW w:w="5271" w:type="dxa"/>
            <w:tcBorders>
              <w:top w:val="nil"/>
              <w:left w:val="nil"/>
              <w:bottom w:val="single" w:sz="4" w:space="0" w:color="auto"/>
              <w:right w:val="single" w:sz="4" w:space="0" w:color="auto"/>
            </w:tcBorders>
            <w:shd w:val="clear" w:color="auto" w:fill="auto"/>
            <w:vAlign w:val="center"/>
            <w:hideMark/>
          </w:tcPr>
          <w:p w14:paraId="28A54601" w14:textId="77777777" w:rsidR="005B68FD" w:rsidRPr="005379F0" w:rsidRDefault="005B68FD" w:rsidP="005B68FD">
            <w:pPr>
              <w:rPr>
                <w:rFonts w:ascii="Tahoma" w:hAnsi="Tahoma" w:cs="Tahoma"/>
                <w:sz w:val="22"/>
                <w:szCs w:val="22"/>
              </w:rPr>
            </w:pPr>
            <w:r>
              <w:rPr>
                <w:rFonts w:ascii="Tahoma" w:hAnsi="Tahoma" w:cs="Tahoma"/>
                <w:sz w:val="22"/>
                <w:szCs w:val="22"/>
              </w:rPr>
              <w:t>в ТСП</w:t>
            </w:r>
            <w:r>
              <w:rPr>
                <w:rFonts w:ascii="Tahoma" w:hAnsi="Tahoma" w:cs="Tahoma"/>
                <w:sz w:val="22"/>
                <w:szCs w:val="22"/>
                <w:vertAlign w:val="superscript"/>
              </w:rPr>
              <w:t>6</w:t>
            </w:r>
            <w:r>
              <w:rPr>
                <w:rFonts w:ascii="Tahoma" w:hAnsi="Tahoma" w:cs="Tahoma"/>
                <w:sz w:val="22"/>
                <w:szCs w:val="22"/>
              </w:rPr>
              <w:t>, предоставляющих услугу выдачи наличных денежных средств при совершении покупки</w:t>
            </w:r>
            <w:r>
              <w:rPr>
                <w:rFonts w:ascii="Tahoma" w:hAnsi="Tahoma" w:cs="Tahoma"/>
                <w:sz w:val="22"/>
                <w:szCs w:val="22"/>
                <w:vertAlign w:val="superscript"/>
              </w:rPr>
              <w:t>10</w:t>
            </w:r>
          </w:p>
        </w:tc>
        <w:tc>
          <w:tcPr>
            <w:tcW w:w="9072" w:type="dxa"/>
            <w:gridSpan w:val="2"/>
            <w:tcBorders>
              <w:top w:val="nil"/>
              <w:left w:val="nil"/>
              <w:bottom w:val="single" w:sz="4" w:space="0" w:color="auto"/>
              <w:right w:val="single" w:sz="4" w:space="0" w:color="auto"/>
            </w:tcBorders>
            <w:shd w:val="clear" w:color="000000" w:fill="FFFFFF"/>
            <w:noWrap/>
            <w:vAlign w:val="center"/>
            <w:hideMark/>
          </w:tcPr>
          <w:p w14:paraId="677B6E33"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БЕСПЛАТНО</w:t>
            </w:r>
          </w:p>
        </w:tc>
      </w:tr>
      <w:tr w:rsidR="005B68FD" w:rsidRPr="005379F0" w14:paraId="05F03328" w14:textId="77777777" w:rsidTr="005B68FD">
        <w:trPr>
          <w:trHeight w:val="276"/>
        </w:trPr>
        <w:tc>
          <w:tcPr>
            <w:tcW w:w="820" w:type="dxa"/>
            <w:tcBorders>
              <w:top w:val="nil"/>
              <w:left w:val="single" w:sz="4" w:space="0" w:color="auto"/>
              <w:bottom w:val="single" w:sz="4" w:space="0" w:color="auto"/>
              <w:right w:val="single" w:sz="4" w:space="0" w:color="auto"/>
            </w:tcBorders>
            <w:shd w:val="clear" w:color="000000" w:fill="595959"/>
            <w:noWrap/>
            <w:vAlign w:val="center"/>
            <w:hideMark/>
          </w:tcPr>
          <w:p w14:paraId="72E677B3" w14:textId="77777777" w:rsidR="005B68FD" w:rsidRPr="00C248C2" w:rsidRDefault="005B68FD" w:rsidP="005B68FD">
            <w:pPr>
              <w:rPr>
                <w:rFonts w:ascii="Tahoma" w:hAnsi="Tahoma" w:cs="Tahoma"/>
                <w:b/>
                <w:color w:val="FFFFFF" w:themeColor="background1"/>
                <w:sz w:val="22"/>
                <w:szCs w:val="22"/>
              </w:rPr>
            </w:pPr>
            <w:r w:rsidRPr="00C248C2">
              <w:rPr>
                <w:rFonts w:ascii="Tahoma" w:hAnsi="Tahoma" w:cs="Tahoma"/>
                <w:b/>
                <w:color w:val="FFFFFF" w:themeColor="background1"/>
                <w:sz w:val="22"/>
                <w:szCs w:val="22"/>
              </w:rPr>
              <w:t>6.4.</w:t>
            </w:r>
          </w:p>
        </w:tc>
        <w:tc>
          <w:tcPr>
            <w:tcW w:w="14343" w:type="dxa"/>
            <w:gridSpan w:val="3"/>
            <w:tcBorders>
              <w:top w:val="single" w:sz="4" w:space="0" w:color="auto"/>
              <w:left w:val="nil"/>
              <w:bottom w:val="single" w:sz="4" w:space="0" w:color="auto"/>
              <w:right w:val="nil"/>
            </w:tcBorders>
            <w:shd w:val="clear" w:color="000000" w:fill="595959"/>
            <w:vAlign w:val="center"/>
            <w:hideMark/>
          </w:tcPr>
          <w:p w14:paraId="0E8B029E" w14:textId="77777777" w:rsidR="005B68FD" w:rsidRPr="00C248C2" w:rsidRDefault="005B68FD" w:rsidP="005B68FD">
            <w:pPr>
              <w:rPr>
                <w:rFonts w:ascii="Tahoma" w:hAnsi="Tahoma" w:cs="Tahoma"/>
                <w:b/>
                <w:color w:val="FFFFFF" w:themeColor="background1"/>
                <w:sz w:val="22"/>
                <w:szCs w:val="22"/>
              </w:rPr>
            </w:pPr>
            <w:r w:rsidRPr="00C248C2">
              <w:rPr>
                <w:rFonts w:ascii="Tahoma" w:hAnsi="Tahoma" w:cs="Tahoma"/>
                <w:b/>
                <w:color w:val="FFFFFF" w:themeColor="background1"/>
                <w:sz w:val="22"/>
                <w:szCs w:val="22"/>
              </w:rPr>
              <w:t>Прием и зачисление наличных денежных средств с использованием Карты</w:t>
            </w:r>
          </w:p>
        </w:tc>
      </w:tr>
      <w:tr w:rsidR="005B68FD" w:rsidRPr="005379F0" w14:paraId="43BDD300" w14:textId="77777777" w:rsidTr="005B68FD">
        <w:trPr>
          <w:trHeight w:val="624"/>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E72B25" w14:textId="77777777" w:rsidR="005B68FD" w:rsidRPr="005379F0" w:rsidRDefault="005B68FD" w:rsidP="005B68FD">
            <w:pPr>
              <w:rPr>
                <w:rFonts w:ascii="Tahoma" w:hAnsi="Tahoma" w:cs="Tahoma"/>
                <w:sz w:val="22"/>
                <w:szCs w:val="22"/>
              </w:rPr>
            </w:pPr>
            <w:r w:rsidRPr="005379F0">
              <w:rPr>
                <w:rFonts w:ascii="Tahoma" w:hAnsi="Tahoma" w:cs="Tahoma"/>
                <w:sz w:val="22"/>
                <w:szCs w:val="22"/>
              </w:rPr>
              <w:t>6.4.1.</w:t>
            </w:r>
          </w:p>
        </w:tc>
        <w:tc>
          <w:tcPr>
            <w:tcW w:w="5271" w:type="dxa"/>
            <w:tcBorders>
              <w:top w:val="nil"/>
              <w:left w:val="nil"/>
              <w:bottom w:val="single" w:sz="4" w:space="0" w:color="auto"/>
              <w:right w:val="single" w:sz="4" w:space="0" w:color="auto"/>
            </w:tcBorders>
            <w:shd w:val="clear" w:color="auto" w:fill="auto"/>
            <w:vAlign w:val="center"/>
            <w:hideMark/>
          </w:tcPr>
          <w:p w14:paraId="416F0B53" w14:textId="77777777" w:rsidR="005B68FD" w:rsidRPr="008B641A" w:rsidRDefault="005B68FD" w:rsidP="005B68FD">
            <w:pPr>
              <w:rPr>
                <w:rFonts w:ascii="Tahoma" w:hAnsi="Tahoma" w:cs="Tahoma"/>
                <w:color w:val="000000"/>
                <w:sz w:val="22"/>
                <w:szCs w:val="22"/>
              </w:rPr>
            </w:pPr>
            <w:r>
              <w:rPr>
                <w:rFonts w:ascii="Tahoma" w:hAnsi="Tahoma" w:cs="Tahoma"/>
                <w:color w:val="000000"/>
                <w:sz w:val="22"/>
                <w:szCs w:val="22"/>
              </w:rPr>
              <w:t>на Счет Карты</w:t>
            </w:r>
            <w:r>
              <w:rPr>
                <w:rFonts w:ascii="Tahoma" w:hAnsi="Tahoma" w:cs="Tahoma"/>
                <w:color w:val="000000"/>
                <w:sz w:val="22"/>
                <w:szCs w:val="22"/>
                <w:vertAlign w:val="superscript"/>
              </w:rPr>
              <w:t>12</w:t>
            </w:r>
            <w:r>
              <w:rPr>
                <w:rFonts w:ascii="Tahoma" w:hAnsi="Tahoma" w:cs="Tahoma"/>
                <w:color w:val="000000"/>
                <w:sz w:val="22"/>
                <w:szCs w:val="22"/>
              </w:rPr>
              <w:t xml:space="preserve"> в кассах Банка</w:t>
            </w:r>
            <w:r>
              <w:rPr>
                <w:rFonts w:ascii="Tahoma" w:hAnsi="Tahoma" w:cs="Tahoma"/>
                <w:color w:val="000000"/>
                <w:sz w:val="22"/>
                <w:szCs w:val="22"/>
                <w:vertAlign w:val="superscript"/>
              </w:rPr>
              <w:t>3</w:t>
            </w:r>
            <w:r>
              <w:rPr>
                <w:rFonts w:ascii="Tahoma" w:hAnsi="Tahoma" w:cs="Tahoma"/>
                <w:color w:val="000000"/>
                <w:sz w:val="22"/>
                <w:szCs w:val="22"/>
              </w:rPr>
              <w:t>, банкоматах Банка</w:t>
            </w:r>
            <w:r>
              <w:rPr>
                <w:rFonts w:ascii="Tahoma" w:hAnsi="Tahoma" w:cs="Tahoma"/>
                <w:color w:val="000000"/>
                <w:sz w:val="22"/>
                <w:szCs w:val="22"/>
                <w:vertAlign w:val="superscript"/>
              </w:rPr>
              <w:t>3</w:t>
            </w:r>
            <w:r>
              <w:rPr>
                <w:rFonts w:ascii="Tahoma" w:hAnsi="Tahoma" w:cs="Tahoma"/>
                <w:color w:val="000000"/>
                <w:sz w:val="22"/>
                <w:szCs w:val="22"/>
              </w:rPr>
              <w:t xml:space="preserve"> и через терминалы самообслуживания Банка</w:t>
            </w:r>
            <w:r>
              <w:rPr>
                <w:rFonts w:ascii="Tahoma" w:hAnsi="Tahoma" w:cs="Tahoma"/>
                <w:color w:val="000000"/>
                <w:sz w:val="22"/>
                <w:szCs w:val="22"/>
                <w:vertAlign w:val="superscript"/>
              </w:rPr>
              <w:t>3</w:t>
            </w:r>
          </w:p>
        </w:tc>
        <w:tc>
          <w:tcPr>
            <w:tcW w:w="9072" w:type="dxa"/>
            <w:gridSpan w:val="2"/>
            <w:tcBorders>
              <w:top w:val="nil"/>
              <w:left w:val="nil"/>
              <w:bottom w:val="single" w:sz="4" w:space="0" w:color="auto"/>
              <w:right w:val="single" w:sz="4" w:space="0" w:color="auto"/>
            </w:tcBorders>
            <w:shd w:val="clear" w:color="auto" w:fill="auto"/>
            <w:vAlign w:val="center"/>
            <w:hideMark/>
          </w:tcPr>
          <w:p w14:paraId="5C1243BF"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БЕСПЛАТНО</w:t>
            </w:r>
          </w:p>
        </w:tc>
      </w:tr>
      <w:tr w:rsidR="005B68FD" w:rsidRPr="005379F0" w14:paraId="5691C4B3" w14:textId="77777777" w:rsidTr="005B68FD">
        <w:trPr>
          <w:trHeight w:val="1245"/>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546DF5" w14:textId="77777777" w:rsidR="005B68FD" w:rsidRPr="005379F0" w:rsidRDefault="005B68FD" w:rsidP="005B68FD">
            <w:pPr>
              <w:rPr>
                <w:rFonts w:ascii="Tahoma" w:hAnsi="Tahoma" w:cs="Tahoma"/>
                <w:sz w:val="22"/>
                <w:szCs w:val="22"/>
              </w:rPr>
            </w:pPr>
            <w:r w:rsidRPr="005379F0">
              <w:rPr>
                <w:rFonts w:ascii="Tahoma" w:hAnsi="Tahoma" w:cs="Tahoma"/>
                <w:sz w:val="22"/>
                <w:szCs w:val="22"/>
              </w:rPr>
              <w:t>6.4.2.</w:t>
            </w:r>
          </w:p>
        </w:tc>
        <w:tc>
          <w:tcPr>
            <w:tcW w:w="52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0B2A5F" w14:textId="77777777" w:rsidR="005B68FD" w:rsidRDefault="005B68FD" w:rsidP="005B68FD">
            <w:pPr>
              <w:rPr>
                <w:rFonts w:ascii="Tahoma" w:hAnsi="Tahoma" w:cs="Tahoma"/>
                <w:color w:val="000000"/>
                <w:sz w:val="22"/>
                <w:szCs w:val="22"/>
              </w:rPr>
            </w:pPr>
            <w:r>
              <w:rPr>
                <w:rFonts w:ascii="Tahoma" w:hAnsi="Tahoma" w:cs="Tahoma"/>
                <w:color w:val="000000"/>
                <w:sz w:val="22"/>
                <w:szCs w:val="22"/>
              </w:rPr>
              <w:t>наличных денежных средств на Счет Карты</w:t>
            </w:r>
            <w:r>
              <w:rPr>
                <w:rFonts w:ascii="Tahoma" w:hAnsi="Tahoma" w:cs="Tahoma"/>
                <w:color w:val="000000"/>
                <w:sz w:val="22"/>
                <w:szCs w:val="22"/>
                <w:vertAlign w:val="superscript"/>
              </w:rPr>
              <w:t xml:space="preserve">11 </w:t>
            </w:r>
            <w:r>
              <w:rPr>
                <w:rFonts w:ascii="Tahoma" w:hAnsi="Tahoma" w:cs="Tahoma"/>
                <w:color w:val="000000"/>
                <w:sz w:val="22"/>
                <w:szCs w:val="22"/>
              </w:rPr>
              <w:t>через розничные сети партнеров</w:t>
            </w:r>
          </w:p>
        </w:tc>
        <w:tc>
          <w:tcPr>
            <w:tcW w:w="907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565343C" w14:textId="77777777" w:rsidR="005B68FD" w:rsidRPr="008B641A" w:rsidRDefault="005B68FD" w:rsidP="005B68FD">
            <w:pPr>
              <w:jc w:val="center"/>
              <w:rPr>
                <w:rFonts w:ascii="Tahoma" w:hAnsi="Tahoma" w:cs="Tahoma"/>
                <w:bCs/>
                <w:color w:val="000000"/>
                <w:sz w:val="22"/>
                <w:szCs w:val="22"/>
              </w:rPr>
            </w:pPr>
            <w:r w:rsidRPr="008B641A">
              <w:rPr>
                <w:rFonts w:ascii="Tahoma" w:hAnsi="Tahoma" w:cs="Tahoma"/>
                <w:bCs/>
                <w:color w:val="000000"/>
                <w:sz w:val="22"/>
                <w:szCs w:val="22"/>
              </w:rPr>
              <w:t>БЕСПЛАТНО</w:t>
            </w:r>
            <w:r w:rsidRPr="008B641A">
              <w:rPr>
                <w:rFonts w:ascii="Tahoma" w:hAnsi="Tahoma" w:cs="Tahoma"/>
                <w:bCs/>
                <w:color w:val="000000"/>
                <w:sz w:val="22"/>
                <w:szCs w:val="22"/>
                <w:vertAlign w:val="superscript"/>
              </w:rPr>
              <w:t>12</w:t>
            </w:r>
            <w:r w:rsidRPr="008B641A">
              <w:rPr>
                <w:rFonts w:ascii="Tahoma" w:hAnsi="Tahoma" w:cs="Tahoma"/>
                <w:bCs/>
                <w:color w:val="000000"/>
                <w:sz w:val="22"/>
                <w:szCs w:val="22"/>
              </w:rPr>
              <w:t xml:space="preserve"> </w:t>
            </w:r>
          </w:p>
        </w:tc>
      </w:tr>
      <w:tr w:rsidR="005B68FD" w:rsidRPr="005379F0" w14:paraId="3C082652" w14:textId="77777777" w:rsidTr="005B68FD">
        <w:trPr>
          <w:trHeight w:val="552"/>
        </w:trPr>
        <w:tc>
          <w:tcPr>
            <w:tcW w:w="820" w:type="dxa"/>
            <w:tcBorders>
              <w:top w:val="nil"/>
              <w:left w:val="single" w:sz="4" w:space="0" w:color="auto"/>
              <w:bottom w:val="single" w:sz="4" w:space="0" w:color="auto"/>
              <w:right w:val="single" w:sz="4" w:space="0" w:color="auto"/>
            </w:tcBorders>
            <w:shd w:val="clear" w:color="000000" w:fill="595959"/>
            <w:noWrap/>
            <w:vAlign w:val="center"/>
            <w:hideMark/>
          </w:tcPr>
          <w:p w14:paraId="3133FE3D" w14:textId="77777777" w:rsidR="005B68FD" w:rsidRPr="00C248C2" w:rsidRDefault="005B68FD" w:rsidP="005B68FD">
            <w:pPr>
              <w:rPr>
                <w:rFonts w:ascii="Tahoma" w:hAnsi="Tahoma" w:cs="Tahoma"/>
                <w:b/>
                <w:color w:val="FFFFFF" w:themeColor="background1"/>
                <w:sz w:val="22"/>
                <w:szCs w:val="22"/>
              </w:rPr>
            </w:pPr>
            <w:r w:rsidRPr="00C248C2">
              <w:rPr>
                <w:rFonts w:ascii="Tahoma" w:hAnsi="Tahoma" w:cs="Tahoma"/>
                <w:b/>
                <w:color w:val="FFFFFF" w:themeColor="background1"/>
                <w:sz w:val="22"/>
                <w:szCs w:val="22"/>
              </w:rPr>
              <w:t>7.</w:t>
            </w:r>
          </w:p>
        </w:tc>
        <w:tc>
          <w:tcPr>
            <w:tcW w:w="14343" w:type="dxa"/>
            <w:gridSpan w:val="3"/>
            <w:tcBorders>
              <w:top w:val="single" w:sz="4" w:space="0" w:color="auto"/>
              <w:left w:val="nil"/>
              <w:bottom w:val="single" w:sz="4" w:space="0" w:color="auto"/>
              <w:right w:val="nil"/>
            </w:tcBorders>
            <w:shd w:val="clear" w:color="000000" w:fill="595959"/>
            <w:vAlign w:val="center"/>
            <w:hideMark/>
          </w:tcPr>
          <w:p w14:paraId="32AD43A0" w14:textId="77777777" w:rsidR="005B68FD" w:rsidRPr="008B641A" w:rsidRDefault="005B68FD" w:rsidP="005B68FD">
            <w:pPr>
              <w:rPr>
                <w:rFonts w:ascii="Tahoma" w:hAnsi="Tahoma" w:cs="Tahoma"/>
                <w:b/>
                <w:bCs/>
                <w:color w:val="FFFFFF"/>
                <w:sz w:val="22"/>
                <w:szCs w:val="22"/>
              </w:rPr>
            </w:pPr>
            <w:r>
              <w:rPr>
                <w:rFonts w:ascii="Tahoma" w:hAnsi="Tahoma" w:cs="Tahoma"/>
                <w:b/>
                <w:bCs/>
                <w:color w:val="FFFFFF"/>
                <w:sz w:val="22"/>
                <w:szCs w:val="22"/>
              </w:rPr>
              <w:t>Совершение безналичных операций в ТСП</w:t>
            </w:r>
            <w:r>
              <w:rPr>
                <w:rFonts w:ascii="Tahoma" w:hAnsi="Tahoma" w:cs="Tahoma"/>
                <w:b/>
                <w:bCs/>
                <w:color w:val="FFFFFF"/>
                <w:sz w:val="22"/>
                <w:szCs w:val="22"/>
                <w:vertAlign w:val="superscript"/>
              </w:rPr>
              <w:t xml:space="preserve">6 </w:t>
            </w:r>
            <w:r>
              <w:rPr>
                <w:rFonts w:ascii="Tahoma" w:hAnsi="Tahoma" w:cs="Tahoma"/>
                <w:b/>
                <w:bCs/>
                <w:color w:val="FFFFFF"/>
                <w:sz w:val="22"/>
                <w:szCs w:val="22"/>
              </w:rPr>
              <w:t>и сети Интернет (оплата товаров, работ, услуг, результатов интеллектуальной деятельности) с использованием Карты</w:t>
            </w:r>
          </w:p>
        </w:tc>
      </w:tr>
      <w:tr w:rsidR="005B68FD" w:rsidRPr="005379F0" w14:paraId="53B49A79" w14:textId="77777777" w:rsidTr="005B68FD">
        <w:trPr>
          <w:trHeight w:val="93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1FB2DF6C" w14:textId="77777777" w:rsidR="005B68FD" w:rsidRPr="005379F0" w:rsidRDefault="005B68FD" w:rsidP="005B68FD">
            <w:pPr>
              <w:rPr>
                <w:rFonts w:ascii="Tahoma" w:hAnsi="Tahoma" w:cs="Tahoma"/>
                <w:sz w:val="22"/>
                <w:szCs w:val="22"/>
              </w:rPr>
            </w:pPr>
            <w:r w:rsidRPr="005379F0">
              <w:rPr>
                <w:rFonts w:ascii="Tahoma" w:hAnsi="Tahoma" w:cs="Tahoma"/>
                <w:sz w:val="22"/>
                <w:szCs w:val="22"/>
              </w:rPr>
              <w:t>7.1.</w:t>
            </w:r>
          </w:p>
        </w:tc>
        <w:tc>
          <w:tcPr>
            <w:tcW w:w="5271" w:type="dxa"/>
            <w:tcBorders>
              <w:top w:val="nil"/>
              <w:left w:val="nil"/>
              <w:bottom w:val="single" w:sz="4" w:space="0" w:color="auto"/>
              <w:right w:val="single" w:sz="4" w:space="0" w:color="auto"/>
            </w:tcBorders>
            <w:shd w:val="clear" w:color="auto" w:fill="auto"/>
            <w:vAlign w:val="center"/>
            <w:hideMark/>
          </w:tcPr>
          <w:p w14:paraId="2C31FE96" w14:textId="77777777" w:rsidR="005B68FD" w:rsidRPr="008B641A" w:rsidRDefault="005B68FD" w:rsidP="005B68FD">
            <w:pPr>
              <w:rPr>
                <w:rFonts w:ascii="Tahoma" w:hAnsi="Tahoma" w:cs="Tahoma"/>
                <w:color w:val="000000"/>
                <w:sz w:val="22"/>
                <w:szCs w:val="22"/>
              </w:rPr>
            </w:pPr>
            <w:r>
              <w:rPr>
                <w:rFonts w:ascii="Tahoma" w:hAnsi="Tahoma" w:cs="Tahoma"/>
                <w:color w:val="000000"/>
                <w:sz w:val="22"/>
                <w:szCs w:val="22"/>
              </w:rPr>
              <w:t>совершение безналичных операций в ТСП</w:t>
            </w:r>
            <w:r>
              <w:rPr>
                <w:rFonts w:ascii="Tahoma" w:hAnsi="Tahoma" w:cs="Tahoma"/>
                <w:color w:val="000000"/>
                <w:sz w:val="22"/>
                <w:szCs w:val="22"/>
                <w:vertAlign w:val="superscript"/>
              </w:rPr>
              <w:t>6</w:t>
            </w:r>
            <w:r>
              <w:rPr>
                <w:rFonts w:ascii="Tahoma" w:hAnsi="Tahoma" w:cs="Tahoma"/>
                <w:color w:val="000000"/>
                <w:sz w:val="22"/>
                <w:szCs w:val="22"/>
              </w:rPr>
              <w:t xml:space="preserve"> (оплата товаров, работ, услуг, результатов интеллектуальной деятельности)</w:t>
            </w:r>
          </w:p>
        </w:tc>
        <w:tc>
          <w:tcPr>
            <w:tcW w:w="9072" w:type="dxa"/>
            <w:gridSpan w:val="2"/>
            <w:tcBorders>
              <w:top w:val="nil"/>
              <w:left w:val="nil"/>
              <w:bottom w:val="single" w:sz="4" w:space="0" w:color="auto"/>
              <w:right w:val="single" w:sz="4" w:space="0" w:color="auto"/>
            </w:tcBorders>
            <w:shd w:val="clear" w:color="auto" w:fill="auto"/>
            <w:vAlign w:val="center"/>
            <w:hideMark/>
          </w:tcPr>
          <w:p w14:paraId="15009DDB"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БЕСПЛАТНО</w:t>
            </w:r>
          </w:p>
        </w:tc>
      </w:tr>
      <w:tr w:rsidR="005B68FD" w:rsidRPr="005379F0" w14:paraId="05CD8A4E" w14:textId="77777777" w:rsidTr="005B68FD">
        <w:trPr>
          <w:trHeight w:val="11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5296EB79" w14:textId="77777777" w:rsidR="005B68FD" w:rsidRPr="005379F0" w:rsidRDefault="005B68FD" w:rsidP="005B68FD">
            <w:pPr>
              <w:rPr>
                <w:rFonts w:ascii="Tahoma" w:hAnsi="Tahoma" w:cs="Tahoma"/>
                <w:sz w:val="22"/>
                <w:szCs w:val="22"/>
              </w:rPr>
            </w:pPr>
            <w:r w:rsidRPr="005379F0">
              <w:rPr>
                <w:rFonts w:ascii="Tahoma" w:hAnsi="Tahoma" w:cs="Tahoma"/>
                <w:sz w:val="22"/>
                <w:szCs w:val="22"/>
              </w:rPr>
              <w:t>7.2.</w:t>
            </w:r>
          </w:p>
        </w:tc>
        <w:tc>
          <w:tcPr>
            <w:tcW w:w="5271" w:type="dxa"/>
            <w:tcBorders>
              <w:top w:val="nil"/>
              <w:left w:val="nil"/>
              <w:bottom w:val="single" w:sz="4" w:space="0" w:color="auto"/>
              <w:right w:val="single" w:sz="4" w:space="0" w:color="auto"/>
            </w:tcBorders>
            <w:shd w:val="clear" w:color="auto" w:fill="auto"/>
            <w:vAlign w:val="center"/>
            <w:hideMark/>
          </w:tcPr>
          <w:p w14:paraId="02D460CB" w14:textId="77777777" w:rsidR="005B68FD" w:rsidRDefault="005B68FD" w:rsidP="005B68FD">
            <w:pPr>
              <w:rPr>
                <w:rFonts w:ascii="Tahoma" w:hAnsi="Tahoma" w:cs="Tahoma"/>
                <w:color w:val="000000"/>
                <w:sz w:val="22"/>
                <w:szCs w:val="22"/>
              </w:rPr>
            </w:pPr>
            <w:r>
              <w:rPr>
                <w:rFonts w:ascii="Tahoma" w:hAnsi="Tahoma" w:cs="Tahoma"/>
                <w:color w:val="000000"/>
                <w:sz w:val="22"/>
                <w:szCs w:val="22"/>
              </w:rPr>
              <w:t>проведение «уникальных» транзакций и квази-кэш операций: оплата дорожных чеков, денежных обязательств, лотерейных билетов, игровых фишек в казино и пр.</w:t>
            </w:r>
          </w:p>
        </w:tc>
        <w:tc>
          <w:tcPr>
            <w:tcW w:w="9072" w:type="dxa"/>
            <w:gridSpan w:val="2"/>
            <w:tcBorders>
              <w:top w:val="nil"/>
              <w:left w:val="nil"/>
              <w:bottom w:val="single" w:sz="4" w:space="0" w:color="auto"/>
              <w:right w:val="single" w:sz="4" w:space="0" w:color="auto"/>
            </w:tcBorders>
            <w:shd w:val="clear" w:color="auto" w:fill="auto"/>
            <w:vAlign w:val="center"/>
            <w:hideMark/>
          </w:tcPr>
          <w:p w14:paraId="28920B70" w14:textId="77777777" w:rsidR="005B68FD" w:rsidRDefault="005B68FD" w:rsidP="005B68FD">
            <w:pPr>
              <w:jc w:val="center"/>
              <w:rPr>
                <w:rFonts w:ascii="Tahoma" w:hAnsi="Tahoma" w:cs="Tahoma"/>
                <w:sz w:val="22"/>
                <w:szCs w:val="22"/>
              </w:rPr>
            </w:pPr>
            <w:r>
              <w:rPr>
                <w:rFonts w:ascii="Tahoma" w:hAnsi="Tahoma" w:cs="Tahoma"/>
                <w:sz w:val="22"/>
                <w:szCs w:val="22"/>
              </w:rPr>
              <w:t>3% от суммы операции</w:t>
            </w:r>
            <w:r>
              <w:rPr>
                <w:rFonts w:ascii="Tahoma" w:hAnsi="Tahoma" w:cs="Tahoma"/>
                <w:sz w:val="22"/>
                <w:szCs w:val="22"/>
                <w:vertAlign w:val="superscript"/>
              </w:rPr>
              <w:t>13</w:t>
            </w:r>
          </w:p>
        </w:tc>
      </w:tr>
      <w:tr w:rsidR="005B68FD" w:rsidRPr="005379F0" w14:paraId="4FAFB8D0" w14:textId="77777777" w:rsidTr="005B68FD">
        <w:trPr>
          <w:trHeight w:val="480"/>
        </w:trPr>
        <w:tc>
          <w:tcPr>
            <w:tcW w:w="820" w:type="dxa"/>
            <w:tcBorders>
              <w:top w:val="nil"/>
              <w:left w:val="single" w:sz="4" w:space="0" w:color="auto"/>
              <w:bottom w:val="single" w:sz="4" w:space="0" w:color="auto"/>
              <w:right w:val="single" w:sz="4" w:space="0" w:color="auto"/>
            </w:tcBorders>
            <w:shd w:val="clear" w:color="000000" w:fill="595959"/>
            <w:noWrap/>
            <w:vAlign w:val="center"/>
            <w:hideMark/>
          </w:tcPr>
          <w:p w14:paraId="393F88CF" w14:textId="77777777" w:rsidR="005B68FD" w:rsidRPr="00C248C2" w:rsidRDefault="005B68FD" w:rsidP="005B68FD">
            <w:pPr>
              <w:rPr>
                <w:rFonts w:ascii="Tahoma" w:hAnsi="Tahoma" w:cs="Tahoma"/>
                <w:b/>
                <w:color w:val="FFFFFF" w:themeColor="background1"/>
                <w:sz w:val="22"/>
                <w:szCs w:val="22"/>
              </w:rPr>
            </w:pPr>
            <w:r w:rsidRPr="00C248C2">
              <w:rPr>
                <w:rFonts w:ascii="Tahoma" w:hAnsi="Tahoma" w:cs="Tahoma"/>
                <w:b/>
                <w:color w:val="FFFFFF" w:themeColor="background1"/>
                <w:sz w:val="22"/>
                <w:szCs w:val="22"/>
              </w:rPr>
              <w:t>8.</w:t>
            </w:r>
          </w:p>
        </w:tc>
        <w:tc>
          <w:tcPr>
            <w:tcW w:w="14343" w:type="dxa"/>
            <w:gridSpan w:val="3"/>
            <w:tcBorders>
              <w:top w:val="single" w:sz="4" w:space="0" w:color="auto"/>
              <w:left w:val="nil"/>
              <w:bottom w:val="single" w:sz="4" w:space="0" w:color="auto"/>
              <w:right w:val="nil"/>
            </w:tcBorders>
            <w:shd w:val="clear" w:color="000000" w:fill="595959"/>
            <w:noWrap/>
            <w:vAlign w:val="center"/>
            <w:hideMark/>
          </w:tcPr>
          <w:p w14:paraId="5570490F" w14:textId="77777777" w:rsidR="005B68FD" w:rsidRPr="008B641A" w:rsidRDefault="005B68FD" w:rsidP="005B68FD">
            <w:pPr>
              <w:rPr>
                <w:rFonts w:ascii="Tahoma" w:hAnsi="Tahoma" w:cs="Tahoma"/>
                <w:b/>
                <w:bCs/>
                <w:color w:val="FFFFFF"/>
                <w:sz w:val="22"/>
                <w:szCs w:val="22"/>
              </w:rPr>
            </w:pPr>
            <w:r>
              <w:rPr>
                <w:rFonts w:ascii="Tahoma" w:hAnsi="Tahoma" w:cs="Tahoma"/>
                <w:b/>
                <w:bCs/>
                <w:color w:val="FFFFFF"/>
                <w:sz w:val="22"/>
                <w:szCs w:val="22"/>
              </w:rPr>
              <w:t>Каналы дистанционного банковского обслуживания (далее - Каналы ДБО)</w:t>
            </w:r>
          </w:p>
        </w:tc>
      </w:tr>
      <w:tr w:rsidR="005B68FD" w:rsidRPr="005379F0" w14:paraId="600E1FBC" w14:textId="77777777" w:rsidTr="005B68FD">
        <w:trPr>
          <w:trHeight w:val="1545"/>
        </w:trPr>
        <w:tc>
          <w:tcPr>
            <w:tcW w:w="820" w:type="dxa"/>
            <w:tcBorders>
              <w:top w:val="nil"/>
              <w:left w:val="single" w:sz="4" w:space="0" w:color="auto"/>
              <w:bottom w:val="single" w:sz="4" w:space="0" w:color="auto"/>
              <w:right w:val="single" w:sz="4" w:space="0" w:color="auto"/>
            </w:tcBorders>
            <w:shd w:val="clear" w:color="000000" w:fill="FFFFFF"/>
            <w:noWrap/>
            <w:vAlign w:val="center"/>
            <w:hideMark/>
          </w:tcPr>
          <w:p w14:paraId="2351E0C6" w14:textId="77777777" w:rsidR="005B68FD" w:rsidRPr="005379F0" w:rsidRDefault="005B68FD" w:rsidP="005B68FD">
            <w:pPr>
              <w:rPr>
                <w:rFonts w:ascii="Tahoma" w:hAnsi="Tahoma" w:cs="Tahoma"/>
                <w:sz w:val="22"/>
                <w:szCs w:val="22"/>
              </w:rPr>
            </w:pPr>
            <w:r w:rsidRPr="005379F0">
              <w:rPr>
                <w:rFonts w:ascii="Tahoma" w:hAnsi="Tahoma" w:cs="Tahoma"/>
                <w:sz w:val="22"/>
                <w:szCs w:val="22"/>
              </w:rPr>
              <w:t>8.1.</w:t>
            </w:r>
          </w:p>
        </w:tc>
        <w:tc>
          <w:tcPr>
            <w:tcW w:w="5271" w:type="dxa"/>
            <w:tcBorders>
              <w:top w:val="nil"/>
              <w:left w:val="nil"/>
              <w:bottom w:val="single" w:sz="4" w:space="0" w:color="auto"/>
              <w:right w:val="nil"/>
            </w:tcBorders>
            <w:shd w:val="clear" w:color="000000" w:fill="FFFFFF"/>
            <w:vAlign w:val="center"/>
            <w:hideMark/>
          </w:tcPr>
          <w:p w14:paraId="1728E446" w14:textId="77777777" w:rsidR="005B68FD" w:rsidRPr="005379F0" w:rsidRDefault="005B68FD" w:rsidP="005B68FD">
            <w:pPr>
              <w:rPr>
                <w:rFonts w:ascii="Tahoma" w:hAnsi="Tahoma" w:cs="Tahoma"/>
                <w:sz w:val="22"/>
                <w:szCs w:val="22"/>
              </w:rPr>
            </w:pPr>
            <w:r>
              <w:rPr>
                <w:rFonts w:ascii="Tahoma" w:hAnsi="Tahoma" w:cs="Tahoma"/>
                <w:sz w:val="22"/>
                <w:szCs w:val="22"/>
              </w:rPr>
              <w:t>стоимость услуги СМС-информирования (полный пакет): в том числе детализирование уведомление о приходных и расходных операциях по Счету Карты/иные сведения по усмотрению Банка в формате СМС-сообщений на мобильный телефон Клиента, указанный Клиентом Банку в качестве основного</w:t>
            </w:r>
          </w:p>
        </w:tc>
        <w:tc>
          <w:tcPr>
            <w:tcW w:w="9072" w:type="dxa"/>
            <w:gridSpan w:val="2"/>
            <w:tcBorders>
              <w:top w:val="nil"/>
              <w:left w:val="single" w:sz="4" w:space="0" w:color="auto"/>
              <w:bottom w:val="single" w:sz="4" w:space="0" w:color="auto"/>
              <w:right w:val="single" w:sz="4" w:space="0" w:color="auto"/>
            </w:tcBorders>
            <w:shd w:val="clear" w:color="auto" w:fill="auto"/>
            <w:noWrap/>
            <w:vAlign w:val="center"/>
            <w:hideMark/>
          </w:tcPr>
          <w:p w14:paraId="16CA0AD4"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69 рублей в месяц</w:t>
            </w:r>
          </w:p>
        </w:tc>
      </w:tr>
      <w:tr w:rsidR="005B68FD" w:rsidRPr="005379F0" w14:paraId="673B8565" w14:textId="77777777" w:rsidTr="005B68FD">
        <w:trPr>
          <w:trHeight w:val="138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18E45C65" w14:textId="77777777" w:rsidR="005B68FD" w:rsidRPr="005379F0" w:rsidRDefault="005B68FD" w:rsidP="005B68FD">
            <w:pPr>
              <w:rPr>
                <w:rFonts w:ascii="Tahoma" w:hAnsi="Tahoma" w:cs="Tahoma"/>
                <w:sz w:val="22"/>
                <w:szCs w:val="22"/>
              </w:rPr>
            </w:pPr>
            <w:r w:rsidRPr="005379F0">
              <w:rPr>
                <w:rFonts w:ascii="Tahoma" w:hAnsi="Tahoma" w:cs="Tahoma"/>
                <w:sz w:val="22"/>
                <w:szCs w:val="22"/>
              </w:rPr>
              <w:t>8.2.</w:t>
            </w:r>
          </w:p>
        </w:tc>
        <w:tc>
          <w:tcPr>
            <w:tcW w:w="5271" w:type="dxa"/>
            <w:tcBorders>
              <w:top w:val="nil"/>
              <w:left w:val="nil"/>
              <w:bottom w:val="single" w:sz="4" w:space="0" w:color="auto"/>
              <w:right w:val="single" w:sz="4" w:space="0" w:color="auto"/>
            </w:tcBorders>
            <w:shd w:val="clear" w:color="000000" w:fill="FFFFFF"/>
            <w:vAlign w:val="center"/>
            <w:hideMark/>
          </w:tcPr>
          <w:p w14:paraId="0BB95427" w14:textId="77777777" w:rsidR="005B68FD" w:rsidRDefault="005B68FD" w:rsidP="005B68FD">
            <w:pPr>
              <w:rPr>
                <w:rFonts w:ascii="Tahoma" w:hAnsi="Tahoma" w:cs="Tahoma"/>
                <w:sz w:val="22"/>
                <w:szCs w:val="22"/>
              </w:rPr>
            </w:pPr>
            <w:r>
              <w:rPr>
                <w:rFonts w:ascii="Tahoma" w:hAnsi="Tahoma" w:cs="Tahoma"/>
                <w:sz w:val="22"/>
                <w:szCs w:val="22"/>
              </w:rPr>
              <w:t>стоимость услуги СМС-информирования (обязательный пакет): краткие уведомления о расходных операциях по Счету Карты/иные сведения по усмотрению Банка в формате СМС-сообщений на мобильный телефон Клиента, указанный Клиентом Банку в качестве основного</w:t>
            </w:r>
          </w:p>
        </w:tc>
        <w:tc>
          <w:tcPr>
            <w:tcW w:w="9072" w:type="dxa"/>
            <w:gridSpan w:val="2"/>
            <w:vMerge w:val="restart"/>
            <w:tcBorders>
              <w:top w:val="single" w:sz="4" w:space="0" w:color="auto"/>
              <w:left w:val="nil"/>
              <w:bottom w:val="single" w:sz="4" w:space="0" w:color="auto"/>
              <w:right w:val="single" w:sz="4" w:space="0" w:color="auto"/>
            </w:tcBorders>
            <w:shd w:val="clear" w:color="auto" w:fill="auto"/>
            <w:noWrap/>
            <w:vAlign w:val="center"/>
            <w:hideMark/>
          </w:tcPr>
          <w:p w14:paraId="5FDE1E41"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БЕСПЛАТНО</w:t>
            </w:r>
          </w:p>
        </w:tc>
      </w:tr>
      <w:tr w:rsidR="005B68FD" w:rsidRPr="005379F0" w14:paraId="5E7B7362" w14:textId="77777777" w:rsidTr="005B68FD">
        <w:trPr>
          <w:trHeight w:val="552"/>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71794F1A" w14:textId="77777777" w:rsidR="005B68FD" w:rsidRPr="005379F0" w:rsidRDefault="005B68FD" w:rsidP="005B68FD">
            <w:pPr>
              <w:rPr>
                <w:rFonts w:ascii="Tahoma" w:hAnsi="Tahoma" w:cs="Tahoma"/>
                <w:sz w:val="22"/>
                <w:szCs w:val="22"/>
              </w:rPr>
            </w:pPr>
            <w:r w:rsidRPr="005379F0">
              <w:rPr>
                <w:rFonts w:ascii="Tahoma" w:hAnsi="Tahoma" w:cs="Tahoma"/>
                <w:sz w:val="22"/>
                <w:szCs w:val="22"/>
              </w:rPr>
              <w:t>8.3.</w:t>
            </w:r>
          </w:p>
        </w:tc>
        <w:tc>
          <w:tcPr>
            <w:tcW w:w="5271" w:type="dxa"/>
            <w:tcBorders>
              <w:top w:val="nil"/>
              <w:left w:val="nil"/>
              <w:bottom w:val="single" w:sz="4" w:space="0" w:color="auto"/>
              <w:right w:val="single" w:sz="4" w:space="0" w:color="auto"/>
            </w:tcBorders>
            <w:shd w:val="clear" w:color="auto" w:fill="auto"/>
            <w:vAlign w:val="center"/>
            <w:hideMark/>
          </w:tcPr>
          <w:p w14:paraId="55DC895C" w14:textId="77777777" w:rsidR="005B68FD" w:rsidRDefault="005B68FD" w:rsidP="005B68FD">
            <w:pPr>
              <w:rPr>
                <w:rFonts w:ascii="Tahoma" w:hAnsi="Tahoma" w:cs="Tahoma"/>
                <w:sz w:val="22"/>
                <w:szCs w:val="22"/>
              </w:rPr>
            </w:pPr>
            <w:r>
              <w:rPr>
                <w:rFonts w:ascii="Tahoma" w:hAnsi="Tahoma" w:cs="Tahoma"/>
                <w:sz w:val="22"/>
                <w:szCs w:val="22"/>
              </w:rPr>
              <w:t>доступ в Каналы ДБО Банка: «АТБ-Онлайн», Мобильный банк</w:t>
            </w:r>
          </w:p>
        </w:tc>
        <w:tc>
          <w:tcPr>
            <w:tcW w:w="9072" w:type="dxa"/>
            <w:gridSpan w:val="2"/>
            <w:vMerge/>
            <w:tcBorders>
              <w:top w:val="single" w:sz="4" w:space="0" w:color="auto"/>
              <w:left w:val="nil"/>
              <w:bottom w:val="single" w:sz="4" w:space="0" w:color="auto"/>
              <w:right w:val="single" w:sz="4" w:space="0" w:color="auto"/>
            </w:tcBorders>
            <w:vAlign w:val="center"/>
            <w:hideMark/>
          </w:tcPr>
          <w:p w14:paraId="088E8470" w14:textId="77777777" w:rsidR="005B68FD" w:rsidRPr="005379F0" w:rsidRDefault="005B68FD" w:rsidP="005B68FD">
            <w:pPr>
              <w:jc w:val="center"/>
              <w:rPr>
                <w:rFonts w:ascii="Tahoma" w:hAnsi="Tahoma" w:cs="Tahoma"/>
                <w:sz w:val="22"/>
                <w:szCs w:val="22"/>
              </w:rPr>
            </w:pPr>
          </w:p>
        </w:tc>
      </w:tr>
      <w:tr w:rsidR="005B68FD" w:rsidRPr="005379F0" w14:paraId="147FF3DB" w14:textId="77777777" w:rsidTr="005B68FD">
        <w:trPr>
          <w:trHeight w:val="552"/>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06675E" w14:textId="77777777" w:rsidR="005B68FD" w:rsidRPr="005379F0" w:rsidRDefault="005B68FD" w:rsidP="005B68FD">
            <w:pPr>
              <w:rPr>
                <w:rFonts w:ascii="Tahoma" w:hAnsi="Tahoma" w:cs="Tahoma"/>
                <w:sz w:val="22"/>
                <w:szCs w:val="22"/>
              </w:rPr>
            </w:pPr>
            <w:r w:rsidRPr="005379F0">
              <w:rPr>
                <w:rFonts w:ascii="Tahoma" w:hAnsi="Tahoma" w:cs="Tahoma"/>
                <w:sz w:val="22"/>
                <w:szCs w:val="22"/>
              </w:rPr>
              <w:t>8.4.</w:t>
            </w:r>
          </w:p>
        </w:tc>
        <w:tc>
          <w:tcPr>
            <w:tcW w:w="5271" w:type="dxa"/>
            <w:tcBorders>
              <w:top w:val="single" w:sz="4" w:space="0" w:color="auto"/>
              <w:left w:val="nil"/>
              <w:bottom w:val="single" w:sz="4" w:space="0" w:color="auto"/>
              <w:right w:val="single" w:sz="4" w:space="0" w:color="auto"/>
            </w:tcBorders>
            <w:shd w:val="clear" w:color="auto" w:fill="auto"/>
            <w:vAlign w:val="center"/>
            <w:hideMark/>
          </w:tcPr>
          <w:p w14:paraId="2DB86926" w14:textId="77777777" w:rsidR="005B68FD" w:rsidRDefault="005B68FD" w:rsidP="005B68FD">
            <w:pPr>
              <w:rPr>
                <w:rFonts w:ascii="Tahoma" w:hAnsi="Tahoma" w:cs="Tahoma"/>
                <w:sz w:val="22"/>
                <w:szCs w:val="22"/>
              </w:rPr>
            </w:pPr>
            <w:r>
              <w:rPr>
                <w:rFonts w:ascii="Tahoma" w:hAnsi="Tahoma" w:cs="Tahoma"/>
                <w:sz w:val="22"/>
                <w:szCs w:val="22"/>
              </w:rPr>
              <w:t>выписка по Счету Карты в Каналах ДБО Банка: «АТБ-Онлайн», Мобильный банк</w:t>
            </w:r>
          </w:p>
        </w:tc>
        <w:tc>
          <w:tcPr>
            <w:tcW w:w="9072" w:type="dxa"/>
            <w:gridSpan w:val="2"/>
            <w:vMerge/>
            <w:tcBorders>
              <w:top w:val="single" w:sz="4" w:space="0" w:color="auto"/>
              <w:left w:val="nil"/>
              <w:bottom w:val="single" w:sz="4" w:space="0" w:color="auto"/>
              <w:right w:val="single" w:sz="4" w:space="0" w:color="auto"/>
            </w:tcBorders>
            <w:vAlign w:val="center"/>
            <w:hideMark/>
          </w:tcPr>
          <w:p w14:paraId="16A6B524" w14:textId="77777777" w:rsidR="005B68FD" w:rsidRPr="005379F0" w:rsidRDefault="005B68FD" w:rsidP="005B68FD">
            <w:pPr>
              <w:jc w:val="center"/>
              <w:rPr>
                <w:rFonts w:ascii="Tahoma" w:hAnsi="Tahoma" w:cs="Tahoma"/>
                <w:sz w:val="22"/>
                <w:szCs w:val="22"/>
              </w:rPr>
            </w:pPr>
          </w:p>
        </w:tc>
      </w:tr>
      <w:tr w:rsidR="005B68FD" w:rsidRPr="005379F0" w14:paraId="2C845826" w14:textId="77777777" w:rsidTr="005B68FD">
        <w:trPr>
          <w:trHeight w:val="43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0BBAE0DE" w14:textId="77777777" w:rsidR="005B68FD" w:rsidRPr="005379F0" w:rsidRDefault="005B68FD" w:rsidP="005B68FD">
            <w:pPr>
              <w:rPr>
                <w:rFonts w:ascii="Tahoma" w:hAnsi="Tahoma" w:cs="Tahoma"/>
                <w:sz w:val="22"/>
                <w:szCs w:val="22"/>
              </w:rPr>
            </w:pPr>
            <w:r w:rsidRPr="005379F0">
              <w:rPr>
                <w:rFonts w:ascii="Tahoma" w:hAnsi="Tahoma" w:cs="Tahoma"/>
                <w:sz w:val="22"/>
                <w:szCs w:val="22"/>
              </w:rPr>
              <w:t>8.5.</w:t>
            </w:r>
          </w:p>
        </w:tc>
        <w:tc>
          <w:tcPr>
            <w:tcW w:w="5271" w:type="dxa"/>
            <w:tcBorders>
              <w:top w:val="nil"/>
              <w:left w:val="nil"/>
              <w:bottom w:val="single" w:sz="4" w:space="0" w:color="auto"/>
              <w:right w:val="single" w:sz="4" w:space="0" w:color="auto"/>
            </w:tcBorders>
            <w:shd w:val="clear" w:color="auto" w:fill="auto"/>
            <w:vAlign w:val="center"/>
            <w:hideMark/>
          </w:tcPr>
          <w:p w14:paraId="1B5162FE" w14:textId="77777777" w:rsidR="005B68FD" w:rsidRDefault="005B68FD" w:rsidP="005B68FD">
            <w:pPr>
              <w:rPr>
                <w:rFonts w:ascii="Tahoma" w:hAnsi="Tahoma" w:cs="Tahoma"/>
                <w:sz w:val="22"/>
                <w:szCs w:val="22"/>
              </w:rPr>
            </w:pPr>
            <w:r>
              <w:rPr>
                <w:rFonts w:ascii="Tahoma" w:hAnsi="Tahoma" w:cs="Tahoma"/>
                <w:sz w:val="22"/>
                <w:szCs w:val="22"/>
              </w:rPr>
              <w:t>выписка по Счету Карты в банкоматах Банка</w:t>
            </w:r>
            <w:r>
              <w:rPr>
                <w:rFonts w:ascii="Tahoma" w:hAnsi="Tahoma" w:cs="Tahoma"/>
                <w:sz w:val="22"/>
                <w:szCs w:val="22"/>
                <w:vertAlign w:val="superscript"/>
              </w:rPr>
              <w:t>3</w:t>
            </w:r>
          </w:p>
        </w:tc>
        <w:tc>
          <w:tcPr>
            <w:tcW w:w="9072" w:type="dxa"/>
            <w:gridSpan w:val="2"/>
            <w:vMerge/>
            <w:tcBorders>
              <w:top w:val="single" w:sz="4" w:space="0" w:color="auto"/>
              <w:left w:val="nil"/>
              <w:bottom w:val="single" w:sz="4" w:space="0" w:color="auto"/>
              <w:right w:val="single" w:sz="4" w:space="0" w:color="auto"/>
            </w:tcBorders>
            <w:vAlign w:val="center"/>
            <w:hideMark/>
          </w:tcPr>
          <w:p w14:paraId="1C4F628C" w14:textId="77777777" w:rsidR="005B68FD" w:rsidRPr="005379F0" w:rsidRDefault="005B68FD" w:rsidP="005B68FD">
            <w:pPr>
              <w:jc w:val="center"/>
              <w:rPr>
                <w:rFonts w:ascii="Tahoma" w:hAnsi="Tahoma" w:cs="Tahoma"/>
                <w:sz w:val="22"/>
                <w:szCs w:val="22"/>
              </w:rPr>
            </w:pPr>
          </w:p>
        </w:tc>
      </w:tr>
      <w:tr w:rsidR="005B68FD" w:rsidRPr="005379F0" w14:paraId="6DBF79D7" w14:textId="77777777" w:rsidTr="005B68FD">
        <w:trPr>
          <w:trHeight w:val="864"/>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6C3661A0" w14:textId="77777777" w:rsidR="005B68FD" w:rsidRPr="005379F0" w:rsidRDefault="005B68FD" w:rsidP="005B68FD">
            <w:pPr>
              <w:rPr>
                <w:rFonts w:ascii="Tahoma" w:hAnsi="Tahoma" w:cs="Tahoma"/>
                <w:sz w:val="22"/>
                <w:szCs w:val="22"/>
              </w:rPr>
            </w:pPr>
            <w:r w:rsidRPr="005379F0">
              <w:rPr>
                <w:rFonts w:ascii="Tahoma" w:hAnsi="Tahoma" w:cs="Tahoma"/>
                <w:sz w:val="22"/>
                <w:szCs w:val="22"/>
              </w:rPr>
              <w:t>8.6.</w:t>
            </w:r>
          </w:p>
        </w:tc>
        <w:tc>
          <w:tcPr>
            <w:tcW w:w="5271" w:type="dxa"/>
            <w:tcBorders>
              <w:top w:val="nil"/>
              <w:left w:val="nil"/>
              <w:bottom w:val="single" w:sz="4" w:space="0" w:color="auto"/>
              <w:right w:val="single" w:sz="4" w:space="0" w:color="auto"/>
            </w:tcBorders>
            <w:shd w:val="clear" w:color="auto" w:fill="auto"/>
            <w:vAlign w:val="center"/>
            <w:hideMark/>
          </w:tcPr>
          <w:p w14:paraId="7D4C1D53" w14:textId="77777777" w:rsidR="005B68FD" w:rsidRDefault="005B68FD" w:rsidP="005B68FD">
            <w:pPr>
              <w:rPr>
                <w:rFonts w:ascii="Tahoma" w:hAnsi="Tahoma" w:cs="Tahoma"/>
                <w:sz w:val="22"/>
                <w:szCs w:val="22"/>
              </w:rPr>
            </w:pPr>
            <w:r>
              <w:rPr>
                <w:rFonts w:ascii="Tahoma" w:hAnsi="Tahoma" w:cs="Tahoma"/>
                <w:sz w:val="22"/>
                <w:szCs w:val="22"/>
              </w:rPr>
              <w:t>запрос баланса Счета Карты в банкоматах Банка</w:t>
            </w:r>
            <w:r>
              <w:rPr>
                <w:rFonts w:ascii="Tahoma" w:hAnsi="Tahoma" w:cs="Tahoma"/>
                <w:sz w:val="22"/>
                <w:szCs w:val="22"/>
                <w:vertAlign w:val="superscript"/>
              </w:rPr>
              <w:t>3</w:t>
            </w:r>
            <w:r>
              <w:rPr>
                <w:rFonts w:ascii="Tahoma" w:hAnsi="Tahoma" w:cs="Tahoma"/>
                <w:sz w:val="22"/>
                <w:szCs w:val="22"/>
              </w:rPr>
              <w:t xml:space="preserve"> посредством вывода информации на экран устройства и/или чек</w:t>
            </w:r>
          </w:p>
        </w:tc>
        <w:tc>
          <w:tcPr>
            <w:tcW w:w="9072" w:type="dxa"/>
            <w:gridSpan w:val="2"/>
            <w:vMerge/>
            <w:tcBorders>
              <w:top w:val="single" w:sz="4" w:space="0" w:color="auto"/>
              <w:left w:val="nil"/>
              <w:bottom w:val="single" w:sz="4" w:space="0" w:color="auto"/>
              <w:right w:val="single" w:sz="4" w:space="0" w:color="auto"/>
            </w:tcBorders>
            <w:vAlign w:val="center"/>
            <w:hideMark/>
          </w:tcPr>
          <w:p w14:paraId="6C0DF010" w14:textId="77777777" w:rsidR="005B68FD" w:rsidRPr="005379F0" w:rsidRDefault="005B68FD" w:rsidP="005B68FD">
            <w:pPr>
              <w:jc w:val="center"/>
              <w:rPr>
                <w:rFonts w:ascii="Tahoma" w:hAnsi="Tahoma" w:cs="Tahoma"/>
                <w:sz w:val="22"/>
                <w:szCs w:val="22"/>
              </w:rPr>
            </w:pPr>
          </w:p>
        </w:tc>
      </w:tr>
      <w:tr w:rsidR="005B68FD" w:rsidRPr="005379F0" w14:paraId="26EFCB77" w14:textId="77777777" w:rsidTr="005B68FD">
        <w:trPr>
          <w:trHeight w:val="828"/>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65B219D3" w14:textId="77777777" w:rsidR="005B68FD" w:rsidRPr="005379F0" w:rsidRDefault="005B68FD" w:rsidP="005B68FD">
            <w:pPr>
              <w:rPr>
                <w:rFonts w:ascii="Tahoma" w:hAnsi="Tahoma" w:cs="Tahoma"/>
                <w:sz w:val="22"/>
                <w:szCs w:val="22"/>
              </w:rPr>
            </w:pPr>
            <w:r w:rsidRPr="005379F0">
              <w:rPr>
                <w:rFonts w:ascii="Tahoma" w:hAnsi="Tahoma" w:cs="Tahoma"/>
                <w:sz w:val="22"/>
                <w:szCs w:val="22"/>
              </w:rPr>
              <w:t>8.7.</w:t>
            </w:r>
          </w:p>
        </w:tc>
        <w:tc>
          <w:tcPr>
            <w:tcW w:w="5271" w:type="dxa"/>
            <w:tcBorders>
              <w:top w:val="nil"/>
              <w:left w:val="nil"/>
              <w:bottom w:val="single" w:sz="4" w:space="0" w:color="auto"/>
              <w:right w:val="single" w:sz="4" w:space="0" w:color="auto"/>
            </w:tcBorders>
            <w:shd w:val="clear" w:color="auto" w:fill="auto"/>
            <w:vAlign w:val="center"/>
            <w:hideMark/>
          </w:tcPr>
          <w:p w14:paraId="7C95A311" w14:textId="77777777" w:rsidR="005B68FD" w:rsidRDefault="005B68FD" w:rsidP="005B68FD">
            <w:pPr>
              <w:rPr>
                <w:rFonts w:ascii="Tahoma" w:hAnsi="Tahoma" w:cs="Tahoma"/>
                <w:sz w:val="22"/>
                <w:szCs w:val="22"/>
              </w:rPr>
            </w:pPr>
            <w:r>
              <w:rPr>
                <w:rFonts w:ascii="Tahoma" w:hAnsi="Tahoma" w:cs="Tahoma"/>
                <w:sz w:val="22"/>
                <w:szCs w:val="22"/>
              </w:rPr>
              <w:t>запрос баланса Счета Карты в банкоматах других банков</w:t>
            </w:r>
            <w:r>
              <w:rPr>
                <w:rFonts w:ascii="Tahoma" w:hAnsi="Tahoma" w:cs="Tahoma"/>
                <w:sz w:val="22"/>
                <w:szCs w:val="22"/>
                <w:vertAlign w:val="superscript"/>
              </w:rPr>
              <w:t>14</w:t>
            </w:r>
          </w:p>
        </w:tc>
        <w:tc>
          <w:tcPr>
            <w:tcW w:w="9072" w:type="dxa"/>
            <w:gridSpan w:val="2"/>
            <w:tcBorders>
              <w:top w:val="single" w:sz="4" w:space="0" w:color="auto"/>
              <w:left w:val="nil"/>
              <w:bottom w:val="single" w:sz="4" w:space="0" w:color="auto"/>
              <w:right w:val="single" w:sz="4" w:space="0" w:color="auto"/>
            </w:tcBorders>
            <w:shd w:val="clear" w:color="auto" w:fill="auto"/>
            <w:vAlign w:val="center"/>
            <w:hideMark/>
          </w:tcPr>
          <w:p w14:paraId="139DC734"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0 рублей – при запросе баланса в банкомате другого банка впервые с момента получения Клиентом Карты;</w:t>
            </w:r>
            <w:r w:rsidRPr="005379F0">
              <w:rPr>
                <w:rFonts w:ascii="Tahoma" w:hAnsi="Tahoma" w:cs="Tahoma"/>
                <w:sz w:val="22"/>
                <w:szCs w:val="22"/>
              </w:rPr>
              <w:br/>
              <w:t>45 рублей – при каждом последующем запросе баланса.</w:t>
            </w:r>
          </w:p>
        </w:tc>
      </w:tr>
      <w:tr w:rsidR="005B68FD" w:rsidRPr="005379F0" w14:paraId="2B00601D" w14:textId="77777777" w:rsidTr="005B68FD">
        <w:trPr>
          <w:trHeight w:val="276"/>
        </w:trPr>
        <w:tc>
          <w:tcPr>
            <w:tcW w:w="820" w:type="dxa"/>
            <w:tcBorders>
              <w:top w:val="nil"/>
              <w:left w:val="single" w:sz="4" w:space="0" w:color="auto"/>
              <w:bottom w:val="single" w:sz="4" w:space="0" w:color="auto"/>
              <w:right w:val="single" w:sz="4" w:space="0" w:color="auto"/>
            </w:tcBorders>
            <w:shd w:val="clear" w:color="000000" w:fill="595959"/>
            <w:noWrap/>
            <w:vAlign w:val="center"/>
            <w:hideMark/>
          </w:tcPr>
          <w:p w14:paraId="585D6933" w14:textId="77777777" w:rsidR="005B68FD" w:rsidRPr="00C248C2" w:rsidRDefault="005B68FD" w:rsidP="005B68FD">
            <w:pPr>
              <w:rPr>
                <w:rFonts w:ascii="Tahoma" w:hAnsi="Tahoma" w:cs="Tahoma"/>
                <w:b/>
                <w:color w:val="FFFFFF" w:themeColor="background1"/>
                <w:sz w:val="22"/>
                <w:szCs w:val="22"/>
              </w:rPr>
            </w:pPr>
            <w:r w:rsidRPr="00C248C2">
              <w:rPr>
                <w:rFonts w:ascii="Tahoma" w:hAnsi="Tahoma" w:cs="Tahoma"/>
                <w:b/>
                <w:color w:val="FFFFFF" w:themeColor="background1"/>
                <w:sz w:val="22"/>
                <w:szCs w:val="22"/>
              </w:rPr>
              <w:t>9.</w:t>
            </w:r>
          </w:p>
        </w:tc>
        <w:tc>
          <w:tcPr>
            <w:tcW w:w="14343" w:type="dxa"/>
            <w:gridSpan w:val="3"/>
            <w:tcBorders>
              <w:top w:val="single" w:sz="4" w:space="0" w:color="auto"/>
              <w:left w:val="nil"/>
              <w:bottom w:val="single" w:sz="4" w:space="0" w:color="auto"/>
              <w:right w:val="nil"/>
            </w:tcBorders>
            <w:shd w:val="clear" w:color="000000" w:fill="595959"/>
            <w:noWrap/>
            <w:vAlign w:val="center"/>
            <w:hideMark/>
          </w:tcPr>
          <w:p w14:paraId="1299A29F" w14:textId="77777777" w:rsidR="005B68FD" w:rsidRPr="00C248C2" w:rsidRDefault="005B68FD" w:rsidP="005B68FD">
            <w:pPr>
              <w:rPr>
                <w:rFonts w:ascii="Tahoma" w:hAnsi="Tahoma" w:cs="Tahoma"/>
                <w:b/>
                <w:color w:val="FFFFFF" w:themeColor="background1"/>
                <w:sz w:val="22"/>
                <w:szCs w:val="22"/>
              </w:rPr>
            </w:pPr>
            <w:r w:rsidRPr="00C248C2">
              <w:rPr>
                <w:rFonts w:ascii="Tahoma" w:hAnsi="Tahoma" w:cs="Tahoma"/>
                <w:b/>
                <w:color w:val="FFFFFF" w:themeColor="background1"/>
                <w:sz w:val="22"/>
                <w:szCs w:val="22"/>
              </w:rPr>
              <w:t>Приостановление/возобновление операций с Картой</w:t>
            </w:r>
          </w:p>
        </w:tc>
      </w:tr>
      <w:tr w:rsidR="005B68FD" w:rsidRPr="005379F0" w14:paraId="7D769DF6" w14:textId="77777777" w:rsidTr="005B68FD">
        <w:trPr>
          <w:trHeight w:val="864"/>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487414C6" w14:textId="77777777" w:rsidR="005B68FD" w:rsidRPr="005379F0" w:rsidRDefault="005B68FD" w:rsidP="005B68FD">
            <w:pPr>
              <w:rPr>
                <w:rFonts w:ascii="Tahoma" w:hAnsi="Tahoma" w:cs="Tahoma"/>
                <w:sz w:val="22"/>
                <w:szCs w:val="22"/>
              </w:rPr>
            </w:pPr>
            <w:r w:rsidRPr="005379F0">
              <w:rPr>
                <w:rFonts w:ascii="Tahoma" w:hAnsi="Tahoma" w:cs="Tahoma"/>
                <w:sz w:val="22"/>
                <w:szCs w:val="22"/>
              </w:rPr>
              <w:t>9.1.</w:t>
            </w:r>
          </w:p>
        </w:tc>
        <w:tc>
          <w:tcPr>
            <w:tcW w:w="5271" w:type="dxa"/>
            <w:tcBorders>
              <w:top w:val="nil"/>
              <w:left w:val="nil"/>
              <w:bottom w:val="single" w:sz="4" w:space="0" w:color="auto"/>
              <w:right w:val="single" w:sz="4" w:space="0" w:color="auto"/>
            </w:tcBorders>
            <w:shd w:val="clear" w:color="auto" w:fill="auto"/>
            <w:vAlign w:val="center"/>
            <w:hideMark/>
          </w:tcPr>
          <w:p w14:paraId="284DBA69" w14:textId="77777777" w:rsidR="005B68FD" w:rsidRDefault="005B68FD" w:rsidP="005B68FD">
            <w:pPr>
              <w:rPr>
                <w:rFonts w:ascii="Tahoma" w:hAnsi="Tahoma" w:cs="Tahoma"/>
                <w:sz w:val="22"/>
                <w:szCs w:val="22"/>
              </w:rPr>
            </w:pPr>
            <w:r>
              <w:rPr>
                <w:rFonts w:ascii="Tahoma" w:hAnsi="Tahoma" w:cs="Tahoma"/>
                <w:sz w:val="22"/>
                <w:szCs w:val="22"/>
              </w:rPr>
              <w:t>блокировка/разблокировка Карты в базе данных Банка</w:t>
            </w:r>
            <w:r>
              <w:rPr>
                <w:rFonts w:ascii="Tahoma" w:hAnsi="Tahoma" w:cs="Tahoma"/>
                <w:sz w:val="22"/>
                <w:szCs w:val="22"/>
                <w:vertAlign w:val="superscript"/>
              </w:rPr>
              <w:t xml:space="preserve">3 </w:t>
            </w:r>
            <w:r>
              <w:rPr>
                <w:rFonts w:ascii="Tahoma" w:hAnsi="Tahoma" w:cs="Tahoma"/>
                <w:sz w:val="22"/>
                <w:szCs w:val="22"/>
              </w:rPr>
              <w:t xml:space="preserve">посредством Каналов ДБО </w:t>
            </w:r>
          </w:p>
        </w:tc>
        <w:tc>
          <w:tcPr>
            <w:tcW w:w="9072"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14:paraId="48F516C0" w14:textId="77777777" w:rsidR="005B68FD" w:rsidRPr="001B049D" w:rsidRDefault="005B68FD" w:rsidP="005B68FD">
            <w:pPr>
              <w:jc w:val="center"/>
              <w:rPr>
                <w:rFonts w:ascii="Tahoma" w:hAnsi="Tahoma" w:cs="Tahoma"/>
                <w:bCs/>
                <w:color w:val="000000"/>
                <w:sz w:val="22"/>
                <w:szCs w:val="22"/>
              </w:rPr>
            </w:pPr>
            <w:r w:rsidRPr="001B049D">
              <w:rPr>
                <w:rFonts w:ascii="Tahoma" w:hAnsi="Tahoma" w:cs="Tahoma"/>
                <w:bCs/>
                <w:color w:val="000000"/>
                <w:sz w:val="22"/>
                <w:szCs w:val="22"/>
              </w:rPr>
              <w:t>БЕСПЛАТНО</w:t>
            </w:r>
          </w:p>
        </w:tc>
      </w:tr>
      <w:tr w:rsidR="005B68FD" w:rsidRPr="005379F0" w14:paraId="7D5D56B5" w14:textId="77777777" w:rsidTr="005B68FD">
        <w:trPr>
          <w:trHeight w:val="974"/>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4A96DAE1" w14:textId="77777777" w:rsidR="005B68FD" w:rsidRPr="005379F0" w:rsidRDefault="005B68FD" w:rsidP="005B68FD">
            <w:pPr>
              <w:rPr>
                <w:rFonts w:ascii="Tahoma" w:hAnsi="Tahoma" w:cs="Tahoma"/>
                <w:sz w:val="22"/>
                <w:szCs w:val="22"/>
              </w:rPr>
            </w:pPr>
            <w:r w:rsidRPr="005379F0">
              <w:rPr>
                <w:rFonts w:ascii="Tahoma" w:hAnsi="Tahoma" w:cs="Tahoma"/>
                <w:sz w:val="22"/>
                <w:szCs w:val="22"/>
              </w:rPr>
              <w:t>9.2.</w:t>
            </w:r>
          </w:p>
        </w:tc>
        <w:tc>
          <w:tcPr>
            <w:tcW w:w="5271" w:type="dxa"/>
            <w:tcBorders>
              <w:top w:val="nil"/>
              <w:left w:val="nil"/>
              <w:bottom w:val="single" w:sz="4" w:space="0" w:color="auto"/>
              <w:right w:val="single" w:sz="4" w:space="0" w:color="auto"/>
            </w:tcBorders>
            <w:shd w:val="clear" w:color="auto" w:fill="auto"/>
            <w:vAlign w:val="center"/>
            <w:hideMark/>
          </w:tcPr>
          <w:p w14:paraId="1857D4F7" w14:textId="77777777" w:rsidR="005B68FD" w:rsidRPr="005379F0" w:rsidRDefault="005B68FD" w:rsidP="005B68FD">
            <w:pPr>
              <w:rPr>
                <w:rFonts w:ascii="Tahoma" w:hAnsi="Tahoma" w:cs="Tahoma"/>
                <w:sz w:val="22"/>
                <w:szCs w:val="22"/>
              </w:rPr>
            </w:pPr>
            <w:r>
              <w:rPr>
                <w:rFonts w:ascii="Tahoma" w:hAnsi="Tahoma" w:cs="Tahoma"/>
                <w:color w:val="000000"/>
                <w:sz w:val="22"/>
                <w:szCs w:val="22"/>
              </w:rPr>
              <w:t>блокировка/разблокировка Карты в базе данных Банка</w:t>
            </w:r>
            <w:r>
              <w:rPr>
                <w:rFonts w:ascii="Tahoma" w:hAnsi="Tahoma" w:cs="Tahoma"/>
                <w:color w:val="000000"/>
                <w:sz w:val="22"/>
                <w:szCs w:val="22"/>
                <w:vertAlign w:val="superscript"/>
              </w:rPr>
              <w:t>3</w:t>
            </w:r>
            <w:r>
              <w:rPr>
                <w:rFonts w:ascii="Tahoma" w:hAnsi="Tahoma" w:cs="Tahoma"/>
                <w:color w:val="000000"/>
                <w:sz w:val="22"/>
                <w:szCs w:val="22"/>
              </w:rPr>
              <w:t xml:space="preserve"> при оформлении операции работником Банка</w:t>
            </w:r>
            <w:r>
              <w:rPr>
                <w:rFonts w:ascii="Tahoma" w:hAnsi="Tahoma" w:cs="Tahoma"/>
                <w:color w:val="000000"/>
                <w:sz w:val="22"/>
                <w:szCs w:val="22"/>
                <w:vertAlign w:val="superscript"/>
              </w:rPr>
              <w:t>3</w:t>
            </w:r>
            <w:r>
              <w:rPr>
                <w:rFonts w:ascii="Tahoma" w:hAnsi="Tahoma" w:cs="Tahoma"/>
                <w:color w:val="000000"/>
                <w:sz w:val="22"/>
                <w:szCs w:val="22"/>
              </w:rPr>
              <w:t xml:space="preserve"> по заявлению Клиента в офисе Банка</w:t>
            </w:r>
            <w:r>
              <w:rPr>
                <w:rFonts w:ascii="Tahoma" w:hAnsi="Tahoma" w:cs="Tahoma"/>
                <w:color w:val="000000"/>
                <w:sz w:val="22"/>
                <w:szCs w:val="22"/>
                <w:vertAlign w:val="superscript"/>
              </w:rPr>
              <w:t>3</w:t>
            </w:r>
          </w:p>
        </w:tc>
        <w:tc>
          <w:tcPr>
            <w:tcW w:w="9072" w:type="dxa"/>
            <w:gridSpan w:val="2"/>
            <w:vMerge/>
            <w:tcBorders>
              <w:top w:val="nil"/>
              <w:left w:val="single" w:sz="4" w:space="0" w:color="auto"/>
              <w:bottom w:val="single" w:sz="4" w:space="0" w:color="auto"/>
              <w:right w:val="single" w:sz="4" w:space="0" w:color="auto"/>
            </w:tcBorders>
            <w:vAlign w:val="center"/>
            <w:hideMark/>
          </w:tcPr>
          <w:p w14:paraId="7C91B86E" w14:textId="77777777" w:rsidR="005B68FD" w:rsidRPr="005379F0" w:rsidRDefault="005B68FD" w:rsidP="005B68FD">
            <w:pPr>
              <w:jc w:val="center"/>
              <w:rPr>
                <w:rFonts w:ascii="Tahoma" w:hAnsi="Tahoma" w:cs="Tahoma"/>
                <w:sz w:val="22"/>
                <w:szCs w:val="22"/>
              </w:rPr>
            </w:pPr>
          </w:p>
        </w:tc>
      </w:tr>
      <w:tr w:rsidR="005B68FD" w:rsidRPr="005379F0" w14:paraId="63924B2A" w14:textId="77777777" w:rsidTr="005B68FD">
        <w:trPr>
          <w:trHeight w:val="552"/>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00D45C9D" w14:textId="77777777" w:rsidR="005B68FD" w:rsidRPr="005379F0" w:rsidRDefault="005B68FD" w:rsidP="005B68FD">
            <w:pPr>
              <w:rPr>
                <w:rFonts w:ascii="Tahoma" w:hAnsi="Tahoma" w:cs="Tahoma"/>
                <w:sz w:val="22"/>
                <w:szCs w:val="22"/>
              </w:rPr>
            </w:pPr>
            <w:r w:rsidRPr="005379F0">
              <w:rPr>
                <w:rFonts w:ascii="Tahoma" w:hAnsi="Tahoma" w:cs="Tahoma"/>
                <w:sz w:val="22"/>
                <w:szCs w:val="22"/>
              </w:rPr>
              <w:t>9.3.</w:t>
            </w:r>
          </w:p>
        </w:tc>
        <w:tc>
          <w:tcPr>
            <w:tcW w:w="5271" w:type="dxa"/>
            <w:tcBorders>
              <w:top w:val="nil"/>
              <w:left w:val="nil"/>
              <w:bottom w:val="single" w:sz="4" w:space="0" w:color="auto"/>
              <w:right w:val="single" w:sz="4" w:space="0" w:color="auto"/>
            </w:tcBorders>
            <w:shd w:val="clear" w:color="auto" w:fill="auto"/>
            <w:vAlign w:val="center"/>
            <w:hideMark/>
          </w:tcPr>
          <w:p w14:paraId="6DF19413" w14:textId="77777777" w:rsidR="005B68FD" w:rsidRPr="005379F0" w:rsidRDefault="005B68FD" w:rsidP="005B68FD">
            <w:pPr>
              <w:rPr>
                <w:rFonts w:ascii="Tahoma" w:hAnsi="Tahoma" w:cs="Tahoma"/>
                <w:sz w:val="22"/>
                <w:szCs w:val="22"/>
              </w:rPr>
            </w:pPr>
            <w:r>
              <w:rPr>
                <w:rFonts w:ascii="Tahoma" w:hAnsi="Tahoma" w:cs="Tahoma"/>
                <w:color w:val="000000"/>
                <w:sz w:val="22"/>
                <w:szCs w:val="22"/>
              </w:rPr>
              <w:t>выдача остатка денежных средств со Счета Карты после закрытия Счета Карты</w:t>
            </w:r>
          </w:p>
        </w:tc>
        <w:tc>
          <w:tcPr>
            <w:tcW w:w="9072" w:type="dxa"/>
            <w:gridSpan w:val="2"/>
            <w:vMerge/>
            <w:tcBorders>
              <w:top w:val="nil"/>
              <w:left w:val="single" w:sz="4" w:space="0" w:color="auto"/>
              <w:bottom w:val="single" w:sz="4" w:space="0" w:color="auto"/>
              <w:right w:val="single" w:sz="4" w:space="0" w:color="auto"/>
            </w:tcBorders>
            <w:vAlign w:val="center"/>
            <w:hideMark/>
          </w:tcPr>
          <w:p w14:paraId="67CAA113" w14:textId="77777777" w:rsidR="005B68FD" w:rsidRPr="005379F0" w:rsidRDefault="005B68FD" w:rsidP="005B68FD">
            <w:pPr>
              <w:jc w:val="center"/>
              <w:rPr>
                <w:rFonts w:ascii="Tahoma" w:hAnsi="Tahoma" w:cs="Tahoma"/>
                <w:sz w:val="22"/>
                <w:szCs w:val="22"/>
              </w:rPr>
            </w:pPr>
          </w:p>
        </w:tc>
      </w:tr>
      <w:tr w:rsidR="005B68FD" w:rsidRPr="005379F0" w14:paraId="5C9983D0" w14:textId="77777777" w:rsidTr="005B68FD">
        <w:trPr>
          <w:trHeight w:val="78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7E5A6E5C" w14:textId="77777777" w:rsidR="005B68FD" w:rsidRPr="005379F0" w:rsidRDefault="005B68FD" w:rsidP="005B68FD">
            <w:pPr>
              <w:rPr>
                <w:rFonts w:ascii="Tahoma" w:hAnsi="Tahoma" w:cs="Tahoma"/>
                <w:sz w:val="22"/>
                <w:szCs w:val="22"/>
              </w:rPr>
            </w:pPr>
            <w:r w:rsidRPr="005379F0">
              <w:rPr>
                <w:rFonts w:ascii="Tahoma" w:hAnsi="Tahoma" w:cs="Tahoma"/>
                <w:sz w:val="22"/>
                <w:szCs w:val="22"/>
              </w:rPr>
              <w:t>9.4.</w:t>
            </w:r>
          </w:p>
        </w:tc>
        <w:tc>
          <w:tcPr>
            <w:tcW w:w="5271" w:type="dxa"/>
            <w:tcBorders>
              <w:top w:val="nil"/>
              <w:left w:val="nil"/>
              <w:bottom w:val="single" w:sz="4" w:space="0" w:color="auto"/>
              <w:right w:val="single" w:sz="4" w:space="0" w:color="auto"/>
            </w:tcBorders>
            <w:shd w:val="clear" w:color="auto" w:fill="auto"/>
            <w:vAlign w:val="center"/>
            <w:hideMark/>
          </w:tcPr>
          <w:p w14:paraId="6E48B309" w14:textId="77777777" w:rsidR="005B68FD" w:rsidRDefault="005B68FD" w:rsidP="005B68FD">
            <w:pPr>
              <w:rPr>
                <w:rFonts w:ascii="Tahoma" w:hAnsi="Tahoma" w:cs="Tahoma"/>
                <w:sz w:val="22"/>
                <w:szCs w:val="22"/>
              </w:rPr>
            </w:pPr>
            <w:r>
              <w:rPr>
                <w:rFonts w:ascii="Tahoma" w:hAnsi="Tahoma" w:cs="Tahoma"/>
                <w:sz w:val="22"/>
                <w:szCs w:val="22"/>
              </w:rPr>
              <w:t>постановка Карты в международный стоп-лист (на 2 недели) по волеизъявлению Клиента, 1 (один) регион</w:t>
            </w:r>
          </w:p>
        </w:tc>
        <w:tc>
          <w:tcPr>
            <w:tcW w:w="9072" w:type="dxa"/>
            <w:gridSpan w:val="2"/>
            <w:tcBorders>
              <w:top w:val="nil"/>
              <w:left w:val="nil"/>
              <w:bottom w:val="single" w:sz="4" w:space="0" w:color="auto"/>
              <w:right w:val="single" w:sz="4" w:space="0" w:color="auto"/>
            </w:tcBorders>
            <w:shd w:val="clear" w:color="auto" w:fill="auto"/>
            <w:noWrap/>
            <w:vAlign w:val="center"/>
            <w:hideMark/>
          </w:tcPr>
          <w:p w14:paraId="76094498" w14:textId="77777777" w:rsidR="005B68FD" w:rsidRDefault="005B68FD" w:rsidP="005B68FD">
            <w:pPr>
              <w:jc w:val="center"/>
              <w:rPr>
                <w:rFonts w:ascii="Tahoma" w:hAnsi="Tahoma" w:cs="Tahoma"/>
                <w:color w:val="000000"/>
                <w:sz w:val="22"/>
                <w:szCs w:val="22"/>
              </w:rPr>
            </w:pPr>
            <w:r>
              <w:rPr>
                <w:rFonts w:ascii="Tahoma" w:hAnsi="Tahoma" w:cs="Tahoma"/>
                <w:color w:val="000000"/>
                <w:sz w:val="22"/>
                <w:szCs w:val="22"/>
              </w:rPr>
              <w:t>1 500 рублей</w:t>
            </w:r>
          </w:p>
        </w:tc>
      </w:tr>
      <w:tr w:rsidR="005B68FD" w:rsidRPr="005379F0" w14:paraId="37468550" w14:textId="77777777" w:rsidTr="005B68FD">
        <w:trPr>
          <w:trHeight w:val="276"/>
        </w:trPr>
        <w:tc>
          <w:tcPr>
            <w:tcW w:w="820" w:type="dxa"/>
            <w:tcBorders>
              <w:top w:val="nil"/>
              <w:left w:val="single" w:sz="4" w:space="0" w:color="auto"/>
              <w:bottom w:val="single" w:sz="4" w:space="0" w:color="auto"/>
              <w:right w:val="single" w:sz="4" w:space="0" w:color="auto"/>
            </w:tcBorders>
            <w:shd w:val="clear" w:color="000000" w:fill="595959"/>
            <w:noWrap/>
            <w:vAlign w:val="center"/>
            <w:hideMark/>
          </w:tcPr>
          <w:p w14:paraId="0862A180" w14:textId="77777777" w:rsidR="005B68FD" w:rsidRPr="00C248C2" w:rsidRDefault="005B68FD" w:rsidP="005B68FD">
            <w:pPr>
              <w:rPr>
                <w:rFonts w:ascii="Tahoma" w:hAnsi="Tahoma" w:cs="Tahoma"/>
                <w:b/>
                <w:color w:val="FFFFFF" w:themeColor="background1"/>
                <w:sz w:val="22"/>
                <w:szCs w:val="22"/>
              </w:rPr>
            </w:pPr>
            <w:r w:rsidRPr="00C248C2">
              <w:rPr>
                <w:rFonts w:ascii="Tahoma" w:hAnsi="Tahoma" w:cs="Tahoma"/>
                <w:b/>
                <w:color w:val="FFFFFF" w:themeColor="background1"/>
                <w:sz w:val="22"/>
                <w:szCs w:val="22"/>
              </w:rPr>
              <w:t>10.</w:t>
            </w:r>
          </w:p>
        </w:tc>
        <w:tc>
          <w:tcPr>
            <w:tcW w:w="14343" w:type="dxa"/>
            <w:gridSpan w:val="3"/>
            <w:tcBorders>
              <w:top w:val="single" w:sz="4" w:space="0" w:color="auto"/>
              <w:left w:val="nil"/>
              <w:bottom w:val="single" w:sz="4" w:space="0" w:color="auto"/>
              <w:right w:val="nil"/>
            </w:tcBorders>
            <w:shd w:val="clear" w:color="000000" w:fill="595959"/>
            <w:noWrap/>
            <w:vAlign w:val="center"/>
            <w:hideMark/>
          </w:tcPr>
          <w:p w14:paraId="4ADA644C" w14:textId="77777777" w:rsidR="005B68FD" w:rsidRPr="00C248C2" w:rsidRDefault="005B68FD" w:rsidP="005B68FD">
            <w:pPr>
              <w:rPr>
                <w:rFonts w:ascii="Tahoma" w:hAnsi="Tahoma" w:cs="Tahoma"/>
                <w:b/>
                <w:color w:val="FFFFFF" w:themeColor="background1"/>
                <w:sz w:val="22"/>
                <w:szCs w:val="22"/>
              </w:rPr>
            </w:pPr>
            <w:r w:rsidRPr="00C248C2">
              <w:rPr>
                <w:rFonts w:ascii="Tahoma" w:hAnsi="Tahoma" w:cs="Tahoma"/>
                <w:b/>
                <w:color w:val="FFFFFF" w:themeColor="background1"/>
                <w:sz w:val="22"/>
                <w:szCs w:val="22"/>
              </w:rPr>
              <w:t>Прочие операции</w:t>
            </w:r>
          </w:p>
        </w:tc>
      </w:tr>
      <w:tr w:rsidR="005B68FD" w:rsidRPr="005379F0" w14:paraId="238E08CF" w14:textId="77777777" w:rsidTr="005B68FD">
        <w:trPr>
          <w:trHeight w:val="312"/>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27750F67" w14:textId="77777777" w:rsidR="005B68FD" w:rsidRPr="005379F0" w:rsidRDefault="005B68FD" w:rsidP="005B68FD">
            <w:pPr>
              <w:rPr>
                <w:rFonts w:ascii="Tahoma" w:hAnsi="Tahoma" w:cs="Tahoma"/>
                <w:sz w:val="22"/>
                <w:szCs w:val="22"/>
              </w:rPr>
            </w:pPr>
            <w:r w:rsidRPr="005379F0">
              <w:rPr>
                <w:rFonts w:ascii="Tahoma" w:hAnsi="Tahoma" w:cs="Tahoma"/>
                <w:sz w:val="22"/>
                <w:szCs w:val="22"/>
              </w:rPr>
              <w:t>10.1.</w:t>
            </w:r>
          </w:p>
        </w:tc>
        <w:tc>
          <w:tcPr>
            <w:tcW w:w="5271" w:type="dxa"/>
            <w:tcBorders>
              <w:top w:val="nil"/>
              <w:left w:val="nil"/>
              <w:bottom w:val="single" w:sz="4" w:space="0" w:color="auto"/>
              <w:right w:val="single" w:sz="4" w:space="0" w:color="auto"/>
            </w:tcBorders>
            <w:shd w:val="clear" w:color="auto" w:fill="auto"/>
            <w:vAlign w:val="center"/>
            <w:hideMark/>
          </w:tcPr>
          <w:p w14:paraId="50DCA4E1" w14:textId="77777777" w:rsidR="005B68FD" w:rsidRDefault="005B68FD" w:rsidP="005B68FD">
            <w:pPr>
              <w:rPr>
                <w:rFonts w:ascii="Tahoma" w:hAnsi="Tahoma" w:cs="Tahoma"/>
                <w:color w:val="000000"/>
                <w:sz w:val="22"/>
                <w:szCs w:val="22"/>
              </w:rPr>
            </w:pPr>
            <w:r>
              <w:rPr>
                <w:rFonts w:ascii="Tahoma" w:hAnsi="Tahoma" w:cs="Tahoma"/>
                <w:color w:val="000000"/>
                <w:sz w:val="22"/>
                <w:szCs w:val="22"/>
              </w:rPr>
              <w:t>выписка по Счету Карты в отделении Банка</w:t>
            </w:r>
            <w:r>
              <w:rPr>
                <w:rFonts w:ascii="Tahoma" w:hAnsi="Tahoma" w:cs="Tahoma"/>
                <w:color w:val="000000"/>
                <w:sz w:val="22"/>
                <w:szCs w:val="22"/>
                <w:vertAlign w:val="superscript"/>
              </w:rPr>
              <w:t>3</w:t>
            </w:r>
          </w:p>
        </w:tc>
        <w:tc>
          <w:tcPr>
            <w:tcW w:w="9072" w:type="dxa"/>
            <w:gridSpan w:val="2"/>
            <w:tcBorders>
              <w:top w:val="nil"/>
              <w:left w:val="nil"/>
              <w:bottom w:val="single" w:sz="4" w:space="0" w:color="auto"/>
              <w:right w:val="single" w:sz="4" w:space="0" w:color="auto"/>
            </w:tcBorders>
            <w:shd w:val="clear" w:color="auto" w:fill="auto"/>
            <w:noWrap/>
            <w:vAlign w:val="center"/>
            <w:hideMark/>
          </w:tcPr>
          <w:p w14:paraId="3BAE2A00" w14:textId="77777777" w:rsidR="005B68FD" w:rsidRDefault="005B68FD" w:rsidP="005B68FD">
            <w:pPr>
              <w:jc w:val="center"/>
              <w:rPr>
                <w:rFonts w:ascii="Tahoma" w:hAnsi="Tahoma" w:cs="Tahoma"/>
                <w:color w:val="000000"/>
                <w:sz w:val="22"/>
                <w:szCs w:val="22"/>
              </w:rPr>
            </w:pPr>
            <w:r>
              <w:rPr>
                <w:rFonts w:ascii="Tahoma" w:hAnsi="Tahoma" w:cs="Tahoma"/>
                <w:color w:val="000000"/>
                <w:sz w:val="22"/>
                <w:szCs w:val="22"/>
              </w:rPr>
              <w:t>250 рублей</w:t>
            </w:r>
          </w:p>
        </w:tc>
      </w:tr>
      <w:tr w:rsidR="005B68FD" w:rsidRPr="005379F0" w14:paraId="4F56DA80" w14:textId="77777777" w:rsidTr="005B68FD">
        <w:trPr>
          <w:trHeight w:val="102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1AF4B9A1" w14:textId="77777777" w:rsidR="005B68FD" w:rsidRPr="005379F0" w:rsidRDefault="005B68FD" w:rsidP="005B68FD">
            <w:pPr>
              <w:rPr>
                <w:rFonts w:ascii="Tahoma" w:hAnsi="Tahoma" w:cs="Tahoma"/>
                <w:sz w:val="22"/>
                <w:szCs w:val="22"/>
              </w:rPr>
            </w:pPr>
            <w:r w:rsidRPr="005379F0">
              <w:rPr>
                <w:rFonts w:ascii="Tahoma" w:hAnsi="Tahoma" w:cs="Tahoma"/>
                <w:sz w:val="22"/>
                <w:szCs w:val="22"/>
              </w:rPr>
              <w:t>10.2.</w:t>
            </w:r>
          </w:p>
        </w:tc>
        <w:tc>
          <w:tcPr>
            <w:tcW w:w="5271" w:type="dxa"/>
            <w:tcBorders>
              <w:top w:val="nil"/>
              <w:left w:val="nil"/>
              <w:bottom w:val="single" w:sz="4" w:space="0" w:color="auto"/>
              <w:right w:val="single" w:sz="4" w:space="0" w:color="auto"/>
            </w:tcBorders>
            <w:shd w:val="clear" w:color="auto" w:fill="auto"/>
            <w:vAlign w:val="center"/>
            <w:hideMark/>
          </w:tcPr>
          <w:p w14:paraId="39821374" w14:textId="77777777" w:rsidR="005B68FD" w:rsidRDefault="005B68FD" w:rsidP="005B68FD">
            <w:pPr>
              <w:rPr>
                <w:rFonts w:ascii="Tahoma" w:hAnsi="Tahoma" w:cs="Tahoma"/>
                <w:color w:val="000000"/>
                <w:sz w:val="22"/>
                <w:szCs w:val="22"/>
              </w:rPr>
            </w:pPr>
            <w:r>
              <w:rPr>
                <w:rFonts w:ascii="Tahoma" w:hAnsi="Tahoma" w:cs="Tahoma"/>
                <w:color w:val="000000"/>
                <w:sz w:val="22"/>
                <w:szCs w:val="22"/>
              </w:rPr>
              <w:t>услуги, оказанные другими банками (авторизация по телексу, направление в Банк</w:t>
            </w:r>
            <w:r>
              <w:rPr>
                <w:rFonts w:ascii="Tahoma" w:hAnsi="Tahoma" w:cs="Tahoma"/>
                <w:color w:val="000000"/>
                <w:sz w:val="22"/>
                <w:szCs w:val="22"/>
                <w:vertAlign w:val="superscript"/>
              </w:rPr>
              <w:t>3</w:t>
            </w:r>
            <w:r>
              <w:rPr>
                <w:rFonts w:ascii="Tahoma" w:hAnsi="Tahoma" w:cs="Tahoma"/>
                <w:color w:val="000000"/>
                <w:sz w:val="22"/>
                <w:szCs w:val="22"/>
              </w:rPr>
              <w:t xml:space="preserve"> информации об утере/краже Карты)</w:t>
            </w:r>
          </w:p>
        </w:tc>
        <w:tc>
          <w:tcPr>
            <w:tcW w:w="9072" w:type="dxa"/>
            <w:gridSpan w:val="2"/>
            <w:tcBorders>
              <w:top w:val="nil"/>
              <w:left w:val="nil"/>
              <w:bottom w:val="single" w:sz="4" w:space="0" w:color="auto"/>
              <w:right w:val="single" w:sz="4" w:space="0" w:color="auto"/>
            </w:tcBorders>
            <w:shd w:val="clear" w:color="auto" w:fill="auto"/>
            <w:noWrap/>
            <w:vAlign w:val="center"/>
            <w:hideMark/>
          </w:tcPr>
          <w:p w14:paraId="4E312B4C" w14:textId="77777777" w:rsidR="005B68FD" w:rsidRDefault="005B68FD" w:rsidP="005B68FD">
            <w:pPr>
              <w:jc w:val="center"/>
              <w:rPr>
                <w:rFonts w:ascii="Tahoma" w:hAnsi="Tahoma" w:cs="Tahoma"/>
                <w:color w:val="000000"/>
                <w:sz w:val="22"/>
                <w:szCs w:val="22"/>
              </w:rPr>
            </w:pPr>
            <w:r>
              <w:rPr>
                <w:rFonts w:ascii="Tahoma" w:hAnsi="Tahoma" w:cs="Tahoma"/>
                <w:color w:val="000000"/>
                <w:sz w:val="22"/>
                <w:szCs w:val="22"/>
              </w:rPr>
              <w:t>по фактическим затратам Банка</w:t>
            </w:r>
            <w:r>
              <w:rPr>
                <w:rFonts w:ascii="Tahoma" w:hAnsi="Tahoma" w:cs="Tahoma"/>
                <w:color w:val="000000"/>
                <w:sz w:val="22"/>
                <w:szCs w:val="22"/>
                <w:vertAlign w:val="superscript"/>
              </w:rPr>
              <w:t>3</w:t>
            </w:r>
          </w:p>
        </w:tc>
      </w:tr>
      <w:tr w:rsidR="005B68FD" w:rsidRPr="005379F0" w14:paraId="00223C94" w14:textId="77777777" w:rsidTr="005B68FD">
        <w:trPr>
          <w:trHeight w:val="276"/>
        </w:trPr>
        <w:tc>
          <w:tcPr>
            <w:tcW w:w="820" w:type="dxa"/>
            <w:tcBorders>
              <w:top w:val="nil"/>
              <w:left w:val="single" w:sz="4" w:space="0" w:color="auto"/>
              <w:bottom w:val="single" w:sz="4" w:space="0" w:color="auto"/>
              <w:right w:val="single" w:sz="4" w:space="0" w:color="auto"/>
            </w:tcBorders>
            <w:shd w:val="clear" w:color="000000" w:fill="595959"/>
            <w:noWrap/>
            <w:vAlign w:val="center"/>
            <w:hideMark/>
          </w:tcPr>
          <w:p w14:paraId="52093CD0" w14:textId="77777777" w:rsidR="005B68FD" w:rsidRPr="00C248C2" w:rsidRDefault="005B68FD" w:rsidP="005B68FD">
            <w:pPr>
              <w:rPr>
                <w:rFonts w:ascii="Tahoma" w:hAnsi="Tahoma" w:cs="Tahoma"/>
                <w:b/>
                <w:color w:val="FFFFFF" w:themeColor="background1"/>
                <w:sz w:val="22"/>
                <w:szCs w:val="22"/>
              </w:rPr>
            </w:pPr>
            <w:r w:rsidRPr="00C248C2">
              <w:rPr>
                <w:rFonts w:ascii="Tahoma" w:hAnsi="Tahoma" w:cs="Tahoma"/>
                <w:b/>
                <w:color w:val="FFFFFF" w:themeColor="background1"/>
                <w:sz w:val="22"/>
                <w:szCs w:val="22"/>
              </w:rPr>
              <w:t>11.</w:t>
            </w:r>
          </w:p>
        </w:tc>
        <w:tc>
          <w:tcPr>
            <w:tcW w:w="14343" w:type="dxa"/>
            <w:gridSpan w:val="3"/>
            <w:tcBorders>
              <w:top w:val="single" w:sz="4" w:space="0" w:color="auto"/>
              <w:left w:val="nil"/>
              <w:bottom w:val="single" w:sz="4" w:space="0" w:color="000000"/>
              <w:right w:val="nil"/>
            </w:tcBorders>
            <w:shd w:val="clear" w:color="000000" w:fill="595959"/>
            <w:noWrap/>
            <w:vAlign w:val="center"/>
            <w:hideMark/>
          </w:tcPr>
          <w:p w14:paraId="476EC902" w14:textId="77777777" w:rsidR="005B68FD" w:rsidRPr="00C248C2" w:rsidRDefault="005B68FD" w:rsidP="005B68FD">
            <w:pPr>
              <w:rPr>
                <w:rFonts w:ascii="Tahoma" w:hAnsi="Tahoma" w:cs="Tahoma"/>
                <w:b/>
                <w:color w:val="FFFFFF" w:themeColor="background1"/>
                <w:sz w:val="22"/>
                <w:szCs w:val="22"/>
              </w:rPr>
            </w:pPr>
            <w:r w:rsidRPr="00C248C2">
              <w:rPr>
                <w:rFonts w:ascii="Tahoma" w:hAnsi="Tahoma" w:cs="Tahoma"/>
                <w:b/>
                <w:color w:val="FFFFFF" w:themeColor="background1"/>
                <w:sz w:val="22"/>
                <w:szCs w:val="22"/>
              </w:rPr>
              <w:t>Правила программ лояльности</w:t>
            </w:r>
          </w:p>
        </w:tc>
      </w:tr>
      <w:tr w:rsidR="005B68FD" w:rsidRPr="005379F0" w14:paraId="31281702" w14:textId="77777777" w:rsidTr="005B68FD">
        <w:trPr>
          <w:trHeight w:val="648"/>
        </w:trPr>
        <w:tc>
          <w:tcPr>
            <w:tcW w:w="820" w:type="dxa"/>
            <w:tcBorders>
              <w:top w:val="nil"/>
              <w:left w:val="single" w:sz="4" w:space="0" w:color="auto"/>
              <w:bottom w:val="single" w:sz="4" w:space="0" w:color="auto"/>
              <w:right w:val="nil"/>
            </w:tcBorders>
            <w:shd w:val="clear" w:color="000000" w:fill="FFFFFF"/>
            <w:noWrap/>
            <w:vAlign w:val="center"/>
            <w:hideMark/>
          </w:tcPr>
          <w:p w14:paraId="3C7AADFE" w14:textId="77777777" w:rsidR="005B68FD" w:rsidRPr="005379F0" w:rsidRDefault="005B68FD" w:rsidP="005B68FD">
            <w:pPr>
              <w:rPr>
                <w:rFonts w:ascii="Tahoma" w:hAnsi="Tahoma" w:cs="Tahoma"/>
                <w:sz w:val="22"/>
                <w:szCs w:val="22"/>
              </w:rPr>
            </w:pPr>
            <w:r w:rsidRPr="005379F0">
              <w:rPr>
                <w:rFonts w:ascii="Tahoma" w:hAnsi="Tahoma" w:cs="Tahoma"/>
                <w:sz w:val="22"/>
                <w:szCs w:val="22"/>
              </w:rPr>
              <w:t>11.1.</w:t>
            </w:r>
          </w:p>
        </w:tc>
        <w:tc>
          <w:tcPr>
            <w:tcW w:w="5271" w:type="dxa"/>
            <w:tcBorders>
              <w:top w:val="nil"/>
              <w:left w:val="single" w:sz="4" w:space="0" w:color="auto"/>
              <w:bottom w:val="single" w:sz="4" w:space="0" w:color="auto"/>
              <w:right w:val="single" w:sz="4" w:space="0" w:color="auto"/>
            </w:tcBorders>
            <w:shd w:val="clear" w:color="auto" w:fill="auto"/>
            <w:noWrap/>
            <w:vAlign w:val="bottom"/>
            <w:hideMark/>
          </w:tcPr>
          <w:p w14:paraId="4971B3E7" w14:textId="77777777" w:rsidR="005B68FD" w:rsidRDefault="005B68FD" w:rsidP="005B68FD">
            <w:pPr>
              <w:rPr>
                <w:rFonts w:ascii="Tahoma" w:hAnsi="Tahoma" w:cs="Tahoma"/>
                <w:sz w:val="22"/>
                <w:szCs w:val="22"/>
              </w:rPr>
            </w:pPr>
            <w:r>
              <w:rPr>
                <w:rFonts w:ascii="Tahoma" w:hAnsi="Tahoma" w:cs="Tahoma"/>
                <w:sz w:val="22"/>
                <w:szCs w:val="22"/>
              </w:rPr>
              <w:t>Программа лояльности для Клиентов-держателей Банковских карт «Азиатско-Тихоокеанский Банк, (АО)», размещенная на Сайте Банка www.atb.su и Подразделениях Банка</w:t>
            </w:r>
          </w:p>
        </w:tc>
        <w:tc>
          <w:tcPr>
            <w:tcW w:w="9072" w:type="dxa"/>
            <w:gridSpan w:val="2"/>
            <w:tcBorders>
              <w:top w:val="nil"/>
              <w:left w:val="nil"/>
              <w:bottom w:val="single" w:sz="4" w:space="0" w:color="auto"/>
              <w:right w:val="single" w:sz="4" w:space="0" w:color="auto"/>
            </w:tcBorders>
            <w:shd w:val="clear" w:color="000000" w:fill="FFFFFF"/>
            <w:vAlign w:val="center"/>
            <w:hideMark/>
          </w:tcPr>
          <w:p w14:paraId="2A0F89D9" w14:textId="77777777" w:rsidR="005B68FD" w:rsidRDefault="005B68FD" w:rsidP="005B68FD">
            <w:pPr>
              <w:jc w:val="center"/>
              <w:rPr>
                <w:rFonts w:ascii="Tahoma" w:hAnsi="Tahoma" w:cs="Tahoma"/>
                <w:sz w:val="22"/>
                <w:szCs w:val="22"/>
              </w:rPr>
            </w:pPr>
            <w:r>
              <w:rPr>
                <w:rFonts w:ascii="Tahoma" w:hAnsi="Tahoma" w:cs="Tahoma"/>
                <w:sz w:val="22"/>
                <w:szCs w:val="22"/>
              </w:rPr>
              <w:t xml:space="preserve"> Согласно действующей Бонусной программе «Стандарт-Бонус», размещенной на Сайте Банка www.atb.su и в Подразделениях Банка</w:t>
            </w:r>
            <w:r w:rsidRPr="001B049D">
              <w:rPr>
                <w:rFonts w:ascii="Tahoma" w:hAnsi="Tahoma" w:cs="Tahoma"/>
                <w:sz w:val="22"/>
                <w:szCs w:val="22"/>
                <w:vertAlign w:val="superscript"/>
              </w:rPr>
              <w:t xml:space="preserve">3 </w:t>
            </w:r>
          </w:p>
        </w:tc>
      </w:tr>
      <w:tr w:rsidR="005B68FD" w:rsidRPr="005379F0" w14:paraId="73C574C2" w14:textId="77777777" w:rsidTr="005B68FD">
        <w:trPr>
          <w:trHeight w:val="828"/>
        </w:trPr>
        <w:tc>
          <w:tcPr>
            <w:tcW w:w="820" w:type="dxa"/>
            <w:tcBorders>
              <w:top w:val="nil"/>
              <w:left w:val="single" w:sz="4" w:space="0" w:color="auto"/>
              <w:bottom w:val="single" w:sz="4" w:space="0" w:color="auto"/>
              <w:right w:val="nil"/>
            </w:tcBorders>
            <w:shd w:val="clear" w:color="000000" w:fill="FFFFFF"/>
            <w:noWrap/>
            <w:vAlign w:val="center"/>
            <w:hideMark/>
          </w:tcPr>
          <w:p w14:paraId="6A078503" w14:textId="77777777" w:rsidR="005B68FD" w:rsidRPr="005379F0" w:rsidRDefault="005B68FD" w:rsidP="005B68FD">
            <w:pPr>
              <w:rPr>
                <w:rFonts w:ascii="Tahoma" w:hAnsi="Tahoma" w:cs="Tahoma"/>
                <w:sz w:val="22"/>
                <w:szCs w:val="22"/>
              </w:rPr>
            </w:pPr>
            <w:r w:rsidRPr="005379F0">
              <w:rPr>
                <w:rFonts w:ascii="Tahoma" w:hAnsi="Tahoma" w:cs="Tahoma"/>
                <w:sz w:val="22"/>
                <w:szCs w:val="22"/>
              </w:rPr>
              <w:t>11.2.</w:t>
            </w:r>
          </w:p>
        </w:tc>
        <w:tc>
          <w:tcPr>
            <w:tcW w:w="5271" w:type="dxa"/>
            <w:tcBorders>
              <w:top w:val="nil"/>
              <w:left w:val="single" w:sz="4" w:space="0" w:color="auto"/>
              <w:bottom w:val="single" w:sz="4" w:space="0" w:color="auto"/>
              <w:right w:val="single" w:sz="4" w:space="0" w:color="auto"/>
            </w:tcBorders>
            <w:shd w:val="clear" w:color="auto" w:fill="auto"/>
            <w:noWrap/>
            <w:vAlign w:val="center"/>
            <w:hideMark/>
          </w:tcPr>
          <w:p w14:paraId="3D86A366" w14:textId="77777777" w:rsidR="005B68FD" w:rsidRDefault="005B68FD" w:rsidP="005B68FD">
            <w:pPr>
              <w:rPr>
                <w:rFonts w:ascii="Tahoma" w:hAnsi="Tahoma" w:cs="Tahoma"/>
                <w:sz w:val="22"/>
                <w:szCs w:val="22"/>
              </w:rPr>
            </w:pPr>
            <w:r>
              <w:rPr>
                <w:rFonts w:ascii="Tahoma" w:hAnsi="Tahoma" w:cs="Tahoma"/>
                <w:sz w:val="22"/>
                <w:szCs w:val="22"/>
              </w:rPr>
              <w:t>Программа лояльности «Привет, Мир!»</w:t>
            </w:r>
            <w:r>
              <w:rPr>
                <w:rFonts w:ascii="Tahoma" w:hAnsi="Tahoma" w:cs="Tahoma"/>
                <w:sz w:val="22"/>
                <w:szCs w:val="22"/>
                <w:vertAlign w:val="superscript"/>
              </w:rPr>
              <w:t>15</w:t>
            </w:r>
          </w:p>
        </w:tc>
        <w:tc>
          <w:tcPr>
            <w:tcW w:w="9072" w:type="dxa"/>
            <w:gridSpan w:val="2"/>
            <w:tcBorders>
              <w:top w:val="nil"/>
              <w:left w:val="nil"/>
              <w:bottom w:val="single" w:sz="4" w:space="0" w:color="auto"/>
              <w:right w:val="single" w:sz="4" w:space="0" w:color="auto"/>
            </w:tcBorders>
            <w:shd w:val="clear" w:color="000000" w:fill="FFFFFF"/>
            <w:vAlign w:val="center"/>
            <w:hideMark/>
          </w:tcPr>
          <w:p w14:paraId="71375BB0" w14:textId="77777777" w:rsidR="005B68FD" w:rsidRDefault="005B68FD" w:rsidP="005B68FD">
            <w:pPr>
              <w:jc w:val="center"/>
              <w:rPr>
                <w:rFonts w:ascii="Tahoma" w:hAnsi="Tahoma" w:cs="Tahoma"/>
                <w:sz w:val="22"/>
                <w:szCs w:val="22"/>
              </w:rPr>
            </w:pPr>
            <w:r>
              <w:rPr>
                <w:rFonts w:ascii="Tahoma" w:hAnsi="Tahoma" w:cs="Tahoma"/>
                <w:sz w:val="22"/>
                <w:szCs w:val="22"/>
              </w:rPr>
              <w:t xml:space="preserve"> Согласно действующим Правилам программы лояльности «Привет, мир!» Акционерного общества «Национальная система платежных карт», размещенным на его Официальном сайте privetmir.ru/cashback/ </w:t>
            </w:r>
          </w:p>
        </w:tc>
      </w:tr>
      <w:tr w:rsidR="005B68FD" w:rsidRPr="005379F0" w14:paraId="50BC8A01" w14:textId="77777777" w:rsidTr="005B68FD">
        <w:trPr>
          <w:trHeight w:val="345"/>
        </w:trPr>
        <w:tc>
          <w:tcPr>
            <w:tcW w:w="7140" w:type="dxa"/>
            <w:gridSpan w:val="3"/>
            <w:tcBorders>
              <w:top w:val="single" w:sz="4" w:space="0" w:color="auto"/>
              <w:left w:val="nil"/>
              <w:bottom w:val="nil"/>
              <w:right w:val="nil"/>
            </w:tcBorders>
            <w:shd w:val="clear" w:color="auto" w:fill="auto"/>
            <w:vAlign w:val="center"/>
          </w:tcPr>
          <w:p w14:paraId="791D2032" w14:textId="77777777" w:rsidR="005B68FD" w:rsidRDefault="005B68FD" w:rsidP="005B68FD">
            <w:pPr>
              <w:jc w:val="center"/>
              <w:rPr>
                <w:rFonts w:ascii="Tahoma" w:hAnsi="Tahoma" w:cs="Tahoma"/>
                <w:sz w:val="22"/>
                <w:szCs w:val="22"/>
              </w:rPr>
            </w:pPr>
          </w:p>
          <w:p w14:paraId="6D6929C1" w14:textId="77777777" w:rsidR="005B68FD" w:rsidRPr="002B249E" w:rsidRDefault="005B68FD" w:rsidP="005B68FD">
            <w:pPr>
              <w:rPr>
                <w:rFonts w:ascii="Tahoma" w:hAnsi="Tahoma" w:cs="Tahoma"/>
                <w:b/>
                <w:sz w:val="22"/>
                <w:szCs w:val="22"/>
              </w:rPr>
            </w:pPr>
            <w:r w:rsidRPr="002B249E">
              <w:rPr>
                <w:rFonts w:ascii="Tahoma" w:hAnsi="Tahoma" w:cs="Tahoma"/>
                <w:b/>
                <w:sz w:val="22"/>
                <w:szCs w:val="22"/>
              </w:rPr>
              <w:t>Примечания:</w:t>
            </w:r>
          </w:p>
        </w:tc>
        <w:tc>
          <w:tcPr>
            <w:tcW w:w="8023" w:type="dxa"/>
            <w:tcBorders>
              <w:top w:val="nil"/>
              <w:left w:val="nil"/>
              <w:bottom w:val="nil"/>
              <w:right w:val="nil"/>
            </w:tcBorders>
            <w:shd w:val="clear" w:color="auto" w:fill="auto"/>
            <w:vAlign w:val="center"/>
          </w:tcPr>
          <w:p w14:paraId="7673BA3C" w14:textId="77777777" w:rsidR="005B68FD" w:rsidRPr="005379F0" w:rsidRDefault="005B68FD" w:rsidP="005B68FD">
            <w:pPr>
              <w:jc w:val="center"/>
              <w:rPr>
                <w:rFonts w:ascii="Tahoma" w:hAnsi="Tahoma" w:cs="Tahoma"/>
                <w:sz w:val="22"/>
                <w:szCs w:val="22"/>
              </w:rPr>
            </w:pPr>
          </w:p>
        </w:tc>
      </w:tr>
      <w:tr w:rsidR="005B68FD" w:rsidRPr="005379F0" w14:paraId="2042E34D" w14:textId="77777777" w:rsidTr="005B68FD">
        <w:trPr>
          <w:trHeight w:val="429"/>
        </w:trPr>
        <w:tc>
          <w:tcPr>
            <w:tcW w:w="15163" w:type="dxa"/>
            <w:gridSpan w:val="4"/>
            <w:tcBorders>
              <w:top w:val="nil"/>
              <w:left w:val="nil"/>
              <w:bottom w:val="nil"/>
              <w:right w:val="nil"/>
            </w:tcBorders>
            <w:shd w:val="clear" w:color="auto" w:fill="auto"/>
            <w:vAlign w:val="center"/>
          </w:tcPr>
          <w:tbl>
            <w:tblPr>
              <w:tblW w:w="14501" w:type="dxa"/>
              <w:tblLook w:val="04A0" w:firstRow="1" w:lastRow="0" w:firstColumn="1" w:lastColumn="0" w:noHBand="0" w:noVBand="1"/>
            </w:tblPr>
            <w:tblGrid>
              <w:gridCol w:w="14501"/>
            </w:tblGrid>
            <w:tr w:rsidR="005B68FD" w14:paraId="6A33657D" w14:textId="77777777" w:rsidTr="005B68FD">
              <w:trPr>
                <w:trHeight w:val="870"/>
              </w:trPr>
              <w:tc>
                <w:tcPr>
                  <w:tcW w:w="14501" w:type="dxa"/>
                  <w:tcBorders>
                    <w:top w:val="nil"/>
                    <w:left w:val="nil"/>
                    <w:bottom w:val="nil"/>
                    <w:right w:val="nil"/>
                  </w:tcBorders>
                  <w:shd w:val="clear" w:color="auto" w:fill="auto"/>
                  <w:vAlign w:val="center"/>
                  <w:hideMark/>
                </w:tcPr>
                <w:p w14:paraId="6C072C17" w14:textId="77777777" w:rsidR="005B68FD" w:rsidRDefault="005B68FD" w:rsidP="005B68FD">
                  <w:pPr>
                    <w:rPr>
                      <w:rFonts w:ascii="Tahoma" w:hAnsi="Tahoma" w:cs="Tahoma"/>
                      <w:sz w:val="22"/>
                      <w:szCs w:val="22"/>
                    </w:rPr>
                  </w:pPr>
                  <w:r>
                    <w:rPr>
                      <w:rFonts w:ascii="Tahoma" w:hAnsi="Tahoma" w:cs="Tahoma"/>
                      <w:sz w:val="22"/>
                      <w:szCs w:val="22"/>
                      <w:vertAlign w:val="superscript"/>
                    </w:rPr>
                    <w:t>1</w:t>
                  </w:r>
                  <w:r>
                    <w:rPr>
                      <w:rFonts w:ascii="Tahoma" w:hAnsi="Tahoma" w:cs="Tahoma"/>
                      <w:sz w:val="22"/>
                      <w:szCs w:val="22"/>
                    </w:rPr>
                    <w:t>Карта – банковская (платежная) карта той платежной системы, карты которой эмитирует Банк</w:t>
                  </w:r>
                  <w:r>
                    <w:rPr>
                      <w:rFonts w:ascii="Tahoma" w:hAnsi="Tahoma" w:cs="Tahoma"/>
                      <w:sz w:val="22"/>
                      <w:szCs w:val="22"/>
                      <w:vertAlign w:val="superscript"/>
                    </w:rPr>
                    <w:t>3</w:t>
                  </w:r>
                  <w:r>
                    <w:rPr>
                      <w:rFonts w:ascii="Tahoma" w:hAnsi="Tahoma" w:cs="Tahoma"/>
                      <w:sz w:val="22"/>
                      <w:szCs w:val="22"/>
                    </w:rPr>
                    <w:t>, выпущенная Банком</w:t>
                  </w:r>
                  <w:r>
                    <w:rPr>
                      <w:rFonts w:ascii="Tahoma" w:hAnsi="Tahoma" w:cs="Tahoma"/>
                      <w:sz w:val="22"/>
                      <w:szCs w:val="22"/>
                      <w:vertAlign w:val="superscript"/>
                    </w:rPr>
                    <w:t>3</w:t>
                  </w:r>
                  <w:r>
                    <w:rPr>
                      <w:rFonts w:ascii="Tahoma" w:hAnsi="Tahoma" w:cs="Tahoma"/>
                      <w:sz w:val="22"/>
                      <w:szCs w:val="22"/>
                    </w:rPr>
                    <w:t xml:space="preserve"> для Клиента на имя Держателя карты на основании Заявления о банковском обслуживании при получении и использовании банковских (платежных) карт «Азиатско-Тихоокеанский Банк» (АО). Правила использования Карты устанавливаются нормативно-правовыми актами Банка России, платежной системой и Универсальным договором банковского обслуживания.</w:t>
                  </w:r>
                </w:p>
              </w:tc>
            </w:tr>
            <w:tr w:rsidR="005B68FD" w14:paraId="5944A11F" w14:textId="77777777" w:rsidTr="005B68FD">
              <w:trPr>
                <w:trHeight w:val="1043"/>
              </w:trPr>
              <w:tc>
                <w:tcPr>
                  <w:tcW w:w="14501" w:type="dxa"/>
                  <w:tcBorders>
                    <w:top w:val="nil"/>
                    <w:left w:val="nil"/>
                    <w:bottom w:val="nil"/>
                    <w:right w:val="nil"/>
                  </w:tcBorders>
                  <w:shd w:val="clear" w:color="auto" w:fill="auto"/>
                  <w:hideMark/>
                </w:tcPr>
                <w:p w14:paraId="50C9656B" w14:textId="77777777" w:rsidR="005B68FD" w:rsidRDefault="005B68FD" w:rsidP="005B68FD">
                  <w:pPr>
                    <w:rPr>
                      <w:rFonts w:ascii="Tahoma" w:hAnsi="Tahoma" w:cs="Tahoma"/>
                      <w:sz w:val="22"/>
                      <w:szCs w:val="22"/>
                    </w:rPr>
                  </w:pPr>
                  <w:r>
                    <w:rPr>
                      <w:rFonts w:ascii="Tahoma" w:hAnsi="Tahoma" w:cs="Tahoma"/>
                      <w:sz w:val="22"/>
                      <w:szCs w:val="22"/>
                      <w:vertAlign w:val="superscript"/>
                    </w:rPr>
                    <w:t>2</w:t>
                  </w:r>
                  <w:r>
                    <w:rPr>
                      <w:rFonts w:ascii="Tahoma" w:hAnsi="Tahoma" w:cs="Tahoma"/>
                      <w:sz w:val="22"/>
                      <w:szCs w:val="22"/>
                    </w:rPr>
                    <w:t>Карта национальной платежной системы «Мир». Для Клиентов-физических лиц, получающих выплаты, предусмотренные п.4 ч.5.5 ст.30.5 Федерального закона 161-ФЗ «О национальной платежной системе» от 27.06.2011г., на платежные (банковские) Карты национальной платежной системы «Мир», выпущенные Банком</w:t>
                  </w:r>
                  <w:r>
                    <w:rPr>
                      <w:rFonts w:ascii="Tahoma" w:hAnsi="Tahoma" w:cs="Tahoma"/>
                      <w:sz w:val="22"/>
                      <w:szCs w:val="22"/>
                      <w:vertAlign w:val="superscript"/>
                    </w:rPr>
                    <w:t>3</w:t>
                  </w:r>
                  <w:r>
                    <w:rPr>
                      <w:rFonts w:ascii="Tahoma" w:hAnsi="Tahoma" w:cs="Tahoma"/>
                      <w:sz w:val="22"/>
                      <w:szCs w:val="22"/>
                    </w:rPr>
                    <w:t xml:space="preserve">, операции, предусмотренные п.1 ч.5 ст.30.5 Федерального закона, производятся Банком безвозмездно. </w:t>
                  </w:r>
                </w:p>
              </w:tc>
            </w:tr>
            <w:tr w:rsidR="005B68FD" w14:paraId="6BBFEF33" w14:textId="77777777" w:rsidTr="005B68FD">
              <w:trPr>
                <w:trHeight w:val="360"/>
              </w:trPr>
              <w:tc>
                <w:tcPr>
                  <w:tcW w:w="14501" w:type="dxa"/>
                  <w:tcBorders>
                    <w:top w:val="nil"/>
                    <w:left w:val="nil"/>
                    <w:bottom w:val="nil"/>
                    <w:right w:val="nil"/>
                  </w:tcBorders>
                  <w:shd w:val="clear" w:color="auto" w:fill="auto"/>
                  <w:hideMark/>
                </w:tcPr>
                <w:p w14:paraId="38E607A4" w14:textId="77777777" w:rsidR="005B68FD" w:rsidRDefault="005B68FD" w:rsidP="005B68FD">
                  <w:pPr>
                    <w:rPr>
                      <w:rFonts w:ascii="Tahoma" w:hAnsi="Tahoma" w:cs="Tahoma"/>
                      <w:sz w:val="22"/>
                      <w:szCs w:val="22"/>
                    </w:rPr>
                  </w:pPr>
                  <w:r>
                    <w:rPr>
                      <w:rFonts w:ascii="Tahoma" w:hAnsi="Tahoma" w:cs="Tahoma"/>
                      <w:sz w:val="22"/>
                      <w:szCs w:val="22"/>
                      <w:vertAlign w:val="superscript"/>
                    </w:rPr>
                    <w:t>3</w:t>
                  </w:r>
                  <w:r>
                    <w:rPr>
                      <w:rFonts w:ascii="Tahoma" w:hAnsi="Tahoma" w:cs="Tahoma"/>
                      <w:sz w:val="22"/>
                      <w:szCs w:val="22"/>
                    </w:rPr>
                    <w:t>Банк – «Азиатско-Тихоокеанский Банк» (Акционерное общество).</w:t>
                  </w:r>
                </w:p>
              </w:tc>
            </w:tr>
            <w:tr w:rsidR="005B68FD" w14:paraId="1CF5B769" w14:textId="77777777" w:rsidTr="005B68FD">
              <w:trPr>
                <w:trHeight w:val="672"/>
              </w:trPr>
              <w:tc>
                <w:tcPr>
                  <w:tcW w:w="14501" w:type="dxa"/>
                  <w:tcBorders>
                    <w:top w:val="nil"/>
                    <w:left w:val="nil"/>
                    <w:bottom w:val="nil"/>
                    <w:right w:val="nil"/>
                  </w:tcBorders>
                  <w:shd w:val="clear" w:color="000000" w:fill="FFFFFF"/>
                  <w:hideMark/>
                </w:tcPr>
                <w:p w14:paraId="3D486273" w14:textId="77777777" w:rsidR="005B68FD" w:rsidRDefault="005B68FD" w:rsidP="005B68FD">
                  <w:pPr>
                    <w:rPr>
                      <w:rFonts w:ascii="Tahoma" w:hAnsi="Tahoma" w:cs="Tahoma"/>
                      <w:sz w:val="22"/>
                      <w:szCs w:val="22"/>
                    </w:rPr>
                  </w:pPr>
                  <w:r>
                    <w:rPr>
                      <w:rFonts w:ascii="Tahoma" w:hAnsi="Tahoma" w:cs="Tahoma"/>
                      <w:sz w:val="22"/>
                      <w:szCs w:val="22"/>
                      <w:vertAlign w:val="superscript"/>
                    </w:rPr>
                    <w:t>4</w:t>
                  </w:r>
                  <w:r>
                    <w:rPr>
                      <w:rFonts w:ascii="Tahoma" w:hAnsi="Tahoma" w:cs="Tahoma"/>
                      <w:sz w:val="22"/>
                      <w:szCs w:val="22"/>
                    </w:rPr>
                    <w:t xml:space="preserve">Под «Заработной платой» понимаются исключительно поступления денежных средств на счет Карты Клиента, которые можно отнести к таковым согласно действующему законодательству РФ.  </w:t>
                  </w:r>
                </w:p>
              </w:tc>
            </w:tr>
            <w:tr w:rsidR="005B68FD" w14:paraId="5EE01A8E" w14:textId="77777777" w:rsidTr="005B68FD">
              <w:trPr>
                <w:trHeight w:val="1815"/>
              </w:trPr>
              <w:tc>
                <w:tcPr>
                  <w:tcW w:w="14501" w:type="dxa"/>
                  <w:tcBorders>
                    <w:top w:val="nil"/>
                    <w:left w:val="nil"/>
                    <w:bottom w:val="nil"/>
                    <w:right w:val="nil"/>
                  </w:tcBorders>
                  <w:shd w:val="clear" w:color="000000" w:fill="FFFFFF"/>
                  <w:hideMark/>
                </w:tcPr>
                <w:p w14:paraId="198A04A0" w14:textId="77777777" w:rsidR="005B68FD" w:rsidRDefault="005B68FD" w:rsidP="005B68FD">
                  <w:pPr>
                    <w:rPr>
                      <w:rFonts w:ascii="Tahoma" w:hAnsi="Tahoma" w:cs="Tahoma"/>
                      <w:sz w:val="22"/>
                      <w:szCs w:val="22"/>
                    </w:rPr>
                  </w:pPr>
                  <w:r>
                    <w:rPr>
                      <w:rFonts w:ascii="Tahoma" w:hAnsi="Tahoma" w:cs="Tahoma"/>
                      <w:sz w:val="22"/>
                      <w:szCs w:val="22"/>
                      <w:vertAlign w:val="superscript"/>
                    </w:rPr>
                    <w:t>5</w:t>
                  </w:r>
                  <w:r>
                    <w:rPr>
                      <w:rFonts w:ascii="Tahoma" w:hAnsi="Tahoma" w:cs="Tahoma"/>
                      <w:sz w:val="22"/>
                      <w:szCs w:val="22"/>
                    </w:rPr>
                    <w:t>Отчётный период – временной период, за который Банком взимается комиссия за ежемесячное обслуживание Карты по настоящему Тарифному плану. Первый Отчётный период исчисляется со дня предоставления Клиентом Банку Заявления о банковском обслуживании при получении и использовании банковских (платежных) карт «Азиатско-Тихоокеанский Банк» (АО) до календарного дня в следующем месяце, соответствующего дню открытия Счета Карты включительно. Последующие Отчётные периоды исчисляются ежемесячно со дня, следующего за днём окончания предыдущего Отчётного периода, до дня, соответствующего дню открытия Счета Карты. Услуга Банком Клиенту не оказывается и плата за нее не взимается в случае отсутствия операций по Счету Карты в Отчётном периоде. Плата за услугу взимается Банком ежемесячно, на следующий день после окончания Отчётного периода.</w:t>
                  </w:r>
                </w:p>
              </w:tc>
            </w:tr>
            <w:tr w:rsidR="005B68FD" w14:paraId="62A8BF10" w14:textId="77777777" w:rsidTr="005B68FD">
              <w:trPr>
                <w:trHeight w:val="885"/>
              </w:trPr>
              <w:tc>
                <w:tcPr>
                  <w:tcW w:w="14501" w:type="dxa"/>
                  <w:tcBorders>
                    <w:top w:val="nil"/>
                    <w:left w:val="nil"/>
                    <w:bottom w:val="nil"/>
                    <w:right w:val="nil"/>
                  </w:tcBorders>
                  <w:shd w:val="clear" w:color="auto" w:fill="auto"/>
                  <w:hideMark/>
                </w:tcPr>
                <w:p w14:paraId="5667AEC6" w14:textId="77777777" w:rsidR="005B68FD" w:rsidRDefault="005B68FD" w:rsidP="005B68FD">
                  <w:pPr>
                    <w:rPr>
                      <w:rFonts w:ascii="Tahoma" w:hAnsi="Tahoma" w:cs="Tahoma"/>
                      <w:sz w:val="22"/>
                      <w:szCs w:val="22"/>
                    </w:rPr>
                  </w:pPr>
                  <w:r>
                    <w:rPr>
                      <w:rFonts w:ascii="Tahoma" w:hAnsi="Tahoma" w:cs="Tahoma"/>
                      <w:sz w:val="22"/>
                      <w:szCs w:val="22"/>
                      <w:vertAlign w:val="superscript"/>
                    </w:rPr>
                    <w:t>6</w:t>
                  </w:r>
                  <w:r>
                    <w:rPr>
                      <w:rFonts w:ascii="Tahoma" w:hAnsi="Tahoma" w:cs="Tahoma"/>
                      <w:sz w:val="22"/>
                      <w:szCs w:val="22"/>
                    </w:rPr>
                    <w:t>ТСП (торгово-сервисные предприятия) – юридическое или физическое лицо-индивидуальный предприниматель, самозанятый (за исключением кредитных организаций), осуществляющее реализацию товаров (услуг, работ, результатов интеллектуальной деятельности), оплата которых производится Клиентами Банка с использованием Карты/реквизитов Карты через электронные средства платежа (POS-терминалы, платежные терминалы), а также через сеть Интернет.</w:t>
                  </w:r>
                </w:p>
              </w:tc>
            </w:tr>
            <w:tr w:rsidR="005B68FD" w14:paraId="44059EBD" w14:textId="77777777" w:rsidTr="005B68FD">
              <w:trPr>
                <w:trHeight w:val="615"/>
              </w:trPr>
              <w:tc>
                <w:tcPr>
                  <w:tcW w:w="14501" w:type="dxa"/>
                  <w:tcBorders>
                    <w:top w:val="nil"/>
                    <w:left w:val="nil"/>
                    <w:bottom w:val="nil"/>
                    <w:right w:val="nil"/>
                  </w:tcBorders>
                  <w:shd w:val="clear" w:color="auto" w:fill="auto"/>
                  <w:vAlign w:val="bottom"/>
                  <w:hideMark/>
                </w:tcPr>
                <w:p w14:paraId="7EB6C08B" w14:textId="77777777" w:rsidR="005B68FD" w:rsidRDefault="005B68FD" w:rsidP="005B68FD">
                  <w:pPr>
                    <w:rPr>
                      <w:rFonts w:ascii="Tahoma" w:hAnsi="Tahoma" w:cs="Tahoma"/>
                      <w:color w:val="000000"/>
                      <w:sz w:val="22"/>
                      <w:szCs w:val="22"/>
                    </w:rPr>
                  </w:pPr>
                  <w:r>
                    <w:rPr>
                      <w:rFonts w:ascii="Tahoma" w:hAnsi="Tahoma" w:cs="Tahoma"/>
                      <w:color w:val="000000"/>
                      <w:sz w:val="22"/>
                      <w:szCs w:val="22"/>
                      <w:vertAlign w:val="superscript"/>
                    </w:rPr>
                    <w:t>7</w:t>
                  </w:r>
                  <w:r>
                    <w:rPr>
                      <w:rFonts w:ascii="Tahoma" w:hAnsi="Tahoma" w:cs="Tahoma"/>
                      <w:color w:val="000000"/>
                      <w:sz w:val="22"/>
                      <w:szCs w:val="22"/>
                    </w:rPr>
                    <w:t>Ежемесячный перевод процентов на Счет Карты возможен только, если валюта Вклада совпадает с валютой Счета Карты, которую Клиент выбрал для ежемесячного перевода процентов.</w:t>
                  </w:r>
                </w:p>
              </w:tc>
            </w:tr>
            <w:tr w:rsidR="005B68FD" w14:paraId="0669C1A4" w14:textId="77777777" w:rsidTr="005B68FD">
              <w:trPr>
                <w:trHeight w:val="2055"/>
              </w:trPr>
              <w:tc>
                <w:tcPr>
                  <w:tcW w:w="14501" w:type="dxa"/>
                  <w:tcBorders>
                    <w:top w:val="nil"/>
                    <w:left w:val="nil"/>
                    <w:bottom w:val="nil"/>
                    <w:right w:val="nil"/>
                  </w:tcBorders>
                  <w:shd w:val="clear" w:color="auto" w:fill="auto"/>
                  <w:hideMark/>
                </w:tcPr>
                <w:p w14:paraId="26A79772" w14:textId="77777777" w:rsidR="005B68FD" w:rsidRDefault="005B68FD" w:rsidP="005B68FD">
                  <w:pPr>
                    <w:rPr>
                      <w:rFonts w:ascii="Tahoma" w:hAnsi="Tahoma" w:cs="Tahoma"/>
                      <w:sz w:val="22"/>
                      <w:szCs w:val="22"/>
                    </w:rPr>
                  </w:pPr>
                  <w:r>
                    <w:rPr>
                      <w:rFonts w:ascii="Tahoma" w:hAnsi="Tahoma" w:cs="Tahoma"/>
                      <w:sz w:val="22"/>
                      <w:szCs w:val="22"/>
                      <w:vertAlign w:val="superscript"/>
                    </w:rPr>
                    <w:t>8</w:t>
                  </w:r>
                  <w:r>
                    <w:rPr>
                      <w:rFonts w:ascii="Tahoma" w:hAnsi="Tahoma" w:cs="Tahoma"/>
                      <w:sz w:val="22"/>
                      <w:szCs w:val="22"/>
                    </w:rPr>
                    <w:t>Период – временной период, за который Клиенту на остаток денежных средств на Счете Карты Банком начисляются проценты. Первый Период исчисляется со дня, следующего за днем внесения денежных средств на Счет Карты по день текущего (либо следующего, в случае отсутствия такого дня в текущем) месяца включительно, соответствующий дню открытия Счета Карты. Последующие Периоды исчисляются ежемесячно со дня, следующего после дня окончания предыдущего Периода по календарный день следующего месяца включительно, соответствующий дню открытия Счета Карты. Проценты начисляются Банком на остаток денежных средств, находящийся на Счете Карты на начало операционного дня в течение всего отчетного Периода, за который осуществляется выплата процентов. Дата выплаты начисленных процентов за Период происходит в последний день Периода. Если в каком-либо календарном месяце отсутствует число, на которое должен приходиться день окончания Периода, Банк производит выплату процентов в последний существующий день Периода.</w:t>
                  </w:r>
                </w:p>
              </w:tc>
            </w:tr>
            <w:tr w:rsidR="005B68FD" w14:paraId="1B13C57C" w14:textId="77777777" w:rsidTr="005B68FD">
              <w:trPr>
                <w:trHeight w:val="645"/>
              </w:trPr>
              <w:tc>
                <w:tcPr>
                  <w:tcW w:w="14501" w:type="dxa"/>
                  <w:tcBorders>
                    <w:top w:val="nil"/>
                    <w:left w:val="nil"/>
                    <w:bottom w:val="nil"/>
                    <w:right w:val="nil"/>
                  </w:tcBorders>
                  <w:shd w:val="clear" w:color="auto" w:fill="auto"/>
                  <w:hideMark/>
                </w:tcPr>
                <w:p w14:paraId="22366029" w14:textId="77777777" w:rsidR="005B68FD" w:rsidRDefault="005B68FD" w:rsidP="005B68FD">
                  <w:pPr>
                    <w:rPr>
                      <w:rFonts w:ascii="Tahoma" w:hAnsi="Tahoma" w:cs="Tahoma"/>
                      <w:sz w:val="22"/>
                      <w:szCs w:val="22"/>
                    </w:rPr>
                  </w:pPr>
                  <w:r>
                    <w:rPr>
                      <w:rFonts w:ascii="Tahoma" w:hAnsi="Tahoma" w:cs="Tahoma"/>
                      <w:sz w:val="22"/>
                      <w:szCs w:val="22"/>
                      <w:vertAlign w:val="superscript"/>
                    </w:rPr>
                    <w:t>9</w:t>
                  </w:r>
                  <w:r>
                    <w:rPr>
                      <w:rFonts w:ascii="Tahoma" w:hAnsi="Tahoma" w:cs="Tahoma"/>
                      <w:sz w:val="22"/>
                      <w:szCs w:val="22"/>
                    </w:rPr>
                    <w:t>Выдача денежных средств в кассах Банка производится без ограничений (за исключением случаев, предусмотренных законодательством Российской Федерации) с предъявлением документа, удостоверяющего личность.</w:t>
                  </w:r>
                </w:p>
              </w:tc>
            </w:tr>
            <w:tr w:rsidR="005B68FD" w14:paraId="7371D554" w14:textId="77777777" w:rsidTr="005B68FD">
              <w:trPr>
                <w:trHeight w:val="578"/>
              </w:trPr>
              <w:tc>
                <w:tcPr>
                  <w:tcW w:w="14501" w:type="dxa"/>
                  <w:tcBorders>
                    <w:top w:val="nil"/>
                    <w:left w:val="nil"/>
                    <w:bottom w:val="nil"/>
                    <w:right w:val="nil"/>
                  </w:tcBorders>
                  <w:shd w:val="clear" w:color="000000" w:fill="FFFFFF"/>
                  <w:hideMark/>
                </w:tcPr>
                <w:p w14:paraId="608BEF8D" w14:textId="77777777" w:rsidR="005B68FD" w:rsidRDefault="005B68FD" w:rsidP="005B68FD">
                  <w:pPr>
                    <w:rPr>
                      <w:rFonts w:ascii="Tahoma" w:hAnsi="Tahoma" w:cs="Tahoma"/>
                      <w:sz w:val="22"/>
                      <w:szCs w:val="22"/>
                    </w:rPr>
                  </w:pPr>
                  <w:r>
                    <w:rPr>
                      <w:rFonts w:ascii="Tahoma" w:hAnsi="Tahoma" w:cs="Tahoma"/>
                      <w:sz w:val="22"/>
                      <w:szCs w:val="22"/>
                      <w:vertAlign w:val="superscript"/>
                    </w:rPr>
                    <w:t>10</w:t>
                  </w:r>
                  <w:r>
                    <w:rPr>
                      <w:rFonts w:ascii="Tahoma" w:hAnsi="Tahoma" w:cs="Tahoma"/>
                      <w:sz w:val="22"/>
                      <w:szCs w:val="22"/>
                    </w:rPr>
                    <w:t>Платежными системами и ТСП</w:t>
                  </w:r>
                  <w:r>
                    <w:rPr>
                      <w:rFonts w:ascii="Tahoma" w:hAnsi="Tahoma" w:cs="Tahoma"/>
                      <w:sz w:val="22"/>
                      <w:szCs w:val="22"/>
                      <w:vertAlign w:val="superscript"/>
                    </w:rPr>
                    <w:t>8</w:t>
                  </w:r>
                  <w:r>
                    <w:rPr>
                      <w:rFonts w:ascii="Tahoma" w:hAnsi="Tahoma" w:cs="Tahoma"/>
                      <w:sz w:val="22"/>
                      <w:szCs w:val="22"/>
                    </w:rPr>
                    <w:t xml:space="preserve"> могут быть установлены собственные ограничения по предоставлению данной услуги. О наличии услуги и ограничениях по ней необходимо уточнять в ТСП.</w:t>
                  </w:r>
                </w:p>
              </w:tc>
            </w:tr>
            <w:tr w:rsidR="005B68FD" w14:paraId="55EF46E8" w14:textId="77777777" w:rsidTr="005B68FD">
              <w:trPr>
                <w:trHeight w:val="675"/>
              </w:trPr>
              <w:tc>
                <w:tcPr>
                  <w:tcW w:w="14501" w:type="dxa"/>
                  <w:tcBorders>
                    <w:top w:val="nil"/>
                    <w:left w:val="nil"/>
                    <w:bottom w:val="nil"/>
                    <w:right w:val="nil"/>
                  </w:tcBorders>
                  <w:shd w:val="clear" w:color="000000" w:fill="FFFFFF"/>
                  <w:hideMark/>
                </w:tcPr>
                <w:p w14:paraId="7111E0F0" w14:textId="77777777" w:rsidR="005B68FD" w:rsidRDefault="005B68FD" w:rsidP="005B68FD">
                  <w:pPr>
                    <w:rPr>
                      <w:rFonts w:ascii="Tahoma" w:hAnsi="Tahoma" w:cs="Tahoma"/>
                      <w:sz w:val="22"/>
                      <w:szCs w:val="22"/>
                    </w:rPr>
                  </w:pPr>
                  <w:r>
                    <w:rPr>
                      <w:rFonts w:ascii="Tahoma" w:hAnsi="Tahoma" w:cs="Tahoma"/>
                      <w:sz w:val="22"/>
                      <w:szCs w:val="22"/>
                      <w:vertAlign w:val="superscript"/>
                    </w:rPr>
                    <w:t>11</w:t>
                  </w:r>
                  <w:r>
                    <w:rPr>
                      <w:rFonts w:ascii="Tahoma" w:hAnsi="Tahoma" w:cs="Tahoma"/>
                      <w:sz w:val="22"/>
                      <w:szCs w:val="22"/>
                    </w:rPr>
                    <w:t>Счет Карты – текущий банковский счет, открываемый в соответствии с настоящим Тарифным планом Банком Клиенту в рамках заключения Договора Карты между Банком и Клиентом.</w:t>
                  </w:r>
                </w:p>
              </w:tc>
            </w:tr>
            <w:tr w:rsidR="005B68FD" w14:paraId="6560DE50" w14:textId="77777777" w:rsidTr="005B68FD">
              <w:trPr>
                <w:trHeight w:val="585"/>
              </w:trPr>
              <w:tc>
                <w:tcPr>
                  <w:tcW w:w="14501" w:type="dxa"/>
                  <w:tcBorders>
                    <w:top w:val="nil"/>
                    <w:left w:val="nil"/>
                    <w:bottom w:val="nil"/>
                    <w:right w:val="nil"/>
                  </w:tcBorders>
                  <w:shd w:val="clear" w:color="000000" w:fill="FFFFFF"/>
                  <w:hideMark/>
                </w:tcPr>
                <w:p w14:paraId="57800587" w14:textId="77777777" w:rsidR="005B68FD" w:rsidRDefault="005B68FD" w:rsidP="005B68FD">
                  <w:pPr>
                    <w:rPr>
                      <w:rFonts w:ascii="Tahoma" w:hAnsi="Tahoma" w:cs="Tahoma"/>
                      <w:color w:val="000000"/>
                      <w:sz w:val="22"/>
                      <w:szCs w:val="22"/>
                    </w:rPr>
                  </w:pPr>
                  <w:r>
                    <w:rPr>
                      <w:rFonts w:ascii="Tahoma" w:hAnsi="Tahoma" w:cs="Tahoma"/>
                      <w:color w:val="000000"/>
                      <w:sz w:val="22"/>
                      <w:szCs w:val="22"/>
                      <w:vertAlign w:val="superscript"/>
                    </w:rPr>
                    <w:t>12</w:t>
                  </w:r>
                  <w:r>
                    <w:rPr>
                      <w:rFonts w:ascii="Tahoma" w:hAnsi="Tahoma" w:cs="Tahoma"/>
                      <w:color w:val="000000"/>
                      <w:sz w:val="22"/>
                      <w:szCs w:val="22"/>
                    </w:rPr>
                    <w:t>Возможно взимание дополнительной комиссии за взнос и выдачу наличных в розничной сети партнеров Банка, а также другими банками за взнос и выдачу наличных по Карте Банка в их устройствах.</w:t>
                  </w:r>
                </w:p>
              </w:tc>
            </w:tr>
            <w:tr w:rsidR="005B68FD" w14:paraId="64771E5C" w14:textId="77777777" w:rsidTr="005B68FD">
              <w:trPr>
                <w:trHeight w:val="623"/>
              </w:trPr>
              <w:tc>
                <w:tcPr>
                  <w:tcW w:w="14501" w:type="dxa"/>
                  <w:tcBorders>
                    <w:top w:val="nil"/>
                    <w:left w:val="nil"/>
                    <w:bottom w:val="nil"/>
                    <w:right w:val="nil"/>
                  </w:tcBorders>
                  <w:shd w:val="clear" w:color="000000" w:fill="FFFFFF"/>
                  <w:hideMark/>
                </w:tcPr>
                <w:p w14:paraId="503D8DD6" w14:textId="77777777" w:rsidR="005B68FD" w:rsidRDefault="005B68FD" w:rsidP="005B68FD">
                  <w:pPr>
                    <w:rPr>
                      <w:rFonts w:ascii="Tahoma" w:hAnsi="Tahoma" w:cs="Tahoma"/>
                      <w:sz w:val="22"/>
                      <w:szCs w:val="22"/>
                    </w:rPr>
                  </w:pPr>
                  <w:r>
                    <w:rPr>
                      <w:rFonts w:ascii="Tahoma" w:hAnsi="Tahoma" w:cs="Tahoma"/>
                      <w:sz w:val="22"/>
                      <w:szCs w:val="22"/>
                      <w:vertAlign w:val="superscript"/>
                    </w:rPr>
                    <w:t>13</w:t>
                  </w:r>
                  <w:r>
                    <w:rPr>
                      <w:rFonts w:ascii="Tahoma" w:hAnsi="Tahoma" w:cs="Tahoma"/>
                      <w:sz w:val="22"/>
                      <w:szCs w:val="22"/>
                    </w:rPr>
                    <w:t>По безналичным операциям с МСС-кодами: 4829 «Денежные переводы», 6012 «Финансовые институты – торговля и услуги», 6538 «Денежные переводы с Карты на Карту», 6534 «Платежная операция», 6051 «Квази-Кэш в нефинансовые учреждения» – комиссия не взимается.</w:t>
                  </w:r>
                </w:p>
              </w:tc>
            </w:tr>
            <w:tr w:rsidR="005B68FD" w14:paraId="20B8F1F0" w14:textId="77777777" w:rsidTr="005B68FD">
              <w:trPr>
                <w:trHeight w:val="600"/>
              </w:trPr>
              <w:tc>
                <w:tcPr>
                  <w:tcW w:w="14501" w:type="dxa"/>
                  <w:tcBorders>
                    <w:top w:val="nil"/>
                    <w:left w:val="nil"/>
                    <w:bottom w:val="nil"/>
                    <w:right w:val="nil"/>
                  </w:tcBorders>
                  <w:shd w:val="clear" w:color="auto" w:fill="auto"/>
                  <w:hideMark/>
                </w:tcPr>
                <w:p w14:paraId="48D4A489" w14:textId="77777777" w:rsidR="005B68FD" w:rsidRDefault="005B68FD" w:rsidP="005B68FD">
                  <w:pPr>
                    <w:rPr>
                      <w:rFonts w:ascii="Tahoma" w:hAnsi="Tahoma" w:cs="Tahoma"/>
                      <w:sz w:val="22"/>
                      <w:szCs w:val="22"/>
                    </w:rPr>
                  </w:pPr>
                  <w:r>
                    <w:rPr>
                      <w:rFonts w:ascii="Tahoma" w:hAnsi="Tahoma" w:cs="Tahoma"/>
                      <w:sz w:val="22"/>
                      <w:szCs w:val="22"/>
                      <w:vertAlign w:val="superscript"/>
                    </w:rPr>
                    <w:t>14</w:t>
                  </w:r>
                  <w:r>
                    <w:rPr>
                      <w:rFonts w:ascii="Tahoma" w:hAnsi="Tahoma" w:cs="Tahoma"/>
                      <w:sz w:val="22"/>
                      <w:szCs w:val="22"/>
                    </w:rPr>
                    <w:t>В случае отсутствия на Счете Карты Клиента доступных денежных средств в размере, необходимом для списания комиссии за услугу, услуга Клиенту не оказывается, комиссия не взимается.</w:t>
                  </w:r>
                </w:p>
              </w:tc>
            </w:tr>
            <w:tr w:rsidR="005B68FD" w14:paraId="444B4BB7" w14:textId="77777777" w:rsidTr="005B68FD">
              <w:trPr>
                <w:trHeight w:val="1485"/>
              </w:trPr>
              <w:tc>
                <w:tcPr>
                  <w:tcW w:w="14501" w:type="dxa"/>
                  <w:tcBorders>
                    <w:top w:val="nil"/>
                    <w:left w:val="nil"/>
                    <w:bottom w:val="nil"/>
                    <w:right w:val="nil"/>
                  </w:tcBorders>
                  <w:shd w:val="clear" w:color="auto" w:fill="auto"/>
                  <w:hideMark/>
                </w:tcPr>
                <w:p w14:paraId="722659AE" w14:textId="77777777" w:rsidR="005B68FD" w:rsidRDefault="005B68FD" w:rsidP="005B68FD">
                  <w:pPr>
                    <w:rPr>
                      <w:rFonts w:ascii="Tahoma" w:hAnsi="Tahoma" w:cs="Tahoma"/>
                      <w:sz w:val="22"/>
                      <w:szCs w:val="22"/>
                    </w:rPr>
                  </w:pPr>
                  <w:r>
                    <w:rPr>
                      <w:rFonts w:ascii="Tahoma" w:hAnsi="Tahoma" w:cs="Tahoma"/>
                      <w:sz w:val="22"/>
                      <w:szCs w:val="22"/>
                      <w:vertAlign w:val="superscript"/>
                    </w:rPr>
                    <w:t>15</w:t>
                  </w:r>
                  <w:r>
                    <w:rPr>
                      <w:rFonts w:ascii="Tahoma" w:hAnsi="Tahoma" w:cs="Tahoma"/>
                      <w:sz w:val="22"/>
                      <w:szCs w:val="22"/>
                    </w:rPr>
                    <w:t>Подключение Программы лояльности Акционерного общества «Национальная система платежных карт» (по тексту – Программа лояльности АО «НСПК») происходит по волеизъявлению Клиента автоматически при выдаче Клиенту Карты платежной системы «Мир». Клиент имеет право выразить отказ в подключении к Программе лояльности АО «НСПК», а также подключать/отключать ее самостоятельно посредством личного кабинета Программы лояльности АО «НСПК». Подключение Программы лояльности АО «НСПК» происходит исключительно на условиях действующих Правил программы лояльности "Привет, мир!" Акционерного общества «Национальная система платежных карт», размещенных на его Официальном сайте privetmir.ru, и исключительно к Картам платежной системы «Мир».</w:t>
                  </w:r>
                </w:p>
              </w:tc>
            </w:tr>
            <w:tr w:rsidR="005B68FD" w14:paraId="1EDD5DFB" w14:textId="77777777" w:rsidTr="005B68FD">
              <w:trPr>
                <w:trHeight w:val="360"/>
              </w:trPr>
              <w:tc>
                <w:tcPr>
                  <w:tcW w:w="14501" w:type="dxa"/>
                  <w:tcBorders>
                    <w:top w:val="nil"/>
                    <w:left w:val="nil"/>
                    <w:bottom w:val="nil"/>
                    <w:right w:val="nil"/>
                  </w:tcBorders>
                  <w:shd w:val="clear" w:color="auto" w:fill="auto"/>
                  <w:hideMark/>
                </w:tcPr>
                <w:p w14:paraId="17A48DB7" w14:textId="77777777" w:rsidR="005B68FD" w:rsidRDefault="005B68FD" w:rsidP="005B68FD">
                  <w:pPr>
                    <w:rPr>
                      <w:rFonts w:ascii="Tahoma" w:hAnsi="Tahoma" w:cs="Tahoma"/>
                      <w:sz w:val="22"/>
                      <w:szCs w:val="22"/>
                    </w:rPr>
                  </w:pPr>
                  <w:r>
                    <w:rPr>
                      <w:rFonts w:ascii="Tahoma" w:hAnsi="Tahoma" w:cs="Tahoma"/>
                      <w:sz w:val="22"/>
                      <w:szCs w:val="22"/>
                      <w:vertAlign w:val="superscript"/>
                    </w:rPr>
                    <w:t>16</w:t>
                  </w:r>
                  <w:r>
                    <w:rPr>
                      <w:rFonts w:ascii="Tahoma" w:hAnsi="Tahoma" w:cs="Tahoma"/>
                      <w:sz w:val="22"/>
                      <w:szCs w:val="22"/>
                    </w:rPr>
                    <w:t>Другой банк может взимать комиссию согласно своим тарифам.</w:t>
                  </w:r>
                </w:p>
              </w:tc>
            </w:tr>
            <w:tr w:rsidR="005B68FD" w14:paraId="2C5ED492" w14:textId="77777777" w:rsidTr="005B68FD">
              <w:trPr>
                <w:trHeight w:val="2532"/>
              </w:trPr>
              <w:tc>
                <w:tcPr>
                  <w:tcW w:w="14501" w:type="dxa"/>
                  <w:tcBorders>
                    <w:top w:val="nil"/>
                    <w:left w:val="nil"/>
                    <w:bottom w:val="nil"/>
                    <w:right w:val="nil"/>
                  </w:tcBorders>
                  <w:shd w:val="clear" w:color="auto" w:fill="auto"/>
                  <w:hideMark/>
                </w:tcPr>
                <w:p w14:paraId="2D6B1803" w14:textId="77777777" w:rsidR="005B68FD" w:rsidRPr="00786524" w:rsidRDefault="005B68FD" w:rsidP="005B68FD">
                  <w:pPr>
                    <w:rPr>
                      <w:rFonts w:ascii="Tahoma" w:hAnsi="Tahoma" w:cs="Tahoma"/>
                      <w:sz w:val="22"/>
                      <w:szCs w:val="22"/>
                    </w:rPr>
                  </w:pPr>
                  <w:r w:rsidRPr="00786524">
                    <w:rPr>
                      <w:rFonts w:ascii="Tahoma" w:hAnsi="Tahoma" w:cs="Tahoma"/>
                      <w:sz w:val="22"/>
                      <w:szCs w:val="22"/>
                      <w:vertAlign w:val="superscript"/>
                    </w:rPr>
                    <w:t>17</w:t>
                  </w:r>
                  <w:r w:rsidRPr="00786524">
                    <w:rPr>
                      <w:rFonts w:ascii="Tahoma" w:hAnsi="Tahoma" w:cs="Tahoma"/>
                      <w:sz w:val="22"/>
                      <w:szCs w:val="22"/>
                    </w:rPr>
                    <w:t>Банк не взимает комиссию за осуществление по поручению физического лица операций по переводу денежных средств в рублях в размере в совокупности ежемесячно не более 30 000 000 рублей с банковского счета/вклада физического лица, открытого в Банке, на банковский счет/вклад этого физического лица, открытый в другой кредитной организации, или специальный счет оператора финансовой платформы, бенефициаром по которому выступает это физическое лицо. Банк не устанавливает ограничения размера/количества таких операций в пределах указанного в настоящем пункте совокупного ежемесячного размера операций (вне зависимости от используемого при переводе денежных средств сервиса, в т.ч. при переводе в Сервисе быстрых платежей платежной системы Банка России, Каналах ДБО).</w:t>
                  </w:r>
                </w:p>
                <w:p w14:paraId="0084FCEA" w14:textId="77777777" w:rsidR="005B68FD" w:rsidRPr="00786524" w:rsidRDefault="005B68FD" w:rsidP="005B68FD">
                  <w:pPr>
                    <w:rPr>
                      <w:rFonts w:ascii="Tahoma" w:hAnsi="Tahoma" w:cs="Tahoma"/>
                      <w:sz w:val="22"/>
                      <w:szCs w:val="22"/>
                    </w:rPr>
                  </w:pPr>
                  <w:r w:rsidRPr="00786524">
                    <w:rPr>
                      <w:rFonts w:ascii="Tahoma" w:hAnsi="Tahoma" w:cs="Tahoma"/>
                      <w:sz w:val="22"/>
                      <w:szCs w:val="22"/>
                    </w:rPr>
                    <w:t>Правила, определенные выше в настоящем пункте, не распространяются на: 1) операции по переводу денежных средств, осуществляемые при личном присутствии физического лица или его представителя в Банке; 2) операции по переводу денежных средств с использованием платежных карт, осуществляемые по правилам платежных систем, в рамках которых эмитируются платежные карты.</w:t>
                  </w:r>
                </w:p>
                <w:p w14:paraId="08E75DF9" w14:textId="77777777" w:rsidR="005B68FD" w:rsidRPr="00786524" w:rsidRDefault="005B68FD" w:rsidP="005B68FD">
                  <w:pPr>
                    <w:rPr>
                      <w:rFonts w:ascii="Tahoma" w:hAnsi="Tahoma" w:cs="Tahoma"/>
                      <w:sz w:val="22"/>
                      <w:szCs w:val="22"/>
                    </w:rPr>
                  </w:pPr>
                  <w:r w:rsidRPr="00786524">
                    <w:rPr>
                      <w:rFonts w:ascii="Tahoma" w:hAnsi="Tahoma" w:cs="Tahoma"/>
                      <w:sz w:val="22"/>
                      <w:szCs w:val="22"/>
                    </w:rPr>
                    <w:t>Банк не взимает комиссию за перечисление платы за жилое помещение и коммунальные услуги, пеней за несвоевременное и (или) неполное внесение платы за жилое помещение и коммунальные услуги для категории клиентов, перечень которых установлен Распоряжением Правительства РФ №1059-р от 27 апреля 2024 г. в соответствии со статьей 155 Жилищного кодекса РФ, статьей 29 Федерального закона «О банках и банковской де</w:t>
                  </w:r>
                  <w:r>
                    <w:rPr>
                      <w:rFonts w:ascii="Tahoma" w:hAnsi="Tahoma" w:cs="Tahoma"/>
                      <w:sz w:val="22"/>
                      <w:szCs w:val="22"/>
                    </w:rPr>
                    <w:t>ятельности».</w:t>
                  </w:r>
                  <w:r w:rsidRPr="00786524">
                    <w:rPr>
                      <w:rFonts w:ascii="Tahoma" w:hAnsi="Tahoma" w:cs="Tahoma"/>
                      <w:sz w:val="22"/>
                      <w:szCs w:val="22"/>
                    </w:rPr>
                    <w:tab/>
                  </w:r>
                </w:p>
                <w:p w14:paraId="2F0CDF71" w14:textId="77777777" w:rsidR="005B68FD" w:rsidRPr="00786524" w:rsidRDefault="005B68FD" w:rsidP="005B68FD">
                  <w:pPr>
                    <w:rPr>
                      <w:rFonts w:ascii="Tahoma" w:hAnsi="Tahoma" w:cs="Tahoma"/>
                      <w:sz w:val="22"/>
                      <w:szCs w:val="22"/>
                    </w:rPr>
                  </w:pPr>
                  <w:r w:rsidRPr="00786524">
                    <w:rPr>
                      <w:rFonts w:ascii="Tahoma" w:hAnsi="Tahoma" w:cs="Tahoma"/>
                      <w:sz w:val="22"/>
                      <w:szCs w:val="22"/>
                    </w:rPr>
                    <w:t>Операции по счетам, вкладам и использование Карт осуществляются с учетом ограничений, установленных платежной системой АО НСПК Мир, иными уполномоченными лицами/органами Российской Федерации и иностранных государств, международными организациями, а также законодательством Российской Федерации, в том числе актами Центрального банка РФ.</w:t>
                  </w:r>
                </w:p>
                <w:p w14:paraId="1BE4CA0E" w14:textId="77777777" w:rsidR="005B68FD" w:rsidRPr="00786524" w:rsidRDefault="005B68FD" w:rsidP="005B68FD">
                  <w:pPr>
                    <w:rPr>
                      <w:rFonts w:ascii="Tahoma" w:hAnsi="Tahoma" w:cs="Tahoma"/>
                      <w:sz w:val="22"/>
                      <w:szCs w:val="22"/>
                    </w:rPr>
                  </w:pPr>
                  <w:r w:rsidRPr="00786524">
                    <w:rPr>
                      <w:rFonts w:ascii="Tahoma" w:hAnsi="Tahoma" w:cs="Tahoma"/>
                      <w:sz w:val="22"/>
                      <w:szCs w:val="22"/>
                    </w:rPr>
                    <w:t>Все предусмотренные настоящим документом платежи взимаются (списываются) Банком в порядке прямого дебетования (списание по заранее данному акцепту) со Счета Карты Клиента в Банке и(или) иных счетов Клиента в Банке в момент совершения соответствующей операции, если иное не установлено настоящим документом/договором с Клиентом.</w:t>
                  </w:r>
                </w:p>
                <w:p w14:paraId="33284EAB" w14:textId="77777777" w:rsidR="005B68FD" w:rsidRDefault="005B68FD" w:rsidP="005B68FD">
                  <w:pPr>
                    <w:rPr>
                      <w:rFonts w:ascii="Tahoma" w:hAnsi="Tahoma" w:cs="Tahoma"/>
                      <w:sz w:val="22"/>
                      <w:szCs w:val="22"/>
                    </w:rPr>
                  </w:pPr>
                  <w:r w:rsidRPr="00786524">
                    <w:rPr>
                      <w:rFonts w:ascii="Tahoma" w:hAnsi="Tahoma" w:cs="Tahoma"/>
                      <w:sz w:val="22"/>
                      <w:szCs w:val="22"/>
                    </w:rPr>
                    <w:t>Не указанные в настоящем документе термины применяются в значении, указанном в Универсальном договоре банковского обслуживания физических лиц «Азиатско-Тихоокеанский Банк» (АО), размещённом на Сайте Банка www</w:t>
                  </w:r>
                  <w:r>
                    <w:rPr>
                      <w:rFonts w:ascii="Tahoma" w:hAnsi="Tahoma" w:cs="Tahoma"/>
                      <w:sz w:val="22"/>
                      <w:szCs w:val="22"/>
                    </w:rPr>
                    <w:t>.atb.su, Подразделениях Банка.</w:t>
                  </w:r>
                </w:p>
              </w:tc>
            </w:tr>
          </w:tbl>
          <w:p w14:paraId="4D0DAA16" w14:textId="77777777" w:rsidR="005B68FD" w:rsidRPr="005379F0" w:rsidRDefault="005B68FD" w:rsidP="005B68FD">
            <w:pPr>
              <w:rPr>
                <w:rFonts w:ascii="Tahoma" w:hAnsi="Tahoma" w:cs="Tahoma"/>
                <w:sz w:val="22"/>
                <w:szCs w:val="22"/>
              </w:rPr>
            </w:pPr>
          </w:p>
        </w:tc>
      </w:tr>
    </w:tbl>
    <w:p w14:paraId="4116BFEA" w14:textId="77777777" w:rsidR="005B68FD" w:rsidRPr="005379F0" w:rsidRDefault="005B68FD" w:rsidP="005B68FD">
      <w:pPr>
        <w:rPr>
          <w:rFonts w:ascii="Tahoma" w:hAnsi="Tahoma" w:cs="Tahoma"/>
          <w:sz w:val="22"/>
          <w:szCs w:val="22"/>
        </w:rPr>
        <w:sectPr w:rsidR="005B68FD" w:rsidRPr="005379F0" w:rsidSect="002F6A9F">
          <w:footerReference w:type="default" r:id="rId88"/>
          <w:endnotePr>
            <w:numFmt w:val="decimal"/>
          </w:endnotePr>
          <w:pgSz w:w="16838" w:h="11906" w:orient="landscape"/>
          <w:pgMar w:top="567" w:right="567" w:bottom="0" w:left="1134" w:header="709" w:footer="105" w:gutter="0"/>
          <w:cols w:space="708"/>
          <w:titlePg/>
          <w:docGrid w:linePitch="360"/>
        </w:sectPr>
      </w:pPr>
    </w:p>
    <w:p w14:paraId="20CD3DAA" w14:textId="77777777" w:rsidR="005B68FD" w:rsidRPr="007B01D8" w:rsidRDefault="005B68FD" w:rsidP="000B3718">
      <w:pPr>
        <w:pStyle w:val="a5"/>
      </w:pPr>
      <w:r w:rsidRPr="007B01D8">
        <w:t>4.</w:t>
      </w:r>
      <w:r>
        <w:t>1.</w:t>
      </w:r>
      <w:r w:rsidRPr="007B01D8">
        <w:t>4.</w:t>
      </w:r>
      <w:r w:rsidRPr="007B01D8">
        <w:tab/>
      </w:r>
      <w:r>
        <w:t>ТАРИФНЫЙ ПЛАН «АТБ КАРТА</w:t>
      </w:r>
      <w:r w:rsidRPr="007B01D8">
        <w:t xml:space="preserve"> </w:t>
      </w:r>
      <w:r>
        <w:t>(</w:t>
      </w:r>
      <w:r w:rsidRPr="007B01D8">
        <w:t>СОЦИАЛЬНАЯ КАРТА АМУРСКОЙ ОБЛАСТИ</w:t>
      </w:r>
      <w:r>
        <w:t>)</w:t>
      </w:r>
      <w:r w:rsidRPr="007B01D8">
        <w:t>»</w:t>
      </w:r>
      <w:r w:rsidRPr="00013CFB">
        <w:rPr>
          <w:vertAlign w:val="superscript"/>
        </w:rPr>
        <w:t>17</w:t>
      </w:r>
    </w:p>
    <w:p w14:paraId="7CC36B6F" w14:textId="77777777" w:rsidR="005B68FD" w:rsidRPr="005379F0" w:rsidRDefault="005B68FD" w:rsidP="005B68FD">
      <w:pPr>
        <w:rPr>
          <w:rFonts w:ascii="Tahoma" w:hAnsi="Tahoma" w:cs="Tahoma"/>
          <w:sz w:val="22"/>
          <w:szCs w:val="22"/>
        </w:rPr>
      </w:pPr>
    </w:p>
    <w:tbl>
      <w:tblPr>
        <w:tblW w:w="14879" w:type="dxa"/>
        <w:tblLook w:val="04A0" w:firstRow="1" w:lastRow="0" w:firstColumn="1" w:lastColumn="0" w:noHBand="0" w:noVBand="1"/>
      </w:tblPr>
      <w:tblGrid>
        <w:gridCol w:w="820"/>
        <w:gridCol w:w="5554"/>
        <w:gridCol w:w="8505"/>
      </w:tblGrid>
      <w:tr w:rsidR="005B68FD" w:rsidRPr="005379F0" w14:paraId="36473148" w14:textId="77777777" w:rsidTr="005B68FD">
        <w:trPr>
          <w:trHeight w:val="276"/>
        </w:trPr>
        <w:tc>
          <w:tcPr>
            <w:tcW w:w="6374" w:type="dxa"/>
            <w:gridSpan w:val="2"/>
            <w:tcBorders>
              <w:top w:val="single" w:sz="4" w:space="0" w:color="auto"/>
              <w:left w:val="single" w:sz="4" w:space="0" w:color="auto"/>
              <w:bottom w:val="single" w:sz="4" w:space="0" w:color="auto"/>
              <w:right w:val="single" w:sz="4" w:space="0" w:color="auto"/>
            </w:tcBorders>
            <w:shd w:val="clear" w:color="auto" w:fill="595959" w:themeFill="text1" w:themeFillTint="A6"/>
            <w:noWrap/>
            <w:vAlign w:val="center"/>
            <w:hideMark/>
          </w:tcPr>
          <w:p w14:paraId="6FFD88DE" w14:textId="77777777" w:rsidR="005B68FD" w:rsidRPr="005568C1" w:rsidRDefault="005B68FD" w:rsidP="005B68FD">
            <w:pPr>
              <w:rPr>
                <w:rFonts w:ascii="Tahoma" w:hAnsi="Tahoma" w:cs="Tahoma"/>
                <w:b/>
                <w:color w:val="FFFFFF" w:themeColor="background1"/>
                <w:sz w:val="22"/>
                <w:szCs w:val="22"/>
              </w:rPr>
            </w:pPr>
            <w:r>
              <w:rPr>
                <w:noProof/>
              </w:rPr>
              <mc:AlternateContent>
                <mc:Choice Requires="wps">
                  <w:drawing>
                    <wp:anchor distT="0" distB="0" distL="114300" distR="114300" simplePos="0" relativeHeight="251659776" behindDoc="0" locked="0" layoutInCell="1" allowOverlap="1" wp14:anchorId="68411466" wp14:editId="2E98E58B">
                      <wp:simplePos x="0" y="0"/>
                      <wp:positionH relativeFrom="column">
                        <wp:posOffset>-53340</wp:posOffset>
                      </wp:positionH>
                      <wp:positionV relativeFrom="paragraph">
                        <wp:posOffset>8255</wp:posOffset>
                      </wp:positionV>
                      <wp:extent cx="4008120" cy="659130"/>
                      <wp:effectExtent l="0" t="0" r="30480" b="26670"/>
                      <wp:wrapNone/>
                      <wp:docPr id="14" name="Straight Connector 2"/>
                      <wp:cNvGraphicFramePr/>
                      <a:graphic xmlns:a="http://schemas.openxmlformats.org/drawingml/2006/main">
                        <a:graphicData uri="http://schemas.microsoft.com/office/word/2010/wordprocessingShape">
                          <wps:wsp>
                            <wps:cNvCnPr/>
                            <wps:spPr>
                              <a:xfrm>
                                <a:off x="0" y="0"/>
                                <a:ext cx="4008120" cy="6591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784330" id="Straight Connector 2"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65pt" to="311.4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" strokecolor="black [3213]" strokeweight="1pt"/>
                  </w:pict>
                </mc:Fallback>
              </mc:AlternateContent>
            </w:r>
            <w:r w:rsidRPr="005568C1">
              <w:rPr>
                <w:rFonts w:ascii="Tahoma" w:hAnsi="Tahoma" w:cs="Tahoma"/>
                <w:b/>
                <w:color w:val="FFFFFF" w:themeColor="background1"/>
                <w:sz w:val="22"/>
                <w:szCs w:val="22"/>
              </w:rPr>
              <w:t xml:space="preserve">                            Тип банковской Карты</w:t>
            </w:r>
            <w:r w:rsidRPr="005568C1">
              <w:rPr>
                <w:rFonts w:ascii="Tahoma" w:hAnsi="Tahoma" w:cs="Tahoma"/>
                <w:b/>
                <w:color w:val="FFFFFF" w:themeColor="background1"/>
                <w:sz w:val="22"/>
                <w:szCs w:val="22"/>
                <w:vertAlign w:val="superscript"/>
              </w:rPr>
              <w:t>1</w:t>
            </w:r>
          </w:p>
          <w:p w14:paraId="6C789D1D" w14:textId="77777777" w:rsidR="005B68FD" w:rsidRPr="005568C1" w:rsidRDefault="005B68FD" w:rsidP="005B68FD">
            <w:pPr>
              <w:rPr>
                <w:rFonts w:ascii="Tahoma" w:hAnsi="Tahoma" w:cs="Tahoma"/>
                <w:b/>
                <w:color w:val="FFFFFF" w:themeColor="background1"/>
                <w:sz w:val="22"/>
                <w:szCs w:val="22"/>
              </w:rPr>
            </w:pPr>
          </w:p>
          <w:p w14:paraId="6A305419" w14:textId="77777777" w:rsidR="005B68FD" w:rsidRPr="005568C1" w:rsidRDefault="005B68FD" w:rsidP="005B68FD">
            <w:pPr>
              <w:rPr>
                <w:rFonts w:ascii="Tahoma" w:hAnsi="Tahoma" w:cs="Tahoma"/>
                <w:b/>
                <w:color w:val="FFFFFF" w:themeColor="background1"/>
                <w:sz w:val="22"/>
                <w:szCs w:val="22"/>
              </w:rPr>
            </w:pPr>
          </w:p>
          <w:p w14:paraId="5B1738F1" w14:textId="77777777" w:rsidR="005B68FD" w:rsidRPr="005568C1" w:rsidRDefault="005B68FD" w:rsidP="005B68FD">
            <w:pPr>
              <w:rPr>
                <w:rFonts w:ascii="Tahoma" w:hAnsi="Tahoma" w:cs="Tahoma"/>
                <w:b/>
                <w:color w:val="FFFFFF" w:themeColor="background1"/>
                <w:sz w:val="22"/>
                <w:szCs w:val="22"/>
              </w:rPr>
            </w:pPr>
            <w:r w:rsidRPr="005568C1">
              <w:rPr>
                <w:rFonts w:ascii="Tahoma" w:hAnsi="Tahoma" w:cs="Tahoma"/>
                <w:b/>
                <w:color w:val="FFFFFF" w:themeColor="background1"/>
                <w:sz w:val="22"/>
                <w:szCs w:val="22"/>
              </w:rPr>
              <w:t>Условия предоставления услуги</w:t>
            </w:r>
          </w:p>
        </w:tc>
        <w:tc>
          <w:tcPr>
            <w:tcW w:w="8505" w:type="dxa"/>
            <w:tcBorders>
              <w:top w:val="single" w:sz="4" w:space="0" w:color="auto"/>
              <w:left w:val="nil"/>
              <w:bottom w:val="single" w:sz="4" w:space="0" w:color="auto"/>
              <w:right w:val="single" w:sz="4" w:space="0" w:color="auto"/>
            </w:tcBorders>
            <w:shd w:val="clear" w:color="auto" w:fill="595959" w:themeFill="text1" w:themeFillTint="A6"/>
            <w:vAlign w:val="center"/>
          </w:tcPr>
          <w:p w14:paraId="24F06B0A" w14:textId="77777777" w:rsidR="005B68FD" w:rsidRPr="005568C1" w:rsidRDefault="005B68FD" w:rsidP="005B68FD">
            <w:pPr>
              <w:jc w:val="center"/>
              <w:rPr>
                <w:rFonts w:ascii="Tahoma" w:hAnsi="Tahoma" w:cs="Tahoma"/>
                <w:b/>
                <w:color w:val="FFFFFF" w:themeColor="background1"/>
                <w:sz w:val="22"/>
                <w:szCs w:val="22"/>
              </w:rPr>
            </w:pPr>
            <w:r w:rsidRPr="005568C1">
              <w:rPr>
                <w:rFonts w:ascii="Tahoma" w:hAnsi="Tahoma" w:cs="Tahoma"/>
                <w:b/>
                <w:color w:val="FFFFFF" w:themeColor="background1"/>
                <w:sz w:val="22"/>
                <w:szCs w:val="22"/>
              </w:rPr>
              <w:t>Мир</w:t>
            </w:r>
            <w:r w:rsidRPr="005568C1">
              <w:rPr>
                <w:rFonts w:ascii="Tahoma" w:hAnsi="Tahoma" w:cs="Tahoma"/>
                <w:b/>
                <w:color w:val="FFFFFF" w:themeColor="background1"/>
                <w:sz w:val="22"/>
                <w:szCs w:val="22"/>
                <w:vertAlign w:val="superscript"/>
              </w:rPr>
              <w:t>2</w:t>
            </w:r>
            <w:r w:rsidRPr="005568C1">
              <w:rPr>
                <w:rFonts w:ascii="Tahoma" w:hAnsi="Tahoma" w:cs="Tahoma"/>
                <w:b/>
                <w:color w:val="FFFFFF" w:themeColor="background1"/>
                <w:sz w:val="22"/>
                <w:szCs w:val="22"/>
              </w:rPr>
              <w:t xml:space="preserve"> (именная и неименная)</w:t>
            </w:r>
          </w:p>
        </w:tc>
      </w:tr>
      <w:tr w:rsidR="005B68FD" w:rsidRPr="005379F0" w14:paraId="04CCCA80" w14:textId="77777777" w:rsidTr="005B68FD">
        <w:trPr>
          <w:trHeight w:val="276"/>
        </w:trPr>
        <w:tc>
          <w:tcPr>
            <w:tcW w:w="820" w:type="dxa"/>
            <w:tcBorders>
              <w:top w:val="single" w:sz="4" w:space="0" w:color="auto"/>
              <w:left w:val="single" w:sz="4" w:space="0" w:color="auto"/>
              <w:bottom w:val="single" w:sz="4" w:space="0" w:color="auto"/>
              <w:right w:val="single" w:sz="4" w:space="0" w:color="auto"/>
            </w:tcBorders>
            <w:shd w:val="clear" w:color="auto" w:fill="595959" w:themeFill="text1" w:themeFillTint="A6"/>
            <w:noWrap/>
            <w:vAlign w:val="center"/>
          </w:tcPr>
          <w:p w14:paraId="643A580B" w14:textId="77777777" w:rsidR="005B68FD" w:rsidRPr="005568C1" w:rsidRDefault="005B68FD" w:rsidP="005B68FD">
            <w:pPr>
              <w:rPr>
                <w:rFonts w:ascii="Tahoma" w:hAnsi="Tahoma" w:cs="Tahoma"/>
                <w:b/>
                <w:color w:val="FFFFFF" w:themeColor="background1"/>
                <w:sz w:val="22"/>
                <w:szCs w:val="22"/>
              </w:rPr>
            </w:pPr>
            <w:r w:rsidRPr="005568C1">
              <w:rPr>
                <w:rFonts w:ascii="Tahoma" w:hAnsi="Tahoma" w:cs="Tahoma"/>
                <w:b/>
                <w:color w:val="FFFFFF" w:themeColor="background1"/>
                <w:sz w:val="22"/>
                <w:szCs w:val="22"/>
              </w:rPr>
              <w:t>1.</w:t>
            </w:r>
          </w:p>
        </w:tc>
        <w:tc>
          <w:tcPr>
            <w:tcW w:w="14059" w:type="dxa"/>
            <w:gridSpan w:val="2"/>
            <w:tcBorders>
              <w:top w:val="single" w:sz="4" w:space="0" w:color="auto"/>
              <w:left w:val="nil"/>
              <w:bottom w:val="single" w:sz="4" w:space="0" w:color="auto"/>
              <w:right w:val="single" w:sz="4" w:space="0" w:color="auto"/>
            </w:tcBorders>
            <w:shd w:val="clear" w:color="auto" w:fill="595959" w:themeFill="text1" w:themeFillTint="A6"/>
            <w:noWrap/>
            <w:vAlign w:val="center"/>
          </w:tcPr>
          <w:p w14:paraId="2D508360" w14:textId="77777777" w:rsidR="005B68FD" w:rsidRPr="005568C1" w:rsidRDefault="005B68FD" w:rsidP="005B68FD">
            <w:pPr>
              <w:rPr>
                <w:rFonts w:ascii="Tahoma" w:hAnsi="Tahoma" w:cs="Tahoma"/>
                <w:b/>
                <w:color w:val="FFFFFF" w:themeColor="background1"/>
                <w:sz w:val="22"/>
                <w:szCs w:val="22"/>
              </w:rPr>
            </w:pPr>
            <w:r w:rsidRPr="005568C1">
              <w:rPr>
                <w:rFonts w:ascii="Tahoma" w:hAnsi="Tahoma" w:cs="Tahoma"/>
                <w:b/>
                <w:color w:val="FFFFFF" w:themeColor="background1"/>
                <w:sz w:val="22"/>
                <w:szCs w:val="22"/>
              </w:rPr>
              <w:t>Условия предоставления тарифного план</w:t>
            </w:r>
          </w:p>
        </w:tc>
      </w:tr>
      <w:tr w:rsidR="005B68FD" w:rsidRPr="005379F0" w14:paraId="3FD44DB7" w14:textId="77777777" w:rsidTr="005B68FD">
        <w:trPr>
          <w:trHeight w:val="1556"/>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81550F" w14:textId="77777777" w:rsidR="005B68FD" w:rsidRPr="005379F0" w:rsidRDefault="005B68FD" w:rsidP="005B68FD">
            <w:pPr>
              <w:rPr>
                <w:rFonts w:ascii="Tahoma" w:hAnsi="Tahoma" w:cs="Tahoma"/>
                <w:sz w:val="22"/>
                <w:szCs w:val="22"/>
              </w:rPr>
            </w:pPr>
            <w:r w:rsidRPr="005379F0">
              <w:rPr>
                <w:rFonts w:ascii="Tahoma" w:hAnsi="Tahoma" w:cs="Tahoma"/>
                <w:sz w:val="22"/>
                <w:szCs w:val="22"/>
              </w:rPr>
              <w:t>1.1.</w:t>
            </w:r>
          </w:p>
        </w:tc>
        <w:tc>
          <w:tcPr>
            <w:tcW w:w="5554" w:type="dxa"/>
            <w:tcBorders>
              <w:top w:val="single" w:sz="4" w:space="0" w:color="auto"/>
              <w:left w:val="nil"/>
              <w:bottom w:val="single" w:sz="4" w:space="0" w:color="auto"/>
              <w:right w:val="single" w:sz="4" w:space="0" w:color="auto"/>
            </w:tcBorders>
            <w:shd w:val="clear" w:color="auto" w:fill="auto"/>
            <w:noWrap/>
            <w:vAlign w:val="center"/>
          </w:tcPr>
          <w:p w14:paraId="5FA90201" w14:textId="77777777" w:rsidR="005B68FD" w:rsidRPr="005379F0" w:rsidRDefault="005B68FD" w:rsidP="005B68FD">
            <w:pPr>
              <w:rPr>
                <w:rFonts w:ascii="Tahoma" w:hAnsi="Tahoma" w:cs="Tahoma"/>
                <w:sz w:val="22"/>
                <w:szCs w:val="22"/>
              </w:rPr>
            </w:pPr>
            <w:r w:rsidRPr="005379F0">
              <w:rPr>
                <w:rFonts w:ascii="Tahoma" w:hAnsi="Tahoma" w:cs="Tahoma"/>
                <w:sz w:val="22"/>
                <w:szCs w:val="22"/>
              </w:rPr>
              <w:t>категории Клиента</w:t>
            </w:r>
          </w:p>
        </w:tc>
        <w:tc>
          <w:tcPr>
            <w:tcW w:w="8505" w:type="dxa"/>
            <w:tcBorders>
              <w:top w:val="single" w:sz="4" w:space="0" w:color="auto"/>
              <w:left w:val="nil"/>
              <w:bottom w:val="single" w:sz="4" w:space="0" w:color="auto"/>
              <w:right w:val="single" w:sz="4" w:space="0" w:color="auto"/>
            </w:tcBorders>
            <w:shd w:val="clear" w:color="auto" w:fill="auto"/>
            <w:vAlign w:val="center"/>
          </w:tcPr>
          <w:p w14:paraId="71BECD3B" w14:textId="77777777" w:rsidR="005B68FD" w:rsidRPr="00C15A42" w:rsidRDefault="005B68FD" w:rsidP="005B68FD">
            <w:pPr>
              <w:jc w:val="center"/>
              <w:rPr>
                <w:rFonts w:ascii="Tahoma" w:hAnsi="Tahoma" w:cs="Tahoma"/>
                <w:color w:val="000000"/>
                <w:sz w:val="20"/>
                <w:szCs w:val="20"/>
              </w:rPr>
            </w:pPr>
            <w:r>
              <w:rPr>
                <w:rFonts w:ascii="Tahoma" w:hAnsi="Tahoma" w:cs="Tahoma"/>
                <w:color w:val="000000"/>
                <w:sz w:val="20"/>
                <w:szCs w:val="20"/>
              </w:rPr>
              <w:t>Услуги по настоящему Тарифному плану предоставляются Клиентам - физическим лицам - гражданам Российской Федерации, достигшим возраста 14 лет, относящимся к категориям граждан, указанным в Приложении № 2 к постановлению Правительства Амурской области № 422 от 28 июня 2011 г. </w:t>
            </w:r>
            <w:r>
              <w:rPr>
                <w:rFonts w:ascii="Tahoma" w:hAnsi="Tahoma" w:cs="Tahoma"/>
                <w:color w:val="000000"/>
                <w:sz w:val="20"/>
                <w:szCs w:val="20"/>
              </w:rPr>
              <w:br/>
              <w:t>Одному Клиенту может быть предоставлена только одна основная Карта типа Платежной системы «Мир» в рамках Тарифного плана «АТБ карта (Социальная карта Амурской области)».</w:t>
            </w:r>
          </w:p>
        </w:tc>
      </w:tr>
      <w:tr w:rsidR="005B68FD" w:rsidRPr="005379F0" w14:paraId="547AE961" w14:textId="77777777" w:rsidTr="005B68FD">
        <w:trPr>
          <w:trHeight w:val="276"/>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B633EE" w14:textId="77777777" w:rsidR="005B68FD" w:rsidRPr="005379F0" w:rsidRDefault="005B68FD" w:rsidP="005B68FD">
            <w:pPr>
              <w:rPr>
                <w:rFonts w:ascii="Tahoma" w:hAnsi="Tahoma" w:cs="Tahoma"/>
                <w:sz w:val="22"/>
                <w:szCs w:val="22"/>
              </w:rPr>
            </w:pPr>
            <w:r w:rsidRPr="005379F0">
              <w:rPr>
                <w:rFonts w:ascii="Tahoma" w:hAnsi="Tahoma" w:cs="Tahoma"/>
                <w:sz w:val="22"/>
                <w:szCs w:val="22"/>
              </w:rPr>
              <w:t>1.2</w:t>
            </w:r>
          </w:p>
        </w:tc>
        <w:tc>
          <w:tcPr>
            <w:tcW w:w="5554" w:type="dxa"/>
            <w:tcBorders>
              <w:top w:val="single" w:sz="4" w:space="0" w:color="auto"/>
              <w:left w:val="nil"/>
              <w:bottom w:val="single" w:sz="4" w:space="0" w:color="auto"/>
              <w:right w:val="single" w:sz="4" w:space="0" w:color="auto"/>
            </w:tcBorders>
            <w:shd w:val="clear" w:color="auto" w:fill="auto"/>
            <w:noWrap/>
            <w:vAlign w:val="center"/>
          </w:tcPr>
          <w:p w14:paraId="3EF3121E" w14:textId="77777777" w:rsidR="005B68FD" w:rsidRPr="005379F0" w:rsidRDefault="005B68FD" w:rsidP="005B68FD">
            <w:pPr>
              <w:rPr>
                <w:rFonts w:ascii="Tahoma" w:hAnsi="Tahoma" w:cs="Tahoma"/>
                <w:sz w:val="22"/>
                <w:szCs w:val="22"/>
              </w:rPr>
            </w:pPr>
            <w:r w:rsidRPr="005379F0">
              <w:rPr>
                <w:rFonts w:ascii="Tahoma" w:hAnsi="Tahoma" w:cs="Tahoma"/>
                <w:sz w:val="22"/>
                <w:szCs w:val="22"/>
              </w:rPr>
              <w:t>каналы оформления</w:t>
            </w:r>
          </w:p>
        </w:tc>
        <w:tc>
          <w:tcPr>
            <w:tcW w:w="8505" w:type="dxa"/>
            <w:tcBorders>
              <w:top w:val="single" w:sz="4" w:space="0" w:color="auto"/>
              <w:left w:val="nil"/>
              <w:bottom w:val="single" w:sz="4" w:space="0" w:color="auto"/>
              <w:right w:val="single" w:sz="4" w:space="0" w:color="auto"/>
            </w:tcBorders>
            <w:shd w:val="clear" w:color="auto" w:fill="auto"/>
            <w:vAlign w:val="center"/>
          </w:tcPr>
          <w:p w14:paraId="0E0AEEE1"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Офис Банка</w:t>
            </w:r>
            <w:r w:rsidRPr="00A000F5">
              <w:rPr>
                <w:rFonts w:ascii="Tahoma" w:hAnsi="Tahoma" w:cs="Tahoma"/>
                <w:sz w:val="22"/>
                <w:szCs w:val="22"/>
                <w:vertAlign w:val="superscript"/>
              </w:rPr>
              <w:t>3</w:t>
            </w:r>
          </w:p>
        </w:tc>
      </w:tr>
      <w:tr w:rsidR="005B68FD" w:rsidRPr="005379F0" w14:paraId="1859BFC7" w14:textId="77777777" w:rsidTr="005B68FD">
        <w:trPr>
          <w:trHeight w:val="276"/>
        </w:trPr>
        <w:tc>
          <w:tcPr>
            <w:tcW w:w="820" w:type="dxa"/>
            <w:tcBorders>
              <w:top w:val="single" w:sz="4" w:space="0" w:color="auto"/>
              <w:left w:val="single" w:sz="4" w:space="0" w:color="auto"/>
              <w:bottom w:val="single" w:sz="4" w:space="0" w:color="auto"/>
              <w:right w:val="single" w:sz="4" w:space="0" w:color="auto"/>
            </w:tcBorders>
            <w:shd w:val="clear" w:color="auto" w:fill="595959" w:themeFill="text1" w:themeFillTint="A6"/>
            <w:noWrap/>
            <w:vAlign w:val="center"/>
          </w:tcPr>
          <w:p w14:paraId="0A581E8F" w14:textId="77777777" w:rsidR="005B68FD" w:rsidRPr="00C15A42" w:rsidRDefault="005B68FD" w:rsidP="005B68FD">
            <w:pPr>
              <w:rPr>
                <w:rFonts w:ascii="Tahoma" w:hAnsi="Tahoma" w:cs="Tahoma"/>
                <w:b/>
                <w:color w:val="FFFFFF" w:themeColor="background1"/>
                <w:sz w:val="22"/>
                <w:szCs w:val="22"/>
              </w:rPr>
            </w:pPr>
            <w:r w:rsidRPr="00C15A42">
              <w:rPr>
                <w:rFonts w:ascii="Tahoma" w:hAnsi="Tahoma" w:cs="Tahoma"/>
                <w:b/>
                <w:color w:val="FFFFFF" w:themeColor="background1"/>
                <w:sz w:val="22"/>
                <w:szCs w:val="22"/>
              </w:rPr>
              <w:t>2.</w:t>
            </w:r>
          </w:p>
        </w:tc>
        <w:tc>
          <w:tcPr>
            <w:tcW w:w="14059" w:type="dxa"/>
            <w:gridSpan w:val="2"/>
            <w:tcBorders>
              <w:top w:val="single" w:sz="4" w:space="0" w:color="auto"/>
              <w:left w:val="nil"/>
              <w:bottom w:val="single" w:sz="4" w:space="0" w:color="auto"/>
              <w:right w:val="single" w:sz="4" w:space="0" w:color="auto"/>
            </w:tcBorders>
            <w:shd w:val="clear" w:color="auto" w:fill="595959" w:themeFill="text1" w:themeFillTint="A6"/>
            <w:noWrap/>
            <w:vAlign w:val="center"/>
          </w:tcPr>
          <w:p w14:paraId="71991223" w14:textId="77777777" w:rsidR="005B68FD" w:rsidRPr="00C15A42" w:rsidRDefault="005B68FD" w:rsidP="005B68FD">
            <w:pPr>
              <w:rPr>
                <w:rFonts w:ascii="Tahoma" w:hAnsi="Tahoma" w:cs="Tahoma"/>
                <w:b/>
                <w:color w:val="FFFFFF" w:themeColor="background1"/>
                <w:sz w:val="22"/>
                <w:szCs w:val="22"/>
              </w:rPr>
            </w:pPr>
            <w:r w:rsidRPr="00C15A42">
              <w:rPr>
                <w:rFonts w:ascii="Tahoma" w:hAnsi="Tahoma" w:cs="Tahoma"/>
                <w:b/>
                <w:color w:val="FFFFFF" w:themeColor="background1"/>
                <w:sz w:val="22"/>
                <w:szCs w:val="22"/>
              </w:rPr>
              <w:t>Условия выпуска и обслуживания Карты</w:t>
            </w:r>
          </w:p>
        </w:tc>
      </w:tr>
      <w:tr w:rsidR="005B68FD" w:rsidRPr="005379F0" w14:paraId="16FD90BE" w14:textId="77777777" w:rsidTr="005B68FD">
        <w:trPr>
          <w:trHeight w:val="276"/>
        </w:trPr>
        <w:tc>
          <w:tcPr>
            <w:tcW w:w="820" w:type="dxa"/>
            <w:tcBorders>
              <w:top w:val="nil"/>
              <w:left w:val="single" w:sz="4" w:space="0" w:color="auto"/>
              <w:bottom w:val="single" w:sz="4" w:space="0" w:color="auto"/>
              <w:right w:val="single" w:sz="4" w:space="0" w:color="auto"/>
            </w:tcBorders>
            <w:shd w:val="clear" w:color="000000" w:fill="FFFFFF"/>
            <w:noWrap/>
            <w:vAlign w:val="center"/>
            <w:hideMark/>
          </w:tcPr>
          <w:p w14:paraId="461F00E5" w14:textId="77777777" w:rsidR="005B68FD" w:rsidRPr="005379F0" w:rsidRDefault="005B68FD" w:rsidP="005B68FD">
            <w:pPr>
              <w:rPr>
                <w:rFonts w:ascii="Tahoma" w:hAnsi="Tahoma" w:cs="Tahoma"/>
                <w:sz w:val="22"/>
                <w:szCs w:val="22"/>
              </w:rPr>
            </w:pPr>
            <w:r>
              <w:rPr>
                <w:rFonts w:ascii="Tahoma" w:hAnsi="Tahoma" w:cs="Tahoma"/>
                <w:sz w:val="22"/>
                <w:szCs w:val="22"/>
              </w:rPr>
              <w:t>2</w:t>
            </w:r>
            <w:r w:rsidRPr="005379F0">
              <w:rPr>
                <w:rFonts w:ascii="Tahoma" w:hAnsi="Tahoma" w:cs="Tahoma"/>
                <w:sz w:val="22"/>
                <w:szCs w:val="22"/>
              </w:rPr>
              <w:t>.1.</w:t>
            </w:r>
          </w:p>
        </w:tc>
        <w:tc>
          <w:tcPr>
            <w:tcW w:w="5554" w:type="dxa"/>
            <w:tcBorders>
              <w:top w:val="nil"/>
              <w:left w:val="nil"/>
              <w:bottom w:val="single" w:sz="4" w:space="0" w:color="auto"/>
              <w:right w:val="single" w:sz="4" w:space="0" w:color="auto"/>
            </w:tcBorders>
            <w:shd w:val="clear" w:color="auto" w:fill="auto"/>
            <w:vAlign w:val="center"/>
            <w:hideMark/>
          </w:tcPr>
          <w:p w14:paraId="2E723599" w14:textId="77777777" w:rsidR="005B68FD" w:rsidRDefault="005B68FD" w:rsidP="005B68FD">
            <w:pPr>
              <w:rPr>
                <w:rFonts w:ascii="Tahoma" w:hAnsi="Tahoma" w:cs="Tahoma"/>
                <w:sz w:val="22"/>
                <w:szCs w:val="22"/>
              </w:rPr>
            </w:pPr>
            <w:r>
              <w:rPr>
                <w:rFonts w:ascii="Tahoma" w:hAnsi="Tahoma" w:cs="Tahoma"/>
                <w:sz w:val="22"/>
                <w:szCs w:val="22"/>
              </w:rPr>
              <w:t>валюта Счета Карты</w:t>
            </w:r>
          </w:p>
        </w:tc>
        <w:tc>
          <w:tcPr>
            <w:tcW w:w="8505" w:type="dxa"/>
            <w:tcBorders>
              <w:top w:val="nil"/>
              <w:left w:val="nil"/>
              <w:bottom w:val="single" w:sz="4" w:space="0" w:color="auto"/>
              <w:right w:val="single" w:sz="4" w:space="0" w:color="auto"/>
            </w:tcBorders>
            <w:shd w:val="clear" w:color="auto" w:fill="auto"/>
            <w:noWrap/>
            <w:vAlign w:val="center"/>
            <w:hideMark/>
          </w:tcPr>
          <w:p w14:paraId="6E7EF157"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российский рубль</w:t>
            </w:r>
          </w:p>
        </w:tc>
      </w:tr>
      <w:tr w:rsidR="005B68FD" w:rsidRPr="005379F0" w14:paraId="041E3237" w14:textId="77777777" w:rsidTr="005B68FD">
        <w:trPr>
          <w:trHeight w:val="276"/>
        </w:trPr>
        <w:tc>
          <w:tcPr>
            <w:tcW w:w="820" w:type="dxa"/>
            <w:tcBorders>
              <w:top w:val="nil"/>
              <w:left w:val="single" w:sz="4" w:space="0" w:color="auto"/>
              <w:bottom w:val="single" w:sz="4" w:space="0" w:color="auto"/>
              <w:right w:val="single" w:sz="4" w:space="0" w:color="auto"/>
            </w:tcBorders>
            <w:shd w:val="clear" w:color="000000" w:fill="FFFFFF"/>
            <w:noWrap/>
            <w:vAlign w:val="center"/>
          </w:tcPr>
          <w:p w14:paraId="18A67F80" w14:textId="77777777" w:rsidR="005B68FD" w:rsidRDefault="005B68FD" w:rsidP="005B68FD">
            <w:pPr>
              <w:rPr>
                <w:rFonts w:ascii="Tahoma" w:hAnsi="Tahoma" w:cs="Tahoma"/>
                <w:sz w:val="22"/>
                <w:szCs w:val="22"/>
              </w:rPr>
            </w:pPr>
            <w:r>
              <w:rPr>
                <w:rFonts w:ascii="Tahoma" w:hAnsi="Tahoma" w:cs="Tahoma"/>
                <w:sz w:val="22"/>
                <w:szCs w:val="22"/>
              </w:rPr>
              <w:t>2.2.</w:t>
            </w:r>
          </w:p>
        </w:tc>
        <w:tc>
          <w:tcPr>
            <w:tcW w:w="5554" w:type="dxa"/>
            <w:tcBorders>
              <w:top w:val="nil"/>
              <w:left w:val="nil"/>
              <w:bottom w:val="single" w:sz="4" w:space="0" w:color="auto"/>
              <w:right w:val="single" w:sz="4" w:space="0" w:color="auto"/>
            </w:tcBorders>
            <w:shd w:val="clear" w:color="auto" w:fill="auto"/>
            <w:vAlign w:val="center"/>
          </w:tcPr>
          <w:p w14:paraId="46760700" w14:textId="77777777" w:rsidR="005B68FD" w:rsidRDefault="005B68FD" w:rsidP="005B68FD">
            <w:pPr>
              <w:rPr>
                <w:rFonts w:ascii="Tahoma" w:hAnsi="Tahoma" w:cs="Tahoma"/>
                <w:sz w:val="22"/>
                <w:szCs w:val="22"/>
              </w:rPr>
            </w:pPr>
            <w:r>
              <w:rPr>
                <w:rFonts w:ascii="Tahoma" w:hAnsi="Tahoma" w:cs="Tahoma"/>
                <w:sz w:val="22"/>
                <w:szCs w:val="22"/>
              </w:rPr>
              <w:t>ежемесячное обслуживание Карты</w:t>
            </w:r>
          </w:p>
        </w:tc>
        <w:tc>
          <w:tcPr>
            <w:tcW w:w="8505" w:type="dxa"/>
            <w:vMerge w:val="restart"/>
            <w:tcBorders>
              <w:top w:val="nil"/>
              <w:left w:val="nil"/>
              <w:right w:val="single" w:sz="4" w:space="0" w:color="auto"/>
            </w:tcBorders>
            <w:shd w:val="clear" w:color="auto" w:fill="auto"/>
            <w:noWrap/>
            <w:vAlign w:val="center"/>
          </w:tcPr>
          <w:p w14:paraId="38F75900"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БЕСПЛАТНО</w:t>
            </w:r>
          </w:p>
        </w:tc>
      </w:tr>
      <w:tr w:rsidR="005B68FD" w:rsidRPr="005379F0" w14:paraId="3A76E8D5" w14:textId="77777777" w:rsidTr="005B68FD">
        <w:trPr>
          <w:trHeight w:val="276"/>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157919F6" w14:textId="77777777" w:rsidR="005B68FD" w:rsidRPr="005379F0" w:rsidRDefault="005B68FD" w:rsidP="005B68FD">
            <w:pPr>
              <w:rPr>
                <w:rFonts w:ascii="Tahoma" w:hAnsi="Tahoma" w:cs="Tahoma"/>
                <w:sz w:val="22"/>
                <w:szCs w:val="22"/>
              </w:rPr>
            </w:pPr>
            <w:r>
              <w:rPr>
                <w:rFonts w:ascii="Tahoma" w:hAnsi="Tahoma" w:cs="Tahoma"/>
                <w:sz w:val="22"/>
                <w:szCs w:val="22"/>
              </w:rPr>
              <w:t>2.3.</w:t>
            </w:r>
          </w:p>
        </w:tc>
        <w:tc>
          <w:tcPr>
            <w:tcW w:w="5554" w:type="dxa"/>
            <w:tcBorders>
              <w:top w:val="nil"/>
              <w:left w:val="nil"/>
              <w:bottom w:val="single" w:sz="4" w:space="0" w:color="auto"/>
              <w:right w:val="single" w:sz="4" w:space="0" w:color="auto"/>
            </w:tcBorders>
            <w:shd w:val="clear" w:color="auto" w:fill="auto"/>
            <w:vAlign w:val="center"/>
            <w:hideMark/>
          </w:tcPr>
          <w:p w14:paraId="61E5ABC3" w14:textId="77777777" w:rsidR="005B68FD" w:rsidRDefault="005B68FD" w:rsidP="005B68FD">
            <w:pPr>
              <w:rPr>
                <w:rFonts w:ascii="Tahoma" w:hAnsi="Tahoma" w:cs="Tahoma"/>
                <w:sz w:val="22"/>
                <w:szCs w:val="22"/>
              </w:rPr>
            </w:pPr>
            <w:r>
              <w:rPr>
                <w:rFonts w:ascii="Tahoma" w:hAnsi="Tahoma" w:cs="Tahoma"/>
                <w:sz w:val="22"/>
                <w:szCs w:val="22"/>
              </w:rPr>
              <w:t>годовое обслуживание Карты</w:t>
            </w:r>
          </w:p>
        </w:tc>
        <w:tc>
          <w:tcPr>
            <w:tcW w:w="8505" w:type="dxa"/>
            <w:vMerge/>
            <w:tcBorders>
              <w:left w:val="single" w:sz="4" w:space="0" w:color="auto"/>
              <w:right w:val="single" w:sz="4" w:space="0" w:color="auto"/>
            </w:tcBorders>
            <w:shd w:val="clear" w:color="auto" w:fill="auto"/>
            <w:noWrap/>
            <w:vAlign w:val="center"/>
            <w:hideMark/>
          </w:tcPr>
          <w:p w14:paraId="42FB36ED" w14:textId="77777777" w:rsidR="005B68FD" w:rsidRPr="005379F0" w:rsidRDefault="005B68FD" w:rsidP="005B68FD">
            <w:pPr>
              <w:jc w:val="center"/>
              <w:rPr>
                <w:rFonts w:ascii="Tahoma" w:hAnsi="Tahoma" w:cs="Tahoma"/>
                <w:sz w:val="22"/>
                <w:szCs w:val="22"/>
              </w:rPr>
            </w:pPr>
          </w:p>
        </w:tc>
      </w:tr>
      <w:tr w:rsidR="005B68FD" w:rsidRPr="005379F0" w14:paraId="16A4C649" w14:textId="77777777" w:rsidTr="005B68FD">
        <w:trPr>
          <w:trHeight w:val="552"/>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7ECEF8D5" w14:textId="77777777" w:rsidR="005B68FD" w:rsidRPr="005379F0" w:rsidRDefault="005B68FD" w:rsidP="005B68FD">
            <w:pPr>
              <w:rPr>
                <w:rFonts w:ascii="Tahoma" w:hAnsi="Tahoma" w:cs="Tahoma"/>
                <w:sz w:val="22"/>
                <w:szCs w:val="22"/>
              </w:rPr>
            </w:pPr>
            <w:r>
              <w:rPr>
                <w:rFonts w:ascii="Tahoma" w:hAnsi="Tahoma" w:cs="Tahoma"/>
                <w:sz w:val="22"/>
                <w:szCs w:val="22"/>
              </w:rPr>
              <w:t>2.4.</w:t>
            </w:r>
          </w:p>
        </w:tc>
        <w:tc>
          <w:tcPr>
            <w:tcW w:w="5554" w:type="dxa"/>
            <w:tcBorders>
              <w:top w:val="nil"/>
              <w:left w:val="nil"/>
              <w:bottom w:val="single" w:sz="4" w:space="0" w:color="auto"/>
              <w:right w:val="single" w:sz="4" w:space="0" w:color="auto"/>
            </w:tcBorders>
            <w:shd w:val="clear" w:color="auto" w:fill="auto"/>
            <w:vAlign w:val="center"/>
            <w:hideMark/>
          </w:tcPr>
          <w:p w14:paraId="652D1231" w14:textId="77777777" w:rsidR="005B68FD" w:rsidRDefault="005B68FD" w:rsidP="005B68FD">
            <w:pPr>
              <w:rPr>
                <w:rFonts w:ascii="Tahoma" w:hAnsi="Tahoma" w:cs="Tahoma"/>
                <w:sz w:val="22"/>
                <w:szCs w:val="22"/>
              </w:rPr>
            </w:pPr>
            <w:r>
              <w:rPr>
                <w:rFonts w:ascii="Tahoma" w:hAnsi="Tahoma" w:cs="Tahoma"/>
                <w:sz w:val="22"/>
                <w:szCs w:val="22"/>
              </w:rPr>
              <w:t>перевыпуск Карты по любой из причин в т.ч. плановый перевыпуск по сроку без ограничений по количеству раз</w:t>
            </w:r>
          </w:p>
        </w:tc>
        <w:tc>
          <w:tcPr>
            <w:tcW w:w="8505" w:type="dxa"/>
            <w:vMerge/>
            <w:tcBorders>
              <w:left w:val="single" w:sz="4" w:space="0" w:color="auto"/>
              <w:bottom w:val="single" w:sz="4" w:space="0" w:color="auto"/>
              <w:right w:val="single" w:sz="4" w:space="0" w:color="auto"/>
            </w:tcBorders>
            <w:vAlign w:val="center"/>
            <w:hideMark/>
          </w:tcPr>
          <w:p w14:paraId="0D1FC3BC" w14:textId="77777777" w:rsidR="005B68FD" w:rsidRPr="005379F0" w:rsidRDefault="005B68FD" w:rsidP="005B68FD">
            <w:pPr>
              <w:jc w:val="center"/>
              <w:rPr>
                <w:rFonts w:ascii="Tahoma" w:hAnsi="Tahoma" w:cs="Tahoma"/>
                <w:sz w:val="22"/>
                <w:szCs w:val="22"/>
              </w:rPr>
            </w:pPr>
          </w:p>
        </w:tc>
      </w:tr>
      <w:tr w:rsidR="005B68FD" w:rsidRPr="005379F0" w14:paraId="0A2555BB" w14:textId="77777777" w:rsidTr="005B68FD">
        <w:trPr>
          <w:trHeight w:val="288"/>
        </w:trPr>
        <w:tc>
          <w:tcPr>
            <w:tcW w:w="820" w:type="dxa"/>
            <w:tcBorders>
              <w:top w:val="nil"/>
              <w:left w:val="single" w:sz="8" w:space="0" w:color="auto"/>
              <w:bottom w:val="single" w:sz="8" w:space="0" w:color="auto"/>
              <w:right w:val="single" w:sz="8" w:space="0" w:color="auto"/>
            </w:tcBorders>
            <w:shd w:val="clear" w:color="auto" w:fill="auto"/>
            <w:noWrap/>
            <w:vAlign w:val="center"/>
            <w:hideMark/>
          </w:tcPr>
          <w:p w14:paraId="4A57A0D5" w14:textId="77777777" w:rsidR="005B68FD" w:rsidRPr="005379F0" w:rsidRDefault="005B68FD" w:rsidP="005B68FD">
            <w:pPr>
              <w:rPr>
                <w:rFonts w:ascii="Tahoma" w:hAnsi="Tahoma" w:cs="Tahoma"/>
                <w:sz w:val="22"/>
                <w:szCs w:val="22"/>
              </w:rPr>
            </w:pPr>
            <w:r>
              <w:rPr>
                <w:rFonts w:ascii="Tahoma" w:hAnsi="Tahoma" w:cs="Tahoma"/>
                <w:sz w:val="22"/>
                <w:szCs w:val="22"/>
              </w:rPr>
              <w:t>2.5.</w:t>
            </w:r>
          </w:p>
        </w:tc>
        <w:tc>
          <w:tcPr>
            <w:tcW w:w="5554" w:type="dxa"/>
            <w:tcBorders>
              <w:top w:val="nil"/>
              <w:left w:val="nil"/>
              <w:bottom w:val="single" w:sz="8" w:space="0" w:color="auto"/>
              <w:right w:val="single" w:sz="4" w:space="0" w:color="auto"/>
            </w:tcBorders>
            <w:shd w:val="clear" w:color="auto" w:fill="auto"/>
            <w:vAlign w:val="center"/>
            <w:hideMark/>
          </w:tcPr>
          <w:p w14:paraId="1EC1DBB4" w14:textId="77777777" w:rsidR="005B68FD" w:rsidRDefault="005B68FD" w:rsidP="005B68FD">
            <w:pPr>
              <w:rPr>
                <w:rFonts w:ascii="Tahoma" w:hAnsi="Tahoma" w:cs="Tahoma"/>
                <w:color w:val="000000"/>
                <w:sz w:val="22"/>
                <w:szCs w:val="22"/>
              </w:rPr>
            </w:pPr>
            <w:r>
              <w:rPr>
                <w:rFonts w:ascii="Tahoma" w:hAnsi="Tahoma" w:cs="Tahoma"/>
                <w:color w:val="000000"/>
                <w:sz w:val="22"/>
                <w:szCs w:val="22"/>
              </w:rPr>
              <w:t>Вид Карты</w:t>
            </w:r>
          </w:p>
        </w:tc>
        <w:tc>
          <w:tcPr>
            <w:tcW w:w="850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E165771"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платежная расчетная (дебетовая)</w:t>
            </w:r>
          </w:p>
        </w:tc>
      </w:tr>
      <w:tr w:rsidR="005B68FD" w:rsidRPr="005379F0" w14:paraId="548718BB" w14:textId="77777777" w:rsidTr="005B68FD">
        <w:trPr>
          <w:trHeight w:val="276"/>
        </w:trPr>
        <w:tc>
          <w:tcPr>
            <w:tcW w:w="820" w:type="dxa"/>
            <w:tcBorders>
              <w:top w:val="single" w:sz="4" w:space="0" w:color="auto"/>
              <w:left w:val="single" w:sz="4" w:space="0" w:color="auto"/>
              <w:bottom w:val="single" w:sz="4" w:space="0" w:color="auto"/>
              <w:right w:val="single" w:sz="4" w:space="0" w:color="auto"/>
            </w:tcBorders>
            <w:shd w:val="clear" w:color="000000" w:fill="595959"/>
            <w:noWrap/>
            <w:vAlign w:val="center"/>
            <w:hideMark/>
          </w:tcPr>
          <w:p w14:paraId="5556ABF1" w14:textId="77777777" w:rsidR="005B68FD" w:rsidRPr="00C15A42" w:rsidRDefault="005B68FD" w:rsidP="005B68FD">
            <w:pPr>
              <w:rPr>
                <w:rFonts w:ascii="Tahoma" w:hAnsi="Tahoma" w:cs="Tahoma"/>
                <w:b/>
                <w:color w:val="FFFFFF" w:themeColor="background1"/>
                <w:sz w:val="22"/>
                <w:szCs w:val="22"/>
              </w:rPr>
            </w:pPr>
            <w:r>
              <w:rPr>
                <w:rFonts w:ascii="Tahoma" w:hAnsi="Tahoma" w:cs="Tahoma"/>
                <w:b/>
                <w:color w:val="FFFFFF" w:themeColor="background1"/>
                <w:sz w:val="22"/>
                <w:szCs w:val="22"/>
              </w:rPr>
              <w:t>3.</w:t>
            </w:r>
          </w:p>
        </w:tc>
        <w:tc>
          <w:tcPr>
            <w:tcW w:w="14059" w:type="dxa"/>
            <w:gridSpan w:val="2"/>
            <w:tcBorders>
              <w:top w:val="single" w:sz="4" w:space="0" w:color="auto"/>
              <w:left w:val="nil"/>
              <w:bottom w:val="single" w:sz="4" w:space="0" w:color="auto"/>
              <w:right w:val="single" w:sz="4" w:space="0" w:color="auto"/>
            </w:tcBorders>
            <w:shd w:val="clear" w:color="000000" w:fill="595959"/>
            <w:noWrap/>
            <w:vAlign w:val="center"/>
            <w:hideMark/>
          </w:tcPr>
          <w:p w14:paraId="790F218D" w14:textId="77777777" w:rsidR="005B68FD" w:rsidRPr="00C15A42" w:rsidRDefault="005B68FD" w:rsidP="005B68FD">
            <w:pPr>
              <w:rPr>
                <w:rFonts w:ascii="Tahoma" w:hAnsi="Tahoma" w:cs="Tahoma"/>
                <w:b/>
                <w:color w:val="FFFFFF" w:themeColor="background1"/>
                <w:sz w:val="22"/>
                <w:szCs w:val="22"/>
              </w:rPr>
            </w:pPr>
            <w:r w:rsidRPr="00C15A42">
              <w:rPr>
                <w:rFonts w:ascii="Tahoma" w:hAnsi="Tahoma" w:cs="Tahoma"/>
                <w:b/>
                <w:color w:val="FFFFFF" w:themeColor="background1"/>
                <w:sz w:val="22"/>
                <w:szCs w:val="22"/>
              </w:rPr>
              <w:t>Основная Карта</w:t>
            </w:r>
          </w:p>
        </w:tc>
      </w:tr>
      <w:tr w:rsidR="005B68FD" w:rsidRPr="005379F0" w14:paraId="478E60D8" w14:textId="77777777" w:rsidTr="005B68FD">
        <w:trPr>
          <w:trHeight w:val="276"/>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5DCC972C" w14:textId="77777777" w:rsidR="005B68FD" w:rsidRPr="005379F0" w:rsidRDefault="005B68FD" w:rsidP="005B68FD">
            <w:pPr>
              <w:rPr>
                <w:rFonts w:ascii="Tahoma" w:hAnsi="Tahoma" w:cs="Tahoma"/>
                <w:sz w:val="22"/>
                <w:szCs w:val="22"/>
              </w:rPr>
            </w:pPr>
            <w:r>
              <w:rPr>
                <w:rFonts w:ascii="Tahoma" w:hAnsi="Tahoma" w:cs="Tahoma"/>
                <w:sz w:val="22"/>
                <w:szCs w:val="22"/>
              </w:rPr>
              <w:t>3</w:t>
            </w:r>
            <w:r w:rsidRPr="005379F0">
              <w:rPr>
                <w:rFonts w:ascii="Tahoma" w:hAnsi="Tahoma" w:cs="Tahoma"/>
                <w:sz w:val="22"/>
                <w:szCs w:val="22"/>
              </w:rPr>
              <w:t>.1.</w:t>
            </w:r>
          </w:p>
        </w:tc>
        <w:tc>
          <w:tcPr>
            <w:tcW w:w="5554" w:type="dxa"/>
            <w:tcBorders>
              <w:top w:val="nil"/>
              <w:left w:val="nil"/>
              <w:bottom w:val="single" w:sz="4" w:space="0" w:color="auto"/>
              <w:right w:val="single" w:sz="4" w:space="0" w:color="auto"/>
            </w:tcBorders>
            <w:shd w:val="clear" w:color="000000" w:fill="FFFFFF"/>
            <w:vAlign w:val="center"/>
            <w:hideMark/>
          </w:tcPr>
          <w:p w14:paraId="0CD059A4" w14:textId="77777777" w:rsidR="005B68FD" w:rsidRPr="005379F0" w:rsidRDefault="005B68FD" w:rsidP="005B68FD">
            <w:pPr>
              <w:rPr>
                <w:rFonts w:ascii="Tahoma" w:hAnsi="Tahoma" w:cs="Tahoma"/>
                <w:sz w:val="22"/>
                <w:szCs w:val="22"/>
              </w:rPr>
            </w:pPr>
            <w:r w:rsidRPr="005379F0">
              <w:rPr>
                <w:rFonts w:ascii="Tahoma" w:hAnsi="Tahoma" w:cs="Tahoma"/>
                <w:sz w:val="22"/>
                <w:szCs w:val="22"/>
              </w:rPr>
              <w:t>выпуск основной Карты</w:t>
            </w:r>
          </w:p>
        </w:tc>
        <w:tc>
          <w:tcPr>
            <w:tcW w:w="850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0B9636"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БЕСПЛАТНО</w:t>
            </w:r>
          </w:p>
        </w:tc>
      </w:tr>
      <w:tr w:rsidR="005B68FD" w:rsidRPr="005379F0" w14:paraId="6F115343" w14:textId="77777777" w:rsidTr="005B68FD">
        <w:trPr>
          <w:trHeight w:val="276"/>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3C262665" w14:textId="77777777" w:rsidR="005B68FD" w:rsidRPr="005379F0" w:rsidRDefault="005B68FD" w:rsidP="005B68FD">
            <w:pPr>
              <w:rPr>
                <w:rFonts w:ascii="Tahoma" w:hAnsi="Tahoma" w:cs="Tahoma"/>
                <w:sz w:val="22"/>
                <w:szCs w:val="22"/>
              </w:rPr>
            </w:pPr>
            <w:r>
              <w:rPr>
                <w:rFonts w:ascii="Tahoma" w:hAnsi="Tahoma" w:cs="Tahoma"/>
                <w:sz w:val="22"/>
                <w:szCs w:val="22"/>
              </w:rPr>
              <w:t>3</w:t>
            </w:r>
            <w:r w:rsidRPr="005379F0">
              <w:rPr>
                <w:rFonts w:ascii="Tahoma" w:hAnsi="Tahoma" w:cs="Tahoma"/>
                <w:sz w:val="22"/>
                <w:szCs w:val="22"/>
              </w:rPr>
              <w:t>.2.</w:t>
            </w:r>
          </w:p>
        </w:tc>
        <w:tc>
          <w:tcPr>
            <w:tcW w:w="5554" w:type="dxa"/>
            <w:tcBorders>
              <w:top w:val="nil"/>
              <w:left w:val="nil"/>
              <w:bottom w:val="single" w:sz="4" w:space="0" w:color="auto"/>
              <w:right w:val="single" w:sz="4" w:space="0" w:color="auto"/>
            </w:tcBorders>
            <w:shd w:val="clear" w:color="auto" w:fill="auto"/>
            <w:vAlign w:val="center"/>
            <w:hideMark/>
          </w:tcPr>
          <w:p w14:paraId="1E9BC80F" w14:textId="77777777" w:rsidR="005B68FD" w:rsidRPr="005379F0" w:rsidRDefault="005B68FD" w:rsidP="005B68FD">
            <w:pPr>
              <w:rPr>
                <w:rFonts w:ascii="Tahoma" w:hAnsi="Tahoma" w:cs="Tahoma"/>
                <w:sz w:val="22"/>
                <w:szCs w:val="22"/>
              </w:rPr>
            </w:pPr>
            <w:r w:rsidRPr="005379F0">
              <w:rPr>
                <w:rFonts w:ascii="Tahoma" w:hAnsi="Tahoma" w:cs="Tahoma"/>
                <w:sz w:val="22"/>
                <w:szCs w:val="22"/>
              </w:rPr>
              <w:t xml:space="preserve">открытие Счета Карты </w:t>
            </w:r>
          </w:p>
        </w:tc>
        <w:tc>
          <w:tcPr>
            <w:tcW w:w="8505" w:type="dxa"/>
            <w:vMerge/>
            <w:tcBorders>
              <w:top w:val="nil"/>
              <w:left w:val="single" w:sz="4" w:space="0" w:color="auto"/>
              <w:bottom w:val="single" w:sz="4" w:space="0" w:color="auto"/>
              <w:right w:val="single" w:sz="4" w:space="0" w:color="auto"/>
            </w:tcBorders>
            <w:vAlign w:val="center"/>
            <w:hideMark/>
          </w:tcPr>
          <w:p w14:paraId="5956B958" w14:textId="77777777" w:rsidR="005B68FD" w:rsidRPr="005379F0" w:rsidRDefault="005B68FD" w:rsidP="005B68FD">
            <w:pPr>
              <w:jc w:val="center"/>
              <w:rPr>
                <w:rFonts w:ascii="Tahoma" w:hAnsi="Tahoma" w:cs="Tahoma"/>
                <w:sz w:val="22"/>
                <w:szCs w:val="22"/>
              </w:rPr>
            </w:pPr>
          </w:p>
        </w:tc>
      </w:tr>
      <w:tr w:rsidR="005B68FD" w:rsidRPr="005379F0" w14:paraId="66D9F451" w14:textId="77777777" w:rsidTr="005B68FD">
        <w:trPr>
          <w:trHeight w:val="276"/>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06B41992" w14:textId="77777777" w:rsidR="005B68FD" w:rsidRPr="005379F0" w:rsidRDefault="005B68FD" w:rsidP="005B68FD">
            <w:pPr>
              <w:rPr>
                <w:rFonts w:ascii="Tahoma" w:hAnsi="Tahoma" w:cs="Tahoma"/>
                <w:sz w:val="22"/>
                <w:szCs w:val="22"/>
              </w:rPr>
            </w:pPr>
            <w:r>
              <w:rPr>
                <w:rFonts w:ascii="Tahoma" w:hAnsi="Tahoma" w:cs="Tahoma"/>
                <w:sz w:val="22"/>
                <w:szCs w:val="22"/>
              </w:rPr>
              <w:t>3</w:t>
            </w:r>
            <w:r w:rsidRPr="005379F0">
              <w:rPr>
                <w:rFonts w:ascii="Tahoma" w:hAnsi="Tahoma" w:cs="Tahoma"/>
                <w:sz w:val="22"/>
                <w:szCs w:val="22"/>
              </w:rPr>
              <w:t>.3.</w:t>
            </w:r>
          </w:p>
        </w:tc>
        <w:tc>
          <w:tcPr>
            <w:tcW w:w="5554" w:type="dxa"/>
            <w:tcBorders>
              <w:top w:val="nil"/>
              <w:left w:val="nil"/>
              <w:bottom w:val="single" w:sz="4" w:space="0" w:color="auto"/>
              <w:right w:val="single" w:sz="4" w:space="0" w:color="auto"/>
            </w:tcBorders>
            <w:shd w:val="clear" w:color="auto" w:fill="auto"/>
            <w:vAlign w:val="center"/>
            <w:hideMark/>
          </w:tcPr>
          <w:p w14:paraId="46459CA1" w14:textId="77777777" w:rsidR="005B68FD" w:rsidRPr="005379F0" w:rsidRDefault="005B68FD" w:rsidP="005B68FD">
            <w:pPr>
              <w:rPr>
                <w:rFonts w:ascii="Tahoma" w:hAnsi="Tahoma" w:cs="Tahoma"/>
                <w:sz w:val="22"/>
                <w:szCs w:val="22"/>
              </w:rPr>
            </w:pPr>
            <w:r w:rsidRPr="005379F0">
              <w:rPr>
                <w:rFonts w:ascii="Tahoma" w:hAnsi="Tahoma" w:cs="Tahoma"/>
                <w:sz w:val="22"/>
                <w:szCs w:val="22"/>
              </w:rPr>
              <w:t>срок действия основной Карты</w:t>
            </w:r>
          </w:p>
        </w:tc>
        <w:tc>
          <w:tcPr>
            <w:tcW w:w="8505" w:type="dxa"/>
            <w:tcBorders>
              <w:top w:val="nil"/>
              <w:left w:val="nil"/>
              <w:bottom w:val="single" w:sz="4" w:space="0" w:color="auto"/>
              <w:right w:val="single" w:sz="4" w:space="0" w:color="auto"/>
            </w:tcBorders>
            <w:shd w:val="clear" w:color="000000" w:fill="FFFFFF"/>
            <w:noWrap/>
            <w:vAlign w:val="center"/>
            <w:hideMark/>
          </w:tcPr>
          <w:p w14:paraId="779694DE"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6 лет</w:t>
            </w:r>
          </w:p>
        </w:tc>
      </w:tr>
      <w:tr w:rsidR="005B68FD" w:rsidRPr="005379F0" w14:paraId="19A04A31" w14:textId="77777777" w:rsidTr="005B68FD">
        <w:trPr>
          <w:trHeight w:val="276"/>
        </w:trPr>
        <w:tc>
          <w:tcPr>
            <w:tcW w:w="820" w:type="dxa"/>
            <w:tcBorders>
              <w:top w:val="nil"/>
              <w:left w:val="single" w:sz="4" w:space="0" w:color="auto"/>
              <w:bottom w:val="single" w:sz="4" w:space="0" w:color="auto"/>
              <w:right w:val="single" w:sz="4" w:space="0" w:color="auto"/>
            </w:tcBorders>
            <w:shd w:val="clear" w:color="000000" w:fill="595959"/>
            <w:noWrap/>
            <w:vAlign w:val="center"/>
            <w:hideMark/>
          </w:tcPr>
          <w:p w14:paraId="527EC860" w14:textId="77777777" w:rsidR="005B68FD" w:rsidRPr="00C15A42" w:rsidRDefault="005B68FD" w:rsidP="005B68FD">
            <w:pPr>
              <w:rPr>
                <w:rFonts w:ascii="Tahoma" w:hAnsi="Tahoma" w:cs="Tahoma"/>
                <w:b/>
                <w:color w:val="FFFFFF" w:themeColor="background1"/>
                <w:sz w:val="22"/>
                <w:szCs w:val="22"/>
              </w:rPr>
            </w:pPr>
            <w:r w:rsidRPr="00C15A42">
              <w:rPr>
                <w:rFonts w:ascii="Tahoma" w:hAnsi="Tahoma" w:cs="Tahoma"/>
                <w:b/>
                <w:color w:val="FFFFFF" w:themeColor="background1"/>
                <w:sz w:val="22"/>
                <w:szCs w:val="22"/>
              </w:rPr>
              <w:t>3.</w:t>
            </w:r>
            <w:r>
              <w:rPr>
                <w:rFonts w:ascii="Tahoma" w:hAnsi="Tahoma" w:cs="Tahoma"/>
                <w:b/>
                <w:color w:val="FFFFFF" w:themeColor="background1"/>
                <w:sz w:val="22"/>
                <w:szCs w:val="22"/>
              </w:rPr>
              <w:t>4</w:t>
            </w:r>
            <w:r w:rsidRPr="00C15A42">
              <w:rPr>
                <w:rFonts w:ascii="Tahoma" w:hAnsi="Tahoma" w:cs="Tahoma"/>
                <w:b/>
                <w:color w:val="FFFFFF" w:themeColor="background1"/>
                <w:sz w:val="22"/>
                <w:szCs w:val="22"/>
              </w:rPr>
              <w:t>.</w:t>
            </w:r>
          </w:p>
        </w:tc>
        <w:tc>
          <w:tcPr>
            <w:tcW w:w="14059" w:type="dxa"/>
            <w:gridSpan w:val="2"/>
            <w:tcBorders>
              <w:top w:val="single" w:sz="4" w:space="0" w:color="auto"/>
              <w:left w:val="nil"/>
              <w:bottom w:val="single" w:sz="4" w:space="0" w:color="auto"/>
              <w:right w:val="single" w:sz="4" w:space="0" w:color="auto"/>
            </w:tcBorders>
            <w:shd w:val="clear" w:color="000000" w:fill="595959"/>
            <w:noWrap/>
            <w:vAlign w:val="center"/>
            <w:hideMark/>
          </w:tcPr>
          <w:p w14:paraId="64D9FBDD" w14:textId="77777777" w:rsidR="005B68FD" w:rsidRPr="00C15A42" w:rsidRDefault="005B68FD" w:rsidP="005B68FD">
            <w:pPr>
              <w:rPr>
                <w:rFonts w:ascii="Tahoma" w:hAnsi="Tahoma" w:cs="Tahoma"/>
                <w:b/>
                <w:color w:val="FFFFFF" w:themeColor="background1"/>
                <w:sz w:val="22"/>
                <w:szCs w:val="22"/>
              </w:rPr>
            </w:pPr>
            <w:r w:rsidRPr="00C15A42">
              <w:rPr>
                <w:rFonts w:ascii="Tahoma" w:hAnsi="Tahoma" w:cs="Tahoma"/>
                <w:b/>
                <w:color w:val="FFFFFF" w:themeColor="background1"/>
                <w:sz w:val="22"/>
                <w:szCs w:val="22"/>
              </w:rPr>
              <w:t>Дополнительная Карта</w:t>
            </w:r>
          </w:p>
        </w:tc>
      </w:tr>
      <w:tr w:rsidR="005B68FD" w:rsidRPr="005379F0" w14:paraId="0DDBD884" w14:textId="77777777" w:rsidTr="005B68FD">
        <w:trPr>
          <w:trHeight w:val="276"/>
        </w:trPr>
        <w:tc>
          <w:tcPr>
            <w:tcW w:w="820" w:type="dxa"/>
            <w:tcBorders>
              <w:top w:val="nil"/>
              <w:left w:val="single" w:sz="4" w:space="0" w:color="auto"/>
              <w:bottom w:val="single" w:sz="4" w:space="0" w:color="auto"/>
              <w:right w:val="single" w:sz="4" w:space="0" w:color="auto"/>
            </w:tcBorders>
            <w:shd w:val="clear" w:color="000000" w:fill="FFFFFF"/>
            <w:noWrap/>
            <w:vAlign w:val="center"/>
            <w:hideMark/>
          </w:tcPr>
          <w:p w14:paraId="354B0BC6" w14:textId="77777777" w:rsidR="005B68FD" w:rsidRPr="005379F0" w:rsidRDefault="005B68FD" w:rsidP="005B68FD">
            <w:pPr>
              <w:rPr>
                <w:rFonts w:ascii="Tahoma" w:hAnsi="Tahoma" w:cs="Tahoma"/>
                <w:sz w:val="22"/>
                <w:szCs w:val="22"/>
              </w:rPr>
            </w:pPr>
            <w:r>
              <w:rPr>
                <w:rFonts w:ascii="Tahoma" w:hAnsi="Tahoma" w:cs="Tahoma"/>
                <w:sz w:val="22"/>
                <w:szCs w:val="22"/>
              </w:rPr>
              <w:t>3.4</w:t>
            </w:r>
            <w:r w:rsidRPr="005379F0">
              <w:rPr>
                <w:rFonts w:ascii="Tahoma" w:hAnsi="Tahoma" w:cs="Tahoma"/>
                <w:sz w:val="22"/>
                <w:szCs w:val="22"/>
              </w:rPr>
              <w:t>.1.</w:t>
            </w:r>
          </w:p>
        </w:tc>
        <w:tc>
          <w:tcPr>
            <w:tcW w:w="5554" w:type="dxa"/>
            <w:tcBorders>
              <w:top w:val="nil"/>
              <w:left w:val="nil"/>
              <w:bottom w:val="single" w:sz="4" w:space="0" w:color="auto"/>
              <w:right w:val="nil"/>
            </w:tcBorders>
            <w:shd w:val="clear" w:color="000000" w:fill="FFFFFF"/>
            <w:vAlign w:val="center"/>
            <w:hideMark/>
          </w:tcPr>
          <w:p w14:paraId="1B0F79D5" w14:textId="77777777" w:rsidR="005B68FD" w:rsidRPr="005379F0" w:rsidRDefault="005B68FD" w:rsidP="005B68FD">
            <w:pPr>
              <w:rPr>
                <w:rFonts w:ascii="Tahoma" w:hAnsi="Tahoma" w:cs="Tahoma"/>
                <w:sz w:val="22"/>
                <w:szCs w:val="22"/>
              </w:rPr>
            </w:pPr>
            <w:r w:rsidRPr="005379F0">
              <w:rPr>
                <w:rFonts w:ascii="Tahoma" w:hAnsi="Tahoma" w:cs="Tahoma"/>
                <w:sz w:val="22"/>
                <w:szCs w:val="22"/>
              </w:rPr>
              <w:t>выпуск дополнительной карты</w:t>
            </w:r>
          </w:p>
        </w:tc>
        <w:tc>
          <w:tcPr>
            <w:tcW w:w="8505" w:type="dxa"/>
            <w:tcBorders>
              <w:top w:val="nil"/>
              <w:left w:val="single" w:sz="4" w:space="0" w:color="auto"/>
              <w:bottom w:val="single" w:sz="4" w:space="0" w:color="auto"/>
              <w:right w:val="single" w:sz="4" w:space="0" w:color="auto"/>
            </w:tcBorders>
            <w:shd w:val="clear" w:color="000000" w:fill="FFFFFF"/>
            <w:vAlign w:val="center"/>
            <w:hideMark/>
          </w:tcPr>
          <w:p w14:paraId="3BC19E1F"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не предусмотрено</w:t>
            </w:r>
          </w:p>
        </w:tc>
      </w:tr>
      <w:tr w:rsidR="005B68FD" w:rsidRPr="005379F0" w14:paraId="48CE630B" w14:textId="77777777" w:rsidTr="005B68FD">
        <w:trPr>
          <w:trHeight w:val="312"/>
        </w:trPr>
        <w:tc>
          <w:tcPr>
            <w:tcW w:w="820" w:type="dxa"/>
            <w:tcBorders>
              <w:top w:val="nil"/>
              <w:left w:val="single" w:sz="4" w:space="0" w:color="auto"/>
              <w:bottom w:val="single" w:sz="4" w:space="0" w:color="auto"/>
              <w:right w:val="single" w:sz="4" w:space="0" w:color="auto"/>
            </w:tcBorders>
            <w:shd w:val="clear" w:color="000000" w:fill="595959"/>
            <w:noWrap/>
            <w:vAlign w:val="center"/>
            <w:hideMark/>
          </w:tcPr>
          <w:p w14:paraId="460DFDD8" w14:textId="77777777" w:rsidR="005B68FD" w:rsidRPr="00C15A42" w:rsidRDefault="005B68FD" w:rsidP="005B68FD">
            <w:pPr>
              <w:rPr>
                <w:rFonts w:ascii="Tahoma" w:hAnsi="Tahoma" w:cs="Tahoma"/>
                <w:b/>
                <w:color w:val="FFFFFF" w:themeColor="background1"/>
                <w:sz w:val="22"/>
                <w:szCs w:val="22"/>
              </w:rPr>
            </w:pPr>
            <w:r w:rsidRPr="00C15A42">
              <w:rPr>
                <w:rFonts w:ascii="Tahoma" w:hAnsi="Tahoma" w:cs="Tahoma"/>
                <w:b/>
                <w:color w:val="FFFFFF" w:themeColor="background1"/>
                <w:sz w:val="22"/>
                <w:szCs w:val="22"/>
              </w:rPr>
              <w:t>4.</w:t>
            </w:r>
          </w:p>
        </w:tc>
        <w:tc>
          <w:tcPr>
            <w:tcW w:w="14059" w:type="dxa"/>
            <w:gridSpan w:val="2"/>
            <w:tcBorders>
              <w:top w:val="single" w:sz="4" w:space="0" w:color="auto"/>
              <w:left w:val="nil"/>
              <w:bottom w:val="single" w:sz="4" w:space="0" w:color="auto"/>
              <w:right w:val="nil"/>
            </w:tcBorders>
            <w:shd w:val="clear" w:color="000000" w:fill="595959"/>
            <w:noWrap/>
            <w:vAlign w:val="center"/>
            <w:hideMark/>
          </w:tcPr>
          <w:p w14:paraId="21D022A9" w14:textId="77777777" w:rsidR="005B68FD" w:rsidRPr="00C15A42" w:rsidRDefault="005B68FD" w:rsidP="005B68FD">
            <w:pPr>
              <w:rPr>
                <w:rFonts w:ascii="Tahoma" w:hAnsi="Tahoma" w:cs="Tahoma"/>
                <w:b/>
                <w:color w:val="FFFFFF" w:themeColor="background1"/>
                <w:sz w:val="22"/>
                <w:szCs w:val="22"/>
              </w:rPr>
            </w:pPr>
            <w:r w:rsidRPr="00C15A42">
              <w:rPr>
                <w:rFonts w:ascii="Tahoma" w:hAnsi="Tahoma" w:cs="Tahoma"/>
                <w:b/>
                <w:color w:val="FFFFFF" w:themeColor="background1"/>
                <w:sz w:val="22"/>
                <w:szCs w:val="22"/>
              </w:rPr>
              <w:t>Начисление процентов Банком Клиенту на остаток денежных средств по Счету Карты в Периоде</w:t>
            </w:r>
            <w:r w:rsidRPr="00C15A42">
              <w:rPr>
                <w:rFonts w:ascii="Tahoma" w:hAnsi="Tahoma" w:cs="Tahoma"/>
                <w:b/>
                <w:color w:val="FFFFFF" w:themeColor="background1"/>
                <w:sz w:val="22"/>
                <w:szCs w:val="22"/>
                <w:vertAlign w:val="superscript"/>
              </w:rPr>
              <w:t>8</w:t>
            </w:r>
          </w:p>
        </w:tc>
      </w:tr>
      <w:tr w:rsidR="005B68FD" w:rsidRPr="005379F0" w14:paraId="29556DD6" w14:textId="77777777" w:rsidTr="005B68FD">
        <w:trPr>
          <w:trHeight w:val="300"/>
        </w:trPr>
        <w:tc>
          <w:tcPr>
            <w:tcW w:w="820" w:type="dxa"/>
            <w:tcBorders>
              <w:top w:val="nil"/>
              <w:left w:val="single" w:sz="4" w:space="0" w:color="auto"/>
              <w:bottom w:val="single" w:sz="4" w:space="0" w:color="auto"/>
              <w:right w:val="single" w:sz="4" w:space="0" w:color="auto"/>
            </w:tcBorders>
            <w:shd w:val="clear" w:color="000000" w:fill="595959"/>
            <w:noWrap/>
            <w:vAlign w:val="center"/>
            <w:hideMark/>
          </w:tcPr>
          <w:p w14:paraId="30BA78EF" w14:textId="77777777" w:rsidR="005B68FD" w:rsidRPr="00C15A42" w:rsidRDefault="005B68FD" w:rsidP="005B68FD">
            <w:pPr>
              <w:rPr>
                <w:rFonts w:ascii="Tahoma" w:hAnsi="Tahoma" w:cs="Tahoma"/>
                <w:b/>
                <w:color w:val="FFFFFF" w:themeColor="background1"/>
                <w:sz w:val="22"/>
                <w:szCs w:val="22"/>
              </w:rPr>
            </w:pPr>
            <w:r w:rsidRPr="00C15A42">
              <w:rPr>
                <w:rFonts w:ascii="Tahoma" w:hAnsi="Tahoma" w:cs="Tahoma"/>
                <w:b/>
                <w:color w:val="FFFFFF" w:themeColor="background1"/>
                <w:sz w:val="22"/>
                <w:szCs w:val="22"/>
              </w:rPr>
              <w:t>4.1.</w:t>
            </w:r>
          </w:p>
        </w:tc>
        <w:tc>
          <w:tcPr>
            <w:tcW w:w="14059" w:type="dxa"/>
            <w:gridSpan w:val="2"/>
            <w:tcBorders>
              <w:top w:val="nil"/>
              <w:left w:val="nil"/>
              <w:bottom w:val="single" w:sz="4" w:space="0" w:color="auto"/>
              <w:right w:val="single" w:sz="4" w:space="0" w:color="auto"/>
            </w:tcBorders>
            <w:shd w:val="clear" w:color="000000" w:fill="595959"/>
            <w:noWrap/>
            <w:vAlign w:val="center"/>
            <w:hideMark/>
          </w:tcPr>
          <w:p w14:paraId="7CBE3DCA" w14:textId="77777777" w:rsidR="005B68FD" w:rsidRPr="00C15A42" w:rsidRDefault="005B68FD" w:rsidP="005B68FD">
            <w:pPr>
              <w:rPr>
                <w:rFonts w:ascii="Tahoma" w:hAnsi="Tahoma" w:cs="Tahoma"/>
                <w:b/>
                <w:color w:val="FFFFFF" w:themeColor="background1"/>
                <w:sz w:val="22"/>
                <w:szCs w:val="22"/>
              </w:rPr>
            </w:pPr>
            <w:r w:rsidRPr="00C15A42">
              <w:rPr>
                <w:rFonts w:ascii="Tahoma" w:hAnsi="Tahoma" w:cs="Tahoma"/>
                <w:b/>
                <w:color w:val="FFFFFF" w:themeColor="background1"/>
                <w:sz w:val="22"/>
                <w:szCs w:val="22"/>
              </w:rPr>
              <w:t>Процентная ставка на остаток денежных средств в рублях на Счете Карты, % годовых</w:t>
            </w:r>
          </w:p>
        </w:tc>
      </w:tr>
      <w:tr w:rsidR="005B68FD" w:rsidRPr="005379F0" w14:paraId="2D55D7BF" w14:textId="77777777" w:rsidTr="005B68FD">
        <w:trPr>
          <w:trHeight w:val="1416"/>
        </w:trPr>
        <w:tc>
          <w:tcPr>
            <w:tcW w:w="8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D638388" w14:textId="77777777" w:rsidR="005B68FD" w:rsidRPr="005379F0" w:rsidRDefault="005B68FD" w:rsidP="005B68FD">
            <w:pPr>
              <w:rPr>
                <w:rFonts w:ascii="Tahoma" w:hAnsi="Tahoma" w:cs="Tahoma"/>
                <w:sz w:val="22"/>
                <w:szCs w:val="22"/>
              </w:rPr>
            </w:pPr>
            <w:r w:rsidRPr="005379F0">
              <w:rPr>
                <w:rFonts w:ascii="Tahoma" w:hAnsi="Tahoma" w:cs="Tahoma"/>
                <w:sz w:val="22"/>
                <w:szCs w:val="22"/>
              </w:rPr>
              <w:t>4.1.1.</w:t>
            </w:r>
          </w:p>
        </w:tc>
        <w:tc>
          <w:tcPr>
            <w:tcW w:w="5554" w:type="dxa"/>
            <w:tcBorders>
              <w:top w:val="single" w:sz="4" w:space="0" w:color="auto"/>
              <w:left w:val="nil"/>
              <w:bottom w:val="single" w:sz="4" w:space="0" w:color="auto"/>
              <w:right w:val="single" w:sz="4" w:space="0" w:color="auto"/>
            </w:tcBorders>
            <w:shd w:val="clear" w:color="000000" w:fill="FFFFFF"/>
            <w:vAlign w:val="center"/>
            <w:hideMark/>
          </w:tcPr>
          <w:p w14:paraId="7DB9DB9C" w14:textId="77777777" w:rsidR="005B68FD" w:rsidRDefault="005B68FD" w:rsidP="005B68FD">
            <w:pPr>
              <w:rPr>
                <w:rFonts w:ascii="Tahoma" w:hAnsi="Tahoma" w:cs="Tahoma"/>
                <w:sz w:val="22"/>
                <w:szCs w:val="22"/>
              </w:rPr>
            </w:pPr>
            <w:r>
              <w:rPr>
                <w:rFonts w:ascii="Tahoma" w:hAnsi="Tahoma" w:cs="Tahoma"/>
                <w:sz w:val="22"/>
                <w:szCs w:val="22"/>
              </w:rPr>
              <w:t>при безналичном зачислении на Счет Карты заработной платы</w:t>
            </w:r>
            <w:r>
              <w:rPr>
                <w:rFonts w:ascii="Tahoma" w:hAnsi="Tahoma" w:cs="Tahoma"/>
                <w:sz w:val="22"/>
                <w:szCs w:val="22"/>
                <w:vertAlign w:val="superscript"/>
              </w:rPr>
              <w:t>4</w:t>
            </w:r>
            <w:r>
              <w:rPr>
                <w:rFonts w:ascii="Tahoma" w:hAnsi="Tahoma" w:cs="Tahoma"/>
                <w:sz w:val="22"/>
                <w:szCs w:val="22"/>
              </w:rPr>
              <w:t xml:space="preserve"> Клиента в Отчетном периоде</w:t>
            </w:r>
            <w:r>
              <w:rPr>
                <w:rFonts w:ascii="Tahoma" w:hAnsi="Tahoma" w:cs="Tahoma"/>
                <w:sz w:val="22"/>
                <w:szCs w:val="22"/>
                <w:vertAlign w:val="superscript"/>
              </w:rPr>
              <w:t>5</w:t>
            </w:r>
            <w:r>
              <w:rPr>
                <w:rFonts w:ascii="Tahoma" w:hAnsi="Tahoma" w:cs="Tahoma"/>
                <w:sz w:val="22"/>
                <w:szCs w:val="22"/>
              </w:rPr>
              <w:t>, но при отсутствии перерыва в зачислении заработной платы или наличии перерыва в зачислении заработной платы не более 2-х календарных месяцев подряд</w:t>
            </w:r>
          </w:p>
        </w:tc>
        <w:tc>
          <w:tcPr>
            <w:tcW w:w="8505"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E2ADC64"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5%</w:t>
            </w:r>
          </w:p>
        </w:tc>
      </w:tr>
      <w:tr w:rsidR="005B68FD" w:rsidRPr="005379F0" w14:paraId="7C496B13" w14:textId="77777777" w:rsidTr="005B68FD">
        <w:trPr>
          <w:trHeight w:val="624"/>
        </w:trPr>
        <w:tc>
          <w:tcPr>
            <w:tcW w:w="8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142980C" w14:textId="77777777" w:rsidR="005B68FD" w:rsidRPr="005379F0" w:rsidRDefault="005B68FD" w:rsidP="005B68FD">
            <w:pPr>
              <w:rPr>
                <w:rFonts w:ascii="Tahoma" w:hAnsi="Tahoma" w:cs="Tahoma"/>
                <w:sz w:val="22"/>
                <w:szCs w:val="22"/>
              </w:rPr>
            </w:pPr>
            <w:r w:rsidRPr="005379F0">
              <w:rPr>
                <w:rFonts w:ascii="Tahoma" w:hAnsi="Tahoma" w:cs="Tahoma"/>
                <w:sz w:val="22"/>
                <w:szCs w:val="22"/>
              </w:rPr>
              <w:t>4.1.2.</w:t>
            </w:r>
          </w:p>
        </w:tc>
        <w:tc>
          <w:tcPr>
            <w:tcW w:w="5554" w:type="dxa"/>
            <w:tcBorders>
              <w:top w:val="single" w:sz="4" w:space="0" w:color="auto"/>
              <w:left w:val="nil"/>
              <w:bottom w:val="single" w:sz="4" w:space="0" w:color="auto"/>
              <w:right w:val="single" w:sz="4" w:space="0" w:color="auto"/>
            </w:tcBorders>
            <w:shd w:val="clear" w:color="000000" w:fill="FFFFFF"/>
            <w:vAlign w:val="center"/>
            <w:hideMark/>
          </w:tcPr>
          <w:p w14:paraId="02CFE027" w14:textId="77777777" w:rsidR="005B68FD" w:rsidRDefault="005B68FD" w:rsidP="005B68FD">
            <w:pPr>
              <w:rPr>
                <w:rFonts w:ascii="Tahoma" w:hAnsi="Tahoma" w:cs="Tahoma"/>
                <w:sz w:val="22"/>
                <w:szCs w:val="22"/>
              </w:rPr>
            </w:pPr>
            <w:r>
              <w:rPr>
                <w:rFonts w:ascii="Tahoma" w:hAnsi="Tahoma" w:cs="Tahoma"/>
                <w:sz w:val="22"/>
                <w:szCs w:val="22"/>
              </w:rPr>
              <w:t>при совершении безналичных операций в ТСП</w:t>
            </w:r>
            <w:r>
              <w:rPr>
                <w:rFonts w:ascii="Tahoma" w:hAnsi="Tahoma" w:cs="Tahoma"/>
                <w:sz w:val="22"/>
                <w:szCs w:val="22"/>
                <w:vertAlign w:val="superscript"/>
              </w:rPr>
              <w:t>6</w:t>
            </w:r>
            <w:r>
              <w:rPr>
                <w:rFonts w:ascii="Tahoma" w:hAnsi="Tahoma" w:cs="Tahoma"/>
                <w:sz w:val="22"/>
                <w:szCs w:val="22"/>
              </w:rPr>
              <w:t xml:space="preserve"> на сумму более 15 000 рублей в Отчетном периоде</w:t>
            </w:r>
            <w:r>
              <w:rPr>
                <w:rFonts w:ascii="Tahoma" w:hAnsi="Tahoma" w:cs="Tahoma"/>
                <w:sz w:val="22"/>
                <w:szCs w:val="22"/>
                <w:vertAlign w:val="superscript"/>
              </w:rPr>
              <w:t>5</w:t>
            </w:r>
          </w:p>
        </w:tc>
        <w:tc>
          <w:tcPr>
            <w:tcW w:w="8505" w:type="dxa"/>
            <w:vMerge/>
            <w:tcBorders>
              <w:top w:val="single" w:sz="4" w:space="0" w:color="auto"/>
              <w:left w:val="single" w:sz="4" w:space="0" w:color="auto"/>
              <w:bottom w:val="single" w:sz="4" w:space="0" w:color="000000"/>
              <w:right w:val="single" w:sz="4" w:space="0" w:color="auto"/>
            </w:tcBorders>
            <w:vAlign w:val="center"/>
            <w:hideMark/>
          </w:tcPr>
          <w:p w14:paraId="7BD6D8D5" w14:textId="77777777" w:rsidR="005B68FD" w:rsidRPr="005379F0" w:rsidRDefault="005B68FD" w:rsidP="005B68FD">
            <w:pPr>
              <w:jc w:val="center"/>
              <w:rPr>
                <w:rFonts w:ascii="Tahoma" w:hAnsi="Tahoma" w:cs="Tahoma"/>
                <w:sz w:val="22"/>
                <w:szCs w:val="22"/>
              </w:rPr>
            </w:pPr>
          </w:p>
        </w:tc>
      </w:tr>
      <w:tr w:rsidR="005B68FD" w:rsidRPr="005379F0" w14:paraId="4E0E4762" w14:textId="77777777" w:rsidTr="005B68FD">
        <w:trPr>
          <w:trHeight w:val="1020"/>
        </w:trPr>
        <w:tc>
          <w:tcPr>
            <w:tcW w:w="820" w:type="dxa"/>
            <w:tcBorders>
              <w:top w:val="nil"/>
              <w:left w:val="single" w:sz="4" w:space="0" w:color="auto"/>
              <w:bottom w:val="single" w:sz="4" w:space="0" w:color="auto"/>
              <w:right w:val="single" w:sz="4" w:space="0" w:color="auto"/>
            </w:tcBorders>
            <w:shd w:val="clear" w:color="000000" w:fill="FFFFFF"/>
            <w:noWrap/>
            <w:vAlign w:val="center"/>
            <w:hideMark/>
          </w:tcPr>
          <w:p w14:paraId="279DA6DF" w14:textId="77777777" w:rsidR="005B68FD" w:rsidRPr="005379F0" w:rsidRDefault="005B68FD" w:rsidP="005B68FD">
            <w:pPr>
              <w:rPr>
                <w:rFonts w:ascii="Tahoma" w:hAnsi="Tahoma" w:cs="Tahoma"/>
                <w:sz w:val="22"/>
                <w:szCs w:val="22"/>
              </w:rPr>
            </w:pPr>
            <w:r w:rsidRPr="005379F0">
              <w:rPr>
                <w:rFonts w:ascii="Tahoma" w:hAnsi="Tahoma" w:cs="Tahoma"/>
                <w:sz w:val="22"/>
                <w:szCs w:val="22"/>
              </w:rPr>
              <w:t>4.1.3.</w:t>
            </w:r>
          </w:p>
        </w:tc>
        <w:tc>
          <w:tcPr>
            <w:tcW w:w="5554" w:type="dxa"/>
            <w:tcBorders>
              <w:top w:val="nil"/>
              <w:left w:val="nil"/>
              <w:bottom w:val="single" w:sz="4" w:space="0" w:color="auto"/>
              <w:right w:val="single" w:sz="4" w:space="0" w:color="auto"/>
            </w:tcBorders>
            <w:shd w:val="clear" w:color="000000" w:fill="FFFFFF"/>
            <w:vAlign w:val="center"/>
            <w:hideMark/>
          </w:tcPr>
          <w:p w14:paraId="6617934C" w14:textId="77777777" w:rsidR="005B68FD" w:rsidRDefault="005B68FD" w:rsidP="005B68FD">
            <w:pPr>
              <w:rPr>
                <w:rFonts w:ascii="Tahoma" w:hAnsi="Tahoma" w:cs="Tahoma"/>
                <w:sz w:val="22"/>
                <w:szCs w:val="22"/>
              </w:rPr>
            </w:pPr>
            <w:r>
              <w:rPr>
                <w:rFonts w:ascii="Tahoma" w:hAnsi="Tahoma" w:cs="Tahoma"/>
                <w:sz w:val="22"/>
                <w:szCs w:val="22"/>
              </w:rPr>
              <w:t>при перечислении процентов на ежемесячной основе по срочному Вкладу, открытому в Банке</w:t>
            </w:r>
            <w:r>
              <w:rPr>
                <w:rFonts w:ascii="Tahoma" w:hAnsi="Tahoma" w:cs="Tahoma"/>
                <w:sz w:val="22"/>
                <w:szCs w:val="22"/>
                <w:vertAlign w:val="superscript"/>
              </w:rPr>
              <w:t>7</w:t>
            </w:r>
            <w:r>
              <w:rPr>
                <w:rFonts w:ascii="Tahoma" w:hAnsi="Tahoma" w:cs="Tahoma"/>
                <w:sz w:val="22"/>
                <w:szCs w:val="22"/>
              </w:rPr>
              <w:t>, на Счет Карты в Отчетном периоде</w:t>
            </w:r>
            <w:r>
              <w:rPr>
                <w:rFonts w:ascii="Tahoma" w:hAnsi="Tahoma" w:cs="Tahoma"/>
                <w:sz w:val="22"/>
                <w:szCs w:val="22"/>
                <w:vertAlign w:val="superscript"/>
              </w:rPr>
              <w:t>5</w:t>
            </w:r>
          </w:p>
        </w:tc>
        <w:tc>
          <w:tcPr>
            <w:tcW w:w="8505" w:type="dxa"/>
            <w:vMerge/>
            <w:tcBorders>
              <w:top w:val="nil"/>
              <w:left w:val="single" w:sz="4" w:space="0" w:color="auto"/>
              <w:bottom w:val="single" w:sz="4" w:space="0" w:color="000000"/>
              <w:right w:val="single" w:sz="4" w:space="0" w:color="auto"/>
            </w:tcBorders>
            <w:vAlign w:val="center"/>
            <w:hideMark/>
          </w:tcPr>
          <w:p w14:paraId="317AC618" w14:textId="77777777" w:rsidR="005B68FD" w:rsidRPr="005379F0" w:rsidRDefault="005B68FD" w:rsidP="005B68FD">
            <w:pPr>
              <w:jc w:val="center"/>
              <w:rPr>
                <w:rFonts w:ascii="Tahoma" w:hAnsi="Tahoma" w:cs="Tahoma"/>
                <w:sz w:val="22"/>
                <w:szCs w:val="22"/>
              </w:rPr>
            </w:pPr>
          </w:p>
        </w:tc>
      </w:tr>
      <w:tr w:rsidR="005B68FD" w:rsidRPr="005379F0" w14:paraId="31300076" w14:textId="77777777" w:rsidTr="005B68FD">
        <w:trPr>
          <w:trHeight w:val="588"/>
        </w:trPr>
        <w:tc>
          <w:tcPr>
            <w:tcW w:w="8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4D54B14" w14:textId="77777777" w:rsidR="005B68FD" w:rsidRPr="005379F0" w:rsidRDefault="005B68FD" w:rsidP="005B68FD">
            <w:pPr>
              <w:rPr>
                <w:rFonts w:ascii="Tahoma" w:hAnsi="Tahoma" w:cs="Tahoma"/>
                <w:sz w:val="22"/>
                <w:szCs w:val="22"/>
              </w:rPr>
            </w:pPr>
            <w:r w:rsidRPr="005379F0">
              <w:rPr>
                <w:rFonts w:ascii="Tahoma" w:hAnsi="Tahoma" w:cs="Tahoma"/>
                <w:sz w:val="22"/>
                <w:szCs w:val="22"/>
              </w:rPr>
              <w:t>4.1.4.</w:t>
            </w:r>
          </w:p>
        </w:tc>
        <w:tc>
          <w:tcPr>
            <w:tcW w:w="5554" w:type="dxa"/>
            <w:tcBorders>
              <w:top w:val="single" w:sz="4" w:space="0" w:color="auto"/>
              <w:left w:val="nil"/>
              <w:bottom w:val="single" w:sz="4" w:space="0" w:color="auto"/>
              <w:right w:val="single" w:sz="4" w:space="0" w:color="auto"/>
            </w:tcBorders>
            <w:shd w:val="clear" w:color="000000" w:fill="FFFFFF"/>
            <w:vAlign w:val="center"/>
            <w:hideMark/>
          </w:tcPr>
          <w:p w14:paraId="55ADF4E3" w14:textId="77777777" w:rsidR="005B68FD" w:rsidRDefault="005B68FD" w:rsidP="005B68FD">
            <w:pPr>
              <w:rPr>
                <w:rFonts w:ascii="Tahoma" w:hAnsi="Tahoma" w:cs="Tahoma"/>
                <w:sz w:val="22"/>
                <w:szCs w:val="22"/>
              </w:rPr>
            </w:pPr>
            <w:r>
              <w:rPr>
                <w:rFonts w:ascii="Tahoma" w:hAnsi="Tahoma" w:cs="Tahoma"/>
                <w:sz w:val="22"/>
                <w:szCs w:val="22"/>
              </w:rPr>
              <w:t>при безналичном зачислении на Счет Карты пенсионных и/или социальных выплат Клиента в Отчетном периоде</w:t>
            </w:r>
            <w:r>
              <w:rPr>
                <w:rFonts w:ascii="Tahoma" w:hAnsi="Tahoma" w:cs="Tahoma"/>
                <w:sz w:val="22"/>
                <w:szCs w:val="22"/>
                <w:vertAlign w:val="superscript"/>
              </w:rPr>
              <w:t>5</w:t>
            </w:r>
          </w:p>
        </w:tc>
        <w:tc>
          <w:tcPr>
            <w:tcW w:w="8505" w:type="dxa"/>
            <w:vMerge/>
            <w:tcBorders>
              <w:top w:val="nil"/>
              <w:left w:val="single" w:sz="4" w:space="0" w:color="auto"/>
              <w:bottom w:val="single" w:sz="4" w:space="0" w:color="000000"/>
              <w:right w:val="single" w:sz="4" w:space="0" w:color="auto"/>
            </w:tcBorders>
            <w:vAlign w:val="center"/>
            <w:hideMark/>
          </w:tcPr>
          <w:p w14:paraId="0D989244" w14:textId="77777777" w:rsidR="005B68FD" w:rsidRPr="005379F0" w:rsidRDefault="005B68FD" w:rsidP="005B68FD">
            <w:pPr>
              <w:jc w:val="center"/>
              <w:rPr>
                <w:rFonts w:ascii="Tahoma" w:hAnsi="Tahoma" w:cs="Tahoma"/>
                <w:sz w:val="22"/>
                <w:szCs w:val="22"/>
              </w:rPr>
            </w:pPr>
          </w:p>
        </w:tc>
      </w:tr>
      <w:tr w:rsidR="005B68FD" w:rsidRPr="005379F0" w14:paraId="0F578A4A" w14:textId="77777777" w:rsidTr="005B68FD">
        <w:trPr>
          <w:trHeight w:val="276"/>
        </w:trPr>
        <w:tc>
          <w:tcPr>
            <w:tcW w:w="820" w:type="dxa"/>
            <w:tcBorders>
              <w:top w:val="nil"/>
              <w:left w:val="single" w:sz="4" w:space="0" w:color="auto"/>
              <w:bottom w:val="single" w:sz="4" w:space="0" w:color="auto"/>
              <w:right w:val="single" w:sz="4" w:space="0" w:color="auto"/>
            </w:tcBorders>
            <w:shd w:val="clear" w:color="000000" w:fill="FFFFFF"/>
            <w:noWrap/>
            <w:vAlign w:val="center"/>
            <w:hideMark/>
          </w:tcPr>
          <w:p w14:paraId="198E8CD4" w14:textId="77777777" w:rsidR="005B68FD" w:rsidRPr="005379F0" w:rsidRDefault="005B68FD" w:rsidP="005B68FD">
            <w:pPr>
              <w:rPr>
                <w:rFonts w:ascii="Tahoma" w:hAnsi="Tahoma" w:cs="Tahoma"/>
                <w:sz w:val="22"/>
                <w:szCs w:val="22"/>
              </w:rPr>
            </w:pPr>
            <w:r w:rsidRPr="005379F0">
              <w:rPr>
                <w:rFonts w:ascii="Tahoma" w:hAnsi="Tahoma" w:cs="Tahoma"/>
                <w:sz w:val="22"/>
                <w:szCs w:val="22"/>
              </w:rPr>
              <w:t>4.1.5.</w:t>
            </w:r>
          </w:p>
        </w:tc>
        <w:tc>
          <w:tcPr>
            <w:tcW w:w="5554" w:type="dxa"/>
            <w:tcBorders>
              <w:top w:val="nil"/>
              <w:left w:val="nil"/>
              <w:bottom w:val="single" w:sz="4" w:space="0" w:color="auto"/>
              <w:right w:val="single" w:sz="4" w:space="0" w:color="auto"/>
            </w:tcBorders>
            <w:shd w:val="clear" w:color="000000" w:fill="FFFFFF"/>
            <w:vAlign w:val="center"/>
            <w:hideMark/>
          </w:tcPr>
          <w:p w14:paraId="0CBD7251" w14:textId="77777777" w:rsidR="005B68FD" w:rsidRDefault="005B68FD" w:rsidP="005B68FD">
            <w:pPr>
              <w:rPr>
                <w:rFonts w:ascii="Tahoma" w:hAnsi="Tahoma" w:cs="Tahoma"/>
                <w:sz w:val="22"/>
                <w:szCs w:val="22"/>
              </w:rPr>
            </w:pPr>
            <w:r>
              <w:rPr>
                <w:rFonts w:ascii="Tahoma" w:hAnsi="Tahoma" w:cs="Tahoma"/>
                <w:sz w:val="22"/>
                <w:szCs w:val="22"/>
              </w:rPr>
              <w:t>в иных случаях</w:t>
            </w:r>
          </w:p>
        </w:tc>
        <w:tc>
          <w:tcPr>
            <w:tcW w:w="8505" w:type="dxa"/>
            <w:tcBorders>
              <w:top w:val="nil"/>
              <w:left w:val="nil"/>
              <w:bottom w:val="single" w:sz="4" w:space="0" w:color="auto"/>
              <w:right w:val="single" w:sz="4" w:space="0" w:color="auto"/>
            </w:tcBorders>
            <w:shd w:val="clear" w:color="000000" w:fill="FFFFFF"/>
            <w:vAlign w:val="center"/>
            <w:hideMark/>
          </w:tcPr>
          <w:p w14:paraId="5AD743F9"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2%</w:t>
            </w:r>
          </w:p>
        </w:tc>
      </w:tr>
      <w:tr w:rsidR="005B68FD" w:rsidRPr="005379F0" w14:paraId="66AF6606" w14:textId="77777777" w:rsidTr="005B68FD">
        <w:trPr>
          <w:trHeight w:val="540"/>
        </w:trPr>
        <w:tc>
          <w:tcPr>
            <w:tcW w:w="820" w:type="dxa"/>
            <w:tcBorders>
              <w:top w:val="nil"/>
              <w:left w:val="single" w:sz="4" w:space="0" w:color="auto"/>
              <w:bottom w:val="single" w:sz="4" w:space="0" w:color="auto"/>
              <w:right w:val="single" w:sz="4" w:space="0" w:color="auto"/>
            </w:tcBorders>
            <w:shd w:val="clear" w:color="000000" w:fill="FFFFFF"/>
            <w:noWrap/>
            <w:vAlign w:val="center"/>
            <w:hideMark/>
          </w:tcPr>
          <w:p w14:paraId="2C6102C3" w14:textId="77777777" w:rsidR="005B68FD" w:rsidRPr="005379F0" w:rsidRDefault="005B68FD" w:rsidP="005B68FD">
            <w:pPr>
              <w:rPr>
                <w:rFonts w:ascii="Tahoma" w:hAnsi="Tahoma" w:cs="Tahoma"/>
                <w:sz w:val="22"/>
                <w:szCs w:val="22"/>
              </w:rPr>
            </w:pPr>
            <w:r w:rsidRPr="005379F0">
              <w:rPr>
                <w:rFonts w:ascii="Tahoma" w:hAnsi="Tahoma" w:cs="Tahoma"/>
                <w:sz w:val="22"/>
                <w:szCs w:val="22"/>
              </w:rPr>
              <w:t>4.2.</w:t>
            </w:r>
          </w:p>
        </w:tc>
        <w:tc>
          <w:tcPr>
            <w:tcW w:w="5554" w:type="dxa"/>
            <w:tcBorders>
              <w:top w:val="nil"/>
              <w:left w:val="nil"/>
              <w:bottom w:val="single" w:sz="4" w:space="0" w:color="auto"/>
              <w:right w:val="single" w:sz="4" w:space="0" w:color="auto"/>
            </w:tcBorders>
            <w:shd w:val="clear" w:color="auto" w:fill="auto"/>
            <w:vAlign w:val="center"/>
            <w:hideMark/>
          </w:tcPr>
          <w:p w14:paraId="20B3D06D" w14:textId="77777777" w:rsidR="005B68FD" w:rsidRDefault="005B68FD" w:rsidP="005B68FD">
            <w:pPr>
              <w:rPr>
                <w:rFonts w:ascii="Tahoma" w:hAnsi="Tahoma" w:cs="Tahoma"/>
                <w:sz w:val="22"/>
                <w:szCs w:val="22"/>
              </w:rPr>
            </w:pPr>
            <w:r>
              <w:rPr>
                <w:rFonts w:ascii="Tahoma" w:hAnsi="Tahoma" w:cs="Tahoma"/>
                <w:sz w:val="22"/>
                <w:szCs w:val="22"/>
              </w:rPr>
              <w:t>периодичность выплаты процентов</w:t>
            </w:r>
          </w:p>
        </w:tc>
        <w:tc>
          <w:tcPr>
            <w:tcW w:w="8505" w:type="dxa"/>
            <w:tcBorders>
              <w:top w:val="single" w:sz="4" w:space="0" w:color="auto"/>
              <w:left w:val="nil"/>
              <w:bottom w:val="single" w:sz="4" w:space="0" w:color="auto"/>
              <w:right w:val="single" w:sz="4" w:space="0" w:color="auto"/>
            </w:tcBorders>
            <w:shd w:val="clear" w:color="auto" w:fill="auto"/>
            <w:vAlign w:val="center"/>
            <w:hideMark/>
          </w:tcPr>
          <w:p w14:paraId="2D4FBA6B"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ЕЖЕМЕСЯЧНО в дату, соответствующую дате открытия Счета Карты</w:t>
            </w:r>
          </w:p>
        </w:tc>
      </w:tr>
      <w:tr w:rsidR="005B68FD" w:rsidRPr="005379F0" w14:paraId="1E5D4B7D" w14:textId="77777777" w:rsidTr="005B68FD">
        <w:trPr>
          <w:trHeight w:val="345"/>
        </w:trPr>
        <w:tc>
          <w:tcPr>
            <w:tcW w:w="820" w:type="dxa"/>
            <w:tcBorders>
              <w:top w:val="nil"/>
              <w:left w:val="single" w:sz="4" w:space="0" w:color="auto"/>
              <w:bottom w:val="single" w:sz="4" w:space="0" w:color="auto"/>
              <w:right w:val="single" w:sz="4" w:space="0" w:color="auto"/>
            </w:tcBorders>
            <w:shd w:val="clear" w:color="000000" w:fill="595959"/>
            <w:noWrap/>
            <w:vAlign w:val="center"/>
            <w:hideMark/>
          </w:tcPr>
          <w:p w14:paraId="71E9D522" w14:textId="77777777" w:rsidR="005B68FD" w:rsidRPr="00C15A42" w:rsidRDefault="005B68FD" w:rsidP="005B68FD">
            <w:pPr>
              <w:rPr>
                <w:rFonts w:ascii="Tahoma" w:hAnsi="Tahoma" w:cs="Tahoma"/>
                <w:b/>
                <w:color w:val="FFFFFF" w:themeColor="background1"/>
                <w:sz w:val="22"/>
                <w:szCs w:val="22"/>
              </w:rPr>
            </w:pPr>
            <w:r w:rsidRPr="00C15A42">
              <w:rPr>
                <w:rFonts w:ascii="Tahoma" w:hAnsi="Tahoma" w:cs="Tahoma"/>
                <w:b/>
                <w:color w:val="FFFFFF" w:themeColor="background1"/>
                <w:sz w:val="22"/>
                <w:szCs w:val="22"/>
              </w:rPr>
              <w:t>5.</w:t>
            </w:r>
          </w:p>
        </w:tc>
        <w:tc>
          <w:tcPr>
            <w:tcW w:w="14059" w:type="dxa"/>
            <w:gridSpan w:val="2"/>
            <w:tcBorders>
              <w:top w:val="single" w:sz="4" w:space="0" w:color="auto"/>
              <w:left w:val="nil"/>
              <w:bottom w:val="single" w:sz="4" w:space="0" w:color="auto"/>
              <w:right w:val="nil"/>
            </w:tcBorders>
            <w:shd w:val="clear" w:color="000000" w:fill="595959"/>
            <w:noWrap/>
            <w:vAlign w:val="center"/>
            <w:hideMark/>
          </w:tcPr>
          <w:p w14:paraId="32A27B34" w14:textId="77777777" w:rsidR="005B68FD" w:rsidRPr="00C15A42" w:rsidRDefault="005B68FD" w:rsidP="005B68FD">
            <w:pPr>
              <w:rPr>
                <w:rFonts w:ascii="Tahoma" w:hAnsi="Tahoma" w:cs="Tahoma"/>
                <w:b/>
                <w:color w:val="FFFFFF" w:themeColor="background1"/>
                <w:sz w:val="22"/>
                <w:szCs w:val="22"/>
              </w:rPr>
            </w:pPr>
            <w:r w:rsidRPr="00C15A42">
              <w:rPr>
                <w:rFonts w:ascii="Tahoma" w:hAnsi="Tahoma" w:cs="Tahoma"/>
                <w:b/>
                <w:color w:val="FFFFFF" w:themeColor="background1"/>
                <w:sz w:val="22"/>
                <w:szCs w:val="22"/>
              </w:rPr>
              <w:t>Лимит кредитования (при волеизъявлении Клиента)</w:t>
            </w:r>
          </w:p>
        </w:tc>
      </w:tr>
      <w:tr w:rsidR="005B68FD" w:rsidRPr="005379F0" w14:paraId="7AFC3CA5" w14:textId="77777777" w:rsidTr="005B68FD">
        <w:trPr>
          <w:trHeight w:val="28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7C25CCD4" w14:textId="77777777" w:rsidR="005B68FD" w:rsidRPr="005379F0" w:rsidRDefault="005B68FD" w:rsidP="005B68FD">
            <w:pPr>
              <w:rPr>
                <w:rFonts w:ascii="Tahoma" w:hAnsi="Tahoma" w:cs="Tahoma"/>
                <w:sz w:val="22"/>
                <w:szCs w:val="22"/>
              </w:rPr>
            </w:pPr>
            <w:r w:rsidRPr="005379F0">
              <w:rPr>
                <w:rFonts w:ascii="Tahoma" w:hAnsi="Tahoma" w:cs="Tahoma"/>
                <w:sz w:val="22"/>
                <w:szCs w:val="22"/>
              </w:rPr>
              <w:t>5.1.</w:t>
            </w:r>
          </w:p>
        </w:tc>
        <w:tc>
          <w:tcPr>
            <w:tcW w:w="5554" w:type="dxa"/>
            <w:tcBorders>
              <w:top w:val="nil"/>
              <w:left w:val="nil"/>
              <w:bottom w:val="single" w:sz="4" w:space="0" w:color="auto"/>
              <w:right w:val="single" w:sz="4" w:space="0" w:color="auto"/>
            </w:tcBorders>
            <w:shd w:val="clear" w:color="auto" w:fill="auto"/>
            <w:vAlign w:val="center"/>
            <w:hideMark/>
          </w:tcPr>
          <w:p w14:paraId="512FD9B9" w14:textId="77777777" w:rsidR="005B68FD" w:rsidRPr="005379F0" w:rsidRDefault="005B68FD" w:rsidP="005B68FD">
            <w:pPr>
              <w:rPr>
                <w:rFonts w:ascii="Tahoma" w:hAnsi="Tahoma" w:cs="Tahoma"/>
                <w:sz w:val="22"/>
                <w:szCs w:val="22"/>
              </w:rPr>
            </w:pPr>
            <w:r w:rsidRPr="005379F0">
              <w:rPr>
                <w:rFonts w:ascii="Tahoma" w:hAnsi="Tahoma" w:cs="Tahoma"/>
                <w:sz w:val="22"/>
                <w:szCs w:val="22"/>
              </w:rPr>
              <w:t>Лимит кредитования</w:t>
            </w:r>
          </w:p>
        </w:tc>
        <w:tc>
          <w:tcPr>
            <w:tcW w:w="8505" w:type="dxa"/>
            <w:tcBorders>
              <w:top w:val="nil"/>
              <w:left w:val="nil"/>
              <w:bottom w:val="single" w:sz="4" w:space="0" w:color="auto"/>
              <w:right w:val="single" w:sz="4" w:space="0" w:color="auto"/>
            </w:tcBorders>
            <w:shd w:val="clear" w:color="000000" w:fill="FFFFFF"/>
            <w:vAlign w:val="center"/>
            <w:hideMark/>
          </w:tcPr>
          <w:p w14:paraId="33C08006"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не предоставляется</w:t>
            </w:r>
          </w:p>
        </w:tc>
      </w:tr>
      <w:tr w:rsidR="005B68FD" w:rsidRPr="005379F0" w14:paraId="3AD62A72" w14:textId="77777777" w:rsidTr="005B68FD">
        <w:trPr>
          <w:trHeight w:val="276"/>
        </w:trPr>
        <w:tc>
          <w:tcPr>
            <w:tcW w:w="820" w:type="dxa"/>
            <w:tcBorders>
              <w:top w:val="nil"/>
              <w:left w:val="single" w:sz="4" w:space="0" w:color="auto"/>
              <w:bottom w:val="single" w:sz="4" w:space="0" w:color="auto"/>
              <w:right w:val="single" w:sz="4" w:space="0" w:color="auto"/>
            </w:tcBorders>
            <w:shd w:val="clear" w:color="000000" w:fill="595959"/>
            <w:noWrap/>
            <w:vAlign w:val="center"/>
            <w:hideMark/>
          </w:tcPr>
          <w:p w14:paraId="39AF774F" w14:textId="77777777" w:rsidR="005B68FD" w:rsidRPr="00C15A42" w:rsidRDefault="005B68FD" w:rsidP="005B68FD">
            <w:pPr>
              <w:rPr>
                <w:rFonts w:ascii="Tahoma" w:hAnsi="Tahoma" w:cs="Tahoma"/>
                <w:b/>
                <w:color w:val="FFFFFF" w:themeColor="background1"/>
                <w:sz w:val="22"/>
                <w:szCs w:val="22"/>
              </w:rPr>
            </w:pPr>
            <w:r w:rsidRPr="00C15A42">
              <w:rPr>
                <w:rFonts w:ascii="Tahoma" w:hAnsi="Tahoma" w:cs="Tahoma"/>
                <w:b/>
                <w:color w:val="FFFFFF" w:themeColor="background1"/>
                <w:sz w:val="22"/>
                <w:szCs w:val="22"/>
              </w:rPr>
              <w:t>6.</w:t>
            </w:r>
          </w:p>
        </w:tc>
        <w:tc>
          <w:tcPr>
            <w:tcW w:w="14059" w:type="dxa"/>
            <w:gridSpan w:val="2"/>
            <w:tcBorders>
              <w:top w:val="single" w:sz="4" w:space="0" w:color="auto"/>
              <w:left w:val="nil"/>
              <w:bottom w:val="single" w:sz="4" w:space="0" w:color="auto"/>
              <w:right w:val="nil"/>
            </w:tcBorders>
            <w:shd w:val="clear" w:color="000000" w:fill="595959"/>
            <w:noWrap/>
            <w:vAlign w:val="center"/>
            <w:hideMark/>
          </w:tcPr>
          <w:p w14:paraId="1B80E4CC" w14:textId="77777777" w:rsidR="005B68FD" w:rsidRPr="00C15A42" w:rsidRDefault="005B68FD" w:rsidP="005B68FD">
            <w:pPr>
              <w:rPr>
                <w:rFonts w:ascii="Tahoma" w:hAnsi="Tahoma" w:cs="Tahoma"/>
                <w:b/>
                <w:color w:val="FFFFFF" w:themeColor="background1"/>
                <w:sz w:val="22"/>
                <w:szCs w:val="22"/>
              </w:rPr>
            </w:pPr>
            <w:r w:rsidRPr="00C15A42">
              <w:rPr>
                <w:rFonts w:ascii="Tahoma" w:hAnsi="Tahoma" w:cs="Tahoma"/>
                <w:b/>
                <w:color w:val="FFFFFF" w:themeColor="background1"/>
                <w:sz w:val="22"/>
                <w:szCs w:val="22"/>
              </w:rPr>
              <w:t>Условия обслуживания операций с наличными денежными средствами с использованием Карты</w:t>
            </w:r>
          </w:p>
        </w:tc>
      </w:tr>
      <w:tr w:rsidR="005B68FD" w:rsidRPr="005379F0" w14:paraId="450D6927" w14:textId="77777777" w:rsidTr="005B68FD">
        <w:trPr>
          <w:trHeight w:val="564"/>
        </w:trPr>
        <w:tc>
          <w:tcPr>
            <w:tcW w:w="820" w:type="dxa"/>
            <w:tcBorders>
              <w:top w:val="nil"/>
              <w:left w:val="single" w:sz="4" w:space="0" w:color="auto"/>
              <w:bottom w:val="single" w:sz="4" w:space="0" w:color="auto"/>
              <w:right w:val="single" w:sz="4" w:space="0" w:color="auto"/>
            </w:tcBorders>
            <w:shd w:val="clear" w:color="000000" w:fill="595959"/>
            <w:noWrap/>
            <w:vAlign w:val="center"/>
            <w:hideMark/>
          </w:tcPr>
          <w:p w14:paraId="45272411" w14:textId="77777777" w:rsidR="005B68FD" w:rsidRPr="00C15A42" w:rsidRDefault="005B68FD" w:rsidP="005B68FD">
            <w:pPr>
              <w:rPr>
                <w:rFonts w:ascii="Tahoma" w:hAnsi="Tahoma" w:cs="Tahoma"/>
                <w:b/>
                <w:color w:val="FFFFFF" w:themeColor="background1"/>
                <w:sz w:val="22"/>
                <w:szCs w:val="22"/>
              </w:rPr>
            </w:pPr>
            <w:r w:rsidRPr="00C15A42">
              <w:rPr>
                <w:rFonts w:ascii="Tahoma" w:hAnsi="Tahoma" w:cs="Tahoma"/>
                <w:b/>
                <w:color w:val="FFFFFF" w:themeColor="background1"/>
                <w:sz w:val="22"/>
                <w:szCs w:val="22"/>
              </w:rPr>
              <w:t>6.1.</w:t>
            </w:r>
          </w:p>
        </w:tc>
        <w:tc>
          <w:tcPr>
            <w:tcW w:w="14059" w:type="dxa"/>
            <w:gridSpan w:val="2"/>
            <w:tcBorders>
              <w:top w:val="single" w:sz="4" w:space="0" w:color="auto"/>
              <w:left w:val="nil"/>
              <w:bottom w:val="single" w:sz="4" w:space="0" w:color="auto"/>
              <w:right w:val="nil"/>
            </w:tcBorders>
            <w:shd w:val="clear" w:color="000000" w:fill="595959"/>
            <w:vAlign w:val="center"/>
            <w:hideMark/>
          </w:tcPr>
          <w:p w14:paraId="099F730D" w14:textId="77777777" w:rsidR="005B68FD" w:rsidRPr="00C15A42" w:rsidRDefault="005B68FD" w:rsidP="005B68FD">
            <w:pPr>
              <w:rPr>
                <w:rFonts w:ascii="Tahoma" w:hAnsi="Tahoma" w:cs="Tahoma"/>
                <w:b/>
                <w:bCs/>
                <w:color w:val="FFFFFF"/>
                <w:sz w:val="22"/>
                <w:szCs w:val="22"/>
              </w:rPr>
            </w:pPr>
            <w:r>
              <w:rPr>
                <w:rFonts w:ascii="Tahoma" w:hAnsi="Tahoma" w:cs="Tahoma"/>
                <w:b/>
                <w:bCs/>
                <w:color w:val="FFFFFF"/>
                <w:sz w:val="22"/>
                <w:szCs w:val="22"/>
              </w:rPr>
              <w:t>Лимиты совершения операций выдачи наличных в банкоматах и в пунктах выдачи наличных любых банков, в т.ч. Банка</w:t>
            </w:r>
            <w:r>
              <w:rPr>
                <w:rFonts w:ascii="Tahoma" w:hAnsi="Tahoma" w:cs="Tahoma"/>
                <w:b/>
                <w:bCs/>
                <w:color w:val="FFFFFF"/>
                <w:sz w:val="22"/>
                <w:szCs w:val="22"/>
                <w:vertAlign w:val="superscript"/>
              </w:rPr>
              <w:t>3,9</w:t>
            </w:r>
            <w:r>
              <w:rPr>
                <w:rFonts w:ascii="Tahoma" w:hAnsi="Tahoma" w:cs="Tahoma"/>
                <w:b/>
                <w:bCs/>
                <w:color w:val="FFFFFF"/>
                <w:sz w:val="22"/>
                <w:szCs w:val="22"/>
              </w:rPr>
              <w:t>, с одной Карты Клиента (основной и дополнительной)</w:t>
            </w:r>
          </w:p>
        </w:tc>
      </w:tr>
      <w:tr w:rsidR="005B68FD" w:rsidRPr="005379F0" w14:paraId="092C8C6A" w14:textId="77777777" w:rsidTr="005B68FD">
        <w:trPr>
          <w:trHeight w:val="276"/>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2E87D62F" w14:textId="77777777" w:rsidR="005B68FD" w:rsidRPr="005379F0" w:rsidRDefault="005B68FD" w:rsidP="005B68FD">
            <w:pPr>
              <w:rPr>
                <w:rFonts w:ascii="Tahoma" w:hAnsi="Tahoma" w:cs="Tahoma"/>
                <w:sz w:val="22"/>
                <w:szCs w:val="22"/>
              </w:rPr>
            </w:pPr>
            <w:r w:rsidRPr="005379F0">
              <w:rPr>
                <w:rFonts w:ascii="Tahoma" w:hAnsi="Tahoma" w:cs="Tahoma"/>
                <w:sz w:val="22"/>
                <w:szCs w:val="22"/>
              </w:rPr>
              <w:t>6.1.1.</w:t>
            </w:r>
          </w:p>
        </w:tc>
        <w:tc>
          <w:tcPr>
            <w:tcW w:w="5554" w:type="dxa"/>
            <w:tcBorders>
              <w:top w:val="nil"/>
              <w:left w:val="nil"/>
              <w:bottom w:val="single" w:sz="4" w:space="0" w:color="auto"/>
              <w:right w:val="nil"/>
            </w:tcBorders>
            <w:shd w:val="clear" w:color="auto" w:fill="auto"/>
            <w:vAlign w:val="center"/>
            <w:hideMark/>
          </w:tcPr>
          <w:p w14:paraId="2C309AD3" w14:textId="77777777" w:rsidR="005B68FD" w:rsidRPr="005379F0" w:rsidRDefault="005B68FD" w:rsidP="005B68FD">
            <w:pPr>
              <w:rPr>
                <w:rFonts w:ascii="Tahoma" w:hAnsi="Tahoma" w:cs="Tahoma"/>
                <w:sz w:val="22"/>
                <w:szCs w:val="22"/>
              </w:rPr>
            </w:pPr>
            <w:r w:rsidRPr="005379F0">
              <w:rPr>
                <w:rFonts w:ascii="Tahoma" w:hAnsi="Tahoma" w:cs="Tahoma"/>
                <w:sz w:val="22"/>
                <w:szCs w:val="22"/>
              </w:rPr>
              <w:t>ежедневно (с 00 до 24ч. Московского времени)</w:t>
            </w:r>
          </w:p>
        </w:tc>
        <w:tc>
          <w:tcPr>
            <w:tcW w:w="8505" w:type="dxa"/>
            <w:tcBorders>
              <w:top w:val="nil"/>
              <w:left w:val="single" w:sz="4" w:space="0" w:color="auto"/>
              <w:bottom w:val="single" w:sz="4" w:space="0" w:color="auto"/>
              <w:right w:val="single" w:sz="4" w:space="0" w:color="auto"/>
            </w:tcBorders>
            <w:shd w:val="clear" w:color="000000" w:fill="FFFFFF"/>
            <w:vAlign w:val="center"/>
            <w:hideMark/>
          </w:tcPr>
          <w:p w14:paraId="5FB04AA5"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200 000 рублей</w:t>
            </w:r>
          </w:p>
        </w:tc>
      </w:tr>
      <w:tr w:rsidR="005B68FD" w:rsidRPr="005379F0" w14:paraId="2FC2006B" w14:textId="77777777" w:rsidTr="005B68FD">
        <w:trPr>
          <w:trHeight w:val="276"/>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0D136446" w14:textId="77777777" w:rsidR="005B68FD" w:rsidRPr="005379F0" w:rsidRDefault="005B68FD" w:rsidP="005B68FD">
            <w:pPr>
              <w:rPr>
                <w:rFonts w:ascii="Tahoma" w:hAnsi="Tahoma" w:cs="Tahoma"/>
                <w:sz w:val="22"/>
                <w:szCs w:val="22"/>
              </w:rPr>
            </w:pPr>
            <w:r w:rsidRPr="005379F0">
              <w:rPr>
                <w:rFonts w:ascii="Tahoma" w:hAnsi="Tahoma" w:cs="Tahoma"/>
                <w:sz w:val="22"/>
                <w:szCs w:val="22"/>
              </w:rPr>
              <w:t>6.1.2.</w:t>
            </w:r>
          </w:p>
        </w:tc>
        <w:tc>
          <w:tcPr>
            <w:tcW w:w="5554" w:type="dxa"/>
            <w:tcBorders>
              <w:top w:val="nil"/>
              <w:left w:val="nil"/>
              <w:bottom w:val="single" w:sz="4" w:space="0" w:color="auto"/>
              <w:right w:val="nil"/>
            </w:tcBorders>
            <w:shd w:val="clear" w:color="auto" w:fill="auto"/>
            <w:vAlign w:val="center"/>
            <w:hideMark/>
          </w:tcPr>
          <w:p w14:paraId="3BFA99E3" w14:textId="77777777" w:rsidR="005B68FD" w:rsidRPr="005379F0" w:rsidRDefault="005B68FD" w:rsidP="005B68FD">
            <w:pPr>
              <w:rPr>
                <w:rFonts w:ascii="Tahoma" w:hAnsi="Tahoma" w:cs="Tahoma"/>
                <w:sz w:val="22"/>
                <w:szCs w:val="22"/>
              </w:rPr>
            </w:pPr>
            <w:r w:rsidRPr="005379F0">
              <w:rPr>
                <w:rFonts w:ascii="Tahoma" w:hAnsi="Tahoma" w:cs="Tahoma"/>
                <w:sz w:val="22"/>
                <w:szCs w:val="22"/>
              </w:rPr>
              <w:t>ежемесячно (в течение календарного месяца)</w:t>
            </w:r>
          </w:p>
        </w:tc>
        <w:tc>
          <w:tcPr>
            <w:tcW w:w="8505" w:type="dxa"/>
            <w:tcBorders>
              <w:top w:val="nil"/>
              <w:left w:val="single" w:sz="4" w:space="0" w:color="auto"/>
              <w:bottom w:val="single" w:sz="4" w:space="0" w:color="auto"/>
              <w:right w:val="single" w:sz="4" w:space="0" w:color="auto"/>
            </w:tcBorders>
            <w:shd w:val="clear" w:color="000000" w:fill="FFFFFF"/>
            <w:vAlign w:val="center"/>
            <w:hideMark/>
          </w:tcPr>
          <w:p w14:paraId="17EE65BF"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400 000 рублей</w:t>
            </w:r>
          </w:p>
        </w:tc>
      </w:tr>
      <w:tr w:rsidR="005B68FD" w:rsidRPr="005379F0" w14:paraId="4B6C8D97" w14:textId="77777777" w:rsidTr="005B68FD">
        <w:trPr>
          <w:trHeight w:val="624"/>
        </w:trPr>
        <w:tc>
          <w:tcPr>
            <w:tcW w:w="820" w:type="dxa"/>
            <w:tcBorders>
              <w:top w:val="nil"/>
              <w:left w:val="single" w:sz="4" w:space="0" w:color="auto"/>
              <w:bottom w:val="single" w:sz="4" w:space="0" w:color="auto"/>
              <w:right w:val="single" w:sz="4" w:space="0" w:color="auto"/>
            </w:tcBorders>
            <w:shd w:val="clear" w:color="000000" w:fill="595959"/>
            <w:noWrap/>
            <w:vAlign w:val="center"/>
            <w:hideMark/>
          </w:tcPr>
          <w:p w14:paraId="4096CCE8" w14:textId="77777777" w:rsidR="005B68FD" w:rsidRPr="00C15A42" w:rsidRDefault="005B68FD" w:rsidP="005B68FD">
            <w:pPr>
              <w:rPr>
                <w:rFonts w:ascii="Tahoma" w:hAnsi="Tahoma" w:cs="Tahoma"/>
                <w:b/>
                <w:color w:val="FFFFFF" w:themeColor="background1"/>
                <w:sz w:val="22"/>
                <w:szCs w:val="22"/>
              </w:rPr>
            </w:pPr>
            <w:r w:rsidRPr="00C15A42">
              <w:rPr>
                <w:rFonts w:ascii="Tahoma" w:hAnsi="Tahoma" w:cs="Tahoma"/>
                <w:b/>
                <w:color w:val="FFFFFF" w:themeColor="background1"/>
                <w:sz w:val="22"/>
                <w:szCs w:val="22"/>
              </w:rPr>
              <w:t>6.2.</w:t>
            </w:r>
          </w:p>
        </w:tc>
        <w:tc>
          <w:tcPr>
            <w:tcW w:w="14059" w:type="dxa"/>
            <w:gridSpan w:val="2"/>
            <w:tcBorders>
              <w:top w:val="single" w:sz="4" w:space="0" w:color="auto"/>
              <w:left w:val="nil"/>
              <w:bottom w:val="single" w:sz="4" w:space="0" w:color="auto"/>
              <w:right w:val="nil"/>
            </w:tcBorders>
            <w:shd w:val="clear" w:color="000000" w:fill="595959"/>
            <w:vAlign w:val="center"/>
            <w:hideMark/>
          </w:tcPr>
          <w:p w14:paraId="743FB76C" w14:textId="77777777" w:rsidR="005B68FD" w:rsidRPr="00C15A42" w:rsidRDefault="005B68FD" w:rsidP="005B68FD">
            <w:pPr>
              <w:rPr>
                <w:rFonts w:ascii="Tahoma" w:hAnsi="Tahoma" w:cs="Tahoma"/>
                <w:b/>
                <w:bCs/>
                <w:color w:val="FFFFFF"/>
                <w:sz w:val="22"/>
                <w:szCs w:val="22"/>
              </w:rPr>
            </w:pPr>
            <w:r>
              <w:rPr>
                <w:rFonts w:ascii="Tahoma" w:hAnsi="Tahoma" w:cs="Tahoma"/>
                <w:b/>
                <w:bCs/>
                <w:color w:val="FFFFFF"/>
                <w:sz w:val="22"/>
                <w:szCs w:val="22"/>
              </w:rPr>
              <w:t>Лимиты выдачи наличных в ТСП</w:t>
            </w:r>
            <w:r>
              <w:rPr>
                <w:rFonts w:ascii="Tahoma" w:hAnsi="Tahoma" w:cs="Tahoma"/>
                <w:b/>
                <w:bCs/>
                <w:color w:val="FFFFFF"/>
                <w:sz w:val="22"/>
                <w:szCs w:val="22"/>
                <w:vertAlign w:val="superscript"/>
              </w:rPr>
              <w:t>6</w:t>
            </w:r>
            <w:r>
              <w:rPr>
                <w:rFonts w:ascii="Tahoma" w:hAnsi="Tahoma" w:cs="Tahoma"/>
                <w:b/>
                <w:bCs/>
                <w:color w:val="FFFFFF"/>
                <w:sz w:val="22"/>
                <w:szCs w:val="22"/>
              </w:rPr>
              <w:t>, предоставляющих услугу выдачи наличных денежных средств при совершении покупки, с одного Счета Карты Клиента</w:t>
            </w:r>
          </w:p>
        </w:tc>
      </w:tr>
      <w:tr w:rsidR="005B68FD" w:rsidRPr="005379F0" w14:paraId="01533F7B" w14:textId="77777777" w:rsidTr="005B68FD">
        <w:trPr>
          <w:trHeight w:val="49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1E80AE4D" w14:textId="77777777" w:rsidR="005B68FD" w:rsidRPr="005379F0" w:rsidRDefault="005B68FD" w:rsidP="005B68FD">
            <w:pPr>
              <w:rPr>
                <w:rFonts w:ascii="Tahoma" w:hAnsi="Tahoma" w:cs="Tahoma"/>
                <w:sz w:val="22"/>
                <w:szCs w:val="22"/>
              </w:rPr>
            </w:pPr>
            <w:r w:rsidRPr="005379F0">
              <w:rPr>
                <w:rFonts w:ascii="Tahoma" w:hAnsi="Tahoma" w:cs="Tahoma"/>
                <w:sz w:val="22"/>
                <w:szCs w:val="22"/>
              </w:rPr>
              <w:t>6.2.1.</w:t>
            </w:r>
          </w:p>
        </w:tc>
        <w:tc>
          <w:tcPr>
            <w:tcW w:w="5554" w:type="dxa"/>
            <w:tcBorders>
              <w:top w:val="nil"/>
              <w:left w:val="nil"/>
              <w:bottom w:val="single" w:sz="4" w:space="0" w:color="auto"/>
              <w:right w:val="nil"/>
            </w:tcBorders>
            <w:shd w:val="clear" w:color="000000" w:fill="FFFFFF"/>
            <w:vAlign w:val="center"/>
            <w:hideMark/>
          </w:tcPr>
          <w:p w14:paraId="49AB8EA6" w14:textId="77777777" w:rsidR="005B68FD" w:rsidRPr="005379F0" w:rsidRDefault="005B68FD" w:rsidP="005B68FD">
            <w:pPr>
              <w:rPr>
                <w:rFonts w:ascii="Tahoma" w:hAnsi="Tahoma" w:cs="Tahoma"/>
                <w:sz w:val="22"/>
                <w:szCs w:val="22"/>
              </w:rPr>
            </w:pPr>
            <w:r w:rsidRPr="005379F0">
              <w:rPr>
                <w:rFonts w:ascii="Tahoma" w:hAnsi="Tahoma" w:cs="Tahoma"/>
                <w:sz w:val="22"/>
                <w:szCs w:val="22"/>
              </w:rPr>
              <w:t>ежедневно (с 00 до 24 ч. московского времени)</w:t>
            </w:r>
          </w:p>
        </w:tc>
        <w:tc>
          <w:tcPr>
            <w:tcW w:w="8505" w:type="dxa"/>
            <w:tcBorders>
              <w:top w:val="nil"/>
              <w:left w:val="single" w:sz="4" w:space="0" w:color="auto"/>
              <w:bottom w:val="single" w:sz="4" w:space="0" w:color="auto"/>
              <w:right w:val="single" w:sz="4" w:space="0" w:color="auto"/>
            </w:tcBorders>
            <w:shd w:val="clear" w:color="auto" w:fill="auto"/>
            <w:noWrap/>
            <w:vAlign w:val="center"/>
            <w:hideMark/>
          </w:tcPr>
          <w:p w14:paraId="558C4581" w14:textId="77777777" w:rsidR="005B68FD" w:rsidRDefault="005B68FD" w:rsidP="005B68FD">
            <w:pPr>
              <w:jc w:val="center"/>
              <w:rPr>
                <w:rFonts w:ascii="Tahoma" w:hAnsi="Tahoma" w:cs="Tahoma"/>
                <w:color w:val="000000"/>
                <w:sz w:val="22"/>
                <w:szCs w:val="22"/>
              </w:rPr>
            </w:pPr>
            <w:r>
              <w:rPr>
                <w:rFonts w:ascii="Tahoma" w:hAnsi="Tahoma" w:cs="Tahoma"/>
                <w:color w:val="000000"/>
                <w:sz w:val="22"/>
                <w:szCs w:val="22"/>
              </w:rPr>
              <w:t>5 000 рублей</w:t>
            </w:r>
            <w:r>
              <w:rPr>
                <w:rFonts w:ascii="Tahoma" w:hAnsi="Tahoma" w:cs="Tahoma"/>
                <w:color w:val="000000"/>
                <w:sz w:val="22"/>
                <w:szCs w:val="22"/>
                <w:vertAlign w:val="superscript"/>
              </w:rPr>
              <w:t>10</w:t>
            </w:r>
          </w:p>
        </w:tc>
      </w:tr>
      <w:tr w:rsidR="005B68FD" w:rsidRPr="005379F0" w14:paraId="5244E2A1" w14:textId="77777777" w:rsidTr="005B68FD">
        <w:trPr>
          <w:trHeight w:val="465"/>
        </w:trPr>
        <w:tc>
          <w:tcPr>
            <w:tcW w:w="820" w:type="dxa"/>
            <w:tcBorders>
              <w:top w:val="nil"/>
              <w:left w:val="single" w:sz="4" w:space="0" w:color="auto"/>
              <w:bottom w:val="single" w:sz="4" w:space="0" w:color="auto"/>
              <w:right w:val="single" w:sz="4" w:space="0" w:color="auto"/>
            </w:tcBorders>
            <w:shd w:val="clear" w:color="000000" w:fill="FFFFFF"/>
            <w:noWrap/>
            <w:vAlign w:val="center"/>
            <w:hideMark/>
          </w:tcPr>
          <w:p w14:paraId="71B70E73" w14:textId="77777777" w:rsidR="005B68FD" w:rsidRPr="005379F0" w:rsidRDefault="005B68FD" w:rsidP="005B68FD">
            <w:pPr>
              <w:rPr>
                <w:rFonts w:ascii="Tahoma" w:hAnsi="Tahoma" w:cs="Tahoma"/>
                <w:sz w:val="22"/>
                <w:szCs w:val="22"/>
              </w:rPr>
            </w:pPr>
            <w:r w:rsidRPr="005379F0">
              <w:rPr>
                <w:rFonts w:ascii="Tahoma" w:hAnsi="Tahoma" w:cs="Tahoma"/>
                <w:sz w:val="22"/>
                <w:szCs w:val="22"/>
              </w:rPr>
              <w:t>6.2.2.</w:t>
            </w:r>
          </w:p>
        </w:tc>
        <w:tc>
          <w:tcPr>
            <w:tcW w:w="5554" w:type="dxa"/>
            <w:tcBorders>
              <w:top w:val="nil"/>
              <w:left w:val="nil"/>
              <w:bottom w:val="single" w:sz="4" w:space="0" w:color="auto"/>
              <w:right w:val="nil"/>
            </w:tcBorders>
            <w:shd w:val="clear" w:color="000000" w:fill="FFFFFF"/>
            <w:vAlign w:val="center"/>
            <w:hideMark/>
          </w:tcPr>
          <w:p w14:paraId="16B23789" w14:textId="77777777" w:rsidR="005B68FD" w:rsidRPr="005379F0" w:rsidRDefault="005B68FD" w:rsidP="005B68FD">
            <w:pPr>
              <w:rPr>
                <w:rFonts w:ascii="Tahoma" w:hAnsi="Tahoma" w:cs="Tahoma"/>
                <w:sz w:val="22"/>
                <w:szCs w:val="22"/>
              </w:rPr>
            </w:pPr>
            <w:r w:rsidRPr="005379F0">
              <w:rPr>
                <w:rFonts w:ascii="Tahoma" w:hAnsi="Tahoma" w:cs="Tahoma"/>
                <w:sz w:val="22"/>
                <w:szCs w:val="22"/>
              </w:rPr>
              <w:t>ежемесячно (в течение календарного месяца)</w:t>
            </w:r>
          </w:p>
        </w:tc>
        <w:tc>
          <w:tcPr>
            <w:tcW w:w="8505" w:type="dxa"/>
            <w:tcBorders>
              <w:top w:val="nil"/>
              <w:left w:val="single" w:sz="4" w:space="0" w:color="auto"/>
              <w:bottom w:val="single" w:sz="4" w:space="0" w:color="auto"/>
              <w:right w:val="single" w:sz="4" w:space="0" w:color="auto"/>
            </w:tcBorders>
            <w:shd w:val="clear" w:color="auto" w:fill="auto"/>
            <w:noWrap/>
            <w:vAlign w:val="center"/>
            <w:hideMark/>
          </w:tcPr>
          <w:p w14:paraId="4E09350C" w14:textId="77777777" w:rsidR="005B68FD" w:rsidRDefault="005B68FD" w:rsidP="005B68FD">
            <w:pPr>
              <w:jc w:val="center"/>
              <w:rPr>
                <w:rFonts w:ascii="Tahoma" w:hAnsi="Tahoma" w:cs="Tahoma"/>
                <w:color w:val="000000"/>
                <w:sz w:val="22"/>
                <w:szCs w:val="22"/>
              </w:rPr>
            </w:pPr>
            <w:r>
              <w:rPr>
                <w:rFonts w:ascii="Tahoma" w:hAnsi="Tahoma" w:cs="Tahoma"/>
                <w:color w:val="000000"/>
                <w:sz w:val="22"/>
                <w:szCs w:val="22"/>
              </w:rPr>
              <w:t>30 000 рублей</w:t>
            </w:r>
            <w:r>
              <w:rPr>
                <w:rFonts w:ascii="Tahoma" w:hAnsi="Tahoma" w:cs="Tahoma"/>
                <w:color w:val="000000"/>
                <w:sz w:val="22"/>
                <w:szCs w:val="22"/>
                <w:vertAlign w:val="superscript"/>
              </w:rPr>
              <w:t>10</w:t>
            </w:r>
          </w:p>
        </w:tc>
      </w:tr>
      <w:tr w:rsidR="005B68FD" w:rsidRPr="005379F0" w14:paraId="6FFF7B3A" w14:textId="77777777" w:rsidTr="005B68FD">
        <w:trPr>
          <w:trHeight w:val="330"/>
        </w:trPr>
        <w:tc>
          <w:tcPr>
            <w:tcW w:w="820" w:type="dxa"/>
            <w:tcBorders>
              <w:top w:val="nil"/>
              <w:left w:val="single" w:sz="4" w:space="0" w:color="auto"/>
              <w:bottom w:val="single" w:sz="4" w:space="0" w:color="auto"/>
              <w:right w:val="single" w:sz="4" w:space="0" w:color="auto"/>
            </w:tcBorders>
            <w:shd w:val="clear" w:color="000000" w:fill="595959"/>
            <w:noWrap/>
            <w:vAlign w:val="center"/>
            <w:hideMark/>
          </w:tcPr>
          <w:p w14:paraId="37B70917" w14:textId="77777777" w:rsidR="005B68FD" w:rsidRPr="00C15A42" w:rsidRDefault="005B68FD" w:rsidP="005B68FD">
            <w:pPr>
              <w:rPr>
                <w:rFonts w:ascii="Tahoma" w:hAnsi="Tahoma" w:cs="Tahoma"/>
                <w:b/>
                <w:color w:val="FFFFFF" w:themeColor="background1"/>
                <w:sz w:val="22"/>
                <w:szCs w:val="22"/>
              </w:rPr>
            </w:pPr>
            <w:r w:rsidRPr="00C15A42">
              <w:rPr>
                <w:rFonts w:ascii="Tahoma" w:hAnsi="Tahoma" w:cs="Tahoma"/>
                <w:b/>
                <w:color w:val="FFFFFF" w:themeColor="background1"/>
                <w:sz w:val="22"/>
                <w:szCs w:val="22"/>
              </w:rPr>
              <w:t>6.3.</w:t>
            </w:r>
          </w:p>
        </w:tc>
        <w:tc>
          <w:tcPr>
            <w:tcW w:w="14059" w:type="dxa"/>
            <w:gridSpan w:val="2"/>
            <w:tcBorders>
              <w:top w:val="single" w:sz="4" w:space="0" w:color="auto"/>
              <w:left w:val="nil"/>
              <w:bottom w:val="single" w:sz="4" w:space="0" w:color="auto"/>
              <w:right w:val="nil"/>
            </w:tcBorders>
            <w:shd w:val="clear" w:color="000000" w:fill="595959"/>
            <w:vAlign w:val="center"/>
            <w:hideMark/>
          </w:tcPr>
          <w:p w14:paraId="03E47F97" w14:textId="77777777" w:rsidR="005B68FD" w:rsidRPr="00C15A42" w:rsidRDefault="005B68FD" w:rsidP="005B68FD">
            <w:pPr>
              <w:rPr>
                <w:rFonts w:ascii="Tahoma" w:hAnsi="Tahoma" w:cs="Tahoma"/>
                <w:b/>
                <w:color w:val="FFFFFF" w:themeColor="background1"/>
                <w:sz w:val="22"/>
                <w:szCs w:val="22"/>
              </w:rPr>
            </w:pPr>
            <w:r w:rsidRPr="00C15A42">
              <w:rPr>
                <w:rFonts w:ascii="Tahoma" w:hAnsi="Tahoma" w:cs="Tahoma"/>
                <w:b/>
                <w:color w:val="FFFFFF" w:themeColor="background1"/>
                <w:sz w:val="22"/>
                <w:szCs w:val="22"/>
              </w:rPr>
              <w:t>Выдача наличных денежных средств с использованием Карты с учетом лимитов совершения операций</w:t>
            </w:r>
          </w:p>
        </w:tc>
      </w:tr>
      <w:tr w:rsidR="005B68FD" w:rsidRPr="005379F0" w14:paraId="1B408137" w14:textId="77777777" w:rsidTr="005B68FD">
        <w:trPr>
          <w:trHeight w:val="450"/>
        </w:trPr>
        <w:tc>
          <w:tcPr>
            <w:tcW w:w="820" w:type="dxa"/>
            <w:tcBorders>
              <w:top w:val="nil"/>
              <w:left w:val="single" w:sz="4" w:space="0" w:color="auto"/>
              <w:bottom w:val="single" w:sz="4" w:space="0" w:color="auto"/>
              <w:right w:val="single" w:sz="4" w:space="0" w:color="auto"/>
            </w:tcBorders>
            <w:shd w:val="clear" w:color="000000" w:fill="FFFFFF"/>
            <w:noWrap/>
            <w:vAlign w:val="center"/>
            <w:hideMark/>
          </w:tcPr>
          <w:p w14:paraId="372742D4" w14:textId="77777777" w:rsidR="005B68FD" w:rsidRPr="005379F0" w:rsidRDefault="005B68FD" w:rsidP="005B68FD">
            <w:pPr>
              <w:rPr>
                <w:rFonts w:ascii="Tahoma" w:hAnsi="Tahoma" w:cs="Tahoma"/>
                <w:sz w:val="22"/>
                <w:szCs w:val="22"/>
              </w:rPr>
            </w:pPr>
            <w:r w:rsidRPr="005379F0">
              <w:rPr>
                <w:rFonts w:ascii="Tahoma" w:hAnsi="Tahoma" w:cs="Tahoma"/>
                <w:sz w:val="22"/>
                <w:szCs w:val="22"/>
              </w:rPr>
              <w:t>6.3.1.</w:t>
            </w:r>
          </w:p>
        </w:tc>
        <w:tc>
          <w:tcPr>
            <w:tcW w:w="5554" w:type="dxa"/>
            <w:tcBorders>
              <w:top w:val="nil"/>
              <w:left w:val="nil"/>
              <w:bottom w:val="single" w:sz="4" w:space="0" w:color="auto"/>
              <w:right w:val="nil"/>
            </w:tcBorders>
            <w:shd w:val="clear" w:color="000000" w:fill="FFFFFF"/>
            <w:vAlign w:val="center"/>
            <w:hideMark/>
          </w:tcPr>
          <w:p w14:paraId="783B8213" w14:textId="77777777" w:rsidR="005B68FD" w:rsidRDefault="005B68FD" w:rsidP="005B68FD">
            <w:pPr>
              <w:rPr>
                <w:rFonts w:ascii="Tahoma" w:hAnsi="Tahoma" w:cs="Tahoma"/>
                <w:sz w:val="22"/>
                <w:szCs w:val="22"/>
              </w:rPr>
            </w:pPr>
            <w:r>
              <w:rPr>
                <w:rFonts w:ascii="Tahoma" w:hAnsi="Tahoma" w:cs="Tahoma"/>
                <w:sz w:val="22"/>
                <w:szCs w:val="22"/>
              </w:rPr>
              <w:t>в банкоматах и пунктах выдачи наличных Банка</w:t>
            </w:r>
            <w:r>
              <w:rPr>
                <w:rFonts w:ascii="Tahoma" w:hAnsi="Tahoma" w:cs="Tahoma"/>
                <w:sz w:val="22"/>
                <w:szCs w:val="22"/>
                <w:vertAlign w:val="superscript"/>
              </w:rPr>
              <w:t>3</w:t>
            </w:r>
          </w:p>
        </w:tc>
        <w:tc>
          <w:tcPr>
            <w:tcW w:w="8505" w:type="dxa"/>
            <w:tcBorders>
              <w:top w:val="nil"/>
              <w:left w:val="single" w:sz="4" w:space="0" w:color="auto"/>
              <w:bottom w:val="single" w:sz="4" w:space="0" w:color="auto"/>
              <w:right w:val="single" w:sz="4" w:space="0" w:color="auto"/>
            </w:tcBorders>
            <w:shd w:val="clear" w:color="000000" w:fill="FFFFFF"/>
            <w:noWrap/>
            <w:vAlign w:val="center"/>
            <w:hideMark/>
          </w:tcPr>
          <w:p w14:paraId="1DFA028C"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БЕСПЛАТНО</w:t>
            </w:r>
          </w:p>
        </w:tc>
      </w:tr>
      <w:tr w:rsidR="005B68FD" w:rsidRPr="005379F0" w14:paraId="283B656B" w14:textId="77777777" w:rsidTr="005B68FD">
        <w:trPr>
          <w:trHeight w:val="135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A9D1FB" w14:textId="77777777" w:rsidR="005B68FD" w:rsidRPr="005379F0" w:rsidRDefault="005B68FD" w:rsidP="005B68FD">
            <w:pPr>
              <w:rPr>
                <w:rFonts w:ascii="Tahoma" w:hAnsi="Tahoma" w:cs="Tahoma"/>
                <w:sz w:val="22"/>
                <w:szCs w:val="22"/>
              </w:rPr>
            </w:pPr>
            <w:r w:rsidRPr="005379F0">
              <w:rPr>
                <w:rFonts w:ascii="Tahoma" w:hAnsi="Tahoma" w:cs="Tahoma"/>
                <w:sz w:val="22"/>
                <w:szCs w:val="22"/>
              </w:rPr>
              <w:t>6.3.2.</w:t>
            </w:r>
          </w:p>
        </w:tc>
        <w:tc>
          <w:tcPr>
            <w:tcW w:w="5554" w:type="dxa"/>
            <w:tcBorders>
              <w:top w:val="nil"/>
              <w:left w:val="nil"/>
              <w:bottom w:val="single" w:sz="4" w:space="0" w:color="auto"/>
              <w:right w:val="nil"/>
            </w:tcBorders>
            <w:shd w:val="clear" w:color="auto" w:fill="auto"/>
            <w:vAlign w:val="center"/>
            <w:hideMark/>
          </w:tcPr>
          <w:p w14:paraId="51E94A19" w14:textId="77777777" w:rsidR="005B68FD" w:rsidRDefault="005B68FD" w:rsidP="005B68FD">
            <w:pPr>
              <w:rPr>
                <w:rFonts w:ascii="Tahoma" w:hAnsi="Tahoma" w:cs="Tahoma"/>
                <w:sz w:val="22"/>
                <w:szCs w:val="22"/>
              </w:rPr>
            </w:pPr>
            <w:r>
              <w:rPr>
                <w:rFonts w:ascii="Tahoma" w:hAnsi="Tahoma" w:cs="Tahoma"/>
                <w:sz w:val="22"/>
                <w:szCs w:val="22"/>
              </w:rPr>
              <w:t>в банкоматах других банков на территории РФ</w:t>
            </w:r>
          </w:p>
        </w:tc>
        <w:tc>
          <w:tcPr>
            <w:tcW w:w="8505" w:type="dxa"/>
            <w:tcBorders>
              <w:top w:val="nil"/>
              <w:left w:val="single" w:sz="4" w:space="0" w:color="auto"/>
              <w:bottom w:val="single" w:sz="4" w:space="0" w:color="auto"/>
              <w:right w:val="single" w:sz="4" w:space="0" w:color="auto"/>
            </w:tcBorders>
            <w:shd w:val="clear" w:color="auto" w:fill="auto"/>
            <w:vAlign w:val="center"/>
            <w:hideMark/>
          </w:tcPr>
          <w:p w14:paraId="7DCC7898"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БЕСПЛАТНО: при выдаче до 100 тыс. руб. (включительно) в календарный месяц,</w:t>
            </w:r>
            <w:r w:rsidRPr="005379F0">
              <w:rPr>
                <w:rFonts w:ascii="Tahoma" w:hAnsi="Tahoma" w:cs="Tahoma"/>
                <w:sz w:val="22"/>
                <w:szCs w:val="22"/>
              </w:rPr>
              <w:br/>
              <w:t xml:space="preserve"> свыше: 1% от суммы операции</w:t>
            </w:r>
          </w:p>
        </w:tc>
      </w:tr>
      <w:tr w:rsidR="005B68FD" w:rsidRPr="005379F0" w14:paraId="35414798" w14:textId="77777777" w:rsidTr="005B68FD">
        <w:trPr>
          <w:trHeight w:val="645"/>
        </w:trPr>
        <w:tc>
          <w:tcPr>
            <w:tcW w:w="820" w:type="dxa"/>
            <w:tcBorders>
              <w:top w:val="single" w:sz="4" w:space="0" w:color="auto"/>
              <w:left w:val="single" w:sz="4" w:space="0" w:color="auto"/>
              <w:bottom w:val="nil"/>
              <w:right w:val="single" w:sz="4" w:space="0" w:color="auto"/>
            </w:tcBorders>
            <w:shd w:val="clear" w:color="auto" w:fill="auto"/>
            <w:noWrap/>
            <w:vAlign w:val="center"/>
            <w:hideMark/>
          </w:tcPr>
          <w:p w14:paraId="09AE79A4" w14:textId="77777777" w:rsidR="005B68FD" w:rsidRPr="005379F0" w:rsidRDefault="005B68FD" w:rsidP="005B68FD">
            <w:pPr>
              <w:rPr>
                <w:rFonts w:ascii="Tahoma" w:hAnsi="Tahoma" w:cs="Tahoma"/>
                <w:sz w:val="22"/>
                <w:szCs w:val="22"/>
              </w:rPr>
            </w:pPr>
            <w:r w:rsidRPr="005379F0">
              <w:rPr>
                <w:rFonts w:ascii="Tahoma" w:hAnsi="Tahoma" w:cs="Tahoma"/>
                <w:sz w:val="22"/>
                <w:szCs w:val="22"/>
              </w:rPr>
              <w:t>6.3.3.</w:t>
            </w:r>
          </w:p>
        </w:tc>
        <w:tc>
          <w:tcPr>
            <w:tcW w:w="5554" w:type="dxa"/>
            <w:tcBorders>
              <w:top w:val="nil"/>
              <w:left w:val="nil"/>
              <w:bottom w:val="single" w:sz="4" w:space="0" w:color="auto"/>
              <w:right w:val="nil"/>
            </w:tcBorders>
            <w:shd w:val="clear" w:color="auto" w:fill="auto"/>
            <w:vAlign w:val="center"/>
            <w:hideMark/>
          </w:tcPr>
          <w:p w14:paraId="057D2BCC" w14:textId="77777777" w:rsidR="005B68FD" w:rsidRDefault="005B68FD" w:rsidP="005B68FD">
            <w:pPr>
              <w:rPr>
                <w:rFonts w:ascii="Tahoma" w:hAnsi="Tahoma" w:cs="Tahoma"/>
                <w:sz w:val="22"/>
                <w:szCs w:val="22"/>
              </w:rPr>
            </w:pPr>
            <w:r>
              <w:rPr>
                <w:rFonts w:ascii="Tahoma" w:hAnsi="Tahoma" w:cs="Tahoma"/>
                <w:sz w:val="22"/>
                <w:szCs w:val="22"/>
              </w:rPr>
              <w:t>в пунктах выдачи наличных других банков на территории РФ</w:t>
            </w:r>
          </w:p>
        </w:tc>
        <w:tc>
          <w:tcPr>
            <w:tcW w:w="8505" w:type="dxa"/>
            <w:tcBorders>
              <w:top w:val="nil"/>
              <w:left w:val="single" w:sz="4" w:space="0" w:color="auto"/>
              <w:bottom w:val="single" w:sz="4" w:space="0" w:color="auto"/>
              <w:right w:val="single" w:sz="4" w:space="0" w:color="auto"/>
            </w:tcBorders>
            <w:shd w:val="clear" w:color="auto" w:fill="auto"/>
            <w:vAlign w:val="center"/>
            <w:hideMark/>
          </w:tcPr>
          <w:p w14:paraId="2E05F2D3"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1% от суммы операции</w:t>
            </w:r>
          </w:p>
        </w:tc>
      </w:tr>
      <w:tr w:rsidR="005B68FD" w:rsidRPr="005379F0" w14:paraId="7C886418" w14:textId="77777777" w:rsidTr="005B68FD">
        <w:trPr>
          <w:trHeight w:val="552"/>
        </w:trPr>
        <w:tc>
          <w:tcPr>
            <w:tcW w:w="820" w:type="dxa"/>
            <w:tcBorders>
              <w:top w:val="single" w:sz="4" w:space="0" w:color="auto"/>
              <w:left w:val="single" w:sz="4" w:space="0" w:color="auto"/>
              <w:bottom w:val="nil"/>
              <w:right w:val="single" w:sz="4" w:space="0" w:color="auto"/>
            </w:tcBorders>
            <w:shd w:val="clear" w:color="auto" w:fill="auto"/>
            <w:noWrap/>
            <w:vAlign w:val="center"/>
            <w:hideMark/>
          </w:tcPr>
          <w:p w14:paraId="24645BE0" w14:textId="77777777" w:rsidR="005B68FD" w:rsidRPr="005379F0" w:rsidRDefault="005B68FD" w:rsidP="005B68FD">
            <w:pPr>
              <w:rPr>
                <w:rFonts w:ascii="Tahoma" w:hAnsi="Tahoma" w:cs="Tahoma"/>
                <w:sz w:val="22"/>
                <w:szCs w:val="22"/>
              </w:rPr>
            </w:pPr>
            <w:r w:rsidRPr="005379F0">
              <w:rPr>
                <w:rFonts w:ascii="Tahoma" w:hAnsi="Tahoma" w:cs="Tahoma"/>
                <w:sz w:val="22"/>
                <w:szCs w:val="22"/>
              </w:rPr>
              <w:t>6.3.4.</w:t>
            </w:r>
          </w:p>
        </w:tc>
        <w:tc>
          <w:tcPr>
            <w:tcW w:w="5554" w:type="dxa"/>
            <w:tcBorders>
              <w:top w:val="nil"/>
              <w:left w:val="nil"/>
              <w:bottom w:val="single" w:sz="4" w:space="0" w:color="auto"/>
              <w:right w:val="nil"/>
            </w:tcBorders>
            <w:shd w:val="clear" w:color="auto" w:fill="auto"/>
            <w:vAlign w:val="center"/>
            <w:hideMark/>
          </w:tcPr>
          <w:p w14:paraId="3925690E" w14:textId="77777777" w:rsidR="005B68FD" w:rsidRDefault="005B68FD" w:rsidP="005B68FD">
            <w:pPr>
              <w:rPr>
                <w:rFonts w:ascii="Tahoma" w:hAnsi="Tahoma" w:cs="Tahoma"/>
                <w:color w:val="000000"/>
                <w:sz w:val="22"/>
                <w:szCs w:val="22"/>
              </w:rPr>
            </w:pPr>
            <w:r>
              <w:rPr>
                <w:rFonts w:ascii="Tahoma" w:hAnsi="Tahoma" w:cs="Tahoma"/>
                <w:color w:val="000000"/>
                <w:sz w:val="22"/>
                <w:szCs w:val="22"/>
              </w:rPr>
              <w:t>в банкоматах других банков и в пунктах выдачи наличных других банков за рубежом</w:t>
            </w:r>
          </w:p>
        </w:tc>
        <w:tc>
          <w:tcPr>
            <w:tcW w:w="8505" w:type="dxa"/>
            <w:tcBorders>
              <w:top w:val="nil"/>
              <w:left w:val="single" w:sz="4" w:space="0" w:color="auto"/>
              <w:bottom w:val="single" w:sz="4" w:space="0" w:color="auto"/>
              <w:right w:val="single" w:sz="4" w:space="0" w:color="auto"/>
            </w:tcBorders>
            <w:shd w:val="clear" w:color="000000" w:fill="FFFFFF"/>
            <w:vAlign w:val="center"/>
            <w:hideMark/>
          </w:tcPr>
          <w:p w14:paraId="6B3C1F44"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1% от суммы операции, мин. 150 рублей</w:t>
            </w:r>
          </w:p>
        </w:tc>
      </w:tr>
      <w:tr w:rsidR="005B68FD" w:rsidRPr="005379F0" w14:paraId="5B122E49" w14:textId="77777777" w:rsidTr="005B68FD">
        <w:trPr>
          <w:trHeight w:val="624"/>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74D83E" w14:textId="77777777" w:rsidR="005B68FD" w:rsidRPr="005379F0" w:rsidRDefault="005B68FD" w:rsidP="005B68FD">
            <w:pPr>
              <w:rPr>
                <w:rFonts w:ascii="Tahoma" w:hAnsi="Tahoma" w:cs="Tahoma"/>
                <w:sz w:val="22"/>
                <w:szCs w:val="22"/>
              </w:rPr>
            </w:pPr>
            <w:r w:rsidRPr="005379F0">
              <w:rPr>
                <w:rFonts w:ascii="Tahoma" w:hAnsi="Tahoma" w:cs="Tahoma"/>
                <w:sz w:val="22"/>
                <w:szCs w:val="22"/>
              </w:rPr>
              <w:t>6.3.5.</w:t>
            </w:r>
          </w:p>
        </w:tc>
        <w:tc>
          <w:tcPr>
            <w:tcW w:w="5554" w:type="dxa"/>
            <w:tcBorders>
              <w:top w:val="nil"/>
              <w:left w:val="nil"/>
              <w:bottom w:val="single" w:sz="4" w:space="0" w:color="auto"/>
              <w:right w:val="single" w:sz="4" w:space="0" w:color="auto"/>
            </w:tcBorders>
            <w:shd w:val="clear" w:color="auto" w:fill="auto"/>
            <w:vAlign w:val="center"/>
            <w:hideMark/>
          </w:tcPr>
          <w:p w14:paraId="78988F2C" w14:textId="77777777" w:rsidR="005B68FD" w:rsidRDefault="005B68FD" w:rsidP="005B68FD">
            <w:pPr>
              <w:rPr>
                <w:rFonts w:ascii="Tahoma" w:hAnsi="Tahoma" w:cs="Tahoma"/>
                <w:sz w:val="22"/>
                <w:szCs w:val="22"/>
              </w:rPr>
            </w:pPr>
            <w:r>
              <w:rPr>
                <w:rFonts w:ascii="Tahoma" w:hAnsi="Tahoma" w:cs="Tahoma"/>
                <w:sz w:val="22"/>
                <w:szCs w:val="22"/>
              </w:rPr>
              <w:t>в ТСП</w:t>
            </w:r>
            <w:r>
              <w:rPr>
                <w:rFonts w:ascii="Tahoma" w:hAnsi="Tahoma" w:cs="Tahoma"/>
                <w:sz w:val="22"/>
                <w:szCs w:val="22"/>
                <w:vertAlign w:val="superscript"/>
              </w:rPr>
              <w:t>6</w:t>
            </w:r>
            <w:r>
              <w:rPr>
                <w:rFonts w:ascii="Tahoma" w:hAnsi="Tahoma" w:cs="Tahoma"/>
                <w:sz w:val="22"/>
                <w:szCs w:val="22"/>
              </w:rPr>
              <w:t>, предоставляющих услугу выдачи наличных денежных средств при совершении покупки</w:t>
            </w:r>
            <w:r>
              <w:rPr>
                <w:rFonts w:ascii="Tahoma" w:hAnsi="Tahoma" w:cs="Tahoma"/>
                <w:sz w:val="22"/>
                <w:szCs w:val="22"/>
                <w:vertAlign w:val="superscript"/>
              </w:rPr>
              <w:t>10</w:t>
            </w:r>
          </w:p>
        </w:tc>
        <w:tc>
          <w:tcPr>
            <w:tcW w:w="8505" w:type="dxa"/>
            <w:tcBorders>
              <w:top w:val="nil"/>
              <w:left w:val="nil"/>
              <w:bottom w:val="single" w:sz="4" w:space="0" w:color="auto"/>
              <w:right w:val="single" w:sz="4" w:space="0" w:color="auto"/>
            </w:tcBorders>
            <w:shd w:val="clear" w:color="000000" w:fill="FFFFFF"/>
            <w:noWrap/>
            <w:vAlign w:val="center"/>
            <w:hideMark/>
          </w:tcPr>
          <w:p w14:paraId="0FB98439"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БЕСПЛАТНО</w:t>
            </w:r>
          </w:p>
        </w:tc>
      </w:tr>
      <w:tr w:rsidR="005B68FD" w:rsidRPr="005379F0" w14:paraId="39F9A3FA" w14:textId="77777777" w:rsidTr="005B68FD">
        <w:trPr>
          <w:trHeight w:val="276"/>
        </w:trPr>
        <w:tc>
          <w:tcPr>
            <w:tcW w:w="820" w:type="dxa"/>
            <w:tcBorders>
              <w:top w:val="nil"/>
              <w:left w:val="single" w:sz="4" w:space="0" w:color="auto"/>
              <w:bottom w:val="single" w:sz="4" w:space="0" w:color="auto"/>
              <w:right w:val="single" w:sz="4" w:space="0" w:color="auto"/>
            </w:tcBorders>
            <w:shd w:val="clear" w:color="000000" w:fill="595959"/>
            <w:noWrap/>
            <w:vAlign w:val="center"/>
            <w:hideMark/>
          </w:tcPr>
          <w:p w14:paraId="63868D78" w14:textId="77777777" w:rsidR="005B68FD" w:rsidRPr="00C15A42" w:rsidRDefault="005B68FD" w:rsidP="005B68FD">
            <w:pPr>
              <w:rPr>
                <w:rFonts w:ascii="Tahoma" w:hAnsi="Tahoma" w:cs="Tahoma"/>
                <w:b/>
                <w:color w:val="FFFFFF" w:themeColor="background1"/>
                <w:sz w:val="22"/>
                <w:szCs w:val="22"/>
              </w:rPr>
            </w:pPr>
            <w:r w:rsidRPr="00C15A42">
              <w:rPr>
                <w:rFonts w:ascii="Tahoma" w:hAnsi="Tahoma" w:cs="Tahoma"/>
                <w:b/>
                <w:color w:val="FFFFFF" w:themeColor="background1"/>
                <w:sz w:val="22"/>
                <w:szCs w:val="22"/>
              </w:rPr>
              <w:t>6.4.</w:t>
            </w:r>
          </w:p>
        </w:tc>
        <w:tc>
          <w:tcPr>
            <w:tcW w:w="14059" w:type="dxa"/>
            <w:gridSpan w:val="2"/>
            <w:tcBorders>
              <w:top w:val="single" w:sz="4" w:space="0" w:color="auto"/>
              <w:left w:val="nil"/>
              <w:bottom w:val="single" w:sz="4" w:space="0" w:color="auto"/>
              <w:right w:val="nil"/>
            </w:tcBorders>
            <w:shd w:val="clear" w:color="000000" w:fill="595959"/>
            <w:vAlign w:val="center"/>
            <w:hideMark/>
          </w:tcPr>
          <w:p w14:paraId="3BEE2476" w14:textId="77777777" w:rsidR="005B68FD" w:rsidRPr="00C15A42" w:rsidRDefault="005B68FD" w:rsidP="005B68FD">
            <w:pPr>
              <w:rPr>
                <w:rFonts w:ascii="Tahoma" w:hAnsi="Tahoma" w:cs="Tahoma"/>
                <w:b/>
                <w:color w:val="FFFFFF" w:themeColor="background1"/>
                <w:sz w:val="22"/>
                <w:szCs w:val="22"/>
              </w:rPr>
            </w:pPr>
            <w:r w:rsidRPr="00C15A42">
              <w:rPr>
                <w:rFonts w:ascii="Tahoma" w:hAnsi="Tahoma" w:cs="Tahoma"/>
                <w:b/>
                <w:color w:val="FFFFFF" w:themeColor="background1"/>
                <w:sz w:val="22"/>
                <w:szCs w:val="22"/>
              </w:rPr>
              <w:t>Прием и зачисление наличных денежных средств с использованием Карты</w:t>
            </w:r>
          </w:p>
        </w:tc>
      </w:tr>
      <w:tr w:rsidR="005B68FD" w:rsidRPr="005379F0" w14:paraId="4F3BAC42" w14:textId="77777777" w:rsidTr="005B68FD">
        <w:trPr>
          <w:trHeight w:val="624"/>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1470E2" w14:textId="77777777" w:rsidR="005B68FD" w:rsidRPr="005379F0" w:rsidRDefault="005B68FD" w:rsidP="005B68FD">
            <w:pPr>
              <w:rPr>
                <w:rFonts w:ascii="Tahoma" w:hAnsi="Tahoma" w:cs="Tahoma"/>
                <w:sz w:val="22"/>
                <w:szCs w:val="22"/>
              </w:rPr>
            </w:pPr>
            <w:r w:rsidRPr="005379F0">
              <w:rPr>
                <w:rFonts w:ascii="Tahoma" w:hAnsi="Tahoma" w:cs="Tahoma"/>
                <w:sz w:val="22"/>
                <w:szCs w:val="22"/>
              </w:rPr>
              <w:t>6.4.1.</w:t>
            </w:r>
          </w:p>
        </w:tc>
        <w:tc>
          <w:tcPr>
            <w:tcW w:w="5554" w:type="dxa"/>
            <w:tcBorders>
              <w:top w:val="nil"/>
              <w:left w:val="nil"/>
              <w:bottom w:val="single" w:sz="4" w:space="0" w:color="auto"/>
              <w:right w:val="single" w:sz="4" w:space="0" w:color="auto"/>
            </w:tcBorders>
            <w:shd w:val="clear" w:color="auto" w:fill="auto"/>
            <w:vAlign w:val="center"/>
            <w:hideMark/>
          </w:tcPr>
          <w:p w14:paraId="603B5761" w14:textId="77777777" w:rsidR="005B68FD" w:rsidRDefault="005B68FD" w:rsidP="005B68FD">
            <w:pPr>
              <w:rPr>
                <w:rFonts w:ascii="Tahoma" w:hAnsi="Tahoma" w:cs="Tahoma"/>
                <w:color w:val="000000"/>
                <w:sz w:val="22"/>
                <w:szCs w:val="22"/>
              </w:rPr>
            </w:pPr>
            <w:r>
              <w:rPr>
                <w:rFonts w:ascii="Tahoma" w:hAnsi="Tahoma" w:cs="Tahoma"/>
                <w:color w:val="000000"/>
                <w:sz w:val="22"/>
                <w:szCs w:val="22"/>
              </w:rPr>
              <w:t>на Счет Карты</w:t>
            </w:r>
            <w:r>
              <w:rPr>
                <w:rFonts w:ascii="Tahoma" w:hAnsi="Tahoma" w:cs="Tahoma"/>
                <w:color w:val="000000"/>
                <w:sz w:val="22"/>
                <w:szCs w:val="22"/>
                <w:vertAlign w:val="superscript"/>
              </w:rPr>
              <w:t>12</w:t>
            </w:r>
            <w:r>
              <w:rPr>
                <w:rFonts w:ascii="Tahoma" w:hAnsi="Tahoma" w:cs="Tahoma"/>
                <w:color w:val="000000"/>
                <w:sz w:val="22"/>
                <w:szCs w:val="22"/>
              </w:rPr>
              <w:t xml:space="preserve"> в кассах Банка</w:t>
            </w:r>
            <w:r>
              <w:rPr>
                <w:rFonts w:ascii="Tahoma" w:hAnsi="Tahoma" w:cs="Tahoma"/>
                <w:color w:val="000000"/>
                <w:sz w:val="22"/>
                <w:szCs w:val="22"/>
                <w:vertAlign w:val="superscript"/>
              </w:rPr>
              <w:t>3</w:t>
            </w:r>
            <w:r>
              <w:rPr>
                <w:rFonts w:ascii="Tahoma" w:hAnsi="Tahoma" w:cs="Tahoma"/>
                <w:color w:val="000000"/>
                <w:sz w:val="22"/>
                <w:szCs w:val="22"/>
              </w:rPr>
              <w:t>, банкоматах Банка</w:t>
            </w:r>
            <w:r>
              <w:rPr>
                <w:rFonts w:ascii="Tahoma" w:hAnsi="Tahoma" w:cs="Tahoma"/>
                <w:color w:val="000000"/>
                <w:sz w:val="22"/>
                <w:szCs w:val="22"/>
                <w:vertAlign w:val="superscript"/>
              </w:rPr>
              <w:t>3</w:t>
            </w:r>
            <w:r>
              <w:rPr>
                <w:rFonts w:ascii="Tahoma" w:hAnsi="Tahoma" w:cs="Tahoma"/>
                <w:color w:val="000000"/>
                <w:sz w:val="22"/>
                <w:szCs w:val="22"/>
              </w:rPr>
              <w:t xml:space="preserve"> и через терминалы самообслуживания Банка</w:t>
            </w:r>
            <w:r>
              <w:rPr>
                <w:rFonts w:ascii="Tahoma" w:hAnsi="Tahoma" w:cs="Tahoma"/>
                <w:color w:val="000000"/>
                <w:sz w:val="22"/>
                <w:szCs w:val="22"/>
                <w:vertAlign w:val="superscript"/>
              </w:rPr>
              <w:t>3</w:t>
            </w:r>
          </w:p>
        </w:tc>
        <w:tc>
          <w:tcPr>
            <w:tcW w:w="8505" w:type="dxa"/>
            <w:tcBorders>
              <w:top w:val="nil"/>
              <w:left w:val="nil"/>
              <w:bottom w:val="single" w:sz="4" w:space="0" w:color="auto"/>
              <w:right w:val="single" w:sz="4" w:space="0" w:color="auto"/>
            </w:tcBorders>
            <w:shd w:val="clear" w:color="auto" w:fill="auto"/>
            <w:vAlign w:val="center"/>
            <w:hideMark/>
          </w:tcPr>
          <w:p w14:paraId="5F9416CD" w14:textId="77777777" w:rsidR="005B68FD" w:rsidRDefault="005B68FD" w:rsidP="005B68FD">
            <w:pPr>
              <w:jc w:val="center"/>
              <w:rPr>
                <w:rFonts w:ascii="Tahoma" w:hAnsi="Tahoma" w:cs="Tahoma"/>
                <w:b/>
                <w:bCs/>
                <w:color w:val="000000"/>
                <w:sz w:val="22"/>
                <w:szCs w:val="22"/>
              </w:rPr>
            </w:pPr>
            <w:r>
              <w:rPr>
                <w:rFonts w:ascii="Tahoma" w:hAnsi="Tahoma" w:cs="Tahoma"/>
                <w:b/>
                <w:bCs/>
                <w:color w:val="000000"/>
                <w:sz w:val="22"/>
                <w:szCs w:val="22"/>
              </w:rPr>
              <w:t>БЕСПЛАТНО</w:t>
            </w:r>
          </w:p>
        </w:tc>
      </w:tr>
      <w:tr w:rsidR="005B68FD" w:rsidRPr="005379F0" w14:paraId="215F1CB9" w14:textId="77777777" w:rsidTr="005B68FD">
        <w:trPr>
          <w:trHeight w:val="1245"/>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4C4E7F" w14:textId="77777777" w:rsidR="005B68FD" w:rsidRPr="005379F0" w:rsidRDefault="005B68FD" w:rsidP="005B68FD">
            <w:pPr>
              <w:rPr>
                <w:rFonts w:ascii="Tahoma" w:hAnsi="Tahoma" w:cs="Tahoma"/>
                <w:sz w:val="22"/>
                <w:szCs w:val="22"/>
              </w:rPr>
            </w:pPr>
            <w:r w:rsidRPr="005379F0">
              <w:rPr>
                <w:rFonts w:ascii="Tahoma" w:hAnsi="Tahoma" w:cs="Tahoma"/>
                <w:sz w:val="22"/>
                <w:szCs w:val="22"/>
              </w:rPr>
              <w:t>6.4.2.</w:t>
            </w:r>
          </w:p>
        </w:tc>
        <w:tc>
          <w:tcPr>
            <w:tcW w:w="5554" w:type="dxa"/>
            <w:tcBorders>
              <w:top w:val="single" w:sz="4" w:space="0" w:color="auto"/>
              <w:left w:val="nil"/>
              <w:bottom w:val="single" w:sz="4" w:space="0" w:color="auto"/>
              <w:right w:val="single" w:sz="4" w:space="0" w:color="auto"/>
            </w:tcBorders>
            <w:shd w:val="clear" w:color="auto" w:fill="auto"/>
            <w:vAlign w:val="center"/>
            <w:hideMark/>
          </w:tcPr>
          <w:p w14:paraId="6D6C34E7" w14:textId="77777777" w:rsidR="005B68FD" w:rsidRDefault="005B68FD" w:rsidP="005B68FD">
            <w:pPr>
              <w:rPr>
                <w:rFonts w:ascii="Tahoma" w:hAnsi="Tahoma" w:cs="Tahoma"/>
                <w:color w:val="000000"/>
                <w:sz w:val="22"/>
                <w:szCs w:val="22"/>
              </w:rPr>
            </w:pPr>
            <w:r>
              <w:rPr>
                <w:rFonts w:ascii="Tahoma" w:hAnsi="Tahoma" w:cs="Tahoma"/>
                <w:color w:val="000000"/>
                <w:sz w:val="22"/>
                <w:szCs w:val="22"/>
              </w:rPr>
              <w:t>наличных денежных средств на Счет Карты</w:t>
            </w:r>
            <w:r>
              <w:rPr>
                <w:rFonts w:ascii="Tahoma" w:hAnsi="Tahoma" w:cs="Tahoma"/>
                <w:color w:val="000000"/>
                <w:sz w:val="22"/>
                <w:szCs w:val="22"/>
                <w:vertAlign w:val="superscript"/>
              </w:rPr>
              <w:t xml:space="preserve">11 </w:t>
            </w:r>
            <w:r>
              <w:rPr>
                <w:rFonts w:ascii="Tahoma" w:hAnsi="Tahoma" w:cs="Tahoma"/>
                <w:color w:val="000000"/>
                <w:sz w:val="22"/>
                <w:szCs w:val="22"/>
              </w:rPr>
              <w:t>через розничные сети партнеров</w:t>
            </w:r>
          </w:p>
        </w:tc>
        <w:tc>
          <w:tcPr>
            <w:tcW w:w="8505" w:type="dxa"/>
            <w:tcBorders>
              <w:top w:val="nil"/>
              <w:left w:val="nil"/>
              <w:bottom w:val="single" w:sz="4" w:space="0" w:color="auto"/>
              <w:right w:val="single" w:sz="4" w:space="0" w:color="auto"/>
            </w:tcBorders>
            <w:shd w:val="clear" w:color="auto" w:fill="auto"/>
            <w:vAlign w:val="center"/>
            <w:hideMark/>
          </w:tcPr>
          <w:p w14:paraId="6B3668CB" w14:textId="77777777" w:rsidR="005B68FD" w:rsidRDefault="005B68FD" w:rsidP="005B68FD">
            <w:pPr>
              <w:jc w:val="center"/>
              <w:rPr>
                <w:rFonts w:ascii="Tahoma" w:hAnsi="Tahoma" w:cs="Tahoma"/>
                <w:b/>
                <w:bCs/>
                <w:color w:val="000000"/>
                <w:sz w:val="22"/>
                <w:szCs w:val="22"/>
              </w:rPr>
            </w:pPr>
            <w:r>
              <w:rPr>
                <w:rFonts w:ascii="Tahoma" w:hAnsi="Tahoma" w:cs="Tahoma"/>
                <w:b/>
                <w:bCs/>
                <w:color w:val="000000"/>
                <w:sz w:val="22"/>
                <w:szCs w:val="22"/>
              </w:rPr>
              <w:t>БЕСПЛАТНО</w:t>
            </w:r>
            <w:r>
              <w:rPr>
                <w:rFonts w:ascii="Tahoma" w:hAnsi="Tahoma" w:cs="Tahoma"/>
                <w:b/>
                <w:bCs/>
                <w:color w:val="000000"/>
                <w:sz w:val="22"/>
                <w:szCs w:val="22"/>
                <w:vertAlign w:val="superscript"/>
              </w:rPr>
              <w:t>12</w:t>
            </w:r>
            <w:r>
              <w:rPr>
                <w:rFonts w:ascii="Tahoma" w:hAnsi="Tahoma" w:cs="Tahoma"/>
                <w:b/>
                <w:bCs/>
                <w:color w:val="000000"/>
                <w:sz w:val="22"/>
                <w:szCs w:val="22"/>
              </w:rPr>
              <w:t xml:space="preserve"> </w:t>
            </w:r>
          </w:p>
        </w:tc>
      </w:tr>
      <w:tr w:rsidR="005B68FD" w:rsidRPr="005379F0" w14:paraId="02C56262" w14:textId="77777777" w:rsidTr="005B68FD">
        <w:trPr>
          <w:trHeight w:val="552"/>
        </w:trPr>
        <w:tc>
          <w:tcPr>
            <w:tcW w:w="820" w:type="dxa"/>
            <w:tcBorders>
              <w:top w:val="nil"/>
              <w:left w:val="single" w:sz="4" w:space="0" w:color="auto"/>
              <w:bottom w:val="single" w:sz="4" w:space="0" w:color="auto"/>
              <w:right w:val="single" w:sz="4" w:space="0" w:color="auto"/>
            </w:tcBorders>
            <w:shd w:val="clear" w:color="000000" w:fill="595959"/>
            <w:noWrap/>
            <w:vAlign w:val="center"/>
            <w:hideMark/>
          </w:tcPr>
          <w:p w14:paraId="58DDAB1D" w14:textId="77777777" w:rsidR="005B68FD" w:rsidRPr="00C15A42" w:rsidRDefault="005B68FD" w:rsidP="005B68FD">
            <w:pPr>
              <w:rPr>
                <w:rFonts w:ascii="Tahoma" w:hAnsi="Tahoma" w:cs="Tahoma"/>
                <w:b/>
                <w:color w:val="FFFFFF" w:themeColor="background1"/>
                <w:sz w:val="22"/>
                <w:szCs w:val="22"/>
              </w:rPr>
            </w:pPr>
            <w:r w:rsidRPr="00C15A42">
              <w:rPr>
                <w:rFonts w:ascii="Tahoma" w:hAnsi="Tahoma" w:cs="Tahoma"/>
                <w:b/>
                <w:color w:val="FFFFFF" w:themeColor="background1"/>
                <w:sz w:val="22"/>
                <w:szCs w:val="22"/>
              </w:rPr>
              <w:t>7.</w:t>
            </w:r>
          </w:p>
        </w:tc>
        <w:tc>
          <w:tcPr>
            <w:tcW w:w="14059" w:type="dxa"/>
            <w:gridSpan w:val="2"/>
            <w:tcBorders>
              <w:top w:val="single" w:sz="4" w:space="0" w:color="auto"/>
              <w:left w:val="nil"/>
              <w:bottom w:val="single" w:sz="4" w:space="0" w:color="auto"/>
              <w:right w:val="nil"/>
            </w:tcBorders>
            <w:shd w:val="clear" w:color="000000" w:fill="595959"/>
            <w:vAlign w:val="center"/>
            <w:hideMark/>
          </w:tcPr>
          <w:p w14:paraId="4AFA636E" w14:textId="77777777" w:rsidR="005B68FD" w:rsidRPr="00C15A42" w:rsidRDefault="005B68FD" w:rsidP="005B68FD">
            <w:pPr>
              <w:rPr>
                <w:rFonts w:ascii="Tahoma" w:hAnsi="Tahoma" w:cs="Tahoma"/>
                <w:b/>
                <w:bCs/>
                <w:color w:val="FFFFFF"/>
                <w:sz w:val="22"/>
                <w:szCs w:val="22"/>
              </w:rPr>
            </w:pPr>
            <w:r>
              <w:rPr>
                <w:rFonts w:ascii="Tahoma" w:hAnsi="Tahoma" w:cs="Tahoma"/>
                <w:b/>
                <w:bCs/>
                <w:color w:val="FFFFFF"/>
                <w:sz w:val="22"/>
                <w:szCs w:val="22"/>
              </w:rPr>
              <w:t>Совершение безналичных операций в ТСП</w:t>
            </w:r>
            <w:r>
              <w:rPr>
                <w:rFonts w:ascii="Tahoma" w:hAnsi="Tahoma" w:cs="Tahoma"/>
                <w:b/>
                <w:bCs/>
                <w:color w:val="FFFFFF"/>
                <w:sz w:val="22"/>
                <w:szCs w:val="22"/>
                <w:vertAlign w:val="superscript"/>
              </w:rPr>
              <w:t xml:space="preserve">6 </w:t>
            </w:r>
            <w:r>
              <w:rPr>
                <w:rFonts w:ascii="Tahoma" w:hAnsi="Tahoma" w:cs="Tahoma"/>
                <w:b/>
                <w:bCs/>
                <w:color w:val="FFFFFF"/>
                <w:sz w:val="22"/>
                <w:szCs w:val="22"/>
              </w:rPr>
              <w:t>и сети Интернет (оплата товаров, работ, услуг, результатов интеллектуальной деятельности)</w:t>
            </w:r>
          </w:p>
        </w:tc>
      </w:tr>
      <w:tr w:rsidR="005B68FD" w:rsidRPr="005379F0" w14:paraId="75D33FA0" w14:textId="77777777" w:rsidTr="005B68FD">
        <w:trPr>
          <w:trHeight w:val="93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695C00E5" w14:textId="77777777" w:rsidR="005B68FD" w:rsidRPr="005379F0" w:rsidRDefault="005B68FD" w:rsidP="005B68FD">
            <w:pPr>
              <w:rPr>
                <w:rFonts w:ascii="Tahoma" w:hAnsi="Tahoma" w:cs="Tahoma"/>
                <w:sz w:val="22"/>
                <w:szCs w:val="22"/>
              </w:rPr>
            </w:pPr>
            <w:r w:rsidRPr="005379F0">
              <w:rPr>
                <w:rFonts w:ascii="Tahoma" w:hAnsi="Tahoma" w:cs="Tahoma"/>
                <w:sz w:val="22"/>
                <w:szCs w:val="22"/>
              </w:rPr>
              <w:t>7.1.</w:t>
            </w:r>
          </w:p>
        </w:tc>
        <w:tc>
          <w:tcPr>
            <w:tcW w:w="5554" w:type="dxa"/>
            <w:tcBorders>
              <w:top w:val="nil"/>
              <w:left w:val="nil"/>
              <w:bottom w:val="single" w:sz="4" w:space="0" w:color="auto"/>
              <w:right w:val="single" w:sz="4" w:space="0" w:color="auto"/>
            </w:tcBorders>
            <w:shd w:val="clear" w:color="auto" w:fill="auto"/>
            <w:vAlign w:val="center"/>
            <w:hideMark/>
          </w:tcPr>
          <w:p w14:paraId="099B5359" w14:textId="77777777" w:rsidR="005B68FD" w:rsidRDefault="005B68FD" w:rsidP="005B68FD">
            <w:pPr>
              <w:rPr>
                <w:rFonts w:ascii="Tahoma" w:hAnsi="Tahoma" w:cs="Tahoma"/>
                <w:color w:val="000000"/>
                <w:sz w:val="22"/>
                <w:szCs w:val="22"/>
              </w:rPr>
            </w:pPr>
            <w:r>
              <w:rPr>
                <w:rFonts w:ascii="Tahoma" w:hAnsi="Tahoma" w:cs="Tahoma"/>
                <w:color w:val="000000"/>
                <w:sz w:val="22"/>
                <w:szCs w:val="22"/>
              </w:rPr>
              <w:t>совершение безналичных операций в ТСП</w:t>
            </w:r>
            <w:r>
              <w:rPr>
                <w:rFonts w:ascii="Tahoma" w:hAnsi="Tahoma" w:cs="Tahoma"/>
                <w:color w:val="000000"/>
                <w:sz w:val="22"/>
                <w:szCs w:val="22"/>
                <w:vertAlign w:val="superscript"/>
              </w:rPr>
              <w:t>6</w:t>
            </w:r>
            <w:r>
              <w:rPr>
                <w:rFonts w:ascii="Tahoma" w:hAnsi="Tahoma" w:cs="Tahoma"/>
                <w:color w:val="000000"/>
                <w:sz w:val="22"/>
                <w:szCs w:val="22"/>
              </w:rPr>
              <w:t xml:space="preserve"> (оплата товаров, работ, услуг, результатов интеллектуальной деятельности)</w:t>
            </w:r>
          </w:p>
        </w:tc>
        <w:tc>
          <w:tcPr>
            <w:tcW w:w="8505" w:type="dxa"/>
            <w:tcBorders>
              <w:top w:val="nil"/>
              <w:left w:val="nil"/>
              <w:bottom w:val="single" w:sz="4" w:space="0" w:color="auto"/>
              <w:right w:val="single" w:sz="4" w:space="0" w:color="auto"/>
            </w:tcBorders>
            <w:shd w:val="clear" w:color="auto" w:fill="auto"/>
            <w:vAlign w:val="center"/>
            <w:hideMark/>
          </w:tcPr>
          <w:p w14:paraId="26D93501" w14:textId="77777777" w:rsidR="005B68FD" w:rsidRDefault="005B68FD" w:rsidP="005B68FD">
            <w:pPr>
              <w:jc w:val="center"/>
              <w:rPr>
                <w:rFonts w:ascii="Tahoma" w:hAnsi="Tahoma" w:cs="Tahoma"/>
                <w:b/>
                <w:bCs/>
                <w:color w:val="000000"/>
                <w:sz w:val="22"/>
                <w:szCs w:val="22"/>
              </w:rPr>
            </w:pPr>
            <w:r>
              <w:rPr>
                <w:rFonts w:ascii="Tahoma" w:hAnsi="Tahoma" w:cs="Tahoma"/>
                <w:b/>
                <w:bCs/>
                <w:color w:val="000000"/>
                <w:sz w:val="22"/>
                <w:szCs w:val="22"/>
              </w:rPr>
              <w:t>БЕСПЛАТНО</w:t>
            </w:r>
          </w:p>
        </w:tc>
      </w:tr>
      <w:tr w:rsidR="005B68FD" w:rsidRPr="005379F0" w14:paraId="549D354B" w14:textId="77777777" w:rsidTr="005B68FD">
        <w:trPr>
          <w:trHeight w:val="11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443CDC47" w14:textId="77777777" w:rsidR="005B68FD" w:rsidRPr="005379F0" w:rsidRDefault="005B68FD" w:rsidP="005B68FD">
            <w:pPr>
              <w:rPr>
                <w:rFonts w:ascii="Tahoma" w:hAnsi="Tahoma" w:cs="Tahoma"/>
                <w:sz w:val="22"/>
                <w:szCs w:val="22"/>
              </w:rPr>
            </w:pPr>
            <w:r w:rsidRPr="005379F0">
              <w:rPr>
                <w:rFonts w:ascii="Tahoma" w:hAnsi="Tahoma" w:cs="Tahoma"/>
                <w:sz w:val="22"/>
                <w:szCs w:val="22"/>
              </w:rPr>
              <w:t>7.2.</w:t>
            </w:r>
          </w:p>
        </w:tc>
        <w:tc>
          <w:tcPr>
            <w:tcW w:w="5554" w:type="dxa"/>
            <w:tcBorders>
              <w:top w:val="nil"/>
              <w:left w:val="nil"/>
              <w:bottom w:val="single" w:sz="4" w:space="0" w:color="auto"/>
              <w:right w:val="single" w:sz="4" w:space="0" w:color="auto"/>
            </w:tcBorders>
            <w:shd w:val="clear" w:color="auto" w:fill="auto"/>
            <w:vAlign w:val="center"/>
            <w:hideMark/>
          </w:tcPr>
          <w:p w14:paraId="6DDB7312" w14:textId="77777777" w:rsidR="005B68FD" w:rsidRDefault="005B68FD" w:rsidP="005B68FD">
            <w:pPr>
              <w:rPr>
                <w:rFonts w:ascii="Tahoma" w:hAnsi="Tahoma" w:cs="Tahoma"/>
                <w:color w:val="000000"/>
                <w:sz w:val="22"/>
                <w:szCs w:val="22"/>
              </w:rPr>
            </w:pPr>
            <w:r>
              <w:rPr>
                <w:rFonts w:ascii="Tahoma" w:hAnsi="Tahoma" w:cs="Tahoma"/>
                <w:color w:val="000000"/>
                <w:sz w:val="22"/>
                <w:szCs w:val="22"/>
              </w:rPr>
              <w:t>проведение «уникальных» транзакций и квази-кэш операций: оплата дорожных чеков, денежных обязательств, лотерейных билетов, игровых фишек в казино и пр.</w:t>
            </w:r>
          </w:p>
        </w:tc>
        <w:tc>
          <w:tcPr>
            <w:tcW w:w="8505" w:type="dxa"/>
            <w:tcBorders>
              <w:top w:val="nil"/>
              <w:left w:val="nil"/>
              <w:bottom w:val="single" w:sz="4" w:space="0" w:color="auto"/>
              <w:right w:val="single" w:sz="4" w:space="0" w:color="auto"/>
            </w:tcBorders>
            <w:shd w:val="clear" w:color="auto" w:fill="auto"/>
            <w:vAlign w:val="center"/>
            <w:hideMark/>
          </w:tcPr>
          <w:p w14:paraId="16DA6D3B" w14:textId="77777777" w:rsidR="005B68FD" w:rsidRDefault="005B68FD" w:rsidP="005B68FD">
            <w:pPr>
              <w:jc w:val="center"/>
              <w:rPr>
                <w:rFonts w:ascii="Tahoma" w:hAnsi="Tahoma" w:cs="Tahoma"/>
                <w:sz w:val="22"/>
                <w:szCs w:val="22"/>
              </w:rPr>
            </w:pPr>
            <w:r>
              <w:rPr>
                <w:rFonts w:ascii="Tahoma" w:hAnsi="Tahoma" w:cs="Tahoma"/>
                <w:sz w:val="22"/>
                <w:szCs w:val="22"/>
              </w:rPr>
              <w:t>3% от суммы операции</w:t>
            </w:r>
            <w:r>
              <w:rPr>
                <w:rFonts w:ascii="Tahoma" w:hAnsi="Tahoma" w:cs="Tahoma"/>
                <w:sz w:val="22"/>
                <w:szCs w:val="22"/>
                <w:vertAlign w:val="superscript"/>
              </w:rPr>
              <w:t>13</w:t>
            </w:r>
          </w:p>
        </w:tc>
      </w:tr>
      <w:tr w:rsidR="005B68FD" w:rsidRPr="005379F0" w14:paraId="4380A631" w14:textId="77777777" w:rsidTr="005B68FD">
        <w:trPr>
          <w:trHeight w:val="480"/>
        </w:trPr>
        <w:tc>
          <w:tcPr>
            <w:tcW w:w="820" w:type="dxa"/>
            <w:tcBorders>
              <w:top w:val="nil"/>
              <w:left w:val="single" w:sz="4" w:space="0" w:color="auto"/>
              <w:bottom w:val="single" w:sz="4" w:space="0" w:color="auto"/>
              <w:right w:val="single" w:sz="4" w:space="0" w:color="auto"/>
            </w:tcBorders>
            <w:shd w:val="clear" w:color="000000" w:fill="595959"/>
            <w:noWrap/>
            <w:vAlign w:val="center"/>
            <w:hideMark/>
          </w:tcPr>
          <w:p w14:paraId="2E125550" w14:textId="77777777" w:rsidR="005B68FD" w:rsidRPr="00C15A42" w:rsidRDefault="005B68FD" w:rsidP="005B68FD">
            <w:pPr>
              <w:rPr>
                <w:rFonts w:ascii="Tahoma" w:hAnsi="Tahoma" w:cs="Tahoma"/>
                <w:b/>
                <w:color w:val="FFFFFF" w:themeColor="background1"/>
                <w:sz w:val="22"/>
                <w:szCs w:val="22"/>
              </w:rPr>
            </w:pPr>
            <w:r w:rsidRPr="00C15A42">
              <w:rPr>
                <w:rFonts w:ascii="Tahoma" w:hAnsi="Tahoma" w:cs="Tahoma"/>
                <w:b/>
                <w:color w:val="FFFFFF" w:themeColor="background1"/>
                <w:sz w:val="22"/>
                <w:szCs w:val="22"/>
              </w:rPr>
              <w:t>8.</w:t>
            </w:r>
          </w:p>
        </w:tc>
        <w:tc>
          <w:tcPr>
            <w:tcW w:w="14059" w:type="dxa"/>
            <w:gridSpan w:val="2"/>
            <w:tcBorders>
              <w:top w:val="single" w:sz="4" w:space="0" w:color="auto"/>
              <w:left w:val="nil"/>
              <w:bottom w:val="single" w:sz="4" w:space="0" w:color="auto"/>
              <w:right w:val="nil"/>
            </w:tcBorders>
            <w:shd w:val="clear" w:color="000000" w:fill="595959"/>
            <w:noWrap/>
            <w:vAlign w:val="center"/>
            <w:hideMark/>
          </w:tcPr>
          <w:p w14:paraId="105FBA74" w14:textId="77777777" w:rsidR="005B68FD" w:rsidRPr="00C15A42" w:rsidRDefault="005B68FD" w:rsidP="005B68FD">
            <w:pPr>
              <w:rPr>
                <w:rFonts w:ascii="Tahoma" w:hAnsi="Tahoma" w:cs="Tahoma"/>
                <w:b/>
                <w:color w:val="FFFFFF" w:themeColor="background1"/>
                <w:sz w:val="22"/>
                <w:szCs w:val="22"/>
              </w:rPr>
            </w:pPr>
            <w:r w:rsidRPr="00C15A42">
              <w:rPr>
                <w:rFonts w:ascii="Tahoma" w:hAnsi="Tahoma" w:cs="Tahoma"/>
                <w:b/>
                <w:color w:val="FFFFFF" w:themeColor="background1"/>
                <w:sz w:val="22"/>
                <w:szCs w:val="22"/>
              </w:rPr>
              <w:t>Дистанционные банковские сервисы Банка</w:t>
            </w:r>
          </w:p>
        </w:tc>
      </w:tr>
      <w:tr w:rsidR="005B68FD" w:rsidRPr="005379F0" w14:paraId="149DBCAF" w14:textId="77777777" w:rsidTr="005B68FD">
        <w:trPr>
          <w:trHeight w:val="1545"/>
        </w:trPr>
        <w:tc>
          <w:tcPr>
            <w:tcW w:w="820" w:type="dxa"/>
            <w:tcBorders>
              <w:top w:val="nil"/>
              <w:left w:val="single" w:sz="4" w:space="0" w:color="auto"/>
              <w:bottom w:val="single" w:sz="4" w:space="0" w:color="auto"/>
              <w:right w:val="single" w:sz="4" w:space="0" w:color="auto"/>
            </w:tcBorders>
            <w:shd w:val="clear" w:color="000000" w:fill="FFFFFF"/>
            <w:noWrap/>
            <w:vAlign w:val="center"/>
            <w:hideMark/>
          </w:tcPr>
          <w:p w14:paraId="39748C87" w14:textId="77777777" w:rsidR="005B68FD" w:rsidRPr="005379F0" w:rsidRDefault="005B68FD" w:rsidP="005B68FD">
            <w:pPr>
              <w:rPr>
                <w:rFonts w:ascii="Tahoma" w:hAnsi="Tahoma" w:cs="Tahoma"/>
                <w:sz w:val="22"/>
                <w:szCs w:val="22"/>
              </w:rPr>
            </w:pPr>
            <w:r w:rsidRPr="005379F0">
              <w:rPr>
                <w:rFonts w:ascii="Tahoma" w:hAnsi="Tahoma" w:cs="Tahoma"/>
                <w:sz w:val="22"/>
                <w:szCs w:val="22"/>
              </w:rPr>
              <w:t>8.1.</w:t>
            </w:r>
          </w:p>
        </w:tc>
        <w:tc>
          <w:tcPr>
            <w:tcW w:w="5554" w:type="dxa"/>
            <w:tcBorders>
              <w:top w:val="nil"/>
              <w:left w:val="nil"/>
              <w:bottom w:val="single" w:sz="4" w:space="0" w:color="auto"/>
              <w:right w:val="nil"/>
            </w:tcBorders>
            <w:shd w:val="clear" w:color="000000" w:fill="FFFFFF"/>
            <w:vAlign w:val="center"/>
            <w:hideMark/>
          </w:tcPr>
          <w:p w14:paraId="473FF201" w14:textId="77777777" w:rsidR="005B68FD" w:rsidRDefault="005B68FD" w:rsidP="005B68FD">
            <w:pPr>
              <w:rPr>
                <w:rFonts w:ascii="Tahoma" w:hAnsi="Tahoma" w:cs="Tahoma"/>
                <w:sz w:val="22"/>
                <w:szCs w:val="22"/>
              </w:rPr>
            </w:pPr>
            <w:r>
              <w:rPr>
                <w:rFonts w:ascii="Tahoma" w:hAnsi="Tahoma" w:cs="Tahoma"/>
                <w:sz w:val="22"/>
                <w:szCs w:val="22"/>
              </w:rPr>
              <w:t>стоимость услуги СМС-информирования (полный пакет): детализирование уведомление о приходных и расходных операциях по Счету Карты в формате СМС-сообщений на Номер мобильного телефона Клиента, указанный Клиентом Банку в качестве основного</w:t>
            </w:r>
          </w:p>
        </w:tc>
        <w:tc>
          <w:tcPr>
            <w:tcW w:w="8505" w:type="dxa"/>
            <w:tcBorders>
              <w:top w:val="nil"/>
              <w:left w:val="single" w:sz="4" w:space="0" w:color="auto"/>
              <w:bottom w:val="single" w:sz="4" w:space="0" w:color="auto"/>
              <w:right w:val="single" w:sz="4" w:space="0" w:color="auto"/>
            </w:tcBorders>
            <w:shd w:val="clear" w:color="auto" w:fill="auto"/>
            <w:noWrap/>
            <w:vAlign w:val="center"/>
            <w:hideMark/>
          </w:tcPr>
          <w:p w14:paraId="7B33FDD5"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69 рублей в месяц</w:t>
            </w:r>
          </w:p>
        </w:tc>
      </w:tr>
      <w:tr w:rsidR="005B68FD" w:rsidRPr="005379F0" w14:paraId="086A87A4" w14:textId="77777777" w:rsidTr="005B68FD">
        <w:trPr>
          <w:trHeight w:val="138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5C330F" w14:textId="77777777" w:rsidR="005B68FD" w:rsidRPr="005379F0" w:rsidRDefault="005B68FD" w:rsidP="005B68FD">
            <w:pPr>
              <w:rPr>
                <w:rFonts w:ascii="Tahoma" w:hAnsi="Tahoma" w:cs="Tahoma"/>
                <w:sz w:val="22"/>
                <w:szCs w:val="22"/>
              </w:rPr>
            </w:pPr>
            <w:r w:rsidRPr="005379F0">
              <w:rPr>
                <w:rFonts w:ascii="Tahoma" w:hAnsi="Tahoma" w:cs="Tahoma"/>
                <w:sz w:val="22"/>
                <w:szCs w:val="22"/>
              </w:rPr>
              <w:t>8.2.</w:t>
            </w:r>
          </w:p>
        </w:tc>
        <w:tc>
          <w:tcPr>
            <w:tcW w:w="5554" w:type="dxa"/>
            <w:tcBorders>
              <w:top w:val="nil"/>
              <w:left w:val="nil"/>
              <w:bottom w:val="single" w:sz="4" w:space="0" w:color="auto"/>
              <w:right w:val="single" w:sz="4" w:space="0" w:color="auto"/>
            </w:tcBorders>
            <w:shd w:val="clear" w:color="000000" w:fill="FFFFFF"/>
            <w:vAlign w:val="center"/>
            <w:hideMark/>
          </w:tcPr>
          <w:p w14:paraId="261F83BE" w14:textId="77777777" w:rsidR="005B68FD" w:rsidRDefault="005B68FD" w:rsidP="005B68FD">
            <w:pPr>
              <w:rPr>
                <w:rFonts w:ascii="Tahoma" w:hAnsi="Tahoma" w:cs="Tahoma"/>
                <w:sz w:val="22"/>
                <w:szCs w:val="22"/>
              </w:rPr>
            </w:pPr>
            <w:r>
              <w:rPr>
                <w:rFonts w:ascii="Tahoma" w:hAnsi="Tahoma" w:cs="Tahoma"/>
                <w:sz w:val="22"/>
                <w:szCs w:val="22"/>
              </w:rPr>
              <w:t>стоимость услуги СМС-информирования (обязательный пакет): краткие уведомления о расходных операциях по Счету Карты в формате СМС-сообщений на мобильный телефон Клиента, указанный Клиентом Банку в качестве основного</w:t>
            </w:r>
          </w:p>
        </w:tc>
        <w:tc>
          <w:tcPr>
            <w:tcW w:w="8505" w:type="dxa"/>
            <w:vMerge w:val="restart"/>
            <w:tcBorders>
              <w:top w:val="single" w:sz="4" w:space="0" w:color="auto"/>
              <w:left w:val="nil"/>
              <w:bottom w:val="single" w:sz="4" w:space="0" w:color="auto"/>
              <w:right w:val="single" w:sz="4" w:space="0" w:color="auto"/>
            </w:tcBorders>
            <w:shd w:val="clear" w:color="auto" w:fill="auto"/>
            <w:noWrap/>
            <w:vAlign w:val="center"/>
            <w:hideMark/>
          </w:tcPr>
          <w:p w14:paraId="220DD9D5"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БЕСПЛАТНО</w:t>
            </w:r>
          </w:p>
        </w:tc>
      </w:tr>
      <w:tr w:rsidR="005B68FD" w:rsidRPr="005379F0" w14:paraId="1A9AFADB" w14:textId="77777777" w:rsidTr="005B68FD">
        <w:trPr>
          <w:trHeight w:val="552"/>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79E24816" w14:textId="77777777" w:rsidR="005B68FD" w:rsidRPr="005379F0" w:rsidRDefault="005B68FD" w:rsidP="005B68FD">
            <w:pPr>
              <w:rPr>
                <w:rFonts w:ascii="Tahoma" w:hAnsi="Tahoma" w:cs="Tahoma"/>
                <w:sz w:val="22"/>
                <w:szCs w:val="22"/>
              </w:rPr>
            </w:pPr>
            <w:r w:rsidRPr="005379F0">
              <w:rPr>
                <w:rFonts w:ascii="Tahoma" w:hAnsi="Tahoma" w:cs="Tahoma"/>
                <w:sz w:val="22"/>
                <w:szCs w:val="22"/>
              </w:rPr>
              <w:t>8.3.</w:t>
            </w:r>
          </w:p>
        </w:tc>
        <w:tc>
          <w:tcPr>
            <w:tcW w:w="5554" w:type="dxa"/>
            <w:tcBorders>
              <w:top w:val="nil"/>
              <w:left w:val="nil"/>
              <w:bottom w:val="single" w:sz="4" w:space="0" w:color="auto"/>
              <w:right w:val="single" w:sz="4" w:space="0" w:color="auto"/>
            </w:tcBorders>
            <w:shd w:val="clear" w:color="auto" w:fill="auto"/>
            <w:vAlign w:val="center"/>
            <w:hideMark/>
          </w:tcPr>
          <w:p w14:paraId="78F465F4" w14:textId="77777777" w:rsidR="005B68FD" w:rsidRDefault="005B68FD" w:rsidP="005B68FD">
            <w:pPr>
              <w:rPr>
                <w:rFonts w:ascii="Tahoma" w:hAnsi="Tahoma" w:cs="Tahoma"/>
                <w:color w:val="000000"/>
                <w:sz w:val="22"/>
                <w:szCs w:val="22"/>
              </w:rPr>
            </w:pPr>
            <w:r>
              <w:rPr>
                <w:rFonts w:ascii="Tahoma" w:hAnsi="Tahoma" w:cs="Tahoma"/>
                <w:color w:val="000000"/>
                <w:sz w:val="22"/>
                <w:szCs w:val="22"/>
              </w:rPr>
              <w:t>В Каналах ДБО Банка: «АТБ-Онлайн», «АТБ банк»</w:t>
            </w:r>
          </w:p>
        </w:tc>
        <w:tc>
          <w:tcPr>
            <w:tcW w:w="8505" w:type="dxa"/>
            <w:vMerge/>
            <w:tcBorders>
              <w:top w:val="single" w:sz="4" w:space="0" w:color="auto"/>
              <w:left w:val="nil"/>
              <w:bottom w:val="single" w:sz="4" w:space="0" w:color="auto"/>
              <w:right w:val="single" w:sz="4" w:space="0" w:color="auto"/>
            </w:tcBorders>
            <w:vAlign w:val="center"/>
            <w:hideMark/>
          </w:tcPr>
          <w:p w14:paraId="52F84C7B" w14:textId="77777777" w:rsidR="005B68FD" w:rsidRPr="005379F0" w:rsidRDefault="005B68FD" w:rsidP="005B68FD">
            <w:pPr>
              <w:jc w:val="center"/>
              <w:rPr>
                <w:rFonts w:ascii="Tahoma" w:hAnsi="Tahoma" w:cs="Tahoma"/>
                <w:sz w:val="22"/>
                <w:szCs w:val="22"/>
              </w:rPr>
            </w:pPr>
          </w:p>
        </w:tc>
      </w:tr>
      <w:tr w:rsidR="005B68FD" w:rsidRPr="005379F0" w14:paraId="45B57E0F" w14:textId="77777777" w:rsidTr="005B68FD">
        <w:trPr>
          <w:trHeight w:val="552"/>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469653D0" w14:textId="77777777" w:rsidR="005B68FD" w:rsidRPr="005379F0" w:rsidRDefault="005B68FD" w:rsidP="005B68FD">
            <w:pPr>
              <w:rPr>
                <w:rFonts w:ascii="Tahoma" w:hAnsi="Tahoma" w:cs="Tahoma"/>
                <w:sz w:val="22"/>
                <w:szCs w:val="22"/>
              </w:rPr>
            </w:pPr>
            <w:r w:rsidRPr="005379F0">
              <w:rPr>
                <w:rFonts w:ascii="Tahoma" w:hAnsi="Tahoma" w:cs="Tahoma"/>
                <w:sz w:val="22"/>
                <w:szCs w:val="22"/>
              </w:rPr>
              <w:t>8.4.</w:t>
            </w:r>
          </w:p>
        </w:tc>
        <w:tc>
          <w:tcPr>
            <w:tcW w:w="5554" w:type="dxa"/>
            <w:tcBorders>
              <w:top w:val="nil"/>
              <w:left w:val="nil"/>
              <w:bottom w:val="single" w:sz="4" w:space="0" w:color="auto"/>
              <w:right w:val="single" w:sz="4" w:space="0" w:color="auto"/>
            </w:tcBorders>
            <w:shd w:val="clear" w:color="auto" w:fill="auto"/>
            <w:vAlign w:val="center"/>
            <w:hideMark/>
          </w:tcPr>
          <w:p w14:paraId="101A2B81" w14:textId="77777777" w:rsidR="005B68FD" w:rsidRDefault="005B68FD" w:rsidP="005B68FD">
            <w:pPr>
              <w:rPr>
                <w:rFonts w:ascii="Tahoma" w:hAnsi="Tahoma" w:cs="Tahoma"/>
                <w:color w:val="000000"/>
                <w:sz w:val="22"/>
                <w:szCs w:val="22"/>
              </w:rPr>
            </w:pPr>
            <w:r>
              <w:rPr>
                <w:rFonts w:ascii="Tahoma" w:hAnsi="Tahoma" w:cs="Tahoma"/>
                <w:color w:val="000000"/>
                <w:sz w:val="22"/>
                <w:szCs w:val="22"/>
              </w:rPr>
              <w:t>выписка по Счету Карты в Каналах ДБО Банка: «АТБ-Онлайн», «АТБ банк»</w:t>
            </w:r>
          </w:p>
        </w:tc>
        <w:tc>
          <w:tcPr>
            <w:tcW w:w="8505" w:type="dxa"/>
            <w:vMerge/>
            <w:tcBorders>
              <w:top w:val="single" w:sz="4" w:space="0" w:color="auto"/>
              <w:left w:val="nil"/>
              <w:bottom w:val="single" w:sz="4" w:space="0" w:color="auto"/>
              <w:right w:val="single" w:sz="4" w:space="0" w:color="auto"/>
            </w:tcBorders>
            <w:vAlign w:val="center"/>
            <w:hideMark/>
          </w:tcPr>
          <w:p w14:paraId="5703BEA4" w14:textId="77777777" w:rsidR="005B68FD" w:rsidRPr="005379F0" w:rsidRDefault="005B68FD" w:rsidP="005B68FD">
            <w:pPr>
              <w:jc w:val="center"/>
              <w:rPr>
                <w:rFonts w:ascii="Tahoma" w:hAnsi="Tahoma" w:cs="Tahoma"/>
                <w:sz w:val="22"/>
                <w:szCs w:val="22"/>
              </w:rPr>
            </w:pPr>
          </w:p>
        </w:tc>
      </w:tr>
      <w:tr w:rsidR="005B68FD" w:rsidRPr="005379F0" w14:paraId="62FF0C73" w14:textId="77777777" w:rsidTr="005B68FD">
        <w:trPr>
          <w:trHeight w:val="43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5EB1CF2D" w14:textId="77777777" w:rsidR="005B68FD" w:rsidRPr="005379F0" w:rsidRDefault="005B68FD" w:rsidP="005B68FD">
            <w:pPr>
              <w:rPr>
                <w:rFonts w:ascii="Tahoma" w:hAnsi="Tahoma" w:cs="Tahoma"/>
                <w:sz w:val="22"/>
                <w:szCs w:val="22"/>
              </w:rPr>
            </w:pPr>
            <w:r w:rsidRPr="005379F0">
              <w:rPr>
                <w:rFonts w:ascii="Tahoma" w:hAnsi="Tahoma" w:cs="Tahoma"/>
                <w:sz w:val="22"/>
                <w:szCs w:val="22"/>
              </w:rPr>
              <w:t>8.5.</w:t>
            </w:r>
          </w:p>
        </w:tc>
        <w:tc>
          <w:tcPr>
            <w:tcW w:w="5554" w:type="dxa"/>
            <w:tcBorders>
              <w:top w:val="nil"/>
              <w:left w:val="nil"/>
              <w:bottom w:val="single" w:sz="4" w:space="0" w:color="auto"/>
              <w:right w:val="single" w:sz="4" w:space="0" w:color="auto"/>
            </w:tcBorders>
            <w:shd w:val="clear" w:color="auto" w:fill="auto"/>
            <w:vAlign w:val="center"/>
            <w:hideMark/>
          </w:tcPr>
          <w:p w14:paraId="6665E75C" w14:textId="77777777" w:rsidR="005B68FD" w:rsidRDefault="005B68FD" w:rsidP="005B68FD">
            <w:pPr>
              <w:rPr>
                <w:rFonts w:ascii="Tahoma" w:hAnsi="Tahoma" w:cs="Tahoma"/>
                <w:sz w:val="22"/>
                <w:szCs w:val="22"/>
              </w:rPr>
            </w:pPr>
            <w:r>
              <w:rPr>
                <w:rFonts w:ascii="Tahoma" w:hAnsi="Tahoma" w:cs="Tahoma"/>
                <w:sz w:val="22"/>
                <w:szCs w:val="22"/>
              </w:rPr>
              <w:t>выписка по Счету Карты в банкоматах Банка</w:t>
            </w:r>
            <w:r>
              <w:rPr>
                <w:rFonts w:ascii="Tahoma" w:hAnsi="Tahoma" w:cs="Tahoma"/>
                <w:sz w:val="22"/>
                <w:szCs w:val="22"/>
                <w:vertAlign w:val="superscript"/>
              </w:rPr>
              <w:t>3</w:t>
            </w:r>
          </w:p>
        </w:tc>
        <w:tc>
          <w:tcPr>
            <w:tcW w:w="8505" w:type="dxa"/>
            <w:vMerge/>
            <w:tcBorders>
              <w:top w:val="single" w:sz="4" w:space="0" w:color="auto"/>
              <w:left w:val="nil"/>
              <w:bottom w:val="single" w:sz="4" w:space="0" w:color="auto"/>
              <w:right w:val="single" w:sz="4" w:space="0" w:color="auto"/>
            </w:tcBorders>
            <w:vAlign w:val="center"/>
            <w:hideMark/>
          </w:tcPr>
          <w:p w14:paraId="6E69917B" w14:textId="77777777" w:rsidR="005B68FD" w:rsidRPr="005379F0" w:rsidRDefault="005B68FD" w:rsidP="005B68FD">
            <w:pPr>
              <w:jc w:val="center"/>
              <w:rPr>
                <w:rFonts w:ascii="Tahoma" w:hAnsi="Tahoma" w:cs="Tahoma"/>
                <w:sz w:val="22"/>
                <w:szCs w:val="22"/>
              </w:rPr>
            </w:pPr>
          </w:p>
        </w:tc>
      </w:tr>
      <w:tr w:rsidR="005B68FD" w:rsidRPr="005379F0" w14:paraId="7A916A35" w14:textId="77777777" w:rsidTr="005B68FD">
        <w:trPr>
          <w:trHeight w:val="864"/>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6D8D7FDA" w14:textId="77777777" w:rsidR="005B68FD" w:rsidRPr="005379F0" w:rsidRDefault="005B68FD" w:rsidP="005B68FD">
            <w:pPr>
              <w:rPr>
                <w:rFonts w:ascii="Tahoma" w:hAnsi="Tahoma" w:cs="Tahoma"/>
                <w:sz w:val="22"/>
                <w:szCs w:val="22"/>
              </w:rPr>
            </w:pPr>
            <w:r w:rsidRPr="005379F0">
              <w:rPr>
                <w:rFonts w:ascii="Tahoma" w:hAnsi="Tahoma" w:cs="Tahoma"/>
                <w:sz w:val="22"/>
                <w:szCs w:val="22"/>
              </w:rPr>
              <w:t>8.6.</w:t>
            </w:r>
          </w:p>
        </w:tc>
        <w:tc>
          <w:tcPr>
            <w:tcW w:w="5554" w:type="dxa"/>
            <w:tcBorders>
              <w:top w:val="nil"/>
              <w:left w:val="nil"/>
              <w:bottom w:val="single" w:sz="4" w:space="0" w:color="auto"/>
              <w:right w:val="single" w:sz="4" w:space="0" w:color="auto"/>
            </w:tcBorders>
            <w:shd w:val="clear" w:color="auto" w:fill="auto"/>
            <w:vAlign w:val="center"/>
            <w:hideMark/>
          </w:tcPr>
          <w:p w14:paraId="686EB37F" w14:textId="77777777" w:rsidR="005B68FD" w:rsidRDefault="005B68FD" w:rsidP="005B68FD">
            <w:pPr>
              <w:rPr>
                <w:rFonts w:ascii="Tahoma" w:hAnsi="Tahoma" w:cs="Tahoma"/>
                <w:sz w:val="22"/>
                <w:szCs w:val="22"/>
              </w:rPr>
            </w:pPr>
            <w:r>
              <w:rPr>
                <w:rFonts w:ascii="Tahoma" w:hAnsi="Tahoma" w:cs="Tahoma"/>
                <w:sz w:val="22"/>
                <w:szCs w:val="22"/>
              </w:rPr>
              <w:t>запрос баланса Счета Карты в банкоматах Банка</w:t>
            </w:r>
            <w:r>
              <w:rPr>
                <w:rFonts w:ascii="Tahoma" w:hAnsi="Tahoma" w:cs="Tahoma"/>
                <w:sz w:val="22"/>
                <w:szCs w:val="22"/>
                <w:vertAlign w:val="superscript"/>
              </w:rPr>
              <w:t>3</w:t>
            </w:r>
            <w:r>
              <w:rPr>
                <w:rFonts w:ascii="Tahoma" w:hAnsi="Tahoma" w:cs="Tahoma"/>
                <w:sz w:val="22"/>
                <w:szCs w:val="22"/>
              </w:rPr>
              <w:t xml:space="preserve"> посредством вывода информации на экран устройства и/или чек</w:t>
            </w:r>
          </w:p>
        </w:tc>
        <w:tc>
          <w:tcPr>
            <w:tcW w:w="8505" w:type="dxa"/>
            <w:vMerge/>
            <w:tcBorders>
              <w:top w:val="single" w:sz="4" w:space="0" w:color="auto"/>
              <w:left w:val="nil"/>
              <w:bottom w:val="single" w:sz="4" w:space="0" w:color="auto"/>
              <w:right w:val="single" w:sz="4" w:space="0" w:color="auto"/>
            </w:tcBorders>
            <w:vAlign w:val="center"/>
            <w:hideMark/>
          </w:tcPr>
          <w:p w14:paraId="79E8FF27" w14:textId="77777777" w:rsidR="005B68FD" w:rsidRPr="005379F0" w:rsidRDefault="005B68FD" w:rsidP="005B68FD">
            <w:pPr>
              <w:jc w:val="center"/>
              <w:rPr>
                <w:rFonts w:ascii="Tahoma" w:hAnsi="Tahoma" w:cs="Tahoma"/>
                <w:sz w:val="22"/>
                <w:szCs w:val="22"/>
              </w:rPr>
            </w:pPr>
          </w:p>
        </w:tc>
      </w:tr>
      <w:tr w:rsidR="005B68FD" w:rsidRPr="005379F0" w14:paraId="441BA30D" w14:textId="77777777" w:rsidTr="005B68FD">
        <w:trPr>
          <w:trHeight w:val="828"/>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37A47AF3" w14:textId="77777777" w:rsidR="005B68FD" w:rsidRPr="005379F0" w:rsidRDefault="005B68FD" w:rsidP="005B68FD">
            <w:pPr>
              <w:rPr>
                <w:rFonts w:ascii="Tahoma" w:hAnsi="Tahoma" w:cs="Tahoma"/>
                <w:sz w:val="22"/>
                <w:szCs w:val="22"/>
              </w:rPr>
            </w:pPr>
            <w:r w:rsidRPr="005379F0">
              <w:rPr>
                <w:rFonts w:ascii="Tahoma" w:hAnsi="Tahoma" w:cs="Tahoma"/>
                <w:sz w:val="22"/>
                <w:szCs w:val="22"/>
              </w:rPr>
              <w:t>8.7.</w:t>
            </w:r>
          </w:p>
        </w:tc>
        <w:tc>
          <w:tcPr>
            <w:tcW w:w="5554" w:type="dxa"/>
            <w:tcBorders>
              <w:top w:val="nil"/>
              <w:left w:val="nil"/>
              <w:bottom w:val="single" w:sz="4" w:space="0" w:color="auto"/>
              <w:right w:val="single" w:sz="4" w:space="0" w:color="auto"/>
            </w:tcBorders>
            <w:shd w:val="clear" w:color="auto" w:fill="auto"/>
            <w:vAlign w:val="center"/>
            <w:hideMark/>
          </w:tcPr>
          <w:p w14:paraId="3C0D9452" w14:textId="77777777" w:rsidR="005B68FD" w:rsidRDefault="005B68FD" w:rsidP="005B68FD">
            <w:pPr>
              <w:rPr>
                <w:rFonts w:ascii="Tahoma" w:hAnsi="Tahoma" w:cs="Tahoma"/>
                <w:sz w:val="22"/>
                <w:szCs w:val="22"/>
              </w:rPr>
            </w:pPr>
            <w:r>
              <w:rPr>
                <w:rFonts w:ascii="Tahoma" w:hAnsi="Tahoma" w:cs="Tahoma"/>
                <w:sz w:val="22"/>
                <w:szCs w:val="22"/>
              </w:rPr>
              <w:t>запрос баланса Счета Карты в банкоматах других банков</w:t>
            </w:r>
            <w:r>
              <w:rPr>
                <w:rFonts w:ascii="Tahoma" w:hAnsi="Tahoma" w:cs="Tahoma"/>
                <w:sz w:val="22"/>
                <w:szCs w:val="22"/>
                <w:vertAlign w:val="superscript"/>
              </w:rPr>
              <w:t>14</w:t>
            </w:r>
          </w:p>
        </w:tc>
        <w:tc>
          <w:tcPr>
            <w:tcW w:w="8505" w:type="dxa"/>
            <w:tcBorders>
              <w:top w:val="single" w:sz="4" w:space="0" w:color="auto"/>
              <w:left w:val="nil"/>
              <w:bottom w:val="single" w:sz="4" w:space="0" w:color="auto"/>
              <w:right w:val="single" w:sz="4" w:space="0" w:color="auto"/>
            </w:tcBorders>
            <w:shd w:val="clear" w:color="auto" w:fill="auto"/>
            <w:vAlign w:val="center"/>
            <w:hideMark/>
          </w:tcPr>
          <w:p w14:paraId="6FFFD1AC"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0 рублей – при запросе баланса в банкомате другого банка впервые с момента получения Клиентом Карты;</w:t>
            </w:r>
            <w:r w:rsidRPr="005379F0">
              <w:rPr>
                <w:rFonts w:ascii="Tahoma" w:hAnsi="Tahoma" w:cs="Tahoma"/>
                <w:sz w:val="22"/>
                <w:szCs w:val="22"/>
              </w:rPr>
              <w:br/>
              <w:t>45 рублей – при каждом последующем запросе баланса.</w:t>
            </w:r>
          </w:p>
        </w:tc>
      </w:tr>
      <w:tr w:rsidR="005B68FD" w:rsidRPr="005379F0" w14:paraId="3B421AEA" w14:textId="77777777" w:rsidTr="005B68FD">
        <w:trPr>
          <w:trHeight w:val="276"/>
        </w:trPr>
        <w:tc>
          <w:tcPr>
            <w:tcW w:w="820" w:type="dxa"/>
            <w:tcBorders>
              <w:top w:val="nil"/>
              <w:left w:val="single" w:sz="4" w:space="0" w:color="auto"/>
              <w:bottom w:val="single" w:sz="4" w:space="0" w:color="auto"/>
              <w:right w:val="single" w:sz="4" w:space="0" w:color="auto"/>
            </w:tcBorders>
            <w:shd w:val="clear" w:color="000000" w:fill="595959"/>
            <w:noWrap/>
            <w:vAlign w:val="center"/>
            <w:hideMark/>
          </w:tcPr>
          <w:p w14:paraId="734B1564" w14:textId="77777777" w:rsidR="005B68FD" w:rsidRPr="00C15A42" w:rsidRDefault="005B68FD" w:rsidP="005B68FD">
            <w:pPr>
              <w:rPr>
                <w:rFonts w:ascii="Tahoma" w:hAnsi="Tahoma" w:cs="Tahoma"/>
                <w:b/>
                <w:color w:val="FFFFFF" w:themeColor="background1"/>
                <w:sz w:val="22"/>
                <w:szCs w:val="22"/>
              </w:rPr>
            </w:pPr>
            <w:r w:rsidRPr="00C15A42">
              <w:rPr>
                <w:rFonts w:ascii="Tahoma" w:hAnsi="Tahoma" w:cs="Tahoma"/>
                <w:b/>
                <w:color w:val="FFFFFF" w:themeColor="background1"/>
                <w:sz w:val="22"/>
                <w:szCs w:val="22"/>
              </w:rPr>
              <w:t>9.</w:t>
            </w:r>
          </w:p>
        </w:tc>
        <w:tc>
          <w:tcPr>
            <w:tcW w:w="14059" w:type="dxa"/>
            <w:gridSpan w:val="2"/>
            <w:tcBorders>
              <w:top w:val="single" w:sz="4" w:space="0" w:color="auto"/>
              <w:left w:val="nil"/>
              <w:bottom w:val="single" w:sz="4" w:space="0" w:color="auto"/>
              <w:right w:val="nil"/>
            </w:tcBorders>
            <w:shd w:val="clear" w:color="000000" w:fill="595959"/>
            <w:noWrap/>
            <w:vAlign w:val="center"/>
            <w:hideMark/>
          </w:tcPr>
          <w:p w14:paraId="22809E35" w14:textId="77777777" w:rsidR="005B68FD" w:rsidRPr="00C15A42" w:rsidRDefault="005B68FD" w:rsidP="005B68FD">
            <w:pPr>
              <w:rPr>
                <w:rFonts w:ascii="Tahoma" w:hAnsi="Tahoma" w:cs="Tahoma"/>
                <w:b/>
                <w:color w:val="FFFFFF" w:themeColor="background1"/>
                <w:sz w:val="22"/>
                <w:szCs w:val="22"/>
              </w:rPr>
            </w:pPr>
            <w:r w:rsidRPr="00C15A42">
              <w:rPr>
                <w:rFonts w:ascii="Tahoma" w:hAnsi="Tahoma" w:cs="Tahoma"/>
                <w:b/>
                <w:color w:val="FFFFFF" w:themeColor="background1"/>
                <w:sz w:val="22"/>
                <w:szCs w:val="22"/>
              </w:rPr>
              <w:t>Приостановление/возобновление операций с Картой</w:t>
            </w:r>
          </w:p>
        </w:tc>
      </w:tr>
      <w:tr w:rsidR="005B68FD" w:rsidRPr="005379F0" w14:paraId="6828E5F0" w14:textId="77777777" w:rsidTr="005B68FD">
        <w:trPr>
          <w:trHeight w:val="864"/>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720F5DAB" w14:textId="77777777" w:rsidR="005B68FD" w:rsidRPr="005379F0" w:rsidRDefault="005B68FD" w:rsidP="005B68FD">
            <w:pPr>
              <w:rPr>
                <w:rFonts w:ascii="Tahoma" w:hAnsi="Tahoma" w:cs="Tahoma"/>
                <w:sz w:val="22"/>
                <w:szCs w:val="22"/>
              </w:rPr>
            </w:pPr>
            <w:r w:rsidRPr="005379F0">
              <w:rPr>
                <w:rFonts w:ascii="Tahoma" w:hAnsi="Tahoma" w:cs="Tahoma"/>
                <w:sz w:val="22"/>
                <w:szCs w:val="22"/>
              </w:rPr>
              <w:t>9.1.</w:t>
            </w:r>
          </w:p>
        </w:tc>
        <w:tc>
          <w:tcPr>
            <w:tcW w:w="5554" w:type="dxa"/>
            <w:tcBorders>
              <w:top w:val="nil"/>
              <w:left w:val="nil"/>
              <w:bottom w:val="single" w:sz="4" w:space="0" w:color="auto"/>
              <w:right w:val="single" w:sz="4" w:space="0" w:color="auto"/>
            </w:tcBorders>
            <w:shd w:val="clear" w:color="auto" w:fill="auto"/>
            <w:vAlign w:val="center"/>
            <w:hideMark/>
          </w:tcPr>
          <w:p w14:paraId="52896115" w14:textId="77777777" w:rsidR="005B68FD" w:rsidRDefault="005B68FD" w:rsidP="005B68FD">
            <w:pPr>
              <w:rPr>
                <w:rFonts w:ascii="Tahoma" w:hAnsi="Tahoma" w:cs="Tahoma"/>
                <w:color w:val="000000"/>
                <w:sz w:val="22"/>
                <w:szCs w:val="22"/>
              </w:rPr>
            </w:pPr>
            <w:r>
              <w:rPr>
                <w:rFonts w:ascii="Tahoma" w:hAnsi="Tahoma" w:cs="Tahoma"/>
                <w:color w:val="000000"/>
                <w:sz w:val="22"/>
                <w:szCs w:val="22"/>
              </w:rPr>
              <w:t>блокировка/разблокировка Карты в базе данных Процессингового Центра Банка</w:t>
            </w:r>
            <w:r>
              <w:rPr>
                <w:rFonts w:ascii="Tahoma" w:hAnsi="Tahoma" w:cs="Tahoma"/>
                <w:color w:val="000000"/>
                <w:sz w:val="22"/>
                <w:szCs w:val="22"/>
                <w:vertAlign w:val="superscript"/>
              </w:rPr>
              <w:t xml:space="preserve">3 </w:t>
            </w:r>
            <w:r>
              <w:rPr>
                <w:rFonts w:ascii="Tahoma" w:hAnsi="Tahoma" w:cs="Tahoma"/>
                <w:color w:val="000000"/>
                <w:sz w:val="22"/>
                <w:szCs w:val="22"/>
              </w:rPr>
              <w:t>посредством дистанционных каналов обслуживания</w:t>
            </w:r>
          </w:p>
        </w:tc>
        <w:tc>
          <w:tcPr>
            <w:tcW w:w="850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5E351F"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БЕСПЛАТНО</w:t>
            </w:r>
          </w:p>
        </w:tc>
      </w:tr>
      <w:tr w:rsidR="005B68FD" w:rsidRPr="005379F0" w14:paraId="226C7345" w14:textId="77777777" w:rsidTr="005B68FD">
        <w:trPr>
          <w:trHeight w:val="132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040A15D0" w14:textId="77777777" w:rsidR="005B68FD" w:rsidRPr="005379F0" w:rsidRDefault="005B68FD" w:rsidP="005B68FD">
            <w:pPr>
              <w:rPr>
                <w:rFonts w:ascii="Tahoma" w:hAnsi="Tahoma" w:cs="Tahoma"/>
                <w:sz w:val="22"/>
                <w:szCs w:val="22"/>
              </w:rPr>
            </w:pPr>
            <w:r w:rsidRPr="005379F0">
              <w:rPr>
                <w:rFonts w:ascii="Tahoma" w:hAnsi="Tahoma" w:cs="Tahoma"/>
                <w:sz w:val="22"/>
                <w:szCs w:val="22"/>
              </w:rPr>
              <w:t>9.2.</w:t>
            </w:r>
          </w:p>
        </w:tc>
        <w:tc>
          <w:tcPr>
            <w:tcW w:w="5554" w:type="dxa"/>
            <w:tcBorders>
              <w:top w:val="nil"/>
              <w:left w:val="nil"/>
              <w:bottom w:val="single" w:sz="4" w:space="0" w:color="auto"/>
              <w:right w:val="single" w:sz="4" w:space="0" w:color="auto"/>
            </w:tcBorders>
            <w:shd w:val="clear" w:color="auto" w:fill="auto"/>
            <w:vAlign w:val="center"/>
            <w:hideMark/>
          </w:tcPr>
          <w:p w14:paraId="11F37613" w14:textId="77777777" w:rsidR="005B68FD" w:rsidRDefault="005B68FD" w:rsidP="005B68FD">
            <w:pPr>
              <w:rPr>
                <w:rFonts w:ascii="Tahoma" w:hAnsi="Tahoma" w:cs="Tahoma"/>
                <w:color w:val="000000"/>
                <w:sz w:val="22"/>
                <w:szCs w:val="22"/>
              </w:rPr>
            </w:pPr>
            <w:r>
              <w:rPr>
                <w:rFonts w:ascii="Tahoma" w:hAnsi="Tahoma" w:cs="Tahoma"/>
                <w:color w:val="000000"/>
                <w:sz w:val="22"/>
                <w:szCs w:val="22"/>
              </w:rPr>
              <w:t>блокировка/разблокировка Карты в базе данных Процессингового Центра Банка</w:t>
            </w:r>
            <w:r>
              <w:rPr>
                <w:rFonts w:ascii="Tahoma" w:hAnsi="Tahoma" w:cs="Tahoma"/>
                <w:color w:val="000000"/>
                <w:sz w:val="22"/>
                <w:szCs w:val="22"/>
                <w:vertAlign w:val="superscript"/>
              </w:rPr>
              <w:t>3</w:t>
            </w:r>
            <w:r>
              <w:rPr>
                <w:rFonts w:ascii="Tahoma" w:hAnsi="Tahoma" w:cs="Tahoma"/>
                <w:color w:val="000000"/>
                <w:sz w:val="22"/>
                <w:szCs w:val="22"/>
              </w:rPr>
              <w:t xml:space="preserve"> при оформлении операции работником Банка</w:t>
            </w:r>
            <w:r>
              <w:rPr>
                <w:rFonts w:ascii="Tahoma" w:hAnsi="Tahoma" w:cs="Tahoma"/>
                <w:color w:val="000000"/>
                <w:sz w:val="22"/>
                <w:szCs w:val="22"/>
                <w:vertAlign w:val="superscript"/>
              </w:rPr>
              <w:t>3</w:t>
            </w:r>
            <w:r>
              <w:rPr>
                <w:rFonts w:ascii="Tahoma" w:hAnsi="Tahoma" w:cs="Tahoma"/>
                <w:color w:val="000000"/>
                <w:sz w:val="22"/>
                <w:szCs w:val="22"/>
              </w:rPr>
              <w:t xml:space="preserve"> по заявлению Клиента в офисе Банка</w:t>
            </w:r>
            <w:r>
              <w:rPr>
                <w:rFonts w:ascii="Tahoma" w:hAnsi="Tahoma" w:cs="Tahoma"/>
                <w:color w:val="000000"/>
                <w:sz w:val="22"/>
                <w:szCs w:val="22"/>
                <w:vertAlign w:val="superscript"/>
              </w:rPr>
              <w:t>3</w:t>
            </w:r>
          </w:p>
        </w:tc>
        <w:tc>
          <w:tcPr>
            <w:tcW w:w="8505" w:type="dxa"/>
            <w:vMerge/>
            <w:tcBorders>
              <w:top w:val="nil"/>
              <w:left w:val="single" w:sz="4" w:space="0" w:color="auto"/>
              <w:bottom w:val="single" w:sz="4" w:space="0" w:color="auto"/>
              <w:right w:val="single" w:sz="4" w:space="0" w:color="auto"/>
            </w:tcBorders>
            <w:vAlign w:val="center"/>
            <w:hideMark/>
          </w:tcPr>
          <w:p w14:paraId="44058281" w14:textId="77777777" w:rsidR="005B68FD" w:rsidRPr="005379F0" w:rsidRDefault="005B68FD" w:rsidP="005B68FD">
            <w:pPr>
              <w:jc w:val="center"/>
              <w:rPr>
                <w:rFonts w:ascii="Tahoma" w:hAnsi="Tahoma" w:cs="Tahoma"/>
                <w:sz w:val="22"/>
                <w:szCs w:val="22"/>
              </w:rPr>
            </w:pPr>
          </w:p>
        </w:tc>
      </w:tr>
      <w:tr w:rsidR="005B68FD" w:rsidRPr="005379F0" w14:paraId="500CD4AE" w14:textId="77777777" w:rsidTr="005B68FD">
        <w:trPr>
          <w:trHeight w:val="552"/>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358EE0D4" w14:textId="77777777" w:rsidR="005B68FD" w:rsidRPr="005379F0" w:rsidRDefault="005B68FD" w:rsidP="005B68FD">
            <w:pPr>
              <w:rPr>
                <w:rFonts w:ascii="Tahoma" w:hAnsi="Tahoma" w:cs="Tahoma"/>
                <w:sz w:val="22"/>
                <w:szCs w:val="22"/>
              </w:rPr>
            </w:pPr>
            <w:r w:rsidRPr="005379F0">
              <w:rPr>
                <w:rFonts w:ascii="Tahoma" w:hAnsi="Tahoma" w:cs="Tahoma"/>
                <w:sz w:val="22"/>
                <w:szCs w:val="22"/>
              </w:rPr>
              <w:t>9.3.</w:t>
            </w:r>
          </w:p>
        </w:tc>
        <w:tc>
          <w:tcPr>
            <w:tcW w:w="5554" w:type="dxa"/>
            <w:tcBorders>
              <w:top w:val="nil"/>
              <w:left w:val="nil"/>
              <w:bottom w:val="single" w:sz="4" w:space="0" w:color="auto"/>
              <w:right w:val="single" w:sz="4" w:space="0" w:color="auto"/>
            </w:tcBorders>
            <w:shd w:val="clear" w:color="auto" w:fill="auto"/>
            <w:vAlign w:val="center"/>
            <w:hideMark/>
          </w:tcPr>
          <w:p w14:paraId="4553F8C9" w14:textId="77777777" w:rsidR="005B68FD" w:rsidRDefault="005B68FD" w:rsidP="005B68FD">
            <w:pPr>
              <w:rPr>
                <w:rFonts w:ascii="Tahoma" w:hAnsi="Tahoma" w:cs="Tahoma"/>
                <w:color w:val="000000"/>
                <w:sz w:val="22"/>
                <w:szCs w:val="22"/>
              </w:rPr>
            </w:pPr>
            <w:r>
              <w:rPr>
                <w:rFonts w:ascii="Tahoma" w:hAnsi="Tahoma" w:cs="Tahoma"/>
                <w:color w:val="000000"/>
                <w:sz w:val="22"/>
                <w:szCs w:val="22"/>
              </w:rPr>
              <w:t>выдача остатка денежных средств со Счета Карты после закрытия Счета Карты</w:t>
            </w:r>
          </w:p>
        </w:tc>
        <w:tc>
          <w:tcPr>
            <w:tcW w:w="8505" w:type="dxa"/>
            <w:vMerge/>
            <w:tcBorders>
              <w:top w:val="nil"/>
              <w:left w:val="single" w:sz="4" w:space="0" w:color="auto"/>
              <w:bottom w:val="single" w:sz="4" w:space="0" w:color="auto"/>
              <w:right w:val="single" w:sz="4" w:space="0" w:color="auto"/>
            </w:tcBorders>
            <w:vAlign w:val="center"/>
            <w:hideMark/>
          </w:tcPr>
          <w:p w14:paraId="417C13B5" w14:textId="77777777" w:rsidR="005B68FD" w:rsidRPr="005379F0" w:rsidRDefault="005B68FD" w:rsidP="005B68FD">
            <w:pPr>
              <w:jc w:val="center"/>
              <w:rPr>
                <w:rFonts w:ascii="Tahoma" w:hAnsi="Tahoma" w:cs="Tahoma"/>
                <w:sz w:val="22"/>
                <w:szCs w:val="22"/>
              </w:rPr>
            </w:pPr>
          </w:p>
        </w:tc>
      </w:tr>
      <w:tr w:rsidR="005B68FD" w:rsidRPr="005379F0" w14:paraId="2A4F0F1F" w14:textId="77777777" w:rsidTr="005B68FD">
        <w:trPr>
          <w:trHeight w:val="78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1747ED75" w14:textId="77777777" w:rsidR="005B68FD" w:rsidRPr="005379F0" w:rsidRDefault="005B68FD" w:rsidP="005B68FD">
            <w:pPr>
              <w:rPr>
                <w:rFonts w:ascii="Tahoma" w:hAnsi="Tahoma" w:cs="Tahoma"/>
                <w:sz w:val="22"/>
                <w:szCs w:val="22"/>
              </w:rPr>
            </w:pPr>
            <w:r w:rsidRPr="005379F0">
              <w:rPr>
                <w:rFonts w:ascii="Tahoma" w:hAnsi="Tahoma" w:cs="Tahoma"/>
                <w:sz w:val="22"/>
                <w:szCs w:val="22"/>
              </w:rPr>
              <w:t>9.4.</w:t>
            </w:r>
          </w:p>
        </w:tc>
        <w:tc>
          <w:tcPr>
            <w:tcW w:w="5554" w:type="dxa"/>
            <w:tcBorders>
              <w:top w:val="nil"/>
              <w:left w:val="nil"/>
              <w:bottom w:val="single" w:sz="4" w:space="0" w:color="auto"/>
              <w:right w:val="single" w:sz="4" w:space="0" w:color="auto"/>
            </w:tcBorders>
            <w:shd w:val="clear" w:color="auto" w:fill="auto"/>
            <w:vAlign w:val="center"/>
            <w:hideMark/>
          </w:tcPr>
          <w:p w14:paraId="3D6D579A" w14:textId="77777777" w:rsidR="005B68FD" w:rsidRDefault="005B68FD" w:rsidP="005B68FD">
            <w:pPr>
              <w:rPr>
                <w:rFonts w:ascii="Tahoma" w:hAnsi="Tahoma" w:cs="Tahoma"/>
                <w:color w:val="000000"/>
                <w:sz w:val="22"/>
                <w:szCs w:val="22"/>
              </w:rPr>
            </w:pPr>
            <w:r>
              <w:rPr>
                <w:rFonts w:ascii="Tahoma" w:hAnsi="Tahoma" w:cs="Tahoma"/>
                <w:color w:val="000000"/>
                <w:sz w:val="22"/>
                <w:szCs w:val="22"/>
              </w:rPr>
              <w:t>постановка Карты в международный стоп-лист (на 2 недели) по волеизъявлению Клиента, 1 (один) регион</w:t>
            </w:r>
          </w:p>
        </w:tc>
        <w:tc>
          <w:tcPr>
            <w:tcW w:w="8505" w:type="dxa"/>
            <w:tcBorders>
              <w:top w:val="nil"/>
              <w:left w:val="nil"/>
              <w:bottom w:val="single" w:sz="4" w:space="0" w:color="auto"/>
              <w:right w:val="single" w:sz="4" w:space="0" w:color="auto"/>
            </w:tcBorders>
            <w:shd w:val="clear" w:color="auto" w:fill="auto"/>
            <w:noWrap/>
            <w:vAlign w:val="center"/>
            <w:hideMark/>
          </w:tcPr>
          <w:p w14:paraId="26C68E55" w14:textId="77777777" w:rsidR="005B68FD" w:rsidRPr="005379F0" w:rsidRDefault="005B68FD" w:rsidP="005B68FD">
            <w:pPr>
              <w:jc w:val="center"/>
              <w:rPr>
                <w:rFonts w:ascii="Tahoma" w:hAnsi="Tahoma" w:cs="Tahoma"/>
                <w:sz w:val="22"/>
                <w:szCs w:val="22"/>
              </w:rPr>
            </w:pPr>
            <w:r w:rsidRPr="005379F0">
              <w:rPr>
                <w:rFonts w:ascii="Tahoma" w:hAnsi="Tahoma" w:cs="Tahoma"/>
                <w:sz w:val="22"/>
                <w:szCs w:val="22"/>
              </w:rPr>
              <w:t>1 500 рублей</w:t>
            </w:r>
          </w:p>
        </w:tc>
      </w:tr>
      <w:tr w:rsidR="005B68FD" w:rsidRPr="005379F0" w14:paraId="69911B19" w14:textId="77777777" w:rsidTr="005B68FD">
        <w:trPr>
          <w:trHeight w:val="276"/>
        </w:trPr>
        <w:tc>
          <w:tcPr>
            <w:tcW w:w="820" w:type="dxa"/>
            <w:tcBorders>
              <w:top w:val="nil"/>
              <w:left w:val="single" w:sz="4" w:space="0" w:color="auto"/>
              <w:bottom w:val="single" w:sz="4" w:space="0" w:color="auto"/>
              <w:right w:val="single" w:sz="4" w:space="0" w:color="auto"/>
            </w:tcBorders>
            <w:shd w:val="clear" w:color="000000" w:fill="595959"/>
            <w:noWrap/>
            <w:vAlign w:val="center"/>
            <w:hideMark/>
          </w:tcPr>
          <w:p w14:paraId="3603F39A" w14:textId="77777777" w:rsidR="005B68FD" w:rsidRPr="00C15A42" w:rsidRDefault="005B68FD" w:rsidP="005B68FD">
            <w:pPr>
              <w:rPr>
                <w:rFonts w:ascii="Tahoma" w:hAnsi="Tahoma" w:cs="Tahoma"/>
                <w:b/>
                <w:color w:val="FFFFFF" w:themeColor="background1"/>
                <w:sz w:val="22"/>
                <w:szCs w:val="22"/>
              </w:rPr>
            </w:pPr>
            <w:r w:rsidRPr="00C15A42">
              <w:rPr>
                <w:rFonts w:ascii="Tahoma" w:hAnsi="Tahoma" w:cs="Tahoma"/>
                <w:b/>
                <w:color w:val="FFFFFF" w:themeColor="background1"/>
                <w:sz w:val="22"/>
                <w:szCs w:val="22"/>
              </w:rPr>
              <w:t>10.</w:t>
            </w:r>
          </w:p>
        </w:tc>
        <w:tc>
          <w:tcPr>
            <w:tcW w:w="14059" w:type="dxa"/>
            <w:gridSpan w:val="2"/>
            <w:tcBorders>
              <w:top w:val="single" w:sz="4" w:space="0" w:color="auto"/>
              <w:left w:val="nil"/>
              <w:bottom w:val="single" w:sz="4" w:space="0" w:color="auto"/>
              <w:right w:val="nil"/>
            </w:tcBorders>
            <w:shd w:val="clear" w:color="000000" w:fill="595959"/>
            <w:noWrap/>
            <w:vAlign w:val="center"/>
            <w:hideMark/>
          </w:tcPr>
          <w:p w14:paraId="50A51E88" w14:textId="77777777" w:rsidR="005B68FD" w:rsidRPr="00C15A42" w:rsidRDefault="005B68FD" w:rsidP="005B68FD">
            <w:pPr>
              <w:rPr>
                <w:rFonts w:ascii="Tahoma" w:hAnsi="Tahoma" w:cs="Tahoma"/>
                <w:b/>
                <w:color w:val="FFFFFF" w:themeColor="background1"/>
                <w:sz w:val="22"/>
                <w:szCs w:val="22"/>
              </w:rPr>
            </w:pPr>
            <w:r w:rsidRPr="00C15A42">
              <w:rPr>
                <w:rFonts w:ascii="Tahoma" w:hAnsi="Tahoma" w:cs="Tahoma"/>
                <w:b/>
                <w:color w:val="FFFFFF" w:themeColor="background1"/>
                <w:sz w:val="22"/>
                <w:szCs w:val="22"/>
              </w:rPr>
              <w:t>Прочие операции</w:t>
            </w:r>
          </w:p>
        </w:tc>
      </w:tr>
      <w:tr w:rsidR="005B68FD" w:rsidRPr="005379F0" w14:paraId="440EAFBF" w14:textId="77777777" w:rsidTr="005B68FD">
        <w:trPr>
          <w:trHeight w:val="312"/>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7EC98A29" w14:textId="77777777" w:rsidR="005B68FD" w:rsidRPr="005379F0" w:rsidRDefault="005B68FD" w:rsidP="005B68FD">
            <w:pPr>
              <w:rPr>
                <w:rFonts w:ascii="Tahoma" w:hAnsi="Tahoma" w:cs="Tahoma"/>
                <w:sz w:val="22"/>
                <w:szCs w:val="22"/>
              </w:rPr>
            </w:pPr>
            <w:r w:rsidRPr="005379F0">
              <w:rPr>
                <w:rFonts w:ascii="Tahoma" w:hAnsi="Tahoma" w:cs="Tahoma"/>
                <w:sz w:val="22"/>
                <w:szCs w:val="22"/>
              </w:rPr>
              <w:t>10.1.</w:t>
            </w:r>
          </w:p>
        </w:tc>
        <w:tc>
          <w:tcPr>
            <w:tcW w:w="5554" w:type="dxa"/>
            <w:tcBorders>
              <w:top w:val="nil"/>
              <w:left w:val="nil"/>
              <w:bottom w:val="single" w:sz="4" w:space="0" w:color="auto"/>
              <w:right w:val="single" w:sz="4" w:space="0" w:color="auto"/>
            </w:tcBorders>
            <w:shd w:val="clear" w:color="auto" w:fill="auto"/>
            <w:vAlign w:val="center"/>
            <w:hideMark/>
          </w:tcPr>
          <w:p w14:paraId="14C63F4F" w14:textId="77777777" w:rsidR="005B68FD" w:rsidRDefault="005B68FD" w:rsidP="005B68FD">
            <w:pPr>
              <w:rPr>
                <w:rFonts w:ascii="Tahoma" w:hAnsi="Tahoma" w:cs="Tahoma"/>
                <w:color w:val="000000"/>
                <w:sz w:val="22"/>
                <w:szCs w:val="22"/>
              </w:rPr>
            </w:pPr>
            <w:r>
              <w:rPr>
                <w:rFonts w:ascii="Tahoma" w:hAnsi="Tahoma" w:cs="Tahoma"/>
                <w:color w:val="000000"/>
                <w:sz w:val="22"/>
                <w:szCs w:val="22"/>
              </w:rPr>
              <w:t>выписка по Счету Карты в отделении Банка</w:t>
            </w:r>
            <w:r>
              <w:rPr>
                <w:rFonts w:ascii="Tahoma" w:hAnsi="Tahoma" w:cs="Tahoma"/>
                <w:color w:val="000000"/>
                <w:sz w:val="22"/>
                <w:szCs w:val="22"/>
                <w:vertAlign w:val="superscript"/>
              </w:rPr>
              <w:t>3</w:t>
            </w:r>
          </w:p>
        </w:tc>
        <w:tc>
          <w:tcPr>
            <w:tcW w:w="8505" w:type="dxa"/>
            <w:tcBorders>
              <w:top w:val="nil"/>
              <w:left w:val="nil"/>
              <w:bottom w:val="single" w:sz="4" w:space="0" w:color="auto"/>
              <w:right w:val="single" w:sz="4" w:space="0" w:color="auto"/>
            </w:tcBorders>
            <w:shd w:val="clear" w:color="auto" w:fill="auto"/>
            <w:noWrap/>
            <w:vAlign w:val="center"/>
            <w:hideMark/>
          </w:tcPr>
          <w:p w14:paraId="14776948" w14:textId="77777777" w:rsidR="005B68FD" w:rsidRDefault="005B68FD" w:rsidP="005B68FD">
            <w:pPr>
              <w:jc w:val="center"/>
              <w:rPr>
                <w:rFonts w:ascii="Tahoma" w:hAnsi="Tahoma" w:cs="Tahoma"/>
                <w:color w:val="000000"/>
                <w:sz w:val="22"/>
                <w:szCs w:val="22"/>
              </w:rPr>
            </w:pPr>
            <w:r>
              <w:rPr>
                <w:rFonts w:ascii="Tahoma" w:hAnsi="Tahoma" w:cs="Tahoma"/>
                <w:color w:val="000000"/>
                <w:sz w:val="22"/>
                <w:szCs w:val="22"/>
              </w:rPr>
              <w:t>250 рублей</w:t>
            </w:r>
          </w:p>
        </w:tc>
      </w:tr>
      <w:tr w:rsidR="005B68FD" w:rsidRPr="005379F0" w14:paraId="70E99388" w14:textId="77777777" w:rsidTr="005B68FD">
        <w:trPr>
          <w:trHeight w:val="102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0278FBE5" w14:textId="77777777" w:rsidR="005B68FD" w:rsidRPr="005379F0" w:rsidRDefault="005B68FD" w:rsidP="005B68FD">
            <w:pPr>
              <w:rPr>
                <w:rFonts w:ascii="Tahoma" w:hAnsi="Tahoma" w:cs="Tahoma"/>
                <w:sz w:val="22"/>
                <w:szCs w:val="22"/>
              </w:rPr>
            </w:pPr>
            <w:r w:rsidRPr="005379F0">
              <w:rPr>
                <w:rFonts w:ascii="Tahoma" w:hAnsi="Tahoma" w:cs="Tahoma"/>
                <w:sz w:val="22"/>
                <w:szCs w:val="22"/>
              </w:rPr>
              <w:t>10.2.</w:t>
            </w:r>
          </w:p>
        </w:tc>
        <w:tc>
          <w:tcPr>
            <w:tcW w:w="5554" w:type="dxa"/>
            <w:tcBorders>
              <w:top w:val="nil"/>
              <w:left w:val="nil"/>
              <w:bottom w:val="single" w:sz="4" w:space="0" w:color="auto"/>
              <w:right w:val="single" w:sz="4" w:space="0" w:color="auto"/>
            </w:tcBorders>
            <w:shd w:val="clear" w:color="auto" w:fill="auto"/>
            <w:vAlign w:val="center"/>
            <w:hideMark/>
          </w:tcPr>
          <w:p w14:paraId="76643AEF" w14:textId="77777777" w:rsidR="005B68FD" w:rsidRDefault="005B68FD" w:rsidP="005B68FD">
            <w:pPr>
              <w:rPr>
                <w:rFonts w:ascii="Tahoma" w:hAnsi="Tahoma" w:cs="Tahoma"/>
                <w:color w:val="000000"/>
                <w:sz w:val="22"/>
                <w:szCs w:val="22"/>
              </w:rPr>
            </w:pPr>
            <w:r>
              <w:rPr>
                <w:rFonts w:ascii="Tahoma" w:hAnsi="Tahoma" w:cs="Tahoma"/>
                <w:color w:val="000000"/>
                <w:sz w:val="22"/>
                <w:szCs w:val="22"/>
              </w:rPr>
              <w:t>услуги, оказанные другими банками (авторизация по телексу, направление в Банк</w:t>
            </w:r>
            <w:r>
              <w:rPr>
                <w:rFonts w:ascii="Tahoma" w:hAnsi="Tahoma" w:cs="Tahoma"/>
                <w:color w:val="000000"/>
                <w:sz w:val="22"/>
                <w:szCs w:val="22"/>
                <w:vertAlign w:val="superscript"/>
              </w:rPr>
              <w:t>3</w:t>
            </w:r>
            <w:r>
              <w:rPr>
                <w:rFonts w:ascii="Tahoma" w:hAnsi="Tahoma" w:cs="Tahoma"/>
                <w:color w:val="000000"/>
                <w:sz w:val="22"/>
                <w:szCs w:val="22"/>
              </w:rPr>
              <w:t xml:space="preserve"> информации об утере/краже Карты)</w:t>
            </w:r>
          </w:p>
        </w:tc>
        <w:tc>
          <w:tcPr>
            <w:tcW w:w="8505" w:type="dxa"/>
            <w:tcBorders>
              <w:top w:val="nil"/>
              <w:left w:val="nil"/>
              <w:bottom w:val="single" w:sz="4" w:space="0" w:color="auto"/>
              <w:right w:val="single" w:sz="4" w:space="0" w:color="auto"/>
            </w:tcBorders>
            <w:shd w:val="clear" w:color="auto" w:fill="auto"/>
            <w:noWrap/>
            <w:vAlign w:val="center"/>
            <w:hideMark/>
          </w:tcPr>
          <w:p w14:paraId="7E35CC3F" w14:textId="77777777" w:rsidR="005B68FD" w:rsidRDefault="005B68FD" w:rsidP="005B68FD">
            <w:pPr>
              <w:jc w:val="center"/>
              <w:rPr>
                <w:rFonts w:ascii="Tahoma" w:hAnsi="Tahoma" w:cs="Tahoma"/>
                <w:color w:val="000000"/>
                <w:sz w:val="22"/>
                <w:szCs w:val="22"/>
              </w:rPr>
            </w:pPr>
            <w:r>
              <w:rPr>
                <w:rFonts w:ascii="Tahoma" w:hAnsi="Tahoma" w:cs="Tahoma"/>
                <w:color w:val="000000"/>
                <w:sz w:val="22"/>
                <w:szCs w:val="22"/>
              </w:rPr>
              <w:t>по фактическим затратам Банка</w:t>
            </w:r>
            <w:r>
              <w:rPr>
                <w:rFonts w:ascii="Tahoma" w:hAnsi="Tahoma" w:cs="Tahoma"/>
                <w:color w:val="000000"/>
                <w:sz w:val="22"/>
                <w:szCs w:val="22"/>
                <w:vertAlign w:val="superscript"/>
              </w:rPr>
              <w:t>3</w:t>
            </w:r>
          </w:p>
        </w:tc>
      </w:tr>
      <w:tr w:rsidR="005B68FD" w:rsidRPr="005379F0" w14:paraId="68D8303F" w14:textId="77777777" w:rsidTr="005B68FD">
        <w:trPr>
          <w:trHeight w:val="276"/>
        </w:trPr>
        <w:tc>
          <w:tcPr>
            <w:tcW w:w="820" w:type="dxa"/>
            <w:tcBorders>
              <w:top w:val="nil"/>
              <w:left w:val="single" w:sz="4" w:space="0" w:color="auto"/>
              <w:bottom w:val="single" w:sz="4" w:space="0" w:color="auto"/>
              <w:right w:val="single" w:sz="4" w:space="0" w:color="auto"/>
            </w:tcBorders>
            <w:shd w:val="clear" w:color="000000" w:fill="595959"/>
            <w:noWrap/>
            <w:vAlign w:val="center"/>
            <w:hideMark/>
          </w:tcPr>
          <w:p w14:paraId="4BCDB1FB" w14:textId="77777777" w:rsidR="005B68FD" w:rsidRPr="00C15A42" w:rsidRDefault="005B68FD" w:rsidP="005B68FD">
            <w:pPr>
              <w:rPr>
                <w:rFonts w:ascii="Tahoma" w:hAnsi="Tahoma" w:cs="Tahoma"/>
                <w:b/>
                <w:color w:val="FFFFFF" w:themeColor="background1"/>
                <w:sz w:val="22"/>
                <w:szCs w:val="22"/>
              </w:rPr>
            </w:pPr>
            <w:r w:rsidRPr="00C15A42">
              <w:rPr>
                <w:rFonts w:ascii="Tahoma" w:hAnsi="Tahoma" w:cs="Tahoma"/>
                <w:b/>
                <w:color w:val="FFFFFF" w:themeColor="background1"/>
                <w:sz w:val="22"/>
                <w:szCs w:val="22"/>
              </w:rPr>
              <w:t>11.</w:t>
            </w:r>
          </w:p>
        </w:tc>
        <w:tc>
          <w:tcPr>
            <w:tcW w:w="14059" w:type="dxa"/>
            <w:gridSpan w:val="2"/>
            <w:tcBorders>
              <w:top w:val="single" w:sz="4" w:space="0" w:color="auto"/>
              <w:left w:val="nil"/>
              <w:bottom w:val="single" w:sz="4" w:space="0" w:color="000000"/>
              <w:right w:val="nil"/>
            </w:tcBorders>
            <w:shd w:val="clear" w:color="000000" w:fill="595959"/>
            <w:noWrap/>
            <w:vAlign w:val="center"/>
            <w:hideMark/>
          </w:tcPr>
          <w:p w14:paraId="2D31C17A" w14:textId="77777777" w:rsidR="005B68FD" w:rsidRPr="00C15A42" w:rsidRDefault="005B68FD" w:rsidP="005B68FD">
            <w:pPr>
              <w:rPr>
                <w:rFonts w:ascii="Tahoma" w:hAnsi="Tahoma" w:cs="Tahoma"/>
                <w:b/>
                <w:color w:val="FFFFFF" w:themeColor="background1"/>
                <w:sz w:val="22"/>
                <w:szCs w:val="22"/>
              </w:rPr>
            </w:pPr>
            <w:r w:rsidRPr="00C15A42">
              <w:rPr>
                <w:rFonts w:ascii="Tahoma" w:hAnsi="Tahoma" w:cs="Tahoma"/>
                <w:b/>
                <w:color w:val="FFFFFF" w:themeColor="background1"/>
                <w:sz w:val="22"/>
                <w:szCs w:val="22"/>
              </w:rPr>
              <w:t>Правила программ лояльности</w:t>
            </w:r>
          </w:p>
        </w:tc>
      </w:tr>
      <w:tr w:rsidR="005B68FD" w:rsidRPr="005379F0" w14:paraId="64E1F3BE" w14:textId="77777777" w:rsidTr="005B68FD">
        <w:trPr>
          <w:trHeight w:val="648"/>
        </w:trPr>
        <w:tc>
          <w:tcPr>
            <w:tcW w:w="820" w:type="dxa"/>
            <w:tcBorders>
              <w:top w:val="nil"/>
              <w:left w:val="single" w:sz="4" w:space="0" w:color="auto"/>
              <w:bottom w:val="single" w:sz="4" w:space="0" w:color="auto"/>
              <w:right w:val="nil"/>
            </w:tcBorders>
            <w:shd w:val="clear" w:color="000000" w:fill="FFFFFF"/>
            <w:noWrap/>
            <w:vAlign w:val="center"/>
            <w:hideMark/>
          </w:tcPr>
          <w:p w14:paraId="48BFD34D" w14:textId="77777777" w:rsidR="005B68FD" w:rsidRPr="005379F0" w:rsidRDefault="005B68FD" w:rsidP="005B68FD">
            <w:pPr>
              <w:rPr>
                <w:rFonts w:ascii="Tahoma" w:hAnsi="Tahoma" w:cs="Tahoma"/>
                <w:sz w:val="22"/>
                <w:szCs w:val="22"/>
              </w:rPr>
            </w:pPr>
            <w:r w:rsidRPr="005379F0">
              <w:rPr>
                <w:rFonts w:ascii="Tahoma" w:hAnsi="Tahoma" w:cs="Tahoma"/>
                <w:sz w:val="22"/>
                <w:szCs w:val="22"/>
              </w:rPr>
              <w:t>11.1.</w:t>
            </w:r>
          </w:p>
        </w:tc>
        <w:tc>
          <w:tcPr>
            <w:tcW w:w="5554" w:type="dxa"/>
            <w:tcBorders>
              <w:top w:val="nil"/>
              <w:left w:val="single" w:sz="4" w:space="0" w:color="auto"/>
              <w:bottom w:val="single" w:sz="4" w:space="0" w:color="auto"/>
              <w:right w:val="single" w:sz="4" w:space="0" w:color="auto"/>
            </w:tcBorders>
            <w:shd w:val="clear" w:color="auto" w:fill="auto"/>
            <w:noWrap/>
            <w:vAlign w:val="center"/>
            <w:hideMark/>
          </w:tcPr>
          <w:p w14:paraId="021A18D4" w14:textId="77777777" w:rsidR="005B68FD" w:rsidRDefault="005B68FD" w:rsidP="005B68FD">
            <w:pPr>
              <w:rPr>
                <w:rFonts w:ascii="Tahoma" w:hAnsi="Tahoma" w:cs="Tahoma"/>
                <w:sz w:val="22"/>
                <w:szCs w:val="22"/>
              </w:rPr>
            </w:pPr>
            <w:r>
              <w:rPr>
                <w:rFonts w:ascii="Tahoma" w:hAnsi="Tahoma" w:cs="Tahoma"/>
                <w:sz w:val="22"/>
                <w:szCs w:val="22"/>
              </w:rPr>
              <w:t>Программа лояльности Банка</w:t>
            </w:r>
            <w:r>
              <w:rPr>
                <w:rFonts w:ascii="Tahoma" w:hAnsi="Tahoma" w:cs="Tahoma"/>
                <w:sz w:val="22"/>
                <w:szCs w:val="22"/>
                <w:vertAlign w:val="superscript"/>
              </w:rPr>
              <w:t>3,15</w:t>
            </w:r>
          </w:p>
        </w:tc>
        <w:tc>
          <w:tcPr>
            <w:tcW w:w="8505" w:type="dxa"/>
            <w:tcBorders>
              <w:top w:val="nil"/>
              <w:left w:val="nil"/>
              <w:bottom w:val="single" w:sz="4" w:space="0" w:color="auto"/>
              <w:right w:val="single" w:sz="4" w:space="0" w:color="auto"/>
            </w:tcBorders>
            <w:shd w:val="clear" w:color="000000" w:fill="FFFFFF"/>
            <w:vAlign w:val="center"/>
            <w:hideMark/>
          </w:tcPr>
          <w:p w14:paraId="3E37270D" w14:textId="77777777" w:rsidR="005B68FD" w:rsidRDefault="005B68FD" w:rsidP="005B68FD">
            <w:pPr>
              <w:jc w:val="center"/>
              <w:rPr>
                <w:rFonts w:ascii="Tahoma" w:hAnsi="Tahoma" w:cs="Tahoma"/>
                <w:sz w:val="22"/>
                <w:szCs w:val="22"/>
              </w:rPr>
            </w:pPr>
            <w:r>
              <w:rPr>
                <w:rFonts w:ascii="Tahoma" w:hAnsi="Tahoma" w:cs="Tahoma"/>
                <w:sz w:val="22"/>
                <w:szCs w:val="22"/>
              </w:rPr>
              <w:t xml:space="preserve"> Согласно действующей Бонусной программе «Стандарт-Бонус», размещенной на Сайте Банка www.atb.su и в Подразделениях Банка</w:t>
            </w:r>
            <w:r w:rsidRPr="00C15A42">
              <w:rPr>
                <w:rFonts w:ascii="Tahoma" w:hAnsi="Tahoma" w:cs="Tahoma"/>
                <w:sz w:val="22"/>
                <w:szCs w:val="22"/>
                <w:vertAlign w:val="superscript"/>
              </w:rPr>
              <w:t xml:space="preserve">3 </w:t>
            </w:r>
          </w:p>
        </w:tc>
      </w:tr>
      <w:tr w:rsidR="005B68FD" w:rsidRPr="005379F0" w14:paraId="43E3A1B1" w14:textId="77777777" w:rsidTr="005B68FD">
        <w:trPr>
          <w:trHeight w:val="828"/>
        </w:trPr>
        <w:tc>
          <w:tcPr>
            <w:tcW w:w="820" w:type="dxa"/>
            <w:tcBorders>
              <w:top w:val="nil"/>
              <w:left w:val="single" w:sz="4" w:space="0" w:color="auto"/>
              <w:bottom w:val="single" w:sz="4" w:space="0" w:color="auto"/>
              <w:right w:val="nil"/>
            </w:tcBorders>
            <w:shd w:val="clear" w:color="000000" w:fill="FFFFFF"/>
            <w:noWrap/>
            <w:vAlign w:val="center"/>
            <w:hideMark/>
          </w:tcPr>
          <w:p w14:paraId="4B509E95" w14:textId="77777777" w:rsidR="005B68FD" w:rsidRPr="005379F0" w:rsidRDefault="005B68FD" w:rsidP="005B68FD">
            <w:pPr>
              <w:rPr>
                <w:rFonts w:ascii="Tahoma" w:hAnsi="Tahoma" w:cs="Tahoma"/>
                <w:sz w:val="22"/>
                <w:szCs w:val="22"/>
              </w:rPr>
            </w:pPr>
            <w:r w:rsidRPr="005379F0">
              <w:rPr>
                <w:rFonts w:ascii="Tahoma" w:hAnsi="Tahoma" w:cs="Tahoma"/>
                <w:sz w:val="22"/>
                <w:szCs w:val="22"/>
              </w:rPr>
              <w:t>11.2.</w:t>
            </w:r>
          </w:p>
        </w:tc>
        <w:tc>
          <w:tcPr>
            <w:tcW w:w="5554" w:type="dxa"/>
            <w:tcBorders>
              <w:top w:val="nil"/>
              <w:left w:val="single" w:sz="4" w:space="0" w:color="auto"/>
              <w:bottom w:val="single" w:sz="4" w:space="0" w:color="auto"/>
              <w:right w:val="single" w:sz="4" w:space="0" w:color="auto"/>
            </w:tcBorders>
            <w:shd w:val="clear" w:color="auto" w:fill="auto"/>
            <w:noWrap/>
            <w:vAlign w:val="center"/>
            <w:hideMark/>
          </w:tcPr>
          <w:p w14:paraId="6EE09CCF" w14:textId="77777777" w:rsidR="005B68FD" w:rsidRDefault="005B68FD" w:rsidP="005B68FD">
            <w:pPr>
              <w:rPr>
                <w:rFonts w:ascii="Tahoma" w:hAnsi="Tahoma" w:cs="Tahoma"/>
                <w:sz w:val="22"/>
                <w:szCs w:val="22"/>
              </w:rPr>
            </w:pPr>
            <w:r>
              <w:rPr>
                <w:rFonts w:ascii="Tahoma" w:hAnsi="Tahoma" w:cs="Tahoma"/>
                <w:sz w:val="22"/>
                <w:szCs w:val="22"/>
              </w:rPr>
              <w:t>Программа лояльности «Привет, Мир!»</w:t>
            </w:r>
            <w:r>
              <w:rPr>
                <w:rFonts w:ascii="Tahoma" w:hAnsi="Tahoma" w:cs="Tahoma"/>
                <w:sz w:val="22"/>
                <w:szCs w:val="22"/>
                <w:vertAlign w:val="superscript"/>
              </w:rPr>
              <w:t>16</w:t>
            </w:r>
          </w:p>
        </w:tc>
        <w:tc>
          <w:tcPr>
            <w:tcW w:w="8505" w:type="dxa"/>
            <w:tcBorders>
              <w:top w:val="nil"/>
              <w:left w:val="nil"/>
              <w:bottom w:val="single" w:sz="4" w:space="0" w:color="auto"/>
              <w:right w:val="single" w:sz="4" w:space="0" w:color="auto"/>
            </w:tcBorders>
            <w:shd w:val="clear" w:color="000000" w:fill="FFFFFF"/>
            <w:vAlign w:val="center"/>
            <w:hideMark/>
          </w:tcPr>
          <w:p w14:paraId="39EC9381" w14:textId="77777777" w:rsidR="005B68FD" w:rsidRDefault="005B68FD" w:rsidP="005B68FD">
            <w:pPr>
              <w:jc w:val="center"/>
              <w:rPr>
                <w:rFonts w:ascii="Tahoma" w:hAnsi="Tahoma" w:cs="Tahoma"/>
                <w:sz w:val="22"/>
                <w:szCs w:val="22"/>
              </w:rPr>
            </w:pPr>
            <w:r>
              <w:rPr>
                <w:rFonts w:ascii="Tahoma" w:hAnsi="Tahoma" w:cs="Tahoma"/>
                <w:sz w:val="22"/>
                <w:szCs w:val="22"/>
              </w:rPr>
              <w:t xml:space="preserve"> Согласно действующим Правилам программы лояльности «Привет, мир!» Акционерного общества «Национальная система платежных карт», размещенным на его Официальном сайте privetmir.ru/cashback/ </w:t>
            </w:r>
          </w:p>
        </w:tc>
      </w:tr>
    </w:tbl>
    <w:p w14:paraId="0EBED760" w14:textId="77777777" w:rsidR="005B68FD" w:rsidRPr="005379F0" w:rsidRDefault="005B68FD" w:rsidP="005B68FD">
      <w:pPr>
        <w:rPr>
          <w:rFonts w:ascii="Tahoma" w:hAnsi="Tahoma" w:cs="Tahoma"/>
          <w:sz w:val="22"/>
          <w:szCs w:val="22"/>
        </w:rPr>
      </w:pPr>
    </w:p>
    <w:tbl>
      <w:tblPr>
        <w:tblW w:w="15451" w:type="dxa"/>
        <w:tblLook w:val="04A0" w:firstRow="1" w:lastRow="0" w:firstColumn="1" w:lastColumn="0" w:noHBand="0" w:noVBand="1"/>
      </w:tblPr>
      <w:tblGrid>
        <w:gridCol w:w="7140"/>
        <w:gridCol w:w="8311"/>
      </w:tblGrid>
      <w:tr w:rsidR="005B68FD" w:rsidRPr="005379F0" w14:paraId="33638DB1" w14:textId="77777777" w:rsidTr="005B68FD">
        <w:trPr>
          <w:trHeight w:val="345"/>
        </w:trPr>
        <w:tc>
          <w:tcPr>
            <w:tcW w:w="7140" w:type="dxa"/>
            <w:tcBorders>
              <w:top w:val="single" w:sz="4" w:space="0" w:color="auto"/>
              <w:left w:val="nil"/>
              <w:bottom w:val="nil"/>
              <w:right w:val="nil"/>
            </w:tcBorders>
            <w:shd w:val="clear" w:color="auto" w:fill="auto"/>
            <w:vAlign w:val="center"/>
            <w:hideMark/>
          </w:tcPr>
          <w:p w14:paraId="4A5929B5" w14:textId="77777777" w:rsidR="005B68FD" w:rsidRPr="007062B9" w:rsidRDefault="005B68FD" w:rsidP="005B68FD">
            <w:pPr>
              <w:rPr>
                <w:rFonts w:ascii="Tahoma" w:hAnsi="Tahoma" w:cs="Tahoma"/>
                <w:b/>
                <w:sz w:val="22"/>
                <w:szCs w:val="22"/>
              </w:rPr>
            </w:pPr>
            <w:r w:rsidRPr="007062B9">
              <w:rPr>
                <w:rFonts w:ascii="Tahoma" w:hAnsi="Tahoma" w:cs="Tahoma"/>
                <w:b/>
                <w:sz w:val="22"/>
                <w:szCs w:val="22"/>
              </w:rPr>
              <w:t>Примечание</w:t>
            </w:r>
          </w:p>
        </w:tc>
        <w:tc>
          <w:tcPr>
            <w:tcW w:w="8311" w:type="dxa"/>
            <w:tcBorders>
              <w:top w:val="nil"/>
              <w:left w:val="nil"/>
              <w:bottom w:val="nil"/>
              <w:right w:val="nil"/>
            </w:tcBorders>
            <w:shd w:val="clear" w:color="auto" w:fill="auto"/>
            <w:vAlign w:val="center"/>
            <w:hideMark/>
          </w:tcPr>
          <w:p w14:paraId="59A1E88F" w14:textId="77777777" w:rsidR="005B68FD" w:rsidRPr="005379F0" w:rsidRDefault="005B68FD" w:rsidP="005B68FD">
            <w:pPr>
              <w:rPr>
                <w:rFonts w:ascii="Tahoma" w:hAnsi="Tahoma" w:cs="Tahoma"/>
                <w:sz w:val="22"/>
                <w:szCs w:val="22"/>
              </w:rPr>
            </w:pPr>
          </w:p>
        </w:tc>
      </w:tr>
      <w:tr w:rsidR="005B68FD" w:rsidRPr="005379F0" w14:paraId="3A7BF048" w14:textId="77777777" w:rsidTr="005B68FD">
        <w:trPr>
          <w:trHeight w:val="630"/>
        </w:trPr>
        <w:tc>
          <w:tcPr>
            <w:tcW w:w="15451" w:type="dxa"/>
            <w:gridSpan w:val="2"/>
            <w:tcBorders>
              <w:top w:val="nil"/>
              <w:left w:val="nil"/>
              <w:bottom w:val="nil"/>
              <w:right w:val="nil"/>
            </w:tcBorders>
            <w:shd w:val="clear" w:color="auto" w:fill="auto"/>
          </w:tcPr>
          <w:tbl>
            <w:tblPr>
              <w:tblW w:w="15209" w:type="dxa"/>
              <w:tblLook w:val="04A0" w:firstRow="1" w:lastRow="0" w:firstColumn="1" w:lastColumn="0" w:noHBand="0" w:noVBand="1"/>
            </w:tblPr>
            <w:tblGrid>
              <w:gridCol w:w="15209"/>
            </w:tblGrid>
            <w:tr w:rsidR="005B68FD" w14:paraId="5A2AFF89" w14:textId="77777777" w:rsidTr="005B68FD">
              <w:trPr>
                <w:trHeight w:val="1590"/>
              </w:trPr>
              <w:tc>
                <w:tcPr>
                  <w:tcW w:w="15209" w:type="dxa"/>
                  <w:tcBorders>
                    <w:top w:val="nil"/>
                    <w:left w:val="nil"/>
                    <w:bottom w:val="nil"/>
                    <w:right w:val="nil"/>
                  </w:tcBorders>
                  <w:shd w:val="clear" w:color="auto" w:fill="auto"/>
                  <w:vAlign w:val="center"/>
                  <w:hideMark/>
                </w:tcPr>
                <w:p w14:paraId="0D3F8DAE" w14:textId="77777777" w:rsidR="005B68FD" w:rsidRDefault="005B68FD" w:rsidP="005B68FD">
                  <w:pPr>
                    <w:rPr>
                      <w:rFonts w:ascii="Tahoma" w:hAnsi="Tahoma" w:cs="Tahoma"/>
                      <w:sz w:val="22"/>
                      <w:szCs w:val="22"/>
                    </w:rPr>
                  </w:pPr>
                  <w:r>
                    <w:rPr>
                      <w:rFonts w:ascii="Tahoma" w:hAnsi="Tahoma" w:cs="Tahoma"/>
                      <w:sz w:val="22"/>
                      <w:szCs w:val="22"/>
                      <w:vertAlign w:val="superscript"/>
                    </w:rPr>
                    <w:t>1</w:t>
                  </w:r>
                  <w:r>
                    <w:rPr>
                      <w:rFonts w:ascii="Tahoma" w:hAnsi="Tahoma" w:cs="Tahoma"/>
                      <w:sz w:val="22"/>
                      <w:szCs w:val="22"/>
                    </w:rPr>
                    <w:t>Карта – банковская (платежная) карта той платежной системы, карты которой эмитирует Банк</w:t>
                  </w:r>
                  <w:r>
                    <w:rPr>
                      <w:rFonts w:ascii="Tahoma" w:hAnsi="Tahoma" w:cs="Tahoma"/>
                      <w:sz w:val="22"/>
                      <w:szCs w:val="22"/>
                      <w:vertAlign w:val="superscript"/>
                    </w:rPr>
                    <w:t>3</w:t>
                  </w:r>
                  <w:r>
                    <w:rPr>
                      <w:rFonts w:ascii="Tahoma" w:hAnsi="Tahoma" w:cs="Tahoma"/>
                      <w:sz w:val="22"/>
                      <w:szCs w:val="22"/>
                    </w:rPr>
                    <w:t>, выпущенная Банком</w:t>
                  </w:r>
                  <w:r>
                    <w:rPr>
                      <w:rFonts w:ascii="Tahoma" w:hAnsi="Tahoma" w:cs="Tahoma"/>
                      <w:sz w:val="22"/>
                      <w:szCs w:val="22"/>
                      <w:vertAlign w:val="superscript"/>
                    </w:rPr>
                    <w:t>3</w:t>
                  </w:r>
                  <w:r>
                    <w:rPr>
                      <w:rFonts w:ascii="Tahoma" w:hAnsi="Tahoma" w:cs="Tahoma"/>
                      <w:sz w:val="22"/>
                      <w:szCs w:val="22"/>
                    </w:rPr>
                    <w:t xml:space="preserve"> для Клиента на имя Держателя карты на основании Заявления о банковском обслуживании при получении и использовании банковских (платежных) карт «Азиатско-Тихоокеанский Банк» (АО). Правила использования Карты устанавливаются нормативно-правовыми актами Банка России, платежной системой и Универсальным договором банковского обслуживания (далее – УДБО).</w:t>
                  </w:r>
                </w:p>
              </w:tc>
            </w:tr>
            <w:tr w:rsidR="005B68FD" w14:paraId="381F6A48" w14:textId="77777777" w:rsidTr="005B68FD">
              <w:trPr>
                <w:trHeight w:val="1043"/>
              </w:trPr>
              <w:tc>
                <w:tcPr>
                  <w:tcW w:w="15209" w:type="dxa"/>
                  <w:tcBorders>
                    <w:top w:val="nil"/>
                    <w:left w:val="nil"/>
                    <w:bottom w:val="nil"/>
                    <w:right w:val="nil"/>
                  </w:tcBorders>
                  <w:shd w:val="clear" w:color="auto" w:fill="auto"/>
                  <w:hideMark/>
                </w:tcPr>
                <w:p w14:paraId="3E9A14DE" w14:textId="77777777" w:rsidR="005B68FD" w:rsidRDefault="005B68FD" w:rsidP="005B68FD">
                  <w:pPr>
                    <w:rPr>
                      <w:rFonts w:ascii="Tahoma" w:hAnsi="Tahoma" w:cs="Tahoma"/>
                      <w:sz w:val="22"/>
                      <w:szCs w:val="22"/>
                    </w:rPr>
                  </w:pPr>
                  <w:r>
                    <w:rPr>
                      <w:rFonts w:ascii="Tahoma" w:hAnsi="Tahoma" w:cs="Tahoma"/>
                      <w:sz w:val="22"/>
                      <w:szCs w:val="22"/>
                      <w:vertAlign w:val="superscript"/>
                    </w:rPr>
                    <w:t>2</w:t>
                  </w:r>
                  <w:r>
                    <w:rPr>
                      <w:rFonts w:ascii="Tahoma" w:hAnsi="Tahoma" w:cs="Tahoma"/>
                      <w:sz w:val="22"/>
                      <w:szCs w:val="22"/>
                    </w:rPr>
                    <w:t>Карта национальной платежной системы «Мир». Для Клиентов-физических лиц, получающих выплаты, предусмотренные п.4 ч.5.5 ст.30.5 Федерального закона 161-ФЗ «О национальной платежной системе» от 27.06.2011г., на платежные (банковские) Карты национальной платежной системы «Мир», выпущенные Банком</w:t>
                  </w:r>
                  <w:r>
                    <w:rPr>
                      <w:rFonts w:ascii="Tahoma" w:hAnsi="Tahoma" w:cs="Tahoma"/>
                      <w:sz w:val="22"/>
                      <w:szCs w:val="22"/>
                      <w:vertAlign w:val="superscript"/>
                    </w:rPr>
                    <w:t>3</w:t>
                  </w:r>
                  <w:r>
                    <w:rPr>
                      <w:rFonts w:ascii="Tahoma" w:hAnsi="Tahoma" w:cs="Tahoma"/>
                      <w:sz w:val="22"/>
                      <w:szCs w:val="22"/>
                    </w:rPr>
                    <w:t xml:space="preserve">, операции, предусмотренные п.1 ч.5 ст.30.5 Федерального закона, производятся Банком безвозмездно. </w:t>
                  </w:r>
                </w:p>
              </w:tc>
            </w:tr>
            <w:tr w:rsidR="005B68FD" w14:paraId="4B0D2EA6" w14:textId="77777777" w:rsidTr="005B68FD">
              <w:trPr>
                <w:trHeight w:val="360"/>
              </w:trPr>
              <w:tc>
                <w:tcPr>
                  <w:tcW w:w="15209" w:type="dxa"/>
                  <w:tcBorders>
                    <w:top w:val="nil"/>
                    <w:left w:val="nil"/>
                    <w:bottom w:val="nil"/>
                    <w:right w:val="nil"/>
                  </w:tcBorders>
                  <w:shd w:val="clear" w:color="auto" w:fill="auto"/>
                  <w:hideMark/>
                </w:tcPr>
                <w:p w14:paraId="283D19A2" w14:textId="77777777" w:rsidR="005B68FD" w:rsidRDefault="005B68FD" w:rsidP="005B68FD">
                  <w:pPr>
                    <w:rPr>
                      <w:rFonts w:ascii="Tahoma" w:hAnsi="Tahoma" w:cs="Tahoma"/>
                      <w:sz w:val="22"/>
                      <w:szCs w:val="22"/>
                    </w:rPr>
                  </w:pPr>
                  <w:r>
                    <w:rPr>
                      <w:rFonts w:ascii="Tahoma" w:hAnsi="Tahoma" w:cs="Tahoma"/>
                      <w:sz w:val="22"/>
                      <w:szCs w:val="22"/>
                      <w:vertAlign w:val="superscript"/>
                    </w:rPr>
                    <w:t>3</w:t>
                  </w:r>
                  <w:r>
                    <w:rPr>
                      <w:rFonts w:ascii="Tahoma" w:hAnsi="Tahoma" w:cs="Tahoma"/>
                      <w:sz w:val="22"/>
                      <w:szCs w:val="22"/>
                    </w:rPr>
                    <w:t>Банк – «Азиатско-Тихоокеанский Банк» (Акционерное общество).</w:t>
                  </w:r>
                </w:p>
              </w:tc>
            </w:tr>
            <w:tr w:rsidR="005B68FD" w14:paraId="0A0B8021" w14:textId="77777777" w:rsidTr="005B68FD">
              <w:trPr>
                <w:trHeight w:val="567"/>
              </w:trPr>
              <w:tc>
                <w:tcPr>
                  <w:tcW w:w="15209" w:type="dxa"/>
                  <w:tcBorders>
                    <w:top w:val="nil"/>
                    <w:left w:val="nil"/>
                    <w:bottom w:val="nil"/>
                    <w:right w:val="nil"/>
                  </w:tcBorders>
                  <w:shd w:val="clear" w:color="000000" w:fill="FFFFFF"/>
                  <w:hideMark/>
                </w:tcPr>
                <w:p w14:paraId="53C36521" w14:textId="77777777" w:rsidR="005B68FD" w:rsidRDefault="005B68FD" w:rsidP="005B68FD">
                  <w:pPr>
                    <w:rPr>
                      <w:rFonts w:ascii="Tahoma" w:hAnsi="Tahoma" w:cs="Tahoma"/>
                      <w:sz w:val="22"/>
                      <w:szCs w:val="22"/>
                    </w:rPr>
                  </w:pPr>
                  <w:r>
                    <w:rPr>
                      <w:rFonts w:ascii="Tahoma" w:hAnsi="Tahoma" w:cs="Tahoma"/>
                      <w:sz w:val="22"/>
                      <w:szCs w:val="22"/>
                      <w:vertAlign w:val="superscript"/>
                    </w:rPr>
                    <w:t>4</w:t>
                  </w:r>
                  <w:r w:rsidRPr="006D13B8">
                    <w:rPr>
                      <w:rFonts w:ascii="Tahoma" w:hAnsi="Tahoma" w:cs="Tahoma"/>
                      <w:sz w:val="22"/>
                      <w:szCs w:val="22"/>
                    </w:rPr>
                    <w:t>Под «Заработной платой» понимаются исключительно поступления денежных средств на счет Карты Клиента, которые можно отнести к таковым согласно действующему законодательству РФ.</w:t>
                  </w:r>
                </w:p>
              </w:tc>
            </w:tr>
            <w:tr w:rsidR="005B68FD" w14:paraId="6E484683" w14:textId="77777777" w:rsidTr="005B68FD">
              <w:trPr>
                <w:trHeight w:val="1974"/>
              </w:trPr>
              <w:tc>
                <w:tcPr>
                  <w:tcW w:w="15209" w:type="dxa"/>
                  <w:tcBorders>
                    <w:top w:val="nil"/>
                    <w:left w:val="nil"/>
                    <w:bottom w:val="nil"/>
                    <w:right w:val="nil"/>
                  </w:tcBorders>
                  <w:shd w:val="clear" w:color="000000" w:fill="FFFFFF"/>
                  <w:hideMark/>
                </w:tcPr>
                <w:p w14:paraId="763F1CFF" w14:textId="77777777" w:rsidR="005B68FD" w:rsidRDefault="005B68FD" w:rsidP="005B68FD">
                  <w:pPr>
                    <w:rPr>
                      <w:rFonts w:ascii="Tahoma" w:hAnsi="Tahoma" w:cs="Tahoma"/>
                      <w:sz w:val="22"/>
                      <w:szCs w:val="22"/>
                    </w:rPr>
                  </w:pPr>
                  <w:r>
                    <w:rPr>
                      <w:rFonts w:ascii="Tahoma" w:hAnsi="Tahoma" w:cs="Tahoma"/>
                      <w:sz w:val="22"/>
                      <w:szCs w:val="22"/>
                      <w:vertAlign w:val="superscript"/>
                    </w:rPr>
                    <w:t>5</w:t>
                  </w:r>
                  <w:r>
                    <w:rPr>
                      <w:rFonts w:ascii="Tahoma" w:hAnsi="Tahoma" w:cs="Tahoma"/>
                      <w:sz w:val="22"/>
                      <w:szCs w:val="22"/>
                    </w:rPr>
                    <w:t>Отчётный период – временной период, за который Банком взимается комиссия за ежемесячное обслуживание Карты в рамках настоящего Тарифного плана. Первый Отчётный период исчисляется со дня предоставления Клиентом Банку Заявления о банковском обслуживании при получении и использовании банковских (платежных) карт «Азиатско-Тихоокеанский Банк» (АО) до календарного дня в следующем месяце, соответствующего дню открытия Счета Карты включительно. Последующие Отчётные периоды исчисляются ежемесячно со дня, следующего за днём окончания предыдущего Отчётного периода, до дня, соответствующего дню открытия Счета Карты. Услуга Банком Клиенту не оказывается и плата за нее не взимается в случае отсутствия операций по Счету Карты в Отчётном периоде. Плата за услугу взимается Банком ежемесячно, на следующий день после окончания Отчётного периода.</w:t>
                  </w:r>
                </w:p>
              </w:tc>
            </w:tr>
            <w:tr w:rsidR="005B68FD" w14:paraId="7B1667F4" w14:textId="77777777" w:rsidTr="005B68FD">
              <w:trPr>
                <w:trHeight w:val="1009"/>
              </w:trPr>
              <w:tc>
                <w:tcPr>
                  <w:tcW w:w="15209" w:type="dxa"/>
                  <w:tcBorders>
                    <w:top w:val="nil"/>
                    <w:left w:val="nil"/>
                    <w:bottom w:val="nil"/>
                    <w:right w:val="nil"/>
                  </w:tcBorders>
                  <w:shd w:val="clear" w:color="auto" w:fill="auto"/>
                  <w:hideMark/>
                </w:tcPr>
                <w:p w14:paraId="65C614BC" w14:textId="77777777" w:rsidR="005B68FD" w:rsidRDefault="005B68FD" w:rsidP="005B68FD">
                  <w:pPr>
                    <w:rPr>
                      <w:rFonts w:ascii="Tahoma" w:hAnsi="Tahoma" w:cs="Tahoma"/>
                      <w:sz w:val="22"/>
                      <w:szCs w:val="22"/>
                    </w:rPr>
                  </w:pPr>
                  <w:r>
                    <w:rPr>
                      <w:rFonts w:ascii="Tahoma" w:hAnsi="Tahoma" w:cs="Tahoma"/>
                      <w:sz w:val="22"/>
                      <w:szCs w:val="22"/>
                      <w:vertAlign w:val="superscript"/>
                    </w:rPr>
                    <w:t>6</w:t>
                  </w:r>
                  <w:r>
                    <w:rPr>
                      <w:rFonts w:ascii="Tahoma" w:hAnsi="Tahoma" w:cs="Tahoma"/>
                      <w:sz w:val="22"/>
                      <w:szCs w:val="22"/>
                    </w:rPr>
                    <w:t>ТСП (торгово-сервисные предприятия) – юридическое или физическое лицо-индивидуальный предприниматель, самозанятый (за исключением кредитных организаций), осуществляющее реализацию товаров (услуг, работ, результатов интеллектуальной деятельности), оплата которых производится Клиентами Банка с использованием Карты/реквизитов Карты через электронные средства платежа (POS-терминалы, платежные терминалы), а также через сеть Интернет.</w:t>
                  </w:r>
                </w:p>
              </w:tc>
            </w:tr>
            <w:tr w:rsidR="005B68FD" w14:paraId="5FA639D6" w14:textId="77777777" w:rsidTr="005B68FD">
              <w:trPr>
                <w:trHeight w:val="683"/>
              </w:trPr>
              <w:tc>
                <w:tcPr>
                  <w:tcW w:w="15209" w:type="dxa"/>
                  <w:tcBorders>
                    <w:top w:val="nil"/>
                    <w:left w:val="nil"/>
                    <w:bottom w:val="nil"/>
                    <w:right w:val="nil"/>
                  </w:tcBorders>
                  <w:shd w:val="clear" w:color="auto" w:fill="auto"/>
                  <w:vAlign w:val="bottom"/>
                  <w:hideMark/>
                </w:tcPr>
                <w:p w14:paraId="259EFEEB" w14:textId="77777777" w:rsidR="005B68FD" w:rsidRDefault="005B68FD" w:rsidP="005B68FD">
                  <w:pPr>
                    <w:rPr>
                      <w:rFonts w:ascii="Tahoma" w:hAnsi="Tahoma" w:cs="Tahoma"/>
                      <w:color w:val="000000"/>
                      <w:sz w:val="22"/>
                      <w:szCs w:val="22"/>
                    </w:rPr>
                  </w:pPr>
                  <w:r>
                    <w:rPr>
                      <w:rFonts w:ascii="Tahoma" w:hAnsi="Tahoma" w:cs="Tahoma"/>
                      <w:color w:val="000000"/>
                      <w:sz w:val="22"/>
                      <w:szCs w:val="22"/>
                      <w:vertAlign w:val="superscript"/>
                    </w:rPr>
                    <w:t>7</w:t>
                  </w:r>
                  <w:r>
                    <w:rPr>
                      <w:rFonts w:ascii="Tahoma" w:hAnsi="Tahoma" w:cs="Tahoma"/>
                      <w:color w:val="000000"/>
                      <w:sz w:val="22"/>
                      <w:szCs w:val="22"/>
                    </w:rPr>
                    <w:t>Ежемесячный перевод процентов на Счет Карты возможен только, если валюта Вклада совпадает с валютой Счета Карты, которую Клиент выбрал для ежемесячного перевода процентов.</w:t>
                  </w:r>
                </w:p>
              </w:tc>
            </w:tr>
            <w:tr w:rsidR="005B68FD" w14:paraId="0149BF23" w14:textId="77777777" w:rsidTr="005B68FD">
              <w:trPr>
                <w:trHeight w:val="2368"/>
              </w:trPr>
              <w:tc>
                <w:tcPr>
                  <w:tcW w:w="15209" w:type="dxa"/>
                  <w:tcBorders>
                    <w:top w:val="nil"/>
                    <w:left w:val="nil"/>
                    <w:bottom w:val="nil"/>
                    <w:right w:val="nil"/>
                  </w:tcBorders>
                  <w:shd w:val="clear" w:color="auto" w:fill="auto"/>
                  <w:hideMark/>
                </w:tcPr>
                <w:p w14:paraId="0705B6FD" w14:textId="77777777" w:rsidR="005B68FD" w:rsidRDefault="005B68FD" w:rsidP="005B68FD">
                  <w:pPr>
                    <w:rPr>
                      <w:rFonts w:ascii="Tahoma" w:hAnsi="Tahoma" w:cs="Tahoma"/>
                      <w:sz w:val="22"/>
                      <w:szCs w:val="22"/>
                    </w:rPr>
                  </w:pPr>
                  <w:r>
                    <w:rPr>
                      <w:rFonts w:ascii="Tahoma" w:hAnsi="Tahoma" w:cs="Tahoma"/>
                      <w:sz w:val="22"/>
                      <w:szCs w:val="22"/>
                      <w:vertAlign w:val="superscript"/>
                    </w:rPr>
                    <w:t>8</w:t>
                  </w:r>
                  <w:r>
                    <w:rPr>
                      <w:rFonts w:ascii="Tahoma" w:hAnsi="Tahoma" w:cs="Tahoma"/>
                      <w:sz w:val="22"/>
                      <w:szCs w:val="22"/>
                    </w:rPr>
                    <w:t>Период – временной период, за который Клиенту на остаток денежных средств на Счете Карты Банком начисляются проценты. Первый Период исчисляется со дня, следующего за днем внесения денежных средств на Счет Карты по день текущего (либо следующего, в случае отсутствия такого дня в текущем) месяца включительно, соответствующий дню открытия Счета Карты. Последующие Периоды исчисляются ежемесячно со дня, следующего после дня окончания предыдущего Периода по календарный день следующего месяца включительно, соответствующий дню открытия Счета Карты. Проценты начисляются Банком на остаток денежных средств, находящийся на Счете Карты на начало операционного дня в течение всего отчетного Периода, за который осуществляется выплата процентов. Дата выплаты начисленных процентов за Период происходит в последний день Периода. Если в каком-либо календарном месяце отсутствует число, на которое должен приходиться день окончания Периода, Банк производит выплату процентов в последний существующий день Периода.</w:t>
                  </w:r>
                </w:p>
              </w:tc>
            </w:tr>
            <w:tr w:rsidR="005B68FD" w14:paraId="0FAE7324" w14:textId="77777777" w:rsidTr="005B68FD">
              <w:trPr>
                <w:trHeight w:val="810"/>
              </w:trPr>
              <w:tc>
                <w:tcPr>
                  <w:tcW w:w="15209" w:type="dxa"/>
                  <w:tcBorders>
                    <w:top w:val="nil"/>
                    <w:left w:val="nil"/>
                    <w:bottom w:val="nil"/>
                    <w:right w:val="nil"/>
                  </w:tcBorders>
                  <w:shd w:val="clear" w:color="auto" w:fill="auto"/>
                  <w:hideMark/>
                </w:tcPr>
                <w:p w14:paraId="0536502D" w14:textId="77777777" w:rsidR="005B68FD" w:rsidRDefault="005B68FD" w:rsidP="005B68FD">
                  <w:pPr>
                    <w:rPr>
                      <w:rFonts w:ascii="Tahoma" w:hAnsi="Tahoma" w:cs="Tahoma"/>
                      <w:sz w:val="22"/>
                      <w:szCs w:val="22"/>
                    </w:rPr>
                  </w:pPr>
                  <w:r>
                    <w:rPr>
                      <w:rFonts w:ascii="Tahoma" w:hAnsi="Tahoma" w:cs="Tahoma"/>
                      <w:sz w:val="22"/>
                      <w:szCs w:val="22"/>
                      <w:vertAlign w:val="superscript"/>
                    </w:rPr>
                    <w:t>9</w:t>
                  </w:r>
                  <w:r>
                    <w:rPr>
                      <w:rFonts w:ascii="Tahoma" w:hAnsi="Tahoma" w:cs="Tahoma"/>
                      <w:sz w:val="22"/>
                      <w:szCs w:val="22"/>
                    </w:rPr>
                    <w:t>Выдача денежных средств в кассах Банка производится без ограничений (за исключением случаев, предусмотренных законодательством Российской Федерации) с предъявлением документа, удостоверяющего личность.</w:t>
                  </w:r>
                </w:p>
              </w:tc>
            </w:tr>
            <w:tr w:rsidR="005B68FD" w14:paraId="0AEE3E23" w14:textId="77777777" w:rsidTr="005B68FD">
              <w:trPr>
                <w:trHeight w:val="578"/>
              </w:trPr>
              <w:tc>
                <w:tcPr>
                  <w:tcW w:w="15209" w:type="dxa"/>
                  <w:tcBorders>
                    <w:top w:val="nil"/>
                    <w:left w:val="nil"/>
                    <w:bottom w:val="nil"/>
                    <w:right w:val="nil"/>
                  </w:tcBorders>
                  <w:shd w:val="clear" w:color="000000" w:fill="FFFFFF"/>
                  <w:hideMark/>
                </w:tcPr>
                <w:p w14:paraId="3283F22C" w14:textId="77777777" w:rsidR="005B68FD" w:rsidRDefault="005B68FD" w:rsidP="005B68FD">
                  <w:pPr>
                    <w:rPr>
                      <w:rFonts w:ascii="Tahoma" w:hAnsi="Tahoma" w:cs="Tahoma"/>
                      <w:sz w:val="22"/>
                      <w:szCs w:val="22"/>
                    </w:rPr>
                  </w:pPr>
                  <w:r>
                    <w:rPr>
                      <w:rFonts w:ascii="Tahoma" w:hAnsi="Tahoma" w:cs="Tahoma"/>
                      <w:sz w:val="22"/>
                      <w:szCs w:val="22"/>
                      <w:vertAlign w:val="superscript"/>
                    </w:rPr>
                    <w:t>10</w:t>
                  </w:r>
                  <w:r>
                    <w:rPr>
                      <w:rFonts w:ascii="Tahoma" w:hAnsi="Tahoma" w:cs="Tahoma"/>
                      <w:sz w:val="22"/>
                      <w:szCs w:val="22"/>
                    </w:rPr>
                    <w:t>Платежными системами и ТСП</w:t>
                  </w:r>
                  <w:r>
                    <w:rPr>
                      <w:rFonts w:ascii="Tahoma" w:hAnsi="Tahoma" w:cs="Tahoma"/>
                      <w:sz w:val="22"/>
                      <w:szCs w:val="22"/>
                      <w:vertAlign w:val="superscript"/>
                    </w:rPr>
                    <w:t>8</w:t>
                  </w:r>
                  <w:r>
                    <w:rPr>
                      <w:rFonts w:ascii="Tahoma" w:hAnsi="Tahoma" w:cs="Tahoma"/>
                      <w:sz w:val="22"/>
                      <w:szCs w:val="22"/>
                    </w:rPr>
                    <w:t xml:space="preserve"> могут быть установлены собственные ограничения по предоставлению данной услуги. О наличии услуги и ограничениях по ней необходимо уточнять в ТСП.</w:t>
                  </w:r>
                </w:p>
              </w:tc>
            </w:tr>
            <w:tr w:rsidR="005B68FD" w14:paraId="55B5BD55" w14:textId="77777777" w:rsidTr="005B68FD">
              <w:trPr>
                <w:trHeight w:val="780"/>
              </w:trPr>
              <w:tc>
                <w:tcPr>
                  <w:tcW w:w="15209" w:type="dxa"/>
                  <w:tcBorders>
                    <w:top w:val="nil"/>
                    <w:left w:val="nil"/>
                    <w:bottom w:val="nil"/>
                    <w:right w:val="nil"/>
                  </w:tcBorders>
                  <w:shd w:val="clear" w:color="000000" w:fill="FFFFFF"/>
                  <w:hideMark/>
                </w:tcPr>
                <w:p w14:paraId="70D27A96" w14:textId="77777777" w:rsidR="005B68FD" w:rsidRDefault="005B68FD" w:rsidP="005B68FD">
                  <w:pPr>
                    <w:rPr>
                      <w:rFonts w:ascii="Tahoma" w:hAnsi="Tahoma" w:cs="Tahoma"/>
                      <w:sz w:val="22"/>
                      <w:szCs w:val="22"/>
                    </w:rPr>
                  </w:pPr>
                  <w:r>
                    <w:rPr>
                      <w:rFonts w:ascii="Tahoma" w:hAnsi="Tahoma" w:cs="Tahoma"/>
                      <w:sz w:val="22"/>
                      <w:szCs w:val="22"/>
                      <w:vertAlign w:val="superscript"/>
                    </w:rPr>
                    <w:t>11</w:t>
                  </w:r>
                  <w:r>
                    <w:rPr>
                      <w:rFonts w:ascii="Tahoma" w:hAnsi="Tahoma" w:cs="Tahoma"/>
                      <w:sz w:val="22"/>
                      <w:szCs w:val="22"/>
                    </w:rPr>
                    <w:t>Счет Карты – текущий банковский счет, открываемый в соответствии с настоящим Тарифным планом Банком Клиенту в рамках заключения Договора Карты между Банком и Клиентом.</w:t>
                  </w:r>
                </w:p>
              </w:tc>
            </w:tr>
            <w:tr w:rsidR="005B68FD" w14:paraId="3E22A2CA" w14:textId="77777777" w:rsidTr="005B68FD">
              <w:trPr>
                <w:trHeight w:val="585"/>
              </w:trPr>
              <w:tc>
                <w:tcPr>
                  <w:tcW w:w="15209" w:type="dxa"/>
                  <w:tcBorders>
                    <w:top w:val="nil"/>
                    <w:left w:val="nil"/>
                    <w:bottom w:val="nil"/>
                    <w:right w:val="nil"/>
                  </w:tcBorders>
                  <w:shd w:val="clear" w:color="000000" w:fill="FFFFFF"/>
                  <w:hideMark/>
                </w:tcPr>
                <w:p w14:paraId="382D5500" w14:textId="77777777" w:rsidR="005B68FD" w:rsidRDefault="005B68FD" w:rsidP="005B68FD">
                  <w:pPr>
                    <w:rPr>
                      <w:rFonts w:ascii="Tahoma" w:hAnsi="Tahoma" w:cs="Tahoma"/>
                      <w:color w:val="000000"/>
                      <w:sz w:val="22"/>
                      <w:szCs w:val="22"/>
                    </w:rPr>
                  </w:pPr>
                  <w:r>
                    <w:rPr>
                      <w:rFonts w:ascii="Tahoma" w:hAnsi="Tahoma" w:cs="Tahoma"/>
                      <w:color w:val="000000"/>
                      <w:sz w:val="22"/>
                      <w:szCs w:val="22"/>
                      <w:vertAlign w:val="superscript"/>
                    </w:rPr>
                    <w:t>12</w:t>
                  </w:r>
                  <w:r>
                    <w:rPr>
                      <w:rFonts w:ascii="Tahoma" w:hAnsi="Tahoma" w:cs="Tahoma"/>
                      <w:color w:val="000000"/>
                      <w:sz w:val="22"/>
                      <w:szCs w:val="22"/>
                    </w:rPr>
                    <w:t>Возможно взимание дополнительной комиссии за взнос и выдачу наличных в розничной сети партнеров Банка, а также другими банками за взнос и выдачу наличных по Карте Банка в их устройствах.</w:t>
                  </w:r>
                </w:p>
              </w:tc>
            </w:tr>
            <w:tr w:rsidR="005B68FD" w14:paraId="162833C8" w14:textId="77777777" w:rsidTr="005B68FD">
              <w:trPr>
                <w:trHeight w:val="623"/>
              </w:trPr>
              <w:tc>
                <w:tcPr>
                  <w:tcW w:w="15209" w:type="dxa"/>
                  <w:tcBorders>
                    <w:top w:val="nil"/>
                    <w:left w:val="nil"/>
                    <w:bottom w:val="nil"/>
                    <w:right w:val="nil"/>
                  </w:tcBorders>
                  <w:shd w:val="clear" w:color="000000" w:fill="FFFFFF"/>
                  <w:hideMark/>
                </w:tcPr>
                <w:p w14:paraId="51CBE54A" w14:textId="77777777" w:rsidR="005B68FD" w:rsidRDefault="005B68FD" w:rsidP="005B68FD">
                  <w:pPr>
                    <w:rPr>
                      <w:rFonts w:ascii="Tahoma" w:hAnsi="Tahoma" w:cs="Tahoma"/>
                      <w:sz w:val="22"/>
                      <w:szCs w:val="22"/>
                    </w:rPr>
                  </w:pPr>
                  <w:r>
                    <w:rPr>
                      <w:rFonts w:ascii="Tahoma" w:hAnsi="Tahoma" w:cs="Tahoma"/>
                      <w:sz w:val="22"/>
                      <w:szCs w:val="22"/>
                      <w:vertAlign w:val="superscript"/>
                    </w:rPr>
                    <w:t>13</w:t>
                  </w:r>
                  <w:r>
                    <w:rPr>
                      <w:rFonts w:ascii="Tahoma" w:hAnsi="Tahoma" w:cs="Tahoma"/>
                      <w:sz w:val="22"/>
                      <w:szCs w:val="22"/>
                    </w:rPr>
                    <w:t>По безналичным операциям с МСС-кодами: 4829 «Денежные переводы», 6012 «Финансовые институты – торговля и услуги», 6538 «Денежные переводы с Карты на Карту», 6534 «Платежная операция», 6051 «Квази-Кэш в нефинансовые учреждения» – комиссия не взимается.</w:t>
                  </w:r>
                </w:p>
              </w:tc>
            </w:tr>
            <w:tr w:rsidR="005B68FD" w14:paraId="728D4BC6" w14:textId="77777777" w:rsidTr="005B68FD">
              <w:trPr>
                <w:trHeight w:val="600"/>
              </w:trPr>
              <w:tc>
                <w:tcPr>
                  <w:tcW w:w="15209" w:type="dxa"/>
                  <w:tcBorders>
                    <w:top w:val="nil"/>
                    <w:left w:val="nil"/>
                    <w:bottom w:val="nil"/>
                    <w:right w:val="nil"/>
                  </w:tcBorders>
                  <w:shd w:val="clear" w:color="auto" w:fill="auto"/>
                  <w:hideMark/>
                </w:tcPr>
                <w:p w14:paraId="1F5748B7" w14:textId="77777777" w:rsidR="005B68FD" w:rsidRDefault="005B68FD" w:rsidP="005B68FD">
                  <w:pPr>
                    <w:rPr>
                      <w:rFonts w:ascii="Tahoma" w:hAnsi="Tahoma" w:cs="Tahoma"/>
                      <w:sz w:val="22"/>
                      <w:szCs w:val="22"/>
                    </w:rPr>
                  </w:pPr>
                  <w:r>
                    <w:rPr>
                      <w:rFonts w:ascii="Tahoma" w:hAnsi="Tahoma" w:cs="Tahoma"/>
                      <w:sz w:val="22"/>
                      <w:szCs w:val="22"/>
                      <w:vertAlign w:val="superscript"/>
                    </w:rPr>
                    <w:t>14</w:t>
                  </w:r>
                  <w:r>
                    <w:rPr>
                      <w:rFonts w:ascii="Tahoma" w:hAnsi="Tahoma" w:cs="Tahoma"/>
                      <w:sz w:val="22"/>
                      <w:szCs w:val="22"/>
                    </w:rPr>
                    <w:t>В случае отсутствия на Счете Карты Клиента доступных денежных средств в размере, необходимом для списания комиссии за услугу, услуга Клиенту не оказывается, комиссия не взимается.</w:t>
                  </w:r>
                </w:p>
              </w:tc>
            </w:tr>
            <w:tr w:rsidR="005B68FD" w14:paraId="05B405BD" w14:textId="77777777" w:rsidTr="005B68FD">
              <w:trPr>
                <w:trHeight w:val="672"/>
              </w:trPr>
              <w:tc>
                <w:tcPr>
                  <w:tcW w:w="15209" w:type="dxa"/>
                  <w:tcBorders>
                    <w:top w:val="nil"/>
                    <w:left w:val="nil"/>
                    <w:bottom w:val="nil"/>
                    <w:right w:val="nil"/>
                  </w:tcBorders>
                  <w:shd w:val="clear" w:color="auto" w:fill="auto"/>
                  <w:hideMark/>
                </w:tcPr>
                <w:p w14:paraId="31A0ED15" w14:textId="77777777" w:rsidR="005B68FD" w:rsidRDefault="005B68FD" w:rsidP="005B68FD">
                  <w:pPr>
                    <w:rPr>
                      <w:rFonts w:ascii="Tahoma" w:hAnsi="Tahoma" w:cs="Tahoma"/>
                      <w:sz w:val="22"/>
                      <w:szCs w:val="22"/>
                    </w:rPr>
                  </w:pPr>
                  <w:r>
                    <w:rPr>
                      <w:rFonts w:ascii="Tahoma" w:hAnsi="Tahoma" w:cs="Tahoma"/>
                      <w:sz w:val="22"/>
                      <w:szCs w:val="22"/>
                      <w:vertAlign w:val="superscript"/>
                    </w:rPr>
                    <w:t>15</w:t>
                  </w:r>
                  <w:r>
                    <w:rPr>
                      <w:rFonts w:ascii="Tahoma" w:hAnsi="Tahoma" w:cs="Tahoma"/>
                      <w:sz w:val="22"/>
                      <w:szCs w:val="22"/>
                    </w:rPr>
                    <w:t>В соответствии с Программой лояльности для Клиентов-держателей банковских карт «Азиатско-Тихоокеанский Банк» (АО), размещённой на Сайте Банка www.atb.su и в Подразделениях Банка.</w:t>
                  </w:r>
                </w:p>
              </w:tc>
            </w:tr>
            <w:tr w:rsidR="005B68FD" w14:paraId="2F10F26E" w14:textId="77777777" w:rsidTr="005B68FD">
              <w:trPr>
                <w:trHeight w:val="1763"/>
              </w:trPr>
              <w:tc>
                <w:tcPr>
                  <w:tcW w:w="15209" w:type="dxa"/>
                  <w:tcBorders>
                    <w:top w:val="nil"/>
                    <w:left w:val="nil"/>
                    <w:bottom w:val="nil"/>
                    <w:right w:val="nil"/>
                  </w:tcBorders>
                  <w:shd w:val="clear" w:color="auto" w:fill="auto"/>
                  <w:hideMark/>
                </w:tcPr>
                <w:p w14:paraId="664CE598" w14:textId="77777777" w:rsidR="005B68FD" w:rsidRDefault="005B68FD" w:rsidP="005B68FD">
                  <w:pPr>
                    <w:jc w:val="both"/>
                    <w:rPr>
                      <w:rFonts w:ascii="Tahoma" w:hAnsi="Tahoma" w:cs="Tahoma"/>
                      <w:sz w:val="22"/>
                      <w:szCs w:val="22"/>
                    </w:rPr>
                  </w:pPr>
                  <w:r>
                    <w:rPr>
                      <w:rFonts w:ascii="Tahoma" w:hAnsi="Tahoma" w:cs="Tahoma"/>
                      <w:sz w:val="22"/>
                      <w:szCs w:val="22"/>
                      <w:vertAlign w:val="superscript"/>
                    </w:rPr>
                    <w:t>16</w:t>
                  </w:r>
                  <w:r>
                    <w:rPr>
                      <w:rFonts w:ascii="Tahoma" w:hAnsi="Tahoma" w:cs="Tahoma"/>
                      <w:sz w:val="22"/>
                      <w:szCs w:val="22"/>
                    </w:rPr>
                    <w:t>Подключение Программы лояльности Акционерного общества «Национальная система платежных карт» (по тексту – Программа лояльности АО «НСПК») происходит автоматически при выдаче Клиенту Карты платежной системы «Мир». Клиент имеет право выразить отказ в подключении к Программе лояльности АО «НСПК», а также подключать/отключать ее самостоятельно посредством личного кабинета Программы лояльности АО «НСПК». Подключение Программы лояльности АО «НСПК» происходит исключительно на условиях действующих Правил программы лояльности "Привет, мир!" Акционерного общества «Национальная система платежных карт», размещенных на его Официальном сайте privetmir.ru, и исключительно к Картам платежной системы «Мир».</w:t>
                  </w:r>
                </w:p>
              </w:tc>
            </w:tr>
            <w:tr w:rsidR="005B68FD" w14:paraId="2DD65085" w14:textId="77777777" w:rsidTr="005B68FD">
              <w:trPr>
                <w:trHeight w:val="2420"/>
              </w:trPr>
              <w:tc>
                <w:tcPr>
                  <w:tcW w:w="15209" w:type="dxa"/>
                  <w:tcBorders>
                    <w:top w:val="nil"/>
                    <w:left w:val="nil"/>
                    <w:bottom w:val="nil"/>
                    <w:right w:val="nil"/>
                  </w:tcBorders>
                  <w:shd w:val="clear" w:color="auto" w:fill="auto"/>
                  <w:hideMark/>
                </w:tcPr>
                <w:p w14:paraId="38312341" w14:textId="77777777" w:rsidR="005B68FD" w:rsidRPr="00013CFB" w:rsidRDefault="005B68FD" w:rsidP="005B68FD">
                  <w:pPr>
                    <w:jc w:val="both"/>
                    <w:rPr>
                      <w:rFonts w:ascii="Tahoma" w:hAnsi="Tahoma" w:cs="Tahoma"/>
                      <w:sz w:val="22"/>
                      <w:szCs w:val="22"/>
                    </w:rPr>
                  </w:pPr>
                  <w:r w:rsidRPr="00013CFB">
                    <w:rPr>
                      <w:rFonts w:ascii="Tahoma" w:hAnsi="Tahoma" w:cs="Tahoma"/>
                      <w:sz w:val="22"/>
                      <w:szCs w:val="22"/>
                      <w:vertAlign w:val="superscript"/>
                    </w:rPr>
                    <w:t>17</w:t>
                  </w:r>
                  <w:r w:rsidRPr="00013CFB">
                    <w:rPr>
                      <w:rFonts w:ascii="Tahoma" w:hAnsi="Tahoma" w:cs="Tahoma"/>
                      <w:sz w:val="22"/>
                      <w:szCs w:val="22"/>
                    </w:rPr>
                    <w:t>Банк не взимает комиссию за осуществление по поручению физического лица операций по переводу денежных средств в рублях в размере в совокупности ежемесячно не более 30 000 000 рублей с банковского счета/вклада физического лица, открытого в Банке, на банковский счет/вклад этого физического лица, открытый в другой кредитной организации, или специальный счет оператора финансовой платформы, бенефициаром по которому выступает это физическое лицо. Банк не устанавливает ограничения размера/количества таких операций в пределах указанного в настоящем пункте совокупного ежемесячного размера операций (вне зависимости от используемого при переводе денежных средств сервиса, в т.ч. при переводе в Сервисе быстрых платежей платежной системы Банка России, Каналах ДБО).</w:t>
                  </w:r>
                </w:p>
                <w:p w14:paraId="50223E6B" w14:textId="77777777" w:rsidR="005B68FD" w:rsidRPr="00013CFB" w:rsidRDefault="005B68FD" w:rsidP="005B68FD">
                  <w:pPr>
                    <w:jc w:val="both"/>
                    <w:rPr>
                      <w:rFonts w:ascii="Tahoma" w:hAnsi="Tahoma" w:cs="Tahoma"/>
                      <w:sz w:val="22"/>
                      <w:szCs w:val="22"/>
                    </w:rPr>
                  </w:pPr>
                  <w:r w:rsidRPr="00013CFB">
                    <w:rPr>
                      <w:rFonts w:ascii="Tahoma" w:hAnsi="Tahoma" w:cs="Tahoma"/>
                      <w:sz w:val="22"/>
                      <w:szCs w:val="22"/>
                    </w:rPr>
                    <w:t>Правила, определенные выше в настоящем пункте, не распространяются на: 1) операции по переводу денежных средств, осуществляемые при личном присутствии физического лица или его представителя в Банке; 2) операции по переводу денежных средств с использованием платежных карт, осуществляемые по правилам платежных систем, в рамках которых эмитируются платежные карты.</w:t>
                  </w:r>
                </w:p>
                <w:p w14:paraId="4CC1657D" w14:textId="77777777" w:rsidR="005B68FD" w:rsidRPr="00013CFB" w:rsidRDefault="005B68FD" w:rsidP="005B68FD">
                  <w:pPr>
                    <w:jc w:val="both"/>
                    <w:rPr>
                      <w:rFonts w:ascii="Tahoma" w:hAnsi="Tahoma" w:cs="Tahoma"/>
                      <w:sz w:val="22"/>
                      <w:szCs w:val="22"/>
                    </w:rPr>
                  </w:pPr>
                  <w:r w:rsidRPr="00013CFB">
                    <w:rPr>
                      <w:rFonts w:ascii="Tahoma" w:hAnsi="Tahoma" w:cs="Tahoma"/>
                      <w:sz w:val="22"/>
                      <w:szCs w:val="22"/>
                    </w:rPr>
                    <w:t>Банк не взимает комиссию за перечисление платы за жилое помещение и коммунальные услуги, пеней за несвоевременное и (или) неполное внесение платы за жилое помещение и коммунальные услуги для категории клиентов, перечень которых установлен Распоряжением Правительства РФ №1059-р от 27 апреля 2024 г. в соответствии со статьей 155 Жилищного кодекса РФ, статьей 29 Федерального закона «О банках и банковской де</w:t>
                  </w:r>
                  <w:r>
                    <w:rPr>
                      <w:rFonts w:ascii="Tahoma" w:hAnsi="Tahoma" w:cs="Tahoma"/>
                      <w:sz w:val="22"/>
                      <w:szCs w:val="22"/>
                    </w:rPr>
                    <w:t>ятельности».</w:t>
                  </w:r>
                </w:p>
                <w:p w14:paraId="325F455A" w14:textId="77777777" w:rsidR="005B68FD" w:rsidRPr="00013CFB" w:rsidRDefault="005B68FD" w:rsidP="005B68FD">
                  <w:pPr>
                    <w:jc w:val="both"/>
                    <w:rPr>
                      <w:rFonts w:ascii="Tahoma" w:hAnsi="Tahoma" w:cs="Tahoma"/>
                      <w:sz w:val="22"/>
                      <w:szCs w:val="22"/>
                    </w:rPr>
                  </w:pPr>
                  <w:r w:rsidRPr="00013CFB">
                    <w:rPr>
                      <w:rFonts w:ascii="Tahoma" w:hAnsi="Tahoma" w:cs="Tahoma"/>
                      <w:sz w:val="22"/>
                      <w:szCs w:val="22"/>
                    </w:rPr>
                    <w:t>Операции по счетам, вкладам и использование Карт осуществляются с учетом ограничений, установленных платежной системой АО НСПК Мир, иными уполномоченными лицами/органами Российской Федерации и иностранных государств, международными организациями, а также законодательством Российской Федерации, в том числе актами Центрального банка РФ.</w:t>
                  </w:r>
                </w:p>
                <w:p w14:paraId="0BF4587A" w14:textId="77777777" w:rsidR="005B68FD" w:rsidRPr="00013CFB" w:rsidRDefault="005B68FD" w:rsidP="005B68FD">
                  <w:pPr>
                    <w:jc w:val="both"/>
                    <w:rPr>
                      <w:rFonts w:ascii="Tahoma" w:hAnsi="Tahoma" w:cs="Tahoma"/>
                      <w:sz w:val="22"/>
                      <w:szCs w:val="22"/>
                    </w:rPr>
                  </w:pPr>
                  <w:r w:rsidRPr="00013CFB">
                    <w:rPr>
                      <w:rFonts w:ascii="Tahoma" w:hAnsi="Tahoma" w:cs="Tahoma"/>
                      <w:sz w:val="22"/>
                      <w:szCs w:val="22"/>
                    </w:rPr>
                    <w:t>Все предусмотренные настоящим документом платежи взимаются (списываются) Банком в порядке прямого дебетования (списание по заранее данному акцепту) со Счета Карты Клиента в Банке и(или) иных счетов Клиента в Банке в момент совершения соответствующей операции, если иное не установлено настоящим документом/договором с Клиентом.</w:t>
                  </w:r>
                </w:p>
                <w:p w14:paraId="37F2FE70" w14:textId="77777777" w:rsidR="005B68FD" w:rsidRDefault="005B68FD" w:rsidP="005B68FD">
                  <w:pPr>
                    <w:jc w:val="both"/>
                    <w:rPr>
                      <w:rFonts w:ascii="Tahoma" w:hAnsi="Tahoma" w:cs="Tahoma"/>
                      <w:sz w:val="22"/>
                      <w:szCs w:val="22"/>
                    </w:rPr>
                  </w:pPr>
                  <w:r w:rsidRPr="00013CFB">
                    <w:rPr>
                      <w:rFonts w:ascii="Tahoma" w:hAnsi="Tahoma" w:cs="Tahoma"/>
                      <w:sz w:val="22"/>
                      <w:szCs w:val="22"/>
                    </w:rPr>
                    <w:t>Не указанные в настоящем документе термины применяются в значении, указанном в Универсальном договоре банковского обслуживания физических лиц «Азиатско-Тихоокеанский Банк» (АО), размещённом на Сайте Банка www.atb.su, Подразделениях Банка, Интернет-банке «АТБ-Онлайн»/Мобильном ба</w:t>
                  </w:r>
                  <w:r>
                    <w:rPr>
                      <w:rFonts w:ascii="Tahoma" w:hAnsi="Tahoma" w:cs="Tahoma"/>
                      <w:sz w:val="22"/>
                      <w:szCs w:val="22"/>
                    </w:rPr>
                    <w:t>нке «АТБ банк»</w:t>
                  </w:r>
                </w:p>
                <w:p w14:paraId="0017D86C" w14:textId="77777777" w:rsidR="005B68FD" w:rsidRDefault="005B68FD" w:rsidP="005B68FD">
                  <w:pPr>
                    <w:jc w:val="both"/>
                    <w:rPr>
                      <w:rFonts w:ascii="Tahoma" w:hAnsi="Tahoma" w:cs="Tahoma"/>
                      <w:sz w:val="22"/>
                      <w:szCs w:val="22"/>
                    </w:rPr>
                  </w:pPr>
                  <w:r w:rsidRPr="00013CFB">
                    <w:rPr>
                      <w:rFonts w:ascii="Tahoma" w:hAnsi="Tahoma" w:cs="Tahoma"/>
                      <w:sz w:val="22"/>
                      <w:szCs w:val="22"/>
                    </w:rPr>
                    <w:tab/>
                  </w:r>
                </w:p>
              </w:tc>
            </w:tr>
          </w:tbl>
          <w:p w14:paraId="11DBDB62" w14:textId="77777777" w:rsidR="005B68FD" w:rsidRPr="005379F0" w:rsidRDefault="005B68FD" w:rsidP="005B68FD">
            <w:pPr>
              <w:rPr>
                <w:rFonts w:ascii="Tahoma" w:hAnsi="Tahoma" w:cs="Tahoma"/>
                <w:sz w:val="22"/>
                <w:szCs w:val="22"/>
              </w:rPr>
            </w:pPr>
          </w:p>
        </w:tc>
      </w:tr>
    </w:tbl>
    <w:p w14:paraId="5FC35496" w14:textId="77777777" w:rsidR="00D4302B" w:rsidRDefault="00D4302B" w:rsidP="00D4302B">
      <w:pPr>
        <w:rPr>
          <w:rFonts w:ascii="Tahoma" w:hAnsi="Tahoma" w:cs="Tahoma"/>
          <w:b/>
          <w:bCs/>
          <w:iCs/>
          <w:color w:val="E36C0A"/>
          <w:sz w:val="22"/>
          <w:szCs w:val="22"/>
        </w:rPr>
      </w:pPr>
    </w:p>
    <w:p w14:paraId="361A6D53" w14:textId="152CDC36" w:rsidR="009D50B5" w:rsidRPr="009D50B5" w:rsidRDefault="00D4302B" w:rsidP="000B3718">
      <w:pPr>
        <w:pStyle w:val="a5"/>
      </w:pPr>
      <w:r>
        <w:t>4.2</w:t>
      </w:r>
      <w:r w:rsidR="007C1582">
        <w:t>.</w:t>
      </w:r>
      <w:r w:rsidR="007C1582">
        <w:tab/>
      </w:r>
      <w:r w:rsidR="009D50B5" w:rsidRPr="009D50B5">
        <w:t>ТАРИФНЫЙ ПЛАН «ПРИМОРЕЦ»</w:t>
      </w:r>
      <w:r w:rsidR="009D50B5">
        <w:rPr>
          <w:noProof/>
        </w:rPr>
        <mc:AlternateContent>
          <mc:Choice Requires="wps">
            <w:drawing>
              <wp:anchor distT="0" distB="0" distL="114300" distR="114300" simplePos="0" relativeHeight="251652608" behindDoc="0" locked="0" layoutInCell="1" allowOverlap="1" wp14:anchorId="34B0FFD6" wp14:editId="3AAAD525">
                <wp:simplePos x="0" y="0"/>
                <wp:positionH relativeFrom="column">
                  <wp:posOffset>-5715</wp:posOffset>
                </wp:positionH>
                <wp:positionV relativeFrom="paragraph">
                  <wp:posOffset>176530</wp:posOffset>
                </wp:positionV>
                <wp:extent cx="5676900" cy="447675"/>
                <wp:effectExtent l="0" t="0" r="19050" b="28575"/>
                <wp:wrapNone/>
                <wp:docPr id="1278" name="Прямая соединительная линия 1278"/>
                <wp:cNvGraphicFramePr/>
                <a:graphic xmlns:a="http://schemas.openxmlformats.org/drawingml/2006/main">
                  <a:graphicData uri="http://schemas.microsoft.com/office/word/2010/wordprocessingShape">
                    <wps:wsp>
                      <wps:cNvCnPr/>
                      <wps:spPr>
                        <a:xfrm>
                          <a:off x="0" y="0"/>
                          <a:ext cx="567690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E01C47" id="Прямая соединительная линия 1278"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45pt,13.9pt" to="446.55pt,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" strokecolor="black [3040]"/>
            </w:pict>
          </mc:Fallback>
        </mc:AlternateContent>
      </w:r>
    </w:p>
    <w:tbl>
      <w:tblPr>
        <w:tblW w:w="29380" w:type="dxa"/>
        <w:tblInd w:w="-5" w:type="dxa"/>
        <w:tblLook w:val="04A0" w:firstRow="1" w:lastRow="0" w:firstColumn="1" w:lastColumn="0" w:noHBand="0" w:noVBand="1"/>
      </w:tblPr>
      <w:tblGrid>
        <w:gridCol w:w="740"/>
        <w:gridCol w:w="6631"/>
        <w:gridCol w:w="7655"/>
        <w:gridCol w:w="14354"/>
      </w:tblGrid>
      <w:tr w:rsidR="009D50B5" w14:paraId="3CA84FFC" w14:textId="77777777" w:rsidTr="00AA653D">
        <w:trPr>
          <w:gridAfter w:val="1"/>
          <w:wAfter w:w="14354" w:type="dxa"/>
          <w:trHeight w:val="699"/>
        </w:trPr>
        <w:tc>
          <w:tcPr>
            <w:tcW w:w="7371" w:type="dxa"/>
            <w:gridSpan w:val="2"/>
            <w:tcBorders>
              <w:top w:val="nil"/>
              <w:left w:val="single" w:sz="4" w:space="0" w:color="auto"/>
              <w:bottom w:val="single" w:sz="4" w:space="0" w:color="auto"/>
              <w:right w:val="single" w:sz="4" w:space="0" w:color="000000"/>
            </w:tcBorders>
            <w:shd w:val="clear" w:color="000000" w:fill="808080"/>
            <w:vAlign w:val="center"/>
            <w:hideMark/>
          </w:tcPr>
          <w:p w14:paraId="2EE0D342" w14:textId="77777777" w:rsidR="009D50B5" w:rsidRDefault="009D50B5" w:rsidP="00AA653D">
            <w:pPr>
              <w:rPr>
                <w:rFonts w:ascii="Tahoma" w:hAnsi="Tahoma" w:cs="Tahoma"/>
                <w:b/>
                <w:bCs/>
                <w:color w:val="FFFFFF"/>
                <w:sz w:val="18"/>
                <w:szCs w:val="18"/>
              </w:rPr>
            </w:pPr>
            <w:r>
              <w:rPr>
                <w:rFonts w:ascii="Tahoma" w:hAnsi="Tahoma" w:cs="Tahoma"/>
                <w:b/>
                <w:bCs/>
                <w:color w:val="FFFFFF"/>
                <w:sz w:val="18"/>
                <w:szCs w:val="18"/>
              </w:rPr>
              <w:t xml:space="preserve">                                                                                                                            Тип банковской карты</w:t>
            </w:r>
          </w:p>
          <w:p w14:paraId="0215571C" w14:textId="77777777" w:rsidR="009D50B5" w:rsidRDefault="009D50B5" w:rsidP="00AA653D">
            <w:pPr>
              <w:rPr>
                <w:rFonts w:ascii="Tahoma" w:hAnsi="Tahoma" w:cs="Tahoma"/>
                <w:b/>
                <w:bCs/>
                <w:color w:val="FFFFFF"/>
                <w:sz w:val="18"/>
                <w:szCs w:val="18"/>
              </w:rPr>
            </w:pPr>
            <w:r>
              <w:rPr>
                <w:rFonts w:ascii="Tahoma" w:hAnsi="Tahoma" w:cs="Tahoma"/>
                <w:b/>
                <w:bCs/>
                <w:color w:val="FFFFFF"/>
                <w:sz w:val="18"/>
                <w:szCs w:val="18"/>
              </w:rPr>
              <w:t xml:space="preserve">Условия предоставления услуги                                                                 </w:t>
            </w:r>
          </w:p>
        </w:tc>
        <w:tc>
          <w:tcPr>
            <w:tcW w:w="7655" w:type="dxa"/>
            <w:tcBorders>
              <w:top w:val="nil"/>
              <w:left w:val="nil"/>
              <w:bottom w:val="single" w:sz="4" w:space="0" w:color="auto"/>
              <w:right w:val="nil"/>
            </w:tcBorders>
            <w:shd w:val="clear" w:color="000000" w:fill="808080"/>
            <w:vAlign w:val="center"/>
            <w:hideMark/>
          </w:tcPr>
          <w:p w14:paraId="07BB6F45" w14:textId="77777777" w:rsidR="009D50B5" w:rsidRDefault="009D50B5" w:rsidP="00AA653D">
            <w:pPr>
              <w:jc w:val="center"/>
              <w:rPr>
                <w:rFonts w:ascii="Tahoma" w:hAnsi="Tahoma" w:cs="Tahoma"/>
                <w:b/>
                <w:bCs/>
                <w:color w:val="FFFFFF"/>
                <w:sz w:val="18"/>
                <w:szCs w:val="18"/>
              </w:rPr>
            </w:pPr>
            <w:r>
              <w:rPr>
                <w:rFonts w:ascii="Tahoma" w:hAnsi="Tahoma" w:cs="Tahoma"/>
                <w:b/>
                <w:bCs/>
                <w:color w:val="FFFFFF"/>
                <w:sz w:val="18"/>
                <w:szCs w:val="18"/>
              </w:rPr>
              <w:t>МИР Неименная</w:t>
            </w:r>
          </w:p>
        </w:tc>
      </w:tr>
      <w:tr w:rsidR="009D50B5" w14:paraId="07CF0DDD" w14:textId="77777777" w:rsidTr="00AA653D">
        <w:trPr>
          <w:gridAfter w:val="1"/>
          <w:wAfter w:w="14354" w:type="dxa"/>
          <w:trHeight w:val="255"/>
        </w:trPr>
        <w:tc>
          <w:tcPr>
            <w:tcW w:w="740" w:type="dxa"/>
            <w:tcBorders>
              <w:top w:val="nil"/>
              <w:left w:val="single" w:sz="4" w:space="0" w:color="auto"/>
              <w:bottom w:val="single" w:sz="4" w:space="0" w:color="auto"/>
              <w:right w:val="single" w:sz="4" w:space="0" w:color="auto"/>
            </w:tcBorders>
            <w:shd w:val="clear" w:color="000000" w:fill="808080"/>
            <w:vAlign w:val="center"/>
            <w:hideMark/>
          </w:tcPr>
          <w:p w14:paraId="20113D92" w14:textId="77777777" w:rsidR="009D50B5" w:rsidRDefault="009D50B5" w:rsidP="00AA653D">
            <w:pPr>
              <w:jc w:val="center"/>
              <w:rPr>
                <w:rFonts w:ascii="Tahoma" w:hAnsi="Tahoma" w:cs="Tahoma"/>
                <w:b/>
                <w:bCs/>
                <w:color w:val="FFFFFF"/>
                <w:sz w:val="18"/>
                <w:szCs w:val="18"/>
              </w:rPr>
            </w:pPr>
            <w:r>
              <w:rPr>
                <w:rFonts w:ascii="Tahoma" w:hAnsi="Tahoma" w:cs="Tahoma"/>
                <w:b/>
                <w:bCs/>
                <w:color w:val="FFFFFF"/>
                <w:sz w:val="18"/>
                <w:szCs w:val="18"/>
              </w:rPr>
              <w:t>1.</w:t>
            </w:r>
          </w:p>
        </w:tc>
        <w:tc>
          <w:tcPr>
            <w:tcW w:w="14286" w:type="dxa"/>
            <w:gridSpan w:val="2"/>
            <w:tcBorders>
              <w:top w:val="nil"/>
              <w:left w:val="nil"/>
              <w:bottom w:val="single" w:sz="4" w:space="0" w:color="auto"/>
              <w:right w:val="single" w:sz="4" w:space="0" w:color="auto"/>
            </w:tcBorders>
            <w:shd w:val="clear" w:color="000000" w:fill="808080"/>
            <w:vAlign w:val="center"/>
            <w:hideMark/>
          </w:tcPr>
          <w:p w14:paraId="5073DC16" w14:textId="77777777" w:rsidR="009D50B5" w:rsidRDefault="009D50B5" w:rsidP="00AA653D">
            <w:pPr>
              <w:rPr>
                <w:rFonts w:ascii="Tahoma" w:hAnsi="Tahoma" w:cs="Tahoma"/>
                <w:b/>
                <w:bCs/>
                <w:color w:val="FFFFFF"/>
                <w:sz w:val="18"/>
                <w:szCs w:val="18"/>
              </w:rPr>
            </w:pPr>
            <w:r>
              <w:rPr>
                <w:rFonts w:ascii="Tahoma" w:hAnsi="Tahoma" w:cs="Tahoma"/>
                <w:b/>
                <w:bCs/>
                <w:color w:val="FFFFFF"/>
                <w:sz w:val="18"/>
                <w:szCs w:val="18"/>
              </w:rPr>
              <w:t>Условия предоставления тарифного плана:</w:t>
            </w:r>
          </w:p>
        </w:tc>
      </w:tr>
      <w:tr w:rsidR="009D50B5" w14:paraId="0E61FA1D" w14:textId="77777777" w:rsidTr="00AA653D">
        <w:trPr>
          <w:gridAfter w:val="1"/>
          <w:wAfter w:w="14354" w:type="dxa"/>
          <w:trHeight w:val="2055"/>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2D5390E8"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1.1.</w:t>
            </w:r>
          </w:p>
        </w:tc>
        <w:tc>
          <w:tcPr>
            <w:tcW w:w="6631" w:type="dxa"/>
            <w:tcBorders>
              <w:top w:val="nil"/>
              <w:left w:val="nil"/>
              <w:bottom w:val="single" w:sz="4" w:space="0" w:color="auto"/>
              <w:right w:val="single" w:sz="4" w:space="0" w:color="auto"/>
            </w:tcBorders>
            <w:shd w:val="clear" w:color="auto" w:fill="auto"/>
            <w:vAlign w:val="center"/>
            <w:hideMark/>
          </w:tcPr>
          <w:p w14:paraId="79EAE1E7" w14:textId="77777777" w:rsidR="009D50B5" w:rsidRDefault="009D50B5" w:rsidP="00AA653D">
            <w:pPr>
              <w:rPr>
                <w:rFonts w:ascii="Tahoma" w:hAnsi="Tahoma" w:cs="Tahoma"/>
                <w:color w:val="000000"/>
                <w:sz w:val="18"/>
                <w:szCs w:val="18"/>
              </w:rPr>
            </w:pPr>
            <w:r>
              <w:rPr>
                <w:rFonts w:ascii="Tahoma" w:hAnsi="Tahoma" w:cs="Tahoma"/>
                <w:color w:val="000000"/>
                <w:sz w:val="18"/>
                <w:szCs w:val="18"/>
              </w:rPr>
              <w:t>Категории клиента</w:t>
            </w:r>
          </w:p>
        </w:tc>
        <w:tc>
          <w:tcPr>
            <w:tcW w:w="7655" w:type="dxa"/>
            <w:tcBorders>
              <w:top w:val="nil"/>
              <w:left w:val="nil"/>
              <w:bottom w:val="single" w:sz="4" w:space="0" w:color="auto"/>
              <w:right w:val="single" w:sz="4" w:space="0" w:color="auto"/>
            </w:tcBorders>
            <w:shd w:val="clear" w:color="auto" w:fill="auto"/>
            <w:vAlign w:val="center"/>
            <w:hideMark/>
          </w:tcPr>
          <w:p w14:paraId="42E96204" w14:textId="77777777" w:rsidR="009D50B5" w:rsidRDefault="009D50B5" w:rsidP="00AA653D">
            <w:pPr>
              <w:rPr>
                <w:rFonts w:ascii="Tahoma" w:hAnsi="Tahoma" w:cs="Tahoma"/>
                <w:sz w:val="18"/>
                <w:szCs w:val="18"/>
              </w:rPr>
            </w:pPr>
            <w:r>
              <w:rPr>
                <w:rFonts w:ascii="Tahoma" w:hAnsi="Tahoma" w:cs="Tahoma"/>
                <w:sz w:val="18"/>
                <w:szCs w:val="18"/>
              </w:rPr>
              <w:t>Тарифный план предоставляется клиентам-гражданам Российской Федерации, достигшим возраста 14 лет, и относящимся к категориям граждан, указанным в п.2.1.  Постановления Администрации Приморского края № 460 от 18.07.2019 г., являющимся получателями мер социальной поддержки на территории Приморского края.</w:t>
            </w:r>
            <w:r>
              <w:rPr>
                <w:rFonts w:ascii="Tahoma" w:hAnsi="Tahoma" w:cs="Tahoma"/>
                <w:sz w:val="18"/>
                <w:szCs w:val="18"/>
              </w:rPr>
              <w:br/>
              <w:t>Одному Клиенту может быть предоставлена только одна основная карта типа ПС "Мир" по ТП "Приморец" (выпуск дополнительной карты не предусмотрен).</w:t>
            </w:r>
          </w:p>
        </w:tc>
      </w:tr>
      <w:tr w:rsidR="009D50B5" w14:paraId="07C2F778" w14:textId="77777777" w:rsidTr="00AA653D">
        <w:trPr>
          <w:gridAfter w:val="1"/>
          <w:wAfter w:w="14354" w:type="dxa"/>
          <w:trHeight w:val="255"/>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5FC4E906"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1.2.</w:t>
            </w:r>
          </w:p>
        </w:tc>
        <w:tc>
          <w:tcPr>
            <w:tcW w:w="6631" w:type="dxa"/>
            <w:tcBorders>
              <w:top w:val="nil"/>
              <w:left w:val="nil"/>
              <w:bottom w:val="single" w:sz="4" w:space="0" w:color="auto"/>
              <w:right w:val="single" w:sz="4" w:space="0" w:color="auto"/>
            </w:tcBorders>
            <w:shd w:val="clear" w:color="auto" w:fill="auto"/>
            <w:vAlign w:val="center"/>
            <w:hideMark/>
          </w:tcPr>
          <w:p w14:paraId="202C77C1" w14:textId="77777777" w:rsidR="009D50B5" w:rsidRDefault="009D50B5" w:rsidP="00AA653D">
            <w:pPr>
              <w:rPr>
                <w:rFonts w:ascii="Tahoma" w:hAnsi="Tahoma" w:cs="Tahoma"/>
                <w:color w:val="000000"/>
                <w:sz w:val="18"/>
                <w:szCs w:val="18"/>
              </w:rPr>
            </w:pPr>
            <w:r>
              <w:rPr>
                <w:rFonts w:ascii="Tahoma" w:hAnsi="Tahoma" w:cs="Tahoma"/>
                <w:color w:val="000000"/>
                <w:sz w:val="18"/>
                <w:szCs w:val="18"/>
              </w:rPr>
              <w:t>тип банковской карты</w:t>
            </w:r>
          </w:p>
        </w:tc>
        <w:tc>
          <w:tcPr>
            <w:tcW w:w="7655" w:type="dxa"/>
            <w:tcBorders>
              <w:top w:val="nil"/>
              <w:left w:val="nil"/>
              <w:bottom w:val="single" w:sz="4" w:space="0" w:color="auto"/>
              <w:right w:val="single" w:sz="4" w:space="0" w:color="auto"/>
            </w:tcBorders>
            <w:shd w:val="clear" w:color="auto" w:fill="auto"/>
            <w:vAlign w:val="center"/>
            <w:hideMark/>
          </w:tcPr>
          <w:p w14:paraId="64FAE228" w14:textId="77777777" w:rsidR="009D50B5" w:rsidRDefault="009D50B5" w:rsidP="00AA653D">
            <w:pPr>
              <w:jc w:val="center"/>
              <w:rPr>
                <w:rFonts w:ascii="Tahoma" w:hAnsi="Tahoma" w:cs="Tahoma"/>
                <w:b/>
                <w:bCs/>
                <w:sz w:val="18"/>
                <w:szCs w:val="18"/>
              </w:rPr>
            </w:pPr>
            <w:r>
              <w:rPr>
                <w:rFonts w:ascii="Tahoma" w:hAnsi="Tahoma" w:cs="Tahoma"/>
                <w:b/>
                <w:bCs/>
                <w:sz w:val="18"/>
                <w:szCs w:val="18"/>
              </w:rPr>
              <w:t>Дебетовая</w:t>
            </w:r>
          </w:p>
        </w:tc>
      </w:tr>
      <w:tr w:rsidR="009D50B5" w14:paraId="62E87D3E" w14:textId="77777777" w:rsidTr="00AA653D">
        <w:trPr>
          <w:gridAfter w:val="1"/>
          <w:wAfter w:w="14354" w:type="dxa"/>
          <w:trHeight w:val="288"/>
        </w:trPr>
        <w:tc>
          <w:tcPr>
            <w:tcW w:w="740" w:type="dxa"/>
            <w:tcBorders>
              <w:top w:val="nil"/>
              <w:left w:val="single" w:sz="4" w:space="0" w:color="auto"/>
              <w:bottom w:val="single" w:sz="4" w:space="0" w:color="auto"/>
              <w:right w:val="single" w:sz="4" w:space="0" w:color="auto"/>
            </w:tcBorders>
            <w:shd w:val="clear" w:color="000000" w:fill="808080"/>
            <w:vAlign w:val="center"/>
            <w:hideMark/>
          </w:tcPr>
          <w:p w14:paraId="5D9C6F63" w14:textId="77777777" w:rsidR="009D50B5" w:rsidRDefault="009D50B5" w:rsidP="00AA653D">
            <w:pPr>
              <w:jc w:val="center"/>
              <w:rPr>
                <w:rFonts w:ascii="Tahoma" w:hAnsi="Tahoma" w:cs="Tahoma"/>
                <w:b/>
                <w:bCs/>
                <w:color w:val="FFFFFF"/>
                <w:sz w:val="18"/>
                <w:szCs w:val="18"/>
              </w:rPr>
            </w:pPr>
            <w:r>
              <w:rPr>
                <w:rFonts w:ascii="Tahoma" w:hAnsi="Tahoma" w:cs="Tahoma"/>
                <w:b/>
                <w:bCs/>
                <w:color w:val="FFFFFF"/>
                <w:sz w:val="18"/>
                <w:szCs w:val="18"/>
              </w:rPr>
              <w:t>2.</w:t>
            </w:r>
          </w:p>
        </w:tc>
        <w:tc>
          <w:tcPr>
            <w:tcW w:w="14286" w:type="dxa"/>
            <w:gridSpan w:val="2"/>
            <w:tcBorders>
              <w:top w:val="single" w:sz="4" w:space="0" w:color="auto"/>
              <w:left w:val="nil"/>
              <w:bottom w:val="single" w:sz="4" w:space="0" w:color="auto"/>
              <w:right w:val="single" w:sz="4" w:space="0" w:color="auto"/>
            </w:tcBorders>
            <w:shd w:val="clear" w:color="000000" w:fill="808080"/>
            <w:vAlign w:val="center"/>
            <w:hideMark/>
          </w:tcPr>
          <w:p w14:paraId="556A1D07" w14:textId="77777777" w:rsidR="009D50B5" w:rsidRDefault="009D50B5" w:rsidP="00AA653D">
            <w:pPr>
              <w:rPr>
                <w:rFonts w:ascii="Tahoma" w:hAnsi="Tahoma" w:cs="Tahoma"/>
                <w:b/>
                <w:bCs/>
                <w:color w:val="FFFFFF"/>
                <w:sz w:val="18"/>
                <w:szCs w:val="18"/>
              </w:rPr>
            </w:pPr>
            <w:r>
              <w:rPr>
                <w:rFonts w:ascii="Tahoma" w:hAnsi="Tahoma" w:cs="Tahoma"/>
                <w:b/>
                <w:bCs/>
                <w:color w:val="FFFFFF"/>
                <w:sz w:val="18"/>
                <w:szCs w:val="18"/>
              </w:rPr>
              <w:t>Стоимость обслуживания</w:t>
            </w:r>
          </w:p>
        </w:tc>
      </w:tr>
      <w:tr w:rsidR="009D50B5" w14:paraId="7C634EF7" w14:textId="77777777" w:rsidTr="00AA653D">
        <w:trPr>
          <w:gridAfter w:val="1"/>
          <w:wAfter w:w="14354" w:type="dxa"/>
          <w:trHeight w:val="255"/>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0C199C5A"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2.1.</w:t>
            </w:r>
          </w:p>
        </w:tc>
        <w:tc>
          <w:tcPr>
            <w:tcW w:w="6631" w:type="dxa"/>
            <w:tcBorders>
              <w:top w:val="nil"/>
              <w:left w:val="nil"/>
              <w:bottom w:val="single" w:sz="4" w:space="0" w:color="auto"/>
              <w:right w:val="single" w:sz="4" w:space="0" w:color="auto"/>
            </w:tcBorders>
            <w:shd w:val="clear" w:color="auto" w:fill="auto"/>
            <w:vAlign w:val="center"/>
            <w:hideMark/>
          </w:tcPr>
          <w:p w14:paraId="4D8FE097" w14:textId="77777777" w:rsidR="009D50B5" w:rsidRDefault="009D50B5" w:rsidP="00AA653D">
            <w:pPr>
              <w:rPr>
                <w:rFonts w:ascii="Tahoma" w:hAnsi="Tahoma" w:cs="Tahoma"/>
                <w:color w:val="000000"/>
                <w:sz w:val="18"/>
                <w:szCs w:val="18"/>
              </w:rPr>
            </w:pPr>
            <w:r>
              <w:rPr>
                <w:rFonts w:ascii="Tahoma" w:hAnsi="Tahoma" w:cs="Tahoma"/>
                <w:color w:val="000000"/>
                <w:sz w:val="18"/>
                <w:szCs w:val="18"/>
              </w:rPr>
              <w:t>ежемесячное обслуживание счета</w:t>
            </w:r>
          </w:p>
        </w:tc>
        <w:tc>
          <w:tcPr>
            <w:tcW w:w="7655" w:type="dxa"/>
            <w:tcBorders>
              <w:top w:val="nil"/>
              <w:left w:val="nil"/>
              <w:bottom w:val="single" w:sz="4" w:space="0" w:color="auto"/>
              <w:right w:val="single" w:sz="4" w:space="0" w:color="auto"/>
            </w:tcBorders>
            <w:shd w:val="clear" w:color="auto" w:fill="auto"/>
            <w:vAlign w:val="center"/>
            <w:hideMark/>
          </w:tcPr>
          <w:p w14:paraId="23A7EE07" w14:textId="77777777" w:rsidR="009D50B5" w:rsidRDefault="009D50B5" w:rsidP="00AA653D">
            <w:pPr>
              <w:jc w:val="center"/>
              <w:rPr>
                <w:rFonts w:ascii="Tahoma" w:hAnsi="Tahoma" w:cs="Tahoma"/>
                <w:b/>
                <w:bCs/>
                <w:sz w:val="18"/>
                <w:szCs w:val="18"/>
              </w:rPr>
            </w:pPr>
            <w:r>
              <w:rPr>
                <w:rFonts w:ascii="Tahoma" w:hAnsi="Tahoma" w:cs="Tahoma"/>
                <w:b/>
                <w:bCs/>
                <w:sz w:val="18"/>
                <w:szCs w:val="18"/>
              </w:rPr>
              <w:t>БЕСПЛАТНО</w:t>
            </w:r>
          </w:p>
        </w:tc>
      </w:tr>
      <w:tr w:rsidR="009D50B5" w14:paraId="52B76517" w14:textId="77777777" w:rsidTr="00AA653D">
        <w:trPr>
          <w:gridAfter w:val="1"/>
          <w:wAfter w:w="14354" w:type="dxa"/>
          <w:trHeight w:val="288"/>
        </w:trPr>
        <w:tc>
          <w:tcPr>
            <w:tcW w:w="740" w:type="dxa"/>
            <w:tcBorders>
              <w:top w:val="nil"/>
              <w:left w:val="single" w:sz="4" w:space="0" w:color="auto"/>
              <w:bottom w:val="single" w:sz="4" w:space="0" w:color="auto"/>
              <w:right w:val="single" w:sz="4" w:space="0" w:color="auto"/>
            </w:tcBorders>
            <w:shd w:val="clear" w:color="000000" w:fill="808080"/>
            <w:vAlign w:val="center"/>
            <w:hideMark/>
          </w:tcPr>
          <w:p w14:paraId="08D9646D" w14:textId="77777777" w:rsidR="009D50B5" w:rsidRDefault="009D50B5" w:rsidP="00AA653D">
            <w:pPr>
              <w:jc w:val="center"/>
              <w:rPr>
                <w:rFonts w:ascii="Tahoma" w:hAnsi="Tahoma" w:cs="Tahoma"/>
                <w:b/>
                <w:bCs/>
                <w:color w:val="FFFFFF"/>
                <w:sz w:val="18"/>
                <w:szCs w:val="18"/>
              </w:rPr>
            </w:pPr>
            <w:r>
              <w:rPr>
                <w:rFonts w:ascii="Tahoma" w:hAnsi="Tahoma" w:cs="Tahoma"/>
                <w:b/>
                <w:bCs/>
                <w:color w:val="FFFFFF"/>
                <w:sz w:val="18"/>
                <w:szCs w:val="18"/>
              </w:rPr>
              <w:t>3.</w:t>
            </w:r>
          </w:p>
        </w:tc>
        <w:tc>
          <w:tcPr>
            <w:tcW w:w="14286" w:type="dxa"/>
            <w:gridSpan w:val="2"/>
            <w:tcBorders>
              <w:top w:val="single" w:sz="4" w:space="0" w:color="auto"/>
              <w:left w:val="nil"/>
              <w:bottom w:val="single" w:sz="4" w:space="0" w:color="auto"/>
              <w:right w:val="single" w:sz="4" w:space="0" w:color="auto"/>
            </w:tcBorders>
            <w:shd w:val="clear" w:color="000000" w:fill="808080"/>
            <w:vAlign w:val="center"/>
            <w:hideMark/>
          </w:tcPr>
          <w:p w14:paraId="16EE6578" w14:textId="77777777" w:rsidR="009D50B5" w:rsidRDefault="009D50B5" w:rsidP="00AA653D">
            <w:pPr>
              <w:rPr>
                <w:rFonts w:ascii="Tahoma" w:hAnsi="Tahoma" w:cs="Tahoma"/>
                <w:b/>
                <w:bCs/>
                <w:color w:val="FFFFFF"/>
                <w:sz w:val="18"/>
                <w:szCs w:val="18"/>
              </w:rPr>
            </w:pPr>
            <w:r>
              <w:rPr>
                <w:rFonts w:ascii="Tahoma" w:hAnsi="Tahoma" w:cs="Tahoma"/>
                <w:b/>
                <w:bCs/>
                <w:color w:val="FFFFFF"/>
                <w:sz w:val="18"/>
                <w:szCs w:val="18"/>
              </w:rPr>
              <w:t>Условия выпуска и обслуживания Банковской карты</w:t>
            </w:r>
          </w:p>
        </w:tc>
      </w:tr>
      <w:tr w:rsidR="009D50B5" w14:paraId="6709591D" w14:textId="77777777" w:rsidTr="00AA653D">
        <w:trPr>
          <w:gridAfter w:val="1"/>
          <w:wAfter w:w="14354" w:type="dxa"/>
          <w:trHeight w:val="255"/>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60ADFB8B"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3.1.</w:t>
            </w:r>
          </w:p>
        </w:tc>
        <w:tc>
          <w:tcPr>
            <w:tcW w:w="6631" w:type="dxa"/>
            <w:tcBorders>
              <w:top w:val="nil"/>
              <w:left w:val="nil"/>
              <w:bottom w:val="single" w:sz="4" w:space="0" w:color="auto"/>
              <w:right w:val="single" w:sz="4" w:space="0" w:color="auto"/>
            </w:tcBorders>
            <w:shd w:val="clear" w:color="auto" w:fill="auto"/>
            <w:vAlign w:val="center"/>
            <w:hideMark/>
          </w:tcPr>
          <w:p w14:paraId="0D97FBAF" w14:textId="77777777" w:rsidR="009D50B5" w:rsidRDefault="009D50B5" w:rsidP="00AA653D">
            <w:pPr>
              <w:rPr>
                <w:rFonts w:ascii="Tahoma" w:hAnsi="Tahoma" w:cs="Tahoma"/>
                <w:color w:val="000000"/>
                <w:sz w:val="18"/>
                <w:szCs w:val="18"/>
              </w:rPr>
            </w:pPr>
            <w:r>
              <w:rPr>
                <w:rFonts w:ascii="Tahoma" w:hAnsi="Tahoma" w:cs="Tahoma"/>
                <w:color w:val="000000"/>
                <w:sz w:val="18"/>
                <w:szCs w:val="18"/>
              </w:rPr>
              <w:t>выпуск основной карты</w:t>
            </w:r>
          </w:p>
        </w:tc>
        <w:tc>
          <w:tcPr>
            <w:tcW w:w="7655" w:type="dxa"/>
            <w:tcBorders>
              <w:top w:val="nil"/>
              <w:left w:val="nil"/>
              <w:bottom w:val="single" w:sz="4" w:space="0" w:color="auto"/>
              <w:right w:val="single" w:sz="4" w:space="0" w:color="auto"/>
            </w:tcBorders>
            <w:shd w:val="clear" w:color="auto" w:fill="auto"/>
            <w:vAlign w:val="center"/>
            <w:hideMark/>
          </w:tcPr>
          <w:p w14:paraId="1A9F298A" w14:textId="77777777" w:rsidR="009D50B5" w:rsidRDefault="009D50B5" w:rsidP="00AA653D">
            <w:pPr>
              <w:jc w:val="center"/>
              <w:rPr>
                <w:rFonts w:ascii="Tahoma" w:hAnsi="Tahoma" w:cs="Tahoma"/>
                <w:b/>
                <w:bCs/>
                <w:sz w:val="18"/>
                <w:szCs w:val="18"/>
              </w:rPr>
            </w:pPr>
            <w:r>
              <w:rPr>
                <w:rFonts w:ascii="Tahoma" w:hAnsi="Tahoma" w:cs="Tahoma"/>
                <w:b/>
                <w:bCs/>
                <w:sz w:val="18"/>
                <w:szCs w:val="18"/>
              </w:rPr>
              <w:t>БЕСПЛАТНО</w:t>
            </w:r>
          </w:p>
        </w:tc>
      </w:tr>
      <w:tr w:rsidR="009D50B5" w14:paraId="20FF8434" w14:textId="77777777" w:rsidTr="00AA653D">
        <w:trPr>
          <w:gridAfter w:val="1"/>
          <w:wAfter w:w="14354" w:type="dxa"/>
          <w:trHeight w:val="288"/>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6CACA066"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3.2.</w:t>
            </w:r>
          </w:p>
        </w:tc>
        <w:tc>
          <w:tcPr>
            <w:tcW w:w="6631" w:type="dxa"/>
            <w:tcBorders>
              <w:top w:val="nil"/>
              <w:left w:val="nil"/>
              <w:bottom w:val="single" w:sz="4" w:space="0" w:color="auto"/>
              <w:right w:val="single" w:sz="4" w:space="0" w:color="auto"/>
            </w:tcBorders>
            <w:shd w:val="clear" w:color="auto" w:fill="auto"/>
            <w:vAlign w:val="center"/>
            <w:hideMark/>
          </w:tcPr>
          <w:p w14:paraId="3592545A" w14:textId="77777777" w:rsidR="009D50B5" w:rsidRDefault="009D50B5" w:rsidP="00AA653D">
            <w:pPr>
              <w:rPr>
                <w:rFonts w:ascii="Tahoma" w:hAnsi="Tahoma" w:cs="Tahoma"/>
                <w:color w:val="000000"/>
                <w:sz w:val="18"/>
                <w:szCs w:val="18"/>
              </w:rPr>
            </w:pPr>
            <w:r>
              <w:rPr>
                <w:rFonts w:ascii="Tahoma" w:hAnsi="Tahoma" w:cs="Tahoma"/>
                <w:color w:val="000000"/>
                <w:sz w:val="18"/>
                <w:szCs w:val="18"/>
              </w:rPr>
              <w:t>валюта счета карты</w:t>
            </w:r>
          </w:p>
        </w:tc>
        <w:tc>
          <w:tcPr>
            <w:tcW w:w="7655" w:type="dxa"/>
            <w:tcBorders>
              <w:top w:val="nil"/>
              <w:left w:val="nil"/>
              <w:bottom w:val="single" w:sz="4" w:space="0" w:color="auto"/>
              <w:right w:val="single" w:sz="4" w:space="0" w:color="auto"/>
            </w:tcBorders>
            <w:shd w:val="clear" w:color="auto" w:fill="auto"/>
            <w:vAlign w:val="center"/>
            <w:hideMark/>
          </w:tcPr>
          <w:p w14:paraId="49BADEBB"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Рубли Российской Федерации (далее рубли)</w:t>
            </w:r>
          </w:p>
        </w:tc>
      </w:tr>
      <w:tr w:rsidR="009D50B5" w14:paraId="0051849A" w14:textId="77777777" w:rsidTr="00AA653D">
        <w:trPr>
          <w:gridAfter w:val="1"/>
          <w:wAfter w:w="14354" w:type="dxa"/>
          <w:trHeight w:val="288"/>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057F7152"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3.3.</w:t>
            </w:r>
          </w:p>
        </w:tc>
        <w:tc>
          <w:tcPr>
            <w:tcW w:w="6631" w:type="dxa"/>
            <w:tcBorders>
              <w:top w:val="nil"/>
              <w:left w:val="nil"/>
              <w:bottom w:val="single" w:sz="4" w:space="0" w:color="auto"/>
              <w:right w:val="single" w:sz="4" w:space="0" w:color="auto"/>
            </w:tcBorders>
            <w:shd w:val="clear" w:color="auto" w:fill="auto"/>
            <w:vAlign w:val="center"/>
            <w:hideMark/>
          </w:tcPr>
          <w:p w14:paraId="052B13A2" w14:textId="77777777" w:rsidR="009D50B5" w:rsidRDefault="009D50B5" w:rsidP="00AA653D">
            <w:pPr>
              <w:rPr>
                <w:rFonts w:ascii="Tahoma" w:hAnsi="Tahoma" w:cs="Tahoma"/>
                <w:color w:val="000000"/>
                <w:sz w:val="18"/>
                <w:szCs w:val="18"/>
              </w:rPr>
            </w:pPr>
            <w:r>
              <w:rPr>
                <w:rFonts w:ascii="Tahoma" w:hAnsi="Tahoma" w:cs="Tahoma"/>
                <w:color w:val="000000"/>
                <w:sz w:val="18"/>
                <w:szCs w:val="18"/>
              </w:rPr>
              <w:t>срок действия карты (основной)</w:t>
            </w:r>
          </w:p>
        </w:tc>
        <w:tc>
          <w:tcPr>
            <w:tcW w:w="7655" w:type="dxa"/>
            <w:tcBorders>
              <w:top w:val="nil"/>
              <w:left w:val="nil"/>
              <w:bottom w:val="single" w:sz="4" w:space="0" w:color="auto"/>
              <w:right w:val="single" w:sz="4" w:space="0" w:color="auto"/>
            </w:tcBorders>
            <w:shd w:val="clear" w:color="000000" w:fill="FFFFFF"/>
            <w:vAlign w:val="center"/>
            <w:hideMark/>
          </w:tcPr>
          <w:p w14:paraId="609CF435"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6 лет</w:t>
            </w:r>
          </w:p>
        </w:tc>
      </w:tr>
      <w:tr w:rsidR="009D50B5" w14:paraId="59E51FA6" w14:textId="77777777" w:rsidTr="00AA653D">
        <w:trPr>
          <w:gridAfter w:val="1"/>
          <w:wAfter w:w="14354" w:type="dxa"/>
          <w:trHeight w:val="288"/>
        </w:trPr>
        <w:tc>
          <w:tcPr>
            <w:tcW w:w="740" w:type="dxa"/>
            <w:tcBorders>
              <w:top w:val="nil"/>
              <w:left w:val="single" w:sz="4" w:space="0" w:color="auto"/>
              <w:bottom w:val="single" w:sz="4" w:space="0" w:color="auto"/>
              <w:right w:val="single" w:sz="4" w:space="0" w:color="auto"/>
            </w:tcBorders>
            <w:shd w:val="clear" w:color="000000" w:fill="A6A6A6"/>
            <w:vAlign w:val="center"/>
            <w:hideMark/>
          </w:tcPr>
          <w:p w14:paraId="5258B846" w14:textId="77777777" w:rsidR="009D50B5" w:rsidRDefault="009D50B5" w:rsidP="00AA653D">
            <w:pPr>
              <w:jc w:val="center"/>
              <w:rPr>
                <w:rFonts w:ascii="Tahoma" w:hAnsi="Tahoma" w:cs="Tahoma"/>
                <w:b/>
                <w:bCs/>
                <w:sz w:val="18"/>
                <w:szCs w:val="18"/>
              </w:rPr>
            </w:pPr>
            <w:r>
              <w:rPr>
                <w:rFonts w:ascii="Tahoma" w:hAnsi="Tahoma" w:cs="Tahoma"/>
                <w:b/>
                <w:bCs/>
                <w:sz w:val="18"/>
                <w:szCs w:val="18"/>
              </w:rPr>
              <w:t>3.4.</w:t>
            </w:r>
          </w:p>
        </w:tc>
        <w:tc>
          <w:tcPr>
            <w:tcW w:w="14286" w:type="dxa"/>
            <w:gridSpan w:val="2"/>
            <w:tcBorders>
              <w:top w:val="single" w:sz="4" w:space="0" w:color="auto"/>
              <w:left w:val="nil"/>
              <w:bottom w:val="single" w:sz="4" w:space="0" w:color="auto"/>
              <w:right w:val="single" w:sz="4" w:space="0" w:color="auto"/>
            </w:tcBorders>
            <w:shd w:val="clear" w:color="000000" w:fill="A6A6A6"/>
            <w:vAlign w:val="center"/>
            <w:hideMark/>
          </w:tcPr>
          <w:p w14:paraId="30A23557" w14:textId="77777777" w:rsidR="009D50B5" w:rsidRDefault="009D50B5" w:rsidP="00AA653D">
            <w:pPr>
              <w:rPr>
                <w:rFonts w:ascii="Tahoma" w:hAnsi="Tahoma" w:cs="Tahoma"/>
                <w:b/>
                <w:bCs/>
                <w:sz w:val="18"/>
                <w:szCs w:val="18"/>
              </w:rPr>
            </w:pPr>
            <w:r>
              <w:rPr>
                <w:rFonts w:ascii="Tahoma" w:hAnsi="Tahoma" w:cs="Tahoma"/>
                <w:b/>
                <w:bCs/>
                <w:sz w:val="18"/>
                <w:szCs w:val="18"/>
              </w:rPr>
              <w:t>Основная карта</w:t>
            </w:r>
          </w:p>
        </w:tc>
      </w:tr>
      <w:tr w:rsidR="009D50B5" w14:paraId="051B1628" w14:textId="77777777" w:rsidTr="00AA653D">
        <w:trPr>
          <w:gridAfter w:val="1"/>
          <w:wAfter w:w="14354" w:type="dxa"/>
          <w:trHeight w:val="255"/>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45FC035D"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3.4.1.</w:t>
            </w:r>
          </w:p>
        </w:tc>
        <w:tc>
          <w:tcPr>
            <w:tcW w:w="6631" w:type="dxa"/>
            <w:tcBorders>
              <w:top w:val="nil"/>
              <w:left w:val="nil"/>
              <w:bottom w:val="single" w:sz="4" w:space="0" w:color="auto"/>
              <w:right w:val="single" w:sz="4" w:space="0" w:color="auto"/>
            </w:tcBorders>
            <w:shd w:val="clear" w:color="auto" w:fill="auto"/>
            <w:vAlign w:val="center"/>
            <w:hideMark/>
          </w:tcPr>
          <w:p w14:paraId="7019DB60" w14:textId="77777777" w:rsidR="009D50B5" w:rsidRDefault="009D50B5" w:rsidP="00AA653D">
            <w:pPr>
              <w:rPr>
                <w:rFonts w:ascii="Tahoma" w:hAnsi="Tahoma" w:cs="Tahoma"/>
                <w:color w:val="000000"/>
                <w:sz w:val="18"/>
                <w:szCs w:val="18"/>
              </w:rPr>
            </w:pPr>
            <w:r>
              <w:rPr>
                <w:rFonts w:ascii="Tahoma" w:hAnsi="Tahoma" w:cs="Tahoma"/>
                <w:color w:val="000000"/>
                <w:sz w:val="18"/>
                <w:szCs w:val="18"/>
              </w:rPr>
              <w:t>годовое обслуживание карты</w:t>
            </w:r>
          </w:p>
        </w:tc>
        <w:tc>
          <w:tcPr>
            <w:tcW w:w="7655" w:type="dxa"/>
            <w:tcBorders>
              <w:top w:val="nil"/>
              <w:left w:val="nil"/>
              <w:bottom w:val="single" w:sz="4" w:space="0" w:color="auto"/>
              <w:right w:val="single" w:sz="4" w:space="0" w:color="auto"/>
            </w:tcBorders>
            <w:shd w:val="clear" w:color="auto" w:fill="auto"/>
            <w:vAlign w:val="center"/>
            <w:hideMark/>
          </w:tcPr>
          <w:p w14:paraId="2B01F4DA" w14:textId="77777777" w:rsidR="009D50B5" w:rsidRDefault="009D50B5" w:rsidP="00AA653D">
            <w:pPr>
              <w:jc w:val="center"/>
              <w:rPr>
                <w:rFonts w:ascii="Tahoma" w:hAnsi="Tahoma" w:cs="Tahoma"/>
                <w:b/>
                <w:bCs/>
                <w:sz w:val="18"/>
                <w:szCs w:val="18"/>
              </w:rPr>
            </w:pPr>
            <w:r>
              <w:rPr>
                <w:rFonts w:ascii="Tahoma" w:hAnsi="Tahoma" w:cs="Tahoma"/>
                <w:b/>
                <w:bCs/>
                <w:sz w:val="18"/>
                <w:szCs w:val="18"/>
              </w:rPr>
              <w:t>БЕСПЛАТНО</w:t>
            </w:r>
          </w:p>
        </w:tc>
      </w:tr>
      <w:tr w:rsidR="009D50B5" w14:paraId="30524CEE" w14:textId="77777777" w:rsidTr="00AA653D">
        <w:trPr>
          <w:gridAfter w:val="1"/>
          <w:wAfter w:w="14354" w:type="dxa"/>
          <w:trHeight w:val="255"/>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7B2DB087"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3.4.2.</w:t>
            </w:r>
          </w:p>
        </w:tc>
        <w:tc>
          <w:tcPr>
            <w:tcW w:w="6631" w:type="dxa"/>
            <w:tcBorders>
              <w:top w:val="nil"/>
              <w:left w:val="nil"/>
              <w:bottom w:val="single" w:sz="4" w:space="0" w:color="auto"/>
              <w:right w:val="single" w:sz="4" w:space="0" w:color="auto"/>
            </w:tcBorders>
            <w:shd w:val="clear" w:color="auto" w:fill="auto"/>
            <w:vAlign w:val="center"/>
            <w:hideMark/>
          </w:tcPr>
          <w:p w14:paraId="22DA2D7F" w14:textId="77777777" w:rsidR="009D50B5" w:rsidRDefault="009D50B5" w:rsidP="00AA653D">
            <w:pPr>
              <w:rPr>
                <w:rFonts w:ascii="Tahoma" w:hAnsi="Tahoma" w:cs="Tahoma"/>
                <w:color w:val="000000"/>
                <w:sz w:val="18"/>
                <w:szCs w:val="18"/>
              </w:rPr>
            </w:pPr>
            <w:r>
              <w:rPr>
                <w:rFonts w:ascii="Tahoma" w:hAnsi="Tahoma" w:cs="Tahoma"/>
                <w:color w:val="000000"/>
                <w:sz w:val="18"/>
                <w:szCs w:val="18"/>
              </w:rPr>
              <w:t>ежемесячное обслуживание карты</w:t>
            </w:r>
          </w:p>
        </w:tc>
        <w:tc>
          <w:tcPr>
            <w:tcW w:w="7655" w:type="dxa"/>
            <w:tcBorders>
              <w:top w:val="nil"/>
              <w:left w:val="nil"/>
              <w:bottom w:val="single" w:sz="4" w:space="0" w:color="auto"/>
              <w:right w:val="single" w:sz="4" w:space="0" w:color="auto"/>
            </w:tcBorders>
            <w:shd w:val="clear" w:color="auto" w:fill="auto"/>
            <w:vAlign w:val="center"/>
            <w:hideMark/>
          </w:tcPr>
          <w:p w14:paraId="27101DC1" w14:textId="77777777" w:rsidR="009D50B5" w:rsidRDefault="009D50B5" w:rsidP="00AA653D">
            <w:pPr>
              <w:jc w:val="center"/>
              <w:rPr>
                <w:rFonts w:ascii="Tahoma" w:hAnsi="Tahoma" w:cs="Tahoma"/>
                <w:b/>
                <w:bCs/>
                <w:sz w:val="18"/>
                <w:szCs w:val="18"/>
              </w:rPr>
            </w:pPr>
            <w:r>
              <w:rPr>
                <w:rFonts w:ascii="Tahoma" w:hAnsi="Tahoma" w:cs="Tahoma"/>
                <w:b/>
                <w:bCs/>
                <w:sz w:val="18"/>
                <w:szCs w:val="18"/>
              </w:rPr>
              <w:t>БЕСПЛАТНО</w:t>
            </w:r>
          </w:p>
        </w:tc>
      </w:tr>
      <w:tr w:rsidR="009D50B5" w14:paraId="36D438F0" w14:textId="77777777" w:rsidTr="00AA653D">
        <w:trPr>
          <w:gridAfter w:val="1"/>
          <w:wAfter w:w="14354" w:type="dxa"/>
          <w:trHeight w:val="255"/>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605E1BCD"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3.4.3.</w:t>
            </w:r>
          </w:p>
        </w:tc>
        <w:tc>
          <w:tcPr>
            <w:tcW w:w="6631" w:type="dxa"/>
            <w:tcBorders>
              <w:top w:val="nil"/>
              <w:left w:val="nil"/>
              <w:bottom w:val="single" w:sz="4" w:space="0" w:color="auto"/>
              <w:right w:val="single" w:sz="4" w:space="0" w:color="auto"/>
            </w:tcBorders>
            <w:shd w:val="clear" w:color="auto" w:fill="auto"/>
            <w:vAlign w:val="center"/>
            <w:hideMark/>
          </w:tcPr>
          <w:p w14:paraId="155D8368" w14:textId="77777777" w:rsidR="009D50B5" w:rsidRDefault="009D50B5" w:rsidP="00AA653D">
            <w:pPr>
              <w:rPr>
                <w:rFonts w:ascii="Tahoma" w:hAnsi="Tahoma" w:cs="Tahoma"/>
                <w:color w:val="000000"/>
                <w:sz w:val="18"/>
                <w:szCs w:val="18"/>
              </w:rPr>
            </w:pPr>
            <w:r>
              <w:rPr>
                <w:rFonts w:ascii="Tahoma" w:hAnsi="Tahoma" w:cs="Tahoma"/>
                <w:color w:val="000000"/>
                <w:sz w:val="18"/>
                <w:szCs w:val="18"/>
              </w:rPr>
              <w:t>открытие счета карты</w:t>
            </w:r>
          </w:p>
        </w:tc>
        <w:tc>
          <w:tcPr>
            <w:tcW w:w="7655" w:type="dxa"/>
            <w:tcBorders>
              <w:top w:val="nil"/>
              <w:left w:val="nil"/>
              <w:bottom w:val="single" w:sz="4" w:space="0" w:color="auto"/>
              <w:right w:val="single" w:sz="4" w:space="0" w:color="auto"/>
            </w:tcBorders>
            <w:shd w:val="clear" w:color="auto" w:fill="auto"/>
            <w:vAlign w:val="center"/>
            <w:hideMark/>
          </w:tcPr>
          <w:p w14:paraId="3F86F0E4" w14:textId="77777777" w:rsidR="009D50B5" w:rsidRDefault="009D50B5" w:rsidP="00AA653D">
            <w:pPr>
              <w:jc w:val="center"/>
              <w:rPr>
                <w:rFonts w:ascii="Tahoma" w:hAnsi="Tahoma" w:cs="Tahoma"/>
                <w:b/>
                <w:bCs/>
                <w:sz w:val="18"/>
                <w:szCs w:val="18"/>
              </w:rPr>
            </w:pPr>
            <w:r>
              <w:rPr>
                <w:rFonts w:ascii="Tahoma" w:hAnsi="Tahoma" w:cs="Tahoma"/>
                <w:b/>
                <w:bCs/>
                <w:sz w:val="18"/>
                <w:szCs w:val="18"/>
              </w:rPr>
              <w:t>БЕСПЛАТНО</w:t>
            </w:r>
          </w:p>
        </w:tc>
      </w:tr>
      <w:tr w:rsidR="009D50B5" w14:paraId="31740F56" w14:textId="77777777" w:rsidTr="00AA653D">
        <w:trPr>
          <w:gridAfter w:val="1"/>
          <w:wAfter w:w="14354" w:type="dxa"/>
          <w:trHeight w:val="255"/>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06992E6D"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3.4.4.</w:t>
            </w:r>
          </w:p>
        </w:tc>
        <w:tc>
          <w:tcPr>
            <w:tcW w:w="6631" w:type="dxa"/>
            <w:tcBorders>
              <w:top w:val="nil"/>
              <w:left w:val="nil"/>
              <w:bottom w:val="single" w:sz="4" w:space="0" w:color="auto"/>
              <w:right w:val="single" w:sz="4" w:space="0" w:color="auto"/>
            </w:tcBorders>
            <w:shd w:val="clear" w:color="auto" w:fill="auto"/>
            <w:vAlign w:val="center"/>
            <w:hideMark/>
          </w:tcPr>
          <w:p w14:paraId="3D96B9E7" w14:textId="77777777" w:rsidR="009D50B5" w:rsidRDefault="009D50B5" w:rsidP="00AA653D">
            <w:pPr>
              <w:rPr>
                <w:rFonts w:ascii="Tahoma" w:hAnsi="Tahoma" w:cs="Tahoma"/>
                <w:color w:val="000000"/>
                <w:sz w:val="18"/>
                <w:szCs w:val="18"/>
              </w:rPr>
            </w:pPr>
            <w:r>
              <w:rPr>
                <w:rFonts w:ascii="Tahoma" w:hAnsi="Tahoma" w:cs="Tahoma"/>
                <w:color w:val="000000"/>
                <w:sz w:val="18"/>
                <w:szCs w:val="18"/>
              </w:rPr>
              <w:t>очередной перевыпуск карты</w:t>
            </w:r>
          </w:p>
        </w:tc>
        <w:tc>
          <w:tcPr>
            <w:tcW w:w="7655" w:type="dxa"/>
            <w:tcBorders>
              <w:top w:val="nil"/>
              <w:left w:val="nil"/>
              <w:bottom w:val="single" w:sz="4" w:space="0" w:color="auto"/>
              <w:right w:val="single" w:sz="4" w:space="0" w:color="auto"/>
            </w:tcBorders>
            <w:shd w:val="clear" w:color="auto" w:fill="auto"/>
            <w:vAlign w:val="center"/>
            <w:hideMark/>
          </w:tcPr>
          <w:p w14:paraId="5A66B67F" w14:textId="77777777" w:rsidR="009D50B5" w:rsidRDefault="009D50B5" w:rsidP="00AA653D">
            <w:pPr>
              <w:jc w:val="center"/>
              <w:rPr>
                <w:rFonts w:ascii="Tahoma" w:hAnsi="Tahoma" w:cs="Tahoma"/>
                <w:b/>
                <w:bCs/>
                <w:sz w:val="18"/>
                <w:szCs w:val="18"/>
              </w:rPr>
            </w:pPr>
            <w:r>
              <w:rPr>
                <w:rFonts w:ascii="Tahoma" w:hAnsi="Tahoma" w:cs="Tahoma"/>
                <w:b/>
                <w:bCs/>
                <w:sz w:val="18"/>
                <w:szCs w:val="18"/>
              </w:rPr>
              <w:t>БЕСПЛАТНО</w:t>
            </w:r>
          </w:p>
        </w:tc>
      </w:tr>
      <w:tr w:rsidR="009D50B5" w14:paraId="4496C50D" w14:textId="77777777" w:rsidTr="00AA653D">
        <w:trPr>
          <w:gridAfter w:val="1"/>
          <w:wAfter w:w="14354" w:type="dxa"/>
          <w:trHeight w:val="288"/>
        </w:trPr>
        <w:tc>
          <w:tcPr>
            <w:tcW w:w="740" w:type="dxa"/>
            <w:tcBorders>
              <w:top w:val="nil"/>
              <w:left w:val="single" w:sz="4" w:space="0" w:color="auto"/>
              <w:bottom w:val="single" w:sz="4" w:space="0" w:color="auto"/>
              <w:right w:val="single" w:sz="4" w:space="0" w:color="auto"/>
            </w:tcBorders>
            <w:shd w:val="clear" w:color="000000" w:fill="A6A6A6"/>
            <w:vAlign w:val="center"/>
            <w:hideMark/>
          </w:tcPr>
          <w:p w14:paraId="4C7D30FB" w14:textId="77777777" w:rsidR="009D50B5" w:rsidRDefault="009D50B5" w:rsidP="00AA653D">
            <w:pPr>
              <w:jc w:val="center"/>
              <w:rPr>
                <w:rFonts w:ascii="Tahoma" w:hAnsi="Tahoma" w:cs="Tahoma"/>
                <w:b/>
                <w:bCs/>
                <w:sz w:val="18"/>
                <w:szCs w:val="18"/>
              </w:rPr>
            </w:pPr>
            <w:r>
              <w:rPr>
                <w:rFonts w:ascii="Tahoma" w:hAnsi="Tahoma" w:cs="Tahoma"/>
                <w:b/>
                <w:bCs/>
                <w:sz w:val="18"/>
                <w:szCs w:val="18"/>
              </w:rPr>
              <w:t>3.5.</w:t>
            </w:r>
          </w:p>
        </w:tc>
        <w:tc>
          <w:tcPr>
            <w:tcW w:w="14286" w:type="dxa"/>
            <w:gridSpan w:val="2"/>
            <w:tcBorders>
              <w:top w:val="single" w:sz="4" w:space="0" w:color="auto"/>
              <w:left w:val="nil"/>
              <w:bottom w:val="single" w:sz="4" w:space="0" w:color="auto"/>
              <w:right w:val="single" w:sz="4" w:space="0" w:color="auto"/>
            </w:tcBorders>
            <w:shd w:val="clear" w:color="000000" w:fill="A6A6A6"/>
            <w:vAlign w:val="center"/>
            <w:hideMark/>
          </w:tcPr>
          <w:p w14:paraId="79CCE5BF" w14:textId="77777777" w:rsidR="009D50B5" w:rsidRDefault="009D50B5" w:rsidP="00AA653D">
            <w:pPr>
              <w:rPr>
                <w:rFonts w:ascii="Tahoma" w:hAnsi="Tahoma" w:cs="Tahoma"/>
                <w:b/>
                <w:bCs/>
                <w:sz w:val="18"/>
                <w:szCs w:val="18"/>
              </w:rPr>
            </w:pPr>
            <w:r>
              <w:rPr>
                <w:rFonts w:ascii="Tahoma" w:hAnsi="Tahoma" w:cs="Tahoma"/>
                <w:b/>
                <w:bCs/>
                <w:sz w:val="18"/>
                <w:szCs w:val="18"/>
              </w:rPr>
              <w:t>Внеочередной перевыпуск карты</w:t>
            </w:r>
          </w:p>
        </w:tc>
      </w:tr>
      <w:tr w:rsidR="009D50B5" w14:paraId="5A4C1C5A" w14:textId="77777777" w:rsidTr="00AA653D">
        <w:trPr>
          <w:gridAfter w:val="1"/>
          <w:wAfter w:w="14354" w:type="dxa"/>
          <w:trHeight w:val="456"/>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67125684"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3.5.1.</w:t>
            </w:r>
          </w:p>
        </w:tc>
        <w:tc>
          <w:tcPr>
            <w:tcW w:w="6631" w:type="dxa"/>
            <w:tcBorders>
              <w:top w:val="nil"/>
              <w:left w:val="nil"/>
              <w:bottom w:val="single" w:sz="4" w:space="0" w:color="auto"/>
              <w:right w:val="single" w:sz="4" w:space="0" w:color="auto"/>
            </w:tcBorders>
            <w:shd w:val="clear" w:color="auto" w:fill="auto"/>
            <w:vAlign w:val="center"/>
            <w:hideMark/>
          </w:tcPr>
          <w:p w14:paraId="458DFB24" w14:textId="77777777" w:rsidR="009D50B5" w:rsidRDefault="009D50B5" w:rsidP="00AA653D">
            <w:pPr>
              <w:rPr>
                <w:rFonts w:ascii="Tahoma" w:hAnsi="Tahoma" w:cs="Tahoma"/>
                <w:color w:val="000000"/>
                <w:sz w:val="18"/>
                <w:szCs w:val="18"/>
              </w:rPr>
            </w:pPr>
            <w:r>
              <w:rPr>
                <w:rFonts w:ascii="Tahoma" w:hAnsi="Tahoma" w:cs="Tahoma"/>
                <w:color w:val="000000"/>
                <w:sz w:val="18"/>
                <w:szCs w:val="18"/>
              </w:rPr>
              <w:t>перевыпуск карты в случае износа, технической неисправности</w:t>
            </w:r>
          </w:p>
        </w:tc>
        <w:tc>
          <w:tcPr>
            <w:tcW w:w="7655" w:type="dxa"/>
            <w:tcBorders>
              <w:top w:val="nil"/>
              <w:left w:val="nil"/>
              <w:bottom w:val="single" w:sz="4" w:space="0" w:color="auto"/>
              <w:right w:val="single" w:sz="4" w:space="0" w:color="auto"/>
            </w:tcBorders>
            <w:shd w:val="clear" w:color="auto" w:fill="auto"/>
            <w:vAlign w:val="center"/>
            <w:hideMark/>
          </w:tcPr>
          <w:p w14:paraId="72E87136" w14:textId="77777777" w:rsidR="009D50B5" w:rsidRDefault="009D50B5" w:rsidP="00AA653D">
            <w:pPr>
              <w:jc w:val="center"/>
              <w:rPr>
                <w:rFonts w:ascii="Tahoma" w:hAnsi="Tahoma" w:cs="Tahoma"/>
                <w:b/>
                <w:bCs/>
                <w:sz w:val="18"/>
                <w:szCs w:val="18"/>
              </w:rPr>
            </w:pPr>
            <w:r>
              <w:rPr>
                <w:rFonts w:ascii="Tahoma" w:hAnsi="Tahoma" w:cs="Tahoma"/>
                <w:b/>
                <w:bCs/>
                <w:sz w:val="18"/>
                <w:szCs w:val="18"/>
              </w:rPr>
              <w:t>БЕСПЛАТНО</w:t>
            </w:r>
          </w:p>
        </w:tc>
      </w:tr>
      <w:tr w:rsidR="009D50B5" w14:paraId="48286BDA" w14:textId="77777777" w:rsidTr="00AA653D">
        <w:trPr>
          <w:gridAfter w:val="1"/>
          <w:wAfter w:w="14354" w:type="dxa"/>
          <w:trHeight w:val="288"/>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34E88CBA"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3.5.2.</w:t>
            </w:r>
          </w:p>
        </w:tc>
        <w:tc>
          <w:tcPr>
            <w:tcW w:w="6631" w:type="dxa"/>
            <w:tcBorders>
              <w:top w:val="nil"/>
              <w:left w:val="nil"/>
              <w:bottom w:val="single" w:sz="4" w:space="0" w:color="auto"/>
              <w:right w:val="single" w:sz="4" w:space="0" w:color="auto"/>
            </w:tcBorders>
            <w:shd w:val="clear" w:color="auto" w:fill="auto"/>
            <w:vAlign w:val="center"/>
            <w:hideMark/>
          </w:tcPr>
          <w:p w14:paraId="586B81DA" w14:textId="77777777" w:rsidR="009D50B5" w:rsidRDefault="009D50B5" w:rsidP="00AA653D">
            <w:pPr>
              <w:rPr>
                <w:rFonts w:ascii="Tahoma" w:hAnsi="Tahoma" w:cs="Tahoma"/>
                <w:color w:val="000000"/>
                <w:sz w:val="18"/>
                <w:szCs w:val="18"/>
              </w:rPr>
            </w:pPr>
            <w:r>
              <w:rPr>
                <w:rFonts w:ascii="Tahoma" w:hAnsi="Tahoma" w:cs="Tahoma"/>
                <w:color w:val="000000"/>
                <w:sz w:val="18"/>
                <w:szCs w:val="18"/>
              </w:rPr>
              <w:t>перевыпуск карты в случае утраты карты или ПИН-кода</w:t>
            </w:r>
          </w:p>
        </w:tc>
        <w:tc>
          <w:tcPr>
            <w:tcW w:w="7655" w:type="dxa"/>
            <w:tcBorders>
              <w:top w:val="nil"/>
              <w:left w:val="nil"/>
              <w:bottom w:val="single" w:sz="4" w:space="0" w:color="auto"/>
              <w:right w:val="single" w:sz="4" w:space="0" w:color="auto"/>
            </w:tcBorders>
            <w:shd w:val="clear" w:color="auto" w:fill="auto"/>
            <w:vAlign w:val="center"/>
            <w:hideMark/>
          </w:tcPr>
          <w:p w14:paraId="2F617092" w14:textId="77777777" w:rsidR="009D50B5" w:rsidRDefault="009D50B5" w:rsidP="00AA653D">
            <w:pPr>
              <w:jc w:val="center"/>
              <w:rPr>
                <w:rFonts w:ascii="Tahoma" w:hAnsi="Tahoma" w:cs="Tahoma"/>
                <w:b/>
                <w:bCs/>
                <w:sz w:val="18"/>
                <w:szCs w:val="18"/>
              </w:rPr>
            </w:pPr>
            <w:r>
              <w:rPr>
                <w:rFonts w:ascii="Tahoma" w:hAnsi="Tahoma" w:cs="Tahoma"/>
                <w:b/>
                <w:bCs/>
                <w:sz w:val="18"/>
                <w:szCs w:val="18"/>
              </w:rPr>
              <w:t>БЕСПЛАТНО</w:t>
            </w:r>
          </w:p>
        </w:tc>
      </w:tr>
      <w:tr w:rsidR="009D50B5" w14:paraId="20CA2CA2" w14:textId="77777777" w:rsidTr="00AA653D">
        <w:trPr>
          <w:gridAfter w:val="1"/>
          <w:wAfter w:w="14354" w:type="dxa"/>
          <w:trHeight w:val="255"/>
        </w:trPr>
        <w:tc>
          <w:tcPr>
            <w:tcW w:w="740" w:type="dxa"/>
            <w:tcBorders>
              <w:top w:val="nil"/>
              <w:left w:val="single" w:sz="4" w:space="0" w:color="auto"/>
              <w:bottom w:val="single" w:sz="4" w:space="0" w:color="auto"/>
              <w:right w:val="single" w:sz="4" w:space="0" w:color="auto"/>
            </w:tcBorders>
            <w:shd w:val="clear" w:color="000000" w:fill="808080"/>
            <w:vAlign w:val="center"/>
            <w:hideMark/>
          </w:tcPr>
          <w:p w14:paraId="51BE69BA" w14:textId="77777777" w:rsidR="009D50B5" w:rsidRDefault="009D50B5" w:rsidP="00AA653D">
            <w:pPr>
              <w:jc w:val="center"/>
              <w:rPr>
                <w:rFonts w:ascii="Tahoma" w:hAnsi="Tahoma" w:cs="Tahoma"/>
                <w:b/>
                <w:bCs/>
                <w:color w:val="FFFFFF"/>
                <w:sz w:val="18"/>
                <w:szCs w:val="18"/>
              </w:rPr>
            </w:pPr>
            <w:r>
              <w:rPr>
                <w:rFonts w:ascii="Tahoma" w:hAnsi="Tahoma" w:cs="Tahoma"/>
                <w:b/>
                <w:bCs/>
                <w:color w:val="FFFFFF"/>
                <w:sz w:val="18"/>
                <w:szCs w:val="18"/>
              </w:rPr>
              <w:t>4.</w:t>
            </w:r>
          </w:p>
        </w:tc>
        <w:tc>
          <w:tcPr>
            <w:tcW w:w="14286" w:type="dxa"/>
            <w:gridSpan w:val="2"/>
            <w:tcBorders>
              <w:top w:val="single" w:sz="4" w:space="0" w:color="auto"/>
              <w:left w:val="nil"/>
              <w:bottom w:val="single" w:sz="4" w:space="0" w:color="auto"/>
              <w:right w:val="single" w:sz="4" w:space="0" w:color="auto"/>
            </w:tcBorders>
            <w:shd w:val="clear" w:color="000000" w:fill="808080"/>
            <w:vAlign w:val="center"/>
            <w:hideMark/>
          </w:tcPr>
          <w:p w14:paraId="10EAF51E" w14:textId="77777777" w:rsidR="009D50B5" w:rsidRDefault="009D50B5" w:rsidP="00AA653D">
            <w:pPr>
              <w:rPr>
                <w:rFonts w:ascii="Tahoma" w:hAnsi="Tahoma" w:cs="Tahoma"/>
                <w:b/>
                <w:bCs/>
                <w:color w:val="FFFFFF"/>
                <w:sz w:val="18"/>
                <w:szCs w:val="18"/>
              </w:rPr>
            </w:pPr>
            <w:r>
              <w:rPr>
                <w:rFonts w:ascii="Tahoma" w:hAnsi="Tahoma" w:cs="Tahoma"/>
                <w:b/>
                <w:bCs/>
                <w:color w:val="FFFFFF"/>
                <w:sz w:val="18"/>
                <w:szCs w:val="18"/>
              </w:rPr>
              <w:t>Начисление процентов на минимальный</w:t>
            </w:r>
            <w:r>
              <w:rPr>
                <w:rFonts w:ascii="Tahoma" w:hAnsi="Tahoma" w:cs="Tahoma"/>
                <w:b/>
                <w:bCs/>
                <w:color w:val="FFFFFF"/>
                <w:sz w:val="18"/>
                <w:szCs w:val="18"/>
                <w:vertAlign w:val="superscript"/>
              </w:rPr>
              <w:t>9</w:t>
            </w:r>
            <w:r>
              <w:rPr>
                <w:rFonts w:ascii="Tahoma" w:hAnsi="Tahoma" w:cs="Tahoma"/>
                <w:b/>
                <w:bCs/>
                <w:color w:val="FFFFFF"/>
                <w:sz w:val="18"/>
                <w:szCs w:val="18"/>
              </w:rPr>
              <w:t xml:space="preserve"> остаток по счету банковской карты</w:t>
            </w:r>
          </w:p>
        </w:tc>
      </w:tr>
      <w:tr w:rsidR="009D50B5" w14:paraId="078828DE" w14:textId="77777777" w:rsidTr="00AA653D">
        <w:trPr>
          <w:gridAfter w:val="1"/>
          <w:wAfter w:w="14354" w:type="dxa"/>
          <w:trHeight w:val="315"/>
        </w:trPr>
        <w:tc>
          <w:tcPr>
            <w:tcW w:w="740" w:type="dxa"/>
            <w:vMerge w:val="restart"/>
            <w:tcBorders>
              <w:top w:val="nil"/>
              <w:left w:val="single" w:sz="4" w:space="0" w:color="auto"/>
              <w:bottom w:val="single" w:sz="4" w:space="0" w:color="auto"/>
              <w:right w:val="single" w:sz="4" w:space="0" w:color="auto"/>
            </w:tcBorders>
            <w:shd w:val="clear" w:color="auto" w:fill="auto"/>
            <w:vAlign w:val="center"/>
            <w:hideMark/>
          </w:tcPr>
          <w:p w14:paraId="071F0731"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4.1.</w:t>
            </w:r>
          </w:p>
        </w:tc>
        <w:tc>
          <w:tcPr>
            <w:tcW w:w="6631" w:type="dxa"/>
            <w:vMerge w:val="restart"/>
            <w:tcBorders>
              <w:top w:val="nil"/>
              <w:left w:val="single" w:sz="4" w:space="0" w:color="auto"/>
              <w:bottom w:val="single" w:sz="4" w:space="0" w:color="auto"/>
              <w:right w:val="single" w:sz="4" w:space="0" w:color="auto"/>
            </w:tcBorders>
            <w:shd w:val="clear" w:color="auto" w:fill="auto"/>
            <w:vAlign w:val="center"/>
            <w:hideMark/>
          </w:tcPr>
          <w:p w14:paraId="4C638917" w14:textId="77777777" w:rsidR="009D50B5" w:rsidRDefault="009D50B5" w:rsidP="00AA653D">
            <w:pPr>
              <w:rPr>
                <w:rFonts w:ascii="Tahoma" w:hAnsi="Tahoma" w:cs="Tahoma"/>
                <w:color w:val="000000"/>
                <w:sz w:val="18"/>
                <w:szCs w:val="18"/>
              </w:rPr>
            </w:pPr>
            <w:r>
              <w:rPr>
                <w:rFonts w:ascii="Tahoma" w:hAnsi="Tahoma" w:cs="Tahoma"/>
                <w:color w:val="000000"/>
                <w:sz w:val="18"/>
                <w:szCs w:val="18"/>
              </w:rPr>
              <w:t>периодичность начисления процентов</w:t>
            </w:r>
          </w:p>
        </w:tc>
        <w:tc>
          <w:tcPr>
            <w:tcW w:w="7655" w:type="dxa"/>
            <w:tcBorders>
              <w:top w:val="nil"/>
              <w:left w:val="nil"/>
              <w:bottom w:val="single" w:sz="4" w:space="0" w:color="auto"/>
              <w:right w:val="single" w:sz="4" w:space="0" w:color="auto"/>
            </w:tcBorders>
            <w:shd w:val="clear" w:color="auto" w:fill="auto"/>
            <w:vAlign w:val="center"/>
            <w:hideMark/>
          </w:tcPr>
          <w:p w14:paraId="218F0A3A" w14:textId="77777777" w:rsidR="009D50B5" w:rsidRDefault="009D50B5" w:rsidP="00AA653D">
            <w:pPr>
              <w:jc w:val="center"/>
              <w:rPr>
                <w:rFonts w:ascii="Tahoma" w:hAnsi="Tahoma" w:cs="Tahoma"/>
                <w:sz w:val="18"/>
                <w:szCs w:val="18"/>
              </w:rPr>
            </w:pPr>
            <w:r>
              <w:rPr>
                <w:rFonts w:ascii="Tahoma" w:hAnsi="Tahoma" w:cs="Tahoma"/>
                <w:sz w:val="18"/>
                <w:szCs w:val="18"/>
              </w:rPr>
              <w:t xml:space="preserve">ЕЖЕМЕСЯЧНО, </w:t>
            </w:r>
          </w:p>
        </w:tc>
      </w:tr>
      <w:tr w:rsidR="009D50B5" w14:paraId="144549FF" w14:textId="77777777" w:rsidTr="00AA653D">
        <w:trPr>
          <w:gridAfter w:val="1"/>
          <w:wAfter w:w="14354" w:type="dxa"/>
          <w:trHeight w:val="315"/>
        </w:trPr>
        <w:tc>
          <w:tcPr>
            <w:tcW w:w="740" w:type="dxa"/>
            <w:vMerge/>
            <w:tcBorders>
              <w:top w:val="nil"/>
              <w:left w:val="single" w:sz="4" w:space="0" w:color="auto"/>
              <w:bottom w:val="single" w:sz="4" w:space="0" w:color="auto"/>
              <w:right w:val="single" w:sz="4" w:space="0" w:color="auto"/>
            </w:tcBorders>
            <w:vAlign w:val="center"/>
            <w:hideMark/>
          </w:tcPr>
          <w:p w14:paraId="0D947F4E" w14:textId="77777777" w:rsidR="009D50B5" w:rsidRDefault="009D50B5" w:rsidP="00AA653D">
            <w:pPr>
              <w:rPr>
                <w:rFonts w:ascii="Tahoma" w:hAnsi="Tahoma" w:cs="Tahoma"/>
                <w:color w:val="000000"/>
                <w:sz w:val="18"/>
                <w:szCs w:val="18"/>
              </w:rPr>
            </w:pPr>
          </w:p>
        </w:tc>
        <w:tc>
          <w:tcPr>
            <w:tcW w:w="6631" w:type="dxa"/>
            <w:vMerge/>
            <w:tcBorders>
              <w:top w:val="nil"/>
              <w:left w:val="single" w:sz="4" w:space="0" w:color="auto"/>
              <w:bottom w:val="single" w:sz="4" w:space="0" w:color="auto"/>
              <w:right w:val="single" w:sz="4" w:space="0" w:color="auto"/>
            </w:tcBorders>
            <w:vAlign w:val="center"/>
            <w:hideMark/>
          </w:tcPr>
          <w:p w14:paraId="14E47EB9" w14:textId="77777777" w:rsidR="009D50B5" w:rsidRDefault="009D50B5" w:rsidP="00AA653D">
            <w:pPr>
              <w:rPr>
                <w:rFonts w:ascii="Tahoma" w:hAnsi="Tahoma" w:cs="Tahoma"/>
                <w:color w:val="000000"/>
                <w:sz w:val="18"/>
                <w:szCs w:val="18"/>
              </w:rPr>
            </w:pPr>
          </w:p>
        </w:tc>
        <w:tc>
          <w:tcPr>
            <w:tcW w:w="7655" w:type="dxa"/>
            <w:tcBorders>
              <w:top w:val="nil"/>
              <w:left w:val="nil"/>
              <w:bottom w:val="single" w:sz="4" w:space="0" w:color="auto"/>
              <w:right w:val="single" w:sz="4" w:space="0" w:color="auto"/>
            </w:tcBorders>
            <w:shd w:val="clear" w:color="auto" w:fill="auto"/>
            <w:vAlign w:val="center"/>
            <w:hideMark/>
          </w:tcPr>
          <w:p w14:paraId="1CDE3934" w14:textId="77777777" w:rsidR="009D50B5" w:rsidRDefault="009D50B5" w:rsidP="00AA653D">
            <w:pPr>
              <w:jc w:val="center"/>
              <w:rPr>
                <w:rFonts w:ascii="Tahoma" w:hAnsi="Tahoma" w:cs="Tahoma"/>
                <w:sz w:val="18"/>
                <w:szCs w:val="18"/>
              </w:rPr>
            </w:pPr>
            <w:r>
              <w:rPr>
                <w:rFonts w:ascii="Tahoma" w:hAnsi="Tahoma" w:cs="Tahoma"/>
                <w:sz w:val="18"/>
                <w:szCs w:val="18"/>
              </w:rPr>
              <w:t>В последний день текущего месяца</w:t>
            </w:r>
          </w:p>
        </w:tc>
      </w:tr>
      <w:tr w:rsidR="009D50B5" w14:paraId="40FC21E1" w14:textId="77777777" w:rsidTr="00AA653D">
        <w:trPr>
          <w:gridAfter w:val="1"/>
          <w:wAfter w:w="14354" w:type="dxa"/>
          <w:trHeight w:val="525"/>
        </w:trPr>
        <w:tc>
          <w:tcPr>
            <w:tcW w:w="740" w:type="dxa"/>
            <w:tcBorders>
              <w:top w:val="nil"/>
              <w:left w:val="single" w:sz="4" w:space="0" w:color="auto"/>
              <w:bottom w:val="single" w:sz="4" w:space="0" w:color="auto"/>
              <w:right w:val="single" w:sz="4" w:space="0" w:color="auto"/>
            </w:tcBorders>
            <w:shd w:val="clear" w:color="000000" w:fill="FFFFFF"/>
            <w:vAlign w:val="center"/>
            <w:hideMark/>
          </w:tcPr>
          <w:p w14:paraId="413487C4"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4.2.</w:t>
            </w:r>
          </w:p>
        </w:tc>
        <w:tc>
          <w:tcPr>
            <w:tcW w:w="6631" w:type="dxa"/>
            <w:tcBorders>
              <w:top w:val="nil"/>
              <w:left w:val="nil"/>
              <w:bottom w:val="single" w:sz="4" w:space="0" w:color="auto"/>
              <w:right w:val="single" w:sz="4" w:space="0" w:color="auto"/>
            </w:tcBorders>
            <w:shd w:val="clear" w:color="000000" w:fill="FFFFFF"/>
            <w:vAlign w:val="center"/>
            <w:hideMark/>
          </w:tcPr>
          <w:p w14:paraId="174932A9" w14:textId="77777777" w:rsidR="009D50B5" w:rsidRDefault="009D50B5" w:rsidP="00AA653D">
            <w:pPr>
              <w:rPr>
                <w:rFonts w:ascii="Tahoma" w:hAnsi="Tahoma" w:cs="Tahoma"/>
                <w:color w:val="000000"/>
                <w:sz w:val="18"/>
                <w:szCs w:val="18"/>
              </w:rPr>
            </w:pPr>
            <w:r>
              <w:rPr>
                <w:rFonts w:ascii="Tahoma" w:hAnsi="Tahoma" w:cs="Tahoma"/>
                <w:color w:val="000000"/>
                <w:sz w:val="18"/>
                <w:szCs w:val="18"/>
              </w:rPr>
              <w:t>процентная ставка, % годовых</w:t>
            </w:r>
          </w:p>
        </w:tc>
        <w:tc>
          <w:tcPr>
            <w:tcW w:w="7655" w:type="dxa"/>
            <w:tcBorders>
              <w:top w:val="nil"/>
              <w:left w:val="nil"/>
              <w:bottom w:val="single" w:sz="4" w:space="0" w:color="auto"/>
              <w:right w:val="single" w:sz="4" w:space="0" w:color="auto"/>
            </w:tcBorders>
            <w:shd w:val="clear" w:color="000000" w:fill="FFFFFF"/>
            <w:vAlign w:val="center"/>
            <w:hideMark/>
          </w:tcPr>
          <w:p w14:paraId="6E2949AB"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3%</w:t>
            </w:r>
            <w:r>
              <w:rPr>
                <w:rFonts w:ascii="Tahoma" w:hAnsi="Tahoma" w:cs="Tahoma"/>
                <w:color w:val="000000"/>
                <w:sz w:val="18"/>
                <w:szCs w:val="18"/>
              </w:rPr>
              <w:br/>
              <w:t>4,5%</w:t>
            </w:r>
            <w:r>
              <w:rPr>
                <w:rFonts w:ascii="Tahoma" w:hAnsi="Tahoma" w:cs="Tahoma"/>
                <w:color w:val="000000"/>
                <w:sz w:val="18"/>
                <w:szCs w:val="18"/>
                <w:vertAlign w:val="superscript"/>
              </w:rPr>
              <w:t>1</w:t>
            </w:r>
          </w:p>
        </w:tc>
      </w:tr>
      <w:tr w:rsidR="009D50B5" w14:paraId="163BCECA" w14:textId="77777777" w:rsidTr="00AA653D">
        <w:trPr>
          <w:gridAfter w:val="1"/>
          <w:wAfter w:w="14354" w:type="dxa"/>
          <w:trHeight w:val="288"/>
        </w:trPr>
        <w:tc>
          <w:tcPr>
            <w:tcW w:w="740" w:type="dxa"/>
            <w:tcBorders>
              <w:top w:val="nil"/>
              <w:left w:val="single" w:sz="4" w:space="0" w:color="auto"/>
              <w:bottom w:val="single" w:sz="4" w:space="0" w:color="auto"/>
              <w:right w:val="single" w:sz="4" w:space="0" w:color="auto"/>
            </w:tcBorders>
            <w:shd w:val="clear" w:color="000000" w:fill="808080"/>
            <w:vAlign w:val="center"/>
            <w:hideMark/>
          </w:tcPr>
          <w:p w14:paraId="23AC78DA" w14:textId="77777777" w:rsidR="009D50B5" w:rsidRDefault="009D50B5" w:rsidP="00AA653D">
            <w:pPr>
              <w:jc w:val="center"/>
              <w:rPr>
                <w:rFonts w:ascii="Tahoma" w:hAnsi="Tahoma" w:cs="Tahoma"/>
                <w:b/>
                <w:bCs/>
                <w:color w:val="FFFFFF"/>
                <w:sz w:val="18"/>
                <w:szCs w:val="18"/>
              </w:rPr>
            </w:pPr>
            <w:r>
              <w:rPr>
                <w:rFonts w:ascii="Tahoma" w:hAnsi="Tahoma" w:cs="Tahoma"/>
                <w:b/>
                <w:bCs/>
                <w:color w:val="FFFFFF"/>
                <w:sz w:val="18"/>
                <w:szCs w:val="18"/>
              </w:rPr>
              <w:t>5.</w:t>
            </w:r>
          </w:p>
        </w:tc>
        <w:tc>
          <w:tcPr>
            <w:tcW w:w="14286" w:type="dxa"/>
            <w:gridSpan w:val="2"/>
            <w:tcBorders>
              <w:top w:val="single" w:sz="4" w:space="0" w:color="auto"/>
              <w:left w:val="nil"/>
              <w:bottom w:val="single" w:sz="4" w:space="0" w:color="auto"/>
              <w:right w:val="single" w:sz="4" w:space="0" w:color="auto"/>
            </w:tcBorders>
            <w:shd w:val="clear" w:color="000000" w:fill="808080"/>
            <w:vAlign w:val="center"/>
            <w:hideMark/>
          </w:tcPr>
          <w:p w14:paraId="2AA4FAF2" w14:textId="77777777" w:rsidR="009D50B5" w:rsidRDefault="009D50B5" w:rsidP="00AA653D">
            <w:pPr>
              <w:rPr>
                <w:rFonts w:ascii="Tahoma" w:hAnsi="Tahoma" w:cs="Tahoma"/>
                <w:b/>
                <w:bCs/>
                <w:color w:val="FFFFFF"/>
                <w:sz w:val="18"/>
                <w:szCs w:val="18"/>
              </w:rPr>
            </w:pPr>
            <w:r>
              <w:rPr>
                <w:rFonts w:ascii="Tahoma" w:hAnsi="Tahoma" w:cs="Tahoma"/>
                <w:b/>
                <w:bCs/>
                <w:color w:val="FFFFFF"/>
                <w:sz w:val="18"/>
                <w:szCs w:val="18"/>
              </w:rPr>
              <w:t>Лимит кредитования</w:t>
            </w:r>
          </w:p>
        </w:tc>
      </w:tr>
      <w:tr w:rsidR="009D50B5" w14:paraId="70E787E7" w14:textId="77777777" w:rsidTr="00AA653D">
        <w:trPr>
          <w:gridAfter w:val="1"/>
          <w:wAfter w:w="14354" w:type="dxa"/>
          <w:trHeight w:val="315"/>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0F78C9B1"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5.1.</w:t>
            </w:r>
          </w:p>
        </w:tc>
        <w:tc>
          <w:tcPr>
            <w:tcW w:w="6631" w:type="dxa"/>
            <w:tcBorders>
              <w:top w:val="nil"/>
              <w:left w:val="nil"/>
              <w:bottom w:val="single" w:sz="4" w:space="0" w:color="auto"/>
              <w:right w:val="single" w:sz="4" w:space="0" w:color="auto"/>
            </w:tcBorders>
            <w:shd w:val="clear" w:color="auto" w:fill="auto"/>
            <w:vAlign w:val="center"/>
            <w:hideMark/>
          </w:tcPr>
          <w:p w14:paraId="27DE4885" w14:textId="77777777" w:rsidR="009D50B5" w:rsidRDefault="009D50B5" w:rsidP="00AA653D">
            <w:pPr>
              <w:rPr>
                <w:rFonts w:ascii="Tahoma" w:hAnsi="Tahoma" w:cs="Tahoma"/>
                <w:color w:val="000000"/>
                <w:sz w:val="18"/>
                <w:szCs w:val="18"/>
              </w:rPr>
            </w:pPr>
            <w:r>
              <w:rPr>
                <w:rFonts w:ascii="Tahoma" w:hAnsi="Tahoma" w:cs="Tahoma"/>
                <w:color w:val="000000"/>
                <w:sz w:val="18"/>
                <w:szCs w:val="18"/>
              </w:rPr>
              <w:t>минимальная сумма кредитного лимита</w:t>
            </w:r>
          </w:p>
        </w:tc>
        <w:tc>
          <w:tcPr>
            <w:tcW w:w="7655" w:type="dxa"/>
            <w:tcBorders>
              <w:top w:val="nil"/>
              <w:left w:val="nil"/>
              <w:bottom w:val="single" w:sz="4" w:space="0" w:color="auto"/>
              <w:right w:val="single" w:sz="4" w:space="0" w:color="auto"/>
            </w:tcBorders>
            <w:shd w:val="clear" w:color="auto" w:fill="auto"/>
            <w:vAlign w:val="center"/>
            <w:hideMark/>
          </w:tcPr>
          <w:p w14:paraId="1590D928"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Не предоставляется</w:t>
            </w:r>
          </w:p>
        </w:tc>
      </w:tr>
      <w:tr w:rsidR="009D50B5" w14:paraId="32052169" w14:textId="77777777" w:rsidTr="00AA653D">
        <w:trPr>
          <w:gridAfter w:val="1"/>
          <w:wAfter w:w="14354" w:type="dxa"/>
          <w:trHeight w:val="360"/>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7D55A7D8"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5.2.</w:t>
            </w:r>
          </w:p>
        </w:tc>
        <w:tc>
          <w:tcPr>
            <w:tcW w:w="6631" w:type="dxa"/>
            <w:tcBorders>
              <w:top w:val="nil"/>
              <w:left w:val="nil"/>
              <w:bottom w:val="single" w:sz="4" w:space="0" w:color="auto"/>
              <w:right w:val="single" w:sz="4" w:space="0" w:color="auto"/>
            </w:tcBorders>
            <w:shd w:val="clear" w:color="auto" w:fill="auto"/>
            <w:vAlign w:val="center"/>
            <w:hideMark/>
          </w:tcPr>
          <w:p w14:paraId="5A14FE48" w14:textId="77777777" w:rsidR="009D50B5" w:rsidRDefault="009D50B5" w:rsidP="00AA653D">
            <w:pPr>
              <w:rPr>
                <w:rFonts w:ascii="Tahoma" w:hAnsi="Tahoma" w:cs="Tahoma"/>
                <w:color w:val="000000"/>
                <w:sz w:val="18"/>
                <w:szCs w:val="18"/>
              </w:rPr>
            </w:pPr>
            <w:r>
              <w:rPr>
                <w:rFonts w:ascii="Tahoma" w:hAnsi="Tahoma" w:cs="Tahoma"/>
                <w:color w:val="000000"/>
                <w:sz w:val="18"/>
                <w:szCs w:val="18"/>
              </w:rPr>
              <w:t>максимальная сумма кредитного лимита</w:t>
            </w:r>
          </w:p>
        </w:tc>
        <w:tc>
          <w:tcPr>
            <w:tcW w:w="7655" w:type="dxa"/>
            <w:tcBorders>
              <w:top w:val="nil"/>
              <w:left w:val="nil"/>
              <w:bottom w:val="single" w:sz="4" w:space="0" w:color="auto"/>
              <w:right w:val="single" w:sz="4" w:space="0" w:color="auto"/>
            </w:tcBorders>
            <w:shd w:val="clear" w:color="auto" w:fill="auto"/>
            <w:vAlign w:val="center"/>
            <w:hideMark/>
          </w:tcPr>
          <w:p w14:paraId="726BF0E3"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Не предоставляется</w:t>
            </w:r>
          </w:p>
        </w:tc>
      </w:tr>
      <w:tr w:rsidR="009D50B5" w14:paraId="5B4E2A9C" w14:textId="77777777" w:rsidTr="00AA653D">
        <w:trPr>
          <w:gridAfter w:val="1"/>
          <w:wAfter w:w="14354" w:type="dxa"/>
          <w:trHeight w:val="288"/>
        </w:trPr>
        <w:tc>
          <w:tcPr>
            <w:tcW w:w="740" w:type="dxa"/>
            <w:tcBorders>
              <w:top w:val="nil"/>
              <w:left w:val="single" w:sz="4" w:space="0" w:color="auto"/>
              <w:bottom w:val="single" w:sz="4" w:space="0" w:color="auto"/>
              <w:right w:val="single" w:sz="4" w:space="0" w:color="auto"/>
            </w:tcBorders>
            <w:shd w:val="clear" w:color="000000" w:fill="808080"/>
            <w:vAlign w:val="center"/>
            <w:hideMark/>
          </w:tcPr>
          <w:p w14:paraId="09DF972F" w14:textId="77777777" w:rsidR="009D50B5" w:rsidRDefault="009D50B5" w:rsidP="00AA653D">
            <w:pPr>
              <w:jc w:val="center"/>
              <w:rPr>
                <w:rFonts w:ascii="Tahoma" w:hAnsi="Tahoma" w:cs="Tahoma"/>
                <w:b/>
                <w:bCs/>
                <w:color w:val="FFFFFF"/>
                <w:sz w:val="18"/>
                <w:szCs w:val="18"/>
              </w:rPr>
            </w:pPr>
            <w:r>
              <w:rPr>
                <w:rFonts w:ascii="Tahoma" w:hAnsi="Tahoma" w:cs="Tahoma"/>
                <w:b/>
                <w:bCs/>
                <w:color w:val="FFFFFF"/>
                <w:sz w:val="18"/>
                <w:szCs w:val="18"/>
              </w:rPr>
              <w:t>6.</w:t>
            </w:r>
          </w:p>
        </w:tc>
        <w:tc>
          <w:tcPr>
            <w:tcW w:w="14286" w:type="dxa"/>
            <w:gridSpan w:val="2"/>
            <w:tcBorders>
              <w:top w:val="single" w:sz="4" w:space="0" w:color="auto"/>
              <w:left w:val="nil"/>
              <w:bottom w:val="single" w:sz="4" w:space="0" w:color="auto"/>
              <w:right w:val="single" w:sz="4" w:space="0" w:color="auto"/>
            </w:tcBorders>
            <w:shd w:val="clear" w:color="000000" w:fill="808080"/>
            <w:vAlign w:val="center"/>
            <w:hideMark/>
          </w:tcPr>
          <w:p w14:paraId="61B797FA" w14:textId="77777777" w:rsidR="009D50B5" w:rsidRDefault="009D50B5" w:rsidP="00AA653D">
            <w:pPr>
              <w:rPr>
                <w:rFonts w:ascii="Tahoma" w:hAnsi="Tahoma" w:cs="Tahoma"/>
                <w:b/>
                <w:bCs/>
                <w:color w:val="FFFFFF"/>
                <w:sz w:val="18"/>
                <w:szCs w:val="18"/>
              </w:rPr>
            </w:pPr>
            <w:r>
              <w:rPr>
                <w:rFonts w:ascii="Tahoma" w:hAnsi="Tahoma" w:cs="Tahoma"/>
                <w:b/>
                <w:bCs/>
                <w:color w:val="FFFFFF"/>
                <w:sz w:val="18"/>
                <w:szCs w:val="18"/>
              </w:rPr>
              <w:t>Условия обслуживания карты</w:t>
            </w:r>
          </w:p>
        </w:tc>
      </w:tr>
      <w:tr w:rsidR="009D50B5" w14:paraId="6AEEBB0F" w14:textId="77777777" w:rsidTr="00AA653D">
        <w:trPr>
          <w:gridAfter w:val="1"/>
          <w:wAfter w:w="14354" w:type="dxa"/>
          <w:trHeight w:val="255"/>
        </w:trPr>
        <w:tc>
          <w:tcPr>
            <w:tcW w:w="740" w:type="dxa"/>
            <w:tcBorders>
              <w:top w:val="nil"/>
              <w:left w:val="single" w:sz="4" w:space="0" w:color="auto"/>
              <w:bottom w:val="single" w:sz="4" w:space="0" w:color="auto"/>
              <w:right w:val="single" w:sz="4" w:space="0" w:color="auto"/>
            </w:tcBorders>
            <w:shd w:val="clear" w:color="000000" w:fill="A6A6A6"/>
            <w:vAlign w:val="center"/>
            <w:hideMark/>
          </w:tcPr>
          <w:p w14:paraId="60C585E0" w14:textId="77777777" w:rsidR="009D50B5" w:rsidRDefault="009D50B5" w:rsidP="00AA653D">
            <w:pPr>
              <w:jc w:val="center"/>
              <w:rPr>
                <w:rFonts w:ascii="Tahoma" w:hAnsi="Tahoma" w:cs="Tahoma"/>
                <w:b/>
                <w:bCs/>
                <w:sz w:val="18"/>
                <w:szCs w:val="18"/>
              </w:rPr>
            </w:pPr>
            <w:r>
              <w:rPr>
                <w:rFonts w:ascii="Tahoma" w:hAnsi="Tahoma" w:cs="Tahoma"/>
                <w:b/>
                <w:bCs/>
                <w:sz w:val="18"/>
                <w:szCs w:val="18"/>
              </w:rPr>
              <w:t>6.1.</w:t>
            </w:r>
          </w:p>
        </w:tc>
        <w:tc>
          <w:tcPr>
            <w:tcW w:w="14286" w:type="dxa"/>
            <w:gridSpan w:val="2"/>
            <w:tcBorders>
              <w:top w:val="single" w:sz="4" w:space="0" w:color="auto"/>
              <w:left w:val="nil"/>
              <w:bottom w:val="single" w:sz="4" w:space="0" w:color="auto"/>
              <w:right w:val="single" w:sz="4" w:space="0" w:color="auto"/>
            </w:tcBorders>
            <w:shd w:val="clear" w:color="000000" w:fill="A6A6A6"/>
            <w:vAlign w:val="center"/>
            <w:hideMark/>
          </w:tcPr>
          <w:p w14:paraId="14ADCF19" w14:textId="77777777" w:rsidR="009D50B5" w:rsidRDefault="009D50B5" w:rsidP="00AA653D">
            <w:pPr>
              <w:rPr>
                <w:rFonts w:ascii="Tahoma" w:hAnsi="Tahoma" w:cs="Tahoma"/>
                <w:b/>
                <w:bCs/>
                <w:sz w:val="18"/>
                <w:szCs w:val="18"/>
              </w:rPr>
            </w:pPr>
            <w:r>
              <w:rPr>
                <w:rFonts w:ascii="Tahoma" w:hAnsi="Tahoma" w:cs="Tahoma"/>
                <w:b/>
                <w:bCs/>
                <w:sz w:val="18"/>
                <w:szCs w:val="18"/>
              </w:rPr>
              <w:t>Лимиты выдачи наличных денежных средств с помощью банковской карты</w:t>
            </w:r>
          </w:p>
        </w:tc>
      </w:tr>
      <w:tr w:rsidR="009D50B5" w14:paraId="2FBDDE3D" w14:textId="77777777" w:rsidTr="00AA653D">
        <w:trPr>
          <w:gridAfter w:val="1"/>
          <w:wAfter w:w="14354" w:type="dxa"/>
          <w:trHeight w:val="870"/>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638B2B81" w14:textId="77777777" w:rsidR="009D50B5" w:rsidRDefault="009D50B5" w:rsidP="00AA653D">
            <w:pPr>
              <w:rPr>
                <w:rFonts w:ascii="Tahoma" w:hAnsi="Tahoma" w:cs="Tahoma"/>
                <w:color w:val="000000"/>
                <w:sz w:val="18"/>
                <w:szCs w:val="18"/>
              </w:rPr>
            </w:pPr>
            <w:r>
              <w:rPr>
                <w:rFonts w:ascii="Tahoma" w:hAnsi="Tahoma" w:cs="Tahoma"/>
                <w:color w:val="000000"/>
                <w:sz w:val="18"/>
                <w:szCs w:val="18"/>
              </w:rPr>
              <w:t>6.1.1.</w:t>
            </w:r>
          </w:p>
        </w:tc>
        <w:tc>
          <w:tcPr>
            <w:tcW w:w="6631" w:type="dxa"/>
            <w:tcBorders>
              <w:top w:val="nil"/>
              <w:left w:val="nil"/>
              <w:bottom w:val="single" w:sz="4" w:space="0" w:color="auto"/>
              <w:right w:val="single" w:sz="4" w:space="0" w:color="auto"/>
            </w:tcBorders>
            <w:shd w:val="clear" w:color="auto" w:fill="auto"/>
            <w:vAlign w:val="center"/>
            <w:hideMark/>
          </w:tcPr>
          <w:p w14:paraId="6D10D3D8" w14:textId="77777777" w:rsidR="009D50B5" w:rsidRDefault="009D50B5" w:rsidP="00AA653D">
            <w:pPr>
              <w:rPr>
                <w:rFonts w:ascii="Tahoma" w:hAnsi="Tahoma" w:cs="Tahoma"/>
                <w:color w:val="000000"/>
                <w:sz w:val="18"/>
                <w:szCs w:val="18"/>
              </w:rPr>
            </w:pPr>
            <w:r>
              <w:rPr>
                <w:rFonts w:ascii="Tahoma" w:hAnsi="Tahoma" w:cs="Tahoma"/>
                <w:color w:val="000000"/>
                <w:sz w:val="18"/>
                <w:szCs w:val="18"/>
              </w:rPr>
              <w:t>ежедневный лимит совершения операций выдачи наличных в банкоматах любых банков, в т.ч. АТБ (АО)</w:t>
            </w:r>
            <w:r>
              <w:rPr>
                <w:rFonts w:ascii="Tahoma" w:hAnsi="Tahoma" w:cs="Tahoma"/>
                <w:color w:val="000000"/>
                <w:sz w:val="18"/>
                <w:szCs w:val="18"/>
                <w:vertAlign w:val="superscript"/>
              </w:rPr>
              <w:t>3</w:t>
            </w:r>
            <w:r>
              <w:rPr>
                <w:rFonts w:ascii="Tahoma" w:hAnsi="Tahoma" w:cs="Tahoma"/>
                <w:color w:val="000000"/>
                <w:sz w:val="18"/>
                <w:szCs w:val="18"/>
              </w:rPr>
              <w:t xml:space="preserve"> (от 00 до 24 ч. московского времени)</w:t>
            </w:r>
          </w:p>
        </w:tc>
        <w:tc>
          <w:tcPr>
            <w:tcW w:w="7655" w:type="dxa"/>
            <w:tcBorders>
              <w:top w:val="nil"/>
              <w:left w:val="nil"/>
              <w:bottom w:val="single" w:sz="4" w:space="0" w:color="auto"/>
              <w:right w:val="single" w:sz="4" w:space="0" w:color="auto"/>
            </w:tcBorders>
            <w:shd w:val="clear" w:color="auto" w:fill="auto"/>
            <w:vAlign w:val="center"/>
            <w:hideMark/>
          </w:tcPr>
          <w:p w14:paraId="399BF975"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150 000 рублей</w:t>
            </w:r>
          </w:p>
        </w:tc>
      </w:tr>
      <w:tr w:rsidR="009D50B5" w14:paraId="34C2EB7D" w14:textId="77777777" w:rsidTr="00AA653D">
        <w:trPr>
          <w:gridAfter w:val="1"/>
          <w:wAfter w:w="14354" w:type="dxa"/>
          <w:trHeight w:val="945"/>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220390BF" w14:textId="77777777" w:rsidR="009D50B5" w:rsidRDefault="009D50B5" w:rsidP="00AA653D">
            <w:pPr>
              <w:rPr>
                <w:rFonts w:ascii="Tahoma" w:hAnsi="Tahoma" w:cs="Tahoma"/>
                <w:color w:val="000000"/>
                <w:sz w:val="18"/>
                <w:szCs w:val="18"/>
              </w:rPr>
            </w:pPr>
            <w:r>
              <w:rPr>
                <w:rFonts w:ascii="Tahoma" w:hAnsi="Tahoma" w:cs="Tahoma"/>
                <w:color w:val="000000"/>
                <w:sz w:val="18"/>
                <w:szCs w:val="18"/>
              </w:rPr>
              <w:t>6.1.2.</w:t>
            </w:r>
          </w:p>
        </w:tc>
        <w:tc>
          <w:tcPr>
            <w:tcW w:w="6631" w:type="dxa"/>
            <w:tcBorders>
              <w:top w:val="nil"/>
              <w:left w:val="nil"/>
              <w:bottom w:val="single" w:sz="4" w:space="0" w:color="auto"/>
              <w:right w:val="single" w:sz="4" w:space="0" w:color="auto"/>
            </w:tcBorders>
            <w:shd w:val="clear" w:color="auto" w:fill="auto"/>
            <w:vAlign w:val="center"/>
            <w:hideMark/>
          </w:tcPr>
          <w:p w14:paraId="7DD4A6E8" w14:textId="77777777" w:rsidR="009D50B5" w:rsidRDefault="009D50B5" w:rsidP="00AA653D">
            <w:pPr>
              <w:rPr>
                <w:rFonts w:ascii="Tahoma" w:hAnsi="Tahoma" w:cs="Tahoma"/>
                <w:color w:val="000000"/>
                <w:sz w:val="18"/>
                <w:szCs w:val="18"/>
              </w:rPr>
            </w:pPr>
            <w:r>
              <w:rPr>
                <w:rFonts w:ascii="Tahoma" w:hAnsi="Tahoma" w:cs="Tahoma"/>
                <w:color w:val="000000"/>
                <w:sz w:val="18"/>
                <w:szCs w:val="18"/>
              </w:rPr>
              <w:t>ежемесячный лимит совершения операций выдачи наличных  в банкоматах и в пунктах выдачи наличных любых банков, в т.ч. АТБ (АО)</w:t>
            </w:r>
            <w:r>
              <w:rPr>
                <w:rFonts w:ascii="Tahoma" w:hAnsi="Tahoma" w:cs="Tahoma"/>
                <w:color w:val="000000"/>
                <w:sz w:val="18"/>
                <w:szCs w:val="18"/>
                <w:vertAlign w:val="superscript"/>
              </w:rPr>
              <w:t>3</w:t>
            </w:r>
            <w:r>
              <w:rPr>
                <w:rFonts w:ascii="Tahoma" w:hAnsi="Tahoma" w:cs="Tahoma"/>
                <w:color w:val="000000"/>
                <w:sz w:val="18"/>
                <w:szCs w:val="18"/>
              </w:rPr>
              <w:t xml:space="preserve"> (в течение календарного месяца)</w:t>
            </w:r>
          </w:p>
        </w:tc>
        <w:tc>
          <w:tcPr>
            <w:tcW w:w="7655" w:type="dxa"/>
            <w:tcBorders>
              <w:top w:val="nil"/>
              <w:left w:val="nil"/>
              <w:bottom w:val="single" w:sz="4" w:space="0" w:color="auto"/>
              <w:right w:val="single" w:sz="4" w:space="0" w:color="auto"/>
            </w:tcBorders>
            <w:shd w:val="clear" w:color="auto" w:fill="auto"/>
            <w:vAlign w:val="center"/>
            <w:hideMark/>
          </w:tcPr>
          <w:p w14:paraId="621402F9"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500 000 рублей</w:t>
            </w:r>
          </w:p>
        </w:tc>
      </w:tr>
      <w:tr w:rsidR="009D50B5" w14:paraId="691C082B" w14:textId="77777777" w:rsidTr="00AA653D">
        <w:trPr>
          <w:gridAfter w:val="1"/>
          <w:wAfter w:w="14354" w:type="dxa"/>
          <w:trHeight w:val="936"/>
        </w:trPr>
        <w:tc>
          <w:tcPr>
            <w:tcW w:w="740" w:type="dxa"/>
            <w:tcBorders>
              <w:top w:val="nil"/>
              <w:left w:val="single" w:sz="4" w:space="0" w:color="auto"/>
              <w:bottom w:val="single" w:sz="4" w:space="0" w:color="auto"/>
              <w:right w:val="single" w:sz="4" w:space="0" w:color="auto"/>
            </w:tcBorders>
            <w:shd w:val="clear" w:color="000000" w:fill="FFFFFF"/>
            <w:vAlign w:val="center"/>
            <w:hideMark/>
          </w:tcPr>
          <w:p w14:paraId="34D0FCDE" w14:textId="77777777" w:rsidR="009D50B5" w:rsidRDefault="009D50B5" w:rsidP="00AA653D">
            <w:pPr>
              <w:rPr>
                <w:rFonts w:ascii="Tahoma" w:hAnsi="Tahoma" w:cs="Tahoma"/>
                <w:sz w:val="18"/>
                <w:szCs w:val="18"/>
              </w:rPr>
            </w:pPr>
            <w:r>
              <w:rPr>
                <w:rFonts w:ascii="Tahoma" w:hAnsi="Tahoma" w:cs="Tahoma"/>
                <w:sz w:val="18"/>
                <w:szCs w:val="18"/>
              </w:rPr>
              <w:t>6.1.3.</w:t>
            </w:r>
          </w:p>
        </w:tc>
        <w:tc>
          <w:tcPr>
            <w:tcW w:w="6631" w:type="dxa"/>
            <w:tcBorders>
              <w:top w:val="nil"/>
              <w:left w:val="nil"/>
              <w:bottom w:val="single" w:sz="4" w:space="0" w:color="auto"/>
              <w:right w:val="single" w:sz="4" w:space="0" w:color="auto"/>
            </w:tcBorders>
            <w:shd w:val="clear" w:color="000000" w:fill="FFFFFF"/>
            <w:vAlign w:val="center"/>
            <w:hideMark/>
          </w:tcPr>
          <w:p w14:paraId="50819E0C" w14:textId="77777777" w:rsidR="009D50B5" w:rsidRDefault="009D50B5" w:rsidP="00AA653D">
            <w:pPr>
              <w:rPr>
                <w:rFonts w:ascii="Tahoma" w:hAnsi="Tahoma" w:cs="Tahoma"/>
                <w:sz w:val="18"/>
                <w:szCs w:val="18"/>
              </w:rPr>
            </w:pPr>
            <w:r>
              <w:rPr>
                <w:rFonts w:ascii="Tahoma" w:hAnsi="Tahoma" w:cs="Tahoma"/>
                <w:sz w:val="18"/>
                <w:szCs w:val="18"/>
              </w:rPr>
              <w:t>ежедневный лимит снятия наличных в ТСП</w:t>
            </w:r>
            <w:r>
              <w:rPr>
                <w:rFonts w:ascii="Tahoma" w:hAnsi="Tahoma" w:cs="Tahoma"/>
                <w:sz w:val="18"/>
                <w:szCs w:val="18"/>
                <w:vertAlign w:val="superscript"/>
              </w:rPr>
              <w:t>2</w:t>
            </w:r>
            <w:r>
              <w:rPr>
                <w:rFonts w:ascii="Tahoma" w:hAnsi="Tahoma" w:cs="Tahoma"/>
                <w:sz w:val="18"/>
                <w:szCs w:val="18"/>
              </w:rPr>
              <w:t>, предоставляющих услугу выдачи наличных денежных средств при совершении покупки (от 00 до 24 ч. московского времени) с одного Счета Карты Клиента</w:t>
            </w:r>
          </w:p>
        </w:tc>
        <w:tc>
          <w:tcPr>
            <w:tcW w:w="7655" w:type="dxa"/>
            <w:tcBorders>
              <w:top w:val="nil"/>
              <w:left w:val="nil"/>
              <w:bottom w:val="single" w:sz="4" w:space="0" w:color="auto"/>
              <w:right w:val="single" w:sz="4" w:space="0" w:color="auto"/>
            </w:tcBorders>
            <w:shd w:val="clear" w:color="000000" w:fill="FFFFFF"/>
            <w:noWrap/>
            <w:vAlign w:val="center"/>
            <w:hideMark/>
          </w:tcPr>
          <w:p w14:paraId="1799248E" w14:textId="77777777" w:rsidR="009D50B5" w:rsidRDefault="009D50B5" w:rsidP="00AA653D">
            <w:pPr>
              <w:jc w:val="center"/>
              <w:rPr>
                <w:rFonts w:ascii="Tahoma" w:hAnsi="Tahoma" w:cs="Tahoma"/>
                <w:sz w:val="18"/>
                <w:szCs w:val="18"/>
              </w:rPr>
            </w:pPr>
            <w:r>
              <w:rPr>
                <w:rFonts w:ascii="Tahoma" w:hAnsi="Tahoma" w:cs="Tahoma"/>
                <w:sz w:val="18"/>
                <w:szCs w:val="18"/>
              </w:rPr>
              <w:t>5 000 рублей</w:t>
            </w:r>
          </w:p>
        </w:tc>
      </w:tr>
      <w:tr w:rsidR="009D50B5" w14:paraId="428184C2" w14:textId="77777777" w:rsidTr="00AA653D">
        <w:trPr>
          <w:gridAfter w:val="1"/>
          <w:wAfter w:w="14354" w:type="dxa"/>
          <w:trHeight w:val="936"/>
        </w:trPr>
        <w:tc>
          <w:tcPr>
            <w:tcW w:w="740" w:type="dxa"/>
            <w:tcBorders>
              <w:top w:val="nil"/>
              <w:left w:val="single" w:sz="4" w:space="0" w:color="auto"/>
              <w:bottom w:val="single" w:sz="4" w:space="0" w:color="auto"/>
              <w:right w:val="single" w:sz="4" w:space="0" w:color="auto"/>
            </w:tcBorders>
            <w:shd w:val="clear" w:color="000000" w:fill="FFFFFF"/>
            <w:vAlign w:val="center"/>
            <w:hideMark/>
          </w:tcPr>
          <w:p w14:paraId="73723661" w14:textId="77777777" w:rsidR="009D50B5" w:rsidRDefault="009D50B5" w:rsidP="00AA653D">
            <w:pPr>
              <w:rPr>
                <w:rFonts w:ascii="Tahoma" w:hAnsi="Tahoma" w:cs="Tahoma"/>
                <w:sz w:val="18"/>
                <w:szCs w:val="18"/>
              </w:rPr>
            </w:pPr>
            <w:r>
              <w:rPr>
                <w:rFonts w:ascii="Tahoma" w:hAnsi="Tahoma" w:cs="Tahoma"/>
                <w:sz w:val="18"/>
                <w:szCs w:val="18"/>
              </w:rPr>
              <w:t>6.1.4.</w:t>
            </w:r>
          </w:p>
        </w:tc>
        <w:tc>
          <w:tcPr>
            <w:tcW w:w="6631" w:type="dxa"/>
            <w:tcBorders>
              <w:top w:val="nil"/>
              <w:left w:val="nil"/>
              <w:bottom w:val="single" w:sz="4" w:space="0" w:color="auto"/>
              <w:right w:val="single" w:sz="4" w:space="0" w:color="auto"/>
            </w:tcBorders>
            <w:shd w:val="clear" w:color="000000" w:fill="FFFFFF"/>
            <w:noWrap/>
            <w:vAlign w:val="center"/>
            <w:hideMark/>
          </w:tcPr>
          <w:p w14:paraId="7F9D227E" w14:textId="77777777" w:rsidR="009D50B5" w:rsidRDefault="009D50B5" w:rsidP="00AA653D">
            <w:pPr>
              <w:jc w:val="both"/>
              <w:rPr>
                <w:rFonts w:ascii="Tahoma" w:hAnsi="Tahoma" w:cs="Tahoma"/>
                <w:sz w:val="18"/>
                <w:szCs w:val="18"/>
              </w:rPr>
            </w:pPr>
            <w:r>
              <w:rPr>
                <w:rFonts w:ascii="Tahoma" w:hAnsi="Tahoma" w:cs="Tahoma"/>
                <w:sz w:val="18"/>
                <w:szCs w:val="18"/>
              </w:rPr>
              <w:t>ежемесячный лимит снятия наличных в ТСП</w:t>
            </w:r>
            <w:r>
              <w:rPr>
                <w:rFonts w:ascii="Tahoma" w:hAnsi="Tahoma" w:cs="Tahoma"/>
                <w:sz w:val="18"/>
                <w:szCs w:val="18"/>
                <w:vertAlign w:val="superscript"/>
              </w:rPr>
              <w:t>2</w:t>
            </w:r>
            <w:r>
              <w:rPr>
                <w:rFonts w:ascii="Tahoma" w:hAnsi="Tahoma" w:cs="Tahoma"/>
                <w:sz w:val="18"/>
                <w:szCs w:val="18"/>
              </w:rPr>
              <w:t>, предоставляющих услугу выдачи наличных денежных средств при совершении покупки (в течение календарного месяца) с одного Счета Карты Клиента</w:t>
            </w:r>
          </w:p>
        </w:tc>
        <w:tc>
          <w:tcPr>
            <w:tcW w:w="7655" w:type="dxa"/>
            <w:tcBorders>
              <w:top w:val="nil"/>
              <w:left w:val="nil"/>
              <w:bottom w:val="single" w:sz="4" w:space="0" w:color="auto"/>
              <w:right w:val="single" w:sz="4" w:space="0" w:color="auto"/>
            </w:tcBorders>
            <w:shd w:val="clear" w:color="000000" w:fill="FFFFFF"/>
            <w:noWrap/>
            <w:vAlign w:val="center"/>
            <w:hideMark/>
          </w:tcPr>
          <w:p w14:paraId="4A413455" w14:textId="77777777" w:rsidR="009D50B5" w:rsidRDefault="009D50B5" w:rsidP="00AA653D">
            <w:pPr>
              <w:jc w:val="center"/>
              <w:rPr>
                <w:rFonts w:ascii="Tahoma" w:hAnsi="Tahoma" w:cs="Tahoma"/>
                <w:sz w:val="18"/>
                <w:szCs w:val="18"/>
              </w:rPr>
            </w:pPr>
            <w:r>
              <w:rPr>
                <w:rFonts w:ascii="Tahoma" w:hAnsi="Tahoma" w:cs="Tahoma"/>
                <w:sz w:val="18"/>
                <w:szCs w:val="18"/>
              </w:rPr>
              <w:t>30 000 рублей</w:t>
            </w:r>
          </w:p>
        </w:tc>
      </w:tr>
      <w:tr w:rsidR="009D50B5" w14:paraId="4A2E5C70" w14:textId="77777777" w:rsidTr="00AA653D">
        <w:trPr>
          <w:gridAfter w:val="1"/>
          <w:wAfter w:w="14354" w:type="dxa"/>
          <w:trHeight w:val="255"/>
        </w:trPr>
        <w:tc>
          <w:tcPr>
            <w:tcW w:w="740" w:type="dxa"/>
            <w:tcBorders>
              <w:top w:val="nil"/>
              <w:left w:val="single" w:sz="4" w:space="0" w:color="auto"/>
              <w:bottom w:val="single" w:sz="4" w:space="0" w:color="auto"/>
              <w:right w:val="single" w:sz="4" w:space="0" w:color="auto"/>
            </w:tcBorders>
            <w:shd w:val="clear" w:color="000000" w:fill="A6A6A6"/>
            <w:vAlign w:val="center"/>
            <w:hideMark/>
          </w:tcPr>
          <w:p w14:paraId="7DCEE52F" w14:textId="77777777" w:rsidR="009D50B5" w:rsidRDefault="009D50B5" w:rsidP="00AA653D">
            <w:pPr>
              <w:jc w:val="center"/>
              <w:rPr>
                <w:rFonts w:ascii="Tahoma" w:hAnsi="Tahoma" w:cs="Tahoma"/>
                <w:b/>
                <w:bCs/>
                <w:sz w:val="18"/>
                <w:szCs w:val="18"/>
              </w:rPr>
            </w:pPr>
            <w:r>
              <w:rPr>
                <w:rFonts w:ascii="Tahoma" w:hAnsi="Tahoma" w:cs="Tahoma"/>
                <w:b/>
                <w:bCs/>
                <w:sz w:val="18"/>
                <w:szCs w:val="18"/>
              </w:rPr>
              <w:t>6.2.</w:t>
            </w:r>
          </w:p>
        </w:tc>
        <w:tc>
          <w:tcPr>
            <w:tcW w:w="14286" w:type="dxa"/>
            <w:gridSpan w:val="2"/>
            <w:tcBorders>
              <w:top w:val="single" w:sz="4" w:space="0" w:color="auto"/>
              <w:left w:val="nil"/>
              <w:bottom w:val="single" w:sz="4" w:space="0" w:color="auto"/>
              <w:right w:val="single" w:sz="4" w:space="0" w:color="auto"/>
            </w:tcBorders>
            <w:shd w:val="clear" w:color="000000" w:fill="A6A6A6"/>
            <w:vAlign w:val="center"/>
            <w:hideMark/>
          </w:tcPr>
          <w:p w14:paraId="053B2CB2" w14:textId="77777777" w:rsidR="009D50B5" w:rsidRDefault="009D50B5" w:rsidP="00AA653D">
            <w:pPr>
              <w:rPr>
                <w:rFonts w:ascii="Tahoma" w:hAnsi="Tahoma" w:cs="Tahoma"/>
                <w:b/>
                <w:bCs/>
                <w:sz w:val="18"/>
                <w:szCs w:val="18"/>
              </w:rPr>
            </w:pPr>
            <w:r>
              <w:rPr>
                <w:rFonts w:ascii="Tahoma" w:hAnsi="Tahoma" w:cs="Tahoma"/>
                <w:b/>
                <w:bCs/>
                <w:sz w:val="18"/>
                <w:szCs w:val="18"/>
              </w:rPr>
              <w:t>Совершение безналичных операций в ТСП</w:t>
            </w:r>
            <w:r>
              <w:rPr>
                <w:rFonts w:ascii="Tahoma" w:hAnsi="Tahoma" w:cs="Tahoma"/>
                <w:b/>
                <w:bCs/>
                <w:sz w:val="18"/>
                <w:szCs w:val="18"/>
                <w:vertAlign w:val="superscript"/>
              </w:rPr>
              <w:t>2</w:t>
            </w:r>
            <w:r>
              <w:rPr>
                <w:rFonts w:ascii="Tahoma" w:hAnsi="Tahoma" w:cs="Tahoma"/>
                <w:b/>
                <w:bCs/>
                <w:sz w:val="18"/>
                <w:szCs w:val="18"/>
              </w:rPr>
              <w:t xml:space="preserve"> и сети Интернет (оплата товаров, работ, услуг)</w:t>
            </w:r>
          </w:p>
        </w:tc>
      </w:tr>
      <w:tr w:rsidR="009D50B5" w14:paraId="68464182" w14:textId="77777777" w:rsidTr="00AA653D">
        <w:trPr>
          <w:gridAfter w:val="1"/>
          <w:wAfter w:w="14354" w:type="dxa"/>
          <w:trHeight w:val="780"/>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6F9D223B"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6.2.1.</w:t>
            </w:r>
          </w:p>
        </w:tc>
        <w:tc>
          <w:tcPr>
            <w:tcW w:w="6631" w:type="dxa"/>
            <w:tcBorders>
              <w:top w:val="nil"/>
              <w:left w:val="nil"/>
              <w:bottom w:val="single" w:sz="4" w:space="0" w:color="auto"/>
              <w:right w:val="single" w:sz="4" w:space="0" w:color="auto"/>
            </w:tcBorders>
            <w:shd w:val="clear" w:color="auto" w:fill="auto"/>
            <w:vAlign w:val="center"/>
            <w:hideMark/>
          </w:tcPr>
          <w:p w14:paraId="7A3720B3" w14:textId="77777777" w:rsidR="009D50B5" w:rsidRDefault="009D50B5" w:rsidP="00AA653D">
            <w:pPr>
              <w:rPr>
                <w:rFonts w:ascii="Tahoma" w:hAnsi="Tahoma" w:cs="Tahoma"/>
                <w:color w:val="000000"/>
                <w:sz w:val="18"/>
                <w:szCs w:val="18"/>
              </w:rPr>
            </w:pPr>
            <w:r>
              <w:rPr>
                <w:rFonts w:ascii="Tahoma" w:hAnsi="Tahoma" w:cs="Tahoma"/>
                <w:color w:val="000000"/>
                <w:sz w:val="18"/>
                <w:szCs w:val="18"/>
              </w:rPr>
              <w:t>совершение безналичных операций в ТСП</w:t>
            </w:r>
            <w:r>
              <w:rPr>
                <w:rFonts w:ascii="Tahoma" w:hAnsi="Tahoma" w:cs="Tahoma"/>
                <w:color w:val="000000"/>
                <w:sz w:val="18"/>
                <w:szCs w:val="18"/>
                <w:vertAlign w:val="superscript"/>
              </w:rPr>
              <w:t>2</w:t>
            </w:r>
            <w:r>
              <w:rPr>
                <w:rFonts w:ascii="Tahoma" w:hAnsi="Tahoma" w:cs="Tahoma"/>
                <w:color w:val="000000"/>
                <w:sz w:val="18"/>
                <w:szCs w:val="18"/>
              </w:rPr>
              <w:t xml:space="preserve"> (оплата товаров, работ, услуг), от суммы операции</w:t>
            </w:r>
          </w:p>
        </w:tc>
        <w:tc>
          <w:tcPr>
            <w:tcW w:w="7655" w:type="dxa"/>
            <w:tcBorders>
              <w:top w:val="nil"/>
              <w:left w:val="nil"/>
              <w:bottom w:val="single" w:sz="4" w:space="0" w:color="auto"/>
              <w:right w:val="single" w:sz="4" w:space="0" w:color="auto"/>
            </w:tcBorders>
            <w:shd w:val="clear" w:color="auto" w:fill="auto"/>
            <w:vAlign w:val="center"/>
            <w:hideMark/>
          </w:tcPr>
          <w:p w14:paraId="2FEE6931" w14:textId="77777777" w:rsidR="009D50B5" w:rsidRDefault="009D50B5" w:rsidP="00AA653D">
            <w:pPr>
              <w:jc w:val="center"/>
              <w:rPr>
                <w:rFonts w:ascii="Tahoma" w:hAnsi="Tahoma" w:cs="Tahoma"/>
                <w:b/>
                <w:bCs/>
                <w:color w:val="000000"/>
                <w:sz w:val="18"/>
                <w:szCs w:val="18"/>
              </w:rPr>
            </w:pPr>
            <w:r>
              <w:rPr>
                <w:rFonts w:ascii="Tahoma" w:hAnsi="Tahoma" w:cs="Tahoma"/>
                <w:b/>
                <w:bCs/>
                <w:color w:val="000000"/>
                <w:sz w:val="18"/>
                <w:szCs w:val="18"/>
              </w:rPr>
              <w:t>БЕСПЛАТНО</w:t>
            </w:r>
          </w:p>
        </w:tc>
      </w:tr>
      <w:tr w:rsidR="009D50B5" w14:paraId="47EFC889" w14:textId="77777777" w:rsidTr="00AA653D">
        <w:trPr>
          <w:gridAfter w:val="1"/>
          <w:wAfter w:w="14354" w:type="dxa"/>
          <w:trHeight w:val="1065"/>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6A4C07B8"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6.2.2.</w:t>
            </w:r>
          </w:p>
        </w:tc>
        <w:tc>
          <w:tcPr>
            <w:tcW w:w="6631" w:type="dxa"/>
            <w:tcBorders>
              <w:top w:val="nil"/>
              <w:left w:val="nil"/>
              <w:bottom w:val="single" w:sz="4" w:space="0" w:color="auto"/>
              <w:right w:val="single" w:sz="4" w:space="0" w:color="auto"/>
            </w:tcBorders>
            <w:shd w:val="clear" w:color="auto" w:fill="auto"/>
            <w:vAlign w:val="center"/>
            <w:hideMark/>
          </w:tcPr>
          <w:p w14:paraId="01D1027A" w14:textId="77777777" w:rsidR="009D50B5" w:rsidRDefault="009D50B5" w:rsidP="00AA653D">
            <w:pPr>
              <w:rPr>
                <w:rFonts w:ascii="Tahoma" w:hAnsi="Tahoma" w:cs="Tahoma"/>
                <w:color w:val="000000"/>
                <w:sz w:val="18"/>
                <w:szCs w:val="18"/>
              </w:rPr>
            </w:pPr>
            <w:r>
              <w:rPr>
                <w:rFonts w:ascii="Tahoma" w:hAnsi="Tahoma" w:cs="Tahoma"/>
                <w:color w:val="000000"/>
                <w:sz w:val="18"/>
                <w:szCs w:val="18"/>
              </w:rPr>
              <w:t>проведение «уникальных» транзакций: квази-cash (оплата дорожных чеков, денежных обязательств), «игровые транзакции» (оплата лотерейных билетов, игровых фишек в казино)</w:t>
            </w:r>
            <w:r>
              <w:rPr>
                <w:rFonts w:ascii="Tahoma" w:hAnsi="Tahoma" w:cs="Tahoma"/>
                <w:color w:val="000000"/>
                <w:sz w:val="18"/>
                <w:szCs w:val="18"/>
                <w:vertAlign w:val="superscript"/>
              </w:rPr>
              <w:t xml:space="preserve">4 </w:t>
            </w:r>
            <w:r>
              <w:rPr>
                <w:rFonts w:ascii="Tahoma" w:hAnsi="Tahoma" w:cs="Tahoma"/>
                <w:color w:val="000000"/>
                <w:sz w:val="18"/>
                <w:szCs w:val="18"/>
              </w:rPr>
              <w:t>и пр.</w:t>
            </w:r>
          </w:p>
        </w:tc>
        <w:tc>
          <w:tcPr>
            <w:tcW w:w="7655" w:type="dxa"/>
            <w:tcBorders>
              <w:top w:val="nil"/>
              <w:left w:val="nil"/>
              <w:bottom w:val="single" w:sz="4" w:space="0" w:color="auto"/>
              <w:right w:val="single" w:sz="4" w:space="0" w:color="auto"/>
            </w:tcBorders>
            <w:shd w:val="clear" w:color="auto" w:fill="auto"/>
            <w:vAlign w:val="center"/>
            <w:hideMark/>
          </w:tcPr>
          <w:p w14:paraId="4A58B39F"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1% от суммы операции</w:t>
            </w:r>
          </w:p>
        </w:tc>
      </w:tr>
      <w:tr w:rsidR="009D50B5" w14:paraId="419E64FA" w14:textId="77777777" w:rsidTr="00AA653D">
        <w:trPr>
          <w:gridAfter w:val="1"/>
          <w:wAfter w:w="14354" w:type="dxa"/>
          <w:trHeight w:val="420"/>
        </w:trPr>
        <w:tc>
          <w:tcPr>
            <w:tcW w:w="740" w:type="dxa"/>
            <w:tcBorders>
              <w:top w:val="nil"/>
              <w:left w:val="single" w:sz="4" w:space="0" w:color="auto"/>
              <w:bottom w:val="single" w:sz="4" w:space="0" w:color="auto"/>
              <w:right w:val="single" w:sz="4" w:space="0" w:color="auto"/>
            </w:tcBorders>
            <w:shd w:val="clear" w:color="000000" w:fill="A6A6A6"/>
            <w:vAlign w:val="center"/>
            <w:hideMark/>
          </w:tcPr>
          <w:p w14:paraId="54ECFE38" w14:textId="77777777" w:rsidR="009D50B5" w:rsidRDefault="009D50B5" w:rsidP="00AA653D">
            <w:pPr>
              <w:jc w:val="center"/>
              <w:rPr>
                <w:rFonts w:ascii="Tahoma" w:hAnsi="Tahoma" w:cs="Tahoma"/>
                <w:b/>
                <w:bCs/>
                <w:sz w:val="18"/>
                <w:szCs w:val="18"/>
              </w:rPr>
            </w:pPr>
            <w:r>
              <w:rPr>
                <w:rFonts w:ascii="Tahoma" w:hAnsi="Tahoma" w:cs="Tahoma"/>
                <w:b/>
                <w:bCs/>
                <w:sz w:val="18"/>
                <w:szCs w:val="18"/>
              </w:rPr>
              <w:t>6.3.</w:t>
            </w:r>
          </w:p>
        </w:tc>
        <w:tc>
          <w:tcPr>
            <w:tcW w:w="14286" w:type="dxa"/>
            <w:gridSpan w:val="2"/>
            <w:tcBorders>
              <w:top w:val="single" w:sz="4" w:space="0" w:color="auto"/>
              <w:left w:val="nil"/>
              <w:bottom w:val="single" w:sz="4" w:space="0" w:color="auto"/>
              <w:right w:val="single" w:sz="4" w:space="0" w:color="auto"/>
            </w:tcBorders>
            <w:shd w:val="clear" w:color="000000" w:fill="A6A6A6"/>
            <w:vAlign w:val="center"/>
            <w:hideMark/>
          </w:tcPr>
          <w:p w14:paraId="22E18B01" w14:textId="77777777" w:rsidR="009D50B5" w:rsidRDefault="009D50B5" w:rsidP="00AA653D">
            <w:pPr>
              <w:rPr>
                <w:rFonts w:ascii="Tahoma" w:hAnsi="Tahoma" w:cs="Tahoma"/>
                <w:b/>
                <w:bCs/>
                <w:sz w:val="18"/>
                <w:szCs w:val="18"/>
              </w:rPr>
            </w:pPr>
            <w:r>
              <w:rPr>
                <w:rFonts w:ascii="Tahoma" w:hAnsi="Tahoma" w:cs="Tahoma"/>
                <w:b/>
                <w:bCs/>
                <w:sz w:val="18"/>
                <w:szCs w:val="18"/>
              </w:rPr>
              <w:t xml:space="preserve">Выдача/взнос наличных денежных средств с использованием карты с учетом лимитов совершения операций  </w:t>
            </w:r>
          </w:p>
        </w:tc>
      </w:tr>
      <w:tr w:rsidR="009D50B5" w14:paraId="488480DF" w14:textId="77777777" w:rsidTr="00AA653D">
        <w:trPr>
          <w:gridAfter w:val="1"/>
          <w:wAfter w:w="14354" w:type="dxa"/>
          <w:trHeight w:val="585"/>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7494ACD3"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6.3.1.</w:t>
            </w:r>
          </w:p>
        </w:tc>
        <w:tc>
          <w:tcPr>
            <w:tcW w:w="6631" w:type="dxa"/>
            <w:tcBorders>
              <w:top w:val="nil"/>
              <w:left w:val="nil"/>
              <w:bottom w:val="single" w:sz="4" w:space="0" w:color="auto"/>
              <w:right w:val="single" w:sz="4" w:space="0" w:color="auto"/>
            </w:tcBorders>
            <w:shd w:val="clear" w:color="auto" w:fill="auto"/>
            <w:vAlign w:val="center"/>
            <w:hideMark/>
          </w:tcPr>
          <w:p w14:paraId="06B70AF9" w14:textId="77777777" w:rsidR="009D50B5" w:rsidRDefault="009D50B5" w:rsidP="00AA653D">
            <w:pPr>
              <w:rPr>
                <w:rFonts w:ascii="Tahoma" w:hAnsi="Tahoma" w:cs="Tahoma"/>
                <w:color w:val="000000"/>
                <w:sz w:val="18"/>
                <w:szCs w:val="18"/>
              </w:rPr>
            </w:pPr>
            <w:r>
              <w:rPr>
                <w:rFonts w:ascii="Tahoma" w:hAnsi="Tahoma" w:cs="Tahoma"/>
                <w:color w:val="000000"/>
                <w:sz w:val="18"/>
                <w:szCs w:val="18"/>
              </w:rPr>
              <w:t>выдача наличных в пунктах выдачи наличных и банкоматах  АТБ (АО), от суммы операции</w:t>
            </w:r>
          </w:p>
        </w:tc>
        <w:tc>
          <w:tcPr>
            <w:tcW w:w="7655" w:type="dxa"/>
            <w:tcBorders>
              <w:top w:val="nil"/>
              <w:left w:val="nil"/>
              <w:bottom w:val="single" w:sz="4" w:space="0" w:color="auto"/>
              <w:right w:val="single" w:sz="4" w:space="0" w:color="auto"/>
            </w:tcBorders>
            <w:shd w:val="clear" w:color="auto" w:fill="auto"/>
            <w:vAlign w:val="center"/>
            <w:hideMark/>
          </w:tcPr>
          <w:p w14:paraId="372CB0B9" w14:textId="77777777" w:rsidR="009D50B5" w:rsidRDefault="009D50B5" w:rsidP="00AA653D">
            <w:pPr>
              <w:jc w:val="center"/>
              <w:rPr>
                <w:rFonts w:ascii="Tahoma" w:hAnsi="Tahoma" w:cs="Tahoma"/>
                <w:b/>
                <w:bCs/>
                <w:color w:val="000000"/>
                <w:sz w:val="18"/>
                <w:szCs w:val="18"/>
              </w:rPr>
            </w:pPr>
            <w:r>
              <w:rPr>
                <w:rFonts w:ascii="Tahoma" w:hAnsi="Tahoma" w:cs="Tahoma"/>
                <w:b/>
                <w:bCs/>
                <w:color w:val="000000"/>
                <w:sz w:val="18"/>
                <w:szCs w:val="18"/>
              </w:rPr>
              <w:t>БЕСПЛАТНО</w:t>
            </w:r>
          </w:p>
        </w:tc>
      </w:tr>
      <w:tr w:rsidR="009D50B5" w14:paraId="6C84B9CB" w14:textId="77777777" w:rsidTr="00AA653D">
        <w:trPr>
          <w:gridAfter w:val="1"/>
          <w:wAfter w:w="14354" w:type="dxa"/>
          <w:trHeight w:val="480"/>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1E50D8C9"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6.3.2.</w:t>
            </w:r>
          </w:p>
        </w:tc>
        <w:tc>
          <w:tcPr>
            <w:tcW w:w="6631" w:type="dxa"/>
            <w:tcBorders>
              <w:top w:val="nil"/>
              <w:left w:val="nil"/>
              <w:bottom w:val="single" w:sz="4" w:space="0" w:color="auto"/>
              <w:right w:val="single" w:sz="4" w:space="0" w:color="auto"/>
            </w:tcBorders>
            <w:shd w:val="clear" w:color="auto" w:fill="auto"/>
            <w:vAlign w:val="center"/>
            <w:hideMark/>
          </w:tcPr>
          <w:p w14:paraId="1E994E78" w14:textId="77777777" w:rsidR="009D50B5" w:rsidRDefault="009D50B5" w:rsidP="00AA653D">
            <w:pPr>
              <w:rPr>
                <w:rFonts w:ascii="Tahoma" w:hAnsi="Tahoma" w:cs="Tahoma"/>
                <w:color w:val="000000"/>
                <w:sz w:val="18"/>
                <w:szCs w:val="18"/>
              </w:rPr>
            </w:pPr>
            <w:r>
              <w:rPr>
                <w:rFonts w:ascii="Tahoma" w:hAnsi="Tahoma" w:cs="Tahoma"/>
                <w:color w:val="000000"/>
                <w:sz w:val="18"/>
                <w:szCs w:val="18"/>
              </w:rPr>
              <w:t>выдача наличных в банкоматах других банков на территории РФ, от суммы операции</w:t>
            </w:r>
          </w:p>
        </w:tc>
        <w:tc>
          <w:tcPr>
            <w:tcW w:w="7655" w:type="dxa"/>
            <w:tcBorders>
              <w:top w:val="nil"/>
              <w:left w:val="nil"/>
              <w:bottom w:val="single" w:sz="4" w:space="0" w:color="auto"/>
              <w:right w:val="single" w:sz="4" w:space="0" w:color="auto"/>
            </w:tcBorders>
            <w:shd w:val="clear" w:color="auto" w:fill="auto"/>
            <w:vAlign w:val="center"/>
            <w:hideMark/>
          </w:tcPr>
          <w:p w14:paraId="7A6414F3" w14:textId="77777777" w:rsidR="009D50B5" w:rsidRDefault="009D50B5" w:rsidP="00AA653D">
            <w:pPr>
              <w:jc w:val="center"/>
              <w:rPr>
                <w:rFonts w:ascii="Tahoma" w:hAnsi="Tahoma" w:cs="Tahoma"/>
                <w:b/>
                <w:bCs/>
                <w:color w:val="000000"/>
                <w:sz w:val="18"/>
                <w:szCs w:val="18"/>
              </w:rPr>
            </w:pPr>
            <w:r>
              <w:rPr>
                <w:rFonts w:ascii="Tahoma" w:hAnsi="Tahoma" w:cs="Tahoma"/>
                <w:b/>
                <w:bCs/>
                <w:color w:val="000000"/>
                <w:sz w:val="18"/>
                <w:szCs w:val="18"/>
              </w:rPr>
              <w:t>БЕСПЛАТНО</w:t>
            </w:r>
          </w:p>
        </w:tc>
      </w:tr>
      <w:tr w:rsidR="009D50B5" w14:paraId="0D785122" w14:textId="77777777" w:rsidTr="00AA653D">
        <w:trPr>
          <w:gridAfter w:val="1"/>
          <w:wAfter w:w="14354" w:type="dxa"/>
          <w:trHeight w:val="960"/>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3AD882FA"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6.3.3.</w:t>
            </w:r>
          </w:p>
        </w:tc>
        <w:tc>
          <w:tcPr>
            <w:tcW w:w="6631" w:type="dxa"/>
            <w:tcBorders>
              <w:top w:val="nil"/>
              <w:left w:val="nil"/>
              <w:bottom w:val="single" w:sz="4" w:space="0" w:color="auto"/>
              <w:right w:val="single" w:sz="4" w:space="0" w:color="auto"/>
            </w:tcBorders>
            <w:shd w:val="clear" w:color="auto" w:fill="auto"/>
            <w:vAlign w:val="center"/>
            <w:hideMark/>
          </w:tcPr>
          <w:p w14:paraId="1F258FC2" w14:textId="77777777" w:rsidR="009D50B5" w:rsidRDefault="009D50B5" w:rsidP="00AA653D">
            <w:pPr>
              <w:rPr>
                <w:rFonts w:ascii="Tahoma" w:hAnsi="Tahoma" w:cs="Tahoma"/>
                <w:color w:val="000000"/>
                <w:sz w:val="18"/>
                <w:szCs w:val="18"/>
              </w:rPr>
            </w:pPr>
            <w:r>
              <w:rPr>
                <w:rFonts w:ascii="Tahoma" w:hAnsi="Tahoma" w:cs="Tahoma"/>
                <w:color w:val="000000"/>
                <w:sz w:val="18"/>
                <w:szCs w:val="18"/>
              </w:rPr>
              <w:t xml:space="preserve">выдача наличных в пунктах выдачи наличных других банков на территории РФ, а также в банкоматах и в пунктах выдачи наличных других банков за территорией РФ, от суммы операции </w:t>
            </w:r>
            <w:r>
              <w:rPr>
                <w:rFonts w:ascii="Tahoma" w:hAnsi="Tahoma" w:cs="Tahoma"/>
                <w:color w:val="000000"/>
                <w:sz w:val="18"/>
                <w:szCs w:val="18"/>
                <w:vertAlign w:val="superscript"/>
              </w:rPr>
              <w:t>10</w:t>
            </w:r>
          </w:p>
        </w:tc>
        <w:tc>
          <w:tcPr>
            <w:tcW w:w="7655" w:type="dxa"/>
            <w:tcBorders>
              <w:top w:val="nil"/>
              <w:left w:val="nil"/>
              <w:bottom w:val="single" w:sz="4" w:space="0" w:color="auto"/>
              <w:right w:val="single" w:sz="4" w:space="0" w:color="auto"/>
            </w:tcBorders>
            <w:shd w:val="clear" w:color="auto" w:fill="auto"/>
            <w:vAlign w:val="center"/>
            <w:hideMark/>
          </w:tcPr>
          <w:p w14:paraId="7F08BE45" w14:textId="77777777" w:rsidR="009D50B5" w:rsidRDefault="009D50B5" w:rsidP="00AA653D">
            <w:pPr>
              <w:jc w:val="center"/>
              <w:rPr>
                <w:rFonts w:ascii="Tahoma" w:hAnsi="Tahoma" w:cs="Tahoma"/>
                <w:sz w:val="18"/>
                <w:szCs w:val="18"/>
              </w:rPr>
            </w:pPr>
            <w:r>
              <w:rPr>
                <w:rFonts w:ascii="Tahoma" w:hAnsi="Tahoma" w:cs="Tahoma"/>
                <w:sz w:val="18"/>
                <w:szCs w:val="18"/>
              </w:rPr>
              <w:t xml:space="preserve">1% от суммы операции, </w:t>
            </w:r>
            <w:r>
              <w:rPr>
                <w:rFonts w:ascii="Tahoma" w:hAnsi="Tahoma" w:cs="Tahoma"/>
                <w:sz w:val="18"/>
                <w:szCs w:val="18"/>
              </w:rPr>
              <w:br/>
              <w:t>минимум 150 рублей</w:t>
            </w:r>
          </w:p>
        </w:tc>
      </w:tr>
      <w:tr w:rsidR="009D50B5" w14:paraId="21C33D88" w14:textId="77777777" w:rsidTr="00AA653D">
        <w:trPr>
          <w:gridAfter w:val="1"/>
          <w:wAfter w:w="14354" w:type="dxa"/>
          <w:trHeight w:val="456"/>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5BCD46C3"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6.3.4.</w:t>
            </w:r>
          </w:p>
        </w:tc>
        <w:tc>
          <w:tcPr>
            <w:tcW w:w="6631" w:type="dxa"/>
            <w:tcBorders>
              <w:top w:val="nil"/>
              <w:left w:val="nil"/>
              <w:bottom w:val="single" w:sz="4" w:space="0" w:color="auto"/>
              <w:right w:val="single" w:sz="4" w:space="0" w:color="auto"/>
            </w:tcBorders>
            <w:shd w:val="clear" w:color="auto" w:fill="auto"/>
            <w:vAlign w:val="center"/>
            <w:hideMark/>
          </w:tcPr>
          <w:p w14:paraId="6D2096A1" w14:textId="77777777" w:rsidR="009D50B5" w:rsidRDefault="009D50B5" w:rsidP="00AA653D">
            <w:pPr>
              <w:rPr>
                <w:rFonts w:ascii="Tahoma" w:hAnsi="Tahoma" w:cs="Tahoma"/>
                <w:color w:val="000000"/>
                <w:sz w:val="18"/>
                <w:szCs w:val="18"/>
              </w:rPr>
            </w:pPr>
            <w:r>
              <w:rPr>
                <w:rFonts w:ascii="Tahoma" w:hAnsi="Tahoma" w:cs="Tahoma"/>
                <w:color w:val="000000"/>
                <w:sz w:val="18"/>
                <w:szCs w:val="18"/>
              </w:rPr>
              <w:t>выдача наличных в пунктах выдачи наличных АТБ (АО) без использования карты, от суммы операции</w:t>
            </w:r>
          </w:p>
        </w:tc>
        <w:tc>
          <w:tcPr>
            <w:tcW w:w="7655" w:type="dxa"/>
            <w:tcBorders>
              <w:top w:val="nil"/>
              <w:left w:val="nil"/>
              <w:bottom w:val="single" w:sz="4" w:space="0" w:color="auto"/>
              <w:right w:val="single" w:sz="4" w:space="0" w:color="auto"/>
            </w:tcBorders>
            <w:shd w:val="clear" w:color="auto" w:fill="auto"/>
            <w:vAlign w:val="center"/>
            <w:hideMark/>
          </w:tcPr>
          <w:p w14:paraId="163F9EFE" w14:textId="77777777" w:rsidR="009D50B5" w:rsidRDefault="009D50B5" w:rsidP="00AA653D">
            <w:pPr>
              <w:jc w:val="center"/>
              <w:rPr>
                <w:rFonts w:ascii="Tahoma" w:hAnsi="Tahoma" w:cs="Tahoma"/>
                <w:b/>
                <w:bCs/>
                <w:color w:val="000000"/>
                <w:sz w:val="18"/>
                <w:szCs w:val="18"/>
              </w:rPr>
            </w:pPr>
            <w:r>
              <w:rPr>
                <w:rFonts w:ascii="Tahoma" w:hAnsi="Tahoma" w:cs="Tahoma"/>
                <w:b/>
                <w:bCs/>
                <w:color w:val="000000"/>
                <w:sz w:val="18"/>
                <w:szCs w:val="18"/>
              </w:rPr>
              <w:t>БЕСПЛАТНО</w:t>
            </w:r>
          </w:p>
        </w:tc>
      </w:tr>
      <w:tr w:rsidR="009D50B5" w14:paraId="2453BDDD" w14:textId="77777777" w:rsidTr="00AA653D">
        <w:trPr>
          <w:gridAfter w:val="1"/>
          <w:wAfter w:w="14354" w:type="dxa"/>
          <w:trHeight w:val="375"/>
        </w:trPr>
        <w:tc>
          <w:tcPr>
            <w:tcW w:w="740" w:type="dxa"/>
            <w:vMerge w:val="restart"/>
            <w:tcBorders>
              <w:top w:val="nil"/>
              <w:left w:val="single" w:sz="4" w:space="0" w:color="auto"/>
              <w:bottom w:val="single" w:sz="4" w:space="0" w:color="auto"/>
              <w:right w:val="single" w:sz="4" w:space="0" w:color="auto"/>
            </w:tcBorders>
            <w:shd w:val="clear" w:color="auto" w:fill="auto"/>
            <w:vAlign w:val="center"/>
            <w:hideMark/>
          </w:tcPr>
          <w:p w14:paraId="5A1C5A47"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6.3.5.</w:t>
            </w:r>
          </w:p>
        </w:tc>
        <w:tc>
          <w:tcPr>
            <w:tcW w:w="6631" w:type="dxa"/>
            <w:vMerge w:val="restart"/>
            <w:tcBorders>
              <w:top w:val="nil"/>
              <w:left w:val="single" w:sz="4" w:space="0" w:color="auto"/>
              <w:bottom w:val="single" w:sz="4" w:space="0" w:color="auto"/>
              <w:right w:val="single" w:sz="4" w:space="0" w:color="auto"/>
            </w:tcBorders>
            <w:shd w:val="clear" w:color="auto" w:fill="auto"/>
            <w:vAlign w:val="center"/>
            <w:hideMark/>
          </w:tcPr>
          <w:p w14:paraId="0CC047C3" w14:textId="77777777" w:rsidR="009D50B5" w:rsidRDefault="009D50B5" w:rsidP="00AA653D">
            <w:pPr>
              <w:rPr>
                <w:rFonts w:ascii="Tahoma" w:hAnsi="Tahoma" w:cs="Tahoma"/>
                <w:color w:val="000000"/>
                <w:sz w:val="18"/>
                <w:szCs w:val="18"/>
              </w:rPr>
            </w:pPr>
            <w:r>
              <w:rPr>
                <w:rFonts w:ascii="Tahoma" w:hAnsi="Tahoma" w:cs="Tahoma"/>
                <w:color w:val="000000"/>
                <w:sz w:val="18"/>
                <w:szCs w:val="18"/>
              </w:rPr>
              <w:t>взнос наличных в кассе АТБ (АО), банкомате АТБ (АО) и через розничные сети партнеров, от суммы операции</w:t>
            </w:r>
          </w:p>
        </w:tc>
        <w:tc>
          <w:tcPr>
            <w:tcW w:w="7655" w:type="dxa"/>
            <w:tcBorders>
              <w:top w:val="nil"/>
              <w:left w:val="nil"/>
              <w:bottom w:val="single" w:sz="4" w:space="0" w:color="auto"/>
              <w:right w:val="single" w:sz="4" w:space="0" w:color="auto"/>
            </w:tcBorders>
            <w:shd w:val="clear" w:color="auto" w:fill="auto"/>
            <w:vAlign w:val="center"/>
            <w:hideMark/>
          </w:tcPr>
          <w:p w14:paraId="478DC1E1" w14:textId="77777777" w:rsidR="009D50B5" w:rsidRDefault="009D50B5" w:rsidP="00AA653D">
            <w:pPr>
              <w:jc w:val="center"/>
              <w:rPr>
                <w:rFonts w:ascii="Tahoma" w:hAnsi="Tahoma" w:cs="Tahoma"/>
                <w:b/>
                <w:bCs/>
                <w:color w:val="000000"/>
                <w:sz w:val="18"/>
                <w:szCs w:val="18"/>
              </w:rPr>
            </w:pPr>
            <w:r>
              <w:rPr>
                <w:rFonts w:ascii="Tahoma" w:hAnsi="Tahoma" w:cs="Tahoma"/>
                <w:b/>
                <w:bCs/>
                <w:color w:val="000000"/>
                <w:sz w:val="18"/>
                <w:szCs w:val="18"/>
              </w:rPr>
              <w:t>БЕСПЛАТНО</w:t>
            </w:r>
          </w:p>
        </w:tc>
      </w:tr>
      <w:tr w:rsidR="009D50B5" w14:paraId="388F00CD" w14:textId="77777777" w:rsidTr="00AA653D">
        <w:trPr>
          <w:gridAfter w:val="1"/>
          <w:wAfter w:w="14354" w:type="dxa"/>
          <w:trHeight w:val="555"/>
        </w:trPr>
        <w:tc>
          <w:tcPr>
            <w:tcW w:w="740" w:type="dxa"/>
            <w:vMerge/>
            <w:tcBorders>
              <w:top w:val="nil"/>
              <w:left w:val="single" w:sz="4" w:space="0" w:color="auto"/>
              <w:bottom w:val="single" w:sz="4" w:space="0" w:color="auto"/>
              <w:right w:val="single" w:sz="4" w:space="0" w:color="auto"/>
            </w:tcBorders>
            <w:vAlign w:val="center"/>
            <w:hideMark/>
          </w:tcPr>
          <w:p w14:paraId="3BA79B0E" w14:textId="77777777" w:rsidR="009D50B5" w:rsidRDefault="009D50B5" w:rsidP="00AA653D">
            <w:pPr>
              <w:rPr>
                <w:rFonts w:ascii="Tahoma" w:hAnsi="Tahoma" w:cs="Tahoma"/>
                <w:color w:val="000000"/>
                <w:sz w:val="18"/>
                <w:szCs w:val="18"/>
              </w:rPr>
            </w:pPr>
          </w:p>
        </w:tc>
        <w:tc>
          <w:tcPr>
            <w:tcW w:w="6631" w:type="dxa"/>
            <w:vMerge/>
            <w:tcBorders>
              <w:top w:val="nil"/>
              <w:left w:val="single" w:sz="4" w:space="0" w:color="auto"/>
              <w:bottom w:val="single" w:sz="4" w:space="0" w:color="auto"/>
              <w:right w:val="single" w:sz="4" w:space="0" w:color="auto"/>
            </w:tcBorders>
            <w:vAlign w:val="center"/>
            <w:hideMark/>
          </w:tcPr>
          <w:p w14:paraId="27F444C6" w14:textId="77777777" w:rsidR="009D50B5" w:rsidRDefault="009D50B5" w:rsidP="00AA653D">
            <w:pPr>
              <w:rPr>
                <w:rFonts w:ascii="Tahoma" w:hAnsi="Tahoma" w:cs="Tahoma"/>
                <w:color w:val="000000"/>
                <w:sz w:val="18"/>
                <w:szCs w:val="18"/>
              </w:rPr>
            </w:pPr>
          </w:p>
        </w:tc>
        <w:tc>
          <w:tcPr>
            <w:tcW w:w="7655" w:type="dxa"/>
            <w:tcBorders>
              <w:top w:val="nil"/>
              <w:left w:val="nil"/>
              <w:bottom w:val="single" w:sz="4" w:space="0" w:color="auto"/>
              <w:right w:val="single" w:sz="4" w:space="0" w:color="auto"/>
            </w:tcBorders>
            <w:shd w:val="clear" w:color="auto" w:fill="auto"/>
            <w:vAlign w:val="center"/>
            <w:hideMark/>
          </w:tcPr>
          <w:p w14:paraId="60FF2DDA"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(возможно взимание комиссии партнерами Банка за пополнение в розничной сети данных партнеров)</w:t>
            </w:r>
          </w:p>
        </w:tc>
      </w:tr>
      <w:tr w:rsidR="009D50B5" w14:paraId="69738E42" w14:textId="77777777" w:rsidTr="00AA653D">
        <w:trPr>
          <w:gridAfter w:val="1"/>
          <w:wAfter w:w="14354" w:type="dxa"/>
          <w:trHeight w:val="885"/>
        </w:trPr>
        <w:tc>
          <w:tcPr>
            <w:tcW w:w="740" w:type="dxa"/>
            <w:tcBorders>
              <w:top w:val="nil"/>
              <w:left w:val="single" w:sz="4" w:space="0" w:color="auto"/>
              <w:bottom w:val="single" w:sz="4" w:space="0" w:color="auto"/>
              <w:right w:val="single" w:sz="4" w:space="0" w:color="auto"/>
            </w:tcBorders>
            <w:shd w:val="clear" w:color="000000" w:fill="FFFFFF"/>
            <w:vAlign w:val="center"/>
            <w:hideMark/>
          </w:tcPr>
          <w:p w14:paraId="611E94EF" w14:textId="77777777" w:rsidR="009D50B5" w:rsidRDefault="009D50B5" w:rsidP="00AA653D">
            <w:pPr>
              <w:jc w:val="center"/>
              <w:rPr>
                <w:rFonts w:ascii="Tahoma" w:hAnsi="Tahoma" w:cs="Tahoma"/>
                <w:sz w:val="18"/>
                <w:szCs w:val="18"/>
              </w:rPr>
            </w:pPr>
            <w:r>
              <w:rPr>
                <w:rFonts w:ascii="Tahoma" w:hAnsi="Tahoma" w:cs="Tahoma"/>
                <w:sz w:val="18"/>
                <w:szCs w:val="18"/>
              </w:rPr>
              <w:t>6.3.6.</w:t>
            </w:r>
          </w:p>
        </w:tc>
        <w:tc>
          <w:tcPr>
            <w:tcW w:w="6631" w:type="dxa"/>
            <w:tcBorders>
              <w:top w:val="nil"/>
              <w:left w:val="nil"/>
              <w:bottom w:val="single" w:sz="4" w:space="0" w:color="auto"/>
              <w:right w:val="single" w:sz="4" w:space="0" w:color="auto"/>
            </w:tcBorders>
            <w:shd w:val="clear" w:color="000000" w:fill="FFFFFF"/>
            <w:vAlign w:val="bottom"/>
            <w:hideMark/>
          </w:tcPr>
          <w:p w14:paraId="6D447435" w14:textId="77777777" w:rsidR="009D50B5" w:rsidRDefault="009D50B5" w:rsidP="00AA653D">
            <w:pPr>
              <w:rPr>
                <w:rFonts w:ascii="Tahoma" w:hAnsi="Tahoma" w:cs="Tahoma"/>
                <w:sz w:val="18"/>
                <w:szCs w:val="18"/>
              </w:rPr>
            </w:pPr>
            <w:r>
              <w:rPr>
                <w:rFonts w:ascii="Tahoma" w:hAnsi="Tahoma" w:cs="Tahoma"/>
                <w:sz w:val="18"/>
                <w:szCs w:val="18"/>
              </w:rPr>
              <w:t>в ТСП</w:t>
            </w:r>
            <w:r>
              <w:rPr>
                <w:rFonts w:ascii="Tahoma" w:hAnsi="Tahoma" w:cs="Tahoma"/>
                <w:sz w:val="18"/>
                <w:szCs w:val="18"/>
                <w:vertAlign w:val="superscript"/>
              </w:rPr>
              <w:t>2,11</w:t>
            </w:r>
            <w:r>
              <w:rPr>
                <w:rFonts w:ascii="Tahoma" w:hAnsi="Tahoma" w:cs="Tahoma"/>
                <w:sz w:val="18"/>
                <w:szCs w:val="18"/>
              </w:rPr>
              <w:t>, предоставляющих услугу выдачи наличных денежных средств при совершении покупки</w:t>
            </w:r>
            <w:r>
              <w:rPr>
                <w:rFonts w:ascii="Calibri" w:hAnsi="Calibri" w:cs="Tahoma"/>
                <w:sz w:val="18"/>
                <w:szCs w:val="18"/>
              </w:rPr>
              <w:t xml:space="preserve"> </w:t>
            </w:r>
            <w:r>
              <w:rPr>
                <w:rFonts w:ascii="Tahoma" w:hAnsi="Tahoma" w:cs="Tahoma"/>
                <w:sz w:val="18"/>
                <w:szCs w:val="18"/>
              </w:rPr>
              <w:t>на территории РФ, от суммы операции</w:t>
            </w:r>
          </w:p>
        </w:tc>
        <w:tc>
          <w:tcPr>
            <w:tcW w:w="7655" w:type="dxa"/>
            <w:tcBorders>
              <w:top w:val="nil"/>
              <w:left w:val="nil"/>
              <w:bottom w:val="single" w:sz="4" w:space="0" w:color="auto"/>
              <w:right w:val="single" w:sz="4" w:space="0" w:color="auto"/>
            </w:tcBorders>
            <w:shd w:val="clear" w:color="000000" w:fill="FFFFFF"/>
            <w:vAlign w:val="center"/>
            <w:hideMark/>
          </w:tcPr>
          <w:p w14:paraId="762AF7DB" w14:textId="77777777" w:rsidR="009D50B5" w:rsidRDefault="009D50B5" w:rsidP="00AA653D">
            <w:pPr>
              <w:jc w:val="center"/>
              <w:rPr>
                <w:rFonts w:ascii="Tahoma" w:hAnsi="Tahoma" w:cs="Tahoma"/>
                <w:b/>
                <w:bCs/>
                <w:sz w:val="18"/>
                <w:szCs w:val="18"/>
              </w:rPr>
            </w:pPr>
            <w:r>
              <w:rPr>
                <w:rFonts w:ascii="Tahoma" w:hAnsi="Tahoma" w:cs="Tahoma"/>
                <w:b/>
                <w:bCs/>
                <w:sz w:val="18"/>
                <w:szCs w:val="18"/>
              </w:rPr>
              <w:t>БЕСПЛАТНО</w:t>
            </w:r>
          </w:p>
        </w:tc>
      </w:tr>
      <w:tr w:rsidR="009D50B5" w14:paraId="045D015C" w14:textId="77777777" w:rsidTr="00AA653D">
        <w:trPr>
          <w:gridAfter w:val="1"/>
          <w:wAfter w:w="14354" w:type="dxa"/>
          <w:trHeight w:val="255"/>
        </w:trPr>
        <w:tc>
          <w:tcPr>
            <w:tcW w:w="740" w:type="dxa"/>
            <w:tcBorders>
              <w:top w:val="nil"/>
              <w:left w:val="single" w:sz="4" w:space="0" w:color="auto"/>
              <w:bottom w:val="single" w:sz="4" w:space="0" w:color="auto"/>
              <w:right w:val="single" w:sz="4" w:space="0" w:color="auto"/>
            </w:tcBorders>
            <w:shd w:val="clear" w:color="000000" w:fill="A6A6A6"/>
            <w:vAlign w:val="center"/>
            <w:hideMark/>
          </w:tcPr>
          <w:p w14:paraId="11256401" w14:textId="77777777" w:rsidR="009D50B5" w:rsidRDefault="009D50B5" w:rsidP="00AA653D">
            <w:pPr>
              <w:jc w:val="center"/>
              <w:rPr>
                <w:rFonts w:ascii="Tahoma" w:hAnsi="Tahoma" w:cs="Tahoma"/>
                <w:b/>
                <w:bCs/>
                <w:sz w:val="18"/>
                <w:szCs w:val="18"/>
              </w:rPr>
            </w:pPr>
            <w:r>
              <w:rPr>
                <w:rFonts w:ascii="Tahoma" w:hAnsi="Tahoma" w:cs="Tahoma"/>
                <w:b/>
                <w:bCs/>
                <w:sz w:val="18"/>
                <w:szCs w:val="18"/>
              </w:rPr>
              <w:t>6.4.</w:t>
            </w:r>
          </w:p>
        </w:tc>
        <w:tc>
          <w:tcPr>
            <w:tcW w:w="14286" w:type="dxa"/>
            <w:gridSpan w:val="2"/>
            <w:tcBorders>
              <w:top w:val="single" w:sz="4" w:space="0" w:color="auto"/>
              <w:left w:val="nil"/>
              <w:bottom w:val="single" w:sz="4" w:space="0" w:color="auto"/>
              <w:right w:val="single" w:sz="4" w:space="0" w:color="auto"/>
            </w:tcBorders>
            <w:shd w:val="clear" w:color="000000" w:fill="A6A6A6"/>
            <w:vAlign w:val="center"/>
            <w:hideMark/>
          </w:tcPr>
          <w:p w14:paraId="627A2EA9" w14:textId="77777777" w:rsidR="009D50B5" w:rsidRDefault="009D50B5" w:rsidP="00AA653D">
            <w:pPr>
              <w:rPr>
                <w:rFonts w:ascii="Tahoma" w:hAnsi="Tahoma" w:cs="Tahoma"/>
                <w:b/>
                <w:bCs/>
                <w:sz w:val="18"/>
                <w:szCs w:val="18"/>
              </w:rPr>
            </w:pPr>
            <w:r>
              <w:rPr>
                <w:rFonts w:ascii="Tahoma" w:hAnsi="Tahoma" w:cs="Tahoma"/>
                <w:b/>
                <w:bCs/>
                <w:sz w:val="18"/>
                <w:szCs w:val="18"/>
              </w:rPr>
              <w:t xml:space="preserve">Дистанционные банковские сервисы </w:t>
            </w:r>
            <w:r>
              <w:rPr>
                <w:rFonts w:ascii="Tahoma" w:hAnsi="Tahoma" w:cs="Tahoma"/>
                <w:sz w:val="18"/>
                <w:szCs w:val="18"/>
              </w:rPr>
              <w:t>(подключаются автоматически)</w:t>
            </w:r>
          </w:p>
        </w:tc>
      </w:tr>
      <w:tr w:rsidR="009D50B5" w14:paraId="1DAC08E4" w14:textId="77777777" w:rsidTr="00AA653D">
        <w:trPr>
          <w:gridAfter w:val="1"/>
          <w:wAfter w:w="14354" w:type="dxa"/>
          <w:trHeight w:val="1305"/>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7F09D27A"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6.4.1.</w:t>
            </w:r>
          </w:p>
        </w:tc>
        <w:tc>
          <w:tcPr>
            <w:tcW w:w="6631" w:type="dxa"/>
            <w:tcBorders>
              <w:top w:val="nil"/>
              <w:left w:val="nil"/>
              <w:bottom w:val="single" w:sz="4" w:space="0" w:color="auto"/>
              <w:right w:val="single" w:sz="4" w:space="0" w:color="auto"/>
            </w:tcBorders>
            <w:shd w:val="clear" w:color="auto" w:fill="auto"/>
            <w:vAlign w:val="center"/>
            <w:hideMark/>
          </w:tcPr>
          <w:p w14:paraId="36DC8B08" w14:textId="77777777" w:rsidR="009D50B5" w:rsidRDefault="009D50B5" w:rsidP="00AA653D">
            <w:pPr>
              <w:rPr>
                <w:rFonts w:ascii="Tahoma" w:hAnsi="Tahoma" w:cs="Tahoma"/>
                <w:sz w:val="18"/>
                <w:szCs w:val="18"/>
              </w:rPr>
            </w:pPr>
            <w:r>
              <w:rPr>
                <w:rFonts w:ascii="Tahoma" w:hAnsi="Tahoma" w:cs="Tahoma"/>
                <w:sz w:val="18"/>
                <w:szCs w:val="18"/>
              </w:rPr>
              <w:t>СМС-информирование (полный пакет): плата за получение уведомлений о приходных и расходных  операциях со счета банковской карты на мобильный телефон (в формате СМС-сообщений), ежемесячно (при наличии пакета услуг)</w:t>
            </w:r>
            <w:r>
              <w:rPr>
                <w:rFonts w:ascii="Tahoma" w:hAnsi="Tahoma" w:cs="Tahoma"/>
                <w:sz w:val="18"/>
                <w:szCs w:val="18"/>
                <w:vertAlign w:val="superscript"/>
              </w:rPr>
              <w:t>5</w:t>
            </w:r>
          </w:p>
        </w:tc>
        <w:tc>
          <w:tcPr>
            <w:tcW w:w="7655" w:type="dxa"/>
            <w:tcBorders>
              <w:top w:val="nil"/>
              <w:left w:val="nil"/>
              <w:bottom w:val="single" w:sz="4" w:space="0" w:color="auto"/>
              <w:right w:val="single" w:sz="4" w:space="0" w:color="auto"/>
            </w:tcBorders>
            <w:shd w:val="clear" w:color="auto" w:fill="auto"/>
            <w:vAlign w:val="center"/>
            <w:hideMark/>
          </w:tcPr>
          <w:p w14:paraId="45CE7D5C" w14:textId="77777777" w:rsidR="009D50B5" w:rsidRDefault="009D50B5" w:rsidP="00AA653D">
            <w:pPr>
              <w:jc w:val="center"/>
              <w:rPr>
                <w:rFonts w:ascii="Tahoma" w:hAnsi="Tahoma" w:cs="Tahoma"/>
                <w:b/>
                <w:bCs/>
                <w:sz w:val="18"/>
                <w:szCs w:val="18"/>
              </w:rPr>
            </w:pPr>
            <w:r>
              <w:rPr>
                <w:rFonts w:ascii="Tahoma" w:hAnsi="Tahoma" w:cs="Tahoma"/>
                <w:b/>
                <w:bCs/>
                <w:sz w:val="18"/>
                <w:szCs w:val="18"/>
              </w:rPr>
              <w:t xml:space="preserve">69 руб. </w:t>
            </w:r>
          </w:p>
        </w:tc>
      </w:tr>
      <w:tr w:rsidR="009D50B5" w14:paraId="5A536ACA" w14:textId="77777777" w:rsidTr="00AA653D">
        <w:trPr>
          <w:gridAfter w:val="1"/>
          <w:wAfter w:w="14354" w:type="dxa"/>
          <w:trHeight w:val="1065"/>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6BDDDDD4"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6.4.2.</w:t>
            </w:r>
          </w:p>
        </w:tc>
        <w:tc>
          <w:tcPr>
            <w:tcW w:w="6631" w:type="dxa"/>
            <w:tcBorders>
              <w:top w:val="nil"/>
              <w:left w:val="nil"/>
              <w:bottom w:val="single" w:sz="4" w:space="0" w:color="auto"/>
              <w:right w:val="single" w:sz="4" w:space="0" w:color="auto"/>
            </w:tcBorders>
            <w:shd w:val="clear" w:color="auto" w:fill="auto"/>
            <w:vAlign w:val="center"/>
            <w:hideMark/>
          </w:tcPr>
          <w:p w14:paraId="39940766" w14:textId="77777777" w:rsidR="009D50B5" w:rsidRDefault="009D50B5" w:rsidP="00AA653D">
            <w:pPr>
              <w:rPr>
                <w:rFonts w:ascii="Tahoma" w:hAnsi="Tahoma" w:cs="Tahoma"/>
                <w:sz w:val="18"/>
                <w:szCs w:val="18"/>
              </w:rPr>
            </w:pPr>
            <w:r>
              <w:rPr>
                <w:rFonts w:ascii="Tahoma" w:hAnsi="Tahoma" w:cs="Tahoma"/>
                <w:sz w:val="18"/>
                <w:szCs w:val="18"/>
              </w:rPr>
              <w:t>СМС-информирование (обязательный пакет): плата за получение уведомлений только о расходных операциях со счета банковской карты на мобильный телефон (в формате СМС-сообщений), ежемесячно</w:t>
            </w:r>
          </w:p>
        </w:tc>
        <w:tc>
          <w:tcPr>
            <w:tcW w:w="7655" w:type="dxa"/>
            <w:tcBorders>
              <w:top w:val="nil"/>
              <w:left w:val="nil"/>
              <w:bottom w:val="single" w:sz="4" w:space="0" w:color="auto"/>
              <w:right w:val="single" w:sz="4" w:space="0" w:color="auto"/>
            </w:tcBorders>
            <w:shd w:val="clear" w:color="auto" w:fill="auto"/>
            <w:vAlign w:val="center"/>
            <w:hideMark/>
          </w:tcPr>
          <w:p w14:paraId="7EECB7C8" w14:textId="77777777" w:rsidR="009D50B5" w:rsidRDefault="009D50B5" w:rsidP="00AA653D">
            <w:pPr>
              <w:jc w:val="center"/>
              <w:rPr>
                <w:rFonts w:ascii="Tahoma" w:hAnsi="Tahoma" w:cs="Tahoma"/>
                <w:b/>
                <w:bCs/>
                <w:color w:val="000000"/>
                <w:sz w:val="18"/>
                <w:szCs w:val="18"/>
              </w:rPr>
            </w:pPr>
            <w:r>
              <w:rPr>
                <w:rFonts w:ascii="Tahoma" w:hAnsi="Tahoma" w:cs="Tahoma"/>
                <w:b/>
                <w:bCs/>
                <w:color w:val="000000"/>
                <w:sz w:val="18"/>
                <w:szCs w:val="18"/>
              </w:rPr>
              <w:t>БЕСПЛАТНО</w:t>
            </w:r>
          </w:p>
        </w:tc>
      </w:tr>
      <w:tr w:rsidR="009D50B5" w14:paraId="60263E23" w14:textId="77777777" w:rsidTr="00AA653D">
        <w:trPr>
          <w:gridAfter w:val="1"/>
          <w:wAfter w:w="14354" w:type="dxa"/>
          <w:trHeight w:val="255"/>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4D34C064"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6.4.3.</w:t>
            </w:r>
          </w:p>
        </w:tc>
        <w:tc>
          <w:tcPr>
            <w:tcW w:w="6631" w:type="dxa"/>
            <w:tcBorders>
              <w:top w:val="nil"/>
              <w:left w:val="nil"/>
              <w:bottom w:val="single" w:sz="4" w:space="0" w:color="auto"/>
              <w:right w:val="single" w:sz="4" w:space="0" w:color="auto"/>
            </w:tcBorders>
            <w:shd w:val="clear" w:color="auto" w:fill="auto"/>
            <w:vAlign w:val="center"/>
            <w:hideMark/>
          </w:tcPr>
          <w:p w14:paraId="7BC5A393" w14:textId="77777777" w:rsidR="009D50B5" w:rsidRDefault="009D50B5" w:rsidP="00AA653D">
            <w:pPr>
              <w:rPr>
                <w:rFonts w:ascii="Tahoma" w:hAnsi="Tahoma" w:cs="Tahoma"/>
                <w:color w:val="000000"/>
                <w:sz w:val="18"/>
                <w:szCs w:val="18"/>
              </w:rPr>
            </w:pPr>
            <w:r>
              <w:rPr>
                <w:rFonts w:ascii="Tahoma" w:hAnsi="Tahoma" w:cs="Tahoma"/>
                <w:color w:val="000000"/>
                <w:sz w:val="18"/>
                <w:szCs w:val="18"/>
              </w:rPr>
              <w:t>«АТБ-Онлайн»,  «АТБ-Мобайл»</w:t>
            </w:r>
          </w:p>
        </w:tc>
        <w:tc>
          <w:tcPr>
            <w:tcW w:w="7655" w:type="dxa"/>
            <w:tcBorders>
              <w:top w:val="nil"/>
              <w:left w:val="nil"/>
              <w:bottom w:val="single" w:sz="4" w:space="0" w:color="auto"/>
              <w:right w:val="single" w:sz="4" w:space="0" w:color="auto"/>
            </w:tcBorders>
            <w:shd w:val="clear" w:color="auto" w:fill="auto"/>
            <w:vAlign w:val="center"/>
            <w:hideMark/>
          </w:tcPr>
          <w:p w14:paraId="68214A24" w14:textId="77777777" w:rsidR="009D50B5" w:rsidRDefault="009D50B5" w:rsidP="00AA653D">
            <w:pPr>
              <w:jc w:val="center"/>
              <w:rPr>
                <w:rFonts w:ascii="Tahoma" w:hAnsi="Tahoma" w:cs="Tahoma"/>
                <w:b/>
                <w:bCs/>
                <w:color w:val="000000"/>
                <w:sz w:val="18"/>
                <w:szCs w:val="18"/>
              </w:rPr>
            </w:pPr>
            <w:r>
              <w:rPr>
                <w:rFonts w:ascii="Tahoma" w:hAnsi="Tahoma" w:cs="Tahoma"/>
                <w:b/>
                <w:bCs/>
                <w:color w:val="000000"/>
                <w:sz w:val="18"/>
                <w:szCs w:val="18"/>
              </w:rPr>
              <w:t>БЕСПЛАТНО</w:t>
            </w:r>
          </w:p>
        </w:tc>
      </w:tr>
      <w:tr w:rsidR="009D50B5" w14:paraId="2C96A745" w14:textId="77777777" w:rsidTr="00AA653D">
        <w:trPr>
          <w:gridAfter w:val="1"/>
          <w:wAfter w:w="14354" w:type="dxa"/>
          <w:trHeight w:val="288"/>
        </w:trPr>
        <w:tc>
          <w:tcPr>
            <w:tcW w:w="740" w:type="dxa"/>
            <w:tcBorders>
              <w:top w:val="nil"/>
              <w:left w:val="single" w:sz="4" w:space="0" w:color="auto"/>
              <w:bottom w:val="single" w:sz="4" w:space="0" w:color="auto"/>
              <w:right w:val="single" w:sz="4" w:space="0" w:color="auto"/>
            </w:tcBorders>
            <w:shd w:val="clear" w:color="000000" w:fill="A6A6A6"/>
            <w:vAlign w:val="center"/>
            <w:hideMark/>
          </w:tcPr>
          <w:p w14:paraId="362AB69B" w14:textId="77777777" w:rsidR="009D50B5" w:rsidRDefault="009D50B5" w:rsidP="00AA653D">
            <w:pPr>
              <w:jc w:val="center"/>
              <w:rPr>
                <w:rFonts w:ascii="Tahoma" w:hAnsi="Tahoma" w:cs="Tahoma"/>
                <w:b/>
                <w:bCs/>
                <w:sz w:val="18"/>
                <w:szCs w:val="18"/>
              </w:rPr>
            </w:pPr>
            <w:r>
              <w:rPr>
                <w:rFonts w:ascii="Tahoma" w:hAnsi="Tahoma" w:cs="Tahoma"/>
                <w:b/>
                <w:bCs/>
                <w:sz w:val="18"/>
                <w:szCs w:val="18"/>
              </w:rPr>
              <w:t>6.5.</w:t>
            </w:r>
          </w:p>
        </w:tc>
        <w:tc>
          <w:tcPr>
            <w:tcW w:w="14286" w:type="dxa"/>
            <w:gridSpan w:val="2"/>
            <w:tcBorders>
              <w:top w:val="single" w:sz="4" w:space="0" w:color="auto"/>
              <w:left w:val="nil"/>
              <w:bottom w:val="single" w:sz="4" w:space="0" w:color="auto"/>
              <w:right w:val="single" w:sz="4" w:space="0" w:color="auto"/>
            </w:tcBorders>
            <w:shd w:val="clear" w:color="000000" w:fill="A6A6A6"/>
            <w:vAlign w:val="center"/>
            <w:hideMark/>
          </w:tcPr>
          <w:p w14:paraId="1FAC35BF" w14:textId="77777777" w:rsidR="009D50B5" w:rsidRDefault="009D50B5" w:rsidP="00AA653D">
            <w:pPr>
              <w:rPr>
                <w:rFonts w:ascii="Tahoma" w:hAnsi="Tahoma" w:cs="Tahoma"/>
                <w:b/>
                <w:bCs/>
                <w:sz w:val="18"/>
                <w:szCs w:val="18"/>
              </w:rPr>
            </w:pPr>
            <w:r>
              <w:rPr>
                <w:rFonts w:ascii="Tahoma" w:hAnsi="Tahoma" w:cs="Tahoma"/>
                <w:b/>
                <w:bCs/>
                <w:sz w:val="18"/>
                <w:szCs w:val="18"/>
              </w:rPr>
              <w:t>Запрос остатка денежных средств на счете банковской карты</w:t>
            </w:r>
          </w:p>
        </w:tc>
      </w:tr>
      <w:tr w:rsidR="009D50B5" w14:paraId="739AD5B1" w14:textId="77777777" w:rsidTr="00AA653D">
        <w:trPr>
          <w:gridAfter w:val="1"/>
          <w:wAfter w:w="14354" w:type="dxa"/>
          <w:trHeight w:val="456"/>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2A9BD577"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6.5.1.</w:t>
            </w:r>
          </w:p>
        </w:tc>
        <w:tc>
          <w:tcPr>
            <w:tcW w:w="6631" w:type="dxa"/>
            <w:tcBorders>
              <w:top w:val="nil"/>
              <w:left w:val="nil"/>
              <w:bottom w:val="single" w:sz="4" w:space="0" w:color="auto"/>
              <w:right w:val="single" w:sz="4" w:space="0" w:color="auto"/>
            </w:tcBorders>
            <w:shd w:val="clear" w:color="auto" w:fill="auto"/>
            <w:vAlign w:val="center"/>
            <w:hideMark/>
          </w:tcPr>
          <w:p w14:paraId="3758F013" w14:textId="77777777" w:rsidR="009D50B5" w:rsidRDefault="009D50B5" w:rsidP="00AA653D">
            <w:pPr>
              <w:rPr>
                <w:rFonts w:ascii="Tahoma" w:hAnsi="Tahoma" w:cs="Tahoma"/>
                <w:color w:val="000000"/>
                <w:sz w:val="18"/>
                <w:szCs w:val="18"/>
              </w:rPr>
            </w:pPr>
            <w:r>
              <w:rPr>
                <w:rFonts w:ascii="Tahoma" w:hAnsi="Tahoma" w:cs="Tahoma"/>
                <w:color w:val="000000"/>
                <w:sz w:val="18"/>
                <w:szCs w:val="18"/>
              </w:rPr>
              <w:t>в банкоматах  АТБ (АО), при операции по выдачи наличных денежных средств и выводе на экран</w:t>
            </w:r>
          </w:p>
        </w:tc>
        <w:tc>
          <w:tcPr>
            <w:tcW w:w="7655" w:type="dxa"/>
            <w:tcBorders>
              <w:top w:val="nil"/>
              <w:left w:val="nil"/>
              <w:bottom w:val="single" w:sz="4" w:space="0" w:color="auto"/>
              <w:right w:val="single" w:sz="4" w:space="0" w:color="auto"/>
            </w:tcBorders>
            <w:shd w:val="clear" w:color="auto" w:fill="auto"/>
            <w:vAlign w:val="center"/>
            <w:hideMark/>
          </w:tcPr>
          <w:p w14:paraId="69FEEB6E" w14:textId="77777777" w:rsidR="009D50B5" w:rsidRDefault="009D50B5" w:rsidP="00AA653D">
            <w:pPr>
              <w:jc w:val="center"/>
              <w:rPr>
                <w:rFonts w:ascii="Tahoma" w:hAnsi="Tahoma" w:cs="Tahoma"/>
                <w:b/>
                <w:bCs/>
                <w:color w:val="000000"/>
                <w:sz w:val="18"/>
                <w:szCs w:val="18"/>
              </w:rPr>
            </w:pPr>
            <w:r>
              <w:rPr>
                <w:rFonts w:ascii="Tahoma" w:hAnsi="Tahoma" w:cs="Tahoma"/>
                <w:b/>
                <w:bCs/>
                <w:color w:val="000000"/>
                <w:sz w:val="18"/>
                <w:szCs w:val="18"/>
              </w:rPr>
              <w:t>БЕСПЛАТНО</w:t>
            </w:r>
          </w:p>
        </w:tc>
      </w:tr>
      <w:tr w:rsidR="009D50B5" w14:paraId="449821F1" w14:textId="77777777" w:rsidTr="00AA653D">
        <w:trPr>
          <w:gridAfter w:val="1"/>
          <w:wAfter w:w="14354" w:type="dxa"/>
          <w:trHeight w:val="585"/>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1604D560"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6.5.2.</w:t>
            </w:r>
          </w:p>
        </w:tc>
        <w:tc>
          <w:tcPr>
            <w:tcW w:w="6631" w:type="dxa"/>
            <w:tcBorders>
              <w:top w:val="nil"/>
              <w:left w:val="nil"/>
              <w:bottom w:val="single" w:sz="4" w:space="0" w:color="auto"/>
              <w:right w:val="single" w:sz="4" w:space="0" w:color="auto"/>
            </w:tcBorders>
            <w:shd w:val="clear" w:color="auto" w:fill="auto"/>
            <w:vAlign w:val="center"/>
            <w:hideMark/>
          </w:tcPr>
          <w:p w14:paraId="527A70E8" w14:textId="77777777" w:rsidR="009D50B5" w:rsidRDefault="009D50B5" w:rsidP="00AA653D">
            <w:pPr>
              <w:rPr>
                <w:rFonts w:ascii="Tahoma" w:hAnsi="Tahoma" w:cs="Tahoma"/>
                <w:color w:val="000000"/>
                <w:sz w:val="18"/>
                <w:szCs w:val="18"/>
              </w:rPr>
            </w:pPr>
            <w:r>
              <w:rPr>
                <w:rFonts w:ascii="Tahoma" w:hAnsi="Tahoma" w:cs="Tahoma"/>
                <w:color w:val="000000"/>
                <w:sz w:val="18"/>
                <w:szCs w:val="18"/>
              </w:rPr>
              <w:t>в банкоматах  АТБ (АО) (информация выводится на чек устройства)</w:t>
            </w:r>
          </w:p>
        </w:tc>
        <w:tc>
          <w:tcPr>
            <w:tcW w:w="7655" w:type="dxa"/>
            <w:tcBorders>
              <w:top w:val="nil"/>
              <w:left w:val="nil"/>
              <w:bottom w:val="single" w:sz="4" w:space="0" w:color="auto"/>
              <w:right w:val="single" w:sz="4" w:space="0" w:color="auto"/>
            </w:tcBorders>
            <w:shd w:val="clear" w:color="auto" w:fill="auto"/>
            <w:vAlign w:val="center"/>
            <w:hideMark/>
          </w:tcPr>
          <w:p w14:paraId="3E4A547D" w14:textId="77777777" w:rsidR="009D50B5" w:rsidRDefault="009D50B5" w:rsidP="00AA653D">
            <w:pPr>
              <w:jc w:val="center"/>
              <w:rPr>
                <w:rFonts w:ascii="Tahoma" w:hAnsi="Tahoma" w:cs="Tahoma"/>
                <w:b/>
                <w:bCs/>
                <w:color w:val="000000"/>
                <w:sz w:val="18"/>
                <w:szCs w:val="18"/>
              </w:rPr>
            </w:pPr>
            <w:r>
              <w:rPr>
                <w:rFonts w:ascii="Tahoma" w:hAnsi="Tahoma" w:cs="Tahoma"/>
                <w:b/>
                <w:bCs/>
                <w:color w:val="000000"/>
                <w:sz w:val="18"/>
                <w:szCs w:val="18"/>
              </w:rPr>
              <w:t>БЕСПЛАТНО</w:t>
            </w:r>
          </w:p>
        </w:tc>
      </w:tr>
      <w:tr w:rsidR="009D50B5" w14:paraId="1B8B42C1" w14:textId="77777777" w:rsidTr="00AA653D">
        <w:trPr>
          <w:gridAfter w:val="1"/>
          <w:wAfter w:w="14354" w:type="dxa"/>
          <w:trHeight w:val="255"/>
        </w:trPr>
        <w:tc>
          <w:tcPr>
            <w:tcW w:w="740" w:type="dxa"/>
            <w:vMerge w:val="restart"/>
            <w:tcBorders>
              <w:top w:val="nil"/>
              <w:left w:val="single" w:sz="4" w:space="0" w:color="auto"/>
              <w:bottom w:val="single" w:sz="4" w:space="0" w:color="auto"/>
              <w:right w:val="single" w:sz="4" w:space="0" w:color="auto"/>
            </w:tcBorders>
            <w:shd w:val="clear" w:color="auto" w:fill="auto"/>
            <w:vAlign w:val="center"/>
            <w:hideMark/>
          </w:tcPr>
          <w:p w14:paraId="1B5AEEEC"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6.5.3.</w:t>
            </w:r>
          </w:p>
        </w:tc>
        <w:tc>
          <w:tcPr>
            <w:tcW w:w="6631" w:type="dxa"/>
            <w:vMerge w:val="restart"/>
            <w:tcBorders>
              <w:top w:val="nil"/>
              <w:left w:val="single" w:sz="4" w:space="0" w:color="auto"/>
              <w:bottom w:val="single" w:sz="4" w:space="0" w:color="auto"/>
              <w:right w:val="single" w:sz="4" w:space="0" w:color="auto"/>
            </w:tcBorders>
            <w:shd w:val="clear" w:color="auto" w:fill="auto"/>
            <w:vAlign w:val="center"/>
            <w:hideMark/>
          </w:tcPr>
          <w:p w14:paraId="0A8C9B72" w14:textId="77777777" w:rsidR="009D50B5" w:rsidRDefault="009D50B5" w:rsidP="00AA653D">
            <w:pPr>
              <w:rPr>
                <w:rFonts w:ascii="Tahoma" w:hAnsi="Tahoma" w:cs="Tahoma"/>
                <w:color w:val="000000"/>
                <w:sz w:val="18"/>
                <w:szCs w:val="18"/>
              </w:rPr>
            </w:pPr>
            <w:r>
              <w:rPr>
                <w:rFonts w:ascii="Tahoma" w:hAnsi="Tahoma" w:cs="Tahoma"/>
                <w:color w:val="000000"/>
                <w:sz w:val="18"/>
                <w:szCs w:val="18"/>
              </w:rPr>
              <w:t>в банкоматах других банков</w:t>
            </w:r>
          </w:p>
        </w:tc>
        <w:tc>
          <w:tcPr>
            <w:tcW w:w="7655" w:type="dxa"/>
            <w:tcBorders>
              <w:top w:val="nil"/>
              <w:left w:val="nil"/>
              <w:bottom w:val="single" w:sz="4" w:space="0" w:color="auto"/>
              <w:right w:val="single" w:sz="4" w:space="0" w:color="auto"/>
            </w:tcBorders>
            <w:shd w:val="clear" w:color="auto" w:fill="auto"/>
            <w:vAlign w:val="center"/>
            <w:hideMark/>
          </w:tcPr>
          <w:p w14:paraId="4F34115F"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 xml:space="preserve">первый запрос: 0 рублей, </w:t>
            </w:r>
          </w:p>
        </w:tc>
      </w:tr>
      <w:tr w:rsidR="009D50B5" w14:paraId="7858C638" w14:textId="77777777" w:rsidTr="00AA653D">
        <w:trPr>
          <w:gridAfter w:val="1"/>
          <w:wAfter w:w="14354" w:type="dxa"/>
          <w:trHeight w:val="255"/>
        </w:trPr>
        <w:tc>
          <w:tcPr>
            <w:tcW w:w="740" w:type="dxa"/>
            <w:vMerge/>
            <w:tcBorders>
              <w:top w:val="nil"/>
              <w:left w:val="single" w:sz="4" w:space="0" w:color="auto"/>
              <w:bottom w:val="single" w:sz="4" w:space="0" w:color="auto"/>
              <w:right w:val="single" w:sz="4" w:space="0" w:color="auto"/>
            </w:tcBorders>
            <w:vAlign w:val="center"/>
            <w:hideMark/>
          </w:tcPr>
          <w:p w14:paraId="488CA667" w14:textId="77777777" w:rsidR="009D50B5" w:rsidRDefault="009D50B5" w:rsidP="00AA653D">
            <w:pPr>
              <w:rPr>
                <w:rFonts w:ascii="Tahoma" w:hAnsi="Tahoma" w:cs="Tahoma"/>
                <w:color w:val="000000"/>
                <w:sz w:val="18"/>
                <w:szCs w:val="18"/>
              </w:rPr>
            </w:pPr>
          </w:p>
        </w:tc>
        <w:tc>
          <w:tcPr>
            <w:tcW w:w="6631" w:type="dxa"/>
            <w:vMerge/>
            <w:tcBorders>
              <w:top w:val="nil"/>
              <w:left w:val="single" w:sz="4" w:space="0" w:color="auto"/>
              <w:bottom w:val="single" w:sz="4" w:space="0" w:color="auto"/>
              <w:right w:val="single" w:sz="4" w:space="0" w:color="auto"/>
            </w:tcBorders>
            <w:vAlign w:val="center"/>
            <w:hideMark/>
          </w:tcPr>
          <w:p w14:paraId="56D89169" w14:textId="77777777" w:rsidR="009D50B5" w:rsidRDefault="009D50B5" w:rsidP="00AA653D">
            <w:pPr>
              <w:rPr>
                <w:rFonts w:ascii="Tahoma" w:hAnsi="Tahoma" w:cs="Tahoma"/>
                <w:color w:val="000000"/>
                <w:sz w:val="18"/>
                <w:szCs w:val="18"/>
              </w:rPr>
            </w:pPr>
          </w:p>
        </w:tc>
        <w:tc>
          <w:tcPr>
            <w:tcW w:w="7655" w:type="dxa"/>
            <w:tcBorders>
              <w:top w:val="nil"/>
              <w:left w:val="nil"/>
              <w:bottom w:val="single" w:sz="4" w:space="0" w:color="auto"/>
              <w:right w:val="single" w:sz="4" w:space="0" w:color="auto"/>
            </w:tcBorders>
            <w:shd w:val="clear" w:color="auto" w:fill="auto"/>
            <w:vAlign w:val="center"/>
            <w:hideMark/>
          </w:tcPr>
          <w:p w14:paraId="4D4F5ABC"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 xml:space="preserve">последующие запросы: 45 рублей за каждый запрос </w:t>
            </w:r>
          </w:p>
        </w:tc>
      </w:tr>
      <w:tr w:rsidR="009D50B5" w14:paraId="54ADD225" w14:textId="77777777" w:rsidTr="00AA653D">
        <w:trPr>
          <w:gridAfter w:val="1"/>
          <w:wAfter w:w="14354" w:type="dxa"/>
          <w:trHeight w:val="375"/>
        </w:trPr>
        <w:tc>
          <w:tcPr>
            <w:tcW w:w="740" w:type="dxa"/>
            <w:tcBorders>
              <w:top w:val="nil"/>
              <w:left w:val="single" w:sz="4" w:space="0" w:color="auto"/>
              <w:bottom w:val="single" w:sz="4" w:space="0" w:color="auto"/>
              <w:right w:val="single" w:sz="4" w:space="0" w:color="auto"/>
            </w:tcBorders>
            <w:shd w:val="clear" w:color="000000" w:fill="A6A6A6"/>
            <w:vAlign w:val="center"/>
            <w:hideMark/>
          </w:tcPr>
          <w:p w14:paraId="00B95014" w14:textId="77777777" w:rsidR="009D50B5" w:rsidRDefault="009D50B5" w:rsidP="00AA653D">
            <w:pPr>
              <w:jc w:val="center"/>
              <w:rPr>
                <w:rFonts w:ascii="Tahoma" w:hAnsi="Tahoma" w:cs="Tahoma"/>
                <w:b/>
                <w:bCs/>
                <w:sz w:val="18"/>
                <w:szCs w:val="18"/>
              </w:rPr>
            </w:pPr>
            <w:r>
              <w:rPr>
                <w:rFonts w:ascii="Tahoma" w:hAnsi="Tahoma" w:cs="Tahoma"/>
                <w:b/>
                <w:bCs/>
                <w:sz w:val="18"/>
                <w:szCs w:val="18"/>
              </w:rPr>
              <w:t>6.6.</w:t>
            </w:r>
          </w:p>
        </w:tc>
        <w:tc>
          <w:tcPr>
            <w:tcW w:w="14286" w:type="dxa"/>
            <w:gridSpan w:val="2"/>
            <w:tcBorders>
              <w:top w:val="single" w:sz="4" w:space="0" w:color="auto"/>
              <w:left w:val="nil"/>
              <w:bottom w:val="single" w:sz="4" w:space="0" w:color="auto"/>
              <w:right w:val="single" w:sz="4" w:space="0" w:color="auto"/>
            </w:tcBorders>
            <w:shd w:val="clear" w:color="000000" w:fill="A6A6A6"/>
            <w:vAlign w:val="center"/>
            <w:hideMark/>
          </w:tcPr>
          <w:p w14:paraId="6041BAF2" w14:textId="77777777" w:rsidR="009D50B5" w:rsidRDefault="009D50B5" w:rsidP="00AA653D">
            <w:pPr>
              <w:rPr>
                <w:rFonts w:ascii="Tahoma" w:hAnsi="Tahoma" w:cs="Tahoma"/>
                <w:b/>
                <w:bCs/>
                <w:sz w:val="18"/>
                <w:szCs w:val="18"/>
              </w:rPr>
            </w:pPr>
            <w:r>
              <w:rPr>
                <w:rFonts w:ascii="Tahoma" w:hAnsi="Tahoma" w:cs="Tahoma"/>
                <w:b/>
                <w:bCs/>
                <w:sz w:val="18"/>
                <w:szCs w:val="18"/>
              </w:rPr>
              <w:t>Приостановление/возобновление операций с картой</w:t>
            </w:r>
          </w:p>
        </w:tc>
      </w:tr>
      <w:tr w:rsidR="009D50B5" w14:paraId="6F7587A7" w14:textId="77777777" w:rsidTr="00AA653D">
        <w:trPr>
          <w:gridAfter w:val="1"/>
          <w:wAfter w:w="14354" w:type="dxa"/>
          <w:trHeight w:val="735"/>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2B63C0E4"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6.6.1.</w:t>
            </w:r>
          </w:p>
        </w:tc>
        <w:tc>
          <w:tcPr>
            <w:tcW w:w="6631" w:type="dxa"/>
            <w:tcBorders>
              <w:top w:val="nil"/>
              <w:left w:val="nil"/>
              <w:bottom w:val="single" w:sz="4" w:space="0" w:color="auto"/>
              <w:right w:val="single" w:sz="4" w:space="0" w:color="auto"/>
            </w:tcBorders>
            <w:shd w:val="clear" w:color="auto" w:fill="auto"/>
            <w:vAlign w:val="center"/>
            <w:hideMark/>
          </w:tcPr>
          <w:p w14:paraId="2CEBB070" w14:textId="77777777" w:rsidR="009D50B5" w:rsidRDefault="009D50B5" w:rsidP="00AA653D">
            <w:pPr>
              <w:rPr>
                <w:rFonts w:ascii="Tahoma" w:hAnsi="Tahoma" w:cs="Tahoma"/>
                <w:color w:val="000000"/>
                <w:sz w:val="18"/>
                <w:szCs w:val="18"/>
              </w:rPr>
            </w:pPr>
            <w:r>
              <w:rPr>
                <w:rFonts w:ascii="Tahoma" w:hAnsi="Tahoma" w:cs="Tahoma"/>
                <w:color w:val="000000"/>
                <w:sz w:val="18"/>
                <w:szCs w:val="18"/>
              </w:rPr>
              <w:t>блокировка/разблокировка карты в базе данных Процессингового Центра  АТБ (АО) при использовании удаленных каналов обслуживания</w:t>
            </w:r>
          </w:p>
        </w:tc>
        <w:tc>
          <w:tcPr>
            <w:tcW w:w="7655" w:type="dxa"/>
            <w:tcBorders>
              <w:top w:val="nil"/>
              <w:left w:val="nil"/>
              <w:bottom w:val="single" w:sz="4" w:space="0" w:color="auto"/>
              <w:right w:val="single" w:sz="4" w:space="0" w:color="auto"/>
            </w:tcBorders>
            <w:shd w:val="clear" w:color="auto" w:fill="auto"/>
            <w:vAlign w:val="center"/>
            <w:hideMark/>
          </w:tcPr>
          <w:p w14:paraId="68DC88B5" w14:textId="77777777" w:rsidR="009D50B5" w:rsidRDefault="009D50B5" w:rsidP="00AA653D">
            <w:pPr>
              <w:jc w:val="center"/>
              <w:rPr>
                <w:rFonts w:ascii="Tahoma" w:hAnsi="Tahoma" w:cs="Tahoma"/>
                <w:b/>
                <w:bCs/>
                <w:color w:val="000000"/>
                <w:sz w:val="18"/>
                <w:szCs w:val="18"/>
              </w:rPr>
            </w:pPr>
            <w:r>
              <w:rPr>
                <w:rFonts w:ascii="Tahoma" w:hAnsi="Tahoma" w:cs="Tahoma"/>
                <w:b/>
                <w:bCs/>
                <w:color w:val="000000"/>
                <w:sz w:val="18"/>
                <w:szCs w:val="18"/>
              </w:rPr>
              <w:t>БЕСПЛАТНО</w:t>
            </w:r>
          </w:p>
        </w:tc>
      </w:tr>
      <w:tr w:rsidR="009D50B5" w14:paraId="1C255706" w14:textId="77777777" w:rsidTr="00AA653D">
        <w:trPr>
          <w:gridAfter w:val="1"/>
          <w:wAfter w:w="14354" w:type="dxa"/>
          <w:trHeight w:val="480"/>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0AE21432"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6.6.2.</w:t>
            </w:r>
          </w:p>
        </w:tc>
        <w:tc>
          <w:tcPr>
            <w:tcW w:w="6631" w:type="dxa"/>
            <w:tcBorders>
              <w:top w:val="nil"/>
              <w:left w:val="nil"/>
              <w:bottom w:val="single" w:sz="4" w:space="0" w:color="auto"/>
              <w:right w:val="single" w:sz="4" w:space="0" w:color="auto"/>
            </w:tcBorders>
            <w:shd w:val="clear" w:color="auto" w:fill="auto"/>
            <w:vAlign w:val="center"/>
            <w:hideMark/>
          </w:tcPr>
          <w:p w14:paraId="1E2D85D4" w14:textId="77777777" w:rsidR="009D50B5" w:rsidRDefault="009D50B5" w:rsidP="00AA653D">
            <w:pPr>
              <w:rPr>
                <w:rFonts w:ascii="Tahoma" w:hAnsi="Tahoma" w:cs="Tahoma"/>
                <w:color w:val="000000"/>
                <w:sz w:val="18"/>
                <w:szCs w:val="18"/>
              </w:rPr>
            </w:pPr>
            <w:r>
              <w:rPr>
                <w:rFonts w:ascii="Tahoma" w:hAnsi="Tahoma" w:cs="Tahoma"/>
                <w:color w:val="000000"/>
                <w:sz w:val="18"/>
                <w:szCs w:val="18"/>
              </w:rPr>
              <w:t>выдача остатка денежных средств после закрытия счета банковской карты</w:t>
            </w:r>
            <w:r>
              <w:rPr>
                <w:rFonts w:ascii="Tahoma" w:hAnsi="Tahoma" w:cs="Tahoma"/>
                <w:color w:val="000000"/>
                <w:sz w:val="18"/>
                <w:szCs w:val="18"/>
                <w:vertAlign w:val="superscript"/>
              </w:rPr>
              <w:t>6</w:t>
            </w:r>
          </w:p>
        </w:tc>
        <w:tc>
          <w:tcPr>
            <w:tcW w:w="7655" w:type="dxa"/>
            <w:tcBorders>
              <w:top w:val="nil"/>
              <w:left w:val="nil"/>
              <w:bottom w:val="single" w:sz="4" w:space="0" w:color="auto"/>
              <w:right w:val="single" w:sz="4" w:space="0" w:color="auto"/>
            </w:tcBorders>
            <w:shd w:val="clear" w:color="auto" w:fill="auto"/>
            <w:vAlign w:val="center"/>
            <w:hideMark/>
          </w:tcPr>
          <w:p w14:paraId="5373CA51" w14:textId="77777777" w:rsidR="009D50B5" w:rsidRDefault="009D50B5" w:rsidP="00AA653D">
            <w:pPr>
              <w:jc w:val="center"/>
              <w:rPr>
                <w:rFonts w:ascii="Tahoma" w:hAnsi="Tahoma" w:cs="Tahoma"/>
                <w:b/>
                <w:bCs/>
                <w:color w:val="000000"/>
                <w:sz w:val="18"/>
                <w:szCs w:val="18"/>
              </w:rPr>
            </w:pPr>
            <w:r>
              <w:rPr>
                <w:rFonts w:ascii="Tahoma" w:hAnsi="Tahoma" w:cs="Tahoma"/>
                <w:b/>
                <w:bCs/>
                <w:color w:val="000000"/>
                <w:sz w:val="18"/>
                <w:szCs w:val="18"/>
              </w:rPr>
              <w:t>БЕСПЛАТНО</w:t>
            </w:r>
          </w:p>
        </w:tc>
      </w:tr>
      <w:tr w:rsidR="009D50B5" w14:paraId="358EE6A0" w14:textId="77777777" w:rsidTr="00AA653D">
        <w:trPr>
          <w:gridAfter w:val="1"/>
          <w:wAfter w:w="14354" w:type="dxa"/>
          <w:trHeight w:val="750"/>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5F885399"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6.6.3.</w:t>
            </w:r>
          </w:p>
        </w:tc>
        <w:tc>
          <w:tcPr>
            <w:tcW w:w="6631" w:type="dxa"/>
            <w:tcBorders>
              <w:top w:val="nil"/>
              <w:left w:val="nil"/>
              <w:bottom w:val="single" w:sz="4" w:space="0" w:color="auto"/>
              <w:right w:val="single" w:sz="4" w:space="0" w:color="auto"/>
            </w:tcBorders>
            <w:shd w:val="clear" w:color="auto" w:fill="auto"/>
            <w:vAlign w:val="center"/>
            <w:hideMark/>
          </w:tcPr>
          <w:p w14:paraId="0BFC0D4C" w14:textId="77777777" w:rsidR="009D50B5" w:rsidRDefault="009D50B5" w:rsidP="00AA653D">
            <w:pPr>
              <w:rPr>
                <w:rFonts w:ascii="Tahoma" w:hAnsi="Tahoma" w:cs="Tahoma"/>
                <w:color w:val="000000"/>
                <w:sz w:val="18"/>
                <w:szCs w:val="18"/>
              </w:rPr>
            </w:pPr>
            <w:r>
              <w:rPr>
                <w:rFonts w:ascii="Tahoma" w:hAnsi="Tahoma" w:cs="Tahoma"/>
                <w:color w:val="000000"/>
                <w:sz w:val="18"/>
                <w:szCs w:val="18"/>
              </w:rPr>
              <w:t>блокировка/разблокировка карты в базе данных Процессингового Центра АТБ (АО) при оформлении операции сотрудником Банка</w:t>
            </w:r>
          </w:p>
        </w:tc>
        <w:tc>
          <w:tcPr>
            <w:tcW w:w="7655" w:type="dxa"/>
            <w:tcBorders>
              <w:top w:val="nil"/>
              <w:left w:val="nil"/>
              <w:bottom w:val="single" w:sz="4" w:space="0" w:color="auto"/>
              <w:right w:val="single" w:sz="4" w:space="0" w:color="auto"/>
            </w:tcBorders>
            <w:shd w:val="clear" w:color="auto" w:fill="auto"/>
            <w:vAlign w:val="center"/>
            <w:hideMark/>
          </w:tcPr>
          <w:p w14:paraId="5F96C19F" w14:textId="77777777" w:rsidR="009D50B5" w:rsidRDefault="009D50B5" w:rsidP="00AA653D">
            <w:pPr>
              <w:jc w:val="center"/>
              <w:rPr>
                <w:rFonts w:ascii="Tahoma" w:hAnsi="Tahoma" w:cs="Tahoma"/>
                <w:b/>
                <w:bCs/>
                <w:color w:val="000000"/>
                <w:sz w:val="18"/>
                <w:szCs w:val="18"/>
              </w:rPr>
            </w:pPr>
            <w:r>
              <w:rPr>
                <w:rFonts w:ascii="Tahoma" w:hAnsi="Tahoma" w:cs="Tahoma"/>
                <w:b/>
                <w:bCs/>
                <w:color w:val="000000"/>
                <w:sz w:val="18"/>
                <w:szCs w:val="18"/>
              </w:rPr>
              <w:t>БЕСПЛАТНО</w:t>
            </w:r>
          </w:p>
        </w:tc>
      </w:tr>
      <w:tr w:rsidR="009D50B5" w14:paraId="0CA6506F" w14:textId="77777777" w:rsidTr="00AA653D">
        <w:trPr>
          <w:gridAfter w:val="1"/>
          <w:wAfter w:w="14354" w:type="dxa"/>
          <w:trHeight w:val="456"/>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46325740"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6.6.4.</w:t>
            </w:r>
          </w:p>
        </w:tc>
        <w:tc>
          <w:tcPr>
            <w:tcW w:w="6631" w:type="dxa"/>
            <w:tcBorders>
              <w:top w:val="nil"/>
              <w:left w:val="nil"/>
              <w:bottom w:val="single" w:sz="4" w:space="0" w:color="auto"/>
              <w:right w:val="single" w:sz="4" w:space="0" w:color="auto"/>
            </w:tcBorders>
            <w:shd w:val="clear" w:color="auto" w:fill="auto"/>
            <w:vAlign w:val="center"/>
            <w:hideMark/>
          </w:tcPr>
          <w:p w14:paraId="144A04E6" w14:textId="77777777" w:rsidR="009D50B5" w:rsidRDefault="009D50B5" w:rsidP="00AA653D">
            <w:pPr>
              <w:rPr>
                <w:rFonts w:ascii="Tahoma" w:hAnsi="Tahoma" w:cs="Tahoma"/>
                <w:color w:val="000000"/>
                <w:sz w:val="18"/>
                <w:szCs w:val="18"/>
              </w:rPr>
            </w:pPr>
            <w:r>
              <w:rPr>
                <w:rFonts w:ascii="Tahoma" w:hAnsi="Tahoma" w:cs="Tahoma"/>
                <w:color w:val="000000"/>
                <w:sz w:val="18"/>
                <w:szCs w:val="18"/>
              </w:rPr>
              <w:t>постановка карты в международный стоп-лист (за 2 недели) по волеизъявления Клиента, один регион</w:t>
            </w:r>
          </w:p>
        </w:tc>
        <w:tc>
          <w:tcPr>
            <w:tcW w:w="7655" w:type="dxa"/>
            <w:tcBorders>
              <w:top w:val="nil"/>
              <w:left w:val="nil"/>
              <w:bottom w:val="single" w:sz="4" w:space="0" w:color="auto"/>
              <w:right w:val="single" w:sz="4" w:space="0" w:color="auto"/>
            </w:tcBorders>
            <w:shd w:val="clear" w:color="auto" w:fill="auto"/>
            <w:vAlign w:val="center"/>
            <w:hideMark/>
          </w:tcPr>
          <w:p w14:paraId="76AAAC71"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Не применимо</w:t>
            </w:r>
          </w:p>
        </w:tc>
      </w:tr>
      <w:tr w:rsidR="009D50B5" w14:paraId="5D595D2B" w14:textId="77777777" w:rsidTr="00AA653D">
        <w:trPr>
          <w:gridAfter w:val="1"/>
          <w:wAfter w:w="14354" w:type="dxa"/>
          <w:trHeight w:val="288"/>
        </w:trPr>
        <w:tc>
          <w:tcPr>
            <w:tcW w:w="740" w:type="dxa"/>
            <w:tcBorders>
              <w:top w:val="nil"/>
              <w:left w:val="single" w:sz="4" w:space="0" w:color="auto"/>
              <w:bottom w:val="single" w:sz="4" w:space="0" w:color="auto"/>
              <w:right w:val="single" w:sz="4" w:space="0" w:color="auto"/>
            </w:tcBorders>
            <w:shd w:val="clear" w:color="000000" w:fill="A6A6A6"/>
            <w:vAlign w:val="center"/>
            <w:hideMark/>
          </w:tcPr>
          <w:p w14:paraId="63685CA8" w14:textId="77777777" w:rsidR="009D50B5" w:rsidRDefault="009D50B5" w:rsidP="00AA653D">
            <w:pPr>
              <w:jc w:val="center"/>
              <w:rPr>
                <w:rFonts w:ascii="Tahoma" w:hAnsi="Tahoma" w:cs="Tahoma"/>
                <w:b/>
                <w:bCs/>
                <w:sz w:val="18"/>
                <w:szCs w:val="18"/>
              </w:rPr>
            </w:pPr>
            <w:r>
              <w:rPr>
                <w:rFonts w:ascii="Tahoma" w:hAnsi="Tahoma" w:cs="Tahoma"/>
                <w:b/>
                <w:bCs/>
                <w:sz w:val="18"/>
                <w:szCs w:val="18"/>
              </w:rPr>
              <w:t>6.7.</w:t>
            </w:r>
          </w:p>
        </w:tc>
        <w:tc>
          <w:tcPr>
            <w:tcW w:w="14286" w:type="dxa"/>
            <w:gridSpan w:val="2"/>
            <w:tcBorders>
              <w:top w:val="single" w:sz="4" w:space="0" w:color="auto"/>
              <w:left w:val="nil"/>
              <w:bottom w:val="single" w:sz="4" w:space="0" w:color="auto"/>
              <w:right w:val="single" w:sz="4" w:space="0" w:color="auto"/>
            </w:tcBorders>
            <w:shd w:val="clear" w:color="000000" w:fill="A6A6A6"/>
            <w:vAlign w:val="center"/>
            <w:hideMark/>
          </w:tcPr>
          <w:p w14:paraId="35B78AEC" w14:textId="77777777" w:rsidR="009D50B5" w:rsidRDefault="009D50B5" w:rsidP="00AA653D">
            <w:pPr>
              <w:rPr>
                <w:rFonts w:ascii="Tahoma" w:hAnsi="Tahoma" w:cs="Tahoma"/>
                <w:b/>
                <w:bCs/>
                <w:sz w:val="18"/>
                <w:szCs w:val="18"/>
              </w:rPr>
            </w:pPr>
            <w:r>
              <w:rPr>
                <w:rFonts w:ascii="Tahoma" w:hAnsi="Tahoma" w:cs="Tahoma"/>
                <w:b/>
                <w:bCs/>
                <w:sz w:val="18"/>
                <w:szCs w:val="18"/>
              </w:rPr>
              <w:t>Прочие операции</w:t>
            </w:r>
          </w:p>
        </w:tc>
      </w:tr>
      <w:tr w:rsidR="009D50B5" w14:paraId="4B58F66C" w14:textId="77777777" w:rsidTr="00AA653D">
        <w:trPr>
          <w:gridAfter w:val="1"/>
          <w:wAfter w:w="14354" w:type="dxa"/>
          <w:trHeight w:val="480"/>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485827DE"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6.7.1.</w:t>
            </w:r>
          </w:p>
        </w:tc>
        <w:tc>
          <w:tcPr>
            <w:tcW w:w="6631" w:type="dxa"/>
            <w:tcBorders>
              <w:top w:val="nil"/>
              <w:left w:val="nil"/>
              <w:bottom w:val="single" w:sz="4" w:space="0" w:color="auto"/>
              <w:right w:val="single" w:sz="4" w:space="0" w:color="auto"/>
            </w:tcBorders>
            <w:shd w:val="clear" w:color="auto" w:fill="auto"/>
            <w:vAlign w:val="center"/>
            <w:hideMark/>
          </w:tcPr>
          <w:p w14:paraId="78FE430A" w14:textId="77777777" w:rsidR="009D50B5" w:rsidRDefault="009D50B5" w:rsidP="00AA653D">
            <w:pPr>
              <w:rPr>
                <w:rFonts w:ascii="Tahoma" w:hAnsi="Tahoma" w:cs="Tahoma"/>
                <w:color w:val="000000"/>
                <w:sz w:val="18"/>
                <w:szCs w:val="18"/>
              </w:rPr>
            </w:pPr>
            <w:r>
              <w:rPr>
                <w:rFonts w:ascii="Tahoma" w:hAnsi="Tahoma" w:cs="Tahoma"/>
                <w:color w:val="000000"/>
                <w:sz w:val="18"/>
                <w:szCs w:val="18"/>
              </w:rPr>
              <w:t>выписка по счету банковской карты в отделении  АТБ (АО)</w:t>
            </w:r>
          </w:p>
        </w:tc>
        <w:tc>
          <w:tcPr>
            <w:tcW w:w="7655" w:type="dxa"/>
            <w:tcBorders>
              <w:top w:val="nil"/>
              <w:left w:val="nil"/>
              <w:bottom w:val="single" w:sz="4" w:space="0" w:color="auto"/>
              <w:right w:val="single" w:sz="4" w:space="0" w:color="auto"/>
            </w:tcBorders>
            <w:shd w:val="clear" w:color="auto" w:fill="auto"/>
            <w:vAlign w:val="center"/>
            <w:hideMark/>
          </w:tcPr>
          <w:p w14:paraId="4D5EDD34"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250 рублей</w:t>
            </w:r>
          </w:p>
        </w:tc>
      </w:tr>
      <w:tr w:rsidR="009D50B5" w14:paraId="0956382C" w14:textId="77777777" w:rsidTr="00AA653D">
        <w:trPr>
          <w:gridAfter w:val="1"/>
          <w:wAfter w:w="14354" w:type="dxa"/>
          <w:trHeight w:val="288"/>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2EF2619B"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6.7.2.</w:t>
            </w:r>
          </w:p>
        </w:tc>
        <w:tc>
          <w:tcPr>
            <w:tcW w:w="6631" w:type="dxa"/>
            <w:tcBorders>
              <w:top w:val="nil"/>
              <w:left w:val="nil"/>
              <w:bottom w:val="single" w:sz="4" w:space="0" w:color="auto"/>
              <w:right w:val="single" w:sz="4" w:space="0" w:color="auto"/>
            </w:tcBorders>
            <w:shd w:val="clear" w:color="auto" w:fill="auto"/>
            <w:vAlign w:val="center"/>
            <w:hideMark/>
          </w:tcPr>
          <w:p w14:paraId="23973F04" w14:textId="77777777" w:rsidR="009D50B5" w:rsidRDefault="009D50B5" w:rsidP="00AA653D">
            <w:pPr>
              <w:rPr>
                <w:rFonts w:ascii="Tahoma" w:hAnsi="Tahoma" w:cs="Tahoma"/>
                <w:color w:val="000000"/>
                <w:sz w:val="18"/>
                <w:szCs w:val="18"/>
              </w:rPr>
            </w:pPr>
            <w:r>
              <w:rPr>
                <w:rFonts w:ascii="Tahoma" w:hAnsi="Tahoma" w:cs="Tahoma"/>
                <w:color w:val="000000"/>
                <w:sz w:val="18"/>
                <w:szCs w:val="18"/>
              </w:rPr>
              <w:t>выписка по Счету карты в банкоматах АТБ (АО)</w:t>
            </w:r>
          </w:p>
        </w:tc>
        <w:tc>
          <w:tcPr>
            <w:tcW w:w="7655" w:type="dxa"/>
            <w:tcBorders>
              <w:top w:val="nil"/>
              <w:left w:val="nil"/>
              <w:bottom w:val="single" w:sz="4" w:space="0" w:color="auto"/>
              <w:right w:val="single" w:sz="4" w:space="0" w:color="auto"/>
            </w:tcBorders>
            <w:shd w:val="clear" w:color="auto" w:fill="auto"/>
            <w:vAlign w:val="center"/>
            <w:hideMark/>
          </w:tcPr>
          <w:p w14:paraId="7C594FC5" w14:textId="77777777" w:rsidR="009D50B5" w:rsidRDefault="009D50B5" w:rsidP="00AA653D">
            <w:pPr>
              <w:jc w:val="center"/>
              <w:rPr>
                <w:rFonts w:ascii="Tahoma" w:hAnsi="Tahoma" w:cs="Tahoma"/>
                <w:b/>
                <w:bCs/>
                <w:color w:val="000000"/>
                <w:sz w:val="18"/>
                <w:szCs w:val="18"/>
              </w:rPr>
            </w:pPr>
            <w:r>
              <w:rPr>
                <w:rFonts w:ascii="Tahoma" w:hAnsi="Tahoma" w:cs="Tahoma"/>
                <w:b/>
                <w:bCs/>
                <w:color w:val="000000"/>
                <w:sz w:val="18"/>
                <w:szCs w:val="18"/>
              </w:rPr>
              <w:t>БЕСПЛАТНО</w:t>
            </w:r>
          </w:p>
        </w:tc>
      </w:tr>
      <w:tr w:rsidR="009D50B5" w14:paraId="31F57FC8" w14:textId="77777777" w:rsidTr="00AA653D">
        <w:trPr>
          <w:gridAfter w:val="1"/>
          <w:wAfter w:w="14354" w:type="dxa"/>
          <w:trHeight w:val="480"/>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4BB5B059"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6.7.3.</w:t>
            </w:r>
          </w:p>
        </w:tc>
        <w:tc>
          <w:tcPr>
            <w:tcW w:w="6631" w:type="dxa"/>
            <w:tcBorders>
              <w:top w:val="nil"/>
              <w:left w:val="nil"/>
              <w:bottom w:val="single" w:sz="4" w:space="0" w:color="auto"/>
              <w:right w:val="single" w:sz="4" w:space="0" w:color="auto"/>
            </w:tcBorders>
            <w:shd w:val="clear" w:color="auto" w:fill="auto"/>
            <w:vAlign w:val="center"/>
            <w:hideMark/>
          </w:tcPr>
          <w:p w14:paraId="143B214C" w14:textId="77777777" w:rsidR="009D50B5" w:rsidRDefault="009D50B5" w:rsidP="00AA653D">
            <w:pPr>
              <w:rPr>
                <w:rFonts w:ascii="Tahoma" w:hAnsi="Tahoma" w:cs="Tahoma"/>
                <w:color w:val="000000"/>
                <w:sz w:val="18"/>
                <w:szCs w:val="18"/>
              </w:rPr>
            </w:pPr>
            <w:r>
              <w:rPr>
                <w:rFonts w:ascii="Tahoma" w:hAnsi="Tahoma" w:cs="Tahoma"/>
                <w:color w:val="000000"/>
                <w:sz w:val="18"/>
                <w:szCs w:val="18"/>
              </w:rPr>
              <w:t>изъятие (по распоряжению Банка) заблокированной карты в банкомате стороннего банка</w:t>
            </w:r>
            <w:r>
              <w:rPr>
                <w:rFonts w:ascii="Tahoma" w:hAnsi="Tahoma" w:cs="Tahoma"/>
                <w:color w:val="000000"/>
                <w:sz w:val="18"/>
                <w:szCs w:val="18"/>
                <w:vertAlign w:val="superscript"/>
              </w:rPr>
              <w:t>7</w:t>
            </w:r>
          </w:p>
        </w:tc>
        <w:tc>
          <w:tcPr>
            <w:tcW w:w="7655" w:type="dxa"/>
            <w:tcBorders>
              <w:top w:val="nil"/>
              <w:left w:val="nil"/>
              <w:bottom w:val="single" w:sz="4" w:space="0" w:color="auto"/>
              <w:right w:val="single" w:sz="4" w:space="0" w:color="auto"/>
            </w:tcBorders>
            <w:shd w:val="clear" w:color="auto" w:fill="auto"/>
            <w:vAlign w:val="center"/>
            <w:hideMark/>
          </w:tcPr>
          <w:p w14:paraId="3B7927B8"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Не применимо</w:t>
            </w:r>
          </w:p>
        </w:tc>
      </w:tr>
      <w:tr w:rsidR="009D50B5" w14:paraId="2CD02EDC" w14:textId="77777777" w:rsidTr="00AA653D">
        <w:trPr>
          <w:gridAfter w:val="1"/>
          <w:wAfter w:w="14354" w:type="dxa"/>
          <w:trHeight w:val="675"/>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3233EF81"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6.7.4.</w:t>
            </w:r>
          </w:p>
        </w:tc>
        <w:tc>
          <w:tcPr>
            <w:tcW w:w="6631" w:type="dxa"/>
            <w:tcBorders>
              <w:top w:val="nil"/>
              <w:left w:val="nil"/>
              <w:bottom w:val="single" w:sz="4" w:space="0" w:color="auto"/>
              <w:right w:val="single" w:sz="4" w:space="0" w:color="auto"/>
            </w:tcBorders>
            <w:shd w:val="clear" w:color="auto" w:fill="auto"/>
            <w:vAlign w:val="center"/>
            <w:hideMark/>
          </w:tcPr>
          <w:p w14:paraId="0D77E528" w14:textId="77777777" w:rsidR="009D50B5" w:rsidRDefault="009D50B5" w:rsidP="00AA653D">
            <w:pPr>
              <w:rPr>
                <w:rFonts w:ascii="Tahoma" w:hAnsi="Tahoma" w:cs="Tahoma"/>
                <w:color w:val="000000"/>
                <w:sz w:val="18"/>
                <w:szCs w:val="18"/>
              </w:rPr>
            </w:pPr>
            <w:r>
              <w:rPr>
                <w:rFonts w:ascii="Tahoma" w:hAnsi="Tahoma" w:cs="Tahoma"/>
                <w:color w:val="000000"/>
                <w:sz w:val="18"/>
                <w:szCs w:val="18"/>
              </w:rPr>
              <w:t>изъятие (по распоряжению Банка) заблокированной карты в ТСП</w:t>
            </w:r>
            <w:r>
              <w:rPr>
                <w:rFonts w:ascii="Tahoma" w:hAnsi="Tahoma" w:cs="Tahoma"/>
                <w:color w:val="000000"/>
                <w:sz w:val="18"/>
                <w:szCs w:val="18"/>
                <w:vertAlign w:val="superscript"/>
              </w:rPr>
              <w:t>2</w:t>
            </w:r>
            <w:r>
              <w:rPr>
                <w:rFonts w:ascii="Tahoma" w:hAnsi="Tahoma" w:cs="Tahoma"/>
                <w:color w:val="000000"/>
                <w:sz w:val="18"/>
                <w:szCs w:val="18"/>
              </w:rPr>
              <w:t xml:space="preserve"> другого банка</w:t>
            </w:r>
            <w:r>
              <w:rPr>
                <w:rFonts w:ascii="Tahoma" w:hAnsi="Tahoma" w:cs="Tahoma"/>
                <w:color w:val="000000"/>
                <w:sz w:val="18"/>
                <w:szCs w:val="18"/>
                <w:vertAlign w:val="superscript"/>
              </w:rPr>
              <w:t>7</w:t>
            </w:r>
          </w:p>
        </w:tc>
        <w:tc>
          <w:tcPr>
            <w:tcW w:w="7655" w:type="dxa"/>
            <w:tcBorders>
              <w:top w:val="nil"/>
              <w:left w:val="nil"/>
              <w:bottom w:val="single" w:sz="4" w:space="0" w:color="auto"/>
              <w:right w:val="single" w:sz="4" w:space="0" w:color="auto"/>
            </w:tcBorders>
            <w:shd w:val="clear" w:color="auto" w:fill="auto"/>
            <w:vAlign w:val="center"/>
            <w:hideMark/>
          </w:tcPr>
          <w:p w14:paraId="4B9EF956"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Не применимо</w:t>
            </w:r>
          </w:p>
        </w:tc>
      </w:tr>
      <w:tr w:rsidR="009D50B5" w14:paraId="228F780D" w14:textId="77777777" w:rsidTr="00AA653D">
        <w:trPr>
          <w:gridAfter w:val="1"/>
          <w:wAfter w:w="14354" w:type="dxa"/>
          <w:trHeight w:val="720"/>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49A286DD"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6.7.5.</w:t>
            </w:r>
          </w:p>
        </w:tc>
        <w:tc>
          <w:tcPr>
            <w:tcW w:w="6631" w:type="dxa"/>
            <w:tcBorders>
              <w:top w:val="nil"/>
              <w:left w:val="nil"/>
              <w:bottom w:val="single" w:sz="4" w:space="0" w:color="auto"/>
              <w:right w:val="single" w:sz="4" w:space="0" w:color="auto"/>
            </w:tcBorders>
            <w:shd w:val="clear" w:color="auto" w:fill="auto"/>
            <w:vAlign w:val="center"/>
            <w:hideMark/>
          </w:tcPr>
          <w:p w14:paraId="7B1C970F" w14:textId="77777777" w:rsidR="009D50B5" w:rsidRDefault="009D50B5" w:rsidP="00AA653D">
            <w:pPr>
              <w:rPr>
                <w:rFonts w:ascii="Tahoma" w:hAnsi="Tahoma" w:cs="Tahoma"/>
                <w:color w:val="000000"/>
                <w:sz w:val="18"/>
                <w:szCs w:val="18"/>
              </w:rPr>
            </w:pPr>
            <w:r>
              <w:rPr>
                <w:rFonts w:ascii="Tahoma" w:hAnsi="Tahoma" w:cs="Tahoma"/>
                <w:color w:val="000000"/>
                <w:sz w:val="18"/>
                <w:szCs w:val="18"/>
              </w:rPr>
              <w:t>услуги, оказанные другими банками (авторизация по телексу, направление в Банк информации об утере/краже карты, срочная)</w:t>
            </w:r>
          </w:p>
        </w:tc>
        <w:tc>
          <w:tcPr>
            <w:tcW w:w="7655" w:type="dxa"/>
            <w:tcBorders>
              <w:top w:val="nil"/>
              <w:left w:val="nil"/>
              <w:bottom w:val="single" w:sz="4" w:space="0" w:color="auto"/>
              <w:right w:val="single" w:sz="4" w:space="0" w:color="auto"/>
            </w:tcBorders>
            <w:shd w:val="clear" w:color="auto" w:fill="auto"/>
            <w:vAlign w:val="center"/>
            <w:hideMark/>
          </w:tcPr>
          <w:p w14:paraId="12DC254B"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по фактическим затратам Банка</w:t>
            </w:r>
          </w:p>
        </w:tc>
      </w:tr>
      <w:tr w:rsidR="009D50B5" w14:paraId="2A921991" w14:textId="77777777" w:rsidTr="00AA653D">
        <w:trPr>
          <w:gridAfter w:val="1"/>
          <w:wAfter w:w="14354" w:type="dxa"/>
          <w:trHeight w:val="525"/>
        </w:trPr>
        <w:tc>
          <w:tcPr>
            <w:tcW w:w="740" w:type="dxa"/>
            <w:tcBorders>
              <w:top w:val="nil"/>
              <w:left w:val="single" w:sz="4" w:space="0" w:color="auto"/>
              <w:bottom w:val="single" w:sz="4" w:space="0" w:color="auto"/>
              <w:right w:val="single" w:sz="4" w:space="0" w:color="auto"/>
            </w:tcBorders>
            <w:shd w:val="clear" w:color="000000" w:fill="808080"/>
            <w:vAlign w:val="center"/>
            <w:hideMark/>
          </w:tcPr>
          <w:p w14:paraId="74FD6156" w14:textId="77777777" w:rsidR="009D50B5" w:rsidRDefault="009D50B5" w:rsidP="00AA653D">
            <w:pPr>
              <w:jc w:val="center"/>
              <w:rPr>
                <w:rFonts w:ascii="Tahoma" w:hAnsi="Tahoma" w:cs="Tahoma"/>
                <w:b/>
                <w:bCs/>
                <w:color w:val="FFFFFF"/>
                <w:sz w:val="18"/>
                <w:szCs w:val="18"/>
              </w:rPr>
            </w:pPr>
            <w:r>
              <w:rPr>
                <w:rFonts w:ascii="Tahoma" w:hAnsi="Tahoma" w:cs="Tahoma"/>
                <w:b/>
                <w:bCs/>
                <w:color w:val="FFFFFF"/>
                <w:sz w:val="18"/>
                <w:szCs w:val="18"/>
              </w:rPr>
              <w:t>7.</w:t>
            </w:r>
          </w:p>
        </w:tc>
        <w:tc>
          <w:tcPr>
            <w:tcW w:w="6631" w:type="dxa"/>
            <w:tcBorders>
              <w:top w:val="nil"/>
              <w:left w:val="nil"/>
              <w:bottom w:val="single" w:sz="4" w:space="0" w:color="auto"/>
              <w:right w:val="single" w:sz="4" w:space="0" w:color="auto"/>
            </w:tcBorders>
            <w:shd w:val="clear" w:color="000000" w:fill="808080"/>
            <w:vAlign w:val="center"/>
            <w:hideMark/>
          </w:tcPr>
          <w:p w14:paraId="378C1F8C" w14:textId="77777777" w:rsidR="009D50B5" w:rsidRDefault="009D50B5" w:rsidP="00AA653D">
            <w:pPr>
              <w:rPr>
                <w:rFonts w:ascii="Tahoma" w:hAnsi="Tahoma" w:cs="Tahoma"/>
                <w:b/>
                <w:bCs/>
                <w:color w:val="FFFFFF"/>
                <w:sz w:val="18"/>
                <w:szCs w:val="18"/>
              </w:rPr>
            </w:pPr>
            <w:r>
              <w:rPr>
                <w:rFonts w:ascii="Tahoma" w:hAnsi="Tahoma" w:cs="Tahoma"/>
                <w:b/>
                <w:bCs/>
                <w:color w:val="FFFFFF"/>
                <w:sz w:val="18"/>
                <w:szCs w:val="18"/>
              </w:rPr>
              <w:t>Дополнительные сервисы по картам</w:t>
            </w:r>
          </w:p>
        </w:tc>
        <w:tc>
          <w:tcPr>
            <w:tcW w:w="7655" w:type="dxa"/>
            <w:tcBorders>
              <w:top w:val="nil"/>
              <w:left w:val="nil"/>
              <w:bottom w:val="single" w:sz="4" w:space="0" w:color="auto"/>
              <w:right w:val="single" w:sz="4" w:space="0" w:color="auto"/>
            </w:tcBorders>
            <w:shd w:val="clear" w:color="000000" w:fill="808080"/>
            <w:vAlign w:val="center"/>
            <w:hideMark/>
          </w:tcPr>
          <w:p w14:paraId="15A308B7" w14:textId="77777777" w:rsidR="009D50B5" w:rsidRDefault="009D50B5" w:rsidP="00AA653D">
            <w:pPr>
              <w:jc w:val="center"/>
              <w:rPr>
                <w:rFonts w:ascii="Tahoma" w:hAnsi="Tahoma" w:cs="Tahoma"/>
                <w:b/>
                <w:bCs/>
                <w:color w:val="FFFFFF"/>
                <w:sz w:val="18"/>
                <w:szCs w:val="18"/>
              </w:rPr>
            </w:pPr>
            <w:r>
              <w:rPr>
                <w:rFonts w:ascii="Tahoma" w:hAnsi="Tahoma" w:cs="Tahoma"/>
                <w:b/>
                <w:bCs/>
                <w:color w:val="FFFFFF"/>
                <w:sz w:val="18"/>
                <w:szCs w:val="18"/>
              </w:rPr>
              <w:t>МИР/</w:t>
            </w:r>
            <w:r>
              <w:rPr>
                <w:rFonts w:ascii="Tahoma" w:hAnsi="Tahoma" w:cs="Tahoma"/>
                <w:b/>
                <w:bCs/>
                <w:color w:val="FFFFFF"/>
                <w:sz w:val="18"/>
                <w:szCs w:val="18"/>
              </w:rPr>
              <w:br/>
              <w:t>МИР Неименная</w:t>
            </w:r>
          </w:p>
        </w:tc>
      </w:tr>
      <w:tr w:rsidR="009D50B5" w14:paraId="2986146F" w14:textId="77777777" w:rsidTr="00AA653D">
        <w:trPr>
          <w:gridAfter w:val="1"/>
          <w:wAfter w:w="14354" w:type="dxa"/>
          <w:trHeight w:val="936"/>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41EB9549"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7.1.</w:t>
            </w:r>
          </w:p>
        </w:tc>
        <w:tc>
          <w:tcPr>
            <w:tcW w:w="6631" w:type="dxa"/>
            <w:tcBorders>
              <w:top w:val="nil"/>
              <w:left w:val="nil"/>
              <w:bottom w:val="single" w:sz="4" w:space="0" w:color="auto"/>
              <w:right w:val="single" w:sz="4" w:space="0" w:color="auto"/>
            </w:tcBorders>
            <w:shd w:val="clear" w:color="000000" w:fill="FFFFFF"/>
            <w:vAlign w:val="center"/>
            <w:hideMark/>
          </w:tcPr>
          <w:p w14:paraId="05CAE18C" w14:textId="77777777" w:rsidR="009D50B5" w:rsidRDefault="009D50B5" w:rsidP="00AA653D">
            <w:pPr>
              <w:rPr>
                <w:rFonts w:ascii="Tahoma" w:hAnsi="Tahoma" w:cs="Tahoma"/>
                <w:color w:val="000000"/>
                <w:sz w:val="18"/>
                <w:szCs w:val="18"/>
              </w:rPr>
            </w:pPr>
            <w:r>
              <w:rPr>
                <w:rFonts w:ascii="Tahoma" w:hAnsi="Tahoma" w:cs="Tahoma"/>
                <w:color w:val="000000"/>
                <w:sz w:val="18"/>
                <w:szCs w:val="18"/>
              </w:rPr>
              <w:t>Программа лояльности для Клиентов-держателей</w:t>
            </w:r>
            <w:r>
              <w:rPr>
                <w:rFonts w:ascii="Tahoma" w:hAnsi="Tahoma" w:cs="Tahoma"/>
                <w:color w:val="000000"/>
                <w:sz w:val="18"/>
                <w:szCs w:val="18"/>
              </w:rPr>
              <w:br/>
              <w:t>Банковских карт «Азиатско-Тихоокеанский Банк, (АО)», размещённая на Сайте Банка www.atb.su и Подразделениях Банка</w:t>
            </w:r>
            <w:r>
              <w:rPr>
                <w:rFonts w:ascii="Tahoma" w:hAnsi="Tahoma" w:cs="Tahoma"/>
                <w:color w:val="000000"/>
                <w:sz w:val="18"/>
                <w:szCs w:val="18"/>
                <w:vertAlign w:val="superscript"/>
              </w:rPr>
              <w:t>8</w:t>
            </w:r>
          </w:p>
        </w:tc>
        <w:tc>
          <w:tcPr>
            <w:tcW w:w="7655" w:type="dxa"/>
            <w:tcBorders>
              <w:top w:val="nil"/>
              <w:left w:val="nil"/>
              <w:bottom w:val="single" w:sz="4" w:space="0" w:color="auto"/>
              <w:right w:val="single" w:sz="4" w:space="0" w:color="auto"/>
            </w:tcBorders>
            <w:shd w:val="clear" w:color="auto" w:fill="auto"/>
            <w:vAlign w:val="center"/>
            <w:hideMark/>
          </w:tcPr>
          <w:p w14:paraId="533B6B09" w14:textId="77777777" w:rsidR="009D50B5" w:rsidRDefault="009D50B5" w:rsidP="00AA653D">
            <w:pPr>
              <w:jc w:val="center"/>
              <w:rPr>
                <w:rFonts w:ascii="Tahoma" w:hAnsi="Tahoma" w:cs="Tahoma"/>
                <w:b/>
                <w:bCs/>
                <w:color w:val="000000"/>
                <w:sz w:val="18"/>
                <w:szCs w:val="18"/>
              </w:rPr>
            </w:pPr>
            <w:r>
              <w:rPr>
                <w:rFonts w:ascii="Tahoma" w:hAnsi="Tahoma" w:cs="Tahoma"/>
                <w:b/>
                <w:bCs/>
                <w:color w:val="000000"/>
                <w:sz w:val="18"/>
                <w:szCs w:val="18"/>
              </w:rPr>
              <w:t>Согласно действующей Бонусной программе "Стандарт-бонус лайт", размещенной на Сайте Банка www.atb.su и в Подразделениях Банка</w:t>
            </w:r>
          </w:p>
        </w:tc>
      </w:tr>
      <w:tr w:rsidR="009D50B5" w14:paraId="370C6FFF" w14:textId="77777777" w:rsidTr="00AA653D">
        <w:trPr>
          <w:gridAfter w:val="1"/>
          <w:wAfter w:w="14354" w:type="dxa"/>
          <w:trHeight w:val="456"/>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17CAA9D6"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7.2.</w:t>
            </w:r>
          </w:p>
        </w:tc>
        <w:tc>
          <w:tcPr>
            <w:tcW w:w="6631" w:type="dxa"/>
            <w:tcBorders>
              <w:top w:val="nil"/>
              <w:left w:val="nil"/>
              <w:bottom w:val="single" w:sz="4" w:space="0" w:color="auto"/>
              <w:right w:val="single" w:sz="4" w:space="0" w:color="auto"/>
            </w:tcBorders>
            <w:shd w:val="clear" w:color="auto" w:fill="auto"/>
            <w:vAlign w:val="center"/>
            <w:hideMark/>
          </w:tcPr>
          <w:p w14:paraId="54E24378" w14:textId="77777777" w:rsidR="009D50B5" w:rsidRDefault="009D50B5" w:rsidP="00AA653D">
            <w:pPr>
              <w:rPr>
                <w:rFonts w:ascii="Tahoma" w:hAnsi="Tahoma" w:cs="Tahoma"/>
                <w:color w:val="000000"/>
                <w:sz w:val="18"/>
                <w:szCs w:val="18"/>
              </w:rPr>
            </w:pPr>
            <w:r>
              <w:rPr>
                <w:rFonts w:ascii="Tahoma" w:hAnsi="Tahoma" w:cs="Tahoma"/>
                <w:color w:val="000000"/>
                <w:sz w:val="18"/>
                <w:szCs w:val="18"/>
              </w:rPr>
              <w:t>бесплатная выписка по счетам в "АТБ-Онлайн"/"АТБ-Мобайл"</w:t>
            </w:r>
          </w:p>
        </w:tc>
        <w:tc>
          <w:tcPr>
            <w:tcW w:w="7655" w:type="dxa"/>
            <w:tcBorders>
              <w:top w:val="nil"/>
              <w:left w:val="nil"/>
              <w:bottom w:val="single" w:sz="4" w:space="0" w:color="auto"/>
              <w:right w:val="single" w:sz="4" w:space="0" w:color="auto"/>
            </w:tcBorders>
            <w:shd w:val="clear" w:color="000000" w:fill="BFBFBF"/>
            <w:vAlign w:val="center"/>
            <w:hideMark/>
          </w:tcPr>
          <w:p w14:paraId="07432C70"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w:t>
            </w:r>
          </w:p>
        </w:tc>
      </w:tr>
      <w:tr w:rsidR="009D50B5" w14:paraId="4D9F9BC4" w14:textId="77777777" w:rsidTr="00AA653D">
        <w:trPr>
          <w:gridAfter w:val="1"/>
          <w:wAfter w:w="14354" w:type="dxa"/>
          <w:trHeight w:val="456"/>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73316306"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7.3.</w:t>
            </w:r>
          </w:p>
        </w:tc>
        <w:tc>
          <w:tcPr>
            <w:tcW w:w="6631" w:type="dxa"/>
            <w:tcBorders>
              <w:top w:val="nil"/>
              <w:left w:val="nil"/>
              <w:bottom w:val="single" w:sz="4" w:space="0" w:color="auto"/>
              <w:right w:val="single" w:sz="4" w:space="0" w:color="auto"/>
            </w:tcBorders>
            <w:shd w:val="clear" w:color="auto" w:fill="auto"/>
            <w:vAlign w:val="center"/>
            <w:hideMark/>
          </w:tcPr>
          <w:p w14:paraId="48B0D1C5" w14:textId="77777777" w:rsidR="009D50B5" w:rsidRDefault="009D50B5" w:rsidP="00AA653D">
            <w:pPr>
              <w:rPr>
                <w:rFonts w:ascii="Tahoma" w:hAnsi="Tahoma" w:cs="Tahoma"/>
                <w:color w:val="000000"/>
                <w:sz w:val="18"/>
                <w:szCs w:val="18"/>
              </w:rPr>
            </w:pPr>
            <w:r>
              <w:rPr>
                <w:rFonts w:ascii="Tahoma" w:hAnsi="Tahoma" w:cs="Tahoma"/>
                <w:color w:val="000000"/>
                <w:sz w:val="18"/>
                <w:szCs w:val="18"/>
              </w:rPr>
              <w:t>круглосуточная поддержка через Контактный центр АТБ (АО)</w:t>
            </w:r>
          </w:p>
        </w:tc>
        <w:tc>
          <w:tcPr>
            <w:tcW w:w="7655" w:type="dxa"/>
            <w:tcBorders>
              <w:top w:val="nil"/>
              <w:left w:val="nil"/>
              <w:bottom w:val="single" w:sz="4" w:space="0" w:color="auto"/>
              <w:right w:val="single" w:sz="4" w:space="0" w:color="auto"/>
            </w:tcBorders>
            <w:shd w:val="clear" w:color="000000" w:fill="BFBFBF"/>
            <w:vAlign w:val="center"/>
            <w:hideMark/>
          </w:tcPr>
          <w:p w14:paraId="426C3E52"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w:t>
            </w:r>
          </w:p>
        </w:tc>
      </w:tr>
      <w:tr w:rsidR="009D50B5" w14:paraId="0F51EEE1" w14:textId="77777777" w:rsidTr="00AA653D">
        <w:trPr>
          <w:gridAfter w:val="1"/>
          <w:wAfter w:w="14354" w:type="dxa"/>
          <w:trHeight w:val="288"/>
        </w:trPr>
        <w:tc>
          <w:tcPr>
            <w:tcW w:w="740" w:type="dxa"/>
            <w:tcBorders>
              <w:top w:val="nil"/>
              <w:left w:val="single" w:sz="4" w:space="0" w:color="auto"/>
              <w:bottom w:val="single" w:sz="4" w:space="0" w:color="auto"/>
              <w:right w:val="single" w:sz="4" w:space="0" w:color="auto"/>
            </w:tcBorders>
            <w:shd w:val="clear" w:color="auto" w:fill="auto"/>
            <w:vAlign w:val="center"/>
            <w:hideMark/>
          </w:tcPr>
          <w:p w14:paraId="7F278F15"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7.4.</w:t>
            </w:r>
          </w:p>
        </w:tc>
        <w:tc>
          <w:tcPr>
            <w:tcW w:w="6631" w:type="dxa"/>
            <w:tcBorders>
              <w:top w:val="nil"/>
              <w:left w:val="nil"/>
              <w:bottom w:val="single" w:sz="4" w:space="0" w:color="auto"/>
              <w:right w:val="single" w:sz="4" w:space="0" w:color="auto"/>
            </w:tcBorders>
            <w:shd w:val="clear" w:color="auto" w:fill="auto"/>
            <w:vAlign w:val="center"/>
            <w:hideMark/>
          </w:tcPr>
          <w:p w14:paraId="2BA91383" w14:textId="77777777" w:rsidR="009D50B5" w:rsidRDefault="009D50B5" w:rsidP="00AA653D">
            <w:pPr>
              <w:rPr>
                <w:rFonts w:ascii="Tahoma" w:hAnsi="Tahoma" w:cs="Tahoma"/>
                <w:sz w:val="18"/>
                <w:szCs w:val="18"/>
              </w:rPr>
            </w:pPr>
            <w:r>
              <w:rPr>
                <w:rFonts w:ascii="Tahoma" w:hAnsi="Tahoma" w:cs="Tahoma"/>
                <w:sz w:val="18"/>
                <w:szCs w:val="18"/>
              </w:rPr>
              <w:t>сообщение в банк о потере или краже карты</w:t>
            </w:r>
          </w:p>
        </w:tc>
        <w:tc>
          <w:tcPr>
            <w:tcW w:w="7655" w:type="dxa"/>
            <w:tcBorders>
              <w:top w:val="nil"/>
              <w:left w:val="nil"/>
              <w:bottom w:val="single" w:sz="4" w:space="0" w:color="auto"/>
              <w:right w:val="single" w:sz="4" w:space="0" w:color="auto"/>
            </w:tcBorders>
            <w:shd w:val="clear" w:color="000000" w:fill="BFBFBF"/>
            <w:vAlign w:val="center"/>
            <w:hideMark/>
          </w:tcPr>
          <w:p w14:paraId="105E5E3C" w14:textId="77777777" w:rsidR="009D50B5" w:rsidRDefault="009D50B5" w:rsidP="00AA653D">
            <w:pPr>
              <w:jc w:val="center"/>
              <w:rPr>
                <w:rFonts w:ascii="Tahoma" w:hAnsi="Tahoma" w:cs="Tahoma"/>
                <w:color w:val="000000"/>
                <w:sz w:val="18"/>
                <w:szCs w:val="18"/>
              </w:rPr>
            </w:pPr>
            <w:r>
              <w:rPr>
                <w:rFonts w:ascii="Tahoma" w:hAnsi="Tahoma" w:cs="Tahoma"/>
                <w:color w:val="000000"/>
                <w:sz w:val="18"/>
                <w:szCs w:val="18"/>
              </w:rPr>
              <w:t>+</w:t>
            </w:r>
          </w:p>
        </w:tc>
      </w:tr>
      <w:tr w:rsidR="009D50B5" w14:paraId="74E38C64" w14:textId="77777777" w:rsidTr="00AA653D">
        <w:trPr>
          <w:trHeight w:val="660"/>
        </w:trPr>
        <w:tc>
          <w:tcPr>
            <w:tcW w:w="29380" w:type="dxa"/>
            <w:gridSpan w:val="4"/>
            <w:tcBorders>
              <w:top w:val="nil"/>
              <w:left w:val="nil"/>
              <w:bottom w:val="nil"/>
              <w:right w:val="nil"/>
            </w:tcBorders>
            <w:shd w:val="clear" w:color="auto" w:fill="auto"/>
            <w:vAlign w:val="center"/>
            <w:hideMark/>
          </w:tcPr>
          <w:p w14:paraId="5545E15D" w14:textId="77777777" w:rsidR="009D50B5" w:rsidRDefault="009D50B5" w:rsidP="00AA653D">
            <w:pPr>
              <w:rPr>
                <w:rFonts w:ascii="Tahoma" w:hAnsi="Tahoma" w:cs="Tahoma"/>
                <w:sz w:val="22"/>
                <w:szCs w:val="22"/>
              </w:rPr>
            </w:pPr>
            <w:r>
              <w:rPr>
                <w:rFonts w:ascii="Tahoma" w:hAnsi="Tahoma" w:cs="Tahoma"/>
                <w:sz w:val="22"/>
                <w:szCs w:val="22"/>
                <w:vertAlign w:val="superscript"/>
              </w:rPr>
              <w:t>1</w:t>
            </w:r>
            <w:r>
              <w:rPr>
                <w:rFonts w:ascii="Tahoma" w:hAnsi="Tahoma" w:cs="Tahoma"/>
                <w:sz w:val="22"/>
                <w:szCs w:val="22"/>
              </w:rPr>
              <w:t>Карта – банковская (платежная) карта той платежной системы, карты которой эмитирует Банк</w:t>
            </w:r>
            <w:r>
              <w:rPr>
                <w:rFonts w:ascii="Tahoma" w:hAnsi="Tahoma" w:cs="Tahoma"/>
                <w:sz w:val="22"/>
                <w:szCs w:val="22"/>
                <w:vertAlign w:val="superscript"/>
              </w:rPr>
              <w:t>3</w:t>
            </w:r>
            <w:r>
              <w:rPr>
                <w:rFonts w:ascii="Tahoma" w:hAnsi="Tahoma" w:cs="Tahoma"/>
                <w:sz w:val="22"/>
                <w:szCs w:val="22"/>
              </w:rPr>
              <w:t>, выпущенная Банком</w:t>
            </w:r>
            <w:r>
              <w:rPr>
                <w:rFonts w:ascii="Tahoma" w:hAnsi="Tahoma" w:cs="Tahoma"/>
                <w:sz w:val="22"/>
                <w:szCs w:val="22"/>
                <w:vertAlign w:val="superscript"/>
              </w:rPr>
              <w:t>3</w:t>
            </w:r>
            <w:r>
              <w:rPr>
                <w:rFonts w:ascii="Tahoma" w:hAnsi="Tahoma" w:cs="Tahoma"/>
                <w:sz w:val="22"/>
                <w:szCs w:val="22"/>
              </w:rPr>
              <w:t xml:space="preserve"> для Клиента на имя Держателя карты на основании Заявления о банковском обслуживании при получении и использовании банковских (платежных) карт «Азиатско-Тихоокеанский Банк» (АО). Правила использования Карты устанавливаются нормативно-правовыми актами Банка России, платежной системой и Универсальным договором банковского обслуживания (далее – УДБО).</w:t>
            </w:r>
          </w:p>
        </w:tc>
      </w:tr>
      <w:tr w:rsidR="009D50B5" w14:paraId="536B3A27" w14:textId="77777777" w:rsidTr="00AA653D">
        <w:trPr>
          <w:trHeight w:val="705"/>
        </w:trPr>
        <w:tc>
          <w:tcPr>
            <w:tcW w:w="29380" w:type="dxa"/>
            <w:gridSpan w:val="4"/>
            <w:tcBorders>
              <w:top w:val="nil"/>
              <w:left w:val="nil"/>
              <w:bottom w:val="nil"/>
              <w:right w:val="nil"/>
            </w:tcBorders>
            <w:shd w:val="clear" w:color="auto" w:fill="auto"/>
            <w:hideMark/>
          </w:tcPr>
          <w:p w14:paraId="588DCFD6" w14:textId="77777777" w:rsidR="009D50B5" w:rsidRDefault="009D50B5" w:rsidP="00AA653D">
            <w:pPr>
              <w:rPr>
                <w:rFonts w:ascii="Tahoma" w:hAnsi="Tahoma" w:cs="Tahoma"/>
                <w:sz w:val="22"/>
                <w:szCs w:val="22"/>
              </w:rPr>
            </w:pPr>
            <w:r>
              <w:rPr>
                <w:rFonts w:ascii="Tahoma" w:hAnsi="Tahoma" w:cs="Tahoma"/>
                <w:sz w:val="22"/>
                <w:szCs w:val="22"/>
                <w:vertAlign w:val="superscript"/>
              </w:rPr>
              <w:t>2</w:t>
            </w:r>
            <w:r>
              <w:rPr>
                <w:rFonts w:ascii="Tahoma" w:hAnsi="Tahoma" w:cs="Tahoma"/>
                <w:sz w:val="22"/>
                <w:szCs w:val="22"/>
              </w:rPr>
              <w:t>Карта национальной платежной системы «Мир». Для Клиентов-физических лиц, получающих выплаты, предусмотренные п.4 ч.5.5 ст.30.5 Федерального закона 161-ФЗ «О национальной платежной системе» от 27.06.2011г., на платежные (банковские) Карты национальной платежной системы «Мир», выпущенные Банком</w:t>
            </w:r>
            <w:r>
              <w:rPr>
                <w:rFonts w:ascii="Tahoma" w:hAnsi="Tahoma" w:cs="Tahoma"/>
                <w:sz w:val="22"/>
                <w:szCs w:val="22"/>
                <w:vertAlign w:val="superscript"/>
              </w:rPr>
              <w:t>3</w:t>
            </w:r>
            <w:r>
              <w:rPr>
                <w:rFonts w:ascii="Tahoma" w:hAnsi="Tahoma" w:cs="Tahoma"/>
                <w:sz w:val="22"/>
                <w:szCs w:val="22"/>
              </w:rPr>
              <w:t xml:space="preserve">, операции, предусмотренные п.1 ч.5 ст.30.5 Федерального закона, производятся Банком безвозмездно. </w:t>
            </w:r>
          </w:p>
        </w:tc>
      </w:tr>
      <w:tr w:rsidR="009D50B5" w14:paraId="29E6C8A1" w14:textId="77777777" w:rsidTr="00AA653D">
        <w:trPr>
          <w:trHeight w:val="360"/>
        </w:trPr>
        <w:tc>
          <w:tcPr>
            <w:tcW w:w="29380" w:type="dxa"/>
            <w:gridSpan w:val="4"/>
            <w:tcBorders>
              <w:top w:val="nil"/>
              <w:left w:val="nil"/>
              <w:bottom w:val="nil"/>
              <w:right w:val="nil"/>
            </w:tcBorders>
            <w:shd w:val="clear" w:color="auto" w:fill="auto"/>
            <w:hideMark/>
          </w:tcPr>
          <w:p w14:paraId="53A2DC35" w14:textId="77777777" w:rsidR="009D50B5" w:rsidRDefault="009D50B5" w:rsidP="00AA653D">
            <w:pPr>
              <w:rPr>
                <w:rFonts w:ascii="Tahoma" w:hAnsi="Tahoma" w:cs="Tahoma"/>
                <w:sz w:val="22"/>
                <w:szCs w:val="22"/>
              </w:rPr>
            </w:pPr>
            <w:r>
              <w:rPr>
                <w:rFonts w:ascii="Tahoma" w:hAnsi="Tahoma" w:cs="Tahoma"/>
                <w:sz w:val="22"/>
                <w:szCs w:val="22"/>
                <w:vertAlign w:val="superscript"/>
              </w:rPr>
              <w:t>3</w:t>
            </w:r>
            <w:r>
              <w:rPr>
                <w:rFonts w:ascii="Tahoma" w:hAnsi="Tahoma" w:cs="Tahoma"/>
                <w:sz w:val="22"/>
                <w:szCs w:val="22"/>
              </w:rPr>
              <w:t>Банк – «Азиатско-Тихоокеанский Банк» (Акционерное общество).</w:t>
            </w:r>
          </w:p>
        </w:tc>
      </w:tr>
      <w:tr w:rsidR="009D50B5" w14:paraId="706BD121" w14:textId="77777777" w:rsidTr="00AA653D">
        <w:trPr>
          <w:trHeight w:val="735"/>
        </w:trPr>
        <w:tc>
          <w:tcPr>
            <w:tcW w:w="29380" w:type="dxa"/>
            <w:gridSpan w:val="4"/>
            <w:tcBorders>
              <w:top w:val="nil"/>
              <w:left w:val="nil"/>
              <w:bottom w:val="nil"/>
              <w:right w:val="nil"/>
            </w:tcBorders>
            <w:shd w:val="clear" w:color="auto" w:fill="auto"/>
            <w:hideMark/>
          </w:tcPr>
          <w:p w14:paraId="15AB8722" w14:textId="77777777" w:rsidR="009D50B5" w:rsidRDefault="009D50B5" w:rsidP="00AA653D">
            <w:pPr>
              <w:rPr>
                <w:rFonts w:ascii="Tahoma" w:hAnsi="Tahoma" w:cs="Tahoma"/>
                <w:sz w:val="22"/>
                <w:szCs w:val="22"/>
              </w:rPr>
            </w:pPr>
            <w:r>
              <w:rPr>
                <w:rFonts w:ascii="Tahoma" w:hAnsi="Tahoma" w:cs="Tahoma"/>
                <w:sz w:val="22"/>
                <w:szCs w:val="22"/>
                <w:vertAlign w:val="superscript"/>
              </w:rPr>
              <w:t>4</w:t>
            </w:r>
            <w:r>
              <w:rPr>
                <w:rFonts w:ascii="Tahoma" w:hAnsi="Tahoma" w:cs="Tahoma"/>
                <w:sz w:val="22"/>
                <w:szCs w:val="22"/>
              </w:rPr>
              <w:t>Зарплатный проект – оказание Банком</w:t>
            </w:r>
            <w:r>
              <w:rPr>
                <w:rFonts w:ascii="Tahoma" w:hAnsi="Tahoma" w:cs="Tahoma"/>
                <w:sz w:val="22"/>
                <w:szCs w:val="22"/>
                <w:vertAlign w:val="superscript"/>
              </w:rPr>
              <w:t>3</w:t>
            </w:r>
            <w:r>
              <w:rPr>
                <w:rFonts w:ascii="Tahoma" w:hAnsi="Tahoma" w:cs="Tahoma"/>
                <w:sz w:val="22"/>
                <w:szCs w:val="22"/>
              </w:rPr>
              <w:t xml:space="preserve"> услуг клиенту-юридическому лицу/индивидуальному предпринимателю (далее – Работодатель) на основании заключенного с ним договора по зачислению денежных средств, причитающихся работникам Работодателя, на Счета работников Работодателя. Выпуск Карт в рамках Договора о Зарплатном проекте возможен при наличии технической возможности.</w:t>
            </w:r>
          </w:p>
        </w:tc>
      </w:tr>
      <w:tr w:rsidR="009D50B5" w14:paraId="675F4DC9" w14:textId="77777777" w:rsidTr="00AA653D">
        <w:trPr>
          <w:trHeight w:val="720"/>
        </w:trPr>
        <w:tc>
          <w:tcPr>
            <w:tcW w:w="29380" w:type="dxa"/>
            <w:gridSpan w:val="4"/>
            <w:tcBorders>
              <w:top w:val="nil"/>
              <w:left w:val="nil"/>
              <w:bottom w:val="nil"/>
              <w:right w:val="nil"/>
            </w:tcBorders>
            <w:shd w:val="clear" w:color="000000" w:fill="FFFFFF"/>
            <w:hideMark/>
          </w:tcPr>
          <w:p w14:paraId="7342DE83" w14:textId="77777777" w:rsidR="009D50B5" w:rsidRDefault="009D50B5" w:rsidP="00AA653D">
            <w:pPr>
              <w:rPr>
                <w:rFonts w:ascii="Tahoma" w:hAnsi="Tahoma" w:cs="Tahoma"/>
                <w:sz w:val="22"/>
                <w:szCs w:val="22"/>
              </w:rPr>
            </w:pPr>
            <w:r>
              <w:rPr>
                <w:rFonts w:ascii="Tahoma" w:hAnsi="Tahoma" w:cs="Tahoma"/>
                <w:sz w:val="22"/>
                <w:szCs w:val="22"/>
                <w:vertAlign w:val="superscript"/>
              </w:rPr>
              <w:t>5</w:t>
            </w:r>
            <w:r>
              <w:rPr>
                <w:rFonts w:ascii="Tahoma" w:hAnsi="Tahoma" w:cs="Tahoma"/>
                <w:sz w:val="22"/>
                <w:szCs w:val="22"/>
              </w:rPr>
              <w:t>При оформлении Карты в Каналах ДБО: Интернет-банке «АТБ-Онлайн» и/или Мобильном банке «АТБ банк» и «АТБ Мобайл» (при наличии технической возможности) физическому лицу открывается Счет Карты и Цифровая карта (Карта, выпущенная по технологии без физического носителя). При этом, количество Цифровых карт не может быть более 2-х, выпущенных одному Клиенту.</w:t>
            </w:r>
          </w:p>
        </w:tc>
      </w:tr>
      <w:tr w:rsidR="009D50B5" w14:paraId="551DC162" w14:textId="77777777" w:rsidTr="00AA653D">
        <w:trPr>
          <w:trHeight w:val="930"/>
        </w:trPr>
        <w:tc>
          <w:tcPr>
            <w:tcW w:w="29380" w:type="dxa"/>
            <w:gridSpan w:val="4"/>
            <w:tcBorders>
              <w:top w:val="nil"/>
              <w:left w:val="nil"/>
              <w:bottom w:val="nil"/>
              <w:right w:val="nil"/>
            </w:tcBorders>
            <w:shd w:val="clear" w:color="000000" w:fill="FFFFFF"/>
            <w:hideMark/>
          </w:tcPr>
          <w:p w14:paraId="4E37FE25" w14:textId="77777777" w:rsidR="009D50B5" w:rsidRDefault="009D50B5" w:rsidP="00AA653D">
            <w:pPr>
              <w:rPr>
                <w:rFonts w:ascii="Tahoma" w:hAnsi="Tahoma" w:cs="Tahoma"/>
                <w:sz w:val="22"/>
                <w:szCs w:val="22"/>
              </w:rPr>
            </w:pPr>
            <w:r>
              <w:rPr>
                <w:rFonts w:ascii="Tahoma" w:hAnsi="Tahoma" w:cs="Tahoma"/>
                <w:sz w:val="22"/>
                <w:szCs w:val="22"/>
                <w:vertAlign w:val="superscript"/>
              </w:rPr>
              <w:t>6</w:t>
            </w:r>
            <w:r>
              <w:rPr>
                <w:rFonts w:ascii="Tahoma" w:hAnsi="Tahoma" w:cs="Tahoma"/>
                <w:sz w:val="22"/>
                <w:szCs w:val="22"/>
              </w:rPr>
              <w:t>В качестве заработной платы Клиента учитываются исключительно поступления денежных средств на Счет Карты Клиента за Отчётный период со счета работодателя, который отличен от следующих счетов (первого/второго порядков): 302, 403, 40402, 40403, 40404, 40406, 40410, 409, 423, 455, 474, 706, 20202, 20208, 40101, 40817, 42607, 60307, 60308, 60311, 60312; и поступления денежных средств на Счет Карты Клиента за Отчётный период, назначение платежа которых позволяет однозначно определить, что указанные поступления являются заработной платой/авансом/премией/вознаграждением/довольствием/пособием по временной нетрудоспособности от работодателя Клиента.</w:t>
            </w:r>
          </w:p>
        </w:tc>
      </w:tr>
      <w:tr w:rsidR="009D50B5" w14:paraId="57703626" w14:textId="77777777" w:rsidTr="00AA653D">
        <w:trPr>
          <w:trHeight w:val="1230"/>
        </w:trPr>
        <w:tc>
          <w:tcPr>
            <w:tcW w:w="29380" w:type="dxa"/>
            <w:gridSpan w:val="4"/>
            <w:tcBorders>
              <w:top w:val="nil"/>
              <w:left w:val="nil"/>
              <w:bottom w:val="nil"/>
              <w:right w:val="nil"/>
            </w:tcBorders>
            <w:shd w:val="clear" w:color="000000" w:fill="FFFFFF"/>
            <w:hideMark/>
          </w:tcPr>
          <w:p w14:paraId="7190B4AD" w14:textId="77777777" w:rsidR="009D50B5" w:rsidRDefault="009D50B5" w:rsidP="00AA653D">
            <w:pPr>
              <w:rPr>
                <w:rFonts w:ascii="Tahoma" w:hAnsi="Tahoma" w:cs="Tahoma"/>
                <w:sz w:val="22"/>
                <w:szCs w:val="22"/>
              </w:rPr>
            </w:pPr>
            <w:r>
              <w:rPr>
                <w:rFonts w:ascii="Tahoma" w:hAnsi="Tahoma" w:cs="Tahoma"/>
                <w:sz w:val="22"/>
                <w:szCs w:val="22"/>
                <w:vertAlign w:val="superscript"/>
              </w:rPr>
              <w:t>7</w:t>
            </w:r>
            <w:r>
              <w:rPr>
                <w:rFonts w:ascii="Tahoma" w:hAnsi="Tahoma" w:cs="Tahoma"/>
                <w:sz w:val="22"/>
                <w:szCs w:val="22"/>
              </w:rPr>
              <w:t>Отчётный период – временной период, за который Банком взимается комиссия за ежемесячное обслуживание Карты по настоящему Тарифному плану. Первый Отчётный период исчисляется со дня предоставления Клиентом Банку Заявления о банковском обслуживании при получении и использовании банковских (платежных) карт «Азиатско-Тихоокеанский Банк» (АО) до календарного дня в следующем месяце, соответствующего дню открытия Счета Карты включительно. Последующие Отчётные периоды исчисляются ежемесячно со дня, следующего за днём окончания предыдущего Отчётного периода, до дня, соответствующего дню открытия Счета Карты. Услуга Банком Клиенту не оказывается и плата за нее не взимается в случае отсутствия операций по Счету Карты в Отчётном периоде. Плата за услугу взимается Банком ежемесячно, на следующий день после окончания Отчётного периода.</w:t>
            </w:r>
          </w:p>
        </w:tc>
      </w:tr>
      <w:tr w:rsidR="009D50B5" w14:paraId="7DCF4A54" w14:textId="77777777" w:rsidTr="00AA653D">
        <w:trPr>
          <w:trHeight w:val="630"/>
        </w:trPr>
        <w:tc>
          <w:tcPr>
            <w:tcW w:w="29380" w:type="dxa"/>
            <w:gridSpan w:val="4"/>
            <w:tcBorders>
              <w:top w:val="nil"/>
              <w:left w:val="nil"/>
              <w:bottom w:val="nil"/>
              <w:right w:val="nil"/>
            </w:tcBorders>
            <w:shd w:val="clear" w:color="auto" w:fill="auto"/>
            <w:hideMark/>
          </w:tcPr>
          <w:p w14:paraId="06DA3FD4" w14:textId="77777777" w:rsidR="009D50B5" w:rsidRDefault="009D50B5" w:rsidP="00AA653D">
            <w:pPr>
              <w:rPr>
                <w:rFonts w:ascii="Tahoma" w:hAnsi="Tahoma" w:cs="Tahoma"/>
                <w:sz w:val="22"/>
                <w:szCs w:val="22"/>
              </w:rPr>
            </w:pPr>
            <w:r>
              <w:rPr>
                <w:rFonts w:ascii="Tahoma" w:hAnsi="Tahoma" w:cs="Tahoma"/>
                <w:sz w:val="22"/>
                <w:szCs w:val="22"/>
                <w:vertAlign w:val="superscript"/>
              </w:rPr>
              <w:t>8</w:t>
            </w:r>
            <w:r>
              <w:rPr>
                <w:rFonts w:ascii="Tahoma" w:hAnsi="Tahoma" w:cs="Tahoma"/>
                <w:sz w:val="22"/>
                <w:szCs w:val="22"/>
              </w:rPr>
              <w:t>ТСП (торгово-сервисные предприятия) – юридическое или физическое лицо-индивидуальный предприниматель, самозанятый (за исключением кредитных организаций), осуществляющее реализацию товаров (услуг, работ, результатов интеллектуальной деятельности), оплата которых производится Клиентами Банка с использованием Карты/реквизитов Карты через электронные средства платежа (POS-терминалы, платежные терминалы), а также через сеть Интернет.</w:t>
            </w:r>
          </w:p>
        </w:tc>
      </w:tr>
      <w:tr w:rsidR="009D50B5" w14:paraId="4834AFEB" w14:textId="77777777" w:rsidTr="00AA653D">
        <w:trPr>
          <w:trHeight w:val="300"/>
        </w:trPr>
        <w:tc>
          <w:tcPr>
            <w:tcW w:w="29380" w:type="dxa"/>
            <w:gridSpan w:val="4"/>
            <w:tcBorders>
              <w:top w:val="nil"/>
              <w:left w:val="nil"/>
              <w:bottom w:val="nil"/>
              <w:right w:val="nil"/>
            </w:tcBorders>
            <w:shd w:val="clear" w:color="auto" w:fill="auto"/>
            <w:noWrap/>
            <w:hideMark/>
          </w:tcPr>
          <w:p w14:paraId="14638010" w14:textId="77777777" w:rsidR="009D50B5" w:rsidRDefault="009D50B5" w:rsidP="00AA653D">
            <w:pPr>
              <w:rPr>
                <w:rFonts w:ascii="Tahoma" w:hAnsi="Tahoma" w:cs="Tahoma"/>
                <w:sz w:val="22"/>
                <w:szCs w:val="22"/>
              </w:rPr>
            </w:pPr>
            <w:r>
              <w:rPr>
                <w:rFonts w:ascii="Tahoma" w:hAnsi="Tahoma" w:cs="Tahoma"/>
                <w:sz w:val="22"/>
                <w:szCs w:val="22"/>
                <w:vertAlign w:val="superscript"/>
              </w:rPr>
              <w:t>9</w:t>
            </w:r>
            <w:r>
              <w:rPr>
                <w:rFonts w:ascii="Tahoma" w:hAnsi="Tahoma" w:cs="Tahoma"/>
                <w:sz w:val="22"/>
                <w:szCs w:val="22"/>
              </w:rPr>
              <w:t>Для Карт UnionPay в валюте российский рубль.</w:t>
            </w:r>
          </w:p>
        </w:tc>
      </w:tr>
      <w:tr w:rsidR="009D50B5" w14:paraId="439374F5" w14:textId="77777777" w:rsidTr="00AA653D">
        <w:trPr>
          <w:trHeight w:val="330"/>
        </w:trPr>
        <w:tc>
          <w:tcPr>
            <w:tcW w:w="29380" w:type="dxa"/>
            <w:gridSpan w:val="4"/>
            <w:tcBorders>
              <w:top w:val="nil"/>
              <w:left w:val="nil"/>
              <w:bottom w:val="nil"/>
              <w:right w:val="nil"/>
            </w:tcBorders>
            <w:shd w:val="clear" w:color="000000" w:fill="FFFFFF"/>
            <w:hideMark/>
          </w:tcPr>
          <w:p w14:paraId="284D9680" w14:textId="77777777" w:rsidR="009D50B5" w:rsidRDefault="009D50B5" w:rsidP="00AA653D">
            <w:pPr>
              <w:rPr>
                <w:rFonts w:ascii="Tahoma" w:hAnsi="Tahoma" w:cs="Tahoma"/>
                <w:sz w:val="22"/>
                <w:szCs w:val="22"/>
              </w:rPr>
            </w:pPr>
            <w:r>
              <w:rPr>
                <w:rFonts w:ascii="Tahoma" w:hAnsi="Tahoma" w:cs="Tahoma"/>
                <w:sz w:val="22"/>
                <w:szCs w:val="22"/>
                <w:vertAlign w:val="superscript"/>
              </w:rPr>
              <w:t>10</w:t>
            </w:r>
            <w:r>
              <w:rPr>
                <w:rFonts w:ascii="Tahoma" w:hAnsi="Tahoma" w:cs="Tahoma"/>
                <w:sz w:val="22"/>
                <w:szCs w:val="22"/>
              </w:rPr>
              <w:t>Для Карт UnionPay в валюте китайский юань.</w:t>
            </w:r>
          </w:p>
        </w:tc>
      </w:tr>
      <w:tr w:rsidR="009D50B5" w14:paraId="4CF04B8C" w14:textId="77777777" w:rsidTr="00AA653D">
        <w:trPr>
          <w:trHeight w:val="300"/>
        </w:trPr>
        <w:tc>
          <w:tcPr>
            <w:tcW w:w="29380" w:type="dxa"/>
            <w:gridSpan w:val="4"/>
            <w:tcBorders>
              <w:top w:val="nil"/>
              <w:left w:val="nil"/>
              <w:bottom w:val="nil"/>
              <w:right w:val="nil"/>
            </w:tcBorders>
            <w:shd w:val="clear" w:color="auto" w:fill="auto"/>
            <w:noWrap/>
            <w:vAlign w:val="bottom"/>
            <w:hideMark/>
          </w:tcPr>
          <w:p w14:paraId="0AFAA749" w14:textId="77777777" w:rsidR="009D50B5" w:rsidRDefault="009D50B5" w:rsidP="00AA653D">
            <w:pPr>
              <w:rPr>
                <w:rFonts w:ascii="Tahoma" w:hAnsi="Tahoma" w:cs="Tahoma"/>
                <w:sz w:val="22"/>
                <w:szCs w:val="22"/>
              </w:rPr>
            </w:pPr>
            <w:r>
              <w:rPr>
                <w:rFonts w:ascii="Tahoma" w:hAnsi="Tahoma" w:cs="Tahoma"/>
                <w:sz w:val="22"/>
                <w:szCs w:val="22"/>
                <w:vertAlign w:val="superscript"/>
              </w:rPr>
              <w:t>11</w:t>
            </w:r>
            <w:r>
              <w:rPr>
                <w:rFonts w:ascii="Tahoma" w:hAnsi="Tahoma" w:cs="Tahoma"/>
                <w:sz w:val="22"/>
                <w:szCs w:val="22"/>
              </w:rPr>
              <w:t>Ежемесячный перевод процентов на Счет Карты возможен только, если валюта Вклада совпадает с валютой Счета Карты, которую Клиент выбрал для ежемесячного перевода процентов.</w:t>
            </w:r>
          </w:p>
        </w:tc>
      </w:tr>
      <w:tr w:rsidR="009D50B5" w14:paraId="436ECF1E" w14:textId="77777777" w:rsidTr="00AA653D">
        <w:trPr>
          <w:trHeight w:val="1515"/>
        </w:trPr>
        <w:tc>
          <w:tcPr>
            <w:tcW w:w="29380" w:type="dxa"/>
            <w:gridSpan w:val="4"/>
            <w:tcBorders>
              <w:top w:val="nil"/>
              <w:left w:val="nil"/>
              <w:bottom w:val="nil"/>
              <w:right w:val="nil"/>
            </w:tcBorders>
            <w:shd w:val="clear" w:color="000000" w:fill="FFFFFF"/>
            <w:hideMark/>
          </w:tcPr>
          <w:p w14:paraId="398F2442" w14:textId="77777777" w:rsidR="009D50B5" w:rsidRDefault="009D50B5" w:rsidP="00AA653D">
            <w:pPr>
              <w:rPr>
                <w:rFonts w:ascii="Tahoma" w:hAnsi="Tahoma" w:cs="Tahoma"/>
                <w:sz w:val="22"/>
                <w:szCs w:val="22"/>
              </w:rPr>
            </w:pPr>
            <w:r>
              <w:rPr>
                <w:rFonts w:ascii="Tahoma" w:hAnsi="Tahoma" w:cs="Tahoma"/>
                <w:sz w:val="22"/>
                <w:szCs w:val="22"/>
                <w:vertAlign w:val="superscript"/>
              </w:rPr>
              <w:t>12</w:t>
            </w:r>
            <w:r>
              <w:rPr>
                <w:rFonts w:ascii="Tahoma" w:hAnsi="Tahoma" w:cs="Tahoma"/>
                <w:sz w:val="22"/>
                <w:szCs w:val="22"/>
              </w:rPr>
              <w:t>Бесплатно: для Карт Visa Gold – при совершении безналичных операций в ТСП</w:t>
            </w:r>
            <w:r>
              <w:rPr>
                <w:rFonts w:ascii="Tahoma" w:hAnsi="Tahoma" w:cs="Tahoma"/>
                <w:sz w:val="22"/>
                <w:szCs w:val="22"/>
                <w:vertAlign w:val="superscript"/>
              </w:rPr>
              <w:t>8</w:t>
            </w:r>
            <w:r>
              <w:rPr>
                <w:rFonts w:ascii="Tahoma" w:hAnsi="Tahoma" w:cs="Tahoma"/>
                <w:sz w:val="22"/>
                <w:szCs w:val="22"/>
              </w:rPr>
              <w:t xml:space="preserve"> на сумму более 15 000 рублей в Отчётном периоде</w:t>
            </w:r>
            <w:r>
              <w:rPr>
                <w:rFonts w:ascii="Tahoma" w:hAnsi="Tahoma" w:cs="Tahoma"/>
                <w:sz w:val="22"/>
                <w:szCs w:val="22"/>
                <w:vertAlign w:val="superscript"/>
              </w:rPr>
              <w:t>7</w:t>
            </w:r>
            <w:r>
              <w:rPr>
                <w:rFonts w:ascii="Tahoma" w:hAnsi="Tahoma" w:cs="Tahoma"/>
                <w:sz w:val="22"/>
                <w:szCs w:val="22"/>
              </w:rPr>
              <w:t>; для Карт UnionPay – при совершении безналичных операций в ТСП на сумму более 30 000 рублей</w:t>
            </w:r>
            <w:r>
              <w:rPr>
                <w:rFonts w:ascii="Tahoma" w:hAnsi="Tahoma" w:cs="Tahoma"/>
                <w:sz w:val="22"/>
                <w:szCs w:val="22"/>
                <w:vertAlign w:val="superscript"/>
              </w:rPr>
              <w:t>9</w:t>
            </w:r>
            <w:r>
              <w:rPr>
                <w:rFonts w:ascii="Tahoma" w:hAnsi="Tahoma" w:cs="Tahoma"/>
                <w:sz w:val="22"/>
                <w:szCs w:val="22"/>
              </w:rPr>
              <w:t>/2 800 юаней</w:t>
            </w:r>
            <w:r>
              <w:rPr>
                <w:rFonts w:ascii="Tahoma" w:hAnsi="Tahoma" w:cs="Tahoma"/>
                <w:sz w:val="22"/>
                <w:szCs w:val="22"/>
                <w:vertAlign w:val="superscript"/>
              </w:rPr>
              <w:t>10</w:t>
            </w:r>
            <w:r>
              <w:rPr>
                <w:rFonts w:ascii="Tahoma" w:hAnsi="Tahoma" w:cs="Tahoma"/>
                <w:sz w:val="22"/>
                <w:szCs w:val="22"/>
              </w:rPr>
              <w:t xml:space="preserve"> в Отчётном периоде (учитываются операции, отраженные в выписке по Счету Карты за Отчётный период). При расчете комиссии учитываются операции оплаты товаров (услуг, работ, результатов интеллектуальной деятельности) в ТСП, совершенные Клиентом с использованием Карты/Счета Карты, за исключением следующих операций: денежные переводы со Счёта Карты Клиента между своими счетами или на счета третьих лиц (открытые как в Банке, так и в других кредитных организациях), переводы с карты на карту и квази-кэш, оплата товаров (услуг, работ, результатов интеллектуальной деятельности) в разделе «Платежи» Интернет-Банка и/или Мобильного Банка; платежи и переводы с целью пополнения любых виртуальных и/или электронных кошельков, или иных электронных денежных средств; операции с МСС-кодами: 4829, 6012, 6050, 6529, 6530, 6531, 6532, 6533, 6534, 6536, 6537, 6538, 6051, 6540, 7372, 7399, 7995, 8999.</w:t>
            </w:r>
          </w:p>
        </w:tc>
      </w:tr>
      <w:tr w:rsidR="009D50B5" w14:paraId="36C6B2E9" w14:textId="77777777" w:rsidTr="00AA653D">
        <w:trPr>
          <w:trHeight w:val="375"/>
        </w:trPr>
        <w:tc>
          <w:tcPr>
            <w:tcW w:w="29380" w:type="dxa"/>
            <w:gridSpan w:val="4"/>
            <w:tcBorders>
              <w:top w:val="nil"/>
              <w:left w:val="nil"/>
              <w:bottom w:val="nil"/>
              <w:right w:val="nil"/>
            </w:tcBorders>
            <w:shd w:val="clear" w:color="000000" w:fill="FFFFFF"/>
            <w:hideMark/>
          </w:tcPr>
          <w:p w14:paraId="0D0C9542" w14:textId="77777777" w:rsidR="009D50B5" w:rsidRDefault="009D50B5" w:rsidP="00AA653D">
            <w:pPr>
              <w:rPr>
                <w:rFonts w:ascii="Tahoma" w:hAnsi="Tahoma" w:cs="Tahoma"/>
                <w:sz w:val="22"/>
                <w:szCs w:val="22"/>
              </w:rPr>
            </w:pPr>
            <w:r>
              <w:rPr>
                <w:rFonts w:ascii="Tahoma" w:hAnsi="Tahoma" w:cs="Tahoma"/>
                <w:sz w:val="22"/>
                <w:szCs w:val="22"/>
                <w:vertAlign w:val="superscript"/>
              </w:rPr>
              <w:t>13</w:t>
            </w:r>
            <w:r>
              <w:rPr>
                <w:rFonts w:ascii="Tahoma" w:hAnsi="Tahoma" w:cs="Tahoma"/>
                <w:sz w:val="22"/>
                <w:szCs w:val="22"/>
              </w:rPr>
              <w:t>Комиссия за выпуск Карты начисляется и оплачивается Клиентом в дату подачи им в Банк Заявления о банковском обслуживании при получении и использовании банковских (платежных) карт «Азиатско-Тихоокеанский Банк» (АО).</w:t>
            </w:r>
          </w:p>
        </w:tc>
      </w:tr>
      <w:tr w:rsidR="009D50B5" w14:paraId="103A680C" w14:textId="77777777" w:rsidTr="00AA653D">
        <w:trPr>
          <w:trHeight w:val="375"/>
        </w:trPr>
        <w:tc>
          <w:tcPr>
            <w:tcW w:w="29380" w:type="dxa"/>
            <w:gridSpan w:val="4"/>
            <w:tcBorders>
              <w:top w:val="nil"/>
              <w:left w:val="nil"/>
              <w:bottom w:val="nil"/>
              <w:right w:val="nil"/>
            </w:tcBorders>
            <w:shd w:val="clear" w:color="auto" w:fill="auto"/>
            <w:noWrap/>
            <w:hideMark/>
          </w:tcPr>
          <w:p w14:paraId="7FCA5561" w14:textId="77777777" w:rsidR="009D50B5" w:rsidRDefault="009D50B5" w:rsidP="00AA653D">
            <w:pPr>
              <w:rPr>
                <w:rFonts w:ascii="Tahoma" w:hAnsi="Tahoma" w:cs="Tahoma"/>
                <w:sz w:val="22"/>
                <w:szCs w:val="22"/>
              </w:rPr>
            </w:pPr>
            <w:r>
              <w:rPr>
                <w:rFonts w:ascii="Tahoma" w:hAnsi="Tahoma" w:cs="Tahoma"/>
                <w:sz w:val="22"/>
                <w:szCs w:val="22"/>
                <w:vertAlign w:val="superscript"/>
              </w:rPr>
              <w:t>14</w:t>
            </w:r>
            <w:r>
              <w:rPr>
                <w:rFonts w:ascii="Tahoma" w:hAnsi="Tahoma" w:cs="Tahoma"/>
                <w:sz w:val="22"/>
                <w:szCs w:val="22"/>
              </w:rPr>
              <w:t>Выпуск дополнительных карт через каналы ДБО возможен исключительно на платежной системе «Мир».</w:t>
            </w:r>
          </w:p>
        </w:tc>
      </w:tr>
      <w:tr w:rsidR="009D50B5" w14:paraId="0ACC2FF8" w14:textId="77777777" w:rsidTr="00AA653D">
        <w:trPr>
          <w:trHeight w:val="1485"/>
        </w:trPr>
        <w:tc>
          <w:tcPr>
            <w:tcW w:w="29380" w:type="dxa"/>
            <w:gridSpan w:val="4"/>
            <w:tcBorders>
              <w:top w:val="nil"/>
              <w:left w:val="nil"/>
              <w:bottom w:val="nil"/>
              <w:right w:val="nil"/>
            </w:tcBorders>
            <w:shd w:val="clear" w:color="auto" w:fill="auto"/>
            <w:hideMark/>
          </w:tcPr>
          <w:p w14:paraId="2BB646F0" w14:textId="77777777" w:rsidR="009D50B5" w:rsidRDefault="009D50B5" w:rsidP="00AA653D">
            <w:pPr>
              <w:rPr>
                <w:rFonts w:ascii="Tahoma" w:hAnsi="Tahoma" w:cs="Tahoma"/>
                <w:sz w:val="22"/>
                <w:szCs w:val="22"/>
              </w:rPr>
            </w:pPr>
            <w:r>
              <w:rPr>
                <w:rFonts w:ascii="Tahoma" w:hAnsi="Tahoma" w:cs="Tahoma"/>
                <w:sz w:val="22"/>
                <w:szCs w:val="22"/>
                <w:vertAlign w:val="superscript"/>
              </w:rPr>
              <w:t>15</w:t>
            </w:r>
            <w:r>
              <w:rPr>
                <w:rFonts w:ascii="Tahoma" w:hAnsi="Tahoma" w:cs="Tahoma"/>
                <w:sz w:val="22"/>
                <w:szCs w:val="22"/>
              </w:rPr>
              <w:t>Период – временной период, за который Клиенту на остаток денежных средств на Счете Карты Банком начисляются проценты. Первый Период исчисляется со дня, следующего за днем внесения денежных средств на Счет Карты по день текущего (либо следующего, в случае отсутствия такого дня в текущем) месяца включительно, соответствующий дню открытия Счета Карты. Последующие Периоды исчисляются ежемесячно со дня, следующего после дня окончания предыдущего Периода по календарный день следующего месяца включительно, соответствующий дню открытия Счета Карты. Проценты начисляются Банком на остаток денежных средств, находящийся на Счете Карты на начало операционного дня в течение всего отчетного Периода, за который осуществляется выплата процентов. Дата выплаты начисленных процентов за Период происходит в последний день Периода. Если в каком-либо календарном месяце отсутствует число, на которое должен приходиться день окончания Периода, Банк производит выплату процентов в последний существующий день Периода.</w:t>
            </w:r>
          </w:p>
        </w:tc>
      </w:tr>
      <w:tr w:rsidR="009D50B5" w14:paraId="2EAA1059" w14:textId="77777777" w:rsidTr="00AA653D">
        <w:trPr>
          <w:trHeight w:val="390"/>
        </w:trPr>
        <w:tc>
          <w:tcPr>
            <w:tcW w:w="29380" w:type="dxa"/>
            <w:gridSpan w:val="4"/>
            <w:tcBorders>
              <w:top w:val="nil"/>
              <w:left w:val="nil"/>
              <w:bottom w:val="nil"/>
              <w:right w:val="nil"/>
            </w:tcBorders>
            <w:shd w:val="clear" w:color="auto" w:fill="auto"/>
            <w:hideMark/>
          </w:tcPr>
          <w:p w14:paraId="5658FB35" w14:textId="77777777" w:rsidR="009D50B5" w:rsidRDefault="009D50B5" w:rsidP="00AA653D">
            <w:pPr>
              <w:rPr>
                <w:rFonts w:ascii="Tahoma" w:hAnsi="Tahoma" w:cs="Tahoma"/>
                <w:sz w:val="22"/>
                <w:szCs w:val="22"/>
              </w:rPr>
            </w:pPr>
            <w:r>
              <w:rPr>
                <w:rFonts w:ascii="Tahoma" w:hAnsi="Tahoma" w:cs="Tahoma"/>
                <w:sz w:val="22"/>
                <w:szCs w:val="22"/>
                <w:vertAlign w:val="superscript"/>
              </w:rPr>
              <w:t>16</w:t>
            </w:r>
            <w:r>
              <w:rPr>
                <w:rFonts w:ascii="Tahoma" w:hAnsi="Tahoma" w:cs="Tahoma"/>
                <w:sz w:val="22"/>
                <w:szCs w:val="22"/>
              </w:rPr>
              <w:t>Выдача денежных средств в кассах Банка производится с предъявлением документа, удостоверяющего личность.</w:t>
            </w:r>
          </w:p>
        </w:tc>
      </w:tr>
      <w:tr w:rsidR="009D50B5" w14:paraId="76867B3E" w14:textId="77777777" w:rsidTr="00AA653D">
        <w:trPr>
          <w:trHeight w:val="435"/>
        </w:trPr>
        <w:tc>
          <w:tcPr>
            <w:tcW w:w="29380" w:type="dxa"/>
            <w:gridSpan w:val="4"/>
            <w:tcBorders>
              <w:top w:val="nil"/>
              <w:left w:val="nil"/>
              <w:bottom w:val="nil"/>
              <w:right w:val="nil"/>
            </w:tcBorders>
            <w:shd w:val="clear" w:color="000000" w:fill="FFFFFF"/>
            <w:hideMark/>
          </w:tcPr>
          <w:p w14:paraId="4D41F5FB" w14:textId="77777777" w:rsidR="009D50B5" w:rsidRDefault="009D50B5" w:rsidP="00AA653D">
            <w:pPr>
              <w:rPr>
                <w:rFonts w:ascii="Tahoma" w:hAnsi="Tahoma" w:cs="Tahoma"/>
                <w:sz w:val="22"/>
                <w:szCs w:val="22"/>
              </w:rPr>
            </w:pPr>
            <w:r>
              <w:rPr>
                <w:rFonts w:ascii="Tahoma" w:hAnsi="Tahoma" w:cs="Tahoma"/>
                <w:sz w:val="22"/>
                <w:szCs w:val="22"/>
                <w:vertAlign w:val="superscript"/>
              </w:rPr>
              <w:t>17</w:t>
            </w:r>
            <w:r>
              <w:rPr>
                <w:rFonts w:ascii="Tahoma" w:hAnsi="Tahoma" w:cs="Tahoma"/>
                <w:sz w:val="22"/>
                <w:szCs w:val="22"/>
              </w:rPr>
              <w:t>Для Карт в юанях расчет конвертации в иные валюты происходит по курсу Банка</w:t>
            </w:r>
            <w:r>
              <w:rPr>
                <w:rFonts w:ascii="Tahoma" w:hAnsi="Tahoma" w:cs="Tahoma"/>
                <w:sz w:val="22"/>
                <w:szCs w:val="22"/>
                <w:vertAlign w:val="superscript"/>
              </w:rPr>
              <w:t>3</w:t>
            </w:r>
            <w:r>
              <w:rPr>
                <w:rFonts w:ascii="Tahoma" w:hAnsi="Tahoma" w:cs="Tahoma"/>
                <w:sz w:val="22"/>
                <w:szCs w:val="22"/>
              </w:rPr>
              <w:t xml:space="preserve"> на дату совершения Операции.</w:t>
            </w:r>
          </w:p>
        </w:tc>
      </w:tr>
      <w:tr w:rsidR="009D50B5" w14:paraId="5C5300F5" w14:textId="77777777" w:rsidTr="00AA653D">
        <w:trPr>
          <w:trHeight w:val="420"/>
        </w:trPr>
        <w:tc>
          <w:tcPr>
            <w:tcW w:w="29380" w:type="dxa"/>
            <w:gridSpan w:val="4"/>
            <w:tcBorders>
              <w:top w:val="nil"/>
              <w:left w:val="nil"/>
              <w:bottom w:val="nil"/>
              <w:right w:val="nil"/>
            </w:tcBorders>
            <w:shd w:val="clear" w:color="000000" w:fill="FFFFFF"/>
            <w:hideMark/>
          </w:tcPr>
          <w:p w14:paraId="2032EA4B" w14:textId="77777777" w:rsidR="009D50B5" w:rsidRDefault="009D50B5" w:rsidP="00AA653D">
            <w:pPr>
              <w:rPr>
                <w:rFonts w:ascii="Tahoma" w:hAnsi="Tahoma" w:cs="Tahoma"/>
                <w:sz w:val="22"/>
                <w:szCs w:val="22"/>
              </w:rPr>
            </w:pPr>
            <w:r>
              <w:rPr>
                <w:rFonts w:ascii="Tahoma" w:hAnsi="Tahoma" w:cs="Tahoma"/>
                <w:sz w:val="22"/>
                <w:szCs w:val="22"/>
                <w:vertAlign w:val="superscript"/>
              </w:rPr>
              <w:t>18</w:t>
            </w:r>
            <w:r>
              <w:rPr>
                <w:rFonts w:ascii="Tahoma" w:hAnsi="Tahoma" w:cs="Tahoma"/>
                <w:sz w:val="22"/>
                <w:szCs w:val="22"/>
              </w:rPr>
              <w:t>Выдача денежных средств в пунктах выдачи наличных (ПВН) за рубежом для Карт UnionPay не предусмотрена.</w:t>
            </w:r>
          </w:p>
        </w:tc>
      </w:tr>
      <w:tr w:rsidR="009D50B5" w14:paraId="1D714C5B" w14:textId="77777777" w:rsidTr="00AA653D">
        <w:trPr>
          <w:trHeight w:val="390"/>
        </w:trPr>
        <w:tc>
          <w:tcPr>
            <w:tcW w:w="29380" w:type="dxa"/>
            <w:gridSpan w:val="4"/>
            <w:tcBorders>
              <w:top w:val="nil"/>
              <w:left w:val="nil"/>
              <w:bottom w:val="nil"/>
              <w:right w:val="nil"/>
            </w:tcBorders>
            <w:shd w:val="clear" w:color="000000" w:fill="FFFFFF"/>
            <w:hideMark/>
          </w:tcPr>
          <w:p w14:paraId="77589C4E" w14:textId="77777777" w:rsidR="009D50B5" w:rsidRDefault="009D50B5" w:rsidP="00AA653D">
            <w:pPr>
              <w:rPr>
                <w:rFonts w:ascii="Tahoma" w:hAnsi="Tahoma" w:cs="Tahoma"/>
                <w:sz w:val="22"/>
                <w:szCs w:val="22"/>
              </w:rPr>
            </w:pPr>
            <w:r>
              <w:rPr>
                <w:rFonts w:ascii="Tahoma" w:hAnsi="Tahoma" w:cs="Tahoma"/>
                <w:sz w:val="22"/>
                <w:szCs w:val="22"/>
                <w:vertAlign w:val="superscript"/>
              </w:rPr>
              <w:t>19</w:t>
            </w:r>
            <w:r>
              <w:rPr>
                <w:rFonts w:ascii="Tahoma" w:hAnsi="Tahoma" w:cs="Tahoma"/>
                <w:sz w:val="22"/>
                <w:szCs w:val="22"/>
              </w:rPr>
              <w:t>Платежными системами и ТСП</w:t>
            </w:r>
            <w:r>
              <w:rPr>
                <w:rFonts w:ascii="Tahoma" w:hAnsi="Tahoma" w:cs="Tahoma"/>
                <w:sz w:val="22"/>
                <w:szCs w:val="22"/>
                <w:vertAlign w:val="superscript"/>
              </w:rPr>
              <w:t>8</w:t>
            </w:r>
            <w:r>
              <w:rPr>
                <w:rFonts w:ascii="Tahoma" w:hAnsi="Tahoma" w:cs="Tahoma"/>
                <w:sz w:val="22"/>
                <w:szCs w:val="22"/>
              </w:rPr>
              <w:t xml:space="preserve"> могут быть установлены собственные ограничения по предоставлению данной услуги. О наличии услуги и ограничениях по ней необходимо уточнять в ТСП.</w:t>
            </w:r>
          </w:p>
        </w:tc>
      </w:tr>
      <w:tr w:rsidR="009D50B5" w14:paraId="56B79EB6" w14:textId="77777777" w:rsidTr="00AA653D">
        <w:trPr>
          <w:trHeight w:val="435"/>
        </w:trPr>
        <w:tc>
          <w:tcPr>
            <w:tcW w:w="29380" w:type="dxa"/>
            <w:gridSpan w:val="4"/>
            <w:tcBorders>
              <w:top w:val="nil"/>
              <w:left w:val="nil"/>
              <w:bottom w:val="nil"/>
              <w:right w:val="nil"/>
            </w:tcBorders>
            <w:shd w:val="clear" w:color="000000" w:fill="FFFFFF"/>
            <w:hideMark/>
          </w:tcPr>
          <w:p w14:paraId="1E8B07D1" w14:textId="77777777" w:rsidR="009D50B5" w:rsidRDefault="009D50B5" w:rsidP="00AA653D">
            <w:pPr>
              <w:rPr>
                <w:rFonts w:ascii="Tahoma" w:hAnsi="Tahoma" w:cs="Tahoma"/>
                <w:sz w:val="22"/>
                <w:szCs w:val="22"/>
              </w:rPr>
            </w:pPr>
            <w:r>
              <w:rPr>
                <w:rFonts w:ascii="Tahoma" w:hAnsi="Tahoma" w:cs="Tahoma"/>
                <w:sz w:val="22"/>
                <w:szCs w:val="22"/>
                <w:vertAlign w:val="superscript"/>
              </w:rPr>
              <w:t>20</w:t>
            </w:r>
            <w:r>
              <w:rPr>
                <w:rFonts w:ascii="Tahoma" w:hAnsi="Tahoma" w:cs="Tahoma"/>
                <w:sz w:val="22"/>
                <w:szCs w:val="22"/>
              </w:rPr>
              <w:t>Счет Карты – текущий банковский счет, открываемый в соответствии с настоящим Тарифным планом Банком Клиенту в рамках заключения Договора Карты между Банком и Клиентом.</w:t>
            </w:r>
          </w:p>
        </w:tc>
      </w:tr>
      <w:tr w:rsidR="009D50B5" w14:paraId="77F2F9DC" w14:textId="77777777" w:rsidTr="00AA653D">
        <w:trPr>
          <w:trHeight w:val="660"/>
        </w:trPr>
        <w:tc>
          <w:tcPr>
            <w:tcW w:w="29380" w:type="dxa"/>
            <w:gridSpan w:val="4"/>
            <w:tcBorders>
              <w:top w:val="nil"/>
              <w:left w:val="nil"/>
              <w:bottom w:val="nil"/>
              <w:right w:val="nil"/>
            </w:tcBorders>
            <w:shd w:val="clear" w:color="000000" w:fill="FFFFFF"/>
            <w:hideMark/>
          </w:tcPr>
          <w:p w14:paraId="5D509863" w14:textId="77777777" w:rsidR="009D50B5" w:rsidRDefault="009D50B5" w:rsidP="00AA653D">
            <w:pPr>
              <w:rPr>
                <w:rFonts w:ascii="Tahoma" w:hAnsi="Tahoma" w:cs="Tahoma"/>
                <w:sz w:val="22"/>
                <w:szCs w:val="22"/>
              </w:rPr>
            </w:pPr>
            <w:r>
              <w:rPr>
                <w:rFonts w:ascii="Tahoma" w:hAnsi="Tahoma" w:cs="Tahoma"/>
                <w:sz w:val="22"/>
                <w:szCs w:val="22"/>
                <w:vertAlign w:val="superscript"/>
              </w:rPr>
              <w:t>21</w:t>
            </w:r>
            <w:r>
              <w:rPr>
                <w:rFonts w:ascii="Tahoma" w:hAnsi="Tahoma" w:cs="Tahoma"/>
                <w:sz w:val="22"/>
                <w:szCs w:val="22"/>
              </w:rPr>
              <w:t>По безналичным операциям с МСС-кодами: 4829 «Денежные переводы», 6012 «Финансовые институты – торговля и услуги», 6538 «Денежные переводы с Карты на Карту», 6534 «Платежная операция», 6051 «Квази-Кэш в нефинансовые учреждения» – комиссия не взимается.</w:t>
            </w:r>
          </w:p>
        </w:tc>
      </w:tr>
      <w:tr w:rsidR="009D50B5" w14:paraId="21AB5358" w14:textId="77777777" w:rsidTr="00AA653D">
        <w:trPr>
          <w:trHeight w:val="465"/>
        </w:trPr>
        <w:tc>
          <w:tcPr>
            <w:tcW w:w="29380" w:type="dxa"/>
            <w:gridSpan w:val="4"/>
            <w:tcBorders>
              <w:top w:val="nil"/>
              <w:left w:val="nil"/>
              <w:bottom w:val="nil"/>
              <w:right w:val="nil"/>
            </w:tcBorders>
            <w:shd w:val="clear" w:color="auto" w:fill="auto"/>
            <w:hideMark/>
          </w:tcPr>
          <w:p w14:paraId="3F685C57" w14:textId="77777777" w:rsidR="009D50B5" w:rsidRDefault="009D50B5" w:rsidP="00AA653D">
            <w:pPr>
              <w:rPr>
                <w:rFonts w:ascii="Tahoma" w:hAnsi="Tahoma" w:cs="Tahoma"/>
                <w:sz w:val="22"/>
                <w:szCs w:val="22"/>
              </w:rPr>
            </w:pPr>
            <w:r>
              <w:rPr>
                <w:rFonts w:ascii="Tahoma" w:hAnsi="Tahoma" w:cs="Tahoma"/>
                <w:sz w:val="22"/>
                <w:szCs w:val="22"/>
                <w:vertAlign w:val="superscript"/>
              </w:rPr>
              <w:t>22</w:t>
            </w:r>
            <w:r>
              <w:rPr>
                <w:rFonts w:ascii="Tahoma" w:hAnsi="Tahoma" w:cs="Tahoma"/>
                <w:sz w:val="22"/>
                <w:szCs w:val="22"/>
              </w:rPr>
              <w:t>В случае отсутствия на Счете Карты Клиента доступных денежных средств в размере, необходимом для списания комиссии за услугу, услуга Клиенту не оказывается, комиссия не взимается.</w:t>
            </w:r>
          </w:p>
        </w:tc>
      </w:tr>
      <w:tr w:rsidR="009D50B5" w14:paraId="255899B3" w14:textId="77777777" w:rsidTr="00AA653D">
        <w:trPr>
          <w:trHeight w:val="390"/>
        </w:trPr>
        <w:tc>
          <w:tcPr>
            <w:tcW w:w="29380" w:type="dxa"/>
            <w:gridSpan w:val="4"/>
            <w:tcBorders>
              <w:top w:val="nil"/>
              <w:left w:val="nil"/>
              <w:bottom w:val="nil"/>
              <w:right w:val="nil"/>
            </w:tcBorders>
            <w:shd w:val="clear" w:color="auto" w:fill="auto"/>
            <w:hideMark/>
          </w:tcPr>
          <w:p w14:paraId="44A9135C" w14:textId="77777777" w:rsidR="009D50B5" w:rsidRDefault="009D50B5" w:rsidP="00AA653D">
            <w:pPr>
              <w:rPr>
                <w:rFonts w:ascii="Tahoma" w:hAnsi="Tahoma" w:cs="Tahoma"/>
                <w:sz w:val="22"/>
                <w:szCs w:val="22"/>
              </w:rPr>
            </w:pPr>
            <w:r>
              <w:rPr>
                <w:rFonts w:ascii="Tahoma" w:hAnsi="Tahoma" w:cs="Tahoma"/>
                <w:sz w:val="22"/>
                <w:szCs w:val="22"/>
                <w:vertAlign w:val="superscript"/>
              </w:rPr>
              <w:t>23</w:t>
            </w:r>
            <w:r>
              <w:rPr>
                <w:rFonts w:ascii="Tahoma" w:hAnsi="Tahoma" w:cs="Tahoma"/>
                <w:sz w:val="22"/>
                <w:szCs w:val="22"/>
              </w:rPr>
              <w:t>В соответствии с Программой лояльности для Клиентов-держателей банковских карт «Азиатско-Тихоокеанский Банк» (АО), размещённой на Сайте Банка www.atb.su и в Подразделениях Банка.</w:t>
            </w:r>
          </w:p>
        </w:tc>
      </w:tr>
      <w:tr w:rsidR="009D50B5" w14:paraId="3A12C7F5" w14:textId="77777777" w:rsidTr="00AA653D">
        <w:trPr>
          <w:trHeight w:val="1080"/>
        </w:trPr>
        <w:tc>
          <w:tcPr>
            <w:tcW w:w="29380" w:type="dxa"/>
            <w:gridSpan w:val="4"/>
            <w:tcBorders>
              <w:top w:val="nil"/>
              <w:left w:val="nil"/>
              <w:bottom w:val="nil"/>
              <w:right w:val="nil"/>
            </w:tcBorders>
            <w:shd w:val="clear" w:color="auto" w:fill="auto"/>
            <w:hideMark/>
          </w:tcPr>
          <w:p w14:paraId="530D235F" w14:textId="77777777" w:rsidR="009D50B5" w:rsidRDefault="009D50B5" w:rsidP="00AA653D">
            <w:pPr>
              <w:rPr>
                <w:rFonts w:ascii="Tahoma" w:hAnsi="Tahoma" w:cs="Tahoma"/>
                <w:sz w:val="22"/>
                <w:szCs w:val="22"/>
              </w:rPr>
            </w:pPr>
            <w:r>
              <w:rPr>
                <w:rFonts w:ascii="Tahoma" w:hAnsi="Tahoma" w:cs="Tahoma"/>
                <w:sz w:val="22"/>
                <w:szCs w:val="22"/>
                <w:vertAlign w:val="superscript"/>
              </w:rPr>
              <w:t>24</w:t>
            </w:r>
            <w:r>
              <w:rPr>
                <w:rFonts w:ascii="Tahoma" w:hAnsi="Tahoma" w:cs="Tahoma"/>
                <w:sz w:val="22"/>
                <w:szCs w:val="22"/>
              </w:rPr>
              <w:t>Подключение Программы лояльности Акционерного общества «Национальная система платежных карт» (по тексту – Программа лояльности АО «НСПК») происходит автоматически при выдаче Клиенту Карты платежной системы «Мир». Клиент имеет право выразить отказ в подключении к Программе лояльности АО «НСПК», а также подключать/отключать ее самостоятельно посредством личного кабинета Программы лояльности АО «НСПК». Подключение Программы лояльности АО «НСПК» происходит исключительно на условиях действующих Правил программы лояльности Акционерного общества «Национальная система платежных карт», размещенных на Официальном сайте Программы лояльности «Привет, мир!» privetmir.ru, и исключительно к Картам платежной системы «Мир».</w:t>
            </w:r>
          </w:p>
        </w:tc>
      </w:tr>
      <w:tr w:rsidR="009D50B5" w14:paraId="448B7269" w14:textId="77777777" w:rsidTr="00AA653D">
        <w:trPr>
          <w:trHeight w:val="1785"/>
        </w:trPr>
        <w:tc>
          <w:tcPr>
            <w:tcW w:w="29380" w:type="dxa"/>
            <w:gridSpan w:val="4"/>
            <w:tcBorders>
              <w:top w:val="nil"/>
              <w:left w:val="nil"/>
              <w:bottom w:val="nil"/>
              <w:right w:val="nil"/>
            </w:tcBorders>
            <w:shd w:val="clear" w:color="auto" w:fill="auto"/>
            <w:hideMark/>
          </w:tcPr>
          <w:p w14:paraId="7D8DD0AD" w14:textId="77777777" w:rsidR="009D50B5" w:rsidRDefault="009D50B5" w:rsidP="00AA653D">
            <w:pPr>
              <w:rPr>
                <w:rFonts w:ascii="Tahoma" w:hAnsi="Tahoma" w:cs="Tahoma"/>
                <w:sz w:val="22"/>
                <w:szCs w:val="22"/>
              </w:rPr>
            </w:pPr>
            <w:r>
              <w:rPr>
                <w:rFonts w:ascii="Tahoma" w:hAnsi="Tahoma" w:cs="Tahoma"/>
                <w:sz w:val="22"/>
                <w:szCs w:val="22"/>
              </w:rPr>
              <w:t>Операции по счетам и использование Карт осуществляются с учетом ограничений, установленных платежными системами VISA International, MasterCard International Incorporated, АО НСПК Мир, UnionPay International, иными уполномоченными лицами Российской Федерации и иностранных государств, международными организациями, а также законодательством Российской Федерации и иностранных государств.</w:t>
            </w:r>
            <w:r>
              <w:rPr>
                <w:rFonts w:ascii="Tahoma" w:hAnsi="Tahoma" w:cs="Tahoma"/>
                <w:sz w:val="22"/>
                <w:szCs w:val="22"/>
              </w:rPr>
              <w:br/>
              <w:t>Все предусмотренные настоящим документом платежи взимаются (списываются) Банком в порядке прямого дебетования (списание по заранее данному акцепту) со Счета Карты Клиента в Банке и(или) иных счетов Клиента в Банке в момент совершения соответствующей операции, если иное не установлено настоящим документом/договором с Клиентом.</w:t>
            </w:r>
            <w:r>
              <w:rPr>
                <w:rFonts w:ascii="Tahoma" w:hAnsi="Tahoma" w:cs="Tahoma"/>
                <w:sz w:val="22"/>
                <w:szCs w:val="22"/>
              </w:rPr>
              <w:br/>
              <w:t>Не указанные в настоящем документе термины применяются в значении, указанном в Универсальном договоре банковского обслуживания физических лиц «Азиатско-Тихоокеанский Банк» (АО), размещённом на Официальном сайте Банка www.atb.su, Подразделениях Банка, Интернет-банке «АТБ-Онлайн»/Мобильном банке «АТБ банк» и «АТБ-Мобайл».</w:t>
            </w:r>
          </w:p>
        </w:tc>
      </w:tr>
    </w:tbl>
    <w:p w14:paraId="02F50ADE" w14:textId="5929C92A" w:rsidR="008438D5" w:rsidRDefault="008438D5" w:rsidP="00C33F76">
      <w:pPr>
        <w:pStyle w:val="affe"/>
        <w:tabs>
          <w:tab w:val="left" w:pos="851"/>
        </w:tabs>
        <w:ind w:left="425"/>
        <w:rPr>
          <w:rFonts w:ascii="Tahoma" w:hAnsi="Tahoma" w:cs="Tahoma"/>
          <w:b/>
          <w:bCs/>
          <w:iCs/>
          <w:color w:val="E36C0A"/>
          <w:sz w:val="22"/>
          <w:szCs w:val="22"/>
        </w:rPr>
      </w:pPr>
    </w:p>
    <w:p w14:paraId="33173E8E" w14:textId="5E5BB6F0" w:rsidR="008438D5" w:rsidRDefault="008438D5" w:rsidP="00C33F76">
      <w:pPr>
        <w:pStyle w:val="affe"/>
        <w:tabs>
          <w:tab w:val="left" w:pos="851"/>
        </w:tabs>
        <w:ind w:left="425"/>
        <w:rPr>
          <w:rFonts w:ascii="Tahoma" w:hAnsi="Tahoma" w:cs="Tahoma"/>
          <w:b/>
          <w:bCs/>
          <w:iCs/>
          <w:color w:val="E36C0A"/>
          <w:sz w:val="22"/>
          <w:szCs w:val="22"/>
        </w:rPr>
      </w:pPr>
    </w:p>
    <w:p w14:paraId="36B12E11" w14:textId="6285420C" w:rsidR="004F7771" w:rsidRPr="005B68FD" w:rsidRDefault="000B3718" w:rsidP="000B3718">
      <w:pPr>
        <w:pStyle w:val="a5"/>
      </w:pPr>
      <w:r>
        <w:t xml:space="preserve"> 4.3. </w:t>
      </w:r>
      <w:r w:rsidR="004F7771" w:rsidRPr="005B68FD">
        <w:t>Тарифный план Программа банковских услуг «Статус»</w:t>
      </w:r>
    </w:p>
    <w:p w14:paraId="1D666170" w14:textId="660C95B1" w:rsidR="00922808" w:rsidRPr="00922808" w:rsidRDefault="000B3718" w:rsidP="000B3718">
      <w:pPr>
        <w:pStyle w:val="a5"/>
      </w:pPr>
      <w:r>
        <w:t xml:space="preserve">4.2.1. </w:t>
      </w:r>
      <w:r w:rsidR="00922808" w:rsidRPr="00922808">
        <w:t>Программа банковских услуг «Статус» (Тариф Банка), для Клиентов VIP Премьер, оформляющих настоящую Программу с 01.06.2021г.</w:t>
      </w:r>
    </w:p>
    <w:p w14:paraId="7BB4CD18" w14:textId="77777777" w:rsidR="00922808" w:rsidRPr="00922808" w:rsidRDefault="00922808" w:rsidP="00922808">
      <w:pPr>
        <w:spacing w:after="160" w:line="259" w:lineRule="auto"/>
        <w:rPr>
          <w:rFonts w:ascii="Calibri" w:eastAsia="Calibri" w:hAnsi="Calibri"/>
          <w:sz w:val="22"/>
          <w:szCs w:val="22"/>
          <w:lang w:eastAsia="en-US"/>
        </w:rPr>
      </w:pPr>
    </w:p>
    <w:tbl>
      <w:tblPr>
        <w:tblW w:w="4999" w:type="pct"/>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9"/>
        <w:gridCol w:w="5315"/>
        <w:gridCol w:w="33"/>
        <w:gridCol w:w="4211"/>
        <w:gridCol w:w="248"/>
        <w:gridCol w:w="4268"/>
      </w:tblGrid>
      <w:tr w:rsidR="00922808" w:rsidRPr="00922808" w14:paraId="1380ED83" w14:textId="77777777" w:rsidTr="005A7C26">
        <w:trPr>
          <w:trHeight w:val="377"/>
          <w:tblHeader/>
        </w:trPr>
        <w:tc>
          <w:tcPr>
            <w:tcW w:w="2104" w:type="pct"/>
            <w:gridSpan w:val="2"/>
            <w:tcBorders>
              <w:top w:val="single" w:sz="4" w:space="0" w:color="auto"/>
              <w:left w:val="single" w:sz="4" w:space="0" w:color="auto"/>
              <w:right w:val="single" w:sz="4" w:space="0" w:color="auto"/>
            </w:tcBorders>
            <w:shd w:val="clear" w:color="auto" w:fill="808080"/>
            <w:vAlign w:val="center"/>
          </w:tcPr>
          <w:p w14:paraId="622CFB07" w14:textId="77777777" w:rsidR="00922808" w:rsidRPr="00922808" w:rsidRDefault="00922808" w:rsidP="00922808">
            <w:pPr>
              <w:tabs>
                <w:tab w:val="left" w:pos="284"/>
              </w:tabs>
              <w:jc w:val="center"/>
              <w:rPr>
                <w:rFonts w:ascii="Tahoma" w:hAnsi="Tahoma" w:cs="Tahoma"/>
                <w:bCs/>
                <w:iCs/>
                <w:color w:val="FFFFFF"/>
                <w:sz w:val="28"/>
                <w:szCs w:val="22"/>
              </w:rPr>
            </w:pPr>
            <w:r w:rsidRPr="00922808">
              <w:rPr>
                <w:rFonts w:ascii="Tahoma" w:hAnsi="Tahoma" w:cs="Tahoma"/>
                <w:bCs/>
                <w:iCs/>
                <w:color w:val="FFFFFF"/>
                <w:sz w:val="28"/>
                <w:szCs w:val="22"/>
              </w:rPr>
              <w:t>Банковские услуги</w:t>
            </w:r>
          </w:p>
        </w:tc>
        <w:tc>
          <w:tcPr>
            <w:tcW w:w="2896" w:type="pct"/>
            <w:gridSpan w:val="4"/>
            <w:tcBorders>
              <w:left w:val="single" w:sz="4" w:space="0" w:color="auto"/>
            </w:tcBorders>
            <w:shd w:val="clear" w:color="auto" w:fill="808080"/>
            <w:vAlign w:val="center"/>
          </w:tcPr>
          <w:p w14:paraId="72A733F3" w14:textId="77777777" w:rsidR="00922808" w:rsidRPr="00922808" w:rsidRDefault="00922808" w:rsidP="00922808">
            <w:pPr>
              <w:tabs>
                <w:tab w:val="left" w:pos="284"/>
              </w:tabs>
              <w:jc w:val="center"/>
              <w:rPr>
                <w:rFonts w:ascii="Tahoma" w:hAnsi="Tahoma" w:cs="Tahoma"/>
                <w:bCs/>
                <w:iCs/>
                <w:color w:val="FFFFFF"/>
                <w:sz w:val="28"/>
                <w:szCs w:val="22"/>
              </w:rPr>
            </w:pPr>
            <w:r w:rsidRPr="00922808">
              <w:rPr>
                <w:rFonts w:ascii="Tahoma" w:hAnsi="Tahoma" w:cs="Tahoma"/>
                <w:bCs/>
                <w:iCs/>
                <w:color w:val="FFFFFF"/>
                <w:sz w:val="28"/>
                <w:szCs w:val="22"/>
              </w:rPr>
              <w:t>Тарифы (комиссионное вознаграждение Банка)</w:t>
            </w:r>
            <w:r w:rsidRPr="00922808">
              <w:rPr>
                <w:rFonts w:ascii="Tahoma" w:hAnsi="Tahoma" w:cs="Tahoma"/>
                <w:bCs/>
                <w:iCs/>
                <w:color w:val="FFFFFF"/>
                <w:sz w:val="22"/>
                <w:szCs w:val="22"/>
                <w:vertAlign w:val="superscript"/>
              </w:rPr>
              <w:t>1,24</w:t>
            </w:r>
          </w:p>
        </w:tc>
      </w:tr>
      <w:tr w:rsidR="00922808" w:rsidRPr="00922808" w14:paraId="6E7B4409" w14:textId="77777777" w:rsidTr="005A7C26">
        <w:tc>
          <w:tcPr>
            <w:tcW w:w="347" w:type="pct"/>
            <w:shd w:val="clear" w:color="auto" w:fill="808080"/>
            <w:vAlign w:val="center"/>
          </w:tcPr>
          <w:p w14:paraId="5424745C" w14:textId="77777777" w:rsidR="00922808" w:rsidRPr="00922808" w:rsidRDefault="00922808" w:rsidP="00922808">
            <w:pPr>
              <w:tabs>
                <w:tab w:val="left" w:pos="284"/>
              </w:tabs>
              <w:rPr>
                <w:rFonts w:ascii="Tahoma" w:hAnsi="Tahoma" w:cs="Tahoma"/>
                <w:bCs/>
                <w:iCs/>
                <w:color w:val="FFFFFF"/>
                <w:sz w:val="28"/>
                <w:szCs w:val="22"/>
              </w:rPr>
            </w:pPr>
            <w:r w:rsidRPr="00922808">
              <w:rPr>
                <w:rFonts w:ascii="Tahoma" w:hAnsi="Tahoma" w:cs="Tahoma"/>
                <w:bCs/>
                <w:iCs/>
                <w:color w:val="FFFFFF"/>
                <w:sz w:val="28"/>
                <w:szCs w:val="22"/>
              </w:rPr>
              <w:t>1.</w:t>
            </w:r>
          </w:p>
        </w:tc>
        <w:tc>
          <w:tcPr>
            <w:tcW w:w="4653" w:type="pct"/>
            <w:gridSpan w:val="5"/>
            <w:shd w:val="clear" w:color="auto" w:fill="808080"/>
            <w:vAlign w:val="center"/>
          </w:tcPr>
          <w:p w14:paraId="1590C8FD" w14:textId="77777777" w:rsidR="00922808" w:rsidRPr="00922808" w:rsidRDefault="00922808" w:rsidP="00922808">
            <w:pPr>
              <w:tabs>
                <w:tab w:val="left" w:pos="284"/>
              </w:tabs>
              <w:rPr>
                <w:rFonts w:ascii="Tahoma" w:hAnsi="Tahoma" w:cs="Tahoma"/>
                <w:bCs/>
                <w:iCs/>
                <w:color w:val="E36C0A"/>
                <w:sz w:val="28"/>
                <w:szCs w:val="22"/>
              </w:rPr>
            </w:pPr>
            <w:r w:rsidRPr="00922808">
              <w:rPr>
                <w:rFonts w:ascii="Tahoma" w:hAnsi="Tahoma" w:cs="Tahoma"/>
                <w:bCs/>
                <w:iCs/>
                <w:color w:val="FFFFFF"/>
                <w:sz w:val="28"/>
                <w:szCs w:val="22"/>
              </w:rPr>
              <w:t>Условия предоставления Программы банковских услуг «Статус» (далее – Программа) и требования к пользователю услуг (Клиенту)</w:t>
            </w:r>
          </w:p>
        </w:tc>
      </w:tr>
      <w:tr w:rsidR="00922808" w:rsidRPr="00922808" w14:paraId="1A73A4E2" w14:textId="77777777" w:rsidTr="005A7C26">
        <w:tc>
          <w:tcPr>
            <w:tcW w:w="347" w:type="pct"/>
            <w:shd w:val="clear" w:color="auto" w:fill="auto"/>
            <w:vAlign w:val="center"/>
          </w:tcPr>
          <w:p w14:paraId="09EDFAF8"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1.1.</w:t>
            </w:r>
          </w:p>
        </w:tc>
        <w:tc>
          <w:tcPr>
            <w:tcW w:w="1757" w:type="pct"/>
            <w:shd w:val="clear" w:color="auto" w:fill="auto"/>
            <w:vAlign w:val="center"/>
          </w:tcPr>
          <w:p w14:paraId="09C1AC93" w14:textId="77777777" w:rsidR="00922808" w:rsidRPr="00922808" w:rsidRDefault="00922808" w:rsidP="00922808">
            <w:pPr>
              <w:rPr>
                <w:rFonts w:ascii="Tahoma" w:hAnsi="Tahoma" w:cs="Tahoma"/>
                <w:b/>
                <w:bCs/>
                <w:iCs/>
                <w:color w:val="E36C0A"/>
                <w:sz w:val="22"/>
                <w:szCs w:val="22"/>
              </w:rPr>
            </w:pPr>
            <w:r w:rsidRPr="00922808">
              <w:rPr>
                <w:rFonts w:ascii="Tahoma" w:hAnsi="Tahoma" w:cs="Tahoma"/>
                <w:color w:val="000000"/>
                <w:sz w:val="22"/>
                <w:szCs w:val="22"/>
              </w:rPr>
              <w:t>пользователи услуг (Клиенты)</w:t>
            </w:r>
          </w:p>
        </w:tc>
        <w:tc>
          <w:tcPr>
            <w:tcW w:w="2896" w:type="pct"/>
            <w:gridSpan w:val="4"/>
            <w:shd w:val="clear" w:color="auto" w:fill="auto"/>
            <w:vAlign w:val="center"/>
          </w:tcPr>
          <w:p w14:paraId="66064AE2" w14:textId="77777777" w:rsidR="00922808" w:rsidRPr="00922808" w:rsidRDefault="00922808" w:rsidP="00922808">
            <w:pPr>
              <w:tabs>
                <w:tab w:val="left" w:pos="4889"/>
              </w:tabs>
              <w:jc w:val="both"/>
              <w:rPr>
                <w:rFonts w:ascii="Tahoma" w:hAnsi="Tahoma" w:cs="Tahoma"/>
                <w:bCs/>
                <w:iCs/>
                <w:sz w:val="22"/>
                <w:szCs w:val="22"/>
              </w:rPr>
            </w:pPr>
            <w:r w:rsidRPr="00922808">
              <w:rPr>
                <w:rFonts w:ascii="Tahoma" w:hAnsi="Tahoma" w:cs="Tahoma"/>
                <w:bCs/>
                <w:iCs/>
                <w:sz w:val="22"/>
                <w:szCs w:val="22"/>
              </w:rPr>
              <w:t>Физическое лицо (по тексту – Клиент), заключившее в рамках настоящей Программы</w:t>
            </w:r>
            <w:r w:rsidRPr="00922808">
              <w:rPr>
                <w:rFonts w:ascii="Tahoma" w:hAnsi="Tahoma" w:cs="Tahoma"/>
                <w:bCs/>
                <w:iCs/>
                <w:sz w:val="22"/>
                <w:szCs w:val="22"/>
                <w:vertAlign w:val="superscript"/>
              </w:rPr>
              <w:t xml:space="preserve">1 </w:t>
            </w:r>
            <w:r w:rsidRPr="00922808">
              <w:rPr>
                <w:rFonts w:ascii="Tahoma" w:hAnsi="Tahoma" w:cs="Tahoma"/>
                <w:bCs/>
                <w:iCs/>
                <w:sz w:val="22"/>
                <w:szCs w:val="22"/>
              </w:rPr>
              <w:t>с Банком Договоры Карт и (или) Договор Текущего банковского счета (далее – ТБС)</w:t>
            </w:r>
            <w:r w:rsidRPr="00922808">
              <w:rPr>
                <w:rFonts w:ascii="Tahoma" w:hAnsi="Tahoma" w:cs="Tahoma"/>
                <w:bCs/>
                <w:iCs/>
                <w:sz w:val="18"/>
                <w:szCs w:val="22"/>
                <w:vertAlign w:val="superscript"/>
              </w:rPr>
              <w:t>2</w:t>
            </w:r>
            <w:r w:rsidRPr="00922808">
              <w:rPr>
                <w:rFonts w:ascii="Tahoma" w:hAnsi="Tahoma" w:cs="Tahoma"/>
                <w:bCs/>
                <w:iCs/>
                <w:sz w:val="22"/>
                <w:szCs w:val="22"/>
              </w:rPr>
              <w:t>.</w:t>
            </w:r>
          </w:p>
        </w:tc>
      </w:tr>
      <w:tr w:rsidR="00922808" w:rsidRPr="00922808" w14:paraId="51FFC753" w14:textId="77777777" w:rsidTr="005A7C26">
        <w:trPr>
          <w:trHeight w:val="363"/>
        </w:trPr>
        <w:tc>
          <w:tcPr>
            <w:tcW w:w="347" w:type="pct"/>
            <w:shd w:val="clear" w:color="auto" w:fill="auto"/>
            <w:vAlign w:val="center"/>
          </w:tcPr>
          <w:p w14:paraId="61893157"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1.2.</w:t>
            </w:r>
          </w:p>
        </w:tc>
        <w:tc>
          <w:tcPr>
            <w:tcW w:w="1757" w:type="pct"/>
            <w:shd w:val="clear" w:color="auto" w:fill="auto"/>
            <w:vAlign w:val="center"/>
          </w:tcPr>
          <w:p w14:paraId="6736BC22" w14:textId="77777777" w:rsidR="00922808" w:rsidRPr="00922808" w:rsidRDefault="00922808" w:rsidP="00922808">
            <w:pPr>
              <w:rPr>
                <w:rFonts w:ascii="Tahoma" w:hAnsi="Tahoma" w:cs="Tahoma"/>
                <w:b/>
                <w:bCs/>
                <w:iCs/>
                <w:color w:val="E36C0A"/>
                <w:sz w:val="22"/>
                <w:szCs w:val="22"/>
              </w:rPr>
            </w:pPr>
            <w:r w:rsidRPr="00922808">
              <w:rPr>
                <w:rFonts w:ascii="Tahoma" w:hAnsi="Tahoma" w:cs="Tahoma"/>
                <w:color w:val="000000"/>
                <w:sz w:val="22"/>
                <w:szCs w:val="22"/>
              </w:rPr>
              <w:t>особенности предоставления услуг Банком</w:t>
            </w:r>
          </w:p>
        </w:tc>
        <w:tc>
          <w:tcPr>
            <w:tcW w:w="2896" w:type="pct"/>
            <w:gridSpan w:val="4"/>
            <w:shd w:val="clear" w:color="auto" w:fill="auto"/>
            <w:vAlign w:val="center"/>
          </w:tcPr>
          <w:p w14:paraId="39DC42E9" w14:textId="77777777" w:rsidR="00922808" w:rsidRPr="00922808" w:rsidRDefault="00922808" w:rsidP="00922808">
            <w:pPr>
              <w:tabs>
                <w:tab w:val="left" w:pos="4889"/>
              </w:tabs>
              <w:jc w:val="both"/>
              <w:rPr>
                <w:rFonts w:ascii="Tahoma" w:hAnsi="Tahoma" w:cs="Tahoma"/>
                <w:bCs/>
                <w:iCs/>
                <w:sz w:val="22"/>
                <w:szCs w:val="22"/>
              </w:rPr>
            </w:pPr>
            <w:r w:rsidRPr="00922808">
              <w:rPr>
                <w:rFonts w:ascii="Tahoma" w:hAnsi="Tahoma" w:cs="Tahoma"/>
                <w:bCs/>
                <w:iCs/>
                <w:sz w:val="22"/>
                <w:szCs w:val="22"/>
              </w:rPr>
              <w:t xml:space="preserve">Одному Клиенту может быть открыта только одна Программа, в том числе только одной из премиальных категорий обслуживания Клиента (по волеизъявлению Клиента): либо </w:t>
            </w:r>
            <w:r w:rsidRPr="00922808">
              <w:rPr>
                <w:rFonts w:ascii="Tahoma" w:hAnsi="Tahoma" w:cs="Tahoma"/>
                <w:bCs/>
                <w:iCs/>
                <w:sz w:val="22"/>
                <w:szCs w:val="22"/>
                <w:lang w:val="en-US"/>
              </w:rPr>
              <w:t>VIP</w:t>
            </w:r>
            <w:r w:rsidRPr="00922808">
              <w:rPr>
                <w:rFonts w:ascii="Tahoma" w:hAnsi="Tahoma" w:cs="Tahoma"/>
                <w:bCs/>
                <w:iCs/>
                <w:sz w:val="22"/>
                <w:szCs w:val="22"/>
              </w:rPr>
              <w:t xml:space="preserve"> Премьер, либо </w:t>
            </w:r>
            <w:r w:rsidRPr="00922808">
              <w:rPr>
                <w:rFonts w:ascii="Tahoma" w:hAnsi="Tahoma" w:cs="Tahoma"/>
                <w:bCs/>
                <w:iCs/>
                <w:sz w:val="22"/>
                <w:szCs w:val="22"/>
                <w:lang w:val="en-US"/>
              </w:rPr>
              <w:t>VIP</w:t>
            </w:r>
            <w:r w:rsidRPr="00922808">
              <w:rPr>
                <w:rFonts w:ascii="Tahoma" w:hAnsi="Tahoma" w:cs="Tahoma"/>
                <w:bCs/>
                <w:iCs/>
                <w:sz w:val="22"/>
                <w:szCs w:val="22"/>
              </w:rPr>
              <w:t xml:space="preserve"> Премьер+.</w:t>
            </w:r>
          </w:p>
        </w:tc>
      </w:tr>
      <w:tr w:rsidR="00922808" w:rsidRPr="00922808" w14:paraId="3365FB7A" w14:textId="77777777" w:rsidTr="005A7C26">
        <w:trPr>
          <w:trHeight w:val="363"/>
        </w:trPr>
        <w:tc>
          <w:tcPr>
            <w:tcW w:w="347" w:type="pct"/>
            <w:shd w:val="clear" w:color="auto" w:fill="auto"/>
            <w:vAlign w:val="center"/>
          </w:tcPr>
          <w:p w14:paraId="5C8E9D75"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1.3.</w:t>
            </w:r>
          </w:p>
        </w:tc>
        <w:tc>
          <w:tcPr>
            <w:tcW w:w="1757" w:type="pct"/>
            <w:shd w:val="clear" w:color="auto" w:fill="auto"/>
            <w:vAlign w:val="center"/>
          </w:tcPr>
          <w:p w14:paraId="663B7754" w14:textId="77777777" w:rsidR="00922808" w:rsidRPr="00922808" w:rsidDel="00FD29E3" w:rsidRDefault="00922808" w:rsidP="00922808">
            <w:pPr>
              <w:rPr>
                <w:rFonts w:ascii="Tahoma" w:hAnsi="Tahoma" w:cs="Tahoma"/>
                <w:color w:val="000000"/>
                <w:sz w:val="22"/>
                <w:szCs w:val="22"/>
              </w:rPr>
            </w:pPr>
            <w:r w:rsidRPr="00922808">
              <w:rPr>
                <w:rFonts w:ascii="Tahoma" w:hAnsi="Tahoma" w:cs="Tahoma"/>
                <w:color w:val="000000"/>
                <w:sz w:val="22"/>
                <w:szCs w:val="22"/>
              </w:rPr>
              <w:t>наименование премиальной категории обслуживания Клиента</w:t>
            </w:r>
          </w:p>
        </w:tc>
        <w:tc>
          <w:tcPr>
            <w:tcW w:w="2896" w:type="pct"/>
            <w:gridSpan w:val="4"/>
            <w:shd w:val="clear" w:color="auto" w:fill="auto"/>
            <w:vAlign w:val="center"/>
          </w:tcPr>
          <w:p w14:paraId="125DCBF4" w14:textId="77777777" w:rsidR="00922808" w:rsidRPr="00922808" w:rsidRDefault="00922808" w:rsidP="00922808">
            <w:pPr>
              <w:tabs>
                <w:tab w:val="left" w:pos="4889"/>
              </w:tabs>
              <w:jc w:val="center"/>
              <w:rPr>
                <w:rFonts w:ascii="Tahoma" w:hAnsi="Tahoma" w:cs="Tahoma"/>
                <w:b/>
                <w:bCs/>
                <w:iCs/>
                <w:sz w:val="22"/>
                <w:szCs w:val="22"/>
              </w:rPr>
            </w:pPr>
            <w:r w:rsidRPr="00922808">
              <w:rPr>
                <w:rFonts w:ascii="Tahoma" w:hAnsi="Tahoma" w:cs="Tahoma"/>
                <w:b/>
                <w:bCs/>
                <w:iCs/>
                <w:sz w:val="22"/>
                <w:szCs w:val="22"/>
                <w:lang w:val="en-US"/>
              </w:rPr>
              <w:t xml:space="preserve">VIP </w:t>
            </w:r>
            <w:r w:rsidRPr="00922808">
              <w:rPr>
                <w:rFonts w:ascii="Tahoma" w:hAnsi="Tahoma" w:cs="Tahoma"/>
                <w:b/>
                <w:bCs/>
                <w:iCs/>
                <w:sz w:val="22"/>
                <w:szCs w:val="22"/>
              </w:rPr>
              <w:t>Премьер</w:t>
            </w:r>
          </w:p>
        </w:tc>
      </w:tr>
      <w:tr w:rsidR="00922808" w:rsidRPr="00922808" w14:paraId="32ECC681" w14:textId="77777777" w:rsidTr="005A7C26">
        <w:tc>
          <w:tcPr>
            <w:tcW w:w="347" w:type="pct"/>
            <w:shd w:val="clear" w:color="auto" w:fill="808080"/>
            <w:vAlign w:val="center"/>
          </w:tcPr>
          <w:p w14:paraId="6A6D34C2" w14:textId="77777777" w:rsidR="00922808" w:rsidRPr="00922808" w:rsidRDefault="00922808" w:rsidP="00922808">
            <w:pPr>
              <w:tabs>
                <w:tab w:val="left" w:pos="284"/>
              </w:tabs>
              <w:rPr>
                <w:rFonts w:ascii="Tahoma" w:hAnsi="Tahoma" w:cs="Tahoma"/>
                <w:bCs/>
                <w:iCs/>
                <w:color w:val="FFFFFF"/>
                <w:sz w:val="28"/>
                <w:szCs w:val="22"/>
              </w:rPr>
            </w:pPr>
            <w:r w:rsidRPr="00922808">
              <w:rPr>
                <w:rFonts w:ascii="Tahoma" w:hAnsi="Tahoma" w:cs="Tahoma"/>
                <w:bCs/>
                <w:iCs/>
                <w:color w:val="FFFFFF"/>
                <w:sz w:val="28"/>
                <w:szCs w:val="22"/>
              </w:rPr>
              <w:t>2.</w:t>
            </w:r>
          </w:p>
        </w:tc>
        <w:tc>
          <w:tcPr>
            <w:tcW w:w="4653" w:type="pct"/>
            <w:gridSpan w:val="5"/>
            <w:shd w:val="clear" w:color="auto" w:fill="808080"/>
            <w:vAlign w:val="center"/>
          </w:tcPr>
          <w:p w14:paraId="7A8DF494" w14:textId="77777777" w:rsidR="00922808" w:rsidRPr="00922808" w:rsidRDefault="00922808" w:rsidP="00922808">
            <w:pPr>
              <w:tabs>
                <w:tab w:val="left" w:pos="284"/>
              </w:tabs>
              <w:rPr>
                <w:rFonts w:ascii="Tahoma" w:hAnsi="Tahoma" w:cs="Tahoma"/>
                <w:bCs/>
                <w:iCs/>
                <w:color w:val="FFFFFF"/>
                <w:sz w:val="28"/>
                <w:szCs w:val="22"/>
                <w:vertAlign w:val="superscript"/>
              </w:rPr>
            </w:pPr>
            <w:r w:rsidRPr="00922808">
              <w:rPr>
                <w:rFonts w:ascii="Tahoma" w:hAnsi="Tahoma" w:cs="Tahoma"/>
                <w:bCs/>
                <w:iCs/>
                <w:color w:val="FFFFFF"/>
                <w:sz w:val="28"/>
                <w:szCs w:val="22"/>
              </w:rPr>
              <w:t>Стоимость обслуживания Программы</w:t>
            </w:r>
          </w:p>
        </w:tc>
      </w:tr>
      <w:tr w:rsidR="00922808" w:rsidRPr="00922808" w14:paraId="079E6B1F" w14:textId="77777777" w:rsidTr="005A7C26">
        <w:tc>
          <w:tcPr>
            <w:tcW w:w="347" w:type="pct"/>
            <w:shd w:val="clear" w:color="auto" w:fill="auto"/>
            <w:vAlign w:val="center"/>
          </w:tcPr>
          <w:p w14:paraId="40881CB4"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2.1.</w:t>
            </w:r>
          </w:p>
        </w:tc>
        <w:tc>
          <w:tcPr>
            <w:tcW w:w="1757" w:type="pct"/>
            <w:shd w:val="clear" w:color="auto" w:fill="auto"/>
            <w:vAlign w:val="center"/>
          </w:tcPr>
          <w:p w14:paraId="40C1F710" w14:textId="77777777" w:rsidR="00922808" w:rsidRPr="00922808" w:rsidRDefault="00922808" w:rsidP="00922808">
            <w:pPr>
              <w:rPr>
                <w:rFonts w:ascii="Tahoma" w:hAnsi="Tahoma" w:cs="Tahoma"/>
                <w:bCs/>
                <w:iCs/>
                <w:sz w:val="22"/>
                <w:szCs w:val="22"/>
              </w:rPr>
            </w:pPr>
            <w:r w:rsidRPr="00922808">
              <w:rPr>
                <w:rFonts w:ascii="Tahoma" w:hAnsi="Tahoma" w:cs="Tahoma"/>
                <w:bCs/>
                <w:iCs/>
                <w:sz w:val="22"/>
                <w:szCs w:val="22"/>
              </w:rPr>
              <w:t>при соблюдении одного из условий, указанных в п.2.3 Программы</w:t>
            </w:r>
          </w:p>
        </w:tc>
        <w:tc>
          <w:tcPr>
            <w:tcW w:w="2896" w:type="pct"/>
            <w:gridSpan w:val="4"/>
            <w:shd w:val="clear" w:color="auto" w:fill="auto"/>
            <w:vAlign w:val="center"/>
          </w:tcPr>
          <w:p w14:paraId="6C2FFA33" w14:textId="77777777" w:rsidR="00922808" w:rsidRPr="00922808" w:rsidRDefault="00922808" w:rsidP="00922808">
            <w:pPr>
              <w:tabs>
                <w:tab w:val="left" w:pos="4889"/>
              </w:tabs>
              <w:jc w:val="center"/>
              <w:rPr>
                <w:rFonts w:ascii="Tahoma" w:hAnsi="Tahoma" w:cs="Tahoma"/>
                <w:b/>
                <w:bCs/>
                <w:sz w:val="22"/>
                <w:szCs w:val="22"/>
              </w:rPr>
            </w:pPr>
            <w:r w:rsidRPr="00922808">
              <w:rPr>
                <w:rFonts w:ascii="Tahoma" w:hAnsi="Tahoma" w:cs="Tahoma"/>
                <w:b/>
                <w:bCs/>
              </w:rPr>
              <w:t>БЕСПЛАТНО</w:t>
            </w:r>
          </w:p>
        </w:tc>
      </w:tr>
      <w:tr w:rsidR="00922808" w:rsidRPr="00922808" w14:paraId="53F6142C" w14:textId="77777777" w:rsidTr="005A7C26">
        <w:tc>
          <w:tcPr>
            <w:tcW w:w="347" w:type="pct"/>
            <w:shd w:val="clear" w:color="auto" w:fill="auto"/>
            <w:vAlign w:val="center"/>
          </w:tcPr>
          <w:p w14:paraId="638029A6"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2.2.</w:t>
            </w:r>
          </w:p>
        </w:tc>
        <w:tc>
          <w:tcPr>
            <w:tcW w:w="1757" w:type="pct"/>
            <w:shd w:val="clear" w:color="auto" w:fill="auto"/>
            <w:vAlign w:val="center"/>
          </w:tcPr>
          <w:p w14:paraId="46CAB7A5" w14:textId="77777777" w:rsidR="00922808" w:rsidRPr="00922808" w:rsidRDefault="00922808" w:rsidP="00922808">
            <w:pPr>
              <w:rPr>
                <w:rFonts w:ascii="Tahoma" w:hAnsi="Tahoma" w:cs="Tahoma"/>
                <w:bCs/>
                <w:iCs/>
                <w:sz w:val="22"/>
                <w:szCs w:val="22"/>
              </w:rPr>
            </w:pPr>
            <w:r w:rsidRPr="00922808">
              <w:rPr>
                <w:rFonts w:ascii="Tahoma" w:hAnsi="Tahoma" w:cs="Tahoma"/>
                <w:bCs/>
                <w:iCs/>
                <w:sz w:val="22"/>
                <w:szCs w:val="22"/>
              </w:rPr>
              <w:t>при несоблюдении какого-либо из условий, указанных в п.2.3 Программы</w:t>
            </w:r>
          </w:p>
        </w:tc>
        <w:tc>
          <w:tcPr>
            <w:tcW w:w="2896" w:type="pct"/>
            <w:gridSpan w:val="4"/>
            <w:shd w:val="clear" w:color="auto" w:fill="auto"/>
            <w:vAlign w:val="center"/>
          </w:tcPr>
          <w:p w14:paraId="69F415D2" w14:textId="77777777" w:rsidR="00922808" w:rsidRPr="00922808" w:rsidRDefault="00922808" w:rsidP="00922808">
            <w:pPr>
              <w:tabs>
                <w:tab w:val="left" w:pos="4889"/>
              </w:tabs>
              <w:jc w:val="center"/>
              <w:rPr>
                <w:rFonts w:ascii="Tahoma" w:hAnsi="Tahoma" w:cs="Tahoma"/>
                <w:bCs/>
                <w:iCs/>
                <w:sz w:val="22"/>
                <w:szCs w:val="22"/>
                <w:vertAlign w:val="superscript"/>
              </w:rPr>
            </w:pPr>
            <w:r w:rsidRPr="00922808">
              <w:rPr>
                <w:rFonts w:ascii="Tahoma" w:hAnsi="Tahoma" w:cs="Tahoma"/>
                <w:b/>
                <w:bCs/>
                <w:iCs/>
                <w:color w:val="000000"/>
                <w:sz w:val="22"/>
                <w:szCs w:val="22"/>
              </w:rPr>
              <w:t>2 4</w:t>
            </w:r>
            <w:r w:rsidRPr="00922808">
              <w:rPr>
                <w:rFonts w:ascii="Tahoma" w:hAnsi="Tahoma" w:cs="Tahoma"/>
                <w:b/>
                <w:bCs/>
                <w:iCs/>
                <w:color w:val="000000"/>
                <w:sz w:val="22"/>
                <w:szCs w:val="22"/>
                <w:lang w:val="en-US"/>
              </w:rPr>
              <w:t>50</w:t>
            </w:r>
            <w:r w:rsidRPr="00922808">
              <w:rPr>
                <w:rFonts w:ascii="Tahoma" w:hAnsi="Tahoma" w:cs="Tahoma"/>
                <w:bCs/>
                <w:iCs/>
                <w:color w:val="000000"/>
                <w:sz w:val="22"/>
                <w:szCs w:val="22"/>
              </w:rPr>
              <w:t xml:space="preserve"> рублей в месяц</w:t>
            </w:r>
            <w:r w:rsidRPr="00922808">
              <w:rPr>
                <w:rFonts w:ascii="Tahoma" w:hAnsi="Tahoma" w:cs="Tahoma"/>
                <w:bCs/>
                <w:iCs/>
                <w:color w:val="000000"/>
                <w:sz w:val="22"/>
                <w:szCs w:val="22"/>
                <w:vertAlign w:val="superscript"/>
              </w:rPr>
              <w:t>3</w:t>
            </w:r>
          </w:p>
        </w:tc>
      </w:tr>
      <w:tr w:rsidR="00922808" w:rsidRPr="00922808" w14:paraId="3E95ECAA" w14:textId="77777777" w:rsidTr="00922808">
        <w:tc>
          <w:tcPr>
            <w:tcW w:w="347" w:type="pct"/>
            <w:shd w:val="clear" w:color="auto" w:fill="7F7F7F"/>
            <w:vAlign w:val="center"/>
          </w:tcPr>
          <w:p w14:paraId="2270B1A1"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2.3.</w:t>
            </w:r>
          </w:p>
        </w:tc>
        <w:tc>
          <w:tcPr>
            <w:tcW w:w="4653" w:type="pct"/>
            <w:gridSpan w:val="5"/>
            <w:shd w:val="clear" w:color="auto" w:fill="7F7F7F"/>
            <w:vAlign w:val="center"/>
          </w:tcPr>
          <w:p w14:paraId="585B3891" w14:textId="77777777" w:rsidR="00922808" w:rsidRPr="00922808" w:rsidRDefault="00922808" w:rsidP="00922808">
            <w:pPr>
              <w:tabs>
                <w:tab w:val="left" w:pos="4889"/>
              </w:tabs>
              <w:rPr>
                <w:rFonts w:ascii="Tahoma" w:hAnsi="Tahoma" w:cs="Tahoma"/>
                <w:b/>
                <w:bCs/>
                <w:iCs/>
                <w:color w:val="FFFFFF"/>
                <w:sz w:val="22"/>
                <w:szCs w:val="22"/>
              </w:rPr>
            </w:pPr>
            <w:r w:rsidRPr="00922808">
              <w:rPr>
                <w:rFonts w:ascii="Tahoma" w:hAnsi="Tahoma" w:cs="Tahoma"/>
                <w:b/>
                <w:bCs/>
                <w:iCs/>
                <w:color w:val="FFFFFF"/>
                <w:sz w:val="22"/>
                <w:szCs w:val="22"/>
              </w:rPr>
              <w:t>Условия бесплатного обслуживания Программы</w:t>
            </w:r>
          </w:p>
        </w:tc>
      </w:tr>
      <w:tr w:rsidR="00922808" w:rsidRPr="00922808" w14:paraId="3E5D6105" w14:textId="77777777" w:rsidTr="005A7C26">
        <w:trPr>
          <w:trHeight w:val="446"/>
        </w:trPr>
        <w:tc>
          <w:tcPr>
            <w:tcW w:w="347" w:type="pct"/>
            <w:shd w:val="clear" w:color="auto" w:fill="auto"/>
            <w:vAlign w:val="center"/>
          </w:tcPr>
          <w:p w14:paraId="18A5155E"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2.3.1.</w:t>
            </w:r>
          </w:p>
          <w:p w14:paraId="1031884D" w14:textId="77777777" w:rsidR="00922808" w:rsidRPr="00922808" w:rsidRDefault="00922808" w:rsidP="00922808">
            <w:pPr>
              <w:rPr>
                <w:rFonts w:ascii="Tahoma" w:hAnsi="Tahoma" w:cs="Tahoma"/>
                <w:bCs/>
                <w:iCs/>
                <w:sz w:val="22"/>
                <w:szCs w:val="22"/>
              </w:rPr>
            </w:pPr>
          </w:p>
        </w:tc>
        <w:tc>
          <w:tcPr>
            <w:tcW w:w="1757" w:type="pct"/>
            <w:shd w:val="clear" w:color="auto" w:fill="auto"/>
            <w:vAlign w:val="center"/>
          </w:tcPr>
          <w:p w14:paraId="57469A95" w14:textId="77777777" w:rsidR="00922808" w:rsidRPr="00922808" w:rsidRDefault="00922808" w:rsidP="00922808">
            <w:pPr>
              <w:rPr>
                <w:rFonts w:ascii="Tahoma" w:hAnsi="Tahoma" w:cs="Tahoma"/>
                <w:bCs/>
                <w:iCs/>
                <w:sz w:val="22"/>
                <w:szCs w:val="22"/>
              </w:rPr>
            </w:pPr>
            <w:r w:rsidRPr="00922808">
              <w:rPr>
                <w:rFonts w:ascii="Tahoma" w:hAnsi="Tahoma" w:cs="Tahoma"/>
                <w:bCs/>
                <w:iCs/>
                <w:sz w:val="22"/>
                <w:szCs w:val="22"/>
              </w:rPr>
              <w:t>Средние остатки</w:t>
            </w:r>
            <w:r w:rsidRPr="00922808">
              <w:rPr>
                <w:rFonts w:ascii="Tahoma" w:hAnsi="Tahoma" w:cs="Tahoma"/>
                <w:bCs/>
                <w:iCs/>
                <w:sz w:val="22"/>
                <w:szCs w:val="22"/>
                <w:vertAlign w:val="superscript"/>
              </w:rPr>
              <w:t>4</w:t>
            </w:r>
            <w:r w:rsidRPr="00922808">
              <w:rPr>
                <w:rFonts w:ascii="Tahoma" w:eastAsia="Calibri" w:hAnsi="Tahoma" w:cs="Tahoma"/>
                <w:sz w:val="22"/>
                <w:szCs w:val="22"/>
                <w:lang w:eastAsia="en-US"/>
              </w:rPr>
              <w:t xml:space="preserve"> денежных средств </w:t>
            </w:r>
            <w:r w:rsidRPr="00922808">
              <w:rPr>
                <w:rFonts w:ascii="Tahoma" w:hAnsi="Tahoma" w:cs="Tahoma"/>
                <w:bCs/>
                <w:iCs/>
                <w:sz w:val="22"/>
                <w:szCs w:val="22"/>
              </w:rPr>
              <w:t>в течение календарного месяца</w:t>
            </w:r>
          </w:p>
        </w:tc>
        <w:tc>
          <w:tcPr>
            <w:tcW w:w="2896" w:type="pct"/>
            <w:gridSpan w:val="4"/>
            <w:shd w:val="clear" w:color="auto" w:fill="auto"/>
            <w:vAlign w:val="center"/>
          </w:tcPr>
          <w:p w14:paraId="4AA53133" w14:textId="77777777" w:rsidR="00922808" w:rsidRPr="00922808" w:rsidRDefault="00922808" w:rsidP="00922808">
            <w:pPr>
              <w:tabs>
                <w:tab w:val="left" w:pos="4889"/>
              </w:tabs>
              <w:ind w:left="480"/>
              <w:jc w:val="center"/>
              <w:rPr>
                <w:rFonts w:ascii="Tahoma" w:hAnsi="Tahoma" w:cs="Tahoma"/>
                <w:bCs/>
                <w:iCs/>
                <w:color w:val="000000"/>
              </w:rPr>
            </w:pPr>
            <w:r w:rsidRPr="00922808">
              <w:rPr>
                <w:rFonts w:ascii="Tahoma" w:hAnsi="Tahoma" w:cs="Tahoma"/>
                <w:bCs/>
                <w:iCs/>
                <w:color w:val="000000"/>
              </w:rPr>
              <w:t>от</w:t>
            </w:r>
            <w:r w:rsidRPr="00922808">
              <w:rPr>
                <w:rFonts w:ascii="Tahoma" w:hAnsi="Tahoma" w:cs="Tahoma"/>
                <w:b/>
                <w:bCs/>
                <w:iCs/>
                <w:color w:val="000000"/>
              </w:rPr>
              <w:t xml:space="preserve"> 3 000 000 рублей</w:t>
            </w:r>
            <w:r w:rsidRPr="00922808">
              <w:rPr>
                <w:rFonts w:ascii="Tahoma" w:hAnsi="Tahoma" w:cs="Tahoma"/>
                <w:bCs/>
                <w:iCs/>
                <w:color w:val="000000"/>
              </w:rPr>
              <w:t>;</w:t>
            </w:r>
          </w:p>
        </w:tc>
      </w:tr>
      <w:tr w:rsidR="00922808" w:rsidRPr="00922808" w14:paraId="7A24CA14" w14:textId="77777777" w:rsidTr="005A7C26">
        <w:trPr>
          <w:trHeight w:val="1014"/>
        </w:trPr>
        <w:tc>
          <w:tcPr>
            <w:tcW w:w="347" w:type="pct"/>
            <w:shd w:val="clear" w:color="auto" w:fill="auto"/>
            <w:vAlign w:val="center"/>
          </w:tcPr>
          <w:p w14:paraId="1F5FE173" w14:textId="77777777" w:rsidR="00922808" w:rsidRPr="00922808" w:rsidRDefault="00922808" w:rsidP="00922808">
            <w:pPr>
              <w:rPr>
                <w:rFonts w:ascii="Tahoma" w:hAnsi="Tahoma" w:cs="Tahoma"/>
                <w:bCs/>
                <w:iCs/>
                <w:sz w:val="22"/>
                <w:szCs w:val="22"/>
              </w:rPr>
            </w:pPr>
            <w:r w:rsidRPr="00922808">
              <w:rPr>
                <w:rFonts w:ascii="Tahoma" w:hAnsi="Tahoma" w:cs="Tahoma"/>
                <w:bCs/>
                <w:iCs/>
                <w:sz w:val="22"/>
                <w:szCs w:val="22"/>
              </w:rPr>
              <w:t>2.3.2.</w:t>
            </w:r>
          </w:p>
        </w:tc>
        <w:tc>
          <w:tcPr>
            <w:tcW w:w="1757" w:type="pct"/>
            <w:shd w:val="clear" w:color="auto" w:fill="auto"/>
            <w:vAlign w:val="center"/>
          </w:tcPr>
          <w:p w14:paraId="3C58AA15" w14:textId="77777777" w:rsidR="00922808" w:rsidRPr="00922808" w:rsidRDefault="00922808" w:rsidP="00922808">
            <w:pPr>
              <w:rPr>
                <w:rFonts w:ascii="Tahoma" w:hAnsi="Tahoma" w:cs="Tahoma"/>
                <w:bCs/>
                <w:iCs/>
                <w:sz w:val="22"/>
                <w:szCs w:val="22"/>
              </w:rPr>
            </w:pPr>
            <w:r w:rsidRPr="00922808">
              <w:rPr>
                <w:rFonts w:ascii="Tahoma" w:hAnsi="Tahoma" w:cs="Tahoma"/>
                <w:bCs/>
                <w:iCs/>
                <w:sz w:val="22"/>
                <w:szCs w:val="22"/>
              </w:rPr>
              <w:t>Средние остатки</w:t>
            </w:r>
            <w:r w:rsidRPr="00922808">
              <w:rPr>
                <w:rFonts w:ascii="Tahoma" w:hAnsi="Tahoma" w:cs="Tahoma"/>
                <w:bCs/>
                <w:iCs/>
                <w:sz w:val="22"/>
                <w:szCs w:val="22"/>
                <w:vertAlign w:val="superscript"/>
              </w:rPr>
              <w:t xml:space="preserve">4 </w:t>
            </w:r>
            <w:r w:rsidRPr="00922808">
              <w:rPr>
                <w:rFonts w:ascii="Tahoma" w:hAnsi="Tahoma" w:cs="Tahoma"/>
                <w:bCs/>
                <w:iCs/>
                <w:sz w:val="22"/>
                <w:szCs w:val="22"/>
              </w:rPr>
              <w:t xml:space="preserve">денежных средств в течение календарного месяца </w:t>
            </w:r>
            <w:r w:rsidRPr="00922808">
              <w:rPr>
                <w:rFonts w:ascii="Tahoma" w:hAnsi="Tahoma" w:cs="Tahoma"/>
                <w:b/>
                <w:bCs/>
                <w:iCs/>
                <w:sz w:val="22"/>
                <w:szCs w:val="22"/>
              </w:rPr>
              <w:t>и</w:t>
            </w:r>
            <w:r w:rsidRPr="00922808">
              <w:rPr>
                <w:rFonts w:ascii="Tahoma" w:hAnsi="Tahoma" w:cs="Tahoma"/>
                <w:bCs/>
                <w:iCs/>
                <w:sz w:val="22"/>
                <w:szCs w:val="22"/>
              </w:rPr>
              <w:t xml:space="preserve"> Сумма покупок</w:t>
            </w:r>
            <w:r w:rsidRPr="00922808">
              <w:rPr>
                <w:rFonts w:ascii="Tahoma" w:hAnsi="Tahoma" w:cs="Tahoma"/>
                <w:bCs/>
                <w:iCs/>
                <w:sz w:val="22"/>
                <w:szCs w:val="22"/>
                <w:vertAlign w:val="superscript"/>
              </w:rPr>
              <w:t>5</w:t>
            </w:r>
            <w:r w:rsidRPr="00922808">
              <w:rPr>
                <w:rFonts w:ascii="Tahoma" w:hAnsi="Tahoma" w:cs="Tahoma"/>
                <w:bCs/>
                <w:iCs/>
                <w:sz w:val="22"/>
                <w:szCs w:val="22"/>
              </w:rPr>
              <w:t xml:space="preserve"> по Картам, выпущенным в рамках Программы, в течение календарного месяца</w:t>
            </w:r>
          </w:p>
        </w:tc>
        <w:tc>
          <w:tcPr>
            <w:tcW w:w="2896" w:type="pct"/>
            <w:gridSpan w:val="4"/>
            <w:shd w:val="clear" w:color="auto" w:fill="auto"/>
            <w:vAlign w:val="center"/>
          </w:tcPr>
          <w:p w14:paraId="3081AF09" w14:textId="77777777" w:rsidR="00922808" w:rsidRPr="00922808" w:rsidRDefault="00922808" w:rsidP="00922808">
            <w:pPr>
              <w:tabs>
                <w:tab w:val="left" w:pos="4889"/>
              </w:tabs>
              <w:ind w:left="480"/>
              <w:jc w:val="center"/>
              <w:rPr>
                <w:rFonts w:ascii="Tahoma" w:hAnsi="Tahoma" w:cs="Tahoma"/>
                <w:b/>
                <w:bCs/>
                <w:iCs/>
                <w:color w:val="000000"/>
              </w:rPr>
            </w:pPr>
            <w:r w:rsidRPr="00922808">
              <w:rPr>
                <w:rFonts w:ascii="Tahoma" w:hAnsi="Tahoma" w:cs="Tahoma"/>
                <w:bCs/>
                <w:iCs/>
                <w:color w:val="000000"/>
              </w:rPr>
              <w:t>Средние остатки</w:t>
            </w:r>
            <w:r w:rsidRPr="00922808">
              <w:rPr>
                <w:rFonts w:ascii="Tahoma" w:hAnsi="Tahoma" w:cs="Tahoma"/>
                <w:bCs/>
                <w:iCs/>
                <w:color w:val="000000"/>
                <w:vertAlign w:val="superscript"/>
              </w:rPr>
              <w:t xml:space="preserve">4 </w:t>
            </w:r>
            <w:r w:rsidRPr="00922808">
              <w:rPr>
                <w:rFonts w:ascii="Tahoma" w:hAnsi="Tahoma" w:cs="Tahoma"/>
                <w:bCs/>
                <w:iCs/>
                <w:color w:val="000000"/>
              </w:rPr>
              <w:t>от</w:t>
            </w:r>
            <w:r w:rsidRPr="00922808">
              <w:rPr>
                <w:rFonts w:ascii="Tahoma" w:hAnsi="Tahoma" w:cs="Tahoma"/>
                <w:b/>
                <w:bCs/>
                <w:iCs/>
                <w:color w:val="000000"/>
              </w:rPr>
              <w:t xml:space="preserve"> 1 000 000 рублей </w:t>
            </w:r>
            <w:r w:rsidRPr="00922808">
              <w:rPr>
                <w:rFonts w:ascii="Tahoma" w:hAnsi="Tahoma" w:cs="Tahoma"/>
                <w:bCs/>
                <w:iCs/>
                <w:color w:val="000000"/>
              </w:rPr>
              <w:t>и Сумма покупок от</w:t>
            </w:r>
            <w:r w:rsidRPr="00922808">
              <w:rPr>
                <w:rFonts w:ascii="Tahoma" w:hAnsi="Tahoma" w:cs="Tahoma"/>
                <w:b/>
                <w:bCs/>
                <w:iCs/>
                <w:color w:val="000000"/>
              </w:rPr>
              <w:t xml:space="preserve"> 50 000 рублей;</w:t>
            </w:r>
          </w:p>
        </w:tc>
      </w:tr>
      <w:tr w:rsidR="00922808" w:rsidRPr="00922808" w14:paraId="63252FE0" w14:textId="77777777" w:rsidTr="005A7C26">
        <w:trPr>
          <w:trHeight w:val="882"/>
        </w:trPr>
        <w:tc>
          <w:tcPr>
            <w:tcW w:w="347" w:type="pct"/>
            <w:shd w:val="clear" w:color="auto" w:fill="auto"/>
            <w:vAlign w:val="center"/>
          </w:tcPr>
          <w:p w14:paraId="70694AFD" w14:textId="77777777" w:rsidR="00922808" w:rsidRPr="00922808" w:rsidRDefault="00922808" w:rsidP="00922808">
            <w:pPr>
              <w:rPr>
                <w:rFonts w:ascii="Tahoma" w:hAnsi="Tahoma" w:cs="Tahoma"/>
                <w:bCs/>
                <w:iCs/>
                <w:sz w:val="22"/>
                <w:szCs w:val="22"/>
              </w:rPr>
            </w:pPr>
            <w:r w:rsidRPr="00922808">
              <w:rPr>
                <w:rFonts w:ascii="Tahoma" w:hAnsi="Tahoma" w:cs="Tahoma"/>
                <w:bCs/>
                <w:iCs/>
                <w:sz w:val="22"/>
                <w:szCs w:val="22"/>
              </w:rPr>
              <w:t>2.3.3.</w:t>
            </w:r>
          </w:p>
        </w:tc>
        <w:tc>
          <w:tcPr>
            <w:tcW w:w="1757" w:type="pct"/>
            <w:shd w:val="clear" w:color="auto" w:fill="auto"/>
            <w:vAlign w:val="center"/>
          </w:tcPr>
          <w:p w14:paraId="126EB124" w14:textId="77777777" w:rsidR="00922808" w:rsidRPr="00922808" w:rsidRDefault="00922808" w:rsidP="00922808">
            <w:pPr>
              <w:rPr>
                <w:rFonts w:ascii="Tahoma" w:hAnsi="Tahoma" w:cs="Tahoma"/>
                <w:bCs/>
                <w:iCs/>
                <w:sz w:val="22"/>
                <w:szCs w:val="22"/>
              </w:rPr>
            </w:pPr>
            <w:r w:rsidRPr="00922808">
              <w:rPr>
                <w:rFonts w:ascii="Tahoma" w:hAnsi="Tahoma" w:cs="Tahoma"/>
                <w:bCs/>
                <w:iCs/>
                <w:sz w:val="22"/>
                <w:szCs w:val="22"/>
              </w:rPr>
              <w:t>Сумма покупок</w:t>
            </w:r>
            <w:r w:rsidRPr="00922808">
              <w:rPr>
                <w:rFonts w:ascii="Tahoma" w:hAnsi="Tahoma" w:cs="Tahoma"/>
                <w:bCs/>
                <w:iCs/>
                <w:sz w:val="22"/>
                <w:szCs w:val="22"/>
                <w:vertAlign w:val="superscript"/>
              </w:rPr>
              <w:t>5</w:t>
            </w:r>
            <w:r w:rsidRPr="00922808">
              <w:rPr>
                <w:rFonts w:ascii="Tahoma" w:hAnsi="Tahoma" w:cs="Tahoma"/>
                <w:bCs/>
                <w:iCs/>
                <w:sz w:val="22"/>
                <w:szCs w:val="22"/>
              </w:rPr>
              <w:t>, совершенных с использованием Карт, выпущенных в рамках Программы, в течение календарного месяца</w:t>
            </w:r>
          </w:p>
        </w:tc>
        <w:tc>
          <w:tcPr>
            <w:tcW w:w="2896" w:type="pct"/>
            <w:gridSpan w:val="4"/>
            <w:shd w:val="clear" w:color="auto" w:fill="auto"/>
            <w:vAlign w:val="center"/>
          </w:tcPr>
          <w:p w14:paraId="3B8E74D7" w14:textId="77777777" w:rsidR="00922808" w:rsidRPr="00922808" w:rsidRDefault="00922808" w:rsidP="00922808">
            <w:pPr>
              <w:tabs>
                <w:tab w:val="left" w:pos="4889"/>
              </w:tabs>
              <w:ind w:left="480"/>
              <w:jc w:val="center"/>
              <w:rPr>
                <w:rFonts w:ascii="Tahoma" w:hAnsi="Tahoma" w:cs="Tahoma"/>
                <w:bCs/>
                <w:iCs/>
                <w:color w:val="000000"/>
              </w:rPr>
            </w:pPr>
            <w:r w:rsidRPr="00922808">
              <w:rPr>
                <w:rFonts w:ascii="Tahoma" w:hAnsi="Tahoma" w:cs="Tahoma"/>
                <w:bCs/>
                <w:iCs/>
                <w:color w:val="000000"/>
              </w:rPr>
              <w:t>от</w:t>
            </w:r>
            <w:r w:rsidRPr="00922808">
              <w:rPr>
                <w:rFonts w:ascii="Tahoma" w:hAnsi="Tahoma" w:cs="Tahoma"/>
                <w:b/>
                <w:bCs/>
                <w:iCs/>
                <w:color w:val="000000"/>
              </w:rPr>
              <w:t xml:space="preserve"> 150 000</w:t>
            </w:r>
            <w:r w:rsidRPr="00922808">
              <w:rPr>
                <w:rFonts w:ascii="Tahoma" w:hAnsi="Tahoma" w:cs="Tahoma"/>
                <w:bCs/>
                <w:iCs/>
                <w:color w:val="000000"/>
              </w:rPr>
              <w:t xml:space="preserve"> </w:t>
            </w:r>
            <w:r w:rsidRPr="00922808">
              <w:rPr>
                <w:rFonts w:ascii="Tahoma" w:hAnsi="Tahoma" w:cs="Tahoma"/>
                <w:b/>
                <w:bCs/>
                <w:iCs/>
                <w:color w:val="000000"/>
              </w:rPr>
              <w:t>рублей;</w:t>
            </w:r>
          </w:p>
        </w:tc>
      </w:tr>
      <w:tr w:rsidR="00922808" w:rsidRPr="00922808" w14:paraId="58C59261" w14:textId="77777777" w:rsidTr="005A7C26">
        <w:trPr>
          <w:trHeight w:val="555"/>
        </w:trPr>
        <w:tc>
          <w:tcPr>
            <w:tcW w:w="347" w:type="pct"/>
            <w:shd w:val="clear" w:color="auto" w:fill="auto"/>
            <w:vAlign w:val="center"/>
          </w:tcPr>
          <w:p w14:paraId="24AA8110" w14:textId="77777777" w:rsidR="00922808" w:rsidRPr="00922808" w:rsidRDefault="00922808" w:rsidP="00922808">
            <w:pPr>
              <w:rPr>
                <w:rFonts w:ascii="Tahoma" w:hAnsi="Tahoma" w:cs="Tahoma"/>
                <w:bCs/>
                <w:iCs/>
                <w:sz w:val="22"/>
                <w:szCs w:val="22"/>
              </w:rPr>
            </w:pPr>
            <w:r w:rsidRPr="00922808">
              <w:rPr>
                <w:rFonts w:ascii="Tahoma" w:hAnsi="Tahoma" w:cs="Tahoma"/>
                <w:bCs/>
                <w:iCs/>
                <w:sz w:val="22"/>
                <w:szCs w:val="22"/>
              </w:rPr>
              <w:t>2.3.4.</w:t>
            </w:r>
          </w:p>
        </w:tc>
        <w:tc>
          <w:tcPr>
            <w:tcW w:w="1757" w:type="pct"/>
            <w:shd w:val="clear" w:color="auto" w:fill="auto"/>
            <w:vAlign w:val="center"/>
          </w:tcPr>
          <w:p w14:paraId="3C2610BD" w14:textId="77777777" w:rsidR="00922808" w:rsidRPr="00922808" w:rsidRDefault="00922808" w:rsidP="00922808">
            <w:pPr>
              <w:rPr>
                <w:rFonts w:ascii="Tahoma" w:hAnsi="Tahoma" w:cs="Tahoma"/>
                <w:bCs/>
                <w:iCs/>
                <w:color w:val="000000"/>
                <w:sz w:val="22"/>
                <w:szCs w:val="22"/>
              </w:rPr>
            </w:pPr>
            <w:r w:rsidRPr="00922808">
              <w:rPr>
                <w:rFonts w:ascii="Tahoma" w:hAnsi="Tahoma" w:cs="Tahoma"/>
                <w:bCs/>
                <w:iCs/>
                <w:color w:val="000000"/>
                <w:sz w:val="22"/>
                <w:szCs w:val="22"/>
              </w:rPr>
              <w:t>поступление Заработной платы</w:t>
            </w:r>
            <w:r w:rsidRPr="00922808">
              <w:rPr>
                <w:rFonts w:ascii="Tahoma" w:hAnsi="Tahoma" w:cs="Tahoma"/>
                <w:bCs/>
                <w:iCs/>
                <w:color w:val="000000"/>
                <w:sz w:val="22"/>
                <w:szCs w:val="22"/>
                <w:vertAlign w:val="superscript"/>
              </w:rPr>
              <w:t>6</w:t>
            </w:r>
            <w:r w:rsidRPr="00922808">
              <w:rPr>
                <w:rFonts w:ascii="Tahoma" w:hAnsi="Tahoma" w:cs="Tahoma"/>
                <w:bCs/>
                <w:iCs/>
                <w:color w:val="000000"/>
                <w:sz w:val="22"/>
                <w:szCs w:val="22"/>
              </w:rPr>
              <w:t xml:space="preserve"> в течение календарного месяца на счет Карты, выпущенной в рамках Программы, оформленной </w:t>
            </w:r>
            <w:r w:rsidRPr="00922808">
              <w:rPr>
                <w:rFonts w:ascii="Tahoma" w:hAnsi="Tahoma" w:cs="Tahoma"/>
                <w:b/>
                <w:bCs/>
                <w:iCs/>
                <w:color w:val="000000"/>
                <w:sz w:val="22"/>
                <w:szCs w:val="22"/>
              </w:rPr>
              <w:t>до 05.12.2023г</w:t>
            </w:r>
            <w:r w:rsidRPr="00922808">
              <w:rPr>
                <w:rFonts w:ascii="Tahoma" w:hAnsi="Tahoma" w:cs="Tahoma"/>
                <w:bCs/>
                <w:iCs/>
                <w:color w:val="000000"/>
                <w:sz w:val="22"/>
                <w:szCs w:val="22"/>
              </w:rPr>
              <w:t>. (включительно)</w:t>
            </w:r>
          </w:p>
        </w:tc>
        <w:tc>
          <w:tcPr>
            <w:tcW w:w="2896" w:type="pct"/>
            <w:gridSpan w:val="4"/>
            <w:shd w:val="clear" w:color="auto" w:fill="auto"/>
            <w:vAlign w:val="center"/>
          </w:tcPr>
          <w:p w14:paraId="1B5CF8E8" w14:textId="77777777" w:rsidR="00922808" w:rsidRPr="00922808" w:rsidRDefault="00922808" w:rsidP="00922808">
            <w:pPr>
              <w:tabs>
                <w:tab w:val="left" w:pos="4889"/>
              </w:tabs>
              <w:ind w:left="480"/>
              <w:jc w:val="center"/>
              <w:rPr>
                <w:rFonts w:ascii="Tahoma" w:hAnsi="Tahoma" w:cs="Tahoma"/>
                <w:bCs/>
                <w:iCs/>
                <w:color w:val="000000"/>
              </w:rPr>
            </w:pPr>
            <w:r w:rsidRPr="00922808">
              <w:rPr>
                <w:rFonts w:ascii="Tahoma" w:hAnsi="Tahoma" w:cs="Tahoma"/>
                <w:bCs/>
                <w:iCs/>
                <w:color w:val="000000"/>
              </w:rPr>
              <w:t>от</w:t>
            </w:r>
            <w:r w:rsidRPr="00922808">
              <w:rPr>
                <w:rFonts w:ascii="Tahoma" w:hAnsi="Tahoma" w:cs="Tahoma"/>
                <w:b/>
                <w:bCs/>
                <w:iCs/>
                <w:color w:val="000000"/>
              </w:rPr>
              <w:t xml:space="preserve"> 100 000 рублей </w:t>
            </w:r>
            <w:r w:rsidRPr="00922808">
              <w:rPr>
                <w:rFonts w:ascii="Tahoma" w:hAnsi="Tahoma" w:cs="Tahoma"/>
                <w:bCs/>
                <w:iCs/>
                <w:color w:val="000000"/>
              </w:rPr>
              <w:t>в месяц;</w:t>
            </w:r>
          </w:p>
        </w:tc>
      </w:tr>
      <w:tr w:rsidR="00922808" w:rsidRPr="00922808" w14:paraId="07B32C00" w14:textId="77777777" w:rsidTr="005A7C26">
        <w:trPr>
          <w:trHeight w:val="555"/>
        </w:trPr>
        <w:tc>
          <w:tcPr>
            <w:tcW w:w="347" w:type="pct"/>
            <w:shd w:val="clear" w:color="auto" w:fill="auto"/>
            <w:vAlign w:val="center"/>
          </w:tcPr>
          <w:p w14:paraId="2E8D72A0" w14:textId="77777777" w:rsidR="00922808" w:rsidRPr="00922808" w:rsidRDefault="00922808" w:rsidP="00922808">
            <w:pPr>
              <w:rPr>
                <w:rFonts w:ascii="Tahoma" w:hAnsi="Tahoma" w:cs="Tahoma"/>
                <w:bCs/>
                <w:iCs/>
                <w:sz w:val="22"/>
                <w:szCs w:val="22"/>
              </w:rPr>
            </w:pPr>
            <w:r w:rsidRPr="00922808">
              <w:rPr>
                <w:rFonts w:ascii="Tahoma" w:hAnsi="Tahoma" w:cs="Tahoma"/>
                <w:bCs/>
                <w:iCs/>
                <w:sz w:val="22"/>
                <w:szCs w:val="22"/>
              </w:rPr>
              <w:t>2.3.5.</w:t>
            </w:r>
          </w:p>
        </w:tc>
        <w:tc>
          <w:tcPr>
            <w:tcW w:w="1757" w:type="pct"/>
            <w:shd w:val="clear" w:color="auto" w:fill="auto"/>
            <w:vAlign w:val="center"/>
          </w:tcPr>
          <w:p w14:paraId="0373205F" w14:textId="77777777" w:rsidR="00922808" w:rsidRPr="00922808" w:rsidRDefault="00922808" w:rsidP="00922808">
            <w:pPr>
              <w:rPr>
                <w:rFonts w:ascii="Tahoma" w:hAnsi="Tahoma" w:cs="Tahoma"/>
                <w:bCs/>
                <w:iCs/>
                <w:color w:val="000000"/>
                <w:sz w:val="22"/>
                <w:szCs w:val="22"/>
              </w:rPr>
            </w:pPr>
            <w:r w:rsidRPr="00922808">
              <w:rPr>
                <w:rFonts w:ascii="Tahoma" w:hAnsi="Tahoma" w:cs="Tahoma"/>
                <w:bCs/>
                <w:iCs/>
                <w:color w:val="000000"/>
                <w:sz w:val="22"/>
                <w:szCs w:val="22"/>
              </w:rPr>
              <w:t>поступление Заработной платы</w:t>
            </w:r>
            <w:r w:rsidRPr="00922808">
              <w:rPr>
                <w:rFonts w:ascii="Tahoma" w:hAnsi="Tahoma" w:cs="Tahoma"/>
                <w:bCs/>
                <w:iCs/>
                <w:color w:val="000000"/>
                <w:sz w:val="22"/>
                <w:szCs w:val="22"/>
                <w:vertAlign w:val="superscript"/>
              </w:rPr>
              <w:t>6</w:t>
            </w:r>
            <w:r w:rsidRPr="00922808">
              <w:rPr>
                <w:rFonts w:ascii="Tahoma" w:hAnsi="Tahoma" w:cs="Tahoma"/>
                <w:bCs/>
                <w:iCs/>
                <w:color w:val="000000"/>
                <w:sz w:val="22"/>
                <w:szCs w:val="22"/>
              </w:rPr>
              <w:t xml:space="preserve"> в течение календарного месяца на счет Карты, выпущенной в рамках Программы, оформляемой </w:t>
            </w:r>
            <w:r w:rsidRPr="00922808">
              <w:rPr>
                <w:rFonts w:ascii="Tahoma" w:hAnsi="Tahoma" w:cs="Tahoma"/>
                <w:b/>
                <w:bCs/>
                <w:iCs/>
                <w:color w:val="000000"/>
                <w:sz w:val="22"/>
                <w:szCs w:val="22"/>
              </w:rPr>
              <w:t>с 06.12.2023г</w:t>
            </w:r>
            <w:r w:rsidRPr="00922808">
              <w:rPr>
                <w:rFonts w:ascii="Tahoma" w:hAnsi="Tahoma" w:cs="Tahoma"/>
                <w:bCs/>
                <w:iCs/>
                <w:color w:val="000000"/>
                <w:sz w:val="22"/>
                <w:szCs w:val="22"/>
              </w:rPr>
              <w:t>.</w:t>
            </w:r>
          </w:p>
        </w:tc>
        <w:tc>
          <w:tcPr>
            <w:tcW w:w="2896" w:type="pct"/>
            <w:gridSpan w:val="4"/>
            <w:shd w:val="clear" w:color="auto" w:fill="auto"/>
            <w:vAlign w:val="center"/>
          </w:tcPr>
          <w:p w14:paraId="72AD917C" w14:textId="77777777" w:rsidR="00922808" w:rsidRPr="00922808" w:rsidRDefault="00922808" w:rsidP="00922808">
            <w:pPr>
              <w:tabs>
                <w:tab w:val="left" w:pos="4889"/>
              </w:tabs>
              <w:ind w:left="454"/>
              <w:jc w:val="center"/>
              <w:rPr>
                <w:rFonts w:ascii="Tahoma" w:hAnsi="Tahoma" w:cs="Tahoma"/>
                <w:b/>
                <w:bCs/>
                <w:iCs/>
                <w:color w:val="000000"/>
              </w:rPr>
            </w:pPr>
            <w:r w:rsidRPr="00922808">
              <w:rPr>
                <w:rFonts w:ascii="Tahoma" w:hAnsi="Tahoma" w:cs="Tahoma"/>
                <w:bCs/>
                <w:iCs/>
                <w:color w:val="000000"/>
              </w:rPr>
              <w:t>от</w:t>
            </w:r>
            <w:r w:rsidRPr="00922808">
              <w:rPr>
                <w:rFonts w:ascii="Tahoma" w:hAnsi="Tahoma" w:cs="Tahoma"/>
                <w:b/>
                <w:bCs/>
                <w:iCs/>
                <w:color w:val="000000"/>
              </w:rPr>
              <w:t xml:space="preserve"> 200 000 рублей</w:t>
            </w:r>
            <w:r w:rsidRPr="00922808" w:rsidDel="00724802">
              <w:rPr>
                <w:rFonts w:ascii="Tahoma" w:hAnsi="Tahoma" w:cs="Tahoma"/>
                <w:b/>
                <w:bCs/>
                <w:iCs/>
                <w:color w:val="000000"/>
              </w:rPr>
              <w:t xml:space="preserve"> </w:t>
            </w:r>
            <w:r w:rsidRPr="00922808">
              <w:rPr>
                <w:rFonts w:ascii="Tahoma" w:hAnsi="Tahoma" w:cs="Tahoma"/>
                <w:bCs/>
                <w:iCs/>
                <w:color w:val="000000"/>
              </w:rPr>
              <w:t>в месяц</w:t>
            </w:r>
            <w:r w:rsidRPr="00922808">
              <w:rPr>
                <w:rFonts w:ascii="Tahoma" w:hAnsi="Tahoma" w:cs="Tahoma"/>
                <w:b/>
                <w:bCs/>
                <w:iCs/>
                <w:color w:val="000000"/>
              </w:rPr>
              <w:t>.</w:t>
            </w:r>
          </w:p>
        </w:tc>
      </w:tr>
      <w:tr w:rsidR="00922808" w:rsidRPr="00922808" w14:paraId="2C334E90" w14:textId="77777777" w:rsidTr="005A7C26">
        <w:tc>
          <w:tcPr>
            <w:tcW w:w="347" w:type="pct"/>
            <w:shd w:val="clear" w:color="auto" w:fill="808080"/>
            <w:vAlign w:val="center"/>
          </w:tcPr>
          <w:p w14:paraId="7FABA97A" w14:textId="77777777" w:rsidR="00922808" w:rsidRPr="00922808" w:rsidRDefault="00922808" w:rsidP="00922808">
            <w:pPr>
              <w:tabs>
                <w:tab w:val="left" w:pos="284"/>
              </w:tabs>
              <w:rPr>
                <w:rFonts w:ascii="Tahoma" w:hAnsi="Tahoma" w:cs="Tahoma"/>
                <w:bCs/>
                <w:iCs/>
                <w:color w:val="FFFFFF"/>
                <w:sz w:val="28"/>
                <w:szCs w:val="22"/>
              </w:rPr>
            </w:pPr>
            <w:r w:rsidRPr="00922808">
              <w:rPr>
                <w:rFonts w:ascii="Tahoma" w:hAnsi="Tahoma" w:cs="Tahoma"/>
                <w:bCs/>
                <w:iCs/>
                <w:color w:val="FFFFFF"/>
                <w:sz w:val="28"/>
                <w:szCs w:val="22"/>
              </w:rPr>
              <w:t>3.</w:t>
            </w:r>
          </w:p>
        </w:tc>
        <w:tc>
          <w:tcPr>
            <w:tcW w:w="4653" w:type="pct"/>
            <w:gridSpan w:val="5"/>
            <w:shd w:val="clear" w:color="auto" w:fill="808080"/>
            <w:vAlign w:val="center"/>
          </w:tcPr>
          <w:p w14:paraId="7791B756" w14:textId="77777777" w:rsidR="00922808" w:rsidRPr="00922808" w:rsidRDefault="00922808" w:rsidP="00922808">
            <w:pPr>
              <w:tabs>
                <w:tab w:val="left" w:pos="284"/>
              </w:tabs>
              <w:rPr>
                <w:rFonts w:ascii="Tahoma" w:hAnsi="Tahoma" w:cs="Tahoma"/>
                <w:bCs/>
                <w:iCs/>
                <w:color w:val="FFFFFF"/>
                <w:sz w:val="28"/>
                <w:szCs w:val="22"/>
              </w:rPr>
            </w:pPr>
            <w:r w:rsidRPr="00922808">
              <w:rPr>
                <w:rFonts w:ascii="Tahoma" w:hAnsi="Tahoma" w:cs="Tahoma"/>
                <w:bCs/>
                <w:iCs/>
                <w:color w:val="FFFFFF"/>
                <w:sz w:val="28"/>
                <w:szCs w:val="22"/>
              </w:rPr>
              <w:t>Банковские услуги, получаемые Клиентом в рамках Программы</w:t>
            </w:r>
          </w:p>
        </w:tc>
      </w:tr>
      <w:tr w:rsidR="00922808" w:rsidRPr="00922808" w14:paraId="380122BB" w14:textId="77777777" w:rsidTr="00922808">
        <w:tc>
          <w:tcPr>
            <w:tcW w:w="347" w:type="pct"/>
            <w:shd w:val="clear" w:color="auto" w:fill="808080"/>
            <w:vAlign w:val="center"/>
          </w:tcPr>
          <w:p w14:paraId="4759A894"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3.1.</w:t>
            </w:r>
          </w:p>
        </w:tc>
        <w:tc>
          <w:tcPr>
            <w:tcW w:w="4653" w:type="pct"/>
            <w:gridSpan w:val="5"/>
            <w:shd w:val="clear" w:color="auto" w:fill="808080"/>
            <w:vAlign w:val="center"/>
          </w:tcPr>
          <w:p w14:paraId="55A50D6E" w14:textId="77777777" w:rsidR="00922808" w:rsidRPr="00922808" w:rsidRDefault="00922808" w:rsidP="00922808">
            <w:pPr>
              <w:tabs>
                <w:tab w:val="left" w:pos="284"/>
              </w:tabs>
              <w:rPr>
                <w:rFonts w:ascii="Tahoma" w:hAnsi="Tahoma" w:cs="Tahoma"/>
                <w:b/>
                <w:bCs/>
                <w:iCs/>
                <w:color w:val="FFFFFF"/>
                <w:sz w:val="22"/>
                <w:szCs w:val="22"/>
                <w:vertAlign w:val="superscript"/>
              </w:rPr>
            </w:pPr>
            <w:r w:rsidRPr="00922808">
              <w:rPr>
                <w:rFonts w:ascii="Tahoma" w:hAnsi="Tahoma" w:cs="Tahoma"/>
                <w:b/>
                <w:bCs/>
                <w:iCs/>
                <w:color w:val="FFFFFF"/>
                <w:sz w:val="22"/>
                <w:szCs w:val="22"/>
              </w:rPr>
              <w:t>Накопительный счет</w:t>
            </w:r>
            <w:r w:rsidRPr="00922808">
              <w:rPr>
                <w:rFonts w:ascii="Tahoma" w:hAnsi="Tahoma" w:cs="Tahoma"/>
                <w:bCs/>
                <w:iCs/>
                <w:color w:val="FFFFFF"/>
                <w:sz w:val="22"/>
                <w:szCs w:val="22"/>
                <w:vertAlign w:val="superscript"/>
              </w:rPr>
              <w:t>7,8</w:t>
            </w:r>
            <w:r w:rsidRPr="00922808">
              <w:rPr>
                <w:rFonts w:ascii="Tahoma" w:hAnsi="Tahoma" w:cs="Tahoma"/>
                <w:b/>
                <w:bCs/>
                <w:iCs/>
                <w:color w:val="FFFFFF"/>
                <w:sz w:val="22"/>
                <w:szCs w:val="22"/>
                <w:vertAlign w:val="superscript"/>
              </w:rPr>
              <w:t xml:space="preserve">  </w:t>
            </w:r>
            <w:r w:rsidRPr="00922808">
              <w:rPr>
                <w:rFonts w:ascii="Tahoma" w:hAnsi="Tahoma" w:cs="Tahoma"/>
                <w:bCs/>
                <w:iCs/>
                <w:color w:val="FFFFFF"/>
                <w:sz w:val="22"/>
                <w:szCs w:val="22"/>
              </w:rPr>
              <w:t>(является текущим банковским счетом), далее – Накопительный счет</w:t>
            </w:r>
          </w:p>
        </w:tc>
      </w:tr>
      <w:tr w:rsidR="00922808" w:rsidRPr="00922808" w14:paraId="7E050389" w14:textId="77777777" w:rsidTr="005A7C26">
        <w:tc>
          <w:tcPr>
            <w:tcW w:w="347" w:type="pct"/>
            <w:shd w:val="clear" w:color="auto" w:fill="auto"/>
            <w:vAlign w:val="center"/>
          </w:tcPr>
          <w:p w14:paraId="1E9E3DBF" w14:textId="77777777" w:rsidR="00922808" w:rsidRPr="00922808" w:rsidRDefault="00922808" w:rsidP="00922808">
            <w:pPr>
              <w:tabs>
                <w:tab w:val="left" w:pos="284"/>
              </w:tabs>
              <w:rPr>
                <w:rFonts w:ascii="Tahoma" w:hAnsi="Tahoma" w:cs="Tahoma"/>
                <w:b/>
                <w:bCs/>
                <w:iCs/>
                <w:color w:val="000000"/>
                <w:sz w:val="22"/>
                <w:szCs w:val="22"/>
              </w:rPr>
            </w:pPr>
            <w:r w:rsidRPr="00922808">
              <w:rPr>
                <w:rFonts w:ascii="Tahoma" w:hAnsi="Tahoma" w:cs="Tahoma"/>
                <w:b/>
                <w:bCs/>
                <w:iCs/>
                <w:color w:val="000000"/>
                <w:sz w:val="22"/>
                <w:szCs w:val="22"/>
              </w:rPr>
              <w:t>3.1.1.</w:t>
            </w:r>
          </w:p>
        </w:tc>
        <w:tc>
          <w:tcPr>
            <w:tcW w:w="4653" w:type="pct"/>
            <w:gridSpan w:val="5"/>
            <w:shd w:val="clear" w:color="auto" w:fill="auto"/>
            <w:vAlign w:val="center"/>
          </w:tcPr>
          <w:p w14:paraId="37B38BC0" w14:textId="77777777" w:rsidR="00922808" w:rsidRPr="00922808" w:rsidRDefault="00922808" w:rsidP="00922808">
            <w:pPr>
              <w:tabs>
                <w:tab w:val="left" w:pos="284"/>
              </w:tabs>
              <w:rPr>
                <w:rFonts w:ascii="Tahoma" w:hAnsi="Tahoma" w:cs="Tahoma"/>
                <w:b/>
                <w:bCs/>
                <w:iCs/>
                <w:sz w:val="22"/>
                <w:szCs w:val="22"/>
              </w:rPr>
            </w:pPr>
            <w:r w:rsidRPr="00922808">
              <w:rPr>
                <w:rFonts w:ascii="Tahoma" w:hAnsi="Tahoma" w:cs="Tahoma"/>
                <w:b/>
                <w:bCs/>
                <w:iCs/>
                <w:color w:val="000000"/>
                <w:sz w:val="22"/>
                <w:szCs w:val="22"/>
              </w:rPr>
              <w:t>Накопительный счет в рублях</w:t>
            </w:r>
          </w:p>
        </w:tc>
      </w:tr>
      <w:tr w:rsidR="00922808" w:rsidRPr="00922808" w14:paraId="6DA7BEA8" w14:textId="77777777" w:rsidTr="005A7C26">
        <w:tc>
          <w:tcPr>
            <w:tcW w:w="347" w:type="pct"/>
            <w:shd w:val="clear" w:color="auto" w:fill="auto"/>
            <w:vAlign w:val="center"/>
          </w:tcPr>
          <w:p w14:paraId="2165A737"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3.1.1.1.</w:t>
            </w:r>
          </w:p>
        </w:tc>
        <w:tc>
          <w:tcPr>
            <w:tcW w:w="1757" w:type="pct"/>
            <w:shd w:val="clear" w:color="auto" w:fill="auto"/>
            <w:vAlign w:val="center"/>
          </w:tcPr>
          <w:p w14:paraId="53CCB9FA"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 xml:space="preserve">валюта Накопительного счета </w:t>
            </w:r>
          </w:p>
        </w:tc>
        <w:tc>
          <w:tcPr>
            <w:tcW w:w="2896" w:type="pct"/>
            <w:gridSpan w:val="4"/>
            <w:shd w:val="clear" w:color="auto" w:fill="auto"/>
            <w:vAlign w:val="center"/>
          </w:tcPr>
          <w:p w14:paraId="70079338"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sz w:val="22"/>
                <w:szCs w:val="22"/>
              </w:rPr>
              <w:t>Российский рубль</w:t>
            </w:r>
          </w:p>
        </w:tc>
      </w:tr>
      <w:tr w:rsidR="00922808" w:rsidRPr="00922808" w14:paraId="2369A8A1" w14:textId="77777777" w:rsidTr="005A7C26">
        <w:tc>
          <w:tcPr>
            <w:tcW w:w="347" w:type="pct"/>
            <w:shd w:val="clear" w:color="auto" w:fill="auto"/>
            <w:vAlign w:val="center"/>
          </w:tcPr>
          <w:p w14:paraId="574A21D9"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3.1.1.2.</w:t>
            </w:r>
          </w:p>
        </w:tc>
        <w:tc>
          <w:tcPr>
            <w:tcW w:w="1757" w:type="pct"/>
            <w:shd w:val="clear" w:color="auto" w:fill="auto"/>
            <w:vAlign w:val="center"/>
          </w:tcPr>
          <w:p w14:paraId="5201748C"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открытие и обслуживание Накопительного счета</w:t>
            </w:r>
          </w:p>
        </w:tc>
        <w:tc>
          <w:tcPr>
            <w:tcW w:w="2896" w:type="pct"/>
            <w:gridSpan w:val="4"/>
            <w:shd w:val="clear" w:color="auto" w:fill="auto"/>
            <w:vAlign w:val="center"/>
          </w:tcPr>
          <w:p w14:paraId="1CE0FC39" w14:textId="77777777" w:rsidR="00922808" w:rsidRPr="00922808" w:rsidRDefault="00922808" w:rsidP="00922808">
            <w:pPr>
              <w:tabs>
                <w:tab w:val="left" w:pos="284"/>
              </w:tabs>
              <w:jc w:val="center"/>
              <w:rPr>
                <w:rFonts w:ascii="Tahoma" w:hAnsi="Tahoma" w:cs="Tahoma"/>
                <w:b/>
                <w:bCs/>
                <w:iCs/>
                <w:color w:val="000000"/>
                <w:sz w:val="22"/>
                <w:szCs w:val="22"/>
              </w:rPr>
            </w:pPr>
            <w:r w:rsidRPr="00922808">
              <w:rPr>
                <w:rFonts w:ascii="Tahoma" w:hAnsi="Tahoma" w:cs="Tahoma"/>
                <w:bCs/>
                <w:iCs/>
                <w:color w:val="000000"/>
                <w:sz w:val="22"/>
                <w:szCs w:val="22"/>
              </w:rPr>
              <w:t xml:space="preserve">Открытие одного Накопительного счета в валюте российский рубль: </w:t>
            </w:r>
            <w:r w:rsidRPr="00922808">
              <w:rPr>
                <w:rFonts w:ascii="Tahoma" w:hAnsi="Tahoma" w:cs="Tahoma"/>
                <w:b/>
                <w:bCs/>
                <w:iCs/>
                <w:color w:val="000000"/>
                <w:sz w:val="22"/>
                <w:szCs w:val="22"/>
              </w:rPr>
              <w:t>БЕСПЛАТНО.</w:t>
            </w:r>
          </w:p>
          <w:p w14:paraId="7E38D69E"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color w:val="000000"/>
                <w:sz w:val="22"/>
                <w:szCs w:val="22"/>
              </w:rPr>
              <w:t xml:space="preserve">За каждый последующий Накопительный счет: </w:t>
            </w:r>
            <w:r w:rsidRPr="00922808">
              <w:rPr>
                <w:rFonts w:ascii="Tahoma" w:hAnsi="Tahoma" w:cs="Tahoma"/>
                <w:b/>
                <w:bCs/>
                <w:iCs/>
                <w:color w:val="000000"/>
                <w:sz w:val="22"/>
                <w:szCs w:val="22"/>
              </w:rPr>
              <w:t>2 000</w:t>
            </w:r>
            <w:r w:rsidRPr="00922808">
              <w:rPr>
                <w:rFonts w:ascii="Tahoma" w:hAnsi="Tahoma" w:cs="Tahoma"/>
                <w:bCs/>
                <w:iCs/>
                <w:color w:val="000000"/>
                <w:sz w:val="22"/>
                <w:szCs w:val="22"/>
              </w:rPr>
              <w:t xml:space="preserve"> </w:t>
            </w:r>
            <w:r w:rsidRPr="00922808">
              <w:rPr>
                <w:rFonts w:ascii="Tahoma" w:hAnsi="Tahoma" w:cs="Tahoma"/>
                <w:b/>
                <w:bCs/>
                <w:iCs/>
                <w:color w:val="000000"/>
                <w:sz w:val="22"/>
                <w:szCs w:val="22"/>
              </w:rPr>
              <w:t>рублей</w:t>
            </w:r>
            <w:r w:rsidRPr="00922808">
              <w:rPr>
                <w:rFonts w:ascii="Tahoma" w:hAnsi="Tahoma" w:cs="Tahoma"/>
                <w:bCs/>
                <w:iCs/>
                <w:color w:val="000000"/>
                <w:sz w:val="22"/>
                <w:szCs w:val="22"/>
              </w:rPr>
              <w:t xml:space="preserve"> (единовременно при открытии) </w:t>
            </w:r>
          </w:p>
          <w:p w14:paraId="658E6947" w14:textId="77777777" w:rsidR="00922808" w:rsidRPr="00922808" w:rsidRDefault="00922808" w:rsidP="00922808">
            <w:pPr>
              <w:tabs>
                <w:tab w:val="left" w:pos="284"/>
              </w:tabs>
              <w:jc w:val="center"/>
              <w:rPr>
                <w:rFonts w:ascii="Tahoma" w:hAnsi="Tahoma" w:cs="Tahoma"/>
                <w:b/>
                <w:bCs/>
                <w:iCs/>
                <w:color w:val="000000"/>
                <w:sz w:val="22"/>
                <w:szCs w:val="22"/>
                <w:lang w:val="en-US"/>
              </w:rPr>
            </w:pPr>
            <w:r w:rsidRPr="00922808">
              <w:rPr>
                <w:rFonts w:ascii="Tahoma" w:hAnsi="Tahoma" w:cs="Tahoma"/>
                <w:bCs/>
                <w:iCs/>
                <w:color w:val="000000"/>
                <w:sz w:val="22"/>
                <w:szCs w:val="22"/>
              </w:rPr>
              <w:t xml:space="preserve">Обслуживание Накопительных счетов: </w:t>
            </w:r>
            <w:r w:rsidRPr="00922808">
              <w:rPr>
                <w:rFonts w:ascii="Tahoma" w:hAnsi="Tahoma" w:cs="Tahoma"/>
                <w:b/>
                <w:bCs/>
                <w:iCs/>
                <w:color w:val="000000"/>
                <w:sz w:val="22"/>
                <w:szCs w:val="22"/>
              </w:rPr>
              <w:t>БЕСПЛАТНО</w:t>
            </w:r>
          </w:p>
        </w:tc>
      </w:tr>
      <w:tr w:rsidR="00922808" w:rsidRPr="00922808" w14:paraId="71849079" w14:textId="77777777" w:rsidTr="005A7C26">
        <w:tc>
          <w:tcPr>
            <w:tcW w:w="347" w:type="pct"/>
            <w:shd w:val="clear" w:color="auto" w:fill="auto"/>
            <w:vAlign w:val="center"/>
          </w:tcPr>
          <w:p w14:paraId="2776E82E"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3.1.1.3.</w:t>
            </w:r>
          </w:p>
        </w:tc>
        <w:tc>
          <w:tcPr>
            <w:tcW w:w="1757" w:type="pct"/>
            <w:shd w:val="clear" w:color="auto" w:fill="auto"/>
            <w:vAlign w:val="center"/>
          </w:tcPr>
          <w:p w14:paraId="17B5EF53"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процентная ставка на Средний остаток</w:t>
            </w:r>
            <w:r w:rsidRPr="00922808">
              <w:rPr>
                <w:rFonts w:ascii="Tahoma" w:hAnsi="Tahoma" w:cs="Tahoma"/>
                <w:bCs/>
                <w:iCs/>
                <w:color w:val="000000"/>
                <w:sz w:val="22"/>
                <w:szCs w:val="22"/>
                <w:vertAlign w:val="superscript"/>
              </w:rPr>
              <w:t xml:space="preserve">9 </w:t>
            </w:r>
            <w:r w:rsidRPr="00922808">
              <w:rPr>
                <w:rFonts w:ascii="Tahoma" w:hAnsi="Tahoma" w:cs="Tahoma"/>
                <w:bCs/>
                <w:iCs/>
                <w:color w:val="000000"/>
                <w:sz w:val="22"/>
                <w:szCs w:val="22"/>
              </w:rPr>
              <w:t>денежных средств по Накопительному счету в рублях, % годовых</w:t>
            </w:r>
          </w:p>
        </w:tc>
        <w:tc>
          <w:tcPr>
            <w:tcW w:w="2896" w:type="pct"/>
            <w:gridSpan w:val="4"/>
            <w:shd w:val="clear" w:color="auto" w:fill="auto"/>
            <w:vAlign w:val="center"/>
          </w:tcPr>
          <w:p w14:paraId="39AB08FC"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
                <w:bCs/>
                <w:iCs/>
                <w:color w:val="000000"/>
                <w:sz w:val="22"/>
                <w:szCs w:val="22"/>
                <w:lang w:val="en-US"/>
              </w:rPr>
              <w:t>1</w:t>
            </w:r>
            <w:r w:rsidRPr="00922808">
              <w:rPr>
                <w:rFonts w:ascii="Tahoma" w:hAnsi="Tahoma" w:cs="Tahoma"/>
                <w:b/>
                <w:bCs/>
                <w:iCs/>
                <w:color w:val="000000"/>
                <w:sz w:val="22"/>
                <w:szCs w:val="22"/>
              </w:rPr>
              <w:t>8%</w:t>
            </w:r>
          </w:p>
        </w:tc>
      </w:tr>
      <w:tr w:rsidR="00922808" w:rsidRPr="00922808" w14:paraId="12B64C4A" w14:textId="77777777" w:rsidTr="005A7C26">
        <w:tc>
          <w:tcPr>
            <w:tcW w:w="347" w:type="pct"/>
            <w:shd w:val="clear" w:color="auto" w:fill="auto"/>
            <w:vAlign w:val="center"/>
          </w:tcPr>
          <w:p w14:paraId="05A76580" w14:textId="77777777" w:rsidR="00922808" w:rsidRPr="00922808" w:rsidRDefault="00922808" w:rsidP="00922808">
            <w:pPr>
              <w:tabs>
                <w:tab w:val="left" w:pos="284"/>
              </w:tabs>
              <w:rPr>
                <w:rFonts w:ascii="Tahoma" w:hAnsi="Tahoma" w:cs="Tahoma"/>
                <w:b/>
                <w:bCs/>
                <w:iCs/>
                <w:color w:val="000000"/>
                <w:sz w:val="22"/>
                <w:szCs w:val="22"/>
              </w:rPr>
            </w:pPr>
            <w:r w:rsidRPr="00922808">
              <w:rPr>
                <w:rFonts w:ascii="Tahoma" w:hAnsi="Tahoma" w:cs="Tahoma"/>
                <w:b/>
                <w:bCs/>
                <w:iCs/>
                <w:color w:val="000000"/>
                <w:sz w:val="22"/>
                <w:szCs w:val="22"/>
              </w:rPr>
              <w:t>3.1.2.</w:t>
            </w:r>
          </w:p>
        </w:tc>
        <w:tc>
          <w:tcPr>
            <w:tcW w:w="4653" w:type="pct"/>
            <w:gridSpan w:val="5"/>
            <w:shd w:val="clear" w:color="auto" w:fill="auto"/>
            <w:vAlign w:val="center"/>
          </w:tcPr>
          <w:p w14:paraId="01ED9694" w14:textId="77777777" w:rsidR="00922808" w:rsidRPr="00922808" w:rsidRDefault="00922808" w:rsidP="00922808">
            <w:pPr>
              <w:tabs>
                <w:tab w:val="left" w:pos="284"/>
              </w:tabs>
              <w:rPr>
                <w:rFonts w:ascii="Tahoma" w:hAnsi="Tahoma" w:cs="Tahoma"/>
                <w:b/>
                <w:bCs/>
                <w:iCs/>
                <w:color w:val="000000"/>
                <w:sz w:val="22"/>
                <w:szCs w:val="22"/>
              </w:rPr>
            </w:pPr>
            <w:r w:rsidRPr="00922808">
              <w:rPr>
                <w:rFonts w:ascii="Tahoma" w:hAnsi="Tahoma" w:cs="Tahoma"/>
                <w:b/>
                <w:bCs/>
                <w:iCs/>
                <w:color w:val="000000"/>
                <w:sz w:val="22"/>
                <w:szCs w:val="22"/>
              </w:rPr>
              <w:t>Накопительный счет в юанях</w:t>
            </w:r>
          </w:p>
        </w:tc>
      </w:tr>
      <w:tr w:rsidR="00922808" w:rsidRPr="00922808" w14:paraId="4FC90656" w14:textId="77777777" w:rsidTr="005A7C26">
        <w:tc>
          <w:tcPr>
            <w:tcW w:w="347" w:type="pct"/>
            <w:shd w:val="clear" w:color="auto" w:fill="auto"/>
            <w:vAlign w:val="center"/>
          </w:tcPr>
          <w:p w14:paraId="76995FEA"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3.1.2.1.</w:t>
            </w:r>
          </w:p>
        </w:tc>
        <w:tc>
          <w:tcPr>
            <w:tcW w:w="1768" w:type="pct"/>
            <w:gridSpan w:val="2"/>
            <w:shd w:val="clear" w:color="auto" w:fill="auto"/>
            <w:vAlign w:val="center"/>
          </w:tcPr>
          <w:p w14:paraId="75018B37"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 xml:space="preserve">валюта Накопительного счета </w:t>
            </w:r>
          </w:p>
        </w:tc>
        <w:tc>
          <w:tcPr>
            <w:tcW w:w="2885" w:type="pct"/>
            <w:gridSpan w:val="3"/>
            <w:shd w:val="clear" w:color="auto" w:fill="auto"/>
            <w:vAlign w:val="center"/>
          </w:tcPr>
          <w:p w14:paraId="5746BCE2"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sz w:val="22"/>
                <w:szCs w:val="22"/>
              </w:rPr>
              <w:t>Юань</w:t>
            </w:r>
            <w:r w:rsidRPr="00922808">
              <w:rPr>
                <w:rFonts w:ascii="Tahoma" w:hAnsi="Tahoma" w:cs="Tahoma"/>
                <w:bCs/>
                <w:iCs/>
                <w:sz w:val="22"/>
                <w:szCs w:val="22"/>
                <w:vertAlign w:val="superscript"/>
              </w:rPr>
              <w:t>10</w:t>
            </w:r>
          </w:p>
        </w:tc>
      </w:tr>
      <w:tr w:rsidR="00922808" w:rsidRPr="00922808" w14:paraId="47C18FED" w14:textId="77777777" w:rsidTr="005A7C26">
        <w:tc>
          <w:tcPr>
            <w:tcW w:w="347" w:type="pct"/>
            <w:shd w:val="clear" w:color="auto" w:fill="auto"/>
            <w:vAlign w:val="center"/>
          </w:tcPr>
          <w:p w14:paraId="6E050215"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3.1.2.2.</w:t>
            </w:r>
          </w:p>
        </w:tc>
        <w:tc>
          <w:tcPr>
            <w:tcW w:w="1768" w:type="pct"/>
            <w:gridSpan w:val="2"/>
            <w:shd w:val="clear" w:color="auto" w:fill="auto"/>
            <w:vAlign w:val="center"/>
          </w:tcPr>
          <w:p w14:paraId="512DCE99"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открытие и обслуживание Накопительного счета</w:t>
            </w:r>
          </w:p>
        </w:tc>
        <w:tc>
          <w:tcPr>
            <w:tcW w:w="2885" w:type="pct"/>
            <w:gridSpan w:val="3"/>
            <w:shd w:val="clear" w:color="auto" w:fill="auto"/>
            <w:vAlign w:val="center"/>
          </w:tcPr>
          <w:p w14:paraId="655B9DDE" w14:textId="77777777" w:rsidR="00922808" w:rsidRPr="00922808" w:rsidRDefault="00922808" w:rsidP="00922808">
            <w:pPr>
              <w:tabs>
                <w:tab w:val="left" w:pos="284"/>
              </w:tabs>
              <w:jc w:val="center"/>
              <w:rPr>
                <w:rFonts w:ascii="Tahoma" w:hAnsi="Tahoma" w:cs="Tahoma"/>
                <w:b/>
                <w:bCs/>
                <w:iCs/>
                <w:color w:val="000000"/>
                <w:sz w:val="22"/>
                <w:szCs w:val="22"/>
              </w:rPr>
            </w:pPr>
            <w:r w:rsidRPr="00922808">
              <w:rPr>
                <w:rFonts w:ascii="Tahoma" w:hAnsi="Tahoma" w:cs="Tahoma"/>
                <w:bCs/>
                <w:iCs/>
                <w:color w:val="000000"/>
                <w:sz w:val="22"/>
                <w:szCs w:val="22"/>
              </w:rPr>
              <w:t>Открытие одного Накопительного счета в валюте юань</w:t>
            </w:r>
            <w:r w:rsidRPr="00922808">
              <w:rPr>
                <w:rFonts w:ascii="Tahoma" w:hAnsi="Tahoma" w:cs="Tahoma"/>
                <w:bCs/>
                <w:iCs/>
                <w:color w:val="000000"/>
                <w:sz w:val="22"/>
                <w:szCs w:val="22"/>
                <w:vertAlign w:val="superscript"/>
              </w:rPr>
              <w:t>10</w:t>
            </w:r>
            <w:r w:rsidRPr="00922808">
              <w:rPr>
                <w:rFonts w:ascii="Tahoma" w:hAnsi="Tahoma" w:cs="Tahoma"/>
                <w:bCs/>
                <w:iCs/>
                <w:color w:val="000000"/>
                <w:sz w:val="22"/>
                <w:szCs w:val="22"/>
              </w:rPr>
              <w:t xml:space="preserve">: </w:t>
            </w:r>
            <w:r w:rsidRPr="00922808">
              <w:rPr>
                <w:rFonts w:ascii="Tahoma" w:hAnsi="Tahoma" w:cs="Tahoma"/>
                <w:b/>
                <w:bCs/>
                <w:iCs/>
                <w:color w:val="000000"/>
                <w:sz w:val="22"/>
                <w:szCs w:val="22"/>
              </w:rPr>
              <w:t>БЕСПЛАТНО.</w:t>
            </w:r>
          </w:p>
          <w:p w14:paraId="06C44922"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color w:val="000000"/>
                <w:sz w:val="22"/>
                <w:szCs w:val="22"/>
              </w:rPr>
              <w:t xml:space="preserve">За каждый последующий Накопительный счет: </w:t>
            </w:r>
            <w:r w:rsidRPr="00922808">
              <w:rPr>
                <w:rFonts w:ascii="Tahoma" w:hAnsi="Tahoma" w:cs="Tahoma"/>
                <w:b/>
                <w:bCs/>
                <w:iCs/>
                <w:color w:val="000000"/>
                <w:sz w:val="22"/>
                <w:szCs w:val="22"/>
              </w:rPr>
              <w:t>2 000</w:t>
            </w:r>
            <w:r w:rsidRPr="00922808">
              <w:rPr>
                <w:rFonts w:ascii="Tahoma" w:hAnsi="Tahoma" w:cs="Tahoma"/>
                <w:bCs/>
                <w:iCs/>
                <w:color w:val="000000"/>
                <w:sz w:val="22"/>
                <w:szCs w:val="22"/>
              </w:rPr>
              <w:t xml:space="preserve"> </w:t>
            </w:r>
            <w:r w:rsidRPr="00922808">
              <w:rPr>
                <w:rFonts w:ascii="Tahoma" w:hAnsi="Tahoma" w:cs="Tahoma"/>
                <w:b/>
                <w:bCs/>
                <w:iCs/>
                <w:color w:val="000000"/>
                <w:sz w:val="22"/>
                <w:szCs w:val="22"/>
              </w:rPr>
              <w:t>рублей</w:t>
            </w:r>
            <w:r w:rsidRPr="00922808">
              <w:rPr>
                <w:rFonts w:ascii="Tahoma" w:hAnsi="Tahoma" w:cs="Tahoma"/>
                <w:bCs/>
                <w:iCs/>
                <w:color w:val="000000"/>
                <w:sz w:val="22"/>
                <w:szCs w:val="22"/>
              </w:rPr>
              <w:t xml:space="preserve"> (единовременно при открытии)</w:t>
            </w:r>
          </w:p>
          <w:p w14:paraId="33365E04"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color w:val="000000"/>
                <w:sz w:val="22"/>
                <w:szCs w:val="22"/>
              </w:rPr>
              <w:t xml:space="preserve">Обслуживание Накопительных счетов: </w:t>
            </w:r>
            <w:r w:rsidRPr="00922808">
              <w:rPr>
                <w:rFonts w:ascii="Tahoma" w:hAnsi="Tahoma" w:cs="Tahoma"/>
                <w:b/>
                <w:bCs/>
                <w:iCs/>
                <w:color w:val="000000"/>
                <w:sz w:val="22"/>
                <w:szCs w:val="22"/>
              </w:rPr>
              <w:t>БЕСПЛАТНО</w:t>
            </w:r>
          </w:p>
        </w:tc>
      </w:tr>
      <w:tr w:rsidR="00922808" w:rsidRPr="00922808" w14:paraId="346678CE" w14:textId="77777777" w:rsidTr="005A7C26">
        <w:trPr>
          <w:trHeight w:val="797"/>
        </w:trPr>
        <w:tc>
          <w:tcPr>
            <w:tcW w:w="347" w:type="pct"/>
            <w:shd w:val="clear" w:color="auto" w:fill="auto"/>
            <w:vAlign w:val="center"/>
          </w:tcPr>
          <w:p w14:paraId="67BB5415"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3.1.2.3.</w:t>
            </w:r>
          </w:p>
        </w:tc>
        <w:tc>
          <w:tcPr>
            <w:tcW w:w="1768" w:type="pct"/>
            <w:gridSpan w:val="2"/>
            <w:shd w:val="clear" w:color="auto" w:fill="auto"/>
            <w:vAlign w:val="center"/>
          </w:tcPr>
          <w:p w14:paraId="1895936E" w14:textId="77777777" w:rsidR="00922808" w:rsidRPr="00922808" w:rsidRDefault="00922808" w:rsidP="00922808">
            <w:pPr>
              <w:tabs>
                <w:tab w:val="left" w:pos="284"/>
              </w:tabs>
              <w:rPr>
                <w:rFonts w:ascii="Tahoma" w:hAnsi="Tahoma" w:cs="Tahoma"/>
                <w:bCs/>
                <w:iCs/>
                <w:sz w:val="22"/>
                <w:szCs w:val="22"/>
              </w:rPr>
            </w:pPr>
            <w:r w:rsidRPr="00922808">
              <w:rPr>
                <w:rFonts w:ascii="Tahoma" w:hAnsi="Tahoma" w:cs="Tahoma"/>
                <w:bCs/>
                <w:iCs/>
                <w:color w:val="000000"/>
                <w:sz w:val="22"/>
                <w:szCs w:val="22"/>
              </w:rPr>
              <w:t>процентная ставка на Средний остаток</w:t>
            </w:r>
            <w:r w:rsidRPr="00922808">
              <w:rPr>
                <w:rFonts w:ascii="Tahoma" w:hAnsi="Tahoma" w:cs="Tahoma"/>
                <w:bCs/>
                <w:iCs/>
                <w:color w:val="000000"/>
                <w:sz w:val="22"/>
                <w:szCs w:val="22"/>
                <w:vertAlign w:val="superscript"/>
              </w:rPr>
              <w:t xml:space="preserve">9 </w:t>
            </w:r>
            <w:r w:rsidRPr="00922808">
              <w:rPr>
                <w:rFonts w:ascii="Tahoma" w:hAnsi="Tahoma" w:cs="Tahoma"/>
                <w:bCs/>
                <w:iCs/>
                <w:color w:val="000000"/>
                <w:sz w:val="22"/>
                <w:szCs w:val="22"/>
              </w:rPr>
              <w:t>денежных средств по Накопительному счету в юанях, % годовых</w:t>
            </w:r>
            <w:r w:rsidRPr="00922808" w:rsidDel="009E1C0A">
              <w:rPr>
                <w:rFonts w:ascii="Tahoma" w:hAnsi="Tahoma" w:cs="Tahoma"/>
                <w:bCs/>
                <w:iCs/>
                <w:color w:val="000000"/>
                <w:sz w:val="22"/>
                <w:szCs w:val="22"/>
              </w:rPr>
              <w:t xml:space="preserve"> </w:t>
            </w:r>
          </w:p>
        </w:tc>
        <w:tc>
          <w:tcPr>
            <w:tcW w:w="2885" w:type="pct"/>
            <w:gridSpan w:val="3"/>
            <w:shd w:val="clear" w:color="auto" w:fill="auto"/>
            <w:vAlign w:val="center"/>
          </w:tcPr>
          <w:p w14:paraId="3D45A8B8"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
                <w:bCs/>
                <w:iCs/>
                <w:color w:val="000000"/>
                <w:sz w:val="22"/>
                <w:szCs w:val="22"/>
              </w:rPr>
              <w:t>0,5%</w:t>
            </w:r>
          </w:p>
        </w:tc>
      </w:tr>
      <w:tr w:rsidR="00922808" w:rsidRPr="00922808" w14:paraId="62DA3FDD" w14:textId="77777777" w:rsidTr="005A7C26">
        <w:trPr>
          <w:trHeight w:val="654"/>
        </w:trPr>
        <w:tc>
          <w:tcPr>
            <w:tcW w:w="347" w:type="pct"/>
            <w:shd w:val="clear" w:color="auto" w:fill="auto"/>
            <w:vAlign w:val="center"/>
          </w:tcPr>
          <w:p w14:paraId="5A354822"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3.1.3</w:t>
            </w:r>
          </w:p>
        </w:tc>
        <w:tc>
          <w:tcPr>
            <w:tcW w:w="1768" w:type="pct"/>
            <w:gridSpan w:val="2"/>
            <w:shd w:val="clear" w:color="auto" w:fill="auto"/>
            <w:vAlign w:val="center"/>
          </w:tcPr>
          <w:p w14:paraId="491D1D43"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процентная ставка на остаток</w:t>
            </w:r>
            <w:r w:rsidRPr="00922808">
              <w:rPr>
                <w:rFonts w:ascii="Tahoma" w:hAnsi="Tahoma" w:cs="Tahoma"/>
                <w:bCs/>
                <w:iCs/>
                <w:color w:val="000000"/>
                <w:sz w:val="22"/>
                <w:szCs w:val="22"/>
                <w:vertAlign w:val="superscript"/>
              </w:rPr>
              <w:t xml:space="preserve">11 </w:t>
            </w:r>
            <w:r w:rsidRPr="00922808">
              <w:rPr>
                <w:rFonts w:ascii="Tahoma" w:hAnsi="Tahoma" w:cs="Tahoma"/>
                <w:bCs/>
                <w:iCs/>
                <w:color w:val="000000"/>
                <w:sz w:val="22"/>
                <w:szCs w:val="22"/>
              </w:rPr>
              <w:t>денежных средств в валютах, отличных от валют, указанных п.3.1.1. и 3.1.2., % годовых</w:t>
            </w:r>
          </w:p>
        </w:tc>
        <w:tc>
          <w:tcPr>
            <w:tcW w:w="2885" w:type="pct"/>
            <w:gridSpan w:val="3"/>
            <w:shd w:val="clear" w:color="auto" w:fill="auto"/>
            <w:vAlign w:val="center"/>
          </w:tcPr>
          <w:p w14:paraId="7CF8762B"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color w:val="000000"/>
                <w:sz w:val="22"/>
                <w:szCs w:val="22"/>
              </w:rPr>
              <w:t>Не предусмотрено</w:t>
            </w:r>
          </w:p>
        </w:tc>
      </w:tr>
      <w:tr w:rsidR="00922808" w:rsidRPr="00922808" w14:paraId="1FC4BB51" w14:textId="77777777" w:rsidTr="00922808">
        <w:tc>
          <w:tcPr>
            <w:tcW w:w="347" w:type="pct"/>
            <w:shd w:val="clear" w:color="auto" w:fill="808080"/>
            <w:vAlign w:val="center"/>
          </w:tcPr>
          <w:p w14:paraId="69D0DF05"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3.2.</w:t>
            </w:r>
          </w:p>
        </w:tc>
        <w:tc>
          <w:tcPr>
            <w:tcW w:w="4653" w:type="pct"/>
            <w:gridSpan w:val="5"/>
            <w:shd w:val="clear" w:color="auto" w:fill="808080"/>
            <w:vAlign w:val="center"/>
          </w:tcPr>
          <w:p w14:paraId="0D08A593"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Карта «Статус»</w:t>
            </w:r>
            <w:r w:rsidRPr="00922808" w:rsidDel="000F44DA">
              <w:rPr>
                <w:rFonts w:ascii="Tahoma" w:hAnsi="Tahoma" w:cs="Tahoma"/>
                <w:b/>
                <w:bCs/>
                <w:iCs/>
                <w:color w:val="FFFFFF"/>
                <w:sz w:val="22"/>
                <w:szCs w:val="22"/>
              </w:rPr>
              <w:t xml:space="preserve"> </w:t>
            </w:r>
            <w:r w:rsidRPr="00922808">
              <w:rPr>
                <w:rFonts w:ascii="Tahoma" w:hAnsi="Tahoma" w:cs="Tahoma"/>
                <w:b/>
                <w:bCs/>
                <w:iCs/>
                <w:color w:val="FFFFFF"/>
                <w:sz w:val="22"/>
                <w:szCs w:val="22"/>
              </w:rPr>
              <w:t>(по тексту – Карта)</w:t>
            </w:r>
            <w:r w:rsidRPr="00922808">
              <w:rPr>
                <w:rFonts w:ascii="Tahoma" w:hAnsi="Tahoma" w:cs="Tahoma"/>
                <w:bCs/>
                <w:iCs/>
                <w:color w:val="FFFFFF"/>
                <w:sz w:val="22"/>
                <w:szCs w:val="22"/>
                <w:vertAlign w:val="superscript"/>
              </w:rPr>
              <w:t>12</w:t>
            </w:r>
          </w:p>
        </w:tc>
      </w:tr>
      <w:tr w:rsidR="00922808" w:rsidRPr="00922808" w14:paraId="6AE0271B" w14:textId="77777777" w:rsidTr="00922808">
        <w:tc>
          <w:tcPr>
            <w:tcW w:w="347" w:type="pct"/>
            <w:shd w:val="clear" w:color="auto" w:fill="808080"/>
            <w:vAlign w:val="center"/>
          </w:tcPr>
          <w:p w14:paraId="5952CDC5"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3.2.1.</w:t>
            </w:r>
          </w:p>
        </w:tc>
        <w:tc>
          <w:tcPr>
            <w:tcW w:w="1757" w:type="pct"/>
            <w:shd w:val="clear" w:color="auto" w:fill="808080"/>
            <w:vAlign w:val="center"/>
          </w:tcPr>
          <w:p w14:paraId="58ACD302"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тип Карты</w:t>
            </w:r>
          </w:p>
        </w:tc>
        <w:tc>
          <w:tcPr>
            <w:tcW w:w="1485" w:type="pct"/>
            <w:gridSpan w:val="3"/>
            <w:shd w:val="clear" w:color="auto" w:fill="808080"/>
            <w:vAlign w:val="center"/>
          </w:tcPr>
          <w:p w14:paraId="7927E8C3" w14:textId="77777777" w:rsidR="00922808" w:rsidRPr="00922808" w:rsidRDefault="00922808" w:rsidP="00922808">
            <w:pPr>
              <w:tabs>
                <w:tab w:val="left" w:pos="284"/>
              </w:tabs>
              <w:jc w:val="center"/>
              <w:rPr>
                <w:rFonts w:ascii="Tahoma" w:hAnsi="Tahoma" w:cs="Tahoma"/>
                <w:b/>
                <w:bCs/>
                <w:iCs/>
                <w:color w:val="FFFFFF"/>
                <w:sz w:val="22"/>
                <w:szCs w:val="22"/>
              </w:rPr>
            </w:pPr>
            <w:r w:rsidRPr="00922808">
              <w:rPr>
                <w:rFonts w:ascii="Tahoma" w:hAnsi="Tahoma" w:cs="Tahoma"/>
                <w:b/>
                <w:bCs/>
                <w:iCs/>
                <w:color w:val="FFFFFF"/>
                <w:sz w:val="22"/>
                <w:szCs w:val="22"/>
              </w:rPr>
              <w:t xml:space="preserve">UnionPay: </w:t>
            </w:r>
            <w:r w:rsidRPr="00922808">
              <w:rPr>
                <w:rFonts w:ascii="Tahoma" w:hAnsi="Tahoma" w:cs="Tahoma"/>
                <w:b/>
                <w:bCs/>
                <w:iCs/>
                <w:color w:val="FFFFFF"/>
                <w:sz w:val="22"/>
                <w:szCs w:val="22"/>
                <w:lang w:val="en-US"/>
              </w:rPr>
              <w:t>Platinum</w:t>
            </w:r>
            <w:r w:rsidRPr="00922808">
              <w:rPr>
                <w:rFonts w:ascii="Tahoma" w:hAnsi="Tahoma" w:cs="Tahoma"/>
                <w:b/>
                <w:bCs/>
                <w:iCs/>
                <w:color w:val="FFFFFF"/>
                <w:sz w:val="22"/>
                <w:szCs w:val="22"/>
              </w:rPr>
              <w:t xml:space="preserve"> или Diamond</w:t>
            </w:r>
            <w:r w:rsidRPr="00922808">
              <w:rPr>
                <w:rFonts w:ascii="Tahoma" w:hAnsi="Tahoma" w:cs="Tahoma"/>
                <w:b/>
                <w:bCs/>
                <w:iCs/>
                <w:color w:val="FFFFFF"/>
                <w:sz w:val="22"/>
                <w:szCs w:val="22"/>
                <w:vertAlign w:val="superscript"/>
              </w:rPr>
              <w:t>25</w:t>
            </w:r>
          </w:p>
        </w:tc>
        <w:tc>
          <w:tcPr>
            <w:tcW w:w="1411" w:type="pct"/>
            <w:shd w:val="clear" w:color="auto" w:fill="808080"/>
            <w:vAlign w:val="center"/>
          </w:tcPr>
          <w:p w14:paraId="0B197668" w14:textId="77777777" w:rsidR="00922808" w:rsidRPr="00922808" w:rsidRDefault="00922808" w:rsidP="00922808">
            <w:pPr>
              <w:tabs>
                <w:tab w:val="left" w:pos="284"/>
              </w:tabs>
              <w:jc w:val="center"/>
              <w:rPr>
                <w:rFonts w:ascii="Tahoma" w:hAnsi="Tahoma" w:cs="Tahoma"/>
                <w:b/>
                <w:bCs/>
                <w:iCs/>
                <w:color w:val="FFFFFF"/>
                <w:sz w:val="22"/>
                <w:szCs w:val="22"/>
              </w:rPr>
            </w:pPr>
            <w:r w:rsidRPr="00922808">
              <w:rPr>
                <w:rFonts w:ascii="Tahoma" w:hAnsi="Tahoma" w:cs="Tahoma"/>
                <w:b/>
                <w:bCs/>
                <w:iCs/>
                <w:color w:val="FFFFFF"/>
                <w:sz w:val="22"/>
                <w:szCs w:val="22"/>
              </w:rPr>
              <w:t>Visa Platinum</w:t>
            </w:r>
          </w:p>
        </w:tc>
      </w:tr>
      <w:tr w:rsidR="00922808" w:rsidRPr="00922808" w14:paraId="4BC9FF1C" w14:textId="77777777" w:rsidTr="005A7C26">
        <w:trPr>
          <w:trHeight w:val="283"/>
        </w:trPr>
        <w:tc>
          <w:tcPr>
            <w:tcW w:w="347" w:type="pct"/>
            <w:shd w:val="clear" w:color="auto" w:fill="auto"/>
            <w:vAlign w:val="center"/>
          </w:tcPr>
          <w:p w14:paraId="344920E8"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3.2.1.1.</w:t>
            </w:r>
          </w:p>
        </w:tc>
        <w:tc>
          <w:tcPr>
            <w:tcW w:w="1757" w:type="pct"/>
            <w:shd w:val="clear" w:color="auto" w:fill="auto"/>
            <w:vAlign w:val="center"/>
          </w:tcPr>
          <w:p w14:paraId="748045E9"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валюта Счета Карты</w:t>
            </w:r>
            <w:r w:rsidRPr="00922808">
              <w:rPr>
                <w:rFonts w:ascii="Tahoma" w:hAnsi="Tahoma" w:cs="Tahoma"/>
                <w:bCs/>
                <w:iCs/>
                <w:color w:val="000000"/>
                <w:sz w:val="22"/>
                <w:szCs w:val="22"/>
                <w:vertAlign w:val="superscript"/>
              </w:rPr>
              <w:t>8</w:t>
            </w:r>
          </w:p>
        </w:tc>
        <w:tc>
          <w:tcPr>
            <w:tcW w:w="1485" w:type="pct"/>
            <w:gridSpan w:val="3"/>
            <w:shd w:val="clear" w:color="auto" w:fill="auto"/>
            <w:vAlign w:val="center"/>
          </w:tcPr>
          <w:p w14:paraId="7806EF7B"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color w:val="000000"/>
                <w:sz w:val="22"/>
                <w:szCs w:val="22"/>
              </w:rPr>
              <w:t>Российский рубль/юань</w:t>
            </w:r>
          </w:p>
        </w:tc>
        <w:tc>
          <w:tcPr>
            <w:tcW w:w="1411" w:type="pct"/>
            <w:shd w:val="clear" w:color="auto" w:fill="auto"/>
            <w:vAlign w:val="center"/>
          </w:tcPr>
          <w:p w14:paraId="3D1E3AFE"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sz w:val="22"/>
                <w:szCs w:val="22"/>
              </w:rPr>
              <w:t>Российский рубль</w:t>
            </w:r>
            <w:r w:rsidRPr="00922808" w:rsidDel="00EB3638">
              <w:rPr>
                <w:rFonts w:ascii="Tahoma" w:hAnsi="Tahoma" w:cs="Tahoma"/>
                <w:bCs/>
                <w:iCs/>
                <w:sz w:val="22"/>
                <w:szCs w:val="22"/>
              </w:rPr>
              <w:t xml:space="preserve"> </w:t>
            </w:r>
          </w:p>
        </w:tc>
      </w:tr>
      <w:tr w:rsidR="00922808" w:rsidRPr="00922808" w14:paraId="01B33D43" w14:textId="77777777" w:rsidTr="005A7C26">
        <w:trPr>
          <w:trHeight w:val="886"/>
        </w:trPr>
        <w:tc>
          <w:tcPr>
            <w:tcW w:w="347" w:type="pct"/>
            <w:shd w:val="clear" w:color="auto" w:fill="auto"/>
            <w:vAlign w:val="center"/>
          </w:tcPr>
          <w:p w14:paraId="1F4CB109"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3.2.1.2.</w:t>
            </w:r>
          </w:p>
        </w:tc>
        <w:tc>
          <w:tcPr>
            <w:tcW w:w="1757" w:type="pct"/>
            <w:shd w:val="clear" w:color="auto" w:fill="auto"/>
            <w:vAlign w:val="center"/>
          </w:tcPr>
          <w:p w14:paraId="5C307445"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 xml:space="preserve">выпуск Основной Карты </w:t>
            </w:r>
          </w:p>
        </w:tc>
        <w:tc>
          <w:tcPr>
            <w:tcW w:w="1485" w:type="pct"/>
            <w:gridSpan w:val="3"/>
            <w:shd w:val="clear" w:color="auto" w:fill="auto"/>
            <w:vAlign w:val="center"/>
          </w:tcPr>
          <w:p w14:paraId="49E95847"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color w:val="000000"/>
                <w:sz w:val="22"/>
                <w:szCs w:val="22"/>
              </w:rPr>
              <w:t xml:space="preserve">1 (одна) Карта в рублях: </w:t>
            </w:r>
            <w:r w:rsidRPr="00922808">
              <w:rPr>
                <w:rFonts w:ascii="Tahoma" w:hAnsi="Tahoma" w:cs="Tahoma"/>
                <w:b/>
                <w:bCs/>
                <w:iCs/>
                <w:color w:val="000000"/>
                <w:sz w:val="22"/>
                <w:szCs w:val="22"/>
              </w:rPr>
              <w:t>3 000 рублей</w:t>
            </w:r>
            <w:r w:rsidRPr="00922808">
              <w:rPr>
                <w:rFonts w:ascii="Tahoma" w:hAnsi="Tahoma" w:cs="Tahoma"/>
                <w:bCs/>
                <w:iCs/>
                <w:color w:val="000000"/>
                <w:sz w:val="22"/>
                <w:szCs w:val="22"/>
              </w:rPr>
              <w:t xml:space="preserve"> или </w:t>
            </w:r>
          </w:p>
          <w:p w14:paraId="17EC7423" w14:textId="77777777" w:rsidR="00922808" w:rsidRPr="00922808" w:rsidRDefault="00922808" w:rsidP="00922808">
            <w:pPr>
              <w:tabs>
                <w:tab w:val="left" w:pos="284"/>
              </w:tabs>
              <w:jc w:val="center"/>
              <w:rPr>
                <w:rFonts w:ascii="Tahoma" w:hAnsi="Tahoma" w:cs="Tahoma"/>
                <w:b/>
                <w:bCs/>
              </w:rPr>
            </w:pPr>
            <w:r w:rsidRPr="00922808">
              <w:rPr>
                <w:rFonts w:ascii="Tahoma" w:hAnsi="Tahoma" w:cs="Tahoma"/>
                <w:bCs/>
                <w:iCs/>
                <w:color w:val="000000"/>
                <w:sz w:val="22"/>
                <w:szCs w:val="22"/>
              </w:rPr>
              <w:t xml:space="preserve">1 (одна) Карта в юанях: </w:t>
            </w:r>
            <w:r w:rsidRPr="00922808">
              <w:rPr>
                <w:rFonts w:ascii="Tahoma" w:hAnsi="Tahoma" w:cs="Tahoma"/>
                <w:b/>
                <w:bCs/>
              </w:rPr>
              <w:t>250 юаней</w:t>
            </w:r>
            <w:r w:rsidRPr="00922808">
              <w:rPr>
                <w:rFonts w:ascii="Tahoma" w:hAnsi="Tahoma" w:cs="Tahoma"/>
                <w:bCs/>
                <w:iCs/>
                <w:color w:val="000000"/>
                <w:sz w:val="22"/>
                <w:szCs w:val="22"/>
              </w:rPr>
              <w:t xml:space="preserve"> </w:t>
            </w:r>
          </w:p>
        </w:tc>
        <w:tc>
          <w:tcPr>
            <w:tcW w:w="1411" w:type="pct"/>
            <w:shd w:val="clear" w:color="auto" w:fill="auto"/>
            <w:vAlign w:val="center"/>
          </w:tcPr>
          <w:p w14:paraId="65301C1C"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color w:val="000000"/>
                <w:sz w:val="22"/>
                <w:szCs w:val="22"/>
              </w:rPr>
              <w:t xml:space="preserve">1 (одна) Карта в рублях: </w:t>
            </w:r>
            <w:r w:rsidRPr="00922808">
              <w:rPr>
                <w:rFonts w:ascii="Tahoma" w:hAnsi="Tahoma" w:cs="Tahoma"/>
                <w:b/>
                <w:bCs/>
              </w:rPr>
              <w:t>БЕСПЛАТНО</w:t>
            </w:r>
          </w:p>
        </w:tc>
      </w:tr>
      <w:tr w:rsidR="00922808" w:rsidRPr="00922808" w14:paraId="3C7B9A59" w14:textId="77777777" w:rsidTr="005A7C26">
        <w:trPr>
          <w:trHeight w:val="300"/>
        </w:trPr>
        <w:tc>
          <w:tcPr>
            <w:tcW w:w="347" w:type="pct"/>
            <w:shd w:val="clear" w:color="auto" w:fill="auto"/>
            <w:vAlign w:val="center"/>
          </w:tcPr>
          <w:p w14:paraId="5441D3B5"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3.2.1.3.</w:t>
            </w:r>
          </w:p>
        </w:tc>
        <w:tc>
          <w:tcPr>
            <w:tcW w:w="1757" w:type="pct"/>
            <w:shd w:val="clear" w:color="auto" w:fill="auto"/>
            <w:vAlign w:val="center"/>
          </w:tcPr>
          <w:p w14:paraId="7C63B293"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стоимость обслуживания Основной Карты</w:t>
            </w:r>
          </w:p>
        </w:tc>
        <w:tc>
          <w:tcPr>
            <w:tcW w:w="2896" w:type="pct"/>
            <w:gridSpan w:val="4"/>
            <w:shd w:val="clear" w:color="auto" w:fill="auto"/>
            <w:vAlign w:val="center"/>
          </w:tcPr>
          <w:p w14:paraId="17C6B0DC"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
                <w:bCs/>
              </w:rPr>
              <w:t>БЕСПЛАТНО</w:t>
            </w:r>
          </w:p>
        </w:tc>
      </w:tr>
      <w:tr w:rsidR="00922808" w:rsidRPr="00922808" w14:paraId="1FEF5B82" w14:textId="77777777" w:rsidTr="005A7C26">
        <w:trPr>
          <w:trHeight w:val="641"/>
        </w:trPr>
        <w:tc>
          <w:tcPr>
            <w:tcW w:w="347" w:type="pct"/>
            <w:shd w:val="clear" w:color="auto" w:fill="auto"/>
            <w:vAlign w:val="center"/>
          </w:tcPr>
          <w:p w14:paraId="6CDD2B89"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3.2.1.4.</w:t>
            </w:r>
          </w:p>
        </w:tc>
        <w:tc>
          <w:tcPr>
            <w:tcW w:w="1757" w:type="pct"/>
            <w:shd w:val="clear" w:color="auto" w:fill="auto"/>
            <w:vAlign w:val="center"/>
          </w:tcPr>
          <w:p w14:paraId="7BDC137D"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 xml:space="preserve">выпуск и обслуживание Дополнительной Карты </w:t>
            </w:r>
          </w:p>
        </w:tc>
        <w:tc>
          <w:tcPr>
            <w:tcW w:w="1485" w:type="pct"/>
            <w:gridSpan w:val="3"/>
            <w:vMerge w:val="restart"/>
            <w:shd w:val="clear" w:color="auto" w:fill="auto"/>
            <w:vAlign w:val="center"/>
          </w:tcPr>
          <w:p w14:paraId="44E491D4"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
                <w:bCs/>
                <w:iCs/>
                <w:color w:val="000000"/>
                <w:sz w:val="22"/>
                <w:szCs w:val="22"/>
              </w:rPr>
              <w:t>Не предусмотрено</w:t>
            </w:r>
          </w:p>
        </w:tc>
        <w:tc>
          <w:tcPr>
            <w:tcW w:w="1411" w:type="pct"/>
            <w:shd w:val="clear" w:color="auto" w:fill="auto"/>
            <w:vAlign w:val="center"/>
          </w:tcPr>
          <w:p w14:paraId="0FBB4FC1"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color w:val="000000"/>
                <w:sz w:val="22"/>
                <w:szCs w:val="22"/>
              </w:rPr>
              <w:t xml:space="preserve">2 (две) Карты в рублях: </w:t>
            </w:r>
            <w:r w:rsidRPr="00922808">
              <w:rPr>
                <w:rFonts w:ascii="Tahoma" w:hAnsi="Tahoma" w:cs="Tahoma"/>
                <w:b/>
                <w:bCs/>
              </w:rPr>
              <w:t>БЕСПЛАТНО</w:t>
            </w:r>
          </w:p>
        </w:tc>
      </w:tr>
      <w:tr w:rsidR="00922808" w:rsidRPr="00922808" w14:paraId="1EAB8544" w14:textId="77777777" w:rsidTr="005A7C26">
        <w:tc>
          <w:tcPr>
            <w:tcW w:w="347" w:type="pct"/>
            <w:vMerge w:val="restart"/>
            <w:shd w:val="clear" w:color="auto" w:fill="auto"/>
            <w:vAlign w:val="center"/>
          </w:tcPr>
          <w:p w14:paraId="3C964D23" w14:textId="77777777" w:rsidR="00922808" w:rsidRPr="00922808" w:rsidRDefault="00922808" w:rsidP="00922808">
            <w:pPr>
              <w:tabs>
                <w:tab w:val="left" w:pos="284"/>
              </w:tabs>
              <w:rPr>
                <w:rFonts w:ascii="Tahoma" w:hAnsi="Tahoma" w:cs="Tahoma"/>
                <w:bCs/>
                <w:iCs/>
                <w:color w:val="000000"/>
                <w:sz w:val="22"/>
                <w:szCs w:val="22"/>
              </w:rPr>
            </w:pPr>
          </w:p>
          <w:p w14:paraId="6D1A196B"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3.2.1.5.</w:t>
            </w:r>
          </w:p>
        </w:tc>
        <w:tc>
          <w:tcPr>
            <w:tcW w:w="1757" w:type="pct"/>
            <w:shd w:val="clear" w:color="auto" w:fill="auto"/>
            <w:vAlign w:val="center"/>
          </w:tcPr>
          <w:p w14:paraId="1D4E18AE"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стоимость выпуска каждой К</w:t>
            </w:r>
            <w:r w:rsidRPr="00922808">
              <w:rPr>
                <w:rFonts w:ascii="Tahoma" w:hAnsi="Tahoma" w:cs="Tahoma"/>
                <w:bCs/>
                <w:iCs/>
                <w:sz w:val="22"/>
                <w:szCs w:val="22"/>
              </w:rPr>
              <w:t>арты свыше количества, указанного в пп.3.2.1.2.-3.2.1.3. Программы</w:t>
            </w:r>
            <w:r w:rsidRPr="00922808">
              <w:rPr>
                <w:rFonts w:ascii="Tahoma" w:hAnsi="Tahoma" w:cs="Tahoma"/>
                <w:bCs/>
                <w:iCs/>
                <w:sz w:val="22"/>
                <w:szCs w:val="22"/>
                <w:vertAlign w:val="superscript"/>
              </w:rPr>
              <w:t>13</w:t>
            </w:r>
          </w:p>
        </w:tc>
        <w:tc>
          <w:tcPr>
            <w:tcW w:w="1485" w:type="pct"/>
            <w:gridSpan w:val="3"/>
            <w:vMerge/>
            <w:shd w:val="clear" w:color="auto" w:fill="auto"/>
            <w:vAlign w:val="center"/>
          </w:tcPr>
          <w:p w14:paraId="581599F6" w14:textId="77777777" w:rsidR="00922808" w:rsidRPr="00922808" w:rsidRDefault="00922808" w:rsidP="00922808">
            <w:pPr>
              <w:tabs>
                <w:tab w:val="left" w:pos="284"/>
              </w:tabs>
              <w:jc w:val="center"/>
              <w:rPr>
                <w:rFonts w:ascii="Tahoma" w:hAnsi="Tahoma" w:cs="Tahoma"/>
                <w:bCs/>
                <w:iCs/>
                <w:color w:val="000000"/>
                <w:sz w:val="22"/>
                <w:szCs w:val="22"/>
              </w:rPr>
            </w:pPr>
          </w:p>
        </w:tc>
        <w:tc>
          <w:tcPr>
            <w:tcW w:w="1411" w:type="pct"/>
            <w:shd w:val="clear" w:color="auto" w:fill="auto"/>
            <w:vAlign w:val="center"/>
          </w:tcPr>
          <w:p w14:paraId="4FC04889"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color w:val="000000"/>
                <w:sz w:val="22"/>
                <w:szCs w:val="22"/>
              </w:rPr>
              <w:t xml:space="preserve">Карта в рублях: </w:t>
            </w:r>
            <w:r w:rsidRPr="00922808">
              <w:rPr>
                <w:rFonts w:ascii="Tahoma" w:hAnsi="Tahoma" w:cs="Tahoma"/>
                <w:b/>
                <w:bCs/>
                <w:iCs/>
                <w:color w:val="000000"/>
                <w:sz w:val="22"/>
                <w:szCs w:val="22"/>
              </w:rPr>
              <w:t>3 000</w:t>
            </w:r>
            <w:r w:rsidRPr="00922808">
              <w:rPr>
                <w:rFonts w:ascii="Tahoma" w:hAnsi="Tahoma" w:cs="Tahoma"/>
                <w:bCs/>
                <w:iCs/>
                <w:color w:val="000000"/>
                <w:sz w:val="22"/>
                <w:szCs w:val="22"/>
              </w:rPr>
              <w:t xml:space="preserve"> </w:t>
            </w:r>
            <w:r w:rsidRPr="00922808">
              <w:rPr>
                <w:rFonts w:ascii="Tahoma" w:hAnsi="Tahoma" w:cs="Tahoma"/>
                <w:b/>
                <w:bCs/>
                <w:iCs/>
                <w:color w:val="000000"/>
                <w:sz w:val="22"/>
                <w:szCs w:val="22"/>
              </w:rPr>
              <w:t>рублей</w:t>
            </w:r>
          </w:p>
        </w:tc>
      </w:tr>
      <w:tr w:rsidR="00922808" w:rsidRPr="00922808" w14:paraId="7815C1ED" w14:textId="77777777" w:rsidTr="005A7C26">
        <w:tc>
          <w:tcPr>
            <w:tcW w:w="347" w:type="pct"/>
            <w:vMerge/>
            <w:shd w:val="clear" w:color="auto" w:fill="auto"/>
            <w:vAlign w:val="center"/>
          </w:tcPr>
          <w:p w14:paraId="35243ED8" w14:textId="77777777" w:rsidR="00922808" w:rsidRPr="00922808" w:rsidRDefault="00922808" w:rsidP="00922808">
            <w:pPr>
              <w:tabs>
                <w:tab w:val="left" w:pos="284"/>
              </w:tabs>
              <w:rPr>
                <w:rFonts w:ascii="Tahoma" w:hAnsi="Tahoma" w:cs="Tahoma"/>
                <w:bCs/>
                <w:iCs/>
                <w:color w:val="000000"/>
                <w:sz w:val="22"/>
                <w:szCs w:val="22"/>
              </w:rPr>
            </w:pPr>
          </w:p>
        </w:tc>
        <w:tc>
          <w:tcPr>
            <w:tcW w:w="1757" w:type="pct"/>
            <w:shd w:val="clear" w:color="auto" w:fill="auto"/>
            <w:vAlign w:val="center"/>
          </w:tcPr>
          <w:p w14:paraId="4A8BC6B3"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обслуживание К</w:t>
            </w:r>
            <w:r w:rsidRPr="00922808">
              <w:rPr>
                <w:rFonts w:ascii="Tahoma" w:hAnsi="Tahoma" w:cs="Tahoma"/>
                <w:bCs/>
                <w:iCs/>
                <w:sz w:val="22"/>
                <w:szCs w:val="22"/>
              </w:rPr>
              <w:t>арт свыше количества, указанного в п.3.2.1.2. и 3.2.1.3. Программы</w:t>
            </w:r>
            <w:r w:rsidRPr="00922808">
              <w:rPr>
                <w:rFonts w:ascii="Tahoma" w:hAnsi="Tahoma" w:cs="Tahoma"/>
                <w:bCs/>
                <w:iCs/>
                <w:sz w:val="22"/>
                <w:szCs w:val="22"/>
                <w:vertAlign w:val="superscript"/>
              </w:rPr>
              <w:t>13</w:t>
            </w:r>
          </w:p>
        </w:tc>
        <w:tc>
          <w:tcPr>
            <w:tcW w:w="1485" w:type="pct"/>
            <w:gridSpan w:val="3"/>
            <w:vMerge/>
            <w:shd w:val="clear" w:color="auto" w:fill="auto"/>
            <w:vAlign w:val="center"/>
          </w:tcPr>
          <w:p w14:paraId="6F529FE2" w14:textId="77777777" w:rsidR="00922808" w:rsidRPr="00922808" w:rsidRDefault="00922808" w:rsidP="00922808">
            <w:pPr>
              <w:tabs>
                <w:tab w:val="left" w:pos="284"/>
              </w:tabs>
              <w:jc w:val="center"/>
              <w:rPr>
                <w:rFonts w:ascii="Tahoma" w:hAnsi="Tahoma" w:cs="Tahoma"/>
                <w:bCs/>
              </w:rPr>
            </w:pPr>
          </w:p>
        </w:tc>
        <w:tc>
          <w:tcPr>
            <w:tcW w:w="1411" w:type="pct"/>
            <w:shd w:val="clear" w:color="auto" w:fill="auto"/>
            <w:vAlign w:val="center"/>
          </w:tcPr>
          <w:p w14:paraId="4FCC9FA8" w14:textId="77777777" w:rsidR="00922808" w:rsidRPr="00922808" w:rsidRDefault="00922808" w:rsidP="00922808">
            <w:pPr>
              <w:tabs>
                <w:tab w:val="left" w:pos="284"/>
              </w:tabs>
              <w:jc w:val="center"/>
              <w:rPr>
                <w:rFonts w:ascii="Tahoma" w:hAnsi="Tahoma" w:cs="Tahoma"/>
                <w:b/>
                <w:bCs/>
              </w:rPr>
            </w:pPr>
            <w:r w:rsidRPr="00922808">
              <w:rPr>
                <w:rFonts w:ascii="Tahoma" w:hAnsi="Tahoma" w:cs="Tahoma"/>
                <w:b/>
                <w:bCs/>
              </w:rPr>
              <w:t>БЕСПЛАТНО</w:t>
            </w:r>
          </w:p>
        </w:tc>
      </w:tr>
      <w:tr w:rsidR="00922808" w:rsidRPr="00922808" w14:paraId="43208984" w14:textId="77777777" w:rsidTr="005A7C26">
        <w:tc>
          <w:tcPr>
            <w:tcW w:w="347" w:type="pct"/>
            <w:shd w:val="clear" w:color="auto" w:fill="auto"/>
            <w:vAlign w:val="center"/>
          </w:tcPr>
          <w:p w14:paraId="75BD8F64"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3.2.1.6.</w:t>
            </w:r>
          </w:p>
        </w:tc>
        <w:tc>
          <w:tcPr>
            <w:tcW w:w="1757" w:type="pct"/>
            <w:shd w:val="clear" w:color="auto" w:fill="auto"/>
            <w:vAlign w:val="center"/>
          </w:tcPr>
          <w:p w14:paraId="0432D78F"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срок действия Карты</w:t>
            </w:r>
          </w:p>
        </w:tc>
        <w:tc>
          <w:tcPr>
            <w:tcW w:w="2896" w:type="pct"/>
            <w:gridSpan w:val="4"/>
            <w:shd w:val="clear" w:color="auto" w:fill="auto"/>
            <w:vAlign w:val="center"/>
          </w:tcPr>
          <w:p w14:paraId="2D842F8A"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color w:val="000000"/>
                <w:sz w:val="22"/>
                <w:szCs w:val="22"/>
              </w:rPr>
              <w:t>3 года</w:t>
            </w:r>
          </w:p>
        </w:tc>
      </w:tr>
      <w:tr w:rsidR="00922808" w:rsidRPr="00922808" w14:paraId="3788FE02" w14:textId="77777777" w:rsidTr="005A7C26">
        <w:tc>
          <w:tcPr>
            <w:tcW w:w="347" w:type="pct"/>
            <w:shd w:val="clear" w:color="auto" w:fill="auto"/>
            <w:vAlign w:val="center"/>
          </w:tcPr>
          <w:p w14:paraId="52485243"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3.2.1.7.</w:t>
            </w:r>
          </w:p>
        </w:tc>
        <w:tc>
          <w:tcPr>
            <w:tcW w:w="1757" w:type="pct"/>
            <w:shd w:val="clear" w:color="auto" w:fill="auto"/>
            <w:vAlign w:val="center"/>
          </w:tcPr>
          <w:p w14:paraId="3B88AEDB"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перевыпуск Карты по любой причине</w:t>
            </w:r>
          </w:p>
        </w:tc>
        <w:tc>
          <w:tcPr>
            <w:tcW w:w="2896" w:type="pct"/>
            <w:gridSpan w:val="4"/>
            <w:shd w:val="clear" w:color="auto" w:fill="auto"/>
            <w:vAlign w:val="center"/>
          </w:tcPr>
          <w:p w14:paraId="05A8CB39"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
                <w:bCs/>
              </w:rPr>
              <w:t>БЕСПЛАТНО</w:t>
            </w:r>
          </w:p>
        </w:tc>
      </w:tr>
      <w:tr w:rsidR="00922808" w:rsidRPr="00922808" w14:paraId="03522C22" w14:textId="77777777" w:rsidTr="005A7C26">
        <w:tc>
          <w:tcPr>
            <w:tcW w:w="347" w:type="pct"/>
            <w:shd w:val="clear" w:color="auto" w:fill="auto"/>
            <w:vAlign w:val="center"/>
          </w:tcPr>
          <w:p w14:paraId="1D856453" w14:textId="77777777" w:rsidR="00922808" w:rsidRPr="00922808" w:rsidRDefault="00922808" w:rsidP="00922808">
            <w:pPr>
              <w:tabs>
                <w:tab w:val="left" w:pos="284"/>
              </w:tabs>
              <w:rPr>
                <w:rFonts w:ascii="Tahoma" w:hAnsi="Tahoma" w:cs="Tahoma"/>
                <w:bCs/>
                <w:iCs/>
                <w:color w:val="000000"/>
                <w:sz w:val="22"/>
                <w:szCs w:val="22"/>
                <w:lang w:val="en-US"/>
              </w:rPr>
            </w:pPr>
            <w:r w:rsidRPr="00922808">
              <w:rPr>
                <w:rFonts w:ascii="Tahoma" w:hAnsi="Tahoma" w:cs="Tahoma"/>
                <w:bCs/>
                <w:iCs/>
                <w:color w:val="000000"/>
                <w:sz w:val="22"/>
                <w:szCs w:val="22"/>
                <w:lang w:val="en-US"/>
              </w:rPr>
              <w:t>3.2.1.8.</w:t>
            </w:r>
          </w:p>
        </w:tc>
        <w:tc>
          <w:tcPr>
            <w:tcW w:w="1757" w:type="pct"/>
            <w:shd w:val="clear" w:color="auto" w:fill="auto"/>
            <w:vAlign w:val="center"/>
          </w:tcPr>
          <w:p w14:paraId="21669693"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начисление процентов Банком Клиенту на остаток денежных средств по Счету Карты</w:t>
            </w:r>
          </w:p>
        </w:tc>
        <w:tc>
          <w:tcPr>
            <w:tcW w:w="2896" w:type="pct"/>
            <w:gridSpan w:val="4"/>
            <w:shd w:val="clear" w:color="auto" w:fill="auto"/>
            <w:vAlign w:val="center"/>
          </w:tcPr>
          <w:p w14:paraId="77AB57BF"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sz w:val="22"/>
                <w:szCs w:val="22"/>
              </w:rPr>
              <w:t>Не предусмотрено</w:t>
            </w:r>
          </w:p>
        </w:tc>
      </w:tr>
      <w:tr w:rsidR="00922808" w:rsidRPr="00922808" w14:paraId="6307CC31" w14:textId="77777777" w:rsidTr="005A7C26">
        <w:tc>
          <w:tcPr>
            <w:tcW w:w="347" w:type="pct"/>
            <w:shd w:val="clear" w:color="auto" w:fill="808080"/>
            <w:vAlign w:val="center"/>
          </w:tcPr>
          <w:p w14:paraId="0273BDA4" w14:textId="77777777" w:rsidR="00922808" w:rsidRPr="00922808" w:rsidRDefault="00922808" w:rsidP="00922808">
            <w:pPr>
              <w:tabs>
                <w:tab w:val="left" w:pos="284"/>
              </w:tabs>
              <w:rPr>
                <w:rFonts w:ascii="Tahoma" w:hAnsi="Tahoma" w:cs="Tahoma"/>
                <w:bCs/>
                <w:iCs/>
                <w:color w:val="FFFFFF"/>
                <w:sz w:val="28"/>
                <w:szCs w:val="22"/>
              </w:rPr>
            </w:pPr>
            <w:r w:rsidRPr="00922808">
              <w:rPr>
                <w:rFonts w:ascii="Tahoma" w:hAnsi="Tahoma" w:cs="Tahoma"/>
                <w:bCs/>
                <w:iCs/>
                <w:color w:val="FFFFFF"/>
                <w:sz w:val="28"/>
                <w:szCs w:val="22"/>
              </w:rPr>
              <w:t>4.</w:t>
            </w:r>
          </w:p>
        </w:tc>
        <w:tc>
          <w:tcPr>
            <w:tcW w:w="4653" w:type="pct"/>
            <w:gridSpan w:val="5"/>
            <w:shd w:val="clear" w:color="auto" w:fill="808080"/>
            <w:vAlign w:val="center"/>
          </w:tcPr>
          <w:p w14:paraId="2D3EF348" w14:textId="77777777" w:rsidR="00922808" w:rsidRPr="00922808" w:rsidRDefault="00922808" w:rsidP="00922808">
            <w:pPr>
              <w:tabs>
                <w:tab w:val="left" w:pos="284"/>
              </w:tabs>
              <w:rPr>
                <w:rFonts w:ascii="Tahoma" w:hAnsi="Tahoma" w:cs="Tahoma"/>
                <w:bCs/>
                <w:iCs/>
                <w:color w:val="FFFFFF"/>
                <w:sz w:val="28"/>
                <w:szCs w:val="22"/>
              </w:rPr>
            </w:pPr>
            <w:r w:rsidRPr="00922808">
              <w:rPr>
                <w:rFonts w:ascii="Tahoma" w:hAnsi="Tahoma" w:cs="Tahoma"/>
                <w:bCs/>
                <w:iCs/>
                <w:color w:val="FFFFFF"/>
                <w:sz w:val="28"/>
                <w:szCs w:val="22"/>
              </w:rPr>
              <w:t>Условия проведения операций, в т.ч. через Каналы ДБО Банка</w:t>
            </w:r>
            <w:r w:rsidRPr="00922808">
              <w:rPr>
                <w:rFonts w:ascii="Tahoma" w:hAnsi="Tahoma" w:cs="Tahoma"/>
                <w:bCs/>
                <w:iCs/>
                <w:color w:val="FFFFFF"/>
                <w:sz w:val="22"/>
                <w:szCs w:val="22"/>
              </w:rPr>
              <w:t xml:space="preserve"> (при наличии технической возможности)</w:t>
            </w:r>
          </w:p>
        </w:tc>
      </w:tr>
      <w:tr w:rsidR="00922808" w:rsidRPr="00922808" w14:paraId="50B24E60" w14:textId="77777777" w:rsidTr="00922808">
        <w:tc>
          <w:tcPr>
            <w:tcW w:w="347" w:type="pct"/>
            <w:shd w:val="clear" w:color="auto" w:fill="808080"/>
            <w:vAlign w:val="center"/>
          </w:tcPr>
          <w:p w14:paraId="3D317175"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4.1.</w:t>
            </w:r>
          </w:p>
        </w:tc>
        <w:tc>
          <w:tcPr>
            <w:tcW w:w="4653" w:type="pct"/>
            <w:gridSpan w:val="5"/>
            <w:shd w:val="clear" w:color="auto" w:fill="808080"/>
            <w:vAlign w:val="center"/>
          </w:tcPr>
          <w:p w14:paraId="2CDA606F"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Денежные переводы с Карт и Накопительных счетов</w:t>
            </w:r>
            <w:r w:rsidRPr="00922808">
              <w:rPr>
                <w:rFonts w:ascii="Tahoma" w:hAnsi="Tahoma" w:cs="Tahoma"/>
                <w:bCs/>
                <w:iCs/>
                <w:color w:val="FFFFFF"/>
                <w:sz w:val="22"/>
                <w:szCs w:val="22"/>
                <w:vertAlign w:val="superscript"/>
              </w:rPr>
              <w:t xml:space="preserve">14 </w:t>
            </w:r>
            <w:r w:rsidRPr="00922808">
              <w:rPr>
                <w:rFonts w:ascii="Tahoma" w:hAnsi="Tahoma" w:cs="Tahoma"/>
                <w:b/>
                <w:bCs/>
                <w:iCs/>
                <w:color w:val="FFFFFF"/>
                <w:sz w:val="22"/>
                <w:szCs w:val="22"/>
              </w:rPr>
              <w:t>:</w:t>
            </w:r>
          </w:p>
        </w:tc>
      </w:tr>
      <w:tr w:rsidR="00922808" w:rsidRPr="00922808" w14:paraId="0BABA718" w14:textId="77777777" w:rsidTr="005A7C26">
        <w:tc>
          <w:tcPr>
            <w:tcW w:w="347" w:type="pct"/>
            <w:shd w:val="clear" w:color="auto" w:fill="auto"/>
            <w:vAlign w:val="center"/>
          </w:tcPr>
          <w:p w14:paraId="6375A0B9"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4.1.1.</w:t>
            </w:r>
          </w:p>
        </w:tc>
        <w:tc>
          <w:tcPr>
            <w:tcW w:w="1757" w:type="pct"/>
            <w:shd w:val="clear" w:color="auto" w:fill="auto"/>
            <w:vAlign w:val="center"/>
          </w:tcPr>
          <w:p w14:paraId="32A3CFF8"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на Карты и Счета Клиента, открытые в Банке</w:t>
            </w:r>
          </w:p>
        </w:tc>
        <w:tc>
          <w:tcPr>
            <w:tcW w:w="2896" w:type="pct"/>
            <w:gridSpan w:val="4"/>
            <w:vMerge w:val="restart"/>
            <w:shd w:val="clear" w:color="auto" w:fill="auto"/>
            <w:vAlign w:val="center"/>
          </w:tcPr>
          <w:p w14:paraId="516E331C" w14:textId="77777777" w:rsidR="00922808" w:rsidRPr="00922808" w:rsidRDefault="00922808" w:rsidP="00922808">
            <w:pPr>
              <w:tabs>
                <w:tab w:val="left" w:pos="284"/>
              </w:tabs>
              <w:jc w:val="center"/>
              <w:rPr>
                <w:rFonts w:ascii="Tahoma" w:hAnsi="Tahoma" w:cs="Tahoma"/>
                <w:bCs/>
                <w:iCs/>
                <w:color w:val="000000"/>
                <w:sz w:val="22"/>
                <w:szCs w:val="22"/>
                <w14:textFill>
                  <w14:solidFill>
                    <w14:srgbClr w14:val="000000">
                      <w14:lumMod w14:val="75000"/>
                      <w14:lumOff w14:val="25000"/>
                    </w14:srgbClr>
                  </w14:solidFill>
                </w14:textFill>
              </w:rPr>
            </w:pPr>
            <w:r w:rsidRPr="00922808">
              <w:rPr>
                <w:rFonts w:ascii="Tahoma" w:hAnsi="Tahoma" w:cs="Tahoma"/>
                <w:b/>
                <w:bCs/>
                <w:iCs/>
                <w:color w:val="000000"/>
                <w:sz w:val="22"/>
                <w:szCs w:val="22"/>
              </w:rPr>
              <w:t>БЕСПЛАТНО</w:t>
            </w:r>
          </w:p>
        </w:tc>
      </w:tr>
      <w:tr w:rsidR="00922808" w:rsidRPr="00922808" w14:paraId="49CF000A" w14:textId="77777777" w:rsidTr="005A7C26">
        <w:tc>
          <w:tcPr>
            <w:tcW w:w="347" w:type="pct"/>
            <w:shd w:val="clear" w:color="auto" w:fill="auto"/>
            <w:vAlign w:val="center"/>
          </w:tcPr>
          <w:p w14:paraId="5336091A"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4.1.2.</w:t>
            </w:r>
          </w:p>
        </w:tc>
        <w:tc>
          <w:tcPr>
            <w:tcW w:w="1757" w:type="pct"/>
            <w:shd w:val="clear" w:color="auto" w:fill="auto"/>
            <w:vAlign w:val="center"/>
          </w:tcPr>
          <w:p w14:paraId="5B080BED"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на Карты и Счета третьих лиц-Клиентов Банка</w:t>
            </w:r>
          </w:p>
        </w:tc>
        <w:tc>
          <w:tcPr>
            <w:tcW w:w="2896" w:type="pct"/>
            <w:gridSpan w:val="4"/>
            <w:vMerge/>
            <w:shd w:val="clear" w:color="auto" w:fill="auto"/>
            <w:vAlign w:val="center"/>
          </w:tcPr>
          <w:p w14:paraId="5EBE6900" w14:textId="77777777" w:rsidR="00922808" w:rsidRPr="00922808" w:rsidRDefault="00922808" w:rsidP="00922808">
            <w:pPr>
              <w:tabs>
                <w:tab w:val="left" w:pos="284"/>
              </w:tabs>
              <w:jc w:val="center"/>
              <w:rPr>
                <w:rFonts w:ascii="Tahoma" w:hAnsi="Tahoma" w:cs="Tahoma"/>
                <w:bCs/>
                <w:iCs/>
                <w:color w:val="000000"/>
                <w:sz w:val="22"/>
                <w:szCs w:val="22"/>
              </w:rPr>
            </w:pPr>
          </w:p>
        </w:tc>
      </w:tr>
      <w:tr w:rsidR="00922808" w:rsidRPr="00922808" w14:paraId="03485322" w14:textId="77777777" w:rsidTr="005A7C26">
        <w:tc>
          <w:tcPr>
            <w:tcW w:w="347" w:type="pct"/>
            <w:shd w:val="clear" w:color="auto" w:fill="auto"/>
            <w:vAlign w:val="center"/>
          </w:tcPr>
          <w:p w14:paraId="25414DB6"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4.1.</w:t>
            </w:r>
            <w:r w:rsidRPr="00922808">
              <w:rPr>
                <w:rFonts w:ascii="Tahoma" w:hAnsi="Tahoma" w:cs="Tahoma"/>
                <w:bCs/>
                <w:iCs/>
                <w:color w:val="000000"/>
                <w:sz w:val="22"/>
                <w:szCs w:val="22"/>
                <w:lang w:val="en-US"/>
              </w:rPr>
              <w:t>3</w:t>
            </w:r>
            <w:r w:rsidRPr="00922808">
              <w:rPr>
                <w:rFonts w:ascii="Tahoma" w:hAnsi="Tahoma" w:cs="Tahoma"/>
                <w:bCs/>
                <w:iCs/>
                <w:color w:val="000000"/>
                <w:sz w:val="22"/>
                <w:szCs w:val="22"/>
              </w:rPr>
              <w:t>.</w:t>
            </w:r>
          </w:p>
        </w:tc>
        <w:tc>
          <w:tcPr>
            <w:tcW w:w="1757" w:type="pct"/>
            <w:shd w:val="clear" w:color="auto" w:fill="auto"/>
            <w:vAlign w:val="center"/>
          </w:tcPr>
          <w:p w14:paraId="554EFCEF"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 xml:space="preserve">на счета, открытые в других российских банках </w:t>
            </w:r>
          </w:p>
        </w:tc>
        <w:tc>
          <w:tcPr>
            <w:tcW w:w="2896" w:type="pct"/>
            <w:gridSpan w:val="4"/>
            <w:shd w:val="clear" w:color="auto" w:fill="auto"/>
            <w:vAlign w:val="center"/>
          </w:tcPr>
          <w:p w14:paraId="524A310B" w14:textId="77777777" w:rsidR="00922808" w:rsidRPr="00922808" w:rsidRDefault="00922808" w:rsidP="00922808">
            <w:pPr>
              <w:tabs>
                <w:tab w:val="left" w:pos="284"/>
              </w:tabs>
              <w:jc w:val="center"/>
              <w:rPr>
                <w:rFonts w:ascii="Tahoma" w:hAnsi="Tahoma" w:cs="Tahoma"/>
                <w:b/>
                <w:bCs/>
                <w:iCs/>
                <w:color w:val="000000"/>
                <w:sz w:val="22"/>
                <w:szCs w:val="22"/>
              </w:rPr>
            </w:pPr>
            <w:r w:rsidRPr="00922808">
              <w:rPr>
                <w:rFonts w:ascii="Tahoma" w:hAnsi="Tahoma" w:cs="Tahoma"/>
                <w:bCs/>
                <w:iCs/>
                <w:color w:val="000000"/>
                <w:sz w:val="22"/>
                <w:szCs w:val="22"/>
              </w:rPr>
              <w:t xml:space="preserve">В рублях: </w:t>
            </w:r>
            <w:r w:rsidRPr="00922808">
              <w:rPr>
                <w:rFonts w:ascii="Tahoma" w:hAnsi="Tahoma" w:cs="Tahoma"/>
                <w:b/>
                <w:bCs/>
                <w:iCs/>
                <w:color w:val="000000"/>
                <w:sz w:val="22"/>
                <w:szCs w:val="22"/>
              </w:rPr>
              <w:t>БЕСПЛАТНО</w:t>
            </w:r>
          </w:p>
        </w:tc>
      </w:tr>
      <w:tr w:rsidR="00922808" w:rsidRPr="00922808" w14:paraId="27566E67" w14:textId="77777777" w:rsidTr="005A7C26">
        <w:tc>
          <w:tcPr>
            <w:tcW w:w="347" w:type="pct"/>
            <w:shd w:val="clear" w:color="auto" w:fill="auto"/>
            <w:vAlign w:val="center"/>
          </w:tcPr>
          <w:p w14:paraId="08A9F48E"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4.1.</w:t>
            </w:r>
            <w:r w:rsidRPr="00922808">
              <w:rPr>
                <w:rFonts w:ascii="Tahoma" w:hAnsi="Tahoma" w:cs="Tahoma"/>
                <w:bCs/>
                <w:iCs/>
                <w:color w:val="000000"/>
                <w:sz w:val="22"/>
                <w:szCs w:val="22"/>
                <w:lang w:val="en-US"/>
              </w:rPr>
              <w:t>4</w:t>
            </w:r>
            <w:r w:rsidRPr="00922808">
              <w:rPr>
                <w:rFonts w:ascii="Tahoma" w:hAnsi="Tahoma" w:cs="Tahoma"/>
                <w:bCs/>
                <w:iCs/>
                <w:color w:val="000000"/>
                <w:sz w:val="22"/>
                <w:szCs w:val="22"/>
              </w:rPr>
              <w:t>.</w:t>
            </w:r>
          </w:p>
        </w:tc>
        <w:tc>
          <w:tcPr>
            <w:tcW w:w="1757" w:type="pct"/>
            <w:shd w:val="clear" w:color="auto" w:fill="auto"/>
            <w:vAlign w:val="center"/>
          </w:tcPr>
          <w:p w14:paraId="7B179DB6" w14:textId="77777777" w:rsidR="00922808" w:rsidRPr="00922808" w:rsidRDefault="00922808" w:rsidP="00922808">
            <w:pPr>
              <w:tabs>
                <w:tab w:val="left" w:pos="284"/>
              </w:tabs>
              <w:rPr>
                <w:rFonts w:ascii="Tahoma" w:hAnsi="Tahoma" w:cs="Tahoma"/>
                <w:bCs/>
                <w:iCs/>
                <w:sz w:val="22"/>
                <w:szCs w:val="22"/>
              </w:rPr>
            </w:pPr>
            <w:r w:rsidRPr="00922808">
              <w:rPr>
                <w:rFonts w:ascii="Tahoma" w:hAnsi="Tahoma" w:cs="Tahoma"/>
                <w:bCs/>
                <w:iCs/>
                <w:sz w:val="22"/>
                <w:szCs w:val="22"/>
              </w:rPr>
              <w:t xml:space="preserve">с Карты на карты других банков с использованием номера карты </w:t>
            </w:r>
          </w:p>
          <w:p w14:paraId="540A53CE" w14:textId="77777777" w:rsidR="00922808" w:rsidRPr="00922808" w:rsidRDefault="00922808" w:rsidP="00922808">
            <w:pPr>
              <w:tabs>
                <w:tab w:val="left" w:pos="284"/>
              </w:tabs>
              <w:rPr>
                <w:rFonts w:ascii="Tahoma" w:hAnsi="Tahoma" w:cs="Tahoma"/>
                <w:bCs/>
                <w:iCs/>
                <w:sz w:val="22"/>
                <w:szCs w:val="22"/>
              </w:rPr>
            </w:pPr>
            <w:r w:rsidRPr="00922808">
              <w:rPr>
                <w:rFonts w:ascii="Tahoma" w:hAnsi="Tahoma" w:cs="Tahoma"/>
                <w:bCs/>
                <w:iCs/>
                <w:sz w:val="22"/>
                <w:szCs w:val="22"/>
              </w:rPr>
              <w:t>(для Карт в иностранных валютах не предусмотрено)</w:t>
            </w:r>
          </w:p>
        </w:tc>
        <w:tc>
          <w:tcPr>
            <w:tcW w:w="2896" w:type="pct"/>
            <w:gridSpan w:val="4"/>
            <w:shd w:val="clear" w:color="auto" w:fill="auto"/>
            <w:vAlign w:val="center"/>
          </w:tcPr>
          <w:p w14:paraId="2B3DEAC4" w14:textId="77777777" w:rsidR="00922808" w:rsidRPr="00922808" w:rsidRDefault="00922808" w:rsidP="00922808">
            <w:pPr>
              <w:numPr>
                <w:ilvl w:val="0"/>
                <w:numId w:val="21"/>
              </w:numPr>
              <w:tabs>
                <w:tab w:val="left" w:pos="4889"/>
              </w:tabs>
              <w:spacing w:after="160" w:line="259" w:lineRule="auto"/>
              <w:ind w:left="364"/>
              <w:contextualSpacing/>
              <w:jc w:val="both"/>
              <w:rPr>
                <w:rFonts w:ascii="Tahoma" w:hAnsi="Tahoma" w:cs="Tahoma"/>
                <w:b/>
                <w:bCs/>
                <w:iCs/>
              </w:rPr>
            </w:pPr>
            <w:r w:rsidRPr="00922808">
              <w:rPr>
                <w:rFonts w:ascii="Tahoma" w:hAnsi="Tahoma" w:cs="Tahoma"/>
                <w:b/>
                <w:bCs/>
                <w:iCs/>
              </w:rPr>
              <w:t xml:space="preserve">переводы на Сайте Банка: </w:t>
            </w:r>
            <w:hyperlink r:id="rId89" w:history="1">
              <w:r w:rsidRPr="00922808">
                <w:rPr>
                  <w:rFonts w:ascii="Tahoma" w:hAnsi="Tahoma" w:cs="Tahoma"/>
                  <w:b/>
                  <w:bCs/>
                  <w:iCs/>
                  <w:u w:val="single"/>
                </w:rPr>
                <w:t>www.atb.su</w:t>
              </w:r>
            </w:hyperlink>
            <w:r w:rsidRPr="00922808">
              <w:rPr>
                <w:rFonts w:ascii="Tahoma" w:hAnsi="Tahoma" w:cs="Tahoma"/>
                <w:b/>
                <w:bCs/>
                <w:iCs/>
              </w:rPr>
              <w:t xml:space="preserve">, в каналах ДБО Банка: «АТБ-Онлайн», Мобильный банк, </w:t>
            </w:r>
            <w:r w:rsidRPr="00922808">
              <w:rPr>
                <w:rFonts w:ascii="Tahoma" w:hAnsi="Tahoma" w:cs="Tahoma"/>
                <w:b/>
                <w:iCs/>
              </w:rPr>
              <w:t>в банкоматах Банка</w:t>
            </w:r>
            <w:r w:rsidRPr="00922808">
              <w:rPr>
                <w:rFonts w:ascii="Tahoma" w:hAnsi="Tahoma" w:cs="Tahoma"/>
                <w:b/>
                <w:bCs/>
                <w:iCs/>
              </w:rPr>
              <w:t xml:space="preserve">: </w:t>
            </w:r>
          </w:p>
          <w:p w14:paraId="01642E62" w14:textId="77777777" w:rsidR="00922808" w:rsidRPr="00922808" w:rsidRDefault="00922808" w:rsidP="00922808">
            <w:pPr>
              <w:numPr>
                <w:ilvl w:val="0"/>
                <w:numId w:val="24"/>
              </w:numPr>
              <w:tabs>
                <w:tab w:val="left" w:pos="4889"/>
              </w:tabs>
              <w:spacing w:after="160" w:line="259" w:lineRule="auto"/>
              <w:contextualSpacing/>
              <w:jc w:val="both"/>
              <w:rPr>
                <w:rFonts w:ascii="Tahoma" w:hAnsi="Tahoma" w:cs="Tahoma"/>
                <w:bCs/>
                <w:iCs/>
              </w:rPr>
            </w:pPr>
            <w:r w:rsidRPr="00922808">
              <w:rPr>
                <w:rFonts w:ascii="Tahoma" w:hAnsi="Tahoma" w:cs="Tahoma"/>
                <w:bCs/>
                <w:iCs/>
              </w:rPr>
              <w:t xml:space="preserve">на карты российских банков-эмитентов: </w:t>
            </w:r>
            <w:r w:rsidRPr="00922808">
              <w:rPr>
                <w:rFonts w:ascii="Tahoma" w:hAnsi="Tahoma" w:cs="Tahoma"/>
                <w:b/>
                <w:bCs/>
                <w:iCs/>
              </w:rPr>
              <w:t>1,3%</w:t>
            </w:r>
            <w:r w:rsidRPr="00922808">
              <w:rPr>
                <w:rFonts w:ascii="Tahoma" w:hAnsi="Tahoma" w:cs="Tahoma"/>
                <w:bCs/>
                <w:iCs/>
              </w:rPr>
              <w:t xml:space="preserve"> от суммы перевода +30 рублей;</w:t>
            </w:r>
          </w:p>
          <w:p w14:paraId="7B541C85" w14:textId="77777777" w:rsidR="00922808" w:rsidRPr="00922808" w:rsidRDefault="00922808" w:rsidP="00922808">
            <w:pPr>
              <w:numPr>
                <w:ilvl w:val="0"/>
                <w:numId w:val="24"/>
              </w:numPr>
              <w:tabs>
                <w:tab w:val="left" w:pos="4889"/>
              </w:tabs>
              <w:spacing w:after="160" w:line="259" w:lineRule="auto"/>
              <w:contextualSpacing/>
              <w:jc w:val="both"/>
              <w:rPr>
                <w:rFonts w:ascii="Tahoma" w:hAnsi="Tahoma" w:cs="Tahoma"/>
                <w:bCs/>
                <w:iCs/>
              </w:rPr>
            </w:pPr>
            <w:r w:rsidRPr="00922808">
              <w:rPr>
                <w:rFonts w:ascii="Tahoma" w:hAnsi="Tahoma" w:cs="Tahoma"/>
                <w:bCs/>
                <w:iCs/>
              </w:rPr>
              <w:t xml:space="preserve">на карты иностранных банков-эмитентов: </w:t>
            </w:r>
            <w:r w:rsidRPr="00922808">
              <w:rPr>
                <w:rFonts w:ascii="Tahoma" w:hAnsi="Tahoma" w:cs="Tahoma"/>
                <w:b/>
                <w:bCs/>
                <w:iCs/>
              </w:rPr>
              <w:t>1,5%</w:t>
            </w:r>
            <w:r w:rsidRPr="00922808">
              <w:rPr>
                <w:rFonts w:ascii="Tahoma" w:hAnsi="Tahoma" w:cs="Tahoma"/>
                <w:bCs/>
                <w:iCs/>
              </w:rPr>
              <w:t xml:space="preserve"> от суммы перевода +150 рублей.</w:t>
            </w:r>
          </w:p>
          <w:p w14:paraId="64D71FFD" w14:textId="77777777" w:rsidR="00922808" w:rsidRPr="00922808" w:rsidRDefault="00922808" w:rsidP="00922808">
            <w:pPr>
              <w:numPr>
                <w:ilvl w:val="0"/>
                <w:numId w:val="21"/>
              </w:numPr>
              <w:tabs>
                <w:tab w:val="left" w:pos="4889"/>
              </w:tabs>
              <w:spacing w:after="160" w:line="259" w:lineRule="auto"/>
              <w:ind w:left="364" w:hanging="364"/>
              <w:contextualSpacing/>
              <w:jc w:val="both"/>
              <w:rPr>
                <w:rFonts w:ascii="Tahoma" w:hAnsi="Tahoma" w:cs="Tahoma"/>
                <w:b/>
                <w:bCs/>
                <w:iCs/>
              </w:rPr>
            </w:pPr>
            <w:r w:rsidRPr="00922808">
              <w:rPr>
                <w:rFonts w:ascii="Tahoma" w:hAnsi="Tahoma" w:cs="Tahoma"/>
                <w:b/>
                <w:bCs/>
                <w:iCs/>
              </w:rPr>
              <w:t xml:space="preserve">в сервисах других банков (банкоматы, сайты и мобильные приложения банков): </w:t>
            </w:r>
          </w:p>
          <w:p w14:paraId="2BF31417" w14:textId="77777777" w:rsidR="00922808" w:rsidRPr="00922808" w:rsidRDefault="00922808" w:rsidP="00922808">
            <w:pPr>
              <w:numPr>
                <w:ilvl w:val="0"/>
                <w:numId w:val="24"/>
              </w:numPr>
              <w:tabs>
                <w:tab w:val="left" w:pos="4889"/>
              </w:tabs>
              <w:spacing w:after="160" w:line="259" w:lineRule="auto"/>
              <w:contextualSpacing/>
              <w:jc w:val="both"/>
              <w:rPr>
                <w:rFonts w:ascii="Tahoma" w:hAnsi="Tahoma" w:cs="Tahoma"/>
                <w:bCs/>
                <w:iCs/>
              </w:rPr>
            </w:pPr>
            <w:r w:rsidRPr="00922808">
              <w:rPr>
                <w:rFonts w:ascii="Tahoma" w:hAnsi="Tahoma" w:cs="Tahoma"/>
                <w:b/>
                <w:bCs/>
                <w:iCs/>
              </w:rPr>
              <w:t>1,3%</w:t>
            </w:r>
            <w:r w:rsidRPr="00922808">
              <w:rPr>
                <w:rFonts w:ascii="Tahoma" w:hAnsi="Tahoma" w:cs="Tahoma"/>
                <w:bCs/>
                <w:iCs/>
              </w:rPr>
              <w:t xml:space="preserve"> от суммы перевода +30 рублей (другой банк может взимать дополнительную комиссию согласно своих тарифов).</w:t>
            </w:r>
          </w:p>
        </w:tc>
      </w:tr>
      <w:tr w:rsidR="00922808" w:rsidRPr="00922808" w14:paraId="1D49D122" w14:textId="77777777" w:rsidTr="00922808">
        <w:tc>
          <w:tcPr>
            <w:tcW w:w="347" w:type="pct"/>
            <w:shd w:val="clear" w:color="auto" w:fill="808080"/>
            <w:vAlign w:val="center"/>
          </w:tcPr>
          <w:p w14:paraId="39D63A2A"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4.2.</w:t>
            </w:r>
          </w:p>
        </w:tc>
        <w:tc>
          <w:tcPr>
            <w:tcW w:w="4653" w:type="pct"/>
            <w:gridSpan w:val="5"/>
            <w:shd w:val="clear" w:color="auto" w:fill="808080"/>
            <w:vAlign w:val="center"/>
          </w:tcPr>
          <w:p w14:paraId="6A822171"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Совершение безналичных операций в ТСП</w:t>
            </w:r>
            <w:r w:rsidRPr="00922808">
              <w:rPr>
                <w:rFonts w:ascii="Tahoma" w:hAnsi="Tahoma" w:cs="Tahoma"/>
                <w:b/>
                <w:bCs/>
                <w:iCs/>
                <w:color w:val="FFFFFF"/>
                <w:sz w:val="22"/>
                <w:szCs w:val="22"/>
                <w:vertAlign w:val="superscript"/>
              </w:rPr>
              <w:t>15</w:t>
            </w:r>
            <w:r w:rsidRPr="00922808">
              <w:rPr>
                <w:rFonts w:ascii="Tahoma" w:hAnsi="Tahoma" w:cs="Tahoma"/>
                <w:b/>
                <w:bCs/>
                <w:iCs/>
                <w:color w:val="FFFFFF"/>
                <w:sz w:val="22"/>
                <w:szCs w:val="22"/>
              </w:rPr>
              <w:t xml:space="preserve"> и сети Интернет (оплата товаров, работ, услуг, результатов интеллектуальной деятельности)</w:t>
            </w:r>
            <w:r w:rsidRPr="00922808" w:rsidDel="00754919">
              <w:rPr>
                <w:rFonts w:ascii="Tahoma" w:hAnsi="Tahoma" w:cs="Tahoma"/>
                <w:b/>
                <w:bCs/>
                <w:iCs/>
                <w:color w:val="FFFFFF"/>
                <w:sz w:val="22"/>
                <w:szCs w:val="22"/>
              </w:rPr>
              <w:t xml:space="preserve"> </w:t>
            </w:r>
            <w:r w:rsidRPr="00922808">
              <w:rPr>
                <w:rFonts w:ascii="Tahoma" w:hAnsi="Tahoma" w:cs="Tahoma"/>
                <w:b/>
                <w:bCs/>
                <w:iCs/>
                <w:color w:val="FFFFFF"/>
                <w:sz w:val="22"/>
                <w:szCs w:val="22"/>
              </w:rPr>
              <w:t>Картой:</w:t>
            </w:r>
          </w:p>
        </w:tc>
      </w:tr>
      <w:tr w:rsidR="00922808" w:rsidRPr="00922808" w14:paraId="28EBCB31" w14:textId="77777777" w:rsidTr="005A7C26">
        <w:tc>
          <w:tcPr>
            <w:tcW w:w="347" w:type="pct"/>
            <w:shd w:val="clear" w:color="auto" w:fill="auto"/>
            <w:vAlign w:val="center"/>
          </w:tcPr>
          <w:p w14:paraId="33E8BA1A"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4.2.1.</w:t>
            </w:r>
          </w:p>
        </w:tc>
        <w:tc>
          <w:tcPr>
            <w:tcW w:w="1757" w:type="pct"/>
            <w:shd w:val="clear" w:color="auto" w:fill="auto"/>
            <w:vAlign w:val="center"/>
          </w:tcPr>
          <w:p w14:paraId="02384C7E" w14:textId="77777777" w:rsidR="00922808" w:rsidRPr="00922808" w:rsidRDefault="00922808" w:rsidP="00922808">
            <w:pPr>
              <w:tabs>
                <w:tab w:val="left" w:pos="284"/>
              </w:tabs>
              <w:rPr>
                <w:rFonts w:ascii="Tahoma" w:hAnsi="Tahoma" w:cs="Tahoma"/>
                <w:bCs/>
                <w:iCs/>
                <w:color w:val="000000"/>
                <w:sz w:val="22"/>
                <w:szCs w:val="22"/>
                <w:vertAlign w:val="superscript"/>
              </w:rPr>
            </w:pPr>
            <w:r w:rsidRPr="00922808">
              <w:rPr>
                <w:rFonts w:ascii="Tahoma" w:hAnsi="Tahoma" w:cs="Tahoma"/>
                <w:bCs/>
                <w:iCs/>
                <w:color w:val="000000"/>
                <w:sz w:val="22"/>
                <w:szCs w:val="22"/>
              </w:rPr>
              <w:t>безналичная оплата товаров, работ, услуг и результатов интеллектуальной деятельности в ТСП</w:t>
            </w:r>
          </w:p>
        </w:tc>
        <w:tc>
          <w:tcPr>
            <w:tcW w:w="2896" w:type="pct"/>
            <w:gridSpan w:val="4"/>
            <w:shd w:val="clear" w:color="auto" w:fill="auto"/>
            <w:vAlign w:val="center"/>
          </w:tcPr>
          <w:p w14:paraId="44DB3778" w14:textId="77777777" w:rsidR="00922808" w:rsidRPr="00922808" w:rsidRDefault="00922808" w:rsidP="00922808">
            <w:pPr>
              <w:tabs>
                <w:tab w:val="left" w:pos="284"/>
              </w:tabs>
              <w:jc w:val="center"/>
              <w:rPr>
                <w:rFonts w:ascii="Tahoma" w:hAnsi="Tahoma" w:cs="Tahoma"/>
                <w:b/>
                <w:bCs/>
                <w:iCs/>
                <w:color w:val="000000"/>
                <w:sz w:val="22"/>
                <w:szCs w:val="22"/>
              </w:rPr>
            </w:pPr>
            <w:r w:rsidRPr="00922808">
              <w:rPr>
                <w:rFonts w:ascii="Tahoma" w:hAnsi="Tahoma" w:cs="Tahoma"/>
                <w:b/>
                <w:bCs/>
                <w:iCs/>
                <w:color w:val="000000"/>
                <w:sz w:val="22"/>
                <w:szCs w:val="22"/>
              </w:rPr>
              <w:t>БЕСПЛАТНО</w:t>
            </w:r>
          </w:p>
        </w:tc>
      </w:tr>
      <w:tr w:rsidR="00922808" w:rsidRPr="00922808" w14:paraId="4AA83E61" w14:textId="77777777" w:rsidTr="005A7C26">
        <w:tc>
          <w:tcPr>
            <w:tcW w:w="347" w:type="pct"/>
            <w:shd w:val="clear" w:color="auto" w:fill="auto"/>
            <w:vAlign w:val="center"/>
          </w:tcPr>
          <w:p w14:paraId="78DEE40C"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4.2.2.</w:t>
            </w:r>
          </w:p>
        </w:tc>
        <w:tc>
          <w:tcPr>
            <w:tcW w:w="1757" w:type="pct"/>
            <w:shd w:val="clear" w:color="auto" w:fill="auto"/>
            <w:vAlign w:val="center"/>
          </w:tcPr>
          <w:p w14:paraId="19DFAAFB" w14:textId="77777777" w:rsidR="00922808" w:rsidRPr="00922808" w:rsidRDefault="00922808" w:rsidP="00922808">
            <w:pPr>
              <w:tabs>
                <w:tab w:val="left" w:pos="284"/>
              </w:tabs>
              <w:rPr>
                <w:rFonts w:ascii="Tahoma" w:hAnsi="Tahoma" w:cs="Tahoma"/>
                <w:bCs/>
                <w:iCs/>
                <w:sz w:val="22"/>
                <w:szCs w:val="22"/>
              </w:rPr>
            </w:pPr>
            <w:r w:rsidRPr="00922808">
              <w:rPr>
                <w:rFonts w:ascii="Tahoma" w:hAnsi="Tahoma" w:cs="Tahoma"/>
                <w:bCs/>
                <w:iCs/>
                <w:sz w:val="22"/>
                <w:szCs w:val="22"/>
              </w:rPr>
              <w:t>конверсия при совершении оплаты в ТСП</w:t>
            </w:r>
          </w:p>
        </w:tc>
        <w:tc>
          <w:tcPr>
            <w:tcW w:w="2896" w:type="pct"/>
            <w:gridSpan w:val="4"/>
            <w:shd w:val="clear" w:color="auto" w:fill="auto"/>
            <w:vAlign w:val="center"/>
          </w:tcPr>
          <w:p w14:paraId="34AF1429" w14:textId="77777777" w:rsidR="00922808" w:rsidRPr="00922808" w:rsidRDefault="00922808" w:rsidP="00922808">
            <w:pPr>
              <w:numPr>
                <w:ilvl w:val="0"/>
                <w:numId w:val="23"/>
              </w:numPr>
              <w:tabs>
                <w:tab w:val="left" w:pos="350"/>
              </w:tabs>
              <w:spacing w:after="160" w:line="259" w:lineRule="auto"/>
              <w:ind w:left="338"/>
              <w:contextualSpacing/>
              <w:jc w:val="both"/>
              <w:rPr>
                <w:rFonts w:ascii="Tahoma" w:hAnsi="Tahoma" w:cs="Tahoma"/>
                <w:b/>
                <w:bCs/>
                <w:iCs/>
              </w:rPr>
            </w:pPr>
            <w:r w:rsidRPr="00922808">
              <w:rPr>
                <w:rFonts w:ascii="Tahoma" w:hAnsi="Tahoma" w:cs="Tahoma"/>
                <w:b/>
                <w:bCs/>
                <w:iCs/>
              </w:rPr>
              <w:t>по курсу Банка на момент совершения операции</w:t>
            </w:r>
            <w:r w:rsidRPr="00922808">
              <w:rPr>
                <w:rFonts w:ascii="Tahoma" w:hAnsi="Tahoma" w:cs="Tahoma"/>
                <w:bCs/>
                <w:iCs/>
              </w:rPr>
              <w:t xml:space="preserve">: если валюта счета Карты Клиента отлична от валюты расчетов Банка с Платежной системой в этом регионе </w:t>
            </w:r>
            <w:r w:rsidRPr="00922808">
              <w:rPr>
                <w:rFonts w:ascii="Tahoma" w:hAnsi="Tahoma" w:cs="Tahoma"/>
                <w:bCs/>
                <w:i/>
                <w:iCs/>
              </w:rPr>
              <w:t>(валюта расчетов Банка с Платежной системой в этом регионе при этом идентична валюте совершения операции)</w:t>
            </w:r>
            <w:r w:rsidRPr="00922808">
              <w:rPr>
                <w:rFonts w:ascii="Tahoma" w:hAnsi="Tahoma" w:cs="Tahoma"/>
                <w:bCs/>
                <w:iCs/>
              </w:rPr>
              <w:t>;</w:t>
            </w:r>
          </w:p>
          <w:p w14:paraId="3BA52C7B" w14:textId="77777777" w:rsidR="00922808" w:rsidRPr="00922808" w:rsidRDefault="00922808" w:rsidP="00922808">
            <w:pPr>
              <w:numPr>
                <w:ilvl w:val="0"/>
                <w:numId w:val="23"/>
              </w:numPr>
              <w:tabs>
                <w:tab w:val="left" w:pos="350"/>
              </w:tabs>
              <w:spacing w:after="160" w:line="259" w:lineRule="auto"/>
              <w:ind w:left="338"/>
              <w:contextualSpacing/>
              <w:jc w:val="both"/>
              <w:rPr>
                <w:rFonts w:ascii="Tahoma" w:hAnsi="Tahoma" w:cs="Tahoma"/>
                <w:b/>
                <w:bCs/>
                <w:iCs/>
              </w:rPr>
            </w:pPr>
            <w:r w:rsidRPr="00922808">
              <w:rPr>
                <w:rFonts w:ascii="Tahoma" w:hAnsi="Tahoma" w:cs="Tahoma"/>
                <w:b/>
                <w:bCs/>
                <w:iCs/>
              </w:rPr>
              <w:t>дополнительно применяются</w:t>
            </w:r>
            <w:r w:rsidRPr="00922808">
              <w:rPr>
                <w:rFonts w:ascii="Tahoma" w:hAnsi="Tahoma" w:cs="Tahoma"/>
                <w:bCs/>
                <w:iCs/>
              </w:rPr>
              <w:t xml:space="preserve"> </w:t>
            </w:r>
            <w:r w:rsidRPr="00922808">
              <w:rPr>
                <w:rFonts w:ascii="Tahoma" w:hAnsi="Tahoma" w:cs="Tahoma"/>
                <w:b/>
                <w:bCs/>
                <w:iCs/>
              </w:rPr>
              <w:t>курс и тарифы Платежной системы на момент проведения расчетов с Банком:</w:t>
            </w:r>
            <w:r w:rsidRPr="00922808">
              <w:rPr>
                <w:rFonts w:ascii="Tahoma" w:hAnsi="Tahoma" w:cs="Tahoma"/>
                <w:bCs/>
                <w:iCs/>
              </w:rPr>
              <w:t xml:space="preserve"> если валюта совершения операции – отлична от валюты расчетов Банка с Платежной системой, дополнительно к конверсии Платежная система применяет </w:t>
            </w:r>
            <w:r w:rsidRPr="00922808">
              <w:rPr>
                <w:rFonts w:ascii="Tahoma" w:hAnsi="Tahoma" w:cs="Tahoma"/>
                <w:b/>
                <w:bCs/>
                <w:iCs/>
              </w:rPr>
              <w:t>+2%</w:t>
            </w:r>
            <w:r w:rsidRPr="00922808">
              <w:rPr>
                <w:rFonts w:ascii="Tahoma" w:hAnsi="Tahoma" w:cs="Tahoma"/>
                <w:bCs/>
                <w:iCs/>
              </w:rPr>
              <w:t xml:space="preserve"> от суммы операции по курсу Банка</w:t>
            </w:r>
            <w:r w:rsidRPr="00922808" w:rsidDel="00770CE6">
              <w:rPr>
                <w:rFonts w:ascii="Tahoma" w:hAnsi="Tahoma" w:cs="Tahoma"/>
                <w:bCs/>
                <w:iCs/>
              </w:rPr>
              <w:t xml:space="preserve"> </w:t>
            </w:r>
            <w:r w:rsidRPr="00922808">
              <w:rPr>
                <w:rFonts w:ascii="Tahoma" w:hAnsi="Tahoma" w:cs="Tahoma"/>
                <w:bCs/>
                <w:iCs/>
              </w:rPr>
              <w:t xml:space="preserve">(для операций по Картам </w:t>
            </w:r>
            <w:r w:rsidRPr="00922808">
              <w:rPr>
                <w:rFonts w:ascii="Tahoma" w:hAnsi="Tahoma" w:cs="Tahoma"/>
                <w:bCs/>
                <w:iCs/>
                <w:lang w:val="en-US"/>
              </w:rPr>
              <w:t>Visa</w:t>
            </w:r>
            <w:r w:rsidRPr="00922808">
              <w:rPr>
                <w:rFonts w:ascii="Tahoma" w:hAnsi="Tahoma" w:cs="Tahoma"/>
                <w:bCs/>
                <w:iCs/>
              </w:rPr>
              <w:t xml:space="preserve"> и </w:t>
            </w:r>
            <w:r w:rsidRPr="00922808">
              <w:rPr>
                <w:rFonts w:ascii="Tahoma" w:hAnsi="Tahoma" w:cs="Tahoma"/>
                <w:bCs/>
                <w:iCs/>
                <w:lang w:val="en-US"/>
              </w:rPr>
              <w:t>UnionPay</w:t>
            </w:r>
            <w:r w:rsidRPr="00922808">
              <w:rPr>
                <w:rFonts w:ascii="Tahoma" w:hAnsi="Tahoma" w:cs="Tahoma"/>
                <w:bCs/>
                <w:iCs/>
              </w:rPr>
              <w:t xml:space="preserve">). </w:t>
            </w:r>
          </w:p>
        </w:tc>
      </w:tr>
      <w:tr w:rsidR="00922808" w:rsidRPr="00922808" w14:paraId="75C85ECE" w14:textId="77777777" w:rsidTr="005A7C26">
        <w:tc>
          <w:tcPr>
            <w:tcW w:w="347" w:type="pct"/>
            <w:shd w:val="clear" w:color="auto" w:fill="auto"/>
            <w:vAlign w:val="center"/>
          </w:tcPr>
          <w:p w14:paraId="336DE4F5"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4.2.3.</w:t>
            </w:r>
          </w:p>
        </w:tc>
        <w:tc>
          <w:tcPr>
            <w:tcW w:w="1757" w:type="pct"/>
            <w:shd w:val="clear" w:color="auto" w:fill="auto"/>
            <w:vAlign w:val="center"/>
          </w:tcPr>
          <w:p w14:paraId="19F55D0E" w14:textId="77777777" w:rsidR="00922808" w:rsidRPr="00922808" w:rsidRDefault="00922808" w:rsidP="00922808">
            <w:pPr>
              <w:tabs>
                <w:tab w:val="left" w:pos="284"/>
              </w:tabs>
              <w:rPr>
                <w:rFonts w:ascii="Tahoma" w:hAnsi="Tahoma" w:cs="Tahoma"/>
                <w:bCs/>
                <w:iCs/>
                <w:sz w:val="22"/>
                <w:szCs w:val="22"/>
              </w:rPr>
            </w:pPr>
            <w:r w:rsidRPr="00922808">
              <w:rPr>
                <w:rFonts w:ascii="Tahoma" w:hAnsi="Tahoma" w:cs="Tahoma"/>
                <w:bCs/>
                <w:iCs/>
                <w:sz w:val="22"/>
                <w:szCs w:val="22"/>
              </w:rPr>
              <w:t>проведение «уникальных» транзакций: квази-кэш (оплата дорожных чеков, денежных обязательств), «игровые транзакции» (оплата лотерейных билетов, игровых фишек в казино) и пр.</w:t>
            </w:r>
            <w:r w:rsidRPr="00922808">
              <w:rPr>
                <w:rFonts w:ascii="Tahoma" w:hAnsi="Tahoma" w:cs="Tahoma"/>
                <w:bCs/>
                <w:iCs/>
                <w:sz w:val="22"/>
                <w:szCs w:val="22"/>
                <w:vertAlign w:val="superscript"/>
              </w:rPr>
              <w:t>16</w:t>
            </w:r>
          </w:p>
        </w:tc>
        <w:tc>
          <w:tcPr>
            <w:tcW w:w="2896" w:type="pct"/>
            <w:gridSpan w:val="4"/>
            <w:shd w:val="clear" w:color="auto" w:fill="auto"/>
            <w:vAlign w:val="center"/>
          </w:tcPr>
          <w:p w14:paraId="74FF9196" w14:textId="77777777" w:rsidR="00922808" w:rsidRPr="00922808" w:rsidRDefault="00922808" w:rsidP="00922808">
            <w:pPr>
              <w:tabs>
                <w:tab w:val="left" w:pos="284"/>
              </w:tabs>
              <w:jc w:val="center"/>
              <w:rPr>
                <w:rFonts w:ascii="Tahoma" w:hAnsi="Tahoma" w:cs="Tahoma"/>
                <w:bCs/>
                <w:iCs/>
                <w:sz w:val="22"/>
                <w:szCs w:val="22"/>
              </w:rPr>
            </w:pPr>
            <w:r w:rsidRPr="00922808">
              <w:rPr>
                <w:rFonts w:ascii="Tahoma" w:hAnsi="Tahoma" w:cs="Tahoma"/>
                <w:b/>
                <w:bCs/>
                <w:iCs/>
                <w:sz w:val="22"/>
                <w:szCs w:val="22"/>
              </w:rPr>
              <w:t>для Карт в рублях</w:t>
            </w:r>
            <w:r w:rsidRPr="00922808">
              <w:rPr>
                <w:rFonts w:ascii="Tahoma" w:hAnsi="Tahoma" w:cs="Tahoma"/>
                <w:bCs/>
                <w:iCs/>
                <w:sz w:val="22"/>
                <w:szCs w:val="22"/>
              </w:rPr>
              <w:t>: 4,9% от суммы операции +249 рублей;</w:t>
            </w:r>
          </w:p>
          <w:p w14:paraId="0B812DD8" w14:textId="77777777" w:rsidR="00922808" w:rsidRPr="00922808" w:rsidRDefault="00922808" w:rsidP="00922808">
            <w:pPr>
              <w:tabs>
                <w:tab w:val="left" w:pos="284"/>
              </w:tabs>
              <w:jc w:val="center"/>
              <w:rPr>
                <w:rFonts w:ascii="Tahoma" w:hAnsi="Tahoma" w:cs="Tahoma"/>
                <w:bCs/>
                <w:iCs/>
                <w:sz w:val="22"/>
                <w:szCs w:val="22"/>
              </w:rPr>
            </w:pPr>
            <w:r w:rsidRPr="00922808">
              <w:rPr>
                <w:rFonts w:ascii="Tahoma" w:hAnsi="Tahoma" w:cs="Tahoma"/>
                <w:b/>
                <w:bCs/>
                <w:iCs/>
                <w:sz w:val="22"/>
                <w:szCs w:val="22"/>
              </w:rPr>
              <w:t>для Карт в юанях</w:t>
            </w:r>
            <w:r w:rsidRPr="00922808">
              <w:rPr>
                <w:rFonts w:ascii="Tahoma" w:hAnsi="Tahoma" w:cs="Tahoma"/>
                <w:bCs/>
                <w:iCs/>
                <w:sz w:val="22"/>
                <w:szCs w:val="22"/>
              </w:rPr>
              <w:t>: 4,9% от суммы операции +20 юаней.</w:t>
            </w:r>
          </w:p>
        </w:tc>
      </w:tr>
      <w:tr w:rsidR="00922808" w:rsidRPr="00922808" w14:paraId="1DCFA17B" w14:textId="77777777" w:rsidTr="00922808">
        <w:tc>
          <w:tcPr>
            <w:tcW w:w="347" w:type="pct"/>
            <w:shd w:val="clear" w:color="auto" w:fill="808080"/>
            <w:vAlign w:val="center"/>
          </w:tcPr>
          <w:p w14:paraId="22E9EC8A"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4.3.</w:t>
            </w:r>
          </w:p>
        </w:tc>
        <w:tc>
          <w:tcPr>
            <w:tcW w:w="4653" w:type="pct"/>
            <w:gridSpan w:val="5"/>
            <w:shd w:val="clear" w:color="auto" w:fill="808080"/>
            <w:vAlign w:val="center"/>
          </w:tcPr>
          <w:p w14:paraId="03242C99"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Наличные операции по Карте в технических устройствах</w:t>
            </w:r>
          </w:p>
        </w:tc>
      </w:tr>
      <w:tr w:rsidR="00922808" w:rsidRPr="00922808" w14:paraId="55E73026" w14:textId="77777777" w:rsidTr="005A7C26">
        <w:tc>
          <w:tcPr>
            <w:tcW w:w="347" w:type="pct"/>
            <w:shd w:val="clear" w:color="auto" w:fill="auto"/>
            <w:vAlign w:val="center"/>
          </w:tcPr>
          <w:p w14:paraId="4172B27E"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4.3.1.</w:t>
            </w:r>
          </w:p>
        </w:tc>
        <w:tc>
          <w:tcPr>
            <w:tcW w:w="1757" w:type="pct"/>
            <w:shd w:val="clear" w:color="auto" w:fill="auto"/>
            <w:vAlign w:val="center"/>
          </w:tcPr>
          <w:p w14:paraId="68366F33" w14:textId="77777777" w:rsidR="00922808" w:rsidRPr="00922808" w:rsidRDefault="00922808" w:rsidP="00922808">
            <w:pPr>
              <w:tabs>
                <w:tab w:val="left" w:pos="4873"/>
              </w:tabs>
              <w:rPr>
                <w:rFonts w:ascii="Tahoma" w:hAnsi="Tahoma" w:cs="Tahoma"/>
                <w:bCs/>
                <w:iCs/>
                <w:color w:val="000000"/>
                <w:sz w:val="22"/>
                <w:szCs w:val="22"/>
              </w:rPr>
            </w:pPr>
            <w:r w:rsidRPr="00922808">
              <w:rPr>
                <w:rFonts w:ascii="Tahoma" w:hAnsi="Tahoma" w:cs="Tahoma"/>
                <w:bCs/>
                <w:iCs/>
                <w:color w:val="000000"/>
                <w:sz w:val="22"/>
                <w:szCs w:val="22"/>
              </w:rPr>
              <w:t>взнос наличных в банкоматах, пунктах выдачи наличных Банка и ТСО, а также через розничные сети партнеров</w:t>
            </w:r>
            <w:r w:rsidRPr="00922808">
              <w:rPr>
                <w:rFonts w:ascii="Tahoma" w:hAnsi="Tahoma" w:cs="Tahoma"/>
                <w:bCs/>
                <w:iCs/>
                <w:sz w:val="22"/>
                <w:szCs w:val="22"/>
                <w:vertAlign w:val="superscript"/>
              </w:rPr>
              <w:t>17</w:t>
            </w:r>
          </w:p>
        </w:tc>
        <w:tc>
          <w:tcPr>
            <w:tcW w:w="2896" w:type="pct"/>
            <w:gridSpan w:val="4"/>
            <w:vMerge w:val="restart"/>
            <w:shd w:val="clear" w:color="auto" w:fill="auto"/>
            <w:vAlign w:val="center"/>
          </w:tcPr>
          <w:p w14:paraId="0B54F928" w14:textId="77777777" w:rsidR="00922808" w:rsidRPr="00922808" w:rsidRDefault="00922808" w:rsidP="00922808">
            <w:pPr>
              <w:tabs>
                <w:tab w:val="left" w:pos="284"/>
              </w:tabs>
              <w:jc w:val="center"/>
              <w:rPr>
                <w:rFonts w:ascii="Tahoma" w:hAnsi="Tahoma" w:cs="Tahoma"/>
                <w:b/>
                <w:bCs/>
                <w:iCs/>
                <w:color w:val="000000"/>
                <w:sz w:val="22"/>
                <w:szCs w:val="22"/>
              </w:rPr>
            </w:pPr>
            <w:r w:rsidRPr="00922808">
              <w:rPr>
                <w:rFonts w:ascii="Tahoma" w:hAnsi="Tahoma" w:cs="Tahoma"/>
                <w:b/>
                <w:bCs/>
                <w:iCs/>
                <w:color w:val="000000"/>
                <w:sz w:val="22"/>
                <w:szCs w:val="22"/>
              </w:rPr>
              <w:t>БЕСПЛАТНО</w:t>
            </w:r>
          </w:p>
        </w:tc>
      </w:tr>
      <w:tr w:rsidR="00922808" w:rsidRPr="00922808" w14:paraId="7CA39858" w14:textId="77777777" w:rsidTr="005A7C26">
        <w:tc>
          <w:tcPr>
            <w:tcW w:w="347" w:type="pct"/>
            <w:shd w:val="clear" w:color="auto" w:fill="auto"/>
            <w:vAlign w:val="center"/>
          </w:tcPr>
          <w:p w14:paraId="212EF99F"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4.3.2.</w:t>
            </w:r>
          </w:p>
        </w:tc>
        <w:tc>
          <w:tcPr>
            <w:tcW w:w="1757" w:type="pct"/>
            <w:shd w:val="clear" w:color="auto" w:fill="auto"/>
            <w:vAlign w:val="center"/>
          </w:tcPr>
          <w:p w14:paraId="222B1E1B" w14:textId="77777777" w:rsidR="00922808" w:rsidRPr="00922808" w:rsidRDefault="00922808" w:rsidP="00922808">
            <w:pPr>
              <w:tabs>
                <w:tab w:val="left" w:pos="4873"/>
              </w:tabs>
              <w:rPr>
                <w:rFonts w:ascii="Tahoma" w:hAnsi="Tahoma" w:cs="Tahoma"/>
                <w:bCs/>
                <w:iCs/>
                <w:color w:val="000000"/>
                <w:sz w:val="22"/>
                <w:szCs w:val="22"/>
              </w:rPr>
            </w:pPr>
            <w:r w:rsidRPr="00922808">
              <w:rPr>
                <w:rFonts w:ascii="Tahoma" w:hAnsi="Tahoma" w:cs="Tahoma"/>
                <w:bCs/>
                <w:iCs/>
                <w:color w:val="000000"/>
                <w:sz w:val="22"/>
                <w:szCs w:val="22"/>
              </w:rPr>
              <w:t>выдача наличных в банкоматах и пунктах выдачи наличных Банка, других банков</w:t>
            </w:r>
            <w:r w:rsidRPr="00922808">
              <w:rPr>
                <w:rFonts w:ascii="Tahoma" w:hAnsi="Tahoma" w:cs="Tahoma"/>
                <w:bCs/>
                <w:iCs/>
                <w:sz w:val="22"/>
                <w:szCs w:val="22"/>
                <w:vertAlign w:val="superscript"/>
              </w:rPr>
              <w:t>17</w:t>
            </w:r>
          </w:p>
        </w:tc>
        <w:tc>
          <w:tcPr>
            <w:tcW w:w="2896" w:type="pct"/>
            <w:gridSpan w:val="4"/>
            <w:vMerge/>
            <w:shd w:val="clear" w:color="auto" w:fill="auto"/>
            <w:vAlign w:val="center"/>
          </w:tcPr>
          <w:p w14:paraId="6B2EC760" w14:textId="77777777" w:rsidR="00922808" w:rsidRPr="00922808" w:rsidRDefault="00922808" w:rsidP="00922808">
            <w:pPr>
              <w:tabs>
                <w:tab w:val="left" w:pos="284"/>
              </w:tabs>
              <w:jc w:val="center"/>
              <w:rPr>
                <w:rFonts w:ascii="Tahoma" w:hAnsi="Tahoma" w:cs="Tahoma"/>
                <w:b/>
                <w:bCs/>
                <w:iCs/>
                <w:color w:val="000000"/>
                <w:sz w:val="22"/>
                <w:szCs w:val="22"/>
              </w:rPr>
            </w:pPr>
          </w:p>
        </w:tc>
      </w:tr>
      <w:tr w:rsidR="00922808" w:rsidRPr="00922808" w14:paraId="58DE3A1C" w14:textId="77777777" w:rsidTr="005A7C26">
        <w:tc>
          <w:tcPr>
            <w:tcW w:w="347" w:type="pct"/>
            <w:shd w:val="clear" w:color="auto" w:fill="auto"/>
            <w:vAlign w:val="center"/>
          </w:tcPr>
          <w:p w14:paraId="2B186C85"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4.3.3.</w:t>
            </w:r>
          </w:p>
        </w:tc>
        <w:tc>
          <w:tcPr>
            <w:tcW w:w="1757" w:type="pct"/>
            <w:shd w:val="clear" w:color="auto" w:fill="auto"/>
            <w:vAlign w:val="center"/>
          </w:tcPr>
          <w:p w14:paraId="6307EA3A" w14:textId="77777777" w:rsidR="00922808" w:rsidRPr="00922808" w:rsidRDefault="00922808" w:rsidP="00922808">
            <w:pPr>
              <w:tabs>
                <w:tab w:val="left" w:pos="4873"/>
              </w:tabs>
              <w:rPr>
                <w:rFonts w:ascii="Tahoma" w:hAnsi="Tahoma" w:cs="Tahoma"/>
                <w:bCs/>
                <w:iCs/>
                <w:color w:val="000000"/>
                <w:sz w:val="22"/>
                <w:szCs w:val="22"/>
              </w:rPr>
            </w:pPr>
            <w:r w:rsidRPr="00922808">
              <w:rPr>
                <w:rFonts w:ascii="Tahoma" w:hAnsi="Tahoma" w:cs="Tahoma"/>
                <w:bCs/>
                <w:iCs/>
                <w:color w:val="000000"/>
                <w:sz w:val="22"/>
                <w:szCs w:val="22"/>
              </w:rPr>
              <w:t>выдача наличных денежных средств с использованием Карты с учетом лимитов совершения операций в ТСП</w:t>
            </w:r>
            <w:r w:rsidRPr="00922808">
              <w:rPr>
                <w:rFonts w:ascii="Tahoma" w:hAnsi="Tahoma" w:cs="Tahoma"/>
                <w:bCs/>
                <w:iCs/>
                <w:sz w:val="22"/>
                <w:szCs w:val="22"/>
                <w:vertAlign w:val="superscript"/>
              </w:rPr>
              <w:t>18</w:t>
            </w:r>
            <w:r w:rsidRPr="00922808">
              <w:rPr>
                <w:rFonts w:ascii="Tahoma" w:hAnsi="Tahoma" w:cs="Tahoma"/>
                <w:bCs/>
                <w:iCs/>
                <w:color w:val="000000"/>
                <w:sz w:val="22"/>
                <w:szCs w:val="22"/>
              </w:rPr>
              <w:t>, предоставляющих услугу выдачи наличных денежных средств при совершении покупки на территории РФ</w:t>
            </w:r>
          </w:p>
        </w:tc>
        <w:tc>
          <w:tcPr>
            <w:tcW w:w="2896" w:type="pct"/>
            <w:gridSpan w:val="4"/>
            <w:vMerge/>
            <w:shd w:val="clear" w:color="auto" w:fill="auto"/>
            <w:vAlign w:val="center"/>
          </w:tcPr>
          <w:p w14:paraId="41B1B0F3" w14:textId="77777777" w:rsidR="00922808" w:rsidRPr="00922808" w:rsidRDefault="00922808" w:rsidP="00922808">
            <w:pPr>
              <w:tabs>
                <w:tab w:val="left" w:pos="284"/>
              </w:tabs>
              <w:jc w:val="center"/>
              <w:rPr>
                <w:rFonts w:ascii="Tahoma" w:hAnsi="Tahoma" w:cs="Tahoma"/>
                <w:b/>
                <w:bCs/>
                <w:iCs/>
                <w:color w:val="000000"/>
                <w:sz w:val="22"/>
                <w:szCs w:val="22"/>
              </w:rPr>
            </w:pPr>
          </w:p>
        </w:tc>
      </w:tr>
      <w:tr w:rsidR="00922808" w:rsidRPr="00922808" w14:paraId="55F08B88" w14:textId="77777777" w:rsidTr="005A7C26">
        <w:tc>
          <w:tcPr>
            <w:tcW w:w="347" w:type="pct"/>
            <w:shd w:val="clear" w:color="auto" w:fill="auto"/>
            <w:vAlign w:val="center"/>
          </w:tcPr>
          <w:p w14:paraId="60682A39"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4.3.4.</w:t>
            </w:r>
          </w:p>
        </w:tc>
        <w:tc>
          <w:tcPr>
            <w:tcW w:w="1757" w:type="pct"/>
            <w:shd w:val="clear" w:color="auto" w:fill="auto"/>
            <w:vAlign w:val="center"/>
          </w:tcPr>
          <w:p w14:paraId="1728B5AF"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ежедневный лимит выдачи наличных в банкоматах любых банков (в том числе Банка)</w:t>
            </w:r>
            <w:r w:rsidRPr="00922808">
              <w:rPr>
                <w:rFonts w:ascii="Tahoma" w:hAnsi="Tahoma" w:cs="Tahoma"/>
                <w:bCs/>
                <w:iCs/>
                <w:sz w:val="22"/>
                <w:szCs w:val="22"/>
                <w:vertAlign w:val="superscript"/>
              </w:rPr>
              <w:t>19</w:t>
            </w:r>
          </w:p>
        </w:tc>
        <w:tc>
          <w:tcPr>
            <w:tcW w:w="2896" w:type="pct"/>
            <w:gridSpan w:val="4"/>
            <w:shd w:val="clear" w:color="auto" w:fill="auto"/>
            <w:vAlign w:val="center"/>
          </w:tcPr>
          <w:p w14:paraId="0FCEC069" w14:textId="77777777" w:rsidR="00922808" w:rsidRPr="00922808" w:rsidRDefault="00922808" w:rsidP="00922808">
            <w:pPr>
              <w:tabs>
                <w:tab w:val="left" w:pos="284"/>
              </w:tabs>
              <w:jc w:val="center"/>
              <w:rPr>
                <w:rFonts w:ascii="Tahoma" w:hAnsi="Tahoma" w:cs="Tahoma"/>
                <w:bCs/>
                <w:iCs/>
                <w:sz w:val="22"/>
                <w:szCs w:val="22"/>
              </w:rPr>
            </w:pPr>
            <w:r w:rsidRPr="00922808">
              <w:rPr>
                <w:rFonts w:ascii="Tahoma" w:hAnsi="Tahoma" w:cs="Tahoma"/>
                <w:bCs/>
                <w:iCs/>
                <w:sz w:val="22"/>
                <w:szCs w:val="22"/>
              </w:rPr>
              <w:t>500 000 рублей/</w:t>
            </w:r>
          </w:p>
          <w:p w14:paraId="09B83AB7" w14:textId="77777777" w:rsidR="00922808" w:rsidRPr="00922808" w:rsidRDefault="00922808" w:rsidP="00922808">
            <w:pPr>
              <w:tabs>
                <w:tab w:val="left" w:pos="284"/>
              </w:tabs>
              <w:jc w:val="center"/>
              <w:rPr>
                <w:rFonts w:ascii="Tahoma" w:hAnsi="Tahoma" w:cs="Tahoma"/>
                <w:bCs/>
                <w:iCs/>
                <w:sz w:val="22"/>
                <w:szCs w:val="22"/>
              </w:rPr>
            </w:pPr>
            <w:r w:rsidRPr="00922808">
              <w:rPr>
                <w:rFonts w:ascii="Tahoma" w:hAnsi="Tahoma" w:cs="Tahoma"/>
                <w:bCs/>
                <w:iCs/>
                <w:sz w:val="22"/>
                <w:szCs w:val="22"/>
              </w:rPr>
              <w:t>8 000 долларов США/Евро/</w:t>
            </w:r>
          </w:p>
          <w:p w14:paraId="7BB1254A" w14:textId="77777777" w:rsidR="00922808" w:rsidRPr="00922808" w:rsidRDefault="00922808" w:rsidP="00922808">
            <w:pPr>
              <w:tabs>
                <w:tab w:val="left" w:pos="284"/>
              </w:tabs>
              <w:jc w:val="center"/>
              <w:rPr>
                <w:rFonts w:ascii="Tahoma" w:hAnsi="Tahoma" w:cs="Tahoma"/>
                <w:bCs/>
                <w:iCs/>
                <w:sz w:val="22"/>
                <w:szCs w:val="22"/>
              </w:rPr>
            </w:pPr>
            <w:r w:rsidRPr="00922808">
              <w:rPr>
                <w:rFonts w:ascii="Tahoma" w:hAnsi="Tahoma" w:cs="Tahoma"/>
                <w:bCs/>
                <w:iCs/>
                <w:sz w:val="22"/>
                <w:szCs w:val="22"/>
              </w:rPr>
              <w:t>40 000 юаней</w:t>
            </w:r>
            <w:r w:rsidRPr="00922808">
              <w:rPr>
                <w:rFonts w:ascii="Tahoma" w:hAnsi="Tahoma" w:cs="Tahoma"/>
                <w:bCs/>
                <w:iCs/>
                <w:sz w:val="22"/>
                <w:szCs w:val="22"/>
                <w:vertAlign w:val="superscript"/>
              </w:rPr>
              <w:t>24</w:t>
            </w:r>
          </w:p>
        </w:tc>
      </w:tr>
      <w:tr w:rsidR="00922808" w:rsidRPr="00922808" w14:paraId="2070FC68" w14:textId="77777777" w:rsidTr="005A7C26">
        <w:tc>
          <w:tcPr>
            <w:tcW w:w="347" w:type="pct"/>
            <w:shd w:val="clear" w:color="auto" w:fill="auto"/>
            <w:vAlign w:val="center"/>
          </w:tcPr>
          <w:p w14:paraId="0825BFCB" w14:textId="77777777" w:rsidR="00922808" w:rsidRPr="00922808" w:rsidRDefault="00922808" w:rsidP="00922808">
            <w:pPr>
              <w:spacing w:after="160" w:line="259" w:lineRule="auto"/>
              <w:rPr>
                <w:rFonts w:ascii="Calibri" w:eastAsia="Calibri" w:hAnsi="Calibri"/>
                <w:sz w:val="22"/>
                <w:szCs w:val="22"/>
                <w:lang w:eastAsia="en-US"/>
              </w:rPr>
            </w:pPr>
            <w:r w:rsidRPr="00922808">
              <w:rPr>
                <w:rFonts w:ascii="Tahoma" w:hAnsi="Tahoma" w:cs="Tahoma"/>
                <w:bCs/>
                <w:iCs/>
                <w:color w:val="000000"/>
                <w:sz w:val="22"/>
                <w:szCs w:val="22"/>
              </w:rPr>
              <w:t>4.3.5.</w:t>
            </w:r>
          </w:p>
        </w:tc>
        <w:tc>
          <w:tcPr>
            <w:tcW w:w="1757" w:type="pct"/>
            <w:shd w:val="clear" w:color="auto" w:fill="auto"/>
            <w:vAlign w:val="center"/>
          </w:tcPr>
          <w:p w14:paraId="2B3B8AFD"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ежемесячный лимит выдачи наличных в банкоматах и пунктах выдачи наличных любых банков (в том числе Банка)</w:t>
            </w:r>
            <w:r w:rsidRPr="00922808">
              <w:rPr>
                <w:rFonts w:ascii="Tahoma" w:hAnsi="Tahoma" w:cs="Tahoma"/>
                <w:bCs/>
                <w:iCs/>
                <w:sz w:val="22"/>
                <w:szCs w:val="22"/>
                <w:vertAlign w:val="superscript"/>
              </w:rPr>
              <w:t>19</w:t>
            </w:r>
          </w:p>
        </w:tc>
        <w:tc>
          <w:tcPr>
            <w:tcW w:w="2896" w:type="pct"/>
            <w:gridSpan w:val="4"/>
            <w:shd w:val="clear" w:color="auto" w:fill="auto"/>
            <w:vAlign w:val="center"/>
          </w:tcPr>
          <w:p w14:paraId="264FE740" w14:textId="77777777" w:rsidR="00922808" w:rsidRPr="00922808" w:rsidRDefault="00922808" w:rsidP="00922808">
            <w:pPr>
              <w:tabs>
                <w:tab w:val="left" w:pos="284"/>
              </w:tabs>
              <w:jc w:val="center"/>
              <w:rPr>
                <w:rFonts w:ascii="Tahoma" w:hAnsi="Tahoma" w:cs="Tahoma"/>
                <w:bCs/>
                <w:iCs/>
                <w:sz w:val="22"/>
                <w:szCs w:val="22"/>
              </w:rPr>
            </w:pPr>
            <w:r w:rsidRPr="00922808">
              <w:rPr>
                <w:rFonts w:ascii="Tahoma" w:hAnsi="Tahoma" w:cs="Tahoma"/>
                <w:bCs/>
                <w:iCs/>
                <w:sz w:val="22"/>
                <w:szCs w:val="22"/>
              </w:rPr>
              <w:t>1 500 000 рублей/</w:t>
            </w:r>
          </w:p>
          <w:p w14:paraId="626745D5" w14:textId="77777777" w:rsidR="00922808" w:rsidRPr="00922808" w:rsidRDefault="00922808" w:rsidP="00922808">
            <w:pPr>
              <w:tabs>
                <w:tab w:val="left" w:pos="284"/>
              </w:tabs>
              <w:jc w:val="center"/>
              <w:rPr>
                <w:rFonts w:ascii="Tahoma" w:hAnsi="Tahoma" w:cs="Tahoma"/>
                <w:bCs/>
                <w:iCs/>
                <w:sz w:val="22"/>
                <w:szCs w:val="22"/>
              </w:rPr>
            </w:pPr>
            <w:r w:rsidRPr="00922808">
              <w:rPr>
                <w:rFonts w:ascii="Tahoma" w:hAnsi="Tahoma" w:cs="Tahoma"/>
                <w:bCs/>
                <w:iCs/>
                <w:sz w:val="22"/>
                <w:szCs w:val="22"/>
              </w:rPr>
              <w:t>15 000 долларов США/Евро/</w:t>
            </w:r>
          </w:p>
          <w:p w14:paraId="2EEEF670" w14:textId="77777777" w:rsidR="00922808" w:rsidRPr="00922808" w:rsidRDefault="00922808" w:rsidP="00922808">
            <w:pPr>
              <w:tabs>
                <w:tab w:val="left" w:pos="284"/>
              </w:tabs>
              <w:jc w:val="center"/>
              <w:rPr>
                <w:rFonts w:ascii="Tahoma" w:hAnsi="Tahoma" w:cs="Tahoma"/>
                <w:bCs/>
                <w:iCs/>
                <w:sz w:val="22"/>
                <w:szCs w:val="22"/>
              </w:rPr>
            </w:pPr>
            <w:r w:rsidRPr="00922808">
              <w:rPr>
                <w:rFonts w:ascii="Tahoma" w:hAnsi="Tahoma" w:cs="Tahoma"/>
                <w:bCs/>
                <w:iCs/>
                <w:sz w:val="22"/>
                <w:szCs w:val="22"/>
              </w:rPr>
              <w:t>115 000 юаней</w:t>
            </w:r>
            <w:r w:rsidRPr="00922808">
              <w:rPr>
                <w:rFonts w:ascii="Tahoma" w:hAnsi="Tahoma" w:cs="Tahoma"/>
                <w:bCs/>
                <w:iCs/>
                <w:sz w:val="22"/>
                <w:szCs w:val="22"/>
                <w:vertAlign w:val="superscript"/>
              </w:rPr>
              <w:t>24</w:t>
            </w:r>
          </w:p>
        </w:tc>
      </w:tr>
      <w:tr w:rsidR="00922808" w:rsidRPr="00922808" w14:paraId="239DC89F" w14:textId="77777777" w:rsidTr="005A7C26">
        <w:tc>
          <w:tcPr>
            <w:tcW w:w="347" w:type="pct"/>
            <w:shd w:val="clear" w:color="auto" w:fill="auto"/>
            <w:vAlign w:val="center"/>
          </w:tcPr>
          <w:p w14:paraId="298FF3D4" w14:textId="77777777" w:rsidR="00922808" w:rsidRPr="00922808" w:rsidRDefault="00922808" w:rsidP="00922808">
            <w:pPr>
              <w:spacing w:after="160" w:line="259" w:lineRule="auto"/>
              <w:rPr>
                <w:rFonts w:ascii="Tahoma" w:hAnsi="Tahoma" w:cs="Tahoma"/>
                <w:bCs/>
                <w:iCs/>
                <w:color w:val="000000"/>
                <w:sz w:val="22"/>
                <w:szCs w:val="22"/>
              </w:rPr>
            </w:pPr>
            <w:r w:rsidRPr="00922808">
              <w:rPr>
                <w:rFonts w:ascii="Tahoma" w:hAnsi="Tahoma" w:cs="Tahoma"/>
                <w:bCs/>
                <w:iCs/>
                <w:color w:val="000000"/>
                <w:sz w:val="22"/>
                <w:szCs w:val="22"/>
              </w:rPr>
              <w:t>4.3.6.</w:t>
            </w:r>
          </w:p>
        </w:tc>
        <w:tc>
          <w:tcPr>
            <w:tcW w:w="1757" w:type="pct"/>
            <w:shd w:val="clear" w:color="auto" w:fill="auto"/>
            <w:vAlign w:val="center"/>
          </w:tcPr>
          <w:p w14:paraId="1289E1E3"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sz w:val="22"/>
                <w:szCs w:val="22"/>
              </w:rPr>
              <w:t>ежедневный лимит снятия наличных в ТСП, предоставляющих услугу выдачи наличных денежных средств при совершении покупки (включительно от 00 ч. до 24 ч. Московского времени)</w:t>
            </w:r>
            <w:r w:rsidRPr="00922808">
              <w:rPr>
                <w:rFonts w:ascii="Tahoma" w:hAnsi="Tahoma" w:cs="Tahoma"/>
                <w:sz w:val="22"/>
                <w:szCs w:val="22"/>
                <w:vertAlign w:val="superscript"/>
              </w:rPr>
              <w:t xml:space="preserve">17,18 </w:t>
            </w:r>
            <w:r w:rsidRPr="00922808">
              <w:rPr>
                <w:rFonts w:ascii="Tahoma" w:hAnsi="Tahoma" w:cs="Tahoma"/>
                <w:sz w:val="22"/>
                <w:szCs w:val="22"/>
              </w:rPr>
              <w:t>с одного Счета Карты Клиента</w:t>
            </w:r>
          </w:p>
        </w:tc>
        <w:tc>
          <w:tcPr>
            <w:tcW w:w="2896" w:type="pct"/>
            <w:gridSpan w:val="4"/>
            <w:shd w:val="clear" w:color="auto" w:fill="auto"/>
            <w:vAlign w:val="center"/>
          </w:tcPr>
          <w:p w14:paraId="4EAB7B16" w14:textId="77777777" w:rsidR="00922808" w:rsidRPr="00922808" w:rsidRDefault="00922808" w:rsidP="00922808">
            <w:pPr>
              <w:tabs>
                <w:tab w:val="left" w:pos="284"/>
              </w:tabs>
              <w:jc w:val="center"/>
              <w:rPr>
                <w:rFonts w:ascii="Tahoma" w:hAnsi="Tahoma" w:cs="Tahoma"/>
                <w:bCs/>
                <w:iCs/>
                <w:sz w:val="22"/>
                <w:szCs w:val="22"/>
              </w:rPr>
            </w:pPr>
            <w:r w:rsidRPr="00922808">
              <w:rPr>
                <w:rFonts w:ascii="Tahoma" w:hAnsi="Tahoma" w:cs="Tahoma"/>
                <w:bCs/>
                <w:iCs/>
                <w:sz w:val="22"/>
                <w:szCs w:val="22"/>
              </w:rPr>
              <w:t>5 000 рублей</w:t>
            </w:r>
          </w:p>
        </w:tc>
      </w:tr>
      <w:tr w:rsidR="00922808" w:rsidRPr="00922808" w14:paraId="798D622F" w14:textId="77777777" w:rsidTr="005A7C26">
        <w:trPr>
          <w:trHeight w:val="905"/>
        </w:trPr>
        <w:tc>
          <w:tcPr>
            <w:tcW w:w="347" w:type="pct"/>
            <w:shd w:val="clear" w:color="auto" w:fill="auto"/>
            <w:vAlign w:val="center"/>
          </w:tcPr>
          <w:p w14:paraId="77263621" w14:textId="77777777" w:rsidR="00922808" w:rsidRPr="00922808" w:rsidRDefault="00922808" w:rsidP="00922808">
            <w:pPr>
              <w:spacing w:after="160" w:line="259" w:lineRule="auto"/>
              <w:rPr>
                <w:rFonts w:ascii="Tahoma" w:hAnsi="Tahoma" w:cs="Tahoma"/>
                <w:bCs/>
                <w:iCs/>
                <w:color w:val="000000"/>
                <w:sz w:val="22"/>
                <w:szCs w:val="22"/>
              </w:rPr>
            </w:pPr>
            <w:r w:rsidRPr="00922808">
              <w:rPr>
                <w:rFonts w:ascii="Tahoma" w:hAnsi="Tahoma" w:cs="Tahoma"/>
                <w:bCs/>
                <w:iCs/>
                <w:color w:val="000000"/>
                <w:sz w:val="22"/>
                <w:szCs w:val="22"/>
              </w:rPr>
              <w:t>4.3.7.</w:t>
            </w:r>
          </w:p>
        </w:tc>
        <w:tc>
          <w:tcPr>
            <w:tcW w:w="1757" w:type="pct"/>
            <w:shd w:val="clear" w:color="auto" w:fill="auto"/>
            <w:vAlign w:val="center"/>
          </w:tcPr>
          <w:p w14:paraId="0FF77CF0"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sz w:val="22"/>
                <w:szCs w:val="22"/>
              </w:rPr>
              <w:t>ежемесячный лимит снятия наличных в ТСП, предоставляющих услугу выдачи наличных денежных средств при совершении покупки (включительно от 00 ч. до 24 ч. Московского времени)</w:t>
            </w:r>
            <w:r w:rsidRPr="00922808">
              <w:rPr>
                <w:rFonts w:ascii="Tahoma" w:hAnsi="Tahoma" w:cs="Tahoma"/>
                <w:sz w:val="22"/>
                <w:szCs w:val="22"/>
                <w:vertAlign w:val="superscript"/>
              </w:rPr>
              <w:t xml:space="preserve"> 17,18</w:t>
            </w:r>
            <w:r w:rsidRPr="00922808">
              <w:rPr>
                <w:rFonts w:ascii="Tahoma" w:hAnsi="Tahoma" w:cs="Tahoma"/>
                <w:sz w:val="22"/>
                <w:szCs w:val="22"/>
              </w:rPr>
              <w:t xml:space="preserve"> с одного Счета Карты Клиента</w:t>
            </w:r>
          </w:p>
        </w:tc>
        <w:tc>
          <w:tcPr>
            <w:tcW w:w="2896" w:type="pct"/>
            <w:gridSpan w:val="4"/>
            <w:shd w:val="clear" w:color="auto" w:fill="auto"/>
            <w:vAlign w:val="center"/>
          </w:tcPr>
          <w:p w14:paraId="2480BADC" w14:textId="77777777" w:rsidR="00922808" w:rsidRPr="00922808" w:rsidRDefault="00922808" w:rsidP="00922808">
            <w:pPr>
              <w:tabs>
                <w:tab w:val="left" w:pos="284"/>
              </w:tabs>
              <w:jc w:val="center"/>
              <w:rPr>
                <w:rFonts w:ascii="Tahoma" w:hAnsi="Tahoma" w:cs="Tahoma"/>
                <w:bCs/>
                <w:iCs/>
                <w:sz w:val="22"/>
                <w:szCs w:val="22"/>
              </w:rPr>
            </w:pPr>
            <w:r w:rsidRPr="00922808">
              <w:rPr>
                <w:rFonts w:ascii="Tahoma" w:hAnsi="Tahoma" w:cs="Tahoma"/>
                <w:bCs/>
                <w:iCs/>
                <w:sz w:val="22"/>
                <w:szCs w:val="22"/>
              </w:rPr>
              <w:t>30 000 рублей</w:t>
            </w:r>
          </w:p>
        </w:tc>
      </w:tr>
      <w:tr w:rsidR="00922808" w:rsidRPr="00922808" w14:paraId="4459D205" w14:textId="77777777" w:rsidTr="00922808">
        <w:tc>
          <w:tcPr>
            <w:tcW w:w="347" w:type="pct"/>
            <w:shd w:val="clear" w:color="auto" w:fill="808080"/>
            <w:vAlign w:val="center"/>
          </w:tcPr>
          <w:p w14:paraId="3FFCA43A"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4.4.</w:t>
            </w:r>
          </w:p>
        </w:tc>
        <w:tc>
          <w:tcPr>
            <w:tcW w:w="4653" w:type="pct"/>
            <w:gridSpan w:val="5"/>
            <w:shd w:val="clear" w:color="auto" w:fill="808080"/>
            <w:vAlign w:val="center"/>
          </w:tcPr>
          <w:p w14:paraId="5A352859"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 xml:space="preserve">Наличные операции в кассе Банка </w:t>
            </w:r>
            <w:r w:rsidRPr="00922808">
              <w:rPr>
                <w:rFonts w:ascii="Tahoma" w:hAnsi="Tahoma" w:cs="Tahoma"/>
                <w:bCs/>
                <w:iCs/>
                <w:color w:val="FFFFFF"/>
                <w:sz w:val="22"/>
                <w:szCs w:val="22"/>
              </w:rPr>
              <w:t>(по Счетам Карт и Накопительным счетам):</w:t>
            </w:r>
          </w:p>
        </w:tc>
      </w:tr>
      <w:tr w:rsidR="00922808" w:rsidRPr="00922808" w14:paraId="30EF9CED" w14:textId="77777777" w:rsidTr="005A7C26">
        <w:tc>
          <w:tcPr>
            <w:tcW w:w="347" w:type="pct"/>
            <w:shd w:val="clear" w:color="auto" w:fill="auto"/>
            <w:vAlign w:val="center"/>
          </w:tcPr>
          <w:p w14:paraId="44DAF50A"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4.4.1.</w:t>
            </w:r>
          </w:p>
        </w:tc>
        <w:tc>
          <w:tcPr>
            <w:tcW w:w="1757" w:type="pct"/>
            <w:shd w:val="clear" w:color="auto" w:fill="auto"/>
            <w:vAlign w:val="center"/>
          </w:tcPr>
          <w:p w14:paraId="1EF757B4"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взнос наличных денежных средств с использованием Карты</w:t>
            </w:r>
          </w:p>
        </w:tc>
        <w:tc>
          <w:tcPr>
            <w:tcW w:w="2896" w:type="pct"/>
            <w:gridSpan w:val="4"/>
            <w:shd w:val="clear" w:color="auto" w:fill="auto"/>
            <w:vAlign w:val="center"/>
          </w:tcPr>
          <w:p w14:paraId="11EC4A6B" w14:textId="77777777" w:rsidR="00922808" w:rsidRPr="00922808" w:rsidRDefault="00922808" w:rsidP="00922808">
            <w:pPr>
              <w:tabs>
                <w:tab w:val="left" w:pos="284"/>
              </w:tabs>
              <w:jc w:val="center"/>
              <w:rPr>
                <w:rFonts w:ascii="Tahoma" w:hAnsi="Tahoma" w:cs="Tahoma"/>
                <w:b/>
                <w:bCs/>
                <w:iCs/>
                <w:color w:val="000000"/>
                <w:sz w:val="22"/>
                <w:szCs w:val="22"/>
              </w:rPr>
            </w:pPr>
            <w:r w:rsidRPr="00922808">
              <w:rPr>
                <w:rFonts w:ascii="Tahoma" w:hAnsi="Tahoma" w:cs="Tahoma"/>
                <w:b/>
                <w:bCs/>
                <w:iCs/>
                <w:color w:val="000000"/>
                <w:sz w:val="22"/>
                <w:szCs w:val="22"/>
              </w:rPr>
              <w:t>БЕСПЛАТНО</w:t>
            </w:r>
          </w:p>
        </w:tc>
      </w:tr>
      <w:tr w:rsidR="00922808" w:rsidRPr="00922808" w14:paraId="4E602816" w14:textId="77777777" w:rsidTr="005A7C26">
        <w:trPr>
          <w:trHeight w:val="520"/>
        </w:trPr>
        <w:tc>
          <w:tcPr>
            <w:tcW w:w="347" w:type="pct"/>
            <w:shd w:val="clear" w:color="auto" w:fill="auto"/>
            <w:vAlign w:val="center"/>
          </w:tcPr>
          <w:p w14:paraId="7363F075"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4.4.2.1.</w:t>
            </w:r>
          </w:p>
        </w:tc>
        <w:tc>
          <w:tcPr>
            <w:tcW w:w="1757" w:type="pct"/>
            <w:shd w:val="clear" w:color="auto" w:fill="auto"/>
            <w:vAlign w:val="center"/>
          </w:tcPr>
          <w:p w14:paraId="5C0CB9D4"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выдача денежных средств со Счета Карты/Накопительного счета</w:t>
            </w:r>
          </w:p>
        </w:tc>
        <w:tc>
          <w:tcPr>
            <w:tcW w:w="2896" w:type="pct"/>
            <w:gridSpan w:val="4"/>
            <w:shd w:val="clear" w:color="auto" w:fill="auto"/>
            <w:vAlign w:val="center"/>
          </w:tcPr>
          <w:p w14:paraId="6F41E7A2" w14:textId="77777777" w:rsidR="00922808" w:rsidRPr="00922808" w:rsidRDefault="00922808" w:rsidP="00922808">
            <w:pPr>
              <w:tabs>
                <w:tab w:val="left" w:pos="4889"/>
              </w:tabs>
              <w:jc w:val="center"/>
              <w:rPr>
                <w:rFonts w:ascii="Tahoma" w:hAnsi="Tahoma" w:cs="Tahoma"/>
                <w:b/>
                <w:bCs/>
                <w:iCs/>
                <w:color w:val="000000"/>
                <w:sz w:val="22"/>
                <w:szCs w:val="22"/>
              </w:rPr>
            </w:pPr>
            <w:r w:rsidRPr="00922808">
              <w:rPr>
                <w:rFonts w:ascii="Tahoma" w:hAnsi="Tahoma" w:cs="Tahoma"/>
                <w:bCs/>
                <w:iCs/>
                <w:sz w:val="22"/>
                <w:szCs w:val="22"/>
              </w:rPr>
              <w:t xml:space="preserve">Выдача средств, внесенных на Счет наличным путем: </w:t>
            </w:r>
            <w:r w:rsidRPr="00922808">
              <w:rPr>
                <w:rFonts w:ascii="Tahoma" w:hAnsi="Tahoma" w:cs="Tahoma"/>
                <w:b/>
                <w:bCs/>
                <w:iCs/>
                <w:color w:val="000000"/>
                <w:sz w:val="22"/>
                <w:szCs w:val="22"/>
              </w:rPr>
              <w:t>БЕСПЛАТНО;</w:t>
            </w:r>
          </w:p>
        </w:tc>
      </w:tr>
      <w:tr w:rsidR="00922808" w:rsidRPr="00922808" w14:paraId="334E23F6" w14:textId="77777777" w:rsidTr="005A7C26">
        <w:trPr>
          <w:trHeight w:val="4143"/>
        </w:trPr>
        <w:tc>
          <w:tcPr>
            <w:tcW w:w="347" w:type="pct"/>
            <w:shd w:val="clear" w:color="auto" w:fill="auto"/>
            <w:vAlign w:val="center"/>
          </w:tcPr>
          <w:p w14:paraId="59EEC61B"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4.4.2.2.</w:t>
            </w:r>
          </w:p>
        </w:tc>
        <w:tc>
          <w:tcPr>
            <w:tcW w:w="1757" w:type="pct"/>
            <w:shd w:val="clear" w:color="auto" w:fill="auto"/>
            <w:vAlign w:val="center"/>
          </w:tcPr>
          <w:p w14:paraId="3832EC26" w14:textId="77777777" w:rsidR="00922808" w:rsidRPr="00922808" w:rsidRDefault="00922808" w:rsidP="00922808">
            <w:pPr>
              <w:tabs>
                <w:tab w:val="left" w:pos="4889"/>
              </w:tabs>
              <w:rPr>
                <w:rFonts w:ascii="Tahoma" w:hAnsi="Tahoma" w:cs="Tahoma"/>
                <w:bCs/>
                <w:iCs/>
                <w:sz w:val="22"/>
                <w:szCs w:val="22"/>
              </w:rPr>
            </w:pPr>
            <w:r w:rsidRPr="00922808">
              <w:rPr>
                <w:rFonts w:ascii="Tahoma" w:hAnsi="Tahoma" w:cs="Tahoma"/>
                <w:bCs/>
                <w:iCs/>
                <w:sz w:val="22"/>
                <w:szCs w:val="22"/>
              </w:rPr>
              <w:t xml:space="preserve">выдача средств, поступивших на Счет безналичным путем, в том числе зачисленных со Счета Клиента в Банке </w:t>
            </w:r>
          </w:p>
        </w:tc>
        <w:tc>
          <w:tcPr>
            <w:tcW w:w="2896" w:type="pct"/>
            <w:gridSpan w:val="4"/>
            <w:shd w:val="clear" w:color="auto" w:fill="auto"/>
            <w:vAlign w:val="center"/>
          </w:tcPr>
          <w:p w14:paraId="149A4EB1" w14:textId="77777777" w:rsidR="00922808" w:rsidRPr="00922808" w:rsidRDefault="00922808" w:rsidP="00922808">
            <w:pPr>
              <w:numPr>
                <w:ilvl w:val="0"/>
                <w:numId w:val="64"/>
              </w:numPr>
              <w:tabs>
                <w:tab w:val="left" w:pos="4889"/>
              </w:tabs>
              <w:spacing w:after="160" w:line="259" w:lineRule="auto"/>
              <w:contextualSpacing/>
              <w:jc w:val="both"/>
              <w:rPr>
                <w:rFonts w:ascii="Tahoma" w:hAnsi="Tahoma" w:cs="Tahoma"/>
                <w:bCs/>
                <w:iCs/>
              </w:rPr>
            </w:pPr>
            <w:r w:rsidRPr="00922808">
              <w:rPr>
                <w:rFonts w:ascii="Tahoma" w:hAnsi="Tahoma" w:cs="Tahoma"/>
                <w:bCs/>
                <w:iCs/>
              </w:rPr>
              <w:t xml:space="preserve">в течение 15 календарных дней с даты поступления средств: </w:t>
            </w:r>
            <w:r w:rsidRPr="00922808">
              <w:rPr>
                <w:rFonts w:ascii="Tahoma" w:hAnsi="Tahoma" w:cs="Tahoma"/>
                <w:b/>
                <w:bCs/>
                <w:iCs/>
              </w:rPr>
              <w:t>5%</w:t>
            </w:r>
            <w:r w:rsidRPr="00922808">
              <w:rPr>
                <w:rFonts w:ascii="Tahoma" w:hAnsi="Tahoma" w:cs="Tahoma"/>
                <w:bCs/>
                <w:iCs/>
              </w:rPr>
              <w:t xml:space="preserve"> от суммы выданных средств</w:t>
            </w:r>
            <w:r w:rsidRPr="00922808">
              <w:rPr>
                <w:rFonts w:ascii="Tahoma" w:hAnsi="Tahoma" w:cs="Tahoma"/>
                <w:bCs/>
                <w:iCs/>
                <w:vertAlign w:val="superscript"/>
              </w:rPr>
              <w:t>20</w:t>
            </w:r>
            <w:r w:rsidRPr="00922808">
              <w:rPr>
                <w:rFonts w:ascii="Tahoma" w:hAnsi="Tahoma" w:cs="Tahoma"/>
                <w:bCs/>
                <w:iCs/>
              </w:rPr>
              <w:t>;</w:t>
            </w:r>
          </w:p>
          <w:p w14:paraId="7EC98A74" w14:textId="77777777" w:rsidR="00922808" w:rsidRPr="00922808" w:rsidRDefault="00922808" w:rsidP="00922808">
            <w:pPr>
              <w:numPr>
                <w:ilvl w:val="0"/>
                <w:numId w:val="64"/>
              </w:numPr>
              <w:spacing w:after="200" w:line="276" w:lineRule="auto"/>
              <w:contextualSpacing/>
              <w:jc w:val="both"/>
            </w:pPr>
            <w:r w:rsidRPr="00922808">
              <w:rPr>
                <w:rFonts w:ascii="Tahoma" w:hAnsi="Tahoma" w:cs="Tahoma"/>
                <w:bCs/>
                <w:iCs/>
              </w:rPr>
              <w:t xml:space="preserve">по истечении 15 календарных дней с даты поступления средств: </w:t>
            </w:r>
            <w:r w:rsidRPr="00922808">
              <w:rPr>
                <w:rFonts w:ascii="Tahoma" w:hAnsi="Tahoma" w:cs="Tahoma"/>
                <w:b/>
                <w:bCs/>
                <w:iCs/>
                <w:color w:val="000000"/>
              </w:rPr>
              <w:t>БЕСПЛАТНО;</w:t>
            </w:r>
          </w:p>
          <w:p w14:paraId="14D18026" w14:textId="77777777" w:rsidR="00922808" w:rsidRPr="00922808" w:rsidRDefault="00922808" w:rsidP="00922808">
            <w:pPr>
              <w:numPr>
                <w:ilvl w:val="0"/>
                <w:numId w:val="64"/>
              </w:numPr>
              <w:spacing w:after="200" w:line="276" w:lineRule="auto"/>
              <w:contextualSpacing/>
              <w:jc w:val="both"/>
              <w:rPr>
                <w:rFonts w:ascii="Tahoma" w:hAnsi="Tahoma" w:cs="Tahoma"/>
              </w:rPr>
            </w:pPr>
            <w:r w:rsidRPr="00922808">
              <w:rPr>
                <w:rFonts w:ascii="Tahoma" w:hAnsi="Tahoma" w:cs="Tahoma"/>
              </w:rPr>
              <w:t xml:space="preserve">зачисление денежных средств со Счета вклада Клиента, причисление сумм процентов по Накопительным счетам, зачисление денежных средств по кредитным договорам Клиента с Банком, зачислений заработной платы, а также в результате конвертации валют: </w:t>
            </w:r>
            <w:r w:rsidRPr="00922808">
              <w:rPr>
                <w:rFonts w:ascii="Tahoma" w:hAnsi="Tahoma" w:cs="Tahoma"/>
                <w:b/>
              </w:rPr>
              <w:t>БЕСПЛАТНО;</w:t>
            </w:r>
          </w:p>
          <w:p w14:paraId="442DFCF5" w14:textId="77777777" w:rsidR="00922808" w:rsidRPr="00922808" w:rsidRDefault="00922808" w:rsidP="00922808">
            <w:pPr>
              <w:numPr>
                <w:ilvl w:val="0"/>
                <w:numId w:val="64"/>
              </w:numPr>
              <w:spacing w:after="200" w:line="276" w:lineRule="auto"/>
              <w:contextualSpacing/>
              <w:jc w:val="both"/>
              <w:rPr>
                <w:rFonts w:ascii="Tahoma" w:hAnsi="Tahoma" w:cs="Tahoma"/>
              </w:rPr>
            </w:pPr>
            <w:r w:rsidRPr="00922808">
              <w:rPr>
                <w:rFonts w:ascii="Tahoma" w:hAnsi="Tahoma" w:cs="Tahoma"/>
              </w:rPr>
              <w:t xml:space="preserve">выдача наличной иностранной валюты в сумме остатка на 00:00 часов (по московскому времени) 9 марта 2022 года с любых вкладов или счетов Клиента в Банке в иностранной валюте, конвертация иностранной валюты в сумме остатка на 00:00 часов (по московскому времени) 9 марта 2022 года в доллары США или евро, осуществляемая в целях выдачи наличной иностранной валюты: </w:t>
            </w:r>
            <w:r w:rsidRPr="00922808">
              <w:rPr>
                <w:rFonts w:ascii="Tahoma" w:hAnsi="Tahoma" w:cs="Tahoma"/>
                <w:b/>
              </w:rPr>
              <w:t>БЕСПЛАТНО</w:t>
            </w:r>
            <w:r w:rsidRPr="00922808">
              <w:rPr>
                <w:rFonts w:ascii="Tahoma" w:hAnsi="Tahoma" w:cs="Tahoma"/>
                <w:vertAlign w:val="superscript"/>
              </w:rPr>
              <w:t>21,24</w:t>
            </w:r>
            <w:r w:rsidRPr="00922808">
              <w:rPr>
                <w:rFonts w:ascii="Tahoma" w:hAnsi="Tahoma" w:cs="Tahoma"/>
              </w:rPr>
              <w:t>.</w:t>
            </w:r>
          </w:p>
        </w:tc>
      </w:tr>
      <w:tr w:rsidR="00922808" w:rsidRPr="00922808" w14:paraId="7C964F14" w14:textId="77777777" w:rsidTr="00922808">
        <w:tc>
          <w:tcPr>
            <w:tcW w:w="347" w:type="pct"/>
            <w:shd w:val="clear" w:color="auto" w:fill="808080"/>
            <w:vAlign w:val="center"/>
          </w:tcPr>
          <w:p w14:paraId="57C66FDA"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4.5.</w:t>
            </w:r>
          </w:p>
        </w:tc>
        <w:tc>
          <w:tcPr>
            <w:tcW w:w="4653" w:type="pct"/>
            <w:gridSpan w:val="5"/>
            <w:shd w:val="clear" w:color="auto" w:fill="808080"/>
            <w:vAlign w:val="center"/>
          </w:tcPr>
          <w:p w14:paraId="72BDF614"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Конверсионные операции по Счетам Карт и Накопительным счетам</w:t>
            </w:r>
            <w:r w:rsidRPr="00922808">
              <w:rPr>
                <w:rFonts w:ascii="Tahoma" w:hAnsi="Tahoma" w:cs="Tahoma"/>
                <w:b/>
                <w:bCs/>
                <w:iCs/>
                <w:color w:val="FFFFFF"/>
                <w:sz w:val="22"/>
                <w:szCs w:val="22"/>
                <w:vertAlign w:val="superscript"/>
              </w:rPr>
              <w:t>20</w:t>
            </w:r>
            <w:r w:rsidRPr="00922808">
              <w:rPr>
                <w:rFonts w:ascii="Tahoma" w:hAnsi="Tahoma" w:cs="Tahoma"/>
                <w:b/>
                <w:bCs/>
                <w:iCs/>
                <w:color w:val="FFFFFF"/>
                <w:sz w:val="22"/>
                <w:szCs w:val="22"/>
              </w:rPr>
              <w:t>:</w:t>
            </w:r>
          </w:p>
        </w:tc>
      </w:tr>
      <w:tr w:rsidR="00922808" w:rsidRPr="00922808" w14:paraId="7AA318E9" w14:textId="77777777" w:rsidTr="005A7C26">
        <w:tc>
          <w:tcPr>
            <w:tcW w:w="347" w:type="pct"/>
            <w:shd w:val="clear" w:color="auto" w:fill="auto"/>
            <w:vAlign w:val="center"/>
          </w:tcPr>
          <w:p w14:paraId="2D64AF2C"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4.5.1.</w:t>
            </w:r>
          </w:p>
        </w:tc>
        <w:tc>
          <w:tcPr>
            <w:tcW w:w="1757" w:type="pct"/>
            <w:shd w:val="clear" w:color="auto" w:fill="auto"/>
          </w:tcPr>
          <w:p w14:paraId="0AA0FD09"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операции покупки/продажи иностранной валюты по Счетам Клиента, открытым в Банке, а также безналичные операции и операции выдачи/взноса наличных денежных с использованием Карты</w:t>
            </w:r>
          </w:p>
        </w:tc>
        <w:tc>
          <w:tcPr>
            <w:tcW w:w="2896" w:type="pct"/>
            <w:gridSpan w:val="4"/>
            <w:shd w:val="clear" w:color="auto" w:fill="auto"/>
            <w:vAlign w:val="center"/>
          </w:tcPr>
          <w:p w14:paraId="5D17F1C6"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color w:val="000000"/>
                <w:sz w:val="22"/>
                <w:szCs w:val="22"/>
              </w:rPr>
              <w:t>по курсу Банка на момент совершения операции</w:t>
            </w:r>
          </w:p>
        </w:tc>
      </w:tr>
      <w:tr w:rsidR="00922808" w:rsidRPr="00922808" w14:paraId="64D73213" w14:textId="77777777" w:rsidTr="00922808">
        <w:tc>
          <w:tcPr>
            <w:tcW w:w="347" w:type="pct"/>
            <w:shd w:val="clear" w:color="auto" w:fill="808080"/>
            <w:vAlign w:val="center"/>
          </w:tcPr>
          <w:p w14:paraId="5DFF96A2"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4.6.</w:t>
            </w:r>
          </w:p>
        </w:tc>
        <w:tc>
          <w:tcPr>
            <w:tcW w:w="4653" w:type="pct"/>
            <w:gridSpan w:val="5"/>
            <w:shd w:val="clear" w:color="auto" w:fill="808080"/>
            <w:vAlign w:val="center"/>
          </w:tcPr>
          <w:p w14:paraId="3142A596"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Прочие операции и сервисы:</w:t>
            </w:r>
          </w:p>
        </w:tc>
      </w:tr>
      <w:tr w:rsidR="00922808" w:rsidRPr="00922808" w14:paraId="36A0E643" w14:textId="77777777" w:rsidTr="005A7C26">
        <w:trPr>
          <w:trHeight w:val="427"/>
        </w:trPr>
        <w:tc>
          <w:tcPr>
            <w:tcW w:w="347" w:type="pct"/>
            <w:shd w:val="clear" w:color="auto" w:fill="auto"/>
            <w:vAlign w:val="center"/>
          </w:tcPr>
          <w:p w14:paraId="2EA8E0CA"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4.6.1.</w:t>
            </w:r>
          </w:p>
        </w:tc>
        <w:tc>
          <w:tcPr>
            <w:tcW w:w="1757" w:type="pct"/>
            <w:shd w:val="clear" w:color="auto" w:fill="auto"/>
            <w:vAlign w:val="center"/>
          </w:tcPr>
          <w:p w14:paraId="1FC46FB7" w14:textId="77777777" w:rsidR="00922808" w:rsidRPr="00922808" w:rsidRDefault="00922808" w:rsidP="00922808">
            <w:pPr>
              <w:rPr>
                <w:rFonts w:ascii="Tahoma" w:eastAsia="Calibri" w:hAnsi="Tahoma" w:cs="Tahoma"/>
                <w:lang w:eastAsia="en-US"/>
              </w:rPr>
            </w:pPr>
            <w:r w:rsidRPr="00922808">
              <w:rPr>
                <w:rFonts w:ascii="Tahoma" w:eastAsia="Calibri" w:hAnsi="Tahoma" w:cs="Tahoma"/>
                <w:sz w:val="22"/>
                <w:szCs w:val="22"/>
                <w:lang w:eastAsia="en-US"/>
              </w:rPr>
              <w:t>стоимость услуги СМС-информирования (полный пакет): детализирование уведомление о приходных и расходных операциях по Счету Карты в формате СМС-сообщений на мобильный телефон Клиента, указанный Клиентом Банку в качестве основного</w:t>
            </w:r>
            <w:r w:rsidRPr="00922808">
              <w:rPr>
                <w:rFonts w:ascii="Tahoma" w:hAnsi="Tahoma" w:cs="Tahoma"/>
                <w:bCs/>
                <w:iCs/>
                <w:sz w:val="22"/>
                <w:szCs w:val="22"/>
                <w:vertAlign w:val="superscript"/>
              </w:rPr>
              <w:t>22</w:t>
            </w:r>
          </w:p>
        </w:tc>
        <w:tc>
          <w:tcPr>
            <w:tcW w:w="2896" w:type="pct"/>
            <w:gridSpan w:val="4"/>
            <w:vMerge w:val="restart"/>
            <w:shd w:val="clear" w:color="auto" w:fill="auto"/>
            <w:vAlign w:val="center"/>
          </w:tcPr>
          <w:p w14:paraId="4DFE7A26" w14:textId="77777777" w:rsidR="00922808" w:rsidRPr="00922808" w:rsidRDefault="00922808" w:rsidP="00922808">
            <w:pPr>
              <w:tabs>
                <w:tab w:val="left" w:pos="284"/>
              </w:tabs>
              <w:jc w:val="center"/>
              <w:rPr>
                <w:rFonts w:ascii="Tahoma" w:hAnsi="Tahoma" w:cs="Tahoma"/>
                <w:b/>
                <w:bCs/>
                <w:iCs/>
                <w:color w:val="000000"/>
                <w:sz w:val="22"/>
                <w:szCs w:val="22"/>
              </w:rPr>
            </w:pPr>
            <w:r w:rsidRPr="00922808">
              <w:rPr>
                <w:rFonts w:ascii="Tahoma" w:hAnsi="Tahoma" w:cs="Tahoma"/>
                <w:b/>
                <w:bCs/>
                <w:iCs/>
                <w:color w:val="000000"/>
                <w:sz w:val="22"/>
                <w:szCs w:val="22"/>
              </w:rPr>
              <w:t>БЕСПЛАТНО</w:t>
            </w:r>
          </w:p>
        </w:tc>
      </w:tr>
      <w:tr w:rsidR="00922808" w:rsidRPr="00922808" w14:paraId="6C3764D6" w14:textId="77777777" w:rsidTr="005A7C26">
        <w:trPr>
          <w:trHeight w:val="383"/>
        </w:trPr>
        <w:tc>
          <w:tcPr>
            <w:tcW w:w="347" w:type="pct"/>
            <w:shd w:val="clear" w:color="auto" w:fill="auto"/>
            <w:vAlign w:val="center"/>
          </w:tcPr>
          <w:p w14:paraId="55AE65BD"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4.6.</w:t>
            </w:r>
            <w:r w:rsidRPr="00922808">
              <w:rPr>
                <w:rFonts w:ascii="Tahoma" w:hAnsi="Tahoma" w:cs="Tahoma"/>
                <w:bCs/>
                <w:iCs/>
                <w:color w:val="000000"/>
                <w:sz w:val="22"/>
                <w:szCs w:val="22"/>
                <w:lang w:val="en-US"/>
              </w:rPr>
              <w:t>2</w:t>
            </w:r>
            <w:r w:rsidRPr="00922808">
              <w:rPr>
                <w:rFonts w:ascii="Tahoma" w:hAnsi="Tahoma" w:cs="Tahoma"/>
                <w:bCs/>
                <w:iCs/>
                <w:color w:val="000000"/>
                <w:sz w:val="22"/>
                <w:szCs w:val="22"/>
              </w:rPr>
              <w:t>.</w:t>
            </w:r>
          </w:p>
        </w:tc>
        <w:tc>
          <w:tcPr>
            <w:tcW w:w="1757" w:type="pct"/>
            <w:shd w:val="clear" w:color="auto" w:fill="auto"/>
            <w:vAlign w:val="center"/>
          </w:tcPr>
          <w:p w14:paraId="1E81F5DA"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доступ к каналам ДБО: «АТБ-Онлайн», Мобильный банк</w:t>
            </w:r>
          </w:p>
        </w:tc>
        <w:tc>
          <w:tcPr>
            <w:tcW w:w="2896" w:type="pct"/>
            <w:gridSpan w:val="4"/>
            <w:vMerge/>
            <w:shd w:val="clear" w:color="auto" w:fill="auto"/>
            <w:vAlign w:val="center"/>
          </w:tcPr>
          <w:p w14:paraId="7AC17F23" w14:textId="77777777" w:rsidR="00922808" w:rsidRPr="00922808" w:rsidRDefault="00922808" w:rsidP="00922808">
            <w:pPr>
              <w:tabs>
                <w:tab w:val="left" w:pos="284"/>
              </w:tabs>
              <w:jc w:val="center"/>
              <w:rPr>
                <w:rFonts w:ascii="Tahoma" w:hAnsi="Tahoma" w:cs="Tahoma"/>
                <w:b/>
                <w:bCs/>
                <w:iCs/>
                <w:color w:val="000000"/>
                <w:sz w:val="22"/>
                <w:szCs w:val="22"/>
              </w:rPr>
            </w:pPr>
          </w:p>
        </w:tc>
      </w:tr>
      <w:tr w:rsidR="00922808" w:rsidRPr="00922808" w14:paraId="7430A63D" w14:textId="77777777" w:rsidTr="005A7C26">
        <w:tc>
          <w:tcPr>
            <w:tcW w:w="347" w:type="pct"/>
            <w:shd w:val="clear" w:color="auto" w:fill="auto"/>
            <w:vAlign w:val="center"/>
          </w:tcPr>
          <w:p w14:paraId="24246127" w14:textId="77777777" w:rsidR="00922808" w:rsidRPr="00922808" w:rsidRDefault="00922808" w:rsidP="00922808">
            <w:pPr>
              <w:spacing w:after="160" w:line="259" w:lineRule="auto"/>
              <w:rPr>
                <w:rFonts w:ascii="Calibri" w:eastAsia="Calibri" w:hAnsi="Calibri"/>
                <w:sz w:val="22"/>
                <w:szCs w:val="22"/>
                <w:lang w:eastAsia="en-US"/>
              </w:rPr>
            </w:pPr>
            <w:r w:rsidRPr="00922808">
              <w:rPr>
                <w:rFonts w:ascii="Tahoma" w:hAnsi="Tahoma" w:cs="Tahoma"/>
                <w:bCs/>
                <w:iCs/>
                <w:color w:val="000000"/>
                <w:sz w:val="22"/>
                <w:szCs w:val="22"/>
              </w:rPr>
              <w:t>4.6.3.</w:t>
            </w:r>
          </w:p>
        </w:tc>
        <w:tc>
          <w:tcPr>
            <w:tcW w:w="1757" w:type="pct"/>
            <w:shd w:val="clear" w:color="auto" w:fill="auto"/>
            <w:vAlign w:val="center"/>
          </w:tcPr>
          <w:p w14:paraId="22AFCEF1"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запрос баланса Счета Карты в банкоматах Банка посредством вывода информации на экран устройства и/или чек</w:t>
            </w:r>
          </w:p>
        </w:tc>
        <w:tc>
          <w:tcPr>
            <w:tcW w:w="2896" w:type="pct"/>
            <w:gridSpan w:val="4"/>
            <w:vMerge/>
            <w:shd w:val="clear" w:color="auto" w:fill="auto"/>
            <w:vAlign w:val="center"/>
          </w:tcPr>
          <w:p w14:paraId="4DA2A8C0" w14:textId="77777777" w:rsidR="00922808" w:rsidRPr="00922808" w:rsidRDefault="00922808" w:rsidP="00922808">
            <w:pPr>
              <w:tabs>
                <w:tab w:val="left" w:pos="284"/>
              </w:tabs>
              <w:jc w:val="center"/>
              <w:rPr>
                <w:rFonts w:ascii="Tahoma" w:hAnsi="Tahoma" w:cs="Tahoma"/>
                <w:b/>
                <w:bCs/>
                <w:iCs/>
                <w:color w:val="000000"/>
                <w:sz w:val="22"/>
                <w:szCs w:val="22"/>
              </w:rPr>
            </w:pPr>
          </w:p>
        </w:tc>
      </w:tr>
      <w:tr w:rsidR="00922808" w:rsidRPr="00922808" w14:paraId="7E8BBD54" w14:textId="77777777" w:rsidTr="005A7C26">
        <w:trPr>
          <w:trHeight w:val="77"/>
        </w:trPr>
        <w:tc>
          <w:tcPr>
            <w:tcW w:w="347" w:type="pct"/>
            <w:shd w:val="clear" w:color="auto" w:fill="auto"/>
            <w:vAlign w:val="center"/>
          </w:tcPr>
          <w:p w14:paraId="09665FDC" w14:textId="77777777" w:rsidR="00922808" w:rsidRPr="00922808" w:rsidRDefault="00922808" w:rsidP="00922808">
            <w:pPr>
              <w:spacing w:after="160" w:line="259" w:lineRule="auto"/>
              <w:rPr>
                <w:rFonts w:ascii="Calibri" w:eastAsia="Calibri" w:hAnsi="Calibri"/>
                <w:sz w:val="22"/>
                <w:szCs w:val="22"/>
                <w:lang w:eastAsia="en-US"/>
              </w:rPr>
            </w:pPr>
            <w:r w:rsidRPr="00922808">
              <w:rPr>
                <w:rFonts w:ascii="Tahoma" w:hAnsi="Tahoma" w:cs="Tahoma"/>
                <w:bCs/>
                <w:iCs/>
                <w:color w:val="000000"/>
                <w:sz w:val="22"/>
                <w:szCs w:val="22"/>
              </w:rPr>
              <w:t>4.6.4.</w:t>
            </w:r>
          </w:p>
        </w:tc>
        <w:tc>
          <w:tcPr>
            <w:tcW w:w="1757" w:type="pct"/>
            <w:shd w:val="clear" w:color="auto" w:fill="auto"/>
            <w:vAlign w:val="center"/>
          </w:tcPr>
          <w:p w14:paraId="37782B67"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приостановление/возобновление операций с Картой</w:t>
            </w:r>
            <w:r w:rsidRPr="00922808">
              <w:rPr>
                <w:rFonts w:ascii="Tahoma" w:hAnsi="Tahoma" w:cs="Tahoma"/>
                <w:bCs/>
                <w:iCs/>
                <w:sz w:val="22"/>
                <w:szCs w:val="22"/>
                <w:vertAlign w:val="superscript"/>
              </w:rPr>
              <w:t>23</w:t>
            </w:r>
          </w:p>
        </w:tc>
        <w:tc>
          <w:tcPr>
            <w:tcW w:w="2896" w:type="pct"/>
            <w:gridSpan w:val="4"/>
            <w:vMerge/>
            <w:shd w:val="clear" w:color="auto" w:fill="auto"/>
            <w:vAlign w:val="center"/>
          </w:tcPr>
          <w:p w14:paraId="1825D5E7" w14:textId="77777777" w:rsidR="00922808" w:rsidRPr="00922808" w:rsidRDefault="00922808" w:rsidP="00922808">
            <w:pPr>
              <w:tabs>
                <w:tab w:val="left" w:pos="284"/>
              </w:tabs>
              <w:jc w:val="center"/>
              <w:rPr>
                <w:rFonts w:ascii="Tahoma" w:hAnsi="Tahoma" w:cs="Tahoma"/>
                <w:bCs/>
                <w:iCs/>
                <w:color w:val="000000"/>
                <w:sz w:val="22"/>
                <w:szCs w:val="22"/>
              </w:rPr>
            </w:pPr>
          </w:p>
        </w:tc>
      </w:tr>
      <w:tr w:rsidR="00922808" w:rsidRPr="00922808" w14:paraId="64026A07" w14:textId="77777777" w:rsidTr="005A7C26">
        <w:tc>
          <w:tcPr>
            <w:tcW w:w="347" w:type="pct"/>
            <w:shd w:val="clear" w:color="auto" w:fill="auto"/>
            <w:vAlign w:val="center"/>
          </w:tcPr>
          <w:p w14:paraId="51EB4B7B"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4.6.5.</w:t>
            </w:r>
          </w:p>
        </w:tc>
        <w:tc>
          <w:tcPr>
            <w:tcW w:w="1757" w:type="pct"/>
            <w:shd w:val="clear" w:color="auto" w:fill="auto"/>
            <w:vAlign w:val="center"/>
          </w:tcPr>
          <w:p w14:paraId="4ABB9336"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выдача остатка денежных средств после закрытия Счета Карты</w:t>
            </w:r>
          </w:p>
        </w:tc>
        <w:tc>
          <w:tcPr>
            <w:tcW w:w="2896" w:type="pct"/>
            <w:gridSpan w:val="4"/>
            <w:vMerge/>
            <w:shd w:val="clear" w:color="auto" w:fill="auto"/>
            <w:vAlign w:val="center"/>
          </w:tcPr>
          <w:p w14:paraId="190B5D2E" w14:textId="77777777" w:rsidR="00922808" w:rsidRPr="00922808" w:rsidRDefault="00922808" w:rsidP="00922808">
            <w:pPr>
              <w:tabs>
                <w:tab w:val="left" w:pos="284"/>
              </w:tabs>
              <w:jc w:val="center"/>
              <w:rPr>
                <w:rFonts w:ascii="Tahoma" w:hAnsi="Tahoma" w:cs="Tahoma"/>
                <w:bCs/>
                <w:iCs/>
                <w:color w:val="000000"/>
                <w:sz w:val="22"/>
                <w:szCs w:val="22"/>
              </w:rPr>
            </w:pPr>
          </w:p>
        </w:tc>
      </w:tr>
      <w:tr w:rsidR="00922808" w:rsidRPr="00922808" w14:paraId="07833C6E" w14:textId="77777777" w:rsidTr="005A7C26">
        <w:tc>
          <w:tcPr>
            <w:tcW w:w="347" w:type="pct"/>
            <w:shd w:val="clear" w:color="auto" w:fill="auto"/>
            <w:vAlign w:val="center"/>
          </w:tcPr>
          <w:p w14:paraId="4BAA70D9"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4.6.6.</w:t>
            </w:r>
          </w:p>
        </w:tc>
        <w:tc>
          <w:tcPr>
            <w:tcW w:w="1757" w:type="pct"/>
            <w:shd w:val="clear" w:color="auto" w:fill="auto"/>
            <w:vAlign w:val="center"/>
          </w:tcPr>
          <w:p w14:paraId="64B81AA8"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постановка Карты в международный стоп-лист (на 2 недели) по волеизъявлению Клиента, 1 (один) регион</w:t>
            </w:r>
          </w:p>
        </w:tc>
        <w:tc>
          <w:tcPr>
            <w:tcW w:w="2896" w:type="pct"/>
            <w:gridSpan w:val="4"/>
            <w:shd w:val="clear" w:color="auto" w:fill="auto"/>
            <w:vAlign w:val="center"/>
          </w:tcPr>
          <w:p w14:paraId="05E39978"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color w:val="000000"/>
                <w:sz w:val="22"/>
                <w:szCs w:val="22"/>
              </w:rPr>
              <w:t>1 500 рублей</w:t>
            </w:r>
          </w:p>
        </w:tc>
      </w:tr>
      <w:tr w:rsidR="00922808" w:rsidRPr="00922808" w14:paraId="355C8936" w14:textId="77777777" w:rsidTr="005A7C26">
        <w:tc>
          <w:tcPr>
            <w:tcW w:w="347" w:type="pct"/>
            <w:shd w:val="clear" w:color="auto" w:fill="auto"/>
            <w:vAlign w:val="center"/>
          </w:tcPr>
          <w:p w14:paraId="50B20567"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4.6.7.</w:t>
            </w:r>
          </w:p>
        </w:tc>
        <w:tc>
          <w:tcPr>
            <w:tcW w:w="1757" w:type="pct"/>
            <w:shd w:val="clear" w:color="auto" w:fill="auto"/>
            <w:vAlign w:val="center"/>
          </w:tcPr>
          <w:p w14:paraId="58861828"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выписка по Счету Карты</w:t>
            </w:r>
          </w:p>
        </w:tc>
        <w:tc>
          <w:tcPr>
            <w:tcW w:w="2896" w:type="pct"/>
            <w:gridSpan w:val="4"/>
            <w:shd w:val="clear" w:color="auto" w:fill="auto"/>
            <w:vAlign w:val="center"/>
          </w:tcPr>
          <w:p w14:paraId="2B59AB45" w14:textId="77777777" w:rsidR="00922808" w:rsidRPr="00922808" w:rsidRDefault="00922808" w:rsidP="00922808">
            <w:pPr>
              <w:tabs>
                <w:tab w:val="left" w:pos="284"/>
                <w:tab w:val="left" w:pos="5609"/>
              </w:tabs>
              <w:jc w:val="center"/>
              <w:rPr>
                <w:rFonts w:ascii="Tahoma" w:hAnsi="Tahoma" w:cs="Tahoma"/>
                <w:b/>
                <w:bCs/>
                <w:iCs/>
                <w:color w:val="000000"/>
                <w:sz w:val="22"/>
                <w:szCs w:val="22"/>
              </w:rPr>
            </w:pPr>
            <w:r w:rsidRPr="00922808">
              <w:rPr>
                <w:rFonts w:ascii="Tahoma" w:hAnsi="Tahoma" w:cs="Tahoma"/>
                <w:bCs/>
                <w:iCs/>
                <w:color w:val="000000"/>
                <w:sz w:val="22"/>
                <w:szCs w:val="22"/>
              </w:rPr>
              <w:t>в банкоматах Банка:</w:t>
            </w:r>
            <w:r w:rsidRPr="00922808">
              <w:rPr>
                <w:rFonts w:ascii="Tahoma" w:hAnsi="Tahoma" w:cs="Tahoma"/>
                <w:b/>
                <w:bCs/>
                <w:iCs/>
                <w:color w:val="000000"/>
                <w:sz w:val="22"/>
                <w:szCs w:val="22"/>
              </w:rPr>
              <w:t xml:space="preserve"> БЕСПЛАТНО </w:t>
            </w:r>
          </w:p>
          <w:p w14:paraId="2A0C4FC2" w14:textId="77777777" w:rsidR="00922808" w:rsidRPr="00922808" w:rsidRDefault="00922808" w:rsidP="00922808">
            <w:pPr>
              <w:tabs>
                <w:tab w:val="left" w:pos="284"/>
                <w:tab w:val="left" w:pos="5609"/>
              </w:tabs>
              <w:jc w:val="center"/>
              <w:rPr>
                <w:rFonts w:ascii="Tahoma" w:hAnsi="Tahoma" w:cs="Tahoma"/>
                <w:bCs/>
                <w:iCs/>
                <w:color w:val="000000"/>
                <w:sz w:val="22"/>
                <w:szCs w:val="22"/>
              </w:rPr>
            </w:pPr>
            <w:r w:rsidRPr="00922808">
              <w:rPr>
                <w:rFonts w:ascii="Tahoma" w:hAnsi="Tahoma" w:cs="Tahoma"/>
                <w:bCs/>
                <w:iCs/>
                <w:color w:val="000000"/>
                <w:sz w:val="22"/>
                <w:szCs w:val="22"/>
              </w:rPr>
              <w:t>в Подразделениях Банка: 250 рублей за одну выписку</w:t>
            </w:r>
          </w:p>
        </w:tc>
      </w:tr>
      <w:tr w:rsidR="00922808" w:rsidRPr="00922808" w14:paraId="7C53C90B" w14:textId="77777777" w:rsidTr="005A7C26">
        <w:tc>
          <w:tcPr>
            <w:tcW w:w="347" w:type="pct"/>
            <w:shd w:val="clear" w:color="auto" w:fill="auto"/>
            <w:vAlign w:val="center"/>
          </w:tcPr>
          <w:p w14:paraId="3A08BE40" w14:textId="77777777" w:rsidR="00922808" w:rsidRPr="00922808" w:rsidRDefault="00922808" w:rsidP="00922808">
            <w:pPr>
              <w:spacing w:after="160" w:line="259" w:lineRule="auto"/>
              <w:rPr>
                <w:rFonts w:ascii="Calibri" w:eastAsia="Calibri" w:hAnsi="Calibri"/>
                <w:sz w:val="22"/>
                <w:szCs w:val="22"/>
                <w:lang w:eastAsia="en-US"/>
              </w:rPr>
            </w:pPr>
            <w:r w:rsidRPr="00922808">
              <w:rPr>
                <w:rFonts w:ascii="Tahoma" w:hAnsi="Tahoma" w:cs="Tahoma"/>
                <w:bCs/>
                <w:iCs/>
                <w:color w:val="000000"/>
                <w:sz w:val="22"/>
                <w:szCs w:val="22"/>
              </w:rPr>
              <w:t>4.6.8.</w:t>
            </w:r>
          </w:p>
        </w:tc>
        <w:tc>
          <w:tcPr>
            <w:tcW w:w="1757" w:type="pct"/>
            <w:shd w:val="clear" w:color="auto" w:fill="auto"/>
            <w:vAlign w:val="center"/>
          </w:tcPr>
          <w:p w14:paraId="7C776AB9"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услуги, оказанные другими банками (авторизация по телексу, направление в Банк информации об утере/краже Карты)</w:t>
            </w:r>
          </w:p>
        </w:tc>
        <w:tc>
          <w:tcPr>
            <w:tcW w:w="2896" w:type="pct"/>
            <w:gridSpan w:val="4"/>
            <w:shd w:val="clear" w:color="auto" w:fill="auto"/>
            <w:vAlign w:val="center"/>
          </w:tcPr>
          <w:p w14:paraId="0C46345F"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color w:val="000000"/>
                <w:sz w:val="22"/>
                <w:szCs w:val="22"/>
              </w:rPr>
              <w:t>по фактическим затратам Банка</w:t>
            </w:r>
          </w:p>
        </w:tc>
      </w:tr>
      <w:tr w:rsidR="00922808" w:rsidRPr="00922808" w14:paraId="756F49EF" w14:textId="77777777" w:rsidTr="005A7C26">
        <w:tc>
          <w:tcPr>
            <w:tcW w:w="347" w:type="pct"/>
            <w:shd w:val="clear" w:color="auto" w:fill="808080"/>
            <w:vAlign w:val="center"/>
          </w:tcPr>
          <w:p w14:paraId="3554B577" w14:textId="77777777" w:rsidR="00922808" w:rsidRPr="00922808" w:rsidRDefault="00922808" w:rsidP="00922808">
            <w:pPr>
              <w:tabs>
                <w:tab w:val="left" w:pos="284"/>
              </w:tabs>
              <w:rPr>
                <w:rFonts w:ascii="Tahoma" w:hAnsi="Tahoma" w:cs="Tahoma"/>
                <w:bCs/>
                <w:iCs/>
                <w:color w:val="FFFFFF"/>
                <w:sz w:val="28"/>
                <w:szCs w:val="22"/>
              </w:rPr>
            </w:pPr>
            <w:r w:rsidRPr="00922808">
              <w:rPr>
                <w:rFonts w:ascii="Tahoma" w:hAnsi="Tahoma" w:cs="Tahoma"/>
                <w:bCs/>
                <w:iCs/>
                <w:color w:val="FFFFFF"/>
                <w:sz w:val="28"/>
                <w:szCs w:val="22"/>
              </w:rPr>
              <w:t>5.</w:t>
            </w:r>
          </w:p>
        </w:tc>
        <w:tc>
          <w:tcPr>
            <w:tcW w:w="4653" w:type="pct"/>
            <w:gridSpan w:val="5"/>
            <w:shd w:val="clear" w:color="auto" w:fill="808080"/>
            <w:vAlign w:val="center"/>
          </w:tcPr>
          <w:p w14:paraId="0DC2637C" w14:textId="77777777" w:rsidR="00922808" w:rsidRPr="00922808" w:rsidRDefault="00922808" w:rsidP="00922808">
            <w:pPr>
              <w:tabs>
                <w:tab w:val="left" w:pos="284"/>
              </w:tabs>
              <w:rPr>
                <w:rFonts w:ascii="Tahoma" w:hAnsi="Tahoma" w:cs="Tahoma"/>
                <w:bCs/>
                <w:iCs/>
                <w:color w:val="FFFFFF"/>
                <w:sz w:val="28"/>
                <w:szCs w:val="22"/>
              </w:rPr>
            </w:pPr>
            <w:r w:rsidRPr="00922808">
              <w:rPr>
                <w:rFonts w:ascii="Tahoma" w:hAnsi="Tahoma" w:cs="Tahoma"/>
                <w:bCs/>
                <w:iCs/>
                <w:color w:val="FFFFFF"/>
                <w:sz w:val="28"/>
                <w:szCs w:val="22"/>
              </w:rPr>
              <w:t>Применимость правил программ лояльности</w:t>
            </w:r>
          </w:p>
        </w:tc>
      </w:tr>
      <w:tr w:rsidR="00922808" w:rsidRPr="00922808" w14:paraId="0E116F48" w14:textId="77777777" w:rsidTr="005A7C26">
        <w:tc>
          <w:tcPr>
            <w:tcW w:w="2104" w:type="pct"/>
            <w:gridSpan w:val="2"/>
            <w:shd w:val="clear" w:color="auto" w:fill="808080"/>
            <w:vAlign w:val="center"/>
          </w:tcPr>
          <w:p w14:paraId="49745760" w14:textId="77777777" w:rsidR="00922808" w:rsidRPr="00922808" w:rsidRDefault="00922808" w:rsidP="00922808">
            <w:pPr>
              <w:tabs>
                <w:tab w:val="left" w:pos="284"/>
              </w:tabs>
              <w:rPr>
                <w:rFonts w:ascii="Tahoma" w:hAnsi="Tahoma" w:cs="Tahoma"/>
                <w:b/>
                <w:bCs/>
                <w:iCs/>
                <w:color w:val="FFFFFF"/>
                <w:sz w:val="28"/>
                <w:szCs w:val="22"/>
              </w:rPr>
            </w:pPr>
          </w:p>
        </w:tc>
        <w:tc>
          <w:tcPr>
            <w:tcW w:w="1403" w:type="pct"/>
            <w:gridSpan w:val="2"/>
            <w:shd w:val="clear" w:color="auto" w:fill="808080"/>
            <w:vAlign w:val="center"/>
          </w:tcPr>
          <w:p w14:paraId="0F48D9F7" w14:textId="77777777" w:rsidR="00922808" w:rsidRPr="00922808" w:rsidDel="00EB4583" w:rsidRDefault="00922808" w:rsidP="00922808">
            <w:pPr>
              <w:tabs>
                <w:tab w:val="left" w:pos="284"/>
              </w:tabs>
              <w:jc w:val="center"/>
              <w:rPr>
                <w:rFonts w:ascii="Tahoma" w:hAnsi="Tahoma" w:cs="Tahoma"/>
                <w:b/>
                <w:bCs/>
                <w:iCs/>
                <w:color w:val="FFFFFF"/>
                <w:sz w:val="28"/>
                <w:szCs w:val="22"/>
              </w:rPr>
            </w:pPr>
            <w:r w:rsidRPr="00922808">
              <w:rPr>
                <w:rFonts w:ascii="Tahoma" w:eastAsia="Calibri" w:hAnsi="Tahoma" w:cs="Tahoma"/>
                <w:b/>
                <w:color w:val="FFFFFF"/>
                <w:sz w:val="22"/>
                <w:szCs w:val="22"/>
                <w:lang w:eastAsia="en-US"/>
              </w:rPr>
              <w:t>UnionPay</w:t>
            </w:r>
            <w:r w:rsidRPr="00922808">
              <w:rPr>
                <w:rFonts w:ascii="Tahoma" w:hAnsi="Tahoma" w:cs="Tahoma"/>
                <w:b/>
                <w:bCs/>
                <w:iCs/>
                <w:color w:val="FFFFFF"/>
                <w:sz w:val="22"/>
                <w:szCs w:val="22"/>
              </w:rPr>
              <w:t xml:space="preserve">: </w:t>
            </w:r>
            <w:r w:rsidRPr="00922808">
              <w:rPr>
                <w:rFonts w:ascii="Tahoma" w:hAnsi="Tahoma" w:cs="Tahoma"/>
                <w:b/>
                <w:bCs/>
                <w:iCs/>
                <w:color w:val="FFFFFF"/>
                <w:sz w:val="22"/>
                <w:szCs w:val="22"/>
                <w:lang w:val="en-US"/>
              </w:rPr>
              <w:t>Platinum</w:t>
            </w:r>
            <w:r w:rsidRPr="00922808">
              <w:rPr>
                <w:rFonts w:ascii="Tahoma" w:hAnsi="Tahoma" w:cs="Tahoma"/>
                <w:b/>
                <w:bCs/>
                <w:iCs/>
                <w:color w:val="FFFFFF"/>
                <w:sz w:val="22"/>
                <w:szCs w:val="22"/>
              </w:rPr>
              <w:t xml:space="preserve"> или</w:t>
            </w:r>
            <w:r w:rsidRPr="00922808">
              <w:rPr>
                <w:rFonts w:ascii="Tahoma" w:eastAsia="Calibri" w:hAnsi="Tahoma" w:cs="Tahoma"/>
                <w:b/>
                <w:color w:val="FFFFFF"/>
                <w:sz w:val="22"/>
                <w:szCs w:val="22"/>
                <w:lang w:eastAsia="en-US"/>
              </w:rPr>
              <w:t xml:space="preserve"> Diamond</w:t>
            </w:r>
          </w:p>
        </w:tc>
        <w:tc>
          <w:tcPr>
            <w:tcW w:w="1493" w:type="pct"/>
            <w:gridSpan w:val="2"/>
            <w:shd w:val="clear" w:color="auto" w:fill="808080"/>
            <w:vAlign w:val="center"/>
          </w:tcPr>
          <w:p w14:paraId="78DE9545" w14:textId="77777777" w:rsidR="00922808" w:rsidRPr="00922808" w:rsidDel="00EB4583" w:rsidRDefault="00922808" w:rsidP="00922808">
            <w:pPr>
              <w:tabs>
                <w:tab w:val="left" w:pos="284"/>
              </w:tabs>
              <w:jc w:val="center"/>
              <w:rPr>
                <w:rFonts w:ascii="Tahoma" w:hAnsi="Tahoma" w:cs="Tahoma"/>
                <w:b/>
                <w:bCs/>
                <w:iCs/>
                <w:color w:val="FFFFFF"/>
                <w:sz w:val="28"/>
                <w:szCs w:val="22"/>
              </w:rPr>
            </w:pPr>
            <w:r w:rsidRPr="00922808">
              <w:rPr>
                <w:rFonts w:ascii="Tahoma" w:eastAsia="Calibri" w:hAnsi="Tahoma" w:cs="Tahoma"/>
                <w:b/>
                <w:color w:val="FFFFFF"/>
                <w:sz w:val="22"/>
                <w:szCs w:val="22"/>
                <w:lang w:eastAsia="en-US"/>
              </w:rPr>
              <w:t>Visa Platinum</w:t>
            </w:r>
          </w:p>
        </w:tc>
      </w:tr>
      <w:tr w:rsidR="00922808" w:rsidRPr="00922808" w14:paraId="2F029DF4" w14:textId="77777777" w:rsidTr="005A7C26">
        <w:trPr>
          <w:trHeight w:val="1149"/>
        </w:trPr>
        <w:tc>
          <w:tcPr>
            <w:tcW w:w="347" w:type="pct"/>
            <w:shd w:val="clear" w:color="auto" w:fill="auto"/>
            <w:vAlign w:val="center"/>
          </w:tcPr>
          <w:p w14:paraId="4DE6D055" w14:textId="77777777" w:rsidR="00922808" w:rsidRPr="00922808" w:rsidRDefault="00922808" w:rsidP="00922808">
            <w:pPr>
              <w:spacing w:after="160" w:line="259" w:lineRule="auto"/>
              <w:rPr>
                <w:rFonts w:ascii="Tahoma" w:hAnsi="Tahoma" w:cs="Tahoma"/>
                <w:bCs/>
                <w:iCs/>
                <w:color w:val="000000"/>
                <w:sz w:val="22"/>
                <w:szCs w:val="22"/>
              </w:rPr>
            </w:pPr>
            <w:r w:rsidRPr="00922808">
              <w:rPr>
                <w:rFonts w:ascii="Tahoma" w:hAnsi="Tahoma" w:cs="Tahoma"/>
                <w:bCs/>
                <w:iCs/>
                <w:color w:val="000000"/>
                <w:sz w:val="22"/>
                <w:szCs w:val="22"/>
              </w:rPr>
              <w:t>5.1.</w:t>
            </w:r>
          </w:p>
        </w:tc>
        <w:tc>
          <w:tcPr>
            <w:tcW w:w="1757" w:type="pct"/>
            <w:shd w:val="clear" w:color="auto" w:fill="auto"/>
            <w:vAlign w:val="center"/>
          </w:tcPr>
          <w:p w14:paraId="2AD3290B" w14:textId="77777777" w:rsidR="00922808" w:rsidRPr="00922808" w:rsidDel="00EB4583" w:rsidRDefault="00922808" w:rsidP="00922808">
            <w:pPr>
              <w:spacing w:after="160" w:line="259" w:lineRule="auto"/>
              <w:rPr>
                <w:rFonts w:ascii="Tahoma" w:hAnsi="Tahoma" w:cs="Tahoma"/>
                <w:bCs/>
                <w:iCs/>
                <w:color w:val="000000"/>
                <w:sz w:val="22"/>
                <w:szCs w:val="22"/>
              </w:rPr>
            </w:pPr>
            <w:r w:rsidRPr="00922808">
              <w:rPr>
                <w:rFonts w:ascii="Tahoma" w:hAnsi="Tahoma" w:cs="Tahoma"/>
                <w:bCs/>
                <w:iCs/>
                <w:color w:val="000000"/>
                <w:sz w:val="22"/>
                <w:szCs w:val="22"/>
              </w:rPr>
              <w:t>Программа лояльности для клиентов-держателей Банковских карт «Азиатско-Тихоокеанский Банк, (АО)», размещённой на Сайте Банка www.atb.su и Подразделениях Банка</w:t>
            </w:r>
          </w:p>
        </w:tc>
        <w:tc>
          <w:tcPr>
            <w:tcW w:w="2896" w:type="pct"/>
            <w:gridSpan w:val="4"/>
            <w:shd w:val="clear" w:color="auto" w:fill="auto"/>
            <w:vAlign w:val="center"/>
          </w:tcPr>
          <w:p w14:paraId="01DA4E83" w14:textId="77777777" w:rsidR="00922808" w:rsidRPr="00922808" w:rsidDel="00EB4583" w:rsidRDefault="00922808" w:rsidP="00922808">
            <w:pPr>
              <w:spacing w:after="160" w:line="259" w:lineRule="auto"/>
              <w:jc w:val="center"/>
              <w:rPr>
                <w:rFonts w:ascii="Tahoma" w:hAnsi="Tahoma" w:cs="Tahoma"/>
                <w:bCs/>
                <w:iCs/>
                <w:color w:val="000000"/>
                <w:sz w:val="22"/>
                <w:szCs w:val="22"/>
              </w:rPr>
            </w:pPr>
            <w:r w:rsidRPr="00922808">
              <w:rPr>
                <w:rFonts w:ascii="Tahoma" w:hAnsi="Tahoma" w:cs="Tahoma"/>
                <w:bCs/>
                <w:iCs/>
                <w:color w:val="000000"/>
                <w:sz w:val="22"/>
                <w:szCs w:val="22"/>
              </w:rPr>
              <w:t xml:space="preserve">Согласно действующей </w:t>
            </w:r>
            <w:r w:rsidRPr="00922808">
              <w:rPr>
                <w:rFonts w:ascii="Tahoma" w:hAnsi="Tahoma" w:cs="Tahoma"/>
                <w:b/>
                <w:bCs/>
                <w:iCs/>
                <w:color w:val="000000"/>
                <w:sz w:val="22"/>
                <w:szCs w:val="22"/>
              </w:rPr>
              <w:t>Бонусной программе «Премиум-Бонус»</w:t>
            </w:r>
            <w:r w:rsidRPr="00922808">
              <w:rPr>
                <w:rFonts w:ascii="Tahoma" w:hAnsi="Tahoma" w:cs="Tahoma"/>
                <w:bCs/>
                <w:iCs/>
                <w:color w:val="000000"/>
                <w:sz w:val="22"/>
                <w:szCs w:val="22"/>
              </w:rPr>
              <w:t>, размещенной на Сайте Банка www.atb.su и в Подразделениях Банка</w:t>
            </w:r>
          </w:p>
        </w:tc>
      </w:tr>
      <w:tr w:rsidR="00922808" w:rsidRPr="00922808" w14:paraId="4D739170" w14:textId="77777777" w:rsidTr="005A7C26">
        <w:trPr>
          <w:trHeight w:val="517"/>
        </w:trPr>
        <w:tc>
          <w:tcPr>
            <w:tcW w:w="347" w:type="pct"/>
            <w:shd w:val="clear" w:color="auto" w:fill="auto"/>
            <w:vAlign w:val="center"/>
          </w:tcPr>
          <w:p w14:paraId="1272737C" w14:textId="77777777" w:rsidR="00922808" w:rsidRPr="00922808" w:rsidRDefault="00922808" w:rsidP="00922808">
            <w:pPr>
              <w:spacing w:after="160" w:line="259" w:lineRule="auto"/>
              <w:rPr>
                <w:rFonts w:ascii="Tahoma" w:hAnsi="Tahoma" w:cs="Tahoma"/>
                <w:bCs/>
                <w:iCs/>
                <w:color w:val="000000"/>
                <w:sz w:val="22"/>
                <w:szCs w:val="22"/>
              </w:rPr>
            </w:pPr>
            <w:r w:rsidRPr="00922808">
              <w:rPr>
                <w:rFonts w:ascii="Tahoma" w:hAnsi="Tahoma" w:cs="Tahoma"/>
                <w:bCs/>
                <w:iCs/>
                <w:color w:val="000000"/>
                <w:sz w:val="22"/>
                <w:szCs w:val="22"/>
              </w:rPr>
              <w:t>5.2.</w:t>
            </w:r>
          </w:p>
        </w:tc>
        <w:tc>
          <w:tcPr>
            <w:tcW w:w="1757" w:type="pct"/>
            <w:shd w:val="clear" w:color="auto" w:fill="auto"/>
            <w:vAlign w:val="center"/>
          </w:tcPr>
          <w:p w14:paraId="4BC51E5C" w14:textId="77777777" w:rsidR="00922808" w:rsidRPr="00922808" w:rsidRDefault="00922808" w:rsidP="00922808">
            <w:pPr>
              <w:spacing w:after="160" w:line="259" w:lineRule="auto"/>
              <w:rPr>
                <w:rFonts w:ascii="Tahoma" w:hAnsi="Tahoma" w:cs="Tahoma"/>
                <w:bCs/>
                <w:iCs/>
                <w:color w:val="000000"/>
                <w:sz w:val="22"/>
                <w:szCs w:val="22"/>
              </w:rPr>
            </w:pPr>
            <w:r w:rsidRPr="00922808">
              <w:rPr>
                <w:rFonts w:ascii="Tahoma" w:hAnsi="Tahoma" w:cs="Tahoma"/>
                <w:bCs/>
                <w:iCs/>
                <w:color w:val="000000"/>
                <w:sz w:val="22"/>
                <w:szCs w:val="22"/>
              </w:rPr>
              <w:t>Иные программы лояльности</w:t>
            </w:r>
          </w:p>
        </w:tc>
        <w:tc>
          <w:tcPr>
            <w:tcW w:w="2896" w:type="pct"/>
            <w:gridSpan w:val="4"/>
            <w:shd w:val="clear" w:color="auto" w:fill="auto"/>
            <w:vAlign w:val="center"/>
          </w:tcPr>
          <w:p w14:paraId="642A7FBE" w14:textId="77777777" w:rsidR="00922808" w:rsidRPr="00922808" w:rsidRDefault="00922808" w:rsidP="00922808">
            <w:pPr>
              <w:spacing w:after="160" w:line="259" w:lineRule="auto"/>
              <w:jc w:val="both"/>
              <w:rPr>
                <w:rFonts w:ascii="Tahoma" w:hAnsi="Tahoma" w:cs="Tahoma"/>
                <w:bCs/>
                <w:iCs/>
                <w:color w:val="000000"/>
                <w:sz w:val="22"/>
                <w:szCs w:val="22"/>
              </w:rPr>
            </w:pPr>
            <w:r w:rsidRPr="00922808">
              <w:rPr>
                <w:rFonts w:ascii="Tahoma" w:hAnsi="Tahoma" w:cs="Tahoma"/>
                <w:bCs/>
                <w:iCs/>
                <w:color w:val="000000"/>
                <w:sz w:val="22"/>
                <w:szCs w:val="22"/>
              </w:rPr>
              <w:t>Услуги и сервисы в рамках программ привилегий Международных платежных систем Visa International Service Association и MasterCard Inc., а также компании Priority Pass Ltd. не предоставляются с 10.03.2022 года в связи с приостановлением деятельности указанных сервисов для карт, эмитированных российскими банками.</w:t>
            </w:r>
          </w:p>
        </w:tc>
      </w:tr>
    </w:tbl>
    <w:p w14:paraId="659F415D" w14:textId="77777777" w:rsidR="00922808" w:rsidRPr="00922808" w:rsidRDefault="00922808" w:rsidP="00922808">
      <w:pPr>
        <w:spacing w:after="160" w:line="259" w:lineRule="auto"/>
        <w:rPr>
          <w:rFonts w:ascii="Tahoma" w:hAnsi="Tahoma" w:cs="Tahoma"/>
          <w:b/>
          <w:bCs/>
          <w:iCs/>
          <w:color w:val="000000"/>
          <w:sz w:val="20"/>
          <w:szCs w:val="22"/>
        </w:rPr>
      </w:pPr>
      <w:r w:rsidRPr="00922808">
        <w:rPr>
          <w:rFonts w:ascii="Tahoma" w:hAnsi="Tahoma" w:cs="Tahoma"/>
          <w:b/>
          <w:bCs/>
          <w:iCs/>
          <w:color w:val="000000"/>
          <w:sz w:val="20"/>
          <w:szCs w:val="22"/>
        </w:rPr>
        <w:t>Примечания:</w:t>
      </w:r>
    </w:p>
    <w:p w14:paraId="299B7829" w14:textId="77777777" w:rsidR="00922808" w:rsidRPr="00922808" w:rsidRDefault="00922808" w:rsidP="00922808">
      <w:pPr>
        <w:tabs>
          <w:tab w:val="left" w:pos="284"/>
        </w:tabs>
        <w:jc w:val="both"/>
        <w:rPr>
          <w:rFonts w:ascii="Tahoma" w:eastAsia="Calibri" w:hAnsi="Tahoma" w:cs="Tahoma"/>
          <w:sz w:val="18"/>
          <w:szCs w:val="18"/>
          <w:lang w:eastAsia="en-US"/>
        </w:rPr>
      </w:pPr>
      <w:r w:rsidRPr="00922808">
        <w:rPr>
          <w:rFonts w:ascii="Tahoma" w:hAnsi="Tahoma" w:cs="Tahoma"/>
          <w:bCs/>
          <w:iCs/>
          <w:sz w:val="18"/>
          <w:szCs w:val="18"/>
          <w:vertAlign w:val="superscript"/>
        </w:rPr>
        <w:t>1</w:t>
      </w:r>
      <w:r w:rsidRPr="00922808">
        <w:rPr>
          <w:rFonts w:ascii="Tahoma" w:eastAsia="Calibri" w:hAnsi="Tahoma" w:cs="Tahoma"/>
          <w:sz w:val="18"/>
          <w:szCs w:val="18"/>
          <w:lang w:eastAsia="en-US"/>
        </w:rPr>
        <w:t xml:space="preserve">Все предусмотренные Программой Тарифы (комиссионные платежи) взимаются (списываются) в порядке прямого дебетования на основании заранее данного Клиентом Банку акцепта и (или) инкассовыми поручениями с любого Счета Карты, Накопительного счета Клиента в Банке, в момент совершения соответствующей операции, если иное не установлено Программой/договором с Клиентом. Списание комиссий в валюте, отличной от валюты счета списания, производится Банком по курсу Банка России на день проведения операции. Комиссии, указанные в процентах, исчисляются от суммы тарифицируемой операции. Условия, определенные Программой, имеют приоритетную силу над условиями УДБО. </w:t>
      </w:r>
    </w:p>
    <w:p w14:paraId="4C5D7B89" w14:textId="77777777" w:rsidR="00922808" w:rsidRPr="00922808" w:rsidRDefault="00922808" w:rsidP="00922808">
      <w:pPr>
        <w:tabs>
          <w:tab w:val="left" w:pos="284"/>
        </w:tabs>
        <w:jc w:val="both"/>
        <w:rPr>
          <w:rFonts w:ascii="Tahoma" w:eastAsia="Calibri" w:hAnsi="Tahoma" w:cs="Tahoma"/>
          <w:sz w:val="18"/>
          <w:szCs w:val="18"/>
          <w:lang w:eastAsia="en-US"/>
        </w:rPr>
      </w:pPr>
      <w:r w:rsidRPr="00922808">
        <w:rPr>
          <w:rFonts w:ascii="Tahoma" w:eastAsia="Calibri" w:hAnsi="Tahoma" w:cs="Tahoma"/>
          <w:sz w:val="18"/>
          <w:szCs w:val="18"/>
          <w:lang w:eastAsia="en-US"/>
        </w:rPr>
        <w:t xml:space="preserve">По волеизъявлению Клиента ему могут быть открыты Счета, предоставлен Кредит, на основании отдельно заключаемых договоров в рамках иных программ и Тарифных планов Банка. </w:t>
      </w:r>
    </w:p>
    <w:p w14:paraId="39590AEA" w14:textId="77777777" w:rsidR="00922808" w:rsidRPr="00922808" w:rsidRDefault="00922808" w:rsidP="00922808">
      <w:pPr>
        <w:contextualSpacing/>
        <w:jc w:val="both"/>
        <w:rPr>
          <w:rFonts w:ascii="Tahoma" w:eastAsia="Calibri" w:hAnsi="Tahoma" w:cs="Tahoma"/>
          <w:sz w:val="18"/>
          <w:szCs w:val="18"/>
          <w:lang w:eastAsia="en-US"/>
        </w:rPr>
      </w:pPr>
      <w:r w:rsidRPr="00922808">
        <w:rPr>
          <w:rFonts w:ascii="Tahoma" w:eastAsia="Calibri" w:hAnsi="Tahoma" w:cs="Tahoma"/>
          <w:sz w:val="18"/>
          <w:szCs w:val="18"/>
          <w:lang w:eastAsia="en-US"/>
        </w:rPr>
        <w:t>Смена категории с «VIP Премьер» на «VIP Премьер+» или с «VIP Премьер+» на «VIP Премьер» или изменение условий/Тарифов/наполнения Программы услугами, оформляемых на условиях Тарифов, отличающихся от настоящих, возможен только после подписания соответствующих документов, предусматривающих такого рода изменения, с Клиентом-держателем Программы, за исключением изменений, инициируемых Банком в одностороннем порядке в случаях, предусмотренных законодательством Российской Федерации, Договором с Клиентом.</w:t>
      </w:r>
    </w:p>
    <w:p w14:paraId="28048C2D" w14:textId="77777777" w:rsidR="00922808" w:rsidRPr="00922808" w:rsidRDefault="00922808" w:rsidP="00922808">
      <w:pPr>
        <w:contextualSpacing/>
        <w:jc w:val="both"/>
        <w:rPr>
          <w:rFonts w:ascii="Tahoma" w:eastAsia="Calibri" w:hAnsi="Tahoma" w:cs="Tahoma"/>
          <w:sz w:val="18"/>
          <w:szCs w:val="18"/>
          <w:lang w:eastAsia="en-US"/>
        </w:rPr>
      </w:pPr>
      <w:r w:rsidRPr="00922808">
        <w:rPr>
          <w:rFonts w:ascii="Tahoma" w:eastAsia="Calibri" w:hAnsi="Tahoma" w:cs="Tahoma"/>
          <w:sz w:val="18"/>
          <w:szCs w:val="18"/>
          <w:lang w:eastAsia="en-US"/>
        </w:rPr>
        <w:t>Программа – настоящий документ.</w:t>
      </w:r>
    </w:p>
    <w:p w14:paraId="518253AB" w14:textId="77777777" w:rsidR="00922808" w:rsidRPr="00922808" w:rsidRDefault="00922808" w:rsidP="00922808">
      <w:pPr>
        <w:tabs>
          <w:tab w:val="left" w:pos="284"/>
        </w:tabs>
        <w:jc w:val="both"/>
        <w:rPr>
          <w:rFonts w:ascii="Tahoma" w:eastAsia="Calibri" w:hAnsi="Tahoma" w:cs="Tahoma"/>
          <w:sz w:val="18"/>
          <w:szCs w:val="18"/>
          <w:lang w:eastAsia="en-US"/>
        </w:rPr>
      </w:pPr>
      <w:r w:rsidRPr="00922808">
        <w:rPr>
          <w:rFonts w:ascii="Tahoma" w:eastAsia="Calibri" w:hAnsi="Tahoma" w:cs="Tahoma"/>
          <w:sz w:val="18"/>
          <w:szCs w:val="18"/>
          <w:lang w:eastAsia="en-US"/>
        </w:rPr>
        <w:t>Премиальная категория обслуживания не присваивается Клиенту, если у него имеется перед Банком по любому Договору банковской услуги просроченная задолженность в течение последних 180 календарных дней продолжительностью (с перерывами или непрерывно) более 30 календарных дней.</w:t>
      </w:r>
    </w:p>
    <w:p w14:paraId="0FD09F3D" w14:textId="77777777" w:rsidR="00922808" w:rsidRPr="00922808" w:rsidRDefault="00922808" w:rsidP="00922808">
      <w:pPr>
        <w:tabs>
          <w:tab w:val="left" w:pos="284"/>
        </w:tabs>
        <w:jc w:val="both"/>
        <w:rPr>
          <w:rFonts w:ascii="Tahoma" w:eastAsia="Calibri" w:hAnsi="Tahoma" w:cs="Tahoma"/>
          <w:sz w:val="18"/>
          <w:szCs w:val="18"/>
          <w:lang w:eastAsia="en-US"/>
        </w:rPr>
      </w:pPr>
      <w:r w:rsidRPr="00922808">
        <w:rPr>
          <w:rFonts w:ascii="Tahoma" w:eastAsia="Calibri" w:hAnsi="Tahoma" w:cs="Tahoma"/>
          <w:sz w:val="18"/>
          <w:szCs w:val="18"/>
          <w:vertAlign w:val="superscript"/>
          <w:lang w:eastAsia="en-US"/>
        </w:rPr>
        <w:t>2</w:t>
      </w:r>
      <w:r w:rsidRPr="00922808">
        <w:rPr>
          <w:rFonts w:ascii="Tahoma" w:eastAsia="Calibri" w:hAnsi="Tahoma" w:cs="Tahoma"/>
          <w:sz w:val="18"/>
          <w:szCs w:val="18"/>
          <w:lang w:eastAsia="en-US"/>
        </w:rPr>
        <w:t>Не указанные в Программе термины применяются в значении, указанном в Универсальном договоре банковского обслуживания физических лиц «Азиатско-Тихоокеанский Банк» (АО) (по тексту–УДБО), размещённом на Сайте Банка www.atb.su, в Подразделениях Банка.</w:t>
      </w:r>
    </w:p>
    <w:p w14:paraId="5179B203" w14:textId="77777777" w:rsidR="00922808" w:rsidRPr="00922808" w:rsidRDefault="00922808" w:rsidP="00922808">
      <w:pPr>
        <w:tabs>
          <w:tab w:val="left" w:pos="709"/>
        </w:tabs>
        <w:jc w:val="both"/>
        <w:rPr>
          <w:rFonts w:ascii="Tahoma" w:hAnsi="Tahoma" w:cs="Tahoma"/>
          <w:bCs/>
          <w:iCs/>
          <w:sz w:val="18"/>
          <w:szCs w:val="18"/>
        </w:rPr>
      </w:pPr>
      <w:r w:rsidRPr="00922808">
        <w:rPr>
          <w:rFonts w:ascii="Tahoma" w:hAnsi="Tahoma" w:cs="Tahoma"/>
          <w:sz w:val="18"/>
          <w:szCs w:val="18"/>
          <w:vertAlign w:val="superscript"/>
        </w:rPr>
        <w:t>3</w:t>
      </w:r>
      <w:r w:rsidRPr="00922808">
        <w:rPr>
          <w:rFonts w:ascii="Tahoma" w:hAnsi="Tahoma" w:cs="Tahoma"/>
          <w:bCs/>
          <w:iCs/>
          <w:sz w:val="18"/>
          <w:szCs w:val="18"/>
        </w:rPr>
        <w:t>Порядок начисления и взимания Банком комиссионного вознаграждения, установленного Программой, для Клиентов-держателей Программы (взимается до оказания Банком услуги, если иное не установлено Программой):</w:t>
      </w:r>
    </w:p>
    <w:p w14:paraId="44AF0889" w14:textId="77777777" w:rsidR="00922808" w:rsidRPr="00922808" w:rsidRDefault="00922808" w:rsidP="00922808">
      <w:pPr>
        <w:numPr>
          <w:ilvl w:val="1"/>
          <w:numId w:val="22"/>
        </w:numPr>
        <w:autoSpaceDE w:val="0"/>
        <w:autoSpaceDN w:val="0"/>
        <w:adjustRightInd w:val="0"/>
        <w:spacing w:after="160" w:line="259" w:lineRule="auto"/>
        <w:ind w:left="567" w:hanging="414"/>
        <w:jc w:val="both"/>
        <w:rPr>
          <w:rFonts w:ascii="Tahoma" w:hAnsi="Tahoma" w:cs="Tahoma"/>
          <w:bCs/>
          <w:iCs/>
          <w:sz w:val="18"/>
          <w:szCs w:val="18"/>
        </w:rPr>
      </w:pPr>
      <w:r w:rsidRPr="00922808">
        <w:rPr>
          <w:rFonts w:ascii="Tahoma" w:hAnsi="Tahoma" w:cs="Tahoma"/>
          <w:bCs/>
          <w:iCs/>
          <w:sz w:val="18"/>
          <w:szCs w:val="18"/>
        </w:rPr>
        <w:t>В Льготный период – календарный месяц, в котором Клиент оформил Программу, и в котором комиссия не начисляется.</w:t>
      </w:r>
    </w:p>
    <w:p w14:paraId="09E75BBF" w14:textId="77777777" w:rsidR="00922808" w:rsidRPr="00922808" w:rsidRDefault="00922808" w:rsidP="00922808">
      <w:pPr>
        <w:numPr>
          <w:ilvl w:val="1"/>
          <w:numId w:val="22"/>
        </w:numPr>
        <w:autoSpaceDE w:val="0"/>
        <w:autoSpaceDN w:val="0"/>
        <w:adjustRightInd w:val="0"/>
        <w:spacing w:after="160" w:line="259" w:lineRule="auto"/>
        <w:ind w:left="567" w:hanging="414"/>
        <w:jc w:val="both"/>
        <w:rPr>
          <w:rFonts w:ascii="Tahoma" w:hAnsi="Tahoma" w:cs="Tahoma"/>
          <w:bCs/>
          <w:iCs/>
          <w:sz w:val="18"/>
          <w:szCs w:val="18"/>
        </w:rPr>
      </w:pPr>
      <w:r w:rsidRPr="00922808">
        <w:rPr>
          <w:rFonts w:ascii="Tahoma" w:hAnsi="Tahoma" w:cs="Tahoma"/>
          <w:bCs/>
          <w:iCs/>
          <w:sz w:val="18"/>
          <w:szCs w:val="22"/>
        </w:rPr>
        <w:t>Со второго календарного месяца после оформления Программы и в последующие календарные месяцы обслуживания, комиссия начисляется исходя из суммы Средних остатков, суммы безналичных покупок по Карте и поступления Заработной платы</w:t>
      </w:r>
      <w:r w:rsidRPr="00922808">
        <w:rPr>
          <w:rFonts w:ascii="Tahoma" w:hAnsi="Tahoma" w:cs="Tahoma"/>
          <w:bCs/>
          <w:iCs/>
          <w:color w:val="FF0000"/>
          <w:sz w:val="18"/>
          <w:szCs w:val="22"/>
        </w:rPr>
        <w:t xml:space="preserve"> </w:t>
      </w:r>
      <w:r w:rsidRPr="00922808">
        <w:rPr>
          <w:rFonts w:ascii="Tahoma" w:hAnsi="Tahoma" w:cs="Tahoma"/>
          <w:bCs/>
          <w:iCs/>
          <w:sz w:val="18"/>
          <w:szCs w:val="22"/>
        </w:rPr>
        <w:t xml:space="preserve">на Счет Карты за каждый календарный месяц. Комиссия рассчитывается и взимается (при не соблюдении условий бесплатного обслуживания, указанных в п.2. Программы) в третьем и последующих месяцах не позднее четвертого рабочего дня месяца. </w:t>
      </w:r>
    </w:p>
    <w:p w14:paraId="0BB7580D" w14:textId="77777777" w:rsidR="00922808" w:rsidRPr="00922808" w:rsidRDefault="00922808" w:rsidP="00922808">
      <w:pPr>
        <w:numPr>
          <w:ilvl w:val="1"/>
          <w:numId w:val="22"/>
        </w:numPr>
        <w:autoSpaceDE w:val="0"/>
        <w:autoSpaceDN w:val="0"/>
        <w:adjustRightInd w:val="0"/>
        <w:spacing w:after="160" w:line="259" w:lineRule="auto"/>
        <w:ind w:left="567" w:hanging="414"/>
        <w:jc w:val="both"/>
        <w:rPr>
          <w:rFonts w:ascii="Tahoma" w:hAnsi="Tahoma" w:cs="Tahoma"/>
          <w:bCs/>
          <w:iCs/>
          <w:sz w:val="18"/>
          <w:szCs w:val="18"/>
        </w:rPr>
      </w:pPr>
      <w:r w:rsidRPr="00922808">
        <w:rPr>
          <w:rFonts w:ascii="Tahoma" w:hAnsi="Tahoma" w:cs="Tahoma"/>
          <w:bCs/>
          <w:iCs/>
          <w:sz w:val="18"/>
          <w:szCs w:val="18"/>
        </w:rPr>
        <w:t>При прекращении обслуживания Клиента в рамках Программы (закрытии всех Счетов) комиссия начисляется и взимается в день подачи Клиентом Заявления о закрытии последнего из Счетов, оформленного в рамках Программы. За неполный месяц при подаче такого Заявления комиссия не начисляется и не взимается (за исключением случаев расторжения Программы в Льготном периоде (п.3</w:t>
      </w:r>
      <w:r w:rsidRPr="00922808">
        <w:rPr>
          <w:rFonts w:ascii="Tahoma" w:hAnsi="Tahoma" w:cs="Tahoma"/>
          <w:bCs/>
          <w:iCs/>
          <w:sz w:val="18"/>
          <w:szCs w:val="18"/>
          <w:lang w:val="en-US"/>
        </w:rPr>
        <w:t>d</w:t>
      </w:r>
      <w:r w:rsidRPr="00922808">
        <w:rPr>
          <w:rFonts w:ascii="Tahoma" w:hAnsi="Tahoma" w:cs="Tahoma"/>
          <w:bCs/>
          <w:iCs/>
          <w:sz w:val="18"/>
          <w:szCs w:val="18"/>
        </w:rPr>
        <w:t xml:space="preserve"> </w:t>
      </w:r>
      <w:r w:rsidRPr="00922808">
        <w:rPr>
          <w:rFonts w:ascii="Tahoma" w:eastAsia="Calibri" w:hAnsi="Tahoma" w:cs="Tahoma"/>
          <w:bCs/>
          <w:iCs/>
          <w:color w:val="000000"/>
          <w:sz w:val="18"/>
          <w:szCs w:val="18"/>
          <w:lang w:eastAsia="en-US"/>
        </w:rPr>
        <w:t>настоящих Примечаний</w:t>
      </w:r>
      <w:r w:rsidRPr="00922808">
        <w:rPr>
          <w:rFonts w:ascii="Tahoma" w:hAnsi="Tahoma" w:cs="Tahoma"/>
          <w:bCs/>
          <w:iCs/>
          <w:sz w:val="18"/>
          <w:szCs w:val="18"/>
        </w:rPr>
        <w:t>).</w:t>
      </w:r>
    </w:p>
    <w:p w14:paraId="13B99DE7" w14:textId="77777777" w:rsidR="00922808" w:rsidRPr="00922808" w:rsidRDefault="00922808" w:rsidP="00922808">
      <w:pPr>
        <w:numPr>
          <w:ilvl w:val="1"/>
          <w:numId w:val="22"/>
        </w:numPr>
        <w:autoSpaceDE w:val="0"/>
        <w:autoSpaceDN w:val="0"/>
        <w:adjustRightInd w:val="0"/>
        <w:spacing w:after="160" w:line="259" w:lineRule="auto"/>
        <w:ind w:left="567" w:hanging="425"/>
        <w:jc w:val="both"/>
        <w:rPr>
          <w:rFonts w:ascii="Tahoma" w:hAnsi="Tahoma" w:cs="Tahoma"/>
          <w:bCs/>
          <w:iCs/>
          <w:sz w:val="18"/>
          <w:szCs w:val="18"/>
        </w:rPr>
      </w:pPr>
      <w:r w:rsidRPr="00922808">
        <w:rPr>
          <w:rFonts w:ascii="Tahoma" w:hAnsi="Tahoma" w:cs="Tahoma"/>
          <w:bCs/>
          <w:iCs/>
          <w:sz w:val="18"/>
          <w:szCs w:val="18"/>
        </w:rPr>
        <w:t>В случае прекращения банковского обслуживания в «Азиатско-Тихоокеанский Банк» (АО) в рамках Программы в Льготном периоде по волеизъявлению Клиента, а также в иных случаях, предусмотренных законодательством РФ и заключенным Договором с Клиентом,</w:t>
      </w:r>
      <w:r w:rsidRPr="00922808" w:rsidDel="00B51EDB">
        <w:rPr>
          <w:rFonts w:ascii="Tahoma" w:hAnsi="Tahoma" w:cs="Tahoma"/>
          <w:bCs/>
          <w:iCs/>
          <w:sz w:val="18"/>
          <w:szCs w:val="18"/>
        </w:rPr>
        <w:t xml:space="preserve"> </w:t>
      </w:r>
      <w:r w:rsidRPr="00922808">
        <w:rPr>
          <w:rFonts w:ascii="Tahoma" w:hAnsi="Tahoma" w:cs="Tahoma"/>
          <w:b/>
          <w:bCs/>
          <w:iCs/>
          <w:sz w:val="18"/>
          <w:szCs w:val="18"/>
        </w:rPr>
        <w:t>Банк имеет право потребовать от Клиента оплаты услуг в размере суммы ежемесячного обслуживания (согласно п.2.2), за каждый месяц с момента оформления Программы до даты расторжения Договора Клиента с Банком.</w:t>
      </w:r>
    </w:p>
    <w:p w14:paraId="52EB5CB7" w14:textId="77777777" w:rsidR="00922808" w:rsidRPr="00922808" w:rsidRDefault="00922808" w:rsidP="00922808">
      <w:pPr>
        <w:autoSpaceDE w:val="0"/>
        <w:autoSpaceDN w:val="0"/>
        <w:adjustRightInd w:val="0"/>
        <w:jc w:val="both"/>
        <w:rPr>
          <w:rFonts w:ascii="Tahoma" w:hAnsi="Tahoma" w:cs="Tahoma"/>
          <w:bCs/>
          <w:iCs/>
          <w:sz w:val="18"/>
          <w:szCs w:val="18"/>
        </w:rPr>
      </w:pPr>
      <w:r w:rsidRPr="00922808">
        <w:rPr>
          <w:rFonts w:ascii="Tahoma" w:hAnsi="Tahoma" w:cs="Tahoma"/>
          <w:bCs/>
          <w:iCs/>
          <w:sz w:val="18"/>
          <w:szCs w:val="18"/>
        </w:rPr>
        <w:t>При образовании комиссионной задолженности Клиента перед Банком, Банк имеет право в одностороннем порядке приостановить действие Карт Клиента, выпущенных в рамках Программы, и Программы лояльности, действующей в рамках Программы (операции по Счетам без использования Карт/реквизитов Карт остаются доступными), до даты погашения этой комиссионной задолженности, за исключением случаев, предусмотренных законодательством РФ.</w:t>
      </w:r>
    </w:p>
    <w:p w14:paraId="2A50C25B" w14:textId="77777777" w:rsidR="00922808" w:rsidRPr="00922808" w:rsidRDefault="00922808" w:rsidP="00922808">
      <w:pPr>
        <w:autoSpaceDE w:val="0"/>
        <w:autoSpaceDN w:val="0"/>
        <w:adjustRightInd w:val="0"/>
        <w:jc w:val="both"/>
        <w:rPr>
          <w:rFonts w:ascii="Tahoma" w:hAnsi="Tahoma" w:cs="Tahoma"/>
          <w:bCs/>
          <w:iCs/>
          <w:sz w:val="18"/>
          <w:szCs w:val="18"/>
        </w:rPr>
      </w:pPr>
      <w:r w:rsidRPr="00922808">
        <w:rPr>
          <w:rFonts w:ascii="Tahoma" w:hAnsi="Tahoma" w:cs="Tahoma"/>
          <w:bCs/>
          <w:iCs/>
          <w:sz w:val="18"/>
          <w:szCs w:val="18"/>
          <w:lang w:val="en-US"/>
        </w:rPr>
        <w:t>C</w:t>
      </w:r>
      <w:r w:rsidRPr="00922808">
        <w:rPr>
          <w:rFonts w:ascii="Tahoma" w:hAnsi="Tahoma" w:cs="Tahoma"/>
          <w:bCs/>
          <w:iCs/>
          <w:sz w:val="18"/>
          <w:szCs w:val="18"/>
        </w:rPr>
        <w:t>писание комиссии за обслуживание Программы осуществляется единовременно с любых Счетов Клиента, открытых в рамках Программы, в следующей очередности (</w:t>
      </w:r>
      <w:r w:rsidRPr="00922808">
        <w:rPr>
          <w:rFonts w:ascii="Tahoma" w:eastAsia="Calibri" w:hAnsi="Tahoma" w:cs="Tahoma"/>
          <w:bCs/>
          <w:iCs/>
          <w:color w:val="000000"/>
          <w:sz w:val="18"/>
          <w:szCs w:val="18"/>
          <w:lang w:eastAsia="en-US"/>
        </w:rPr>
        <w:t>с учетом п.1 настоящих Примечаний, если иное не установлено настоящим пунктом)</w:t>
      </w:r>
      <w:r w:rsidRPr="00922808">
        <w:rPr>
          <w:rFonts w:ascii="Tahoma" w:hAnsi="Tahoma" w:cs="Tahoma"/>
          <w:bCs/>
          <w:iCs/>
          <w:sz w:val="18"/>
          <w:szCs w:val="18"/>
        </w:rPr>
        <w:t>:</w:t>
      </w:r>
    </w:p>
    <w:p w14:paraId="773CE9C8" w14:textId="77777777" w:rsidR="00922808" w:rsidRPr="00922808" w:rsidRDefault="00922808" w:rsidP="00922808">
      <w:pPr>
        <w:autoSpaceDE w:val="0"/>
        <w:autoSpaceDN w:val="0"/>
        <w:adjustRightInd w:val="0"/>
        <w:ind w:left="284"/>
        <w:jc w:val="both"/>
        <w:rPr>
          <w:rFonts w:ascii="Tahoma" w:hAnsi="Tahoma" w:cs="Tahoma"/>
          <w:bCs/>
          <w:iCs/>
          <w:sz w:val="18"/>
          <w:szCs w:val="18"/>
        </w:rPr>
      </w:pPr>
      <w:r w:rsidRPr="00922808">
        <w:rPr>
          <w:rFonts w:ascii="Tahoma" w:hAnsi="Tahoma" w:cs="Tahoma"/>
          <w:b/>
          <w:bCs/>
          <w:iCs/>
          <w:sz w:val="18"/>
          <w:szCs w:val="18"/>
        </w:rPr>
        <w:t>(1)</w:t>
      </w:r>
      <w:r w:rsidRPr="00922808">
        <w:rPr>
          <w:rFonts w:ascii="Tahoma" w:hAnsi="Tahoma" w:cs="Tahoma"/>
          <w:bCs/>
          <w:iCs/>
          <w:sz w:val="18"/>
          <w:szCs w:val="18"/>
        </w:rPr>
        <w:t xml:space="preserve"> Накопительные счета в рублях РФ; </w:t>
      </w:r>
      <w:r w:rsidRPr="00922808">
        <w:rPr>
          <w:rFonts w:ascii="Tahoma" w:hAnsi="Tahoma" w:cs="Tahoma"/>
          <w:b/>
          <w:bCs/>
          <w:iCs/>
          <w:sz w:val="18"/>
          <w:szCs w:val="18"/>
        </w:rPr>
        <w:t>(2)</w:t>
      </w:r>
      <w:r w:rsidRPr="00922808">
        <w:rPr>
          <w:rFonts w:ascii="Tahoma" w:hAnsi="Tahoma" w:cs="Tahoma"/>
          <w:bCs/>
          <w:iCs/>
          <w:sz w:val="18"/>
          <w:szCs w:val="18"/>
        </w:rPr>
        <w:t xml:space="preserve"> Счета Карты в рублях РФ; </w:t>
      </w:r>
      <w:r w:rsidRPr="00922808">
        <w:rPr>
          <w:rFonts w:ascii="Tahoma" w:hAnsi="Tahoma" w:cs="Tahoma"/>
          <w:b/>
          <w:bCs/>
          <w:iCs/>
          <w:sz w:val="18"/>
          <w:szCs w:val="18"/>
        </w:rPr>
        <w:t>(3)</w:t>
      </w:r>
      <w:r w:rsidRPr="00922808">
        <w:rPr>
          <w:rFonts w:ascii="Tahoma" w:hAnsi="Tahoma" w:cs="Tahoma"/>
          <w:bCs/>
          <w:iCs/>
          <w:sz w:val="18"/>
          <w:szCs w:val="18"/>
        </w:rPr>
        <w:t xml:space="preserve"> Накопительные счета в долларах США, далее в Евро, далее в иных валютах; </w:t>
      </w:r>
      <w:r w:rsidRPr="00922808">
        <w:rPr>
          <w:rFonts w:ascii="Tahoma" w:hAnsi="Tahoma" w:cs="Tahoma"/>
          <w:b/>
          <w:bCs/>
          <w:iCs/>
          <w:sz w:val="18"/>
          <w:szCs w:val="18"/>
        </w:rPr>
        <w:t>(4)</w:t>
      </w:r>
      <w:r w:rsidRPr="00922808">
        <w:rPr>
          <w:rFonts w:ascii="Tahoma" w:hAnsi="Tahoma" w:cs="Tahoma"/>
          <w:bCs/>
          <w:iCs/>
          <w:sz w:val="18"/>
          <w:szCs w:val="18"/>
        </w:rPr>
        <w:t xml:space="preserve"> Счета Карт в долларах США, далее в евро; </w:t>
      </w:r>
      <w:r w:rsidRPr="00922808">
        <w:rPr>
          <w:rFonts w:ascii="Tahoma" w:hAnsi="Tahoma" w:cs="Tahoma"/>
          <w:b/>
          <w:bCs/>
          <w:iCs/>
          <w:sz w:val="18"/>
          <w:szCs w:val="18"/>
        </w:rPr>
        <w:t>(6)</w:t>
      </w:r>
      <w:r w:rsidRPr="00922808">
        <w:rPr>
          <w:rFonts w:ascii="Tahoma" w:hAnsi="Tahoma" w:cs="Tahoma"/>
          <w:bCs/>
          <w:iCs/>
          <w:sz w:val="18"/>
          <w:szCs w:val="18"/>
        </w:rPr>
        <w:t xml:space="preserve"> п</w:t>
      </w:r>
      <w:r w:rsidRPr="00922808">
        <w:rPr>
          <w:rFonts w:ascii="Tahoma" w:eastAsia="Calibri" w:hAnsi="Tahoma" w:cs="Tahoma"/>
          <w:color w:val="000000"/>
          <w:sz w:val="18"/>
          <w:szCs w:val="18"/>
          <w:lang w:eastAsia="en-US"/>
        </w:rPr>
        <w:t>ри отсутствии или недостаточности денежных средств для списания комиссионных платежей с банковских Счетов, открытых в рамках Программы, Банк вправе производить списание с иных банковских Счетов, открытых на имя Клиента-физического лица в Банке</w:t>
      </w:r>
      <w:r w:rsidRPr="00922808">
        <w:rPr>
          <w:rFonts w:ascii="Tahoma" w:hAnsi="Tahoma" w:cs="Tahoma"/>
          <w:bCs/>
          <w:iCs/>
          <w:sz w:val="18"/>
          <w:szCs w:val="18"/>
        </w:rPr>
        <w:t xml:space="preserve">. </w:t>
      </w:r>
    </w:p>
    <w:p w14:paraId="76E19DDB" w14:textId="77777777" w:rsidR="00922808" w:rsidRPr="00922808" w:rsidRDefault="00922808" w:rsidP="00922808">
      <w:pPr>
        <w:autoSpaceDE w:val="0"/>
        <w:autoSpaceDN w:val="0"/>
        <w:adjustRightInd w:val="0"/>
        <w:jc w:val="both"/>
        <w:rPr>
          <w:rFonts w:ascii="Calibri" w:eastAsia="Calibri" w:hAnsi="Calibri" w:cs="Calibri"/>
          <w:color w:val="000000"/>
        </w:rPr>
      </w:pPr>
      <w:r w:rsidRPr="00922808">
        <w:rPr>
          <w:rFonts w:ascii="Tahoma" w:hAnsi="Tahoma" w:cs="Tahoma"/>
          <w:bCs/>
          <w:iCs/>
          <w:sz w:val="18"/>
          <w:szCs w:val="22"/>
        </w:rPr>
        <w:t>При недостаточности средств для списания комиссии в полном объеме на первом Счете по списку очередности, допускается частичное списание средств с каждого из последующих Счетов до взимания комиссии в полном объеме</w:t>
      </w:r>
      <w:r w:rsidRPr="00922808">
        <w:rPr>
          <w:rFonts w:ascii="Tahoma" w:hAnsi="Tahoma" w:cs="Tahoma"/>
          <w:bCs/>
          <w:iCs/>
          <w:color w:val="000000"/>
          <w:sz w:val="18"/>
        </w:rPr>
        <w:t>.</w:t>
      </w:r>
    </w:p>
    <w:p w14:paraId="4871D2AB" w14:textId="77777777" w:rsidR="00922808" w:rsidRPr="00922808" w:rsidRDefault="00922808" w:rsidP="00922808">
      <w:pPr>
        <w:tabs>
          <w:tab w:val="left" w:pos="284"/>
        </w:tabs>
        <w:jc w:val="both"/>
        <w:rPr>
          <w:rFonts w:ascii="Tahoma" w:hAnsi="Tahoma" w:cs="Tahoma"/>
          <w:bCs/>
          <w:iCs/>
          <w:sz w:val="18"/>
          <w:szCs w:val="18"/>
        </w:rPr>
      </w:pPr>
      <w:r w:rsidRPr="00922808">
        <w:rPr>
          <w:rFonts w:ascii="Tahoma" w:hAnsi="Tahoma" w:cs="Tahoma"/>
          <w:bCs/>
          <w:iCs/>
          <w:sz w:val="18"/>
          <w:szCs w:val="18"/>
          <w:vertAlign w:val="superscript"/>
        </w:rPr>
        <w:t>4</w:t>
      </w:r>
      <w:r w:rsidRPr="00922808">
        <w:rPr>
          <w:rFonts w:ascii="Tahoma" w:hAnsi="Tahoma" w:cs="Tahoma"/>
          <w:bCs/>
          <w:iCs/>
          <w:sz w:val="18"/>
          <w:szCs w:val="18"/>
        </w:rPr>
        <w:t xml:space="preserve">Средние остатки (для условий бесплатного обслуживания Программы) – это совокупный баланс размещений денежных средств на Счетах Клиента в Банке, рассчитанный путем сложения ежедневных входящих остатков денежных средств на следующих счетах Клиента в Банке: Накопительных счетах, Счетах вклада, Текущих банковских счетах; остатки на банковских Счетах в драгоценных металлах (Счета ДМ), брокерских и Счетах Карт Клиента, в течение календарного месяца и деления этой суммы на количество дней в этом месяце (здесь и далее под месяцем понимается календарный месяц – это дни с 01-го по последний день месяца). При расчете Средних остатков за месяц подключения Программы деление производится на фактическое количество дней обслуживания (действия Программы) в этом месяце. Ежедневные входящие остатки в иностранной валюте принимаются в расчет по курсу ЦБ РФ на каждый день. </w:t>
      </w:r>
    </w:p>
    <w:p w14:paraId="51ABCA8E" w14:textId="77777777" w:rsidR="00922808" w:rsidRPr="00922808" w:rsidRDefault="00922808" w:rsidP="00922808">
      <w:pPr>
        <w:jc w:val="both"/>
        <w:rPr>
          <w:rFonts w:ascii="Tahoma" w:hAnsi="Tahoma" w:cs="Tahoma"/>
          <w:bCs/>
          <w:iCs/>
          <w:sz w:val="18"/>
          <w:szCs w:val="18"/>
        </w:rPr>
      </w:pPr>
      <w:r w:rsidRPr="00922808">
        <w:rPr>
          <w:rFonts w:ascii="Tahoma" w:hAnsi="Tahoma" w:cs="Tahoma"/>
          <w:bCs/>
          <w:iCs/>
          <w:sz w:val="18"/>
          <w:szCs w:val="18"/>
          <w:vertAlign w:val="superscript"/>
        </w:rPr>
        <w:t>5</w:t>
      </w:r>
      <w:r w:rsidRPr="00922808">
        <w:rPr>
          <w:rFonts w:ascii="Tahoma" w:hAnsi="Tahoma" w:cs="Tahoma"/>
          <w:bCs/>
          <w:iCs/>
          <w:sz w:val="18"/>
          <w:szCs w:val="18"/>
        </w:rPr>
        <w:t>Сумма покупок (Транзакций) – это сумма операций, совершенных Клиентом (за Отчетный период) при покупке товаров, работ, результатов интеллектуальной деятельности, услуг в ТСП по всем Картам (за исключением Карт с лимитом кредитования), эмитированным Банком в рамках Программы. В расчет Суммы покупок принимаются операции, отраженные по балансу Банка. Операции в иностранной валюте принимаются в расчет по курсу Банка на момент их совершения. Денежные переводы со Счёта Карты Клиента между своими счетами или на счета третьих лиц (открытые как в Банке, так и в других кредитных организациях), переводы с карты на карту и квази-кэш, оплата товаров (услуг, работ, результатов интеллектуальной деятельности) в разделе «Платежи» Интернет-Банка и/или Мобильного Банка; платежи и переводы с целью пополнения любых виртуальных и/или электронных кошельков, или иных электронных денежных средств; операции с МСС-кодами: 4829, 6012, 6050, 6529, 6530, 6531, 6532, 6533, 6534, 6536, 6537, 6538, 6051, 6540, 7372, 7399, 7995, 8999 в расчет суммы покупок не включаются.</w:t>
      </w:r>
    </w:p>
    <w:p w14:paraId="46867AA9" w14:textId="77777777" w:rsidR="00922808" w:rsidRPr="00922808" w:rsidRDefault="00922808" w:rsidP="00922808">
      <w:pPr>
        <w:jc w:val="both"/>
        <w:rPr>
          <w:rFonts w:ascii="Tahoma" w:hAnsi="Tahoma" w:cs="Tahoma"/>
          <w:bCs/>
          <w:iCs/>
          <w:sz w:val="18"/>
          <w:szCs w:val="18"/>
        </w:rPr>
      </w:pPr>
      <w:r w:rsidRPr="00922808">
        <w:rPr>
          <w:rFonts w:ascii="Tahoma" w:hAnsi="Tahoma" w:cs="Tahoma"/>
          <w:bCs/>
          <w:iCs/>
          <w:sz w:val="18"/>
          <w:szCs w:val="18"/>
        </w:rPr>
        <w:t>Для Карт в иностранных валютах в расчет Суммы покупок принимаются эквиваленты значений, указанные в п.2.3.2. и п.2.3.3. по курсу Банка на дату совершения Операций.</w:t>
      </w:r>
    </w:p>
    <w:p w14:paraId="301C6D67" w14:textId="77777777" w:rsidR="00922808" w:rsidRPr="00922808" w:rsidRDefault="00922808" w:rsidP="00922808">
      <w:pPr>
        <w:jc w:val="both"/>
        <w:rPr>
          <w:rFonts w:ascii="Tahoma" w:hAnsi="Tahoma" w:cs="Tahoma"/>
          <w:bCs/>
          <w:iCs/>
          <w:sz w:val="18"/>
          <w:szCs w:val="18"/>
        </w:rPr>
      </w:pPr>
      <w:r w:rsidRPr="00922808">
        <w:rPr>
          <w:rFonts w:ascii="Tahoma" w:hAnsi="Tahoma" w:cs="Tahoma"/>
          <w:bCs/>
          <w:iCs/>
          <w:sz w:val="18"/>
          <w:szCs w:val="18"/>
          <w:vertAlign w:val="superscript"/>
        </w:rPr>
        <w:t>6</w:t>
      </w:r>
      <w:r w:rsidRPr="00922808">
        <w:rPr>
          <w:rFonts w:ascii="Tahoma" w:eastAsia="Calibri" w:hAnsi="Tahoma" w:cs="Tahoma"/>
          <w:sz w:val="18"/>
          <w:szCs w:val="18"/>
          <w:lang w:eastAsia="en-US"/>
        </w:rPr>
        <w:t>Под «Заработной платой» понимаются исключительно поступления денежных средств на счет Карты Клиента, которые можно отнести к таковым согласно действующему законодательству РФ. В случае смещения дат поступления денежных средств (учитываемых в качестве Заработной платы, от Работодателя Клиента на счет Карты Клиента) в календарном месяце в связи с праздничными нерабочими днями в соответствии с действующим законодательством Российской Федерации и/или выходными днями</w:t>
      </w:r>
      <w:r w:rsidRPr="00922808">
        <w:rPr>
          <w:rFonts w:ascii="Calibri" w:eastAsia="Calibri" w:hAnsi="Calibri"/>
          <w:sz w:val="22"/>
          <w:szCs w:val="22"/>
          <w:lang w:eastAsia="en-US"/>
        </w:rPr>
        <w:t xml:space="preserve"> </w:t>
      </w:r>
      <w:r w:rsidRPr="00922808">
        <w:rPr>
          <w:rFonts w:ascii="Tahoma" w:eastAsia="Calibri" w:hAnsi="Tahoma" w:cs="Tahoma"/>
          <w:sz w:val="18"/>
          <w:szCs w:val="18"/>
          <w:lang w:eastAsia="en-US"/>
        </w:rPr>
        <w:t>(под выходными днями понимаются суббота и воскресенье, за исключением случаев переноса в соответствии с законодательством Российской Федерации выходных дней на другие дни), Банк учитывает среднюю сумму поступлений денежных средств (учитываемых в качестве Заработной платы, от Работодателя Клиента на счет Карты Клиента) за два календарных месяца, предшествующих месяцу начисления комиссии за обслуживание Программы. Банк не несет ответственности за расходы, понесенные Клиентом (взимание комиссии за обслуживание Программы), вследствие поступления денежных средств (учитываемых в качестве Заработной платы, от Работодателя Клиента на счет Карты Клиента) в календарном месяце и/или в течение двух календарных месяцев (в случаях смещения дат поступления денежных средств в связи с праздничными и/или выходными днями), предшествующих месяцу начисления комиссии за обслуживание Программы, в сумме, недостаточной для выполнения условий бесплатного обслуживания Программы.</w:t>
      </w:r>
    </w:p>
    <w:p w14:paraId="4D9DD13F" w14:textId="77777777" w:rsidR="00922808" w:rsidRPr="00922808" w:rsidRDefault="00922808" w:rsidP="00922808">
      <w:pPr>
        <w:jc w:val="both"/>
        <w:rPr>
          <w:rFonts w:ascii="Tahoma" w:eastAsia="Calibri" w:hAnsi="Tahoma" w:cs="Tahoma"/>
          <w:sz w:val="18"/>
          <w:szCs w:val="18"/>
          <w:lang w:eastAsia="en-US"/>
        </w:rPr>
      </w:pPr>
      <w:r w:rsidRPr="00922808">
        <w:rPr>
          <w:rFonts w:ascii="Tahoma" w:hAnsi="Tahoma" w:cs="Tahoma"/>
          <w:bCs/>
          <w:iCs/>
          <w:sz w:val="18"/>
          <w:szCs w:val="18"/>
          <w:vertAlign w:val="superscript"/>
        </w:rPr>
        <w:t>7</w:t>
      </w:r>
      <w:r w:rsidRPr="00922808">
        <w:rPr>
          <w:rFonts w:ascii="Tahoma" w:hAnsi="Tahoma" w:cs="Tahoma"/>
          <w:bCs/>
          <w:iCs/>
          <w:sz w:val="18"/>
          <w:szCs w:val="18"/>
        </w:rPr>
        <w:t xml:space="preserve">В рамках Программы под «Накопительным счетом» понимается ТБС, открываемый Банком Клиенту в соответствии с условиями УДБО. </w:t>
      </w:r>
      <w:r w:rsidRPr="00922808">
        <w:rPr>
          <w:rFonts w:ascii="Tahoma" w:eastAsia="Calibri" w:hAnsi="Tahoma" w:cs="Tahoma"/>
          <w:sz w:val="18"/>
          <w:szCs w:val="18"/>
          <w:lang w:eastAsia="en-US"/>
        </w:rPr>
        <w:t>Правоотношения Банка и Клиента по услуге «Накопительный счет» регулируются «Общими условиями открытия физическими лицами вкладов, текущего банковского счета в «Азиатско-Тихоокеанский Банк» (АО)» (Приложение № 1 к УДБО).</w:t>
      </w:r>
    </w:p>
    <w:p w14:paraId="3A714D02" w14:textId="77777777" w:rsidR="00922808" w:rsidRPr="00922808" w:rsidRDefault="00922808" w:rsidP="00922808">
      <w:pPr>
        <w:jc w:val="both"/>
        <w:rPr>
          <w:rFonts w:ascii="Tahoma" w:hAnsi="Tahoma" w:cs="Tahoma"/>
          <w:bCs/>
          <w:iCs/>
          <w:sz w:val="18"/>
          <w:szCs w:val="18"/>
        </w:rPr>
      </w:pPr>
      <w:r w:rsidRPr="00922808">
        <w:rPr>
          <w:rFonts w:ascii="Tahoma" w:eastAsia="Calibri" w:hAnsi="Tahoma" w:cs="Tahoma"/>
          <w:sz w:val="18"/>
          <w:szCs w:val="18"/>
          <w:vertAlign w:val="superscript"/>
          <w:lang w:eastAsia="en-US"/>
        </w:rPr>
        <w:t>8</w:t>
      </w:r>
      <w:r w:rsidRPr="00922808">
        <w:rPr>
          <w:rFonts w:ascii="Tahoma" w:hAnsi="Tahoma" w:cs="Tahoma"/>
          <w:bCs/>
          <w:iCs/>
          <w:sz w:val="18"/>
          <w:szCs w:val="18"/>
        </w:rPr>
        <w:t>Оформление Счетов (в т.ч. Накопительных счетов) в валютах доллары США/Евро в рамках Программы не осуществляется с 01.08.2022 года для всех Клиентов-держателей Программы.</w:t>
      </w:r>
    </w:p>
    <w:p w14:paraId="27A40784" w14:textId="77777777" w:rsidR="00922808" w:rsidRPr="00922808" w:rsidRDefault="00922808" w:rsidP="00922808">
      <w:pPr>
        <w:jc w:val="both"/>
        <w:rPr>
          <w:rFonts w:ascii="Tahoma" w:hAnsi="Tahoma" w:cs="Tahoma"/>
          <w:bCs/>
          <w:iCs/>
          <w:sz w:val="18"/>
          <w:szCs w:val="18"/>
        </w:rPr>
      </w:pPr>
      <w:r w:rsidRPr="00922808">
        <w:rPr>
          <w:rFonts w:ascii="Tahoma" w:eastAsia="Calibri" w:hAnsi="Tahoma" w:cs="Tahoma"/>
          <w:sz w:val="18"/>
          <w:szCs w:val="18"/>
          <w:vertAlign w:val="superscript"/>
          <w:lang w:eastAsia="en-US"/>
        </w:rPr>
        <w:t>9</w:t>
      </w:r>
      <w:r w:rsidRPr="00922808">
        <w:rPr>
          <w:rFonts w:ascii="Tahoma" w:hAnsi="Tahoma" w:cs="Tahoma"/>
          <w:bCs/>
          <w:iCs/>
          <w:sz w:val="18"/>
          <w:szCs w:val="18"/>
        </w:rPr>
        <w:t>Средний остаток по Накопительному счету – это совокупный баланс денежных средств на Накопительном счете, рассчитанный путем сложения ежедневных входящих остатков денежных средств на Накопительном счете Клиента в течение календарного месяца (далее – Период) и деления этой суммы на количество дней в этом месяце. Первый Период исчисляется со дня, следующего за днем поступления денежных средств на указанный в настоящем пункте Накопительный счет по последний календарный месяц (включительно). Последующие Периоды исчисляются ежемесячно с 1-го числа каждого календарного месяца по последний календарный месяц (включительно). Выплата Банком Клиенту начисленных процентов производится на Накопительный счет в последний день месяца.</w:t>
      </w:r>
    </w:p>
    <w:p w14:paraId="5AC118DC" w14:textId="77777777" w:rsidR="00922808" w:rsidRPr="00922808" w:rsidRDefault="00922808" w:rsidP="00922808">
      <w:pPr>
        <w:jc w:val="both"/>
        <w:rPr>
          <w:rFonts w:ascii="Tahoma" w:hAnsi="Tahoma" w:cs="Tahoma"/>
          <w:bCs/>
          <w:iCs/>
          <w:sz w:val="18"/>
          <w:szCs w:val="18"/>
        </w:rPr>
      </w:pPr>
      <w:r w:rsidRPr="00922808">
        <w:rPr>
          <w:rFonts w:ascii="Tahoma" w:hAnsi="Tahoma" w:cs="Tahoma"/>
          <w:bCs/>
          <w:iCs/>
          <w:sz w:val="18"/>
          <w:szCs w:val="18"/>
        </w:rPr>
        <w:t>Дополнительные условия, влияющие на процентную ставку: процентная ставка по Накопительному счету в рублях устанавливается на дату оформления нового Накопительного счета в рублях (заключения договора), а для Клиентов, оформивших Накопительные счета в рублях по 08.06.2024г. включительно, с 08.06.2024г. Процентная ставка по Накопительному счету в юанях устанавливается на дату оформления нового Накопительного счета в юанях (заключения договора) с 10.07.2024г., а для Клиентов, оформивших Накопительные счета в юанях по 10.07.2024г. включительно, с 10.07.2024г. Размеры процентных ставок определяются Программой, являющейся неотъемлемой (составной) частью Тарифов Банка. В случае внесения изменений в Тарифы Банка Банк информирует Клиента в порядке, предусмотренном УДБО.</w:t>
      </w:r>
    </w:p>
    <w:p w14:paraId="3CE39BD2" w14:textId="77777777" w:rsidR="00922808" w:rsidRPr="00922808" w:rsidRDefault="00922808" w:rsidP="00922808">
      <w:pPr>
        <w:jc w:val="both"/>
        <w:rPr>
          <w:rFonts w:ascii="Tahoma" w:eastAsia="Calibri" w:hAnsi="Tahoma" w:cs="Tahoma"/>
          <w:sz w:val="18"/>
          <w:szCs w:val="18"/>
          <w:lang w:eastAsia="en-US"/>
        </w:rPr>
      </w:pPr>
      <w:r w:rsidRPr="00922808">
        <w:rPr>
          <w:rFonts w:ascii="Tahoma" w:hAnsi="Tahoma" w:cs="Tahoma"/>
          <w:bCs/>
          <w:iCs/>
          <w:sz w:val="18"/>
          <w:szCs w:val="18"/>
          <w:vertAlign w:val="superscript"/>
        </w:rPr>
        <w:t>10</w:t>
      </w:r>
      <w:r w:rsidRPr="00922808">
        <w:rPr>
          <w:rFonts w:ascii="Tahoma" w:hAnsi="Tahoma" w:cs="Tahoma"/>
          <w:bCs/>
          <w:iCs/>
          <w:sz w:val="18"/>
          <w:szCs w:val="18"/>
        </w:rPr>
        <w:t>Оформление</w:t>
      </w:r>
      <w:r w:rsidRPr="00922808">
        <w:rPr>
          <w:rFonts w:ascii="Tahoma" w:eastAsia="Calibri" w:hAnsi="Tahoma" w:cs="Tahoma"/>
          <w:sz w:val="18"/>
          <w:szCs w:val="18"/>
          <w:lang w:eastAsia="en-US"/>
        </w:rPr>
        <w:t xml:space="preserve"> Накопительных счетов в валюте юань осуществляется при волеизъявлении Клиента, не является обязательной услугой для оформления Программы.</w:t>
      </w:r>
    </w:p>
    <w:p w14:paraId="02DD9059" w14:textId="77777777" w:rsidR="00922808" w:rsidRPr="00922808" w:rsidRDefault="00922808" w:rsidP="00922808">
      <w:pPr>
        <w:ind w:firstLine="34"/>
        <w:jc w:val="both"/>
        <w:rPr>
          <w:rFonts w:ascii="Tahoma" w:hAnsi="Tahoma" w:cs="Tahoma"/>
          <w:bCs/>
          <w:iCs/>
          <w:sz w:val="18"/>
          <w:szCs w:val="18"/>
        </w:rPr>
      </w:pPr>
      <w:r w:rsidRPr="00922808">
        <w:rPr>
          <w:rFonts w:ascii="Tahoma" w:hAnsi="Tahoma" w:cs="Tahoma"/>
          <w:bCs/>
          <w:iCs/>
          <w:sz w:val="18"/>
          <w:szCs w:val="18"/>
          <w:vertAlign w:val="superscript"/>
        </w:rPr>
        <w:t>11</w:t>
      </w:r>
      <w:r w:rsidRPr="00922808">
        <w:rPr>
          <w:rFonts w:ascii="Tahoma" w:hAnsi="Tahoma" w:cs="Tahoma"/>
          <w:bCs/>
          <w:iCs/>
          <w:sz w:val="18"/>
          <w:szCs w:val="18"/>
        </w:rPr>
        <w:t>Минимальный остаток по Накопительному счету рассчитывается путем анализа ежедневных входящих остатков денежных средств на Накопительном счете Клиента в течение календарного месяца. Проценты начисляются на сумму минимального остатка средств в анализируемом периоде. Выплата начисленных процентов производится на Накопительный счет не позднее пятого рабочего дня месяца, следующего за месяцем начисления процентов.</w:t>
      </w:r>
    </w:p>
    <w:p w14:paraId="08F75DA2" w14:textId="77777777" w:rsidR="00922808" w:rsidRPr="00922808" w:rsidRDefault="00922808" w:rsidP="00922808">
      <w:pPr>
        <w:ind w:firstLine="34"/>
        <w:jc w:val="both"/>
        <w:rPr>
          <w:rFonts w:ascii="Tahoma" w:eastAsia="Calibri" w:hAnsi="Tahoma" w:cs="Tahoma"/>
          <w:sz w:val="18"/>
          <w:szCs w:val="18"/>
          <w:lang w:eastAsia="en-US"/>
        </w:rPr>
      </w:pPr>
      <w:r w:rsidRPr="00922808">
        <w:rPr>
          <w:rFonts w:ascii="Tahoma" w:hAnsi="Tahoma" w:cs="Tahoma"/>
          <w:bCs/>
          <w:iCs/>
          <w:sz w:val="18"/>
          <w:szCs w:val="18"/>
          <w:vertAlign w:val="superscript"/>
        </w:rPr>
        <w:t>12</w:t>
      </w:r>
      <w:r w:rsidRPr="00922808">
        <w:rPr>
          <w:rFonts w:ascii="Tahoma" w:eastAsia="Calibri" w:hAnsi="Tahoma" w:cs="Tahoma"/>
          <w:sz w:val="18"/>
          <w:szCs w:val="18"/>
          <w:lang w:eastAsia="en-US"/>
        </w:rPr>
        <w:t xml:space="preserve">Операции по счетам и использование платежных карт осуществляются с учетом ограничений, установленных платежными системами VISA International, </w:t>
      </w:r>
      <w:r w:rsidRPr="00922808">
        <w:rPr>
          <w:rFonts w:ascii="Tahoma" w:eastAsia="Calibri" w:hAnsi="Tahoma" w:cs="Tahoma"/>
          <w:sz w:val="18"/>
          <w:szCs w:val="18"/>
          <w:lang w:val="en-US" w:eastAsia="en-US"/>
        </w:rPr>
        <w:t>UnionPay</w:t>
      </w:r>
      <w:r w:rsidRPr="00922808">
        <w:rPr>
          <w:rFonts w:ascii="Tahoma" w:eastAsia="Calibri" w:hAnsi="Tahoma" w:cs="Tahoma"/>
          <w:sz w:val="18"/>
          <w:szCs w:val="18"/>
          <w:lang w:eastAsia="en-US"/>
        </w:rPr>
        <w:t xml:space="preserve"> </w:t>
      </w:r>
      <w:r w:rsidRPr="00922808">
        <w:rPr>
          <w:rFonts w:ascii="Tahoma" w:eastAsia="Calibri" w:hAnsi="Tahoma" w:cs="Tahoma"/>
          <w:sz w:val="18"/>
          <w:szCs w:val="18"/>
          <w:lang w:val="en-US" w:eastAsia="en-US"/>
        </w:rPr>
        <w:t>International</w:t>
      </w:r>
      <w:r w:rsidRPr="00922808">
        <w:rPr>
          <w:rFonts w:ascii="Tahoma" w:eastAsia="Calibri" w:hAnsi="Tahoma" w:cs="Tahoma"/>
          <w:sz w:val="18"/>
          <w:szCs w:val="18"/>
          <w:lang w:eastAsia="en-US"/>
        </w:rPr>
        <w:t>, иными уполномоченными лицами иностранных государств, международными организациями, а также законодательством иностранных государств, Российской Федерации.</w:t>
      </w:r>
    </w:p>
    <w:p w14:paraId="14CFC548" w14:textId="77777777" w:rsidR="00922808" w:rsidRPr="00922808" w:rsidRDefault="00922808" w:rsidP="00922808">
      <w:pPr>
        <w:ind w:firstLine="34"/>
        <w:jc w:val="both"/>
        <w:rPr>
          <w:rFonts w:ascii="Tahoma" w:hAnsi="Tahoma" w:cs="Tahoma"/>
          <w:bCs/>
          <w:iCs/>
          <w:sz w:val="18"/>
          <w:szCs w:val="18"/>
        </w:rPr>
      </w:pPr>
      <w:r w:rsidRPr="00922808">
        <w:rPr>
          <w:rFonts w:ascii="Tahoma" w:eastAsia="Calibri" w:hAnsi="Tahoma" w:cs="Tahoma"/>
          <w:sz w:val="18"/>
          <w:szCs w:val="18"/>
          <w:vertAlign w:val="superscript"/>
          <w:lang w:eastAsia="en-US"/>
        </w:rPr>
        <w:t>13</w:t>
      </w:r>
      <w:r w:rsidRPr="00922808">
        <w:rPr>
          <w:rFonts w:ascii="Tahoma" w:hAnsi="Tahoma" w:cs="Tahoma"/>
          <w:bCs/>
          <w:iCs/>
          <w:sz w:val="18"/>
          <w:szCs w:val="18"/>
        </w:rPr>
        <w:t>Комиссионное вознаграждение на основании заранее данного Клиентом акцепта взимается единовременно при оформлении Заявления на банковское обслуживание при получении и использовании дополнительных банковских (платежных) карт Банка в рамках Программы.</w:t>
      </w:r>
    </w:p>
    <w:p w14:paraId="01D012D3" w14:textId="77777777" w:rsidR="00922808" w:rsidRPr="00922808" w:rsidRDefault="00922808" w:rsidP="00922808">
      <w:pPr>
        <w:ind w:firstLine="34"/>
        <w:jc w:val="both"/>
        <w:rPr>
          <w:rFonts w:ascii="Tahoma" w:hAnsi="Tahoma" w:cs="Tahoma"/>
          <w:bCs/>
          <w:iCs/>
          <w:sz w:val="18"/>
          <w:szCs w:val="18"/>
        </w:rPr>
      </w:pPr>
      <w:r w:rsidRPr="00922808">
        <w:rPr>
          <w:rFonts w:ascii="Tahoma" w:hAnsi="Tahoma" w:cs="Tahoma"/>
          <w:bCs/>
          <w:iCs/>
          <w:sz w:val="18"/>
          <w:szCs w:val="18"/>
          <w:vertAlign w:val="superscript"/>
        </w:rPr>
        <w:t>14</w:t>
      </w:r>
      <w:r w:rsidRPr="00922808">
        <w:rPr>
          <w:rFonts w:ascii="Tahoma" w:hAnsi="Tahoma" w:cs="Tahoma"/>
          <w:bCs/>
          <w:iCs/>
          <w:sz w:val="18"/>
          <w:szCs w:val="18"/>
        </w:rPr>
        <w:t xml:space="preserve">Денежные переводы с платежной карты на платежную карту в банкоматах Банка и в пользу юридических лиц – поставщиков услуг, заключивших договор с Банком, платежи в счет оплаты коммунальных и иных услуг через Интернет-банк «АТБ-Онлайн», Мобильный банк, а также лимиты проведения операций на Сайте </w:t>
      </w:r>
      <w:hyperlink r:id="rId90" w:history="1">
        <w:r w:rsidRPr="00922808">
          <w:rPr>
            <w:rFonts w:ascii="Tahoma" w:hAnsi="Tahoma" w:cs="Tahoma"/>
            <w:bCs/>
            <w:iCs/>
            <w:color w:val="0563C1"/>
            <w:sz w:val="18"/>
            <w:szCs w:val="18"/>
            <w:u w:val="single"/>
            <w:lang w:val="en-US"/>
          </w:rPr>
          <w:t>www</w:t>
        </w:r>
        <w:r w:rsidRPr="00922808">
          <w:rPr>
            <w:rFonts w:ascii="Tahoma" w:hAnsi="Tahoma" w:cs="Tahoma"/>
            <w:bCs/>
            <w:iCs/>
            <w:color w:val="0563C1"/>
            <w:sz w:val="18"/>
            <w:szCs w:val="18"/>
            <w:u w:val="single"/>
          </w:rPr>
          <w:t>.</w:t>
        </w:r>
        <w:r w:rsidRPr="00922808">
          <w:rPr>
            <w:rFonts w:ascii="Tahoma" w:hAnsi="Tahoma" w:cs="Tahoma"/>
            <w:bCs/>
            <w:iCs/>
            <w:color w:val="0563C1"/>
            <w:sz w:val="18"/>
            <w:szCs w:val="18"/>
            <w:u w:val="single"/>
            <w:lang w:val="en-US"/>
          </w:rPr>
          <w:t>atb</w:t>
        </w:r>
        <w:r w:rsidRPr="00922808">
          <w:rPr>
            <w:rFonts w:ascii="Tahoma" w:hAnsi="Tahoma" w:cs="Tahoma"/>
            <w:bCs/>
            <w:iCs/>
            <w:color w:val="0563C1"/>
            <w:sz w:val="18"/>
            <w:szCs w:val="18"/>
            <w:u w:val="single"/>
          </w:rPr>
          <w:t>.</w:t>
        </w:r>
        <w:r w:rsidRPr="00922808">
          <w:rPr>
            <w:rFonts w:ascii="Tahoma" w:hAnsi="Tahoma" w:cs="Tahoma"/>
            <w:bCs/>
            <w:iCs/>
            <w:color w:val="0563C1"/>
            <w:sz w:val="18"/>
            <w:szCs w:val="18"/>
            <w:u w:val="single"/>
            <w:lang w:val="en-US"/>
          </w:rPr>
          <w:t>su</w:t>
        </w:r>
      </w:hyperlink>
      <w:r w:rsidRPr="00922808">
        <w:rPr>
          <w:rFonts w:ascii="Tahoma" w:hAnsi="Tahoma" w:cs="Tahoma"/>
          <w:bCs/>
          <w:iCs/>
          <w:sz w:val="18"/>
          <w:szCs w:val="18"/>
        </w:rPr>
        <w:t>, регулируются соответствующими разделами Тарифов Банка для клиентов-физических лиц. Ограничения проведения операций в валютах доллар США/Евро/юань по оплате товаров, работ, услуг за рубежом/ограничения перевода денежных средств за рубеж физическим лицам/ограничения перевода денежных средств за рубеж на свой счет/ограничения переводов денежных средств без открытия банковского счета с использованием электронных средств платежа, предоставленных иностранными поставщиками платежных услуг, применяются в соответствии с законодательством Российской Федерации, в т.ч актами Банка России.</w:t>
      </w:r>
    </w:p>
    <w:p w14:paraId="266ECB4F" w14:textId="77777777" w:rsidR="00922808" w:rsidRPr="00922808" w:rsidRDefault="00922808" w:rsidP="00922808">
      <w:pPr>
        <w:ind w:firstLine="34"/>
        <w:jc w:val="both"/>
        <w:rPr>
          <w:rFonts w:ascii="Tahoma" w:hAnsi="Tahoma" w:cs="Tahoma"/>
          <w:bCs/>
          <w:iCs/>
          <w:sz w:val="18"/>
          <w:szCs w:val="18"/>
        </w:rPr>
      </w:pPr>
      <w:r w:rsidRPr="00922808">
        <w:rPr>
          <w:rFonts w:ascii="Tahoma" w:hAnsi="Tahoma" w:cs="Tahoma"/>
          <w:bCs/>
          <w:iCs/>
          <w:sz w:val="18"/>
          <w:szCs w:val="18"/>
          <w:vertAlign w:val="superscript"/>
        </w:rPr>
        <w:t>15</w:t>
      </w:r>
      <w:r w:rsidRPr="00922808">
        <w:rPr>
          <w:rFonts w:ascii="Tahoma" w:hAnsi="Tahoma" w:cs="Tahoma"/>
          <w:bCs/>
          <w:iCs/>
          <w:sz w:val="18"/>
          <w:szCs w:val="18"/>
        </w:rPr>
        <w:t>ТСП (Торгово-сервисное предприятие), здесь и по тексту Программы – юридическое или физическое лицо – индивидуальный предприниматель (за исключением кредитных организаций), осуществляющее реализацию товаров (работ, услуг, результатов интеллектуальной деятельности), оплата которых производится Клиентами Банка с помощью Карты/реквизитов Карты через электронные средства платежа (POS-терминалы и платежные терминалы), а также через сеть Интернет.</w:t>
      </w:r>
    </w:p>
    <w:p w14:paraId="037A5CB3" w14:textId="77777777" w:rsidR="00922808" w:rsidRPr="00922808" w:rsidRDefault="00922808" w:rsidP="00922808">
      <w:pPr>
        <w:ind w:firstLine="34"/>
        <w:jc w:val="both"/>
        <w:rPr>
          <w:rFonts w:ascii="Tahoma" w:eastAsia="Calibri" w:hAnsi="Tahoma" w:cs="Tahoma"/>
          <w:sz w:val="18"/>
          <w:szCs w:val="18"/>
          <w:lang w:eastAsia="en-US"/>
        </w:rPr>
      </w:pPr>
      <w:r w:rsidRPr="00922808">
        <w:rPr>
          <w:rFonts w:ascii="Tahoma" w:hAnsi="Tahoma" w:cs="Tahoma"/>
          <w:bCs/>
          <w:iCs/>
          <w:sz w:val="18"/>
          <w:szCs w:val="18"/>
          <w:vertAlign w:val="superscript"/>
        </w:rPr>
        <w:t>16</w:t>
      </w:r>
      <w:r w:rsidRPr="00922808">
        <w:rPr>
          <w:rFonts w:ascii="Tahoma" w:eastAsia="Calibri" w:hAnsi="Tahoma" w:cs="Tahoma"/>
          <w:sz w:val="18"/>
          <w:szCs w:val="18"/>
          <w:lang w:eastAsia="en-US"/>
        </w:rPr>
        <w:t>По безналичным операциям с МСС-кодами: 4829 «Денежные переводы», 6012 «Финансовые институты – торговля и услуги», 6538 «Денежные переводы с Карты на Карту», 6534 «Платежная операция», 6051 «Квази-Кэш в нефинансовые учреждения» – комиссия не взимается.</w:t>
      </w:r>
    </w:p>
    <w:p w14:paraId="0842FA56" w14:textId="77777777" w:rsidR="00922808" w:rsidRPr="00922808" w:rsidRDefault="00922808" w:rsidP="00922808">
      <w:pPr>
        <w:ind w:firstLine="34"/>
        <w:jc w:val="both"/>
        <w:rPr>
          <w:rFonts w:ascii="Tahoma" w:hAnsi="Tahoma" w:cs="Tahoma"/>
          <w:bCs/>
          <w:iCs/>
          <w:sz w:val="18"/>
          <w:szCs w:val="18"/>
        </w:rPr>
      </w:pPr>
      <w:r w:rsidRPr="00922808">
        <w:rPr>
          <w:rFonts w:ascii="Tahoma" w:eastAsia="Calibri" w:hAnsi="Tahoma" w:cs="Tahoma"/>
          <w:sz w:val="18"/>
          <w:szCs w:val="18"/>
          <w:vertAlign w:val="superscript"/>
          <w:lang w:eastAsia="en-US"/>
        </w:rPr>
        <w:t>17</w:t>
      </w:r>
      <w:r w:rsidRPr="00922808">
        <w:rPr>
          <w:rFonts w:ascii="Tahoma" w:hAnsi="Tahoma" w:cs="Tahoma"/>
          <w:bCs/>
          <w:iCs/>
          <w:sz w:val="18"/>
          <w:szCs w:val="18"/>
        </w:rPr>
        <w:t>Возможно взимание дополнительной комиссии за взнос и выдачу наличных в розничной сети партнеров Банка, а также другими банками за взнос и выдачу наличных по Карте Клиента, выпущенной в рамках Программы, в их устройствах. При проведении наличной операции с конверсией применяются курсы валют, указанные в пункте 4.2.2. Программы.</w:t>
      </w:r>
    </w:p>
    <w:p w14:paraId="0C8A7306" w14:textId="77777777" w:rsidR="00922808" w:rsidRPr="00922808" w:rsidRDefault="00922808" w:rsidP="00922808">
      <w:pPr>
        <w:ind w:firstLine="34"/>
        <w:jc w:val="both"/>
        <w:rPr>
          <w:rFonts w:ascii="Tahoma" w:eastAsia="Calibri" w:hAnsi="Tahoma" w:cs="Tahoma"/>
          <w:sz w:val="18"/>
          <w:szCs w:val="18"/>
          <w:lang w:eastAsia="en-US"/>
        </w:rPr>
      </w:pPr>
      <w:r w:rsidRPr="00922808">
        <w:rPr>
          <w:rFonts w:ascii="Tahoma" w:hAnsi="Tahoma" w:cs="Tahoma"/>
          <w:bCs/>
          <w:iCs/>
          <w:sz w:val="18"/>
          <w:szCs w:val="18"/>
          <w:vertAlign w:val="superscript"/>
        </w:rPr>
        <w:t>18</w:t>
      </w:r>
      <w:r w:rsidRPr="00922808">
        <w:rPr>
          <w:rFonts w:ascii="Tahoma" w:eastAsia="Calibri" w:hAnsi="Tahoma" w:cs="Tahoma"/>
          <w:sz w:val="18"/>
          <w:szCs w:val="18"/>
          <w:lang w:eastAsia="en-US"/>
        </w:rPr>
        <w:t>Платежными системами и ТСП могут быть установлены собственные ограничения по предоставлению данной услуги. О наличии услуги и ограничениях по ней необходимо уточнять в ТСП.</w:t>
      </w:r>
    </w:p>
    <w:p w14:paraId="366B6ABC" w14:textId="77777777" w:rsidR="00922808" w:rsidRPr="00922808" w:rsidRDefault="00922808" w:rsidP="00922808">
      <w:pPr>
        <w:ind w:firstLine="34"/>
        <w:jc w:val="both"/>
        <w:rPr>
          <w:rFonts w:ascii="Tahoma" w:hAnsi="Tahoma" w:cs="Tahoma"/>
          <w:bCs/>
          <w:iCs/>
          <w:sz w:val="18"/>
          <w:szCs w:val="18"/>
        </w:rPr>
      </w:pPr>
      <w:r w:rsidRPr="00922808">
        <w:rPr>
          <w:rFonts w:ascii="Tahoma" w:eastAsia="Calibri" w:hAnsi="Tahoma" w:cs="Tahoma"/>
          <w:sz w:val="18"/>
          <w:szCs w:val="18"/>
          <w:vertAlign w:val="superscript"/>
          <w:lang w:eastAsia="en-US"/>
        </w:rPr>
        <w:t>19</w:t>
      </w:r>
      <w:r w:rsidRPr="00922808">
        <w:rPr>
          <w:rFonts w:ascii="Tahoma" w:hAnsi="Tahoma" w:cs="Tahoma"/>
          <w:bCs/>
          <w:iCs/>
          <w:sz w:val="18"/>
          <w:szCs w:val="18"/>
        </w:rPr>
        <w:t>Лимиты в день действуют от 00 до 24 ч. московского времени (включительно), в месяц - от 00 часов 1-го числа до 24 часов последнего числа месяца (включительно), по московскому времени. Выдача наличных денежных средств в устройствах в сумме, превышающей лимиты, не производится. Выдача сумм в пунктах выдачи наличных Банка производится с предъявлением документа, удостоверяющего личность. Лимиты выдачи денежных средств в иностранной валюте применимы исключительно для выдачи денежных средств в банкоматах и пунктах выдачи наличных за пределами Российской Федерации.</w:t>
      </w:r>
    </w:p>
    <w:p w14:paraId="51EA7D4F" w14:textId="77777777" w:rsidR="00922808" w:rsidRPr="00922808" w:rsidRDefault="00922808" w:rsidP="00922808">
      <w:pPr>
        <w:tabs>
          <w:tab w:val="left" w:pos="284"/>
        </w:tabs>
        <w:jc w:val="both"/>
        <w:rPr>
          <w:rFonts w:ascii="Tahoma" w:eastAsia="Calibri" w:hAnsi="Tahoma" w:cs="Tahoma"/>
          <w:sz w:val="18"/>
          <w:szCs w:val="18"/>
          <w:lang w:eastAsia="en-US"/>
        </w:rPr>
      </w:pPr>
      <w:r w:rsidRPr="00922808">
        <w:rPr>
          <w:rFonts w:ascii="Tahoma" w:hAnsi="Tahoma" w:cs="Tahoma"/>
          <w:bCs/>
          <w:iCs/>
          <w:sz w:val="18"/>
          <w:szCs w:val="18"/>
          <w:vertAlign w:val="superscript"/>
        </w:rPr>
        <w:t>20</w:t>
      </w:r>
      <w:r w:rsidRPr="00922808">
        <w:rPr>
          <w:rFonts w:ascii="Tahoma" w:eastAsia="Calibri" w:hAnsi="Tahoma" w:cs="Tahoma"/>
          <w:sz w:val="18"/>
          <w:szCs w:val="18"/>
          <w:lang w:eastAsia="en-US"/>
        </w:rPr>
        <w:t>В случаях, установленных законодательством РФ, комиссионное вознаграждение Банком не взимается.</w:t>
      </w:r>
    </w:p>
    <w:p w14:paraId="2BD61B1D" w14:textId="77777777" w:rsidR="00922808" w:rsidRPr="00922808" w:rsidRDefault="00922808" w:rsidP="00922808">
      <w:pPr>
        <w:tabs>
          <w:tab w:val="left" w:pos="284"/>
        </w:tabs>
        <w:jc w:val="both"/>
        <w:rPr>
          <w:rFonts w:ascii="Tahoma" w:hAnsi="Tahoma" w:cs="Tahoma"/>
          <w:bCs/>
          <w:iCs/>
          <w:sz w:val="18"/>
          <w:szCs w:val="18"/>
        </w:rPr>
      </w:pPr>
      <w:r w:rsidRPr="00922808">
        <w:rPr>
          <w:rFonts w:ascii="Tahoma" w:hAnsi="Tahoma" w:cs="Tahoma"/>
          <w:bCs/>
          <w:iCs/>
          <w:sz w:val="18"/>
          <w:szCs w:val="18"/>
          <w:vertAlign w:val="superscript"/>
        </w:rPr>
        <w:t>21</w:t>
      </w:r>
      <w:r w:rsidRPr="00922808">
        <w:rPr>
          <w:rFonts w:ascii="Tahoma" w:hAnsi="Tahoma" w:cs="Tahoma"/>
          <w:bCs/>
          <w:iCs/>
          <w:sz w:val="18"/>
          <w:szCs w:val="18"/>
        </w:rPr>
        <w:t>Применимо исключительно в случае установления законодательством Российской Федерации, в т.ч. актами Центрального банка РФ комиссионных ограничений при выдаче физическим лицам наличной иностранной валюты.</w:t>
      </w:r>
    </w:p>
    <w:p w14:paraId="4FDAF217" w14:textId="77777777" w:rsidR="00922808" w:rsidRPr="00922808" w:rsidRDefault="00922808" w:rsidP="00922808">
      <w:pPr>
        <w:tabs>
          <w:tab w:val="left" w:pos="284"/>
        </w:tabs>
        <w:jc w:val="both"/>
        <w:rPr>
          <w:rFonts w:ascii="Tahoma" w:hAnsi="Tahoma" w:cs="Tahoma"/>
          <w:bCs/>
          <w:iCs/>
          <w:sz w:val="18"/>
          <w:szCs w:val="18"/>
        </w:rPr>
      </w:pPr>
      <w:r w:rsidRPr="00922808">
        <w:rPr>
          <w:rFonts w:ascii="Tahoma" w:hAnsi="Tahoma" w:cs="Tahoma"/>
          <w:bCs/>
          <w:iCs/>
          <w:sz w:val="18"/>
          <w:szCs w:val="18"/>
          <w:vertAlign w:val="superscript"/>
        </w:rPr>
        <w:t>22</w:t>
      </w:r>
      <w:r w:rsidRPr="00922808">
        <w:rPr>
          <w:rFonts w:ascii="Tahoma" w:hAnsi="Tahoma" w:cs="Tahoma"/>
          <w:bCs/>
          <w:iCs/>
          <w:sz w:val="18"/>
          <w:szCs w:val="18"/>
        </w:rPr>
        <w:t>Услуга не оказывается Клиенту в случае отсутствия денежных средств и операций по его Счетам в периоде оказания услуги.</w:t>
      </w:r>
    </w:p>
    <w:p w14:paraId="1D862BEF" w14:textId="77777777" w:rsidR="00922808" w:rsidRPr="00922808" w:rsidRDefault="00922808" w:rsidP="00922808">
      <w:pPr>
        <w:tabs>
          <w:tab w:val="left" w:pos="284"/>
        </w:tabs>
        <w:jc w:val="both"/>
        <w:rPr>
          <w:rFonts w:ascii="Tahoma" w:hAnsi="Tahoma" w:cs="Tahoma"/>
          <w:bCs/>
          <w:iCs/>
          <w:sz w:val="18"/>
          <w:szCs w:val="18"/>
        </w:rPr>
      </w:pPr>
      <w:r w:rsidRPr="00922808">
        <w:rPr>
          <w:rFonts w:ascii="Tahoma" w:hAnsi="Tahoma" w:cs="Tahoma"/>
          <w:bCs/>
          <w:iCs/>
          <w:sz w:val="18"/>
          <w:szCs w:val="18"/>
          <w:vertAlign w:val="superscript"/>
        </w:rPr>
        <w:t>23</w:t>
      </w:r>
      <w:r w:rsidRPr="00922808">
        <w:rPr>
          <w:rFonts w:ascii="Tahoma" w:hAnsi="Tahoma" w:cs="Tahoma"/>
          <w:bCs/>
          <w:iCs/>
          <w:sz w:val="18"/>
          <w:szCs w:val="18"/>
        </w:rPr>
        <w:t>Блокировка/разблокировка Карты в базе данных Процессингового Центра Банка посредством Каналов ДБО и при оформлении операции работником Банка по заявлению Клиента в офисе Банка.</w:t>
      </w:r>
    </w:p>
    <w:p w14:paraId="3F501F8E" w14:textId="77777777" w:rsidR="00922808" w:rsidRPr="00922808" w:rsidRDefault="00922808" w:rsidP="00922808">
      <w:pPr>
        <w:tabs>
          <w:tab w:val="left" w:pos="284"/>
        </w:tabs>
        <w:jc w:val="both"/>
        <w:rPr>
          <w:rFonts w:ascii="Tahoma" w:hAnsi="Tahoma" w:cs="Tahoma"/>
          <w:bCs/>
          <w:iCs/>
          <w:sz w:val="18"/>
          <w:szCs w:val="18"/>
        </w:rPr>
      </w:pPr>
      <w:r w:rsidRPr="00922808">
        <w:rPr>
          <w:rFonts w:ascii="Tahoma" w:hAnsi="Tahoma" w:cs="Tahoma"/>
          <w:bCs/>
          <w:iCs/>
          <w:sz w:val="18"/>
          <w:szCs w:val="18"/>
          <w:vertAlign w:val="superscript"/>
        </w:rPr>
        <w:t>24</w:t>
      </w:r>
      <w:r w:rsidRPr="00922808">
        <w:rPr>
          <w:rFonts w:ascii="Tahoma" w:hAnsi="Tahoma" w:cs="Tahoma"/>
          <w:bCs/>
          <w:iCs/>
          <w:sz w:val="18"/>
          <w:szCs w:val="18"/>
        </w:rPr>
        <w:t>Операции с денежными средствами на валютных счетах, вкладах Клиентов осуществляются при соблюдении установленных законодательством Российской Федерации в том числе актами Центрального банка РФ, иных уполномоченных лиц/органов, действующих на территории Российской Федерации), ограничений/условий.</w:t>
      </w:r>
    </w:p>
    <w:p w14:paraId="7FD7591B" w14:textId="77777777" w:rsidR="00922808" w:rsidRPr="00922808" w:rsidRDefault="00922808" w:rsidP="00922808">
      <w:pPr>
        <w:tabs>
          <w:tab w:val="left" w:pos="284"/>
        </w:tabs>
        <w:jc w:val="both"/>
        <w:rPr>
          <w:rFonts w:ascii="Tahoma" w:hAnsi="Tahoma" w:cs="Tahoma"/>
          <w:bCs/>
          <w:iCs/>
          <w:sz w:val="18"/>
          <w:szCs w:val="18"/>
        </w:rPr>
      </w:pPr>
      <w:r w:rsidRPr="00922808">
        <w:rPr>
          <w:rFonts w:ascii="Tahoma" w:hAnsi="Tahoma" w:cs="Tahoma"/>
          <w:bCs/>
          <w:iCs/>
          <w:sz w:val="18"/>
          <w:szCs w:val="18"/>
          <w:vertAlign w:val="superscript"/>
        </w:rPr>
        <w:t>25</w:t>
      </w:r>
      <w:r w:rsidRPr="00922808">
        <w:rPr>
          <w:rFonts w:ascii="Tahoma" w:hAnsi="Tahoma" w:cs="Tahoma"/>
          <w:bCs/>
          <w:iCs/>
          <w:sz w:val="18"/>
          <w:szCs w:val="18"/>
        </w:rPr>
        <w:t xml:space="preserve">Выпуск Карты производится по выбору Клиента при наличии соответствующего типа Карт: </w:t>
      </w:r>
      <w:r w:rsidRPr="00922808">
        <w:rPr>
          <w:rFonts w:ascii="Tahoma" w:hAnsi="Tahoma" w:cs="Tahoma"/>
          <w:bCs/>
          <w:iCs/>
          <w:sz w:val="18"/>
          <w:szCs w:val="18"/>
          <w:lang w:val="en-US"/>
        </w:rPr>
        <w:t>UnionPay</w:t>
      </w:r>
      <w:r w:rsidRPr="00922808">
        <w:rPr>
          <w:rFonts w:ascii="Tahoma" w:hAnsi="Tahoma" w:cs="Tahoma"/>
          <w:bCs/>
          <w:iCs/>
          <w:sz w:val="18"/>
          <w:szCs w:val="18"/>
        </w:rPr>
        <w:t xml:space="preserve"> </w:t>
      </w:r>
      <w:r w:rsidRPr="00922808">
        <w:rPr>
          <w:rFonts w:ascii="Tahoma" w:hAnsi="Tahoma" w:cs="Tahoma"/>
          <w:bCs/>
          <w:iCs/>
          <w:sz w:val="18"/>
          <w:szCs w:val="18"/>
          <w:lang w:val="en-US"/>
        </w:rPr>
        <w:t>Platinum</w:t>
      </w:r>
      <w:r w:rsidRPr="00922808">
        <w:rPr>
          <w:rFonts w:ascii="Tahoma" w:hAnsi="Tahoma" w:cs="Tahoma"/>
          <w:bCs/>
          <w:iCs/>
          <w:sz w:val="18"/>
          <w:szCs w:val="18"/>
        </w:rPr>
        <w:t xml:space="preserve"> или </w:t>
      </w:r>
      <w:r w:rsidRPr="00922808">
        <w:rPr>
          <w:rFonts w:ascii="Tahoma" w:hAnsi="Tahoma" w:cs="Tahoma"/>
          <w:bCs/>
          <w:iCs/>
          <w:sz w:val="18"/>
          <w:szCs w:val="18"/>
          <w:lang w:val="en-US"/>
        </w:rPr>
        <w:t>UnionPay</w:t>
      </w:r>
      <w:r w:rsidRPr="00922808">
        <w:rPr>
          <w:rFonts w:ascii="Tahoma" w:hAnsi="Tahoma" w:cs="Tahoma"/>
          <w:bCs/>
          <w:iCs/>
          <w:sz w:val="18"/>
          <w:szCs w:val="18"/>
        </w:rPr>
        <w:t xml:space="preserve"> </w:t>
      </w:r>
      <w:r w:rsidRPr="00922808">
        <w:rPr>
          <w:rFonts w:ascii="Tahoma" w:hAnsi="Tahoma" w:cs="Tahoma"/>
          <w:bCs/>
          <w:iCs/>
          <w:sz w:val="18"/>
          <w:szCs w:val="18"/>
          <w:lang w:val="en-US"/>
        </w:rPr>
        <w:t>Diamond</w:t>
      </w:r>
      <w:r w:rsidRPr="00922808">
        <w:rPr>
          <w:rFonts w:ascii="Tahoma" w:hAnsi="Tahoma" w:cs="Tahoma"/>
          <w:bCs/>
          <w:iCs/>
          <w:sz w:val="18"/>
          <w:szCs w:val="18"/>
        </w:rPr>
        <w:t xml:space="preserve"> в Банке.</w:t>
      </w:r>
    </w:p>
    <w:p w14:paraId="03826ECD" w14:textId="77777777" w:rsidR="00922808" w:rsidRPr="00922808" w:rsidRDefault="00922808" w:rsidP="00922808">
      <w:pPr>
        <w:spacing w:after="160" w:line="259" w:lineRule="auto"/>
        <w:rPr>
          <w:rFonts w:ascii="Tahoma" w:hAnsi="Tahoma" w:cs="Tahoma"/>
          <w:bCs/>
          <w:iCs/>
          <w:sz w:val="18"/>
          <w:szCs w:val="18"/>
        </w:rPr>
      </w:pPr>
    </w:p>
    <w:p w14:paraId="3DE16A0B" w14:textId="77777777" w:rsidR="00922808" w:rsidRPr="00922808" w:rsidRDefault="00922808" w:rsidP="00922808">
      <w:pPr>
        <w:spacing w:after="160" w:line="259" w:lineRule="auto"/>
        <w:rPr>
          <w:rFonts w:ascii="Calibri" w:eastAsia="Calibri" w:hAnsi="Calibri"/>
          <w:sz w:val="22"/>
          <w:szCs w:val="22"/>
          <w:lang w:eastAsia="en-US"/>
        </w:rPr>
      </w:pPr>
    </w:p>
    <w:p w14:paraId="0BADEAFC" w14:textId="6AC74978" w:rsidR="00922808" w:rsidRPr="00922808" w:rsidRDefault="000B3718" w:rsidP="000B3718">
      <w:pPr>
        <w:pStyle w:val="a5"/>
      </w:pPr>
      <w:r>
        <w:t xml:space="preserve">4.2.2. </w:t>
      </w:r>
      <w:r w:rsidR="00922808" w:rsidRPr="00922808">
        <w:t>Программа банковских услуг «Статус» (Тариф Банка), для Клиентов VIP Премьер+, оформляющих настоящую Программу с 01.06.2021г.</w:t>
      </w:r>
    </w:p>
    <w:p w14:paraId="2A1C87DC" w14:textId="77777777" w:rsidR="00922808" w:rsidRPr="00922808" w:rsidRDefault="00922808" w:rsidP="00922808">
      <w:pPr>
        <w:spacing w:after="160" w:line="259" w:lineRule="auto"/>
        <w:rPr>
          <w:rFonts w:ascii="Calibri" w:eastAsia="Calibri" w:hAnsi="Calibri"/>
          <w:sz w:val="22"/>
          <w:szCs w:val="22"/>
          <w:lang w:eastAsia="en-US"/>
        </w:rPr>
      </w:pPr>
    </w:p>
    <w:tbl>
      <w:tblPr>
        <w:tblW w:w="4999" w:type="pct"/>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9"/>
        <w:gridCol w:w="5315"/>
        <w:gridCol w:w="33"/>
        <w:gridCol w:w="4211"/>
        <w:gridCol w:w="248"/>
        <w:gridCol w:w="4268"/>
      </w:tblGrid>
      <w:tr w:rsidR="00922808" w:rsidRPr="00922808" w14:paraId="7C4050DD" w14:textId="77777777" w:rsidTr="005A7C26">
        <w:trPr>
          <w:trHeight w:val="377"/>
          <w:tblHeader/>
        </w:trPr>
        <w:tc>
          <w:tcPr>
            <w:tcW w:w="2104" w:type="pct"/>
            <w:gridSpan w:val="2"/>
            <w:tcBorders>
              <w:top w:val="single" w:sz="4" w:space="0" w:color="auto"/>
              <w:left w:val="single" w:sz="4" w:space="0" w:color="auto"/>
              <w:right w:val="single" w:sz="4" w:space="0" w:color="auto"/>
            </w:tcBorders>
            <w:shd w:val="clear" w:color="auto" w:fill="808080"/>
            <w:vAlign w:val="center"/>
          </w:tcPr>
          <w:p w14:paraId="2394D33F" w14:textId="77777777" w:rsidR="00922808" w:rsidRPr="00922808" w:rsidRDefault="00922808" w:rsidP="00922808">
            <w:pPr>
              <w:tabs>
                <w:tab w:val="left" w:pos="284"/>
              </w:tabs>
              <w:jc w:val="center"/>
              <w:rPr>
                <w:rFonts w:ascii="Tahoma" w:hAnsi="Tahoma" w:cs="Tahoma"/>
                <w:bCs/>
                <w:iCs/>
                <w:color w:val="FFFFFF"/>
                <w:sz w:val="28"/>
                <w:szCs w:val="22"/>
              </w:rPr>
            </w:pPr>
            <w:r w:rsidRPr="00922808">
              <w:rPr>
                <w:rFonts w:ascii="Tahoma" w:hAnsi="Tahoma" w:cs="Tahoma"/>
                <w:bCs/>
                <w:iCs/>
                <w:color w:val="FFFFFF"/>
                <w:sz w:val="28"/>
                <w:szCs w:val="22"/>
              </w:rPr>
              <w:t>Банковские услуги</w:t>
            </w:r>
          </w:p>
        </w:tc>
        <w:tc>
          <w:tcPr>
            <w:tcW w:w="2896" w:type="pct"/>
            <w:gridSpan w:val="4"/>
            <w:tcBorders>
              <w:left w:val="single" w:sz="4" w:space="0" w:color="auto"/>
            </w:tcBorders>
            <w:shd w:val="clear" w:color="auto" w:fill="808080"/>
            <w:vAlign w:val="center"/>
          </w:tcPr>
          <w:p w14:paraId="1F78E6F0" w14:textId="77777777" w:rsidR="00922808" w:rsidRPr="00922808" w:rsidRDefault="00922808" w:rsidP="00922808">
            <w:pPr>
              <w:tabs>
                <w:tab w:val="left" w:pos="284"/>
              </w:tabs>
              <w:jc w:val="center"/>
              <w:rPr>
                <w:rFonts w:ascii="Tahoma" w:hAnsi="Tahoma" w:cs="Tahoma"/>
                <w:bCs/>
                <w:iCs/>
                <w:color w:val="FFFFFF"/>
                <w:sz w:val="28"/>
                <w:szCs w:val="22"/>
              </w:rPr>
            </w:pPr>
            <w:r w:rsidRPr="00922808">
              <w:rPr>
                <w:rFonts w:ascii="Tahoma" w:hAnsi="Tahoma" w:cs="Tahoma"/>
                <w:bCs/>
                <w:iCs/>
                <w:color w:val="FFFFFF"/>
                <w:sz w:val="28"/>
                <w:szCs w:val="22"/>
              </w:rPr>
              <w:t>Тарифы (комиссионное вознаграждение Банка)</w:t>
            </w:r>
            <w:r w:rsidRPr="00922808">
              <w:rPr>
                <w:rFonts w:ascii="Tahoma" w:hAnsi="Tahoma" w:cs="Tahoma"/>
                <w:bCs/>
                <w:iCs/>
                <w:color w:val="FFFFFF"/>
                <w:sz w:val="22"/>
                <w:szCs w:val="22"/>
                <w:vertAlign w:val="superscript"/>
              </w:rPr>
              <w:t>1,24</w:t>
            </w:r>
          </w:p>
        </w:tc>
      </w:tr>
      <w:tr w:rsidR="00922808" w:rsidRPr="00922808" w14:paraId="451D3849" w14:textId="77777777" w:rsidTr="005A7C26">
        <w:tc>
          <w:tcPr>
            <w:tcW w:w="347" w:type="pct"/>
            <w:shd w:val="clear" w:color="auto" w:fill="808080"/>
            <w:vAlign w:val="center"/>
          </w:tcPr>
          <w:p w14:paraId="4A6B19A8" w14:textId="77777777" w:rsidR="00922808" w:rsidRPr="00922808" w:rsidRDefault="00922808" w:rsidP="00922808">
            <w:pPr>
              <w:tabs>
                <w:tab w:val="left" w:pos="284"/>
              </w:tabs>
              <w:rPr>
                <w:rFonts w:ascii="Tahoma" w:hAnsi="Tahoma" w:cs="Tahoma"/>
                <w:bCs/>
                <w:iCs/>
                <w:color w:val="FFFFFF"/>
                <w:sz w:val="28"/>
                <w:szCs w:val="22"/>
              </w:rPr>
            </w:pPr>
            <w:r w:rsidRPr="00922808">
              <w:rPr>
                <w:rFonts w:ascii="Tahoma" w:hAnsi="Tahoma" w:cs="Tahoma"/>
                <w:bCs/>
                <w:iCs/>
                <w:color w:val="FFFFFF"/>
                <w:sz w:val="28"/>
                <w:szCs w:val="22"/>
              </w:rPr>
              <w:t>1.</w:t>
            </w:r>
          </w:p>
        </w:tc>
        <w:tc>
          <w:tcPr>
            <w:tcW w:w="4653" w:type="pct"/>
            <w:gridSpan w:val="5"/>
            <w:shd w:val="clear" w:color="auto" w:fill="808080"/>
            <w:vAlign w:val="center"/>
          </w:tcPr>
          <w:p w14:paraId="09C4271D" w14:textId="77777777" w:rsidR="00922808" w:rsidRPr="00922808" w:rsidRDefault="00922808" w:rsidP="00922808">
            <w:pPr>
              <w:tabs>
                <w:tab w:val="left" w:pos="284"/>
              </w:tabs>
              <w:rPr>
                <w:rFonts w:ascii="Tahoma" w:hAnsi="Tahoma" w:cs="Tahoma"/>
                <w:bCs/>
                <w:iCs/>
                <w:color w:val="E36C0A"/>
                <w:sz w:val="28"/>
                <w:szCs w:val="22"/>
              </w:rPr>
            </w:pPr>
            <w:r w:rsidRPr="00922808">
              <w:rPr>
                <w:rFonts w:ascii="Tahoma" w:hAnsi="Tahoma" w:cs="Tahoma"/>
                <w:bCs/>
                <w:iCs/>
                <w:color w:val="FFFFFF"/>
                <w:sz w:val="28"/>
                <w:szCs w:val="22"/>
              </w:rPr>
              <w:t>Условия предоставления Программы банковских услуг «Статус» (далее – Программа) и требования к пользователю услуг (Клиенту)</w:t>
            </w:r>
          </w:p>
        </w:tc>
      </w:tr>
      <w:tr w:rsidR="00922808" w:rsidRPr="00922808" w14:paraId="68DEBA6B" w14:textId="77777777" w:rsidTr="005A7C26">
        <w:tc>
          <w:tcPr>
            <w:tcW w:w="347" w:type="pct"/>
            <w:shd w:val="clear" w:color="auto" w:fill="auto"/>
            <w:vAlign w:val="center"/>
          </w:tcPr>
          <w:p w14:paraId="0D051D91"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1.1.</w:t>
            </w:r>
          </w:p>
        </w:tc>
        <w:tc>
          <w:tcPr>
            <w:tcW w:w="1757" w:type="pct"/>
            <w:shd w:val="clear" w:color="auto" w:fill="auto"/>
            <w:vAlign w:val="center"/>
          </w:tcPr>
          <w:p w14:paraId="184BFD60" w14:textId="77777777" w:rsidR="00922808" w:rsidRPr="00922808" w:rsidRDefault="00922808" w:rsidP="00922808">
            <w:pPr>
              <w:rPr>
                <w:rFonts w:ascii="Tahoma" w:hAnsi="Tahoma" w:cs="Tahoma"/>
                <w:b/>
                <w:bCs/>
                <w:iCs/>
                <w:color w:val="E36C0A"/>
                <w:sz w:val="22"/>
                <w:szCs w:val="22"/>
              </w:rPr>
            </w:pPr>
            <w:r w:rsidRPr="00922808">
              <w:rPr>
                <w:rFonts w:ascii="Tahoma" w:hAnsi="Tahoma" w:cs="Tahoma"/>
                <w:color w:val="000000"/>
                <w:sz w:val="22"/>
                <w:szCs w:val="22"/>
              </w:rPr>
              <w:t>пользователи услуг (Клиенты)</w:t>
            </w:r>
          </w:p>
        </w:tc>
        <w:tc>
          <w:tcPr>
            <w:tcW w:w="2896" w:type="pct"/>
            <w:gridSpan w:val="4"/>
            <w:shd w:val="clear" w:color="auto" w:fill="auto"/>
            <w:vAlign w:val="center"/>
          </w:tcPr>
          <w:p w14:paraId="3643FA1B" w14:textId="77777777" w:rsidR="00922808" w:rsidRPr="00922808" w:rsidRDefault="00922808" w:rsidP="00922808">
            <w:pPr>
              <w:tabs>
                <w:tab w:val="left" w:pos="4889"/>
              </w:tabs>
              <w:jc w:val="both"/>
              <w:rPr>
                <w:rFonts w:ascii="Tahoma" w:hAnsi="Tahoma" w:cs="Tahoma"/>
                <w:bCs/>
                <w:iCs/>
                <w:sz w:val="22"/>
                <w:szCs w:val="22"/>
              </w:rPr>
            </w:pPr>
            <w:r w:rsidRPr="00922808">
              <w:rPr>
                <w:rFonts w:ascii="Tahoma" w:hAnsi="Tahoma" w:cs="Tahoma"/>
                <w:bCs/>
                <w:iCs/>
                <w:sz w:val="22"/>
                <w:szCs w:val="22"/>
              </w:rPr>
              <w:t>Физическое лицо (по тексту – Клиент), заключившее в рамках настоящей Программы</w:t>
            </w:r>
            <w:r w:rsidRPr="00922808">
              <w:rPr>
                <w:rFonts w:ascii="Tahoma" w:hAnsi="Tahoma" w:cs="Tahoma"/>
                <w:bCs/>
                <w:iCs/>
                <w:sz w:val="22"/>
                <w:szCs w:val="22"/>
                <w:vertAlign w:val="superscript"/>
              </w:rPr>
              <w:t xml:space="preserve">1 </w:t>
            </w:r>
            <w:r w:rsidRPr="00922808">
              <w:rPr>
                <w:rFonts w:ascii="Tahoma" w:hAnsi="Tahoma" w:cs="Tahoma"/>
                <w:bCs/>
                <w:iCs/>
                <w:sz w:val="22"/>
                <w:szCs w:val="22"/>
              </w:rPr>
              <w:t>с Банком Договоры Карт и (или) Договор Текущего банковского счета (далее – ТБС)</w:t>
            </w:r>
            <w:r w:rsidRPr="00922808">
              <w:rPr>
                <w:rFonts w:ascii="Tahoma" w:hAnsi="Tahoma" w:cs="Tahoma"/>
                <w:bCs/>
                <w:iCs/>
                <w:sz w:val="18"/>
                <w:szCs w:val="22"/>
                <w:vertAlign w:val="superscript"/>
              </w:rPr>
              <w:t>2</w:t>
            </w:r>
            <w:r w:rsidRPr="00922808">
              <w:rPr>
                <w:rFonts w:ascii="Tahoma" w:hAnsi="Tahoma" w:cs="Tahoma"/>
                <w:bCs/>
                <w:iCs/>
                <w:sz w:val="22"/>
                <w:szCs w:val="22"/>
              </w:rPr>
              <w:t>.</w:t>
            </w:r>
          </w:p>
        </w:tc>
      </w:tr>
      <w:tr w:rsidR="00922808" w:rsidRPr="00922808" w14:paraId="270B27E0" w14:textId="77777777" w:rsidTr="005A7C26">
        <w:trPr>
          <w:trHeight w:val="363"/>
        </w:trPr>
        <w:tc>
          <w:tcPr>
            <w:tcW w:w="347" w:type="pct"/>
            <w:shd w:val="clear" w:color="auto" w:fill="auto"/>
            <w:vAlign w:val="center"/>
          </w:tcPr>
          <w:p w14:paraId="43A28831"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1.2.</w:t>
            </w:r>
          </w:p>
        </w:tc>
        <w:tc>
          <w:tcPr>
            <w:tcW w:w="1757" w:type="pct"/>
            <w:shd w:val="clear" w:color="auto" w:fill="auto"/>
            <w:vAlign w:val="center"/>
          </w:tcPr>
          <w:p w14:paraId="4D4F9A2A" w14:textId="77777777" w:rsidR="00922808" w:rsidRPr="00922808" w:rsidRDefault="00922808" w:rsidP="00922808">
            <w:pPr>
              <w:rPr>
                <w:rFonts w:ascii="Tahoma" w:hAnsi="Tahoma" w:cs="Tahoma"/>
                <w:b/>
                <w:bCs/>
                <w:iCs/>
                <w:color w:val="E36C0A"/>
                <w:sz w:val="22"/>
                <w:szCs w:val="22"/>
              </w:rPr>
            </w:pPr>
            <w:r w:rsidRPr="00922808">
              <w:rPr>
                <w:rFonts w:ascii="Tahoma" w:hAnsi="Tahoma" w:cs="Tahoma"/>
                <w:color w:val="000000"/>
                <w:sz w:val="22"/>
                <w:szCs w:val="22"/>
              </w:rPr>
              <w:t>особенности предоставления услуг Банком</w:t>
            </w:r>
          </w:p>
        </w:tc>
        <w:tc>
          <w:tcPr>
            <w:tcW w:w="2896" w:type="pct"/>
            <w:gridSpan w:val="4"/>
            <w:shd w:val="clear" w:color="auto" w:fill="auto"/>
            <w:vAlign w:val="center"/>
          </w:tcPr>
          <w:p w14:paraId="01DA1959" w14:textId="77777777" w:rsidR="00922808" w:rsidRPr="00922808" w:rsidRDefault="00922808" w:rsidP="00922808">
            <w:pPr>
              <w:tabs>
                <w:tab w:val="left" w:pos="4889"/>
              </w:tabs>
              <w:jc w:val="both"/>
              <w:rPr>
                <w:rFonts w:ascii="Tahoma" w:hAnsi="Tahoma" w:cs="Tahoma"/>
                <w:bCs/>
                <w:iCs/>
                <w:sz w:val="22"/>
                <w:szCs w:val="22"/>
              </w:rPr>
            </w:pPr>
            <w:r w:rsidRPr="00922808">
              <w:rPr>
                <w:rFonts w:ascii="Tahoma" w:hAnsi="Tahoma" w:cs="Tahoma"/>
                <w:bCs/>
                <w:iCs/>
                <w:sz w:val="22"/>
                <w:szCs w:val="22"/>
              </w:rPr>
              <w:t xml:space="preserve">Одному Клиенту может быть открыта только одна Программа, в том числе только одной из премиальных категорий обслуживания Клиента (по волеизъявлению Клиента): либо </w:t>
            </w:r>
            <w:r w:rsidRPr="00922808">
              <w:rPr>
                <w:rFonts w:ascii="Tahoma" w:hAnsi="Tahoma" w:cs="Tahoma"/>
                <w:bCs/>
                <w:iCs/>
                <w:sz w:val="22"/>
                <w:szCs w:val="22"/>
                <w:lang w:val="en-US"/>
              </w:rPr>
              <w:t>VIP</w:t>
            </w:r>
            <w:r w:rsidRPr="00922808">
              <w:rPr>
                <w:rFonts w:ascii="Tahoma" w:hAnsi="Tahoma" w:cs="Tahoma"/>
                <w:bCs/>
                <w:iCs/>
                <w:sz w:val="22"/>
                <w:szCs w:val="22"/>
              </w:rPr>
              <w:t xml:space="preserve"> Премьер, либо </w:t>
            </w:r>
            <w:r w:rsidRPr="00922808">
              <w:rPr>
                <w:rFonts w:ascii="Tahoma" w:hAnsi="Tahoma" w:cs="Tahoma"/>
                <w:bCs/>
                <w:iCs/>
                <w:sz w:val="22"/>
                <w:szCs w:val="22"/>
                <w:lang w:val="en-US"/>
              </w:rPr>
              <w:t>VIP</w:t>
            </w:r>
            <w:r w:rsidRPr="00922808">
              <w:rPr>
                <w:rFonts w:ascii="Tahoma" w:hAnsi="Tahoma" w:cs="Tahoma"/>
                <w:bCs/>
                <w:iCs/>
                <w:sz w:val="22"/>
                <w:szCs w:val="22"/>
              </w:rPr>
              <w:t xml:space="preserve"> Премьер+.</w:t>
            </w:r>
          </w:p>
        </w:tc>
      </w:tr>
      <w:tr w:rsidR="00922808" w:rsidRPr="00922808" w14:paraId="03A766A7" w14:textId="77777777" w:rsidTr="005A7C26">
        <w:trPr>
          <w:trHeight w:val="363"/>
        </w:trPr>
        <w:tc>
          <w:tcPr>
            <w:tcW w:w="347" w:type="pct"/>
            <w:shd w:val="clear" w:color="auto" w:fill="auto"/>
            <w:vAlign w:val="center"/>
          </w:tcPr>
          <w:p w14:paraId="72058D39"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1.3.</w:t>
            </w:r>
          </w:p>
        </w:tc>
        <w:tc>
          <w:tcPr>
            <w:tcW w:w="1757" w:type="pct"/>
            <w:shd w:val="clear" w:color="auto" w:fill="auto"/>
            <w:vAlign w:val="center"/>
          </w:tcPr>
          <w:p w14:paraId="5A07B42C" w14:textId="77777777" w:rsidR="00922808" w:rsidRPr="00922808" w:rsidDel="00FD29E3" w:rsidRDefault="00922808" w:rsidP="00922808">
            <w:pPr>
              <w:rPr>
                <w:rFonts w:ascii="Tahoma" w:hAnsi="Tahoma" w:cs="Tahoma"/>
                <w:color w:val="000000"/>
                <w:sz w:val="22"/>
                <w:szCs w:val="22"/>
              </w:rPr>
            </w:pPr>
            <w:r w:rsidRPr="00922808">
              <w:rPr>
                <w:rFonts w:ascii="Tahoma" w:hAnsi="Tahoma" w:cs="Tahoma"/>
                <w:color w:val="000000"/>
                <w:sz w:val="22"/>
                <w:szCs w:val="22"/>
              </w:rPr>
              <w:t>наименование премиальной категории обслуживания Клиента</w:t>
            </w:r>
          </w:p>
        </w:tc>
        <w:tc>
          <w:tcPr>
            <w:tcW w:w="2896" w:type="pct"/>
            <w:gridSpan w:val="4"/>
            <w:shd w:val="clear" w:color="auto" w:fill="auto"/>
            <w:vAlign w:val="center"/>
          </w:tcPr>
          <w:p w14:paraId="7497EE8C" w14:textId="77777777" w:rsidR="00922808" w:rsidRPr="00922808" w:rsidRDefault="00922808" w:rsidP="00922808">
            <w:pPr>
              <w:tabs>
                <w:tab w:val="left" w:pos="4889"/>
              </w:tabs>
              <w:jc w:val="center"/>
              <w:rPr>
                <w:rFonts w:ascii="Tahoma" w:hAnsi="Tahoma" w:cs="Tahoma"/>
                <w:b/>
                <w:bCs/>
                <w:iCs/>
                <w:sz w:val="22"/>
                <w:szCs w:val="22"/>
              </w:rPr>
            </w:pPr>
            <w:r w:rsidRPr="00922808">
              <w:rPr>
                <w:rFonts w:ascii="Tahoma" w:hAnsi="Tahoma" w:cs="Tahoma"/>
                <w:b/>
                <w:bCs/>
                <w:iCs/>
                <w:sz w:val="22"/>
                <w:szCs w:val="22"/>
                <w:lang w:val="en-US"/>
              </w:rPr>
              <w:t xml:space="preserve">VIP </w:t>
            </w:r>
            <w:r w:rsidRPr="00922808">
              <w:rPr>
                <w:rFonts w:ascii="Tahoma" w:hAnsi="Tahoma" w:cs="Tahoma"/>
                <w:b/>
                <w:bCs/>
                <w:iCs/>
                <w:sz w:val="22"/>
                <w:szCs w:val="22"/>
              </w:rPr>
              <w:t>Премьер+</w:t>
            </w:r>
          </w:p>
        </w:tc>
      </w:tr>
      <w:tr w:rsidR="00922808" w:rsidRPr="00922808" w14:paraId="5E8764BA" w14:textId="77777777" w:rsidTr="005A7C26">
        <w:tc>
          <w:tcPr>
            <w:tcW w:w="347" w:type="pct"/>
            <w:shd w:val="clear" w:color="auto" w:fill="808080"/>
            <w:vAlign w:val="center"/>
          </w:tcPr>
          <w:p w14:paraId="4819B676" w14:textId="77777777" w:rsidR="00922808" w:rsidRPr="00922808" w:rsidRDefault="00922808" w:rsidP="00922808">
            <w:pPr>
              <w:tabs>
                <w:tab w:val="left" w:pos="284"/>
              </w:tabs>
              <w:rPr>
                <w:rFonts w:ascii="Tahoma" w:hAnsi="Tahoma" w:cs="Tahoma"/>
                <w:bCs/>
                <w:iCs/>
                <w:color w:val="FFFFFF"/>
                <w:sz w:val="28"/>
                <w:szCs w:val="22"/>
              </w:rPr>
            </w:pPr>
            <w:r w:rsidRPr="00922808">
              <w:rPr>
                <w:rFonts w:ascii="Tahoma" w:hAnsi="Tahoma" w:cs="Tahoma"/>
                <w:bCs/>
                <w:iCs/>
                <w:color w:val="FFFFFF"/>
                <w:sz w:val="28"/>
                <w:szCs w:val="22"/>
              </w:rPr>
              <w:t>2.</w:t>
            </w:r>
          </w:p>
        </w:tc>
        <w:tc>
          <w:tcPr>
            <w:tcW w:w="4653" w:type="pct"/>
            <w:gridSpan w:val="5"/>
            <w:shd w:val="clear" w:color="auto" w:fill="808080"/>
            <w:vAlign w:val="center"/>
          </w:tcPr>
          <w:p w14:paraId="1D79A3A3" w14:textId="77777777" w:rsidR="00922808" w:rsidRPr="00922808" w:rsidRDefault="00922808" w:rsidP="00922808">
            <w:pPr>
              <w:tabs>
                <w:tab w:val="left" w:pos="284"/>
              </w:tabs>
              <w:rPr>
                <w:rFonts w:ascii="Tahoma" w:hAnsi="Tahoma" w:cs="Tahoma"/>
                <w:bCs/>
                <w:iCs/>
                <w:color w:val="FFFFFF"/>
                <w:sz w:val="28"/>
                <w:szCs w:val="22"/>
                <w:vertAlign w:val="superscript"/>
              </w:rPr>
            </w:pPr>
            <w:r w:rsidRPr="00922808">
              <w:rPr>
                <w:rFonts w:ascii="Tahoma" w:hAnsi="Tahoma" w:cs="Tahoma"/>
                <w:bCs/>
                <w:iCs/>
                <w:color w:val="FFFFFF"/>
                <w:sz w:val="28"/>
                <w:szCs w:val="22"/>
              </w:rPr>
              <w:t>Стоимость обслуживания Программы</w:t>
            </w:r>
          </w:p>
        </w:tc>
      </w:tr>
      <w:tr w:rsidR="00922808" w:rsidRPr="00922808" w14:paraId="290D7F69" w14:textId="77777777" w:rsidTr="005A7C26">
        <w:tc>
          <w:tcPr>
            <w:tcW w:w="347" w:type="pct"/>
            <w:shd w:val="clear" w:color="auto" w:fill="auto"/>
            <w:vAlign w:val="center"/>
          </w:tcPr>
          <w:p w14:paraId="0B301C79"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2.1.</w:t>
            </w:r>
          </w:p>
        </w:tc>
        <w:tc>
          <w:tcPr>
            <w:tcW w:w="1757" w:type="pct"/>
            <w:shd w:val="clear" w:color="auto" w:fill="auto"/>
            <w:vAlign w:val="center"/>
          </w:tcPr>
          <w:p w14:paraId="4FC10CD2" w14:textId="77777777" w:rsidR="00922808" w:rsidRPr="00922808" w:rsidRDefault="00922808" w:rsidP="00922808">
            <w:pPr>
              <w:rPr>
                <w:rFonts w:ascii="Tahoma" w:hAnsi="Tahoma" w:cs="Tahoma"/>
                <w:bCs/>
                <w:iCs/>
                <w:sz w:val="22"/>
                <w:szCs w:val="22"/>
              </w:rPr>
            </w:pPr>
            <w:r w:rsidRPr="00922808">
              <w:rPr>
                <w:rFonts w:ascii="Tahoma" w:hAnsi="Tahoma" w:cs="Tahoma"/>
                <w:bCs/>
                <w:iCs/>
                <w:sz w:val="22"/>
                <w:szCs w:val="22"/>
              </w:rPr>
              <w:t>при соблюдении одного из условий, указанных в п.2.3 Программы</w:t>
            </w:r>
          </w:p>
        </w:tc>
        <w:tc>
          <w:tcPr>
            <w:tcW w:w="2896" w:type="pct"/>
            <w:gridSpan w:val="4"/>
            <w:shd w:val="clear" w:color="auto" w:fill="auto"/>
            <w:vAlign w:val="center"/>
          </w:tcPr>
          <w:p w14:paraId="3C15BD57" w14:textId="77777777" w:rsidR="00922808" w:rsidRPr="00922808" w:rsidRDefault="00922808" w:rsidP="00922808">
            <w:pPr>
              <w:tabs>
                <w:tab w:val="left" w:pos="4889"/>
              </w:tabs>
              <w:jc w:val="center"/>
              <w:rPr>
                <w:rFonts w:ascii="Tahoma" w:hAnsi="Tahoma" w:cs="Tahoma"/>
                <w:b/>
                <w:bCs/>
                <w:sz w:val="22"/>
                <w:szCs w:val="22"/>
              </w:rPr>
            </w:pPr>
            <w:r w:rsidRPr="00922808">
              <w:rPr>
                <w:rFonts w:ascii="Tahoma" w:hAnsi="Tahoma" w:cs="Tahoma"/>
                <w:b/>
                <w:bCs/>
              </w:rPr>
              <w:t>БЕСПЛАТНО</w:t>
            </w:r>
          </w:p>
        </w:tc>
      </w:tr>
      <w:tr w:rsidR="00922808" w:rsidRPr="00922808" w14:paraId="0DD37391" w14:textId="77777777" w:rsidTr="005A7C26">
        <w:tc>
          <w:tcPr>
            <w:tcW w:w="347" w:type="pct"/>
            <w:shd w:val="clear" w:color="auto" w:fill="auto"/>
            <w:vAlign w:val="center"/>
          </w:tcPr>
          <w:p w14:paraId="05DD9998"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2.2.</w:t>
            </w:r>
          </w:p>
        </w:tc>
        <w:tc>
          <w:tcPr>
            <w:tcW w:w="1757" w:type="pct"/>
            <w:shd w:val="clear" w:color="auto" w:fill="auto"/>
            <w:vAlign w:val="center"/>
          </w:tcPr>
          <w:p w14:paraId="215A0369" w14:textId="77777777" w:rsidR="00922808" w:rsidRPr="00922808" w:rsidRDefault="00922808" w:rsidP="00922808">
            <w:pPr>
              <w:rPr>
                <w:rFonts w:ascii="Tahoma" w:hAnsi="Tahoma" w:cs="Tahoma"/>
                <w:bCs/>
                <w:iCs/>
                <w:sz w:val="22"/>
                <w:szCs w:val="22"/>
              </w:rPr>
            </w:pPr>
            <w:r w:rsidRPr="00922808">
              <w:rPr>
                <w:rFonts w:ascii="Tahoma" w:hAnsi="Tahoma" w:cs="Tahoma"/>
                <w:bCs/>
                <w:iCs/>
                <w:sz w:val="22"/>
                <w:szCs w:val="22"/>
              </w:rPr>
              <w:t>при несоблюдении какого-либо из условий, указанных в п.2.3 Программы</w:t>
            </w:r>
          </w:p>
        </w:tc>
        <w:tc>
          <w:tcPr>
            <w:tcW w:w="2896" w:type="pct"/>
            <w:gridSpan w:val="4"/>
            <w:shd w:val="clear" w:color="auto" w:fill="auto"/>
            <w:vAlign w:val="center"/>
          </w:tcPr>
          <w:p w14:paraId="1541868C" w14:textId="77777777" w:rsidR="00922808" w:rsidRPr="00922808" w:rsidRDefault="00922808" w:rsidP="00922808">
            <w:pPr>
              <w:tabs>
                <w:tab w:val="left" w:pos="4889"/>
              </w:tabs>
              <w:jc w:val="center"/>
              <w:rPr>
                <w:rFonts w:ascii="Tahoma" w:hAnsi="Tahoma" w:cs="Tahoma"/>
                <w:bCs/>
                <w:iCs/>
                <w:sz w:val="22"/>
                <w:szCs w:val="22"/>
                <w:vertAlign w:val="superscript"/>
              </w:rPr>
            </w:pPr>
            <w:r w:rsidRPr="00922808">
              <w:rPr>
                <w:rFonts w:ascii="Tahoma" w:hAnsi="Tahoma" w:cs="Tahoma"/>
                <w:b/>
                <w:bCs/>
                <w:iCs/>
                <w:color w:val="000000"/>
                <w:sz w:val="22"/>
                <w:szCs w:val="22"/>
              </w:rPr>
              <w:t>4 4</w:t>
            </w:r>
            <w:r w:rsidRPr="00922808">
              <w:rPr>
                <w:rFonts w:ascii="Tahoma" w:hAnsi="Tahoma" w:cs="Tahoma"/>
                <w:b/>
                <w:bCs/>
                <w:iCs/>
                <w:color w:val="000000"/>
                <w:sz w:val="22"/>
                <w:szCs w:val="22"/>
                <w:lang w:val="en-US"/>
              </w:rPr>
              <w:t>50</w:t>
            </w:r>
            <w:r w:rsidRPr="00922808">
              <w:rPr>
                <w:rFonts w:ascii="Tahoma" w:hAnsi="Tahoma" w:cs="Tahoma"/>
                <w:bCs/>
                <w:iCs/>
                <w:color w:val="000000"/>
                <w:sz w:val="22"/>
                <w:szCs w:val="22"/>
              </w:rPr>
              <w:t xml:space="preserve"> рублей в месяц</w:t>
            </w:r>
            <w:r w:rsidRPr="00922808">
              <w:rPr>
                <w:rFonts w:ascii="Tahoma" w:hAnsi="Tahoma" w:cs="Tahoma"/>
                <w:bCs/>
                <w:iCs/>
                <w:color w:val="000000"/>
                <w:sz w:val="22"/>
                <w:szCs w:val="22"/>
                <w:vertAlign w:val="superscript"/>
              </w:rPr>
              <w:t>3</w:t>
            </w:r>
          </w:p>
        </w:tc>
      </w:tr>
      <w:tr w:rsidR="00922808" w:rsidRPr="00922808" w14:paraId="5CBC5823" w14:textId="77777777" w:rsidTr="00922808">
        <w:tc>
          <w:tcPr>
            <w:tcW w:w="347" w:type="pct"/>
            <w:shd w:val="clear" w:color="auto" w:fill="7F7F7F"/>
            <w:vAlign w:val="center"/>
          </w:tcPr>
          <w:p w14:paraId="040538D4"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2.3.</w:t>
            </w:r>
          </w:p>
        </w:tc>
        <w:tc>
          <w:tcPr>
            <w:tcW w:w="4653" w:type="pct"/>
            <w:gridSpan w:val="5"/>
            <w:shd w:val="clear" w:color="auto" w:fill="7F7F7F"/>
            <w:vAlign w:val="center"/>
          </w:tcPr>
          <w:p w14:paraId="5761C480" w14:textId="77777777" w:rsidR="00922808" w:rsidRPr="00922808" w:rsidRDefault="00922808" w:rsidP="00922808">
            <w:pPr>
              <w:tabs>
                <w:tab w:val="left" w:pos="4889"/>
              </w:tabs>
              <w:rPr>
                <w:rFonts w:ascii="Tahoma" w:hAnsi="Tahoma" w:cs="Tahoma"/>
                <w:b/>
                <w:bCs/>
                <w:iCs/>
                <w:color w:val="FFFFFF"/>
                <w:sz w:val="22"/>
                <w:szCs w:val="22"/>
              </w:rPr>
            </w:pPr>
            <w:r w:rsidRPr="00922808">
              <w:rPr>
                <w:rFonts w:ascii="Tahoma" w:hAnsi="Tahoma" w:cs="Tahoma"/>
                <w:b/>
                <w:bCs/>
                <w:iCs/>
                <w:color w:val="FFFFFF"/>
                <w:sz w:val="22"/>
                <w:szCs w:val="22"/>
              </w:rPr>
              <w:t>Условия бесплатного обслуживания Программы</w:t>
            </w:r>
          </w:p>
        </w:tc>
      </w:tr>
      <w:tr w:rsidR="00922808" w:rsidRPr="00922808" w14:paraId="7A44ABD5" w14:textId="77777777" w:rsidTr="005A7C26">
        <w:trPr>
          <w:trHeight w:val="446"/>
        </w:trPr>
        <w:tc>
          <w:tcPr>
            <w:tcW w:w="347" w:type="pct"/>
            <w:shd w:val="clear" w:color="auto" w:fill="auto"/>
            <w:vAlign w:val="center"/>
          </w:tcPr>
          <w:p w14:paraId="408E174C"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2.3.1.</w:t>
            </w:r>
          </w:p>
          <w:p w14:paraId="26209D9F" w14:textId="77777777" w:rsidR="00922808" w:rsidRPr="00922808" w:rsidRDefault="00922808" w:rsidP="00922808">
            <w:pPr>
              <w:rPr>
                <w:rFonts w:ascii="Tahoma" w:hAnsi="Tahoma" w:cs="Tahoma"/>
                <w:bCs/>
                <w:iCs/>
                <w:sz w:val="22"/>
                <w:szCs w:val="22"/>
              </w:rPr>
            </w:pPr>
          </w:p>
        </w:tc>
        <w:tc>
          <w:tcPr>
            <w:tcW w:w="1757" w:type="pct"/>
            <w:shd w:val="clear" w:color="auto" w:fill="auto"/>
            <w:vAlign w:val="center"/>
          </w:tcPr>
          <w:p w14:paraId="4C4B9C86" w14:textId="77777777" w:rsidR="00922808" w:rsidRPr="00922808" w:rsidRDefault="00922808" w:rsidP="00922808">
            <w:pPr>
              <w:rPr>
                <w:rFonts w:ascii="Tahoma" w:hAnsi="Tahoma" w:cs="Tahoma"/>
                <w:bCs/>
                <w:iCs/>
                <w:sz w:val="22"/>
                <w:szCs w:val="22"/>
              </w:rPr>
            </w:pPr>
            <w:r w:rsidRPr="00922808">
              <w:rPr>
                <w:rFonts w:ascii="Tahoma" w:hAnsi="Tahoma" w:cs="Tahoma"/>
                <w:bCs/>
                <w:iCs/>
                <w:sz w:val="22"/>
                <w:szCs w:val="22"/>
              </w:rPr>
              <w:t>Средние остатки</w:t>
            </w:r>
            <w:r w:rsidRPr="00922808">
              <w:rPr>
                <w:rFonts w:ascii="Tahoma" w:hAnsi="Tahoma" w:cs="Tahoma"/>
                <w:bCs/>
                <w:iCs/>
                <w:sz w:val="22"/>
                <w:szCs w:val="22"/>
                <w:vertAlign w:val="superscript"/>
              </w:rPr>
              <w:t>4</w:t>
            </w:r>
            <w:r w:rsidRPr="00922808">
              <w:rPr>
                <w:rFonts w:ascii="Tahoma" w:eastAsia="Calibri" w:hAnsi="Tahoma" w:cs="Tahoma"/>
                <w:sz w:val="22"/>
                <w:szCs w:val="22"/>
                <w:lang w:eastAsia="en-US"/>
              </w:rPr>
              <w:t xml:space="preserve"> денежных средств </w:t>
            </w:r>
            <w:r w:rsidRPr="00922808">
              <w:rPr>
                <w:rFonts w:ascii="Tahoma" w:hAnsi="Tahoma" w:cs="Tahoma"/>
                <w:bCs/>
                <w:iCs/>
                <w:sz w:val="22"/>
                <w:szCs w:val="22"/>
              </w:rPr>
              <w:t>в течение календарного месяца</w:t>
            </w:r>
          </w:p>
        </w:tc>
        <w:tc>
          <w:tcPr>
            <w:tcW w:w="2896" w:type="pct"/>
            <w:gridSpan w:val="4"/>
            <w:shd w:val="clear" w:color="auto" w:fill="auto"/>
            <w:vAlign w:val="center"/>
          </w:tcPr>
          <w:p w14:paraId="0BC0B0A0" w14:textId="77777777" w:rsidR="00922808" w:rsidRPr="00922808" w:rsidRDefault="00922808" w:rsidP="00922808">
            <w:pPr>
              <w:tabs>
                <w:tab w:val="left" w:pos="4889"/>
              </w:tabs>
              <w:ind w:left="480"/>
              <w:jc w:val="center"/>
              <w:rPr>
                <w:rFonts w:ascii="Tahoma" w:hAnsi="Tahoma" w:cs="Tahoma"/>
                <w:bCs/>
                <w:iCs/>
                <w:color w:val="000000"/>
              </w:rPr>
            </w:pPr>
            <w:r w:rsidRPr="00922808">
              <w:rPr>
                <w:rFonts w:ascii="Tahoma" w:hAnsi="Tahoma" w:cs="Tahoma"/>
                <w:bCs/>
                <w:iCs/>
                <w:color w:val="000000"/>
              </w:rPr>
              <w:t>от</w:t>
            </w:r>
            <w:r w:rsidRPr="00922808">
              <w:rPr>
                <w:rFonts w:ascii="Tahoma" w:hAnsi="Tahoma" w:cs="Tahoma"/>
                <w:b/>
                <w:bCs/>
                <w:iCs/>
                <w:color w:val="000000"/>
              </w:rPr>
              <w:t xml:space="preserve"> 15 000 000 рублей</w:t>
            </w:r>
            <w:r w:rsidRPr="00922808">
              <w:rPr>
                <w:rFonts w:ascii="Tahoma" w:hAnsi="Tahoma" w:cs="Tahoma"/>
                <w:bCs/>
                <w:iCs/>
                <w:color w:val="000000"/>
              </w:rPr>
              <w:t>;</w:t>
            </w:r>
          </w:p>
        </w:tc>
      </w:tr>
      <w:tr w:rsidR="00922808" w:rsidRPr="00922808" w14:paraId="6961C7AE" w14:textId="77777777" w:rsidTr="005A7C26">
        <w:trPr>
          <w:trHeight w:val="1014"/>
        </w:trPr>
        <w:tc>
          <w:tcPr>
            <w:tcW w:w="347" w:type="pct"/>
            <w:shd w:val="clear" w:color="auto" w:fill="auto"/>
            <w:vAlign w:val="center"/>
          </w:tcPr>
          <w:p w14:paraId="3781160C" w14:textId="77777777" w:rsidR="00922808" w:rsidRPr="00922808" w:rsidRDefault="00922808" w:rsidP="00922808">
            <w:pPr>
              <w:rPr>
                <w:rFonts w:ascii="Tahoma" w:hAnsi="Tahoma" w:cs="Tahoma"/>
                <w:bCs/>
                <w:iCs/>
                <w:sz w:val="22"/>
                <w:szCs w:val="22"/>
              </w:rPr>
            </w:pPr>
            <w:r w:rsidRPr="00922808">
              <w:rPr>
                <w:rFonts w:ascii="Tahoma" w:hAnsi="Tahoma" w:cs="Tahoma"/>
                <w:bCs/>
                <w:iCs/>
                <w:sz w:val="22"/>
                <w:szCs w:val="22"/>
              </w:rPr>
              <w:t>2.3.2.</w:t>
            </w:r>
          </w:p>
        </w:tc>
        <w:tc>
          <w:tcPr>
            <w:tcW w:w="1757" w:type="pct"/>
            <w:shd w:val="clear" w:color="auto" w:fill="auto"/>
            <w:vAlign w:val="center"/>
          </w:tcPr>
          <w:p w14:paraId="6E379403" w14:textId="77777777" w:rsidR="00922808" w:rsidRPr="00922808" w:rsidRDefault="00922808" w:rsidP="00922808">
            <w:pPr>
              <w:rPr>
                <w:rFonts w:ascii="Tahoma" w:hAnsi="Tahoma" w:cs="Tahoma"/>
                <w:bCs/>
                <w:iCs/>
                <w:sz w:val="22"/>
                <w:szCs w:val="22"/>
              </w:rPr>
            </w:pPr>
            <w:r w:rsidRPr="00922808">
              <w:rPr>
                <w:rFonts w:ascii="Tahoma" w:hAnsi="Tahoma" w:cs="Tahoma"/>
                <w:bCs/>
                <w:iCs/>
                <w:sz w:val="22"/>
                <w:szCs w:val="22"/>
              </w:rPr>
              <w:t>Средние остатки</w:t>
            </w:r>
            <w:r w:rsidRPr="00922808">
              <w:rPr>
                <w:rFonts w:ascii="Tahoma" w:hAnsi="Tahoma" w:cs="Tahoma"/>
                <w:bCs/>
                <w:iCs/>
                <w:sz w:val="22"/>
                <w:szCs w:val="22"/>
                <w:vertAlign w:val="superscript"/>
              </w:rPr>
              <w:t xml:space="preserve">4 </w:t>
            </w:r>
            <w:r w:rsidRPr="00922808">
              <w:rPr>
                <w:rFonts w:ascii="Tahoma" w:hAnsi="Tahoma" w:cs="Tahoma"/>
                <w:bCs/>
                <w:iCs/>
                <w:sz w:val="22"/>
                <w:szCs w:val="22"/>
              </w:rPr>
              <w:t xml:space="preserve">денежных средств в течение календарного месяца </w:t>
            </w:r>
            <w:r w:rsidRPr="00922808">
              <w:rPr>
                <w:rFonts w:ascii="Tahoma" w:hAnsi="Tahoma" w:cs="Tahoma"/>
                <w:b/>
                <w:bCs/>
                <w:iCs/>
                <w:sz w:val="22"/>
                <w:szCs w:val="22"/>
              </w:rPr>
              <w:t>и</w:t>
            </w:r>
            <w:r w:rsidRPr="00922808">
              <w:rPr>
                <w:rFonts w:ascii="Tahoma" w:hAnsi="Tahoma" w:cs="Tahoma"/>
                <w:bCs/>
                <w:iCs/>
                <w:sz w:val="22"/>
                <w:szCs w:val="22"/>
              </w:rPr>
              <w:t xml:space="preserve"> Сумма покупок</w:t>
            </w:r>
            <w:r w:rsidRPr="00922808">
              <w:rPr>
                <w:rFonts w:ascii="Tahoma" w:hAnsi="Tahoma" w:cs="Tahoma"/>
                <w:bCs/>
                <w:iCs/>
                <w:sz w:val="22"/>
                <w:szCs w:val="22"/>
                <w:vertAlign w:val="superscript"/>
              </w:rPr>
              <w:t>5</w:t>
            </w:r>
            <w:r w:rsidRPr="00922808">
              <w:rPr>
                <w:rFonts w:ascii="Tahoma" w:hAnsi="Tahoma" w:cs="Tahoma"/>
                <w:bCs/>
                <w:iCs/>
                <w:sz w:val="22"/>
                <w:szCs w:val="22"/>
              </w:rPr>
              <w:t xml:space="preserve"> по Картам, выпущенным в рамках Программы, в течение календарного месяца</w:t>
            </w:r>
          </w:p>
        </w:tc>
        <w:tc>
          <w:tcPr>
            <w:tcW w:w="2896" w:type="pct"/>
            <w:gridSpan w:val="4"/>
            <w:shd w:val="clear" w:color="auto" w:fill="auto"/>
            <w:vAlign w:val="center"/>
          </w:tcPr>
          <w:p w14:paraId="65362622" w14:textId="77777777" w:rsidR="00922808" w:rsidRPr="00922808" w:rsidRDefault="00922808" w:rsidP="00922808">
            <w:pPr>
              <w:tabs>
                <w:tab w:val="left" w:pos="4889"/>
              </w:tabs>
              <w:ind w:left="480"/>
              <w:jc w:val="center"/>
              <w:rPr>
                <w:rFonts w:ascii="Tahoma" w:hAnsi="Tahoma" w:cs="Tahoma"/>
                <w:b/>
                <w:bCs/>
                <w:iCs/>
                <w:color w:val="000000"/>
              </w:rPr>
            </w:pPr>
            <w:r w:rsidRPr="00922808">
              <w:rPr>
                <w:rFonts w:ascii="Tahoma" w:hAnsi="Tahoma" w:cs="Tahoma"/>
                <w:bCs/>
                <w:iCs/>
                <w:color w:val="000000"/>
              </w:rPr>
              <w:t>Средние остатки</w:t>
            </w:r>
            <w:r w:rsidRPr="00922808">
              <w:rPr>
                <w:rFonts w:ascii="Tahoma" w:hAnsi="Tahoma" w:cs="Tahoma"/>
                <w:bCs/>
                <w:iCs/>
                <w:color w:val="000000"/>
                <w:vertAlign w:val="superscript"/>
              </w:rPr>
              <w:t xml:space="preserve">4 </w:t>
            </w:r>
            <w:r w:rsidRPr="00922808">
              <w:rPr>
                <w:rFonts w:ascii="Tahoma" w:hAnsi="Tahoma" w:cs="Tahoma"/>
                <w:bCs/>
                <w:iCs/>
                <w:color w:val="000000"/>
              </w:rPr>
              <w:t>от</w:t>
            </w:r>
            <w:r w:rsidRPr="00922808">
              <w:rPr>
                <w:rFonts w:ascii="Tahoma" w:hAnsi="Tahoma" w:cs="Tahoma"/>
                <w:b/>
                <w:bCs/>
                <w:iCs/>
                <w:color w:val="000000"/>
              </w:rPr>
              <w:t xml:space="preserve"> 3 000 000 рублей </w:t>
            </w:r>
            <w:r w:rsidRPr="00922808">
              <w:rPr>
                <w:rFonts w:ascii="Tahoma" w:hAnsi="Tahoma" w:cs="Tahoma"/>
                <w:bCs/>
                <w:iCs/>
                <w:color w:val="000000"/>
              </w:rPr>
              <w:t>и Сумма покупок от</w:t>
            </w:r>
            <w:r w:rsidRPr="00922808">
              <w:rPr>
                <w:rFonts w:ascii="Tahoma" w:hAnsi="Tahoma" w:cs="Tahoma"/>
                <w:b/>
                <w:bCs/>
                <w:iCs/>
                <w:color w:val="000000"/>
              </w:rPr>
              <w:t xml:space="preserve"> 150 000 рублей;</w:t>
            </w:r>
          </w:p>
        </w:tc>
      </w:tr>
      <w:tr w:rsidR="00922808" w:rsidRPr="00922808" w14:paraId="4AEA0E9A" w14:textId="77777777" w:rsidTr="005A7C26">
        <w:trPr>
          <w:trHeight w:val="882"/>
        </w:trPr>
        <w:tc>
          <w:tcPr>
            <w:tcW w:w="347" w:type="pct"/>
            <w:shd w:val="clear" w:color="auto" w:fill="auto"/>
            <w:vAlign w:val="center"/>
          </w:tcPr>
          <w:p w14:paraId="67365C8A" w14:textId="77777777" w:rsidR="00922808" w:rsidRPr="00922808" w:rsidRDefault="00922808" w:rsidP="00922808">
            <w:pPr>
              <w:rPr>
                <w:rFonts w:ascii="Tahoma" w:hAnsi="Tahoma" w:cs="Tahoma"/>
                <w:bCs/>
                <w:iCs/>
                <w:sz w:val="22"/>
                <w:szCs w:val="22"/>
              </w:rPr>
            </w:pPr>
            <w:r w:rsidRPr="00922808">
              <w:rPr>
                <w:rFonts w:ascii="Tahoma" w:hAnsi="Tahoma" w:cs="Tahoma"/>
                <w:bCs/>
                <w:iCs/>
                <w:sz w:val="22"/>
                <w:szCs w:val="22"/>
              </w:rPr>
              <w:t>2.3.3.</w:t>
            </w:r>
          </w:p>
        </w:tc>
        <w:tc>
          <w:tcPr>
            <w:tcW w:w="1757" w:type="pct"/>
            <w:shd w:val="clear" w:color="auto" w:fill="auto"/>
            <w:vAlign w:val="center"/>
          </w:tcPr>
          <w:p w14:paraId="2B88FD6A" w14:textId="77777777" w:rsidR="00922808" w:rsidRPr="00922808" w:rsidRDefault="00922808" w:rsidP="00922808">
            <w:pPr>
              <w:rPr>
                <w:rFonts w:ascii="Tahoma" w:hAnsi="Tahoma" w:cs="Tahoma"/>
                <w:bCs/>
                <w:iCs/>
                <w:sz w:val="22"/>
                <w:szCs w:val="22"/>
              </w:rPr>
            </w:pPr>
            <w:r w:rsidRPr="00922808">
              <w:rPr>
                <w:rFonts w:ascii="Tahoma" w:hAnsi="Tahoma" w:cs="Tahoma"/>
                <w:bCs/>
                <w:iCs/>
                <w:sz w:val="22"/>
                <w:szCs w:val="22"/>
              </w:rPr>
              <w:t>Сумма покупок</w:t>
            </w:r>
            <w:r w:rsidRPr="00922808">
              <w:rPr>
                <w:rFonts w:ascii="Tahoma" w:hAnsi="Tahoma" w:cs="Tahoma"/>
                <w:bCs/>
                <w:iCs/>
                <w:sz w:val="22"/>
                <w:szCs w:val="22"/>
                <w:vertAlign w:val="superscript"/>
              </w:rPr>
              <w:t>5</w:t>
            </w:r>
            <w:r w:rsidRPr="00922808">
              <w:rPr>
                <w:rFonts w:ascii="Tahoma" w:hAnsi="Tahoma" w:cs="Tahoma"/>
                <w:bCs/>
                <w:iCs/>
                <w:sz w:val="22"/>
                <w:szCs w:val="22"/>
              </w:rPr>
              <w:t>, совершенных с использованием Карт, выпущенных в рамках Программы, в течение календарного месяца</w:t>
            </w:r>
          </w:p>
        </w:tc>
        <w:tc>
          <w:tcPr>
            <w:tcW w:w="2896" w:type="pct"/>
            <w:gridSpan w:val="4"/>
            <w:shd w:val="clear" w:color="auto" w:fill="auto"/>
            <w:vAlign w:val="center"/>
          </w:tcPr>
          <w:p w14:paraId="416E98D6" w14:textId="77777777" w:rsidR="00922808" w:rsidRPr="00922808" w:rsidRDefault="00922808" w:rsidP="00922808">
            <w:pPr>
              <w:tabs>
                <w:tab w:val="left" w:pos="4889"/>
              </w:tabs>
              <w:ind w:left="480"/>
              <w:jc w:val="center"/>
              <w:rPr>
                <w:rFonts w:ascii="Tahoma" w:hAnsi="Tahoma" w:cs="Tahoma"/>
                <w:bCs/>
                <w:iCs/>
                <w:color w:val="000000"/>
              </w:rPr>
            </w:pPr>
            <w:r w:rsidRPr="00922808">
              <w:rPr>
                <w:rFonts w:ascii="Tahoma" w:hAnsi="Tahoma" w:cs="Tahoma"/>
                <w:bCs/>
                <w:iCs/>
                <w:color w:val="000000"/>
              </w:rPr>
              <w:t>от</w:t>
            </w:r>
            <w:r w:rsidRPr="00922808">
              <w:rPr>
                <w:rFonts w:ascii="Tahoma" w:hAnsi="Tahoma" w:cs="Tahoma"/>
                <w:b/>
                <w:bCs/>
                <w:iCs/>
                <w:color w:val="000000"/>
              </w:rPr>
              <w:t xml:space="preserve"> 500 000</w:t>
            </w:r>
            <w:r w:rsidRPr="00922808">
              <w:rPr>
                <w:rFonts w:ascii="Tahoma" w:hAnsi="Tahoma" w:cs="Tahoma"/>
                <w:bCs/>
                <w:iCs/>
                <w:color w:val="000000"/>
              </w:rPr>
              <w:t xml:space="preserve"> </w:t>
            </w:r>
            <w:r w:rsidRPr="00922808">
              <w:rPr>
                <w:rFonts w:ascii="Tahoma" w:hAnsi="Tahoma" w:cs="Tahoma"/>
                <w:b/>
                <w:bCs/>
                <w:iCs/>
                <w:color w:val="000000"/>
              </w:rPr>
              <w:t>рублей;</w:t>
            </w:r>
          </w:p>
        </w:tc>
      </w:tr>
      <w:tr w:rsidR="00922808" w:rsidRPr="00922808" w14:paraId="7300BF05" w14:textId="77777777" w:rsidTr="005A7C26">
        <w:trPr>
          <w:trHeight w:val="555"/>
        </w:trPr>
        <w:tc>
          <w:tcPr>
            <w:tcW w:w="347" w:type="pct"/>
            <w:shd w:val="clear" w:color="auto" w:fill="auto"/>
            <w:vAlign w:val="center"/>
          </w:tcPr>
          <w:p w14:paraId="103F0104" w14:textId="77777777" w:rsidR="00922808" w:rsidRPr="00922808" w:rsidRDefault="00922808" w:rsidP="00922808">
            <w:pPr>
              <w:rPr>
                <w:rFonts w:ascii="Tahoma" w:hAnsi="Tahoma" w:cs="Tahoma"/>
                <w:bCs/>
                <w:iCs/>
                <w:sz w:val="22"/>
                <w:szCs w:val="22"/>
              </w:rPr>
            </w:pPr>
            <w:r w:rsidRPr="00922808">
              <w:rPr>
                <w:rFonts w:ascii="Tahoma" w:hAnsi="Tahoma" w:cs="Tahoma"/>
                <w:bCs/>
                <w:iCs/>
                <w:sz w:val="22"/>
                <w:szCs w:val="22"/>
              </w:rPr>
              <w:t>2.3.4.</w:t>
            </w:r>
          </w:p>
        </w:tc>
        <w:tc>
          <w:tcPr>
            <w:tcW w:w="1757" w:type="pct"/>
            <w:shd w:val="clear" w:color="auto" w:fill="auto"/>
            <w:vAlign w:val="center"/>
          </w:tcPr>
          <w:p w14:paraId="5C16AC7A" w14:textId="77777777" w:rsidR="00922808" w:rsidRPr="00922808" w:rsidRDefault="00922808" w:rsidP="00922808">
            <w:pPr>
              <w:rPr>
                <w:rFonts w:ascii="Tahoma" w:hAnsi="Tahoma" w:cs="Tahoma"/>
                <w:bCs/>
                <w:iCs/>
                <w:color w:val="000000"/>
                <w:sz w:val="22"/>
                <w:szCs w:val="22"/>
              </w:rPr>
            </w:pPr>
            <w:r w:rsidRPr="00922808">
              <w:rPr>
                <w:rFonts w:ascii="Tahoma" w:hAnsi="Tahoma" w:cs="Tahoma"/>
                <w:bCs/>
                <w:iCs/>
                <w:color w:val="000000"/>
                <w:sz w:val="22"/>
                <w:szCs w:val="22"/>
              </w:rPr>
              <w:t>поступление Заработной платы</w:t>
            </w:r>
            <w:r w:rsidRPr="00922808">
              <w:rPr>
                <w:rFonts w:ascii="Tahoma" w:hAnsi="Tahoma" w:cs="Tahoma"/>
                <w:bCs/>
                <w:iCs/>
                <w:color w:val="000000"/>
                <w:sz w:val="22"/>
                <w:szCs w:val="22"/>
                <w:vertAlign w:val="superscript"/>
              </w:rPr>
              <w:t>6</w:t>
            </w:r>
            <w:r w:rsidRPr="00922808">
              <w:rPr>
                <w:rFonts w:ascii="Tahoma" w:hAnsi="Tahoma" w:cs="Tahoma"/>
                <w:bCs/>
                <w:iCs/>
                <w:color w:val="000000"/>
                <w:sz w:val="22"/>
                <w:szCs w:val="22"/>
              </w:rPr>
              <w:t xml:space="preserve"> в течение календарного месяца на счет Карты, выпущенной в рамках Программы</w:t>
            </w:r>
          </w:p>
        </w:tc>
        <w:tc>
          <w:tcPr>
            <w:tcW w:w="2896" w:type="pct"/>
            <w:gridSpan w:val="4"/>
            <w:shd w:val="clear" w:color="auto" w:fill="auto"/>
            <w:vAlign w:val="center"/>
          </w:tcPr>
          <w:p w14:paraId="6CE39CBC" w14:textId="77777777" w:rsidR="00922808" w:rsidRPr="00922808" w:rsidRDefault="00922808" w:rsidP="00922808">
            <w:pPr>
              <w:tabs>
                <w:tab w:val="left" w:pos="4889"/>
              </w:tabs>
              <w:ind w:left="480"/>
              <w:jc w:val="center"/>
              <w:rPr>
                <w:rFonts w:ascii="Tahoma" w:hAnsi="Tahoma" w:cs="Tahoma"/>
                <w:bCs/>
                <w:iCs/>
                <w:color w:val="000000"/>
              </w:rPr>
            </w:pPr>
            <w:r w:rsidRPr="00922808">
              <w:rPr>
                <w:rFonts w:ascii="Tahoma" w:hAnsi="Tahoma" w:cs="Tahoma"/>
                <w:bCs/>
                <w:iCs/>
                <w:color w:val="000000"/>
              </w:rPr>
              <w:t>от</w:t>
            </w:r>
            <w:r w:rsidRPr="00922808">
              <w:rPr>
                <w:rFonts w:ascii="Tahoma" w:hAnsi="Tahoma" w:cs="Tahoma"/>
                <w:b/>
                <w:bCs/>
                <w:iCs/>
                <w:color w:val="000000"/>
              </w:rPr>
              <w:t xml:space="preserve"> 400 000 рублей </w:t>
            </w:r>
            <w:r w:rsidRPr="00922808">
              <w:rPr>
                <w:rFonts w:ascii="Tahoma" w:hAnsi="Tahoma" w:cs="Tahoma"/>
                <w:bCs/>
                <w:iCs/>
                <w:color w:val="000000"/>
              </w:rPr>
              <w:t>в месяц;</w:t>
            </w:r>
          </w:p>
        </w:tc>
      </w:tr>
      <w:tr w:rsidR="00922808" w:rsidRPr="00922808" w14:paraId="3CC43AFF" w14:textId="77777777" w:rsidTr="005A7C26">
        <w:tc>
          <w:tcPr>
            <w:tcW w:w="347" w:type="pct"/>
            <w:shd w:val="clear" w:color="auto" w:fill="808080"/>
            <w:vAlign w:val="center"/>
          </w:tcPr>
          <w:p w14:paraId="7EAD2437" w14:textId="77777777" w:rsidR="00922808" w:rsidRPr="00922808" w:rsidRDefault="00922808" w:rsidP="00922808">
            <w:pPr>
              <w:tabs>
                <w:tab w:val="left" w:pos="284"/>
              </w:tabs>
              <w:rPr>
                <w:rFonts w:ascii="Tahoma" w:hAnsi="Tahoma" w:cs="Tahoma"/>
                <w:bCs/>
                <w:iCs/>
                <w:color w:val="FFFFFF"/>
                <w:sz w:val="28"/>
                <w:szCs w:val="22"/>
              </w:rPr>
            </w:pPr>
            <w:r w:rsidRPr="00922808">
              <w:rPr>
                <w:rFonts w:ascii="Tahoma" w:hAnsi="Tahoma" w:cs="Tahoma"/>
                <w:bCs/>
                <w:iCs/>
                <w:color w:val="FFFFFF"/>
                <w:sz w:val="28"/>
                <w:szCs w:val="22"/>
              </w:rPr>
              <w:t>3.</w:t>
            </w:r>
          </w:p>
        </w:tc>
        <w:tc>
          <w:tcPr>
            <w:tcW w:w="4653" w:type="pct"/>
            <w:gridSpan w:val="5"/>
            <w:shd w:val="clear" w:color="auto" w:fill="808080"/>
            <w:vAlign w:val="center"/>
          </w:tcPr>
          <w:p w14:paraId="5353467E" w14:textId="77777777" w:rsidR="00922808" w:rsidRPr="00922808" w:rsidRDefault="00922808" w:rsidP="00922808">
            <w:pPr>
              <w:tabs>
                <w:tab w:val="left" w:pos="284"/>
              </w:tabs>
              <w:rPr>
                <w:rFonts w:ascii="Tahoma" w:hAnsi="Tahoma" w:cs="Tahoma"/>
                <w:bCs/>
                <w:iCs/>
                <w:color w:val="FFFFFF"/>
                <w:sz w:val="28"/>
                <w:szCs w:val="22"/>
              </w:rPr>
            </w:pPr>
            <w:r w:rsidRPr="00922808">
              <w:rPr>
                <w:rFonts w:ascii="Tahoma" w:hAnsi="Tahoma" w:cs="Tahoma"/>
                <w:bCs/>
                <w:iCs/>
                <w:color w:val="FFFFFF"/>
                <w:sz w:val="28"/>
                <w:szCs w:val="22"/>
              </w:rPr>
              <w:t>Банковские услуги, получаемые Клиентом в рамках Программы</w:t>
            </w:r>
          </w:p>
        </w:tc>
      </w:tr>
      <w:tr w:rsidR="00922808" w:rsidRPr="00922808" w14:paraId="6C1462B5" w14:textId="77777777" w:rsidTr="00922808">
        <w:tc>
          <w:tcPr>
            <w:tcW w:w="347" w:type="pct"/>
            <w:shd w:val="clear" w:color="auto" w:fill="808080"/>
            <w:vAlign w:val="center"/>
          </w:tcPr>
          <w:p w14:paraId="4F181FB4"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3.1.</w:t>
            </w:r>
          </w:p>
        </w:tc>
        <w:tc>
          <w:tcPr>
            <w:tcW w:w="4653" w:type="pct"/>
            <w:gridSpan w:val="5"/>
            <w:shd w:val="clear" w:color="auto" w:fill="808080"/>
            <w:vAlign w:val="center"/>
          </w:tcPr>
          <w:p w14:paraId="6B8518C6" w14:textId="77777777" w:rsidR="00922808" w:rsidRPr="00922808" w:rsidRDefault="00922808" w:rsidP="00922808">
            <w:pPr>
              <w:tabs>
                <w:tab w:val="left" w:pos="284"/>
              </w:tabs>
              <w:rPr>
                <w:rFonts w:ascii="Tahoma" w:hAnsi="Tahoma" w:cs="Tahoma"/>
                <w:b/>
                <w:bCs/>
                <w:iCs/>
                <w:color w:val="FFFFFF"/>
                <w:sz w:val="22"/>
                <w:szCs w:val="22"/>
                <w:vertAlign w:val="superscript"/>
              </w:rPr>
            </w:pPr>
            <w:r w:rsidRPr="00922808">
              <w:rPr>
                <w:rFonts w:ascii="Tahoma" w:hAnsi="Tahoma" w:cs="Tahoma"/>
                <w:b/>
                <w:bCs/>
                <w:iCs/>
                <w:color w:val="FFFFFF"/>
                <w:sz w:val="22"/>
                <w:szCs w:val="22"/>
              </w:rPr>
              <w:t>Накопительный счет</w:t>
            </w:r>
            <w:r w:rsidRPr="00922808">
              <w:rPr>
                <w:rFonts w:ascii="Tahoma" w:hAnsi="Tahoma" w:cs="Tahoma"/>
                <w:bCs/>
                <w:iCs/>
                <w:color w:val="FFFFFF"/>
                <w:sz w:val="22"/>
                <w:szCs w:val="22"/>
                <w:vertAlign w:val="superscript"/>
              </w:rPr>
              <w:t>7,8</w:t>
            </w:r>
            <w:r w:rsidRPr="00922808">
              <w:rPr>
                <w:rFonts w:ascii="Tahoma" w:hAnsi="Tahoma" w:cs="Tahoma"/>
                <w:b/>
                <w:bCs/>
                <w:iCs/>
                <w:color w:val="FFFFFF"/>
                <w:sz w:val="22"/>
                <w:szCs w:val="22"/>
                <w:vertAlign w:val="superscript"/>
              </w:rPr>
              <w:t xml:space="preserve">  </w:t>
            </w:r>
            <w:r w:rsidRPr="00922808">
              <w:rPr>
                <w:rFonts w:ascii="Tahoma" w:hAnsi="Tahoma" w:cs="Tahoma"/>
                <w:bCs/>
                <w:iCs/>
                <w:color w:val="FFFFFF"/>
                <w:sz w:val="22"/>
                <w:szCs w:val="22"/>
              </w:rPr>
              <w:t>(является текущим банковским счетом), далее – Накопительный счет</w:t>
            </w:r>
          </w:p>
        </w:tc>
      </w:tr>
      <w:tr w:rsidR="00922808" w:rsidRPr="00922808" w14:paraId="422CAC48" w14:textId="77777777" w:rsidTr="005A7C26">
        <w:tc>
          <w:tcPr>
            <w:tcW w:w="347" w:type="pct"/>
            <w:shd w:val="clear" w:color="auto" w:fill="auto"/>
            <w:vAlign w:val="center"/>
          </w:tcPr>
          <w:p w14:paraId="651BA07B" w14:textId="77777777" w:rsidR="00922808" w:rsidRPr="00922808" w:rsidRDefault="00922808" w:rsidP="00922808">
            <w:pPr>
              <w:tabs>
                <w:tab w:val="left" w:pos="284"/>
              </w:tabs>
              <w:rPr>
                <w:rFonts w:ascii="Tahoma" w:hAnsi="Tahoma" w:cs="Tahoma"/>
                <w:b/>
                <w:bCs/>
                <w:iCs/>
                <w:color w:val="000000"/>
                <w:sz w:val="22"/>
                <w:szCs w:val="22"/>
              </w:rPr>
            </w:pPr>
            <w:r w:rsidRPr="00922808">
              <w:rPr>
                <w:rFonts w:ascii="Tahoma" w:hAnsi="Tahoma" w:cs="Tahoma"/>
                <w:b/>
                <w:bCs/>
                <w:iCs/>
                <w:color w:val="000000"/>
                <w:sz w:val="22"/>
                <w:szCs w:val="22"/>
              </w:rPr>
              <w:t>3.1.1.</w:t>
            </w:r>
          </w:p>
        </w:tc>
        <w:tc>
          <w:tcPr>
            <w:tcW w:w="4653" w:type="pct"/>
            <w:gridSpan w:val="5"/>
            <w:shd w:val="clear" w:color="auto" w:fill="auto"/>
            <w:vAlign w:val="center"/>
          </w:tcPr>
          <w:p w14:paraId="6FE869B8" w14:textId="77777777" w:rsidR="00922808" w:rsidRPr="00922808" w:rsidRDefault="00922808" w:rsidP="00922808">
            <w:pPr>
              <w:tabs>
                <w:tab w:val="left" w:pos="284"/>
              </w:tabs>
              <w:rPr>
                <w:rFonts w:ascii="Tahoma" w:hAnsi="Tahoma" w:cs="Tahoma"/>
                <w:b/>
                <w:bCs/>
                <w:iCs/>
                <w:sz w:val="22"/>
                <w:szCs w:val="22"/>
              </w:rPr>
            </w:pPr>
            <w:r w:rsidRPr="00922808">
              <w:rPr>
                <w:rFonts w:ascii="Tahoma" w:hAnsi="Tahoma" w:cs="Tahoma"/>
                <w:b/>
                <w:bCs/>
                <w:iCs/>
                <w:color w:val="000000"/>
                <w:sz w:val="22"/>
                <w:szCs w:val="22"/>
              </w:rPr>
              <w:t>Накопительный счет в рублях</w:t>
            </w:r>
          </w:p>
        </w:tc>
      </w:tr>
      <w:tr w:rsidR="00922808" w:rsidRPr="00922808" w14:paraId="4257EFF8" w14:textId="77777777" w:rsidTr="005A7C26">
        <w:tc>
          <w:tcPr>
            <w:tcW w:w="347" w:type="pct"/>
            <w:shd w:val="clear" w:color="auto" w:fill="auto"/>
            <w:vAlign w:val="center"/>
          </w:tcPr>
          <w:p w14:paraId="46DA2A7C"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3.1.1.1.</w:t>
            </w:r>
          </w:p>
        </w:tc>
        <w:tc>
          <w:tcPr>
            <w:tcW w:w="1757" w:type="pct"/>
            <w:shd w:val="clear" w:color="auto" w:fill="auto"/>
            <w:vAlign w:val="center"/>
          </w:tcPr>
          <w:p w14:paraId="3A9CB934"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 xml:space="preserve">валюта Накопительного счета </w:t>
            </w:r>
          </w:p>
        </w:tc>
        <w:tc>
          <w:tcPr>
            <w:tcW w:w="2896" w:type="pct"/>
            <w:gridSpan w:val="4"/>
            <w:shd w:val="clear" w:color="auto" w:fill="auto"/>
            <w:vAlign w:val="center"/>
          </w:tcPr>
          <w:p w14:paraId="2979D7C9"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sz w:val="22"/>
                <w:szCs w:val="22"/>
              </w:rPr>
              <w:t>Российский рубль</w:t>
            </w:r>
          </w:p>
        </w:tc>
      </w:tr>
      <w:tr w:rsidR="00922808" w:rsidRPr="00922808" w14:paraId="0C082EC0" w14:textId="77777777" w:rsidTr="005A7C26">
        <w:tc>
          <w:tcPr>
            <w:tcW w:w="347" w:type="pct"/>
            <w:shd w:val="clear" w:color="auto" w:fill="auto"/>
            <w:vAlign w:val="center"/>
          </w:tcPr>
          <w:p w14:paraId="429DCE8A"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3.1.1.2.</w:t>
            </w:r>
          </w:p>
        </w:tc>
        <w:tc>
          <w:tcPr>
            <w:tcW w:w="1757" w:type="pct"/>
            <w:shd w:val="clear" w:color="auto" w:fill="auto"/>
            <w:vAlign w:val="center"/>
          </w:tcPr>
          <w:p w14:paraId="3B096EFB"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открытие и обслуживание Накопительного счета</w:t>
            </w:r>
          </w:p>
        </w:tc>
        <w:tc>
          <w:tcPr>
            <w:tcW w:w="2896" w:type="pct"/>
            <w:gridSpan w:val="4"/>
            <w:shd w:val="clear" w:color="auto" w:fill="auto"/>
            <w:vAlign w:val="center"/>
          </w:tcPr>
          <w:p w14:paraId="73F36DC5" w14:textId="77777777" w:rsidR="00922808" w:rsidRPr="00922808" w:rsidRDefault="00922808" w:rsidP="00922808">
            <w:pPr>
              <w:tabs>
                <w:tab w:val="left" w:pos="284"/>
              </w:tabs>
              <w:jc w:val="center"/>
              <w:rPr>
                <w:rFonts w:ascii="Tahoma" w:hAnsi="Tahoma" w:cs="Tahoma"/>
                <w:b/>
                <w:bCs/>
                <w:iCs/>
                <w:color w:val="000000"/>
                <w:sz w:val="22"/>
                <w:szCs w:val="22"/>
              </w:rPr>
            </w:pPr>
            <w:r w:rsidRPr="00922808">
              <w:rPr>
                <w:rFonts w:ascii="Tahoma" w:hAnsi="Tahoma" w:cs="Tahoma"/>
                <w:bCs/>
                <w:iCs/>
                <w:color w:val="000000"/>
                <w:sz w:val="22"/>
                <w:szCs w:val="22"/>
              </w:rPr>
              <w:t xml:space="preserve">Открытие одного Накопительного счета в валюте российский рубль: </w:t>
            </w:r>
            <w:r w:rsidRPr="00922808">
              <w:rPr>
                <w:rFonts w:ascii="Tahoma" w:hAnsi="Tahoma" w:cs="Tahoma"/>
                <w:b/>
                <w:bCs/>
                <w:iCs/>
                <w:color w:val="000000"/>
                <w:sz w:val="22"/>
                <w:szCs w:val="22"/>
              </w:rPr>
              <w:t>БЕСПЛАТНО.</w:t>
            </w:r>
          </w:p>
          <w:p w14:paraId="5CC70F8F"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color w:val="000000"/>
                <w:sz w:val="22"/>
                <w:szCs w:val="22"/>
              </w:rPr>
              <w:t xml:space="preserve">За каждый последующий Накопительный счет: </w:t>
            </w:r>
            <w:r w:rsidRPr="00922808">
              <w:rPr>
                <w:rFonts w:ascii="Tahoma" w:hAnsi="Tahoma" w:cs="Tahoma"/>
                <w:b/>
                <w:bCs/>
                <w:iCs/>
                <w:color w:val="000000"/>
                <w:sz w:val="22"/>
                <w:szCs w:val="22"/>
              </w:rPr>
              <w:t>2 000</w:t>
            </w:r>
            <w:r w:rsidRPr="00922808">
              <w:rPr>
                <w:rFonts w:ascii="Tahoma" w:hAnsi="Tahoma" w:cs="Tahoma"/>
                <w:bCs/>
                <w:iCs/>
                <w:color w:val="000000"/>
                <w:sz w:val="22"/>
                <w:szCs w:val="22"/>
              </w:rPr>
              <w:t xml:space="preserve"> </w:t>
            </w:r>
            <w:r w:rsidRPr="00922808">
              <w:rPr>
                <w:rFonts w:ascii="Tahoma" w:hAnsi="Tahoma" w:cs="Tahoma"/>
                <w:b/>
                <w:bCs/>
                <w:iCs/>
                <w:color w:val="000000"/>
                <w:sz w:val="22"/>
                <w:szCs w:val="22"/>
              </w:rPr>
              <w:t>рублей</w:t>
            </w:r>
            <w:r w:rsidRPr="00922808">
              <w:rPr>
                <w:rFonts w:ascii="Tahoma" w:hAnsi="Tahoma" w:cs="Tahoma"/>
                <w:bCs/>
                <w:iCs/>
                <w:color w:val="000000"/>
                <w:sz w:val="22"/>
                <w:szCs w:val="22"/>
              </w:rPr>
              <w:t xml:space="preserve"> (единовременно при открытии) </w:t>
            </w:r>
          </w:p>
          <w:p w14:paraId="5BACB77D" w14:textId="77777777" w:rsidR="00922808" w:rsidRPr="00922808" w:rsidRDefault="00922808" w:rsidP="00922808">
            <w:pPr>
              <w:tabs>
                <w:tab w:val="left" w:pos="284"/>
              </w:tabs>
              <w:jc w:val="center"/>
              <w:rPr>
                <w:rFonts w:ascii="Tahoma" w:hAnsi="Tahoma" w:cs="Tahoma"/>
                <w:b/>
                <w:bCs/>
                <w:iCs/>
                <w:color w:val="000000"/>
                <w:sz w:val="22"/>
                <w:szCs w:val="22"/>
                <w:lang w:val="en-US"/>
              </w:rPr>
            </w:pPr>
            <w:r w:rsidRPr="00922808">
              <w:rPr>
                <w:rFonts w:ascii="Tahoma" w:hAnsi="Tahoma" w:cs="Tahoma"/>
                <w:bCs/>
                <w:iCs/>
                <w:color w:val="000000"/>
                <w:sz w:val="22"/>
                <w:szCs w:val="22"/>
              </w:rPr>
              <w:t xml:space="preserve">Обслуживание Накопительных счетов: </w:t>
            </w:r>
            <w:r w:rsidRPr="00922808">
              <w:rPr>
                <w:rFonts w:ascii="Tahoma" w:hAnsi="Tahoma" w:cs="Tahoma"/>
                <w:b/>
                <w:bCs/>
                <w:iCs/>
                <w:color w:val="000000"/>
                <w:sz w:val="22"/>
                <w:szCs w:val="22"/>
              </w:rPr>
              <w:t>БЕСПЛАТНО</w:t>
            </w:r>
          </w:p>
        </w:tc>
      </w:tr>
      <w:tr w:rsidR="00922808" w:rsidRPr="00922808" w14:paraId="6329BA34" w14:textId="77777777" w:rsidTr="005A7C26">
        <w:tc>
          <w:tcPr>
            <w:tcW w:w="347" w:type="pct"/>
            <w:shd w:val="clear" w:color="auto" w:fill="auto"/>
            <w:vAlign w:val="center"/>
          </w:tcPr>
          <w:p w14:paraId="30F6244A"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3.1.1.3.</w:t>
            </w:r>
          </w:p>
        </w:tc>
        <w:tc>
          <w:tcPr>
            <w:tcW w:w="1757" w:type="pct"/>
            <w:shd w:val="clear" w:color="auto" w:fill="auto"/>
            <w:vAlign w:val="center"/>
          </w:tcPr>
          <w:p w14:paraId="6DDAE89F"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процентная ставка на Средний остаток</w:t>
            </w:r>
            <w:r w:rsidRPr="00922808">
              <w:rPr>
                <w:rFonts w:ascii="Tahoma" w:hAnsi="Tahoma" w:cs="Tahoma"/>
                <w:bCs/>
                <w:iCs/>
                <w:color w:val="000000"/>
                <w:sz w:val="22"/>
                <w:szCs w:val="22"/>
                <w:vertAlign w:val="superscript"/>
              </w:rPr>
              <w:t xml:space="preserve">9 </w:t>
            </w:r>
            <w:r w:rsidRPr="00922808">
              <w:rPr>
                <w:rFonts w:ascii="Tahoma" w:hAnsi="Tahoma" w:cs="Tahoma"/>
                <w:bCs/>
                <w:iCs/>
                <w:color w:val="000000"/>
                <w:sz w:val="22"/>
                <w:szCs w:val="22"/>
              </w:rPr>
              <w:t>денежных средств по Накопительному счету в рублях, % годовых</w:t>
            </w:r>
          </w:p>
        </w:tc>
        <w:tc>
          <w:tcPr>
            <w:tcW w:w="2896" w:type="pct"/>
            <w:gridSpan w:val="4"/>
            <w:shd w:val="clear" w:color="auto" w:fill="auto"/>
            <w:vAlign w:val="center"/>
          </w:tcPr>
          <w:p w14:paraId="021B0F61"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
                <w:bCs/>
                <w:iCs/>
                <w:color w:val="000000"/>
                <w:sz w:val="22"/>
                <w:szCs w:val="22"/>
                <w:lang w:val="en-US"/>
              </w:rPr>
              <w:t>1</w:t>
            </w:r>
            <w:r w:rsidRPr="00922808">
              <w:rPr>
                <w:rFonts w:ascii="Tahoma" w:hAnsi="Tahoma" w:cs="Tahoma"/>
                <w:b/>
                <w:bCs/>
                <w:iCs/>
                <w:color w:val="000000"/>
                <w:sz w:val="22"/>
                <w:szCs w:val="22"/>
              </w:rPr>
              <w:t>8%</w:t>
            </w:r>
          </w:p>
        </w:tc>
      </w:tr>
      <w:tr w:rsidR="00922808" w:rsidRPr="00922808" w14:paraId="1047F6DD" w14:textId="77777777" w:rsidTr="005A7C26">
        <w:tc>
          <w:tcPr>
            <w:tcW w:w="347" w:type="pct"/>
            <w:shd w:val="clear" w:color="auto" w:fill="auto"/>
            <w:vAlign w:val="center"/>
          </w:tcPr>
          <w:p w14:paraId="52D93F0C" w14:textId="77777777" w:rsidR="00922808" w:rsidRPr="00922808" w:rsidRDefault="00922808" w:rsidP="00922808">
            <w:pPr>
              <w:tabs>
                <w:tab w:val="left" w:pos="284"/>
              </w:tabs>
              <w:rPr>
                <w:rFonts w:ascii="Tahoma" w:hAnsi="Tahoma" w:cs="Tahoma"/>
                <w:b/>
                <w:bCs/>
                <w:iCs/>
                <w:color w:val="000000"/>
                <w:sz w:val="22"/>
                <w:szCs w:val="22"/>
              </w:rPr>
            </w:pPr>
            <w:r w:rsidRPr="00922808">
              <w:rPr>
                <w:rFonts w:ascii="Tahoma" w:hAnsi="Tahoma" w:cs="Tahoma"/>
                <w:b/>
                <w:bCs/>
                <w:iCs/>
                <w:color w:val="000000"/>
                <w:sz w:val="22"/>
                <w:szCs w:val="22"/>
              </w:rPr>
              <w:t>3.1.2.</w:t>
            </w:r>
          </w:p>
        </w:tc>
        <w:tc>
          <w:tcPr>
            <w:tcW w:w="4653" w:type="pct"/>
            <w:gridSpan w:val="5"/>
            <w:shd w:val="clear" w:color="auto" w:fill="auto"/>
            <w:vAlign w:val="center"/>
          </w:tcPr>
          <w:p w14:paraId="73549E40" w14:textId="77777777" w:rsidR="00922808" w:rsidRPr="00922808" w:rsidRDefault="00922808" w:rsidP="00922808">
            <w:pPr>
              <w:tabs>
                <w:tab w:val="left" w:pos="284"/>
              </w:tabs>
              <w:rPr>
                <w:rFonts w:ascii="Tahoma" w:hAnsi="Tahoma" w:cs="Tahoma"/>
                <w:b/>
                <w:bCs/>
                <w:iCs/>
                <w:color w:val="000000"/>
                <w:sz w:val="22"/>
                <w:szCs w:val="22"/>
              </w:rPr>
            </w:pPr>
            <w:r w:rsidRPr="00922808">
              <w:rPr>
                <w:rFonts w:ascii="Tahoma" w:hAnsi="Tahoma" w:cs="Tahoma"/>
                <w:b/>
                <w:bCs/>
                <w:iCs/>
                <w:color w:val="000000"/>
                <w:sz w:val="22"/>
                <w:szCs w:val="22"/>
              </w:rPr>
              <w:t>Накопительный счет в юанях</w:t>
            </w:r>
          </w:p>
        </w:tc>
      </w:tr>
      <w:tr w:rsidR="00922808" w:rsidRPr="00922808" w14:paraId="66962E21" w14:textId="77777777" w:rsidTr="005A7C26">
        <w:tc>
          <w:tcPr>
            <w:tcW w:w="347" w:type="pct"/>
            <w:shd w:val="clear" w:color="auto" w:fill="auto"/>
            <w:vAlign w:val="center"/>
          </w:tcPr>
          <w:p w14:paraId="33D62845"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3.1.2.1.</w:t>
            </w:r>
          </w:p>
        </w:tc>
        <w:tc>
          <w:tcPr>
            <w:tcW w:w="1768" w:type="pct"/>
            <w:gridSpan w:val="2"/>
            <w:shd w:val="clear" w:color="auto" w:fill="auto"/>
            <w:vAlign w:val="center"/>
          </w:tcPr>
          <w:p w14:paraId="39D3AA72"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 xml:space="preserve">валюта Накопительного счета </w:t>
            </w:r>
          </w:p>
        </w:tc>
        <w:tc>
          <w:tcPr>
            <w:tcW w:w="2885" w:type="pct"/>
            <w:gridSpan w:val="3"/>
            <w:shd w:val="clear" w:color="auto" w:fill="auto"/>
            <w:vAlign w:val="center"/>
          </w:tcPr>
          <w:p w14:paraId="083EA6EB"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sz w:val="22"/>
                <w:szCs w:val="22"/>
              </w:rPr>
              <w:t>Юань</w:t>
            </w:r>
            <w:r w:rsidRPr="00922808">
              <w:rPr>
                <w:rFonts w:ascii="Tahoma" w:hAnsi="Tahoma" w:cs="Tahoma"/>
                <w:bCs/>
                <w:iCs/>
                <w:sz w:val="22"/>
                <w:szCs w:val="22"/>
                <w:vertAlign w:val="superscript"/>
              </w:rPr>
              <w:t>10</w:t>
            </w:r>
          </w:p>
        </w:tc>
      </w:tr>
      <w:tr w:rsidR="00922808" w:rsidRPr="00922808" w14:paraId="72D48F6C" w14:textId="77777777" w:rsidTr="005A7C26">
        <w:tc>
          <w:tcPr>
            <w:tcW w:w="347" w:type="pct"/>
            <w:shd w:val="clear" w:color="auto" w:fill="auto"/>
            <w:vAlign w:val="center"/>
          </w:tcPr>
          <w:p w14:paraId="2A74A100"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3.1.2.2.</w:t>
            </w:r>
          </w:p>
        </w:tc>
        <w:tc>
          <w:tcPr>
            <w:tcW w:w="1768" w:type="pct"/>
            <w:gridSpan w:val="2"/>
            <w:shd w:val="clear" w:color="auto" w:fill="auto"/>
            <w:vAlign w:val="center"/>
          </w:tcPr>
          <w:p w14:paraId="57513DE3"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открытие и обслуживание Накопительного счета</w:t>
            </w:r>
          </w:p>
        </w:tc>
        <w:tc>
          <w:tcPr>
            <w:tcW w:w="2885" w:type="pct"/>
            <w:gridSpan w:val="3"/>
            <w:shd w:val="clear" w:color="auto" w:fill="auto"/>
            <w:vAlign w:val="center"/>
          </w:tcPr>
          <w:p w14:paraId="62C012D7" w14:textId="77777777" w:rsidR="00922808" w:rsidRPr="00922808" w:rsidRDefault="00922808" w:rsidP="00922808">
            <w:pPr>
              <w:tabs>
                <w:tab w:val="left" w:pos="284"/>
              </w:tabs>
              <w:jc w:val="center"/>
              <w:rPr>
                <w:rFonts w:ascii="Tahoma" w:hAnsi="Tahoma" w:cs="Tahoma"/>
                <w:b/>
                <w:bCs/>
                <w:iCs/>
                <w:color w:val="000000"/>
                <w:sz w:val="22"/>
                <w:szCs w:val="22"/>
              </w:rPr>
            </w:pPr>
            <w:r w:rsidRPr="00922808">
              <w:rPr>
                <w:rFonts w:ascii="Tahoma" w:hAnsi="Tahoma" w:cs="Tahoma"/>
                <w:bCs/>
                <w:iCs/>
                <w:color w:val="000000"/>
                <w:sz w:val="22"/>
                <w:szCs w:val="22"/>
              </w:rPr>
              <w:t>Открытие одного Накопительного счета в валюте юань</w:t>
            </w:r>
            <w:r w:rsidRPr="00922808">
              <w:rPr>
                <w:rFonts w:ascii="Tahoma" w:hAnsi="Tahoma" w:cs="Tahoma"/>
                <w:bCs/>
                <w:iCs/>
                <w:color w:val="000000"/>
                <w:sz w:val="22"/>
                <w:szCs w:val="22"/>
                <w:vertAlign w:val="superscript"/>
              </w:rPr>
              <w:t>10</w:t>
            </w:r>
            <w:r w:rsidRPr="00922808">
              <w:rPr>
                <w:rFonts w:ascii="Tahoma" w:hAnsi="Tahoma" w:cs="Tahoma"/>
                <w:bCs/>
                <w:iCs/>
                <w:color w:val="000000"/>
                <w:sz w:val="22"/>
                <w:szCs w:val="22"/>
              </w:rPr>
              <w:t xml:space="preserve">: </w:t>
            </w:r>
            <w:r w:rsidRPr="00922808">
              <w:rPr>
                <w:rFonts w:ascii="Tahoma" w:hAnsi="Tahoma" w:cs="Tahoma"/>
                <w:b/>
                <w:bCs/>
                <w:iCs/>
                <w:color w:val="000000"/>
                <w:sz w:val="22"/>
                <w:szCs w:val="22"/>
              </w:rPr>
              <w:t>БЕСПЛАТНО.</w:t>
            </w:r>
          </w:p>
          <w:p w14:paraId="7D9FB917"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color w:val="000000"/>
                <w:sz w:val="22"/>
                <w:szCs w:val="22"/>
              </w:rPr>
              <w:t xml:space="preserve">За каждый последующий Накопительный счет: </w:t>
            </w:r>
            <w:r w:rsidRPr="00922808">
              <w:rPr>
                <w:rFonts w:ascii="Tahoma" w:hAnsi="Tahoma" w:cs="Tahoma"/>
                <w:b/>
                <w:bCs/>
                <w:iCs/>
                <w:color w:val="000000"/>
                <w:sz w:val="22"/>
                <w:szCs w:val="22"/>
              </w:rPr>
              <w:t>2 000</w:t>
            </w:r>
            <w:r w:rsidRPr="00922808">
              <w:rPr>
                <w:rFonts w:ascii="Tahoma" w:hAnsi="Tahoma" w:cs="Tahoma"/>
                <w:bCs/>
                <w:iCs/>
                <w:color w:val="000000"/>
                <w:sz w:val="22"/>
                <w:szCs w:val="22"/>
              </w:rPr>
              <w:t xml:space="preserve"> </w:t>
            </w:r>
            <w:r w:rsidRPr="00922808">
              <w:rPr>
                <w:rFonts w:ascii="Tahoma" w:hAnsi="Tahoma" w:cs="Tahoma"/>
                <w:b/>
                <w:bCs/>
                <w:iCs/>
                <w:color w:val="000000"/>
                <w:sz w:val="22"/>
                <w:szCs w:val="22"/>
              </w:rPr>
              <w:t>рублей</w:t>
            </w:r>
            <w:r w:rsidRPr="00922808">
              <w:rPr>
                <w:rFonts w:ascii="Tahoma" w:hAnsi="Tahoma" w:cs="Tahoma"/>
                <w:bCs/>
                <w:iCs/>
                <w:color w:val="000000"/>
                <w:sz w:val="22"/>
                <w:szCs w:val="22"/>
              </w:rPr>
              <w:t xml:space="preserve"> (единовременно при открытии)</w:t>
            </w:r>
          </w:p>
          <w:p w14:paraId="738C9246"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color w:val="000000"/>
                <w:sz w:val="22"/>
                <w:szCs w:val="22"/>
              </w:rPr>
              <w:t xml:space="preserve">Обслуживание Накопительных счетов: </w:t>
            </w:r>
            <w:r w:rsidRPr="00922808">
              <w:rPr>
                <w:rFonts w:ascii="Tahoma" w:hAnsi="Tahoma" w:cs="Tahoma"/>
                <w:b/>
                <w:bCs/>
                <w:iCs/>
                <w:color w:val="000000"/>
                <w:sz w:val="22"/>
                <w:szCs w:val="22"/>
              </w:rPr>
              <w:t>БЕСПЛАТНО</w:t>
            </w:r>
          </w:p>
        </w:tc>
      </w:tr>
      <w:tr w:rsidR="00922808" w:rsidRPr="00922808" w14:paraId="7A93706C" w14:textId="77777777" w:rsidTr="005A7C26">
        <w:trPr>
          <w:trHeight w:val="797"/>
        </w:trPr>
        <w:tc>
          <w:tcPr>
            <w:tcW w:w="347" w:type="pct"/>
            <w:shd w:val="clear" w:color="auto" w:fill="auto"/>
            <w:vAlign w:val="center"/>
          </w:tcPr>
          <w:p w14:paraId="5F8F1626"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3.1.2.3.</w:t>
            </w:r>
          </w:p>
        </w:tc>
        <w:tc>
          <w:tcPr>
            <w:tcW w:w="1768" w:type="pct"/>
            <w:gridSpan w:val="2"/>
            <w:shd w:val="clear" w:color="auto" w:fill="auto"/>
            <w:vAlign w:val="center"/>
          </w:tcPr>
          <w:p w14:paraId="0F5189A6" w14:textId="77777777" w:rsidR="00922808" w:rsidRPr="00922808" w:rsidRDefault="00922808" w:rsidP="00922808">
            <w:pPr>
              <w:tabs>
                <w:tab w:val="left" w:pos="284"/>
              </w:tabs>
              <w:rPr>
                <w:rFonts w:ascii="Tahoma" w:hAnsi="Tahoma" w:cs="Tahoma"/>
                <w:bCs/>
                <w:iCs/>
                <w:sz w:val="22"/>
                <w:szCs w:val="22"/>
              </w:rPr>
            </w:pPr>
            <w:r w:rsidRPr="00922808">
              <w:rPr>
                <w:rFonts w:ascii="Tahoma" w:hAnsi="Tahoma" w:cs="Tahoma"/>
                <w:bCs/>
                <w:iCs/>
                <w:color w:val="000000"/>
                <w:sz w:val="22"/>
                <w:szCs w:val="22"/>
              </w:rPr>
              <w:t>процентная ставка на Средний остаток</w:t>
            </w:r>
            <w:r w:rsidRPr="00922808">
              <w:rPr>
                <w:rFonts w:ascii="Tahoma" w:hAnsi="Tahoma" w:cs="Tahoma"/>
                <w:bCs/>
                <w:iCs/>
                <w:color w:val="000000"/>
                <w:sz w:val="22"/>
                <w:szCs w:val="22"/>
                <w:vertAlign w:val="superscript"/>
              </w:rPr>
              <w:t xml:space="preserve">9 </w:t>
            </w:r>
            <w:r w:rsidRPr="00922808">
              <w:rPr>
                <w:rFonts w:ascii="Tahoma" w:hAnsi="Tahoma" w:cs="Tahoma"/>
                <w:bCs/>
                <w:iCs/>
                <w:color w:val="000000"/>
                <w:sz w:val="22"/>
                <w:szCs w:val="22"/>
              </w:rPr>
              <w:t>денежных средств по Накопительному счету в юанях, % годовых</w:t>
            </w:r>
            <w:r w:rsidRPr="00922808" w:rsidDel="009E1C0A">
              <w:rPr>
                <w:rFonts w:ascii="Tahoma" w:hAnsi="Tahoma" w:cs="Tahoma"/>
                <w:bCs/>
                <w:iCs/>
                <w:color w:val="000000"/>
                <w:sz w:val="22"/>
                <w:szCs w:val="22"/>
              </w:rPr>
              <w:t xml:space="preserve"> </w:t>
            </w:r>
          </w:p>
        </w:tc>
        <w:tc>
          <w:tcPr>
            <w:tcW w:w="2885" w:type="pct"/>
            <w:gridSpan w:val="3"/>
            <w:shd w:val="clear" w:color="auto" w:fill="auto"/>
            <w:vAlign w:val="center"/>
          </w:tcPr>
          <w:p w14:paraId="461A509D"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
                <w:bCs/>
                <w:iCs/>
                <w:color w:val="000000"/>
                <w:sz w:val="22"/>
                <w:szCs w:val="22"/>
              </w:rPr>
              <w:t>0,6%</w:t>
            </w:r>
          </w:p>
        </w:tc>
      </w:tr>
      <w:tr w:rsidR="00922808" w:rsidRPr="00922808" w14:paraId="69588982" w14:textId="77777777" w:rsidTr="005A7C26">
        <w:trPr>
          <w:trHeight w:val="654"/>
        </w:trPr>
        <w:tc>
          <w:tcPr>
            <w:tcW w:w="347" w:type="pct"/>
            <w:shd w:val="clear" w:color="auto" w:fill="auto"/>
            <w:vAlign w:val="center"/>
          </w:tcPr>
          <w:p w14:paraId="054CD3D4"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3.1.3</w:t>
            </w:r>
          </w:p>
        </w:tc>
        <w:tc>
          <w:tcPr>
            <w:tcW w:w="1768" w:type="pct"/>
            <w:gridSpan w:val="2"/>
            <w:shd w:val="clear" w:color="auto" w:fill="auto"/>
            <w:vAlign w:val="center"/>
          </w:tcPr>
          <w:p w14:paraId="6F671167"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процентная ставка на остаток</w:t>
            </w:r>
            <w:r w:rsidRPr="00922808">
              <w:rPr>
                <w:rFonts w:ascii="Tahoma" w:hAnsi="Tahoma" w:cs="Tahoma"/>
                <w:bCs/>
                <w:iCs/>
                <w:color w:val="000000"/>
                <w:sz w:val="22"/>
                <w:szCs w:val="22"/>
                <w:vertAlign w:val="superscript"/>
              </w:rPr>
              <w:t xml:space="preserve">11 </w:t>
            </w:r>
            <w:r w:rsidRPr="00922808">
              <w:rPr>
                <w:rFonts w:ascii="Tahoma" w:hAnsi="Tahoma" w:cs="Tahoma"/>
                <w:bCs/>
                <w:iCs/>
                <w:color w:val="000000"/>
                <w:sz w:val="22"/>
                <w:szCs w:val="22"/>
              </w:rPr>
              <w:t>денежных средств в валютах, отличных от валют, указанных п.3.1.1. и 3.1.2., % годовых</w:t>
            </w:r>
          </w:p>
        </w:tc>
        <w:tc>
          <w:tcPr>
            <w:tcW w:w="2885" w:type="pct"/>
            <w:gridSpan w:val="3"/>
            <w:shd w:val="clear" w:color="auto" w:fill="auto"/>
            <w:vAlign w:val="center"/>
          </w:tcPr>
          <w:p w14:paraId="60138EC2"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color w:val="000000"/>
                <w:sz w:val="22"/>
                <w:szCs w:val="22"/>
              </w:rPr>
              <w:t>Не предусмотрено</w:t>
            </w:r>
          </w:p>
        </w:tc>
      </w:tr>
      <w:tr w:rsidR="00922808" w:rsidRPr="00922808" w14:paraId="7C1822A5" w14:textId="77777777" w:rsidTr="00922808">
        <w:tc>
          <w:tcPr>
            <w:tcW w:w="347" w:type="pct"/>
            <w:shd w:val="clear" w:color="auto" w:fill="808080"/>
            <w:vAlign w:val="center"/>
          </w:tcPr>
          <w:p w14:paraId="04A022B0"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3.2.</w:t>
            </w:r>
          </w:p>
        </w:tc>
        <w:tc>
          <w:tcPr>
            <w:tcW w:w="4653" w:type="pct"/>
            <w:gridSpan w:val="5"/>
            <w:shd w:val="clear" w:color="auto" w:fill="808080"/>
            <w:vAlign w:val="center"/>
          </w:tcPr>
          <w:p w14:paraId="0E5F60FA"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Карта «Статус»</w:t>
            </w:r>
            <w:r w:rsidRPr="00922808" w:rsidDel="000F44DA">
              <w:rPr>
                <w:rFonts w:ascii="Tahoma" w:hAnsi="Tahoma" w:cs="Tahoma"/>
                <w:b/>
                <w:bCs/>
                <w:iCs/>
                <w:color w:val="FFFFFF"/>
                <w:sz w:val="22"/>
                <w:szCs w:val="22"/>
              </w:rPr>
              <w:t xml:space="preserve"> </w:t>
            </w:r>
            <w:r w:rsidRPr="00922808">
              <w:rPr>
                <w:rFonts w:ascii="Tahoma" w:hAnsi="Tahoma" w:cs="Tahoma"/>
                <w:b/>
                <w:bCs/>
                <w:iCs/>
                <w:color w:val="FFFFFF"/>
                <w:sz w:val="22"/>
                <w:szCs w:val="22"/>
              </w:rPr>
              <w:t>(по тексту – Карта)</w:t>
            </w:r>
            <w:r w:rsidRPr="00922808">
              <w:rPr>
                <w:rFonts w:ascii="Tahoma" w:hAnsi="Tahoma" w:cs="Tahoma"/>
                <w:bCs/>
                <w:iCs/>
                <w:color w:val="FFFFFF"/>
                <w:sz w:val="22"/>
                <w:szCs w:val="22"/>
                <w:vertAlign w:val="superscript"/>
              </w:rPr>
              <w:t>12</w:t>
            </w:r>
          </w:p>
        </w:tc>
      </w:tr>
      <w:tr w:rsidR="00922808" w:rsidRPr="00922808" w14:paraId="1FF48E2A" w14:textId="77777777" w:rsidTr="00922808">
        <w:tc>
          <w:tcPr>
            <w:tcW w:w="347" w:type="pct"/>
            <w:shd w:val="clear" w:color="auto" w:fill="808080"/>
            <w:vAlign w:val="center"/>
          </w:tcPr>
          <w:p w14:paraId="44F60D40"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3.2.1.</w:t>
            </w:r>
          </w:p>
        </w:tc>
        <w:tc>
          <w:tcPr>
            <w:tcW w:w="1757" w:type="pct"/>
            <w:shd w:val="clear" w:color="auto" w:fill="808080"/>
            <w:vAlign w:val="center"/>
          </w:tcPr>
          <w:p w14:paraId="2E672D16"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тип Карты</w:t>
            </w:r>
          </w:p>
        </w:tc>
        <w:tc>
          <w:tcPr>
            <w:tcW w:w="1485" w:type="pct"/>
            <w:gridSpan w:val="3"/>
            <w:shd w:val="clear" w:color="auto" w:fill="808080"/>
            <w:vAlign w:val="center"/>
          </w:tcPr>
          <w:p w14:paraId="473980DB" w14:textId="77777777" w:rsidR="00922808" w:rsidRPr="00922808" w:rsidRDefault="00922808" w:rsidP="00922808">
            <w:pPr>
              <w:tabs>
                <w:tab w:val="left" w:pos="284"/>
              </w:tabs>
              <w:jc w:val="center"/>
              <w:rPr>
                <w:rFonts w:ascii="Tahoma" w:hAnsi="Tahoma" w:cs="Tahoma"/>
                <w:b/>
                <w:bCs/>
                <w:iCs/>
                <w:color w:val="FFFFFF"/>
                <w:sz w:val="22"/>
                <w:szCs w:val="22"/>
              </w:rPr>
            </w:pPr>
            <w:r w:rsidRPr="00922808">
              <w:rPr>
                <w:rFonts w:ascii="Tahoma" w:hAnsi="Tahoma" w:cs="Tahoma"/>
                <w:b/>
                <w:bCs/>
                <w:iCs/>
                <w:color w:val="FFFFFF"/>
                <w:sz w:val="22"/>
                <w:szCs w:val="22"/>
              </w:rPr>
              <w:t xml:space="preserve">UnionPay: </w:t>
            </w:r>
            <w:r w:rsidRPr="00922808">
              <w:rPr>
                <w:rFonts w:ascii="Tahoma" w:hAnsi="Tahoma" w:cs="Tahoma"/>
                <w:b/>
                <w:bCs/>
                <w:iCs/>
                <w:color w:val="FFFFFF"/>
                <w:sz w:val="22"/>
                <w:szCs w:val="22"/>
                <w:lang w:val="en-US"/>
              </w:rPr>
              <w:t>Platinum</w:t>
            </w:r>
            <w:r w:rsidRPr="00922808">
              <w:rPr>
                <w:rFonts w:ascii="Tahoma" w:hAnsi="Tahoma" w:cs="Tahoma"/>
                <w:b/>
                <w:bCs/>
                <w:iCs/>
                <w:color w:val="FFFFFF"/>
                <w:sz w:val="22"/>
                <w:szCs w:val="22"/>
              </w:rPr>
              <w:t xml:space="preserve"> или Diamond</w:t>
            </w:r>
            <w:r w:rsidRPr="00922808">
              <w:rPr>
                <w:rFonts w:ascii="Tahoma" w:hAnsi="Tahoma" w:cs="Tahoma"/>
                <w:b/>
                <w:bCs/>
                <w:iCs/>
                <w:color w:val="FFFFFF"/>
                <w:sz w:val="22"/>
                <w:szCs w:val="22"/>
                <w:vertAlign w:val="superscript"/>
              </w:rPr>
              <w:t>25</w:t>
            </w:r>
          </w:p>
        </w:tc>
        <w:tc>
          <w:tcPr>
            <w:tcW w:w="1411" w:type="pct"/>
            <w:shd w:val="clear" w:color="auto" w:fill="808080"/>
            <w:vAlign w:val="center"/>
          </w:tcPr>
          <w:p w14:paraId="04111F90" w14:textId="77777777" w:rsidR="00922808" w:rsidRPr="00922808" w:rsidRDefault="00922808" w:rsidP="00922808">
            <w:pPr>
              <w:tabs>
                <w:tab w:val="left" w:pos="284"/>
              </w:tabs>
              <w:jc w:val="center"/>
              <w:rPr>
                <w:rFonts w:ascii="Tahoma" w:hAnsi="Tahoma" w:cs="Tahoma"/>
                <w:b/>
                <w:bCs/>
                <w:iCs/>
                <w:color w:val="FFFFFF"/>
                <w:sz w:val="22"/>
                <w:szCs w:val="22"/>
              </w:rPr>
            </w:pPr>
            <w:r w:rsidRPr="00922808">
              <w:rPr>
                <w:rFonts w:ascii="Tahoma" w:hAnsi="Tahoma" w:cs="Tahoma"/>
                <w:b/>
                <w:bCs/>
                <w:iCs/>
                <w:color w:val="FFFFFF"/>
                <w:sz w:val="22"/>
                <w:szCs w:val="22"/>
              </w:rPr>
              <w:t>Visa Platinum</w:t>
            </w:r>
          </w:p>
        </w:tc>
      </w:tr>
      <w:tr w:rsidR="00922808" w:rsidRPr="00922808" w14:paraId="61F28CCD" w14:textId="77777777" w:rsidTr="005A7C26">
        <w:trPr>
          <w:trHeight w:val="283"/>
        </w:trPr>
        <w:tc>
          <w:tcPr>
            <w:tcW w:w="347" w:type="pct"/>
            <w:shd w:val="clear" w:color="auto" w:fill="auto"/>
            <w:vAlign w:val="center"/>
          </w:tcPr>
          <w:p w14:paraId="03FE933D"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3.2.1.1.</w:t>
            </w:r>
          </w:p>
        </w:tc>
        <w:tc>
          <w:tcPr>
            <w:tcW w:w="1757" w:type="pct"/>
            <w:shd w:val="clear" w:color="auto" w:fill="auto"/>
            <w:vAlign w:val="center"/>
          </w:tcPr>
          <w:p w14:paraId="5863448E"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валюта Счета Карты</w:t>
            </w:r>
            <w:r w:rsidRPr="00922808">
              <w:rPr>
                <w:rFonts w:ascii="Tahoma" w:hAnsi="Tahoma" w:cs="Tahoma"/>
                <w:bCs/>
                <w:iCs/>
                <w:color w:val="000000"/>
                <w:sz w:val="22"/>
                <w:szCs w:val="22"/>
                <w:vertAlign w:val="superscript"/>
              </w:rPr>
              <w:t>8</w:t>
            </w:r>
          </w:p>
        </w:tc>
        <w:tc>
          <w:tcPr>
            <w:tcW w:w="1485" w:type="pct"/>
            <w:gridSpan w:val="3"/>
            <w:shd w:val="clear" w:color="auto" w:fill="auto"/>
            <w:vAlign w:val="center"/>
          </w:tcPr>
          <w:p w14:paraId="7349DAAB"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color w:val="000000"/>
                <w:sz w:val="22"/>
                <w:szCs w:val="22"/>
              </w:rPr>
              <w:t>Российский рубль/юань</w:t>
            </w:r>
          </w:p>
        </w:tc>
        <w:tc>
          <w:tcPr>
            <w:tcW w:w="1411" w:type="pct"/>
            <w:shd w:val="clear" w:color="auto" w:fill="auto"/>
            <w:vAlign w:val="center"/>
          </w:tcPr>
          <w:p w14:paraId="7356BF37"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sz w:val="22"/>
                <w:szCs w:val="22"/>
              </w:rPr>
              <w:t>Российский рубль</w:t>
            </w:r>
            <w:r w:rsidRPr="00922808" w:rsidDel="00EB3638">
              <w:rPr>
                <w:rFonts w:ascii="Tahoma" w:hAnsi="Tahoma" w:cs="Tahoma"/>
                <w:bCs/>
                <w:iCs/>
                <w:sz w:val="22"/>
                <w:szCs w:val="22"/>
              </w:rPr>
              <w:t xml:space="preserve"> </w:t>
            </w:r>
          </w:p>
        </w:tc>
      </w:tr>
      <w:tr w:rsidR="00922808" w:rsidRPr="00922808" w14:paraId="13400EBC" w14:textId="77777777" w:rsidTr="005A7C26">
        <w:trPr>
          <w:trHeight w:val="886"/>
        </w:trPr>
        <w:tc>
          <w:tcPr>
            <w:tcW w:w="347" w:type="pct"/>
            <w:shd w:val="clear" w:color="auto" w:fill="auto"/>
            <w:vAlign w:val="center"/>
          </w:tcPr>
          <w:p w14:paraId="31107D00"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3.2.1.2.</w:t>
            </w:r>
          </w:p>
        </w:tc>
        <w:tc>
          <w:tcPr>
            <w:tcW w:w="1757" w:type="pct"/>
            <w:shd w:val="clear" w:color="auto" w:fill="auto"/>
            <w:vAlign w:val="center"/>
          </w:tcPr>
          <w:p w14:paraId="60982B63"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 xml:space="preserve">выпуск Основной Карты </w:t>
            </w:r>
          </w:p>
        </w:tc>
        <w:tc>
          <w:tcPr>
            <w:tcW w:w="1485" w:type="pct"/>
            <w:gridSpan w:val="3"/>
            <w:shd w:val="clear" w:color="auto" w:fill="auto"/>
            <w:vAlign w:val="center"/>
          </w:tcPr>
          <w:p w14:paraId="48C54C42"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color w:val="000000"/>
                <w:sz w:val="22"/>
                <w:szCs w:val="22"/>
              </w:rPr>
              <w:t xml:space="preserve">1 (одна) Карта в рублях: </w:t>
            </w:r>
            <w:r w:rsidRPr="00922808">
              <w:rPr>
                <w:rFonts w:ascii="Tahoma" w:hAnsi="Tahoma" w:cs="Tahoma"/>
                <w:b/>
                <w:bCs/>
                <w:iCs/>
                <w:color w:val="000000"/>
                <w:sz w:val="22"/>
                <w:szCs w:val="22"/>
              </w:rPr>
              <w:t>3 000 рублей</w:t>
            </w:r>
            <w:r w:rsidRPr="00922808">
              <w:rPr>
                <w:rFonts w:ascii="Tahoma" w:hAnsi="Tahoma" w:cs="Tahoma"/>
                <w:bCs/>
                <w:iCs/>
                <w:color w:val="000000"/>
                <w:sz w:val="22"/>
                <w:szCs w:val="22"/>
              </w:rPr>
              <w:t xml:space="preserve"> или </w:t>
            </w:r>
          </w:p>
          <w:p w14:paraId="540B4AE7" w14:textId="77777777" w:rsidR="00922808" w:rsidRPr="00922808" w:rsidRDefault="00922808" w:rsidP="00922808">
            <w:pPr>
              <w:tabs>
                <w:tab w:val="left" w:pos="284"/>
              </w:tabs>
              <w:jc w:val="center"/>
              <w:rPr>
                <w:rFonts w:ascii="Tahoma" w:hAnsi="Tahoma" w:cs="Tahoma"/>
                <w:b/>
                <w:bCs/>
              </w:rPr>
            </w:pPr>
            <w:r w:rsidRPr="00922808">
              <w:rPr>
                <w:rFonts w:ascii="Tahoma" w:hAnsi="Tahoma" w:cs="Tahoma"/>
                <w:bCs/>
                <w:iCs/>
                <w:color w:val="000000"/>
                <w:sz w:val="22"/>
                <w:szCs w:val="22"/>
              </w:rPr>
              <w:t xml:space="preserve">1 (одна) Карта в юанях: </w:t>
            </w:r>
            <w:r w:rsidRPr="00922808">
              <w:rPr>
                <w:rFonts w:ascii="Tahoma" w:hAnsi="Tahoma" w:cs="Tahoma"/>
                <w:b/>
                <w:bCs/>
              </w:rPr>
              <w:t>250 юаней</w:t>
            </w:r>
            <w:r w:rsidRPr="00922808">
              <w:rPr>
                <w:rFonts w:ascii="Tahoma" w:hAnsi="Tahoma" w:cs="Tahoma"/>
                <w:bCs/>
                <w:iCs/>
                <w:color w:val="000000"/>
                <w:sz w:val="22"/>
                <w:szCs w:val="22"/>
              </w:rPr>
              <w:t xml:space="preserve"> </w:t>
            </w:r>
          </w:p>
        </w:tc>
        <w:tc>
          <w:tcPr>
            <w:tcW w:w="1411" w:type="pct"/>
            <w:shd w:val="clear" w:color="auto" w:fill="auto"/>
            <w:vAlign w:val="center"/>
          </w:tcPr>
          <w:p w14:paraId="50457255"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color w:val="000000"/>
                <w:sz w:val="22"/>
                <w:szCs w:val="22"/>
              </w:rPr>
              <w:t xml:space="preserve">1 (одна) Карта в рублях: </w:t>
            </w:r>
            <w:r w:rsidRPr="00922808">
              <w:rPr>
                <w:rFonts w:ascii="Tahoma" w:hAnsi="Tahoma" w:cs="Tahoma"/>
                <w:b/>
                <w:bCs/>
              </w:rPr>
              <w:t>БЕСПЛАТНО</w:t>
            </w:r>
          </w:p>
        </w:tc>
      </w:tr>
      <w:tr w:rsidR="00922808" w:rsidRPr="00922808" w14:paraId="225C3EEC" w14:textId="77777777" w:rsidTr="005A7C26">
        <w:trPr>
          <w:trHeight w:val="300"/>
        </w:trPr>
        <w:tc>
          <w:tcPr>
            <w:tcW w:w="347" w:type="pct"/>
            <w:shd w:val="clear" w:color="auto" w:fill="auto"/>
            <w:vAlign w:val="center"/>
          </w:tcPr>
          <w:p w14:paraId="1B81EC56"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3.2.1.3.</w:t>
            </w:r>
          </w:p>
        </w:tc>
        <w:tc>
          <w:tcPr>
            <w:tcW w:w="1757" w:type="pct"/>
            <w:shd w:val="clear" w:color="auto" w:fill="auto"/>
            <w:vAlign w:val="center"/>
          </w:tcPr>
          <w:p w14:paraId="62544EE5"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стоимость обслуживания Основной Карты</w:t>
            </w:r>
          </w:p>
        </w:tc>
        <w:tc>
          <w:tcPr>
            <w:tcW w:w="2896" w:type="pct"/>
            <w:gridSpan w:val="4"/>
            <w:shd w:val="clear" w:color="auto" w:fill="auto"/>
            <w:vAlign w:val="center"/>
          </w:tcPr>
          <w:p w14:paraId="5763951C"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
                <w:bCs/>
              </w:rPr>
              <w:t>БЕСПЛАТНО</w:t>
            </w:r>
          </w:p>
        </w:tc>
      </w:tr>
      <w:tr w:rsidR="00922808" w:rsidRPr="00922808" w14:paraId="50452B4B" w14:textId="77777777" w:rsidTr="005A7C26">
        <w:trPr>
          <w:trHeight w:val="641"/>
        </w:trPr>
        <w:tc>
          <w:tcPr>
            <w:tcW w:w="347" w:type="pct"/>
            <w:shd w:val="clear" w:color="auto" w:fill="auto"/>
            <w:vAlign w:val="center"/>
          </w:tcPr>
          <w:p w14:paraId="47E69EDA"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3.2.1.4.</w:t>
            </w:r>
          </w:p>
        </w:tc>
        <w:tc>
          <w:tcPr>
            <w:tcW w:w="1757" w:type="pct"/>
            <w:shd w:val="clear" w:color="auto" w:fill="auto"/>
            <w:vAlign w:val="center"/>
          </w:tcPr>
          <w:p w14:paraId="7568F718"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 xml:space="preserve">выпуск и обслуживание Дополнительной Карты </w:t>
            </w:r>
          </w:p>
        </w:tc>
        <w:tc>
          <w:tcPr>
            <w:tcW w:w="1485" w:type="pct"/>
            <w:gridSpan w:val="3"/>
            <w:vMerge w:val="restart"/>
            <w:shd w:val="clear" w:color="auto" w:fill="auto"/>
            <w:vAlign w:val="center"/>
          </w:tcPr>
          <w:p w14:paraId="56DC551E"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
                <w:bCs/>
                <w:iCs/>
                <w:color w:val="000000"/>
                <w:sz w:val="22"/>
                <w:szCs w:val="22"/>
              </w:rPr>
              <w:t>Не предусмотрено</w:t>
            </w:r>
          </w:p>
        </w:tc>
        <w:tc>
          <w:tcPr>
            <w:tcW w:w="1411" w:type="pct"/>
            <w:shd w:val="clear" w:color="auto" w:fill="auto"/>
            <w:vAlign w:val="center"/>
          </w:tcPr>
          <w:p w14:paraId="5DBA5469"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color w:val="000000"/>
                <w:sz w:val="22"/>
                <w:szCs w:val="22"/>
              </w:rPr>
              <w:t xml:space="preserve">2 (две) Карты в рублях: </w:t>
            </w:r>
            <w:r w:rsidRPr="00922808">
              <w:rPr>
                <w:rFonts w:ascii="Tahoma" w:hAnsi="Tahoma" w:cs="Tahoma"/>
                <w:b/>
                <w:bCs/>
              </w:rPr>
              <w:t>БЕСПЛАТНО</w:t>
            </w:r>
          </w:p>
        </w:tc>
      </w:tr>
      <w:tr w:rsidR="00922808" w:rsidRPr="00922808" w14:paraId="0754B58A" w14:textId="77777777" w:rsidTr="005A7C26">
        <w:tc>
          <w:tcPr>
            <w:tcW w:w="347" w:type="pct"/>
            <w:vMerge w:val="restart"/>
            <w:shd w:val="clear" w:color="auto" w:fill="auto"/>
            <w:vAlign w:val="center"/>
          </w:tcPr>
          <w:p w14:paraId="089AAC59" w14:textId="77777777" w:rsidR="00922808" w:rsidRPr="00922808" w:rsidRDefault="00922808" w:rsidP="00922808">
            <w:pPr>
              <w:tabs>
                <w:tab w:val="left" w:pos="284"/>
              </w:tabs>
              <w:rPr>
                <w:rFonts w:ascii="Tahoma" w:hAnsi="Tahoma" w:cs="Tahoma"/>
                <w:bCs/>
                <w:iCs/>
                <w:color w:val="000000"/>
                <w:sz w:val="22"/>
                <w:szCs w:val="22"/>
              </w:rPr>
            </w:pPr>
          </w:p>
          <w:p w14:paraId="30D28C7A"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3.2.1.5.</w:t>
            </w:r>
          </w:p>
        </w:tc>
        <w:tc>
          <w:tcPr>
            <w:tcW w:w="1757" w:type="pct"/>
            <w:shd w:val="clear" w:color="auto" w:fill="auto"/>
            <w:vAlign w:val="center"/>
          </w:tcPr>
          <w:p w14:paraId="1863FC5D"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стоимость выпуска каждой К</w:t>
            </w:r>
            <w:r w:rsidRPr="00922808">
              <w:rPr>
                <w:rFonts w:ascii="Tahoma" w:hAnsi="Tahoma" w:cs="Tahoma"/>
                <w:bCs/>
                <w:iCs/>
                <w:sz w:val="22"/>
                <w:szCs w:val="22"/>
              </w:rPr>
              <w:t>арты свыше количества, указанного в пп.3.2.1.2.-3.2.1.3. Программы</w:t>
            </w:r>
            <w:r w:rsidRPr="00922808">
              <w:rPr>
                <w:rFonts w:ascii="Tahoma" w:hAnsi="Tahoma" w:cs="Tahoma"/>
                <w:bCs/>
                <w:iCs/>
                <w:sz w:val="22"/>
                <w:szCs w:val="22"/>
                <w:vertAlign w:val="superscript"/>
              </w:rPr>
              <w:t>13</w:t>
            </w:r>
          </w:p>
        </w:tc>
        <w:tc>
          <w:tcPr>
            <w:tcW w:w="1485" w:type="pct"/>
            <w:gridSpan w:val="3"/>
            <w:vMerge/>
            <w:shd w:val="clear" w:color="auto" w:fill="auto"/>
            <w:vAlign w:val="center"/>
          </w:tcPr>
          <w:p w14:paraId="4ED53FAB" w14:textId="77777777" w:rsidR="00922808" w:rsidRPr="00922808" w:rsidRDefault="00922808" w:rsidP="00922808">
            <w:pPr>
              <w:tabs>
                <w:tab w:val="left" w:pos="284"/>
              </w:tabs>
              <w:jc w:val="center"/>
              <w:rPr>
                <w:rFonts w:ascii="Tahoma" w:hAnsi="Tahoma" w:cs="Tahoma"/>
                <w:bCs/>
                <w:iCs/>
                <w:color w:val="000000"/>
                <w:sz w:val="22"/>
                <w:szCs w:val="22"/>
              </w:rPr>
            </w:pPr>
          </w:p>
        </w:tc>
        <w:tc>
          <w:tcPr>
            <w:tcW w:w="1411" w:type="pct"/>
            <w:shd w:val="clear" w:color="auto" w:fill="auto"/>
            <w:vAlign w:val="center"/>
          </w:tcPr>
          <w:p w14:paraId="65F872B0"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color w:val="000000"/>
                <w:sz w:val="22"/>
                <w:szCs w:val="22"/>
              </w:rPr>
              <w:t xml:space="preserve">Карта в рублях: </w:t>
            </w:r>
            <w:r w:rsidRPr="00922808">
              <w:rPr>
                <w:rFonts w:ascii="Tahoma" w:hAnsi="Tahoma" w:cs="Tahoma"/>
                <w:b/>
                <w:bCs/>
                <w:iCs/>
                <w:color w:val="000000"/>
                <w:sz w:val="22"/>
                <w:szCs w:val="22"/>
              </w:rPr>
              <w:t>3 000</w:t>
            </w:r>
            <w:r w:rsidRPr="00922808">
              <w:rPr>
                <w:rFonts w:ascii="Tahoma" w:hAnsi="Tahoma" w:cs="Tahoma"/>
                <w:bCs/>
                <w:iCs/>
                <w:color w:val="000000"/>
                <w:sz w:val="22"/>
                <w:szCs w:val="22"/>
              </w:rPr>
              <w:t xml:space="preserve"> </w:t>
            </w:r>
            <w:r w:rsidRPr="00922808">
              <w:rPr>
                <w:rFonts w:ascii="Tahoma" w:hAnsi="Tahoma" w:cs="Tahoma"/>
                <w:b/>
                <w:bCs/>
                <w:iCs/>
                <w:color w:val="000000"/>
                <w:sz w:val="22"/>
                <w:szCs w:val="22"/>
              </w:rPr>
              <w:t>рублей</w:t>
            </w:r>
          </w:p>
        </w:tc>
      </w:tr>
      <w:tr w:rsidR="00922808" w:rsidRPr="00922808" w14:paraId="2DEBA910" w14:textId="77777777" w:rsidTr="005A7C26">
        <w:tc>
          <w:tcPr>
            <w:tcW w:w="347" w:type="pct"/>
            <w:vMerge/>
            <w:shd w:val="clear" w:color="auto" w:fill="auto"/>
            <w:vAlign w:val="center"/>
          </w:tcPr>
          <w:p w14:paraId="57C51C50" w14:textId="77777777" w:rsidR="00922808" w:rsidRPr="00922808" w:rsidRDefault="00922808" w:rsidP="00922808">
            <w:pPr>
              <w:tabs>
                <w:tab w:val="left" w:pos="284"/>
              </w:tabs>
              <w:rPr>
                <w:rFonts w:ascii="Tahoma" w:hAnsi="Tahoma" w:cs="Tahoma"/>
                <w:bCs/>
                <w:iCs/>
                <w:color w:val="000000"/>
                <w:sz w:val="22"/>
                <w:szCs w:val="22"/>
              </w:rPr>
            </w:pPr>
          </w:p>
        </w:tc>
        <w:tc>
          <w:tcPr>
            <w:tcW w:w="1757" w:type="pct"/>
            <w:shd w:val="clear" w:color="auto" w:fill="auto"/>
            <w:vAlign w:val="center"/>
          </w:tcPr>
          <w:p w14:paraId="3FDC1735"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обслуживание К</w:t>
            </w:r>
            <w:r w:rsidRPr="00922808">
              <w:rPr>
                <w:rFonts w:ascii="Tahoma" w:hAnsi="Tahoma" w:cs="Tahoma"/>
                <w:bCs/>
                <w:iCs/>
                <w:sz w:val="22"/>
                <w:szCs w:val="22"/>
              </w:rPr>
              <w:t>арт свыше количества, указанного в п.3.2.1.2. и 3.2.1.3. Программы</w:t>
            </w:r>
            <w:r w:rsidRPr="00922808">
              <w:rPr>
                <w:rFonts w:ascii="Tahoma" w:hAnsi="Tahoma" w:cs="Tahoma"/>
                <w:bCs/>
                <w:iCs/>
                <w:sz w:val="22"/>
                <w:szCs w:val="22"/>
                <w:vertAlign w:val="superscript"/>
              </w:rPr>
              <w:t>13</w:t>
            </w:r>
          </w:p>
        </w:tc>
        <w:tc>
          <w:tcPr>
            <w:tcW w:w="1485" w:type="pct"/>
            <w:gridSpan w:val="3"/>
            <w:vMerge/>
            <w:shd w:val="clear" w:color="auto" w:fill="auto"/>
            <w:vAlign w:val="center"/>
          </w:tcPr>
          <w:p w14:paraId="7973268A" w14:textId="77777777" w:rsidR="00922808" w:rsidRPr="00922808" w:rsidRDefault="00922808" w:rsidP="00922808">
            <w:pPr>
              <w:tabs>
                <w:tab w:val="left" w:pos="284"/>
              </w:tabs>
              <w:jc w:val="center"/>
              <w:rPr>
                <w:rFonts w:ascii="Tahoma" w:hAnsi="Tahoma" w:cs="Tahoma"/>
                <w:bCs/>
              </w:rPr>
            </w:pPr>
          </w:p>
        </w:tc>
        <w:tc>
          <w:tcPr>
            <w:tcW w:w="1411" w:type="pct"/>
            <w:shd w:val="clear" w:color="auto" w:fill="auto"/>
            <w:vAlign w:val="center"/>
          </w:tcPr>
          <w:p w14:paraId="519A779D" w14:textId="77777777" w:rsidR="00922808" w:rsidRPr="00922808" w:rsidRDefault="00922808" w:rsidP="00922808">
            <w:pPr>
              <w:tabs>
                <w:tab w:val="left" w:pos="284"/>
              </w:tabs>
              <w:jc w:val="center"/>
              <w:rPr>
                <w:rFonts w:ascii="Tahoma" w:hAnsi="Tahoma" w:cs="Tahoma"/>
                <w:b/>
                <w:bCs/>
              </w:rPr>
            </w:pPr>
            <w:r w:rsidRPr="00922808">
              <w:rPr>
                <w:rFonts w:ascii="Tahoma" w:hAnsi="Tahoma" w:cs="Tahoma"/>
                <w:b/>
                <w:bCs/>
              </w:rPr>
              <w:t>БЕСПЛАТНО</w:t>
            </w:r>
          </w:p>
        </w:tc>
      </w:tr>
      <w:tr w:rsidR="00922808" w:rsidRPr="00922808" w14:paraId="63F9C184" w14:textId="77777777" w:rsidTr="005A7C26">
        <w:tc>
          <w:tcPr>
            <w:tcW w:w="347" w:type="pct"/>
            <w:shd w:val="clear" w:color="auto" w:fill="auto"/>
            <w:vAlign w:val="center"/>
          </w:tcPr>
          <w:p w14:paraId="44C19B49"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3.2.1.6.</w:t>
            </w:r>
          </w:p>
        </w:tc>
        <w:tc>
          <w:tcPr>
            <w:tcW w:w="1757" w:type="pct"/>
            <w:shd w:val="clear" w:color="auto" w:fill="auto"/>
            <w:vAlign w:val="center"/>
          </w:tcPr>
          <w:p w14:paraId="526F1C81"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срок действия Карты</w:t>
            </w:r>
          </w:p>
        </w:tc>
        <w:tc>
          <w:tcPr>
            <w:tcW w:w="2896" w:type="pct"/>
            <w:gridSpan w:val="4"/>
            <w:shd w:val="clear" w:color="auto" w:fill="auto"/>
            <w:vAlign w:val="center"/>
          </w:tcPr>
          <w:p w14:paraId="0BA56AAA"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color w:val="000000"/>
                <w:sz w:val="22"/>
                <w:szCs w:val="22"/>
              </w:rPr>
              <w:t>3 года</w:t>
            </w:r>
          </w:p>
        </w:tc>
      </w:tr>
      <w:tr w:rsidR="00922808" w:rsidRPr="00922808" w14:paraId="2B7DA897" w14:textId="77777777" w:rsidTr="005A7C26">
        <w:tc>
          <w:tcPr>
            <w:tcW w:w="347" w:type="pct"/>
            <w:shd w:val="clear" w:color="auto" w:fill="auto"/>
            <w:vAlign w:val="center"/>
          </w:tcPr>
          <w:p w14:paraId="7F81C2E9"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3.2.1.7.</w:t>
            </w:r>
          </w:p>
        </w:tc>
        <w:tc>
          <w:tcPr>
            <w:tcW w:w="1757" w:type="pct"/>
            <w:shd w:val="clear" w:color="auto" w:fill="auto"/>
            <w:vAlign w:val="center"/>
          </w:tcPr>
          <w:p w14:paraId="301F5C4E"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перевыпуск Карты по любой причине</w:t>
            </w:r>
          </w:p>
        </w:tc>
        <w:tc>
          <w:tcPr>
            <w:tcW w:w="2896" w:type="pct"/>
            <w:gridSpan w:val="4"/>
            <w:shd w:val="clear" w:color="auto" w:fill="auto"/>
            <w:vAlign w:val="center"/>
          </w:tcPr>
          <w:p w14:paraId="3E24F953"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
                <w:bCs/>
              </w:rPr>
              <w:t>БЕСПЛАТНО</w:t>
            </w:r>
          </w:p>
        </w:tc>
      </w:tr>
      <w:tr w:rsidR="00922808" w:rsidRPr="00922808" w14:paraId="2AB9E2D0" w14:textId="77777777" w:rsidTr="005A7C26">
        <w:tc>
          <w:tcPr>
            <w:tcW w:w="347" w:type="pct"/>
            <w:shd w:val="clear" w:color="auto" w:fill="auto"/>
            <w:vAlign w:val="center"/>
          </w:tcPr>
          <w:p w14:paraId="0EB96E9E" w14:textId="77777777" w:rsidR="00922808" w:rsidRPr="00922808" w:rsidRDefault="00922808" w:rsidP="00922808">
            <w:pPr>
              <w:tabs>
                <w:tab w:val="left" w:pos="284"/>
              </w:tabs>
              <w:rPr>
                <w:rFonts w:ascii="Tahoma" w:hAnsi="Tahoma" w:cs="Tahoma"/>
                <w:bCs/>
                <w:iCs/>
                <w:color w:val="000000"/>
                <w:sz w:val="22"/>
                <w:szCs w:val="22"/>
                <w:lang w:val="en-US"/>
              </w:rPr>
            </w:pPr>
            <w:r w:rsidRPr="00922808">
              <w:rPr>
                <w:rFonts w:ascii="Tahoma" w:hAnsi="Tahoma" w:cs="Tahoma"/>
                <w:bCs/>
                <w:iCs/>
                <w:color w:val="000000"/>
                <w:sz w:val="22"/>
                <w:szCs w:val="22"/>
                <w:lang w:val="en-US"/>
              </w:rPr>
              <w:t>3.2.1.8.</w:t>
            </w:r>
          </w:p>
        </w:tc>
        <w:tc>
          <w:tcPr>
            <w:tcW w:w="1757" w:type="pct"/>
            <w:shd w:val="clear" w:color="auto" w:fill="auto"/>
            <w:vAlign w:val="center"/>
          </w:tcPr>
          <w:p w14:paraId="7AD55AFE"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начисление процентов Банком Клиенту на остаток денежных средств по Счету Карты</w:t>
            </w:r>
          </w:p>
        </w:tc>
        <w:tc>
          <w:tcPr>
            <w:tcW w:w="2896" w:type="pct"/>
            <w:gridSpan w:val="4"/>
            <w:shd w:val="clear" w:color="auto" w:fill="auto"/>
            <w:vAlign w:val="center"/>
          </w:tcPr>
          <w:p w14:paraId="6610B9EF"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sz w:val="22"/>
                <w:szCs w:val="22"/>
              </w:rPr>
              <w:t>Не предусмотрено</w:t>
            </w:r>
          </w:p>
        </w:tc>
      </w:tr>
      <w:tr w:rsidR="00922808" w:rsidRPr="00922808" w14:paraId="3E2E9270" w14:textId="77777777" w:rsidTr="005A7C26">
        <w:tc>
          <w:tcPr>
            <w:tcW w:w="347" w:type="pct"/>
            <w:shd w:val="clear" w:color="auto" w:fill="808080"/>
            <w:vAlign w:val="center"/>
          </w:tcPr>
          <w:p w14:paraId="383F0900" w14:textId="77777777" w:rsidR="00922808" w:rsidRPr="00922808" w:rsidRDefault="00922808" w:rsidP="00922808">
            <w:pPr>
              <w:tabs>
                <w:tab w:val="left" w:pos="284"/>
              </w:tabs>
              <w:rPr>
                <w:rFonts w:ascii="Tahoma" w:hAnsi="Tahoma" w:cs="Tahoma"/>
                <w:bCs/>
                <w:iCs/>
                <w:color w:val="FFFFFF"/>
                <w:sz w:val="28"/>
                <w:szCs w:val="22"/>
              </w:rPr>
            </w:pPr>
            <w:r w:rsidRPr="00922808">
              <w:rPr>
                <w:rFonts w:ascii="Tahoma" w:hAnsi="Tahoma" w:cs="Tahoma"/>
                <w:bCs/>
                <w:iCs/>
                <w:color w:val="FFFFFF"/>
                <w:sz w:val="28"/>
                <w:szCs w:val="22"/>
              </w:rPr>
              <w:t>4.</w:t>
            </w:r>
          </w:p>
        </w:tc>
        <w:tc>
          <w:tcPr>
            <w:tcW w:w="4653" w:type="pct"/>
            <w:gridSpan w:val="5"/>
            <w:shd w:val="clear" w:color="auto" w:fill="808080"/>
            <w:vAlign w:val="center"/>
          </w:tcPr>
          <w:p w14:paraId="65490AC2" w14:textId="77777777" w:rsidR="00922808" w:rsidRPr="00922808" w:rsidRDefault="00922808" w:rsidP="00922808">
            <w:pPr>
              <w:tabs>
                <w:tab w:val="left" w:pos="284"/>
              </w:tabs>
              <w:rPr>
                <w:rFonts w:ascii="Tahoma" w:hAnsi="Tahoma" w:cs="Tahoma"/>
                <w:bCs/>
                <w:iCs/>
                <w:color w:val="FFFFFF"/>
                <w:sz w:val="28"/>
                <w:szCs w:val="22"/>
              </w:rPr>
            </w:pPr>
            <w:r w:rsidRPr="00922808">
              <w:rPr>
                <w:rFonts w:ascii="Tahoma" w:hAnsi="Tahoma" w:cs="Tahoma"/>
                <w:bCs/>
                <w:iCs/>
                <w:color w:val="FFFFFF"/>
                <w:sz w:val="28"/>
                <w:szCs w:val="22"/>
              </w:rPr>
              <w:t>Условия проведения операций, в т.ч. через Каналы ДБО Банка</w:t>
            </w:r>
            <w:r w:rsidRPr="00922808">
              <w:rPr>
                <w:rFonts w:ascii="Tahoma" w:hAnsi="Tahoma" w:cs="Tahoma"/>
                <w:bCs/>
                <w:iCs/>
                <w:color w:val="FFFFFF"/>
                <w:sz w:val="22"/>
                <w:szCs w:val="22"/>
              </w:rPr>
              <w:t xml:space="preserve"> (при наличии технической возможности)</w:t>
            </w:r>
          </w:p>
        </w:tc>
      </w:tr>
      <w:tr w:rsidR="00922808" w:rsidRPr="00922808" w14:paraId="3A6D8656" w14:textId="77777777" w:rsidTr="00922808">
        <w:tc>
          <w:tcPr>
            <w:tcW w:w="347" w:type="pct"/>
            <w:shd w:val="clear" w:color="auto" w:fill="808080"/>
            <w:vAlign w:val="center"/>
          </w:tcPr>
          <w:p w14:paraId="1BB4A3FD"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4.1.</w:t>
            </w:r>
          </w:p>
        </w:tc>
        <w:tc>
          <w:tcPr>
            <w:tcW w:w="4653" w:type="pct"/>
            <w:gridSpan w:val="5"/>
            <w:shd w:val="clear" w:color="auto" w:fill="808080"/>
            <w:vAlign w:val="center"/>
          </w:tcPr>
          <w:p w14:paraId="7C03D774"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Денежные переводы с Карт и Накопительных счетов</w:t>
            </w:r>
            <w:r w:rsidRPr="00922808">
              <w:rPr>
                <w:rFonts w:ascii="Tahoma" w:hAnsi="Tahoma" w:cs="Tahoma"/>
                <w:bCs/>
                <w:iCs/>
                <w:color w:val="FFFFFF"/>
                <w:sz w:val="22"/>
                <w:szCs w:val="22"/>
                <w:vertAlign w:val="superscript"/>
              </w:rPr>
              <w:t xml:space="preserve">14 </w:t>
            </w:r>
            <w:r w:rsidRPr="00922808">
              <w:rPr>
                <w:rFonts w:ascii="Tahoma" w:hAnsi="Tahoma" w:cs="Tahoma"/>
                <w:b/>
                <w:bCs/>
                <w:iCs/>
                <w:color w:val="FFFFFF"/>
                <w:sz w:val="22"/>
                <w:szCs w:val="22"/>
              </w:rPr>
              <w:t>:</w:t>
            </w:r>
          </w:p>
        </w:tc>
      </w:tr>
      <w:tr w:rsidR="00922808" w:rsidRPr="00922808" w14:paraId="16D7501A" w14:textId="77777777" w:rsidTr="005A7C26">
        <w:tc>
          <w:tcPr>
            <w:tcW w:w="347" w:type="pct"/>
            <w:shd w:val="clear" w:color="auto" w:fill="auto"/>
            <w:vAlign w:val="center"/>
          </w:tcPr>
          <w:p w14:paraId="16C75B33"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4.1.1.</w:t>
            </w:r>
          </w:p>
        </w:tc>
        <w:tc>
          <w:tcPr>
            <w:tcW w:w="1757" w:type="pct"/>
            <w:shd w:val="clear" w:color="auto" w:fill="auto"/>
            <w:vAlign w:val="center"/>
          </w:tcPr>
          <w:p w14:paraId="790271B7"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на Карты и Счета Клиента, открытые в Банке</w:t>
            </w:r>
          </w:p>
        </w:tc>
        <w:tc>
          <w:tcPr>
            <w:tcW w:w="2896" w:type="pct"/>
            <w:gridSpan w:val="4"/>
            <w:vMerge w:val="restart"/>
            <w:shd w:val="clear" w:color="auto" w:fill="auto"/>
            <w:vAlign w:val="center"/>
          </w:tcPr>
          <w:p w14:paraId="6DD1708A" w14:textId="77777777" w:rsidR="00922808" w:rsidRPr="00922808" w:rsidRDefault="00922808" w:rsidP="00922808">
            <w:pPr>
              <w:tabs>
                <w:tab w:val="left" w:pos="284"/>
              </w:tabs>
              <w:jc w:val="center"/>
              <w:rPr>
                <w:rFonts w:ascii="Tahoma" w:hAnsi="Tahoma" w:cs="Tahoma"/>
                <w:bCs/>
                <w:iCs/>
                <w:color w:val="000000"/>
                <w:sz w:val="22"/>
                <w:szCs w:val="22"/>
                <w14:textFill>
                  <w14:solidFill>
                    <w14:srgbClr w14:val="000000">
                      <w14:lumMod w14:val="75000"/>
                      <w14:lumOff w14:val="25000"/>
                    </w14:srgbClr>
                  </w14:solidFill>
                </w14:textFill>
              </w:rPr>
            </w:pPr>
            <w:r w:rsidRPr="00922808">
              <w:rPr>
                <w:rFonts w:ascii="Tahoma" w:hAnsi="Tahoma" w:cs="Tahoma"/>
                <w:b/>
                <w:bCs/>
                <w:iCs/>
                <w:color w:val="000000"/>
                <w:sz w:val="22"/>
                <w:szCs w:val="22"/>
              </w:rPr>
              <w:t>БЕСПЛАТНО</w:t>
            </w:r>
          </w:p>
        </w:tc>
      </w:tr>
      <w:tr w:rsidR="00922808" w:rsidRPr="00922808" w14:paraId="0AC96515" w14:textId="77777777" w:rsidTr="005A7C26">
        <w:tc>
          <w:tcPr>
            <w:tcW w:w="347" w:type="pct"/>
            <w:shd w:val="clear" w:color="auto" w:fill="auto"/>
            <w:vAlign w:val="center"/>
          </w:tcPr>
          <w:p w14:paraId="5D28B38F"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4.1.2.</w:t>
            </w:r>
          </w:p>
        </w:tc>
        <w:tc>
          <w:tcPr>
            <w:tcW w:w="1757" w:type="pct"/>
            <w:shd w:val="clear" w:color="auto" w:fill="auto"/>
            <w:vAlign w:val="center"/>
          </w:tcPr>
          <w:p w14:paraId="7D7D650A"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на Карты и Счета третьих лиц-Клиентов Банка</w:t>
            </w:r>
          </w:p>
        </w:tc>
        <w:tc>
          <w:tcPr>
            <w:tcW w:w="2896" w:type="pct"/>
            <w:gridSpan w:val="4"/>
            <w:vMerge/>
            <w:shd w:val="clear" w:color="auto" w:fill="auto"/>
            <w:vAlign w:val="center"/>
          </w:tcPr>
          <w:p w14:paraId="4E9A26A5" w14:textId="77777777" w:rsidR="00922808" w:rsidRPr="00922808" w:rsidRDefault="00922808" w:rsidP="00922808">
            <w:pPr>
              <w:tabs>
                <w:tab w:val="left" w:pos="284"/>
              </w:tabs>
              <w:jc w:val="center"/>
              <w:rPr>
                <w:rFonts w:ascii="Tahoma" w:hAnsi="Tahoma" w:cs="Tahoma"/>
                <w:bCs/>
                <w:iCs/>
                <w:color w:val="000000"/>
                <w:sz w:val="22"/>
                <w:szCs w:val="22"/>
              </w:rPr>
            </w:pPr>
          </w:p>
        </w:tc>
      </w:tr>
      <w:tr w:rsidR="00922808" w:rsidRPr="00922808" w14:paraId="75BC7F15" w14:textId="77777777" w:rsidTr="005A7C26">
        <w:tc>
          <w:tcPr>
            <w:tcW w:w="347" w:type="pct"/>
            <w:shd w:val="clear" w:color="auto" w:fill="auto"/>
            <w:vAlign w:val="center"/>
          </w:tcPr>
          <w:p w14:paraId="6B3781A3"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4.1.</w:t>
            </w:r>
            <w:r w:rsidRPr="00922808">
              <w:rPr>
                <w:rFonts w:ascii="Tahoma" w:hAnsi="Tahoma" w:cs="Tahoma"/>
                <w:bCs/>
                <w:iCs/>
                <w:color w:val="000000"/>
                <w:sz w:val="22"/>
                <w:szCs w:val="22"/>
                <w:lang w:val="en-US"/>
              </w:rPr>
              <w:t>3</w:t>
            </w:r>
            <w:r w:rsidRPr="00922808">
              <w:rPr>
                <w:rFonts w:ascii="Tahoma" w:hAnsi="Tahoma" w:cs="Tahoma"/>
                <w:bCs/>
                <w:iCs/>
                <w:color w:val="000000"/>
                <w:sz w:val="22"/>
                <w:szCs w:val="22"/>
              </w:rPr>
              <w:t>.</w:t>
            </w:r>
          </w:p>
        </w:tc>
        <w:tc>
          <w:tcPr>
            <w:tcW w:w="1757" w:type="pct"/>
            <w:shd w:val="clear" w:color="auto" w:fill="auto"/>
            <w:vAlign w:val="center"/>
          </w:tcPr>
          <w:p w14:paraId="4B752E18"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 xml:space="preserve">на счета, открытые в других российских банках </w:t>
            </w:r>
          </w:p>
        </w:tc>
        <w:tc>
          <w:tcPr>
            <w:tcW w:w="2896" w:type="pct"/>
            <w:gridSpan w:val="4"/>
            <w:shd w:val="clear" w:color="auto" w:fill="auto"/>
            <w:vAlign w:val="center"/>
          </w:tcPr>
          <w:p w14:paraId="69762D80" w14:textId="77777777" w:rsidR="00922808" w:rsidRPr="00922808" w:rsidRDefault="00922808" w:rsidP="00922808">
            <w:pPr>
              <w:tabs>
                <w:tab w:val="left" w:pos="284"/>
              </w:tabs>
              <w:jc w:val="center"/>
              <w:rPr>
                <w:rFonts w:ascii="Tahoma" w:hAnsi="Tahoma" w:cs="Tahoma"/>
                <w:b/>
                <w:bCs/>
                <w:iCs/>
                <w:color w:val="000000"/>
                <w:sz w:val="22"/>
                <w:szCs w:val="22"/>
              </w:rPr>
            </w:pPr>
            <w:r w:rsidRPr="00922808">
              <w:rPr>
                <w:rFonts w:ascii="Tahoma" w:hAnsi="Tahoma" w:cs="Tahoma"/>
                <w:bCs/>
                <w:iCs/>
                <w:color w:val="000000"/>
                <w:sz w:val="22"/>
                <w:szCs w:val="22"/>
              </w:rPr>
              <w:t xml:space="preserve">В рублях: </w:t>
            </w:r>
            <w:r w:rsidRPr="00922808">
              <w:rPr>
                <w:rFonts w:ascii="Tahoma" w:hAnsi="Tahoma" w:cs="Tahoma"/>
                <w:b/>
                <w:bCs/>
                <w:iCs/>
                <w:color w:val="000000"/>
                <w:sz w:val="22"/>
                <w:szCs w:val="22"/>
              </w:rPr>
              <w:t>БЕСПЛАТНО</w:t>
            </w:r>
          </w:p>
        </w:tc>
      </w:tr>
      <w:tr w:rsidR="00922808" w:rsidRPr="00922808" w14:paraId="7ACE49E4" w14:textId="77777777" w:rsidTr="005A7C26">
        <w:tc>
          <w:tcPr>
            <w:tcW w:w="347" w:type="pct"/>
            <w:shd w:val="clear" w:color="auto" w:fill="auto"/>
            <w:vAlign w:val="center"/>
          </w:tcPr>
          <w:p w14:paraId="5B6444EF"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4.1.</w:t>
            </w:r>
            <w:r w:rsidRPr="00922808">
              <w:rPr>
                <w:rFonts w:ascii="Tahoma" w:hAnsi="Tahoma" w:cs="Tahoma"/>
                <w:bCs/>
                <w:iCs/>
                <w:color w:val="000000"/>
                <w:sz w:val="22"/>
                <w:szCs w:val="22"/>
                <w:lang w:val="en-US"/>
              </w:rPr>
              <w:t>4</w:t>
            </w:r>
            <w:r w:rsidRPr="00922808">
              <w:rPr>
                <w:rFonts w:ascii="Tahoma" w:hAnsi="Tahoma" w:cs="Tahoma"/>
                <w:bCs/>
                <w:iCs/>
                <w:color w:val="000000"/>
                <w:sz w:val="22"/>
                <w:szCs w:val="22"/>
              </w:rPr>
              <w:t>.</w:t>
            </w:r>
          </w:p>
        </w:tc>
        <w:tc>
          <w:tcPr>
            <w:tcW w:w="1757" w:type="pct"/>
            <w:shd w:val="clear" w:color="auto" w:fill="auto"/>
            <w:vAlign w:val="center"/>
          </w:tcPr>
          <w:p w14:paraId="30B56BDA" w14:textId="77777777" w:rsidR="00922808" w:rsidRPr="00922808" w:rsidRDefault="00922808" w:rsidP="00922808">
            <w:pPr>
              <w:tabs>
                <w:tab w:val="left" w:pos="284"/>
              </w:tabs>
              <w:rPr>
                <w:rFonts w:ascii="Tahoma" w:hAnsi="Tahoma" w:cs="Tahoma"/>
                <w:bCs/>
                <w:iCs/>
                <w:sz w:val="22"/>
                <w:szCs w:val="22"/>
              </w:rPr>
            </w:pPr>
            <w:r w:rsidRPr="00922808">
              <w:rPr>
                <w:rFonts w:ascii="Tahoma" w:hAnsi="Tahoma" w:cs="Tahoma"/>
                <w:bCs/>
                <w:iCs/>
                <w:sz w:val="22"/>
                <w:szCs w:val="22"/>
              </w:rPr>
              <w:t xml:space="preserve">с Карты на карты других банков с использованием номера карты </w:t>
            </w:r>
          </w:p>
          <w:p w14:paraId="3AF75AAB" w14:textId="77777777" w:rsidR="00922808" w:rsidRPr="00922808" w:rsidRDefault="00922808" w:rsidP="00922808">
            <w:pPr>
              <w:tabs>
                <w:tab w:val="left" w:pos="284"/>
              </w:tabs>
              <w:rPr>
                <w:rFonts w:ascii="Tahoma" w:hAnsi="Tahoma" w:cs="Tahoma"/>
                <w:bCs/>
                <w:iCs/>
                <w:sz w:val="22"/>
                <w:szCs w:val="22"/>
              </w:rPr>
            </w:pPr>
            <w:r w:rsidRPr="00922808">
              <w:rPr>
                <w:rFonts w:ascii="Tahoma" w:hAnsi="Tahoma" w:cs="Tahoma"/>
                <w:bCs/>
                <w:iCs/>
                <w:sz w:val="22"/>
                <w:szCs w:val="22"/>
              </w:rPr>
              <w:t>(для Карт в иностранных валютах не предусмотрено)</w:t>
            </w:r>
          </w:p>
        </w:tc>
        <w:tc>
          <w:tcPr>
            <w:tcW w:w="2896" w:type="pct"/>
            <w:gridSpan w:val="4"/>
            <w:shd w:val="clear" w:color="auto" w:fill="auto"/>
            <w:vAlign w:val="center"/>
          </w:tcPr>
          <w:p w14:paraId="3E5E2F1C" w14:textId="77777777" w:rsidR="00922808" w:rsidRPr="00922808" w:rsidRDefault="00922808" w:rsidP="00922808">
            <w:pPr>
              <w:numPr>
                <w:ilvl w:val="0"/>
                <w:numId w:val="21"/>
              </w:numPr>
              <w:tabs>
                <w:tab w:val="left" w:pos="4889"/>
              </w:tabs>
              <w:spacing w:after="160" w:line="259" w:lineRule="auto"/>
              <w:ind w:left="364"/>
              <w:contextualSpacing/>
              <w:jc w:val="both"/>
              <w:rPr>
                <w:rFonts w:ascii="Tahoma" w:hAnsi="Tahoma" w:cs="Tahoma"/>
                <w:b/>
                <w:bCs/>
                <w:iCs/>
              </w:rPr>
            </w:pPr>
            <w:r w:rsidRPr="00922808">
              <w:rPr>
                <w:rFonts w:ascii="Tahoma" w:hAnsi="Tahoma" w:cs="Tahoma"/>
                <w:b/>
                <w:bCs/>
                <w:iCs/>
              </w:rPr>
              <w:t xml:space="preserve">переводы на Сайте Банка: </w:t>
            </w:r>
            <w:hyperlink r:id="rId91" w:history="1">
              <w:r w:rsidRPr="00922808">
                <w:rPr>
                  <w:rFonts w:ascii="Tahoma" w:hAnsi="Tahoma" w:cs="Tahoma"/>
                  <w:b/>
                  <w:bCs/>
                  <w:iCs/>
                  <w:u w:val="single"/>
                </w:rPr>
                <w:t>www.atb.su</w:t>
              </w:r>
            </w:hyperlink>
            <w:r w:rsidRPr="00922808">
              <w:rPr>
                <w:rFonts w:ascii="Tahoma" w:hAnsi="Tahoma" w:cs="Tahoma"/>
                <w:b/>
                <w:bCs/>
                <w:iCs/>
              </w:rPr>
              <w:t xml:space="preserve">, в каналах ДБО Банка: «АТБ-Онлайн», Мобильный банк, </w:t>
            </w:r>
            <w:r w:rsidRPr="00922808">
              <w:rPr>
                <w:rFonts w:ascii="Tahoma" w:hAnsi="Tahoma" w:cs="Tahoma"/>
                <w:b/>
                <w:iCs/>
              </w:rPr>
              <w:t>в банкоматах Банка</w:t>
            </w:r>
            <w:r w:rsidRPr="00922808">
              <w:rPr>
                <w:rFonts w:ascii="Tahoma" w:hAnsi="Tahoma" w:cs="Tahoma"/>
                <w:b/>
                <w:bCs/>
                <w:iCs/>
              </w:rPr>
              <w:t xml:space="preserve">: </w:t>
            </w:r>
          </w:p>
          <w:p w14:paraId="3E42089C" w14:textId="77777777" w:rsidR="00922808" w:rsidRPr="00922808" w:rsidRDefault="00922808" w:rsidP="00922808">
            <w:pPr>
              <w:numPr>
                <w:ilvl w:val="0"/>
                <w:numId w:val="24"/>
              </w:numPr>
              <w:tabs>
                <w:tab w:val="left" w:pos="4889"/>
              </w:tabs>
              <w:spacing w:after="160" w:line="259" w:lineRule="auto"/>
              <w:contextualSpacing/>
              <w:jc w:val="both"/>
              <w:rPr>
                <w:rFonts w:ascii="Tahoma" w:hAnsi="Tahoma" w:cs="Tahoma"/>
                <w:bCs/>
                <w:iCs/>
              </w:rPr>
            </w:pPr>
            <w:r w:rsidRPr="00922808">
              <w:rPr>
                <w:rFonts w:ascii="Tahoma" w:hAnsi="Tahoma" w:cs="Tahoma"/>
                <w:bCs/>
                <w:iCs/>
              </w:rPr>
              <w:t xml:space="preserve">на карты российских банков-эмитентов: </w:t>
            </w:r>
            <w:r w:rsidRPr="00922808">
              <w:rPr>
                <w:rFonts w:ascii="Tahoma" w:hAnsi="Tahoma" w:cs="Tahoma"/>
                <w:b/>
                <w:bCs/>
                <w:iCs/>
              </w:rPr>
              <w:t>1,3%</w:t>
            </w:r>
            <w:r w:rsidRPr="00922808">
              <w:rPr>
                <w:rFonts w:ascii="Tahoma" w:hAnsi="Tahoma" w:cs="Tahoma"/>
                <w:bCs/>
                <w:iCs/>
              </w:rPr>
              <w:t xml:space="preserve"> от суммы перевода +30 рублей;</w:t>
            </w:r>
          </w:p>
          <w:p w14:paraId="06510E6F" w14:textId="77777777" w:rsidR="00922808" w:rsidRPr="00922808" w:rsidRDefault="00922808" w:rsidP="00922808">
            <w:pPr>
              <w:numPr>
                <w:ilvl w:val="0"/>
                <w:numId w:val="24"/>
              </w:numPr>
              <w:tabs>
                <w:tab w:val="left" w:pos="4889"/>
              </w:tabs>
              <w:spacing w:after="160" w:line="259" w:lineRule="auto"/>
              <w:contextualSpacing/>
              <w:jc w:val="both"/>
              <w:rPr>
                <w:rFonts w:ascii="Tahoma" w:hAnsi="Tahoma" w:cs="Tahoma"/>
                <w:bCs/>
                <w:iCs/>
              </w:rPr>
            </w:pPr>
            <w:r w:rsidRPr="00922808">
              <w:rPr>
                <w:rFonts w:ascii="Tahoma" w:hAnsi="Tahoma" w:cs="Tahoma"/>
                <w:bCs/>
                <w:iCs/>
              </w:rPr>
              <w:t xml:space="preserve">на карты иностранных банков-эмитентов: </w:t>
            </w:r>
            <w:r w:rsidRPr="00922808">
              <w:rPr>
                <w:rFonts w:ascii="Tahoma" w:hAnsi="Tahoma" w:cs="Tahoma"/>
                <w:b/>
                <w:bCs/>
                <w:iCs/>
              </w:rPr>
              <w:t>1,5%</w:t>
            </w:r>
            <w:r w:rsidRPr="00922808">
              <w:rPr>
                <w:rFonts w:ascii="Tahoma" w:hAnsi="Tahoma" w:cs="Tahoma"/>
                <w:bCs/>
                <w:iCs/>
              </w:rPr>
              <w:t xml:space="preserve"> от суммы перевода +150 рублей.</w:t>
            </w:r>
          </w:p>
          <w:p w14:paraId="6EA36FEB" w14:textId="77777777" w:rsidR="00922808" w:rsidRPr="00922808" w:rsidRDefault="00922808" w:rsidP="00922808">
            <w:pPr>
              <w:numPr>
                <w:ilvl w:val="0"/>
                <w:numId w:val="21"/>
              </w:numPr>
              <w:tabs>
                <w:tab w:val="left" w:pos="4889"/>
              </w:tabs>
              <w:spacing w:after="160" w:line="259" w:lineRule="auto"/>
              <w:ind w:left="364" w:hanging="364"/>
              <w:contextualSpacing/>
              <w:jc w:val="both"/>
              <w:rPr>
                <w:rFonts w:ascii="Tahoma" w:hAnsi="Tahoma" w:cs="Tahoma"/>
                <w:b/>
                <w:bCs/>
                <w:iCs/>
              </w:rPr>
            </w:pPr>
            <w:r w:rsidRPr="00922808">
              <w:rPr>
                <w:rFonts w:ascii="Tahoma" w:hAnsi="Tahoma" w:cs="Tahoma"/>
                <w:b/>
                <w:bCs/>
                <w:iCs/>
              </w:rPr>
              <w:t xml:space="preserve">в сервисах других банков (банкоматы, сайты и мобильные приложения банков): </w:t>
            </w:r>
          </w:p>
          <w:p w14:paraId="0F098209" w14:textId="77777777" w:rsidR="00922808" w:rsidRPr="00922808" w:rsidRDefault="00922808" w:rsidP="00922808">
            <w:pPr>
              <w:numPr>
                <w:ilvl w:val="0"/>
                <w:numId w:val="24"/>
              </w:numPr>
              <w:tabs>
                <w:tab w:val="left" w:pos="4889"/>
              </w:tabs>
              <w:spacing w:after="160" w:line="259" w:lineRule="auto"/>
              <w:contextualSpacing/>
              <w:jc w:val="both"/>
              <w:rPr>
                <w:rFonts w:ascii="Tahoma" w:hAnsi="Tahoma" w:cs="Tahoma"/>
                <w:bCs/>
                <w:iCs/>
              </w:rPr>
            </w:pPr>
            <w:r w:rsidRPr="00922808">
              <w:rPr>
                <w:rFonts w:ascii="Tahoma" w:hAnsi="Tahoma" w:cs="Tahoma"/>
                <w:b/>
                <w:bCs/>
                <w:iCs/>
              </w:rPr>
              <w:t>1,3%</w:t>
            </w:r>
            <w:r w:rsidRPr="00922808">
              <w:rPr>
                <w:rFonts w:ascii="Tahoma" w:hAnsi="Tahoma" w:cs="Tahoma"/>
                <w:bCs/>
                <w:iCs/>
              </w:rPr>
              <w:t xml:space="preserve"> от суммы перевода +30 рублей (другой банк может взимать дополнительную комиссию согласно своих тарифов).</w:t>
            </w:r>
          </w:p>
        </w:tc>
      </w:tr>
      <w:tr w:rsidR="00922808" w:rsidRPr="00922808" w14:paraId="316BFDD9" w14:textId="77777777" w:rsidTr="00922808">
        <w:tc>
          <w:tcPr>
            <w:tcW w:w="347" w:type="pct"/>
            <w:shd w:val="clear" w:color="auto" w:fill="808080"/>
            <w:vAlign w:val="center"/>
          </w:tcPr>
          <w:p w14:paraId="56F599A0"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4.2.</w:t>
            </w:r>
          </w:p>
        </w:tc>
        <w:tc>
          <w:tcPr>
            <w:tcW w:w="4653" w:type="pct"/>
            <w:gridSpan w:val="5"/>
            <w:shd w:val="clear" w:color="auto" w:fill="808080"/>
            <w:vAlign w:val="center"/>
          </w:tcPr>
          <w:p w14:paraId="27137B40"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Совершение безналичных операций в ТСП</w:t>
            </w:r>
            <w:r w:rsidRPr="00922808">
              <w:rPr>
                <w:rFonts w:ascii="Tahoma" w:hAnsi="Tahoma" w:cs="Tahoma"/>
                <w:b/>
                <w:bCs/>
                <w:iCs/>
                <w:color w:val="FFFFFF"/>
                <w:sz w:val="22"/>
                <w:szCs w:val="22"/>
                <w:vertAlign w:val="superscript"/>
              </w:rPr>
              <w:t>15</w:t>
            </w:r>
            <w:r w:rsidRPr="00922808">
              <w:rPr>
                <w:rFonts w:ascii="Tahoma" w:hAnsi="Tahoma" w:cs="Tahoma"/>
                <w:b/>
                <w:bCs/>
                <w:iCs/>
                <w:color w:val="FFFFFF"/>
                <w:sz w:val="22"/>
                <w:szCs w:val="22"/>
              </w:rPr>
              <w:t xml:space="preserve"> и сети Интернет (оплата товаров, работ, услуг, результатов интеллектуальной деятельности)</w:t>
            </w:r>
            <w:r w:rsidRPr="00922808" w:rsidDel="00754919">
              <w:rPr>
                <w:rFonts w:ascii="Tahoma" w:hAnsi="Tahoma" w:cs="Tahoma"/>
                <w:b/>
                <w:bCs/>
                <w:iCs/>
                <w:color w:val="FFFFFF"/>
                <w:sz w:val="22"/>
                <w:szCs w:val="22"/>
              </w:rPr>
              <w:t xml:space="preserve"> </w:t>
            </w:r>
            <w:r w:rsidRPr="00922808">
              <w:rPr>
                <w:rFonts w:ascii="Tahoma" w:hAnsi="Tahoma" w:cs="Tahoma"/>
                <w:b/>
                <w:bCs/>
                <w:iCs/>
                <w:color w:val="FFFFFF"/>
                <w:sz w:val="22"/>
                <w:szCs w:val="22"/>
              </w:rPr>
              <w:t>Картой:</w:t>
            </w:r>
          </w:p>
        </w:tc>
      </w:tr>
      <w:tr w:rsidR="00922808" w:rsidRPr="00922808" w14:paraId="5BC34AEB" w14:textId="77777777" w:rsidTr="005A7C26">
        <w:tc>
          <w:tcPr>
            <w:tcW w:w="347" w:type="pct"/>
            <w:shd w:val="clear" w:color="auto" w:fill="auto"/>
            <w:vAlign w:val="center"/>
          </w:tcPr>
          <w:p w14:paraId="16F63F22"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4.2.1.</w:t>
            </w:r>
          </w:p>
        </w:tc>
        <w:tc>
          <w:tcPr>
            <w:tcW w:w="1757" w:type="pct"/>
            <w:shd w:val="clear" w:color="auto" w:fill="auto"/>
            <w:vAlign w:val="center"/>
          </w:tcPr>
          <w:p w14:paraId="7FE0B1E5" w14:textId="77777777" w:rsidR="00922808" w:rsidRPr="00922808" w:rsidRDefault="00922808" w:rsidP="00922808">
            <w:pPr>
              <w:tabs>
                <w:tab w:val="left" w:pos="284"/>
              </w:tabs>
              <w:rPr>
                <w:rFonts w:ascii="Tahoma" w:hAnsi="Tahoma" w:cs="Tahoma"/>
                <w:bCs/>
                <w:iCs/>
                <w:color w:val="000000"/>
                <w:sz w:val="22"/>
                <w:szCs w:val="22"/>
                <w:vertAlign w:val="superscript"/>
              </w:rPr>
            </w:pPr>
            <w:r w:rsidRPr="00922808">
              <w:rPr>
                <w:rFonts w:ascii="Tahoma" w:hAnsi="Tahoma" w:cs="Tahoma"/>
                <w:bCs/>
                <w:iCs/>
                <w:color w:val="000000"/>
                <w:sz w:val="22"/>
                <w:szCs w:val="22"/>
              </w:rPr>
              <w:t>безналичная оплата товаров, работ, услуг и результатов интеллектуальной деятельности в ТСП</w:t>
            </w:r>
          </w:p>
        </w:tc>
        <w:tc>
          <w:tcPr>
            <w:tcW w:w="2896" w:type="pct"/>
            <w:gridSpan w:val="4"/>
            <w:shd w:val="clear" w:color="auto" w:fill="auto"/>
            <w:vAlign w:val="center"/>
          </w:tcPr>
          <w:p w14:paraId="6A15A762" w14:textId="77777777" w:rsidR="00922808" w:rsidRPr="00922808" w:rsidRDefault="00922808" w:rsidP="00922808">
            <w:pPr>
              <w:tabs>
                <w:tab w:val="left" w:pos="284"/>
              </w:tabs>
              <w:jc w:val="center"/>
              <w:rPr>
                <w:rFonts w:ascii="Tahoma" w:hAnsi="Tahoma" w:cs="Tahoma"/>
                <w:b/>
                <w:bCs/>
                <w:iCs/>
                <w:color w:val="000000"/>
                <w:sz w:val="22"/>
                <w:szCs w:val="22"/>
              </w:rPr>
            </w:pPr>
            <w:r w:rsidRPr="00922808">
              <w:rPr>
                <w:rFonts w:ascii="Tahoma" w:hAnsi="Tahoma" w:cs="Tahoma"/>
                <w:b/>
                <w:bCs/>
                <w:iCs/>
                <w:color w:val="000000"/>
                <w:sz w:val="22"/>
                <w:szCs w:val="22"/>
              </w:rPr>
              <w:t>БЕСПЛАТНО</w:t>
            </w:r>
          </w:p>
        </w:tc>
      </w:tr>
      <w:tr w:rsidR="00922808" w:rsidRPr="00922808" w14:paraId="47814F71" w14:textId="77777777" w:rsidTr="005A7C26">
        <w:tc>
          <w:tcPr>
            <w:tcW w:w="347" w:type="pct"/>
            <w:shd w:val="clear" w:color="auto" w:fill="auto"/>
            <w:vAlign w:val="center"/>
          </w:tcPr>
          <w:p w14:paraId="6E1DFDEC"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4.2.2.</w:t>
            </w:r>
          </w:p>
        </w:tc>
        <w:tc>
          <w:tcPr>
            <w:tcW w:w="1757" w:type="pct"/>
            <w:shd w:val="clear" w:color="auto" w:fill="auto"/>
            <w:vAlign w:val="center"/>
          </w:tcPr>
          <w:p w14:paraId="0FA33DCC" w14:textId="77777777" w:rsidR="00922808" w:rsidRPr="00922808" w:rsidRDefault="00922808" w:rsidP="00922808">
            <w:pPr>
              <w:tabs>
                <w:tab w:val="left" w:pos="284"/>
              </w:tabs>
              <w:rPr>
                <w:rFonts w:ascii="Tahoma" w:hAnsi="Tahoma" w:cs="Tahoma"/>
                <w:bCs/>
                <w:iCs/>
                <w:sz w:val="22"/>
                <w:szCs w:val="22"/>
              </w:rPr>
            </w:pPr>
            <w:r w:rsidRPr="00922808">
              <w:rPr>
                <w:rFonts w:ascii="Tahoma" w:hAnsi="Tahoma" w:cs="Tahoma"/>
                <w:bCs/>
                <w:iCs/>
                <w:sz w:val="22"/>
                <w:szCs w:val="22"/>
              </w:rPr>
              <w:t>конверсия при совершении оплаты в ТСП</w:t>
            </w:r>
          </w:p>
        </w:tc>
        <w:tc>
          <w:tcPr>
            <w:tcW w:w="2896" w:type="pct"/>
            <w:gridSpan w:val="4"/>
            <w:shd w:val="clear" w:color="auto" w:fill="auto"/>
            <w:vAlign w:val="center"/>
          </w:tcPr>
          <w:p w14:paraId="048686B7" w14:textId="77777777" w:rsidR="00922808" w:rsidRPr="00922808" w:rsidRDefault="00922808" w:rsidP="00922808">
            <w:pPr>
              <w:numPr>
                <w:ilvl w:val="0"/>
                <w:numId w:val="23"/>
              </w:numPr>
              <w:tabs>
                <w:tab w:val="left" w:pos="350"/>
              </w:tabs>
              <w:spacing w:after="160" w:line="259" w:lineRule="auto"/>
              <w:ind w:left="338"/>
              <w:contextualSpacing/>
              <w:jc w:val="both"/>
              <w:rPr>
                <w:rFonts w:ascii="Tahoma" w:hAnsi="Tahoma" w:cs="Tahoma"/>
                <w:b/>
                <w:bCs/>
                <w:iCs/>
              </w:rPr>
            </w:pPr>
            <w:r w:rsidRPr="00922808">
              <w:rPr>
                <w:rFonts w:ascii="Tahoma" w:hAnsi="Tahoma" w:cs="Tahoma"/>
                <w:b/>
                <w:bCs/>
                <w:iCs/>
              </w:rPr>
              <w:t>по курсу Банка на момент совершения операции</w:t>
            </w:r>
            <w:r w:rsidRPr="00922808">
              <w:rPr>
                <w:rFonts w:ascii="Tahoma" w:hAnsi="Tahoma" w:cs="Tahoma"/>
                <w:bCs/>
                <w:iCs/>
              </w:rPr>
              <w:t xml:space="preserve">: если валюта счета Карты Клиента отлична от валюты расчетов Банка с Платежной системой в этом регионе </w:t>
            </w:r>
            <w:r w:rsidRPr="00922808">
              <w:rPr>
                <w:rFonts w:ascii="Tahoma" w:hAnsi="Tahoma" w:cs="Tahoma"/>
                <w:bCs/>
                <w:i/>
                <w:iCs/>
              </w:rPr>
              <w:t>(валюта расчетов Банка с Платежной системой в этом регионе при этом идентична валюте совершения операции)</w:t>
            </w:r>
            <w:r w:rsidRPr="00922808">
              <w:rPr>
                <w:rFonts w:ascii="Tahoma" w:hAnsi="Tahoma" w:cs="Tahoma"/>
                <w:bCs/>
                <w:iCs/>
              </w:rPr>
              <w:t>;</w:t>
            </w:r>
          </w:p>
          <w:p w14:paraId="37EAD886" w14:textId="77777777" w:rsidR="00922808" w:rsidRPr="00922808" w:rsidRDefault="00922808" w:rsidP="00922808">
            <w:pPr>
              <w:numPr>
                <w:ilvl w:val="0"/>
                <w:numId w:val="23"/>
              </w:numPr>
              <w:tabs>
                <w:tab w:val="left" w:pos="350"/>
              </w:tabs>
              <w:spacing w:after="160" w:line="259" w:lineRule="auto"/>
              <w:ind w:left="338"/>
              <w:contextualSpacing/>
              <w:jc w:val="both"/>
              <w:rPr>
                <w:rFonts w:ascii="Tahoma" w:hAnsi="Tahoma" w:cs="Tahoma"/>
                <w:b/>
                <w:bCs/>
                <w:iCs/>
              </w:rPr>
            </w:pPr>
            <w:r w:rsidRPr="00922808">
              <w:rPr>
                <w:rFonts w:ascii="Tahoma" w:hAnsi="Tahoma" w:cs="Tahoma"/>
                <w:b/>
                <w:bCs/>
                <w:iCs/>
              </w:rPr>
              <w:t>дополнительно применяются</w:t>
            </w:r>
            <w:r w:rsidRPr="00922808">
              <w:rPr>
                <w:rFonts w:ascii="Tahoma" w:hAnsi="Tahoma" w:cs="Tahoma"/>
                <w:bCs/>
                <w:iCs/>
              </w:rPr>
              <w:t xml:space="preserve"> </w:t>
            </w:r>
            <w:r w:rsidRPr="00922808">
              <w:rPr>
                <w:rFonts w:ascii="Tahoma" w:hAnsi="Tahoma" w:cs="Tahoma"/>
                <w:b/>
                <w:bCs/>
                <w:iCs/>
              </w:rPr>
              <w:t>курс и тарифы Платежной системы на момент проведения расчетов с Банком:</w:t>
            </w:r>
            <w:r w:rsidRPr="00922808">
              <w:rPr>
                <w:rFonts w:ascii="Tahoma" w:hAnsi="Tahoma" w:cs="Tahoma"/>
                <w:bCs/>
                <w:iCs/>
              </w:rPr>
              <w:t xml:space="preserve"> если валюта совершения операции – отлична от валюты расчетов Банка с Платежной системой, дополнительно к конверсии Платежная система применяет </w:t>
            </w:r>
            <w:r w:rsidRPr="00922808">
              <w:rPr>
                <w:rFonts w:ascii="Tahoma" w:hAnsi="Tahoma" w:cs="Tahoma"/>
                <w:b/>
                <w:bCs/>
                <w:iCs/>
              </w:rPr>
              <w:t>+2%</w:t>
            </w:r>
            <w:r w:rsidRPr="00922808">
              <w:rPr>
                <w:rFonts w:ascii="Tahoma" w:hAnsi="Tahoma" w:cs="Tahoma"/>
                <w:bCs/>
                <w:iCs/>
              </w:rPr>
              <w:t xml:space="preserve"> от суммы операции по курсу Банка</w:t>
            </w:r>
            <w:r w:rsidRPr="00922808" w:rsidDel="00770CE6">
              <w:rPr>
                <w:rFonts w:ascii="Tahoma" w:hAnsi="Tahoma" w:cs="Tahoma"/>
                <w:bCs/>
                <w:iCs/>
              </w:rPr>
              <w:t xml:space="preserve"> </w:t>
            </w:r>
            <w:r w:rsidRPr="00922808">
              <w:rPr>
                <w:rFonts w:ascii="Tahoma" w:hAnsi="Tahoma" w:cs="Tahoma"/>
                <w:bCs/>
                <w:iCs/>
              </w:rPr>
              <w:t xml:space="preserve">(для операций по Картам </w:t>
            </w:r>
            <w:r w:rsidRPr="00922808">
              <w:rPr>
                <w:rFonts w:ascii="Tahoma" w:hAnsi="Tahoma" w:cs="Tahoma"/>
                <w:bCs/>
                <w:iCs/>
                <w:lang w:val="en-US"/>
              </w:rPr>
              <w:t>Visa</w:t>
            </w:r>
            <w:r w:rsidRPr="00922808">
              <w:rPr>
                <w:rFonts w:ascii="Tahoma" w:hAnsi="Tahoma" w:cs="Tahoma"/>
                <w:bCs/>
                <w:iCs/>
              </w:rPr>
              <w:t xml:space="preserve"> и </w:t>
            </w:r>
            <w:r w:rsidRPr="00922808">
              <w:rPr>
                <w:rFonts w:ascii="Tahoma" w:hAnsi="Tahoma" w:cs="Tahoma"/>
                <w:bCs/>
                <w:iCs/>
                <w:lang w:val="en-US"/>
              </w:rPr>
              <w:t>UnionPay</w:t>
            </w:r>
            <w:r w:rsidRPr="00922808">
              <w:rPr>
                <w:rFonts w:ascii="Tahoma" w:hAnsi="Tahoma" w:cs="Tahoma"/>
                <w:bCs/>
                <w:iCs/>
              </w:rPr>
              <w:t xml:space="preserve">). </w:t>
            </w:r>
          </w:p>
        </w:tc>
      </w:tr>
      <w:tr w:rsidR="00922808" w:rsidRPr="00922808" w14:paraId="6FCF0AF2" w14:textId="77777777" w:rsidTr="005A7C26">
        <w:tc>
          <w:tcPr>
            <w:tcW w:w="347" w:type="pct"/>
            <w:shd w:val="clear" w:color="auto" w:fill="auto"/>
            <w:vAlign w:val="center"/>
          </w:tcPr>
          <w:p w14:paraId="46D175D2"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4.2.3.</w:t>
            </w:r>
          </w:p>
        </w:tc>
        <w:tc>
          <w:tcPr>
            <w:tcW w:w="1757" w:type="pct"/>
            <w:shd w:val="clear" w:color="auto" w:fill="auto"/>
            <w:vAlign w:val="center"/>
          </w:tcPr>
          <w:p w14:paraId="6CA1D5F9" w14:textId="77777777" w:rsidR="00922808" w:rsidRPr="00922808" w:rsidRDefault="00922808" w:rsidP="00922808">
            <w:pPr>
              <w:tabs>
                <w:tab w:val="left" w:pos="284"/>
              </w:tabs>
              <w:rPr>
                <w:rFonts w:ascii="Tahoma" w:hAnsi="Tahoma" w:cs="Tahoma"/>
                <w:bCs/>
                <w:iCs/>
                <w:sz w:val="22"/>
                <w:szCs w:val="22"/>
              </w:rPr>
            </w:pPr>
            <w:r w:rsidRPr="00922808">
              <w:rPr>
                <w:rFonts w:ascii="Tahoma" w:hAnsi="Tahoma" w:cs="Tahoma"/>
                <w:bCs/>
                <w:iCs/>
                <w:sz w:val="22"/>
                <w:szCs w:val="22"/>
              </w:rPr>
              <w:t>проведение «уникальных» транзакций: квази-кэш (оплата дорожных чеков, денежных обязательств), «игровые транзакции» (оплата лотерейных билетов, игровых фишек в казино) и пр.</w:t>
            </w:r>
            <w:r w:rsidRPr="00922808">
              <w:rPr>
                <w:rFonts w:ascii="Tahoma" w:hAnsi="Tahoma" w:cs="Tahoma"/>
                <w:bCs/>
                <w:iCs/>
                <w:sz w:val="22"/>
                <w:szCs w:val="22"/>
                <w:vertAlign w:val="superscript"/>
              </w:rPr>
              <w:t>16</w:t>
            </w:r>
          </w:p>
        </w:tc>
        <w:tc>
          <w:tcPr>
            <w:tcW w:w="2896" w:type="pct"/>
            <w:gridSpan w:val="4"/>
            <w:shd w:val="clear" w:color="auto" w:fill="auto"/>
            <w:vAlign w:val="center"/>
          </w:tcPr>
          <w:p w14:paraId="179AA5C0" w14:textId="77777777" w:rsidR="00922808" w:rsidRPr="00922808" w:rsidRDefault="00922808" w:rsidP="00922808">
            <w:pPr>
              <w:tabs>
                <w:tab w:val="left" w:pos="284"/>
              </w:tabs>
              <w:jc w:val="center"/>
              <w:rPr>
                <w:rFonts w:ascii="Tahoma" w:hAnsi="Tahoma" w:cs="Tahoma"/>
                <w:bCs/>
                <w:iCs/>
                <w:sz w:val="22"/>
                <w:szCs w:val="22"/>
              </w:rPr>
            </w:pPr>
            <w:r w:rsidRPr="00922808">
              <w:rPr>
                <w:rFonts w:ascii="Tahoma" w:hAnsi="Tahoma" w:cs="Tahoma"/>
                <w:b/>
                <w:bCs/>
                <w:iCs/>
                <w:sz w:val="22"/>
                <w:szCs w:val="22"/>
              </w:rPr>
              <w:t>для Карт в рублях</w:t>
            </w:r>
            <w:r w:rsidRPr="00922808">
              <w:rPr>
                <w:rFonts w:ascii="Tahoma" w:hAnsi="Tahoma" w:cs="Tahoma"/>
                <w:bCs/>
                <w:iCs/>
                <w:sz w:val="22"/>
                <w:szCs w:val="22"/>
              </w:rPr>
              <w:t>: 4,9% от суммы операции +249 рублей;</w:t>
            </w:r>
          </w:p>
          <w:p w14:paraId="22D566A2" w14:textId="77777777" w:rsidR="00922808" w:rsidRPr="00922808" w:rsidRDefault="00922808" w:rsidP="00922808">
            <w:pPr>
              <w:tabs>
                <w:tab w:val="left" w:pos="284"/>
              </w:tabs>
              <w:jc w:val="center"/>
              <w:rPr>
                <w:rFonts w:ascii="Tahoma" w:hAnsi="Tahoma" w:cs="Tahoma"/>
                <w:bCs/>
                <w:iCs/>
                <w:sz w:val="22"/>
                <w:szCs w:val="22"/>
              </w:rPr>
            </w:pPr>
            <w:r w:rsidRPr="00922808">
              <w:rPr>
                <w:rFonts w:ascii="Tahoma" w:hAnsi="Tahoma" w:cs="Tahoma"/>
                <w:b/>
                <w:bCs/>
                <w:iCs/>
                <w:sz w:val="22"/>
                <w:szCs w:val="22"/>
              </w:rPr>
              <w:t>для Карт в юанях</w:t>
            </w:r>
            <w:r w:rsidRPr="00922808">
              <w:rPr>
                <w:rFonts w:ascii="Tahoma" w:hAnsi="Tahoma" w:cs="Tahoma"/>
                <w:bCs/>
                <w:iCs/>
                <w:sz w:val="22"/>
                <w:szCs w:val="22"/>
              </w:rPr>
              <w:t>: 4,9% от суммы операции +20 юаней.</w:t>
            </w:r>
          </w:p>
        </w:tc>
      </w:tr>
      <w:tr w:rsidR="00922808" w:rsidRPr="00922808" w14:paraId="0467DC4A" w14:textId="77777777" w:rsidTr="00922808">
        <w:tc>
          <w:tcPr>
            <w:tcW w:w="347" w:type="pct"/>
            <w:shd w:val="clear" w:color="auto" w:fill="808080"/>
            <w:vAlign w:val="center"/>
          </w:tcPr>
          <w:p w14:paraId="74E3EBA8"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4.3.</w:t>
            </w:r>
          </w:p>
        </w:tc>
        <w:tc>
          <w:tcPr>
            <w:tcW w:w="4653" w:type="pct"/>
            <w:gridSpan w:val="5"/>
            <w:shd w:val="clear" w:color="auto" w:fill="808080"/>
            <w:vAlign w:val="center"/>
          </w:tcPr>
          <w:p w14:paraId="66D49513"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Наличные операции по Карте в технических устройствах</w:t>
            </w:r>
          </w:p>
        </w:tc>
      </w:tr>
      <w:tr w:rsidR="00922808" w:rsidRPr="00922808" w14:paraId="19A986E2" w14:textId="77777777" w:rsidTr="005A7C26">
        <w:tc>
          <w:tcPr>
            <w:tcW w:w="347" w:type="pct"/>
            <w:shd w:val="clear" w:color="auto" w:fill="auto"/>
            <w:vAlign w:val="center"/>
          </w:tcPr>
          <w:p w14:paraId="1F7AA2F4"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4.3.1.</w:t>
            </w:r>
          </w:p>
        </w:tc>
        <w:tc>
          <w:tcPr>
            <w:tcW w:w="1757" w:type="pct"/>
            <w:shd w:val="clear" w:color="auto" w:fill="auto"/>
            <w:vAlign w:val="center"/>
          </w:tcPr>
          <w:p w14:paraId="3ECA3A97" w14:textId="77777777" w:rsidR="00922808" w:rsidRPr="00922808" w:rsidRDefault="00922808" w:rsidP="00922808">
            <w:pPr>
              <w:tabs>
                <w:tab w:val="left" w:pos="4873"/>
              </w:tabs>
              <w:rPr>
                <w:rFonts w:ascii="Tahoma" w:hAnsi="Tahoma" w:cs="Tahoma"/>
                <w:bCs/>
                <w:iCs/>
                <w:color w:val="000000"/>
                <w:sz w:val="22"/>
                <w:szCs w:val="22"/>
              </w:rPr>
            </w:pPr>
            <w:r w:rsidRPr="00922808">
              <w:rPr>
                <w:rFonts w:ascii="Tahoma" w:hAnsi="Tahoma" w:cs="Tahoma"/>
                <w:bCs/>
                <w:iCs/>
                <w:color w:val="000000"/>
                <w:sz w:val="22"/>
                <w:szCs w:val="22"/>
              </w:rPr>
              <w:t>взнос наличных в банкоматах, пунктах выдачи наличных Банка и ТСО, а также через розничные сети партнеров</w:t>
            </w:r>
            <w:r w:rsidRPr="00922808">
              <w:rPr>
                <w:rFonts w:ascii="Tahoma" w:hAnsi="Tahoma" w:cs="Tahoma"/>
                <w:bCs/>
                <w:iCs/>
                <w:sz w:val="22"/>
                <w:szCs w:val="22"/>
                <w:vertAlign w:val="superscript"/>
              </w:rPr>
              <w:t>17</w:t>
            </w:r>
          </w:p>
        </w:tc>
        <w:tc>
          <w:tcPr>
            <w:tcW w:w="2896" w:type="pct"/>
            <w:gridSpan w:val="4"/>
            <w:vMerge w:val="restart"/>
            <w:shd w:val="clear" w:color="auto" w:fill="auto"/>
            <w:vAlign w:val="center"/>
          </w:tcPr>
          <w:p w14:paraId="6F36856D" w14:textId="77777777" w:rsidR="00922808" w:rsidRPr="00922808" w:rsidRDefault="00922808" w:rsidP="00922808">
            <w:pPr>
              <w:tabs>
                <w:tab w:val="left" w:pos="284"/>
              </w:tabs>
              <w:jc w:val="center"/>
              <w:rPr>
                <w:rFonts w:ascii="Tahoma" w:hAnsi="Tahoma" w:cs="Tahoma"/>
                <w:b/>
                <w:bCs/>
                <w:iCs/>
                <w:color w:val="000000"/>
                <w:sz w:val="22"/>
                <w:szCs w:val="22"/>
              </w:rPr>
            </w:pPr>
            <w:r w:rsidRPr="00922808">
              <w:rPr>
                <w:rFonts w:ascii="Tahoma" w:hAnsi="Tahoma" w:cs="Tahoma"/>
                <w:b/>
                <w:bCs/>
                <w:iCs/>
                <w:color w:val="000000"/>
                <w:sz w:val="22"/>
                <w:szCs w:val="22"/>
              </w:rPr>
              <w:t>БЕСПЛАТНО</w:t>
            </w:r>
          </w:p>
        </w:tc>
      </w:tr>
      <w:tr w:rsidR="00922808" w:rsidRPr="00922808" w14:paraId="49B7E412" w14:textId="77777777" w:rsidTr="005A7C26">
        <w:tc>
          <w:tcPr>
            <w:tcW w:w="347" w:type="pct"/>
            <w:shd w:val="clear" w:color="auto" w:fill="auto"/>
            <w:vAlign w:val="center"/>
          </w:tcPr>
          <w:p w14:paraId="17A84F51"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4.3.2.</w:t>
            </w:r>
          </w:p>
        </w:tc>
        <w:tc>
          <w:tcPr>
            <w:tcW w:w="1757" w:type="pct"/>
            <w:shd w:val="clear" w:color="auto" w:fill="auto"/>
            <w:vAlign w:val="center"/>
          </w:tcPr>
          <w:p w14:paraId="2EF78748" w14:textId="77777777" w:rsidR="00922808" w:rsidRPr="00922808" w:rsidRDefault="00922808" w:rsidP="00922808">
            <w:pPr>
              <w:tabs>
                <w:tab w:val="left" w:pos="4873"/>
              </w:tabs>
              <w:rPr>
                <w:rFonts w:ascii="Tahoma" w:hAnsi="Tahoma" w:cs="Tahoma"/>
                <w:bCs/>
                <w:iCs/>
                <w:color w:val="000000"/>
                <w:sz w:val="22"/>
                <w:szCs w:val="22"/>
              </w:rPr>
            </w:pPr>
            <w:r w:rsidRPr="00922808">
              <w:rPr>
                <w:rFonts w:ascii="Tahoma" w:hAnsi="Tahoma" w:cs="Tahoma"/>
                <w:bCs/>
                <w:iCs/>
                <w:color w:val="000000"/>
                <w:sz w:val="22"/>
                <w:szCs w:val="22"/>
              </w:rPr>
              <w:t>выдача наличных в банкоматах и пунктах выдачи наличных Банка, других банков</w:t>
            </w:r>
            <w:r w:rsidRPr="00922808">
              <w:rPr>
                <w:rFonts w:ascii="Tahoma" w:hAnsi="Tahoma" w:cs="Tahoma"/>
                <w:bCs/>
                <w:iCs/>
                <w:sz w:val="22"/>
                <w:szCs w:val="22"/>
                <w:vertAlign w:val="superscript"/>
              </w:rPr>
              <w:t>17</w:t>
            </w:r>
          </w:p>
        </w:tc>
        <w:tc>
          <w:tcPr>
            <w:tcW w:w="2896" w:type="pct"/>
            <w:gridSpan w:val="4"/>
            <w:vMerge/>
            <w:shd w:val="clear" w:color="auto" w:fill="auto"/>
            <w:vAlign w:val="center"/>
          </w:tcPr>
          <w:p w14:paraId="690D991D" w14:textId="77777777" w:rsidR="00922808" w:rsidRPr="00922808" w:rsidRDefault="00922808" w:rsidP="00922808">
            <w:pPr>
              <w:tabs>
                <w:tab w:val="left" w:pos="284"/>
              </w:tabs>
              <w:jc w:val="center"/>
              <w:rPr>
                <w:rFonts w:ascii="Tahoma" w:hAnsi="Tahoma" w:cs="Tahoma"/>
                <w:b/>
                <w:bCs/>
                <w:iCs/>
                <w:color w:val="000000"/>
                <w:sz w:val="22"/>
                <w:szCs w:val="22"/>
              </w:rPr>
            </w:pPr>
          </w:p>
        </w:tc>
      </w:tr>
      <w:tr w:rsidR="00922808" w:rsidRPr="00922808" w14:paraId="4737EA66" w14:textId="77777777" w:rsidTr="005A7C26">
        <w:tc>
          <w:tcPr>
            <w:tcW w:w="347" w:type="pct"/>
            <w:shd w:val="clear" w:color="auto" w:fill="auto"/>
            <w:vAlign w:val="center"/>
          </w:tcPr>
          <w:p w14:paraId="2EB56E04"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4.3.3.</w:t>
            </w:r>
          </w:p>
        </w:tc>
        <w:tc>
          <w:tcPr>
            <w:tcW w:w="1757" w:type="pct"/>
            <w:shd w:val="clear" w:color="auto" w:fill="auto"/>
            <w:vAlign w:val="center"/>
          </w:tcPr>
          <w:p w14:paraId="014A6361" w14:textId="77777777" w:rsidR="00922808" w:rsidRPr="00922808" w:rsidRDefault="00922808" w:rsidP="00922808">
            <w:pPr>
              <w:tabs>
                <w:tab w:val="left" w:pos="4873"/>
              </w:tabs>
              <w:rPr>
                <w:rFonts w:ascii="Tahoma" w:hAnsi="Tahoma" w:cs="Tahoma"/>
                <w:bCs/>
                <w:iCs/>
                <w:color w:val="000000"/>
                <w:sz w:val="22"/>
                <w:szCs w:val="22"/>
              </w:rPr>
            </w:pPr>
            <w:r w:rsidRPr="00922808">
              <w:rPr>
                <w:rFonts w:ascii="Tahoma" w:hAnsi="Tahoma" w:cs="Tahoma"/>
                <w:bCs/>
                <w:iCs/>
                <w:color w:val="000000"/>
                <w:sz w:val="22"/>
                <w:szCs w:val="22"/>
              </w:rPr>
              <w:t>выдача наличных денежных средств с использованием Карты с учетом лимитов совершения операций в ТСП</w:t>
            </w:r>
            <w:r w:rsidRPr="00922808">
              <w:rPr>
                <w:rFonts w:ascii="Tahoma" w:hAnsi="Tahoma" w:cs="Tahoma"/>
                <w:bCs/>
                <w:iCs/>
                <w:sz w:val="22"/>
                <w:szCs w:val="22"/>
                <w:vertAlign w:val="superscript"/>
              </w:rPr>
              <w:t>18</w:t>
            </w:r>
            <w:r w:rsidRPr="00922808">
              <w:rPr>
                <w:rFonts w:ascii="Tahoma" w:hAnsi="Tahoma" w:cs="Tahoma"/>
                <w:bCs/>
                <w:iCs/>
                <w:color w:val="000000"/>
                <w:sz w:val="22"/>
                <w:szCs w:val="22"/>
              </w:rPr>
              <w:t>, предоставляющих услугу выдачи наличных денежных средств при совершении покупки на территории РФ</w:t>
            </w:r>
          </w:p>
        </w:tc>
        <w:tc>
          <w:tcPr>
            <w:tcW w:w="2896" w:type="pct"/>
            <w:gridSpan w:val="4"/>
            <w:vMerge/>
            <w:shd w:val="clear" w:color="auto" w:fill="auto"/>
            <w:vAlign w:val="center"/>
          </w:tcPr>
          <w:p w14:paraId="1DD31E23" w14:textId="77777777" w:rsidR="00922808" w:rsidRPr="00922808" w:rsidRDefault="00922808" w:rsidP="00922808">
            <w:pPr>
              <w:tabs>
                <w:tab w:val="left" w:pos="284"/>
              </w:tabs>
              <w:jc w:val="center"/>
              <w:rPr>
                <w:rFonts w:ascii="Tahoma" w:hAnsi="Tahoma" w:cs="Tahoma"/>
                <w:b/>
                <w:bCs/>
                <w:iCs/>
                <w:color w:val="000000"/>
                <w:sz w:val="22"/>
                <w:szCs w:val="22"/>
              </w:rPr>
            </w:pPr>
          </w:p>
        </w:tc>
      </w:tr>
      <w:tr w:rsidR="00922808" w:rsidRPr="00922808" w14:paraId="0CFE4E48" w14:textId="77777777" w:rsidTr="005A7C26">
        <w:tc>
          <w:tcPr>
            <w:tcW w:w="347" w:type="pct"/>
            <w:shd w:val="clear" w:color="auto" w:fill="auto"/>
            <w:vAlign w:val="center"/>
          </w:tcPr>
          <w:p w14:paraId="47282D8C"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4.3.4.</w:t>
            </w:r>
          </w:p>
        </w:tc>
        <w:tc>
          <w:tcPr>
            <w:tcW w:w="1757" w:type="pct"/>
            <w:shd w:val="clear" w:color="auto" w:fill="auto"/>
            <w:vAlign w:val="center"/>
          </w:tcPr>
          <w:p w14:paraId="6B6837F6"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ежедневный лимит выдачи наличных в банкоматах любых банков (в том числе Банка)</w:t>
            </w:r>
            <w:r w:rsidRPr="00922808">
              <w:rPr>
                <w:rFonts w:ascii="Tahoma" w:hAnsi="Tahoma" w:cs="Tahoma"/>
                <w:bCs/>
                <w:iCs/>
                <w:sz w:val="22"/>
                <w:szCs w:val="22"/>
                <w:vertAlign w:val="superscript"/>
              </w:rPr>
              <w:t>19</w:t>
            </w:r>
          </w:p>
        </w:tc>
        <w:tc>
          <w:tcPr>
            <w:tcW w:w="2896" w:type="pct"/>
            <w:gridSpan w:val="4"/>
            <w:shd w:val="clear" w:color="auto" w:fill="auto"/>
            <w:vAlign w:val="center"/>
          </w:tcPr>
          <w:p w14:paraId="1837CBFC" w14:textId="77777777" w:rsidR="00922808" w:rsidRPr="00922808" w:rsidRDefault="00922808" w:rsidP="00922808">
            <w:pPr>
              <w:tabs>
                <w:tab w:val="left" w:pos="284"/>
              </w:tabs>
              <w:jc w:val="center"/>
              <w:rPr>
                <w:rFonts w:ascii="Tahoma" w:hAnsi="Tahoma" w:cs="Tahoma"/>
                <w:bCs/>
                <w:iCs/>
                <w:sz w:val="22"/>
                <w:szCs w:val="22"/>
              </w:rPr>
            </w:pPr>
            <w:r w:rsidRPr="00922808">
              <w:rPr>
                <w:rFonts w:ascii="Tahoma" w:hAnsi="Tahoma" w:cs="Tahoma"/>
                <w:bCs/>
                <w:iCs/>
                <w:sz w:val="22"/>
                <w:szCs w:val="22"/>
              </w:rPr>
              <w:t>500 000 рублей/</w:t>
            </w:r>
          </w:p>
          <w:p w14:paraId="2F994084" w14:textId="77777777" w:rsidR="00922808" w:rsidRPr="00922808" w:rsidRDefault="00922808" w:rsidP="00922808">
            <w:pPr>
              <w:tabs>
                <w:tab w:val="left" w:pos="284"/>
              </w:tabs>
              <w:jc w:val="center"/>
              <w:rPr>
                <w:rFonts w:ascii="Tahoma" w:hAnsi="Tahoma" w:cs="Tahoma"/>
                <w:bCs/>
                <w:iCs/>
                <w:sz w:val="22"/>
                <w:szCs w:val="22"/>
              </w:rPr>
            </w:pPr>
            <w:r w:rsidRPr="00922808">
              <w:rPr>
                <w:rFonts w:ascii="Tahoma" w:hAnsi="Tahoma" w:cs="Tahoma"/>
                <w:bCs/>
                <w:iCs/>
                <w:sz w:val="22"/>
                <w:szCs w:val="22"/>
              </w:rPr>
              <w:t>8 000 долларов США/Евро/</w:t>
            </w:r>
          </w:p>
          <w:p w14:paraId="254CC3BF" w14:textId="77777777" w:rsidR="00922808" w:rsidRPr="00922808" w:rsidRDefault="00922808" w:rsidP="00922808">
            <w:pPr>
              <w:tabs>
                <w:tab w:val="left" w:pos="284"/>
              </w:tabs>
              <w:jc w:val="center"/>
              <w:rPr>
                <w:rFonts w:ascii="Tahoma" w:hAnsi="Tahoma" w:cs="Tahoma"/>
                <w:bCs/>
                <w:iCs/>
                <w:sz w:val="22"/>
                <w:szCs w:val="22"/>
              </w:rPr>
            </w:pPr>
            <w:r w:rsidRPr="00922808">
              <w:rPr>
                <w:rFonts w:ascii="Tahoma" w:hAnsi="Tahoma" w:cs="Tahoma"/>
                <w:bCs/>
                <w:iCs/>
                <w:sz w:val="22"/>
                <w:szCs w:val="22"/>
              </w:rPr>
              <w:t>40 000 юаней</w:t>
            </w:r>
            <w:r w:rsidRPr="00922808">
              <w:rPr>
                <w:rFonts w:ascii="Tahoma" w:hAnsi="Tahoma" w:cs="Tahoma"/>
                <w:bCs/>
                <w:iCs/>
                <w:sz w:val="22"/>
                <w:szCs w:val="22"/>
                <w:vertAlign w:val="superscript"/>
              </w:rPr>
              <w:t>24</w:t>
            </w:r>
          </w:p>
        </w:tc>
      </w:tr>
      <w:tr w:rsidR="00922808" w:rsidRPr="00922808" w14:paraId="77DE79E4" w14:textId="77777777" w:rsidTr="005A7C26">
        <w:tc>
          <w:tcPr>
            <w:tcW w:w="347" w:type="pct"/>
            <w:shd w:val="clear" w:color="auto" w:fill="auto"/>
            <w:vAlign w:val="center"/>
          </w:tcPr>
          <w:p w14:paraId="130DD61C" w14:textId="77777777" w:rsidR="00922808" w:rsidRPr="00922808" w:rsidRDefault="00922808" w:rsidP="00922808">
            <w:pPr>
              <w:spacing w:after="160" w:line="259" w:lineRule="auto"/>
              <w:rPr>
                <w:rFonts w:ascii="Calibri" w:eastAsia="Calibri" w:hAnsi="Calibri"/>
                <w:sz w:val="22"/>
                <w:szCs w:val="22"/>
                <w:lang w:eastAsia="en-US"/>
              </w:rPr>
            </w:pPr>
            <w:r w:rsidRPr="00922808">
              <w:rPr>
                <w:rFonts w:ascii="Tahoma" w:hAnsi="Tahoma" w:cs="Tahoma"/>
                <w:bCs/>
                <w:iCs/>
                <w:color w:val="000000"/>
                <w:sz w:val="22"/>
                <w:szCs w:val="22"/>
              </w:rPr>
              <w:t>4.3.5.</w:t>
            </w:r>
          </w:p>
        </w:tc>
        <w:tc>
          <w:tcPr>
            <w:tcW w:w="1757" w:type="pct"/>
            <w:shd w:val="clear" w:color="auto" w:fill="auto"/>
            <w:vAlign w:val="center"/>
          </w:tcPr>
          <w:p w14:paraId="14DB9B42"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ежемесячный лимит выдачи наличных в банкоматах и пунктах выдачи наличных любых банков (в том числе Банка)</w:t>
            </w:r>
            <w:r w:rsidRPr="00922808">
              <w:rPr>
                <w:rFonts w:ascii="Tahoma" w:hAnsi="Tahoma" w:cs="Tahoma"/>
                <w:bCs/>
                <w:iCs/>
                <w:sz w:val="22"/>
                <w:szCs w:val="22"/>
                <w:vertAlign w:val="superscript"/>
              </w:rPr>
              <w:t>19</w:t>
            </w:r>
          </w:p>
        </w:tc>
        <w:tc>
          <w:tcPr>
            <w:tcW w:w="2896" w:type="pct"/>
            <w:gridSpan w:val="4"/>
            <w:shd w:val="clear" w:color="auto" w:fill="auto"/>
            <w:vAlign w:val="center"/>
          </w:tcPr>
          <w:p w14:paraId="47DFF776" w14:textId="77777777" w:rsidR="00922808" w:rsidRPr="00922808" w:rsidRDefault="00922808" w:rsidP="00922808">
            <w:pPr>
              <w:tabs>
                <w:tab w:val="left" w:pos="284"/>
              </w:tabs>
              <w:jc w:val="center"/>
              <w:rPr>
                <w:rFonts w:ascii="Tahoma" w:hAnsi="Tahoma" w:cs="Tahoma"/>
                <w:bCs/>
                <w:iCs/>
                <w:sz w:val="22"/>
                <w:szCs w:val="22"/>
              </w:rPr>
            </w:pPr>
            <w:r w:rsidRPr="00922808">
              <w:rPr>
                <w:rFonts w:ascii="Tahoma" w:hAnsi="Tahoma" w:cs="Tahoma"/>
                <w:bCs/>
                <w:iCs/>
                <w:sz w:val="22"/>
                <w:szCs w:val="22"/>
              </w:rPr>
              <w:t>1 500 000 рублей/</w:t>
            </w:r>
          </w:p>
          <w:p w14:paraId="76254474" w14:textId="77777777" w:rsidR="00922808" w:rsidRPr="00922808" w:rsidRDefault="00922808" w:rsidP="00922808">
            <w:pPr>
              <w:tabs>
                <w:tab w:val="left" w:pos="284"/>
              </w:tabs>
              <w:jc w:val="center"/>
              <w:rPr>
                <w:rFonts w:ascii="Tahoma" w:hAnsi="Tahoma" w:cs="Tahoma"/>
                <w:bCs/>
                <w:iCs/>
                <w:sz w:val="22"/>
                <w:szCs w:val="22"/>
              </w:rPr>
            </w:pPr>
            <w:r w:rsidRPr="00922808">
              <w:rPr>
                <w:rFonts w:ascii="Tahoma" w:hAnsi="Tahoma" w:cs="Tahoma"/>
                <w:bCs/>
                <w:iCs/>
                <w:sz w:val="22"/>
                <w:szCs w:val="22"/>
              </w:rPr>
              <w:t>15 000 долларов США/Евро/</w:t>
            </w:r>
          </w:p>
          <w:p w14:paraId="0EC00723" w14:textId="77777777" w:rsidR="00922808" w:rsidRPr="00922808" w:rsidRDefault="00922808" w:rsidP="00922808">
            <w:pPr>
              <w:tabs>
                <w:tab w:val="left" w:pos="284"/>
              </w:tabs>
              <w:jc w:val="center"/>
              <w:rPr>
                <w:rFonts w:ascii="Tahoma" w:hAnsi="Tahoma" w:cs="Tahoma"/>
                <w:bCs/>
                <w:iCs/>
                <w:sz w:val="22"/>
                <w:szCs w:val="22"/>
              </w:rPr>
            </w:pPr>
            <w:r w:rsidRPr="00922808">
              <w:rPr>
                <w:rFonts w:ascii="Tahoma" w:hAnsi="Tahoma" w:cs="Tahoma"/>
                <w:bCs/>
                <w:iCs/>
                <w:sz w:val="22"/>
                <w:szCs w:val="22"/>
              </w:rPr>
              <w:t>115 000 юаней</w:t>
            </w:r>
            <w:r w:rsidRPr="00922808">
              <w:rPr>
                <w:rFonts w:ascii="Tahoma" w:hAnsi="Tahoma" w:cs="Tahoma"/>
                <w:bCs/>
                <w:iCs/>
                <w:sz w:val="22"/>
                <w:szCs w:val="22"/>
                <w:vertAlign w:val="superscript"/>
              </w:rPr>
              <w:t>24</w:t>
            </w:r>
          </w:p>
        </w:tc>
      </w:tr>
      <w:tr w:rsidR="00922808" w:rsidRPr="00922808" w14:paraId="10DF0A40" w14:textId="77777777" w:rsidTr="005A7C26">
        <w:tc>
          <w:tcPr>
            <w:tcW w:w="347" w:type="pct"/>
            <w:shd w:val="clear" w:color="auto" w:fill="auto"/>
            <w:vAlign w:val="center"/>
          </w:tcPr>
          <w:p w14:paraId="2CF7182A" w14:textId="77777777" w:rsidR="00922808" w:rsidRPr="00922808" w:rsidRDefault="00922808" w:rsidP="00922808">
            <w:pPr>
              <w:spacing w:after="160" w:line="259" w:lineRule="auto"/>
              <w:rPr>
                <w:rFonts w:ascii="Tahoma" w:hAnsi="Tahoma" w:cs="Tahoma"/>
                <w:bCs/>
                <w:iCs/>
                <w:color w:val="000000"/>
                <w:sz w:val="22"/>
                <w:szCs w:val="22"/>
              </w:rPr>
            </w:pPr>
            <w:r w:rsidRPr="00922808">
              <w:rPr>
                <w:rFonts w:ascii="Tahoma" w:hAnsi="Tahoma" w:cs="Tahoma"/>
                <w:bCs/>
                <w:iCs/>
                <w:color w:val="000000"/>
                <w:sz w:val="22"/>
                <w:szCs w:val="22"/>
              </w:rPr>
              <w:t>4.3.6.</w:t>
            </w:r>
          </w:p>
        </w:tc>
        <w:tc>
          <w:tcPr>
            <w:tcW w:w="1757" w:type="pct"/>
            <w:shd w:val="clear" w:color="auto" w:fill="auto"/>
            <w:vAlign w:val="center"/>
          </w:tcPr>
          <w:p w14:paraId="1E66D24F"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sz w:val="22"/>
                <w:szCs w:val="22"/>
              </w:rPr>
              <w:t>ежедневный лимит снятия наличных в ТСП, предоставляющих услугу выдачи наличных денежных средств при совершении покупки (включительно от 00 ч. до 24 ч. Московского времени)</w:t>
            </w:r>
            <w:r w:rsidRPr="00922808">
              <w:rPr>
                <w:rFonts w:ascii="Tahoma" w:hAnsi="Tahoma" w:cs="Tahoma"/>
                <w:sz w:val="22"/>
                <w:szCs w:val="22"/>
                <w:vertAlign w:val="superscript"/>
              </w:rPr>
              <w:t xml:space="preserve">17,18 </w:t>
            </w:r>
            <w:r w:rsidRPr="00922808">
              <w:rPr>
                <w:rFonts w:ascii="Tahoma" w:hAnsi="Tahoma" w:cs="Tahoma"/>
                <w:sz w:val="22"/>
                <w:szCs w:val="22"/>
              </w:rPr>
              <w:t>с одного Счета Карты Клиента</w:t>
            </w:r>
          </w:p>
        </w:tc>
        <w:tc>
          <w:tcPr>
            <w:tcW w:w="2896" w:type="pct"/>
            <w:gridSpan w:val="4"/>
            <w:shd w:val="clear" w:color="auto" w:fill="auto"/>
            <w:vAlign w:val="center"/>
          </w:tcPr>
          <w:p w14:paraId="699EEC60" w14:textId="77777777" w:rsidR="00922808" w:rsidRPr="00922808" w:rsidRDefault="00922808" w:rsidP="00922808">
            <w:pPr>
              <w:tabs>
                <w:tab w:val="left" w:pos="284"/>
              </w:tabs>
              <w:jc w:val="center"/>
              <w:rPr>
                <w:rFonts w:ascii="Tahoma" w:hAnsi="Tahoma" w:cs="Tahoma"/>
                <w:bCs/>
                <w:iCs/>
                <w:sz w:val="22"/>
                <w:szCs w:val="22"/>
              </w:rPr>
            </w:pPr>
            <w:r w:rsidRPr="00922808">
              <w:rPr>
                <w:rFonts w:ascii="Tahoma" w:hAnsi="Tahoma" w:cs="Tahoma"/>
                <w:bCs/>
                <w:iCs/>
                <w:sz w:val="22"/>
                <w:szCs w:val="22"/>
              </w:rPr>
              <w:t>5 000 рублей</w:t>
            </w:r>
          </w:p>
        </w:tc>
      </w:tr>
      <w:tr w:rsidR="00922808" w:rsidRPr="00922808" w14:paraId="45D3D972" w14:textId="77777777" w:rsidTr="005A7C26">
        <w:trPr>
          <w:trHeight w:val="905"/>
        </w:trPr>
        <w:tc>
          <w:tcPr>
            <w:tcW w:w="347" w:type="pct"/>
            <w:shd w:val="clear" w:color="auto" w:fill="auto"/>
            <w:vAlign w:val="center"/>
          </w:tcPr>
          <w:p w14:paraId="5798F7E4" w14:textId="77777777" w:rsidR="00922808" w:rsidRPr="00922808" w:rsidRDefault="00922808" w:rsidP="00922808">
            <w:pPr>
              <w:spacing w:after="160" w:line="259" w:lineRule="auto"/>
              <w:rPr>
                <w:rFonts w:ascii="Tahoma" w:hAnsi="Tahoma" w:cs="Tahoma"/>
                <w:bCs/>
                <w:iCs/>
                <w:color w:val="000000"/>
                <w:sz w:val="22"/>
                <w:szCs w:val="22"/>
              </w:rPr>
            </w:pPr>
            <w:r w:rsidRPr="00922808">
              <w:rPr>
                <w:rFonts w:ascii="Tahoma" w:hAnsi="Tahoma" w:cs="Tahoma"/>
                <w:bCs/>
                <w:iCs/>
                <w:color w:val="000000"/>
                <w:sz w:val="22"/>
                <w:szCs w:val="22"/>
              </w:rPr>
              <w:t>4.3.7.</w:t>
            </w:r>
          </w:p>
        </w:tc>
        <w:tc>
          <w:tcPr>
            <w:tcW w:w="1757" w:type="pct"/>
            <w:shd w:val="clear" w:color="auto" w:fill="auto"/>
            <w:vAlign w:val="center"/>
          </w:tcPr>
          <w:p w14:paraId="226AB9FA"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sz w:val="22"/>
                <w:szCs w:val="22"/>
              </w:rPr>
              <w:t>ежемесячный лимит снятия наличных в ТСП, предоставляющих услугу выдачи наличных денежных средств при совершении покупки (включительно от 00 ч. до 24 ч. Московского времени)</w:t>
            </w:r>
            <w:r w:rsidRPr="00922808">
              <w:rPr>
                <w:rFonts w:ascii="Tahoma" w:hAnsi="Tahoma" w:cs="Tahoma"/>
                <w:sz w:val="22"/>
                <w:szCs w:val="22"/>
                <w:vertAlign w:val="superscript"/>
              </w:rPr>
              <w:t xml:space="preserve"> 17,18</w:t>
            </w:r>
            <w:r w:rsidRPr="00922808">
              <w:rPr>
                <w:rFonts w:ascii="Tahoma" w:hAnsi="Tahoma" w:cs="Tahoma"/>
                <w:sz w:val="22"/>
                <w:szCs w:val="22"/>
              </w:rPr>
              <w:t xml:space="preserve"> с одного Счета Карты Клиента</w:t>
            </w:r>
          </w:p>
        </w:tc>
        <w:tc>
          <w:tcPr>
            <w:tcW w:w="2896" w:type="pct"/>
            <w:gridSpan w:val="4"/>
            <w:shd w:val="clear" w:color="auto" w:fill="auto"/>
            <w:vAlign w:val="center"/>
          </w:tcPr>
          <w:p w14:paraId="736D5E9E" w14:textId="77777777" w:rsidR="00922808" w:rsidRPr="00922808" w:rsidRDefault="00922808" w:rsidP="00922808">
            <w:pPr>
              <w:tabs>
                <w:tab w:val="left" w:pos="284"/>
              </w:tabs>
              <w:jc w:val="center"/>
              <w:rPr>
                <w:rFonts w:ascii="Tahoma" w:hAnsi="Tahoma" w:cs="Tahoma"/>
                <w:bCs/>
                <w:iCs/>
                <w:sz w:val="22"/>
                <w:szCs w:val="22"/>
              </w:rPr>
            </w:pPr>
            <w:r w:rsidRPr="00922808">
              <w:rPr>
                <w:rFonts w:ascii="Tahoma" w:hAnsi="Tahoma" w:cs="Tahoma"/>
                <w:bCs/>
                <w:iCs/>
                <w:sz w:val="22"/>
                <w:szCs w:val="22"/>
              </w:rPr>
              <w:t>30 000 рублей</w:t>
            </w:r>
          </w:p>
        </w:tc>
      </w:tr>
      <w:tr w:rsidR="00922808" w:rsidRPr="00922808" w14:paraId="40158751" w14:textId="77777777" w:rsidTr="00922808">
        <w:tc>
          <w:tcPr>
            <w:tcW w:w="347" w:type="pct"/>
            <w:shd w:val="clear" w:color="auto" w:fill="808080"/>
            <w:vAlign w:val="center"/>
          </w:tcPr>
          <w:p w14:paraId="6B49C29A"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4.4.</w:t>
            </w:r>
          </w:p>
        </w:tc>
        <w:tc>
          <w:tcPr>
            <w:tcW w:w="4653" w:type="pct"/>
            <w:gridSpan w:val="5"/>
            <w:shd w:val="clear" w:color="auto" w:fill="808080"/>
            <w:vAlign w:val="center"/>
          </w:tcPr>
          <w:p w14:paraId="07BB8622"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 xml:space="preserve">Наличные операции в кассе Банка </w:t>
            </w:r>
            <w:r w:rsidRPr="00922808">
              <w:rPr>
                <w:rFonts w:ascii="Tahoma" w:hAnsi="Tahoma" w:cs="Tahoma"/>
                <w:bCs/>
                <w:iCs/>
                <w:color w:val="FFFFFF"/>
                <w:sz w:val="22"/>
                <w:szCs w:val="22"/>
              </w:rPr>
              <w:t>(по Счетам Карт и Накопительным счетам):</w:t>
            </w:r>
          </w:p>
        </w:tc>
      </w:tr>
      <w:tr w:rsidR="00922808" w:rsidRPr="00922808" w14:paraId="43787F32" w14:textId="77777777" w:rsidTr="005A7C26">
        <w:tc>
          <w:tcPr>
            <w:tcW w:w="347" w:type="pct"/>
            <w:shd w:val="clear" w:color="auto" w:fill="auto"/>
            <w:vAlign w:val="center"/>
          </w:tcPr>
          <w:p w14:paraId="14F4F469"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4.4.1.</w:t>
            </w:r>
          </w:p>
        </w:tc>
        <w:tc>
          <w:tcPr>
            <w:tcW w:w="1757" w:type="pct"/>
            <w:shd w:val="clear" w:color="auto" w:fill="auto"/>
            <w:vAlign w:val="center"/>
          </w:tcPr>
          <w:p w14:paraId="14512CA6"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взнос наличных денежных средств с использованием Карты</w:t>
            </w:r>
          </w:p>
        </w:tc>
        <w:tc>
          <w:tcPr>
            <w:tcW w:w="2896" w:type="pct"/>
            <w:gridSpan w:val="4"/>
            <w:shd w:val="clear" w:color="auto" w:fill="auto"/>
            <w:vAlign w:val="center"/>
          </w:tcPr>
          <w:p w14:paraId="092AA13E" w14:textId="77777777" w:rsidR="00922808" w:rsidRPr="00922808" w:rsidRDefault="00922808" w:rsidP="00922808">
            <w:pPr>
              <w:tabs>
                <w:tab w:val="left" w:pos="284"/>
              </w:tabs>
              <w:jc w:val="center"/>
              <w:rPr>
                <w:rFonts w:ascii="Tahoma" w:hAnsi="Tahoma" w:cs="Tahoma"/>
                <w:b/>
                <w:bCs/>
                <w:iCs/>
                <w:color w:val="000000"/>
                <w:sz w:val="22"/>
                <w:szCs w:val="22"/>
              </w:rPr>
            </w:pPr>
            <w:r w:rsidRPr="00922808">
              <w:rPr>
                <w:rFonts w:ascii="Tahoma" w:hAnsi="Tahoma" w:cs="Tahoma"/>
                <w:b/>
                <w:bCs/>
                <w:iCs/>
                <w:color w:val="000000"/>
                <w:sz w:val="22"/>
                <w:szCs w:val="22"/>
              </w:rPr>
              <w:t>БЕСПЛАТНО</w:t>
            </w:r>
          </w:p>
        </w:tc>
      </w:tr>
      <w:tr w:rsidR="00922808" w:rsidRPr="00922808" w14:paraId="025CE1DE" w14:textId="77777777" w:rsidTr="005A7C26">
        <w:trPr>
          <w:trHeight w:val="520"/>
        </w:trPr>
        <w:tc>
          <w:tcPr>
            <w:tcW w:w="347" w:type="pct"/>
            <w:shd w:val="clear" w:color="auto" w:fill="auto"/>
            <w:vAlign w:val="center"/>
          </w:tcPr>
          <w:p w14:paraId="00B4796F"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4.4.2.1.</w:t>
            </w:r>
          </w:p>
        </w:tc>
        <w:tc>
          <w:tcPr>
            <w:tcW w:w="1757" w:type="pct"/>
            <w:shd w:val="clear" w:color="auto" w:fill="auto"/>
            <w:vAlign w:val="center"/>
          </w:tcPr>
          <w:p w14:paraId="26A349C1"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выдача денежных средств со Счета Карты/Накопительного счета</w:t>
            </w:r>
          </w:p>
        </w:tc>
        <w:tc>
          <w:tcPr>
            <w:tcW w:w="2896" w:type="pct"/>
            <w:gridSpan w:val="4"/>
            <w:shd w:val="clear" w:color="auto" w:fill="auto"/>
            <w:vAlign w:val="center"/>
          </w:tcPr>
          <w:p w14:paraId="61512DF4" w14:textId="77777777" w:rsidR="00922808" w:rsidRPr="00922808" w:rsidRDefault="00922808" w:rsidP="00922808">
            <w:pPr>
              <w:tabs>
                <w:tab w:val="left" w:pos="4889"/>
              </w:tabs>
              <w:jc w:val="center"/>
              <w:rPr>
                <w:rFonts w:ascii="Tahoma" w:hAnsi="Tahoma" w:cs="Tahoma"/>
                <w:b/>
                <w:bCs/>
                <w:iCs/>
                <w:color w:val="000000"/>
                <w:sz w:val="22"/>
                <w:szCs w:val="22"/>
              </w:rPr>
            </w:pPr>
            <w:r w:rsidRPr="00922808">
              <w:rPr>
                <w:rFonts w:ascii="Tahoma" w:hAnsi="Tahoma" w:cs="Tahoma"/>
                <w:bCs/>
                <w:iCs/>
                <w:sz w:val="22"/>
                <w:szCs w:val="22"/>
              </w:rPr>
              <w:t xml:space="preserve">Выдача средств, внесенных на Счет наличным путем: </w:t>
            </w:r>
            <w:r w:rsidRPr="00922808">
              <w:rPr>
                <w:rFonts w:ascii="Tahoma" w:hAnsi="Tahoma" w:cs="Tahoma"/>
                <w:b/>
                <w:bCs/>
                <w:iCs/>
                <w:color w:val="000000"/>
                <w:sz w:val="22"/>
                <w:szCs w:val="22"/>
              </w:rPr>
              <w:t>БЕСПЛАТНО;</w:t>
            </w:r>
          </w:p>
        </w:tc>
      </w:tr>
      <w:tr w:rsidR="00922808" w:rsidRPr="00922808" w14:paraId="4EAD0DF4" w14:textId="77777777" w:rsidTr="005A7C26">
        <w:trPr>
          <w:trHeight w:val="4143"/>
        </w:trPr>
        <w:tc>
          <w:tcPr>
            <w:tcW w:w="347" w:type="pct"/>
            <w:shd w:val="clear" w:color="auto" w:fill="auto"/>
            <w:vAlign w:val="center"/>
          </w:tcPr>
          <w:p w14:paraId="4051B2F4"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4.4.2.2.</w:t>
            </w:r>
          </w:p>
        </w:tc>
        <w:tc>
          <w:tcPr>
            <w:tcW w:w="1757" w:type="pct"/>
            <w:shd w:val="clear" w:color="auto" w:fill="auto"/>
            <w:vAlign w:val="center"/>
          </w:tcPr>
          <w:p w14:paraId="194B020D" w14:textId="77777777" w:rsidR="00922808" w:rsidRPr="00922808" w:rsidRDefault="00922808" w:rsidP="00922808">
            <w:pPr>
              <w:tabs>
                <w:tab w:val="left" w:pos="4889"/>
              </w:tabs>
              <w:rPr>
                <w:rFonts w:ascii="Tahoma" w:hAnsi="Tahoma" w:cs="Tahoma"/>
                <w:bCs/>
                <w:iCs/>
                <w:sz w:val="22"/>
                <w:szCs w:val="22"/>
              </w:rPr>
            </w:pPr>
            <w:r w:rsidRPr="00922808">
              <w:rPr>
                <w:rFonts w:ascii="Tahoma" w:hAnsi="Tahoma" w:cs="Tahoma"/>
                <w:bCs/>
                <w:iCs/>
                <w:sz w:val="22"/>
                <w:szCs w:val="22"/>
              </w:rPr>
              <w:t xml:space="preserve">выдача средств, поступивших на Счет безналичным путем, в том числе зачисленных со Счета Клиента в Банке </w:t>
            </w:r>
          </w:p>
        </w:tc>
        <w:tc>
          <w:tcPr>
            <w:tcW w:w="2896" w:type="pct"/>
            <w:gridSpan w:val="4"/>
            <w:shd w:val="clear" w:color="auto" w:fill="auto"/>
            <w:vAlign w:val="center"/>
          </w:tcPr>
          <w:p w14:paraId="6D9A7B2C" w14:textId="77777777" w:rsidR="00922808" w:rsidRPr="00922808" w:rsidRDefault="00922808" w:rsidP="00922808">
            <w:pPr>
              <w:numPr>
                <w:ilvl w:val="0"/>
                <w:numId w:val="64"/>
              </w:numPr>
              <w:tabs>
                <w:tab w:val="left" w:pos="4889"/>
              </w:tabs>
              <w:spacing w:after="160" w:line="259" w:lineRule="auto"/>
              <w:contextualSpacing/>
              <w:jc w:val="both"/>
              <w:rPr>
                <w:rFonts w:ascii="Tahoma" w:hAnsi="Tahoma" w:cs="Tahoma"/>
                <w:bCs/>
                <w:iCs/>
              </w:rPr>
            </w:pPr>
            <w:r w:rsidRPr="00922808">
              <w:rPr>
                <w:rFonts w:ascii="Tahoma" w:hAnsi="Tahoma" w:cs="Tahoma"/>
                <w:bCs/>
                <w:iCs/>
              </w:rPr>
              <w:t xml:space="preserve">в течение 15 календарных дней с даты поступления средств: </w:t>
            </w:r>
            <w:r w:rsidRPr="00922808">
              <w:rPr>
                <w:rFonts w:ascii="Tahoma" w:hAnsi="Tahoma" w:cs="Tahoma"/>
                <w:b/>
                <w:bCs/>
                <w:iCs/>
              </w:rPr>
              <w:t>5%</w:t>
            </w:r>
            <w:r w:rsidRPr="00922808">
              <w:rPr>
                <w:rFonts w:ascii="Tahoma" w:hAnsi="Tahoma" w:cs="Tahoma"/>
                <w:bCs/>
                <w:iCs/>
              </w:rPr>
              <w:t xml:space="preserve"> от суммы выданных средств</w:t>
            </w:r>
            <w:r w:rsidRPr="00922808">
              <w:rPr>
                <w:rFonts w:ascii="Tahoma" w:hAnsi="Tahoma" w:cs="Tahoma"/>
                <w:bCs/>
                <w:iCs/>
                <w:vertAlign w:val="superscript"/>
              </w:rPr>
              <w:t>20</w:t>
            </w:r>
            <w:r w:rsidRPr="00922808">
              <w:rPr>
                <w:rFonts w:ascii="Tahoma" w:hAnsi="Tahoma" w:cs="Tahoma"/>
                <w:bCs/>
                <w:iCs/>
              </w:rPr>
              <w:t>;</w:t>
            </w:r>
          </w:p>
          <w:p w14:paraId="5A7427A4" w14:textId="77777777" w:rsidR="00922808" w:rsidRPr="00922808" w:rsidRDefault="00922808" w:rsidP="00922808">
            <w:pPr>
              <w:numPr>
                <w:ilvl w:val="0"/>
                <w:numId w:val="64"/>
              </w:numPr>
              <w:spacing w:after="200" w:line="276" w:lineRule="auto"/>
              <w:contextualSpacing/>
              <w:jc w:val="both"/>
            </w:pPr>
            <w:r w:rsidRPr="00922808">
              <w:rPr>
                <w:rFonts w:ascii="Tahoma" w:hAnsi="Tahoma" w:cs="Tahoma"/>
                <w:bCs/>
                <w:iCs/>
              </w:rPr>
              <w:t xml:space="preserve">по истечении 15 календарных дней с даты поступления средств: </w:t>
            </w:r>
            <w:r w:rsidRPr="00922808">
              <w:rPr>
                <w:rFonts w:ascii="Tahoma" w:hAnsi="Tahoma" w:cs="Tahoma"/>
                <w:b/>
                <w:bCs/>
                <w:iCs/>
                <w:color w:val="000000"/>
              </w:rPr>
              <w:t>БЕСПЛАТНО;</w:t>
            </w:r>
          </w:p>
          <w:p w14:paraId="3521A4B5" w14:textId="77777777" w:rsidR="00922808" w:rsidRPr="00922808" w:rsidRDefault="00922808" w:rsidP="00922808">
            <w:pPr>
              <w:numPr>
                <w:ilvl w:val="0"/>
                <w:numId w:val="64"/>
              </w:numPr>
              <w:spacing w:after="200" w:line="276" w:lineRule="auto"/>
              <w:contextualSpacing/>
              <w:jc w:val="both"/>
              <w:rPr>
                <w:rFonts w:ascii="Tahoma" w:hAnsi="Tahoma" w:cs="Tahoma"/>
              </w:rPr>
            </w:pPr>
            <w:r w:rsidRPr="00922808">
              <w:rPr>
                <w:rFonts w:ascii="Tahoma" w:hAnsi="Tahoma" w:cs="Tahoma"/>
              </w:rPr>
              <w:t xml:space="preserve">зачисление денежных средств со Счета вклада Клиента, причисление сумм процентов по Накопительным счетам, зачисление денежных средств по кредитным договорам Клиента с Банком, зачислений заработной платы, а также в результате конвертации валют: </w:t>
            </w:r>
            <w:r w:rsidRPr="00922808">
              <w:rPr>
                <w:rFonts w:ascii="Tahoma" w:hAnsi="Tahoma" w:cs="Tahoma"/>
                <w:b/>
              </w:rPr>
              <w:t>БЕСПЛАТНО;</w:t>
            </w:r>
          </w:p>
          <w:p w14:paraId="66B87D55" w14:textId="77777777" w:rsidR="00922808" w:rsidRPr="00922808" w:rsidRDefault="00922808" w:rsidP="00922808">
            <w:pPr>
              <w:numPr>
                <w:ilvl w:val="0"/>
                <w:numId w:val="64"/>
              </w:numPr>
              <w:spacing w:after="200" w:line="276" w:lineRule="auto"/>
              <w:contextualSpacing/>
              <w:jc w:val="both"/>
              <w:rPr>
                <w:rFonts w:ascii="Tahoma" w:hAnsi="Tahoma" w:cs="Tahoma"/>
              </w:rPr>
            </w:pPr>
            <w:r w:rsidRPr="00922808">
              <w:rPr>
                <w:rFonts w:ascii="Tahoma" w:hAnsi="Tahoma" w:cs="Tahoma"/>
              </w:rPr>
              <w:t xml:space="preserve">выдача наличной иностранной валюты в сумме остатка на 00:00 часов (по московскому времени) 9 марта 2022 года с любых вкладов или счетов Клиента в Банке в иностранной валюте, конвертация иностранной валюты в сумме остатка на 00:00 часов (по московскому времени) 9 марта 2022 года в доллары США или евро, осуществляемая в целях выдачи наличной иностранной валюты: </w:t>
            </w:r>
            <w:r w:rsidRPr="00922808">
              <w:rPr>
                <w:rFonts w:ascii="Tahoma" w:hAnsi="Tahoma" w:cs="Tahoma"/>
                <w:b/>
              </w:rPr>
              <w:t>БЕСПЛАТНО</w:t>
            </w:r>
            <w:r w:rsidRPr="00922808">
              <w:rPr>
                <w:rFonts w:ascii="Tahoma" w:hAnsi="Tahoma" w:cs="Tahoma"/>
                <w:vertAlign w:val="superscript"/>
              </w:rPr>
              <w:t>21,24</w:t>
            </w:r>
            <w:r w:rsidRPr="00922808">
              <w:rPr>
                <w:rFonts w:ascii="Tahoma" w:hAnsi="Tahoma" w:cs="Tahoma"/>
              </w:rPr>
              <w:t>.</w:t>
            </w:r>
          </w:p>
        </w:tc>
      </w:tr>
      <w:tr w:rsidR="00922808" w:rsidRPr="00922808" w14:paraId="5EA180B8" w14:textId="77777777" w:rsidTr="00922808">
        <w:tc>
          <w:tcPr>
            <w:tcW w:w="347" w:type="pct"/>
            <w:shd w:val="clear" w:color="auto" w:fill="808080"/>
            <w:vAlign w:val="center"/>
          </w:tcPr>
          <w:p w14:paraId="5FFD2EF1"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4.5.</w:t>
            </w:r>
          </w:p>
        </w:tc>
        <w:tc>
          <w:tcPr>
            <w:tcW w:w="4653" w:type="pct"/>
            <w:gridSpan w:val="5"/>
            <w:shd w:val="clear" w:color="auto" w:fill="808080"/>
            <w:vAlign w:val="center"/>
          </w:tcPr>
          <w:p w14:paraId="0EFEC392"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Конверсионные операции по Счетам Карт и Накопительным счетам</w:t>
            </w:r>
            <w:r w:rsidRPr="00922808">
              <w:rPr>
                <w:rFonts w:ascii="Tahoma" w:hAnsi="Tahoma" w:cs="Tahoma"/>
                <w:b/>
                <w:bCs/>
                <w:iCs/>
                <w:color w:val="FFFFFF"/>
                <w:sz w:val="22"/>
                <w:szCs w:val="22"/>
                <w:vertAlign w:val="superscript"/>
              </w:rPr>
              <w:t>20</w:t>
            </w:r>
            <w:r w:rsidRPr="00922808">
              <w:rPr>
                <w:rFonts w:ascii="Tahoma" w:hAnsi="Tahoma" w:cs="Tahoma"/>
                <w:b/>
                <w:bCs/>
                <w:iCs/>
                <w:color w:val="FFFFFF"/>
                <w:sz w:val="22"/>
                <w:szCs w:val="22"/>
              </w:rPr>
              <w:t>:</w:t>
            </w:r>
          </w:p>
        </w:tc>
      </w:tr>
      <w:tr w:rsidR="00922808" w:rsidRPr="00922808" w14:paraId="3AAD46E4" w14:textId="77777777" w:rsidTr="005A7C26">
        <w:tc>
          <w:tcPr>
            <w:tcW w:w="347" w:type="pct"/>
            <w:shd w:val="clear" w:color="auto" w:fill="auto"/>
            <w:vAlign w:val="center"/>
          </w:tcPr>
          <w:p w14:paraId="74D3F406"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4.5.1.</w:t>
            </w:r>
          </w:p>
        </w:tc>
        <w:tc>
          <w:tcPr>
            <w:tcW w:w="1757" w:type="pct"/>
            <w:shd w:val="clear" w:color="auto" w:fill="auto"/>
          </w:tcPr>
          <w:p w14:paraId="02457A94"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операции покупки/продажи иностранной валюты по Счетам Клиента, открытым в Банке, а также безналичные операции и операции выдачи/взноса наличных денежных с использованием Карты</w:t>
            </w:r>
          </w:p>
        </w:tc>
        <w:tc>
          <w:tcPr>
            <w:tcW w:w="2896" w:type="pct"/>
            <w:gridSpan w:val="4"/>
            <w:shd w:val="clear" w:color="auto" w:fill="auto"/>
            <w:vAlign w:val="center"/>
          </w:tcPr>
          <w:p w14:paraId="3E7C1E90"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color w:val="000000"/>
                <w:sz w:val="22"/>
                <w:szCs w:val="22"/>
              </w:rPr>
              <w:t>по курсу Банка на момент совершения операции</w:t>
            </w:r>
          </w:p>
        </w:tc>
      </w:tr>
      <w:tr w:rsidR="00922808" w:rsidRPr="00922808" w14:paraId="0C20E0E9" w14:textId="77777777" w:rsidTr="00922808">
        <w:tc>
          <w:tcPr>
            <w:tcW w:w="347" w:type="pct"/>
            <w:shd w:val="clear" w:color="auto" w:fill="808080"/>
            <w:vAlign w:val="center"/>
          </w:tcPr>
          <w:p w14:paraId="24857BBC"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4.6.</w:t>
            </w:r>
          </w:p>
        </w:tc>
        <w:tc>
          <w:tcPr>
            <w:tcW w:w="4653" w:type="pct"/>
            <w:gridSpan w:val="5"/>
            <w:shd w:val="clear" w:color="auto" w:fill="808080"/>
            <w:vAlign w:val="center"/>
          </w:tcPr>
          <w:p w14:paraId="2FE8AC25" w14:textId="77777777" w:rsidR="00922808" w:rsidRPr="00922808" w:rsidRDefault="00922808" w:rsidP="00922808">
            <w:pPr>
              <w:tabs>
                <w:tab w:val="left" w:pos="284"/>
              </w:tabs>
              <w:rPr>
                <w:rFonts w:ascii="Tahoma" w:hAnsi="Tahoma" w:cs="Tahoma"/>
                <w:b/>
                <w:bCs/>
                <w:iCs/>
                <w:color w:val="FFFFFF"/>
                <w:sz w:val="22"/>
                <w:szCs w:val="22"/>
              </w:rPr>
            </w:pPr>
            <w:r w:rsidRPr="00922808">
              <w:rPr>
                <w:rFonts w:ascii="Tahoma" w:hAnsi="Tahoma" w:cs="Tahoma"/>
                <w:b/>
                <w:bCs/>
                <w:iCs/>
                <w:color w:val="FFFFFF"/>
                <w:sz w:val="22"/>
                <w:szCs w:val="22"/>
              </w:rPr>
              <w:t>Прочие операции и сервисы:</w:t>
            </w:r>
          </w:p>
        </w:tc>
      </w:tr>
      <w:tr w:rsidR="00922808" w:rsidRPr="00922808" w14:paraId="2DABFDB6" w14:textId="77777777" w:rsidTr="005A7C26">
        <w:trPr>
          <w:trHeight w:val="427"/>
        </w:trPr>
        <w:tc>
          <w:tcPr>
            <w:tcW w:w="347" w:type="pct"/>
            <w:shd w:val="clear" w:color="auto" w:fill="auto"/>
            <w:vAlign w:val="center"/>
          </w:tcPr>
          <w:p w14:paraId="6460F979"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4.6.1.</w:t>
            </w:r>
          </w:p>
        </w:tc>
        <w:tc>
          <w:tcPr>
            <w:tcW w:w="1757" w:type="pct"/>
            <w:shd w:val="clear" w:color="auto" w:fill="auto"/>
            <w:vAlign w:val="center"/>
          </w:tcPr>
          <w:p w14:paraId="774F84F3" w14:textId="77777777" w:rsidR="00922808" w:rsidRPr="00922808" w:rsidRDefault="00922808" w:rsidP="00922808">
            <w:pPr>
              <w:rPr>
                <w:rFonts w:ascii="Tahoma" w:eastAsia="Calibri" w:hAnsi="Tahoma" w:cs="Tahoma"/>
                <w:lang w:eastAsia="en-US"/>
              </w:rPr>
            </w:pPr>
            <w:r w:rsidRPr="00922808">
              <w:rPr>
                <w:rFonts w:ascii="Tahoma" w:eastAsia="Calibri" w:hAnsi="Tahoma" w:cs="Tahoma"/>
                <w:sz w:val="22"/>
                <w:szCs w:val="22"/>
                <w:lang w:eastAsia="en-US"/>
              </w:rPr>
              <w:t>стоимость услуги СМС-информирования (полный пакет): детализирование уведомление о приходных и расходных операциях по Счету Карты в формате СМС-сообщений на мобильный телефон Клиента, указанный Клиентом Банку в качестве основного</w:t>
            </w:r>
            <w:r w:rsidRPr="00922808">
              <w:rPr>
                <w:rFonts w:ascii="Tahoma" w:hAnsi="Tahoma" w:cs="Tahoma"/>
                <w:bCs/>
                <w:iCs/>
                <w:sz w:val="22"/>
                <w:szCs w:val="22"/>
                <w:vertAlign w:val="superscript"/>
              </w:rPr>
              <w:t>22</w:t>
            </w:r>
          </w:p>
        </w:tc>
        <w:tc>
          <w:tcPr>
            <w:tcW w:w="2896" w:type="pct"/>
            <w:gridSpan w:val="4"/>
            <w:vMerge w:val="restart"/>
            <w:shd w:val="clear" w:color="auto" w:fill="auto"/>
            <w:vAlign w:val="center"/>
          </w:tcPr>
          <w:p w14:paraId="40AC50FE" w14:textId="77777777" w:rsidR="00922808" w:rsidRPr="00922808" w:rsidRDefault="00922808" w:rsidP="00922808">
            <w:pPr>
              <w:tabs>
                <w:tab w:val="left" w:pos="284"/>
              </w:tabs>
              <w:jc w:val="center"/>
              <w:rPr>
                <w:rFonts w:ascii="Tahoma" w:hAnsi="Tahoma" w:cs="Tahoma"/>
                <w:b/>
                <w:bCs/>
                <w:iCs/>
                <w:color w:val="000000"/>
                <w:sz w:val="22"/>
                <w:szCs w:val="22"/>
              </w:rPr>
            </w:pPr>
            <w:r w:rsidRPr="00922808">
              <w:rPr>
                <w:rFonts w:ascii="Tahoma" w:hAnsi="Tahoma" w:cs="Tahoma"/>
                <w:b/>
                <w:bCs/>
                <w:iCs/>
                <w:color w:val="000000"/>
                <w:sz w:val="22"/>
                <w:szCs w:val="22"/>
              </w:rPr>
              <w:t>БЕСПЛАТНО</w:t>
            </w:r>
          </w:p>
        </w:tc>
      </w:tr>
      <w:tr w:rsidR="00922808" w:rsidRPr="00922808" w14:paraId="63A58D15" w14:textId="77777777" w:rsidTr="005A7C26">
        <w:trPr>
          <w:trHeight w:val="383"/>
        </w:trPr>
        <w:tc>
          <w:tcPr>
            <w:tcW w:w="347" w:type="pct"/>
            <w:shd w:val="clear" w:color="auto" w:fill="auto"/>
            <w:vAlign w:val="center"/>
          </w:tcPr>
          <w:p w14:paraId="3A30F600"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4.6.</w:t>
            </w:r>
            <w:r w:rsidRPr="00922808">
              <w:rPr>
                <w:rFonts w:ascii="Tahoma" w:hAnsi="Tahoma" w:cs="Tahoma"/>
                <w:bCs/>
                <w:iCs/>
                <w:color w:val="000000"/>
                <w:sz w:val="22"/>
                <w:szCs w:val="22"/>
                <w:lang w:val="en-US"/>
              </w:rPr>
              <w:t>2</w:t>
            </w:r>
            <w:r w:rsidRPr="00922808">
              <w:rPr>
                <w:rFonts w:ascii="Tahoma" w:hAnsi="Tahoma" w:cs="Tahoma"/>
                <w:bCs/>
                <w:iCs/>
                <w:color w:val="000000"/>
                <w:sz w:val="22"/>
                <w:szCs w:val="22"/>
              </w:rPr>
              <w:t>.</w:t>
            </w:r>
          </w:p>
        </w:tc>
        <w:tc>
          <w:tcPr>
            <w:tcW w:w="1757" w:type="pct"/>
            <w:shd w:val="clear" w:color="auto" w:fill="auto"/>
            <w:vAlign w:val="center"/>
          </w:tcPr>
          <w:p w14:paraId="035A3166"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доступ к каналам ДБО: «АТБ-Онлайн», Мобильный банк</w:t>
            </w:r>
          </w:p>
        </w:tc>
        <w:tc>
          <w:tcPr>
            <w:tcW w:w="2896" w:type="pct"/>
            <w:gridSpan w:val="4"/>
            <w:vMerge/>
            <w:shd w:val="clear" w:color="auto" w:fill="auto"/>
            <w:vAlign w:val="center"/>
          </w:tcPr>
          <w:p w14:paraId="3625CFE6" w14:textId="77777777" w:rsidR="00922808" w:rsidRPr="00922808" w:rsidRDefault="00922808" w:rsidP="00922808">
            <w:pPr>
              <w:tabs>
                <w:tab w:val="left" w:pos="284"/>
              </w:tabs>
              <w:jc w:val="center"/>
              <w:rPr>
                <w:rFonts w:ascii="Tahoma" w:hAnsi="Tahoma" w:cs="Tahoma"/>
                <w:b/>
                <w:bCs/>
                <w:iCs/>
                <w:color w:val="000000"/>
                <w:sz w:val="22"/>
                <w:szCs w:val="22"/>
              </w:rPr>
            </w:pPr>
          </w:p>
        </w:tc>
      </w:tr>
      <w:tr w:rsidR="00922808" w:rsidRPr="00922808" w14:paraId="4ABB9EF5" w14:textId="77777777" w:rsidTr="005A7C26">
        <w:tc>
          <w:tcPr>
            <w:tcW w:w="347" w:type="pct"/>
            <w:shd w:val="clear" w:color="auto" w:fill="auto"/>
            <w:vAlign w:val="center"/>
          </w:tcPr>
          <w:p w14:paraId="6122595C" w14:textId="77777777" w:rsidR="00922808" w:rsidRPr="00922808" w:rsidRDefault="00922808" w:rsidP="00922808">
            <w:pPr>
              <w:spacing w:after="160" w:line="259" w:lineRule="auto"/>
              <w:rPr>
                <w:rFonts w:ascii="Calibri" w:eastAsia="Calibri" w:hAnsi="Calibri"/>
                <w:sz w:val="22"/>
                <w:szCs w:val="22"/>
                <w:lang w:eastAsia="en-US"/>
              </w:rPr>
            </w:pPr>
            <w:r w:rsidRPr="00922808">
              <w:rPr>
                <w:rFonts w:ascii="Tahoma" w:hAnsi="Tahoma" w:cs="Tahoma"/>
                <w:bCs/>
                <w:iCs/>
                <w:color w:val="000000"/>
                <w:sz w:val="22"/>
                <w:szCs w:val="22"/>
              </w:rPr>
              <w:t>4.6.3.</w:t>
            </w:r>
          </w:p>
        </w:tc>
        <w:tc>
          <w:tcPr>
            <w:tcW w:w="1757" w:type="pct"/>
            <w:shd w:val="clear" w:color="auto" w:fill="auto"/>
            <w:vAlign w:val="center"/>
          </w:tcPr>
          <w:p w14:paraId="7DCB0C7D"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запрос баланса Счета Карты в банкоматах Банка посредством вывода информации на экран устройства и/или чек</w:t>
            </w:r>
          </w:p>
        </w:tc>
        <w:tc>
          <w:tcPr>
            <w:tcW w:w="2896" w:type="pct"/>
            <w:gridSpan w:val="4"/>
            <w:vMerge/>
            <w:shd w:val="clear" w:color="auto" w:fill="auto"/>
            <w:vAlign w:val="center"/>
          </w:tcPr>
          <w:p w14:paraId="71AB1117" w14:textId="77777777" w:rsidR="00922808" w:rsidRPr="00922808" w:rsidRDefault="00922808" w:rsidP="00922808">
            <w:pPr>
              <w:tabs>
                <w:tab w:val="left" w:pos="284"/>
              </w:tabs>
              <w:jc w:val="center"/>
              <w:rPr>
                <w:rFonts w:ascii="Tahoma" w:hAnsi="Tahoma" w:cs="Tahoma"/>
                <w:b/>
                <w:bCs/>
                <w:iCs/>
                <w:color w:val="000000"/>
                <w:sz w:val="22"/>
                <w:szCs w:val="22"/>
              </w:rPr>
            </w:pPr>
          </w:p>
        </w:tc>
      </w:tr>
      <w:tr w:rsidR="00922808" w:rsidRPr="00922808" w14:paraId="1059B0C6" w14:textId="77777777" w:rsidTr="005A7C26">
        <w:trPr>
          <w:trHeight w:val="77"/>
        </w:trPr>
        <w:tc>
          <w:tcPr>
            <w:tcW w:w="347" w:type="pct"/>
            <w:shd w:val="clear" w:color="auto" w:fill="auto"/>
            <w:vAlign w:val="center"/>
          </w:tcPr>
          <w:p w14:paraId="1ACE03BC" w14:textId="77777777" w:rsidR="00922808" w:rsidRPr="00922808" w:rsidRDefault="00922808" w:rsidP="00922808">
            <w:pPr>
              <w:spacing w:after="160" w:line="259" w:lineRule="auto"/>
              <w:rPr>
                <w:rFonts w:ascii="Calibri" w:eastAsia="Calibri" w:hAnsi="Calibri"/>
                <w:sz w:val="22"/>
                <w:szCs w:val="22"/>
                <w:lang w:eastAsia="en-US"/>
              </w:rPr>
            </w:pPr>
            <w:r w:rsidRPr="00922808">
              <w:rPr>
                <w:rFonts w:ascii="Tahoma" w:hAnsi="Tahoma" w:cs="Tahoma"/>
                <w:bCs/>
                <w:iCs/>
                <w:color w:val="000000"/>
                <w:sz w:val="22"/>
                <w:szCs w:val="22"/>
              </w:rPr>
              <w:t>4.6.4.</w:t>
            </w:r>
          </w:p>
        </w:tc>
        <w:tc>
          <w:tcPr>
            <w:tcW w:w="1757" w:type="pct"/>
            <w:shd w:val="clear" w:color="auto" w:fill="auto"/>
            <w:vAlign w:val="center"/>
          </w:tcPr>
          <w:p w14:paraId="6C71F7E5"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приостановление/возобновление операций с Картой</w:t>
            </w:r>
            <w:r w:rsidRPr="00922808">
              <w:rPr>
                <w:rFonts w:ascii="Tahoma" w:hAnsi="Tahoma" w:cs="Tahoma"/>
                <w:bCs/>
                <w:iCs/>
                <w:sz w:val="22"/>
                <w:szCs w:val="22"/>
                <w:vertAlign w:val="superscript"/>
              </w:rPr>
              <w:t>23</w:t>
            </w:r>
          </w:p>
        </w:tc>
        <w:tc>
          <w:tcPr>
            <w:tcW w:w="2896" w:type="pct"/>
            <w:gridSpan w:val="4"/>
            <w:vMerge/>
            <w:shd w:val="clear" w:color="auto" w:fill="auto"/>
            <w:vAlign w:val="center"/>
          </w:tcPr>
          <w:p w14:paraId="6B3FF9A9" w14:textId="77777777" w:rsidR="00922808" w:rsidRPr="00922808" w:rsidRDefault="00922808" w:rsidP="00922808">
            <w:pPr>
              <w:tabs>
                <w:tab w:val="left" w:pos="284"/>
              </w:tabs>
              <w:jc w:val="center"/>
              <w:rPr>
                <w:rFonts w:ascii="Tahoma" w:hAnsi="Tahoma" w:cs="Tahoma"/>
                <w:bCs/>
                <w:iCs/>
                <w:color w:val="000000"/>
                <w:sz w:val="22"/>
                <w:szCs w:val="22"/>
              </w:rPr>
            </w:pPr>
          </w:p>
        </w:tc>
      </w:tr>
      <w:tr w:rsidR="00922808" w:rsidRPr="00922808" w14:paraId="18776B79" w14:textId="77777777" w:rsidTr="005A7C26">
        <w:tc>
          <w:tcPr>
            <w:tcW w:w="347" w:type="pct"/>
            <w:shd w:val="clear" w:color="auto" w:fill="auto"/>
            <w:vAlign w:val="center"/>
          </w:tcPr>
          <w:p w14:paraId="5BDF5074"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4.6.5.</w:t>
            </w:r>
          </w:p>
        </w:tc>
        <w:tc>
          <w:tcPr>
            <w:tcW w:w="1757" w:type="pct"/>
            <w:shd w:val="clear" w:color="auto" w:fill="auto"/>
            <w:vAlign w:val="center"/>
          </w:tcPr>
          <w:p w14:paraId="211E58A5"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выдача остатка денежных средств после закрытия Счета Карты</w:t>
            </w:r>
          </w:p>
        </w:tc>
        <w:tc>
          <w:tcPr>
            <w:tcW w:w="2896" w:type="pct"/>
            <w:gridSpan w:val="4"/>
            <w:vMerge/>
            <w:shd w:val="clear" w:color="auto" w:fill="auto"/>
            <w:vAlign w:val="center"/>
          </w:tcPr>
          <w:p w14:paraId="243B7800" w14:textId="77777777" w:rsidR="00922808" w:rsidRPr="00922808" w:rsidRDefault="00922808" w:rsidP="00922808">
            <w:pPr>
              <w:tabs>
                <w:tab w:val="left" w:pos="284"/>
              </w:tabs>
              <w:jc w:val="center"/>
              <w:rPr>
                <w:rFonts w:ascii="Tahoma" w:hAnsi="Tahoma" w:cs="Tahoma"/>
                <w:bCs/>
                <w:iCs/>
                <w:color w:val="000000"/>
                <w:sz w:val="22"/>
                <w:szCs w:val="22"/>
              </w:rPr>
            </w:pPr>
          </w:p>
        </w:tc>
      </w:tr>
      <w:tr w:rsidR="00922808" w:rsidRPr="00922808" w14:paraId="439E3DDC" w14:textId="77777777" w:rsidTr="005A7C26">
        <w:tc>
          <w:tcPr>
            <w:tcW w:w="347" w:type="pct"/>
            <w:shd w:val="clear" w:color="auto" w:fill="auto"/>
            <w:vAlign w:val="center"/>
          </w:tcPr>
          <w:p w14:paraId="3862C1C5"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4.6.6.</w:t>
            </w:r>
          </w:p>
        </w:tc>
        <w:tc>
          <w:tcPr>
            <w:tcW w:w="1757" w:type="pct"/>
            <w:shd w:val="clear" w:color="auto" w:fill="auto"/>
            <w:vAlign w:val="center"/>
          </w:tcPr>
          <w:p w14:paraId="3FB080FA"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постановка Карты в международный стоп-лист (на 2 недели) по волеизъявлению Клиента, 1 (один) регион</w:t>
            </w:r>
          </w:p>
        </w:tc>
        <w:tc>
          <w:tcPr>
            <w:tcW w:w="2896" w:type="pct"/>
            <w:gridSpan w:val="4"/>
            <w:shd w:val="clear" w:color="auto" w:fill="auto"/>
            <w:vAlign w:val="center"/>
          </w:tcPr>
          <w:p w14:paraId="7150CB90"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color w:val="000000"/>
                <w:sz w:val="22"/>
                <w:szCs w:val="22"/>
              </w:rPr>
              <w:t>1 500 рублей</w:t>
            </w:r>
          </w:p>
        </w:tc>
      </w:tr>
      <w:tr w:rsidR="00922808" w:rsidRPr="00922808" w14:paraId="55CC5CFC" w14:textId="77777777" w:rsidTr="005A7C26">
        <w:tc>
          <w:tcPr>
            <w:tcW w:w="347" w:type="pct"/>
            <w:shd w:val="clear" w:color="auto" w:fill="auto"/>
            <w:vAlign w:val="center"/>
          </w:tcPr>
          <w:p w14:paraId="28B80627"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4.6.7.</w:t>
            </w:r>
          </w:p>
        </w:tc>
        <w:tc>
          <w:tcPr>
            <w:tcW w:w="1757" w:type="pct"/>
            <w:shd w:val="clear" w:color="auto" w:fill="auto"/>
            <w:vAlign w:val="center"/>
          </w:tcPr>
          <w:p w14:paraId="36D0C8DB"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выписка по Счету Карты</w:t>
            </w:r>
          </w:p>
        </w:tc>
        <w:tc>
          <w:tcPr>
            <w:tcW w:w="2896" w:type="pct"/>
            <w:gridSpan w:val="4"/>
            <w:shd w:val="clear" w:color="auto" w:fill="auto"/>
            <w:vAlign w:val="center"/>
          </w:tcPr>
          <w:p w14:paraId="02B6465D" w14:textId="77777777" w:rsidR="00922808" w:rsidRPr="00922808" w:rsidRDefault="00922808" w:rsidP="00922808">
            <w:pPr>
              <w:tabs>
                <w:tab w:val="left" w:pos="284"/>
                <w:tab w:val="left" w:pos="5609"/>
              </w:tabs>
              <w:jc w:val="center"/>
              <w:rPr>
                <w:rFonts w:ascii="Tahoma" w:hAnsi="Tahoma" w:cs="Tahoma"/>
                <w:b/>
                <w:bCs/>
                <w:iCs/>
                <w:color w:val="000000"/>
                <w:sz w:val="22"/>
                <w:szCs w:val="22"/>
              </w:rPr>
            </w:pPr>
            <w:r w:rsidRPr="00922808">
              <w:rPr>
                <w:rFonts w:ascii="Tahoma" w:hAnsi="Tahoma" w:cs="Tahoma"/>
                <w:bCs/>
                <w:iCs/>
                <w:color w:val="000000"/>
                <w:sz w:val="22"/>
                <w:szCs w:val="22"/>
              </w:rPr>
              <w:t>в банкоматах Банка:</w:t>
            </w:r>
            <w:r w:rsidRPr="00922808">
              <w:rPr>
                <w:rFonts w:ascii="Tahoma" w:hAnsi="Tahoma" w:cs="Tahoma"/>
                <w:b/>
                <w:bCs/>
                <w:iCs/>
                <w:color w:val="000000"/>
                <w:sz w:val="22"/>
                <w:szCs w:val="22"/>
              </w:rPr>
              <w:t xml:space="preserve"> БЕСПЛАТНО </w:t>
            </w:r>
          </w:p>
          <w:p w14:paraId="25B6183B" w14:textId="77777777" w:rsidR="00922808" w:rsidRPr="00922808" w:rsidRDefault="00922808" w:rsidP="00922808">
            <w:pPr>
              <w:tabs>
                <w:tab w:val="left" w:pos="284"/>
                <w:tab w:val="left" w:pos="5609"/>
              </w:tabs>
              <w:jc w:val="center"/>
              <w:rPr>
                <w:rFonts w:ascii="Tahoma" w:hAnsi="Tahoma" w:cs="Tahoma"/>
                <w:bCs/>
                <w:iCs/>
                <w:color w:val="000000"/>
                <w:sz w:val="22"/>
                <w:szCs w:val="22"/>
              </w:rPr>
            </w:pPr>
            <w:r w:rsidRPr="00922808">
              <w:rPr>
                <w:rFonts w:ascii="Tahoma" w:hAnsi="Tahoma" w:cs="Tahoma"/>
                <w:bCs/>
                <w:iCs/>
                <w:color w:val="000000"/>
                <w:sz w:val="22"/>
                <w:szCs w:val="22"/>
              </w:rPr>
              <w:t>в Подразделениях Банка: 250 рублей за одну выписку</w:t>
            </w:r>
          </w:p>
        </w:tc>
      </w:tr>
      <w:tr w:rsidR="00922808" w:rsidRPr="00922808" w14:paraId="7BCBA094" w14:textId="77777777" w:rsidTr="005A7C26">
        <w:tc>
          <w:tcPr>
            <w:tcW w:w="347" w:type="pct"/>
            <w:shd w:val="clear" w:color="auto" w:fill="auto"/>
            <w:vAlign w:val="center"/>
          </w:tcPr>
          <w:p w14:paraId="1C182051" w14:textId="77777777" w:rsidR="00922808" w:rsidRPr="00922808" w:rsidRDefault="00922808" w:rsidP="00922808">
            <w:pPr>
              <w:spacing w:after="160" w:line="259" w:lineRule="auto"/>
              <w:rPr>
                <w:rFonts w:ascii="Calibri" w:eastAsia="Calibri" w:hAnsi="Calibri"/>
                <w:sz w:val="22"/>
                <w:szCs w:val="22"/>
                <w:lang w:eastAsia="en-US"/>
              </w:rPr>
            </w:pPr>
            <w:r w:rsidRPr="00922808">
              <w:rPr>
                <w:rFonts w:ascii="Tahoma" w:hAnsi="Tahoma" w:cs="Tahoma"/>
                <w:bCs/>
                <w:iCs/>
                <w:color w:val="000000"/>
                <w:sz w:val="22"/>
                <w:szCs w:val="22"/>
              </w:rPr>
              <w:t>4.6.8.</w:t>
            </w:r>
          </w:p>
        </w:tc>
        <w:tc>
          <w:tcPr>
            <w:tcW w:w="1757" w:type="pct"/>
            <w:shd w:val="clear" w:color="auto" w:fill="auto"/>
            <w:vAlign w:val="center"/>
          </w:tcPr>
          <w:p w14:paraId="649C8510" w14:textId="77777777" w:rsidR="00922808" w:rsidRPr="00922808" w:rsidRDefault="00922808" w:rsidP="00922808">
            <w:pPr>
              <w:tabs>
                <w:tab w:val="left" w:pos="284"/>
              </w:tabs>
              <w:rPr>
                <w:rFonts w:ascii="Tahoma" w:hAnsi="Tahoma" w:cs="Tahoma"/>
                <w:bCs/>
                <w:iCs/>
                <w:color w:val="000000"/>
                <w:sz w:val="22"/>
                <w:szCs w:val="22"/>
              </w:rPr>
            </w:pPr>
            <w:r w:rsidRPr="00922808">
              <w:rPr>
                <w:rFonts w:ascii="Tahoma" w:hAnsi="Tahoma" w:cs="Tahoma"/>
                <w:bCs/>
                <w:iCs/>
                <w:color w:val="000000"/>
                <w:sz w:val="22"/>
                <w:szCs w:val="22"/>
              </w:rPr>
              <w:t>услуги, оказанные другими банками (авторизация по телексу, направление в Банк информации об утере/краже Карты)</w:t>
            </w:r>
          </w:p>
        </w:tc>
        <w:tc>
          <w:tcPr>
            <w:tcW w:w="2896" w:type="pct"/>
            <w:gridSpan w:val="4"/>
            <w:shd w:val="clear" w:color="auto" w:fill="auto"/>
            <w:vAlign w:val="center"/>
          </w:tcPr>
          <w:p w14:paraId="63A99525" w14:textId="77777777" w:rsidR="00922808" w:rsidRPr="00922808" w:rsidRDefault="00922808" w:rsidP="00922808">
            <w:pPr>
              <w:tabs>
                <w:tab w:val="left" w:pos="284"/>
              </w:tabs>
              <w:jc w:val="center"/>
              <w:rPr>
                <w:rFonts w:ascii="Tahoma" w:hAnsi="Tahoma" w:cs="Tahoma"/>
                <w:bCs/>
                <w:iCs/>
                <w:color w:val="000000"/>
                <w:sz w:val="22"/>
                <w:szCs w:val="22"/>
              </w:rPr>
            </w:pPr>
            <w:r w:rsidRPr="00922808">
              <w:rPr>
                <w:rFonts w:ascii="Tahoma" w:hAnsi="Tahoma" w:cs="Tahoma"/>
                <w:bCs/>
                <w:iCs/>
                <w:color w:val="000000"/>
                <w:sz w:val="22"/>
                <w:szCs w:val="22"/>
              </w:rPr>
              <w:t>по фактическим затратам Банка</w:t>
            </w:r>
          </w:p>
        </w:tc>
      </w:tr>
      <w:tr w:rsidR="00922808" w:rsidRPr="00922808" w14:paraId="550BF20C" w14:textId="77777777" w:rsidTr="005A7C26">
        <w:tc>
          <w:tcPr>
            <w:tcW w:w="347" w:type="pct"/>
            <w:shd w:val="clear" w:color="auto" w:fill="808080"/>
            <w:vAlign w:val="center"/>
          </w:tcPr>
          <w:p w14:paraId="4DDC3C6F" w14:textId="77777777" w:rsidR="00922808" w:rsidRPr="00922808" w:rsidRDefault="00922808" w:rsidP="00922808">
            <w:pPr>
              <w:tabs>
                <w:tab w:val="left" w:pos="284"/>
              </w:tabs>
              <w:rPr>
                <w:rFonts w:ascii="Tahoma" w:hAnsi="Tahoma" w:cs="Tahoma"/>
                <w:bCs/>
                <w:iCs/>
                <w:color w:val="FFFFFF"/>
                <w:sz w:val="28"/>
                <w:szCs w:val="22"/>
              </w:rPr>
            </w:pPr>
            <w:r w:rsidRPr="00922808">
              <w:rPr>
                <w:rFonts w:ascii="Tahoma" w:hAnsi="Tahoma" w:cs="Tahoma"/>
                <w:bCs/>
                <w:iCs/>
                <w:color w:val="FFFFFF"/>
                <w:sz w:val="28"/>
                <w:szCs w:val="22"/>
              </w:rPr>
              <w:t>5.</w:t>
            </w:r>
          </w:p>
        </w:tc>
        <w:tc>
          <w:tcPr>
            <w:tcW w:w="4653" w:type="pct"/>
            <w:gridSpan w:val="5"/>
            <w:shd w:val="clear" w:color="auto" w:fill="808080"/>
            <w:vAlign w:val="center"/>
          </w:tcPr>
          <w:p w14:paraId="1507531B" w14:textId="77777777" w:rsidR="00922808" w:rsidRPr="00922808" w:rsidRDefault="00922808" w:rsidP="00922808">
            <w:pPr>
              <w:tabs>
                <w:tab w:val="left" w:pos="284"/>
              </w:tabs>
              <w:rPr>
                <w:rFonts w:ascii="Tahoma" w:hAnsi="Tahoma" w:cs="Tahoma"/>
                <w:bCs/>
                <w:iCs/>
                <w:color w:val="FFFFFF"/>
                <w:sz w:val="28"/>
                <w:szCs w:val="22"/>
              </w:rPr>
            </w:pPr>
            <w:r w:rsidRPr="00922808">
              <w:rPr>
                <w:rFonts w:ascii="Tahoma" w:hAnsi="Tahoma" w:cs="Tahoma"/>
                <w:bCs/>
                <w:iCs/>
                <w:color w:val="FFFFFF"/>
                <w:sz w:val="28"/>
                <w:szCs w:val="22"/>
              </w:rPr>
              <w:t>Применимость правил программ лояльности</w:t>
            </w:r>
          </w:p>
        </w:tc>
      </w:tr>
      <w:tr w:rsidR="00922808" w:rsidRPr="00922808" w14:paraId="2EF6C43B" w14:textId="77777777" w:rsidTr="005A7C26">
        <w:tc>
          <w:tcPr>
            <w:tcW w:w="2104" w:type="pct"/>
            <w:gridSpan w:val="2"/>
            <w:shd w:val="clear" w:color="auto" w:fill="808080"/>
            <w:vAlign w:val="center"/>
          </w:tcPr>
          <w:p w14:paraId="46519BE3" w14:textId="77777777" w:rsidR="00922808" w:rsidRPr="00922808" w:rsidRDefault="00922808" w:rsidP="00922808">
            <w:pPr>
              <w:tabs>
                <w:tab w:val="left" w:pos="284"/>
              </w:tabs>
              <w:rPr>
                <w:rFonts w:ascii="Tahoma" w:hAnsi="Tahoma" w:cs="Tahoma"/>
                <w:b/>
                <w:bCs/>
                <w:iCs/>
                <w:color w:val="FFFFFF"/>
                <w:sz w:val="28"/>
                <w:szCs w:val="22"/>
              </w:rPr>
            </w:pPr>
          </w:p>
        </w:tc>
        <w:tc>
          <w:tcPr>
            <w:tcW w:w="1403" w:type="pct"/>
            <w:gridSpan w:val="2"/>
            <w:shd w:val="clear" w:color="auto" w:fill="808080"/>
            <w:vAlign w:val="center"/>
          </w:tcPr>
          <w:p w14:paraId="43D63206" w14:textId="77777777" w:rsidR="00922808" w:rsidRPr="00922808" w:rsidDel="00EB4583" w:rsidRDefault="00922808" w:rsidP="00922808">
            <w:pPr>
              <w:tabs>
                <w:tab w:val="left" w:pos="284"/>
              </w:tabs>
              <w:jc w:val="center"/>
              <w:rPr>
                <w:rFonts w:ascii="Tahoma" w:hAnsi="Tahoma" w:cs="Tahoma"/>
                <w:b/>
                <w:bCs/>
                <w:iCs/>
                <w:color w:val="FFFFFF"/>
                <w:sz w:val="28"/>
                <w:szCs w:val="22"/>
              </w:rPr>
            </w:pPr>
            <w:r w:rsidRPr="00922808">
              <w:rPr>
                <w:rFonts w:ascii="Tahoma" w:eastAsia="Calibri" w:hAnsi="Tahoma" w:cs="Tahoma"/>
                <w:b/>
                <w:color w:val="FFFFFF"/>
                <w:sz w:val="22"/>
                <w:szCs w:val="22"/>
                <w:lang w:eastAsia="en-US"/>
              </w:rPr>
              <w:t>UnionPay</w:t>
            </w:r>
            <w:r w:rsidRPr="00922808">
              <w:rPr>
                <w:rFonts w:ascii="Tahoma" w:hAnsi="Tahoma" w:cs="Tahoma"/>
                <w:b/>
                <w:bCs/>
                <w:iCs/>
                <w:color w:val="FFFFFF"/>
                <w:sz w:val="22"/>
                <w:szCs w:val="22"/>
              </w:rPr>
              <w:t xml:space="preserve">: </w:t>
            </w:r>
            <w:r w:rsidRPr="00922808">
              <w:rPr>
                <w:rFonts w:ascii="Tahoma" w:hAnsi="Tahoma" w:cs="Tahoma"/>
                <w:b/>
                <w:bCs/>
                <w:iCs/>
                <w:color w:val="FFFFFF"/>
                <w:sz w:val="22"/>
                <w:szCs w:val="22"/>
                <w:lang w:val="en-US"/>
              </w:rPr>
              <w:t>Platinum</w:t>
            </w:r>
            <w:r w:rsidRPr="00922808">
              <w:rPr>
                <w:rFonts w:ascii="Tahoma" w:hAnsi="Tahoma" w:cs="Tahoma"/>
                <w:b/>
                <w:bCs/>
                <w:iCs/>
                <w:color w:val="FFFFFF"/>
                <w:sz w:val="22"/>
                <w:szCs w:val="22"/>
              </w:rPr>
              <w:t xml:space="preserve"> или</w:t>
            </w:r>
            <w:r w:rsidRPr="00922808">
              <w:rPr>
                <w:rFonts w:ascii="Tahoma" w:eastAsia="Calibri" w:hAnsi="Tahoma" w:cs="Tahoma"/>
                <w:b/>
                <w:color w:val="FFFFFF"/>
                <w:sz w:val="22"/>
                <w:szCs w:val="22"/>
                <w:lang w:eastAsia="en-US"/>
              </w:rPr>
              <w:t xml:space="preserve"> Diamond</w:t>
            </w:r>
          </w:p>
        </w:tc>
        <w:tc>
          <w:tcPr>
            <w:tcW w:w="1493" w:type="pct"/>
            <w:gridSpan w:val="2"/>
            <w:shd w:val="clear" w:color="auto" w:fill="808080"/>
            <w:vAlign w:val="center"/>
          </w:tcPr>
          <w:p w14:paraId="0B49F2DD" w14:textId="77777777" w:rsidR="00922808" w:rsidRPr="00922808" w:rsidDel="00EB4583" w:rsidRDefault="00922808" w:rsidP="00922808">
            <w:pPr>
              <w:tabs>
                <w:tab w:val="left" w:pos="284"/>
              </w:tabs>
              <w:jc w:val="center"/>
              <w:rPr>
                <w:rFonts w:ascii="Tahoma" w:hAnsi="Tahoma" w:cs="Tahoma"/>
                <w:b/>
                <w:bCs/>
                <w:iCs/>
                <w:color w:val="FFFFFF"/>
                <w:sz w:val="28"/>
                <w:szCs w:val="22"/>
              </w:rPr>
            </w:pPr>
            <w:r w:rsidRPr="00922808">
              <w:rPr>
                <w:rFonts w:ascii="Tahoma" w:eastAsia="Calibri" w:hAnsi="Tahoma" w:cs="Tahoma"/>
                <w:b/>
                <w:color w:val="FFFFFF"/>
                <w:sz w:val="22"/>
                <w:szCs w:val="22"/>
                <w:lang w:eastAsia="en-US"/>
              </w:rPr>
              <w:t>Visa Platinum</w:t>
            </w:r>
          </w:p>
        </w:tc>
      </w:tr>
      <w:tr w:rsidR="00922808" w:rsidRPr="00922808" w14:paraId="4C2E1EAB" w14:textId="77777777" w:rsidTr="005A7C26">
        <w:trPr>
          <w:trHeight w:val="1149"/>
        </w:trPr>
        <w:tc>
          <w:tcPr>
            <w:tcW w:w="347" w:type="pct"/>
            <w:shd w:val="clear" w:color="auto" w:fill="auto"/>
            <w:vAlign w:val="center"/>
          </w:tcPr>
          <w:p w14:paraId="4BD2CAE6" w14:textId="77777777" w:rsidR="00922808" w:rsidRPr="00922808" w:rsidRDefault="00922808" w:rsidP="00922808">
            <w:pPr>
              <w:spacing w:after="160" w:line="259" w:lineRule="auto"/>
              <w:rPr>
                <w:rFonts w:ascii="Tahoma" w:hAnsi="Tahoma" w:cs="Tahoma"/>
                <w:bCs/>
                <w:iCs/>
                <w:color w:val="000000"/>
                <w:sz w:val="22"/>
                <w:szCs w:val="22"/>
              </w:rPr>
            </w:pPr>
            <w:r w:rsidRPr="00922808">
              <w:rPr>
                <w:rFonts w:ascii="Tahoma" w:hAnsi="Tahoma" w:cs="Tahoma"/>
                <w:bCs/>
                <w:iCs/>
                <w:color w:val="000000"/>
                <w:sz w:val="22"/>
                <w:szCs w:val="22"/>
              </w:rPr>
              <w:t>5.1.</w:t>
            </w:r>
          </w:p>
        </w:tc>
        <w:tc>
          <w:tcPr>
            <w:tcW w:w="1757" w:type="pct"/>
            <w:shd w:val="clear" w:color="auto" w:fill="auto"/>
            <w:vAlign w:val="center"/>
          </w:tcPr>
          <w:p w14:paraId="70BEAD9F" w14:textId="77777777" w:rsidR="00922808" w:rsidRPr="00922808" w:rsidDel="00EB4583" w:rsidRDefault="00922808" w:rsidP="00922808">
            <w:pPr>
              <w:spacing w:after="160" w:line="259" w:lineRule="auto"/>
              <w:rPr>
                <w:rFonts w:ascii="Tahoma" w:hAnsi="Tahoma" w:cs="Tahoma"/>
                <w:bCs/>
                <w:iCs/>
                <w:color w:val="000000"/>
                <w:sz w:val="22"/>
                <w:szCs w:val="22"/>
              </w:rPr>
            </w:pPr>
            <w:r w:rsidRPr="00922808">
              <w:rPr>
                <w:rFonts w:ascii="Tahoma" w:hAnsi="Tahoma" w:cs="Tahoma"/>
                <w:bCs/>
                <w:iCs/>
                <w:color w:val="000000"/>
                <w:sz w:val="22"/>
                <w:szCs w:val="22"/>
              </w:rPr>
              <w:t>Программа лояльности для клиентов-держателей Банковских карт «Азиатско-Тихоокеанский Банк, (АО)», размещённой на Сайте Банка www.atb.su и Подразделениях Банка</w:t>
            </w:r>
          </w:p>
        </w:tc>
        <w:tc>
          <w:tcPr>
            <w:tcW w:w="2896" w:type="pct"/>
            <w:gridSpan w:val="4"/>
            <w:shd w:val="clear" w:color="auto" w:fill="auto"/>
            <w:vAlign w:val="center"/>
          </w:tcPr>
          <w:p w14:paraId="5E17A552" w14:textId="77777777" w:rsidR="00922808" w:rsidRPr="00922808" w:rsidDel="00EB4583" w:rsidRDefault="00922808" w:rsidP="00922808">
            <w:pPr>
              <w:spacing w:after="160" w:line="259" w:lineRule="auto"/>
              <w:jc w:val="center"/>
              <w:rPr>
                <w:rFonts w:ascii="Tahoma" w:hAnsi="Tahoma" w:cs="Tahoma"/>
                <w:bCs/>
                <w:iCs/>
                <w:color w:val="000000"/>
                <w:sz w:val="22"/>
                <w:szCs w:val="22"/>
              </w:rPr>
            </w:pPr>
            <w:r w:rsidRPr="00922808">
              <w:rPr>
                <w:rFonts w:ascii="Tahoma" w:hAnsi="Tahoma" w:cs="Tahoma"/>
                <w:bCs/>
                <w:iCs/>
                <w:color w:val="000000"/>
                <w:sz w:val="22"/>
                <w:szCs w:val="22"/>
              </w:rPr>
              <w:t xml:space="preserve">Согласно действующей </w:t>
            </w:r>
            <w:r w:rsidRPr="00922808">
              <w:rPr>
                <w:rFonts w:ascii="Tahoma" w:hAnsi="Tahoma" w:cs="Tahoma"/>
                <w:b/>
                <w:bCs/>
                <w:iCs/>
                <w:color w:val="000000"/>
                <w:sz w:val="22"/>
                <w:szCs w:val="22"/>
              </w:rPr>
              <w:t>Бонусной программе «Премиум-Бонус»</w:t>
            </w:r>
            <w:r w:rsidRPr="00922808">
              <w:rPr>
                <w:rFonts w:ascii="Tahoma" w:hAnsi="Tahoma" w:cs="Tahoma"/>
                <w:bCs/>
                <w:iCs/>
                <w:color w:val="000000"/>
                <w:sz w:val="22"/>
                <w:szCs w:val="22"/>
              </w:rPr>
              <w:t>, размещенной на Сайте Банка www.atb.su и в Подразделениях Банка</w:t>
            </w:r>
          </w:p>
        </w:tc>
      </w:tr>
      <w:tr w:rsidR="00922808" w:rsidRPr="00922808" w14:paraId="5110A8BC" w14:textId="77777777" w:rsidTr="005A7C26">
        <w:trPr>
          <w:trHeight w:val="517"/>
        </w:trPr>
        <w:tc>
          <w:tcPr>
            <w:tcW w:w="347" w:type="pct"/>
            <w:shd w:val="clear" w:color="auto" w:fill="auto"/>
            <w:vAlign w:val="center"/>
          </w:tcPr>
          <w:p w14:paraId="205B64D5" w14:textId="77777777" w:rsidR="00922808" w:rsidRPr="00922808" w:rsidRDefault="00922808" w:rsidP="00922808">
            <w:pPr>
              <w:spacing w:after="160" w:line="259" w:lineRule="auto"/>
              <w:rPr>
                <w:rFonts w:ascii="Tahoma" w:hAnsi="Tahoma" w:cs="Tahoma"/>
                <w:bCs/>
                <w:iCs/>
                <w:color w:val="000000"/>
                <w:sz w:val="22"/>
                <w:szCs w:val="22"/>
              </w:rPr>
            </w:pPr>
            <w:r w:rsidRPr="00922808">
              <w:rPr>
                <w:rFonts w:ascii="Tahoma" w:hAnsi="Tahoma" w:cs="Tahoma"/>
                <w:bCs/>
                <w:iCs/>
                <w:color w:val="000000"/>
                <w:sz w:val="22"/>
                <w:szCs w:val="22"/>
              </w:rPr>
              <w:t>5.2.</w:t>
            </w:r>
          </w:p>
        </w:tc>
        <w:tc>
          <w:tcPr>
            <w:tcW w:w="1757" w:type="pct"/>
            <w:shd w:val="clear" w:color="auto" w:fill="auto"/>
            <w:vAlign w:val="center"/>
          </w:tcPr>
          <w:p w14:paraId="6D3809A1" w14:textId="77777777" w:rsidR="00922808" w:rsidRPr="00922808" w:rsidRDefault="00922808" w:rsidP="00922808">
            <w:pPr>
              <w:spacing w:after="160" w:line="259" w:lineRule="auto"/>
              <w:rPr>
                <w:rFonts w:ascii="Tahoma" w:hAnsi="Tahoma" w:cs="Tahoma"/>
                <w:bCs/>
                <w:iCs/>
                <w:color w:val="000000"/>
                <w:sz w:val="22"/>
                <w:szCs w:val="22"/>
              </w:rPr>
            </w:pPr>
            <w:r w:rsidRPr="00922808">
              <w:rPr>
                <w:rFonts w:ascii="Tahoma" w:hAnsi="Tahoma" w:cs="Tahoma"/>
                <w:bCs/>
                <w:iCs/>
                <w:color w:val="000000"/>
                <w:sz w:val="22"/>
                <w:szCs w:val="22"/>
              </w:rPr>
              <w:t>Иные программы лояльности</w:t>
            </w:r>
          </w:p>
        </w:tc>
        <w:tc>
          <w:tcPr>
            <w:tcW w:w="2896" w:type="pct"/>
            <w:gridSpan w:val="4"/>
            <w:shd w:val="clear" w:color="auto" w:fill="auto"/>
            <w:vAlign w:val="center"/>
          </w:tcPr>
          <w:p w14:paraId="19D665EB" w14:textId="77777777" w:rsidR="00922808" w:rsidRPr="00922808" w:rsidRDefault="00922808" w:rsidP="00922808">
            <w:pPr>
              <w:spacing w:after="160" w:line="259" w:lineRule="auto"/>
              <w:jc w:val="both"/>
              <w:rPr>
                <w:rFonts w:ascii="Tahoma" w:hAnsi="Tahoma" w:cs="Tahoma"/>
                <w:bCs/>
                <w:iCs/>
                <w:color w:val="000000"/>
                <w:sz w:val="22"/>
                <w:szCs w:val="22"/>
              </w:rPr>
            </w:pPr>
            <w:r w:rsidRPr="00922808">
              <w:rPr>
                <w:rFonts w:ascii="Tahoma" w:hAnsi="Tahoma" w:cs="Tahoma"/>
                <w:bCs/>
                <w:iCs/>
                <w:color w:val="000000"/>
                <w:sz w:val="22"/>
                <w:szCs w:val="22"/>
              </w:rPr>
              <w:t>Услуги и сервисы в рамках программ привилегий Международных платежных систем Visa International Service Association и MasterCard Inc., а также компании Priority Pass Ltd. не предоставляются с 10.03.2022 года в связи с приостановлением деятельности указанных сервисов для карт, эмитированных российскими банками.</w:t>
            </w:r>
          </w:p>
        </w:tc>
      </w:tr>
    </w:tbl>
    <w:p w14:paraId="07260F43" w14:textId="77777777" w:rsidR="00922808" w:rsidRPr="00922808" w:rsidRDefault="00922808" w:rsidP="00922808">
      <w:pPr>
        <w:spacing w:after="160" w:line="259" w:lineRule="auto"/>
        <w:rPr>
          <w:rFonts w:ascii="Tahoma" w:hAnsi="Tahoma" w:cs="Tahoma"/>
          <w:b/>
          <w:bCs/>
          <w:iCs/>
          <w:color w:val="000000"/>
          <w:sz w:val="20"/>
          <w:szCs w:val="22"/>
        </w:rPr>
      </w:pPr>
      <w:r w:rsidRPr="00922808">
        <w:rPr>
          <w:rFonts w:ascii="Tahoma" w:hAnsi="Tahoma" w:cs="Tahoma"/>
          <w:b/>
          <w:bCs/>
          <w:iCs/>
          <w:color w:val="000000"/>
          <w:sz w:val="20"/>
          <w:szCs w:val="22"/>
        </w:rPr>
        <w:t>Примечания:</w:t>
      </w:r>
    </w:p>
    <w:p w14:paraId="5A244472" w14:textId="77777777" w:rsidR="00922808" w:rsidRPr="00922808" w:rsidRDefault="00922808" w:rsidP="00922808">
      <w:pPr>
        <w:tabs>
          <w:tab w:val="left" w:pos="284"/>
        </w:tabs>
        <w:jc w:val="both"/>
        <w:rPr>
          <w:rFonts w:ascii="Tahoma" w:eastAsia="Calibri" w:hAnsi="Tahoma" w:cs="Tahoma"/>
          <w:sz w:val="18"/>
          <w:szCs w:val="18"/>
          <w:lang w:eastAsia="en-US"/>
        </w:rPr>
      </w:pPr>
      <w:r w:rsidRPr="00922808">
        <w:rPr>
          <w:rFonts w:ascii="Tahoma" w:hAnsi="Tahoma" w:cs="Tahoma"/>
          <w:bCs/>
          <w:iCs/>
          <w:sz w:val="18"/>
          <w:szCs w:val="18"/>
          <w:vertAlign w:val="superscript"/>
        </w:rPr>
        <w:t>1</w:t>
      </w:r>
      <w:r w:rsidRPr="00922808">
        <w:rPr>
          <w:rFonts w:ascii="Tahoma" w:eastAsia="Calibri" w:hAnsi="Tahoma" w:cs="Tahoma"/>
          <w:sz w:val="18"/>
          <w:szCs w:val="18"/>
          <w:lang w:eastAsia="en-US"/>
        </w:rPr>
        <w:t xml:space="preserve">Все предусмотренные Программой Тарифы (комиссионные платежи) взимаются (списываются) в порядке прямого дебетования на основании заранее данного Клиентом Банку акцепта и (или) инкассовыми поручениями с любого Счета Карты, Накопительного счета Клиента в Банке, в момент совершения соответствующей операции, если иное не установлено Программой/договором с Клиентом. Списание комиссий в валюте, отличной от валюты счета списания, производится Банком по курсу Банка России на день проведения операции. Комиссии, указанные в процентах, исчисляются от суммы тарифицируемой операции. Условия, определенные Программой, имеют приоритетную силу над условиями УДБО. </w:t>
      </w:r>
    </w:p>
    <w:p w14:paraId="3C62B1B7" w14:textId="77777777" w:rsidR="00922808" w:rsidRPr="00922808" w:rsidRDefault="00922808" w:rsidP="00922808">
      <w:pPr>
        <w:tabs>
          <w:tab w:val="left" w:pos="284"/>
        </w:tabs>
        <w:jc w:val="both"/>
        <w:rPr>
          <w:rFonts w:ascii="Tahoma" w:eastAsia="Calibri" w:hAnsi="Tahoma" w:cs="Tahoma"/>
          <w:sz w:val="18"/>
          <w:szCs w:val="18"/>
          <w:lang w:eastAsia="en-US"/>
        </w:rPr>
      </w:pPr>
      <w:r w:rsidRPr="00922808">
        <w:rPr>
          <w:rFonts w:ascii="Tahoma" w:eastAsia="Calibri" w:hAnsi="Tahoma" w:cs="Tahoma"/>
          <w:sz w:val="18"/>
          <w:szCs w:val="18"/>
          <w:lang w:eastAsia="en-US"/>
        </w:rPr>
        <w:t xml:space="preserve">По волеизъявлению Клиента ему могут быть открыты Счета, предоставлен Кредит, на основании отдельно заключаемых договоров в рамках иных программ и Тарифных планов Банка. </w:t>
      </w:r>
    </w:p>
    <w:p w14:paraId="31488D54" w14:textId="77777777" w:rsidR="00922808" w:rsidRPr="00922808" w:rsidRDefault="00922808" w:rsidP="00922808">
      <w:pPr>
        <w:contextualSpacing/>
        <w:jc w:val="both"/>
        <w:rPr>
          <w:rFonts w:ascii="Tahoma" w:eastAsia="Calibri" w:hAnsi="Tahoma" w:cs="Tahoma"/>
          <w:sz w:val="18"/>
          <w:szCs w:val="18"/>
          <w:lang w:eastAsia="en-US"/>
        </w:rPr>
      </w:pPr>
      <w:r w:rsidRPr="00922808">
        <w:rPr>
          <w:rFonts w:ascii="Tahoma" w:eastAsia="Calibri" w:hAnsi="Tahoma" w:cs="Tahoma"/>
          <w:sz w:val="18"/>
          <w:szCs w:val="18"/>
          <w:lang w:eastAsia="en-US"/>
        </w:rPr>
        <w:t>Смена категории с «VIP Премьер» на «VIP Премьер+» или с «VIP Премьер+» на «VIP Премьер» или изменение условий/Тарифов/наполнения Программы услугами, оформляемых на условиях Тарифов, отличающихся от настоящих, возможен только после подписания соответствующих документов, предусматривающих такого рода изменения, с Клиентом-держателем Программы, за исключением изменений, инициируемых Банком в одностороннем порядке в случаях, предусмотренных законодательством Российской Федерации, Договором с Клиентом.</w:t>
      </w:r>
    </w:p>
    <w:p w14:paraId="47628CCF" w14:textId="77777777" w:rsidR="00922808" w:rsidRPr="00922808" w:rsidRDefault="00922808" w:rsidP="00922808">
      <w:pPr>
        <w:contextualSpacing/>
        <w:jc w:val="both"/>
        <w:rPr>
          <w:rFonts w:ascii="Tahoma" w:eastAsia="Calibri" w:hAnsi="Tahoma" w:cs="Tahoma"/>
          <w:sz w:val="18"/>
          <w:szCs w:val="18"/>
          <w:lang w:eastAsia="en-US"/>
        </w:rPr>
      </w:pPr>
      <w:r w:rsidRPr="00922808">
        <w:rPr>
          <w:rFonts w:ascii="Tahoma" w:eastAsia="Calibri" w:hAnsi="Tahoma" w:cs="Tahoma"/>
          <w:sz w:val="18"/>
          <w:szCs w:val="18"/>
          <w:lang w:eastAsia="en-US"/>
        </w:rPr>
        <w:t>Программа – настоящий документ.</w:t>
      </w:r>
    </w:p>
    <w:p w14:paraId="2AC0AB01" w14:textId="77777777" w:rsidR="00922808" w:rsidRPr="00922808" w:rsidRDefault="00922808" w:rsidP="00922808">
      <w:pPr>
        <w:tabs>
          <w:tab w:val="left" w:pos="284"/>
        </w:tabs>
        <w:jc w:val="both"/>
        <w:rPr>
          <w:rFonts w:ascii="Tahoma" w:eastAsia="Calibri" w:hAnsi="Tahoma" w:cs="Tahoma"/>
          <w:sz w:val="18"/>
          <w:szCs w:val="18"/>
          <w:lang w:eastAsia="en-US"/>
        </w:rPr>
      </w:pPr>
      <w:r w:rsidRPr="00922808">
        <w:rPr>
          <w:rFonts w:ascii="Tahoma" w:eastAsia="Calibri" w:hAnsi="Tahoma" w:cs="Tahoma"/>
          <w:sz w:val="18"/>
          <w:szCs w:val="18"/>
          <w:lang w:eastAsia="en-US"/>
        </w:rPr>
        <w:t>Премиальная категория обслуживания не присваивается Клиенту, если у него имеется перед Банком по любому Договору банковской услуги просроченная задолженность в течение последних 180 календарных дней продолжительностью (с перерывами или непрерывно) более 30 календарных дней.</w:t>
      </w:r>
    </w:p>
    <w:p w14:paraId="3C6D1BFB" w14:textId="77777777" w:rsidR="00922808" w:rsidRPr="00922808" w:rsidRDefault="00922808" w:rsidP="00922808">
      <w:pPr>
        <w:tabs>
          <w:tab w:val="left" w:pos="284"/>
        </w:tabs>
        <w:jc w:val="both"/>
        <w:rPr>
          <w:rFonts w:ascii="Tahoma" w:eastAsia="Calibri" w:hAnsi="Tahoma" w:cs="Tahoma"/>
          <w:sz w:val="18"/>
          <w:szCs w:val="18"/>
          <w:lang w:eastAsia="en-US"/>
        </w:rPr>
      </w:pPr>
      <w:r w:rsidRPr="00922808">
        <w:rPr>
          <w:rFonts w:ascii="Tahoma" w:eastAsia="Calibri" w:hAnsi="Tahoma" w:cs="Tahoma"/>
          <w:sz w:val="18"/>
          <w:szCs w:val="18"/>
          <w:vertAlign w:val="superscript"/>
          <w:lang w:eastAsia="en-US"/>
        </w:rPr>
        <w:t>2</w:t>
      </w:r>
      <w:r w:rsidRPr="00922808">
        <w:rPr>
          <w:rFonts w:ascii="Tahoma" w:eastAsia="Calibri" w:hAnsi="Tahoma" w:cs="Tahoma"/>
          <w:sz w:val="18"/>
          <w:szCs w:val="18"/>
          <w:lang w:eastAsia="en-US"/>
        </w:rPr>
        <w:t>Не указанные в Программе термины применяются в значении, указанном в Универсальном договоре банковского обслуживания физических лиц «Азиатско-Тихоокеанский Банк» (АО) (по тексту–УДБО), размещённом на Сайте Банка www.atb.su, в Подразделениях Банка.</w:t>
      </w:r>
    </w:p>
    <w:p w14:paraId="40D74520" w14:textId="77777777" w:rsidR="00922808" w:rsidRPr="00922808" w:rsidRDefault="00922808" w:rsidP="00922808">
      <w:pPr>
        <w:tabs>
          <w:tab w:val="left" w:pos="709"/>
        </w:tabs>
        <w:jc w:val="both"/>
        <w:rPr>
          <w:rFonts w:ascii="Tahoma" w:hAnsi="Tahoma" w:cs="Tahoma"/>
          <w:bCs/>
          <w:iCs/>
          <w:sz w:val="18"/>
          <w:szCs w:val="18"/>
        </w:rPr>
      </w:pPr>
      <w:r w:rsidRPr="00922808">
        <w:rPr>
          <w:rFonts w:ascii="Tahoma" w:hAnsi="Tahoma" w:cs="Tahoma"/>
          <w:sz w:val="18"/>
          <w:szCs w:val="18"/>
          <w:vertAlign w:val="superscript"/>
        </w:rPr>
        <w:t>3</w:t>
      </w:r>
      <w:r w:rsidRPr="00922808">
        <w:rPr>
          <w:rFonts w:ascii="Tahoma" w:hAnsi="Tahoma" w:cs="Tahoma"/>
          <w:bCs/>
          <w:iCs/>
          <w:sz w:val="18"/>
          <w:szCs w:val="18"/>
        </w:rPr>
        <w:t>Порядок начисления и взимания Банком комиссионного вознаграждения, установленного Программой, для Клиентов-держателей Программы (взимается до оказания Банком услуги, если иное не установлено Программой):</w:t>
      </w:r>
    </w:p>
    <w:p w14:paraId="1D83A768" w14:textId="77777777" w:rsidR="00922808" w:rsidRPr="00922808" w:rsidRDefault="00922808" w:rsidP="00CC78EE">
      <w:pPr>
        <w:numPr>
          <w:ilvl w:val="0"/>
          <w:numId w:val="159"/>
        </w:numPr>
        <w:autoSpaceDE w:val="0"/>
        <w:autoSpaceDN w:val="0"/>
        <w:adjustRightInd w:val="0"/>
        <w:spacing w:after="160" w:line="259" w:lineRule="auto"/>
        <w:ind w:left="426"/>
        <w:jc w:val="both"/>
        <w:rPr>
          <w:rFonts w:ascii="Tahoma" w:hAnsi="Tahoma" w:cs="Tahoma"/>
          <w:bCs/>
          <w:iCs/>
          <w:sz w:val="18"/>
          <w:szCs w:val="18"/>
        </w:rPr>
      </w:pPr>
      <w:r w:rsidRPr="00922808">
        <w:rPr>
          <w:rFonts w:ascii="Tahoma" w:hAnsi="Tahoma" w:cs="Tahoma"/>
          <w:bCs/>
          <w:iCs/>
          <w:sz w:val="18"/>
          <w:szCs w:val="18"/>
        </w:rPr>
        <w:t>В Льготный период – календарный месяц, в котором Клиент оформил Программу, и в котором комиссия не начисляется.</w:t>
      </w:r>
    </w:p>
    <w:p w14:paraId="5EB9FEE5" w14:textId="77777777" w:rsidR="00922808" w:rsidRPr="00922808" w:rsidRDefault="00922808" w:rsidP="00CC78EE">
      <w:pPr>
        <w:numPr>
          <w:ilvl w:val="0"/>
          <w:numId w:val="159"/>
        </w:numPr>
        <w:autoSpaceDE w:val="0"/>
        <w:autoSpaceDN w:val="0"/>
        <w:adjustRightInd w:val="0"/>
        <w:spacing w:after="160" w:line="259" w:lineRule="auto"/>
        <w:ind w:left="426"/>
        <w:jc w:val="both"/>
        <w:rPr>
          <w:rFonts w:ascii="Tahoma" w:hAnsi="Tahoma" w:cs="Tahoma"/>
          <w:bCs/>
          <w:iCs/>
          <w:sz w:val="18"/>
          <w:szCs w:val="18"/>
        </w:rPr>
      </w:pPr>
      <w:r w:rsidRPr="00922808">
        <w:rPr>
          <w:rFonts w:ascii="Tahoma" w:hAnsi="Tahoma" w:cs="Tahoma"/>
          <w:bCs/>
          <w:iCs/>
          <w:sz w:val="18"/>
          <w:szCs w:val="22"/>
        </w:rPr>
        <w:t>Со второго календарного месяца после оформления Программы и в последующие календарные месяцы обслуживания, комиссия начисляется исходя из суммы Средних остатков, суммы безналичных покупок по Карте и поступления Заработной платы</w:t>
      </w:r>
      <w:r w:rsidRPr="00922808">
        <w:rPr>
          <w:rFonts w:ascii="Tahoma" w:hAnsi="Tahoma" w:cs="Tahoma"/>
          <w:bCs/>
          <w:iCs/>
          <w:color w:val="FF0000"/>
          <w:sz w:val="18"/>
          <w:szCs w:val="22"/>
        </w:rPr>
        <w:t xml:space="preserve"> </w:t>
      </w:r>
      <w:r w:rsidRPr="00922808">
        <w:rPr>
          <w:rFonts w:ascii="Tahoma" w:hAnsi="Tahoma" w:cs="Tahoma"/>
          <w:bCs/>
          <w:iCs/>
          <w:sz w:val="18"/>
          <w:szCs w:val="22"/>
        </w:rPr>
        <w:t xml:space="preserve">на Счет Карты за каждый календарный месяц. Комиссия рассчитывается и взимается (при не соблюдении условий бесплатного обслуживания, указанных в п.2. Программы) в третьем и последующих месяцах не позднее четвертого рабочего дня месяца. </w:t>
      </w:r>
    </w:p>
    <w:p w14:paraId="20748749" w14:textId="77777777" w:rsidR="00922808" w:rsidRPr="00922808" w:rsidRDefault="00922808" w:rsidP="00CC78EE">
      <w:pPr>
        <w:numPr>
          <w:ilvl w:val="0"/>
          <w:numId w:val="159"/>
        </w:numPr>
        <w:autoSpaceDE w:val="0"/>
        <w:autoSpaceDN w:val="0"/>
        <w:adjustRightInd w:val="0"/>
        <w:spacing w:after="160" w:line="259" w:lineRule="auto"/>
        <w:ind w:left="426"/>
        <w:jc w:val="both"/>
        <w:rPr>
          <w:rFonts w:ascii="Tahoma" w:hAnsi="Tahoma" w:cs="Tahoma"/>
          <w:bCs/>
          <w:iCs/>
          <w:sz w:val="18"/>
          <w:szCs w:val="18"/>
        </w:rPr>
      </w:pPr>
      <w:r w:rsidRPr="00922808">
        <w:rPr>
          <w:rFonts w:ascii="Tahoma" w:hAnsi="Tahoma" w:cs="Tahoma"/>
          <w:bCs/>
          <w:iCs/>
          <w:sz w:val="18"/>
          <w:szCs w:val="18"/>
        </w:rPr>
        <w:t>При прекращении обслуживания Клиента в рамках Программы (закрытии всех Счетов) комиссия начисляется и взимается в день подачи Клиентом Заявления о закрытии последнего из Счетов, оформленного в рамках Программы. За неполный месяц при подаче такого Заявления комиссия не начисляется и не взимается (за исключением случаев расторжения Программы в Льготном периоде (п.3</w:t>
      </w:r>
      <w:r w:rsidRPr="00922808">
        <w:rPr>
          <w:rFonts w:ascii="Tahoma" w:hAnsi="Tahoma" w:cs="Tahoma"/>
          <w:bCs/>
          <w:iCs/>
          <w:sz w:val="18"/>
          <w:szCs w:val="18"/>
          <w:lang w:val="en-US"/>
        </w:rPr>
        <w:t>d</w:t>
      </w:r>
      <w:r w:rsidRPr="00922808">
        <w:rPr>
          <w:rFonts w:ascii="Tahoma" w:hAnsi="Tahoma" w:cs="Tahoma"/>
          <w:bCs/>
          <w:iCs/>
          <w:sz w:val="18"/>
          <w:szCs w:val="18"/>
        </w:rPr>
        <w:t xml:space="preserve"> </w:t>
      </w:r>
      <w:r w:rsidRPr="00922808">
        <w:rPr>
          <w:rFonts w:ascii="Tahoma" w:eastAsia="Calibri" w:hAnsi="Tahoma" w:cs="Tahoma"/>
          <w:bCs/>
          <w:iCs/>
          <w:color w:val="000000"/>
          <w:sz w:val="18"/>
          <w:szCs w:val="18"/>
          <w:lang w:eastAsia="en-US"/>
        </w:rPr>
        <w:t>настоящих Примечаний</w:t>
      </w:r>
      <w:r w:rsidRPr="00922808">
        <w:rPr>
          <w:rFonts w:ascii="Tahoma" w:hAnsi="Tahoma" w:cs="Tahoma"/>
          <w:bCs/>
          <w:iCs/>
          <w:sz w:val="18"/>
          <w:szCs w:val="18"/>
        </w:rPr>
        <w:t>).</w:t>
      </w:r>
    </w:p>
    <w:p w14:paraId="3176CB2B" w14:textId="77777777" w:rsidR="00922808" w:rsidRPr="00922808" w:rsidRDefault="00922808" w:rsidP="00CC78EE">
      <w:pPr>
        <w:numPr>
          <w:ilvl w:val="0"/>
          <w:numId w:val="159"/>
        </w:numPr>
        <w:autoSpaceDE w:val="0"/>
        <w:autoSpaceDN w:val="0"/>
        <w:adjustRightInd w:val="0"/>
        <w:spacing w:after="160" w:line="259" w:lineRule="auto"/>
        <w:ind w:left="426"/>
        <w:jc w:val="both"/>
        <w:rPr>
          <w:rFonts w:ascii="Tahoma" w:hAnsi="Tahoma" w:cs="Tahoma"/>
          <w:bCs/>
          <w:iCs/>
          <w:sz w:val="18"/>
          <w:szCs w:val="18"/>
        </w:rPr>
      </w:pPr>
      <w:r w:rsidRPr="00922808">
        <w:rPr>
          <w:rFonts w:ascii="Tahoma" w:hAnsi="Tahoma" w:cs="Tahoma"/>
          <w:bCs/>
          <w:iCs/>
          <w:sz w:val="18"/>
          <w:szCs w:val="18"/>
        </w:rPr>
        <w:t>В случае прекращения банковского обслуживания в «Азиатско-Тихоокеанский Банк» (АО) в рамках Программы в Льготном периоде по волеизъявлению Клиента, а также в иных случаях, предусмотренных законодательством РФ и заключенным Договором с Клиентом,</w:t>
      </w:r>
      <w:r w:rsidRPr="00922808" w:rsidDel="00B51EDB">
        <w:rPr>
          <w:rFonts w:ascii="Tahoma" w:hAnsi="Tahoma" w:cs="Tahoma"/>
          <w:bCs/>
          <w:iCs/>
          <w:sz w:val="18"/>
          <w:szCs w:val="18"/>
        </w:rPr>
        <w:t xml:space="preserve"> </w:t>
      </w:r>
      <w:r w:rsidRPr="00922808">
        <w:rPr>
          <w:rFonts w:ascii="Tahoma" w:hAnsi="Tahoma" w:cs="Tahoma"/>
          <w:b/>
          <w:bCs/>
          <w:iCs/>
          <w:sz w:val="18"/>
          <w:szCs w:val="18"/>
        </w:rPr>
        <w:t>Банк имеет право потребовать от Клиента оплаты услуг в размере суммы ежемесячного обслуживания (согласно п.2.2), за каждый месяц с момента оформления Программы до даты расторжения Договора Клиента с Банком.</w:t>
      </w:r>
    </w:p>
    <w:p w14:paraId="355D0DAF" w14:textId="77777777" w:rsidR="00922808" w:rsidRPr="00922808" w:rsidRDefault="00922808" w:rsidP="00922808">
      <w:pPr>
        <w:autoSpaceDE w:val="0"/>
        <w:autoSpaceDN w:val="0"/>
        <w:adjustRightInd w:val="0"/>
        <w:jc w:val="both"/>
        <w:rPr>
          <w:rFonts w:ascii="Tahoma" w:hAnsi="Tahoma" w:cs="Tahoma"/>
          <w:bCs/>
          <w:iCs/>
          <w:sz w:val="18"/>
          <w:szCs w:val="18"/>
        </w:rPr>
      </w:pPr>
      <w:r w:rsidRPr="00922808">
        <w:rPr>
          <w:rFonts w:ascii="Tahoma" w:hAnsi="Tahoma" w:cs="Tahoma"/>
          <w:bCs/>
          <w:iCs/>
          <w:sz w:val="18"/>
          <w:szCs w:val="18"/>
        </w:rPr>
        <w:t>При образовании комиссионной задолженности Клиента перед Банком, Банк имеет право в одностороннем порядке приостановить действие Карт Клиента, выпущенных в рамках Программы, и Программы лояльности, действующей в рамках Программы (операции по Счетам без использования Карт/реквизитов Карт остаются доступными), до даты погашения этой комиссионной задолженности, за исключением случаев, предусмотренных законодательством РФ.</w:t>
      </w:r>
    </w:p>
    <w:p w14:paraId="4DE2BCFA" w14:textId="77777777" w:rsidR="00922808" w:rsidRPr="00922808" w:rsidRDefault="00922808" w:rsidP="00922808">
      <w:pPr>
        <w:autoSpaceDE w:val="0"/>
        <w:autoSpaceDN w:val="0"/>
        <w:adjustRightInd w:val="0"/>
        <w:jc w:val="both"/>
        <w:rPr>
          <w:rFonts w:ascii="Tahoma" w:hAnsi="Tahoma" w:cs="Tahoma"/>
          <w:bCs/>
          <w:iCs/>
          <w:sz w:val="18"/>
          <w:szCs w:val="18"/>
        </w:rPr>
      </w:pPr>
      <w:r w:rsidRPr="00922808">
        <w:rPr>
          <w:rFonts w:ascii="Tahoma" w:hAnsi="Tahoma" w:cs="Tahoma"/>
          <w:bCs/>
          <w:iCs/>
          <w:sz w:val="18"/>
          <w:szCs w:val="18"/>
          <w:lang w:val="en-US"/>
        </w:rPr>
        <w:t>C</w:t>
      </w:r>
      <w:r w:rsidRPr="00922808">
        <w:rPr>
          <w:rFonts w:ascii="Tahoma" w:hAnsi="Tahoma" w:cs="Tahoma"/>
          <w:bCs/>
          <w:iCs/>
          <w:sz w:val="18"/>
          <w:szCs w:val="18"/>
        </w:rPr>
        <w:t>писание комиссии за обслуживание Программы осуществляется единовременно с любых Счетов Клиента, открытых в рамках Программы, в следующей очередности (</w:t>
      </w:r>
      <w:r w:rsidRPr="00922808">
        <w:rPr>
          <w:rFonts w:ascii="Tahoma" w:eastAsia="Calibri" w:hAnsi="Tahoma" w:cs="Tahoma"/>
          <w:bCs/>
          <w:iCs/>
          <w:color w:val="000000"/>
          <w:sz w:val="18"/>
          <w:szCs w:val="18"/>
          <w:lang w:eastAsia="en-US"/>
        </w:rPr>
        <w:t>с учетом п.1 настоящих Примечаний, если иное не установлено настоящим пунктом)</w:t>
      </w:r>
      <w:r w:rsidRPr="00922808">
        <w:rPr>
          <w:rFonts w:ascii="Tahoma" w:hAnsi="Tahoma" w:cs="Tahoma"/>
          <w:bCs/>
          <w:iCs/>
          <w:sz w:val="18"/>
          <w:szCs w:val="18"/>
        </w:rPr>
        <w:t>:</w:t>
      </w:r>
    </w:p>
    <w:p w14:paraId="0E78AAD3" w14:textId="77777777" w:rsidR="00922808" w:rsidRPr="00922808" w:rsidRDefault="00922808" w:rsidP="00922808">
      <w:pPr>
        <w:autoSpaceDE w:val="0"/>
        <w:autoSpaceDN w:val="0"/>
        <w:adjustRightInd w:val="0"/>
        <w:ind w:left="284"/>
        <w:jc w:val="both"/>
        <w:rPr>
          <w:rFonts w:ascii="Tahoma" w:hAnsi="Tahoma" w:cs="Tahoma"/>
          <w:bCs/>
          <w:iCs/>
          <w:sz w:val="18"/>
          <w:szCs w:val="18"/>
        </w:rPr>
      </w:pPr>
      <w:r w:rsidRPr="00922808">
        <w:rPr>
          <w:rFonts w:ascii="Tahoma" w:hAnsi="Tahoma" w:cs="Tahoma"/>
          <w:b/>
          <w:bCs/>
          <w:iCs/>
          <w:sz w:val="18"/>
          <w:szCs w:val="18"/>
        </w:rPr>
        <w:t>(1)</w:t>
      </w:r>
      <w:r w:rsidRPr="00922808">
        <w:rPr>
          <w:rFonts w:ascii="Tahoma" w:hAnsi="Tahoma" w:cs="Tahoma"/>
          <w:bCs/>
          <w:iCs/>
          <w:sz w:val="18"/>
          <w:szCs w:val="18"/>
        </w:rPr>
        <w:t xml:space="preserve"> Накопительные счета в рублях РФ; </w:t>
      </w:r>
      <w:r w:rsidRPr="00922808">
        <w:rPr>
          <w:rFonts w:ascii="Tahoma" w:hAnsi="Tahoma" w:cs="Tahoma"/>
          <w:b/>
          <w:bCs/>
          <w:iCs/>
          <w:sz w:val="18"/>
          <w:szCs w:val="18"/>
        </w:rPr>
        <w:t>(2)</w:t>
      </w:r>
      <w:r w:rsidRPr="00922808">
        <w:rPr>
          <w:rFonts w:ascii="Tahoma" w:hAnsi="Tahoma" w:cs="Tahoma"/>
          <w:bCs/>
          <w:iCs/>
          <w:sz w:val="18"/>
          <w:szCs w:val="18"/>
        </w:rPr>
        <w:t xml:space="preserve"> Счета Карты в рублях РФ; </w:t>
      </w:r>
      <w:r w:rsidRPr="00922808">
        <w:rPr>
          <w:rFonts w:ascii="Tahoma" w:hAnsi="Tahoma" w:cs="Tahoma"/>
          <w:b/>
          <w:bCs/>
          <w:iCs/>
          <w:sz w:val="18"/>
          <w:szCs w:val="18"/>
        </w:rPr>
        <w:t>(3)</w:t>
      </w:r>
      <w:r w:rsidRPr="00922808">
        <w:rPr>
          <w:rFonts w:ascii="Tahoma" w:hAnsi="Tahoma" w:cs="Tahoma"/>
          <w:bCs/>
          <w:iCs/>
          <w:sz w:val="18"/>
          <w:szCs w:val="18"/>
        </w:rPr>
        <w:t xml:space="preserve"> Накопительные счета в долларах США, далее в Евро, далее в иных валютах; </w:t>
      </w:r>
      <w:r w:rsidRPr="00922808">
        <w:rPr>
          <w:rFonts w:ascii="Tahoma" w:hAnsi="Tahoma" w:cs="Tahoma"/>
          <w:b/>
          <w:bCs/>
          <w:iCs/>
          <w:sz w:val="18"/>
          <w:szCs w:val="18"/>
        </w:rPr>
        <w:t>(4)</w:t>
      </w:r>
      <w:r w:rsidRPr="00922808">
        <w:rPr>
          <w:rFonts w:ascii="Tahoma" w:hAnsi="Tahoma" w:cs="Tahoma"/>
          <w:bCs/>
          <w:iCs/>
          <w:sz w:val="18"/>
          <w:szCs w:val="18"/>
        </w:rPr>
        <w:t xml:space="preserve"> Счета Карт в долларах США, далее в евро; </w:t>
      </w:r>
      <w:r w:rsidRPr="00922808">
        <w:rPr>
          <w:rFonts w:ascii="Tahoma" w:hAnsi="Tahoma" w:cs="Tahoma"/>
          <w:b/>
          <w:bCs/>
          <w:iCs/>
          <w:sz w:val="18"/>
          <w:szCs w:val="18"/>
        </w:rPr>
        <w:t>(6)</w:t>
      </w:r>
      <w:r w:rsidRPr="00922808">
        <w:rPr>
          <w:rFonts w:ascii="Tahoma" w:hAnsi="Tahoma" w:cs="Tahoma"/>
          <w:bCs/>
          <w:iCs/>
          <w:sz w:val="18"/>
          <w:szCs w:val="18"/>
        </w:rPr>
        <w:t xml:space="preserve"> п</w:t>
      </w:r>
      <w:r w:rsidRPr="00922808">
        <w:rPr>
          <w:rFonts w:ascii="Tahoma" w:eastAsia="Calibri" w:hAnsi="Tahoma" w:cs="Tahoma"/>
          <w:color w:val="000000"/>
          <w:sz w:val="18"/>
          <w:szCs w:val="18"/>
          <w:lang w:eastAsia="en-US"/>
        </w:rPr>
        <w:t>ри отсутствии или недостаточности денежных средств для списания комиссионных платежей с банковских Счетов, открытых в рамках Программы, Банк вправе производить списание с иных банковских Счетов, открытых на имя Клиента-физического лица в Банке</w:t>
      </w:r>
      <w:r w:rsidRPr="00922808">
        <w:rPr>
          <w:rFonts w:ascii="Tahoma" w:hAnsi="Tahoma" w:cs="Tahoma"/>
          <w:bCs/>
          <w:iCs/>
          <w:sz w:val="18"/>
          <w:szCs w:val="18"/>
        </w:rPr>
        <w:t xml:space="preserve">. </w:t>
      </w:r>
    </w:p>
    <w:p w14:paraId="463E18A0" w14:textId="77777777" w:rsidR="00922808" w:rsidRPr="00922808" w:rsidRDefault="00922808" w:rsidP="00922808">
      <w:pPr>
        <w:autoSpaceDE w:val="0"/>
        <w:autoSpaceDN w:val="0"/>
        <w:adjustRightInd w:val="0"/>
        <w:jc w:val="both"/>
        <w:rPr>
          <w:rFonts w:ascii="Calibri" w:eastAsia="Calibri" w:hAnsi="Calibri" w:cs="Calibri"/>
          <w:color w:val="000000"/>
        </w:rPr>
      </w:pPr>
      <w:r w:rsidRPr="00922808">
        <w:rPr>
          <w:rFonts w:ascii="Tahoma" w:hAnsi="Tahoma" w:cs="Tahoma"/>
          <w:bCs/>
          <w:iCs/>
          <w:sz w:val="18"/>
          <w:szCs w:val="22"/>
        </w:rPr>
        <w:t>При недостаточности средств для списания комиссии в полном объеме на первом Счете по списку очередности, допускается частичное списание средств с каждого из последующих Счетов до взимания комиссии в полном объеме</w:t>
      </w:r>
      <w:r w:rsidRPr="00922808">
        <w:rPr>
          <w:rFonts w:ascii="Tahoma" w:hAnsi="Tahoma" w:cs="Tahoma"/>
          <w:bCs/>
          <w:iCs/>
          <w:color w:val="000000"/>
          <w:sz w:val="18"/>
        </w:rPr>
        <w:t>.</w:t>
      </w:r>
    </w:p>
    <w:p w14:paraId="57437FE6" w14:textId="77777777" w:rsidR="00922808" w:rsidRPr="00922808" w:rsidRDefault="00922808" w:rsidP="00922808">
      <w:pPr>
        <w:tabs>
          <w:tab w:val="left" w:pos="284"/>
        </w:tabs>
        <w:jc w:val="both"/>
        <w:rPr>
          <w:rFonts w:ascii="Tahoma" w:hAnsi="Tahoma" w:cs="Tahoma"/>
          <w:bCs/>
          <w:iCs/>
          <w:sz w:val="18"/>
          <w:szCs w:val="18"/>
        </w:rPr>
      </w:pPr>
      <w:r w:rsidRPr="00922808">
        <w:rPr>
          <w:rFonts w:ascii="Tahoma" w:hAnsi="Tahoma" w:cs="Tahoma"/>
          <w:bCs/>
          <w:iCs/>
          <w:sz w:val="18"/>
          <w:szCs w:val="18"/>
          <w:vertAlign w:val="superscript"/>
        </w:rPr>
        <w:t>4</w:t>
      </w:r>
      <w:r w:rsidRPr="00922808">
        <w:rPr>
          <w:rFonts w:ascii="Tahoma" w:hAnsi="Tahoma" w:cs="Tahoma"/>
          <w:bCs/>
          <w:iCs/>
          <w:sz w:val="18"/>
          <w:szCs w:val="18"/>
        </w:rPr>
        <w:t xml:space="preserve">Средние остатки (для условий бесплатного обслуживания Программы) – это совокупный баланс размещений денежных средств на Счетах Клиента в Банке, рассчитанный путем сложения ежедневных входящих остатков денежных средств на следующих счетах Клиента в Банке: Накопительных счетах, Счетах вклада, Текущих банковских счетах; остатки на банковских Счетах в драгоценных металлах (Счета ДМ), брокерских и Счетах Карт Клиента, в течение календарного месяца и деления этой суммы на количество дней в этом месяце (здесь и далее под месяцем понимается календарный месяц – это дни с 01-го по последний день месяца). При расчете Средних остатков за месяц подключения Программы деление производится на фактическое количество дней обслуживания (действия Программы) в этом месяце. Ежедневные входящие остатки в иностранной валюте принимаются в расчет по курсу ЦБ РФ на каждый день. </w:t>
      </w:r>
    </w:p>
    <w:p w14:paraId="538E8939" w14:textId="77777777" w:rsidR="00922808" w:rsidRPr="00922808" w:rsidRDefault="00922808" w:rsidP="00922808">
      <w:pPr>
        <w:jc w:val="both"/>
        <w:rPr>
          <w:rFonts w:ascii="Tahoma" w:hAnsi="Tahoma" w:cs="Tahoma"/>
          <w:bCs/>
          <w:iCs/>
          <w:sz w:val="18"/>
          <w:szCs w:val="18"/>
        </w:rPr>
      </w:pPr>
      <w:r w:rsidRPr="00922808">
        <w:rPr>
          <w:rFonts w:ascii="Tahoma" w:hAnsi="Tahoma" w:cs="Tahoma"/>
          <w:bCs/>
          <w:iCs/>
          <w:sz w:val="18"/>
          <w:szCs w:val="18"/>
          <w:vertAlign w:val="superscript"/>
        </w:rPr>
        <w:t>5</w:t>
      </w:r>
      <w:r w:rsidRPr="00922808">
        <w:rPr>
          <w:rFonts w:ascii="Tahoma" w:hAnsi="Tahoma" w:cs="Tahoma"/>
          <w:bCs/>
          <w:iCs/>
          <w:sz w:val="18"/>
          <w:szCs w:val="18"/>
        </w:rPr>
        <w:t>Сумма покупок (Транзакций) – это сумма операций, совершенных Клиентом (за Отчетный период) при покупке товаров, работ, результатов интеллектуальной деятельности, услуг в ТСП по всем Картам (за исключением Карт с лимитом кредитования), эмитированным Банком в рамках Программы. В расчет Суммы покупок принимаются операции, отраженные по балансу Банка. Операции в иностранной валюте принимаются в расчет по курсу Банка на момент их совершения. Денежные переводы со Счёта Карты Клиента между своими счетами или на счета третьих лиц (открытые как в Банке, так и в других кредитных организациях), переводы с карты на карту и квази-кэш, оплата товаров (услуг, работ, результатов интеллектуальной деятельности) в разделе «Платежи» Интернет-Банка и/или Мобильного Банка; платежи и переводы с целью пополнения любых виртуальных и/или электронных кошельков, или иных электронных денежных средств; операции с МСС-кодами: 4829, 6012, 6050, 6529, 6530, 6531, 6532, 6533, 6534, 6536, 6537, 6538, 6051, 6540, 7372, 7399, 7995, 8999 в расчет суммы покупок не включаются.</w:t>
      </w:r>
    </w:p>
    <w:p w14:paraId="1E33346A" w14:textId="77777777" w:rsidR="00922808" w:rsidRPr="00922808" w:rsidRDefault="00922808" w:rsidP="00922808">
      <w:pPr>
        <w:jc w:val="both"/>
        <w:rPr>
          <w:rFonts w:ascii="Tahoma" w:hAnsi="Tahoma" w:cs="Tahoma"/>
          <w:bCs/>
          <w:iCs/>
          <w:sz w:val="18"/>
          <w:szCs w:val="18"/>
        </w:rPr>
      </w:pPr>
      <w:r w:rsidRPr="00922808">
        <w:rPr>
          <w:rFonts w:ascii="Tahoma" w:hAnsi="Tahoma" w:cs="Tahoma"/>
          <w:bCs/>
          <w:iCs/>
          <w:sz w:val="18"/>
          <w:szCs w:val="18"/>
        </w:rPr>
        <w:t>Для Карт в иностранных валютах в расчет Суммы покупок принимаются эквиваленты значений, указанные в п.2.3.2. и п.2.3.3. по курсу Банка на дату совершения Операций.</w:t>
      </w:r>
    </w:p>
    <w:p w14:paraId="2D6E7EC8" w14:textId="77777777" w:rsidR="00922808" w:rsidRPr="00922808" w:rsidRDefault="00922808" w:rsidP="00922808">
      <w:pPr>
        <w:jc w:val="both"/>
        <w:rPr>
          <w:rFonts w:ascii="Tahoma" w:hAnsi="Tahoma" w:cs="Tahoma"/>
          <w:bCs/>
          <w:iCs/>
          <w:sz w:val="18"/>
          <w:szCs w:val="18"/>
        </w:rPr>
      </w:pPr>
      <w:r w:rsidRPr="00922808">
        <w:rPr>
          <w:rFonts w:ascii="Tahoma" w:hAnsi="Tahoma" w:cs="Tahoma"/>
          <w:bCs/>
          <w:iCs/>
          <w:sz w:val="18"/>
          <w:szCs w:val="18"/>
          <w:vertAlign w:val="superscript"/>
        </w:rPr>
        <w:t>6</w:t>
      </w:r>
      <w:r w:rsidRPr="00922808">
        <w:rPr>
          <w:rFonts w:ascii="Tahoma" w:eastAsia="Calibri" w:hAnsi="Tahoma" w:cs="Tahoma"/>
          <w:sz w:val="18"/>
          <w:szCs w:val="18"/>
          <w:lang w:eastAsia="en-US"/>
        </w:rPr>
        <w:t>Под «Заработной платой» понимаются исключительно поступления денежных средств на счет Карты Клиента, которые можно отнести к таковым согласно действующему законодательству РФ. В случае смещения дат поступления денежных средств (учитываемых в качестве Заработной платы, от Работодателя Клиента на счет Карты Клиента) в календарном месяце в связи с праздничными нерабочими днями в соответствии с действующим законодательством Российской Федерации и/или выходными днями</w:t>
      </w:r>
      <w:r w:rsidRPr="00922808">
        <w:rPr>
          <w:rFonts w:ascii="Calibri" w:eastAsia="Calibri" w:hAnsi="Calibri"/>
          <w:sz w:val="22"/>
          <w:szCs w:val="22"/>
          <w:lang w:eastAsia="en-US"/>
        </w:rPr>
        <w:t xml:space="preserve"> </w:t>
      </w:r>
      <w:r w:rsidRPr="00922808">
        <w:rPr>
          <w:rFonts w:ascii="Tahoma" w:eastAsia="Calibri" w:hAnsi="Tahoma" w:cs="Tahoma"/>
          <w:sz w:val="18"/>
          <w:szCs w:val="18"/>
          <w:lang w:eastAsia="en-US"/>
        </w:rPr>
        <w:t>(под выходными днями понимаются суббота и воскресенье, за исключением случаев переноса в соответствии с законодательством Российской Федерации выходных дней на другие дни), Банк учитывает среднюю сумму поступлений денежных средств (учитываемых в качестве Заработной платы, от Работодателя Клиента на счет Карты Клиента) за два календарных месяца, предшествующих месяцу начисления комиссии за обслуживание Программы. Банк не несет ответственности за расходы, понесенные Клиентом (взимание комиссии за обслуживание Программы), вследствие поступления денежных средств (учитываемых в качестве Заработной платы, от Работодателя Клиента на счет Карты Клиента) в календарном месяце и/или в течение двух календарных месяцев (в случаях смещения дат поступления денежных средств в связи с праздничными и/или выходными днями), предшествующих месяцу начисления комиссии за обслуживание Программы, в сумме, недостаточной для выполнения условий бесплатного обслуживания Программы.</w:t>
      </w:r>
    </w:p>
    <w:p w14:paraId="030281F2" w14:textId="77777777" w:rsidR="00922808" w:rsidRPr="00922808" w:rsidRDefault="00922808" w:rsidP="00922808">
      <w:pPr>
        <w:jc w:val="both"/>
        <w:rPr>
          <w:rFonts w:ascii="Tahoma" w:eastAsia="Calibri" w:hAnsi="Tahoma" w:cs="Tahoma"/>
          <w:sz w:val="18"/>
          <w:szCs w:val="18"/>
          <w:lang w:eastAsia="en-US"/>
        </w:rPr>
      </w:pPr>
      <w:r w:rsidRPr="00922808">
        <w:rPr>
          <w:rFonts w:ascii="Tahoma" w:hAnsi="Tahoma" w:cs="Tahoma"/>
          <w:bCs/>
          <w:iCs/>
          <w:sz w:val="18"/>
          <w:szCs w:val="18"/>
          <w:vertAlign w:val="superscript"/>
        </w:rPr>
        <w:t>7</w:t>
      </w:r>
      <w:r w:rsidRPr="00922808">
        <w:rPr>
          <w:rFonts w:ascii="Tahoma" w:hAnsi="Tahoma" w:cs="Tahoma"/>
          <w:bCs/>
          <w:iCs/>
          <w:sz w:val="18"/>
          <w:szCs w:val="18"/>
        </w:rPr>
        <w:t xml:space="preserve">В рамках Программы под «Накопительным счетом» понимается ТБС, открываемый Банком Клиенту в соответствии с условиями УДБО. </w:t>
      </w:r>
      <w:r w:rsidRPr="00922808">
        <w:rPr>
          <w:rFonts w:ascii="Tahoma" w:eastAsia="Calibri" w:hAnsi="Tahoma" w:cs="Tahoma"/>
          <w:sz w:val="18"/>
          <w:szCs w:val="18"/>
          <w:lang w:eastAsia="en-US"/>
        </w:rPr>
        <w:t>Правоотношения Банка и Клиента по услуге «Накопительный счет» регулируются «Общими условиями открытия физическими лицами вкладов, текущего банковского счета в «Азиатско-Тихоокеанский Банк» (АО)» (Приложение № 1 к УДБО).</w:t>
      </w:r>
    </w:p>
    <w:p w14:paraId="123FD8BD" w14:textId="77777777" w:rsidR="00922808" w:rsidRPr="00922808" w:rsidRDefault="00922808" w:rsidP="00922808">
      <w:pPr>
        <w:jc w:val="both"/>
        <w:rPr>
          <w:rFonts w:ascii="Tahoma" w:hAnsi="Tahoma" w:cs="Tahoma"/>
          <w:bCs/>
          <w:iCs/>
          <w:sz w:val="18"/>
          <w:szCs w:val="18"/>
        </w:rPr>
      </w:pPr>
      <w:r w:rsidRPr="00922808">
        <w:rPr>
          <w:rFonts w:ascii="Tahoma" w:eastAsia="Calibri" w:hAnsi="Tahoma" w:cs="Tahoma"/>
          <w:sz w:val="18"/>
          <w:szCs w:val="18"/>
          <w:vertAlign w:val="superscript"/>
          <w:lang w:eastAsia="en-US"/>
        </w:rPr>
        <w:t>8</w:t>
      </w:r>
      <w:r w:rsidRPr="00922808">
        <w:rPr>
          <w:rFonts w:ascii="Tahoma" w:hAnsi="Tahoma" w:cs="Tahoma"/>
          <w:bCs/>
          <w:iCs/>
          <w:sz w:val="18"/>
          <w:szCs w:val="18"/>
        </w:rPr>
        <w:t>Оформление Счетов (в т.ч. Накопительных счетов) в валютах доллары США/Евро в рамках Программы не осуществляется с 01.08.2022 года для всех Клиентов-держателей Программы.</w:t>
      </w:r>
    </w:p>
    <w:p w14:paraId="366A8A81" w14:textId="77777777" w:rsidR="00922808" w:rsidRPr="00922808" w:rsidRDefault="00922808" w:rsidP="00922808">
      <w:pPr>
        <w:jc w:val="both"/>
        <w:rPr>
          <w:rFonts w:ascii="Tahoma" w:hAnsi="Tahoma" w:cs="Tahoma"/>
          <w:bCs/>
          <w:iCs/>
          <w:sz w:val="18"/>
          <w:szCs w:val="18"/>
        </w:rPr>
      </w:pPr>
      <w:r w:rsidRPr="00922808">
        <w:rPr>
          <w:rFonts w:ascii="Tahoma" w:eastAsia="Calibri" w:hAnsi="Tahoma" w:cs="Tahoma"/>
          <w:sz w:val="18"/>
          <w:szCs w:val="18"/>
          <w:vertAlign w:val="superscript"/>
          <w:lang w:eastAsia="en-US"/>
        </w:rPr>
        <w:t>9</w:t>
      </w:r>
      <w:r w:rsidRPr="00922808">
        <w:rPr>
          <w:rFonts w:ascii="Tahoma" w:hAnsi="Tahoma" w:cs="Tahoma"/>
          <w:bCs/>
          <w:iCs/>
          <w:sz w:val="18"/>
          <w:szCs w:val="18"/>
        </w:rPr>
        <w:t>Средний остаток по Накопительному счету – это совокупный баланс денежных средств на Накопительном счете, рассчитанный путем сложения ежедневных входящих остатков денежных средств на Накопительном счете Клиента в течение календарного месяца (далее – Период) и деления этой суммы на количество дней в этом месяце. Первый Период исчисляется со дня, следующего за днем поступления денежных средств на указанный в настоящем пункте Накопительный счет по последний календарный месяц (включительно). Последующие Периоды исчисляются ежемесячно с 1-го числа каждого календарного месяца по последний календарный месяц (включительно). Выплата Банком Клиенту начисленных процентов производится на Накопительный счет в последний день месяца.</w:t>
      </w:r>
    </w:p>
    <w:p w14:paraId="3050380D" w14:textId="77777777" w:rsidR="00922808" w:rsidRPr="00922808" w:rsidRDefault="00922808" w:rsidP="00922808">
      <w:pPr>
        <w:jc w:val="both"/>
        <w:rPr>
          <w:rFonts w:ascii="Tahoma" w:hAnsi="Tahoma" w:cs="Tahoma"/>
          <w:bCs/>
          <w:iCs/>
          <w:sz w:val="18"/>
          <w:szCs w:val="18"/>
        </w:rPr>
      </w:pPr>
      <w:r w:rsidRPr="00922808">
        <w:rPr>
          <w:rFonts w:ascii="Tahoma" w:hAnsi="Tahoma" w:cs="Tahoma"/>
          <w:bCs/>
          <w:iCs/>
          <w:sz w:val="18"/>
          <w:szCs w:val="18"/>
        </w:rPr>
        <w:t>Дополнительные условия, влияющие на процентную ставку: процентная ставка по Накопительному счету в рублях устанавливается на дату оформления нового Накопительного счета в рублях (заключения договора), а для Клиентов, оформивших Накопительные счета в рублях по 08.06.2024г. включительно, с 08.06.2024г. Процентная ставка по Накопительному счету в юанях устанавливается на дату оформления нового Накопительного счета в юанях (заключения договора) с 10.07.2024г., а для Клиентов, оформивших Накопительные счета в юанях по 10.07.2024г. включительно, с 10.07.2024г. Размеры процентных ставок определяются Программой, являющейся неотъемлемой (составной) частью Тарифов Банка. В случае внесения изменений в Тарифы Банка Банк информирует Клиента в порядке, предусмотренном УДБО.</w:t>
      </w:r>
    </w:p>
    <w:p w14:paraId="1083259D" w14:textId="77777777" w:rsidR="00922808" w:rsidRPr="00922808" w:rsidRDefault="00922808" w:rsidP="00922808">
      <w:pPr>
        <w:jc w:val="both"/>
        <w:rPr>
          <w:rFonts w:ascii="Tahoma" w:eastAsia="Calibri" w:hAnsi="Tahoma" w:cs="Tahoma"/>
          <w:sz w:val="18"/>
          <w:szCs w:val="18"/>
          <w:lang w:eastAsia="en-US"/>
        </w:rPr>
      </w:pPr>
      <w:r w:rsidRPr="00922808">
        <w:rPr>
          <w:rFonts w:ascii="Tahoma" w:hAnsi="Tahoma" w:cs="Tahoma"/>
          <w:bCs/>
          <w:iCs/>
          <w:sz w:val="18"/>
          <w:szCs w:val="18"/>
          <w:vertAlign w:val="superscript"/>
        </w:rPr>
        <w:t>10</w:t>
      </w:r>
      <w:r w:rsidRPr="00922808">
        <w:rPr>
          <w:rFonts w:ascii="Tahoma" w:hAnsi="Tahoma" w:cs="Tahoma"/>
          <w:bCs/>
          <w:iCs/>
          <w:sz w:val="18"/>
          <w:szCs w:val="18"/>
        </w:rPr>
        <w:t>Оформление</w:t>
      </w:r>
      <w:r w:rsidRPr="00922808">
        <w:rPr>
          <w:rFonts w:ascii="Tahoma" w:eastAsia="Calibri" w:hAnsi="Tahoma" w:cs="Tahoma"/>
          <w:sz w:val="18"/>
          <w:szCs w:val="18"/>
          <w:lang w:eastAsia="en-US"/>
        </w:rPr>
        <w:t xml:space="preserve"> Накопительных счетов в валюте юань осуществляется при волеизъявлении Клиента, не является обязательной услугой для оформления Программы.</w:t>
      </w:r>
    </w:p>
    <w:p w14:paraId="1246B82D" w14:textId="77777777" w:rsidR="00922808" w:rsidRPr="00922808" w:rsidRDefault="00922808" w:rsidP="00922808">
      <w:pPr>
        <w:ind w:firstLine="34"/>
        <w:jc w:val="both"/>
        <w:rPr>
          <w:rFonts w:ascii="Tahoma" w:hAnsi="Tahoma" w:cs="Tahoma"/>
          <w:bCs/>
          <w:iCs/>
          <w:sz w:val="18"/>
          <w:szCs w:val="18"/>
        </w:rPr>
      </w:pPr>
      <w:r w:rsidRPr="00922808">
        <w:rPr>
          <w:rFonts w:ascii="Tahoma" w:hAnsi="Tahoma" w:cs="Tahoma"/>
          <w:bCs/>
          <w:iCs/>
          <w:sz w:val="18"/>
          <w:szCs w:val="18"/>
          <w:vertAlign w:val="superscript"/>
        </w:rPr>
        <w:t>11</w:t>
      </w:r>
      <w:r w:rsidRPr="00922808">
        <w:rPr>
          <w:rFonts w:ascii="Tahoma" w:hAnsi="Tahoma" w:cs="Tahoma"/>
          <w:bCs/>
          <w:iCs/>
          <w:sz w:val="18"/>
          <w:szCs w:val="18"/>
        </w:rPr>
        <w:t>Минимальный остаток по Накопительному счету рассчитывается путем анализа ежедневных входящих остатков денежных средств на Накопительном счете Клиента в течение календарного месяца. Проценты начисляются на сумму минимального остатка средств в анализируемом периоде. Выплата начисленных процентов производится на Накопительный счет не позднее пятого рабочего дня месяца, следующего за месяцем начисления процентов.</w:t>
      </w:r>
    </w:p>
    <w:p w14:paraId="3E145C68" w14:textId="77777777" w:rsidR="00922808" w:rsidRPr="00922808" w:rsidRDefault="00922808" w:rsidP="00922808">
      <w:pPr>
        <w:ind w:firstLine="34"/>
        <w:jc w:val="both"/>
        <w:rPr>
          <w:rFonts w:ascii="Tahoma" w:eastAsia="Calibri" w:hAnsi="Tahoma" w:cs="Tahoma"/>
          <w:sz w:val="18"/>
          <w:szCs w:val="18"/>
          <w:lang w:eastAsia="en-US"/>
        </w:rPr>
      </w:pPr>
      <w:r w:rsidRPr="00922808">
        <w:rPr>
          <w:rFonts w:ascii="Tahoma" w:hAnsi="Tahoma" w:cs="Tahoma"/>
          <w:bCs/>
          <w:iCs/>
          <w:sz w:val="18"/>
          <w:szCs w:val="18"/>
          <w:vertAlign w:val="superscript"/>
        </w:rPr>
        <w:t>12</w:t>
      </w:r>
      <w:r w:rsidRPr="00922808">
        <w:rPr>
          <w:rFonts w:ascii="Tahoma" w:eastAsia="Calibri" w:hAnsi="Tahoma" w:cs="Tahoma"/>
          <w:sz w:val="18"/>
          <w:szCs w:val="18"/>
          <w:lang w:eastAsia="en-US"/>
        </w:rPr>
        <w:t xml:space="preserve">Операции по счетам и использование платежных карт осуществляются с учетом ограничений, установленных платежными системами VISA International, </w:t>
      </w:r>
      <w:r w:rsidRPr="00922808">
        <w:rPr>
          <w:rFonts w:ascii="Tahoma" w:eastAsia="Calibri" w:hAnsi="Tahoma" w:cs="Tahoma"/>
          <w:sz w:val="18"/>
          <w:szCs w:val="18"/>
          <w:lang w:val="en-US" w:eastAsia="en-US"/>
        </w:rPr>
        <w:t>UnionPay</w:t>
      </w:r>
      <w:r w:rsidRPr="00922808">
        <w:rPr>
          <w:rFonts w:ascii="Tahoma" w:eastAsia="Calibri" w:hAnsi="Tahoma" w:cs="Tahoma"/>
          <w:sz w:val="18"/>
          <w:szCs w:val="18"/>
          <w:lang w:eastAsia="en-US"/>
        </w:rPr>
        <w:t xml:space="preserve"> </w:t>
      </w:r>
      <w:r w:rsidRPr="00922808">
        <w:rPr>
          <w:rFonts w:ascii="Tahoma" w:eastAsia="Calibri" w:hAnsi="Tahoma" w:cs="Tahoma"/>
          <w:sz w:val="18"/>
          <w:szCs w:val="18"/>
          <w:lang w:val="en-US" w:eastAsia="en-US"/>
        </w:rPr>
        <w:t>International</w:t>
      </w:r>
      <w:r w:rsidRPr="00922808">
        <w:rPr>
          <w:rFonts w:ascii="Tahoma" w:eastAsia="Calibri" w:hAnsi="Tahoma" w:cs="Tahoma"/>
          <w:sz w:val="18"/>
          <w:szCs w:val="18"/>
          <w:lang w:eastAsia="en-US"/>
        </w:rPr>
        <w:t>, иными уполномоченными лицами иностранных государств, международными организациями, а также законодательством иностранных государств, Российской Федерации.</w:t>
      </w:r>
    </w:p>
    <w:p w14:paraId="2E29D541" w14:textId="77777777" w:rsidR="00922808" w:rsidRPr="00922808" w:rsidRDefault="00922808" w:rsidP="00922808">
      <w:pPr>
        <w:ind w:firstLine="34"/>
        <w:jc w:val="both"/>
        <w:rPr>
          <w:rFonts w:ascii="Tahoma" w:hAnsi="Tahoma" w:cs="Tahoma"/>
          <w:bCs/>
          <w:iCs/>
          <w:sz w:val="18"/>
          <w:szCs w:val="18"/>
        </w:rPr>
      </w:pPr>
      <w:r w:rsidRPr="00922808">
        <w:rPr>
          <w:rFonts w:ascii="Tahoma" w:eastAsia="Calibri" w:hAnsi="Tahoma" w:cs="Tahoma"/>
          <w:sz w:val="18"/>
          <w:szCs w:val="18"/>
          <w:vertAlign w:val="superscript"/>
          <w:lang w:eastAsia="en-US"/>
        </w:rPr>
        <w:t>13</w:t>
      </w:r>
      <w:r w:rsidRPr="00922808">
        <w:rPr>
          <w:rFonts w:ascii="Tahoma" w:hAnsi="Tahoma" w:cs="Tahoma"/>
          <w:bCs/>
          <w:iCs/>
          <w:sz w:val="18"/>
          <w:szCs w:val="18"/>
        </w:rPr>
        <w:t>Комиссионное вознаграждение на основании заранее данного Клиентом акцепта взимается единовременно при оформлении Заявления на банковское обслуживание при получении и использовании дополнительных банковских (платежных) карт Банка в рамках Программы.</w:t>
      </w:r>
    </w:p>
    <w:p w14:paraId="15E6DF6E" w14:textId="77777777" w:rsidR="00922808" w:rsidRPr="00922808" w:rsidRDefault="00922808" w:rsidP="00922808">
      <w:pPr>
        <w:ind w:firstLine="34"/>
        <w:jc w:val="both"/>
        <w:rPr>
          <w:rFonts w:ascii="Tahoma" w:hAnsi="Tahoma" w:cs="Tahoma"/>
          <w:bCs/>
          <w:iCs/>
          <w:sz w:val="18"/>
          <w:szCs w:val="18"/>
        </w:rPr>
      </w:pPr>
      <w:r w:rsidRPr="00922808">
        <w:rPr>
          <w:rFonts w:ascii="Tahoma" w:hAnsi="Tahoma" w:cs="Tahoma"/>
          <w:bCs/>
          <w:iCs/>
          <w:sz w:val="18"/>
          <w:szCs w:val="18"/>
          <w:vertAlign w:val="superscript"/>
        </w:rPr>
        <w:t>14</w:t>
      </w:r>
      <w:r w:rsidRPr="00922808">
        <w:rPr>
          <w:rFonts w:ascii="Tahoma" w:hAnsi="Tahoma" w:cs="Tahoma"/>
          <w:bCs/>
          <w:iCs/>
          <w:sz w:val="18"/>
          <w:szCs w:val="18"/>
        </w:rPr>
        <w:t xml:space="preserve">Денежные переводы с платежной карты на платежную карту в банкоматах Банка и в пользу юридических лиц – поставщиков услуг, заключивших договор с Банком, платежи в счет оплаты коммунальных и иных услуг через Интернет-банк «АТБ-Онлайн», Мобильный банк, а также лимиты проведения операций на Сайте </w:t>
      </w:r>
      <w:hyperlink r:id="rId92" w:history="1">
        <w:r w:rsidRPr="00922808">
          <w:rPr>
            <w:rFonts w:ascii="Tahoma" w:hAnsi="Tahoma" w:cs="Tahoma"/>
            <w:bCs/>
            <w:iCs/>
            <w:color w:val="0563C1"/>
            <w:sz w:val="18"/>
            <w:szCs w:val="18"/>
            <w:u w:val="single"/>
            <w:lang w:val="en-US"/>
          </w:rPr>
          <w:t>www</w:t>
        </w:r>
        <w:r w:rsidRPr="00922808">
          <w:rPr>
            <w:rFonts w:ascii="Tahoma" w:hAnsi="Tahoma" w:cs="Tahoma"/>
            <w:bCs/>
            <w:iCs/>
            <w:color w:val="0563C1"/>
            <w:sz w:val="18"/>
            <w:szCs w:val="18"/>
            <w:u w:val="single"/>
          </w:rPr>
          <w:t>.</w:t>
        </w:r>
        <w:r w:rsidRPr="00922808">
          <w:rPr>
            <w:rFonts w:ascii="Tahoma" w:hAnsi="Tahoma" w:cs="Tahoma"/>
            <w:bCs/>
            <w:iCs/>
            <w:color w:val="0563C1"/>
            <w:sz w:val="18"/>
            <w:szCs w:val="18"/>
            <w:u w:val="single"/>
            <w:lang w:val="en-US"/>
          </w:rPr>
          <w:t>atb</w:t>
        </w:r>
        <w:r w:rsidRPr="00922808">
          <w:rPr>
            <w:rFonts w:ascii="Tahoma" w:hAnsi="Tahoma" w:cs="Tahoma"/>
            <w:bCs/>
            <w:iCs/>
            <w:color w:val="0563C1"/>
            <w:sz w:val="18"/>
            <w:szCs w:val="18"/>
            <w:u w:val="single"/>
          </w:rPr>
          <w:t>.</w:t>
        </w:r>
        <w:r w:rsidRPr="00922808">
          <w:rPr>
            <w:rFonts w:ascii="Tahoma" w:hAnsi="Tahoma" w:cs="Tahoma"/>
            <w:bCs/>
            <w:iCs/>
            <w:color w:val="0563C1"/>
            <w:sz w:val="18"/>
            <w:szCs w:val="18"/>
            <w:u w:val="single"/>
            <w:lang w:val="en-US"/>
          </w:rPr>
          <w:t>su</w:t>
        </w:r>
      </w:hyperlink>
      <w:r w:rsidRPr="00922808">
        <w:rPr>
          <w:rFonts w:ascii="Tahoma" w:hAnsi="Tahoma" w:cs="Tahoma"/>
          <w:bCs/>
          <w:iCs/>
          <w:sz w:val="18"/>
          <w:szCs w:val="18"/>
        </w:rPr>
        <w:t>, регулируются соответствующими разделами Тарифов Банка для клиентов-физических лиц. Ограничения проведения операций в валютах доллар США/Евро/юань по оплате товаров, работ, услуг за рубежом/ограничения перевода денежных средств за рубеж физическим лицам/ограничения перевода денежных средств за рубеж на свой счет/ограничения переводов денежных средств без открытия банковского счета с использованием электронных средств платежа, предоставленных иностранными поставщиками платежных услуг, применяются в соответствии с законодательством Российской Федерации, в т.ч актами Банка России.</w:t>
      </w:r>
    </w:p>
    <w:p w14:paraId="55163702" w14:textId="77777777" w:rsidR="00922808" w:rsidRPr="00922808" w:rsidRDefault="00922808" w:rsidP="00922808">
      <w:pPr>
        <w:ind w:firstLine="34"/>
        <w:jc w:val="both"/>
        <w:rPr>
          <w:rFonts w:ascii="Tahoma" w:hAnsi="Tahoma" w:cs="Tahoma"/>
          <w:bCs/>
          <w:iCs/>
          <w:sz w:val="18"/>
          <w:szCs w:val="18"/>
        </w:rPr>
      </w:pPr>
      <w:r w:rsidRPr="00922808">
        <w:rPr>
          <w:rFonts w:ascii="Tahoma" w:hAnsi="Tahoma" w:cs="Tahoma"/>
          <w:bCs/>
          <w:iCs/>
          <w:sz w:val="18"/>
          <w:szCs w:val="18"/>
          <w:vertAlign w:val="superscript"/>
        </w:rPr>
        <w:t>15</w:t>
      </w:r>
      <w:r w:rsidRPr="00922808">
        <w:rPr>
          <w:rFonts w:ascii="Tahoma" w:hAnsi="Tahoma" w:cs="Tahoma"/>
          <w:bCs/>
          <w:iCs/>
          <w:sz w:val="18"/>
          <w:szCs w:val="18"/>
        </w:rPr>
        <w:t>ТСП (Торгово-сервисное предприятие), здесь и по тексту Программы – юридическое или физическое лицо – индивидуальный предприниматель (за исключением кредитных организаций), осуществляющее реализацию товаров (работ, услуг, результатов интеллектуальной деятельности), оплата которых производится Клиентами Банка с помощью Карты/реквизитов Карты через электронные средства платежа (POS-терминалы и платежные терминалы), а также через сеть Интернет.</w:t>
      </w:r>
    </w:p>
    <w:p w14:paraId="50491C78" w14:textId="77777777" w:rsidR="00922808" w:rsidRPr="00922808" w:rsidRDefault="00922808" w:rsidP="00922808">
      <w:pPr>
        <w:ind w:firstLine="34"/>
        <w:jc w:val="both"/>
        <w:rPr>
          <w:rFonts w:ascii="Tahoma" w:eastAsia="Calibri" w:hAnsi="Tahoma" w:cs="Tahoma"/>
          <w:sz w:val="18"/>
          <w:szCs w:val="18"/>
          <w:lang w:eastAsia="en-US"/>
        </w:rPr>
      </w:pPr>
      <w:r w:rsidRPr="00922808">
        <w:rPr>
          <w:rFonts w:ascii="Tahoma" w:hAnsi="Tahoma" w:cs="Tahoma"/>
          <w:bCs/>
          <w:iCs/>
          <w:sz w:val="18"/>
          <w:szCs w:val="18"/>
          <w:vertAlign w:val="superscript"/>
        </w:rPr>
        <w:t>16</w:t>
      </w:r>
      <w:r w:rsidRPr="00922808">
        <w:rPr>
          <w:rFonts w:ascii="Tahoma" w:eastAsia="Calibri" w:hAnsi="Tahoma" w:cs="Tahoma"/>
          <w:sz w:val="18"/>
          <w:szCs w:val="18"/>
          <w:lang w:eastAsia="en-US"/>
        </w:rPr>
        <w:t>По безналичным операциям с МСС-кодами: 4829 «Денежные переводы», 6012 «Финансовые институты – торговля и услуги», 6538 «Денежные переводы с Карты на Карту», 6534 «Платежная операция», 6051 «Квази-Кэш в нефинансовые учреждения» – комиссия не взимается.</w:t>
      </w:r>
    </w:p>
    <w:p w14:paraId="1FD61225" w14:textId="77777777" w:rsidR="00922808" w:rsidRPr="00922808" w:rsidRDefault="00922808" w:rsidP="00922808">
      <w:pPr>
        <w:ind w:firstLine="34"/>
        <w:jc w:val="both"/>
        <w:rPr>
          <w:rFonts w:ascii="Tahoma" w:hAnsi="Tahoma" w:cs="Tahoma"/>
          <w:bCs/>
          <w:iCs/>
          <w:sz w:val="18"/>
          <w:szCs w:val="18"/>
        </w:rPr>
      </w:pPr>
      <w:r w:rsidRPr="00922808">
        <w:rPr>
          <w:rFonts w:ascii="Tahoma" w:eastAsia="Calibri" w:hAnsi="Tahoma" w:cs="Tahoma"/>
          <w:sz w:val="18"/>
          <w:szCs w:val="18"/>
          <w:vertAlign w:val="superscript"/>
          <w:lang w:eastAsia="en-US"/>
        </w:rPr>
        <w:t>17</w:t>
      </w:r>
      <w:r w:rsidRPr="00922808">
        <w:rPr>
          <w:rFonts w:ascii="Tahoma" w:hAnsi="Tahoma" w:cs="Tahoma"/>
          <w:bCs/>
          <w:iCs/>
          <w:sz w:val="18"/>
          <w:szCs w:val="18"/>
        </w:rPr>
        <w:t>Возможно взимание дополнительной комиссии за взнос и выдачу наличных в розничной сети партнеров Банка, а также другими банками за взнос и выдачу наличных по Карте Клиента, выпущенной в рамках Программы, в их устройствах. При проведении наличной операции с конверсией применяются курсы валют, указанные в пункте 4.2.2. Программы.</w:t>
      </w:r>
    </w:p>
    <w:p w14:paraId="7282D427" w14:textId="77777777" w:rsidR="00922808" w:rsidRPr="00922808" w:rsidRDefault="00922808" w:rsidP="00922808">
      <w:pPr>
        <w:ind w:firstLine="34"/>
        <w:jc w:val="both"/>
        <w:rPr>
          <w:rFonts w:ascii="Tahoma" w:eastAsia="Calibri" w:hAnsi="Tahoma" w:cs="Tahoma"/>
          <w:sz w:val="18"/>
          <w:szCs w:val="18"/>
          <w:lang w:eastAsia="en-US"/>
        </w:rPr>
      </w:pPr>
      <w:r w:rsidRPr="00922808">
        <w:rPr>
          <w:rFonts w:ascii="Tahoma" w:hAnsi="Tahoma" w:cs="Tahoma"/>
          <w:bCs/>
          <w:iCs/>
          <w:sz w:val="18"/>
          <w:szCs w:val="18"/>
          <w:vertAlign w:val="superscript"/>
        </w:rPr>
        <w:t>18</w:t>
      </w:r>
      <w:r w:rsidRPr="00922808">
        <w:rPr>
          <w:rFonts w:ascii="Tahoma" w:eastAsia="Calibri" w:hAnsi="Tahoma" w:cs="Tahoma"/>
          <w:sz w:val="18"/>
          <w:szCs w:val="18"/>
          <w:lang w:eastAsia="en-US"/>
        </w:rPr>
        <w:t>Платежными системами и ТСП могут быть установлены собственные ограничения по предоставлению данной услуги. О наличии услуги и ограничениях по ней необходимо уточнять в ТСП.</w:t>
      </w:r>
    </w:p>
    <w:p w14:paraId="2011DDA5" w14:textId="77777777" w:rsidR="00922808" w:rsidRPr="00922808" w:rsidRDefault="00922808" w:rsidP="00922808">
      <w:pPr>
        <w:ind w:firstLine="34"/>
        <w:jc w:val="both"/>
        <w:rPr>
          <w:rFonts w:ascii="Tahoma" w:hAnsi="Tahoma" w:cs="Tahoma"/>
          <w:bCs/>
          <w:iCs/>
          <w:sz w:val="18"/>
          <w:szCs w:val="18"/>
        </w:rPr>
      </w:pPr>
      <w:r w:rsidRPr="00922808">
        <w:rPr>
          <w:rFonts w:ascii="Tahoma" w:eastAsia="Calibri" w:hAnsi="Tahoma" w:cs="Tahoma"/>
          <w:sz w:val="18"/>
          <w:szCs w:val="18"/>
          <w:vertAlign w:val="superscript"/>
          <w:lang w:eastAsia="en-US"/>
        </w:rPr>
        <w:t>19</w:t>
      </w:r>
      <w:r w:rsidRPr="00922808">
        <w:rPr>
          <w:rFonts w:ascii="Tahoma" w:hAnsi="Tahoma" w:cs="Tahoma"/>
          <w:bCs/>
          <w:iCs/>
          <w:sz w:val="18"/>
          <w:szCs w:val="18"/>
        </w:rPr>
        <w:t>Лимиты в день действуют от 00 до 24 ч. московского времени (включительно), в месяц - от 00 часов 1-го числа до 24 часов последнего числа месяца (включительно), по московскому времени. Выдача наличных денежных средств в устройствах в сумме, превышающей лимиты, не производится. Выдача сумм в пунктах выдачи наличных Банка производится с предъявлением документа, удостоверяющего личность. Лимиты выдачи денежных средств в иностранной валюте применимы исключительно для выдачи денежных средств в банкоматах и пунктах выдачи наличных за пределами Российской Федерации.</w:t>
      </w:r>
    </w:p>
    <w:p w14:paraId="6870D7FC" w14:textId="77777777" w:rsidR="00922808" w:rsidRPr="00922808" w:rsidRDefault="00922808" w:rsidP="00922808">
      <w:pPr>
        <w:tabs>
          <w:tab w:val="left" w:pos="284"/>
        </w:tabs>
        <w:jc w:val="both"/>
        <w:rPr>
          <w:rFonts w:ascii="Tahoma" w:eastAsia="Calibri" w:hAnsi="Tahoma" w:cs="Tahoma"/>
          <w:sz w:val="18"/>
          <w:szCs w:val="18"/>
          <w:lang w:eastAsia="en-US"/>
        </w:rPr>
      </w:pPr>
      <w:r w:rsidRPr="00922808">
        <w:rPr>
          <w:rFonts w:ascii="Tahoma" w:hAnsi="Tahoma" w:cs="Tahoma"/>
          <w:bCs/>
          <w:iCs/>
          <w:sz w:val="18"/>
          <w:szCs w:val="18"/>
          <w:vertAlign w:val="superscript"/>
        </w:rPr>
        <w:t>20</w:t>
      </w:r>
      <w:r w:rsidRPr="00922808">
        <w:rPr>
          <w:rFonts w:ascii="Tahoma" w:eastAsia="Calibri" w:hAnsi="Tahoma" w:cs="Tahoma"/>
          <w:sz w:val="18"/>
          <w:szCs w:val="18"/>
          <w:lang w:eastAsia="en-US"/>
        </w:rPr>
        <w:t>В случаях, установленных законодательством РФ, комиссионное вознаграждение Банком не взимается.</w:t>
      </w:r>
    </w:p>
    <w:p w14:paraId="4C1ABE9B" w14:textId="77777777" w:rsidR="00922808" w:rsidRPr="00922808" w:rsidRDefault="00922808" w:rsidP="00922808">
      <w:pPr>
        <w:tabs>
          <w:tab w:val="left" w:pos="284"/>
        </w:tabs>
        <w:jc w:val="both"/>
        <w:rPr>
          <w:rFonts w:ascii="Tahoma" w:hAnsi="Tahoma" w:cs="Tahoma"/>
          <w:bCs/>
          <w:iCs/>
          <w:sz w:val="18"/>
          <w:szCs w:val="18"/>
        </w:rPr>
      </w:pPr>
      <w:r w:rsidRPr="00922808">
        <w:rPr>
          <w:rFonts w:ascii="Tahoma" w:hAnsi="Tahoma" w:cs="Tahoma"/>
          <w:bCs/>
          <w:iCs/>
          <w:sz w:val="18"/>
          <w:szCs w:val="18"/>
          <w:vertAlign w:val="superscript"/>
        </w:rPr>
        <w:t>21</w:t>
      </w:r>
      <w:r w:rsidRPr="00922808">
        <w:rPr>
          <w:rFonts w:ascii="Tahoma" w:hAnsi="Tahoma" w:cs="Tahoma"/>
          <w:bCs/>
          <w:iCs/>
          <w:sz w:val="18"/>
          <w:szCs w:val="18"/>
        </w:rPr>
        <w:t>Применимо исключительно в случае установления законодательством Российской Федерации, в т.ч. актами Центрального банка РФ комиссионных ограничений при выдаче физическим лицам наличной иностранной валюты.</w:t>
      </w:r>
    </w:p>
    <w:p w14:paraId="390F14E7" w14:textId="77777777" w:rsidR="00922808" w:rsidRPr="00922808" w:rsidRDefault="00922808" w:rsidP="00922808">
      <w:pPr>
        <w:tabs>
          <w:tab w:val="left" w:pos="284"/>
        </w:tabs>
        <w:jc w:val="both"/>
        <w:rPr>
          <w:rFonts w:ascii="Tahoma" w:hAnsi="Tahoma" w:cs="Tahoma"/>
          <w:bCs/>
          <w:iCs/>
          <w:sz w:val="18"/>
          <w:szCs w:val="18"/>
        </w:rPr>
      </w:pPr>
      <w:r w:rsidRPr="00922808">
        <w:rPr>
          <w:rFonts w:ascii="Tahoma" w:hAnsi="Tahoma" w:cs="Tahoma"/>
          <w:bCs/>
          <w:iCs/>
          <w:sz w:val="18"/>
          <w:szCs w:val="18"/>
          <w:vertAlign w:val="superscript"/>
        </w:rPr>
        <w:t>22</w:t>
      </w:r>
      <w:r w:rsidRPr="00922808">
        <w:rPr>
          <w:rFonts w:ascii="Tahoma" w:hAnsi="Tahoma" w:cs="Tahoma"/>
          <w:bCs/>
          <w:iCs/>
          <w:sz w:val="18"/>
          <w:szCs w:val="18"/>
        </w:rPr>
        <w:t>Услуга не оказывается Клиенту в случае отсутствия денежных средств и операций по его Счетам в периоде оказания услуги.</w:t>
      </w:r>
    </w:p>
    <w:p w14:paraId="12A1BE88" w14:textId="77777777" w:rsidR="00922808" w:rsidRPr="00922808" w:rsidRDefault="00922808" w:rsidP="00922808">
      <w:pPr>
        <w:tabs>
          <w:tab w:val="left" w:pos="284"/>
        </w:tabs>
        <w:jc w:val="both"/>
        <w:rPr>
          <w:rFonts w:ascii="Tahoma" w:hAnsi="Tahoma" w:cs="Tahoma"/>
          <w:bCs/>
          <w:iCs/>
          <w:sz w:val="18"/>
          <w:szCs w:val="18"/>
        </w:rPr>
      </w:pPr>
      <w:r w:rsidRPr="00922808">
        <w:rPr>
          <w:rFonts w:ascii="Tahoma" w:hAnsi="Tahoma" w:cs="Tahoma"/>
          <w:bCs/>
          <w:iCs/>
          <w:sz w:val="18"/>
          <w:szCs w:val="18"/>
          <w:vertAlign w:val="superscript"/>
        </w:rPr>
        <w:t>23</w:t>
      </w:r>
      <w:r w:rsidRPr="00922808">
        <w:rPr>
          <w:rFonts w:ascii="Tahoma" w:hAnsi="Tahoma" w:cs="Tahoma"/>
          <w:bCs/>
          <w:iCs/>
          <w:sz w:val="18"/>
          <w:szCs w:val="18"/>
        </w:rPr>
        <w:t>Блокировка/разблокировка Карты в базе данных Процессингового Центра Банка посредством Каналов ДБО и при оформлении операции работником Банка по заявлению Клиента в офисе Банка.</w:t>
      </w:r>
    </w:p>
    <w:p w14:paraId="62172E5D" w14:textId="77777777" w:rsidR="00922808" w:rsidRPr="00922808" w:rsidRDefault="00922808" w:rsidP="00922808">
      <w:pPr>
        <w:tabs>
          <w:tab w:val="left" w:pos="284"/>
        </w:tabs>
        <w:jc w:val="both"/>
        <w:rPr>
          <w:rFonts w:ascii="Tahoma" w:hAnsi="Tahoma" w:cs="Tahoma"/>
          <w:bCs/>
          <w:iCs/>
          <w:sz w:val="18"/>
          <w:szCs w:val="18"/>
        </w:rPr>
      </w:pPr>
      <w:r w:rsidRPr="00922808">
        <w:rPr>
          <w:rFonts w:ascii="Tahoma" w:hAnsi="Tahoma" w:cs="Tahoma"/>
          <w:bCs/>
          <w:iCs/>
          <w:sz w:val="18"/>
          <w:szCs w:val="18"/>
          <w:vertAlign w:val="superscript"/>
        </w:rPr>
        <w:t>24</w:t>
      </w:r>
      <w:r w:rsidRPr="00922808">
        <w:rPr>
          <w:rFonts w:ascii="Tahoma" w:hAnsi="Tahoma" w:cs="Tahoma"/>
          <w:bCs/>
          <w:iCs/>
          <w:sz w:val="18"/>
          <w:szCs w:val="18"/>
        </w:rPr>
        <w:t>Операции с денежными средствами на валютных счетах, вкладах Клиентов осуществляются при соблюдении установленных законодательством Российской Федерации в том числе актами Центрального банка РФ, иных уполномоченных лиц/органов, действующих на территории Российской Федерации), ограничений/условий.</w:t>
      </w:r>
    </w:p>
    <w:p w14:paraId="2E5A8026" w14:textId="77777777" w:rsidR="00922808" w:rsidRPr="00922808" w:rsidRDefault="00922808" w:rsidP="00922808">
      <w:pPr>
        <w:tabs>
          <w:tab w:val="left" w:pos="284"/>
        </w:tabs>
        <w:jc w:val="both"/>
        <w:rPr>
          <w:rFonts w:ascii="Tahoma" w:hAnsi="Tahoma" w:cs="Tahoma"/>
          <w:bCs/>
          <w:iCs/>
          <w:sz w:val="18"/>
          <w:szCs w:val="18"/>
        </w:rPr>
      </w:pPr>
      <w:r w:rsidRPr="00922808">
        <w:rPr>
          <w:rFonts w:ascii="Tahoma" w:hAnsi="Tahoma" w:cs="Tahoma"/>
          <w:bCs/>
          <w:iCs/>
          <w:sz w:val="18"/>
          <w:szCs w:val="18"/>
          <w:vertAlign w:val="superscript"/>
        </w:rPr>
        <w:t>25</w:t>
      </w:r>
      <w:r w:rsidRPr="00922808">
        <w:rPr>
          <w:rFonts w:ascii="Tahoma" w:hAnsi="Tahoma" w:cs="Tahoma"/>
          <w:bCs/>
          <w:iCs/>
          <w:sz w:val="18"/>
          <w:szCs w:val="18"/>
        </w:rPr>
        <w:t xml:space="preserve">Выпуск Карты производится по выбору Клиента при наличии соответствующего типа Карт: </w:t>
      </w:r>
      <w:r w:rsidRPr="00922808">
        <w:rPr>
          <w:rFonts w:ascii="Tahoma" w:hAnsi="Tahoma" w:cs="Tahoma"/>
          <w:bCs/>
          <w:iCs/>
          <w:sz w:val="18"/>
          <w:szCs w:val="18"/>
          <w:lang w:val="en-US"/>
        </w:rPr>
        <w:t>UnionPay</w:t>
      </w:r>
      <w:r w:rsidRPr="00922808">
        <w:rPr>
          <w:rFonts w:ascii="Tahoma" w:hAnsi="Tahoma" w:cs="Tahoma"/>
          <w:bCs/>
          <w:iCs/>
          <w:sz w:val="18"/>
          <w:szCs w:val="18"/>
        </w:rPr>
        <w:t xml:space="preserve"> </w:t>
      </w:r>
      <w:r w:rsidRPr="00922808">
        <w:rPr>
          <w:rFonts w:ascii="Tahoma" w:hAnsi="Tahoma" w:cs="Tahoma"/>
          <w:bCs/>
          <w:iCs/>
          <w:sz w:val="18"/>
          <w:szCs w:val="18"/>
          <w:lang w:val="en-US"/>
        </w:rPr>
        <w:t>Platinum</w:t>
      </w:r>
      <w:r w:rsidRPr="00922808">
        <w:rPr>
          <w:rFonts w:ascii="Tahoma" w:hAnsi="Tahoma" w:cs="Tahoma"/>
          <w:bCs/>
          <w:iCs/>
          <w:sz w:val="18"/>
          <w:szCs w:val="18"/>
        </w:rPr>
        <w:t xml:space="preserve"> или </w:t>
      </w:r>
      <w:r w:rsidRPr="00922808">
        <w:rPr>
          <w:rFonts w:ascii="Tahoma" w:hAnsi="Tahoma" w:cs="Tahoma"/>
          <w:bCs/>
          <w:iCs/>
          <w:sz w:val="18"/>
          <w:szCs w:val="18"/>
          <w:lang w:val="en-US"/>
        </w:rPr>
        <w:t>UnionPay</w:t>
      </w:r>
      <w:r w:rsidRPr="00922808">
        <w:rPr>
          <w:rFonts w:ascii="Tahoma" w:hAnsi="Tahoma" w:cs="Tahoma"/>
          <w:bCs/>
          <w:iCs/>
          <w:sz w:val="18"/>
          <w:szCs w:val="18"/>
        </w:rPr>
        <w:t xml:space="preserve"> </w:t>
      </w:r>
      <w:r w:rsidRPr="00922808">
        <w:rPr>
          <w:rFonts w:ascii="Tahoma" w:hAnsi="Tahoma" w:cs="Tahoma"/>
          <w:bCs/>
          <w:iCs/>
          <w:sz w:val="18"/>
          <w:szCs w:val="18"/>
          <w:lang w:val="en-US"/>
        </w:rPr>
        <w:t>Diamond</w:t>
      </w:r>
      <w:r w:rsidRPr="00922808">
        <w:rPr>
          <w:rFonts w:ascii="Tahoma" w:hAnsi="Tahoma" w:cs="Tahoma"/>
          <w:bCs/>
          <w:iCs/>
          <w:sz w:val="18"/>
          <w:szCs w:val="18"/>
        </w:rPr>
        <w:t xml:space="preserve"> в Банке.</w:t>
      </w:r>
    </w:p>
    <w:p w14:paraId="625DAEAD" w14:textId="77777777" w:rsidR="004F7771" w:rsidRPr="004F7771" w:rsidRDefault="004F7771" w:rsidP="004F7771">
      <w:pPr>
        <w:spacing w:after="160" w:line="259" w:lineRule="auto"/>
        <w:rPr>
          <w:rFonts w:ascii="Tahoma" w:hAnsi="Tahoma" w:cs="Tahoma"/>
          <w:bCs/>
          <w:iCs/>
          <w:sz w:val="18"/>
          <w:szCs w:val="18"/>
        </w:rPr>
      </w:pPr>
    </w:p>
    <w:p w14:paraId="0772231D" w14:textId="77777777" w:rsidR="005B3198" w:rsidRPr="00465DC4" w:rsidRDefault="005B3198" w:rsidP="005B3198">
      <w:pPr>
        <w:rPr>
          <w:rFonts w:ascii="Tahoma" w:hAnsi="Tahoma" w:cs="Tahoma"/>
          <w:b/>
          <w:bCs/>
          <w:caps/>
          <w:sz w:val="18"/>
          <w:szCs w:val="18"/>
        </w:rPr>
      </w:pPr>
    </w:p>
    <w:p w14:paraId="4BFD9F21" w14:textId="77777777" w:rsidR="00440295" w:rsidRPr="00CC4BAB" w:rsidRDefault="00440295" w:rsidP="000B3718">
      <w:pPr>
        <w:pStyle w:val="a5"/>
      </w:pPr>
      <w:r w:rsidRPr="00CC4BAB">
        <w:rPr>
          <w:color w:val="E36C0A"/>
        </w:rPr>
        <w:t>4.4.</w:t>
      </w:r>
      <w:r w:rsidRPr="00CC4BAB">
        <w:t xml:space="preserve"> ТАРИФНЫЙ ПЛАН «Универсальная карта»</w:t>
      </w:r>
    </w:p>
    <w:p w14:paraId="5BCE93D9" w14:textId="77777777" w:rsidR="00440295" w:rsidRPr="00204292" w:rsidRDefault="00440295" w:rsidP="00440295">
      <w:pPr>
        <w:jc w:val="center"/>
        <w:rPr>
          <w:rFonts w:ascii="Tahoma" w:hAnsi="Tahoma" w:cs="Tahoma"/>
          <w:b/>
          <w:noProof/>
          <w:sz w:val="18"/>
          <w:szCs w:val="18"/>
        </w:rPr>
      </w:pPr>
      <w:bookmarkStart w:id="140" w:name="OLE_LINK2"/>
      <w:r w:rsidRPr="00204292">
        <w:rPr>
          <w:rFonts w:ascii="Tahoma" w:hAnsi="Tahoma" w:cs="Tahoma"/>
          <w:b/>
          <w:noProof/>
          <w:sz w:val="18"/>
          <w:szCs w:val="18"/>
        </w:rPr>
        <w:t xml:space="preserve">ИНФОРМАЦИЯ ОБ УСЛОВИЯХ ПРЕДОСТАВЛЕНИЯ, ИСПОЛЬЗОВАНИЯ И ВОЗВРАТА ПОТРЕБИТЕЛЬСКОГО КРЕДИТА (С ЛИМИТОМ КРЕДИТОВАНИЯ) </w:t>
      </w:r>
    </w:p>
    <w:p w14:paraId="1F0AC406" w14:textId="77777777" w:rsidR="00440295" w:rsidRPr="00204292" w:rsidRDefault="00440295" w:rsidP="00440295">
      <w:pPr>
        <w:jc w:val="center"/>
        <w:rPr>
          <w:rFonts w:ascii="Tahoma" w:hAnsi="Tahoma" w:cs="Tahoma"/>
          <w:b/>
          <w:noProof/>
          <w:sz w:val="18"/>
          <w:szCs w:val="18"/>
        </w:rPr>
      </w:pPr>
      <w:r w:rsidRPr="00204292">
        <w:rPr>
          <w:rFonts w:ascii="Tahoma" w:hAnsi="Tahoma" w:cs="Tahoma"/>
          <w:b/>
          <w:noProof/>
          <w:sz w:val="18"/>
          <w:szCs w:val="18"/>
        </w:rPr>
        <w:t>ПО ТАРИФНОМУ ПЛАНУ «УНИВЕРСАЛЬНАЯ КАРТА»</w:t>
      </w:r>
    </w:p>
    <w:p w14:paraId="7B0EEC00" w14:textId="77777777" w:rsidR="00440295" w:rsidRPr="00204292" w:rsidRDefault="00440295" w:rsidP="00440295">
      <w:pPr>
        <w:rPr>
          <w:rFonts w:ascii="Tahoma" w:hAnsi="Tahoma" w:cs="Tahoma"/>
          <w:b/>
          <w:bCs/>
          <w:caps/>
          <w:sz w:val="18"/>
          <w:szCs w:val="18"/>
        </w:rPr>
      </w:pPr>
    </w:p>
    <w:p w14:paraId="0680A354" w14:textId="77777777" w:rsidR="00440295" w:rsidRPr="00204292" w:rsidRDefault="00440295" w:rsidP="00440295">
      <w:pPr>
        <w:pStyle w:val="affe"/>
        <w:tabs>
          <w:tab w:val="left" w:pos="851"/>
        </w:tabs>
        <w:ind w:left="426"/>
        <w:jc w:val="both"/>
        <w:rPr>
          <w:rFonts w:ascii="Tahoma" w:hAnsi="Tahoma" w:cs="Tahoma"/>
          <w:noProof/>
          <w:sz w:val="18"/>
          <w:szCs w:val="18"/>
        </w:rPr>
      </w:pPr>
      <w:r w:rsidRPr="00204292">
        <w:rPr>
          <w:rFonts w:ascii="Tahoma" w:hAnsi="Tahoma" w:cs="Tahoma"/>
          <w:b/>
          <w:bCs/>
          <w:caps/>
          <w:sz w:val="18"/>
          <w:szCs w:val="18"/>
        </w:rPr>
        <w:t>1.ОСНОВНЫЕ ПОНЯТИЯ, ИСПОЛЬЗУЕМЫЕ ТЕРМИНЫ и сокращения</w:t>
      </w:r>
      <w:r w:rsidRPr="00204292">
        <w:rPr>
          <w:rFonts w:ascii="Tahoma" w:hAnsi="Tahoma" w:cs="Tahoma"/>
          <w:b/>
          <w:bCs/>
          <w:caps/>
          <w:sz w:val="18"/>
          <w:szCs w:val="18"/>
          <w:vertAlign w:val="superscript"/>
        </w:rPr>
        <w:t>1</w:t>
      </w:r>
    </w:p>
    <w:p w14:paraId="10069394" w14:textId="77777777" w:rsidR="00440295" w:rsidRPr="00204292" w:rsidRDefault="00440295" w:rsidP="00440295">
      <w:pPr>
        <w:rPr>
          <w:rFonts w:ascii="Tahoma" w:hAnsi="Tahoma" w:cs="Tahoma"/>
          <w:noProof/>
          <w:sz w:val="18"/>
          <w:szCs w:val="18"/>
        </w:rPr>
      </w:pPr>
    </w:p>
    <w:tbl>
      <w:tblPr>
        <w:tblW w:w="4804" w:type="pct"/>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8"/>
        <w:gridCol w:w="10136"/>
      </w:tblGrid>
      <w:tr w:rsidR="00440295" w:rsidRPr="00204292" w14:paraId="265BE2D9" w14:textId="77777777" w:rsidTr="00034511">
        <w:tc>
          <w:tcPr>
            <w:tcW w:w="1513" w:type="pct"/>
          </w:tcPr>
          <w:p w14:paraId="675841DF" w14:textId="77777777" w:rsidR="00440295" w:rsidRPr="00204292" w:rsidRDefault="00440295" w:rsidP="00034511">
            <w:pPr>
              <w:tabs>
                <w:tab w:val="left" w:pos="851"/>
              </w:tabs>
              <w:rPr>
                <w:rFonts w:ascii="Tahoma" w:hAnsi="Tahoma" w:cs="Tahoma"/>
                <w:b/>
                <w:bCs/>
                <w:iCs/>
                <w:sz w:val="18"/>
                <w:szCs w:val="18"/>
              </w:rPr>
            </w:pPr>
            <w:r w:rsidRPr="00204292">
              <w:rPr>
                <w:rFonts w:ascii="Tahoma" w:hAnsi="Tahoma" w:cs="Tahoma"/>
                <w:b/>
                <w:bCs/>
                <w:iCs/>
                <w:sz w:val="18"/>
                <w:szCs w:val="18"/>
              </w:rPr>
              <w:t>Наименование Кредитора, место нахождения постоянно действующего исполнительного органа, контактный телефон, по которому осуществляется связь с Кредитором, официальный сайт, номер лицензии на осуществление банковских операций</w:t>
            </w:r>
          </w:p>
        </w:tc>
        <w:tc>
          <w:tcPr>
            <w:tcW w:w="3487" w:type="pct"/>
          </w:tcPr>
          <w:p w14:paraId="3FE3EF30" w14:textId="77777777" w:rsidR="00440295" w:rsidRPr="00204292" w:rsidRDefault="00440295" w:rsidP="00034511">
            <w:pPr>
              <w:tabs>
                <w:tab w:val="left" w:pos="851"/>
              </w:tabs>
              <w:rPr>
                <w:rFonts w:ascii="Tahoma" w:hAnsi="Tahoma" w:cs="Tahoma"/>
                <w:bCs/>
                <w:iCs/>
                <w:sz w:val="18"/>
                <w:szCs w:val="18"/>
              </w:rPr>
            </w:pPr>
            <w:r w:rsidRPr="00204292">
              <w:rPr>
                <w:rFonts w:ascii="Tahoma" w:hAnsi="Tahoma" w:cs="Tahoma"/>
                <w:sz w:val="18"/>
                <w:szCs w:val="18"/>
              </w:rPr>
              <w:t xml:space="preserve">«Азиатско-Тихоокеанский Банк» (Акционерное общество) (далее – Банк). Универсальная лицензия ЦБ РФ № 1810, ОГРН: 1022800000079, ИНН: 2801023444, БИК: 041012765, кор. счет №: 30101810300000000765 в Отделении Благовещенск. Местонахождение Банка и место нахождения его постоянно действующего исполнительного органа: 675004, Амурская область, г. Благовещенск, ул. Амурская, д. 225. Контактный тел.: 8 800 775 8888 (звонок по России бесплатный). Сайт Банка: </w:t>
            </w:r>
            <w:hyperlink r:id="rId93" w:history="1">
              <w:r w:rsidRPr="00204292">
                <w:rPr>
                  <w:rFonts w:ascii="Tahoma" w:hAnsi="Tahoma" w:cs="Tahoma"/>
                  <w:sz w:val="18"/>
                  <w:szCs w:val="18"/>
                  <w:u w:val="single"/>
                </w:rPr>
                <w:t>www.atb.su</w:t>
              </w:r>
            </w:hyperlink>
          </w:p>
        </w:tc>
      </w:tr>
      <w:tr w:rsidR="00440295" w:rsidRPr="00204292" w14:paraId="2D54275B" w14:textId="77777777" w:rsidTr="00034511">
        <w:trPr>
          <w:trHeight w:val="203"/>
        </w:trPr>
        <w:tc>
          <w:tcPr>
            <w:tcW w:w="1513" w:type="pct"/>
          </w:tcPr>
          <w:p w14:paraId="2E1A7394" w14:textId="77777777" w:rsidR="00440295" w:rsidRPr="00204292" w:rsidRDefault="00440295" w:rsidP="00034511">
            <w:pPr>
              <w:tabs>
                <w:tab w:val="left" w:pos="851"/>
              </w:tabs>
              <w:rPr>
                <w:rFonts w:ascii="Tahoma" w:hAnsi="Tahoma" w:cs="Tahoma"/>
                <w:b/>
                <w:color w:val="000000"/>
                <w:sz w:val="18"/>
                <w:szCs w:val="18"/>
              </w:rPr>
            </w:pPr>
            <w:r w:rsidRPr="00204292">
              <w:rPr>
                <w:rFonts w:ascii="Tahoma" w:hAnsi="Tahoma" w:cs="Tahoma"/>
                <w:b/>
                <w:color w:val="000000"/>
                <w:sz w:val="18"/>
                <w:szCs w:val="18"/>
              </w:rPr>
              <w:t xml:space="preserve">ПСК </w:t>
            </w:r>
          </w:p>
        </w:tc>
        <w:tc>
          <w:tcPr>
            <w:tcW w:w="3487" w:type="pct"/>
          </w:tcPr>
          <w:p w14:paraId="47D0B8F3" w14:textId="77777777" w:rsidR="00440295" w:rsidRPr="00204292" w:rsidRDefault="00440295" w:rsidP="00034511">
            <w:pPr>
              <w:rPr>
                <w:rFonts w:ascii="Tahoma" w:hAnsi="Tahoma" w:cs="Tahoma"/>
                <w:sz w:val="18"/>
                <w:szCs w:val="18"/>
              </w:rPr>
            </w:pPr>
            <w:r w:rsidRPr="00204292">
              <w:rPr>
                <w:rFonts w:ascii="Tahoma" w:hAnsi="Tahoma" w:cs="Tahoma"/>
                <w:sz w:val="18"/>
                <w:szCs w:val="18"/>
              </w:rPr>
              <w:t xml:space="preserve">Полная стоимость потребительского Кредита определяется как в процентах годовых, </w:t>
            </w:r>
            <w:r w:rsidRPr="00204292">
              <w:rPr>
                <w:rFonts w:ascii="Tahoma" w:hAnsi="Tahoma" w:cs="Tahoma"/>
                <w:bCs/>
                <w:sz w:val="18"/>
                <w:szCs w:val="18"/>
              </w:rPr>
              <w:t>так и в денежном выражении</w:t>
            </w:r>
          </w:p>
        </w:tc>
      </w:tr>
      <w:tr w:rsidR="00440295" w:rsidRPr="00204292" w14:paraId="723A3699" w14:textId="77777777" w:rsidTr="00034511">
        <w:tc>
          <w:tcPr>
            <w:tcW w:w="1513" w:type="pct"/>
          </w:tcPr>
          <w:p w14:paraId="1076A92D"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 xml:space="preserve">Счет Карты/ Специальный карточный счет (СКС) </w:t>
            </w:r>
          </w:p>
        </w:tc>
        <w:tc>
          <w:tcPr>
            <w:tcW w:w="3487" w:type="pct"/>
          </w:tcPr>
          <w:p w14:paraId="3344D207" w14:textId="77777777" w:rsidR="00440295" w:rsidRPr="00204292" w:rsidRDefault="00440295" w:rsidP="00034511">
            <w:pPr>
              <w:widowControl w:val="0"/>
              <w:tabs>
                <w:tab w:val="left" w:pos="851"/>
              </w:tabs>
              <w:adjustRightInd w:val="0"/>
              <w:rPr>
                <w:rFonts w:ascii="Tahoma" w:hAnsi="Tahoma" w:cs="Tahoma"/>
                <w:sz w:val="18"/>
                <w:szCs w:val="18"/>
              </w:rPr>
            </w:pPr>
            <w:r w:rsidRPr="00204292">
              <w:rPr>
                <w:rFonts w:ascii="Tahoma" w:hAnsi="Tahoma" w:cs="Tahoma"/>
                <w:sz w:val="18"/>
                <w:szCs w:val="18"/>
              </w:rPr>
              <w:t>Текущий банковский счет, открываемый Банком Клиенту в рамках заключения Договора Карты и (или) Договора «Потребительский кредит (с лимитом кредитования)». СКС, открытый в рамках Договора «Потребительский кредит (с лимитом кредитования)», используется для установления Лимита кредитования</w:t>
            </w:r>
          </w:p>
        </w:tc>
      </w:tr>
      <w:tr w:rsidR="00440295" w:rsidRPr="00204292" w14:paraId="11A39E38" w14:textId="77777777" w:rsidTr="00034511">
        <w:tc>
          <w:tcPr>
            <w:tcW w:w="1513" w:type="pct"/>
          </w:tcPr>
          <w:p w14:paraId="3E4D868A"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Текущий банковский счет (ТБС)</w:t>
            </w:r>
          </w:p>
        </w:tc>
        <w:tc>
          <w:tcPr>
            <w:tcW w:w="3487" w:type="pct"/>
          </w:tcPr>
          <w:p w14:paraId="3F2F38D2" w14:textId="77777777" w:rsidR="00440295" w:rsidRPr="00204292" w:rsidRDefault="00440295" w:rsidP="00034511">
            <w:pPr>
              <w:widowControl w:val="0"/>
              <w:tabs>
                <w:tab w:val="left" w:pos="851"/>
              </w:tabs>
              <w:adjustRightInd w:val="0"/>
              <w:rPr>
                <w:rFonts w:ascii="Tahoma" w:hAnsi="Tahoma" w:cs="Tahoma"/>
                <w:sz w:val="18"/>
                <w:szCs w:val="18"/>
              </w:rPr>
            </w:pPr>
            <w:r w:rsidRPr="00204292">
              <w:rPr>
                <w:rFonts w:ascii="Tahoma" w:hAnsi="Tahoma" w:cs="Tahoma"/>
                <w:sz w:val="18"/>
                <w:szCs w:val="18"/>
              </w:rPr>
              <w:t>Счет, открываемый Банком Клиенту в рамках заключения Договора ТБС (для совершения Операций) и Договора «Потребительский кредит». ТБС, открытый в рамках Договора «Потребительский кредит», используется для зачисления предоставленных Клиенту (Заемщику) кредитных средств (а также прочих целей, предусмотренных Сторонами в Договоре), если об открытии данного счета Стороны договорились в Индивидуальных условиях Договора.</w:t>
            </w:r>
          </w:p>
        </w:tc>
      </w:tr>
      <w:tr w:rsidR="00440295" w:rsidRPr="00204292" w14:paraId="44168601" w14:textId="77777777" w:rsidTr="00034511">
        <w:tc>
          <w:tcPr>
            <w:tcW w:w="1513" w:type="pct"/>
          </w:tcPr>
          <w:p w14:paraId="4CF97A39"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Торгово-сервисное предприятие (ТСП)</w:t>
            </w:r>
          </w:p>
        </w:tc>
        <w:tc>
          <w:tcPr>
            <w:tcW w:w="3487" w:type="pct"/>
          </w:tcPr>
          <w:p w14:paraId="19D2B92C" w14:textId="77777777" w:rsidR="00440295" w:rsidRPr="00204292" w:rsidRDefault="00440295" w:rsidP="00034511">
            <w:pPr>
              <w:widowControl w:val="0"/>
              <w:tabs>
                <w:tab w:val="left" w:pos="851"/>
              </w:tabs>
              <w:adjustRightInd w:val="0"/>
              <w:rPr>
                <w:rFonts w:ascii="Tahoma" w:hAnsi="Tahoma" w:cs="Tahoma"/>
                <w:sz w:val="18"/>
                <w:szCs w:val="18"/>
              </w:rPr>
            </w:pPr>
            <w:r w:rsidRPr="00204292">
              <w:rPr>
                <w:rFonts w:ascii="Tahoma" w:hAnsi="Tahoma" w:cs="Tahoma"/>
                <w:sz w:val="18"/>
                <w:szCs w:val="18"/>
              </w:rPr>
              <w:t>Юридическое или физическое лицо – индивидуальный предприниматель/ применяющее специальный налоговый режим - налог на профессиональный доход (за исключением кредитных организаций), осуществляющее реализацию товаров (работ, услуг, результатов интеллектуальной деятельности), оплата которых производится Клиентами Банка с помощью Карты/реквизитов Карты через электронные средства платежа (POS-терминалы, платежные терминалы, прочие технические устройства), а также через сеть Интернет</w:t>
            </w:r>
          </w:p>
        </w:tc>
      </w:tr>
      <w:tr w:rsidR="00440295" w:rsidRPr="00204292" w14:paraId="1C4B1CE9" w14:textId="77777777" w:rsidTr="00034511">
        <w:tc>
          <w:tcPr>
            <w:tcW w:w="1513" w:type="pct"/>
          </w:tcPr>
          <w:p w14:paraId="2F1FB6F8"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Договор/Договор «Потребительский кредит (с лимитом кредитования)»</w:t>
            </w:r>
          </w:p>
        </w:tc>
        <w:tc>
          <w:tcPr>
            <w:tcW w:w="3487" w:type="pct"/>
          </w:tcPr>
          <w:p w14:paraId="6EBB236E" w14:textId="77777777" w:rsidR="00440295" w:rsidRPr="00204292" w:rsidRDefault="00440295" w:rsidP="00034511">
            <w:pPr>
              <w:widowControl w:val="0"/>
              <w:tabs>
                <w:tab w:val="left" w:pos="851"/>
              </w:tabs>
              <w:adjustRightInd w:val="0"/>
              <w:rPr>
                <w:rFonts w:ascii="Tahoma" w:hAnsi="Tahoma" w:cs="Tahoma"/>
                <w:sz w:val="18"/>
                <w:szCs w:val="18"/>
              </w:rPr>
            </w:pPr>
            <w:r w:rsidRPr="00204292">
              <w:rPr>
                <w:rFonts w:ascii="Tahoma" w:hAnsi="Tahoma" w:cs="Tahoma"/>
                <w:sz w:val="18"/>
                <w:szCs w:val="18"/>
              </w:rPr>
              <w:t>Договор «Потребительский кредит (с лимитом кредитования)», заключаемый в соответствии с Федеральным законом от 21.12.2013 г. № 353-ФЗ «О потребительском кредите (займе)» (далее – Закон № 353-ФЗ)</w:t>
            </w:r>
          </w:p>
        </w:tc>
      </w:tr>
      <w:tr w:rsidR="00440295" w:rsidRPr="00204292" w14:paraId="283ED296" w14:textId="77777777" w:rsidTr="00034511">
        <w:tc>
          <w:tcPr>
            <w:tcW w:w="1513" w:type="pct"/>
          </w:tcPr>
          <w:p w14:paraId="08A0EA7E"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Грейс-период (ГП)</w:t>
            </w:r>
          </w:p>
        </w:tc>
        <w:tc>
          <w:tcPr>
            <w:tcW w:w="3487" w:type="pct"/>
          </w:tcPr>
          <w:p w14:paraId="2050A111" w14:textId="77777777" w:rsidR="00440295" w:rsidRPr="00204292" w:rsidRDefault="00440295" w:rsidP="00034511">
            <w:pPr>
              <w:tabs>
                <w:tab w:val="left" w:pos="851"/>
              </w:tabs>
              <w:ind w:firstLine="426"/>
              <w:rPr>
                <w:rFonts w:ascii="Tahoma" w:hAnsi="Tahoma" w:cs="Tahoma"/>
                <w:sz w:val="18"/>
                <w:szCs w:val="18"/>
              </w:rPr>
            </w:pPr>
            <w:r w:rsidRPr="00204292">
              <w:rPr>
                <w:rFonts w:ascii="Tahoma" w:hAnsi="Tahoma" w:cs="Tahoma"/>
                <w:sz w:val="18"/>
                <w:szCs w:val="18"/>
              </w:rPr>
              <w:t>устанавливаемый по соглашению Сторон в Индивидуальных условиях Договора «Потребительский кредит (с лимитом кредитования)» льготный период кредитования, в течение которого не взимаются проценты по Кредиту, начисленные на сумму основного долга по безналичным и (или) наличным операциям, совершенным в течение действия Грейс-периода, при условии уплаты Заемщиком в полном объеме, не позднее срока окончания льготного периода, следующих платежей:</w:t>
            </w:r>
          </w:p>
          <w:p w14:paraId="503FD2FB" w14:textId="77777777" w:rsidR="00440295" w:rsidRPr="00204292" w:rsidRDefault="00440295" w:rsidP="00440295">
            <w:pPr>
              <w:numPr>
                <w:ilvl w:val="0"/>
                <w:numId w:val="109"/>
              </w:numPr>
              <w:tabs>
                <w:tab w:val="left" w:pos="851"/>
              </w:tabs>
              <w:ind w:left="0" w:firstLine="426"/>
              <w:jc w:val="both"/>
              <w:rPr>
                <w:rFonts w:ascii="Tahoma" w:hAnsi="Tahoma" w:cs="Tahoma"/>
                <w:sz w:val="18"/>
                <w:szCs w:val="18"/>
              </w:rPr>
            </w:pPr>
            <w:r w:rsidRPr="00204292">
              <w:rPr>
                <w:rFonts w:ascii="Tahoma" w:hAnsi="Tahoma" w:cs="Tahoma"/>
                <w:sz w:val="18"/>
                <w:szCs w:val="18"/>
              </w:rPr>
              <w:t>ссудной задолженности по безналичным и (или) наличным операциям, произведенным в течение действия Грейс-периода;</w:t>
            </w:r>
          </w:p>
          <w:p w14:paraId="3B8DBDCD" w14:textId="77777777" w:rsidR="00440295" w:rsidRPr="00204292" w:rsidRDefault="00440295" w:rsidP="00440295">
            <w:pPr>
              <w:numPr>
                <w:ilvl w:val="0"/>
                <w:numId w:val="109"/>
              </w:numPr>
              <w:tabs>
                <w:tab w:val="left" w:pos="851"/>
              </w:tabs>
              <w:ind w:left="0" w:firstLine="426"/>
              <w:jc w:val="both"/>
              <w:rPr>
                <w:rFonts w:ascii="Tahoma" w:hAnsi="Tahoma" w:cs="Tahoma"/>
                <w:sz w:val="18"/>
                <w:szCs w:val="18"/>
              </w:rPr>
            </w:pPr>
            <w:r w:rsidRPr="00204292">
              <w:rPr>
                <w:rFonts w:ascii="Tahoma" w:hAnsi="Tahoma" w:cs="Tahoma"/>
                <w:sz w:val="18"/>
                <w:szCs w:val="18"/>
              </w:rPr>
              <w:t>Неразрешенный (технический) овердрафт (при его наличии);</w:t>
            </w:r>
          </w:p>
          <w:p w14:paraId="47B73A6A" w14:textId="77777777" w:rsidR="00440295" w:rsidRPr="00204292" w:rsidRDefault="00440295" w:rsidP="00440295">
            <w:pPr>
              <w:numPr>
                <w:ilvl w:val="0"/>
                <w:numId w:val="109"/>
              </w:numPr>
              <w:tabs>
                <w:tab w:val="left" w:pos="851"/>
              </w:tabs>
              <w:ind w:left="0" w:firstLine="426"/>
              <w:jc w:val="both"/>
              <w:rPr>
                <w:rFonts w:ascii="Tahoma" w:hAnsi="Tahoma" w:cs="Tahoma"/>
                <w:sz w:val="18"/>
                <w:szCs w:val="18"/>
              </w:rPr>
            </w:pPr>
            <w:r w:rsidRPr="00204292">
              <w:rPr>
                <w:rFonts w:ascii="Tahoma" w:hAnsi="Tahoma" w:cs="Tahoma"/>
                <w:sz w:val="18"/>
                <w:szCs w:val="18"/>
              </w:rPr>
              <w:t>неустойки за Неразрешенный (технический) овердрафт (в случае её начисления).</w:t>
            </w:r>
          </w:p>
          <w:p w14:paraId="5B48BF49" w14:textId="77777777" w:rsidR="00440295" w:rsidRPr="00204292" w:rsidRDefault="00440295" w:rsidP="00034511">
            <w:pPr>
              <w:tabs>
                <w:tab w:val="left" w:pos="851"/>
              </w:tabs>
              <w:ind w:firstLine="426"/>
              <w:rPr>
                <w:rFonts w:ascii="Tahoma" w:hAnsi="Tahoma" w:cs="Tahoma"/>
                <w:sz w:val="18"/>
                <w:szCs w:val="18"/>
              </w:rPr>
            </w:pPr>
            <w:r w:rsidRPr="00204292">
              <w:rPr>
                <w:rFonts w:ascii="Tahoma" w:hAnsi="Tahoma" w:cs="Tahoma"/>
                <w:sz w:val="18"/>
                <w:szCs w:val="18"/>
              </w:rPr>
              <w:t>Грейс-период вступает в силу по вновь возникшей ссудной задолженности при условии, что до этого ссудной задолженности не существовало не менее одного рабочего дня и все обязательства перед Банком по предыдущей задолженности были выполнены в полном объеме (т.е. сумма ссудной задолженности должна быть нулевой, а также погашены все иные обязательства).</w:t>
            </w:r>
          </w:p>
          <w:p w14:paraId="10DF3800" w14:textId="77777777" w:rsidR="00440295" w:rsidRPr="00204292" w:rsidRDefault="00440295" w:rsidP="00034511">
            <w:pPr>
              <w:tabs>
                <w:tab w:val="left" w:pos="851"/>
              </w:tabs>
              <w:ind w:firstLine="426"/>
              <w:rPr>
                <w:rFonts w:ascii="Tahoma" w:hAnsi="Tahoma" w:cs="Tahoma"/>
                <w:sz w:val="18"/>
                <w:szCs w:val="18"/>
              </w:rPr>
            </w:pPr>
            <w:r w:rsidRPr="00204292">
              <w:rPr>
                <w:rFonts w:ascii="Tahoma" w:hAnsi="Tahoma" w:cs="Tahoma"/>
                <w:sz w:val="18"/>
                <w:szCs w:val="18"/>
              </w:rPr>
              <w:t>Если в Индивидуальных условиях Договора «Потребительский кредит (с лимитом кредитования) действие Грейс-периода распространяется только на безналичные операции, то к ним приравниваются: операции направленные на оплату товаров/работ/ услуг в ТСП с использованием Карт Банка или с использованием Реквизитов Карты, в том числе оплата через сеть Интернет, операции перевода с Карты посредством Каналов ДБО с целью оплаты товаров, работ, услуг; операции списания Банком комиссий, предусмотренных Тарифами Банка (например, комиссия за услугу СМС-информирование (полный пакет), перевыпуск Карты, запрос баланса). Иные операции, не относящиеся к безналичным операциям, приравниваются к наличным операциям и отменяют действие/возможность возникновения Грейс-периода (если это предусмотрено Индивидуальными условиями).</w:t>
            </w:r>
          </w:p>
          <w:p w14:paraId="5E7421BA" w14:textId="77777777" w:rsidR="00440295" w:rsidRPr="00204292" w:rsidRDefault="00440295" w:rsidP="00034511">
            <w:pPr>
              <w:tabs>
                <w:tab w:val="left" w:pos="851"/>
              </w:tabs>
              <w:ind w:firstLine="426"/>
              <w:rPr>
                <w:rFonts w:ascii="Tahoma" w:hAnsi="Tahoma" w:cs="Tahoma"/>
                <w:sz w:val="18"/>
                <w:szCs w:val="18"/>
              </w:rPr>
            </w:pPr>
            <w:r w:rsidRPr="00204292">
              <w:rPr>
                <w:rFonts w:ascii="Tahoma" w:hAnsi="Tahoma" w:cs="Tahoma"/>
                <w:sz w:val="18"/>
                <w:szCs w:val="18"/>
              </w:rPr>
              <w:t>В Индивидуальных условиях Стороны вправе предусмотреть иные условия Грейс-периода, применяемые в их правоотношениях.</w:t>
            </w:r>
          </w:p>
        </w:tc>
      </w:tr>
      <w:tr w:rsidR="00440295" w:rsidRPr="00204292" w14:paraId="3A899FE4" w14:textId="77777777" w:rsidTr="00034511">
        <w:tc>
          <w:tcPr>
            <w:tcW w:w="1513" w:type="pct"/>
          </w:tcPr>
          <w:p w14:paraId="0D217B31"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Обязательный минимальный ежемесячный платеж (ОМЕП)</w:t>
            </w:r>
          </w:p>
        </w:tc>
        <w:tc>
          <w:tcPr>
            <w:tcW w:w="3487" w:type="pct"/>
          </w:tcPr>
          <w:p w14:paraId="587FD134" w14:textId="77777777" w:rsidR="00440295" w:rsidRPr="00204292" w:rsidRDefault="00440295" w:rsidP="00034511">
            <w:pPr>
              <w:widowControl w:val="0"/>
              <w:tabs>
                <w:tab w:val="left" w:pos="851"/>
              </w:tabs>
              <w:adjustRightInd w:val="0"/>
              <w:rPr>
                <w:rFonts w:ascii="Tahoma" w:hAnsi="Tahoma" w:cs="Tahoma"/>
                <w:sz w:val="18"/>
                <w:szCs w:val="18"/>
              </w:rPr>
            </w:pPr>
            <w:r w:rsidRPr="00204292">
              <w:rPr>
                <w:rFonts w:ascii="Tahoma" w:hAnsi="Tahoma" w:cs="Tahoma"/>
                <w:sz w:val="18"/>
                <w:szCs w:val="18"/>
              </w:rPr>
              <w:t>Сумма денежных средств, которая должна быть уплачена Заемщиком в счет погашения Задолженности по Договору. ОМЕП рассчитывается по одной из формул (в зависимости от вида Кредита), указанной в п. 4.1.3 «Общих условий потребительского кредитования в «Азиатско-Тихоокеанский Банк» (АО) (Приложение № 3 к Универсальному договору банковского обслуживания физических лиц в «Азиатско-Тихоокеанский Банк» (АО)), если иное не предусмотрено Индивидуальными условиями Договора</w:t>
            </w:r>
          </w:p>
        </w:tc>
      </w:tr>
      <w:tr w:rsidR="00440295" w:rsidRPr="00204292" w14:paraId="27F03509" w14:textId="77777777" w:rsidTr="00034511">
        <w:tc>
          <w:tcPr>
            <w:tcW w:w="5000" w:type="pct"/>
            <w:gridSpan w:val="2"/>
          </w:tcPr>
          <w:p w14:paraId="4CC7CC2A" w14:textId="77777777" w:rsidR="00440295" w:rsidRPr="00204292" w:rsidRDefault="00440295" w:rsidP="00034511">
            <w:pPr>
              <w:widowControl w:val="0"/>
              <w:tabs>
                <w:tab w:val="left" w:pos="851"/>
              </w:tabs>
              <w:adjustRightInd w:val="0"/>
              <w:rPr>
                <w:rFonts w:ascii="Tahoma" w:hAnsi="Tahoma" w:cs="Tahoma"/>
                <w:color w:val="0000FF" w:themeColor="hyperlink"/>
                <w:sz w:val="18"/>
                <w:szCs w:val="18"/>
                <w:u w:val="single"/>
              </w:rPr>
            </w:pPr>
            <w:r w:rsidRPr="00204292">
              <w:rPr>
                <w:rFonts w:ascii="Tahoma" w:hAnsi="Tahoma" w:cs="Tahoma"/>
                <w:sz w:val="18"/>
                <w:szCs w:val="18"/>
              </w:rPr>
              <w:t xml:space="preserve">Не указанные в настоящем документе термины применяются в значении, указанном в Универсальном договоре банковского обслуживания физических лиц «Азиатско-Тихоокеанский Банк» (АО), размещённом на сайте Банка в сети Интернет по адресу </w:t>
            </w:r>
            <w:hyperlink r:id="rId94" w:history="1">
              <w:r w:rsidRPr="00204292">
                <w:rPr>
                  <w:rStyle w:val="aff"/>
                  <w:rFonts w:ascii="Tahoma" w:hAnsi="Tahoma" w:cs="Tahoma"/>
                  <w:sz w:val="18"/>
                  <w:szCs w:val="18"/>
                </w:rPr>
                <w:t>www.atb.su</w:t>
              </w:r>
            </w:hyperlink>
          </w:p>
        </w:tc>
      </w:tr>
    </w:tbl>
    <w:p w14:paraId="452F6293" w14:textId="77777777" w:rsidR="00440295" w:rsidRPr="00204292" w:rsidRDefault="00440295" w:rsidP="00440295">
      <w:pPr>
        <w:pStyle w:val="affe"/>
        <w:tabs>
          <w:tab w:val="left" w:pos="851"/>
        </w:tabs>
        <w:ind w:left="426"/>
        <w:jc w:val="both"/>
        <w:rPr>
          <w:rFonts w:ascii="Tahoma" w:hAnsi="Tahoma" w:cs="Tahoma"/>
          <w:b/>
          <w:noProof/>
          <w:sz w:val="18"/>
          <w:szCs w:val="18"/>
        </w:rPr>
      </w:pPr>
    </w:p>
    <w:p w14:paraId="45E5861B" w14:textId="77777777" w:rsidR="00440295" w:rsidRPr="00204292" w:rsidRDefault="00440295" w:rsidP="00440295">
      <w:pPr>
        <w:pStyle w:val="affe"/>
        <w:tabs>
          <w:tab w:val="left" w:pos="851"/>
        </w:tabs>
        <w:ind w:left="426"/>
        <w:jc w:val="both"/>
        <w:rPr>
          <w:rFonts w:ascii="Tahoma" w:hAnsi="Tahoma" w:cs="Tahoma"/>
          <w:b/>
          <w:noProof/>
          <w:sz w:val="18"/>
          <w:szCs w:val="18"/>
        </w:rPr>
      </w:pPr>
    </w:p>
    <w:p w14:paraId="11569872" w14:textId="77777777" w:rsidR="00440295" w:rsidRPr="00204292" w:rsidRDefault="00440295" w:rsidP="00440295">
      <w:pPr>
        <w:pStyle w:val="affe"/>
        <w:tabs>
          <w:tab w:val="left" w:pos="851"/>
        </w:tabs>
        <w:ind w:left="426"/>
        <w:jc w:val="both"/>
        <w:rPr>
          <w:rFonts w:ascii="Tahoma" w:hAnsi="Tahoma" w:cs="Tahoma"/>
          <w:b/>
          <w:noProof/>
          <w:sz w:val="18"/>
          <w:szCs w:val="18"/>
        </w:rPr>
      </w:pPr>
      <w:r w:rsidRPr="00204292">
        <w:rPr>
          <w:rFonts w:ascii="Tahoma" w:hAnsi="Tahoma" w:cs="Tahoma"/>
          <w:b/>
          <w:noProof/>
          <w:sz w:val="18"/>
          <w:szCs w:val="18"/>
        </w:rPr>
        <w:t xml:space="preserve">2.ИНФОРМАЦИЯ ОБ УСЛОВИЯХ ПРЕДОСТАВЛЕНИЯ, ИСПОЛЬЗОВАНИЯ И ВОЗВРАТА ПОТРЕБИТЕЛЬСКОГО КРЕДИТА (С ЛИМИТОМ КРЕДИТОВАНИЯ) </w:t>
      </w:r>
    </w:p>
    <w:tbl>
      <w:tblPr>
        <w:tblW w:w="482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41"/>
        <w:gridCol w:w="9963"/>
      </w:tblGrid>
      <w:tr w:rsidR="00440295" w:rsidRPr="00204292" w14:paraId="1D1DDAD2" w14:textId="77777777" w:rsidTr="00034511">
        <w:trPr>
          <w:trHeight w:val="455"/>
          <w:tblHeader/>
          <w:jc w:val="center"/>
        </w:trPr>
        <w:tc>
          <w:tcPr>
            <w:tcW w:w="1589" w:type="pct"/>
            <w:shd w:val="clear" w:color="auto" w:fill="D9D9D9" w:themeFill="background1" w:themeFillShade="D9"/>
            <w:vAlign w:val="center"/>
          </w:tcPr>
          <w:p w14:paraId="422310B3" w14:textId="77777777" w:rsidR="00440295" w:rsidRPr="00204292" w:rsidRDefault="00440295" w:rsidP="00034511">
            <w:pPr>
              <w:jc w:val="center"/>
              <w:rPr>
                <w:rFonts w:ascii="Tahoma" w:hAnsi="Tahoma" w:cs="Tahoma"/>
                <w:b/>
                <w:sz w:val="18"/>
                <w:szCs w:val="18"/>
              </w:rPr>
            </w:pPr>
            <w:r w:rsidRPr="00204292">
              <w:rPr>
                <w:rFonts w:ascii="Tahoma" w:hAnsi="Tahoma" w:cs="Tahoma"/>
                <w:b/>
                <w:sz w:val="18"/>
                <w:szCs w:val="18"/>
              </w:rPr>
              <w:t>Наименование продукта/</w:t>
            </w:r>
            <w:r w:rsidRPr="00204292" w:rsidDel="00A134C4">
              <w:rPr>
                <w:rFonts w:ascii="Tahoma" w:hAnsi="Tahoma" w:cs="Tahoma"/>
                <w:b/>
                <w:sz w:val="18"/>
                <w:szCs w:val="18"/>
              </w:rPr>
              <w:t xml:space="preserve"> </w:t>
            </w:r>
            <w:r w:rsidRPr="00204292">
              <w:rPr>
                <w:rFonts w:ascii="Tahoma" w:hAnsi="Tahoma" w:cs="Tahoma"/>
                <w:b/>
                <w:sz w:val="18"/>
                <w:szCs w:val="18"/>
              </w:rPr>
              <w:t>тарифного плана (ТП)</w:t>
            </w:r>
          </w:p>
        </w:tc>
        <w:tc>
          <w:tcPr>
            <w:tcW w:w="3411" w:type="pct"/>
            <w:shd w:val="clear" w:color="auto" w:fill="D9D9D9" w:themeFill="background1" w:themeFillShade="D9"/>
            <w:vAlign w:val="center"/>
          </w:tcPr>
          <w:p w14:paraId="56448136" w14:textId="77777777" w:rsidR="00440295" w:rsidRPr="00204292" w:rsidRDefault="00440295" w:rsidP="00034511">
            <w:pPr>
              <w:pStyle w:val="a9"/>
              <w:tabs>
                <w:tab w:val="left" w:pos="-284"/>
                <w:tab w:val="left" w:pos="851"/>
              </w:tabs>
              <w:spacing w:before="0" w:after="0"/>
              <w:ind w:right="849"/>
              <w:jc w:val="center"/>
              <w:rPr>
                <w:rFonts w:ascii="Tahoma" w:hAnsi="Tahoma" w:cs="Tahoma"/>
                <w:b/>
                <w:sz w:val="18"/>
                <w:szCs w:val="18"/>
              </w:rPr>
            </w:pPr>
            <w:r w:rsidRPr="00204292">
              <w:rPr>
                <w:rFonts w:ascii="Tahoma" w:hAnsi="Tahoma" w:cs="Tahoma"/>
                <w:b/>
                <w:sz w:val="18"/>
                <w:szCs w:val="18"/>
              </w:rPr>
              <w:t>Универсальная карта</w:t>
            </w:r>
          </w:p>
        </w:tc>
      </w:tr>
      <w:tr w:rsidR="00440295" w:rsidRPr="00204292" w14:paraId="2A85BF1A" w14:textId="77777777" w:rsidTr="00034511">
        <w:trPr>
          <w:trHeight w:val="363"/>
          <w:jc w:val="center"/>
        </w:trPr>
        <w:tc>
          <w:tcPr>
            <w:tcW w:w="1589" w:type="pct"/>
            <w:shd w:val="clear" w:color="auto" w:fill="auto"/>
            <w:vAlign w:val="center"/>
          </w:tcPr>
          <w:p w14:paraId="1D607AD7" w14:textId="77777777" w:rsidR="00440295" w:rsidRPr="00204292" w:rsidRDefault="00440295" w:rsidP="00034511">
            <w:pPr>
              <w:rPr>
                <w:rFonts w:ascii="Tahoma" w:hAnsi="Tahoma" w:cs="Tahoma"/>
                <w:b/>
                <w:sz w:val="18"/>
                <w:szCs w:val="18"/>
              </w:rPr>
            </w:pPr>
            <w:r w:rsidRPr="00204292">
              <w:rPr>
                <w:rFonts w:ascii="Tahoma" w:hAnsi="Tahoma" w:cs="Tahoma"/>
                <w:b/>
                <w:bCs/>
                <w:sz w:val="18"/>
                <w:szCs w:val="18"/>
              </w:rPr>
              <w:t>Категория Заёмщика</w:t>
            </w:r>
          </w:p>
        </w:tc>
        <w:tc>
          <w:tcPr>
            <w:tcW w:w="3411" w:type="pct"/>
            <w:shd w:val="clear" w:color="auto" w:fill="auto"/>
            <w:vAlign w:val="center"/>
          </w:tcPr>
          <w:p w14:paraId="195547B3" w14:textId="77777777" w:rsidR="00440295" w:rsidRPr="00204292" w:rsidRDefault="00440295" w:rsidP="00034511">
            <w:pPr>
              <w:autoSpaceDE w:val="0"/>
              <w:autoSpaceDN w:val="0"/>
              <w:rPr>
                <w:rFonts w:ascii="Tahoma" w:hAnsi="Tahoma" w:cs="Tahoma"/>
                <w:sz w:val="18"/>
                <w:szCs w:val="18"/>
              </w:rPr>
            </w:pPr>
            <w:r w:rsidRPr="00204292">
              <w:rPr>
                <w:rFonts w:ascii="Tahoma" w:hAnsi="Tahoma" w:cs="Tahoma"/>
                <w:sz w:val="18"/>
                <w:szCs w:val="18"/>
              </w:rPr>
              <w:t xml:space="preserve">Физические лица, изъявившие желание заключить Договор с Банком и соответствующие требованиям настоящего документа </w:t>
            </w:r>
          </w:p>
          <w:p w14:paraId="77AC5D57" w14:textId="77777777" w:rsidR="00440295" w:rsidRPr="00204292" w:rsidRDefault="00440295" w:rsidP="00034511">
            <w:pPr>
              <w:widowControl w:val="0"/>
              <w:tabs>
                <w:tab w:val="left" w:pos="851"/>
              </w:tabs>
              <w:adjustRightInd w:val="0"/>
              <w:rPr>
                <w:rFonts w:ascii="Tahoma" w:hAnsi="Tahoma" w:cs="Tahoma"/>
                <w:sz w:val="18"/>
                <w:szCs w:val="18"/>
              </w:rPr>
            </w:pPr>
          </w:p>
        </w:tc>
      </w:tr>
      <w:tr w:rsidR="00440295" w:rsidRPr="00204292" w14:paraId="48B2AC51" w14:textId="77777777" w:rsidTr="00034511">
        <w:trPr>
          <w:trHeight w:val="250"/>
          <w:jc w:val="center"/>
        </w:trPr>
        <w:tc>
          <w:tcPr>
            <w:tcW w:w="1589" w:type="pct"/>
            <w:vAlign w:val="center"/>
          </w:tcPr>
          <w:p w14:paraId="680122E2"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Вид Кредита</w:t>
            </w:r>
          </w:p>
        </w:tc>
        <w:tc>
          <w:tcPr>
            <w:tcW w:w="3411" w:type="pct"/>
            <w:vAlign w:val="center"/>
          </w:tcPr>
          <w:p w14:paraId="0EA41B29" w14:textId="77777777" w:rsidR="00440295" w:rsidRPr="00204292" w:rsidRDefault="00440295" w:rsidP="00034511">
            <w:pPr>
              <w:pStyle w:val="a9"/>
              <w:tabs>
                <w:tab w:val="left" w:pos="-284"/>
                <w:tab w:val="left" w:pos="851"/>
              </w:tabs>
              <w:spacing w:before="0" w:after="0"/>
              <w:ind w:right="849"/>
              <w:jc w:val="center"/>
              <w:rPr>
                <w:rFonts w:ascii="Tahoma" w:hAnsi="Tahoma" w:cs="Tahoma"/>
                <w:sz w:val="18"/>
                <w:szCs w:val="18"/>
              </w:rPr>
            </w:pPr>
            <w:r w:rsidRPr="00204292">
              <w:rPr>
                <w:rFonts w:ascii="Tahoma" w:hAnsi="Tahoma" w:cs="Tahoma"/>
                <w:sz w:val="18"/>
                <w:szCs w:val="18"/>
              </w:rPr>
              <w:t>Потребительский кредит (с лимитом кредитования)</w:t>
            </w:r>
          </w:p>
        </w:tc>
      </w:tr>
      <w:tr w:rsidR="00440295" w:rsidRPr="00204292" w14:paraId="156665D7" w14:textId="77777777" w:rsidTr="00034511">
        <w:trPr>
          <w:trHeight w:val="709"/>
          <w:jc w:val="center"/>
        </w:trPr>
        <w:tc>
          <w:tcPr>
            <w:tcW w:w="1589" w:type="pct"/>
            <w:vAlign w:val="center"/>
          </w:tcPr>
          <w:p w14:paraId="098970A7"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 xml:space="preserve">Цель Кредита </w:t>
            </w:r>
          </w:p>
        </w:tc>
        <w:tc>
          <w:tcPr>
            <w:tcW w:w="3411" w:type="pct"/>
            <w:vAlign w:val="center"/>
          </w:tcPr>
          <w:p w14:paraId="78B3663F" w14:textId="77777777" w:rsidR="00440295" w:rsidRPr="00204292" w:rsidRDefault="00440295" w:rsidP="00034511">
            <w:pPr>
              <w:pStyle w:val="a9"/>
              <w:tabs>
                <w:tab w:val="left" w:pos="-284"/>
                <w:tab w:val="left" w:pos="851"/>
              </w:tabs>
              <w:spacing w:before="0" w:after="0"/>
              <w:jc w:val="center"/>
              <w:rPr>
                <w:rFonts w:ascii="Tahoma" w:hAnsi="Tahoma" w:cs="Tahoma"/>
                <w:sz w:val="18"/>
                <w:szCs w:val="18"/>
              </w:rPr>
            </w:pPr>
            <w:r w:rsidRPr="00204292">
              <w:rPr>
                <w:rFonts w:ascii="Tahoma" w:hAnsi="Tahoma" w:cs="Tahoma"/>
                <w:sz w:val="18"/>
                <w:szCs w:val="18"/>
              </w:rPr>
              <w:t>Оплата товаров, работ, услуг в ТСП с использованием банковской (платежной) карты Банка через электронные средства платежа (POS-терминалы, платежные терминалы, прочие технические устройства), в том числе расчеты в сети Интернет</w:t>
            </w:r>
          </w:p>
        </w:tc>
      </w:tr>
      <w:tr w:rsidR="00440295" w:rsidRPr="00204292" w14:paraId="2D83EE80" w14:textId="77777777" w:rsidTr="00034511">
        <w:trPr>
          <w:trHeight w:val="455"/>
          <w:jc w:val="center"/>
        </w:trPr>
        <w:tc>
          <w:tcPr>
            <w:tcW w:w="1589" w:type="pct"/>
            <w:vAlign w:val="center"/>
          </w:tcPr>
          <w:p w14:paraId="145DB2C3"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Подразделения Банка/точки продаж, реализующие кредитный продукт</w:t>
            </w:r>
          </w:p>
        </w:tc>
        <w:tc>
          <w:tcPr>
            <w:tcW w:w="3411" w:type="pct"/>
            <w:vAlign w:val="center"/>
          </w:tcPr>
          <w:p w14:paraId="699FAB85" w14:textId="77777777" w:rsidR="00440295" w:rsidRPr="00204292" w:rsidRDefault="00440295" w:rsidP="00034511">
            <w:pPr>
              <w:pStyle w:val="a9"/>
              <w:tabs>
                <w:tab w:val="left" w:pos="-284"/>
                <w:tab w:val="left" w:pos="851"/>
              </w:tabs>
              <w:spacing w:before="0" w:after="0"/>
              <w:jc w:val="center"/>
              <w:rPr>
                <w:rFonts w:ascii="Tahoma" w:hAnsi="Tahoma" w:cs="Tahoma"/>
                <w:sz w:val="18"/>
                <w:szCs w:val="18"/>
              </w:rPr>
            </w:pPr>
            <w:r w:rsidRPr="00204292">
              <w:rPr>
                <w:rFonts w:ascii="Tahoma" w:hAnsi="Tahoma" w:cs="Tahoma"/>
                <w:sz w:val="18"/>
                <w:szCs w:val="18"/>
              </w:rPr>
              <w:t>Все подразделения Банка</w:t>
            </w:r>
          </w:p>
        </w:tc>
      </w:tr>
      <w:tr w:rsidR="00440295" w:rsidRPr="00204292" w14:paraId="1D979085" w14:textId="77777777" w:rsidTr="00034511">
        <w:trPr>
          <w:trHeight w:val="455"/>
          <w:jc w:val="center"/>
        </w:trPr>
        <w:tc>
          <w:tcPr>
            <w:tcW w:w="1589" w:type="pct"/>
            <w:vAlign w:val="center"/>
          </w:tcPr>
          <w:p w14:paraId="39616E88" w14:textId="77777777" w:rsidR="00440295" w:rsidRPr="00204292" w:rsidRDefault="00440295" w:rsidP="00034511">
            <w:pPr>
              <w:rPr>
                <w:rFonts w:ascii="Tahoma" w:hAnsi="Tahoma" w:cs="Tahoma"/>
                <w:b/>
                <w:bCs/>
                <w:sz w:val="18"/>
                <w:szCs w:val="18"/>
              </w:rPr>
            </w:pPr>
            <w:r w:rsidRPr="00204292">
              <w:rPr>
                <w:rFonts w:ascii="Tahoma" w:hAnsi="Tahoma" w:cs="Tahoma"/>
                <w:b/>
                <w:bCs/>
                <w:sz w:val="18"/>
                <w:szCs w:val="18"/>
              </w:rPr>
              <w:t>Валюта, в которой предоставляется Кредит</w:t>
            </w:r>
            <w:r w:rsidRPr="00204292" w:rsidDel="00FD0DAD">
              <w:rPr>
                <w:rFonts w:ascii="Tahoma" w:hAnsi="Tahoma" w:cs="Tahoma"/>
                <w:b/>
                <w:sz w:val="18"/>
                <w:szCs w:val="18"/>
              </w:rPr>
              <w:t xml:space="preserve"> </w:t>
            </w:r>
            <w:r w:rsidRPr="00204292">
              <w:rPr>
                <w:rFonts w:ascii="Tahoma" w:hAnsi="Tahoma" w:cs="Tahoma"/>
                <w:b/>
                <w:sz w:val="18"/>
                <w:szCs w:val="18"/>
              </w:rPr>
              <w:t>(с лимитом кредитования)</w:t>
            </w:r>
          </w:p>
        </w:tc>
        <w:tc>
          <w:tcPr>
            <w:tcW w:w="3411" w:type="pct"/>
            <w:vAlign w:val="center"/>
          </w:tcPr>
          <w:p w14:paraId="69DA1C90" w14:textId="77777777" w:rsidR="00440295" w:rsidRPr="00204292" w:rsidRDefault="00440295" w:rsidP="00034511">
            <w:pPr>
              <w:pStyle w:val="a9"/>
              <w:tabs>
                <w:tab w:val="left" w:pos="-284"/>
                <w:tab w:val="left" w:pos="851"/>
              </w:tabs>
              <w:spacing w:before="0" w:after="0"/>
              <w:ind w:right="849"/>
              <w:jc w:val="center"/>
              <w:rPr>
                <w:rFonts w:ascii="Tahoma" w:hAnsi="Tahoma" w:cs="Tahoma"/>
                <w:color w:val="000000"/>
                <w:sz w:val="18"/>
                <w:szCs w:val="18"/>
              </w:rPr>
            </w:pPr>
            <w:r w:rsidRPr="00204292">
              <w:rPr>
                <w:rFonts w:ascii="Tahoma" w:hAnsi="Tahoma" w:cs="Tahoma"/>
                <w:color w:val="000000"/>
                <w:sz w:val="18"/>
                <w:szCs w:val="18"/>
              </w:rPr>
              <w:t>Рубль Российской Федерации (далее - рубль)</w:t>
            </w:r>
          </w:p>
          <w:p w14:paraId="6F86B340" w14:textId="77777777" w:rsidR="00440295" w:rsidRPr="00204292" w:rsidRDefault="00440295" w:rsidP="00034511">
            <w:pPr>
              <w:pStyle w:val="a9"/>
              <w:tabs>
                <w:tab w:val="left" w:pos="-284"/>
                <w:tab w:val="left" w:pos="851"/>
              </w:tabs>
              <w:spacing w:before="0" w:after="0"/>
              <w:ind w:right="849"/>
              <w:jc w:val="center"/>
              <w:rPr>
                <w:rFonts w:ascii="Tahoma" w:hAnsi="Tahoma" w:cs="Tahoma"/>
                <w:sz w:val="18"/>
                <w:szCs w:val="18"/>
              </w:rPr>
            </w:pPr>
          </w:p>
        </w:tc>
      </w:tr>
      <w:tr w:rsidR="00440295" w:rsidRPr="00204292" w14:paraId="705E180A" w14:textId="77777777" w:rsidTr="00034511">
        <w:trPr>
          <w:trHeight w:val="116"/>
          <w:jc w:val="center"/>
        </w:trPr>
        <w:tc>
          <w:tcPr>
            <w:tcW w:w="1589" w:type="pct"/>
            <w:shd w:val="clear" w:color="auto" w:fill="auto"/>
            <w:vAlign w:val="center"/>
          </w:tcPr>
          <w:p w14:paraId="5A8FF1F1" w14:textId="77777777" w:rsidR="00440295" w:rsidRPr="00204292" w:rsidRDefault="00440295" w:rsidP="00034511">
            <w:pPr>
              <w:rPr>
                <w:rFonts w:ascii="Tahoma" w:hAnsi="Tahoma" w:cs="Tahoma"/>
                <w:b/>
                <w:bCs/>
                <w:sz w:val="18"/>
                <w:szCs w:val="18"/>
              </w:rPr>
            </w:pPr>
            <w:r w:rsidRPr="00204292">
              <w:rPr>
                <w:rFonts w:ascii="Tahoma" w:hAnsi="Tahoma" w:cs="Tahoma"/>
                <w:b/>
                <w:sz w:val="18"/>
                <w:szCs w:val="18"/>
              </w:rPr>
              <w:t>Минимальная сумма Лимита кредитования</w:t>
            </w:r>
          </w:p>
        </w:tc>
        <w:tc>
          <w:tcPr>
            <w:tcW w:w="3411" w:type="pct"/>
            <w:shd w:val="clear" w:color="auto" w:fill="auto"/>
            <w:vAlign w:val="center"/>
          </w:tcPr>
          <w:p w14:paraId="5F418A28" w14:textId="77777777" w:rsidR="00440295" w:rsidRPr="00204292" w:rsidRDefault="00440295" w:rsidP="00034511">
            <w:pPr>
              <w:pStyle w:val="a9"/>
              <w:tabs>
                <w:tab w:val="left" w:pos="-284"/>
                <w:tab w:val="left" w:pos="851"/>
              </w:tabs>
              <w:spacing w:before="0" w:after="0"/>
              <w:ind w:right="849"/>
              <w:jc w:val="center"/>
              <w:rPr>
                <w:rFonts w:ascii="Tahoma" w:hAnsi="Tahoma" w:cs="Tahoma"/>
                <w:color w:val="000000"/>
                <w:sz w:val="18"/>
                <w:szCs w:val="18"/>
              </w:rPr>
            </w:pPr>
            <w:r w:rsidRPr="00204292">
              <w:rPr>
                <w:rFonts w:ascii="Tahoma" w:hAnsi="Tahoma" w:cs="Tahoma"/>
                <w:color w:val="000000"/>
                <w:sz w:val="18"/>
                <w:szCs w:val="18"/>
              </w:rPr>
              <w:t xml:space="preserve">      свыше 30 000* рублей</w:t>
            </w:r>
          </w:p>
        </w:tc>
      </w:tr>
      <w:tr w:rsidR="00440295" w:rsidRPr="00204292" w14:paraId="5DFC277E" w14:textId="77777777" w:rsidTr="00034511">
        <w:trPr>
          <w:trHeight w:val="477"/>
          <w:jc w:val="center"/>
        </w:trPr>
        <w:tc>
          <w:tcPr>
            <w:tcW w:w="1589" w:type="pct"/>
            <w:shd w:val="clear" w:color="auto" w:fill="auto"/>
            <w:vAlign w:val="center"/>
          </w:tcPr>
          <w:p w14:paraId="64CD2CF8"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Максимальная сумма Лимита кредитования</w:t>
            </w:r>
          </w:p>
        </w:tc>
        <w:tc>
          <w:tcPr>
            <w:tcW w:w="3411" w:type="pct"/>
            <w:shd w:val="clear" w:color="auto" w:fill="auto"/>
            <w:vAlign w:val="center"/>
          </w:tcPr>
          <w:p w14:paraId="2E431151" w14:textId="77777777" w:rsidR="00440295" w:rsidRPr="00204292" w:rsidRDefault="00440295" w:rsidP="00034511">
            <w:pPr>
              <w:pStyle w:val="a9"/>
              <w:tabs>
                <w:tab w:val="left" w:pos="-284"/>
                <w:tab w:val="left" w:pos="851"/>
              </w:tabs>
              <w:spacing w:before="0" w:after="0"/>
              <w:ind w:right="849"/>
              <w:jc w:val="center"/>
              <w:rPr>
                <w:rFonts w:ascii="Tahoma" w:hAnsi="Tahoma" w:cs="Tahoma"/>
                <w:b/>
                <w:color w:val="000000"/>
                <w:sz w:val="18"/>
                <w:szCs w:val="18"/>
              </w:rPr>
            </w:pPr>
            <w:r w:rsidRPr="00204292">
              <w:rPr>
                <w:rFonts w:ascii="Tahoma" w:hAnsi="Tahoma" w:cs="Tahoma"/>
                <w:color w:val="000000"/>
                <w:sz w:val="18"/>
                <w:szCs w:val="18"/>
              </w:rPr>
              <w:t>500 000 рублей</w:t>
            </w:r>
          </w:p>
        </w:tc>
      </w:tr>
      <w:tr w:rsidR="00440295" w:rsidRPr="00204292" w14:paraId="3923976D" w14:textId="77777777" w:rsidTr="00034511">
        <w:trPr>
          <w:trHeight w:val="2270"/>
          <w:jc w:val="center"/>
        </w:trPr>
        <w:tc>
          <w:tcPr>
            <w:tcW w:w="1589" w:type="pct"/>
            <w:shd w:val="clear" w:color="auto" w:fill="auto"/>
            <w:vAlign w:val="center"/>
          </w:tcPr>
          <w:p w14:paraId="2D83E929"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Изменение Лимита кредитования</w:t>
            </w:r>
          </w:p>
        </w:tc>
        <w:tc>
          <w:tcPr>
            <w:tcW w:w="3411" w:type="pct"/>
            <w:shd w:val="clear" w:color="auto" w:fill="auto"/>
            <w:vAlign w:val="center"/>
          </w:tcPr>
          <w:p w14:paraId="3894A250" w14:textId="77777777" w:rsidR="00440295" w:rsidRPr="00204292" w:rsidRDefault="00440295" w:rsidP="00034511">
            <w:pPr>
              <w:tabs>
                <w:tab w:val="left" w:pos="851"/>
              </w:tabs>
              <w:rPr>
                <w:rFonts w:ascii="Tahoma" w:hAnsi="Tahoma" w:cs="Tahoma"/>
                <w:sz w:val="18"/>
                <w:szCs w:val="18"/>
              </w:rPr>
            </w:pPr>
            <w:r w:rsidRPr="00204292">
              <w:rPr>
                <w:rFonts w:ascii="Tahoma" w:hAnsi="Tahoma" w:cs="Tahoma"/>
                <w:sz w:val="18"/>
                <w:szCs w:val="18"/>
              </w:rPr>
              <w:t>Банк вправе отказаться от предоставления Заемщику Лимита кредитования полностью или частично при наличии обстоятельств, очевидно свидетельствующих о том, что предоставленная Заемщику сумма не будет возвращена в срок и/или в случае нарушения Заемщиком условий Договора или производить многократно изменение размера Лимита кредитования, как в сторону увеличения, так и в сторону уменьшения в течение всего срока действия Договора, но не более суммы, указанной в Индивидуальных условиях, о чем уведомляет Заемщика способом, указанным в Индивидуальных условиях. В случае если Заемщик не информировал Банк в письменной форме на бумажном носителе в течение 3-х календарных дней со дня направления ему Банком уведомления об изменении Лимита кредитования о своем несогласии с изменением Лимита кредитования, то данный факт признается согласием Заемщика на изменения размера Лимита кредитования на  регламентированных Договором условиях. Размер Лимита кредитования считается согласованным Сторонами в случае, если Заемщик не реализовал свое право на отказ от его изменения в порядке, предусмотренном Индивидуальными условиями, а также, если Банк предоставит Заемщику Лимит кредитования в размере, не превышающем суммы, указанной Заемщиком в Индивидуальных условиях. В случае изменения размера ПСК, новое значение ПСК доводится до Заемщика любым из способов, указанных в Индивидуальных условиях.</w:t>
            </w:r>
          </w:p>
        </w:tc>
      </w:tr>
      <w:tr w:rsidR="00440295" w:rsidRPr="00204292" w14:paraId="171EA32D" w14:textId="77777777" w:rsidTr="00034511">
        <w:trPr>
          <w:trHeight w:val="780"/>
          <w:jc w:val="center"/>
        </w:trPr>
        <w:tc>
          <w:tcPr>
            <w:tcW w:w="1589" w:type="pct"/>
            <w:shd w:val="clear" w:color="auto" w:fill="auto"/>
            <w:vAlign w:val="center"/>
          </w:tcPr>
          <w:p w14:paraId="25750B90"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Процентная ставка в процентах годовых за использование кредитных средств для всех типов операций (за исключением случаев, когда задолженность полностью погашена до окончания срока действия Грейс-периода)**</w:t>
            </w:r>
            <w:r w:rsidRPr="00204292">
              <w:rPr>
                <w:rFonts w:ascii="Tahoma" w:hAnsi="Tahoma" w:cs="Tahoma"/>
                <w:b/>
                <w:sz w:val="18"/>
                <w:szCs w:val="18"/>
                <w:vertAlign w:val="superscript"/>
              </w:rPr>
              <w:t xml:space="preserve"> </w:t>
            </w:r>
            <w:r w:rsidRPr="00204292">
              <w:rPr>
                <w:rFonts w:ascii="Tahoma" w:hAnsi="Tahoma" w:cs="Tahoma"/>
                <w:b/>
                <w:sz w:val="18"/>
                <w:szCs w:val="18"/>
              </w:rPr>
              <w:t>(процентная ставка для каждого Заемщика определяется индивидуально по итогам анализа Заявления на кредит)</w:t>
            </w:r>
          </w:p>
        </w:tc>
        <w:tc>
          <w:tcPr>
            <w:tcW w:w="3411" w:type="pct"/>
            <w:shd w:val="clear" w:color="auto" w:fill="auto"/>
            <w:vAlign w:val="center"/>
          </w:tcPr>
          <w:p w14:paraId="16495A6C" w14:textId="77777777" w:rsidR="00440295" w:rsidRPr="00204292" w:rsidRDefault="00440295" w:rsidP="00034511">
            <w:pPr>
              <w:jc w:val="center"/>
              <w:rPr>
                <w:rFonts w:ascii="Tahoma" w:hAnsi="Tahoma" w:cs="Tahoma"/>
                <w:sz w:val="18"/>
                <w:szCs w:val="18"/>
                <w:lang w:val="en-US"/>
              </w:rPr>
            </w:pPr>
            <w:r w:rsidRPr="00204292">
              <w:rPr>
                <w:rFonts w:ascii="Tahoma" w:hAnsi="Tahoma" w:cs="Tahoma"/>
                <w:sz w:val="18"/>
                <w:szCs w:val="18"/>
              </w:rPr>
              <w:t>35% - 44,9% годовых</w:t>
            </w:r>
          </w:p>
        </w:tc>
      </w:tr>
      <w:tr w:rsidR="00440295" w:rsidRPr="00204292" w14:paraId="4F234F80" w14:textId="77777777" w:rsidTr="00034511">
        <w:trPr>
          <w:trHeight w:val="778"/>
          <w:jc w:val="center"/>
        </w:trPr>
        <w:tc>
          <w:tcPr>
            <w:tcW w:w="1589" w:type="pct"/>
            <w:shd w:val="clear" w:color="auto" w:fill="auto"/>
            <w:vAlign w:val="center"/>
          </w:tcPr>
          <w:p w14:paraId="0D66A2D5" w14:textId="77777777" w:rsidR="00440295" w:rsidRPr="00204292" w:rsidRDefault="00440295" w:rsidP="00034511">
            <w:pPr>
              <w:rPr>
                <w:rFonts w:ascii="Tahoma" w:hAnsi="Tahoma" w:cs="Tahoma"/>
                <w:b/>
                <w:sz w:val="18"/>
                <w:szCs w:val="18"/>
              </w:rPr>
            </w:pPr>
            <w:r w:rsidRPr="00204292">
              <w:rPr>
                <w:rFonts w:ascii="Tahoma" w:hAnsi="Tahoma" w:cs="Tahoma"/>
                <w:b/>
                <w:bCs/>
                <w:sz w:val="18"/>
                <w:szCs w:val="18"/>
              </w:rPr>
              <w:t>Д</w:t>
            </w:r>
            <w:r w:rsidRPr="00204292">
              <w:rPr>
                <w:rFonts w:ascii="Tahoma" w:hAnsi="Tahoma" w:cs="Tahoma"/>
                <w:b/>
                <w:bCs/>
                <w:color w:val="000000" w:themeColor="text1"/>
                <w:sz w:val="18"/>
                <w:szCs w:val="18"/>
              </w:rPr>
              <w:t>иапазон полной стоимости Кредита в процентном и денежном выражении</w:t>
            </w:r>
          </w:p>
        </w:tc>
        <w:tc>
          <w:tcPr>
            <w:tcW w:w="3411" w:type="pct"/>
            <w:shd w:val="clear" w:color="auto" w:fill="auto"/>
            <w:vAlign w:val="center"/>
          </w:tcPr>
          <w:p w14:paraId="358182AC" w14:textId="77777777" w:rsidR="00440295" w:rsidRPr="00204292" w:rsidRDefault="00440295" w:rsidP="00034511">
            <w:pPr>
              <w:jc w:val="center"/>
              <w:rPr>
                <w:rFonts w:ascii="Tahoma" w:hAnsi="Tahoma" w:cs="Tahoma"/>
                <w:bCs/>
                <w:sz w:val="18"/>
                <w:szCs w:val="18"/>
              </w:rPr>
            </w:pPr>
            <w:r w:rsidRPr="00204292">
              <w:rPr>
                <w:rFonts w:ascii="Tahoma" w:hAnsi="Tahoma" w:cs="Tahoma"/>
                <w:bCs/>
                <w:sz w:val="18"/>
                <w:szCs w:val="18"/>
                <w:shd w:val="clear" w:color="auto" w:fill="FAFAFA"/>
              </w:rPr>
              <w:t>34,093</w:t>
            </w:r>
            <w:r w:rsidRPr="00204292">
              <w:rPr>
                <w:rFonts w:ascii="Tahoma" w:hAnsi="Tahoma" w:cs="Tahoma"/>
                <w:bCs/>
                <w:sz w:val="18"/>
                <w:szCs w:val="18"/>
              </w:rPr>
              <w:t xml:space="preserve">% годовых - </w:t>
            </w:r>
            <w:r w:rsidRPr="00204292">
              <w:rPr>
                <w:rFonts w:ascii="Tahoma" w:hAnsi="Tahoma" w:cs="Tahoma"/>
                <w:bCs/>
                <w:sz w:val="18"/>
                <w:szCs w:val="18"/>
                <w:shd w:val="clear" w:color="auto" w:fill="FAFAFA"/>
              </w:rPr>
              <w:t xml:space="preserve">45,000 </w:t>
            </w:r>
            <w:r w:rsidRPr="00204292">
              <w:rPr>
                <w:rFonts w:ascii="Tahoma" w:hAnsi="Tahoma" w:cs="Tahoma"/>
                <w:bCs/>
                <w:sz w:val="18"/>
                <w:szCs w:val="18"/>
              </w:rPr>
              <w:t>% годовых;</w:t>
            </w:r>
          </w:p>
          <w:p w14:paraId="447ECA4A" w14:textId="77777777" w:rsidR="00440295" w:rsidRPr="00204292" w:rsidRDefault="00440295" w:rsidP="00034511">
            <w:pPr>
              <w:autoSpaceDE w:val="0"/>
              <w:autoSpaceDN w:val="0"/>
              <w:jc w:val="center"/>
              <w:rPr>
                <w:rFonts w:ascii="Tahoma" w:hAnsi="Tahoma" w:cs="Tahoma"/>
                <w:sz w:val="18"/>
                <w:szCs w:val="18"/>
              </w:rPr>
            </w:pPr>
            <w:r w:rsidRPr="00204292">
              <w:rPr>
                <w:rFonts w:ascii="Tahoma" w:hAnsi="Tahoma" w:cs="Tahoma"/>
                <w:bCs/>
                <w:sz w:val="18"/>
                <w:szCs w:val="18"/>
              </w:rPr>
              <w:t>15 523,61 руб. –  538 504,21 руб.</w:t>
            </w:r>
          </w:p>
        </w:tc>
      </w:tr>
      <w:tr w:rsidR="00440295" w:rsidRPr="00204292" w14:paraId="4727E87F" w14:textId="77777777" w:rsidTr="00034511">
        <w:trPr>
          <w:trHeight w:val="725"/>
          <w:jc w:val="center"/>
        </w:trPr>
        <w:tc>
          <w:tcPr>
            <w:tcW w:w="1589" w:type="pct"/>
          </w:tcPr>
          <w:p w14:paraId="18ADBA71" w14:textId="77777777" w:rsidR="00440295" w:rsidRPr="00204292" w:rsidRDefault="00440295" w:rsidP="00034511">
            <w:pPr>
              <w:tabs>
                <w:tab w:val="left" w:pos="851"/>
              </w:tabs>
              <w:rPr>
                <w:rFonts w:ascii="Tahoma" w:hAnsi="Tahoma" w:cs="Tahoma"/>
                <w:b/>
                <w:sz w:val="18"/>
                <w:szCs w:val="18"/>
              </w:rPr>
            </w:pPr>
            <w:r w:rsidRPr="00204292">
              <w:rPr>
                <w:rFonts w:ascii="Tahoma" w:hAnsi="Tahoma" w:cs="Tahoma"/>
                <w:b/>
                <w:sz w:val="18"/>
                <w:szCs w:val="18"/>
              </w:rPr>
              <w:t>Срок возврата Кредита</w:t>
            </w:r>
          </w:p>
        </w:tc>
        <w:tc>
          <w:tcPr>
            <w:tcW w:w="3411" w:type="pct"/>
          </w:tcPr>
          <w:p w14:paraId="5BD64BD4" w14:textId="77777777" w:rsidR="00440295" w:rsidRPr="00204292" w:rsidRDefault="00440295" w:rsidP="00034511">
            <w:pPr>
              <w:rPr>
                <w:rFonts w:ascii="Tahoma" w:hAnsi="Tahoma" w:cs="Tahoma"/>
                <w:sz w:val="18"/>
                <w:szCs w:val="18"/>
              </w:rPr>
            </w:pPr>
            <w:r w:rsidRPr="00204292">
              <w:rPr>
                <w:rFonts w:ascii="Tahoma" w:hAnsi="Tahoma" w:cs="Tahoma"/>
                <w:sz w:val="18"/>
                <w:szCs w:val="18"/>
              </w:rPr>
              <w:t xml:space="preserve">от 24 месяцев до 60 месяцев (включительно), заключительные 20 месяцев Лимит кредитования действует в режиме погашения (по мере погашения долга происходит снижение используемого Лимита кредитования вплоть до нуля), остальное время - в режиме самовозобновления Лимита кредитования (по мере погашения долга в случае погашения ссудной задолженности Заемщику восстанавливается Лимит кредитования на сумму погашенной ссудной задолженности). </w:t>
            </w:r>
            <w:r w:rsidRPr="00204292">
              <w:rPr>
                <w:rFonts w:ascii="Tahoma" w:hAnsi="Tahoma" w:cs="Tahoma"/>
                <w:color w:val="000000"/>
                <w:sz w:val="18"/>
                <w:szCs w:val="18"/>
                <w:bdr w:val="none" w:sz="0" w:space="0" w:color="auto" w:frame="1"/>
              </w:rPr>
              <w:t>Срок возврата Кредита по конкретному Договору определяется на момент заключения Договора.</w:t>
            </w:r>
            <w:r w:rsidRPr="00204292">
              <w:rPr>
                <w:rFonts w:ascii="Tahoma" w:hAnsi="Tahoma" w:cs="Tahoma"/>
                <w:color w:val="000000"/>
                <w:sz w:val="18"/>
                <w:szCs w:val="18"/>
              </w:rPr>
              <w:t> </w:t>
            </w:r>
          </w:p>
        </w:tc>
      </w:tr>
      <w:tr w:rsidR="00440295" w:rsidRPr="00204292" w14:paraId="531D25AB" w14:textId="77777777" w:rsidTr="00034511">
        <w:trPr>
          <w:trHeight w:val="653"/>
          <w:jc w:val="center"/>
        </w:trPr>
        <w:tc>
          <w:tcPr>
            <w:tcW w:w="1589" w:type="pct"/>
          </w:tcPr>
          <w:p w14:paraId="610F19DD" w14:textId="77777777" w:rsidR="00440295" w:rsidRPr="00204292" w:rsidRDefault="00440295" w:rsidP="00034511">
            <w:pPr>
              <w:tabs>
                <w:tab w:val="left" w:pos="851"/>
              </w:tabs>
              <w:rPr>
                <w:rFonts w:ascii="Tahoma" w:hAnsi="Tahoma" w:cs="Tahoma"/>
                <w:b/>
                <w:sz w:val="18"/>
                <w:szCs w:val="18"/>
              </w:rPr>
            </w:pPr>
            <w:r w:rsidRPr="00204292">
              <w:rPr>
                <w:rFonts w:ascii="Tahoma" w:hAnsi="Tahoma" w:cs="Tahoma"/>
                <w:b/>
                <w:sz w:val="18"/>
                <w:szCs w:val="18"/>
              </w:rPr>
              <w:t xml:space="preserve">Срок действия Грейс-периода </w:t>
            </w:r>
          </w:p>
        </w:tc>
        <w:tc>
          <w:tcPr>
            <w:tcW w:w="3411" w:type="pct"/>
          </w:tcPr>
          <w:p w14:paraId="1B60294D" w14:textId="77777777" w:rsidR="00440295" w:rsidRPr="00204292" w:rsidRDefault="00440295" w:rsidP="00034511">
            <w:pPr>
              <w:tabs>
                <w:tab w:val="left" w:pos="851"/>
              </w:tabs>
              <w:rPr>
                <w:rFonts w:ascii="Tahoma" w:hAnsi="Tahoma" w:cs="Tahoma"/>
                <w:sz w:val="18"/>
                <w:szCs w:val="18"/>
              </w:rPr>
            </w:pPr>
            <w:r w:rsidRPr="00204292">
              <w:rPr>
                <w:rFonts w:ascii="Tahoma" w:hAnsi="Tahoma" w:cs="Tahoma"/>
                <w:sz w:val="18"/>
                <w:szCs w:val="18"/>
              </w:rPr>
              <w:t xml:space="preserve">до 212 календарных дней </w:t>
            </w:r>
            <w:r w:rsidRPr="00204292">
              <w:rPr>
                <w:rFonts w:ascii="Tahoma" w:hAnsi="Tahoma" w:cs="Tahoma"/>
                <w:bCs/>
                <w:sz w:val="18"/>
                <w:szCs w:val="18"/>
              </w:rPr>
              <w:t xml:space="preserve">(длительность Грейс-периода для каждого Заемщика определяется индивидуально по итогам анализа Заявления на кредит и </w:t>
            </w:r>
            <w:r w:rsidRPr="00204292">
              <w:rPr>
                <w:rFonts w:ascii="Tahoma" w:hAnsi="Tahoma" w:cs="Tahoma"/>
                <w:sz w:val="18"/>
                <w:szCs w:val="18"/>
              </w:rPr>
              <w:t>указывается в Индивидуальных условиях Договора «Потребительский кредит (с лимитом кредитования)»</w:t>
            </w:r>
            <w:r w:rsidRPr="00204292">
              <w:rPr>
                <w:rFonts w:ascii="Tahoma" w:hAnsi="Tahoma" w:cs="Tahoma"/>
                <w:bCs/>
                <w:sz w:val="18"/>
                <w:szCs w:val="18"/>
              </w:rPr>
              <w:t>)</w:t>
            </w:r>
          </w:p>
        </w:tc>
      </w:tr>
      <w:tr w:rsidR="00440295" w:rsidRPr="00204292" w14:paraId="0F433892" w14:textId="77777777" w:rsidTr="00034511">
        <w:trPr>
          <w:trHeight w:val="258"/>
          <w:jc w:val="center"/>
        </w:trPr>
        <w:tc>
          <w:tcPr>
            <w:tcW w:w="1589" w:type="pct"/>
          </w:tcPr>
          <w:p w14:paraId="203B01E4" w14:textId="77777777" w:rsidR="00440295" w:rsidRPr="00204292" w:rsidRDefault="00440295" w:rsidP="00034511">
            <w:pPr>
              <w:tabs>
                <w:tab w:val="left" w:pos="851"/>
              </w:tabs>
              <w:ind w:firstLine="34"/>
              <w:rPr>
                <w:rFonts w:ascii="Tahoma" w:hAnsi="Tahoma" w:cs="Tahoma"/>
                <w:b/>
                <w:sz w:val="18"/>
                <w:szCs w:val="18"/>
              </w:rPr>
            </w:pPr>
            <w:r w:rsidRPr="00204292">
              <w:rPr>
                <w:rFonts w:ascii="Tahoma" w:hAnsi="Tahoma" w:cs="Tahoma"/>
                <w:b/>
                <w:sz w:val="18"/>
                <w:szCs w:val="18"/>
              </w:rPr>
              <w:t>Ограничение на использование Грейс-периода</w:t>
            </w:r>
          </w:p>
        </w:tc>
        <w:tc>
          <w:tcPr>
            <w:tcW w:w="3411" w:type="pct"/>
          </w:tcPr>
          <w:p w14:paraId="12C44978" w14:textId="77777777" w:rsidR="00440295" w:rsidRPr="00204292" w:rsidRDefault="00440295" w:rsidP="00034511">
            <w:pPr>
              <w:tabs>
                <w:tab w:val="left" w:pos="851"/>
              </w:tabs>
              <w:jc w:val="center"/>
              <w:rPr>
                <w:rFonts w:ascii="Tahoma" w:hAnsi="Tahoma" w:cs="Tahoma"/>
                <w:sz w:val="18"/>
                <w:szCs w:val="18"/>
              </w:rPr>
            </w:pPr>
            <w:r w:rsidRPr="00204292">
              <w:rPr>
                <w:rFonts w:ascii="Tahoma" w:hAnsi="Tahoma" w:cs="Tahoma"/>
                <w:sz w:val="18"/>
                <w:szCs w:val="18"/>
              </w:rPr>
              <w:t>Не применимо</w:t>
            </w:r>
          </w:p>
        </w:tc>
      </w:tr>
      <w:tr w:rsidR="00440295" w:rsidRPr="00204292" w14:paraId="2BE41C1F" w14:textId="77777777" w:rsidTr="00034511">
        <w:trPr>
          <w:trHeight w:val="999"/>
          <w:jc w:val="center"/>
        </w:trPr>
        <w:tc>
          <w:tcPr>
            <w:tcW w:w="1589" w:type="pct"/>
          </w:tcPr>
          <w:p w14:paraId="20DDE074" w14:textId="77777777" w:rsidR="00440295" w:rsidRPr="00204292" w:rsidRDefault="00440295" w:rsidP="00034511">
            <w:pPr>
              <w:tabs>
                <w:tab w:val="left" w:pos="851"/>
              </w:tabs>
              <w:rPr>
                <w:rFonts w:ascii="Tahoma" w:hAnsi="Tahoma" w:cs="Tahoma"/>
                <w:b/>
                <w:sz w:val="18"/>
                <w:szCs w:val="18"/>
              </w:rPr>
            </w:pPr>
            <w:r w:rsidRPr="00204292">
              <w:rPr>
                <w:rFonts w:ascii="Tahoma" w:hAnsi="Tahoma" w:cs="Tahoma"/>
                <w:b/>
                <w:sz w:val="18"/>
                <w:szCs w:val="18"/>
              </w:rPr>
              <w:t>ОМЕП</w:t>
            </w:r>
            <w:r w:rsidRPr="00204292">
              <w:rPr>
                <w:rFonts w:ascii="Tahoma" w:hAnsi="Tahoma" w:cs="Tahoma"/>
                <w:sz w:val="18"/>
                <w:szCs w:val="18"/>
              </w:rPr>
              <w:t xml:space="preserve"> (рассчитывается от суммы использованного лимита кредитования на дату последнего дня Расчетного периода + сумма процентов, начисленных за пользование Кредитом за Расчетный период (не начисляются при условии уплаты Заемщиком в полном объеме не позднее срока окончания льготного периода всей существующей по Договору суммы Кредитной задолженности). Во время действия Грейс-периода требование по внесению ОМЕП не отменяется</w:t>
            </w:r>
          </w:p>
        </w:tc>
        <w:tc>
          <w:tcPr>
            <w:tcW w:w="3411" w:type="pct"/>
            <w:shd w:val="clear" w:color="auto" w:fill="auto"/>
            <w:vAlign w:val="center"/>
          </w:tcPr>
          <w:p w14:paraId="7AF88A71" w14:textId="77777777" w:rsidR="00440295" w:rsidRPr="00204292" w:rsidRDefault="00440295" w:rsidP="00034511">
            <w:pPr>
              <w:tabs>
                <w:tab w:val="left" w:pos="851"/>
              </w:tabs>
              <w:jc w:val="center"/>
              <w:rPr>
                <w:rFonts w:ascii="Tahoma" w:hAnsi="Tahoma" w:cs="Tahoma"/>
                <w:sz w:val="18"/>
                <w:szCs w:val="18"/>
              </w:rPr>
            </w:pPr>
            <w:bookmarkStart w:id="141" w:name="OLE_LINK1"/>
            <w:r w:rsidRPr="00204292">
              <w:rPr>
                <w:rFonts w:ascii="Tahoma" w:hAnsi="Tahoma" w:cs="Tahoma"/>
                <w:sz w:val="18"/>
                <w:szCs w:val="18"/>
              </w:rPr>
              <w:t>3%</w:t>
            </w:r>
            <w:bookmarkEnd w:id="141"/>
          </w:p>
        </w:tc>
      </w:tr>
      <w:tr w:rsidR="00440295" w:rsidRPr="00204292" w14:paraId="01E8C746" w14:textId="77777777" w:rsidTr="00034511">
        <w:trPr>
          <w:trHeight w:val="864"/>
          <w:jc w:val="center"/>
        </w:trPr>
        <w:tc>
          <w:tcPr>
            <w:tcW w:w="1589" w:type="pct"/>
          </w:tcPr>
          <w:p w14:paraId="69178988" w14:textId="77777777" w:rsidR="00440295" w:rsidRPr="00204292" w:rsidRDefault="00440295" w:rsidP="00034511">
            <w:pPr>
              <w:tabs>
                <w:tab w:val="left" w:pos="851"/>
              </w:tabs>
              <w:rPr>
                <w:rFonts w:ascii="Tahoma" w:hAnsi="Tahoma" w:cs="Tahoma"/>
                <w:b/>
                <w:sz w:val="18"/>
                <w:szCs w:val="18"/>
              </w:rPr>
            </w:pPr>
            <w:r w:rsidRPr="00204292">
              <w:rPr>
                <w:rFonts w:ascii="Tahoma" w:hAnsi="Tahoma" w:cs="Tahoma"/>
                <w:b/>
                <w:sz w:val="18"/>
                <w:szCs w:val="18"/>
              </w:rPr>
              <w:t>Дата, начиная с которой начисляются проценты за пользование Кредитом, или порядок ее определения</w:t>
            </w:r>
          </w:p>
        </w:tc>
        <w:tc>
          <w:tcPr>
            <w:tcW w:w="3411" w:type="pct"/>
            <w:vAlign w:val="center"/>
          </w:tcPr>
          <w:p w14:paraId="4704100E" w14:textId="77777777" w:rsidR="00440295" w:rsidRPr="00204292" w:rsidRDefault="00440295" w:rsidP="00034511">
            <w:pPr>
              <w:tabs>
                <w:tab w:val="left" w:pos="851"/>
              </w:tabs>
              <w:jc w:val="center"/>
              <w:rPr>
                <w:rFonts w:ascii="Tahoma" w:hAnsi="Tahoma" w:cs="Tahoma"/>
                <w:sz w:val="18"/>
                <w:szCs w:val="18"/>
              </w:rPr>
            </w:pPr>
            <w:r w:rsidRPr="00204292">
              <w:rPr>
                <w:rFonts w:ascii="Tahoma" w:hAnsi="Tahoma" w:cs="Tahoma"/>
                <w:sz w:val="18"/>
                <w:szCs w:val="18"/>
              </w:rPr>
              <w:t>Дата, следующая за датой начала использования кредитных средств</w:t>
            </w:r>
          </w:p>
        </w:tc>
      </w:tr>
      <w:tr w:rsidR="00440295" w:rsidRPr="00204292" w14:paraId="3CA374FE" w14:textId="77777777" w:rsidTr="00034511">
        <w:trPr>
          <w:trHeight w:val="155"/>
          <w:jc w:val="center"/>
        </w:trPr>
        <w:tc>
          <w:tcPr>
            <w:tcW w:w="1589" w:type="pct"/>
          </w:tcPr>
          <w:p w14:paraId="5A318844" w14:textId="77777777" w:rsidR="00440295" w:rsidRPr="00204292" w:rsidRDefault="00440295" w:rsidP="00034511">
            <w:pPr>
              <w:tabs>
                <w:tab w:val="left" w:pos="851"/>
              </w:tabs>
              <w:rPr>
                <w:rFonts w:ascii="Tahoma" w:hAnsi="Tahoma" w:cs="Tahoma"/>
                <w:b/>
                <w:sz w:val="18"/>
                <w:szCs w:val="18"/>
              </w:rPr>
            </w:pPr>
            <w:r w:rsidRPr="00204292">
              <w:rPr>
                <w:rFonts w:ascii="Tahoma" w:hAnsi="Tahoma" w:cs="Tahoma"/>
                <w:b/>
                <w:sz w:val="18"/>
                <w:szCs w:val="18"/>
              </w:rPr>
              <w:t>Срок действия Договора</w:t>
            </w:r>
          </w:p>
        </w:tc>
        <w:tc>
          <w:tcPr>
            <w:tcW w:w="3411" w:type="pct"/>
            <w:vAlign w:val="center"/>
          </w:tcPr>
          <w:p w14:paraId="39458F9E" w14:textId="77777777" w:rsidR="00440295" w:rsidRPr="00204292" w:rsidRDefault="00440295" w:rsidP="00034511">
            <w:pPr>
              <w:tabs>
                <w:tab w:val="left" w:pos="851"/>
              </w:tabs>
              <w:jc w:val="center"/>
              <w:rPr>
                <w:rFonts w:ascii="Tahoma" w:hAnsi="Tahoma" w:cs="Tahoma"/>
                <w:sz w:val="18"/>
                <w:szCs w:val="18"/>
              </w:rPr>
            </w:pPr>
            <w:r w:rsidRPr="00204292">
              <w:rPr>
                <w:rFonts w:ascii="Tahoma" w:hAnsi="Tahoma" w:cs="Tahoma"/>
                <w:sz w:val="18"/>
                <w:szCs w:val="18"/>
              </w:rPr>
              <w:t>До полного исполнения Сторонами обязательств по Договору</w:t>
            </w:r>
          </w:p>
        </w:tc>
      </w:tr>
      <w:tr w:rsidR="00440295" w:rsidRPr="00204292" w14:paraId="361EC1AB" w14:textId="77777777" w:rsidTr="00034511">
        <w:trPr>
          <w:trHeight w:val="910"/>
          <w:jc w:val="center"/>
        </w:trPr>
        <w:tc>
          <w:tcPr>
            <w:tcW w:w="1589" w:type="pct"/>
            <w:tcBorders>
              <w:bottom w:val="single" w:sz="4" w:space="0" w:color="auto"/>
            </w:tcBorders>
          </w:tcPr>
          <w:p w14:paraId="65CC10E2" w14:textId="77777777" w:rsidR="00440295" w:rsidRPr="00204292" w:rsidRDefault="00440295" w:rsidP="00034511">
            <w:pPr>
              <w:tabs>
                <w:tab w:val="left" w:pos="851"/>
              </w:tabs>
              <w:rPr>
                <w:rFonts w:ascii="Tahoma" w:hAnsi="Tahoma" w:cs="Tahoma"/>
                <w:b/>
                <w:sz w:val="18"/>
                <w:szCs w:val="18"/>
              </w:rPr>
            </w:pPr>
            <w:r w:rsidRPr="00204292">
              <w:rPr>
                <w:rFonts w:ascii="Tahoma" w:hAnsi="Tahoma" w:cs="Tahoma"/>
                <w:b/>
                <w:sz w:val="18"/>
                <w:szCs w:val="18"/>
              </w:rPr>
              <w:t>Обеспечение по Кредиту</w:t>
            </w:r>
          </w:p>
          <w:p w14:paraId="60B09B6C" w14:textId="77777777" w:rsidR="00440295" w:rsidRPr="00204292" w:rsidRDefault="00440295" w:rsidP="00034511">
            <w:pPr>
              <w:tabs>
                <w:tab w:val="left" w:pos="851"/>
              </w:tabs>
              <w:rPr>
                <w:rFonts w:ascii="Tahoma" w:hAnsi="Tahoma" w:cs="Tahoma"/>
                <w:b/>
                <w:sz w:val="18"/>
                <w:szCs w:val="18"/>
              </w:rPr>
            </w:pPr>
          </w:p>
        </w:tc>
        <w:tc>
          <w:tcPr>
            <w:tcW w:w="3411" w:type="pct"/>
            <w:tcBorders>
              <w:bottom w:val="single" w:sz="4" w:space="0" w:color="auto"/>
            </w:tcBorders>
            <w:vAlign w:val="center"/>
          </w:tcPr>
          <w:p w14:paraId="72475898" w14:textId="77777777" w:rsidR="00440295" w:rsidRPr="00204292" w:rsidRDefault="00440295" w:rsidP="00034511">
            <w:pPr>
              <w:tabs>
                <w:tab w:val="left" w:pos="851"/>
              </w:tabs>
              <w:rPr>
                <w:rFonts w:ascii="Tahoma" w:hAnsi="Tahoma" w:cs="Tahoma"/>
                <w:sz w:val="18"/>
                <w:szCs w:val="18"/>
              </w:rPr>
            </w:pPr>
            <w:r w:rsidRPr="00204292">
              <w:rPr>
                <w:rFonts w:ascii="Tahoma" w:hAnsi="Tahoma" w:cs="Tahoma"/>
                <w:color w:val="000000"/>
                <w:sz w:val="18"/>
                <w:szCs w:val="18"/>
              </w:rPr>
              <w:t>По требованию Банка может быть запрошено обеспечение исполнения обязательств Заемщика, а именно: залог, поручительство. Если при расчете платежеспособности Заёмщика участвуют доходы супруга(и) Заёмщика, без которых Заемщик самостоятельно не проходит по платежеспособности, то Банком может быть запрошено оформление данного супруга(и) Заёмщика в качестве созаёмщика (второго Заемщика)</w:t>
            </w:r>
          </w:p>
        </w:tc>
      </w:tr>
      <w:tr w:rsidR="00440295" w:rsidRPr="00204292" w14:paraId="118F28B0" w14:textId="77777777" w:rsidTr="00034511">
        <w:tblPrEx>
          <w:tblLook w:val="00A0" w:firstRow="1" w:lastRow="0" w:firstColumn="1" w:lastColumn="0" w:noHBand="0" w:noVBand="0"/>
        </w:tblPrEx>
        <w:trPr>
          <w:trHeight w:val="264"/>
          <w:jc w:val="center"/>
        </w:trPr>
        <w:tc>
          <w:tcPr>
            <w:tcW w:w="1589" w:type="pct"/>
            <w:vMerge w:val="restart"/>
            <w:tcBorders>
              <w:top w:val="single" w:sz="4" w:space="0" w:color="auto"/>
              <w:left w:val="single" w:sz="4" w:space="0" w:color="auto"/>
              <w:right w:val="single" w:sz="4" w:space="0" w:color="auto"/>
            </w:tcBorders>
            <w:vAlign w:val="center"/>
          </w:tcPr>
          <w:p w14:paraId="54F8A01A"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Требования к Заемщику, которые установлены Банком и выполнение которых является обязательным для предоставления потребительского кредита (с лимитом кредитования)</w:t>
            </w:r>
          </w:p>
        </w:tc>
        <w:tc>
          <w:tcPr>
            <w:tcW w:w="3411" w:type="pct"/>
            <w:tcBorders>
              <w:top w:val="single" w:sz="4" w:space="0" w:color="auto"/>
              <w:left w:val="nil"/>
              <w:bottom w:val="single" w:sz="4" w:space="0" w:color="auto"/>
              <w:right w:val="single" w:sz="4" w:space="0" w:color="auto"/>
            </w:tcBorders>
            <w:noWrap/>
            <w:vAlign w:val="center"/>
          </w:tcPr>
          <w:p w14:paraId="6122DD42" w14:textId="77777777" w:rsidR="00440295" w:rsidRPr="00204292" w:rsidRDefault="00440295" w:rsidP="00034511">
            <w:pPr>
              <w:pStyle w:val="a9"/>
              <w:tabs>
                <w:tab w:val="left" w:pos="-284"/>
                <w:tab w:val="left" w:pos="851"/>
              </w:tabs>
              <w:spacing w:before="0" w:after="0"/>
              <w:ind w:right="849"/>
              <w:jc w:val="center"/>
              <w:rPr>
                <w:rFonts w:ascii="Tahoma" w:hAnsi="Tahoma" w:cs="Tahoma"/>
                <w:b/>
                <w:sz w:val="18"/>
                <w:szCs w:val="18"/>
              </w:rPr>
            </w:pPr>
            <w:r w:rsidRPr="00204292">
              <w:rPr>
                <w:rFonts w:ascii="Tahoma" w:hAnsi="Tahoma" w:cs="Tahoma"/>
                <w:b/>
                <w:sz w:val="18"/>
                <w:szCs w:val="18"/>
              </w:rPr>
              <w:t>Основные</w:t>
            </w:r>
          </w:p>
        </w:tc>
      </w:tr>
      <w:tr w:rsidR="00440295" w:rsidRPr="00204292" w14:paraId="7D86A055" w14:textId="77777777" w:rsidTr="000345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699"/>
          <w:jc w:val="center"/>
        </w:trPr>
        <w:tc>
          <w:tcPr>
            <w:tcW w:w="1589" w:type="pct"/>
            <w:vMerge/>
            <w:tcBorders>
              <w:top w:val="single" w:sz="4" w:space="0" w:color="auto"/>
              <w:left w:val="single" w:sz="4" w:space="0" w:color="auto"/>
              <w:bottom w:val="single" w:sz="4" w:space="0" w:color="auto"/>
              <w:right w:val="single" w:sz="4" w:space="0" w:color="auto"/>
            </w:tcBorders>
            <w:vAlign w:val="center"/>
          </w:tcPr>
          <w:p w14:paraId="3C189725" w14:textId="77777777" w:rsidR="00440295" w:rsidRPr="00204292" w:rsidRDefault="00440295" w:rsidP="00034511">
            <w:pPr>
              <w:rPr>
                <w:rFonts w:ascii="Tahoma" w:hAnsi="Tahoma" w:cs="Tahoma"/>
                <w:sz w:val="18"/>
                <w:szCs w:val="18"/>
              </w:rPr>
            </w:pPr>
          </w:p>
        </w:tc>
        <w:tc>
          <w:tcPr>
            <w:tcW w:w="3411" w:type="pct"/>
            <w:tcBorders>
              <w:top w:val="single" w:sz="4" w:space="0" w:color="auto"/>
              <w:left w:val="nil"/>
              <w:bottom w:val="single" w:sz="4" w:space="0" w:color="auto"/>
              <w:right w:val="single" w:sz="4" w:space="0" w:color="auto"/>
            </w:tcBorders>
            <w:noWrap/>
            <w:vAlign w:val="center"/>
          </w:tcPr>
          <w:p w14:paraId="166B2A8E" w14:textId="77777777" w:rsidR="00440295" w:rsidRPr="00204292" w:rsidRDefault="00440295" w:rsidP="00034511">
            <w:pPr>
              <w:widowControl w:val="0"/>
              <w:tabs>
                <w:tab w:val="left" w:pos="851"/>
              </w:tabs>
              <w:adjustRightInd w:val="0"/>
              <w:rPr>
                <w:rFonts w:ascii="Tahoma" w:hAnsi="Tahoma" w:cs="Tahoma"/>
                <w:sz w:val="18"/>
                <w:szCs w:val="18"/>
              </w:rPr>
            </w:pPr>
            <w:r w:rsidRPr="00204292">
              <w:rPr>
                <w:rFonts w:ascii="Tahoma" w:hAnsi="Tahoma" w:cs="Tahoma"/>
                <w:sz w:val="18"/>
                <w:szCs w:val="18"/>
              </w:rPr>
              <w:t>- гражданство Российской Федерации;</w:t>
            </w:r>
          </w:p>
          <w:p w14:paraId="284C4156" w14:textId="77777777" w:rsidR="00440295" w:rsidRPr="00204292" w:rsidRDefault="00440295" w:rsidP="00034511">
            <w:pPr>
              <w:widowControl w:val="0"/>
              <w:tabs>
                <w:tab w:val="left" w:pos="851"/>
              </w:tabs>
              <w:adjustRightInd w:val="0"/>
              <w:rPr>
                <w:rFonts w:ascii="Tahoma" w:hAnsi="Tahoma" w:cs="Tahoma"/>
                <w:sz w:val="18"/>
                <w:szCs w:val="18"/>
              </w:rPr>
            </w:pPr>
            <w:r w:rsidRPr="00204292">
              <w:rPr>
                <w:rFonts w:ascii="Tahoma" w:hAnsi="Tahoma" w:cs="Tahoma"/>
                <w:sz w:val="18"/>
                <w:szCs w:val="18"/>
              </w:rPr>
              <w:t>- возраст Заёмщика не менее 21 года (на момент оформления Кредита) и не более 70 лет (на момент окончания действия срока возврата Кредита) включительно;</w:t>
            </w:r>
          </w:p>
          <w:p w14:paraId="1073391E" w14:textId="77777777" w:rsidR="00440295" w:rsidRPr="00204292" w:rsidRDefault="00440295" w:rsidP="00034511">
            <w:pPr>
              <w:widowControl w:val="0"/>
              <w:rPr>
                <w:rFonts w:ascii="Tahoma" w:hAnsi="Tahoma" w:cs="Tahoma"/>
                <w:sz w:val="18"/>
                <w:szCs w:val="18"/>
              </w:rPr>
            </w:pPr>
            <w:r w:rsidRPr="00204292">
              <w:rPr>
                <w:rFonts w:ascii="Tahoma" w:hAnsi="Tahoma" w:cs="Tahoma"/>
                <w:sz w:val="18"/>
                <w:szCs w:val="18"/>
              </w:rPr>
              <w:t>- Адрес регистрации и фактическое место жительства Заемщика должны находиться на территории, обслуживаемой Банком (ТОБ) (за исключением категории Заемщиков с положительной кредитной историей). Информация о ТОБ размещена на официальном сайте Банка (</w:t>
            </w:r>
            <w:r w:rsidRPr="00204292">
              <w:rPr>
                <w:rFonts w:ascii="Tahoma" w:hAnsi="Tahoma" w:cs="Tahoma"/>
                <w:sz w:val="18"/>
                <w:szCs w:val="18"/>
                <w:lang w:val="en-US"/>
              </w:rPr>
              <w:t>www</w:t>
            </w:r>
            <w:r w:rsidRPr="00204292">
              <w:rPr>
                <w:rFonts w:ascii="Tahoma" w:hAnsi="Tahoma" w:cs="Tahoma"/>
                <w:sz w:val="18"/>
                <w:szCs w:val="18"/>
              </w:rPr>
              <w:t>.</w:t>
            </w:r>
            <w:r w:rsidRPr="00204292">
              <w:rPr>
                <w:rFonts w:ascii="Tahoma" w:hAnsi="Tahoma" w:cs="Tahoma"/>
                <w:sz w:val="18"/>
                <w:szCs w:val="18"/>
                <w:lang w:val="en-US"/>
              </w:rPr>
              <w:t>atb</w:t>
            </w:r>
            <w:r w:rsidRPr="00204292">
              <w:rPr>
                <w:rFonts w:ascii="Tahoma" w:hAnsi="Tahoma" w:cs="Tahoma"/>
                <w:sz w:val="18"/>
                <w:szCs w:val="18"/>
              </w:rPr>
              <w:t>.</w:t>
            </w:r>
            <w:r w:rsidRPr="00204292">
              <w:rPr>
                <w:rFonts w:ascii="Tahoma" w:hAnsi="Tahoma" w:cs="Tahoma"/>
                <w:sz w:val="18"/>
                <w:szCs w:val="18"/>
                <w:lang w:val="en-US"/>
              </w:rPr>
              <w:t>su</w:t>
            </w:r>
            <w:r w:rsidRPr="00204292">
              <w:rPr>
                <w:rFonts w:ascii="Tahoma" w:hAnsi="Tahoma" w:cs="Tahoma"/>
                <w:sz w:val="18"/>
                <w:szCs w:val="18"/>
              </w:rPr>
              <w:t>);</w:t>
            </w:r>
          </w:p>
          <w:p w14:paraId="2F62E235" w14:textId="77777777" w:rsidR="00440295" w:rsidRPr="00204292" w:rsidRDefault="00440295" w:rsidP="00034511">
            <w:pPr>
              <w:widowControl w:val="0"/>
              <w:tabs>
                <w:tab w:val="left" w:pos="851"/>
              </w:tabs>
              <w:adjustRightInd w:val="0"/>
              <w:rPr>
                <w:rFonts w:ascii="Tahoma" w:hAnsi="Tahoma" w:cs="Tahoma"/>
                <w:sz w:val="18"/>
                <w:szCs w:val="18"/>
              </w:rPr>
            </w:pPr>
            <w:r w:rsidRPr="00204292">
              <w:rPr>
                <w:rFonts w:ascii="Tahoma" w:hAnsi="Tahoma" w:cs="Tahoma"/>
                <w:sz w:val="18"/>
                <w:szCs w:val="18"/>
              </w:rPr>
              <w:t>- Заёмщик имеет официальное место работы (либо является ИП) и постоянный источник дохода;</w:t>
            </w:r>
          </w:p>
          <w:p w14:paraId="7F8CC877" w14:textId="77777777" w:rsidR="00440295" w:rsidRPr="00204292" w:rsidRDefault="00440295" w:rsidP="00034511">
            <w:pPr>
              <w:widowControl w:val="0"/>
              <w:tabs>
                <w:tab w:val="left" w:pos="851"/>
              </w:tabs>
              <w:adjustRightInd w:val="0"/>
              <w:rPr>
                <w:rFonts w:ascii="Tahoma" w:hAnsi="Tahoma" w:cs="Tahoma"/>
                <w:sz w:val="18"/>
                <w:szCs w:val="18"/>
              </w:rPr>
            </w:pPr>
            <w:r w:rsidRPr="00204292">
              <w:rPr>
                <w:rFonts w:ascii="Tahoma" w:hAnsi="Tahoma" w:cs="Tahoma"/>
                <w:sz w:val="18"/>
                <w:szCs w:val="18"/>
              </w:rPr>
              <w:t xml:space="preserve">- стаж на последнем месте работы не менее 3 месяцев; </w:t>
            </w:r>
          </w:p>
          <w:p w14:paraId="56F38CCB" w14:textId="77777777" w:rsidR="00440295" w:rsidRPr="00204292" w:rsidRDefault="00440295" w:rsidP="00034511">
            <w:pPr>
              <w:autoSpaceDE w:val="0"/>
              <w:autoSpaceDN w:val="0"/>
              <w:rPr>
                <w:rFonts w:ascii="Tahoma" w:hAnsi="Tahoma" w:cs="Tahoma"/>
                <w:sz w:val="18"/>
                <w:szCs w:val="18"/>
              </w:rPr>
            </w:pPr>
            <w:r w:rsidRPr="00204292">
              <w:rPr>
                <w:rFonts w:ascii="Tahoma" w:hAnsi="Tahoma" w:cs="Tahoma"/>
                <w:sz w:val="18"/>
                <w:szCs w:val="18"/>
              </w:rPr>
              <w:t>- отсутствует(ют) действующий(ие) Договор(ы) по ТП «Универсальная карта» и/или «180 дней без %».</w:t>
            </w:r>
          </w:p>
          <w:p w14:paraId="586D227C" w14:textId="77777777" w:rsidR="00440295" w:rsidRPr="00204292" w:rsidRDefault="00440295" w:rsidP="00034511">
            <w:pPr>
              <w:widowControl w:val="0"/>
              <w:tabs>
                <w:tab w:val="left" w:pos="851"/>
              </w:tabs>
              <w:adjustRightInd w:val="0"/>
              <w:rPr>
                <w:rFonts w:ascii="Tahoma" w:hAnsi="Tahoma" w:cs="Tahoma"/>
                <w:sz w:val="18"/>
                <w:szCs w:val="18"/>
              </w:rPr>
            </w:pPr>
          </w:p>
          <w:p w14:paraId="6DD0C79C" w14:textId="77777777" w:rsidR="00440295" w:rsidRPr="00204292" w:rsidRDefault="00440295" w:rsidP="00034511">
            <w:pPr>
              <w:pStyle w:val="a9"/>
              <w:tabs>
                <w:tab w:val="left" w:pos="-284"/>
                <w:tab w:val="left" w:pos="851"/>
              </w:tabs>
              <w:spacing w:before="0" w:after="0"/>
              <w:rPr>
                <w:rFonts w:ascii="Tahoma" w:hAnsi="Tahoma" w:cs="Tahoma"/>
                <w:sz w:val="18"/>
                <w:szCs w:val="18"/>
              </w:rPr>
            </w:pPr>
            <w:r w:rsidRPr="00204292">
              <w:rPr>
                <w:rFonts w:ascii="Tahoma" w:hAnsi="Tahoma" w:cs="Tahoma"/>
                <w:sz w:val="18"/>
                <w:szCs w:val="18"/>
              </w:rPr>
              <w:t>Для Заёмщиков, являющихся работающими/неработающими пенсионерами, требования относительно стажа на последнем месте работы не действуют.</w:t>
            </w:r>
            <w:r w:rsidRPr="00204292">
              <w:rPr>
                <w:rFonts w:ascii="Tahoma" w:hAnsi="Tahoma" w:cs="Tahoma"/>
                <w:sz w:val="18"/>
                <w:szCs w:val="18"/>
              </w:rPr>
              <w:fldChar w:fldCharType="begin"/>
            </w:r>
            <w:r w:rsidRPr="00204292">
              <w:rPr>
                <w:rFonts w:ascii="Tahoma" w:hAnsi="Tahoma" w:cs="Tahoma"/>
                <w:sz w:val="18"/>
                <w:szCs w:val="18"/>
              </w:rPr>
              <w:instrText xml:space="preserve"> DOCVARIABLE  КЛИЕНТ </w:instrText>
            </w:r>
            <w:r w:rsidRPr="00204292">
              <w:rPr>
                <w:rFonts w:ascii="Tahoma" w:hAnsi="Tahoma" w:cs="Tahoma"/>
                <w:sz w:val="18"/>
                <w:szCs w:val="18"/>
              </w:rPr>
              <w:fldChar w:fldCharType="end"/>
            </w:r>
          </w:p>
        </w:tc>
      </w:tr>
      <w:tr w:rsidR="00440295" w:rsidRPr="00204292" w14:paraId="1C16A183" w14:textId="77777777" w:rsidTr="000345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76"/>
          <w:jc w:val="center"/>
        </w:trPr>
        <w:tc>
          <w:tcPr>
            <w:tcW w:w="1589" w:type="pct"/>
            <w:tcBorders>
              <w:top w:val="single" w:sz="4" w:space="0" w:color="auto"/>
              <w:left w:val="single" w:sz="8" w:space="0" w:color="auto"/>
              <w:bottom w:val="single" w:sz="4" w:space="0" w:color="auto"/>
              <w:right w:val="single" w:sz="4" w:space="0" w:color="auto"/>
            </w:tcBorders>
            <w:vAlign w:val="center"/>
          </w:tcPr>
          <w:p w14:paraId="30C1D60A"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Срок рассмотрения  оформленного Заемщиком заявления о предоставлении потребительского кредита (с лимитом кредитования) и принятия Кредитором решения относительно этого заявления</w:t>
            </w:r>
          </w:p>
        </w:tc>
        <w:tc>
          <w:tcPr>
            <w:tcW w:w="3411" w:type="pct"/>
            <w:tcBorders>
              <w:top w:val="single" w:sz="4" w:space="0" w:color="auto"/>
              <w:left w:val="nil"/>
              <w:bottom w:val="single" w:sz="4" w:space="0" w:color="auto"/>
              <w:right w:val="single" w:sz="8" w:space="0" w:color="000000"/>
            </w:tcBorders>
            <w:noWrap/>
            <w:vAlign w:val="center"/>
          </w:tcPr>
          <w:p w14:paraId="173D0C89" w14:textId="77777777" w:rsidR="00440295" w:rsidRPr="00204292" w:rsidRDefault="00440295" w:rsidP="00034511">
            <w:pPr>
              <w:widowControl w:val="0"/>
              <w:tabs>
                <w:tab w:val="left" w:pos="426"/>
                <w:tab w:val="left" w:pos="851"/>
              </w:tabs>
              <w:rPr>
                <w:rFonts w:ascii="Tahoma" w:hAnsi="Tahoma" w:cs="Tahoma"/>
                <w:sz w:val="18"/>
                <w:szCs w:val="18"/>
              </w:rPr>
            </w:pPr>
            <w:r w:rsidRPr="00204292">
              <w:rPr>
                <w:rFonts w:ascii="Tahoma" w:hAnsi="Tahoma" w:cs="Tahoma"/>
                <w:color w:val="000000"/>
                <w:sz w:val="18"/>
                <w:szCs w:val="18"/>
              </w:rPr>
              <w:t>Решение принимается в течение 1 часа с момента предоставления Заемщиком полного пакета документов. В случае необходимости запроса у Заёмщика дополнительных документов решение принимается в индивидуальные сроки, не превышающие 3-х рабочих дней с момента предоставления Заемщиком в Банк полного пакета документов.</w:t>
            </w:r>
            <w:r w:rsidRPr="00204292">
              <w:rPr>
                <w:rFonts w:ascii="Tahoma" w:hAnsi="Tahoma" w:cs="Tahoma"/>
                <w:sz w:val="18"/>
                <w:szCs w:val="18"/>
              </w:rPr>
              <w:fldChar w:fldCharType="begin"/>
            </w:r>
            <w:r w:rsidRPr="00204292">
              <w:rPr>
                <w:rFonts w:ascii="Tahoma" w:hAnsi="Tahoma" w:cs="Tahoma"/>
                <w:sz w:val="18"/>
                <w:szCs w:val="18"/>
              </w:rPr>
              <w:instrText xml:space="preserve"> DOCVARIABLE  WAS_BORN_DMY </w:instrText>
            </w:r>
            <w:r w:rsidRPr="00204292">
              <w:rPr>
                <w:rFonts w:ascii="Tahoma" w:hAnsi="Tahoma" w:cs="Tahoma"/>
                <w:sz w:val="18"/>
                <w:szCs w:val="18"/>
              </w:rPr>
              <w:fldChar w:fldCharType="end"/>
            </w:r>
          </w:p>
        </w:tc>
      </w:tr>
      <w:tr w:rsidR="00440295" w:rsidRPr="00204292" w14:paraId="6AC0D28E" w14:textId="77777777" w:rsidTr="000345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76"/>
          <w:jc w:val="center"/>
        </w:trPr>
        <w:tc>
          <w:tcPr>
            <w:tcW w:w="1589" w:type="pct"/>
            <w:tcBorders>
              <w:top w:val="single" w:sz="4" w:space="0" w:color="auto"/>
              <w:left w:val="single" w:sz="8" w:space="0" w:color="auto"/>
              <w:bottom w:val="single" w:sz="4" w:space="0" w:color="auto"/>
              <w:right w:val="single" w:sz="4" w:space="0" w:color="auto"/>
            </w:tcBorders>
            <w:vAlign w:val="center"/>
          </w:tcPr>
          <w:p w14:paraId="2B3EEBD8"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Перечень документов, необходимых для рассмотрения заявления о предоставлении потребительского кредита (с лимитом кредитования), в том числе для оценки кредитоспособности Заемщика (в случае необходимости могут быть запрошены дополнительные документы)</w:t>
            </w:r>
          </w:p>
        </w:tc>
        <w:tc>
          <w:tcPr>
            <w:tcW w:w="3411" w:type="pct"/>
            <w:tcBorders>
              <w:top w:val="single" w:sz="4" w:space="0" w:color="auto"/>
              <w:left w:val="nil"/>
              <w:bottom w:val="single" w:sz="4" w:space="0" w:color="auto"/>
              <w:right w:val="single" w:sz="8" w:space="0" w:color="000000"/>
            </w:tcBorders>
            <w:noWrap/>
            <w:vAlign w:val="center"/>
          </w:tcPr>
          <w:p w14:paraId="27EA7B5C" w14:textId="77777777" w:rsidR="00440295" w:rsidRPr="00204292" w:rsidRDefault="00440295" w:rsidP="00034511">
            <w:pPr>
              <w:rPr>
                <w:rFonts w:ascii="Tahoma" w:hAnsi="Tahoma" w:cs="Tahoma"/>
                <w:color w:val="000000"/>
                <w:sz w:val="18"/>
                <w:szCs w:val="18"/>
              </w:rPr>
            </w:pPr>
            <w:r w:rsidRPr="00204292">
              <w:rPr>
                <w:rFonts w:ascii="Tahoma" w:hAnsi="Tahoma" w:cs="Tahoma"/>
                <w:color w:val="000000"/>
                <w:sz w:val="18"/>
                <w:szCs w:val="18"/>
              </w:rPr>
              <w:t>1) Паспорт гражданина РФ.</w:t>
            </w:r>
          </w:p>
          <w:p w14:paraId="698B539B" w14:textId="77777777" w:rsidR="00440295" w:rsidRPr="00204292" w:rsidRDefault="00440295" w:rsidP="00034511">
            <w:pPr>
              <w:rPr>
                <w:rFonts w:ascii="Tahoma" w:hAnsi="Tahoma" w:cs="Tahoma"/>
                <w:color w:val="000000"/>
                <w:sz w:val="18"/>
                <w:szCs w:val="18"/>
              </w:rPr>
            </w:pPr>
            <w:r w:rsidRPr="00204292">
              <w:rPr>
                <w:rFonts w:ascii="Tahoma" w:hAnsi="Tahoma" w:cs="Tahoma"/>
                <w:color w:val="000000"/>
                <w:sz w:val="18"/>
                <w:szCs w:val="18"/>
              </w:rPr>
              <w:t>2) Заявление о предоставлении Кредита.</w:t>
            </w:r>
          </w:p>
          <w:p w14:paraId="211363B0" w14:textId="77777777" w:rsidR="00440295" w:rsidRPr="00204292" w:rsidRDefault="00440295" w:rsidP="00034511">
            <w:pPr>
              <w:rPr>
                <w:rFonts w:ascii="Tahoma" w:hAnsi="Tahoma" w:cs="Tahoma"/>
                <w:color w:val="000000"/>
                <w:sz w:val="18"/>
                <w:szCs w:val="18"/>
              </w:rPr>
            </w:pPr>
            <w:r w:rsidRPr="00204292">
              <w:rPr>
                <w:rFonts w:ascii="Tahoma" w:hAnsi="Tahoma" w:cs="Tahoma"/>
                <w:color w:val="000000"/>
                <w:sz w:val="18"/>
                <w:szCs w:val="18"/>
              </w:rPr>
              <w:t>3) В случае необходимости Банком могут быть запрошены документы, подтверждающие доход Клиента при сумме Кредита свыше 100 000 рублей.</w:t>
            </w:r>
          </w:p>
          <w:p w14:paraId="7FE40C82" w14:textId="77777777" w:rsidR="00440295" w:rsidRPr="00204292" w:rsidRDefault="00440295" w:rsidP="00034511">
            <w:pPr>
              <w:widowControl w:val="0"/>
              <w:tabs>
                <w:tab w:val="left" w:pos="426"/>
                <w:tab w:val="left" w:pos="851"/>
              </w:tabs>
              <w:rPr>
                <w:rFonts w:ascii="Tahoma" w:hAnsi="Tahoma" w:cs="Tahoma"/>
                <w:color w:val="000000"/>
                <w:sz w:val="18"/>
                <w:szCs w:val="18"/>
              </w:rPr>
            </w:pPr>
          </w:p>
        </w:tc>
      </w:tr>
      <w:tr w:rsidR="00440295" w:rsidRPr="00204292" w14:paraId="3AAF6E63" w14:textId="77777777" w:rsidTr="000345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419"/>
          <w:jc w:val="center"/>
        </w:trPr>
        <w:tc>
          <w:tcPr>
            <w:tcW w:w="1589" w:type="pct"/>
            <w:tcBorders>
              <w:top w:val="single" w:sz="4" w:space="0" w:color="auto"/>
              <w:left w:val="single" w:sz="4" w:space="0" w:color="auto"/>
              <w:bottom w:val="single" w:sz="4" w:space="0" w:color="auto"/>
              <w:right w:val="single" w:sz="4" w:space="0" w:color="auto"/>
            </w:tcBorders>
            <w:vAlign w:val="center"/>
          </w:tcPr>
          <w:p w14:paraId="025A9131" w14:textId="77777777" w:rsidR="00440295" w:rsidRPr="00204292" w:rsidRDefault="00440295" w:rsidP="00034511">
            <w:pPr>
              <w:rPr>
                <w:rFonts w:ascii="Tahoma" w:hAnsi="Tahoma" w:cs="Tahoma"/>
                <w:b/>
                <w:sz w:val="18"/>
                <w:szCs w:val="18"/>
              </w:rPr>
            </w:pPr>
            <w:r w:rsidRPr="00204292">
              <w:rPr>
                <w:rFonts w:ascii="Tahoma" w:hAnsi="Tahoma" w:cs="Tahoma"/>
                <w:b/>
                <w:color w:val="000000"/>
                <w:sz w:val="18"/>
                <w:szCs w:val="18"/>
              </w:rPr>
              <w:t>Документы, подтверждающие доход</w:t>
            </w:r>
          </w:p>
        </w:tc>
        <w:tc>
          <w:tcPr>
            <w:tcW w:w="3411" w:type="pct"/>
            <w:tcBorders>
              <w:top w:val="single" w:sz="4" w:space="0" w:color="auto"/>
              <w:left w:val="nil"/>
              <w:bottom w:val="single" w:sz="4" w:space="0" w:color="auto"/>
              <w:right w:val="single" w:sz="4" w:space="0" w:color="auto"/>
            </w:tcBorders>
            <w:shd w:val="clear" w:color="auto" w:fill="auto"/>
            <w:noWrap/>
            <w:vAlign w:val="center"/>
          </w:tcPr>
          <w:p w14:paraId="6780C516"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 xml:space="preserve">При предоставлении документа, доход должен быть подтвержден </w:t>
            </w:r>
            <w:r w:rsidRPr="00204292">
              <w:rPr>
                <w:rFonts w:ascii="Tahoma" w:hAnsi="Tahoma" w:cs="Tahoma"/>
                <w:color w:val="000000"/>
                <w:sz w:val="18"/>
                <w:szCs w:val="18"/>
              </w:rPr>
              <w:t>за последние 12 месяцев либо за фактически отработанный период времени, в зависимости от стажа по текущему месту работы, но не менее 3-х месяцев, предшествующих дате предоставления в Банк Заявления о предоставлении потребительского кредита.</w:t>
            </w:r>
          </w:p>
          <w:p w14:paraId="5215D75A" w14:textId="77777777" w:rsidR="00440295" w:rsidRPr="00204292" w:rsidRDefault="00440295" w:rsidP="00034511">
            <w:pPr>
              <w:ind w:firstLine="172"/>
              <w:rPr>
                <w:rFonts w:ascii="Tahoma" w:hAnsi="Tahoma" w:cs="Tahoma"/>
                <w:b/>
                <w:color w:val="000000"/>
                <w:sz w:val="18"/>
                <w:szCs w:val="18"/>
              </w:rPr>
            </w:pPr>
          </w:p>
          <w:p w14:paraId="2AF379EE" w14:textId="77777777" w:rsidR="00440295" w:rsidRPr="00204292" w:rsidRDefault="00440295" w:rsidP="00034511">
            <w:pPr>
              <w:rPr>
                <w:rFonts w:ascii="Tahoma" w:hAnsi="Tahoma" w:cs="Tahoma"/>
                <w:color w:val="000000"/>
                <w:sz w:val="18"/>
                <w:szCs w:val="18"/>
              </w:rPr>
            </w:pPr>
          </w:p>
          <w:p w14:paraId="599957F5"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Документы, подтверждающие доход:</w:t>
            </w:r>
          </w:p>
          <w:p w14:paraId="6AD02A31" w14:textId="77777777" w:rsidR="00440295" w:rsidRPr="00204292" w:rsidRDefault="00440295" w:rsidP="00034511">
            <w:pPr>
              <w:rPr>
                <w:rFonts w:ascii="Tahoma" w:hAnsi="Tahoma" w:cs="Tahoma"/>
                <w:color w:val="000000"/>
                <w:sz w:val="18"/>
                <w:szCs w:val="18"/>
              </w:rPr>
            </w:pPr>
            <w:r w:rsidRPr="00204292">
              <w:rPr>
                <w:rFonts w:ascii="Tahoma" w:hAnsi="Tahoma" w:cs="Tahoma"/>
                <w:color w:val="000000"/>
                <w:sz w:val="18"/>
                <w:szCs w:val="18"/>
              </w:rPr>
              <w:t>- выписка по банковской (платежной) карте Банка если Заемщик получает заработную плату на карту Банка;</w:t>
            </w:r>
          </w:p>
          <w:p w14:paraId="4EEF91FC" w14:textId="77777777" w:rsidR="00440295" w:rsidRPr="00204292" w:rsidRDefault="00440295" w:rsidP="00034511">
            <w:pPr>
              <w:rPr>
                <w:rFonts w:ascii="Tahoma" w:hAnsi="Tahoma" w:cs="Tahoma"/>
                <w:color w:val="000000"/>
                <w:sz w:val="18"/>
                <w:szCs w:val="18"/>
              </w:rPr>
            </w:pPr>
            <w:r w:rsidRPr="00204292">
              <w:rPr>
                <w:rFonts w:ascii="Tahoma" w:hAnsi="Tahoma" w:cs="Tahoma"/>
                <w:color w:val="000000"/>
                <w:sz w:val="18"/>
                <w:szCs w:val="18"/>
              </w:rPr>
              <w:t>- выписка по индивидуальному лицевому счету Заемщика, который ведется в Социальном Фонде Российской Федерации и сведения предоставлены Банку (если Заемщиком выражено согласие в соответствии с законодательством Российской Федерации на запрос);</w:t>
            </w:r>
          </w:p>
          <w:p w14:paraId="57C057DF" w14:textId="77777777" w:rsidR="00440295" w:rsidRPr="00204292" w:rsidRDefault="00440295" w:rsidP="00034511">
            <w:pPr>
              <w:pStyle w:val="affe"/>
              <w:ind w:left="28"/>
              <w:jc w:val="both"/>
              <w:rPr>
                <w:rFonts w:ascii="Tahoma" w:hAnsi="Tahoma" w:cs="Tahoma"/>
                <w:color w:val="000000"/>
                <w:sz w:val="18"/>
                <w:szCs w:val="18"/>
              </w:rPr>
            </w:pPr>
            <w:r w:rsidRPr="00204292">
              <w:rPr>
                <w:rFonts w:ascii="Tahoma" w:hAnsi="Tahoma" w:cs="Tahoma"/>
                <w:color w:val="000000"/>
                <w:sz w:val="18"/>
                <w:szCs w:val="18"/>
              </w:rPr>
              <w:t>- справка о заработной плате по форме Банка, справка о доходах и суммах налога физических лиц либо по форме работодателя (содержащая обязательные поля, предусмотренные в справке по форме Банка, включая ИНН работодателя);</w:t>
            </w:r>
          </w:p>
          <w:p w14:paraId="08F7F25D" w14:textId="77777777" w:rsidR="00440295" w:rsidRPr="00204292" w:rsidRDefault="00440295" w:rsidP="00034511">
            <w:pPr>
              <w:pStyle w:val="affe"/>
              <w:ind w:left="28"/>
              <w:jc w:val="both"/>
              <w:rPr>
                <w:rFonts w:ascii="Tahoma" w:hAnsi="Tahoma" w:cs="Tahoma"/>
                <w:color w:val="000000"/>
                <w:sz w:val="18"/>
                <w:szCs w:val="18"/>
              </w:rPr>
            </w:pPr>
            <w:r w:rsidRPr="00204292">
              <w:rPr>
                <w:rFonts w:ascii="Tahoma" w:hAnsi="Tahoma" w:cs="Tahoma"/>
                <w:color w:val="000000"/>
                <w:sz w:val="18"/>
                <w:szCs w:val="18"/>
              </w:rPr>
              <w:t>- выпиской с зарплатного счета банковской (платежной) карты Заемщика, заверенной печатью подразделения и подписью работника кредитной организации, выдавшего выписку (или сформированная из мобильного/интернет банка), при этом в выписке должно быть указано назначение платежа, позволяющее однозначно идентифицировать, что поступления являются заработной платой Заемщика/ зачисления с определённым назначением платежа производятся через равные промежутки времени;</w:t>
            </w:r>
          </w:p>
          <w:p w14:paraId="2B197FED" w14:textId="77777777" w:rsidR="00440295" w:rsidRPr="00204292" w:rsidRDefault="00440295" w:rsidP="00034511">
            <w:pPr>
              <w:pStyle w:val="affe"/>
              <w:ind w:left="28"/>
              <w:jc w:val="both"/>
              <w:rPr>
                <w:rFonts w:ascii="Tahoma" w:hAnsi="Tahoma" w:cs="Tahoma"/>
                <w:color w:val="000000"/>
                <w:sz w:val="18"/>
                <w:szCs w:val="18"/>
              </w:rPr>
            </w:pPr>
            <w:r w:rsidRPr="00204292">
              <w:rPr>
                <w:rFonts w:ascii="Tahoma" w:hAnsi="Tahoma" w:cs="Tahoma"/>
                <w:sz w:val="18"/>
                <w:szCs w:val="18"/>
              </w:rPr>
              <w:t>- документы, содержащие сведения о доходах Заемщика, выданные государственными (муниципальными) органами, учреждениями, организациями или предприятиями (включая документы, выданные должностными лицами Вооруженных Сил Российской Федерации и воинских формирований), а также физическими лицами, зарегистрированными в качестве индивидуальных предпринимателей;</w:t>
            </w:r>
          </w:p>
          <w:p w14:paraId="0C4D6C09" w14:textId="77777777" w:rsidR="00440295" w:rsidRPr="00204292" w:rsidRDefault="00440295" w:rsidP="00034511">
            <w:pPr>
              <w:pStyle w:val="affe"/>
              <w:ind w:left="28"/>
              <w:jc w:val="both"/>
              <w:rPr>
                <w:rFonts w:ascii="Tahoma" w:hAnsi="Tahoma" w:cs="Tahoma"/>
                <w:color w:val="000000"/>
                <w:sz w:val="18"/>
                <w:szCs w:val="18"/>
              </w:rPr>
            </w:pPr>
            <w:r w:rsidRPr="00204292">
              <w:rPr>
                <w:rFonts w:ascii="Tahoma" w:hAnsi="Tahoma" w:cs="Tahoma"/>
                <w:color w:val="000000"/>
                <w:sz w:val="18"/>
                <w:szCs w:val="18"/>
              </w:rPr>
              <w:t>- налоговая декларация по налогу на доходы физических лиц (форма 3-НДФЛ);</w:t>
            </w:r>
          </w:p>
          <w:p w14:paraId="11364CF2" w14:textId="77777777" w:rsidR="00440295" w:rsidRPr="00204292" w:rsidRDefault="00440295" w:rsidP="00034511">
            <w:pPr>
              <w:rPr>
                <w:rFonts w:ascii="Tahoma" w:hAnsi="Tahoma" w:cs="Tahoma"/>
                <w:color w:val="000000"/>
                <w:sz w:val="18"/>
                <w:szCs w:val="18"/>
              </w:rPr>
            </w:pPr>
            <w:r w:rsidRPr="00204292">
              <w:rPr>
                <w:rFonts w:ascii="Tahoma" w:hAnsi="Tahoma" w:cs="Tahoma"/>
                <w:b/>
                <w:color w:val="000000"/>
                <w:sz w:val="18"/>
                <w:szCs w:val="18"/>
              </w:rPr>
              <w:t>Если Заемщик является пенсионером</w:t>
            </w:r>
            <w:r w:rsidRPr="00204292">
              <w:rPr>
                <w:rFonts w:ascii="Tahoma" w:hAnsi="Tahoma" w:cs="Tahoma"/>
                <w:color w:val="000000"/>
                <w:sz w:val="18"/>
                <w:szCs w:val="18"/>
              </w:rPr>
              <w:t xml:space="preserve"> (для учета дохода в виде пенсии допускается принимать документ, содержащий сведения о доходе за 1 (один) календарный месяц):</w:t>
            </w:r>
          </w:p>
          <w:p w14:paraId="6B3291D0" w14:textId="77777777" w:rsidR="00440295" w:rsidRPr="00204292" w:rsidRDefault="00440295" w:rsidP="00440295">
            <w:pPr>
              <w:pStyle w:val="affe"/>
              <w:numPr>
                <w:ilvl w:val="0"/>
                <w:numId w:val="27"/>
              </w:numPr>
              <w:contextualSpacing/>
              <w:jc w:val="both"/>
              <w:rPr>
                <w:rFonts w:ascii="Tahoma" w:hAnsi="Tahoma" w:cs="Tahoma"/>
                <w:color w:val="000000"/>
                <w:sz w:val="18"/>
                <w:szCs w:val="18"/>
              </w:rPr>
            </w:pPr>
            <w:r w:rsidRPr="00204292">
              <w:rPr>
                <w:rFonts w:ascii="Tahoma" w:hAnsi="Tahoma" w:cs="Tahoma"/>
                <w:color w:val="000000"/>
                <w:sz w:val="18"/>
                <w:szCs w:val="18"/>
              </w:rPr>
              <w:t>справка Социального фонда России либо другого государственного органа, выплачивающего пенсию, о размере пенсии, ежемесячного пожизненного содержания судьям или ежемесячной надбавки к денежному содержанию судьям о назначении пенсии / иной документ, подтверждающий право на получение пенсии, содержащий идентификационные данные Клиента и размер дохода (например, выписка по индивидуальному лицевому счету в Социальном Фонде России);</w:t>
            </w:r>
          </w:p>
          <w:p w14:paraId="0E10D7B8" w14:textId="77777777" w:rsidR="00440295" w:rsidRPr="00204292" w:rsidRDefault="00440295" w:rsidP="00440295">
            <w:pPr>
              <w:pStyle w:val="affe"/>
              <w:numPr>
                <w:ilvl w:val="0"/>
                <w:numId w:val="27"/>
              </w:numPr>
              <w:contextualSpacing/>
              <w:jc w:val="both"/>
              <w:rPr>
                <w:rFonts w:ascii="Tahoma" w:hAnsi="Tahoma" w:cs="Tahoma"/>
                <w:color w:val="000000"/>
                <w:sz w:val="18"/>
                <w:szCs w:val="18"/>
              </w:rPr>
            </w:pPr>
            <w:r w:rsidRPr="00204292">
              <w:rPr>
                <w:rFonts w:ascii="Tahoma" w:hAnsi="Tahoma" w:cs="Tahoma"/>
                <w:color w:val="000000"/>
                <w:sz w:val="18"/>
                <w:szCs w:val="18"/>
              </w:rPr>
              <w:t>выписка со счета карты Заемщика, заверенной печатью подразделения и подписью работника кредитной организации, выдавшего выписку (или сформированная из мобильного/интернет банка), при этом в выписке обязательно должно быть указано назначение платежа, позволяющее однозначно идентифицировать, что поступления являются пенсией Заемщика.</w:t>
            </w:r>
          </w:p>
          <w:p w14:paraId="37306AC3" w14:textId="77777777" w:rsidR="00440295" w:rsidRPr="00204292" w:rsidRDefault="00440295" w:rsidP="00034511">
            <w:pPr>
              <w:autoSpaceDE w:val="0"/>
              <w:autoSpaceDN w:val="0"/>
              <w:adjustRightInd w:val="0"/>
              <w:rPr>
                <w:rFonts w:ascii="Tahoma" w:hAnsi="Tahoma" w:cs="Tahoma"/>
                <w:b/>
                <w:color w:val="000000"/>
                <w:sz w:val="18"/>
                <w:szCs w:val="18"/>
              </w:rPr>
            </w:pPr>
            <w:r w:rsidRPr="00204292">
              <w:rPr>
                <w:rFonts w:ascii="Tahoma" w:hAnsi="Tahoma" w:cs="Tahoma"/>
                <w:b/>
                <w:color w:val="000000"/>
                <w:sz w:val="18"/>
                <w:szCs w:val="18"/>
              </w:rPr>
              <w:t>Заемщик-ИП/ нотариус/адвокат</w:t>
            </w:r>
            <w:r w:rsidRPr="00204292">
              <w:rPr>
                <w:rFonts w:ascii="Tahoma" w:hAnsi="Tahoma" w:cs="Tahoma"/>
                <w:sz w:val="18"/>
                <w:szCs w:val="18"/>
              </w:rPr>
              <w:t xml:space="preserve"> или иные лица, занимающиеся частной практикой, предоставляют </w:t>
            </w:r>
            <w:r w:rsidRPr="00204292">
              <w:rPr>
                <w:rFonts w:ascii="Tahoma" w:hAnsi="Tahoma" w:cs="Tahoma"/>
                <w:b/>
                <w:sz w:val="18"/>
                <w:szCs w:val="18"/>
              </w:rPr>
              <w:t xml:space="preserve">один или </w:t>
            </w:r>
            <w:r w:rsidRPr="00204292">
              <w:rPr>
                <w:rFonts w:ascii="Tahoma" w:hAnsi="Tahoma" w:cs="Tahoma"/>
                <w:b/>
                <w:color w:val="000000"/>
                <w:sz w:val="18"/>
                <w:szCs w:val="18"/>
              </w:rPr>
              <w:t xml:space="preserve">совокупность следующих документов: </w:t>
            </w:r>
          </w:p>
          <w:p w14:paraId="577C882A" w14:textId="77777777" w:rsidR="00440295" w:rsidRPr="00204292" w:rsidRDefault="00440295" w:rsidP="00440295">
            <w:pPr>
              <w:pStyle w:val="affe"/>
              <w:numPr>
                <w:ilvl w:val="0"/>
                <w:numId w:val="79"/>
              </w:numPr>
              <w:tabs>
                <w:tab w:val="left" w:pos="739"/>
              </w:tabs>
              <w:ind w:left="739" w:hanging="425"/>
              <w:contextualSpacing/>
              <w:jc w:val="both"/>
              <w:rPr>
                <w:rFonts w:ascii="Tahoma" w:hAnsi="Tahoma" w:cs="Tahoma"/>
                <w:sz w:val="18"/>
                <w:szCs w:val="18"/>
              </w:rPr>
            </w:pPr>
            <w:r w:rsidRPr="00204292">
              <w:rPr>
                <w:rFonts w:ascii="Tahoma" w:hAnsi="Tahoma" w:cs="Tahoma"/>
                <w:color w:val="000000"/>
                <w:sz w:val="18"/>
                <w:szCs w:val="18"/>
              </w:rPr>
              <w:t>официальные документы (декларации) в зависимости от систем налогообложения, на основании которых возможно идентифицировать доход ИП,</w:t>
            </w:r>
            <w:r w:rsidRPr="00204292">
              <w:rPr>
                <w:rFonts w:ascii="Tahoma" w:hAnsi="Tahoma" w:cs="Tahoma"/>
                <w:sz w:val="18"/>
                <w:szCs w:val="18"/>
              </w:rPr>
              <w:t xml:space="preserve"> копии квитанций (платежных поручений) об уплате налогов за налоговые периоды, соответствующие периоду расчета среднемесячного дохода;</w:t>
            </w:r>
          </w:p>
          <w:p w14:paraId="5F809E7B" w14:textId="77777777" w:rsidR="00440295" w:rsidRPr="00204292" w:rsidRDefault="00440295" w:rsidP="00440295">
            <w:pPr>
              <w:pStyle w:val="affe"/>
              <w:numPr>
                <w:ilvl w:val="0"/>
                <w:numId w:val="27"/>
              </w:numPr>
              <w:tabs>
                <w:tab w:val="left" w:pos="739"/>
              </w:tabs>
              <w:ind w:left="739" w:hanging="425"/>
              <w:contextualSpacing/>
              <w:jc w:val="both"/>
              <w:rPr>
                <w:rFonts w:ascii="Tahoma" w:hAnsi="Tahoma" w:cs="Tahoma"/>
                <w:color w:val="000000"/>
                <w:sz w:val="18"/>
                <w:szCs w:val="18"/>
                <w:highlight w:val="lightGray"/>
              </w:rPr>
            </w:pPr>
            <w:r w:rsidRPr="00204292">
              <w:rPr>
                <w:rFonts w:ascii="Tahoma" w:hAnsi="Tahoma" w:cs="Tahoma"/>
                <w:sz w:val="18"/>
                <w:szCs w:val="18"/>
              </w:rPr>
              <w:t>книга учета доходов и расходов и хозяйственных операций индивидуального предпринимателя или</w:t>
            </w:r>
            <w:r w:rsidRPr="00204292">
              <w:rPr>
                <w:rFonts w:ascii="Tahoma" w:hAnsi="Tahoma" w:cs="Tahoma"/>
                <w:color w:val="000000"/>
                <w:sz w:val="18"/>
                <w:szCs w:val="18"/>
              </w:rPr>
              <w:t xml:space="preserve"> выписки по счетам Заемщика, заверенные организацией, в которой открыты данные счета </w:t>
            </w:r>
            <w:r w:rsidRPr="00204292">
              <w:rPr>
                <w:rFonts w:ascii="Tahoma" w:hAnsi="Tahoma" w:cs="Tahoma"/>
                <w:sz w:val="18"/>
                <w:szCs w:val="18"/>
                <w:highlight w:val="lightGray"/>
              </w:rPr>
              <w:t xml:space="preserve">(Банк может запросить выписку в формате </w:t>
            </w:r>
            <w:r w:rsidRPr="00204292">
              <w:rPr>
                <w:rFonts w:ascii="Tahoma" w:hAnsi="Tahoma" w:cs="Tahoma"/>
                <w:sz w:val="18"/>
                <w:szCs w:val="18"/>
                <w:highlight w:val="lightGray"/>
                <w:lang w:val="en-US"/>
              </w:rPr>
              <w:t>TXT</w:t>
            </w:r>
            <w:r w:rsidRPr="00204292">
              <w:rPr>
                <w:rFonts w:ascii="Tahoma" w:hAnsi="Tahoma" w:cs="Tahoma"/>
                <w:sz w:val="18"/>
                <w:szCs w:val="18"/>
                <w:highlight w:val="lightGray"/>
              </w:rPr>
              <w:t>)</w:t>
            </w:r>
            <w:r w:rsidRPr="00204292">
              <w:rPr>
                <w:rFonts w:ascii="Tahoma" w:hAnsi="Tahoma" w:cs="Tahoma"/>
                <w:color w:val="000000"/>
                <w:sz w:val="18"/>
                <w:szCs w:val="18"/>
                <w:highlight w:val="lightGray"/>
              </w:rPr>
              <w:t>;</w:t>
            </w:r>
          </w:p>
          <w:p w14:paraId="644CABC0" w14:textId="77777777" w:rsidR="00440295" w:rsidRPr="00204292" w:rsidRDefault="00440295" w:rsidP="00440295">
            <w:pPr>
              <w:pStyle w:val="affe"/>
              <w:numPr>
                <w:ilvl w:val="0"/>
                <w:numId w:val="27"/>
              </w:numPr>
              <w:tabs>
                <w:tab w:val="left" w:pos="739"/>
              </w:tabs>
              <w:ind w:left="739" w:hanging="425"/>
              <w:contextualSpacing/>
              <w:jc w:val="both"/>
              <w:rPr>
                <w:rFonts w:ascii="Tahoma" w:hAnsi="Tahoma" w:cs="Tahoma"/>
                <w:color w:val="000000"/>
                <w:sz w:val="18"/>
                <w:szCs w:val="18"/>
              </w:rPr>
            </w:pPr>
            <w:r w:rsidRPr="00204292">
              <w:rPr>
                <w:rFonts w:ascii="Tahoma" w:hAnsi="Tahoma" w:cs="Tahoma"/>
                <w:sz w:val="18"/>
                <w:szCs w:val="18"/>
              </w:rPr>
              <w:t>справка о состоянии расчетов (доходах) по налогу, уплачиваемому в связи с применением автоматизированной упрощенной системы налогообложения (КНД 1120504) (в случае применения).</w:t>
            </w:r>
          </w:p>
          <w:p w14:paraId="6C65C122" w14:textId="77777777" w:rsidR="00440295" w:rsidRPr="00204292" w:rsidRDefault="00440295" w:rsidP="00034511">
            <w:pPr>
              <w:pStyle w:val="affe"/>
              <w:tabs>
                <w:tab w:val="left" w:pos="739"/>
              </w:tabs>
              <w:ind w:left="739"/>
              <w:jc w:val="both"/>
              <w:rPr>
                <w:rFonts w:ascii="Tahoma" w:hAnsi="Tahoma" w:cs="Tahoma"/>
                <w:color w:val="000000"/>
                <w:sz w:val="18"/>
                <w:szCs w:val="18"/>
              </w:rPr>
            </w:pPr>
          </w:p>
          <w:p w14:paraId="16AF3422" w14:textId="77777777" w:rsidR="00440295" w:rsidRPr="00204292" w:rsidRDefault="00440295" w:rsidP="00034511">
            <w:pPr>
              <w:tabs>
                <w:tab w:val="left" w:pos="739"/>
              </w:tabs>
              <w:rPr>
                <w:rFonts w:ascii="Tahoma" w:hAnsi="Tahoma" w:cs="Tahoma"/>
                <w:b/>
                <w:color w:val="000000"/>
                <w:sz w:val="18"/>
                <w:szCs w:val="18"/>
              </w:rPr>
            </w:pPr>
            <w:r w:rsidRPr="00204292">
              <w:rPr>
                <w:rFonts w:ascii="Tahoma" w:hAnsi="Tahoma" w:cs="Tahoma"/>
                <w:b/>
                <w:color w:val="000000"/>
                <w:sz w:val="18"/>
                <w:szCs w:val="18"/>
              </w:rPr>
              <w:t>Заемщик применяет специальный налоговый режим - налог на профессиональный доход, совокупность следующих документов:</w:t>
            </w:r>
          </w:p>
          <w:p w14:paraId="5A6FBCB7" w14:textId="77777777" w:rsidR="00440295" w:rsidRPr="00204292" w:rsidRDefault="00440295" w:rsidP="00440295">
            <w:pPr>
              <w:pStyle w:val="affe"/>
              <w:numPr>
                <w:ilvl w:val="0"/>
                <w:numId w:val="27"/>
              </w:numPr>
              <w:tabs>
                <w:tab w:val="left" w:pos="739"/>
              </w:tabs>
              <w:contextualSpacing/>
              <w:jc w:val="both"/>
              <w:rPr>
                <w:rFonts w:ascii="Tahoma" w:hAnsi="Tahoma" w:cs="Tahoma"/>
                <w:color w:val="000000"/>
                <w:sz w:val="18"/>
                <w:szCs w:val="18"/>
              </w:rPr>
            </w:pPr>
            <w:r w:rsidRPr="00204292">
              <w:rPr>
                <w:rFonts w:ascii="Tahoma" w:hAnsi="Tahoma" w:cs="Tahoma"/>
                <w:color w:val="000000"/>
                <w:sz w:val="18"/>
                <w:szCs w:val="18"/>
              </w:rPr>
              <w:t>справка о постановке на учет (снятии с учета) ФЛ в качестве плательщика налога на профессиональный доход (КНД 1122035);</w:t>
            </w:r>
          </w:p>
          <w:p w14:paraId="0BA79372" w14:textId="77777777" w:rsidR="00440295" w:rsidRPr="00204292" w:rsidRDefault="00440295" w:rsidP="00440295">
            <w:pPr>
              <w:pStyle w:val="affe"/>
              <w:numPr>
                <w:ilvl w:val="0"/>
                <w:numId w:val="27"/>
              </w:numPr>
              <w:tabs>
                <w:tab w:val="left" w:pos="739"/>
              </w:tabs>
              <w:contextualSpacing/>
              <w:jc w:val="both"/>
              <w:rPr>
                <w:rFonts w:ascii="Tahoma" w:hAnsi="Tahoma" w:cs="Tahoma"/>
                <w:color w:val="000000"/>
                <w:sz w:val="18"/>
                <w:szCs w:val="18"/>
              </w:rPr>
            </w:pPr>
            <w:r w:rsidRPr="00204292">
              <w:rPr>
                <w:rFonts w:ascii="Tahoma" w:hAnsi="Tahoma" w:cs="Tahoma"/>
                <w:color w:val="000000"/>
                <w:sz w:val="18"/>
                <w:szCs w:val="18"/>
              </w:rPr>
              <w:t>справка о состоянии расчетов (доходах) по налогу на профессиональный доход (КНД 1122036).</w:t>
            </w:r>
          </w:p>
          <w:p w14:paraId="36D04386" w14:textId="77777777" w:rsidR="00440295" w:rsidRPr="00204292" w:rsidRDefault="00440295" w:rsidP="00034511">
            <w:pPr>
              <w:pStyle w:val="affe"/>
              <w:tabs>
                <w:tab w:val="left" w:pos="739"/>
              </w:tabs>
              <w:ind w:left="739"/>
              <w:jc w:val="both"/>
              <w:rPr>
                <w:rFonts w:ascii="Tahoma" w:hAnsi="Tahoma" w:cs="Tahoma"/>
                <w:color w:val="000000"/>
                <w:sz w:val="18"/>
                <w:szCs w:val="18"/>
              </w:rPr>
            </w:pPr>
          </w:p>
          <w:p w14:paraId="6EBB2D9D" w14:textId="77777777" w:rsidR="00440295" w:rsidRPr="00204292" w:rsidRDefault="00440295" w:rsidP="00034511">
            <w:pPr>
              <w:tabs>
                <w:tab w:val="left" w:pos="739"/>
              </w:tabs>
              <w:rPr>
                <w:rFonts w:ascii="Tahoma" w:hAnsi="Tahoma" w:cs="Tahoma"/>
                <w:b/>
                <w:color w:val="000000"/>
                <w:sz w:val="18"/>
                <w:szCs w:val="18"/>
              </w:rPr>
            </w:pPr>
            <w:r w:rsidRPr="00204292">
              <w:rPr>
                <w:rFonts w:ascii="Tahoma" w:hAnsi="Tahoma" w:cs="Tahoma"/>
                <w:b/>
                <w:color w:val="000000"/>
                <w:sz w:val="18"/>
                <w:szCs w:val="18"/>
              </w:rPr>
              <w:t>Доходы от нетрудовой деятельности:</w:t>
            </w:r>
          </w:p>
          <w:p w14:paraId="1DD1DA3F" w14:textId="77777777" w:rsidR="00440295" w:rsidRPr="00204292" w:rsidRDefault="00440295" w:rsidP="00440295">
            <w:pPr>
              <w:pStyle w:val="affe"/>
              <w:numPr>
                <w:ilvl w:val="0"/>
                <w:numId w:val="27"/>
              </w:numPr>
              <w:tabs>
                <w:tab w:val="left" w:pos="739"/>
              </w:tabs>
              <w:ind w:left="739" w:hanging="425"/>
              <w:contextualSpacing/>
              <w:jc w:val="both"/>
              <w:rPr>
                <w:rFonts w:ascii="Tahoma" w:hAnsi="Tahoma" w:cs="Tahoma"/>
                <w:color w:val="000000"/>
                <w:sz w:val="18"/>
                <w:szCs w:val="18"/>
              </w:rPr>
            </w:pPr>
            <w:r w:rsidRPr="00204292">
              <w:rPr>
                <w:rFonts w:ascii="Tahoma" w:hAnsi="Tahoma" w:cs="Tahoma"/>
                <w:sz w:val="18"/>
                <w:szCs w:val="18"/>
              </w:rPr>
              <w:t xml:space="preserve">выписка со счета, выданная кредитными организациями, на который осуществляются социальные выплаты, а также иные регулярные выплаты Клиенту (напр., доходы от сдачи внаем (в аренду) недвижимого имущества (при условии подтверждения права собственности (владения) этим имуществом), в т.ч. сформированная из мобильного/интернет банка, а также при предоставлении </w:t>
            </w:r>
            <w:r w:rsidRPr="00204292">
              <w:rPr>
                <w:rFonts w:ascii="Tahoma" w:hAnsi="Tahoma" w:cs="Tahoma"/>
                <w:color w:val="000000"/>
                <w:sz w:val="18"/>
                <w:szCs w:val="18"/>
              </w:rPr>
              <w:t>налоговой декларации по налогу на доходы физических лиц (форма 3-НДФЛ);</w:t>
            </w:r>
          </w:p>
          <w:p w14:paraId="16AE6041" w14:textId="77777777" w:rsidR="00440295" w:rsidRPr="00204292" w:rsidRDefault="00440295" w:rsidP="00440295">
            <w:pPr>
              <w:pStyle w:val="affe"/>
              <w:numPr>
                <w:ilvl w:val="0"/>
                <w:numId w:val="27"/>
              </w:numPr>
              <w:tabs>
                <w:tab w:val="left" w:pos="40"/>
                <w:tab w:val="left" w:pos="314"/>
              </w:tabs>
              <w:ind w:hanging="406"/>
              <w:contextualSpacing/>
              <w:jc w:val="both"/>
              <w:textAlignment w:val="baseline"/>
              <w:rPr>
                <w:rFonts w:ascii="Tahoma" w:hAnsi="Tahoma" w:cs="Tahoma"/>
                <w:sz w:val="18"/>
                <w:szCs w:val="18"/>
              </w:rPr>
            </w:pPr>
            <w:r w:rsidRPr="00204292">
              <w:rPr>
                <w:rFonts w:ascii="Tahoma" w:hAnsi="Tahoma" w:cs="Tahoma"/>
                <w:sz w:val="18"/>
                <w:szCs w:val="18"/>
              </w:rPr>
              <w:t xml:space="preserve">Справка о сумме ежемесячной денежной выплаты, ежемесячной денежной компенсации, ежемесячного дополнительного материального обеспечения, выданная государственным органом Заемщику/Созаемщику.  </w:t>
            </w:r>
            <w:r w:rsidRPr="00204292">
              <w:rPr>
                <w:rFonts w:ascii="Tahoma" w:hAnsi="Tahoma" w:cs="Tahoma"/>
                <w:color w:val="000000"/>
                <w:sz w:val="18"/>
                <w:szCs w:val="18"/>
              </w:rPr>
              <w:fldChar w:fldCharType="begin"/>
            </w:r>
            <w:r w:rsidRPr="00204292">
              <w:rPr>
                <w:rFonts w:ascii="Tahoma" w:hAnsi="Tahoma" w:cs="Tahoma"/>
                <w:color w:val="000000"/>
                <w:sz w:val="18"/>
                <w:szCs w:val="18"/>
              </w:rPr>
              <w:instrText xml:space="preserve"> DOCVARIABLE  ATB_ADDRESS_REG </w:instrText>
            </w:r>
            <w:r w:rsidRPr="00204292">
              <w:rPr>
                <w:rFonts w:ascii="Tahoma" w:hAnsi="Tahoma" w:cs="Tahoma"/>
                <w:color w:val="000000"/>
                <w:sz w:val="18"/>
                <w:szCs w:val="18"/>
              </w:rPr>
              <w:fldChar w:fldCharType="end"/>
            </w:r>
          </w:p>
        </w:tc>
      </w:tr>
      <w:tr w:rsidR="00440295" w:rsidRPr="00204292" w14:paraId="66774854" w14:textId="77777777" w:rsidTr="000345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0"/>
          <w:jc w:val="center"/>
        </w:trPr>
        <w:tc>
          <w:tcPr>
            <w:tcW w:w="1589" w:type="pct"/>
            <w:tcBorders>
              <w:top w:val="single" w:sz="4" w:space="0" w:color="auto"/>
              <w:left w:val="single" w:sz="8" w:space="0" w:color="auto"/>
              <w:bottom w:val="single" w:sz="4" w:space="0" w:color="auto"/>
              <w:right w:val="single" w:sz="4" w:space="0" w:color="auto"/>
            </w:tcBorders>
            <w:vAlign w:val="center"/>
          </w:tcPr>
          <w:p w14:paraId="772A9E75"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Способы предоставления потребительского кредита (с лимитом кредитования)</w:t>
            </w:r>
          </w:p>
        </w:tc>
        <w:tc>
          <w:tcPr>
            <w:tcW w:w="3411" w:type="pct"/>
            <w:tcBorders>
              <w:top w:val="single" w:sz="4" w:space="0" w:color="auto"/>
              <w:left w:val="nil"/>
              <w:bottom w:val="single" w:sz="4" w:space="0" w:color="auto"/>
              <w:right w:val="single" w:sz="8" w:space="0" w:color="000000"/>
            </w:tcBorders>
            <w:noWrap/>
            <w:vAlign w:val="center"/>
          </w:tcPr>
          <w:p w14:paraId="390DEE2F" w14:textId="77777777" w:rsidR="00440295" w:rsidRPr="00204292" w:rsidRDefault="00440295" w:rsidP="00034511">
            <w:pPr>
              <w:widowControl w:val="0"/>
              <w:tabs>
                <w:tab w:val="left" w:pos="426"/>
                <w:tab w:val="left" w:pos="851"/>
              </w:tabs>
              <w:rPr>
                <w:rFonts w:ascii="Tahoma" w:hAnsi="Tahoma" w:cs="Tahoma"/>
                <w:sz w:val="18"/>
                <w:szCs w:val="18"/>
              </w:rPr>
            </w:pPr>
            <w:r w:rsidRPr="00204292">
              <w:rPr>
                <w:rFonts w:ascii="Tahoma" w:hAnsi="Tahoma" w:cs="Tahoma"/>
                <w:sz w:val="18"/>
                <w:szCs w:val="18"/>
              </w:rPr>
              <w:t>Перевод денежных средств на СКС Заемщика, открытый в Банке для использования Заемщиком на цели использования Кредита, указанные в  настоящем документе.</w:t>
            </w:r>
          </w:p>
        </w:tc>
      </w:tr>
      <w:tr w:rsidR="00440295" w:rsidRPr="00204292" w14:paraId="6B2EA398" w14:textId="77777777" w:rsidTr="00034511">
        <w:tblPrEx>
          <w:tblLook w:val="00A0" w:firstRow="1" w:lastRow="0" w:firstColumn="1" w:lastColumn="0" w:noHBand="0" w:noVBand="0"/>
        </w:tblPrEx>
        <w:trPr>
          <w:trHeight w:val="517"/>
          <w:jc w:val="center"/>
        </w:trPr>
        <w:tc>
          <w:tcPr>
            <w:tcW w:w="1589" w:type="pct"/>
            <w:tcBorders>
              <w:top w:val="single" w:sz="4" w:space="0" w:color="auto"/>
              <w:left w:val="single" w:sz="8" w:space="0" w:color="auto"/>
              <w:bottom w:val="single" w:sz="4" w:space="0" w:color="auto"/>
              <w:right w:val="single" w:sz="4" w:space="0" w:color="auto"/>
            </w:tcBorders>
            <w:vAlign w:val="center"/>
          </w:tcPr>
          <w:p w14:paraId="091EB4C2"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 xml:space="preserve">Виды и суммы иных платежей Заемщика по Договору </w:t>
            </w:r>
          </w:p>
        </w:tc>
        <w:tc>
          <w:tcPr>
            <w:tcW w:w="3411" w:type="pct"/>
            <w:tcBorders>
              <w:top w:val="single" w:sz="4" w:space="0" w:color="auto"/>
              <w:left w:val="nil"/>
              <w:bottom w:val="single" w:sz="4" w:space="0" w:color="auto"/>
              <w:right w:val="single" w:sz="8" w:space="0" w:color="000000"/>
            </w:tcBorders>
            <w:noWrap/>
            <w:vAlign w:val="center"/>
          </w:tcPr>
          <w:p w14:paraId="7A091BB6" w14:textId="77777777" w:rsidR="00440295" w:rsidRPr="00204292" w:rsidRDefault="00440295" w:rsidP="00034511">
            <w:pPr>
              <w:widowControl w:val="0"/>
              <w:tabs>
                <w:tab w:val="left" w:pos="426"/>
                <w:tab w:val="left" w:pos="851"/>
              </w:tabs>
              <w:rPr>
                <w:rFonts w:ascii="Tahoma" w:hAnsi="Tahoma" w:cs="Tahoma"/>
                <w:sz w:val="18"/>
                <w:szCs w:val="18"/>
              </w:rPr>
            </w:pPr>
            <w:r w:rsidRPr="00204292">
              <w:rPr>
                <w:rFonts w:ascii="Tahoma" w:hAnsi="Tahoma" w:cs="Tahoma"/>
                <w:sz w:val="18"/>
                <w:szCs w:val="18"/>
              </w:rPr>
              <w:t xml:space="preserve">Иные обязательные платежи по Договору отсутствуют. </w:t>
            </w:r>
          </w:p>
          <w:p w14:paraId="4A791FE2" w14:textId="77777777" w:rsidR="00440295" w:rsidRPr="00204292" w:rsidRDefault="00440295" w:rsidP="00034511">
            <w:pPr>
              <w:widowControl w:val="0"/>
              <w:tabs>
                <w:tab w:val="left" w:pos="426"/>
                <w:tab w:val="left" w:pos="851"/>
              </w:tabs>
              <w:rPr>
                <w:rFonts w:ascii="Tahoma" w:hAnsi="Tahoma" w:cs="Tahoma"/>
                <w:sz w:val="18"/>
                <w:szCs w:val="18"/>
              </w:rPr>
            </w:pPr>
          </w:p>
          <w:p w14:paraId="23C90A3A" w14:textId="77777777" w:rsidR="00440295" w:rsidRPr="00204292" w:rsidRDefault="00440295" w:rsidP="00034511">
            <w:pPr>
              <w:widowControl w:val="0"/>
              <w:tabs>
                <w:tab w:val="left" w:pos="426"/>
                <w:tab w:val="left" w:pos="851"/>
              </w:tabs>
              <w:rPr>
                <w:rFonts w:ascii="Tahoma" w:hAnsi="Tahoma" w:cs="Tahoma"/>
                <w:sz w:val="18"/>
                <w:szCs w:val="18"/>
              </w:rPr>
            </w:pPr>
            <w:r w:rsidRPr="00204292">
              <w:rPr>
                <w:rFonts w:ascii="Tahoma" w:hAnsi="Tahoma" w:cs="Tahoma"/>
                <w:sz w:val="18"/>
                <w:szCs w:val="18"/>
              </w:rPr>
              <w:t xml:space="preserve">При наличии соответствующего волеизъявления Заемщика ему могут быть оказаны Банком услуги, не являющиеся обязательными для заключения или исполнения Договора, плата за которые предусмотрена Тарифами Банка </w:t>
            </w:r>
          </w:p>
          <w:p w14:paraId="729A26D6" w14:textId="77777777" w:rsidR="00440295" w:rsidRPr="00204292" w:rsidRDefault="00440295" w:rsidP="00034511">
            <w:pPr>
              <w:widowControl w:val="0"/>
              <w:tabs>
                <w:tab w:val="left" w:pos="426"/>
                <w:tab w:val="left" w:pos="851"/>
              </w:tabs>
              <w:rPr>
                <w:rFonts w:ascii="Tahoma" w:hAnsi="Tahoma" w:cs="Tahoma"/>
                <w:sz w:val="18"/>
                <w:szCs w:val="18"/>
              </w:rPr>
            </w:pPr>
            <w:r w:rsidRPr="00204292">
              <w:rPr>
                <w:rFonts w:ascii="Tahoma" w:hAnsi="Tahoma" w:cs="Tahoma"/>
                <w:sz w:val="18"/>
                <w:szCs w:val="18"/>
              </w:rPr>
              <w:t xml:space="preserve">( </w:t>
            </w:r>
            <w:hyperlink r:id="rId95" w:history="1">
              <w:r w:rsidRPr="00204292">
                <w:rPr>
                  <w:rStyle w:val="aff"/>
                  <w:rFonts w:ascii="Tahoma" w:hAnsi="Tahoma" w:cs="Tahoma"/>
                  <w:sz w:val="18"/>
                  <w:szCs w:val="18"/>
                </w:rPr>
                <w:t>https://www.atb.su/general-information/tariff-book/</w:t>
              </w:r>
            </w:hyperlink>
            <w:r w:rsidRPr="00204292">
              <w:rPr>
                <w:rFonts w:ascii="Tahoma" w:hAnsi="Tahoma" w:cs="Tahoma"/>
                <w:sz w:val="18"/>
                <w:szCs w:val="18"/>
              </w:rPr>
              <w:t xml:space="preserve"> ). Оказание услуги Банком производится в случае выражения Заемщиком волеизъявления на пользование определенной услугой. Оплата услуг должна быть произведена до момента оказания Банком услуг.</w:t>
            </w:r>
          </w:p>
          <w:p w14:paraId="1ED0E2CB" w14:textId="77777777" w:rsidR="00440295" w:rsidRPr="00204292" w:rsidRDefault="00440295" w:rsidP="00034511">
            <w:pPr>
              <w:widowControl w:val="0"/>
              <w:tabs>
                <w:tab w:val="left" w:pos="426"/>
                <w:tab w:val="left" w:pos="851"/>
              </w:tabs>
              <w:rPr>
                <w:rFonts w:ascii="Tahoma" w:hAnsi="Tahoma" w:cs="Tahoma"/>
                <w:sz w:val="18"/>
                <w:szCs w:val="18"/>
              </w:rPr>
            </w:pPr>
          </w:p>
          <w:p w14:paraId="4E9953BF" w14:textId="77777777" w:rsidR="00440295" w:rsidRPr="00204292" w:rsidRDefault="00440295" w:rsidP="00034511">
            <w:pPr>
              <w:widowControl w:val="0"/>
              <w:tabs>
                <w:tab w:val="left" w:pos="426"/>
                <w:tab w:val="left" w:pos="851"/>
              </w:tabs>
              <w:rPr>
                <w:rFonts w:ascii="Tahoma" w:hAnsi="Tahoma" w:cs="Tahoma"/>
                <w:sz w:val="18"/>
                <w:szCs w:val="18"/>
              </w:rPr>
            </w:pPr>
            <w:r w:rsidRPr="00204292">
              <w:rPr>
                <w:rFonts w:ascii="Tahoma" w:hAnsi="Tahoma" w:cs="Tahoma"/>
                <w:sz w:val="18"/>
                <w:szCs w:val="18"/>
              </w:rPr>
              <w:t>Платеж за выдачу дубликата или восстановление утерянного Договора, договоров обеспечения в размере 10 000 рублей за один Договор.</w:t>
            </w:r>
          </w:p>
        </w:tc>
      </w:tr>
      <w:tr w:rsidR="00440295" w:rsidRPr="00204292" w14:paraId="222C3F75" w14:textId="77777777" w:rsidTr="000345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301"/>
          <w:jc w:val="center"/>
        </w:trPr>
        <w:tc>
          <w:tcPr>
            <w:tcW w:w="1589" w:type="pct"/>
            <w:tcBorders>
              <w:top w:val="single" w:sz="4" w:space="0" w:color="auto"/>
              <w:left w:val="single" w:sz="8" w:space="0" w:color="auto"/>
              <w:bottom w:val="single" w:sz="4" w:space="0" w:color="auto"/>
              <w:right w:val="single" w:sz="4" w:space="0" w:color="auto"/>
            </w:tcBorders>
            <w:vAlign w:val="center"/>
          </w:tcPr>
          <w:p w14:paraId="7746FCEB"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 xml:space="preserve">Способы обеспечения исполнения обязательств по Договору </w:t>
            </w:r>
          </w:p>
        </w:tc>
        <w:tc>
          <w:tcPr>
            <w:tcW w:w="3411" w:type="pct"/>
            <w:tcBorders>
              <w:top w:val="single" w:sz="4" w:space="0" w:color="auto"/>
              <w:left w:val="nil"/>
              <w:bottom w:val="single" w:sz="4" w:space="0" w:color="auto"/>
              <w:right w:val="single" w:sz="8" w:space="0" w:color="000000"/>
            </w:tcBorders>
            <w:noWrap/>
            <w:vAlign w:val="center"/>
          </w:tcPr>
          <w:p w14:paraId="7961C991" w14:textId="77777777" w:rsidR="00440295" w:rsidRPr="00204292" w:rsidRDefault="00440295" w:rsidP="00034511">
            <w:pPr>
              <w:widowControl w:val="0"/>
              <w:tabs>
                <w:tab w:val="left" w:pos="426"/>
                <w:tab w:val="left" w:pos="851"/>
              </w:tabs>
              <w:rPr>
                <w:rFonts w:ascii="Tahoma" w:hAnsi="Tahoma" w:cs="Tahoma"/>
                <w:sz w:val="18"/>
                <w:szCs w:val="18"/>
              </w:rPr>
            </w:pPr>
            <w:r w:rsidRPr="00204292">
              <w:rPr>
                <w:rFonts w:ascii="Tahoma" w:hAnsi="Tahoma" w:cs="Tahoma"/>
                <w:sz w:val="18"/>
                <w:szCs w:val="18"/>
              </w:rPr>
              <w:t xml:space="preserve">Неустойка (штраф, пеня). В случае нарушения обязательств по Договору с Заемщика может быть взыскана неустойка в суммах и порядке, определенных Сторонами в соответствии с законодательством РФ и Индивидуальными условиями Договора. По требованию Банка может быть запрошено обеспечение, а именно: залог, поручительство. </w:t>
            </w:r>
          </w:p>
          <w:p w14:paraId="377EA5CE" w14:textId="77777777" w:rsidR="00440295" w:rsidRPr="00204292" w:rsidRDefault="00440295" w:rsidP="00034511">
            <w:pPr>
              <w:widowControl w:val="0"/>
              <w:tabs>
                <w:tab w:val="left" w:pos="426"/>
                <w:tab w:val="left" w:pos="851"/>
              </w:tabs>
              <w:rPr>
                <w:rFonts w:ascii="Tahoma" w:hAnsi="Tahoma" w:cs="Tahoma"/>
                <w:sz w:val="18"/>
                <w:szCs w:val="18"/>
              </w:rPr>
            </w:pPr>
            <w:r w:rsidRPr="00204292">
              <w:rPr>
                <w:rFonts w:ascii="Tahoma" w:hAnsi="Tahoma" w:cs="Tahoma"/>
                <w:sz w:val="18"/>
                <w:szCs w:val="18"/>
              </w:rPr>
              <w:t>Если при расчете платежеспособности участвуют доходы супруга(и) Заёмщика, без которых Заемщик самостоятельно не проходит по платежеспособности (по оценке Банка), то Банком может быть запрошено оформление данного супруга(и) Заёмщика в качестве созаемщика (второго Заемщика) /поручителя.</w:t>
            </w:r>
          </w:p>
          <w:p w14:paraId="10AB997E" w14:textId="77777777" w:rsidR="00440295" w:rsidRPr="00204292" w:rsidRDefault="00440295" w:rsidP="00034511">
            <w:pPr>
              <w:rPr>
                <w:rFonts w:ascii="Tahoma" w:hAnsi="Tahoma" w:cs="Tahoma"/>
                <w:sz w:val="18"/>
                <w:szCs w:val="18"/>
              </w:rPr>
            </w:pPr>
            <w:r w:rsidRPr="00204292">
              <w:rPr>
                <w:rFonts w:ascii="Tahoma" w:hAnsi="Tahoma" w:cs="Tahoma"/>
                <w:sz w:val="18"/>
                <w:szCs w:val="18"/>
              </w:rPr>
              <w:t xml:space="preserve">Требования к транспортному средству, предоставляемому в залог Банку: автотранспортное или мототранспортное средство отечественного или иностранного производства датой выпуска не ранее 01.01.2000 года; не является предметом залога по другому договору, свободно от долгов, не сдано в аренду, не продано, в споре, розыске или под арестом не состоит, а также свободно от иных обременений и прав на него третьих лиц; поставлено на государственный регистрационный учете; собственником является Заемщик или третье лицо. Договором может быть предусмотрено </w:t>
            </w:r>
            <w:r w:rsidRPr="00204292">
              <w:rPr>
                <w:rFonts w:ascii="Tahoma" w:hAnsi="Tahoma" w:cs="Tahoma"/>
                <w:color w:val="000000"/>
                <w:sz w:val="18"/>
                <w:szCs w:val="18"/>
              </w:rPr>
              <w:t xml:space="preserve">(при согласии Банка) </w:t>
            </w:r>
            <w:r w:rsidRPr="00204292">
              <w:rPr>
                <w:rFonts w:ascii="Tahoma" w:hAnsi="Tahoma" w:cs="Tahoma"/>
                <w:sz w:val="18"/>
                <w:szCs w:val="18"/>
              </w:rPr>
              <w:t>предоставление залога в последующем (в течение 6 месяцев с даты заключения Договора).</w:t>
            </w:r>
          </w:p>
        </w:tc>
      </w:tr>
      <w:tr w:rsidR="00440295" w:rsidRPr="00204292" w14:paraId="7A28B83B" w14:textId="77777777" w:rsidTr="000345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016"/>
          <w:jc w:val="center"/>
        </w:trPr>
        <w:tc>
          <w:tcPr>
            <w:tcW w:w="1589" w:type="pct"/>
            <w:tcBorders>
              <w:top w:val="single" w:sz="4" w:space="0" w:color="auto"/>
              <w:left w:val="single" w:sz="8" w:space="0" w:color="auto"/>
              <w:bottom w:val="single" w:sz="4" w:space="0" w:color="auto"/>
              <w:right w:val="single" w:sz="4" w:space="0" w:color="auto"/>
            </w:tcBorders>
            <w:vAlign w:val="center"/>
          </w:tcPr>
          <w:p w14:paraId="168B2653"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Периодичность платежей Заемщика при возврате потребительского кредита (с лимитом кредитования), уплате процентов и иных платежей по Кредиту</w:t>
            </w:r>
          </w:p>
        </w:tc>
        <w:tc>
          <w:tcPr>
            <w:tcW w:w="3411" w:type="pct"/>
            <w:tcBorders>
              <w:top w:val="single" w:sz="4" w:space="0" w:color="auto"/>
              <w:left w:val="nil"/>
              <w:bottom w:val="single" w:sz="4" w:space="0" w:color="auto"/>
              <w:right w:val="single" w:sz="8" w:space="0" w:color="000000"/>
            </w:tcBorders>
            <w:noWrap/>
            <w:vAlign w:val="center"/>
          </w:tcPr>
          <w:p w14:paraId="734A082E" w14:textId="77777777" w:rsidR="00440295" w:rsidRPr="00204292" w:rsidRDefault="00440295" w:rsidP="00034511">
            <w:pPr>
              <w:widowControl w:val="0"/>
              <w:tabs>
                <w:tab w:val="left" w:pos="426"/>
                <w:tab w:val="left" w:pos="851"/>
              </w:tabs>
              <w:rPr>
                <w:rFonts w:ascii="Tahoma" w:hAnsi="Tahoma" w:cs="Tahoma"/>
                <w:sz w:val="18"/>
                <w:szCs w:val="18"/>
              </w:rPr>
            </w:pPr>
            <w:r w:rsidRPr="00204292">
              <w:rPr>
                <w:rFonts w:ascii="Tahoma" w:hAnsi="Tahoma" w:cs="Tahoma"/>
                <w:sz w:val="18"/>
                <w:szCs w:val="18"/>
              </w:rPr>
              <w:t>Платежи осуществляются Заемщиком ежемесячно согласно ОМЕП, согласованному Заемщиком и Банком в Индивидуальных условиях Договора.</w:t>
            </w:r>
          </w:p>
        </w:tc>
      </w:tr>
      <w:tr w:rsidR="00440295" w:rsidRPr="00204292" w14:paraId="185C46C7" w14:textId="77777777" w:rsidTr="000345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01"/>
          <w:jc w:val="center"/>
        </w:trPr>
        <w:tc>
          <w:tcPr>
            <w:tcW w:w="1589" w:type="pct"/>
            <w:tcBorders>
              <w:top w:val="single" w:sz="4" w:space="0" w:color="auto"/>
              <w:left w:val="single" w:sz="8" w:space="0" w:color="auto"/>
              <w:bottom w:val="single" w:sz="4" w:space="0" w:color="auto"/>
              <w:right w:val="single" w:sz="4" w:space="0" w:color="000000"/>
            </w:tcBorders>
            <w:shd w:val="clear" w:color="auto" w:fill="auto"/>
            <w:vAlign w:val="center"/>
          </w:tcPr>
          <w:p w14:paraId="0730A274"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 xml:space="preserve">Способы возврата  Заемщиком потребительского кредита (с лимитом кредитования) и уплаты процентов по нему, включая бесплатный способ исполнения Заемщиком обязательств по Договору </w:t>
            </w:r>
          </w:p>
        </w:tc>
        <w:tc>
          <w:tcPr>
            <w:tcW w:w="3411" w:type="pct"/>
            <w:tcBorders>
              <w:top w:val="single" w:sz="4" w:space="0" w:color="auto"/>
              <w:left w:val="nil"/>
              <w:bottom w:val="single" w:sz="4" w:space="0" w:color="auto"/>
              <w:right w:val="single" w:sz="8" w:space="0" w:color="000000"/>
            </w:tcBorders>
            <w:shd w:val="clear" w:color="auto" w:fill="auto"/>
            <w:vAlign w:val="center"/>
          </w:tcPr>
          <w:p w14:paraId="6FD4E8B8" w14:textId="77777777" w:rsidR="00440295" w:rsidRPr="00204292" w:rsidRDefault="00440295" w:rsidP="00034511">
            <w:pPr>
              <w:rPr>
                <w:rFonts w:ascii="Tahoma" w:hAnsi="Tahoma" w:cs="Tahoma"/>
                <w:sz w:val="18"/>
                <w:szCs w:val="18"/>
              </w:rPr>
            </w:pPr>
            <w:r w:rsidRPr="00204292">
              <w:rPr>
                <w:rFonts w:ascii="Tahoma" w:hAnsi="Tahoma" w:cs="Tahoma"/>
                <w:sz w:val="18"/>
                <w:szCs w:val="18"/>
              </w:rPr>
              <w:t>Погашение Заемщиком обязательств по Договору осуществляется в сумме и сроки, предусмотренные Договором (в т.ч. при досрочном частичном или полном возврате Кредита) производится любым способом по выбору Заемщика, в том числе: посредством внесения денежных средств в сумме обязательства на СКС Заемщика через терминалы самообслуживания Банка (при их наличии в населенном пункте по месту получения Заемщиком оферты); кассы Банка, перевод через работодателя Заемщика, перевод со счёта в Банке на СКС Заемщика, перевод через отделения АО «Почта России», перевод через мобильный банк/ интернет-банк, иные кредитные организации (по предусмотренным ими тарифам). Могут использоваться иные способы, не противоречащие законодательству РФ.</w:t>
            </w:r>
          </w:p>
          <w:p w14:paraId="55F0DDF8" w14:textId="77777777" w:rsidR="00440295" w:rsidRPr="00204292" w:rsidRDefault="00440295" w:rsidP="00034511">
            <w:pPr>
              <w:rPr>
                <w:rFonts w:ascii="Tahoma" w:hAnsi="Tahoma" w:cs="Tahoma"/>
                <w:sz w:val="18"/>
                <w:szCs w:val="18"/>
              </w:rPr>
            </w:pPr>
            <w:r w:rsidRPr="00204292">
              <w:rPr>
                <w:rFonts w:ascii="Tahoma" w:hAnsi="Tahoma" w:cs="Tahoma"/>
                <w:sz w:val="18"/>
                <w:szCs w:val="18"/>
              </w:rPr>
              <w:t xml:space="preserve">Обязательства по погашению Заемщиком Кредитной задолженности по Договору считаются Заемщиком исполненными в полном объеме после поступления денежных средств на СКС Заемщика (списания Банком в свою пользу с СКС Заемщика денежных средств).  </w:t>
            </w:r>
          </w:p>
          <w:p w14:paraId="14804824" w14:textId="77777777" w:rsidR="00440295" w:rsidRPr="00204292" w:rsidRDefault="00440295" w:rsidP="00034511">
            <w:pPr>
              <w:widowControl w:val="0"/>
              <w:tabs>
                <w:tab w:val="left" w:pos="426"/>
                <w:tab w:val="left" w:pos="851"/>
              </w:tabs>
              <w:rPr>
                <w:rFonts w:ascii="Tahoma" w:hAnsi="Tahoma" w:cs="Tahoma"/>
                <w:sz w:val="18"/>
                <w:szCs w:val="18"/>
              </w:rPr>
            </w:pPr>
            <w:r w:rsidRPr="00204292">
              <w:rPr>
                <w:rFonts w:ascii="Tahoma" w:hAnsi="Tahoma" w:cs="Tahoma"/>
                <w:sz w:val="18"/>
                <w:szCs w:val="18"/>
              </w:rPr>
              <w:t>Заемщик вносит на СКС денежные средства любыми из перечисленных выше способов, при этом он обязан учесть время, затрачиваемое на безналичное перечисление денежных средств, выходные и праздничные дни. Если установленный Договором последний день срока платежа отсутствует в календарном месяце, Заемщик обязан внести денежные средства на СКС не позднее последнего календарного рабочего дня месяца; если последний день срока платежа приходится на выходные/нерабочие праздничные дни, Заемщик обязан внести денежные средства на СКС не позднее 1-го рабочего дня, следующего за выходным/нерабочим праздничным днем. Указанная обязанность должна быть исполнена Заемщиком в операционный день Банка.</w:t>
            </w:r>
            <w:r w:rsidRPr="00204292">
              <w:rPr>
                <w:rFonts w:ascii="Tahoma" w:hAnsi="Tahoma" w:cs="Tahoma"/>
                <w:sz w:val="18"/>
                <w:szCs w:val="18"/>
              </w:rPr>
              <w:fldChar w:fldCharType="begin"/>
            </w:r>
            <w:r w:rsidRPr="00204292">
              <w:rPr>
                <w:rFonts w:ascii="Tahoma" w:hAnsi="Tahoma" w:cs="Tahoma"/>
                <w:sz w:val="18"/>
                <w:szCs w:val="18"/>
              </w:rPr>
              <w:instrText xml:space="preserve"> DOCVARIABLE  DOC_C </w:instrText>
            </w:r>
            <w:r w:rsidRPr="00204292">
              <w:rPr>
                <w:rFonts w:ascii="Tahoma" w:hAnsi="Tahoma" w:cs="Tahoma"/>
                <w:sz w:val="18"/>
                <w:szCs w:val="18"/>
              </w:rPr>
              <w:fldChar w:fldCharType="end"/>
            </w:r>
          </w:p>
        </w:tc>
      </w:tr>
      <w:tr w:rsidR="00440295" w:rsidRPr="00204292" w14:paraId="51316F34" w14:textId="77777777" w:rsidTr="000345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01"/>
          <w:jc w:val="center"/>
        </w:trPr>
        <w:tc>
          <w:tcPr>
            <w:tcW w:w="1589" w:type="pct"/>
            <w:tcBorders>
              <w:top w:val="single" w:sz="4" w:space="0" w:color="auto"/>
              <w:left w:val="single" w:sz="8" w:space="0" w:color="auto"/>
              <w:bottom w:val="single" w:sz="4" w:space="0" w:color="auto"/>
              <w:right w:val="single" w:sz="4" w:space="0" w:color="000000"/>
            </w:tcBorders>
            <w:shd w:val="clear" w:color="auto" w:fill="auto"/>
            <w:vAlign w:val="center"/>
          </w:tcPr>
          <w:p w14:paraId="2713EE87"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Бесплатный способ исполнения Заемщиком обязательств по Договору</w:t>
            </w:r>
          </w:p>
        </w:tc>
        <w:tc>
          <w:tcPr>
            <w:tcW w:w="3411" w:type="pct"/>
            <w:tcBorders>
              <w:top w:val="single" w:sz="4" w:space="0" w:color="auto"/>
              <w:left w:val="nil"/>
              <w:bottom w:val="single" w:sz="4" w:space="0" w:color="auto"/>
              <w:right w:val="single" w:sz="8" w:space="0" w:color="000000"/>
            </w:tcBorders>
            <w:shd w:val="clear" w:color="auto" w:fill="auto"/>
            <w:vAlign w:val="center"/>
          </w:tcPr>
          <w:p w14:paraId="42B2674B" w14:textId="77777777" w:rsidR="00440295" w:rsidRPr="00204292" w:rsidRDefault="00440295" w:rsidP="00034511">
            <w:pPr>
              <w:rPr>
                <w:rFonts w:ascii="Tahoma" w:hAnsi="Tahoma" w:cs="Tahoma"/>
                <w:sz w:val="18"/>
                <w:szCs w:val="18"/>
              </w:rPr>
            </w:pPr>
            <w:r w:rsidRPr="00204292">
              <w:rPr>
                <w:rFonts w:ascii="Tahoma" w:hAnsi="Tahoma" w:cs="Tahoma"/>
                <w:sz w:val="18"/>
                <w:szCs w:val="18"/>
              </w:rPr>
              <w:t>Внесение денежных средств на СКС через терминалы самообслуживания Банка, перевод через работодателя Заемщика, перевод со счёта в Банке на СКС Заемщика.</w:t>
            </w:r>
          </w:p>
        </w:tc>
      </w:tr>
      <w:tr w:rsidR="00440295" w:rsidRPr="00204292" w14:paraId="0E4A18D8" w14:textId="77777777" w:rsidTr="000345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2031"/>
          <w:jc w:val="center"/>
        </w:trPr>
        <w:tc>
          <w:tcPr>
            <w:tcW w:w="1589" w:type="pct"/>
            <w:tcBorders>
              <w:top w:val="single" w:sz="4" w:space="0" w:color="auto"/>
              <w:left w:val="single" w:sz="8" w:space="0" w:color="auto"/>
              <w:bottom w:val="single" w:sz="4" w:space="0" w:color="auto"/>
              <w:right w:val="single" w:sz="4" w:space="0" w:color="000000"/>
            </w:tcBorders>
          </w:tcPr>
          <w:p w14:paraId="7083F840"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Порядок изменения количества, размера и периодичности (сроков) платежей Заемщика при частичном досрочном возврате Кредита</w:t>
            </w:r>
          </w:p>
        </w:tc>
        <w:tc>
          <w:tcPr>
            <w:tcW w:w="3411" w:type="pct"/>
            <w:tcBorders>
              <w:top w:val="single" w:sz="4" w:space="0" w:color="auto"/>
              <w:left w:val="nil"/>
              <w:bottom w:val="single" w:sz="4" w:space="0" w:color="auto"/>
              <w:right w:val="single" w:sz="8" w:space="0" w:color="000000"/>
            </w:tcBorders>
          </w:tcPr>
          <w:p w14:paraId="11D7B1B4" w14:textId="77777777" w:rsidR="00440295" w:rsidRPr="00204292" w:rsidRDefault="00440295" w:rsidP="00034511">
            <w:pPr>
              <w:ind w:right="218"/>
              <w:rPr>
                <w:rFonts w:ascii="Tahoma" w:hAnsi="Tahoma" w:cs="Tahoma"/>
                <w:sz w:val="18"/>
                <w:szCs w:val="18"/>
              </w:rPr>
            </w:pPr>
            <w:r w:rsidRPr="00204292">
              <w:rPr>
                <w:rFonts w:ascii="Tahoma" w:hAnsi="Tahoma" w:cs="Tahoma"/>
                <w:sz w:val="18"/>
                <w:szCs w:val="18"/>
              </w:rPr>
              <w:t xml:space="preserve">В случае внесения Заемщиком на СКС денежных средств в размере, превышающем размер ОМЕП, сумма, превышающая размер ОМЕП по Договору, списывается в качестве досрочного возврата Кредита при условии, что у Заемщика отсутствует Просроченная кредитная задолженность по Договору. </w:t>
            </w:r>
          </w:p>
          <w:p w14:paraId="1AC90303" w14:textId="77777777" w:rsidR="00440295" w:rsidRPr="00204292" w:rsidRDefault="00440295" w:rsidP="00034511">
            <w:pPr>
              <w:ind w:right="218"/>
              <w:rPr>
                <w:rFonts w:ascii="Tahoma" w:hAnsi="Tahoma" w:cs="Tahoma"/>
                <w:sz w:val="18"/>
                <w:szCs w:val="18"/>
              </w:rPr>
            </w:pPr>
            <w:r w:rsidRPr="00204292">
              <w:rPr>
                <w:rFonts w:ascii="Tahoma" w:hAnsi="Tahoma" w:cs="Tahoma"/>
                <w:sz w:val="18"/>
                <w:szCs w:val="18"/>
              </w:rPr>
              <w:t xml:space="preserve">Если в течение срока действия Договора Заемщиком будут даны распоряжения Банку, обязывающие произвести с СКС иные платежи, то Банк осуществляет списание (перевод) денежных средств в соответствии с такими распоряжениями после списания с СКС ОМЕП, денежных средств с учетом ограничений законодательства РФ, а при наличии остатка после списаний, указанных в настоящем предложении денежных средств, такой остаток списывается в качестве досрочного возврата Кредита. </w:t>
            </w:r>
          </w:p>
          <w:p w14:paraId="2C853B8B" w14:textId="77777777" w:rsidR="00440295" w:rsidRPr="00204292" w:rsidRDefault="00440295" w:rsidP="00034511">
            <w:pPr>
              <w:rPr>
                <w:rFonts w:ascii="Tahoma" w:hAnsi="Tahoma" w:cs="Tahoma"/>
                <w:sz w:val="18"/>
                <w:szCs w:val="18"/>
              </w:rPr>
            </w:pPr>
            <w:r w:rsidRPr="00204292">
              <w:rPr>
                <w:rFonts w:ascii="Tahoma" w:hAnsi="Tahoma" w:cs="Tahoma"/>
                <w:sz w:val="18"/>
                <w:szCs w:val="18"/>
              </w:rPr>
              <w:t>При частичном досрочном возврате Кредита количество, размер и периодичность платежей Заемщика по Кредиту не меняются, при этом досрочный возврат Кредита осуществляется в порядке и на условиях, указанных в настоящем пункте.</w:t>
            </w:r>
          </w:p>
        </w:tc>
      </w:tr>
      <w:tr w:rsidR="00440295" w:rsidRPr="00204292" w14:paraId="748A321C" w14:textId="77777777" w:rsidTr="000345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275"/>
          <w:jc w:val="center"/>
        </w:trPr>
        <w:tc>
          <w:tcPr>
            <w:tcW w:w="1589" w:type="pct"/>
            <w:tcBorders>
              <w:top w:val="single" w:sz="4" w:space="0" w:color="auto"/>
              <w:left w:val="single" w:sz="8" w:space="0" w:color="auto"/>
              <w:bottom w:val="single" w:sz="4" w:space="0" w:color="auto"/>
              <w:right w:val="single" w:sz="4" w:space="0" w:color="000000"/>
            </w:tcBorders>
            <w:vAlign w:val="center"/>
          </w:tcPr>
          <w:p w14:paraId="4BA7C5AC"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Срок, в течение которого Заемщик вправе отказаться от получения потребительского кредита (с лимитом кредитования)</w:t>
            </w:r>
          </w:p>
        </w:tc>
        <w:tc>
          <w:tcPr>
            <w:tcW w:w="3411" w:type="pct"/>
            <w:tcBorders>
              <w:top w:val="single" w:sz="4" w:space="0" w:color="auto"/>
              <w:left w:val="nil"/>
              <w:bottom w:val="single" w:sz="4" w:space="0" w:color="auto"/>
              <w:right w:val="single" w:sz="8" w:space="0" w:color="000000"/>
            </w:tcBorders>
            <w:vAlign w:val="center"/>
          </w:tcPr>
          <w:p w14:paraId="7E5741F4" w14:textId="77777777" w:rsidR="00440295" w:rsidRPr="00204292" w:rsidRDefault="00440295" w:rsidP="00034511">
            <w:pPr>
              <w:rPr>
                <w:rFonts w:ascii="Tahoma" w:hAnsi="Tahoma" w:cs="Tahoma"/>
                <w:sz w:val="18"/>
                <w:szCs w:val="18"/>
              </w:rPr>
            </w:pPr>
            <w:r w:rsidRPr="00204292">
              <w:rPr>
                <w:rFonts w:ascii="Tahoma" w:hAnsi="Tahoma" w:cs="Tahoma"/>
                <w:sz w:val="18"/>
                <w:szCs w:val="18"/>
              </w:rPr>
              <w:t>Заемщик вправе отказаться от получения потребительского кредита (с Лимитом кредитования) (установления Лимита кредитования) полностью или частично, уведомив об этом Кредитора до истечения установленного Договором срока его предоставления. Если Заемщик желает отказаться от установленного Лимита кредитования, он может сделать это в любой срок, в случае отсутствия задолженности по Лимиту кредитования, письменно уведомив Банк о закрытии Лимита кредитования.</w:t>
            </w:r>
          </w:p>
        </w:tc>
      </w:tr>
      <w:tr w:rsidR="00440295" w:rsidRPr="00204292" w14:paraId="3554F2B7" w14:textId="77777777" w:rsidTr="000345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110"/>
          <w:jc w:val="center"/>
        </w:trPr>
        <w:tc>
          <w:tcPr>
            <w:tcW w:w="1589" w:type="pct"/>
            <w:tcBorders>
              <w:top w:val="single" w:sz="4" w:space="0" w:color="auto"/>
              <w:left w:val="single" w:sz="8" w:space="0" w:color="auto"/>
              <w:bottom w:val="single" w:sz="4" w:space="0" w:color="auto"/>
              <w:right w:val="single" w:sz="4" w:space="0" w:color="000000"/>
            </w:tcBorders>
            <w:vAlign w:val="center"/>
          </w:tcPr>
          <w:p w14:paraId="74B161C4"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Ответственность Заемщика за ненадлежащее исполнение условий Договора, размер неустойки (штрафа, пени), порядок её расчета, а также информация о том, в  каких случаях данные санкции могут быть применены</w:t>
            </w:r>
          </w:p>
        </w:tc>
        <w:tc>
          <w:tcPr>
            <w:tcW w:w="3411" w:type="pct"/>
            <w:tcBorders>
              <w:top w:val="single" w:sz="4" w:space="0" w:color="auto"/>
              <w:left w:val="nil"/>
              <w:bottom w:val="single" w:sz="4" w:space="0" w:color="auto"/>
              <w:right w:val="single" w:sz="8" w:space="0" w:color="000000"/>
            </w:tcBorders>
            <w:vAlign w:val="center"/>
          </w:tcPr>
          <w:p w14:paraId="5400974F" w14:textId="77777777" w:rsidR="00440295" w:rsidRPr="00204292" w:rsidRDefault="00440295" w:rsidP="00034511">
            <w:pPr>
              <w:autoSpaceDE w:val="0"/>
              <w:autoSpaceDN w:val="0"/>
              <w:spacing w:before="40" w:after="40"/>
              <w:rPr>
                <w:rFonts w:ascii="Tahoma" w:hAnsi="Tahoma" w:cs="Tahoma"/>
                <w:sz w:val="18"/>
                <w:szCs w:val="18"/>
              </w:rPr>
            </w:pPr>
            <w:r w:rsidRPr="00204292">
              <w:rPr>
                <w:rFonts w:ascii="Tahoma" w:hAnsi="Tahoma" w:cs="Tahoma"/>
                <w:sz w:val="18"/>
                <w:szCs w:val="18"/>
              </w:rPr>
              <w:t>За нарушение Заемщиком своих обязательств по Договору Банк вправе начислить пеню (неустойку) в следующем порядке:</w:t>
            </w:r>
          </w:p>
          <w:p w14:paraId="35B99C53" w14:textId="77777777" w:rsidR="00440295" w:rsidRPr="00204292" w:rsidRDefault="00440295" w:rsidP="00034511">
            <w:pPr>
              <w:autoSpaceDE w:val="0"/>
              <w:autoSpaceDN w:val="0"/>
              <w:spacing w:before="40" w:after="40"/>
              <w:rPr>
                <w:rFonts w:ascii="Tahoma" w:hAnsi="Tahoma" w:cs="Tahoma"/>
                <w:sz w:val="18"/>
                <w:szCs w:val="18"/>
              </w:rPr>
            </w:pPr>
            <w:r w:rsidRPr="00204292">
              <w:rPr>
                <w:rFonts w:ascii="Tahoma" w:hAnsi="Tahoma" w:cs="Tahoma"/>
                <w:sz w:val="18"/>
                <w:szCs w:val="18"/>
              </w:rPr>
              <w:t xml:space="preserve">1. За ненадлежащее исполнение Заемщиком обязательств по возврату Кредита и(или) уплате процентов за пользование Кредитом – в размере 20 (двадцать) % годовых от суммы просроченной задолженности за каждый день просрочки, начиная со следующего дня за днем ее образования. </w:t>
            </w:r>
          </w:p>
          <w:p w14:paraId="2CAEE1D6" w14:textId="77777777" w:rsidR="00440295" w:rsidRPr="00204292" w:rsidRDefault="00440295" w:rsidP="00034511">
            <w:pPr>
              <w:autoSpaceDE w:val="0"/>
              <w:autoSpaceDN w:val="0"/>
              <w:spacing w:before="40" w:after="40"/>
              <w:rPr>
                <w:rFonts w:ascii="Tahoma" w:hAnsi="Tahoma" w:cs="Tahoma"/>
                <w:sz w:val="18"/>
                <w:szCs w:val="18"/>
              </w:rPr>
            </w:pPr>
            <w:r w:rsidRPr="00204292">
              <w:rPr>
                <w:rFonts w:ascii="Tahoma" w:hAnsi="Tahoma" w:cs="Tahoma"/>
                <w:sz w:val="18"/>
                <w:szCs w:val="18"/>
              </w:rPr>
              <w:t>2. За непредоставление (нарушение срока предоставления) залога (если условиями Договора предусмотрена такая обязанность Заемщика) – в размере 5 (пять) % годовых на сумму основного долга за каждый день просрочки предоставления залога, начиная со следующего дня за днем просрочки предоставления залога.</w:t>
            </w:r>
          </w:p>
          <w:p w14:paraId="4C1AA5BC" w14:textId="77777777" w:rsidR="00440295" w:rsidRPr="00204292" w:rsidRDefault="00440295" w:rsidP="00034511">
            <w:pPr>
              <w:widowControl w:val="0"/>
              <w:tabs>
                <w:tab w:val="left" w:pos="426"/>
                <w:tab w:val="left" w:pos="851"/>
              </w:tabs>
              <w:rPr>
                <w:rFonts w:ascii="Tahoma" w:eastAsia="Calibri" w:hAnsi="Tahoma" w:cs="Tahoma"/>
                <w:sz w:val="18"/>
                <w:szCs w:val="18"/>
              </w:rPr>
            </w:pPr>
            <w:r w:rsidRPr="00204292">
              <w:rPr>
                <w:rFonts w:ascii="Tahoma" w:hAnsi="Tahoma" w:cs="Tahoma"/>
                <w:sz w:val="18"/>
                <w:szCs w:val="18"/>
              </w:rPr>
              <w:t xml:space="preserve">3. Суммарный размер ответственности Заемщика при совокупности указанных нарушений не может превышать ограничений, предусмотренных частями 21 и 24 статьи 5 Федерального закона от 21.12.2013 № 353-ФЗ «О потребительском кредите (займе)». </w:t>
            </w:r>
          </w:p>
        </w:tc>
      </w:tr>
      <w:tr w:rsidR="00440295" w:rsidRPr="00204292" w14:paraId="552BEB52" w14:textId="77777777" w:rsidTr="00034511">
        <w:tblPrEx>
          <w:tblLook w:val="00A0" w:firstRow="1" w:lastRow="0" w:firstColumn="1" w:lastColumn="0" w:noHBand="0" w:noVBand="0"/>
        </w:tblPrEx>
        <w:trPr>
          <w:trHeight w:val="1000"/>
          <w:jc w:val="center"/>
        </w:trPr>
        <w:tc>
          <w:tcPr>
            <w:tcW w:w="1589" w:type="pct"/>
            <w:tcBorders>
              <w:top w:val="single" w:sz="4" w:space="0" w:color="auto"/>
              <w:left w:val="single" w:sz="8" w:space="0" w:color="auto"/>
              <w:bottom w:val="single" w:sz="4" w:space="0" w:color="auto"/>
              <w:right w:val="single" w:sz="4" w:space="0" w:color="000000"/>
            </w:tcBorders>
            <w:vAlign w:val="center"/>
          </w:tcPr>
          <w:p w14:paraId="16F03305"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 xml:space="preserve">Информация о возможности запрета уступки Кредитором третьим лицам прав (требований) по Договору </w:t>
            </w:r>
          </w:p>
        </w:tc>
        <w:tc>
          <w:tcPr>
            <w:tcW w:w="3411" w:type="pct"/>
            <w:tcBorders>
              <w:top w:val="single" w:sz="4" w:space="0" w:color="auto"/>
              <w:left w:val="nil"/>
              <w:bottom w:val="single" w:sz="4" w:space="0" w:color="auto"/>
              <w:right w:val="single" w:sz="8" w:space="0" w:color="000000"/>
            </w:tcBorders>
            <w:vAlign w:val="center"/>
          </w:tcPr>
          <w:p w14:paraId="17E206CF" w14:textId="77777777" w:rsidR="00440295" w:rsidRPr="00204292" w:rsidRDefault="00440295" w:rsidP="00034511">
            <w:pPr>
              <w:rPr>
                <w:rFonts w:ascii="Tahoma" w:hAnsi="Tahoma" w:cs="Tahoma"/>
                <w:sz w:val="18"/>
                <w:szCs w:val="18"/>
              </w:rPr>
            </w:pPr>
            <w:r w:rsidRPr="00204292">
              <w:rPr>
                <w:rFonts w:ascii="Tahoma" w:hAnsi="Tahoma" w:cs="Tahoma"/>
                <w:sz w:val="18"/>
                <w:szCs w:val="18"/>
              </w:rPr>
              <w:t>Заемщик вправе запретить уступку Банком третьим лицам прав (требований) по Договору.</w:t>
            </w:r>
          </w:p>
        </w:tc>
      </w:tr>
      <w:tr w:rsidR="00440295" w:rsidRPr="00204292" w14:paraId="5552518D" w14:textId="77777777" w:rsidTr="000345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303"/>
          <w:jc w:val="center"/>
        </w:trPr>
        <w:tc>
          <w:tcPr>
            <w:tcW w:w="1589" w:type="pct"/>
            <w:tcBorders>
              <w:top w:val="single" w:sz="4" w:space="0" w:color="auto"/>
              <w:left w:val="single" w:sz="8" w:space="0" w:color="auto"/>
              <w:bottom w:val="single" w:sz="4" w:space="0" w:color="auto"/>
              <w:right w:val="single" w:sz="4" w:space="0" w:color="000000"/>
            </w:tcBorders>
            <w:vAlign w:val="center"/>
          </w:tcPr>
          <w:p w14:paraId="10EF8481"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Порядок предоставления Заемщиком информации об использовании потребительского кредита (с лимитом кредитования)</w:t>
            </w:r>
          </w:p>
        </w:tc>
        <w:tc>
          <w:tcPr>
            <w:tcW w:w="3411" w:type="pct"/>
            <w:tcBorders>
              <w:top w:val="single" w:sz="4" w:space="0" w:color="auto"/>
              <w:left w:val="nil"/>
              <w:bottom w:val="single" w:sz="4" w:space="0" w:color="auto"/>
              <w:right w:val="single" w:sz="8" w:space="0" w:color="000000"/>
            </w:tcBorders>
            <w:vAlign w:val="center"/>
          </w:tcPr>
          <w:p w14:paraId="4FBB08ED" w14:textId="77777777" w:rsidR="00440295" w:rsidRPr="00204292" w:rsidRDefault="00440295" w:rsidP="00034511">
            <w:pPr>
              <w:rPr>
                <w:rFonts w:ascii="Tahoma" w:hAnsi="Tahoma" w:cs="Tahoma"/>
                <w:sz w:val="18"/>
                <w:szCs w:val="18"/>
              </w:rPr>
            </w:pPr>
            <w:r w:rsidRPr="00204292">
              <w:rPr>
                <w:rFonts w:ascii="Tahoma" w:hAnsi="Tahoma" w:cs="Tahoma"/>
                <w:sz w:val="18"/>
                <w:szCs w:val="18"/>
              </w:rPr>
              <w:t>Банк получает информацию об использовании Заемщиком потребительского кредита (с лимитом кредитования) на определенные цели (в случае, если тарифным планом Банка предусмотрен целевой характер использования Кредита) посредством автоматизированных систем Банка.</w:t>
            </w:r>
          </w:p>
        </w:tc>
      </w:tr>
      <w:tr w:rsidR="00440295" w:rsidRPr="00204292" w14:paraId="1C055DD5" w14:textId="77777777" w:rsidTr="000345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270"/>
          <w:jc w:val="center"/>
        </w:trPr>
        <w:tc>
          <w:tcPr>
            <w:tcW w:w="1589" w:type="pct"/>
            <w:tcBorders>
              <w:top w:val="single" w:sz="4" w:space="0" w:color="auto"/>
              <w:left w:val="single" w:sz="8" w:space="0" w:color="auto"/>
              <w:bottom w:val="single" w:sz="4" w:space="0" w:color="auto"/>
              <w:right w:val="single" w:sz="4" w:space="0" w:color="000000"/>
            </w:tcBorders>
            <w:vAlign w:val="center"/>
          </w:tcPr>
          <w:p w14:paraId="520F65D0"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Иные договоры, требуемые для заключения или исполнения Договора, и (или) иные услуги, которые Заемщик обязан получить в связи с заключением таких договоров и (или) оказанием таких услуг либо отказаться от них</w:t>
            </w:r>
          </w:p>
        </w:tc>
        <w:tc>
          <w:tcPr>
            <w:tcW w:w="3411" w:type="pct"/>
            <w:tcBorders>
              <w:top w:val="single" w:sz="4" w:space="0" w:color="auto"/>
              <w:left w:val="nil"/>
              <w:bottom w:val="single" w:sz="4" w:space="0" w:color="auto"/>
              <w:right w:val="single" w:sz="8" w:space="0" w:color="000000"/>
            </w:tcBorders>
            <w:vAlign w:val="center"/>
          </w:tcPr>
          <w:p w14:paraId="33C1C35D" w14:textId="77777777" w:rsidR="00440295" w:rsidRPr="00204292" w:rsidRDefault="00440295" w:rsidP="00034511">
            <w:pPr>
              <w:rPr>
                <w:rFonts w:ascii="Tahoma" w:hAnsi="Tahoma" w:cs="Tahoma"/>
                <w:sz w:val="18"/>
                <w:szCs w:val="18"/>
              </w:rPr>
            </w:pPr>
            <w:r w:rsidRPr="00204292">
              <w:rPr>
                <w:rFonts w:ascii="Tahoma" w:hAnsi="Tahoma" w:cs="Tahoma"/>
                <w:sz w:val="18"/>
                <w:szCs w:val="18"/>
              </w:rPr>
              <w:t>Заключение между Сторонами договора банковского счета (на основании которого Заемщику Банком открывается СКС (при отсутствии у Заемщика действующего СКС в Банке, на который Заемщик желает зачислить Лимит кредитования), элементы которого содержатся в Договоре, что делает Договор смешанным, содержащим элементы договора банковского счета и Договора «Потребительский кредит (с лимитом кредитования)».</w:t>
            </w:r>
          </w:p>
          <w:p w14:paraId="2B70A8B8" w14:textId="77777777" w:rsidR="00440295" w:rsidRPr="00204292" w:rsidRDefault="00440295" w:rsidP="00034511">
            <w:pPr>
              <w:rPr>
                <w:rFonts w:ascii="Tahoma" w:hAnsi="Tahoma" w:cs="Tahoma"/>
                <w:sz w:val="18"/>
                <w:szCs w:val="18"/>
              </w:rPr>
            </w:pPr>
            <w:r w:rsidRPr="00204292">
              <w:rPr>
                <w:rFonts w:ascii="Tahoma" w:hAnsi="Tahoma" w:cs="Tahoma"/>
                <w:sz w:val="18"/>
                <w:szCs w:val="18"/>
              </w:rPr>
              <w:t>Если при оформлении Договора Заемщику предлагаются иные дополнительные услуги (работы, товары), приобретение которых не является обязательным в силу закона, Заемщик вправе отказаться от их приобретения.</w:t>
            </w:r>
          </w:p>
        </w:tc>
      </w:tr>
      <w:tr w:rsidR="00440295" w:rsidRPr="00204292" w14:paraId="17C2AD2D" w14:textId="77777777" w:rsidTr="00034511">
        <w:tblPrEx>
          <w:tblLook w:val="00A0" w:firstRow="1" w:lastRow="0" w:firstColumn="1" w:lastColumn="0" w:noHBand="0" w:noVBand="0"/>
        </w:tblPrEx>
        <w:trPr>
          <w:trHeight w:val="492"/>
          <w:jc w:val="center"/>
        </w:trPr>
        <w:tc>
          <w:tcPr>
            <w:tcW w:w="1589" w:type="pct"/>
            <w:tcBorders>
              <w:top w:val="single" w:sz="4" w:space="0" w:color="auto"/>
              <w:left w:val="single" w:sz="8" w:space="0" w:color="auto"/>
              <w:bottom w:val="single" w:sz="4" w:space="0" w:color="auto"/>
              <w:right w:val="single" w:sz="4" w:space="0" w:color="000000"/>
            </w:tcBorders>
            <w:vAlign w:val="center"/>
          </w:tcPr>
          <w:p w14:paraId="14ED76B2"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Подсудность споров по искам Кредитора к Заемщику</w:t>
            </w:r>
          </w:p>
        </w:tc>
        <w:tc>
          <w:tcPr>
            <w:tcW w:w="3411" w:type="pct"/>
            <w:tcBorders>
              <w:top w:val="single" w:sz="4" w:space="0" w:color="auto"/>
              <w:left w:val="nil"/>
              <w:bottom w:val="single" w:sz="4" w:space="0" w:color="auto"/>
              <w:right w:val="single" w:sz="8" w:space="0" w:color="000000"/>
            </w:tcBorders>
            <w:vAlign w:val="center"/>
          </w:tcPr>
          <w:p w14:paraId="74EF349F" w14:textId="77777777" w:rsidR="00440295" w:rsidRPr="00204292" w:rsidRDefault="00440295" w:rsidP="00034511">
            <w:pPr>
              <w:rPr>
                <w:rFonts w:ascii="Tahoma" w:hAnsi="Tahoma" w:cs="Tahoma"/>
                <w:sz w:val="18"/>
                <w:szCs w:val="18"/>
              </w:rPr>
            </w:pPr>
            <w:r w:rsidRPr="00204292">
              <w:rPr>
                <w:rFonts w:ascii="Tahoma" w:hAnsi="Tahoma" w:cs="Tahoma"/>
                <w:sz w:val="18"/>
                <w:szCs w:val="18"/>
              </w:rPr>
              <w:t xml:space="preserve">Неурегулированные споры по искам Банка к Заемщику рассматриваются в порядке, установленном законодательством РФ. </w:t>
            </w:r>
          </w:p>
        </w:tc>
      </w:tr>
      <w:tr w:rsidR="00440295" w:rsidRPr="00204292" w14:paraId="34A2181E" w14:textId="77777777" w:rsidTr="00034511">
        <w:tblPrEx>
          <w:tblLook w:val="00A0" w:firstRow="1" w:lastRow="0" w:firstColumn="1" w:lastColumn="0" w:noHBand="0" w:noVBand="0"/>
        </w:tblPrEx>
        <w:trPr>
          <w:trHeight w:val="263"/>
          <w:jc w:val="center"/>
        </w:trPr>
        <w:tc>
          <w:tcPr>
            <w:tcW w:w="1589" w:type="pct"/>
            <w:tcBorders>
              <w:top w:val="single" w:sz="4" w:space="0" w:color="auto"/>
              <w:left w:val="single" w:sz="8" w:space="0" w:color="auto"/>
              <w:bottom w:val="single" w:sz="4" w:space="0" w:color="auto"/>
              <w:right w:val="single" w:sz="4" w:space="0" w:color="000000"/>
            </w:tcBorders>
            <w:vAlign w:val="center"/>
          </w:tcPr>
          <w:p w14:paraId="227A631A"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 xml:space="preserve">Формуляры или иные стандартные формы, в которых определены общие условия Договора </w:t>
            </w:r>
          </w:p>
        </w:tc>
        <w:tc>
          <w:tcPr>
            <w:tcW w:w="3411" w:type="pct"/>
            <w:tcBorders>
              <w:top w:val="single" w:sz="4" w:space="0" w:color="auto"/>
              <w:left w:val="nil"/>
              <w:bottom w:val="single" w:sz="4" w:space="0" w:color="auto"/>
              <w:right w:val="single" w:sz="8" w:space="0" w:color="000000"/>
            </w:tcBorders>
            <w:vAlign w:val="center"/>
          </w:tcPr>
          <w:p w14:paraId="4C38A86C" w14:textId="77777777" w:rsidR="00440295" w:rsidRPr="00204292" w:rsidRDefault="00440295" w:rsidP="00034511">
            <w:pPr>
              <w:widowControl w:val="0"/>
              <w:tabs>
                <w:tab w:val="left" w:pos="426"/>
                <w:tab w:val="left" w:pos="851"/>
              </w:tabs>
              <w:rPr>
                <w:rFonts w:ascii="Tahoma" w:hAnsi="Tahoma" w:cs="Tahoma"/>
                <w:sz w:val="18"/>
                <w:szCs w:val="18"/>
              </w:rPr>
            </w:pPr>
            <w:r w:rsidRPr="00204292">
              <w:rPr>
                <w:rFonts w:ascii="Tahoma" w:hAnsi="Tahoma" w:cs="Tahoma"/>
                <w:sz w:val="18"/>
                <w:szCs w:val="18"/>
              </w:rPr>
              <w:t>Общие условия Договора «Потребительский кредит (с лимитом кредитования)» закреплены в «Общих условиях потребительского кредитования в «Азиатско-Тихоокеанский Банк» (АО)», являющихся Приложением № 3 к Универсальному договору банковского обслуживания физических лиц «Азиатско-Тихоокеанский Банк» (АО), размещённых в местах приема заявлений на предоставление потребительского кредита (с лимитом кредитования) (в отделениях Банка и иных местах приема заявлений на предоставление потребительского кредита (с лимитом кредитования)), на сайте Банка в сети Интернет по адресу www. atb.su и могут быть предоставлены Заемщику по его требованию на бумажном носителе.</w:t>
            </w:r>
          </w:p>
        </w:tc>
      </w:tr>
      <w:tr w:rsidR="00440295" w:rsidRPr="00204292" w14:paraId="1F6648CD" w14:textId="77777777" w:rsidTr="00034511">
        <w:tblPrEx>
          <w:tblLook w:val="00A0" w:firstRow="1" w:lastRow="0" w:firstColumn="1" w:lastColumn="0" w:noHBand="0" w:noVBand="0"/>
        </w:tblPrEx>
        <w:trPr>
          <w:trHeight w:val="263"/>
          <w:jc w:val="center"/>
        </w:trPr>
        <w:tc>
          <w:tcPr>
            <w:tcW w:w="1589" w:type="pct"/>
            <w:tcBorders>
              <w:top w:val="single" w:sz="4" w:space="0" w:color="auto"/>
              <w:left w:val="single" w:sz="8" w:space="0" w:color="auto"/>
              <w:bottom w:val="single" w:sz="4" w:space="0" w:color="auto"/>
              <w:right w:val="single" w:sz="4" w:space="0" w:color="000000"/>
            </w:tcBorders>
            <w:vAlign w:val="center"/>
          </w:tcPr>
          <w:p w14:paraId="49840B6B"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Право заемщика обратиться к кредитору с требованием, предусмотренным частью 1 статьи 6.1-2 Федерального закона от 21.12.2013 № 353-ФЗ «О потребительском кредите (займе)», и об условиях, при наступлении которых у заемщика возникает соответствующее право.</w:t>
            </w:r>
          </w:p>
        </w:tc>
        <w:tc>
          <w:tcPr>
            <w:tcW w:w="3411" w:type="pct"/>
            <w:tcBorders>
              <w:top w:val="single" w:sz="4" w:space="0" w:color="auto"/>
              <w:left w:val="nil"/>
              <w:bottom w:val="single" w:sz="4" w:space="0" w:color="auto"/>
              <w:right w:val="single" w:sz="8" w:space="0" w:color="000000"/>
            </w:tcBorders>
            <w:vAlign w:val="center"/>
          </w:tcPr>
          <w:p w14:paraId="69B6DD83" w14:textId="77777777" w:rsidR="00440295" w:rsidRPr="00204292" w:rsidRDefault="00440295" w:rsidP="00034511">
            <w:pPr>
              <w:widowControl w:val="0"/>
              <w:tabs>
                <w:tab w:val="left" w:pos="426"/>
                <w:tab w:val="left" w:pos="851"/>
              </w:tabs>
              <w:rPr>
                <w:rFonts w:ascii="Tahoma" w:hAnsi="Tahoma" w:cs="Tahoma"/>
                <w:sz w:val="18"/>
                <w:szCs w:val="18"/>
              </w:rPr>
            </w:pPr>
            <w:r w:rsidRPr="00204292">
              <w:rPr>
                <w:rFonts w:ascii="Tahoma" w:hAnsi="Tahoma" w:cs="Tahoma"/>
                <w:sz w:val="18"/>
                <w:szCs w:val="18"/>
              </w:rPr>
              <w:t xml:space="preserve">Заемщик в любой момент в течение времени действия Договора, а в случае, указанном в п. 2 ч. 2 ст. 6.1-2 Закона № 353-ФЗ, в течение шестидесяти дней со дня установления соответствующих фактов, вправе обратиться к кредитору с требованием о предоставлении льготного периода, предусматривающего приостановление исполнения Заемщиком своих обязательств по Договору. </w:t>
            </w:r>
          </w:p>
          <w:p w14:paraId="275CDC08" w14:textId="77777777" w:rsidR="00440295" w:rsidRPr="00204292" w:rsidRDefault="00440295" w:rsidP="00034511">
            <w:pPr>
              <w:widowControl w:val="0"/>
              <w:tabs>
                <w:tab w:val="left" w:pos="426"/>
                <w:tab w:val="left" w:pos="851"/>
              </w:tabs>
              <w:rPr>
                <w:rFonts w:ascii="Tahoma" w:hAnsi="Tahoma" w:cs="Tahoma"/>
                <w:sz w:val="18"/>
                <w:szCs w:val="18"/>
              </w:rPr>
            </w:pPr>
            <w:r w:rsidRPr="00204292">
              <w:rPr>
                <w:rFonts w:ascii="Tahoma" w:hAnsi="Tahoma" w:cs="Tahoma"/>
                <w:sz w:val="18"/>
                <w:szCs w:val="18"/>
              </w:rPr>
              <w:t>С условиями, при наступлении которых у Заемщика возникает такое право, можно ознакомиться в размещаемой Банком информации о кредитных каникулах в рамках 353-ФЗ, в том числе на сайте Банка</w:t>
            </w:r>
          </w:p>
          <w:p w14:paraId="3071F8E5" w14:textId="77777777" w:rsidR="00440295" w:rsidRPr="00204292" w:rsidRDefault="00440295" w:rsidP="00034511">
            <w:pPr>
              <w:widowControl w:val="0"/>
              <w:tabs>
                <w:tab w:val="left" w:pos="426"/>
                <w:tab w:val="left" w:pos="851"/>
              </w:tabs>
              <w:rPr>
                <w:rFonts w:ascii="Tahoma" w:hAnsi="Tahoma" w:cs="Tahoma"/>
                <w:sz w:val="18"/>
                <w:szCs w:val="18"/>
              </w:rPr>
            </w:pPr>
            <w:hyperlink r:id="rId96" w:history="1">
              <w:r w:rsidRPr="00204292">
                <w:rPr>
                  <w:rStyle w:val="aff"/>
                  <w:rFonts w:ascii="Tahoma" w:hAnsi="Tahoma" w:cs="Tahoma"/>
                  <w:sz w:val="18"/>
                  <w:szCs w:val="18"/>
                </w:rPr>
                <w:t>https://www.atb.su/customer-care-service/</w:t>
              </w:r>
            </w:hyperlink>
          </w:p>
        </w:tc>
      </w:tr>
      <w:tr w:rsidR="00440295" w:rsidRPr="00204292" w14:paraId="7516EA5E" w14:textId="77777777" w:rsidTr="00034511">
        <w:tblPrEx>
          <w:tblLook w:val="00A0" w:firstRow="1" w:lastRow="0" w:firstColumn="1" w:lastColumn="0" w:noHBand="0" w:noVBand="0"/>
        </w:tblPrEx>
        <w:trPr>
          <w:trHeight w:val="125"/>
          <w:jc w:val="center"/>
        </w:trPr>
        <w:tc>
          <w:tcPr>
            <w:tcW w:w="1589" w:type="pct"/>
            <w:tcBorders>
              <w:top w:val="single" w:sz="4" w:space="0" w:color="auto"/>
              <w:left w:val="single" w:sz="8" w:space="0" w:color="auto"/>
              <w:bottom w:val="single" w:sz="4" w:space="0" w:color="auto"/>
              <w:right w:val="single" w:sz="4" w:space="0" w:color="000000"/>
            </w:tcBorders>
            <w:shd w:val="clear" w:color="auto" w:fill="auto"/>
          </w:tcPr>
          <w:p w14:paraId="3203B19F" w14:textId="77777777" w:rsidR="00440295" w:rsidRPr="00204292" w:rsidRDefault="00440295" w:rsidP="00034511">
            <w:pPr>
              <w:rPr>
                <w:rFonts w:ascii="Tahoma" w:hAnsi="Tahoma" w:cs="Tahoma"/>
                <w:b/>
                <w:sz w:val="18"/>
                <w:szCs w:val="18"/>
              </w:rPr>
            </w:pPr>
            <w:r w:rsidRPr="00204292">
              <w:rPr>
                <w:rFonts w:ascii="Tahoma" w:eastAsia="Calibri" w:hAnsi="Tahoma" w:cs="Tahoma"/>
                <w:b/>
                <w:sz w:val="18"/>
                <w:szCs w:val="18"/>
              </w:rPr>
              <w:t>Порядок определения курса иностранной валюты, если валюта, в которой осуществляется перевод денежных средств Кредитором третьему лицу, указанному Заемщиком при предоставлении Кредита, отличается от валюты Кредита</w:t>
            </w:r>
          </w:p>
        </w:tc>
        <w:tc>
          <w:tcPr>
            <w:tcW w:w="3411" w:type="pct"/>
            <w:tcBorders>
              <w:top w:val="single" w:sz="4" w:space="0" w:color="auto"/>
              <w:left w:val="nil"/>
              <w:bottom w:val="single" w:sz="4" w:space="0" w:color="auto"/>
              <w:right w:val="single" w:sz="8" w:space="0" w:color="000000"/>
            </w:tcBorders>
            <w:shd w:val="clear" w:color="auto" w:fill="auto"/>
            <w:vAlign w:val="center"/>
          </w:tcPr>
          <w:p w14:paraId="52C1EFBC" w14:textId="77777777" w:rsidR="00440295" w:rsidRPr="00204292" w:rsidRDefault="00440295" w:rsidP="00034511">
            <w:pPr>
              <w:widowControl w:val="0"/>
              <w:tabs>
                <w:tab w:val="left" w:pos="426"/>
                <w:tab w:val="left" w:pos="851"/>
              </w:tabs>
              <w:rPr>
                <w:rFonts w:ascii="Tahoma" w:hAnsi="Tahoma" w:cs="Tahoma"/>
                <w:sz w:val="18"/>
                <w:szCs w:val="18"/>
              </w:rPr>
            </w:pPr>
            <w:r w:rsidRPr="00204292">
              <w:rPr>
                <w:rFonts w:ascii="Tahoma" w:hAnsi="Tahoma" w:cs="Tahoma"/>
                <w:sz w:val="18"/>
                <w:szCs w:val="18"/>
              </w:rPr>
              <w:t>Не применимо</w:t>
            </w:r>
          </w:p>
        </w:tc>
      </w:tr>
      <w:tr w:rsidR="00440295" w:rsidRPr="00204292" w14:paraId="0BABDFEC" w14:textId="77777777" w:rsidTr="00034511">
        <w:tblPrEx>
          <w:tblLook w:val="00A0" w:firstRow="1" w:lastRow="0" w:firstColumn="1" w:lastColumn="0" w:noHBand="0" w:noVBand="0"/>
        </w:tblPrEx>
        <w:trPr>
          <w:trHeight w:val="150"/>
          <w:jc w:val="center"/>
        </w:trPr>
        <w:tc>
          <w:tcPr>
            <w:tcW w:w="1589" w:type="pct"/>
            <w:tcBorders>
              <w:top w:val="single" w:sz="4" w:space="0" w:color="auto"/>
              <w:left w:val="single" w:sz="8" w:space="0" w:color="auto"/>
              <w:bottom w:val="single" w:sz="4" w:space="0" w:color="auto"/>
              <w:right w:val="single" w:sz="4" w:space="0" w:color="000000"/>
            </w:tcBorders>
            <w:shd w:val="clear" w:color="auto" w:fill="auto"/>
          </w:tcPr>
          <w:p w14:paraId="0B2A07A5"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Информация о возможном увеличении суммы расходов заемщика по сравнению с ожидаемой суммой расходов в рублях, в том числе при применении переменной процентной ставки, а также информация о том, что изменение курса иностранной валюты в прошлом не свидетельствует об изменении ее курса в будущем, и информация о повышенных рисках Заемщика, получающего доходы в валюте, отличной от валюты кредита</w:t>
            </w:r>
          </w:p>
        </w:tc>
        <w:tc>
          <w:tcPr>
            <w:tcW w:w="3411" w:type="pct"/>
            <w:tcBorders>
              <w:top w:val="single" w:sz="4" w:space="0" w:color="auto"/>
              <w:left w:val="nil"/>
              <w:bottom w:val="single" w:sz="4" w:space="0" w:color="auto"/>
              <w:right w:val="single" w:sz="8" w:space="0" w:color="000000"/>
            </w:tcBorders>
            <w:shd w:val="clear" w:color="auto" w:fill="auto"/>
            <w:vAlign w:val="center"/>
          </w:tcPr>
          <w:p w14:paraId="66740334" w14:textId="77777777" w:rsidR="00440295" w:rsidRPr="00204292" w:rsidRDefault="00440295" w:rsidP="00034511">
            <w:pPr>
              <w:widowControl w:val="0"/>
              <w:tabs>
                <w:tab w:val="left" w:pos="426"/>
                <w:tab w:val="left" w:pos="851"/>
              </w:tabs>
              <w:rPr>
                <w:rFonts w:ascii="Tahoma" w:hAnsi="Tahoma" w:cs="Tahoma"/>
                <w:sz w:val="18"/>
                <w:szCs w:val="18"/>
              </w:rPr>
            </w:pPr>
            <w:r w:rsidRPr="00204292">
              <w:rPr>
                <w:rFonts w:ascii="Tahoma" w:hAnsi="Tahoma" w:cs="Tahoma"/>
                <w:sz w:val="18"/>
                <w:szCs w:val="18"/>
              </w:rPr>
              <w:t>Переменная процентная ставка не применяется в Договоре. Кредит предоставляется в рублях, вместе с тем, Заемщикам, получающим доход в иностранной валюте следует помнить, что изменение курса иностранной валюты в прошлом не свидетельствует об изменении ее курса в будущем, в связи с чем, такие Заемщики несут повышенные риски в связи с получением доходов в иностранной валюте.</w:t>
            </w:r>
          </w:p>
        </w:tc>
      </w:tr>
      <w:tr w:rsidR="00440295" w:rsidRPr="00204292" w14:paraId="734E5030" w14:textId="77777777" w:rsidTr="00034511">
        <w:tblPrEx>
          <w:tblLook w:val="00A0" w:firstRow="1" w:lastRow="0" w:firstColumn="1" w:lastColumn="0" w:noHBand="0" w:noVBand="0"/>
        </w:tblPrEx>
        <w:trPr>
          <w:trHeight w:val="150"/>
          <w:jc w:val="center"/>
        </w:trPr>
        <w:tc>
          <w:tcPr>
            <w:tcW w:w="1589" w:type="pct"/>
            <w:tcBorders>
              <w:top w:val="single" w:sz="4" w:space="0" w:color="auto"/>
              <w:left w:val="single" w:sz="8" w:space="0" w:color="auto"/>
              <w:bottom w:val="single" w:sz="4" w:space="0" w:color="auto"/>
              <w:right w:val="single" w:sz="4" w:space="0" w:color="000000"/>
            </w:tcBorders>
          </w:tcPr>
          <w:p w14:paraId="5BBA2824" w14:textId="77777777" w:rsidR="00440295" w:rsidRPr="00204292" w:rsidRDefault="00440295" w:rsidP="00034511">
            <w:pPr>
              <w:rPr>
                <w:rFonts w:ascii="Tahoma" w:hAnsi="Tahoma" w:cs="Tahoma"/>
                <w:b/>
                <w:sz w:val="18"/>
                <w:szCs w:val="18"/>
              </w:rPr>
            </w:pPr>
            <w:r w:rsidRPr="00204292">
              <w:rPr>
                <w:rFonts w:ascii="Tahoma" w:hAnsi="Tahoma" w:cs="Tahoma"/>
                <w:b/>
                <w:sz w:val="18"/>
                <w:szCs w:val="18"/>
              </w:rPr>
              <w:t>Срок действия решения о предоставлении Кредита</w:t>
            </w:r>
          </w:p>
        </w:tc>
        <w:tc>
          <w:tcPr>
            <w:tcW w:w="3411" w:type="pct"/>
            <w:tcBorders>
              <w:top w:val="single" w:sz="4" w:space="0" w:color="auto"/>
              <w:left w:val="nil"/>
              <w:bottom w:val="single" w:sz="4" w:space="0" w:color="auto"/>
              <w:right w:val="single" w:sz="8" w:space="0" w:color="000000"/>
            </w:tcBorders>
            <w:vAlign w:val="center"/>
          </w:tcPr>
          <w:p w14:paraId="0FA2CAE4" w14:textId="77777777" w:rsidR="00440295" w:rsidRPr="00204292" w:rsidRDefault="00440295" w:rsidP="00034511">
            <w:pPr>
              <w:widowControl w:val="0"/>
              <w:tabs>
                <w:tab w:val="left" w:pos="426"/>
                <w:tab w:val="left" w:pos="851"/>
              </w:tabs>
              <w:rPr>
                <w:rFonts w:ascii="Tahoma" w:hAnsi="Tahoma" w:cs="Tahoma"/>
                <w:sz w:val="18"/>
                <w:szCs w:val="18"/>
              </w:rPr>
            </w:pPr>
            <w:r w:rsidRPr="00204292">
              <w:rPr>
                <w:rFonts w:ascii="Tahoma" w:hAnsi="Tahoma" w:cs="Tahoma"/>
                <w:sz w:val="18"/>
                <w:szCs w:val="18"/>
              </w:rPr>
              <w:t xml:space="preserve">30 календарных дней </w:t>
            </w:r>
            <w:r w:rsidRPr="00204292">
              <w:rPr>
                <w:rFonts w:ascii="Tahoma" w:hAnsi="Tahoma" w:cs="Tahoma"/>
                <w:color w:val="000000" w:themeColor="text1"/>
                <w:sz w:val="18"/>
                <w:szCs w:val="18"/>
              </w:rPr>
              <w:t>с даты принятия Банком решения</w:t>
            </w:r>
          </w:p>
        </w:tc>
      </w:tr>
    </w:tbl>
    <w:p w14:paraId="1E672698" w14:textId="77777777" w:rsidR="00440295" w:rsidRPr="00204292" w:rsidRDefault="00440295" w:rsidP="00440295">
      <w:pPr>
        <w:tabs>
          <w:tab w:val="left" w:pos="851"/>
        </w:tabs>
        <w:rPr>
          <w:rFonts w:ascii="Tahoma" w:hAnsi="Tahoma" w:cs="Tahoma"/>
          <w:sz w:val="18"/>
          <w:szCs w:val="18"/>
        </w:rPr>
      </w:pPr>
      <w:r w:rsidRPr="00204292">
        <w:rPr>
          <w:rFonts w:ascii="Tahoma" w:hAnsi="Tahoma" w:cs="Tahoma"/>
          <w:sz w:val="18"/>
          <w:szCs w:val="18"/>
        </w:rPr>
        <w:t xml:space="preserve">*минимальная сумма лимита кредитования от 30 000,01 руб.  </w:t>
      </w:r>
    </w:p>
    <w:p w14:paraId="76405115" w14:textId="77777777" w:rsidR="00440295" w:rsidRPr="00204292" w:rsidRDefault="00440295" w:rsidP="00440295">
      <w:pPr>
        <w:tabs>
          <w:tab w:val="left" w:pos="851"/>
        </w:tabs>
        <w:rPr>
          <w:rFonts w:ascii="Tahoma" w:hAnsi="Tahoma" w:cs="Tahoma"/>
          <w:sz w:val="18"/>
          <w:szCs w:val="18"/>
        </w:rPr>
      </w:pPr>
      <w:r w:rsidRPr="00204292">
        <w:rPr>
          <w:rFonts w:ascii="Tahoma" w:hAnsi="Tahoma" w:cs="Tahoma"/>
          <w:sz w:val="18"/>
          <w:szCs w:val="18"/>
        </w:rPr>
        <w:t>**Проценты начисляется ежедневно в течение всего фактического срока использования Заемщиком Лимита кредитования, при этом у Заемщика не возникает обязанности по оплате начисленных процентов в случае, когда Кредитная задолженность полностью погашена до окончания срока действия Грейс-периода. В случае неоплаты Кредитной задолженности в течение срока действия Грейс–периода возникает обязанность уплаты Заемщиком Банку процентов, начисленных за весь фактический срок использования Заемщиком Лимита кредитования по Договору.</w:t>
      </w:r>
    </w:p>
    <w:p w14:paraId="1C7397DB" w14:textId="77777777" w:rsidR="00440295" w:rsidRPr="00204292" w:rsidRDefault="00440295" w:rsidP="00440295">
      <w:pPr>
        <w:tabs>
          <w:tab w:val="left" w:pos="851"/>
        </w:tabs>
        <w:rPr>
          <w:rFonts w:ascii="Tahoma" w:hAnsi="Tahoma" w:cs="Tahoma"/>
          <w:sz w:val="18"/>
          <w:szCs w:val="18"/>
        </w:rPr>
      </w:pPr>
    </w:p>
    <w:p w14:paraId="19955E8A" w14:textId="77777777" w:rsidR="00440295" w:rsidRPr="00204292" w:rsidRDefault="00440295" w:rsidP="00440295">
      <w:pPr>
        <w:rPr>
          <w:rFonts w:ascii="Tahoma" w:hAnsi="Tahoma" w:cs="Tahoma"/>
          <w:sz w:val="18"/>
          <w:szCs w:val="18"/>
          <w:vertAlign w:val="superscript"/>
        </w:rPr>
      </w:pPr>
    </w:p>
    <w:p w14:paraId="12588D88" w14:textId="77777777" w:rsidR="00440295" w:rsidRPr="00204292" w:rsidRDefault="00440295" w:rsidP="00440295">
      <w:pPr>
        <w:rPr>
          <w:rFonts w:ascii="Tahoma" w:hAnsi="Tahoma" w:cs="Tahoma"/>
          <w:sz w:val="18"/>
          <w:szCs w:val="18"/>
          <w:vertAlign w:val="superscript"/>
        </w:rPr>
      </w:pPr>
    </w:p>
    <w:tbl>
      <w:tblPr>
        <w:tblW w:w="15599" w:type="dxa"/>
        <w:tblInd w:w="-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
        <w:gridCol w:w="3261"/>
        <w:gridCol w:w="2835"/>
        <w:gridCol w:w="3976"/>
        <w:gridCol w:w="2337"/>
        <w:gridCol w:w="2338"/>
      </w:tblGrid>
      <w:tr w:rsidR="00440295" w:rsidRPr="008A713F" w14:paraId="7C7EB62F" w14:textId="77777777" w:rsidTr="00034511">
        <w:trPr>
          <w:trHeight w:val="1060"/>
          <w:tblHeader/>
        </w:trPr>
        <w:tc>
          <w:tcPr>
            <w:tcW w:w="15599" w:type="dxa"/>
            <w:gridSpan w:val="6"/>
            <w:tcBorders>
              <w:top w:val="nil"/>
              <w:left w:val="nil"/>
              <w:bottom w:val="single" w:sz="4" w:space="0" w:color="auto"/>
              <w:right w:val="nil"/>
            </w:tcBorders>
            <w:shd w:val="clear" w:color="auto" w:fill="auto"/>
            <w:noWrap/>
            <w:vAlign w:val="center"/>
          </w:tcPr>
          <w:p w14:paraId="6A3A5320" w14:textId="77777777" w:rsidR="00440295" w:rsidRPr="008A713F" w:rsidRDefault="00440295" w:rsidP="00440295">
            <w:pPr>
              <w:pStyle w:val="affe"/>
              <w:numPr>
                <w:ilvl w:val="0"/>
                <w:numId w:val="82"/>
              </w:numPr>
              <w:tabs>
                <w:tab w:val="left" w:pos="851"/>
              </w:tabs>
              <w:contextualSpacing/>
              <w:rPr>
                <w:rFonts w:ascii="Tahoma" w:hAnsi="Tahoma" w:cs="Tahoma"/>
                <w:sz w:val="18"/>
                <w:szCs w:val="18"/>
              </w:rPr>
            </w:pPr>
            <w:r w:rsidRPr="008A713F">
              <w:rPr>
                <w:rFonts w:ascii="Tahoma" w:hAnsi="Tahoma" w:cs="Tahoma"/>
                <w:b/>
                <w:sz w:val="18"/>
                <w:szCs w:val="18"/>
              </w:rPr>
              <w:t xml:space="preserve">ТАРИФЫ ПО ОБСЛУЖИВАНИЮ БАНКОВСКИХ (ПЛАТЁЖНЫХ) КАРТ «АЗИАТСКО-ТИХООКЕАНСКИЙ БАНК» (АО) </w:t>
            </w:r>
          </w:p>
          <w:p w14:paraId="5A93DFB8" w14:textId="77777777" w:rsidR="00440295" w:rsidRPr="008A713F" w:rsidRDefault="00440295" w:rsidP="00034511">
            <w:pPr>
              <w:pStyle w:val="affe"/>
              <w:tabs>
                <w:tab w:val="left" w:pos="851"/>
              </w:tabs>
              <w:ind w:left="0" w:firstLine="501"/>
              <w:jc w:val="both"/>
              <w:rPr>
                <w:rFonts w:ascii="Tahoma" w:hAnsi="Tahoma" w:cs="Tahoma"/>
                <w:sz w:val="18"/>
                <w:szCs w:val="18"/>
              </w:rPr>
            </w:pPr>
            <w:r w:rsidRPr="008A713F">
              <w:rPr>
                <w:rFonts w:ascii="Tahoma" w:hAnsi="Tahoma" w:cs="Tahoma"/>
                <w:sz w:val="18"/>
                <w:szCs w:val="18"/>
              </w:rPr>
              <w:t>Все предусмотренные настоящим документом платежи взимаются (списываются) Банком в порядке прямого дебетования (списание по заранее данному акцепту) со Счета Карты Клиента в Банке и (или) иных счетов Клиента в Банке в момент совершения соответствующей операции, если иное не установлено настоящим документом/договором с Клиентом.</w:t>
            </w:r>
          </w:p>
          <w:p w14:paraId="75FA81AA" w14:textId="77777777" w:rsidR="00440295" w:rsidRPr="008A713F" w:rsidRDefault="00440295" w:rsidP="00034511">
            <w:pPr>
              <w:ind w:firstLine="426"/>
              <w:rPr>
                <w:rFonts w:ascii="Tahoma" w:hAnsi="Tahoma" w:cs="Tahoma"/>
                <w:sz w:val="18"/>
                <w:szCs w:val="18"/>
              </w:rPr>
            </w:pPr>
            <w:r w:rsidRPr="008A713F">
              <w:rPr>
                <w:rFonts w:ascii="Tahoma" w:hAnsi="Tahoma" w:cs="Tahoma"/>
                <w:sz w:val="18"/>
                <w:szCs w:val="18"/>
              </w:rPr>
              <w:t>Цель использования Лимита кредитования Заемщиком - оплата товаров, работ, услуг, результатов интеллектуальной деятельности в ТСП с использованием банковской (платежной) карты Банка через электронные средства платежа (POS-терминалы, платежные терминалы, прочие технические устройства), в том числе расчеты в сети Интернет. Операции в рамках целевого использования Лимита кредитования осуществляются Заемщиком бесплатно.</w:t>
            </w:r>
          </w:p>
          <w:p w14:paraId="264D3F36" w14:textId="77777777" w:rsidR="00440295" w:rsidRPr="008A713F" w:rsidRDefault="00440295" w:rsidP="00034511">
            <w:pPr>
              <w:ind w:firstLine="175"/>
              <w:rPr>
                <w:rFonts w:ascii="Tahoma" w:hAnsi="Tahoma" w:cs="Tahoma"/>
                <w:b/>
                <w:bCs/>
                <w:sz w:val="18"/>
                <w:szCs w:val="18"/>
              </w:rPr>
            </w:pPr>
            <w:r w:rsidRPr="008A713F">
              <w:rPr>
                <w:rFonts w:ascii="Tahoma" w:hAnsi="Tahoma" w:cs="Tahoma"/>
                <w:sz w:val="18"/>
                <w:szCs w:val="18"/>
              </w:rPr>
              <w:t>При наличии по настоящему Тарифному плану действующих стимулирующих акций на момент заключения Договора, тарифы по обслуживанию банковских (платежных) карт Банка, срок и порядок их применения устанавливаются согласно условиям этих акций, размещаемым на сайте Банка  </w:t>
            </w:r>
            <w:hyperlink r:id="rId97" w:history="1">
              <w:r w:rsidRPr="008A713F">
                <w:rPr>
                  <w:rStyle w:val="aff"/>
                  <w:rFonts w:ascii="Tahoma" w:hAnsi="Tahoma" w:cs="Tahoma"/>
                  <w:sz w:val="18"/>
                  <w:szCs w:val="18"/>
                  <w:lang w:val="en-US"/>
                </w:rPr>
                <w:t>www</w:t>
              </w:r>
              <w:r w:rsidRPr="008A713F">
                <w:rPr>
                  <w:rStyle w:val="aff"/>
                  <w:rFonts w:ascii="Tahoma" w:hAnsi="Tahoma" w:cs="Tahoma"/>
                  <w:sz w:val="18"/>
                  <w:szCs w:val="18"/>
                </w:rPr>
                <w:t>.</w:t>
              </w:r>
              <w:r w:rsidRPr="008A713F">
                <w:rPr>
                  <w:rStyle w:val="aff"/>
                  <w:rFonts w:ascii="Tahoma" w:hAnsi="Tahoma" w:cs="Tahoma"/>
                  <w:sz w:val="18"/>
                  <w:szCs w:val="18"/>
                  <w:lang w:val="en-US"/>
                </w:rPr>
                <w:t>atb</w:t>
              </w:r>
              <w:r w:rsidRPr="008A713F">
                <w:rPr>
                  <w:rStyle w:val="aff"/>
                  <w:rFonts w:ascii="Tahoma" w:hAnsi="Tahoma" w:cs="Tahoma"/>
                  <w:sz w:val="18"/>
                  <w:szCs w:val="18"/>
                </w:rPr>
                <w:t>.</w:t>
              </w:r>
              <w:r w:rsidRPr="008A713F">
                <w:rPr>
                  <w:rStyle w:val="aff"/>
                  <w:rFonts w:ascii="Tahoma" w:hAnsi="Tahoma" w:cs="Tahoma"/>
                  <w:sz w:val="18"/>
                  <w:szCs w:val="18"/>
                  <w:lang w:val="en-US"/>
                </w:rPr>
                <w:t>su</w:t>
              </w:r>
            </w:hyperlink>
          </w:p>
        </w:tc>
      </w:tr>
      <w:tr w:rsidR="00440295" w:rsidRPr="008A713F" w14:paraId="3EA8F7B6" w14:textId="77777777" w:rsidTr="00034511">
        <w:trPr>
          <w:trHeight w:val="259"/>
          <w:tblHeader/>
        </w:trPr>
        <w:tc>
          <w:tcPr>
            <w:tcW w:w="10924" w:type="dxa"/>
            <w:gridSpan w:val="4"/>
            <w:tcBorders>
              <w:top w:val="single" w:sz="4" w:space="0" w:color="auto"/>
            </w:tcBorders>
            <w:shd w:val="clear" w:color="auto" w:fill="D9D9D9" w:themeFill="background1" w:themeFillShade="D9"/>
            <w:noWrap/>
            <w:vAlign w:val="center"/>
          </w:tcPr>
          <w:p w14:paraId="2420126D" w14:textId="77777777" w:rsidR="00440295" w:rsidRPr="008A713F" w:rsidRDefault="00440295" w:rsidP="00034511">
            <w:pPr>
              <w:jc w:val="center"/>
              <w:rPr>
                <w:rFonts w:ascii="Tahoma" w:hAnsi="Tahoma" w:cs="Tahoma"/>
                <w:b/>
                <w:bCs/>
                <w:noProof/>
                <w:sz w:val="18"/>
                <w:szCs w:val="18"/>
              </w:rPr>
            </w:pPr>
            <w:r w:rsidRPr="008A713F">
              <w:rPr>
                <w:rFonts w:ascii="Tahoma" w:hAnsi="Tahoma" w:cs="Tahoma"/>
                <w:b/>
                <w:bCs/>
                <w:noProof/>
                <w:sz w:val="18"/>
                <w:szCs w:val="18"/>
              </w:rPr>
              <w:t>Тарифный план</w:t>
            </w:r>
          </w:p>
        </w:tc>
        <w:tc>
          <w:tcPr>
            <w:tcW w:w="4675" w:type="dxa"/>
            <w:gridSpan w:val="2"/>
            <w:tcBorders>
              <w:top w:val="single" w:sz="4" w:space="0" w:color="auto"/>
            </w:tcBorders>
            <w:shd w:val="clear" w:color="auto" w:fill="D9D9D9" w:themeFill="background1" w:themeFillShade="D9"/>
            <w:vAlign w:val="center"/>
          </w:tcPr>
          <w:p w14:paraId="7D6FA20E" w14:textId="77777777" w:rsidR="00440295" w:rsidRPr="008A713F" w:rsidRDefault="00440295" w:rsidP="00034511">
            <w:pPr>
              <w:ind w:firstLine="175"/>
              <w:jc w:val="center"/>
              <w:rPr>
                <w:rFonts w:ascii="Tahoma" w:hAnsi="Tahoma" w:cs="Tahoma"/>
                <w:b/>
                <w:bCs/>
                <w:sz w:val="18"/>
                <w:szCs w:val="18"/>
              </w:rPr>
            </w:pPr>
            <w:r w:rsidRPr="008A713F">
              <w:rPr>
                <w:rFonts w:ascii="Tahoma" w:hAnsi="Tahoma" w:cs="Tahoma"/>
                <w:b/>
                <w:bCs/>
                <w:sz w:val="18"/>
                <w:szCs w:val="18"/>
              </w:rPr>
              <w:t>Универсальная карта</w:t>
            </w:r>
          </w:p>
        </w:tc>
      </w:tr>
      <w:tr w:rsidR="00440295" w:rsidRPr="008A713F" w14:paraId="4E15B707" w14:textId="77777777" w:rsidTr="00034511">
        <w:trPr>
          <w:trHeight w:val="547"/>
          <w:tblHeader/>
        </w:trPr>
        <w:tc>
          <w:tcPr>
            <w:tcW w:w="15599" w:type="dxa"/>
            <w:gridSpan w:val="6"/>
            <w:shd w:val="clear" w:color="auto" w:fill="D9D9D9" w:themeFill="background1" w:themeFillShade="D9"/>
            <w:noWrap/>
            <w:vAlign w:val="center"/>
          </w:tcPr>
          <w:p w14:paraId="7333C812" w14:textId="77777777" w:rsidR="00440295" w:rsidRPr="008A713F" w:rsidRDefault="00440295" w:rsidP="00034511">
            <w:pPr>
              <w:jc w:val="center"/>
              <w:rPr>
                <w:rFonts w:ascii="Tahoma" w:hAnsi="Tahoma" w:cs="Tahoma"/>
                <w:b/>
                <w:bCs/>
                <w:color w:val="FFFFFF"/>
                <w:sz w:val="18"/>
                <w:szCs w:val="18"/>
              </w:rPr>
            </w:pPr>
            <w:r w:rsidRPr="008A713F">
              <w:rPr>
                <w:rFonts w:ascii="Tahoma" w:hAnsi="Tahoma" w:cs="Tahoma"/>
                <w:b/>
                <w:bCs/>
                <w:sz w:val="18"/>
                <w:szCs w:val="18"/>
              </w:rPr>
              <w:t>Условия предоставления тарифного плана</w:t>
            </w:r>
          </w:p>
          <w:p w14:paraId="248F5B45" w14:textId="77777777" w:rsidR="00440295" w:rsidRPr="008A713F" w:rsidRDefault="00440295" w:rsidP="00034511">
            <w:pPr>
              <w:ind w:firstLine="175"/>
              <w:jc w:val="center"/>
              <w:rPr>
                <w:rFonts w:ascii="Tahoma" w:hAnsi="Tahoma" w:cs="Tahoma"/>
                <w:b/>
                <w:bCs/>
                <w:sz w:val="18"/>
                <w:szCs w:val="18"/>
                <w:lang w:val="en-US"/>
              </w:rPr>
            </w:pPr>
          </w:p>
          <w:p w14:paraId="2AAD1BF1" w14:textId="77777777" w:rsidR="00440295" w:rsidRPr="008A713F" w:rsidRDefault="00440295" w:rsidP="00034511">
            <w:pPr>
              <w:rPr>
                <w:rFonts w:ascii="Tahoma" w:hAnsi="Tahoma" w:cs="Tahoma"/>
                <w:b/>
                <w:bCs/>
                <w:sz w:val="18"/>
                <w:szCs w:val="18"/>
              </w:rPr>
            </w:pPr>
          </w:p>
        </w:tc>
      </w:tr>
      <w:tr w:rsidR="00440295" w:rsidRPr="008A713F" w14:paraId="6FE801FC" w14:textId="77777777" w:rsidTr="00034511">
        <w:trPr>
          <w:trHeight w:val="101"/>
          <w:tblHeader/>
        </w:trPr>
        <w:tc>
          <w:tcPr>
            <w:tcW w:w="852" w:type="dxa"/>
            <w:shd w:val="clear" w:color="auto" w:fill="D9D9D9" w:themeFill="background1" w:themeFillShade="D9"/>
            <w:noWrap/>
            <w:vAlign w:val="center"/>
            <w:hideMark/>
          </w:tcPr>
          <w:p w14:paraId="321B7683"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1</w:t>
            </w:r>
          </w:p>
        </w:tc>
        <w:tc>
          <w:tcPr>
            <w:tcW w:w="14747" w:type="dxa"/>
            <w:gridSpan w:val="5"/>
            <w:shd w:val="clear" w:color="auto" w:fill="D9D9D9" w:themeFill="background1" w:themeFillShade="D9"/>
            <w:noWrap/>
            <w:vAlign w:val="center"/>
            <w:hideMark/>
          </w:tcPr>
          <w:p w14:paraId="629E59CD" w14:textId="77777777" w:rsidR="00440295" w:rsidRPr="008A713F" w:rsidRDefault="00440295" w:rsidP="00034511">
            <w:pPr>
              <w:rPr>
                <w:rFonts w:ascii="Tahoma" w:hAnsi="Tahoma" w:cs="Tahoma"/>
                <w:b/>
                <w:bCs/>
                <w:sz w:val="18"/>
                <w:szCs w:val="18"/>
              </w:rPr>
            </w:pPr>
            <w:r w:rsidRPr="008A713F">
              <w:rPr>
                <w:rFonts w:ascii="Tahoma" w:hAnsi="Tahoma" w:cs="Tahoma"/>
                <w:b/>
                <w:bCs/>
                <w:sz w:val="18"/>
                <w:szCs w:val="18"/>
              </w:rPr>
              <w:t>Стоимость обслуживания</w:t>
            </w:r>
          </w:p>
        </w:tc>
      </w:tr>
      <w:tr w:rsidR="00440295" w:rsidRPr="008A713F" w14:paraId="70F1AA27" w14:textId="77777777" w:rsidTr="00034511">
        <w:trPr>
          <w:trHeight w:val="147"/>
          <w:tblHeader/>
        </w:trPr>
        <w:tc>
          <w:tcPr>
            <w:tcW w:w="852" w:type="dxa"/>
            <w:shd w:val="clear" w:color="auto" w:fill="auto"/>
            <w:noWrap/>
            <w:vAlign w:val="center"/>
            <w:hideMark/>
          </w:tcPr>
          <w:p w14:paraId="32A10BB2"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1.1.</w:t>
            </w:r>
          </w:p>
        </w:tc>
        <w:tc>
          <w:tcPr>
            <w:tcW w:w="10072" w:type="dxa"/>
            <w:gridSpan w:val="3"/>
            <w:shd w:val="clear" w:color="auto" w:fill="auto"/>
            <w:noWrap/>
            <w:vAlign w:val="center"/>
            <w:hideMark/>
          </w:tcPr>
          <w:p w14:paraId="674A7BE9" w14:textId="77777777" w:rsidR="00440295" w:rsidRPr="008A713F" w:rsidRDefault="00440295" w:rsidP="00034511">
            <w:pPr>
              <w:rPr>
                <w:rFonts w:ascii="Tahoma" w:hAnsi="Tahoma" w:cs="Tahoma"/>
                <w:color w:val="000000"/>
                <w:sz w:val="18"/>
                <w:szCs w:val="18"/>
              </w:rPr>
            </w:pPr>
            <w:r w:rsidRPr="008A713F">
              <w:rPr>
                <w:rFonts w:ascii="Tahoma" w:hAnsi="Tahoma" w:cs="Tahoma"/>
                <w:color w:val="000000"/>
                <w:sz w:val="18"/>
                <w:szCs w:val="18"/>
              </w:rPr>
              <w:t>ежемесячное обслуживание Счета</w:t>
            </w:r>
          </w:p>
        </w:tc>
        <w:tc>
          <w:tcPr>
            <w:tcW w:w="4675" w:type="dxa"/>
            <w:gridSpan w:val="2"/>
            <w:shd w:val="clear" w:color="auto" w:fill="auto"/>
            <w:noWrap/>
            <w:vAlign w:val="center"/>
            <w:hideMark/>
          </w:tcPr>
          <w:p w14:paraId="2F808817"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БЕСПЛАТНО</w:t>
            </w:r>
          </w:p>
        </w:tc>
      </w:tr>
      <w:tr w:rsidR="00440295" w:rsidRPr="008A713F" w14:paraId="6C37E513" w14:textId="77777777" w:rsidTr="00034511">
        <w:trPr>
          <w:trHeight w:val="147"/>
          <w:tblHeader/>
        </w:trPr>
        <w:tc>
          <w:tcPr>
            <w:tcW w:w="852" w:type="dxa"/>
            <w:shd w:val="clear" w:color="auto" w:fill="auto"/>
            <w:noWrap/>
            <w:vAlign w:val="center"/>
          </w:tcPr>
          <w:p w14:paraId="0219852B"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1.2.</w:t>
            </w:r>
          </w:p>
        </w:tc>
        <w:tc>
          <w:tcPr>
            <w:tcW w:w="10072" w:type="dxa"/>
            <w:gridSpan w:val="3"/>
            <w:shd w:val="clear" w:color="auto" w:fill="auto"/>
            <w:noWrap/>
            <w:vAlign w:val="center"/>
          </w:tcPr>
          <w:p w14:paraId="281684C9" w14:textId="77777777" w:rsidR="00440295" w:rsidRPr="008A713F" w:rsidRDefault="00440295" w:rsidP="00034511">
            <w:pPr>
              <w:rPr>
                <w:rFonts w:ascii="Tahoma" w:hAnsi="Tahoma" w:cs="Tahoma"/>
                <w:color w:val="000000"/>
                <w:sz w:val="18"/>
                <w:szCs w:val="18"/>
              </w:rPr>
            </w:pPr>
            <w:r w:rsidRPr="008A713F">
              <w:rPr>
                <w:rFonts w:ascii="Tahoma" w:hAnsi="Tahoma" w:cs="Tahoma"/>
                <w:sz w:val="18"/>
                <w:szCs w:val="18"/>
              </w:rPr>
              <w:t>валюта Счета Карты</w:t>
            </w:r>
          </w:p>
        </w:tc>
        <w:tc>
          <w:tcPr>
            <w:tcW w:w="4675" w:type="dxa"/>
            <w:gridSpan w:val="2"/>
            <w:shd w:val="clear" w:color="auto" w:fill="auto"/>
            <w:noWrap/>
            <w:vAlign w:val="center"/>
          </w:tcPr>
          <w:p w14:paraId="02F0D56A" w14:textId="77777777" w:rsidR="00440295" w:rsidRPr="008A713F" w:rsidRDefault="00440295" w:rsidP="00034511">
            <w:pPr>
              <w:jc w:val="center"/>
              <w:rPr>
                <w:rFonts w:ascii="Tahoma" w:hAnsi="Tahoma" w:cs="Tahoma"/>
                <w:b/>
                <w:bCs/>
                <w:sz w:val="18"/>
                <w:szCs w:val="18"/>
              </w:rPr>
            </w:pPr>
            <w:r w:rsidRPr="008A713F">
              <w:rPr>
                <w:rFonts w:ascii="Tahoma" w:hAnsi="Tahoma" w:cs="Tahoma"/>
                <w:sz w:val="18"/>
                <w:szCs w:val="18"/>
              </w:rPr>
              <w:t>Рубли Российской Федерации</w:t>
            </w:r>
          </w:p>
        </w:tc>
      </w:tr>
      <w:tr w:rsidR="00440295" w:rsidRPr="008A713F" w14:paraId="7D21865B" w14:textId="77777777" w:rsidTr="00034511">
        <w:trPr>
          <w:trHeight w:val="300"/>
          <w:tblHeader/>
        </w:trPr>
        <w:tc>
          <w:tcPr>
            <w:tcW w:w="852" w:type="dxa"/>
            <w:shd w:val="clear" w:color="auto" w:fill="D9D9D9" w:themeFill="background1" w:themeFillShade="D9"/>
            <w:noWrap/>
            <w:vAlign w:val="center"/>
            <w:hideMark/>
          </w:tcPr>
          <w:p w14:paraId="375BF221"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2</w:t>
            </w:r>
          </w:p>
        </w:tc>
        <w:tc>
          <w:tcPr>
            <w:tcW w:w="14747" w:type="dxa"/>
            <w:gridSpan w:val="5"/>
            <w:shd w:val="clear" w:color="auto" w:fill="D9D9D9" w:themeFill="background1" w:themeFillShade="D9"/>
            <w:noWrap/>
            <w:vAlign w:val="center"/>
            <w:hideMark/>
          </w:tcPr>
          <w:p w14:paraId="5D64BFDE"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shd w:val="clear" w:color="auto" w:fill="D9D9D9" w:themeFill="background1" w:themeFillShade="D9"/>
              </w:rPr>
              <w:t>Основная</w:t>
            </w:r>
            <w:r w:rsidRPr="008A713F">
              <w:rPr>
                <w:rFonts w:ascii="Tahoma" w:hAnsi="Tahoma" w:cs="Tahoma"/>
                <w:b/>
                <w:bCs/>
                <w:sz w:val="18"/>
                <w:szCs w:val="18"/>
              </w:rPr>
              <w:t xml:space="preserve"> Карта</w:t>
            </w:r>
          </w:p>
        </w:tc>
      </w:tr>
      <w:tr w:rsidR="00440295" w:rsidRPr="008A713F" w14:paraId="03A0C86E" w14:textId="77777777" w:rsidTr="00034511">
        <w:trPr>
          <w:trHeight w:val="342"/>
          <w:tblHeader/>
        </w:trPr>
        <w:tc>
          <w:tcPr>
            <w:tcW w:w="852" w:type="dxa"/>
            <w:shd w:val="clear" w:color="auto" w:fill="auto"/>
            <w:noWrap/>
            <w:vAlign w:val="center"/>
          </w:tcPr>
          <w:p w14:paraId="0A2C41AE"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2.1.</w:t>
            </w:r>
          </w:p>
        </w:tc>
        <w:tc>
          <w:tcPr>
            <w:tcW w:w="10072" w:type="dxa"/>
            <w:gridSpan w:val="3"/>
            <w:shd w:val="clear" w:color="auto" w:fill="auto"/>
            <w:vAlign w:val="center"/>
          </w:tcPr>
          <w:p w14:paraId="5EE063FC" w14:textId="77777777" w:rsidR="00440295" w:rsidRPr="008A713F" w:rsidRDefault="00440295" w:rsidP="00034511">
            <w:pPr>
              <w:rPr>
                <w:rFonts w:ascii="Tahoma" w:hAnsi="Tahoma" w:cs="Tahoma"/>
                <w:bCs/>
                <w:sz w:val="18"/>
                <w:szCs w:val="18"/>
              </w:rPr>
            </w:pPr>
            <w:r w:rsidRPr="008A713F">
              <w:rPr>
                <w:rFonts w:ascii="Tahoma" w:hAnsi="Tahoma" w:cs="Tahoma"/>
                <w:bCs/>
                <w:sz w:val="18"/>
                <w:szCs w:val="18"/>
              </w:rPr>
              <w:t>тип банковской (платежной) Карты</w:t>
            </w:r>
          </w:p>
          <w:p w14:paraId="6168A817" w14:textId="77777777" w:rsidR="00440295" w:rsidRPr="008A713F" w:rsidRDefault="00440295" w:rsidP="00034511">
            <w:pPr>
              <w:rPr>
                <w:rFonts w:ascii="Tahoma" w:hAnsi="Tahoma" w:cs="Tahoma"/>
                <w:sz w:val="18"/>
                <w:szCs w:val="18"/>
              </w:rPr>
            </w:pPr>
          </w:p>
        </w:tc>
        <w:tc>
          <w:tcPr>
            <w:tcW w:w="2337" w:type="dxa"/>
            <w:shd w:val="clear" w:color="auto" w:fill="FFFFFF" w:themeFill="background1"/>
            <w:noWrap/>
            <w:vAlign w:val="center"/>
          </w:tcPr>
          <w:p w14:paraId="070569A1" w14:textId="77777777" w:rsidR="00440295" w:rsidRPr="008A713F" w:rsidRDefault="00440295" w:rsidP="00034511">
            <w:pPr>
              <w:jc w:val="center"/>
              <w:rPr>
                <w:rFonts w:ascii="Tahoma" w:hAnsi="Tahoma" w:cs="Tahoma"/>
                <w:bCs/>
                <w:sz w:val="18"/>
                <w:szCs w:val="18"/>
                <w:lang w:val="en-US"/>
              </w:rPr>
            </w:pPr>
            <w:r w:rsidRPr="008A713F">
              <w:rPr>
                <w:rFonts w:ascii="Tahoma" w:hAnsi="Tahoma" w:cs="Tahoma"/>
                <w:bCs/>
                <w:sz w:val="18"/>
                <w:szCs w:val="18"/>
                <w:lang w:val="en-US"/>
              </w:rPr>
              <w:t>Visa Gold/ Visa Classic/MasterCard Gold/MasterCard Standard/</w:t>
            </w:r>
            <w:r w:rsidRPr="008A713F">
              <w:rPr>
                <w:rFonts w:ascii="Tahoma" w:hAnsi="Tahoma" w:cs="Tahoma"/>
                <w:bCs/>
                <w:sz w:val="18"/>
                <w:szCs w:val="18"/>
              </w:rPr>
              <w:t>МИР</w:t>
            </w:r>
            <w:r w:rsidRPr="008A713F">
              <w:rPr>
                <w:rFonts w:ascii="Tahoma" w:hAnsi="Tahoma" w:cs="Tahoma"/>
                <w:bCs/>
                <w:sz w:val="18"/>
                <w:szCs w:val="18"/>
                <w:vertAlign w:val="superscript"/>
                <w:lang w:val="en-US"/>
              </w:rPr>
              <w:t xml:space="preserve">1,2 </w:t>
            </w:r>
            <w:r w:rsidRPr="008A713F">
              <w:rPr>
                <w:rFonts w:ascii="Tahoma" w:hAnsi="Tahoma" w:cs="Tahoma"/>
                <w:bCs/>
                <w:sz w:val="18"/>
                <w:szCs w:val="18"/>
                <w:lang w:val="en-US"/>
              </w:rPr>
              <w:t>(</w:t>
            </w:r>
            <w:r w:rsidRPr="008A713F">
              <w:rPr>
                <w:rFonts w:ascii="Tahoma" w:hAnsi="Tahoma" w:cs="Tahoma"/>
                <w:bCs/>
                <w:sz w:val="18"/>
                <w:szCs w:val="18"/>
              </w:rPr>
              <w:t>неименная</w:t>
            </w:r>
            <w:r w:rsidRPr="008A713F">
              <w:rPr>
                <w:rFonts w:ascii="Tahoma" w:hAnsi="Tahoma" w:cs="Tahoma"/>
                <w:bCs/>
                <w:sz w:val="18"/>
                <w:szCs w:val="18"/>
                <w:lang w:val="en-US"/>
              </w:rPr>
              <w:t>/</w:t>
            </w:r>
            <w:r w:rsidRPr="008A713F">
              <w:rPr>
                <w:rFonts w:ascii="Tahoma" w:hAnsi="Tahoma" w:cs="Tahoma"/>
                <w:bCs/>
                <w:sz w:val="18"/>
                <w:szCs w:val="18"/>
              </w:rPr>
              <w:t>именная</w:t>
            </w:r>
            <w:r w:rsidRPr="008A713F">
              <w:rPr>
                <w:rFonts w:ascii="Tahoma" w:hAnsi="Tahoma" w:cs="Tahoma"/>
                <w:bCs/>
                <w:sz w:val="18"/>
                <w:szCs w:val="18"/>
                <w:lang w:val="en-US"/>
              </w:rPr>
              <w:t>)</w:t>
            </w:r>
          </w:p>
        </w:tc>
        <w:tc>
          <w:tcPr>
            <w:tcW w:w="2338" w:type="dxa"/>
            <w:shd w:val="clear" w:color="auto" w:fill="FFFFFF" w:themeFill="background1"/>
            <w:vAlign w:val="center"/>
          </w:tcPr>
          <w:p w14:paraId="75B1EED9" w14:textId="77777777" w:rsidR="00440295" w:rsidRPr="008A713F" w:rsidRDefault="00440295" w:rsidP="00034511">
            <w:pPr>
              <w:ind w:firstLine="175"/>
              <w:jc w:val="center"/>
              <w:rPr>
                <w:rFonts w:ascii="Tahoma" w:hAnsi="Tahoma" w:cs="Tahoma"/>
                <w:bCs/>
                <w:sz w:val="18"/>
                <w:szCs w:val="18"/>
              </w:rPr>
            </w:pPr>
            <w:r w:rsidRPr="008A713F">
              <w:rPr>
                <w:rFonts w:ascii="Tahoma" w:hAnsi="Tahoma" w:cs="Tahoma"/>
                <w:bCs/>
                <w:sz w:val="18"/>
                <w:szCs w:val="18"/>
                <w:lang w:val="en-US"/>
              </w:rPr>
              <w:t>UnionPay</w:t>
            </w:r>
          </w:p>
          <w:p w14:paraId="4624DEDC" w14:textId="77777777" w:rsidR="00440295" w:rsidRPr="008A713F" w:rsidRDefault="00440295" w:rsidP="00034511">
            <w:pPr>
              <w:ind w:firstLine="175"/>
              <w:jc w:val="center"/>
              <w:rPr>
                <w:rFonts w:ascii="Tahoma" w:hAnsi="Tahoma" w:cs="Tahoma"/>
                <w:bCs/>
                <w:sz w:val="18"/>
                <w:szCs w:val="18"/>
              </w:rPr>
            </w:pPr>
            <w:r w:rsidRPr="008A713F">
              <w:rPr>
                <w:rFonts w:ascii="Tahoma" w:hAnsi="Tahoma" w:cs="Tahoma"/>
                <w:bCs/>
                <w:sz w:val="18"/>
                <w:szCs w:val="18"/>
                <w:lang w:val="en-US"/>
              </w:rPr>
              <w:t>Gold</w:t>
            </w:r>
          </w:p>
          <w:p w14:paraId="0F868AA5" w14:textId="77777777" w:rsidR="00440295" w:rsidRPr="008A713F" w:rsidRDefault="00440295" w:rsidP="00034511">
            <w:pPr>
              <w:ind w:firstLine="175"/>
              <w:jc w:val="center"/>
              <w:rPr>
                <w:rFonts w:ascii="Tahoma" w:hAnsi="Tahoma" w:cs="Tahoma"/>
                <w:bCs/>
                <w:sz w:val="18"/>
                <w:szCs w:val="18"/>
              </w:rPr>
            </w:pPr>
            <w:r w:rsidRPr="008A713F">
              <w:rPr>
                <w:rFonts w:ascii="Tahoma" w:hAnsi="Tahoma" w:cs="Tahoma"/>
                <w:bCs/>
                <w:sz w:val="18"/>
                <w:szCs w:val="18"/>
              </w:rPr>
              <w:t>(именная)</w:t>
            </w:r>
            <w:r w:rsidRPr="008A713F">
              <w:rPr>
                <w:rFonts w:ascii="Tahoma" w:hAnsi="Tahoma" w:cs="Tahoma"/>
                <w:bCs/>
                <w:sz w:val="18"/>
                <w:szCs w:val="18"/>
                <w:highlight w:val="yellow"/>
                <w:vertAlign w:val="superscript"/>
              </w:rPr>
              <w:t>25</w:t>
            </w:r>
          </w:p>
          <w:p w14:paraId="3781A4EC" w14:textId="77777777" w:rsidR="00440295" w:rsidRPr="008A713F" w:rsidRDefault="00440295" w:rsidP="00034511">
            <w:pPr>
              <w:jc w:val="center"/>
              <w:rPr>
                <w:rFonts w:ascii="Tahoma" w:hAnsi="Tahoma" w:cs="Tahoma"/>
                <w:sz w:val="18"/>
                <w:szCs w:val="18"/>
                <w:lang w:val="en-US"/>
              </w:rPr>
            </w:pPr>
          </w:p>
        </w:tc>
      </w:tr>
      <w:tr w:rsidR="00440295" w:rsidRPr="008A713F" w14:paraId="1EDB6607" w14:textId="77777777" w:rsidTr="00034511">
        <w:trPr>
          <w:trHeight w:val="342"/>
          <w:tblHeader/>
        </w:trPr>
        <w:tc>
          <w:tcPr>
            <w:tcW w:w="852" w:type="dxa"/>
            <w:shd w:val="clear" w:color="auto" w:fill="auto"/>
            <w:noWrap/>
            <w:vAlign w:val="center"/>
          </w:tcPr>
          <w:p w14:paraId="4A35DD81"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2.2.</w:t>
            </w:r>
          </w:p>
        </w:tc>
        <w:tc>
          <w:tcPr>
            <w:tcW w:w="10072" w:type="dxa"/>
            <w:gridSpan w:val="3"/>
            <w:shd w:val="clear" w:color="auto" w:fill="auto"/>
            <w:vAlign w:val="center"/>
          </w:tcPr>
          <w:p w14:paraId="0F7F8AE3" w14:textId="77777777" w:rsidR="00440295" w:rsidRPr="008A713F" w:rsidRDefault="00440295" w:rsidP="00034511">
            <w:pPr>
              <w:rPr>
                <w:rFonts w:ascii="Tahoma" w:hAnsi="Tahoma" w:cs="Tahoma"/>
                <w:sz w:val="18"/>
                <w:szCs w:val="18"/>
              </w:rPr>
            </w:pPr>
            <w:r w:rsidRPr="008A713F">
              <w:rPr>
                <w:rFonts w:ascii="Tahoma" w:hAnsi="Tahoma" w:cs="Tahoma"/>
                <w:sz w:val="18"/>
                <w:szCs w:val="18"/>
              </w:rPr>
              <w:t>выпуск основной Карты</w:t>
            </w:r>
          </w:p>
        </w:tc>
        <w:tc>
          <w:tcPr>
            <w:tcW w:w="2337" w:type="dxa"/>
            <w:shd w:val="clear" w:color="auto" w:fill="FFFFFF" w:themeFill="background1"/>
            <w:noWrap/>
            <w:vAlign w:val="center"/>
          </w:tcPr>
          <w:p w14:paraId="2AFFE4F5"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БЕСПЛАТНО</w:t>
            </w:r>
          </w:p>
        </w:tc>
        <w:tc>
          <w:tcPr>
            <w:tcW w:w="2338" w:type="dxa"/>
            <w:shd w:val="clear" w:color="auto" w:fill="FFFFFF" w:themeFill="background1"/>
            <w:vAlign w:val="center"/>
          </w:tcPr>
          <w:p w14:paraId="35FF5136" w14:textId="77777777" w:rsidR="00440295" w:rsidRPr="008A713F" w:rsidRDefault="00440295" w:rsidP="00034511">
            <w:pPr>
              <w:jc w:val="center"/>
              <w:rPr>
                <w:rFonts w:ascii="Tahoma" w:hAnsi="Tahoma" w:cs="Tahoma"/>
                <w:b/>
                <w:bCs/>
                <w:sz w:val="18"/>
                <w:szCs w:val="18"/>
              </w:rPr>
            </w:pPr>
            <w:r w:rsidRPr="008A713F">
              <w:rPr>
                <w:rFonts w:ascii="Tahoma" w:hAnsi="Tahoma" w:cs="Tahoma"/>
                <w:sz w:val="18"/>
                <w:szCs w:val="18"/>
              </w:rPr>
              <w:t xml:space="preserve">3000 руб. </w:t>
            </w:r>
          </w:p>
        </w:tc>
      </w:tr>
      <w:tr w:rsidR="00440295" w:rsidRPr="008A713F" w14:paraId="3302777D" w14:textId="77777777" w:rsidTr="00034511">
        <w:trPr>
          <w:trHeight w:val="342"/>
          <w:tblHeader/>
        </w:trPr>
        <w:tc>
          <w:tcPr>
            <w:tcW w:w="852" w:type="dxa"/>
            <w:shd w:val="clear" w:color="auto" w:fill="auto"/>
            <w:noWrap/>
            <w:vAlign w:val="center"/>
            <w:hideMark/>
          </w:tcPr>
          <w:p w14:paraId="61E5D31D"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2.3.</w:t>
            </w:r>
          </w:p>
        </w:tc>
        <w:tc>
          <w:tcPr>
            <w:tcW w:w="10072" w:type="dxa"/>
            <w:gridSpan w:val="3"/>
            <w:shd w:val="clear" w:color="auto" w:fill="auto"/>
            <w:vAlign w:val="center"/>
            <w:hideMark/>
          </w:tcPr>
          <w:p w14:paraId="48E0DEB2" w14:textId="77777777" w:rsidR="00440295" w:rsidRPr="008A713F" w:rsidRDefault="00440295" w:rsidP="00034511">
            <w:pPr>
              <w:rPr>
                <w:rFonts w:ascii="Tahoma" w:hAnsi="Tahoma" w:cs="Tahoma"/>
                <w:sz w:val="18"/>
                <w:szCs w:val="18"/>
                <w:vertAlign w:val="superscript"/>
              </w:rPr>
            </w:pPr>
            <w:r w:rsidRPr="008A713F">
              <w:rPr>
                <w:rFonts w:ascii="Tahoma" w:hAnsi="Tahoma" w:cs="Tahoma"/>
                <w:sz w:val="18"/>
                <w:szCs w:val="18"/>
              </w:rPr>
              <w:t xml:space="preserve">плата за годовое обслуживание Карты </w:t>
            </w:r>
          </w:p>
        </w:tc>
        <w:tc>
          <w:tcPr>
            <w:tcW w:w="4675" w:type="dxa"/>
            <w:gridSpan w:val="2"/>
            <w:shd w:val="clear" w:color="auto" w:fill="FFFFFF" w:themeFill="background1"/>
            <w:noWrap/>
            <w:vAlign w:val="center"/>
            <w:hideMark/>
          </w:tcPr>
          <w:p w14:paraId="75CC205D" w14:textId="77777777" w:rsidR="00440295" w:rsidRPr="008A713F" w:rsidRDefault="00440295" w:rsidP="00034511">
            <w:pPr>
              <w:jc w:val="center"/>
              <w:rPr>
                <w:rFonts w:ascii="Tahoma" w:hAnsi="Tahoma" w:cs="Tahoma"/>
                <w:b/>
                <w:sz w:val="18"/>
                <w:szCs w:val="18"/>
              </w:rPr>
            </w:pPr>
            <w:r w:rsidRPr="008A713F">
              <w:rPr>
                <w:rFonts w:ascii="Tahoma" w:hAnsi="Tahoma" w:cs="Tahoma"/>
                <w:b/>
                <w:bCs/>
                <w:sz w:val="18"/>
                <w:szCs w:val="18"/>
              </w:rPr>
              <w:t>БЕСПЛАТНО</w:t>
            </w:r>
          </w:p>
        </w:tc>
      </w:tr>
      <w:tr w:rsidR="00440295" w:rsidRPr="008A713F" w14:paraId="0C07990E" w14:textId="77777777" w:rsidTr="00034511">
        <w:trPr>
          <w:trHeight w:val="300"/>
          <w:tblHeader/>
        </w:trPr>
        <w:tc>
          <w:tcPr>
            <w:tcW w:w="852" w:type="dxa"/>
            <w:shd w:val="clear" w:color="auto" w:fill="auto"/>
            <w:noWrap/>
            <w:vAlign w:val="center"/>
            <w:hideMark/>
          </w:tcPr>
          <w:p w14:paraId="00AEB8E0"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2.4.</w:t>
            </w:r>
          </w:p>
        </w:tc>
        <w:tc>
          <w:tcPr>
            <w:tcW w:w="10072" w:type="dxa"/>
            <w:gridSpan w:val="3"/>
            <w:shd w:val="clear" w:color="auto" w:fill="auto"/>
            <w:vAlign w:val="center"/>
            <w:hideMark/>
          </w:tcPr>
          <w:p w14:paraId="49F72145" w14:textId="77777777" w:rsidR="00440295" w:rsidRPr="008A713F" w:rsidRDefault="00440295" w:rsidP="00034511">
            <w:pPr>
              <w:rPr>
                <w:rFonts w:ascii="Tahoma" w:hAnsi="Tahoma" w:cs="Tahoma"/>
                <w:sz w:val="18"/>
                <w:szCs w:val="18"/>
              </w:rPr>
            </w:pPr>
            <w:r w:rsidRPr="008A713F">
              <w:rPr>
                <w:rFonts w:ascii="Tahoma" w:hAnsi="Tahoma" w:cs="Tahoma"/>
                <w:sz w:val="18"/>
                <w:szCs w:val="18"/>
              </w:rPr>
              <w:t>открытие Счета Карты</w:t>
            </w:r>
          </w:p>
        </w:tc>
        <w:tc>
          <w:tcPr>
            <w:tcW w:w="4675" w:type="dxa"/>
            <w:gridSpan w:val="2"/>
            <w:shd w:val="clear" w:color="auto" w:fill="auto"/>
            <w:noWrap/>
            <w:vAlign w:val="center"/>
            <w:hideMark/>
          </w:tcPr>
          <w:p w14:paraId="28C4413D"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БЕСПЛАТНО</w:t>
            </w:r>
          </w:p>
        </w:tc>
      </w:tr>
      <w:tr w:rsidR="00440295" w:rsidRPr="008A713F" w14:paraId="3590FA1B" w14:textId="77777777" w:rsidTr="00034511">
        <w:trPr>
          <w:trHeight w:val="70"/>
          <w:tblHeader/>
        </w:trPr>
        <w:tc>
          <w:tcPr>
            <w:tcW w:w="852" w:type="dxa"/>
            <w:shd w:val="clear" w:color="auto" w:fill="auto"/>
            <w:noWrap/>
            <w:vAlign w:val="center"/>
            <w:hideMark/>
          </w:tcPr>
          <w:p w14:paraId="1A876409"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2.5.</w:t>
            </w:r>
          </w:p>
        </w:tc>
        <w:tc>
          <w:tcPr>
            <w:tcW w:w="10072" w:type="dxa"/>
            <w:gridSpan w:val="3"/>
            <w:shd w:val="clear" w:color="auto" w:fill="auto"/>
            <w:vAlign w:val="center"/>
            <w:hideMark/>
          </w:tcPr>
          <w:p w14:paraId="57157EB7" w14:textId="77777777" w:rsidR="00440295" w:rsidRPr="008A713F" w:rsidRDefault="00440295" w:rsidP="00034511">
            <w:pPr>
              <w:rPr>
                <w:rFonts w:ascii="Tahoma" w:hAnsi="Tahoma" w:cs="Tahoma"/>
                <w:sz w:val="18"/>
                <w:szCs w:val="18"/>
              </w:rPr>
            </w:pPr>
            <w:r w:rsidRPr="008A713F">
              <w:rPr>
                <w:rFonts w:ascii="Tahoma" w:hAnsi="Tahoma" w:cs="Tahoma"/>
                <w:sz w:val="18"/>
                <w:szCs w:val="18"/>
              </w:rPr>
              <w:t>очередной перевыпуск Карты</w:t>
            </w:r>
          </w:p>
        </w:tc>
        <w:tc>
          <w:tcPr>
            <w:tcW w:w="4675" w:type="dxa"/>
            <w:gridSpan w:val="2"/>
            <w:shd w:val="clear" w:color="auto" w:fill="auto"/>
            <w:noWrap/>
            <w:vAlign w:val="center"/>
            <w:hideMark/>
          </w:tcPr>
          <w:p w14:paraId="6EAB1D53"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БЕСПЛАТНО</w:t>
            </w:r>
          </w:p>
        </w:tc>
      </w:tr>
      <w:tr w:rsidR="00440295" w:rsidRPr="008A713F" w14:paraId="7453AF66" w14:textId="77777777" w:rsidTr="00034511">
        <w:trPr>
          <w:trHeight w:val="70"/>
          <w:tblHeader/>
        </w:trPr>
        <w:tc>
          <w:tcPr>
            <w:tcW w:w="852" w:type="dxa"/>
            <w:shd w:val="clear" w:color="auto" w:fill="auto"/>
            <w:noWrap/>
            <w:vAlign w:val="center"/>
          </w:tcPr>
          <w:p w14:paraId="15D7A884"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2.6.</w:t>
            </w:r>
          </w:p>
        </w:tc>
        <w:tc>
          <w:tcPr>
            <w:tcW w:w="10072" w:type="dxa"/>
            <w:gridSpan w:val="3"/>
            <w:shd w:val="clear" w:color="auto" w:fill="auto"/>
            <w:vAlign w:val="center"/>
          </w:tcPr>
          <w:p w14:paraId="0D68871B" w14:textId="77777777" w:rsidR="00440295" w:rsidRPr="008A713F" w:rsidRDefault="00440295" w:rsidP="00034511">
            <w:pPr>
              <w:rPr>
                <w:rFonts w:ascii="Tahoma" w:hAnsi="Tahoma" w:cs="Tahoma"/>
                <w:sz w:val="18"/>
                <w:szCs w:val="18"/>
                <w:lang w:val="en-US"/>
              </w:rPr>
            </w:pPr>
            <w:r w:rsidRPr="008A713F">
              <w:rPr>
                <w:rFonts w:ascii="Tahoma" w:hAnsi="Tahoma" w:cs="Tahoma"/>
                <w:sz w:val="18"/>
                <w:szCs w:val="18"/>
              </w:rPr>
              <w:t>Срок действия Карты</w:t>
            </w:r>
          </w:p>
        </w:tc>
        <w:tc>
          <w:tcPr>
            <w:tcW w:w="2337" w:type="dxa"/>
            <w:shd w:val="clear" w:color="auto" w:fill="auto"/>
            <w:noWrap/>
            <w:vAlign w:val="center"/>
          </w:tcPr>
          <w:p w14:paraId="7E13BE4B" w14:textId="77777777" w:rsidR="00440295" w:rsidRPr="008A713F" w:rsidRDefault="00440295" w:rsidP="00034511">
            <w:pPr>
              <w:autoSpaceDE w:val="0"/>
              <w:autoSpaceDN w:val="0"/>
              <w:jc w:val="center"/>
              <w:rPr>
                <w:rFonts w:ascii="Tahoma" w:hAnsi="Tahoma" w:cs="Tahoma"/>
                <w:b/>
                <w:color w:val="000000"/>
                <w:sz w:val="18"/>
                <w:szCs w:val="18"/>
              </w:rPr>
            </w:pPr>
            <w:r w:rsidRPr="008A713F">
              <w:rPr>
                <w:rFonts w:ascii="Tahoma" w:hAnsi="Tahoma" w:cs="Tahoma"/>
                <w:b/>
                <w:color w:val="000000"/>
                <w:sz w:val="18"/>
                <w:szCs w:val="18"/>
              </w:rPr>
              <w:t>Для Карт ПС:</w:t>
            </w:r>
          </w:p>
          <w:p w14:paraId="567838E2" w14:textId="77777777" w:rsidR="00440295" w:rsidRPr="008A713F" w:rsidRDefault="00440295" w:rsidP="00034511">
            <w:pPr>
              <w:autoSpaceDE w:val="0"/>
              <w:autoSpaceDN w:val="0"/>
              <w:jc w:val="center"/>
              <w:rPr>
                <w:rFonts w:ascii="Tahoma" w:hAnsi="Tahoma" w:cs="Tahoma"/>
                <w:sz w:val="18"/>
                <w:szCs w:val="18"/>
              </w:rPr>
            </w:pPr>
            <w:r w:rsidRPr="008A713F">
              <w:rPr>
                <w:rFonts w:ascii="Tahoma" w:hAnsi="Tahoma" w:cs="Tahoma"/>
                <w:color w:val="000000"/>
                <w:sz w:val="18"/>
                <w:szCs w:val="18"/>
              </w:rPr>
              <w:t>- «</w:t>
            </w:r>
            <w:r w:rsidRPr="008A713F">
              <w:rPr>
                <w:rFonts w:ascii="Tahoma" w:hAnsi="Tahoma" w:cs="Tahoma"/>
                <w:color w:val="000000"/>
                <w:sz w:val="18"/>
                <w:szCs w:val="18"/>
                <w:lang w:val="en-US"/>
              </w:rPr>
              <w:t>VISA</w:t>
            </w:r>
            <w:r w:rsidRPr="008A713F">
              <w:rPr>
                <w:rFonts w:ascii="Tahoma" w:hAnsi="Tahoma" w:cs="Tahoma"/>
                <w:color w:val="000000"/>
                <w:sz w:val="18"/>
                <w:szCs w:val="18"/>
              </w:rPr>
              <w:t>», «</w:t>
            </w:r>
            <w:r w:rsidRPr="008A713F">
              <w:rPr>
                <w:rFonts w:ascii="Tahoma" w:hAnsi="Tahoma" w:cs="Tahoma"/>
                <w:color w:val="000000"/>
                <w:sz w:val="18"/>
                <w:szCs w:val="18"/>
                <w:lang w:val="en-US"/>
              </w:rPr>
              <w:t>MasterCard</w:t>
            </w:r>
            <w:r w:rsidRPr="008A713F">
              <w:rPr>
                <w:rFonts w:ascii="Tahoma" w:hAnsi="Tahoma" w:cs="Tahoma"/>
                <w:color w:val="000000"/>
                <w:sz w:val="18"/>
                <w:szCs w:val="18"/>
              </w:rPr>
              <w:t>»: до 3 лет</w:t>
            </w:r>
            <w:r w:rsidRPr="008A713F">
              <w:rPr>
                <w:rFonts w:ascii="Tahoma" w:hAnsi="Tahoma" w:cs="Tahoma"/>
                <w:color w:val="000000"/>
                <w:sz w:val="18"/>
                <w:szCs w:val="18"/>
                <w:vertAlign w:val="superscript"/>
              </w:rPr>
              <w:t>17</w:t>
            </w:r>
            <w:r w:rsidRPr="008A713F">
              <w:rPr>
                <w:rFonts w:ascii="Tahoma" w:hAnsi="Tahoma" w:cs="Tahoma"/>
                <w:color w:val="000000"/>
                <w:sz w:val="18"/>
                <w:szCs w:val="18"/>
              </w:rPr>
              <w:t>;</w:t>
            </w:r>
          </w:p>
          <w:p w14:paraId="5D2B16D5" w14:textId="77777777" w:rsidR="00440295" w:rsidRPr="008A713F" w:rsidRDefault="00440295" w:rsidP="00034511">
            <w:pPr>
              <w:autoSpaceDE w:val="0"/>
              <w:autoSpaceDN w:val="0"/>
              <w:jc w:val="center"/>
              <w:rPr>
                <w:rFonts w:ascii="Tahoma" w:hAnsi="Tahoma" w:cs="Tahoma"/>
                <w:b/>
                <w:bCs/>
                <w:sz w:val="18"/>
                <w:szCs w:val="18"/>
              </w:rPr>
            </w:pPr>
            <w:r w:rsidRPr="008A713F">
              <w:rPr>
                <w:rFonts w:ascii="Tahoma" w:hAnsi="Tahoma" w:cs="Tahoma"/>
                <w:color w:val="000000"/>
                <w:sz w:val="18"/>
                <w:szCs w:val="18"/>
              </w:rPr>
              <w:t>- «МИР»: до 10 лет</w:t>
            </w:r>
            <w:r w:rsidRPr="008A713F">
              <w:rPr>
                <w:rFonts w:ascii="Tahoma" w:hAnsi="Tahoma" w:cs="Tahoma"/>
                <w:color w:val="000000"/>
                <w:sz w:val="18"/>
                <w:szCs w:val="18"/>
                <w:vertAlign w:val="superscript"/>
              </w:rPr>
              <w:t>17</w:t>
            </w:r>
          </w:p>
        </w:tc>
        <w:tc>
          <w:tcPr>
            <w:tcW w:w="2338" w:type="dxa"/>
            <w:shd w:val="clear" w:color="auto" w:fill="auto"/>
            <w:vAlign w:val="center"/>
          </w:tcPr>
          <w:p w14:paraId="5917D653" w14:textId="77777777" w:rsidR="00440295" w:rsidRPr="008A713F" w:rsidRDefault="00440295" w:rsidP="00034511">
            <w:pPr>
              <w:autoSpaceDE w:val="0"/>
              <w:autoSpaceDN w:val="0"/>
              <w:jc w:val="center"/>
              <w:rPr>
                <w:rFonts w:ascii="Tahoma" w:hAnsi="Tahoma" w:cs="Tahoma"/>
                <w:b/>
                <w:color w:val="000000"/>
                <w:sz w:val="18"/>
                <w:szCs w:val="18"/>
              </w:rPr>
            </w:pPr>
            <w:r w:rsidRPr="008A713F">
              <w:rPr>
                <w:rFonts w:ascii="Tahoma" w:hAnsi="Tahoma" w:cs="Tahoma"/>
                <w:b/>
                <w:color w:val="000000"/>
                <w:sz w:val="18"/>
                <w:szCs w:val="18"/>
              </w:rPr>
              <w:t>Для Карт ПС:</w:t>
            </w:r>
          </w:p>
          <w:p w14:paraId="02860C0B" w14:textId="77777777" w:rsidR="00440295" w:rsidRPr="008A713F" w:rsidRDefault="00440295" w:rsidP="00034511">
            <w:pPr>
              <w:autoSpaceDE w:val="0"/>
              <w:autoSpaceDN w:val="0"/>
              <w:jc w:val="center"/>
              <w:rPr>
                <w:rFonts w:ascii="Tahoma" w:hAnsi="Tahoma" w:cs="Tahoma"/>
                <w:color w:val="000000"/>
                <w:sz w:val="18"/>
                <w:szCs w:val="18"/>
              </w:rPr>
            </w:pPr>
            <w:r w:rsidRPr="008A713F">
              <w:rPr>
                <w:rFonts w:ascii="Tahoma" w:hAnsi="Tahoma" w:cs="Tahoma"/>
                <w:bCs/>
                <w:sz w:val="18"/>
                <w:szCs w:val="18"/>
              </w:rPr>
              <w:t>- «</w:t>
            </w:r>
            <w:r w:rsidRPr="008A713F">
              <w:rPr>
                <w:rFonts w:ascii="Tahoma" w:hAnsi="Tahoma" w:cs="Tahoma"/>
                <w:bCs/>
                <w:sz w:val="18"/>
                <w:szCs w:val="18"/>
                <w:lang w:val="en-US"/>
              </w:rPr>
              <w:t>UnionPay</w:t>
            </w:r>
            <w:r w:rsidRPr="008A713F">
              <w:rPr>
                <w:rFonts w:ascii="Tahoma" w:hAnsi="Tahoma" w:cs="Tahoma"/>
                <w:bCs/>
                <w:sz w:val="18"/>
                <w:szCs w:val="18"/>
              </w:rPr>
              <w:t>»: до 3 лет</w:t>
            </w:r>
            <w:r w:rsidRPr="008A713F">
              <w:rPr>
                <w:rFonts w:ascii="Tahoma" w:hAnsi="Tahoma" w:cs="Tahoma"/>
                <w:color w:val="000000"/>
                <w:sz w:val="18"/>
                <w:szCs w:val="18"/>
                <w:vertAlign w:val="superscript"/>
              </w:rPr>
              <w:t xml:space="preserve">17, </w:t>
            </w:r>
            <w:r w:rsidRPr="008A713F">
              <w:rPr>
                <w:rFonts w:ascii="Tahoma" w:hAnsi="Tahoma" w:cs="Tahoma"/>
                <w:color w:val="000000"/>
                <w:sz w:val="18"/>
                <w:szCs w:val="18"/>
                <w:highlight w:val="yellow"/>
                <w:vertAlign w:val="superscript"/>
              </w:rPr>
              <w:t>25</w:t>
            </w:r>
            <w:r w:rsidRPr="008A713F">
              <w:rPr>
                <w:rFonts w:ascii="Tahoma" w:hAnsi="Tahoma" w:cs="Tahoma"/>
                <w:bCs/>
                <w:sz w:val="18"/>
                <w:szCs w:val="18"/>
              </w:rPr>
              <w:t xml:space="preserve"> </w:t>
            </w:r>
          </w:p>
          <w:p w14:paraId="6B88A5F6" w14:textId="77777777" w:rsidR="00440295" w:rsidRPr="008A713F" w:rsidRDefault="00440295" w:rsidP="00034511">
            <w:pPr>
              <w:jc w:val="center"/>
              <w:rPr>
                <w:rFonts w:ascii="Tahoma" w:hAnsi="Tahoma" w:cs="Tahoma"/>
                <w:b/>
                <w:bCs/>
                <w:sz w:val="18"/>
                <w:szCs w:val="18"/>
              </w:rPr>
            </w:pPr>
          </w:p>
        </w:tc>
      </w:tr>
      <w:tr w:rsidR="00440295" w:rsidRPr="008A713F" w14:paraId="39895088" w14:textId="77777777" w:rsidTr="00034511">
        <w:trPr>
          <w:trHeight w:val="449"/>
          <w:tblHeader/>
        </w:trPr>
        <w:tc>
          <w:tcPr>
            <w:tcW w:w="852" w:type="dxa"/>
            <w:shd w:val="clear" w:color="auto" w:fill="D9D9D9" w:themeFill="background1" w:themeFillShade="D9"/>
            <w:noWrap/>
            <w:vAlign w:val="center"/>
            <w:hideMark/>
          </w:tcPr>
          <w:p w14:paraId="497CD583"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3</w:t>
            </w:r>
          </w:p>
        </w:tc>
        <w:tc>
          <w:tcPr>
            <w:tcW w:w="14747" w:type="dxa"/>
            <w:gridSpan w:val="5"/>
            <w:shd w:val="clear" w:color="auto" w:fill="D9D9D9" w:themeFill="background1" w:themeFillShade="D9"/>
            <w:noWrap/>
            <w:vAlign w:val="center"/>
            <w:hideMark/>
          </w:tcPr>
          <w:p w14:paraId="5517ED5D" w14:textId="77777777" w:rsidR="00440295" w:rsidRPr="008A713F" w:rsidRDefault="00440295" w:rsidP="00034511">
            <w:pPr>
              <w:autoSpaceDE w:val="0"/>
              <w:autoSpaceDN w:val="0"/>
              <w:jc w:val="center"/>
              <w:rPr>
                <w:rFonts w:ascii="Tahoma" w:hAnsi="Tahoma" w:cs="Tahoma"/>
                <w:b/>
                <w:bCs/>
                <w:sz w:val="18"/>
                <w:szCs w:val="18"/>
              </w:rPr>
            </w:pPr>
            <w:r w:rsidRPr="008A713F">
              <w:rPr>
                <w:rFonts w:ascii="Tahoma" w:hAnsi="Tahoma" w:cs="Tahoma"/>
                <w:b/>
                <w:bCs/>
                <w:sz w:val="18"/>
                <w:szCs w:val="18"/>
              </w:rPr>
              <w:t>Дополнительная Карта</w:t>
            </w:r>
          </w:p>
          <w:p w14:paraId="11F9DC69" w14:textId="77777777" w:rsidR="00440295" w:rsidRPr="008A713F" w:rsidRDefault="00440295" w:rsidP="00034511">
            <w:pPr>
              <w:autoSpaceDE w:val="0"/>
              <w:autoSpaceDN w:val="0"/>
              <w:jc w:val="center"/>
              <w:rPr>
                <w:rFonts w:ascii="Tahoma" w:hAnsi="Tahoma" w:cs="Tahoma"/>
                <w:i/>
                <w:sz w:val="18"/>
                <w:szCs w:val="18"/>
              </w:rPr>
            </w:pPr>
          </w:p>
        </w:tc>
      </w:tr>
      <w:tr w:rsidR="00440295" w:rsidRPr="008A713F" w14:paraId="0A4A13EB" w14:textId="77777777" w:rsidTr="00034511">
        <w:trPr>
          <w:trHeight w:val="150"/>
          <w:tblHeader/>
        </w:trPr>
        <w:tc>
          <w:tcPr>
            <w:tcW w:w="852" w:type="dxa"/>
            <w:shd w:val="clear" w:color="auto" w:fill="auto"/>
            <w:noWrap/>
            <w:vAlign w:val="center"/>
          </w:tcPr>
          <w:p w14:paraId="63E34792"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3.1.</w:t>
            </w:r>
          </w:p>
        </w:tc>
        <w:tc>
          <w:tcPr>
            <w:tcW w:w="10072" w:type="dxa"/>
            <w:gridSpan w:val="3"/>
            <w:shd w:val="clear" w:color="auto" w:fill="auto"/>
            <w:vAlign w:val="center"/>
          </w:tcPr>
          <w:p w14:paraId="213DA7E6" w14:textId="77777777" w:rsidR="00440295" w:rsidRPr="008A713F" w:rsidRDefault="00440295" w:rsidP="00034511">
            <w:pPr>
              <w:rPr>
                <w:rFonts w:ascii="Tahoma" w:hAnsi="Tahoma" w:cs="Tahoma"/>
                <w:bCs/>
                <w:sz w:val="18"/>
                <w:szCs w:val="18"/>
              </w:rPr>
            </w:pPr>
            <w:r w:rsidRPr="008A713F">
              <w:rPr>
                <w:rFonts w:ascii="Tahoma" w:hAnsi="Tahoma" w:cs="Tahoma"/>
                <w:bCs/>
                <w:sz w:val="18"/>
                <w:szCs w:val="18"/>
              </w:rPr>
              <w:t>тип банковской (платежной) Карты</w:t>
            </w:r>
          </w:p>
          <w:p w14:paraId="555EDFB2" w14:textId="77777777" w:rsidR="00440295" w:rsidRPr="008A713F" w:rsidRDefault="00440295" w:rsidP="00034511">
            <w:pPr>
              <w:rPr>
                <w:rFonts w:ascii="Tahoma" w:hAnsi="Tahoma" w:cs="Tahoma"/>
                <w:sz w:val="18"/>
                <w:szCs w:val="18"/>
              </w:rPr>
            </w:pPr>
          </w:p>
        </w:tc>
        <w:tc>
          <w:tcPr>
            <w:tcW w:w="2337" w:type="dxa"/>
            <w:tcBorders>
              <w:bottom w:val="single" w:sz="4" w:space="0" w:color="auto"/>
            </w:tcBorders>
            <w:shd w:val="clear" w:color="auto" w:fill="auto"/>
            <w:noWrap/>
            <w:vAlign w:val="center"/>
          </w:tcPr>
          <w:p w14:paraId="33B891E5" w14:textId="77777777" w:rsidR="00440295" w:rsidRPr="008A713F" w:rsidRDefault="00440295" w:rsidP="00034511">
            <w:pPr>
              <w:jc w:val="center"/>
              <w:rPr>
                <w:rFonts w:ascii="Tahoma" w:hAnsi="Tahoma" w:cs="Tahoma"/>
                <w:bCs/>
                <w:sz w:val="18"/>
                <w:szCs w:val="18"/>
                <w:vertAlign w:val="superscript"/>
              </w:rPr>
            </w:pPr>
            <w:r w:rsidRPr="008A713F">
              <w:rPr>
                <w:rFonts w:ascii="Tahoma" w:hAnsi="Tahoma" w:cs="Tahoma"/>
                <w:bCs/>
                <w:sz w:val="18"/>
                <w:szCs w:val="18"/>
                <w:lang w:val="en-US"/>
              </w:rPr>
              <w:t>Visa</w:t>
            </w:r>
            <w:r w:rsidRPr="008A713F">
              <w:rPr>
                <w:rFonts w:ascii="Tahoma" w:hAnsi="Tahoma" w:cs="Tahoma"/>
                <w:bCs/>
                <w:sz w:val="18"/>
                <w:szCs w:val="18"/>
              </w:rPr>
              <w:t xml:space="preserve"> /МИР</w:t>
            </w:r>
            <w:r w:rsidRPr="008A713F">
              <w:rPr>
                <w:rFonts w:ascii="Tahoma" w:hAnsi="Tahoma" w:cs="Tahoma"/>
                <w:bCs/>
                <w:sz w:val="18"/>
                <w:szCs w:val="18"/>
                <w:vertAlign w:val="superscript"/>
              </w:rPr>
              <w:t>1</w:t>
            </w:r>
            <w:r w:rsidRPr="008A713F">
              <w:rPr>
                <w:rFonts w:ascii="Tahoma" w:hAnsi="Tahoma" w:cs="Tahoma"/>
                <w:bCs/>
                <w:sz w:val="18"/>
                <w:szCs w:val="18"/>
                <w:highlight w:val="yellow"/>
              </w:rPr>
              <w:t xml:space="preserve"> </w:t>
            </w:r>
          </w:p>
        </w:tc>
        <w:tc>
          <w:tcPr>
            <w:tcW w:w="2338" w:type="dxa"/>
            <w:tcBorders>
              <w:bottom w:val="single" w:sz="4" w:space="0" w:color="auto"/>
            </w:tcBorders>
            <w:shd w:val="clear" w:color="auto" w:fill="auto"/>
            <w:vAlign w:val="center"/>
          </w:tcPr>
          <w:p w14:paraId="4AC1DD0D" w14:textId="77777777" w:rsidR="00440295" w:rsidRPr="008A713F" w:rsidRDefault="00440295" w:rsidP="00034511">
            <w:pPr>
              <w:jc w:val="center"/>
              <w:rPr>
                <w:rFonts w:ascii="Tahoma" w:hAnsi="Tahoma" w:cs="Tahoma"/>
                <w:b/>
                <w:bCs/>
                <w:sz w:val="18"/>
                <w:szCs w:val="18"/>
                <w:highlight w:val="yellow"/>
              </w:rPr>
            </w:pPr>
            <w:r w:rsidRPr="008A713F">
              <w:rPr>
                <w:rFonts w:ascii="Tahoma" w:hAnsi="Tahoma" w:cs="Tahoma"/>
                <w:bCs/>
                <w:sz w:val="18"/>
                <w:szCs w:val="18"/>
                <w:highlight w:val="yellow"/>
                <w:lang w:val="en-US"/>
              </w:rPr>
              <w:t>UnionPay</w:t>
            </w:r>
            <w:r w:rsidRPr="008A713F">
              <w:rPr>
                <w:rFonts w:ascii="Tahoma" w:hAnsi="Tahoma" w:cs="Tahoma"/>
                <w:bCs/>
                <w:sz w:val="18"/>
                <w:szCs w:val="18"/>
                <w:vertAlign w:val="superscript"/>
                <w:lang w:val="en-US"/>
              </w:rPr>
              <w:t>25</w:t>
            </w:r>
          </w:p>
        </w:tc>
      </w:tr>
      <w:tr w:rsidR="00440295" w:rsidRPr="008A713F" w14:paraId="4ADDEB60" w14:textId="77777777" w:rsidTr="00034511">
        <w:trPr>
          <w:trHeight w:val="150"/>
          <w:tblHeader/>
        </w:trPr>
        <w:tc>
          <w:tcPr>
            <w:tcW w:w="852" w:type="dxa"/>
            <w:shd w:val="clear" w:color="auto" w:fill="auto"/>
            <w:noWrap/>
            <w:vAlign w:val="center"/>
          </w:tcPr>
          <w:p w14:paraId="56EAC9D4"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3.2.</w:t>
            </w:r>
          </w:p>
        </w:tc>
        <w:tc>
          <w:tcPr>
            <w:tcW w:w="10072" w:type="dxa"/>
            <w:gridSpan w:val="3"/>
            <w:tcBorders>
              <w:right w:val="single" w:sz="4" w:space="0" w:color="auto"/>
            </w:tcBorders>
            <w:shd w:val="clear" w:color="auto" w:fill="auto"/>
            <w:vAlign w:val="center"/>
          </w:tcPr>
          <w:p w14:paraId="084DB158" w14:textId="77777777" w:rsidR="00440295" w:rsidRPr="008A713F" w:rsidRDefault="00440295" w:rsidP="00034511">
            <w:pPr>
              <w:rPr>
                <w:rFonts w:ascii="Tahoma" w:hAnsi="Tahoma" w:cs="Tahoma"/>
                <w:sz w:val="18"/>
                <w:szCs w:val="18"/>
              </w:rPr>
            </w:pPr>
            <w:r w:rsidRPr="008A713F">
              <w:rPr>
                <w:rFonts w:ascii="Tahoma" w:hAnsi="Tahoma" w:cs="Tahoma"/>
                <w:sz w:val="18"/>
                <w:szCs w:val="18"/>
              </w:rPr>
              <w:t>выпуск дополнительной Карты</w:t>
            </w:r>
          </w:p>
        </w:tc>
        <w:tc>
          <w:tcPr>
            <w:tcW w:w="233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9942F4" w14:textId="77777777" w:rsidR="00440295" w:rsidRPr="008A713F" w:rsidRDefault="00440295" w:rsidP="00034511">
            <w:pPr>
              <w:jc w:val="center"/>
              <w:rPr>
                <w:rFonts w:ascii="Tahoma" w:hAnsi="Tahoma" w:cs="Tahoma"/>
                <w:b/>
                <w:bCs/>
                <w:sz w:val="18"/>
                <w:szCs w:val="18"/>
                <w:highlight w:val="yellow"/>
              </w:rPr>
            </w:pPr>
            <w:r w:rsidRPr="008A713F">
              <w:rPr>
                <w:rFonts w:ascii="Tahoma" w:hAnsi="Tahoma" w:cs="Tahoma"/>
                <w:b/>
                <w:bCs/>
                <w:sz w:val="18"/>
                <w:szCs w:val="18"/>
                <w:highlight w:val="yellow"/>
              </w:rPr>
              <w:t>БЕСПЛАТНО</w:t>
            </w:r>
          </w:p>
        </w:tc>
        <w:tc>
          <w:tcPr>
            <w:tcW w:w="2338" w:type="dxa"/>
            <w:tcBorders>
              <w:top w:val="single" w:sz="4" w:space="0" w:color="auto"/>
              <w:left w:val="single" w:sz="4" w:space="0" w:color="auto"/>
              <w:bottom w:val="single" w:sz="4" w:space="0" w:color="auto"/>
            </w:tcBorders>
            <w:shd w:val="clear" w:color="auto" w:fill="auto"/>
            <w:vAlign w:val="center"/>
          </w:tcPr>
          <w:p w14:paraId="3DAA5725"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lang w:val="en-US"/>
              </w:rPr>
              <w:t xml:space="preserve">3000 </w:t>
            </w:r>
            <w:r w:rsidRPr="008A713F">
              <w:rPr>
                <w:rFonts w:ascii="Tahoma" w:hAnsi="Tahoma" w:cs="Tahoma"/>
                <w:b/>
                <w:bCs/>
                <w:sz w:val="18"/>
                <w:szCs w:val="18"/>
              </w:rPr>
              <w:t>руб.</w:t>
            </w:r>
          </w:p>
        </w:tc>
      </w:tr>
      <w:tr w:rsidR="00440295" w:rsidRPr="008A713F" w14:paraId="46970CA2" w14:textId="77777777" w:rsidTr="00034511">
        <w:trPr>
          <w:trHeight w:val="300"/>
          <w:tblHeader/>
        </w:trPr>
        <w:tc>
          <w:tcPr>
            <w:tcW w:w="852" w:type="dxa"/>
            <w:shd w:val="clear" w:color="auto" w:fill="auto"/>
            <w:noWrap/>
            <w:vAlign w:val="center"/>
            <w:hideMark/>
          </w:tcPr>
          <w:p w14:paraId="3E9B9FE9"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3.3.</w:t>
            </w:r>
          </w:p>
        </w:tc>
        <w:tc>
          <w:tcPr>
            <w:tcW w:w="10072" w:type="dxa"/>
            <w:gridSpan w:val="3"/>
            <w:shd w:val="clear" w:color="auto" w:fill="auto"/>
            <w:vAlign w:val="center"/>
            <w:hideMark/>
          </w:tcPr>
          <w:p w14:paraId="735285E8" w14:textId="77777777" w:rsidR="00440295" w:rsidRPr="008A713F" w:rsidRDefault="00440295" w:rsidP="00034511">
            <w:pPr>
              <w:rPr>
                <w:rFonts w:ascii="Tahoma" w:hAnsi="Tahoma" w:cs="Tahoma"/>
                <w:sz w:val="18"/>
                <w:szCs w:val="18"/>
              </w:rPr>
            </w:pPr>
            <w:r w:rsidRPr="008A713F">
              <w:rPr>
                <w:rFonts w:ascii="Tahoma" w:hAnsi="Tahoma" w:cs="Tahoma"/>
                <w:sz w:val="18"/>
                <w:szCs w:val="18"/>
              </w:rPr>
              <w:t>плата за годовое обслуживание дополнительной Карты</w:t>
            </w:r>
          </w:p>
        </w:tc>
        <w:tc>
          <w:tcPr>
            <w:tcW w:w="2337" w:type="dxa"/>
            <w:tcBorders>
              <w:top w:val="single" w:sz="4" w:space="0" w:color="auto"/>
            </w:tcBorders>
            <w:shd w:val="clear" w:color="auto" w:fill="auto"/>
            <w:noWrap/>
            <w:vAlign w:val="center"/>
            <w:hideMark/>
          </w:tcPr>
          <w:p w14:paraId="3FE8146F"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БЕСПЛАТНО</w:t>
            </w:r>
          </w:p>
        </w:tc>
        <w:tc>
          <w:tcPr>
            <w:tcW w:w="2338" w:type="dxa"/>
            <w:tcBorders>
              <w:top w:val="single" w:sz="4" w:space="0" w:color="auto"/>
            </w:tcBorders>
            <w:shd w:val="clear" w:color="auto" w:fill="auto"/>
            <w:vAlign w:val="center"/>
          </w:tcPr>
          <w:p w14:paraId="4564C99B"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БЕСПЛАТНО</w:t>
            </w:r>
            <w:r w:rsidRPr="008A713F" w:rsidDel="00E00D00">
              <w:rPr>
                <w:rFonts w:ascii="Tahoma" w:hAnsi="Tahoma" w:cs="Tahoma"/>
                <w:b/>
                <w:bCs/>
                <w:sz w:val="18"/>
                <w:szCs w:val="18"/>
              </w:rPr>
              <w:t xml:space="preserve"> </w:t>
            </w:r>
          </w:p>
        </w:tc>
      </w:tr>
      <w:tr w:rsidR="00440295" w:rsidRPr="008A713F" w14:paraId="30D47FCF" w14:textId="77777777" w:rsidTr="00034511">
        <w:trPr>
          <w:trHeight w:val="300"/>
          <w:tblHeader/>
        </w:trPr>
        <w:tc>
          <w:tcPr>
            <w:tcW w:w="852" w:type="dxa"/>
            <w:shd w:val="clear" w:color="auto" w:fill="auto"/>
            <w:noWrap/>
            <w:vAlign w:val="center"/>
            <w:hideMark/>
          </w:tcPr>
          <w:p w14:paraId="2BCC8E13"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3.4.</w:t>
            </w:r>
          </w:p>
        </w:tc>
        <w:tc>
          <w:tcPr>
            <w:tcW w:w="10072" w:type="dxa"/>
            <w:gridSpan w:val="3"/>
            <w:shd w:val="clear" w:color="auto" w:fill="auto"/>
            <w:vAlign w:val="center"/>
            <w:hideMark/>
          </w:tcPr>
          <w:p w14:paraId="617345F8" w14:textId="77777777" w:rsidR="00440295" w:rsidRPr="008A713F" w:rsidRDefault="00440295" w:rsidP="00034511">
            <w:pPr>
              <w:rPr>
                <w:rFonts w:ascii="Tahoma" w:hAnsi="Tahoma" w:cs="Tahoma"/>
                <w:sz w:val="18"/>
                <w:szCs w:val="18"/>
              </w:rPr>
            </w:pPr>
            <w:r w:rsidRPr="008A713F">
              <w:rPr>
                <w:rFonts w:ascii="Tahoma" w:hAnsi="Tahoma" w:cs="Tahoma"/>
                <w:sz w:val="18"/>
                <w:szCs w:val="18"/>
              </w:rPr>
              <w:t>ежемесячное обслуживание дополнительной Карты</w:t>
            </w:r>
          </w:p>
        </w:tc>
        <w:tc>
          <w:tcPr>
            <w:tcW w:w="2337" w:type="dxa"/>
            <w:shd w:val="clear" w:color="auto" w:fill="auto"/>
            <w:noWrap/>
            <w:vAlign w:val="center"/>
            <w:hideMark/>
          </w:tcPr>
          <w:p w14:paraId="1E50177C"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БЕСПЛАТНО</w:t>
            </w:r>
          </w:p>
        </w:tc>
        <w:tc>
          <w:tcPr>
            <w:tcW w:w="2338" w:type="dxa"/>
            <w:shd w:val="clear" w:color="auto" w:fill="auto"/>
            <w:vAlign w:val="center"/>
          </w:tcPr>
          <w:p w14:paraId="01A1A21A"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БЕСПЛАТНО</w:t>
            </w:r>
          </w:p>
        </w:tc>
      </w:tr>
      <w:tr w:rsidR="00440295" w:rsidRPr="008A713F" w14:paraId="3F966740" w14:textId="77777777" w:rsidTr="00034511">
        <w:trPr>
          <w:trHeight w:val="70"/>
          <w:tblHeader/>
        </w:trPr>
        <w:tc>
          <w:tcPr>
            <w:tcW w:w="852" w:type="dxa"/>
            <w:shd w:val="clear" w:color="auto" w:fill="auto"/>
            <w:noWrap/>
            <w:vAlign w:val="center"/>
            <w:hideMark/>
          </w:tcPr>
          <w:p w14:paraId="63380329"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3.5.</w:t>
            </w:r>
          </w:p>
        </w:tc>
        <w:tc>
          <w:tcPr>
            <w:tcW w:w="10072" w:type="dxa"/>
            <w:gridSpan w:val="3"/>
            <w:shd w:val="clear" w:color="auto" w:fill="auto"/>
            <w:vAlign w:val="center"/>
            <w:hideMark/>
          </w:tcPr>
          <w:p w14:paraId="76DE34DD" w14:textId="77777777" w:rsidR="00440295" w:rsidRPr="008A713F" w:rsidRDefault="00440295" w:rsidP="00034511">
            <w:pPr>
              <w:rPr>
                <w:rFonts w:ascii="Tahoma" w:hAnsi="Tahoma" w:cs="Tahoma"/>
                <w:sz w:val="18"/>
                <w:szCs w:val="18"/>
              </w:rPr>
            </w:pPr>
            <w:r w:rsidRPr="008A713F">
              <w:rPr>
                <w:rFonts w:ascii="Tahoma" w:hAnsi="Tahoma" w:cs="Tahoma"/>
                <w:sz w:val="18"/>
                <w:szCs w:val="18"/>
              </w:rPr>
              <w:t xml:space="preserve">количество дополнительных Карт возможных к заказу </w:t>
            </w:r>
          </w:p>
        </w:tc>
        <w:tc>
          <w:tcPr>
            <w:tcW w:w="2337" w:type="dxa"/>
            <w:shd w:val="clear" w:color="auto" w:fill="auto"/>
            <w:noWrap/>
            <w:vAlign w:val="center"/>
            <w:hideMark/>
          </w:tcPr>
          <w:p w14:paraId="459EF945"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БЕЗ ОГРАНИЧЕНИЙ</w:t>
            </w:r>
          </w:p>
        </w:tc>
        <w:tc>
          <w:tcPr>
            <w:tcW w:w="2338" w:type="dxa"/>
            <w:shd w:val="clear" w:color="auto" w:fill="auto"/>
            <w:vAlign w:val="center"/>
          </w:tcPr>
          <w:p w14:paraId="7ECDB6FC"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ВЫПУСК ОГРАНИЧЕН</w:t>
            </w:r>
            <w:r w:rsidRPr="008A713F">
              <w:rPr>
                <w:rFonts w:ascii="Tahoma" w:hAnsi="Tahoma" w:cs="Tahoma"/>
                <w:b/>
                <w:bCs/>
                <w:sz w:val="18"/>
                <w:szCs w:val="18"/>
                <w:vertAlign w:val="superscript"/>
              </w:rPr>
              <w:t>25</w:t>
            </w:r>
          </w:p>
          <w:p w14:paraId="34F1E978" w14:textId="77777777" w:rsidR="00440295" w:rsidRPr="008A713F" w:rsidRDefault="00440295" w:rsidP="00034511">
            <w:pPr>
              <w:jc w:val="center"/>
              <w:rPr>
                <w:rFonts w:ascii="Tahoma" w:hAnsi="Tahoma" w:cs="Tahoma"/>
                <w:b/>
                <w:bCs/>
                <w:sz w:val="18"/>
                <w:szCs w:val="18"/>
              </w:rPr>
            </w:pPr>
          </w:p>
        </w:tc>
      </w:tr>
      <w:tr w:rsidR="00440295" w:rsidRPr="008A713F" w14:paraId="0B23628B" w14:textId="77777777" w:rsidTr="00034511">
        <w:trPr>
          <w:trHeight w:val="498"/>
          <w:tblHeader/>
        </w:trPr>
        <w:tc>
          <w:tcPr>
            <w:tcW w:w="852" w:type="dxa"/>
            <w:shd w:val="clear" w:color="auto" w:fill="auto"/>
            <w:noWrap/>
            <w:vAlign w:val="center"/>
          </w:tcPr>
          <w:p w14:paraId="0803E71B"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3.6.</w:t>
            </w:r>
          </w:p>
        </w:tc>
        <w:tc>
          <w:tcPr>
            <w:tcW w:w="10072" w:type="dxa"/>
            <w:gridSpan w:val="3"/>
            <w:shd w:val="clear" w:color="auto" w:fill="auto"/>
            <w:vAlign w:val="center"/>
          </w:tcPr>
          <w:p w14:paraId="18C5BD05" w14:textId="77777777" w:rsidR="00440295" w:rsidRPr="008A713F" w:rsidRDefault="00440295" w:rsidP="00034511">
            <w:pPr>
              <w:rPr>
                <w:rFonts w:ascii="Tahoma" w:hAnsi="Tahoma" w:cs="Tahoma"/>
                <w:sz w:val="18"/>
                <w:szCs w:val="18"/>
              </w:rPr>
            </w:pPr>
            <w:r w:rsidRPr="008A713F">
              <w:rPr>
                <w:rFonts w:ascii="Tahoma" w:hAnsi="Tahoma" w:cs="Tahoma"/>
                <w:sz w:val="18"/>
                <w:szCs w:val="18"/>
              </w:rPr>
              <w:t>Платежная система/Срок действия Карты</w:t>
            </w:r>
          </w:p>
        </w:tc>
        <w:tc>
          <w:tcPr>
            <w:tcW w:w="2337" w:type="dxa"/>
            <w:shd w:val="clear" w:color="auto" w:fill="auto"/>
            <w:noWrap/>
            <w:vAlign w:val="center"/>
          </w:tcPr>
          <w:p w14:paraId="74F123DB" w14:textId="77777777" w:rsidR="00440295" w:rsidRPr="008A713F" w:rsidRDefault="00440295" w:rsidP="00034511">
            <w:pPr>
              <w:autoSpaceDE w:val="0"/>
              <w:autoSpaceDN w:val="0"/>
              <w:jc w:val="center"/>
              <w:rPr>
                <w:rFonts w:ascii="Tahoma" w:hAnsi="Tahoma" w:cs="Tahoma"/>
                <w:b/>
                <w:color w:val="000000"/>
                <w:sz w:val="18"/>
                <w:szCs w:val="18"/>
              </w:rPr>
            </w:pPr>
            <w:r w:rsidRPr="008A713F">
              <w:rPr>
                <w:rFonts w:ascii="Tahoma" w:hAnsi="Tahoma" w:cs="Tahoma"/>
                <w:b/>
                <w:color w:val="000000"/>
                <w:sz w:val="18"/>
                <w:szCs w:val="18"/>
              </w:rPr>
              <w:t>Для Карт ПС:</w:t>
            </w:r>
          </w:p>
          <w:p w14:paraId="61F98DDB" w14:textId="77777777" w:rsidR="00440295" w:rsidRPr="008A713F" w:rsidRDefault="00440295" w:rsidP="00034511">
            <w:pPr>
              <w:autoSpaceDE w:val="0"/>
              <w:autoSpaceDN w:val="0"/>
              <w:jc w:val="center"/>
              <w:rPr>
                <w:rFonts w:ascii="Tahoma" w:hAnsi="Tahoma" w:cs="Tahoma"/>
                <w:color w:val="000000"/>
                <w:sz w:val="18"/>
                <w:szCs w:val="18"/>
              </w:rPr>
            </w:pPr>
            <w:r w:rsidRPr="008A713F">
              <w:rPr>
                <w:rFonts w:ascii="Tahoma" w:hAnsi="Tahoma" w:cs="Tahoma"/>
                <w:color w:val="000000"/>
                <w:sz w:val="18"/>
                <w:szCs w:val="18"/>
              </w:rPr>
              <w:t>- «</w:t>
            </w:r>
            <w:r w:rsidRPr="008A713F">
              <w:rPr>
                <w:rFonts w:ascii="Tahoma" w:hAnsi="Tahoma" w:cs="Tahoma"/>
                <w:color w:val="000000"/>
                <w:sz w:val="18"/>
                <w:szCs w:val="18"/>
                <w:lang w:val="en-US"/>
              </w:rPr>
              <w:t>VISA</w:t>
            </w:r>
            <w:r w:rsidRPr="008A713F">
              <w:rPr>
                <w:rFonts w:ascii="Tahoma" w:hAnsi="Tahoma" w:cs="Tahoma"/>
                <w:color w:val="000000"/>
                <w:sz w:val="18"/>
                <w:szCs w:val="18"/>
              </w:rPr>
              <w:t>» до 3 лет</w:t>
            </w:r>
            <w:r w:rsidRPr="008A713F">
              <w:rPr>
                <w:rFonts w:ascii="Tahoma" w:hAnsi="Tahoma" w:cs="Tahoma"/>
                <w:color w:val="000000"/>
                <w:sz w:val="18"/>
                <w:szCs w:val="18"/>
                <w:vertAlign w:val="superscript"/>
              </w:rPr>
              <w:t>17</w:t>
            </w:r>
            <w:r w:rsidRPr="008A713F">
              <w:rPr>
                <w:rFonts w:ascii="Tahoma" w:hAnsi="Tahoma" w:cs="Tahoma"/>
                <w:color w:val="000000"/>
                <w:sz w:val="18"/>
                <w:szCs w:val="18"/>
              </w:rPr>
              <w:t xml:space="preserve">; </w:t>
            </w:r>
          </w:p>
          <w:p w14:paraId="3DC3E9CB" w14:textId="77777777" w:rsidR="00440295" w:rsidRPr="008A713F" w:rsidRDefault="00440295" w:rsidP="00034511">
            <w:pPr>
              <w:autoSpaceDE w:val="0"/>
              <w:autoSpaceDN w:val="0"/>
              <w:jc w:val="center"/>
              <w:rPr>
                <w:rFonts w:ascii="Tahoma" w:hAnsi="Tahoma" w:cs="Tahoma"/>
                <w:color w:val="000000"/>
                <w:sz w:val="18"/>
                <w:szCs w:val="18"/>
                <w:vertAlign w:val="superscript"/>
              </w:rPr>
            </w:pPr>
            <w:r w:rsidRPr="008A713F">
              <w:rPr>
                <w:rFonts w:ascii="Tahoma" w:hAnsi="Tahoma" w:cs="Tahoma"/>
                <w:color w:val="000000"/>
                <w:sz w:val="18"/>
                <w:szCs w:val="18"/>
              </w:rPr>
              <w:t>- «МИР»: до 10 лет</w:t>
            </w:r>
            <w:r w:rsidRPr="008A713F">
              <w:rPr>
                <w:rFonts w:ascii="Tahoma" w:hAnsi="Tahoma" w:cs="Tahoma"/>
                <w:color w:val="000000"/>
                <w:sz w:val="18"/>
                <w:szCs w:val="18"/>
                <w:vertAlign w:val="superscript"/>
              </w:rPr>
              <w:t>17</w:t>
            </w:r>
          </w:p>
          <w:p w14:paraId="1FECE56B" w14:textId="77777777" w:rsidR="00440295" w:rsidRPr="008A713F" w:rsidRDefault="00440295" w:rsidP="00034511">
            <w:pPr>
              <w:autoSpaceDE w:val="0"/>
              <w:autoSpaceDN w:val="0"/>
              <w:jc w:val="center"/>
              <w:rPr>
                <w:rFonts w:ascii="Tahoma" w:hAnsi="Tahoma" w:cs="Tahoma"/>
                <w:sz w:val="18"/>
                <w:szCs w:val="18"/>
              </w:rPr>
            </w:pPr>
          </w:p>
        </w:tc>
        <w:tc>
          <w:tcPr>
            <w:tcW w:w="2338" w:type="dxa"/>
            <w:shd w:val="clear" w:color="auto" w:fill="auto"/>
            <w:vAlign w:val="center"/>
          </w:tcPr>
          <w:p w14:paraId="5E29F716" w14:textId="77777777" w:rsidR="00440295" w:rsidRPr="008A713F" w:rsidRDefault="00440295" w:rsidP="00034511">
            <w:pPr>
              <w:autoSpaceDE w:val="0"/>
              <w:autoSpaceDN w:val="0"/>
              <w:jc w:val="center"/>
              <w:rPr>
                <w:rFonts w:ascii="Tahoma" w:hAnsi="Tahoma" w:cs="Tahoma"/>
                <w:b/>
                <w:color w:val="000000"/>
                <w:sz w:val="18"/>
                <w:szCs w:val="18"/>
              </w:rPr>
            </w:pPr>
            <w:r w:rsidRPr="008A713F">
              <w:rPr>
                <w:rFonts w:ascii="Tahoma" w:hAnsi="Tahoma" w:cs="Tahoma"/>
                <w:b/>
                <w:color w:val="000000"/>
                <w:sz w:val="18"/>
                <w:szCs w:val="18"/>
              </w:rPr>
              <w:t>Для Карт ПС:</w:t>
            </w:r>
          </w:p>
          <w:p w14:paraId="0AF8F032" w14:textId="77777777" w:rsidR="00440295" w:rsidRPr="008A713F" w:rsidRDefault="00440295" w:rsidP="00034511">
            <w:pPr>
              <w:autoSpaceDE w:val="0"/>
              <w:autoSpaceDN w:val="0"/>
              <w:jc w:val="center"/>
              <w:rPr>
                <w:rFonts w:ascii="Tahoma" w:hAnsi="Tahoma" w:cs="Tahoma"/>
                <w:color w:val="000000"/>
                <w:sz w:val="18"/>
                <w:szCs w:val="18"/>
              </w:rPr>
            </w:pPr>
            <w:r w:rsidRPr="008A713F">
              <w:rPr>
                <w:rFonts w:ascii="Tahoma" w:hAnsi="Tahoma" w:cs="Tahoma"/>
                <w:bCs/>
                <w:sz w:val="18"/>
                <w:szCs w:val="18"/>
                <w:highlight w:val="yellow"/>
              </w:rPr>
              <w:t xml:space="preserve"> «</w:t>
            </w:r>
            <w:r w:rsidRPr="008A713F">
              <w:rPr>
                <w:rFonts w:ascii="Tahoma" w:hAnsi="Tahoma" w:cs="Tahoma"/>
                <w:bCs/>
                <w:sz w:val="18"/>
                <w:szCs w:val="18"/>
                <w:highlight w:val="yellow"/>
                <w:lang w:val="en-US"/>
              </w:rPr>
              <w:t>UnionPay</w:t>
            </w:r>
            <w:r w:rsidRPr="008A713F">
              <w:rPr>
                <w:rFonts w:ascii="Tahoma" w:hAnsi="Tahoma" w:cs="Tahoma"/>
                <w:bCs/>
                <w:sz w:val="18"/>
                <w:szCs w:val="18"/>
                <w:highlight w:val="yellow"/>
              </w:rPr>
              <w:t>»: до 3 лет</w:t>
            </w:r>
            <w:r w:rsidRPr="008A713F">
              <w:rPr>
                <w:rFonts w:ascii="Tahoma" w:hAnsi="Tahoma" w:cs="Tahoma"/>
                <w:color w:val="000000"/>
                <w:sz w:val="18"/>
                <w:szCs w:val="18"/>
                <w:highlight w:val="yellow"/>
                <w:vertAlign w:val="superscript"/>
              </w:rPr>
              <w:t>17, 25</w:t>
            </w:r>
            <w:r w:rsidRPr="008A713F">
              <w:rPr>
                <w:rFonts w:ascii="Tahoma" w:hAnsi="Tahoma" w:cs="Tahoma"/>
                <w:bCs/>
                <w:sz w:val="18"/>
                <w:szCs w:val="18"/>
              </w:rPr>
              <w:t xml:space="preserve"> </w:t>
            </w:r>
          </w:p>
        </w:tc>
      </w:tr>
      <w:tr w:rsidR="00440295" w:rsidRPr="008A713F" w14:paraId="03E6063E" w14:textId="77777777" w:rsidTr="00034511">
        <w:trPr>
          <w:trHeight w:val="74"/>
          <w:tblHeader/>
        </w:trPr>
        <w:tc>
          <w:tcPr>
            <w:tcW w:w="852" w:type="dxa"/>
            <w:shd w:val="clear" w:color="auto" w:fill="D9D9D9" w:themeFill="background1" w:themeFillShade="D9"/>
            <w:noWrap/>
            <w:vAlign w:val="center"/>
            <w:hideMark/>
          </w:tcPr>
          <w:p w14:paraId="678820B2"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4</w:t>
            </w:r>
          </w:p>
        </w:tc>
        <w:tc>
          <w:tcPr>
            <w:tcW w:w="14747" w:type="dxa"/>
            <w:gridSpan w:val="5"/>
            <w:shd w:val="clear" w:color="auto" w:fill="D9D9D9" w:themeFill="background1" w:themeFillShade="D9"/>
            <w:noWrap/>
            <w:vAlign w:val="center"/>
            <w:hideMark/>
          </w:tcPr>
          <w:p w14:paraId="6C5B4153"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Внеочередной перевыпуск Карты</w:t>
            </w:r>
          </w:p>
        </w:tc>
      </w:tr>
      <w:tr w:rsidR="00440295" w:rsidRPr="008A713F" w14:paraId="49B4E6F0" w14:textId="77777777" w:rsidTr="00034511">
        <w:trPr>
          <w:trHeight w:val="300"/>
          <w:tblHeader/>
        </w:trPr>
        <w:tc>
          <w:tcPr>
            <w:tcW w:w="852" w:type="dxa"/>
            <w:shd w:val="clear" w:color="auto" w:fill="auto"/>
            <w:noWrap/>
            <w:vAlign w:val="center"/>
            <w:hideMark/>
          </w:tcPr>
          <w:p w14:paraId="2A8A1A05"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4.1.</w:t>
            </w:r>
          </w:p>
        </w:tc>
        <w:tc>
          <w:tcPr>
            <w:tcW w:w="10072" w:type="dxa"/>
            <w:gridSpan w:val="3"/>
            <w:shd w:val="clear" w:color="auto" w:fill="auto"/>
            <w:vAlign w:val="center"/>
            <w:hideMark/>
          </w:tcPr>
          <w:p w14:paraId="0F14ECB7" w14:textId="77777777" w:rsidR="00440295" w:rsidRPr="008A713F" w:rsidRDefault="00440295" w:rsidP="00034511">
            <w:pPr>
              <w:rPr>
                <w:rFonts w:ascii="Tahoma" w:hAnsi="Tahoma" w:cs="Tahoma"/>
                <w:sz w:val="18"/>
                <w:szCs w:val="18"/>
              </w:rPr>
            </w:pPr>
            <w:r w:rsidRPr="008A713F">
              <w:rPr>
                <w:rFonts w:ascii="Tahoma" w:hAnsi="Tahoma" w:cs="Tahoma"/>
                <w:sz w:val="18"/>
                <w:szCs w:val="18"/>
              </w:rPr>
              <w:t>перевыпуск Карты в случае износа, технической неисправности</w:t>
            </w:r>
          </w:p>
        </w:tc>
        <w:tc>
          <w:tcPr>
            <w:tcW w:w="4675" w:type="dxa"/>
            <w:gridSpan w:val="2"/>
            <w:shd w:val="clear" w:color="auto" w:fill="auto"/>
            <w:noWrap/>
            <w:vAlign w:val="center"/>
            <w:hideMark/>
          </w:tcPr>
          <w:p w14:paraId="30C9D31E"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БЕСПЛАТНО</w:t>
            </w:r>
          </w:p>
        </w:tc>
      </w:tr>
      <w:tr w:rsidR="00440295" w:rsidRPr="008A713F" w14:paraId="1C27ABDD" w14:textId="77777777" w:rsidTr="00034511">
        <w:trPr>
          <w:trHeight w:val="300"/>
          <w:tblHeader/>
        </w:trPr>
        <w:tc>
          <w:tcPr>
            <w:tcW w:w="852" w:type="dxa"/>
            <w:shd w:val="clear" w:color="auto" w:fill="auto"/>
            <w:noWrap/>
            <w:vAlign w:val="center"/>
            <w:hideMark/>
          </w:tcPr>
          <w:p w14:paraId="3C0C5224"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4.2.</w:t>
            </w:r>
          </w:p>
        </w:tc>
        <w:tc>
          <w:tcPr>
            <w:tcW w:w="10072" w:type="dxa"/>
            <w:gridSpan w:val="3"/>
            <w:shd w:val="clear" w:color="auto" w:fill="auto"/>
            <w:vAlign w:val="center"/>
            <w:hideMark/>
          </w:tcPr>
          <w:p w14:paraId="3FB7F776" w14:textId="77777777" w:rsidR="00440295" w:rsidRPr="008A713F" w:rsidRDefault="00440295" w:rsidP="00034511">
            <w:pPr>
              <w:rPr>
                <w:rFonts w:ascii="Tahoma" w:hAnsi="Tahoma" w:cs="Tahoma"/>
                <w:sz w:val="18"/>
                <w:szCs w:val="18"/>
              </w:rPr>
            </w:pPr>
            <w:r w:rsidRPr="008A713F">
              <w:rPr>
                <w:rFonts w:ascii="Tahoma" w:hAnsi="Tahoma" w:cs="Tahoma"/>
                <w:sz w:val="18"/>
                <w:szCs w:val="18"/>
              </w:rPr>
              <w:t>перевыпуск Карты в случае утраты Карты или ПИН-кода</w:t>
            </w:r>
          </w:p>
        </w:tc>
        <w:tc>
          <w:tcPr>
            <w:tcW w:w="4675" w:type="dxa"/>
            <w:gridSpan w:val="2"/>
            <w:shd w:val="clear" w:color="auto" w:fill="auto"/>
            <w:noWrap/>
            <w:vAlign w:val="center"/>
            <w:hideMark/>
          </w:tcPr>
          <w:p w14:paraId="0F9D2F2E"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БЕСПЛАТНО</w:t>
            </w:r>
          </w:p>
        </w:tc>
      </w:tr>
      <w:tr w:rsidR="00440295" w:rsidRPr="008A713F" w14:paraId="56EFE55D" w14:textId="77777777" w:rsidTr="00034511">
        <w:trPr>
          <w:trHeight w:val="285"/>
          <w:tblHeader/>
        </w:trPr>
        <w:tc>
          <w:tcPr>
            <w:tcW w:w="852" w:type="dxa"/>
            <w:shd w:val="clear" w:color="auto" w:fill="D9D9D9" w:themeFill="background1" w:themeFillShade="D9"/>
            <w:noWrap/>
            <w:vAlign w:val="center"/>
            <w:hideMark/>
          </w:tcPr>
          <w:p w14:paraId="38F900F2"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 xml:space="preserve">5 </w:t>
            </w:r>
          </w:p>
        </w:tc>
        <w:tc>
          <w:tcPr>
            <w:tcW w:w="14747" w:type="dxa"/>
            <w:gridSpan w:val="5"/>
            <w:shd w:val="clear" w:color="auto" w:fill="D9D9D9" w:themeFill="background1" w:themeFillShade="D9"/>
            <w:noWrap/>
            <w:vAlign w:val="center"/>
            <w:hideMark/>
          </w:tcPr>
          <w:p w14:paraId="43A61E94"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Начисление процентов на остаток по Счету банковской (платежной) Карты за пользование Банком денежными средствами на данном счете Клиента</w:t>
            </w:r>
          </w:p>
        </w:tc>
      </w:tr>
      <w:tr w:rsidR="00440295" w:rsidRPr="008A713F" w14:paraId="52921CA7" w14:textId="77777777" w:rsidTr="00034511">
        <w:trPr>
          <w:trHeight w:val="122"/>
          <w:tblHeader/>
        </w:trPr>
        <w:tc>
          <w:tcPr>
            <w:tcW w:w="852" w:type="dxa"/>
            <w:shd w:val="clear" w:color="auto" w:fill="auto"/>
            <w:noWrap/>
            <w:vAlign w:val="center"/>
            <w:hideMark/>
          </w:tcPr>
          <w:p w14:paraId="4C3EF335"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5.1.</w:t>
            </w:r>
          </w:p>
        </w:tc>
        <w:tc>
          <w:tcPr>
            <w:tcW w:w="10072" w:type="dxa"/>
            <w:gridSpan w:val="3"/>
            <w:shd w:val="clear" w:color="auto" w:fill="auto"/>
            <w:vAlign w:val="center"/>
            <w:hideMark/>
          </w:tcPr>
          <w:p w14:paraId="26050A9A" w14:textId="77777777" w:rsidR="00440295" w:rsidRPr="008A713F" w:rsidRDefault="00440295" w:rsidP="00034511">
            <w:pPr>
              <w:rPr>
                <w:rFonts w:ascii="Tahoma" w:hAnsi="Tahoma" w:cs="Tahoma"/>
                <w:sz w:val="18"/>
                <w:szCs w:val="18"/>
              </w:rPr>
            </w:pPr>
            <w:r w:rsidRPr="008A713F">
              <w:rPr>
                <w:rFonts w:ascii="Tahoma" w:hAnsi="Tahoma" w:cs="Tahoma"/>
                <w:sz w:val="18"/>
                <w:szCs w:val="18"/>
              </w:rPr>
              <w:t>периодичность начисления процентов</w:t>
            </w:r>
          </w:p>
        </w:tc>
        <w:tc>
          <w:tcPr>
            <w:tcW w:w="4675" w:type="dxa"/>
            <w:gridSpan w:val="2"/>
            <w:shd w:val="clear" w:color="auto" w:fill="auto"/>
            <w:vAlign w:val="center"/>
            <w:hideMark/>
          </w:tcPr>
          <w:p w14:paraId="2A748153"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Не применимо</w:t>
            </w:r>
          </w:p>
        </w:tc>
      </w:tr>
      <w:tr w:rsidR="00440295" w:rsidRPr="008A713F" w14:paraId="73623D24" w14:textId="77777777" w:rsidTr="00034511">
        <w:trPr>
          <w:trHeight w:val="245"/>
          <w:tblHeader/>
        </w:trPr>
        <w:tc>
          <w:tcPr>
            <w:tcW w:w="852" w:type="dxa"/>
            <w:shd w:val="clear" w:color="auto" w:fill="auto"/>
            <w:noWrap/>
            <w:vAlign w:val="center"/>
          </w:tcPr>
          <w:p w14:paraId="4A6201CB"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5.2.</w:t>
            </w:r>
          </w:p>
        </w:tc>
        <w:tc>
          <w:tcPr>
            <w:tcW w:w="10072" w:type="dxa"/>
            <w:gridSpan w:val="3"/>
            <w:shd w:val="clear" w:color="auto" w:fill="auto"/>
            <w:vAlign w:val="center"/>
          </w:tcPr>
          <w:p w14:paraId="2CEB9B65" w14:textId="77777777" w:rsidR="00440295" w:rsidRPr="008A713F" w:rsidRDefault="00440295" w:rsidP="00034511">
            <w:pPr>
              <w:rPr>
                <w:rFonts w:ascii="Tahoma" w:hAnsi="Tahoma" w:cs="Tahoma"/>
                <w:sz w:val="18"/>
                <w:szCs w:val="18"/>
              </w:rPr>
            </w:pPr>
            <w:r w:rsidRPr="008A713F">
              <w:rPr>
                <w:rFonts w:ascii="Tahoma" w:hAnsi="Tahoma" w:cs="Tahoma"/>
                <w:sz w:val="18"/>
                <w:szCs w:val="18"/>
              </w:rPr>
              <w:t xml:space="preserve"> процентная ставка, % годовых</w:t>
            </w:r>
          </w:p>
        </w:tc>
        <w:tc>
          <w:tcPr>
            <w:tcW w:w="4675" w:type="dxa"/>
            <w:gridSpan w:val="2"/>
            <w:shd w:val="clear" w:color="auto" w:fill="auto"/>
            <w:vAlign w:val="bottom"/>
          </w:tcPr>
          <w:p w14:paraId="65B53294"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0% (не начисляются)</w:t>
            </w:r>
          </w:p>
        </w:tc>
      </w:tr>
      <w:tr w:rsidR="00440295" w:rsidRPr="008A713F" w14:paraId="70828ADA" w14:textId="77777777" w:rsidTr="00034511">
        <w:trPr>
          <w:trHeight w:val="71"/>
          <w:tblHeader/>
        </w:trPr>
        <w:tc>
          <w:tcPr>
            <w:tcW w:w="852" w:type="dxa"/>
            <w:shd w:val="clear" w:color="auto" w:fill="D9D9D9" w:themeFill="background1" w:themeFillShade="D9"/>
            <w:noWrap/>
            <w:vAlign w:val="center"/>
            <w:hideMark/>
          </w:tcPr>
          <w:p w14:paraId="1AD08511"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6</w:t>
            </w:r>
          </w:p>
        </w:tc>
        <w:tc>
          <w:tcPr>
            <w:tcW w:w="14747" w:type="dxa"/>
            <w:gridSpan w:val="5"/>
            <w:shd w:val="clear" w:color="auto" w:fill="D9D9D9" w:themeFill="background1" w:themeFillShade="D9"/>
            <w:noWrap/>
            <w:vAlign w:val="center"/>
            <w:hideMark/>
          </w:tcPr>
          <w:p w14:paraId="4C8DA1BC"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Условия обслуживания Карты</w:t>
            </w:r>
          </w:p>
        </w:tc>
      </w:tr>
      <w:tr w:rsidR="00440295" w:rsidRPr="008A713F" w14:paraId="0CBD480B" w14:textId="77777777" w:rsidTr="00034511">
        <w:trPr>
          <w:trHeight w:val="243"/>
          <w:tblHeader/>
        </w:trPr>
        <w:tc>
          <w:tcPr>
            <w:tcW w:w="852" w:type="dxa"/>
            <w:shd w:val="clear" w:color="auto" w:fill="D9D9D9" w:themeFill="background1" w:themeFillShade="D9"/>
            <w:noWrap/>
            <w:vAlign w:val="center"/>
            <w:hideMark/>
          </w:tcPr>
          <w:p w14:paraId="5B15BA11"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6.1.</w:t>
            </w:r>
          </w:p>
        </w:tc>
        <w:tc>
          <w:tcPr>
            <w:tcW w:w="14747" w:type="dxa"/>
            <w:gridSpan w:val="5"/>
            <w:shd w:val="clear" w:color="auto" w:fill="D9D9D9" w:themeFill="background1" w:themeFillShade="D9"/>
            <w:noWrap/>
            <w:vAlign w:val="center"/>
            <w:hideMark/>
          </w:tcPr>
          <w:p w14:paraId="6B8FF52A" w14:textId="77777777" w:rsidR="00440295" w:rsidRPr="008A713F" w:rsidRDefault="00440295" w:rsidP="00034511">
            <w:pPr>
              <w:rPr>
                <w:rFonts w:ascii="Tahoma" w:hAnsi="Tahoma" w:cs="Tahoma"/>
                <w:b/>
                <w:bCs/>
                <w:sz w:val="18"/>
                <w:szCs w:val="18"/>
              </w:rPr>
            </w:pPr>
            <w:r w:rsidRPr="008A713F">
              <w:rPr>
                <w:rFonts w:ascii="Tahoma" w:hAnsi="Tahoma" w:cs="Tahoma"/>
                <w:b/>
                <w:bCs/>
                <w:sz w:val="18"/>
                <w:szCs w:val="18"/>
              </w:rPr>
              <w:t xml:space="preserve">                                                                       Лимиты выдачи наличных денежных средств с помощью банковской (платежной) Карты</w:t>
            </w:r>
          </w:p>
        </w:tc>
      </w:tr>
      <w:tr w:rsidR="00440295" w:rsidRPr="008A713F" w14:paraId="1BF516A9" w14:textId="77777777" w:rsidTr="00034511">
        <w:trPr>
          <w:trHeight w:val="299"/>
          <w:tblHeader/>
        </w:trPr>
        <w:tc>
          <w:tcPr>
            <w:tcW w:w="852" w:type="dxa"/>
            <w:shd w:val="clear" w:color="auto" w:fill="auto"/>
            <w:noWrap/>
            <w:vAlign w:val="center"/>
          </w:tcPr>
          <w:p w14:paraId="5481842B"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6.1.1.</w:t>
            </w:r>
          </w:p>
        </w:tc>
        <w:tc>
          <w:tcPr>
            <w:tcW w:w="10072" w:type="dxa"/>
            <w:gridSpan w:val="3"/>
            <w:shd w:val="clear" w:color="auto" w:fill="auto"/>
            <w:vAlign w:val="center"/>
          </w:tcPr>
          <w:p w14:paraId="07B84BFA" w14:textId="77777777" w:rsidR="00440295" w:rsidRPr="008A713F" w:rsidRDefault="00440295" w:rsidP="00034511">
            <w:pPr>
              <w:rPr>
                <w:rFonts w:ascii="Tahoma" w:hAnsi="Tahoma" w:cs="Tahoma"/>
                <w:sz w:val="18"/>
                <w:szCs w:val="18"/>
              </w:rPr>
            </w:pPr>
            <w:r w:rsidRPr="008A713F">
              <w:rPr>
                <w:rFonts w:ascii="Tahoma" w:hAnsi="Tahoma" w:cs="Tahoma"/>
                <w:sz w:val="18"/>
                <w:szCs w:val="18"/>
              </w:rPr>
              <w:t>ежедневный лимит совершения операций выдачи наличных в банкоматах любых банков, в т.ч.  Банке</w:t>
            </w:r>
            <w:r w:rsidRPr="008A713F">
              <w:rPr>
                <w:rFonts w:ascii="Tahoma" w:hAnsi="Tahoma" w:cs="Tahoma"/>
                <w:sz w:val="18"/>
                <w:szCs w:val="18"/>
                <w:vertAlign w:val="superscript"/>
              </w:rPr>
              <w:t xml:space="preserve"> </w:t>
            </w:r>
            <w:r w:rsidRPr="008A713F">
              <w:rPr>
                <w:rFonts w:ascii="Tahoma" w:hAnsi="Tahoma" w:cs="Tahoma"/>
                <w:sz w:val="18"/>
                <w:szCs w:val="18"/>
              </w:rPr>
              <w:t>(от 00 до 24 ч. московского времени)</w:t>
            </w:r>
            <w:r w:rsidRPr="008A713F">
              <w:rPr>
                <w:rStyle w:val="aff3"/>
                <w:rFonts w:ascii="Tahoma" w:hAnsi="Tahoma" w:cs="Tahoma"/>
                <w:sz w:val="18"/>
                <w:szCs w:val="18"/>
              </w:rPr>
              <w:t>3</w:t>
            </w:r>
          </w:p>
        </w:tc>
        <w:tc>
          <w:tcPr>
            <w:tcW w:w="2337" w:type="dxa"/>
            <w:shd w:val="clear" w:color="auto" w:fill="auto"/>
            <w:noWrap/>
            <w:vAlign w:val="center"/>
          </w:tcPr>
          <w:p w14:paraId="44476DF1" w14:textId="77777777" w:rsidR="00440295" w:rsidRPr="008A713F" w:rsidRDefault="00440295" w:rsidP="00034511">
            <w:pPr>
              <w:jc w:val="center"/>
              <w:rPr>
                <w:rFonts w:ascii="Tahoma" w:hAnsi="Tahoma" w:cs="Tahoma"/>
                <w:sz w:val="18"/>
                <w:szCs w:val="18"/>
                <w:highlight w:val="yellow"/>
              </w:rPr>
            </w:pPr>
            <w:r w:rsidRPr="008A713F">
              <w:rPr>
                <w:rFonts w:ascii="Tahoma" w:hAnsi="Tahoma" w:cs="Tahoma"/>
                <w:sz w:val="18"/>
                <w:szCs w:val="18"/>
                <w:highlight w:val="yellow"/>
              </w:rPr>
              <w:t xml:space="preserve">150 000 рублей </w:t>
            </w:r>
          </w:p>
          <w:p w14:paraId="03519244" w14:textId="77777777" w:rsidR="00440295" w:rsidRPr="008A713F" w:rsidRDefault="00440295" w:rsidP="00034511">
            <w:pPr>
              <w:jc w:val="center"/>
              <w:rPr>
                <w:rFonts w:ascii="Tahoma" w:hAnsi="Tahoma" w:cs="Tahoma"/>
                <w:sz w:val="18"/>
                <w:szCs w:val="18"/>
              </w:rPr>
            </w:pPr>
          </w:p>
        </w:tc>
        <w:tc>
          <w:tcPr>
            <w:tcW w:w="2338" w:type="dxa"/>
            <w:shd w:val="clear" w:color="auto" w:fill="auto"/>
            <w:vAlign w:val="center"/>
          </w:tcPr>
          <w:p w14:paraId="6B64FAC4"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400 000 рублей</w:t>
            </w:r>
          </w:p>
        </w:tc>
      </w:tr>
      <w:tr w:rsidR="00440295" w:rsidRPr="008A713F" w14:paraId="74E6A466" w14:textId="77777777" w:rsidTr="00034511">
        <w:trPr>
          <w:trHeight w:val="300"/>
          <w:tblHeader/>
        </w:trPr>
        <w:tc>
          <w:tcPr>
            <w:tcW w:w="852" w:type="dxa"/>
            <w:shd w:val="clear" w:color="auto" w:fill="auto"/>
            <w:noWrap/>
            <w:vAlign w:val="center"/>
          </w:tcPr>
          <w:p w14:paraId="247319B4"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6.1.2.</w:t>
            </w:r>
          </w:p>
        </w:tc>
        <w:tc>
          <w:tcPr>
            <w:tcW w:w="10072" w:type="dxa"/>
            <w:gridSpan w:val="3"/>
            <w:shd w:val="clear" w:color="auto" w:fill="auto"/>
            <w:vAlign w:val="center"/>
          </w:tcPr>
          <w:p w14:paraId="6EADCCBA" w14:textId="77777777" w:rsidR="00440295" w:rsidRPr="008A713F" w:rsidRDefault="00440295" w:rsidP="00034511">
            <w:pPr>
              <w:rPr>
                <w:rFonts w:ascii="Tahoma" w:hAnsi="Tahoma" w:cs="Tahoma"/>
                <w:sz w:val="18"/>
                <w:szCs w:val="18"/>
                <w:vertAlign w:val="superscript"/>
              </w:rPr>
            </w:pPr>
            <w:r w:rsidRPr="008A713F">
              <w:rPr>
                <w:rFonts w:ascii="Tahoma" w:hAnsi="Tahoma" w:cs="Tahoma"/>
                <w:sz w:val="18"/>
                <w:szCs w:val="18"/>
              </w:rPr>
              <w:t>ежемесячный лимит совершения операций выдачи наличных в банкоматах и в пунктах выдачи наличных (далее - ПВН) любых банков, в т.ч.  Банке (в течение календарного месяца)</w:t>
            </w:r>
            <w:r w:rsidRPr="008A713F">
              <w:rPr>
                <w:rFonts w:ascii="Tahoma" w:hAnsi="Tahoma" w:cs="Tahoma"/>
                <w:sz w:val="18"/>
                <w:szCs w:val="18"/>
                <w:vertAlign w:val="superscript"/>
              </w:rPr>
              <w:t>3</w:t>
            </w:r>
          </w:p>
        </w:tc>
        <w:tc>
          <w:tcPr>
            <w:tcW w:w="4675" w:type="dxa"/>
            <w:gridSpan w:val="2"/>
            <w:shd w:val="clear" w:color="auto" w:fill="auto"/>
            <w:noWrap/>
            <w:vAlign w:val="center"/>
          </w:tcPr>
          <w:p w14:paraId="1C940092"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1 000 000 рублей</w:t>
            </w:r>
          </w:p>
        </w:tc>
      </w:tr>
      <w:tr w:rsidR="00440295" w:rsidRPr="008A713F" w14:paraId="6293D878" w14:textId="77777777" w:rsidTr="00034511">
        <w:trPr>
          <w:trHeight w:val="300"/>
          <w:tblHeader/>
        </w:trPr>
        <w:tc>
          <w:tcPr>
            <w:tcW w:w="852" w:type="dxa"/>
            <w:shd w:val="clear" w:color="auto" w:fill="auto"/>
            <w:noWrap/>
            <w:vAlign w:val="center"/>
          </w:tcPr>
          <w:p w14:paraId="4F3DC235"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6.1.3.</w:t>
            </w:r>
          </w:p>
        </w:tc>
        <w:tc>
          <w:tcPr>
            <w:tcW w:w="10072" w:type="dxa"/>
            <w:gridSpan w:val="3"/>
            <w:shd w:val="clear" w:color="auto" w:fill="auto"/>
            <w:vAlign w:val="center"/>
          </w:tcPr>
          <w:p w14:paraId="0F504D7D" w14:textId="77777777" w:rsidR="00440295" w:rsidRPr="008A713F" w:rsidRDefault="00440295" w:rsidP="00034511">
            <w:pPr>
              <w:rPr>
                <w:rFonts w:ascii="Tahoma" w:hAnsi="Tahoma" w:cs="Tahoma"/>
                <w:sz w:val="18"/>
                <w:szCs w:val="18"/>
              </w:rPr>
            </w:pPr>
            <w:r w:rsidRPr="008A713F">
              <w:rPr>
                <w:rFonts w:ascii="Tahoma" w:hAnsi="Tahoma" w:cs="Tahoma"/>
                <w:sz w:val="18"/>
                <w:szCs w:val="18"/>
              </w:rPr>
              <w:t>ежедневный лимит снятия наличных в ТСП, предоставляющих услугу выдачи наличных денежных средств при совершении покупки ( от 00 до 24 ч. Московского времени)</w:t>
            </w:r>
            <w:r w:rsidRPr="008A713F">
              <w:rPr>
                <w:rFonts w:ascii="Tahoma" w:hAnsi="Tahoma" w:cs="Tahoma"/>
                <w:sz w:val="18"/>
                <w:szCs w:val="18"/>
                <w:vertAlign w:val="superscript"/>
              </w:rPr>
              <w:t xml:space="preserve">4 </w:t>
            </w:r>
            <w:r w:rsidRPr="008A713F">
              <w:rPr>
                <w:rFonts w:ascii="Tahoma" w:hAnsi="Tahoma" w:cs="Tahoma"/>
                <w:sz w:val="18"/>
                <w:szCs w:val="18"/>
              </w:rPr>
              <w:t>с одного Счета Карты Клиента</w:t>
            </w:r>
          </w:p>
        </w:tc>
        <w:tc>
          <w:tcPr>
            <w:tcW w:w="4675" w:type="dxa"/>
            <w:gridSpan w:val="2"/>
            <w:shd w:val="clear" w:color="auto" w:fill="auto"/>
            <w:noWrap/>
            <w:vAlign w:val="center"/>
          </w:tcPr>
          <w:p w14:paraId="16B96CE9"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5 000 рублей</w:t>
            </w:r>
          </w:p>
        </w:tc>
      </w:tr>
      <w:tr w:rsidR="00440295" w:rsidRPr="008A713F" w14:paraId="415958E4" w14:textId="77777777" w:rsidTr="00034511">
        <w:trPr>
          <w:trHeight w:val="300"/>
          <w:tblHeader/>
        </w:trPr>
        <w:tc>
          <w:tcPr>
            <w:tcW w:w="852" w:type="dxa"/>
            <w:shd w:val="clear" w:color="auto" w:fill="auto"/>
            <w:noWrap/>
            <w:vAlign w:val="center"/>
          </w:tcPr>
          <w:p w14:paraId="5CE46BC7"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6.1.4.</w:t>
            </w:r>
          </w:p>
        </w:tc>
        <w:tc>
          <w:tcPr>
            <w:tcW w:w="10072" w:type="dxa"/>
            <w:gridSpan w:val="3"/>
            <w:shd w:val="clear" w:color="auto" w:fill="auto"/>
            <w:vAlign w:val="center"/>
          </w:tcPr>
          <w:p w14:paraId="4207989F" w14:textId="77777777" w:rsidR="00440295" w:rsidRPr="008A713F" w:rsidRDefault="00440295" w:rsidP="00034511">
            <w:pPr>
              <w:rPr>
                <w:rFonts w:ascii="Tahoma" w:hAnsi="Tahoma" w:cs="Tahoma"/>
                <w:sz w:val="18"/>
                <w:szCs w:val="18"/>
              </w:rPr>
            </w:pPr>
            <w:r w:rsidRPr="008A713F">
              <w:rPr>
                <w:rFonts w:ascii="Tahoma" w:hAnsi="Tahoma" w:cs="Tahoma"/>
                <w:sz w:val="18"/>
                <w:szCs w:val="18"/>
              </w:rPr>
              <w:t>ежемесячный лимит снятия наличных в ТСП, предоставляющих услугу выдачи наличных денежных средств при совершении покупки ( от 00 до 24 ч. Московского времени)</w:t>
            </w:r>
            <w:r w:rsidRPr="008A713F">
              <w:rPr>
                <w:rFonts w:ascii="Tahoma" w:hAnsi="Tahoma" w:cs="Tahoma"/>
                <w:sz w:val="18"/>
                <w:szCs w:val="18"/>
                <w:vertAlign w:val="superscript"/>
              </w:rPr>
              <w:t>4</w:t>
            </w:r>
            <w:r w:rsidRPr="008A713F">
              <w:rPr>
                <w:rFonts w:ascii="Tahoma" w:hAnsi="Tahoma" w:cs="Tahoma"/>
                <w:sz w:val="18"/>
                <w:szCs w:val="18"/>
              </w:rPr>
              <w:t xml:space="preserve"> с одного Счета Карты Клиента</w:t>
            </w:r>
          </w:p>
        </w:tc>
        <w:tc>
          <w:tcPr>
            <w:tcW w:w="4675" w:type="dxa"/>
            <w:gridSpan w:val="2"/>
            <w:shd w:val="clear" w:color="auto" w:fill="auto"/>
            <w:noWrap/>
            <w:vAlign w:val="center"/>
          </w:tcPr>
          <w:p w14:paraId="3876D1BF"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30 000 рублей</w:t>
            </w:r>
          </w:p>
        </w:tc>
      </w:tr>
      <w:tr w:rsidR="00440295" w:rsidRPr="008A713F" w14:paraId="2387C6A5" w14:textId="77777777" w:rsidTr="00034511">
        <w:trPr>
          <w:trHeight w:val="161"/>
          <w:tblHeader/>
        </w:trPr>
        <w:tc>
          <w:tcPr>
            <w:tcW w:w="852" w:type="dxa"/>
            <w:shd w:val="clear" w:color="auto" w:fill="D9D9D9" w:themeFill="background1" w:themeFillShade="D9"/>
            <w:noWrap/>
            <w:vAlign w:val="center"/>
            <w:hideMark/>
          </w:tcPr>
          <w:p w14:paraId="1BB3E7C4"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6.2.</w:t>
            </w:r>
          </w:p>
        </w:tc>
        <w:tc>
          <w:tcPr>
            <w:tcW w:w="14747" w:type="dxa"/>
            <w:gridSpan w:val="5"/>
            <w:shd w:val="clear" w:color="auto" w:fill="D9D9D9" w:themeFill="background1" w:themeFillShade="D9"/>
            <w:noWrap/>
            <w:vAlign w:val="center"/>
            <w:hideMark/>
          </w:tcPr>
          <w:p w14:paraId="5FCF01E0" w14:textId="77777777" w:rsidR="00440295" w:rsidRPr="008A713F" w:rsidRDefault="00440295" w:rsidP="00034511">
            <w:pPr>
              <w:jc w:val="center"/>
              <w:rPr>
                <w:rFonts w:ascii="Tahoma" w:hAnsi="Tahoma" w:cs="Tahoma"/>
                <w:b/>
                <w:bCs/>
                <w:sz w:val="18"/>
                <w:szCs w:val="18"/>
                <w:vertAlign w:val="superscript"/>
              </w:rPr>
            </w:pPr>
            <w:r w:rsidRPr="008A713F">
              <w:rPr>
                <w:rFonts w:ascii="Tahoma" w:hAnsi="Tahoma" w:cs="Tahoma"/>
                <w:b/>
                <w:bCs/>
                <w:sz w:val="18"/>
                <w:szCs w:val="18"/>
              </w:rPr>
              <w:t xml:space="preserve">Комиссия за совершение безналичных операций </w:t>
            </w:r>
            <w:r w:rsidRPr="008A713F">
              <w:rPr>
                <w:rFonts w:ascii="Tahoma" w:hAnsi="Tahoma" w:cs="Tahoma"/>
                <w:b/>
                <w:sz w:val="18"/>
                <w:szCs w:val="18"/>
              </w:rPr>
              <w:t>(оплата товаров, работ, услуг, результатов интеллектуальной деятельности)</w:t>
            </w:r>
            <w:r w:rsidRPr="008A713F">
              <w:rPr>
                <w:rFonts w:ascii="Tahoma" w:hAnsi="Tahoma" w:cs="Tahoma"/>
                <w:b/>
                <w:sz w:val="18"/>
                <w:szCs w:val="18"/>
                <w:vertAlign w:val="superscript"/>
              </w:rPr>
              <w:t>24</w:t>
            </w:r>
            <w:r w:rsidRPr="008A713F">
              <w:rPr>
                <w:rFonts w:ascii="Tahoma" w:hAnsi="Tahoma" w:cs="Tahoma"/>
                <w:b/>
                <w:bCs/>
                <w:sz w:val="18"/>
                <w:szCs w:val="18"/>
                <w:vertAlign w:val="superscript"/>
              </w:rPr>
              <w:t xml:space="preserve"> </w:t>
            </w:r>
          </w:p>
        </w:tc>
      </w:tr>
      <w:tr w:rsidR="00440295" w:rsidRPr="008A713F" w14:paraId="1517370A" w14:textId="77777777" w:rsidTr="00034511">
        <w:trPr>
          <w:trHeight w:val="265"/>
          <w:tblHeader/>
        </w:trPr>
        <w:tc>
          <w:tcPr>
            <w:tcW w:w="852" w:type="dxa"/>
            <w:shd w:val="clear" w:color="auto" w:fill="auto"/>
            <w:noWrap/>
            <w:vAlign w:val="center"/>
            <w:hideMark/>
          </w:tcPr>
          <w:p w14:paraId="2ADC5A5F"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6.2.1.</w:t>
            </w:r>
          </w:p>
        </w:tc>
        <w:tc>
          <w:tcPr>
            <w:tcW w:w="10072" w:type="dxa"/>
            <w:gridSpan w:val="3"/>
            <w:shd w:val="clear" w:color="auto" w:fill="auto"/>
            <w:vAlign w:val="center"/>
            <w:hideMark/>
          </w:tcPr>
          <w:p w14:paraId="6283AB5A" w14:textId="77777777" w:rsidR="00440295" w:rsidRPr="008A713F" w:rsidRDefault="00440295" w:rsidP="00034511">
            <w:pPr>
              <w:rPr>
                <w:rFonts w:ascii="Tahoma" w:hAnsi="Tahoma" w:cs="Tahoma"/>
                <w:sz w:val="18"/>
                <w:szCs w:val="18"/>
              </w:rPr>
            </w:pPr>
            <w:r w:rsidRPr="008A713F">
              <w:rPr>
                <w:rFonts w:ascii="Tahoma" w:hAnsi="Tahoma" w:cs="Tahoma"/>
                <w:sz w:val="18"/>
                <w:szCs w:val="18"/>
              </w:rPr>
              <w:t>- в ТСП и сети Интернет, от суммы операции;</w:t>
            </w:r>
          </w:p>
          <w:p w14:paraId="7051886A" w14:textId="77777777" w:rsidR="00440295" w:rsidRPr="008A713F" w:rsidRDefault="00440295" w:rsidP="00034511">
            <w:pPr>
              <w:rPr>
                <w:rFonts w:ascii="Tahoma" w:hAnsi="Tahoma" w:cs="Tahoma"/>
                <w:sz w:val="18"/>
                <w:szCs w:val="18"/>
              </w:rPr>
            </w:pPr>
            <w:r w:rsidRPr="008A713F">
              <w:rPr>
                <w:rFonts w:ascii="Tahoma" w:hAnsi="Tahoma" w:cs="Tahoma"/>
                <w:sz w:val="18"/>
                <w:szCs w:val="18"/>
              </w:rPr>
              <w:t>- переводы денежных средств в пользу юридических лиц, индивидуальных предпринимателей и Самозанятых с использованием QR-кодов и URL-ссылок, от суммы операции.</w:t>
            </w:r>
          </w:p>
        </w:tc>
        <w:tc>
          <w:tcPr>
            <w:tcW w:w="4675" w:type="dxa"/>
            <w:gridSpan w:val="2"/>
            <w:shd w:val="clear" w:color="auto" w:fill="auto"/>
            <w:noWrap/>
            <w:vAlign w:val="center"/>
            <w:hideMark/>
          </w:tcPr>
          <w:p w14:paraId="02EB39DB"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БЕСПЛАТНО</w:t>
            </w:r>
          </w:p>
        </w:tc>
      </w:tr>
      <w:tr w:rsidR="00440295" w:rsidRPr="008A713F" w14:paraId="0393A4B9" w14:textId="77777777" w:rsidTr="00034511">
        <w:trPr>
          <w:trHeight w:val="672"/>
          <w:tblHeader/>
        </w:trPr>
        <w:tc>
          <w:tcPr>
            <w:tcW w:w="852" w:type="dxa"/>
            <w:shd w:val="clear" w:color="auto" w:fill="auto"/>
            <w:noWrap/>
            <w:vAlign w:val="center"/>
            <w:hideMark/>
          </w:tcPr>
          <w:p w14:paraId="36A7421E"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6.2.2.</w:t>
            </w:r>
          </w:p>
        </w:tc>
        <w:tc>
          <w:tcPr>
            <w:tcW w:w="10072" w:type="dxa"/>
            <w:gridSpan w:val="3"/>
            <w:shd w:val="clear" w:color="auto" w:fill="auto"/>
            <w:vAlign w:val="center"/>
            <w:hideMark/>
          </w:tcPr>
          <w:p w14:paraId="49A04E51" w14:textId="77777777" w:rsidR="00440295" w:rsidRPr="008A713F" w:rsidRDefault="00440295" w:rsidP="00034511">
            <w:pPr>
              <w:rPr>
                <w:rFonts w:ascii="Tahoma" w:hAnsi="Tahoma" w:cs="Tahoma"/>
                <w:sz w:val="18"/>
                <w:szCs w:val="18"/>
              </w:rPr>
            </w:pPr>
            <w:r w:rsidRPr="008A713F">
              <w:rPr>
                <w:rFonts w:ascii="Tahoma" w:hAnsi="Tahoma" w:cs="Tahoma"/>
                <w:sz w:val="18"/>
                <w:szCs w:val="18"/>
              </w:rPr>
              <w:t>проведение «уникальных» транзакций</w:t>
            </w:r>
            <w:r w:rsidRPr="008A713F">
              <w:rPr>
                <w:rFonts w:ascii="Tahoma" w:hAnsi="Tahoma" w:cs="Tahoma"/>
                <w:sz w:val="18"/>
                <w:szCs w:val="18"/>
                <w:vertAlign w:val="superscript"/>
              </w:rPr>
              <w:t xml:space="preserve"> </w:t>
            </w:r>
            <w:r w:rsidRPr="008A713F">
              <w:rPr>
                <w:rFonts w:ascii="Tahoma" w:hAnsi="Tahoma" w:cs="Tahoma"/>
                <w:sz w:val="18"/>
                <w:szCs w:val="18"/>
              </w:rPr>
              <w:t xml:space="preserve">(за исключением операций, перечисленных в п. </w:t>
            </w:r>
            <w:r w:rsidRPr="008A713F">
              <w:rPr>
                <w:rFonts w:ascii="Tahoma" w:hAnsi="Tahoma" w:cs="Tahoma"/>
                <w:sz w:val="18"/>
                <w:szCs w:val="18"/>
                <w:highlight w:val="yellow"/>
              </w:rPr>
              <w:t>6.2.3</w:t>
            </w:r>
            <w:r w:rsidRPr="008A713F">
              <w:rPr>
                <w:rFonts w:ascii="Tahoma" w:hAnsi="Tahoma" w:cs="Tahoma"/>
                <w:sz w:val="18"/>
                <w:szCs w:val="18"/>
              </w:rPr>
              <w:t>. настоящего документа): квази-cash (оплата дорожных чеков, денежных обязательств), «игровые транзакции» (оплата лотерейных билетов, игровых фишек в казино) и пр.</w:t>
            </w:r>
          </w:p>
        </w:tc>
        <w:tc>
          <w:tcPr>
            <w:tcW w:w="4675" w:type="dxa"/>
            <w:gridSpan w:val="2"/>
            <w:shd w:val="clear" w:color="auto" w:fill="auto"/>
            <w:noWrap/>
            <w:vAlign w:val="center"/>
            <w:hideMark/>
          </w:tcPr>
          <w:p w14:paraId="25E955F7"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4,9% от суммы операции+590 рублей</w:t>
            </w:r>
          </w:p>
        </w:tc>
      </w:tr>
      <w:tr w:rsidR="00440295" w:rsidRPr="008A713F" w14:paraId="34826F73" w14:textId="77777777" w:rsidTr="00034511">
        <w:trPr>
          <w:trHeight w:val="840"/>
          <w:tblHeader/>
        </w:trPr>
        <w:tc>
          <w:tcPr>
            <w:tcW w:w="852" w:type="dxa"/>
            <w:vMerge w:val="restart"/>
            <w:shd w:val="clear" w:color="auto" w:fill="auto"/>
            <w:noWrap/>
            <w:vAlign w:val="center"/>
          </w:tcPr>
          <w:p w14:paraId="52230554"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6.2.3.</w:t>
            </w:r>
          </w:p>
        </w:tc>
        <w:tc>
          <w:tcPr>
            <w:tcW w:w="3261" w:type="dxa"/>
            <w:vMerge w:val="restart"/>
            <w:shd w:val="clear" w:color="auto" w:fill="auto"/>
            <w:vAlign w:val="center"/>
          </w:tcPr>
          <w:p w14:paraId="2490433B" w14:textId="77777777" w:rsidR="00440295" w:rsidRPr="008A713F" w:rsidRDefault="00440295" w:rsidP="00034511">
            <w:pPr>
              <w:rPr>
                <w:rFonts w:ascii="Tahoma" w:hAnsi="Tahoma" w:cs="Tahoma"/>
                <w:sz w:val="18"/>
                <w:szCs w:val="18"/>
                <w:lang w:val="en-US"/>
              </w:rPr>
            </w:pPr>
            <w:r w:rsidRPr="008A713F">
              <w:rPr>
                <w:rFonts w:ascii="Tahoma" w:hAnsi="Tahoma" w:cs="Tahoma"/>
                <w:sz w:val="18"/>
                <w:szCs w:val="18"/>
              </w:rPr>
              <w:t>безналичные</w:t>
            </w:r>
            <w:r w:rsidRPr="008A713F">
              <w:rPr>
                <w:rFonts w:ascii="Tahoma" w:hAnsi="Tahoma" w:cs="Tahoma"/>
                <w:sz w:val="18"/>
                <w:szCs w:val="18"/>
                <w:lang w:val="en-US"/>
              </w:rPr>
              <w:t xml:space="preserve"> </w:t>
            </w:r>
            <w:r w:rsidRPr="008A713F">
              <w:rPr>
                <w:rFonts w:ascii="Tahoma" w:hAnsi="Tahoma" w:cs="Tahoma"/>
                <w:sz w:val="18"/>
                <w:szCs w:val="18"/>
              </w:rPr>
              <w:t>операции</w:t>
            </w:r>
            <w:r w:rsidRPr="008A713F">
              <w:rPr>
                <w:rFonts w:ascii="Tahoma" w:hAnsi="Tahoma" w:cs="Tahoma"/>
                <w:sz w:val="18"/>
                <w:szCs w:val="18"/>
                <w:lang w:val="en-US"/>
              </w:rPr>
              <w:t xml:space="preserve"> </w:t>
            </w:r>
            <w:r w:rsidRPr="008A713F">
              <w:rPr>
                <w:rFonts w:ascii="Tahoma" w:hAnsi="Tahoma" w:cs="Tahoma"/>
                <w:sz w:val="18"/>
                <w:szCs w:val="18"/>
              </w:rPr>
              <w:t>с</w:t>
            </w:r>
            <w:r w:rsidRPr="008A713F">
              <w:rPr>
                <w:rFonts w:ascii="Tahoma" w:hAnsi="Tahoma" w:cs="Tahoma"/>
                <w:sz w:val="18"/>
                <w:szCs w:val="18"/>
                <w:lang w:val="en-US"/>
              </w:rPr>
              <w:t xml:space="preserve"> </w:t>
            </w:r>
            <w:r w:rsidRPr="008A713F">
              <w:rPr>
                <w:rFonts w:ascii="Tahoma" w:hAnsi="Tahoma" w:cs="Tahoma"/>
                <w:sz w:val="18"/>
                <w:szCs w:val="18"/>
              </w:rPr>
              <w:t>кодами</w:t>
            </w:r>
            <w:r w:rsidRPr="008A713F">
              <w:rPr>
                <w:rFonts w:ascii="Tahoma" w:hAnsi="Tahoma" w:cs="Tahoma"/>
                <w:sz w:val="18"/>
                <w:szCs w:val="18"/>
                <w:lang w:val="en-US"/>
              </w:rPr>
              <w:t xml:space="preserve"> </w:t>
            </w:r>
            <w:r w:rsidRPr="008A713F">
              <w:rPr>
                <w:rFonts w:ascii="Tahoma" w:hAnsi="Tahoma" w:cs="Tahoma"/>
                <w:sz w:val="18"/>
                <w:szCs w:val="18"/>
              </w:rPr>
              <w:t>МСС</w:t>
            </w:r>
            <w:r w:rsidRPr="008A713F">
              <w:rPr>
                <w:rFonts w:ascii="Tahoma" w:hAnsi="Tahoma" w:cs="Tahoma"/>
                <w:sz w:val="18"/>
                <w:szCs w:val="18"/>
                <w:lang w:val="en-US"/>
              </w:rPr>
              <w:t xml:space="preserve"> 4829 «Money Transfer», 6012 «Member Financial Institution», 6538 «MoneySend Funding», 6534 «Money Transfer-Member Financial Institution», 6051 «Foreign Currency,Money,Tc`S. Non-FI, Money Orders»</w:t>
            </w:r>
          </w:p>
        </w:tc>
        <w:tc>
          <w:tcPr>
            <w:tcW w:w="6811" w:type="dxa"/>
            <w:gridSpan w:val="2"/>
            <w:shd w:val="clear" w:color="auto" w:fill="auto"/>
            <w:vAlign w:val="center"/>
          </w:tcPr>
          <w:p w14:paraId="4D6FEE7F" w14:textId="77777777" w:rsidR="00440295" w:rsidRPr="008A713F" w:rsidRDefault="00440295" w:rsidP="00034511">
            <w:pPr>
              <w:rPr>
                <w:rFonts w:ascii="Tahoma" w:hAnsi="Tahoma" w:cs="Tahoma"/>
                <w:sz w:val="18"/>
                <w:szCs w:val="18"/>
              </w:rPr>
            </w:pPr>
            <w:r w:rsidRPr="008A713F">
              <w:rPr>
                <w:rFonts w:ascii="Tahoma" w:hAnsi="Tahoma" w:cs="Tahoma"/>
                <w:sz w:val="18"/>
                <w:szCs w:val="18"/>
              </w:rPr>
              <w:t>за счет</w:t>
            </w:r>
            <w:r w:rsidRPr="008A713F">
              <w:rPr>
                <w:rFonts w:ascii="Tahoma" w:hAnsi="Tahoma" w:cs="Tahoma"/>
                <w:b/>
                <w:bCs/>
                <w:sz w:val="18"/>
                <w:szCs w:val="18"/>
              </w:rPr>
              <w:t xml:space="preserve"> </w:t>
            </w:r>
            <w:r w:rsidRPr="008A713F">
              <w:rPr>
                <w:rFonts w:ascii="Tahoma" w:hAnsi="Tahoma" w:cs="Tahoma"/>
                <w:sz w:val="18"/>
                <w:szCs w:val="18"/>
              </w:rPr>
              <w:t>установленного Лимита кредитования</w:t>
            </w:r>
          </w:p>
        </w:tc>
        <w:tc>
          <w:tcPr>
            <w:tcW w:w="4675" w:type="dxa"/>
            <w:gridSpan w:val="2"/>
            <w:shd w:val="clear" w:color="auto" w:fill="auto"/>
            <w:noWrap/>
            <w:vAlign w:val="center"/>
          </w:tcPr>
          <w:p w14:paraId="5A1D6397"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4,9% от суммы операции+590 рублей</w:t>
            </w:r>
          </w:p>
        </w:tc>
      </w:tr>
      <w:tr w:rsidR="00440295" w:rsidRPr="008A713F" w14:paraId="429E17AD" w14:textId="77777777" w:rsidTr="00034511">
        <w:trPr>
          <w:trHeight w:val="863"/>
          <w:tblHeader/>
        </w:trPr>
        <w:tc>
          <w:tcPr>
            <w:tcW w:w="852" w:type="dxa"/>
            <w:vMerge/>
            <w:shd w:val="clear" w:color="auto" w:fill="auto"/>
            <w:noWrap/>
            <w:vAlign w:val="center"/>
          </w:tcPr>
          <w:p w14:paraId="0AFA4F38" w14:textId="77777777" w:rsidR="00440295" w:rsidRPr="008A713F" w:rsidRDefault="00440295" w:rsidP="00034511">
            <w:pPr>
              <w:jc w:val="center"/>
              <w:rPr>
                <w:rFonts w:ascii="Tahoma" w:hAnsi="Tahoma" w:cs="Tahoma"/>
                <w:sz w:val="18"/>
                <w:szCs w:val="18"/>
              </w:rPr>
            </w:pPr>
          </w:p>
        </w:tc>
        <w:tc>
          <w:tcPr>
            <w:tcW w:w="3261" w:type="dxa"/>
            <w:vMerge/>
            <w:shd w:val="clear" w:color="auto" w:fill="auto"/>
            <w:vAlign w:val="center"/>
          </w:tcPr>
          <w:p w14:paraId="3FBDD2E9" w14:textId="77777777" w:rsidR="00440295" w:rsidRPr="008A713F" w:rsidRDefault="00440295" w:rsidP="00034511">
            <w:pPr>
              <w:rPr>
                <w:rFonts w:ascii="Tahoma" w:hAnsi="Tahoma" w:cs="Tahoma"/>
                <w:sz w:val="18"/>
                <w:szCs w:val="18"/>
              </w:rPr>
            </w:pPr>
          </w:p>
        </w:tc>
        <w:tc>
          <w:tcPr>
            <w:tcW w:w="6811" w:type="dxa"/>
            <w:gridSpan w:val="2"/>
            <w:shd w:val="clear" w:color="auto" w:fill="auto"/>
            <w:vAlign w:val="center"/>
          </w:tcPr>
          <w:p w14:paraId="70511DFE" w14:textId="77777777" w:rsidR="00440295" w:rsidRPr="008A713F" w:rsidRDefault="00440295" w:rsidP="00034511">
            <w:pPr>
              <w:rPr>
                <w:rFonts w:ascii="Tahoma" w:hAnsi="Tahoma" w:cs="Tahoma"/>
                <w:sz w:val="18"/>
                <w:szCs w:val="18"/>
              </w:rPr>
            </w:pPr>
            <w:r w:rsidRPr="008A713F">
              <w:rPr>
                <w:rFonts w:ascii="Tahoma" w:hAnsi="Tahoma" w:cs="Tahoma"/>
                <w:sz w:val="18"/>
                <w:szCs w:val="18"/>
              </w:rPr>
              <w:t>при положительном балансе на Счете Карты (наличии средств, находящихся на Счете Карты сверх установленного Лимита кредитования)</w:t>
            </w:r>
          </w:p>
        </w:tc>
        <w:tc>
          <w:tcPr>
            <w:tcW w:w="4675" w:type="dxa"/>
            <w:gridSpan w:val="2"/>
            <w:shd w:val="clear" w:color="auto" w:fill="auto"/>
            <w:noWrap/>
            <w:vAlign w:val="center"/>
          </w:tcPr>
          <w:p w14:paraId="72F881F2"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БЕСПЛАТНО</w:t>
            </w:r>
          </w:p>
        </w:tc>
      </w:tr>
      <w:tr w:rsidR="00440295" w:rsidRPr="008A713F" w14:paraId="2F944188" w14:textId="77777777" w:rsidTr="00034511">
        <w:trPr>
          <w:trHeight w:val="300"/>
          <w:tblHeader/>
        </w:trPr>
        <w:tc>
          <w:tcPr>
            <w:tcW w:w="852" w:type="dxa"/>
            <w:shd w:val="clear" w:color="auto" w:fill="D9D9D9" w:themeFill="background1" w:themeFillShade="D9"/>
            <w:noWrap/>
            <w:vAlign w:val="center"/>
            <w:hideMark/>
          </w:tcPr>
          <w:p w14:paraId="45FF1DF1"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6.3.</w:t>
            </w:r>
          </w:p>
        </w:tc>
        <w:tc>
          <w:tcPr>
            <w:tcW w:w="14747" w:type="dxa"/>
            <w:gridSpan w:val="5"/>
            <w:shd w:val="clear" w:color="auto" w:fill="D9D9D9" w:themeFill="background1" w:themeFillShade="D9"/>
            <w:vAlign w:val="center"/>
            <w:hideMark/>
          </w:tcPr>
          <w:p w14:paraId="672C7513"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Комиссия за выдачу наличных денежных средств с учетом лимитов совершения операций</w:t>
            </w:r>
          </w:p>
        </w:tc>
      </w:tr>
      <w:tr w:rsidR="00440295" w:rsidRPr="008A713F" w14:paraId="32337AC4" w14:textId="77777777" w:rsidTr="00034511">
        <w:trPr>
          <w:trHeight w:val="278"/>
          <w:tblHeader/>
        </w:trPr>
        <w:tc>
          <w:tcPr>
            <w:tcW w:w="852" w:type="dxa"/>
            <w:vMerge w:val="restart"/>
            <w:shd w:val="clear" w:color="auto" w:fill="auto"/>
            <w:noWrap/>
            <w:vAlign w:val="center"/>
          </w:tcPr>
          <w:p w14:paraId="65A2B9E6"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6.3.1.</w:t>
            </w:r>
          </w:p>
        </w:tc>
        <w:tc>
          <w:tcPr>
            <w:tcW w:w="3261" w:type="dxa"/>
            <w:vMerge w:val="restart"/>
            <w:shd w:val="clear" w:color="auto" w:fill="auto"/>
            <w:vAlign w:val="center"/>
          </w:tcPr>
          <w:p w14:paraId="2EC28EF0" w14:textId="77777777" w:rsidR="00440295" w:rsidRPr="008A713F" w:rsidRDefault="00440295" w:rsidP="00034511">
            <w:pPr>
              <w:rPr>
                <w:rFonts w:ascii="Tahoma" w:hAnsi="Tahoma" w:cs="Tahoma"/>
                <w:sz w:val="18"/>
                <w:szCs w:val="18"/>
              </w:rPr>
            </w:pPr>
            <w:r w:rsidRPr="008A713F">
              <w:rPr>
                <w:rFonts w:ascii="Tahoma" w:hAnsi="Tahoma" w:cs="Tahoma"/>
                <w:sz w:val="18"/>
                <w:szCs w:val="18"/>
              </w:rPr>
              <w:t>в ПВН, в том числе без использования Карты и банкоматах  Банка, от суммы операции</w:t>
            </w:r>
          </w:p>
        </w:tc>
        <w:tc>
          <w:tcPr>
            <w:tcW w:w="6811" w:type="dxa"/>
            <w:gridSpan w:val="2"/>
            <w:vMerge w:val="restart"/>
            <w:shd w:val="clear" w:color="auto" w:fill="auto"/>
            <w:vAlign w:val="center"/>
          </w:tcPr>
          <w:p w14:paraId="78F2539E" w14:textId="77777777" w:rsidR="00440295" w:rsidRPr="008A713F" w:rsidRDefault="00440295" w:rsidP="00034511">
            <w:pPr>
              <w:rPr>
                <w:rFonts w:ascii="Tahoma" w:hAnsi="Tahoma" w:cs="Tahoma"/>
                <w:b/>
                <w:sz w:val="18"/>
                <w:szCs w:val="18"/>
              </w:rPr>
            </w:pPr>
            <w:r w:rsidRPr="008A713F">
              <w:rPr>
                <w:rFonts w:ascii="Tahoma" w:hAnsi="Tahoma" w:cs="Tahoma"/>
                <w:sz w:val="18"/>
                <w:szCs w:val="18"/>
              </w:rPr>
              <w:t>за счет</w:t>
            </w:r>
            <w:r w:rsidRPr="008A713F">
              <w:rPr>
                <w:rFonts w:ascii="Tahoma" w:hAnsi="Tahoma" w:cs="Tahoma"/>
                <w:b/>
                <w:bCs/>
                <w:sz w:val="18"/>
                <w:szCs w:val="18"/>
              </w:rPr>
              <w:t xml:space="preserve"> </w:t>
            </w:r>
            <w:r w:rsidRPr="008A713F">
              <w:rPr>
                <w:rFonts w:ascii="Tahoma" w:hAnsi="Tahoma" w:cs="Tahoma"/>
                <w:sz w:val="18"/>
                <w:szCs w:val="18"/>
              </w:rPr>
              <w:t>установленного Лимита кредитования</w:t>
            </w:r>
          </w:p>
        </w:tc>
        <w:tc>
          <w:tcPr>
            <w:tcW w:w="4675" w:type="dxa"/>
            <w:gridSpan w:val="2"/>
            <w:shd w:val="clear" w:color="auto" w:fill="auto"/>
            <w:noWrap/>
            <w:vAlign w:val="center"/>
          </w:tcPr>
          <w:p w14:paraId="037ECAB7" w14:textId="77777777" w:rsidR="00440295" w:rsidRPr="008A713F" w:rsidRDefault="00440295" w:rsidP="00034511">
            <w:pPr>
              <w:jc w:val="center"/>
              <w:rPr>
                <w:rFonts w:ascii="Tahoma" w:hAnsi="Tahoma" w:cs="Tahoma"/>
                <w:b/>
                <w:bCs/>
                <w:sz w:val="18"/>
                <w:szCs w:val="18"/>
              </w:rPr>
            </w:pPr>
            <w:r w:rsidRPr="008A713F">
              <w:rPr>
                <w:rFonts w:ascii="Tahoma" w:hAnsi="Tahoma" w:cs="Tahoma"/>
                <w:b/>
                <w:sz w:val="18"/>
                <w:szCs w:val="18"/>
              </w:rPr>
              <w:t xml:space="preserve">Ежемесячно до 30 000 рублей: </w:t>
            </w:r>
            <w:r w:rsidRPr="008A713F">
              <w:rPr>
                <w:rFonts w:ascii="Tahoma" w:hAnsi="Tahoma" w:cs="Tahoma"/>
                <w:b/>
                <w:bCs/>
                <w:sz w:val="18"/>
                <w:szCs w:val="18"/>
              </w:rPr>
              <w:t>БЕСПЛАТНО</w:t>
            </w:r>
          </w:p>
        </w:tc>
      </w:tr>
      <w:tr w:rsidR="00440295" w:rsidRPr="008A713F" w14:paraId="7BEE83B1" w14:textId="77777777" w:rsidTr="00034511">
        <w:trPr>
          <w:trHeight w:hRule="exact" w:val="550"/>
          <w:tblHeader/>
        </w:trPr>
        <w:tc>
          <w:tcPr>
            <w:tcW w:w="852" w:type="dxa"/>
            <w:vMerge/>
            <w:shd w:val="clear" w:color="auto" w:fill="auto"/>
            <w:noWrap/>
            <w:vAlign w:val="center"/>
          </w:tcPr>
          <w:p w14:paraId="7BF97216" w14:textId="77777777" w:rsidR="00440295" w:rsidRPr="008A713F" w:rsidRDefault="00440295" w:rsidP="00034511">
            <w:pPr>
              <w:jc w:val="center"/>
              <w:rPr>
                <w:rFonts w:ascii="Tahoma" w:hAnsi="Tahoma" w:cs="Tahoma"/>
                <w:sz w:val="18"/>
                <w:szCs w:val="18"/>
              </w:rPr>
            </w:pPr>
          </w:p>
        </w:tc>
        <w:tc>
          <w:tcPr>
            <w:tcW w:w="3261" w:type="dxa"/>
            <w:vMerge/>
            <w:shd w:val="clear" w:color="auto" w:fill="auto"/>
            <w:vAlign w:val="center"/>
          </w:tcPr>
          <w:p w14:paraId="2B9AC1BC" w14:textId="77777777" w:rsidR="00440295" w:rsidRPr="008A713F" w:rsidRDefault="00440295" w:rsidP="00034511">
            <w:pPr>
              <w:rPr>
                <w:rFonts w:ascii="Tahoma" w:hAnsi="Tahoma" w:cs="Tahoma"/>
                <w:sz w:val="18"/>
                <w:szCs w:val="18"/>
              </w:rPr>
            </w:pPr>
          </w:p>
        </w:tc>
        <w:tc>
          <w:tcPr>
            <w:tcW w:w="6811" w:type="dxa"/>
            <w:gridSpan w:val="2"/>
            <w:vMerge/>
            <w:shd w:val="clear" w:color="auto" w:fill="auto"/>
            <w:vAlign w:val="center"/>
          </w:tcPr>
          <w:p w14:paraId="6B0719FE" w14:textId="77777777" w:rsidR="00440295" w:rsidRPr="008A713F" w:rsidRDefault="00440295" w:rsidP="00034511">
            <w:pPr>
              <w:rPr>
                <w:rFonts w:ascii="Tahoma" w:hAnsi="Tahoma" w:cs="Tahoma"/>
                <w:b/>
                <w:sz w:val="18"/>
                <w:szCs w:val="18"/>
              </w:rPr>
            </w:pPr>
          </w:p>
        </w:tc>
        <w:tc>
          <w:tcPr>
            <w:tcW w:w="4675" w:type="dxa"/>
            <w:gridSpan w:val="2"/>
            <w:shd w:val="clear" w:color="auto" w:fill="auto"/>
            <w:noWrap/>
            <w:vAlign w:val="center"/>
          </w:tcPr>
          <w:p w14:paraId="0A7D172B" w14:textId="77777777" w:rsidR="00440295" w:rsidRPr="008A713F" w:rsidRDefault="00440295" w:rsidP="00034511">
            <w:pPr>
              <w:jc w:val="center"/>
              <w:rPr>
                <w:rFonts w:ascii="Tahoma" w:hAnsi="Tahoma" w:cs="Tahoma"/>
                <w:b/>
                <w:bCs/>
                <w:sz w:val="18"/>
                <w:szCs w:val="18"/>
              </w:rPr>
            </w:pPr>
            <w:r w:rsidRPr="008A713F">
              <w:rPr>
                <w:rFonts w:ascii="Tahoma" w:hAnsi="Tahoma" w:cs="Tahoma"/>
                <w:b/>
                <w:sz w:val="18"/>
                <w:szCs w:val="18"/>
              </w:rPr>
              <w:t xml:space="preserve">Свыше 30 000 рублей: </w:t>
            </w:r>
            <w:r w:rsidRPr="008A713F">
              <w:rPr>
                <w:rFonts w:ascii="Tahoma" w:hAnsi="Tahoma" w:cs="Tahoma"/>
                <w:b/>
                <w:bCs/>
                <w:sz w:val="18"/>
                <w:szCs w:val="18"/>
              </w:rPr>
              <w:t>4,9% от суммы снятия +590 рублей</w:t>
            </w:r>
          </w:p>
        </w:tc>
      </w:tr>
      <w:tr w:rsidR="00440295" w:rsidRPr="008A713F" w14:paraId="4303D3E1" w14:textId="77777777" w:rsidTr="00034511">
        <w:trPr>
          <w:trHeight w:val="447"/>
          <w:tblHeader/>
        </w:trPr>
        <w:tc>
          <w:tcPr>
            <w:tcW w:w="852" w:type="dxa"/>
            <w:vMerge/>
            <w:shd w:val="clear" w:color="auto" w:fill="auto"/>
            <w:noWrap/>
            <w:vAlign w:val="center"/>
          </w:tcPr>
          <w:p w14:paraId="083F0A8D" w14:textId="77777777" w:rsidR="00440295" w:rsidRPr="008A713F" w:rsidRDefault="00440295" w:rsidP="00034511">
            <w:pPr>
              <w:jc w:val="center"/>
              <w:rPr>
                <w:rFonts w:ascii="Tahoma" w:hAnsi="Tahoma" w:cs="Tahoma"/>
                <w:sz w:val="18"/>
                <w:szCs w:val="18"/>
              </w:rPr>
            </w:pPr>
          </w:p>
        </w:tc>
        <w:tc>
          <w:tcPr>
            <w:tcW w:w="3261" w:type="dxa"/>
            <w:vMerge/>
            <w:shd w:val="clear" w:color="auto" w:fill="auto"/>
            <w:vAlign w:val="center"/>
          </w:tcPr>
          <w:p w14:paraId="75847067" w14:textId="77777777" w:rsidR="00440295" w:rsidRPr="008A713F" w:rsidRDefault="00440295" w:rsidP="00034511">
            <w:pPr>
              <w:rPr>
                <w:rFonts w:ascii="Tahoma" w:hAnsi="Tahoma" w:cs="Tahoma"/>
                <w:b/>
                <w:sz w:val="18"/>
                <w:szCs w:val="18"/>
              </w:rPr>
            </w:pPr>
          </w:p>
        </w:tc>
        <w:tc>
          <w:tcPr>
            <w:tcW w:w="6811" w:type="dxa"/>
            <w:gridSpan w:val="2"/>
            <w:shd w:val="clear" w:color="auto" w:fill="auto"/>
            <w:vAlign w:val="center"/>
          </w:tcPr>
          <w:p w14:paraId="74D90D8F" w14:textId="77777777" w:rsidR="00440295" w:rsidRPr="008A713F" w:rsidRDefault="00440295" w:rsidP="00034511">
            <w:pPr>
              <w:rPr>
                <w:rFonts w:ascii="Tahoma" w:hAnsi="Tahoma" w:cs="Tahoma"/>
                <w:sz w:val="18"/>
                <w:szCs w:val="18"/>
              </w:rPr>
            </w:pPr>
            <w:r w:rsidRPr="008A713F">
              <w:rPr>
                <w:rFonts w:ascii="Tahoma" w:hAnsi="Tahoma" w:cs="Tahoma"/>
                <w:sz w:val="18"/>
                <w:szCs w:val="18"/>
              </w:rPr>
              <w:t>при положительном балансе на Счете Карты (наличии средств, находящихся на Счете Карты сверх установленного Лимита кредитования)</w:t>
            </w:r>
          </w:p>
        </w:tc>
        <w:tc>
          <w:tcPr>
            <w:tcW w:w="4675" w:type="dxa"/>
            <w:gridSpan w:val="2"/>
            <w:shd w:val="clear" w:color="auto" w:fill="auto"/>
            <w:noWrap/>
            <w:vAlign w:val="center"/>
          </w:tcPr>
          <w:p w14:paraId="45EA27C0"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БЕСПЛАТНО</w:t>
            </w:r>
          </w:p>
        </w:tc>
      </w:tr>
      <w:tr w:rsidR="00440295" w:rsidRPr="008A713F" w14:paraId="5ADC2742" w14:textId="77777777" w:rsidTr="00034511">
        <w:trPr>
          <w:trHeight w:val="240"/>
          <w:tblHeader/>
        </w:trPr>
        <w:tc>
          <w:tcPr>
            <w:tcW w:w="852" w:type="dxa"/>
            <w:vMerge w:val="restart"/>
            <w:shd w:val="clear" w:color="auto" w:fill="auto"/>
            <w:noWrap/>
            <w:vAlign w:val="center"/>
          </w:tcPr>
          <w:p w14:paraId="04E4447F"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6.3.2.</w:t>
            </w:r>
          </w:p>
        </w:tc>
        <w:tc>
          <w:tcPr>
            <w:tcW w:w="3261" w:type="dxa"/>
            <w:vMerge w:val="restart"/>
            <w:shd w:val="clear" w:color="auto" w:fill="auto"/>
            <w:vAlign w:val="center"/>
          </w:tcPr>
          <w:p w14:paraId="442462E0" w14:textId="77777777" w:rsidR="00440295" w:rsidRPr="008A713F" w:rsidRDefault="00440295" w:rsidP="00034511">
            <w:pPr>
              <w:rPr>
                <w:rFonts w:ascii="Tahoma" w:hAnsi="Tahoma" w:cs="Tahoma"/>
                <w:sz w:val="18"/>
                <w:szCs w:val="18"/>
              </w:rPr>
            </w:pPr>
            <w:r w:rsidRPr="008A713F">
              <w:rPr>
                <w:rFonts w:ascii="Tahoma" w:hAnsi="Tahoma" w:cs="Tahoma"/>
                <w:sz w:val="18"/>
                <w:szCs w:val="18"/>
              </w:rPr>
              <w:t>в ПВН и банкоматах других банков</w:t>
            </w:r>
            <w:r w:rsidRPr="008A713F">
              <w:rPr>
                <w:rFonts w:ascii="Tahoma" w:hAnsi="Tahoma" w:cs="Tahoma"/>
                <w:sz w:val="18"/>
                <w:szCs w:val="18"/>
                <w:vertAlign w:val="superscript"/>
              </w:rPr>
              <w:t>19</w:t>
            </w:r>
            <w:r w:rsidRPr="008A713F">
              <w:rPr>
                <w:rFonts w:ascii="Tahoma" w:hAnsi="Tahoma" w:cs="Tahoma"/>
                <w:sz w:val="18"/>
                <w:szCs w:val="18"/>
              </w:rPr>
              <w:t>, от суммы операции</w:t>
            </w:r>
            <w:r w:rsidRPr="008A713F">
              <w:rPr>
                <w:rFonts w:ascii="Tahoma" w:hAnsi="Tahoma" w:cs="Tahoma"/>
                <w:sz w:val="18"/>
                <w:szCs w:val="18"/>
                <w:vertAlign w:val="superscript"/>
              </w:rPr>
              <w:t>5</w:t>
            </w:r>
          </w:p>
        </w:tc>
        <w:tc>
          <w:tcPr>
            <w:tcW w:w="2835" w:type="dxa"/>
            <w:vMerge w:val="restart"/>
            <w:shd w:val="clear" w:color="auto" w:fill="auto"/>
            <w:vAlign w:val="center"/>
          </w:tcPr>
          <w:p w14:paraId="42F201B1" w14:textId="77777777" w:rsidR="00440295" w:rsidRPr="008A713F" w:rsidRDefault="00440295" w:rsidP="00034511">
            <w:pPr>
              <w:rPr>
                <w:rFonts w:ascii="Tahoma" w:hAnsi="Tahoma" w:cs="Tahoma"/>
                <w:b/>
                <w:sz w:val="18"/>
                <w:szCs w:val="18"/>
              </w:rPr>
            </w:pPr>
            <w:r w:rsidRPr="008A713F">
              <w:rPr>
                <w:rFonts w:ascii="Tahoma" w:hAnsi="Tahoma" w:cs="Tahoma"/>
                <w:sz w:val="18"/>
                <w:szCs w:val="18"/>
              </w:rPr>
              <w:t>за счет</w:t>
            </w:r>
            <w:r w:rsidRPr="008A713F">
              <w:rPr>
                <w:rFonts w:ascii="Tahoma" w:hAnsi="Tahoma" w:cs="Tahoma"/>
                <w:b/>
                <w:bCs/>
                <w:sz w:val="18"/>
                <w:szCs w:val="18"/>
              </w:rPr>
              <w:t xml:space="preserve"> </w:t>
            </w:r>
            <w:r w:rsidRPr="008A713F">
              <w:rPr>
                <w:rFonts w:ascii="Tahoma" w:hAnsi="Tahoma" w:cs="Tahoma"/>
                <w:sz w:val="18"/>
                <w:szCs w:val="18"/>
              </w:rPr>
              <w:t>установленного Лимита кредитования</w:t>
            </w:r>
          </w:p>
        </w:tc>
        <w:tc>
          <w:tcPr>
            <w:tcW w:w="3976" w:type="dxa"/>
            <w:shd w:val="clear" w:color="auto" w:fill="auto"/>
            <w:vAlign w:val="center"/>
          </w:tcPr>
          <w:p w14:paraId="5937C6BB" w14:textId="77777777" w:rsidR="00440295" w:rsidRPr="008A713F" w:rsidRDefault="00440295" w:rsidP="00034511">
            <w:pPr>
              <w:rPr>
                <w:rFonts w:ascii="Tahoma" w:hAnsi="Tahoma" w:cs="Tahoma"/>
                <w:sz w:val="18"/>
                <w:szCs w:val="18"/>
              </w:rPr>
            </w:pPr>
            <w:r w:rsidRPr="008A713F">
              <w:rPr>
                <w:rFonts w:ascii="Tahoma" w:hAnsi="Tahoma" w:cs="Tahoma"/>
                <w:sz w:val="18"/>
                <w:szCs w:val="18"/>
              </w:rPr>
              <w:t>на территории РФ</w:t>
            </w:r>
          </w:p>
        </w:tc>
        <w:tc>
          <w:tcPr>
            <w:tcW w:w="4675" w:type="dxa"/>
            <w:gridSpan w:val="2"/>
            <w:shd w:val="clear" w:color="auto" w:fill="auto"/>
            <w:noWrap/>
            <w:vAlign w:val="center"/>
          </w:tcPr>
          <w:p w14:paraId="4BCFCF32" w14:textId="77777777" w:rsidR="00440295" w:rsidRPr="008A713F" w:rsidRDefault="00440295" w:rsidP="00034511">
            <w:pPr>
              <w:jc w:val="center"/>
              <w:rPr>
                <w:rFonts w:ascii="Tahoma" w:hAnsi="Tahoma" w:cs="Tahoma"/>
                <w:b/>
                <w:bCs/>
                <w:sz w:val="18"/>
                <w:szCs w:val="18"/>
              </w:rPr>
            </w:pPr>
            <w:r w:rsidRPr="008A713F">
              <w:rPr>
                <w:rFonts w:ascii="Tahoma" w:hAnsi="Tahoma" w:cs="Tahoma"/>
                <w:b/>
                <w:sz w:val="18"/>
                <w:szCs w:val="18"/>
              </w:rPr>
              <w:t xml:space="preserve">Ежемесячно до 30 000 рублей: </w:t>
            </w:r>
            <w:r w:rsidRPr="008A713F">
              <w:rPr>
                <w:rFonts w:ascii="Tahoma" w:hAnsi="Tahoma" w:cs="Tahoma"/>
                <w:b/>
                <w:bCs/>
                <w:sz w:val="18"/>
                <w:szCs w:val="18"/>
              </w:rPr>
              <w:t>БЕСПЛАТНО</w:t>
            </w:r>
          </w:p>
          <w:p w14:paraId="7E4C9424" w14:textId="77777777" w:rsidR="00440295" w:rsidRPr="008A713F" w:rsidRDefault="00440295" w:rsidP="00034511">
            <w:pPr>
              <w:jc w:val="center"/>
              <w:rPr>
                <w:rFonts w:ascii="Tahoma" w:hAnsi="Tahoma" w:cs="Tahoma"/>
                <w:b/>
                <w:bCs/>
                <w:sz w:val="18"/>
                <w:szCs w:val="18"/>
              </w:rPr>
            </w:pPr>
            <w:r w:rsidRPr="008A713F">
              <w:rPr>
                <w:rFonts w:ascii="Tahoma" w:hAnsi="Tahoma" w:cs="Tahoma"/>
                <w:b/>
                <w:sz w:val="18"/>
                <w:szCs w:val="18"/>
              </w:rPr>
              <w:t xml:space="preserve">Свыше 30 000 рублей: </w:t>
            </w:r>
            <w:r w:rsidRPr="008A713F">
              <w:rPr>
                <w:rFonts w:ascii="Tahoma" w:hAnsi="Tahoma" w:cs="Tahoma"/>
                <w:b/>
                <w:bCs/>
                <w:sz w:val="18"/>
                <w:szCs w:val="18"/>
              </w:rPr>
              <w:t>4,9% от суммы снятия +590 рублей</w:t>
            </w:r>
          </w:p>
        </w:tc>
      </w:tr>
      <w:tr w:rsidR="00440295" w:rsidRPr="008A713F" w14:paraId="44154C1B" w14:textId="77777777" w:rsidTr="00034511">
        <w:trPr>
          <w:trHeight w:val="105"/>
          <w:tblHeader/>
        </w:trPr>
        <w:tc>
          <w:tcPr>
            <w:tcW w:w="852" w:type="dxa"/>
            <w:vMerge/>
            <w:shd w:val="clear" w:color="auto" w:fill="auto"/>
            <w:noWrap/>
            <w:vAlign w:val="center"/>
          </w:tcPr>
          <w:p w14:paraId="4ADAE452" w14:textId="77777777" w:rsidR="00440295" w:rsidRPr="008A713F" w:rsidRDefault="00440295" w:rsidP="00034511">
            <w:pPr>
              <w:jc w:val="center"/>
              <w:rPr>
                <w:rFonts w:ascii="Tahoma" w:hAnsi="Tahoma" w:cs="Tahoma"/>
                <w:sz w:val="18"/>
                <w:szCs w:val="18"/>
              </w:rPr>
            </w:pPr>
          </w:p>
        </w:tc>
        <w:tc>
          <w:tcPr>
            <w:tcW w:w="3261" w:type="dxa"/>
            <w:vMerge/>
            <w:shd w:val="clear" w:color="auto" w:fill="auto"/>
            <w:vAlign w:val="center"/>
          </w:tcPr>
          <w:p w14:paraId="4A75F35B" w14:textId="77777777" w:rsidR="00440295" w:rsidRPr="008A713F" w:rsidRDefault="00440295" w:rsidP="00034511">
            <w:pPr>
              <w:rPr>
                <w:rFonts w:ascii="Tahoma" w:hAnsi="Tahoma" w:cs="Tahoma"/>
                <w:sz w:val="18"/>
                <w:szCs w:val="18"/>
              </w:rPr>
            </w:pPr>
          </w:p>
        </w:tc>
        <w:tc>
          <w:tcPr>
            <w:tcW w:w="2835" w:type="dxa"/>
            <w:vMerge/>
            <w:shd w:val="clear" w:color="auto" w:fill="auto"/>
            <w:vAlign w:val="center"/>
          </w:tcPr>
          <w:p w14:paraId="2A05D489" w14:textId="77777777" w:rsidR="00440295" w:rsidRPr="008A713F" w:rsidRDefault="00440295" w:rsidP="00034511">
            <w:pPr>
              <w:rPr>
                <w:rFonts w:ascii="Tahoma" w:hAnsi="Tahoma" w:cs="Tahoma"/>
                <w:b/>
                <w:sz w:val="18"/>
                <w:szCs w:val="18"/>
              </w:rPr>
            </w:pPr>
          </w:p>
        </w:tc>
        <w:tc>
          <w:tcPr>
            <w:tcW w:w="3976" w:type="dxa"/>
            <w:shd w:val="clear" w:color="auto" w:fill="auto"/>
            <w:vAlign w:val="center"/>
          </w:tcPr>
          <w:p w14:paraId="3CB74384" w14:textId="77777777" w:rsidR="00440295" w:rsidRPr="008A713F" w:rsidRDefault="00440295" w:rsidP="00034511">
            <w:pPr>
              <w:rPr>
                <w:rFonts w:ascii="Tahoma" w:hAnsi="Tahoma" w:cs="Tahoma"/>
                <w:sz w:val="18"/>
                <w:szCs w:val="18"/>
              </w:rPr>
            </w:pPr>
            <w:r w:rsidRPr="008A713F">
              <w:rPr>
                <w:rFonts w:ascii="Tahoma" w:hAnsi="Tahoma" w:cs="Tahoma"/>
                <w:sz w:val="18"/>
                <w:szCs w:val="18"/>
              </w:rPr>
              <w:t>за рубежом</w:t>
            </w:r>
          </w:p>
        </w:tc>
        <w:tc>
          <w:tcPr>
            <w:tcW w:w="4675" w:type="dxa"/>
            <w:gridSpan w:val="2"/>
            <w:tcBorders>
              <w:bottom w:val="single" w:sz="4" w:space="0" w:color="auto"/>
            </w:tcBorders>
            <w:shd w:val="clear" w:color="auto" w:fill="auto"/>
            <w:noWrap/>
            <w:vAlign w:val="center"/>
          </w:tcPr>
          <w:p w14:paraId="5DA5FE2F"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4,9% от суммы снятия +590 рублей</w:t>
            </w:r>
          </w:p>
        </w:tc>
      </w:tr>
      <w:tr w:rsidR="00440295" w:rsidRPr="008A713F" w14:paraId="2A4B6113" w14:textId="77777777" w:rsidTr="00034511">
        <w:trPr>
          <w:trHeight w:hRule="exact" w:val="715"/>
          <w:tblHeader/>
        </w:trPr>
        <w:tc>
          <w:tcPr>
            <w:tcW w:w="852" w:type="dxa"/>
            <w:vMerge/>
            <w:shd w:val="clear" w:color="auto" w:fill="auto"/>
            <w:noWrap/>
            <w:vAlign w:val="center"/>
          </w:tcPr>
          <w:p w14:paraId="00158B64" w14:textId="77777777" w:rsidR="00440295" w:rsidRPr="008A713F" w:rsidRDefault="00440295" w:rsidP="00034511">
            <w:pPr>
              <w:jc w:val="center"/>
              <w:rPr>
                <w:rFonts w:ascii="Tahoma" w:hAnsi="Tahoma" w:cs="Tahoma"/>
                <w:sz w:val="18"/>
                <w:szCs w:val="18"/>
              </w:rPr>
            </w:pPr>
          </w:p>
        </w:tc>
        <w:tc>
          <w:tcPr>
            <w:tcW w:w="3261" w:type="dxa"/>
            <w:vMerge/>
            <w:shd w:val="clear" w:color="auto" w:fill="auto"/>
            <w:vAlign w:val="center"/>
          </w:tcPr>
          <w:p w14:paraId="55913E2A" w14:textId="77777777" w:rsidR="00440295" w:rsidRPr="008A713F" w:rsidRDefault="00440295" w:rsidP="00034511">
            <w:pPr>
              <w:rPr>
                <w:rFonts w:ascii="Tahoma" w:hAnsi="Tahoma" w:cs="Tahoma"/>
                <w:sz w:val="18"/>
                <w:szCs w:val="18"/>
              </w:rPr>
            </w:pPr>
          </w:p>
        </w:tc>
        <w:tc>
          <w:tcPr>
            <w:tcW w:w="2835" w:type="dxa"/>
            <w:vMerge w:val="restart"/>
            <w:shd w:val="clear" w:color="auto" w:fill="auto"/>
            <w:vAlign w:val="center"/>
          </w:tcPr>
          <w:p w14:paraId="400AABFF" w14:textId="77777777" w:rsidR="00440295" w:rsidRPr="008A713F" w:rsidRDefault="00440295" w:rsidP="00034511">
            <w:pPr>
              <w:rPr>
                <w:rFonts w:ascii="Tahoma" w:hAnsi="Tahoma" w:cs="Tahoma"/>
                <w:sz w:val="18"/>
                <w:szCs w:val="18"/>
              </w:rPr>
            </w:pPr>
            <w:r w:rsidRPr="008A713F">
              <w:rPr>
                <w:rFonts w:ascii="Tahoma" w:hAnsi="Tahoma" w:cs="Tahoma"/>
                <w:sz w:val="18"/>
                <w:szCs w:val="18"/>
              </w:rPr>
              <w:t>При положительном балансе на Счете Карты (наличии средств, находящихся на Счете Карты сверх установленного Лимита кредитования)</w:t>
            </w:r>
          </w:p>
        </w:tc>
        <w:tc>
          <w:tcPr>
            <w:tcW w:w="3976" w:type="dxa"/>
            <w:shd w:val="clear" w:color="auto" w:fill="auto"/>
            <w:vAlign w:val="center"/>
          </w:tcPr>
          <w:p w14:paraId="74753BD6" w14:textId="77777777" w:rsidR="00440295" w:rsidRPr="008A713F" w:rsidRDefault="00440295" w:rsidP="00034511">
            <w:pPr>
              <w:rPr>
                <w:rFonts w:ascii="Tahoma" w:hAnsi="Tahoma" w:cs="Tahoma"/>
                <w:sz w:val="18"/>
                <w:szCs w:val="18"/>
              </w:rPr>
            </w:pPr>
            <w:r w:rsidRPr="008A713F">
              <w:rPr>
                <w:rFonts w:ascii="Tahoma" w:hAnsi="Tahoma" w:cs="Tahoma"/>
                <w:sz w:val="18"/>
                <w:szCs w:val="18"/>
              </w:rPr>
              <w:t>В ПВН и банкоматах других банков</w:t>
            </w:r>
            <w:r w:rsidRPr="008A713F">
              <w:rPr>
                <w:rFonts w:ascii="Tahoma" w:hAnsi="Tahoma" w:cs="Tahoma"/>
                <w:sz w:val="18"/>
                <w:szCs w:val="18"/>
                <w:vertAlign w:val="superscript"/>
              </w:rPr>
              <w:t>19</w:t>
            </w:r>
            <w:r w:rsidRPr="008A713F">
              <w:rPr>
                <w:rFonts w:ascii="Tahoma" w:hAnsi="Tahoma" w:cs="Tahoma"/>
                <w:sz w:val="18"/>
                <w:szCs w:val="18"/>
              </w:rPr>
              <w:t xml:space="preserve"> на территории РФ</w:t>
            </w:r>
          </w:p>
          <w:p w14:paraId="508577A7" w14:textId="77777777" w:rsidR="00440295" w:rsidRPr="008A713F" w:rsidRDefault="00440295" w:rsidP="00034511">
            <w:pPr>
              <w:rPr>
                <w:rFonts w:ascii="Tahoma" w:hAnsi="Tahoma" w:cs="Tahoma"/>
                <w:sz w:val="18"/>
                <w:szCs w:val="18"/>
              </w:rPr>
            </w:pPr>
          </w:p>
        </w:tc>
        <w:tc>
          <w:tcPr>
            <w:tcW w:w="4675" w:type="dxa"/>
            <w:gridSpan w:val="2"/>
            <w:tcBorders>
              <w:bottom w:val="single" w:sz="4" w:space="0" w:color="auto"/>
            </w:tcBorders>
            <w:shd w:val="clear" w:color="auto" w:fill="auto"/>
            <w:noWrap/>
            <w:vAlign w:val="center"/>
          </w:tcPr>
          <w:p w14:paraId="2B4C25B3" w14:textId="77777777" w:rsidR="00440295" w:rsidRPr="008A713F" w:rsidRDefault="00440295" w:rsidP="00034511">
            <w:pPr>
              <w:jc w:val="center"/>
              <w:rPr>
                <w:rFonts w:ascii="Tahoma" w:hAnsi="Tahoma" w:cs="Tahoma"/>
                <w:b/>
                <w:bCs/>
                <w:sz w:val="18"/>
                <w:szCs w:val="18"/>
              </w:rPr>
            </w:pPr>
          </w:p>
          <w:p w14:paraId="234F0A50"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БЕСПЛАТНО</w:t>
            </w:r>
          </w:p>
        </w:tc>
      </w:tr>
      <w:tr w:rsidR="00440295" w:rsidRPr="008A713F" w14:paraId="7058215A" w14:textId="77777777" w:rsidTr="00034511">
        <w:trPr>
          <w:trHeight w:hRule="exact" w:val="1507"/>
          <w:tblHeader/>
        </w:trPr>
        <w:tc>
          <w:tcPr>
            <w:tcW w:w="852" w:type="dxa"/>
            <w:vMerge/>
            <w:shd w:val="clear" w:color="auto" w:fill="auto"/>
            <w:noWrap/>
            <w:vAlign w:val="center"/>
          </w:tcPr>
          <w:p w14:paraId="28D7F0B8" w14:textId="77777777" w:rsidR="00440295" w:rsidRPr="008A713F" w:rsidRDefault="00440295" w:rsidP="00034511">
            <w:pPr>
              <w:jc w:val="center"/>
              <w:rPr>
                <w:rFonts w:ascii="Tahoma" w:hAnsi="Tahoma" w:cs="Tahoma"/>
                <w:sz w:val="18"/>
                <w:szCs w:val="18"/>
              </w:rPr>
            </w:pPr>
          </w:p>
        </w:tc>
        <w:tc>
          <w:tcPr>
            <w:tcW w:w="3261" w:type="dxa"/>
            <w:vMerge/>
            <w:shd w:val="clear" w:color="auto" w:fill="auto"/>
            <w:vAlign w:val="center"/>
          </w:tcPr>
          <w:p w14:paraId="7F3A7C03" w14:textId="77777777" w:rsidR="00440295" w:rsidRPr="008A713F" w:rsidRDefault="00440295" w:rsidP="00034511">
            <w:pPr>
              <w:rPr>
                <w:rFonts w:ascii="Tahoma" w:hAnsi="Tahoma" w:cs="Tahoma"/>
                <w:sz w:val="18"/>
                <w:szCs w:val="18"/>
              </w:rPr>
            </w:pPr>
          </w:p>
        </w:tc>
        <w:tc>
          <w:tcPr>
            <w:tcW w:w="2835" w:type="dxa"/>
            <w:vMerge/>
            <w:shd w:val="clear" w:color="auto" w:fill="auto"/>
            <w:vAlign w:val="center"/>
          </w:tcPr>
          <w:p w14:paraId="01B46FA3" w14:textId="77777777" w:rsidR="00440295" w:rsidRPr="008A713F" w:rsidRDefault="00440295" w:rsidP="00034511">
            <w:pPr>
              <w:rPr>
                <w:rFonts w:ascii="Tahoma" w:hAnsi="Tahoma" w:cs="Tahoma"/>
                <w:sz w:val="18"/>
                <w:szCs w:val="18"/>
              </w:rPr>
            </w:pPr>
          </w:p>
        </w:tc>
        <w:tc>
          <w:tcPr>
            <w:tcW w:w="3976" w:type="dxa"/>
            <w:tcBorders>
              <w:right w:val="single" w:sz="4" w:space="0" w:color="auto"/>
            </w:tcBorders>
            <w:shd w:val="clear" w:color="auto" w:fill="auto"/>
            <w:vAlign w:val="center"/>
          </w:tcPr>
          <w:p w14:paraId="022B6D1A" w14:textId="77777777" w:rsidR="00440295" w:rsidRPr="008A713F" w:rsidRDefault="00440295" w:rsidP="00034511">
            <w:pPr>
              <w:rPr>
                <w:rFonts w:ascii="Tahoma" w:hAnsi="Tahoma" w:cs="Tahoma"/>
                <w:sz w:val="18"/>
                <w:szCs w:val="18"/>
              </w:rPr>
            </w:pPr>
            <w:r w:rsidRPr="008A713F">
              <w:rPr>
                <w:rFonts w:ascii="Tahoma" w:hAnsi="Tahoma" w:cs="Tahoma"/>
                <w:sz w:val="18"/>
                <w:szCs w:val="18"/>
              </w:rPr>
              <w:t>в ПВН</w:t>
            </w:r>
            <w:r w:rsidRPr="008A713F">
              <w:rPr>
                <w:rFonts w:ascii="Tahoma" w:hAnsi="Tahoma" w:cs="Tahoma"/>
                <w:sz w:val="18"/>
                <w:szCs w:val="18"/>
                <w:vertAlign w:val="superscript"/>
              </w:rPr>
              <w:t>18</w:t>
            </w:r>
            <w:r w:rsidRPr="008A713F">
              <w:rPr>
                <w:rFonts w:ascii="Tahoma" w:hAnsi="Tahoma" w:cs="Tahoma"/>
                <w:sz w:val="18"/>
                <w:szCs w:val="18"/>
              </w:rPr>
              <w:t xml:space="preserve"> и банкоматах других банков</w:t>
            </w:r>
            <w:r w:rsidRPr="008A713F">
              <w:rPr>
                <w:rFonts w:ascii="Tahoma" w:hAnsi="Tahoma" w:cs="Tahoma"/>
                <w:sz w:val="18"/>
                <w:szCs w:val="18"/>
                <w:vertAlign w:val="superscript"/>
              </w:rPr>
              <w:t>19</w:t>
            </w:r>
            <w:r w:rsidRPr="008A713F">
              <w:rPr>
                <w:rFonts w:ascii="Tahoma" w:hAnsi="Tahoma" w:cs="Tahoma"/>
                <w:sz w:val="18"/>
                <w:szCs w:val="18"/>
              </w:rPr>
              <w:t xml:space="preserve"> за рубежом, от суммы операции</w:t>
            </w:r>
          </w:p>
        </w:tc>
        <w:tc>
          <w:tcPr>
            <w:tcW w:w="233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052A5B" w14:textId="77777777" w:rsidR="00440295" w:rsidRPr="008A713F" w:rsidRDefault="00440295" w:rsidP="00034511">
            <w:pPr>
              <w:jc w:val="center"/>
              <w:rPr>
                <w:rFonts w:ascii="Tahoma" w:hAnsi="Tahoma" w:cs="Tahoma"/>
                <w:sz w:val="18"/>
                <w:szCs w:val="18"/>
                <w:highlight w:val="yellow"/>
              </w:rPr>
            </w:pPr>
            <w:r>
              <w:rPr>
                <w:rFonts w:ascii="Tahoma" w:hAnsi="Tahoma" w:cs="Tahoma"/>
                <w:b/>
                <w:bCs/>
                <w:sz w:val="18"/>
                <w:szCs w:val="18"/>
              </w:rPr>
              <w:t xml:space="preserve"> БЕСПЛАТНО</w:t>
            </w:r>
          </w:p>
          <w:p w14:paraId="7C36C077" w14:textId="77777777" w:rsidR="00440295" w:rsidRPr="008A713F" w:rsidRDefault="00440295" w:rsidP="00034511">
            <w:pPr>
              <w:jc w:val="center"/>
              <w:rPr>
                <w:rFonts w:ascii="Tahoma" w:hAnsi="Tahoma" w:cs="Tahoma"/>
                <w:b/>
                <w:bCs/>
                <w:sz w:val="18"/>
                <w:szCs w:val="18"/>
                <w:highlight w:val="yellow"/>
              </w:rPr>
            </w:pPr>
          </w:p>
          <w:p w14:paraId="5B827E81" w14:textId="77777777" w:rsidR="00440295" w:rsidRPr="008A713F" w:rsidRDefault="00440295" w:rsidP="00034511">
            <w:pPr>
              <w:jc w:val="center"/>
              <w:rPr>
                <w:rFonts w:ascii="Tahoma" w:hAnsi="Tahoma" w:cs="Tahoma"/>
                <w:b/>
                <w:bCs/>
                <w:sz w:val="18"/>
                <w:szCs w:val="18"/>
              </w:rPr>
            </w:pPr>
          </w:p>
        </w:tc>
        <w:tc>
          <w:tcPr>
            <w:tcW w:w="2338" w:type="dxa"/>
            <w:tcBorders>
              <w:top w:val="single" w:sz="4" w:space="0" w:color="auto"/>
              <w:left w:val="single" w:sz="4" w:space="0" w:color="auto"/>
              <w:bottom w:val="single" w:sz="4" w:space="0" w:color="auto"/>
              <w:right w:val="single" w:sz="4" w:space="0" w:color="auto"/>
            </w:tcBorders>
            <w:shd w:val="clear" w:color="auto" w:fill="auto"/>
            <w:vAlign w:val="center"/>
          </w:tcPr>
          <w:p w14:paraId="383BFCA5"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4,9% от суммы снятия +590 рублей</w:t>
            </w:r>
          </w:p>
        </w:tc>
      </w:tr>
      <w:tr w:rsidR="00440295" w:rsidRPr="008A713F" w14:paraId="6DFBD679" w14:textId="77777777" w:rsidTr="00034511">
        <w:trPr>
          <w:trHeight w:val="267"/>
          <w:tblHeader/>
        </w:trPr>
        <w:tc>
          <w:tcPr>
            <w:tcW w:w="852" w:type="dxa"/>
            <w:vMerge w:val="restart"/>
            <w:shd w:val="clear" w:color="auto" w:fill="auto"/>
            <w:noWrap/>
            <w:vAlign w:val="center"/>
          </w:tcPr>
          <w:p w14:paraId="00046A9E"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6.3.3.</w:t>
            </w:r>
          </w:p>
        </w:tc>
        <w:tc>
          <w:tcPr>
            <w:tcW w:w="3261" w:type="dxa"/>
            <w:vMerge w:val="restart"/>
            <w:shd w:val="clear" w:color="auto" w:fill="auto"/>
          </w:tcPr>
          <w:p w14:paraId="447AD8AF" w14:textId="77777777" w:rsidR="00440295" w:rsidRPr="008A713F" w:rsidRDefault="00440295" w:rsidP="00034511">
            <w:pPr>
              <w:rPr>
                <w:rFonts w:ascii="Tahoma" w:hAnsi="Tahoma" w:cs="Tahoma"/>
                <w:sz w:val="18"/>
                <w:szCs w:val="18"/>
              </w:rPr>
            </w:pPr>
            <w:r w:rsidRPr="008A713F">
              <w:rPr>
                <w:rFonts w:ascii="Tahoma" w:hAnsi="Tahoma" w:cs="Tahoma"/>
                <w:sz w:val="18"/>
                <w:szCs w:val="18"/>
              </w:rPr>
              <w:t>В ТСП</w:t>
            </w:r>
            <w:r w:rsidRPr="008A713F">
              <w:rPr>
                <w:rFonts w:ascii="Tahoma" w:hAnsi="Tahoma" w:cs="Tahoma"/>
                <w:sz w:val="18"/>
                <w:szCs w:val="18"/>
                <w:vertAlign w:val="superscript"/>
              </w:rPr>
              <w:t>4</w:t>
            </w:r>
            <w:r w:rsidRPr="008A713F">
              <w:rPr>
                <w:rFonts w:ascii="Tahoma" w:hAnsi="Tahoma" w:cs="Tahoma"/>
                <w:sz w:val="18"/>
                <w:szCs w:val="18"/>
              </w:rPr>
              <w:t>, предоставляющих услугу выдачи наличных денежных средств при совершении покупки на территории РФ, от суммы операции</w:t>
            </w:r>
          </w:p>
        </w:tc>
        <w:tc>
          <w:tcPr>
            <w:tcW w:w="6811" w:type="dxa"/>
            <w:gridSpan w:val="2"/>
            <w:shd w:val="clear" w:color="auto" w:fill="auto"/>
            <w:vAlign w:val="center"/>
          </w:tcPr>
          <w:p w14:paraId="37D78EA3" w14:textId="77777777" w:rsidR="00440295" w:rsidRPr="008A713F" w:rsidRDefault="00440295" w:rsidP="00034511">
            <w:pPr>
              <w:rPr>
                <w:rFonts w:ascii="Tahoma" w:hAnsi="Tahoma" w:cs="Tahoma"/>
                <w:sz w:val="18"/>
                <w:szCs w:val="18"/>
              </w:rPr>
            </w:pPr>
            <w:r w:rsidRPr="008A713F">
              <w:rPr>
                <w:rFonts w:ascii="Tahoma" w:hAnsi="Tahoma" w:cs="Tahoma"/>
                <w:sz w:val="18"/>
                <w:szCs w:val="18"/>
              </w:rPr>
              <w:t>за счет</w:t>
            </w:r>
            <w:r w:rsidRPr="008A713F">
              <w:rPr>
                <w:rFonts w:ascii="Tahoma" w:hAnsi="Tahoma" w:cs="Tahoma"/>
                <w:b/>
                <w:bCs/>
                <w:sz w:val="18"/>
                <w:szCs w:val="18"/>
              </w:rPr>
              <w:t xml:space="preserve"> </w:t>
            </w:r>
            <w:r w:rsidRPr="008A713F">
              <w:rPr>
                <w:rFonts w:ascii="Tahoma" w:hAnsi="Tahoma" w:cs="Tahoma"/>
                <w:sz w:val="18"/>
                <w:szCs w:val="18"/>
              </w:rPr>
              <w:t>установленного Лимита кредитования</w:t>
            </w:r>
          </w:p>
        </w:tc>
        <w:tc>
          <w:tcPr>
            <w:tcW w:w="4675" w:type="dxa"/>
            <w:gridSpan w:val="2"/>
            <w:vMerge w:val="restart"/>
            <w:tcBorders>
              <w:top w:val="single" w:sz="4" w:space="0" w:color="auto"/>
            </w:tcBorders>
            <w:shd w:val="clear" w:color="auto" w:fill="auto"/>
            <w:noWrap/>
            <w:vAlign w:val="center"/>
          </w:tcPr>
          <w:p w14:paraId="6387DB7B"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БЕСПЛАТНО</w:t>
            </w:r>
          </w:p>
        </w:tc>
      </w:tr>
      <w:tr w:rsidR="00440295" w:rsidRPr="008A713F" w14:paraId="1D8BBC57" w14:textId="77777777" w:rsidTr="00034511">
        <w:trPr>
          <w:trHeight w:val="652"/>
          <w:tblHeader/>
        </w:trPr>
        <w:tc>
          <w:tcPr>
            <w:tcW w:w="852" w:type="dxa"/>
            <w:vMerge/>
            <w:shd w:val="clear" w:color="auto" w:fill="BFBFBF" w:themeFill="background1" w:themeFillShade="BF"/>
            <w:noWrap/>
            <w:vAlign w:val="center"/>
          </w:tcPr>
          <w:p w14:paraId="715FC329" w14:textId="77777777" w:rsidR="00440295" w:rsidRPr="008A713F" w:rsidRDefault="00440295" w:rsidP="00034511">
            <w:pPr>
              <w:jc w:val="center"/>
              <w:rPr>
                <w:rFonts w:ascii="Tahoma" w:hAnsi="Tahoma" w:cs="Tahoma"/>
                <w:sz w:val="18"/>
                <w:szCs w:val="18"/>
              </w:rPr>
            </w:pPr>
          </w:p>
        </w:tc>
        <w:tc>
          <w:tcPr>
            <w:tcW w:w="3261" w:type="dxa"/>
            <w:vMerge/>
            <w:shd w:val="clear" w:color="auto" w:fill="BFBFBF" w:themeFill="background1" w:themeFillShade="BF"/>
            <w:vAlign w:val="center"/>
          </w:tcPr>
          <w:p w14:paraId="01CEE89F" w14:textId="77777777" w:rsidR="00440295" w:rsidRPr="008A713F" w:rsidRDefault="00440295" w:rsidP="00034511">
            <w:pPr>
              <w:rPr>
                <w:rFonts w:ascii="Tahoma" w:hAnsi="Tahoma" w:cs="Tahoma"/>
                <w:sz w:val="18"/>
                <w:szCs w:val="18"/>
              </w:rPr>
            </w:pPr>
          </w:p>
        </w:tc>
        <w:tc>
          <w:tcPr>
            <w:tcW w:w="6811" w:type="dxa"/>
            <w:gridSpan w:val="2"/>
            <w:shd w:val="clear" w:color="auto" w:fill="auto"/>
            <w:vAlign w:val="center"/>
          </w:tcPr>
          <w:p w14:paraId="79BEBE73" w14:textId="77777777" w:rsidR="00440295" w:rsidRPr="008A713F" w:rsidRDefault="00440295" w:rsidP="00034511">
            <w:pPr>
              <w:rPr>
                <w:rFonts w:ascii="Tahoma" w:hAnsi="Tahoma" w:cs="Tahoma"/>
                <w:sz w:val="18"/>
                <w:szCs w:val="18"/>
              </w:rPr>
            </w:pPr>
            <w:r w:rsidRPr="008A713F">
              <w:rPr>
                <w:rFonts w:ascii="Tahoma" w:hAnsi="Tahoma" w:cs="Tahoma"/>
                <w:sz w:val="18"/>
                <w:szCs w:val="18"/>
              </w:rPr>
              <w:t>При положительном балансе на Счете Карты (наличии средств, находящихся на Счете Карты сверх установленного Лимита кредитования)</w:t>
            </w:r>
          </w:p>
        </w:tc>
        <w:tc>
          <w:tcPr>
            <w:tcW w:w="4675" w:type="dxa"/>
            <w:gridSpan w:val="2"/>
            <w:vMerge/>
            <w:shd w:val="clear" w:color="auto" w:fill="BFBFBF" w:themeFill="background1" w:themeFillShade="BF"/>
            <w:noWrap/>
            <w:vAlign w:val="center"/>
          </w:tcPr>
          <w:p w14:paraId="259D45CE" w14:textId="77777777" w:rsidR="00440295" w:rsidRPr="008A713F" w:rsidRDefault="00440295" w:rsidP="00034511">
            <w:pPr>
              <w:jc w:val="center"/>
              <w:rPr>
                <w:rFonts w:ascii="Tahoma" w:hAnsi="Tahoma" w:cs="Tahoma"/>
                <w:b/>
                <w:bCs/>
                <w:sz w:val="18"/>
                <w:szCs w:val="18"/>
              </w:rPr>
            </w:pPr>
          </w:p>
        </w:tc>
      </w:tr>
      <w:tr w:rsidR="00440295" w:rsidRPr="008A713F" w14:paraId="29FE8FE3" w14:textId="77777777" w:rsidTr="00034511">
        <w:trPr>
          <w:trHeight w:val="267"/>
          <w:tblHeader/>
        </w:trPr>
        <w:tc>
          <w:tcPr>
            <w:tcW w:w="852" w:type="dxa"/>
            <w:shd w:val="clear" w:color="auto" w:fill="BFBFBF" w:themeFill="background1" w:themeFillShade="BF"/>
            <w:noWrap/>
            <w:vAlign w:val="center"/>
          </w:tcPr>
          <w:p w14:paraId="14C51A8B" w14:textId="77777777" w:rsidR="00440295" w:rsidRPr="008A713F" w:rsidRDefault="00440295" w:rsidP="00034511">
            <w:pPr>
              <w:jc w:val="center"/>
              <w:rPr>
                <w:rFonts w:ascii="Tahoma" w:hAnsi="Tahoma" w:cs="Tahoma"/>
                <w:sz w:val="18"/>
                <w:szCs w:val="18"/>
              </w:rPr>
            </w:pPr>
            <w:r w:rsidRPr="008A713F">
              <w:rPr>
                <w:rFonts w:ascii="Tahoma" w:hAnsi="Tahoma" w:cs="Tahoma"/>
                <w:b/>
                <w:bCs/>
                <w:sz w:val="18"/>
                <w:szCs w:val="18"/>
              </w:rPr>
              <w:t>6.4.</w:t>
            </w:r>
          </w:p>
        </w:tc>
        <w:tc>
          <w:tcPr>
            <w:tcW w:w="14747" w:type="dxa"/>
            <w:gridSpan w:val="5"/>
            <w:shd w:val="clear" w:color="auto" w:fill="BFBFBF" w:themeFill="background1" w:themeFillShade="BF"/>
            <w:vAlign w:val="center"/>
          </w:tcPr>
          <w:p w14:paraId="6897FE2A"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 xml:space="preserve">Комиссия за взнос наличных денежных средств </w:t>
            </w:r>
          </w:p>
        </w:tc>
      </w:tr>
      <w:tr w:rsidR="00440295" w:rsidRPr="008A713F" w14:paraId="14ABCA37" w14:textId="77777777" w:rsidTr="00034511">
        <w:trPr>
          <w:trHeight w:val="515"/>
          <w:tblHeader/>
        </w:trPr>
        <w:tc>
          <w:tcPr>
            <w:tcW w:w="852" w:type="dxa"/>
            <w:shd w:val="clear" w:color="auto" w:fill="auto"/>
            <w:noWrap/>
            <w:vAlign w:val="center"/>
            <w:hideMark/>
          </w:tcPr>
          <w:p w14:paraId="25E2D042"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6.4.1.</w:t>
            </w:r>
          </w:p>
        </w:tc>
        <w:tc>
          <w:tcPr>
            <w:tcW w:w="10072" w:type="dxa"/>
            <w:gridSpan w:val="3"/>
            <w:shd w:val="clear" w:color="auto" w:fill="auto"/>
            <w:vAlign w:val="center"/>
            <w:hideMark/>
          </w:tcPr>
          <w:p w14:paraId="095C30D2" w14:textId="77777777" w:rsidR="00440295" w:rsidRPr="008A713F" w:rsidRDefault="00440295" w:rsidP="00034511">
            <w:pPr>
              <w:rPr>
                <w:rFonts w:ascii="Tahoma" w:hAnsi="Tahoma" w:cs="Tahoma"/>
                <w:sz w:val="18"/>
                <w:szCs w:val="18"/>
              </w:rPr>
            </w:pPr>
            <w:r w:rsidRPr="008A713F">
              <w:rPr>
                <w:rFonts w:ascii="Tahoma" w:hAnsi="Tahoma" w:cs="Tahoma"/>
                <w:sz w:val="18"/>
                <w:szCs w:val="18"/>
              </w:rPr>
              <w:t>взнос наличных в банкомате Банка и через розничные сети партнеров Банка, от суммы операции</w:t>
            </w:r>
          </w:p>
        </w:tc>
        <w:tc>
          <w:tcPr>
            <w:tcW w:w="4675" w:type="dxa"/>
            <w:gridSpan w:val="2"/>
            <w:shd w:val="clear" w:color="auto" w:fill="auto"/>
            <w:vAlign w:val="center"/>
            <w:hideMark/>
          </w:tcPr>
          <w:p w14:paraId="30C9AEA6" w14:textId="77777777" w:rsidR="00440295" w:rsidRPr="008A713F" w:rsidRDefault="00440295" w:rsidP="00034511">
            <w:pPr>
              <w:jc w:val="center"/>
              <w:rPr>
                <w:rFonts w:ascii="Tahoma" w:hAnsi="Tahoma" w:cs="Tahoma"/>
                <w:sz w:val="18"/>
                <w:szCs w:val="18"/>
              </w:rPr>
            </w:pPr>
            <w:r w:rsidRPr="008A713F">
              <w:rPr>
                <w:rFonts w:ascii="Tahoma" w:hAnsi="Tahoma" w:cs="Tahoma"/>
                <w:b/>
                <w:bCs/>
                <w:sz w:val="18"/>
                <w:szCs w:val="18"/>
              </w:rPr>
              <w:t xml:space="preserve">БЕСПЛАТНО </w:t>
            </w:r>
          </w:p>
          <w:p w14:paraId="443DDF49"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(возможно взимание комиссии за пополнение в розничной сети партнеров Банка)</w:t>
            </w:r>
          </w:p>
        </w:tc>
      </w:tr>
      <w:tr w:rsidR="00440295" w:rsidRPr="008A713F" w14:paraId="0353A550" w14:textId="77777777" w:rsidTr="00034511">
        <w:trPr>
          <w:trHeight w:val="268"/>
          <w:tblHeader/>
        </w:trPr>
        <w:tc>
          <w:tcPr>
            <w:tcW w:w="852" w:type="dxa"/>
            <w:shd w:val="clear" w:color="auto" w:fill="auto"/>
            <w:noWrap/>
            <w:vAlign w:val="center"/>
            <w:hideMark/>
          </w:tcPr>
          <w:p w14:paraId="1D795987"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6.4.2.</w:t>
            </w:r>
          </w:p>
        </w:tc>
        <w:tc>
          <w:tcPr>
            <w:tcW w:w="10072" w:type="dxa"/>
            <w:gridSpan w:val="3"/>
            <w:shd w:val="clear" w:color="auto" w:fill="auto"/>
            <w:vAlign w:val="center"/>
            <w:hideMark/>
          </w:tcPr>
          <w:p w14:paraId="536C56B3" w14:textId="77777777" w:rsidR="00440295" w:rsidRPr="008A713F" w:rsidRDefault="00440295" w:rsidP="00034511">
            <w:pPr>
              <w:rPr>
                <w:rFonts w:ascii="Tahoma" w:hAnsi="Tahoma" w:cs="Tahoma"/>
                <w:sz w:val="18"/>
                <w:szCs w:val="18"/>
              </w:rPr>
            </w:pPr>
            <w:r w:rsidRPr="008A713F">
              <w:rPr>
                <w:rFonts w:ascii="Tahoma" w:hAnsi="Tahoma" w:cs="Tahoma"/>
                <w:sz w:val="18"/>
                <w:szCs w:val="18"/>
              </w:rPr>
              <w:t>внесение денежных средств на ТБС/СКС через терминалы самообслуживания Банка</w:t>
            </w:r>
          </w:p>
        </w:tc>
        <w:tc>
          <w:tcPr>
            <w:tcW w:w="4675" w:type="dxa"/>
            <w:gridSpan w:val="2"/>
            <w:shd w:val="clear" w:color="auto" w:fill="auto"/>
            <w:vAlign w:val="center"/>
            <w:hideMark/>
          </w:tcPr>
          <w:p w14:paraId="7E46F5E1"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БЕСПЛАТНО</w:t>
            </w:r>
          </w:p>
        </w:tc>
      </w:tr>
      <w:tr w:rsidR="00440295" w:rsidRPr="008A713F" w14:paraId="181B8C14" w14:textId="77777777" w:rsidTr="00034511">
        <w:trPr>
          <w:trHeight w:val="151"/>
          <w:tblHeader/>
        </w:trPr>
        <w:tc>
          <w:tcPr>
            <w:tcW w:w="852" w:type="dxa"/>
            <w:shd w:val="clear" w:color="auto" w:fill="BFBFBF" w:themeFill="background1" w:themeFillShade="BF"/>
            <w:noWrap/>
            <w:vAlign w:val="center"/>
          </w:tcPr>
          <w:p w14:paraId="3AF9A92E" w14:textId="77777777" w:rsidR="00440295" w:rsidRPr="008A713F" w:rsidRDefault="00440295" w:rsidP="00034511">
            <w:pPr>
              <w:jc w:val="center"/>
              <w:rPr>
                <w:rFonts w:ascii="Tahoma" w:hAnsi="Tahoma" w:cs="Tahoma"/>
                <w:b/>
                <w:sz w:val="18"/>
                <w:szCs w:val="18"/>
              </w:rPr>
            </w:pPr>
            <w:r w:rsidRPr="008A713F">
              <w:rPr>
                <w:rFonts w:ascii="Tahoma" w:hAnsi="Tahoma" w:cs="Tahoma"/>
                <w:b/>
                <w:sz w:val="18"/>
                <w:szCs w:val="18"/>
              </w:rPr>
              <w:t>6.5.</w:t>
            </w:r>
          </w:p>
        </w:tc>
        <w:tc>
          <w:tcPr>
            <w:tcW w:w="14747" w:type="dxa"/>
            <w:gridSpan w:val="5"/>
            <w:shd w:val="clear" w:color="auto" w:fill="BFBFBF" w:themeFill="background1" w:themeFillShade="BF"/>
            <w:vAlign w:val="center"/>
          </w:tcPr>
          <w:p w14:paraId="16DC2F9E"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Комиссия за перевод денежных средств</w:t>
            </w:r>
            <w:r w:rsidRPr="008A713F">
              <w:rPr>
                <w:rFonts w:ascii="Tahoma" w:hAnsi="Tahoma" w:cs="Tahoma"/>
                <w:b/>
                <w:bCs/>
                <w:sz w:val="18"/>
                <w:szCs w:val="18"/>
                <w:vertAlign w:val="superscript"/>
              </w:rPr>
              <w:t>6;24</w:t>
            </w:r>
          </w:p>
        </w:tc>
      </w:tr>
      <w:tr w:rsidR="00440295" w:rsidRPr="008A713F" w14:paraId="5328061B" w14:textId="77777777" w:rsidTr="00034511">
        <w:trPr>
          <w:trHeight w:val="377"/>
          <w:tblHeader/>
        </w:trPr>
        <w:tc>
          <w:tcPr>
            <w:tcW w:w="852" w:type="dxa"/>
            <w:vMerge w:val="restart"/>
            <w:shd w:val="clear" w:color="auto" w:fill="D9D9D9" w:themeFill="background1" w:themeFillShade="D9"/>
            <w:noWrap/>
            <w:vAlign w:val="center"/>
          </w:tcPr>
          <w:p w14:paraId="73D9A046"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6.5.1.</w:t>
            </w:r>
          </w:p>
        </w:tc>
        <w:tc>
          <w:tcPr>
            <w:tcW w:w="6096" w:type="dxa"/>
            <w:gridSpan w:val="2"/>
            <w:vMerge w:val="restart"/>
            <w:shd w:val="clear" w:color="auto" w:fill="auto"/>
            <w:vAlign w:val="center"/>
          </w:tcPr>
          <w:p w14:paraId="7EE6826E" w14:textId="77777777" w:rsidR="00440295" w:rsidRPr="008A713F" w:rsidRDefault="00440295" w:rsidP="00034511">
            <w:pPr>
              <w:rPr>
                <w:rFonts w:ascii="Tahoma" w:hAnsi="Tahoma" w:cs="Tahoma"/>
                <w:sz w:val="18"/>
                <w:szCs w:val="18"/>
              </w:rPr>
            </w:pPr>
            <w:r w:rsidRPr="008A713F">
              <w:rPr>
                <w:rFonts w:ascii="Tahoma" w:hAnsi="Tahoma" w:cs="Tahoma"/>
                <w:sz w:val="18"/>
                <w:szCs w:val="18"/>
              </w:rPr>
              <w:t xml:space="preserve">перевод со Счета Карты Клиента, эмитированной Банком, на счета, открытые в Банке/других банках, без использования Карты (только в отделении Банка). Комиссия взимается только от суммы кредитных денежных средств (Лимита кредитования), переводимых Клиентом. </w:t>
            </w:r>
          </w:p>
        </w:tc>
        <w:tc>
          <w:tcPr>
            <w:tcW w:w="3976" w:type="dxa"/>
            <w:shd w:val="clear" w:color="auto" w:fill="auto"/>
            <w:vAlign w:val="center"/>
          </w:tcPr>
          <w:p w14:paraId="6C26B077" w14:textId="77777777" w:rsidR="00440295" w:rsidRPr="008A713F" w:rsidRDefault="00440295" w:rsidP="00034511">
            <w:pPr>
              <w:rPr>
                <w:rFonts w:ascii="Tahoma" w:hAnsi="Tahoma" w:cs="Tahoma"/>
                <w:b/>
                <w:sz w:val="18"/>
                <w:szCs w:val="18"/>
              </w:rPr>
            </w:pPr>
            <w:r w:rsidRPr="008A713F">
              <w:rPr>
                <w:rFonts w:ascii="Tahoma" w:hAnsi="Tahoma" w:cs="Tahoma"/>
                <w:sz w:val="18"/>
                <w:szCs w:val="18"/>
              </w:rPr>
              <w:t>За счет установленного Лимита кредитования</w:t>
            </w:r>
          </w:p>
        </w:tc>
        <w:tc>
          <w:tcPr>
            <w:tcW w:w="4675" w:type="dxa"/>
            <w:gridSpan w:val="2"/>
            <w:shd w:val="clear" w:color="auto" w:fill="auto"/>
            <w:vAlign w:val="center"/>
          </w:tcPr>
          <w:p w14:paraId="234CC4D6" w14:textId="77777777" w:rsidR="00440295" w:rsidRPr="008A713F" w:rsidRDefault="00440295" w:rsidP="00034511">
            <w:pPr>
              <w:jc w:val="center"/>
              <w:rPr>
                <w:rFonts w:ascii="Tahoma" w:hAnsi="Tahoma" w:cs="Tahoma"/>
                <w:bCs/>
                <w:sz w:val="18"/>
                <w:szCs w:val="18"/>
              </w:rPr>
            </w:pPr>
            <w:r w:rsidRPr="008A713F">
              <w:rPr>
                <w:rFonts w:ascii="Tahoma" w:hAnsi="Tahoma" w:cs="Tahoma"/>
                <w:bCs/>
                <w:sz w:val="18"/>
                <w:szCs w:val="18"/>
              </w:rPr>
              <w:t>4,9% от суммы кредитных денежных средств (Лимита кредитования), переводимых Клиентом +590 рублей</w:t>
            </w:r>
          </w:p>
        </w:tc>
      </w:tr>
      <w:tr w:rsidR="00440295" w:rsidRPr="008A713F" w14:paraId="7527C1D4" w14:textId="77777777" w:rsidTr="00034511">
        <w:trPr>
          <w:trHeight w:hRule="exact" w:val="997"/>
          <w:tblHeader/>
        </w:trPr>
        <w:tc>
          <w:tcPr>
            <w:tcW w:w="852" w:type="dxa"/>
            <w:vMerge/>
            <w:tcBorders>
              <w:bottom w:val="single" w:sz="4" w:space="0" w:color="auto"/>
            </w:tcBorders>
            <w:shd w:val="clear" w:color="auto" w:fill="D9D9D9" w:themeFill="background1" w:themeFillShade="D9"/>
            <w:noWrap/>
            <w:vAlign w:val="center"/>
          </w:tcPr>
          <w:p w14:paraId="417F14C6" w14:textId="77777777" w:rsidR="00440295" w:rsidRPr="008A713F" w:rsidRDefault="00440295" w:rsidP="00034511">
            <w:pPr>
              <w:jc w:val="center"/>
              <w:rPr>
                <w:rFonts w:ascii="Tahoma" w:hAnsi="Tahoma" w:cs="Tahoma"/>
                <w:sz w:val="18"/>
                <w:szCs w:val="18"/>
              </w:rPr>
            </w:pPr>
          </w:p>
        </w:tc>
        <w:tc>
          <w:tcPr>
            <w:tcW w:w="6096" w:type="dxa"/>
            <w:gridSpan w:val="2"/>
            <w:vMerge/>
            <w:tcBorders>
              <w:bottom w:val="single" w:sz="4" w:space="0" w:color="auto"/>
            </w:tcBorders>
            <w:shd w:val="clear" w:color="auto" w:fill="auto"/>
            <w:vAlign w:val="center"/>
          </w:tcPr>
          <w:p w14:paraId="434CB709" w14:textId="77777777" w:rsidR="00440295" w:rsidRPr="008A713F" w:rsidRDefault="00440295" w:rsidP="00034511">
            <w:pPr>
              <w:rPr>
                <w:rFonts w:ascii="Tahoma" w:hAnsi="Tahoma" w:cs="Tahoma"/>
                <w:sz w:val="18"/>
                <w:szCs w:val="18"/>
              </w:rPr>
            </w:pPr>
          </w:p>
        </w:tc>
        <w:tc>
          <w:tcPr>
            <w:tcW w:w="3976" w:type="dxa"/>
            <w:tcBorders>
              <w:bottom w:val="single" w:sz="4" w:space="0" w:color="auto"/>
            </w:tcBorders>
            <w:shd w:val="clear" w:color="auto" w:fill="auto"/>
            <w:vAlign w:val="center"/>
          </w:tcPr>
          <w:p w14:paraId="7116BC91" w14:textId="77777777" w:rsidR="00440295" w:rsidRPr="008A713F" w:rsidRDefault="00440295" w:rsidP="00034511">
            <w:pPr>
              <w:rPr>
                <w:rFonts w:ascii="Tahoma" w:hAnsi="Tahoma" w:cs="Tahoma"/>
                <w:sz w:val="18"/>
                <w:szCs w:val="18"/>
              </w:rPr>
            </w:pPr>
            <w:r w:rsidRPr="008A713F">
              <w:rPr>
                <w:rFonts w:ascii="Tahoma" w:hAnsi="Tahoma" w:cs="Tahoma"/>
                <w:sz w:val="18"/>
                <w:szCs w:val="18"/>
              </w:rPr>
              <w:t>при положительном балансе на Счете Карты (наличии средств, находящихся на Счете Карты сверх установленного Лимита кредитования)</w:t>
            </w:r>
          </w:p>
        </w:tc>
        <w:tc>
          <w:tcPr>
            <w:tcW w:w="4675" w:type="dxa"/>
            <w:gridSpan w:val="2"/>
            <w:tcBorders>
              <w:bottom w:val="single" w:sz="4" w:space="0" w:color="auto"/>
            </w:tcBorders>
            <w:shd w:val="clear" w:color="auto" w:fill="auto"/>
            <w:vAlign w:val="center"/>
          </w:tcPr>
          <w:p w14:paraId="104D00E3"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БЕСПЛАТНО</w:t>
            </w:r>
          </w:p>
        </w:tc>
      </w:tr>
      <w:tr w:rsidR="00440295" w:rsidRPr="008A713F" w14:paraId="21168BC4" w14:textId="77777777" w:rsidTr="00034511">
        <w:trPr>
          <w:trHeight w:val="521"/>
          <w:tblHeader/>
        </w:trPr>
        <w:tc>
          <w:tcPr>
            <w:tcW w:w="852" w:type="dxa"/>
            <w:vMerge w:val="restart"/>
            <w:tcBorders>
              <w:top w:val="single" w:sz="4" w:space="0" w:color="auto"/>
              <w:left w:val="single" w:sz="4" w:space="0" w:color="auto"/>
              <w:right w:val="single" w:sz="4" w:space="0" w:color="auto"/>
            </w:tcBorders>
            <w:shd w:val="clear" w:color="auto" w:fill="D9D9D9" w:themeFill="background1" w:themeFillShade="D9"/>
            <w:noWrap/>
            <w:vAlign w:val="center"/>
          </w:tcPr>
          <w:p w14:paraId="1143D928"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6.5.2.</w:t>
            </w:r>
          </w:p>
        </w:tc>
        <w:tc>
          <w:tcPr>
            <w:tcW w:w="3261" w:type="dxa"/>
            <w:vMerge w:val="restart"/>
            <w:tcBorders>
              <w:top w:val="single" w:sz="4" w:space="0" w:color="auto"/>
              <w:left w:val="single" w:sz="4" w:space="0" w:color="auto"/>
              <w:right w:val="single" w:sz="4" w:space="0" w:color="auto"/>
            </w:tcBorders>
            <w:shd w:val="clear" w:color="auto" w:fill="auto"/>
            <w:vAlign w:val="center"/>
          </w:tcPr>
          <w:p w14:paraId="72EE7FD0" w14:textId="77777777" w:rsidR="00440295" w:rsidRPr="008A713F" w:rsidRDefault="00440295" w:rsidP="00034511">
            <w:pPr>
              <w:rPr>
                <w:rFonts w:ascii="Tahoma" w:hAnsi="Tahoma" w:cs="Tahoma"/>
                <w:sz w:val="18"/>
                <w:szCs w:val="18"/>
              </w:rPr>
            </w:pPr>
            <w:r w:rsidRPr="008A713F">
              <w:rPr>
                <w:rFonts w:ascii="Tahoma" w:hAnsi="Tahoma" w:cs="Tahoma"/>
                <w:sz w:val="18"/>
                <w:szCs w:val="18"/>
              </w:rPr>
              <w:t xml:space="preserve">Переводы денежных средств в пользу физических лиц с использованием сервиса быстрых платежей платежной системы Банка России системы быстрых платежей (по тексту - СБП) </w:t>
            </w:r>
            <w:r w:rsidRPr="008A713F">
              <w:rPr>
                <w:rFonts w:ascii="Tahoma" w:hAnsi="Tahoma" w:cs="Tahoma"/>
                <w:sz w:val="18"/>
                <w:szCs w:val="18"/>
                <w:vertAlign w:val="superscript"/>
              </w:rPr>
              <w:t>23</w:t>
            </w:r>
          </w:p>
          <w:p w14:paraId="42AA35D0" w14:textId="77777777" w:rsidR="00440295" w:rsidRPr="008A713F" w:rsidRDefault="00440295" w:rsidP="00034511">
            <w:pPr>
              <w:rPr>
                <w:rFonts w:ascii="Tahoma" w:hAnsi="Tahoma" w:cs="Tahoma"/>
                <w:sz w:val="18"/>
                <w:szCs w:val="18"/>
              </w:rPr>
            </w:pPr>
          </w:p>
        </w:tc>
        <w:tc>
          <w:tcPr>
            <w:tcW w:w="2835" w:type="dxa"/>
            <w:vMerge w:val="restart"/>
            <w:tcBorders>
              <w:top w:val="single" w:sz="4" w:space="0" w:color="auto"/>
              <w:left w:val="single" w:sz="4" w:space="0" w:color="auto"/>
              <w:right w:val="single" w:sz="4" w:space="0" w:color="auto"/>
            </w:tcBorders>
            <w:shd w:val="clear" w:color="auto" w:fill="auto"/>
            <w:vAlign w:val="center"/>
          </w:tcPr>
          <w:p w14:paraId="16DF5218" w14:textId="77777777" w:rsidR="00440295" w:rsidRPr="008A713F" w:rsidRDefault="00440295" w:rsidP="00034511">
            <w:pPr>
              <w:rPr>
                <w:rFonts w:ascii="Tahoma" w:hAnsi="Tahoma" w:cs="Tahoma"/>
                <w:sz w:val="18"/>
                <w:szCs w:val="18"/>
              </w:rPr>
            </w:pPr>
            <w:r w:rsidRPr="008A713F">
              <w:rPr>
                <w:rFonts w:ascii="Tahoma" w:hAnsi="Tahoma" w:cs="Tahoma"/>
                <w:sz w:val="18"/>
                <w:szCs w:val="18"/>
              </w:rPr>
              <w:t>на счета/вклады иных клиентов, открытые в других кредитных организациях или  списании денежных средств со Счета Клиента в Банке   и увеличении остатка электронных денежных средств иных клиентов в другой кредитной организации</w:t>
            </w:r>
          </w:p>
        </w:tc>
        <w:tc>
          <w:tcPr>
            <w:tcW w:w="3976" w:type="dxa"/>
            <w:tcBorders>
              <w:top w:val="single" w:sz="4" w:space="0" w:color="auto"/>
              <w:left w:val="single" w:sz="4" w:space="0" w:color="auto"/>
              <w:bottom w:val="single" w:sz="4" w:space="0" w:color="auto"/>
              <w:right w:val="single" w:sz="4" w:space="0" w:color="auto"/>
            </w:tcBorders>
            <w:shd w:val="clear" w:color="auto" w:fill="auto"/>
            <w:vAlign w:val="center"/>
          </w:tcPr>
          <w:p w14:paraId="105D1AEB" w14:textId="77777777" w:rsidR="00440295" w:rsidRPr="008A713F" w:rsidRDefault="00440295" w:rsidP="00034511">
            <w:pPr>
              <w:rPr>
                <w:rFonts w:ascii="Tahoma" w:hAnsi="Tahoma" w:cs="Tahoma"/>
                <w:sz w:val="18"/>
                <w:szCs w:val="18"/>
              </w:rPr>
            </w:pPr>
            <w:r w:rsidRPr="008A713F">
              <w:rPr>
                <w:rFonts w:ascii="Tahoma" w:hAnsi="Tahoma" w:cs="Tahoma"/>
                <w:sz w:val="18"/>
                <w:szCs w:val="18"/>
              </w:rPr>
              <w:t>при положительном балансе на Счете Карты (наличии средств, находящихся на Счете Карты сверх установленного Лимита кредитования)</w:t>
            </w:r>
          </w:p>
        </w:tc>
        <w:tc>
          <w:tcPr>
            <w:tcW w:w="46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EDE65B0" w14:textId="77777777" w:rsidR="00440295" w:rsidRPr="008A713F" w:rsidRDefault="00440295" w:rsidP="00034511">
            <w:pPr>
              <w:jc w:val="center"/>
              <w:rPr>
                <w:rFonts w:ascii="Tahoma" w:hAnsi="Tahoma" w:cs="Tahoma"/>
                <w:sz w:val="18"/>
                <w:szCs w:val="18"/>
              </w:rPr>
            </w:pPr>
            <w:r w:rsidRPr="008A713F">
              <w:rPr>
                <w:rFonts w:ascii="Tahoma" w:hAnsi="Tahoma" w:cs="Tahoma"/>
                <w:b/>
                <w:sz w:val="18"/>
                <w:szCs w:val="18"/>
              </w:rPr>
              <w:t>БЕСПЛАТНО</w:t>
            </w:r>
            <w:r w:rsidRPr="008A713F">
              <w:rPr>
                <w:rFonts w:ascii="Tahoma" w:hAnsi="Tahoma" w:cs="Tahoma"/>
                <w:sz w:val="18"/>
                <w:szCs w:val="18"/>
              </w:rPr>
              <w:t>: до 100 тыс.руб. (включительно) в течение календарного месяца</w:t>
            </w:r>
            <w:r w:rsidRPr="008A713F">
              <w:rPr>
                <w:rFonts w:ascii="Tahoma" w:hAnsi="Tahoma" w:cs="Tahoma"/>
                <w:sz w:val="18"/>
                <w:szCs w:val="18"/>
                <w:vertAlign w:val="superscript"/>
              </w:rPr>
              <w:t>21</w:t>
            </w:r>
            <w:r w:rsidRPr="008A713F">
              <w:rPr>
                <w:rFonts w:ascii="Tahoma" w:hAnsi="Tahoma" w:cs="Tahoma"/>
                <w:sz w:val="18"/>
                <w:szCs w:val="18"/>
              </w:rPr>
              <w:t>;</w:t>
            </w:r>
          </w:p>
          <w:p w14:paraId="14EFF33F"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свыше в календарный месяц: 0,5% от суммы операции (но не более 1 500</w:t>
            </w:r>
          </w:p>
          <w:p w14:paraId="5453775A"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рублей за один перевод)</w:t>
            </w:r>
            <w:r w:rsidRPr="008A713F">
              <w:rPr>
                <w:rFonts w:ascii="Tahoma" w:hAnsi="Tahoma" w:cs="Tahoma"/>
                <w:sz w:val="18"/>
                <w:szCs w:val="18"/>
                <w:vertAlign w:val="superscript"/>
              </w:rPr>
              <w:t xml:space="preserve"> 22</w:t>
            </w:r>
          </w:p>
        </w:tc>
      </w:tr>
      <w:tr w:rsidR="00440295" w:rsidRPr="008A713F" w14:paraId="2A56254D" w14:textId="77777777" w:rsidTr="00034511">
        <w:trPr>
          <w:trHeight w:val="521"/>
          <w:tblHeader/>
        </w:trPr>
        <w:tc>
          <w:tcPr>
            <w:tcW w:w="852" w:type="dxa"/>
            <w:vMerge/>
            <w:tcBorders>
              <w:left w:val="single" w:sz="4" w:space="0" w:color="auto"/>
              <w:right w:val="single" w:sz="4" w:space="0" w:color="auto"/>
            </w:tcBorders>
            <w:shd w:val="clear" w:color="auto" w:fill="D9D9D9" w:themeFill="background1" w:themeFillShade="D9"/>
            <w:noWrap/>
            <w:vAlign w:val="center"/>
          </w:tcPr>
          <w:p w14:paraId="78FCB065" w14:textId="77777777" w:rsidR="00440295" w:rsidRPr="008A713F" w:rsidRDefault="00440295" w:rsidP="00034511">
            <w:pPr>
              <w:jc w:val="center"/>
              <w:rPr>
                <w:rFonts w:ascii="Tahoma" w:hAnsi="Tahoma" w:cs="Tahoma"/>
                <w:sz w:val="18"/>
                <w:szCs w:val="18"/>
              </w:rPr>
            </w:pPr>
          </w:p>
        </w:tc>
        <w:tc>
          <w:tcPr>
            <w:tcW w:w="3261" w:type="dxa"/>
            <w:vMerge/>
            <w:tcBorders>
              <w:left w:val="single" w:sz="4" w:space="0" w:color="auto"/>
              <w:right w:val="single" w:sz="4" w:space="0" w:color="auto"/>
            </w:tcBorders>
            <w:shd w:val="clear" w:color="auto" w:fill="auto"/>
            <w:vAlign w:val="center"/>
          </w:tcPr>
          <w:p w14:paraId="11081CDD" w14:textId="77777777" w:rsidR="00440295" w:rsidRPr="008A713F" w:rsidRDefault="00440295" w:rsidP="00034511">
            <w:pPr>
              <w:rPr>
                <w:rFonts w:ascii="Tahoma" w:hAnsi="Tahoma" w:cs="Tahoma"/>
                <w:sz w:val="18"/>
                <w:szCs w:val="18"/>
              </w:rPr>
            </w:pPr>
          </w:p>
        </w:tc>
        <w:tc>
          <w:tcPr>
            <w:tcW w:w="2835" w:type="dxa"/>
            <w:vMerge/>
            <w:tcBorders>
              <w:left w:val="single" w:sz="4" w:space="0" w:color="auto"/>
              <w:bottom w:val="single" w:sz="4" w:space="0" w:color="auto"/>
              <w:right w:val="single" w:sz="4" w:space="0" w:color="auto"/>
            </w:tcBorders>
            <w:shd w:val="clear" w:color="auto" w:fill="auto"/>
            <w:vAlign w:val="center"/>
          </w:tcPr>
          <w:p w14:paraId="7F47FBA9" w14:textId="77777777" w:rsidR="00440295" w:rsidRPr="008A713F" w:rsidRDefault="00440295" w:rsidP="00034511">
            <w:pPr>
              <w:rPr>
                <w:rFonts w:ascii="Tahoma" w:hAnsi="Tahoma" w:cs="Tahoma"/>
                <w:sz w:val="18"/>
                <w:szCs w:val="18"/>
              </w:rPr>
            </w:pPr>
          </w:p>
        </w:tc>
        <w:tc>
          <w:tcPr>
            <w:tcW w:w="3976" w:type="dxa"/>
            <w:tcBorders>
              <w:top w:val="single" w:sz="4" w:space="0" w:color="auto"/>
              <w:left w:val="single" w:sz="4" w:space="0" w:color="auto"/>
              <w:bottom w:val="single" w:sz="4" w:space="0" w:color="auto"/>
              <w:right w:val="single" w:sz="4" w:space="0" w:color="auto"/>
            </w:tcBorders>
            <w:shd w:val="clear" w:color="auto" w:fill="auto"/>
            <w:vAlign w:val="center"/>
          </w:tcPr>
          <w:p w14:paraId="078E7723" w14:textId="77777777" w:rsidR="00440295" w:rsidRPr="008A713F" w:rsidRDefault="00440295" w:rsidP="00034511">
            <w:pPr>
              <w:rPr>
                <w:rFonts w:ascii="Tahoma" w:hAnsi="Tahoma" w:cs="Tahoma"/>
                <w:sz w:val="18"/>
                <w:szCs w:val="18"/>
              </w:rPr>
            </w:pPr>
            <w:r w:rsidRPr="008A713F">
              <w:rPr>
                <w:rFonts w:ascii="Tahoma" w:hAnsi="Tahoma" w:cs="Tahoma"/>
                <w:sz w:val="18"/>
                <w:szCs w:val="18"/>
              </w:rPr>
              <w:t>За счет установленного Лимита кредитования</w:t>
            </w:r>
          </w:p>
          <w:p w14:paraId="7F7D2D30" w14:textId="77777777" w:rsidR="00440295" w:rsidRPr="008A713F" w:rsidRDefault="00440295" w:rsidP="00034511">
            <w:pPr>
              <w:rPr>
                <w:rFonts w:ascii="Tahoma" w:hAnsi="Tahoma" w:cs="Tahoma"/>
                <w:sz w:val="18"/>
                <w:szCs w:val="18"/>
              </w:rPr>
            </w:pPr>
            <w:r w:rsidRPr="008A713F">
              <w:rPr>
                <w:rFonts w:ascii="Tahoma" w:hAnsi="Tahoma" w:cs="Tahoma"/>
                <w:sz w:val="18"/>
                <w:szCs w:val="18"/>
              </w:rPr>
              <w:t>(при отсутствии в переводе собственных средств Клиента)</w:t>
            </w:r>
          </w:p>
        </w:tc>
        <w:tc>
          <w:tcPr>
            <w:tcW w:w="46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03B827A" w14:textId="77777777" w:rsidR="00440295" w:rsidRPr="008A713F" w:rsidRDefault="00440295" w:rsidP="00034511">
            <w:pPr>
              <w:jc w:val="center"/>
              <w:rPr>
                <w:rFonts w:ascii="Tahoma" w:hAnsi="Tahoma" w:cs="Tahoma"/>
                <w:bCs/>
                <w:sz w:val="18"/>
                <w:szCs w:val="18"/>
              </w:rPr>
            </w:pPr>
            <w:r w:rsidRPr="008A713F">
              <w:rPr>
                <w:rFonts w:ascii="Tahoma" w:hAnsi="Tahoma" w:cs="Tahoma"/>
                <w:bCs/>
                <w:sz w:val="18"/>
                <w:szCs w:val="18"/>
              </w:rPr>
              <w:t>4,9% от суммы кредитных денежных средств (Лимита кредитования), переводимых Клиентом +590 рублей</w:t>
            </w:r>
          </w:p>
          <w:p w14:paraId="06093580" w14:textId="77777777" w:rsidR="00440295" w:rsidRPr="008A713F" w:rsidRDefault="00440295" w:rsidP="00034511">
            <w:pPr>
              <w:jc w:val="center"/>
              <w:rPr>
                <w:rFonts w:ascii="Tahoma" w:hAnsi="Tahoma" w:cs="Tahoma"/>
                <w:sz w:val="18"/>
                <w:szCs w:val="18"/>
              </w:rPr>
            </w:pPr>
            <w:r w:rsidRPr="008A713F">
              <w:rPr>
                <w:rFonts w:ascii="Tahoma" w:hAnsi="Tahoma" w:cs="Tahoma"/>
                <w:bCs/>
                <w:sz w:val="18"/>
                <w:szCs w:val="18"/>
              </w:rPr>
              <w:t>+</w:t>
            </w:r>
            <w:r w:rsidRPr="008A713F">
              <w:rPr>
                <w:rFonts w:ascii="Tahoma" w:hAnsi="Tahoma" w:cs="Tahoma"/>
                <w:sz w:val="18"/>
                <w:szCs w:val="18"/>
              </w:rPr>
              <w:t>0,5% от суммы операции (но не более 1 500 рублей за один перевод) при превышении лимита 100 000 руб.  (включительно) в течение календарного месяца</w:t>
            </w:r>
            <w:r w:rsidRPr="008A713F">
              <w:rPr>
                <w:rFonts w:ascii="Tahoma" w:hAnsi="Tahoma" w:cs="Tahoma"/>
                <w:sz w:val="18"/>
                <w:szCs w:val="18"/>
                <w:vertAlign w:val="superscript"/>
              </w:rPr>
              <w:t>22</w:t>
            </w:r>
            <w:r w:rsidRPr="008A713F">
              <w:rPr>
                <w:rFonts w:ascii="Tahoma" w:hAnsi="Tahoma" w:cs="Tahoma"/>
                <w:sz w:val="18"/>
                <w:szCs w:val="18"/>
              </w:rPr>
              <w:t>;</w:t>
            </w:r>
          </w:p>
        </w:tc>
      </w:tr>
      <w:tr w:rsidR="00440295" w:rsidRPr="008A713F" w14:paraId="0281A964" w14:textId="77777777" w:rsidTr="00034511">
        <w:trPr>
          <w:trHeight w:val="521"/>
          <w:tblHeader/>
        </w:trPr>
        <w:tc>
          <w:tcPr>
            <w:tcW w:w="852" w:type="dxa"/>
            <w:vMerge/>
            <w:tcBorders>
              <w:left w:val="single" w:sz="4" w:space="0" w:color="auto"/>
              <w:right w:val="single" w:sz="4" w:space="0" w:color="auto"/>
            </w:tcBorders>
            <w:shd w:val="clear" w:color="auto" w:fill="D9D9D9" w:themeFill="background1" w:themeFillShade="D9"/>
            <w:noWrap/>
            <w:vAlign w:val="center"/>
          </w:tcPr>
          <w:p w14:paraId="45E1CCDB" w14:textId="77777777" w:rsidR="00440295" w:rsidRPr="008A713F" w:rsidRDefault="00440295" w:rsidP="00034511">
            <w:pPr>
              <w:jc w:val="center"/>
              <w:rPr>
                <w:rFonts w:ascii="Tahoma" w:hAnsi="Tahoma" w:cs="Tahoma"/>
                <w:sz w:val="18"/>
                <w:szCs w:val="18"/>
              </w:rPr>
            </w:pPr>
          </w:p>
        </w:tc>
        <w:tc>
          <w:tcPr>
            <w:tcW w:w="3261" w:type="dxa"/>
            <w:vMerge/>
            <w:tcBorders>
              <w:left w:val="single" w:sz="4" w:space="0" w:color="auto"/>
              <w:right w:val="single" w:sz="4" w:space="0" w:color="auto"/>
            </w:tcBorders>
            <w:shd w:val="clear" w:color="auto" w:fill="auto"/>
            <w:vAlign w:val="center"/>
          </w:tcPr>
          <w:p w14:paraId="027CC4F7" w14:textId="77777777" w:rsidR="00440295" w:rsidRPr="008A713F" w:rsidRDefault="00440295" w:rsidP="00034511">
            <w:pPr>
              <w:rPr>
                <w:rFonts w:ascii="Tahoma" w:hAnsi="Tahoma" w:cs="Tahoma"/>
                <w:sz w:val="18"/>
                <w:szCs w:val="18"/>
              </w:rPr>
            </w:pPr>
          </w:p>
        </w:tc>
        <w:tc>
          <w:tcPr>
            <w:tcW w:w="2835" w:type="dxa"/>
            <w:vMerge w:val="restart"/>
            <w:tcBorders>
              <w:left w:val="single" w:sz="4" w:space="0" w:color="auto"/>
              <w:right w:val="single" w:sz="4" w:space="0" w:color="auto"/>
            </w:tcBorders>
            <w:shd w:val="clear" w:color="auto" w:fill="auto"/>
            <w:vAlign w:val="center"/>
          </w:tcPr>
          <w:p w14:paraId="079CF9F9" w14:textId="77777777" w:rsidR="00440295" w:rsidRPr="008A713F" w:rsidRDefault="00440295" w:rsidP="00034511">
            <w:pPr>
              <w:rPr>
                <w:rFonts w:ascii="Tahoma" w:hAnsi="Tahoma" w:cs="Tahoma"/>
                <w:sz w:val="18"/>
                <w:szCs w:val="18"/>
              </w:rPr>
            </w:pPr>
            <w:r w:rsidRPr="008A713F">
              <w:rPr>
                <w:rFonts w:ascii="Tahoma" w:hAnsi="Tahoma" w:cs="Tahoma"/>
                <w:sz w:val="18"/>
                <w:szCs w:val="18"/>
              </w:rPr>
              <w:t xml:space="preserve">на счета/вклады, открытые в других кредитных организациях на имя самого Клиента или на специальный счет оператора финансовой платформы (далее-ОФП), бенефициаром по которому выступает сам Клиент </w:t>
            </w:r>
          </w:p>
          <w:p w14:paraId="2C2E6874" w14:textId="77777777" w:rsidR="00440295" w:rsidRPr="008A713F" w:rsidRDefault="00440295" w:rsidP="00034511">
            <w:pPr>
              <w:pStyle w:val="affa"/>
              <w:jc w:val="both"/>
              <w:rPr>
                <w:rFonts w:ascii="Tahoma" w:hAnsi="Tahoma" w:cs="Tahoma"/>
                <w:sz w:val="18"/>
                <w:szCs w:val="18"/>
              </w:rPr>
            </w:pPr>
            <w:r w:rsidRPr="008A713F">
              <w:rPr>
                <w:rFonts w:ascii="Tahoma" w:hAnsi="Tahoma" w:cs="Tahoma"/>
                <w:sz w:val="18"/>
                <w:szCs w:val="18"/>
              </w:rPr>
              <w:t xml:space="preserve"> </w:t>
            </w:r>
          </w:p>
        </w:tc>
        <w:tc>
          <w:tcPr>
            <w:tcW w:w="3976" w:type="dxa"/>
            <w:tcBorders>
              <w:top w:val="single" w:sz="4" w:space="0" w:color="auto"/>
              <w:left w:val="single" w:sz="4" w:space="0" w:color="auto"/>
              <w:bottom w:val="single" w:sz="4" w:space="0" w:color="auto"/>
              <w:right w:val="single" w:sz="4" w:space="0" w:color="auto"/>
            </w:tcBorders>
            <w:shd w:val="clear" w:color="auto" w:fill="auto"/>
            <w:vAlign w:val="center"/>
          </w:tcPr>
          <w:p w14:paraId="0B69EDF2" w14:textId="77777777" w:rsidR="00440295" w:rsidRPr="008A713F" w:rsidRDefault="00440295" w:rsidP="00034511">
            <w:pPr>
              <w:rPr>
                <w:rFonts w:ascii="Tahoma" w:hAnsi="Tahoma" w:cs="Tahoma"/>
                <w:sz w:val="18"/>
                <w:szCs w:val="18"/>
              </w:rPr>
            </w:pPr>
            <w:r w:rsidRPr="008A713F">
              <w:rPr>
                <w:rFonts w:ascii="Tahoma" w:hAnsi="Tahoma" w:cs="Tahoma"/>
                <w:sz w:val="18"/>
                <w:szCs w:val="18"/>
              </w:rPr>
              <w:t>при положительном балансе на Счете Карты (наличии средств, находящихся на Счете Карты сверх установленного Лимита кредитования)</w:t>
            </w:r>
          </w:p>
        </w:tc>
        <w:tc>
          <w:tcPr>
            <w:tcW w:w="46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9DA0FE6" w14:textId="77777777" w:rsidR="00440295" w:rsidRPr="008A713F" w:rsidRDefault="00440295" w:rsidP="00034511">
            <w:pPr>
              <w:jc w:val="center"/>
              <w:rPr>
                <w:rFonts w:ascii="Tahoma" w:hAnsi="Tahoma" w:cs="Tahoma"/>
                <w:sz w:val="18"/>
                <w:szCs w:val="18"/>
              </w:rPr>
            </w:pPr>
            <w:r w:rsidRPr="008A713F">
              <w:rPr>
                <w:rFonts w:ascii="Tahoma" w:hAnsi="Tahoma" w:cs="Tahoma"/>
                <w:b/>
                <w:sz w:val="18"/>
                <w:szCs w:val="18"/>
              </w:rPr>
              <w:t>БЕСПЛАТНО</w:t>
            </w:r>
            <w:r w:rsidRPr="008A713F">
              <w:rPr>
                <w:rFonts w:ascii="Tahoma" w:hAnsi="Tahoma" w:cs="Tahoma"/>
                <w:sz w:val="18"/>
                <w:szCs w:val="18"/>
              </w:rPr>
              <w:t>: в совокупности до 30 000 000 руб. включительно в течение календарного</w:t>
            </w:r>
          </w:p>
          <w:p w14:paraId="3DA0EED7"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Месяца</w:t>
            </w:r>
            <w:r w:rsidRPr="008A713F">
              <w:rPr>
                <w:rFonts w:ascii="Tahoma" w:hAnsi="Tahoma" w:cs="Tahoma"/>
                <w:sz w:val="18"/>
                <w:szCs w:val="18"/>
                <w:vertAlign w:val="superscript"/>
              </w:rPr>
              <w:t>20</w:t>
            </w:r>
            <w:r w:rsidRPr="008A713F">
              <w:rPr>
                <w:rFonts w:ascii="Tahoma" w:hAnsi="Tahoma" w:cs="Tahoma"/>
                <w:sz w:val="18"/>
                <w:szCs w:val="18"/>
              </w:rPr>
              <w:t>;</w:t>
            </w:r>
          </w:p>
          <w:p w14:paraId="61F78F23"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свыше в календарный месяц: 0,5% от суммы операции (но не более 1 500</w:t>
            </w:r>
          </w:p>
          <w:p w14:paraId="713B142B"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рублей за один перевод)</w:t>
            </w:r>
            <w:r w:rsidRPr="008A713F">
              <w:rPr>
                <w:rFonts w:ascii="Tahoma" w:hAnsi="Tahoma" w:cs="Tahoma"/>
                <w:sz w:val="18"/>
                <w:szCs w:val="18"/>
                <w:vertAlign w:val="superscript"/>
              </w:rPr>
              <w:t>20</w:t>
            </w:r>
            <w:r w:rsidRPr="008A713F">
              <w:rPr>
                <w:rFonts w:ascii="Tahoma" w:hAnsi="Tahoma" w:cs="Tahoma"/>
                <w:sz w:val="18"/>
                <w:szCs w:val="18"/>
              </w:rPr>
              <w:t>.</w:t>
            </w:r>
          </w:p>
        </w:tc>
      </w:tr>
      <w:tr w:rsidR="00440295" w:rsidRPr="008A713F" w14:paraId="44E41F6F" w14:textId="77777777" w:rsidTr="00034511">
        <w:trPr>
          <w:trHeight w:val="521"/>
          <w:tblHeader/>
        </w:trPr>
        <w:tc>
          <w:tcPr>
            <w:tcW w:w="852" w:type="dxa"/>
            <w:vMerge/>
            <w:tcBorders>
              <w:left w:val="single" w:sz="4" w:space="0" w:color="auto"/>
              <w:right w:val="single" w:sz="4" w:space="0" w:color="auto"/>
            </w:tcBorders>
            <w:shd w:val="clear" w:color="auto" w:fill="D9D9D9" w:themeFill="background1" w:themeFillShade="D9"/>
            <w:noWrap/>
            <w:vAlign w:val="center"/>
          </w:tcPr>
          <w:p w14:paraId="434C06DE" w14:textId="77777777" w:rsidR="00440295" w:rsidRPr="008A713F" w:rsidRDefault="00440295" w:rsidP="00034511">
            <w:pPr>
              <w:jc w:val="center"/>
              <w:rPr>
                <w:rFonts w:ascii="Tahoma" w:hAnsi="Tahoma" w:cs="Tahoma"/>
                <w:sz w:val="18"/>
                <w:szCs w:val="18"/>
              </w:rPr>
            </w:pPr>
          </w:p>
        </w:tc>
        <w:tc>
          <w:tcPr>
            <w:tcW w:w="3261" w:type="dxa"/>
            <w:vMerge/>
            <w:tcBorders>
              <w:left w:val="single" w:sz="4" w:space="0" w:color="auto"/>
              <w:right w:val="single" w:sz="4" w:space="0" w:color="auto"/>
            </w:tcBorders>
            <w:shd w:val="clear" w:color="auto" w:fill="auto"/>
            <w:vAlign w:val="center"/>
          </w:tcPr>
          <w:p w14:paraId="56B04C90" w14:textId="77777777" w:rsidR="00440295" w:rsidRPr="008A713F" w:rsidRDefault="00440295" w:rsidP="00034511">
            <w:pPr>
              <w:rPr>
                <w:rFonts w:ascii="Tahoma" w:hAnsi="Tahoma" w:cs="Tahoma"/>
                <w:sz w:val="18"/>
                <w:szCs w:val="18"/>
              </w:rPr>
            </w:pPr>
          </w:p>
        </w:tc>
        <w:tc>
          <w:tcPr>
            <w:tcW w:w="2835" w:type="dxa"/>
            <w:vMerge/>
            <w:tcBorders>
              <w:left w:val="single" w:sz="4" w:space="0" w:color="auto"/>
              <w:bottom w:val="single" w:sz="4" w:space="0" w:color="auto"/>
              <w:right w:val="single" w:sz="4" w:space="0" w:color="auto"/>
            </w:tcBorders>
            <w:shd w:val="clear" w:color="auto" w:fill="auto"/>
            <w:vAlign w:val="center"/>
          </w:tcPr>
          <w:p w14:paraId="44761FF5" w14:textId="77777777" w:rsidR="00440295" w:rsidRPr="008A713F" w:rsidRDefault="00440295" w:rsidP="00034511">
            <w:pPr>
              <w:rPr>
                <w:rFonts w:ascii="Tahoma" w:hAnsi="Tahoma" w:cs="Tahoma"/>
                <w:sz w:val="18"/>
                <w:szCs w:val="18"/>
              </w:rPr>
            </w:pPr>
          </w:p>
        </w:tc>
        <w:tc>
          <w:tcPr>
            <w:tcW w:w="3976" w:type="dxa"/>
            <w:tcBorders>
              <w:top w:val="single" w:sz="4" w:space="0" w:color="auto"/>
              <w:left w:val="single" w:sz="4" w:space="0" w:color="auto"/>
              <w:bottom w:val="single" w:sz="4" w:space="0" w:color="auto"/>
              <w:right w:val="single" w:sz="4" w:space="0" w:color="auto"/>
            </w:tcBorders>
            <w:shd w:val="clear" w:color="auto" w:fill="auto"/>
            <w:vAlign w:val="center"/>
          </w:tcPr>
          <w:p w14:paraId="02B4C636" w14:textId="77777777" w:rsidR="00440295" w:rsidRPr="008A713F" w:rsidRDefault="00440295" w:rsidP="00034511">
            <w:pPr>
              <w:rPr>
                <w:rFonts w:ascii="Tahoma" w:hAnsi="Tahoma" w:cs="Tahoma"/>
                <w:sz w:val="18"/>
                <w:szCs w:val="18"/>
              </w:rPr>
            </w:pPr>
            <w:r w:rsidRPr="008A713F">
              <w:rPr>
                <w:rFonts w:ascii="Tahoma" w:hAnsi="Tahoma" w:cs="Tahoma"/>
                <w:sz w:val="18"/>
                <w:szCs w:val="18"/>
              </w:rPr>
              <w:t>За счет установленного Лимита кредитования</w:t>
            </w:r>
          </w:p>
          <w:p w14:paraId="6C24AEAD" w14:textId="77777777" w:rsidR="00440295" w:rsidRPr="008A713F" w:rsidRDefault="00440295" w:rsidP="00034511">
            <w:pPr>
              <w:rPr>
                <w:rFonts w:ascii="Tahoma" w:hAnsi="Tahoma" w:cs="Tahoma"/>
                <w:sz w:val="18"/>
                <w:szCs w:val="18"/>
              </w:rPr>
            </w:pPr>
            <w:r w:rsidRPr="008A713F">
              <w:rPr>
                <w:rFonts w:ascii="Tahoma" w:hAnsi="Tahoma" w:cs="Tahoma"/>
                <w:sz w:val="18"/>
                <w:szCs w:val="18"/>
              </w:rPr>
              <w:t>(при отсутствии в переводе собственных средств Клиента)</w:t>
            </w:r>
          </w:p>
        </w:tc>
        <w:tc>
          <w:tcPr>
            <w:tcW w:w="46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64E115E" w14:textId="77777777" w:rsidR="00440295" w:rsidRPr="008A713F" w:rsidRDefault="00440295" w:rsidP="00034511">
            <w:pPr>
              <w:jc w:val="center"/>
              <w:rPr>
                <w:rFonts w:ascii="Tahoma" w:hAnsi="Tahoma" w:cs="Tahoma"/>
                <w:bCs/>
                <w:sz w:val="18"/>
                <w:szCs w:val="18"/>
              </w:rPr>
            </w:pPr>
            <w:r w:rsidRPr="008A713F">
              <w:rPr>
                <w:rFonts w:ascii="Tahoma" w:hAnsi="Tahoma" w:cs="Tahoma"/>
                <w:bCs/>
                <w:sz w:val="18"/>
                <w:szCs w:val="18"/>
              </w:rPr>
              <w:t>4,9% от суммы кредитных денежных средств (Лимита кредитования), переводимых Клиентом +590 рублей</w:t>
            </w:r>
          </w:p>
          <w:p w14:paraId="0BFD30EC" w14:textId="77777777" w:rsidR="00440295" w:rsidRPr="008A713F" w:rsidRDefault="00440295" w:rsidP="00034511">
            <w:pPr>
              <w:jc w:val="center"/>
              <w:rPr>
                <w:rFonts w:ascii="Tahoma" w:hAnsi="Tahoma" w:cs="Tahoma"/>
                <w:sz w:val="18"/>
                <w:szCs w:val="18"/>
              </w:rPr>
            </w:pPr>
            <w:r w:rsidRPr="008A713F">
              <w:rPr>
                <w:rFonts w:ascii="Tahoma" w:hAnsi="Tahoma" w:cs="Tahoma"/>
                <w:bCs/>
                <w:sz w:val="18"/>
                <w:szCs w:val="18"/>
              </w:rPr>
              <w:t>+</w:t>
            </w:r>
            <w:r w:rsidRPr="008A713F">
              <w:rPr>
                <w:rFonts w:ascii="Tahoma" w:hAnsi="Tahoma" w:cs="Tahoma"/>
                <w:sz w:val="18"/>
                <w:szCs w:val="18"/>
              </w:rPr>
              <w:t>0,5% от суммы операции (но не более 1 500</w:t>
            </w:r>
          </w:p>
          <w:p w14:paraId="0B4A852F" w14:textId="77777777" w:rsidR="00440295" w:rsidRPr="008A713F" w:rsidRDefault="00440295" w:rsidP="00034511">
            <w:pPr>
              <w:jc w:val="center"/>
              <w:rPr>
                <w:rFonts w:ascii="Tahoma" w:hAnsi="Tahoma" w:cs="Tahoma"/>
                <w:b/>
                <w:bCs/>
                <w:sz w:val="18"/>
                <w:szCs w:val="18"/>
              </w:rPr>
            </w:pPr>
            <w:r w:rsidRPr="008A713F">
              <w:rPr>
                <w:rFonts w:ascii="Tahoma" w:hAnsi="Tahoma" w:cs="Tahoma"/>
                <w:sz w:val="18"/>
                <w:szCs w:val="18"/>
              </w:rPr>
              <w:t>рублей за один перевод) при превышении лимита 30 000 000 руб.  (включительно) в течение календарного месяца</w:t>
            </w:r>
            <w:r w:rsidRPr="008A713F">
              <w:rPr>
                <w:rFonts w:ascii="Tahoma" w:hAnsi="Tahoma" w:cs="Tahoma"/>
                <w:sz w:val="18"/>
                <w:szCs w:val="18"/>
                <w:vertAlign w:val="superscript"/>
              </w:rPr>
              <w:t>20</w:t>
            </w:r>
            <w:r w:rsidRPr="008A713F">
              <w:rPr>
                <w:rFonts w:ascii="Tahoma" w:hAnsi="Tahoma" w:cs="Tahoma"/>
                <w:sz w:val="18"/>
                <w:szCs w:val="18"/>
              </w:rPr>
              <w:t>;</w:t>
            </w:r>
          </w:p>
        </w:tc>
      </w:tr>
      <w:tr w:rsidR="00440295" w:rsidRPr="008A713F" w14:paraId="734CCA89" w14:textId="77777777" w:rsidTr="00034511">
        <w:trPr>
          <w:trHeight w:val="521"/>
          <w:tblHeader/>
        </w:trPr>
        <w:tc>
          <w:tcPr>
            <w:tcW w:w="852" w:type="dxa"/>
            <w:vMerge w:val="restart"/>
            <w:tcBorders>
              <w:top w:val="single" w:sz="4" w:space="0" w:color="auto"/>
              <w:left w:val="single" w:sz="4" w:space="0" w:color="auto"/>
              <w:right w:val="single" w:sz="4" w:space="0" w:color="auto"/>
            </w:tcBorders>
            <w:shd w:val="clear" w:color="auto" w:fill="D9D9D9" w:themeFill="background1" w:themeFillShade="D9"/>
            <w:noWrap/>
            <w:vAlign w:val="center"/>
          </w:tcPr>
          <w:p w14:paraId="7E96CA79"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6.5.3.</w:t>
            </w:r>
          </w:p>
        </w:tc>
        <w:tc>
          <w:tcPr>
            <w:tcW w:w="3261" w:type="dxa"/>
            <w:vMerge w:val="restart"/>
            <w:tcBorders>
              <w:top w:val="single" w:sz="4" w:space="0" w:color="auto"/>
              <w:left w:val="single" w:sz="4" w:space="0" w:color="auto"/>
              <w:right w:val="single" w:sz="4" w:space="0" w:color="auto"/>
            </w:tcBorders>
            <w:shd w:val="clear" w:color="auto" w:fill="auto"/>
            <w:vAlign w:val="center"/>
          </w:tcPr>
          <w:p w14:paraId="79E28C66" w14:textId="77777777" w:rsidR="00440295" w:rsidRPr="008A713F" w:rsidRDefault="00440295" w:rsidP="00034511">
            <w:pPr>
              <w:rPr>
                <w:rFonts w:ascii="Tahoma" w:hAnsi="Tahoma" w:cs="Tahoma"/>
                <w:sz w:val="18"/>
                <w:szCs w:val="18"/>
              </w:rPr>
            </w:pPr>
            <w:r w:rsidRPr="008A713F">
              <w:rPr>
                <w:rFonts w:ascii="Tahoma" w:hAnsi="Tahoma" w:cs="Tahoma"/>
                <w:sz w:val="18"/>
                <w:szCs w:val="18"/>
              </w:rPr>
              <w:t>Перевод с Карты Клиента, эмитированной Банком на Счета/Карты Банка/других банков, в сервисах «Азиатско-Тихоокеанский Банк» (АО) (банкоматы</w:t>
            </w:r>
            <w:r w:rsidRPr="008A713F">
              <w:rPr>
                <w:rFonts w:ascii="Tahoma" w:hAnsi="Tahoma" w:cs="Tahoma"/>
                <w:sz w:val="18"/>
                <w:szCs w:val="18"/>
                <w:vertAlign w:val="superscript"/>
              </w:rPr>
              <w:t>7</w:t>
            </w:r>
            <w:r w:rsidRPr="008A713F">
              <w:rPr>
                <w:rFonts w:ascii="Tahoma" w:hAnsi="Tahoma" w:cs="Tahoma"/>
                <w:sz w:val="18"/>
                <w:szCs w:val="18"/>
              </w:rPr>
              <w:t>, официальный сайт (</w:t>
            </w:r>
            <w:hyperlink r:id="rId98" w:history="1">
              <w:r w:rsidRPr="008A713F">
                <w:rPr>
                  <w:rStyle w:val="aff"/>
                  <w:rFonts w:ascii="Tahoma" w:hAnsi="Tahoma" w:cs="Tahoma"/>
                  <w:sz w:val="18"/>
                  <w:szCs w:val="18"/>
                  <w:lang w:val="en-US"/>
                </w:rPr>
                <w:t>www</w:t>
              </w:r>
              <w:r w:rsidRPr="008A713F">
                <w:rPr>
                  <w:rStyle w:val="aff"/>
                  <w:rFonts w:ascii="Tahoma" w:hAnsi="Tahoma" w:cs="Tahoma"/>
                  <w:sz w:val="18"/>
                  <w:szCs w:val="18"/>
                </w:rPr>
                <w:t>.</w:t>
              </w:r>
              <w:r w:rsidRPr="008A713F">
                <w:rPr>
                  <w:rStyle w:val="aff"/>
                  <w:rFonts w:ascii="Tahoma" w:hAnsi="Tahoma" w:cs="Tahoma"/>
                  <w:sz w:val="18"/>
                  <w:szCs w:val="18"/>
                  <w:lang w:val="en-US"/>
                </w:rPr>
                <w:t>atb</w:t>
              </w:r>
              <w:r w:rsidRPr="008A713F">
                <w:rPr>
                  <w:rStyle w:val="aff"/>
                  <w:rFonts w:ascii="Tahoma" w:hAnsi="Tahoma" w:cs="Tahoma"/>
                  <w:sz w:val="18"/>
                  <w:szCs w:val="18"/>
                </w:rPr>
                <w:t>.</w:t>
              </w:r>
              <w:r w:rsidRPr="008A713F">
                <w:rPr>
                  <w:rStyle w:val="aff"/>
                  <w:rFonts w:ascii="Tahoma" w:hAnsi="Tahoma" w:cs="Tahoma"/>
                  <w:sz w:val="18"/>
                  <w:szCs w:val="18"/>
                  <w:lang w:val="en-US"/>
                </w:rPr>
                <w:t>su</w:t>
              </w:r>
            </w:hyperlink>
            <w:r w:rsidRPr="008A713F">
              <w:rPr>
                <w:rFonts w:ascii="Tahoma" w:hAnsi="Tahoma" w:cs="Tahoma"/>
                <w:sz w:val="18"/>
                <w:szCs w:val="18"/>
              </w:rPr>
              <w:t>)</w:t>
            </w:r>
            <w:r w:rsidRPr="008A713F">
              <w:rPr>
                <w:rFonts w:ascii="Tahoma" w:hAnsi="Tahoma" w:cs="Tahoma"/>
                <w:sz w:val="18"/>
                <w:szCs w:val="18"/>
                <w:vertAlign w:val="superscript"/>
              </w:rPr>
              <w:t>7</w:t>
            </w:r>
            <w:r w:rsidRPr="008A713F">
              <w:rPr>
                <w:rFonts w:ascii="Tahoma" w:hAnsi="Tahoma" w:cs="Tahoma"/>
                <w:sz w:val="18"/>
                <w:szCs w:val="18"/>
              </w:rPr>
              <w:t xml:space="preserve"> и в «АТБ-Онлайн»/ АТБ банк</w:t>
            </w:r>
            <w:r w:rsidRPr="008A713F">
              <w:rPr>
                <w:rFonts w:ascii="Tahoma" w:hAnsi="Tahoma" w:cs="Tahoma"/>
                <w:sz w:val="18"/>
                <w:szCs w:val="18"/>
                <w:vertAlign w:val="superscript"/>
              </w:rPr>
              <w:t>8</w:t>
            </w:r>
            <w:r w:rsidRPr="008A713F">
              <w:rPr>
                <w:rFonts w:ascii="Tahoma" w:hAnsi="Tahoma" w:cs="Tahoma"/>
                <w:sz w:val="18"/>
                <w:szCs w:val="18"/>
              </w:rPr>
              <w:t xml:space="preserve"> </w:t>
            </w:r>
          </w:p>
        </w:tc>
        <w:tc>
          <w:tcPr>
            <w:tcW w:w="283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3311C6B" w14:textId="77777777" w:rsidR="00440295" w:rsidRPr="008A713F" w:rsidRDefault="00440295" w:rsidP="00034511">
            <w:pPr>
              <w:rPr>
                <w:rFonts w:ascii="Tahoma" w:hAnsi="Tahoma" w:cs="Tahoma"/>
                <w:sz w:val="18"/>
                <w:szCs w:val="18"/>
              </w:rPr>
            </w:pPr>
            <w:r w:rsidRPr="008A713F">
              <w:rPr>
                <w:rFonts w:ascii="Tahoma" w:hAnsi="Tahoma" w:cs="Tahoma"/>
                <w:sz w:val="18"/>
                <w:szCs w:val="18"/>
              </w:rPr>
              <w:t>На Счета, Карты (</w:t>
            </w:r>
            <w:r w:rsidRPr="008A713F">
              <w:rPr>
                <w:rFonts w:ascii="Tahoma" w:hAnsi="Tahoma" w:cs="Tahoma"/>
                <w:sz w:val="18"/>
                <w:szCs w:val="18"/>
                <w:lang w:val="en-US"/>
              </w:rPr>
              <w:t>VISA</w:t>
            </w:r>
            <w:r w:rsidRPr="008A713F">
              <w:rPr>
                <w:rFonts w:ascii="Tahoma" w:hAnsi="Tahoma" w:cs="Tahoma"/>
                <w:sz w:val="18"/>
                <w:szCs w:val="18"/>
              </w:rPr>
              <w:t>/</w:t>
            </w:r>
            <w:r w:rsidRPr="008A713F">
              <w:rPr>
                <w:rFonts w:ascii="Tahoma" w:hAnsi="Tahoma" w:cs="Tahoma"/>
                <w:sz w:val="18"/>
                <w:szCs w:val="18"/>
                <w:lang w:val="en-US"/>
              </w:rPr>
              <w:t>MasterCard</w:t>
            </w:r>
            <w:r w:rsidRPr="008A713F">
              <w:rPr>
                <w:rFonts w:ascii="Tahoma" w:hAnsi="Tahoma" w:cs="Tahoma"/>
                <w:sz w:val="18"/>
                <w:szCs w:val="18"/>
              </w:rPr>
              <w:t>/МИР)</w:t>
            </w:r>
          </w:p>
          <w:p w14:paraId="0E1BF5FD" w14:textId="77777777" w:rsidR="00440295" w:rsidRPr="008A713F" w:rsidRDefault="00440295" w:rsidP="00034511">
            <w:pPr>
              <w:rPr>
                <w:rFonts w:ascii="Tahoma" w:hAnsi="Tahoma" w:cs="Tahoma"/>
                <w:sz w:val="18"/>
                <w:szCs w:val="18"/>
              </w:rPr>
            </w:pPr>
            <w:r w:rsidRPr="008A713F">
              <w:rPr>
                <w:rFonts w:ascii="Tahoma" w:hAnsi="Tahoma" w:cs="Tahoma"/>
                <w:sz w:val="18"/>
                <w:szCs w:val="18"/>
              </w:rPr>
              <w:t>Банка</w:t>
            </w:r>
          </w:p>
        </w:tc>
        <w:tc>
          <w:tcPr>
            <w:tcW w:w="3976" w:type="dxa"/>
            <w:tcBorders>
              <w:top w:val="single" w:sz="4" w:space="0" w:color="auto"/>
              <w:left w:val="single" w:sz="4" w:space="0" w:color="auto"/>
              <w:bottom w:val="single" w:sz="4" w:space="0" w:color="auto"/>
              <w:right w:val="single" w:sz="4" w:space="0" w:color="auto"/>
            </w:tcBorders>
            <w:shd w:val="clear" w:color="auto" w:fill="auto"/>
            <w:vAlign w:val="center"/>
          </w:tcPr>
          <w:p w14:paraId="61B89878" w14:textId="77777777" w:rsidR="00440295" w:rsidRPr="008A713F" w:rsidRDefault="00440295" w:rsidP="00034511">
            <w:pPr>
              <w:rPr>
                <w:rFonts w:ascii="Tahoma" w:hAnsi="Tahoma" w:cs="Tahoma"/>
                <w:b/>
                <w:sz w:val="18"/>
                <w:szCs w:val="18"/>
              </w:rPr>
            </w:pPr>
            <w:r w:rsidRPr="008A713F">
              <w:rPr>
                <w:rFonts w:ascii="Tahoma" w:hAnsi="Tahoma" w:cs="Tahoma"/>
                <w:sz w:val="18"/>
                <w:szCs w:val="18"/>
              </w:rPr>
              <w:t>За счет установленного Лимита кредитования</w:t>
            </w:r>
          </w:p>
        </w:tc>
        <w:tc>
          <w:tcPr>
            <w:tcW w:w="46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1BE0EDC" w14:textId="77777777" w:rsidR="00440295" w:rsidRPr="008A713F" w:rsidRDefault="00440295" w:rsidP="00034511">
            <w:pPr>
              <w:jc w:val="center"/>
              <w:rPr>
                <w:rFonts w:ascii="Tahoma" w:hAnsi="Tahoma" w:cs="Tahoma"/>
                <w:bCs/>
                <w:sz w:val="18"/>
                <w:szCs w:val="18"/>
              </w:rPr>
            </w:pPr>
            <w:r w:rsidRPr="008A713F">
              <w:rPr>
                <w:rFonts w:ascii="Tahoma" w:hAnsi="Tahoma" w:cs="Tahoma"/>
                <w:bCs/>
                <w:sz w:val="18"/>
                <w:szCs w:val="18"/>
              </w:rPr>
              <w:t>4,9% от суммы кредитных денежных средств (Лимита кредитования), переводимых Клиентом +590 рублей</w:t>
            </w:r>
          </w:p>
        </w:tc>
      </w:tr>
      <w:tr w:rsidR="00440295" w:rsidRPr="008A713F" w14:paraId="2ED97BB4" w14:textId="77777777" w:rsidTr="00034511">
        <w:trPr>
          <w:trHeight w:val="956"/>
          <w:tblHeader/>
        </w:trPr>
        <w:tc>
          <w:tcPr>
            <w:tcW w:w="852" w:type="dxa"/>
            <w:vMerge/>
            <w:tcBorders>
              <w:left w:val="single" w:sz="4" w:space="0" w:color="auto"/>
              <w:right w:val="single" w:sz="4" w:space="0" w:color="auto"/>
            </w:tcBorders>
            <w:shd w:val="clear" w:color="auto" w:fill="D9D9D9" w:themeFill="background1" w:themeFillShade="D9"/>
            <w:noWrap/>
            <w:vAlign w:val="center"/>
          </w:tcPr>
          <w:p w14:paraId="6402E7F3" w14:textId="77777777" w:rsidR="00440295" w:rsidRPr="008A713F" w:rsidRDefault="00440295" w:rsidP="00034511">
            <w:pPr>
              <w:jc w:val="center"/>
              <w:rPr>
                <w:rFonts w:ascii="Tahoma" w:hAnsi="Tahoma" w:cs="Tahoma"/>
                <w:sz w:val="18"/>
                <w:szCs w:val="18"/>
              </w:rPr>
            </w:pPr>
          </w:p>
        </w:tc>
        <w:tc>
          <w:tcPr>
            <w:tcW w:w="3261" w:type="dxa"/>
            <w:vMerge/>
            <w:tcBorders>
              <w:left w:val="single" w:sz="4" w:space="0" w:color="auto"/>
              <w:right w:val="single" w:sz="4" w:space="0" w:color="auto"/>
            </w:tcBorders>
            <w:shd w:val="clear" w:color="auto" w:fill="auto"/>
            <w:vAlign w:val="center"/>
          </w:tcPr>
          <w:p w14:paraId="5E8941B2" w14:textId="77777777" w:rsidR="00440295" w:rsidRPr="008A713F" w:rsidRDefault="00440295" w:rsidP="00034511">
            <w:pPr>
              <w:rPr>
                <w:rFonts w:ascii="Tahoma" w:hAnsi="Tahoma" w:cs="Tahoma"/>
                <w:sz w:val="18"/>
                <w:szCs w:val="18"/>
              </w:rPr>
            </w:pPr>
          </w:p>
        </w:tc>
        <w:tc>
          <w:tcPr>
            <w:tcW w:w="2835"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2AA437F" w14:textId="77777777" w:rsidR="00440295" w:rsidRPr="008A713F" w:rsidRDefault="00440295" w:rsidP="00034511">
            <w:pPr>
              <w:rPr>
                <w:rFonts w:ascii="Tahoma" w:hAnsi="Tahoma" w:cs="Tahoma"/>
                <w:sz w:val="18"/>
                <w:szCs w:val="18"/>
              </w:rPr>
            </w:pPr>
          </w:p>
        </w:tc>
        <w:tc>
          <w:tcPr>
            <w:tcW w:w="3976" w:type="dxa"/>
            <w:tcBorders>
              <w:top w:val="single" w:sz="4" w:space="0" w:color="auto"/>
              <w:left w:val="single" w:sz="4" w:space="0" w:color="auto"/>
              <w:bottom w:val="single" w:sz="4" w:space="0" w:color="auto"/>
              <w:right w:val="single" w:sz="4" w:space="0" w:color="auto"/>
            </w:tcBorders>
            <w:shd w:val="clear" w:color="auto" w:fill="auto"/>
            <w:vAlign w:val="center"/>
          </w:tcPr>
          <w:p w14:paraId="68EC4650" w14:textId="77777777" w:rsidR="00440295" w:rsidRPr="008A713F" w:rsidRDefault="00440295" w:rsidP="00034511">
            <w:pPr>
              <w:rPr>
                <w:rFonts w:ascii="Tahoma" w:hAnsi="Tahoma" w:cs="Tahoma"/>
                <w:sz w:val="18"/>
                <w:szCs w:val="18"/>
              </w:rPr>
            </w:pPr>
            <w:r w:rsidRPr="008A713F">
              <w:rPr>
                <w:rFonts w:ascii="Tahoma" w:hAnsi="Tahoma" w:cs="Tahoma"/>
                <w:sz w:val="18"/>
                <w:szCs w:val="18"/>
              </w:rPr>
              <w:t>При положительном балансе на Счете Карты (наличии средств, находящихся на Счете Карты сверх установленного Лимита кредитования)</w:t>
            </w:r>
          </w:p>
        </w:tc>
        <w:tc>
          <w:tcPr>
            <w:tcW w:w="46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B524979"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БЕСПЛАТНО</w:t>
            </w:r>
          </w:p>
        </w:tc>
      </w:tr>
      <w:tr w:rsidR="00440295" w:rsidRPr="008A713F" w14:paraId="6BBFDA77" w14:textId="77777777" w:rsidTr="00034511">
        <w:trPr>
          <w:trHeight w:val="603"/>
          <w:tblHeader/>
        </w:trPr>
        <w:tc>
          <w:tcPr>
            <w:tcW w:w="852" w:type="dxa"/>
            <w:vMerge/>
            <w:tcBorders>
              <w:left w:val="single" w:sz="4" w:space="0" w:color="auto"/>
              <w:right w:val="single" w:sz="4" w:space="0" w:color="auto"/>
            </w:tcBorders>
            <w:shd w:val="clear" w:color="auto" w:fill="D9D9D9" w:themeFill="background1" w:themeFillShade="D9"/>
            <w:noWrap/>
            <w:vAlign w:val="center"/>
          </w:tcPr>
          <w:p w14:paraId="686B6C93" w14:textId="77777777" w:rsidR="00440295" w:rsidRPr="008A713F" w:rsidRDefault="00440295" w:rsidP="00034511">
            <w:pPr>
              <w:jc w:val="center"/>
              <w:rPr>
                <w:rFonts w:ascii="Tahoma" w:hAnsi="Tahoma" w:cs="Tahoma"/>
                <w:sz w:val="18"/>
                <w:szCs w:val="18"/>
              </w:rPr>
            </w:pPr>
          </w:p>
        </w:tc>
        <w:tc>
          <w:tcPr>
            <w:tcW w:w="3261" w:type="dxa"/>
            <w:vMerge/>
            <w:tcBorders>
              <w:left w:val="single" w:sz="4" w:space="0" w:color="auto"/>
              <w:right w:val="single" w:sz="4" w:space="0" w:color="auto"/>
            </w:tcBorders>
            <w:shd w:val="clear" w:color="auto" w:fill="auto"/>
            <w:vAlign w:val="center"/>
          </w:tcPr>
          <w:p w14:paraId="7C31287A" w14:textId="77777777" w:rsidR="00440295" w:rsidRPr="008A713F" w:rsidRDefault="00440295" w:rsidP="00034511">
            <w:pPr>
              <w:rPr>
                <w:rFonts w:ascii="Tahoma" w:hAnsi="Tahoma" w:cs="Tahoma"/>
                <w:sz w:val="18"/>
                <w:szCs w:val="18"/>
              </w:rPr>
            </w:pPr>
          </w:p>
        </w:tc>
        <w:tc>
          <w:tcPr>
            <w:tcW w:w="2835" w:type="dxa"/>
            <w:vMerge w:val="restart"/>
            <w:tcBorders>
              <w:top w:val="single" w:sz="4" w:space="0" w:color="auto"/>
              <w:left w:val="single" w:sz="4" w:space="0" w:color="auto"/>
              <w:right w:val="single" w:sz="4" w:space="0" w:color="auto"/>
            </w:tcBorders>
            <w:shd w:val="clear" w:color="auto" w:fill="auto"/>
            <w:vAlign w:val="center"/>
          </w:tcPr>
          <w:p w14:paraId="04EAD1CD" w14:textId="77777777" w:rsidR="00440295" w:rsidRPr="008A713F" w:rsidRDefault="00440295" w:rsidP="00034511">
            <w:pPr>
              <w:rPr>
                <w:rFonts w:ascii="Tahoma" w:hAnsi="Tahoma" w:cs="Tahoma"/>
                <w:sz w:val="18"/>
                <w:szCs w:val="18"/>
              </w:rPr>
            </w:pPr>
            <w:r w:rsidRPr="008A713F">
              <w:rPr>
                <w:rFonts w:ascii="Tahoma" w:hAnsi="Tahoma" w:cs="Tahoma"/>
                <w:sz w:val="18"/>
                <w:szCs w:val="18"/>
              </w:rPr>
              <w:t>На Счета/Карты (</w:t>
            </w:r>
            <w:r w:rsidRPr="008A713F">
              <w:rPr>
                <w:rFonts w:ascii="Tahoma" w:hAnsi="Tahoma" w:cs="Tahoma"/>
                <w:sz w:val="18"/>
                <w:szCs w:val="18"/>
                <w:lang w:val="en-US"/>
              </w:rPr>
              <w:t>VISA</w:t>
            </w:r>
            <w:r w:rsidRPr="008A713F">
              <w:rPr>
                <w:rFonts w:ascii="Tahoma" w:hAnsi="Tahoma" w:cs="Tahoma"/>
                <w:sz w:val="18"/>
                <w:szCs w:val="18"/>
              </w:rPr>
              <w:t>/</w:t>
            </w:r>
            <w:r w:rsidRPr="008A713F">
              <w:rPr>
                <w:rFonts w:ascii="Tahoma" w:hAnsi="Tahoma" w:cs="Tahoma"/>
                <w:sz w:val="18"/>
                <w:szCs w:val="18"/>
                <w:lang w:val="en-US"/>
              </w:rPr>
              <w:t>MasterCard</w:t>
            </w:r>
            <w:r w:rsidRPr="008A713F">
              <w:rPr>
                <w:rFonts w:ascii="Tahoma" w:hAnsi="Tahoma" w:cs="Tahoma"/>
                <w:sz w:val="18"/>
                <w:szCs w:val="18"/>
              </w:rPr>
              <w:t>/МИР) другого российского банка</w:t>
            </w:r>
          </w:p>
        </w:tc>
        <w:tc>
          <w:tcPr>
            <w:tcW w:w="3976" w:type="dxa"/>
            <w:tcBorders>
              <w:top w:val="single" w:sz="4" w:space="0" w:color="auto"/>
              <w:left w:val="single" w:sz="4" w:space="0" w:color="auto"/>
              <w:right w:val="single" w:sz="4" w:space="0" w:color="auto"/>
            </w:tcBorders>
            <w:shd w:val="clear" w:color="auto" w:fill="auto"/>
            <w:vAlign w:val="center"/>
          </w:tcPr>
          <w:p w14:paraId="3F7F5427" w14:textId="77777777" w:rsidR="00440295" w:rsidRPr="008A713F" w:rsidRDefault="00440295" w:rsidP="00034511">
            <w:pPr>
              <w:rPr>
                <w:rFonts w:ascii="Tahoma" w:hAnsi="Tahoma" w:cs="Tahoma"/>
                <w:b/>
                <w:sz w:val="18"/>
                <w:szCs w:val="18"/>
              </w:rPr>
            </w:pPr>
            <w:r w:rsidRPr="008A713F">
              <w:rPr>
                <w:rFonts w:ascii="Tahoma" w:hAnsi="Tahoma" w:cs="Tahoma"/>
                <w:sz w:val="18"/>
                <w:szCs w:val="18"/>
              </w:rPr>
              <w:t>За счет установленного Лимита кредитования</w:t>
            </w:r>
          </w:p>
          <w:p w14:paraId="12CC3C3B" w14:textId="77777777" w:rsidR="00440295" w:rsidRPr="008A713F" w:rsidRDefault="00440295" w:rsidP="00034511">
            <w:pPr>
              <w:rPr>
                <w:rFonts w:ascii="Tahoma" w:hAnsi="Tahoma" w:cs="Tahoma"/>
                <w:bCs/>
                <w:sz w:val="18"/>
                <w:szCs w:val="18"/>
              </w:rPr>
            </w:pPr>
          </w:p>
        </w:tc>
        <w:tc>
          <w:tcPr>
            <w:tcW w:w="4675" w:type="dxa"/>
            <w:gridSpan w:val="2"/>
            <w:tcBorders>
              <w:top w:val="single" w:sz="4" w:space="0" w:color="auto"/>
              <w:left w:val="single" w:sz="4" w:space="0" w:color="auto"/>
              <w:right w:val="single" w:sz="4" w:space="0" w:color="auto"/>
            </w:tcBorders>
            <w:shd w:val="clear" w:color="auto" w:fill="auto"/>
            <w:vAlign w:val="center"/>
          </w:tcPr>
          <w:p w14:paraId="402F51AA" w14:textId="77777777" w:rsidR="00440295" w:rsidRPr="008A713F" w:rsidRDefault="00440295" w:rsidP="00034511">
            <w:pPr>
              <w:ind w:left="79"/>
              <w:jc w:val="center"/>
              <w:rPr>
                <w:rFonts w:ascii="Tahoma" w:hAnsi="Tahoma" w:cs="Tahoma"/>
                <w:bCs/>
                <w:sz w:val="18"/>
                <w:szCs w:val="18"/>
              </w:rPr>
            </w:pPr>
            <w:r w:rsidRPr="008A713F">
              <w:rPr>
                <w:rFonts w:ascii="Tahoma" w:hAnsi="Tahoma" w:cs="Tahoma"/>
                <w:bCs/>
                <w:sz w:val="18"/>
                <w:szCs w:val="18"/>
              </w:rPr>
              <w:t>4,9% от суммы кредитных денежных средств (Лимита кредитования), переводимых Клиентом +590 рублей</w:t>
            </w:r>
          </w:p>
          <w:p w14:paraId="725CC35E" w14:textId="77777777" w:rsidR="00440295" w:rsidRPr="008A713F" w:rsidRDefault="00440295" w:rsidP="00034511">
            <w:pPr>
              <w:ind w:left="79"/>
              <w:jc w:val="center"/>
              <w:rPr>
                <w:rFonts w:ascii="Tahoma" w:hAnsi="Tahoma" w:cs="Tahoma"/>
                <w:bCs/>
                <w:sz w:val="18"/>
                <w:szCs w:val="18"/>
              </w:rPr>
            </w:pPr>
            <w:r w:rsidRPr="008A713F">
              <w:rPr>
                <w:rFonts w:ascii="Tahoma" w:hAnsi="Tahoma" w:cs="Tahoma"/>
                <w:bCs/>
                <w:sz w:val="18"/>
                <w:szCs w:val="18"/>
              </w:rPr>
              <w:t>+1,3% от всей суммы переводимых денежных средств+30 рублей</w:t>
            </w:r>
          </w:p>
        </w:tc>
      </w:tr>
      <w:tr w:rsidR="00440295" w:rsidRPr="008A713F" w14:paraId="2D531D2B" w14:textId="77777777" w:rsidTr="00034511">
        <w:tblPrEx>
          <w:tblLook w:val="0000" w:firstRow="0" w:lastRow="0" w:firstColumn="0" w:lastColumn="0" w:noHBand="0" w:noVBand="0"/>
        </w:tblPrEx>
        <w:trPr>
          <w:trHeight w:hRule="exact" w:val="1483"/>
          <w:tblHeader/>
        </w:trPr>
        <w:tc>
          <w:tcPr>
            <w:tcW w:w="852" w:type="dxa"/>
            <w:vMerge/>
            <w:tcBorders>
              <w:left w:val="single" w:sz="4" w:space="0" w:color="auto"/>
              <w:right w:val="single" w:sz="4" w:space="0" w:color="auto"/>
            </w:tcBorders>
            <w:shd w:val="clear" w:color="auto" w:fill="D9D9D9" w:themeFill="background1" w:themeFillShade="D9"/>
            <w:noWrap/>
            <w:vAlign w:val="center"/>
          </w:tcPr>
          <w:p w14:paraId="3A2D0808" w14:textId="77777777" w:rsidR="00440295" w:rsidRPr="008A713F" w:rsidRDefault="00440295" w:rsidP="00034511">
            <w:pPr>
              <w:jc w:val="center"/>
              <w:rPr>
                <w:rFonts w:ascii="Tahoma" w:hAnsi="Tahoma" w:cs="Tahoma"/>
                <w:sz w:val="18"/>
                <w:szCs w:val="18"/>
              </w:rPr>
            </w:pPr>
          </w:p>
        </w:tc>
        <w:tc>
          <w:tcPr>
            <w:tcW w:w="3261" w:type="dxa"/>
            <w:vMerge/>
            <w:tcBorders>
              <w:left w:val="single" w:sz="4" w:space="0" w:color="auto"/>
              <w:right w:val="single" w:sz="4" w:space="0" w:color="auto"/>
            </w:tcBorders>
            <w:shd w:val="clear" w:color="auto" w:fill="auto"/>
            <w:vAlign w:val="center"/>
          </w:tcPr>
          <w:p w14:paraId="6C99FE09" w14:textId="77777777" w:rsidR="00440295" w:rsidRPr="008A713F" w:rsidRDefault="00440295" w:rsidP="00034511">
            <w:pPr>
              <w:rPr>
                <w:rFonts w:ascii="Tahoma" w:hAnsi="Tahoma" w:cs="Tahoma"/>
                <w:sz w:val="18"/>
                <w:szCs w:val="18"/>
              </w:rPr>
            </w:pPr>
          </w:p>
        </w:tc>
        <w:tc>
          <w:tcPr>
            <w:tcW w:w="2835" w:type="dxa"/>
            <w:vMerge/>
            <w:tcBorders>
              <w:left w:val="single" w:sz="4" w:space="0" w:color="auto"/>
              <w:bottom w:val="single" w:sz="4" w:space="0" w:color="auto"/>
              <w:right w:val="single" w:sz="4" w:space="0" w:color="auto"/>
            </w:tcBorders>
            <w:shd w:val="clear" w:color="auto" w:fill="auto"/>
            <w:vAlign w:val="center"/>
          </w:tcPr>
          <w:p w14:paraId="6AB38505" w14:textId="77777777" w:rsidR="00440295" w:rsidRPr="008A713F" w:rsidRDefault="00440295" w:rsidP="00034511">
            <w:pPr>
              <w:rPr>
                <w:rFonts w:ascii="Tahoma" w:hAnsi="Tahoma" w:cs="Tahoma"/>
                <w:sz w:val="18"/>
                <w:szCs w:val="18"/>
              </w:rPr>
            </w:pPr>
          </w:p>
        </w:tc>
        <w:tc>
          <w:tcPr>
            <w:tcW w:w="3976" w:type="dxa"/>
            <w:tcBorders>
              <w:left w:val="single" w:sz="4" w:space="0" w:color="auto"/>
              <w:right w:val="single" w:sz="4" w:space="0" w:color="auto"/>
            </w:tcBorders>
            <w:shd w:val="clear" w:color="auto" w:fill="auto"/>
            <w:vAlign w:val="center"/>
          </w:tcPr>
          <w:p w14:paraId="0403046F" w14:textId="77777777" w:rsidR="00440295" w:rsidRPr="008A713F" w:rsidRDefault="00440295" w:rsidP="00034511">
            <w:pPr>
              <w:rPr>
                <w:rFonts w:ascii="Tahoma" w:hAnsi="Tahoma" w:cs="Tahoma"/>
                <w:sz w:val="18"/>
                <w:szCs w:val="18"/>
              </w:rPr>
            </w:pPr>
            <w:r w:rsidRPr="008A713F">
              <w:rPr>
                <w:rFonts w:ascii="Tahoma" w:hAnsi="Tahoma" w:cs="Tahoma"/>
                <w:sz w:val="18"/>
                <w:szCs w:val="18"/>
              </w:rPr>
              <w:t>При положительном балансе на Счете Карты (наличии средств, находящихся на Счете Карты сверх установленного Лимита кредитования)</w:t>
            </w:r>
          </w:p>
        </w:tc>
        <w:tc>
          <w:tcPr>
            <w:tcW w:w="4675" w:type="dxa"/>
            <w:gridSpan w:val="2"/>
            <w:tcBorders>
              <w:top w:val="single" w:sz="4" w:space="0" w:color="auto"/>
              <w:left w:val="single" w:sz="4" w:space="0" w:color="auto"/>
              <w:right w:val="single" w:sz="4" w:space="0" w:color="auto"/>
            </w:tcBorders>
            <w:shd w:val="clear" w:color="auto" w:fill="auto"/>
            <w:vAlign w:val="center"/>
          </w:tcPr>
          <w:p w14:paraId="02CDD438" w14:textId="77777777" w:rsidR="00440295" w:rsidRPr="008A713F" w:rsidRDefault="00440295" w:rsidP="00034511">
            <w:pPr>
              <w:ind w:left="79"/>
              <w:jc w:val="center"/>
              <w:rPr>
                <w:rFonts w:ascii="Tahoma" w:hAnsi="Tahoma" w:cs="Tahoma"/>
                <w:bCs/>
                <w:sz w:val="18"/>
                <w:szCs w:val="18"/>
              </w:rPr>
            </w:pPr>
            <w:r w:rsidRPr="008A713F">
              <w:rPr>
                <w:rFonts w:ascii="Tahoma" w:hAnsi="Tahoma" w:cs="Tahoma"/>
                <w:bCs/>
                <w:sz w:val="18"/>
                <w:szCs w:val="18"/>
              </w:rPr>
              <w:t>1,3% от всей суммы переводимых денежных средств+30 рублей;</w:t>
            </w:r>
          </w:p>
        </w:tc>
      </w:tr>
      <w:tr w:rsidR="00440295" w:rsidRPr="008A713F" w14:paraId="05FD28D2" w14:textId="77777777" w:rsidTr="00034511">
        <w:tblPrEx>
          <w:tblLook w:val="0000" w:firstRow="0" w:lastRow="0" w:firstColumn="0" w:lastColumn="0" w:noHBand="0" w:noVBand="0"/>
        </w:tblPrEx>
        <w:trPr>
          <w:trHeight w:val="914"/>
          <w:tblHeader/>
        </w:trPr>
        <w:tc>
          <w:tcPr>
            <w:tcW w:w="852" w:type="dxa"/>
            <w:vMerge/>
            <w:tcBorders>
              <w:left w:val="single" w:sz="4" w:space="0" w:color="auto"/>
              <w:right w:val="single" w:sz="4" w:space="0" w:color="auto"/>
            </w:tcBorders>
            <w:shd w:val="clear" w:color="auto" w:fill="D9D9D9" w:themeFill="background1" w:themeFillShade="D9"/>
            <w:noWrap/>
            <w:vAlign w:val="center"/>
          </w:tcPr>
          <w:p w14:paraId="6892D6A2" w14:textId="77777777" w:rsidR="00440295" w:rsidRPr="008A713F" w:rsidRDefault="00440295" w:rsidP="00034511">
            <w:pPr>
              <w:jc w:val="center"/>
              <w:rPr>
                <w:rFonts w:ascii="Tahoma" w:hAnsi="Tahoma" w:cs="Tahoma"/>
                <w:sz w:val="18"/>
                <w:szCs w:val="18"/>
              </w:rPr>
            </w:pPr>
          </w:p>
        </w:tc>
        <w:tc>
          <w:tcPr>
            <w:tcW w:w="3261" w:type="dxa"/>
            <w:vMerge/>
            <w:tcBorders>
              <w:left w:val="single" w:sz="4" w:space="0" w:color="auto"/>
              <w:right w:val="single" w:sz="4" w:space="0" w:color="auto"/>
            </w:tcBorders>
            <w:shd w:val="clear" w:color="auto" w:fill="auto"/>
            <w:vAlign w:val="center"/>
          </w:tcPr>
          <w:p w14:paraId="6440F7CA" w14:textId="77777777" w:rsidR="00440295" w:rsidRPr="008A713F" w:rsidRDefault="00440295" w:rsidP="00034511">
            <w:pPr>
              <w:rPr>
                <w:rFonts w:ascii="Tahoma" w:hAnsi="Tahoma" w:cs="Tahoma"/>
                <w:sz w:val="18"/>
                <w:szCs w:val="18"/>
              </w:rPr>
            </w:pPr>
          </w:p>
        </w:tc>
        <w:tc>
          <w:tcPr>
            <w:tcW w:w="2835" w:type="dxa"/>
            <w:vMerge w:val="restart"/>
            <w:tcBorders>
              <w:left w:val="single" w:sz="4" w:space="0" w:color="auto"/>
              <w:right w:val="single" w:sz="4" w:space="0" w:color="auto"/>
            </w:tcBorders>
            <w:shd w:val="clear" w:color="auto" w:fill="auto"/>
            <w:vAlign w:val="center"/>
          </w:tcPr>
          <w:p w14:paraId="2B6EF2A6" w14:textId="77777777" w:rsidR="00440295" w:rsidRPr="008A713F" w:rsidRDefault="00440295" w:rsidP="00034511">
            <w:pPr>
              <w:rPr>
                <w:rFonts w:ascii="Tahoma" w:hAnsi="Tahoma" w:cs="Tahoma"/>
                <w:sz w:val="18"/>
                <w:szCs w:val="18"/>
              </w:rPr>
            </w:pPr>
            <w:r w:rsidRPr="008A713F">
              <w:rPr>
                <w:rFonts w:ascii="Tahoma" w:hAnsi="Tahoma" w:cs="Tahoma"/>
                <w:color w:val="000000"/>
                <w:sz w:val="18"/>
                <w:szCs w:val="18"/>
              </w:rPr>
              <w:t xml:space="preserve">на Счета/Карты (VISA/MasterCard </w:t>
            </w:r>
            <w:r w:rsidRPr="008A713F">
              <w:rPr>
                <w:rFonts w:ascii="Tahoma" w:hAnsi="Tahoma" w:cs="Tahoma"/>
                <w:color w:val="000000"/>
                <w:sz w:val="18"/>
                <w:szCs w:val="18"/>
                <w:vertAlign w:val="superscript"/>
              </w:rPr>
              <w:t>9,10)</w:t>
            </w:r>
            <w:r w:rsidRPr="008A713F">
              <w:rPr>
                <w:rFonts w:ascii="Tahoma" w:hAnsi="Tahoma" w:cs="Tahoma"/>
                <w:color w:val="000000"/>
                <w:sz w:val="18"/>
                <w:szCs w:val="18"/>
              </w:rPr>
              <w:t xml:space="preserve"> , иных кредитных организаций, расположенных в иностранных государствах (включая страны ближнего зарубежья)</w:t>
            </w:r>
          </w:p>
        </w:tc>
        <w:tc>
          <w:tcPr>
            <w:tcW w:w="3976" w:type="dxa"/>
            <w:tcBorders>
              <w:left w:val="single" w:sz="4" w:space="0" w:color="auto"/>
              <w:right w:val="single" w:sz="4" w:space="0" w:color="auto"/>
            </w:tcBorders>
            <w:shd w:val="clear" w:color="auto" w:fill="auto"/>
            <w:vAlign w:val="center"/>
          </w:tcPr>
          <w:p w14:paraId="5A5FA438" w14:textId="77777777" w:rsidR="00440295" w:rsidRPr="008A713F" w:rsidRDefault="00440295" w:rsidP="00034511">
            <w:pPr>
              <w:rPr>
                <w:rFonts w:ascii="Tahoma" w:hAnsi="Tahoma" w:cs="Tahoma"/>
                <w:sz w:val="18"/>
                <w:szCs w:val="18"/>
              </w:rPr>
            </w:pPr>
            <w:r w:rsidRPr="008A713F">
              <w:rPr>
                <w:rFonts w:ascii="Tahoma" w:hAnsi="Tahoma" w:cs="Tahoma"/>
                <w:sz w:val="18"/>
                <w:szCs w:val="18"/>
              </w:rPr>
              <w:t>За счет установленного Лимита кредитования</w:t>
            </w:r>
          </w:p>
        </w:tc>
        <w:tc>
          <w:tcPr>
            <w:tcW w:w="4675" w:type="dxa"/>
            <w:gridSpan w:val="2"/>
            <w:tcBorders>
              <w:top w:val="single" w:sz="4" w:space="0" w:color="auto"/>
              <w:left w:val="single" w:sz="4" w:space="0" w:color="auto"/>
              <w:right w:val="single" w:sz="4" w:space="0" w:color="auto"/>
            </w:tcBorders>
            <w:shd w:val="clear" w:color="auto" w:fill="auto"/>
            <w:vAlign w:val="center"/>
          </w:tcPr>
          <w:p w14:paraId="222BD0FC" w14:textId="77777777" w:rsidR="00440295" w:rsidRPr="008A713F" w:rsidRDefault="00440295" w:rsidP="00034511">
            <w:pPr>
              <w:jc w:val="center"/>
              <w:rPr>
                <w:rFonts w:ascii="Tahoma" w:hAnsi="Tahoma" w:cs="Tahoma"/>
                <w:bCs/>
                <w:sz w:val="18"/>
                <w:szCs w:val="18"/>
              </w:rPr>
            </w:pPr>
            <w:r w:rsidRPr="008A713F">
              <w:rPr>
                <w:rFonts w:ascii="Tahoma" w:hAnsi="Tahoma" w:cs="Tahoma"/>
                <w:bCs/>
                <w:sz w:val="18"/>
                <w:szCs w:val="18"/>
              </w:rPr>
              <w:t>4,9% от суммы кредитных денежных средств (Лимита кредитования), переводимых Клиентом+590 рублей +1,5% от всей суммы переводимых денежных средств+150 рублей</w:t>
            </w:r>
          </w:p>
        </w:tc>
      </w:tr>
      <w:tr w:rsidR="00440295" w:rsidRPr="008A713F" w14:paraId="293BE797" w14:textId="77777777" w:rsidTr="00034511">
        <w:tblPrEx>
          <w:tblLook w:val="0000" w:firstRow="0" w:lastRow="0" w:firstColumn="0" w:lastColumn="0" w:noHBand="0" w:noVBand="0"/>
        </w:tblPrEx>
        <w:trPr>
          <w:trHeight w:hRule="exact" w:val="876"/>
          <w:tblHeader/>
        </w:trPr>
        <w:tc>
          <w:tcPr>
            <w:tcW w:w="852" w:type="dxa"/>
            <w:vMerge/>
            <w:tcBorders>
              <w:left w:val="single" w:sz="4" w:space="0" w:color="auto"/>
              <w:right w:val="single" w:sz="4" w:space="0" w:color="auto"/>
            </w:tcBorders>
            <w:shd w:val="clear" w:color="auto" w:fill="D9D9D9" w:themeFill="background1" w:themeFillShade="D9"/>
            <w:noWrap/>
            <w:vAlign w:val="center"/>
          </w:tcPr>
          <w:p w14:paraId="5C13A886" w14:textId="77777777" w:rsidR="00440295" w:rsidRPr="008A713F" w:rsidRDefault="00440295" w:rsidP="00034511">
            <w:pPr>
              <w:jc w:val="center"/>
              <w:rPr>
                <w:rFonts w:ascii="Tahoma" w:hAnsi="Tahoma" w:cs="Tahoma"/>
                <w:sz w:val="18"/>
                <w:szCs w:val="18"/>
              </w:rPr>
            </w:pPr>
          </w:p>
        </w:tc>
        <w:tc>
          <w:tcPr>
            <w:tcW w:w="3261" w:type="dxa"/>
            <w:vMerge/>
            <w:tcBorders>
              <w:left w:val="single" w:sz="4" w:space="0" w:color="auto"/>
              <w:right w:val="single" w:sz="4" w:space="0" w:color="auto"/>
            </w:tcBorders>
            <w:shd w:val="clear" w:color="auto" w:fill="auto"/>
            <w:vAlign w:val="center"/>
          </w:tcPr>
          <w:p w14:paraId="79350B45" w14:textId="77777777" w:rsidR="00440295" w:rsidRPr="008A713F" w:rsidRDefault="00440295" w:rsidP="00034511">
            <w:pPr>
              <w:rPr>
                <w:rFonts w:ascii="Tahoma" w:hAnsi="Tahoma" w:cs="Tahoma"/>
                <w:sz w:val="18"/>
                <w:szCs w:val="18"/>
              </w:rPr>
            </w:pPr>
          </w:p>
        </w:tc>
        <w:tc>
          <w:tcPr>
            <w:tcW w:w="2835" w:type="dxa"/>
            <w:vMerge/>
            <w:tcBorders>
              <w:left w:val="single" w:sz="4" w:space="0" w:color="auto"/>
              <w:bottom w:val="single" w:sz="4" w:space="0" w:color="auto"/>
              <w:right w:val="single" w:sz="4" w:space="0" w:color="auto"/>
            </w:tcBorders>
            <w:shd w:val="clear" w:color="auto" w:fill="auto"/>
            <w:vAlign w:val="center"/>
          </w:tcPr>
          <w:p w14:paraId="02FE5A2B" w14:textId="77777777" w:rsidR="00440295" w:rsidRPr="008A713F" w:rsidRDefault="00440295" w:rsidP="00034511">
            <w:pPr>
              <w:rPr>
                <w:rFonts w:ascii="Tahoma" w:hAnsi="Tahoma" w:cs="Tahoma"/>
                <w:sz w:val="18"/>
                <w:szCs w:val="18"/>
              </w:rPr>
            </w:pPr>
          </w:p>
        </w:tc>
        <w:tc>
          <w:tcPr>
            <w:tcW w:w="3976" w:type="dxa"/>
            <w:tcBorders>
              <w:left w:val="single" w:sz="4" w:space="0" w:color="auto"/>
              <w:right w:val="single" w:sz="4" w:space="0" w:color="auto"/>
            </w:tcBorders>
            <w:shd w:val="clear" w:color="auto" w:fill="auto"/>
            <w:vAlign w:val="center"/>
          </w:tcPr>
          <w:p w14:paraId="72D5E016" w14:textId="77777777" w:rsidR="00440295" w:rsidRPr="008A713F" w:rsidRDefault="00440295" w:rsidP="00034511">
            <w:pPr>
              <w:rPr>
                <w:rFonts w:ascii="Tahoma" w:hAnsi="Tahoma" w:cs="Tahoma"/>
                <w:sz w:val="18"/>
                <w:szCs w:val="18"/>
              </w:rPr>
            </w:pPr>
            <w:r w:rsidRPr="008A713F">
              <w:rPr>
                <w:rFonts w:ascii="Tahoma" w:hAnsi="Tahoma" w:cs="Tahoma"/>
                <w:sz w:val="18"/>
                <w:szCs w:val="18"/>
              </w:rPr>
              <w:t>При положительном балансе на Счете Карты (наличии средств, находящихся на Счете Карты сверх установленного Лимита кредитования)</w:t>
            </w:r>
          </w:p>
        </w:tc>
        <w:tc>
          <w:tcPr>
            <w:tcW w:w="4675" w:type="dxa"/>
            <w:gridSpan w:val="2"/>
            <w:tcBorders>
              <w:left w:val="single" w:sz="4" w:space="0" w:color="auto"/>
              <w:right w:val="single" w:sz="4" w:space="0" w:color="auto"/>
            </w:tcBorders>
            <w:shd w:val="clear" w:color="auto" w:fill="auto"/>
            <w:vAlign w:val="center"/>
          </w:tcPr>
          <w:p w14:paraId="12029C3E" w14:textId="77777777" w:rsidR="00440295" w:rsidRPr="008A713F" w:rsidRDefault="00440295" w:rsidP="00034511">
            <w:pPr>
              <w:ind w:left="79"/>
              <w:jc w:val="center"/>
              <w:rPr>
                <w:rFonts w:ascii="Tahoma" w:hAnsi="Tahoma" w:cs="Tahoma"/>
                <w:bCs/>
                <w:sz w:val="18"/>
                <w:szCs w:val="18"/>
              </w:rPr>
            </w:pPr>
            <w:r w:rsidRPr="008A713F">
              <w:rPr>
                <w:rFonts w:ascii="Tahoma" w:hAnsi="Tahoma" w:cs="Tahoma"/>
                <w:bCs/>
                <w:sz w:val="18"/>
                <w:szCs w:val="18"/>
              </w:rPr>
              <w:t>1,5% от всей суммы переводимых денежных средств+150 рублей;</w:t>
            </w:r>
          </w:p>
          <w:p w14:paraId="09309E77" w14:textId="77777777" w:rsidR="00440295" w:rsidRPr="008A713F" w:rsidRDefault="00440295" w:rsidP="00034511">
            <w:pPr>
              <w:ind w:left="79"/>
              <w:jc w:val="center"/>
              <w:rPr>
                <w:rFonts w:ascii="Tahoma" w:hAnsi="Tahoma" w:cs="Tahoma"/>
                <w:bCs/>
                <w:sz w:val="18"/>
                <w:szCs w:val="18"/>
              </w:rPr>
            </w:pPr>
          </w:p>
        </w:tc>
      </w:tr>
      <w:tr w:rsidR="00440295" w:rsidRPr="008A713F" w14:paraId="2101F415" w14:textId="77777777" w:rsidTr="00034511">
        <w:trPr>
          <w:trHeight w:val="473"/>
          <w:tblHeader/>
        </w:trPr>
        <w:tc>
          <w:tcPr>
            <w:tcW w:w="852" w:type="dxa"/>
            <w:vMerge w:val="restart"/>
            <w:shd w:val="clear" w:color="auto" w:fill="D9D9D9" w:themeFill="background1" w:themeFillShade="D9"/>
            <w:noWrap/>
            <w:vAlign w:val="center"/>
          </w:tcPr>
          <w:p w14:paraId="7A3053B5"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6.5.4.</w:t>
            </w:r>
          </w:p>
        </w:tc>
        <w:tc>
          <w:tcPr>
            <w:tcW w:w="3261" w:type="dxa"/>
            <w:vMerge w:val="restart"/>
            <w:shd w:val="clear" w:color="auto" w:fill="auto"/>
            <w:vAlign w:val="center"/>
          </w:tcPr>
          <w:p w14:paraId="2B084E60" w14:textId="77777777" w:rsidR="00440295" w:rsidRPr="008A713F" w:rsidRDefault="00440295" w:rsidP="00034511">
            <w:pPr>
              <w:rPr>
                <w:rFonts w:ascii="Tahoma" w:hAnsi="Tahoma" w:cs="Tahoma"/>
                <w:sz w:val="18"/>
                <w:szCs w:val="18"/>
              </w:rPr>
            </w:pPr>
            <w:r w:rsidRPr="008A713F">
              <w:rPr>
                <w:rFonts w:ascii="Tahoma" w:hAnsi="Tahoma" w:cs="Tahoma"/>
                <w:sz w:val="18"/>
                <w:szCs w:val="18"/>
              </w:rPr>
              <w:t>Перевод с Карты Клиента, эмитированной Банком на Счета/Карты Банка/других банков, в сторонних сервисах (банкоматы, сайты и мобильные приложения других банков  в сети Интернет (без учета комиссии других банков)</w:t>
            </w:r>
            <w:r w:rsidRPr="008A713F">
              <w:rPr>
                <w:rFonts w:ascii="Tahoma" w:hAnsi="Tahoma" w:cs="Tahoma"/>
                <w:sz w:val="18"/>
                <w:szCs w:val="18"/>
                <w:vertAlign w:val="superscript"/>
              </w:rPr>
              <w:t xml:space="preserve"> 7,9</w:t>
            </w:r>
          </w:p>
        </w:tc>
        <w:tc>
          <w:tcPr>
            <w:tcW w:w="2835" w:type="dxa"/>
            <w:vMerge w:val="restart"/>
            <w:shd w:val="clear" w:color="auto" w:fill="auto"/>
            <w:vAlign w:val="center"/>
          </w:tcPr>
          <w:p w14:paraId="78B38A05" w14:textId="77777777" w:rsidR="00440295" w:rsidRPr="008A713F" w:rsidRDefault="00440295" w:rsidP="00034511">
            <w:pPr>
              <w:rPr>
                <w:rFonts w:ascii="Tahoma" w:hAnsi="Tahoma" w:cs="Tahoma"/>
                <w:sz w:val="18"/>
                <w:szCs w:val="18"/>
              </w:rPr>
            </w:pPr>
            <w:r w:rsidRPr="008A713F">
              <w:rPr>
                <w:rFonts w:ascii="Tahoma" w:hAnsi="Tahoma" w:cs="Tahoma"/>
                <w:sz w:val="18"/>
                <w:szCs w:val="18"/>
              </w:rPr>
              <w:t>На Счета, Карты (</w:t>
            </w:r>
            <w:r w:rsidRPr="008A713F">
              <w:rPr>
                <w:rFonts w:ascii="Tahoma" w:hAnsi="Tahoma" w:cs="Tahoma"/>
                <w:sz w:val="18"/>
                <w:szCs w:val="18"/>
                <w:lang w:val="en-US"/>
              </w:rPr>
              <w:t>VISA</w:t>
            </w:r>
            <w:r w:rsidRPr="008A713F">
              <w:rPr>
                <w:rFonts w:ascii="Tahoma" w:hAnsi="Tahoma" w:cs="Tahoma"/>
                <w:sz w:val="18"/>
                <w:szCs w:val="18"/>
              </w:rPr>
              <w:t>/</w:t>
            </w:r>
            <w:r w:rsidRPr="008A713F">
              <w:rPr>
                <w:rFonts w:ascii="Tahoma" w:hAnsi="Tahoma" w:cs="Tahoma"/>
                <w:sz w:val="18"/>
                <w:szCs w:val="18"/>
                <w:lang w:val="en-US"/>
              </w:rPr>
              <w:t>MasterCard</w:t>
            </w:r>
            <w:r w:rsidRPr="008A713F">
              <w:rPr>
                <w:rFonts w:ascii="Tahoma" w:hAnsi="Tahoma" w:cs="Tahoma"/>
                <w:sz w:val="18"/>
                <w:szCs w:val="18"/>
              </w:rPr>
              <w:t>/МИР)</w:t>
            </w:r>
          </w:p>
          <w:p w14:paraId="1AC2D728" w14:textId="77777777" w:rsidR="00440295" w:rsidRPr="008A713F" w:rsidRDefault="00440295" w:rsidP="00034511">
            <w:pPr>
              <w:rPr>
                <w:rFonts w:ascii="Tahoma" w:hAnsi="Tahoma" w:cs="Tahoma"/>
                <w:sz w:val="18"/>
                <w:szCs w:val="18"/>
              </w:rPr>
            </w:pPr>
            <w:r w:rsidRPr="008A713F">
              <w:rPr>
                <w:rFonts w:ascii="Tahoma" w:hAnsi="Tahoma" w:cs="Tahoma"/>
                <w:sz w:val="18"/>
                <w:szCs w:val="18"/>
              </w:rPr>
              <w:t>Банка</w:t>
            </w:r>
          </w:p>
        </w:tc>
        <w:tc>
          <w:tcPr>
            <w:tcW w:w="3976" w:type="dxa"/>
            <w:shd w:val="clear" w:color="auto" w:fill="auto"/>
            <w:vAlign w:val="center"/>
          </w:tcPr>
          <w:p w14:paraId="3FC4DE64" w14:textId="77777777" w:rsidR="00440295" w:rsidRPr="008A713F" w:rsidRDefault="00440295" w:rsidP="00034511">
            <w:pPr>
              <w:rPr>
                <w:rFonts w:ascii="Tahoma" w:hAnsi="Tahoma" w:cs="Tahoma"/>
                <w:sz w:val="18"/>
                <w:szCs w:val="18"/>
              </w:rPr>
            </w:pPr>
            <w:r w:rsidRPr="008A713F">
              <w:rPr>
                <w:rFonts w:ascii="Tahoma" w:hAnsi="Tahoma" w:cs="Tahoma"/>
                <w:sz w:val="18"/>
                <w:szCs w:val="18"/>
              </w:rPr>
              <w:t>За счет установленного Лимита кредитования</w:t>
            </w:r>
          </w:p>
        </w:tc>
        <w:tc>
          <w:tcPr>
            <w:tcW w:w="4675" w:type="dxa"/>
            <w:gridSpan w:val="2"/>
            <w:shd w:val="clear" w:color="auto" w:fill="auto"/>
            <w:vAlign w:val="center"/>
          </w:tcPr>
          <w:p w14:paraId="7E947964" w14:textId="77777777" w:rsidR="00440295" w:rsidRPr="008A713F" w:rsidRDefault="00440295" w:rsidP="00034511">
            <w:pPr>
              <w:jc w:val="center"/>
              <w:rPr>
                <w:rFonts w:ascii="Tahoma" w:hAnsi="Tahoma" w:cs="Tahoma"/>
                <w:b/>
                <w:bCs/>
                <w:sz w:val="18"/>
                <w:szCs w:val="18"/>
              </w:rPr>
            </w:pPr>
            <w:r w:rsidRPr="008A713F">
              <w:rPr>
                <w:rFonts w:ascii="Tahoma" w:hAnsi="Tahoma" w:cs="Tahoma"/>
                <w:bCs/>
                <w:sz w:val="18"/>
                <w:szCs w:val="18"/>
              </w:rPr>
              <w:t>4,9% от суммы кредитных денежных средств (Лимита кредитования), переводимых Клиентом +590 рублей</w:t>
            </w:r>
          </w:p>
        </w:tc>
      </w:tr>
      <w:tr w:rsidR="00440295" w:rsidRPr="008A713F" w14:paraId="7611E6C2" w14:textId="77777777" w:rsidTr="00034511">
        <w:trPr>
          <w:trHeight w:val="347"/>
          <w:tblHeader/>
        </w:trPr>
        <w:tc>
          <w:tcPr>
            <w:tcW w:w="852" w:type="dxa"/>
            <w:vMerge/>
            <w:shd w:val="clear" w:color="auto" w:fill="D9D9D9" w:themeFill="background1" w:themeFillShade="D9"/>
            <w:noWrap/>
            <w:vAlign w:val="center"/>
          </w:tcPr>
          <w:p w14:paraId="62FD7BC1" w14:textId="77777777" w:rsidR="00440295" w:rsidRPr="008A713F" w:rsidRDefault="00440295" w:rsidP="00034511">
            <w:pPr>
              <w:jc w:val="center"/>
              <w:rPr>
                <w:rFonts w:ascii="Tahoma" w:hAnsi="Tahoma" w:cs="Tahoma"/>
                <w:sz w:val="18"/>
                <w:szCs w:val="18"/>
              </w:rPr>
            </w:pPr>
          </w:p>
        </w:tc>
        <w:tc>
          <w:tcPr>
            <w:tcW w:w="3261" w:type="dxa"/>
            <w:vMerge/>
            <w:shd w:val="clear" w:color="auto" w:fill="auto"/>
            <w:vAlign w:val="center"/>
          </w:tcPr>
          <w:p w14:paraId="318188CF" w14:textId="77777777" w:rsidR="00440295" w:rsidRPr="008A713F" w:rsidRDefault="00440295" w:rsidP="00034511">
            <w:pPr>
              <w:rPr>
                <w:rFonts w:ascii="Tahoma" w:hAnsi="Tahoma" w:cs="Tahoma"/>
                <w:sz w:val="18"/>
                <w:szCs w:val="18"/>
              </w:rPr>
            </w:pPr>
          </w:p>
        </w:tc>
        <w:tc>
          <w:tcPr>
            <w:tcW w:w="2835" w:type="dxa"/>
            <w:vMerge/>
            <w:shd w:val="clear" w:color="auto" w:fill="auto"/>
            <w:vAlign w:val="center"/>
          </w:tcPr>
          <w:p w14:paraId="516A440A" w14:textId="77777777" w:rsidR="00440295" w:rsidRPr="008A713F" w:rsidRDefault="00440295" w:rsidP="00034511">
            <w:pPr>
              <w:rPr>
                <w:rFonts w:ascii="Tahoma" w:hAnsi="Tahoma" w:cs="Tahoma"/>
                <w:sz w:val="18"/>
                <w:szCs w:val="18"/>
              </w:rPr>
            </w:pPr>
          </w:p>
        </w:tc>
        <w:tc>
          <w:tcPr>
            <w:tcW w:w="3976" w:type="dxa"/>
            <w:shd w:val="clear" w:color="auto" w:fill="auto"/>
            <w:vAlign w:val="center"/>
          </w:tcPr>
          <w:p w14:paraId="74C1217A" w14:textId="77777777" w:rsidR="00440295" w:rsidRPr="008A713F" w:rsidRDefault="00440295" w:rsidP="00034511">
            <w:pPr>
              <w:rPr>
                <w:rFonts w:ascii="Tahoma" w:hAnsi="Tahoma" w:cs="Tahoma"/>
                <w:sz w:val="18"/>
                <w:szCs w:val="18"/>
              </w:rPr>
            </w:pPr>
            <w:r w:rsidRPr="008A713F">
              <w:rPr>
                <w:rFonts w:ascii="Tahoma" w:hAnsi="Tahoma" w:cs="Tahoma"/>
                <w:sz w:val="18"/>
                <w:szCs w:val="18"/>
              </w:rPr>
              <w:t>При положительном балансе на Счете Карты (наличии средств, находящихся на Счете Карты сверх установленного Лимита кредитования)</w:t>
            </w:r>
          </w:p>
        </w:tc>
        <w:tc>
          <w:tcPr>
            <w:tcW w:w="4675" w:type="dxa"/>
            <w:gridSpan w:val="2"/>
            <w:shd w:val="clear" w:color="auto" w:fill="auto"/>
            <w:vAlign w:val="center"/>
          </w:tcPr>
          <w:p w14:paraId="302E2A1A"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БЕСПЛАТНО</w:t>
            </w:r>
          </w:p>
        </w:tc>
      </w:tr>
      <w:tr w:rsidR="00440295" w:rsidRPr="008A713F" w14:paraId="78DBC1B2" w14:textId="77777777" w:rsidTr="00034511">
        <w:trPr>
          <w:trHeight w:val="257"/>
          <w:tblHeader/>
        </w:trPr>
        <w:tc>
          <w:tcPr>
            <w:tcW w:w="852" w:type="dxa"/>
            <w:vMerge/>
            <w:shd w:val="clear" w:color="auto" w:fill="D9D9D9" w:themeFill="background1" w:themeFillShade="D9"/>
            <w:noWrap/>
            <w:vAlign w:val="center"/>
          </w:tcPr>
          <w:p w14:paraId="27CE8CF9" w14:textId="77777777" w:rsidR="00440295" w:rsidRPr="008A713F" w:rsidRDefault="00440295" w:rsidP="00034511">
            <w:pPr>
              <w:jc w:val="center"/>
              <w:rPr>
                <w:rFonts w:ascii="Tahoma" w:hAnsi="Tahoma" w:cs="Tahoma"/>
                <w:sz w:val="18"/>
                <w:szCs w:val="18"/>
              </w:rPr>
            </w:pPr>
          </w:p>
        </w:tc>
        <w:tc>
          <w:tcPr>
            <w:tcW w:w="3261" w:type="dxa"/>
            <w:vMerge/>
            <w:shd w:val="clear" w:color="auto" w:fill="auto"/>
            <w:vAlign w:val="center"/>
          </w:tcPr>
          <w:p w14:paraId="3A0306E5" w14:textId="77777777" w:rsidR="00440295" w:rsidRPr="008A713F" w:rsidRDefault="00440295" w:rsidP="00034511">
            <w:pPr>
              <w:rPr>
                <w:rFonts w:ascii="Tahoma" w:hAnsi="Tahoma" w:cs="Tahoma"/>
                <w:sz w:val="18"/>
                <w:szCs w:val="18"/>
              </w:rPr>
            </w:pPr>
          </w:p>
        </w:tc>
        <w:tc>
          <w:tcPr>
            <w:tcW w:w="2835" w:type="dxa"/>
            <w:vMerge w:val="restart"/>
            <w:shd w:val="clear" w:color="auto" w:fill="auto"/>
            <w:vAlign w:val="center"/>
          </w:tcPr>
          <w:p w14:paraId="212C6240" w14:textId="77777777" w:rsidR="00440295" w:rsidRPr="008A713F" w:rsidRDefault="00440295" w:rsidP="00034511">
            <w:pPr>
              <w:rPr>
                <w:rFonts w:ascii="Tahoma" w:hAnsi="Tahoma" w:cs="Tahoma"/>
                <w:sz w:val="18"/>
                <w:szCs w:val="18"/>
              </w:rPr>
            </w:pPr>
            <w:r w:rsidRPr="008A713F">
              <w:rPr>
                <w:rFonts w:ascii="Tahoma" w:hAnsi="Tahoma" w:cs="Tahoma"/>
                <w:sz w:val="18"/>
                <w:szCs w:val="18"/>
              </w:rPr>
              <w:t>На Счета/Карты (</w:t>
            </w:r>
            <w:r w:rsidRPr="008A713F">
              <w:rPr>
                <w:rFonts w:ascii="Tahoma" w:hAnsi="Tahoma" w:cs="Tahoma"/>
                <w:sz w:val="18"/>
                <w:szCs w:val="18"/>
                <w:lang w:val="en-US"/>
              </w:rPr>
              <w:t>VISA</w:t>
            </w:r>
            <w:r w:rsidRPr="008A713F">
              <w:rPr>
                <w:rFonts w:ascii="Tahoma" w:hAnsi="Tahoma" w:cs="Tahoma"/>
                <w:sz w:val="18"/>
                <w:szCs w:val="18"/>
              </w:rPr>
              <w:t>/</w:t>
            </w:r>
            <w:r w:rsidRPr="008A713F">
              <w:rPr>
                <w:rFonts w:ascii="Tahoma" w:hAnsi="Tahoma" w:cs="Tahoma"/>
                <w:sz w:val="18"/>
                <w:szCs w:val="18"/>
                <w:lang w:val="en-US"/>
              </w:rPr>
              <w:t>MasterCard</w:t>
            </w:r>
            <w:r w:rsidRPr="008A713F">
              <w:rPr>
                <w:rFonts w:ascii="Tahoma" w:hAnsi="Tahoma" w:cs="Tahoma"/>
                <w:sz w:val="18"/>
                <w:szCs w:val="18"/>
              </w:rPr>
              <w:t>/МИР) другого российского банка</w:t>
            </w:r>
          </w:p>
        </w:tc>
        <w:tc>
          <w:tcPr>
            <w:tcW w:w="3976" w:type="dxa"/>
            <w:shd w:val="clear" w:color="auto" w:fill="auto"/>
            <w:vAlign w:val="center"/>
          </w:tcPr>
          <w:p w14:paraId="3EC1E9AC" w14:textId="77777777" w:rsidR="00440295" w:rsidRPr="008A713F" w:rsidRDefault="00440295" w:rsidP="00034511">
            <w:pPr>
              <w:rPr>
                <w:rFonts w:ascii="Tahoma" w:hAnsi="Tahoma" w:cs="Tahoma"/>
                <w:sz w:val="18"/>
                <w:szCs w:val="18"/>
              </w:rPr>
            </w:pPr>
            <w:r w:rsidRPr="008A713F">
              <w:rPr>
                <w:rFonts w:ascii="Tahoma" w:hAnsi="Tahoma" w:cs="Tahoma"/>
                <w:sz w:val="18"/>
                <w:szCs w:val="18"/>
              </w:rPr>
              <w:t>За счет установленного Лимита кредитования</w:t>
            </w:r>
          </w:p>
        </w:tc>
        <w:tc>
          <w:tcPr>
            <w:tcW w:w="4675" w:type="dxa"/>
            <w:gridSpan w:val="2"/>
            <w:shd w:val="clear" w:color="auto" w:fill="auto"/>
            <w:vAlign w:val="center"/>
          </w:tcPr>
          <w:p w14:paraId="302E3CB5" w14:textId="77777777" w:rsidR="00440295" w:rsidRPr="008A713F" w:rsidRDefault="00440295" w:rsidP="00034511">
            <w:pPr>
              <w:jc w:val="center"/>
              <w:rPr>
                <w:rFonts w:ascii="Tahoma" w:hAnsi="Tahoma" w:cs="Tahoma"/>
                <w:bCs/>
                <w:sz w:val="18"/>
                <w:szCs w:val="18"/>
              </w:rPr>
            </w:pPr>
            <w:r w:rsidRPr="008A713F">
              <w:rPr>
                <w:rFonts w:ascii="Tahoma" w:hAnsi="Tahoma" w:cs="Tahoma"/>
                <w:bCs/>
                <w:sz w:val="18"/>
                <w:szCs w:val="18"/>
              </w:rPr>
              <w:t>4,9% от суммы кредитных денежных средств (Лимита кредитования), переводимых Клиентом +590 рублей</w:t>
            </w:r>
          </w:p>
        </w:tc>
      </w:tr>
      <w:tr w:rsidR="00440295" w:rsidRPr="008A713F" w14:paraId="3B644EBA" w14:textId="77777777" w:rsidTr="00034511">
        <w:trPr>
          <w:trHeight w:val="1029"/>
          <w:tblHeader/>
        </w:trPr>
        <w:tc>
          <w:tcPr>
            <w:tcW w:w="852" w:type="dxa"/>
            <w:vMerge/>
            <w:shd w:val="clear" w:color="auto" w:fill="D9D9D9" w:themeFill="background1" w:themeFillShade="D9"/>
            <w:noWrap/>
            <w:vAlign w:val="center"/>
          </w:tcPr>
          <w:p w14:paraId="21A2B09E" w14:textId="77777777" w:rsidR="00440295" w:rsidRPr="008A713F" w:rsidRDefault="00440295" w:rsidP="00034511">
            <w:pPr>
              <w:jc w:val="center"/>
              <w:rPr>
                <w:rFonts w:ascii="Tahoma" w:hAnsi="Tahoma" w:cs="Tahoma"/>
                <w:sz w:val="18"/>
                <w:szCs w:val="18"/>
              </w:rPr>
            </w:pPr>
          </w:p>
        </w:tc>
        <w:tc>
          <w:tcPr>
            <w:tcW w:w="3261" w:type="dxa"/>
            <w:vMerge/>
            <w:shd w:val="clear" w:color="auto" w:fill="auto"/>
            <w:vAlign w:val="center"/>
          </w:tcPr>
          <w:p w14:paraId="795E670D" w14:textId="77777777" w:rsidR="00440295" w:rsidRPr="008A713F" w:rsidRDefault="00440295" w:rsidP="00034511">
            <w:pPr>
              <w:rPr>
                <w:rFonts w:ascii="Tahoma" w:hAnsi="Tahoma" w:cs="Tahoma"/>
                <w:sz w:val="18"/>
                <w:szCs w:val="18"/>
              </w:rPr>
            </w:pPr>
          </w:p>
        </w:tc>
        <w:tc>
          <w:tcPr>
            <w:tcW w:w="2835" w:type="dxa"/>
            <w:vMerge/>
            <w:shd w:val="clear" w:color="auto" w:fill="auto"/>
            <w:vAlign w:val="center"/>
          </w:tcPr>
          <w:p w14:paraId="35A44CC4" w14:textId="77777777" w:rsidR="00440295" w:rsidRPr="008A713F" w:rsidRDefault="00440295" w:rsidP="00034511">
            <w:pPr>
              <w:rPr>
                <w:rFonts w:ascii="Tahoma" w:hAnsi="Tahoma" w:cs="Tahoma"/>
                <w:sz w:val="18"/>
                <w:szCs w:val="18"/>
              </w:rPr>
            </w:pPr>
          </w:p>
        </w:tc>
        <w:tc>
          <w:tcPr>
            <w:tcW w:w="3976" w:type="dxa"/>
            <w:shd w:val="clear" w:color="auto" w:fill="auto"/>
            <w:vAlign w:val="center"/>
          </w:tcPr>
          <w:p w14:paraId="7B21DC88" w14:textId="77777777" w:rsidR="00440295" w:rsidRPr="008A713F" w:rsidRDefault="00440295" w:rsidP="00034511">
            <w:pPr>
              <w:rPr>
                <w:rFonts w:ascii="Tahoma" w:hAnsi="Tahoma" w:cs="Tahoma"/>
                <w:sz w:val="18"/>
                <w:szCs w:val="18"/>
              </w:rPr>
            </w:pPr>
            <w:r w:rsidRPr="008A713F">
              <w:rPr>
                <w:rFonts w:ascii="Tahoma" w:hAnsi="Tahoma" w:cs="Tahoma"/>
                <w:sz w:val="18"/>
                <w:szCs w:val="18"/>
              </w:rPr>
              <w:t>При положительном балансе на Счете Карты (наличии средств, находящихся на Счете Карты сверх установленного Лимита кредитования)</w:t>
            </w:r>
          </w:p>
        </w:tc>
        <w:tc>
          <w:tcPr>
            <w:tcW w:w="4675" w:type="dxa"/>
            <w:gridSpan w:val="2"/>
            <w:shd w:val="clear" w:color="auto" w:fill="auto"/>
            <w:vAlign w:val="center"/>
          </w:tcPr>
          <w:p w14:paraId="5D164BBC" w14:textId="77777777" w:rsidR="00440295" w:rsidRPr="008A713F" w:rsidRDefault="00440295" w:rsidP="00034511">
            <w:pPr>
              <w:jc w:val="center"/>
              <w:rPr>
                <w:rFonts w:ascii="Tahoma" w:hAnsi="Tahoma" w:cs="Tahoma"/>
                <w:bCs/>
                <w:sz w:val="18"/>
                <w:szCs w:val="18"/>
              </w:rPr>
            </w:pPr>
            <w:r w:rsidRPr="008A713F">
              <w:rPr>
                <w:rFonts w:ascii="Tahoma" w:hAnsi="Tahoma" w:cs="Tahoma"/>
                <w:b/>
                <w:bCs/>
                <w:sz w:val="18"/>
                <w:szCs w:val="18"/>
              </w:rPr>
              <w:t>БЕСПЛАТНО</w:t>
            </w:r>
          </w:p>
        </w:tc>
      </w:tr>
      <w:tr w:rsidR="00440295" w:rsidRPr="008A713F" w14:paraId="1B27073E" w14:textId="77777777" w:rsidTr="00034511">
        <w:trPr>
          <w:trHeight w:val="235"/>
          <w:tblHeader/>
        </w:trPr>
        <w:tc>
          <w:tcPr>
            <w:tcW w:w="852" w:type="dxa"/>
            <w:shd w:val="clear" w:color="auto" w:fill="D9D9D9" w:themeFill="background1" w:themeFillShade="D9"/>
            <w:noWrap/>
            <w:vAlign w:val="center"/>
          </w:tcPr>
          <w:p w14:paraId="122D10D6" w14:textId="77777777" w:rsidR="00440295" w:rsidRPr="008A713F" w:rsidRDefault="00440295" w:rsidP="00034511">
            <w:pPr>
              <w:jc w:val="center"/>
              <w:rPr>
                <w:rFonts w:ascii="Tahoma" w:hAnsi="Tahoma" w:cs="Tahoma"/>
                <w:b/>
                <w:sz w:val="18"/>
                <w:szCs w:val="18"/>
              </w:rPr>
            </w:pPr>
            <w:r w:rsidRPr="008A713F">
              <w:rPr>
                <w:rFonts w:ascii="Tahoma" w:hAnsi="Tahoma" w:cs="Tahoma"/>
                <w:b/>
                <w:sz w:val="18"/>
                <w:szCs w:val="18"/>
              </w:rPr>
              <w:t>6.6.</w:t>
            </w:r>
          </w:p>
        </w:tc>
        <w:tc>
          <w:tcPr>
            <w:tcW w:w="14747" w:type="dxa"/>
            <w:gridSpan w:val="5"/>
            <w:shd w:val="clear" w:color="auto" w:fill="D9D9D9" w:themeFill="background1" w:themeFillShade="D9"/>
            <w:vAlign w:val="center"/>
          </w:tcPr>
          <w:p w14:paraId="65EB9E5B" w14:textId="77777777" w:rsidR="00440295" w:rsidRPr="008A713F" w:rsidRDefault="00440295" w:rsidP="00034511">
            <w:pPr>
              <w:jc w:val="center"/>
              <w:rPr>
                <w:rFonts w:ascii="Tahoma" w:hAnsi="Tahoma" w:cs="Tahoma"/>
                <w:b/>
                <w:sz w:val="18"/>
                <w:szCs w:val="18"/>
              </w:rPr>
            </w:pPr>
            <w:r w:rsidRPr="008A713F">
              <w:rPr>
                <w:rFonts w:ascii="Tahoma" w:hAnsi="Tahoma" w:cs="Tahoma"/>
                <w:b/>
                <w:sz w:val="18"/>
                <w:szCs w:val="18"/>
              </w:rPr>
              <w:t>Дистанционные банковские сервисы</w:t>
            </w:r>
          </w:p>
        </w:tc>
      </w:tr>
      <w:tr w:rsidR="00440295" w:rsidRPr="008A713F" w14:paraId="570DAD8F" w14:textId="77777777" w:rsidTr="00034511">
        <w:trPr>
          <w:trHeight w:val="545"/>
          <w:tblHeader/>
        </w:trPr>
        <w:tc>
          <w:tcPr>
            <w:tcW w:w="852" w:type="dxa"/>
            <w:shd w:val="clear" w:color="000000" w:fill="FFFFFF"/>
            <w:noWrap/>
            <w:vAlign w:val="center"/>
          </w:tcPr>
          <w:p w14:paraId="434D8481"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6.6.1.</w:t>
            </w:r>
          </w:p>
        </w:tc>
        <w:tc>
          <w:tcPr>
            <w:tcW w:w="10072" w:type="dxa"/>
            <w:gridSpan w:val="3"/>
            <w:shd w:val="clear" w:color="000000" w:fill="FFFFFF"/>
            <w:vAlign w:val="center"/>
          </w:tcPr>
          <w:p w14:paraId="0FE11E6F" w14:textId="77777777" w:rsidR="00440295" w:rsidRPr="008A713F" w:rsidRDefault="00440295" w:rsidP="00034511">
            <w:pPr>
              <w:rPr>
                <w:rFonts w:ascii="Tahoma" w:hAnsi="Tahoma" w:cs="Tahoma"/>
                <w:sz w:val="18"/>
                <w:szCs w:val="18"/>
                <w:vertAlign w:val="superscript"/>
              </w:rPr>
            </w:pPr>
            <w:r w:rsidRPr="008A713F">
              <w:rPr>
                <w:rFonts w:ascii="Tahoma" w:hAnsi="Tahoma" w:cs="Tahoma"/>
                <w:sz w:val="18"/>
                <w:szCs w:val="18"/>
              </w:rPr>
              <w:t xml:space="preserve">СМС-информирование (полный пакет): плата за получение уведомлений о приходных и расходных операциях со Счета банковской (платежной) Карты на мобильный телефон (в формате СМС-сообщений, </w:t>
            </w:r>
            <w:r w:rsidRPr="008A713F">
              <w:rPr>
                <w:rFonts w:ascii="Tahoma" w:hAnsi="Tahoma" w:cs="Tahoma"/>
                <w:sz w:val="18"/>
                <w:szCs w:val="18"/>
                <w:lang w:val="en-US"/>
              </w:rPr>
              <w:t>Push</w:t>
            </w:r>
            <w:r w:rsidRPr="008A713F">
              <w:rPr>
                <w:rFonts w:ascii="Tahoma" w:hAnsi="Tahoma" w:cs="Tahoma"/>
                <w:sz w:val="18"/>
                <w:szCs w:val="18"/>
              </w:rPr>
              <w:t>-уведомлений), ежемесячно</w:t>
            </w:r>
            <w:r w:rsidRPr="008A713F">
              <w:rPr>
                <w:rFonts w:ascii="Tahoma" w:hAnsi="Tahoma" w:cs="Tahoma"/>
                <w:sz w:val="18"/>
                <w:szCs w:val="18"/>
                <w:vertAlign w:val="superscript"/>
              </w:rPr>
              <w:t>11</w:t>
            </w:r>
          </w:p>
        </w:tc>
        <w:tc>
          <w:tcPr>
            <w:tcW w:w="4675" w:type="dxa"/>
            <w:gridSpan w:val="2"/>
            <w:shd w:val="clear" w:color="auto" w:fill="auto"/>
            <w:noWrap/>
            <w:vAlign w:val="center"/>
          </w:tcPr>
          <w:p w14:paraId="4A594C6F"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89 рублей (действует до 30.11.2024 включительно)</w:t>
            </w:r>
          </w:p>
          <w:p w14:paraId="5ED61C6F"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99 рублей (действует с 01.12.2024)</w:t>
            </w:r>
          </w:p>
        </w:tc>
      </w:tr>
      <w:tr w:rsidR="00440295" w:rsidRPr="008A713F" w14:paraId="18A0118F" w14:textId="77777777" w:rsidTr="00034511">
        <w:trPr>
          <w:trHeight w:val="267"/>
          <w:tblHeader/>
        </w:trPr>
        <w:tc>
          <w:tcPr>
            <w:tcW w:w="852" w:type="dxa"/>
            <w:shd w:val="clear" w:color="auto" w:fill="auto"/>
            <w:noWrap/>
            <w:vAlign w:val="center"/>
          </w:tcPr>
          <w:p w14:paraId="42C81B9E"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6.6.2.</w:t>
            </w:r>
          </w:p>
        </w:tc>
        <w:tc>
          <w:tcPr>
            <w:tcW w:w="10072" w:type="dxa"/>
            <w:gridSpan w:val="3"/>
            <w:shd w:val="clear" w:color="auto" w:fill="auto"/>
            <w:vAlign w:val="center"/>
            <w:hideMark/>
          </w:tcPr>
          <w:p w14:paraId="11D85FFB" w14:textId="77777777" w:rsidR="00440295" w:rsidRPr="008A713F" w:rsidRDefault="00440295" w:rsidP="00034511">
            <w:pPr>
              <w:rPr>
                <w:rFonts w:ascii="Tahoma" w:hAnsi="Tahoma" w:cs="Tahoma"/>
                <w:sz w:val="18"/>
                <w:szCs w:val="18"/>
              </w:rPr>
            </w:pPr>
            <w:r w:rsidRPr="008A713F">
              <w:rPr>
                <w:rFonts w:ascii="Tahoma" w:hAnsi="Tahoma" w:cs="Tahoma"/>
                <w:sz w:val="18"/>
                <w:szCs w:val="18"/>
              </w:rPr>
              <w:t xml:space="preserve">СМС-информирование (обязательный пакет): плата за получение уведомлений только о расходных операциях со Счета банковской (платежной) Карты на мобильный телефон (в формате СМС-сообщений, </w:t>
            </w:r>
            <w:r w:rsidRPr="008A713F">
              <w:rPr>
                <w:rFonts w:ascii="Tahoma" w:hAnsi="Tahoma" w:cs="Tahoma"/>
                <w:sz w:val="18"/>
                <w:szCs w:val="18"/>
                <w:lang w:val="en-US"/>
              </w:rPr>
              <w:t>Push</w:t>
            </w:r>
            <w:r w:rsidRPr="008A713F">
              <w:rPr>
                <w:rFonts w:ascii="Tahoma" w:hAnsi="Tahoma" w:cs="Tahoma"/>
                <w:sz w:val="18"/>
                <w:szCs w:val="18"/>
              </w:rPr>
              <w:t>-уведомлений), ежемесячно</w:t>
            </w:r>
          </w:p>
        </w:tc>
        <w:tc>
          <w:tcPr>
            <w:tcW w:w="4675" w:type="dxa"/>
            <w:gridSpan w:val="2"/>
            <w:shd w:val="clear" w:color="auto" w:fill="auto"/>
            <w:noWrap/>
            <w:vAlign w:val="center"/>
            <w:hideMark/>
          </w:tcPr>
          <w:p w14:paraId="34E6E305"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БЕСПЛАТНО</w:t>
            </w:r>
          </w:p>
        </w:tc>
      </w:tr>
      <w:tr w:rsidR="00440295" w:rsidRPr="008A713F" w14:paraId="1A3F9849" w14:textId="77777777" w:rsidTr="00034511">
        <w:trPr>
          <w:trHeight w:val="413"/>
          <w:tblHeader/>
        </w:trPr>
        <w:tc>
          <w:tcPr>
            <w:tcW w:w="852" w:type="dxa"/>
            <w:shd w:val="clear" w:color="auto" w:fill="auto"/>
            <w:noWrap/>
            <w:vAlign w:val="center"/>
            <w:hideMark/>
          </w:tcPr>
          <w:p w14:paraId="4FCE4D27"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6.6.3.</w:t>
            </w:r>
          </w:p>
        </w:tc>
        <w:tc>
          <w:tcPr>
            <w:tcW w:w="10072" w:type="dxa"/>
            <w:gridSpan w:val="3"/>
            <w:shd w:val="clear" w:color="auto" w:fill="auto"/>
            <w:vAlign w:val="center"/>
            <w:hideMark/>
          </w:tcPr>
          <w:p w14:paraId="38729F78" w14:textId="77777777" w:rsidR="00440295" w:rsidRPr="008A713F" w:rsidRDefault="00440295" w:rsidP="00034511">
            <w:pPr>
              <w:rPr>
                <w:rFonts w:ascii="Tahoma" w:hAnsi="Tahoma" w:cs="Tahoma"/>
                <w:sz w:val="18"/>
                <w:szCs w:val="18"/>
              </w:rPr>
            </w:pPr>
            <w:r w:rsidRPr="008A713F">
              <w:rPr>
                <w:rFonts w:ascii="Tahoma" w:hAnsi="Tahoma" w:cs="Tahoma"/>
                <w:sz w:val="18"/>
                <w:szCs w:val="18"/>
              </w:rPr>
              <w:t>«АТБ-Онлайн», «АТБ банк»</w:t>
            </w:r>
          </w:p>
        </w:tc>
        <w:tc>
          <w:tcPr>
            <w:tcW w:w="4675" w:type="dxa"/>
            <w:gridSpan w:val="2"/>
            <w:shd w:val="clear" w:color="auto" w:fill="auto"/>
            <w:noWrap/>
            <w:vAlign w:val="center"/>
            <w:hideMark/>
          </w:tcPr>
          <w:p w14:paraId="205C9151"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БЕСПЛАТНО</w:t>
            </w:r>
          </w:p>
        </w:tc>
      </w:tr>
      <w:tr w:rsidR="00440295" w:rsidRPr="008A713F" w14:paraId="04F17E45" w14:textId="77777777" w:rsidTr="00034511">
        <w:trPr>
          <w:trHeight w:val="300"/>
          <w:tblHeader/>
        </w:trPr>
        <w:tc>
          <w:tcPr>
            <w:tcW w:w="852" w:type="dxa"/>
            <w:shd w:val="clear" w:color="auto" w:fill="D9D9D9" w:themeFill="background1" w:themeFillShade="D9"/>
            <w:noWrap/>
            <w:vAlign w:val="center"/>
          </w:tcPr>
          <w:p w14:paraId="14C1E36B" w14:textId="77777777" w:rsidR="00440295" w:rsidRPr="008A713F" w:rsidRDefault="00440295" w:rsidP="00034511">
            <w:pPr>
              <w:jc w:val="center"/>
              <w:rPr>
                <w:rFonts w:ascii="Tahoma" w:hAnsi="Tahoma" w:cs="Tahoma"/>
                <w:b/>
                <w:bCs/>
                <w:sz w:val="18"/>
                <w:szCs w:val="18"/>
              </w:rPr>
            </w:pPr>
            <w:r w:rsidRPr="008A713F">
              <w:rPr>
                <w:rFonts w:ascii="Tahoma" w:hAnsi="Tahoma" w:cs="Tahoma"/>
                <w:b/>
                <w:sz w:val="18"/>
                <w:szCs w:val="18"/>
              </w:rPr>
              <w:t>6.7.</w:t>
            </w:r>
          </w:p>
        </w:tc>
        <w:tc>
          <w:tcPr>
            <w:tcW w:w="14747" w:type="dxa"/>
            <w:gridSpan w:val="5"/>
            <w:shd w:val="clear" w:color="auto" w:fill="D9D9D9" w:themeFill="background1" w:themeFillShade="D9"/>
            <w:vAlign w:val="center"/>
          </w:tcPr>
          <w:p w14:paraId="6D3E2A81"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Запрос остатка денежных средств на Счете банковской (платежной) Карты</w:t>
            </w:r>
          </w:p>
        </w:tc>
      </w:tr>
      <w:tr w:rsidR="00440295" w:rsidRPr="008A713F" w14:paraId="4E020370" w14:textId="77777777" w:rsidTr="00034511">
        <w:trPr>
          <w:trHeight w:val="300"/>
          <w:tblHeader/>
        </w:trPr>
        <w:tc>
          <w:tcPr>
            <w:tcW w:w="852" w:type="dxa"/>
            <w:shd w:val="clear" w:color="auto" w:fill="auto"/>
            <w:noWrap/>
            <w:vAlign w:val="center"/>
          </w:tcPr>
          <w:p w14:paraId="3F85C3A8"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6.7.1.</w:t>
            </w:r>
          </w:p>
        </w:tc>
        <w:tc>
          <w:tcPr>
            <w:tcW w:w="10072" w:type="dxa"/>
            <w:gridSpan w:val="3"/>
            <w:shd w:val="clear" w:color="auto" w:fill="auto"/>
            <w:vAlign w:val="center"/>
          </w:tcPr>
          <w:p w14:paraId="09AFCC6A" w14:textId="77777777" w:rsidR="00440295" w:rsidRPr="008A713F" w:rsidRDefault="00440295" w:rsidP="00034511">
            <w:pPr>
              <w:rPr>
                <w:rFonts w:ascii="Tahoma" w:hAnsi="Tahoma" w:cs="Tahoma"/>
                <w:sz w:val="18"/>
                <w:szCs w:val="18"/>
              </w:rPr>
            </w:pPr>
            <w:r w:rsidRPr="008A713F">
              <w:rPr>
                <w:rFonts w:ascii="Tahoma" w:hAnsi="Tahoma" w:cs="Tahoma"/>
                <w:sz w:val="18"/>
                <w:szCs w:val="18"/>
              </w:rPr>
              <w:t>в банкоматах   Банка, при операции по выдачи наличных денежных средств и выводе на экран</w:t>
            </w:r>
          </w:p>
        </w:tc>
        <w:tc>
          <w:tcPr>
            <w:tcW w:w="4675" w:type="dxa"/>
            <w:gridSpan w:val="2"/>
            <w:shd w:val="clear" w:color="auto" w:fill="auto"/>
            <w:noWrap/>
            <w:vAlign w:val="center"/>
          </w:tcPr>
          <w:p w14:paraId="3841C3D1"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БЕСПЛАТНО</w:t>
            </w:r>
          </w:p>
        </w:tc>
      </w:tr>
      <w:tr w:rsidR="00440295" w:rsidRPr="008A713F" w14:paraId="753CFF08" w14:textId="77777777" w:rsidTr="00034511">
        <w:trPr>
          <w:trHeight w:val="300"/>
          <w:tblHeader/>
        </w:trPr>
        <w:tc>
          <w:tcPr>
            <w:tcW w:w="852" w:type="dxa"/>
            <w:shd w:val="clear" w:color="auto" w:fill="auto"/>
            <w:noWrap/>
            <w:vAlign w:val="center"/>
          </w:tcPr>
          <w:p w14:paraId="3E4AC9B6"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6.7.2.</w:t>
            </w:r>
          </w:p>
        </w:tc>
        <w:tc>
          <w:tcPr>
            <w:tcW w:w="10072" w:type="dxa"/>
            <w:gridSpan w:val="3"/>
            <w:shd w:val="clear" w:color="auto" w:fill="auto"/>
            <w:vAlign w:val="center"/>
          </w:tcPr>
          <w:p w14:paraId="562925C8" w14:textId="77777777" w:rsidR="00440295" w:rsidRPr="008A713F" w:rsidRDefault="00440295" w:rsidP="00034511">
            <w:pPr>
              <w:rPr>
                <w:rFonts w:ascii="Tahoma" w:hAnsi="Tahoma" w:cs="Tahoma"/>
                <w:sz w:val="18"/>
                <w:szCs w:val="18"/>
              </w:rPr>
            </w:pPr>
            <w:r w:rsidRPr="008A713F">
              <w:rPr>
                <w:rFonts w:ascii="Tahoma" w:hAnsi="Tahoma" w:cs="Tahoma"/>
                <w:sz w:val="18"/>
                <w:szCs w:val="18"/>
              </w:rPr>
              <w:t>в банкоматах   Банка (информация выводится на чек устройства)</w:t>
            </w:r>
          </w:p>
        </w:tc>
        <w:tc>
          <w:tcPr>
            <w:tcW w:w="4675" w:type="dxa"/>
            <w:gridSpan w:val="2"/>
            <w:shd w:val="clear" w:color="auto" w:fill="auto"/>
            <w:noWrap/>
            <w:vAlign w:val="center"/>
          </w:tcPr>
          <w:p w14:paraId="039B3B42"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БЕСПЛАТНО</w:t>
            </w:r>
          </w:p>
        </w:tc>
      </w:tr>
      <w:tr w:rsidR="00440295" w:rsidRPr="008A713F" w14:paraId="12308EDD" w14:textId="77777777" w:rsidTr="00034511">
        <w:trPr>
          <w:trHeight w:val="300"/>
          <w:tblHeader/>
        </w:trPr>
        <w:tc>
          <w:tcPr>
            <w:tcW w:w="852" w:type="dxa"/>
            <w:shd w:val="clear" w:color="auto" w:fill="auto"/>
            <w:noWrap/>
            <w:vAlign w:val="center"/>
          </w:tcPr>
          <w:p w14:paraId="4010CE9E"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6.7.3</w:t>
            </w:r>
          </w:p>
        </w:tc>
        <w:tc>
          <w:tcPr>
            <w:tcW w:w="10072" w:type="dxa"/>
            <w:gridSpan w:val="3"/>
            <w:shd w:val="clear" w:color="auto" w:fill="auto"/>
            <w:vAlign w:val="center"/>
          </w:tcPr>
          <w:p w14:paraId="5FD34EDA" w14:textId="77777777" w:rsidR="00440295" w:rsidRPr="008A713F" w:rsidRDefault="00440295" w:rsidP="00034511">
            <w:pPr>
              <w:rPr>
                <w:rFonts w:ascii="Tahoma" w:hAnsi="Tahoma" w:cs="Tahoma"/>
                <w:sz w:val="18"/>
                <w:szCs w:val="18"/>
              </w:rPr>
            </w:pPr>
            <w:r w:rsidRPr="008A713F">
              <w:rPr>
                <w:rFonts w:ascii="Tahoma" w:hAnsi="Tahoma" w:cs="Tahoma"/>
                <w:sz w:val="18"/>
                <w:szCs w:val="18"/>
              </w:rPr>
              <w:t>в банкоматах других банков</w:t>
            </w:r>
            <w:r w:rsidRPr="008A713F">
              <w:rPr>
                <w:rFonts w:ascii="Tahoma" w:hAnsi="Tahoma" w:cs="Tahoma"/>
                <w:sz w:val="18"/>
                <w:szCs w:val="18"/>
                <w:vertAlign w:val="superscript"/>
              </w:rPr>
              <w:t>12</w:t>
            </w:r>
          </w:p>
        </w:tc>
        <w:tc>
          <w:tcPr>
            <w:tcW w:w="4675" w:type="dxa"/>
            <w:gridSpan w:val="2"/>
            <w:shd w:val="clear" w:color="auto" w:fill="auto"/>
            <w:noWrap/>
            <w:vAlign w:val="center"/>
          </w:tcPr>
          <w:p w14:paraId="4884D7AA"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 xml:space="preserve">Первый запрос с начала использования Карты:  0 рублей, </w:t>
            </w:r>
          </w:p>
          <w:p w14:paraId="2B525FC3"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последующие запросы: 45 рублей</w:t>
            </w:r>
          </w:p>
        </w:tc>
      </w:tr>
      <w:tr w:rsidR="00440295" w:rsidRPr="008A713F" w14:paraId="005995B3" w14:textId="77777777" w:rsidTr="00034511">
        <w:trPr>
          <w:trHeight w:val="175"/>
          <w:tblHeader/>
        </w:trPr>
        <w:tc>
          <w:tcPr>
            <w:tcW w:w="852" w:type="dxa"/>
            <w:shd w:val="clear" w:color="auto" w:fill="D9D9D9" w:themeFill="background1" w:themeFillShade="D9"/>
            <w:noWrap/>
            <w:vAlign w:val="center"/>
            <w:hideMark/>
          </w:tcPr>
          <w:p w14:paraId="6BE571A6" w14:textId="77777777" w:rsidR="00440295" w:rsidRPr="008A713F" w:rsidRDefault="00440295" w:rsidP="00034511">
            <w:pPr>
              <w:jc w:val="center"/>
              <w:rPr>
                <w:rFonts w:ascii="Tahoma" w:hAnsi="Tahoma" w:cs="Tahoma"/>
                <w:b/>
                <w:bCs/>
                <w:sz w:val="18"/>
                <w:szCs w:val="18"/>
              </w:rPr>
            </w:pPr>
            <w:r w:rsidRPr="008A713F">
              <w:rPr>
                <w:rFonts w:ascii="Tahoma" w:hAnsi="Tahoma" w:cs="Tahoma"/>
                <w:b/>
                <w:sz w:val="18"/>
                <w:szCs w:val="18"/>
              </w:rPr>
              <w:t>6.8.</w:t>
            </w:r>
          </w:p>
        </w:tc>
        <w:tc>
          <w:tcPr>
            <w:tcW w:w="14747" w:type="dxa"/>
            <w:gridSpan w:val="5"/>
            <w:shd w:val="clear" w:color="auto" w:fill="D9D9D9" w:themeFill="background1" w:themeFillShade="D9"/>
            <w:noWrap/>
            <w:vAlign w:val="center"/>
            <w:hideMark/>
          </w:tcPr>
          <w:p w14:paraId="5C45E470"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Конверсионные операции</w:t>
            </w:r>
          </w:p>
        </w:tc>
      </w:tr>
      <w:tr w:rsidR="00440295" w:rsidRPr="008A713F" w14:paraId="6BF3E8B8" w14:textId="77777777" w:rsidTr="00034511">
        <w:trPr>
          <w:trHeight w:val="373"/>
          <w:tblHeader/>
        </w:trPr>
        <w:tc>
          <w:tcPr>
            <w:tcW w:w="852" w:type="dxa"/>
            <w:shd w:val="clear" w:color="auto" w:fill="auto"/>
            <w:noWrap/>
            <w:vAlign w:val="center"/>
            <w:hideMark/>
          </w:tcPr>
          <w:p w14:paraId="07D0B4EB"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6.8.1.</w:t>
            </w:r>
          </w:p>
        </w:tc>
        <w:tc>
          <w:tcPr>
            <w:tcW w:w="10072" w:type="dxa"/>
            <w:gridSpan w:val="3"/>
            <w:shd w:val="clear" w:color="auto" w:fill="auto"/>
            <w:vAlign w:val="center"/>
            <w:hideMark/>
          </w:tcPr>
          <w:p w14:paraId="6CB95A63" w14:textId="77777777" w:rsidR="00440295" w:rsidRPr="008A713F" w:rsidRDefault="00440295" w:rsidP="00034511">
            <w:pPr>
              <w:rPr>
                <w:rFonts w:ascii="Tahoma" w:hAnsi="Tahoma" w:cs="Tahoma"/>
                <w:sz w:val="18"/>
                <w:szCs w:val="18"/>
              </w:rPr>
            </w:pPr>
            <w:r w:rsidRPr="008A713F">
              <w:rPr>
                <w:rFonts w:ascii="Tahoma" w:hAnsi="Tahoma" w:cs="Tahoma"/>
                <w:sz w:val="18"/>
                <w:szCs w:val="18"/>
              </w:rPr>
              <w:t>конверсия валюты зачисления/списания денежных средств на/со счета банковской (платежной) Карты в валюту счета банковской (платежной) Карты при их отличии</w:t>
            </w:r>
          </w:p>
        </w:tc>
        <w:tc>
          <w:tcPr>
            <w:tcW w:w="4675" w:type="dxa"/>
            <w:gridSpan w:val="2"/>
            <w:shd w:val="clear" w:color="auto" w:fill="auto"/>
            <w:vAlign w:val="center"/>
            <w:hideMark/>
          </w:tcPr>
          <w:p w14:paraId="1DCD66F8"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по курсу Банка на момент совершения операции</w:t>
            </w:r>
          </w:p>
        </w:tc>
      </w:tr>
      <w:tr w:rsidR="00440295" w:rsidRPr="008A713F" w14:paraId="559F66DF" w14:textId="77777777" w:rsidTr="00034511">
        <w:trPr>
          <w:trHeight w:val="401"/>
          <w:tblHeader/>
        </w:trPr>
        <w:tc>
          <w:tcPr>
            <w:tcW w:w="852" w:type="dxa"/>
            <w:shd w:val="clear" w:color="auto" w:fill="auto"/>
            <w:noWrap/>
            <w:vAlign w:val="center"/>
            <w:hideMark/>
          </w:tcPr>
          <w:p w14:paraId="0733D6A1"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6.8.2.</w:t>
            </w:r>
          </w:p>
        </w:tc>
        <w:tc>
          <w:tcPr>
            <w:tcW w:w="10072" w:type="dxa"/>
            <w:gridSpan w:val="3"/>
            <w:shd w:val="clear" w:color="auto" w:fill="auto"/>
            <w:vAlign w:val="center"/>
            <w:hideMark/>
          </w:tcPr>
          <w:p w14:paraId="6ABD94A9" w14:textId="77777777" w:rsidR="00440295" w:rsidRPr="008A713F" w:rsidRDefault="00440295" w:rsidP="00034511">
            <w:pPr>
              <w:rPr>
                <w:rFonts w:ascii="Tahoma" w:hAnsi="Tahoma" w:cs="Tahoma"/>
                <w:sz w:val="18"/>
                <w:szCs w:val="18"/>
              </w:rPr>
            </w:pPr>
            <w:r w:rsidRPr="008A713F">
              <w:rPr>
                <w:rFonts w:ascii="Tahoma" w:hAnsi="Tahoma" w:cs="Tahoma"/>
                <w:sz w:val="18"/>
                <w:szCs w:val="18"/>
              </w:rPr>
              <w:t>конверсия валюты транзакции в валюту расчетов с международной платежной системой при их отличии</w:t>
            </w:r>
          </w:p>
        </w:tc>
        <w:tc>
          <w:tcPr>
            <w:tcW w:w="4675" w:type="dxa"/>
            <w:gridSpan w:val="2"/>
            <w:shd w:val="clear" w:color="auto" w:fill="auto"/>
            <w:vAlign w:val="center"/>
            <w:hideMark/>
          </w:tcPr>
          <w:p w14:paraId="05FCFDC0"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по курсу платежной системы на дату проведения расчетов</w:t>
            </w:r>
          </w:p>
        </w:tc>
      </w:tr>
      <w:tr w:rsidR="00440295" w:rsidRPr="008A713F" w14:paraId="0150E34F" w14:textId="77777777" w:rsidTr="00034511">
        <w:trPr>
          <w:trHeight w:val="237"/>
          <w:tblHeader/>
        </w:trPr>
        <w:tc>
          <w:tcPr>
            <w:tcW w:w="852" w:type="dxa"/>
            <w:shd w:val="clear" w:color="auto" w:fill="D9D9D9" w:themeFill="background1" w:themeFillShade="D9"/>
            <w:noWrap/>
            <w:vAlign w:val="center"/>
          </w:tcPr>
          <w:p w14:paraId="5F3A54B9" w14:textId="77777777" w:rsidR="00440295" w:rsidRPr="008A713F" w:rsidRDefault="00440295" w:rsidP="00034511">
            <w:pPr>
              <w:jc w:val="center"/>
              <w:rPr>
                <w:rFonts w:ascii="Tahoma" w:hAnsi="Tahoma" w:cs="Tahoma"/>
                <w:sz w:val="18"/>
                <w:szCs w:val="18"/>
              </w:rPr>
            </w:pPr>
            <w:r w:rsidRPr="008A713F">
              <w:rPr>
                <w:rFonts w:ascii="Tahoma" w:hAnsi="Tahoma" w:cs="Tahoma"/>
                <w:b/>
                <w:sz w:val="18"/>
                <w:szCs w:val="18"/>
              </w:rPr>
              <w:t>6.9.</w:t>
            </w:r>
          </w:p>
        </w:tc>
        <w:tc>
          <w:tcPr>
            <w:tcW w:w="14747" w:type="dxa"/>
            <w:gridSpan w:val="5"/>
            <w:shd w:val="clear" w:color="auto" w:fill="D9D9D9" w:themeFill="background1" w:themeFillShade="D9"/>
            <w:vAlign w:val="center"/>
          </w:tcPr>
          <w:p w14:paraId="5BD123A2" w14:textId="77777777" w:rsidR="00440295" w:rsidRPr="008A713F" w:rsidRDefault="00440295" w:rsidP="00034511">
            <w:pPr>
              <w:jc w:val="center"/>
              <w:rPr>
                <w:rFonts w:ascii="Tahoma" w:hAnsi="Tahoma" w:cs="Tahoma"/>
                <w:sz w:val="18"/>
                <w:szCs w:val="18"/>
              </w:rPr>
            </w:pPr>
            <w:r w:rsidRPr="008A713F">
              <w:rPr>
                <w:rFonts w:ascii="Tahoma" w:hAnsi="Tahoma" w:cs="Tahoma"/>
                <w:b/>
                <w:bCs/>
                <w:sz w:val="18"/>
                <w:szCs w:val="18"/>
              </w:rPr>
              <w:t>Приостановление/возобновление операций с Картой</w:t>
            </w:r>
          </w:p>
        </w:tc>
      </w:tr>
      <w:tr w:rsidR="00440295" w:rsidRPr="008A713F" w14:paraId="25D83F8C" w14:textId="77777777" w:rsidTr="00034511">
        <w:trPr>
          <w:trHeight w:val="300"/>
          <w:tblHeader/>
        </w:trPr>
        <w:tc>
          <w:tcPr>
            <w:tcW w:w="852" w:type="dxa"/>
            <w:shd w:val="clear" w:color="auto" w:fill="auto"/>
            <w:noWrap/>
            <w:vAlign w:val="center"/>
          </w:tcPr>
          <w:p w14:paraId="172CFEEE"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6.9.1.</w:t>
            </w:r>
          </w:p>
        </w:tc>
        <w:tc>
          <w:tcPr>
            <w:tcW w:w="10072" w:type="dxa"/>
            <w:gridSpan w:val="3"/>
            <w:shd w:val="clear" w:color="auto" w:fill="auto"/>
            <w:vAlign w:val="center"/>
          </w:tcPr>
          <w:p w14:paraId="343CB0E7" w14:textId="77777777" w:rsidR="00440295" w:rsidRPr="008A713F" w:rsidRDefault="00440295" w:rsidP="00034511">
            <w:pPr>
              <w:rPr>
                <w:rFonts w:ascii="Tahoma" w:hAnsi="Tahoma" w:cs="Tahoma"/>
                <w:sz w:val="18"/>
                <w:szCs w:val="18"/>
              </w:rPr>
            </w:pPr>
            <w:r w:rsidRPr="008A713F">
              <w:rPr>
                <w:rFonts w:ascii="Tahoma" w:hAnsi="Tahoma" w:cs="Tahoma"/>
                <w:sz w:val="18"/>
                <w:szCs w:val="18"/>
              </w:rPr>
              <w:t>блокировка/разблокировка Карты в базе данных Процессингового Центра   Банка при использовании удаленных каналов обслуживания</w:t>
            </w:r>
          </w:p>
        </w:tc>
        <w:tc>
          <w:tcPr>
            <w:tcW w:w="4675" w:type="dxa"/>
            <w:gridSpan w:val="2"/>
            <w:shd w:val="clear" w:color="auto" w:fill="auto"/>
            <w:noWrap/>
            <w:vAlign w:val="center"/>
          </w:tcPr>
          <w:p w14:paraId="175B54FE" w14:textId="77777777" w:rsidR="00440295" w:rsidRPr="008A713F" w:rsidRDefault="00440295" w:rsidP="00034511">
            <w:pPr>
              <w:jc w:val="center"/>
              <w:rPr>
                <w:rFonts w:ascii="Tahoma" w:hAnsi="Tahoma" w:cs="Tahoma"/>
                <w:sz w:val="18"/>
                <w:szCs w:val="18"/>
              </w:rPr>
            </w:pPr>
            <w:r w:rsidRPr="008A713F">
              <w:rPr>
                <w:rFonts w:ascii="Tahoma" w:hAnsi="Tahoma" w:cs="Tahoma"/>
                <w:b/>
                <w:bCs/>
                <w:sz w:val="18"/>
                <w:szCs w:val="18"/>
              </w:rPr>
              <w:t>БЕСПЛАТНО</w:t>
            </w:r>
          </w:p>
        </w:tc>
      </w:tr>
      <w:tr w:rsidR="00440295" w:rsidRPr="008A713F" w14:paraId="0CFA737B" w14:textId="77777777" w:rsidTr="00034511">
        <w:trPr>
          <w:trHeight w:val="270"/>
          <w:tblHeader/>
        </w:trPr>
        <w:tc>
          <w:tcPr>
            <w:tcW w:w="852" w:type="dxa"/>
            <w:shd w:val="clear" w:color="auto" w:fill="auto"/>
            <w:noWrap/>
            <w:vAlign w:val="center"/>
          </w:tcPr>
          <w:p w14:paraId="740AA095"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6.9.2.</w:t>
            </w:r>
          </w:p>
        </w:tc>
        <w:tc>
          <w:tcPr>
            <w:tcW w:w="10072" w:type="dxa"/>
            <w:gridSpan w:val="3"/>
            <w:shd w:val="clear" w:color="auto" w:fill="auto"/>
            <w:vAlign w:val="center"/>
          </w:tcPr>
          <w:p w14:paraId="56BF5798" w14:textId="77777777" w:rsidR="00440295" w:rsidRPr="008A713F" w:rsidRDefault="00440295" w:rsidP="00034511">
            <w:pPr>
              <w:rPr>
                <w:rFonts w:ascii="Tahoma" w:hAnsi="Tahoma" w:cs="Tahoma"/>
                <w:sz w:val="18"/>
                <w:szCs w:val="18"/>
              </w:rPr>
            </w:pPr>
            <w:r w:rsidRPr="008A713F">
              <w:rPr>
                <w:rFonts w:ascii="Tahoma" w:hAnsi="Tahoma" w:cs="Tahoma"/>
                <w:sz w:val="18"/>
                <w:szCs w:val="18"/>
              </w:rPr>
              <w:t>выдача остатка денежных средств после закрытия Счета банковской (платежной) Карты</w:t>
            </w:r>
            <w:r w:rsidRPr="008A713F">
              <w:rPr>
                <w:rFonts w:ascii="Tahoma" w:hAnsi="Tahoma" w:cs="Tahoma"/>
                <w:sz w:val="18"/>
                <w:szCs w:val="18"/>
                <w:vertAlign w:val="superscript"/>
              </w:rPr>
              <w:t>13</w:t>
            </w:r>
          </w:p>
        </w:tc>
        <w:tc>
          <w:tcPr>
            <w:tcW w:w="4675" w:type="dxa"/>
            <w:gridSpan w:val="2"/>
            <w:shd w:val="clear" w:color="auto" w:fill="auto"/>
            <w:noWrap/>
            <w:vAlign w:val="center"/>
          </w:tcPr>
          <w:p w14:paraId="05905430" w14:textId="77777777" w:rsidR="00440295" w:rsidRPr="008A713F" w:rsidRDefault="00440295" w:rsidP="00034511">
            <w:pPr>
              <w:jc w:val="center"/>
              <w:rPr>
                <w:rFonts w:ascii="Tahoma" w:hAnsi="Tahoma" w:cs="Tahoma"/>
                <w:sz w:val="18"/>
                <w:szCs w:val="18"/>
              </w:rPr>
            </w:pPr>
            <w:r w:rsidRPr="008A713F">
              <w:rPr>
                <w:rFonts w:ascii="Tahoma" w:hAnsi="Tahoma" w:cs="Tahoma"/>
                <w:b/>
                <w:bCs/>
                <w:sz w:val="18"/>
                <w:szCs w:val="18"/>
              </w:rPr>
              <w:t>БЕСПЛАТНО</w:t>
            </w:r>
          </w:p>
        </w:tc>
      </w:tr>
      <w:tr w:rsidR="00440295" w:rsidRPr="008A713F" w14:paraId="21D67A95" w14:textId="77777777" w:rsidTr="00034511">
        <w:trPr>
          <w:trHeight w:val="300"/>
          <w:tblHeader/>
        </w:trPr>
        <w:tc>
          <w:tcPr>
            <w:tcW w:w="852" w:type="dxa"/>
            <w:shd w:val="clear" w:color="auto" w:fill="auto"/>
            <w:noWrap/>
            <w:vAlign w:val="center"/>
          </w:tcPr>
          <w:p w14:paraId="7F2CF871"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6.9.3.</w:t>
            </w:r>
          </w:p>
        </w:tc>
        <w:tc>
          <w:tcPr>
            <w:tcW w:w="10072" w:type="dxa"/>
            <w:gridSpan w:val="3"/>
            <w:shd w:val="clear" w:color="auto" w:fill="auto"/>
            <w:vAlign w:val="center"/>
          </w:tcPr>
          <w:p w14:paraId="7B44012E" w14:textId="77777777" w:rsidR="00440295" w:rsidRPr="008A713F" w:rsidRDefault="00440295" w:rsidP="00034511">
            <w:pPr>
              <w:rPr>
                <w:rFonts w:ascii="Tahoma" w:hAnsi="Tahoma" w:cs="Tahoma"/>
                <w:sz w:val="18"/>
                <w:szCs w:val="18"/>
              </w:rPr>
            </w:pPr>
            <w:r w:rsidRPr="008A713F">
              <w:rPr>
                <w:rFonts w:ascii="Tahoma" w:hAnsi="Tahoma" w:cs="Tahoma"/>
                <w:sz w:val="18"/>
                <w:szCs w:val="18"/>
              </w:rPr>
              <w:t>блокировка/разблокировка Карты в базе данных Процессингового Центра   Банка при оформлении операции работником Банка</w:t>
            </w:r>
          </w:p>
        </w:tc>
        <w:tc>
          <w:tcPr>
            <w:tcW w:w="4675" w:type="dxa"/>
            <w:gridSpan w:val="2"/>
            <w:shd w:val="clear" w:color="auto" w:fill="auto"/>
            <w:noWrap/>
            <w:vAlign w:val="center"/>
          </w:tcPr>
          <w:p w14:paraId="7AEE44E8" w14:textId="77777777" w:rsidR="00440295" w:rsidRPr="008A713F" w:rsidRDefault="00440295" w:rsidP="00034511">
            <w:pPr>
              <w:jc w:val="center"/>
              <w:rPr>
                <w:rFonts w:ascii="Tahoma" w:hAnsi="Tahoma" w:cs="Tahoma"/>
                <w:sz w:val="18"/>
                <w:szCs w:val="18"/>
              </w:rPr>
            </w:pPr>
            <w:r w:rsidRPr="008A713F">
              <w:rPr>
                <w:rFonts w:ascii="Tahoma" w:hAnsi="Tahoma" w:cs="Tahoma"/>
                <w:b/>
                <w:bCs/>
                <w:sz w:val="18"/>
                <w:szCs w:val="18"/>
              </w:rPr>
              <w:t>БЕСПЛАТНО</w:t>
            </w:r>
          </w:p>
        </w:tc>
      </w:tr>
      <w:tr w:rsidR="00440295" w:rsidRPr="008A713F" w14:paraId="354A6E78" w14:textId="77777777" w:rsidTr="00034511">
        <w:trPr>
          <w:trHeight w:val="242"/>
          <w:tblHeader/>
        </w:trPr>
        <w:tc>
          <w:tcPr>
            <w:tcW w:w="852" w:type="dxa"/>
            <w:shd w:val="clear" w:color="auto" w:fill="auto"/>
            <w:noWrap/>
            <w:vAlign w:val="center"/>
          </w:tcPr>
          <w:p w14:paraId="3C297B2C"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6.9.4.</w:t>
            </w:r>
          </w:p>
        </w:tc>
        <w:tc>
          <w:tcPr>
            <w:tcW w:w="10072" w:type="dxa"/>
            <w:gridSpan w:val="3"/>
            <w:shd w:val="clear" w:color="auto" w:fill="auto"/>
            <w:vAlign w:val="center"/>
          </w:tcPr>
          <w:p w14:paraId="1E67270B" w14:textId="77777777" w:rsidR="00440295" w:rsidRPr="008A713F" w:rsidRDefault="00440295" w:rsidP="00034511">
            <w:pPr>
              <w:rPr>
                <w:rFonts w:ascii="Tahoma" w:hAnsi="Tahoma" w:cs="Tahoma"/>
                <w:sz w:val="18"/>
                <w:szCs w:val="18"/>
              </w:rPr>
            </w:pPr>
            <w:r w:rsidRPr="008A713F">
              <w:rPr>
                <w:rFonts w:ascii="Tahoma" w:hAnsi="Tahoma" w:cs="Tahoma"/>
                <w:sz w:val="18"/>
                <w:szCs w:val="18"/>
              </w:rPr>
              <w:t>постановка Карты в международный стоп-лист (за 2 недели), один регион</w:t>
            </w:r>
            <w:r w:rsidRPr="008A713F">
              <w:rPr>
                <w:rFonts w:ascii="Tahoma" w:hAnsi="Tahoma" w:cs="Tahoma"/>
                <w:sz w:val="18"/>
                <w:szCs w:val="18"/>
                <w:vertAlign w:val="superscript"/>
              </w:rPr>
              <w:t>14</w:t>
            </w:r>
          </w:p>
        </w:tc>
        <w:tc>
          <w:tcPr>
            <w:tcW w:w="4675" w:type="dxa"/>
            <w:gridSpan w:val="2"/>
            <w:shd w:val="clear" w:color="auto" w:fill="auto"/>
            <w:noWrap/>
            <w:vAlign w:val="center"/>
          </w:tcPr>
          <w:p w14:paraId="7651A596"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1 500 рублей</w:t>
            </w:r>
          </w:p>
        </w:tc>
      </w:tr>
      <w:tr w:rsidR="00440295" w:rsidRPr="008A713F" w14:paraId="1A81FD95" w14:textId="77777777" w:rsidTr="00034511">
        <w:trPr>
          <w:trHeight w:val="300"/>
          <w:tblHeader/>
        </w:trPr>
        <w:tc>
          <w:tcPr>
            <w:tcW w:w="852" w:type="dxa"/>
            <w:shd w:val="clear" w:color="auto" w:fill="D9D9D9" w:themeFill="background1" w:themeFillShade="D9"/>
            <w:noWrap/>
            <w:vAlign w:val="center"/>
            <w:hideMark/>
          </w:tcPr>
          <w:p w14:paraId="037CB88E"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6.10</w:t>
            </w:r>
          </w:p>
        </w:tc>
        <w:tc>
          <w:tcPr>
            <w:tcW w:w="14747" w:type="dxa"/>
            <w:gridSpan w:val="5"/>
            <w:shd w:val="clear" w:color="auto" w:fill="D9D9D9" w:themeFill="background1" w:themeFillShade="D9"/>
            <w:noWrap/>
            <w:vAlign w:val="center"/>
            <w:hideMark/>
          </w:tcPr>
          <w:p w14:paraId="62C0D396"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Прочие операции</w:t>
            </w:r>
          </w:p>
        </w:tc>
      </w:tr>
      <w:tr w:rsidR="00440295" w:rsidRPr="008A713F" w14:paraId="648AEF29" w14:textId="77777777" w:rsidTr="00034511">
        <w:trPr>
          <w:trHeight w:val="300"/>
          <w:tblHeader/>
        </w:trPr>
        <w:tc>
          <w:tcPr>
            <w:tcW w:w="852" w:type="dxa"/>
            <w:shd w:val="clear" w:color="auto" w:fill="auto"/>
            <w:noWrap/>
            <w:vAlign w:val="center"/>
            <w:hideMark/>
          </w:tcPr>
          <w:p w14:paraId="07E9F9AD"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6.10.1.</w:t>
            </w:r>
          </w:p>
        </w:tc>
        <w:tc>
          <w:tcPr>
            <w:tcW w:w="10072" w:type="dxa"/>
            <w:gridSpan w:val="3"/>
            <w:shd w:val="clear" w:color="auto" w:fill="auto"/>
            <w:vAlign w:val="center"/>
            <w:hideMark/>
          </w:tcPr>
          <w:p w14:paraId="361C0C55" w14:textId="77777777" w:rsidR="00440295" w:rsidRPr="008A713F" w:rsidRDefault="00440295" w:rsidP="00034511">
            <w:pPr>
              <w:rPr>
                <w:rFonts w:ascii="Tahoma" w:hAnsi="Tahoma" w:cs="Tahoma"/>
                <w:sz w:val="18"/>
                <w:szCs w:val="18"/>
              </w:rPr>
            </w:pPr>
            <w:r w:rsidRPr="008A713F">
              <w:rPr>
                <w:rFonts w:ascii="Tahoma" w:hAnsi="Tahoma" w:cs="Tahoma"/>
                <w:sz w:val="18"/>
                <w:szCs w:val="18"/>
              </w:rPr>
              <w:t>выписка по Счету банковской (платежной) Карты в отделении   Банка</w:t>
            </w:r>
            <w:r w:rsidRPr="008A713F">
              <w:rPr>
                <w:rFonts w:ascii="Tahoma" w:hAnsi="Tahoma" w:cs="Tahoma"/>
                <w:sz w:val="18"/>
                <w:szCs w:val="18"/>
                <w:vertAlign w:val="superscript"/>
              </w:rPr>
              <w:t>14</w:t>
            </w:r>
          </w:p>
        </w:tc>
        <w:tc>
          <w:tcPr>
            <w:tcW w:w="4675" w:type="dxa"/>
            <w:gridSpan w:val="2"/>
            <w:shd w:val="clear" w:color="auto" w:fill="auto"/>
            <w:noWrap/>
            <w:vAlign w:val="center"/>
            <w:hideMark/>
          </w:tcPr>
          <w:p w14:paraId="6D11F257"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250 рублей</w:t>
            </w:r>
          </w:p>
        </w:tc>
      </w:tr>
      <w:tr w:rsidR="00440295" w:rsidRPr="008A713F" w14:paraId="4F95CB05" w14:textId="77777777" w:rsidTr="00034511">
        <w:trPr>
          <w:trHeight w:val="313"/>
          <w:tblHeader/>
        </w:trPr>
        <w:tc>
          <w:tcPr>
            <w:tcW w:w="852" w:type="dxa"/>
            <w:shd w:val="clear" w:color="auto" w:fill="auto"/>
            <w:noWrap/>
            <w:vAlign w:val="center"/>
            <w:hideMark/>
          </w:tcPr>
          <w:p w14:paraId="4105E5F7"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6.10.2.</w:t>
            </w:r>
          </w:p>
        </w:tc>
        <w:tc>
          <w:tcPr>
            <w:tcW w:w="10072" w:type="dxa"/>
            <w:gridSpan w:val="3"/>
            <w:shd w:val="clear" w:color="auto" w:fill="auto"/>
            <w:vAlign w:val="center"/>
            <w:hideMark/>
          </w:tcPr>
          <w:p w14:paraId="1A54080E" w14:textId="77777777" w:rsidR="00440295" w:rsidRPr="008A713F" w:rsidRDefault="00440295" w:rsidP="00034511">
            <w:pPr>
              <w:rPr>
                <w:rFonts w:ascii="Tahoma" w:hAnsi="Tahoma" w:cs="Tahoma"/>
                <w:sz w:val="18"/>
                <w:szCs w:val="18"/>
              </w:rPr>
            </w:pPr>
            <w:r w:rsidRPr="008A713F">
              <w:rPr>
                <w:rFonts w:ascii="Tahoma" w:hAnsi="Tahoma" w:cs="Tahoma"/>
                <w:sz w:val="18"/>
                <w:szCs w:val="18"/>
              </w:rPr>
              <w:t>выписка по Счету банковской (платежной) Карты в банкоматах Банка</w:t>
            </w:r>
          </w:p>
        </w:tc>
        <w:tc>
          <w:tcPr>
            <w:tcW w:w="4675" w:type="dxa"/>
            <w:gridSpan w:val="2"/>
            <w:shd w:val="clear" w:color="auto" w:fill="auto"/>
            <w:noWrap/>
            <w:vAlign w:val="center"/>
            <w:hideMark/>
          </w:tcPr>
          <w:p w14:paraId="24C5B3F7"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БЕСПЛАТНО</w:t>
            </w:r>
          </w:p>
        </w:tc>
      </w:tr>
      <w:tr w:rsidR="00440295" w:rsidRPr="008A713F" w14:paraId="1FABC725" w14:textId="77777777" w:rsidTr="00034511">
        <w:trPr>
          <w:trHeight w:val="283"/>
          <w:tblHeader/>
        </w:trPr>
        <w:tc>
          <w:tcPr>
            <w:tcW w:w="852" w:type="dxa"/>
            <w:shd w:val="clear" w:color="auto" w:fill="auto"/>
            <w:noWrap/>
            <w:vAlign w:val="center"/>
            <w:hideMark/>
          </w:tcPr>
          <w:p w14:paraId="409A52D0"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6.10.3.</w:t>
            </w:r>
          </w:p>
        </w:tc>
        <w:tc>
          <w:tcPr>
            <w:tcW w:w="10072" w:type="dxa"/>
            <w:gridSpan w:val="3"/>
            <w:shd w:val="clear" w:color="auto" w:fill="auto"/>
            <w:vAlign w:val="center"/>
            <w:hideMark/>
          </w:tcPr>
          <w:p w14:paraId="7B67C0CA" w14:textId="77777777" w:rsidR="00440295" w:rsidRPr="008A713F" w:rsidRDefault="00440295" w:rsidP="00034511">
            <w:pPr>
              <w:rPr>
                <w:rFonts w:ascii="Tahoma" w:hAnsi="Tahoma" w:cs="Tahoma"/>
                <w:sz w:val="18"/>
                <w:szCs w:val="18"/>
              </w:rPr>
            </w:pPr>
            <w:r w:rsidRPr="008A713F">
              <w:rPr>
                <w:rFonts w:ascii="Tahoma" w:hAnsi="Tahoma" w:cs="Tahoma"/>
                <w:sz w:val="18"/>
                <w:szCs w:val="18"/>
              </w:rPr>
              <w:t>изъятие (по распоряжению Банка) заблокированной Карты в банкомате другого банка</w:t>
            </w:r>
            <w:r w:rsidRPr="008A713F">
              <w:rPr>
                <w:rFonts w:ascii="Tahoma" w:hAnsi="Tahoma" w:cs="Tahoma"/>
                <w:sz w:val="18"/>
                <w:szCs w:val="18"/>
                <w:vertAlign w:val="superscript"/>
              </w:rPr>
              <w:t>14,15</w:t>
            </w:r>
          </w:p>
        </w:tc>
        <w:tc>
          <w:tcPr>
            <w:tcW w:w="4675" w:type="dxa"/>
            <w:gridSpan w:val="2"/>
            <w:shd w:val="clear" w:color="auto" w:fill="auto"/>
            <w:noWrap/>
            <w:vAlign w:val="center"/>
            <w:hideMark/>
          </w:tcPr>
          <w:p w14:paraId="565BED4F"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15 долларов США</w:t>
            </w:r>
          </w:p>
        </w:tc>
      </w:tr>
      <w:tr w:rsidR="00440295" w:rsidRPr="008A713F" w14:paraId="2BCF728E" w14:textId="77777777" w:rsidTr="00034511">
        <w:trPr>
          <w:trHeight w:val="417"/>
          <w:tblHeader/>
        </w:trPr>
        <w:tc>
          <w:tcPr>
            <w:tcW w:w="852" w:type="dxa"/>
            <w:shd w:val="clear" w:color="auto" w:fill="auto"/>
            <w:noWrap/>
            <w:vAlign w:val="center"/>
            <w:hideMark/>
          </w:tcPr>
          <w:p w14:paraId="1C0388F2"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6.10.4.</w:t>
            </w:r>
          </w:p>
        </w:tc>
        <w:tc>
          <w:tcPr>
            <w:tcW w:w="10072" w:type="dxa"/>
            <w:gridSpan w:val="3"/>
            <w:shd w:val="clear" w:color="auto" w:fill="auto"/>
            <w:vAlign w:val="center"/>
            <w:hideMark/>
          </w:tcPr>
          <w:p w14:paraId="4EA96FB9" w14:textId="77777777" w:rsidR="00440295" w:rsidRPr="008A713F" w:rsidRDefault="00440295" w:rsidP="00034511">
            <w:pPr>
              <w:rPr>
                <w:rFonts w:ascii="Tahoma" w:hAnsi="Tahoma" w:cs="Tahoma"/>
                <w:sz w:val="18"/>
                <w:szCs w:val="18"/>
              </w:rPr>
            </w:pPr>
            <w:r w:rsidRPr="008A713F">
              <w:rPr>
                <w:rFonts w:ascii="Tahoma" w:hAnsi="Tahoma" w:cs="Tahoma"/>
                <w:sz w:val="18"/>
                <w:szCs w:val="18"/>
              </w:rPr>
              <w:t>изъятие (по распоряжению Банка) заблокированной Карты в ТСП</w:t>
            </w:r>
            <w:r w:rsidRPr="008A713F">
              <w:rPr>
                <w:rFonts w:ascii="Tahoma" w:hAnsi="Tahoma" w:cs="Tahoma"/>
                <w:sz w:val="18"/>
                <w:szCs w:val="18"/>
                <w:vertAlign w:val="superscript"/>
              </w:rPr>
              <w:t xml:space="preserve"> </w:t>
            </w:r>
            <w:r w:rsidRPr="008A713F">
              <w:rPr>
                <w:rFonts w:ascii="Tahoma" w:hAnsi="Tahoma" w:cs="Tahoma"/>
                <w:sz w:val="18"/>
                <w:szCs w:val="18"/>
              </w:rPr>
              <w:t>другого банка</w:t>
            </w:r>
            <w:r w:rsidRPr="008A713F">
              <w:rPr>
                <w:rFonts w:ascii="Tahoma" w:hAnsi="Tahoma" w:cs="Tahoma"/>
                <w:sz w:val="18"/>
                <w:szCs w:val="18"/>
                <w:vertAlign w:val="superscript"/>
              </w:rPr>
              <w:t>14,15</w:t>
            </w:r>
          </w:p>
        </w:tc>
        <w:tc>
          <w:tcPr>
            <w:tcW w:w="4675" w:type="dxa"/>
            <w:gridSpan w:val="2"/>
            <w:shd w:val="clear" w:color="auto" w:fill="auto"/>
            <w:noWrap/>
            <w:vAlign w:val="center"/>
            <w:hideMark/>
          </w:tcPr>
          <w:p w14:paraId="552FF4CE"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 xml:space="preserve"> 165 долларов США / (в Еврозоне - 115 евро)</w:t>
            </w:r>
          </w:p>
        </w:tc>
      </w:tr>
      <w:tr w:rsidR="00440295" w:rsidRPr="008A713F" w14:paraId="067E3AB0" w14:textId="77777777" w:rsidTr="00034511">
        <w:trPr>
          <w:trHeight w:val="321"/>
          <w:tblHeader/>
        </w:trPr>
        <w:tc>
          <w:tcPr>
            <w:tcW w:w="852" w:type="dxa"/>
            <w:shd w:val="clear" w:color="auto" w:fill="auto"/>
            <w:noWrap/>
            <w:vAlign w:val="center"/>
            <w:hideMark/>
          </w:tcPr>
          <w:p w14:paraId="506A84C1"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6.10.5.</w:t>
            </w:r>
          </w:p>
        </w:tc>
        <w:tc>
          <w:tcPr>
            <w:tcW w:w="10072" w:type="dxa"/>
            <w:gridSpan w:val="3"/>
            <w:shd w:val="clear" w:color="auto" w:fill="auto"/>
            <w:hideMark/>
          </w:tcPr>
          <w:p w14:paraId="2173D1C8" w14:textId="77777777" w:rsidR="00440295" w:rsidRPr="008A713F" w:rsidRDefault="00440295" w:rsidP="00034511">
            <w:pPr>
              <w:rPr>
                <w:rFonts w:ascii="Tahoma" w:hAnsi="Tahoma" w:cs="Tahoma"/>
                <w:sz w:val="18"/>
                <w:szCs w:val="18"/>
              </w:rPr>
            </w:pPr>
            <w:r w:rsidRPr="008A713F">
              <w:rPr>
                <w:rFonts w:ascii="Tahoma" w:hAnsi="Tahoma" w:cs="Tahoma"/>
                <w:sz w:val="18"/>
                <w:szCs w:val="18"/>
              </w:rPr>
              <w:t>услуги, оказанные другими банками (авторизация по телексу, направление в Банк информации об утере/краже Карты, срочная)</w:t>
            </w:r>
            <w:r w:rsidRPr="008A713F">
              <w:rPr>
                <w:rFonts w:ascii="Tahoma" w:hAnsi="Tahoma" w:cs="Tahoma"/>
                <w:sz w:val="18"/>
                <w:szCs w:val="18"/>
                <w:vertAlign w:val="superscript"/>
              </w:rPr>
              <w:t>15</w:t>
            </w:r>
          </w:p>
        </w:tc>
        <w:tc>
          <w:tcPr>
            <w:tcW w:w="4675" w:type="dxa"/>
            <w:gridSpan w:val="2"/>
            <w:shd w:val="clear" w:color="auto" w:fill="auto"/>
            <w:noWrap/>
            <w:vAlign w:val="center"/>
            <w:hideMark/>
          </w:tcPr>
          <w:p w14:paraId="7343AE2F"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по фактическим затратам Банка</w:t>
            </w:r>
          </w:p>
        </w:tc>
      </w:tr>
      <w:tr w:rsidR="00440295" w:rsidRPr="008A713F" w14:paraId="0733D20A" w14:textId="77777777" w:rsidTr="00034511">
        <w:trPr>
          <w:trHeight w:val="246"/>
          <w:tblHeader/>
        </w:trPr>
        <w:tc>
          <w:tcPr>
            <w:tcW w:w="852" w:type="dxa"/>
            <w:shd w:val="clear" w:color="auto" w:fill="BFBFBF" w:themeFill="background1" w:themeFillShade="BF"/>
            <w:noWrap/>
            <w:vAlign w:val="center"/>
          </w:tcPr>
          <w:p w14:paraId="339E1DEC" w14:textId="77777777" w:rsidR="00440295" w:rsidRPr="008A713F" w:rsidRDefault="00440295" w:rsidP="00034511">
            <w:pPr>
              <w:jc w:val="center"/>
              <w:rPr>
                <w:rFonts w:ascii="Tahoma" w:hAnsi="Tahoma" w:cs="Tahoma"/>
                <w:b/>
                <w:sz w:val="18"/>
                <w:szCs w:val="18"/>
              </w:rPr>
            </w:pPr>
            <w:r w:rsidRPr="008A713F">
              <w:rPr>
                <w:rFonts w:ascii="Tahoma" w:hAnsi="Tahoma" w:cs="Tahoma"/>
                <w:b/>
                <w:sz w:val="18"/>
                <w:szCs w:val="18"/>
              </w:rPr>
              <w:t>6.11.</w:t>
            </w:r>
          </w:p>
        </w:tc>
        <w:tc>
          <w:tcPr>
            <w:tcW w:w="14747" w:type="dxa"/>
            <w:gridSpan w:val="5"/>
            <w:shd w:val="clear" w:color="auto" w:fill="BFBFBF" w:themeFill="background1" w:themeFillShade="BF"/>
            <w:vAlign w:val="center"/>
          </w:tcPr>
          <w:p w14:paraId="53EEB21D" w14:textId="77777777" w:rsidR="00440295" w:rsidRPr="008A713F" w:rsidRDefault="00440295" w:rsidP="00034511">
            <w:pPr>
              <w:jc w:val="center"/>
              <w:rPr>
                <w:rFonts w:ascii="Tahoma" w:hAnsi="Tahoma" w:cs="Tahoma"/>
                <w:b/>
                <w:sz w:val="18"/>
                <w:szCs w:val="18"/>
              </w:rPr>
            </w:pPr>
            <w:r w:rsidRPr="008A713F">
              <w:rPr>
                <w:rFonts w:ascii="Tahoma" w:hAnsi="Tahoma" w:cs="Tahoma"/>
                <w:b/>
                <w:sz w:val="18"/>
                <w:szCs w:val="18"/>
              </w:rPr>
              <w:t>Дополнительные сервисы по Картам</w:t>
            </w:r>
          </w:p>
        </w:tc>
      </w:tr>
      <w:tr w:rsidR="00440295" w:rsidRPr="008A713F" w14:paraId="08A1C028" w14:textId="77777777" w:rsidTr="00034511">
        <w:trPr>
          <w:trHeight w:val="323"/>
          <w:tblHeader/>
        </w:trPr>
        <w:tc>
          <w:tcPr>
            <w:tcW w:w="852" w:type="dxa"/>
            <w:shd w:val="clear" w:color="000000" w:fill="FFFFFF"/>
            <w:noWrap/>
            <w:vAlign w:val="center"/>
          </w:tcPr>
          <w:p w14:paraId="6A0D7264"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6.11.1</w:t>
            </w:r>
          </w:p>
        </w:tc>
        <w:tc>
          <w:tcPr>
            <w:tcW w:w="10072" w:type="dxa"/>
            <w:gridSpan w:val="3"/>
            <w:shd w:val="clear" w:color="000000" w:fill="FFFFFF"/>
            <w:vAlign w:val="center"/>
          </w:tcPr>
          <w:p w14:paraId="20EA5F57" w14:textId="77777777" w:rsidR="00440295" w:rsidRPr="008A713F" w:rsidRDefault="00440295" w:rsidP="00034511">
            <w:pPr>
              <w:rPr>
                <w:rFonts w:ascii="Tahoma" w:hAnsi="Tahoma" w:cs="Tahoma"/>
                <w:sz w:val="18"/>
                <w:szCs w:val="18"/>
              </w:rPr>
            </w:pPr>
            <w:r w:rsidRPr="008A713F">
              <w:rPr>
                <w:rFonts w:ascii="Tahoma" w:hAnsi="Tahoma" w:cs="Tahoma"/>
                <w:sz w:val="18"/>
                <w:szCs w:val="18"/>
              </w:rPr>
              <w:t>участие в программе лояльности Мир</w:t>
            </w:r>
            <w:r w:rsidRPr="008A713F">
              <w:rPr>
                <w:rFonts w:ascii="Tahoma" w:hAnsi="Tahoma" w:cs="Tahoma"/>
                <w:sz w:val="18"/>
                <w:szCs w:val="18"/>
                <w:vertAlign w:val="superscript"/>
              </w:rPr>
              <w:t>16</w:t>
            </w:r>
            <w:r w:rsidRPr="008A713F">
              <w:rPr>
                <w:rFonts w:ascii="Tahoma" w:hAnsi="Tahoma" w:cs="Tahoma"/>
                <w:sz w:val="18"/>
                <w:szCs w:val="18"/>
              </w:rPr>
              <w:t xml:space="preserve"> (только для карт ПС Мир)</w:t>
            </w:r>
          </w:p>
        </w:tc>
        <w:tc>
          <w:tcPr>
            <w:tcW w:w="4675" w:type="dxa"/>
            <w:gridSpan w:val="2"/>
            <w:shd w:val="clear" w:color="auto" w:fill="auto"/>
            <w:noWrap/>
            <w:vAlign w:val="center"/>
          </w:tcPr>
          <w:p w14:paraId="5A584D7E"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w:t>
            </w:r>
          </w:p>
        </w:tc>
      </w:tr>
      <w:tr w:rsidR="00440295" w:rsidRPr="008A713F" w14:paraId="52E57CB3" w14:textId="77777777" w:rsidTr="00034511">
        <w:trPr>
          <w:trHeight w:val="415"/>
          <w:tblHeader/>
        </w:trPr>
        <w:tc>
          <w:tcPr>
            <w:tcW w:w="852" w:type="dxa"/>
            <w:shd w:val="clear" w:color="auto" w:fill="auto"/>
            <w:noWrap/>
            <w:vAlign w:val="center"/>
          </w:tcPr>
          <w:p w14:paraId="405568CB"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6.11.2.</w:t>
            </w:r>
          </w:p>
        </w:tc>
        <w:tc>
          <w:tcPr>
            <w:tcW w:w="10072" w:type="dxa"/>
            <w:gridSpan w:val="3"/>
            <w:shd w:val="clear" w:color="auto" w:fill="auto"/>
            <w:vAlign w:val="center"/>
          </w:tcPr>
          <w:p w14:paraId="27A1F84F" w14:textId="77777777" w:rsidR="00440295" w:rsidRPr="008A713F" w:rsidRDefault="00440295" w:rsidP="00034511">
            <w:pPr>
              <w:rPr>
                <w:rFonts w:ascii="Tahoma" w:hAnsi="Tahoma" w:cs="Tahoma"/>
                <w:sz w:val="18"/>
                <w:szCs w:val="18"/>
              </w:rPr>
            </w:pPr>
            <w:r w:rsidRPr="008A713F">
              <w:rPr>
                <w:rFonts w:ascii="Tahoma" w:hAnsi="Tahoma" w:cs="Tahoma"/>
                <w:sz w:val="18"/>
                <w:szCs w:val="18"/>
              </w:rPr>
              <w:t>бесплатная выписка по счетам в "АТБ-Онлайн"/"АТБ банк"</w:t>
            </w:r>
          </w:p>
        </w:tc>
        <w:tc>
          <w:tcPr>
            <w:tcW w:w="4675" w:type="dxa"/>
            <w:gridSpan w:val="2"/>
            <w:shd w:val="clear" w:color="auto" w:fill="auto"/>
            <w:noWrap/>
            <w:vAlign w:val="center"/>
          </w:tcPr>
          <w:p w14:paraId="0BBFA9E5"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w:t>
            </w:r>
          </w:p>
        </w:tc>
      </w:tr>
      <w:tr w:rsidR="00440295" w:rsidRPr="008A713F" w14:paraId="41991007" w14:textId="77777777" w:rsidTr="00034511">
        <w:trPr>
          <w:trHeight w:val="300"/>
          <w:tblHeader/>
        </w:trPr>
        <w:tc>
          <w:tcPr>
            <w:tcW w:w="852" w:type="dxa"/>
            <w:shd w:val="clear" w:color="auto" w:fill="auto"/>
            <w:noWrap/>
            <w:vAlign w:val="center"/>
          </w:tcPr>
          <w:p w14:paraId="48EDB5F2" w14:textId="77777777" w:rsidR="00440295" w:rsidRPr="008A713F" w:rsidRDefault="00440295" w:rsidP="00034511">
            <w:pPr>
              <w:jc w:val="center"/>
              <w:rPr>
                <w:rFonts w:ascii="Tahoma" w:hAnsi="Tahoma" w:cs="Tahoma"/>
                <w:sz w:val="18"/>
                <w:szCs w:val="18"/>
              </w:rPr>
            </w:pPr>
            <w:r w:rsidRPr="008A713F">
              <w:rPr>
                <w:rFonts w:ascii="Tahoma" w:hAnsi="Tahoma" w:cs="Tahoma"/>
                <w:bCs/>
                <w:sz w:val="18"/>
                <w:szCs w:val="18"/>
              </w:rPr>
              <w:t>6.11.3.</w:t>
            </w:r>
            <w:r w:rsidRPr="008A713F" w:rsidDel="00690907">
              <w:rPr>
                <w:rFonts w:ascii="Tahoma" w:hAnsi="Tahoma" w:cs="Tahoma"/>
                <w:sz w:val="18"/>
                <w:szCs w:val="18"/>
              </w:rPr>
              <w:t xml:space="preserve"> </w:t>
            </w:r>
          </w:p>
        </w:tc>
        <w:tc>
          <w:tcPr>
            <w:tcW w:w="10072" w:type="dxa"/>
            <w:gridSpan w:val="3"/>
            <w:shd w:val="clear" w:color="auto" w:fill="auto"/>
            <w:vAlign w:val="center"/>
          </w:tcPr>
          <w:p w14:paraId="6269D35D" w14:textId="77777777" w:rsidR="00440295" w:rsidRPr="008A713F" w:rsidRDefault="00440295" w:rsidP="00034511">
            <w:pPr>
              <w:rPr>
                <w:rFonts w:ascii="Tahoma" w:hAnsi="Tahoma" w:cs="Tahoma"/>
                <w:b/>
                <w:bCs/>
                <w:sz w:val="18"/>
                <w:szCs w:val="18"/>
              </w:rPr>
            </w:pPr>
            <w:r w:rsidRPr="008A713F">
              <w:rPr>
                <w:rFonts w:ascii="Tahoma" w:hAnsi="Tahoma" w:cs="Tahoma"/>
                <w:sz w:val="18"/>
                <w:szCs w:val="18"/>
              </w:rPr>
              <w:t>круглосуточная поддержка через Контактный центр Банка: 8-800-775-88-88 (бесплатно на территории России)</w:t>
            </w:r>
          </w:p>
        </w:tc>
        <w:tc>
          <w:tcPr>
            <w:tcW w:w="4675" w:type="dxa"/>
            <w:gridSpan w:val="2"/>
            <w:shd w:val="clear" w:color="auto" w:fill="auto"/>
            <w:noWrap/>
            <w:vAlign w:val="center"/>
          </w:tcPr>
          <w:p w14:paraId="10DE7772"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w:t>
            </w:r>
          </w:p>
        </w:tc>
      </w:tr>
      <w:tr w:rsidR="00440295" w:rsidRPr="008A713F" w14:paraId="3F1981C4" w14:textId="77777777" w:rsidTr="00034511">
        <w:trPr>
          <w:trHeight w:val="300"/>
          <w:tblHeader/>
        </w:trPr>
        <w:tc>
          <w:tcPr>
            <w:tcW w:w="852" w:type="dxa"/>
            <w:shd w:val="clear" w:color="auto" w:fill="auto"/>
            <w:noWrap/>
            <w:vAlign w:val="center"/>
          </w:tcPr>
          <w:p w14:paraId="2808BE8D" w14:textId="77777777" w:rsidR="00440295" w:rsidRPr="008A713F" w:rsidRDefault="00440295" w:rsidP="00034511">
            <w:pPr>
              <w:jc w:val="center"/>
              <w:rPr>
                <w:rFonts w:ascii="Tahoma" w:hAnsi="Tahoma" w:cs="Tahoma"/>
                <w:sz w:val="18"/>
                <w:szCs w:val="18"/>
              </w:rPr>
            </w:pPr>
            <w:r w:rsidRPr="008A713F">
              <w:rPr>
                <w:rFonts w:ascii="Tahoma" w:hAnsi="Tahoma" w:cs="Tahoma"/>
                <w:sz w:val="18"/>
                <w:szCs w:val="18"/>
              </w:rPr>
              <w:t>6.11.4.</w:t>
            </w:r>
          </w:p>
        </w:tc>
        <w:tc>
          <w:tcPr>
            <w:tcW w:w="10072" w:type="dxa"/>
            <w:gridSpan w:val="3"/>
            <w:shd w:val="clear" w:color="auto" w:fill="auto"/>
            <w:vAlign w:val="center"/>
          </w:tcPr>
          <w:p w14:paraId="7282F12D" w14:textId="77777777" w:rsidR="00440295" w:rsidRPr="008A713F" w:rsidRDefault="00440295" w:rsidP="00034511">
            <w:pPr>
              <w:rPr>
                <w:rFonts w:ascii="Tahoma" w:hAnsi="Tahoma" w:cs="Tahoma"/>
                <w:sz w:val="18"/>
                <w:szCs w:val="18"/>
              </w:rPr>
            </w:pPr>
            <w:r w:rsidRPr="008A713F">
              <w:rPr>
                <w:rFonts w:ascii="Tahoma" w:hAnsi="Tahoma" w:cs="Tahoma"/>
                <w:sz w:val="18"/>
                <w:szCs w:val="18"/>
              </w:rPr>
              <w:t>сообщение в Банк о потере или краже Карты по единому номеру в любой точке мира</w:t>
            </w:r>
          </w:p>
        </w:tc>
        <w:tc>
          <w:tcPr>
            <w:tcW w:w="4675" w:type="dxa"/>
            <w:gridSpan w:val="2"/>
            <w:shd w:val="clear" w:color="auto" w:fill="auto"/>
            <w:noWrap/>
            <w:vAlign w:val="center"/>
          </w:tcPr>
          <w:p w14:paraId="246B2FE7" w14:textId="77777777" w:rsidR="00440295" w:rsidRPr="008A713F" w:rsidRDefault="00440295" w:rsidP="00034511">
            <w:pPr>
              <w:jc w:val="center"/>
              <w:rPr>
                <w:rFonts w:ascii="Tahoma" w:hAnsi="Tahoma" w:cs="Tahoma"/>
                <w:b/>
                <w:bCs/>
                <w:sz w:val="18"/>
                <w:szCs w:val="18"/>
              </w:rPr>
            </w:pPr>
            <w:r w:rsidRPr="008A713F">
              <w:rPr>
                <w:rFonts w:ascii="Tahoma" w:hAnsi="Tahoma" w:cs="Tahoma"/>
                <w:b/>
                <w:bCs/>
                <w:sz w:val="18"/>
                <w:szCs w:val="18"/>
              </w:rPr>
              <w:t>+</w:t>
            </w:r>
          </w:p>
        </w:tc>
      </w:tr>
    </w:tbl>
    <w:p w14:paraId="509415AB" w14:textId="77777777" w:rsidR="00440295" w:rsidRPr="008A713F" w:rsidRDefault="00440295" w:rsidP="00440295">
      <w:pPr>
        <w:rPr>
          <w:rFonts w:ascii="Tahoma" w:hAnsi="Tahoma" w:cs="Tahoma"/>
          <w:sz w:val="18"/>
          <w:szCs w:val="18"/>
        </w:rPr>
      </w:pPr>
      <w:r w:rsidRPr="008A713F">
        <w:rPr>
          <w:rFonts w:ascii="Tahoma" w:hAnsi="Tahoma" w:cs="Tahoma"/>
          <w:color w:val="000000" w:themeColor="text1"/>
          <w:sz w:val="18"/>
          <w:szCs w:val="18"/>
          <w:vertAlign w:val="superscript"/>
        </w:rPr>
        <w:t>1</w:t>
      </w:r>
      <w:r w:rsidRPr="008A713F">
        <w:rPr>
          <w:rFonts w:ascii="Tahoma" w:hAnsi="Tahoma" w:cs="Tahoma"/>
          <w:color w:val="000000" w:themeColor="text1"/>
          <w:sz w:val="18"/>
          <w:szCs w:val="18"/>
        </w:rPr>
        <w:t xml:space="preserve"> </w:t>
      </w:r>
      <w:r w:rsidRPr="008A713F">
        <w:rPr>
          <w:rFonts w:ascii="Tahoma" w:hAnsi="Tahoma" w:cs="Tahoma"/>
          <w:sz w:val="18"/>
          <w:szCs w:val="18"/>
        </w:rPr>
        <w:t xml:space="preserve">Операции по банковским счетам и использование платежных карт осуществляются с учетом ограничений, установленных платежными системами, иными уполномоченными лицами/органами иностранных государств, международными организациями, а также законодательством иностранных государств, Российской Федерации, в том числе актами Банка России, иных уполномоченных лиц/органов, действующих на территории Российской Федерации, в т.ч. Решением Совета директоров Банка России от 13.09.2024 "О тарифах на услуги Банка России в сервисе быстрых платежей платежной системы Банка России и максимальных значениях размера платы, взимаемой кредитными организациями со своих клиентов за осуществление перевода денежных средств физическими лицами в пользу физических лиц, перевода денежных средств физическими лицами на единый казначейский счет в сервисе быстрых платежей платежной системы Банка России". </w:t>
      </w:r>
    </w:p>
    <w:p w14:paraId="5C101650" w14:textId="77777777" w:rsidR="00440295" w:rsidRPr="008A713F" w:rsidRDefault="00440295" w:rsidP="00440295">
      <w:pPr>
        <w:rPr>
          <w:rFonts w:ascii="Tahoma" w:hAnsi="Tahoma" w:cs="Tahoma"/>
          <w:color w:val="000000" w:themeColor="text1"/>
          <w:sz w:val="18"/>
          <w:szCs w:val="18"/>
        </w:rPr>
      </w:pPr>
      <w:r w:rsidRPr="008A713F">
        <w:rPr>
          <w:rFonts w:ascii="Tahoma" w:hAnsi="Tahoma" w:cs="Tahoma"/>
          <w:color w:val="000000" w:themeColor="text1"/>
          <w:sz w:val="18"/>
          <w:szCs w:val="18"/>
          <w:vertAlign w:val="superscript"/>
        </w:rPr>
        <w:t>2</w:t>
      </w:r>
      <w:r w:rsidRPr="008A713F">
        <w:rPr>
          <w:rFonts w:ascii="Tahoma" w:hAnsi="Tahoma" w:cs="Tahoma"/>
          <w:color w:val="000000" w:themeColor="text1"/>
          <w:sz w:val="18"/>
          <w:szCs w:val="18"/>
        </w:rPr>
        <w:t xml:space="preserve"> Тип банковской (платежной) Карты MasterCard Standard используется в случае выдачи потребительского кредита (с лимитом кредитования) по ТП Универсальная карта одновременно с ипотечным Кредитом.</w:t>
      </w:r>
    </w:p>
    <w:p w14:paraId="7034E90E" w14:textId="77777777" w:rsidR="00440295" w:rsidRPr="008A713F" w:rsidRDefault="00440295" w:rsidP="00440295">
      <w:pPr>
        <w:rPr>
          <w:rFonts w:ascii="Tahoma" w:hAnsi="Tahoma" w:cs="Tahoma"/>
          <w:sz w:val="18"/>
          <w:szCs w:val="18"/>
        </w:rPr>
      </w:pPr>
      <w:r w:rsidRPr="008A713F">
        <w:rPr>
          <w:rFonts w:ascii="Tahoma" w:hAnsi="Tahoma" w:cs="Tahoma"/>
          <w:sz w:val="18"/>
          <w:szCs w:val="18"/>
          <w:vertAlign w:val="superscript"/>
        </w:rPr>
        <w:t xml:space="preserve">3 </w:t>
      </w:r>
      <w:r w:rsidRPr="008A713F">
        <w:rPr>
          <w:rFonts w:ascii="Tahoma" w:hAnsi="Tahoma" w:cs="Tahoma"/>
          <w:sz w:val="18"/>
          <w:szCs w:val="18"/>
        </w:rPr>
        <w:t xml:space="preserve">Выдача денежных средств в кассах Банка производится с предъявлением документа, удостоверяющего личность. </w:t>
      </w:r>
    </w:p>
    <w:p w14:paraId="38DDB0CD" w14:textId="77777777" w:rsidR="00440295" w:rsidRPr="008A713F" w:rsidRDefault="00440295" w:rsidP="00440295">
      <w:pPr>
        <w:autoSpaceDE w:val="0"/>
        <w:autoSpaceDN w:val="0"/>
        <w:rPr>
          <w:rFonts w:ascii="Tahoma" w:hAnsi="Tahoma" w:cs="Tahoma"/>
          <w:sz w:val="18"/>
          <w:szCs w:val="18"/>
        </w:rPr>
      </w:pPr>
      <w:r w:rsidRPr="008A713F">
        <w:rPr>
          <w:rFonts w:ascii="Tahoma" w:hAnsi="Tahoma" w:cs="Tahoma"/>
          <w:color w:val="000000"/>
          <w:sz w:val="18"/>
          <w:szCs w:val="18"/>
          <w:vertAlign w:val="superscript"/>
        </w:rPr>
        <w:t>4</w:t>
      </w:r>
      <w:r w:rsidRPr="008A713F">
        <w:rPr>
          <w:rFonts w:ascii="Tahoma" w:hAnsi="Tahoma" w:cs="Tahoma"/>
          <w:sz w:val="18"/>
          <w:szCs w:val="18"/>
        </w:rPr>
        <w:t xml:space="preserve"> </w:t>
      </w:r>
      <w:r w:rsidRPr="008A713F">
        <w:rPr>
          <w:rFonts w:ascii="Tahoma" w:hAnsi="Tahoma" w:cs="Tahoma"/>
          <w:color w:val="000000"/>
          <w:sz w:val="18"/>
          <w:szCs w:val="18"/>
        </w:rPr>
        <w:t>Максимальная сумма снятия наличных денежных средств, в рамках одной операции, проводимой в ТСП:  5 тыс. руб., сумма снятия может быть кратной 100 руб., ежедневный лимит снятия наличных в ТСП: 5 тыс. руб., ежемесячный лимит снятия наличных в ТСП: 30 тыс. руб., при этом платежными системами и ТСП могут быть установлены свои ограничения по предоставлению данной услуги. О наличии услуги необходимо уточнять у кассира ТСП.</w:t>
      </w:r>
      <w:r w:rsidRPr="008A713F">
        <w:rPr>
          <w:rFonts w:ascii="Tahoma" w:hAnsi="Tahoma" w:cs="Tahoma"/>
          <w:b/>
          <w:bCs/>
          <w:color w:val="000000"/>
          <w:sz w:val="18"/>
          <w:szCs w:val="18"/>
        </w:rPr>
        <w:t>  </w:t>
      </w:r>
    </w:p>
    <w:p w14:paraId="2BD485E9" w14:textId="77777777" w:rsidR="00440295" w:rsidRPr="008A713F" w:rsidRDefault="00440295" w:rsidP="00440295">
      <w:pPr>
        <w:rPr>
          <w:rFonts w:ascii="Tahoma" w:hAnsi="Tahoma" w:cs="Tahoma"/>
          <w:color w:val="000000"/>
          <w:sz w:val="18"/>
          <w:szCs w:val="18"/>
        </w:rPr>
      </w:pPr>
      <w:r w:rsidRPr="008A713F">
        <w:rPr>
          <w:rFonts w:ascii="Tahoma" w:hAnsi="Tahoma" w:cs="Tahoma"/>
          <w:sz w:val="18"/>
          <w:szCs w:val="18"/>
          <w:vertAlign w:val="superscript"/>
        </w:rPr>
        <w:t xml:space="preserve">5 </w:t>
      </w:r>
      <w:r w:rsidRPr="008A713F">
        <w:rPr>
          <w:rFonts w:ascii="Tahoma" w:hAnsi="Tahoma" w:cs="Tahoma"/>
          <w:color w:val="000000"/>
          <w:sz w:val="18"/>
          <w:szCs w:val="18"/>
        </w:rPr>
        <w:t>По картам МИР возможно снятие наличных денежных средств за пределами Российской Федерации только на территории, указанной на сайте Национальной платежной карты МИР (</w:t>
      </w:r>
      <w:hyperlink r:id="rId99" w:history="1">
        <w:r w:rsidRPr="008A713F">
          <w:rPr>
            <w:rStyle w:val="aff"/>
            <w:rFonts w:ascii="Tahoma" w:hAnsi="Tahoma" w:cs="Tahoma"/>
            <w:sz w:val="18"/>
            <w:szCs w:val="18"/>
          </w:rPr>
          <w:t>https://mironline.ru/</w:t>
        </w:r>
      </w:hyperlink>
      <w:r w:rsidRPr="008A713F">
        <w:rPr>
          <w:rFonts w:ascii="Tahoma" w:hAnsi="Tahoma" w:cs="Tahoma"/>
          <w:color w:val="000000"/>
          <w:sz w:val="18"/>
          <w:szCs w:val="18"/>
        </w:rPr>
        <w:t>)</w:t>
      </w:r>
    </w:p>
    <w:p w14:paraId="13220288" w14:textId="77777777" w:rsidR="00440295" w:rsidRPr="008A713F" w:rsidRDefault="00440295" w:rsidP="00440295">
      <w:pPr>
        <w:rPr>
          <w:rFonts w:ascii="Tahoma" w:hAnsi="Tahoma" w:cs="Tahoma"/>
          <w:color w:val="000000"/>
          <w:sz w:val="18"/>
          <w:szCs w:val="18"/>
        </w:rPr>
      </w:pPr>
      <w:r w:rsidRPr="008A713F">
        <w:rPr>
          <w:rFonts w:ascii="Tahoma" w:hAnsi="Tahoma" w:cs="Tahoma"/>
          <w:sz w:val="18"/>
          <w:szCs w:val="18"/>
          <w:vertAlign w:val="superscript"/>
        </w:rPr>
        <w:t xml:space="preserve">6 </w:t>
      </w:r>
      <w:r w:rsidRPr="008A713F">
        <w:rPr>
          <w:rFonts w:ascii="Tahoma" w:hAnsi="Tahoma" w:cs="Tahoma"/>
          <w:sz w:val="18"/>
          <w:szCs w:val="18"/>
        </w:rPr>
        <w:t>При переводе денежных средств в пользу контрагентов: ООО «АльфаСтрахование-Жизнь» (ИНН 7715228310), АО «Группа Ренессанс Страхование» (ИНН 7725497022), АО «МАКС» (ИНН 7709031643), ООО «ПОНИМАЮ» (ИНН 7703418637), САО «ВСК» (ИНН 7710026574), ООО «Макс-Жизнь» (ИНН 7724510200), ООО «Медилог» (ИНН 7706459582), ООО СК «Росгосстрах Жизнь» (ИНН 7743504307), ООО СК «Альянс Жизнь» (ИНН 7702073683), ООО «Европейская Юридическая Служба» (ИНН 7703722933), АО «АльфаСтрахование» (ИНН 7713056834), АО «НПФ ГАЗФОНД пенсионные накопления» (ИНН 7726486023), ООО "Теледоктор 24" (ИНН 7731571690), ООО "МК Доктор Рядом" (ИНН 7736253130), ООО "Юридические решения" (ИНН 9718083320), ООО "СК "Ренессанс Жизнь" (7725520440), ООО СК "СБЕРБАНК СТРАХОВАНИЕ" (ИНН 7706810747</w:t>
      </w:r>
      <w:r w:rsidRPr="008A713F">
        <w:rPr>
          <w:rFonts w:ascii="Tahoma" w:hAnsi="Tahoma" w:cs="Tahoma"/>
          <w:color w:val="000000"/>
          <w:sz w:val="18"/>
          <w:szCs w:val="18"/>
        </w:rPr>
        <w:t xml:space="preserve">), ООО «ВетЭксперт» (ИНН 9721023843), ООО «Д.С. Дистрибьютор» (ИНН 7797746316635), </w:t>
      </w:r>
      <w:r w:rsidRPr="008A713F">
        <w:rPr>
          <w:rFonts w:ascii="Tahoma" w:hAnsi="Tahoma" w:cs="Tahoma"/>
          <w:color w:val="FF0000"/>
          <w:sz w:val="18"/>
          <w:szCs w:val="18"/>
        </w:rPr>
        <w:t> </w:t>
      </w:r>
      <w:r w:rsidRPr="008A713F">
        <w:rPr>
          <w:rFonts w:ascii="Tahoma" w:hAnsi="Tahoma" w:cs="Tahoma"/>
          <w:color w:val="000000"/>
          <w:sz w:val="18"/>
          <w:szCs w:val="18"/>
        </w:rPr>
        <w:t xml:space="preserve">АО ГСК «Югория» (ИНН 8601023568) </w:t>
      </w:r>
      <w:r w:rsidRPr="008A713F">
        <w:rPr>
          <w:rFonts w:ascii="Tahoma" w:hAnsi="Tahoma" w:cs="Tahoma"/>
          <w:sz w:val="18"/>
          <w:szCs w:val="18"/>
        </w:rPr>
        <w:t xml:space="preserve">на счета, </w:t>
      </w:r>
      <w:r w:rsidRPr="008A713F">
        <w:rPr>
          <w:rFonts w:ascii="Tahoma" w:hAnsi="Tahoma" w:cs="Tahoma"/>
          <w:color w:val="000000"/>
          <w:sz w:val="18"/>
          <w:szCs w:val="18"/>
        </w:rPr>
        <w:t xml:space="preserve">открытые в </w:t>
      </w:r>
      <w:r w:rsidRPr="008A713F">
        <w:rPr>
          <w:rFonts w:ascii="Tahoma" w:hAnsi="Tahoma" w:cs="Tahoma"/>
          <w:sz w:val="18"/>
          <w:szCs w:val="18"/>
        </w:rPr>
        <w:t>Банке, комиссия не взимается.</w:t>
      </w:r>
    </w:p>
    <w:p w14:paraId="1AC7C871" w14:textId="77777777" w:rsidR="00440295" w:rsidRPr="008A713F" w:rsidRDefault="00440295" w:rsidP="00440295">
      <w:pPr>
        <w:rPr>
          <w:rFonts w:ascii="Tahoma" w:hAnsi="Tahoma" w:cs="Tahoma"/>
          <w:sz w:val="18"/>
          <w:szCs w:val="18"/>
        </w:rPr>
      </w:pPr>
      <w:r w:rsidRPr="008A713F">
        <w:rPr>
          <w:rFonts w:ascii="Tahoma" w:hAnsi="Tahoma" w:cs="Tahoma"/>
          <w:sz w:val="18"/>
          <w:szCs w:val="18"/>
          <w:vertAlign w:val="superscript"/>
        </w:rPr>
        <w:t>7</w:t>
      </w:r>
      <w:r w:rsidRPr="008A713F">
        <w:rPr>
          <w:rFonts w:ascii="Tahoma" w:hAnsi="Tahoma" w:cs="Tahoma"/>
          <w:color w:val="000000"/>
          <w:sz w:val="18"/>
          <w:szCs w:val="18"/>
        </w:rPr>
        <w:t>Максимальная сумма одного перевода 120 000 руб. В течение одних суток по одной банковской карте может быть проведено не более 150 000 руб., за один календарный месяц - не более 600 000 руб. Суммарный суточный лимит действует с 00.00-24.00 часов по московскому времени и устанавливает расходные операции одного Клиента в рублях РФ и в иностранной валюте. При совершении операции по Счету в иностранной валюте пересчет суммы операции в рубли РФ осуществляется по курсу Банка на дату операции.</w:t>
      </w:r>
    </w:p>
    <w:p w14:paraId="7D6150E4" w14:textId="77777777" w:rsidR="00440295" w:rsidRPr="008A713F" w:rsidRDefault="00440295" w:rsidP="00440295">
      <w:pPr>
        <w:autoSpaceDN w:val="0"/>
        <w:rPr>
          <w:rFonts w:ascii="Tahoma" w:hAnsi="Tahoma" w:cs="Tahoma"/>
          <w:color w:val="000000"/>
          <w:sz w:val="18"/>
          <w:szCs w:val="18"/>
        </w:rPr>
      </w:pPr>
      <w:r w:rsidRPr="008A713F">
        <w:rPr>
          <w:rFonts w:ascii="Tahoma" w:hAnsi="Tahoma" w:cs="Tahoma"/>
          <w:color w:val="000000"/>
          <w:sz w:val="18"/>
          <w:szCs w:val="18"/>
          <w:vertAlign w:val="superscript"/>
        </w:rPr>
        <w:t xml:space="preserve">8 </w:t>
      </w:r>
      <w:r w:rsidRPr="008A713F">
        <w:rPr>
          <w:rFonts w:ascii="Tahoma" w:hAnsi="Tahoma" w:cs="Tahoma"/>
          <w:color w:val="000000"/>
          <w:sz w:val="18"/>
          <w:szCs w:val="18"/>
        </w:rPr>
        <w:t xml:space="preserve">В рамках утвержденных лимитов в ДБО («АТБ банк»/«АТБ - Онлайн»), размещаемых на официальном сайте Банка по адресу </w:t>
      </w:r>
      <w:hyperlink r:id="rId100" w:history="1">
        <w:r w:rsidRPr="008A713F">
          <w:rPr>
            <w:rStyle w:val="aff"/>
            <w:rFonts w:ascii="Tahoma" w:hAnsi="Tahoma" w:cs="Tahoma"/>
            <w:sz w:val="18"/>
            <w:szCs w:val="18"/>
          </w:rPr>
          <w:t>https://www.atb.su/services/remote-banking/</w:t>
        </w:r>
      </w:hyperlink>
    </w:p>
    <w:p w14:paraId="196943BA" w14:textId="77777777" w:rsidR="00440295" w:rsidRPr="008A713F" w:rsidRDefault="00440295" w:rsidP="00440295">
      <w:pPr>
        <w:pStyle w:val="Default"/>
        <w:jc w:val="both"/>
        <w:rPr>
          <w:rFonts w:ascii="Tahoma" w:hAnsi="Tahoma" w:cs="Tahoma"/>
          <w:sz w:val="18"/>
          <w:szCs w:val="18"/>
        </w:rPr>
      </w:pPr>
      <w:r w:rsidRPr="008A713F">
        <w:rPr>
          <w:rFonts w:ascii="Tahoma" w:hAnsi="Tahoma" w:cs="Tahoma"/>
          <w:sz w:val="18"/>
          <w:szCs w:val="18"/>
          <w:vertAlign w:val="superscript"/>
        </w:rPr>
        <w:t xml:space="preserve">9 </w:t>
      </w:r>
      <w:r w:rsidRPr="008A713F">
        <w:rPr>
          <w:rFonts w:ascii="Tahoma" w:hAnsi="Tahoma" w:cs="Tahoma"/>
          <w:sz w:val="18"/>
          <w:szCs w:val="18"/>
        </w:rPr>
        <w:t>В случае предоставления услуги другим банком.</w:t>
      </w:r>
    </w:p>
    <w:p w14:paraId="7657E4A6" w14:textId="77777777" w:rsidR="00440295" w:rsidRPr="008A713F" w:rsidRDefault="00440295" w:rsidP="00440295">
      <w:pPr>
        <w:pStyle w:val="Default"/>
        <w:jc w:val="both"/>
        <w:rPr>
          <w:rFonts w:ascii="Tahoma" w:hAnsi="Tahoma" w:cs="Tahoma"/>
          <w:color w:val="000000" w:themeColor="text1"/>
          <w:sz w:val="18"/>
          <w:szCs w:val="18"/>
        </w:rPr>
      </w:pPr>
      <w:r w:rsidRPr="008A713F">
        <w:rPr>
          <w:rFonts w:ascii="Tahoma" w:hAnsi="Tahoma" w:cs="Tahoma"/>
          <w:sz w:val="18"/>
          <w:szCs w:val="18"/>
          <w:vertAlign w:val="superscript"/>
        </w:rPr>
        <w:t xml:space="preserve">10 </w:t>
      </w:r>
      <w:r w:rsidRPr="008A713F">
        <w:rPr>
          <w:rFonts w:ascii="Tahoma" w:hAnsi="Tahoma" w:cs="Tahoma"/>
          <w:sz w:val="18"/>
          <w:szCs w:val="18"/>
        </w:rPr>
        <w:t xml:space="preserve">Возможны ограничения Банком (суммы одного перевода и размера лимита за месяц) согласно </w:t>
      </w:r>
      <w:r w:rsidRPr="008A713F">
        <w:rPr>
          <w:rFonts w:ascii="Tahoma" w:hAnsi="Tahoma" w:cs="Tahoma"/>
          <w:bCs/>
          <w:sz w:val="18"/>
          <w:szCs w:val="18"/>
        </w:rPr>
        <w:t xml:space="preserve">Договора об условиях предоставления «Азиатско-Тихоокеанский Банк (АО) услуги «Перевод с карты на карту» с использованием Интернет-ресурса </w:t>
      </w:r>
      <w:r w:rsidRPr="008A713F">
        <w:rPr>
          <w:rFonts w:ascii="Tahoma" w:hAnsi="Tahoma" w:cs="Tahoma"/>
          <w:sz w:val="18"/>
          <w:szCs w:val="18"/>
        </w:rPr>
        <w:t xml:space="preserve">(Публичной оферте), размещенной на официальном сайте Банка по адресу  </w:t>
      </w:r>
      <w:hyperlink r:id="rId101" w:history="1">
        <w:r w:rsidRPr="008A713F">
          <w:rPr>
            <w:rStyle w:val="aff"/>
            <w:rFonts w:ascii="Tahoma" w:hAnsi="Tahoma" w:cs="Tahoma"/>
            <w:sz w:val="18"/>
            <w:szCs w:val="18"/>
          </w:rPr>
          <w:t>https://my.atb.su/c2c-transfer/</w:t>
        </w:r>
      </w:hyperlink>
      <w:r w:rsidRPr="008A713F">
        <w:rPr>
          <w:rStyle w:val="aff"/>
          <w:rFonts w:ascii="Tahoma" w:hAnsi="Tahoma" w:cs="Tahoma"/>
          <w:sz w:val="18"/>
          <w:szCs w:val="18"/>
        </w:rPr>
        <w:t>.</w:t>
      </w:r>
      <w:r w:rsidRPr="008A713F">
        <w:rPr>
          <w:rFonts w:ascii="Tahoma" w:hAnsi="Tahoma" w:cs="Tahoma"/>
          <w:color w:val="000000" w:themeColor="text1"/>
          <w:sz w:val="18"/>
          <w:szCs w:val="18"/>
          <w:vertAlign w:val="superscript"/>
        </w:rPr>
        <w:t xml:space="preserve"> </w:t>
      </w:r>
      <w:r w:rsidRPr="008A713F">
        <w:rPr>
          <w:rFonts w:ascii="Tahoma" w:hAnsi="Tahoma" w:cs="Tahoma"/>
          <w:color w:val="000000" w:themeColor="text1"/>
          <w:sz w:val="18"/>
          <w:szCs w:val="18"/>
        </w:rPr>
        <w:t xml:space="preserve">Переводы на карты, </w:t>
      </w:r>
      <w:r w:rsidRPr="008A713F">
        <w:rPr>
          <w:rFonts w:ascii="Tahoma" w:hAnsi="Tahoma" w:cs="Tahoma"/>
          <w:sz w:val="18"/>
          <w:szCs w:val="18"/>
        </w:rPr>
        <w:t>эмитированные</w:t>
      </w:r>
      <w:r w:rsidRPr="008A713F">
        <w:rPr>
          <w:rFonts w:ascii="Tahoma" w:hAnsi="Tahoma" w:cs="Tahoma"/>
          <w:color w:val="000000" w:themeColor="text1"/>
          <w:sz w:val="18"/>
          <w:szCs w:val="18"/>
        </w:rPr>
        <w:t xml:space="preserve"> иностранными банками, в банкоматах «Азиатско-Тихоокеанский Банк» (АО) не осуществляются.</w:t>
      </w:r>
    </w:p>
    <w:p w14:paraId="24EBA958" w14:textId="77777777" w:rsidR="00440295" w:rsidRPr="008A713F" w:rsidRDefault="00440295" w:rsidP="00440295">
      <w:pPr>
        <w:rPr>
          <w:rFonts w:ascii="Tahoma" w:hAnsi="Tahoma" w:cs="Tahoma"/>
          <w:sz w:val="18"/>
          <w:szCs w:val="18"/>
        </w:rPr>
      </w:pPr>
      <w:r w:rsidRPr="008A713F">
        <w:rPr>
          <w:rFonts w:ascii="Tahoma" w:hAnsi="Tahoma" w:cs="Tahoma"/>
          <w:sz w:val="18"/>
          <w:szCs w:val="18"/>
          <w:vertAlign w:val="superscript"/>
        </w:rPr>
        <w:t xml:space="preserve">11 </w:t>
      </w:r>
      <w:r w:rsidRPr="008A713F">
        <w:rPr>
          <w:rFonts w:ascii="Tahoma" w:hAnsi="Tahoma" w:cs="Tahoma"/>
          <w:sz w:val="18"/>
          <w:szCs w:val="18"/>
        </w:rPr>
        <w:t>Комиссионное вознаграждение взимается не позднее последнего дня периода оказания услуги.  Услуга Банком Заемщику не оказывается в случае отсутствия средств и операций по Счету в периоде оказания услуги.</w:t>
      </w:r>
    </w:p>
    <w:p w14:paraId="7FCC6450" w14:textId="77777777" w:rsidR="00440295" w:rsidRPr="008A713F" w:rsidRDefault="00440295" w:rsidP="00440295">
      <w:pPr>
        <w:rPr>
          <w:rFonts w:ascii="Tahoma" w:hAnsi="Tahoma" w:cs="Tahoma"/>
          <w:sz w:val="18"/>
          <w:szCs w:val="18"/>
        </w:rPr>
      </w:pPr>
      <w:r w:rsidRPr="008A713F">
        <w:rPr>
          <w:rFonts w:ascii="Tahoma" w:hAnsi="Tahoma" w:cs="Tahoma"/>
          <w:sz w:val="18"/>
          <w:szCs w:val="18"/>
          <w:vertAlign w:val="superscript"/>
        </w:rPr>
        <w:t xml:space="preserve">12 </w:t>
      </w:r>
      <w:r w:rsidRPr="008A713F">
        <w:rPr>
          <w:rFonts w:ascii="Tahoma" w:hAnsi="Tahoma" w:cs="Tahoma"/>
          <w:sz w:val="18"/>
          <w:szCs w:val="18"/>
        </w:rPr>
        <w:t>В случае отсутствия на Счете Заемщика доступных денежных средств в размере, необходимом для списания комиссии за услугу, услуга Заемщику не оказывается.</w:t>
      </w:r>
    </w:p>
    <w:p w14:paraId="5F315EFA" w14:textId="77777777" w:rsidR="00440295" w:rsidRPr="008A713F" w:rsidRDefault="00440295" w:rsidP="00440295">
      <w:pPr>
        <w:rPr>
          <w:rFonts w:ascii="Tahoma" w:hAnsi="Tahoma" w:cs="Tahoma"/>
          <w:sz w:val="18"/>
          <w:szCs w:val="18"/>
        </w:rPr>
      </w:pPr>
      <w:r w:rsidRPr="008A713F">
        <w:rPr>
          <w:rFonts w:ascii="Tahoma" w:hAnsi="Tahoma" w:cs="Tahoma"/>
          <w:color w:val="000000" w:themeColor="text1"/>
          <w:sz w:val="18"/>
          <w:szCs w:val="18"/>
          <w:vertAlign w:val="superscript"/>
        </w:rPr>
        <w:t xml:space="preserve">13 </w:t>
      </w:r>
      <w:r w:rsidRPr="008A713F">
        <w:rPr>
          <w:rFonts w:ascii="Tahoma" w:hAnsi="Tahoma" w:cs="Tahoma"/>
          <w:color w:val="000000"/>
          <w:sz w:val="18"/>
          <w:szCs w:val="18"/>
        </w:rPr>
        <w:t>В</w:t>
      </w:r>
      <w:r w:rsidRPr="008A713F">
        <w:rPr>
          <w:rFonts w:ascii="Tahoma" w:hAnsi="Tahoma" w:cs="Tahoma"/>
          <w:sz w:val="18"/>
          <w:szCs w:val="18"/>
        </w:rPr>
        <w:t>ыдача средств осуществляется не позднее 7-ми дней после получения письменного заявления Клиента, за исключением случаев, предусмотренных п.3 ст. 858 Гражданского кодекса Российской Федерации.</w:t>
      </w:r>
    </w:p>
    <w:p w14:paraId="041577DD" w14:textId="77777777" w:rsidR="00440295" w:rsidRPr="008A713F" w:rsidRDefault="00440295" w:rsidP="00440295">
      <w:pPr>
        <w:rPr>
          <w:rFonts w:ascii="Tahoma" w:hAnsi="Tahoma" w:cs="Tahoma"/>
          <w:sz w:val="18"/>
          <w:szCs w:val="18"/>
        </w:rPr>
      </w:pPr>
      <w:r w:rsidRPr="008A713F">
        <w:rPr>
          <w:rFonts w:ascii="Tahoma" w:hAnsi="Tahoma" w:cs="Tahoma"/>
          <w:sz w:val="18"/>
          <w:szCs w:val="18"/>
          <w:vertAlign w:val="superscript"/>
        </w:rPr>
        <w:t xml:space="preserve">14 </w:t>
      </w:r>
      <w:r w:rsidRPr="008A713F">
        <w:rPr>
          <w:rFonts w:ascii="Tahoma" w:hAnsi="Tahoma" w:cs="Tahoma"/>
          <w:sz w:val="18"/>
          <w:szCs w:val="18"/>
        </w:rPr>
        <w:t>Взимается в кассе Банка при оформлении услуги.</w:t>
      </w:r>
    </w:p>
    <w:p w14:paraId="46A400FF" w14:textId="77777777" w:rsidR="00440295" w:rsidRPr="008A713F" w:rsidRDefault="00440295" w:rsidP="00440295">
      <w:pPr>
        <w:rPr>
          <w:rFonts w:ascii="Tahoma" w:hAnsi="Tahoma" w:cs="Tahoma"/>
          <w:sz w:val="18"/>
          <w:szCs w:val="18"/>
        </w:rPr>
      </w:pPr>
      <w:r w:rsidRPr="008A713F">
        <w:rPr>
          <w:rFonts w:ascii="Tahoma" w:hAnsi="Tahoma" w:cs="Tahoma"/>
          <w:sz w:val="18"/>
          <w:szCs w:val="18"/>
          <w:vertAlign w:val="superscript"/>
        </w:rPr>
        <w:t xml:space="preserve">15 </w:t>
      </w:r>
      <w:r w:rsidRPr="008A713F">
        <w:rPr>
          <w:rFonts w:ascii="Tahoma" w:hAnsi="Tahoma" w:cs="Tahoma"/>
          <w:sz w:val="18"/>
          <w:szCs w:val="18"/>
        </w:rPr>
        <w:t>Для банковских (платежных) Карт в рублях расчет производится по курсу Банка России на день списания комиссии.</w:t>
      </w:r>
    </w:p>
    <w:p w14:paraId="1CC71AD1" w14:textId="77777777" w:rsidR="00440295" w:rsidRPr="008A713F" w:rsidRDefault="00440295" w:rsidP="00440295">
      <w:pPr>
        <w:rPr>
          <w:rFonts w:ascii="Tahoma" w:hAnsi="Tahoma" w:cs="Tahoma"/>
          <w:sz w:val="18"/>
          <w:szCs w:val="18"/>
        </w:rPr>
      </w:pPr>
      <w:r w:rsidRPr="008A713F">
        <w:rPr>
          <w:rFonts w:ascii="Tahoma" w:hAnsi="Tahoma" w:cs="Tahoma"/>
          <w:sz w:val="18"/>
          <w:szCs w:val="18"/>
          <w:vertAlign w:val="superscript"/>
        </w:rPr>
        <w:t>16</w:t>
      </w:r>
      <w:r w:rsidRPr="008A713F">
        <w:rPr>
          <w:rFonts w:ascii="Tahoma" w:hAnsi="Tahoma" w:cs="Tahoma"/>
          <w:sz w:val="18"/>
          <w:szCs w:val="18"/>
        </w:rPr>
        <w:t xml:space="preserve"> Банковская (платежная) Карта национальной платежной системы "Мир". Информация о программе лояльности "Мир" на сайте  АО «НСПК»: </w:t>
      </w:r>
      <w:hyperlink r:id="rId102" w:history="1">
        <w:r w:rsidRPr="008A713F">
          <w:rPr>
            <w:rFonts w:ascii="Tahoma" w:hAnsi="Tahoma" w:cs="Tahoma"/>
            <w:sz w:val="18"/>
            <w:szCs w:val="18"/>
          </w:rPr>
          <w:t>privetmir.ru</w:t>
        </w:r>
      </w:hyperlink>
      <w:r w:rsidRPr="008A713F">
        <w:rPr>
          <w:rFonts w:ascii="Tahoma" w:hAnsi="Tahoma" w:cs="Tahoma"/>
          <w:sz w:val="18"/>
          <w:szCs w:val="18"/>
        </w:rPr>
        <w:t>.</w:t>
      </w:r>
    </w:p>
    <w:p w14:paraId="1D5C9826" w14:textId="77777777" w:rsidR="00440295" w:rsidRPr="008A713F" w:rsidRDefault="00440295" w:rsidP="00440295">
      <w:pPr>
        <w:rPr>
          <w:rFonts w:ascii="Tahoma" w:hAnsi="Tahoma" w:cs="Tahoma"/>
          <w:sz w:val="18"/>
          <w:szCs w:val="18"/>
        </w:rPr>
      </w:pPr>
      <w:r w:rsidRPr="008A713F">
        <w:rPr>
          <w:rFonts w:ascii="Tahoma" w:hAnsi="Tahoma" w:cs="Tahoma"/>
          <w:sz w:val="18"/>
          <w:szCs w:val="18"/>
          <w:vertAlign w:val="superscript"/>
        </w:rPr>
        <w:t>17</w:t>
      </w:r>
      <w:r w:rsidRPr="008A713F">
        <w:rPr>
          <w:rFonts w:ascii="Tahoma" w:hAnsi="Tahoma" w:cs="Tahoma"/>
          <w:sz w:val="18"/>
          <w:szCs w:val="18"/>
        </w:rPr>
        <w:t xml:space="preserve"> </w:t>
      </w:r>
      <w:r w:rsidRPr="008A713F">
        <w:rPr>
          <w:rFonts w:ascii="Tahoma" w:hAnsi="Tahoma" w:cs="Tahoma"/>
          <w:color w:val="000000"/>
          <w:sz w:val="18"/>
          <w:szCs w:val="18"/>
        </w:rPr>
        <w:t>Согласно срока действия, указанного на Карте.</w:t>
      </w:r>
    </w:p>
    <w:p w14:paraId="0445A394" w14:textId="77777777" w:rsidR="00440295" w:rsidRPr="008A713F" w:rsidRDefault="00440295" w:rsidP="00440295">
      <w:pPr>
        <w:rPr>
          <w:rFonts w:ascii="Tahoma" w:hAnsi="Tahoma" w:cs="Tahoma"/>
          <w:sz w:val="18"/>
          <w:szCs w:val="18"/>
        </w:rPr>
      </w:pPr>
      <w:r w:rsidRPr="008A713F">
        <w:rPr>
          <w:rFonts w:ascii="Tahoma" w:hAnsi="Tahoma" w:cs="Tahoma"/>
          <w:sz w:val="18"/>
          <w:szCs w:val="18"/>
          <w:vertAlign w:val="superscript"/>
        </w:rPr>
        <w:t>18</w:t>
      </w:r>
      <w:r w:rsidRPr="008A713F">
        <w:rPr>
          <w:rFonts w:ascii="Tahoma" w:hAnsi="Tahoma" w:cs="Tahoma"/>
          <w:sz w:val="18"/>
          <w:szCs w:val="18"/>
        </w:rPr>
        <w:t xml:space="preserve"> Выдача денежных средств в ПВН за рубежом для Карт UnionPay не предусмотрена.</w:t>
      </w:r>
    </w:p>
    <w:p w14:paraId="7EA119F6" w14:textId="77777777" w:rsidR="00440295" w:rsidRPr="008A713F" w:rsidRDefault="00440295" w:rsidP="00440295">
      <w:pPr>
        <w:rPr>
          <w:rFonts w:ascii="Tahoma" w:hAnsi="Tahoma" w:cs="Tahoma"/>
          <w:sz w:val="18"/>
          <w:szCs w:val="18"/>
        </w:rPr>
      </w:pPr>
      <w:r w:rsidRPr="008A713F">
        <w:rPr>
          <w:rFonts w:ascii="Tahoma" w:hAnsi="Tahoma" w:cs="Tahoma"/>
          <w:sz w:val="18"/>
          <w:szCs w:val="18"/>
          <w:vertAlign w:val="superscript"/>
        </w:rPr>
        <w:t>19</w:t>
      </w:r>
      <w:r w:rsidRPr="008A713F">
        <w:rPr>
          <w:rFonts w:ascii="Tahoma" w:hAnsi="Tahoma" w:cs="Tahoma"/>
          <w:sz w:val="18"/>
          <w:szCs w:val="18"/>
        </w:rPr>
        <w:t xml:space="preserve"> Другой банк может взимать комиссию согласно своим тарифам.</w:t>
      </w:r>
    </w:p>
    <w:p w14:paraId="056DF13A" w14:textId="77777777" w:rsidR="00440295" w:rsidRPr="008A713F" w:rsidRDefault="00440295" w:rsidP="00440295">
      <w:pPr>
        <w:rPr>
          <w:rFonts w:ascii="Tahoma" w:hAnsi="Tahoma" w:cs="Tahoma"/>
          <w:sz w:val="18"/>
          <w:szCs w:val="18"/>
        </w:rPr>
      </w:pPr>
      <w:bookmarkStart w:id="142" w:name="Par4"/>
      <w:bookmarkEnd w:id="142"/>
      <w:r w:rsidRPr="008A713F">
        <w:rPr>
          <w:rFonts w:ascii="Tahoma" w:hAnsi="Tahoma" w:cs="Tahoma"/>
          <w:sz w:val="18"/>
          <w:szCs w:val="18"/>
          <w:vertAlign w:val="superscript"/>
        </w:rPr>
        <w:t xml:space="preserve">20 </w:t>
      </w:r>
      <w:r w:rsidRPr="008A713F">
        <w:rPr>
          <w:rFonts w:ascii="Tahoma" w:hAnsi="Tahoma" w:cs="Tahoma"/>
          <w:sz w:val="18"/>
          <w:szCs w:val="18"/>
        </w:rPr>
        <w:t xml:space="preserve">Банк не устанавливает ограничения размера/количества таких операций в пределах указанного  в обозначенном абзаце пункта </w:t>
      </w:r>
      <w:r w:rsidRPr="008A713F">
        <w:rPr>
          <w:rFonts w:ascii="Tahoma" w:hAnsi="Tahoma" w:cs="Tahoma"/>
          <w:sz w:val="18"/>
          <w:szCs w:val="18"/>
          <w:highlight w:val="yellow"/>
        </w:rPr>
        <w:t>6.5.2</w:t>
      </w:r>
      <w:r w:rsidRPr="008A713F">
        <w:rPr>
          <w:rFonts w:ascii="Tahoma" w:hAnsi="Tahoma" w:cs="Tahoma"/>
          <w:sz w:val="18"/>
          <w:szCs w:val="18"/>
        </w:rPr>
        <w:t xml:space="preserve">  совокупного ежемесячного размера операций (вне зависимости от используемого при переводе денежных средств сервиса, в т.ч. при переводе в СБП, Каналах ДБО).</w:t>
      </w:r>
    </w:p>
    <w:p w14:paraId="65CBDF1D" w14:textId="77777777" w:rsidR="00440295" w:rsidRPr="008A713F" w:rsidRDefault="00440295" w:rsidP="00440295">
      <w:pPr>
        <w:rPr>
          <w:rFonts w:ascii="Tahoma" w:hAnsi="Tahoma" w:cs="Tahoma"/>
          <w:sz w:val="18"/>
          <w:szCs w:val="18"/>
        </w:rPr>
      </w:pPr>
      <w:r w:rsidRPr="008A713F">
        <w:rPr>
          <w:rFonts w:ascii="Tahoma" w:hAnsi="Tahoma" w:cs="Tahoma"/>
          <w:sz w:val="18"/>
          <w:szCs w:val="18"/>
        </w:rPr>
        <w:t>Правила, определенные выше в настоящем пункте, не распространяются на: 1) операции по переводу денежных средств, осуществляемые при личном присутствии физического лица или его представителя в Банке; 2) операции по переводу денежных средств с использованием платежных карт, осуществляемые по правилам платежных систем, в рамках которых эмитируются платежные карты.</w:t>
      </w:r>
    </w:p>
    <w:p w14:paraId="593B3958" w14:textId="77777777" w:rsidR="00440295" w:rsidRPr="008A713F" w:rsidRDefault="00440295" w:rsidP="00440295">
      <w:pPr>
        <w:autoSpaceDE w:val="0"/>
        <w:autoSpaceDN w:val="0"/>
        <w:adjustRightInd w:val="0"/>
        <w:rPr>
          <w:rFonts w:ascii="Tahoma" w:hAnsi="Tahoma" w:cs="Tahoma"/>
          <w:sz w:val="18"/>
          <w:szCs w:val="18"/>
        </w:rPr>
      </w:pPr>
      <w:r w:rsidRPr="008A713F">
        <w:rPr>
          <w:rFonts w:ascii="Tahoma" w:hAnsi="Tahoma" w:cs="Tahoma"/>
          <w:sz w:val="18"/>
          <w:szCs w:val="18"/>
          <w:vertAlign w:val="superscript"/>
        </w:rPr>
        <w:t xml:space="preserve">21 </w:t>
      </w:r>
      <w:r w:rsidRPr="008A713F">
        <w:rPr>
          <w:rFonts w:ascii="Tahoma" w:hAnsi="Tahoma" w:cs="Tahoma"/>
          <w:sz w:val="18"/>
          <w:szCs w:val="18"/>
        </w:rPr>
        <w:t xml:space="preserve">Комиссия Банка 0 рублей при переводе денежных средств на общую сумму до 100 000 рублей в календарный месяц в совокупности по переводам, осуществленным: </w:t>
      </w:r>
    </w:p>
    <w:p w14:paraId="5013CEB1" w14:textId="77777777" w:rsidR="00440295" w:rsidRPr="008A713F" w:rsidRDefault="00440295" w:rsidP="00440295">
      <w:pPr>
        <w:autoSpaceDE w:val="0"/>
        <w:autoSpaceDN w:val="0"/>
        <w:adjustRightInd w:val="0"/>
        <w:rPr>
          <w:rFonts w:ascii="Tahoma" w:hAnsi="Tahoma" w:cs="Tahoma"/>
          <w:sz w:val="18"/>
          <w:szCs w:val="18"/>
        </w:rPr>
      </w:pPr>
      <w:r w:rsidRPr="008A713F">
        <w:rPr>
          <w:rFonts w:ascii="Tahoma" w:hAnsi="Tahoma" w:cs="Tahoma"/>
          <w:sz w:val="18"/>
          <w:szCs w:val="18"/>
        </w:rPr>
        <w:t xml:space="preserve">          а) с банковского счета/вклада физического лица, открытого в Банке, на банковский счет/вклад иного физического лица, открытый в другой кредитной организации,</w:t>
      </w:r>
    </w:p>
    <w:p w14:paraId="22ED4175" w14:textId="77777777" w:rsidR="00440295" w:rsidRPr="008A713F" w:rsidRDefault="00440295" w:rsidP="00440295">
      <w:pPr>
        <w:autoSpaceDE w:val="0"/>
        <w:autoSpaceDN w:val="0"/>
        <w:adjustRightInd w:val="0"/>
        <w:ind w:firstLine="540"/>
        <w:rPr>
          <w:rFonts w:ascii="Tahoma" w:hAnsi="Tahoma" w:cs="Tahoma"/>
          <w:sz w:val="18"/>
          <w:szCs w:val="18"/>
        </w:rPr>
      </w:pPr>
      <w:r w:rsidRPr="008A713F">
        <w:rPr>
          <w:rFonts w:ascii="Tahoma" w:hAnsi="Tahoma" w:cs="Tahoma"/>
          <w:sz w:val="18"/>
          <w:szCs w:val="18"/>
        </w:rPr>
        <w:t>б) посредством уменьшения остатка электронных денежных средств физического лица в Банке и зачисления денежных средств на банковский счет/вклад физического лица, открытый в другой кредитной организации,</w:t>
      </w:r>
    </w:p>
    <w:p w14:paraId="02F4E13A" w14:textId="77777777" w:rsidR="00440295" w:rsidRPr="008A713F" w:rsidRDefault="00440295" w:rsidP="00440295">
      <w:pPr>
        <w:autoSpaceDE w:val="0"/>
        <w:autoSpaceDN w:val="0"/>
        <w:adjustRightInd w:val="0"/>
        <w:ind w:firstLine="540"/>
        <w:rPr>
          <w:rFonts w:ascii="Tahoma" w:hAnsi="Tahoma" w:cs="Tahoma"/>
          <w:sz w:val="18"/>
          <w:szCs w:val="18"/>
        </w:rPr>
      </w:pPr>
      <w:r w:rsidRPr="008A713F">
        <w:rPr>
          <w:rFonts w:ascii="Tahoma" w:hAnsi="Tahoma" w:cs="Tahoma"/>
          <w:sz w:val="18"/>
          <w:szCs w:val="18"/>
        </w:rPr>
        <w:t>в) посредством списания денежных средств с банковского счета/вклада физического лица в Банке и увеличения остатка электронных денежных средств физического лица в другой кредитной организации,</w:t>
      </w:r>
    </w:p>
    <w:p w14:paraId="077118A2" w14:textId="77777777" w:rsidR="00440295" w:rsidRPr="008A713F" w:rsidRDefault="00440295" w:rsidP="00440295">
      <w:pPr>
        <w:autoSpaceDE w:val="0"/>
        <w:autoSpaceDN w:val="0"/>
        <w:adjustRightInd w:val="0"/>
        <w:ind w:firstLine="540"/>
        <w:rPr>
          <w:rFonts w:ascii="Tahoma" w:hAnsi="Tahoma" w:cs="Tahoma"/>
          <w:sz w:val="18"/>
          <w:szCs w:val="18"/>
        </w:rPr>
      </w:pPr>
      <w:r w:rsidRPr="008A713F">
        <w:rPr>
          <w:rFonts w:ascii="Tahoma" w:hAnsi="Tahoma" w:cs="Tahoma"/>
          <w:sz w:val="18"/>
          <w:szCs w:val="18"/>
        </w:rPr>
        <w:t>г) посредством уменьшения остатка электронных денежных средств физического лица в Банке и увеличения остатка электронных денежных средств физического лица в другой кредитной организации.</w:t>
      </w:r>
    </w:p>
    <w:p w14:paraId="18CAB8ED" w14:textId="77777777" w:rsidR="00440295" w:rsidRPr="008A713F" w:rsidRDefault="00440295" w:rsidP="00440295">
      <w:pPr>
        <w:rPr>
          <w:rFonts w:ascii="Tahoma" w:hAnsi="Tahoma" w:cs="Tahoma"/>
          <w:sz w:val="18"/>
          <w:szCs w:val="18"/>
        </w:rPr>
      </w:pPr>
      <w:r w:rsidRPr="008A713F">
        <w:rPr>
          <w:rFonts w:ascii="Tahoma" w:hAnsi="Tahoma" w:cs="Tahoma"/>
          <w:sz w:val="18"/>
          <w:szCs w:val="18"/>
          <w:vertAlign w:val="superscript"/>
        </w:rPr>
        <w:t xml:space="preserve">22 </w:t>
      </w:r>
      <w:r w:rsidRPr="008A713F">
        <w:rPr>
          <w:rFonts w:ascii="Tahoma" w:hAnsi="Tahoma" w:cs="Tahoma"/>
          <w:sz w:val="18"/>
          <w:szCs w:val="18"/>
        </w:rPr>
        <w:t>Банк не устанавливает ограничения размера/количества таких операций в пределах указанной в сноске 21 Примечания   общей суммы перевода.</w:t>
      </w:r>
    </w:p>
    <w:p w14:paraId="34251DCD" w14:textId="77777777" w:rsidR="00440295" w:rsidRPr="008A713F" w:rsidRDefault="00440295" w:rsidP="00440295">
      <w:pPr>
        <w:rPr>
          <w:rFonts w:ascii="Tahoma" w:hAnsi="Tahoma" w:cs="Tahoma"/>
          <w:color w:val="000000"/>
          <w:sz w:val="18"/>
          <w:szCs w:val="18"/>
        </w:rPr>
      </w:pPr>
      <w:r w:rsidRPr="008A713F">
        <w:rPr>
          <w:rFonts w:ascii="Tahoma" w:hAnsi="Tahoma" w:cs="Tahoma"/>
          <w:color w:val="000000"/>
          <w:sz w:val="18"/>
          <w:szCs w:val="18"/>
          <w:vertAlign w:val="superscript"/>
        </w:rPr>
        <w:t>23</w:t>
      </w:r>
      <w:r w:rsidRPr="008A713F">
        <w:rPr>
          <w:rFonts w:ascii="Tahoma" w:hAnsi="Tahoma" w:cs="Tahoma"/>
          <w:color w:val="000000"/>
          <w:sz w:val="18"/>
          <w:szCs w:val="18"/>
        </w:rPr>
        <w:t xml:space="preserve"> Комиссия Банка 0 рублей за: перевод денежных средств физическими лицами на единый казначейский счет с использованием СБП.</w:t>
      </w:r>
    </w:p>
    <w:p w14:paraId="0EF51788" w14:textId="77777777" w:rsidR="00440295" w:rsidRPr="008A713F" w:rsidRDefault="00440295" w:rsidP="00440295">
      <w:pPr>
        <w:rPr>
          <w:rFonts w:ascii="Tahoma" w:hAnsi="Tahoma" w:cs="Tahoma"/>
          <w:color w:val="000000"/>
          <w:sz w:val="18"/>
          <w:szCs w:val="18"/>
        </w:rPr>
      </w:pPr>
      <w:r w:rsidRPr="008A713F">
        <w:rPr>
          <w:rFonts w:ascii="Tahoma" w:hAnsi="Tahoma" w:cs="Tahoma"/>
          <w:color w:val="000000"/>
          <w:sz w:val="18"/>
          <w:szCs w:val="18"/>
          <w:vertAlign w:val="superscript"/>
        </w:rPr>
        <w:t xml:space="preserve">24 </w:t>
      </w:r>
      <w:r w:rsidRPr="008A713F">
        <w:rPr>
          <w:rFonts w:ascii="Tahoma" w:hAnsi="Tahoma" w:cs="Tahoma"/>
          <w:color w:val="000000"/>
          <w:sz w:val="18"/>
          <w:szCs w:val="18"/>
        </w:rPr>
        <w:t>Комиссия Банка 0 рублей за: перевод денежных средств физическими лицами на единый казначейский счет с использованием СБП, перечисление платы за жилое помещение и коммунальные услуги, пеней за несвоевременное и(или) неполное внесение платы за жилое помещение и коммунальные услуги для категории клиентов, перечень которых установлен Распоряжением Правительства РФ № от 27 апреля 2024 г.1059-р в соответствии со статьей 155 Жилищного кодекса РФ, статьей 29 Федерального закона «О банках и банковской деятельности».</w:t>
      </w:r>
    </w:p>
    <w:p w14:paraId="6B947443" w14:textId="77777777" w:rsidR="00440295" w:rsidRPr="008A713F" w:rsidRDefault="00440295" w:rsidP="00440295">
      <w:pPr>
        <w:rPr>
          <w:rFonts w:ascii="Tahoma" w:hAnsi="Tahoma" w:cs="Tahoma"/>
          <w:color w:val="000000"/>
          <w:sz w:val="18"/>
          <w:szCs w:val="18"/>
        </w:rPr>
      </w:pPr>
      <w:r w:rsidRPr="008A713F">
        <w:rPr>
          <w:rFonts w:ascii="Tahoma" w:hAnsi="Tahoma" w:cs="Tahoma"/>
          <w:color w:val="000000"/>
          <w:sz w:val="18"/>
          <w:szCs w:val="18"/>
          <w:highlight w:val="yellow"/>
          <w:vertAlign w:val="superscript"/>
        </w:rPr>
        <w:t>25</w:t>
      </w:r>
      <w:r w:rsidRPr="008A713F">
        <w:rPr>
          <w:rFonts w:ascii="Tahoma" w:hAnsi="Tahoma" w:cs="Tahoma"/>
          <w:color w:val="000000"/>
          <w:sz w:val="18"/>
          <w:szCs w:val="18"/>
          <w:highlight w:val="yellow"/>
        </w:rPr>
        <w:t xml:space="preserve"> К одному СКС может выпущена только одна Карта платежной системы </w:t>
      </w:r>
      <w:r w:rsidRPr="008A713F">
        <w:rPr>
          <w:rFonts w:ascii="Tahoma" w:hAnsi="Tahoma" w:cs="Tahoma"/>
          <w:bCs/>
          <w:sz w:val="18"/>
          <w:szCs w:val="18"/>
          <w:highlight w:val="yellow"/>
          <w:lang w:val="en-US"/>
        </w:rPr>
        <w:t>UnionPay</w:t>
      </w:r>
      <w:r w:rsidRPr="008A713F">
        <w:rPr>
          <w:rFonts w:ascii="Tahoma" w:hAnsi="Tahoma" w:cs="Tahoma"/>
          <w:color w:val="000000"/>
          <w:sz w:val="18"/>
          <w:szCs w:val="18"/>
          <w:highlight w:val="yellow"/>
        </w:rPr>
        <w:t xml:space="preserve"> в виде основной, либо дополнительной Карты.</w:t>
      </w:r>
      <w:r w:rsidRPr="008A713F">
        <w:rPr>
          <w:rFonts w:ascii="Tahoma" w:hAnsi="Tahoma" w:cs="Tahoma"/>
          <w:color w:val="000000"/>
          <w:sz w:val="18"/>
          <w:szCs w:val="18"/>
        </w:rPr>
        <w:t xml:space="preserve"> </w:t>
      </w:r>
      <w:r w:rsidRPr="008A713F">
        <w:rPr>
          <w:rFonts w:ascii="Tahoma" w:hAnsi="Tahoma" w:cs="Tahoma"/>
          <w:bCs/>
          <w:sz w:val="18"/>
          <w:szCs w:val="18"/>
        </w:rPr>
        <w:t xml:space="preserve">Выпуск дополнительной карты платежной системы </w:t>
      </w:r>
      <w:r w:rsidRPr="008A713F">
        <w:rPr>
          <w:rFonts w:ascii="Tahoma" w:hAnsi="Tahoma" w:cs="Tahoma"/>
          <w:bCs/>
          <w:sz w:val="18"/>
          <w:szCs w:val="18"/>
          <w:highlight w:val="yellow"/>
          <w:lang w:val="en-US"/>
        </w:rPr>
        <w:t>UnionPay</w:t>
      </w:r>
      <w:r w:rsidRPr="008A713F">
        <w:rPr>
          <w:rFonts w:ascii="Tahoma" w:hAnsi="Tahoma" w:cs="Tahoma"/>
          <w:bCs/>
          <w:sz w:val="18"/>
          <w:szCs w:val="18"/>
        </w:rPr>
        <w:t xml:space="preserve"> доступен с 01.12.2024 к основным картам иных платежных систем для договоров по ТП Универсальная карта заключённых до 01.12.2024. </w:t>
      </w:r>
    </w:p>
    <w:p w14:paraId="393D2B35" w14:textId="77777777" w:rsidR="00440295" w:rsidRPr="00204292" w:rsidRDefault="00440295" w:rsidP="00440295">
      <w:pPr>
        <w:rPr>
          <w:rFonts w:ascii="Tahoma" w:hAnsi="Tahoma" w:cs="Tahoma"/>
          <w:color w:val="000000"/>
          <w:sz w:val="18"/>
          <w:szCs w:val="18"/>
        </w:rPr>
      </w:pPr>
    </w:p>
    <w:p w14:paraId="7AAF7208" w14:textId="77777777" w:rsidR="00440295" w:rsidRPr="004943CB" w:rsidRDefault="00440295" w:rsidP="00440295">
      <w:pPr>
        <w:rPr>
          <w:sz w:val="18"/>
          <w:szCs w:val="18"/>
        </w:rPr>
      </w:pPr>
    </w:p>
    <w:p w14:paraId="37B69EAF" w14:textId="77777777" w:rsidR="00440295" w:rsidRPr="0066323B" w:rsidRDefault="00440295" w:rsidP="00440295"/>
    <w:p w14:paraId="73F26A20" w14:textId="77777777" w:rsidR="00440295" w:rsidRDefault="00440295" w:rsidP="000B3718">
      <w:pPr>
        <w:pStyle w:val="a5"/>
      </w:pPr>
      <w:r>
        <w:rPr>
          <w:color w:val="E36C0A"/>
        </w:rPr>
        <w:t>4.5.</w:t>
      </w:r>
      <w:r>
        <w:rPr>
          <w:color w:val="E36C0A"/>
        </w:rPr>
        <w:tab/>
      </w:r>
      <w:r>
        <w:t>ТАРИФНЫЙ ПЛАН «Лайт»</w:t>
      </w:r>
    </w:p>
    <w:p w14:paraId="35DE4390" w14:textId="77777777" w:rsidR="00440295" w:rsidRDefault="00440295" w:rsidP="00440295">
      <w:pPr>
        <w:jc w:val="right"/>
        <w:rPr>
          <w:b/>
        </w:rPr>
      </w:pPr>
    </w:p>
    <w:p w14:paraId="2AD2C18E" w14:textId="77777777" w:rsidR="00440295" w:rsidRPr="00F63AD8" w:rsidRDefault="00440295" w:rsidP="00440295">
      <w:pPr>
        <w:jc w:val="center"/>
        <w:rPr>
          <w:rFonts w:ascii="Tahoma" w:hAnsi="Tahoma" w:cs="Tahoma"/>
          <w:b/>
          <w:noProof/>
          <w:sz w:val="18"/>
          <w:szCs w:val="18"/>
        </w:rPr>
      </w:pPr>
      <w:r w:rsidRPr="00F63AD8">
        <w:rPr>
          <w:rFonts w:ascii="Tahoma" w:hAnsi="Tahoma" w:cs="Tahoma"/>
          <w:b/>
          <w:noProof/>
          <w:sz w:val="18"/>
          <w:szCs w:val="18"/>
        </w:rPr>
        <w:t>ИНФОРМАЦИЯ ОБ УСЛОВИЯХ ПРЕДОСТАВЛЕНИЯ, ИСПОЛЬЗОВАНИЯ И ВОЗВРАТА ПОТРЕБИТЕЛЬСКОГО КРЕДИТА (С ЛИМИТОМ КРЕДИТОВАНИЯ)</w:t>
      </w:r>
    </w:p>
    <w:p w14:paraId="7258410B" w14:textId="77777777" w:rsidR="00440295" w:rsidRPr="00F63AD8" w:rsidRDefault="00440295" w:rsidP="00440295">
      <w:pPr>
        <w:jc w:val="center"/>
        <w:rPr>
          <w:rFonts w:ascii="Tahoma" w:hAnsi="Tahoma" w:cs="Tahoma"/>
          <w:b/>
          <w:noProof/>
          <w:sz w:val="18"/>
          <w:szCs w:val="18"/>
        </w:rPr>
      </w:pPr>
      <w:r w:rsidRPr="00F63AD8">
        <w:rPr>
          <w:rFonts w:ascii="Tahoma" w:hAnsi="Tahoma" w:cs="Tahoma"/>
          <w:b/>
          <w:noProof/>
          <w:sz w:val="18"/>
          <w:szCs w:val="18"/>
        </w:rPr>
        <w:t>ПО ТАРИФНОМУ ПЛАНУ «ЛАЙТ»</w:t>
      </w:r>
    </w:p>
    <w:p w14:paraId="3EC448BE" w14:textId="77777777" w:rsidR="00440295" w:rsidRPr="00F63AD8" w:rsidRDefault="00440295" w:rsidP="00440295">
      <w:pPr>
        <w:pStyle w:val="affe"/>
        <w:ind w:left="786"/>
        <w:rPr>
          <w:rFonts w:ascii="Tahoma" w:hAnsi="Tahoma" w:cs="Tahoma"/>
          <w:b/>
          <w:bCs/>
          <w:caps/>
          <w:sz w:val="18"/>
          <w:szCs w:val="18"/>
        </w:rPr>
      </w:pPr>
    </w:p>
    <w:p w14:paraId="0B2783B5" w14:textId="77777777" w:rsidR="00440295" w:rsidRPr="00F63AD8" w:rsidRDefault="00440295" w:rsidP="00440295">
      <w:pPr>
        <w:pStyle w:val="affe"/>
        <w:tabs>
          <w:tab w:val="left" w:pos="851"/>
        </w:tabs>
        <w:ind w:left="786"/>
        <w:jc w:val="both"/>
        <w:rPr>
          <w:rFonts w:ascii="Tahoma" w:hAnsi="Tahoma" w:cs="Tahoma"/>
          <w:noProof/>
          <w:sz w:val="18"/>
          <w:szCs w:val="18"/>
        </w:rPr>
      </w:pPr>
      <w:r w:rsidRPr="00F63AD8">
        <w:rPr>
          <w:rFonts w:ascii="Tahoma" w:hAnsi="Tahoma" w:cs="Tahoma"/>
          <w:b/>
          <w:bCs/>
          <w:caps/>
          <w:sz w:val="18"/>
          <w:szCs w:val="18"/>
        </w:rPr>
        <w:t>1.ОСНОВНЫЕ ПОНЯТИЯ, ИСПОЛЬЗУЕМЫЕ ТЕРМИНЫ и сокращения</w:t>
      </w:r>
      <w:r w:rsidRPr="00F63AD8">
        <w:rPr>
          <w:rFonts w:ascii="Tahoma" w:hAnsi="Tahoma" w:cs="Tahoma"/>
          <w:b/>
          <w:bCs/>
          <w:caps/>
          <w:sz w:val="18"/>
          <w:szCs w:val="18"/>
          <w:vertAlign w:val="superscript"/>
        </w:rPr>
        <w:t>1</w:t>
      </w:r>
    </w:p>
    <w:p w14:paraId="05F472B3" w14:textId="77777777" w:rsidR="00440295" w:rsidRPr="00F63AD8" w:rsidRDefault="00440295" w:rsidP="00440295">
      <w:pPr>
        <w:pStyle w:val="affe"/>
        <w:ind w:left="786"/>
        <w:rPr>
          <w:rFonts w:ascii="Tahoma" w:hAnsi="Tahoma" w:cs="Tahoma"/>
          <w:noProof/>
          <w:sz w:val="18"/>
          <w:szCs w:val="18"/>
        </w:rPr>
      </w:pPr>
    </w:p>
    <w:tbl>
      <w:tblPr>
        <w:tblW w:w="4954"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7"/>
        <w:gridCol w:w="10641"/>
      </w:tblGrid>
      <w:tr w:rsidR="00440295" w:rsidRPr="00F63AD8" w14:paraId="2E41CDAB" w14:textId="77777777" w:rsidTr="00034511">
        <w:tc>
          <w:tcPr>
            <w:tcW w:w="1450" w:type="pct"/>
          </w:tcPr>
          <w:p w14:paraId="0DE0FC7F" w14:textId="77777777" w:rsidR="00440295" w:rsidRPr="00F63AD8" w:rsidRDefault="00440295" w:rsidP="00034511">
            <w:pPr>
              <w:tabs>
                <w:tab w:val="left" w:pos="851"/>
              </w:tabs>
              <w:rPr>
                <w:rFonts w:ascii="Tahoma" w:hAnsi="Tahoma" w:cs="Tahoma"/>
                <w:b/>
                <w:bCs/>
                <w:iCs/>
                <w:sz w:val="18"/>
                <w:szCs w:val="18"/>
              </w:rPr>
            </w:pPr>
            <w:r w:rsidRPr="00F63AD8">
              <w:rPr>
                <w:rFonts w:ascii="Tahoma" w:hAnsi="Tahoma" w:cs="Tahoma"/>
                <w:b/>
                <w:bCs/>
                <w:iCs/>
                <w:sz w:val="18"/>
                <w:szCs w:val="18"/>
              </w:rPr>
              <w:t>Наименование Кредитора, место нахождения постоянно действующего исполнительного органа, контактный телефон, по которому осуществляется связь с Кредитором, официальный сайт, номер лицензии на осуществление банковских операций</w:t>
            </w:r>
          </w:p>
        </w:tc>
        <w:tc>
          <w:tcPr>
            <w:tcW w:w="3550" w:type="pct"/>
          </w:tcPr>
          <w:p w14:paraId="0B4341D9" w14:textId="77777777" w:rsidR="00440295" w:rsidRPr="00F63AD8" w:rsidRDefault="00440295" w:rsidP="00034511">
            <w:pPr>
              <w:tabs>
                <w:tab w:val="left" w:pos="851"/>
              </w:tabs>
              <w:rPr>
                <w:rFonts w:ascii="Tahoma" w:hAnsi="Tahoma" w:cs="Tahoma"/>
                <w:bCs/>
                <w:iCs/>
                <w:sz w:val="18"/>
                <w:szCs w:val="18"/>
              </w:rPr>
            </w:pPr>
            <w:r w:rsidRPr="00F63AD8">
              <w:rPr>
                <w:rFonts w:ascii="Tahoma" w:hAnsi="Tahoma" w:cs="Tahoma"/>
                <w:sz w:val="18"/>
                <w:szCs w:val="18"/>
              </w:rPr>
              <w:t xml:space="preserve">«Азиатско-Тихоокеанский Банк» (Акционерное общество) (далее – Банк). Универсальная лицензия ЦБ РФ № 1810, ОГРН: 1022800000079, ИНН: 2801023444, БИК: 041012765, кор. счет №: 30101810300000000765 в Отделении Благовещенск. Местонахождение Банка и место нахождения его постоянно действующего исполнительного органа: 675004, Амурская область, г. Благовещенск, ул. Амурская, д. 225. Контактный тел.: 8 800 775 8888 (звонок по России бесплатный). Сайт Банка: </w:t>
            </w:r>
            <w:hyperlink r:id="rId103" w:history="1">
              <w:r w:rsidRPr="00F63AD8">
                <w:rPr>
                  <w:rFonts w:ascii="Tahoma" w:hAnsi="Tahoma" w:cs="Tahoma"/>
                  <w:sz w:val="18"/>
                  <w:szCs w:val="18"/>
                  <w:u w:val="single"/>
                </w:rPr>
                <w:t>www.atb.su</w:t>
              </w:r>
            </w:hyperlink>
          </w:p>
        </w:tc>
      </w:tr>
      <w:tr w:rsidR="00440295" w:rsidRPr="00F63AD8" w14:paraId="5FD12976" w14:textId="77777777" w:rsidTr="00034511">
        <w:trPr>
          <w:trHeight w:val="203"/>
        </w:trPr>
        <w:tc>
          <w:tcPr>
            <w:tcW w:w="1450" w:type="pct"/>
          </w:tcPr>
          <w:p w14:paraId="2D7BD690" w14:textId="77777777" w:rsidR="00440295" w:rsidRPr="00F63AD8" w:rsidRDefault="00440295" w:rsidP="00034511">
            <w:pPr>
              <w:tabs>
                <w:tab w:val="left" w:pos="851"/>
              </w:tabs>
              <w:rPr>
                <w:rFonts w:ascii="Tahoma" w:hAnsi="Tahoma" w:cs="Tahoma"/>
                <w:b/>
                <w:color w:val="000000"/>
                <w:sz w:val="18"/>
                <w:szCs w:val="18"/>
              </w:rPr>
            </w:pPr>
            <w:r w:rsidRPr="00F63AD8">
              <w:rPr>
                <w:rFonts w:ascii="Tahoma" w:hAnsi="Tahoma" w:cs="Tahoma"/>
                <w:b/>
                <w:color w:val="000000"/>
                <w:sz w:val="18"/>
                <w:szCs w:val="18"/>
              </w:rPr>
              <w:t xml:space="preserve">ПСК </w:t>
            </w:r>
          </w:p>
        </w:tc>
        <w:tc>
          <w:tcPr>
            <w:tcW w:w="3550" w:type="pct"/>
          </w:tcPr>
          <w:p w14:paraId="02E32A0F" w14:textId="77777777" w:rsidR="00440295" w:rsidRPr="00F63AD8" w:rsidRDefault="00440295" w:rsidP="00034511">
            <w:pPr>
              <w:rPr>
                <w:rFonts w:ascii="Tahoma" w:hAnsi="Tahoma" w:cs="Tahoma"/>
                <w:sz w:val="18"/>
                <w:szCs w:val="18"/>
              </w:rPr>
            </w:pPr>
            <w:r w:rsidRPr="00F63AD8">
              <w:rPr>
                <w:rFonts w:ascii="Tahoma" w:hAnsi="Tahoma" w:cs="Tahoma"/>
                <w:sz w:val="18"/>
                <w:szCs w:val="18"/>
              </w:rPr>
              <w:t xml:space="preserve">Полная стоимость потребительского Кредита определяется как в процентах годовых, </w:t>
            </w:r>
            <w:r w:rsidRPr="00F63AD8">
              <w:rPr>
                <w:rFonts w:ascii="Tahoma" w:hAnsi="Tahoma" w:cs="Tahoma"/>
                <w:bCs/>
                <w:sz w:val="18"/>
                <w:szCs w:val="18"/>
              </w:rPr>
              <w:t>так и в денежном выражении</w:t>
            </w:r>
          </w:p>
        </w:tc>
      </w:tr>
      <w:tr w:rsidR="00440295" w:rsidRPr="00F63AD8" w14:paraId="6CC9F593" w14:textId="77777777" w:rsidTr="00034511">
        <w:tc>
          <w:tcPr>
            <w:tcW w:w="1450" w:type="pct"/>
          </w:tcPr>
          <w:p w14:paraId="76306D8E"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 xml:space="preserve">Счет Карты/ Специальный карточный счет (СКС) </w:t>
            </w:r>
          </w:p>
        </w:tc>
        <w:tc>
          <w:tcPr>
            <w:tcW w:w="3550" w:type="pct"/>
          </w:tcPr>
          <w:p w14:paraId="3AE7E1B0" w14:textId="77777777" w:rsidR="00440295" w:rsidRPr="00F63AD8" w:rsidRDefault="00440295" w:rsidP="00034511">
            <w:pPr>
              <w:widowControl w:val="0"/>
              <w:tabs>
                <w:tab w:val="left" w:pos="851"/>
              </w:tabs>
              <w:adjustRightInd w:val="0"/>
              <w:rPr>
                <w:rFonts w:ascii="Tahoma" w:hAnsi="Tahoma" w:cs="Tahoma"/>
                <w:sz w:val="18"/>
                <w:szCs w:val="18"/>
              </w:rPr>
            </w:pPr>
            <w:r w:rsidRPr="00F63AD8">
              <w:rPr>
                <w:rFonts w:ascii="Tahoma" w:hAnsi="Tahoma" w:cs="Tahoma"/>
                <w:sz w:val="18"/>
                <w:szCs w:val="18"/>
              </w:rPr>
              <w:t>Текущий банковский счет, открываемый Банком Клиенту в рамках заключения Договора Карты и (или) Договора «Потребительский кредит (с лимитом кредитования)». СКС, открытый в рамках Договора «Потребительский кредит (с лимитом кредитования)», используется для установления Лимита кредитования</w:t>
            </w:r>
          </w:p>
        </w:tc>
      </w:tr>
      <w:tr w:rsidR="00440295" w:rsidRPr="00F63AD8" w14:paraId="443041FC" w14:textId="77777777" w:rsidTr="00034511">
        <w:tc>
          <w:tcPr>
            <w:tcW w:w="1450" w:type="pct"/>
          </w:tcPr>
          <w:p w14:paraId="1ADF0409"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Текущий банковский счет (ТБС)</w:t>
            </w:r>
          </w:p>
        </w:tc>
        <w:tc>
          <w:tcPr>
            <w:tcW w:w="3550" w:type="pct"/>
          </w:tcPr>
          <w:p w14:paraId="78AA9C04" w14:textId="77777777" w:rsidR="00440295" w:rsidRPr="00F63AD8" w:rsidRDefault="00440295" w:rsidP="00034511">
            <w:pPr>
              <w:widowControl w:val="0"/>
              <w:tabs>
                <w:tab w:val="left" w:pos="851"/>
              </w:tabs>
              <w:adjustRightInd w:val="0"/>
              <w:rPr>
                <w:rFonts w:ascii="Tahoma" w:hAnsi="Tahoma" w:cs="Tahoma"/>
                <w:sz w:val="18"/>
                <w:szCs w:val="18"/>
              </w:rPr>
            </w:pPr>
            <w:r w:rsidRPr="00F63AD8">
              <w:rPr>
                <w:rFonts w:ascii="Tahoma" w:hAnsi="Tahoma" w:cs="Tahoma"/>
                <w:sz w:val="18"/>
                <w:szCs w:val="18"/>
              </w:rPr>
              <w:t>Счет, открываемый Банком Клиенту в рамках заключения Договора ТБС (для совершения Операций) и Договора «Потребительский кредит». ТБС, открытый в рамках Договора «Потребительский кредит», используется для зачисления предоставленных Клиенту (Заемщику) кредитных средств (а также прочих целей, предусмотренных Сторонами в Договоре), если об открытии данного счета Стороны договорились в Индивидуальных условиях Договора.</w:t>
            </w:r>
          </w:p>
        </w:tc>
      </w:tr>
      <w:tr w:rsidR="00440295" w:rsidRPr="00F63AD8" w14:paraId="65F351BA" w14:textId="77777777" w:rsidTr="00034511">
        <w:tc>
          <w:tcPr>
            <w:tcW w:w="1450" w:type="pct"/>
          </w:tcPr>
          <w:p w14:paraId="0A603632"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Торгово-сервисное предприятие (ТСП)</w:t>
            </w:r>
          </w:p>
        </w:tc>
        <w:tc>
          <w:tcPr>
            <w:tcW w:w="3550" w:type="pct"/>
          </w:tcPr>
          <w:p w14:paraId="280BC0E1" w14:textId="77777777" w:rsidR="00440295" w:rsidRPr="00F63AD8" w:rsidRDefault="00440295" w:rsidP="00034511">
            <w:pPr>
              <w:widowControl w:val="0"/>
              <w:tabs>
                <w:tab w:val="left" w:pos="851"/>
              </w:tabs>
              <w:adjustRightInd w:val="0"/>
              <w:rPr>
                <w:rFonts w:ascii="Tahoma" w:hAnsi="Tahoma" w:cs="Tahoma"/>
                <w:sz w:val="18"/>
                <w:szCs w:val="18"/>
              </w:rPr>
            </w:pPr>
            <w:r w:rsidRPr="00F63AD8">
              <w:rPr>
                <w:rFonts w:ascii="Tahoma" w:hAnsi="Tahoma" w:cs="Tahoma"/>
                <w:sz w:val="18"/>
                <w:szCs w:val="18"/>
              </w:rPr>
              <w:t>Юридическое или физическое лицо – индивидуальный предприниматель/ применяющее специальный налоговый режим - налог на профессиональный доход (за исключением кредитных организаций), осуществляющее реализацию товаров (работ, услуг, результатов интеллектуальной деятельности), оплата которых производится Клиентами Банка с помощью Карты/реквизитов Карты через электронные средства платежа (POS-терминалы, платежные терминалы, прочие технические устройства), а также через сеть Интернет</w:t>
            </w:r>
          </w:p>
        </w:tc>
      </w:tr>
      <w:tr w:rsidR="00440295" w:rsidRPr="00F63AD8" w14:paraId="1F3E13E6" w14:textId="77777777" w:rsidTr="00034511">
        <w:tc>
          <w:tcPr>
            <w:tcW w:w="1450" w:type="pct"/>
          </w:tcPr>
          <w:p w14:paraId="42932C2E"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Договор/Договор «Потребительский кредит (с лимитом кредитования)»</w:t>
            </w:r>
          </w:p>
        </w:tc>
        <w:tc>
          <w:tcPr>
            <w:tcW w:w="3550" w:type="pct"/>
          </w:tcPr>
          <w:p w14:paraId="2312B1DC" w14:textId="77777777" w:rsidR="00440295" w:rsidRPr="00F63AD8" w:rsidRDefault="00440295" w:rsidP="00034511">
            <w:pPr>
              <w:widowControl w:val="0"/>
              <w:tabs>
                <w:tab w:val="left" w:pos="851"/>
              </w:tabs>
              <w:adjustRightInd w:val="0"/>
              <w:rPr>
                <w:rFonts w:ascii="Tahoma" w:hAnsi="Tahoma" w:cs="Tahoma"/>
                <w:sz w:val="18"/>
                <w:szCs w:val="18"/>
              </w:rPr>
            </w:pPr>
            <w:r w:rsidRPr="00F63AD8">
              <w:rPr>
                <w:rFonts w:ascii="Tahoma" w:hAnsi="Tahoma" w:cs="Tahoma"/>
                <w:sz w:val="18"/>
                <w:szCs w:val="18"/>
              </w:rPr>
              <w:t>Договор «Потребительский кредит (с лимитом кредитования)», заключаемый в соответствии с Федеральным законом от 21.12.2013 г. № 353-ФЗ «О потребительском кредите (займе)» (далее – Закон № 353-ФЗ)</w:t>
            </w:r>
          </w:p>
        </w:tc>
      </w:tr>
      <w:tr w:rsidR="00440295" w:rsidRPr="00F63AD8" w14:paraId="5213BE19" w14:textId="77777777" w:rsidTr="00034511">
        <w:tc>
          <w:tcPr>
            <w:tcW w:w="1450" w:type="pct"/>
          </w:tcPr>
          <w:p w14:paraId="2B8E2344"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Грейс-период (ГП)</w:t>
            </w:r>
          </w:p>
        </w:tc>
        <w:tc>
          <w:tcPr>
            <w:tcW w:w="3550" w:type="pct"/>
          </w:tcPr>
          <w:p w14:paraId="06EBB0D6" w14:textId="77777777" w:rsidR="00440295" w:rsidRPr="00F63AD8" w:rsidRDefault="00440295" w:rsidP="00034511">
            <w:pPr>
              <w:rPr>
                <w:rFonts w:ascii="Tahoma" w:hAnsi="Tahoma" w:cs="Tahoma"/>
                <w:sz w:val="18"/>
                <w:szCs w:val="18"/>
              </w:rPr>
            </w:pPr>
            <w:r w:rsidRPr="00F63AD8">
              <w:rPr>
                <w:rFonts w:ascii="Tahoma" w:hAnsi="Tahoma" w:cs="Tahoma"/>
                <w:sz w:val="18"/>
                <w:szCs w:val="18"/>
              </w:rPr>
              <w:t>Льготный период кредитования, в течение которого не взимаются проценты по Кредиту, начисленные на сумму основного долга по безналичным операциям, совершенным в календарном месяце образования Ссудной задолженности, являющимся месяцем образования (открытия) Грейс-периода, при условии уплаты Заемщиком в полном объеме не позднее срока окончания льготного периода платежей, указанных в «Общих условиях потребительского кредитования в «Азиатско-Тихоокеанский Банк» (АО), размещенных на сайте Банка: www.atb.su (далее – Общие условия).</w:t>
            </w:r>
          </w:p>
          <w:p w14:paraId="1AEBC003" w14:textId="77777777" w:rsidR="00440295" w:rsidRPr="00F63AD8" w:rsidRDefault="00440295" w:rsidP="00034511">
            <w:pPr>
              <w:rPr>
                <w:rFonts w:ascii="Tahoma" w:hAnsi="Tahoma" w:cs="Tahoma"/>
                <w:sz w:val="18"/>
                <w:szCs w:val="18"/>
              </w:rPr>
            </w:pPr>
            <w:r w:rsidRPr="00F63AD8">
              <w:rPr>
                <w:rFonts w:ascii="Tahoma" w:hAnsi="Tahoma" w:cs="Tahoma"/>
                <w:sz w:val="18"/>
                <w:szCs w:val="18"/>
              </w:rPr>
              <w:t xml:space="preserve">По соглашению сторон срок действия Грейс-периода устанавливается в пределах его максимального срока, составляющего 56 календарных дней. Грейс-период вступает в силу по вновь возникшей Ссудной задолженности в новом Расчетном периоде и действует со дня образования Ссудной задолженности по совершенным безналичным операциям до 25 числа месяца, следующего за месяцем образования Ссудной задолженности. </w:t>
            </w:r>
          </w:p>
          <w:p w14:paraId="6131E464" w14:textId="77777777" w:rsidR="00440295" w:rsidRPr="00F63AD8" w:rsidRDefault="00440295" w:rsidP="00034511">
            <w:pPr>
              <w:rPr>
                <w:rFonts w:ascii="Tahoma" w:hAnsi="Tahoma" w:cs="Tahoma"/>
                <w:sz w:val="18"/>
                <w:szCs w:val="18"/>
              </w:rPr>
            </w:pPr>
            <w:r w:rsidRPr="00F63AD8">
              <w:rPr>
                <w:rFonts w:ascii="Tahoma" w:hAnsi="Tahoma" w:cs="Tahoma"/>
                <w:sz w:val="18"/>
                <w:szCs w:val="18"/>
              </w:rPr>
              <w:t>Перечень безналичных операций, на которые распространяется Грейс-период, условия совершения операций с использованием банковской Карты в период действия Грейс-периода и иные критерии Грейс-периода, определяются в Общих условиях.</w:t>
            </w:r>
          </w:p>
        </w:tc>
      </w:tr>
      <w:tr w:rsidR="00440295" w:rsidRPr="00F63AD8" w14:paraId="003D7C61" w14:textId="77777777" w:rsidTr="00034511">
        <w:tc>
          <w:tcPr>
            <w:tcW w:w="1450" w:type="pct"/>
            <w:tcBorders>
              <w:bottom w:val="single" w:sz="4" w:space="0" w:color="auto"/>
            </w:tcBorders>
          </w:tcPr>
          <w:p w14:paraId="5A70A2E4"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Обязательный минимальный ежемесячный платеж (ОМЕП)</w:t>
            </w:r>
          </w:p>
        </w:tc>
        <w:tc>
          <w:tcPr>
            <w:tcW w:w="3550" w:type="pct"/>
            <w:tcBorders>
              <w:bottom w:val="single" w:sz="4" w:space="0" w:color="auto"/>
            </w:tcBorders>
          </w:tcPr>
          <w:p w14:paraId="2E25EE8E" w14:textId="77777777" w:rsidR="00440295" w:rsidRPr="00F63AD8" w:rsidRDefault="00440295" w:rsidP="00034511">
            <w:pPr>
              <w:widowControl w:val="0"/>
              <w:tabs>
                <w:tab w:val="left" w:pos="851"/>
              </w:tabs>
              <w:adjustRightInd w:val="0"/>
              <w:rPr>
                <w:rFonts w:ascii="Tahoma" w:hAnsi="Tahoma" w:cs="Tahoma"/>
                <w:sz w:val="18"/>
                <w:szCs w:val="18"/>
              </w:rPr>
            </w:pPr>
            <w:r w:rsidRPr="00F63AD8">
              <w:rPr>
                <w:rFonts w:ascii="Tahoma" w:hAnsi="Tahoma" w:cs="Tahoma"/>
                <w:sz w:val="18"/>
                <w:szCs w:val="18"/>
              </w:rPr>
              <w:t>Сумма денежных средств, которая должна быть уплачена Заемщиком в счет погашения Задолженности по Договору. ОМЕП рассчитывается по одной из формул (в зависимости от вида Кредита), указанной в п. 4.1.3 «Общих условий потребительского кредитования в «Азиатско-Тихоокеанский Банк» (АО) (Приложение № 3 к Универсальному договору банковского обслуживания физических лиц в «Азиатско-Тихоокеанский Банк» (АО)), если иное не предусмотрено Индивидуальными условиями Договора</w:t>
            </w:r>
          </w:p>
        </w:tc>
      </w:tr>
      <w:tr w:rsidR="00440295" w:rsidRPr="00F63AD8" w14:paraId="190397EE" w14:textId="77777777" w:rsidTr="00034511">
        <w:tc>
          <w:tcPr>
            <w:tcW w:w="5000" w:type="pct"/>
            <w:gridSpan w:val="2"/>
            <w:tcBorders>
              <w:top w:val="single" w:sz="4" w:space="0" w:color="auto"/>
              <w:left w:val="nil"/>
              <w:bottom w:val="nil"/>
              <w:right w:val="nil"/>
            </w:tcBorders>
          </w:tcPr>
          <w:p w14:paraId="51D950F5" w14:textId="77777777" w:rsidR="00440295" w:rsidRPr="00F63AD8" w:rsidRDefault="00440295" w:rsidP="00034511">
            <w:pPr>
              <w:widowControl w:val="0"/>
              <w:tabs>
                <w:tab w:val="left" w:pos="851"/>
              </w:tabs>
              <w:adjustRightInd w:val="0"/>
              <w:rPr>
                <w:rFonts w:ascii="Tahoma" w:hAnsi="Tahoma" w:cs="Tahoma"/>
                <w:color w:val="0000FF" w:themeColor="hyperlink"/>
                <w:sz w:val="18"/>
                <w:szCs w:val="18"/>
                <w:u w:val="single"/>
              </w:rPr>
            </w:pPr>
            <w:r w:rsidRPr="00F63AD8">
              <w:rPr>
                <w:rFonts w:ascii="Tahoma" w:hAnsi="Tahoma" w:cs="Tahoma"/>
                <w:sz w:val="18"/>
                <w:szCs w:val="18"/>
              </w:rPr>
              <w:t xml:space="preserve">Не указанные в настоящем документе термины применяются в значении, указанном в Универсальном договоре банковского обслуживания физических лиц «Азиатско-Тихоокеанский Банк» (АО), размещённом на сайте Банка в сети Интернет по адресу </w:t>
            </w:r>
            <w:hyperlink r:id="rId104" w:history="1">
              <w:r w:rsidRPr="00F63AD8">
                <w:rPr>
                  <w:rStyle w:val="aff"/>
                  <w:rFonts w:ascii="Tahoma" w:hAnsi="Tahoma" w:cs="Tahoma"/>
                  <w:sz w:val="18"/>
                  <w:szCs w:val="18"/>
                </w:rPr>
                <w:t>www.atb.su</w:t>
              </w:r>
            </w:hyperlink>
          </w:p>
        </w:tc>
      </w:tr>
    </w:tbl>
    <w:p w14:paraId="39E84DEB" w14:textId="77777777" w:rsidR="00440295" w:rsidRPr="00F63AD8" w:rsidRDefault="00440295" w:rsidP="00440295">
      <w:pPr>
        <w:pStyle w:val="affe"/>
        <w:tabs>
          <w:tab w:val="left" w:pos="851"/>
        </w:tabs>
        <w:ind w:left="786"/>
        <w:jc w:val="both"/>
        <w:rPr>
          <w:rFonts w:ascii="Tahoma" w:hAnsi="Tahoma" w:cs="Tahoma"/>
          <w:b/>
          <w:noProof/>
          <w:sz w:val="18"/>
          <w:szCs w:val="18"/>
        </w:rPr>
      </w:pPr>
    </w:p>
    <w:p w14:paraId="2001FCA6" w14:textId="77777777" w:rsidR="00440295" w:rsidRPr="00F63AD8" w:rsidRDefault="00440295" w:rsidP="00440295">
      <w:pPr>
        <w:pStyle w:val="affe"/>
        <w:tabs>
          <w:tab w:val="left" w:pos="851"/>
        </w:tabs>
        <w:ind w:left="786"/>
        <w:jc w:val="both"/>
        <w:rPr>
          <w:rFonts w:ascii="Tahoma" w:hAnsi="Tahoma" w:cs="Tahoma"/>
          <w:b/>
          <w:noProof/>
          <w:sz w:val="18"/>
          <w:szCs w:val="18"/>
        </w:rPr>
      </w:pPr>
    </w:p>
    <w:p w14:paraId="074642B3" w14:textId="77777777" w:rsidR="00440295" w:rsidRPr="00F63AD8" w:rsidRDefault="00440295" w:rsidP="00440295">
      <w:pPr>
        <w:pStyle w:val="affe"/>
        <w:tabs>
          <w:tab w:val="left" w:pos="851"/>
        </w:tabs>
        <w:ind w:left="786"/>
        <w:jc w:val="both"/>
        <w:rPr>
          <w:rFonts w:ascii="Tahoma" w:hAnsi="Tahoma" w:cs="Tahoma"/>
          <w:b/>
          <w:noProof/>
          <w:sz w:val="18"/>
          <w:szCs w:val="18"/>
        </w:rPr>
      </w:pPr>
    </w:p>
    <w:p w14:paraId="2D799110" w14:textId="77777777" w:rsidR="00440295" w:rsidRPr="00F63AD8" w:rsidRDefault="00440295" w:rsidP="00440295">
      <w:pPr>
        <w:pStyle w:val="affe"/>
        <w:tabs>
          <w:tab w:val="left" w:pos="851"/>
        </w:tabs>
        <w:ind w:left="786"/>
        <w:jc w:val="both"/>
        <w:rPr>
          <w:rFonts w:ascii="Tahoma" w:hAnsi="Tahoma" w:cs="Tahoma"/>
          <w:b/>
          <w:noProof/>
          <w:sz w:val="18"/>
          <w:szCs w:val="18"/>
        </w:rPr>
      </w:pPr>
    </w:p>
    <w:p w14:paraId="2BBEE9F5" w14:textId="77777777" w:rsidR="00440295" w:rsidRPr="00F63AD8" w:rsidRDefault="00440295" w:rsidP="00440295">
      <w:pPr>
        <w:pStyle w:val="affe"/>
        <w:tabs>
          <w:tab w:val="left" w:pos="851"/>
        </w:tabs>
        <w:ind w:left="786"/>
        <w:jc w:val="both"/>
        <w:rPr>
          <w:rFonts w:ascii="Tahoma" w:hAnsi="Tahoma" w:cs="Tahoma"/>
          <w:b/>
          <w:noProof/>
          <w:sz w:val="18"/>
          <w:szCs w:val="18"/>
        </w:rPr>
      </w:pPr>
    </w:p>
    <w:p w14:paraId="562218FF" w14:textId="77777777" w:rsidR="00440295" w:rsidRPr="00F63AD8" w:rsidRDefault="00440295" w:rsidP="00440295">
      <w:pPr>
        <w:pStyle w:val="affe"/>
        <w:numPr>
          <w:ilvl w:val="0"/>
          <w:numId w:val="90"/>
        </w:numPr>
        <w:tabs>
          <w:tab w:val="left" w:pos="851"/>
        </w:tabs>
        <w:contextualSpacing/>
        <w:jc w:val="both"/>
        <w:rPr>
          <w:rFonts w:ascii="Tahoma" w:hAnsi="Tahoma" w:cs="Tahoma"/>
          <w:b/>
          <w:noProof/>
          <w:sz w:val="18"/>
          <w:szCs w:val="18"/>
        </w:rPr>
      </w:pPr>
      <w:r w:rsidRPr="00F63AD8">
        <w:rPr>
          <w:rFonts w:ascii="Tahoma" w:hAnsi="Tahoma" w:cs="Tahoma"/>
          <w:b/>
          <w:noProof/>
          <w:sz w:val="18"/>
          <w:szCs w:val="18"/>
        </w:rPr>
        <w:t xml:space="preserve">ИНФОРМАЦИЯ ОБ УСЛОВИЯХ ПРЕДОСТАВЛЕНИЯ, ИСПОЛЬЗОВАНИЯ И ВОЗВРАТА ПОТРЕБИТЕЛЬСКОГО КРЕДИТА (С ЛИМИТОМ КРЕДИТОВАНИЯ) </w:t>
      </w:r>
    </w:p>
    <w:tbl>
      <w:tblPr>
        <w:tblW w:w="4979" w:type="pct"/>
        <w:tblInd w:w="-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
        <w:gridCol w:w="693"/>
        <w:gridCol w:w="2088"/>
        <w:gridCol w:w="693"/>
        <w:gridCol w:w="1672"/>
        <w:gridCol w:w="313"/>
        <w:gridCol w:w="3630"/>
        <w:gridCol w:w="5381"/>
        <w:gridCol w:w="310"/>
      </w:tblGrid>
      <w:tr w:rsidR="00440295" w:rsidRPr="00F63AD8" w14:paraId="4A2C6AC1" w14:textId="77777777" w:rsidTr="00034511">
        <w:trPr>
          <w:gridBefore w:val="1"/>
          <w:wBefore w:w="94" w:type="pct"/>
          <w:trHeight w:val="455"/>
        </w:trPr>
        <w:tc>
          <w:tcPr>
            <w:tcW w:w="1812" w:type="pct"/>
            <w:gridSpan w:val="5"/>
            <w:shd w:val="clear" w:color="auto" w:fill="D9D9D9" w:themeFill="background1" w:themeFillShade="D9"/>
            <w:vAlign w:val="center"/>
          </w:tcPr>
          <w:p w14:paraId="7525C2EE" w14:textId="77777777" w:rsidR="00440295" w:rsidRPr="00F63AD8" w:rsidRDefault="00440295" w:rsidP="00034511">
            <w:pPr>
              <w:jc w:val="center"/>
              <w:rPr>
                <w:rFonts w:ascii="Tahoma" w:hAnsi="Tahoma" w:cs="Tahoma"/>
                <w:b/>
                <w:sz w:val="18"/>
                <w:szCs w:val="18"/>
              </w:rPr>
            </w:pPr>
            <w:r w:rsidRPr="00F63AD8">
              <w:rPr>
                <w:rFonts w:ascii="Tahoma" w:hAnsi="Tahoma" w:cs="Tahoma"/>
                <w:b/>
                <w:sz w:val="18"/>
                <w:szCs w:val="18"/>
              </w:rPr>
              <w:t>Наименование продукта/</w:t>
            </w:r>
            <w:r w:rsidRPr="00F63AD8" w:rsidDel="00A134C4">
              <w:rPr>
                <w:rFonts w:ascii="Tahoma" w:hAnsi="Tahoma" w:cs="Tahoma"/>
                <w:b/>
                <w:sz w:val="18"/>
                <w:szCs w:val="18"/>
              </w:rPr>
              <w:t xml:space="preserve"> </w:t>
            </w:r>
            <w:r w:rsidRPr="00F63AD8">
              <w:rPr>
                <w:rFonts w:ascii="Tahoma" w:hAnsi="Tahoma" w:cs="Tahoma"/>
                <w:b/>
                <w:sz w:val="18"/>
                <w:szCs w:val="18"/>
              </w:rPr>
              <w:t>тарифного плана (ТП)</w:t>
            </w:r>
          </w:p>
        </w:tc>
        <w:tc>
          <w:tcPr>
            <w:tcW w:w="3095" w:type="pct"/>
            <w:gridSpan w:val="3"/>
            <w:shd w:val="clear" w:color="auto" w:fill="D9D9D9" w:themeFill="background1" w:themeFillShade="D9"/>
            <w:vAlign w:val="center"/>
          </w:tcPr>
          <w:p w14:paraId="44B40B90" w14:textId="77777777" w:rsidR="00440295" w:rsidRPr="00F63AD8" w:rsidRDefault="00440295" w:rsidP="00034511">
            <w:pPr>
              <w:pStyle w:val="a9"/>
              <w:tabs>
                <w:tab w:val="left" w:pos="-284"/>
                <w:tab w:val="left" w:pos="851"/>
              </w:tabs>
              <w:spacing w:before="0" w:after="0"/>
              <w:ind w:right="849"/>
              <w:jc w:val="center"/>
              <w:rPr>
                <w:rFonts w:ascii="Tahoma" w:hAnsi="Tahoma" w:cs="Tahoma"/>
                <w:b/>
                <w:sz w:val="18"/>
                <w:szCs w:val="18"/>
              </w:rPr>
            </w:pPr>
            <w:r w:rsidRPr="00F63AD8">
              <w:rPr>
                <w:rFonts w:ascii="Tahoma" w:hAnsi="Tahoma" w:cs="Tahoma"/>
                <w:b/>
                <w:sz w:val="18"/>
                <w:szCs w:val="18"/>
              </w:rPr>
              <w:t>«ЛАЙТ»</w:t>
            </w:r>
          </w:p>
        </w:tc>
      </w:tr>
      <w:tr w:rsidR="00440295" w:rsidRPr="00F63AD8" w14:paraId="5FECCEDF" w14:textId="77777777" w:rsidTr="00034511">
        <w:trPr>
          <w:gridBefore w:val="1"/>
          <w:wBefore w:w="94" w:type="pct"/>
          <w:trHeight w:val="455"/>
        </w:trPr>
        <w:tc>
          <w:tcPr>
            <w:tcW w:w="1812" w:type="pct"/>
            <w:gridSpan w:val="5"/>
            <w:shd w:val="clear" w:color="auto" w:fill="auto"/>
            <w:vAlign w:val="center"/>
          </w:tcPr>
          <w:p w14:paraId="250846FB" w14:textId="77777777" w:rsidR="00440295" w:rsidRPr="00F63AD8" w:rsidRDefault="00440295" w:rsidP="00034511">
            <w:pPr>
              <w:rPr>
                <w:rFonts w:ascii="Tahoma" w:hAnsi="Tahoma" w:cs="Tahoma"/>
                <w:b/>
                <w:sz w:val="18"/>
                <w:szCs w:val="18"/>
              </w:rPr>
            </w:pPr>
            <w:r w:rsidRPr="00F63AD8">
              <w:rPr>
                <w:rFonts w:ascii="Tahoma" w:hAnsi="Tahoma" w:cs="Tahoma"/>
                <w:b/>
                <w:bCs/>
                <w:sz w:val="18"/>
                <w:szCs w:val="18"/>
              </w:rPr>
              <w:t>Категория Заёмщика</w:t>
            </w:r>
          </w:p>
        </w:tc>
        <w:tc>
          <w:tcPr>
            <w:tcW w:w="3095" w:type="pct"/>
            <w:gridSpan w:val="3"/>
            <w:shd w:val="clear" w:color="auto" w:fill="auto"/>
            <w:vAlign w:val="center"/>
          </w:tcPr>
          <w:p w14:paraId="4997CEFE" w14:textId="77777777" w:rsidR="00440295" w:rsidRPr="00F63AD8" w:rsidRDefault="00440295" w:rsidP="00034511">
            <w:pPr>
              <w:autoSpaceDE w:val="0"/>
              <w:autoSpaceDN w:val="0"/>
              <w:rPr>
                <w:rFonts w:ascii="Tahoma" w:hAnsi="Tahoma" w:cs="Tahoma"/>
                <w:sz w:val="18"/>
                <w:szCs w:val="18"/>
              </w:rPr>
            </w:pPr>
            <w:r w:rsidRPr="00F63AD8">
              <w:rPr>
                <w:rFonts w:ascii="Tahoma" w:hAnsi="Tahoma" w:cs="Tahoma"/>
                <w:sz w:val="18"/>
                <w:szCs w:val="18"/>
              </w:rPr>
              <w:t xml:space="preserve">Физические лица, изъявившие желание заключить Договор с Банком и соответствующие требованиям настоящего документа </w:t>
            </w:r>
          </w:p>
        </w:tc>
      </w:tr>
      <w:tr w:rsidR="00440295" w:rsidRPr="00F63AD8" w14:paraId="69845C1C" w14:textId="77777777" w:rsidTr="00034511">
        <w:trPr>
          <w:gridBefore w:val="1"/>
          <w:wBefore w:w="94" w:type="pct"/>
          <w:trHeight w:val="250"/>
        </w:trPr>
        <w:tc>
          <w:tcPr>
            <w:tcW w:w="1812" w:type="pct"/>
            <w:gridSpan w:val="5"/>
            <w:vAlign w:val="center"/>
          </w:tcPr>
          <w:p w14:paraId="1AC930BB"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Вид Кредита</w:t>
            </w:r>
          </w:p>
        </w:tc>
        <w:tc>
          <w:tcPr>
            <w:tcW w:w="3095" w:type="pct"/>
            <w:gridSpan w:val="3"/>
            <w:vAlign w:val="center"/>
          </w:tcPr>
          <w:p w14:paraId="335F491B" w14:textId="77777777" w:rsidR="00440295" w:rsidRPr="00F63AD8" w:rsidRDefault="00440295" w:rsidP="00034511">
            <w:pPr>
              <w:pStyle w:val="a9"/>
              <w:tabs>
                <w:tab w:val="left" w:pos="-284"/>
                <w:tab w:val="left" w:pos="851"/>
              </w:tabs>
              <w:spacing w:before="0" w:after="0"/>
              <w:ind w:right="849"/>
              <w:jc w:val="center"/>
              <w:rPr>
                <w:rFonts w:ascii="Tahoma" w:hAnsi="Tahoma" w:cs="Tahoma"/>
                <w:sz w:val="18"/>
                <w:szCs w:val="18"/>
              </w:rPr>
            </w:pPr>
            <w:r w:rsidRPr="00F63AD8">
              <w:rPr>
                <w:rFonts w:ascii="Tahoma" w:hAnsi="Tahoma" w:cs="Tahoma"/>
                <w:sz w:val="18"/>
                <w:szCs w:val="18"/>
              </w:rPr>
              <w:t>Потребительский кредит (с лимитом кредитования)</w:t>
            </w:r>
          </w:p>
        </w:tc>
      </w:tr>
      <w:tr w:rsidR="00440295" w:rsidRPr="00F63AD8" w14:paraId="08123982" w14:textId="77777777" w:rsidTr="00034511">
        <w:trPr>
          <w:gridBefore w:val="1"/>
          <w:wBefore w:w="94" w:type="pct"/>
          <w:trHeight w:val="203"/>
        </w:trPr>
        <w:tc>
          <w:tcPr>
            <w:tcW w:w="1812" w:type="pct"/>
            <w:gridSpan w:val="5"/>
            <w:vAlign w:val="center"/>
          </w:tcPr>
          <w:p w14:paraId="15CE8D12"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 xml:space="preserve">Цель Кредита </w:t>
            </w:r>
          </w:p>
        </w:tc>
        <w:tc>
          <w:tcPr>
            <w:tcW w:w="3095" w:type="pct"/>
            <w:gridSpan w:val="3"/>
            <w:vAlign w:val="center"/>
          </w:tcPr>
          <w:p w14:paraId="3006986C" w14:textId="77777777" w:rsidR="00440295" w:rsidRPr="00F63AD8" w:rsidRDefault="00440295" w:rsidP="00034511">
            <w:pPr>
              <w:pStyle w:val="a9"/>
              <w:tabs>
                <w:tab w:val="left" w:pos="-284"/>
                <w:tab w:val="left" w:pos="851"/>
              </w:tabs>
              <w:spacing w:before="0" w:after="0"/>
              <w:jc w:val="center"/>
              <w:rPr>
                <w:rFonts w:ascii="Tahoma" w:hAnsi="Tahoma" w:cs="Tahoma"/>
                <w:sz w:val="18"/>
                <w:szCs w:val="18"/>
              </w:rPr>
            </w:pPr>
            <w:r w:rsidRPr="00F63AD8">
              <w:rPr>
                <w:rFonts w:ascii="Tahoma" w:hAnsi="Tahoma" w:cs="Tahoma"/>
                <w:sz w:val="18"/>
                <w:szCs w:val="18"/>
              </w:rPr>
              <w:t>Оплата товаров, работ, услуг в ТСП с использованием банковской (платежной) карты Банка через электронные средства платежа (POS-терминалы, платежные терминалы, прочие технические устройства), в том числе расчеты в сети Интернет</w:t>
            </w:r>
          </w:p>
        </w:tc>
      </w:tr>
      <w:tr w:rsidR="00440295" w:rsidRPr="00F63AD8" w14:paraId="7AECB47D" w14:textId="77777777" w:rsidTr="00034511">
        <w:trPr>
          <w:gridBefore w:val="1"/>
          <w:wBefore w:w="94" w:type="pct"/>
          <w:trHeight w:val="455"/>
        </w:trPr>
        <w:tc>
          <w:tcPr>
            <w:tcW w:w="1812" w:type="pct"/>
            <w:gridSpan w:val="5"/>
            <w:vAlign w:val="center"/>
          </w:tcPr>
          <w:p w14:paraId="3E34F4A3"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Подразделения Банка/точки продаж, реализующие кредитный продукт</w:t>
            </w:r>
          </w:p>
        </w:tc>
        <w:tc>
          <w:tcPr>
            <w:tcW w:w="3095" w:type="pct"/>
            <w:gridSpan w:val="3"/>
            <w:vAlign w:val="center"/>
          </w:tcPr>
          <w:p w14:paraId="1099E4D7" w14:textId="77777777" w:rsidR="00440295" w:rsidRPr="00F63AD8" w:rsidRDefault="00440295" w:rsidP="00034511">
            <w:pPr>
              <w:pStyle w:val="a9"/>
              <w:tabs>
                <w:tab w:val="left" w:pos="-284"/>
                <w:tab w:val="left" w:pos="851"/>
              </w:tabs>
              <w:spacing w:before="0" w:after="0"/>
              <w:jc w:val="center"/>
              <w:rPr>
                <w:rFonts w:ascii="Tahoma" w:hAnsi="Tahoma" w:cs="Tahoma"/>
                <w:sz w:val="18"/>
                <w:szCs w:val="18"/>
              </w:rPr>
            </w:pPr>
            <w:r w:rsidRPr="00F63AD8">
              <w:rPr>
                <w:rFonts w:ascii="Tahoma" w:hAnsi="Tahoma" w:cs="Tahoma"/>
                <w:sz w:val="18"/>
                <w:szCs w:val="18"/>
              </w:rPr>
              <w:t>Все подразделения Банка</w:t>
            </w:r>
          </w:p>
        </w:tc>
      </w:tr>
      <w:tr w:rsidR="00440295" w:rsidRPr="00F63AD8" w14:paraId="2E2FC33E" w14:textId="77777777" w:rsidTr="00034511">
        <w:trPr>
          <w:gridBefore w:val="1"/>
          <w:wBefore w:w="94" w:type="pct"/>
          <w:trHeight w:val="455"/>
        </w:trPr>
        <w:tc>
          <w:tcPr>
            <w:tcW w:w="1812" w:type="pct"/>
            <w:gridSpan w:val="5"/>
            <w:vAlign w:val="center"/>
          </w:tcPr>
          <w:p w14:paraId="65D51BF0" w14:textId="77777777" w:rsidR="00440295" w:rsidRPr="00F63AD8" w:rsidRDefault="00440295" w:rsidP="00034511">
            <w:pPr>
              <w:rPr>
                <w:rFonts w:ascii="Tahoma" w:hAnsi="Tahoma" w:cs="Tahoma"/>
                <w:b/>
                <w:bCs/>
                <w:sz w:val="18"/>
                <w:szCs w:val="18"/>
              </w:rPr>
            </w:pPr>
            <w:r w:rsidRPr="00F63AD8">
              <w:rPr>
                <w:rFonts w:ascii="Tahoma" w:hAnsi="Tahoma" w:cs="Tahoma"/>
                <w:b/>
                <w:bCs/>
                <w:sz w:val="18"/>
                <w:szCs w:val="18"/>
              </w:rPr>
              <w:t>Валюта, в которой предоставляется Кредит</w:t>
            </w:r>
            <w:r w:rsidRPr="00F63AD8" w:rsidDel="00FD0DAD">
              <w:rPr>
                <w:rFonts w:ascii="Tahoma" w:hAnsi="Tahoma" w:cs="Tahoma"/>
                <w:b/>
                <w:sz w:val="18"/>
                <w:szCs w:val="18"/>
              </w:rPr>
              <w:t xml:space="preserve"> </w:t>
            </w:r>
            <w:r w:rsidRPr="00F63AD8">
              <w:rPr>
                <w:rFonts w:ascii="Tahoma" w:hAnsi="Tahoma" w:cs="Tahoma"/>
                <w:b/>
                <w:sz w:val="18"/>
                <w:szCs w:val="18"/>
              </w:rPr>
              <w:t>(с лимитом кредитования)</w:t>
            </w:r>
          </w:p>
        </w:tc>
        <w:tc>
          <w:tcPr>
            <w:tcW w:w="3095" w:type="pct"/>
            <w:gridSpan w:val="3"/>
            <w:vAlign w:val="center"/>
          </w:tcPr>
          <w:p w14:paraId="3B9DC232" w14:textId="77777777" w:rsidR="00440295" w:rsidRPr="00F63AD8" w:rsidRDefault="00440295" w:rsidP="00034511">
            <w:pPr>
              <w:pStyle w:val="a9"/>
              <w:tabs>
                <w:tab w:val="left" w:pos="-284"/>
                <w:tab w:val="left" w:pos="851"/>
              </w:tabs>
              <w:spacing w:before="0" w:after="0"/>
              <w:ind w:right="849"/>
              <w:jc w:val="center"/>
              <w:rPr>
                <w:rFonts w:ascii="Tahoma" w:hAnsi="Tahoma" w:cs="Tahoma"/>
                <w:sz w:val="18"/>
                <w:szCs w:val="18"/>
              </w:rPr>
            </w:pPr>
            <w:r w:rsidRPr="00F63AD8">
              <w:rPr>
                <w:rFonts w:ascii="Tahoma" w:hAnsi="Tahoma" w:cs="Tahoma"/>
                <w:color w:val="000000"/>
                <w:sz w:val="18"/>
                <w:szCs w:val="18"/>
              </w:rPr>
              <w:t>Рубль Российской Федерации (далее - рубль)</w:t>
            </w:r>
          </w:p>
        </w:tc>
      </w:tr>
      <w:tr w:rsidR="00440295" w:rsidRPr="00F63AD8" w14:paraId="324665AD" w14:textId="77777777" w:rsidTr="00034511">
        <w:trPr>
          <w:gridBefore w:val="1"/>
          <w:wBefore w:w="94" w:type="pct"/>
          <w:trHeight w:val="455"/>
        </w:trPr>
        <w:tc>
          <w:tcPr>
            <w:tcW w:w="1812" w:type="pct"/>
            <w:gridSpan w:val="5"/>
            <w:shd w:val="clear" w:color="auto" w:fill="auto"/>
            <w:vAlign w:val="center"/>
          </w:tcPr>
          <w:p w14:paraId="7961FB82" w14:textId="77777777" w:rsidR="00440295" w:rsidRPr="00F63AD8" w:rsidRDefault="00440295" w:rsidP="00034511">
            <w:pPr>
              <w:rPr>
                <w:rFonts w:ascii="Tahoma" w:hAnsi="Tahoma" w:cs="Tahoma"/>
                <w:b/>
                <w:bCs/>
                <w:sz w:val="18"/>
                <w:szCs w:val="18"/>
              </w:rPr>
            </w:pPr>
            <w:r w:rsidRPr="00F63AD8">
              <w:rPr>
                <w:rFonts w:ascii="Tahoma" w:hAnsi="Tahoma" w:cs="Tahoma"/>
                <w:b/>
                <w:sz w:val="18"/>
                <w:szCs w:val="18"/>
              </w:rPr>
              <w:t>Минимальная сумма Лимита кредитования</w:t>
            </w:r>
          </w:p>
        </w:tc>
        <w:tc>
          <w:tcPr>
            <w:tcW w:w="3095" w:type="pct"/>
            <w:gridSpan w:val="3"/>
            <w:shd w:val="clear" w:color="auto" w:fill="auto"/>
            <w:vAlign w:val="center"/>
          </w:tcPr>
          <w:p w14:paraId="3EFAB033" w14:textId="77777777" w:rsidR="00440295" w:rsidRPr="00F63AD8" w:rsidRDefault="00440295" w:rsidP="00034511">
            <w:pPr>
              <w:pStyle w:val="a9"/>
              <w:tabs>
                <w:tab w:val="left" w:pos="-284"/>
                <w:tab w:val="left" w:pos="851"/>
              </w:tabs>
              <w:spacing w:before="0" w:after="0"/>
              <w:ind w:right="849"/>
              <w:jc w:val="center"/>
              <w:rPr>
                <w:rFonts w:ascii="Tahoma" w:hAnsi="Tahoma" w:cs="Tahoma"/>
                <w:color w:val="000000"/>
                <w:sz w:val="18"/>
                <w:szCs w:val="18"/>
              </w:rPr>
            </w:pPr>
            <w:r w:rsidRPr="00F63AD8">
              <w:rPr>
                <w:rFonts w:ascii="Tahoma" w:hAnsi="Tahoma" w:cs="Tahoma"/>
                <w:color w:val="000000"/>
                <w:sz w:val="18"/>
                <w:szCs w:val="18"/>
              </w:rPr>
              <w:t xml:space="preserve">       5 000 рублей</w:t>
            </w:r>
          </w:p>
        </w:tc>
      </w:tr>
      <w:tr w:rsidR="00440295" w:rsidRPr="00F63AD8" w14:paraId="38AC7BEA" w14:textId="77777777" w:rsidTr="00034511">
        <w:trPr>
          <w:gridBefore w:val="1"/>
          <w:wBefore w:w="94" w:type="pct"/>
          <w:trHeight w:val="363"/>
        </w:trPr>
        <w:tc>
          <w:tcPr>
            <w:tcW w:w="1812" w:type="pct"/>
            <w:gridSpan w:val="5"/>
            <w:shd w:val="clear" w:color="auto" w:fill="auto"/>
            <w:vAlign w:val="center"/>
          </w:tcPr>
          <w:p w14:paraId="51B76CD2"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Максимальная сумма Лимита кредитования</w:t>
            </w:r>
          </w:p>
        </w:tc>
        <w:tc>
          <w:tcPr>
            <w:tcW w:w="3095" w:type="pct"/>
            <w:gridSpan w:val="3"/>
            <w:shd w:val="clear" w:color="auto" w:fill="auto"/>
            <w:vAlign w:val="center"/>
          </w:tcPr>
          <w:p w14:paraId="04D69F5E" w14:textId="77777777" w:rsidR="00440295" w:rsidRPr="00F63AD8" w:rsidRDefault="00440295" w:rsidP="00034511">
            <w:pPr>
              <w:pStyle w:val="a9"/>
              <w:tabs>
                <w:tab w:val="left" w:pos="-284"/>
                <w:tab w:val="left" w:pos="851"/>
              </w:tabs>
              <w:spacing w:before="0" w:after="0"/>
              <w:ind w:right="849"/>
              <w:jc w:val="center"/>
              <w:rPr>
                <w:rFonts w:ascii="Tahoma" w:hAnsi="Tahoma" w:cs="Tahoma"/>
                <w:color w:val="000000"/>
                <w:sz w:val="18"/>
                <w:szCs w:val="18"/>
              </w:rPr>
            </w:pPr>
            <w:r w:rsidRPr="00F63AD8">
              <w:rPr>
                <w:rFonts w:ascii="Tahoma" w:hAnsi="Tahoma" w:cs="Tahoma"/>
                <w:color w:val="000000"/>
                <w:sz w:val="18"/>
                <w:szCs w:val="18"/>
              </w:rPr>
              <w:t xml:space="preserve">      100 000 рублей</w:t>
            </w:r>
          </w:p>
        </w:tc>
      </w:tr>
      <w:tr w:rsidR="00440295" w:rsidRPr="00F63AD8" w14:paraId="47CF1D82" w14:textId="77777777" w:rsidTr="00034511">
        <w:trPr>
          <w:gridBefore w:val="1"/>
          <w:wBefore w:w="94" w:type="pct"/>
          <w:trHeight w:val="2488"/>
        </w:trPr>
        <w:tc>
          <w:tcPr>
            <w:tcW w:w="1812" w:type="pct"/>
            <w:gridSpan w:val="5"/>
            <w:shd w:val="clear" w:color="auto" w:fill="auto"/>
            <w:vAlign w:val="center"/>
          </w:tcPr>
          <w:p w14:paraId="4C1AA4A3"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Изменение Лимита кредитования</w:t>
            </w:r>
          </w:p>
        </w:tc>
        <w:tc>
          <w:tcPr>
            <w:tcW w:w="3095" w:type="pct"/>
            <w:gridSpan w:val="3"/>
            <w:shd w:val="clear" w:color="auto" w:fill="auto"/>
            <w:vAlign w:val="center"/>
          </w:tcPr>
          <w:p w14:paraId="352AD8E2" w14:textId="77777777" w:rsidR="00440295" w:rsidRPr="00F63AD8" w:rsidRDefault="00440295" w:rsidP="00034511">
            <w:pPr>
              <w:tabs>
                <w:tab w:val="left" w:pos="851"/>
              </w:tabs>
              <w:rPr>
                <w:rFonts w:ascii="Tahoma" w:hAnsi="Tahoma" w:cs="Tahoma"/>
                <w:sz w:val="18"/>
                <w:szCs w:val="18"/>
              </w:rPr>
            </w:pPr>
            <w:r w:rsidRPr="00F63AD8">
              <w:rPr>
                <w:rFonts w:ascii="Tahoma" w:hAnsi="Tahoma" w:cs="Tahoma"/>
                <w:sz w:val="18"/>
                <w:szCs w:val="18"/>
              </w:rPr>
              <w:t>Банк вправе отказаться от предоставления Заемщику Лимита кредитования полностью или частично при наличии обстоятельств, очевидно свидетельствующих о том, что предоставленная Заемщику сумма не будет возвращена в срок и/или в случае нарушения Заемщиком условий Договора или производить многократно изменение размера Лимита кредитования, как в сторону увеличения, так и в сторону уменьшения в течение всего срока действия Договора, но не более суммы, указанной в Индивидуальных условиях, о чем уведомляет Заемщика способом, указанным в Индивидуальных условиях. В случае если Заемщик не информировал Банк в письменной форме на бумажном носителе в течение 3-х календарных дней со дня направления ему Банком уведомления об изменении Лимита кредитования о своем несогласии с изменением Лимита кредитования, то данный факт признается согласием Заемщика на изменения размера Лимита кредитования на регламентированных Договором условиях. Размер Лимита кредитования считается согласованным Сторонами в случае, если Заемщик не реализовал свое право на отказ от его изменения в порядке, предусмотренном Индивидуальными условиями, а также, если Банк предоставит Заемщику Лимит кредитования в размере, не превышающем суммы, указанной Заемщиком в Индивидуальных условиях. В случае изменения размера ПСК, новое значение ПСК доводится до Заемщика любым из способов, указанных в Индивидуальных условиях.</w:t>
            </w:r>
          </w:p>
        </w:tc>
      </w:tr>
      <w:tr w:rsidR="00440295" w:rsidRPr="00F63AD8" w14:paraId="3EFB6180" w14:textId="77777777" w:rsidTr="00034511">
        <w:trPr>
          <w:gridBefore w:val="1"/>
          <w:wBefore w:w="94" w:type="pct"/>
          <w:trHeight w:val="1299"/>
        </w:trPr>
        <w:tc>
          <w:tcPr>
            <w:tcW w:w="1812" w:type="pct"/>
            <w:gridSpan w:val="5"/>
            <w:vAlign w:val="center"/>
          </w:tcPr>
          <w:p w14:paraId="6FABE209" w14:textId="77777777" w:rsidR="00440295" w:rsidRPr="00F63AD8" w:rsidRDefault="00440295" w:rsidP="00034511">
            <w:pPr>
              <w:rPr>
                <w:rFonts w:ascii="Tahoma" w:hAnsi="Tahoma" w:cs="Tahoma"/>
                <w:b/>
                <w:sz w:val="18"/>
                <w:szCs w:val="18"/>
              </w:rPr>
            </w:pPr>
            <w:r w:rsidRPr="00F63AD8">
              <w:rPr>
                <w:rFonts w:ascii="Tahoma" w:hAnsi="Tahoma" w:cs="Tahoma"/>
                <w:sz w:val="18"/>
                <w:szCs w:val="18"/>
              </w:rPr>
              <w:t>Процентная ставка в процентах годовых за использование кредитных средств для всех типов операций (за исключением случаев, когда задолженность полностью погашена до окончания срока действия Грейс-периода)*</w:t>
            </w:r>
            <w:r w:rsidRPr="00F63AD8">
              <w:rPr>
                <w:rFonts w:ascii="Tahoma" w:hAnsi="Tahoma" w:cs="Tahoma"/>
                <w:sz w:val="18"/>
                <w:szCs w:val="18"/>
                <w:vertAlign w:val="superscript"/>
              </w:rPr>
              <w:t xml:space="preserve"> </w:t>
            </w:r>
          </w:p>
        </w:tc>
        <w:tc>
          <w:tcPr>
            <w:tcW w:w="3095" w:type="pct"/>
            <w:gridSpan w:val="3"/>
            <w:shd w:val="clear" w:color="auto" w:fill="auto"/>
            <w:vAlign w:val="center"/>
          </w:tcPr>
          <w:p w14:paraId="300B5CFF"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44,9% годовых</w:t>
            </w:r>
          </w:p>
        </w:tc>
      </w:tr>
      <w:tr w:rsidR="00440295" w:rsidRPr="00F63AD8" w14:paraId="20B5B3A2" w14:textId="77777777" w:rsidTr="00034511">
        <w:trPr>
          <w:gridBefore w:val="1"/>
          <w:wBefore w:w="94" w:type="pct"/>
          <w:trHeight w:val="554"/>
        </w:trPr>
        <w:tc>
          <w:tcPr>
            <w:tcW w:w="1812" w:type="pct"/>
            <w:gridSpan w:val="5"/>
            <w:vAlign w:val="center"/>
          </w:tcPr>
          <w:p w14:paraId="4CD8548D" w14:textId="77777777" w:rsidR="00440295" w:rsidRPr="00F63AD8" w:rsidRDefault="00440295" w:rsidP="00034511">
            <w:pPr>
              <w:rPr>
                <w:rFonts w:ascii="Tahoma" w:hAnsi="Tahoma" w:cs="Tahoma"/>
                <w:b/>
                <w:sz w:val="18"/>
                <w:szCs w:val="18"/>
              </w:rPr>
            </w:pPr>
            <w:r w:rsidRPr="00F63AD8">
              <w:rPr>
                <w:rFonts w:ascii="Tahoma" w:hAnsi="Tahoma" w:cs="Tahoma"/>
                <w:b/>
                <w:bCs/>
                <w:color w:val="000000" w:themeColor="text1"/>
                <w:sz w:val="18"/>
                <w:szCs w:val="18"/>
              </w:rPr>
              <w:t>Диапазон полной стоимости Кредита в процентном  и денежном выражении</w:t>
            </w:r>
          </w:p>
        </w:tc>
        <w:tc>
          <w:tcPr>
            <w:tcW w:w="3095" w:type="pct"/>
            <w:gridSpan w:val="3"/>
            <w:shd w:val="clear" w:color="auto" w:fill="auto"/>
            <w:vAlign w:val="center"/>
          </w:tcPr>
          <w:p w14:paraId="22307207" w14:textId="77777777" w:rsidR="00440295" w:rsidRPr="00F63AD8" w:rsidRDefault="00440295" w:rsidP="00034511">
            <w:pPr>
              <w:jc w:val="center"/>
              <w:rPr>
                <w:rFonts w:ascii="Tahoma" w:hAnsi="Tahoma" w:cs="Tahoma"/>
                <w:bCs/>
                <w:sz w:val="18"/>
                <w:szCs w:val="18"/>
                <w:shd w:val="clear" w:color="auto" w:fill="FAFAFA"/>
              </w:rPr>
            </w:pPr>
            <w:r w:rsidRPr="00F63AD8">
              <w:rPr>
                <w:rFonts w:ascii="Tahoma" w:hAnsi="Tahoma" w:cs="Tahoma"/>
                <w:bCs/>
                <w:sz w:val="18"/>
                <w:szCs w:val="18"/>
                <w:shd w:val="clear" w:color="auto" w:fill="FAFAFA"/>
              </w:rPr>
              <w:t>43,577% годовых – 45,000 % годовых;</w:t>
            </w:r>
          </w:p>
          <w:p w14:paraId="379330FD" w14:textId="77777777" w:rsidR="00440295" w:rsidRPr="00F63AD8" w:rsidRDefault="00440295" w:rsidP="00034511">
            <w:pPr>
              <w:jc w:val="center"/>
              <w:rPr>
                <w:rFonts w:ascii="Tahoma" w:hAnsi="Tahoma" w:cs="Tahoma"/>
                <w:bCs/>
                <w:sz w:val="18"/>
                <w:szCs w:val="18"/>
                <w:shd w:val="clear" w:color="auto" w:fill="FAFAFA"/>
              </w:rPr>
            </w:pPr>
            <w:r w:rsidRPr="00F63AD8">
              <w:rPr>
                <w:rFonts w:ascii="Tahoma" w:hAnsi="Tahoma" w:cs="Tahoma"/>
                <w:bCs/>
                <w:sz w:val="18"/>
                <w:szCs w:val="18"/>
                <w:shd w:val="clear" w:color="auto" w:fill="FAFAFA"/>
              </w:rPr>
              <w:t>4 137,28 руб. – 82 745,53 руб.</w:t>
            </w:r>
          </w:p>
          <w:p w14:paraId="24CB2777" w14:textId="77777777" w:rsidR="00440295" w:rsidRPr="00F63AD8" w:rsidRDefault="00440295" w:rsidP="00034511">
            <w:pPr>
              <w:jc w:val="center"/>
              <w:rPr>
                <w:rFonts w:ascii="Tahoma" w:hAnsi="Tahoma" w:cs="Tahoma"/>
                <w:bCs/>
                <w:sz w:val="18"/>
                <w:szCs w:val="18"/>
                <w:shd w:val="clear" w:color="auto" w:fill="FAFAFA"/>
              </w:rPr>
            </w:pPr>
          </w:p>
        </w:tc>
      </w:tr>
      <w:tr w:rsidR="00440295" w:rsidRPr="00F63AD8" w14:paraId="0501D5F0" w14:textId="77777777" w:rsidTr="00034511">
        <w:trPr>
          <w:gridBefore w:val="1"/>
          <w:wBefore w:w="94" w:type="pct"/>
          <w:trHeight w:val="725"/>
        </w:trPr>
        <w:tc>
          <w:tcPr>
            <w:tcW w:w="1812" w:type="pct"/>
            <w:gridSpan w:val="5"/>
          </w:tcPr>
          <w:p w14:paraId="75B9188D" w14:textId="77777777" w:rsidR="00440295" w:rsidRPr="00F63AD8" w:rsidRDefault="00440295" w:rsidP="00034511">
            <w:pPr>
              <w:tabs>
                <w:tab w:val="left" w:pos="851"/>
              </w:tabs>
              <w:rPr>
                <w:rFonts w:ascii="Tahoma" w:hAnsi="Tahoma" w:cs="Tahoma"/>
                <w:b/>
                <w:sz w:val="18"/>
                <w:szCs w:val="18"/>
              </w:rPr>
            </w:pPr>
            <w:r w:rsidRPr="00F63AD8">
              <w:rPr>
                <w:rFonts w:ascii="Tahoma" w:hAnsi="Tahoma" w:cs="Tahoma"/>
                <w:b/>
                <w:sz w:val="18"/>
                <w:szCs w:val="18"/>
              </w:rPr>
              <w:t>Срок возврата Кредита</w:t>
            </w:r>
          </w:p>
        </w:tc>
        <w:tc>
          <w:tcPr>
            <w:tcW w:w="3095" w:type="pct"/>
            <w:gridSpan w:val="3"/>
            <w:shd w:val="clear" w:color="auto" w:fill="auto"/>
          </w:tcPr>
          <w:p w14:paraId="58EFDD18" w14:textId="77777777" w:rsidR="00440295" w:rsidRPr="00F63AD8" w:rsidRDefault="00440295" w:rsidP="00034511">
            <w:pPr>
              <w:rPr>
                <w:rFonts w:ascii="Tahoma" w:hAnsi="Tahoma" w:cs="Tahoma"/>
                <w:sz w:val="18"/>
                <w:szCs w:val="18"/>
              </w:rPr>
            </w:pPr>
            <w:r w:rsidRPr="00F63AD8">
              <w:rPr>
                <w:rFonts w:ascii="Tahoma" w:hAnsi="Tahoma" w:cs="Tahoma"/>
                <w:sz w:val="18"/>
                <w:szCs w:val="18"/>
              </w:rPr>
              <w:t xml:space="preserve">36 месяцев, Лимита кредитования в режиме самовозобновления действует 12 месяцев (по мере погашения долга в случае погашения ссудной задолженности Заемщику восстанавливается Лимит кредитования на сумму погашенной ссудной задолженности), заключительные 24 месяца Лимит кредитования действует в режиме погашения (по мере погашения долга происходит снижение используемого Лимита кредитования вплоть до нуля). </w:t>
            </w:r>
            <w:r w:rsidRPr="00F63AD8">
              <w:rPr>
                <w:rFonts w:ascii="Tahoma" w:hAnsi="Tahoma" w:cs="Tahoma"/>
                <w:color w:val="000000"/>
                <w:sz w:val="18"/>
                <w:szCs w:val="18"/>
                <w:bdr w:val="none" w:sz="0" w:space="0" w:color="auto" w:frame="1"/>
              </w:rPr>
              <w:t>Срок возврата Кредита по конкретному Договору определяется на момент заключения Договора.</w:t>
            </w:r>
            <w:r w:rsidRPr="00F63AD8">
              <w:rPr>
                <w:rFonts w:ascii="Tahoma" w:hAnsi="Tahoma" w:cs="Tahoma"/>
                <w:color w:val="000000"/>
                <w:sz w:val="18"/>
                <w:szCs w:val="18"/>
              </w:rPr>
              <w:t> </w:t>
            </w:r>
          </w:p>
        </w:tc>
      </w:tr>
      <w:tr w:rsidR="00440295" w:rsidRPr="00F63AD8" w14:paraId="1D88E4C5" w14:textId="77777777" w:rsidTr="00034511">
        <w:trPr>
          <w:gridBefore w:val="1"/>
          <w:wBefore w:w="94" w:type="pct"/>
          <w:trHeight w:val="335"/>
        </w:trPr>
        <w:tc>
          <w:tcPr>
            <w:tcW w:w="1812" w:type="pct"/>
            <w:gridSpan w:val="5"/>
          </w:tcPr>
          <w:p w14:paraId="32790119" w14:textId="77777777" w:rsidR="00440295" w:rsidRPr="00F63AD8" w:rsidRDefault="00440295" w:rsidP="00034511">
            <w:pPr>
              <w:tabs>
                <w:tab w:val="left" w:pos="851"/>
              </w:tabs>
              <w:rPr>
                <w:rFonts w:ascii="Tahoma" w:hAnsi="Tahoma" w:cs="Tahoma"/>
                <w:b/>
                <w:sz w:val="18"/>
                <w:szCs w:val="18"/>
              </w:rPr>
            </w:pPr>
            <w:r w:rsidRPr="00F63AD8">
              <w:rPr>
                <w:rFonts w:ascii="Tahoma" w:hAnsi="Tahoma" w:cs="Tahoma"/>
                <w:b/>
                <w:sz w:val="18"/>
                <w:szCs w:val="18"/>
              </w:rPr>
              <w:t xml:space="preserve">Срок действия Грейс-периода </w:t>
            </w:r>
          </w:p>
        </w:tc>
        <w:tc>
          <w:tcPr>
            <w:tcW w:w="3095" w:type="pct"/>
            <w:gridSpan w:val="3"/>
          </w:tcPr>
          <w:p w14:paraId="672BFCAA"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до 56 календарных дней</w:t>
            </w:r>
          </w:p>
        </w:tc>
      </w:tr>
      <w:tr w:rsidR="00440295" w:rsidRPr="00F63AD8" w14:paraId="3335BF95" w14:textId="77777777" w:rsidTr="00034511">
        <w:trPr>
          <w:gridBefore w:val="1"/>
          <w:wBefore w:w="94" w:type="pct"/>
          <w:trHeight w:val="258"/>
        </w:trPr>
        <w:tc>
          <w:tcPr>
            <w:tcW w:w="1812" w:type="pct"/>
            <w:gridSpan w:val="5"/>
          </w:tcPr>
          <w:p w14:paraId="27BD1955" w14:textId="77777777" w:rsidR="00440295" w:rsidRPr="00F63AD8" w:rsidRDefault="00440295" w:rsidP="00034511">
            <w:pPr>
              <w:tabs>
                <w:tab w:val="left" w:pos="851"/>
              </w:tabs>
              <w:ind w:firstLine="34"/>
              <w:rPr>
                <w:rFonts w:ascii="Tahoma" w:hAnsi="Tahoma" w:cs="Tahoma"/>
                <w:b/>
                <w:sz w:val="18"/>
                <w:szCs w:val="18"/>
              </w:rPr>
            </w:pPr>
            <w:r w:rsidRPr="00F63AD8">
              <w:rPr>
                <w:rFonts w:ascii="Tahoma" w:hAnsi="Tahoma" w:cs="Tahoma"/>
                <w:b/>
                <w:sz w:val="18"/>
                <w:szCs w:val="18"/>
              </w:rPr>
              <w:t>Ограничение на использование Грейс-периода</w:t>
            </w:r>
          </w:p>
        </w:tc>
        <w:tc>
          <w:tcPr>
            <w:tcW w:w="3095" w:type="pct"/>
            <w:gridSpan w:val="3"/>
          </w:tcPr>
          <w:p w14:paraId="1C819B76" w14:textId="77777777" w:rsidR="00440295" w:rsidRPr="00F63AD8" w:rsidRDefault="00440295" w:rsidP="00034511">
            <w:pPr>
              <w:rPr>
                <w:rFonts w:ascii="Tahoma" w:hAnsi="Tahoma" w:cs="Tahoma"/>
                <w:sz w:val="18"/>
                <w:szCs w:val="18"/>
              </w:rPr>
            </w:pPr>
            <w:r w:rsidRPr="00F63AD8">
              <w:rPr>
                <w:rFonts w:ascii="Tahoma" w:hAnsi="Tahoma" w:cs="Tahoma"/>
                <w:sz w:val="18"/>
                <w:szCs w:val="18"/>
              </w:rPr>
              <w:t>грейс-период не распространяется на операции перевода денежных средств на иную банковскую карту, операции снятия наличных денежных средств, операции по проведению «уникальных» транзакций: квази-cash (оплата дорожных чеков, денежных обязательств), «игровые транзакции» (оплата лотерейных билетов, игровых фишек в казино).</w:t>
            </w:r>
          </w:p>
        </w:tc>
      </w:tr>
      <w:tr w:rsidR="00440295" w:rsidRPr="00F63AD8" w14:paraId="668BEEF8" w14:textId="77777777" w:rsidTr="00034511">
        <w:trPr>
          <w:gridBefore w:val="1"/>
          <w:wBefore w:w="94" w:type="pct"/>
          <w:trHeight w:val="2818"/>
        </w:trPr>
        <w:tc>
          <w:tcPr>
            <w:tcW w:w="1812" w:type="pct"/>
            <w:gridSpan w:val="5"/>
          </w:tcPr>
          <w:p w14:paraId="30037612" w14:textId="77777777" w:rsidR="00440295" w:rsidRPr="00F63AD8" w:rsidRDefault="00440295" w:rsidP="00034511">
            <w:pPr>
              <w:tabs>
                <w:tab w:val="left" w:pos="851"/>
              </w:tabs>
              <w:rPr>
                <w:rFonts w:ascii="Tahoma" w:hAnsi="Tahoma" w:cs="Tahoma"/>
                <w:b/>
                <w:sz w:val="18"/>
                <w:szCs w:val="18"/>
              </w:rPr>
            </w:pPr>
            <w:r w:rsidRPr="00F63AD8">
              <w:rPr>
                <w:rFonts w:ascii="Tahoma" w:hAnsi="Tahoma" w:cs="Tahoma"/>
                <w:b/>
                <w:sz w:val="18"/>
                <w:szCs w:val="18"/>
              </w:rPr>
              <w:t>ОМЕП</w:t>
            </w:r>
            <w:r w:rsidRPr="00F63AD8">
              <w:rPr>
                <w:rFonts w:ascii="Tahoma" w:hAnsi="Tahoma" w:cs="Tahoma"/>
                <w:sz w:val="18"/>
                <w:szCs w:val="18"/>
              </w:rPr>
              <w:t xml:space="preserve"> (рассчитывается от суммы использованного Лимита кредитования на дату последнего дня Расчетного периода + сумма процентов, начисленных за пользование Кредитом за Расчетный период (</w:t>
            </w:r>
            <w:r w:rsidRPr="00F63AD8">
              <w:rPr>
                <w:rFonts w:ascii="Tahoma" w:hAnsi="Tahoma" w:cs="Tahoma"/>
                <w:sz w:val="18"/>
                <w:szCs w:val="18"/>
                <w:shd w:val="clear" w:color="auto" w:fill="FFFFFF" w:themeFill="background1"/>
              </w:rPr>
              <w:t>проценты, начисленные на сумму Ссудной задолженности по операциям целевого использования Лимита кредитования,</w:t>
            </w:r>
            <w:r w:rsidRPr="00F63AD8">
              <w:rPr>
                <w:rFonts w:ascii="Tahoma" w:hAnsi="Tahoma" w:cs="Tahoma"/>
                <w:sz w:val="18"/>
                <w:szCs w:val="18"/>
              </w:rPr>
              <w:t xml:space="preserve"> не начисляются при условии уплаты Заемщиком в полном объеме не позднее срока окончания льготного периода всей существующей по Договору суммы Задолженности). Во время действия Грейс-периода требование по внесению ОМЕП не отменяется.)</w:t>
            </w:r>
          </w:p>
        </w:tc>
        <w:tc>
          <w:tcPr>
            <w:tcW w:w="3095" w:type="pct"/>
            <w:gridSpan w:val="3"/>
          </w:tcPr>
          <w:p w14:paraId="0FD55A32" w14:textId="77777777" w:rsidR="00440295" w:rsidRPr="00F63AD8" w:rsidRDefault="00440295" w:rsidP="00034511">
            <w:pPr>
              <w:tabs>
                <w:tab w:val="left" w:pos="851"/>
              </w:tabs>
              <w:jc w:val="center"/>
              <w:rPr>
                <w:rFonts w:ascii="Tahoma" w:hAnsi="Tahoma" w:cs="Tahoma"/>
                <w:sz w:val="18"/>
                <w:szCs w:val="18"/>
              </w:rPr>
            </w:pPr>
          </w:p>
          <w:p w14:paraId="06F1F8D9" w14:textId="77777777" w:rsidR="00440295" w:rsidRPr="00F63AD8" w:rsidRDefault="00440295" w:rsidP="00034511">
            <w:pPr>
              <w:tabs>
                <w:tab w:val="left" w:pos="851"/>
              </w:tabs>
              <w:jc w:val="center"/>
              <w:rPr>
                <w:rFonts w:ascii="Tahoma" w:hAnsi="Tahoma" w:cs="Tahoma"/>
                <w:sz w:val="18"/>
                <w:szCs w:val="18"/>
              </w:rPr>
            </w:pPr>
          </w:p>
          <w:p w14:paraId="0BE457A7" w14:textId="77777777" w:rsidR="00440295" w:rsidRPr="00F63AD8" w:rsidRDefault="00440295" w:rsidP="00034511">
            <w:pPr>
              <w:tabs>
                <w:tab w:val="left" w:pos="851"/>
              </w:tabs>
              <w:jc w:val="center"/>
              <w:rPr>
                <w:rFonts w:ascii="Tahoma" w:hAnsi="Tahoma" w:cs="Tahoma"/>
                <w:sz w:val="18"/>
                <w:szCs w:val="18"/>
              </w:rPr>
            </w:pPr>
          </w:p>
          <w:p w14:paraId="52036BB2" w14:textId="77777777" w:rsidR="00440295" w:rsidRPr="00F63AD8" w:rsidRDefault="00440295" w:rsidP="00034511">
            <w:pPr>
              <w:tabs>
                <w:tab w:val="left" w:pos="851"/>
              </w:tabs>
              <w:jc w:val="center"/>
              <w:rPr>
                <w:rFonts w:ascii="Tahoma" w:hAnsi="Tahoma" w:cs="Tahoma"/>
                <w:sz w:val="18"/>
                <w:szCs w:val="18"/>
              </w:rPr>
            </w:pPr>
          </w:p>
          <w:p w14:paraId="6847772F" w14:textId="77777777" w:rsidR="00440295" w:rsidRPr="00F63AD8" w:rsidRDefault="00440295" w:rsidP="00034511">
            <w:pPr>
              <w:tabs>
                <w:tab w:val="left" w:pos="851"/>
              </w:tabs>
              <w:jc w:val="center"/>
              <w:rPr>
                <w:rFonts w:ascii="Tahoma" w:hAnsi="Tahoma" w:cs="Tahoma"/>
                <w:sz w:val="18"/>
                <w:szCs w:val="18"/>
              </w:rPr>
            </w:pPr>
          </w:p>
          <w:p w14:paraId="18B43904" w14:textId="77777777" w:rsidR="00440295" w:rsidRPr="00F63AD8" w:rsidRDefault="00440295" w:rsidP="00034511">
            <w:pPr>
              <w:tabs>
                <w:tab w:val="left" w:pos="851"/>
              </w:tabs>
              <w:jc w:val="center"/>
              <w:rPr>
                <w:rFonts w:ascii="Tahoma" w:hAnsi="Tahoma" w:cs="Tahoma"/>
                <w:sz w:val="18"/>
                <w:szCs w:val="18"/>
              </w:rPr>
            </w:pPr>
          </w:p>
          <w:p w14:paraId="54FC1A5B" w14:textId="77777777" w:rsidR="00440295" w:rsidRPr="00F63AD8" w:rsidRDefault="00440295" w:rsidP="00034511">
            <w:pPr>
              <w:tabs>
                <w:tab w:val="left" w:pos="851"/>
              </w:tabs>
              <w:jc w:val="center"/>
              <w:rPr>
                <w:rFonts w:ascii="Tahoma" w:hAnsi="Tahoma" w:cs="Tahoma"/>
                <w:b/>
                <w:sz w:val="18"/>
                <w:szCs w:val="18"/>
              </w:rPr>
            </w:pPr>
            <w:r w:rsidRPr="00F63AD8">
              <w:rPr>
                <w:rFonts w:ascii="Tahoma" w:hAnsi="Tahoma" w:cs="Tahoma"/>
                <w:sz w:val="18"/>
                <w:szCs w:val="18"/>
              </w:rPr>
              <w:t>3%</w:t>
            </w:r>
          </w:p>
        </w:tc>
      </w:tr>
      <w:tr w:rsidR="00440295" w:rsidRPr="00F63AD8" w14:paraId="5C6AE64B" w14:textId="77777777" w:rsidTr="00034511">
        <w:trPr>
          <w:gridBefore w:val="1"/>
          <w:wBefore w:w="94" w:type="pct"/>
          <w:trHeight w:val="824"/>
        </w:trPr>
        <w:tc>
          <w:tcPr>
            <w:tcW w:w="1812" w:type="pct"/>
            <w:gridSpan w:val="5"/>
          </w:tcPr>
          <w:p w14:paraId="215B9F19" w14:textId="77777777" w:rsidR="00440295" w:rsidRPr="00F63AD8" w:rsidRDefault="00440295" w:rsidP="00034511">
            <w:pPr>
              <w:tabs>
                <w:tab w:val="left" w:pos="851"/>
              </w:tabs>
              <w:rPr>
                <w:rFonts w:ascii="Tahoma" w:hAnsi="Tahoma" w:cs="Tahoma"/>
                <w:b/>
                <w:sz w:val="18"/>
                <w:szCs w:val="18"/>
              </w:rPr>
            </w:pPr>
            <w:r w:rsidRPr="00F63AD8">
              <w:rPr>
                <w:rFonts w:ascii="Tahoma" w:hAnsi="Tahoma" w:cs="Tahoma"/>
                <w:b/>
                <w:sz w:val="18"/>
                <w:szCs w:val="18"/>
              </w:rPr>
              <w:t>Дата, начиная с которой начисляются проценты за пользование Кредитом, или порядок ее определения</w:t>
            </w:r>
          </w:p>
        </w:tc>
        <w:tc>
          <w:tcPr>
            <w:tcW w:w="3095" w:type="pct"/>
            <w:gridSpan w:val="3"/>
            <w:vAlign w:val="center"/>
          </w:tcPr>
          <w:p w14:paraId="52F35759" w14:textId="77777777" w:rsidR="00440295" w:rsidRPr="00F63AD8" w:rsidRDefault="00440295" w:rsidP="00034511">
            <w:pPr>
              <w:tabs>
                <w:tab w:val="left" w:pos="851"/>
              </w:tabs>
              <w:jc w:val="center"/>
              <w:rPr>
                <w:rFonts w:ascii="Tahoma" w:hAnsi="Tahoma" w:cs="Tahoma"/>
                <w:sz w:val="18"/>
                <w:szCs w:val="18"/>
              </w:rPr>
            </w:pPr>
            <w:r w:rsidRPr="00F63AD8">
              <w:rPr>
                <w:rFonts w:ascii="Tahoma" w:hAnsi="Tahoma" w:cs="Tahoma"/>
                <w:sz w:val="18"/>
                <w:szCs w:val="18"/>
              </w:rPr>
              <w:t>Дата, следующая за датой начала использования кредитных средств</w:t>
            </w:r>
          </w:p>
        </w:tc>
      </w:tr>
      <w:tr w:rsidR="00440295" w:rsidRPr="00F63AD8" w14:paraId="422AFCDC" w14:textId="77777777" w:rsidTr="00034511">
        <w:trPr>
          <w:gridBefore w:val="1"/>
          <w:wBefore w:w="94" w:type="pct"/>
          <w:trHeight w:val="209"/>
        </w:trPr>
        <w:tc>
          <w:tcPr>
            <w:tcW w:w="1812" w:type="pct"/>
            <w:gridSpan w:val="5"/>
          </w:tcPr>
          <w:p w14:paraId="0C11B9D8" w14:textId="77777777" w:rsidR="00440295" w:rsidRPr="00F63AD8" w:rsidRDefault="00440295" w:rsidP="00034511">
            <w:pPr>
              <w:tabs>
                <w:tab w:val="left" w:pos="851"/>
              </w:tabs>
              <w:rPr>
                <w:rFonts w:ascii="Tahoma" w:hAnsi="Tahoma" w:cs="Tahoma"/>
                <w:b/>
                <w:sz w:val="18"/>
                <w:szCs w:val="18"/>
              </w:rPr>
            </w:pPr>
            <w:r w:rsidRPr="00F63AD8">
              <w:rPr>
                <w:rFonts w:ascii="Tahoma" w:hAnsi="Tahoma" w:cs="Tahoma"/>
                <w:b/>
                <w:sz w:val="18"/>
                <w:szCs w:val="18"/>
              </w:rPr>
              <w:t>Срок действия Договора</w:t>
            </w:r>
          </w:p>
        </w:tc>
        <w:tc>
          <w:tcPr>
            <w:tcW w:w="3095" w:type="pct"/>
            <w:gridSpan w:val="3"/>
            <w:vAlign w:val="center"/>
          </w:tcPr>
          <w:p w14:paraId="1F134AD8" w14:textId="77777777" w:rsidR="00440295" w:rsidRPr="00F63AD8" w:rsidRDefault="00440295" w:rsidP="00034511">
            <w:pPr>
              <w:tabs>
                <w:tab w:val="left" w:pos="851"/>
              </w:tabs>
              <w:jc w:val="center"/>
              <w:rPr>
                <w:rFonts w:ascii="Tahoma" w:hAnsi="Tahoma" w:cs="Tahoma"/>
                <w:sz w:val="18"/>
                <w:szCs w:val="18"/>
              </w:rPr>
            </w:pPr>
            <w:r w:rsidRPr="00F63AD8">
              <w:rPr>
                <w:rFonts w:ascii="Tahoma" w:hAnsi="Tahoma" w:cs="Tahoma"/>
                <w:sz w:val="18"/>
                <w:szCs w:val="18"/>
              </w:rPr>
              <w:t>До полного исполнения Сторонами обязательств по Договору</w:t>
            </w:r>
          </w:p>
        </w:tc>
      </w:tr>
      <w:tr w:rsidR="00440295" w:rsidRPr="00F63AD8" w14:paraId="298FF241" w14:textId="77777777" w:rsidTr="00034511">
        <w:trPr>
          <w:gridBefore w:val="1"/>
          <w:wBefore w:w="94" w:type="pct"/>
          <w:trHeight w:val="726"/>
        </w:trPr>
        <w:tc>
          <w:tcPr>
            <w:tcW w:w="1812" w:type="pct"/>
            <w:gridSpan w:val="5"/>
          </w:tcPr>
          <w:p w14:paraId="06336D33" w14:textId="77777777" w:rsidR="00440295" w:rsidRPr="00F63AD8" w:rsidRDefault="00440295" w:rsidP="00034511">
            <w:pPr>
              <w:tabs>
                <w:tab w:val="left" w:pos="851"/>
              </w:tabs>
              <w:rPr>
                <w:rFonts w:ascii="Tahoma" w:hAnsi="Tahoma" w:cs="Tahoma"/>
                <w:b/>
                <w:sz w:val="18"/>
                <w:szCs w:val="18"/>
              </w:rPr>
            </w:pPr>
            <w:r w:rsidRPr="00F63AD8">
              <w:rPr>
                <w:rFonts w:ascii="Tahoma" w:hAnsi="Tahoma" w:cs="Tahoma"/>
                <w:b/>
                <w:sz w:val="18"/>
                <w:szCs w:val="18"/>
              </w:rPr>
              <w:t>Обеспечение по Кредиту</w:t>
            </w:r>
          </w:p>
          <w:p w14:paraId="7DF0F8DE" w14:textId="77777777" w:rsidR="00440295" w:rsidRPr="00F63AD8" w:rsidRDefault="00440295" w:rsidP="00034511">
            <w:pPr>
              <w:tabs>
                <w:tab w:val="left" w:pos="851"/>
              </w:tabs>
              <w:rPr>
                <w:rFonts w:ascii="Tahoma" w:hAnsi="Tahoma" w:cs="Tahoma"/>
                <w:b/>
                <w:sz w:val="18"/>
                <w:szCs w:val="18"/>
              </w:rPr>
            </w:pPr>
          </w:p>
        </w:tc>
        <w:tc>
          <w:tcPr>
            <w:tcW w:w="3095" w:type="pct"/>
            <w:gridSpan w:val="3"/>
            <w:vAlign w:val="center"/>
          </w:tcPr>
          <w:p w14:paraId="20885775" w14:textId="77777777" w:rsidR="00440295" w:rsidRPr="00F63AD8" w:rsidRDefault="00440295" w:rsidP="00034511">
            <w:pPr>
              <w:tabs>
                <w:tab w:val="left" w:pos="851"/>
              </w:tabs>
              <w:rPr>
                <w:rFonts w:ascii="Tahoma" w:hAnsi="Tahoma" w:cs="Tahoma"/>
                <w:sz w:val="18"/>
                <w:szCs w:val="18"/>
              </w:rPr>
            </w:pPr>
            <w:r w:rsidRPr="00F63AD8">
              <w:rPr>
                <w:rFonts w:ascii="Tahoma" w:hAnsi="Tahoma" w:cs="Tahoma"/>
                <w:color w:val="000000"/>
                <w:sz w:val="18"/>
                <w:szCs w:val="18"/>
              </w:rPr>
              <w:t>По требованию Банка может быть запрошено обеспечение исполнения обязательств Заемщика, а именно: залог, поручительство. Если при расчете платежеспособности Заёмщика участвуют доходы супруга(и) Заёмщика, без которых Заемщик самостоятельно не проходит по платежеспособности, то Банком может быть запрошено оформление данного супруга(и) Заёмщика в качестве созаёмщика (второго Заемщика)</w:t>
            </w:r>
          </w:p>
        </w:tc>
      </w:tr>
      <w:tr w:rsidR="00440295" w:rsidRPr="00F63AD8" w14:paraId="2B539050" w14:textId="77777777" w:rsidTr="00034511">
        <w:tblPrEx>
          <w:tblLook w:val="00A0" w:firstRow="1" w:lastRow="0" w:firstColumn="1" w:lastColumn="0" w:noHBand="0" w:noVBand="0"/>
        </w:tblPrEx>
        <w:trPr>
          <w:gridBefore w:val="1"/>
          <w:wBefore w:w="94" w:type="pct"/>
          <w:trHeight w:val="264"/>
        </w:trPr>
        <w:tc>
          <w:tcPr>
            <w:tcW w:w="1812" w:type="pct"/>
            <w:gridSpan w:val="5"/>
            <w:vMerge w:val="restart"/>
            <w:tcBorders>
              <w:top w:val="single" w:sz="8" w:space="0" w:color="auto"/>
              <w:left w:val="single" w:sz="4" w:space="0" w:color="auto"/>
              <w:right w:val="single" w:sz="4" w:space="0" w:color="auto"/>
            </w:tcBorders>
            <w:vAlign w:val="center"/>
          </w:tcPr>
          <w:p w14:paraId="124D7DC9"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Требования к Заемщику, которые установлены Банком и выполнение которых является обязательным для предоставления потребительского кредита (с лимитом кредитования)</w:t>
            </w:r>
          </w:p>
        </w:tc>
        <w:tc>
          <w:tcPr>
            <w:tcW w:w="3095" w:type="pct"/>
            <w:gridSpan w:val="3"/>
            <w:tcBorders>
              <w:top w:val="single" w:sz="8" w:space="0" w:color="auto"/>
              <w:left w:val="nil"/>
              <w:bottom w:val="single" w:sz="4" w:space="0" w:color="auto"/>
              <w:right w:val="single" w:sz="8" w:space="0" w:color="000000"/>
            </w:tcBorders>
            <w:noWrap/>
            <w:vAlign w:val="center"/>
          </w:tcPr>
          <w:p w14:paraId="41DF3726" w14:textId="77777777" w:rsidR="00440295" w:rsidRPr="00F63AD8" w:rsidRDefault="00440295" w:rsidP="00034511">
            <w:pPr>
              <w:pStyle w:val="a9"/>
              <w:tabs>
                <w:tab w:val="left" w:pos="-284"/>
                <w:tab w:val="left" w:pos="851"/>
              </w:tabs>
              <w:spacing w:before="0" w:after="0"/>
              <w:ind w:right="849"/>
              <w:jc w:val="center"/>
              <w:rPr>
                <w:rFonts w:ascii="Tahoma" w:hAnsi="Tahoma" w:cs="Tahoma"/>
                <w:b/>
                <w:sz w:val="18"/>
                <w:szCs w:val="18"/>
              </w:rPr>
            </w:pPr>
            <w:r w:rsidRPr="00F63AD8">
              <w:rPr>
                <w:rFonts w:ascii="Tahoma" w:hAnsi="Tahoma" w:cs="Tahoma"/>
                <w:b/>
                <w:sz w:val="18"/>
                <w:szCs w:val="18"/>
              </w:rPr>
              <w:t>Основные</w:t>
            </w:r>
          </w:p>
        </w:tc>
      </w:tr>
      <w:tr w:rsidR="00440295" w:rsidRPr="00F63AD8" w14:paraId="385A761D" w14:textId="77777777" w:rsidTr="000345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gridBefore w:val="1"/>
          <w:wBefore w:w="94" w:type="pct"/>
          <w:trHeight w:val="2711"/>
        </w:trPr>
        <w:tc>
          <w:tcPr>
            <w:tcW w:w="1812" w:type="pct"/>
            <w:gridSpan w:val="5"/>
            <w:vMerge/>
            <w:tcBorders>
              <w:left w:val="single" w:sz="4" w:space="0" w:color="auto"/>
              <w:right w:val="single" w:sz="4" w:space="0" w:color="auto"/>
            </w:tcBorders>
            <w:vAlign w:val="center"/>
          </w:tcPr>
          <w:p w14:paraId="3FD408EE" w14:textId="77777777" w:rsidR="00440295" w:rsidRPr="00F63AD8" w:rsidRDefault="00440295" w:rsidP="00034511">
            <w:pPr>
              <w:rPr>
                <w:rFonts w:ascii="Tahoma" w:hAnsi="Tahoma" w:cs="Tahoma"/>
                <w:sz w:val="18"/>
                <w:szCs w:val="18"/>
              </w:rPr>
            </w:pPr>
          </w:p>
        </w:tc>
        <w:tc>
          <w:tcPr>
            <w:tcW w:w="3095" w:type="pct"/>
            <w:gridSpan w:val="3"/>
            <w:tcBorders>
              <w:top w:val="single" w:sz="4" w:space="0" w:color="auto"/>
              <w:left w:val="nil"/>
              <w:right w:val="single" w:sz="8" w:space="0" w:color="000000"/>
            </w:tcBorders>
            <w:noWrap/>
            <w:vAlign w:val="center"/>
          </w:tcPr>
          <w:p w14:paraId="44677152" w14:textId="77777777" w:rsidR="00440295" w:rsidRPr="00F63AD8" w:rsidRDefault="00440295" w:rsidP="00034511">
            <w:pPr>
              <w:widowControl w:val="0"/>
              <w:tabs>
                <w:tab w:val="left" w:pos="851"/>
              </w:tabs>
              <w:adjustRightInd w:val="0"/>
              <w:rPr>
                <w:rFonts w:ascii="Tahoma" w:hAnsi="Tahoma" w:cs="Tahoma"/>
                <w:sz w:val="18"/>
                <w:szCs w:val="18"/>
              </w:rPr>
            </w:pPr>
            <w:r w:rsidRPr="00F63AD8">
              <w:rPr>
                <w:rFonts w:ascii="Tahoma" w:hAnsi="Tahoma" w:cs="Tahoma"/>
                <w:sz w:val="18"/>
                <w:szCs w:val="18"/>
              </w:rPr>
              <w:t>- гражданство Российской Федерации;</w:t>
            </w:r>
          </w:p>
          <w:p w14:paraId="4F732EFB" w14:textId="77777777" w:rsidR="00440295" w:rsidRPr="00F63AD8" w:rsidRDefault="00440295" w:rsidP="00034511">
            <w:pPr>
              <w:widowControl w:val="0"/>
              <w:tabs>
                <w:tab w:val="left" w:pos="851"/>
              </w:tabs>
              <w:adjustRightInd w:val="0"/>
              <w:rPr>
                <w:rFonts w:ascii="Tahoma" w:hAnsi="Tahoma" w:cs="Tahoma"/>
                <w:sz w:val="18"/>
                <w:szCs w:val="18"/>
              </w:rPr>
            </w:pPr>
            <w:r w:rsidRPr="00F63AD8">
              <w:rPr>
                <w:rFonts w:ascii="Tahoma" w:hAnsi="Tahoma" w:cs="Tahoma"/>
                <w:sz w:val="18"/>
                <w:szCs w:val="18"/>
              </w:rPr>
              <w:t>- возраст Заёмщика не менее 21 года (на момент оформления Кредита) и не более 70 лет (на момент окончания действия срока возврата Кредита) включительно;</w:t>
            </w:r>
          </w:p>
          <w:p w14:paraId="10DE2502" w14:textId="77777777" w:rsidR="00440295" w:rsidRPr="00F63AD8" w:rsidRDefault="00440295" w:rsidP="00034511">
            <w:pPr>
              <w:widowControl w:val="0"/>
              <w:rPr>
                <w:rFonts w:ascii="Tahoma" w:hAnsi="Tahoma" w:cs="Tahoma"/>
                <w:sz w:val="18"/>
                <w:szCs w:val="18"/>
              </w:rPr>
            </w:pPr>
            <w:r w:rsidRPr="00F63AD8">
              <w:rPr>
                <w:rFonts w:ascii="Tahoma" w:hAnsi="Tahoma" w:cs="Tahoma"/>
                <w:sz w:val="18"/>
                <w:szCs w:val="18"/>
              </w:rPr>
              <w:t>- адрес регистрации и фактическое место жительства Заемщика должны находиться на территории, обслуживаемой Банком (ТОБ) (за исключением категории Заемщиков с положительной кредитной историей). Информация о ТОБ размещена на официальном сайте Банка (</w:t>
            </w:r>
            <w:r w:rsidRPr="00F63AD8">
              <w:rPr>
                <w:rFonts w:ascii="Tahoma" w:hAnsi="Tahoma" w:cs="Tahoma"/>
                <w:sz w:val="18"/>
                <w:szCs w:val="18"/>
                <w:lang w:val="en-US"/>
              </w:rPr>
              <w:t>www</w:t>
            </w:r>
            <w:r w:rsidRPr="00F63AD8">
              <w:rPr>
                <w:rFonts w:ascii="Tahoma" w:hAnsi="Tahoma" w:cs="Tahoma"/>
                <w:sz w:val="18"/>
                <w:szCs w:val="18"/>
              </w:rPr>
              <w:t>.</w:t>
            </w:r>
            <w:r w:rsidRPr="00F63AD8">
              <w:rPr>
                <w:rFonts w:ascii="Tahoma" w:hAnsi="Tahoma" w:cs="Tahoma"/>
                <w:sz w:val="18"/>
                <w:szCs w:val="18"/>
                <w:lang w:val="en-US"/>
              </w:rPr>
              <w:t>atb</w:t>
            </w:r>
            <w:r w:rsidRPr="00F63AD8">
              <w:rPr>
                <w:rFonts w:ascii="Tahoma" w:hAnsi="Tahoma" w:cs="Tahoma"/>
                <w:sz w:val="18"/>
                <w:szCs w:val="18"/>
              </w:rPr>
              <w:t>.</w:t>
            </w:r>
            <w:r w:rsidRPr="00F63AD8">
              <w:rPr>
                <w:rFonts w:ascii="Tahoma" w:hAnsi="Tahoma" w:cs="Tahoma"/>
                <w:sz w:val="18"/>
                <w:szCs w:val="18"/>
                <w:lang w:val="en-US"/>
              </w:rPr>
              <w:t>su</w:t>
            </w:r>
            <w:r w:rsidRPr="00F63AD8">
              <w:rPr>
                <w:rFonts w:ascii="Tahoma" w:hAnsi="Tahoma" w:cs="Tahoma"/>
                <w:sz w:val="18"/>
                <w:szCs w:val="18"/>
              </w:rPr>
              <w:t>);</w:t>
            </w:r>
          </w:p>
          <w:p w14:paraId="353E7EB1" w14:textId="77777777" w:rsidR="00440295" w:rsidRPr="00F63AD8" w:rsidRDefault="00440295" w:rsidP="00034511">
            <w:pPr>
              <w:widowControl w:val="0"/>
              <w:tabs>
                <w:tab w:val="left" w:pos="851"/>
              </w:tabs>
              <w:adjustRightInd w:val="0"/>
              <w:rPr>
                <w:rFonts w:ascii="Tahoma" w:hAnsi="Tahoma" w:cs="Tahoma"/>
                <w:sz w:val="18"/>
                <w:szCs w:val="18"/>
              </w:rPr>
            </w:pPr>
            <w:r w:rsidRPr="00F63AD8">
              <w:rPr>
                <w:rFonts w:ascii="Tahoma" w:hAnsi="Tahoma" w:cs="Tahoma"/>
                <w:sz w:val="18"/>
                <w:szCs w:val="18"/>
              </w:rPr>
              <w:t>- Заёмщик имеет официальное место работы (либо является ИП) и постоянный источник дохода;</w:t>
            </w:r>
          </w:p>
          <w:p w14:paraId="398F1249" w14:textId="77777777" w:rsidR="00440295" w:rsidRPr="00F63AD8" w:rsidRDefault="00440295" w:rsidP="00034511">
            <w:pPr>
              <w:widowControl w:val="0"/>
              <w:tabs>
                <w:tab w:val="left" w:pos="851"/>
              </w:tabs>
              <w:adjustRightInd w:val="0"/>
              <w:rPr>
                <w:rFonts w:ascii="Tahoma" w:hAnsi="Tahoma" w:cs="Tahoma"/>
                <w:sz w:val="18"/>
                <w:szCs w:val="18"/>
              </w:rPr>
            </w:pPr>
            <w:r w:rsidRPr="00F63AD8">
              <w:rPr>
                <w:rFonts w:ascii="Tahoma" w:hAnsi="Tahoma" w:cs="Tahoma"/>
                <w:sz w:val="18"/>
                <w:szCs w:val="18"/>
              </w:rPr>
              <w:t xml:space="preserve">- стаж на последнем месте работы не менее 3 месяцев; </w:t>
            </w:r>
          </w:p>
          <w:p w14:paraId="40BD4706" w14:textId="77777777" w:rsidR="00440295" w:rsidRPr="00F63AD8" w:rsidRDefault="00440295" w:rsidP="00034511">
            <w:pPr>
              <w:pStyle w:val="a9"/>
              <w:tabs>
                <w:tab w:val="left" w:pos="-284"/>
                <w:tab w:val="left" w:pos="851"/>
              </w:tabs>
              <w:spacing w:before="0" w:after="0"/>
              <w:rPr>
                <w:rFonts w:ascii="Tahoma" w:hAnsi="Tahoma" w:cs="Tahoma"/>
                <w:sz w:val="18"/>
                <w:szCs w:val="18"/>
              </w:rPr>
            </w:pPr>
            <w:r w:rsidRPr="00F63AD8">
              <w:rPr>
                <w:rFonts w:ascii="Tahoma" w:hAnsi="Tahoma" w:cs="Tahoma"/>
                <w:sz w:val="18"/>
                <w:szCs w:val="18"/>
              </w:rPr>
              <w:t>Для Заёмщиков, являющихся работающими/неработающими пенсионерами, требования относительно стажа на последнем месте работы не действуют.</w:t>
            </w:r>
            <w:r w:rsidRPr="00F63AD8">
              <w:rPr>
                <w:rFonts w:ascii="Tahoma" w:hAnsi="Tahoma" w:cs="Tahoma"/>
                <w:sz w:val="18"/>
                <w:szCs w:val="18"/>
              </w:rPr>
              <w:fldChar w:fldCharType="begin"/>
            </w:r>
            <w:r w:rsidRPr="00F63AD8">
              <w:rPr>
                <w:rFonts w:ascii="Tahoma" w:hAnsi="Tahoma" w:cs="Tahoma"/>
                <w:sz w:val="18"/>
                <w:szCs w:val="18"/>
              </w:rPr>
              <w:instrText xml:space="preserve"> DOCVARIABLE  КЛИЕНТ </w:instrText>
            </w:r>
            <w:r w:rsidRPr="00F63AD8">
              <w:rPr>
                <w:rFonts w:ascii="Tahoma" w:hAnsi="Tahoma" w:cs="Tahoma"/>
                <w:sz w:val="18"/>
                <w:szCs w:val="18"/>
              </w:rPr>
              <w:fldChar w:fldCharType="end"/>
            </w:r>
          </w:p>
        </w:tc>
      </w:tr>
      <w:tr w:rsidR="00440295" w:rsidRPr="00F63AD8" w14:paraId="65817220" w14:textId="77777777" w:rsidTr="000345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gridBefore w:val="1"/>
          <w:wBefore w:w="94" w:type="pct"/>
          <w:trHeight w:val="176"/>
        </w:trPr>
        <w:tc>
          <w:tcPr>
            <w:tcW w:w="1812" w:type="pct"/>
            <w:gridSpan w:val="5"/>
            <w:tcBorders>
              <w:top w:val="single" w:sz="4" w:space="0" w:color="auto"/>
              <w:left w:val="single" w:sz="8" w:space="0" w:color="auto"/>
              <w:bottom w:val="single" w:sz="4" w:space="0" w:color="auto"/>
              <w:right w:val="single" w:sz="4" w:space="0" w:color="auto"/>
            </w:tcBorders>
            <w:vAlign w:val="center"/>
          </w:tcPr>
          <w:p w14:paraId="01721493"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Срок рассмотрения  оформленного Заемщиком заявления о предоставлении потребительского кредита (с лимитом кредитования) и принятия Кредитором решения относительно этого заявления</w:t>
            </w:r>
          </w:p>
        </w:tc>
        <w:tc>
          <w:tcPr>
            <w:tcW w:w="3095" w:type="pct"/>
            <w:gridSpan w:val="3"/>
            <w:tcBorders>
              <w:top w:val="single" w:sz="4" w:space="0" w:color="auto"/>
              <w:left w:val="nil"/>
              <w:bottom w:val="single" w:sz="4" w:space="0" w:color="auto"/>
              <w:right w:val="single" w:sz="8" w:space="0" w:color="000000"/>
            </w:tcBorders>
            <w:noWrap/>
            <w:vAlign w:val="center"/>
          </w:tcPr>
          <w:p w14:paraId="108BFD4F" w14:textId="77777777" w:rsidR="00440295" w:rsidRPr="00F63AD8" w:rsidRDefault="00440295" w:rsidP="00034511">
            <w:pPr>
              <w:widowControl w:val="0"/>
              <w:tabs>
                <w:tab w:val="left" w:pos="426"/>
                <w:tab w:val="left" w:pos="851"/>
              </w:tabs>
              <w:rPr>
                <w:rFonts w:ascii="Tahoma" w:hAnsi="Tahoma" w:cs="Tahoma"/>
                <w:sz w:val="18"/>
                <w:szCs w:val="18"/>
              </w:rPr>
            </w:pPr>
            <w:r w:rsidRPr="00F63AD8">
              <w:rPr>
                <w:rFonts w:ascii="Tahoma" w:hAnsi="Tahoma" w:cs="Tahoma"/>
                <w:color w:val="000000"/>
                <w:sz w:val="18"/>
                <w:szCs w:val="18"/>
              </w:rPr>
              <w:t>Решение принимается в течение 1 часа с момента предоставления Заемщиком полного пакета документов. В случае необходимости запроса у Заёмщика дополнительных документов решение принимается в индивидуальные сроки, не превышающие 3-х рабочих дней с момента предоставления Заемщиком в Банк полного пакета документов.</w:t>
            </w:r>
            <w:r w:rsidRPr="00F63AD8">
              <w:rPr>
                <w:rFonts w:ascii="Tahoma" w:hAnsi="Tahoma" w:cs="Tahoma"/>
                <w:sz w:val="18"/>
                <w:szCs w:val="18"/>
              </w:rPr>
              <w:fldChar w:fldCharType="begin"/>
            </w:r>
            <w:r w:rsidRPr="00F63AD8">
              <w:rPr>
                <w:rFonts w:ascii="Tahoma" w:hAnsi="Tahoma" w:cs="Tahoma"/>
                <w:sz w:val="18"/>
                <w:szCs w:val="18"/>
              </w:rPr>
              <w:instrText xml:space="preserve"> DOCVARIABLE  WAS_BORN_DMY </w:instrText>
            </w:r>
            <w:r w:rsidRPr="00F63AD8">
              <w:rPr>
                <w:rFonts w:ascii="Tahoma" w:hAnsi="Tahoma" w:cs="Tahoma"/>
                <w:sz w:val="18"/>
                <w:szCs w:val="18"/>
              </w:rPr>
              <w:fldChar w:fldCharType="end"/>
            </w:r>
          </w:p>
        </w:tc>
      </w:tr>
      <w:tr w:rsidR="00440295" w:rsidRPr="00F63AD8" w14:paraId="204B0802" w14:textId="77777777" w:rsidTr="000345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gridBefore w:val="1"/>
          <w:wBefore w:w="94" w:type="pct"/>
          <w:trHeight w:val="124"/>
        </w:trPr>
        <w:tc>
          <w:tcPr>
            <w:tcW w:w="1812" w:type="pct"/>
            <w:gridSpan w:val="5"/>
            <w:tcBorders>
              <w:top w:val="single" w:sz="4" w:space="0" w:color="auto"/>
              <w:left w:val="single" w:sz="8" w:space="0" w:color="auto"/>
              <w:bottom w:val="single" w:sz="4" w:space="0" w:color="auto"/>
              <w:right w:val="single" w:sz="4" w:space="0" w:color="auto"/>
            </w:tcBorders>
            <w:vAlign w:val="center"/>
          </w:tcPr>
          <w:p w14:paraId="32042455"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Перечень документов, необходимых для рассмотрения заявления о предоставлении потребительского кредита (с лимитом кредитования), в том числе для оценки кредитоспособности Заемщика (в случае необходимости могут быть запрошены дополнительные документы)</w:t>
            </w:r>
          </w:p>
        </w:tc>
        <w:tc>
          <w:tcPr>
            <w:tcW w:w="3095" w:type="pct"/>
            <w:gridSpan w:val="3"/>
            <w:tcBorders>
              <w:top w:val="single" w:sz="4" w:space="0" w:color="auto"/>
              <w:left w:val="nil"/>
              <w:bottom w:val="single" w:sz="4" w:space="0" w:color="auto"/>
              <w:right w:val="single" w:sz="8" w:space="0" w:color="000000"/>
            </w:tcBorders>
            <w:shd w:val="clear" w:color="auto" w:fill="auto"/>
            <w:noWrap/>
            <w:vAlign w:val="center"/>
          </w:tcPr>
          <w:p w14:paraId="63F2A5D9" w14:textId="77777777" w:rsidR="00440295" w:rsidRPr="00F63AD8" w:rsidRDefault="00440295" w:rsidP="00034511">
            <w:pPr>
              <w:rPr>
                <w:rFonts w:ascii="Tahoma" w:hAnsi="Tahoma" w:cs="Tahoma"/>
                <w:color w:val="000000"/>
                <w:sz w:val="18"/>
                <w:szCs w:val="18"/>
              </w:rPr>
            </w:pPr>
            <w:r w:rsidRPr="00F63AD8">
              <w:rPr>
                <w:rFonts w:ascii="Tahoma" w:hAnsi="Tahoma" w:cs="Tahoma"/>
                <w:color w:val="000000"/>
                <w:sz w:val="18"/>
                <w:szCs w:val="18"/>
              </w:rPr>
              <w:t>1) Паспорт гражданина РФ.</w:t>
            </w:r>
          </w:p>
          <w:p w14:paraId="6ED14EEB" w14:textId="77777777" w:rsidR="00440295" w:rsidRPr="00F63AD8" w:rsidRDefault="00440295" w:rsidP="00034511">
            <w:pPr>
              <w:rPr>
                <w:rFonts w:ascii="Tahoma" w:hAnsi="Tahoma" w:cs="Tahoma"/>
                <w:color w:val="000000"/>
                <w:sz w:val="18"/>
                <w:szCs w:val="18"/>
              </w:rPr>
            </w:pPr>
            <w:r w:rsidRPr="00F63AD8">
              <w:rPr>
                <w:rFonts w:ascii="Tahoma" w:hAnsi="Tahoma" w:cs="Tahoma"/>
                <w:color w:val="000000"/>
                <w:sz w:val="18"/>
                <w:szCs w:val="18"/>
              </w:rPr>
              <w:t>2) Заявление о предоставлении Кредита.</w:t>
            </w:r>
          </w:p>
          <w:p w14:paraId="6ECD8C72" w14:textId="77777777" w:rsidR="00440295" w:rsidRPr="00F63AD8" w:rsidRDefault="00440295" w:rsidP="00034511">
            <w:pPr>
              <w:rPr>
                <w:rFonts w:ascii="Tahoma" w:hAnsi="Tahoma" w:cs="Tahoma"/>
                <w:color w:val="000000"/>
                <w:sz w:val="18"/>
                <w:szCs w:val="18"/>
              </w:rPr>
            </w:pPr>
            <w:r w:rsidRPr="00F63AD8">
              <w:rPr>
                <w:rFonts w:ascii="Tahoma" w:hAnsi="Tahoma" w:cs="Tahoma"/>
                <w:color w:val="000000"/>
                <w:sz w:val="18"/>
                <w:szCs w:val="18"/>
              </w:rPr>
              <w:t>3) В случае необходимости Банком могут быть запрошены документы, подтверждающие доход Клиента при сумме Кредита свыше 100 000 рублей.</w:t>
            </w:r>
          </w:p>
          <w:p w14:paraId="5E91F403" w14:textId="77777777" w:rsidR="00440295" w:rsidRPr="00F63AD8" w:rsidRDefault="00440295" w:rsidP="00034511">
            <w:pPr>
              <w:widowControl w:val="0"/>
              <w:tabs>
                <w:tab w:val="left" w:pos="426"/>
                <w:tab w:val="left" w:pos="851"/>
              </w:tabs>
              <w:rPr>
                <w:rFonts w:ascii="Tahoma" w:hAnsi="Tahoma" w:cs="Tahoma"/>
                <w:color w:val="000000"/>
                <w:sz w:val="18"/>
                <w:szCs w:val="18"/>
              </w:rPr>
            </w:pPr>
          </w:p>
        </w:tc>
      </w:tr>
      <w:tr w:rsidR="00440295" w:rsidRPr="00F63AD8" w14:paraId="6D49D8BF" w14:textId="77777777" w:rsidTr="000345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gridBefore w:val="1"/>
          <w:wBefore w:w="94" w:type="pct"/>
          <w:trHeight w:val="124"/>
        </w:trPr>
        <w:tc>
          <w:tcPr>
            <w:tcW w:w="1812" w:type="pct"/>
            <w:gridSpan w:val="5"/>
            <w:tcBorders>
              <w:top w:val="single" w:sz="4" w:space="0" w:color="auto"/>
              <w:left w:val="single" w:sz="8" w:space="0" w:color="auto"/>
              <w:bottom w:val="single" w:sz="4" w:space="0" w:color="auto"/>
              <w:right w:val="single" w:sz="4" w:space="0" w:color="auto"/>
            </w:tcBorders>
            <w:vAlign w:val="center"/>
          </w:tcPr>
          <w:p w14:paraId="797F044C" w14:textId="77777777" w:rsidR="00440295" w:rsidRPr="00F63AD8" w:rsidRDefault="00440295" w:rsidP="00034511">
            <w:pPr>
              <w:rPr>
                <w:rFonts w:ascii="Tahoma" w:hAnsi="Tahoma" w:cs="Tahoma"/>
                <w:b/>
                <w:sz w:val="18"/>
                <w:szCs w:val="18"/>
              </w:rPr>
            </w:pPr>
            <w:r w:rsidRPr="00F63AD8">
              <w:rPr>
                <w:rFonts w:ascii="Tahoma" w:hAnsi="Tahoma" w:cs="Tahoma"/>
                <w:b/>
                <w:color w:val="000000"/>
                <w:sz w:val="18"/>
                <w:szCs w:val="18"/>
              </w:rPr>
              <w:t>Документы, подтверждающие доход</w:t>
            </w:r>
          </w:p>
        </w:tc>
        <w:tc>
          <w:tcPr>
            <w:tcW w:w="3095" w:type="pct"/>
            <w:gridSpan w:val="3"/>
            <w:tcBorders>
              <w:top w:val="single" w:sz="4" w:space="0" w:color="auto"/>
              <w:left w:val="nil"/>
              <w:bottom w:val="single" w:sz="4" w:space="0" w:color="auto"/>
              <w:right w:val="single" w:sz="8" w:space="0" w:color="000000"/>
            </w:tcBorders>
            <w:shd w:val="clear" w:color="auto" w:fill="auto"/>
            <w:noWrap/>
            <w:vAlign w:val="center"/>
          </w:tcPr>
          <w:p w14:paraId="18D4D411"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 xml:space="preserve">При предоставлении документа, доход должен быть подтвержден </w:t>
            </w:r>
            <w:r w:rsidRPr="00F63AD8">
              <w:rPr>
                <w:rFonts w:ascii="Tahoma" w:hAnsi="Tahoma" w:cs="Tahoma"/>
                <w:color w:val="000000"/>
                <w:sz w:val="18"/>
                <w:szCs w:val="18"/>
              </w:rPr>
              <w:t>за последние 12 месяцев либо за фактически отработанный период времени, в зависимости от стажа по текущему месту работы, но не менее 3-х месяцев, предшествующих дате предоставления в Банк Заявления о предоставлении потребительского кредита.</w:t>
            </w:r>
          </w:p>
          <w:p w14:paraId="37D85EC7"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Документы, подтверждающие доход:</w:t>
            </w:r>
          </w:p>
          <w:p w14:paraId="02B8C087" w14:textId="77777777" w:rsidR="00440295" w:rsidRPr="00F63AD8" w:rsidRDefault="00440295" w:rsidP="00034511">
            <w:pPr>
              <w:rPr>
                <w:rFonts w:ascii="Tahoma" w:hAnsi="Tahoma" w:cs="Tahoma"/>
                <w:color w:val="000000"/>
                <w:sz w:val="18"/>
                <w:szCs w:val="18"/>
              </w:rPr>
            </w:pPr>
            <w:r w:rsidRPr="00F63AD8">
              <w:rPr>
                <w:rFonts w:ascii="Tahoma" w:hAnsi="Tahoma" w:cs="Tahoma"/>
                <w:color w:val="000000"/>
                <w:sz w:val="18"/>
                <w:szCs w:val="18"/>
              </w:rPr>
              <w:t>- выписка по банковской (платежной) карте Банка если Заемщик получает заработную плату на карту Банка;</w:t>
            </w:r>
          </w:p>
          <w:p w14:paraId="04BEB26B" w14:textId="77777777" w:rsidR="00440295" w:rsidRPr="00F63AD8" w:rsidRDefault="00440295" w:rsidP="00034511">
            <w:pPr>
              <w:rPr>
                <w:rFonts w:ascii="Tahoma" w:hAnsi="Tahoma" w:cs="Tahoma"/>
                <w:color w:val="000000"/>
                <w:sz w:val="18"/>
                <w:szCs w:val="18"/>
              </w:rPr>
            </w:pPr>
            <w:r w:rsidRPr="00F63AD8">
              <w:rPr>
                <w:rFonts w:ascii="Tahoma" w:hAnsi="Tahoma" w:cs="Tahoma"/>
                <w:color w:val="000000"/>
                <w:sz w:val="18"/>
                <w:szCs w:val="18"/>
              </w:rPr>
              <w:t>- выписка по индивидуальному лицевому счету Заемщика, который ведется в Социальном Фонде Российской Федерации и сведения предоставлены Банку (если Заемщиком выражено согласие в соответствии с законодательством Российской Федерации на запрос);</w:t>
            </w:r>
          </w:p>
          <w:p w14:paraId="22CF6F45" w14:textId="77777777" w:rsidR="00440295" w:rsidRPr="00F63AD8" w:rsidRDefault="00440295" w:rsidP="00034511">
            <w:pPr>
              <w:pStyle w:val="affe"/>
              <w:ind w:left="0"/>
              <w:jc w:val="both"/>
              <w:rPr>
                <w:rFonts w:ascii="Tahoma" w:hAnsi="Tahoma" w:cs="Tahoma"/>
                <w:color w:val="000000"/>
                <w:sz w:val="18"/>
                <w:szCs w:val="18"/>
              </w:rPr>
            </w:pPr>
            <w:r w:rsidRPr="00F63AD8">
              <w:rPr>
                <w:rFonts w:ascii="Tahoma" w:hAnsi="Tahoma" w:cs="Tahoma"/>
                <w:color w:val="000000"/>
                <w:sz w:val="18"/>
                <w:szCs w:val="18"/>
              </w:rPr>
              <w:t>- справка о заработной плате по форме Банка, справка о доходах и суммах налога физических лиц либо по форме работодателя (содержащая обязательные поля, предусмотренные в справке по форме Банка, включая ИНН работодателя);</w:t>
            </w:r>
          </w:p>
          <w:p w14:paraId="0AEC5D9C" w14:textId="77777777" w:rsidR="00440295" w:rsidRPr="00F63AD8" w:rsidRDefault="00440295" w:rsidP="00034511">
            <w:pPr>
              <w:pStyle w:val="affe"/>
              <w:ind w:left="0"/>
              <w:jc w:val="both"/>
              <w:rPr>
                <w:rFonts w:ascii="Tahoma" w:hAnsi="Tahoma" w:cs="Tahoma"/>
                <w:color w:val="000000"/>
                <w:sz w:val="18"/>
                <w:szCs w:val="18"/>
              </w:rPr>
            </w:pPr>
            <w:r w:rsidRPr="00F63AD8">
              <w:rPr>
                <w:rFonts w:ascii="Tahoma" w:hAnsi="Tahoma" w:cs="Tahoma"/>
                <w:color w:val="000000"/>
                <w:sz w:val="18"/>
                <w:szCs w:val="18"/>
              </w:rPr>
              <w:t>- выпиской с зарплатного счета банковской (платежной) карты Заемщика, заверенной печатью подразделения и подписью работника кредитной организации, выдавшего выписку (или сформированная из мобильного/интернет банка), при этом в выписке должно быть указано назначение платежа, позволяющее однозначно идентифицировать, что поступления являются заработной платой Заемщика/ зачисления с определённым назначением платежа производятся через равные промежутки времени;</w:t>
            </w:r>
          </w:p>
          <w:p w14:paraId="28CFF311" w14:textId="77777777" w:rsidR="00440295" w:rsidRPr="00F63AD8" w:rsidRDefault="00440295" w:rsidP="00034511">
            <w:pPr>
              <w:pStyle w:val="affe"/>
              <w:ind w:left="0"/>
              <w:jc w:val="both"/>
              <w:rPr>
                <w:rFonts w:ascii="Tahoma" w:hAnsi="Tahoma" w:cs="Tahoma"/>
                <w:color w:val="000000"/>
                <w:sz w:val="18"/>
                <w:szCs w:val="18"/>
              </w:rPr>
            </w:pPr>
            <w:r w:rsidRPr="00F63AD8">
              <w:rPr>
                <w:rFonts w:ascii="Tahoma" w:hAnsi="Tahoma" w:cs="Tahoma"/>
                <w:sz w:val="18"/>
                <w:szCs w:val="18"/>
              </w:rPr>
              <w:t>- документы, содержащие сведения о доходах Заемщика, выданные государственными (муниципальными) органами, учреждениями, организациями или предприятиями (включая документы, выданные должностными лицами Вооруженных Сил Российской Федерации и воинских формирований), а также физическими лицами, зарегистрированными в качестве индивидуальных предпринимателей;</w:t>
            </w:r>
          </w:p>
          <w:p w14:paraId="4CAC96A6" w14:textId="77777777" w:rsidR="00440295" w:rsidRPr="00F63AD8" w:rsidRDefault="00440295" w:rsidP="00034511">
            <w:pPr>
              <w:pStyle w:val="affe"/>
              <w:ind w:left="0"/>
              <w:jc w:val="both"/>
              <w:rPr>
                <w:rFonts w:ascii="Tahoma" w:hAnsi="Tahoma" w:cs="Tahoma"/>
                <w:color w:val="000000"/>
                <w:sz w:val="18"/>
                <w:szCs w:val="18"/>
              </w:rPr>
            </w:pPr>
            <w:r w:rsidRPr="00F63AD8">
              <w:rPr>
                <w:rFonts w:ascii="Tahoma" w:hAnsi="Tahoma" w:cs="Tahoma"/>
                <w:color w:val="000000"/>
                <w:sz w:val="18"/>
                <w:szCs w:val="18"/>
              </w:rPr>
              <w:t>- налоговая декларация по налогу на доходы физических лиц (форма 3-НДФЛ);</w:t>
            </w:r>
          </w:p>
          <w:p w14:paraId="141C3ABB" w14:textId="77777777" w:rsidR="00440295" w:rsidRPr="00F63AD8" w:rsidRDefault="00440295" w:rsidP="00034511">
            <w:pPr>
              <w:rPr>
                <w:rFonts w:ascii="Tahoma" w:hAnsi="Tahoma" w:cs="Tahoma"/>
                <w:color w:val="000000"/>
                <w:sz w:val="18"/>
                <w:szCs w:val="18"/>
              </w:rPr>
            </w:pPr>
            <w:r w:rsidRPr="00F63AD8">
              <w:rPr>
                <w:rFonts w:ascii="Tahoma" w:hAnsi="Tahoma" w:cs="Tahoma"/>
                <w:b/>
                <w:color w:val="000000"/>
                <w:sz w:val="18"/>
                <w:szCs w:val="18"/>
              </w:rPr>
              <w:t>Если Заемщик является пенсионером</w:t>
            </w:r>
            <w:r w:rsidRPr="00F63AD8">
              <w:rPr>
                <w:rFonts w:ascii="Tahoma" w:hAnsi="Tahoma" w:cs="Tahoma"/>
                <w:color w:val="000000"/>
                <w:sz w:val="18"/>
                <w:szCs w:val="18"/>
              </w:rPr>
              <w:t xml:space="preserve"> (для учета дохода в виде пенсии допускается принимать документ, содержащий сведения о доходе за 1 (один) календарный месяц):</w:t>
            </w:r>
          </w:p>
          <w:p w14:paraId="1A05E09E" w14:textId="77777777" w:rsidR="00440295" w:rsidRPr="00F63AD8" w:rsidRDefault="00440295" w:rsidP="00440295">
            <w:pPr>
              <w:pStyle w:val="affe"/>
              <w:numPr>
                <w:ilvl w:val="0"/>
                <w:numId w:val="27"/>
              </w:numPr>
              <w:contextualSpacing/>
              <w:jc w:val="both"/>
              <w:rPr>
                <w:rFonts w:ascii="Tahoma" w:hAnsi="Tahoma" w:cs="Tahoma"/>
                <w:color w:val="000000"/>
                <w:sz w:val="18"/>
                <w:szCs w:val="18"/>
              </w:rPr>
            </w:pPr>
            <w:r w:rsidRPr="00F63AD8">
              <w:rPr>
                <w:rFonts w:ascii="Tahoma" w:hAnsi="Tahoma" w:cs="Tahoma"/>
                <w:color w:val="000000"/>
                <w:sz w:val="18"/>
                <w:szCs w:val="18"/>
              </w:rPr>
              <w:t>справка Социального фонда России либо другого государственного органа, выплачивающего пенсию, о размере пенсии, ежемесячного пожизненного содержания судьям или ежемесячной надбавки к денежному содержанию судьям о назначении пенсии / иной документ, подтверждающий право на получение пенсии, содержащий идентификационные данные Клиента и размер дохода (например, выписка по индивидуальному лицевому счету в Социальном Фонде России);</w:t>
            </w:r>
          </w:p>
          <w:p w14:paraId="6E86C837" w14:textId="77777777" w:rsidR="00440295" w:rsidRPr="00F63AD8" w:rsidRDefault="00440295" w:rsidP="00440295">
            <w:pPr>
              <w:pStyle w:val="affe"/>
              <w:numPr>
                <w:ilvl w:val="0"/>
                <w:numId w:val="27"/>
              </w:numPr>
              <w:contextualSpacing/>
              <w:jc w:val="both"/>
              <w:rPr>
                <w:rFonts w:ascii="Tahoma" w:hAnsi="Tahoma" w:cs="Tahoma"/>
                <w:color w:val="000000"/>
                <w:sz w:val="18"/>
                <w:szCs w:val="18"/>
              </w:rPr>
            </w:pPr>
            <w:r w:rsidRPr="00F63AD8">
              <w:rPr>
                <w:rFonts w:ascii="Tahoma" w:hAnsi="Tahoma" w:cs="Tahoma"/>
                <w:color w:val="000000"/>
                <w:sz w:val="18"/>
                <w:szCs w:val="18"/>
              </w:rPr>
              <w:t>выписка со счета карты Заемщика, заверенной печатью подразделения и подписью работника кредитной организации, выдавшего выписку (или сформированная из мобильного/интернет банка), при этом в выписке обязательно должно быть указано назначение платежа, позволяющее однозначно идентифицировать, что поступления являются пенсией Заемщика.</w:t>
            </w:r>
          </w:p>
          <w:p w14:paraId="43BBD65F" w14:textId="77777777" w:rsidR="00440295" w:rsidRPr="00F63AD8" w:rsidRDefault="00440295" w:rsidP="00034511">
            <w:pPr>
              <w:autoSpaceDE w:val="0"/>
              <w:autoSpaceDN w:val="0"/>
              <w:adjustRightInd w:val="0"/>
              <w:rPr>
                <w:rFonts w:ascii="Tahoma" w:hAnsi="Tahoma" w:cs="Tahoma"/>
                <w:b/>
                <w:color w:val="000000"/>
                <w:sz w:val="18"/>
                <w:szCs w:val="18"/>
              </w:rPr>
            </w:pPr>
            <w:r w:rsidRPr="00F63AD8">
              <w:rPr>
                <w:rFonts w:ascii="Tahoma" w:hAnsi="Tahoma" w:cs="Tahoma"/>
                <w:b/>
                <w:color w:val="000000"/>
                <w:sz w:val="18"/>
                <w:szCs w:val="18"/>
              </w:rPr>
              <w:t>Заемщик-ИП/ нотариус/адвокат</w:t>
            </w:r>
            <w:r w:rsidRPr="00F63AD8">
              <w:rPr>
                <w:rFonts w:ascii="Tahoma" w:hAnsi="Tahoma" w:cs="Tahoma"/>
                <w:sz w:val="18"/>
                <w:szCs w:val="18"/>
              </w:rPr>
              <w:t xml:space="preserve"> или иные лица, занимающиеся частной практикой, предоставляют </w:t>
            </w:r>
            <w:r w:rsidRPr="00F63AD8">
              <w:rPr>
                <w:rFonts w:ascii="Tahoma" w:hAnsi="Tahoma" w:cs="Tahoma"/>
                <w:b/>
                <w:sz w:val="18"/>
                <w:szCs w:val="18"/>
              </w:rPr>
              <w:t xml:space="preserve">один или </w:t>
            </w:r>
            <w:r w:rsidRPr="00F63AD8">
              <w:rPr>
                <w:rFonts w:ascii="Tahoma" w:hAnsi="Tahoma" w:cs="Tahoma"/>
                <w:b/>
                <w:color w:val="000000"/>
                <w:sz w:val="18"/>
                <w:szCs w:val="18"/>
              </w:rPr>
              <w:t xml:space="preserve">совокупность следующих документов: </w:t>
            </w:r>
          </w:p>
          <w:p w14:paraId="181BE609" w14:textId="77777777" w:rsidR="00440295" w:rsidRPr="00F63AD8" w:rsidRDefault="00440295" w:rsidP="00440295">
            <w:pPr>
              <w:pStyle w:val="affe"/>
              <w:numPr>
                <w:ilvl w:val="0"/>
                <w:numId w:val="79"/>
              </w:numPr>
              <w:tabs>
                <w:tab w:val="left" w:pos="739"/>
              </w:tabs>
              <w:ind w:left="739" w:hanging="425"/>
              <w:contextualSpacing/>
              <w:jc w:val="both"/>
              <w:rPr>
                <w:rFonts w:ascii="Tahoma" w:hAnsi="Tahoma" w:cs="Tahoma"/>
                <w:sz w:val="18"/>
                <w:szCs w:val="18"/>
              </w:rPr>
            </w:pPr>
            <w:r w:rsidRPr="00F63AD8">
              <w:rPr>
                <w:rFonts w:ascii="Tahoma" w:hAnsi="Tahoma" w:cs="Tahoma"/>
                <w:color w:val="000000"/>
                <w:sz w:val="18"/>
                <w:szCs w:val="18"/>
              </w:rPr>
              <w:t>официальные документы (декларации) в зависимости от систем налогообложения, на основании которых возможно идентифицировать доход ИП,</w:t>
            </w:r>
            <w:r w:rsidRPr="00F63AD8">
              <w:rPr>
                <w:rFonts w:ascii="Tahoma" w:hAnsi="Tahoma" w:cs="Tahoma"/>
                <w:sz w:val="18"/>
                <w:szCs w:val="18"/>
              </w:rPr>
              <w:t xml:space="preserve"> копии квитанций (платежных поручений) об уплате налогов за налоговые периоды, соответствующие периоду расчета среднемесячного дохода;</w:t>
            </w:r>
          </w:p>
          <w:p w14:paraId="0154B3DA" w14:textId="77777777" w:rsidR="00440295" w:rsidRPr="00F63AD8" w:rsidRDefault="00440295" w:rsidP="00440295">
            <w:pPr>
              <w:pStyle w:val="affe"/>
              <w:numPr>
                <w:ilvl w:val="0"/>
                <w:numId w:val="27"/>
              </w:numPr>
              <w:tabs>
                <w:tab w:val="left" w:pos="739"/>
              </w:tabs>
              <w:ind w:left="739" w:hanging="425"/>
              <w:contextualSpacing/>
              <w:jc w:val="both"/>
              <w:rPr>
                <w:rFonts w:ascii="Tahoma" w:hAnsi="Tahoma" w:cs="Tahoma"/>
                <w:color w:val="000000"/>
                <w:sz w:val="18"/>
                <w:szCs w:val="18"/>
              </w:rPr>
            </w:pPr>
            <w:r w:rsidRPr="00F63AD8">
              <w:rPr>
                <w:rFonts w:ascii="Tahoma" w:hAnsi="Tahoma" w:cs="Tahoma"/>
                <w:sz w:val="18"/>
                <w:szCs w:val="18"/>
              </w:rPr>
              <w:t>книга учета доходов и расходов и хозяйственных операций индивидуального предпринимателя или</w:t>
            </w:r>
            <w:r w:rsidRPr="00F63AD8">
              <w:rPr>
                <w:rFonts w:ascii="Tahoma" w:hAnsi="Tahoma" w:cs="Tahoma"/>
                <w:color w:val="000000"/>
                <w:sz w:val="18"/>
                <w:szCs w:val="18"/>
              </w:rPr>
              <w:t xml:space="preserve"> выписки по счетам Заемщика, заверенные организацией, в которой открыты данные счета </w:t>
            </w:r>
            <w:r w:rsidRPr="00F63AD8">
              <w:rPr>
                <w:rFonts w:ascii="Tahoma" w:hAnsi="Tahoma" w:cs="Tahoma"/>
                <w:sz w:val="18"/>
                <w:szCs w:val="18"/>
              </w:rPr>
              <w:t xml:space="preserve">(Банк может запросить выписку в формате </w:t>
            </w:r>
            <w:r w:rsidRPr="00F63AD8">
              <w:rPr>
                <w:rFonts w:ascii="Tahoma" w:hAnsi="Tahoma" w:cs="Tahoma"/>
                <w:sz w:val="18"/>
                <w:szCs w:val="18"/>
                <w:lang w:val="en-US"/>
              </w:rPr>
              <w:t>TXT</w:t>
            </w:r>
            <w:r w:rsidRPr="00F63AD8">
              <w:rPr>
                <w:rFonts w:ascii="Tahoma" w:hAnsi="Tahoma" w:cs="Tahoma"/>
                <w:sz w:val="18"/>
                <w:szCs w:val="18"/>
              </w:rPr>
              <w:t>)</w:t>
            </w:r>
            <w:r w:rsidRPr="00F63AD8">
              <w:rPr>
                <w:rFonts w:ascii="Tahoma" w:hAnsi="Tahoma" w:cs="Tahoma"/>
                <w:color w:val="000000"/>
                <w:sz w:val="18"/>
                <w:szCs w:val="18"/>
              </w:rPr>
              <w:t>;</w:t>
            </w:r>
          </w:p>
          <w:p w14:paraId="298457BC" w14:textId="77777777" w:rsidR="00440295" w:rsidRPr="00F63AD8" w:rsidRDefault="00440295" w:rsidP="00440295">
            <w:pPr>
              <w:pStyle w:val="affe"/>
              <w:numPr>
                <w:ilvl w:val="0"/>
                <w:numId w:val="27"/>
              </w:numPr>
              <w:tabs>
                <w:tab w:val="left" w:pos="739"/>
              </w:tabs>
              <w:ind w:left="739" w:hanging="425"/>
              <w:contextualSpacing/>
              <w:jc w:val="both"/>
              <w:rPr>
                <w:rFonts w:ascii="Tahoma" w:hAnsi="Tahoma" w:cs="Tahoma"/>
                <w:color w:val="000000"/>
                <w:sz w:val="18"/>
                <w:szCs w:val="18"/>
              </w:rPr>
            </w:pPr>
            <w:r w:rsidRPr="00F63AD8">
              <w:rPr>
                <w:rFonts w:ascii="Tahoma" w:hAnsi="Tahoma" w:cs="Tahoma"/>
                <w:sz w:val="18"/>
                <w:szCs w:val="18"/>
              </w:rPr>
              <w:t>справка о состоянии расчетов (доходах) по налогу, уплачиваемому в связи с применением автоматизированной упрощенной системы налогообложения (КНД 1120504) (в случае применения).</w:t>
            </w:r>
          </w:p>
          <w:p w14:paraId="5526A136" w14:textId="77777777" w:rsidR="00440295" w:rsidRPr="00F63AD8" w:rsidRDefault="00440295" w:rsidP="00034511">
            <w:pPr>
              <w:pStyle w:val="affe"/>
              <w:tabs>
                <w:tab w:val="left" w:pos="739"/>
              </w:tabs>
              <w:ind w:left="739"/>
              <w:jc w:val="both"/>
              <w:rPr>
                <w:rFonts w:ascii="Tahoma" w:hAnsi="Tahoma" w:cs="Tahoma"/>
                <w:color w:val="000000"/>
                <w:sz w:val="18"/>
                <w:szCs w:val="18"/>
              </w:rPr>
            </w:pPr>
          </w:p>
          <w:p w14:paraId="460378C2" w14:textId="77777777" w:rsidR="00440295" w:rsidRPr="00F63AD8" w:rsidRDefault="00440295" w:rsidP="00034511">
            <w:pPr>
              <w:tabs>
                <w:tab w:val="left" w:pos="739"/>
              </w:tabs>
              <w:rPr>
                <w:rFonts w:ascii="Tahoma" w:hAnsi="Tahoma" w:cs="Tahoma"/>
                <w:b/>
                <w:color w:val="000000"/>
                <w:sz w:val="18"/>
                <w:szCs w:val="18"/>
              </w:rPr>
            </w:pPr>
            <w:r w:rsidRPr="00F63AD8">
              <w:rPr>
                <w:rFonts w:ascii="Tahoma" w:hAnsi="Tahoma" w:cs="Tahoma"/>
                <w:b/>
                <w:color w:val="000000"/>
                <w:sz w:val="18"/>
                <w:szCs w:val="18"/>
              </w:rPr>
              <w:t>Заемщик применяет специальный налоговый режим - налог на профессиональный доход, совокупность следующих документов:</w:t>
            </w:r>
          </w:p>
          <w:p w14:paraId="0E3C8E6F" w14:textId="77777777" w:rsidR="00440295" w:rsidRPr="00F63AD8" w:rsidRDefault="00440295" w:rsidP="00440295">
            <w:pPr>
              <w:pStyle w:val="affe"/>
              <w:numPr>
                <w:ilvl w:val="0"/>
                <w:numId w:val="27"/>
              </w:numPr>
              <w:tabs>
                <w:tab w:val="left" w:pos="739"/>
              </w:tabs>
              <w:contextualSpacing/>
              <w:jc w:val="both"/>
              <w:rPr>
                <w:rFonts w:ascii="Tahoma" w:hAnsi="Tahoma" w:cs="Tahoma"/>
                <w:color w:val="000000"/>
                <w:sz w:val="18"/>
                <w:szCs w:val="18"/>
              </w:rPr>
            </w:pPr>
            <w:r w:rsidRPr="00F63AD8">
              <w:rPr>
                <w:rFonts w:ascii="Tahoma" w:hAnsi="Tahoma" w:cs="Tahoma"/>
                <w:color w:val="000000"/>
                <w:sz w:val="18"/>
                <w:szCs w:val="18"/>
              </w:rPr>
              <w:t>справка о постановке на учет (снятии с учета) ФЛ в качестве плательщика налога на профессиональный доход (КНД 1122035);</w:t>
            </w:r>
          </w:p>
          <w:p w14:paraId="4430F7A4" w14:textId="77777777" w:rsidR="00440295" w:rsidRPr="00F63AD8" w:rsidRDefault="00440295" w:rsidP="00440295">
            <w:pPr>
              <w:pStyle w:val="affe"/>
              <w:numPr>
                <w:ilvl w:val="0"/>
                <w:numId w:val="27"/>
              </w:numPr>
              <w:tabs>
                <w:tab w:val="left" w:pos="739"/>
              </w:tabs>
              <w:contextualSpacing/>
              <w:jc w:val="both"/>
              <w:rPr>
                <w:rFonts w:ascii="Tahoma" w:hAnsi="Tahoma" w:cs="Tahoma"/>
                <w:color w:val="000000"/>
                <w:sz w:val="18"/>
                <w:szCs w:val="18"/>
              </w:rPr>
            </w:pPr>
            <w:r w:rsidRPr="00F63AD8">
              <w:rPr>
                <w:rFonts w:ascii="Tahoma" w:hAnsi="Tahoma" w:cs="Tahoma"/>
                <w:color w:val="000000"/>
                <w:sz w:val="18"/>
                <w:szCs w:val="18"/>
              </w:rPr>
              <w:t>справка о состоянии расчетов (доходах) по налогу на профессиональный доход (КНД 1122036).</w:t>
            </w:r>
          </w:p>
          <w:p w14:paraId="259914B7" w14:textId="77777777" w:rsidR="00440295" w:rsidRPr="00F63AD8" w:rsidRDefault="00440295" w:rsidP="00034511">
            <w:pPr>
              <w:pStyle w:val="affe"/>
              <w:tabs>
                <w:tab w:val="left" w:pos="739"/>
              </w:tabs>
              <w:jc w:val="both"/>
              <w:rPr>
                <w:rFonts w:ascii="Tahoma" w:hAnsi="Tahoma" w:cs="Tahoma"/>
                <w:color w:val="000000"/>
                <w:sz w:val="18"/>
                <w:szCs w:val="18"/>
              </w:rPr>
            </w:pPr>
          </w:p>
          <w:p w14:paraId="7CBC648D" w14:textId="77777777" w:rsidR="00440295" w:rsidRPr="00F63AD8" w:rsidRDefault="00440295" w:rsidP="00034511">
            <w:pPr>
              <w:tabs>
                <w:tab w:val="left" w:pos="739"/>
              </w:tabs>
              <w:rPr>
                <w:rFonts w:ascii="Tahoma" w:hAnsi="Tahoma" w:cs="Tahoma"/>
                <w:b/>
                <w:color w:val="000000"/>
                <w:sz w:val="18"/>
                <w:szCs w:val="18"/>
              </w:rPr>
            </w:pPr>
            <w:r w:rsidRPr="00F63AD8">
              <w:rPr>
                <w:rFonts w:ascii="Tahoma" w:hAnsi="Tahoma" w:cs="Tahoma"/>
                <w:b/>
                <w:color w:val="000000"/>
                <w:sz w:val="18"/>
                <w:szCs w:val="18"/>
              </w:rPr>
              <w:t>Доходы от нетрудовой деятельности:</w:t>
            </w:r>
          </w:p>
          <w:p w14:paraId="626A7EA4" w14:textId="77777777" w:rsidR="00440295" w:rsidRPr="00F63AD8" w:rsidRDefault="00440295" w:rsidP="00440295">
            <w:pPr>
              <w:pStyle w:val="affe"/>
              <w:numPr>
                <w:ilvl w:val="0"/>
                <w:numId w:val="27"/>
              </w:numPr>
              <w:tabs>
                <w:tab w:val="left" w:pos="739"/>
              </w:tabs>
              <w:ind w:left="739" w:hanging="425"/>
              <w:contextualSpacing/>
              <w:jc w:val="both"/>
              <w:rPr>
                <w:rFonts w:ascii="Tahoma" w:hAnsi="Tahoma" w:cs="Tahoma"/>
                <w:color w:val="000000"/>
                <w:sz w:val="18"/>
                <w:szCs w:val="18"/>
              </w:rPr>
            </w:pPr>
            <w:r w:rsidRPr="00F63AD8">
              <w:rPr>
                <w:rFonts w:ascii="Tahoma" w:hAnsi="Tahoma" w:cs="Tahoma"/>
                <w:sz w:val="18"/>
                <w:szCs w:val="18"/>
              </w:rPr>
              <w:t xml:space="preserve">выписка со счета, выданная кредитными организациями, на который осуществляются социальные выплаты, а также иные регулярные выплаты Клиенту (напр., доходы от сдачи внаем (в аренду) недвижимого имущества (при условии подтверждения права собственности (владения) этим имуществом), в т.ч. сформированная из мобильного/интернет банка, а также при предоставлении </w:t>
            </w:r>
            <w:r w:rsidRPr="00F63AD8">
              <w:rPr>
                <w:rFonts w:ascii="Tahoma" w:hAnsi="Tahoma" w:cs="Tahoma"/>
                <w:color w:val="000000"/>
                <w:sz w:val="18"/>
                <w:szCs w:val="18"/>
              </w:rPr>
              <w:t>налоговой декларации по налогу на доходы физических лиц (форма 3-НДФЛ);</w:t>
            </w:r>
          </w:p>
          <w:p w14:paraId="2A893884" w14:textId="77777777" w:rsidR="00440295" w:rsidRPr="00F63AD8" w:rsidRDefault="00440295" w:rsidP="00440295">
            <w:pPr>
              <w:pStyle w:val="affe"/>
              <w:numPr>
                <w:ilvl w:val="0"/>
                <w:numId w:val="27"/>
              </w:numPr>
              <w:tabs>
                <w:tab w:val="left" w:pos="739"/>
              </w:tabs>
              <w:ind w:left="739" w:hanging="425"/>
              <w:contextualSpacing/>
              <w:jc w:val="both"/>
              <w:rPr>
                <w:rFonts w:ascii="Tahoma" w:hAnsi="Tahoma" w:cs="Tahoma"/>
                <w:color w:val="000000"/>
                <w:sz w:val="18"/>
                <w:szCs w:val="18"/>
              </w:rPr>
            </w:pPr>
            <w:r w:rsidRPr="00F63AD8">
              <w:rPr>
                <w:rFonts w:ascii="Tahoma" w:hAnsi="Tahoma" w:cs="Tahoma"/>
                <w:sz w:val="18"/>
                <w:szCs w:val="18"/>
              </w:rPr>
              <w:t xml:space="preserve">Справка о сумме ежемесячной денежной выплаты, ежемесячной денежной компенсации, ежемесячного дополнительного материального обеспечения, выданная государственным органом Заемщику/Созаемщику.  </w:t>
            </w:r>
          </w:p>
        </w:tc>
      </w:tr>
      <w:tr w:rsidR="00440295" w:rsidRPr="00F63AD8" w14:paraId="7BA36B03" w14:textId="77777777" w:rsidTr="000345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gridBefore w:val="1"/>
          <w:wBefore w:w="94" w:type="pct"/>
          <w:trHeight w:val="130"/>
        </w:trPr>
        <w:tc>
          <w:tcPr>
            <w:tcW w:w="1812" w:type="pct"/>
            <w:gridSpan w:val="5"/>
            <w:tcBorders>
              <w:top w:val="single" w:sz="4" w:space="0" w:color="auto"/>
              <w:left w:val="single" w:sz="8" w:space="0" w:color="auto"/>
              <w:bottom w:val="single" w:sz="4" w:space="0" w:color="auto"/>
              <w:right w:val="single" w:sz="4" w:space="0" w:color="auto"/>
            </w:tcBorders>
            <w:vAlign w:val="center"/>
          </w:tcPr>
          <w:p w14:paraId="450D0B73"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Способы предоставления потребительского кредита (с лимитом кредитования)</w:t>
            </w:r>
          </w:p>
        </w:tc>
        <w:tc>
          <w:tcPr>
            <w:tcW w:w="3095" w:type="pct"/>
            <w:gridSpan w:val="3"/>
            <w:tcBorders>
              <w:top w:val="single" w:sz="4" w:space="0" w:color="auto"/>
              <w:left w:val="nil"/>
              <w:bottom w:val="single" w:sz="4" w:space="0" w:color="auto"/>
              <w:right w:val="single" w:sz="8" w:space="0" w:color="000000"/>
            </w:tcBorders>
            <w:noWrap/>
            <w:vAlign w:val="center"/>
          </w:tcPr>
          <w:p w14:paraId="207D228E" w14:textId="77777777" w:rsidR="00440295" w:rsidRPr="00F63AD8" w:rsidRDefault="00440295" w:rsidP="00034511">
            <w:pPr>
              <w:widowControl w:val="0"/>
              <w:tabs>
                <w:tab w:val="left" w:pos="426"/>
                <w:tab w:val="left" w:pos="851"/>
              </w:tabs>
              <w:rPr>
                <w:rFonts w:ascii="Tahoma" w:hAnsi="Tahoma" w:cs="Tahoma"/>
                <w:sz w:val="18"/>
                <w:szCs w:val="18"/>
              </w:rPr>
            </w:pPr>
            <w:r w:rsidRPr="00F63AD8">
              <w:rPr>
                <w:rFonts w:ascii="Tahoma" w:hAnsi="Tahoma" w:cs="Tahoma"/>
                <w:sz w:val="18"/>
                <w:szCs w:val="18"/>
              </w:rPr>
              <w:t>Перевод денежных средств на СКС Заемщика, открытый в Банке для использования Заемщиком на цели использования Кредита, указанные в  настоящем документе.</w:t>
            </w:r>
          </w:p>
        </w:tc>
      </w:tr>
      <w:tr w:rsidR="00440295" w:rsidRPr="00F63AD8" w14:paraId="7B6ABF17" w14:textId="77777777" w:rsidTr="00034511">
        <w:tblPrEx>
          <w:tblLook w:val="00A0" w:firstRow="1" w:lastRow="0" w:firstColumn="1" w:lastColumn="0" w:noHBand="0" w:noVBand="0"/>
        </w:tblPrEx>
        <w:trPr>
          <w:gridBefore w:val="1"/>
          <w:wBefore w:w="94" w:type="pct"/>
          <w:trHeight w:val="1883"/>
        </w:trPr>
        <w:tc>
          <w:tcPr>
            <w:tcW w:w="1812" w:type="pct"/>
            <w:gridSpan w:val="5"/>
            <w:tcBorders>
              <w:top w:val="single" w:sz="4" w:space="0" w:color="auto"/>
              <w:left w:val="single" w:sz="8" w:space="0" w:color="auto"/>
              <w:bottom w:val="single" w:sz="4" w:space="0" w:color="auto"/>
              <w:right w:val="single" w:sz="4" w:space="0" w:color="auto"/>
            </w:tcBorders>
            <w:vAlign w:val="center"/>
          </w:tcPr>
          <w:p w14:paraId="474D5297"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 xml:space="preserve">Виды и суммы иных платежей Заемщика по Договору </w:t>
            </w:r>
          </w:p>
        </w:tc>
        <w:tc>
          <w:tcPr>
            <w:tcW w:w="3095" w:type="pct"/>
            <w:gridSpan w:val="3"/>
            <w:tcBorders>
              <w:top w:val="single" w:sz="4" w:space="0" w:color="auto"/>
              <w:left w:val="nil"/>
              <w:bottom w:val="single" w:sz="4" w:space="0" w:color="auto"/>
              <w:right w:val="single" w:sz="8" w:space="0" w:color="000000"/>
            </w:tcBorders>
            <w:noWrap/>
            <w:vAlign w:val="center"/>
          </w:tcPr>
          <w:p w14:paraId="7C665879" w14:textId="77777777" w:rsidR="00440295" w:rsidRPr="00F63AD8" w:rsidRDefault="00440295" w:rsidP="00034511">
            <w:pPr>
              <w:widowControl w:val="0"/>
              <w:tabs>
                <w:tab w:val="left" w:pos="426"/>
                <w:tab w:val="left" w:pos="851"/>
              </w:tabs>
              <w:rPr>
                <w:rFonts w:ascii="Tahoma" w:hAnsi="Tahoma" w:cs="Tahoma"/>
                <w:sz w:val="18"/>
                <w:szCs w:val="18"/>
              </w:rPr>
            </w:pPr>
            <w:r w:rsidRPr="00F63AD8">
              <w:rPr>
                <w:rFonts w:ascii="Tahoma" w:hAnsi="Tahoma" w:cs="Tahoma"/>
                <w:sz w:val="18"/>
                <w:szCs w:val="18"/>
              </w:rPr>
              <w:t xml:space="preserve">Иные обязательные платежи по Договору отсутствуют. </w:t>
            </w:r>
          </w:p>
          <w:p w14:paraId="7D5D1031" w14:textId="77777777" w:rsidR="00440295" w:rsidRPr="00F63AD8" w:rsidRDefault="00440295" w:rsidP="00034511">
            <w:pPr>
              <w:widowControl w:val="0"/>
              <w:tabs>
                <w:tab w:val="left" w:pos="426"/>
                <w:tab w:val="left" w:pos="851"/>
              </w:tabs>
              <w:rPr>
                <w:rFonts w:ascii="Tahoma" w:hAnsi="Tahoma" w:cs="Tahoma"/>
                <w:sz w:val="18"/>
                <w:szCs w:val="18"/>
              </w:rPr>
            </w:pPr>
          </w:p>
          <w:p w14:paraId="764319EA" w14:textId="77777777" w:rsidR="00440295" w:rsidRPr="00F63AD8" w:rsidRDefault="00440295" w:rsidP="00034511">
            <w:pPr>
              <w:widowControl w:val="0"/>
              <w:tabs>
                <w:tab w:val="left" w:pos="426"/>
                <w:tab w:val="left" w:pos="851"/>
              </w:tabs>
              <w:rPr>
                <w:rFonts w:ascii="Tahoma" w:hAnsi="Tahoma" w:cs="Tahoma"/>
                <w:sz w:val="18"/>
                <w:szCs w:val="18"/>
              </w:rPr>
            </w:pPr>
            <w:r w:rsidRPr="00F63AD8">
              <w:rPr>
                <w:rFonts w:ascii="Tahoma" w:hAnsi="Tahoma" w:cs="Tahoma"/>
                <w:sz w:val="18"/>
                <w:szCs w:val="18"/>
              </w:rPr>
              <w:t xml:space="preserve">При наличии соответствующего волеизъявления Заемщика ему могут быть оказаны Банком услуги, не являющиеся обязательными для заключения или исполнения Договора, плата за которые предусмотрена Тарифами Банка </w:t>
            </w:r>
          </w:p>
          <w:p w14:paraId="0746186D" w14:textId="77777777" w:rsidR="00440295" w:rsidRPr="00F63AD8" w:rsidRDefault="00440295" w:rsidP="00034511">
            <w:pPr>
              <w:widowControl w:val="0"/>
              <w:tabs>
                <w:tab w:val="left" w:pos="426"/>
                <w:tab w:val="left" w:pos="851"/>
              </w:tabs>
              <w:rPr>
                <w:rFonts w:ascii="Tahoma" w:hAnsi="Tahoma" w:cs="Tahoma"/>
                <w:sz w:val="18"/>
                <w:szCs w:val="18"/>
              </w:rPr>
            </w:pPr>
            <w:r w:rsidRPr="00F63AD8">
              <w:rPr>
                <w:rFonts w:ascii="Tahoma" w:hAnsi="Tahoma" w:cs="Tahoma"/>
                <w:sz w:val="18"/>
                <w:szCs w:val="18"/>
              </w:rPr>
              <w:t xml:space="preserve">( </w:t>
            </w:r>
            <w:hyperlink r:id="rId105" w:history="1">
              <w:r w:rsidRPr="00F63AD8">
                <w:rPr>
                  <w:rStyle w:val="aff"/>
                  <w:rFonts w:ascii="Tahoma" w:hAnsi="Tahoma" w:cs="Tahoma"/>
                  <w:sz w:val="18"/>
                  <w:szCs w:val="18"/>
                </w:rPr>
                <w:t>https://www.atb.su/general-information/tariff-book/</w:t>
              </w:r>
            </w:hyperlink>
            <w:r w:rsidRPr="00F63AD8">
              <w:rPr>
                <w:rFonts w:ascii="Tahoma" w:hAnsi="Tahoma" w:cs="Tahoma"/>
                <w:sz w:val="18"/>
                <w:szCs w:val="18"/>
              </w:rPr>
              <w:t xml:space="preserve"> ). Оказание услуги Банком производится в случае выражения Заемщиком волеизъявления на пользование определенной услугой. Оплата услуг должна быть произведена до момента оказания Банком услуг.</w:t>
            </w:r>
          </w:p>
          <w:p w14:paraId="2723CF29" w14:textId="77777777" w:rsidR="00440295" w:rsidRPr="00F63AD8" w:rsidRDefault="00440295" w:rsidP="00034511">
            <w:pPr>
              <w:widowControl w:val="0"/>
              <w:tabs>
                <w:tab w:val="left" w:pos="426"/>
                <w:tab w:val="left" w:pos="851"/>
              </w:tabs>
              <w:rPr>
                <w:rFonts w:ascii="Tahoma" w:hAnsi="Tahoma" w:cs="Tahoma"/>
                <w:sz w:val="18"/>
                <w:szCs w:val="18"/>
              </w:rPr>
            </w:pPr>
          </w:p>
          <w:p w14:paraId="23CF2F43" w14:textId="77777777" w:rsidR="00440295" w:rsidRPr="00F63AD8" w:rsidRDefault="00440295" w:rsidP="00034511">
            <w:pPr>
              <w:widowControl w:val="0"/>
              <w:tabs>
                <w:tab w:val="left" w:pos="426"/>
                <w:tab w:val="left" w:pos="851"/>
              </w:tabs>
              <w:rPr>
                <w:rFonts w:ascii="Tahoma" w:hAnsi="Tahoma" w:cs="Tahoma"/>
                <w:sz w:val="18"/>
                <w:szCs w:val="18"/>
              </w:rPr>
            </w:pPr>
            <w:r w:rsidRPr="00F63AD8">
              <w:rPr>
                <w:rFonts w:ascii="Tahoma" w:hAnsi="Tahoma" w:cs="Tahoma"/>
                <w:sz w:val="18"/>
                <w:szCs w:val="18"/>
              </w:rPr>
              <w:t>Платеж за выдачу дубликата или восстановление утерянного Договора, договоров обеспечения в размере 10 000 рублей за один Договор.</w:t>
            </w:r>
          </w:p>
          <w:p w14:paraId="5E54EF3C" w14:textId="77777777" w:rsidR="00440295" w:rsidRPr="00F63AD8" w:rsidRDefault="00440295" w:rsidP="00034511">
            <w:pPr>
              <w:rPr>
                <w:rFonts w:ascii="Tahoma" w:hAnsi="Tahoma" w:cs="Tahoma"/>
                <w:sz w:val="18"/>
                <w:szCs w:val="18"/>
              </w:rPr>
            </w:pPr>
          </w:p>
        </w:tc>
      </w:tr>
      <w:tr w:rsidR="00440295" w:rsidRPr="00F63AD8" w14:paraId="0A8F4B92" w14:textId="77777777" w:rsidTr="000345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gridBefore w:val="1"/>
          <w:wBefore w:w="94" w:type="pct"/>
          <w:trHeight w:val="301"/>
        </w:trPr>
        <w:tc>
          <w:tcPr>
            <w:tcW w:w="1812" w:type="pct"/>
            <w:gridSpan w:val="5"/>
            <w:tcBorders>
              <w:top w:val="single" w:sz="4" w:space="0" w:color="auto"/>
              <w:left w:val="single" w:sz="8" w:space="0" w:color="auto"/>
              <w:bottom w:val="single" w:sz="4" w:space="0" w:color="auto"/>
              <w:right w:val="single" w:sz="4" w:space="0" w:color="auto"/>
            </w:tcBorders>
            <w:vAlign w:val="center"/>
          </w:tcPr>
          <w:p w14:paraId="4931BD95"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 xml:space="preserve">Способы обеспечения исполнения обязательств по Договору </w:t>
            </w:r>
          </w:p>
        </w:tc>
        <w:tc>
          <w:tcPr>
            <w:tcW w:w="3095" w:type="pct"/>
            <w:gridSpan w:val="3"/>
            <w:tcBorders>
              <w:top w:val="single" w:sz="4" w:space="0" w:color="auto"/>
              <w:left w:val="nil"/>
              <w:bottom w:val="single" w:sz="4" w:space="0" w:color="auto"/>
              <w:right w:val="single" w:sz="8" w:space="0" w:color="000000"/>
            </w:tcBorders>
            <w:noWrap/>
            <w:vAlign w:val="center"/>
          </w:tcPr>
          <w:p w14:paraId="1442CA15" w14:textId="77777777" w:rsidR="00440295" w:rsidRPr="00F63AD8" w:rsidRDefault="00440295" w:rsidP="00034511">
            <w:pPr>
              <w:widowControl w:val="0"/>
              <w:tabs>
                <w:tab w:val="left" w:pos="426"/>
                <w:tab w:val="left" w:pos="851"/>
              </w:tabs>
              <w:rPr>
                <w:rFonts w:ascii="Tahoma" w:hAnsi="Tahoma" w:cs="Tahoma"/>
                <w:sz w:val="18"/>
                <w:szCs w:val="18"/>
              </w:rPr>
            </w:pPr>
            <w:r w:rsidRPr="00F63AD8">
              <w:rPr>
                <w:rFonts w:ascii="Tahoma" w:hAnsi="Tahoma" w:cs="Tahoma"/>
                <w:sz w:val="18"/>
                <w:szCs w:val="18"/>
              </w:rPr>
              <w:t xml:space="preserve">Неустойка (штраф, пеня). В случае нарушения обязательств по Договору с Заемщика может быть взыскана неустойка в суммах и порядке, определенных Сторонами в соответствии с законодательством РФ и Индивидуальными условиями Договора. По требованию Банка может быть запрошено обеспечение, а именно: залог, поручительство. </w:t>
            </w:r>
          </w:p>
          <w:p w14:paraId="614F5002" w14:textId="77777777" w:rsidR="00440295" w:rsidRPr="00F63AD8" w:rsidRDefault="00440295" w:rsidP="00034511">
            <w:pPr>
              <w:widowControl w:val="0"/>
              <w:tabs>
                <w:tab w:val="left" w:pos="426"/>
                <w:tab w:val="left" w:pos="851"/>
              </w:tabs>
              <w:rPr>
                <w:rFonts w:ascii="Tahoma" w:hAnsi="Tahoma" w:cs="Tahoma"/>
                <w:sz w:val="18"/>
                <w:szCs w:val="18"/>
              </w:rPr>
            </w:pPr>
            <w:r w:rsidRPr="00F63AD8">
              <w:rPr>
                <w:rFonts w:ascii="Tahoma" w:hAnsi="Tahoma" w:cs="Tahoma"/>
                <w:sz w:val="18"/>
                <w:szCs w:val="18"/>
              </w:rPr>
              <w:t>Если при расчете платежеспособности участвуют доходы супруга(и) Заёмщика, без которых Заемщик самостоятельно не проходит по платежеспособности (по оценке Банка), то Банком может быть запрошено оформление данного супруга(и) Заёмщика в качестве созаемщика (второго Заемщика) /поручителя.</w:t>
            </w:r>
          </w:p>
          <w:p w14:paraId="3ABD4866" w14:textId="77777777" w:rsidR="00440295" w:rsidRPr="00F63AD8" w:rsidRDefault="00440295" w:rsidP="00034511">
            <w:pPr>
              <w:rPr>
                <w:rFonts w:ascii="Tahoma" w:hAnsi="Tahoma" w:cs="Tahoma"/>
                <w:sz w:val="18"/>
                <w:szCs w:val="18"/>
              </w:rPr>
            </w:pPr>
            <w:r w:rsidRPr="00F63AD8">
              <w:rPr>
                <w:rFonts w:ascii="Tahoma" w:hAnsi="Tahoma" w:cs="Tahoma"/>
                <w:sz w:val="18"/>
                <w:szCs w:val="18"/>
              </w:rPr>
              <w:t xml:space="preserve">Требования к транспортному средству, предоставляемому в залог Банку: автотранспортное или мототранспортное средство отечественного или иностранного производства датой выпуска не ранее 01.01.2000 года; не является предметом залога по другому договору, свободно от долгов, не сдано в аренду, не продано, в споре, розыске или под арестом не состоит, а также свободно от иных обременений и прав на него третьих лиц; поставлено на государственный регистрационный учете; собственником является Заемщик или третье лицо. Договором может быть предусмотрено </w:t>
            </w:r>
            <w:r w:rsidRPr="00F63AD8">
              <w:rPr>
                <w:rFonts w:ascii="Tahoma" w:hAnsi="Tahoma" w:cs="Tahoma"/>
                <w:color w:val="000000"/>
                <w:sz w:val="18"/>
                <w:szCs w:val="18"/>
              </w:rPr>
              <w:t xml:space="preserve">(при согласии Банка) </w:t>
            </w:r>
            <w:r w:rsidRPr="00F63AD8">
              <w:rPr>
                <w:rFonts w:ascii="Tahoma" w:hAnsi="Tahoma" w:cs="Tahoma"/>
                <w:sz w:val="18"/>
                <w:szCs w:val="18"/>
              </w:rPr>
              <w:t>предоставление залога в последующем (в течение 6 месяцев с даты заключения Договора).</w:t>
            </w:r>
            <w:r w:rsidRPr="00F63AD8">
              <w:rPr>
                <w:rFonts w:ascii="Tahoma" w:hAnsi="Tahoma" w:cs="Tahoma"/>
                <w:sz w:val="18"/>
                <w:szCs w:val="18"/>
              </w:rPr>
              <w:fldChar w:fldCharType="begin"/>
            </w:r>
            <w:r w:rsidRPr="00F63AD8">
              <w:rPr>
                <w:rFonts w:ascii="Tahoma" w:hAnsi="Tahoma" w:cs="Tahoma"/>
                <w:sz w:val="18"/>
                <w:szCs w:val="18"/>
              </w:rPr>
              <w:instrText xml:space="preserve"> DOCVARIABLE  ATB_ADDRESS_FACT </w:instrText>
            </w:r>
            <w:r w:rsidRPr="00F63AD8">
              <w:rPr>
                <w:rFonts w:ascii="Tahoma" w:hAnsi="Tahoma" w:cs="Tahoma"/>
                <w:sz w:val="18"/>
                <w:szCs w:val="18"/>
              </w:rPr>
              <w:fldChar w:fldCharType="end"/>
            </w:r>
          </w:p>
        </w:tc>
      </w:tr>
      <w:tr w:rsidR="00440295" w:rsidRPr="00F63AD8" w14:paraId="11EA6BE7" w14:textId="77777777" w:rsidTr="000345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gridBefore w:val="1"/>
          <w:wBefore w:w="94" w:type="pct"/>
          <w:trHeight w:val="160"/>
        </w:trPr>
        <w:tc>
          <w:tcPr>
            <w:tcW w:w="1812" w:type="pct"/>
            <w:gridSpan w:val="5"/>
            <w:tcBorders>
              <w:top w:val="single" w:sz="4" w:space="0" w:color="auto"/>
              <w:left w:val="single" w:sz="8" w:space="0" w:color="auto"/>
              <w:bottom w:val="single" w:sz="4" w:space="0" w:color="auto"/>
              <w:right w:val="single" w:sz="4" w:space="0" w:color="auto"/>
            </w:tcBorders>
            <w:vAlign w:val="center"/>
          </w:tcPr>
          <w:p w14:paraId="3652E3B3"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Периодичность платежей Заемщика при возврате потребительского кредита (с лимитом кредитования), уплате процентов и иных платежей по Кредиту</w:t>
            </w:r>
          </w:p>
        </w:tc>
        <w:tc>
          <w:tcPr>
            <w:tcW w:w="3095" w:type="pct"/>
            <w:gridSpan w:val="3"/>
            <w:tcBorders>
              <w:top w:val="single" w:sz="4" w:space="0" w:color="auto"/>
              <w:left w:val="nil"/>
              <w:bottom w:val="single" w:sz="4" w:space="0" w:color="auto"/>
              <w:right w:val="single" w:sz="8" w:space="0" w:color="000000"/>
            </w:tcBorders>
            <w:noWrap/>
            <w:vAlign w:val="center"/>
          </w:tcPr>
          <w:p w14:paraId="24F624B1" w14:textId="77777777" w:rsidR="00440295" w:rsidRPr="00F63AD8" w:rsidRDefault="00440295" w:rsidP="00034511">
            <w:pPr>
              <w:widowControl w:val="0"/>
              <w:tabs>
                <w:tab w:val="left" w:pos="426"/>
                <w:tab w:val="left" w:pos="851"/>
              </w:tabs>
              <w:rPr>
                <w:rFonts w:ascii="Tahoma" w:hAnsi="Tahoma" w:cs="Tahoma"/>
                <w:sz w:val="18"/>
                <w:szCs w:val="18"/>
              </w:rPr>
            </w:pPr>
            <w:r w:rsidRPr="00F63AD8">
              <w:rPr>
                <w:rFonts w:ascii="Tahoma" w:hAnsi="Tahoma" w:cs="Tahoma"/>
                <w:sz w:val="18"/>
                <w:szCs w:val="18"/>
              </w:rPr>
              <w:t>Платежи осуществляются Заемщиком ежемесячно согласно ОМЕП, согласованному Заемщиком и Банком в Индивидуальных условиях Договора.</w:t>
            </w:r>
          </w:p>
        </w:tc>
      </w:tr>
      <w:tr w:rsidR="00440295" w:rsidRPr="00F63AD8" w14:paraId="1940EA5E" w14:textId="77777777" w:rsidTr="000345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gridBefore w:val="1"/>
          <w:wBefore w:w="94" w:type="pct"/>
          <w:trHeight w:val="101"/>
        </w:trPr>
        <w:tc>
          <w:tcPr>
            <w:tcW w:w="1812" w:type="pct"/>
            <w:gridSpan w:val="5"/>
            <w:tcBorders>
              <w:top w:val="single" w:sz="4" w:space="0" w:color="auto"/>
              <w:left w:val="single" w:sz="8" w:space="0" w:color="auto"/>
              <w:bottom w:val="single" w:sz="4" w:space="0" w:color="auto"/>
              <w:right w:val="single" w:sz="4" w:space="0" w:color="000000"/>
            </w:tcBorders>
            <w:shd w:val="clear" w:color="auto" w:fill="auto"/>
            <w:vAlign w:val="center"/>
          </w:tcPr>
          <w:p w14:paraId="693A28F9"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 xml:space="preserve">Способы возврата  Заемщиком потребительского кредита (с лимитом кредитования) и уплаты процентов по нему, включая бесплатный способ исполнения Заемщиком обязательств по Договору </w:t>
            </w:r>
          </w:p>
        </w:tc>
        <w:tc>
          <w:tcPr>
            <w:tcW w:w="3095" w:type="pct"/>
            <w:gridSpan w:val="3"/>
            <w:tcBorders>
              <w:top w:val="single" w:sz="4" w:space="0" w:color="auto"/>
              <w:left w:val="nil"/>
              <w:bottom w:val="single" w:sz="4" w:space="0" w:color="auto"/>
              <w:right w:val="single" w:sz="8" w:space="0" w:color="000000"/>
            </w:tcBorders>
            <w:shd w:val="clear" w:color="auto" w:fill="auto"/>
            <w:vAlign w:val="center"/>
          </w:tcPr>
          <w:p w14:paraId="7742D12A" w14:textId="77777777" w:rsidR="00440295" w:rsidRPr="00F63AD8" w:rsidRDefault="00440295" w:rsidP="00034511">
            <w:pPr>
              <w:rPr>
                <w:rFonts w:ascii="Tahoma" w:hAnsi="Tahoma" w:cs="Tahoma"/>
                <w:sz w:val="18"/>
                <w:szCs w:val="18"/>
              </w:rPr>
            </w:pPr>
            <w:r w:rsidRPr="00F63AD8">
              <w:rPr>
                <w:rFonts w:ascii="Tahoma" w:hAnsi="Tahoma" w:cs="Tahoma"/>
                <w:sz w:val="18"/>
                <w:szCs w:val="18"/>
              </w:rPr>
              <w:t>Погашение Заемщиком обязательств по Договору осуществляется в сумме и сроки, предусмотренные Договором (в т.ч. при досрочном частичном или полном возврате Кредита) производится любым способом по выбору Заемщика, в том числе: посредством внесения денежных средств в сумме обязательства на СКС Заемщика через терминалы самообслуживания Банка (при их наличии в населенном пункте по месту получения Заемщиком оферты); кассы Банка, перевод через работодателя Заемщика, перевод со счёта в Банке на СКС Заемщика, перевод через отделения АО «Почта России», перевод через мобильный банк/ интернет-банк, иные кредитные организации (по предусмотренным ими тарифам). Могут использоваться иные способы, не противоречащие законодательству РФ.</w:t>
            </w:r>
          </w:p>
          <w:p w14:paraId="595F29FF" w14:textId="77777777" w:rsidR="00440295" w:rsidRPr="00F63AD8" w:rsidRDefault="00440295" w:rsidP="00034511">
            <w:pPr>
              <w:rPr>
                <w:rFonts w:ascii="Tahoma" w:hAnsi="Tahoma" w:cs="Tahoma"/>
                <w:sz w:val="18"/>
                <w:szCs w:val="18"/>
              </w:rPr>
            </w:pPr>
            <w:r w:rsidRPr="00F63AD8">
              <w:rPr>
                <w:rFonts w:ascii="Tahoma" w:hAnsi="Tahoma" w:cs="Tahoma"/>
                <w:sz w:val="18"/>
                <w:szCs w:val="18"/>
              </w:rPr>
              <w:t xml:space="preserve">Обязательства по погашению Заемщиком Кредитной задолженности по Договору считаются Заемщиком исполненными в полном объеме после поступления денежных средств на СКС Заемщика (списания Банком в свою пользу с СКС Заемщика денежных средств).  </w:t>
            </w:r>
          </w:p>
          <w:p w14:paraId="32DB11A6" w14:textId="77777777" w:rsidR="00440295" w:rsidRPr="00F63AD8" w:rsidRDefault="00440295" w:rsidP="00034511">
            <w:pPr>
              <w:widowControl w:val="0"/>
              <w:tabs>
                <w:tab w:val="left" w:pos="426"/>
                <w:tab w:val="left" w:pos="851"/>
              </w:tabs>
              <w:rPr>
                <w:rFonts w:ascii="Tahoma" w:hAnsi="Tahoma" w:cs="Tahoma"/>
                <w:sz w:val="18"/>
                <w:szCs w:val="18"/>
              </w:rPr>
            </w:pPr>
            <w:r w:rsidRPr="00F63AD8">
              <w:rPr>
                <w:rFonts w:ascii="Tahoma" w:hAnsi="Tahoma" w:cs="Tahoma"/>
                <w:sz w:val="18"/>
                <w:szCs w:val="18"/>
              </w:rPr>
              <w:t>Заемщик вносит на СКС денежные средства любыми из перечисленных выше способов, при этом он обязан учесть время, затрачиваемое на безналичное перечисление денежных средств, выходные и праздничные дни. Если установленный Договором последний день срока платежа отсутствует в календарном месяце, Заемщик обязан внести денежные средства на СКС не позднее последнего календарного рабочего дня месяца; если последний день срока платежа приходится на выходные/нерабочие праздничные дни, Заемщик обязан внести денежные средства на СКС не позднее 1-го рабочего дня, следующего за выходным/нерабочим праздничным днем. Указанная обязанность должна быть исполнена Заемщиком в операционный день Банка.</w:t>
            </w:r>
            <w:r w:rsidRPr="00F63AD8">
              <w:rPr>
                <w:rFonts w:ascii="Tahoma" w:hAnsi="Tahoma" w:cs="Tahoma"/>
                <w:sz w:val="18"/>
                <w:szCs w:val="18"/>
              </w:rPr>
              <w:fldChar w:fldCharType="begin"/>
            </w:r>
            <w:r w:rsidRPr="00F63AD8">
              <w:rPr>
                <w:rFonts w:ascii="Tahoma" w:hAnsi="Tahoma" w:cs="Tahoma"/>
                <w:sz w:val="18"/>
                <w:szCs w:val="18"/>
              </w:rPr>
              <w:instrText xml:space="preserve"> DOCVARIABLE  DOC_C </w:instrText>
            </w:r>
            <w:r w:rsidRPr="00F63AD8">
              <w:rPr>
                <w:rFonts w:ascii="Tahoma" w:hAnsi="Tahoma" w:cs="Tahoma"/>
                <w:sz w:val="18"/>
                <w:szCs w:val="18"/>
              </w:rPr>
              <w:fldChar w:fldCharType="end"/>
            </w:r>
          </w:p>
        </w:tc>
      </w:tr>
      <w:tr w:rsidR="00440295" w:rsidRPr="00F63AD8" w14:paraId="5657200A" w14:textId="77777777" w:rsidTr="000345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gridBefore w:val="1"/>
          <w:wBefore w:w="94" w:type="pct"/>
          <w:trHeight w:val="101"/>
        </w:trPr>
        <w:tc>
          <w:tcPr>
            <w:tcW w:w="1812" w:type="pct"/>
            <w:gridSpan w:val="5"/>
            <w:tcBorders>
              <w:top w:val="single" w:sz="4" w:space="0" w:color="auto"/>
              <w:left w:val="single" w:sz="8" w:space="0" w:color="auto"/>
              <w:bottom w:val="single" w:sz="4" w:space="0" w:color="auto"/>
              <w:right w:val="single" w:sz="4" w:space="0" w:color="000000"/>
            </w:tcBorders>
            <w:shd w:val="clear" w:color="auto" w:fill="auto"/>
            <w:vAlign w:val="center"/>
          </w:tcPr>
          <w:p w14:paraId="6A6BE28D"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Бесплатный способ исполнения Заемщиком обязательств по Договору</w:t>
            </w:r>
          </w:p>
        </w:tc>
        <w:tc>
          <w:tcPr>
            <w:tcW w:w="3095" w:type="pct"/>
            <w:gridSpan w:val="3"/>
            <w:tcBorders>
              <w:top w:val="single" w:sz="4" w:space="0" w:color="auto"/>
              <w:left w:val="nil"/>
              <w:bottom w:val="single" w:sz="4" w:space="0" w:color="auto"/>
              <w:right w:val="single" w:sz="8" w:space="0" w:color="000000"/>
            </w:tcBorders>
            <w:shd w:val="clear" w:color="auto" w:fill="auto"/>
            <w:vAlign w:val="center"/>
          </w:tcPr>
          <w:p w14:paraId="47DF2339" w14:textId="77777777" w:rsidR="00440295" w:rsidRPr="00F63AD8" w:rsidRDefault="00440295" w:rsidP="00034511">
            <w:pPr>
              <w:rPr>
                <w:rFonts w:ascii="Tahoma" w:hAnsi="Tahoma" w:cs="Tahoma"/>
                <w:sz w:val="18"/>
                <w:szCs w:val="18"/>
              </w:rPr>
            </w:pPr>
            <w:r w:rsidRPr="00F63AD8">
              <w:rPr>
                <w:rFonts w:ascii="Tahoma" w:hAnsi="Tahoma" w:cs="Tahoma"/>
                <w:sz w:val="18"/>
                <w:szCs w:val="18"/>
              </w:rPr>
              <w:t>Внесение денежных средств на СКС через терминалы самообслуживания Банка, перевод через работодателя Заемщика, перевод со счёта в Банке на СКС Заемщика.</w:t>
            </w:r>
          </w:p>
        </w:tc>
      </w:tr>
      <w:tr w:rsidR="00440295" w:rsidRPr="00F63AD8" w14:paraId="015AF401" w14:textId="77777777" w:rsidTr="000345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gridBefore w:val="1"/>
          <w:wBefore w:w="94" w:type="pct"/>
          <w:trHeight w:val="2413"/>
        </w:trPr>
        <w:tc>
          <w:tcPr>
            <w:tcW w:w="1812" w:type="pct"/>
            <w:gridSpan w:val="5"/>
            <w:tcBorders>
              <w:top w:val="single" w:sz="4" w:space="0" w:color="auto"/>
              <w:left w:val="single" w:sz="8" w:space="0" w:color="auto"/>
              <w:bottom w:val="single" w:sz="4" w:space="0" w:color="auto"/>
              <w:right w:val="single" w:sz="4" w:space="0" w:color="000000"/>
            </w:tcBorders>
          </w:tcPr>
          <w:p w14:paraId="677513C5"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Порядок изменения количества, размера и периодичности (сроков) платежей Заемщика при частичном досрочном возврате Кредита</w:t>
            </w:r>
          </w:p>
        </w:tc>
        <w:tc>
          <w:tcPr>
            <w:tcW w:w="3095" w:type="pct"/>
            <w:gridSpan w:val="3"/>
            <w:tcBorders>
              <w:top w:val="single" w:sz="4" w:space="0" w:color="auto"/>
              <w:left w:val="nil"/>
              <w:bottom w:val="single" w:sz="4" w:space="0" w:color="auto"/>
              <w:right w:val="single" w:sz="8" w:space="0" w:color="000000"/>
            </w:tcBorders>
          </w:tcPr>
          <w:p w14:paraId="11845B3D" w14:textId="77777777" w:rsidR="00440295" w:rsidRPr="00F63AD8" w:rsidRDefault="00440295" w:rsidP="00034511">
            <w:pPr>
              <w:ind w:right="218"/>
              <w:rPr>
                <w:rFonts w:ascii="Tahoma" w:hAnsi="Tahoma" w:cs="Tahoma"/>
                <w:sz w:val="18"/>
                <w:szCs w:val="18"/>
              </w:rPr>
            </w:pPr>
            <w:r w:rsidRPr="00F63AD8">
              <w:rPr>
                <w:rFonts w:ascii="Tahoma" w:hAnsi="Tahoma" w:cs="Tahoma"/>
                <w:sz w:val="18"/>
                <w:szCs w:val="18"/>
              </w:rPr>
              <w:t xml:space="preserve">В случае внесения Заемщиком на СКС денежных средств в размере, превышающем размер ОМЕП, сумма, превышающая размер ОМЕП по Договору, списывается в качестве досрочного возврата Кредита при условии, что у Заемщика отсутствует Просроченная кредитная задолженность по Договору. </w:t>
            </w:r>
          </w:p>
          <w:p w14:paraId="1DACF181" w14:textId="77777777" w:rsidR="00440295" w:rsidRPr="00F63AD8" w:rsidRDefault="00440295" w:rsidP="00034511">
            <w:pPr>
              <w:ind w:right="218"/>
              <w:rPr>
                <w:rFonts w:ascii="Tahoma" w:hAnsi="Tahoma" w:cs="Tahoma"/>
                <w:sz w:val="18"/>
                <w:szCs w:val="18"/>
              </w:rPr>
            </w:pPr>
            <w:r w:rsidRPr="00F63AD8">
              <w:rPr>
                <w:rFonts w:ascii="Tahoma" w:hAnsi="Tahoma" w:cs="Tahoma"/>
                <w:sz w:val="18"/>
                <w:szCs w:val="18"/>
              </w:rPr>
              <w:t xml:space="preserve">Если в течение срока действия Договора Заемщиком будут даны распоряжения Банку, обязывающие произвести с СКС иные платежи, то Банк осуществляет списание (перевод) денежных средств в соответствии с такими распоряжениями после списания с СКС ОМЕП, денежных средств с учетом ограничений законодательства РФ, а при наличии остатка после списаний, указанных в настоящем предложении денежных средств, такой остаток списывается в качестве досрочного возврата Кредита. </w:t>
            </w:r>
          </w:p>
          <w:p w14:paraId="0EB99A23" w14:textId="77777777" w:rsidR="00440295" w:rsidRPr="00F63AD8" w:rsidRDefault="00440295" w:rsidP="00034511">
            <w:pPr>
              <w:rPr>
                <w:rFonts w:ascii="Tahoma" w:hAnsi="Tahoma" w:cs="Tahoma"/>
                <w:sz w:val="18"/>
                <w:szCs w:val="18"/>
              </w:rPr>
            </w:pPr>
            <w:r w:rsidRPr="00F63AD8">
              <w:rPr>
                <w:rFonts w:ascii="Tahoma" w:hAnsi="Tahoma" w:cs="Tahoma"/>
                <w:sz w:val="18"/>
                <w:szCs w:val="18"/>
              </w:rPr>
              <w:t>При частичном досрочном возврате Кредита количество, размер и периодичность платежей Заемщика по Кредиту не меняются, при этом досрочный возврат Кредита осуществляется в порядке и на условиях, указанных в настоящем пункте.</w:t>
            </w:r>
          </w:p>
        </w:tc>
      </w:tr>
      <w:tr w:rsidR="00440295" w:rsidRPr="00F63AD8" w14:paraId="77831ED7" w14:textId="77777777" w:rsidTr="000345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gridBefore w:val="1"/>
          <w:wBefore w:w="94" w:type="pct"/>
          <w:trHeight w:val="1275"/>
        </w:trPr>
        <w:tc>
          <w:tcPr>
            <w:tcW w:w="1812" w:type="pct"/>
            <w:gridSpan w:val="5"/>
            <w:tcBorders>
              <w:top w:val="single" w:sz="4" w:space="0" w:color="auto"/>
              <w:left w:val="single" w:sz="8" w:space="0" w:color="auto"/>
              <w:bottom w:val="single" w:sz="4" w:space="0" w:color="auto"/>
              <w:right w:val="single" w:sz="4" w:space="0" w:color="000000"/>
            </w:tcBorders>
            <w:vAlign w:val="center"/>
          </w:tcPr>
          <w:p w14:paraId="194F8230"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Срок, в течение которого Заемщик вправе отказаться от получения потребительского кредита (с лимитом кредитования)</w:t>
            </w:r>
          </w:p>
        </w:tc>
        <w:tc>
          <w:tcPr>
            <w:tcW w:w="3095" w:type="pct"/>
            <w:gridSpan w:val="3"/>
            <w:tcBorders>
              <w:top w:val="single" w:sz="4" w:space="0" w:color="auto"/>
              <w:left w:val="nil"/>
              <w:bottom w:val="single" w:sz="4" w:space="0" w:color="auto"/>
              <w:right w:val="single" w:sz="8" w:space="0" w:color="000000"/>
            </w:tcBorders>
            <w:vAlign w:val="center"/>
          </w:tcPr>
          <w:p w14:paraId="1A422B48" w14:textId="77777777" w:rsidR="00440295" w:rsidRPr="00F63AD8" w:rsidRDefault="00440295" w:rsidP="00034511">
            <w:pPr>
              <w:rPr>
                <w:rFonts w:ascii="Tahoma" w:hAnsi="Tahoma" w:cs="Tahoma"/>
                <w:sz w:val="18"/>
                <w:szCs w:val="18"/>
              </w:rPr>
            </w:pPr>
            <w:r w:rsidRPr="00F63AD8">
              <w:rPr>
                <w:rFonts w:ascii="Tahoma" w:hAnsi="Tahoma" w:cs="Tahoma"/>
                <w:sz w:val="18"/>
                <w:szCs w:val="18"/>
              </w:rPr>
              <w:t>Заемщик вправе отказаться от получения потребительского кредита (с Лимитом кредитования) (установления Лимита кредитования) полностью или частично, уведомив об этом Кредитора до истечения установленного Договором срока его предоставления. Если Заемщик желает отказаться от установленного Лимита кредитования, он может сделать это в любой срок, в случае отсутствия задолженности по Лимиту кредитования, письменно уведомив Банк о закрытии Лимита кредитования.</w:t>
            </w:r>
          </w:p>
        </w:tc>
      </w:tr>
      <w:tr w:rsidR="00440295" w:rsidRPr="00F63AD8" w14:paraId="0C951442" w14:textId="77777777" w:rsidTr="000345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gridBefore w:val="1"/>
          <w:wBefore w:w="94" w:type="pct"/>
          <w:trHeight w:val="344"/>
        </w:trPr>
        <w:tc>
          <w:tcPr>
            <w:tcW w:w="1812" w:type="pct"/>
            <w:gridSpan w:val="5"/>
            <w:tcBorders>
              <w:top w:val="single" w:sz="4" w:space="0" w:color="auto"/>
              <w:left w:val="single" w:sz="8" w:space="0" w:color="auto"/>
              <w:bottom w:val="single" w:sz="4" w:space="0" w:color="auto"/>
              <w:right w:val="single" w:sz="4" w:space="0" w:color="000000"/>
            </w:tcBorders>
            <w:vAlign w:val="center"/>
          </w:tcPr>
          <w:p w14:paraId="7C4310B4"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Ответственность Заемщика за ненадлежащее исполнение условий Договора, размер неустойки (штрафа, пени), порядок её расчета, а также информация о том, в  каких случаях данные санкции могут быть применены</w:t>
            </w:r>
          </w:p>
        </w:tc>
        <w:tc>
          <w:tcPr>
            <w:tcW w:w="3095" w:type="pct"/>
            <w:gridSpan w:val="3"/>
            <w:tcBorders>
              <w:top w:val="single" w:sz="4" w:space="0" w:color="auto"/>
              <w:left w:val="nil"/>
              <w:bottom w:val="single" w:sz="4" w:space="0" w:color="auto"/>
              <w:right w:val="single" w:sz="8" w:space="0" w:color="000000"/>
            </w:tcBorders>
            <w:vAlign w:val="center"/>
          </w:tcPr>
          <w:p w14:paraId="33E4D5E2" w14:textId="77777777" w:rsidR="00440295" w:rsidRPr="00F63AD8" w:rsidRDefault="00440295" w:rsidP="00034511">
            <w:pPr>
              <w:autoSpaceDE w:val="0"/>
              <w:autoSpaceDN w:val="0"/>
              <w:spacing w:before="40" w:after="40"/>
              <w:rPr>
                <w:rFonts w:ascii="Tahoma" w:hAnsi="Tahoma" w:cs="Tahoma"/>
                <w:sz w:val="18"/>
                <w:szCs w:val="18"/>
              </w:rPr>
            </w:pPr>
            <w:r w:rsidRPr="00F63AD8">
              <w:rPr>
                <w:rFonts w:ascii="Tahoma" w:hAnsi="Tahoma" w:cs="Tahoma"/>
                <w:sz w:val="18"/>
                <w:szCs w:val="18"/>
              </w:rPr>
              <w:t>За нарушение Заемщиком своих обязательств по Договору Банк вправе начислить пеню (неустойку) в следующем порядке:</w:t>
            </w:r>
          </w:p>
          <w:p w14:paraId="6CEE08C1" w14:textId="77777777" w:rsidR="00440295" w:rsidRPr="00F63AD8" w:rsidRDefault="00440295" w:rsidP="00034511">
            <w:pPr>
              <w:autoSpaceDE w:val="0"/>
              <w:autoSpaceDN w:val="0"/>
              <w:spacing w:before="40" w:after="40"/>
              <w:rPr>
                <w:rFonts w:ascii="Tahoma" w:hAnsi="Tahoma" w:cs="Tahoma"/>
                <w:sz w:val="18"/>
                <w:szCs w:val="18"/>
              </w:rPr>
            </w:pPr>
            <w:r w:rsidRPr="00F63AD8">
              <w:rPr>
                <w:rFonts w:ascii="Tahoma" w:hAnsi="Tahoma" w:cs="Tahoma"/>
                <w:sz w:val="18"/>
                <w:szCs w:val="18"/>
              </w:rPr>
              <w:t xml:space="preserve">1. За ненадлежащее исполнение Заемщиком обязательств по возврату Кредита и(или) уплате процентов за пользование Кредитом – в размере 20 (двадцать) % годовых от суммы просроченной задолженности за каждый день просрочки, начиная со следующего дня за днем ее образования. </w:t>
            </w:r>
          </w:p>
          <w:p w14:paraId="02D2C329" w14:textId="77777777" w:rsidR="00440295" w:rsidRPr="00F63AD8" w:rsidRDefault="00440295" w:rsidP="00034511">
            <w:pPr>
              <w:autoSpaceDE w:val="0"/>
              <w:autoSpaceDN w:val="0"/>
              <w:spacing w:before="40" w:after="40"/>
              <w:rPr>
                <w:rFonts w:ascii="Tahoma" w:hAnsi="Tahoma" w:cs="Tahoma"/>
                <w:sz w:val="18"/>
                <w:szCs w:val="18"/>
              </w:rPr>
            </w:pPr>
            <w:r w:rsidRPr="00F63AD8">
              <w:rPr>
                <w:rFonts w:ascii="Tahoma" w:hAnsi="Tahoma" w:cs="Tahoma"/>
                <w:sz w:val="18"/>
                <w:szCs w:val="18"/>
              </w:rPr>
              <w:t>2. За непредоставление (нарушение срока предоставления) залога (если условиями Договора предусмотрена такая обязанность Заемщика) – в размере 5 (пять) % годовых на сумму основного долга за каждый день просрочки предоставления залога, начиная со следующего дня за днем просрочки предоставления залога.</w:t>
            </w:r>
          </w:p>
          <w:p w14:paraId="6A95B6DC" w14:textId="77777777" w:rsidR="00440295" w:rsidRPr="00F63AD8" w:rsidRDefault="00440295" w:rsidP="00034511">
            <w:pPr>
              <w:widowControl w:val="0"/>
              <w:tabs>
                <w:tab w:val="left" w:pos="426"/>
                <w:tab w:val="left" w:pos="851"/>
              </w:tabs>
              <w:rPr>
                <w:rFonts w:ascii="Tahoma" w:hAnsi="Tahoma" w:cs="Tahoma"/>
                <w:sz w:val="18"/>
                <w:szCs w:val="18"/>
              </w:rPr>
            </w:pPr>
            <w:r w:rsidRPr="00F63AD8">
              <w:rPr>
                <w:rFonts w:ascii="Tahoma" w:hAnsi="Tahoma" w:cs="Tahoma"/>
                <w:sz w:val="18"/>
                <w:szCs w:val="18"/>
              </w:rPr>
              <w:t>3. Суммарный размер ответственности Заемщика при совокупности указанных нарушений не может превышать ограничений, предусмотренных частями 21 и 24 статьи 5 Федерального закона от 21.12.2013 № 353-ФЗ «О потребительском кредите (займе)».</w:t>
            </w:r>
          </w:p>
        </w:tc>
      </w:tr>
      <w:tr w:rsidR="00440295" w:rsidRPr="00F63AD8" w14:paraId="36BCD197" w14:textId="77777777" w:rsidTr="00034511">
        <w:tblPrEx>
          <w:tblLook w:val="00A0" w:firstRow="1" w:lastRow="0" w:firstColumn="1" w:lastColumn="0" w:noHBand="0" w:noVBand="0"/>
        </w:tblPrEx>
        <w:trPr>
          <w:gridBefore w:val="1"/>
          <w:wBefore w:w="94" w:type="pct"/>
          <w:trHeight w:val="1000"/>
        </w:trPr>
        <w:tc>
          <w:tcPr>
            <w:tcW w:w="1812" w:type="pct"/>
            <w:gridSpan w:val="5"/>
            <w:tcBorders>
              <w:top w:val="single" w:sz="4" w:space="0" w:color="auto"/>
              <w:left w:val="single" w:sz="8" w:space="0" w:color="auto"/>
              <w:bottom w:val="single" w:sz="4" w:space="0" w:color="auto"/>
              <w:right w:val="single" w:sz="4" w:space="0" w:color="000000"/>
            </w:tcBorders>
            <w:vAlign w:val="center"/>
          </w:tcPr>
          <w:p w14:paraId="4E36D588"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 xml:space="preserve">Информация о возможности запрета уступки Кредитором третьим лицам прав (требований) по Договору </w:t>
            </w:r>
          </w:p>
        </w:tc>
        <w:tc>
          <w:tcPr>
            <w:tcW w:w="3095" w:type="pct"/>
            <w:gridSpan w:val="3"/>
            <w:tcBorders>
              <w:top w:val="single" w:sz="4" w:space="0" w:color="auto"/>
              <w:left w:val="nil"/>
              <w:bottom w:val="single" w:sz="4" w:space="0" w:color="auto"/>
              <w:right w:val="single" w:sz="8" w:space="0" w:color="000000"/>
            </w:tcBorders>
            <w:vAlign w:val="center"/>
          </w:tcPr>
          <w:p w14:paraId="28AAAD08" w14:textId="77777777" w:rsidR="00440295" w:rsidRPr="00F63AD8" w:rsidRDefault="00440295" w:rsidP="00034511">
            <w:pPr>
              <w:rPr>
                <w:rFonts w:ascii="Tahoma" w:hAnsi="Tahoma" w:cs="Tahoma"/>
                <w:sz w:val="18"/>
                <w:szCs w:val="18"/>
              </w:rPr>
            </w:pPr>
            <w:r w:rsidRPr="00F63AD8">
              <w:rPr>
                <w:rFonts w:ascii="Tahoma" w:hAnsi="Tahoma" w:cs="Tahoma"/>
                <w:sz w:val="18"/>
                <w:szCs w:val="18"/>
              </w:rPr>
              <w:t>Заемщик вправе запретить уступку Банком третьим лицам прав (требований) по Договору.</w:t>
            </w:r>
          </w:p>
        </w:tc>
      </w:tr>
      <w:tr w:rsidR="00440295" w:rsidRPr="00F63AD8" w14:paraId="5497A9C9" w14:textId="77777777" w:rsidTr="000345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gridBefore w:val="1"/>
          <w:wBefore w:w="94" w:type="pct"/>
          <w:trHeight w:val="303"/>
        </w:trPr>
        <w:tc>
          <w:tcPr>
            <w:tcW w:w="1812" w:type="pct"/>
            <w:gridSpan w:val="5"/>
            <w:tcBorders>
              <w:top w:val="single" w:sz="4" w:space="0" w:color="auto"/>
              <w:left w:val="single" w:sz="8" w:space="0" w:color="auto"/>
              <w:bottom w:val="single" w:sz="4" w:space="0" w:color="auto"/>
              <w:right w:val="single" w:sz="4" w:space="0" w:color="000000"/>
            </w:tcBorders>
            <w:vAlign w:val="center"/>
          </w:tcPr>
          <w:p w14:paraId="04C164DA"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Порядок предоставления Заемщиком информации об использовании потребительского кредита (с лимитом кредитования)</w:t>
            </w:r>
          </w:p>
        </w:tc>
        <w:tc>
          <w:tcPr>
            <w:tcW w:w="3095" w:type="pct"/>
            <w:gridSpan w:val="3"/>
            <w:tcBorders>
              <w:top w:val="single" w:sz="4" w:space="0" w:color="auto"/>
              <w:left w:val="nil"/>
              <w:bottom w:val="single" w:sz="4" w:space="0" w:color="auto"/>
              <w:right w:val="single" w:sz="8" w:space="0" w:color="000000"/>
            </w:tcBorders>
            <w:vAlign w:val="center"/>
          </w:tcPr>
          <w:p w14:paraId="0A46AE41" w14:textId="77777777" w:rsidR="00440295" w:rsidRPr="00F63AD8" w:rsidRDefault="00440295" w:rsidP="00034511">
            <w:pPr>
              <w:rPr>
                <w:rFonts w:ascii="Tahoma" w:hAnsi="Tahoma" w:cs="Tahoma"/>
                <w:sz w:val="18"/>
                <w:szCs w:val="18"/>
              </w:rPr>
            </w:pPr>
            <w:r w:rsidRPr="00F63AD8">
              <w:rPr>
                <w:rFonts w:ascii="Tahoma" w:hAnsi="Tahoma" w:cs="Tahoma"/>
                <w:sz w:val="18"/>
                <w:szCs w:val="18"/>
              </w:rPr>
              <w:t>Банк получает информацию об использовании Заемщиком потребительского кредита (с лимитом кредитования) на определенные цели (в случае, если тарифным планом Банка предусмотрен целевой характер использования Кредита) посредством автоматизированных систем Банка.</w:t>
            </w:r>
          </w:p>
        </w:tc>
      </w:tr>
      <w:tr w:rsidR="00440295" w:rsidRPr="00F63AD8" w14:paraId="395C42C2" w14:textId="77777777" w:rsidTr="000345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gridBefore w:val="1"/>
          <w:wBefore w:w="94" w:type="pct"/>
          <w:trHeight w:val="270"/>
        </w:trPr>
        <w:tc>
          <w:tcPr>
            <w:tcW w:w="1812" w:type="pct"/>
            <w:gridSpan w:val="5"/>
            <w:tcBorders>
              <w:top w:val="single" w:sz="4" w:space="0" w:color="auto"/>
              <w:left w:val="single" w:sz="8" w:space="0" w:color="auto"/>
              <w:bottom w:val="single" w:sz="4" w:space="0" w:color="auto"/>
              <w:right w:val="single" w:sz="4" w:space="0" w:color="000000"/>
            </w:tcBorders>
            <w:vAlign w:val="center"/>
          </w:tcPr>
          <w:p w14:paraId="59596A5F"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Иные договоры, требуемые для заключения или исполнения Договора, и (или) иные услуги, которые Заемщик обязан получить в связи с заключением таких договоров и (или) оказанием таких услуг либо отказаться от них</w:t>
            </w:r>
          </w:p>
        </w:tc>
        <w:tc>
          <w:tcPr>
            <w:tcW w:w="3095" w:type="pct"/>
            <w:gridSpan w:val="3"/>
            <w:tcBorders>
              <w:top w:val="single" w:sz="4" w:space="0" w:color="auto"/>
              <w:left w:val="nil"/>
              <w:bottom w:val="single" w:sz="4" w:space="0" w:color="auto"/>
              <w:right w:val="single" w:sz="8" w:space="0" w:color="000000"/>
            </w:tcBorders>
            <w:vAlign w:val="center"/>
          </w:tcPr>
          <w:p w14:paraId="56529CFF" w14:textId="77777777" w:rsidR="00440295" w:rsidRPr="00F63AD8" w:rsidRDefault="00440295" w:rsidP="00034511">
            <w:pPr>
              <w:rPr>
                <w:rFonts w:ascii="Tahoma" w:hAnsi="Tahoma" w:cs="Tahoma"/>
                <w:sz w:val="18"/>
                <w:szCs w:val="18"/>
              </w:rPr>
            </w:pPr>
            <w:r w:rsidRPr="00F63AD8">
              <w:rPr>
                <w:rFonts w:ascii="Tahoma" w:hAnsi="Tahoma" w:cs="Tahoma"/>
                <w:sz w:val="18"/>
                <w:szCs w:val="18"/>
              </w:rPr>
              <w:t>Заключение между Сторонами договора банковского счета (на основании которого Заемщику Банком открывается СКС (при отсутствии у Заемщика действующего СКС в Банке, на который Заемщик желает зачислить Лимит кредитования), элементы которого содержатся в Договоре, что делает Договор смешанным, содержащим элементы договора банковского счета и Договора «Потребительский кредит (с лимитом кредитования)».</w:t>
            </w:r>
          </w:p>
          <w:p w14:paraId="3A5DBE5A" w14:textId="77777777" w:rsidR="00440295" w:rsidRPr="00F63AD8" w:rsidRDefault="00440295" w:rsidP="00034511">
            <w:pPr>
              <w:rPr>
                <w:rFonts w:ascii="Tahoma" w:hAnsi="Tahoma" w:cs="Tahoma"/>
                <w:sz w:val="18"/>
                <w:szCs w:val="18"/>
              </w:rPr>
            </w:pPr>
            <w:r w:rsidRPr="00F63AD8">
              <w:rPr>
                <w:rFonts w:ascii="Tahoma" w:hAnsi="Tahoma" w:cs="Tahoma"/>
                <w:sz w:val="18"/>
                <w:szCs w:val="18"/>
              </w:rPr>
              <w:t>Если при оформлении Договора Заемщику предлагаются иные дополнительные услуги (работы, товары), приобретение которых не является обязательным в силу закона, Заемщик вправе отказаться от их приобретения.</w:t>
            </w:r>
          </w:p>
        </w:tc>
      </w:tr>
      <w:tr w:rsidR="00440295" w:rsidRPr="00F63AD8" w14:paraId="5FA54C86" w14:textId="77777777" w:rsidTr="00034511">
        <w:tblPrEx>
          <w:tblLook w:val="00A0" w:firstRow="1" w:lastRow="0" w:firstColumn="1" w:lastColumn="0" w:noHBand="0" w:noVBand="0"/>
        </w:tblPrEx>
        <w:trPr>
          <w:gridBefore w:val="1"/>
          <w:wBefore w:w="94" w:type="pct"/>
          <w:trHeight w:val="395"/>
        </w:trPr>
        <w:tc>
          <w:tcPr>
            <w:tcW w:w="1812" w:type="pct"/>
            <w:gridSpan w:val="5"/>
            <w:tcBorders>
              <w:top w:val="single" w:sz="4" w:space="0" w:color="auto"/>
              <w:left w:val="single" w:sz="8" w:space="0" w:color="auto"/>
              <w:bottom w:val="single" w:sz="4" w:space="0" w:color="auto"/>
              <w:right w:val="single" w:sz="4" w:space="0" w:color="000000"/>
            </w:tcBorders>
            <w:vAlign w:val="center"/>
          </w:tcPr>
          <w:p w14:paraId="2379F1EE"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Подсудность споров по искам Кредитора к Заемщику</w:t>
            </w:r>
          </w:p>
        </w:tc>
        <w:tc>
          <w:tcPr>
            <w:tcW w:w="3095" w:type="pct"/>
            <w:gridSpan w:val="3"/>
            <w:tcBorders>
              <w:top w:val="single" w:sz="4" w:space="0" w:color="auto"/>
              <w:left w:val="nil"/>
              <w:bottom w:val="single" w:sz="4" w:space="0" w:color="auto"/>
              <w:right w:val="single" w:sz="8" w:space="0" w:color="000000"/>
            </w:tcBorders>
            <w:vAlign w:val="center"/>
          </w:tcPr>
          <w:p w14:paraId="18430F0E" w14:textId="77777777" w:rsidR="00440295" w:rsidRPr="00F63AD8" w:rsidRDefault="00440295" w:rsidP="00034511">
            <w:pPr>
              <w:rPr>
                <w:rFonts w:ascii="Tahoma" w:hAnsi="Tahoma" w:cs="Tahoma"/>
                <w:sz w:val="18"/>
                <w:szCs w:val="18"/>
              </w:rPr>
            </w:pPr>
            <w:r w:rsidRPr="00F63AD8">
              <w:rPr>
                <w:rFonts w:ascii="Tahoma" w:hAnsi="Tahoma" w:cs="Tahoma"/>
                <w:sz w:val="18"/>
                <w:szCs w:val="18"/>
              </w:rPr>
              <w:t xml:space="preserve">Неурегулированные споры по искам Банка к Заемщику рассматриваются в порядке, установленном законодательством РФ. </w:t>
            </w:r>
          </w:p>
        </w:tc>
      </w:tr>
      <w:tr w:rsidR="00440295" w:rsidRPr="00F63AD8" w14:paraId="2C522C7E" w14:textId="77777777" w:rsidTr="00034511">
        <w:tblPrEx>
          <w:tblLook w:val="00A0" w:firstRow="1" w:lastRow="0" w:firstColumn="1" w:lastColumn="0" w:noHBand="0" w:noVBand="0"/>
        </w:tblPrEx>
        <w:trPr>
          <w:gridBefore w:val="1"/>
          <w:wBefore w:w="94" w:type="pct"/>
          <w:trHeight w:val="263"/>
        </w:trPr>
        <w:tc>
          <w:tcPr>
            <w:tcW w:w="1812" w:type="pct"/>
            <w:gridSpan w:val="5"/>
            <w:tcBorders>
              <w:top w:val="single" w:sz="4" w:space="0" w:color="auto"/>
              <w:left w:val="single" w:sz="8" w:space="0" w:color="auto"/>
              <w:bottom w:val="single" w:sz="4" w:space="0" w:color="auto"/>
              <w:right w:val="single" w:sz="4" w:space="0" w:color="000000"/>
            </w:tcBorders>
            <w:vAlign w:val="center"/>
          </w:tcPr>
          <w:p w14:paraId="6375929C"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 xml:space="preserve">Формуляры или иные стандартные формы, в которых определены общие условия Договора </w:t>
            </w:r>
          </w:p>
        </w:tc>
        <w:tc>
          <w:tcPr>
            <w:tcW w:w="3095" w:type="pct"/>
            <w:gridSpan w:val="3"/>
            <w:tcBorders>
              <w:top w:val="single" w:sz="4" w:space="0" w:color="auto"/>
              <w:left w:val="nil"/>
              <w:bottom w:val="single" w:sz="4" w:space="0" w:color="auto"/>
              <w:right w:val="single" w:sz="8" w:space="0" w:color="000000"/>
            </w:tcBorders>
            <w:vAlign w:val="center"/>
          </w:tcPr>
          <w:p w14:paraId="30865406" w14:textId="77777777" w:rsidR="00440295" w:rsidRPr="00F63AD8" w:rsidRDefault="00440295" w:rsidP="00034511">
            <w:pPr>
              <w:widowControl w:val="0"/>
              <w:tabs>
                <w:tab w:val="left" w:pos="426"/>
                <w:tab w:val="left" w:pos="851"/>
              </w:tabs>
              <w:rPr>
                <w:rFonts w:ascii="Tahoma" w:hAnsi="Tahoma" w:cs="Tahoma"/>
                <w:sz w:val="18"/>
                <w:szCs w:val="18"/>
              </w:rPr>
            </w:pPr>
            <w:r w:rsidRPr="00F63AD8">
              <w:rPr>
                <w:rFonts w:ascii="Tahoma" w:hAnsi="Tahoma" w:cs="Tahoma"/>
                <w:sz w:val="18"/>
                <w:szCs w:val="18"/>
              </w:rPr>
              <w:t>Общие условия Договора «Потребительский кредит (с лимитом кредитования)» закреплены в «Общих условиях потребительского кредитования в «Азиатско-Тихоокеанский Банк» (АО)», являющихся Приложением № 3 к Универсальному договору банковского обслуживания физических лиц «Азиатско-Тихоокеанский Банк» (АО), размещённых в местах приема заявлений на предоставление потребительского кредита (с лимитом кредитования) (в отделениях Банка и иных местах приема заявлений на предоставление потребительского кредита (с лимитом кредитования)), на сайте Банка в сети Интернет по адресу www. atb.su и могут быть предоставлены Заемщику по его требованию на бумажном носителе.</w:t>
            </w:r>
          </w:p>
        </w:tc>
      </w:tr>
      <w:tr w:rsidR="00440295" w:rsidRPr="00F63AD8" w14:paraId="42B3B011" w14:textId="77777777" w:rsidTr="00034511">
        <w:tblPrEx>
          <w:tblLook w:val="00A0" w:firstRow="1" w:lastRow="0" w:firstColumn="1" w:lastColumn="0" w:noHBand="0" w:noVBand="0"/>
        </w:tblPrEx>
        <w:trPr>
          <w:gridBefore w:val="1"/>
          <w:wBefore w:w="94" w:type="pct"/>
          <w:trHeight w:val="263"/>
        </w:trPr>
        <w:tc>
          <w:tcPr>
            <w:tcW w:w="1812" w:type="pct"/>
            <w:gridSpan w:val="5"/>
            <w:tcBorders>
              <w:top w:val="single" w:sz="4" w:space="0" w:color="auto"/>
              <w:left w:val="single" w:sz="8" w:space="0" w:color="auto"/>
              <w:bottom w:val="single" w:sz="4" w:space="0" w:color="auto"/>
              <w:right w:val="single" w:sz="4" w:space="0" w:color="000000"/>
            </w:tcBorders>
            <w:vAlign w:val="center"/>
          </w:tcPr>
          <w:p w14:paraId="6781AE18"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Право заемщика обратиться к кредитору с требованием, предусмотренным частью 1 статьи 6.1-2 Федерального закона от 21.12.2013 № 353-ФЗ «О потребительском кредите (займе)», и об условиях, при наступлении которых у заемщика возникает соответствующее право.</w:t>
            </w:r>
          </w:p>
        </w:tc>
        <w:tc>
          <w:tcPr>
            <w:tcW w:w="3095" w:type="pct"/>
            <w:gridSpan w:val="3"/>
            <w:tcBorders>
              <w:top w:val="single" w:sz="4" w:space="0" w:color="auto"/>
              <w:left w:val="nil"/>
              <w:bottom w:val="single" w:sz="4" w:space="0" w:color="auto"/>
              <w:right w:val="single" w:sz="8" w:space="0" w:color="000000"/>
            </w:tcBorders>
            <w:vAlign w:val="center"/>
          </w:tcPr>
          <w:p w14:paraId="7500C421" w14:textId="77777777" w:rsidR="00440295" w:rsidRPr="00F63AD8" w:rsidRDefault="00440295" w:rsidP="00034511">
            <w:pPr>
              <w:widowControl w:val="0"/>
              <w:tabs>
                <w:tab w:val="left" w:pos="426"/>
                <w:tab w:val="left" w:pos="851"/>
              </w:tabs>
              <w:rPr>
                <w:rFonts w:ascii="Tahoma" w:hAnsi="Tahoma" w:cs="Tahoma"/>
                <w:sz w:val="18"/>
                <w:szCs w:val="18"/>
              </w:rPr>
            </w:pPr>
            <w:r w:rsidRPr="00F63AD8">
              <w:rPr>
                <w:rFonts w:ascii="Tahoma" w:hAnsi="Tahoma" w:cs="Tahoma"/>
                <w:sz w:val="18"/>
                <w:szCs w:val="18"/>
              </w:rPr>
              <w:t xml:space="preserve">Заемщик в любой момент в течение времени действия Договора, а в случае, указанном в п. 2 ч. 2 ст. 6.1-2 Закона № 353-ФЗ, в течение шестидесяти дней со дня установления соответствующих фактов, вправе обратиться к кредитору с требованием о предоставлении льготного периода, предусматривающего приостановление исполнения Заемщиком своих обязательств по Договору. </w:t>
            </w:r>
          </w:p>
          <w:p w14:paraId="39711808" w14:textId="77777777" w:rsidR="00440295" w:rsidRPr="00F63AD8" w:rsidRDefault="00440295" w:rsidP="00034511">
            <w:pPr>
              <w:widowControl w:val="0"/>
              <w:tabs>
                <w:tab w:val="left" w:pos="426"/>
                <w:tab w:val="left" w:pos="851"/>
              </w:tabs>
              <w:rPr>
                <w:rFonts w:ascii="Tahoma" w:hAnsi="Tahoma" w:cs="Tahoma"/>
                <w:sz w:val="18"/>
                <w:szCs w:val="18"/>
              </w:rPr>
            </w:pPr>
            <w:r w:rsidRPr="00F63AD8">
              <w:rPr>
                <w:rFonts w:ascii="Tahoma" w:hAnsi="Tahoma" w:cs="Tahoma"/>
                <w:sz w:val="18"/>
                <w:szCs w:val="18"/>
              </w:rPr>
              <w:t xml:space="preserve">С условиями, при наступлении которых у Заемщика возникает такое право, можно ознакомиться в размещаемой Банком информации о кредитных каникулах в рамках 353-ФЗ, в том числе на сайте Банка </w:t>
            </w:r>
            <w:hyperlink r:id="rId106" w:history="1">
              <w:r w:rsidRPr="00F63AD8">
                <w:rPr>
                  <w:rStyle w:val="aff"/>
                  <w:rFonts w:ascii="Tahoma" w:hAnsi="Tahoma" w:cs="Tahoma"/>
                  <w:sz w:val="18"/>
                  <w:szCs w:val="18"/>
                </w:rPr>
                <w:t>https://www.atb.su/customer-care-service/</w:t>
              </w:r>
            </w:hyperlink>
            <w:r w:rsidRPr="00F63AD8">
              <w:rPr>
                <w:rFonts w:ascii="Tahoma" w:hAnsi="Tahoma" w:cs="Tahoma"/>
                <w:sz w:val="18"/>
                <w:szCs w:val="18"/>
              </w:rPr>
              <w:t xml:space="preserve"> </w:t>
            </w:r>
          </w:p>
        </w:tc>
      </w:tr>
      <w:tr w:rsidR="00440295" w:rsidRPr="00F63AD8" w14:paraId="248BD35F" w14:textId="77777777" w:rsidTr="00034511">
        <w:tblPrEx>
          <w:tblLook w:val="00A0" w:firstRow="1" w:lastRow="0" w:firstColumn="1" w:lastColumn="0" w:noHBand="0" w:noVBand="0"/>
        </w:tblPrEx>
        <w:trPr>
          <w:gridBefore w:val="1"/>
          <w:wBefore w:w="94" w:type="pct"/>
          <w:trHeight w:val="125"/>
        </w:trPr>
        <w:tc>
          <w:tcPr>
            <w:tcW w:w="1812" w:type="pct"/>
            <w:gridSpan w:val="5"/>
            <w:tcBorders>
              <w:top w:val="single" w:sz="4" w:space="0" w:color="auto"/>
              <w:left w:val="single" w:sz="8" w:space="0" w:color="auto"/>
              <w:bottom w:val="single" w:sz="4" w:space="0" w:color="auto"/>
              <w:right w:val="single" w:sz="4" w:space="0" w:color="000000"/>
            </w:tcBorders>
            <w:shd w:val="clear" w:color="auto" w:fill="auto"/>
          </w:tcPr>
          <w:p w14:paraId="027648C2" w14:textId="77777777" w:rsidR="00440295" w:rsidRPr="00F63AD8" w:rsidRDefault="00440295" w:rsidP="00034511">
            <w:pPr>
              <w:rPr>
                <w:rFonts w:ascii="Tahoma" w:hAnsi="Tahoma" w:cs="Tahoma"/>
                <w:b/>
                <w:sz w:val="18"/>
                <w:szCs w:val="18"/>
              </w:rPr>
            </w:pPr>
            <w:r w:rsidRPr="00F63AD8">
              <w:rPr>
                <w:rFonts w:ascii="Tahoma" w:eastAsia="Calibri" w:hAnsi="Tahoma" w:cs="Tahoma"/>
                <w:b/>
                <w:sz w:val="18"/>
                <w:szCs w:val="18"/>
              </w:rPr>
              <w:t>Порядок определения курса иностранной валюты, если валюта, в которой осуществляется перевод денежных средств Кредитором третьему лицу, указанному Заемщиком при предоставлении Кредита, отличается от валюты Кредита</w:t>
            </w:r>
          </w:p>
        </w:tc>
        <w:tc>
          <w:tcPr>
            <w:tcW w:w="3095" w:type="pct"/>
            <w:gridSpan w:val="3"/>
            <w:tcBorders>
              <w:top w:val="single" w:sz="4" w:space="0" w:color="auto"/>
              <w:left w:val="nil"/>
              <w:bottom w:val="single" w:sz="4" w:space="0" w:color="auto"/>
              <w:right w:val="single" w:sz="8" w:space="0" w:color="000000"/>
            </w:tcBorders>
            <w:shd w:val="clear" w:color="auto" w:fill="auto"/>
            <w:vAlign w:val="center"/>
          </w:tcPr>
          <w:p w14:paraId="0ED1E005" w14:textId="77777777" w:rsidR="00440295" w:rsidRPr="00F63AD8" w:rsidRDefault="00440295" w:rsidP="00034511">
            <w:pPr>
              <w:widowControl w:val="0"/>
              <w:tabs>
                <w:tab w:val="left" w:pos="426"/>
                <w:tab w:val="left" w:pos="851"/>
              </w:tabs>
              <w:rPr>
                <w:rFonts w:ascii="Tahoma" w:hAnsi="Tahoma" w:cs="Tahoma"/>
                <w:sz w:val="18"/>
                <w:szCs w:val="18"/>
              </w:rPr>
            </w:pPr>
            <w:r w:rsidRPr="00F63AD8">
              <w:rPr>
                <w:rFonts w:ascii="Tahoma" w:hAnsi="Tahoma" w:cs="Tahoma"/>
                <w:sz w:val="18"/>
                <w:szCs w:val="18"/>
              </w:rPr>
              <w:t>Не применимо</w:t>
            </w:r>
          </w:p>
        </w:tc>
      </w:tr>
      <w:tr w:rsidR="00440295" w:rsidRPr="00F63AD8" w14:paraId="368940B4" w14:textId="77777777" w:rsidTr="00034511">
        <w:tblPrEx>
          <w:tblLook w:val="00A0" w:firstRow="1" w:lastRow="0" w:firstColumn="1" w:lastColumn="0" w:noHBand="0" w:noVBand="0"/>
        </w:tblPrEx>
        <w:trPr>
          <w:gridBefore w:val="1"/>
          <w:wBefore w:w="94" w:type="pct"/>
          <w:trHeight w:val="150"/>
        </w:trPr>
        <w:tc>
          <w:tcPr>
            <w:tcW w:w="1812" w:type="pct"/>
            <w:gridSpan w:val="5"/>
            <w:tcBorders>
              <w:top w:val="single" w:sz="4" w:space="0" w:color="auto"/>
              <w:left w:val="single" w:sz="8" w:space="0" w:color="auto"/>
              <w:bottom w:val="single" w:sz="4" w:space="0" w:color="auto"/>
              <w:right w:val="single" w:sz="4" w:space="0" w:color="000000"/>
            </w:tcBorders>
            <w:shd w:val="clear" w:color="auto" w:fill="auto"/>
          </w:tcPr>
          <w:p w14:paraId="2338ACCB"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Информация о возможном увеличении суммы расходов заемщика по сравнению с ожидаемой суммой расходов в рублях, в том числе при применении переменной процентной ставки, а также информация о том, что изменение курса иностранной валюты в прошлом не свидетельствует об изменении ее курса в будущем, и информация о повышенных рисках Заемщика, получающего доходы в валюте, отличной от валюты кредита</w:t>
            </w:r>
          </w:p>
        </w:tc>
        <w:tc>
          <w:tcPr>
            <w:tcW w:w="3095" w:type="pct"/>
            <w:gridSpan w:val="3"/>
            <w:tcBorders>
              <w:top w:val="single" w:sz="4" w:space="0" w:color="auto"/>
              <w:left w:val="nil"/>
              <w:bottom w:val="single" w:sz="4" w:space="0" w:color="auto"/>
              <w:right w:val="single" w:sz="8" w:space="0" w:color="000000"/>
            </w:tcBorders>
            <w:shd w:val="clear" w:color="auto" w:fill="auto"/>
            <w:vAlign w:val="center"/>
          </w:tcPr>
          <w:p w14:paraId="5049B3F3" w14:textId="77777777" w:rsidR="00440295" w:rsidRPr="00F63AD8" w:rsidRDefault="00440295" w:rsidP="00034511">
            <w:pPr>
              <w:widowControl w:val="0"/>
              <w:tabs>
                <w:tab w:val="left" w:pos="426"/>
                <w:tab w:val="left" w:pos="851"/>
              </w:tabs>
              <w:rPr>
                <w:rFonts w:ascii="Tahoma" w:hAnsi="Tahoma" w:cs="Tahoma"/>
                <w:sz w:val="18"/>
                <w:szCs w:val="18"/>
              </w:rPr>
            </w:pPr>
            <w:r w:rsidRPr="00F63AD8">
              <w:rPr>
                <w:rFonts w:ascii="Tahoma" w:hAnsi="Tahoma" w:cs="Tahoma"/>
                <w:sz w:val="18"/>
                <w:szCs w:val="18"/>
              </w:rPr>
              <w:t>Переменная процентная ставка не применяется в Договоре. Кредит предоставляется в рублях, вместе с тем, Заемщикам, получающим доход в иностранной валюте следует помнить, что изменение курса иностранной валюты в прошлом не свидетельствует об изменении ее курса в будущем, в связи с чем, такие Заемщики несут повышенные риски в связи с получением доходов в иностранной валюте.</w:t>
            </w:r>
          </w:p>
        </w:tc>
      </w:tr>
      <w:tr w:rsidR="00440295" w:rsidRPr="00F63AD8" w14:paraId="30D59701" w14:textId="77777777" w:rsidTr="00034511">
        <w:tblPrEx>
          <w:tblLook w:val="00A0" w:firstRow="1" w:lastRow="0" w:firstColumn="1" w:lastColumn="0" w:noHBand="0" w:noVBand="0"/>
        </w:tblPrEx>
        <w:trPr>
          <w:gridBefore w:val="1"/>
          <w:wBefore w:w="94" w:type="pct"/>
          <w:trHeight w:val="150"/>
        </w:trPr>
        <w:tc>
          <w:tcPr>
            <w:tcW w:w="1812" w:type="pct"/>
            <w:gridSpan w:val="5"/>
            <w:tcBorders>
              <w:top w:val="single" w:sz="4" w:space="0" w:color="auto"/>
              <w:left w:val="single" w:sz="8" w:space="0" w:color="auto"/>
              <w:bottom w:val="single" w:sz="4" w:space="0" w:color="auto"/>
              <w:right w:val="single" w:sz="4" w:space="0" w:color="000000"/>
            </w:tcBorders>
          </w:tcPr>
          <w:p w14:paraId="4A84018C" w14:textId="77777777" w:rsidR="00440295" w:rsidRPr="00F63AD8" w:rsidRDefault="00440295" w:rsidP="00034511">
            <w:pPr>
              <w:rPr>
                <w:rFonts w:ascii="Tahoma" w:hAnsi="Tahoma" w:cs="Tahoma"/>
                <w:b/>
                <w:sz w:val="18"/>
                <w:szCs w:val="18"/>
              </w:rPr>
            </w:pPr>
            <w:r w:rsidRPr="00F63AD8">
              <w:rPr>
                <w:rFonts w:ascii="Tahoma" w:hAnsi="Tahoma" w:cs="Tahoma"/>
                <w:b/>
                <w:sz w:val="18"/>
                <w:szCs w:val="18"/>
              </w:rPr>
              <w:t>Срок действия решения о предоставлении Кредита</w:t>
            </w:r>
          </w:p>
        </w:tc>
        <w:tc>
          <w:tcPr>
            <w:tcW w:w="3095" w:type="pct"/>
            <w:gridSpan w:val="3"/>
            <w:tcBorders>
              <w:top w:val="single" w:sz="4" w:space="0" w:color="auto"/>
              <w:left w:val="nil"/>
              <w:bottom w:val="single" w:sz="4" w:space="0" w:color="auto"/>
              <w:right w:val="single" w:sz="8" w:space="0" w:color="000000"/>
            </w:tcBorders>
            <w:vAlign w:val="center"/>
          </w:tcPr>
          <w:p w14:paraId="453C2EA0" w14:textId="77777777" w:rsidR="00440295" w:rsidRPr="00F63AD8" w:rsidRDefault="00440295" w:rsidP="00440295">
            <w:pPr>
              <w:pStyle w:val="affe"/>
              <w:widowControl w:val="0"/>
              <w:numPr>
                <w:ilvl w:val="0"/>
                <w:numId w:val="84"/>
              </w:numPr>
              <w:tabs>
                <w:tab w:val="left" w:pos="426"/>
                <w:tab w:val="left" w:pos="851"/>
              </w:tabs>
              <w:ind w:left="785"/>
              <w:contextualSpacing/>
              <w:rPr>
                <w:rFonts w:ascii="Tahoma" w:hAnsi="Tahoma" w:cs="Tahoma"/>
                <w:sz w:val="18"/>
                <w:szCs w:val="18"/>
              </w:rPr>
            </w:pPr>
            <w:r w:rsidRPr="00F63AD8">
              <w:rPr>
                <w:rFonts w:ascii="Tahoma" w:hAnsi="Tahoma" w:cs="Tahoma"/>
                <w:sz w:val="18"/>
                <w:szCs w:val="18"/>
              </w:rPr>
              <w:t xml:space="preserve">календарных дней </w:t>
            </w:r>
            <w:r w:rsidRPr="00F63AD8">
              <w:rPr>
                <w:rFonts w:ascii="Tahoma" w:hAnsi="Tahoma" w:cs="Tahoma"/>
                <w:color w:val="000000" w:themeColor="text1"/>
                <w:sz w:val="18"/>
                <w:szCs w:val="18"/>
              </w:rPr>
              <w:t>с даты принятия Банком решения</w:t>
            </w:r>
          </w:p>
        </w:tc>
      </w:tr>
      <w:tr w:rsidR="00440295" w:rsidRPr="00F63AD8" w14:paraId="3FC22196" w14:textId="77777777" w:rsidTr="00034511">
        <w:tblPrEx>
          <w:tblLook w:val="04A0" w:firstRow="1" w:lastRow="0" w:firstColumn="1" w:lastColumn="0" w:noHBand="0" w:noVBand="1"/>
        </w:tblPrEx>
        <w:trPr>
          <w:gridAfter w:val="1"/>
          <w:wAfter w:w="103" w:type="pct"/>
          <w:trHeight w:val="1060"/>
          <w:tblHeader/>
        </w:trPr>
        <w:tc>
          <w:tcPr>
            <w:tcW w:w="4897" w:type="pct"/>
            <w:gridSpan w:val="8"/>
            <w:tcBorders>
              <w:top w:val="nil"/>
              <w:left w:val="nil"/>
              <w:bottom w:val="single" w:sz="4" w:space="0" w:color="auto"/>
              <w:right w:val="nil"/>
            </w:tcBorders>
            <w:shd w:val="clear" w:color="auto" w:fill="auto"/>
            <w:noWrap/>
            <w:vAlign w:val="center"/>
          </w:tcPr>
          <w:p w14:paraId="0D0EC3E7" w14:textId="77777777" w:rsidR="00440295" w:rsidRPr="00F63AD8" w:rsidRDefault="00440295" w:rsidP="00034511">
            <w:pPr>
              <w:spacing w:line="0" w:lineRule="atLeast"/>
              <w:rPr>
                <w:rFonts w:ascii="Tahoma" w:hAnsi="Tahoma" w:cs="Tahoma"/>
                <w:sz w:val="18"/>
                <w:szCs w:val="18"/>
              </w:rPr>
            </w:pPr>
            <w:r w:rsidRPr="00F63AD8">
              <w:rPr>
                <w:rFonts w:ascii="Tahoma" w:hAnsi="Tahoma" w:cs="Tahoma"/>
                <w:sz w:val="18"/>
                <w:szCs w:val="18"/>
              </w:rPr>
              <w:t>*Проценты начисляется ежедневно в течение всего фактического срока использования Заемщиком Лимита кредитования, при этом у Заемщика не возникает обязанности по оплате начисленных процентов в случае, когда Кредитная задолженность полностью погашена до окончания срока действия Грейс-периода. В случае неоплаты Кредитной задолженности в течение срока действия Грейс–периода возникает обязанность уплаты Заемщиком Банку процентов, начисленных за весь фактический срок использования Заемщиком Лимита кредитования по Договору.</w:t>
            </w:r>
          </w:p>
          <w:p w14:paraId="0A7E33C9" w14:textId="77777777" w:rsidR="00440295" w:rsidRPr="00F63AD8" w:rsidRDefault="00440295" w:rsidP="00034511">
            <w:pPr>
              <w:pStyle w:val="affe"/>
              <w:tabs>
                <w:tab w:val="left" w:pos="851"/>
              </w:tabs>
              <w:ind w:left="501"/>
              <w:jc w:val="both"/>
              <w:rPr>
                <w:rFonts w:ascii="Tahoma" w:hAnsi="Tahoma" w:cs="Tahoma"/>
                <w:sz w:val="18"/>
                <w:szCs w:val="18"/>
              </w:rPr>
            </w:pPr>
          </w:p>
          <w:p w14:paraId="269568B5" w14:textId="77777777" w:rsidR="00440295" w:rsidRPr="00F63AD8" w:rsidRDefault="00440295" w:rsidP="00034511">
            <w:pPr>
              <w:pStyle w:val="affe"/>
              <w:tabs>
                <w:tab w:val="left" w:pos="851"/>
              </w:tabs>
              <w:ind w:left="501"/>
              <w:jc w:val="both"/>
              <w:rPr>
                <w:rFonts w:ascii="Tahoma" w:hAnsi="Tahoma" w:cs="Tahoma"/>
                <w:sz w:val="18"/>
                <w:szCs w:val="18"/>
              </w:rPr>
            </w:pPr>
          </w:p>
          <w:p w14:paraId="4CDEB48E" w14:textId="77777777" w:rsidR="00440295" w:rsidRPr="00F63AD8" w:rsidRDefault="00440295" w:rsidP="00440295">
            <w:pPr>
              <w:pStyle w:val="affe"/>
              <w:numPr>
                <w:ilvl w:val="0"/>
                <w:numId w:val="90"/>
              </w:numPr>
              <w:tabs>
                <w:tab w:val="left" w:pos="851"/>
              </w:tabs>
              <w:contextualSpacing/>
              <w:jc w:val="both"/>
              <w:rPr>
                <w:rFonts w:ascii="Tahoma" w:hAnsi="Tahoma" w:cs="Tahoma"/>
                <w:b/>
                <w:sz w:val="18"/>
                <w:szCs w:val="18"/>
              </w:rPr>
            </w:pPr>
            <w:r w:rsidRPr="00F63AD8">
              <w:rPr>
                <w:rFonts w:ascii="Tahoma" w:hAnsi="Tahoma" w:cs="Tahoma"/>
                <w:b/>
                <w:sz w:val="18"/>
                <w:szCs w:val="18"/>
              </w:rPr>
              <w:t xml:space="preserve">ТАРИФЫ ПО ОБСЛУЖИВАНИЮ БАНКОВСКИХ (ПЛАТЁЖНЫХ) КАРТ «АЗИАТСКО-ТИХООКЕАНСКИЙ БАНК» (АО) </w:t>
            </w:r>
          </w:p>
          <w:p w14:paraId="16C18C65" w14:textId="77777777" w:rsidR="00440295" w:rsidRPr="00F63AD8" w:rsidRDefault="00440295" w:rsidP="00034511">
            <w:pPr>
              <w:pStyle w:val="affe"/>
              <w:tabs>
                <w:tab w:val="left" w:pos="851"/>
              </w:tabs>
              <w:ind w:left="0" w:firstLine="501"/>
              <w:jc w:val="both"/>
              <w:rPr>
                <w:rFonts w:ascii="Tahoma" w:hAnsi="Tahoma" w:cs="Tahoma"/>
                <w:sz w:val="18"/>
                <w:szCs w:val="18"/>
              </w:rPr>
            </w:pPr>
            <w:r w:rsidRPr="00F63AD8">
              <w:rPr>
                <w:rFonts w:ascii="Tahoma" w:hAnsi="Tahoma" w:cs="Tahoma"/>
                <w:sz w:val="18"/>
                <w:szCs w:val="18"/>
              </w:rPr>
              <w:t>Все предусмотренные настоящим документом платежи взимаются (списываются) Банком в порядке прямого дебетования (списание по заранее данному акцепту) со Счета Карты Клиента в Банке и (или) иных счетов Клиента в Банке в момент совершения соответствующей операции, если иное не установлено настоящим документом/договором с Клиентом.</w:t>
            </w:r>
          </w:p>
          <w:p w14:paraId="1A33CC3F" w14:textId="77777777" w:rsidR="00440295" w:rsidRPr="00F63AD8" w:rsidRDefault="00440295" w:rsidP="00034511">
            <w:pPr>
              <w:ind w:firstLine="426"/>
              <w:rPr>
                <w:rFonts w:ascii="Tahoma" w:hAnsi="Tahoma" w:cs="Tahoma"/>
                <w:sz w:val="18"/>
                <w:szCs w:val="18"/>
              </w:rPr>
            </w:pPr>
            <w:r w:rsidRPr="00F63AD8">
              <w:rPr>
                <w:rFonts w:ascii="Tahoma" w:hAnsi="Tahoma" w:cs="Tahoma"/>
                <w:sz w:val="18"/>
                <w:szCs w:val="18"/>
              </w:rPr>
              <w:t>Цель использования Лимита кредитования Заемщиком - оплата товаров, работ, услуг, результатов интеллектуальной деятельности в ТСП с использованием банковской (платежной) карты Банка через электронные средства платежа (POS-терминалы, платежные терминалы, прочие технические устройства), в том числе расчеты в сети Интернет. Операции в рамках целевого использования Лимита кредитования осуществляются Заемщиком бесплатно.</w:t>
            </w:r>
          </w:p>
          <w:p w14:paraId="502F4049" w14:textId="77777777" w:rsidR="00440295" w:rsidRPr="00F63AD8" w:rsidRDefault="00440295" w:rsidP="00034511">
            <w:pPr>
              <w:ind w:firstLine="456"/>
              <w:rPr>
                <w:rFonts w:ascii="Tahoma" w:hAnsi="Tahoma" w:cs="Tahoma"/>
                <w:sz w:val="18"/>
                <w:szCs w:val="18"/>
              </w:rPr>
            </w:pPr>
            <w:r w:rsidRPr="00F63AD8">
              <w:rPr>
                <w:rFonts w:ascii="Tahoma" w:hAnsi="Tahoma" w:cs="Tahoma"/>
                <w:sz w:val="18"/>
                <w:szCs w:val="18"/>
              </w:rPr>
              <w:t>При наличии по настоящему Тарифному плану действующих стимулирующих акций на момент заключения Договора, тарифы по обслуживанию банковских (платежных) карт Банка, срок и порядок их применения устанавливаются согласно условиям этих акций, размещаемым на сайте Банка  </w:t>
            </w:r>
            <w:hyperlink r:id="rId107" w:history="1">
              <w:r w:rsidRPr="00F63AD8">
                <w:rPr>
                  <w:rFonts w:ascii="Tahoma" w:hAnsi="Tahoma" w:cs="Tahoma"/>
                  <w:sz w:val="18"/>
                  <w:szCs w:val="18"/>
                </w:rPr>
                <w:t>www.atb.su</w:t>
              </w:r>
            </w:hyperlink>
          </w:p>
        </w:tc>
      </w:tr>
      <w:tr w:rsidR="00440295" w:rsidRPr="00F63AD8" w14:paraId="054C6E42" w14:textId="77777777" w:rsidTr="00034511">
        <w:tblPrEx>
          <w:tblLook w:val="04A0" w:firstRow="1" w:lastRow="0" w:firstColumn="1" w:lastColumn="0" w:noHBand="0" w:noVBand="1"/>
        </w:tblPrEx>
        <w:trPr>
          <w:gridAfter w:val="1"/>
          <w:wAfter w:w="103" w:type="pct"/>
          <w:trHeight w:val="427"/>
          <w:tblHeader/>
        </w:trPr>
        <w:tc>
          <w:tcPr>
            <w:tcW w:w="3111" w:type="pct"/>
            <w:gridSpan w:val="7"/>
            <w:tcBorders>
              <w:top w:val="single" w:sz="4" w:space="0" w:color="auto"/>
            </w:tcBorders>
            <w:shd w:val="clear" w:color="auto" w:fill="D9D9D9" w:themeFill="background1" w:themeFillShade="D9"/>
            <w:noWrap/>
            <w:vAlign w:val="center"/>
          </w:tcPr>
          <w:p w14:paraId="158F5501" w14:textId="77777777" w:rsidR="00440295" w:rsidRPr="00F63AD8" w:rsidRDefault="00440295" w:rsidP="00034511">
            <w:pPr>
              <w:jc w:val="center"/>
              <w:rPr>
                <w:rFonts w:ascii="Tahoma" w:hAnsi="Tahoma" w:cs="Tahoma"/>
                <w:b/>
                <w:bCs/>
                <w:noProof/>
                <w:sz w:val="18"/>
                <w:szCs w:val="18"/>
              </w:rPr>
            </w:pPr>
            <w:r w:rsidRPr="00F63AD8">
              <w:rPr>
                <w:rFonts w:ascii="Tahoma" w:hAnsi="Tahoma" w:cs="Tahoma"/>
                <w:b/>
                <w:bCs/>
                <w:noProof/>
                <w:sz w:val="18"/>
                <w:szCs w:val="18"/>
              </w:rPr>
              <w:t>Тарифный план</w:t>
            </w:r>
          </w:p>
        </w:tc>
        <w:tc>
          <w:tcPr>
            <w:tcW w:w="1786" w:type="pct"/>
            <w:tcBorders>
              <w:top w:val="single" w:sz="4" w:space="0" w:color="auto"/>
            </w:tcBorders>
            <w:shd w:val="clear" w:color="auto" w:fill="D9D9D9" w:themeFill="background1" w:themeFillShade="D9"/>
            <w:vAlign w:val="center"/>
          </w:tcPr>
          <w:p w14:paraId="36BCD537" w14:textId="77777777" w:rsidR="00440295" w:rsidRPr="00F63AD8" w:rsidRDefault="00440295" w:rsidP="00034511">
            <w:pPr>
              <w:ind w:firstLine="175"/>
              <w:jc w:val="center"/>
              <w:rPr>
                <w:rFonts w:ascii="Tahoma" w:hAnsi="Tahoma" w:cs="Tahoma"/>
                <w:b/>
                <w:bCs/>
                <w:sz w:val="18"/>
                <w:szCs w:val="18"/>
              </w:rPr>
            </w:pPr>
            <w:r w:rsidRPr="00F63AD8">
              <w:rPr>
                <w:rFonts w:ascii="Tahoma" w:hAnsi="Tahoma" w:cs="Tahoma"/>
                <w:b/>
                <w:bCs/>
                <w:sz w:val="18"/>
                <w:szCs w:val="18"/>
              </w:rPr>
              <w:t>«ЛАЙТ»</w:t>
            </w:r>
          </w:p>
        </w:tc>
      </w:tr>
      <w:tr w:rsidR="00440295" w:rsidRPr="000B3718" w14:paraId="7E4E0D7A" w14:textId="77777777" w:rsidTr="00034511">
        <w:tblPrEx>
          <w:tblLook w:val="04A0" w:firstRow="1" w:lastRow="0" w:firstColumn="1" w:lastColumn="0" w:noHBand="0" w:noVBand="1"/>
        </w:tblPrEx>
        <w:trPr>
          <w:gridAfter w:val="1"/>
          <w:wAfter w:w="103" w:type="pct"/>
          <w:trHeight w:val="331"/>
          <w:tblHeader/>
        </w:trPr>
        <w:tc>
          <w:tcPr>
            <w:tcW w:w="3111" w:type="pct"/>
            <w:gridSpan w:val="7"/>
            <w:shd w:val="clear" w:color="auto" w:fill="D9D9D9" w:themeFill="background1" w:themeFillShade="D9"/>
            <w:noWrap/>
            <w:vAlign w:val="center"/>
          </w:tcPr>
          <w:p w14:paraId="602E9432" w14:textId="77777777" w:rsidR="00440295" w:rsidRPr="00F63AD8" w:rsidRDefault="00440295" w:rsidP="00034511">
            <w:pPr>
              <w:jc w:val="right"/>
              <w:rPr>
                <w:rFonts w:ascii="Tahoma" w:hAnsi="Tahoma" w:cs="Tahoma"/>
                <w:b/>
                <w:bCs/>
                <w:color w:val="FFFFFF"/>
                <w:sz w:val="18"/>
                <w:szCs w:val="18"/>
              </w:rPr>
            </w:pPr>
            <w:r w:rsidRPr="00F63AD8">
              <w:rPr>
                <w:rFonts w:ascii="Tahoma" w:hAnsi="Tahoma" w:cs="Tahoma"/>
                <w:b/>
                <w:bCs/>
                <w:noProof/>
                <w:sz w:val="18"/>
                <w:szCs w:val="18"/>
              </w:rPr>
              <mc:AlternateContent>
                <mc:Choice Requires="wps">
                  <w:drawing>
                    <wp:anchor distT="0" distB="0" distL="114300" distR="114300" simplePos="0" relativeHeight="251657728" behindDoc="0" locked="0" layoutInCell="1" allowOverlap="1" wp14:anchorId="79E1CB8B" wp14:editId="664A841C">
                      <wp:simplePos x="0" y="0"/>
                      <wp:positionH relativeFrom="column">
                        <wp:posOffset>-53340</wp:posOffset>
                      </wp:positionH>
                      <wp:positionV relativeFrom="paragraph">
                        <wp:posOffset>-14605</wp:posOffset>
                      </wp:positionV>
                      <wp:extent cx="5438775" cy="419100"/>
                      <wp:effectExtent l="0" t="0" r="28575" b="19050"/>
                      <wp:wrapNone/>
                      <wp:docPr id="3" name="Прямая соединительная линия 3"/>
                      <wp:cNvGraphicFramePr/>
                      <a:graphic xmlns:a="http://schemas.openxmlformats.org/drawingml/2006/main">
                        <a:graphicData uri="http://schemas.microsoft.com/office/word/2010/wordprocessingShape">
                          <wps:wsp>
                            <wps:cNvCnPr/>
                            <wps:spPr>
                              <a:xfrm>
                                <a:off x="0" y="0"/>
                                <a:ext cx="5438775" cy="4191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041FF0F" id="Прямая соединительная линия 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1.15pt" to="424.0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" strokecolor="windowText" strokeweight=".5pt">
                      <v:stroke joinstyle="miter"/>
                    </v:line>
                  </w:pict>
                </mc:Fallback>
              </mc:AlternateContent>
            </w:r>
            <w:r w:rsidRPr="00F63AD8">
              <w:rPr>
                <w:rFonts w:ascii="Tahoma" w:hAnsi="Tahoma" w:cs="Tahoma"/>
                <w:b/>
                <w:bCs/>
                <w:sz w:val="18"/>
                <w:szCs w:val="18"/>
              </w:rPr>
              <w:t>Тип банковской (платежной) Карты</w:t>
            </w:r>
          </w:p>
          <w:p w14:paraId="75F8212C" w14:textId="77777777" w:rsidR="00440295" w:rsidRPr="00F63AD8" w:rsidRDefault="00440295" w:rsidP="00034511">
            <w:pPr>
              <w:rPr>
                <w:rFonts w:ascii="Tahoma" w:hAnsi="Tahoma" w:cs="Tahoma"/>
                <w:b/>
                <w:bCs/>
                <w:sz w:val="18"/>
                <w:szCs w:val="18"/>
              </w:rPr>
            </w:pPr>
          </w:p>
          <w:p w14:paraId="4B1D7B1C" w14:textId="77777777" w:rsidR="00440295" w:rsidRPr="00F63AD8" w:rsidRDefault="00440295" w:rsidP="00034511">
            <w:pPr>
              <w:rPr>
                <w:rFonts w:ascii="Tahoma" w:hAnsi="Tahoma" w:cs="Tahoma"/>
                <w:b/>
                <w:bCs/>
                <w:color w:val="FFFFFF"/>
                <w:sz w:val="18"/>
                <w:szCs w:val="18"/>
              </w:rPr>
            </w:pPr>
            <w:r w:rsidRPr="00F63AD8">
              <w:rPr>
                <w:rFonts w:ascii="Tahoma" w:hAnsi="Tahoma" w:cs="Tahoma"/>
                <w:b/>
                <w:bCs/>
                <w:sz w:val="18"/>
                <w:szCs w:val="18"/>
              </w:rPr>
              <w:t>Условия предоставления тарифного плана</w:t>
            </w:r>
          </w:p>
        </w:tc>
        <w:tc>
          <w:tcPr>
            <w:tcW w:w="1786" w:type="pct"/>
            <w:shd w:val="clear" w:color="auto" w:fill="D9D9D9" w:themeFill="background1" w:themeFillShade="D9"/>
            <w:vAlign w:val="center"/>
          </w:tcPr>
          <w:p w14:paraId="4508D131" w14:textId="77777777" w:rsidR="00440295" w:rsidRPr="00F63AD8" w:rsidRDefault="00440295" w:rsidP="00034511">
            <w:pPr>
              <w:ind w:firstLine="175"/>
              <w:jc w:val="center"/>
              <w:rPr>
                <w:rFonts w:ascii="Tahoma" w:hAnsi="Tahoma" w:cs="Tahoma"/>
                <w:b/>
                <w:bCs/>
                <w:sz w:val="18"/>
                <w:szCs w:val="18"/>
                <w:lang w:val="en-US"/>
              </w:rPr>
            </w:pPr>
            <w:r w:rsidRPr="00F63AD8">
              <w:rPr>
                <w:rFonts w:ascii="Tahoma" w:hAnsi="Tahoma" w:cs="Tahoma"/>
                <w:b/>
                <w:bCs/>
                <w:sz w:val="18"/>
                <w:szCs w:val="18"/>
                <w:lang w:val="en-US"/>
              </w:rPr>
              <w:t>Visa Gold/ Visa Classic/MasterCard Gold/MasterCard Standard/</w:t>
            </w:r>
            <w:r w:rsidRPr="00F63AD8">
              <w:rPr>
                <w:rFonts w:ascii="Tahoma" w:hAnsi="Tahoma" w:cs="Tahoma"/>
                <w:b/>
                <w:bCs/>
                <w:sz w:val="18"/>
                <w:szCs w:val="18"/>
              </w:rPr>
              <w:t>МИР</w:t>
            </w:r>
            <w:r w:rsidRPr="00F63AD8">
              <w:rPr>
                <w:rFonts w:ascii="Tahoma" w:hAnsi="Tahoma" w:cs="Tahoma"/>
                <w:b/>
                <w:bCs/>
                <w:sz w:val="18"/>
                <w:szCs w:val="18"/>
                <w:vertAlign w:val="superscript"/>
                <w:lang w:val="en-US"/>
              </w:rPr>
              <w:t xml:space="preserve">1,2 </w:t>
            </w:r>
            <w:r w:rsidRPr="00F63AD8">
              <w:rPr>
                <w:rFonts w:ascii="Tahoma" w:hAnsi="Tahoma" w:cs="Tahoma"/>
                <w:b/>
                <w:bCs/>
                <w:sz w:val="18"/>
                <w:szCs w:val="18"/>
                <w:lang w:val="en-US"/>
              </w:rPr>
              <w:t>(</w:t>
            </w:r>
            <w:r w:rsidRPr="00F63AD8">
              <w:rPr>
                <w:rFonts w:ascii="Tahoma" w:hAnsi="Tahoma" w:cs="Tahoma"/>
                <w:b/>
                <w:bCs/>
                <w:sz w:val="18"/>
                <w:szCs w:val="18"/>
              </w:rPr>
              <w:t>неименная</w:t>
            </w:r>
            <w:r w:rsidRPr="00F63AD8">
              <w:rPr>
                <w:rFonts w:ascii="Tahoma" w:hAnsi="Tahoma" w:cs="Tahoma"/>
                <w:b/>
                <w:bCs/>
                <w:sz w:val="18"/>
                <w:szCs w:val="18"/>
                <w:lang w:val="en-US"/>
              </w:rPr>
              <w:t>/</w:t>
            </w:r>
            <w:r w:rsidRPr="00F63AD8">
              <w:rPr>
                <w:rFonts w:ascii="Tahoma" w:hAnsi="Tahoma" w:cs="Tahoma"/>
                <w:b/>
                <w:bCs/>
                <w:sz w:val="18"/>
                <w:szCs w:val="18"/>
              </w:rPr>
              <w:t>именная</w:t>
            </w:r>
            <w:r w:rsidRPr="00F63AD8">
              <w:rPr>
                <w:rFonts w:ascii="Tahoma" w:hAnsi="Tahoma" w:cs="Tahoma"/>
                <w:b/>
                <w:bCs/>
                <w:sz w:val="18"/>
                <w:szCs w:val="18"/>
                <w:lang w:val="en-US"/>
              </w:rPr>
              <w:t>)</w:t>
            </w:r>
          </w:p>
        </w:tc>
      </w:tr>
      <w:tr w:rsidR="00440295" w:rsidRPr="00F63AD8" w14:paraId="538F163D" w14:textId="77777777" w:rsidTr="00034511">
        <w:tblPrEx>
          <w:tblLook w:val="04A0" w:firstRow="1" w:lastRow="0" w:firstColumn="1" w:lastColumn="0" w:noHBand="0" w:noVBand="1"/>
        </w:tblPrEx>
        <w:trPr>
          <w:gridAfter w:val="1"/>
          <w:wAfter w:w="103" w:type="pct"/>
          <w:trHeight w:val="101"/>
          <w:tblHeader/>
        </w:trPr>
        <w:tc>
          <w:tcPr>
            <w:tcW w:w="324" w:type="pct"/>
            <w:gridSpan w:val="2"/>
            <w:shd w:val="clear" w:color="auto" w:fill="D9D9D9" w:themeFill="background1" w:themeFillShade="D9"/>
            <w:noWrap/>
            <w:vAlign w:val="center"/>
            <w:hideMark/>
          </w:tcPr>
          <w:p w14:paraId="136808DE"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1</w:t>
            </w:r>
          </w:p>
        </w:tc>
        <w:tc>
          <w:tcPr>
            <w:tcW w:w="4573" w:type="pct"/>
            <w:gridSpan w:val="6"/>
            <w:shd w:val="clear" w:color="auto" w:fill="D9D9D9" w:themeFill="background1" w:themeFillShade="D9"/>
            <w:noWrap/>
            <w:vAlign w:val="center"/>
            <w:hideMark/>
          </w:tcPr>
          <w:p w14:paraId="1928F6C1" w14:textId="77777777" w:rsidR="00440295" w:rsidRPr="00F63AD8" w:rsidRDefault="00440295" w:rsidP="00034511">
            <w:pPr>
              <w:rPr>
                <w:rFonts w:ascii="Tahoma" w:hAnsi="Tahoma" w:cs="Tahoma"/>
                <w:b/>
                <w:bCs/>
                <w:sz w:val="18"/>
                <w:szCs w:val="18"/>
              </w:rPr>
            </w:pPr>
            <w:r w:rsidRPr="00F63AD8">
              <w:rPr>
                <w:rFonts w:ascii="Tahoma" w:hAnsi="Tahoma" w:cs="Tahoma"/>
                <w:b/>
                <w:bCs/>
                <w:sz w:val="18"/>
                <w:szCs w:val="18"/>
              </w:rPr>
              <w:t>Стоимость обслуживания</w:t>
            </w:r>
          </w:p>
        </w:tc>
      </w:tr>
      <w:tr w:rsidR="00440295" w:rsidRPr="00F63AD8" w14:paraId="0B2DE061" w14:textId="77777777" w:rsidTr="00034511">
        <w:tblPrEx>
          <w:tblLook w:val="04A0" w:firstRow="1" w:lastRow="0" w:firstColumn="1" w:lastColumn="0" w:noHBand="0" w:noVBand="1"/>
        </w:tblPrEx>
        <w:trPr>
          <w:gridAfter w:val="1"/>
          <w:wAfter w:w="103" w:type="pct"/>
          <w:trHeight w:val="147"/>
          <w:tblHeader/>
        </w:trPr>
        <w:tc>
          <w:tcPr>
            <w:tcW w:w="324" w:type="pct"/>
            <w:gridSpan w:val="2"/>
            <w:shd w:val="clear" w:color="auto" w:fill="auto"/>
            <w:noWrap/>
            <w:vAlign w:val="center"/>
            <w:hideMark/>
          </w:tcPr>
          <w:p w14:paraId="335510FB"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1.1.</w:t>
            </w:r>
          </w:p>
        </w:tc>
        <w:tc>
          <w:tcPr>
            <w:tcW w:w="2786" w:type="pct"/>
            <w:gridSpan w:val="5"/>
            <w:shd w:val="clear" w:color="auto" w:fill="auto"/>
            <w:noWrap/>
            <w:vAlign w:val="center"/>
            <w:hideMark/>
          </w:tcPr>
          <w:p w14:paraId="61793975" w14:textId="77777777" w:rsidR="00440295" w:rsidRPr="00F63AD8" w:rsidRDefault="00440295" w:rsidP="00034511">
            <w:pPr>
              <w:rPr>
                <w:rFonts w:ascii="Tahoma" w:hAnsi="Tahoma" w:cs="Tahoma"/>
                <w:color w:val="000000"/>
                <w:sz w:val="18"/>
                <w:szCs w:val="18"/>
              </w:rPr>
            </w:pPr>
            <w:r w:rsidRPr="00F63AD8">
              <w:rPr>
                <w:rFonts w:ascii="Tahoma" w:hAnsi="Tahoma" w:cs="Tahoma"/>
                <w:color w:val="000000"/>
                <w:sz w:val="18"/>
                <w:szCs w:val="18"/>
              </w:rPr>
              <w:t>ежемесячное обслуживание Счета</w:t>
            </w:r>
          </w:p>
        </w:tc>
        <w:tc>
          <w:tcPr>
            <w:tcW w:w="1786" w:type="pct"/>
            <w:shd w:val="clear" w:color="auto" w:fill="auto"/>
            <w:noWrap/>
            <w:vAlign w:val="center"/>
            <w:hideMark/>
          </w:tcPr>
          <w:p w14:paraId="029E3A43"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БЕСПЛАТНО</w:t>
            </w:r>
          </w:p>
        </w:tc>
      </w:tr>
      <w:tr w:rsidR="00440295" w:rsidRPr="00F63AD8" w14:paraId="4A03EBDA" w14:textId="77777777" w:rsidTr="00034511">
        <w:tblPrEx>
          <w:tblLook w:val="04A0" w:firstRow="1" w:lastRow="0" w:firstColumn="1" w:lastColumn="0" w:noHBand="0" w:noVBand="1"/>
        </w:tblPrEx>
        <w:trPr>
          <w:gridAfter w:val="1"/>
          <w:wAfter w:w="103" w:type="pct"/>
          <w:trHeight w:val="222"/>
          <w:tblHeader/>
        </w:trPr>
        <w:tc>
          <w:tcPr>
            <w:tcW w:w="324" w:type="pct"/>
            <w:gridSpan w:val="2"/>
            <w:shd w:val="clear" w:color="auto" w:fill="D9D9D9" w:themeFill="background1" w:themeFillShade="D9"/>
            <w:noWrap/>
            <w:vAlign w:val="center"/>
            <w:hideMark/>
          </w:tcPr>
          <w:p w14:paraId="7A059A04"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2</w:t>
            </w:r>
          </w:p>
        </w:tc>
        <w:tc>
          <w:tcPr>
            <w:tcW w:w="4573" w:type="pct"/>
            <w:gridSpan w:val="6"/>
            <w:shd w:val="clear" w:color="auto" w:fill="D9D9D9" w:themeFill="background1" w:themeFillShade="D9"/>
            <w:noWrap/>
            <w:vAlign w:val="center"/>
            <w:hideMark/>
          </w:tcPr>
          <w:p w14:paraId="43F285CD"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Банковские Карты</w:t>
            </w:r>
          </w:p>
        </w:tc>
      </w:tr>
      <w:tr w:rsidR="00440295" w:rsidRPr="00F63AD8" w14:paraId="2395FB14" w14:textId="77777777" w:rsidTr="00034511">
        <w:tblPrEx>
          <w:tblLook w:val="04A0" w:firstRow="1" w:lastRow="0" w:firstColumn="1" w:lastColumn="0" w:noHBand="0" w:noVBand="1"/>
        </w:tblPrEx>
        <w:trPr>
          <w:gridAfter w:val="1"/>
          <w:wAfter w:w="103" w:type="pct"/>
          <w:trHeight w:val="125"/>
          <w:tblHeader/>
        </w:trPr>
        <w:tc>
          <w:tcPr>
            <w:tcW w:w="324" w:type="pct"/>
            <w:gridSpan w:val="2"/>
            <w:shd w:val="clear" w:color="auto" w:fill="auto"/>
            <w:noWrap/>
            <w:vAlign w:val="center"/>
            <w:hideMark/>
          </w:tcPr>
          <w:p w14:paraId="137BF6FF"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2.1.</w:t>
            </w:r>
          </w:p>
        </w:tc>
        <w:tc>
          <w:tcPr>
            <w:tcW w:w="2786" w:type="pct"/>
            <w:gridSpan w:val="5"/>
            <w:shd w:val="clear" w:color="auto" w:fill="auto"/>
            <w:vAlign w:val="center"/>
            <w:hideMark/>
          </w:tcPr>
          <w:p w14:paraId="15BF3E3A" w14:textId="77777777" w:rsidR="00440295" w:rsidRPr="00F63AD8" w:rsidRDefault="00440295" w:rsidP="00034511">
            <w:pPr>
              <w:rPr>
                <w:rFonts w:ascii="Tahoma" w:hAnsi="Tahoma" w:cs="Tahoma"/>
                <w:sz w:val="18"/>
                <w:szCs w:val="18"/>
              </w:rPr>
            </w:pPr>
            <w:r w:rsidRPr="00F63AD8">
              <w:rPr>
                <w:rFonts w:ascii="Tahoma" w:hAnsi="Tahoma" w:cs="Tahoma"/>
                <w:sz w:val="18"/>
                <w:szCs w:val="18"/>
              </w:rPr>
              <w:t>выпуск основной Карты</w:t>
            </w:r>
          </w:p>
        </w:tc>
        <w:tc>
          <w:tcPr>
            <w:tcW w:w="1786" w:type="pct"/>
            <w:shd w:val="clear" w:color="auto" w:fill="auto"/>
            <w:noWrap/>
            <w:vAlign w:val="center"/>
            <w:hideMark/>
          </w:tcPr>
          <w:p w14:paraId="64C2E347" w14:textId="77777777" w:rsidR="00440295" w:rsidRPr="00F63AD8" w:rsidRDefault="00440295" w:rsidP="00034511">
            <w:pPr>
              <w:jc w:val="center"/>
              <w:rPr>
                <w:rFonts w:ascii="Tahoma" w:hAnsi="Tahoma" w:cs="Tahoma"/>
                <w:sz w:val="18"/>
                <w:szCs w:val="18"/>
              </w:rPr>
            </w:pPr>
            <w:r w:rsidRPr="00F63AD8">
              <w:rPr>
                <w:rFonts w:ascii="Tahoma" w:hAnsi="Tahoma" w:cs="Tahoma"/>
                <w:b/>
                <w:bCs/>
                <w:sz w:val="18"/>
                <w:szCs w:val="18"/>
              </w:rPr>
              <w:t>БЕСПЛАТНО</w:t>
            </w:r>
          </w:p>
        </w:tc>
      </w:tr>
      <w:tr w:rsidR="00440295" w:rsidRPr="00F63AD8" w14:paraId="52768EB0" w14:textId="77777777" w:rsidTr="00034511">
        <w:tblPrEx>
          <w:tblLook w:val="04A0" w:firstRow="1" w:lastRow="0" w:firstColumn="1" w:lastColumn="0" w:noHBand="0" w:noVBand="1"/>
        </w:tblPrEx>
        <w:trPr>
          <w:gridAfter w:val="1"/>
          <w:wAfter w:w="103" w:type="pct"/>
          <w:trHeight w:val="185"/>
          <w:tblHeader/>
        </w:trPr>
        <w:tc>
          <w:tcPr>
            <w:tcW w:w="324" w:type="pct"/>
            <w:gridSpan w:val="2"/>
            <w:shd w:val="clear" w:color="auto" w:fill="auto"/>
            <w:noWrap/>
            <w:vAlign w:val="center"/>
            <w:hideMark/>
          </w:tcPr>
          <w:p w14:paraId="4BCDF167"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2.2.</w:t>
            </w:r>
          </w:p>
        </w:tc>
        <w:tc>
          <w:tcPr>
            <w:tcW w:w="2786" w:type="pct"/>
            <w:gridSpan w:val="5"/>
            <w:shd w:val="clear" w:color="auto" w:fill="auto"/>
            <w:vAlign w:val="center"/>
            <w:hideMark/>
          </w:tcPr>
          <w:p w14:paraId="36B2CCAB" w14:textId="77777777" w:rsidR="00440295" w:rsidRPr="00F63AD8" w:rsidRDefault="00440295" w:rsidP="00034511">
            <w:pPr>
              <w:rPr>
                <w:rFonts w:ascii="Tahoma" w:hAnsi="Tahoma" w:cs="Tahoma"/>
                <w:sz w:val="18"/>
                <w:szCs w:val="18"/>
              </w:rPr>
            </w:pPr>
            <w:r w:rsidRPr="00F63AD8">
              <w:rPr>
                <w:rFonts w:ascii="Tahoma" w:hAnsi="Tahoma" w:cs="Tahoma"/>
                <w:sz w:val="18"/>
                <w:szCs w:val="18"/>
              </w:rPr>
              <w:t>выпуск дополнительной Карты</w:t>
            </w:r>
          </w:p>
        </w:tc>
        <w:tc>
          <w:tcPr>
            <w:tcW w:w="1786" w:type="pct"/>
            <w:shd w:val="clear" w:color="auto" w:fill="auto"/>
            <w:noWrap/>
            <w:vAlign w:val="center"/>
            <w:hideMark/>
          </w:tcPr>
          <w:p w14:paraId="04628435"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БЕСПЛАТНО</w:t>
            </w:r>
          </w:p>
        </w:tc>
      </w:tr>
      <w:tr w:rsidR="00440295" w:rsidRPr="00F63AD8" w14:paraId="2F4980EC" w14:textId="77777777" w:rsidTr="00034511">
        <w:tblPrEx>
          <w:tblLook w:val="04A0" w:firstRow="1" w:lastRow="0" w:firstColumn="1" w:lastColumn="0" w:noHBand="0" w:noVBand="1"/>
        </w:tblPrEx>
        <w:trPr>
          <w:gridAfter w:val="1"/>
          <w:wAfter w:w="103" w:type="pct"/>
          <w:trHeight w:val="300"/>
          <w:tblHeader/>
        </w:trPr>
        <w:tc>
          <w:tcPr>
            <w:tcW w:w="324" w:type="pct"/>
            <w:gridSpan w:val="2"/>
            <w:shd w:val="clear" w:color="auto" w:fill="auto"/>
            <w:noWrap/>
            <w:vAlign w:val="center"/>
            <w:hideMark/>
          </w:tcPr>
          <w:p w14:paraId="294CE0F0"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2.3.</w:t>
            </w:r>
          </w:p>
        </w:tc>
        <w:tc>
          <w:tcPr>
            <w:tcW w:w="2786" w:type="pct"/>
            <w:gridSpan w:val="5"/>
            <w:shd w:val="clear" w:color="auto" w:fill="auto"/>
            <w:vAlign w:val="center"/>
            <w:hideMark/>
          </w:tcPr>
          <w:p w14:paraId="055E195A" w14:textId="77777777" w:rsidR="00440295" w:rsidRPr="00F63AD8" w:rsidRDefault="00440295" w:rsidP="00034511">
            <w:pPr>
              <w:rPr>
                <w:rFonts w:ascii="Tahoma" w:hAnsi="Tahoma" w:cs="Tahoma"/>
                <w:sz w:val="18"/>
                <w:szCs w:val="18"/>
              </w:rPr>
            </w:pPr>
            <w:r w:rsidRPr="00F63AD8">
              <w:rPr>
                <w:rFonts w:ascii="Tahoma" w:hAnsi="Tahoma" w:cs="Tahoma"/>
                <w:sz w:val="18"/>
                <w:szCs w:val="18"/>
              </w:rPr>
              <w:t>валюта Счета Карты</w:t>
            </w:r>
          </w:p>
        </w:tc>
        <w:tc>
          <w:tcPr>
            <w:tcW w:w="1786" w:type="pct"/>
            <w:shd w:val="clear" w:color="000000" w:fill="FFFFFF"/>
            <w:noWrap/>
            <w:vAlign w:val="center"/>
            <w:hideMark/>
          </w:tcPr>
          <w:p w14:paraId="05FF5416"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Рубли Российской Федерации</w:t>
            </w:r>
          </w:p>
        </w:tc>
      </w:tr>
      <w:tr w:rsidR="00440295" w:rsidRPr="00F63AD8" w14:paraId="1968D9B7" w14:textId="77777777" w:rsidTr="00034511">
        <w:tblPrEx>
          <w:tblLook w:val="04A0" w:firstRow="1" w:lastRow="0" w:firstColumn="1" w:lastColumn="0" w:noHBand="0" w:noVBand="1"/>
        </w:tblPrEx>
        <w:trPr>
          <w:gridAfter w:val="1"/>
          <w:wAfter w:w="103" w:type="pct"/>
          <w:trHeight w:val="300"/>
          <w:tblHeader/>
        </w:trPr>
        <w:tc>
          <w:tcPr>
            <w:tcW w:w="324" w:type="pct"/>
            <w:gridSpan w:val="2"/>
            <w:shd w:val="clear" w:color="auto" w:fill="auto"/>
            <w:noWrap/>
            <w:vAlign w:val="center"/>
            <w:hideMark/>
          </w:tcPr>
          <w:p w14:paraId="31E3A8AA"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2.4.</w:t>
            </w:r>
          </w:p>
        </w:tc>
        <w:tc>
          <w:tcPr>
            <w:tcW w:w="2786" w:type="pct"/>
            <w:gridSpan w:val="5"/>
            <w:shd w:val="clear" w:color="auto" w:fill="auto"/>
            <w:vAlign w:val="center"/>
            <w:hideMark/>
          </w:tcPr>
          <w:p w14:paraId="05CA4DD0" w14:textId="77777777" w:rsidR="00440295" w:rsidRPr="00F63AD8" w:rsidRDefault="00440295" w:rsidP="00034511">
            <w:pPr>
              <w:rPr>
                <w:rFonts w:ascii="Tahoma" w:hAnsi="Tahoma" w:cs="Tahoma"/>
                <w:sz w:val="18"/>
                <w:szCs w:val="18"/>
              </w:rPr>
            </w:pPr>
            <w:r w:rsidRPr="00F63AD8">
              <w:rPr>
                <w:rFonts w:ascii="Tahoma" w:hAnsi="Tahoma" w:cs="Tahoma"/>
                <w:sz w:val="18"/>
                <w:szCs w:val="18"/>
              </w:rPr>
              <w:t>срок действия Карты (основной и дополнительной)</w:t>
            </w:r>
          </w:p>
        </w:tc>
        <w:tc>
          <w:tcPr>
            <w:tcW w:w="1786" w:type="pct"/>
            <w:shd w:val="clear" w:color="auto" w:fill="auto"/>
            <w:noWrap/>
            <w:vAlign w:val="center"/>
            <w:hideMark/>
          </w:tcPr>
          <w:p w14:paraId="3D17E60D" w14:textId="77777777" w:rsidR="00440295" w:rsidRPr="00F63AD8" w:rsidRDefault="00440295" w:rsidP="00034511">
            <w:pPr>
              <w:autoSpaceDE w:val="0"/>
              <w:autoSpaceDN w:val="0"/>
              <w:jc w:val="center"/>
              <w:rPr>
                <w:rFonts w:ascii="Tahoma" w:hAnsi="Tahoma" w:cs="Tahoma"/>
                <w:b/>
                <w:color w:val="000000"/>
                <w:sz w:val="18"/>
                <w:szCs w:val="18"/>
              </w:rPr>
            </w:pPr>
            <w:r w:rsidRPr="00F63AD8">
              <w:rPr>
                <w:rFonts w:ascii="Tahoma" w:hAnsi="Tahoma" w:cs="Tahoma"/>
                <w:b/>
                <w:color w:val="000000"/>
                <w:sz w:val="18"/>
                <w:szCs w:val="18"/>
              </w:rPr>
              <w:t>Для карт ПС:</w:t>
            </w:r>
          </w:p>
          <w:p w14:paraId="58E1511F" w14:textId="77777777" w:rsidR="00440295" w:rsidRPr="00F63AD8" w:rsidRDefault="00440295" w:rsidP="00034511">
            <w:pPr>
              <w:autoSpaceDE w:val="0"/>
              <w:autoSpaceDN w:val="0"/>
              <w:jc w:val="center"/>
              <w:rPr>
                <w:rFonts w:ascii="Tahoma" w:hAnsi="Tahoma" w:cs="Tahoma"/>
                <w:sz w:val="18"/>
                <w:szCs w:val="18"/>
              </w:rPr>
            </w:pPr>
            <w:r w:rsidRPr="00F63AD8">
              <w:rPr>
                <w:rFonts w:ascii="Tahoma" w:hAnsi="Tahoma" w:cs="Tahoma"/>
                <w:color w:val="000000"/>
                <w:sz w:val="18"/>
                <w:szCs w:val="18"/>
              </w:rPr>
              <w:t>- «</w:t>
            </w:r>
            <w:r w:rsidRPr="00F63AD8">
              <w:rPr>
                <w:rFonts w:ascii="Tahoma" w:hAnsi="Tahoma" w:cs="Tahoma"/>
                <w:color w:val="000000"/>
                <w:sz w:val="18"/>
                <w:szCs w:val="18"/>
                <w:lang w:val="en-US"/>
              </w:rPr>
              <w:t>VISA</w:t>
            </w:r>
            <w:r w:rsidRPr="00F63AD8">
              <w:rPr>
                <w:rFonts w:ascii="Tahoma" w:hAnsi="Tahoma" w:cs="Tahoma"/>
                <w:color w:val="000000"/>
                <w:sz w:val="18"/>
                <w:szCs w:val="18"/>
              </w:rPr>
              <w:t>», «</w:t>
            </w:r>
            <w:r w:rsidRPr="00F63AD8">
              <w:rPr>
                <w:rFonts w:ascii="Tahoma" w:hAnsi="Tahoma" w:cs="Tahoma"/>
                <w:color w:val="000000"/>
                <w:sz w:val="18"/>
                <w:szCs w:val="18"/>
                <w:lang w:val="en-US"/>
              </w:rPr>
              <w:t>MasterCard</w:t>
            </w:r>
            <w:r w:rsidRPr="00F63AD8">
              <w:rPr>
                <w:rFonts w:ascii="Tahoma" w:hAnsi="Tahoma" w:cs="Tahoma"/>
                <w:color w:val="000000"/>
                <w:sz w:val="18"/>
                <w:szCs w:val="18"/>
              </w:rPr>
              <w:t>»: до 3 лет</w:t>
            </w:r>
            <w:r w:rsidRPr="00F63AD8">
              <w:rPr>
                <w:rFonts w:ascii="Tahoma" w:hAnsi="Tahoma" w:cs="Tahoma"/>
                <w:color w:val="000000"/>
                <w:sz w:val="18"/>
                <w:szCs w:val="18"/>
                <w:vertAlign w:val="superscript"/>
              </w:rPr>
              <w:t>18</w:t>
            </w:r>
            <w:r w:rsidRPr="00F63AD8">
              <w:rPr>
                <w:rFonts w:ascii="Tahoma" w:hAnsi="Tahoma" w:cs="Tahoma"/>
                <w:color w:val="000000"/>
                <w:sz w:val="18"/>
                <w:szCs w:val="18"/>
              </w:rPr>
              <w:t>;</w:t>
            </w:r>
          </w:p>
          <w:p w14:paraId="56F1E847" w14:textId="77777777" w:rsidR="00440295" w:rsidRPr="00F63AD8" w:rsidRDefault="00440295" w:rsidP="00034511">
            <w:pPr>
              <w:jc w:val="center"/>
              <w:rPr>
                <w:rFonts w:ascii="Tahoma" w:hAnsi="Tahoma" w:cs="Tahoma"/>
                <w:sz w:val="18"/>
                <w:szCs w:val="18"/>
              </w:rPr>
            </w:pPr>
            <w:r w:rsidRPr="00F63AD8">
              <w:rPr>
                <w:rFonts w:ascii="Tahoma" w:hAnsi="Tahoma" w:cs="Tahoma"/>
                <w:color w:val="000000"/>
                <w:sz w:val="18"/>
                <w:szCs w:val="18"/>
              </w:rPr>
              <w:t>- «МИР»: до 10 лет</w:t>
            </w:r>
            <w:r w:rsidRPr="00F63AD8">
              <w:rPr>
                <w:rFonts w:ascii="Tahoma" w:hAnsi="Tahoma" w:cs="Tahoma"/>
                <w:color w:val="000000"/>
                <w:sz w:val="18"/>
                <w:szCs w:val="18"/>
                <w:vertAlign w:val="superscript"/>
              </w:rPr>
              <w:t>18</w:t>
            </w:r>
          </w:p>
        </w:tc>
      </w:tr>
      <w:tr w:rsidR="00440295" w:rsidRPr="00F63AD8" w14:paraId="20099E1C" w14:textId="77777777" w:rsidTr="00034511">
        <w:tblPrEx>
          <w:tblLook w:val="04A0" w:firstRow="1" w:lastRow="0" w:firstColumn="1" w:lastColumn="0" w:noHBand="0" w:noVBand="1"/>
        </w:tblPrEx>
        <w:trPr>
          <w:gridAfter w:val="1"/>
          <w:wAfter w:w="103" w:type="pct"/>
          <w:trHeight w:val="300"/>
          <w:tblHeader/>
        </w:trPr>
        <w:tc>
          <w:tcPr>
            <w:tcW w:w="324" w:type="pct"/>
            <w:gridSpan w:val="2"/>
            <w:shd w:val="clear" w:color="auto" w:fill="D9D9D9" w:themeFill="background1" w:themeFillShade="D9"/>
            <w:noWrap/>
            <w:vAlign w:val="center"/>
            <w:hideMark/>
          </w:tcPr>
          <w:p w14:paraId="667506DD"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3</w:t>
            </w:r>
          </w:p>
        </w:tc>
        <w:tc>
          <w:tcPr>
            <w:tcW w:w="4573" w:type="pct"/>
            <w:gridSpan w:val="6"/>
            <w:shd w:val="clear" w:color="auto" w:fill="D9D9D9" w:themeFill="background1" w:themeFillShade="D9"/>
            <w:noWrap/>
            <w:vAlign w:val="center"/>
            <w:hideMark/>
          </w:tcPr>
          <w:p w14:paraId="32952DC5"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shd w:val="clear" w:color="auto" w:fill="D9D9D9" w:themeFill="background1" w:themeFillShade="D9"/>
              </w:rPr>
              <w:t>Основная</w:t>
            </w:r>
            <w:r w:rsidRPr="00F63AD8">
              <w:rPr>
                <w:rFonts w:ascii="Tahoma" w:hAnsi="Tahoma" w:cs="Tahoma"/>
                <w:b/>
                <w:bCs/>
                <w:sz w:val="18"/>
                <w:szCs w:val="18"/>
              </w:rPr>
              <w:t xml:space="preserve"> Карта</w:t>
            </w:r>
          </w:p>
        </w:tc>
      </w:tr>
      <w:tr w:rsidR="00440295" w:rsidRPr="00F63AD8" w14:paraId="1BEE6917" w14:textId="77777777" w:rsidTr="00034511">
        <w:tblPrEx>
          <w:tblLook w:val="04A0" w:firstRow="1" w:lastRow="0" w:firstColumn="1" w:lastColumn="0" w:noHBand="0" w:noVBand="1"/>
        </w:tblPrEx>
        <w:trPr>
          <w:gridAfter w:val="1"/>
          <w:wAfter w:w="103" w:type="pct"/>
          <w:trHeight w:val="342"/>
          <w:tblHeader/>
        </w:trPr>
        <w:tc>
          <w:tcPr>
            <w:tcW w:w="324" w:type="pct"/>
            <w:gridSpan w:val="2"/>
            <w:shd w:val="clear" w:color="auto" w:fill="auto"/>
            <w:noWrap/>
            <w:vAlign w:val="center"/>
            <w:hideMark/>
          </w:tcPr>
          <w:p w14:paraId="2C034CD9"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3.1</w:t>
            </w:r>
          </w:p>
        </w:tc>
        <w:tc>
          <w:tcPr>
            <w:tcW w:w="2786" w:type="pct"/>
            <w:gridSpan w:val="5"/>
            <w:shd w:val="clear" w:color="auto" w:fill="auto"/>
            <w:vAlign w:val="center"/>
            <w:hideMark/>
          </w:tcPr>
          <w:p w14:paraId="15A7EEE9" w14:textId="77777777" w:rsidR="00440295" w:rsidRPr="00F63AD8" w:rsidRDefault="00440295" w:rsidP="00034511">
            <w:pPr>
              <w:rPr>
                <w:rFonts w:ascii="Tahoma" w:hAnsi="Tahoma" w:cs="Tahoma"/>
                <w:sz w:val="18"/>
                <w:szCs w:val="18"/>
                <w:vertAlign w:val="superscript"/>
              </w:rPr>
            </w:pPr>
            <w:r w:rsidRPr="00F63AD8">
              <w:rPr>
                <w:rFonts w:ascii="Tahoma" w:hAnsi="Tahoma" w:cs="Tahoma"/>
                <w:sz w:val="18"/>
                <w:szCs w:val="18"/>
              </w:rPr>
              <w:t xml:space="preserve">плата за годовое обслуживание Карты </w:t>
            </w:r>
          </w:p>
        </w:tc>
        <w:tc>
          <w:tcPr>
            <w:tcW w:w="1786" w:type="pct"/>
            <w:shd w:val="clear" w:color="auto" w:fill="FFFFFF" w:themeFill="background1"/>
            <w:noWrap/>
            <w:vAlign w:val="center"/>
            <w:hideMark/>
          </w:tcPr>
          <w:p w14:paraId="66851E75" w14:textId="77777777" w:rsidR="00440295" w:rsidRPr="00F63AD8" w:rsidRDefault="00440295" w:rsidP="00034511">
            <w:pPr>
              <w:jc w:val="center"/>
              <w:rPr>
                <w:rFonts w:ascii="Tahoma" w:hAnsi="Tahoma" w:cs="Tahoma"/>
                <w:b/>
                <w:sz w:val="18"/>
                <w:szCs w:val="18"/>
              </w:rPr>
            </w:pPr>
            <w:r w:rsidRPr="00F63AD8">
              <w:rPr>
                <w:rFonts w:ascii="Tahoma" w:hAnsi="Tahoma" w:cs="Tahoma"/>
                <w:b/>
                <w:bCs/>
                <w:sz w:val="18"/>
                <w:szCs w:val="18"/>
              </w:rPr>
              <w:t>БЕСПЛАТНО</w:t>
            </w:r>
          </w:p>
        </w:tc>
      </w:tr>
      <w:tr w:rsidR="00440295" w:rsidRPr="00F63AD8" w14:paraId="14886ACC" w14:textId="77777777" w:rsidTr="00034511">
        <w:tblPrEx>
          <w:tblLook w:val="04A0" w:firstRow="1" w:lastRow="0" w:firstColumn="1" w:lastColumn="0" w:noHBand="0" w:noVBand="1"/>
        </w:tblPrEx>
        <w:trPr>
          <w:gridAfter w:val="1"/>
          <w:wAfter w:w="103" w:type="pct"/>
          <w:trHeight w:val="300"/>
          <w:tblHeader/>
        </w:trPr>
        <w:tc>
          <w:tcPr>
            <w:tcW w:w="324" w:type="pct"/>
            <w:gridSpan w:val="2"/>
            <w:shd w:val="clear" w:color="auto" w:fill="auto"/>
            <w:noWrap/>
            <w:vAlign w:val="center"/>
            <w:hideMark/>
          </w:tcPr>
          <w:p w14:paraId="24425121"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3.2</w:t>
            </w:r>
          </w:p>
        </w:tc>
        <w:tc>
          <w:tcPr>
            <w:tcW w:w="2786" w:type="pct"/>
            <w:gridSpan w:val="5"/>
            <w:shd w:val="clear" w:color="auto" w:fill="auto"/>
            <w:vAlign w:val="center"/>
            <w:hideMark/>
          </w:tcPr>
          <w:p w14:paraId="1F2F1431" w14:textId="77777777" w:rsidR="00440295" w:rsidRPr="00F63AD8" w:rsidRDefault="00440295" w:rsidP="00034511">
            <w:pPr>
              <w:rPr>
                <w:rFonts w:ascii="Tahoma" w:hAnsi="Tahoma" w:cs="Tahoma"/>
                <w:sz w:val="18"/>
                <w:szCs w:val="18"/>
              </w:rPr>
            </w:pPr>
            <w:r w:rsidRPr="00F63AD8">
              <w:rPr>
                <w:rFonts w:ascii="Tahoma" w:hAnsi="Tahoma" w:cs="Tahoma"/>
                <w:sz w:val="18"/>
                <w:szCs w:val="18"/>
              </w:rPr>
              <w:t>открытие Счета Карты</w:t>
            </w:r>
          </w:p>
        </w:tc>
        <w:tc>
          <w:tcPr>
            <w:tcW w:w="1786" w:type="pct"/>
            <w:shd w:val="clear" w:color="auto" w:fill="auto"/>
            <w:noWrap/>
            <w:vAlign w:val="center"/>
            <w:hideMark/>
          </w:tcPr>
          <w:p w14:paraId="6C264DED"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БЕСПЛАТНО</w:t>
            </w:r>
          </w:p>
        </w:tc>
      </w:tr>
      <w:tr w:rsidR="00440295" w:rsidRPr="00F63AD8" w14:paraId="711CC96B" w14:textId="77777777" w:rsidTr="00034511">
        <w:tblPrEx>
          <w:tblLook w:val="04A0" w:firstRow="1" w:lastRow="0" w:firstColumn="1" w:lastColumn="0" w:noHBand="0" w:noVBand="1"/>
        </w:tblPrEx>
        <w:trPr>
          <w:gridAfter w:val="1"/>
          <w:wAfter w:w="103" w:type="pct"/>
          <w:trHeight w:val="300"/>
          <w:tblHeader/>
        </w:trPr>
        <w:tc>
          <w:tcPr>
            <w:tcW w:w="324" w:type="pct"/>
            <w:gridSpan w:val="2"/>
            <w:shd w:val="clear" w:color="auto" w:fill="auto"/>
            <w:noWrap/>
            <w:vAlign w:val="center"/>
            <w:hideMark/>
          </w:tcPr>
          <w:p w14:paraId="5075C496"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3.3</w:t>
            </w:r>
          </w:p>
        </w:tc>
        <w:tc>
          <w:tcPr>
            <w:tcW w:w="2786" w:type="pct"/>
            <w:gridSpan w:val="5"/>
            <w:shd w:val="clear" w:color="auto" w:fill="auto"/>
            <w:vAlign w:val="center"/>
            <w:hideMark/>
          </w:tcPr>
          <w:p w14:paraId="51039C56" w14:textId="77777777" w:rsidR="00440295" w:rsidRPr="00F63AD8" w:rsidRDefault="00440295" w:rsidP="00034511">
            <w:pPr>
              <w:rPr>
                <w:rFonts w:ascii="Tahoma" w:hAnsi="Tahoma" w:cs="Tahoma"/>
                <w:sz w:val="18"/>
                <w:szCs w:val="18"/>
              </w:rPr>
            </w:pPr>
            <w:r w:rsidRPr="00F63AD8">
              <w:rPr>
                <w:rFonts w:ascii="Tahoma" w:hAnsi="Tahoma" w:cs="Tahoma"/>
                <w:sz w:val="18"/>
                <w:szCs w:val="18"/>
              </w:rPr>
              <w:t>очередной перевыпуск Карты</w:t>
            </w:r>
          </w:p>
        </w:tc>
        <w:tc>
          <w:tcPr>
            <w:tcW w:w="1786" w:type="pct"/>
            <w:shd w:val="clear" w:color="auto" w:fill="auto"/>
            <w:noWrap/>
            <w:vAlign w:val="center"/>
            <w:hideMark/>
          </w:tcPr>
          <w:p w14:paraId="12917406"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БЕСПЛАТНО</w:t>
            </w:r>
          </w:p>
        </w:tc>
      </w:tr>
      <w:tr w:rsidR="00440295" w:rsidRPr="00F63AD8" w14:paraId="37303FAA" w14:textId="77777777" w:rsidTr="00034511">
        <w:tblPrEx>
          <w:tblLook w:val="04A0" w:firstRow="1" w:lastRow="0" w:firstColumn="1" w:lastColumn="0" w:noHBand="0" w:noVBand="1"/>
        </w:tblPrEx>
        <w:trPr>
          <w:gridAfter w:val="1"/>
          <w:wAfter w:w="103" w:type="pct"/>
          <w:trHeight w:val="181"/>
          <w:tblHeader/>
        </w:trPr>
        <w:tc>
          <w:tcPr>
            <w:tcW w:w="324" w:type="pct"/>
            <w:gridSpan w:val="2"/>
            <w:shd w:val="clear" w:color="auto" w:fill="D9D9D9" w:themeFill="background1" w:themeFillShade="D9"/>
            <w:noWrap/>
            <w:vAlign w:val="center"/>
            <w:hideMark/>
          </w:tcPr>
          <w:p w14:paraId="7867F365"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4</w:t>
            </w:r>
          </w:p>
        </w:tc>
        <w:tc>
          <w:tcPr>
            <w:tcW w:w="4573" w:type="pct"/>
            <w:gridSpan w:val="6"/>
            <w:shd w:val="clear" w:color="auto" w:fill="D9D9D9" w:themeFill="background1" w:themeFillShade="D9"/>
            <w:noWrap/>
            <w:vAlign w:val="center"/>
            <w:hideMark/>
          </w:tcPr>
          <w:p w14:paraId="46F16EB0"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Дополнительная Карта</w:t>
            </w:r>
          </w:p>
        </w:tc>
      </w:tr>
      <w:tr w:rsidR="00440295" w:rsidRPr="00F63AD8" w14:paraId="1376BB65" w14:textId="77777777" w:rsidTr="00034511">
        <w:tblPrEx>
          <w:tblLook w:val="04A0" w:firstRow="1" w:lastRow="0" w:firstColumn="1" w:lastColumn="0" w:noHBand="0" w:noVBand="1"/>
        </w:tblPrEx>
        <w:trPr>
          <w:gridAfter w:val="1"/>
          <w:wAfter w:w="103" w:type="pct"/>
          <w:trHeight w:val="300"/>
          <w:tblHeader/>
        </w:trPr>
        <w:tc>
          <w:tcPr>
            <w:tcW w:w="324" w:type="pct"/>
            <w:gridSpan w:val="2"/>
            <w:shd w:val="clear" w:color="auto" w:fill="auto"/>
            <w:noWrap/>
            <w:vAlign w:val="center"/>
            <w:hideMark/>
          </w:tcPr>
          <w:p w14:paraId="51071B8C"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4.1.</w:t>
            </w:r>
          </w:p>
        </w:tc>
        <w:tc>
          <w:tcPr>
            <w:tcW w:w="2786" w:type="pct"/>
            <w:gridSpan w:val="5"/>
            <w:shd w:val="clear" w:color="auto" w:fill="auto"/>
            <w:vAlign w:val="center"/>
            <w:hideMark/>
          </w:tcPr>
          <w:p w14:paraId="18B8ABF1" w14:textId="77777777" w:rsidR="00440295" w:rsidRPr="00F63AD8" w:rsidRDefault="00440295" w:rsidP="00034511">
            <w:pPr>
              <w:rPr>
                <w:rFonts w:ascii="Tahoma" w:hAnsi="Tahoma" w:cs="Tahoma"/>
                <w:sz w:val="18"/>
                <w:szCs w:val="18"/>
              </w:rPr>
            </w:pPr>
            <w:r w:rsidRPr="00F63AD8">
              <w:rPr>
                <w:rFonts w:ascii="Tahoma" w:hAnsi="Tahoma" w:cs="Tahoma"/>
                <w:sz w:val="18"/>
                <w:szCs w:val="18"/>
              </w:rPr>
              <w:t>плата за годовое обслуживание дополнительной Карты</w:t>
            </w:r>
          </w:p>
        </w:tc>
        <w:tc>
          <w:tcPr>
            <w:tcW w:w="1786" w:type="pct"/>
            <w:shd w:val="clear" w:color="auto" w:fill="auto"/>
            <w:noWrap/>
            <w:vAlign w:val="center"/>
            <w:hideMark/>
          </w:tcPr>
          <w:p w14:paraId="7FA90D78"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БЕСПЛАТНО</w:t>
            </w:r>
          </w:p>
        </w:tc>
      </w:tr>
      <w:tr w:rsidR="00440295" w:rsidRPr="00F63AD8" w14:paraId="311255EC" w14:textId="77777777" w:rsidTr="00034511">
        <w:tblPrEx>
          <w:tblLook w:val="04A0" w:firstRow="1" w:lastRow="0" w:firstColumn="1" w:lastColumn="0" w:noHBand="0" w:noVBand="1"/>
        </w:tblPrEx>
        <w:trPr>
          <w:gridAfter w:val="1"/>
          <w:wAfter w:w="103" w:type="pct"/>
          <w:trHeight w:val="300"/>
          <w:tblHeader/>
        </w:trPr>
        <w:tc>
          <w:tcPr>
            <w:tcW w:w="324" w:type="pct"/>
            <w:gridSpan w:val="2"/>
            <w:shd w:val="clear" w:color="auto" w:fill="auto"/>
            <w:noWrap/>
            <w:vAlign w:val="center"/>
            <w:hideMark/>
          </w:tcPr>
          <w:p w14:paraId="4CFFBC7A"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4.2.</w:t>
            </w:r>
          </w:p>
        </w:tc>
        <w:tc>
          <w:tcPr>
            <w:tcW w:w="2786" w:type="pct"/>
            <w:gridSpan w:val="5"/>
            <w:shd w:val="clear" w:color="auto" w:fill="auto"/>
            <w:vAlign w:val="center"/>
            <w:hideMark/>
          </w:tcPr>
          <w:p w14:paraId="09EE634C" w14:textId="77777777" w:rsidR="00440295" w:rsidRPr="00F63AD8" w:rsidRDefault="00440295" w:rsidP="00034511">
            <w:pPr>
              <w:rPr>
                <w:rFonts w:ascii="Tahoma" w:hAnsi="Tahoma" w:cs="Tahoma"/>
                <w:sz w:val="18"/>
                <w:szCs w:val="18"/>
              </w:rPr>
            </w:pPr>
            <w:r w:rsidRPr="00F63AD8">
              <w:rPr>
                <w:rFonts w:ascii="Tahoma" w:hAnsi="Tahoma" w:cs="Tahoma"/>
                <w:sz w:val="18"/>
                <w:szCs w:val="18"/>
              </w:rPr>
              <w:t>ежемесячное обслуживание дополнительной Карты</w:t>
            </w:r>
          </w:p>
        </w:tc>
        <w:tc>
          <w:tcPr>
            <w:tcW w:w="1786" w:type="pct"/>
            <w:shd w:val="clear" w:color="auto" w:fill="auto"/>
            <w:noWrap/>
            <w:vAlign w:val="center"/>
            <w:hideMark/>
          </w:tcPr>
          <w:p w14:paraId="19641F52"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БЕСПЛАТНО</w:t>
            </w:r>
          </w:p>
        </w:tc>
      </w:tr>
      <w:tr w:rsidR="00440295" w:rsidRPr="00F63AD8" w14:paraId="0E2943DB" w14:textId="77777777" w:rsidTr="00034511">
        <w:tblPrEx>
          <w:tblLook w:val="04A0" w:firstRow="1" w:lastRow="0" w:firstColumn="1" w:lastColumn="0" w:noHBand="0" w:noVBand="1"/>
        </w:tblPrEx>
        <w:trPr>
          <w:gridAfter w:val="1"/>
          <w:wAfter w:w="103" w:type="pct"/>
          <w:trHeight w:val="443"/>
          <w:tblHeader/>
        </w:trPr>
        <w:tc>
          <w:tcPr>
            <w:tcW w:w="324" w:type="pct"/>
            <w:gridSpan w:val="2"/>
            <w:shd w:val="clear" w:color="auto" w:fill="auto"/>
            <w:noWrap/>
            <w:vAlign w:val="center"/>
            <w:hideMark/>
          </w:tcPr>
          <w:p w14:paraId="2776FD00"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4.3.</w:t>
            </w:r>
          </w:p>
        </w:tc>
        <w:tc>
          <w:tcPr>
            <w:tcW w:w="2786" w:type="pct"/>
            <w:gridSpan w:val="5"/>
            <w:shd w:val="clear" w:color="auto" w:fill="auto"/>
            <w:vAlign w:val="center"/>
            <w:hideMark/>
          </w:tcPr>
          <w:p w14:paraId="1AD4C0AB" w14:textId="77777777" w:rsidR="00440295" w:rsidRPr="00F63AD8" w:rsidRDefault="00440295" w:rsidP="00034511">
            <w:pPr>
              <w:rPr>
                <w:rFonts w:ascii="Tahoma" w:hAnsi="Tahoma" w:cs="Tahoma"/>
                <w:sz w:val="18"/>
                <w:szCs w:val="18"/>
              </w:rPr>
            </w:pPr>
            <w:r w:rsidRPr="00F63AD8">
              <w:rPr>
                <w:rFonts w:ascii="Tahoma" w:hAnsi="Tahoma" w:cs="Tahoma"/>
                <w:sz w:val="18"/>
                <w:szCs w:val="18"/>
              </w:rPr>
              <w:t xml:space="preserve">количество бесплатных дополнительных Карт возможных к заказу </w:t>
            </w:r>
          </w:p>
        </w:tc>
        <w:tc>
          <w:tcPr>
            <w:tcW w:w="1786" w:type="pct"/>
            <w:shd w:val="clear" w:color="auto" w:fill="auto"/>
            <w:noWrap/>
            <w:vAlign w:val="center"/>
            <w:hideMark/>
          </w:tcPr>
          <w:p w14:paraId="6EF02786"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БЕЗ ОГРАНИЧЕНИЙ</w:t>
            </w:r>
          </w:p>
        </w:tc>
      </w:tr>
      <w:tr w:rsidR="00440295" w:rsidRPr="00F63AD8" w14:paraId="44F6A5C3" w14:textId="77777777" w:rsidTr="00034511">
        <w:tblPrEx>
          <w:tblLook w:val="04A0" w:firstRow="1" w:lastRow="0" w:firstColumn="1" w:lastColumn="0" w:noHBand="0" w:noVBand="1"/>
        </w:tblPrEx>
        <w:trPr>
          <w:gridAfter w:val="1"/>
          <w:wAfter w:w="103" w:type="pct"/>
          <w:trHeight w:val="74"/>
          <w:tblHeader/>
        </w:trPr>
        <w:tc>
          <w:tcPr>
            <w:tcW w:w="324" w:type="pct"/>
            <w:gridSpan w:val="2"/>
            <w:shd w:val="clear" w:color="auto" w:fill="D9D9D9" w:themeFill="background1" w:themeFillShade="D9"/>
            <w:noWrap/>
            <w:vAlign w:val="center"/>
            <w:hideMark/>
          </w:tcPr>
          <w:p w14:paraId="601CEBEB"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5</w:t>
            </w:r>
          </w:p>
        </w:tc>
        <w:tc>
          <w:tcPr>
            <w:tcW w:w="4573" w:type="pct"/>
            <w:gridSpan w:val="6"/>
            <w:shd w:val="clear" w:color="auto" w:fill="D9D9D9" w:themeFill="background1" w:themeFillShade="D9"/>
            <w:noWrap/>
            <w:vAlign w:val="center"/>
            <w:hideMark/>
          </w:tcPr>
          <w:p w14:paraId="50937B86"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Внеочередной перевыпуск Карты</w:t>
            </w:r>
          </w:p>
        </w:tc>
      </w:tr>
      <w:tr w:rsidR="00440295" w:rsidRPr="00F63AD8" w14:paraId="6B47F5DE" w14:textId="77777777" w:rsidTr="00034511">
        <w:tblPrEx>
          <w:tblLook w:val="04A0" w:firstRow="1" w:lastRow="0" w:firstColumn="1" w:lastColumn="0" w:noHBand="0" w:noVBand="1"/>
        </w:tblPrEx>
        <w:trPr>
          <w:gridAfter w:val="1"/>
          <w:wAfter w:w="103" w:type="pct"/>
          <w:trHeight w:val="300"/>
          <w:tblHeader/>
        </w:trPr>
        <w:tc>
          <w:tcPr>
            <w:tcW w:w="324" w:type="pct"/>
            <w:gridSpan w:val="2"/>
            <w:shd w:val="clear" w:color="auto" w:fill="auto"/>
            <w:noWrap/>
            <w:vAlign w:val="center"/>
            <w:hideMark/>
          </w:tcPr>
          <w:p w14:paraId="4541FAC3"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5.1.</w:t>
            </w:r>
          </w:p>
        </w:tc>
        <w:tc>
          <w:tcPr>
            <w:tcW w:w="2786" w:type="pct"/>
            <w:gridSpan w:val="5"/>
            <w:shd w:val="clear" w:color="auto" w:fill="auto"/>
            <w:vAlign w:val="center"/>
            <w:hideMark/>
          </w:tcPr>
          <w:p w14:paraId="0F3DEB47" w14:textId="77777777" w:rsidR="00440295" w:rsidRPr="00F63AD8" w:rsidRDefault="00440295" w:rsidP="00034511">
            <w:pPr>
              <w:rPr>
                <w:rFonts w:ascii="Tahoma" w:hAnsi="Tahoma" w:cs="Tahoma"/>
                <w:sz w:val="18"/>
                <w:szCs w:val="18"/>
              </w:rPr>
            </w:pPr>
            <w:r w:rsidRPr="00F63AD8">
              <w:rPr>
                <w:rFonts w:ascii="Tahoma" w:hAnsi="Tahoma" w:cs="Tahoma"/>
                <w:sz w:val="18"/>
                <w:szCs w:val="18"/>
              </w:rPr>
              <w:t>перевыпуск Карты в случае износа, технической неисправности</w:t>
            </w:r>
          </w:p>
        </w:tc>
        <w:tc>
          <w:tcPr>
            <w:tcW w:w="1786" w:type="pct"/>
            <w:shd w:val="clear" w:color="auto" w:fill="auto"/>
            <w:noWrap/>
            <w:vAlign w:val="center"/>
            <w:hideMark/>
          </w:tcPr>
          <w:p w14:paraId="5577AD80"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БЕСПЛАТНО</w:t>
            </w:r>
          </w:p>
        </w:tc>
      </w:tr>
      <w:tr w:rsidR="00440295" w:rsidRPr="00F63AD8" w14:paraId="3833CAFB" w14:textId="77777777" w:rsidTr="00034511">
        <w:tblPrEx>
          <w:tblLook w:val="04A0" w:firstRow="1" w:lastRow="0" w:firstColumn="1" w:lastColumn="0" w:noHBand="0" w:noVBand="1"/>
        </w:tblPrEx>
        <w:trPr>
          <w:gridAfter w:val="1"/>
          <w:wAfter w:w="103" w:type="pct"/>
          <w:trHeight w:val="300"/>
          <w:tblHeader/>
        </w:trPr>
        <w:tc>
          <w:tcPr>
            <w:tcW w:w="324" w:type="pct"/>
            <w:gridSpan w:val="2"/>
            <w:shd w:val="clear" w:color="auto" w:fill="auto"/>
            <w:noWrap/>
            <w:vAlign w:val="center"/>
            <w:hideMark/>
          </w:tcPr>
          <w:p w14:paraId="42B034D8"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5.2.</w:t>
            </w:r>
          </w:p>
        </w:tc>
        <w:tc>
          <w:tcPr>
            <w:tcW w:w="2786" w:type="pct"/>
            <w:gridSpan w:val="5"/>
            <w:shd w:val="clear" w:color="auto" w:fill="auto"/>
            <w:vAlign w:val="center"/>
            <w:hideMark/>
          </w:tcPr>
          <w:p w14:paraId="7CE80B39" w14:textId="77777777" w:rsidR="00440295" w:rsidRPr="00F63AD8" w:rsidRDefault="00440295" w:rsidP="00034511">
            <w:pPr>
              <w:rPr>
                <w:rFonts w:ascii="Tahoma" w:hAnsi="Tahoma" w:cs="Tahoma"/>
                <w:sz w:val="18"/>
                <w:szCs w:val="18"/>
              </w:rPr>
            </w:pPr>
            <w:r w:rsidRPr="00F63AD8">
              <w:rPr>
                <w:rFonts w:ascii="Tahoma" w:hAnsi="Tahoma" w:cs="Tahoma"/>
                <w:sz w:val="18"/>
                <w:szCs w:val="18"/>
              </w:rPr>
              <w:t>перевыпуск Карты в случае утраты Карты или ПИН-кода</w:t>
            </w:r>
          </w:p>
        </w:tc>
        <w:tc>
          <w:tcPr>
            <w:tcW w:w="1786" w:type="pct"/>
            <w:shd w:val="clear" w:color="auto" w:fill="auto"/>
            <w:noWrap/>
            <w:vAlign w:val="center"/>
            <w:hideMark/>
          </w:tcPr>
          <w:p w14:paraId="6D0371DB"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БЕСПЛАТНО</w:t>
            </w:r>
          </w:p>
        </w:tc>
      </w:tr>
      <w:tr w:rsidR="00440295" w:rsidRPr="00F63AD8" w14:paraId="3B85A1C5" w14:textId="77777777" w:rsidTr="00034511">
        <w:tblPrEx>
          <w:tblLook w:val="04A0" w:firstRow="1" w:lastRow="0" w:firstColumn="1" w:lastColumn="0" w:noHBand="0" w:noVBand="1"/>
        </w:tblPrEx>
        <w:trPr>
          <w:gridAfter w:val="1"/>
          <w:wAfter w:w="103" w:type="pct"/>
          <w:trHeight w:val="285"/>
          <w:tblHeader/>
        </w:trPr>
        <w:tc>
          <w:tcPr>
            <w:tcW w:w="324" w:type="pct"/>
            <w:gridSpan w:val="2"/>
            <w:shd w:val="clear" w:color="auto" w:fill="D9D9D9" w:themeFill="background1" w:themeFillShade="D9"/>
            <w:noWrap/>
            <w:vAlign w:val="center"/>
            <w:hideMark/>
          </w:tcPr>
          <w:p w14:paraId="35FED2BB"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 xml:space="preserve">6 </w:t>
            </w:r>
          </w:p>
        </w:tc>
        <w:tc>
          <w:tcPr>
            <w:tcW w:w="4573" w:type="pct"/>
            <w:gridSpan w:val="6"/>
            <w:shd w:val="clear" w:color="auto" w:fill="D9D9D9" w:themeFill="background1" w:themeFillShade="D9"/>
            <w:noWrap/>
            <w:vAlign w:val="center"/>
            <w:hideMark/>
          </w:tcPr>
          <w:p w14:paraId="0BE717B8"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 xml:space="preserve">Начисление процентов на остаток собственных средств по Счету Карты </w:t>
            </w:r>
          </w:p>
        </w:tc>
      </w:tr>
      <w:tr w:rsidR="00440295" w:rsidRPr="00F63AD8" w14:paraId="275A0CDC" w14:textId="77777777" w:rsidTr="00034511">
        <w:tblPrEx>
          <w:tblLook w:val="04A0" w:firstRow="1" w:lastRow="0" w:firstColumn="1" w:lastColumn="0" w:noHBand="0" w:noVBand="1"/>
        </w:tblPrEx>
        <w:trPr>
          <w:gridAfter w:val="1"/>
          <w:wAfter w:w="103" w:type="pct"/>
          <w:trHeight w:val="263"/>
          <w:tblHeader/>
        </w:trPr>
        <w:tc>
          <w:tcPr>
            <w:tcW w:w="324" w:type="pct"/>
            <w:gridSpan w:val="2"/>
            <w:shd w:val="clear" w:color="auto" w:fill="auto"/>
            <w:noWrap/>
            <w:vAlign w:val="center"/>
            <w:hideMark/>
          </w:tcPr>
          <w:p w14:paraId="109BD7B0"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6.1.</w:t>
            </w:r>
          </w:p>
        </w:tc>
        <w:tc>
          <w:tcPr>
            <w:tcW w:w="2786" w:type="pct"/>
            <w:gridSpan w:val="5"/>
            <w:shd w:val="clear" w:color="auto" w:fill="auto"/>
            <w:vAlign w:val="center"/>
            <w:hideMark/>
          </w:tcPr>
          <w:p w14:paraId="45AE3B9A" w14:textId="77777777" w:rsidR="00440295" w:rsidRPr="00F63AD8" w:rsidRDefault="00440295" w:rsidP="00034511">
            <w:pPr>
              <w:rPr>
                <w:rFonts w:ascii="Tahoma" w:hAnsi="Tahoma" w:cs="Tahoma"/>
                <w:sz w:val="18"/>
                <w:szCs w:val="18"/>
              </w:rPr>
            </w:pPr>
            <w:r w:rsidRPr="00F63AD8">
              <w:rPr>
                <w:rFonts w:ascii="Tahoma" w:hAnsi="Tahoma" w:cs="Tahoma"/>
                <w:sz w:val="18"/>
                <w:szCs w:val="18"/>
              </w:rPr>
              <w:t>периодичность начисления процентов</w:t>
            </w:r>
          </w:p>
        </w:tc>
        <w:tc>
          <w:tcPr>
            <w:tcW w:w="1786" w:type="pct"/>
            <w:shd w:val="clear" w:color="auto" w:fill="auto"/>
            <w:vAlign w:val="center"/>
            <w:hideMark/>
          </w:tcPr>
          <w:p w14:paraId="4831536B"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ЕЖЕМЕСЯЧНО, выплата процентов в дату, соответствующую дате открытия Счета Карты</w:t>
            </w:r>
          </w:p>
        </w:tc>
      </w:tr>
      <w:tr w:rsidR="00440295" w:rsidRPr="00F63AD8" w14:paraId="32E1CBC8" w14:textId="77777777" w:rsidTr="00034511">
        <w:tblPrEx>
          <w:tblLook w:val="04A0" w:firstRow="1" w:lastRow="0" w:firstColumn="1" w:lastColumn="0" w:noHBand="0" w:noVBand="1"/>
        </w:tblPrEx>
        <w:trPr>
          <w:gridAfter w:val="1"/>
          <w:wAfter w:w="103" w:type="pct"/>
          <w:trHeight w:val="245"/>
          <w:tblHeader/>
        </w:trPr>
        <w:tc>
          <w:tcPr>
            <w:tcW w:w="324" w:type="pct"/>
            <w:gridSpan w:val="2"/>
            <w:shd w:val="clear" w:color="auto" w:fill="auto"/>
            <w:noWrap/>
            <w:vAlign w:val="center"/>
          </w:tcPr>
          <w:p w14:paraId="44AC175B"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6.2.</w:t>
            </w:r>
          </w:p>
        </w:tc>
        <w:tc>
          <w:tcPr>
            <w:tcW w:w="2786" w:type="pct"/>
            <w:gridSpan w:val="5"/>
            <w:shd w:val="clear" w:color="auto" w:fill="auto"/>
            <w:vAlign w:val="center"/>
          </w:tcPr>
          <w:p w14:paraId="1908EA2F" w14:textId="77777777" w:rsidR="00440295" w:rsidRPr="00F63AD8" w:rsidRDefault="00440295" w:rsidP="00034511">
            <w:pPr>
              <w:rPr>
                <w:rFonts w:ascii="Tahoma" w:hAnsi="Tahoma" w:cs="Tahoma"/>
                <w:sz w:val="18"/>
                <w:szCs w:val="18"/>
              </w:rPr>
            </w:pPr>
            <w:r w:rsidRPr="00F63AD8">
              <w:rPr>
                <w:rFonts w:ascii="Tahoma" w:hAnsi="Tahoma" w:cs="Tahoma"/>
                <w:sz w:val="18"/>
                <w:szCs w:val="18"/>
              </w:rPr>
              <w:t xml:space="preserve"> процентная ставка, % годовых</w:t>
            </w:r>
          </w:p>
        </w:tc>
        <w:tc>
          <w:tcPr>
            <w:tcW w:w="1786" w:type="pct"/>
            <w:shd w:val="clear" w:color="auto" w:fill="auto"/>
            <w:vAlign w:val="bottom"/>
          </w:tcPr>
          <w:p w14:paraId="060CC4AD"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w:t>
            </w:r>
            <w:r w:rsidRPr="00F63AD8">
              <w:rPr>
                <w:rFonts w:ascii="Tahoma" w:hAnsi="Tahoma" w:cs="Tahoma"/>
                <w:sz w:val="18"/>
                <w:szCs w:val="18"/>
                <w:vertAlign w:val="superscript"/>
              </w:rPr>
              <w:t>17</w:t>
            </w:r>
            <w:r w:rsidRPr="00F63AD8">
              <w:rPr>
                <w:rFonts w:ascii="Tahoma" w:hAnsi="Tahoma" w:cs="Tahoma"/>
                <w:sz w:val="18"/>
                <w:szCs w:val="18"/>
              </w:rPr>
              <w:t xml:space="preserve"> </w:t>
            </w:r>
          </w:p>
        </w:tc>
      </w:tr>
      <w:tr w:rsidR="00440295" w:rsidRPr="00F63AD8" w14:paraId="2EE4821B" w14:textId="77777777" w:rsidTr="00034511">
        <w:tblPrEx>
          <w:tblLook w:val="04A0" w:firstRow="1" w:lastRow="0" w:firstColumn="1" w:lastColumn="0" w:noHBand="0" w:noVBand="1"/>
        </w:tblPrEx>
        <w:trPr>
          <w:gridAfter w:val="1"/>
          <w:wAfter w:w="103" w:type="pct"/>
          <w:trHeight w:val="71"/>
          <w:tblHeader/>
        </w:trPr>
        <w:tc>
          <w:tcPr>
            <w:tcW w:w="324" w:type="pct"/>
            <w:gridSpan w:val="2"/>
            <w:shd w:val="clear" w:color="auto" w:fill="D9D9D9" w:themeFill="background1" w:themeFillShade="D9"/>
            <w:noWrap/>
            <w:vAlign w:val="center"/>
            <w:hideMark/>
          </w:tcPr>
          <w:p w14:paraId="1B539492"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7</w:t>
            </w:r>
          </w:p>
        </w:tc>
        <w:tc>
          <w:tcPr>
            <w:tcW w:w="4573" w:type="pct"/>
            <w:gridSpan w:val="6"/>
            <w:shd w:val="clear" w:color="auto" w:fill="D9D9D9" w:themeFill="background1" w:themeFillShade="D9"/>
            <w:noWrap/>
            <w:vAlign w:val="center"/>
            <w:hideMark/>
          </w:tcPr>
          <w:p w14:paraId="70776181"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Условия обслуживания Карты</w:t>
            </w:r>
          </w:p>
        </w:tc>
      </w:tr>
      <w:tr w:rsidR="00440295" w:rsidRPr="00F63AD8" w14:paraId="20D27687" w14:textId="77777777" w:rsidTr="00034511">
        <w:tblPrEx>
          <w:tblLook w:val="04A0" w:firstRow="1" w:lastRow="0" w:firstColumn="1" w:lastColumn="0" w:noHBand="0" w:noVBand="1"/>
        </w:tblPrEx>
        <w:trPr>
          <w:gridAfter w:val="1"/>
          <w:wAfter w:w="103" w:type="pct"/>
          <w:trHeight w:val="231"/>
          <w:tblHeader/>
        </w:trPr>
        <w:tc>
          <w:tcPr>
            <w:tcW w:w="324" w:type="pct"/>
            <w:gridSpan w:val="2"/>
            <w:shd w:val="clear" w:color="auto" w:fill="D9D9D9" w:themeFill="background1" w:themeFillShade="D9"/>
            <w:noWrap/>
            <w:vAlign w:val="center"/>
            <w:hideMark/>
          </w:tcPr>
          <w:p w14:paraId="0F60238C"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7.1.</w:t>
            </w:r>
          </w:p>
        </w:tc>
        <w:tc>
          <w:tcPr>
            <w:tcW w:w="4573" w:type="pct"/>
            <w:gridSpan w:val="6"/>
            <w:shd w:val="clear" w:color="auto" w:fill="D9D9D9" w:themeFill="background1" w:themeFillShade="D9"/>
            <w:noWrap/>
            <w:vAlign w:val="center"/>
            <w:hideMark/>
          </w:tcPr>
          <w:p w14:paraId="76406E40" w14:textId="77777777" w:rsidR="00440295" w:rsidRPr="00F63AD8" w:rsidRDefault="00440295" w:rsidP="00034511">
            <w:pPr>
              <w:rPr>
                <w:rFonts w:ascii="Tahoma" w:hAnsi="Tahoma" w:cs="Tahoma"/>
                <w:b/>
                <w:bCs/>
                <w:sz w:val="18"/>
                <w:szCs w:val="18"/>
              </w:rPr>
            </w:pPr>
            <w:r w:rsidRPr="00F63AD8">
              <w:rPr>
                <w:rFonts w:ascii="Tahoma" w:hAnsi="Tahoma" w:cs="Tahoma"/>
                <w:b/>
                <w:bCs/>
                <w:sz w:val="18"/>
                <w:szCs w:val="18"/>
              </w:rPr>
              <w:t xml:space="preserve">                                                                       Лимиты выдачи наличных денежных средств с помощью банковской (платежной) Карты</w:t>
            </w:r>
          </w:p>
        </w:tc>
      </w:tr>
      <w:tr w:rsidR="00440295" w:rsidRPr="00F63AD8" w14:paraId="7566F78A" w14:textId="77777777" w:rsidTr="00034511">
        <w:tblPrEx>
          <w:tblLook w:val="04A0" w:firstRow="1" w:lastRow="0" w:firstColumn="1" w:lastColumn="0" w:noHBand="0" w:noVBand="1"/>
        </w:tblPrEx>
        <w:trPr>
          <w:gridAfter w:val="1"/>
          <w:wAfter w:w="103" w:type="pct"/>
          <w:trHeight w:val="409"/>
          <w:tblHeader/>
        </w:trPr>
        <w:tc>
          <w:tcPr>
            <w:tcW w:w="324" w:type="pct"/>
            <w:gridSpan w:val="2"/>
            <w:shd w:val="clear" w:color="auto" w:fill="auto"/>
            <w:noWrap/>
            <w:vAlign w:val="center"/>
          </w:tcPr>
          <w:p w14:paraId="4519D476"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7.1.1.</w:t>
            </w:r>
          </w:p>
        </w:tc>
        <w:tc>
          <w:tcPr>
            <w:tcW w:w="2786" w:type="pct"/>
            <w:gridSpan w:val="5"/>
            <w:shd w:val="clear" w:color="auto" w:fill="auto"/>
            <w:vAlign w:val="center"/>
          </w:tcPr>
          <w:p w14:paraId="0AF88E49" w14:textId="77777777" w:rsidR="00440295" w:rsidRPr="00F63AD8" w:rsidRDefault="00440295" w:rsidP="00034511">
            <w:pPr>
              <w:rPr>
                <w:rFonts w:ascii="Tahoma" w:hAnsi="Tahoma" w:cs="Tahoma"/>
                <w:sz w:val="18"/>
                <w:szCs w:val="18"/>
              </w:rPr>
            </w:pPr>
            <w:r w:rsidRPr="00F63AD8">
              <w:rPr>
                <w:rFonts w:ascii="Tahoma" w:hAnsi="Tahoma" w:cs="Tahoma"/>
                <w:sz w:val="18"/>
                <w:szCs w:val="18"/>
              </w:rPr>
              <w:t>ежедневный лимит совершения операций выдачи наличных в банкоматах любых банков, в т.ч.  Банке</w:t>
            </w:r>
            <w:r w:rsidRPr="00F63AD8">
              <w:rPr>
                <w:rFonts w:ascii="Tahoma" w:hAnsi="Tahoma" w:cs="Tahoma"/>
                <w:sz w:val="18"/>
                <w:szCs w:val="18"/>
                <w:vertAlign w:val="superscript"/>
              </w:rPr>
              <w:t xml:space="preserve"> </w:t>
            </w:r>
            <w:r w:rsidRPr="00F63AD8">
              <w:rPr>
                <w:rFonts w:ascii="Tahoma" w:hAnsi="Tahoma" w:cs="Tahoma"/>
                <w:sz w:val="18"/>
                <w:szCs w:val="18"/>
              </w:rPr>
              <w:t>(от 00 до 24 ч. московского времени)</w:t>
            </w:r>
            <w:r w:rsidRPr="00F63AD8">
              <w:rPr>
                <w:rStyle w:val="aff3"/>
                <w:rFonts w:ascii="Tahoma" w:hAnsi="Tahoma" w:cs="Tahoma"/>
                <w:sz w:val="18"/>
                <w:szCs w:val="18"/>
              </w:rPr>
              <w:t>3</w:t>
            </w:r>
          </w:p>
        </w:tc>
        <w:tc>
          <w:tcPr>
            <w:tcW w:w="1786" w:type="pct"/>
            <w:shd w:val="clear" w:color="auto" w:fill="auto"/>
            <w:noWrap/>
            <w:vAlign w:val="center"/>
          </w:tcPr>
          <w:p w14:paraId="7C772AB5" w14:textId="77777777" w:rsidR="00440295" w:rsidRPr="00F63AD8" w:rsidRDefault="00440295" w:rsidP="00034511">
            <w:pPr>
              <w:jc w:val="center"/>
              <w:rPr>
                <w:rFonts w:ascii="Tahoma" w:hAnsi="Tahoma" w:cs="Tahoma"/>
                <w:sz w:val="18"/>
                <w:szCs w:val="18"/>
              </w:rPr>
            </w:pPr>
          </w:p>
          <w:p w14:paraId="02AE57B2"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150 000 рублей</w:t>
            </w:r>
          </w:p>
        </w:tc>
      </w:tr>
      <w:tr w:rsidR="00440295" w:rsidRPr="00F63AD8" w14:paraId="2D81D7B4" w14:textId="77777777" w:rsidTr="00034511">
        <w:tblPrEx>
          <w:tblLook w:val="04A0" w:firstRow="1" w:lastRow="0" w:firstColumn="1" w:lastColumn="0" w:noHBand="0" w:noVBand="1"/>
        </w:tblPrEx>
        <w:trPr>
          <w:gridAfter w:val="1"/>
          <w:wAfter w:w="103" w:type="pct"/>
          <w:trHeight w:val="300"/>
          <w:tblHeader/>
        </w:trPr>
        <w:tc>
          <w:tcPr>
            <w:tcW w:w="324" w:type="pct"/>
            <w:gridSpan w:val="2"/>
            <w:shd w:val="clear" w:color="auto" w:fill="auto"/>
            <w:noWrap/>
            <w:vAlign w:val="center"/>
          </w:tcPr>
          <w:p w14:paraId="0A336BF7"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7.1.2.</w:t>
            </w:r>
          </w:p>
        </w:tc>
        <w:tc>
          <w:tcPr>
            <w:tcW w:w="2786" w:type="pct"/>
            <w:gridSpan w:val="5"/>
            <w:shd w:val="clear" w:color="auto" w:fill="auto"/>
            <w:vAlign w:val="center"/>
          </w:tcPr>
          <w:p w14:paraId="71C18C76" w14:textId="77777777" w:rsidR="00440295" w:rsidRPr="00F63AD8" w:rsidRDefault="00440295" w:rsidP="00034511">
            <w:pPr>
              <w:rPr>
                <w:rFonts w:ascii="Tahoma" w:hAnsi="Tahoma" w:cs="Tahoma"/>
                <w:sz w:val="18"/>
                <w:szCs w:val="18"/>
                <w:vertAlign w:val="superscript"/>
              </w:rPr>
            </w:pPr>
            <w:r w:rsidRPr="00F63AD8">
              <w:rPr>
                <w:rFonts w:ascii="Tahoma" w:hAnsi="Tahoma" w:cs="Tahoma"/>
                <w:sz w:val="18"/>
                <w:szCs w:val="18"/>
              </w:rPr>
              <w:t>ежемесячный лимит совершения операций выдачи наличных в банкоматах и в пунктах выдачи наличных любых банков, в т.ч.  Банке (в течение календарного месяца)</w:t>
            </w:r>
            <w:r w:rsidRPr="00F63AD8">
              <w:rPr>
                <w:rFonts w:ascii="Tahoma" w:hAnsi="Tahoma" w:cs="Tahoma"/>
                <w:sz w:val="18"/>
                <w:szCs w:val="18"/>
                <w:vertAlign w:val="superscript"/>
              </w:rPr>
              <w:t>3</w:t>
            </w:r>
          </w:p>
        </w:tc>
        <w:tc>
          <w:tcPr>
            <w:tcW w:w="1786" w:type="pct"/>
            <w:shd w:val="clear" w:color="auto" w:fill="auto"/>
            <w:noWrap/>
            <w:vAlign w:val="center"/>
          </w:tcPr>
          <w:p w14:paraId="293691BD"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1 000 000 рублей</w:t>
            </w:r>
          </w:p>
        </w:tc>
      </w:tr>
      <w:tr w:rsidR="00440295" w:rsidRPr="00F63AD8" w14:paraId="56C52F57" w14:textId="77777777" w:rsidTr="00034511">
        <w:tblPrEx>
          <w:tblLook w:val="04A0" w:firstRow="1" w:lastRow="0" w:firstColumn="1" w:lastColumn="0" w:noHBand="0" w:noVBand="1"/>
        </w:tblPrEx>
        <w:trPr>
          <w:gridAfter w:val="1"/>
          <w:wAfter w:w="103" w:type="pct"/>
          <w:trHeight w:val="300"/>
          <w:tblHeader/>
        </w:trPr>
        <w:tc>
          <w:tcPr>
            <w:tcW w:w="324" w:type="pct"/>
            <w:gridSpan w:val="2"/>
            <w:shd w:val="clear" w:color="auto" w:fill="auto"/>
            <w:noWrap/>
            <w:vAlign w:val="center"/>
          </w:tcPr>
          <w:p w14:paraId="693CD846"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7.1.3.</w:t>
            </w:r>
          </w:p>
        </w:tc>
        <w:tc>
          <w:tcPr>
            <w:tcW w:w="2786" w:type="pct"/>
            <w:gridSpan w:val="5"/>
            <w:shd w:val="clear" w:color="auto" w:fill="auto"/>
            <w:vAlign w:val="center"/>
          </w:tcPr>
          <w:p w14:paraId="5E41E4FF" w14:textId="77777777" w:rsidR="00440295" w:rsidRPr="00F63AD8" w:rsidRDefault="00440295" w:rsidP="00034511">
            <w:pPr>
              <w:rPr>
                <w:rFonts w:ascii="Tahoma" w:hAnsi="Tahoma" w:cs="Tahoma"/>
                <w:sz w:val="18"/>
                <w:szCs w:val="18"/>
              </w:rPr>
            </w:pPr>
            <w:r w:rsidRPr="00F63AD8">
              <w:rPr>
                <w:rFonts w:ascii="Tahoma" w:hAnsi="Tahoma" w:cs="Tahoma"/>
                <w:sz w:val="18"/>
                <w:szCs w:val="18"/>
              </w:rPr>
              <w:t>ежедневный лимит снятия наличных в ТСП, предоставляющих услугу выдачи наличных денежных средств при совершении покупки ( от 00 до 24 ч. Московского времени)</w:t>
            </w:r>
            <w:r w:rsidRPr="00F63AD8">
              <w:rPr>
                <w:rFonts w:ascii="Tahoma" w:hAnsi="Tahoma" w:cs="Tahoma"/>
                <w:sz w:val="18"/>
                <w:szCs w:val="18"/>
                <w:vertAlign w:val="superscript"/>
              </w:rPr>
              <w:t xml:space="preserve">4 </w:t>
            </w:r>
            <w:r w:rsidRPr="00F63AD8">
              <w:rPr>
                <w:rFonts w:ascii="Tahoma" w:hAnsi="Tahoma" w:cs="Tahoma"/>
                <w:sz w:val="18"/>
                <w:szCs w:val="18"/>
              </w:rPr>
              <w:t>с одного Счета Карты Клиента</w:t>
            </w:r>
          </w:p>
        </w:tc>
        <w:tc>
          <w:tcPr>
            <w:tcW w:w="1786" w:type="pct"/>
            <w:shd w:val="clear" w:color="auto" w:fill="auto"/>
            <w:noWrap/>
            <w:vAlign w:val="center"/>
          </w:tcPr>
          <w:p w14:paraId="20FAF63C"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5 000 рублей</w:t>
            </w:r>
          </w:p>
        </w:tc>
      </w:tr>
      <w:tr w:rsidR="00440295" w:rsidRPr="00F63AD8" w14:paraId="710302C6" w14:textId="77777777" w:rsidTr="00034511">
        <w:tblPrEx>
          <w:tblLook w:val="04A0" w:firstRow="1" w:lastRow="0" w:firstColumn="1" w:lastColumn="0" w:noHBand="0" w:noVBand="1"/>
        </w:tblPrEx>
        <w:trPr>
          <w:gridAfter w:val="1"/>
          <w:wAfter w:w="103" w:type="pct"/>
          <w:trHeight w:val="300"/>
          <w:tblHeader/>
        </w:trPr>
        <w:tc>
          <w:tcPr>
            <w:tcW w:w="324" w:type="pct"/>
            <w:gridSpan w:val="2"/>
            <w:shd w:val="clear" w:color="auto" w:fill="auto"/>
            <w:noWrap/>
            <w:vAlign w:val="center"/>
          </w:tcPr>
          <w:p w14:paraId="65B60AC0"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7.1.4.</w:t>
            </w:r>
          </w:p>
        </w:tc>
        <w:tc>
          <w:tcPr>
            <w:tcW w:w="2786" w:type="pct"/>
            <w:gridSpan w:val="5"/>
            <w:shd w:val="clear" w:color="auto" w:fill="auto"/>
            <w:vAlign w:val="center"/>
          </w:tcPr>
          <w:p w14:paraId="13C7420B" w14:textId="77777777" w:rsidR="00440295" w:rsidRPr="00F63AD8" w:rsidRDefault="00440295" w:rsidP="00034511">
            <w:pPr>
              <w:rPr>
                <w:rFonts w:ascii="Tahoma" w:hAnsi="Tahoma" w:cs="Tahoma"/>
                <w:sz w:val="18"/>
                <w:szCs w:val="18"/>
              </w:rPr>
            </w:pPr>
            <w:r w:rsidRPr="00F63AD8">
              <w:rPr>
                <w:rFonts w:ascii="Tahoma" w:hAnsi="Tahoma" w:cs="Tahoma"/>
                <w:sz w:val="18"/>
                <w:szCs w:val="18"/>
              </w:rPr>
              <w:t>ежемесячный лимит снятия наличных в ТСП, предоставляющих услугу выдачи наличных денежных средств при совершении покупки ( от 00 до 24 ч. Московского времени)</w:t>
            </w:r>
            <w:r w:rsidRPr="00F63AD8">
              <w:rPr>
                <w:rFonts w:ascii="Tahoma" w:hAnsi="Tahoma" w:cs="Tahoma"/>
                <w:sz w:val="18"/>
                <w:szCs w:val="18"/>
                <w:vertAlign w:val="superscript"/>
              </w:rPr>
              <w:t xml:space="preserve">4 </w:t>
            </w:r>
            <w:r w:rsidRPr="00F63AD8">
              <w:rPr>
                <w:rFonts w:ascii="Tahoma" w:hAnsi="Tahoma" w:cs="Tahoma"/>
                <w:sz w:val="18"/>
                <w:szCs w:val="18"/>
              </w:rPr>
              <w:t>с одного Счета Карты Клиента</w:t>
            </w:r>
          </w:p>
        </w:tc>
        <w:tc>
          <w:tcPr>
            <w:tcW w:w="1786" w:type="pct"/>
            <w:shd w:val="clear" w:color="auto" w:fill="auto"/>
            <w:noWrap/>
            <w:vAlign w:val="center"/>
          </w:tcPr>
          <w:p w14:paraId="5E3D4EC0"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30 000 рублей</w:t>
            </w:r>
          </w:p>
        </w:tc>
      </w:tr>
      <w:tr w:rsidR="00440295" w:rsidRPr="00F63AD8" w14:paraId="1F0BE2FB" w14:textId="77777777" w:rsidTr="00034511">
        <w:tblPrEx>
          <w:tblLook w:val="04A0" w:firstRow="1" w:lastRow="0" w:firstColumn="1" w:lastColumn="0" w:noHBand="0" w:noVBand="1"/>
        </w:tblPrEx>
        <w:trPr>
          <w:gridAfter w:val="1"/>
          <w:wAfter w:w="103" w:type="pct"/>
          <w:trHeight w:val="161"/>
          <w:tblHeader/>
        </w:trPr>
        <w:tc>
          <w:tcPr>
            <w:tcW w:w="324" w:type="pct"/>
            <w:gridSpan w:val="2"/>
            <w:shd w:val="clear" w:color="auto" w:fill="D9D9D9" w:themeFill="background1" w:themeFillShade="D9"/>
            <w:noWrap/>
            <w:vAlign w:val="center"/>
            <w:hideMark/>
          </w:tcPr>
          <w:p w14:paraId="1B8E5CC5"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7.2.</w:t>
            </w:r>
          </w:p>
        </w:tc>
        <w:tc>
          <w:tcPr>
            <w:tcW w:w="4573" w:type="pct"/>
            <w:gridSpan w:val="6"/>
            <w:shd w:val="clear" w:color="auto" w:fill="D9D9D9" w:themeFill="background1" w:themeFillShade="D9"/>
            <w:noWrap/>
            <w:vAlign w:val="center"/>
            <w:hideMark/>
          </w:tcPr>
          <w:p w14:paraId="3F89A857"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 xml:space="preserve">Комиссия за совершение безналичных операций </w:t>
            </w:r>
            <w:r w:rsidRPr="00F63AD8">
              <w:rPr>
                <w:rFonts w:ascii="Tahoma" w:hAnsi="Tahoma" w:cs="Tahoma"/>
                <w:b/>
                <w:sz w:val="18"/>
                <w:szCs w:val="18"/>
              </w:rPr>
              <w:t>(оплата товаров, работ, услуг, результатов интеллектуальной деятельности)</w:t>
            </w:r>
            <w:r w:rsidRPr="00F63AD8">
              <w:rPr>
                <w:rFonts w:ascii="Tahoma" w:hAnsi="Tahoma" w:cs="Tahoma"/>
                <w:b/>
                <w:sz w:val="18"/>
                <w:szCs w:val="18"/>
                <w:vertAlign w:val="superscript"/>
              </w:rPr>
              <w:t>23</w:t>
            </w:r>
          </w:p>
        </w:tc>
      </w:tr>
      <w:tr w:rsidR="00440295" w:rsidRPr="00F63AD8" w14:paraId="60A51D1D" w14:textId="77777777" w:rsidTr="00034511">
        <w:tblPrEx>
          <w:tblLook w:val="04A0" w:firstRow="1" w:lastRow="0" w:firstColumn="1" w:lastColumn="0" w:noHBand="0" w:noVBand="1"/>
        </w:tblPrEx>
        <w:trPr>
          <w:gridAfter w:val="1"/>
          <w:wAfter w:w="103" w:type="pct"/>
          <w:trHeight w:val="265"/>
          <w:tblHeader/>
        </w:trPr>
        <w:tc>
          <w:tcPr>
            <w:tcW w:w="324" w:type="pct"/>
            <w:gridSpan w:val="2"/>
            <w:shd w:val="clear" w:color="auto" w:fill="auto"/>
            <w:noWrap/>
            <w:vAlign w:val="center"/>
            <w:hideMark/>
          </w:tcPr>
          <w:p w14:paraId="260F74B4"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7.2.1.</w:t>
            </w:r>
          </w:p>
        </w:tc>
        <w:tc>
          <w:tcPr>
            <w:tcW w:w="2786" w:type="pct"/>
            <w:gridSpan w:val="5"/>
            <w:shd w:val="clear" w:color="auto" w:fill="auto"/>
            <w:vAlign w:val="center"/>
            <w:hideMark/>
          </w:tcPr>
          <w:p w14:paraId="39FCD5BD" w14:textId="77777777" w:rsidR="00440295" w:rsidRPr="00F63AD8" w:rsidRDefault="00440295" w:rsidP="00034511">
            <w:pPr>
              <w:rPr>
                <w:rFonts w:ascii="Tahoma" w:hAnsi="Tahoma" w:cs="Tahoma"/>
                <w:sz w:val="18"/>
                <w:szCs w:val="18"/>
              </w:rPr>
            </w:pPr>
            <w:r w:rsidRPr="00F63AD8">
              <w:rPr>
                <w:rFonts w:ascii="Tahoma" w:hAnsi="Tahoma" w:cs="Tahoma"/>
                <w:sz w:val="18"/>
                <w:szCs w:val="18"/>
              </w:rPr>
              <w:t>- в ТСП и сети Интернет, от суммы операции;</w:t>
            </w:r>
          </w:p>
          <w:p w14:paraId="33A07DEA" w14:textId="77777777" w:rsidR="00440295" w:rsidRPr="00F63AD8" w:rsidRDefault="00440295" w:rsidP="00034511">
            <w:pPr>
              <w:rPr>
                <w:rFonts w:ascii="Tahoma" w:hAnsi="Tahoma" w:cs="Tahoma"/>
                <w:sz w:val="18"/>
                <w:szCs w:val="18"/>
              </w:rPr>
            </w:pPr>
            <w:r w:rsidRPr="00F63AD8">
              <w:rPr>
                <w:rFonts w:ascii="Tahoma" w:hAnsi="Tahoma" w:cs="Tahoma"/>
                <w:sz w:val="18"/>
                <w:szCs w:val="18"/>
              </w:rPr>
              <w:t>- переводы денежных средств в пользу юридических лиц, индивидуальных предпринимателей и Самозанятых с использованием QR-кодов и URL-ссылок, от суммы операции.</w:t>
            </w:r>
          </w:p>
        </w:tc>
        <w:tc>
          <w:tcPr>
            <w:tcW w:w="1786" w:type="pct"/>
            <w:shd w:val="clear" w:color="auto" w:fill="auto"/>
            <w:noWrap/>
            <w:vAlign w:val="center"/>
            <w:hideMark/>
          </w:tcPr>
          <w:p w14:paraId="2F0B5413"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БЕСПЛАТНО</w:t>
            </w:r>
          </w:p>
        </w:tc>
      </w:tr>
      <w:tr w:rsidR="00440295" w:rsidRPr="00F63AD8" w14:paraId="2C1CB9C5" w14:textId="77777777" w:rsidTr="00034511">
        <w:tblPrEx>
          <w:tblLook w:val="04A0" w:firstRow="1" w:lastRow="0" w:firstColumn="1" w:lastColumn="0" w:noHBand="0" w:noVBand="1"/>
        </w:tblPrEx>
        <w:trPr>
          <w:gridAfter w:val="1"/>
          <w:wAfter w:w="103" w:type="pct"/>
          <w:trHeight w:val="645"/>
          <w:tblHeader/>
        </w:trPr>
        <w:tc>
          <w:tcPr>
            <w:tcW w:w="324" w:type="pct"/>
            <w:gridSpan w:val="2"/>
            <w:shd w:val="clear" w:color="auto" w:fill="auto"/>
            <w:noWrap/>
            <w:vAlign w:val="center"/>
            <w:hideMark/>
          </w:tcPr>
          <w:p w14:paraId="395AD4ED"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7.2.2.</w:t>
            </w:r>
          </w:p>
        </w:tc>
        <w:tc>
          <w:tcPr>
            <w:tcW w:w="2786" w:type="pct"/>
            <w:gridSpan w:val="5"/>
            <w:shd w:val="clear" w:color="auto" w:fill="auto"/>
            <w:vAlign w:val="center"/>
            <w:hideMark/>
          </w:tcPr>
          <w:p w14:paraId="6CA75772" w14:textId="77777777" w:rsidR="00440295" w:rsidRPr="00F63AD8" w:rsidRDefault="00440295" w:rsidP="00034511">
            <w:pPr>
              <w:rPr>
                <w:rFonts w:ascii="Tahoma" w:hAnsi="Tahoma" w:cs="Tahoma"/>
                <w:sz w:val="18"/>
                <w:szCs w:val="18"/>
              </w:rPr>
            </w:pPr>
            <w:r w:rsidRPr="00F63AD8">
              <w:rPr>
                <w:rFonts w:ascii="Tahoma" w:hAnsi="Tahoma" w:cs="Tahoma"/>
                <w:sz w:val="18"/>
                <w:szCs w:val="18"/>
              </w:rPr>
              <w:t>проведение «уникальных» транзакций</w:t>
            </w:r>
            <w:r w:rsidRPr="00F63AD8">
              <w:rPr>
                <w:rFonts w:ascii="Tahoma" w:hAnsi="Tahoma" w:cs="Tahoma"/>
                <w:sz w:val="18"/>
                <w:szCs w:val="18"/>
                <w:vertAlign w:val="superscript"/>
              </w:rPr>
              <w:t xml:space="preserve"> </w:t>
            </w:r>
            <w:r w:rsidRPr="00F63AD8">
              <w:rPr>
                <w:rFonts w:ascii="Tahoma" w:hAnsi="Tahoma" w:cs="Tahoma"/>
                <w:sz w:val="18"/>
                <w:szCs w:val="18"/>
              </w:rPr>
              <w:t>(за исключением операций, перечисленных в п. 7.2.3. настоящего документа): квази-cash (оплата дорожных чеков, денежных обязательств), «игровые транзакции» (оплата лотерейных билетов, игровых фишек в казино) и пр.</w:t>
            </w:r>
          </w:p>
        </w:tc>
        <w:tc>
          <w:tcPr>
            <w:tcW w:w="1786" w:type="pct"/>
            <w:shd w:val="clear" w:color="auto" w:fill="auto"/>
            <w:noWrap/>
            <w:vAlign w:val="center"/>
            <w:hideMark/>
          </w:tcPr>
          <w:p w14:paraId="6AD297F6"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5,9% от суммы операции+590 рублей</w:t>
            </w:r>
          </w:p>
        </w:tc>
      </w:tr>
      <w:tr w:rsidR="00440295" w:rsidRPr="00F63AD8" w14:paraId="5DBF120A" w14:textId="77777777" w:rsidTr="00034511">
        <w:tblPrEx>
          <w:tblLook w:val="04A0" w:firstRow="1" w:lastRow="0" w:firstColumn="1" w:lastColumn="0" w:noHBand="0" w:noVBand="1"/>
        </w:tblPrEx>
        <w:trPr>
          <w:gridAfter w:val="1"/>
          <w:wAfter w:w="103" w:type="pct"/>
          <w:trHeight w:val="840"/>
          <w:tblHeader/>
        </w:trPr>
        <w:tc>
          <w:tcPr>
            <w:tcW w:w="324" w:type="pct"/>
            <w:gridSpan w:val="2"/>
            <w:vMerge w:val="restart"/>
            <w:shd w:val="clear" w:color="auto" w:fill="auto"/>
            <w:noWrap/>
            <w:vAlign w:val="center"/>
          </w:tcPr>
          <w:p w14:paraId="650F88B7"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7.2.3.</w:t>
            </w:r>
          </w:p>
        </w:tc>
        <w:tc>
          <w:tcPr>
            <w:tcW w:w="923" w:type="pct"/>
            <w:gridSpan w:val="2"/>
            <w:vMerge w:val="restart"/>
            <w:shd w:val="clear" w:color="auto" w:fill="auto"/>
            <w:vAlign w:val="center"/>
          </w:tcPr>
          <w:p w14:paraId="1FFCBFA1" w14:textId="77777777" w:rsidR="00440295" w:rsidRPr="00F63AD8" w:rsidRDefault="00440295" w:rsidP="00034511">
            <w:pPr>
              <w:rPr>
                <w:rFonts w:ascii="Tahoma" w:hAnsi="Tahoma" w:cs="Tahoma"/>
                <w:sz w:val="18"/>
                <w:szCs w:val="18"/>
                <w:lang w:val="en-US"/>
              </w:rPr>
            </w:pPr>
            <w:r w:rsidRPr="00F63AD8">
              <w:rPr>
                <w:rFonts w:ascii="Tahoma" w:hAnsi="Tahoma" w:cs="Tahoma"/>
                <w:sz w:val="18"/>
                <w:szCs w:val="18"/>
              </w:rPr>
              <w:t>безналичные</w:t>
            </w:r>
            <w:r w:rsidRPr="00F63AD8">
              <w:rPr>
                <w:rFonts w:ascii="Tahoma" w:hAnsi="Tahoma" w:cs="Tahoma"/>
                <w:sz w:val="18"/>
                <w:szCs w:val="18"/>
                <w:lang w:val="en-US"/>
              </w:rPr>
              <w:t xml:space="preserve"> </w:t>
            </w:r>
            <w:r w:rsidRPr="00F63AD8">
              <w:rPr>
                <w:rFonts w:ascii="Tahoma" w:hAnsi="Tahoma" w:cs="Tahoma"/>
                <w:sz w:val="18"/>
                <w:szCs w:val="18"/>
              </w:rPr>
              <w:t>операции</w:t>
            </w:r>
            <w:r w:rsidRPr="00F63AD8">
              <w:rPr>
                <w:rFonts w:ascii="Tahoma" w:hAnsi="Tahoma" w:cs="Tahoma"/>
                <w:sz w:val="18"/>
                <w:szCs w:val="18"/>
                <w:lang w:val="en-US"/>
              </w:rPr>
              <w:t xml:space="preserve"> </w:t>
            </w:r>
            <w:r w:rsidRPr="00F63AD8">
              <w:rPr>
                <w:rFonts w:ascii="Tahoma" w:hAnsi="Tahoma" w:cs="Tahoma"/>
                <w:sz w:val="18"/>
                <w:szCs w:val="18"/>
              </w:rPr>
              <w:t>с</w:t>
            </w:r>
            <w:r w:rsidRPr="00F63AD8">
              <w:rPr>
                <w:rFonts w:ascii="Tahoma" w:hAnsi="Tahoma" w:cs="Tahoma"/>
                <w:sz w:val="18"/>
                <w:szCs w:val="18"/>
                <w:lang w:val="en-US"/>
              </w:rPr>
              <w:t xml:space="preserve"> </w:t>
            </w:r>
            <w:r w:rsidRPr="00F63AD8">
              <w:rPr>
                <w:rFonts w:ascii="Tahoma" w:hAnsi="Tahoma" w:cs="Tahoma"/>
                <w:sz w:val="18"/>
                <w:szCs w:val="18"/>
              </w:rPr>
              <w:t>кодами</w:t>
            </w:r>
            <w:r w:rsidRPr="00F63AD8">
              <w:rPr>
                <w:rFonts w:ascii="Tahoma" w:hAnsi="Tahoma" w:cs="Tahoma"/>
                <w:sz w:val="18"/>
                <w:szCs w:val="18"/>
                <w:lang w:val="en-US"/>
              </w:rPr>
              <w:t xml:space="preserve"> </w:t>
            </w:r>
            <w:r w:rsidRPr="00F63AD8">
              <w:rPr>
                <w:rFonts w:ascii="Tahoma" w:hAnsi="Tahoma" w:cs="Tahoma"/>
                <w:sz w:val="18"/>
                <w:szCs w:val="18"/>
              </w:rPr>
              <w:t>МСС</w:t>
            </w:r>
            <w:r w:rsidRPr="00F63AD8">
              <w:rPr>
                <w:rFonts w:ascii="Tahoma" w:hAnsi="Tahoma" w:cs="Tahoma"/>
                <w:sz w:val="18"/>
                <w:szCs w:val="18"/>
                <w:lang w:val="en-US"/>
              </w:rPr>
              <w:t xml:space="preserve"> 4829 «Money Transfer», 6012 «Member Financial Institution», 6538 «MoneySend Funding», 6534 «Money Transfer-Member Financial Institution», 6051 «Foreign Currency,Money,Tc`S. Non-FI, Money Orders»</w:t>
            </w:r>
          </w:p>
        </w:tc>
        <w:tc>
          <w:tcPr>
            <w:tcW w:w="1863" w:type="pct"/>
            <w:gridSpan w:val="3"/>
            <w:shd w:val="clear" w:color="auto" w:fill="auto"/>
            <w:vAlign w:val="center"/>
          </w:tcPr>
          <w:p w14:paraId="3E505396" w14:textId="77777777" w:rsidR="00440295" w:rsidRPr="00F63AD8" w:rsidRDefault="00440295" w:rsidP="00034511">
            <w:pPr>
              <w:rPr>
                <w:rFonts w:ascii="Tahoma" w:hAnsi="Tahoma" w:cs="Tahoma"/>
                <w:sz w:val="18"/>
                <w:szCs w:val="18"/>
              </w:rPr>
            </w:pPr>
            <w:r w:rsidRPr="00F63AD8">
              <w:rPr>
                <w:rFonts w:ascii="Tahoma" w:hAnsi="Tahoma" w:cs="Tahoma"/>
                <w:sz w:val="18"/>
                <w:szCs w:val="18"/>
              </w:rPr>
              <w:t>за счет</w:t>
            </w:r>
            <w:r w:rsidRPr="00F63AD8">
              <w:rPr>
                <w:rFonts w:ascii="Tahoma" w:hAnsi="Tahoma" w:cs="Tahoma"/>
                <w:b/>
                <w:bCs/>
                <w:sz w:val="18"/>
                <w:szCs w:val="18"/>
              </w:rPr>
              <w:t xml:space="preserve"> </w:t>
            </w:r>
            <w:r w:rsidRPr="00F63AD8">
              <w:rPr>
                <w:rFonts w:ascii="Tahoma" w:hAnsi="Tahoma" w:cs="Tahoma"/>
                <w:sz w:val="18"/>
                <w:szCs w:val="18"/>
              </w:rPr>
              <w:t>установленного Лимита кредитования</w:t>
            </w:r>
          </w:p>
        </w:tc>
        <w:tc>
          <w:tcPr>
            <w:tcW w:w="1786" w:type="pct"/>
            <w:shd w:val="clear" w:color="auto" w:fill="auto"/>
            <w:noWrap/>
            <w:vAlign w:val="center"/>
          </w:tcPr>
          <w:p w14:paraId="2AA38200"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5,9% от суммы операции+590 рублей</w:t>
            </w:r>
          </w:p>
        </w:tc>
      </w:tr>
      <w:tr w:rsidR="00440295" w:rsidRPr="00F63AD8" w14:paraId="435EF14B" w14:textId="77777777" w:rsidTr="00034511">
        <w:tblPrEx>
          <w:tblLook w:val="04A0" w:firstRow="1" w:lastRow="0" w:firstColumn="1" w:lastColumn="0" w:noHBand="0" w:noVBand="1"/>
        </w:tblPrEx>
        <w:trPr>
          <w:gridAfter w:val="1"/>
          <w:wAfter w:w="103" w:type="pct"/>
          <w:trHeight w:val="882"/>
          <w:tblHeader/>
        </w:trPr>
        <w:tc>
          <w:tcPr>
            <w:tcW w:w="324" w:type="pct"/>
            <w:gridSpan w:val="2"/>
            <w:vMerge/>
            <w:shd w:val="clear" w:color="auto" w:fill="auto"/>
            <w:noWrap/>
            <w:vAlign w:val="center"/>
          </w:tcPr>
          <w:p w14:paraId="0623F3E3" w14:textId="77777777" w:rsidR="00440295" w:rsidRPr="00F63AD8" w:rsidRDefault="00440295" w:rsidP="00034511">
            <w:pPr>
              <w:jc w:val="center"/>
              <w:rPr>
                <w:rFonts w:ascii="Tahoma" w:hAnsi="Tahoma" w:cs="Tahoma"/>
                <w:sz w:val="18"/>
                <w:szCs w:val="18"/>
              </w:rPr>
            </w:pPr>
          </w:p>
        </w:tc>
        <w:tc>
          <w:tcPr>
            <w:tcW w:w="923" w:type="pct"/>
            <w:gridSpan w:val="2"/>
            <w:vMerge/>
            <w:shd w:val="clear" w:color="auto" w:fill="auto"/>
            <w:vAlign w:val="center"/>
          </w:tcPr>
          <w:p w14:paraId="2C4FEE4F" w14:textId="77777777" w:rsidR="00440295" w:rsidRPr="00F63AD8" w:rsidRDefault="00440295" w:rsidP="00034511">
            <w:pPr>
              <w:rPr>
                <w:rFonts w:ascii="Tahoma" w:hAnsi="Tahoma" w:cs="Tahoma"/>
                <w:sz w:val="18"/>
                <w:szCs w:val="18"/>
              </w:rPr>
            </w:pPr>
          </w:p>
        </w:tc>
        <w:tc>
          <w:tcPr>
            <w:tcW w:w="1863" w:type="pct"/>
            <w:gridSpan w:val="3"/>
            <w:shd w:val="clear" w:color="auto" w:fill="auto"/>
            <w:vAlign w:val="center"/>
          </w:tcPr>
          <w:p w14:paraId="117611F0" w14:textId="77777777" w:rsidR="00440295" w:rsidRPr="00F63AD8" w:rsidRDefault="00440295" w:rsidP="00034511">
            <w:pPr>
              <w:rPr>
                <w:rFonts w:ascii="Tahoma" w:hAnsi="Tahoma" w:cs="Tahoma"/>
                <w:sz w:val="18"/>
                <w:szCs w:val="18"/>
              </w:rPr>
            </w:pPr>
            <w:r w:rsidRPr="00F63AD8">
              <w:rPr>
                <w:rFonts w:ascii="Tahoma" w:hAnsi="Tahoma" w:cs="Tahoma"/>
                <w:sz w:val="18"/>
                <w:szCs w:val="18"/>
              </w:rPr>
              <w:t>при положительном балансе на Счете Карты (наличии средств, находящихся на Счете Карты сверх установленного Лимита кредитования)</w:t>
            </w:r>
          </w:p>
        </w:tc>
        <w:tc>
          <w:tcPr>
            <w:tcW w:w="1786" w:type="pct"/>
            <w:shd w:val="clear" w:color="auto" w:fill="auto"/>
            <w:noWrap/>
            <w:vAlign w:val="center"/>
          </w:tcPr>
          <w:p w14:paraId="799AD15E"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БЕСПЛАТНО</w:t>
            </w:r>
          </w:p>
        </w:tc>
      </w:tr>
      <w:tr w:rsidR="00440295" w:rsidRPr="00F63AD8" w14:paraId="1E89EF46" w14:textId="77777777" w:rsidTr="00034511">
        <w:tblPrEx>
          <w:tblLook w:val="04A0" w:firstRow="1" w:lastRow="0" w:firstColumn="1" w:lastColumn="0" w:noHBand="0" w:noVBand="1"/>
        </w:tblPrEx>
        <w:trPr>
          <w:gridAfter w:val="1"/>
          <w:wAfter w:w="103" w:type="pct"/>
          <w:trHeight w:val="300"/>
          <w:tblHeader/>
        </w:trPr>
        <w:tc>
          <w:tcPr>
            <w:tcW w:w="324" w:type="pct"/>
            <w:gridSpan w:val="2"/>
            <w:shd w:val="clear" w:color="auto" w:fill="D9D9D9" w:themeFill="background1" w:themeFillShade="D9"/>
            <w:noWrap/>
            <w:vAlign w:val="center"/>
            <w:hideMark/>
          </w:tcPr>
          <w:p w14:paraId="2C5BA4B0"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7.3.</w:t>
            </w:r>
          </w:p>
        </w:tc>
        <w:tc>
          <w:tcPr>
            <w:tcW w:w="4573" w:type="pct"/>
            <w:gridSpan w:val="6"/>
            <w:shd w:val="clear" w:color="auto" w:fill="D9D9D9" w:themeFill="background1" w:themeFillShade="D9"/>
            <w:vAlign w:val="center"/>
            <w:hideMark/>
          </w:tcPr>
          <w:p w14:paraId="52C9B0A1"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 xml:space="preserve">Комиссия за выдачу наличных денежных средств с учетом лимитов совершения операций </w:t>
            </w:r>
          </w:p>
        </w:tc>
      </w:tr>
      <w:tr w:rsidR="00440295" w:rsidRPr="00F63AD8" w14:paraId="2E94D499" w14:textId="77777777" w:rsidTr="00034511">
        <w:tblPrEx>
          <w:tblLook w:val="04A0" w:firstRow="1" w:lastRow="0" w:firstColumn="1" w:lastColumn="0" w:noHBand="0" w:noVBand="1"/>
        </w:tblPrEx>
        <w:trPr>
          <w:gridAfter w:val="1"/>
          <w:wAfter w:w="103" w:type="pct"/>
          <w:trHeight w:hRule="exact" w:val="301"/>
          <w:tblHeader/>
        </w:trPr>
        <w:tc>
          <w:tcPr>
            <w:tcW w:w="324" w:type="pct"/>
            <w:gridSpan w:val="2"/>
            <w:vMerge w:val="restart"/>
            <w:shd w:val="clear" w:color="auto" w:fill="auto"/>
            <w:noWrap/>
            <w:vAlign w:val="center"/>
            <w:hideMark/>
          </w:tcPr>
          <w:p w14:paraId="2CAD21A7"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7.3.1.</w:t>
            </w:r>
          </w:p>
        </w:tc>
        <w:tc>
          <w:tcPr>
            <w:tcW w:w="923" w:type="pct"/>
            <w:gridSpan w:val="2"/>
            <w:vMerge w:val="restart"/>
            <w:shd w:val="clear" w:color="auto" w:fill="auto"/>
            <w:vAlign w:val="center"/>
            <w:hideMark/>
          </w:tcPr>
          <w:p w14:paraId="08F0D99D" w14:textId="77777777" w:rsidR="00440295" w:rsidRPr="00F63AD8" w:rsidRDefault="00440295" w:rsidP="00034511">
            <w:pPr>
              <w:rPr>
                <w:rFonts w:ascii="Tahoma" w:hAnsi="Tahoma" w:cs="Tahoma"/>
                <w:b/>
                <w:sz w:val="18"/>
                <w:szCs w:val="18"/>
              </w:rPr>
            </w:pPr>
            <w:r w:rsidRPr="00F63AD8">
              <w:rPr>
                <w:rFonts w:ascii="Tahoma" w:hAnsi="Tahoma" w:cs="Tahoma"/>
                <w:sz w:val="18"/>
                <w:szCs w:val="18"/>
              </w:rPr>
              <w:t xml:space="preserve">в пунктах выдачи наличных и банкоматах  Банка </w:t>
            </w:r>
          </w:p>
        </w:tc>
        <w:tc>
          <w:tcPr>
            <w:tcW w:w="1863" w:type="pct"/>
            <w:gridSpan w:val="3"/>
            <w:shd w:val="clear" w:color="auto" w:fill="auto"/>
            <w:vAlign w:val="center"/>
          </w:tcPr>
          <w:p w14:paraId="1AD91CA0" w14:textId="77777777" w:rsidR="00440295" w:rsidRPr="00F63AD8" w:rsidRDefault="00440295" w:rsidP="00034511">
            <w:pPr>
              <w:rPr>
                <w:rFonts w:ascii="Tahoma" w:hAnsi="Tahoma" w:cs="Tahoma"/>
                <w:b/>
                <w:sz w:val="18"/>
                <w:szCs w:val="18"/>
              </w:rPr>
            </w:pPr>
            <w:r w:rsidRPr="00F63AD8">
              <w:rPr>
                <w:rFonts w:ascii="Tahoma" w:hAnsi="Tahoma" w:cs="Tahoma"/>
                <w:sz w:val="18"/>
                <w:szCs w:val="18"/>
              </w:rPr>
              <w:t>за счет</w:t>
            </w:r>
            <w:r w:rsidRPr="00F63AD8">
              <w:rPr>
                <w:rFonts w:ascii="Tahoma" w:hAnsi="Tahoma" w:cs="Tahoma"/>
                <w:b/>
                <w:bCs/>
                <w:sz w:val="18"/>
                <w:szCs w:val="18"/>
              </w:rPr>
              <w:t xml:space="preserve"> </w:t>
            </w:r>
            <w:r w:rsidRPr="00F63AD8">
              <w:rPr>
                <w:rFonts w:ascii="Tahoma" w:hAnsi="Tahoma" w:cs="Tahoma"/>
                <w:sz w:val="18"/>
                <w:szCs w:val="18"/>
              </w:rPr>
              <w:t>установленного Лимита кредитования</w:t>
            </w:r>
          </w:p>
        </w:tc>
        <w:tc>
          <w:tcPr>
            <w:tcW w:w="1786" w:type="pct"/>
            <w:shd w:val="clear" w:color="auto" w:fill="auto"/>
            <w:noWrap/>
            <w:vAlign w:val="center"/>
          </w:tcPr>
          <w:p w14:paraId="162BEFA2"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5,9% от суммы снятия +590 рублей</w:t>
            </w:r>
          </w:p>
        </w:tc>
      </w:tr>
      <w:tr w:rsidR="00440295" w:rsidRPr="00F63AD8" w14:paraId="15BF15B3" w14:textId="77777777" w:rsidTr="00034511">
        <w:tblPrEx>
          <w:tblLook w:val="04A0" w:firstRow="1" w:lastRow="0" w:firstColumn="1" w:lastColumn="0" w:noHBand="0" w:noVBand="1"/>
        </w:tblPrEx>
        <w:trPr>
          <w:gridAfter w:val="1"/>
          <w:wAfter w:w="103" w:type="pct"/>
          <w:trHeight w:val="447"/>
          <w:tblHeader/>
        </w:trPr>
        <w:tc>
          <w:tcPr>
            <w:tcW w:w="324" w:type="pct"/>
            <w:gridSpan w:val="2"/>
            <w:vMerge/>
            <w:shd w:val="clear" w:color="auto" w:fill="auto"/>
            <w:noWrap/>
            <w:vAlign w:val="center"/>
          </w:tcPr>
          <w:p w14:paraId="1EACB4A5" w14:textId="77777777" w:rsidR="00440295" w:rsidRPr="00F63AD8" w:rsidRDefault="00440295" w:rsidP="00034511">
            <w:pPr>
              <w:jc w:val="center"/>
              <w:rPr>
                <w:rFonts w:ascii="Tahoma" w:hAnsi="Tahoma" w:cs="Tahoma"/>
                <w:sz w:val="18"/>
                <w:szCs w:val="18"/>
              </w:rPr>
            </w:pPr>
          </w:p>
        </w:tc>
        <w:tc>
          <w:tcPr>
            <w:tcW w:w="923" w:type="pct"/>
            <w:gridSpan w:val="2"/>
            <w:vMerge/>
            <w:shd w:val="clear" w:color="auto" w:fill="auto"/>
            <w:vAlign w:val="center"/>
          </w:tcPr>
          <w:p w14:paraId="629AE738" w14:textId="77777777" w:rsidR="00440295" w:rsidRPr="00F63AD8" w:rsidRDefault="00440295" w:rsidP="00034511">
            <w:pPr>
              <w:rPr>
                <w:rFonts w:ascii="Tahoma" w:hAnsi="Tahoma" w:cs="Tahoma"/>
                <w:b/>
                <w:sz w:val="18"/>
                <w:szCs w:val="18"/>
              </w:rPr>
            </w:pPr>
          </w:p>
        </w:tc>
        <w:tc>
          <w:tcPr>
            <w:tcW w:w="1863" w:type="pct"/>
            <w:gridSpan w:val="3"/>
            <w:shd w:val="clear" w:color="auto" w:fill="auto"/>
            <w:vAlign w:val="center"/>
          </w:tcPr>
          <w:p w14:paraId="6BA541E8" w14:textId="77777777" w:rsidR="00440295" w:rsidRPr="00F63AD8" w:rsidRDefault="00440295" w:rsidP="00034511">
            <w:pPr>
              <w:rPr>
                <w:rFonts w:ascii="Tahoma" w:hAnsi="Tahoma" w:cs="Tahoma"/>
                <w:sz w:val="18"/>
                <w:szCs w:val="18"/>
              </w:rPr>
            </w:pPr>
            <w:r w:rsidRPr="00F63AD8">
              <w:rPr>
                <w:rFonts w:ascii="Tahoma" w:hAnsi="Tahoma" w:cs="Tahoma"/>
                <w:sz w:val="18"/>
                <w:szCs w:val="18"/>
              </w:rPr>
              <w:t>при положительном балансе на Счете Карты (наличии средств, находящихся на Счете Карты сверх установленного Лимита кредитования)</w:t>
            </w:r>
          </w:p>
        </w:tc>
        <w:tc>
          <w:tcPr>
            <w:tcW w:w="1786" w:type="pct"/>
            <w:shd w:val="clear" w:color="auto" w:fill="auto"/>
            <w:noWrap/>
            <w:vAlign w:val="center"/>
          </w:tcPr>
          <w:p w14:paraId="3DDE5712"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БЕСПЛАТНО</w:t>
            </w:r>
          </w:p>
        </w:tc>
      </w:tr>
      <w:tr w:rsidR="00440295" w:rsidRPr="00F63AD8" w14:paraId="06E6F7E4" w14:textId="77777777" w:rsidTr="00034511">
        <w:tblPrEx>
          <w:tblLook w:val="04A0" w:firstRow="1" w:lastRow="0" w:firstColumn="1" w:lastColumn="0" w:noHBand="0" w:noVBand="1"/>
        </w:tblPrEx>
        <w:trPr>
          <w:gridAfter w:val="1"/>
          <w:wAfter w:w="103" w:type="pct"/>
          <w:trHeight w:val="283"/>
          <w:tblHeader/>
        </w:trPr>
        <w:tc>
          <w:tcPr>
            <w:tcW w:w="324" w:type="pct"/>
            <w:gridSpan w:val="2"/>
            <w:vMerge w:val="restart"/>
            <w:shd w:val="clear" w:color="auto" w:fill="auto"/>
            <w:noWrap/>
            <w:vAlign w:val="center"/>
          </w:tcPr>
          <w:p w14:paraId="5EB0246E"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7.3.2.</w:t>
            </w:r>
          </w:p>
        </w:tc>
        <w:tc>
          <w:tcPr>
            <w:tcW w:w="923" w:type="pct"/>
            <w:gridSpan w:val="2"/>
            <w:vMerge w:val="restart"/>
            <w:shd w:val="clear" w:color="auto" w:fill="auto"/>
            <w:vAlign w:val="center"/>
          </w:tcPr>
          <w:p w14:paraId="267276D7" w14:textId="77777777" w:rsidR="00440295" w:rsidRPr="00F63AD8" w:rsidRDefault="00440295" w:rsidP="00034511">
            <w:pPr>
              <w:rPr>
                <w:rFonts w:ascii="Tahoma" w:hAnsi="Tahoma" w:cs="Tahoma"/>
                <w:sz w:val="18"/>
                <w:szCs w:val="18"/>
              </w:rPr>
            </w:pPr>
            <w:r w:rsidRPr="00F63AD8">
              <w:rPr>
                <w:rFonts w:ascii="Tahoma" w:hAnsi="Tahoma" w:cs="Tahoma"/>
                <w:sz w:val="18"/>
                <w:szCs w:val="18"/>
              </w:rPr>
              <w:t>в банкоматах и пунктах выдачи наличных других банков, от суммы операции</w:t>
            </w:r>
            <w:r w:rsidRPr="00F63AD8">
              <w:rPr>
                <w:rFonts w:ascii="Tahoma" w:hAnsi="Tahoma" w:cs="Tahoma"/>
                <w:sz w:val="18"/>
                <w:szCs w:val="18"/>
                <w:vertAlign w:val="superscript"/>
              </w:rPr>
              <w:t>5</w:t>
            </w:r>
          </w:p>
        </w:tc>
        <w:tc>
          <w:tcPr>
            <w:tcW w:w="1863" w:type="pct"/>
            <w:gridSpan w:val="3"/>
            <w:shd w:val="clear" w:color="auto" w:fill="auto"/>
            <w:vAlign w:val="center"/>
          </w:tcPr>
          <w:p w14:paraId="1045D8A5" w14:textId="77777777" w:rsidR="00440295" w:rsidRPr="00F63AD8" w:rsidRDefault="00440295" w:rsidP="00034511">
            <w:pPr>
              <w:rPr>
                <w:rFonts w:ascii="Tahoma" w:hAnsi="Tahoma" w:cs="Tahoma"/>
                <w:b/>
                <w:sz w:val="18"/>
                <w:szCs w:val="18"/>
              </w:rPr>
            </w:pPr>
            <w:r w:rsidRPr="00F63AD8">
              <w:rPr>
                <w:rFonts w:ascii="Tahoma" w:hAnsi="Tahoma" w:cs="Tahoma"/>
                <w:sz w:val="18"/>
                <w:szCs w:val="18"/>
              </w:rPr>
              <w:t>за счет</w:t>
            </w:r>
            <w:r w:rsidRPr="00F63AD8">
              <w:rPr>
                <w:rFonts w:ascii="Tahoma" w:hAnsi="Tahoma" w:cs="Tahoma"/>
                <w:b/>
                <w:bCs/>
                <w:sz w:val="18"/>
                <w:szCs w:val="18"/>
              </w:rPr>
              <w:t xml:space="preserve"> </w:t>
            </w:r>
            <w:r w:rsidRPr="00F63AD8">
              <w:rPr>
                <w:rFonts w:ascii="Tahoma" w:hAnsi="Tahoma" w:cs="Tahoma"/>
                <w:sz w:val="18"/>
                <w:szCs w:val="18"/>
              </w:rPr>
              <w:t>установленного Лимита кредитования</w:t>
            </w:r>
          </w:p>
        </w:tc>
        <w:tc>
          <w:tcPr>
            <w:tcW w:w="1786" w:type="pct"/>
            <w:shd w:val="clear" w:color="auto" w:fill="auto"/>
            <w:noWrap/>
            <w:vAlign w:val="center"/>
          </w:tcPr>
          <w:p w14:paraId="6294F0CE"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5,9% от суммы снятия +590 рублей</w:t>
            </w:r>
          </w:p>
        </w:tc>
      </w:tr>
      <w:tr w:rsidR="00440295" w:rsidRPr="00F63AD8" w14:paraId="4CC1B07F" w14:textId="77777777" w:rsidTr="00034511">
        <w:tblPrEx>
          <w:tblLook w:val="04A0" w:firstRow="1" w:lastRow="0" w:firstColumn="1" w:lastColumn="0" w:noHBand="0" w:noVBand="1"/>
        </w:tblPrEx>
        <w:trPr>
          <w:gridAfter w:val="1"/>
          <w:wAfter w:w="103" w:type="pct"/>
          <w:trHeight w:val="405"/>
          <w:tblHeader/>
        </w:trPr>
        <w:tc>
          <w:tcPr>
            <w:tcW w:w="324" w:type="pct"/>
            <w:gridSpan w:val="2"/>
            <w:vMerge/>
            <w:shd w:val="clear" w:color="auto" w:fill="auto"/>
            <w:noWrap/>
            <w:vAlign w:val="center"/>
          </w:tcPr>
          <w:p w14:paraId="65C08C44" w14:textId="77777777" w:rsidR="00440295" w:rsidRPr="00F63AD8" w:rsidRDefault="00440295" w:rsidP="00034511">
            <w:pPr>
              <w:jc w:val="center"/>
              <w:rPr>
                <w:rFonts w:ascii="Tahoma" w:hAnsi="Tahoma" w:cs="Tahoma"/>
                <w:sz w:val="18"/>
                <w:szCs w:val="18"/>
              </w:rPr>
            </w:pPr>
          </w:p>
        </w:tc>
        <w:tc>
          <w:tcPr>
            <w:tcW w:w="923" w:type="pct"/>
            <w:gridSpan w:val="2"/>
            <w:vMerge/>
            <w:shd w:val="clear" w:color="auto" w:fill="auto"/>
            <w:vAlign w:val="center"/>
          </w:tcPr>
          <w:p w14:paraId="26D1ED83" w14:textId="77777777" w:rsidR="00440295" w:rsidRPr="00F63AD8" w:rsidRDefault="00440295" w:rsidP="00034511">
            <w:pPr>
              <w:rPr>
                <w:rFonts w:ascii="Tahoma" w:hAnsi="Tahoma" w:cs="Tahoma"/>
                <w:sz w:val="18"/>
                <w:szCs w:val="18"/>
              </w:rPr>
            </w:pPr>
          </w:p>
        </w:tc>
        <w:tc>
          <w:tcPr>
            <w:tcW w:w="555" w:type="pct"/>
            <w:vMerge w:val="restart"/>
            <w:shd w:val="clear" w:color="auto" w:fill="auto"/>
            <w:vAlign w:val="center"/>
          </w:tcPr>
          <w:p w14:paraId="5E918824" w14:textId="77777777" w:rsidR="00440295" w:rsidRPr="00F63AD8" w:rsidRDefault="00440295" w:rsidP="00034511">
            <w:pPr>
              <w:rPr>
                <w:rFonts w:ascii="Tahoma" w:hAnsi="Tahoma" w:cs="Tahoma"/>
                <w:sz w:val="18"/>
                <w:szCs w:val="18"/>
              </w:rPr>
            </w:pPr>
            <w:r w:rsidRPr="00F63AD8">
              <w:rPr>
                <w:rFonts w:ascii="Tahoma" w:hAnsi="Tahoma" w:cs="Tahoma"/>
                <w:sz w:val="18"/>
                <w:szCs w:val="18"/>
              </w:rPr>
              <w:t>При положительном балансе на Счете Карты (наличии средств, находящихся на Счете Карты сверх установленного Лимита кредитования)</w:t>
            </w:r>
          </w:p>
        </w:tc>
        <w:tc>
          <w:tcPr>
            <w:tcW w:w="1308" w:type="pct"/>
            <w:gridSpan w:val="2"/>
            <w:shd w:val="clear" w:color="auto" w:fill="auto"/>
            <w:vAlign w:val="center"/>
          </w:tcPr>
          <w:p w14:paraId="1020A6D8" w14:textId="77777777" w:rsidR="00440295" w:rsidRPr="00F63AD8" w:rsidRDefault="00440295" w:rsidP="00034511">
            <w:pPr>
              <w:rPr>
                <w:rFonts w:ascii="Tahoma" w:hAnsi="Tahoma" w:cs="Tahoma"/>
                <w:sz w:val="18"/>
                <w:szCs w:val="18"/>
              </w:rPr>
            </w:pPr>
            <w:r w:rsidRPr="00F63AD8">
              <w:rPr>
                <w:rFonts w:ascii="Tahoma" w:hAnsi="Tahoma" w:cs="Tahoma"/>
                <w:sz w:val="18"/>
                <w:szCs w:val="18"/>
              </w:rPr>
              <w:t>в банкоматах других банков и в пунктах выдачи наличных других банков за территорией РФ, от суммы операции</w:t>
            </w:r>
          </w:p>
        </w:tc>
        <w:tc>
          <w:tcPr>
            <w:tcW w:w="1786" w:type="pct"/>
            <w:shd w:val="clear" w:color="auto" w:fill="auto"/>
            <w:noWrap/>
            <w:vAlign w:val="center"/>
          </w:tcPr>
          <w:p w14:paraId="4FAD772C"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БЕСПЛАТНО</w:t>
            </w:r>
          </w:p>
        </w:tc>
      </w:tr>
      <w:tr w:rsidR="00440295" w:rsidRPr="00F63AD8" w14:paraId="03C0206C" w14:textId="77777777" w:rsidTr="00034511">
        <w:tblPrEx>
          <w:tblLook w:val="04A0" w:firstRow="1" w:lastRow="0" w:firstColumn="1" w:lastColumn="0" w:noHBand="0" w:noVBand="1"/>
        </w:tblPrEx>
        <w:trPr>
          <w:gridAfter w:val="1"/>
          <w:wAfter w:w="103" w:type="pct"/>
          <w:trHeight w:hRule="exact" w:val="453"/>
          <w:tblHeader/>
        </w:trPr>
        <w:tc>
          <w:tcPr>
            <w:tcW w:w="324" w:type="pct"/>
            <w:gridSpan w:val="2"/>
            <w:vMerge/>
            <w:shd w:val="clear" w:color="auto" w:fill="auto"/>
            <w:noWrap/>
            <w:vAlign w:val="center"/>
          </w:tcPr>
          <w:p w14:paraId="3D9CC5FD" w14:textId="77777777" w:rsidR="00440295" w:rsidRPr="00F63AD8" w:rsidRDefault="00440295" w:rsidP="00034511">
            <w:pPr>
              <w:jc w:val="center"/>
              <w:rPr>
                <w:rFonts w:ascii="Tahoma" w:hAnsi="Tahoma" w:cs="Tahoma"/>
                <w:sz w:val="18"/>
                <w:szCs w:val="18"/>
              </w:rPr>
            </w:pPr>
          </w:p>
        </w:tc>
        <w:tc>
          <w:tcPr>
            <w:tcW w:w="923" w:type="pct"/>
            <w:gridSpan w:val="2"/>
            <w:vMerge/>
            <w:shd w:val="clear" w:color="auto" w:fill="auto"/>
            <w:vAlign w:val="center"/>
          </w:tcPr>
          <w:p w14:paraId="42644A2F" w14:textId="77777777" w:rsidR="00440295" w:rsidRPr="00F63AD8" w:rsidRDefault="00440295" w:rsidP="00034511">
            <w:pPr>
              <w:rPr>
                <w:rFonts w:ascii="Tahoma" w:hAnsi="Tahoma" w:cs="Tahoma"/>
                <w:sz w:val="18"/>
                <w:szCs w:val="18"/>
              </w:rPr>
            </w:pPr>
          </w:p>
        </w:tc>
        <w:tc>
          <w:tcPr>
            <w:tcW w:w="555" w:type="pct"/>
            <w:vMerge/>
            <w:shd w:val="clear" w:color="auto" w:fill="auto"/>
            <w:vAlign w:val="center"/>
          </w:tcPr>
          <w:p w14:paraId="1C7ECDA9" w14:textId="77777777" w:rsidR="00440295" w:rsidRPr="00F63AD8" w:rsidRDefault="00440295" w:rsidP="00034511">
            <w:pPr>
              <w:rPr>
                <w:rFonts w:ascii="Tahoma" w:hAnsi="Tahoma" w:cs="Tahoma"/>
                <w:sz w:val="18"/>
                <w:szCs w:val="18"/>
              </w:rPr>
            </w:pPr>
          </w:p>
        </w:tc>
        <w:tc>
          <w:tcPr>
            <w:tcW w:w="1308" w:type="pct"/>
            <w:gridSpan w:val="2"/>
            <w:shd w:val="clear" w:color="auto" w:fill="auto"/>
            <w:vAlign w:val="center"/>
          </w:tcPr>
          <w:p w14:paraId="47A4850A" w14:textId="77777777" w:rsidR="00440295" w:rsidRPr="00F63AD8" w:rsidRDefault="00440295" w:rsidP="00034511">
            <w:pPr>
              <w:rPr>
                <w:rFonts w:ascii="Tahoma" w:hAnsi="Tahoma" w:cs="Tahoma"/>
                <w:sz w:val="18"/>
                <w:szCs w:val="18"/>
              </w:rPr>
            </w:pPr>
            <w:r w:rsidRPr="00F63AD8">
              <w:rPr>
                <w:rFonts w:ascii="Tahoma" w:hAnsi="Tahoma" w:cs="Tahoma"/>
                <w:sz w:val="18"/>
                <w:szCs w:val="18"/>
              </w:rPr>
              <w:t>В банкоматах других банков на территории РФ</w:t>
            </w:r>
          </w:p>
        </w:tc>
        <w:tc>
          <w:tcPr>
            <w:tcW w:w="1786" w:type="pct"/>
            <w:shd w:val="clear" w:color="auto" w:fill="auto"/>
            <w:noWrap/>
            <w:vAlign w:val="center"/>
          </w:tcPr>
          <w:p w14:paraId="0D90B6C3"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БЕСПЛАТНО</w:t>
            </w:r>
          </w:p>
        </w:tc>
      </w:tr>
      <w:tr w:rsidR="00440295" w:rsidRPr="00F63AD8" w14:paraId="4EF447B8" w14:textId="77777777" w:rsidTr="00034511">
        <w:tblPrEx>
          <w:tblLook w:val="04A0" w:firstRow="1" w:lastRow="0" w:firstColumn="1" w:lastColumn="0" w:noHBand="0" w:noVBand="1"/>
        </w:tblPrEx>
        <w:trPr>
          <w:gridAfter w:val="1"/>
          <w:wAfter w:w="103" w:type="pct"/>
          <w:trHeight w:hRule="exact" w:val="691"/>
          <w:tblHeader/>
        </w:trPr>
        <w:tc>
          <w:tcPr>
            <w:tcW w:w="324" w:type="pct"/>
            <w:gridSpan w:val="2"/>
            <w:vMerge/>
            <w:shd w:val="clear" w:color="auto" w:fill="auto"/>
            <w:noWrap/>
            <w:vAlign w:val="center"/>
          </w:tcPr>
          <w:p w14:paraId="7CA890F1" w14:textId="77777777" w:rsidR="00440295" w:rsidRPr="00F63AD8" w:rsidRDefault="00440295" w:rsidP="00034511">
            <w:pPr>
              <w:jc w:val="center"/>
              <w:rPr>
                <w:rFonts w:ascii="Tahoma" w:hAnsi="Tahoma" w:cs="Tahoma"/>
                <w:sz w:val="18"/>
                <w:szCs w:val="18"/>
              </w:rPr>
            </w:pPr>
          </w:p>
        </w:tc>
        <w:tc>
          <w:tcPr>
            <w:tcW w:w="923" w:type="pct"/>
            <w:gridSpan w:val="2"/>
            <w:vMerge/>
            <w:shd w:val="clear" w:color="auto" w:fill="auto"/>
            <w:vAlign w:val="center"/>
          </w:tcPr>
          <w:p w14:paraId="69CD7937" w14:textId="77777777" w:rsidR="00440295" w:rsidRPr="00F63AD8" w:rsidRDefault="00440295" w:rsidP="00034511">
            <w:pPr>
              <w:rPr>
                <w:rFonts w:ascii="Tahoma" w:hAnsi="Tahoma" w:cs="Tahoma"/>
                <w:sz w:val="18"/>
                <w:szCs w:val="18"/>
              </w:rPr>
            </w:pPr>
          </w:p>
        </w:tc>
        <w:tc>
          <w:tcPr>
            <w:tcW w:w="555" w:type="pct"/>
            <w:vMerge/>
            <w:shd w:val="clear" w:color="auto" w:fill="auto"/>
            <w:vAlign w:val="center"/>
          </w:tcPr>
          <w:p w14:paraId="0AB02300" w14:textId="77777777" w:rsidR="00440295" w:rsidRPr="00F63AD8" w:rsidRDefault="00440295" w:rsidP="00034511">
            <w:pPr>
              <w:rPr>
                <w:rFonts w:ascii="Tahoma" w:hAnsi="Tahoma" w:cs="Tahoma"/>
                <w:sz w:val="18"/>
                <w:szCs w:val="18"/>
              </w:rPr>
            </w:pPr>
          </w:p>
        </w:tc>
        <w:tc>
          <w:tcPr>
            <w:tcW w:w="1308" w:type="pct"/>
            <w:gridSpan w:val="2"/>
            <w:shd w:val="clear" w:color="auto" w:fill="auto"/>
            <w:vAlign w:val="center"/>
          </w:tcPr>
          <w:p w14:paraId="223B7FAF" w14:textId="77777777" w:rsidR="00440295" w:rsidRPr="00F63AD8" w:rsidRDefault="00440295" w:rsidP="00034511">
            <w:pPr>
              <w:rPr>
                <w:rFonts w:ascii="Tahoma" w:hAnsi="Tahoma" w:cs="Tahoma"/>
                <w:sz w:val="18"/>
                <w:szCs w:val="18"/>
              </w:rPr>
            </w:pPr>
            <w:r w:rsidRPr="00F63AD8">
              <w:rPr>
                <w:rFonts w:ascii="Tahoma" w:hAnsi="Tahoma" w:cs="Tahoma"/>
                <w:sz w:val="18"/>
                <w:szCs w:val="18"/>
              </w:rPr>
              <w:t>В ПВН других банков на территории РФ</w:t>
            </w:r>
          </w:p>
        </w:tc>
        <w:tc>
          <w:tcPr>
            <w:tcW w:w="1786" w:type="pct"/>
            <w:shd w:val="clear" w:color="auto" w:fill="auto"/>
            <w:noWrap/>
            <w:vAlign w:val="center"/>
          </w:tcPr>
          <w:p w14:paraId="5F9E1764"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БЕСПЛАТНО</w:t>
            </w:r>
          </w:p>
        </w:tc>
      </w:tr>
      <w:tr w:rsidR="00440295" w:rsidRPr="00F63AD8" w14:paraId="3FFFB8A7" w14:textId="77777777" w:rsidTr="00034511">
        <w:tblPrEx>
          <w:tblLook w:val="04A0" w:firstRow="1" w:lastRow="0" w:firstColumn="1" w:lastColumn="0" w:noHBand="0" w:noVBand="1"/>
        </w:tblPrEx>
        <w:trPr>
          <w:gridAfter w:val="1"/>
          <w:wAfter w:w="103" w:type="pct"/>
          <w:trHeight w:val="422"/>
          <w:tblHeader/>
        </w:trPr>
        <w:tc>
          <w:tcPr>
            <w:tcW w:w="324" w:type="pct"/>
            <w:gridSpan w:val="2"/>
            <w:vMerge w:val="restart"/>
            <w:shd w:val="clear" w:color="auto" w:fill="auto"/>
            <w:noWrap/>
            <w:vAlign w:val="center"/>
          </w:tcPr>
          <w:p w14:paraId="0C70495F"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7.3.3.</w:t>
            </w:r>
          </w:p>
        </w:tc>
        <w:tc>
          <w:tcPr>
            <w:tcW w:w="923" w:type="pct"/>
            <w:gridSpan w:val="2"/>
            <w:vMerge w:val="restart"/>
            <w:shd w:val="clear" w:color="auto" w:fill="auto"/>
            <w:vAlign w:val="center"/>
          </w:tcPr>
          <w:p w14:paraId="4ABB67BA" w14:textId="77777777" w:rsidR="00440295" w:rsidRPr="00F63AD8" w:rsidRDefault="00440295" w:rsidP="00034511">
            <w:pPr>
              <w:rPr>
                <w:rFonts w:ascii="Tahoma" w:hAnsi="Tahoma" w:cs="Tahoma"/>
                <w:sz w:val="18"/>
                <w:szCs w:val="18"/>
              </w:rPr>
            </w:pPr>
            <w:r w:rsidRPr="00F63AD8">
              <w:rPr>
                <w:rFonts w:ascii="Tahoma" w:hAnsi="Tahoma" w:cs="Tahoma"/>
                <w:sz w:val="18"/>
                <w:szCs w:val="18"/>
              </w:rPr>
              <w:t xml:space="preserve">в пунктах выдачи наличных Банка без использования Карты  </w:t>
            </w:r>
          </w:p>
        </w:tc>
        <w:tc>
          <w:tcPr>
            <w:tcW w:w="1863" w:type="pct"/>
            <w:gridSpan w:val="3"/>
            <w:shd w:val="clear" w:color="auto" w:fill="auto"/>
            <w:vAlign w:val="center"/>
          </w:tcPr>
          <w:p w14:paraId="1287167A" w14:textId="77777777" w:rsidR="00440295" w:rsidRPr="00F63AD8" w:rsidRDefault="00440295" w:rsidP="00034511">
            <w:pPr>
              <w:rPr>
                <w:rFonts w:ascii="Tahoma" w:hAnsi="Tahoma" w:cs="Tahoma"/>
                <w:sz w:val="18"/>
                <w:szCs w:val="18"/>
              </w:rPr>
            </w:pPr>
            <w:r w:rsidRPr="00F63AD8">
              <w:rPr>
                <w:rFonts w:ascii="Tahoma" w:hAnsi="Tahoma" w:cs="Tahoma"/>
                <w:sz w:val="18"/>
                <w:szCs w:val="18"/>
              </w:rPr>
              <w:t>за счет</w:t>
            </w:r>
            <w:r w:rsidRPr="00F63AD8">
              <w:rPr>
                <w:rFonts w:ascii="Tahoma" w:hAnsi="Tahoma" w:cs="Tahoma"/>
                <w:b/>
                <w:bCs/>
                <w:sz w:val="18"/>
                <w:szCs w:val="18"/>
              </w:rPr>
              <w:t xml:space="preserve"> </w:t>
            </w:r>
            <w:r w:rsidRPr="00F63AD8">
              <w:rPr>
                <w:rFonts w:ascii="Tahoma" w:hAnsi="Tahoma" w:cs="Tahoma"/>
                <w:sz w:val="18"/>
                <w:szCs w:val="18"/>
              </w:rPr>
              <w:t>установленного Лимита кредитования</w:t>
            </w:r>
          </w:p>
        </w:tc>
        <w:tc>
          <w:tcPr>
            <w:tcW w:w="1786" w:type="pct"/>
            <w:shd w:val="clear" w:color="auto" w:fill="auto"/>
            <w:noWrap/>
          </w:tcPr>
          <w:p w14:paraId="6375F9DF" w14:textId="77777777" w:rsidR="00440295" w:rsidRPr="00F63AD8" w:rsidRDefault="00440295" w:rsidP="00034511">
            <w:pPr>
              <w:jc w:val="center"/>
              <w:rPr>
                <w:rFonts w:ascii="Tahoma" w:hAnsi="Tahoma" w:cs="Tahoma"/>
                <w:sz w:val="18"/>
                <w:szCs w:val="18"/>
              </w:rPr>
            </w:pPr>
            <w:r w:rsidRPr="00F63AD8">
              <w:rPr>
                <w:rFonts w:ascii="Tahoma" w:hAnsi="Tahoma" w:cs="Tahoma"/>
                <w:b/>
                <w:bCs/>
                <w:sz w:val="18"/>
                <w:szCs w:val="18"/>
              </w:rPr>
              <w:t>5,9% от суммы снятия +590 рублей</w:t>
            </w:r>
          </w:p>
        </w:tc>
      </w:tr>
      <w:tr w:rsidR="00440295" w:rsidRPr="00F63AD8" w14:paraId="0F5EED53" w14:textId="77777777" w:rsidTr="00034511">
        <w:tblPrEx>
          <w:tblLook w:val="04A0" w:firstRow="1" w:lastRow="0" w:firstColumn="1" w:lastColumn="0" w:noHBand="0" w:noVBand="1"/>
        </w:tblPrEx>
        <w:trPr>
          <w:gridAfter w:val="1"/>
          <w:wAfter w:w="103" w:type="pct"/>
          <w:trHeight w:val="550"/>
          <w:tblHeader/>
        </w:trPr>
        <w:tc>
          <w:tcPr>
            <w:tcW w:w="324" w:type="pct"/>
            <w:gridSpan w:val="2"/>
            <w:vMerge/>
            <w:tcBorders>
              <w:bottom w:val="single" w:sz="4" w:space="0" w:color="auto"/>
            </w:tcBorders>
            <w:shd w:val="clear" w:color="auto" w:fill="auto"/>
            <w:noWrap/>
            <w:vAlign w:val="center"/>
          </w:tcPr>
          <w:p w14:paraId="505BB3F0" w14:textId="77777777" w:rsidR="00440295" w:rsidRPr="00F63AD8" w:rsidRDefault="00440295" w:rsidP="00034511">
            <w:pPr>
              <w:jc w:val="center"/>
              <w:rPr>
                <w:rFonts w:ascii="Tahoma" w:hAnsi="Tahoma" w:cs="Tahoma"/>
                <w:sz w:val="18"/>
                <w:szCs w:val="18"/>
              </w:rPr>
            </w:pPr>
          </w:p>
        </w:tc>
        <w:tc>
          <w:tcPr>
            <w:tcW w:w="923" w:type="pct"/>
            <w:gridSpan w:val="2"/>
            <w:vMerge/>
            <w:tcBorders>
              <w:bottom w:val="single" w:sz="4" w:space="0" w:color="auto"/>
            </w:tcBorders>
            <w:shd w:val="clear" w:color="auto" w:fill="auto"/>
            <w:vAlign w:val="center"/>
          </w:tcPr>
          <w:p w14:paraId="6912CCC9" w14:textId="77777777" w:rsidR="00440295" w:rsidRPr="00F63AD8" w:rsidRDefault="00440295" w:rsidP="00034511">
            <w:pPr>
              <w:rPr>
                <w:rFonts w:ascii="Tahoma" w:hAnsi="Tahoma" w:cs="Tahoma"/>
                <w:sz w:val="18"/>
                <w:szCs w:val="18"/>
              </w:rPr>
            </w:pPr>
          </w:p>
        </w:tc>
        <w:tc>
          <w:tcPr>
            <w:tcW w:w="1863" w:type="pct"/>
            <w:gridSpan w:val="3"/>
            <w:tcBorders>
              <w:bottom w:val="single" w:sz="4" w:space="0" w:color="auto"/>
            </w:tcBorders>
            <w:shd w:val="clear" w:color="auto" w:fill="auto"/>
            <w:vAlign w:val="center"/>
          </w:tcPr>
          <w:p w14:paraId="1147299E"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При положительном балансе на Счете Карты (наличии средств, находящихся на Счете Карты сверх установленного Лимита кредитования)</w:t>
            </w:r>
          </w:p>
        </w:tc>
        <w:tc>
          <w:tcPr>
            <w:tcW w:w="1786" w:type="pct"/>
            <w:tcBorders>
              <w:bottom w:val="single" w:sz="4" w:space="0" w:color="auto"/>
            </w:tcBorders>
            <w:shd w:val="clear" w:color="auto" w:fill="auto"/>
            <w:noWrap/>
            <w:vAlign w:val="center"/>
          </w:tcPr>
          <w:p w14:paraId="721449C5"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БЕСПЛАТНО</w:t>
            </w:r>
          </w:p>
        </w:tc>
      </w:tr>
      <w:tr w:rsidR="00440295" w:rsidRPr="00F63AD8" w14:paraId="236C91E4" w14:textId="77777777" w:rsidTr="00034511">
        <w:tblPrEx>
          <w:tblLook w:val="04A0" w:firstRow="1" w:lastRow="0" w:firstColumn="1" w:lastColumn="0" w:noHBand="0" w:noVBand="1"/>
        </w:tblPrEx>
        <w:trPr>
          <w:gridAfter w:val="1"/>
          <w:wAfter w:w="103" w:type="pct"/>
          <w:trHeight w:val="409"/>
          <w:tblHeader/>
        </w:trPr>
        <w:tc>
          <w:tcPr>
            <w:tcW w:w="324" w:type="pct"/>
            <w:gridSpan w:val="2"/>
            <w:vMerge w:val="restart"/>
            <w:shd w:val="clear" w:color="auto" w:fill="auto"/>
            <w:noWrap/>
            <w:vAlign w:val="center"/>
          </w:tcPr>
          <w:p w14:paraId="47C34C37"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7.3.4.</w:t>
            </w:r>
          </w:p>
        </w:tc>
        <w:tc>
          <w:tcPr>
            <w:tcW w:w="923" w:type="pct"/>
            <w:gridSpan w:val="2"/>
            <w:vMerge w:val="restart"/>
            <w:shd w:val="clear" w:color="auto" w:fill="auto"/>
            <w:vAlign w:val="center"/>
          </w:tcPr>
          <w:p w14:paraId="2A4FA343" w14:textId="77777777" w:rsidR="00440295" w:rsidRPr="00F63AD8" w:rsidRDefault="00440295" w:rsidP="00034511">
            <w:pPr>
              <w:rPr>
                <w:rFonts w:ascii="Tahoma" w:hAnsi="Tahoma" w:cs="Tahoma"/>
                <w:sz w:val="18"/>
                <w:szCs w:val="18"/>
              </w:rPr>
            </w:pPr>
            <w:r w:rsidRPr="00F63AD8">
              <w:rPr>
                <w:rFonts w:ascii="Tahoma" w:hAnsi="Tahoma" w:cs="Tahoma"/>
                <w:sz w:val="18"/>
                <w:szCs w:val="18"/>
              </w:rPr>
              <w:t>В ТСП</w:t>
            </w:r>
            <w:r w:rsidRPr="00F63AD8">
              <w:rPr>
                <w:rFonts w:ascii="Tahoma" w:hAnsi="Tahoma" w:cs="Tahoma"/>
                <w:sz w:val="18"/>
                <w:szCs w:val="18"/>
                <w:vertAlign w:val="superscript"/>
              </w:rPr>
              <w:t>4</w:t>
            </w:r>
            <w:r w:rsidRPr="00F63AD8">
              <w:rPr>
                <w:rFonts w:ascii="Tahoma" w:hAnsi="Tahoma" w:cs="Tahoma"/>
                <w:sz w:val="18"/>
                <w:szCs w:val="18"/>
              </w:rPr>
              <w:t>, предоставляющих услугу выдачи наличных денежных средств при совершении покупки на территории РФ, от суммы операции</w:t>
            </w:r>
          </w:p>
        </w:tc>
        <w:tc>
          <w:tcPr>
            <w:tcW w:w="1863" w:type="pct"/>
            <w:gridSpan w:val="3"/>
            <w:shd w:val="clear" w:color="auto" w:fill="auto"/>
            <w:vAlign w:val="center"/>
          </w:tcPr>
          <w:p w14:paraId="4C370D8B" w14:textId="77777777" w:rsidR="00440295" w:rsidRPr="00F63AD8" w:rsidRDefault="00440295" w:rsidP="00034511">
            <w:pPr>
              <w:rPr>
                <w:rFonts w:ascii="Tahoma" w:hAnsi="Tahoma" w:cs="Tahoma"/>
                <w:sz w:val="18"/>
                <w:szCs w:val="18"/>
              </w:rPr>
            </w:pPr>
            <w:r w:rsidRPr="00F63AD8">
              <w:rPr>
                <w:rFonts w:ascii="Tahoma" w:hAnsi="Tahoma" w:cs="Tahoma"/>
                <w:sz w:val="18"/>
                <w:szCs w:val="18"/>
              </w:rPr>
              <w:t>за счет</w:t>
            </w:r>
            <w:r w:rsidRPr="00F63AD8">
              <w:rPr>
                <w:rFonts w:ascii="Tahoma" w:hAnsi="Tahoma" w:cs="Tahoma"/>
                <w:b/>
                <w:bCs/>
                <w:sz w:val="18"/>
                <w:szCs w:val="18"/>
              </w:rPr>
              <w:t xml:space="preserve"> </w:t>
            </w:r>
            <w:r w:rsidRPr="00F63AD8">
              <w:rPr>
                <w:rFonts w:ascii="Tahoma" w:hAnsi="Tahoma" w:cs="Tahoma"/>
                <w:sz w:val="18"/>
                <w:szCs w:val="18"/>
              </w:rPr>
              <w:t>установленного Лимита кредитования</w:t>
            </w:r>
          </w:p>
        </w:tc>
        <w:tc>
          <w:tcPr>
            <w:tcW w:w="1786" w:type="pct"/>
            <w:vMerge w:val="restart"/>
            <w:shd w:val="clear" w:color="auto" w:fill="auto"/>
            <w:noWrap/>
            <w:vAlign w:val="center"/>
          </w:tcPr>
          <w:p w14:paraId="770F5CEB"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БЕСПЛАТНО</w:t>
            </w:r>
          </w:p>
        </w:tc>
      </w:tr>
      <w:tr w:rsidR="00440295" w:rsidRPr="00F63AD8" w14:paraId="3A54818C" w14:textId="77777777" w:rsidTr="00034511">
        <w:tblPrEx>
          <w:tblLook w:val="04A0" w:firstRow="1" w:lastRow="0" w:firstColumn="1" w:lastColumn="0" w:noHBand="0" w:noVBand="1"/>
        </w:tblPrEx>
        <w:trPr>
          <w:gridAfter w:val="1"/>
          <w:wAfter w:w="103" w:type="pct"/>
          <w:trHeight w:val="652"/>
          <w:tblHeader/>
        </w:trPr>
        <w:tc>
          <w:tcPr>
            <w:tcW w:w="324" w:type="pct"/>
            <w:gridSpan w:val="2"/>
            <w:vMerge/>
            <w:shd w:val="clear" w:color="auto" w:fill="BFBFBF" w:themeFill="background1" w:themeFillShade="BF"/>
            <w:noWrap/>
            <w:vAlign w:val="center"/>
          </w:tcPr>
          <w:p w14:paraId="1725AEAC" w14:textId="77777777" w:rsidR="00440295" w:rsidRPr="00F63AD8" w:rsidRDefault="00440295" w:rsidP="00034511">
            <w:pPr>
              <w:jc w:val="center"/>
              <w:rPr>
                <w:rFonts w:ascii="Tahoma" w:hAnsi="Tahoma" w:cs="Tahoma"/>
                <w:sz w:val="18"/>
                <w:szCs w:val="18"/>
              </w:rPr>
            </w:pPr>
          </w:p>
        </w:tc>
        <w:tc>
          <w:tcPr>
            <w:tcW w:w="923" w:type="pct"/>
            <w:gridSpan w:val="2"/>
            <w:vMerge/>
            <w:shd w:val="clear" w:color="auto" w:fill="BFBFBF" w:themeFill="background1" w:themeFillShade="BF"/>
            <w:vAlign w:val="center"/>
          </w:tcPr>
          <w:p w14:paraId="1BAAC3F8" w14:textId="77777777" w:rsidR="00440295" w:rsidRPr="00F63AD8" w:rsidRDefault="00440295" w:rsidP="00034511">
            <w:pPr>
              <w:rPr>
                <w:rFonts w:ascii="Tahoma" w:hAnsi="Tahoma" w:cs="Tahoma"/>
                <w:sz w:val="18"/>
                <w:szCs w:val="18"/>
              </w:rPr>
            </w:pPr>
          </w:p>
        </w:tc>
        <w:tc>
          <w:tcPr>
            <w:tcW w:w="1863" w:type="pct"/>
            <w:gridSpan w:val="3"/>
            <w:shd w:val="clear" w:color="auto" w:fill="auto"/>
            <w:vAlign w:val="center"/>
          </w:tcPr>
          <w:p w14:paraId="012CBF83" w14:textId="77777777" w:rsidR="00440295" w:rsidRPr="00F63AD8" w:rsidRDefault="00440295" w:rsidP="00034511">
            <w:pPr>
              <w:rPr>
                <w:rFonts w:ascii="Tahoma" w:hAnsi="Tahoma" w:cs="Tahoma"/>
                <w:sz w:val="18"/>
                <w:szCs w:val="18"/>
              </w:rPr>
            </w:pPr>
            <w:r w:rsidRPr="00F63AD8">
              <w:rPr>
                <w:rFonts w:ascii="Tahoma" w:hAnsi="Tahoma" w:cs="Tahoma"/>
                <w:sz w:val="18"/>
                <w:szCs w:val="18"/>
              </w:rPr>
              <w:t>При положительном балансе на Счете Карты (наличии средств, находящихся на Счете Карты сверх установленного Лимита кредитования)</w:t>
            </w:r>
          </w:p>
        </w:tc>
        <w:tc>
          <w:tcPr>
            <w:tcW w:w="1786" w:type="pct"/>
            <w:vMerge/>
            <w:shd w:val="clear" w:color="auto" w:fill="BFBFBF" w:themeFill="background1" w:themeFillShade="BF"/>
            <w:noWrap/>
            <w:vAlign w:val="center"/>
          </w:tcPr>
          <w:p w14:paraId="2CBBC3D5" w14:textId="77777777" w:rsidR="00440295" w:rsidRPr="00F63AD8" w:rsidRDefault="00440295" w:rsidP="00034511">
            <w:pPr>
              <w:jc w:val="center"/>
              <w:rPr>
                <w:rFonts w:ascii="Tahoma" w:hAnsi="Tahoma" w:cs="Tahoma"/>
                <w:b/>
                <w:bCs/>
                <w:sz w:val="18"/>
                <w:szCs w:val="18"/>
              </w:rPr>
            </w:pPr>
          </w:p>
        </w:tc>
      </w:tr>
      <w:tr w:rsidR="00440295" w:rsidRPr="00F63AD8" w14:paraId="7F1F8EC9" w14:textId="77777777" w:rsidTr="00034511">
        <w:tblPrEx>
          <w:tblLook w:val="04A0" w:firstRow="1" w:lastRow="0" w:firstColumn="1" w:lastColumn="0" w:noHBand="0" w:noVBand="1"/>
        </w:tblPrEx>
        <w:trPr>
          <w:gridAfter w:val="1"/>
          <w:wAfter w:w="103" w:type="pct"/>
          <w:trHeight w:val="355"/>
          <w:tblHeader/>
        </w:trPr>
        <w:tc>
          <w:tcPr>
            <w:tcW w:w="324" w:type="pct"/>
            <w:gridSpan w:val="2"/>
            <w:shd w:val="clear" w:color="auto" w:fill="BFBFBF" w:themeFill="background1" w:themeFillShade="BF"/>
            <w:noWrap/>
            <w:vAlign w:val="center"/>
          </w:tcPr>
          <w:p w14:paraId="56FA9B8E" w14:textId="77777777" w:rsidR="00440295" w:rsidRPr="00F63AD8" w:rsidRDefault="00440295" w:rsidP="00034511">
            <w:pPr>
              <w:jc w:val="center"/>
              <w:rPr>
                <w:rFonts w:ascii="Tahoma" w:hAnsi="Tahoma" w:cs="Tahoma"/>
                <w:sz w:val="18"/>
                <w:szCs w:val="18"/>
              </w:rPr>
            </w:pPr>
            <w:r w:rsidRPr="00F63AD8">
              <w:rPr>
                <w:rFonts w:ascii="Tahoma" w:hAnsi="Tahoma" w:cs="Tahoma"/>
                <w:b/>
                <w:bCs/>
                <w:sz w:val="18"/>
                <w:szCs w:val="18"/>
              </w:rPr>
              <w:t>7.4.</w:t>
            </w:r>
          </w:p>
        </w:tc>
        <w:tc>
          <w:tcPr>
            <w:tcW w:w="4573" w:type="pct"/>
            <w:gridSpan w:val="6"/>
            <w:shd w:val="clear" w:color="auto" w:fill="BFBFBF" w:themeFill="background1" w:themeFillShade="BF"/>
            <w:vAlign w:val="center"/>
          </w:tcPr>
          <w:p w14:paraId="672E87E0"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 xml:space="preserve">Комиссия за взнос наличных денежных средств </w:t>
            </w:r>
          </w:p>
        </w:tc>
      </w:tr>
      <w:tr w:rsidR="00440295" w:rsidRPr="00F63AD8" w14:paraId="30966D67" w14:textId="77777777" w:rsidTr="00034511">
        <w:tblPrEx>
          <w:tblLook w:val="04A0" w:firstRow="1" w:lastRow="0" w:firstColumn="1" w:lastColumn="0" w:noHBand="0" w:noVBand="1"/>
        </w:tblPrEx>
        <w:trPr>
          <w:gridAfter w:val="1"/>
          <w:wAfter w:w="103" w:type="pct"/>
          <w:trHeight w:val="515"/>
          <w:tblHeader/>
        </w:trPr>
        <w:tc>
          <w:tcPr>
            <w:tcW w:w="324" w:type="pct"/>
            <w:gridSpan w:val="2"/>
            <w:shd w:val="clear" w:color="auto" w:fill="auto"/>
            <w:noWrap/>
            <w:vAlign w:val="center"/>
            <w:hideMark/>
          </w:tcPr>
          <w:p w14:paraId="78B5C33B"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7.4.1.</w:t>
            </w:r>
          </w:p>
        </w:tc>
        <w:tc>
          <w:tcPr>
            <w:tcW w:w="2786" w:type="pct"/>
            <w:gridSpan w:val="5"/>
            <w:shd w:val="clear" w:color="auto" w:fill="auto"/>
            <w:vAlign w:val="center"/>
            <w:hideMark/>
          </w:tcPr>
          <w:p w14:paraId="700FA558" w14:textId="77777777" w:rsidR="00440295" w:rsidRPr="00F63AD8" w:rsidRDefault="00440295" w:rsidP="00034511">
            <w:pPr>
              <w:rPr>
                <w:rFonts w:ascii="Tahoma" w:hAnsi="Tahoma" w:cs="Tahoma"/>
                <w:sz w:val="18"/>
                <w:szCs w:val="18"/>
              </w:rPr>
            </w:pPr>
            <w:r w:rsidRPr="00F63AD8">
              <w:rPr>
                <w:rFonts w:ascii="Tahoma" w:hAnsi="Tahoma" w:cs="Tahoma"/>
                <w:sz w:val="18"/>
                <w:szCs w:val="18"/>
              </w:rPr>
              <w:t>взнос наличных в банкомате Банка и через розничные сети партнеров Банка, от суммы операции</w:t>
            </w:r>
          </w:p>
        </w:tc>
        <w:tc>
          <w:tcPr>
            <w:tcW w:w="1786" w:type="pct"/>
            <w:shd w:val="clear" w:color="auto" w:fill="auto"/>
            <w:vAlign w:val="center"/>
            <w:hideMark/>
          </w:tcPr>
          <w:p w14:paraId="23470500" w14:textId="77777777" w:rsidR="00440295" w:rsidRPr="00F63AD8" w:rsidRDefault="00440295" w:rsidP="00034511">
            <w:pPr>
              <w:jc w:val="center"/>
              <w:rPr>
                <w:rFonts w:ascii="Tahoma" w:hAnsi="Tahoma" w:cs="Tahoma"/>
                <w:sz w:val="18"/>
                <w:szCs w:val="18"/>
              </w:rPr>
            </w:pPr>
            <w:r w:rsidRPr="00F63AD8">
              <w:rPr>
                <w:rFonts w:ascii="Tahoma" w:hAnsi="Tahoma" w:cs="Tahoma"/>
                <w:b/>
                <w:bCs/>
                <w:sz w:val="18"/>
                <w:szCs w:val="18"/>
              </w:rPr>
              <w:t xml:space="preserve">БЕСПЛАТНО </w:t>
            </w:r>
          </w:p>
          <w:p w14:paraId="7697975B"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(возможно взимание комиссии за пополнение в розничной сети партнеров Банка)</w:t>
            </w:r>
          </w:p>
        </w:tc>
      </w:tr>
      <w:tr w:rsidR="00440295" w:rsidRPr="00F63AD8" w14:paraId="3D19AEC7" w14:textId="77777777" w:rsidTr="00034511">
        <w:tblPrEx>
          <w:tblLook w:val="04A0" w:firstRow="1" w:lastRow="0" w:firstColumn="1" w:lastColumn="0" w:noHBand="0" w:noVBand="1"/>
        </w:tblPrEx>
        <w:trPr>
          <w:gridAfter w:val="1"/>
          <w:wAfter w:w="103" w:type="pct"/>
          <w:trHeight w:val="268"/>
          <w:tblHeader/>
        </w:trPr>
        <w:tc>
          <w:tcPr>
            <w:tcW w:w="324" w:type="pct"/>
            <w:gridSpan w:val="2"/>
            <w:shd w:val="clear" w:color="auto" w:fill="auto"/>
            <w:noWrap/>
            <w:vAlign w:val="center"/>
            <w:hideMark/>
          </w:tcPr>
          <w:p w14:paraId="15EFDF43"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7.4.2.</w:t>
            </w:r>
          </w:p>
        </w:tc>
        <w:tc>
          <w:tcPr>
            <w:tcW w:w="2786" w:type="pct"/>
            <w:gridSpan w:val="5"/>
            <w:shd w:val="clear" w:color="auto" w:fill="auto"/>
            <w:vAlign w:val="center"/>
            <w:hideMark/>
          </w:tcPr>
          <w:p w14:paraId="2E54D4D3" w14:textId="77777777" w:rsidR="00440295" w:rsidRPr="00F63AD8" w:rsidRDefault="00440295" w:rsidP="00034511">
            <w:pPr>
              <w:rPr>
                <w:rFonts w:ascii="Tahoma" w:hAnsi="Tahoma" w:cs="Tahoma"/>
                <w:sz w:val="18"/>
                <w:szCs w:val="18"/>
              </w:rPr>
            </w:pPr>
            <w:r w:rsidRPr="00F63AD8">
              <w:rPr>
                <w:rFonts w:ascii="Tahoma" w:hAnsi="Tahoma" w:cs="Tahoma"/>
                <w:sz w:val="18"/>
                <w:szCs w:val="18"/>
              </w:rPr>
              <w:t>внесение денежных средств на ТБС/СКС через терминалы самообслуживания Банка</w:t>
            </w:r>
          </w:p>
        </w:tc>
        <w:tc>
          <w:tcPr>
            <w:tcW w:w="1786" w:type="pct"/>
            <w:shd w:val="clear" w:color="auto" w:fill="auto"/>
            <w:vAlign w:val="center"/>
            <w:hideMark/>
          </w:tcPr>
          <w:p w14:paraId="07756112"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БЕСПЛАТНО</w:t>
            </w:r>
          </w:p>
        </w:tc>
      </w:tr>
      <w:tr w:rsidR="00440295" w:rsidRPr="00F63AD8" w14:paraId="2121BA84" w14:textId="77777777" w:rsidTr="00034511">
        <w:tblPrEx>
          <w:tblLook w:val="04A0" w:firstRow="1" w:lastRow="0" w:firstColumn="1" w:lastColumn="0" w:noHBand="0" w:noVBand="1"/>
        </w:tblPrEx>
        <w:trPr>
          <w:gridAfter w:val="1"/>
          <w:wAfter w:w="103" w:type="pct"/>
          <w:trHeight w:val="151"/>
          <w:tblHeader/>
        </w:trPr>
        <w:tc>
          <w:tcPr>
            <w:tcW w:w="324" w:type="pct"/>
            <w:gridSpan w:val="2"/>
            <w:shd w:val="clear" w:color="auto" w:fill="BFBFBF" w:themeFill="background1" w:themeFillShade="BF"/>
            <w:noWrap/>
            <w:vAlign w:val="center"/>
          </w:tcPr>
          <w:p w14:paraId="1D52EDD3" w14:textId="77777777" w:rsidR="00440295" w:rsidRPr="00F63AD8" w:rsidRDefault="00440295" w:rsidP="00034511">
            <w:pPr>
              <w:jc w:val="center"/>
              <w:rPr>
                <w:rFonts w:ascii="Tahoma" w:hAnsi="Tahoma" w:cs="Tahoma"/>
                <w:b/>
                <w:sz w:val="18"/>
                <w:szCs w:val="18"/>
              </w:rPr>
            </w:pPr>
            <w:r w:rsidRPr="00F63AD8">
              <w:rPr>
                <w:rFonts w:ascii="Tahoma" w:hAnsi="Tahoma" w:cs="Tahoma"/>
                <w:b/>
                <w:sz w:val="18"/>
                <w:szCs w:val="18"/>
              </w:rPr>
              <w:t>7.5.</w:t>
            </w:r>
          </w:p>
        </w:tc>
        <w:tc>
          <w:tcPr>
            <w:tcW w:w="4573" w:type="pct"/>
            <w:gridSpan w:val="6"/>
            <w:shd w:val="clear" w:color="auto" w:fill="BFBFBF" w:themeFill="background1" w:themeFillShade="BF"/>
            <w:vAlign w:val="center"/>
          </w:tcPr>
          <w:p w14:paraId="117A6FDA"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Комиссия за перевод денежных средств</w:t>
            </w:r>
            <w:r w:rsidRPr="00F63AD8">
              <w:rPr>
                <w:rFonts w:ascii="Tahoma" w:hAnsi="Tahoma" w:cs="Tahoma"/>
                <w:b/>
                <w:bCs/>
                <w:sz w:val="18"/>
                <w:szCs w:val="18"/>
                <w:vertAlign w:val="superscript"/>
              </w:rPr>
              <w:t>6;23</w:t>
            </w:r>
          </w:p>
        </w:tc>
      </w:tr>
      <w:tr w:rsidR="00440295" w:rsidRPr="00F63AD8" w14:paraId="161857F1" w14:textId="77777777" w:rsidTr="00034511">
        <w:tblPrEx>
          <w:tblLook w:val="04A0" w:firstRow="1" w:lastRow="0" w:firstColumn="1" w:lastColumn="0" w:noHBand="0" w:noVBand="1"/>
        </w:tblPrEx>
        <w:trPr>
          <w:gridAfter w:val="1"/>
          <w:wAfter w:w="103" w:type="pct"/>
          <w:trHeight w:val="377"/>
          <w:tblHeader/>
        </w:trPr>
        <w:tc>
          <w:tcPr>
            <w:tcW w:w="324" w:type="pct"/>
            <w:gridSpan w:val="2"/>
            <w:vMerge w:val="restart"/>
            <w:shd w:val="clear" w:color="auto" w:fill="D9D9D9" w:themeFill="background1" w:themeFillShade="D9"/>
            <w:noWrap/>
            <w:vAlign w:val="center"/>
          </w:tcPr>
          <w:p w14:paraId="25FD15E6"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7.5.1.</w:t>
            </w:r>
          </w:p>
        </w:tc>
        <w:tc>
          <w:tcPr>
            <w:tcW w:w="1478" w:type="pct"/>
            <w:gridSpan w:val="3"/>
            <w:vMerge w:val="restart"/>
            <w:shd w:val="clear" w:color="auto" w:fill="auto"/>
            <w:vAlign w:val="center"/>
          </w:tcPr>
          <w:p w14:paraId="793DD804" w14:textId="77777777" w:rsidR="00440295" w:rsidRPr="00F63AD8" w:rsidRDefault="00440295" w:rsidP="00034511">
            <w:pPr>
              <w:rPr>
                <w:rFonts w:ascii="Tahoma" w:hAnsi="Tahoma" w:cs="Tahoma"/>
                <w:sz w:val="18"/>
                <w:szCs w:val="18"/>
              </w:rPr>
            </w:pPr>
            <w:r w:rsidRPr="00F63AD8">
              <w:rPr>
                <w:rFonts w:ascii="Tahoma" w:hAnsi="Tahoma" w:cs="Tahoma"/>
                <w:sz w:val="18"/>
                <w:szCs w:val="18"/>
              </w:rPr>
              <w:t xml:space="preserve">перевод со Счета Карты Клиента, эмитированной Банком, на счета, открытые в Банке/других банках, без использования Карты (только в отделении Банка). Комиссия взимается только от суммы кредитных денежных средств (Лимита кредитования), переводимых Клиентом. </w:t>
            </w:r>
          </w:p>
        </w:tc>
        <w:tc>
          <w:tcPr>
            <w:tcW w:w="1308" w:type="pct"/>
            <w:gridSpan w:val="2"/>
            <w:shd w:val="clear" w:color="auto" w:fill="auto"/>
            <w:vAlign w:val="center"/>
          </w:tcPr>
          <w:p w14:paraId="54950BE3" w14:textId="77777777" w:rsidR="00440295" w:rsidRPr="00F63AD8" w:rsidRDefault="00440295" w:rsidP="00034511">
            <w:pPr>
              <w:rPr>
                <w:rFonts w:ascii="Tahoma" w:hAnsi="Tahoma" w:cs="Tahoma"/>
                <w:b/>
                <w:sz w:val="18"/>
                <w:szCs w:val="18"/>
              </w:rPr>
            </w:pPr>
            <w:r w:rsidRPr="00F63AD8">
              <w:rPr>
                <w:rFonts w:ascii="Tahoma" w:hAnsi="Tahoma" w:cs="Tahoma"/>
                <w:sz w:val="18"/>
                <w:szCs w:val="18"/>
              </w:rPr>
              <w:t>За счет установленного Лимита кредитования</w:t>
            </w:r>
          </w:p>
        </w:tc>
        <w:tc>
          <w:tcPr>
            <w:tcW w:w="1786" w:type="pct"/>
            <w:shd w:val="clear" w:color="auto" w:fill="auto"/>
            <w:vAlign w:val="center"/>
          </w:tcPr>
          <w:p w14:paraId="74F5D5CF" w14:textId="77777777" w:rsidR="00440295" w:rsidRPr="00F63AD8" w:rsidRDefault="00440295" w:rsidP="00034511">
            <w:pPr>
              <w:jc w:val="center"/>
              <w:rPr>
                <w:rFonts w:ascii="Tahoma" w:hAnsi="Tahoma" w:cs="Tahoma"/>
                <w:bCs/>
                <w:sz w:val="18"/>
                <w:szCs w:val="18"/>
              </w:rPr>
            </w:pPr>
            <w:r w:rsidRPr="00F63AD8">
              <w:rPr>
                <w:rFonts w:ascii="Tahoma" w:hAnsi="Tahoma" w:cs="Tahoma"/>
                <w:bCs/>
                <w:sz w:val="18"/>
                <w:szCs w:val="18"/>
              </w:rPr>
              <w:t>5,9% от суммы кредитных денежных средств (Лимита кредитования), переводимых Клиентом +590 рублей</w:t>
            </w:r>
          </w:p>
        </w:tc>
      </w:tr>
      <w:tr w:rsidR="00440295" w:rsidRPr="00F63AD8" w14:paraId="76548419" w14:textId="77777777" w:rsidTr="00034511">
        <w:tblPrEx>
          <w:tblLook w:val="04A0" w:firstRow="1" w:lastRow="0" w:firstColumn="1" w:lastColumn="0" w:noHBand="0" w:noVBand="1"/>
        </w:tblPrEx>
        <w:trPr>
          <w:gridAfter w:val="1"/>
          <w:wAfter w:w="103" w:type="pct"/>
          <w:trHeight w:hRule="exact" w:val="937"/>
          <w:tblHeader/>
        </w:trPr>
        <w:tc>
          <w:tcPr>
            <w:tcW w:w="324" w:type="pct"/>
            <w:gridSpan w:val="2"/>
            <w:vMerge/>
            <w:tcBorders>
              <w:bottom w:val="single" w:sz="4" w:space="0" w:color="auto"/>
            </w:tcBorders>
            <w:shd w:val="clear" w:color="auto" w:fill="D9D9D9" w:themeFill="background1" w:themeFillShade="D9"/>
            <w:noWrap/>
            <w:vAlign w:val="center"/>
          </w:tcPr>
          <w:p w14:paraId="3EF28833" w14:textId="77777777" w:rsidR="00440295" w:rsidRPr="00F63AD8" w:rsidRDefault="00440295" w:rsidP="00034511">
            <w:pPr>
              <w:jc w:val="center"/>
              <w:rPr>
                <w:rFonts w:ascii="Tahoma" w:hAnsi="Tahoma" w:cs="Tahoma"/>
                <w:sz w:val="18"/>
                <w:szCs w:val="18"/>
              </w:rPr>
            </w:pPr>
          </w:p>
        </w:tc>
        <w:tc>
          <w:tcPr>
            <w:tcW w:w="1478" w:type="pct"/>
            <w:gridSpan w:val="3"/>
            <w:vMerge/>
            <w:tcBorders>
              <w:bottom w:val="single" w:sz="4" w:space="0" w:color="auto"/>
            </w:tcBorders>
            <w:shd w:val="clear" w:color="auto" w:fill="auto"/>
            <w:vAlign w:val="center"/>
          </w:tcPr>
          <w:p w14:paraId="795FE996" w14:textId="77777777" w:rsidR="00440295" w:rsidRPr="00F63AD8" w:rsidRDefault="00440295" w:rsidP="00034511">
            <w:pPr>
              <w:rPr>
                <w:rFonts w:ascii="Tahoma" w:hAnsi="Tahoma" w:cs="Tahoma"/>
                <w:sz w:val="18"/>
                <w:szCs w:val="18"/>
              </w:rPr>
            </w:pPr>
          </w:p>
        </w:tc>
        <w:tc>
          <w:tcPr>
            <w:tcW w:w="1308" w:type="pct"/>
            <w:gridSpan w:val="2"/>
            <w:tcBorders>
              <w:bottom w:val="single" w:sz="4" w:space="0" w:color="auto"/>
            </w:tcBorders>
            <w:shd w:val="clear" w:color="auto" w:fill="auto"/>
            <w:vAlign w:val="center"/>
          </w:tcPr>
          <w:p w14:paraId="6F911042" w14:textId="77777777" w:rsidR="00440295" w:rsidRPr="00F63AD8" w:rsidRDefault="00440295" w:rsidP="00034511">
            <w:pPr>
              <w:rPr>
                <w:rFonts w:ascii="Tahoma" w:hAnsi="Tahoma" w:cs="Tahoma"/>
                <w:sz w:val="18"/>
                <w:szCs w:val="18"/>
              </w:rPr>
            </w:pPr>
            <w:r w:rsidRPr="00F63AD8">
              <w:rPr>
                <w:rFonts w:ascii="Tahoma" w:hAnsi="Tahoma" w:cs="Tahoma"/>
                <w:sz w:val="18"/>
                <w:szCs w:val="18"/>
              </w:rPr>
              <w:t>при положительном балансе на Счете Карты (наличии средств, находящихся на Счете Карты сверх установленного Лимита кредитования)</w:t>
            </w:r>
          </w:p>
        </w:tc>
        <w:tc>
          <w:tcPr>
            <w:tcW w:w="1786" w:type="pct"/>
            <w:tcBorders>
              <w:bottom w:val="single" w:sz="4" w:space="0" w:color="auto"/>
            </w:tcBorders>
            <w:shd w:val="clear" w:color="auto" w:fill="auto"/>
            <w:vAlign w:val="center"/>
          </w:tcPr>
          <w:p w14:paraId="2B299C0E"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БЕСПЛАТНО</w:t>
            </w:r>
          </w:p>
        </w:tc>
      </w:tr>
      <w:tr w:rsidR="00440295" w:rsidRPr="00F63AD8" w14:paraId="5B13806A" w14:textId="77777777" w:rsidTr="00034511">
        <w:tblPrEx>
          <w:tblLook w:val="04A0" w:firstRow="1" w:lastRow="0" w:firstColumn="1" w:lastColumn="0" w:noHBand="0" w:noVBand="1"/>
        </w:tblPrEx>
        <w:trPr>
          <w:gridAfter w:val="1"/>
          <w:wAfter w:w="103" w:type="pct"/>
          <w:trHeight w:val="960"/>
          <w:tblHeader/>
        </w:trPr>
        <w:tc>
          <w:tcPr>
            <w:tcW w:w="324" w:type="pct"/>
            <w:gridSpan w:val="2"/>
            <w:vMerge w:val="restart"/>
            <w:tcBorders>
              <w:top w:val="single" w:sz="4" w:space="0" w:color="auto"/>
              <w:left w:val="single" w:sz="4" w:space="0" w:color="auto"/>
              <w:right w:val="single" w:sz="4" w:space="0" w:color="auto"/>
            </w:tcBorders>
            <w:shd w:val="clear" w:color="auto" w:fill="D9D9D9" w:themeFill="background1" w:themeFillShade="D9"/>
            <w:noWrap/>
            <w:vAlign w:val="center"/>
          </w:tcPr>
          <w:p w14:paraId="235CAA12"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lang w:val="en-US"/>
              </w:rPr>
              <w:t>7</w:t>
            </w:r>
            <w:r w:rsidRPr="00F63AD8">
              <w:rPr>
                <w:rFonts w:ascii="Tahoma" w:hAnsi="Tahoma" w:cs="Tahoma"/>
                <w:sz w:val="18"/>
                <w:szCs w:val="18"/>
              </w:rPr>
              <w:t>.5.2.</w:t>
            </w:r>
          </w:p>
        </w:tc>
        <w:tc>
          <w:tcPr>
            <w:tcW w:w="693" w:type="pct"/>
            <w:vMerge w:val="restart"/>
            <w:tcBorders>
              <w:top w:val="single" w:sz="4" w:space="0" w:color="auto"/>
              <w:left w:val="single" w:sz="4" w:space="0" w:color="auto"/>
              <w:right w:val="single" w:sz="4" w:space="0" w:color="auto"/>
            </w:tcBorders>
            <w:shd w:val="clear" w:color="auto" w:fill="auto"/>
            <w:vAlign w:val="center"/>
          </w:tcPr>
          <w:p w14:paraId="34F53919" w14:textId="77777777" w:rsidR="00440295" w:rsidRPr="00F63AD8" w:rsidRDefault="00440295" w:rsidP="00034511">
            <w:pPr>
              <w:rPr>
                <w:rFonts w:ascii="Tahoma" w:hAnsi="Tahoma" w:cs="Tahoma"/>
                <w:sz w:val="18"/>
                <w:szCs w:val="18"/>
              </w:rPr>
            </w:pPr>
            <w:r w:rsidRPr="00F63AD8">
              <w:rPr>
                <w:rFonts w:ascii="Tahoma" w:hAnsi="Tahoma" w:cs="Tahoma"/>
                <w:sz w:val="18"/>
                <w:szCs w:val="18"/>
              </w:rPr>
              <w:t xml:space="preserve">Переводы денежных средств в пользу физических лиц с использованием сервиса быстрых платежей платежной системы Банка России системы быстрых платежей (по тексту - СБП) </w:t>
            </w:r>
            <w:r w:rsidRPr="00F63AD8">
              <w:rPr>
                <w:rFonts w:ascii="Tahoma" w:hAnsi="Tahoma" w:cs="Tahoma"/>
                <w:sz w:val="18"/>
                <w:szCs w:val="18"/>
                <w:vertAlign w:val="superscript"/>
              </w:rPr>
              <w:t>22</w:t>
            </w:r>
          </w:p>
          <w:p w14:paraId="3E9C55A4" w14:textId="77777777" w:rsidR="00440295" w:rsidRPr="00F63AD8" w:rsidRDefault="00440295" w:rsidP="00034511">
            <w:pPr>
              <w:rPr>
                <w:rFonts w:ascii="Tahoma" w:hAnsi="Tahoma" w:cs="Tahoma"/>
                <w:sz w:val="18"/>
                <w:szCs w:val="18"/>
              </w:rPr>
            </w:pPr>
          </w:p>
        </w:tc>
        <w:tc>
          <w:tcPr>
            <w:tcW w:w="785" w:type="pct"/>
            <w:gridSpan w:val="2"/>
            <w:vMerge w:val="restart"/>
            <w:tcBorders>
              <w:top w:val="single" w:sz="4" w:space="0" w:color="auto"/>
              <w:left w:val="single" w:sz="4" w:space="0" w:color="auto"/>
              <w:right w:val="single" w:sz="4" w:space="0" w:color="auto"/>
            </w:tcBorders>
            <w:shd w:val="clear" w:color="auto" w:fill="auto"/>
            <w:vAlign w:val="center"/>
          </w:tcPr>
          <w:p w14:paraId="0E8E3B17" w14:textId="77777777" w:rsidR="00440295" w:rsidRPr="00F63AD8" w:rsidRDefault="00440295" w:rsidP="00034511">
            <w:pPr>
              <w:rPr>
                <w:rFonts w:ascii="Tahoma" w:hAnsi="Tahoma" w:cs="Tahoma"/>
                <w:sz w:val="18"/>
                <w:szCs w:val="18"/>
              </w:rPr>
            </w:pPr>
            <w:r w:rsidRPr="00F63AD8">
              <w:rPr>
                <w:rFonts w:ascii="Tahoma" w:hAnsi="Tahoma" w:cs="Tahoma"/>
                <w:sz w:val="18"/>
                <w:szCs w:val="18"/>
              </w:rPr>
              <w:t>на счета/вклады иных клиентов, открытые в других кредитных организациях или  списании денежных средств со Счета Клиента в Банке   и увеличении остатка электронных денежных средств иных клиентов в другой кредитной организации</w:t>
            </w:r>
          </w:p>
        </w:tc>
        <w:tc>
          <w:tcPr>
            <w:tcW w:w="1308"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017D91EA" w14:textId="77777777" w:rsidR="00440295" w:rsidRPr="00F63AD8" w:rsidRDefault="00440295" w:rsidP="00034511">
            <w:pPr>
              <w:rPr>
                <w:rFonts w:ascii="Tahoma" w:hAnsi="Tahoma" w:cs="Tahoma"/>
                <w:sz w:val="18"/>
                <w:szCs w:val="18"/>
              </w:rPr>
            </w:pPr>
            <w:r w:rsidRPr="00F63AD8">
              <w:rPr>
                <w:rFonts w:ascii="Tahoma" w:hAnsi="Tahoma" w:cs="Tahoma"/>
                <w:sz w:val="18"/>
                <w:szCs w:val="18"/>
              </w:rPr>
              <w:t>при положительном балансе на Счете Карты (наличии средств, находящихся на Счете Карты сверх установленного Лимита кредитования)</w:t>
            </w:r>
          </w:p>
        </w:tc>
        <w:tc>
          <w:tcPr>
            <w:tcW w:w="1786" w:type="pct"/>
            <w:tcBorders>
              <w:top w:val="single" w:sz="4" w:space="0" w:color="auto"/>
              <w:left w:val="single" w:sz="4" w:space="0" w:color="auto"/>
              <w:bottom w:val="single" w:sz="4" w:space="0" w:color="auto"/>
              <w:right w:val="single" w:sz="4" w:space="0" w:color="auto"/>
            </w:tcBorders>
            <w:shd w:val="clear" w:color="auto" w:fill="auto"/>
            <w:vAlign w:val="center"/>
          </w:tcPr>
          <w:p w14:paraId="49536618" w14:textId="77777777" w:rsidR="00440295" w:rsidRPr="00F63AD8" w:rsidRDefault="00440295" w:rsidP="00034511">
            <w:pPr>
              <w:jc w:val="center"/>
              <w:rPr>
                <w:rFonts w:ascii="Tahoma" w:hAnsi="Tahoma" w:cs="Tahoma"/>
                <w:sz w:val="18"/>
                <w:szCs w:val="18"/>
              </w:rPr>
            </w:pPr>
            <w:r w:rsidRPr="00F63AD8">
              <w:rPr>
                <w:rFonts w:ascii="Tahoma" w:hAnsi="Tahoma" w:cs="Tahoma"/>
                <w:b/>
                <w:sz w:val="18"/>
                <w:szCs w:val="18"/>
              </w:rPr>
              <w:t>БЕСПЛАТНО</w:t>
            </w:r>
            <w:r w:rsidRPr="00F63AD8">
              <w:rPr>
                <w:rFonts w:ascii="Tahoma" w:hAnsi="Tahoma" w:cs="Tahoma"/>
                <w:sz w:val="18"/>
                <w:szCs w:val="18"/>
              </w:rPr>
              <w:t>: до 100 тыс.руб. (включительно) в течение календарного месяца</w:t>
            </w:r>
            <w:r w:rsidRPr="00F63AD8">
              <w:rPr>
                <w:rFonts w:ascii="Tahoma" w:hAnsi="Tahoma" w:cs="Tahoma"/>
                <w:sz w:val="18"/>
                <w:szCs w:val="18"/>
                <w:vertAlign w:val="superscript"/>
              </w:rPr>
              <w:t>20</w:t>
            </w:r>
            <w:r w:rsidRPr="00F63AD8">
              <w:rPr>
                <w:rFonts w:ascii="Tahoma" w:hAnsi="Tahoma" w:cs="Tahoma"/>
                <w:sz w:val="18"/>
                <w:szCs w:val="18"/>
              </w:rPr>
              <w:t>;</w:t>
            </w:r>
          </w:p>
          <w:p w14:paraId="1F808761"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свыше в календарный месяц: 0,5% от суммы операции (но не более 1 500</w:t>
            </w:r>
          </w:p>
          <w:p w14:paraId="20D65F52" w14:textId="77777777" w:rsidR="00440295" w:rsidRPr="00F63AD8" w:rsidRDefault="00440295" w:rsidP="00034511">
            <w:pPr>
              <w:jc w:val="center"/>
              <w:rPr>
                <w:rFonts w:ascii="Tahoma" w:hAnsi="Tahoma" w:cs="Tahoma"/>
                <w:bCs/>
                <w:sz w:val="18"/>
                <w:szCs w:val="18"/>
              </w:rPr>
            </w:pPr>
            <w:r w:rsidRPr="00F63AD8">
              <w:rPr>
                <w:rFonts w:ascii="Tahoma" w:hAnsi="Tahoma" w:cs="Tahoma"/>
                <w:sz w:val="18"/>
                <w:szCs w:val="18"/>
              </w:rPr>
              <w:t>рублей за один перевод)</w:t>
            </w:r>
            <w:r w:rsidRPr="00F63AD8">
              <w:rPr>
                <w:rFonts w:ascii="Tahoma" w:hAnsi="Tahoma" w:cs="Tahoma"/>
                <w:sz w:val="18"/>
                <w:szCs w:val="18"/>
                <w:vertAlign w:val="superscript"/>
              </w:rPr>
              <w:t xml:space="preserve"> 21</w:t>
            </w:r>
          </w:p>
        </w:tc>
      </w:tr>
      <w:tr w:rsidR="00440295" w:rsidRPr="00F63AD8" w14:paraId="2DE59AC9" w14:textId="77777777" w:rsidTr="00034511">
        <w:tblPrEx>
          <w:tblLook w:val="04A0" w:firstRow="1" w:lastRow="0" w:firstColumn="1" w:lastColumn="0" w:noHBand="0" w:noVBand="1"/>
        </w:tblPrEx>
        <w:trPr>
          <w:gridAfter w:val="1"/>
          <w:wAfter w:w="103" w:type="pct"/>
          <w:trHeight w:val="1104"/>
          <w:tblHeader/>
        </w:trPr>
        <w:tc>
          <w:tcPr>
            <w:tcW w:w="324" w:type="pct"/>
            <w:gridSpan w:val="2"/>
            <w:vMerge/>
            <w:tcBorders>
              <w:left w:val="single" w:sz="4" w:space="0" w:color="auto"/>
              <w:right w:val="single" w:sz="4" w:space="0" w:color="auto"/>
            </w:tcBorders>
            <w:shd w:val="clear" w:color="auto" w:fill="D9D9D9" w:themeFill="background1" w:themeFillShade="D9"/>
            <w:noWrap/>
            <w:vAlign w:val="center"/>
          </w:tcPr>
          <w:p w14:paraId="1632421F" w14:textId="77777777" w:rsidR="00440295" w:rsidRPr="00F63AD8" w:rsidRDefault="00440295" w:rsidP="00034511">
            <w:pPr>
              <w:jc w:val="center"/>
              <w:rPr>
                <w:rFonts w:ascii="Tahoma" w:hAnsi="Tahoma" w:cs="Tahoma"/>
                <w:sz w:val="18"/>
                <w:szCs w:val="18"/>
              </w:rPr>
            </w:pPr>
          </w:p>
        </w:tc>
        <w:tc>
          <w:tcPr>
            <w:tcW w:w="693" w:type="pct"/>
            <w:vMerge/>
            <w:tcBorders>
              <w:left w:val="single" w:sz="4" w:space="0" w:color="auto"/>
              <w:right w:val="single" w:sz="4" w:space="0" w:color="auto"/>
            </w:tcBorders>
            <w:shd w:val="clear" w:color="auto" w:fill="auto"/>
            <w:vAlign w:val="center"/>
          </w:tcPr>
          <w:p w14:paraId="211F4A0C" w14:textId="77777777" w:rsidR="00440295" w:rsidRPr="00F63AD8" w:rsidRDefault="00440295" w:rsidP="00034511">
            <w:pPr>
              <w:rPr>
                <w:rFonts w:ascii="Tahoma" w:hAnsi="Tahoma" w:cs="Tahoma"/>
                <w:sz w:val="18"/>
                <w:szCs w:val="18"/>
              </w:rPr>
            </w:pPr>
          </w:p>
        </w:tc>
        <w:tc>
          <w:tcPr>
            <w:tcW w:w="785" w:type="pct"/>
            <w:gridSpan w:val="2"/>
            <w:vMerge/>
            <w:tcBorders>
              <w:left w:val="single" w:sz="4" w:space="0" w:color="auto"/>
              <w:bottom w:val="single" w:sz="4" w:space="0" w:color="auto"/>
              <w:right w:val="single" w:sz="4" w:space="0" w:color="auto"/>
            </w:tcBorders>
            <w:shd w:val="clear" w:color="auto" w:fill="auto"/>
            <w:vAlign w:val="center"/>
          </w:tcPr>
          <w:p w14:paraId="48687D55" w14:textId="77777777" w:rsidR="00440295" w:rsidRPr="00F63AD8" w:rsidRDefault="00440295" w:rsidP="00034511">
            <w:pPr>
              <w:rPr>
                <w:rFonts w:ascii="Tahoma" w:hAnsi="Tahoma" w:cs="Tahoma"/>
                <w:sz w:val="18"/>
                <w:szCs w:val="18"/>
              </w:rPr>
            </w:pPr>
          </w:p>
        </w:tc>
        <w:tc>
          <w:tcPr>
            <w:tcW w:w="1308"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B9D10F3" w14:textId="77777777" w:rsidR="00440295" w:rsidRPr="00F63AD8" w:rsidRDefault="00440295" w:rsidP="00034511">
            <w:pPr>
              <w:rPr>
                <w:rFonts w:ascii="Tahoma" w:hAnsi="Tahoma" w:cs="Tahoma"/>
                <w:sz w:val="18"/>
                <w:szCs w:val="18"/>
              </w:rPr>
            </w:pPr>
            <w:r w:rsidRPr="00F63AD8">
              <w:rPr>
                <w:rFonts w:ascii="Tahoma" w:hAnsi="Tahoma" w:cs="Tahoma"/>
                <w:sz w:val="18"/>
                <w:szCs w:val="18"/>
              </w:rPr>
              <w:t>За счет установленного Лимита кредитования</w:t>
            </w:r>
          </w:p>
          <w:p w14:paraId="03A029C6" w14:textId="77777777" w:rsidR="00440295" w:rsidRPr="00F63AD8" w:rsidRDefault="00440295" w:rsidP="00034511">
            <w:pPr>
              <w:rPr>
                <w:rFonts w:ascii="Tahoma" w:hAnsi="Tahoma" w:cs="Tahoma"/>
                <w:sz w:val="18"/>
                <w:szCs w:val="18"/>
              </w:rPr>
            </w:pPr>
            <w:r w:rsidRPr="00F63AD8">
              <w:rPr>
                <w:rFonts w:ascii="Tahoma" w:hAnsi="Tahoma" w:cs="Tahoma"/>
                <w:sz w:val="18"/>
                <w:szCs w:val="18"/>
              </w:rPr>
              <w:t>(при отсутствии в переводе собственных средств Клиента)</w:t>
            </w:r>
          </w:p>
        </w:tc>
        <w:tc>
          <w:tcPr>
            <w:tcW w:w="1786" w:type="pct"/>
            <w:tcBorders>
              <w:top w:val="single" w:sz="4" w:space="0" w:color="auto"/>
              <w:left w:val="single" w:sz="4" w:space="0" w:color="auto"/>
              <w:bottom w:val="single" w:sz="4" w:space="0" w:color="auto"/>
              <w:right w:val="single" w:sz="4" w:space="0" w:color="auto"/>
            </w:tcBorders>
            <w:shd w:val="clear" w:color="auto" w:fill="auto"/>
            <w:vAlign w:val="center"/>
          </w:tcPr>
          <w:p w14:paraId="326F4F32" w14:textId="77777777" w:rsidR="00440295" w:rsidRPr="00F63AD8" w:rsidRDefault="00440295" w:rsidP="00034511">
            <w:pPr>
              <w:jc w:val="center"/>
              <w:rPr>
                <w:rFonts w:ascii="Tahoma" w:hAnsi="Tahoma" w:cs="Tahoma"/>
                <w:bCs/>
                <w:sz w:val="18"/>
                <w:szCs w:val="18"/>
              </w:rPr>
            </w:pPr>
            <w:r w:rsidRPr="00F63AD8">
              <w:rPr>
                <w:rFonts w:ascii="Tahoma" w:hAnsi="Tahoma" w:cs="Tahoma"/>
                <w:bCs/>
                <w:sz w:val="18"/>
                <w:szCs w:val="18"/>
              </w:rPr>
              <w:t>5,9% от суммы кредитных денежных средств (Лимита кредитования), переводимых Клиентом +590 рублей</w:t>
            </w:r>
          </w:p>
          <w:p w14:paraId="733E08D4" w14:textId="77777777" w:rsidR="00440295" w:rsidRPr="00F63AD8" w:rsidRDefault="00440295" w:rsidP="00034511">
            <w:pPr>
              <w:jc w:val="center"/>
              <w:rPr>
                <w:rFonts w:ascii="Tahoma" w:hAnsi="Tahoma" w:cs="Tahoma"/>
                <w:bCs/>
                <w:sz w:val="18"/>
                <w:szCs w:val="18"/>
              </w:rPr>
            </w:pPr>
            <w:r w:rsidRPr="00F63AD8">
              <w:rPr>
                <w:rFonts w:ascii="Tahoma" w:hAnsi="Tahoma" w:cs="Tahoma"/>
                <w:bCs/>
                <w:sz w:val="18"/>
                <w:szCs w:val="18"/>
              </w:rPr>
              <w:t>+</w:t>
            </w:r>
            <w:r w:rsidRPr="00F63AD8">
              <w:rPr>
                <w:rFonts w:ascii="Tahoma" w:hAnsi="Tahoma" w:cs="Tahoma"/>
                <w:sz w:val="18"/>
                <w:szCs w:val="18"/>
              </w:rPr>
              <w:t>0,5% от суммы операции (но не более 1 500 рублей за один перевод) при превышении лимита 100 000 руб.  (включительно) в течение календарного месяца</w:t>
            </w:r>
            <w:r w:rsidRPr="00F63AD8">
              <w:rPr>
                <w:rFonts w:ascii="Tahoma" w:hAnsi="Tahoma" w:cs="Tahoma"/>
                <w:sz w:val="18"/>
                <w:szCs w:val="18"/>
                <w:vertAlign w:val="superscript"/>
              </w:rPr>
              <w:t>21</w:t>
            </w:r>
            <w:r w:rsidRPr="00F63AD8">
              <w:rPr>
                <w:rFonts w:ascii="Tahoma" w:hAnsi="Tahoma" w:cs="Tahoma"/>
                <w:sz w:val="18"/>
                <w:szCs w:val="18"/>
              </w:rPr>
              <w:t>;</w:t>
            </w:r>
          </w:p>
        </w:tc>
      </w:tr>
      <w:tr w:rsidR="00440295" w:rsidRPr="00F63AD8" w14:paraId="6CAB9204" w14:textId="77777777" w:rsidTr="00034511">
        <w:tblPrEx>
          <w:tblLook w:val="04A0" w:firstRow="1" w:lastRow="0" w:firstColumn="1" w:lastColumn="0" w:noHBand="0" w:noVBand="1"/>
        </w:tblPrEx>
        <w:trPr>
          <w:gridAfter w:val="1"/>
          <w:wAfter w:w="103" w:type="pct"/>
          <w:trHeight w:val="70"/>
          <w:tblHeader/>
        </w:trPr>
        <w:tc>
          <w:tcPr>
            <w:tcW w:w="324" w:type="pct"/>
            <w:gridSpan w:val="2"/>
            <w:vMerge/>
            <w:tcBorders>
              <w:left w:val="single" w:sz="4" w:space="0" w:color="auto"/>
              <w:right w:val="single" w:sz="4" w:space="0" w:color="auto"/>
            </w:tcBorders>
            <w:shd w:val="clear" w:color="auto" w:fill="D9D9D9" w:themeFill="background1" w:themeFillShade="D9"/>
            <w:noWrap/>
            <w:vAlign w:val="center"/>
          </w:tcPr>
          <w:p w14:paraId="5C6FEEE7" w14:textId="77777777" w:rsidR="00440295" w:rsidRPr="00F63AD8" w:rsidRDefault="00440295" w:rsidP="00034511">
            <w:pPr>
              <w:jc w:val="center"/>
              <w:rPr>
                <w:rFonts w:ascii="Tahoma" w:hAnsi="Tahoma" w:cs="Tahoma"/>
                <w:sz w:val="18"/>
                <w:szCs w:val="18"/>
              </w:rPr>
            </w:pPr>
          </w:p>
        </w:tc>
        <w:tc>
          <w:tcPr>
            <w:tcW w:w="693" w:type="pct"/>
            <w:vMerge/>
            <w:tcBorders>
              <w:left w:val="single" w:sz="4" w:space="0" w:color="auto"/>
              <w:right w:val="single" w:sz="4" w:space="0" w:color="auto"/>
            </w:tcBorders>
            <w:shd w:val="clear" w:color="auto" w:fill="auto"/>
            <w:vAlign w:val="center"/>
          </w:tcPr>
          <w:p w14:paraId="4D2D049C" w14:textId="77777777" w:rsidR="00440295" w:rsidRPr="00F63AD8" w:rsidRDefault="00440295" w:rsidP="00034511">
            <w:pPr>
              <w:rPr>
                <w:rFonts w:ascii="Tahoma" w:hAnsi="Tahoma" w:cs="Tahoma"/>
                <w:sz w:val="18"/>
                <w:szCs w:val="18"/>
              </w:rPr>
            </w:pPr>
          </w:p>
        </w:tc>
        <w:tc>
          <w:tcPr>
            <w:tcW w:w="785" w:type="pct"/>
            <w:gridSpan w:val="2"/>
            <w:vMerge w:val="restart"/>
            <w:tcBorders>
              <w:top w:val="single" w:sz="4" w:space="0" w:color="auto"/>
              <w:left w:val="single" w:sz="4" w:space="0" w:color="auto"/>
              <w:right w:val="single" w:sz="4" w:space="0" w:color="auto"/>
            </w:tcBorders>
            <w:shd w:val="clear" w:color="auto" w:fill="auto"/>
            <w:vAlign w:val="center"/>
          </w:tcPr>
          <w:p w14:paraId="5316B5B4" w14:textId="77777777" w:rsidR="00440295" w:rsidRPr="00F63AD8" w:rsidRDefault="00440295" w:rsidP="00034511">
            <w:pPr>
              <w:rPr>
                <w:rFonts w:ascii="Tahoma" w:hAnsi="Tahoma" w:cs="Tahoma"/>
                <w:sz w:val="18"/>
                <w:szCs w:val="18"/>
              </w:rPr>
            </w:pPr>
            <w:r w:rsidRPr="00F63AD8">
              <w:rPr>
                <w:rFonts w:ascii="Tahoma" w:hAnsi="Tahoma" w:cs="Tahoma"/>
                <w:sz w:val="18"/>
                <w:szCs w:val="18"/>
              </w:rPr>
              <w:t xml:space="preserve">на счета/вклады, открытые в других кредитных организациях на имя самого Клиента или на специальный счет оператора финансовой платформы (далее-ОФП), бенефициаром по которому выступает сам Клиент </w:t>
            </w:r>
          </w:p>
        </w:tc>
        <w:tc>
          <w:tcPr>
            <w:tcW w:w="1308"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29459CD9" w14:textId="77777777" w:rsidR="00440295" w:rsidRPr="00F63AD8" w:rsidRDefault="00440295" w:rsidP="00034511">
            <w:pPr>
              <w:rPr>
                <w:rFonts w:ascii="Tahoma" w:hAnsi="Tahoma" w:cs="Tahoma"/>
                <w:sz w:val="18"/>
                <w:szCs w:val="18"/>
              </w:rPr>
            </w:pPr>
            <w:r w:rsidRPr="00F63AD8">
              <w:rPr>
                <w:rFonts w:ascii="Tahoma" w:hAnsi="Tahoma" w:cs="Tahoma"/>
                <w:sz w:val="18"/>
                <w:szCs w:val="18"/>
              </w:rPr>
              <w:t>при положительном балансе на Счете Карты (наличии средств, находящихся на Счете Карты сверх установленного Лимита кредитования)</w:t>
            </w:r>
          </w:p>
        </w:tc>
        <w:tc>
          <w:tcPr>
            <w:tcW w:w="1786" w:type="pct"/>
            <w:tcBorders>
              <w:top w:val="single" w:sz="4" w:space="0" w:color="auto"/>
              <w:left w:val="single" w:sz="4" w:space="0" w:color="auto"/>
              <w:bottom w:val="single" w:sz="4" w:space="0" w:color="auto"/>
              <w:right w:val="single" w:sz="4" w:space="0" w:color="auto"/>
            </w:tcBorders>
            <w:shd w:val="clear" w:color="auto" w:fill="auto"/>
            <w:vAlign w:val="center"/>
          </w:tcPr>
          <w:p w14:paraId="6E9EFE3B" w14:textId="77777777" w:rsidR="00440295" w:rsidRPr="00F63AD8" w:rsidRDefault="00440295" w:rsidP="00034511">
            <w:pPr>
              <w:jc w:val="center"/>
              <w:rPr>
                <w:rFonts w:ascii="Tahoma" w:hAnsi="Tahoma" w:cs="Tahoma"/>
                <w:sz w:val="18"/>
                <w:szCs w:val="18"/>
              </w:rPr>
            </w:pPr>
            <w:r w:rsidRPr="00F63AD8">
              <w:rPr>
                <w:rFonts w:ascii="Tahoma" w:hAnsi="Tahoma" w:cs="Tahoma"/>
                <w:b/>
                <w:sz w:val="18"/>
                <w:szCs w:val="18"/>
              </w:rPr>
              <w:t>БЕСПЛАТНО</w:t>
            </w:r>
            <w:r w:rsidRPr="00F63AD8">
              <w:rPr>
                <w:rFonts w:ascii="Tahoma" w:hAnsi="Tahoma" w:cs="Tahoma"/>
                <w:sz w:val="18"/>
                <w:szCs w:val="18"/>
              </w:rPr>
              <w:t>: в совокупности до 30 000 000 руб. включительно в течение календарного</w:t>
            </w:r>
          </w:p>
          <w:p w14:paraId="648C0F9F"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Месяца</w:t>
            </w:r>
            <w:r w:rsidRPr="00F63AD8">
              <w:rPr>
                <w:rFonts w:ascii="Tahoma" w:hAnsi="Tahoma" w:cs="Tahoma"/>
                <w:sz w:val="18"/>
                <w:szCs w:val="18"/>
                <w:vertAlign w:val="superscript"/>
              </w:rPr>
              <w:t>19</w:t>
            </w:r>
            <w:r w:rsidRPr="00F63AD8">
              <w:rPr>
                <w:rFonts w:ascii="Tahoma" w:hAnsi="Tahoma" w:cs="Tahoma"/>
                <w:sz w:val="18"/>
                <w:szCs w:val="18"/>
              </w:rPr>
              <w:t>;</w:t>
            </w:r>
          </w:p>
          <w:p w14:paraId="6C404011"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свыше в календарный месяц: 0,5% от суммы операции (но не более 1 500</w:t>
            </w:r>
          </w:p>
          <w:p w14:paraId="77E6CF4C" w14:textId="77777777" w:rsidR="00440295" w:rsidRPr="00F63AD8" w:rsidRDefault="00440295" w:rsidP="00034511">
            <w:pPr>
              <w:jc w:val="center"/>
              <w:rPr>
                <w:rFonts w:ascii="Tahoma" w:hAnsi="Tahoma" w:cs="Tahoma"/>
                <w:bCs/>
                <w:sz w:val="18"/>
                <w:szCs w:val="18"/>
              </w:rPr>
            </w:pPr>
            <w:r w:rsidRPr="00F63AD8">
              <w:rPr>
                <w:rFonts w:ascii="Tahoma" w:hAnsi="Tahoma" w:cs="Tahoma"/>
                <w:sz w:val="18"/>
                <w:szCs w:val="18"/>
              </w:rPr>
              <w:t>рублей за один перевод)</w:t>
            </w:r>
            <w:r w:rsidRPr="00F63AD8">
              <w:rPr>
                <w:rFonts w:ascii="Tahoma" w:hAnsi="Tahoma" w:cs="Tahoma"/>
                <w:sz w:val="18"/>
                <w:szCs w:val="18"/>
                <w:vertAlign w:val="superscript"/>
              </w:rPr>
              <w:t>19</w:t>
            </w:r>
            <w:r w:rsidRPr="00F63AD8">
              <w:rPr>
                <w:rFonts w:ascii="Tahoma" w:hAnsi="Tahoma" w:cs="Tahoma"/>
                <w:sz w:val="18"/>
                <w:szCs w:val="18"/>
              </w:rPr>
              <w:t>.</w:t>
            </w:r>
          </w:p>
        </w:tc>
      </w:tr>
      <w:tr w:rsidR="00440295" w:rsidRPr="00F63AD8" w14:paraId="72DBEC9B" w14:textId="77777777" w:rsidTr="00034511">
        <w:tblPrEx>
          <w:tblLook w:val="04A0" w:firstRow="1" w:lastRow="0" w:firstColumn="1" w:lastColumn="0" w:noHBand="0" w:noVBand="1"/>
        </w:tblPrEx>
        <w:trPr>
          <w:gridAfter w:val="1"/>
          <w:wAfter w:w="103" w:type="pct"/>
          <w:trHeight w:val="960"/>
          <w:tblHeader/>
        </w:trPr>
        <w:tc>
          <w:tcPr>
            <w:tcW w:w="324" w:type="pct"/>
            <w:gridSpan w:val="2"/>
            <w:vMerge/>
            <w:tcBorders>
              <w:left w:val="single" w:sz="4" w:space="0" w:color="auto"/>
              <w:right w:val="single" w:sz="4" w:space="0" w:color="auto"/>
            </w:tcBorders>
            <w:shd w:val="clear" w:color="auto" w:fill="D9D9D9" w:themeFill="background1" w:themeFillShade="D9"/>
            <w:noWrap/>
            <w:vAlign w:val="center"/>
          </w:tcPr>
          <w:p w14:paraId="0D0D8397" w14:textId="77777777" w:rsidR="00440295" w:rsidRPr="00F63AD8" w:rsidRDefault="00440295" w:rsidP="00034511">
            <w:pPr>
              <w:jc w:val="center"/>
              <w:rPr>
                <w:rFonts w:ascii="Tahoma" w:hAnsi="Tahoma" w:cs="Tahoma"/>
                <w:sz w:val="18"/>
                <w:szCs w:val="18"/>
              </w:rPr>
            </w:pPr>
          </w:p>
        </w:tc>
        <w:tc>
          <w:tcPr>
            <w:tcW w:w="693" w:type="pct"/>
            <w:vMerge/>
            <w:tcBorders>
              <w:left w:val="single" w:sz="4" w:space="0" w:color="auto"/>
              <w:right w:val="single" w:sz="4" w:space="0" w:color="auto"/>
            </w:tcBorders>
            <w:shd w:val="clear" w:color="auto" w:fill="auto"/>
            <w:vAlign w:val="center"/>
          </w:tcPr>
          <w:p w14:paraId="5A7DED21" w14:textId="77777777" w:rsidR="00440295" w:rsidRPr="00F63AD8" w:rsidRDefault="00440295" w:rsidP="00034511">
            <w:pPr>
              <w:rPr>
                <w:rFonts w:ascii="Tahoma" w:hAnsi="Tahoma" w:cs="Tahoma"/>
                <w:sz w:val="18"/>
                <w:szCs w:val="18"/>
              </w:rPr>
            </w:pPr>
          </w:p>
        </w:tc>
        <w:tc>
          <w:tcPr>
            <w:tcW w:w="785" w:type="pct"/>
            <w:gridSpan w:val="2"/>
            <w:vMerge/>
            <w:tcBorders>
              <w:left w:val="single" w:sz="4" w:space="0" w:color="auto"/>
              <w:bottom w:val="single" w:sz="4" w:space="0" w:color="auto"/>
              <w:right w:val="single" w:sz="4" w:space="0" w:color="auto"/>
            </w:tcBorders>
            <w:shd w:val="clear" w:color="auto" w:fill="auto"/>
            <w:vAlign w:val="center"/>
          </w:tcPr>
          <w:p w14:paraId="2BFEEA73" w14:textId="77777777" w:rsidR="00440295" w:rsidRPr="00F63AD8" w:rsidRDefault="00440295" w:rsidP="00034511">
            <w:pPr>
              <w:rPr>
                <w:rFonts w:ascii="Tahoma" w:hAnsi="Tahoma" w:cs="Tahoma"/>
                <w:sz w:val="18"/>
                <w:szCs w:val="18"/>
              </w:rPr>
            </w:pPr>
          </w:p>
        </w:tc>
        <w:tc>
          <w:tcPr>
            <w:tcW w:w="1308"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D7500FC" w14:textId="77777777" w:rsidR="00440295" w:rsidRPr="00F63AD8" w:rsidRDefault="00440295" w:rsidP="00034511">
            <w:pPr>
              <w:rPr>
                <w:rFonts w:ascii="Tahoma" w:hAnsi="Tahoma" w:cs="Tahoma"/>
                <w:sz w:val="18"/>
                <w:szCs w:val="18"/>
              </w:rPr>
            </w:pPr>
            <w:r w:rsidRPr="00F63AD8">
              <w:rPr>
                <w:rFonts w:ascii="Tahoma" w:hAnsi="Tahoma" w:cs="Tahoma"/>
                <w:sz w:val="18"/>
                <w:szCs w:val="18"/>
              </w:rPr>
              <w:t>За счет установленного Лимита кредитования</w:t>
            </w:r>
          </w:p>
          <w:p w14:paraId="3CB3C121" w14:textId="77777777" w:rsidR="00440295" w:rsidRPr="00F63AD8" w:rsidRDefault="00440295" w:rsidP="00034511">
            <w:pPr>
              <w:rPr>
                <w:rFonts w:ascii="Tahoma" w:hAnsi="Tahoma" w:cs="Tahoma"/>
                <w:sz w:val="18"/>
                <w:szCs w:val="18"/>
              </w:rPr>
            </w:pPr>
            <w:r w:rsidRPr="00F63AD8">
              <w:rPr>
                <w:rFonts w:ascii="Tahoma" w:hAnsi="Tahoma" w:cs="Tahoma"/>
                <w:sz w:val="18"/>
                <w:szCs w:val="18"/>
              </w:rPr>
              <w:t>(при отсутствии в переводе собственных средств Клиента)</w:t>
            </w:r>
          </w:p>
        </w:tc>
        <w:tc>
          <w:tcPr>
            <w:tcW w:w="1786" w:type="pct"/>
            <w:tcBorders>
              <w:top w:val="single" w:sz="4" w:space="0" w:color="auto"/>
              <w:left w:val="single" w:sz="4" w:space="0" w:color="auto"/>
              <w:bottom w:val="single" w:sz="4" w:space="0" w:color="auto"/>
              <w:right w:val="single" w:sz="4" w:space="0" w:color="auto"/>
            </w:tcBorders>
            <w:shd w:val="clear" w:color="auto" w:fill="auto"/>
            <w:vAlign w:val="center"/>
          </w:tcPr>
          <w:p w14:paraId="5704D2F2" w14:textId="77777777" w:rsidR="00440295" w:rsidRPr="00F63AD8" w:rsidRDefault="00440295" w:rsidP="00034511">
            <w:pPr>
              <w:jc w:val="center"/>
              <w:rPr>
                <w:rFonts w:ascii="Tahoma" w:hAnsi="Tahoma" w:cs="Tahoma"/>
                <w:bCs/>
                <w:sz w:val="18"/>
                <w:szCs w:val="18"/>
              </w:rPr>
            </w:pPr>
            <w:r w:rsidRPr="00F63AD8">
              <w:rPr>
                <w:rFonts w:ascii="Tahoma" w:hAnsi="Tahoma" w:cs="Tahoma"/>
                <w:bCs/>
                <w:sz w:val="18"/>
                <w:szCs w:val="18"/>
              </w:rPr>
              <w:t>5,9% от суммы кредитных денежных средств (Лимита кредитования), переводимых Клиентом +590 рублей</w:t>
            </w:r>
          </w:p>
          <w:p w14:paraId="6F1D8473" w14:textId="77777777" w:rsidR="00440295" w:rsidRPr="00F63AD8" w:rsidRDefault="00440295" w:rsidP="00034511">
            <w:pPr>
              <w:jc w:val="center"/>
              <w:rPr>
                <w:rFonts w:ascii="Tahoma" w:hAnsi="Tahoma" w:cs="Tahoma"/>
                <w:sz w:val="18"/>
                <w:szCs w:val="18"/>
              </w:rPr>
            </w:pPr>
            <w:r w:rsidRPr="00F63AD8">
              <w:rPr>
                <w:rFonts w:ascii="Tahoma" w:hAnsi="Tahoma" w:cs="Tahoma"/>
                <w:bCs/>
                <w:sz w:val="18"/>
                <w:szCs w:val="18"/>
              </w:rPr>
              <w:t>+</w:t>
            </w:r>
            <w:r w:rsidRPr="00F63AD8">
              <w:rPr>
                <w:rFonts w:ascii="Tahoma" w:hAnsi="Tahoma" w:cs="Tahoma"/>
                <w:sz w:val="18"/>
                <w:szCs w:val="18"/>
              </w:rPr>
              <w:t>0,5% от суммы операции (но не более 1 500</w:t>
            </w:r>
          </w:p>
          <w:p w14:paraId="5A6F1741" w14:textId="77777777" w:rsidR="00440295" w:rsidRPr="00F63AD8" w:rsidRDefault="00440295" w:rsidP="00034511">
            <w:pPr>
              <w:jc w:val="center"/>
              <w:rPr>
                <w:rFonts w:ascii="Tahoma" w:hAnsi="Tahoma" w:cs="Tahoma"/>
                <w:bCs/>
                <w:sz w:val="18"/>
                <w:szCs w:val="18"/>
              </w:rPr>
            </w:pPr>
            <w:r w:rsidRPr="00F63AD8">
              <w:rPr>
                <w:rFonts w:ascii="Tahoma" w:hAnsi="Tahoma" w:cs="Tahoma"/>
                <w:sz w:val="18"/>
                <w:szCs w:val="18"/>
              </w:rPr>
              <w:t>рублей за один перевод) при превышении лимита 30 000 000 руб.  (включительно) в течение календарного месяца</w:t>
            </w:r>
            <w:r w:rsidRPr="00F63AD8">
              <w:rPr>
                <w:rFonts w:ascii="Tahoma" w:hAnsi="Tahoma" w:cs="Tahoma"/>
                <w:sz w:val="18"/>
                <w:szCs w:val="18"/>
                <w:vertAlign w:val="superscript"/>
              </w:rPr>
              <w:t>19</w:t>
            </w:r>
            <w:r w:rsidRPr="00F63AD8">
              <w:rPr>
                <w:rFonts w:ascii="Tahoma" w:hAnsi="Tahoma" w:cs="Tahoma"/>
                <w:sz w:val="18"/>
                <w:szCs w:val="18"/>
              </w:rPr>
              <w:t>;</w:t>
            </w:r>
          </w:p>
        </w:tc>
      </w:tr>
      <w:tr w:rsidR="00440295" w:rsidRPr="00F63AD8" w14:paraId="1EF3547E" w14:textId="77777777" w:rsidTr="00034511">
        <w:tblPrEx>
          <w:tblLook w:val="04A0" w:firstRow="1" w:lastRow="0" w:firstColumn="1" w:lastColumn="0" w:noHBand="0" w:noVBand="1"/>
        </w:tblPrEx>
        <w:trPr>
          <w:gridAfter w:val="1"/>
          <w:wAfter w:w="103" w:type="pct"/>
          <w:trHeight w:val="511"/>
          <w:tblHeader/>
        </w:trPr>
        <w:tc>
          <w:tcPr>
            <w:tcW w:w="324" w:type="pct"/>
            <w:gridSpan w:val="2"/>
            <w:vMerge w:val="restart"/>
            <w:tcBorders>
              <w:top w:val="single" w:sz="4" w:space="0" w:color="auto"/>
              <w:left w:val="single" w:sz="4" w:space="0" w:color="auto"/>
              <w:right w:val="single" w:sz="4" w:space="0" w:color="auto"/>
            </w:tcBorders>
            <w:shd w:val="clear" w:color="auto" w:fill="D9D9D9" w:themeFill="background1" w:themeFillShade="D9"/>
            <w:noWrap/>
            <w:vAlign w:val="center"/>
          </w:tcPr>
          <w:p w14:paraId="7A10E7E6"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7.5.3.</w:t>
            </w:r>
          </w:p>
        </w:tc>
        <w:tc>
          <w:tcPr>
            <w:tcW w:w="693" w:type="pct"/>
            <w:vMerge w:val="restart"/>
            <w:tcBorders>
              <w:top w:val="single" w:sz="4" w:space="0" w:color="auto"/>
              <w:left w:val="single" w:sz="4" w:space="0" w:color="auto"/>
              <w:right w:val="single" w:sz="4" w:space="0" w:color="auto"/>
            </w:tcBorders>
            <w:shd w:val="clear" w:color="auto" w:fill="auto"/>
            <w:vAlign w:val="center"/>
          </w:tcPr>
          <w:p w14:paraId="759D4A7A" w14:textId="77777777" w:rsidR="00440295" w:rsidRPr="00F63AD8" w:rsidRDefault="00440295" w:rsidP="00034511">
            <w:pPr>
              <w:rPr>
                <w:rFonts w:ascii="Tahoma" w:hAnsi="Tahoma" w:cs="Tahoma"/>
                <w:sz w:val="18"/>
                <w:szCs w:val="18"/>
              </w:rPr>
            </w:pPr>
            <w:r w:rsidRPr="00F63AD8">
              <w:rPr>
                <w:rFonts w:ascii="Tahoma" w:hAnsi="Tahoma" w:cs="Tahoma"/>
                <w:sz w:val="18"/>
                <w:szCs w:val="18"/>
              </w:rPr>
              <w:t>Перевод с Карты Клиента, эмитированной Банком на Счета/Карты Банка/других банков, в сервисах «Азиатско-Тихоокеанский Банк» (АО) (банкоматы</w:t>
            </w:r>
            <w:r w:rsidRPr="00F63AD8">
              <w:rPr>
                <w:rFonts w:ascii="Tahoma" w:hAnsi="Tahoma" w:cs="Tahoma"/>
                <w:sz w:val="18"/>
                <w:szCs w:val="18"/>
                <w:vertAlign w:val="superscript"/>
              </w:rPr>
              <w:t>7</w:t>
            </w:r>
            <w:r w:rsidRPr="00F63AD8">
              <w:rPr>
                <w:rFonts w:ascii="Tahoma" w:hAnsi="Tahoma" w:cs="Tahoma"/>
                <w:sz w:val="18"/>
                <w:szCs w:val="18"/>
              </w:rPr>
              <w:t>, официальный сайт (</w:t>
            </w:r>
            <w:hyperlink r:id="rId108" w:history="1">
              <w:r w:rsidRPr="00F63AD8">
                <w:rPr>
                  <w:rStyle w:val="aff"/>
                  <w:rFonts w:ascii="Tahoma" w:hAnsi="Tahoma" w:cs="Tahoma"/>
                  <w:sz w:val="18"/>
                  <w:szCs w:val="18"/>
                  <w:lang w:val="en-US"/>
                </w:rPr>
                <w:t>www</w:t>
              </w:r>
              <w:r w:rsidRPr="00F63AD8">
                <w:rPr>
                  <w:rStyle w:val="aff"/>
                  <w:rFonts w:ascii="Tahoma" w:hAnsi="Tahoma" w:cs="Tahoma"/>
                  <w:sz w:val="18"/>
                  <w:szCs w:val="18"/>
                </w:rPr>
                <w:t>.</w:t>
              </w:r>
              <w:r w:rsidRPr="00F63AD8">
                <w:rPr>
                  <w:rStyle w:val="aff"/>
                  <w:rFonts w:ascii="Tahoma" w:hAnsi="Tahoma" w:cs="Tahoma"/>
                  <w:sz w:val="18"/>
                  <w:szCs w:val="18"/>
                  <w:lang w:val="en-US"/>
                </w:rPr>
                <w:t>atb</w:t>
              </w:r>
              <w:r w:rsidRPr="00F63AD8">
                <w:rPr>
                  <w:rStyle w:val="aff"/>
                  <w:rFonts w:ascii="Tahoma" w:hAnsi="Tahoma" w:cs="Tahoma"/>
                  <w:sz w:val="18"/>
                  <w:szCs w:val="18"/>
                </w:rPr>
                <w:t>.</w:t>
              </w:r>
              <w:r w:rsidRPr="00F63AD8">
                <w:rPr>
                  <w:rStyle w:val="aff"/>
                  <w:rFonts w:ascii="Tahoma" w:hAnsi="Tahoma" w:cs="Tahoma"/>
                  <w:sz w:val="18"/>
                  <w:szCs w:val="18"/>
                  <w:lang w:val="en-US"/>
                </w:rPr>
                <w:t>su</w:t>
              </w:r>
            </w:hyperlink>
            <w:r w:rsidRPr="00F63AD8">
              <w:rPr>
                <w:rFonts w:ascii="Tahoma" w:hAnsi="Tahoma" w:cs="Tahoma"/>
                <w:sz w:val="18"/>
                <w:szCs w:val="18"/>
              </w:rPr>
              <w:t>)</w:t>
            </w:r>
            <w:r w:rsidRPr="00F63AD8">
              <w:rPr>
                <w:rFonts w:ascii="Tahoma" w:hAnsi="Tahoma" w:cs="Tahoma"/>
                <w:sz w:val="18"/>
                <w:szCs w:val="18"/>
                <w:vertAlign w:val="superscript"/>
              </w:rPr>
              <w:t>7</w:t>
            </w:r>
            <w:r w:rsidRPr="00F63AD8">
              <w:rPr>
                <w:rFonts w:ascii="Tahoma" w:hAnsi="Tahoma" w:cs="Tahoma"/>
                <w:sz w:val="18"/>
                <w:szCs w:val="18"/>
              </w:rPr>
              <w:t xml:space="preserve"> и в «АТБ-Онлайн»/ «АТБ банк»</w:t>
            </w:r>
            <w:r w:rsidRPr="00F63AD8">
              <w:rPr>
                <w:rFonts w:ascii="Tahoma" w:hAnsi="Tahoma" w:cs="Tahoma"/>
                <w:sz w:val="18"/>
                <w:szCs w:val="18"/>
                <w:vertAlign w:val="superscript"/>
              </w:rPr>
              <w:t xml:space="preserve"> 8</w:t>
            </w:r>
            <w:r w:rsidRPr="00F63AD8">
              <w:rPr>
                <w:rFonts w:ascii="Tahoma" w:hAnsi="Tahoma" w:cs="Tahoma"/>
                <w:sz w:val="18"/>
                <w:szCs w:val="18"/>
              </w:rPr>
              <w:t xml:space="preserve"> </w:t>
            </w:r>
          </w:p>
        </w:tc>
        <w:tc>
          <w:tcPr>
            <w:tcW w:w="785"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2E3F2820" w14:textId="77777777" w:rsidR="00440295" w:rsidRPr="00F63AD8" w:rsidRDefault="00440295" w:rsidP="00034511">
            <w:pPr>
              <w:rPr>
                <w:rFonts w:ascii="Tahoma" w:hAnsi="Tahoma" w:cs="Tahoma"/>
                <w:sz w:val="18"/>
                <w:szCs w:val="18"/>
              </w:rPr>
            </w:pPr>
            <w:r w:rsidRPr="00F63AD8">
              <w:rPr>
                <w:rFonts w:ascii="Tahoma" w:hAnsi="Tahoma" w:cs="Tahoma"/>
                <w:sz w:val="18"/>
                <w:szCs w:val="18"/>
              </w:rPr>
              <w:t>На Счета, Карты (</w:t>
            </w:r>
            <w:r w:rsidRPr="00F63AD8">
              <w:rPr>
                <w:rFonts w:ascii="Tahoma" w:hAnsi="Tahoma" w:cs="Tahoma"/>
                <w:sz w:val="18"/>
                <w:szCs w:val="18"/>
                <w:lang w:val="en-US"/>
              </w:rPr>
              <w:t>VISA</w:t>
            </w:r>
            <w:r w:rsidRPr="00F63AD8">
              <w:rPr>
                <w:rFonts w:ascii="Tahoma" w:hAnsi="Tahoma" w:cs="Tahoma"/>
                <w:sz w:val="18"/>
                <w:szCs w:val="18"/>
              </w:rPr>
              <w:t>/</w:t>
            </w:r>
            <w:r w:rsidRPr="00F63AD8">
              <w:rPr>
                <w:rFonts w:ascii="Tahoma" w:hAnsi="Tahoma" w:cs="Tahoma"/>
                <w:sz w:val="18"/>
                <w:szCs w:val="18"/>
                <w:lang w:val="en-US"/>
              </w:rPr>
              <w:t>MasterCard</w:t>
            </w:r>
            <w:r w:rsidRPr="00F63AD8">
              <w:rPr>
                <w:rFonts w:ascii="Tahoma" w:hAnsi="Tahoma" w:cs="Tahoma"/>
                <w:sz w:val="18"/>
                <w:szCs w:val="18"/>
              </w:rPr>
              <w:t>/МИР)</w:t>
            </w:r>
          </w:p>
          <w:p w14:paraId="47F32C91" w14:textId="77777777" w:rsidR="00440295" w:rsidRPr="00F63AD8" w:rsidRDefault="00440295" w:rsidP="00034511">
            <w:pPr>
              <w:rPr>
                <w:rFonts w:ascii="Tahoma" w:hAnsi="Tahoma" w:cs="Tahoma"/>
                <w:sz w:val="18"/>
                <w:szCs w:val="18"/>
              </w:rPr>
            </w:pPr>
            <w:r w:rsidRPr="00F63AD8">
              <w:rPr>
                <w:rFonts w:ascii="Tahoma" w:hAnsi="Tahoma" w:cs="Tahoma"/>
                <w:sz w:val="18"/>
                <w:szCs w:val="18"/>
              </w:rPr>
              <w:t>Банка</w:t>
            </w:r>
          </w:p>
        </w:tc>
        <w:tc>
          <w:tcPr>
            <w:tcW w:w="1308"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57018174" w14:textId="77777777" w:rsidR="00440295" w:rsidRPr="00F63AD8" w:rsidRDefault="00440295" w:rsidP="00034511">
            <w:pPr>
              <w:rPr>
                <w:rFonts w:ascii="Tahoma" w:hAnsi="Tahoma" w:cs="Tahoma"/>
                <w:b/>
                <w:sz w:val="18"/>
                <w:szCs w:val="18"/>
              </w:rPr>
            </w:pPr>
            <w:r w:rsidRPr="00F63AD8">
              <w:rPr>
                <w:rFonts w:ascii="Tahoma" w:hAnsi="Tahoma" w:cs="Tahoma"/>
                <w:sz w:val="18"/>
                <w:szCs w:val="18"/>
              </w:rPr>
              <w:t>За счет установленного Лимита кредитования</w:t>
            </w:r>
          </w:p>
        </w:tc>
        <w:tc>
          <w:tcPr>
            <w:tcW w:w="1786" w:type="pct"/>
            <w:tcBorders>
              <w:top w:val="single" w:sz="4" w:space="0" w:color="auto"/>
              <w:left w:val="single" w:sz="4" w:space="0" w:color="auto"/>
              <w:bottom w:val="single" w:sz="4" w:space="0" w:color="auto"/>
              <w:right w:val="single" w:sz="4" w:space="0" w:color="auto"/>
            </w:tcBorders>
            <w:shd w:val="clear" w:color="auto" w:fill="auto"/>
            <w:vAlign w:val="center"/>
          </w:tcPr>
          <w:p w14:paraId="6FD0239E" w14:textId="77777777" w:rsidR="00440295" w:rsidRPr="00F63AD8" w:rsidRDefault="00440295" w:rsidP="00034511">
            <w:pPr>
              <w:jc w:val="center"/>
              <w:rPr>
                <w:rFonts w:ascii="Tahoma" w:hAnsi="Tahoma" w:cs="Tahoma"/>
                <w:bCs/>
                <w:sz w:val="18"/>
                <w:szCs w:val="18"/>
              </w:rPr>
            </w:pPr>
            <w:r w:rsidRPr="00F63AD8">
              <w:rPr>
                <w:rFonts w:ascii="Tahoma" w:hAnsi="Tahoma" w:cs="Tahoma"/>
                <w:bCs/>
                <w:sz w:val="18"/>
                <w:szCs w:val="18"/>
              </w:rPr>
              <w:t>5,9% от суммы кредитных денежных средств (Лимита кредитования), переводимых Клиентом +590 рублей</w:t>
            </w:r>
          </w:p>
        </w:tc>
      </w:tr>
      <w:tr w:rsidR="00440295" w:rsidRPr="00F63AD8" w14:paraId="1787FA3A" w14:textId="77777777" w:rsidTr="00034511">
        <w:tblPrEx>
          <w:tblLook w:val="04A0" w:firstRow="1" w:lastRow="0" w:firstColumn="1" w:lastColumn="0" w:noHBand="0" w:noVBand="1"/>
        </w:tblPrEx>
        <w:trPr>
          <w:gridAfter w:val="1"/>
          <w:wAfter w:w="103" w:type="pct"/>
          <w:trHeight w:val="85"/>
          <w:tblHeader/>
        </w:trPr>
        <w:tc>
          <w:tcPr>
            <w:tcW w:w="324" w:type="pct"/>
            <w:gridSpan w:val="2"/>
            <w:vMerge/>
            <w:tcBorders>
              <w:left w:val="single" w:sz="4" w:space="0" w:color="auto"/>
              <w:right w:val="single" w:sz="4" w:space="0" w:color="auto"/>
            </w:tcBorders>
            <w:shd w:val="clear" w:color="auto" w:fill="D9D9D9" w:themeFill="background1" w:themeFillShade="D9"/>
            <w:noWrap/>
            <w:vAlign w:val="center"/>
          </w:tcPr>
          <w:p w14:paraId="77FD356B" w14:textId="77777777" w:rsidR="00440295" w:rsidRPr="00F63AD8" w:rsidRDefault="00440295" w:rsidP="00034511">
            <w:pPr>
              <w:jc w:val="center"/>
              <w:rPr>
                <w:rFonts w:ascii="Tahoma" w:hAnsi="Tahoma" w:cs="Tahoma"/>
                <w:sz w:val="18"/>
                <w:szCs w:val="18"/>
              </w:rPr>
            </w:pPr>
          </w:p>
        </w:tc>
        <w:tc>
          <w:tcPr>
            <w:tcW w:w="693" w:type="pct"/>
            <w:vMerge/>
            <w:tcBorders>
              <w:left w:val="single" w:sz="4" w:space="0" w:color="auto"/>
              <w:right w:val="single" w:sz="4" w:space="0" w:color="auto"/>
            </w:tcBorders>
            <w:shd w:val="clear" w:color="auto" w:fill="auto"/>
            <w:vAlign w:val="center"/>
          </w:tcPr>
          <w:p w14:paraId="47F74D4C" w14:textId="77777777" w:rsidR="00440295" w:rsidRPr="00F63AD8" w:rsidRDefault="00440295" w:rsidP="00034511">
            <w:pPr>
              <w:rPr>
                <w:rFonts w:ascii="Tahoma" w:hAnsi="Tahoma" w:cs="Tahoma"/>
                <w:sz w:val="18"/>
                <w:szCs w:val="18"/>
              </w:rPr>
            </w:pPr>
          </w:p>
        </w:tc>
        <w:tc>
          <w:tcPr>
            <w:tcW w:w="785" w:type="pct"/>
            <w:gridSpan w:val="2"/>
            <w:vMerge/>
            <w:tcBorders>
              <w:top w:val="single" w:sz="4" w:space="0" w:color="auto"/>
              <w:left w:val="single" w:sz="4" w:space="0" w:color="auto"/>
              <w:bottom w:val="single" w:sz="4" w:space="0" w:color="auto"/>
              <w:right w:val="single" w:sz="4" w:space="0" w:color="auto"/>
            </w:tcBorders>
            <w:shd w:val="clear" w:color="auto" w:fill="auto"/>
            <w:vAlign w:val="center"/>
          </w:tcPr>
          <w:p w14:paraId="755D2729" w14:textId="77777777" w:rsidR="00440295" w:rsidRPr="00F63AD8" w:rsidRDefault="00440295" w:rsidP="00034511">
            <w:pPr>
              <w:rPr>
                <w:rFonts w:ascii="Tahoma" w:hAnsi="Tahoma" w:cs="Tahoma"/>
                <w:sz w:val="18"/>
                <w:szCs w:val="18"/>
              </w:rPr>
            </w:pPr>
          </w:p>
        </w:tc>
        <w:tc>
          <w:tcPr>
            <w:tcW w:w="1308"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11B445D6" w14:textId="77777777" w:rsidR="00440295" w:rsidRPr="00F63AD8" w:rsidRDefault="00440295" w:rsidP="00034511">
            <w:pPr>
              <w:rPr>
                <w:rFonts w:ascii="Tahoma" w:hAnsi="Tahoma" w:cs="Tahoma"/>
                <w:sz w:val="18"/>
                <w:szCs w:val="18"/>
              </w:rPr>
            </w:pPr>
            <w:r w:rsidRPr="00F63AD8">
              <w:rPr>
                <w:rFonts w:ascii="Tahoma" w:hAnsi="Tahoma" w:cs="Tahoma"/>
                <w:sz w:val="18"/>
                <w:szCs w:val="18"/>
              </w:rPr>
              <w:t>При положительном балансе на Счете Карты (наличии средств, находящихся на Счете Карты сверх установленного Лимита кредитования)</w:t>
            </w:r>
          </w:p>
        </w:tc>
        <w:tc>
          <w:tcPr>
            <w:tcW w:w="1786" w:type="pct"/>
            <w:tcBorders>
              <w:top w:val="single" w:sz="4" w:space="0" w:color="auto"/>
              <w:left w:val="single" w:sz="4" w:space="0" w:color="auto"/>
              <w:bottom w:val="single" w:sz="4" w:space="0" w:color="auto"/>
              <w:right w:val="single" w:sz="4" w:space="0" w:color="auto"/>
            </w:tcBorders>
            <w:shd w:val="clear" w:color="auto" w:fill="auto"/>
            <w:vAlign w:val="center"/>
          </w:tcPr>
          <w:p w14:paraId="4BE7D29F"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 xml:space="preserve">БЕСПЛАТНО </w:t>
            </w:r>
          </w:p>
        </w:tc>
      </w:tr>
      <w:tr w:rsidR="00440295" w:rsidRPr="00F63AD8" w14:paraId="77390572" w14:textId="77777777" w:rsidTr="00034511">
        <w:tblPrEx>
          <w:tblLook w:val="04A0" w:firstRow="1" w:lastRow="0" w:firstColumn="1" w:lastColumn="0" w:noHBand="0" w:noVBand="1"/>
        </w:tblPrEx>
        <w:trPr>
          <w:gridAfter w:val="1"/>
          <w:wAfter w:w="103" w:type="pct"/>
          <w:trHeight w:val="438"/>
          <w:tblHeader/>
        </w:trPr>
        <w:tc>
          <w:tcPr>
            <w:tcW w:w="324" w:type="pct"/>
            <w:gridSpan w:val="2"/>
            <w:vMerge/>
            <w:tcBorders>
              <w:left w:val="single" w:sz="4" w:space="0" w:color="auto"/>
              <w:right w:val="single" w:sz="4" w:space="0" w:color="auto"/>
            </w:tcBorders>
            <w:shd w:val="clear" w:color="auto" w:fill="D9D9D9" w:themeFill="background1" w:themeFillShade="D9"/>
            <w:noWrap/>
            <w:vAlign w:val="center"/>
          </w:tcPr>
          <w:p w14:paraId="56973C17" w14:textId="77777777" w:rsidR="00440295" w:rsidRPr="00F63AD8" w:rsidRDefault="00440295" w:rsidP="00034511">
            <w:pPr>
              <w:jc w:val="center"/>
              <w:rPr>
                <w:rFonts w:ascii="Tahoma" w:hAnsi="Tahoma" w:cs="Tahoma"/>
                <w:sz w:val="18"/>
                <w:szCs w:val="18"/>
              </w:rPr>
            </w:pPr>
          </w:p>
        </w:tc>
        <w:tc>
          <w:tcPr>
            <w:tcW w:w="693" w:type="pct"/>
            <w:vMerge/>
            <w:tcBorders>
              <w:left w:val="single" w:sz="4" w:space="0" w:color="auto"/>
              <w:right w:val="single" w:sz="4" w:space="0" w:color="auto"/>
            </w:tcBorders>
            <w:shd w:val="clear" w:color="auto" w:fill="auto"/>
            <w:vAlign w:val="center"/>
          </w:tcPr>
          <w:p w14:paraId="02E920F7" w14:textId="77777777" w:rsidR="00440295" w:rsidRPr="00F63AD8" w:rsidRDefault="00440295" w:rsidP="00034511">
            <w:pPr>
              <w:rPr>
                <w:rFonts w:ascii="Tahoma" w:hAnsi="Tahoma" w:cs="Tahoma"/>
                <w:sz w:val="18"/>
                <w:szCs w:val="18"/>
              </w:rPr>
            </w:pPr>
          </w:p>
        </w:tc>
        <w:tc>
          <w:tcPr>
            <w:tcW w:w="785" w:type="pct"/>
            <w:gridSpan w:val="2"/>
            <w:vMerge w:val="restart"/>
            <w:tcBorders>
              <w:top w:val="single" w:sz="4" w:space="0" w:color="auto"/>
              <w:left w:val="single" w:sz="4" w:space="0" w:color="auto"/>
              <w:right w:val="single" w:sz="4" w:space="0" w:color="auto"/>
            </w:tcBorders>
            <w:shd w:val="clear" w:color="auto" w:fill="auto"/>
            <w:vAlign w:val="center"/>
          </w:tcPr>
          <w:p w14:paraId="44A258B4" w14:textId="77777777" w:rsidR="00440295" w:rsidRPr="00F63AD8" w:rsidRDefault="00440295" w:rsidP="00034511">
            <w:pPr>
              <w:rPr>
                <w:rFonts w:ascii="Tahoma" w:hAnsi="Tahoma" w:cs="Tahoma"/>
                <w:sz w:val="18"/>
                <w:szCs w:val="18"/>
              </w:rPr>
            </w:pPr>
            <w:r w:rsidRPr="00F63AD8">
              <w:rPr>
                <w:rFonts w:ascii="Tahoma" w:hAnsi="Tahoma" w:cs="Tahoma"/>
                <w:sz w:val="18"/>
                <w:szCs w:val="18"/>
              </w:rPr>
              <w:t>На Счета/Карты (</w:t>
            </w:r>
            <w:r w:rsidRPr="00F63AD8">
              <w:rPr>
                <w:rFonts w:ascii="Tahoma" w:hAnsi="Tahoma" w:cs="Tahoma"/>
                <w:sz w:val="18"/>
                <w:szCs w:val="18"/>
                <w:lang w:val="en-US"/>
              </w:rPr>
              <w:t>VISA</w:t>
            </w:r>
            <w:r w:rsidRPr="00F63AD8">
              <w:rPr>
                <w:rFonts w:ascii="Tahoma" w:hAnsi="Tahoma" w:cs="Tahoma"/>
                <w:sz w:val="18"/>
                <w:szCs w:val="18"/>
              </w:rPr>
              <w:t>/</w:t>
            </w:r>
            <w:r w:rsidRPr="00F63AD8">
              <w:rPr>
                <w:rFonts w:ascii="Tahoma" w:hAnsi="Tahoma" w:cs="Tahoma"/>
                <w:sz w:val="18"/>
                <w:szCs w:val="18"/>
                <w:lang w:val="en-US"/>
              </w:rPr>
              <w:t>MasterCard</w:t>
            </w:r>
            <w:r w:rsidRPr="00F63AD8">
              <w:rPr>
                <w:rFonts w:ascii="Tahoma" w:hAnsi="Tahoma" w:cs="Tahoma"/>
                <w:sz w:val="18"/>
                <w:szCs w:val="18"/>
              </w:rPr>
              <w:t>/МИР) другого российского банка</w:t>
            </w:r>
          </w:p>
        </w:tc>
        <w:tc>
          <w:tcPr>
            <w:tcW w:w="1308" w:type="pct"/>
            <w:gridSpan w:val="2"/>
            <w:tcBorders>
              <w:top w:val="single" w:sz="4" w:space="0" w:color="auto"/>
              <w:left w:val="single" w:sz="4" w:space="0" w:color="auto"/>
              <w:right w:val="single" w:sz="4" w:space="0" w:color="auto"/>
            </w:tcBorders>
            <w:shd w:val="clear" w:color="auto" w:fill="auto"/>
            <w:vAlign w:val="center"/>
          </w:tcPr>
          <w:p w14:paraId="2331DB58" w14:textId="77777777" w:rsidR="00440295" w:rsidRPr="00F63AD8" w:rsidRDefault="00440295" w:rsidP="00034511">
            <w:pPr>
              <w:rPr>
                <w:rFonts w:ascii="Tahoma" w:hAnsi="Tahoma" w:cs="Tahoma"/>
                <w:b/>
                <w:sz w:val="18"/>
                <w:szCs w:val="18"/>
              </w:rPr>
            </w:pPr>
            <w:r w:rsidRPr="00F63AD8">
              <w:rPr>
                <w:rFonts w:ascii="Tahoma" w:hAnsi="Tahoma" w:cs="Tahoma"/>
                <w:sz w:val="18"/>
                <w:szCs w:val="18"/>
              </w:rPr>
              <w:t>За счет установленного Лимита кредитования</w:t>
            </w:r>
          </w:p>
          <w:p w14:paraId="4AB8834E" w14:textId="77777777" w:rsidR="00440295" w:rsidRPr="00F63AD8" w:rsidRDefault="00440295" w:rsidP="00034511">
            <w:pPr>
              <w:rPr>
                <w:rFonts w:ascii="Tahoma" w:hAnsi="Tahoma" w:cs="Tahoma"/>
                <w:bCs/>
                <w:sz w:val="18"/>
                <w:szCs w:val="18"/>
              </w:rPr>
            </w:pPr>
          </w:p>
        </w:tc>
        <w:tc>
          <w:tcPr>
            <w:tcW w:w="1786" w:type="pct"/>
            <w:tcBorders>
              <w:top w:val="single" w:sz="4" w:space="0" w:color="auto"/>
              <w:left w:val="single" w:sz="4" w:space="0" w:color="auto"/>
              <w:right w:val="single" w:sz="4" w:space="0" w:color="auto"/>
            </w:tcBorders>
            <w:shd w:val="clear" w:color="auto" w:fill="auto"/>
            <w:vAlign w:val="center"/>
          </w:tcPr>
          <w:p w14:paraId="239213FD" w14:textId="77777777" w:rsidR="00440295" w:rsidRPr="00F63AD8" w:rsidRDefault="00440295" w:rsidP="00034511">
            <w:pPr>
              <w:ind w:left="79"/>
              <w:jc w:val="center"/>
              <w:rPr>
                <w:rFonts w:ascii="Tahoma" w:hAnsi="Tahoma" w:cs="Tahoma"/>
                <w:bCs/>
                <w:sz w:val="18"/>
                <w:szCs w:val="18"/>
              </w:rPr>
            </w:pPr>
            <w:r w:rsidRPr="00F63AD8">
              <w:rPr>
                <w:rFonts w:ascii="Tahoma" w:hAnsi="Tahoma" w:cs="Tahoma"/>
                <w:bCs/>
                <w:sz w:val="18"/>
                <w:szCs w:val="18"/>
              </w:rPr>
              <w:t>5,9% от суммы кредитных денежных средств (Лимита кредитования), переводимых Клиентом +590 рублей</w:t>
            </w:r>
          </w:p>
          <w:p w14:paraId="3615A3C8" w14:textId="77777777" w:rsidR="00440295" w:rsidRPr="00F63AD8" w:rsidRDefault="00440295" w:rsidP="00034511">
            <w:pPr>
              <w:ind w:left="79"/>
              <w:jc w:val="center"/>
              <w:rPr>
                <w:rFonts w:ascii="Tahoma" w:hAnsi="Tahoma" w:cs="Tahoma"/>
                <w:bCs/>
                <w:sz w:val="18"/>
                <w:szCs w:val="18"/>
              </w:rPr>
            </w:pPr>
            <w:r w:rsidRPr="00F63AD8">
              <w:rPr>
                <w:rFonts w:ascii="Tahoma" w:hAnsi="Tahoma" w:cs="Tahoma"/>
                <w:bCs/>
                <w:sz w:val="18"/>
                <w:szCs w:val="18"/>
              </w:rPr>
              <w:t>+1,3% от всей суммы переводимых денежных средств+30 рублей</w:t>
            </w:r>
          </w:p>
        </w:tc>
      </w:tr>
      <w:tr w:rsidR="00440295" w:rsidRPr="00F63AD8" w14:paraId="7CBDABF9" w14:textId="77777777" w:rsidTr="00034511">
        <w:trPr>
          <w:gridAfter w:val="1"/>
          <w:wAfter w:w="103" w:type="pct"/>
          <w:trHeight w:hRule="exact" w:val="1075"/>
          <w:tblHeader/>
        </w:trPr>
        <w:tc>
          <w:tcPr>
            <w:tcW w:w="324" w:type="pct"/>
            <w:gridSpan w:val="2"/>
            <w:vMerge/>
            <w:tcBorders>
              <w:left w:val="single" w:sz="4" w:space="0" w:color="auto"/>
              <w:right w:val="single" w:sz="4" w:space="0" w:color="auto"/>
            </w:tcBorders>
            <w:shd w:val="clear" w:color="auto" w:fill="D9D9D9" w:themeFill="background1" w:themeFillShade="D9"/>
            <w:noWrap/>
            <w:vAlign w:val="center"/>
          </w:tcPr>
          <w:p w14:paraId="6192E5CA" w14:textId="77777777" w:rsidR="00440295" w:rsidRPr="00F63AD8" w:rsidRDefault="00440295" w:rsidP="00034511">
            <w:pPr>
              <w:jc w:val="center"/>
              <w:rPr>
                <w:rFonts w:ascii="Tahoma" w:hAnsi="Tahoma" w:cs="Tahoma"/>
                <w:sz w:val="18"/>
                <w:szCs w:val="18"/>
              </w:rPr>
            </w:pPr>
          </w:p>
        </w:tc>
        <w:tc>
          <w:tcPr>
            <w:tcW w:w="693" w:type="pct"/>
            <w:vMerge/>
            <w:tcBorders>
              <w:left w:val="single" w:sz="4" w:space="0" w:color="auto"/>
              <w:right w:val="single" w:sz="4" w:space="0" w:color="auto"/>
            </w:tcBorders>
            <w:shd w:val="clear" w:color="auto" w:fill="auto"/>
            <w:vAlign w:val="center"/>
          </w:tcPr>
          <w:p w14:paraId="5B866E7E" w14:textId="77777777" w:rsidR="00440295" w:rsidRPr="00F63AD8" w:rsidRDefault="00440295" w:rsidP="00034511">
            <w:pPr>
              <w:rPr>
                <w:rFonts w:ascii="Tahoma" w:hAnsi="Tahoma" w:cs="Tahoma"/>
                <w:sz w:val="18"/>
                <w:szCs w:val="18"/>
              </w:rPr>
            </w:pPr>
          </w:p>
        </w:tc>
        <w:tc>
          <w:tcPr>
            <w:tcW w:w="785" w:type="pct"/>
            <w:gridSpan w:val="2"/>
            <w:vMerge/>
            <w:tcBorders>
              <w:left w:val="single" w:sz="4" w:space="0" w:color="auto"/>
              <w:bottom w:val="single" w:sz="4" w:space="0" w:color="auto"/>
              <w:right w:val="single" w:sz="4" w:space="0" w:color="auto"/>
            </w:tcBorders>
            <w:shd w:val="clear" w:color="auto" w:fill="auto"/>
            <w:vAlign w:val="center"/>
          </w:tcPr>
          <w:p w14:paraId="4F49B821" w14:textId="77777777" w:rsidR="00440295" w:rsidRPr="00F63AD8" w:rsidRDefault="00440295" w:rsidP="00034511">
            <w:pPr>
              <w:rPr>
                <w:rFonts w:ascii="Tahoma" w:hAnsi="Tahoma" w:cs="Tahoma"/>
                <w:sz w:val="18"/>
                <w:szCs w:val="18"/>
              </w:rPr>
            </w:pPr>
          </w:p>
        </w:tc>
        <w:tc>
          <w:tcPr>
            <w:tcW w:w="1308" w:type="pct"/>
            <w:gridSpan w:val="2"/>
            <w:tcBorders>
              <w:left w:val="single" w:sz="4" w:space="0" w:color="auto"/>
              <w:right w:val="single" w:sz="4" w:space="0" w:color="auto"/>
            </w:tcBorders>
            <w:shd w:val="clear" w:color="auto" w:fill="auto"/>
            <w:vAlign w:val="center"/>
          </w:tcPr>
          <w:p w14:paraId="5A29BA74" w14:textId="77777777" w:rsidR="00440295" w:rsidRPr="00F63AD8" w:rsidRDefault="00440295" w:rsidP="00034511">
            <w:pPr>
              <w:rPr>
                <w:rFonts w:ascii="Tahoma" w:hAnsi="Tahoma" w:cs="Tahoma"/>
                <w:sz w:val="18"/>
                <w:szCs w:val="18"/>
              </w:rPr>
            </w:pPr>
            <w:r w:rsidRPr="00F63AD8">
              <w:rPr>
                <w:rFonts w:ascii="Tahoma" w:hAnsi="Tahoma" w:cs="Tahoma"/>
                <w:sz w:val="18"/>
                <w:szCs w:val="18"/>
              </w:rPr>
              <w:t>При положительном балансе на Счете Карты (наличии средств, находящихся на Счете Карты сверх установленного Лимита кредитования)</w:t>
            </w:r>
          </w:p>
        </w:tc>
        <w:tc>
          <w:tcPr>
            <w:tcW w:w="1786" w:type="pct"/>
            <w:tcBorders>
              <w:top w:val="single" w:sz="4" w:space="0" w:color="auto"/>
              <w:left w:val="single" w:sz="4" w:space="0" w:color="auto"/>
              <w:right w:val="single" w:sz="4" w:space="0" w:color="auto"/>
            </w:tcBorders>
            <w:shd w:val="clear" w:color="auto" w:fill="auto"/>
            <w:vAlign w:val="center"/>
          </w:tcPr>
          <w:p w14:paraId="0DE2E6A2" w14:textId="77777777" w:rsidR="00440295" w:rsidRPr="00F63AD8" w:rsidRDefault="00440295" w:rsidP="00034511">
            <w:pPr>
              <w:ind w:left="79"/>
              <w:jc w:val="center"/>
              <w:rPr>
                <w:rFonts w:ascii="Tahoma" w:hAnsi="Tahoma" w:cs="Tahoma"/>
                <w:bCs/>
                <w:sz w:val="18"/>
                <w:szCs w:val="18"/>
              </w:rPr>
            </w:pPr>
            <w:r w:rsidRPr="00F63AD8">
              <w:rPr>
                <w:rFonts w:ascii="Tahoma" w:hAnsi="Tahoma" w:cs="Tahoma"/>
                <w:bCs/>
                <w:sz w:val="18"/>
                <w:szCs w:val="18"/>
              </w:rPr>
              <w:t>1,3% от всей суммы переводимых денежных средств+30 рублей;</w:t>
            </w:r>
          </w:p>
          <w:p w14:paraId="54B69D4E" w14:textId="77777777" w:rsidR="00440295" w:rsidRPr="00F63AD8" w:rsidRDefault="00440295" w:rsidP="00034511">
            <w:pPr>
              <w:ind w:left="79"/>
              <w:jc w:val="center"/>
              <w:rPr>
                <w:rFonts w:ascii="Tahoma" w:hAnsi="Tahoma" w:cs="Tahoma"/>
                <w:bCs/>
                <w:sz w:val="18"/>
                <w:szCs w:val="18"/>
              </w:rPr>
            </w:pPr>
          </w:p>
        </w:tc>
      </w:tr>
      <w:tr w:rsidR="00440295" w:rsidRPr="00F63AD8" w14:paraId="564CE9B4" w14:textId="77777777" w:rsidTr="00034511">
        <w:tblPrEx>
          <w:tblLook w:val="04A0" w:firstRow="1" w:lastRow="0" w:firstColumn="1" w:lastColumn="0" w:noHBand="0" w:noVBand="1"/>
        </w:tblPrEx>
        <w:trPr>
          <w:gridAfter w:val="1"/>
          <w:wAfter w:w="103" w:type="pct"/>
          <w:trHeight w:val="413"/>
          <w:tblHeader/>
        </w:trPr>
        <w:tc>
          <w:tcPr>
            <w:tcW w:w="324" w:type="pct"/>
            <w:gridSpan w:val="2"/>
            <w:vMerge/>
            <w:tcBorders>
              <w:left w:val="single" w:sz="4" w:space="0" w:color="auto"/>
              <w:right w:val="single" w:sz="4" w:space="0" w:color="auto"/>
            </w:tcBorders>
            <w:shd w:val="clear" w:color="auto" w:fill="D9D9D9" w:themeFill="background1" w:themeFillShade="D9"/>
            <w:noWrap/>
            <w:vAlign w:val="center"/>
          </w:tcPr>
          <w:p w14:paraId="137B6C37" w14:textId="77777777" w:rsidR="00440295" w:rsidRPr="00F63AD8" w:rsidRDefault="00440295" w:rsidP="00034511">
            <w:pPr>
              <w:jc w:val="center"/>
              <w:rPr>
                <w:rFonts w:ascii="Tahoma" w:hAnsi="Tahoma" w:cs="Tahoma"/>
                <w:sz w:val="18"/>
                <w:szCs w:val="18"/>
              </w:rPr>
            </w:pPr>
          </w:p>
        </w:tc>
        <w:tc>
          <w:tcPr>
            <w:tcW w:w="693" w:type="pct"/>
            <w:vMerge/>
            <w:tcBorders>
              <w:left w:val="single" w:sz="4" w:space="0" w:color="auto"/>
              <w:right w:val="single" w:sz="4" w:space="0" w:color="auto"/>
            </w:tcBorders>
            <w:shd w:val="clear" w:color="auto" w:fill="auto"/>
            <w:vAlign w:val="center"/>
          </w:tcPr>
          <w:p w14:paraId="00F33E18" w14:textId="77777777" w:rsidR="00440295" w:rsidRPr="00F63AD8" w:rsidRDefault="00440295" w:rsidP="00034511">
            <w:pPr>
              <w:rPr>
                <w:rFonts w:ascii="Tahoma" w:hAnsi="Tahoma" w:cs="Tahoma"/>
                <w:sz w:val="18"/>
                <w:szCs w:val="18"/>
              </w:rPr>
            </w:pPr>
          </w:p>
        </w:tc>
        <w:tc>
          <w:tcPr>
            <w:tcW w:w="785" w:type="pct"/>
            <w:gridSpan w:val="2"/>
            <w:vMerge w:val="restart"/>
            <w:tcBorders>
              <w:top w:val="single" w:sz="4" w:space="0" w:color="auto"/>
              <w:left w:val="single" w:sz="4" w:space="0" w:color="auto"/>
            </w:tcBorders>
            <w:shd w:val="clear" w:color="auto" w:fill="auto"/>
            <w:vAlign w:val="center"/>
          </w:tcPr>
          <w:p w14:paraId="0EA1D678" w14:textId="77777777" w:rsidR="00440295" w:rsidRPr="00F63AD8" w:rsidRDefault="00440295" w:rsidP="00034511">
            <w:pPr>
              <w:rPr>
                <w:rFonts w:ascii="Tahoma" w:hAnsi="Tahoma" w:cs="Tahoma"/>
                <w:sz w:val="18"/>
                <w:szCs w:val="18"/>
              </w:rPr>
            </w:pPr>
            <w:r w:rsidRPr="00F63AD8">
              <w:rPr>
                <w:rFonts w:ascii="Tahoma" w:hAnsi="Tahoma" w:cs="Tahoma"/>
                <w:color w:val="000000"/>
                <w:sz w:val="18"/>
                <w:szCs w:val="18"/>
              </w:rPr>
              <w:t>на Счета/Карты (VISA/MasterCard</w:t>
            </w:r>
            <w:r w:rsidRPr="00F63AD8">
              <w:rPr>
                <w:rFonts w:ascii="Tahoma" w:hAnsi="Tahoma" w:cs="Tahoma"/>
                <w:color w:val="000000"/>
                <w:sz w:val="18"/>
                <w:szCs w:val="18"/>
                <w:vertAlign w:val="superscript"/>
              </w:rPr>
              <w:t>9</w:t>
            </w:r>
            <w:r w:rsidRPr="00F63AD8">
              <w:rPr>
                <w:rFonts w:ascii="Tahoma" w:hAnsi="Tahoma" w:cs="Tahoma"/>
                <w:color w:val="000000"/>
                <w:sz w:val="18"/>
                <w:szCs w:val="18"/>
              </w:rPr>
              <w:t>), иных кредитных организаций, расположенных в иностранных государствах (включая страны ближнего зарубежья)</w:t>
            </w:r>
          </w:p>
        </w:tc>
        <w:tc>
          <w:tcPr>
            <w:tcW w:w="1308" w:type="pct"/>
            <w:gridSpan w:val="2"/>
            <w:tcBorders>
              <w:top w:val="single" w:sz="4" w:space="0" w:color="auto"/>
            </w:tcBorders>
            <w:shd w:val="clear" w:color="auto" w:fill="auto"/>
            <w:vAlign w:val="center"/>
          </w:tcPr>
          <w:p w14:paraId="71AD7276" w14:textId="77777777" w:rsidR="00440295" w:rsidRPr="00F63AD8" w:rsidRDefault="00440295" w:rsidP="00034511">
            <w:pPr>
              <w:rPr>
                <w:rFonts w:ascii="Tahoma" w:hAnsi="Tahoma" w:cs="Tahoma"/>
                <w:sz w:val="18"/>
                <w:szCs w:val="18"/>
              </w:rPr>
            </w:pPr>
            <w:r w:rsidRPr="00F63AD8">
              <w:rPr>
                <w:rFonts w:ascii="Tahoma" w:hAnsi="Tahoma" w:cs="Tahoma"/>
                <w:sz w:val="18"/>
                <w:szCs w:val="18"/>
              </w:rPr>
              <w:t>За счет установленного Лимита кредитования</w:t>
            </w:r>
          </w:p>
        </w:tc>
        <w:tc>
          <w:tcPr>
            <w:tcW w:w="1786" w:type="pct"/>
            <w:tcBorders>
              <w:top w:val="single" w:sz="4" w:space="0" w:color="auto"/>
            </w:tcBorders>
            <w:shd w:val="clear" w:color="auto" w:fill="auto"/>
            <w:vAlign w:val="center"/>
          </w:tcPr>
          <w:p w14:paraId="260D1F67" w14:textId="77777777" w:rsidR="00440295" w:rsidRPr="00F63AD8" w:rsidRDefault="00440295" w:rsidP="00034511">
            <w:pPr>
              <w:jc w:val="center"/>
              <w:rPr>
                <w:rFonts w:ascii="Tahoma" w:hAnsi="Tahoma" w:cs="Tahoma"/>
                <w:bCs/>
                <w:sz w:val="18"/>
                <w:szCs w:val="18"/>
              </w:rPr>
            </w:pPr>
            <w:r w:rsidRPr="00F63AD8">
              <w:rPr>
                <w:rFonts w:ascii="Tahoma" w:hAnsi="Tahoma" w:cs="Tahoma"/>
                <w:bCs/>
                <w:sz w:val="18"/>
                <w:szCs w:val="18"/>
              </w:rPr>
              <w:t xml:space="preserve">5,9% от суммы кредитных денежных средств (Лимита кредитования), переводимых Клиентом +590 рублей </w:t>
            </w:r>
          </w:p>
          <w:p w14:paraId="607A7E52" w14:textId="77777777" w:rsidR="00440295" w:rsidRPr="00F63AD8" w:rsidRDefault="00440295" w:rsidP="00034511">
            <w:pPr>
              <w:jc w:val="center"/>
              <w:rPr>
                <w:rFonts w:ascii="Tahoma" w:hAnsi="Tahoma" w:cs="Tahoma"/>
                <w:bCs/>
                <w:sz w:val="18"/>
                <w:szCs w:val="18"/>
              </w:rPr>
            </w:pPr>
            <w:r w:rsidRPr="00F63AD8">
              <w:rPr>
                <w:rFonts w:ascii="Tahoma" w:hAnsi="Tahoma" w:cs="Tahoma"/>
                <w:bCs/>
                <w:sz w:val="18"/>
                <w:szCs w:val="18"/>
              </w:rPr>
              <w:t>+1,5% от всей суммы переводимых денежных средств+150 рублей</w:t>
            </w:r>
          </w:p>
        </w:tc>
      </w:tr>
      <w:tr w:rsidR="00440295" w:rsidRPr="00F63AD8" w14:paraId="0EE7B38A" w14:textId="77777777" w:rsidTr="00034511">
        <w:tblPrEx>
          <w:tblLook w:val="04A0" w:firstRow="1" w:lastRow="0" w:firstColumn="1" w:lastColumn="0" w:noHBand="0" w:noVBand="1"/>
        </w:tblPrEx>
        <w:trPr>
          <w:gridAfter w:val="1"/>
          <w:wAfter w:w="103" w:type="pct"/>
          <w:trHeight w:val="250"/>
          <w:tblHeader/>
        </w:trPr>
        <w:tc>
          <w:tcPr>
            <w:tcW w:w="324" w:type="pct"/>
            <w:gridSpan w:val="2"/>
            <w:vMerge/>
            <w:tcBorders>
              <w:left w:val="single" w:sz="4" w:space="0" w:color="auto"/>
              <w:right w:val="single" w:sz="4" w:space="0" w:color="auto"/>
            </w:tcBorders>
            <w:shd w:val="clear" w:color="auto" w:fill="D9D9D9" w:themeFill="background1" w:themeFillShade="D9"/>
            <w:noWrap/>
            <w:vAlign w:val="center"/>
          </w:tcPr>
          <w:p w14:paraId="5FAE7707" w14:textId="77777777" w:rsidR="00440295" w:rsidRPr="00F63AD8" w:rsidRDefault="00440295" w:rsidP="00034511">
            <w:pPr>
              <w:jc w:val="center"/>
              <w:rPr>
                <w:rFonts w:ascii="Tahoma" w:hAnsi="Tahoma" w:cs="Tahoma"/>
                <w:sz w:val="18"/>
                <w:szCs w:val="18"/>
              </w:rPr>
            </w:pPr>
          </w:p>
        </w:tc>
        <w:tc>
          <w:tcPr>
            <w:tcW w:w="693" w:type="pct"/>
            <w:vMerge/>
            <w:tcBorders>
              <w:left w:val="single" w:sz="4" w:space="0" w:color="auto"/>
              <w:right w:val="single" w:sz="4" w:space="0" w:color="auto"/>
            </w:tcBorders>
            <w:shd w:val="clear" w:color="auto" w:fill="auto"/>
            <w:vAlign w:val="center"/>
          </w:tcPr>
          <w:p w14:paraId="4319432D" w14:textId="77777777" w:rsidR="00440295" w:rsidRPr="00F63AD8" w:rsidRDefault="00440295" w:rsidP="00034511">
            <w:pPr>
              <w:rPr>
                <w:rFonts w:ascii="Tahoma" w:hAnsi="Tahoma" w:cs="Tahoma"/>
                <w:sz w:val="18"/>
                <w:szCs w:val="18"/>
              </w:rPr>
            </w:pPr>
          </w:p>
        </w:tc>
        <w:tc>
          <w:tcPr>
            <w:tcW w:w="785" w:type="pct"/>
            <w:gridSpan w:val="2"/>
            <w:vMerge/>
            <w:tcBorders>
              <w:left w:val="single" w:sz="4" w:space="0" w:color="auto"/>
            </w:tcBorders>
            <w:shd w:val="clear" w:color="auto" w:fill="auto"/>
            <w:vAlign w:val="center"/>
          </w:tcPr>
          <w:p w14:paraId="3B32E3F3" w14:textId="77777777" w:rsidR="00440295" w:rsidRPr="00F63AD8" w:rsidRDefault="00440295" w:rsidP="00034511">
            <w:pPr>
              <w:rPr>
                <w:rFonts w:ascii="Tahoma" w:hAnsi="Tahoma" w:cs="Tahoma"/>
                <w:color w:val="000000"/>
                <w:sz w:val="18"/>
                <w:szCs w:val="18"/>
              </w:rPr>
            </w:pPr>
          </w:p>
        </w:tc>
        <w:tc>
          <w:tcPr>
            <w:tcW w:w="1308" w:type="pct"/>
            <w:gridSpan w:val="2"/>
            <w:shd w:val="clear" w:color="auto" w:fill="auto"/>
            <w:vAlign w:val="center"/>
          </w:tcPr>
          <w:p w14:paraId="2A5FA983" w14:textId="77777777" w:rsidR="00440295" w:rsidRPr="00F63AD8" w:rsidRDefault="00440295" w:rsidP="00034511">
            <w:pPr>
              <w:rPr>
                <w:rFonts w:ascii="Tahoma" w:hAnsi="Tahoma" w:cs="Tahoma"/>
                <w:sz w:val="18"/>
                <w:szCs w:val="18"/>
              </w:rPr>
            </w:pPr>
            <w:r w:rsidRPr="00F63AD8">
              <w:rPr>
                <w:rFonts w:ascii="Tahoma" w:hAnsi="Tahoma" w:cs="Tahoma"/>
                <w:sz w:val="18"/>
                <w:szCs w:val="18"/>
              </w:rPr>
              <w:t>При положительном балансе на Счете Карты (наличии средств, находящихся на Счете Карты сверх установленного Лимита кредитования)</w:t>
            </w:r>
          </w:p>
        </w:tc>
        <w:tc>
          <w:tcPr>
            <w:tcW w:w="1786" w:type="pct"/>
            <w:shd w:val="clear" w:color="auto" w:fill="auto"/>
            <w:vAlign w:val="center"/>
          </w:tcPr>
          <w:p w14:paraId="32F6BDF7" w14:textId="77777777" w:rsidR="00440295" w:rsidRPr="00F63AD8" w:rsidRDefault="00440295" w:rsidP="00034511">
            <w:pPr>
              <w:jc w:val="center"/>
              <w:rPr>
                <w:rFonts w:ascii="Tahoma" w:hAnsi="Tahoma" w:cs="Tahoma"/>
                <w:bCs/>
                <w:sz w:val="18"/>
                <w:szCs w:val="18"/>
              </w:rPr>
            </w:pPr>
            <w:r w:rsidRPr="00F63AD8">
              <w:rPr>
                <w:rFonts w:ascii="Tahoma" w:hAnsi="Tahoma" w:cs="Tahoma"/>
                <w:bCs/>
                <w:sz w:val="18"/>
                <w:szCs w:val="18"/>
              </w:rPr>
              <w:t>1,5% от всей суммы переводимых денежных средств+150 рублей;</w:t>
            </w:r>
          </w:p>
          <w:p w14:paraId="3EE26920" w14:textId="77777777" w:rsidR="00440295" w:rsidRPr="00F63AD8" w:rsidRDefault="00440295" w:rsidP="00034511">
            <w:pPr>
              <w:jc w:val="center"/>
              <w:rPr>
                <w:rFonts w:ascii="Tahoma" w:hAnsi="Tahoma" w:cs="Tahoma"/>
                <w:bCs/>
                <w:sz w:val="18"/>
                <w:szCs w:val="18"/>
              </w:rPr>
            </w:pPr>
          </w:p>
        </w:tc>
      </w:tr>
      <w:tr w:rsidR="00440295" w:rsidRPr="00F63AD8" w14:paraId="2C31CFB3" w14:textId="77777777" w:rsidTr="00034511">
        <w:tblPrEx>
          <w:tblLook w:val="04A0" w:firstRow="1" w:lastRow="0" w:firstColumn="1" w:lastColumn="0" w:noHBand="0" w:noVBand="1"/>
        </w:tblPrEx>
        <w:trPr>
          <w:gridAfter w:val="1"/>
          <w:wAfter w:w="103" w:type="pct"/>
          <w:trHeight w:val="360"/>
          <w:tblHeader/>
        </w:trPr>
        <w:tc>
          <w:tcPr>
            <w:tcW w:w="324" w:type="pct"/>
            <w:gridSpan w:val="2"/>
            <w:vMerge w:val="restart"/>
            <w:shd w:val="clear" w:color="auto" w:fill="D9D9D9" w:themeFill="background1" w:themeFillShade="D9"/>
            <w:noWrap/>
            <w:vAlign w:val="center"/>
          </w:tcPr>
          <w:p w14:paraId="69DF7079"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7.5.4.</w:t>
            </w:r>
          </w:p>
        </w:tc>
        <w:tc>
          <w:tcPr>
            <w:tcW w:w="693" w:type="pct"/>
            <w:vMerge w:val="restart"/>
            <w:shd w:val="clear" w:color="auto" w:fill="auto"/>
            <w:vAlign w:val="center"/>
          </w:tcPr>
          <w:p w14:paraId="3BEACCC4" w14:textId="77777777" w:rsidR="00440295" w:rsidRPr="00F63AD8" w:rsidRDefault="00440295" w:rsidP="00034511">
            <w:pPr>
              <w:rPr>
                <w:rFonts w:ascii="Tahoma" w:hAnsi="Tahoma" w:cs="Tahoma"/>
                <w:sz w:val="18"/>
                <w:szCs w:val="18"/>
              </w:rPr>
            </w:pPr>
            <w:r w:rsidRPr="00F63AD8">
              <w:rPr>
                <w:rFonts w:ascii="Tahoma" w:hAnsi="Tahoma" w:cs="Tahoma"/>
                <w:sz w:val="18"/>
                <w:szCs w:val="18"/>
              </w:rPr>
              <w:t>Перевод с Карты Клиента, эмитированной Банком, на Счета/Карты Банка/ других банков, в сторонних сервисах (банкоматы, сайты и мобильные приложения других банков, в сети Интернет (без учета комиссии других банков)</w:t>
            </w:r>
            <w:r w:rsidRPr="00F63AD8">
              <w:rPr>
                <w:rFonts w:ascii="Tahoma" w:hAnsi="Tahoma" w:cs="Tahoma"/>
                <w:sz w:val="18"/>
                <w:szCs w:val="18"/>
                <w:vertAlign w:val="superscript"/>
              </w:rPr>
              <w:t xml:space="preserve"> 7,10</w:t>
            </w:r>
          </w:p>
        </w:tc>
        <w:tc>
          <w:tcPr>
            <w:tcW w:w="785" w:type="pct"/>
            <w:gridSpan w:val="2"/>
            <w:vMerge w:val="restart"/>
            <w:shd w:val="clear" w:color="auto" w:fill="auto"/>
            <w:vAlign w:val="center"/>
          </w:tcPr>
          <w:p w14:paraId="39BE49E1" w14:textId="77777777" w:rsidR="00440295" w:rsidRPr="00F63AD8" w:rsidRDefault="00440295" w:rsidP="00034511">
            <w:pPr>
              <w:rPr>
                <w:rFonts w:ascii="Tahoma" w:hAnsi="Tahoma" w:cs="Tahoma"/>
                <w:sz w:val="18"/>
                <w:szCs w:val="18"/>
              </w:rPr>
            </w:pPr>
            <w:r w:rsidRPr="00F63AD8">
              <w:rPr>
                <w:rFonts w:ascii="Tahoma" w:hAnsi="Tahoma" w:cs="Tahoma"/>
                <w:sz w:val="18"/>
                <w:szCs w:val="18"/>
              </w:rPr>
              <w:t>На Счета, Карты (</w:t>
            </w:r>
            <w:r w:rsidRPr="00F63AD8">
              <w:rPr>
                <w:rFonts w:ascii="Tahoma" w:hAnsi="Tahoma" w:cs="Tahoma"/>
                <w:sz w:val="18"/>
                <w:szCs w:val="18"/>
                <w:lang w:val="en-US"/>
              </w:rPr>
              <w:t>VISA</w:t>
            </w:r>
            <w:r w:rsidRPr="00F63AD8">
              <w:rPr>
                <w:rFonts w:ascii="Tahoma" w:hAnsi="Tahoma" w:cs="Tahoma"/>
                <w:sz w:val="18"/>
                <w:szCs w:val="18"/>
              </w:rPr>
              <w:t>/</w:t>
            </w:r>
            <w:r w:rsidRPr="00F63AD8">
              <w:rPr>
                <w:rFonts w:ascii="Tahoma" w:hAnsi="Tahoma" w:cs="Tahoma"/>
                <w:sz w:val="18"/>
                <w:szCs w:val="18"/>
                <w:lang w:val="en-US"/>
              </w:rPr>
              <w:t>MasterCard</w:t>
            </w:r>
            <w:r w:rsidRPr="00F63AD8">
              <w:rPr>
                <w:rFonts w:ascii="Tahoma" w:hAnsi="Tahoma" w:cs="Tahoma"/>
                <w:sz w:val="18"/>
                <w:szCs w:val="18"/>
              </w:rPr>
              <w:t>/МИР)</w:t>
            </w:r>
          </w:p>
          <w:p w14:paraId="54250BF0" w14:textId="77777777" w:rsidR="00440295" w:rsidRPr="00F63AD8" w:rsidRDefault="00440295" w:rsidP="00034511">
            <w:pPr>
              <w:rPr>
                <w:rFonts w:ascii="Tahoma" w:hAnsi="Tahoma" w:cs="Tahoma"/>
                <w:color w:val="000000"/>
                <w:sz w:val="18"/>
                <w:szCs w:val="18"/>
              </w:rPr>
            </w:pPr>
            <w:r w:rsidRPr="00F63AD8">
              <w:rPr>
                <w:rFonts w:ascii="Tahoma" w:hAnsi="Tahoma" w:cs="Tahoma"/>
                <w:sz w:val="18"/>
                <w:szCs w:val="18"/>
              </w:rPr>
              <w:t>Банка</w:t>
            </w:r>
          </w:p>
        </w:tc>
        <w:tc>
          <w:tcPr>
            <w:tcW w:w="1308" w:type="pct"/>
            <w:gridSpan w:val="2"/>
            <w:shd w:val="clear" w:color="auto" w:fill="auto"/>
            <w:vAlign w:val="center"/>
          </w:tcPr>
          <w:p w14:paraId="2C47CFCE" w14:textId="77777777" w:rsidR="00440295" w:rsidRPr="00F63AD8" w:rsidRDefault="00440295" w:rsidP="00034511">
            <w:pPr>
              <w:rPr>
                <w:rFonts w:ascii="Tahoma" w:hAnsi="Tahoma" w:cs="Tahoma"/>
                <w:sz w:val="18"/>
                <w:szCs w:val="18"/>
              </w:rPr>
            </w:pPr>
            <w:r w:rsidRPr="00F63AD8">
              <w:rPr>
                <w:rFonts w:ascii="Tahoma" w:hAnsi="Tahoma" w:cs="Tahoma"/>
                <w:sz w:val="18"/>
                <w:szCs w:val="18"/>
              </w:rPr>
              <w:t>За счет установленного Лимита кредитования</w:t>
            </w:r>
          </w:p>
        </w:tc>
        <w:tc>
          <w:tcPr>
            <w:tcW w:w="1786" w:type="pct"/>
            <w:shd w:val="clear" w:color="auto" w:fill="auto"/>
            <w:vAlign w:val="center"/>
          </w:tcPr>
          <w:p w14:paraId="59FBCE9A" w14:textId="77777777" w:rsidR="00440295" w:rsidRPr="00F63AD8" w:rsidRDefault="00440295" w:rsidP="00034511">
            <w:pPr>
              <w:jc w:val="center"/>
              <w:rPr>
                <w:rFonts w:ascii="Tahoma" w:hAnsi="Tahoma" w:cs="Tahoma"/>
                <w:b/>
                <w:bCs/>
                <w:sz w:val="18"/>
                <w:szCs w:val="18"/>
              </w:rPr>
            </w:pPr>
            <w:r w:rsidRPr="00F63AD8">
              <w:rPr>
                <w:rFonts w:ascii="Tahoma" w:hAnsi="Tahoma" w:cs="Tahoma"/>
                <w:bCs/>
                <w:sz w:val="18"/>
                <w:szCs w:val="18"/>
              </w:rPr>
              <w:t>5,9% от суммы кредитных денежных средств (Лимита кредитования), переводимых Клиентом +590 рублей</w:t>
            </w:r>
          </w:p>
        </w:tc>
      </w:tr>
      <w:tr w:rsidR="00440295" w:rsidRPr="00F63AD8" w14:paraId="41188F2D" w14:textId="77777777" w:rsidTr="00034511">
        <w:tblPrEx>
          <w:tblLook w:val="04A0" w:firstRow="1" w:lastRow="0" w:firstColumn="1" w:lastColumn="0" w:noHBand="0" w:noVBand="1"/>
        </w:tblPrEx>
        <w:trPr>
          <w:gridAfter w:val="1"/>
          <w:wAfter w:w="103" w:type="pct"/>
          <w:trHeight w:val="862"/>
          <w:tblHeader/>
        </w:trPr>
        <w:tc>
          <w:tcPr>
            <w:tcW w:w="324" w:type="pct"/>
            <w:gridSpan w:val="2"/>
            <w:vMerge/>
            <w:shd w:val="clear" w:color="auto" w:fill="D9D9D9" w:themeFill="background1" w:themeFillShade="D9"/>
            <w:noWrap/>
            <w:vAlign w:val="center"/>
          </w:tcPr>
          <w:p w14:paraId="0DF9D322" w14:textId="77777777" w:rsidR="00440295" w:rsidRPr="00F63AD8" w:rsidRDefault="00440295" w:rsidP="00034511">
            <w:pPr>
              <w:jc w:val="center"/>
              <w:rPr>
                <w:rFonts w:ascii="Tahoma" w:hAnsi="Tahoma" w:cs="Tahoma"/>
                <w:sz w:val="18"/>
                <w:szCs w:val="18"/>
              </w:rPr>
            </w:pPr>
          </w:p>
        </w:tc>
        <w:tc>
          <w:tcPr>
            <w:tcW w:w="693" w:type="pct"/>
            <w:vMerge/>
            <w:shd w:val="clear" w:color="auto" w:fill="auto"/>
            <w:vAlign w:val="center"/>
          </w:tcPr>
          <w:p w14:paraId="44256F4E" w14:textId="77777777" w:rsidR="00440295" w:rsidRPr="00F63AD8" w:rsidRDefault="00440295" w:rsidP="00034511">
            <w:pPr>
              <w:rPr>
                <w:rFonts w:ascii="Tahoma" w:hAnsi="Tahoma" w:cs="Tahoma"/>
                <w:sz w:val="18"/>
                <w:szCs w:val="18"/>
              </w:rPr>
            </w:pPr>
          </w:p>
        </w:tc>
        <w:tc>
          <w:tcPr>
            <w:tcW w:w="785" w:type="pct"/>
            <w:gridSpan w:val="2"/>
            <w:vMerge/>
            <w:shd w:val="clear" w:color="auto" w:fill="auto"/>
            <w:vAlign w:val="center"/>
          </w:tcPr>
          <w:p w14:paraId="6B2BE6C3" w14:textId="77777777" w:rsidR="00440295" w:rsidRPr="00F63AD8" w:rsidRDefault="00440295" w:rsidP="00034511">
            <w:pPr>
              <w:rPr>
                <w:rFonts w:ascii="Tahoma" w:hAnsi="Tahoma" w:cs="Tahoma"/>
                <w:sz w:val="18"/>
                <w:szCs w:val="18"/>
              </w:rPr>
            </w:pPr>
          </w:p>
        </w:tc>
        <w:tc>
          <w:tcPr>
            <w:tcW w:w="1308" w:type="pct"/>
            <w:gridSpan w:val="2"/>
            <w:shd w:val="clear" w:color="auto" w:fill="auto"/>
            <w:vAlign w:val="center"/>
          </w:tcPr>
          <w:p w14:paraId="0E40C878" w14:textId="77777777" w:rsidR="00440295" w:rsidRPr="00F63AD8" w:rsidRDefault="00440295" w:rsidP="00034511">
            <w:pPr>
              <w:rPr>
                <w:rFonts w:ascii="Tahoma" w:hAnsi="Tahoma" w:cs="Tahoma"/>
                <w:sz w:val="18"/>
                <w:szCs w:val="18"/>
              </w:rPr>
            </w:pPr>
            <w:r w:rsidRPr="00F63AD8">
              <w:rPr>
                <w:rFonts w:ascii="Tahoma" w:hAnsi="Tahoma" w:cs="Tahoma"/>
                <w:sz w:val="18"/>
                <w:szCs w:val="18"/>
              </w:rPr>
              <w:t>При положительном балансе на Счете Карты (наличии средств, находящихся на Счете Карты сверх установленного Лимита кредитования)</w:t>
            </w:r>
          </w:p>
        </w:tc>
        <w:tc>
          <w:tcPr>
            <w:tcW w:w="1786" w:type="pct"/>
            <w:shd w:val="clear" w:color="auto" w:fill="auto"/>
            <w:vAlign w:val="center"/>
          </w:tcPr>
          <w:p w14:paraId="6657605C"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БЕСПЛАТНО</w:t>
            </w:r>
          </w:p>
        </w:tc>
      </w:tr>
      <w:tr w:rsidR="00440295" w:rsidRPr="00F63AD8" w14:paraId="7990A258" w14:textId="77777777" w:rsidTr="00034511">
        <w:tblPrEx>
          <w:tblLook w:val="04A0" w:firstRow="1" w:lastRow="0" w:firstColumn="1" w:lastColumn="0" w:noHBand="0" w:noVBand="1"/>
        </w:tblPrEx>
        <w:trPr>
          <w:gridAfter w:val="1"/>
          <w:wAfter w:w="103" w:type="pct"/>
          <w:trHeight w:val="525"/>
          <w:tblHeader/>
        </w:trPr>
        <w:tc>
          <w:tcPr>
            <w:tcW w:w="324" w:type="pct"/>
            <w:gridSpan w:val="2"/>
            <w:vMerge/>
            <w:shd w:val="clear" w:color="auto" w:fill="D9D9D9" w:themeFill="background1" w:themeFillShade="D9"/>
            <w:noWrap/>
            <w:vAlign w:val="center"/>
          </w:tcPr>
          <w:p w14:paraId="66397E72" w14:textId="77777777" w:rsidR="00440295" w:rsidRPr="00F63AD8" w:rsidRDefault="00440295" w:rsidP="00034511">
            <w:pPr>
              <w:jc w:val="center"/>
              <w:rPr>
                <w:rFonts w:ascii="Tahoma" w:hAnsi="Tahoma" w:cs="Tahoma"/>
                <w:sz w:val="18"/>
                <w:szCs w:val="18"/>
              </w:rPr>
            </w:pPr>
          </w:p>
        </w:tc>
        <w:tc>
          <w:tcPr>
            <w:tcW w:w="693" w:type="pct"/>
            <w:vMerge/>
            <w:shd w:val="clear" w:color="auto" w:fill="auto"/>
            <w:vAlign w:val="center"/>
          </w:tcPr>
          <w:p w14:paraId="46B4D818" w14:textId="77777777" w:rsidR="00440295" w:rsidRPr="00F63AD8" w:rsidRDefault="00440295" w:rsidP="00034511">
            <w:pPr>
              <w:rPr>
                <w:rFonts w:ascii="Tahoma" w:hAnsi="Tahoma" w:cs="Tahoma"/>
                <w:sz w:val="18"/>
                <w:szCs w:val="18"/>
              </w:rPr>
            </w:pPr>
          </w:p>
        </w:tc>
        <w:tc>
          <w:tcPr>
            <w:tcW w:w="785" w:type="pct"/>
            <w:gridSpan w:val="2"/>
            <w:vMerge w:val="restart"/>
            <w:shd w:val="clear" w:color="auto" w:fill="auto"/>
            <w:vAlign w:val="center"/>
          </w:tcPr>
          <w:p w14:paraId="22D2F427" w14:textId="77777777" w:rsidR="00440295" w:rsidRPr="00F63AD8" w:rsidRDefault="00440295" w:rsidP="00034511">
            <w:pPr>
              <w:rPr>
                <w:rFonts w:ascii="Tahoma" w:hAnsi="Tahoma" w:cs="Tahoma"/>
                <w:sz w:val="18"/>
                <w:szCs w:val="18"/>
              </w:rPr>
            </w:pPr>
            <w:r w:rsidRPr="00F63AD8">
              <w:rPr>
                <w:rFonts w:ascii="Tahoma" w:hAnsi="Tahoma" w:cs="Tahoma"/>
                <w:sz w:val="18"/>
                <w:szCs w:val="18"/>
              </w:rPr>
              <w:t>На Счета/Карты (</w:t>
            </w:r>
            <w:r w:rsidRPr="00F63AD8">
              <w:rPr>
                <w:rFonts w:ascii="Tahoma" w:hAnsi="Tahoma" w:cs="Tahoma"/>
                <w:sz w:val="18"/>
                <w:szCs w:val="18"/>
                <w:lang w:val="en-US"/>
              </w:rPr>
              <w:t>VISA</w:t>
            </w:r>
            <w:r w:rsidRPr="00F63AD8">
              <w:rPr>
                <w:rFonts w:ascii="Tahoma" w:hAnsi="Tahoma" w:cs="Tahoma"/>
                <w:sz w:val="18"/>
                <w:szCs w:val="18"/>
              </w:rPr>
              <w:t>/</w:t>
            </w:r>
            <w:r w:rsidRPr="00F63AD8">
              <w:rPr>
                <w:rFonts w:ascii="Tahoma" w:hAnsi="Tahoma" w:cs="Tahoma"/>
                <w:sz w:val="18"/>
                <w:szCs w:val="18"/>
                <w:lang w:val="en-US"/>
              </w:rPr>
              <w:t>MasterCard</w:t>
            </w:r>
            <w:r w:rsidRPr="00F63AD8">
              <w:rPr>
                <w:rFonts w:ascii="Tahoma" w:hAnsi="Tahoma" w:cs="Tahoma"/>
                <w:sz w:val="18"/>
                <w:szCs w:val="18"/>
              </w:rPr>
              <w:t>/МИР) другого российского банка</w:t>
            </w:r>
          </w:p>
        </w:tc>
        <w:tc>
          <w:tcPr>
            <w:tcW w:w="1308" w:type="pct"/>
            <w:gridSpan w:val="2"/>
            <w:shd w:val="clear" w:color="auto" w:fill="auto"/>
            <w:vAlign w:val="center"/>
          </w:tcPr>
          <w:p w14:paraId="11ED3112" w14:textId="77777777" w:rsidR="00440295" w:rsidRPr="00F63AD8" w:rsidRDefault="00440295" w:rsidP="00034511">
            <w:pPr>
              <w:rPr>
                <w:rFonts w:ascii="Tahoma" w:hAnsi="Tahoma" w:cs="Tahoma"/>
                <w:sz w:val="18"/>
                <w:szCs w:val="18"/>
              </w:rPr>
            </w:pPr>
            <w:r w:rsidRPr="00F63AD8">
              <w:rPr>
                <w:rFonts w:ascii="Tahoma" w:hAnsi="Tahoma" w:cs="Tahoma"/>
                <w:sz w:val="18"/>
                <w:szCs w:val="18"/>
              </w:rPr>
              <w:t>За счет установленного Лимита кредитования</w:t>
            </w:r>
          </w:p>
        </w:tc>
        <w:tc>
          <w:tcPr>
            <w:tcW w:w="1786" w:type="pct"/>
            <w:shd w:val="clear" w:color="auto" w:fill="auto"/>
            <w:vAlign w:val="center"/>
          </w:tcPr>
          <w:p w14:paraId="53803C28" w14:textId="77777777" w:rsidR="00440295" w:rsidRPr="00F63AD8" w:rsidRDefault="00440295" w:rsidP="00034511">
            <w:pPr>
              <w:jc w:val="center"/>
              <w:rPr>
                <w:rFonts w:ascii="Tahoma" w:hAnsi="Tahoma" w:cs="Tahoma"/>
                <w:bCs/>
                <w:sz w:val="18"/>
                <w:szCs w:val="18"/>
              </w:rPr>
            </w:pPr>
            <w:r w:rsidRPr="00F63AD8">
              <w:rPr>
                <w:rFonts w:ascii="Tahoma" w:hAnsi="Tahoma" w:cs="Tahoma"/>
                <w:bCs/>
                <w:sz w:val="18"/>
                <w:szCs w:val="18"/>
              </w:rPr>
              <w:t>5,9% от суммы кредитных денежных средств (Лимита кредитования), переводимых Клиентом +590 рублей</w:t>
            </w:r>
          </w:p>
        </w:tc>
      </w:tr>
      <w:tr w:rsidR="00440295" w:rsidRPr="00F63AD8" w14:paraId="11D8ACA8" w14:textId="77777777" w:rsidTr="00034511">
        <w:tblPrEx>
          <w:tblLook w:val="04A0" w:firstRow="1" w:lastRow="0" w:firstColumn="1" w:lastColumn="0" w:noHBand="0" w:noVBand="1"/>
        </w:tblPrEx>
        <w:trPr>
          <w:gridAfter w:val="1"/>
          <w:wAfter w:w="103" w:type="pct"/>
          <w:trHeight w:val="946"/>
          <w:tblHeader/>
        </w:trPr>
        <w:tc>
          <w:tcPr>
            <w:tcW w:w="324" w:type="pct"/>
            <w:gridSpan w:val="2"/>
            <w:vMerge/>
            <w:shd w:val="clear" w:color="auto" w:fill="D9D9D9" w:themeFill="background1" w:themeFillShade="D9"/>
            <w:noWrap/>
            <w:vAlign w:val="center"/>
          </w:tcPr>
          <w:p w14:paraId="3CB105AD" w14:textId="77777777" w:rsidR="00440295" w:rsidRPr="00F63AD8" w:rsidRDefault="00440295" w:rsidP="00034511">
            <w:pPr>
              <w:jc w:val="center"/>
              <w:rPr>
                <w:rFonts w:ascii="Tahoma" w:hAnsi="Tahoma" w:cs="Tahoma"/>
                <w:sz w:val="18"/>
                <w:szCs w:val="18"/>
              </w:rPr>
            </w:pPr>
          </w:p>
        </w:tc>
        <w:tc>
          <w:tcPr>
            <w:tcW w:w="693" w:type="pct"/>
            <w:vMerge/>
            <w:shd w:val="clear" w:color="auto" w:fill="auto"/>
            <w:vAlign w:val="center"/>
          </w:tcPr>
          <w:p w14:paraId="6E33937D" w14:textId="77777777" w:rsidR="00440295" w:rsidRPr="00F63AD8" w:rsidRDefault="00440295" w:rsidP="00034511">
            <w:pPr>
              <w:rPr>
                <w:rFonts w:ascii="Tahoma" w:hAnsi="Tahoma" w:cs="Tahoma"/>
                <w:sz w:val="18"/>
                <w:szCs w:val="18"/>
              </w:rPr>
            </w:pPr>
          </w:p>
        </w:tc>
        <w:tc>
          <w:tcPr>
            <w:tcW w:w="785" w:type="pct"/>
            <w:gridSpan w:val="2"/>
            <w:vMerge/>
            <w:shd w:val="clear" w:color="auto" w:fill="auto"/>
            <w:vAlign w:val="center"/>
          </w:tcPr>
          <w:p w14:paraId="4BAE13DA" w14:textId="77777777" w:rsidR="00440295" w:rsidRPr="00F63AD8" w:rsidRDefault="00440295" w:rsidP="00034511">
            <w:pPr>
              <w:rPr>
                <w:rFonts w:ascii="Tahoma" w:hAnsi="Tahoma" w:cs="Tahoma"/>
                <w:sz w:val="18"/>
                <w:szCs w:val="18"/>
              </w:rPr>
            </w:pPr>
          </w:p>
        </w:tc>
        <w:tc>
          <w:tcPr>
            <w:tcW w:w="1308" w:type="pct"/>
            <w:gridSpan w:val="2"/>
            <w:shd w:val="clear" w:color="auto" w:fill="auto"/>
            <w:vAlign w:val="center"/>
          </w:tcPr>
          <w:p w14:paraId="703C6C55" w14:textId="77777777" w:rsidR="00440295" w:rsidRPr="00F63AD8" w:rsidRDefault="00440295" w:rsidP="00034511">
            <w:pPr>
              <w:rPr>
                <w:rFonts w:ascii="Tahoma" w:hAnsi="Tahoma" w:cs="Tahoma"/>
                <w:sz w:val="18"/>
                <w:szCs w:val="18"/>
              </w:rPr>
            </w:pPr>
            <w:r w:rsidRPr="00F63AD8">
              <w:rPr>
                <w:rFonts w:ascii="Tahoma" w:hAnsi="Tahoma" w:cs="Tahoma"/>
                <w:sz w:val="18"/>
                <w:szCs w:val="18"/>
              </w:rPr>
              <w:t>При положительном балансе на Счете Карты (наличии средств, находящихся на Счете Карты сверх установленного Лимита кредитования)</w:t>
            </w:r>
          </w:p>
        </w:tc>
        <w:tc>
          <w:tcPr>
            <w:tcW w:w="1786" w:type="pct"/>
            <w:shd w:val="clear" w:color="auto" w:fill="auto"/>
            <w:vAlign w:val="center"/>
          </w:tcPr>
          <w:p w14:paraId="5914E66C" w14:textId="77777777" w:rsidR="00440295" w:rsidRPr="00F63AD8" w:rsidRDefault="00440295" w:rsidP="00034511">
            <w:pPr>
              <w:jc w:val="center"/>
              <w:rPr>
                <w:rFonts w:ascii="Tahoma" w:hAnsi="Tahoma" w:cs="Tahoma"/>
                <w:bCs/>
                <w:sz w:val="18"/>
                <w:szCs w:val="18"/>
              </w:rPr>
            </w:pPr>
            <w:r w:rsidRPr="00F63AD8">
              <w:rPr>
                <w:rFonts w:ascii="Tahoma" w:hAnsi="Tahoma" w:cs="Tahoma"/>
                <w:b/>
                <w:bCs/>
                <w:sz w:val="18"/>
                <w:szCs w:val="18"/>
              </w:rPr>
              <w:t>БЕСПЛАТНО</w:t>
            </w:r>
          </w:p>
        </w:tc>
      </w:tr>
      <w:tr w:rsidR="00440295" w:rsidRPr="00F63AD8" w14:paraId="03F2415F" w14:textId="77777777" w:rsidTr="00034511">
        <w:tblPrEx>
          <w:tblLook w:val="04A0" w:firstRow="1" w:lastRow="0" w:firstColumn="1" w:lastColumn="0" w:noHBand="0" w:noVBand="1"/>
        </w:tblPrEx>
        <w:trPr>
          <w:gridAfter w:val="1"/>
          <w:wAfter w:w="103" w:type="pct"/>
          <w:trHeight w:val="235"/>
          <w:tblHeader/>
        </w:trPr>
        <w:tc>
          <w:tcPr>
            <w:tcW w:w="324" w:type="pct"/>
            <w:gridSpan w:val="2"/>
            <w:shd w:val="clear" w:color="auto" w:fill="D9D9D9" w:themeFill="background1" w:themeFillShade="D9"/>
            <w:noWrap/>
            <w:vAlign w:val="center"/>
          </w:tcPr>
          <w:p w14:paraId="40646054" w14:textId="77777777" w:rsidR="00440295" w:rsidRPr="00F63AD8" w:rsidRDefault="00440295" w:rsidP="00034511">
            <w:pPr>
              <w:jc w:val="center"/>
              <w:rPr>
                <w:rFonts w:ascii="Tahoma" w:hAnsi="Tahoma" w:cs="Tahoma"/>
                <w:b/>
                <w:sz w:val="18"/>
                <w:szCs w:val="18"/>
              </w:rPr>
            </w:pPr>
            <w:r w:rsidRPr="00F63AD8">
              <w:rPr>
                <w:rFonts w:ascii="Tahoma" w:hAnsi="Tahoma" w:cs="Tahoma"/>
                <w:b/>
                <w:sz w:val="18"/>
                <w:szCs w:val="18"/>
              </w:rPr>
              <w:t>7.6.</w:t>
            </w:r>
          </w:p>
        </w:tc>
        <w:tc>
          <w:tcPr>
            <w:tcW w:w="4573" w:type="pct"/>
            <w:gridSpan w:val="6"/>
            <w:shd w:val="clear" w:color="auto" w:fill="D9D9D9" w:themeFill="background1" w:themeFillShade="D9"/>
            <w:vAlign w:val="center"/>
          </w:tcPr>
          <w:p w14:paraId="65D0524D" w14:textId="77777777" w:rsidR="00440295" w:rsidRPr="00F63AD8" w:rsidRDefault="00440295" w:rsidP="00034511">
            <w:pPr>
              <w:jc w:val="center"/>
              <w:rPr>
                <w:rFonts w:ascii="Tahoma" w:hAnsi="Tahoma" w:cs="Tahoma"/>
                <w:b/>
                <w:sz w:val="18"/>
                <w:szCs w:val="18"/>
              </w:rPr>
            </w:pPr>
            <w:r w:rsidRPr="00F63AD8">
              <w:rPr>
                <w:rFonts w:ascii="Tahoma" w:hAnsi="Tahoma" w:cs="Tahoma"/>
                <w:b/>
                <w:sz w:val="18"/>
                <w:szCs w:val="18"/>
              </w:rPr>
              <w:t xml:space="preserve">Дистанционные банковские сервисы </w:t>
            </w:r>
          </w:p>
        </w:tc>
      </w:tr>
      <w:tr w:rsidR="00440295" w:rsidRPr="00F63AD8" w14:paraId="7E642913" w14:textId="77777777" w:rsidTr="00034511">
        <w:tblPrEx>
          <w:tblLook w:val="04A0" w:firstRow="1" w:lastRow="0" w:firstColumn="1" w:lastColumn="0" w:noHBand="0" w:noVBand="1"/>
        </w:tblPrEx>
        <w:trPr>
          <w:gridAfter w:val="1"/>
          <w:wAfter w:w="103" w:type="pct"/>
          <w:trHeight w:val="545"/>
          <w:tblHeader/>
        </w:trPr>
        <w:tc>
          <w:tcPr>
            <w:tcW w:w="324" w:type="pct"/>
            <w:gridSpan w:val="2"/>
            <w:shd w:val="clear" w:color="000000" w:fill="FFFFFF"/>
            <w:noWrap/>
            <w:vAlign w:val="center"/>
          </w:tcPr>
          <w:p w14:paraId="7FC2947A"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7.6.1.</w:t>
            </w:r>
          </w:p>
        </w:tc>
        <w:tc>
          <w:tcPr>
            <w:tcW w:w="2786" w:type="pct"/>
            <w:gridSpan w:val="5"/>
            <w:shd w:val="clear" w:color="000000" w:fill="FFFFFF"/>
            <w:vAlign w:val="center"/>
          </w:tcPr>
          <w:p w14:paraId="66C70AA6" w14:textId="77777777" w:rsidR="00440295" w:rsidRPr="00F63AD8" w:rsidRDefault="00440295" w:rsidP="00034511">
            <w:pPr>
              <w:rPr>
                <w:rFonts w:ascii="Tahoma" w:hAnsi="Tahoma" w:cs="Tahoma"/>
                <w:sz w:val="18"/>
                <w:szCs w:val="18"/>
                <w:vertAlign w:val="superscript"/>
              </w:rPr>
            </w:pPr>
            <w:r w:rsidRPr="00F63AD8">
              <w:rPr>
                <w:rFonts w:ascii="Tahoma" w:hAnsi="Tahoma" w:cs="Tahoma"/>
                <w:sz w:val="18"/>
                <w:szCs w:val="18"/>
              </w:rPr>
              <w:t xml:space="preserve">СМС-информирование (полный пакет): плата за получение уведомлений о приходных и расходных операциях со Счета банковской (платежной) Карты на мобильный телефон (в формате СМС-сообщений, </w:t>
            </w:r>
            <w:r w:rsidRPr="00F63AD8">
              <w:rPr>
                <w:rFonts w:ascii="Tahoma" w:hAnsi="Tahoma" w:cs="Tahoma"/>
                <w:sz w:val="18"/>
                <w:szCs w:val="18"/>
                <w:lang w:val="en-US"/>
              </w:rPr>
              <w:t>Push</w:t>
            </w:r>
            <w:r w:rsidRPr="00F63AD8">
              <w:rPr>
                <w:rFonts w:ascii="Tahoma" w:hAnsi="Tahoma" w:cs="Tahoma"/>
                <w:sz w:val="18"/>
                <w:szCs w:val="18"/>
              </w:rPr>
              <w:t>-уведомлений), ежемесячно</w:t>
            </w:r>
            <w:r w:rsidRPr="00F63AD8">
              <w:rPr>
                <w:rFonts w:ascii="Tahoma" w:hAnsi="Tahoma" w:cs="Tahoma"/>
                <w:sz w:val="18"/>
                <w:szCs w:val="18"/>
                <w:vertAlign w:val="superscript"/>
              </w:rPr>
              <w:t>11</w:t>
            </w:r>
          </w:p>
        </w:tc>
        <w:tc>
          <w:tcPr>
            <w:tcW w:w="1786" w:type="pct"/>
            <w:shd w:val="clear" w:color="auto" w:fill="auto"/>
            <w:noWrap/>
            <w:vAlign w:val="center"/>
          </w:tcPr>
          <w:p w14:paraId="7CF065BB"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89 рублей (действует до 30.11.2024 включительно)</w:t>
            </w:r>
          </w:p>
          <w:p w14:paraId="2D7BB890"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99 рублей (действует с 01.12.2024)</w:t>
            </w:r>
          </w:p>
        </w:tc>
      </w:tr>
      <w:tr w:rsidR="00440295" w:rsidRPr="00F63AD8" w14:paraId="7991AE25" w14:textId="77777777" w:rsidTr="00034511">
        <w:tblPrEx>
          <w:tblLook w:val="04A0" w:firstRow="1" w:lastRow="0" w:firstColumn="1" w:lastColumn="0" w:noHBand="0" w:noVBand="1"/>
        </w:tblPrEx>
        <w:trPr>
          <w:gridAfter w:val="1"/>
          <w:wAfter w:w="103" w:type="pct"/>
          <w:trHeight w:val="619"/>
          <w:tblHeader/>
        </w:trPr>
        <w:tc>
          <w:tcPr>
            <w:tcW w:w="324" w:type="pct"/>
            <w:gridSpan w:val="2"/>
            <w:shd w:val="clear" w:color="auto" w:fill="auto"/>
            <w:noWrap/>
            <w:vAlign w:val="center"/>
          </w:tcPr>
          <w:p w14:paraId="6388CA04"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7.6.2.</w:t>
            </w:r>
          </w:p>
        </w:tc>
        <w:tc>
          <w:tcPr>
            <w:tcW w:w="2786" w:type="pct"/>
            <w:gridSpan w:val="5"/>
            <w:shd w:val="clear" w:color="auto" w:fill="auto"/>
            <w:vAlign w:val="center"/>
            <w:hideMark/>
          </w:tcPr>
          <w:p w14:paraId="11BAEF12" w14:textId="77777777" w:rsidR="00440295" w:rsidRPr="00F63AD8" w:rsidRDefault="00440295" w:rsidP="00034511">
            <w:pPr>
              <w:rPr>
                <w:rFonts w:ascii="Tahoma" w:hAnsi="Tahoma" w:cs="Tahoma"/>
                <w:sz w:val="18"/>
                <w:szCs w:val="18"/>
              </w:rPr>
            </w:pPr>
            <w:r w:rsidRPr="00F63AD8">
              <w:rPr>
                <w:rFonts w:ascii="Tahoma" w:hAnsi="Tahoma" w:cs="Tahoma"/>
                <w:sz w:val="18"/>
                <w:szCs w:val="18"/>
              </w:rPr>
              <w:t xml:space="preserve">СМС-информирование (обязательный пакет): плата за получение уведомлений только о расходных операциях со Счета банковской (платежной) Карты на мобильный телефон (в формате СМС-сообщений, </w:t>
            </w:r>
            <w:r w:rsidRPr="00F63AD8">
              <w:rPr>
                <w:rFonts w:ascii="Tahoma" w:hAnsi="Tahoma" w:cs="Tahoma"/>
                <w:sz w:val="18"/>
                <w:szCs w:val="18"/>
                <w:lang w:val="en-US"/>
              </w:rPr>
              <w:t>Push</w:t>
            </w:r>
            <w:r w:rsidRPr="00F63AD8">
              <w:rPr>
                <w:rFonts w:ascii="Tahoma" w:hAnsi="Tahoma" w:cs="Tahoma"/>
                <w:sz w:val="18"/>
                <w:szCs w:val="18"/>
              </w:rPr>
              <w:t>-уведомлений), ежемесячно</w:t>
            </w:r>
          </w:p>
        </w:tc>
        <w:tc>
          <w:tcPr>
            <w:tcW w:w="1786" w:type="pct"/>
            <w:shd w:val="clear" w:color="auto" w:fill="auto"/>
            <w:noWrap/>
            <w:vAlign w:val="center"/>
            <w:hideMark/>
          </w:tcPr>
          <w:p w14:paraId="4B72436E"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БЕСПЛАТНО</w:t>
            </w:r>
          </w:p>
        </w:tc>
      </w:tr>
      <w:tr w:rsidR="00440295" w:rsidRPr="00F63AD8" w14:paraId="2C3801B4" w14:textId="77777777" w:rsidTr="00034511">
        <w:tblPrEx>
          <w:tblLook w:val="04A0" w:firstRow="1" w:lastRow="0" w:firstColumn="1" w:lastColumn="0" w:noHBand="0" w:noVBand="1"/>
        </w:tblPrEx>
        <w:trPr>
          <w:gridAfter w:val="1"/>
          <w:wAfter w:w="103" w:type="pct"/>
          <w:trHeight w:val="70"/>
          <w:tblHeader/>
        </w:trPr>
        <w:tc>
          <w:tcPr>
            <w:tcW w:w="324" w:type="pct"/>
            <w:gridSpan w:val="2"/>
            <w:shd w:val="clear" w:color="auto" w:fill="auto"/>
            <w:noWrap/>
            <w:vAlign w:val="center"/>
            <w:hideMark/>
          </w:tcPr>
          <w:p w14:paraId="64D2C3D1"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7.6.3.</w:t>
            </w:r>
          </w:p>
        </w:tc>
        <w:tc>
          <w:tcPr>
            <w:tcW w:w="2786" w:type="pct"/>
            <w:gridSpan w:val="5"/>
            <w:shd w:val="clear" w:color="auto" w:fill="auto"/>
            <w:vAlign w:val="center"/>
            <w:hideMark/>
          </w:tcPr>
          <w:p w14:paraId="04AF04DE" w14:textId="77777777" w:rsidR="00440295" w:rsidRPr="00F63AD8" w:rsidRDefault="00440295" w:rsidP="00034511">
            <w:pPr>
              <w:rPr>
                <w:rFonts w:ascii="Tahoma" w:hAnsi="Tahoma" w:cs="Tahoma"/>
                <w:sz w:val="18"/>
                <w:szCs w:val="18"/>
              </w:rPr>
            </w:pPr>
            <w:r w:rsidRPr="00F63AD8">
              <w:rPr>
                <w:rFonts w:ascii="Tahoma" w:hAnsi="Tahoma" w:cs="Tahoma"/>
                <w:sz w:val="18"/>
                <w:szCs w:val="18"/>
              </w:rPr>
              <w:t>«АТБ-Онлайн», «АТБ банк»</w:t>
            </w:r>
          </w:p>
        </w:tc>
        <w:tc>
          <w:tcPr>
            <w:tcW w:w="1786" w:type="pct"/>
            <w:shd w:val="clear" w:color="auto" w:fill="auto"/>
            <w:noWrap/>
            <w:vAlign w:val="center"/>
            <w:hideMark/>
          </w:tcPr>
          <w:p w14:paraId="495A6741"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БЕСПЛАТНО</w:t>
            </w:r>
          </w:p>
        </w:tc>
      </w:tr>
      <w:tr w:rsidR="00440295" w:rsidRPr="00F63AD8" w14:paraId="49D0C5EA" w14:textId="77777777" w:rsidTr="00034511">
        <w:tblPrEx>
          <w:tblLook w:val="04A0" w:firstRow="1" w:lastRow="0" w:firstColumn="1" w:lastColumn="0" w:noHBand="0" w:noVBand="1"/>
        </w:tblPrEx>
        <w:trPr>
          <w:gridAfter w:val="1"/>
          <w:wAfter w:w="103" w:type="pct"/>
          <w:trHeight w:val="300"/>
          <w:tblHeader/>
        </w:trPr>
        <w:tc>
          <w:tcPr>
            <w:tcW w:w="324" w:type="pct"/>
            <w:gridSpan w:val="2"/>
            <w:shd w:val="clear" w:color="auto" w:fill="D9D9D9" w:themeFill="background1" w:themeFillShade="D9"/>
            <w:noWrap/>
            <w:vAlign w:val="center"/>
          </w:tcPr>
          <w:p w14:paraId="7BA62F1A" w14:textId="77777777" w:rsidR="00440295" w:rsidRPr="00F63AD8" w:rsidRDefault="00440295" w:rsidP="00034511">
            <w:pPr>
              <w:jc w:val="center"/>
              <w:rPr>
                <w:rFonts w:ascii="Tahoma" w:hAnsi="Tahoma" w:cs="Tahoma"/>
                <w:b/>
                <w:bCs/>
                <w:sz w:val="18"/>
                <w:szCs w:val="18"/>
              </w:rPr>
            </w:pPr>
            <w:r w:rsidRPr="00F63AD8">
              <w:rPr>
                <w:rFonts w:ascii="Tahoma" w:hAnsi="Tahoma" w:cs="Tahoma"/>
                <w:b/>
                <w:sz w:val="18"/>
                <w:szCs w:val="18"/>
              </w:rPr>
              <w:t>7.7.</w:t>
            </w:r>
          </w:p>
        </w:tc>
        <w:tc>
          <w:tcPr>
            <w:tcW w:w="4573" w:type="pct"/>
            <w:gridSpan w:val="6"/>
            <w:shd w:val="clear" w:color="auto" w:fill="D9D9D9" w:themeFill="background1" w:themeFillShade="D9"/>
            <w:vAlign w:val="center"/>
          </w:tcPr>
          <w:p w14:paraId="3169FB0C"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Запрос остатка денежных средств на Счете банковской (платежной) Карты</w:t>
            </w:r>
          </w:p>
        </w:tc>
      </w:tr>
      <w:tr w:rsidR="00440295" w:rsidRPr="00F63AD8" w14:paraId="294E4310" w14:textId="77777777" w:rsidTr="00034511">
        <w:tblPrEx>
          <w:tblLook w:val="04A0" w:firstRow="1" w:lastRow="0" w:firstColumn="1" w:lastColumn="0" w:noHBand="0" w:noVBand="1"/>
        </w:tblPrEx>
        <w:trPr>
          <w:gridAfter w:val="1"/>
          <w:wAfter w:w="103" w:type="pct"/>
          <w:trHeight w:val="300"/>
          <w:tblHeader/>
        </w:trPr>
        <w:tc>
          <w:tcPr>
            <w:tcW w:w="324" w:type="pct"/>
            <w:gridSpan w:val="2"/>
            <w:shd w:val="clear" w:color="auto" w:fill="auto"/>
            <w:noWrap/>
            <w:vAlign w:val="center"/>
          </w:tcPr>
          <w:p w14:paraId="69457194"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7.7.1.</w:t>
            </w:r>
          </w:p>
        </w:tc>
        <w:tc>
          <w:tcPr>
            <w:tcW w:w="2786" w:type="pct"/>
            <w:gridSpan w:val="5"/>
            <w:shd w:val="clear" w:color="auto" w:fill="auto"/>
            <w:vAlign w:val="center"/>
          </w:tcPr>
          <w:p w14:paraId="28233739" w14:textId="77777777" w:rsidR="00440295" w:rsidRPr="00F63AD8" w:rsidRDefault="00440295" w:rsidP="00034511">
            <w:pPr>
              <w:rPr>
                <w:rFonts w:ascii="Tahoma" w:hAnsi="Tahoma" w:cs="Tahoma"/>
                <w:sz w:val="18"/>
                <w:szCs w:val="18"/>
              </w:rPr>
            </w:pPr>
            <w:r w:rsidRPr="00F63AD8">
              <w:rPr>
                <w:rFonts w:ascii="Tahoma" w:hAnsi="Tahoma" w:cs="Tahoma"/>
                <w:sz w:val="18"/>
                <w:szCs w:val="18"/>
              </w:rPr>
              <w:t>в банкоматах   Банка, при операции по выдачи наличных денежных средств и выводе на экран</w:t>
            </w:r>
          </w:p>
        </w:tc>
        <w:tc>
          <w:tcPr>
            <w:tcW w:w="1786" w:type="pct"/>
            <w:shd w:val="clear" w:color="auto" w:fill="auto"/>
            <w:noWrap/>
            <w:vAlign w:val="center"/>
          </w:tcPr>
          <w:p w14:paraId="6A0A543B"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БЕСПЛАТНО</w:t>
            </w:r>
          </w:p>
        </w:tc>
      </w:tr>
      <w:tr w:rsidR="00440295" w:rsidRPr="00F63AD8" w14:paraId="6FF7C2BD" w14:textId="77777777" w:rsidTr="00034511">
        <w:tblPrEx>
          <w:tblLook w:val="04A0" w:firstRow="1" w:lastRow="0" w:firstColumn="1" w:lastColumn="0" w:noHBand="0" w:noVBand="1"/>
        </w:tblPrEx>
        <w:trPr>
          <w:gridAfter w:val="1"/>
          <w:wAfter w:w="103" w:type="pct"/>
          <w:trHeight w:val="300"/>
          <w:tblHeader/>
        </w:trPr>
        <w:tc>
          <w:tcPr>
            <w:tcW w:w="324" w:type="pct"/>
            <w:gridSpan w:val="2"/>
            <w:shd w:val="clear" w:color="auto" w:fill="auto"/>
            <w:noWrap/>
            <w:vAlign w:val="center"/>
          </w:tcPr>
          <w:p w14:paraId="3A6F784E"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7.7.2.</w:t>
            </w:r>
          </w:p>
        </w:tc>
        <w:tc>
          <w:tcPr>
            <w:tcW w:w="2786" w:type="pct"/>
            <w:gridSpan w:val="5"/>
            <w:shd w:val="clear" w:color="auto" w:fill="auto"/>
            <w:vAlign w:val="center"/>
          </w:tcPr>
          <w:p w14:paraId="61672AB7" w14:textId="77777777" w:rsidR="00440295" w:rsidRPr="00F63AD8" w:rsidRDefault="00440295" w:rsidP="00034511">
            <w:pPr>
              <w:rPr>
                <w:rFonts w:ascii="Tahoma" w:hAnsi="Tahoma" w:cs="Tahoma"/>
                <w:sz w:val="18"/>
                <w:szCs w:val="18"/>
              </w:rPr>
            </w:pPr>
            <w:r w:rsidRPr="00F63AD8">
              <w:rPr>
                <w:rFonts w:ascii="Tahoma" w:hAnsi="Tahoma" w:cs="Tahoma"/>
                <w:sz w:val="18"/>
                <w:szCs w:val="18"/>
              </w:rPr>
              <w:t>в банкоматах   Банка (информация выводится на чек устройства)</w:t>
            </w:r>
          </w:p>
        </w:tc>
        <w:tc>
          <w:tcPr>
            <w:tcW w:w="1786" w:type="pct"/>
            <w:shd w:val="clear" w:color="auto" w:fill="auto"/>
            <w:noWrap/>
            <w:vAlign w:val="center"/>
          </w:tcPr>
          <w:p w14:paraId="4DDE9B47"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БЕСПЛАТНО</w:t>
            </w:r>
          </w:p>
        </w:tc>
      </w:tr>
      <w:tr w:rsidR="00440295" w:rsidRPr="00F63AD8" w14:paraId="6A057FBC" w14:textId="77777777" w:rsidTr="00034511">
        <w:tblPrEx>
          <w:tblLook w:val="04A0" w:firstRow="1" w:lastRow="0" w:firstColumn="1" w:lastColumn="0" w:noHBand="0" w:noVBand="1"/>
        </w:tblPrEx>
        <w:trPr>
          <w:gridAfter w:val="1"/>
          <w:wAfter w:w="103" w:type="pct"/>
          <w:trHeight w:val="300"/>
          <w:tblHeader/>
        </w:trPr>
        <w:tc>
          <w:tcPr>
            <w:tcW w:w="324" w:type="pct"/>
            <w:gridSpan w:val="2"/>
            <w:shd w:val="clear" w:color="auto" w:fill="auto"/>
            <w:noWrap/>
            <w:vAlign w:val="center"/>
          </w:tcPr>
          <w:p w14:paraId="0EF6C599"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7.7.3</w:t>
            </w:r>
          </w:p>
        </w:tc>
        <w:tc>
          <w:tcPr>
            <w:tcW w:w="2786" w:type="pct"/>
            <w:gridSpan w:val="5"/>
            <w:shd w:val="clear" w:color="auto" w:fill="auto"/>
            <w:vAlign w:val="center"/>
          </w:tcPr>
          <w:p w14:paraId="2C0738A7" w14:textId="77777777" w:rsidR="00440295" w:rsidRPr="00F63AD8" w:rsidRDefault="00440295" w:rsidP="00034511">
            <w:pPr>
              <w:rPr>
                <w:rFonts w:ascii="Tahoma" w:hAnsi="Tahoma" w:cs="Tahoma"/>
                <w:sz w:val="18"/>
                <w:szCs w:val="18"/>
              </w:rPr>
            </w:pPr>
            <w:r w:rsidRPr="00F63AD8">
              <w:rPr>
                <w:rFonts w:ascii="Tahoma" w:hAnsi="Tahoma" w:cs="Tahoma"/>
                <w:sz w:val="18"/>
                <w:szCs w:val="18"/>
              </w:rPr>
              <w:t>в банкоматах других банков</w:t>
            </w:r>
            <w:r w:rsidRPr="00F63AD8">
              <w:rPr>
                <w:rFonts w:ascii="Tahoma" w:hAnsi="Tahoma" w:cs="Tahoma"/>
                <w:sz w:val="18"/>
                <w:szCs w:val="18"/>
                <w:vertAlign w:val="superscript"/>
              </w:rPr>
              <w:t>12</w:t>
            </w:r>
          </w:p>
        </w:tc>
        <w:tc>
          <w:tcPr>
            <w:tcW w:w="1786" w:type="pct"/>
            <w:shd w:val="clear" w:color="auto" w:fill="auto"/>
            <w:noWrap/>
            <w:vAlign w:val="center"/>
          </w:tcPr>
          <w:p w14:paraId="2C152FBE"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 xml:space="preserve">Первый запрос с начала использования Карты:  0 рублей, </w:t>
            </w:r>
          </w:p>
          <w:p w14:paraId="43D55408"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последующие запросы: 45 рублей</w:t>
            </w:r>
          </w:p>
        </w:tc>
      </w:tr>
      <w:tr w:rsidR="00440295" w:rsidRPr="00F63AD8" w14:paraId="16202975" w14:textId="77777777" w:rsidTr="00034511">
        <w:tblPrEx>
          <w:tblLook w:val="04A0" w:firstRow="1" w:lastRow="0" w:firstColumn="1" w:lastColumn="0" w:noHBand="0" w:noVBand="1"/>
        </w:tblPrEx>
        <w:trPr>
          <w:gridAfter w:val="1"/>
          <w:wAfter w:w="103" w:type="pct"/>
          <w:trHeight w:val="175"/>
          <w:tblHeader/>
        </w:trPr>
        <w:tc>
          <w:tcPr>
            <w:tcW w:w="324" w:type="pct"/>
            <w:gridSpan w:val="2"/>
            <w:shd w:val="clear" w:color="auto" w:fill="D9D9D9" w:themeFill="background1" w:themeFillShade="D9"/>
            <w:noWrap/>
            <w:vAlign w:val="center"/>
            <w:hideMark/>
          </w:tcPr>
          <w:p w14:paraId="70023E6A" w14:textId="77777777" w:rsidR="00440295" w:rsidRPr="00F63AD8" w:rsidRDefault="00440295" w:rsidP="00034511">
            <w:pPr>
              <w:jc w:val="center"/>
              <w:rPr>
                <w:rFonts w:ascii="Tahoma" w:hAnsi="Tahoma" w:cs="Tahoma"/>
                <w:b/>
                <w:bCs/>
                <w:sz w:val="18"/>
                <w:szCs w:val="18"/>
              </w:rPr>
            </w:pPr>
            <w:r w:rsidRPr="00F63AD8">
              <w:rPr>
                <w:rFonts w:ascii="Tahoma" w:hAnsi="Tahoma" w:cs="Tahoma"/>
                <w:b/>
                <w:sz w:val="18"/>
                <w:szCs w:val="18"/>
              </w:rPr>
              <w:t>7.8.</w:t>
            </w:r>
          </w:p>
        </w:tc>
        <w:tc>
          <w:tcPr>
            <w:tcW w:w="4573" w:type="pct"/>
            <w:gridSpan w:val="6"/>
            <w:shd w:val="clear" w:color="auto" w:fill="D9D9D9" w:themeFill="background1" w:themeFillShade="D9"/>
            <w:noWrap/>
            <w:vAlign w:val="center"/>
            <w:hideMark/>
          </w:tcPr>
          <w:p w14:paraId="212150A9"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Конверсионные операции</w:t>
            </w:r>
          </w:p>
        </w:tc>
      </w:tr>
      <w:tr w:rsidR="00440295" w:rsidRPr="00F63AD8" w14:paraId="38EE3724" w14:textId="77777777" w:rsidTr="00034511">
        <w:tblPrEx>
          <w:tblLook w:val="04A0" w:firstRow="1" w:lastRow="0" w:firstColumn="1" w:lastColumn="0" w:noHBand="0" w:noVBand="1"/>
        </w:tblPrEx>
        <w:trPr>
          <w:gridAfter w:val="1"/>
          <w:wAfter w:w="103" w:type="pct"/>
          <w:trHeight w:val="373"/>
          <w:tblHeader/>
        </w:trPr>
        <w:tc>
          <w:tcPr>
            <w:tcW w:w="324" w:type="pct"/>
            <w:gridSpan w:val="2"/>
            <w:shd w:val="clear" w:color="auto" w:fill="auto"/>
            <w:noWrap/>
            <w:vAlign w:val="center"/>
            <w:hideMark/>
          </w:tcPr>
          <w:p w14:paraId="6AE31A9C"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7.8.1.</w:t>
            </w:r>
          </w:p>
        </w:tc>
        <w:tc>
          <w:tcPr>
            <w:tcW w:w="2786" w:type="pct"/>
            <w:gridSpan w:val="5"/>
            <w:shd w:val="clear" w:color="auto" w:fill="auto"/>
            <w:vAlign w:val="center"/>
            <w:hideMark/>
          </w:tcPr>
          <w:p w14:paraId="2580B9DA" w14:textId="77777777" w:rsidR="00440295" w:rsidRPr="00F63AD8" w:rsidRDefault="00440295" w:rsidP="00034511">
            <w:pPr>
              <w:rPr>
                <w:rFonts w:ascii="Tahoma" w:hAnsi="Tahoma" w:cs="Tahoma"/>
                <w:sz w:val="18"/>
                <w:szCs w:val="18"/>
              </w:rPr>
            </w:pPr>
            <w:r w:rsidRPr="00F63AD8">
              <w:rPr>
                <w:rFonts w:ascii="Tahoma" w:hAnsi="Tahoma" w:cs="Tahoma"/>
                <w:sz w:val="18"/>
                <w:szCs w:val="18"/>
              </w:rPr>
              <w:t>конверсия валюты зачисления/списания денежных средств на/со счета банковской (платежной) Карты в валюту счета банковской (платежной) Карты при их отличии</w:t>
            </w:r>
          </w:p>
        </w:tc>
        <w:tc>
          <w:tcPr>
            <w:tcW w:w="1786" w:type="pct"/>
            <w:shd w:val="clear" w:color="auto" w:fill="auto"/>
            <w:vAlign w:val="center"/>
            <w:hideMark/>
          </w:tcPr>
          <w:p w14:paraId="56669851"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по курсу Банка на момент совершения операции</w:t>
            </w:r>
          </w:p>
        </w:tc>
      </w:tr>
      <w:tr w:rsidR="00440295" w:rsidRPr="00F63AD8" w14:paraId="42712F70" w14:textId="77777777" w:rsidTr="00034511">
        <w:tblPrEx>
          <w:tblLook w:val="04A0" w:firstRow="1" w:lastRow="0" w:firstColumn="1" w:lastColumn="0" w:noHBand="0" w:noVBand="1"/>
        </w:tblPrEx>
        <w:trPr>
          <w:gridAfter w:val="1"/>
          <w:wAfter w:w="103" w:type="pct"/>
          <w:trHeight w:val="401"/>
          <w:tblHeader/>
        </w:trPr>
        <w:tc>
          <w:tcPr>
            <w:tcW w:w="324" w:type="pct"/>
            <w:gridSpan w:val="2"/>
            <w:shd w:val="clear" w:color="auto" w:fill="auto"/>
            <w:noWrap/>
            <w:vAlign w:val="center"/>
            <w:hideMark/>
          </w:tcPr>
          <w:p w14:paraId="25C62025"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7.8.2.</w:t>
            </w:r>
          </w:p>
        </w:tc>
        <w:tc>
          <w:tcPr>
            <w:tcW w:w="2786" w:type="pct"/>
            <w:gridSpan w:val="5"/>
            <w:shd w:val="clear" w:color="auto" w:fill="auto"/>
            <w:vAlign w:val="center"/>
            <w:hideMark/>
          </w:tcPr>
          <w:p w14:paraId="3CCBEA88" w14:textId="77777777" w:rsidR="00440295" w:rsidRPr="00F63AD8" w:rsidRDefault="00440295" w:rsidP="00034511">
            <w:pPr>
              <w:rPr>
                <w:rFonts w:ascii="Tahoma" w:hAnsi="Tahoma" w:cs="Tahoma"/>
                <w:sz w:val="18"/>
                <w:szCs w:val="18"/>
              </w:rPr>
            </w:pPr>
            <w:r w:rsidRPr="00F63AD8">
              <w:rPr>
                <w:rFonts w:ascii="Tahoma" w:hAnsi="Tahoma" w:cs="Tahoma"/>
                <w:sz w:val="18"/>
                <w:szCs w:val="18"/>
              </w:rPr>
              <w:t>конверсия валюты транзакции в валюту расчетов с международной платежной системой при их отличии</w:t>
            </w:r>
          </w:p>
        </w:tc>
        <w:tc>
          <w:tcPr>
            <w:tcW w:w="1786" w:type="pct"/>
            <w:shd w:val="clear" w:color="auto" w:fill="auto"/>
            <w:vAlign w:val="center"/>
            <w:hideMark/>
          </w:tcPr>
          <w:p w14:paraId="75F13AFF"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по курсу платежной системы на дату проведения расчетов</w:t>
            </w:r>
          </w:p>
        </w:tc>
      </w:tr>
      <w:tr w:rsidR="00440295" w:rsidRPr="00F63AD8" w14:paraId="62726B0F" w14:textId="77777777" w:rsidTr="00034511">
        <w:tblPrEx>
          <w:tblLook w:val="04A0" w:firstRow="1" w:lastRow="0" w:firstColumn="1" w:lastColumn="0" w:noHBand="0" w:noVBand="1"/>
        </w:tblPrEx>
        <w:trPr>
          <w:gridAfter w:val="1"/>
          <w:wAfter w:w="103" w:type="pct"/>
          <w:trHeight w:val="237"/>
          <w:tblHeader/>
        </w:trPr>
        <w:tc>
          <w:tcPr>
            <w:tcW w:w="324" w:type="pct"/>
            <w:gridSpan w:val="2"/>
            <w:shd w:val="clear" w:color="auto" w:fill="D9D9D9" w:themeFill="background1" w:themeFillShade="D9"/>
            <w:noWrap/>
            <w:vAlign w:val="center"/>
          </w:tcPr>
          <w:p w14:paraId="0B35BD9F" w14:textId="77777777" w:rsidR="00440295" w:rsidRPr="00F63AD8" w:rsidRDefault="00440295" w:rsidP="00034511">
            <w:pPr>
              <w:jc w:val="center"/>
              <w:rPr>
                <w:rFonts w:ascii="Tahoma" w:hAnsi="Tahoma" w:cs="Tahoma"/>
                <w:sz w:val="18"/>
                <w:szCs w:val="18"/>
              </w:rPr>
            </w:pPr>
            <w:r w:rsidRPr="00F63AD8">
              <w:rPr>
                <w:rFonts w:ascii="Tahoma" w:hAnsi="Tahoma" w:cs="Tahoma"/>
                <w:b/>
                <w:sz w:val="18"/>
                <w:szCs w:val="18"/>
              </w:rPr>
              <w:t>7.9.</w:t>
            </w:r>
          </w:p>
        </w:tc>
        <w:tc>
          <w:tcPr>
            <w:tcW w:w="4573" w:type="pct"/>
            <w:gridSpan w:val="6"/>
            <w:shd w:val="clear" w:color="auto" w:fill="D9D9D9" w:themeFill="background1" w:themeFillShade="D9"/>
            <w:vAlign w:val="center"/>
          </w:tcPr>
          <w:p w14:paraId="27B83FC0" w14:textId="77777777" w:rsidR="00440295" w:rsidRPr="00F63AD8" w:rsidRDefault="00440295" w:rsidP="00034511">
            <w:pPr>
              <w:jc w:val="center"/>
              <w:rPr>
                <w:rFonts w:ascii="Tahoma" w:hAnsi="Tahoma" w:cs="Tahoma"/>
                <w:sz w:val="18"/>
                <w:szCs w:val="18"/>
              </w:rPr>
            </w:pPr>
            <w:r w:rsidRPr="00F63AD8">
              <w:rPr>
                <w:rFonts w:ascii="Tahoma" w:hAnsi="Tahoma" w:cs="Tahoma"/>
                <w:b/>
                <w:bCs/>
                <w:sz w:val="18"/>
                <w:szCs w:val="18"/>
              </w:rPr>
              <w:t>Приостановление/возобновление операций с Картой</w:t>
            </w:r>
          </w:p>
        </w:tc>
      </w:tr>
      <w:tr w:rsidR="00440295" w:rsidRPr="00F63AD8" w14:paraId="3773831D" w14:textId="77777777" w:rsidTr="00034511">
        <w:tblPrEx>
          <w:tblLook w:val="04A0" w:firstRow="1" w:lastRow="0" w:firstColumn="1" w:lastColumn="0" w:noHBand="0" w:noVBand="1"/>
        </w:tblPrEx>
        <w:trPr>
          <w:gridAfter w:val="1"/>
          <w:wAfter w:w="103" w:type="pct"/>
          <w:trHeight w:val="300"/>
          <w:tblHeader/>
        </w:trPr>
        <w:tc>
          <w:tcPr>
            <w:tcW w:w="324" w:type="pct"/>
            <w:gridSpan w:val="2"/>
            <w:shd w:val="clear" w:color="auto" w:fill="auto"/>
            <w:noWrap/>
            <w:vAlign w:val="center"/>
          </w:tcPr>
          <w:p w14:paraId="5A821522"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7.9.1.</w:t>
            </w:r>
          </w:p>
        </w:tc>
        <w:tc>
          <w:tcPr>
            <w:tcW w:w="2786" w:type="pct"/>
            <w:gridSpan w:val="5"/>
            <w:shd w:val="clear" w:color="auto" w:fill="auto"/>
            <w:vAlign w:val="center"/>
          </w:tcPr>
          <w:p w14:paraId="4B71AEC4" w14:textId="77777777" w:rsidR="00440295" w:rsidRPr="00F63AD8" w:rsidRDefault="00440295" w:rsidP="00034511">
            <w:pPr>
              <w:rPr>
                <w:rFonts w:ascii="Tahoma" w:hAnsi="Tahoma" w:cs="Tahoma"/>
                <w:sz w:val="18"/>
                <w:szCs w:val="18"/>
              </w:rPr>
            </w:pPr>
            <w:r w:rsidRPr="00F63AD8">
              <w:rPr>
                <w:rFonts w:ascii="Tahoma" w:hAnsi="Tahoma" w:cs="Tahoma"/>
                <w:sz w:val="18"/>
                <w:szCs w:val="18"/>
              </w:rPr>
              <w:t>блокировка/разблокировка Карты в базе данных Процессингового Центра   Банка при использовании удаленных каналов обслуживания</w:t>
            </w:r>
          </w:p>
        </w:tc>
        <w:tc>
          <w:tcPr>
            <w:tcW w:w="1786" w:type="pct"/>
            <w:shd w:val="clear" w:color="auto" w:fill="auto"/>
            <w:noWrap/>
            <w:vAlign w:val="center"/>
          </w:tcPr>
          <w:p w14:paraId="634A60E1" w14:textId="77777777" w:rsidR="00440295" w:rsidRPr="00F63AD8" w:rsidRDefault="00440295" w:rsidP="00034511">
            <w:pPr>
              <w:jc w:val="center"/>
              <w:rPr>
                <w:rFonts w:ascii="Tahoma" w:hAnsi="Tahoma" w:cs="Tahoma"/>
                <w:sz w:val="18"/>
                <w:szCs w:val="18"/>
              </w:rPr>
            </w:pPr>
            <w:r w:rsidRPr="00F63AD8">
              <w:rPr>
                <w:rFonts w:ascii="Tahoma" w:hAnsi="Tahoma" w:cs="Tahoma"/>
                <w:b/>
                <w:bCs/>
                <w:sz w:val="18"/>
                <w:szCs w:val="18"/>
              </w:rPr>
              <w:t>БЕСПЛАТНО</w:t>
            </w:r>
          </w:p>
        </w:tc>
      </w:tr>
      <w:tr w:rsidR="00440295" w:rsidRPr="00F63AD8" w14:paraId="43CB70DF" w14:textId="77777777" w:rsidTr="00034511">
        <w:tblPrEx>
          <w:tblLook w:val="04A0" w:firstRow="1" w:lastRow="0" w:firstColumn="1" w:lastColumn="0" w:noHBand="0" w:noVBand="1"/>
        </w:tblPrEx>
        <w:trPr>
          <w:gridAfter w:val="1"/>
          <w:wAfter w:w="103" w:type="pct"/>
          <w:trHeight w:val="292"/>
          <w:tblHeader/>
        </w:trPr>
        <w:tc>
          <w:tcPr>
            <w:tcW w:w="324" w:type="pct"/>
            <w:gridSpan w:val="2"/>
            <w:shd w:val="clear" w:color="auto" w:fill="auto"/>
            <w:noWrap/>
            <w:vAlign w:val="center"/>
          </w:tcPr>
          <w:p w14:paraId="6579AE2C"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7.9.2.</w:t>
            </w:r>
          </w:p>
        </w:tc>
        <w:tc>
          <w:tcPr>
            <w:tcW w:w="2786" w:type="pct"/>
            <w:gridSpan w:val="5"/>
            <w:shd w:val="clear" w:color="auto" w:fill="auto"/>
            <w:vAlign w:val="center"/>
          </w:tcPr>
          <w:p w14:paraId="081BC87F" w14:textId="77777777" w:rsidR="00440295" w:rsidRPr="00F63AD8" w:rsidRDefault="00440295" w:rsidP="00034511">
            <w:pPr>
              <w:rPr>
                <w:rFonts w:ascii="Tahoma" w:hAnsi="Tahoma" w:cs="Tahoma"/>
                <w:sz w:val="18"/>
                <w:szCs w:val="18"/>
              </w:rPr>
            </w:pPr>
            <w:r w:rsidRPr="00F63AD8">
              <w:rPr>
                <w:rFonts w:ascii="Tahoma" w:hAnsi="Tahoma" w:cs="Tahoma"/>
                <w:sz w:val="18"/>
                <w:szCs w:val="18"/>
              </w:rPr>
              <w:t>выдача остатка денежных средств после закрытия Счета банковской (платежной) Карты</w:t>
            </w:r>
            <w:r w:rsidRPr="00F63AD8">
              <w:rPr>
                <w:rFonts w:ascii="Tahoma" w:hAnsi="Tahoma" w:cs="Tahoma"/>
                <w:sz w:val="18"/>
                <w:szCs w:val="18"/>
                <w:vertAlign w:val="superscript"/>
              </w:rPr>
              <w:t>13</w:t>
            </w:r>
          </w:p>
        </w:tc>
        <w:tc>
          <w:tcPr>
            <w:tcW w:w="1786" w:type="pct"/>
            <w:shd w:val="clear" w:color="auto" w:fill="auto"/>
            <w:noWrap/>
            <w:vAlign w:val="center"/>
          </w:tcPr>
          <w:p w14:paraId="2CE762F1" w14:textId="77777777" w:rsidR="00440295" w:rsidRPr="00F63AD8" w:rsidRDefault="00440295" w:rsidP="00034511">
            <w:pPr>
              <w:jc w:val="center"/>
              <w:rPr>
                <w:rFonts w:ascii="Tahoma" w:hAnsi="Tahoma" w:cs="Tahoma"/>
                <w:sz w:val="18"/>
                <w:szCs w:val="18"/>
              </w:rPr>
            </w:pPr>
            <w:r w:rsidRPr="00F63AD8">
              <w:rPr>
                <w:rFonts w:ascii="Tahoma" w:hAnsi="Tahoma" w:cs="Tahoma"/>
                <w:b/>
                <w:bCs/>
                <w:sz w:val="18"/>
                <w:szCs w:val="18"/>
              </w:rPr>
              <w:t>БЕСПЛАТНО</w:t>
            </w:r>
          </w:p>
        </w:tc>
      </w:tr>
      <w:tr w:rsidR="00440295" w:rsidRPr="00F63AD8" w14:paraId="62DAFF10" w14:textId="77777777" w:rsidTr="00034511">
        <w:tblPrEx>
          <w:tblLook w:val="04A0" w:firstRow="1" w:lastRow="0" w:firstColumn="1" w:lastColumn="0" w:noHBand="0" w:noVBand="1"/>
        </w:tblPrEx>
        <w:trPr>
          <w:gridAfter w:val="1"/>
          <w:wAfter w:w="103" w:type="pct"/>
          <w:trHeight w:val="300"/>
          <w:tblHeader/>
        </w:trPr>
        <w:tc>
          <w:tcPr>
            <w:tcW w:w="324" w:type="pct"/>
            <w:gridSpan w:val="2"/>
            <w:shd w:val="clear" w:color="auto" w:fill="auto"/>
            <w:noWrap/>
            <w:vAlign w:val="center"/>
          </w:tcPr>
          <w:p w14:paraId="6EB5F320"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7.9.3.</w:t>
            </w:r>
          </w:p>
        </w:tc>
        <w:tc>
          <w:tcPr>
            <w:tcW w:w="2786" w:type="pct"/>
            <w:gridSpan w:val="5"/>
            <w:shd w:val="clear" w:color="auto" w:fill="auto"/>
            <w:vAlign w:val="center"/>
          </w:tcPr>
          <w:p w14:paraId="553D03D7" w14:textId="77777777" w:rsidR="00440295" w:rsidRPr="00F63AD8" w:rsidRDefault="00440295" w:rsidP="00034511">
            <w:pPr>
              <w:rPr>
                <w:rFonts w:ascii="Tahoma" w:hAnsi="Tahoma" w:cs="Tahoma"/>
                <w:sz w:val="18"/>
                <w:szCs w:val="18"/>
              </w:rPr>
            </w:pPr>
            <w:r w:rsidRPr="00F63AD8">
              <w:rPr>
                <w:rFonts w:ascii="Tahoma" w:hAnsi="Tahoma" w:cs="Tahoma"/>
                <w:sz w:val="18"/>
                <w:szCs w:val="18"/>
              </w:rPr>
              <w:t>блокировка/разблокировка Карты в базе данных Процессингового Центра   Банка при оформлении операции работником Банка</w:t>
            </w:r>
          </w:p>
        </w:tc>
        <w:tc>
          <w:tcPr>
            <w:tcW w:w="1786" w:type="pct"/>
            <w:shd w:val="clear" w:color="auto" w:fill="auto"/>
            <w:noWrap/>
            <w:vAlign w:val="center"/>
          </w:tcPr>
          <w:p w14:paraId="20C93AA1" w14:textId="77777777" w:rsidR="00440295" w:rsidRPr="00F63AD8" w:rsidRDefault="00440295" w:rsidP="00034511">
            <w:pPr>
              <w:jc w:val="center"/>
              <w:rPr>
                <w:rFonts w:ascii="Tahoma" w:hAnsi="Tahoma" w:cs="Tahoma"/>
                <w:sz w:val="18"/>
                <w:szCs w:val="18"/>
              </w:rPr>
            </w:pPr>
            <w:r w:rsidRPr="00F63AD8">
              <w:rPr>
                <w:rFonts w:ascii="Tahoma" w:hAnsi="Tahoma" w:cs="Tahoma"/>
                <w:b/>
                <w:bCs/>
                <w:sz w:val="18"/>
                <w:szCs w:val="18"/>
              </w:rPr>
              <w:t>БЕСПЛАТНО</w:t>
            </w:r>
          </w:p>
        </w:tc>
      </w:tr>
      <w:tr w:rsidR="00440295" w:rsidRPr="00F63AD8" w14:paraId="766A42F6" w14:textId="77777777" w:rsidTr="00034511">
        <w:tblPrEx>
          <w:tblLook w:val="04A0" w:firstRow="1" w:lastRow="0" w:firstColumn="1" w:lastColumn="0" w:noHBand="0" w:noVBand="1"/>
        </w:tblPrEx>
        <w:trPr>
          <w:gridAfter w:val="1"/>
          <w:wAfter w:w="103" w:type="pct"/>
          <w:trHeight w:val="274"/>
          <w:tblHeader/>
        </w:trPr>
        <w:tc>
          <w:tcPr>
            <w:tcW w:w="324" w:type="pct"/>
            <w:gridSpan w:val="2"/>
            <w:shd w:val="clear" w:color="auto" w:fill="auto"/>
            <w:noWrap/>
            <w:vAlign w:val="center"/>
          </w:tcPr>
          <w:p w14:paraId="0677FB15"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7.9.4.</w:t>
            </w:r>
          </w:p>
        </w:tc>
        <w:tc>
          <w:tcPr>
            <w:tcW w:w="2786" w:type="pct"/>
            <w:gridSpan w:val="5"/>
            <w:shd w:val="clear" w:color="auto" w:fill="auto"/>
            <w:vAlign w:val="center"/>
          </w:tcPr>
          <w:p w14:paraId="43E8082E" w14:textId="77777777" w:rsidR="00440295" w:rsidRPr="00F63AD8" w:rsidRDefault="00440295" w:rsidP="00034511">
            <w:pPr>
              <w:rPr>
                <w:rFonts w:ascii="Tahoma" w:hAnsi="Tahoma" w:cs="Tahoma"/>
                <w:sz w:val="18"/>
                <w:szCs w:val="18"/>
              </w:rPr>
            </w:pPr>
            <w:r w:rsidRPr="00F63AD8">
              <w:rPr>
                <w:rFonts w:ascii="Tahoma" w:hAnsi="Tahoma" w:cs="Tahoma"/>
                <w:sz w:val="18"/>
                <w:szCs w:val="18"/>
              </w:rPr>
              <w:t>постановка Карты в международный стоп-лист (за 2 недели), один регион</w:t>
            </w:r>
            <w:r w:rsidRPr="00F63AD8">
              <w:rPr>
                <w:rFonts w:ascii="Tahoma" w:hAnsi="Tahoma" w:cs="Tahoma"/>
                <w:sz w:val="18"/>
                <w:szCs w:val="18"/>
                <w:vertAlign w:val="superscript"/>
              </w:rPr>
              <w:t>14</w:t>
            </w:r>
          </w:p>
        </w:tc>
        <w:tc>
          <w:tcPr>
            <w:tcW w:w="1786" w:type="pct"/>
            <w:shd w:val="clear" w:color="auto" w:fill="auto"/>
            <w:noWrap/>
            <w:vAlign w:val="center"/>
          </w:tcPr>
          <w:p w14:paraId="378EA55A"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1 500 рублей</w:t>
            </w:r>
          </w:p>
        </w:tc>
      </w:tr>
      <w:tr w:rsidR="00440295" w:rsidRPr="00F63AD8" w14:paraId="46E26CC7" w14:textId="77777777" w:rsidTr="00034511">
        <w:tblPrEx>
          <w:tblLook w:val="04A0" w:firstRow="1" w:lastRow="0" w:firstColumn="1" w:lastColumn="0" w:noHBand="0" w:noVBand="1"/>
        </w:tblPrEx>
        <w:trPr>
          <w:gridAfter w:val="1"/>
          <w:wAfter w:w="103" w:type="pct"/>
          <w:trHeight w:val="300"/>
          <w:tblHeader/>
        </w:trPr>
        <w:tc>
          <w:tcPr>
            <w:tcW w:w="324" w:type="pct"/>
            <w:gridSpan w:val="2"/>
            <w:shd w:val="clear" w:color="auto" w:fill="D9D9D9" w:themeFill="background1" w:themeFillShade="D9"/>
            <w:noWrap/>
            <w:vAlign w:val="center"/>
            <w:hideMark/>
          </w:tcPr>
          <w:p w14:paraId="6597CC54"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7.10</w:t>
            </w:r>
          </w:p>
        </w:tc>
        <w:tc>
          <w:tcPr>
            <w:tcW w:w="4573" w:type="pct"/>
            <w:gridSpan w:val="6"/>
            <w:shd w:val="clear" w:color="auto" w:fill="D9D9D9" w:themeFill="background1" w:themeFillShade="D9"/>
            <w:noWrap/>
            <w:vAlign w:val="center"/>
            <w:hideMark/>
          </w:tcPr>
          <w:p w14:paraId="0B86A130"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Прочие операции</w:t>
            </w:r>
          </w:p>
        </w:tc>
      </w:tr>
      <w:tr w:rsidR="00440295" w:rsidRPr="00F63AD8" w14:paraId="77EB20FB" w14:textId="77777777" w:rsidTr="00034511">
        <w:tblPrEx>
          <w:tblLook w:val="04A0" w:firstRow="1" w:lastRow="0" w:firstColumn="1" w:lastColumn="0" w:noHBand="0" w:noVBand="1"/>
        </w:tblPrEx>
        <w:trPr>
          <w:gridAfter w:val="1"/>
          <w:wAfter w:w="103" w:type="pct"/>
          <w:trHeight w:val="300"/>
          <w:tblHeader/>
        </w:trPr>
        <w:tc>
          <w:tcPr>
            <w:tcW w:w="324" w:type="pct"/>
            <w:gridSpan w:val="2"/>
            <w:shd w:val="clear" w:color="auto" w:fill="auto"/>
            <w:noWrap/>
            <w:vAlign w:val="center"/>
            <w:hideMark/>
          </w:tcPr>
          <w:p w14:paraId="7773ECED"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7.10.1.</w:t>
            </w:r>
          </w:p>
        </w:tc>
        <w:tc>
          <w:tcPr>
            <w:tcW w:w="2786" w:type="pct"/>
            <w:gridSpan w:val="5"/>
            <w:shd w:val="clear" w:color="auto" w:fill="auto"/>
            <w:vAlign w:val="center"/>
            <w:hideMark/>
          </w:tcPr>
          <w:p w14:paraId="355529BF" w14:textId="77777777" w:rsidR="00440295" w:rsidRPr="00F63AD8" w:rsidRDefault="00440295" w:rsidP="00034511">
            <w:pPr>
              <w:rPr>
                <w:rFonts w:ascii="Tahoma" w:hAnsi="Tahoma" w:cs="Tahoma"/>
                <w:sz w:val="18"/>
                <w:szCs w:val="18"/>
              </w:rPr>
            </w:pPr>
            <w:r w:rsidRPr="00F63AD8">
              <w:rPr>
                <w:rFonts w:ascii="Tahoma" w:hAnsi="Tahoma" w:cs="Tahoma"/>
                <w:sz w:val="18"/>
                <w:szCs w:val="18"/>
              </w:rPr>
              <w:t>выписка по Счету банковской (платежной) Карты в отделении   Банка</w:t>
            </w:r>
            <w:r w:rsidRPr="00F63AD8">
              <w:rPr>
                <w:rFonts w:ascii="Tahoma" w:hAnsi="Tahoma" w:cs="Tahoma"/>
                <w:sz w:val="18"/>
                <w:szCs w:val="18"/>
                <w:vertAlign w:val="superscript"/>
              </w:rPr>
              <w:t>14</w:t>
            </w:r>
          </w:p>
        </w:tc>
        <w:tc>
          <w:tcPr>
            <w:tcW w:w="1786" w:type="pct"/>
            <w:shd w:val="clear" w:color="auto" w:fill="auto"/>
            <w:noWrap/>
            <w:vAlign w:val="center"/>
            <w:hideMark/>
          </w:tcPr>
          <w:p w14:paraId="1F2F62B9"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250 рублей</w:t>
            </w:r>
          </w:p>
        </w:tc>
      </w:tr>
      <w:tr w:rsidR="00440295" w:rsidRPr="00F63AD8" w14:paraId="3112E0FA" w14:textId="77777777" w:rsidTr="00034511">
        <w:tblPrEx>
          <w:tblLook w:val="04A0" w:firstRow="1" w:lastRow="0" w:firstColumn="1" w:lastColumn="0" w:noHBand="0" w:noVBand="1"/>
        </w:tblPrEx>
        <w:trPr>
          <w:gridAfter w:val="1"/>
          <w:wAfter w:w="103" w:type="pct"/>
          <w:trHeight w:val="313"/>
          <w:tblHeader/>
        </w:trPr>
        <w:tc>
          <w:tcPr>
            <w:tcW w:w="324" w:type="pct"/>
            <w:gridSpan w:val="2"/>
            <w:shd w:val="clear" w:color="auto" w:fill="auto"/>
            <w:noWrap/>
            <w:vAlign w:val="center"/>
            <w:hideMark/>
          </w:tcPr>
          <w:p w14:paraId="125D2BDB"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7.10.2.</w:t>
            </w:r>
          </w:p>
        </w:tc>
        <w:tc>
          <w:tcPr>
            <w:tcW w:w="2786" w:type="pct"/>
            <w:gridSpan w:val="5"/>
            <w:shd w:val="clear" w:color="auto" w:fill="auto"/>
            <w:vAlign w:val="center"/>
            <w:hideMark/>
          </w:tcPr>
          <w:p w14:paraId="1B682EFA" w14:textId="77777777" w:rsidR="00440295" w:rsidRPr="00F63AD8" w:rsidRDefault="00440295" w:rsidP="00034511">
            <w:pPr>
              <w:rPr>
                <w:rFonts w:ascii="Tahoma" w:hAnsi="Tahoma" w:cs="Tahoma"/>
                <w:sz w:val="18"/>
                <w:szCs w:val="18"/>
              </w:rPr>
            </w:pPr>
            <w:r w:rsidRPr="00F63AD8">
              <w:rPr>
                <w:rFonts w:ascii="Tahoma" w:hAnsi="Tahoma" w:cs="Tahoma"/>
                <w:sz w:val="18"/>
                <w:szCs w:val="18"/>
              </w:rPr>
              <w:t>выписка по Счету банковской (платежной) Карты в банкоматах Банка</w:t>
            </w:r>
          </w:p>
        </w:tc>
        <w:tc>
          <w:tcPr>
            <w:tcW w:w="1786" w:type="pct"/>
            <w:shd w:val="clear" w:color="auto" w:fill="auto"/>
            <w:noWrap/>
            <w:vAlign w:val="center"/>
            <w:hideMark/>
          </w:tcPr>
          <w:p w14:paraId="06DEEC10"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БЕСПЛАТНО</w:t>
            </w:r>
          </w:p>
        </w:tc>
      </w:tr>
      <w:tr w:rsidR="00440295" w:rsidRPr="00F63AD8" w14:paraId="0CC873AE" w14:textId="77777777" w:rsidTr="00034511">
        <w:tblPrEx>
          <w:tblLook w:val="04A0" w:firstRow="1" w:lastRow="0" w:firstColumn="1" w:lastColumn="0" w:noHBand="0" w:noVBand="1"/>
        </w:tblPrEx>
        <w:trPr>
          <w:gridAfter w:val="1"/>
          <w:wAfter w:w="103" w:type="pct"/>
          <w:trHeight w:val="283"/>
          <w:tblHeader/>
        </w:trPr>
        <w:tc>
          <w:tcPr>
            <w:tcW w:w="324" w:type="pct"/>
            <w:gridSpan w:val="2"/>
            <w:shd w:val="clear" w:color="auto" w:fill="auto"/>
            <w:noWrap/>
            <w:vAlign w:val="center"/>
            <w:hideMark/>
          </w:tcPr>
          <w:p w14:paraId="3C4DB561"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7.10.3.</w:t>
            </w:r>
          </w:p>
        </w:tc>
        <w:tc>
          <w:tcPr>
            <w:tcW w:w="2786" w:type="pct"/>
            <w:gridSpan w:val="5"/>
            <w:shd w:val="clear" w:color="auto" w:fill="auto"/>
            <w:vAlign w:val="center"/>
            <w:hideMark/>
          </w:tcPr>
          <w:p w14:paraId="0C342CEC" w14:textId="77777777" w:rsidR="00440295" w:rsidRPr="00F63AD8" w:rsidRDefault="00440295" w:rsidP="00034511">
            <w:pPr>
              <w:rPr>
                <w:rFonts w:ascii="Tahoma" w:hAnsi="Tahoma" w:cs="Tahoma"/>
                <w:sz w:val="18"/>
                <w:szCs w:val="18"/>
              </w:rPr>
            </w:pPr>
            <w:r w:rsidRPr="00F63AD8">
              <w:rPr>
                <w:rFonts w:ascii="Tahoma" w:hAnsi="Tahoma" w:cs="Tahoma"/>
                <w:sz w:val="18"/>
                <w:szCs w:val="18"/>
              </w:rPr>
              <w:t>изъятие (по распоряжению Банка) заблокированной Карты в банкомате другого банка</w:t>
            </w:r>
            <w:r w:rsidRPr="00F63AD8">
              <w:rPr>
                <w:rFonts w:ascii="Tahoma" w:hAnsi="Tahoma" w:cs="Tahoma"/>
                <w:sz w:val="18"/>
                <w:szCs w:val="18"/>
                <w:vertAlign w:val="superscript"/>
              </w:rPr>
              <w:t>14,15</w:t>
            </w:r>
          </w:p>
        </w:tc>
        <w:tc>
          <w:tcPr>
            <w:tcW w:w="1786" w:type="pct"/>
            <w:shd w:val="clear" w:color="auto" w:fill="auto"/>
            <w:noWrap/>
            <w:vAlign w:val="center"/>
            <w:hideMark/>
          </w:tcPr>
          <w:p w14:paraId="48AC15AD"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15 долларов США</w:t>
            </w:r>
          </w:p>
        </w:tc>
      </w:tr>
      <w:tr w:rsidR="00440295" w:rsidRPr="00F63AD8" w14:paraId="242F6BEE" w14:textId="77777777" w:rsidTr="00034511">
        <w:tblPrEx>
          <w:tblLook w:val="04A0" w:firstRow="1" w:lastRow="0" w:firstColumn="1" w:lastColumn="0" w:noHBand="0" w:noVBand="1"/>
        </w:tblPrEx>
        <w:trPr>
          <w:gridAfter w:val="1"/>
          <w:wAfter w:w="103" w:type="pct"/>
          <w:trHeight w:val="417"/>
          <w:tblHeader/>
        </w:trPr>
        <w:tc>
          <w:tcPr>
            <w:tcW w:w="324" w:type="pct"/>
            <w:gridSpan w:val="2"/>
            <w:shd w:val="clear" w:color="auto" w:fill="auto"/>
            <w:noWrap/>
            <w:vAlign w:val="center"/>
            <w:hideMark/>
          </w:tcPr>
          <w:p w14:paraId="010A87EC"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7.10.4.</w:t>
            </w:r>
          </w:p>
        </w:tc>
        <w:tc>
          <w:tcPr>
            <w:tcW w:w="2786" w:type="pct"/>
            <w:gridSpan w:val="5"/>
            <w:shd w:val="clear" w:color="auto" w:fill="auto"/>
            <w:vAlign w:val="center"/>
            <w:hideMark/>
          </w:tcPr>
          <w:p w14:paraId="0C0D1492" w14:textId="77777777" w:rsidR="00440295" w:rsidRPr="00F63AD8" w:rsidRDefault="00440295" w:rsidP="00034511">
            <w:pPr>
              <w:rPr>
                <w:rFonts w:ascii="Tahoma" w:hAnsi="Tahoma" w:cs="Tahoma"/>
                <w:sz w:val="18"/>
                <w:szCs w:val="18"/>
              </w:rPr>
            </w:pPr>
            <w:r w:rsidRPr="00F63AD8">
              <w:rPr>
                <w:rFonts w:ascii="Tahoma" w:hAnsi="Tahoma" w:cs="Tahoma"/>
                <w:sz w:val="18"/>
                <w:szCs w:val="18"/>
              </w:rPr>
              <w:t>изъятие (по распоряжению Банка) заблокированной Карты в ТСП</w:t>
            </w:r>
            <w:r w:rsidRPr="00F63AD8">
              <w:rPr>
                <w:rFonts w:ascii="Tahoma" w:hAnsi="Tahoma" w:cs="Tahoma"/>
                <w:sz w:val="18"/>
                <w:szCs w:val="18"/>
                <w:vertAlign w:val="superscript"/>
              </w:rPr>
              <w:t xml:space="preserve"> </w:t>
            </w:r>
            <w:r w:rsidRPr="00F63AD8">
              <w:rPr>
                <w:rFonts w:ascii="Tahoma" w:hAnsi="Tahoma" w:cs="Tahoma"/>
                <w:sz w:val="18"/>
                <w:szCs w:val="18"/>
              </w:rPr>
              <w:t>другого банка</w:t>
            </w:r>
            <w:r w:rsidRPr="00F63AD8">
              <w:rPr>
                <w:rFonts w:ascii="Tahoma" w:hAnsi="Tahoma" w:cs="Tahoma"/>
                <w:sz w:val="18"/>
                <w:szCs w:val="18"/>
                <w:vertAlign w:val="superscript"/>
              </w:rPr>
              <w:t>14,15</w:t>
            </w:r>
          </w:p>
        </w:tc>
        <w:tc>
          <w:tcPr>
            <w:tcW w:w="1786" w:type="pct"/>
            <w:shd w:val="clear" w:color="auto" w:fill="auto"/>
            <w:noWrap/>
            <w:vAlign w:val="center"/>
            <w:hideMark/>
          </w:tcPr>
          <w:p w14:paraId="6CDAE27B"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 xml:space="preserve"> 165 долларов США / (в Еврозоне - 115 евро)</w:t>
            </w:r>
          </w:p>
        </w:tc>
      </w:tr>
      <w:tr w:rsidR="00440295" w:rsidRPr="00F63AD8" w14:paraId="6433B535" w14:textId="77777777" w:rsidTr="00034511">
        <w:tblPrEx>
          <w:tblLook w:val="04A0" w:firstRow="1" w:lastRow="0" w:firstColumn="1" w:lastColumn="0" w:noHBand="0" w:noVBand="1"/>
        </w:tblPrEx>
        <w:trPr>
          <w:gridAfter w:val="1"/>
          <w:wAfter w:w="103" w:type="pct"/>
          <w:trHeight w:val="301"/>
          <w:tblHeader/>
        </w:trPr>
        <w:tc>
          <w:tcPr>
            <w:tcW w:w="324" w:type="pct"/>
            <w:gridSpan w:val="2"/>
            <w:shd w:val="clear" w:color="auto" w:fill="auto"/>
            <w:noWrap/>
            <w:vAlign w:val="center"/>
            <w:hideMark/>
          </w:tcPr>
          <w:p w14:paraId="4A4C403C"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7.10.5.</w:t>
            </w:r>
          </w:p>
        </w:tc>
        <w:tc>
          <w:tcPr>
            <w:tcW w:w="2786" w:type="pct"/>
            <w:gridSpan w:val="5"/>
            <w:shd w:val="clear" w:color="auto" w:fill="auto"/>
            <w:hideMark/>
          </w:tcPr>
          <w:p w14:paraId="6A490F2B" w14:textId="77777777" w:rsidR="00440295" w:rsidRPr="00F63AD8" w:rsidRDefault="00440295" w:rsidP="00034511">
            <w:pPr>
              <w:rPr>
                <w:rFonts w:ascii="Tahoma" w:hAnsi="Tahoma" w:cs="Tahoma"/>
                <w:sz w:val="18"/>
                <w:szCs w:val="18"/>
              </w:rPr>
            </w:pPr>
            <w:r w:rsidRPr="00F63AD8">
              <w:rPr>
                <w:rFonts w:ascii="Tahoma" w:hAnsi="Tahoma" w:cs="Tahoma"/>
                <w:sz w:val="18"/>
                <w:szCs w:val="18"/>
              </w:rPr>
              <w:t>услуги, оказанные другими банками (авторизация по телексу, направление в Банк информации об утере/краже Карты, срочная)</w:t>
            </w:r>
            <w:r w:rsidRPr="00F63AD8">
              <w:rPr>
                <w:rFonts w:ascii="Tahoma" w:hAnsi="Tahoma" w:cs="Tahoma"/>
                <w:sz w:val="18"/>
                <w:szCs w:val="18"/>
                <w:vertAlign w:val="superscript"/>
              </w:rPr>
              <w:t>15</w:t>
            </w:r>
          </w:p>
        </w:tc>
        <w:tc>
          <w:tcPr>
            <w:tcW w:w="1786" w:type="pct"/>
            <w:shd w:val="clear" w:color="auto" w:fill="auto"/>
            <w:noWrap/>
            <w:vAlign w:val="center"/>
            <w:hideMark/>
          </w:tcPr>
          <w:p w14:paraId="0FD7C881"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по фактическим затратам Банка</w:t>
            </w:r>
          </w:p>
        </w:tc>
      </w:tr>
      <w:tr w:rsidR="00440295" w:rsidRPr="00F63AD8" w14:paraId="6F09027A" w14:textId="77777777" w:rsidTr="00034511">
        <w:tblPrEx>
          <w:tblLook w:val="04A0" w:firstRow="1" w:lastRow="0" w:firstColumn="1" w:lastColumn="0" w:noHBand="0" w:noVBand="1"/>
        </w:tblPrEx>
        <w:trPr>
          <w:gridAfter w:val="1"/>
          <w:wAfter w:w="103" w:type="pct"/>
          <w:trHeight w:val="246"/>
          <w:tblHeader/>
        </w:trPr>
        <w:tc>
          <w:tcPr>
            <w:tcW w:w="324" w:type="pct"/>
            <w:gridSpan w:val="2"/>
            <w:shd w:val="clear" w:color="auto" w:fill="BFBFBF" w:themeFill="background1" w:themeFillShade="BF"/>
            <w:noWrap/>
            <w:vAlign w:val="center"/>
          </w:tcPr>
          <w:p w14:paraId="2EBBA2DF" w14:textId="77777777" w:rsidR="00440295" w:rsidRPr="00F63AD8" w:rsidRDefault="00440295" w:rsidP="00034511">
            <w:pPr>
              <w:jc w:val="center"/>
              <w:rPr>
                <w:rFonts w:ascii="Tahoma" w:hAnsi="Tahoma" w:cs="Tahoma"/>
                <w:b/>
                <w:sz w:val="18"/>
                <w:szCs w:val="18"/>
              </w:rPr>
            </w:pPr>
            <w:r w:rsidRPr="00F63AD8">
              <w:rPr>
                <w:rFonts w:ascii="Tahoma" w:hAnsi="Tahoma" w:cs="Tahoma"/>
                <w:b/>
                <w:sz w:val="18"/>
                <w:szCs w:val="18"/>
              </w:rPr>
              <w:t>7.11.</w:t>
            </w:r>
          </w:p>
        </w:tc>
        <w:tc>
          <w:tcPr>
            <w:tcW w:w="4573" w:type="pct"/>
            <w:gridSpan w:val="6"/>
            <w:shd w:val="clear" w:color="auto" w:fill="BFBFBF" w:themeFill="background1" w:themeFillShade="BF"/>
            <w:vAlign w:val="center"/>
          </w:tcPr>
          <w:p w14:paraId="6F641F13" w14:textId="77777777" w:rsidR="00440295" w:rsidRPr="00F63AD8" w:rsidRDefault="00440295" w:rsidP="00034511">
            <w:pPr>
              <w:jc w:val="center"/>
              <w:rPr>
                <w:rFonts w:ascii="Tahoma" w:hAnsi="Tahoma" w:cs="Tahoma"/>
                <w:b/>
                <w:sz w:val="18"/>
                <w:szCs w:val="18"/>
              </w:rPr>
            </w:pPr>
            <w:r w:rsidRPr="00F63AD8">
              <w:rPr>
                <w:rFonts w:ascii="Tahoma" w:hAnsi="Tahoma" w:cs="Tahoma"/>
                <w:b/>
                <w:sz w:val="18"/>
                <w:szCs w:val="18"/>
              </w:rPr>
              <w:t>Дополнительные сервисы по Картам</w:t>
            </w:r>
          </w:p>
        </w:tc>
      </w:tr>
      <w:tr w:rsidR="00440295" w:rsidRPr="00F63AD8" w14:paraId="20A61FA4" w14:textId="77777777" w:rsidTr="00034511">
        <w:tblPrEx>
          <w:tblLook w:val="04A0" w:firstRow="1" w:lastRow="0" w:firstColumn="1" w:lastColumn="0" w:noHBand="0" w:noVBand="1"/>
        </w:tblPrEx>
        <w:trPr>
          <w:gridAfter w:val="1"/>
          <w:wAfter w:w="103" w:type="pct"/>
          <w:trHeight w:val="323"/>
          <w:tblHeader/>
        </w:trPr>
        <w:tc>
          <w:tcPr>
            <w:tcW w:w="324" w:type="pct"/>
            <w:gridSpan w:val="2"/>
            <w:shd w:val="clear" w:color="000000" w:fill="FFFFFF"/>
            <w:noWrap/>
            <w:vAlign w:val="center"/>
          </w:tcPr>
          <w:p w14:paraId="47B0F5C9"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7.11.1</w:t>
            </w:r>
          </w:p>
        </w:tc>
        <w:tc>
          <w:tcPr>
            <w:tcW w:w="2786" w:type="pct"/>
            <w:gridSpan w:val="5"/>
            <w:shd w:val="clear" w:color="000000" w:fill="FFFFFF"/>
            <w:vAlign w:val="center"/>
          </w:tcPr>
          <w:p w14:paraId="6AD1F669" w14:textId="77777777" w:rsidR="00440295" w:rsidRPr="00F63AD8" w:rsidRDefault="00440295" w:rsidP="00034511">
            <w:pPr>
              <w:rPr>
                <w:rFonts w:ascii="Tahoma" w:hAnsi="Tahoma" w:cs="Tahoma"/>
                <w:sz w:val="18"/>
                <w:szCs w:val="18"/>
              </w:rPr>
            </w:pPr>
            <w:r w:rsidRPr="00F63AD8">
              <w:rPr>
                <w:rFonts w:ascii="Tahoma" w:hAnsi="Tahoma" w:cs="Tahoma"/>
                <w:sz w:val="18"/>
                <w:szCs w:val="18"/>
              </w:rPr>
              <w:t>участие в программе лояльности Мир</w:t>
            </w:r>
            <w:r w:rsidRPr="00F63AD8">
              <w:rPr>
                <w:rFonts w:ascii="Tahoma" w:hAnsi="Tahoma" w:cs="Tahoma"/>
                <w:sz w:val="18"/>
                <w:szCs w:val="18"/>
                <w:vertAlign w:val="superscript"/>
              </w:rPr>
              <w:t>16</w:t>
            </w:r>
            <w:r w:rsidRPr="00F63AD8">
              <w:rPr>
                <w:rFonts w:ascii="Tahoma" w:hAnsi="Tahoma" w:cs="Tahoma"/>
                <w:sz w:val="18"/>
                <w:szCs w:val="18"/>
              </w:rPr>
              <w:t xml:space="preserve"> (только для карт ПС Мир)</w:t>
            </w:r>
          </w:p>
        </w:tc>
        <w:tc>
          <w:tcPr>
            <w:tcW w:w="1786" w:type="pct"/>
            <w:shd w:val="clear" w:color="auto" w:fill="auto"/>
            <w:noWrap/>
            <w:vAlign w:val="center"/>
          </w:tcPr>
          <w:p w14:paraId="13E7048C"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w:t>
            </w:r>
          </w:p>
        </w:tc>
      </w:tr>
      <w:tr w:rsidR="00440295" w:rsidRPr="00F63AD8" w14:paraId="36E8A7A0" w14:textId="77777777" w:rsidTr="00034511">
        <w:tblPrEx>
          <w:tblLook w:val="04A0" w:firstRow="1" w:lastRow="0" w:firstColumn="1" w:lastColumn="0" w:noHBand="0" w:noVBand="1"/>
        </w:tblPrEx>
        <w:trPr>
          <w:gridAfter w:val="1"/>
          <w:wAfter w:w="103" w:type="pct"/>
          <w:trHeight w:val="415"/>
          <w:tblHeader/>
        </w:trPr>
        <w:tc>
          <w:tcPr>
            <w:tcW w:w="324" w:type="pct"/>
            <w:gridSpan w:val="2"/>
            <w:shd w:val="clear" w:color="auto" w:fill="auto"/>
            <w:noWrap/>
            <w:vAlign w:val="center"/>
          </w:tcPr>
          <w:p w14:paraId="20189392"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7.11.2.</w:t>
            </w:r>
          </w:p>
        </w:tc>
        <w:tc>
          <w:tcPr>
            <w:tcW w:w="2786" w:type="pct"/>
            <w:gridSpan w:val="5"/>
            <w:shd w:val="clear" w:color="auto" w:fill="auto"/>
            <w:vAlign w:val="center"/>
          </w:tcPr>
          <w:p w14:paraId="69E21C55" w14:textId="77777777" w:rsidR="00440295" w:rsidRPr="00F63AD8" w:rsidRDefault="00440295" w:rsidP="00034511">
            <w:pPr>
              <w:rPr>
                <w:rFonts w:ascii="Tahoma" w:hAnsi="Tahoma" w:cs="Tahoma"/>
                <w:sz w:val="18"/>
                <w:szCs w:val="18"/>
              </w:rPr>
            </w:pPr>
            <w:r w:rsidRPr="00F63AD8">
              <w:rPr>
                <w:rFonts w:ascii="Tahoma" w:hAnsi="Tahoma" w:cs="Tahoma"/>
                <w:sz w:val="18"/>
                <w:szCs w:val="18"/>
              </w:rPr>
              <w:t>бесплатная выписка по счетам в "АТБ-Онлайн"/"АТБ банк"</w:t>
            </w:r>
          </w:p>
        </w:tc>
        <w:tc>
          <w:tcPr>
            <w:tcW w:w="1786" w:type="pct"/>
            <w:shd w:val="clear" w:color="auto" w:fill="auto"/>
            <w:noWrap/>
            <w:vAlign w:val="center"/>
          </w:tcPr>
          <w:p w14:paraId="2265CFFB"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w:t>
            </w:r>
          </w:p>
        </w:tc>
      </w:tr>
      <w:tr w:rsidR="00440295" w:rsidRPr="00F63AD8" w14:paraId="10549BCB" w14:textId="77777777" w:rsidTr="00034511">
        <w:tblPrEx>
          <w:tblLook w:val="04A0" w:firstRow="1" w:lastRow="0" w:firstColumn="1" w:lastColumn="0" w:noHBand="0" w:noVBand="1"/>
        </w:tblPrEx>
        <w:trPr>
          <w:gridAfter w:val="1"/>
          <w:wAfter w:w="103" w:type="pct"/>
          <w:trHeight w:val="300"/>
          <w:tblHeader/>
        </w:trPr>
        <w:tc>
          <w:tcPr>
            <w:tcW w:w="324" w:type="pct"/>
            <w:gridSpan w:val="2"/>
            <w:shd w:val="clear" w:color="auto" w:fill="auto"/>
            <w:noWrap/>
            <w:vAlign w:val="center"/>
          </w:tcPr>
          <w:p w14:paraId="16737DFE" w14:textId="77777777" w:rsidR="00440295" w:rsidRPr="00F63AD8" w:rsidRDefault="00440295" w:rsidP="00034511">
            <w:pPr>
              <w:jc w:val="center"/>
              <w:rPr>
                <w:rFonts w:ascii="Tahoma" w:hAnsi="Tahoma" w:cs="Tahoma"/>
                <w:sz w:val="18"/>
                <w:szCs w:val="18"/>
              </w:rPr>
            </w:pPr>
            <w:r w:rsidRPr="00F63AD8">
              <w:rPr>
                <w:rFonts w:ascii="Tahoma" w:hAnsi="Tahoma" w:cs="Tahoma"/>
                <w:bCs/>
                <w:sz w:val="18"/>
                <w:szCs w:val="18"/>
              </w:rPr>
              <w:t>7.11.3.</w:t>
            </w:r>
            <w:r w:rsidRPr="00F63AD8" w:rsidDel="00690907">
              <w:rPr>
                <w:rFonts w:ascii="Tahoma" w:hAnsi="Tahoma" w:cs="Tahoma"/>
                <w:sz w:val="18"/>
                <w:szCs w:val="18"/>
              </w:rPr>
              <w:t xml:space="preserve"> </w:t>
            </w:r>
          </w:p>
        </w:tc>
        <w:tc>
          <w:tcPr>
            <w:tcW w:w="2786" w:type="pct"/>
            <w:gridSpan w:val="5"/>
            <w:shd w:val="clear" w:color="auto" w:fill="auto"/>
            <w:vAlign w:val="center"/>
          </w:tcPr>
          <w:p w14:paraId="67B53D15" w14:textId="77777777" w:rsidR="00440295" w:rsidRPr="00F63AD8" w:rsidRDefault="00440295" w:rsidP="00034511">
            <w:pPr>
              <w:rPr>
                <w:rFonts w:ascii="Tahoma" w:hAnsi="Tahoma" w:cs="Tahoma"/>
                <w:b/>
                <w:bCs/>
                <w:sz w:val="18"/>
                <w:szCs w:val="18"/>
              </w:rPr>
            </w:pPr>
            <w:r w:rsidRPr="00F63AD8">
              <w:rPr>
                <w:rFonts w:ascii="Tahoma" w:hAnsi="Tahoma" w:cs="Tahoma"/>
                <w:sz w:val="18"/>
                <w:szCs w:val="18"/>
              </w:rPr>
              <w:t>круглосуточная поддержка через Контактный центр Банка: 8-800-775-8888 (бесплатно на территории России)</w:t>
            </w:r>
          </w:p>
        </w:tc>
        <w:tc>
          <w:tcPr>
            <w:tcW w:w="1786" w:type="pct"/>
            <w:shd w:val="clear" w:color="auto" w:fill="auto"/>
            <w:noWrap/>
            <w:vAlign w:val="center"/>
          </w:tcPr>
          <w:p w14:paraId="2EF5373B"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w:t>
            </w:r>
          </w:p>
        </w:tc>
      </w:tr>
      <w:tr w:rsidR="00440295" w:rsidRPr="00F63AD8" w14:paraId="104C08AC" w14:textId="77777777" w:rsidTr="00034511">
        <w:tblPrEx>
          <w:tblLook w:val="04A0" w:firstRow="1" w:lastRow="0" w:firstColumn="1" w:lastColumn="0" w:noHBand="0" w:noVBand="1"/>
        </w:tblPrEx>
        <w:trPr>
          <w:gridAfter w:val="1"/>
          <w:wAfter w:w="103" w:type="pct"/>
          <w:trHeight w:val="300"/>
          <w:tblHeader/>
        </w:trPr>
        <w:tc>
          <w:tcPr>
            <w:tcW w:w="324" w:type="pct"/>
            <w:gridSpan w:val="2"/>
            <w:shd w:val="clear" w:color="auto" w:fill="auto"/>
            <w:noWrap/>
            <w:vAlign w:val="center"/>
          </w:tcPr>
          <w:p w14:paraId="18E9678E" w14:textId="77777777" w:rsidR="00440295" w:rsidRPr="00F63AD8" w:rsidRDefault="00440295" w:rsidP="00034511">
            <w:pPr>
              <w:jc w:val="center"/>
              <w:rPr>
                <w:rFonts w:ascii="Tahoma" w:hAnsi="Tahoma" w:cs="Tahoma"/>
                <w:sz w:val="18"/>
                <w:szCs w:val="18"/>
              </w:rPr>
            </w:pPr>
            <w:r w:rsidRPr="00F63AD8">
              <w:rPr>
                <w:rFonts w:ascii="Tahoma" w:hAnsi="Tahoma" w:cs="Tahoma"/>
                <w:sz w:val="18"/>
                <w:szCs w:val="18"/>
              </w:rPr>
              <w:t>7.11.4.</w:t>
            </w:r>
          </w:p>
        </w:tc>
        <w:tc>
          <w:tcPr>
            <w:tcW w:w="2786" w:type="pct"/>
            <w:gridSpan w:val="5"/>
            <w:shd w:val="clear" w:color="auto" w:fill="auto"/>
            <w:vAlign w:val="center"/>
          </w:tcPr>
          <w:p w14:paraId="4D367DE3" w14:textId="77777777" w:rsidR="00440295" w:rsidRPr="00F63AD8" w:rsidRDefault="00440295" w:rsidP="00034511">
            <w:pPr>
              <w:rPr>
                <w:rFonts w:ascii="Tahoma" w:hAnsi="Tahoma" w:cs="Tahoma"/>
                <w:sz w:val="18"/>
                <w:szCs w:val="18"/>
              </w:rPr>
            </w:pPr>
            <w:r w:rsidRPr="00F63AD8">
              <w:rPr>
                <w:rFonts w:ascii="Tahoma" w:hAnsi="Tahoma" w:cs="Tahoma"/>
                <w:sz w:val="18"/>
                <w:szCs w:val="18"/>
              </w:rPr>
              <w:t>сообщение в Банк о потере или краже Карты по единому номеру в любой точке мира</w:t>
            </w:r>
          </w:p>
        </w:tc>
        <w:tc>
          <w:tcPr>
            <w:tcW w:w="1786" w:type="pct"/>
            <w:shd w:val="clear" w:color="auto" w:fill="auto"/>
            <w:noWrap/>
            <w:vAlign w:val="center"/>
          </w:tcPr>
          <w:p w14:paraId="3E885C5C" w14:textId="77777777" w:rsidR="00440295" w:rsidRPr="00F63AD8" w:rsidRDefault="00440295" w:rsidP="00034511">
            <w:pPr>
              <w:jc w:val="center"/>
              <w:rPr>
                <w:rFonts w:ascii="Tahoma" w:hAnsi="Tahoma" w:cs="Tahoma"/>
                <w:b/>
                <w:bCs/>
                <w:sz w:val="18"/>
                <w:szCs w:val="18"/>
              </w:rPr>
            </w:pPr>
            <w:r w:rsidRPr="00F63AD8">
              <w:rPr>
                <w:rFonts w:ascii="Tahoma" w:hAnsi="Tahoma" w:cs="Tahoma"/>
                <w:b/>
                <w:bCs/>
                <w:sz w:val="18"/>
                <w:szCs w:val="18"/>
              </w:rPr>
              <w:t>+</w:t>
            </w:r>
          </w:p>
        </w:tc>
      </w:tr>
    </w:tbl>
    <w:p w14:paraId="4FF55A64" w14:textId="77777777" w:rsidR="00440295" w:rsidRPr="00F63AD8" w:rsidRDefault="00440295" w:rsidP="00440295">
      <w:pPr>
        <w:rPr>
          <w:rFonts w:ascii="Tahoma" w:hAnsi="Tahoma" w:cs="Tahoma"/>
          <w:sz w:val="18"/>
          <w:szCs w:val="18"/>
        </w:rPr>
      </w:pPr>
      <w:r w:rsidRPr="00F63AD8">
        <w:rPr>
          <w:rFonts w:ascii="Tahoma" w:hAnsi="Tahoma" w:cs="Tahoma"/>
          <w:color w:val="000000" w:themeColor="text1"/>
          <w:sz w:val="18"/>
          <w:szCs w:val="18"/>
          <w:vertAlign w:val="superscript"/>
        </w:rPr>
        <w:t xml:space="preserve">1 </w:t>
      </w:r>
      <w:r w:rsidRPr="00F63AD8">
        <w:rPr>
          <w:rFonts w:ascii="Tahoma" w:hAnsi="Tahoma" w:cs="Tahoma"/>
          <w:sz w:val="18"/>
          <w:szCs w:val="18"/>
        </w:rPr>
        <w:t xml:space="preserve">Операции по банковским счетам и использование платежных карт осуществляются с учетом ограничений, установленных платежными системами, иными уполномоченными лицами/органами иностранных государств, международными организациями, а также законодательством иностранных государств, Российской Федерации, в том числе актами Банка России, иных уполномоченных лиц/органов, действующих на территории Российской Федерации, в т.ч. Решением Совета директоров Банка России от 13.09.2024 "О тарифах на услуги Банка России в сервисе быстрых платежей платежной системы Банка России и максимальных значениях размера платы, взимаемой кредитными организациями со своих клиентов за осуществление перевода денежных средств физическими лицами в пользу физических лиц, перевода денежных средств физическими лицами на единый казначейский счет в сервисе быстрых платежей платежной системы Банка России". </w:t>
      </w:r>
    </w:p>
    <w:p w14:paraId="1299991B" w14:textId="77777777" w:rsidR="00440295" w:rsidRPr="00F63AD8" w:rsidRDefault="00440295" w:rsidP="00440295">
      <w:pPr>
        <w:rPr>
          <w:rFonts w:ascii="Tahoma" w:hAnsi="Tahoma" w:cs="Tahoma"/>
          <w:color w:val="000000" w:themeColor="text1"/>
          <w:sz w:val="18"/>
          <w:szCs w:val="18"/>
        </w:rPr>
      </w:pPr>
      <w:r w:rsidRPr="00F63AD8">
        <w:rPr>
          <w:rFonts w:ascii="Tahoma" w:hAnsi="Tahoma" w:cs="Tahoma"/>
          <w:sz w:val="18"/>
          <w:szCs w:val="18"/>
          <w:vertAlign w:val="superscript"/>
        </w:rPr>
        <w:t>2</w:t>
      </w:r>
      <w:r w:rsidRPr="00F63AD8">
        <w:rPr>
          <w:rFonts w:ascii="Tahoma" w:hAnsi="Tahoma" w:cs="Tahoma"/>
          <w:sz w:val="18"/>
          <w:szCs w:val="18"/>
        </w:rPr>
        <w:t xml:space="preserve"> </w:t>
      </w:r>
      <w:r w:rsidRPr="00F63AD8">
        <w:rPr>
          <w:rFonts w:ascii="Tahoma" w:hAnsi="Tahoma" w:cs="Tahoma"/>
          <w:color w:val="000000" w:themeColor="text1"/>
          <w:sz w:val="18"/>
          <w:szCs w:val="18"/>
        </w:rPr>
        <w:t>Тип банковской (платежной) Карты MasterCard Standard используется в случае выдачи потребительского кредита (с лимитом кредитования) по ТП Лайт одновременно с ипотечным Кредитом.</w:t>
      </w:r>
    </w:p>
    <w:p w14:paraId="29934E11" w14:textId="77777777" w:rsidR="00440295" w:rsidRPr="00F63AD8" w:rsidRDefault="00440295" w:rsidP="00440295">
      <w:pPr>
        <w:spacing w:line="0" w:lineRule="atLeast"/>
        <w:rPr>
          <w:rFonts w:ascii="Tahoma" w:hAnsi="Tahoma" w:cs="Tahoma"/>
          <w:sz w:val="18"/>
          <w:szCs w:val="18"/>
        </w:rPr>
      </w:pPr>
      <w:r w:rsidRPr="00F63AD8">
        <w:rPr>
          <w:rFonts w:ascii="Tahoma" w:hAnsi="Tahoma" w:cs="Tahoma"/>
          <w:sz w:val="18"/>
          <w:szCs w:val="18"/>
          <w:vertAlign w:val="superscript"/>
        </w:rPr>
        <w:t xml:space="preserve">3 </w:t>
      </w:r>
      <w:r w:rsidRPr="00F63AD8">
        <w:rPr>
          <w:rFonts w:ascii="Tahoma" w:hAnsi="Tahoma" w:cs="Tahoma"/>
          <w:sz w:val="18"/>
          <w:szCs w:val="18"/>
        </w:rPr>
        <w:t>Выдача денежных средств в кассах Банка производится с предъявлением документа, удостоверяющего личность.</w:t>
      </w:r>
    </w:p>
    <w:p w14:paraId="1326B0EE" w14:textId="77777777" w:rsidR="00440295" w:rsidRPr="00F63AD8" w:rsidRDefault="00440295" w:rsidP="00440295">
      <w:pPr>
        <w:autoSpaceDE w:val="0"/>
        <w:autoSpaceDN w:val="0"/>
        <w:rPr>
          <w:rFonts w:ascii="Tahoma" w:hAnsi="Tahoma" w:cs="Tahoma"/>
          <w:sz w:val="18"/>
          <w:szCs w:val="18"/>
        </w:rPr>
      </w:pPr>
      <w:r w:rsidRPr="00F63AD8">
        <w:rPr>
          <w:rFonts w:ascii="Tahoma" w:hAnsi="Tahoma" w:cs="Tahoma"/>
          <w:color w:val="000000"/>
          <w:sz w:val="18"/>
          <w:szCs w:val="18"/>
          <w:vertAlign w:val="superscript"/>
        </w:rPr>
        <w:t>4</w:t>
      </w:r>
      <w:r w:rsidRPr="00F63AD8">
        <w:rPr>
          <w:rFonts w:ascii="Tahoma" w:hAnsi="Tahoma" w:cs="Tahoma"/>
          <w:sz w:val="18"/>
          <w:szCs w:val="18"/>
        </w:rPr>
        <w:t xml:space="preserve"> </w:t>
      </w:r>
      <w:r w:rsidRPr="00F63AD8">
        <w:rPr>
          <w:rFonts w:ascii="Tahoma" w:hAnsi="Tahoma" w:cs="Tahoma"/>
          <w:color w:val="000000"/>
          <w:sz w:val="18"/>
          <w:szCs w:val="18"/>
        </w:rPr>
        <w:t>Максимальная сумма снятия наличных денежных средств, в рамках одной операции, проводимой в ТСП:  5 тыс. руб., сумма снятия может быть кратной 100 руб., ежедневный лимит снятия наличных в ТСП: 5 тыс. руб., ежемесячный лимит снятия наличных в ТСП: 30 тыс. руб., при этом платежными системами и ТСП могут быть установлены свои ограничения по предоставлению данной услуги. О наличии услуги необходимо уточнять у кассира ТСП.</w:t>
      </w:r>
      <w:r w:rsidRPr="00F63AD8">
        <w:rPr>
          <w:rFonts w:ascii="Tahoma" w:hAnsi="Tahoma" w:cs="Tahoma"/>
          <w:b/>
          <w:bCs/>
          <w:color w:val="000000"/>
          <w:sz w:val="18"/>
          <w:szCs w:val="18"/>
        </w:rPr>
        <w:t>  </w:t>
      </w:r>
    </w:p>
    <w:p w14:paraId="4E5E4A44" w14:textId="77777777" w:rsidR="00440295" w:rsidRPr="00F63AD8" w:rsidRDefault="00440295" w:rsidP="00440295">
      <w:pPr>
        <w:rPr>
          <w:rFonts w:ascii="Tahoma" w:hAnsi="Tahoma" w:cs="Tahoma"/>
          <w:sz w:val="18"/>
          <w:szCs w:val="18"/>
          <w:vertAlign w:val="superscript"/>
        </w:rPr>
      </w:pPr>
      <w:r w:rsidRPr="00F63AD8">
        <w:rPr>
          <w:rFonts w:ascii="Tahoma" w:hAnsi="Tahoma" w:cs="Tahoma"/>
          <w:sz w:val="18"/>
          <w:szCs w:val="18"/>
          <w:vertAlign w:val="superscript"/>
        </w:rPr>
        <w:t xml:space="preserve">5 </w:t>
      </w:r>
      <w:r w:rsidRPr="00F63AD8">
        <w:rPr>
          <w:rFonts w:ascii="Tahoma" w:hAnsi="Tahoma" w:cs="Tahoma"/>
          <w:color w:val="000000"/>
          <w:sz w:val="18"/>
          <w:szCs w:val="18"/>
        </w:rPr>
        <w:t>По картам МИР возможно снятие наличных денежных средств за пределами Российской Федерации только на территории, указанной на сайте Национальной платежной карты МИР (</w:t>
      </w:r>
      <w:hyperlink r:id="rId109" w:history="1">
        <w:r w:rsidRPr="00F63AD8">
          <w:rPr>
            <w:rStyle w:val="aff"/>
            <w:rFonts w:ascii="Tahoma" w:hAnsi="Tahoma" w:cs="Tahoma"/>
            <w:sz w:val="18"/>
            <w:szCs w:val="18"/>
          </w:rPr>
          <w:t>https://mironline.ru/</w:t>
        </w:r>
      </w:hyperlink>
      <w:r w:rsidRPr="00F63AD8">
        <w:rPr>
          <w:rFonts w:ascii="Tahoma" w:hAnsi="Tahoma" w:cs="Tahoma"/>
          <w:color w:val="000000"/>
          <w:sz w:val="18"/>
          <w:szCs w:val="18"/>
        </w:rPr>
        <w:t>)</w:t>
      </w:r>
    </w:p>
    <w:p w14:paraId="1253E833" w14:textId="77777777" w:rsidR="00440295" w:rsidRPr="00F63AD8" w:rsidRDefault="00440295" w:rsidP="00440295">
      <w:pPr>
        <w:rPr>
          <w:rFonts w:ascii="Tahoma" w:hAnsi="Tahoma" w:cs="Tahoma"/>
          <w:sz w:val="18"/>
          <w:szCs w:val="18"/>
        </w:rPr>
      </w:pPr>
      <w:r w:rsidRPr="00F63AD8">
        <w:rPr>
          <w:rFonts w:ascii="Tahoma" w:hAnsi="Tahoma" w:cs="Tahoma"/>
          <w:sz w:val="18"/>
          <w:szCs w:val="18"/>
          <w:vertAlign w:val="superscript"/>
        </w:rPr>
        <w:t>6</w:t>
      </w:r>
      <w:r w:rsidRPr="00F63AD8">
        <w:rPr>
          <w:rFonts w:ascii="Tahoma" w:hAnsi="Tahoma" w:cs="Tahoma"/>
          <w:sz w:val="18"/>
          <w:szCs w:val="18"/>
        </w:rPr>
        <w:t xml:space="preserve"> При переводе денежных средств в пользу контрагентов: ООО «АльфаСтрахование-Жизнь» (ИНН 7715228310), АО «Группа Ренессанс Страхование» (ИНН 7725497022), АО «МАКС» (ИНН 7709031643), ООО «ПОНИМАЮ» (ИНН 7703418637), САО «ВСК» (ИНН 7710026574), ООО «Макс-Жизнь» (ИНН 7724510200), ООО «Медилог» (ИНН 7706459582), ООО СК «Росгосстрах Жизнь» (ИНН 7743504307), ООО СК «Альянс Жизнь» (ИНН 7702073683), ООО «Европейская Юридическая Служба» (ИНН 7703722933), АО «АльфаСтрахование» (ИНН 7713056834), АО «НПФ ГАЗФОНД пенсионные накопления» (ИНН 7726486023), ООО "Теледоктор 24" (ИНН 7731571690), ООО "МК Доктор Рядом" (ИНН 7736253130), ООО "Юридические решения" (ИНН 9718083320), ООО "СК "Ренессанс Жизнь" (7725520440), ООО СК "СБЕРБАНК СТРАХОВАНИЕ" (ИНН 7706810747</w:t>
      </w:r>
      <w:r w:rsidRPr="00F63AD8">
        <w:rPr>
          <w:rFonts w:ascii="Tahoma" w:hAnsi="Tahoma" w:cs="Tahoma"/>
          <w:color w:val="000000"/>
          <w:sz w:val="18"/>
          <w:szCs w:val="18"/>
        </w:rPr>
        <w:t xml:space="preserve">), ООО «ВетЭксперт» (ИНН 9721023843), ООО «Д.С. Дистрибьютор» (ИНН 7797746316635), </w:t>
      </w:r>
      <w:r w:rsidRPr="00F63AD8">
        <w:rPr>
          <w:rFonts w:ascii="Tahoma" w:hAnsi="Tahoma" w:cs="Tahoma"/>
          <w:color w:val="FF0000"/>
          <w:sz w:val="18"/>
          <w:szCs w:val="18"/>
        </w:rPr>
        <w:t> </w:t>
      </w:r>
      <w:r w:rsidRPr="00F63AD8">
        <w:rPr>
          <w:rFonts w:ascii="Tahoma" w:hAnsi="Tahoma" w:cs="Tahoma"/>
          <w:color w:val="000000"/>
          <w:sz w:val="18"/>
          <w:szCs w:val="18"/>
        </w:rPr>
        <w:t xml:space="preserve">АО ГСК «Югория» (ИНН 8601023568) </w:t>
      </w:r>
      <w:r w:rsidRPr="00F63AD8">
        <w:rPr>
          <w:rFonts w:ascii="Tahoma" w:hAnsi="Tahoma" w:cs="Tahoma"/>
          <w:sz w:val="18"/>
          <w:szCs w:val="18"/>
        </w:rPr>
        <w:t xml:space="preserve">на счета, </w:t>
      </w:r>
      <w:r w:rsidRPr="00F63AD8">
        <w:rPr>
          <w:rFonts w:ascii="Tahoma" w:hAnsi="Tahoma" w:cs="Tahoma"/>
          <w:color w:val="000000"/>
          <w:sz w:val="18"/>
          <w:szCs w:val="18"/>
        </w:rPr>
        <w:t xml:space="preserve">открытые в </w:t>
      </w:r>
      <w:r w:rsidRPr="00F63AD8">
        <w:rPr>
          <w:rFonts w:ascii="Tahoma" w:hAnsi="Tahoma" w:cs="Tahoma"/>
          <w:sz w:val="18"/>
          <w:szCs w:val="18"/>
        </w:rPr>
        <w:t>Банке, комиссия не взимается.</w:t>
      </w:r>
    </w:p>
    <w:p w14:paraId="37FFA9AB" w14:textId="77777777" w:rsidR="00440295" w:rsidRPr="00F63AD8" w:rsidRDefault="00440295" w:rsidP="00440295">
      <w:pPr>
        <w:rPr>
          <w:rFonts w:ascii="Tahoma" w:hAnsi="Tahoma" w:cs="Tahoma"/>
          <w:color w:val="000000"/>
          <w:sz w:val="18"/>
          <w:szCs w:val="18"/>
        </w:rPr>
      </w:pPr>
      <w:r w:rsidRPr="00F63AD8">
        <w:rPr>
          <w:rFonts w:ascii="Tahoma" w:hAnsi="Tahoma" w:cs="Tahoma"/>
          <w:iCs/>
          <w:sz w:val="18"/>
          <w:szCs w:val="18"/>
          <w:vertAlign w:val="superscript"/>
        </w:rPr>
        <w:t>7</w:t>
      </w:r>
      <w:r w:rsidRPr="00F63AD8">
        <w:rPr>
          <w:rFonts w:ascii="Tahoma" w:hAnsi="Tahoma" w:cs="Tahoma"/>
          <w:iCs/>
          <w:sz w:val="18"/>
          <w:szCs w:val="18"/>
        </w:rPr>
        <w:t xml:space="preserve"> </w:t>
      </w:r>
      <w:r w:rsidRPr="00F63AD8">
        <w:rPr>
          <w:rFonts w:ascii="Tahoma" w:hAnsi="Tahoma" w:cs="Tahoma"/>
          <w:color w:val="000000"/>
          <w:sz w:val="18"/>
          <w:szCs w:val="18"/>
        </w:rPr>
        <w:t>Максимальная сумма одного перевода 120 000 руб. В течение одних суток по одной банковской карте может быть проведено не более 150 000 руб., за один календарный месяц - не более 600 000 руб. Суммарный суточный лимит действует с 00.00-24.00 часов по московскому времени и устанавливает расходные операции одного Клиента в рублях РФ и в иностранной валюте. При совершении операции по Счету в иностранной валюте пересчет суммы операции в рубли РФ осуществляется по курсу Банка на дату операции.</w:t>
      </w:r>
    </w:p>
    <w:p w14:paraId="661CE75A" w14:textId="77777777" w:rsidR="00440295" w:rsidRPr="00F63AD8" w:rsidRDefault="00440295" w:rsidP="00440295">
      <w:pPr>
        <w:autoSpaceDN w:val="0"/>
        <w:rPr>
          <w:rFonts w:ascii="Tahoma" w:hAnsi="Tahoma" w:cs="Tahoma"/>
          <w:color w:val="000000"/>
          <w:sz w:val="18"/>
          <w:szCs w:val="18"/>
        </w:rPr>
      </w:pPr>
      <w:r w:rsidRPr="00F63AD8">
        <w:rPr>
          <w:rFonts w:ascii="Tahoma" w:hAnsi="Tahoma" w:cs="Tahoma"/>
          <w:color w:val="000000"/>
          <w:sz w:val="18"/>
          <w:szCs w:val="18"/>
          <w:vertAlign w:val="superscript"/>
        </w:rPr>
        <w:t xml:space="preserve">8 </w:t>
      </w:r>
      <w:r w:rsidRPr="00F63AD8">
        <w:rPr>
          <w:rFonts w:ascii="Tahoma" w:hAnsi="Tahoma" w:cs="Tahoma"/>
          <w:color w:val="000000"/>
          <w:sz w:val="18"/>
          <w:szCs w:val="18"/>
        </w:rPr>
        <w:t xml:space="preserve">В рамках утвержденных лимитов в ДБО («АТБ банк»/«АТБ - Онлайн»), размещаемых на официальном сайте Банка по адресу </w:t>
      </w:r>
      <w:hyperlink r:id="rId110" w:history="1">
        <w:r w:rsidRPr="00F63AD8">
          <w:rPr>
            <w:rStyle w:val="aff"/>
            <w:rFonts w:ascii="Tahoma" w:hAnsi="Tahoma" w:cs="Tahoma"/>
            <w:sz w:val="18"/>
            <w:szCs w:val="18"/>
          </w:rPr>
          <w:t>https://www.atb.su/services/remote-banking/</w:t>
        </w:r>
      </w:hyperlink>
    </w:p>
    <w:p w14:paraId="7DE4468D" w14:textId="77777777" w:rsidR="00440295" w:rsidRPr="00F63AD8" w:rsidRDefault="00440295" w:rsidP="00440295">
      <w:pPr>
        <w:pStyle w:val="Default"/>
        <w:jc w:val="both"/>
        <w:rPr>
          <w:rFonts w:ascii="Tahoma" w:hAnsi="Tahoma" w:cs="Tahoma"/>
          <w:sz w:val="18"/>
          <w:szCs w:val="18"/>
        </w:rPr>
      </w:pPr>
      <w:r w:rsidRPr="00F63AD8">
        <w:rPr>
          <w:rFonts w:ascii="Tahoma" w:hAnsi="Tahoma" w:cs="Tahoma"/>
          <w:sz w:val="18"/>
          <w:szCs w:val="18"/>
          <w:vertAlign w:val="superscript"/>
        </w:rPr>
        <w:t xml:space="preserve">9 </w:t>
      </w:r>
      <w:r w:rsidRPr="00F63AD8">
        <w:rPr>
          <w:rFonts w:ascii="Tahoma" w:hAnsi="Tahoma" w:cs="Tahoma"/>
          <w:sz w:val="18"/>
          <w:szCs w:val="18"/>
        </w:rPr>
        <w:t xml:space="preserve">Возможны ограничения Банком (суммы одного перевода и размера лимита за месяц) согласно </w:t>
      </w:r>
      <w:r w:rsidRPr="00F63AD8">
        <w:rPr>
          <w:rFonts w:ascii="Tahoma" w:hAnsi="Tahoma" w:cs="Tahoma"/>
          <w:bCs/>
          <w:sz w:val="18"/>
          <w:szCs w:val="18"/>
        </w:rPr>
        <w:t xml:space="preserve">Договора об условиях предоставления «Азиатско-Тихоокеанский Банк (АО) услуги «Перевод с карты на карту» с использованием Интернет-ресурса </w:t>
      </w:r>
      <w:r w:rsidRPr="00F63AD8">
        <w:rPr>
          <w:rFonts w:ascii="Tahoma" w:hAnsi="Tahoma" w:cs="Tahoma"/>
          <w:sz w:val="18"/>
          <w:szCs w:val="18"/>
        </w:rPr>
        <w:t xml:space="preserve">(Публичной оферте), размещенной на официальном сайте Банка по адресу  </w:t>
      </w:r>
      <w:hyperlink r:id="rId111" w:history="1">
        <w:r w:rsidRPr="00F63AD8">
          <w:rPr>
            <w:rStyle w:val="aff"/>
            <w:rFonts w:ascii="Tahoma" w:hAnsi="Tahoma" w:cs="Tahoma"/>
            <w:sz w:val="18"/>
            <w:szCs w:val="18"/>
          </w:rPr>
          <w:t>https://my.atb.su/c2c-transfer/</w:t>
        </w:r>
      </w:hyperlink>
    </w:p>
    <w:p w14:paraId="39738DC7" w14:textId="77777777" w:rsidR="00440295" w:rsidRPr="00F63AD8" w:rsidRDefault="00440295" w:rsidP="00440295">
      <w:pPr>
        <w:rPr>
          <w:rFonts w:ascii="Tahoma" w:hAnsi="Tahoma" w:cs="Tahoma"/>
          <w:color w:val="000000" w:themeColor="text1"/>
          <w:sz w:val="18"/>
          <w:szCs w:val="18"/>
        </w:rPr>
      </w:pPr>
      <w:r w:rsidRPr="00F63AD8">
        <w:rPr>
          <w:rFonts w:ascii="Tahoma" w:hAnsi="Tahoma" w:cs="Tahoma"/>
          <w:color w:val="000000" w:themeColor="text1"/>
          <w:sz w:val="18"/>
          <w:szCs w:val="18"/>
        </w:rPr>
        <w:t xml:space="preserve">Переводы на карты, </w:t>
      </w:r>
      <w:r w:rsidRPr="00F63AD8">
        <w:rPr>
          <w:rFonts w:ascii="Tahoma" w:hAnsi="Tahoma" w:cs="Tahoma"/>
          <w:sz w:val="18"/>
          <w:szCs w:val="18"/>
        </w:rPr>
        <w:t>эмитированные</w:t>
      </w:r>
      <w:r w:rsidRPr="00F63AD8">
        <w:rPr>
          <w:rFonts w:ascii="Tahoma" w:hAnsi="Tahoma" w:cs="Tahoma"/>
          <w:color w:val="000000" w:themeColor="text1"/>
          <w:sz w:val="18"/>
          <w:szCs w:val="18"/>
        </w:rPr>
        <w:t xml:space="preserve"> иностранными банками, в банкоматах Банка не осуществляются.</w:t>
      </w:r>
    </w:p>
    <w:p w14:paraId="2112DD31" w14:textId="77777777" w:rsidR="00440295" w:rsidRPr="00F63AD8" w:rsidRDefault="00440295" w:rsidP="00440295">
      <w:pPr>
        <w:pStyle w:val="Default"/>
        <w:jc w:val="both"/>
        <w:rPr>
          <w:rFonts w:ascii="Tahoma" w:hAnsi="Tahoma" w:cs="Tahoma"/>
          <w:sz w:val="18"/>
          <w:szCs w:val="18"/>
        </w:rPr>
      </w:pPr>
      <w:r w:rsidRPr="00F63AD8">
        <w:rPr>
          <w:rFonts w:ascii="Tahoma" w:hAnsi="Tahoma" w:cs="Tahoma"/>
          <w:sz w:val="18"/>
          <w:szCs w:val="18"/>
          <w:vertAlign w:val="superscript"/>
        </w:rPr>
        <w:t xml:space="preserve">10 </w:t>
      </w:r>
      <w:r w:rsidRPr="00F63AD8">
        <w:rPr>
          <w:rFonts w:ascii="Tahoma" w:hAnsi="Tahoma" w:cs="Tahoma"/>
          <w:sz w:val="18"/>
          <w:szCs w:val="18"/>
        </w:rPr>
        <w:t>В случае предоставления услуги другим банком.</w:t>
      </w:r>
    </w:p>
    <w:p w14:paraId="6BBC68BB" w14:textId="77777777" w:rsidR="00440295" w:rsidRPr="00F63AD8" w:rsidRDefault="00440295" w:rsidP="00440295">
      <w:pPr>
        <w:spacing w:line="0" w:lineRule="atLeast"/>
        <w:rPr>
          <w:rFonts w:ascii="Tahoma" w:hAnsi="Tahoma" w:cs="Tahoma"/>
          <w:sz w:val="18"/>
          <w:szCs w:val="18"/>
        </w:rPr>
      </w:pPr>
      <w:r w:rsidRPr="00F63AD8">
        <w:rPr>
          <w:rFonts w:ascii="Tahoma" w:hAnsi="Tahoma" w:cs="Tahoma"/>
          <w:sz w:val="18"/>
          <w:szCs w:val="18"/>
          <w:vertAlign w:val="superscript"/>
        </w:rPr>
        <w:t xml:space="preserve">11 </w:t>
      </w:r>
      <w:r w:rsidRPr="00F63AD8">
        <w:rPr>
          <w:rFonts w:ascii="Tahoma" w:hAnsi="Tahoma" w:cs="Tahoma"/>
          <w:sz w:val="18"/>
          <w:szCs w:val="18"/>
        </w:rPr>
        <w:t>Комиссионное вознаграждение взимается не позднее последнего дня периода оказания услуги.  Услуга Банком Заемщику не оказывается в случае отсутствия средств и операций по Счету в периоде оказания услуги.</w:t>
      </w:r>
    </w:p>
    <w:p w14:paraId="360AB629" w14:textId="77777777" w:rsidR="00440295" w:rsidRPr="00F63AD8" w:rsidRDefault="00440295" w:rsidP="00440295">
      <w:pPr>
        <w:spacing w:line="0" w:lineRule="atLeast"/>
        <w:rPr>
          <w:rFonts w:ascii="Tahoma" w:hAnsi="Tahoma" w:cs="Tahoma"/>
          <w:sz w:val="18"/>
          <w:szCs w:val="18"/>
        </w:rPr>
      </w:pPr>
      <w:r w:rsidRPr="00F63AD8">
        <w:rPr>
          <w:rFonts w:ascii="Tahoma" w:hAnsi="Tahoma" w:cs="Tahoma"/>
          <w:sz w:val="18"/>
          <w:szCs w:val="18"/>
          <w:vertAlign w:val="superscript"/>
        </w:rPr>
        <w:t xml:space="preserve">12 </w:t>
      </w:r>
      <w:r w:rsidRPr="00F63AD8">
        <w:rPr>
          <w:rFonts w:ascii="Tahoma" w:hAnsi="Tahoma" w:cs="Tahoma"/>
          <w:sz w:val="18"/>
          <w:szCs w:val="18"/>
        </w:rPr>
        <w:t>В случае отсутствия на Счете Заемщика доступных денежных средств в размере, необходимом для списания комиссии за услугу, услуга Заемщику не оказывается.</w:t>
      </w:r>
    </w:p>
    <w:p w14:paraId="53FB0FD8" w14:textId="77777777" w:rsidR="00440295" w:rsidRPr="00F63AD8" w:rsidRDefault="00440295" w:rsidP="00440295">
      <w:pPr>
        <w:rPr>
          <w:rFonts w:ascii="Tahoma" w:hAnsi="Tahoma" w:cs="Tahoma"/>
          <w:sz w:val="18"/>
          <w:szCs w:val="18"/>
        </w:rPr>
      </w:pPr>
      <w:r w:rsidRPr="00F63AD8">
        <w:rPr>
          <w:rFonts w:ascii="Tahoma" w:hAnsi="Tahoma" w:cs="Tahoma"/>
          <w:color w:val="000000" w:themeColor="text1"/>
          <w:sz w:val="18"/>
          <w:szCs w:val="18"/>
          <w:vertAlign w:val="superscript"/>
        </w:rPr>
        <w:t xml:space="preserve">13 </w:t>
      </w:r>
      <w:r w:rsidRPr="00F63AD8">
        <w:rPr>
          <w:rFonts w:ascii="Tahoma" w:hAnsi="Tahoma" w:cs="Tahoma"/>
          <w:color w:val="000000"/>
          <w:sz w:val="18"/>
          <w:szCs w:val="18"/>
        </w:rPr>
        <w:t>В</w:t>
      </w:r>
      <w:r w:rsidRPr="00F63AD8">
        <w:rPr>
          <w:rFonts w:ascii="Tahoma" w:hAnsi="Tahoma" w:cs="Tahoma"/>
          <w:sz w:val="18"/>
          <w:szCs w:val="18"/>
        </w:rPr>
        <w:t>ыдача средств осуществляется не позднее 7-ми дней после получения письменного заявления Клиента, за исключением случаев, предусмотренных п.3 ст. 858 Гражданского кодекса Российской Федерации.</w:t>
      </w:r>
    </w:p>
    <w:p w14:paraId="619BC036" w14:textId="77777777" w:rsidR="00440295" w:rsidRPr="00F63AD8" w:rsidRDefault="00440295" w:rsidP="00440295">
      <w:pPr>
        <w:rPr>
          <w:rFonts w:ascii="Tahoma" w:hAnsi="Tahoma" w:cs="Tahoma"/>
          <w:sz w:val="18"/>
          <w:szCs w:val="18"/>
        </w:rPr>
      </w:pPr>
      <w:r w:rsidRPr="00F63AD8">
        <w:rPr>
          <w:rFonts w:ascii="Tahoma" w:hAnsi="Tahoma" w:cs="Tahoma"/>
          <w:sz w:val="18"/>
          <w:szCs w:val="18"/>
          <w:vertAlign w:val="superscript"/>
        </w:rPr>
        <w:t xml:space="preserve">14  </w:t>
      </w:r>
      <w:r w:rsidRPr="00F63AD8">
        <w:rPr>
          <w:rFonts w:ascii="Tahoma" w:hAnsi="Tahoma" w:cs="Tahoma"/>
          <w:sz w:val="18"/>
          <w:szCs w:val="18"/>
        </w:rPr>
        <w:t>Взимается в кассе Банка при оформлении услуги.</w:t>
      </w:r>
    </w:p>
    <w:p w14:paraId="2F29C34A" w14:textId="77777777" w:rsidR="00440295" w:rsidRPr="00F63AD8" w:rsidRDefault="00440295" w:rsidP="00440295">
      <w:pPr>
        <w:spacing w:line="0" w:lineRule="atLeast"/>
        <w:rPr>
          <w:rFonts w:ascii="Tahoma" w:hAnsi="Tahoma" w:cs="Tahoma"/>
          <w:sz w:val="18"/>
          <w:szCs w:val="18"/>
        </w:rPr>
      </w:pPr>
      <w:r w:rsidRPr="00F63AD8">
        <w:rPr>
          <w:rFonts w:ascii="Tahoma" w:hAnsi="Tahoma" w:cs="Tahoma"/>
          <w:sz w:val="18"/>
          <w:szCs w:val="18"/>
          <w:vertAlign w:val="superscript"/>
        </w:rPr>
        <w:t xml:space="preserve">15 </w:t>
      </w:r>
      <w:r w:rsidRPr="00F63AD8">
        <w:rPr>
          <w:rFonts w:ascii="Tahoma" w:hAnsi="Tahoma" w:cs="Tahoma"/>
          <w:sz w:val="18"/>
          <w:szCs w:val="18"/>
        </w:rPr>
        <w:t>Для банковских (платежных) Карт в рублях расчет производится по курсу Банка России на день списания комиссии.</w:t>
      </w:r>
    </w:p>
    <w:p w14:paraId="7035C865" w14:textId="77777777" w:rsidR="00440295" w:rsidRPr="00F63AD8" w:rsidRDefault="00440295" w:rsidP="00440295">
      <w:pPr>
        <w:rPr>
          <w:rFonts w:ascii="Tahoma" w:hAnsi="Tahoma" w:cs="Tahoma"/>
          <w:sz w:val="18"/>
          <w:szCs w:val="18"/>
        </w:rPr>
      </w:pPr>
      <w:r w:rsidRPr="00F63AD8">
        <w:rPr>
          <w:rFonts w:ascii="Tahoma" w:hAnsi="Tahoma" w:cs="Tahoma"/>
          <w:sz w:val="18"/>
          <w:szCs w:val="18"/>
          <w:vertAlign w:val="superscript"/>
        </w:rPr>
        <w:t>16</w:t>
      </w:r>
      <w:r w:rsidRPr="00F63AD8">
        <w:rPr>
          <w:rFonts w:ascii="Tahoma" w:hAnsi="Tahoma" w:cs="Tahoma"/>
          <w:sz w:val="18"/>
          <w:szCs w:val="18"/>
        </w:rPr>
        <w:t xml:space="preserve"> Банковская (платежная) Карта национальной платежной системы "Мир". Информация о программе лояльности "Мир" на сайте  АО «НСПК»: </w:t>
      </w:r>
      <w:hyperlink r:id="rId112" w:history="1">
        <w:r w:rsidRPr="00F63AD8">
          <w:rPr>
            <w:rFonts w:ascii="Tahoma" w:hAnsi="Tahoma" w:cs="Tahoma"/>
            <w:sz w:val="18"/>
            <w:szCs w:val="18"/>
          </w:rPr>
          <w:t>privetmir.ru</w:t>
        </w:r>
      </w:hyperlink>
      <w:r w:rsidRPr="00F63AD8">
        <w:rPr>
          <w:rFonts w:ascii="Tahoma" w:hAnsi="Tahoma" w:cs="Tahoma"/>
          <w:sz w:val="18"/>
          <w:szCs w:val="18"/>
        </w:rPr>
        <w:t>.</w:t>
      </w:r>
    </w:p>
    <w:p w14:paraId="5A55B4B7" w14:textId="77777777" w:rsidR="00440295" w:rsidRPr="00F63AD8" w:rsidRDefault="00440295" w:rsidP="00440295">
      <w:pPr>
        <w:rPr>
          <w:rFonts w:ascii="Tahoma" w:hAnsi="Tahoma" w:cs="Tahoma"/>
          <w:sz w:val="18"/>
          <w:szCs w:val="18"/>
        </w:rPr>
      </w:pPr>
      <w:r w:rsidRPr="00F63AD8">
        <w:rPr>
          <w:rFonts w:ascii="Tahoma" w:hAnsi="Tahoma" w:cs="Tahoma"/>
          <w:sz w:val="18"/>
          <w:szCs w:val="18"/>
          <w:vertAlign w:val="superscript"/>
        </w:rPr>
        <w:t>17</w:t>
      </w:r>
      <w:r w:rsidRPr="00F63AD8">
        <w:rPr>
          <w:rFonts w:ascii="Tahoma" w:hAnsi="Tahoma" w:cs="Tahoma"/>
          <w:sz w:val="18"/>
          <w:szCs w:val="18"/>
        </w:rPr>
        <w:t xml:space="preserve"> Начисление процентов осуществляется на Средний остаток по Счету Карты. Средний остаток по Счету Карты – это совокупный баланс денежных средств, рассчитанный путем сложения ежедневных входящих остатков денежных средств на Счете Карты в течение Периода и деления этой суммы на количество дней в Периоде. Каждый период исчисляется со дня, следующего за днем открытия Счета Карты до календарного дня в следующем месяце, соответствующего дню открытия Счета.</w:t>
      </w:r>
    </w:p>
    <w:p w14:paraId="2502AB38" w14:textId="77777777" w:rsidR="00440295" w:rsidRPr="00F63AD8" w:rsidRDefault="00440295" w:rsidP="00440295">
      <w:pPr>
        <w:rPr>
          <w:rFonts w:ascii="Tahoma" w:hAnsi="Tahoma" w:cs="Tahoma"/>
          <w:sz w:val="18"/>
          <w:szCs w:val="18"/>
        </w:rPr>
      </w:pPr>
      <w:r w:rsidRPr="00F63AD8">
        <w:rPr>
          <w:rFonts w:ascii="Tahoma" w:hAnsi="Tahoma" w:cs="Tahoma"/>
          <w:sz w:val="18"/>
          <w:szCs w:val="18"/>
          <w:vertAlign w:val="superscript"/>
        </w:rPr>
        <w:t>18</w:t>
      </w:r>
      <w:r w:rsidRPr="00F63AD8">
        <w:rPr>
          <w:rFonts w:ascii="Tahoma" w:hAnsi="Tahoma" w:cs="Tahoma"/>
          <w:sz w:val="18"/>
          <w:szCs w:val="18"/>
        </w:rPr>
        <w:t xml:space="preserve"> </w:t>
      </w:r>
      <w:r w:rsidRPr="00F63AD8">
        <w:rPr>
          <w:rFonts w:ascii="Tahoma" w:hAnsi="Tahoma" w:cs="Tahoma"/>
          <w:color w:val="000000"/>
          <w:sz w:val="18"/>
          <w:szCs w:val="18"/>
        </w:rPr>
        <w:t>Согласно срока действия, указаного на Карте.</w:t>
      </w:r>
    </w:p>
    <w:p w14:paraId="726F5BE8" w14:textId="77777777" w:rsidR="00440295" w:rsidRPr="00F63AD8" w:rsidRDefault="00440295" w:rsidP="00440295">
      <w:pPr>
        <w:rPr>
          <w:rFonts w:ascii="Tahoma" w:hAnsi="Tahoma" w:cs="Tahoma"/>
          <w:sz w:val="18"/>
          <w:szCs w:val="18"/>
        </w:rPr>
      </w:pPr>
      <w:r w:rsidRPr="00F63AD8">
        <w:rPr>
          <w:rFonts w:ascii="Tahoma" w:hAnsi="Tahoma" w:cs="Tahoma"/>
          <w:sz w:val="18"/>
          <w:szCs w:val="18"/>
          <w:vertAlign w:val="superscript"/>
        </w:rPr>
        <w:t xml:space="preserve">19 </w:t>
      </w:r>
      <w:r w:rsidRPr="00F63AD8">
        <w:rPr>
          <w:rFonts w:ascii="Tahoma" w:hAnsi="Tahoma" w:cs="Tahoma"/>
          <w:sz w:val="18"/>
          <w:szCs w:val="18"/>
        </w:rPr>
        <w:t>Банк не устанавливает ограничения размера/количества таких операций в пределах указанного  в обозначенном абзаце пункта 7.5.2  совокупного ежемесячного размера операций (вне зависимости от используемого при переводе денежных средств сервиса, в т.ч. при переводе в СБП, Каналах ДБО).</w:t>
      </w:r>
    </w:p>
    <w:p w14:paraId="3525C7F2" w14:textId="77777777" w:rsidR="00440295" w:rsidRPr="00F63AD8" w:rsidRDefault="00440295" w:rsidP="00440295">
      <w:pPr>
        <w:rPr>
          <w:rFonts w:ascii="Tahoma" w:hAnsi="Tahoma" w:cs="Tahoma"/>
          <w:sz w:val="18"/>
          <w:szCs w:val="18"/>
        </w:rPr>
      </w:pPr>
      <w:r w:rsidRPr="00F63AD8">
        <w:rPr>
          <w:rFonts w:ascii="Tahoma" w:hAnsi="Tahoma" w:cs="Tahoma"/>
          <w:sz w:val="18"/>
          <w:szCs w:val="18"/>
        </w:rPr>
        <w:t>Правила, определенные выше в настоящем пункте, не распространяются на: 1) операции по переводу денежных средств, осуществляемые при личном присутствии физического лица или его представителя в Банке; 2) операции по переводу денежных средств с использованием платежных карт, осуществляемые по правилам платежных систем, в рамках которых эмитируются платежные карты.</w:t>
      </w:r>
    </w:p>
    <w:p w14:paraId="057461B7" w14:textId="77777777" w:rsidR="00440295" w:rsidRPr="00F63AD8" w:rsidRDefault="00440295" w:rsidP="00440295">
      <w:pPr>
        <w:autoSpaceDE w:val="0"/>
        <w:autoSpaceDN w:val="0"/>
        <w:adjustRightInd w:val="0"/>
        <w:rPr>
          <w:rFonts w:ascii="Tahoma" w:hAnsi="Tahoma" w:cs="Tahoma"/>
          <w:sz w:val="18"/>
          <w:szCs w:val="18"/>
        </w:rPr>
      </w:pPr>
      <w:r w:rsidRPr="00F63AD8">
        <w:rPr>
          <w:rFonts w:ascii="Tahoma" w:hAnsi="Tahoma" w:cs="Tahoma"/>
          <w:sz w:val="18"/>
          <w:szCs w:val="18"/>
          <w:vertAlign w:val="superscript"/>
        </w:rPr>
        <w:t xml:space="preserve">20 </w:t>
      </w:r>
      <w:r w:rsidRPr="00F63AD8">
        <w:rPr>
          <w:rFonts w:ascii="Tahoma" w:hAnsi="Tahoma" w:cs="Tahoma"/>
          <w:sz w:val="18"/>
          <w:szCs w:val="18"/>
        </w:rPr>
        <w:t xml:space="preserve">Комиссия Банка 0 рублей при переводе денежных средств на общую сумму до 100 000 рублей в календарный месяц в совокупности по переводам, осуществленным: </w:t>
      </w:r>
    </w:p>
    <w:p w14:paraId="5CD551F1" w14:textId="77777777" w:rsidR="00440295" w:rsidRPr="00F63AD8" w:rsidRDefault="00440295" w:rsidP="00440295">
      <w:pPr>
        <w:autoSpaceDE w:val="0"/>
        <w:autoSpaceDN w:val="0"/>
        <w:adjustRightInd w:val="0"/>
        <w:rPr>
          <w:rFonts w:ascii="Tahoma" w:hAnsi="Tahoma" w:cs="Tahoma"/>
          <w:sz w:val="18"/>
          <w:szCs w:val="18"/>
        </w:rPr>
      </w:pPr>
      <w:r w:rsidRPr="00F63AD8">
        <w:rPr>
          <w:rFonts w:ascii="Tahoma" w:hAnsi="Tahoma" w:cs="Tahoma"/>
          <w:sz w:val="18"/>
          <w:szCs w:val="18"/>
        </w:rPr>
        <w:t xml:space="preserve">          а) с банковского счета/вклада физического лица, открытого в Банке, на банковский счет/вклад иного физического лица, открытый в другой кредитной организации,</w:t>
      </w:r>
    </w:p>
    <w:p w14:paraId="7EB567AF" w14:textId="77777777" w:rsidR="00440295" w:rsidRPr="00F63AD8" w:rsidRDefault="00440295" w:rsidP="00440295">
      <w:pPr>
        <w:autoSpaceDE w:val="0"/>
        <w:autoSpaceDN w:val="0"/>
        <w:adjustRightInd w:val="0"/>
        <w:ind w:firstLine="540"/>
        <w:rPr>
          <w:rFonts w:ascii="Tahoma" w:hAnsi="Tahoma" w:cs="Tahoma"/>
          <w:sz w:val="18"/>
          <w:szCs w:val="18"/>
        </w:rPr>
      </w:pPr>
      <w:r w:rsidRPr="00F63AD8">
        <w:rPr>
          <w:rFonts w:ascii="Tahoma" w:hAnsi="Tahoma" w:cs="Tahoma"/>
          <w:sz w:val="18"/>
          <w:szCs w:val="18"/>
        </w:rPr>
        <w:t>б) посредством уменьшения остатка электронных денежных средств физического лица в  Банке и зачисления денежных средств на банковский счет/вклад физического лица, открытый в другой кредитной организации,</w:t>
      </w:r>
    </w:p>
    <w:p w14:paraId="10579C50" w14:textId="77777777" w:rsidR="00440295" w:rsidRPr="00F63AD8" w:rsidRDefault="00440295" w:rsidP="00440295">
      <w:pPr>
        <w:autoSpaceDE w:val="0"/>
        <w:autoSpaceDN w:val="0"/>
        <w:adjustRightInd w:val="0"/>
        <w:ind w:firstLine="540"/>
        <w:rPr>
          <w:rFonts w:ascii="Tahoma" w:hAnsi="Tahoma" w:cs="Tahoma"/>
          <w:sz w:val="18"/>
          <w:szCs w:val="18"/>
        </w:rPr>
      </w:pPr>
      <w:r w:rsidRPr="00F63AD8">
        <w:rPr>
          <w:rFonts w:ascii="Tahoma" w:hAnsi="Tahoma" w:cs="Tahoma"/>
          <w:sz w:val="18"/>
          <w:szCs w:val="18"/>
        </w:rPr>
        <w:t>в) посредством списания денежных средств с банковского счета/вклада физического лица в Банке и увеличения остатка электронных денежных средств физического лица в другой кредитной организации,</w:t>
      </w:r>
    </w:p>
    <w:p w14:paraId="0C1466BB" w14:textId="77777777" w:rsidR="00440295" w:rsidRPr="00F63AD8" w:rsidRDefault="00440295" w:rsidP="00440295">
      <w:pPr>
        <w:autoSpaceDE w:val="0"/>
        <w:autoSpaceDN w:val="0"/>
        <w:adjustRightInd w:val="0"/>
        <w:ind w:firstLine="540"/>
        <w:rPr>
          <w:rFonts w:ascii="Tahoma" w:hAnsi="Tahoma" w:cs="Tahoma"/>
          <w:sz w:val="18"/>
          <w:szCs w:val="18"/>
        </w:rPr>
      </w:pPr>
      <w:r w:rsidRPr="00F63AD8">
        <w:rPr>
          <w:rFonts w:ascii="Tahoma" w:hAnsi="Tahoma" w:cs="Tahoma"/>
          <w:sz w:val="18"/>
          <w:szCs w:val="18"/>
        </w:rPr>
        <w:t>г)  посредством уменьшения остатка электронных денежных средств физического лица в Банке и увеличения остатка электронных денежных средств физического лица в другой кредитной организации.</w:t>
      </w:r>
    </w:p>
    <w:p w14:paraId="05B5DA38" w14:textId="77777777" w:rsidR="00440295" w:rsidRPr="00F63AD8" w:rsidRDefault="00440295" w:rsidP="00440295">
      <w:pPr>
        <w:rPr>
          <w:rFonts w:ascii="Tahoma" w:hAnsi="Tahoma" w:cs="Tahoma"/>
          <w:sz w:val="18"/>
          <w:szCs w:val="18"/>
        </w:rPr>
      </w:pPr>
      <w:r w:rsidRPr="00F63AD8">
        <w:rPr>
          <w:rFonts w:ascii="Tahoma" w:hAnsi="Tahoma" w:cs="Tahoma"/>
          <w:sz w:val="18"/>
          <w:szCs w:val="18"/>
          <w:vertAlign w:val="superscript"/>
        </w:rPr>
        <w:t xml:space="preserve">21 </w:t>
      </w:r>
      <w:r w:rsidRPr="00F63AD8">
        <w:rPr>
          <w:rFonts w:ascii="Tahoma" w:hAnsi="Tahoma" w:cs="Tahoma"/>
          <w:sz w:val="18"/>
          <w:szCs w:val="18"/>
        </w:rPr>
        <w:t>Банк не устанавливает ограничения размера/количества таких операций в пределах указанной в сноске 21 Примечания   общей суммы перевода.</w:t>
      </w:r>
    </w:p>
    <w:p w14:paraId="2C81585B" w14:textId="77777777" w:rsidR="00440295" w:rsidRPr="00F63AD8" w:rsidRDefault="00440295" w:rsidP="00440295">
      <w:pPr>
        <w:rPr>
          <w:rFonts w:ascii="Tahoma" w:hAnsi="Tahoma" w:cs="Tahoma"/>
          <w:color w:val="000000"/>
          <w:sz w:val="18"/>
          <w:szCs w:val="18"/>
        </w:rPr>
      </w:pPr>
      <w:r w:rsidRPr="00F63AD8">
        <w:rPr>
          <w:rFonts w:ascii="Tahoma" w:hAnsi="Tahoma" w:cs="Tahoma"/>
          <w:color w:val="000000"/>
          <w:sz w:val="18"/>
          <w:szCs w:val="18"/>
          <w:vertAlign w:val="superscript"/>
        </w:rPr>
        <w:t>22</w:t>
      </w:r>
      <w:r w:rsidRPr="00F63AD8">
        <w:rPr>
          <w:rFonts w:ascii="Tahoma" w:hAnsi="Tahoma" w:cs="Tahoma"/>
          <w:color w:val="000000"/>
          <w:sz w:val="18"/>
          <w:szCs w:val="18"/>
        </w:rPr>
        <w:t xml:space="preserve"> Комиссия Банка 0 рублей за: перевод денежных средств физическими лицами на единый казначейский счет с использованием СБП.</w:t>
      </w:r>
    </w:p>
    <w:p w14:paraId="792775DE" w14:textId="77777777" w:rsidR="00440295" w:rsidRPr="00F63AD8" w:rsidRDefault="00440295" w:rsidP="00440295">
      <w:pPr>
        <w:rPr>
          <w:rFonts w:ascii="Tahoma" w:hAnsi="Tahoma" w:cs="Tahoma"/>
          <w:color w:val="000000"/>
          <w:sz w:val="18"/>
          <w:szCs w:val="18"/>
        </w:rPr>
      </w:pPr>
      <w:r w:rsidRPr="00F63AD8">
        <w:rPr>
          <w:rFonts w:ascii="Tahoma" w:hAnsi="Tahoma" w:cs="Tahoma"/>
          <w:color w:val="000000"/>
          <w:sz w:val="18"/>
          <w:szCs w:val="18"/>
          <w:vertAlign w:val="superscript"/>
        </w:rPr>
        <w:t xml:space="preserve">23 </w:t>
      </w:r>
      <w:r w:rsidRPr="00F63AD8">
        <w:rPr>
          <w:rFonts w:ascii="Tahoma" w:hAnsi="Tahoma" w:cs="Tahoma"/>
          <w:color w:val="000000"/>
          <w:sz w:val="18"/>
          <w:szCs w:val="18"/>
        </w:rPr>
        <w:t>Комиссия Банка 0 рублей за: перевод денежных средств физическими лицами на единый казначейский счет с использованием СБП, перечисление платы за жилое помещение и коммунальные услуги, пеней за несвоевременное и(или) неполное внесение платы за жилое помещение и коммунальные услуги для категории клиентов, перечень которых установлен Распоряжением Правительства РФ № от 27 апреля 2024 г.1059-р в соответствии со статьей 155 Жилищного кодекса РФ, статьей 29 Федерального закона «О банках и банковской деятельности».</w:t>
      </w:r>
    </w:p>
    <w:bookmarkEnd w:id="140"/>
    <w:p w14:paraId="67E95002" w14:textId="77777777" w:rsidR="008512A7" w:rsidRDefault="008512A7" w:rsidP="00B86BDE">
      <w:pPr>
        <w:rPr>
          <w:rFonts w:ascii="Tahoma" w:hAnsi="Tahoma" w:cs="Tahoma"/>
          <w:b/>
          <w:bCs/>
          <w:iCs/>
          <w:color w:val="E36C0A"/>
          <w:sz w:val="22"/>
          <w:szCs w:val="22"/>
        </w:rPr>
      </w:pPr>
    </w:p>
    <w:p w14:paraId="61C9BDFD" w14:textId="17B28EFD" w:rsidR="00AE7485" w:rsidRPr="00AE7485" w:rsidRDefault="000B3718" w:rsidP="000B3718">
      <w:pPr>
        <w:pStyle w:val="a5"/>
      </w:pPr>
      <w:r>
        <w:t xml:space="preserve"> 4.6. </w:t>
      </w:r>
      <w:r w:rsidR="00AE7485" w:rsidRPr="00AE7485">
        <w:t>Тарифный план Программа банковских услуг «Статус», оформленная с 01.06.2021г. по 06.10.2024г.</w:t>
      </w:r>
    </w:p>
    <w:p w14:paraId="439C58A8" w14:textId="50C17DE2" w:rsidR="00E138C3" w:rsidRPr="00E138C3" w:rsidRDefault="000B3718" w:rsidP="000B3718">
      <w:pPr>
        <w:pStyle w:val="a5"/>
      </w:pPr>
      <w:r>
        <w:t xml:space="preserve">4.6.1 </w:t>
      </w:r>
      <w:r w:rsidR="00E138C3" w:rsidRPr="00E138C3">
        <w:t>Программа банковских услуг «Статус» (Тариф Банка), для Клиентов VIP Премьер, оформивших настоящую Программу с 01.06.2021г. по 06.10.2024г.</w:t>
      </w:r>
    </w:p>
    <w:tbl>
      <w:tblPr>
        <w:tblW w:w="4999" w:type="pct"/>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0"/>
        <w:gridCol w:w="5124"/>
        <w:gridCol w:w="33"/>
        <w:gridCol w:w="4211"/>
        <w:gridCol w:w="248"/>
        <w:gridCol w:w="4268"/>
      </w:tblGrid>
      <w:tr w:rsidR="00E138C3" w:rsidRPr="00E138C3" w14:paraId="1EC7460D" w14:textId="77777777" w:rsidTr="003D2438">
        <w:trPr>
          <w:trHeight w:val="377"/>
          <w:tblHeader/>
        </w:trPr>
        <w:tc>
          <w:tcPr>
            <w:tcW w:w="2104" w:type="pct"/>
            <w:gridSpan w:val="2"/>
            <w:tcBorders>
              <w:top w:val="single" w:sz="4" w:space="0" w:color="auto"/>
              <w:left w:val="single" w:sz="4" w:space="0" w:color="auto"/>
              <w:right w:val="single" w:sz="4" w:space="0" w:color="auto"/>
            </w:tcBorders>
            <w:shd w:val="clear" w:color="auto" w:fill="808080"/>
            <w:vAlign w:val="center"/>
          </w:tcPr>
          <w:p w14:paraId="6001EAF0" w14:textId="77777777" w:rsidR="00E138C3" w:rsidRPr="00E138C3" w:rsidRDefault="00E138C3" w:rsidP="00E138C3">
            <w:pPr>
              <w:tabs>
                <w:tab w:val="left" w:pos="284"/>
              </w:tabs>
              <w:jc w:val="center"/>
              <w:rPr>
                <w:rFonts w:ascii="Tahoma" w:hAnsi="Tahoma" w:cs="Tahoma"/>
                <w:bCs/>
                <w:iCs/>
                <w:color w:val="FFFFFF"/>
                <w:sz w:val="28"/>
                <w:szCs w:val="22"/>
              </w:rPr>
            </w:pPr>
            <w:r w:rsidRPr="00E138C3">
              <w:rPr>
                <w:rFonts w:ascii="Tahoma" w:hAnsi="Tahoma" w:cs="Tahoma"/>
                <w:bCs/>
                <w:iCs/>
                <w:color w:val="FFFFFF"/>
                <w:sz w:val="28"/>
                <w:szCs w:val="22"/>
              </w:rPr>
              <w:t>Банковские услуги</w:t>
            </w:r>
          </w:p>
        </w:tc>
        <w:tc>
          <w:tcPr>
            <w:tcW w:w="2896" w:type="pct"/>
            <w:gridSpan w:val="4"/>
            <w:tcBorders>
              <w:left w:val="single" w:sz="4" w:space="0" w:color="auto"/>
            </w:tcBorders>
            <w:shd w:val="clear" w:color="auto" w:fill="808080"/>
            <w:vAlign w:val="center"/>
          </w:tcPr>
          <w:p w14:paraId="449EE516" w14:textId="77777777" w:rsidR="00E138C3" w:rsidRPr="00E138C3" w:rsidRDefault="00E138C3" w:rsidP="00E138C3">
            <w:pPr>
              <w:tabs>
                <w:tab w:val="left" w:pos="284"/>
              </w:tabs>
              <w:jc w:val="center"/>
              <w:rPr>
                <w:rFonts w:ascii="Tahoma" w:hAnsi="Tahoma" w:cs="Tahoma"/>
                <w:bCs/>
                <w:iCs/>
                <w:color w:val="FFFFFF"/>
                <w:sz w:val="28"/>
                <w:szCs w:val="22"/>
              </w:rPr>
            </w:pPr>
            <w:r w:rsidRPr="00E138C3">
              <w:rPr>
                <w:rFonts w:ascii="Tahoma" w:hAnsi="Tahoma" w:cs="Tahoma"/>
                <w:bCs/>
                <w:iCs/>
                <w:color w:val="FFFFFF"/>
                <w:sz w:val="28"/>
                <w:szCs w:val="22"/>
              </w:rPr>
              <w:t>Тарифы (комиссионное вознаграждение Банка)</w:t>
            </w:r>
            <w:r w:rsidRPr="00E138C3">
              <w:rPr>
                <w:rFonts w:ascii="Tahoma" w:hAnsi="Tahoma" w:cs="Tahoma"/>
                <w:bCs/>
                <w:iCs/>
                <w:color w:val="FFFFFF"/>
                <w:sz w:val="22"/>
                <w:szCs w:val="22"/>
                <w:vertAlign w:val="superscript"/>
              </w:rPr>
              <w:t>1,24</w:t>
            </w:r>
          </w:p>
        </w:tc>
      </w:tr>
      <w:tr w:rsidR="00E138C3" w:rsidRPr="00E138C3" w14:paraId="56B12857" w14:textId="77777777" w:rsidTr="003D2438">
        <w:tc>
          <w:tcPr>
            <w:tcW w:w="410" w:type="pct"/>
            <w:shd w:val="clear" w:color="auto" w:fill="808080"/>
            <w:vAlign w:val="center"/>
          </w:tcPr>
          <w:p w14:paraId="5DD71805" w14:textId="77777777" w:rsidR="00E138C3" w:rsidRPr="00E138C3" w:rsidRDefault="00E138C3" w:rsidP="00E138C3">
            <w:pPr>
              <w:tabs>
                <w:tab w:val="left" w:pos="284"/>
              </w:tabs>
              <w:rPr>
                <w:rFonts w:ascii="Tahoma" w:hAnsi="Tahoma" w:cs="Tahoma"/>
                <w:bCs/>
                <w:iCs/>
                <w:color w:val="FFFFFF"/>
                <w:sz w:val="28"/>
                <w:szCs w:val="22"/>
              </w:rPr>
            </w:pPr>
            <w:r w:rsidRPr="00E138C3">
              <w:rPr>
                <w:rFonts w:ascii="Tahoma" w:hAnsi="Tahoma" w:cs="Tahoma"/>
                <w:bCs/>
                <w:iCs/>
                <w:color w:val="FFFFFF"/>
                <w:sz w:val="28"/>
                <w:szCs w:val="22"/>
              </w:rPr>
              <w:t>1.</w:t>
            </w:r>
          </w:p>
        </w:tc>
        <w:tc>
          <w:tcPr>
            <w:tcW w:w="4590" w:type="pct"/>
            <w:gridSpan w:val="5"/>
            <w:shd w:val="clear" w:color="auto" w:fill="808080"/>
            <w:vAlign w:val="center"/>
          </w:tcPr>
          <w:p w14:paraId="1FC1539B" w14:textId="77777777" w:rsidR="00E138C3" w:rsidRPr="00E138C3" w:rsidRDefault="00E138C3" w:rsidP="00E138C3">
            <w:pPr>
              <w:tabs>
                <w:tab w:val="left" w:pos="284"/>
              </w:tabs>
              <w:rPr>
                <w:rFonts w:ascii="Tahoma" w:hAnsi="Tahoma" w:cs="Tahoma"/>
                <w:bCs/>
                <w:iCs/>
                <w:color w:val="E36C0A"/>
                <w:sz w:val="28"/>
                <w:szCs w:val="22"/>
              </w:rPr>
            </w:pPr>
            <w:r w:rsidRPr="00E138C3">
              <w:rPr>
                <w:rFonts w:ascii="Tahoma" w:hAnsi="Tahoma" w:cs="Tahoma"/>
                <w:bCs/>
                <w:iCs/>
                <w:color w:val="FFFFFF"/>
                <w:sz w:val="28"/>
                <w:szCs w:val="22"/>
              </w:rPr>
              <w:t>Условия предоставления Программы банковских услуг «Статус» (далее – Программа) и требования к пользователю услуг (Клиенту)</w:t>
            </w:r>
          </w:p>
        </w:tc>
      </w:tr>
      <w:tr w:rsidR="00E138C3" w:rsidRPr="00E138C3" w14:paraId="3DDEB92E" w14:textId="77777777" w:rsidTr="003D2438">
        <w:tc>
          <w:tcPr>
            <w:tcW w:w="410" w:type="pct"/>
            <w:shd w:val="clear" w:color="auto" w:fill="auto"/>
            <w:vAlign w:val="center"/>
          </w:tcPr>
          <w:p w14:paraId="656572EF"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1.1.</w:t>
            </w:r>
          </w:p>
        </w:tc>
        <w:tc>
          <w:tcPr>
            <w:tcW w:w="1694" w:type="pct"/>
            <w:shd w:val="clear" w:color="auto" w:fill="auto"/>
            <w:vAlign w:val="center"/>
          </w:tcPr>
          <w:p w14:paraId="7FF73926" w14:textId="77777777" w:rsidR="00E138C3" w:rsidRPr="00E138C3" w:rsidRDefault="00E138C3" w:rsidP="00E138C3">
            <w:pPr>
              <w:rPr>
                <w:rFonts w:ascii="Tahoma" w:hAnsi="Tahoma" w:cs="Tahoma"/>
                <w:b/>
                <w:bCs/>
                <w:iCs/>
                <w:color w:val="E36C0A"/>
                <w:sz w:val="22"/>
                <w:szCs w:val="22"/>
              </w:rPr>
            </w:pPr>
            <w:r w:rsidRPr="00E138C3">
              <w:rPr>
                <w:rFonts w:ascii="Tahoma" w:hAnsi="Tahoma" w:cs="Tahoma"/>
                <w:color w:val="000000"/>
                <w:sz w:val="22"/>
                <w:szCs w:val="22"/>
              </w:rPr>
              <w:t>пользователи услуг (Клиенты)</w:t>
            </w:r>
          </w:p>
        </w:tc>
        <w:tc>
          <w:tcPr>
            <w:tcW w:w="2896" w:type="pct"/>
            <w:gridSpan w:val="4"/>
            <w:shd w:val="clear" w:color="auto" w:fill="auto"/>
            <w:vAlign w:val="center"/>
          </w:tcPr>
          <w:p w14:paraId="4A587073" w14:textId="77777777" w:rsidR="00E138C3" w:rsidRPr="00E138C3" w:rsidRDefault="00E138C3" w:rsidP="00E138C3">
            <w:pPr>
              <w:tabs>
                <w:tab w:val="left" w:pos="4889"/>
              </w:tabs>
              <w:jc w:val="both"/>
              <w:rPr>
                <w:rFonts w:ascii="Tahoma" w:hAnsi="Tahoma" w:cs="Tahoma"/>
                <w:bCs/>
                <w:iCs/>
                <w:sz w:val="22"/>
                <w:szCs w:val="22"/>
              </w:rPr>
            </w:pPr>
            <w:r w:rsidRPr="00E138C3">
              <w:rPr>
                <w:rFonts w:ascii="Tahoma" w:hAnsi="Tahoma" w:cs="Tahoma"/>
                <w:bCs/>
                <w:iCs/>
                <w:sz w:val="22"/>
                <w:szCs w:val="22"/>
              </w:rPr>
              <w:t>Физическое лицо (по тексту – Клиент), заключившее в рамках настоящей Программы</w:t>
            </w:r>
            <w:r w:rsidRPr="00E138C3">
              <w:rPr>
                <w:rFonts w:ascii="Tahoma" w:hAnsi="Tahoma" w:cs="Tahoma"/>
                <w:bCs/>
                <w:iCs/>
                <w:sz w:val="22"/>
                <w:szCs w:val="22"/>
                <w:vertAlign w:val="superscript"/>
              </w:rPr>
              <w:t xml:space="preserve">1 </w:t>
            </w:r>
            <w:r w:rsidRPr="00E138C3">
              <w:rPr>
                <w:rFonts w:ascii="Tahoma" w:hAnsi="Tahoma" w:cs="Tahoma"/>
                <w:bCs/>
                <w:iCs/>
                <w:sz w:val="22"/>
                <w:szCs w:val="22"/>
              </w:rPr>
              <w:t>с Банком Договоры Карт и (или) Договор Текущего банковского счета (далее – ТБС)</w:t>
            </w:r>
            <w:r w:rsidRPr="00E138C3">
              <w:rPr>
                <w:rFonts w:ascii="Tahoma" w:hAnsi="Tahoma" w:cs="Tahoma"/>
                <w:bCs/>
                <w:iCs/>
                <w:sz w:val="18"/>
                <w:szCs w:val="22"/>
                <w:vertAlign w:val="superscript"/>
              </w:rPr>
              <w:t>2</w:t>
            </w:r>
            <w:r w:rsidRPr="00E138C3">
              <w:rPr>
                <w:rFonts w:ascii="Tahoma" w:hAnsi="Tahoma" w:cs="Tahoma"/>
                <w:bCs/>
                <w:iCs/>
                <w:sz w:val="22"/>
                <w:szCs w:val="22"/>
              </w:rPr>
              <w:t>.</w:t>
            </w:r>
          </w:p>
        </w:tc>
      </w:tr>
      <w:tr w:rsidR="00E138C3" w:rsidRPr="00E138C3" w14:paraId="4B2A8F70" w14:textId="77777777" w:rsidTr="003D2438">
        <w:trPr>
          <w:trHeight w:val="363"/>
        </w:trPr>
        <w:tc>
          <w:tcPr>
            <w:tcW w:w="410" w:type="pct"/>
            <w:shd w:val="clear" w:color="auto" w:fill="auto"/>
            <w:vAlign w:val="center"/>
          </w:tcPr>
          <w:p w14:paraId="2472E58A"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1.2.</w:t>
            </w:r>
          </w:p>
        </w:tc>
        <w:tc>
          <w:tcPr>
            <w:tcW w:w="1694" w:type="pct"/>
            <w:shd w:val="clear" w:color="auto" w:fill="auto"/>
            <w:vAlign w:val="center"/>
          </w:tcPr>
          <w:p w14:paraId="66DCB214" w14:textId="77777777" w:rsidR="00E138C3" w:rsidRPr="00E138C3" w:rsidRDefault="00E138C3" w:rsidP="00E138C3">
            <w:pPr>
              <w:rPr>
                <w:rFonts w:ascii="Tahoma" w:hAnsi="Tahoma" w:cs="Tahoma"/>
                <w:b/>
                <w:bCs/>
                <w:iCs/>
                <w:color w:val="E36C0A"/>
                <w:sz w:val="22"/>
                <w:szCs w:val="22"/>
              </w:rPr>
            </w:pPr>
            <w:r w:rsidRPr="00E138C3">
              <w:rPr>
                <w:rFonts w:ascii="Tahoma" w:hAnsi="Tahoma" w:cs="Tahoma"/>
                <w:color w:val="000000"/>
                <w:sz w:val="22"/>
                <w:szCs w:val="22"/>
              </w:rPr>
              <w:t>особенности предоставления услуг Банком</w:t>
            </w:r>
          </w:p>
        </w:tc>
        <w:tc>
          <w:tcPr>
            <w:tcW w:w="2896" w:type="pct"/>
            <w:gridSpan w:val="4"/>
            <w:shd w:val="clear" w:color="auto" w:fill="auto"/>
            <w:vAlign w:val="center"/>
          </w:tcPr>
          <w:p w14:paraId="3BA88607" w14:textId="77777777" w:rsidR="00E138C3" w:rsidRPr="00E138C3" w:rsidRDefault="00E138C3" w:rsidP="00E138C3">
            <w:pPr>
              <w:tabs>
                <w:tab w:val="left" w:pos="4889"/>
              </w:tabs>
              <w:jc w:val="both"/>
              <w:rPr>
                <w:rFonts w:ascii="Tahoma" w:hAnsi="Tahoma" w:cs="Tahoma"/>
                <w:bCs/>
                <w:iCs/>
                <w:sz w:val="22"/>
                <w:szCs w:val="22"/>
              </w:rPr>
            </w:pPr>
            <w:r w:rsidRPr="00E138C3">
              <w:rPr>
                <w:rFonts w:ascii="Tahoma" w:hAnsi="Tahoma" w:cs="Tahoma"/>
                <w:bCs/>
                <w:iCs/>
                <w:sz w:val="22"/>
                <w:szCs w:val="22"/>
              </w:rPr>
              <w:t xml:space="preserve">Одному Клиенту может быть открыта только одна Программа, в том числе только одной из премиальных категорий обслуживания Клиента (по волеизъявлению Клиента): либо </w:t>
            </w:r>
            <w:r w:rsidRPr="00E138C3">
              <w:rPr>
                <w:rFonts w:ascii="Tahoma" w:hAnsi="Tahoma" w:cs="Tahoma"/>
                <w:bCs/>
                <w:iCs/>
                <w:sz w:val="22"/>
                <w:szCs w:val="22"/>
                <w:lang w:val="en-US"/>
              </w:rPr>
              <w:t>VIP</w:t>
            </w:r>
            <w:r w:rsidRPr="00E138C3">
              <w:rPr>
                <w:rFonts w:ascii="Tahoma" w:hAnsi="Tahoma" w:cs="Tahoma"/>
                <w:bCs/>
                <w:iCs/>
                <w:sz w:val="22"/>
                <w:szCs w:val="22"/>
              </w:rPr>
              <w:t xml:space="preserve"> Премьер, либо </w:t>
            </w:r>
            <w:r w:rsidRPr="00E138C3">
              <w:rPr>
                <w:rFonts w:ascii="Tahoma" w:hAnsi="Tahoma" w:cs="Tahoma"/>
                <w:bCs/>
                <w:iCs/>
                <w:sz w:val="22"/>
                <w:szCs w:val="22"/>
                <w:lang w:val="en-US"/>
              </w:rPr>
              <w:t>VIP</w:t>
            </w:r>
            <w:r w:rsidRPr="00E138C3">
              <w:rPr>
                <w:rFonts w:ascii="Tahoma" w:hAnsi="Tahoma" w:cs="Tahoma"/>
                <w:bCs/>
                <w:iCs/>
                <w:sz w:val="22"/>
                <w:szCs w:val="22"/>
              </w:rPr>
              <w:t xml:space="preserve"> Премьер+.</w:t>
            </w:r>
          </w:p>
        </w:tc>
      </w:tr>
      <w:tr w:rsidR="00E138C3" w:rsidRPr="00E138C3" w14:paraId="57935A80" w14:textId="77777777" w:rsidTr="003D2438">
        <w:trPr>
          <w:trHeight w:val="363"/>
        </w:trPr>
        <w:tc>
          <w:tcPr>
            <w:tcW w:w="410" w:type="pct"/>
            <w:shd w:val="clear" w:color="auto" w:fill="auto"/>
            <w:vAlign w:val="center"/>
          </w:tcPr>
          <w:p w14:paraId="3ACD8DCF"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1.3.</w:t>
            </w:r>
          </w:p>
        </w:tc>
        <w:tc>
          <w:tcPr>
            <w:tcW w:w="1694" w:type="pct"/>
            <w:shd w:val="clear" w:color="auto" w:fill="auto"/>
            <w:vAlign w:val="center"/>
          </w:tcPr>
          <w:p w14:paraId="7AC61B08" w14:textId="77777777" w:rsidR="00E138C3" w:rsidRPr="00E138C3" w:rsidDel="00FD29E3" w:rsidRDefault="00E138C3" w:rsidP="00E138C3">
            <w:pPr>
              <w:rPr>
                <w:rFonts w:ascii="Tahoma" w:hAnsi="Tahoma" w:cs="Tahoma"/>
                <w:color w:val="000000"/>
                <w:sz w:val="22"/>
                <w:szCs w:val="22"/>
              </w:rPr>
            </w:pPr>
            <w:r w:rsidRPr="00E138C3">
              <w:rPr>
                <w:rFonts w:ascii="Tahoma" w:hAnsi="Tahoma" w:cs="Tahoma"/>
                <w:color w:val="000000"/>
                <w:sz w:val="22"/>
                <w:szCs w:val="22"/>
              </w:rPr>
              <w:t>наименование премиальной категории обслуживания Клиента</w:t>
            </w:r>
          </w:p>
        </w:tc>
        <w:tc>
          <w:tcPr>
            <w:tcW w:w="2896" w:type="pct"/>
            <w:gridSpan w:val="4"/>
            <w:shd w:val="clear" w:color="auto" w:fill="auto"/>
            <w:vAlign w:val="center"/>
          </w:tcPr>
          <w:p w14:paraId="1D080422" w14:textId="77777777" w:rsidR="00E138C3" w:rsidRPr="00E138C3" w:rsidRDefault="00E138C3" w:rsidP="00E138C3">
            <w:pPr>
              <w:tabs>
                <w:tab w:val="left" w:pos="4889"/>
              </w:tabs>
              <w:jc w:val="center"/>
              <w:rPr>
                <w:rFonts w:ascii="Tahoma" w:hAnsi="Tahoma" w:cs="Tahoma"/>
                <w:b/>
                <w:bCs/>
                <w:iCs/>
                <w:sz w:val="22"/>
                <w:szCs w:val="22"/>
              </w:rPr>
            </w:pPr>
            <w:r w:rsidRPr="00E138C3">
              <w:rPr>
                <w:rFonts w:ascii="Tahoma" w:hAnsi="Tahoma" w:cs="Tahoma"/>
                <w:b/>
                <w:bCs/>
                <w:iCs/>
                <w:sz w:val="22"/>
                <w:szCs w:val="22"/>
                <w:lang w:val="en-US"/>
              </w:rPr>
              <w:t xml:space="preserve">VIP </w:t>
            </w:r>
            <w:r w:rsidRPr="00E138C3">
              <w:rPr>
                <w:rFonts w:ascii="Tahoma" w:hAnsi="Tahoma" w:cs="Tahoma"/>
                <w:b/>
                <w:bCs/>
                <w:iCs/>
                <w:sz w:val="22"/>
                <w:szCs w:val="22"/>
              </w:rPr>
              <w:t>Премьер</w:t>
            </w:r>
          </w:p>
        </w:tc>
      </w:tr>
      <w:tr w:rsidR="00E138C3" w:rsidRPr="00E138C3" w14:paraId="37C6A2ED" w14:textId="77777777" w:rsidTr="003D2438">
        <w:tc>
          <w:tcPr>
            <w:tcW w:w="410" w:type="pct"/>
            <w:shd w:val="clear" w:color="auto" w:fill="808080"/>
            <w:vAlign w:val="center"/>
          </w:tcPr>
          <w:p w14:paraId="4B03CBA6" w14:textId="77777777" w:rsidR="00E138C3" w:rsidRPr="00E138C3" w:rsidRDefault="00E138C3" w:rsidP="00E138C3">
            <w:pPr>
              <w:tabs>
                <w:tab w:val="left" w:pos="284"/>
              </w:tabs>
              <w:rPr>
                <w:rFonts w:ascii="Tahoma" w:hAnsi="Tahoma" w:cs="Tahoma"/>
                <w:bCs/>
                <w:iCs/>
                <w:color w:val="FFFFFF"/>
                <w:sz w:val="28"/>
                <w:szCs w:val="22"/>
              </w:rPr>
            </w:pPr>
            <w:r w:rsidRPr="00E138C3">
              <w:rPr>
                <w:rFonts w:ascii="Tahoma" w:hAnsi="Tahoma" w:cs="Tahoma"/>
                <w:bCs/>
                <w:iCs/>
                <w:color w:val="FFFFFF"/>
                <w:sz w:val="28"/>
                <w:szCs w:val="22"/>
              </w:rPr>
              <w:t>2.</w:t>
            </w:r>
          </w:p>
        </w:tc>
        <w:tc>
          <w:tcPr>
            <w:tcW w:w="4590" w:type="pct"/>
            <w:gridSpan w:val="5"/>
            <w:shd w:val="clear" w:color="auto" w:fill="808080"/>
            <w:vAlign w:val="center"/>
          </w:tcPr>
          <w:p w14:paraId="6BA86F67" w14:textId="77777777" w:rsidR="00E138C3" w:rsidRPr="00E138C3" w:rsidRDefault="00E138C3" w:rsidP="00E138C3">
            <w:pPr>
              <w:tabs>
                <w:tab w:val="left" w:pos="284"/>
              </w:tabs>
              <w:rPr>
                <w:rFonts w:ascii="Tahoma" w:hAnsi="Tahoma" w:cs="Tahoma"/>
                <w:bCs/>
                <w:iCs/>
                <w:color w:val="FFFFFF"/>
                <w:sz w:val="28"/>
                <w:szCs w:val="22"/>
                <w:vertAlign w:val="superscript"/>
              </w:rPr>
            </w:pPr>
            <w:r w:rsidRPr="00E138C3">
              <w:rPr>
                <w:rFonts w:ascii="Tahoma" w:hAnsi="Tahoma" w:cs="Tahoma"/>
                <w:bCs/>
                <w:iCs/>
                <w:color w:val="FFFFFF"/>
                <w:sz w:val="28"/>
                <w:szCs w:val="22"/>
              </w:rPr>
              <w:t>Стоимость обслуживания Программы</w:t>
            </w:r>
          </w:p>
        </w:tc>
      </w:tr>
      <w:tr w:rsidR="00E138C3" w:rsidRPr="00E138C3" w14:paraId="39834E7F" w14:textId="77777777" w:rsidTr="003D2438">
        <w:tc>
          <w:tcPr>
            <w:tcW w:w="410" w:type="pct"/>
            <w:shd w:val="clear" w:color="auto" w:fill="auto"/>
            <w:vAlign w:val="center"/>
          </w:tcPr>
          <w:p w14:paraId="5A653623"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2.1.</w:t>
            </w:r>
          </w:p>
        </w:tc>
        <w:tc>
          <w:tcPr>
            <w:tcW w:w="1694" w:type="pct"/>
            <w:shd w:val="clear" w:color="auto" w:fill="auto"/>
            <w:vAlign w:val="center"/>
          </w:tcPr>
          <w:p w14:paraId="77DAC6F6" w14:textId="77777777" w:rsidR="00E138C3" w:rsidRPr="00E138C3" w:rsidRDefault="00E138C3" w:rsidP="00E138C3">
            <w:pPr>
              <w:rPr>
                <w:rFonts w:ascii="Tahoma" w:hAnsi="Tahoma" w:cs="Tahoma"/>
                <w:bCs/>
                <w:iCs/>
                <w:sz w:val="22"/>
                <w:szCs w:val="22"/>
              </w:rPr>
            </w:pPr>
            <w:r w:rsidRPr="00E138C3">
              <w:rPr>
                <w:rFonts w:ascii="Tahoma" w:hAnsi="Tahoma" w:cs="Tahoma"/>
                <w:bCs/>
                <w:iCs/>
                <w:sz w:val="22"/>
                <w:szCs w:val="22"/>
              </w:rPr>
              <w:t>при соблюдении одного из условий, указанных в п.2.3 Программы</w:t>
            </w:r>
          </w:p>
        </w:tc>
        <w:tc>
          <w:tcPr>
            <w:tcW w:w="2896" w:type="pct"/>
            <w:gridSpan w:val="4"/>
            <w:shd w:val="clear" w:color="auto" w:fill="auto"/>
            <w:vAlign w:val="center"/>
          </w:tcPr>
          <w:p w14:paraId="1F0FBAF0" w14:textId="77777777" w:rsidR="00E138C3" w:rsidRPr="00E138C3" w:rsidRDefault="00E138C3" w:rsidP="00E138C3">
            <w:pPr>
              <w:tabs>
                <w:tab w:val="left" w:pos="4889"/>
              </w:tabs>
              <w:jc w:val="center"/>
              <w:rPr>
                <w:rFonts w:ascii="Tahoma" w:hAnsi="Tahoma" w:cs="Tahoma"/>
                <w:b/>
                <w:bCs/>
                <w:sz w:val="22"/>
                <w:szCs w:val="22"/>
              </w:rPr>
            </w:pPr>
            <w:r w:rsidRPr="00E138C3">
              <w:rPr>
                <w:rFonts w:ascii="Tahoma" w:hAnsi="Tahoma" w:cs="Tahoma"/>
                <w:b/>
                <w:bCs/>
              </w:rPr>
              <w:t>БЕСПЛАТНО</w:t>
            </w:r>
          </w:p>
        </w:tc>
      </w:tr>
      <w:tr w:rsidR="00E138C3" w:rsidRPr="00E138C3" w14:paraId="65AC5540" w14:textId="77777777" w:rsidTr="003D2438">
        <w:tc>
          <w:tcPr>
            <w:tcW w:w="410" w:type="pct"/>
            <w:shd w:val="clear" w:color="auto" w:fill="auto"/>
            <w:vAlign w:val="center"/>
          </w:tcPr>
          <w:p w14:paraId="7D6738A6"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2.2.</w:t>
            </w:r>
          </w:p>
        </w:tc>
        <w:tc>
          <w:tcPr>
            <w:tcW w:w="1694" w:type="pct"/>
            <w:shd w:val="clear" w:color="auto" w:fill="auto"/>
            <w:vAlign w:val="center"/>
          </w:tcPr>
          <w:p w14:paraId="7BF52253" w14:textId="77777777" w:rsidR="00E138C3" w:rsidRPr="00E138C3" w:rsidRDefault="00E138C3" w:rsidP="00E138C3">
            <w:pPr>
              <w:rPr>
                <w:rFonts w:ascii="Tahoma" w:hAnsi="Tahoma" w:cs="Tahoma"/>
                <w:bCs/>
                <w:iCs/>
                <w:sz w:val="22"/>
                <w:szCs w:val="22"/>
              </w:rPr>
            </w:pPr>
            <w:r w:rsidRPr="00E138C3">
              <w:rPr>
                <w:rFonts w:ascii="Tahoma" w:hAnsi="Tahoma" w:cs="Tahoma"/>
                <w:bCs/>
                <w:iCs/>
                <w:sz w:val="22"/>
                <w:szCs w:val="22"/>
              </w:rPr>
              <w:t>при несоблюдении какого-либо из условий, указанных в п.2.3 Программы</w:t>
            </w:r>
          </w:p>
        </w:tc>
        <w:tc>
          <w:tcPr>
            <w:tcW w:w="2896" w:type="pct"/>
            <w:gridSpan w:val="4"/>
            <w:shd w:val="clear" w:color="auto" w:fill="auto"/>
            <w:vAlign w:val="center"/>
          </w:tcPr>
          <w:p w14:paraId="0632CB42" w14:textId="77777777" w:rsidR="00E138C3" w:rsidRPr="00E138C3" w:rsidRDefault="00E138C3" w:rsidP="00E138C3">
            <w:pPr>
              <w:tabs>
                <w:tab w:val="left" w:pos="4889"/>
              </w:tabs>
              <w:jc w:val="center"/>
              <w:rPr>
                <w:rFonts w:ascii="Tahoma" w:hAnsi="Tahoma" w:cs="Tahoma"/>
                <w:bCs/>
                <w:iCs/>
                <w:sz w:val="22"/>
                <w:szCs w:val="22"/>
                <w:vertAlign w:val="superscript"/>
              </w:rPr>
            </w:pPr>
            <w:r w:rsidRPr="00E138C3">
              <w:rPr>
                <w:rFonts w:ascii="Tahoma" w:hAnsi="Tahoma" w:cs="Tahoma"/>
                <w:b/>
                <w:bCs/>
                <w:iCs/>
                <w:color w:val="000000"/>
                <w:sz w:val="22"/>
                <w:szCs w:val="22"/>
              </w:rPr>
              <w:t>2 4</w:t>
            </w:r>
            <w:r w:rsidRPr="00E138C3">
              <w:rPr>
                <w:rFonts w:ascii="Tahoma" w:hAnsi="Tahoma" w:cs="Tahoma"/>
                <w:b/>
                <w:bCs/>
                <w:iCs/>
                <w:color w:val="000000"/>
                <w:sz w:val="22"/>
                <w:szCs w:val="22"/>
                <w:lang w:val="en-US"/>
              </w:rPr>
              <w:t>50</w:t>
            </w:r>
            <w:r w:rsidRPr="00E138C3">
              <w:rPr>
                <w:rFonts w:ascii="Tahoma" w:hAnsi="Tahoma" w:cs="Tahoma"/>
                <w:bCs/>
                <w:iCs/>
                <w:color w:val="000000"/>
                <w:sz w:val="22"/>
                <w:szCs w:val="22"/>
              </w:rPr>
              <w:t xml:space="preserve"> рублей в месяц</w:t>
            </w:r>
            <w:r w:rsidRPr="00E138C3">
              <w:rPr>
                <w:rFonts w:ascii="Tahoma" w:hAnsi="Tahoma" w:cs="Tahoma"/>
                <w:bCs/>
                <w:iCs/>
                <w:color w:val="000000"/>
                <w:sz w:val="22"/>
                <w:szCs w:val="22"/>
                <w:vertAlign w:val="superscript"/>
              </w:rPr>
              <w:t>3</w:t>
            </w:r>
          </w:p>
        </w:tc>
      </w:tr>
      <w:tr w:rsidR="00E138C3" w:rsidRPr="00E138C3" w14:paraId="72EC889E" w14:textId="77777777" w:rsidTr="00E138C3">
        <w:tc>
          <w:tcPr>
            <w:tcW w:w="410" w:type="pct"/>
            <w:shd w:val="clear" w:color="auto" w:fill="7F7F7F"/>
            <w:vAlign w:val="center"/>
          </w:tcPr>
          <w:p w14:paraId="1F4F73E2"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2.3.</w:t>
            </w:r>
          </w:p>
        </w:tc>
        <w:tc>
          <w:tcPr>
            <w:tcW w:w="4590" w:type="pct"/>
            <w:gridSpan w:val="5"/>
            <w:shd w:val="clear" w:color="auto" w:fill="7F7F7F"/>
            <w:vAlign w:val="center"/>
          </w:tcPr>
          <w:p w14:paraId="461D73B4" w14:textId="77777777" w:rsidR="00E138C3" w:rsidRPr="00E138C3" w:rsidRDefault="00E138C3" w:rsidP="00E138C3">
            <w:pPr>
              <w:tabs>
                <w:tab w:val="left" w:pos="4889"/>
              </w:tabs>
              <w:rPr>
                <w:rFonts w:ascii="Tahoma" w:hAnsi="Tahoma" w:cs="Tahoma"/>
                <w:b/>
                <w:bCs/>
                <w:iCs/>
                <w:color w:val="FFFFFF"/>
                <w:sz w:val="22"/>
                <w:szCs w:val="22"/>
              </w:rPr>
            </w:pPr>
            <w:r w:rsidRPr="00E138C3">
              <w:rPr>
                <w:rFonts w:ascii="Tahoma" w:hAnsi="Tahoma" w:cs="Tahoma"/>
                <w:b/>
                <w:bCs/>
                <w:iCs/>
                <w:color w:val="FFFFFF"/>
                <w:sz w:val="22"/>
                <w:szCs w:val="22"/>
              </w:rPr>
              <w:t>Условия бесплатного обслуживания Программы</w:t>
            </w:r>
          </w:p>
        </w:tc>
      </w:tr>
      <w:tr w:rsidR="00E138C3" w:rsidRPr="00E138C3" w14:paraId="4E7760B4" w14:textId="77777777" w:rsidTr="003D2438">
        <w:trPr>
          <w:trHeight w:val="446"/>
        </w:trPr>
        <w:tc>
          <w:tcPr>
            <w:tcW w:w="410" w:type="pct"/>
            <w:shd w:val="clear" w:color="auto" w:fill="auto"/>
            <w:vAlign w:val="center"/>
          </w:tcPr>
          <w:p w14:paraId="7742197E"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2.3.1.</w:t>
            </w:r>
          </w:p>
          <w:p w14:paraId="3DD8FFF8" w14:textId="77777777" w:rsidR="00E138C3" w:rsidRPr="00E138C3" w:rsidRDefault="00E138C3" w:rsidP="00E138C3">
            <w:pPr>
              <w:rPr>
                <w:rFonts w:ascii="Tahoma" w:hAnsi="Tahoma" w:cs="Tahoma"/>
                <w:bCs/>
                <w:iCs/>
                <w:sz w:val="22"/>
                <w:szCs w:val="22"/>
              </w:rPr>
            </w:pPr>
          </w:p>
        </w:tc>
        <w:tc>
          <w:tcPr>
            <w:tcW w:w="1694" w:type="pct"/>
            <w:shd w:val="clear" w:color="auto" w:fill="auto"/>
            <w:vAlign w:val="center"/>
          </w:tcPr>
          <w:p w14:paraId="48E0970C" w14:textId="77777777" w:rsidR="00E138C3" w:rsidRPr="00E138C3" w:rsidRDefault="00E138C3" w:rsidP="00E138C3">
            <w:pPr>
              <w:rPr>
                <w:rFonts w:ascii="Tahoma" w:hAnsi="Tahoma" w:cs="Tahoma"/>
                <w:bCs/>
                <w:iCs/>
                <w:sz w:val="22"/>
                <w:szCs w:val="22"/>
              </w:rPr>
            </w:pPr>
            <w:r w:rsidRPr="00E138C3">
              <w:rPr>
                <w:rFonts w:ascii="Tahoma" w:hAnsi="Tahoma" w:cs="Tahoma"/>
                <w:bCs/>
                <w:iCs/>
                <w:sz w:val="22"/>
                <w:szCs w:val="22"/>
              </w:rPr>
              <w:t>Средние остатки</w:t>
            </w:r>
            <w:r w:rsidRPr="00E138C3">
              <w:rPr>
                <w:rFonts w:ascii="Tahoma" w:hAnsi="Tahoma" w:cs="Tahoma"/>
                <w:bCs/>
                <w:iCs/>
                <w:sz w:val="22"/>
                <w:szCs w:val="22"/>
                <w:vertAlign w:val="superscript"/>
              </w:rPr>
              <w:t>4</w:t>
            </w:r>
            <w:r w:rsidRPr="00E138C3">
              <w:rPr>
                <w:rFonts w:ascii="Tahoma" w:eastAsia="Calibri" w:hAnsi="Tahoma" w:cs="Tahoma"/>
                <w:sz w:val="22"/>
                <w:szCs w:val="22"/>
                <w:lang w:eastAsia="en-US"/>
              </w:rPr>
              <w:t xml:space="preserve"> денежных средств </w:t>
            </w:r>
            <w:r w:rsidRPr="00E138C3">
              <w:rPr>
                <w:rFonts w:ascii="Tahoma" w:hAnsi="Tahoma" w:cs="Tahoma"/>
                <w:bCs/>
                <w:iCs/>
                <w:sz w:val="22"/>
                <w:szCs w:val="22"/>
              </w:rPr>
              <w:t>в течение календарного месяца</w:t>
            </w:r>
          </w:p>
        </w:tc>
        <w:tc>
          <w:tcPr>
            <w:tcW w:w="2896" w:type="pct"/>
            <w:gridSpan w:val="4"/>
            <w:shd w:val="clear" w:color="auto" w:fill="auto"/>
            <w:vAlign w:val="center"/>
          </w:tcPr>
          <w:p w14:paraId="6B0F8BE9" w14:textId="77777777" w:rsidR="00E138C3" w:rsidRPr="00E138C3" w:rsidRDefault="00E138C3" w:rsidP="00E138C3">
            <w:pPr>
              <w:tabs>
                <w:tab w:val="left" w:pos="4889"/>
              </w:tabs>
              <w:ind w:left="480"/>
              <w:jc w:val="center"/>
              <w:rPr>
                <w:rFonts w:ascii="Tahoma" w:hAnsi="Tahoma" w:cs="Tahoma"/>
                <w:bCs/>
                <w:iCs/>
                <w:color w:val="000000"/>
              </w:rPr>
            </w:pPr>
            <w:r w:rsidRPr="00E138C3">
              <w:rPr>
                <w:rFonts w:ascii="Tahoma" w:hAnsi="Tahoma" w:cs="Tahoma"/>
                <w:bCs/>
                <w:iCs/>
                <w:color w:val="000000"/>
              </w:rPr>
              <w:t>от</w:t>
            </w:r>
            <w:r w:rsidRPr="00E138C3">
              <w:rPr>
                <w:rFonts w:ascii="Tahoma" w:hAnsi="Tahoma" w:cs="Tahoma"/>
                <w:b/>
                <w:bCs/>
                <w:iCs/>
                <w:color w:val="000000"/>
              </w:rPr>
              <w:t xml:space="preserve"> 3 000 000 рублей</w:t>
            </w:r>
            <w:r w:rsidRPr="00E138C3">
              <w:rPr>
                <w:rFonts w:ascii="Tahoma" w:hAnsi="Tahoma" w:cs="Tahoma"/>
                <w:bCs/>
                <w:iCs/>
                <w:color w:val="000000"/>
              </w:rPr>
              <w:t>;</w:t>
            </w:r>
          </w:p>
        </w:tc>
      </w:tr>
      <w:tr w:rsidR="00E138C3" w:rsidRPr="00E138C3" w14:paraId="15ADB50C" w14:textId="77777777" w:rsidTr="003D2438">
        <w:trPr>
          <w:trHeight w:val="1014"/>
        </w:trPr>
        <w:tc>
          <w:tcPr>
            <w:tcW w:w="410" w:type="pct"/>
            <w:shd w:val="clear" w:color="auto" w:fill="auto"/>
            <w:vAlign w:val="center"/>
          </w:tcPr>
          <w:p w14:paraId="54C5CB5B" w14:textId="77777777" w:rsidR="00E138C3" w:rsidRPr="00E138C3" w:rsidRDefault="00E138C3" w:rsidP="00E138C3">
            <w:pPr>
              <w:rPr>
                <w:rFonts w:ascii="Tahoma" w:hAnsi="Tahoma" w:cs="Tahoma"/>
                <w:bCs/>
                <w:iCs/>
                <w:sz w:val="22"/>
                <w:szCs w:val="22"/>
              </w:rPr>
            </w:pPr>
            <w:r w:rsidRPr="00E138C3">
              <w:rPr>
                <w:rFonts w:ascii="Tahoma" w:hAnsi="Tahoma" w:cs="Tahoma"/>
                <w:bCs/>
                <w:iCs/>
                <w:sz w:val="22"/>
                <w:szCs w:val="22"/>
              </w:rPr>
              <w:t>2.3.2.</w:t>
            </w:r>
          </w:p>
        </w:tc>
        <w:tc>
          <w:tcPr>
            <w:tcW w:w="1694" w:type="pct"/>
            <w:shd w:val="clear" w:color="auto" w:fill="auto"/>
            <w:vAlign w:val="center"/>
          </w:tcPr>
          <w:p w14:paraId="43174676" w14:textId="77777777" w:rsidR="00E138C3" w:rsidRPr="00E138C3" w:rsidRDefault="00E138C3" w:rsidP="00E138C3">
            <w:pPr>
              <w:rPr>
                <w:rFonts w:ascii="Tahoma" w:hAnsi="Tahoma" w:cs="Tahoma"/>
                <w:bCs/>
                <w:iCs/>
                <w:sz w:val="22"/>
                <w:szCs w:val="22"/>
              </w:rPr>
            </w:pPr>
            <w:r w:rsidRPr="00E138C3">
              <w:rPr>
                <w:rFonts w:ascii="Tahoma" w:hAnsi="Tahoma" w:cs="Tahoma"/>
                <w:bCs/>
                <w:iCs/>
                <w:sz w:val="22"/>
                <w:szCs w:val="22"/>
              </w:rPr>
              <w:t>Средние остатки</w:t>
            </w:r>
            <w:r w:rsidRPr="00E138C3">
              <w:rPr>
                <w:rFonts w:ascii="Tahoma" w:hAnsi="Tahoma" w:cs="Tahoma"/>
                <w:bCs/>
                <w:iCs/>
                <w:sz w:val="22"/>
                <w:szCs w:val="22"/>
                <w:vertAlign w:val="superscript"/>
              </w:rPr>
              <w:t xml:space="preserve">4 </w:t>
            </w:r>
            <w:r w:rsidRPr="00E138C3">
              <w:rPr>
                <w:rFonts w:ascii="Tahoma" w:hAnsi="Tahoma" w:cs="Tahoma"/>
                <w:bCs/>
                <w:iCs/>
                <w:sz w:val="22"/>
                <w:szCs w:val="22"/>
              </w:rPr>
              <w:t xml:space="preserve">денежных средств в течение календарного месяца </w:t>
            </w:r>
            <w:r w:rsidRPr="00E138C3">
              <w:rPr>
                <w:rFonts w:ascii="Tahoma" w:hAnsi="Tahoma" w:cs="Tahoma"/>
                <w:b/>
                <w:bCs/>
                <w:iCs/>
                <w:sz w:val="22"/>
                <w:szCs w:val="22"/>
              </w:rPr>
              <w:t>и</w:t>
            </w:r>
            <w:r w:rsidRPr="00E138C3">
              <w:rPr>
                <w:rFonts w:ascii="Tahoma" w:hAnsi="Tahoma" w:cs="Tahoma"/>
                <w:bCs/>
                <w:iCs/>
                <w:sz w:val="22"/>
                <w:szCs w:val="22"/>
              </w:rPr>
              <w:t xml:space="preserve"> Сумма покупок</w:t>
            </w:r>
            <w:r w:rsidRPr="00E138C3">
              <w:rPr>
                <w:rFonts w:ascii="Tahoma" w:hAnsi="Tahoma" w:cs="Tahoma"/>
                <w:bCs/>
                <w:iCs/>
                <w:sz w:val="22"/>
                <w:szCs w:val="22"/>
                <w:vertAlign w:val="superscript"/>
              </w:rPr>
              <w:t>5</w:t>
            </w:r>
            <w:r w:rsidRPr="00E138C3">
              <w:rPr>
                <w:rFonts w:ascii="Tahoma" w:hAnsi="Tahoma" w:cs="Tahoma"/>
                <w:bCs/>
                <w:iCs/>
                <w:sz w:val="22"/>
                <w:szCs w:val="22"/>
              </w:rPr>
              <w:t xml:space="preserve"> по Картам, выпущенным в рамках Программы, в течение календарного месяца</w:t>
            </w:r>
          </w:p>
        </w:tc>
        <w:tc>
          <w:tcPr>
            <w:tcW w:w="2896" w:type="pct"/>
            <w:gridSpan w:val="4"/>
            <w:shd w:val="clear" w:color="auto" w:fill="auto"/>
            <w:vAlign w:val="center"/>
          </w:tcPr>
          <w:p w14:paraId="6EF705FD" w14:textId="77777777" w:rsidR="00E138C3" w:rsidRPr="00E138C3" w:rsidRDefault="00E138C3" w:rsidP="00E138C3">
            <w:pPr>
              <w:tabs>
                <w:tab w:val="left" w:pos="4889"/>
              </w:tabs>
              <w:ind w:left="480"/>
              <w:jc w:val="center"/>
              <w:rPr>
                <w:rFonts w:ascii="Tahoma" w:hAnsi="Tahoma" w:cs="Tahoma"/>
                <w:b/>
                <w:bCs/>
                <w:iCs/>
                <w:color w:val="000000"/>
              </w:rPr>
            </w:pPr>
            <w:r w:rsidRPr="00E138C3">
              <w:rPr>
                <w:rFonts w:ascii="Tahoma" w:hAnsi="Tahoma" w:cs="Tahoma"/>
                <w:bCs/>
                <w:iCs/>
                <w:color w:val="000000"/>
              </w:rPr>
              <w:t>Средние остатки</w:t>
            </w:r>
            <w:r w:rsidRPr="00E138C3">
              <w:rPr>
                <w:rFonts w:ascii="Tahoma" w:hAnsi="Tahoma" w:cs="Tahoma"/>
                <w:bCs/>
                <w:iCs/>
                <w:color w:val="000000"/>
                <w:vertAlign w:val="superscript"/>
              </w:rPr>
              <w:t xml:space="preserve">4 </w:t>
            </w:r>
            <w:r w:rsidRPr="00E138C3">
              <w:rPr>
                <w:rFonts w:ascii="Tahoma" w:hAnsi="Tahoma" w:cs="Tahoma"/>
                <w:bCs/>
                <w:iCs/>
                <w:color w:val="000000"/>
              </w:rPr>
              <w:t>от</w:t>
            </w:r>
            <w:r w:rsidRPr="00E138C3">
              <w:rPr>
                <w:rFonts w:ascii="Tahoma" w:hAnsi="Tahoma" w:cs="Tahoma"/>
                <w:b/>
                <w:bCs/>
                <w:iCs/>
                <w:color w:val="000000"/>
              </w:rPr>
              <w:t xml:space="preserve"> 1 000 000 рублей </w:t>
            </w:r>
            <w:r w:rsidRPr="00E138C3">
              <w:rPr>
                <w:rFonts w:ascii="Tahoma" w:hAnsi="Tahoma" w:cs="Tahoma"/>
                <w:bCs/>
                <w:iCs/>
                <w:color w:val="000000"/>
              </w:rPr>
              <w:t>и Сумма покупок от</w:t>
            </w:r>
            <w:r w:rsidRPr="00E138C3">
              <w:rPr>
                <w:rFonts w:ascii="Tahoma" w:hAnsi="Tahoma" w:cs="Tahoma"/>
                <w:b/>
                <w:bCs/>
                <w:iCs/>
                <w:color w:val="000000"/>
              </w:rPr>
              <w:t xml:space="preserve"> 50 000 рублей;</w:t>
            </w:r>
          </w:p>
        </w:tc>
      </w:tr>
      <w:tr w:rsidR="00E138C3" w:rsidRPr="00E138C3" w14:paraId="514737E4" w14:textId="77777777" w:rsidTr="003D2438">
        <w:trPr>
          <w:trHeight w:val="882"/>
        </w:trPr>
        <w:tc>
          <w:tcPr>
            <w:tcW w:w="410" w:type="pct"/>
            <w:shd w:val="clear" w:color="auto" w:fill="auto"/>
            <w:vAlign w:val="center"/>
          </w:tcPr>
          <w:p w14:paraId="440743D5" w14:textId="77777777" w:rsidR="00E138C3" w:rsidRPr="00E138C3" w:rsidRDefault="00E138C3" w:rsidP="00E138C3">
            <w:pPr>
              <w:rPr>
                <w:rFonts w:ascii="Tahoma" w:hAnsi="Tahoma" w:cs="Tahoma"/>
                <w:bCs/>
                <w:iCs/>
                <w:sz w:val="22"/>
                <w:szCs w:val="22"/>
              </w:rPr>
            </w:pPr>
            <w:r w:rsidRPr="00E138C3">
              <w:rPr>
                <w:rFonts w:ascii="Tahoma" w:hAnsi="Tahoma" w:cs="Tahoma"/>
                <w:bCs/>
                <w:iCs/>
                <w:sz w:val="22"/>
                <w:szCs w:val="22"/>
              </w:rPr>
              <w:t>2.3.3.</w:t>
            </w:r>
          </w:p>
        </w:tc>
        <w:tc>
          <w:tcPr>
            <w:tcW w:w="1694" w:type="pct"/>
            <w:shd w:val="clear" w:color="auto" w:fill="auto"/>
            <w:vAlign w:val="center"/>
          </w:tcPr>
          <w:p w14:paraId="65C21E3D" w14:textId="77777777" w:rsidR="00E138C3" w:rsidRPr="00E138C3" w:rsidRDefault="00E138C3" w:rsidP="00E138C3">
            <w:pPr>
              <w:rPr>
                <w:rFonts w:ascii="Tahoma" w:hAnsi="Tahoma" w:cs="Tahoma"/>
                <w:bCs/>
                <w:iCs/>
                <w:sz w:val="22"/>
                <w:szCs w:val="22"/>
              </w:rPr>
            </w:pPr>
            <w:r w:rsidRPr="00E138C3">
              <w:rPr>
                <w:rFonts w:ascii="Tahoma" w:hAnsi="Tahoma" w:cs="Tahoma"/>
                <w:bCs/>
                <w:iCs/>
                <w:sz w:val="22"/>
                <w:szCs w:val="22"/>
              </w:rPr>
              <w:t>Сумма покупок</w:t>
            </w:r>
            <w:r w:rsidRPr="00E138C3">
              <w:rPr>
                <w:rFonts w:ascii="Tahoma" w:hAnsi="Tahoma" w:cs="Tahoma"/>
                <w:bCs/>
                <w:iCs/>
                <w:sz w:val="22"/>
                <w:szCs w:val="22"/>
                <w:vertAlign w:val="superscript"/>
              </w:rPr>
              <w:t>5</w:t>
            </w:r>
            <w:r w:rsidRPr="00E138C3">
              <w:rPr>
                <w:rFonts w:ascii="Tahoma" w:hAnsi="Tahoma" w:cs="Tahoma"/>
                <w:bCs/>
                <w:iCs/>
                <w:sz w:val="22"/>
                <w:szCs w:val="22"/>
              </w:rPr>
              <w:t>, совершенных с использованием Карт, выпущенных в рамках Программы, в течение календарного месяца</w:t>
            </w:r>
          </w:p>
        </w:tc>
        <w:tc>
          <w:tcPr>
            <w:tcW w:w="2896" w:type="pct"/>
            <w:gridSpan w:val="4"/>
            <w:shd w:val="clear" w:color="auto" w:fill="auto"/>
            <w:vAlign w:val="center"/>
          </w:tcPr>
          <w:p w14:paraId="630EFE86" w14:textId="77777777" w:rsidR="00E138C3" w:rsidRPr="00E138C3" w:rsidRDefault="00E138C3" w:rsidP="00E138C3">
            <w:pPr>
              <w:tabs>
                <w:tab w:val="left" w:pos="4889"/>
              </w:tabs>
              <w:ind w:left="480"/>
              <w:jc w:val="center"/>
              <w:rPr>
                <w:rFonts w:ascii="Tahoma" w:hAnsi="Tahoma" w:cs="Tahoma"/>
                <w:bCs/>
                <w:iCs/>
                <w:color w:val="000000"/>
              </w:rPr>
            </w:pPr>
            <w:r w:rsidRPr="00E138C3">
              <w:rPr>
                <w:rFonts w:ascii="Tahoma" w:hAnsi="Tahoma" w:cs="Tahoma"/>
                <w:bCs/>
                <w:iCs/>
                <w:color w:val="000000"/>
              </w:rPr>
              <w:t>от</w:t>
            </w:r>
            <w:r w:rsidRPr="00E138C3">
              <w:rPr>
                <w:rFonts w:ascii="Tahoma" w:hAnsi="Tahoma" w:cs="Tahoma"/>
                <w:b/>
                <w:bCs/>
                <w:iCs/>
                <w:color w:val="000000"/>
              </w:rPr>
              <w:t xml:space="preserve"> 150 000</w:t>
            </w:r>
            <w:r w:rsidRPr="00E138C3">
              <w:rPr>
                <w:rFonts w:ascii="Tahoma" w:hAnsi="Tahoma" w:cs="Tahoma"/>
                <w:bCs/>
                <w:iCs/>
                <w:color w:val="000000"/>
              </w:rPr>
              <w:t xml:space="preserve"> </w:t>
            </w:r>
            <w:r w:rsidRPr="00E138C3">
              <w:rPr>
                <w:rFonts w:ascii="Tahoma" w:hAnsi="Tahoma" w:cs="Tahoma"/>
                <w:b/>
                <w:bCs/>
                <w:iCs/>
                <w:color w:val="000000"/>
              </w:rPr>
              <w:t>рублей;</w:t>
            </w:r>
          </w:p>
        </w:tc>
      </w:tr>
      <w:tr w:rsidR="00E138C3" w:rsidRPr="00E138C3" w14:paraId="16FD8DE3" w14:textId="77777777" w:rsidTr="003D2438">
        <w:trPr>
          <w:trHeight w:val="555"/>
        </w:trPr>
        <w:tc>
          <w:tcPr>
            <w:tcW w:w="410" w:type="pct"/>
            <w:shd w:val="clear" w:color="auto" w:fill="auto"/>
            <w:vAlign w:val="center"/>
          </w:tcPr>
          <w:p w14:paraId="3437FE2B" w14:textId="77777777" w:rsidR="00E138C3" w:rsidRPr="00E138C3" w:rsidRDefault="00E138C3" w:rsidP="00E138C3">
            <w:pPr>
              <w:rPr>
                <w:rFonts w:ascii="Tahoma" w:hAnsi="Tahoma" w:cs="Tahoma"/>
                <w:bCs/>
                <w:iCs/>
                <w:sz w:val="22"/>
                <w:szCs w:val="22"/>
              </w:rPr>
            </w:pPr>
            <w:r w:rsidRPr="00E138C3">
              <w:rPr>
                <w:rFonts w:ascii="Tahoma" w:hAnsi="Tahoma" w:cs="Tahoma"/>
                <w:bCs/>
                <w:iCs/>
                <w:sz w:val="22"/>
                <w:szCs w:val="22"/>
              </w:rPr>
              <w:t>2.3.4.</w:t>
            </w:r>
          </w:p>
        </w:tc>
        <w:tc>
          <w:tcPr>
            <w:tcW w:w="1694" w:type="pct"/>
            <w:shd w:val="clear" w:color="auto" w:fill="auto"/>
            <w:vAlign w:val="center"/>
          </w:tcPr>
          <w:p w14:paraId="631E9761" w14:textId="77777777" w:rsidR="00E138C3" w:rsidRPr="00E138C3" w:rsidRDefault="00E138C3" w:rsidP="00E138C3">
            <w:pPr>
              <w:rPr>
                <w:rFonts w:ascii="Tahoma" w:hAnsi="Tahoma" w:cs="Tahoma"/>
                <w:bCs/>
                <w:iCs/>
                <w:color w:val="000000"/>
                <w:sz w:val="22"/>
                <w:szCs w:val="22"/>
              </w:rPr>
            </w:pPr>
            <w:r w:rsidRPr="00E138C3">
              <w:rPr>
                <w:rFonts w:ascii="Tahoma" w:hAnsi="Tahoma" w:cs="Tahoma"/>
                <w:bCs/>
                <w:iCs/>
                <w:color w:val="000000"/>
                <w:sz w:val="22"/>
                <w:szCs w:val="22"/>
              </w:rPr>
              <w:t>поступление Заработной платы</w:t>
            </w:r>
            <w:r w:rsidRPr="00E138C3">
              <w:rPr>
                <w:rFonts w:ascii="Tahoma" w:hAnsi="Tahoma" w:cs="Tahoma"/>
                <w:bCs/>
                <w:iCs/>
                <w:color w:val="000000"/>
                <w:sz w:val="22"/>
                <w:szCs w:val="22"/>
                <w:vertAlign w:val="superscript"/>
              </w:rPr>
              <w:t>6</w:t>
            </w:r>
            <w:r w:rsidRPr="00E138C3">
              <w:rPr>
                <w:rFonts w:ascii="Tahoma" w:hAnsi="Tahoma" w:cs="Tahoma"/>
                <w:bCs/>
                <w:iCs/>
                <w:color w:val="000000"/>
                <w:sz w:val="22"/>
                <w:szCs w:val="22"/>
              </w:rPr>
              <w:t xml:space="preserve"> в течение календарного месяца на счет Карты, выпущенной в рамках Программы, оформленной </w:t>
            </w:r>
            <w:r w:rsidRPr="00E138C3">
              <w:rPr>
                <w:rFonts w:ascii="Tahoma" w:hAnsi="Tahoma" w:cs="Tahoma"/>
                <w:b/>
                <w:bCs/>
                <w:iCs/>
                <w:color w:val="000000"/>
                <w:sz w:val="22"/>
                <w:szCs w:val="22"/>
              </w:rPr>
              <w:t>до 05.12.2023г</w:t>
            </w:r>
            <w:r w:rsidRPr="00E138C3">
              <w:rPr>
                <w:rFonts w:ascii="Tahoma" w:hAnsi="Tahoma" w:cs="Tahoma"/>
                <w:bCs/>
                <w:iCs/>
                <w:color w:val="000000"/>
                <w:sz w:val="22"/>
                <w:szCs w:val="22"/>
              </w:rPr>
              <w:t>. (включительно)</w:t>
            </w:r>
          </w:p>
        </w:tc>
        <w:tc>
          <w:tcPr>
            <w:tcW w:w="2896" w:type="pct"/>
            <w:gridSpan w:val="4"/>
            <w:shd w:val="clear" w:color="auto" w:fill="auto"/>
            <w:vAlign w:val="center"/>
          </w:tcPr>
          <w:p w14:paraId="27A24353" w14:textId="77777777" w:rsidR="00E138C3" w:rsidRPr="00E138C3" w:rsidRDefault="00E138C3" w:rsidP="00E138C3">
            <w:pPr>
              <w:tabs>
                <w:tab w:val="left" w:pos="4889"/>
              </w:tabs>
              <w:ind w:left="480"/>
              <w:jc w:val="center"/>
              <w:rPr>
                <w:rFonts w:ascii="Tahoma" w:hAnsi="Tahoma" w:cs="Tahoma"/>
                <w:bCs/>
                <w:iCs/>
                <w:color w:val="000000"/>
              </w:rPr>
            </w:pPr>
            <w:r w:rsidRPr="00E138C3">
              <w:rPr>
                <w:rFonts w:ascii="Tahoma" w:hAnsi="Tahoma" w:cs="Tahoma"/>
                <w:bCs/>
                <w:iCs/>
                <w:color w:val="000000"/>
              </w:rPr>
              <w:t>от</w:t>
            </w:r>
            <w:r w:rsidRPr="00E138C3">
              <w:rPr>
                <w:rFonts w:ascii="Tahoma" w:hAnsi="Tahoma" w:cs="Tahoma"/>
                <w:b/>
                <w:bCs/>
                <w:iCs/>
                <w:color w:val="000000"/>
              </w:rPr>
              <w:t xml:space="preserve"> 100 000 рублей </w:t>
            </w:r>
            <w:r w:rsidRPr="00E138C3">
              <w:rPr>
                <w:rFonts w:ascii="Tahoma" w:hAnsi="Tahoma" w:cs="Tahoma"/>
                <w:bCs/>
                <w:iCs/>
                <w:color w:val="000000"/>
              </w:rPr>
              <w:t>в месяц;</w:t>
            </w:r>
          </w:p>
        </w:tc>
      </w:tr>
      <w:tr w:rsidR="00E138C3" w:rsidRPr="00E138C3" w14:paraId="45B468F9" w14:textId="77777777" w:rsidTr="003D2438">
        <w:trPr>
          <w:trHeight w:val="555"/>
        </w:trPr>
        <w:tc>
          <w:tcPr>
            <w:tcW w:w="410" w:type="pct"/>
            <w:shd w:val="clear" w:color="auto" w:fill="auto"/>
            <w:vAlign w:val="center"/>
          </w:tcPr>
          <w:p w14:paraId="183902ED" w14:textId="77777777" w:rsidR="00E138C3" w:rsidRPr="00E138C3" w:rsidRDefault="00E138C3" w:rsidP="00E138C3">
            <w:pPr>
              <w:rPr>
                <w:rFonts w:ascii="Tahoma" w:hAnsi="Tahoma" w:cs="Tahoma"/>
                <w:bCs/>
                <w:iCs/>
                <w:sz w:val="22"/>
                <w:szCs w:val="22"/>
              </w:rPr>
            </w:pPr>
            <w:r w:rsidRPr="00E138C3">
              <w:rPr>
                <w:rFonts w:ascii="Tahoma" w:hAnsi="Tahoma" w:cs="Tahoma"/>
                <w:bCs/>
                <w:iCs/>
                <w:sz w:val="22"/>
                <w:szCs w:val="22"/>
              </w:rPr>
              <w:t>2.3.5.</w:t>
            </w:r>
          </w:p>
        </w:tc>
        <w:tc>
          <w:tcPr>
            <w:tcW w:w="1694" w:type="pct"/>
            <w:shd w:val="clear" w:color="auto" w:fill="auto"/>
            <w:vAlign w:val="center"/>
          </w:tcPr>
          <w:p w14:paraId="5E32002F" w14:textId="77777777" w:rsidR="00E138C3" w:rsidRPr="00E138C3" w:rsidRDefault="00E138C3" w:rsidP="00E138C3">
            <w:pPr>
              <w:rPr>
                <w:rFonts w:ascii="Tahoma" w:hAnsi="Tahoma" w:cs="Tahoma"/>
                <w:bCs/>
                <w:iCs/>
                <w:color w:val="000000"/>
                <w:sz w:val="22"/>
                <w:szCs w:val="22"/>
              </w:rPr>
            </w:pPr>
            <w:r w:rsidRPr="00E138C3">
              <w:rPr>
                <w:rFonts w:ascii="Tahoma" w:hAnsi="Tahoma" w:cs="Tahoma"/>
                <w:bCs/>
                <w:iCs/>
                <w:color w:val="000000"/>
                <w:sz w:val="22"/>
                <w:szCs w:val="22"/>
              </w:rPr>
              <w:t>поступление Заработной платы</w:t>
            </w:r>
            <w:r w:rsidRPr="00E138C3">
              <w:rPr>
                <w:rFonts w:ascii="Tahoma" w:hAnsi="Tahoma" w:cs="Tahoma"/>
                <w:bCs/>
                <w:iCs/>
                <w:color w:val="000000"/>
                <w:sz w:val="22"/>
                <w:szCs w:val="22"/>
                <w:vertAlign w:val="superscript"/>
              </w:rPr>
              <w:t>6</w:t>
            </w:r>
            <w:r w:rsidRPr="00E138C3">
              <w:rPr>
                <w:rFonts w:ascii="Tahoma" w:hAnsi="Tahoma" w:cs="Tahoma"/>
                <w:bCs/>
                <w:iCs/>
                <w:color w:val="000000"/>
                <w:sz w:val="22"/>
                <w:szCs w:val="22"/>
              </w:rPr>
              <w:t xml:space="preserve"> в течение календарного месяца на счет Карты, выпущенной в рамках Программы, оформляемой </w:t>
            </w:r>
            <w:r w:rsidRPr="00E138C3">
              <w:rPr>
                <w:rFonts w:ascii="Tahoma" w:hAnsi="Tahoma" w:cs="Tahoma"/>
                <w:b/>
                <w:bCs/>
                <w:iCs/>
                <w:color w:val="000000"/>
                <w:sz w:val="22"/>
                <w:szCs w:val="22"/>
              </w:rPr>
              <w:t>с 06.12.2023г</w:t>
            </w:r>
            <w:r w:rsidRPr="00E138C3">
              <w:rPr>
                <w:rFonts w:ascii="Tahoma" w:hAnsi="Tahoma" w:cs="Tahoma"/>
                <w:bCs/>
                <w:iCs/>
                <w:color w:val="000000"/>
                <w:sz w:val="22"/>
                <w:szCs w:val="22"/>
              </w:rPr>
              <w:t>.</w:t>
            </w:r>
          </w:p>
        </w:tc>
        <w:tc>
          <w:tcPr>
            <w:tcW w:w="2896" w:type="pct"/>
            <w:gridSpan w:val="4"/>
            <w:shd w:val="clear" w:color="auto" w:fill="auto"/>
            <w:vAlign w:val="center"/>
          </w:tcPr>
          <w:p w14:paraId="3F3DECDB" w14:textId="77777777" w:rsidR="00E138C3" w:rsidRPr="00E138C3" w:rsidRDefault="00E138C3" w:rsidP="00E138C3">
            <w:pPr>
              <w:tabs>
                <w:tab w:val="left" w:pos="4889"/>
              </w:tabs>
              <w:ind w:left="454"/>
              <w:jc w:val="center"/>
              <w:rPr>
                <w:rFonts w:ascii="Tahoma" w:hAnsi="Tahoma" w:cs="Tahoma"/>
                <w:b/>
                <w:bCs/>
                <w:iCs/>
                <w:color w:val="000000"/>
              </w:rPr>
            </w:pPr>
            <w:r w:rsidRPr="00E138C3">
              <w:rPr>
                <w:rFonts w:ascii="Tahoma" w:hAnsi="Tahoma" w:cs="Tahoma"/>
                <w:bCs/>
                <w:iCs/>
                <w:color w:val="000000"/>
              </w:rPr>
              <w:t>от</w:t>
            </w:r>
            <w:r w:rsidRPr="00E138C3">
              <w:rPr>
                <w:rFonts w:ascii="Tahoma" w:hAnsi="Tahoma" w:cs="Tahoma"/>
                <w:b/>
                <w:bCs/>
                <w:iCs/>
                <w:color w:val="000000"/>
              </w:rPr>
              <w:t xml:space="preserve"> 200 000 рублей</w:t>
            </w:r>
            <w:r w:rsidRPr="00E138C3" w:rsidDel="00724802">
              <w:rPr>
                <w:rFonts w:ascii="Tahoma" w:hAnsi="Tahoma" w:cs="Tahoma"/>
                <w:b/>
                <w:bCs/>
                <w:iCs/>
                <w:color w:val="000000"/>
              </w:rPr>
              <w:t xml:space="preserve"> </w:t>
            </w:r>
            <w:r w:rsidRPr="00E138C3">
              <w:rPr>
                <w:rFonts w:ascii="Tahoma" w:hAnsi="Tahoma" w:cs="Tahoma"/>
                <w:bCs/>
                <w:iCs/>
                <w:color w:val="000000"/>
              </w:rPr>
              <w:t>в месяц</w:t>
            </w:r>
            <w:r w:rsidRPr="00E138C3">
              <w:rPr>
                <w:rFonts w:ascii="Tahoma" w:hAnsi="Tahoma" w:cs="Tahoma"/>
                <w:b/>
                <w:bCs/>
                <w:iCs/>
                <w:color w:val="000000"/>
              </w:rPr>
              <w:t>.</w:t>
            </w:r>
          </w:p>
        </w:tc>
      </w:tr>
      <w:tr w:rsidR="00E138C3" w:rsidRPr="00E138C3" w14:paraId="69CF84D9" w14:textId="77777777" w:rsidTr="003D2438">
        <w:tc>
          <w:tcPr>
            <w:tcW w:w="410" w:type="pct"/>
            <w:shd w:val="clear" w:color="auto" w:fill="808080"/>
            <w:vAlign w:val="center"/>
          </w:tcPr>
          <w:p w14:paraId="352BE303" w14:textId="77777777" w:rsidR="00E138C3" w:rsidRPr="00E138C3" w:rsidRDefault="00E138C3" w:rsidP="00E138C3">
            <w:pPr>
              <w:tabs>
                <w:tab w:val="left" w:pos="284"/>
              </w:tabs>
              <w:rPr>
                <w:rFonts w:ascii="Tahoma" w:hAnsi="Tahoma" w:cs="Tahoma"/>
                <w:bCs/>
                <w:iCs/>
                <w:color w:val="FFFFFF"/>
                <w:sz w:val="28"/>
                <w:szCs w:val="22"/>
              </w:rPr>
            </w:pPr>
            <w:r w:rsidRPr="00E138C3">
              <w:rPr>
                <w:rFonts w:ascii="Tahoma" w:hAnsi="Tahoma" w:cs="Tahoma"/>
                <w:bCs/>
                <w:iCs/>
                <w:color w:val="FFFFFF"/>
                <w:sz w:val="28"/>
                <w:szCs w:val="22"/>
              </w:rPr>
              <w:t>3.</w:t>
            </w:r>
          </w:p>
        </w:tc>
        <w:tc>
          <w:tcPr>
            <w:tcW w:w="4590" w:type="pct"/>
            <w:gridSpan w:val="5"/>
            <w:shd w:val="clear" w:color="auto" w:fill="808080"/>
            <w:vAlign w:val="center"/>
          </w:tcPr>
          <w:p w14:paraId="6FB0B9A9" w14:textId="77777777" w:rsidR="00E138C3" w:rsidRPr="00E138C3" w:rsidRDefault="00E138C3" w:rsidP="00E138C3">
            <w:pPr>
              <w:tabs>
                <w:tab w:val="left" w:pos="284"/>
              </w:tabs>
              <w:rPr>
                <w:rFonts w:ascii="Tahoma" w:hAnsi="Tahoma" w:cs="Tahoma"/>
                <w:bCs/>
                <w:iCs/>
                <w:color w:val="FFFFFF"/>
                <w:sz w:val="28"/>
                <w:szCs w:val="22"/>
              </w:rPr>
            </w:pPr>
            <w:r w:rsidRPr="00E138C3">
              <w:rPr>
                <w:rFonts w:ascii="Tahoma" w:hAnsi="Tahoma" w:cs="Tahoma"/>
                <w:bCs/>
                <w:iCs/>
                <w:color w:val="FFFFFF"/>
                <w:sz w:val="28"/>
                <w:szCs w:val="22"/>
              </w:rPr>
              <w:t>Банковские услуги, получаемые Клиентом в рамках Программы</w:t>
            </w:r>
          </w:p>
        </w:tc>
      </w:tr>
      <w:tr w:rsidR="00E138C3" w:rsidRPr="00E138C3" w14:paraId="156C2E58" w14:textId="77777777" w:rsidTr="00E138C3">
        <w:tc>
          <w:tcPr>
            <w:tcW w:w="410" w:type="pct"/>
            <w:shd w:val="clear" w:color="auto" w:fill="808080"/>
            <w:vAlign w:val="center"/>
          </w:tcPr>
          <w:p w14:paraId="59286DCB"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3.1.</w:t>
            </w:r>
          </w:p>
        </w:tc>
        <w:tc>
          <w:tcPr>
            <w:tcW w:w="4590" w:type="pct"/>
            <w:gridSpan w:val="5"/>
            <w:shd w:val="clear" w:color="auto" w:fill="808080"/>
            <w:vAlign w:val="center"/>
          </w:tcPr>
          <w:p w14:paraId="7F08F356" w14:textId="77777777" w:rsidR="00E138C3" w:rsidRPr="00E138C3" w:rsidRDefault="00E138C3" w:rsidP="00E138C3">
            <w:pPr>
              <w:tabs>
                <w:tab w:val="left" w:pos="284"/>
              </w:tabs>
              <w:rPr>
                <w:rFonts w:ascii="Tahoma" w:hAnsi="Tahoma" w:cs="Tahoma"/>
                <w:b/>
                <w:bCs/>
                <w:iCs/>
                <w:color w:val="FFFFFF"/>
                <w:sz w:val="22"/>
                <w:szCs w:val="22"/>
                <w:vertAlign w:val="superscript"/>
              </w:rPr>
            </w:pPr>
            <w:r w:rsidRPr="00E138C3">
              <w:rPr>
                <w:rFonts w:ascii="Tahoma" w:hAnsi="Tahoma" w:cs="Tahoma"/>
                <w:b/>
                <w:bCs/>
                <w:iCs/>
                <w:color w:val="FFFFFF"/>
                <w:sz w:val="22"/>
                <w:szCs w:val="22"/>
              </w:rPr>
              <w:t>Накопительный счет</w:t>
            </w:r>
            <w:r w:rsidRPr="00E138C3">
              <w:rPr>
                <w:rFonts w:ascii="Tahoma" w:hAnsi="Tahoma" w:cs="Tahoma"/>
                <w:bCs/>
                <w:iCs/>
                <w:color w:val="FFFFFF"/>
                <w:sz w:val="22"/>
                <w:szCs w:val="22"/>
                <w:vertAlign w:val="superscript"/>
              </w:rPr>
              <w:t>7,8</w:t>
            </w:r>
            <w:r w:rsidRPr="00E138C3">
              <w:rPr>
                <w:rFonts w:ascii="Tahoma" w:hAnsi="Tahoma" w:cs="Tahoma"/>
                <w:b/>
                <w:bCs/>
                <w:iCs/>
                <w:color w:val="FFFFFF"/>
                <w:sz w:val="22"/>
                <w:szCs w:val="22"/>
                <w:vertAlign w:val="superscript"/>
              </w:rPr>
              <w:t xml:space="preserve">  </w:t>
            </w:r>
            <w:r w:rsidRPr="00E138C3">
              <w:rPr>
                <w:rFonts w:ascii="Tahoma" w:hAnsi="Tahoma" w:cs="Tahoma"/>
                <w:bCs/>
                <w:iCs/>
                <w:color w:val="FFFFFF"/>
                <w:sz w:val="22"/>
                <w:szCs w:val="22"/>
              </w:rPr>
              <w:t>(является текущим банковским счетом), далее – Накопительный счет</w:t>
            </w:r>
          </w:p>
        </w:tc>
      </w:tr>
      <w:tr w:rsidR="00E138C3" w:rsidRPr="00E138C3" w14:paraId="302FD46A" w14:textId="77777777" w:rsidTr="003D2438">
        <w:tc>
          <w:tcPr>
            <w:tcW w:w="410" w:type="pct"/>
            <w:shd w:val="clear" w:color="auto" w:fill="auto"/>
            <w:vAlign w:val="center"/>
          </w:tcPr>
          <w:p w14:paraId="723AA26F" w14:textId="77777777" w:rsidR="00E138C3" w:rsidRPr="00E138C3" w:rsidRDefault="00E138C3" w:rsidP="00E138C3">
            <w:pPr>
              <w:tabs>
                <w:tab w:val="left" w:pos="284"/>
              </w:tabs>
              <w:rPr>
                <w:rFonts w:ascii="Tahoma" w:hAnsi="Tahoma" w:cs="Tahoma"/>
                <w:b/>
                <w:bCs/>
                <w:iCs/>
                <w:color w:val="000000"/>
                <w:sz w:val="22"/>
                <w:szCs w:val="22"/>
              </w:rPr>
            </w:pPr>
            <w:r w:rsidRPr="00E138C3">
              <w:rPr>
                <w:rFonts w:ascii="Tahoma" w:hAnsi="Tahoma" w:cs="Tahoma"/>
                <w:b/>
                <w:bCs/>
                <w:iCs/>
                <w:color w:val="000000"/>
                <w:sz w:val="22"/>
                <w:szCs w:val="22"/>
              </w:rPr>
              <w:t>3.1.1.</w:t>
            </w:r>
          </w:p>
        </w:tc>
        <w:tc>
          <w:tcPr>
            <w:tcW w:w="4590" w:type="pct"/>
            <w:gridSpan w:val="5"/>
            <w:shd w:val="clear" w:color="auto" w:fill="auto"/>
            <w:vAlign w:val="center"/>
          </w:tcPr>
          <w:p w14:paraId="4E766C91" w14:textId="77777777" w:rsidR="00E138C3" w:rsidRPr="00E138C3" w:rsidRDefault="00E138C3" w:rsidP="00E138C3">
            <w:pPr>
              <w:tabs>
                <w:tab w:val="left" w:pos="284"/>
              </w:tabs>
              <w:rPr>
                <w:rFonts w:ascii="Tahoma" w:hAnsi="Tahoma" w:cs="Tahoma"/>
                <w:b/>
                <w:bCs/>
                <w:iCs/>
                <w:sz w:val="22"/>
                <w:szCs w:val="22"/>
              </w:rPr>
            </w:pPr>
            <w:r w:rsidRPr="00E138C3">
              <w:rPr>
                <w:rFonts w:ascii="Tahoma" w:hAnsi="Tahoma" w:cs="Tahoma"/>
                <w:b/>
                <w:bCs/>
                <w:iCs/>
                <w:color w:val="000000"/>
                <w:sz w:val="22"/>
                <w:szCs w:val="22"/>
              </w:rPr>
              <w:t>Накопительный счет в рублях</w:t>
            </w:r>
          </w:p>
        </w:tc>
      </w:tr>
      <w:tr w:rsidR="00E138C3" w:rsidRPr="00E138C3" w14:paraId="3F6E65A7" w14:textId="77777777" w:rsidTr="003D2438">
        <w:tc>
          <w:tcPr>
            <w:tcW w:w="410" w:type="pct"/>
            <w:shd w:val="clear" w:color="auto" w:fill="auto"/>
            <w:vAlign w:val="center"/>
          </w:tcPr>
          <w:p w14:paraId="35F4A2E7"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3.1.1.1.</w:t>
            </w:r>
          </w:p>
        </w:tc>
        <w:tc>
          <w:tcPr>
            <w:tcW w:w="1694" w:type="pct"/>
            <w:shd w:val="clear" w:color="auto" w:fill="auto"/>
            <w:vAlign w:val="center"/>
          </w:tcPr>
          <w:p w14:paraId="051A3AD5"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 xml:space="preserve">валюта Накопительного счета </w:t>
            </w:r>
          </w:p>
        </w:tc>
        <w:tc>
          <w:tcPr>
            <w:tcW w:w="2896" w:type="pct"/>
            <w:gridSpan w:val="4"/>
            <w:shd w:val="clear" w:color="auto" w:fill="auto"/>
            <w:vAlign w:val="center"/>
          </w:tcPr>
          <w:p w14:paraId="5A4FB8B9"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sz w:val="22"/>
                <w:szCs w:val="22"/>
              </w:rPr>
              <w:t>Российский рубль</w:t>
            </w:r>
          </w:p>
        </w:tc>
      </w:tr>
      <w:tr w:rsidR="00E138C3" w:rsidRPr="00E138C3" w14:paraId="23FB314D" w14:textId="77777777" w:rsidTr="003D2438">
        <w:tc>
          <w:tcPr>
            <w:tcW w:w="410" w:type="pct"/>
            <w:shd w:val="clear" w:color="auto" w:fill="auto"/>
            <w:vAlign w:val="center"/>
          </w:tcPr>
          <w:p w14:paraId="093E8659"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3.1.1.2.</w:t>
            </w:r>
          </w:p>
        </w:tc>
        <w:tc>
          <w:tcPr>
            <w:tcW w:w="1694" w:type="pct"/>
            <w:shd w:val="clear" w:color="auto" w:fill="auto"/>
            <w:vAlign w:val="center"/>
          </w:tcPr>
          <w:p w14:paraId="3EB4AD2B"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открытие и обслуживание Накопительного счета</w:t>
            </w:r>
          </w:p>
        </w:tc>
        <w:tc>
          <w:tcPr>
            <w:tcW w:w="2896" w:type="pct"/>
            <w:gridSpan w:val="4"/>
            <w:shd w:val="clear" w:color="auto" w:fill="auto"/>
            <w:vAlign w:val="center"/>
          </w:tcPr>
          <w:p w14:paraId="3464243D" w14:textId="77777777" w:rsidR="00E138C3" w:rsidRPr="00E138C3" w:rsidRDefault="00E138C3" w:rsidP="00E138C3">
            <w:pPr>
              <w:tabs>
                <w:tab w:val="left" w:pos="284"/>
              </w:tabs>
              <w:jc w:val="center"/>
              <w:rPr>
                <w:rFonts w:ascii="Tahoma" w:hAnsi="Tahoma" w:cs="Tahoma"/>
                <w:b/>
                <w:bCs/>
                <w:iCs/>
                <w:color w:val="000000"/>
                <w:sz w:val="22"/>
                <w:szCs w:val="22"/>
              </w:rPr>
            </w:pPr>
            <w:r w:rsidRPr="00E138C3">
              <w:rPr>
                <w:rFonts w:ascii="Tahoma" w:hAnsi="Tahoma" w:cs="Tahoma"/>
                <w:bCs/>
                <w:iCs/>
                <w:color w:val="000000"/>
                <w:sz w:val="22"/>
                <w:szCs w:val="22"/>
              </w:rPr>
              <w:t xml:space="preserve">Открытие одного Накопительного счета в валюте российский рубль: </w:t>
            </w:r>
            <w:r w:rsidRPr="00E138C3">
              <w:rPr>
                <w:rFonts w:ascii="Tahoma" w:hAnsi="Tahoma" w:cs="Tahoma"/>
                <w:b/>
                <w:bCs/>
                <w:iCs/>
                <w:color w:val="000000"/>
                <w:sz w:val="22"/>
                <w:szCs w:val="22"/>
              </w:rPr>
              <w:t>БЕСПЛАТНО.</w:t>
            </w:r>
          </w:p>
          <w:p w14:paraId="00CEF4EE"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color w:val="000000"/>
                <w:sz w:val="22"/>
                <w:szCs w:val="22"/>
              </w:rPr>
              <w:t xml:space="preserve">За каждый последующий Накопительный счет: </w:t>
            </w:r>
            <w:r w:rsidRPr="00E138C3">
              <w:rPr>
                <w:rFonts w:ascii="Tahoma" w:hAnsi="Tahoma" w:cs="Tahoma"/>
                <w:b/>
                <w:bCs/>
                <w:iCs/>
                <w:color w:val="000000"/>
                <w:sz w:val="22"/>
                <w:szCs w:val="22"/>
              </w:rPr>
              <w:t>2 000</w:t>
            </w:r>
            <w:r w:rsidRPr="00E138C3">
              <w:rPr>
                <w:rFonts w:ascii="Tahoma" w:hAnsi="Tahoma" w:cs="Tahoma"/>
                <w:bCs/>
                <w:iCs/>
                <w:color w:val="000000"/>
                <w:sz w:val="22"/>
                <w:szCs w:val="22"/>
              </w:rPr>
              <w:t xml:space="preserve"> </w:t>
            </w:r>
            <w:r w:rsidRPr="00E138C3">
              <w:rPr>
                <w:rFonts w:ascii="Tahoma" w:hAnsi="Tahoma" w:cs="Tahoma"/>
                <w:b/>
                <w:bCs/>
                <w:iCs/>
                <w:color w:val="000000"/>
                <w:sz w:val="22"/>
                <w:szCs w:val="22"/>
              </w:rPr>
              <w:t>рублей</w:t>
            </w:r>
            <w:r w:rsidRPr="00E138C3">
              <w:rPr>
                <w:rFonts w:ascii="Tahoma" w:hAnsi="Tahoma" w:cs="Tahoma"/>
                <w:bCs/>
                <w:iCs/>
                <w:color w:val="000000"/>
                <w:sz w:val="22"/>
                <w:szCs w:val="22"/>
              </w:rPr>
              <w:t xml:space="preserve"> (единовременно при открытии) </w:t>
            </w:r>
          </w:p>
          <w:p w14:paraId="1E970DDA" w14:textId="77777777" w:rsidR="00E138C3" w:rsidRPr="00E138C3" w:rsidRDefault="00E138C3" w:rsidP="00E138C3">
            <w:pPr>
              <w:tabs>
                <w:tab w:val="left" w:pos="284"/>
              </w:tabs>
              <w:jc w:val="center"/>
              <w:rPr>
                <w:rFonts w:ascii="Tahoma" w:hAnsi="Tahoma" w:cs="Tahoma"/>
                <w:b/>
                <w:bCs/>
                <w:iCs/>
                <w:color w:val="000000"/>
                <w:sz w:val="22"/>
                <w:szCs w:val="22"/>
                <w:lang w:val="en-US"/>
              </w:rPr>
            </w:pPr>
            <w:r w:rsidRPr="00E138C3">
              <w:rPr>
                <w:rFonts w:ascii="Tahoma" w:hAnsi="Tahoma" w:cs="Tahoma"/>
                <w:bCs/>
                <w:iCs/>
                <w:color w:val="000000"/>
                <w:sz w:val="22"/>
                <w:szCs w:val="22"/>
              </w:rPr>
              <w:t xml:space="preserve">Обслуживание Накопительных счетов: </w:t>
            </w:r>
            <w:r w:rsidRPr="00E138C3">
              <w:rPr>
                <w:rFonts w:ascii="Tahoma" w:hAnsi="Tahoma" w:cs="Tahoma"/>
                <w:b/>
                <w:bCs/>
                <w:iCs/>
                <w:color w:val="000000"/>
                <w:sz w:val="22"/>
                <w:szCs w:val="22"/>
              </w:rPr>
              <w:t>БЕСПЛАТНО</w:t>
            </w:r>
          </w:p>
        </w:tc>
      </w:tr>
      <w:tr w:rsidR="00E138C3" w:rsidRPr="00E138C3" w14:paraId="2C935338" w14:textId="77777777" w:rsidTr="003D2438">
        <w:tc>
          <w:tcPr>
            <w:tcW w:w="410" w:type="pct"/>
            <w:shd w:val="clear" w:color="auto" w:fill="auto"/>
            <w:vAlign w:val="center"/>
          </w:tcPr>
          <w:p w14:paraId="769F126D"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3.1.1.3.</w:t>
            </w:r>
          </w:p>
        </w:tc>
        <w:tc>
          <w:tcPr>
            <w:tcW w:w="1694" w:type="pct"/>
            <w:shd w:val="clear" w:color="auto" w:fill="auto"/>
            <w:vAlign w:val="center"/>
          </w:tcPr>
          <w:p w14:paraId="4F92D1AD" w14:textId="77777777" w:rsidR="00E138C3" w:rsidRPr="00E138C3" w:rsidRDefault="00E138C3" w:rsidP="00E138C3">
            <w:pPr>
              <w:rPr>
                <w:rFonts w:ascii="Tahoma" w:hAnsi="Tahoma" w:cs="Tahoma"/>
                <w:bCs/>
                <w:iCs/>
                <w:sz w:val="22"/>
                <w:szCs w:val="22"/>
              </w:rPr>
            </w:pPr>
            <w:r w:rsidRPr="00E138C3">
              <w:rPr>
                <w:rFonts w:ascii="Tahoma" w:hAnsi="Tahoma" w:cs="Tahoma"/>
                <w:bCs/>
                <w:iCs/>
                <w:sz w:val="22"/>
                <w:szCs w:val="22"/>
              </w:rPr>
              <w:t>Процентная ставка на Ежедневный остаток по Накопительному счету</w:t>
            </w:r>
            <w:r w:rsidRPr="00E138C3">
              <w:rPr>
                <w:rFonts w:ascii="Tahoma" w:hAnsi="Tahoma" w:cs="Tahoma"/>
                <w:bCs/>
                <w:iCs/>
                <w:sz w:val="22"/>
                <w:szCs w:val="22"/>
                <w:vertAlign w:val="superscript"/>
              </w:rPr>
              <w:t>9</w:t>
            </w:r>
            <w:r w:rsidRPr="00E138C3">
              <w:rPr>
                <w:rFonts w:ascii="Tahoma" w:hAnsi="Tahoma" w:cs="Tahoma"/>
                <w:bCs/>
                <w:iCs/>
                <w:sz w:val="22"/>
                <w:szCs w:val="22"/>
              </w:rPr>
              <w:t xml:space="preserve"> в рублях, если размер Среднего остатка по Накопительному Счету</w:t>
            </w:r>
            <w:r w:rsidRPr="00E138C3">
              <w:rPr>
                <w:rFonts w:ascii="Tahoma" w:hAnsi="Tahoma" w:cs="Tahoma"/>
                <w:bCs/>
                <w:iCs/>
                <w:sz w:val="22"/>
                <w:szCs w:val="22"/>
                <w:vertAlign w:val="superscript"/>
              </w:rPr>
              <w:t xml:space="preserve">9 </w:t>
            </w:r>
            <w:r w:rsidRPr="00E138C3">
              <w:rPr>
                <w:rFonts w:ascii="Tahoma" w:hAnsi="Tahoma" w:cs="Tahoma"/>
                <w:b/>
                <w:bCs/>
                <w:iCs/>
                <w:sz w:val="22"/>
                <w:szCs w:val="22"/>
              </w:rPr>
              <w:t>до 30 000 000 рублей</w:t>
            </w:r>
            <w:r w:rsidRPr="00E138C3">
              <w:rPr>
                <w:rFonts w:ascii="Tahoma" w:hAnsi="Tahoma" w:cs="Tahoma"/>
                <w:bCs/>
                <w:iCs/>
                <w:sz w:val="22"/>
                <w:szCs w:val="22"/>
                <w:vertAlign w:val="superscript"/>
              </w:rPr>
              <w:t xml:space="preserve">25 </w:t>
            </w:r>
            <w:r w:rsidRPr="00E138C3">
              <w:rPr>
                <w:rFonts w:ascii="Tahoma" w:hAnsi="Tahoma" w:cs="Tahoma"/>
                <w:bCs/>
                <w:iCs/>
                <w:sz w:val="22"/>
                <w:szCs w:val="22"/>
              </w:rPr>
              <w:t>включительно, %</w:t>
            </w:r>
          </w:p>
          <w:p w14:paraId="4E82B5A2"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sz w:val="22"/>
                <w:szCs w:val="22"/>
              </w:rPr>
              <w:t>годовых</w:t>
            </w:r>
          </w:p>
        </w:tc>
        <w:tc>
          <w:tcPr>
            <w:tcW w:w="2896" w:type="pct"/>
            <w:gridSpan w:val="4"/>
            <w:shd w:val="clear" w:color="auto" w:fill="auto"/>
            <w:vAlign w:val="center"/>
          </w:tcPr>
          <w:p w14:paraId="077EF540"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
                <w:bCs/>
                <w:iCs/>
                <w:color w:val="000000"/>
                <w:sz w:val="22"/>
                <w:szCs w:val="22"/>
              </w:rPr>
              <w:t>17%</w:t>
            </w:r>
          </w:p>
        </w:tc>
      </w:tr>
      <w:tr w:rsidR="00E138C3" w:rsidRPr="00E138C3" w14:paraId="23211873" w14:textId="77777777" w:rsidTr="003D2438">
        <w:tc>
          <w:tcPr>
            <w:tcW w:w="410" w:type="pct"/>
            <w:shd w:val="clear" w:color="auto" w:fill="auto"/>
            <w:vAlign w:val="center"/>
          </w:tcPr>
          <w:p w14:paraId="2AEC6350"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3.1.1.4.</w:t>
            </w:r>
          </w:p>
        </w:tc>
        <w:tc>
          <w:tcPr>
            <w:tcW w:w="1694" w:type="pct"/>
            <w:shd w:val="clear" w:color="auto" w:fill="auto"/>
            <w:vAlign w:val="center"/>
          </w:tcPr>
          <w:p w14:paraId="49AAB0FB" w14:textId="77777777" w:rsidR="00E138C3" w:rsidRPr="00E138C3" w:rsidRDefault="00E138C3" w:rsidP="00E138C3">
            <w:pPr>
              <w:rPr>
                <w:rFonts w:ascii="Tahoma" w:hAnsi="Tahoma" w:cs="Tahoma"/>
                <w:bCs/>
                <w:iCs/>
                <w:sz w:val="22"/>
                <w:szCs w:val="22"/>
              </w:rPr>
            </w:pPr>
            <w:r w:rsidRPr="00E138C3">
              <w:rPr>
                <w:rFonts w:ascii="Tahoma" w:hAnsi="Tahoma" w:cs="Tahoma"/>
                <w:bCs/>
                <w:iCs/>
                <w:sz w:val="22"/>
                <w:szCs w:val="22"/>
              </w:rPr>
              <w:t>Если Ежедневный остаток по Накопительному счету</w:t>
            </w:r>
            <w:r w:rsidRPr="00E138C3">
              <w:rPr>
                <w:rFonts w:ascii="Tahoma" w:hAnsi="Tahoma" w:cs="Tahoma"/>
                <w:bCs/>
                <w:iCs/>
                <w:sz w:val="22"/>
                <w:szCs w:val="22"/>
                <w:vertAlign w:val="superscript"/>
              </w:rPr>
              <w:t xml:space="preserve">9 </w:t>
            </w:r>
            <w:r w:rsidRPr="00E138C3">
              <w:rPr>
                <w:rFonts w:ascii="Tahoma" w:hAnsi="Tahoma" w:cs="Tahoma"/>
                <w:bCs/>
                <w:iCs/>
                <w:sz w:val="22"/>
                <w:szCs w:val="22"/>
              </w:rPr>
              <w:t xml:space="preserve"> в рублях превышает </w:t>
            </w:r>
            <w:r w:rsidRPr="00E138C3">
              <w:rPr>
                <w:rFonts w:ascii="Tahoma" w:hAnsi="Tahoma" w:cs="Tahoma"/>
                <w:b/>
                <w:bCs/>
                <w:iCs/>
                <w:sz w:val="22"/>
                <w:szCs w:val="22"/>
              </w:rPr>
              <w:t>30 000 000 рублей</w:t>
            </w:r>
            <w:r w:rsidRPr="00E138C3">
              <w:rPr>
                <w:rFonts w:ascii="Tahoma" w:hAnsi="Tahoma" w:cs="Tahoma"/>
                <w:bCs/>
                <w:iCs/>
                <w:sz w:val="22"/>
                <w:szCs w:val="22"/>
                <w:vertAlign w:val="superscript"/>
              </w:rPr>
              <w:t>25</w:t>
            </w:r>
            <w:r w:rsidRPr="00E138C3">
              <w:rPr>
                <w:rFonts w:ascii="Tahoma" w:hAnsi="Tahoma" w:cs="Tahoma"/>
                <w:bCs/>
                <w:iCs/>
                <w:sz w:val="22"/>
                <w:szCs w:val="22"/>
              </w:rPr>
              <w:t>,</w:t>
            </w:r>
            <w:r w:rsidRPr="00E138C3">
              <w:rPr>
                <w:rFonts w:ascii="Tahoma" w:hAnsi="Tahoma" w:cs="Tahoma"/>
                <w:bCs/>
                <w:iCs/>
                <w:sz w:val="22"/>
                <w:szCs w:val="22"/>
                <w:vertAlign w:val="superscript"/>
              </w:rPr>
              <w:t xml:space="preserve"> </w:t>
            </w:r>
            <w:r w:rsidRPr="00E138C3">
              <w:rPr>
                <w:rFonts w:ascii="Tahoma" w:hAnsi="Tahoma" w:cs="Tahoma"/>
                <w:bCs/>
                <w:iCs/>
                <w:sz w:val="22"/>
                <w:szCs w:val="22"/>
              </w:rPr>
              <w:t xml:space="preserve">то </w:t>
            </w:r>
            <w:r w:rsidRPr="00E138C3">
              <w:rPr>
                <w:rFonts w:ascii="Tahoma" w:hAnsi="Tahoma" w:cs="Tahoma"/>
                <w:b/>
                <w:bCs/>
                <w:iCs/>
                <w:sz w:val="22"/>
                <w:szCs w:val="22"/>
              </w:rPr>
              <w:t>на сумму превышения</w:t>
            </w:r>
            <w:r w:rsidRPr="00E138C3">
              <w:rPr>
                <w:rFonts w:ascii="Tahoma" w:hAnsi="Tahoma" w:cs="Tahoma"/>
                <w:bCs/>
                <w:iCs/>
                <w:sz w:val="22"/>
                <w:szCs w:val="22"/>
              </w:rPr>
              <w:t xml:space="preserve"> процентная</w:t>
            </w:r>
            <w:r w:rsidRPr="00E138C3">
              <w:rPr>
                <w:rFonts w:ascii="Tahoma" w:hAnsi="Tahoma" w:cs="Tahoma"/>
                <w:bCs/>
                <w:iCs/>
                <w:sz w:val="22"/>
                <w:szCs w:val="22"/>
                <w:vertAlign w:val="superscript"/>
              </w:rPr>
              <w:t xml:space="preserve"> </w:t>
            </w:r>
            <w:r w:rsidRPr="00E138C3">
              <w:rPr>
                <w:rFonts w:ascii="Tahoma" w:hAnsi="Tahoma" w:cs="Tahoma"/>
                <w:bCs/>
                <w:iCs/>
                <w:sz w:val="22"/>
                <w:szCs w:val="22"/>
              </w:rPr>
              <w:t>ставка, в % годовых</w:t>
            </w:r>
          </w:p>
        </w:tc>
        <w:tc>
          <w:tcPr>
            <w:tcW w:w="2896" w:type="pct"/>
            <w:gridSpan w:val="4"/>
            <w:shd w:val="clear" w:color="auto" w:fill="auto"/>
            <w:vAlign w:val="center"/>
          </w:tcPr>
          <w:p w14:paraId="34545A83" w14:textId="77777777" w:rsidR="00E138C3" w:rsidRPr="00E138C3" w:rsidRDefault="00E138C3" w:rsidP="00E138C3">
            <w:pPr>
              <w:tabs>
                <w:tab w:val="left" w:pos="284"/>
              </w:tabs>
              <w:jc w:val="center"/>
              <w:rPr>
                <w:rFonts w:ascii="Tahoma" w:hAnsi="Tahoma" w:cs="Tahoma"/>
                <w:b/>
                <w:bCs/>
                <w:iCs/>
                <w:color w:val="000000"/>
                <w:sz w:val="22"/>
                <w:szCs w:val="22"/>
              </w:rPr>
            </w:pPr>
            <w:r w:rsidRPr="00E138C3">
              <w:rPr>
                <w:rFonts w:ascii="Tahoma" w:hAnsi="Tahoma" w:cs="Tahoma"/>
                <w:b/>
                <w:bCs/>
                <w:iCs/>
                <w:color w:val="000000"/>
                <w:sz w:val="22"/>
                <w:szCs w:val="22"/>
              </w:rPr>
              <w:t>10%</w:t>
            </w:r>
          </w:p>
        </w:tc>
      </w:tr>
      <w:tr w:rsidR="00E138C3" w:rsidRPr="00E138C3" w14:paraId="6F8355F9" w14:textId="77777777" w:rsidTr="003D2438">
        <w:tc>
          <w:tcPr>
            <w:tcW w:w="410" w:type="pct"/>
            <w:shd w:val="clear" w:color="auto" w:fill="auto"/>
            <w:vAlign w:val="center"/>
          </w:tcPr>
          <w:p w14:paraId="47B3CAD8" w14:textId="77777777" w:rsidR="00E138C3" w:rsidRPr="00E138C3" w:rsidRDefault="00E138C3" w:rsidP="00E138C3">
            <w:pPr>
              <w:tabs>
                <w:tab w:val="left" w:pos="284"/>
              </w:tabs>
              <w:rPr>
                <w:rFonts w:ascii="Tahoma" w:hAnsi="Tahoma" w:cs="Tahoma"/>
                <w:b/>
                <w:bCs/>
                <w:iCs/>
                <w:color w:val="000000"/>
                <w:sz w:val="22"/>
                <w:szCs w:val="22"/>
              </w:rPr>
            </w:pPr>
            <w:r w:rsidRPr="00E138C3">
              <w:rPr>
                <w:rFonts w:ascii="Tahoma" w:hAnsi="Tahoma" w:cs="Tahoma"/>
                <w:b/>
                <w:bCs/>
                <w:iCs/>
                <w:color w:val="000000"/>
                <w:sz w:val="22"/>
                <w:szCs w:val="22"/>
              </w:rPr>
              <w:t>3.1.2.</w:t>
            </w:r>
          </w:p>
        </w:tc>
        <w:tc>
          <w:tcPr>
            <w:tcW w:w="4590" w:type="pct"/>
            <w:gridSpan w:val="5"/>
            <w:shd w:val="clear" w:color="auto" w:fill="auto"/>
            <w:vAlign w:val="center"/>
          </w:tcPr>
          <w:p w14:paraId="57799CDB" w14:textId="77777777" w:rsidR="00E138C3" w:rsidRPr="00E138C3" w:rsidRDefault="00E138C3" w:rsidP="00E138C3">
            <w:pPr>
              <w:tabs>
                <w:tab w:val="left" w:pos="284"/>
              </w:tabs>
              <w:rPr>
                <w:rFonts w:ascii="Tahoma" w:hAnsi="Tahoma" w:cs="Tahoma"/>
                <w:b/>
                <w:bCs/>
                <w:iCs/>
                <w:color w:val="000000"/>
                <w:sz w:val="22"/>
                <w:szCs w:val="22"/>
              </w:rPr>
            </w:pPr>
            <w:r w:rsidRPr="00E138C3">
              <w:rPr>
                <w:rFonts w:ascii="Tahoma" w:hAnsi="Tahoma" w:cs="Tahoma"/>
                <w:b/>
                <w:bCs/>
                <w:iCs/>
                <w:color w:val="000000"/>
                <w:sz w:val="22"/>
                <w:szCs w:val="22"/>
              </w:rPr>
              <w:t>Накопительный счет в юанях</w:t>
            </w:r>
          </w:p>
        </w:tc>
      </w:tr>
      <w:tr w:rsidR="00E138C3" w:rsidRPr="00E138C3" w14:paraId="22CF20DA" w14:textId="77777777" w:rsidTr="003D2438">
        <w:tc>
          <w:tcPr>
            <w:tcW w:w="410" w:type="pct"/>
            <w:shd w:val="clear" w:color="auto" w:fill="auto"/>
            <w:vAlign w:val="center"/>
          </w:tcPr>
          <w:p w14:paraId="1C861830"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3.1.2.1.</w:t>
            </w:r>
          </w:p>
        </w:tc>
        <w:tc>
          <w:tcPr>
            <w:tcW w:w="1705" w:type="pct"/>
            <w:gridSpan w:val="2"/>
            <w:shd w:val="clear" w:color="auto" w:fill="auto"/>
            <w:vAlign w:val="center"/>
          </w:tcPr>
          <w:p w14:paraId="5F5A9E1C"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 xml:space="preserve">валюта Накопительного счета </w:t>
            </w:r>
          </w:p>
        </w:tc>
        <w:tc>
          <w:tcPr>
            <w:tcW w:w="2885" w:type="pct"/>
            <w:gridSpan w:val="3"/>
            <w:shd w:val="clear" w:color="auto" w:fill="auto"/>
            <w:vAlign w:val="center"/>
          </w:tcPr>
          <w:p w14:paraId="32708C9D"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sz w:val="22"/>
                <w:szCs w:val="22"/>
              </w:rPr>
              <w:t>Юань</w:t>
            </w:r>
            <w:r w:rsidRPr="00E138C3">
              <w:rPr>
                <w:rFonts w:ascii="Tahoma" w:hAnsi="Tahoma" w:cs="Tahoma"/>
                <w:bCs/>
                <w:iCs/>
                <w:sz w:val="22"/>
                <w:szCs w:val="22"/>
                <w:vertAlign w:val="superscript"/>
              </w:rPr>
              <w:t>10</w:t>
            </w:r>
          </w:p>
        </w:tc>
      </w:tr>
      <w:tr w:rsidR="00E138C3" w:rsidRPr="00E138C3" w14:paraId="46E1908E" w14:textId="77777777" w:rsidTr="003D2438">
        <w:tc>
          <w:tcPr>
            <w:tcW w:w="410" w:type="pct"/>
            <w:shd w:val="clear" w:color="auto" w:fill="auto"/>
            <w:vAlign w:val="center"/>
          </w:tcPr>
          <w:p w14:paraId="7F2C1F69"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3.1.2.2.</w:t>
            </w:r>
          </w:p>
        </w:tc>
        <w:tc>
          <w:tcPr>
            <w:tcW w:w="1705" w:type="pct"/>
            <w:gridSpan w:val="2"/>
            <w:shd w:val="clear" w:color="auto" w:fill="auto"/>
            <w:vAlign w:val="center"/>
          </w:tcPr>
          <w:p w14:paraId="5ABE05A4"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открытие и обслуживание Накопительного счета</w:t>
            </w:r>
          </w:p>
        </w:tc>
        <w:tc>
          <w:tcPr>
            <w:tcW w:w="2885" w:type="pct"/>
            <w:gridSpan w:val="3"/>
            <w:shd w:val="clear" w:color="auto" w:fill="auto"/>
            <w:vAlign w:val="center"/>
          </w:tcPr>
          <w:p w14:paraId="46EB4037" w14:textId="77777777" w:rsidR="00E138C3" w:rsidRPr="00E138C3" w:rsidRDefault="00E138C3" w:rsidP="00E138C3">
            <w:pPr>
              <w:tabs>
                <w:tab w:val="left" w:pos="284"/>
              </w:tabs>
              <w:jc w:val="center"/>
              <w:rPr>
                <w:rFonts w:ascii="Tahoma" w:hAnsi="Tahoma" w:cs="Tahoma"/>
                <w:b/>
                <w:bCs/>
                <w:iCs/>
                <w:color w:val="000000"/>
                <w:sz w:val="22"/>
                <w:szCs w:val="22"/>
              </w:rPr>
            </w:pPr>
            <w:r w:rsidRPr="00E138C3">
              <w:rPr>
                <w:rFonts w:ascii="Tahoma" w:hAnsi="Tahoma" w:cs="Tahoma"/>
                <w:bCs/>
                <w:iCs/>
                <w:color w:val="000000"/>
                <w:sz w:val="22"/>
                <w:szCs w:val="22"/>
              </w:rPr>
              <w:t>Открытие одного Накопительного счета в валюте юань</w:t>
            </w:r>
            <w:r w:rsidRPr="00E138C3">
              <w:rPr>
                <w:rFonts w:ascii="Tahoma" w:hAnsi="Tahoma" w:cs="Tahoma"/>
                <w:bCs/>
                <w:iCs/>
                <w:color w:val="000000"/>
                <w:sz w:val="22"/>
                <w:szCs w:val="22"/>
                <w:vertAlign w:val="superscript"/>
              </w:rPr>
              <w:t>10</w:t>
            </w:r>
            <w:r w:rsidRPr="00E138C3">
              <w:rPr>
                <w:rFonts w:ascii="Tahoma" w:hAnsi="Tahoma" w:cs="Tahoma"/>
                <w:bCs/>
                <w:iCs/>
                <w:color w:val="000000"/>
                <w:sz w:val="22"/>
                <w:szCs w:val="22"/>
              </w:rPr>
              <w:t xml:space="preserve">: </w:t>
            </w:r>
            <w:r w:rsidRPr="00E138C3">
              <w:rPr>
                <w:rFonts w:ascii="Tahoma" w:hAnsi="Tahoma" w:cs="Tahoma"/>
                <w:b/>
                <w:bCs/>
                <w:iCs/>
                <w:color w:val="000000"/>
                <w:sz w:val="22"/>
                <w:szCs w:val="22"/>
              </w:rPr>
              <w:t>БЕСПЛАТНО.</w:t>
            </w:r>
          </w:p>
          <w:p w14:paraId="4A0B5D70"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color w:val="000000"/>
                <w:sz w:val="22"/>
                <w:szCs w:val="22"/>
              </w:rPr>
              <w:t xml:space="preserve">За каждый последующий Накопительный счет: </w:t>
            </w:r>
            <w:r w:rsidRPr="00E138C3">
              <w:rPr>
                <w:rFonts w:ascii="Tahoma" w:hAnsi="Tahoma" w:cs="Tahoma"/>
                <w:b/>
                <w:bCs/>
                <w:iCs/>
                <w:color w:val="000000"/>
                <w:sz w:val="22"/>
                <w:szCs w:val="22"/>
              </w:rPr>
              <w:t>2 000</w:t>
            </w:r>
            <w:r w:rsidRPr="00E138C3">
              <w:rPr>
                <w:rFonts w:ascii="Tahoma" w:hAnsi="Tahoma" w:cs="Tahoma"/>
                <w:bCs/>
                <w:iCs/>
                <w:color w:val="000000"/>
                <w:sz w:val="22"/>
                <w:szCs w:val="22"/>
              </w:rPr>
              <w:t xml:space="preserve"> </w:t>
            </w:r>
            <w:r w:rsidRPr="00E138C3">
              <w:rPr>
                <w:rFonts w:ascii="Tahoma" w:hAnsi="Tahoma" w:cs="Tahoma"/>
                <w:b/>
                <w:bCs/>
                <w:iCs/>
                <w:color w:val="000000"/>
                <w:sz w:val="22"/>
                <w:szCs w:val="22"/>
              </w:rPr>
              <w:t>рублей</w:t>
            </w:r>
            <w:r w:rsidRPr="00E138C3">
              <w:rPr>
                <w:rFonts w:ascii="Tahoma" w:hAnsi="Tahoma" w:cs="Tahoma"/>
                <w:bCs/>
                <w:iCs/>
                <w:color w:val="000000"/>
                <w:sz w:val="22"/>
                <w:szCs w:val="22"/>
              </w:rPr>
              <w:t xml:space="preserve"> (единовременно при открытии)</w:t>
            </w:r>
          </w:p>
          <w:p w14:paraId="310C7B43"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color w:val="000000"/>
                <w:sz w:val="22"/>
                <w:szCs w:val="22"/>
              </w:rPr>
              <w:t xml:space="preserve">Обслуживание Накопительных счетов: </w:t>
            </w:r>
            <w:r w:rsidRPr="00E138C3">
              <w:rPr>
                <w:rFonts w:ascii="Tahoma" w:hAnsi="Tahoma" w:cs="Tahoma"/>
                <w:b/>
                <w:bCs/>
                <w:iCs/>
                <w:color w:val="000000"/>
                <w:sz w:val="22"/>
                <w:szCs w:val="22"/>
              </w:rPr>
              <w:t>БЕСПЛАТНО</w:t>
            </w:r>
          </w:p>
        </w:tc>
      </w:tr>
      <w:tr w:rsidR="00E138C3" w:rsidRPr="00E138C3" w14:paraId="25778757" w14:textId="77777777" w:rsidTr="003D2438">
        <w:trPr>
          <w:trHeight w:val="797"/>
        </w:trPr>
        <w:tc>
          <w:tcPr>
            <w:tcW w:w="410" w:type="pct"/>
            <w:shd w:val="clear" w:color="auto" w:fill="auto"/>
            <w:vAlign w:val="center"/>
          </w:tcPr>
          <w:p w14:paraId="567381E8"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3.1.2.3.</w:t>
            </w:r>
          </w:p>
        </w:tc>
        <w:tc>
          <w:tcPr>
            <w:tcW w:w="1705" w:type="pct"/>
            <w:gridSpan w:val="2"/>
            <w:shd w:val="clear" w:color="auto" w:fill="auto"/>
            <w:vAlign w:val="center"/>
          </w:tcPr>
          <w:p w14:paraId="284B97D2" w14:textId="77777777" w:rsidR="00E138C3" w:rsidRPr="00E138C3" w:rsidRDefault="00E138C3" w:rsidP="00E138C3">
            <w:pPr>
              <w:tabs>
                <w:tab w:val="left" w:pos="284"/>
              </w:tabs>
              <w:rPr>
                <w:rFonts w:ascii="Tahoma" w:hAnsi="Tahoma" w:cs="Tahoma"/>
                <w:bCs/>
                <w:iCs/>
                <w:sz w:val="22"/>
                <w:szCs w:val="22"/>
              </w:rPr>
            </w:pPr>
            <w:r w:rsidRPr="00E138C3">
              <w:rPr>
                <w:rFonts w:ascii="Tahoma" w:hAnsi="Tahoma" w:cs="Tahoma"/>
                <w:bCs/>
                <w:iCs/>
                <w:color w:val="000000"/>
                <w:sz w:val="22"/>
                <w:szCs w:val="22"/>
              </w:rPr>
              <w:t>процентная ставка на Ежедневный остаток</w:t>
            </w:r>
            <w:r w:rsidRPr="00E138C3">
              <w:rPr>
                <w:rFonts w:ascii="Tahoma" w:hAnsi="Tahoma" w:cs="Tahoma"/>
                <w:bCs/>
                <w:iCs/>
                <w:color w:val="000000"/>
                <w:sz w:val="22"/>
                <w:szCs w:val="22"/>
                <w:vertAlign w:val="superscript"/>
              </w:rPr>
              <w:t xml:space="preserve">9 </w:t>
            </w:r>
            <w:r w:rsidRPr="00E138C3">
              <w:rPr>
                <w:rFonts w:ascii="Tahoma" w:hAnsi="Tahoma" w:cs="Tahoma"/>
                <w:bCs/>
                <w:iCs/>
                <w:color w:val="000000"/>
                <w:sz w:val="22"/>
                <w:szCs w:val="22"/>
              </w:rPr>
              <w:t>денежных средств по Накопительному счету в юанях, % годовых</w:t>
            </w:r>
            <w:r w:rsidRPr="00E138C3" w:rsidDel="009E1C0A">
              <w:rPr>
                <w:rFonts w:ascii="Tahoma" w:hAnsi="Tahoma" w:cs="Tahoma"/>
                <w:bCs/>
                <w:iCs/>
                <w:color w:val="000000"/>
                <w:sz w:val="22"/>
                <w:szCs w:val="22"/>
              </w:rPr>
              <w:t xml:space="preserve"> </w:t>
            </w:r>
          </w:p>
        </w:tc>
        <w:tc>
          <w:tcPr>
            <w:tcW w:w="2885" w:type="pct"/>
            <w:gridSpan w:val="3"/>
            <w:shd w:val="clear" w:color="auto" w:fill="auto"/>
            <w:vAlign w:val="center"/>
          </w:tcPr>
          <w:p w14:paraId="770C1466"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
                <w:bCs/>
                <w:iCs/>
                <w:color w:val="000000"/>
                <w:sz w:val="22"/>
                <w:szCs w:val="22"/>
              </w:rPr>
              <w:t>0,5%</w:t>
            </w:r>
          </w:p>
        </w:tc>
      </w:tr>
      <w:tr w:rsidR="00E138C3" w:rsidRPr="00E138C3" w14:paraId="3E67792C" w14:textId="77777777" w:rsidTr="003D2438">
        <w:trPr>
          <w:trHeight w:val="654"/>
        </w:trPr>
        <w:tc>
          <w:tcPr>
            <w:tcW w:w="410" w:type="pct"/>
            <w:shd w:val="clear" w:color="auto" w:fill="auto"/>
            <w:vAlign w:val="center"/>
          </w:tcPr>
          <w:p w14:paraId="758FD8DD"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3.1.4</w:t>
            </w:r>
          </w:p>
        </w:tc>
        <w:tc>
          <w:tcPr>
            <w:tcW w:w="1705" w:type="pct"/>
            <w:gridSpan w:val="2"/>
            <w:shd w:val="clear" w:color="auto" w:fill="auto"/>
            <w:vAlign w:val="center"/>
          </w:tcPr>
          <w:p w14:paraId="2A7F8255"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процентная ставка на остаток</w:t>
            </w:r>
            <w:r w:rsidRPr="00E138C3">
              <w:rPr>
                <w:rFonts w:ascii="Tahoma" w:hAnsi="Tahoma" w:cs="Tahoma"/>
                <w:bCs/>
                <w:iCs/>
                <w:color w:val="000000"/>
                <w:sz w:val="22"/>
                <w:szCs w:val="22"/>
                <w:vertAlign w:val="superscript"/>
              </w:rPr>
              <w:t xml:space="preserve">11 </w:t>
            </w:r>
            <w:r w:rsidRPr="00E138C3">
              <w:rPr>
                <w:rFonts w:ascii="Tahoma" w:hAnsi="Tahoma" w:cs="Tahoma"/>
                <w:bCs/>
                <w:iCs/>
                <w:color w:val="000000"/>
                <w:sz w:val="22"/>
                <w:szCs w:val="22"/>
              </w:rPr>
              <w:t>денежных средств в валютах, отличных от валют, указанных п.3.1.1. и 3.1.2., % годовых</w:t>
            </w:r>
          </w:p>
        </w:tc>
        <w:tc>
          <w:tcPr>
            <w:tcW w:w="2885" w:type="pct"/>
            <w:gridSpan w:val="3"/>
            <w:shd w:val="clear" w:color="auto" w:fill="auto"/>
            <w:vAlign w:val="center"/>
          </w:tcPr>
          <w:p w14:paraId="78B7CE04"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color w:val="000000"/>
                <w:sz w:val="22"/>
                <w:szCs w:val="22"/>
              </w:rPr>
              <w:t>Не предусмотрено</w:t>
            </w:r>
          </w:p>
        </w:tc>
      </w:tr>
      <w:tr w:rsidR="00E138C3" w:rsidRPr="00E138C3" w14:paraId="444E476A" w14:textId="77777777" w:rsidTr="00E138C3">
        <w:tc>
          <w:tcPr>
            <w:tcW w:w="410" w:type="pct"/>
            <w:shd w:val="clear" w:color="auto" w:fill="808080"/>
            <w:vAlign w:val="center"/>
          </w:tcPr>
          <w:p w14:paraId="22A0616E"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3.2.</w:t>
            </w:r>
          </w:p>
        </w:tc>
        <w:tc>
          <w:tcPr>
            <w:tcW w:w="4590" w:type="pct"/>
            <w:gridSpan w:val="5"/>
            <w:shd w:val="clear" w:color="auto" w:fill="808080"/>
            <w:vAlign w:val="center"/>
          </w:tcPr>
          <w:p w14:paraId="7DC687A2"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Карта «Статус»</w:t>
            </w:r>
            <w:r w:rsidRPr="00E138C3" w:rsidDel="000F44DA">
              <w:rPr>
                <w:rFonts w:ascii="Tahoma" w:hAnsi="Tahoma" w:cs="Tahoma"/>
                <w:b/>
                <w:bCs/>
                <w:iCs/>
                <w:color w:val="FFFFFF"/>
                <w:sz w:val="22"/>
                <w:szCs w:val="22"/>
              </w:rPr>
              <w:t xml:space="preserve"> </w:t>
            </w:r>
            <w:r w:rsidRPr="00E138C3">
              <w:rPr>
                <w:rFonts w:ascii="Tahoma" w:hAnsi="Tahoma" w:cs="Tahoma"/>
                <w:b/>
                <w:bCs/>
                <w:iCs/>
                <w:color w:val="FFFFFF"/>
                <w:sz w:val="22"/>
                <w:szCs w:val="22"/>
              </w:rPr>
              <w:t>(по тексту – Карта)</w:t>
            </w:r>
            <w:r w:rsidRPr="00E138C3">
              <w:rPr>
                <w:rFonts w:ascii="Tahoma" w:hAnsi="Tahoma" w:cs="Tahoma"/>
                <w:bCs/>
                <w:iCs/>
                <w:color w:val="FFFFFF"/>
                <w:sz w:val="22"/>
                <w:szCs w:val="22"/>
                <w:vertAlign w:val="superscript"/>
              </w:rPr>
              <w:t>12</w:t>
            </w:r>
          </w:p>
        </w:tc>
      </w:tr>
      <w:tr w:rsidR="00E138C3" w:rsidRPr="00E138C3" w14:paraId="4F8BEE9F" w14:textId="77777777" w:rsidTr="00E138C3">
        <w:tc>
          <w:tcPr>
            <w:tcW w:w="410" w:type="pct"/>
            <w:shd w:val="clear" w:color="auto" w:fill="808080"/>
            <w:vAlign w:val="center"/>
          </w:tcPr>
          <w:p w14:paraId="0A168733"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3.2.1.</w:t>
            </w:r>
          </w:p>
        </w:tc>
        <w:tc>
          <w:tcPr>
            <w:tcW w:w="1694" w:type="pct"/>
            <w:shd w:val="clear" w:color="auto" w:fill="808080"/>
            <w:vAlign w:val="center"/>
          </w:tcPr>
          <w:p w14:paraId="1D4D7344"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тип Карты</w:t>
            </w:r>
          </w:p>
        </w:tc>
        <w:tc>
          <w:tcPr>
            <w:tcW w:w="1485" w:type="pct"/>
            <w:gridSpan w:val="3"/>
            <w:shd w:val="clear" w:color="auto" w:fill="808080"/>
            <w:vAlign w:val="center"/>
          </w:tcPr>
          <w:p w14:paraId="3F4BB2F9" w14:textId="77777777" w:rsidR="00E138C3" w:rsidRPr="00E138C3" w:rsidRDefault="00E138C3" w:rsidP="00E138C3">
            <w:pPr>
              <w:tabs>
                <w:tab w:val="left" w:pos="284"/>
              </w:tabs>
              <w:jc w:val="center"/>
              <w:rPr>
                <w:rFonts w:ascii="Tahoma" w:hAnsi="Tahoma" w:cs="Tahoma"/>
                <w:b/>
                <w:bCs/>
                <w:iCs/>
                <w:color w:val="FFFFFF"/>
                <w:sz w:val="22"/>
                <w:szCs w:val="22"/>
              </w:rPr>
            </w:pPr>
            <w:r w:rsidRPr="00E138C3">
              <w:rPr>
                <w:rFonts w:ascii="Tahoma" w:hAnsi="Tahoma" w:cs="Tahoma"/>
                <w:b/>
                <w:bCs/>
                <w:iCs/>
                <w:color w:val="FFFFFF"/>
                <w:sz w:val="22"/>
                <w:szCs w:val="22"/>
              </w:rPr>
              <w:t xml:space="preserve">UnionPay </w:t>
            </w:r>
            <w:r w:rsidRPr="00E138C3">
              <w:rPr>
                <w:rFonts w:ascii="Tahoma" w:hAnsi="Tahoma" w:cs="Tahoma"/>
                <w:b/>
                <w:bCs/>
                <w:iCs/>
                <w:color w:val="FFFFFF"/>
                <w:sz w:val="22"/>
                <w:szCs w:val="22"/>
                <w:lang w:val="en-US"/>
              </w:rPr>
              <w:t>Platinum</w:t>
            </w:r>
          </w:p>
        </w:tc>
        <w:tc>
          <w:tcPr>
            <w:tcW w:w="1411" w:type="pct"/>
            <w:shd w:val="clear" w:color="auto" w:fill="808080"/>
            <w:vAlign w:val="center"/>
          </w:tcPr>
          <w:p w14:paraId="561DC7EF" w14:textId="77777777" w:rsidR="00E138C3" w:rsidRPr="00E138C3" w:rsidRDefault="00E138C3" w:rsidP="00E138C3">
            <w:pPr>
              <w:tabs>
                <w:tab w:val="left" w:pos="284"/>
              </w:tabs>
              <w:jc w:val="center"/>
              <w:rPr>
                <w:rFonts w:ascii="Tahoma" w:hAnsi="Tahoma" w:cs="Tahoma"/>
                <w:b/>
                <w:bCs/>
                <w:iCs/>
                <w:color w:val="FFFFFF"/>
                <w:sz w:val="22"/>
                <w:szCs w:val="22"/>
              </w:rPr>
            </w:pPr>
            <w:r w:rsidRPr="00E138C3">
              <w:rPr>
                <w:rFonts w:ascii="Tahoma" w:hAnsi="Tahoma" w:cs="Tahoma"/>
                <w:b/>
                <w:bCs/>
                <w:iCs/>
                <w:color w:val="FFFFFF"/>
                <w:sz w:val="22"/>
                <w:szCs w:val="22"/>
              </w:rPr>
              <w:t>Visa Platinum</w:t>
            </w:r>
          </w:p>
        </w:tc>
      </w:tr>
      <w:tr w:rsidR="00E138C3" w:rsidRPr="00E138C3" w14:paraId="5856AA41" w14:textId="77777777" w:rsidTr="003D2438">
        <w:trPr>
          <w:trHeight w:val="283"/>
        </w:trPr>
        <w:tc>
          <w:tcPr>
            <w:tcW w:w="410" w:type="pct"/>
            <w:shd w:val="clear" w:color="auto" w:fill="auto"/>
            <w:vAlign w:val="center"/>
          </w:tcPr>
          <w:p w14:paraId="464E1896"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3.2.1.1.</w:t>
            </w:r>
          </w:p>
        </w:tc>
        <w:tc>
          <w:tcPr>
            <w:tcW w:w="1694" w:type="pct"/>
            <w:shd w:val="clear" w:color="auto" w:fill="auto"/>
            <w:vAlign w:val="center"/>
          </w:tcPr>
          <w:p w14:paraId="3D120FA1"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валюта Счета Карты</w:t>
            </w:r>
            <w:r w:rsidRPr="00E138C3">
              <w:rPr>
                <w:rFonts w:ascii="Tahoma" w:hAnsi="Tahoma" w:cs="Tahoma"/>
                <w:bCs/>
                <w:iCs/>
                <w:color w:val="000000"/>
                <w:sz w:val="22"/>
                <w:szCs w:val="22"/>
                <w:vertAlign w:val="superscript"/>
              </w:rPr>
              <w:t>8</w:t>
            </w:r>
          </w:p>
        </w:tc>
        <w:tc>
          <w:tcPr>
            <w:tcW w:w="1485" w:type="pct"/>
            <w:gridSpan w:val="3"/>
            <w:shd w:val="clear" w:color="auto" w:fill="auto"/>
            <w:vAlign w:val="center"/>
          </w:tcPr>
          <w:p w14:paraId="78EE64DB"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color w:val="000000"/>
                <w:sz w:val="22"/>
                <w:szCs w:val="22"/>
              </w:rPr>
              <w:t>Российский рубль/юань</w:t>
            </w:r>
          </w:p>
        </w:tc>
        <w:tc>
          <w:tcPr>
            <w:tcW w:w="1411" w:type="pct"/>
            <w:shd w:val="clear" w:color="auto" w:fill="auto"/>
            <w:vAlign w:val="center"/>
          </w:tcPr>
          <w:p w14:paraId="6CA02FCD"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sz w:val="22"/>
                <w:szCs w:val="22"/>
              </w:rPr>
              <w:t>Российский рубль</w:t>
            </w:r>
            <w:r w:rsidRPr="00E138C3" w:rsidDel="00EB3638">
              <w:rPr>
                <w:rFonts w:ascii="Tahoma" w:hAnsi="Tahoma" w:cs="Tahoma"/>
                <w:bCs/>
                <w:iCs/>
                <w:sz w:val="22"/>
                <w:szCs w:val="22"/>
              </w:rPr>
              <w:t xml:space="preserve"> </w:t>
            </w:r>
          </w:p>
        </w:tc>
      </w:tr>
      <w:tr w:rsidR="00E138C3" w:rsidRPr="00E138C3" w14:paraId="4730640D" w14:textId="77777777" w:rsidTr="003D2438">
        <w:trPr>
          <w:trHeight w:val="886"/>
        </w:trPr>
        <w:tc>
          <w:tcPr>
            <w:tcW w:w="410" w:type="pct"/>
            <w:shd w:val="clear" w:color="auto" w:fill="auto"/>
            <w:vAlign w:val="center"/>
          </w:tcPr>
          <w:p w14:paraId="0FCE7747"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3.2.1.2.</w:t>
            </w:r>
          </w:p>
        </w:tc>
        <w:tc>
          <w:tcPr>
            <w:tcW w:w="1694" w:type="pct"/>
            <w:shd w:val="clear" w:color="auto" w:fill="auto"/>
            <w:vAlign w:val="center"/>
          </w:tcPr>
          <w:p w14:paraId="7EC29556"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 xml:space="preserve">выпуск Основной Карты </w:t>
            </w:r>
          </w:p>
        </w:tc>
        <w:tc>
          <w:tcPr>
            <w:tcW w:w="1485" w:type="pct"/>
            <w:gridSpan w:val="3"/>
            <w:shd w:val="clear" w:color="auto" w:fill="auto"/>
            <w:vAlign w:val="center"/>
          </w:tcPr>
          <w:p w14:paraId="09E80D71"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color w:val="000000"/>
                <w:sz w:val="22"/>
                <w:szCs w:val="22"/>
              </w:rPr>
              <w:t xml:space="preserve">1 (одна) Карта в рублях: </w:t>
            </w:r>
            <w:r w:rsidRPr="00E138C3">
              <w:rPr>
                <w:rFonts w:ascii="Tahoma" w:hAnsi="Tahoma" w:cs="Tahoma"/>
                <w:b/>
                <w:bCs/>
                <w:iCs/>
                <w:color w:val="000000"/>
                <w:sz w:val="22"/>
                <w:szCs w:val="22"/>
              </w:rPr>
              <w:t>3 000 рублей</w:t>
            </w:r>
            <w:r w:rsidRPr="00E138C3">
              <w:rPr>
                <w:rFonts w:ascii="Tahoma" w:hAnsi="Tahoma" w:cs="Tahoma"/>
                <w:bCs/>
                <w:iCs/>
                <w:color w:val="000000"/>
                <w:sz w:val="22"/>
                <w:szCs w:val="22"/>
              </w:rPr>
              <w:t xml:space="preserve"> или </w:t>
            </w:r>
          </w:p>
          <w:p w14:paraId="26584BA5" w14:textId="77777777" w:rsidR="00E138C3" w:rsidRPr="00E138C3" w:rsidRDefault="00E138C3" w:rsidP="00E138C3">
            <w:pPr>
              <w:tabs>
                <w:tab w:val="left" w:pos="284"/>
              </w:tabs>
              <w:jc w:val="center"/>
              <w:rPr>
                <w:rFonts w:ascii="Tahoma" w:hAnsi="Tahoma" w:cs="Tahoma"/>
                <w:b/>
                <w:bCs/>
              </w:rPr>
            </w:pPr>
            <w:r w:rsidRPr="00E138C3">
              <w:rPr>
                <w:rFonts w:ascii="Tahoma" w:hAnsi="Tahoma" w:cs="Tahoma"/>
                <w:bCs/>
                <w:iCs/>
                <w:color w:val="000000"/>
                <w:sz w:val="22"/>
                <w:szCs w:val="22"/>
              </w:rPr>
              <w:t xml:space="preserve">1 (одна) Карта в юанях: </w:t>
            </w:r>
            <w:r w:rsidRPr="00E138C3">
              <w:rPr>
                <w:rFonts w:ascii="Tahoma" w:hAnsi="Tahoma" w:cs="Tahoma"/>
                <w:b/>
                <w:bCs/>
              </w:rPr>
              <w:t>250 юаней</w:t>
            </w:r>
            <w:r w:rsidRPr="00E138C3">
              <w:rPr>
                <w:rFonts w:ascii="Tahoma" w:hAnsi="Tahoma" w:cs="Tahoma"/>
                <w:bCs/>
                <w:iCs/>
                <w:color w:val="000000"/>
                <w:sz w:val="22"/>
                <w:szCs w:val="22"/>
              </w:rPr>
              <w:t xml:space="preserve"> </w:t>
            </w:r>
          </w:p>
        </w:tc>
        <w:tc>
          <w:tcPr>
            <w:tcW w:w="1411" w:type="pct"/>
            <w:shd w:val="clear" w:color="auto" w:fill="auto"/>
            <w:vAlign w:val="center"/>
          </w:tcPr>
          <w:p w14:paraId="245AB722"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color w:val="000000"/>
                <w:sz w:val="22"/>
                <w:szCs w:val="22"/>
              </w:rPr>
              <w:t xml:space="preserve">1 (одна) Карта в рублях: </w:t>
            </w:r>
            <w:r w:rsidRPr="00E138C3">
              <w:rPr>
                <w:rFonts w:ascii="Tahoma" w:hAnsi="Tahoma" w:cs="Tahoma"/>
                <w:b/>
                <w:bCs/>
              </w:rPr>
              <w:t>БЕСПЛАТНО</w:t>
            </w:r>
          </w:p>
        </w:tc>
      </w:tr>
      <w:tr w:rsidR="00E138C3" w:rsidRPr="00E138C3" w14:paraId="68C587AF" w14:textId="77777777" w:rsidTr="003D2438">
        <w:trPr>
          <w:trHeight w:val="300"/>
        </w:trPr>
        <w:tc>
          <w:tcPr>
            <w:tcW w:w="410" w:type="pct"/>
            <w:shd w:val="clear" w:color="auto" w:fill="auto"/>
            <w:vAlign w:val="center"/>
          </w:tcPr>
          <w:p w14:paraId="267B1241"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3.2.1.3.</w:t>
            </w:r>
          </w:p>
        </w:tc>
        <w:tc>
          <w:tcPr>
            <w:tcW w:w="1694" w:type="pct"/>
            <w:shd w:val="clear" w:color="auto" w:fill="auto"/>
            <w:vAlign w:val="center"/>
          </w:tcPr>
          <w:p w14:paraId="5A77FEAF"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стоимость обслуживания Основной Карты</w:t>
            </w:r>
          </w:p>
        </w:tc>
        <w:tc>
          <w:tcPr>
            <w:tcW w:w="2896" w:type="pct"/>
            <w:gridSpan w:val="4"/>
            <w:shd w:val="clear" w:color="auto" w:fill="auto"/>
            <w:vAlign w:val="center"/>
          </w:tcPr>
          <w:p w14:paraId="48726CD2"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
                <w:bCs/>
              </w:rPr>
              <w:t>БЕСПЛАТНО</w:t>
            </w:r>
          </w:p>
        </w:tc>
      </w:tr>
      <w:tr w:rsidR="00E138C3" w:rsidRPr="00E138C3" w14:paraId="07FAB57F" w14:textId="77777777" w:rsidTr="003D2438">
        <w:trPr>
          <w:trHeight w:val="641"/>
        </w:trPr>
        <w:tc>
          <w:tcPr>
            <w:tcW w:w="410" w:type="pct"/>
            <w:shd w:val="clear" w:color="auto" w:fill="auto"/>
            <w:vAlign w:val="center"/>
          </w:tcPr>
          <w:p w14:paraId="7CF324C7"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3.2.1.4.</w:t>
            </w:r>
          </w:p>
        </w:tc>
        <w:tc>
          <w:tcPr>
            <w:tcW w:w="1694" w:type="pct"/>
            <w:shd w:val="clear" w:color="auto" w:fill="auto"/>
            <w:vAlign w:val="center"/>
          </w:tcPr>
          <w:p w14:paraId="16D6EF31"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 xml:space="preserve">выпуск и обслуживание Дополнительной Карты </w:t>
            </w:r>
          </w:p>
        </w:tc>
        <w:tc>
          <w:tcPr>
            <w:tcW w:w="1485" w:type="pct"/>
            <w:gridSpan w:val="3"/>
            <w:vMerge w:val="restart"/>
            <w:shd w:val="clear" w:color="auto" w:fill="auto"/>
            <w:vAlign w:val="center"/>
          </w:tcPr>
          <w:p w14:paraId="4EA2D8E2"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
                <w:bCs/>
                <w:iCs/>
                <w:color w:val="000000"/>
                <w:sz w:val="22"/>
                <w:szCs w:val="22"/>
              </w:rPr>
              <w:t>Не предусмотрено</w:t>
            </w:r>
          </w:p>
        </w:tc>
        <w:tc>
          <w:tcPr>
            <w:tcW w:w="1411" w:type="pct"/>
            <w:shd w:val="clear" w:color="auto" w:fill="auto"/>
            <w:vAlign w:val="center"/>
          </w:tcPr>
          <w:p w14:paraId="586724C6"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color w:val="000000"/>
                <w:sz w:val="22"/>
                <w:szCs w:val="22"/>
              </w:rPr>
              <w:t xml:space="preserve">2 (две) Карты в рублях: </w:t>
            </w:r>
            <w:r w:rsidRPr="00E138C3">
              <w:rPr>
                <w:rFonts w:ascii="Tahoma" w:hAnsi="Tahoma" w:cs="Tahoma"/>
                <w:b/>
                <w:bCs/>
              </w:rPr>
              <w:t>БЕСПЛАТНО</w:t>
            </w:r>
          </w:p>
        </w:tc>
      </w:tr>
      <w:tr w:rsidR="00E138C3" w:rsidRPr="00E138C3" w14:paraId="5392D5A2" w14:textId="77777777" w:rsidTr="003D2438">
        <w:tc>
          <w:tcPr>
            <w:tcW w:w="410" w:type="pct"/>
            <w:vMerge w:val="restart"/>
            <w:shd w:val="clear" w:color="auto" w:fill="auto"/>
            <w:vAlign w:val="center"/>
          </w:tcPr>
          <w:p w14:paraId="38117C63" w14:textId="77777777" w:rsidR="00E138C3" w:rsidRPr="00E138C3" w:rsidRDefault="00E138C3" w:rsidP="00E138C3">
            <w:pPr>
              <w:tabs>
                <w:tab w:val="left" w:pos="284"/>
              </w:tabs>
              <w:rPr>
                <w:rFonts w:ascii="Tahoma" w:hAnsi="Tahoma" w:cs="Tahoma"/>
                <w:bCs/>
                <w:iCs/>
                <w:color w:val="000000"/>
                <w:sz w:val="22"/>
                <w:szCs w:val="22"/>
              </w:rPr>
            </w:pPr>
          </w:p>
          <w:p w14:paraId="11DDC519"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3.2.1.5.</w:t>
            </w:r>
          </w:p>
        </w:tc>
        <w:tc>
          <w:tcPr>
            <w:tcW w:w="1694" w:type="pct"/>
            <w:shd w:val="clear" w:color="auto" w:fill="auto"/>
            <w:vAlign w:val="center"/>
          </w:tcPr>
          <w:p w14:paraId="03DF0F7A"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стоимость выпуска каждой К</w:t>
            </w:r>
            <w:r w:rsidRPr="00E138C3">
              <w:rPr>
                <w:rFonts w:ascii="Tahoma" w:hAnsi="Tahoma" w:cs="Tahoma"/>
                <w:bCs/>
                <w:iCs/>
                <w:sz w:val="22"/>
                <w:szCs w:val="22"/>
              </w:rPr>
              <w:t>арты свыше количества, указанного в пп.3.2.1.2.-3.2.1.3. Программы</w:t>
            </w:r>
            <w:r w:rsidRPr="00E138C3">
              <w:rPr>
                <w:rFonts w:ascii="Tahoma" w:hAnsi="Tahoma" w:cs="Tahoma"/>
                <w:bCs/>
                <w:iCs/>
                <w:sz w:val="22"/>
                <w:szCs w:val="22"/>
                <w:vertAlign w:val="superscript"/>
              </w:rPr>
              <w:t>13</w:t>
            </w:r>
          </w:p>
        </w:tc>
        <w:tc>
          <w:tcPr>
            <w:tcW w:w="1485" w:type="pct"/>
            <w:gridSpan w:val="3"/>
            <w:vMerge/>
            <w:shd w:val="clear" w:color="auto" w:fill="auto"/>
            <w:vAlign w:val="center"/>
          </w:tcPr>
          <w:p w14:paraId="1F616210" w14:textId="77777777" w:rsidR="00E138C3" w:rsidRPr="00E138C3" w:rsidRDefault="00E138C3" w:rsidP="00E138C3">
            <w:pPr>
              <w:tabs>
                <w:tab w:val="left" w:pos="284"/>
              </w:tabs>
              <w:jc w:val="center"/>
              <w:rPr>
                <w:rFonts w:ascii="Tahoma" w:hAnsi="Tahoma" w:cs="Tahoma"/>
                <w:bCs/>
                <w:iCs/>
                <w:color w:val="000000"/>
                <w:sz w:val="22"/>
                <w:szCs w:val="22"/>
              </w:rPr>
            </w:pPr>
          </w:p>
        </w:tc>
        <w:tc>
          <w:tcPr>
            <w:tcW w:w="1411" w:type="pct"/>
            <w:shd w:val="clear" w:color="auto" w:fill="auto"/>
            <w:vAlign w:val="center"/>
          </w:tcPr>
          <w:p w14:paraId="75FBAFC3"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color w:val="000000"/>
                <w:sz w:val="22"/>
                <w:szCs w:val="22"/>
              </w:rPr>
              <w:t xml:space="preserve">Карта в рублях: </w:t>
            </w:r>
            <w:r w:rsidRPr="00E138C3">
              <w:rPr>
                <w:rFonts w:ascii="Tahoma" w:hAnsi="Tahoma" w:cs="Tahoma"/>
                <w:b/>
                <w:bCs/>
                <w:iCs/>
                <w:color w:val="000000"/>
                <w:sz w:val="22"/>
                <w:szCs w:val="22"/>
              </w:rPr>
              <w:t>3 000</w:t>
            </w:r>
            <w:r w:rsidRPr="00E138C3">
              <w:rPr>
                <w:rFonts w:ascii="Tahoma" w:hAnsi="Tahoma" w:cs="Tahoma"/>
                <w:bCs/>
                <w:iCs/>
                <w:color w:val="000000"/>
                <w:sz w:val="22"/>
                <w:szCs w:val="22"/>
              </w:rPr>
              <w:t xml:space="preserve"> </w:t>
            </w:r>
            <w:r w:rsidRPr="00E138C3">
              <w:rPr>
                <w:rFonts w:ascii="Tahoma" w:hAnsi="Tahoma" w:cs="Tahoma"/>
                <w:b/>
                <w:bCs/>
                <w:iCs/>
                <w:color w:val="000000"/>
                <w:sz w:val="22"/>
                <w:szCs w:val="22"/>
              </w:rPr>
              <w:t>рублей</w:t>
            </w:r>
          </w:p>
        </w:tc>
      </w:tr>
      <w:tr w:rsidR="00E138C3" w:rsidRPr="00E138C3" w14:paraId="3E5A1A87" w14:textId="77777777" w:rsidTr="003D2438">
        <w:tc>
          <w:tcPr>
            <w:tcW w:w="410" w:type="pct"/>
            <w:vMerge/>
            <w:shd w:val="clear" w:color="auto" w:fill="auto"/>
            <w:vAlign w:val="center"/>
          </w:tcPr>
          <w:p w14:paraId="431A8330" w14:textId="77777777" w:rsidR="00E138C3" w:rsidRPr="00E138C3" w:rsidRDefault="00E138C3" w:rsidP="00E138C3">
            <w:pPr>
              <w:tabs>
                <w:tab w:val="left" w:pos="284"/>
              </w:tabs>
              <w:rPr>
                <w:rFonts w:ascii="Tahoma" w:hAnsi="Tahoma" w:cs="Tahoma"/>
                <w:bCs/>
                <w:iCs/>
                <w:color w:val="000000"/>
                <w:sz w:val="22"/>
                <w:szCs w:val="22"/>
              </w:rPr>
            </w:pPr>
          </w:p>
        </w:tc>
        <w:tc>
          <w:tcPr>
            <w:tcW w:w="1694" w:type="pct"/>
            <w:shd w:val="clear" w:color="auto" w:fill="auto"/>
            <w:vAlign w:val="center"/>
          </w:tcPr>
          <w:p w14:paraId="6B27B262"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обслуживание К</w:t>
            </w:r>
            <w:r w:rsidRPr="00E138C3">
              <w:rPr>
                <w:rFonts w:ascii="Tahoma" w:hAnsi="Tahoma" w:cs="Tahoma"/>
                <w:bCs/>
                <w:iCs/>
                <w:sz w:val="22"/>
                <w:szCs w:val="22"/>
              </w:rPr>
              <w:t>арт свыше количества, указанного в п.3.2.1.2. и 3.2.1.3. Программы</w:t>
            </w:r>
            <w:r w:rsidRPr="00E138C3">
              <w:rPr>
                <w:rFonts w:ascii="Tahoma" w:hAnsi="Tahoma" w:cs="Tahoma"/>
                <w:bCs/>
                <w:iCs/>
                <w:sz w:val="22"/>
                <w:szCs w:val="22"/>
                <w:vertAlign w:val="superscript"/>
              </w:rPr>
              <w:t>13</w:t>
            </w:r>
          </w:p>
        </w:tc>
        <w:tc>
          <w:tcPr>
            <w:tcW w:w="1485" w:type="pct"/>
            <w:gridSpan w:val="3"/>
            <w:vMerge/>
            <w:shd w:val="clear" w:color="auto" w:fill="auto"/>
            <w:vAlign w:val="center"/>
          </w:tcPr>
          <w:p w14:paraId="6CF353A8" w14:textId="77777777" w:rsidR="00E138C3" w:rsidRPr="00E138C3" w:rsidRDefault="00E138C3" w:rsidP="00E138C3">
            <w:pPr>
              <w:tabs>
                <w:tab w:val="left" w:pos="284"/>
              </w:tabs>
              <w:jc w:val="center"/>
              <w:rPr>
                <w:rFonts w:ascii="Tahoma" w:hAnsi="Tahoma" w:cs="Tahoma"/>
                <w:bCs/>
              </w:rPr>
            </w:pPr>
          </w:p>
        </w:tc>
        <w:tc>
          <w:tcPr>
            <w:tcW w:w="1411" w:type="pct"/>
            <w:shd w:val="clear" w:color="auto" w:fill="auto"/>
            <w:vAlign w:val="center"/>
          </w:tcPr>
          <w:p w14:paraId="4DDD5030" w14:textId="77777777" w:rsidR="00E138C3" w:rsidRPr="00E138C3" w:rsidRDefault="00E138C3" w:rsidP="00E138C3">
            <w:pPr>
              <w:tabs>
                <w:tab w:val="left" w:pos="284"/>
              </w:tabs>
              <w:jc w:val="center"/>
              <w:rPr>
                <w:rFonts w:ascii="Tahoma" w:hAnsi="Tahoma" w:cs="Tahoma"/>
                <w:b/>
                <w:bCs/>
              </w:rPr>
            </w:pPr>
            <w:r w:rsidRPr="00E138C3">
              <w:rPr>
                <w:rFonts w:ascii="Tahoma" w:hAnsi="Tahoma" w:cs="Tahoma"/>
                <w:b/>
                <w:bCs/>
              </w:rPr>
              <w:t>БЕСПЛАТНО</w:t>
            </w:r>
          </w:p>
        </w:tc>
      </w:tr>
      <w:tr w:rsidR="00E138C3" w:rsidRPr="00E138C3" w14:paraId="3AF5BAF9" w14:textId="77777777" w:rsidTr="003D2438">
        <w:tc>
          <w:tcPr>
            <w:tcW w:w="410" w:type="pct"/>
            <w:shd w:val="clear" w:color="auto" w:fill="auto"/>
            <w:vAlign w:val="center"/>
          </w:tcPr>
          <w:p w14:paraId="21B885C3"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3.2.1.6.</w:t>
            </w:r>
          </w:p>
        </w:tc>
        <w:tc>
          <w:tcPr>
            <w:tcW w:w="1694" w:type="pct"/>
            <w:shd w:val="clear" w:color="auto" w:fill="auto"/>
            <w:vAlign w:val="center"/>
          </w:tcPr>
          <w:p w14:paraId="3EF03FB7"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срок действия Карты</w:t>
            </w:r>
          </w:p>
        </w:tc>
        <w:tc>
          <w:tcPr>
            <w:tcW w:w="2896" w:type="pct"/>
            <w:gridSpan w:val="4"/>
            <w:shd w:val="clear" w:color="auto" w:fill="auto"/>
            <w:vAlign w:val="center"/>
          </w:tcPr>
          <w:p w14:paraId="21C919F6"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color w:val="000000"/>
                <w:sz w:val="22"/>
                <w:szCs w:val="22"/>
              </w:rPr>
              <w:t>3 года</w:t>
            </w:r>
          </w:p>
        </w:tc>
      </w:tr>
      <w:tr w:rsidR="00E138C3" w:rsidRPr="00E138C3" w14:paraId="4CC7E7BC" w14:textId="77777777" w:rsidTr="003D2438">
        <w:tc>
          <w:tcPr>
            <w:tcW w:w="410" w:type="pct"/>
            <w:shd w:val="clear" w:color="auto" w:fill="auto"/>
            <w:vAlign w:val="center"/>
          </w:tcPr>
          <w:p w14:paraId="0012BCAD"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3.2.1.7.</w:t>
            </w:r>
          </w:p>
        </w:tc>
        <w:tc>
          <w:tcPr>
            <w:tcW w:w="1694" w:type="pct"/>
            <w:shd w:val="clear" w:color="auto" w:fill="auto"/>
            <w:vAlign w:val="center"/>
          </w:tcPr>
          <w:p w14:paraId="69DCE0A2"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перевыпуск Карты по любой причине</w:t>
            </w:r>
          </w:p>
        </w:tc>
        <w:tc>
          <w:tcPr>
            <w:tcW w:w="2896" w:type="pct"/>
            <w:gridSpan w:val="4"/>
            <w:shd w:val="clear" w:color="auto" w:fill="auto"/>
            <w:vAlign w:val="center"/>
          </w:tcPr>
          <w:p w14:paraId="59A29200"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
                <w:bCs/>
              </w:rPr>
              <w:t>БЕСПЛАТНО</w:t>
            </w:r>
          </w:p>
        </w:tc>
      </w:tr>
      <w:tr w:rsidR="00E138C3" w:rsidRPr="00E138C3" w14:paraId="233C916A" w14:textId="77777777" w:rsidTr="003D2438">
        <w:tc>
          <w:tcPr>
            <w:tcW w:w="410" w:type="pct"/>
            <w:shd w:val="clear" w:color="auto" w:fill="auto"/>
            <w:vAlign w:val="center"/>
          </w:tcPr>
          <w:p w14:paraId="2C11FA0E" w14:textId="77777777" w:rsidR="00E138C3" w:rsidRPr="00E138C3" w:rsidRDefault="00E138C3" w:rsidP="00E138C3">
            <w:pPr>
              <w:tabs>
                <w:tab w:val="left" w:pos="284"/>
              </w:tabs>
              <w:rPr>
                <w:rFonts w:ascii="Tahoma" w:hAnsi="Tahoma" w:cs="Tahoma"/>
                <w:bCs/>
                <w:iCs/>
                <w:color w:val="000000"/>
                <w:sz w:val="22"/>
                <w:szCs w:val="22"/>
                <w:lang w:val="en-US"/>
              </w:rPr>
            </w:pPr>
            <w:r w:rsidRPr="00E138C3">
              <w:rPr>
                <w:rFonts w:ascii="Tahoma" w:hAnsi="Tahoma" w:cs="Tahoma"/>
                <w:bCs/>
                <w:iCs/>
                <w:color w:val="000000"/>
                <w:sz w:val="22"/>
                <w:szCs w:val="22"/>
                <w:lang w:val="en-US"/>
              </w:rPr>
              <w:t>3.2.1.8.</w:t>
            </w:r>
          </w:p>
        </w:tc>
        <w:tc>
          <w:tcPr>
            <w:tcW w:w="1694" w:type="pct"/>
            <w:shd w:val="clear" w:color="auto" w:fill="auto"/>
            <w:vAlign w:val="center"/>
          </w:tcPr>
          <w:p w14:paraId="48B2ADFF"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начисление процентов Банком Клиенту на остаток денежных средств по Счету Карты</w:t>
            </w:r>
          </w:p>
        </w:tc>
        <w:tc>
          <w:tcPr>
            <w:tcW w:w="2896" w:type="pct"/>
            <w:gridSpan w:val="4"/>
            <w:shd w:val="clear" w:color="auto" w:fill="auto"/>
            <w:vAlign w:val="center"/>
          </w:tcPr>
          <w:p w14:paraId="09C9F159"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sz w:val="22"/>
                <w:szCs w:val="22"/>
              </w:rPr>
              <w:t>Не предусмотрено</w:t>
            </w:r>
          </w:p>
        </w:tc>
      </w:tr>
      <w:tr w:rsidR="00E138C3" w:rsidRPr="00E138C3" w14:paraId="6F54570B" w14:textId="77777777" w:rsidTr="003D2438">
        <w:tc>
          <w:tcPr>
            <w:tcW w:w="410" w:type="pct"/>
            <w:shd w:val="clear" w:color="auto" w:fill="808080"/>
            <w:vAlign w:val="center"/>
          </w:tcPr>
          <w:p w14:paraId="65A35E2E" w14:textId="77777777" w:rsidR="00E138C3" w:rsidRPr="00E138C3" w:rsidRDefault="00E138C3" w:rsidP="00E138C3">
            <w:pPr>
              <w:tabs>
                <w:tab w:val="left" w:pos="284"/>
              </w:tabs>
              <w:rPr>
                <w:rFonts w:ascii="Tahoma" w:hAnsi="Tahoma" w:cs="Tahoma"/>
                <w:bCs/>
                <w:iCs/>
                <w:color w:val="FFFFFF"/>
                <w:sz w:val="28"/>
                <w:szCs w:val="22"/>
              </w:rPr>
            </w:pPr>
            <w:r w:rsidRPr="00E138C3">
              <w:rPr>
                <w:rFonts w:ascii="Tahoma" w:hAnsi="Tahoma" w:cs="Tahoma"/>
                <w:bCs/>
                <w:iCs/>
                <w:color w:val="FFFFFF"/>
                <w:sz w:val="28"/>
                <w:szCs w:val="22"/>
              </w:rPr>
              <w:t>4.</w:t>
            </w:r>
          </w:p>
        </w:tc>
        <w:tc>
          <w:tcPr>
            <w:tcW w:w="4590" w:type="pct"/>
            <w:gridSpan w:val="5"/>
            <w:shd w:val="clear" w:color="auto" w:fill="808080"/>
            <w:vAlign w:val="center"/>
          </w:tcPr>
          <w:p w14:paraId="47610046" w14:textId="77777777" w:rsidR="00E138C3" w:rsidRPr="00E138C3" w:rsidRDefault="00E138C3" w:rsidP="00E138C3">
            <w:pPr>
              <w:tabs>
                <w:tab w:val="left" w:pos="284"/>
              </w:tabs>
              <w:rPr>
                <w:rFonts w:ascii="Tahoma" w:hAnsi="Tahoma" w:cs="Tahoma"/>
                <w:bCs/>
                <w:iCs/>
                <w:color w:val="FFFFFF"/>
                <w:sz w:val="28"/>
                <w:szCs w:val="22"/>
              </w:rPr>
            </w:pPr>
            <w:r w:rsidRPr="00E138C3">
              <w:rPr>
                <w:rFonts w:ascii="Tahoma" w:hAnsi="Tahoma" w:cs="Tahoma"/>
                <w:bCs/>
                <w:iCs/>
                <w:color w:val="FFFFFF"/>
                <w:sz w:val="28"/>
                <w:szCs w:val="22"/>
              </w:rPr>
              <w:t>Условия проведения операций, в т.ч. через Каналы ДБО Банка</w:t>
            </w:r>
            <w:r w:rsidRPr="00E138C3">
              <w:rPr>
                <w:rFonts w:ascii="Tahoma" w:hAnsi="Tahoma" w:cs="Tahoma"/>
                <w:bCs/>
                <w:iCs/>
                <w:color w:val="FFFFFF"/>
                <w:sz w:val="22"/>
                <w:szCs w:val="22"/>
              </w:rPr>
              <w:t xml:space="preserve"> (при наличии технической возможности)</w:t>
            </w:r>
          </w:p>
        </w:tc>
      </w:tr>
      <w:tr w:rsidR="00E138C3" w:rsidRPr="00E138C3" w14:paraId="06FDC737" w14:textId="77777777" w:rsidTr="00E138C3">
        <w:tc>
          <w:tcPr>
            <w:tcW w:w="410" w:type="pct"/>
            <w:shd w:val="clear" w:color="auto" w:fill="808080"/>
            <w:vAlign w:val="center"/>
          </w:tcPr>
          <w:p w14:paraId="119C2421"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4.1.</w:t>
            </w:r>
          </w:p>
        </w:tc>
        <w:tc>
          <w:tcPr>
            <w:tcW w:w="4590" w:type="pct"/>
            <w:gridSpan w:val="5"/>
            <w:shd w:val="clear" w:color="auto" w:fill="808080"/>
            <w:vAlign w:val="center"/>
          </w:tcPr>
          <w:p w14:paraId="2E22C574"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Денежные переводы с Карт и Накопительных счетов</w:t>
            </w:r>
            <w:r w:rsidRPr="00E138C3">
              <w:rPr>
                <w:rFonts w:ascii="Tahoma" w:hAnsi="Tahoma" w:cs="Tahoma"/>
                <w:bCs/>
                <w:iCs/>
                <w:color w:val="FFFFFF"/>
                <w:sz w:val="22"/>
                <w:szCs w:val="22"/>
                <w:vertAlign w:val="superscript"/>
              </w:rPr>
              <w:t xml:space="preserve">14 </w:t>
            </w:r>
            <w:r w:rsidRPr="00E138C3">
              <w:rPr>
                <w:rFonts w:ascii="Tahoma" w:hAnsi="Tahoma" w:cs="Tahoma"/>
                <w:b/>
                <w:bCs/>
                <w:iCs/>
                <w:color w:val="FFFFFF"/>
                <w:sz w:val="22"/>
                <w:szCs w:val="22"/>
              </w:rPr>
              <w:t>:</w:t>
            </w:r>
          </w:p>
        </w:tc>
      </w:tr>
      <w:tr w:rsidR="00E138C3" w:rsidRPr="00E138C3" w14:paraId="1980DD35" w14:textId="77777777" w:rsidTr="003D2438">
        <w:tc>
          <w:tcPr>
            <w:tcW w:w="410" w:type="pct"/>
            <w:shd w:val="clear" w:color="auto" w:fill="auto"/>
            <w:vAlign w:val="center"/>
          </w:tcPr>
          <w:p w14:paraId="50D034D0"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4.1.1.</w:t>
            </w:r>
          </w:p>
        </w:tc>
        <w:tc>
          <w:tcPr>
            <w:tcW w:w="1694" w:type="pct"/>
            <w:shd w:val="clear" w:color="auto" w:fill="auto"/>
            <w:vAlign w:val="center"/>
          </w:tcPr>
          <w:p w14:paraId="5E86F35E"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на Карты и Счета Клиента, открытые в Банке</w:t>
            </w:r>
          </w:p>
        </w:tc>
        <w:tc>
          <w:tcPr>
            <w:tcW w:w="2896" w:type="pct"/>
            <w:gridSpan w:val="4"/>
            <w:vMerge w:val="restart"/>
            <w:shd w:val="clear" w:color="auto" w:fill="auto"/>
            <w:vAlign w:val="center"/>
          </w:tcPr>
          <w:p w14:paraId="7A3334E3" w14:textId="77777777" w:rsidR="00E138C3" w:rsidRPr="00E138C3" w:rsidRDefault="00E138C3" w:rsidP="00E138C3">
            <w:pPr>
              <w:tabs>
                <w:tab w:val="left" w:pos="284"/>
              </w:tabs>
              <w:jc w:val="center"/>
              <w:rPr>
                <w:rFonts w:ascii="Tahoma" w:hAnsi="Tahoma" w:cs="Tahoma"/>
                <w:bCs/>
                <w:iCs/>
                <w:color w:val="000000"/>
                <w:sz w:val="22"/>
                <w:szCs w:val="22"/>
                <w14:textFill>
                  <w14:solidFill>
                    <w14:srgbClr w14:val="000000">
                      <w14:lumMod w14:val="75000"/>
                      <w14:lumOff w14:val="25000"/>
                    </w14:srgbClr>
                  </w14:solidFill>
                </w14:textFill>
              </w:rPr>
            </w:pPr>
            <w:r w:rsidRPr="00E138C3">
              <w:rPr>
                <w:rFonts w:ascii="Tahoma" w:hAnsi="Tahoma" w:cs="Tahoma"/>
                <w:b/>
                <w:bCs/>
                <w:iCs/>
                <w:color w:val="000000"/>
                <w:sz w:val="22"/>
                <w:szCs w:val="22"/>
              </w:rPr>
              <w:t>БЕСПЛАТНО</w:t>
            </w:r>
          </w:p>
        </w:tc>
      </w:tr>
      <w:tr w:rsidR="00E138C3" w:rsidRPr="00E138C3" w14:paraId="538CB7FE" w14:textId="77777777" w:rsidTr="003D2438">
        <w:tc>
          <w:tcPr>
            <w:tcW w:w="410" w:type="pct"/>
            <w:shd w:val="clear" w:color="auto" w:fill="auto"/>
            <w:vAlign w:val="center"/>
          </w:tcPr>
          <w:p w14:paraId="7FB2EDBA"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4.1.2.</w:t>
            </w:r>
          </w:p>
        </w:tc>
        <w:tc>
          <w:tcPr>
            <w:tcW w:w="1694" w:type="pct"/>
            <w:shd w:val="clear" w:color="auto" w:fill="auto"/>
            <w:vAlign w:val="center"/>
          </w:tcPr>
          <w:p w14:paraId="0E56F09C"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на Карты и Счета третьих лиц-Клиентов Банка</w:t>
            </w:r>
          </w:p>
        </w:tc>
        <w:tc>
          <w:tcPr>
            <w:tcW w:w="2896" w:type="pct"/>
            <w:gridSpan w:val="4"/>
            <w:vMerge/>
            <w:shd w:val="clear" w:color="auto" w:fill="auto"/>
            <w:vAlign w:val="center"/>
          </w:tcPr>
          <w:p w14:paraId="385943D9" w14:textId="77777777" w:rsidR="00E138C3" w:rsidRPr="00E138C3" w:rsidRDefault="00E138C3" w:rsidP="00E138C3">
            <w:pPr>
              <w:tabs>
                <w:tab w:val="left" w:pos="284"/>
              </w:tabs>
              <w:jc w:val="center"/>
              <w:rPr>
                <w:rFonts w:ascii="Tahoma" w:hAnsi="Tahoma" w:cs="Tahoma"/>
                <w:bCs/>
                <w:iCs/>
                <w:color w:val="000000"/>
                <w:sz w:val="22"/>
                <w:szCs w:val="22"/>
              </w:rPr>
            </w:pPr>
          </w:p>
        </w:tc>
      </w:tr>
      <w:tr w:rsidR="00E138C3" w:rsidRPr="00E138C3" w14:paraId="6C46E88E" w14:textId="77777777" w:rsidTr="003D2438">
        <w:tc>
          <w:tcPr>
            <w:tcW w:w="410" w:type="pct"/>
            <w:shd w:val="clear" w:color="auto" w:fill="auto"/>
            <w:vAlign w:val="center"/>
          </w:tcPr>
          <w:p w14:paraId="587B7525"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4.1.</w:t>
            </w:r>
            <w:r w:rsidRPr="00E138C3">
              <w:rPr>
                <w:rFonts w:ascii="Tahoma" w:hAnsi="Tahoma" w:cs="Tahoma"/>
                <w:bCs/>
                <w:iCs/>
                <w:color w:val="000000"/>
                <w:sz w:val="22"/>
                <w:szCs w:val="22"/>
                <w:lang w:val="en-US"/>
              </w:rPr>
              <w:t>3</w:t>
            </w:r>
            <w:r w:rsidRPr="00E138C3">
              <w:rPr>
                <w:rFonts w:ascii="Tahoma" w:hAnsi="Tahoma" w:cs="Tahoma"/>
                <w:bCs/>
                <w:iCs/>
                <w:color w:val="000000"/>
                <w:sz w:val="22"/>
                <w:szCs w:val="22"/>
              </w:rPr>
              <w:t>.</w:t>
            </w:r>
          </w:p>
        </w:tc>
        <w:tc>
          <w:tcPr>
            <w:tcW w:w="1694" w:type="pct"/>
            <w:shd w:val="clear" w:color="auto" w:fill="auto"/>
            <w:vAlign w:val="center"/>
          </w:tcPr>
          <w:p w14:paraId="1349FF89"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 xml:space="preserve">на счета, открытые в других российских банках </w:t>
            </w:r>
          </w:p>
        </w:tc>
        <w:tc>
          <w:tcPr>
            <w:tcW w:w="2896" w:type="pct"/>
            <w:gridSpan w:val="4"/>
            <w:shd w:val="clear" w:color="auto" w:fill="auto"/>
            <w:vAlign w:val="center"/>
          </w:tcPr>
          <w:p w14:paraId="18DCDE3F" w14:textId="77777777" w:rsidR="00E138C3" w:rsidRPr="00E138C3" w:rsidRDefault="00E138C3" w:rsidP="00E138C3">
            <w:pPr>
              <w:tabs>
                <w:tab w:val="left" w:pos="284"/>
              </w:tabs>
              <w:jc w:val="center"/>
              <w:rPr>
                <w:rFonts w:ascii="Tahoma" w:hAnsi="Tahoma" w:cs="Tahoma"/>
                <w:b/>
                <w:bCs/>
                <w:iCs/>
                <w:color w:val="000000"/>
                <w:sz w:val="22"/>
                <w:szCs w:val="22"/>
              </w:rPr>
            </w:pPr>
            <w:r w:rsidRPr="00E138C3">
              <w:rPr>
                <w:rFonts w:ascii="Tahoma" w:hAnsi="Tahoma" w:cs="Tahoma"/>
                <w:bCs/>
                <w:iCs/>
                <w:color w:val="000000"/>
                <w:sz w:val="22"/>
                <w:szCs w:val="22"/>
              </w:rPr>
              <w:t xml:space="preserve">В рублях: </w:t>
            </w:r>
            <w:r w:rsidRPr="00E138C3">
              <w:rPr>
                <w:rFonts w:ascii="Tahoma" w:hAnsi="Tahoma" w:cs="Tahoma"/>
                <w:b/>
                <w:bCs/>
                <w:iCs/>
                <w:color w:val="000000"/>
                <w:sz w:val="22"/>
                <w:szCs w:val="22"/>
              </w:rPr>
              <w:t>БЕСПЛАТНО</w:t>
            </w:r>
          </w:p>
        </w:tc>
      </w:tr>
      <w:tr w:rsidR="00E138C3" w:rsidRPr="00E138C3" w14:paraId="6D9EF308" w14:textId="77777777" w:rsidTr="003D2438">
        <w:tc>
          <w:tcPr>
            <w:tcW w:w="410" w:type="pct"/>
            <w:shd w:val="clear" w:color="auto" w:fill="auto"/>
            <w:vAlign w:val="center"/>
          </w:tcPr>
          <w:p w14:paraId="77548F56"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4.1.</w:t>
            </w:r>
            <w:r w:rsidRPr="00E138C3">
              <w:rPr>
                <w:rFonts w:ascii="Tahoma" w:hAnsi="Tahoma" w:cs="Tahoma"/>
                <w:bCs/>
                <w:iCs/>
                <w:color w:val="000000"/>
                <w:sz w:val="22"/>
                <w:szCs w:val="22"/>
                <w:lang w:val="en-US"/>
              </w:rPr>
              <w:t>4</w:t>
            </w:r>
            <w:r w:rsidRPr="00E138C3">
              <w:rPr>
                <w:rFonts w:ascii="Tahoma" w:hAnsi="Tahoma" w:cs="Tahoma"/>
                <w:bCs/>
                <w:iCs/>
                <w:color w:val="000000"/>
                <w:sz w:val="22"/>
                <w:szCs w:val="22"/>
              </w:rPr>
              <w:t>.</w:t>
            </w:r>
          </w:p>
        </w:tc>
        <w:tc>
          <w:tcPr>
            <w:tcW w:w="1694" w:type="pct"/>
            <w:shd w:val="clear" w:color="auto" w:fill="auto"/>
            <w:vAlign w:val="center"/>
          </w:tcPr>
          <w:p w14:paraId="020BCAE9" w14:textId="77777777" w:rsidR="00E138C3" w:rsidRPr="00E138C3" w:rsidRDefault="00E138C3" w:rsidP="00E138C3">
            <w:pPr>
              <w:tabs>
                <w:tab w:val="left" w:pos="284"/>
              </w:tabs>
              <w:rPr>
                <w:rFonts w:ascii="Tahoma" w:hAnsi="Tahoma" w:cs="Tahoma"/>
                <w:bCs/>
                <w:iCs/>
                <w:sz w:val="22"/>
                <w:szCs w:val="22"/>
              </w:rPr>
            </w:pPr>
            <w:r w:rsidRPr="00E138C3">
              <w:rPr>
                <w:rFonts w:ascii="Tahoma" w:hAnsi="Tahoma" w:cs="Tahoma"/>
                <w:bCs/>
                <w:iCs/>
                <w:sz w:val="22"/>
                <w:szCs w:val="22"/>
              </w:rPr>
              <w:t xml:space="preserve">с Карты на карты других банков с использованием номера карты </w:t>
            </w:r>
          </w:p>
          <w:p w14:paraId="1973F914" w14:textId="77777777" w:rsidR="00E138C3" w:rsidRPr="00E138C3" w:rsidRDefault="00E138C3" w:rsidP="00E138C3">
            <w:pPr>
              <w:tabs>
                <w:tab w:val="left" w:pos="284"/>
              </w:tabs>
              <w:rPr>
                <w:rFonts w:ascii="Tahoma" w:hAnsi="Tahoma" w:cs="Tahoma"/>
                <w:bCs/>
                <w:iCs/>
                <w:sz w:val="22"/>
                <w:szCs w:val="22"/>
              </w:rPr>
            </w:pPr>
            <w:r w:rsidRPr="00E138C3">
              <w:rPr>
                <w:rFonts w:ascii="Tahoma" w:hAnsi="Tahoma" w:cs="Tahoma"/>
                <w:bCs/>
                <w:iCs/>
                <w:sz w:val="22"/>
                <w:szCs w:val="22"/>
              </w:rPr>
              <w:t>(для Карт в иностранных валютах не предусмотрено)</w:t>
            </w:r>
          </w:p>
        </w:tc>
        <w:tc>
          <w:tcPr>
            <w:tcW w:w="2896" w:type="pct"/>
            <w:gridSpan w:val="4"/>
            <w:shd w:val="clear" w:color="auto" w:fill="auto"/>
            <w:vAlign w:val="center"/>
          </w:tcPr>
          <w:p w14:paraId="11274319" w14:textId="77777777" w:rsidR="00E138C3" w:rsidRPr="00E138C3" w:rsidRDefault="00E138C3" w:rsidP="00E138C3">
            <w:pPr>
              <w:numPr>
                <w:ilvl w:val="0"/>
                <w:numId w:val="21"/>
              </w:numPr>
              <w:tabs>
                <w:tab w:val="left" w:pos="4889"/>
              </w:tabs>
              <w:spacing w:after="160" w:line="259" w:lineRule="auto"/>
              <w:ind w:left="364"/>
              <w:contextualSpacing/>
              <w:jc w:val="both"/>
              <w:rPr>
                <w:rFonts w:ascii="Tahoma" w:hAnsi="Tahoma" w:cs="Tahoma"/>
                <w:b/>
                <w:bCs/>
                <w:iCs/>
              </w:rPr>
            </w:pPr>
            <w:r w:rsidRPr="00E138C3">
              <w:rPr>
                <w:rFonts w:ascii="Tahoma" w:hAnsi="Tahoma" w:cs="Tahoma"/>
                <w:b/>
                <w:bCs/>
                <w:iCs/>
              </w:rPr>
              <w:t xml:space="preserve">переводы на Сайте Банка: </w:t>
            </w:r>
            <w:hyperlink r:id="rId113" w:history="1">
              <w:r w:rsidRPr="00E138C3">
                <w:rPr>
                  <w:rFonts w:ascii="Tahoma" w:hAnsi="Tahoma" w:cs="Tahoma"/>
                  <w:b/>
                  <w:bCs/>
                  <w:iCs/>
                  <w:u w:val="single"/>
                </w:rPr>
                <w:t>www.atb.su</w:t>
              </w:r>
            </w:hyperlink>
            <w:r w:rsidRPr="00E138C3">
              <w:rPr>
                <w:rFonts w:ascii="Tahoma" w:hAnsi="Tahoma" w:cs="Tahoma"/>
                <w:b/>
                <w:bCs/>
                <w:iCs/>
              </w:rPr>
              <w:t xml:space="preserve">, в каналах ДБО Банка: «АТБ-Онлайн», Мобильный банк, </w:t>
            </w:r>
            <w:r w:rsidRPr="00E138C3">
              <w:rPr>
                <w:rFonts w:ascii="Tahoma" w:hAnsi="Tahoma" w:cs="Tahoma"/>
                <w:b/>
                <w:iCs/>
              </w:rPr>
              <w:t>в банкоматах Банка</w:t>
            </w:r>
            <w:r w:rsidRPr="00E138C3">
              <w:rPr>
                <w:rFonts w:ascii="Tahoma" w:hAnsi="Tahoma" w:cs="Tahoma"/>
                <w:b/>
                <w:bCs/>
                <w:iCs/>
              </w:rPr>
              <w:t xml:space="preserve">: </w:t>
            </w:r>
          </w:p>
          <w:p w14:paraId="2A45BD7F" w14:textId="77777777" w:rsidR="00E138C3" w:rsidRPr="00E138C3" w:rsidRDefault="00E138C3" w:rsidP="00E138C3">
            <w:pPr>
              <w:numPr>
                <w:ilvl w:val="0"/>
                <w:numId w:val="24"/>
              </w:numPr>
              <w:tabs>
                <w:tab w:val="left" w:pos="4889"/>
              </w:tabs>
              <w:spacing w:after="160" w:line="259" w:lineRule="auto"/>
              <w:contextualSpacing/>
              <w:jc w:val="both"/>
              <w:rPr>
                <w:rFonts w:ascii="Tahoma" w:hAnsi="Tahoma" w:cs="Tahoma"/>
                <w:bCs/>
                <w:iCs/>
              </w:rPr>
            </w:pPr>
            <w:r w:rsidRPr="00E138C3">
              <w:rPr>
                <w:rFonts w:ascii="Tahoma" w:hAnsi="Tahoma" w:cs="Tahoma"/>
                <w:bCs/>
                <w:iCs/>
              </w:rPr>
              <w:t xml:space="preserve">на карты российских банков-эмитентов: </w:t>
            </w:r>
            <w:r w:rsidRPr="00E138C3">
              <w:rPr>
                <w:rFonts w:ascii="Tahoma" w:hAnsi="Tahoma" w:cs="Tahoma"/>
                <w:b/>
                <w:bCs/>
                <w:iCs/>
              </w:rPr>
              <w:t>1,3%</w:t>
            </w:r>
            <w:r w:rsidRPr="00E138C3">
              <w:rPr>
                <w:rFonts w:ascii="Tahoma" w:hAnsi="Tahoma" w:cs="Tahoma"/>
                <w:bCs/>
                <w:iCs/>
              </w:rPr>
              <w:t xml:space="preserve"> от суммы перевода +30 рублей;</w:t>
            </w:r>
          </w:p>
          <w:p w14:paraId="50837971" w14:textId="77777777" w:rsidR="00E138C3" w:rsidRPr="00E138C3" w:rsidRDefault="00E138C3" w:rsidP="00E138C3">
            <w:pPr>
              <w:numPr>
                <w:ilvl w:val="0"/>
                <w:numId w:val="24"/>
              </w:numPr>
              <w:tabs>
                <w:tab w:val="left" w:pos="4889"/>
              </w:tabs>
              <w:spacing w:after="160" w:line="259" w:lineRule="auto"/>
              <w:contextualSpacing/>
              <w:jc w:val="both"/>
              <w:rPr>
                <w:rFonts w:ascii="Tahoma" w:hAnsi="Tahoma" w:cs="Tahoma"/>
                <w:bCs/>
                <w:iCs/>
              </w:rPr>
            </w:pPr>
            <w:r w:rsidRPr="00E138C3">
              <w:rPr>
                <w:rFonts w:ascii="Tahoma" w:hAnsi="Tahoma" w:cs="Tahoma"/>
                <w:bCs/>
                <w:iCs/>
              </w:rPr>
              <w:t xml:space="preserve">на карты иностранных банков-эмитентов: </w:t>
            </w:r>
            <w:r w:rsidRPr="00E138C3">
              <w:rPr>
                <w:rFonts w:ascii="Tahoma" w:hAnsi="Tahoma" w:cs="Tahoma"/>
                <w:b/>
                <w:bCs/>
                <w:iCs/>
              </w:rPr>
              <w:t>1,5%</w:t>
            </w:r>
            <w:r w:rsidRPr="00E138C3">
              <w:rPr>
                <w:rFonts w:ascii="Tahoma" w:hAnsi="Tahoma" w:cs="Tahoma"/>
                <w:bCs/>
                <w:iCs/>
              </w:rPr>
              <w:t xml:space="preserve"> от суммы перевода +150 рублей.</w:t>
            </w:r>
          </w:p>
          <w:p w14:paraId="5ED6C8C1" w14:textId="77777777" w:rsidR="00E138C3" w:rsidRPr="00E138C3" w:rsidRDefault="00E138C3" w:rsidP="00E138C3">
            <w:pPr>
              <w:numPr>
                <w:ilvl w:val="0"/>
                <w:numId w:val="21"/>
              </w:numPr>
              <w:tabs>
                <w:tab w:val="left" w:pos="4889"/>
              </w:tabs>
              <w:spacing w:after="160" w:line="259" w:lineRule="auto"/>
              <w:ind w:left="364" w:hanging="364"/>
              <w:contextualSpacing/>
              <w:jc w:val="both"/>
              <w:rPr>
                <w:rFonts w:ascii="Tahoma" w:hAnsi="Tahoma" w:cs="Tahoma"/>
                <w:b/>
                <w:bCs/>
                <w:iCs/>
              </w:rPr>
            </w:pPr>
            <w:r w:rsidRPr="00E138C3">
              <w:rPr>
                <w:rFonts w:ascii="Tahoma" w:hAnsi="Tahoma" w:cs="Tahoma"/>
                <w:b/>
                <w:bCs/>
                <w:iCs/>
              </w:rPr>
              <w:t xml:space="preserve">в сервисах других банков (банкоматы, сайты и мобильные приложения банков): </w:t>
            </w:r>
          </w:p>
          <w:p w14:paraId="70E072BF" w14:textId="77777777" w:rsidR="00E138C3" w:rsidRPr="00E138C3" w:rsidRDefault="00E138C3" w:rsidP="00E138C3">
            <w:pPr>
              <w:numPr>
                <w:ilvl w:val="0"/>
                <w:numId w:val="24"/>
              </w:numPr>
              <w:tabs>
                <w:tab w:val="left" w:pos="4889"/>
              </w:tabs>
              <w:spacing w:after="160" w:line="259" w:lineRule="auto"/>
              <w:contextualSpacing/>
              <w:jc w:val="both"/>
              <w:rPr>
                <w:rFonts w:ascii="Tahoma" w:hAnsi="Tahoma" w:cs="Tahoma"/>
                <w:bCs/>
                <w:iCs/>
              </w:rPr>
            </w:pPr>
            <w:r w:rsidRPr="00E138C3">
              <w:rPr>
                <w:rFonts w:ascii="Tahoma" w:hAnsi="Tahoma" w:cs="Tahoma"/>
                <w:b/>
                <w:bCs/>
                <w:iCs/>
              </w:rPr>
              <w:t>1,3%</w:t>
            </w:r>
            <w:r w:rsidRPr="00E138C3">
              <w:rPr>
                <w:rFonts w:ascii="Tahoma" w:hAnsi="Tahoma" w:cs="Tahoma"/>
                <w:bCs/>
                <w:iCs/>
              </w:rPr>
              <w:t xml:space="preserve"> от суммы перевода +30 рублей (другой банк может взимать дополнительную комиссию согласно своих тарифов).</w:t>
            </w:r>
          </w:p>
        </w:tc>
      </w:tr>
      <w:tr w:rsidR="00E138C3" w:rsidRPr="00E138C3" w14:paraId="3110CA2B" w14:textId="77777777" w:rsidTr="00E138C3">
        <w:tc>
          <w:tcPr>
            <w:tcW w:w="410" w:type="pct"/>
            <w:shd w:val="clear" w:color="auto" w:fill="808080"/>
            <w:vAlign w:val="center"/>
          </w:tcPr>
          <w:p w14:paraId="05DE7E9C"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4.2.</w:t>
            </w:r>
          </w:p>
        </w:tc>
        <w:tc>
          <w:tcPr>
            <w:tcW w:w="4590" w:type="pct"/>
            <w:gridSpan w:val="5"/>
            <w:shd w:val="clear" w:color="auto" w:fill="808080"/>
            <w:vAlign w:val="center"/>
          </w:tcPr>
          <w:p w14:paraId="43ABCE29"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Совершение безналичных операций в ТСП</w:t>
            </w:r>
            <w:r w:rsidRPr="00E138C3">
              <w:rPr>
                <w:rFonts w:ascii="Tahoma" w:hAnsi="Tahoma" w:cs="Tahoma"/>
                <w:b/>
                <w:bCs/>
                <w:iCs/>
                <w:color w:val="FFFFFF"/>
                <w:sz w:val="22"/>
                <w:szCs w:val="22"/>
                <w:vertAlign w:val="superscript"/>
              </w:rPr>
              <w:t>15</w:t>
            </w:r>
            <w:r w:rsidRPr="00E138C3">
              <w:rPr>
                <w:rFonts w:ascii="Tahoma" w:hAnsi="Tahoma" w:cs="Tahoma"/>
                <w:b/>
                <w:bCs/>
                <w:iCs/>
                <w:color w:val="FFFFFF"/>
                <w:sz w:val="22"/>
                <w:szCs w:val="22"/>
              </w:rPr>
              <w:t xml:space="preserve"> и сети Интернет (оплата товаров, работ, услуг, результатов интеллектуальной деятельности)</w:t>
            </w:r>
            <w:r w:rsidRPr="00E138C3" w:rsidDel="00754919">
              <w:rPr>
                <w:rFonts w:ascii="Tahoma" w:hAnsi="Tahoma" w:cs="Tahoma"/>
                <w:b/>
                <w:bCs/>
                <w:iCs/>
                <w:color w:val="FFFFFF"/>
                <w:sz w:val="22"/>
                <w:szCs w:val="22"/>
              </w:rPr>
              <w:t xml:space="preserve"> </w:t>
            </w:r>
            <w:r w:rsidRPr="00E138C3">
              <w:rPr>
                <w:rFonts w:ascii="Tahoma" w:hAnsi="Tahoma" w:cs="Tahoma"/>
                <w:b/>
                <w:bCs/>
                <w:iCs/>
                <w:color w:val="FFFFFF"/>
                <w:sz w:val="22"/>
                <w:szCs w:val="22"/>
              </w:rPr>
              <w:t>Картой:</w:t>
            </w:r>
          </w:p>
        </w:tc>
      </w:tr>
      <w:tr w:rsidR="00E138C3" w:rsidRPr="00E138C3" w14:paraId="6393013A" w14:textId="77777777" w:rsidTr="003D2438">
        <w:tc>
          <w:tcPr>
            <w:tcW w:w="410" w:type="pct"/>
            <w:shd w:val="clear" w:color="auto" w:fill="auto"/>
            <w:vAlign w:val="center"/>
          </w:tcPr>
          <w:p w14:paraId="6C28B434"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4.2.1.</w:t>
            </w:r>
          </w:p>
        </w:tc>
        <w:tc>
          <w:tcPr>
            <w:tcW w:w="1694" w:type="pct"/>
            <w:shd w:val="clear" w:color="auto" w:fill="auto"/>
            <w:vAlign w:val="center"/>
          </w:tcPr>
          <w:p w14:paraId="70960DE6" w14:textId="77777777" w:rsidR="00E138C3" w:rsidRPr="00E138C3" w:rsidRDefault="00E138C3" w:rsidP="00E138C3">
            <w:pPr>
              <w:tabs>
                <w:tab w:val="left" w:pos="284"/>
              </w:tabs>
              <w:rPr>
                <w:rFonts w:ascii="Tahoma" w:hAnsi="Tahoma" w:cs="Tahoma"/>
                <w:bCs/>
                <w:iCs/>
                <w:color w:val="000000"/>
                <w:sz w:val="22"/>
                <w:szCs w:val="22"/>
                <w:vertAlign w:val="superscript"/>
              </w:rPr>
            </w:pPr>
            <w:r w:rsidRPr="00E138C3">
              <w:rPr>
                <w:rFonts w:ascii="Tahoma" w:hAnsi="Tahoma" w:cs="Tahoma"/>
                <w:bCs/>
                <w:iCs/>
                <w:color w:val="000000"/>
                <w:sz w:val="22"/>
                <w:szCs w:val="22"/>
              </w:rPr>
              <w:t>безналичная оплата товаров, работ, услуг и результатов интеллектуальной деятельности в ТСП</w:t>
            </w:r>
          </w:p>
        </w:tc>
        <w:tc>
          <w:tcPr>
            <w:tcW w:w="2896" w:type="pct"/>
            <w:gridSpan w:val="4"/>
            <w:shd w:val="clear" w:color="auto" w:fill="auto"/>
            <w:vAlign w:val="center"/>
          </w:tcPr>
          <w:p w14:paraId="47A016AF" w14:textId="77777777" w:rsidR="00E138C3" w:rsidRPr="00E138C3" w:rsidRDefault="00E138C3" w:rsidP="00E138C3">
            <w:pPr>
              <w:tabs>
                <w:tab w:val="left" w:pos="284"/>
              </w:tabs>
              <w:jc w:val="center"/>
              <w:rPr>
                <w:rFonts w:ascii="Tahoma" w:hAnsi="Tahoma" w:cs="Tahoma"/>
                <w:b/>
                <w:bCs/>
                <w:iCs/>
                <w:color w:val="000000"/>
                <w:sz w:val="22"/>
                <w:szCs w:val="22"/>
              </w:rPr>
            </w:pPr>
            <w:r w:rsidRPr="00E138C3">
              <w:rPr>
                <w:rFonts w:ascii="Tahoma" w:hAnsi="Tahoma" w:cs="Tahoma"/>
                <w:b/>
                <w:bCs/>
                <w:iCs/>
                <w:color w:val="000000"/>
                <w:sz w:val="22"/>
                <w:szCs w:val="22"/>
              </w:rPr>
              <w:t>БЕСПЛАТНО</w:t>
            </w:r>
          </w:p>
        </w:tc>
      </w:tr>
      <w:tr w:rsidR="00E138C3" w:rsidRPr="00E138C3" w14:paraId="37107859" w14:textId="77777777" w:rsidTr="003D2438">
        <w:tc>
          <w:tcPr>
            <w:tcW w:w="410" w:type="pct"/>
            <w:shd w:val="clear" w:color="auto" w:fill="auto"/>
            <w:vAlign w:val="center"/>
          </w:tcPr>
          <w:p w14:paraId="19A2FD1E"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4.2.2.</w:t>
            </w:r>
          </w:p>
        </w:tc>
        <w:tc>
          <w:tcPr>
            <w:tcW w:w="1694" w:type="pct"/>
            <w:shd w:val="clear" w:color="auto" w:fill="auto"/>
            <w:vAlign w:val="center"/>
          </w:tcPr>
          <w:p w14:paraId="1CD522B8" w14:textId="77777777" w:rsidR="00E138C3" w:rsidRPr="00E138C3" w:rsidRDefault="00E138C3" w:rsidP="00E138C3">
            <w:pPr>
              <w:tabs>
                <w:tab w:val="left" w:pos="284"/>
              </w:tabs>
              <w:rPr>
                <w:rFonts w:ascii="Tahoma" w:hAnsi="Tahoma" w:cs="Tahoma"/>
                <w:bCs/>
                <w:iCs/>
                <w:sz w:val="22"/>
                <w:szCs w:val="22"/>
              </w:rPr>
            </w:pPr>
            <w:r w:rsidRPr="00E138C3">
              <w:rPr>
                <w:rFonts w:ascii="Tahoma" w:hAnsi="Tahoma" w:cs="Tahoma"/>
                <w:bCs/>
                <w:iCs/>
                <w:sz w:val="22"/>
                <w:szCs w:val="22"/>
              </w:rPr>
              <w:t>конверсия при совершении оплаты в ТСП</w:t>
            </w:r>
          </w:p>
        </w:tc>
        <w:tc>
          <w:tcPr>
            <w:tcW w:w="2896" w:type="pct"/>
            <w:gridSpan w:val="4"/>
            <w:shd w:val="clear" w:color="auto" w:fill="auto"/>
            <w:vAlign w:val="center"/>
          </w:tcPr>
          <w:p w14:paraId="37A1B6E0" w14:textId="77777777" w:rsidR="00E138C3" w:rsidRPr="00E138C3" w:rsidRDefault="00E138C3" w:rsidP="00E138C3">
            <w:pPr>
              <w:numPr>
                <w:ilvl w:val="0"/>
                <w:numId w:val="23"/>
              </w:numPr>
              <w:tabs>
                <w:tab w:val="left" w:pos="350"/>
              </w:tabs>
              <w:spacing w:after="160" w:line="259" w:lineRule="auto"/>
              <w:ind w:left="338"/>
              <w:contextualSpacing/>
              <w:jc w:val="both"/>
              <w:rPr>
                <w:rFonts w:ascii="Tahoma" w:hAnsi="Tahoma" w:cs="Tahoma"/>
                <w:b/>
                <w:bCs/>
                <w:iCs/>
              </w:rPr>
            </w:pPr>
            <w:r w:rsidRPr="00E138C3">
              <w:rPr>
                <w:rFonts w:ascii="Tahoma" w:hAnsi="Tahoma" w:cs="Tahoma"/>
                <w:b/>
                <w:bCs/>
                <w:iCs/>
              </w:rPr>
              <w:t>по курсу Банка на момент совершения операции</w:t>
            </w:r>
            <w:r w:rsidRPr="00E138C3">
              <w:rPr>
                <w:rFonts w:ascii="Tahoma" w:hAnsi="Tahoma" w:cs="Tahoma"/>
                <w:bCs/>
                <w:iCs/>
              </w:rPr>
              <w:t xml:space="preserve">: если валюта счета Карты Клиента отлична от валюты расчетов Банка с Платежной системой в этом регионе </w:t>
            </w:r>
            <w:r w:rsidRPr="00E138C3">
              <w:rPr>
                <w:rFonts w:ascii="Tahoma" w:hAnsi="Tahoma" w:cs="Tahoma"/>
                <w:bCs/>
                <w:i/>
                <w:iCs/>
              </w:rPr>
              <w:t>(валюта расчетов Банка с Платежной системой в этом регионе при этом идентична валюте совершения операции)</w:t>
            </w:r>
            <w:r w:rsidRPr="00E138C3">
              <w:rPr>
                <w:rFonts w:ascii="Tahoma" w:hAnsi="Tahoma" w:cs="Tahoma"/>
                <w:bCs/>
                <w:iCs/>
              </w:rPr>
              <w:t>;</w:t>
            </w:r>
          </w:p>
          <w:p w14:paraId="51F17488" w14:textId="77777777" w:rsidR="00E138C3" w:rsidRPr="00E138C3" w:rsidRDefault="00E138C3" w:rsidP="00E138C3">
            <w:pPr>
              <w:numPr>
                <w:ilvl w:val="0"/>
                <w:numId w:val="23"/>
              </w:numPr>
              <w:tabs>
                <w:tab w:val="left" w:pos="350"/>
              </w:tabs>
              <w:spacing w:after="160" w:line="259" w:lineRule="auto"/>
              <w:ind w:left="338"/>
              <w:contextualSpacing/>
              <w:jc w:val="both"/>
              <w:rPr>
                <w:rFonts w:ascii="Tahoma" w:hAnsi="Tahoma" w:cs="Tahoma"/>
                <w:b/>
                <w:bCs/>
                <w:iCs/>
              </w:rPr>
            </w:pPr>
            <w:r w:rsidRPr="00E138C3">
              <w:rPr>
                <w:rFonts w:ascii="Tahoma" w:hAnsi="Tahoma" w:cs="Tahoma"/>
                <w:b/>
                <w:bCs/>
                <w:iCs/>
              </w:rPr>
              <w:t>дополнительно применяются</w:t>
            </w:r>
            <w:r w:rsidRPr="00E138C3">
              <w:rPr>
                <w:rFonts w:ascii="Tahoma" w:hAnsi="Tahoma" w:cs="Tahoma"/>
                <w:bCs/>
                <w:iCs/>
              </w:rPr>
              <w:t xml:space="preserve"> </w:t>
            </w:r>
            <w:r w:rsidRPr="00E138C3">
              <w:rPr>
                <w:rFonts w:ascii="Tahoma" w:hAnsi="Tahoma" w:cs="Tahoma"/>
                <w:b/>
                <w:bCs/>
                <w:iCs/>
              </w:rPr>
              <w:t>курс и тарифы Платежной системы на момент проведения расчетов с Банком:</w:t>
            </w:r>
            <w:r w:rsidRPr="00E138C3">
              <w:rPr>
                <w:rFonts w:ascii="Tahoma" w:hAnsi="Tahoma" w:cs="Tahoma"/>
                <w:bCs/>
                <w:iCs/>
              </w:rPr>
              <w:t xml:space="preserve"> если валюта совершения операции – отлична от валюты расчетов Банка с Платежной системой, дополнительно к конверсии Платежная система применяет </w:t>
            </w:r>
            <w:r w:rsidRPr="00E138C3">
              <w:rPr>
                <w:rFonts w:ascii="Tahoma" w:hAnsi="Tahoma" w:cs="Tahoma"/>
                <w:b/>
                <w:bCs/>
                <w:iCs/>
              </w:rPr>
              <w:t>+2%</w:t>
            </w:r>
            <w:r w:rsidRPr="00E138C3">
              <w:rPr>
                <w:rFonts w:ascii="Tahoma" w:hAnsi="Tahoma" w:cs="Tahoma"/>
                <w:bCs/>
                <w:iCs/>
              </w:rPr>
              <w:t xml:space="preserve"> от суммы операции по курсу Банка</w:t>
            </w:r>
            <w:r w:rsidRPr="00E138C3" w:rsidDel="00770CE6">
              <w:rPr>
                <w:rFonts w:ascii="Tahoma" w:hAnsi="Tahoma" w:cs="Tahoma"/>
                <w:bCs/>
                <w:iCs/>
              </w:rPr>
              <w:t xml:space="preserve"> </w:t>
            </w:r>
            <w:r w:rsidRPr="00E138C3">
              <w:rPr>
                <w:rFonts w:ascii="Tahoma" w:hAnsi="Tahoma" w:cs="Tahoma"/>
                <w:bCs/>
                <w:iCs/>
              </w:rPr>
              <w:t xml:space="preserve">(для операций по Картам </w:t>
            </w:r>
            <w:r w:rsidRPr="00E138C3">
              <w:rPr>
                <w:rFonts w:ascii="Tahoma" w:hAnsi="Tahoma" w:cs="Tahoma"/>
                <w:bCs/>
                <w:iCs/>
                <w:lang w:val="en-US"/>
              </w:rPr>
              <w:t>Visa</w:t>
            </w:r>
            <w:r w:rsidRPr="00E138C3">
              <w:rPr>
                <w:rFonts w:ascii="Tahoma" w:hAnsi="Tahoma" w:cs="Tahoma"/>
                <w:bCs/>
                <w:iCs/>
              </w:rPr>
              <w:t xml:space="preserve"> и </w:t>
            </w:r>
            <w:r w:rsidRPr="00E138C3">
              <w:rPr>
                <w:rFonts w:ascii="Tahoma" w:hAnsi="Tahoma" w:cs="Tahoma"/>
                <w:bCs/>
                <w:iCs/>
                <w:lang w:val="en-US"/>
              </w:rPr>
              <w:t>UnionPay</w:t>
            </w:r>
            <w:r w:rsidRPr="00E138C3">
              <w:rPr>
                <w:rFonts w:ascii="Tahoma" w:hAnsi="Tahoma" w:cs="Tahoma"/>
                <w:bCs/>
                <w:iCs/>
              </w:rPr>
              <w:t xml:space="preserve">). </w:t>
            </w:r>
          </w:p>
        </w:tc>
      </w:tr>
      <w:tr w:rsidR="00E138C3" w:rsidRPr="00E138C3" w14:paraId="5719F423" w14:textId="77777777" w:rsidTr="003D2438">
        <w:tc>
          <w:tcPr>
            <w:tcW w:w="410" w:type="pct"/>
            <w:shd w:val="clear" w:color="auto" w:fill="auto"/>
            <w:vAlign w:val="center"/>
          </w:tcPr>
          <w:p w14:paraId="0DE5BA3D"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4.2.3.</w:t>
            </w:r>
          </w:p>
        </w:tc>
        <w:tc>
          <w:tcPr>
            <w:tcW w:w="1694" w:type="pct"/>
            <w:shd w:val="clear" w:color="auto" w:fill="auto"/>
            <w:vAlign w:val="center"/>
          </w:tcPr>
          <w:p w14:paraId="412669B6" w14:textId="77777777" w:rsidR="00E138C3" w:rsidRPr="00E138C3" w:rsidRDefault="00E138C3" w:rsidP="00E138C3">
            <w:pPr>
              <w:tabs>
                <w:tab w:val="left" w:pos="284"/>
              </w:tabs>
              <w:rPr>
                <w:rFonts w:ascii="Tahoma" w:hAnsi="Tahoma" w:cs="Tahoma"/>
                <w:bCs/>
                <w:iCs/>
                <w:sz w:val="22"/>
                <w:szCs w:val="22"/>
              </w:rPr>
            </w:pPr>
            <w:r w:rsidRPr="00E138C3">
              <w:rPr>
                <w:rFonts w:ascii="Tahoma" w:hAnsi="Tahoma" w:cs="Tahoma"/>
                <w:bCs/>
                <w:iCs/>
                <w:sz w:val="22"/>
                <w:szCs w:val="22"/>
              </w:rPr>
              <w:t>проведение «уникальных» транзакций: квази-кэш (оплата дорожных чеков, денежных обязательств), «игровые транзакции» (оплата лотерейных билетов, игровых фишек в казино) и пр.</w:t>
            </w:r>
            <w:r w:rsidRPr="00E138C3">
              <w:rPr>
                <w:rFonts w:ascii="Tahoma" w:hAnsi="Tahoma" w:cs="Tahoma"/>
                <w:bCs/>
                <w:iCs/>
                <w:sz w:val="22"/>
                <w:szCs w:val="22"/>
                <w:vertAlign w:val="superscript"/>
              </w:rPr>
              <w:t>16</w:t>
            </w:r>
          </w:p>
        </w:tc>
        <w:tc>
          <w:tcPr>
            <w:tcW w:w="2896" w:type="pct"/>
            <w:gridSpan w:val="4"/>
            <w:shd w:val="clear" w:color="auto" w:fill="auto"/>
            <w:vAlign w:val="center"/>
          </w:tcPr>
          <w:p w14:paraId="79B243C1" w14:textId="77777777" w:rsidR="00E138C3" w:rsidRPr="00E138C3" w:rsidRDefault="00E138C3" w:rsidP="00E138C3">
            <w:pPr>
              <w:tabs>
                <w:tab w:val="left" w:pos="284"/>
              </w:tabs>
              <w:jc w:val="center"/>
              <w:rPr>
                <w:rFonts w:ascii="Tahoma" w:hAnsi="Tahoma" w:cs="Tahoma"/>
                <w:bCs/>
                <w:iCs/>
                <w:sz w:val="22"/>
                <w:szCs w:val="22"/>
              </w:rPr>
            </w:pPr>
            <w:r w:rsidRPr="00E138C3">
              <w:rPr>
                <w:rFonts w:ascii="Tahoma" w:hAnsi="Tahoma" w:cs="Tahoma"/>
                <w:b/>
                <w:bCs/>
                <w:iCs/>
                <w:sz w:val="22"/>
                <w:szCs w:val="22"/>
              </w:rPr>
              <w:t>для Карт в рублях</w:t>
            </w:r>
            <w:r w:rsidRPr="00E138C3">
              <w:rPr>
                <w:rFonts w:ascii="Tahoma" w:hAnsi="Tahoma" w:cs="Tahoma"/>
                <w:bCs/>
                <w:iCs/>
                <w:sz w:val="22"/>
                <w:szCs w:val="22"/>
              </w:rPr>
              <w:t>: 4,9% от суммы операции +249 рублей;</w:t>
            </w:r>
          </w:p>
          <w:p w14:paraId="46DE3EBF" w14:textId="77777777" w:rsidR="00E138C3" w:rsidRPr="00E138C3" w:rsidRDefault="00E138C3" w:rsidP="00E138C3">
            <w:pPr>
              <w:tabs>
                <w:tab w:val="left" w:pos="284"/>
              </w:tabs>
              <w:jc w:val="center"/>
              <w:rPr>
                <w:rFonts w:ascii="Tahoma" w:hAnsi="Tahoma" w:cs="Tahoma"/>
                <w:bCs/>
                <w:iCs/>
                <w:sz w:val="22"/>
                <w:szCs w:val="22"/>
              </w:rPr>
            </w:pPr>
            <w:r w:rsidRPr="00E138C3">
              <w:rPr>
                <w:rFonts w:ascii="Tahoma" w:hAnsi="Tahoma" w:cs="Tahoma"/>
                <w:b/>
                <w:bCs/>
                <w:iCs/>
                <w:sz w:val="22"/>
                <w:szCs w:val="22"/>
              </w:rPr>
              <w:t>для Карт в юанях</w:t>
            </w:r>
            <w:r w:rsidRPr="00E138C3">
              <w:rPr>
                <w:rFonts w:ascii="Tahoma" w:hAnsi="Tahoma" w:cs="Tahoma"/>
                <w:bCs/>
                <w:iCs/>
                <w:sz w:val="22"/>
                <w:szCs w:val="22"/>
              </w:rPr>
              <w:t>: 4,9% от суммы операции +20 юаней.</w:t>
            </w:r>
          </w:p>
        </w:tc>
      </w:tr>
      <w:tr w:rsidR="00E138C3" w:rsidRPr="00E138C3" w14:paraId="05C429BA" w14:textId="77777777" w:rsidTr="00E138C3">
        <w:tc>
          <w:tcPr>
            <w:tcW w:w="410" w:type="pct"/>
            <w:shd w:val="clear" w:color="auto" w:fill="808080"/>
            <w:vAlign w:val="center"/>
          </w:tcPr>
          <w:p w14:paraId="19B7B8E3"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4.3.</w:t>
            </w:r>
          </w:p>
        </w:tc>
        <w:tc>
          <w:tcPr>
            <w:tcW w:w="4590" w:type="pct"/>
            <w:gridSpan w:val="5"/>
            <w:shd w:val="clear" w:color="auto" w:fill="808080"/>
            <w:vAlign w:val="center"/>
          </w:tcPr>
          <w:p w14:paraId="383C8B98"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Наличные операции по Карте в технических устройствах</w:t>
            </w:r>
          </w:p>
        </w:tc>
      </w:tr>
      <w:tr w:rsidR="00E138C3" w:rsidRPr="00E138C3" w14:paraId="06C50AA0" w14:textId="77777777" w:rsidTr="003D2438">
        <w:tc>
          <w:tcPr>
            <w:tcW w:w="410" w:type="pct"/>
            <w:shd w:val="clear" w:color="auto" w:fill="auto"/>
            <w:vAlign w:val="center"/>
          </w:tcPr>
          <w:p w14:paraId="51818070"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4.3.1.</w:t>
            </w:r>
          </w:p>
        </w:tc>
        <w:tc>
          <w:tcPr>
            <w:tcW w:w="1694" w:type="pct"/>
            <w:shd w:val="clear" w:color="auto" w:fill="auto"/>
            <w:vAlign w:val="center"/>
          </w:tcPr>
          <w:p w14:paraId="7029278B" w14:textId="77777777" w:rsidR="00E138C3" w:rsidRPr="00E138C3" w:rsidRDefault="00E138C3" w:rsidP="00E138C3">
            <w:pPr>
              <w:tabs>
                <w:tab w:val="left" w:pos="4873"/>
              </w:tabs>
              <w:rPr>
                <w:rFonts w:ascii="Tahoma" w:hAnsi="Tahoma" w:cs="Tahoma"/>
                <w:bCs/>
                <w:iCs/>
                <w:color w:val="000000"/>
                <w:sz w:val="22"/>
                <w:szCs w:val="22"/>
              </w:rPr>
            </w:pPr>
            <w:r w:rsidRPr="00E138C3">
              <w:rPr>
                <w:rFonts w:ascii="Tahoma" w:hAnsi="Tahoma" w:cs="Tahoma"/>
                <w:bCs/>
                <w:iCs/>
                <w:color w:val="000000"/>
                <w:sz w:val="22"/>
                <w:szCs w:val="22"/>
              </w:rPr>
              <w:t>взнос наличных в банкоматах, пунктах выдачи наличных Банка и ТСО, а также через розничные сети партнеров</w:t>
            </w:r>
            <w:r w:rsidRPr="00E138C3">
              <w:rPr>
                <w:rFonts w:ascii="Tahoma" w:hAnsi="Tahoma" w:cs="Tahoma"/>
                <w:bCs/>
                <w:iCs/>
                <w:sz w:val="22"/>
                <w:szCs w:val="22"/>
                <w:vertAlign w:val="superscript"/>
              </w:rPr>
              <w:t>17</w:t>
            </w:r>
          </w:p>
        </w:tc>
        <w:tc>
          <w:tcPr>
            <w:tcW w:w="2896" w:type="pct"/>
            <w:gridSpan w:val="4"/>
            <w:vMerge w:val="restart"/>
            <w:shd w:val="clear" w:color="auto" w:fill="auto"/>
            <w:vAlign w:val="center"/>
          </w:tcPr>
          <w:p w14:paraId="75DEFE0C" w14:textId="77777777" w:rsidR="00E138C3" w:rsidRPr="00E138C3" w:rsidRDefault="00E138C3" w:rsidP="00E138C3">
            <w:pPr>
              <w:tabs>
                <w:tab w:val="left" w:pos="284"/>
              </w:tabs>
              <w:jc w:val="center"/>
              <w:rPr>
                <w:rFonts w:ascii="Tahoma" w:hAnsi="Tahoma" w:cs="Tahoma"/>
                <w:b/>
                <w:bCs/>
                <w:iCs/>
                <w:color w:val="000000"/>
                <w:sz w:val="22"/>
                <w:szCs w:val="22"/>
              </w:rPr>
            </w:pPr>
            <w:r w:rsidRPr="00E138C3">
              <w:rPr>
                <w:rFonts w:ascii="Tahoma" w:hAnsi="Tahoma" w:cs="Tahoma"/>
                <w:b/>
                <w:bCs/>
                <w:iCs/>
                <w:color w:val="000000"/>
                <w:sz w:val="22"/>
                <w:szCs w:val="22"/>
              </w:rPr>
              <w:t>БЕСПЛАТНО</w:t>
            </w:r>
          </w:p>
        </w:tc>
      </w:tr>
      <w:tr w:rsidR="00E138C3" w:rsidRPr="00E138C3" w14:paraId="50638959" w14:textId="77777777" w:rsidTr="003D2438">
        <w:tc>
          <w:tcPr>
            <w:tcW w:w="410" w:type="pct"/>
            <w:shd w:val="clear" w:color="auto" w:fill="auto"/>
            <w:vAlign w:val="center"/>
          </w:tcPr>
          <w:p w14:paraId="50353DC4"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4.3.2.</w:t>
            </w:r>
          </w:p>
        </w:tc>
        <w:tc>
          <w:tcPr>
            <w:tcW w:w="1694" w:type="pct"/>
            <w:shd w:val="clear" w:color="auto" w:fill="auto"/>
            <w:vAlign w:val="center"/>
          </w:tcPr>
          <w:p w14:paraId="258F7766" w14:textId="77777777" w:rsidR="00E138C3" w:rsidRPr="00E138C3" w:rsidRDefault="00E138C3" w:rsidP="00E138C3">
            <w:pPr>
              <w:tabs>
                <w:tab w:val="left" w:pos="4873"/>
              </w:tabs>
              <w:rPr>
                <w:rFonts w:ascii="Tahoma" w:hAnsi="Tahoma" w:cs="Tahoma"/>
                <w:bCs/>
                <w:iCs/>
                <w:color w:val="000000"/>
                <w:sz w:val="22"/>
                <w:szCs w:val="22"/>
              </w:rPr>
            </w:pPr>
            <w:r w:rsidRPr="00E138C3">
              <w:rPr>
                <w:rFonts w:ascii="Tahoma" w:hAnsi="Tahoma" w:cs="Tahoma"/>
                <w:bCs/>
                <w:iCs/>
                <w:color w:val="000000"/>
                <w:sz w:val="22"/>
                <w:szCs w:val="22"/>
              </w:rPr>
              <w:t>выдача наличных в банкоматах и пунктах выдачи наличных Банка, других банков</w:t>
            </w:r>
            <w:r w:rsidRPr="00E138C3">
              <w:rPr>
                <w:rFonts w:ascii="Tahoma" w:hAnsi="Tahoma" w:cs="Tahoma"/>
                <w:bCs/>
                <w:iCs/>
                <w:sz w:val="22"/>
                <w:szCs w:val="22"/>
                <w:vertAlign w:val="superscript"/>
              </w:rPr>
              <w:t>17</w:t>
            </w:r>
          </w:p>
        </w:tc>
        <w:tc>
          <w:tcPr>
            <w:tcW w:w="2896" w:type="pct"/>
            <w:gridSpan w:val="4"/>
            <w:vMerge/>
            <w:shd w:val="clear" w:color="auto" w:fill="auto"/>
            <w:vAlign w:val="center"/>
          </w:tcPr>
          <w:p w14:paraId="0BE44CD0" w14:textId="77777777" w:rsidR="00E138C3" w:rsidRPr="00E138C3" w:rsidRDefault="00E138C3" w:rsidP="00E138C3">
            <w:pPr>
              <w:tabs>
                <w:tab w:val="left" w:pos="284"/>
              </w:tabs>
              <w:jc w:val="center"/>
              <w:rPr>
                <w:rFonts w:ascii="Tahoma" w:hAnsi="Tahoma" w:cs="Tahoma"/>
                <w:b/>
                <w:bCs/>
                <w:iCs/>
                <w:color w:val="000000"/>
                <w:sz w:val="22"/>
                <w:szCs w:val="22"/>
              </w:rPr>
            </w:pPr>
          </w:p>
        </w:tc>
      </w:tr>
      <w:tr w:rsidR="00E138C3" w:rsidRPr="00E138C3" w14:paraId="104D7758" w14:textId="77777777" w:rsidTr="003D2438">
        <w:tc>
          <w:tcPr>
            <w:tcW w:w="410" w:type="pct"/>
            <w:shd w:val="clear" w:color="auto" w:fill="auto"/>
            <w:vAlign w:val="center"/>
          </w:tcPr>
          <w:p w14:paraId="1599079B"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4.3.3.</w:t>
            </w:r>
          </w:p>
        </w:tc>
        <w:tc>
          <w:tcPr>
            <w:tcW w:w="1694" w:type="pct"/>
            <w:shd w:val="clear" w:color="auto" w:fill="auto"/>
            <w:vAlign w:val="center"/>
          </w:tcPr>
          <w:p w14:paraId="2AC58AD8" w14:textId="77777777" w:rsidR="00E138C3" w:rsidRPr="00E138C3" w:rsidRDefault="00E138C3" w:rsidP="00E138C3">
            <w:pPr>
              <w:tabs>
                <w:tab w:val="left" w:pos="4873"/>
              </w:tabs>
              <w:rPr>
                <w:rFonts w:ascii="Tahoma" w:hAnsi="Tahoma" w:cs="Tahoma"/>
                <w:bCs/>
                <w:iCs/>
                <w:color w:val="000000"/>
                <w:sz w:val="22"/>
                <w:szCs w:val="22"/>
              </w:rPr>
            </w:pPr>
            <w:r w:rsidRPr="00E138C3">
              <w:rPr>
                <w:rFonts w:ascii="Tahoma" w:hAnsi="Tahoma" w:cs="Tahoma"/>
                <w:bCs/>
                <w:iCs/>
                <w:color w:val="000000"/>
                <w:sz w:val="22"/>
                <w:szCs w:val="22"/>
              </w:rPr>
              <w:t>выдача наличных денежных средств с использованием Карты с учетом лимитов совершения операций в ТСП</w:t>
            </w:r>
            <w:r w:rsidRPr="00E138C3">
              <w:rPr>
                <w:rFonts w:ascii="Tahoma" w:hAnsi="Tahoma" w:cs="Tahoma"/>
                <w:bCs/>
                <w:iCs/>
                <w:sz w:val="22"/>
                <w:szCs w:val="22"/>
                <w:vertAlign w:val="superscript"/>
              </w:rPr>
              <w:t>18</w:t>
            </w:r>
            <w:r w:rsidRPr="00E138C3">
              <w:rPr>
                <w:rFonts w:ascii="Tahoma" w:hAnsi="Tahoma" w:cs="Tahoma"/>
                <w:bCs/>
                <w:iCs/>
                <w:color w:val="000000"/>
                <w:sz w:val="22"/>
                <w:szCs w:val="22"/>
              </w:rPr>
              <w:t>, предоставляющих услугу выдачи наличных денежных средств при совершении покупки на территории РФ</w:t>
            </w:r>
          </w:p>
        </w:tc>
        <w:tc>
          <w:tcPr>
            <w:tcW w:w="2896" w:type="pct"/>
            <w:gridSpan w:val="4"/>
            <w:vMerge/>
            <w:shd w:val="clear" w:color="auto" w:fill="auto"/>
            <w:vAlign w:val="center"/>
          </w:tcPr>
          <w:p w14:paraId="776C4985" w14:textId="77777777" w:rsidR="00E138C3" w:rsidRPr="00E138C3" w:rsidRDefault="00E138C3" w:rsidP="00E138C3">
            <w:pPr>
              <w:tabs>
                <w:tab w:val="left" w:pos="284"/>
              </w:tabs>
              <w:jc w:val="center"/>
              <w:rPr>
                <w:rFonts w:ascii="Tahoma" w:hAnsi="Tahoma" w:cs="Tahoma"/>
                <w:b/>
                <w:bCs/>
                <w:iCs/>
                <w:color w:val="000000"/>
                <w:sz w:val="22"/>
                <w:szCs w:val="22"/>
              </w:rPr>
            </w:pPr>
          </w:p>
        </w:tc>
      </w:tr>
      <w:tr w:rsidR="00E138C3" w:rsidRPr="00E138C3" w14:paraId="47472DED" w14:textId="77777777" w:rsidTr="003D2438">
        <w:tc>
          <w:tcPr>
            <w:tcW w:w="410" w:type="pct"/>
            <w:shd w:val="clear" w:color="auto" w:fill="auto"/>
            <w:vAlign w:val="center"/>
          </w:tcPr>
          <w:p w14:paraId="06E8208C"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4.3.4.</w:t>
            </w:r>
          </w:p>
        </w:tc>
        <w:tc>
          <w:tcPr>
            <w:tcW w:w="1694" w:type="pct"/>
            <w:shd w:val="clear" w:color="auto" w:fill="auto"/>
            <w:vAlign w:val="center"/>
          </w:tcPr>
          <w:p w14:paraId="12354978"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ежедневный лимит выдачи наличных в банкоматах любых банков (в том числе Банка)</w:t>
            </w:r>
            <w:r w:rsidRPr="00E138C3">
              <w:rPr>
                <w:rFonts w:ascii="Tahoma" w:hAnsi="Tahoma" w:cs="Tahoma"/>
                <w:bCs/>
                <w:iCs/>
                <w:sz w:val="22"/>
                <w:szCs w:val="22"/>
                <w:vertAlign w:val="superscript"/>
              </w:rPr>
              <w:t>19</w:t>
            </w:r>
          </w:p>
        </w:tc>
        <w:tc>
          <w:tcPr>
            <w:tcW w:w="2896" w:type="pct"/>
            <w:gridSpan w:val="4"/>
            <w:shd w:val="clear" w:color="auto" w:fill="auto"/>
            <w:vAlign w:val="center"/>
          </w:tcPr>
          <w:p w14:paraId="21503353" w14:textId="77777777" w:rsidR="00E138C3" w:rsidRPr="00E138C3" w:rsidRDefault="00E138C3" w:rsidP="00E138C3">
            <w:pPr>
              <w:tabs>
                <w:tab w:val="left" w:pos="284"/>
              </w:tabs>
              <w:jc w:val="center"/>
              <w:rPr>
                <w:rFonts w:ascii="Tahoma" w:hAnsi="Tahoma" w:cs="Tahoma"/>
                <w:bCs/>
                <w:iCs/>
                <w:sz w:val="22"/>
                <w:szCs w:val="22"/>
              </w:rPr>
            </w:pPr>
            <w:r w:rsidRPr="00E138C3">
              <w:rPr>
                <w:rFonts w:ascii="Tahoma" w:hAnsi="Tahoma" w:cs="Tahoma"/>
                <w:bCs/>
                <w:iCs/>
                <w:sz w:val="22"/>
                <w:szCs w:val="22"/>
              </w:rPr>
              <w:t>500 000 рублей/</w:t>
            </w:r>
          </w:p>
          <w:p w14:paraId="1CCDA982" w14:textId="77777777" w:rsidR="00E138C3" w:rsidRPr="00E138C3" w:rsidRDefault="00E138C3" w:rsidP="00E138C3">
            <w:pPr>
              <w:tabs>
                <w:tab w:val="left" w:pos="284"/>
              </w:tabs>
              <w:jc w:val="center"/>
              <w:rPr>
                <w:rFonts w:ascii="Tahoma" w:hAnsi="Tahoma" w:cs="Tahoma"/>
                <w:bCs/>
                <w:iCs/>
                <w:sz w:val="22"/>
                <w:szCs w:val="22"/>
              </w:rPr>
            </w:pPr>
            <w:r w:rsidRPr="00E138C3">
              <w:rPr>
                <w:rFonts w:ascii="Tahoma" w:hAnsi="Tahoma" w:cs="Tahoma"/>
                <w:bCs/>
                <w:iCs/>
                <w:sz w:val="22"/>
                <w:szCs w:val="22"/>
              </w:rPr>
              <w:t>8 000 долларов США/Евро/</w:t>
            </w:r>
          </w:p>
          <w:p w14:paraId="18EC961A" w14:textId="77777777" w:rsidR="00E138C3" w:rsidRPr="00E138C3" w:rsidRDefault="00E138C3" w:rsidP="00E138C3">
            <w:pPr>
              <w:tabs>
                <w:tab w:val="left" w:pos="284"/>
              </w:tabs>
              <w:jc w:val="center"/>
              <w:rPr>
                <w:rFonts w:ascii="Tahoma" w:hAnsi="Tahoma" w:cs="Tahoma"/>
                <w:bCs/>
                <w:iCs/>
                <w:sz w:val="22"/>
                <w:szCs w:val="22"/>
              </w:rPr>
            </w:pPr>
            <w:r w:rsidRPr="00E138C3">
              <w:rPr>
                <w:rFonts w:ascii="Tahoma" w:hAnsi="Tahoma" w:cs="Tahoma"/>
                <w:bCs/>
                <w:iCs/>
                <w:sz w:val="22"/>
                <w:szCs w:val="22"/>
              </w:rPr>
              <w:t>40 000 юаней</w:t>
            </w:r>
            <w:r w:rsidRPr="00E138C3">
              <w:rPr>
                <w:rFonts w:ascii="Tahoma" w:hAnsi="Tahoma" w:cs="Tahoma"/>
                <w:bCs/>
                <w:iCs/>
                <w:sz w:val="22"/>
                <w:szCs w:val="22"/>
                <w:vertAlign w:val="superscript"/>
              </w:rPr>
              <w:t>24</w:t>
            </w:r>
          </w:p>
        </w:tc>
      </w:tr>
      <w:tr w:rsidR="00E138C3" w:rsidRPr="00E138C3" w14:paraId="76E274B5" w14:textId="77777777" w:rsidTr="003D2438">
        <w:tc>
          <w:tcPr>
            <w:tcW w:w="410" w:type="pct"/>
            <w:shd w:val="clear" w:color="auto" w:fill="auto"/>
            <w:vAlign w:val="center"/>
          </w:tcPr>
          <w:p w14:paraId="10B9A5B5" w14:textId="77777777" w:rsidR="00E138C3" w:rsidRPr="00E138C3" w:rsidRDefault="00E138C3" w:rsidP="00E138C3">
            <w:pPr>
              <w:spacing w:after="160" w:line="259" w:lineRule="auto"/>
              <w:rPr>
                <w:rFonts w:ascii="Calibri" w:eastAsia="Calibri" w:hAnsi="Calibri"/>
                <w:sz w:val="22"/>
                <w:szCs w:val="22"/>
                <w:lang w:eastAsia="en-US"/>
              </w:rPr>
            </w:pPr>
            <w:r w:rsidRPr="00E138C3">
              <w:rPr>
                <w:rFonts w:ascii="Tahoma" w:hAnsi="Tahoma" w:cs="Tahoma"/>
                <w:bCs/>
                <w:iCs/>
                <w:color w:val="000000"/>
                <w:sz w:val="22"/>
                <w:szCs w:val="22"/>
              </w:rPr>
              <w:t>4.3.5.</w:t>
            </w:r>
          </w:p>
        </w:tc>
        <w:tc>
          <w:tcPr>
            <w:tcW w:w="1694" w:type="pct"/>
            <w:shd w:val="clear" w:color="auto" w:fill="auto"/>
            <w:vAlign w:val="center"/>
          </w:tcPr>
          <w:p w14:paraId="3D16C49B"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ежемесячный лимит выдачи наличных в банкоматах и пунктах выдачи наличных любых банков (в том числе Банка)</w:t>
            </w:r>
            <w:r w:rsidRPr="00E138C3">
              <w:rPr>
                <w:rFonts w:ascii="Tahoma" w:hAnsi="Tahoma" w:cs="Tahoma"/>
                <w:bCs/>
                <w:iCs/>
                <w:sz w:val="22"/>
                <w:szCs w:val="22"/>
                <w:vertAlign w:val="superscript"/>
              </w:rPr>
              <w:t>19</w:t>
            </w:r>
          </w:p>
        </w:tc>
        <w:tc>
          <w:tcPr>
            <w:tcW w:w="2896" w:type="pct"/>
            <w:gridSpan w:val="4"/>
            <w:shd w:val="clear" w:color="auto" w:fill="auto"/>
            <w:vAlign w:val="center"/>
          </w:tcPr>
          <w:p w14:paraId="2D813C76" w14:textId="77777777" w:rsidR="00E138C3" w:rsidRPr="00E138C3" w:rsidRDefault="00E138C3" w:rsidP="00E138C3">
            <w:pPr>
              <w:tabs>
                <w:tab w:val="left" w:pos="284"/>
              </w:tabs>
              <w:jc w:val="center"/>
              <w:rPr>
                <w:rFonts w:ascii="Tahoma" w:hAnsi="Tahoma" w:cs="Tahoma"/>
                <w:bCs/>
                <w:iCs/>
                <w:sz w:val="22"/>
                <w:szCs w:val="22"/>
              </w:rPr>
            </w:pPr>
            <w:r w:rsidRPr="00E138C3">
              <w:rPr>
                <w:rFonts w:ascii="Tahoma" w:hAnsi="Tahoma" w:cs="Tahoma"/>
                <w:bCs/>
                <w:iCs/>
                <w:sz w:val="22"/>
                <w:szCs w:val="22"/>
              </w:rPr>
              <w:t>1 500 000 рублей/</w:t>
            </w:r>
          </w:p>
          <w:p w14:paraId="51F93FA7" w14:textId="77777777" w:rsidR="00E138C3" w:rsidRPr="00E138C3" w:rsidRDefault="00E138C3" w:rsidP="00E138C3">
            <w:pPr>
              <w:tabs>
                <w:tab w:val="left" w:pos="284"/>
              </w:tabs>
              <w:jc w:val="center"/>
              <w:rPr>
                <w:rFonts w:ascii="Tahoma" w:hAnsi="Tahoma" w:cs="Tahoma"/>
                <w:bCs/>
                <w:iCs/>
                <w:sz w:val="22"/>
                <w:szCs w:val="22"/>
              </w:rPr>
            </w:pPr>
            <w:r w:rsidRPr="00E138C3">
              <w:rPr>
                <w:rFonts w:ascii="Tahoma" w:hAnsi="Tahoma" w:cs="Tahoma"/>
                <w:bCs/>
                <w:iCs/>
                <w:sz w:val="22"/>
                <w:szCs w:val="22"/>
              </w:rPr>
              <w:t>15 000 долларов США/Евро/</w:t>
            </w:r>
          </w:p>
          <w:p w14:paraId="620BB9C4" w14:textId="77777777" w:rsidR="00E138C3" w:rsidRPr="00E138C3" w:rsidRDefault="00E138C3" w:rsidP="00E138C3">
            <w:pPr>
              <w:tabs>
                <w:tab w:val="left" w:pos="284"/>
              </w:tabs>
              <w:jc w:val="center"/>
              <w:rPr>
                <w:rFonts w:ascii="Tahoma" w:hAnsi="Tahoma" w:cs="Tahoma"/>
                <w:bCs/>
                <w:iCs/>
                <w:sz w:val="22"/>
                <w:szCs w:val="22"/>
              </w:rPr>
            </w:pPr>
            <w:r w:rsidRPr="00E138C3">
              <w:rPr>
                <w:rFonts w:ascii="Tahoma" w:hAnsi="Tahoma" w:cs="Tahoma"/>
                <w:bCs/>
                <w:iCs/>
                <w:sz w:val="22"/>
                <w:szCs w:val="22"/>
              </w:rPr>
              <w:t>115 000 юаней</w:t>
            </w:r>
            <w:r w:rsidRPr="00E138C3">
              <w:rPr>
                <w:rFonts w:ascii="Tahoma" w:hAnsi="Tahoma" w:cs="Tahoma"/>
                <w:bCs/>
                <w:iCs/>
                <w:sz w:val="22"/>
                <w:szCs w:val="22"/>
                <w:vertAlign w:val="superscript"/>
              </w:rPr>
              <w:t>24</w:t>
            </w:r>
          </w:p>
        </w:tc>
      </w:tr>
      <w:tr w:rsidR="00E138C3" w:rsidRPr="00E138C3" w14:paraId="5487DC69" w14:textId="77777777" w:rsidTr="003D2438">
        <w:tc>
          <w:tcPr>
            <w:tcW w:w="410" w:type="pct"/>
            <w:shd w:val="clear" w:color="auto" w:fill="auto"/>
            <w:vAlign w:val="center"/>
          </w:tcPr>
          <w:p w14:paraId="68A44228" w14:textId="77777777" w:rsidR="00E138C3" w:rsidRPr="00E138C3" w:rsidRDefault="00E138C3" w:rsidP="00E138C3">
            <w:pPr>
              <w:spacing w:after="160" w:line="259" w:lineRule="auto"/>
              <w:rPr>
                <w:rFonts w:ascii="Tahoma" w:hAnsi="Tahoma" w:cs="Tahoma"/>
                <w:bCs/>
                <w:iCs/>
                <w:color w:val="000000"/>
                <w:sz w:val="22"/>
                <w:szCs w:val="22"/>
              </w:rPr>
            </w:pPr>
            <w:r w:rsidRPr="00E138C3">
              <w:rPr>
                <w:rFonts w:ascii="Tahoma" w:hAnsi="Tahoma" w:cs="Tahoma"/>
                <w:bCs/>
                <w:iCs/>
                <w:color w:val="000000"/>
                <w:sz w:val="22"/>
                <w:szCs w:val="22"/>
              </w:rPr>
              <w:t>4.3.6.</w:t>
            </w:r>
          </w:p>
        </w:tc>
        <w:tc>
          <w:tcPr>
            <w:tcW w:w="1694" w:type="pct"/>
            <w:shd w:val="clear" w:color="auto" w:fill="auto"/>
            <w:vAlign w:val="center"/>
          </w:tcPr>
          <w:p w14:paraId="008AE2DC"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sz w:val="22"/>
                <w:szCs w:val="22"/>
              </w:rPr>
              <w:t>ежедневный лимит снятия наличных в ТСП, предоставляющих услугу выдачи наличных денежных средств при совершении покупки (включительно от 00 ч. до 24 ч. Московского времени)</w:t>
            </w:r>
            <w:r w:rsidRPr="00E138C3">
              <w:rPr>
                <w:rFonts w:ascii="Tahoma" w:hAnsi="Tahoma" w:cs="Tahoma"/>
                <w:sz w:val="22"/>
                <w:szCs w:val="22"/>
                <w:vertAlign w:val="superscript"/>
              </w:rPr>
              <w:t xml:space="preserve">17,18 </w:t>
            </w:r>
            <w:r w:rsidRPr="00E138C3">
              <w:rPr>
                <w:rFonts w:ascii="Tahoma" w:hAnsi="Tahoma" w:cs="Tahoma"/>
                <w:sz w:val="22"/>
                <w:szCs w:val="22"/>
              </w:rPr>
              <w:t>с одного Счета Карты Клиента</w:t>
            </w:r>
          </w:p>
        </w:tc>
        <w:tc>
          <w:tcPr>
            <w:tcW w:w="2896" w:type="pct"/>
            <w:gridSpan w:val="4"/>
            <w:shd w:val="clear" w:color="auto" w:fill="auto"/>
            <w:vAlign w:val="center"/>
          </w:tcPr>
          <w:p w14:paraId="6B2DBBBB" w14:textId="77777777" w:rsidR="00E138C3" w:rsidRPr="00E138C3" w:rsidRDefault="00E138C3" w:rsidP="00E138C3">
            <w:pPr>
              <w:tabs>
                <w:tab w:val="left" w:pos="284"/>
              </w:tabs>
              <w:jc w:val="center"/>
              <w:rPr>
                <w:rFonts w:ascii="Tahoma" w:hAnsi="Tahoma" w:cs="Tahoma"/>
                <w:bCs/>
                <w:iCs/>
                <w:sz w:val="22"/>
                <w:szCs w:val="22"/>
              </w:rPr>
            </w:pPr>
            <w:r w:rsidRPr="00E138C3">
              <w:rPr>
                <w:rFonts w:ascii="Tahoma" w:hAnsi="Tahoma" w:cs="Tahoma"/>
                <w:bCs/>
                <w:iCs/>
                <w:sz w:val="22"/>
                <w:szCs w:val="22"/>
              </w:rPr>
              <w:t>5 000 рублей</w:t>
            </w:r>
          </w:p>
        </w:tc>
      </w:tr>
      <w:tr w:rsidR="00E138C3" w:rsidRPr="00E138C3" w14:paraId="48B934AC" w14:textId="77777777" w:rsidTr="003D2438">
        <w:trPr>
          <w:trHeight w:val="905"/>
        </w:trPr>
        <w:tc>
          <w:tcPr>
            <w:tcW w:w="410" w:type="pct"/>
            <w:shd w:val="clear" w:color="auto" w:fill="auto"/>
            <w:vAlign w:val="center"/>
          </w:tcPr>
          <w:p w14:paraId="7B1F87AD" w14:textId="77777777" w:rsidR="00E138C3" w:rsidRPr="00E138C3" w:rsidRDefault="00E138C3" w:rsidP="00E138C3">
            <w:pPr>
              <w:spacing w:after="160" w:line="259" w:lineRule="auto"/>
              <w:rPr>
                <w:rFonts w:ascii="Tahoma" w:hAnsi="Tahoma" w:cs="Tahoma"/>
                <w:bCs/>
                <w:iCs/>
                <w:color w:val="000000"/>
                <w:sz w:val="22"/>
                <w:szCs w:val="22"/>
              </w:rPr>
            </w:pPr>
            <w:r w:rsidRPr="00E138C3">
              <w:rPr>
                <w:rFonts w:ascii="Tahoma" w:hAnsi="Tahoma" w:cs="Tahoma"/>
                <w:bCs/>
                <w:iCs/>
                <w:color w:val="000000"/>
                <w:sz w:val="22"/>
                <w:szCs w:val="22"/>
              </w:rPr>
              <w:t>4.3.7.</w:t>
            </w:r>
          </w:p>
        </w:tc>
        <w:tc>
          <w:tcPr>
            <w:tcW w:w="1694" w:type="pct"/>
            <w:shd w:val="clear" w:color="auto" w:fill="auto"/>
            <w:vAlign w:val="center"/>
          </w:tcPr>
          <w:p w14:paraId="03A4E865"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sz w:val="22"/>
                <w:szCs w:val="22"/>
              </w:rPr>
              <w:t>ежемесячный лимит снятия наличных в ТСП, предоставляющих услугу выдачи наличных денежных средств при совершении покупки (включительно от 00 ч. до 24 ч. Московского времени)</w:t>
            </w:r>
            <w:r w:rsidRPr="00E138C3">
              <w:rPr>
                <w:rFonts w:ascii="Tahoma" w:hAnsi="Tahoma" w:cs="Tahoma"/>
                <w:sz w:val="22"/>
                <w:szCs w:val="22"/>
                <w:vertAlign w:val="superscript"/>
              </w:rPr>
              <w:t xml:space="preserve"> 17,18</w:t>
            </w:r>
            <w:r w:rsidRPr="00E138C3">
              <w:rPr>
                <w:rFonts w:ascii="Tahoma" w:hAnsi="Tahoma" w:cs="Tahoma"/>
                <w:sz w:val="22"/>
                <w:szCs w:val="22"/>
              </w:rPr>
              <w:t xml:space="preserve"> с одного Счета Карты Клиента</w:t>
            </w:r>
          </w:p>
        </w:tc>
        <w:tc>
          <w:tcPr>
            <w:tcW w:w="2896" w:type="pct"/>
            <w:gridSpan w:val="4"/>
            <w:shd w:val="clear" w:color="auto" w:fill="auto"/>
            <w:vAlign w:val="center"/>
          </w:tcPr>
          <w:p w14:paraId="68741792" w14:textId="77777777" w:rsidR="00E138C3" w:rsidRPr="00E138C3" w:rsidRDefault="00E138C3" w:rsidP="00E138C3">
            <w:pPr>
              <w:tabs>
                <w:tab w:val="left" w:pos="284"/>
              </w:tabs>
              <w:jc w:val="center"/>
              <w:rPr>
                <w:rFonts w:ascii="Tahoma" w:hAnsi="Tahoma" w:cs="Tahoma"/>
                <w:bCs/>
                <w:iCs/>
                <w:sz w:val="22"/>
                <w:szCs w:val="22"/>
              </w:rPr>
            </w:pPr>
            <w:r w:rsidRPr="00E138C3">
              <w:rPr>
                <w:rFonts w:ascii="Tahoma" w:hAnsi="Tahoma" w:cs="Tahoma"/>
                <w:bCs/>
                <w:iCs/>
                <w:sz w:val="22"/>
                <w:szCs w:val="22"/>
              </w:rPr>
              <w:t>30 000 рублей</w:t>
            </w:r>
          </w:p>
        </w:tc>
      </w:tr>
      <w:tr w:rsidR="00E138C3" w:rsidRPr="00E138C3" w14:paraId="3ADA3455" w14:textId="77777777" w:rsidTr="00E138C3">
        <w:tc>
          <w:tcPr>
            <w:tcW w:w="410" w:type="pct"/>
            <w:shd w:val="clear" w:color="auto" w:fill="808080"/>
            <w:vAlign w:val="center"/>
          </w:tcPr>
          <w:p w14:paraId="04269543"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4.4.</w:t>
            </w:r>
          </w:p>
        </w:tc>
        <w:tc>
          <w:tcPr>
            <w:tcW w:w="4590" w:type="pct"/>
            <w:gridSpan w:val="5"/>
            <w:shd w:val="clear" w:color="auto" w:fill="808080"/>
            <w:vAlign w:val="center"/>
          </w:tcPr>
          <w:p w14:paraId="5738D898"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 xml:space="preserve">Наличные операции в кассе Банка </w:t>
            </w:r>
            <w:r w:rsidRPr="00E138C3">
              <w:rPr>
                <w:rFonts w:ascii="Tahoma" w:hAnsi="Tahoma" w:cs="Tahoma"/>
                <w:bCs/>
                <w:iCs/>
                <w:color w:val="FFFFFF"/>
                <w:sz w:val="22"/>
                <w:szCs w:val="22"/>
              </w:rPr>
              <w:t>(по Счетам Карт и Накопительным счетам):</w:t>
            </w:r>
          </w:p>
        </w:tc>
      </w:tr>
      <w:tr w:rsidR="00E138C3" w:rsidRPr="00E138C3" w14:paraId="6A8A0742" w14:textId="77777777" w:rsidTr="003D2438">
        <w:tc>
          <w:tcPr>
            <w:tcW w:w="410" w:type="pct"/>
            <w:shd w:val="clear" w:color="auto" w:fill="auto"/>
            <w:vAlign w:val="center"/>
          </w:tcPr>
          <w:p w14:paraId="6016770B"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4.4.1.</w:t>
            </w:r>
          </w:p>
        </w:tc>
        <w:tc>
          <w:tcPr>
            <w:tcW w:w="1694" w:type="pct"/>
            <w:shd w:val="clear" w:color="auto" w:fill="auto"/>
            <w:vAlign w:val="center"/>
          </w:tcPr>
          <w:p w14:paraId="58E1DCDA"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взнос наличных денежных средств с использованием Карты</w:t>
            </w:r>
          </w:p>
        </w:tc>
        <w:tc>
          <w:tcPr>
            <w:tcW w:w="2896" w:type="pct"/>
            <w:gridSpan w:val="4"/>
            <w:shd w:val="clear" w:color="auto" w:fill="auto"/>
            <w:vAlign w:val="center"/>
          </w:tcPr>
          <w:p w14:paraId="6BE27AB3" w14:textId="77777777" w:rsidR="00E138C3" w:rsidRPr="00E138C3" w:rsidRDefault="00E138C3" w:rsidP="00E138C3">
            <w:pPr>
              <w:tabs>
                <w:tab w:val="left" w:pos="284"/>
              </w:tabs>
              <w:jc w:val="center"/>
              <w:rPr>
                <w:rFonts w:ascii="Tahoma" w:hAnsi="Tahoma" w:cs="Tahoma"/>
                <w:b/>
                <w:bCs/>
                <w:iCs/>
                <w:color w:val="000000"/>
                <w:sz w:val="22"/>
                <w:szCs w:val="22"/>
              </w:rPr>
            </w:pPr>
            <w:r w:rsidRPr="00E138C3">
              <w:rPr>
                <w:rFonts w:ascii="Tahoma" w:hAnsi="Tahoma" w:cs="Tahoma"/>
                <w:b/>
                <w:bCs/>
                <w:iCs/>
                <w:color w:val="000000"/>
                <w:sz w:val="22"/>
                <w:szCs w:val="22"/>
              </w:rPr>
              <w:t>БЕСПЛАТНО</w:t>
            </w:r>
          </w:p>
        </w:tc>
      </w:tr>
      <w:tr w:rsidR="00E138C3" w:rsidRPr="00E138C3" w14:paraId="24F33D79" w14:textId="77777777" w:rsidTr="003D2438">
        <w:trPr>
          <w:trHeight w:val="520"/>
        </w:trPr>
        <w:tc>
          <w:tcPr>
            <w:tcW w:w="410" w:type="pct"/>
            <w:shd w:val="clear" w:color="auto" w:fill="auto"/>
            <w:vAlign w:val="center"/>
          </w:tcPr>
          <w:p w14:paraId="4C454DE9"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4.4.2.1.</w:t>
            </w:r>
          </w:p>
        </w:tc>
        <w:tc>
          <w:tcPr>
            <w:tcW w:w="1694" w:type="pct"/>
            <w:shd w:val="clear" w:color="auto" w:fill="auto"/>
            <w:vAlign w:val="center"/>
          </w:tcPr>
          <w:p w14:paraId="19CAC2CE"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выдача денежных средств со Счета Карты/Накопительного счета</w:t>
            </w:r>
          </w:p>
        </w:tc>
        <w:tc>
          <w:tcPr>
            <w:tcW w:w="2896" w:type="pct"/>
            <w:gridSpan w:val="4"/>
            <w:shd w:val="clear" w:color="auto" w:fill="auto"/>
            <w:vAlign w:val="center"/>
          </w:tcPr>
          <w:p w14:paraId="12A0268A" w14:textId="77777777" w:rsidR="00E138C3" w:rsidRPr="00E138C3" w:rsidRDefault="00E138C3" w:rsidP="00E138C3">
            <w:pPr>
              <w:tabs>
                <w:tab w:val="left" w:pos="4889"/>
              </w:tabs>
              <w:jc w:val="center"/>
              <w:rPr>
                <w:rFonts w:ascii="Tahoma" w:hAnsi="Tahoma" w:cs="Tahoma"/>
                <w:b/>
                <w:bCs/>
                <w:iCs/>
                <w:color w:val="000000"/>
                <w:sz w:val="22"/>
                <w:szCs w:val="22"/>
              </w:rPr>
            </w:pPr>
            <w:r w:rsidRPr="00E138C3">
              <w:rPr>
                <w:rFonts w:ascii="Tahoma" w:hAnsi="Tahoma" w:cs="Tahoma"/>
                <w:bCs/>
                <w:iCs/>
                <w:sz w:val="22"/>
                <w:szCs w:val="22"/>
              </w:rPr>
              <w:t xml:space="preserve">Выдача средств, внесенных на Счет наличным путем: </w:t>
            </w:r>
            <w:r w:rsidRPr="00E138C3">
              <w:rPr>
                <w:rFonts w:ascii="Tahoma" w:hAnsi="Tahoma" w:cs="Tahoma"/>
                <w:b/>
                <w:bCs/>
                <w:iCs/>
                <w:color w:val="000000"/>
                <w:sz w:val="22"/>
                <w:szCs w:val="22"/>
              </w:rPr>
              <w:t>БЕСПЛАТНО;</w:t>
            </w:r>
          </w:p>
        </w:tc>
      </w:tr>
      <w:tr w:rsidR="00E138C3" w:rsidRPr="00E138C3" w14:paraId="75E83020" w14:textId="77777777" w:rsidTr="003D2438">
        <w:trPr>
          <w:trHeight w:val="4143"/>
        </w:trPr>
        <w:tc>
          <w:tcPr>
            <w:tcW w:w="410" w:type="pct"/>
            <w:shd w:val="clear" w:color="auto" w:fill="auto"/>
            <w:vAlign w:val="center"/>
          </w:tcPr>
          <w:p w14:paraId="228A0D6C"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4.4.2.2.</w:t>
            </w:r>
          </w:p>
        </w:tc>
        <w:tc>
          <w:tcPr>
            <w:tcW w:w="1694" w:type="pct"/>
            <w:shd w:val="clear" w:color="auto" w:fill="auto"/>
            <w:vAlign w:val="center"/>
          </w:tcPr>
          <w:p w14:paraId="2531A022" w14:textId="77777777" w:rsidR="00E138C3" w:rsidRPr="00E138C3" w:rsidRDefault="00E138C3" w:rsidP="00E138C3">
            <w:pPr>
              <w:tabs>
                <w:tab w:val="left" w:pos="4889"/>
              </w:tabs>
              <w:rPr>
                <w:rFonts w:ascii="Tahoma" w:hAnsi="Tahoma" w:cs="Tahoma"/>
                <w:bCs/>
                <w:iCs/>
                <w:sz w:val="22"/>
                <w:szCs w:val="22"/>
              </w:rPr>
            </w:pPr>
            <w:r w:rsidRPr="00E138C3">
              <w:rPr>
                <w:rFonts w:ascii="Tahoma" w:hAnsi="Tahoma" w:cs="Tahoma"/>
                <w:bCs/>
                <w:iCs/>
                <w:sz w:val="22"/>
                <w:szCs w:val="22"/>
              </w:rPr>
              <w:t xml:space="preserve">выдача средств, поступивших на Счет безналичным путем, в том числе зачисленных со Счета Клиента в Банке </w:t>
            </w:r>
          </w:p>
        </w:tc>
        <w:tc>
          <w:tcPr>
            <w:tcW w:w="2896" w:type="pct"/>
            <w:gridSpan w:val="4"/>
            <w:shd w:val="clear" w:color="auto" w:fill="auto"/>
            <w:vAlign w:val="center"/>
          </w:tcPr>
          <w:p w14:paraId="7BD8FF28" w14:textId="77777777" w:rsidR="00E138C3" w:rsidRPr="00E138C3" w:rsidRDefault="00E138C3" w:rsidP="00E138C3">
            <w:pPr>
              <w:numPr>
                <w:ilvl w:val="0"/>
                <w:numId w:val="64"/>
              </w:numPr>
              <w:tabs>
                <w:tab w:val="left" w:pos="4889"/>
              </w:tabs>
              <w:spacing w:after="160" w:line="259" w:lineRule="auto"/>
              <w:contextualSpacing/>
              <w:jc w:val="both"/>
              <w:rPr>
                <w:rFonts w:ascii="Tahoma" w:hAnsi="Tahoma" w:cs="Tahoma"/>
                <w:bCs/>
                <w:iCs/>
              </w:rPr>
            </w:pPr>
            <w:r w:rsidRPr="00E138C3">
              <w:rPr>
                <w:rFonts w:ascii="Tahoma" w:hAnsi="Tahoma" w:cs="Tahoma"/>
                <w:bCs/>
                <w:iCs/>
              </w:rPr>
              <w:t xml:space="preserve">в течение 15 календарных дней с даты поступления средств: </w:t>
            </w:r>
            <w:r w:rsidRPr="00E138C3">
              <w:rPr>
                <w:rFonts w:ascii="Tahoma" w:hAnsi="Tahoma" w:cs="Tahoma"/>
                <w:b/>
                <w:bCs/>
                <w:iCs/>
              </w:rPr>
              <w:t>5%</w:t>
            </w:r>
            <w:r w:rsidRPr="00E138C3">
              <w:rPr>
                <w:rFonts w:ascii="Tahoma" w:hAnsi="Tahoma" w:cs="Tahoma"/>
                <w:bCs/>
                <w:iCs/>
              </w:rPr>
              <w:t xml:space="preserve"> от суммы выданных средств</w:t>
            </w:r>
            <w:r w:rsidRPr="00E138C3">
              <w:rPr>
                <w:rFonts w:ascii="Tahoma" w:hAnsi="Tahoma" w:cs="Tahoma"/>
                <w:bCs/>
                <w:iCs/>
                <w:vertAlign w:val="superscript"/>
              </w:rPr>
              <w:t>20</w:t>
            </w:r>
            <w:r w:rsidRPr="00E138C3">
              <w:rPr>
                <w:rFonts w:ascii="Tahoma" w:hAnsi="Tahoma" w:cs="Tahoma"/>
                <w:bCs/>
                <w:iCs/>
              </w:rPr>
              <w:t>;</w:t>
            </w:r>
          </w:p>
          <w:p w14:paraId="4EC19452" w14:textId="77777777" w:rsidR="00E138C3" w:rsidRPr="00E138C3" w:rsidRDefault="00E138C3" w:rsidP="00E138C3">
            <w:pPr>
              <w:numPr>
                <w:ilvl w:val="0"/>
                <w:numId w:val="64"/>
              </w:numPr>
              <w:spacing w:after="200" w:line="276" w:lineRule="auto"/>
              <w:contextualSpacing/>
              <w:jc w:val="both"/>
            </w:pPr>
            <w:r w:rsidRPr="00E138C3">
              <w:rPr>
                <w:rFonts w:ascii="Tahoma" w:hAnsi="Tahoma" w:cs="Tahoma"/>
                <w:bCs/>
                <w:iCs/>
              </w:rPr>
              <w:t xml:space="preserve">по истечении 15 календарных дней с даты поступления средств: </w:t>
            </w:r>
            <w:r w:rsidRPr="00E138C3">
              <w:rPr>
                <w:rFonts w:ascii="Tahoma" w:hAnsi="Tahoma" w:cs="Tahoma"/>
                <w:b/>
                <w:bCs/>
                <w:iCs/>
                <w:color w:val="000000"/>
              </w:rPr>
              <w:t>БЕСПЛАТНО;</w:t>
            </w:r>
          </w:p>
          <w:p w14:paraId="7363F21D" w14:textId="77777777" w:rsidR="00E138C3" w:rsidRPr="00E138C3" w:rsidRDefault="00E138C3" w:rsidP="00E138C3">
            <w:pPr>
              <w:numPr>
                <w:ilvl w:val="0"/>
                <w:numId w:val="64"/>
              </w:numPr>
              <w:spacing w:after="200" w:line="276" w:lineRule="auto"/>
              <w:contextualSpacing/>
              <w:jc w:val="both"/>
              <w:rPr>
                <w:rFonts w:ascii="Tahoma" w:hAnsi="Tahoma" w:cs="Tahoma"/>
              </w:rPr>
            </w:pPr>
            <w:r w:rsidRPr="00E138C3">
              <w:rPr>
                <w:rFonts w:ascii="Tahoma" w:hAnsi="Tahoma" w:cs="Tahoma"/>
              </w:rPr>
              <w:t xml:space="preserve">зачисление денежных средств со Счета вклада Клиента, причисление сумм процентов по Накопительным счетам, зачисление денежных средств по кредитным договорам Клиента с Банком, зачислений заработной платы, а также в результате конвертации валют: </w:t>
            </w:r>
            <w:r w:rsidRPr="00E138C3">
              <w:rPr>
                <w:rFonts w:ascii="Tahoma" w:hAnsi="Tahoma" w:cs="Tahoma"/>
                <w:b/>
              </w:rPr>
              <w:t>БЕСПЛАТНО;</w:t>
            </w:r>
          </w:p>
          <w:p w14:paraId="5C4C4B0E" w14:textId="77777777" w:rsidR="00E138C3" w:rsidRPr="00E138C3" w:rsidRDefault="00E138C3" w:rsidP="00E138C3">
            <w:pPr>
              <w:numPr>
                <w:ilvl w:val="0"/>
                <w:numId w:val="64"/>
              </w:numPr>
              <w:spacing w:after="200" w:line="276" w:lineRule="auto"/>
              <w:contextualSpacing/>
              <w:jc w:val="both"/>
              <w:rPr>
                <w:rFonts w:ascii="Tahoma" w:hAnsi="Tahoma" w:cs="Tahoma"/>
              </w:rPr>
            </w:pPr>
            <w:r w:rsidRPr="00E138C3">
              <w:rPr>
                <w:rFonts w:ascii="Tahoma" w:hAnsi="Tahoma" w:cs="Tahoma"/>
              </w:rPr>
              <w:t xml:space="preserve">выдача наличной иностранной валюты в сумме остатка на 00:00 часов (по московскому времени) 9 марта 2022 года с любых вкладов или счетов Клиента в Банке в иностранной валюте, конвертация иностранной валюты в сумме остатка на 00:00 часов (по московскому времени) 9 марта 2022 года в доллары США или евро, осуществляемая в целях выдачи наличной иностранной валюты: </w:t>
            </w:r>
            <w:r w:rsidRPr="00E138C3">
              <w:rPr>
                <w:rFonts w:ascii="Tahoma" w:hAnsi="Tahoma" w:cs="Tahoma"/>
                <w:b/>
              </w:rPr>
              <w:t>БЕСПЛАТНО</w:t>
            </w:r>
            <w:r w:rsidRPr="00E138C3">
              <w:rPr>
                <w:rFonts w:ascii="Tahoma" w:hAnsi="Tahoma" w:cs="Tahoma"/>
                <w:vertAlign w:val="superscript"/>
              </w:rPr>
              <w:t>21,24</w:t>
            </w:r>
            <w:r w:rsidRPr="00E138C3">
              <w:rPr>
                <w:rFonts w:ascii="Tahoma" w:hAnsi="Tahoma" w:cs="Tahoma"/>
              </w:rPr>
              <w:t>.</w:t>
            </w:r>
          </w:p>
        </w:tc>
      </w:tr>
      <w:tr w:rsidR="00E138C3" w:rsidRPr="00E138C3" w14:paraId="7DEC981A" w14:textId="77777777" w:rsidTr="00E138C3">
        <w:tc>
          <w:tcPr>
            <w:tcW w:w="410" w:type="pct"/>
            <w:shd w:val="clear" w:color="auto" w:fill="808080"/>
            <w:vAlign w:val="center"/>
          </w:tcPr>
          <w:p w14:paraId="678B25DF"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4.5.</w:t>
            </w:r>
          </w:p>
        </w:tc>
        <w:tc>
          <w:tcPr>
            <w:tcW w:w="4590" w:type="pct"/>
            <w:gridSpan w:val="5"/>
            <w:shd w:val="clear" w:color="auto" w:fill="808080"/>
            <w:vAlign w:val="center"/>
          </w:tcPr>
          <w:p w14:paraId="6038CBBA"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Конверсионные операции по Счетам Карт и Накопительным счетам</w:t>
            </w:r>
            <w:r w:rsidRPr="00E138C3">
              <w:rPr>
                <w:rFonts w:ascii="Tahoma" w:hAnsi="Tahoma" w:cs="Tahoma"/>
                <w:b/>
                <w:bCs/>
                <w:iCs/>
                <w:color w:val="FFFFFF"/>
                <w:sz w:val="22"/>
                <w:szCs w:val="22"/>
                <w:vertAlign w:val="superscript"/>
              </w:rPr>
              <w:t>20</w:t>
            </w:r>
            <w:r w:rsidRPr="00E138C3">
              <w:rPr>
                <w:rFonts w:ascii="Tahoma" w:hAnsi="Tahoma" w:cs="Tahoma"/>
                <w:b/>
                <w:bCs/>
                <w:iCs/>
                <w:color w:val="FFFFFF"/>
                <w:sz w:val="22"/>
                <w:szCs w:val="22"/>
              </w:rPr>
              <w:t>:</w:t>
            </w:r>
          </w:p>
        </w:tc>
      </w:tr>
      <w:tr w:rsidR="00E138C3" w:rsidRPr="00E138C3" w14:paraId="0E820245" w14:textId="77777777" w:rsidTr="003D2438">
        <w:tc>
          <w:tcPr>
            <w:tcW w:w="410" w:type="pct"/>
            <w:shd w:val="clear" w:color="auto" w:fill="auto"/>
            <w:vAlign w:val="center"/>
          </w:tcPr>
          <w:p w14:paraId="78940F1C"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4.5.1.</w:t>
            </w:r>
          </w:p>
        </w:tc>
        <w:tc>
          <w:tcPr>
            <w:tcW w:w="1694" w:type="pct"/>
            <w:shd w:val="clear" w:color="auto" w:fill="auto"/>
          </w:tcPr>
          <w:p w14:paraId="63149424"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операции покупки/продажи иностранной валюты по Счетам Клиента, открытым в Банке, а также безналичные операции и операции выдачи/взноса наличных денежных с использованием Карты</w:t>
            </w:r>
          </w:p>
        </w:tc>
        <w:tc>
          <w:tcPr>
            <w:tcW w:w="2896" w:type="pct"/>
            <w:gridSpan w:val="4"/>
            <w:shd w:val="clear" w:color="auto" w:fill="auto"/>
            <w:vAlign w:val="center"/>
          </w:tcPr>
          <w:p w14:paraId="2784035E"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color w:val="000000"/>
                <w:sz w:val="22"/>
                <w:szCs w:val="22"/>
              </w:rPr>
              <w:t>по курсу Банка на момент совершения операции</w:t>
            </w:r>
          </w:p>
        </w:tc>
      </w:tr>
      <w:tr w:rsidR="00E138C3" w:rsidRPr="00E138C3" w14:paraId="02EC49C5" w14:textId="77777777" w:rsidTr="00E138C3">
        <w:tc>
          <w:tcPr>
            <w:tcW w:w="410" w:type="pct"/>
            <w:shd w:val="clear" w:color="auto" w:fill="808080"/>
            <w:vAlign w:val="center"/>
          </w:tcPr>
          <w:p w14:paraId="2C9DD1BB"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4.6.</w:t>
            </w:r>
          </w:p>
        </w:tc>
        <w:tc>
          <w:tcPr>
            <w:tcW w:w="4590" w:type="pct"/>
            <w:gridSpan w:val="5"/>
            <w:shd w:val="clear" w:color="auto" w:fill="808080"/>
            <w:vAlign w:val="center"/>
          </w:tcPr>
          <w:p w14:paraId="3D83C368"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Прочие операции и сервисы:</w:t>
            </w:r>
          </w:p>
        </w:tc>
      </w:tr>
      <w:tr w:rsidR="00E138C3" w:rsidRPr="00E138C3" w14:paraId="38D9BD60" w14:textId="77777777" w:rsidTr="003D2438">
        <w:trPr>
          <w:trHeight w:val="427"/>
        </w:trPr>
        <w:tc>
          <w:tcPr>
            <w:tcW w:w="410" w:type="pct"/>
            <w:shd w:val="clear" w:color="auto" w:fill="auto"/>
            <w:vAlign w:val="center"/>
          </w:tcPr>
          <w:p w14:paraId="3DD6CE01"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4.6.1.</w:t>
            </w:r>
          </w:p>
        </w:tc>
        <w:tc>
          <w:tcPr>
            <w:tcW w:w="1694" w:type="pct"/>
            <w:shd w:val="clear" w:color="auto" w:fill="auto"/>
            <w:vAlign w:val="center"/>
          </w:tcPr>
          <w:p w14:paraId="74A9C21F" w14:textId="77777777" w:rsidR="00E138C3" w:rsidRPr="00E138C3" w:rsidRDefault="00E138C3" w:rsidP="00E138C3">
            <w:pPr>
              <w:rPr>
                <w:rFonts w:ascii="Tahoma" w:eastAsia="Calibri" w:hAnsi="Tahoma" w:cs="Tahoma"/>
                <w:lang w:eastAsia="en-US"/>
              </w:rPr>
            </w:pPr>
            <w:r w:rsidRPr="00E138C3">
              <w:rPr>
                <w:rFonts w:ascii="Tahoma" w:eastAsia="Calibri" w:hAnsi="Tahoma" w:cs="Tahoma"/>
                <w:sz w:val="22"/>
                <w:szCs w:val="22"/>
                <w:lang w:eastAsia="en-US"/>
              </w:rPr>
              <w:t>стоимость услуги СМС-информирования (полный пакет): детализирование уведомление о приходных и расходных операциях по Счету Карты в формате СМС-сообщений на мобильный телефон Клиента, указанный Клиентом Банку в качестве основного</w:t>
            </w:r>
            <w:r w:rsidRPr="00E138C3">
              <w:rPr>
                <w:rFonts w:ascii="Tahoma" w:hAnsi="Tahoma" w:cs="Tahoma"/>
                <w:bCs/>
                <w:iCs/>
                <w:sz w:val="22"/>
                <w:szCs w:val="22"/>
                <w:vertAlign w:val="superscript"/>
              </w:rPr>
              <w:t>22</w:t>
            </w:r>
          </w:p>
        </w:tc>
        <w:tc>
          <w:tcPr>
            <w:tcW w:w="2896" w:type="pct"/>
            <w:gridSpan w:val="4"/>
            <w:vMerge w:val="restart"/>
            <w:shd w:val="clear" w:color="auto" w:fill="auto"/>
            <w:vAlign w:val="center"/>
          </w:tcPr>
          <w:p w14:paraId="2F89143A" w14:textId="77777777" w:rsidR="00E138C3" w:rsidRPr="00E138C3" w:rsidRDefault="00E138C3" w:rsidP="00E138C3">
            <w:pPr>
              <w:tabs>
                <w:tab w:val="left" w:pos="284"/>
              </w:tabs>
              <w:jc w:val="center"/>
              <w:rPr>
                <w:rFonts w:ascii="Tahoma" w:hAnsi="Tahoma" w:cs="Tahoma"/>
                <w:b/>
                <w:bCs/>
                <w:iCs/>
                <w:color w:val="000000"/>
                <w:sz w:val="22"/>
                <w:szCs w:val="22"/>
              </w:rPr>
            </w:pPr>
            <w:r w:rsidRPr="00E138C3">
              <w:rPr>
                <w:rFonts w:ascii="Tahoma" w:hAnsi="Tahoma" w:cs="Tahoma"/>
                <w:b/>
                <w:bCs/>
                <w:iCs/>
                <w:color w:val="000000"/>
                <w:sz w:val="22"/>
                <w:szCs w:val="22"/>
              </w:rPr>
              <w:t>БЕСПЛАТНО</w:t>
            </w:r>
          </w:p>
        </w:tc>
      </w:tr>
      <w:tr w:rsidR="00E138C3" w:rsidRPr="00E138C3" w14:paraId="47011D93" w14:textId="77777777" w:rsidTr="003D2438">
        <w:trPr>
          <w:trHeight w:val="383"/>
        </w:trPr>
        <w:tc>
          <w:tcPr>
            <w:tcW w:w="410" w:type="pct"/>
            <w:shd w:val="clear" w:color="auto" w:fill="auto"/>
            <w:vAlign w:val="center"/>
          </w:tcPr>
          <w:p w14:paraId="1442F095"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4.6.</w:t>
            </w:r>
            <w:r w:rsidRPr="00E138C3">
              <w:rPr>
                <w:rFonts w:ascii="Tahoma" w:hAnsi="Tahoma" w:cs="Tahoma"/>
                <w:bCs/>
                <w:iCs/>
                <w:color w:val="000000"/>
                <w:sz w:val="22"/>
                <w:szCs w:val="22"/>
                <w:lang w:val="en-US"/>
              </w:rPr>
              <w:t>2</w:t>
            </w:r>
            <w:r w:rsidRPr="00E138C3">
              <w:rPr>
                <w:rFonts w:ascii="Tahoma" w:hAnsi="Tahoma" w:cs="Tahoma"/>
                <w:bCs/>
                <w:iCs/>
                <w:color w:val="000000"/>
                <w:sz w:val="22"/>
                <w:szCs w:val="22"/>
              </w:rPr>
              <w:t>.</w:t>
            </w:r>
          </w:p>
        </w:tc>
        <w:tc>
          <w:tcPr>
            <w:tcW w:w="1694" w:type="pct"/>
            <w:shd w:val="clear" w:color="auto" w:fill="auto"/>
            <w:vAlign w:val="center"/>
          </w:tcPr>
          <w:p w14:paraId="67143C66"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доступ к каналам ДБО: «АТБ-Онлайн», Мобильный банк</w:t>
            </w:r>
          </w:p>
        </w:tc>
        <w:tc>
          <w:tcPr>
            <w:tcW w:w="2896" w:type="pct"/>
            <w:gridSpan w:val="4"/>
            <w:vMerge/>
            <w:shd w:val="clear" w:color="auto" w:fill="auto"/>
            <w:vAlign w:val="center"/>
          </w:tcPr>
          <w:p w14:paraId="0E5DFEB5" w14:textId="77777777" w:rsidR="00E138C3" w:rsidRPr="00E138C3" w:rsidRDefault="00E138C3" w:rsidP="00E138C3">
            <w:pPr>
              <w:tabs>
                <w:tab w:val="left" w:pos="284"/>
              </w:tabs>
              <w:jc w:val="center"/>
              <w:rPr>
                <w:rFonts w:ascii="Tahoma" w:hAnsi="Tahoma" w:cs="Tahoma"/>
                <w:b/>
                <w:bCs/>
                <w:iCs/>
                <w:color w:val="000000"/>
                <w:sz w:val="22"/>
                <w:szCs w:val="22"/>
              </w:rPr>
            </w:pPr>
          </w:p>
        </w:tc>
      </w:tr>
      <w:tr w:rsidR="00E138C3" w:rsidRPr="00E138C3" w14:paraId="56B17044" w14:textId="77777777" w:rsidTr="003D2438">
        <w:tc>
          <w:tcPr>
            <w:tcW w:w="410" w:type="pct"/>
            <w:shd w:val="clear" w:color="auto" w:fill="auto"/>
            <w:vAlign w:val="center"/>
          </w:tcPr>
          <w:p w14:paraId="10D8769C" w14:textId="77777777" w:rsidR="00E138C3" w:rsidRPr="00E138C3" w:rsidRDefault="00E138C3" w:rsidP="00E138C3">
            <w:pPr>
              <w:spacing w:after="160" w:line="259" w:lineRule="auto"/>
              <w:rPr>
                <w:rFonts w:ascii="Calibri" w:eastAsia="Calibri" w:hAnsi="Calibri"/>
                <w:sz w:val="22"/>
                <w:szCs w:val="22"/>
                <w:lang w:eastAsia="en-US"/>
              </w:rPr>
            </w:pPr>
            <w:r w:rsidRPr="00E138C3">
              <w:rPr>
                <w:rFonts w:ascii="Tahoma" w:hAnsi="Tahoma" w:cs="Tahoma"/>
                <w:bCs/>
                <w:iCs/>
                <w:color w:val="000000"/>
                <w:sz w:val="22"/>
                <w:szCs w:val="22"/>
              </w:rPr>
              <w:t>4.6.3.</w:t>
            </w:r>
          </w:p>
        </w:tc>
        <w:tc>
          <w:tcPr>
            <w:tcW w:w="1694" w:type="pct"/>
            <w:shd w:val="clear" w:color="auto" w:fill="auto"/>
            <w:vAlign w:val="center"/>
          </w:tcPr>
          <w:p w14:paraId="5B4AE8DB"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запрос баланса Счета Карты в банкоматах Банка посредством вывода информации на экран устройства и/или чек</w:t>
            </w:r>
          </w:p>
        </w:tc>
        <w:tc>
          <w:tcPr>
            <w:tcW w:w="2896" w:type="pct"/>
            <w:gridSpan w:val="4"/>
            <w:vMerge/>
            <w:shd w:val="clear" w:color="auto" w:fill="auto"/>
            <w:vAlign w:val="center"/>
          </w:tcPr>
          <w:p w14:paraId="63D3FD83" w14:textId="77777777" w:rsidR="00E138C3" w:rsidRPr="00E138C3" w:rsidRDefault="00E138C3" w:rsidP="00E138C3">
            <w:pPr>
              <w:tabs>
                <w:tab w:val="left" w:pos="284"/>
              </w:tabs>
              <w:jc w:val="center"/>
              <w:rPr>
                <w:rFonts w:ascii="Tahoma" w:hAnsi="Tahoma" w:cs="Tahoma"/>
                <w:b/>
                <w:bCs/>
                <w:iCs/>
                <w:color w:val="000000"/>
                <w:sz w:val="22"/>
                <w:szCs w:val="22"/>
              </w:rPr>
            </w:pPr>
          </w:p>
        </w:tc>
      </w:tr>
      <w:tr w:rsidR="00E138C3" w:rsidRPr="00E138C3" w14:paraId="72975AAD" w14:textId="77777777" w:rsidTr="003D2438">
        <w:trPr>
          <w:trHeight w:val="77"/>
        </w:trPr>
        <w:tc>
          <w:tcPr>
            <w:tcW w:w="410" w:type="pct"/>
            <w:shd w:val="clear" w:color="auto" w:fill="auto"/>
            <w:vAlign w:val="center"/>
          </w:tcPr>
          <w:p w14:paraId="702CCD32" w14:textId="77777777" w:rsidR="00E138C3" w:rsidRPr="00E138C3" w:rsidRDefault="00E138C3" w:rsidP="00E138C3">
            <w:pPr>
              <w:spacing w:after="160" w:line="259" w:lineRule="auto"/>
              <w:rPr>
                <w:rFonts w:ascii="Calibri" w:eastAsia="Calibri" w:hAnsi="Calibri"/>
                <w:sz w:val="22"/>
                <w:szCs w:val="22"/>
                <w:lang w:eastAsia="en-US"/>
              </w:rPr>
            </w:pPr>
            <w:r w:rsidRPr="00E138C3">
              <w:rPr>
                <w:rFonts w:ascii="Tahoma" w:hAnsi="Tahoma" w:cs="Tahoma"/>
                <w:bCs/>
                <w:iCs/>
                <w:color w:val="000000"/>
                <w:sz w:val="22"/>
                <w:szCs w:val="22"/>
              </w:rPr>
              <w:t>4.6.4.</w:t>
            </w:r>
          </w:p>
        </w:tc>
        <w:tc>
          <w:tcPr>
            <w:tcW w:w="1694" w:type="pct"/>
            <w:shd w:val="clear" w:color="auto" w:fill="auto"/>
            <w:vAlign w:val="center"/>
          </w:tcPr>
          <w:p w14:paraId="01C8F7F8"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приостановление/возобновление операций с Картой</w:t>
            </w:r>
            <w:r w:rsidRPr="00E138C3">
              <w:rPr>
                <w:rFonts w:ascii="Tahoma" w:hAnsi="Tahoma" w:cs="Tahoma"/>
                <w:bCs/>
                <w:iCs/>
                <w:sz w:val="22"/>
                <w:szCs w:val="22"/>
                <w:vertAlign w:val="superscript"/>
              </w:rPr>
              <w:t>23</w:t>
            </w:r>
          </w:p>
        </w:tc>
        <w:tc>
          <w:tcPr>
            <w:tcW w:w="2896" w:type="pct"/>
            <w:gridSpan w:val="4"/>
            <w:vMerge/>
            <w:shd w:val="clear" w:color="auto" w:fill="auto"/>
            <w:vAlign w:val="center"/>
          </w:tcPr>
          <w:p w14:paraId="15DDA1DD" w14:textId="77777777" w:rsidR="00E138C3" w:rsidRPr="00E138C3" w:rsidRDefault="00E138C3" w:rsidP="00E138C3">
            <w:pPr>
              <w:tabs>
                <w:tab w:val="left" w:pos="284"/>
              </w:tabs>
              <w:jc w:val="center"/>
              <w:rPr>
                <w:rFonts w:ascii="Tahoma" w:hAnsi="Tahoma" w:cs="Tahoma"/>
                <w:bCs/>
                <w:iCs/>
                <w:color w:val="000000"/>
                <w:sz w:val="22"/>
                <w:szCs w:val="22"/>
              </w:rPr>
            </w:pPr>
          </w:p>
        </w:tc>
      </w:tr>
      <w:tr w:rsidR="00E138C3" w:rsidRPr="00E138C3" w14:paraId="22D602D2" w14:textId="77777777" w:rsidTr="003D2438">
        <w:tc>
          <w:tcPr>
            <w:tcW w:w="410" w:type="pct"/>
            <w:shd w:val="clear" w:color="auto" w:fill="auto"/>
            <w:vAlign w:val="center"/>
          </w:tcPr>
          <w:p w14:paraId="337E82F4"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4.6.5.</w:t>
            </w:r>
          </w:p>
        </w:tc>
        <w:tc>
          <w:tcPr>
            <w:tcW w:w="1694" w:type="pct"/>
            <w:shd w:val="clear" w:color="auto" w:fill="auto"/>
            <w:vAlign w:val="center"/>
          </w:tcPr>
          <w:p w14:paraId="177297E5"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выдача остатка денежных средств после закрытия Счета Карты</w:t>
            </w:r>
          </w:p>
        </w:tc>
        <w:tc>
          <w:tcPr>
            <w:tcW w:w="2896" w:type="pct"/>
            <w:gridSpan w:val="4"/>
            <w:vMerge/>
            <w:shd w:val="clear" w:color="auto" w:fill="auto"/>
            <w:vAlign w:val="center"/>
          </w:tcPr>
          <w:p w14:paraId="2239EA16" w14:textId="77777777" w:rsidR="00E138C3" w:rsidRPr="00E138C3" w:rsidRDefault="00E138C3" w:rsidP="00E138C3">
            <w:pPr>
              <w:tabs>
                <w:tab w:val="left" w:pos="284"/>
              </w:tabs>
              <w:jc w:val="center"/>
              <w:rPr>
                <w:rFonts w:ascii="Tahoma" w:hAnsi="Tahoma" w:cs="Tahoma"/>
                <w:bCs/>
                <w:iCs/>
                <w:color w:val="000000"/>
                <w:sz w:val="22"/>
                <w:szCs w:val="22"/>
              </w:rPr>
            </w:pPr>
          </w:p>
        </w:tc>
      </w:tr>
      <w:tr w:rsidR="00E138C3" w:rsidRPr="00E138C3" w14:paraId="4DF1EE4F" w14:textId="77777777" w:rsidTr="003D2438">
        <w:tc>
          <w:tcPr>
            <w:tcW w:w="410" w:type="pct"/>
            <w:shd w:val="clear" w:color="auto" w:fill="auto"/>
            <w:vAlign w:val="center"/>
          </w:tcPr>
          <w:p w14:paraId="0736E7F1"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4.6.6.</w:t>
            </w:r>
          </w:p>
        </w:tc>
        <w:tc>
          <w:tcPr>
            <w:tcW w:w="1694" w:type="pct"/>
            <w:shd w:val="clear" w:color="auto" w:fill="auto"/>
            <w:vAlign w:val="center"/>
          </w:tcPr>
          <w:p w14:paraId="606CBE1F"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постановка Карты в международный стоп-лист (на 2 недели) по волеизъявлению Клиента, 1 (один) регион</w:t>
            </w:r>
          </w:p>
        </w:tc>
        <w:tc>
          <w:tcPr>
            <w:tcW w:w="2896" w:type="pct"/>
            <w:gridSpan w:val="4"/>
            <w:shd w:val="clear" w:color="auto" w:fill="auto"/>
            <w:vAlign w:val="center"/>
          </w:tcPr>
          <w:p w14:paraId="46C6A698"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color w:val="000000"/>
                <w:sz w:val="22"/>
                <w:szCs w:val="22"/>
              </w:rPr>
              <w:t>1 500 рублей</w:t>
            </w:r>
          </w:p>
        </w:tc>
      </w:tr>
      <w:tr w:rsidR="00E138C3" w:rsidRPr="00E138C3" w14:paraId="291E6CA5" w14:textId="77777777" w:rsidTr="003D2438">
        <w:tc>
          <w:tcPr>
            <w:tcW w:w="410" w:type="pct"/>
            <w:shd w:val="clear" w:color="auto" w:fill="auto"/>
            <w:vAlign w:val="center"/>
          </w:tcPr>
          <w:p w14:paraId="5550256A"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4.6.7.</w:t>
            </w:r>
          </w:p>
        </w:tc>
        <w:tc>
          <w:tcPr>
            <w:tcW w:w="1694" w:type="pct"/>
            <w:shd w:val="clear" w:color="auto" w:fill="auto"/>
            <w:vAlign w:val="center"/>
          </w:tcPr>
          <w:p w14:paraId="7EB82FBE"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выписка по Счету Карты</w:t>
            </w:r>
          </w:p>
        </w:tc>
        <w:tc>
          <w:tcPr>
            <w:tcW w:w="2896" w:type="pct"/>
            <w:gridSpan w:val="4"/>
            <w:shd w:val="clear" w:color="auto" w:fill="auto"/>
            <w:vAlign w:val="center"/>
          </w:tcPr>
          <w:p w14:paraId="7B0C7CDD" w14:textId="77777777" w:rsidR="00E138C3" w:rsidRPr="00E138C3" w:rsidRDefault="00E138C3" w:rsidP="00E138C3">
            <w:pPr>
              <w:tabs>
                <w:tab w:val="left" w:pos="284"/>
                <w:tab w:val="left" w:pos="5609"/>
              </w:tabs>
              <w:jc w:val="center"/>
              <w:rPr>
                <w:rFonts w:ascii="Tahoma" w:hAnsi="Tahoma" w:cs="Tahoma"/>
                <w:b/>
                <w:bCs/>
                <w:iCs/>
                <w:color w:val="000000"/>
                <w:sz w:val="22"/>
                <w:szCs w:val="22"/>
              </w:rPr>
            </w:pPr>
            <w:r w:rsidRPr="00E138C3">
              <w:rPr>
                <w:rFonts w:ascii="Tahoma" w:hAnsi="Tahoma" w:cs="Tahoma"/>
                <w:bCs/>
                <w:iCs/>
                <w:color w:val="000000"/>
                <w:sz w:val="22"/>
                <w:szCs w:val="22"/>
              </w:rPr>
              <w:t>в банкоматах Банка:</w:t>
            </w:r>
            <w:r w:rsidRPr="00E138C3">
              <w:rPr>
                <w:rFonts w:ascii="Tahoma" w:hAnsi="Tahoma" w:cs="Tahoma"/>
                <w:b/>
                <w:bCs/>
                <w:iCs/>
                <w:color w:val="000000"/>
                <w:sz w:val="22"/>
                <w:szCs w:val="22"/>
              </w:rPr>
              <w:t xml:space="preserve"> БЕСПЛАТНО </w:t>
            </w:r>
          </w:p>
          <w:p w14:paraId="291F1968" w14:textId="77777777" w:rsidR="00E138C3" w:rsidRPr="00E138C3" w:rsidRDefault="00E138C3" w:rsidP="00E138C3">
            <w:pPr>
              <w:tabs>
                <w:tab w:val="left" w:pos="284"/>
                <w:tab w:val="left" w:pos="5609"/>
              </w:tabs>
              <w:jc w:val="center"/>
              <w:rPr>
                <w:rFonts w:ascii="Tahoma" w:hAnsi="Tahoma" w:cs="Tahoma"/>
                <w:bCs/>
                <w:iCs/>
                <w:color w:val="000000"/>
                <w:sz w:val="22"/>
                <w:szCs w:val="22"/>
              </w:rPr>
            </w:pPr>
            <w:r w:rsidRPr="00E138C3">
              <w:rPr>
                <w:rFonts w:ascii="Tahoma" w:hAnsi="Tahoma" w:cs="Tahoma"/>
                <w:bCs/>
                <w:iCs/>
                <w:color w:val="000000"/>
                <w:sz w:val="22"/>
                <w:szCs w:val="22"/>
              </w:rPr>
              <w:t>в Подразделениях Банка: 250 рублей за одну выписку</w:t>
            </w:r>
          </w:p>
        </w:tc>
      </w:tr>
      <w:tr w:rsidR="00E138C3" w:rsidRPr="00E138C3" w14:paraId="7BED576D" w14:textId="77777777" w:rsidTr="003D2438">
        <w:tc>
          <w:tcPr>
            <w:tcW w:w="410" w:type="pct"/>
            <w:shd w:val="clear" w:color="auto" w:fill="auto"/>
            <w:vAlign w:val="center"/>
          </w:tcPr>
          <w:p w14:paraId="0F3AC2D2" w14:textId="77777777" w:rsidR="00E138C3" w:rsidRPr="00E138C3" w:rsidRDefault="00E138C3" w:rsidP="00E138C3">
            <w:pPr>
              <w:spacing w:after="160" w:line="259" w:lineRule="auto"/>
              <w:rPr>
                <w:rFonts w:ascii="Calibri" w:eastAsia="Calibri" w:hAnsi="Calibri"/>
                <w:sz w:val="22"/>
                <w:szCs w:val="22"/>
                <w:lang w:eastAsia="en-US"/>
              </w:rPr>
            </w:pPr>
            <w:r w:rsidRPr="00E138C3">
              <w:rPr>
                <w:rFonts w:ascii="Tahoma" w:hAnsi="Tahoma" w:cs="Tahoma"/>
                <w:bCs/>
                <w:iCs/>
                <w:color w:val="000000"/>
                <w:sz w:val="22"/>
                <w:szCs w:val="22"/>
              </w:rPr>
              <w:t>4.6.8.</w:t>
            </w:r>
          </w:p>
        </w:tc>
        <w:tc>
          <w:tcPr>
            <w:tcW w:w="1694" w:type="pct"/>
            <w:shd w:val="clear" w:color="auto" w:fill="auto"/>
            <w:vAlign w:val="center"/>
          </w:tcPr>
          <w:p w14:paraId="5C50B3B3"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услуги, оказанные другими банками (авторизация по телексу, направление в Банк информации об утере/краже Карты)</w:t>
            </w:r>
          </w:p>
        </w:tc>
        <w:tc>
          <w:tcPr>
            <w:tcW w:w="2896" w:type="pct"/>
            <w:gridSpan w:val="4"/>
            <w:shd w:val="clear" w:color="auto" w:fill="auto"/>
            <w:vAlign w:val="center"/>
          </w:tcPr>
          <w:p w14:paraId="1F0AC9D3"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color w:val="000000"/>
                <w:sz w:val="22"/>
                <w:szCs w:val="22"/>
              </w:rPr>
              <w:t>по фактическим затратам Банка</w:t>
            </w:r>
          </w:p>
        </w:tc>
      </w:tr>
      <w:tr w:rsidR="00E138C3" w:rsidRPr="00E138C3" w14:paraId="174BB7CD" w14:textId="77777777" w:rsidTr="003D2438">
        <w:tc>
          <w:tcPr>
            <w:tcW w:w="410" w:type="pct"/>
            <w:shd w:val="clear" w:color="auto" w:fill="808080"/>
            <w:vAlign w:val="center"/>
          </w:tcPr>
          <w:p w14:paraId="5B3FDE24" w14:textId="77777777" w:rsidR="00E138C3" w:rsidRPr="00E138C3" w:rsidRDefault="00E138C3" w:rsidP="00E138C3">
            <w:pPr>
              <w:tabs>
                <w:tab w:val="left" w:pos="284"/>
              </w:tabs>
              <w:rPr>
                <w:rFonts w:ascii="Tahoma" w:hAnsi="Tahoma" w:cs="Tahoma"/>
                <w:bCs/>
                <w:iCs/>
                <w:color w:val="FFFFFF"/>
                <w:sz w:val="28"/>
                <w:szCs w:val="22"/>
              </w:rPr>
            </w:pPr>
            <w:r w:rsidRPr="00E138C3">
              <w:rPr>
                <w:rFonts w:ascii="Tahoma" w:hAnsi="Tahoma" w:cs="Tahoma"/>
                <w:bCs/>
                <w:iCs/>
                <w:color w:val="FFFFFF"/>
                <w:sz w:val="28"/>
                <w:szCs w:val="22"/>
              </w:rPr>
              <w:t>5.</w:t>
            </w:r>
          </w:p>
        </w:tc>
        <w:tc>
          <w:tcPr>
            <w:tcW w:w="4590" w:type="pct"/>
            <w:gridSpan w:val="5"/>
            <w:shd w:val="clear" w:color="auto" w:fill="808080"/>
            <w:vAlign w:val="center"/>
          </w:tcPr>
          <w:p w14:paraId="3C39FA7F" w14:textId="77777777" w:rsidR="00E138C3" w:rsidRPr="00E138C3" w:rsidRDefault="00E138C3" w:rsidP="00E138C3">
            <w:pPr>
              <w:tabs>
                <w:tab w:val="left" w:pos="284"/>
              </w:tabs>
              <w:rPr>
                <w:rFonts w:ascii="Tahoma" w:hAnsi="Tahoma" w:cs="Tahoma"/>
                <w:bCs/>
                <w:iCs/>
                <w:color w:val="FFFFFF"/>
                <w:sz w:val="28"/>
                <w:szCs w:val="22"/>
              </w:rPr>
            </w:pPr>
            <w:r w:rsidRPr="00E138C3">
              <w:rPr>
                <w:rFonts w:ascii="Tahoma" w:hAnsi="Tahoma" w:cs="Tahoma"/>
                <w:bCs/>
                <w:iCs/>
                <w:color w:val="FFFFFF"/>
                <w:sz w:val="28"/>
                <w:szCs w:val="22"/>
              </w:rPr>
              <w:t>Применимость правил программ лояльности</w:t>
            </w:r>
          </w:p>
        </w:tc>
      </w:tr>
      <w:tr w:rsidR="00E138C3" w:rsidRPr="00E138C3" w14:paraId="58D6BB9E" w14:textId="77777777" w:rsidTr="003D2438">
        <w:tc>
          <w:tcPr>
            <w:tcW w:w="2104" w:type="pct"/>
            <w:gridSpan w:val="2"/>
            <w:shd w:val="clear" w:color="auto" w:fill="808080"/>
            <w:vAlign w:val="center"/>
          </w:tcPr>
          <w:p w14:paraId="4ED6E8E5" w14:textId="77777777" w:rsidR="00E138C3" w:rsidRPr="00E138C3" w:rsidRDefault="00E138C3" w:rsidP="00E138C3">
            <w:pPr>
              <w:tabs>
                <w:tab w:val="left" w:pos="284"/>
              </w:tabs>
              <w:rPr>
                <w:rFonts w:ascii="Tahoma" w:hAnsi="Tahoma" w:cs="Tahoma"/>
                <w:b/>
                <w:bCs/>
                <w:iCs/>
                <w:color w:val="FFFFFF"/>
                <w:sz w:val="28"/>
                <w:szCs w:val="22"/>
              </w:rPr>
            </w:pPr>
          </w:p>
        </w:tc>
        <w:tc>
          <w:tcPr>
            <w:tcW w:w="1403" w:type="pct"/>
            <w:gridSpan w:val="2"/>
            <w:shd w:val="clear" w:color="auto" w:fill="808080"/>
            <w:vAlign w:val="center"/>
          </w:tcPr>
          <w:p w14:paraId="25B18697" w14:textId="77777777" w:rsidR="00E138C3" w:rsidRPr="00E138C3" w:rsidDel="00EB4583" w:rsidRDefault="00E138C3" w:rsidP="00E138C3">
            <w:pPr>
              <w:tabs>
                <w:tab w:val="left" w:pos="284"/>
              </w:tabs>
              <w:jc w:val="center"/>
              <w:rPr>
                <w:rFonts w:ascii="Tahoma" w:hAnsi="Tahoma" w:cs="Tahoma"/>
                <w:b/>
                <w:bCs/>
                <w:iCs/>
                <w:color w:val="FFFFFF"/>
                <w:sz w:val="28"/>
                <w:szCs w:val="22"/>
              </w:rPr>
            </w:pPr>
            <w:r w:rsidRPr="00E138C3">
              <w:rPr>
                <w:rFonts w:ascii="Tahoma" w:eastAsia="Calibri" w:hAnsi="Tahoma" w:cs="Tahoma"/>
                <w:b/>
                <w:color w:val="FFFFFF"/>
                <w:sz w:val="22"/>
                <w:szCs w:val="22"/>
                <w:lang w:eastAsia="en-US"/>
              </w:rPr>
              <w:t>UnionPa</w:t>
            </w:r>
            <w:r w:rsidRPr="00E138C3">
              <w:rPr>
                <w:rFonts w:ascii="Tahoma" w:eastAsia="Calibri" w:hAnsi="Tahoma" w:cs="Tahoma"/>
                <w:b/>
                <w:color w:val="FFFFFF"/>
                <w:sz w:val="22"/>
                <w:szCs w:val="22"/>
                <w:lang w:val="en-US" w:eastAsia="en-US"/>
              </w:rPr>
              <w:t>y</w:t>
            </w:r>
            <w:r w:rsidRPr="00E138C3">
              <w:rPr>
                <w:rFonts w:ascii="Tahoma" w:hAnsi="Tahoma" w:cs="Tahoma"/>
                <w:b/>
                <w:bCs/>
                <w:iCs/>
                <w:color w:val="FFFFFF"/>
                <w:sz w:val="22"/>
                <w:szCs w:val="22"/>
              </w:rPr>
              <w:t xml:space="preserve"> </w:t>
            </w:r>
            <w:r w:rsidRPr="00E138C3">
              <w:rPr>
                <w:rFonts w:ascii="Tahoma" w:hAnsi="Tahoma" w:cs="Tahoma"/>
                <w:b/>
                <w:bCs/>
                <w:iCs/>
                <w:color w:val="FFFFFF"/>
                <w:sz w:val="22"/>
                <w:szCs w:val="22"/>
                <w:lang w:val="en-US"/>
              </w:rPr>
              <w:t>Platinum</w:t>
            </w:r>
          </w:p>
        </w:tc>
        <w:tc>
          <w:tcPr>
            <w:tcW w:w="1493" w:type="pct"/>
            <w:gridSpan w:val="2"/>
            <w:shd w:val="clear" w:color="auto" w:fill="808080"/>
            <w:vAlign w:val="center"/>
          </w:tcPr>
          <w:p w14:paraId="268509D3" w14:textId="77777777" w:rsidR="00E138C3" w:rsidRPr="00E138C3" w:rsidDel="00EB4583" w:rsidRDefault="00E138C3" w:rsidP="00E138C3">
            <w:pPr>
              <w:tabs>
                <w:tab w:val="left" w:pos="284"/>
              </w:tabs>
              <w:jc w:val="center"/>
              <w:rPr>
                <w:rFonts w:ascii="Tahoma" w:hAnsi="Tahoma" w:cs="Tahoma"/>
                <w:b/>
                <w:bCs/>
                <w:iCs/>
                <w:color w:val="FFFFFF"/>
                <w:sz w:val="28"/>
                <w:szCs w:val="22"/>
              </w:rPr>
            </w:pPr>
            <w:r w:rsidRPr="00E138C3">
              <w:rPr>
                <w:rFonts w:ascii="Tahoma" w:eastAsia="Calibri" w:hAnsi="Tahoma" w:cs="Tahoma"/>
                <w:b/>
                <w:color w:val="FFFFFF"/>
                <w:sz w:val="22"/>
                <w:szCs w:val="22"/>
                <w:lang w:eastAsia="en-US"/>
              </w:rPr>
              <w:t>Visa Platinum</w:t>
            </w:r>
          </w:p>
        </w:tc>
      </w:tr>
      <w:tr w:rsidR="00E138C3" w:rsidRPr="00E138C3" w14:paraId="26EDAC58" w14:textId="77777777" w:rsidTr="003D2438">
        <w:trPr>
          <w:trHeight w:val="1149"/>
        </w:trPr>
        <w:tc>
          <w:tcPr>
            <w:tcW w:w="410" w:type="pct"/>
            <w:shd w:val="clear" w:color="auto" w:fill="auto"/>
            <w:vAlign w:val="center"/>
          </w:tcPr>
          <w:p w14:paraId="40E87FAE" w14:textId="77777777" w:rsidR="00E138C3" w:rsidRPr="00E138C3" w:rsidRDefault="00E138C3" w:rsidP="00E138C3">
            <w:pPr>
              <w:spacing w:after="160" w:line="259" w:lineRule="auto"/>
              <w:rPr>
                <w:rFonts w:ascii="Tahoma" w:hAnsi="Tahoma" w:cs="Tahoma"/>
                <w:bCs/>
                <w:iCs/>
                <w:color w:val="000000"/>
                <w:sz w:val="22"/>
                <w:szCs w:val="22"/>
              </w:rPr>
            </w:pPr>
            <w:r w:rsidRPr="00E138C3">
              <w:rPr>
                <w:rFonts w:ascii="Tahoma" w:hAnsi="Tahoma" w:cs="Tahoma"/>
                <w:bCs/>
                <w:iCs/>
                <w:color w:val="000000"/>
                <w:sz w:val="22"/>
                <w:szCs w:val="22"/>
              </w:rPr>
              <w:t>5.1.</w:t>
            </w:r>
          </w:p>
        </w:tc>
        <w:tc>
          <w:tcPr>
            <w:tcW w:w="1694" w:type="pct"/>
            <w:shd w:val="clear" w:color="auto" w:fill="auto"/>
            <w:vAlign w:val="center"/>
          </w:tcPr>
          <w:p w14:paraId="3277038A" w14:textId="77777777" w:rsidR="00E138C3" w:rsidRPr="00E138C3" w:rsidDel="00EB4583" w:rsidRDefault="00E138C3" w:rsidP="00E138C3">
            <w:pPr>
              <w:spacing w:after="160" w:line="259" w:lineRule="auto"/>
              <w:rPr>
                <w:rFonts w:ascii="Tahoma" w:hAnsi="Tahoma" w:cs="Tahoma"/>
                <w:bCs/>
                <w:iCs/>
                <w:color w:val="000000"/>
                <w:sz w:val="22"/>
                <w:szCs w:val="22"/>
              </w:rPr>
            </w:pPr>
            <w:r w:rsidRPr="00E138C3">
              <w:rPr>
                <w:rFonts w:ascii="Tahoma" w:hAnsi="Tahoma" w:cs="Tahoma"/>
                <w:bCs/>
                <w:iCs/>
                <w:color w:val="000000"/>
                <w:sz w:val="22"/>
                <w:szCs w:val="22"/>
              </w:rPr>
              <w:t>Программа лояльности для клиентов-держателей Банковских карт «Азиатско-Тихоокеанский Банк, (АО)», размещённой на Сайте Банка www.atb.su и Подразделениях Банка</w:t>
            </w:r>
          </w:p>
        </w:tc>
        <w:tc>
          <w:tcPr>
            <w:tcW w:w="2896" w:type="pct"/>
            <w:gridSpan w:val="4"/>
            <w:shd w:val="clear" w:color="auto" w:fill="auto"/>
            <w:vAlign w:val="center"/>
          </w:tcPr>
          <w:p w14:paraId="1ACF89FF" w14:textId="77777777" w:rsidR="00E138C3" w:rsidRPr="00E138C3" w:rsidDel="00EB4583" w:rsidRDefault="00E138C3" w:rsidP="00E138C3">
            <w:pPr>
              <w:spacing w:after="160" w:line="259" w:lineRule="auto"/>
              <w:jc w:val="center"/>
              <w:rPr>
                <w:rFonts w:ascii="Tahoma" w:hAnsi="Tahoma" w:cs="Tahoma"/>
                <w:bCs/>
                <w:iCs/>
                <w:color w:val="000000"/>
                <w:sz w:val="22"/>
                <w:szCs w:val="22"/>
              </w:rPr>
            </w:pPr>
            <w:r w:rsidRPr="00E138C3">
              <w:rPr>
                <w:rFonts w:ascii="Tahoma" w:hAnsi="Tahoma" w:cs="Tahoma"/>
                <w:bCs/>
                <w:iCs/>
                <w:color w:val="000000"/>
                <w:sz w:val="22"/>
                <w:szCs w:val="22"/>
              </w:rPr>
              <w:t xml:space="preserve">Согласно действующей </w:t>
            </w:r>
            <w:r w:rsidRPr="00E138C3">
              <w:rPr>
                <w:rFonts w:ascii="Tahoma" w:hAnsi="Tahoma" w:cs="Tahoma"/>
                <w:b/>
                <w:bCs/>
                <w:iCs/>
                <w:color w:val="000000"/>
                <w:sz w:val="22"/>
                <w:szCs w:val="22"/>
              </w:rPr>
              <w:t>Бонусной программе «Премиум-Бонус»</w:t>
            </w:r>
            <w:r w:rsidRPr="00E138C3">
              <w:rPr>
                <w:rFonts w:ascii="Tahoma" w:hAnsi="Tahoma" w:cs="Tahoma"/>
                <w:bCs/>
                <w:iCs/>
                <w:color w:val="000000"/>
                <w:sz w:val="22"/>
                <w:szCs w:val="22"/>
              </w:rPr>
              <w:t>, размещенной на Сайте Банка www.atb.su и в Подразделениях Банка</w:t>
            </w:r>
          </w:p>
        </w:tc>
      </w:tr>
      <w:tr w:rsidR="00E138C3" w:rsidRPr="00E138C3" w14:paraId="3EB5CFB9" w14:textId="77777777" w:rsidTr="003D2438">
        <w:trPr>
          <w:trHeight w:val="517"/>
        </w:trPr>
        <w:tc>
          <w:tcPr>
            <w:tcW w:w="410" w:type="pct"/>
            <w:shd w:val="clear" w:color="auto" w:fill="auto"/>
            <w:vAlign w:val="center"/>
          </w:tcPr>
          <w:p w14:paraId="06F961FF" w14:textId="77777777" w:rsidR="00E138C3" w:rsidRPr="00E138C3" w:rsidRDefault="00E138C3" w:rsidP="00E138C3">
            <w:pPr>
              <w:spacing w:after="160" w:line="259" w:lineRule="auto"/>
              <w:rPr>
                <w:rFonts w:ascii="Tahoma" w:hAnsi="Tahoma" w:cs="Tahoma"/>
                <w:bCs/>
                <w:iCs/>
                <w:color w:val="000000"/>
                <w:sz w:val="22"/>
                <w:szCs w:val="22"/>
              </w:rPr>
            </w:pPr>
            <w:r w:rsidRPr="00E138C3">
              <w:rPr>
                <w:rFonts w:ascii="Tahoma" w:hAnsi="Tahoma" w:cs="Tahoma"/>
                <w:bCs/>
                <w:iCs/>
                <w:color w:val="000000"/>
                <w:sz w:val="22"/>
                <w:szCs w:val="22"/>
              </w:rPr>
              <w:t>5.2.</w:t>
            </w:r>
          </w:p>
        </w:tc>
        <w:tc>
          <w:tcPr>
            <w:tcW w:w="1694" w:type="pct"/>
            <w:shd w:val="clear" w:color="auto" w:fill="auto"/>
            <w:vAlign w:val="center"/>
          </w:tcPr>
          <w:p w14:paraId="283125B1" w14:textId="77777777" w:rsidR="00E138C3" w:rsidRPr="00E138C3" w:rsidRDefault="00E138C3" w:rsidP="00E138C3">
            <w:pPr>
              <w:spacing w:after="160" w:line="259" w:lineRule="auto"/>
              <w:rPr>
                <w:rFonts w:ascii="Tahoma" w:hAnsi="Tahoma" w:cs="Tahoma"/>
                <w:bCs/>
                <w:iCs/>
                <w:color w:val="000000"/>
                <w:sz w:val="22"/>
                <w:szCs w:val="22"/>
              </w:rPr>
            </w:pPr>
            <w:r w:rsidRPr="00E138C3">
              <w:rPr>
                <w:rFonts w:ascii="Tahoma" w:hAnsi="Tahoma" w:cs="Tahoma"/>
                <w:bCs/>
                <w:iCs/>
                <w:color w:val="000000"/>
                <w:sz w:val="22"/>
                <w:szCs w:val="22"/>
              </w:rPr>
              <w:t>Иные программы лояльности</w:t>
            </w:r>
          </w:p>
        </w:tc>
        <w:tc>
          <w:tcPr>
            <w:tcW w:w="2896" w:type="pct"/>
            <w:gridSpan w:val="4"/>
            <w:shd w:val="clear" w:color="auto" w:fill="auto"/>
            <w:vAlign w:val="center"/>
          </w:tcPr>
          <w:p w14:paraId="007FB7AB" w14:textId="77777777" w:rsidR="00E138C3" w:rsidRPr="00E138C3" w:rsidRDefault="00E138C3" w:rsidP="00E138C3">
            <w:pPr>
              <w:spacing w:after="160" w:line="259" w:lineRule="auto"/>
              <w:jc w:val="both"/>
              <w:rPr>
                <w:rFonts w:ascii="Tahoma" w:hAnsi="Tahoma" w:cs="Tahoma"/>
                <w:bCs/>
                <w:iCs/>
                <w:color w:val="000000"/>
                <w:sz w:val="22"/>
                <w:szCs w:val="22"/>
              </w:rPr>
            </w:pPr>
            <w:r w:rsidRPr="00E138C3">
              <w:rPr>
                <w:rFonts w:ascii="Tahoma" w:hAnsi="Tahoma" w:cs="Tahoma"/>
                <w:bCs/>
                <w:iCs/>
                <w:color w:val="000000"/>
                <w:sz w:val="22"/>
                <w:szCs w:val="22"/>
              </w:rPr>
              <w:t>Услуги и сервисы в рамках программ привилегий Международных платежных систем Visa International Service Association и MasterCard Inc., а также компании Priority Pass Ltd. не предоставляются с 10.03.2022 года в связи с приостановлением деятельности указанных сервисов для карт, эмитированных российскими банками.</w:t>
            </w:r>
          </w:p>
        </w:tc>
      </w:tr>
    </w:tbl>
    <w:p w14:paraId="5FEEB350" w14:textId="77777777" w:rsidR="00E138C3" w:rsidRPr="00E138C3" w:rsidRDefault="00E138C3" w:rsidP="00E138C3">
      <w:pPr>
        <w:spacing w:after="160" w:line="259" w:lineRule="auto"/>
        <w:rPr>
          <w:rFonts w:ascii="Tahoma" w:hAnsi="Tahoma" w:cs="Tahoma"/>
          <w:b/>
          <w:bCs/>
          <w:iCs/>
          <w:color w:val="000000"/>
          <w:sz w:val="20"/>
          <w:szCs w:val="22"/>
        </w:rPr>
      </w:pPr>
      <w:r w:rsidRPr="00E138C3">
        <w:rPr>
          <w:rFonts w:ascii="Tahoma" w:hAnsi="Tahoma" w:cs="Tahoma"/>
          <w:b/>
          <w:bCs/>
          <w:iCs/>
          <w:color w:val="000000"/>
          <w:sz w:val="20"/>
          <w:szCs w:val="22"/>
        </w:rPr>
        <w:t>Примечания:</w:t>
      </w:r>
    </w:p>
    <w:p w14:paraId="6361F7D3" w14:textId="77777777" w:rsidR="00E138C3" w:rsidRPr="00E138C3" w:rsidRDefault="00E138C3" w:rsidP="00E138C3">
      <w:pPr>
        <w:tabs>
          <w:tab w:val="left" w:pos="284"/>
        </w:tabs>
        <w:jc w:val="both"/>
        <w:rPr>
          <w:rFonts w:ascii="Tahoma" w:eastAsia="Calibri" w:hAnsi="Tahoma" w:cs="Tahoma"/>
          <w:sz w:val="18"/>
          <w:szCs w:val="18"/>
          <w:lang w:eastAsia="en-US"/>
        </w:rPr>
      </w:pPr>
      <w:r w:rsidRPr="00E138C3">
        <w:rPr>
          <w:rFonts w:ascii="Tahoma" w:hAnsi="Tahoma" w:cs="Tahoma"/>
          <w:bCs/>
          <w:iCs/>
          <w:sz w:val="18"/>
          <w:szCs w:val="18"/>
          <w:vertAlign w:val="superscript"/>
        </w:rPr>
        <w:t>1</w:t>
      </w:r>
      <w:r w:rsidRPr="00E138C3">
        <w:rPr>
          <w:rFonts w:ascii="Tahoma" w:eastAsia="Calibri" w:hAnsi="Tahoma" w:cs="Tahoma"/>
          <w:sz w:val="18"/>
          <w:szCs w:val="18"/>
          <w:lang w:eastAsia="en-US"/>
        </w:rPr>
        <w:t xml:space="preserve">Все предусмотренные Программой Тарифы (комиссионные платежи) взимаются (списываются) в порядке прямого дебетования на основании заранее данного Клиентом Банку акцепта и (или) инкассовыми поручениями с любого Счета Карты, Накопительного счета Клиента в Банке, в момент совершения соответствующей операции, если иное не установлено Программой/договором с Клиентом. Списание комиссий в валюте, отличной от валюты счета списания, производится Банком по курсу Банка России на день проведения операции. Комиссии, указанные в процентах, исчисляются от суммы тарифицируемой операции. Условия, определенные Программой, имеют приоритетную силу над условиями УДБО. </w:t>
      </w:r>
    </w:p>
    <w:p w14:paraId="406D4BD8" w14:textId="77777777" w:rsidR="00E138C3" w:rsidRPr="00E138C3" w:rsidRDefault="00E138C3" w:rsidP="00E138C3">
      <w:pPr>
        <w:tabs>
          <w:tab w:val="left" w:pos="284"/>
        </w:tabs>
        <w:jc w:val="both"/>
        <w:rPr>
          <w:rFonts w:ascii="Tahoma" w:eastAsia="Calibri" w:hAnsi="Tahoma" w:cs="Tahoma"/>
          <w:sz w:val="18"/>
          <w:szCs w:val="18"/>
          <w:lang w:eastAsia="en-US"/>
        </w:rPr>
      </w:pPr>
      <w:r w:rsidRPr="00E138C3">
        <w:rPr>
          <w:rFonts w:ascii="Tahoma" w:eastAsia="Calibri" w:hAnsi="Tahoma" w:cs="Tahoma"/>
          <w:sz w:val="18"/>
          <w:szCs w:val="18"/>
          <w:lang w:eastAsia="en-US"/>
        </w:rPr>
        <w:t xml:space="preserve">По волеизъявлению Клиента ему могут быть открыты Счета, предоставлен Кредит, на основании отдельно заключаемых договоров в рамках иных программ и Тарифных планов Банка. </w:t>
      </w:r>
    </w:p>
    <w:p w14:paraId="3C03706A" w14:textId="77777777" w:rsidR="00E138C3" w:rsidRPr="00E138C3" w:rsidRDefault="00E138C3" w:rsidP="00E138C3">
      <w:pPr>
        <w:contextualSpacing/>
        <w:jc w:val="both"/>
        <w:rPr>
          <w:rFonts w:ascii="Tahoma" w:eastAsia="Calibri" w:hAnsi="Tahoma" w:cs="Tahoma"/>
          <w:sz w:val="18"/>
          <w:szCs w:val="18"/>
          <w:lang w:eastAsia="en-US"/>
        </w:rPr>
      </w:pPr>
      <w:r w:rsidRPr="00E138C3">
        <w:rPr>
          <w:rFonts w:ascii="Tahoma" w:eastAsia="Calibri" w:hAnsi="Tahoma" w:cs="Tahoma"/>
          <w:sz w:val="18"/>
          <w:szCs w:val="18"/>
          <w:lang w:eastAsia="en-US"/>
        </w:rPr>
        <w:t>Смена категории с «VIP Премьер» на «VIP Премьер+» или с «VIP Премьер+» на «VIP Премьер» или изменение условий/Тарифов/наполнения Программы услугами, оформляемых на условиях Тарифов, отличающихся от настоящих, возможен только после подписания соответствующих документов, предусматривающих такого рода изменения, с Клиентом-держателем Программы, за исключением изменений, инициируемых Банком в одностороннем порядке в случаях, предусмотренных законодательством Российской Федерации, Договором с Клиентом.</w:t>
      </w:r>
    </w:p>
    <w:p w14:paraId="6AFC6F44" w14:textId="77777777" w:rsidR="00E138C3" w:rsidRPr="00E138C3" w:rsidRDefault="00E138C3" w:rsidP="00E138C3">
      <w:pPr>
        <w:contextualSpacing/>
        <w:jc w:val="both"/>
        <w:rPr>
          <w:rFonts w:ascii="Tahoma" w:eastAsia="Calibri" w:hAnsi="Tahoma" w:cs="Tahoma"/>
          <w:sz w:val="18"/>
          <w:szCs w:val="18"/>
          <w:lang w:eastAsia="en-US"/>
        </w:rPr>
      </w:pPr>
      <w:r w:rsidRPr="00E138C3">
        <w:rPr>
          <w:rFonts w:ascii="Tahoma" w:eastAsia="Calibri" w:hAnsi="Tahoma" w:cs="Tahoma"/>
          <w:sz w:val="18"/>
          <w:szCs w:val="18"/>
          <w:lang w:eastAsia="en-US"/>
        </w:rPr>
        <w:t>Программа – настоящий документ.</w:t>
      </w:r>
    </w:p>
    <w:p w14:paraId="71457EF5" w14:textId="77777777" w:rsidR="00E138C3" w:rsidRPr="00E138C3" w:rsidRDefault="00E138C3" w:rsidP="00E138C3">
      <w:pPr>
        <w:tabs>
          <w:tab w:val="left" w:pos="284"/>
        </w:tabs>
        <w:jc w:val="both"/>
        <w:rPr>
          <w:rFonts w:ascii="Tahoma" w:eastAsia="Calibri" w:hAnsi="Tahoma" w:cs="Tahoma"/>
          <w:sz w:val="18"/>
          <w:szCs w:val="18"/>
          <w:lang w:eastAsia="en-US"/>
        </w:rPr>
      </w:pPr>
      <w:r w:rsidRPr="00E138C3">
        <w:rPr>
          <w:rFonts w:ascii="Tahoma" w:eastAsia="Calibri" w:hAnsi="Tahoma" w:cs="Tahoma"/>
          <w:sz w:val="18"/>
          <w:szCs w:val="18"/>
          <w:lang w:eastAsia="en-US"/>
        </w:rPr>
        <w:t>Премиальная категория обслуживания не присваивается Клиенту, если у него имеется перед Банком по любому Договору банковской услуги просроченная задолженность в течение последних 180 календарных дней продолжительностью (с перерывами или непрерывно) более 30 календарных дней.</w:t>
      </w:r>
    </w:p>
    <w:p w14:paraId="12247591" w14:textId="77777777" w:rsidR="00E138C3" w:rsidRPr="00E138C3" w:rsidRDefault="00E138C3" w:rsidP="00E138C3">
      <w:pPr>
        <w:tabs>
          <w:tab w:val="left" w:pos="284"/>
        </w:tabs>
        <w:jc w:val="both"/>
        <w:rPr>
          <w:rFonts w:ascii="Tahoma" w:eastAsia="Calibri" w:hAnsi="Tahoma" w:cs="Tahoma"/>
          <w:bCs/>
          <w:iCs/>
          <w:sz w:val="18"/>
          <w:szCs w:val="18"/>
          <w:lang w:eastAsia="en-US"/>
        </w:rPr>
      </w:pPr>
      <w:r w:rsidRPr="00E138C3">
        <w:rPr>
          <w:rFonts w:ascii="Tahoma" w:eastAsia="Calibri" w:hAnsi="Tahoma" w:cs="Tahoma"/>
          <w:sz w:val="18"/>
          <w:szCs w:val="18"/>
          <w:vertAlign w:val="superscript"/>
          <w:lang w:eastAsia="en-US"/>
        </w:rPr>
        <w:t>2</w:t>
      </w:r>
      <w:r w:rsidRPr="00E138C3">
        <w:rPr>
          <w:rFonts w:ascii="Tahoma" w:eastAsia="Calibri" w:hAnsi="Tahoma" w:cs="Tahoma"/>
          <w:sz w:val="18"/>
          <w:szCs w:val="18"/>
          <w:lang w:eastAsia="en-US"/>
        </w:rPr>
        <w:t>Термины, значение которых не приведено в Программе, применяются в значении, определенном в Универсальном договоре банковского обслуживания (по тексту – УДБО), размещенном на Сайте Банка www.atb.su, в Подразделениях Банка, Интернет-Банке и Мобильном Банке.</w:t>
      </w:r>
      <w:r w:rsidRPr="00E138C3">
        <w:rPr>
          <w:rFonts w:ascii="Tahoma" w:eastAsia="Calibri" w:hAnsi="Tahoma" w:cs="Tahoma"/>
          <w:sz w:val="18"/>
          <w:szCs w:val="18"/>
          <w:vertAlign w:val="superscript"/>
          <w:lang w:eastAsia="en-US"/>
        </w:rPr>
        <w:t>3</w:t>
      </w:r>
      <w:r w:rsidRPr="00E138C3">
        <w:rPr>
          <w:rFonts w:ascii="Tahoma" w:eastAsia="Calibri" w:hAnsi="Tahoma" w:cs="Tahoma"/>
          <w:bCs/>
          <w:iCs/>
          <w:sz w:val="18"/>
          <w:szCs w:val="18"/>
          <w:lang w:eastAsia="en-US"/>
        </w:rPr>
        <w:t>Порядок начисления и взимания Банком комиссионного вознаграждения, установленного Программой, для Клиентов-держателей Программы (взимается до оказания Банком услуги, если иное не установлено Программой):</w:t>
      </w:r>
    </w:p>
    <w:p w14:paraId="1BBEF932" w14:textId="77777777" w:rsidR="00E138C3" w:rsidRPr="00E138C3" w:rsidRDefault="00E138C3" w:rsidP="00E138C3">
      <w:pPr>
        <w:numPr>
          <w:ilvl w:val="1"/>
          <w:numId w:val="22"/>
        </w:numPr>
        <w:autoSpaceDE w:val="0"/>
        <w:autoSpaceDN w:val="0"/>
        <w:adjustRightInd w:val="0"/>
        <w:spacing w:after="160" w:line="259" w:lineRule="auto"/>
        <w:ind w:left="567" w:hanging="414"/>
        <w:jc w:val="both"/>
        <w:rPr>
          <w:rFonts w:ascii="Tahoma" w:hAnsi="Tahoma" w:cs="Tahoma"/>
          <w:bCs/>
          <w:iCs/>
          <w:sz w:val="18"/>
          <w:szCs w:val="18"/>
        </w:rPr>
      </w:pPr>
      <w:r w:rsidRPr="00E138C3">
        <w:rPr>
          <w:rFonts w:ascii="Tahoma" w:hAnsi="Tahoma" w:cs="Tahoma"/>
          <w:bCs/>
          <w:iCs/>
          <w:sz w:val="18"/>
          <w:szCs w:val="18"/>
        </w:rPr>
        <w:t>В Льготный период – календарный месяц, в котором Клиент оформил Программу, и в котором комиссия не начисляется.</w:t>
      </w:r>
    </w:p>
    <w:p w14:paraId="086AAB84" w14:textId="77777777" w:rsidR="00E138C3" w:rsidRPr="00E138C3" w:rsidRDefault="00E138C3" w:rsidP="00E138C3">
      <w:pPr>
        <w:numPr>
          <w:ilvl w:val="1"/>
          <w:numId w:val="22"/>
        </w:numPr>
        <w:autoSpaceDE w:val="0"/>
        <w:autoSpaceDN w:val="0"/>
        <w:adjustRightInd w:val="0"/>
        <w:spacing w:after="160" w:line="259" w:lineRule="auto"/>
        <w:ind w:left="567" w:hanging="414"/>
        <w:jc w:val="both"/>
        <w:rPr>
          <w:rFonts w:ascii="Tahoma" w:hAnsi="Tahoma" w:cs="Tahoma"/>
          <w:bCs/>
          <w:iCs/>
          <w:sz w:val="18"/>
          <w:szCs w:val="18"/>
        </w:rPr>
      </w:pPr>
      <w:r w:rsidRPr="00E138C3">
        <w:rPr>
          <w:rFonts w:ascii="Tahoma" w:hAnsi="Tahoma" w:cs="Tahoma"/>
          <w:bCs/>
          <w:iCs/>
          <w:sz w:val="18"/>
          <w:szCs w:val="22"/>
        </w:rPr>
        <w:t>Со второго календарного месяца после оформления Программы и в последующие календарные месяцы обслуживания, комиссия начисляется исходя из суммы Средних остатков, суммы безналичных покупок по Карте и поступления Заработной платы</w:t>
      </w:r>
      <w:r w:rsidRPr="00E138C3">
        <w:rPr>
          <w:rFonts w:ascii="Tahoma" w:hAnsi="Tahoma" w:cs="Tahoma"/>
          <w:bCs/>
          <w:iCs/>
          <w:color w:val="FF0000"/>
          <w:sz w:val="18"/>
          <w:szCs w:val="22"/>
        </w:rPr>
        <w:t xml:space="preserve"> </w:t>
      </w:r>
      <w:r w:rsidRPr="00E138C3">
        <w:rPr>
          <w:rFonts w:ascii="Tahoma" w:hAnsi="Tahoma" w:cs="Tahoma"/>
          <w:bCs/>
          <w:iCs/>
          <w:sz w:val="18"/>
          <w:szCs w:val="22"/>
        </w:rPr>
        <w:t xml:space="preserve">на Счет Карты за каждый календарный месяц. Комиссия рассчитывается и взимается (при не соблюдении условий бесплатного обслуживания, указанных в п.2. Программы) в третьем и последующих месяцах не позднее четвертого рабочего дня месяца. </w:t>
      </w:r>
    </w:p>
    <w:p w14:paraId="7F428AD7" w14:textId="77777777" w:rsidR="00E138C3" w:rsidRPr="00E138C3" w:rsidRDefault="00E138C3" w:rsidP="00E138C3">
      <w:pPr>
        <w:numPr>
          <w:ilvl w:val="1"/>
          <w:numId w:val="22"/>
        </w:numPr>
        <w:autoSpaceDE w:val="0"/>
        <w:autoSpaceDN w:val="0"/>
        <w:adjustRightInd w:val="0"/>
        <w:spacing w:after="160" w:line="259" w:lineRule="auto"/>
        <w:ind w:left="567" w:hanging="414"/>
        <w:jc w:val="both"/>
        <w:rPr>
          <w:rFonts w:ascii="Tahoma" w:hAnsi="Tahoma" w:cs="Tahoma"/>
          <w:bCs/>
          <w:iCs/>
          <w:sz w:val="18"/>
          <w:szCs w:val="18"/>
        </w:rPr>
      </w:pPr>
      <w:r w:rsidRPr="00E138C3">
        <w:rPr>
          <w:rFonts w:ascii="Tahoma" w:hAnsi="Tahoma" w:cs="Tahoma"/>
          <w:bCs/>
          <w:iCs/>
          <w:sz w:val="18"/>
          <w:szCs w:val="18"/>
        </w:rPr>
        <w:t>При прекращении обслуживания Клиента в рамках Программы (закрытии всех Счетов) комиссия начисляется и взимается в день подачи Клиентом Заявления о закрытии последнего из Счетов, оформленного в рамках Программы. За неполный месяц при подаче такого Заявления комиссия не начисляется и не взимается (за исключением случаев расторжения Программы в Льготном периоде (п.3</w:t>
      </w:r>
      <w:r w:rsidRPr="00E138C3">
        <w:rPr>
          <w:rFonts w:ascii="Tahoma" w:hAnsi="Tahoma" w:cs="Tahoma"/>
          <w:bCs/>
          <w:iCs/>
          <w:sz w:val="18"/>
          <w:szCs w:val="18"/>
          <w:lang w:val="en-US"/>
        </w:rPr>
        <w:t>d</w:t>
      </w:r>
      <w:r w:rsidRPr="00E138C3">
        <w:rPr>
          <w:rFonts w:ascii="Tahoma" w:hAnsi="Tahoma" w:cs="Tahoma"/>
          <w:bCs/>
          <w:iCs/>
          <w:sz w:val="18"/>
          <w:szCs w:val="18"/>
        </w:rPr>
        <w:t xml:space="preserve"> </w:t>
      </w:r>
      <w:r w:rsidRPr="00E138C3">
        <w:rPr>
          <w:rFonts w:ascii="Tahoma" w:eastAsia="Calibri" w:hAnsi="Tahoma" w:cs="Tahoma"/>
          <w:bCs/>
          <w:iCs/>
          <w:color w:val="000000"/>
          <w:sz w:val="18"/>
          <w:szCs w:val="18"/>
          <w:lang w:eastAsia="en-US"/>
        </w:rPr>
        <w:t>настоящих Примечаний</w:t>
      </w:r>
      <w:r w:rsidRPr="00E138C3">
        <w:rPr>
          <w:rFonts w:ascii="Tahoma" w:hAnsi="Tahoma" w:cs="Tahoma"/>
          <w:bCs/>
          <w:iCs/>
          <w:sz w:val="18"/>
          <w:szCs w:val="18"/>
        </w:rPr>
        <w:t>).</w:t>
      </w:r>
    </w:p>
    <w:p w14:paraId="36D55A89" w14:textId="77777777" w:rsidR="00E138C3" w:rsidRPr="00E138C3" w:rsidRDefault="00E138C3" w:rsidP="00E138C3">
      <w:pPr>
        <w:numPr>
          <w:ilvl w:val="1"/>
          <w:numId w:val="22"/>
        </w:numPr>
        <w:autoSpaceDE w:val="0"/>
        <w:autoSpaceDN w:val="0"/>
        <w:adjustRightInd w:val="0"/>
        <w:spacing w:after="160" w:line="259" w:lineRule="auto"/>
        <w:ind w:left="567" w:hanging="425"/>
        <w:jc w:val="both"/>
        <w:rPr>
          <w:rFonts w:ascii="Tahoma" w:hAnsi="Tahoma" w:cs="Tahoma"/>
          <w:bCs/>
          <w:iCs/>
          <w:sz w:val="18"/>
          <w:szCs w:val="18"/>
        </w:rPr>
      </w:pPr>
      <w:r w:rsidRPr="00E138C3">
        <w:rPr>
          <w:rFonts w:ascii="Tahoma" w:hAnsi="Tahoma" w:cs="Tahoma"/>
          <w:bCs/>
          <w:iCs/>
          <w:sz w:val="18"/>
          <w:szCs w:val="18"/>
        </w:rPr>
        <w:t>В случае прекращения банковского обслуживания в «Азиатско-Тихоокеанский Банк» (АО) в рамках Программы в Льготном периоде по волеизъявлению Клиента, а также в иных случаях, предусмотренных законодательством РФ и заключенным Договором с Клиентом,</w:t>
      </w:r>
      <w:r w:rsidRPr="00E138C3" w:rsidDel="00B51EDB">
        <w:rPr>
          <w:rFonts w:ascii="Tahoma" w:hAnsi="Tahoma" w:cs="Tahoma"/>
          <w:bCs/>
          <w:iCs/>
          <w:sz w:val="18"/>
          <w:szCs w:val="18"/>
        </w:rPr>
        <w:t xml:space="preserve"> </w:t>
      </w:r>
      <w:r w:rsidRPr="00E138C3">
        <w:rPr>
          <w:rFonts w:ascii="Tahoma" w:hAnsi="Tahoma" w:cs="Tahoma"/>
          <w:b/>
          <w:bCs/>
          <w:iCs/>
          <w:sz w:val="18"/>
          <w:szCs w:val="18"/>
        </w:rPr>
        <w:t>Банк имеет право потребовать от Клиента оплаты услуг в размере суммы ежемесячного обслуживания (согласно п.2.2), за каждый месяц с момента оформления Программы до даты расторжения Договора Клиента с Банком.</w:t>
      </w:r>
    </w:p>
    <w:p w14:paraId="31FEFA22" w14:textId="77777777" w:rsidR="00E138C3" w:rsidRPr="00E138C3" w:rsidRDefault="00E138C3" w:rsidP="00E138C3">
      <w:pPr>
        <w:autoSpaceDE w:val="0"/>
        <w:autoSpaceDN w:val="0"/>
        <w:adjustRightInd w:val="0"/>
        <w:jc w:val="both"/>
        <w:rPr>
          <w:rFonts w:ascii="Tahoma" w:hAnsi="Tahoma" w:cs="Tahoma"/>
          <w:bCs/>
          <w:iCs/>
          <w:sz w:val="18"/>
          <w:szCs w:val="18"/>
        </w:rPr>
      </w:pPr>
      <w:r w:rsidRPr="00E138C3">
        <w:rPr>
          <w:rFonts w:ascii="Tahoma" w:hAnsi="Tahoma" w:cs="Tahoma"/>
          <w:bCs/>
          <w:iCs/>
          <w:sz w:val="18"/>
          <w:szCs w:val="18"/>
        </w:rPr>
        <w:t>При образовании комиссионной задолженности Клиента перед Банком, Банк имеет право в одностороннем порядке приостановить действие Карт Клиента, выпущенных в рамках Программы, и Программы лояльности, действующей в рамках Программы (операции по Счетам без использования Карт/реквизитов Карт остаются доступными), до даты погашения этой комиссионной задолженности, за исключением случаев, предусмотренных законодательством РФ.</w:t>
      </w:r>
    </w:p>
    <w:p w14:paraId="1DCEC551" w14:textId="77777777" w:rsidR="00E138C3" w:rsidRPr="00E138C3" w:rsidRDefault="00E138C3" w:rsidP="00E138C3">
      <w:pPr>
        <w:autoSpaceDE w:val="0"/>
        <w:autoSpaceDN w:val="0"/>
        <w:adjustRightInd w:val="0"/>
        <w:jc w:val="both"/>
        <w:rPr>
          <w:rFonts w:ascii="Tahoma" w:hAnsi="Tahoma" w:cs="Tahoma"/>
          <w:bCs/>
          <w:iCs/>
          <w:sz w:val="18"/>
          <w:szCs w:val="18"/>
        </w:rPr>
      </w:pPr>
      <w:r w:rsidRPr="00E138C3">
        <w:rPr>
          <w:rFonts w:ascii="Tahoma" w:hAnsi="Tahoma" w:cs="Tahoma"/>
          <w:bCs/>
          <w:iCs/>
          <w:sz w:val="18"/>
          <w:szCs w:val="18"/>
          <w:lang w:val="en-US"/>
        </w:rPr>
        <w:t>C</w:t>
      </w:r>
      <w:r w:rsidRPr="00E138C3">
        <w:rPr>
          <w:rFonts w:ascii="Tahoma" w:hAnsi="Tahoma" w:cs="Tahoma"/>
          <w:bCs/>
          <w:iCs/>
          <w:sz w:val="18"/>
          <w:szCs w:val="18"/>
        </w:rPr>
        <w:t>писание комиссии за обслуживание Программы осуществляется единовременно с любых Счетов Клиента, открытых в рамках Программы, в следующей очередности (</w:t>
      </w:r>
      <w:r w:rsidRPr="00E138C3">
        <w:rPr>
          <w:rFonts w:ascii="Tahoma" w:eastAsia="Calibri" w:hAnsi="Tahoma" w:cs="Tahoma"/>
          <w:bCs/>
          <w:iCs/>
          <w:color w:val="000000"/>
          <w:sz w:val="18"/>
          <w:szCs w:val="18"/>
          <w:lang w:eastAsia="en-US"/>
        </w:rPr>
        <w:t>с учетом п.1 настоящих Примечаний, если иное не установлено настоящим пунктом)</w:t>
      </w:r>
      <w:r w:rsidRPr="00E138C3">
        <w:rPr>
          <w:rFonts w:ascii="Tahoma" w:hAnsi="Tahoma" w:cs="Tahoma"/>
          <w:bCs/>
          <w:iCs/>
          <w:sz w:val="18"/>
          <w:szCs w:val="18"/>
        </w:rPr>
        <w:t>:</w:t>
      </w:r>
    </w:p>
    <w:p w14:paraId="20747B89" w14:textId="77777777" w:rsidR="00E138C3" w:rsidRPr="00E138C3" w:rsidRDefault="00E138C3" w:rsidP="00E138C3">
      <w:pPr>
        <w:autoSpaceDE w:val="0"/>
        <w:autoSpaceDN w:val="0"/>
        <w:adjustRightInd w:val="0"/>
        <w:ind w:left="284"/>
        <w:jc w:val="both"/>
        <w:rPr>
          <w:rFonts w:ascii="Tahoma" w:hAnsi="Tahoma" w:cs="Tahoma"/>
          <w:bCs/>
          <w:iCs/>
          <w:sz w:val="18"/>
          <w:szCs w:val="18"/>
        </w:rPr>
      </w:pPr>
      <w:r w:rsidRPr="00E138C3">
        <w:rPr>
          <w:rFonts w:ascii="Tahoma" w:hAnsi="Tahoma" w:cs="Tahoma"/>
          <w:b/>
          <w:bCs/>
          <w:iCs/>
          <w:sz w:val="18"/>
          <w:szCs w:val="18"/>
        </w:rPr>
        <w:t>(1)</w:t>
      </w:r>
      <w:r w:rsidRPr="00E138C3">
        <w:rPr>
          <w:rFonts w:ascii="Tahoma" w:hAnsi="Tahoma" w:cs="Tahoma"/>
          <w:bCs/>
          <w:iCs/>
          <w:sz w:val="18"/>
          <w:szCs w:val="18"/>
        </w:rPr>
        <w:t xml:space="preserve"> Накопительные счета в рублях РФ; </w:t>
      </w:r>
      <w:r w:rsidRPr="00E138C3">
        <w:rPr>
          <w:rFonts w:ascii="Tahoma" w:hAnsi="Tahoma" w:cs="Tahoma"/>
          <w:b/>
          <w:bCs/>
          <w:iCs/>
          <w:sz w:val="18"/>
          <w:szCs w:val="18"/>
        </w:rPr>
        <w:t>(2)</w:t>
      </w:r>
      <w:r w:rsidRPr="00E138C3">
        <w:rPr>
          <w:rFonts w:ascii="Tahoma" w:hAnsi="Tahoma" w:cs="Tahoma"/>
          <w:bCs/>
          <w:iCs/>
          <w:sz w:val="18"/>
          <w:szCs w:val="18"/>
        </w:rPr>
        <w:t xml:space="preserve"> Счета Карты в рублях РФ; </w:t>
      </w:r>
      <w:r w:rsidRPr="00E138C3">
        <w:rPr>
          <w:rFonts w:ascii="Tahoma" w:hAnsi="Tahoma" w:cs="Tahoma"/>
          <w:b/>
          <w:bCs/>
          <w:iCs/>
          <w:sz w:val="18"/>
          <w:szCs w:val="18"/>
        </w:rPr>
        <w:t>(3)</w:t>
      </w:r>
      <w:r w:rsidRPr="00E138C3">
        <w:rPr>
          <w:rFonts w:ascii="Tahoma" w:hAnsi="Tahoma" w:cs="Tahoma"/>
          <w:bCs/>
          <w:iCs/>
          <w:sz w:val="18"/>
          <w:szCs w:val="18"/>
        </w:rPr>
        <w:t xml:space="preserve"> Накопительные счета в долларах США, далее в Евро, далее в иных валютах; </w:t>
      </w:r>
      <w:r w:rsidRPr="00E138C3">
        <w:rPr>
          <w:rFonts w:ascii="Tahoma" w:hAnsi="Tahoma" w:cs="Tahoma"/>
          <w:b/>
          <w:bCs/>
          <w:iCs/>
          <w:sz w:val="18"/>
          <w:szCs w:val="18"/>
        </w:rPr>
        <w:t>(4)</w:t>
      </w:r>
      <w:r w:rsidRPr="00E138C3">
        <w:rPr>
          <w:rFonts w:ascii="Tahoma" w:hAnsi="Tahoma" w:cs="Tahoma"/>
          <w:bCs/>
          <w:iCs/>
          <w:sz w:val="18"/>
          <w:szCs w:val="18"/>
        </w:rPr>
        <w:t xml:space="preserve"> Счета Карт в долларах США, далее в евро; </w:t>
      </w:r>
      <w:r w:rsidRPr="00E138C3">
        <w:rPr>
          <w:rFonts w:ascii="Tahoma" w:hAnsi="Tahoma" w:cs="Tahoma"/>
          <w:b/>
          <w:bCs/>
          <w:iCs/>
          <w:sz w:val="18"/>
          <w:szCs w:val="18"/>
        </w:rPr>
        <w:t>(6)</w:t>
      </w:r>
      <w:r w:rsidRPr="00E138C3">
        <w:rPr>
          <w:rFonts w:ascii="Tahoma" w:hAnsi="Tahoma" w:cs="Tahoma"/>
          <w:bCs/>
          <w:iCs/>
          <w:sz w:val="18"/>
          <w:szCs w:val="18"/>
        </w:rPr>
        <w:t xml:space="preserve"> п</w:t>
      </w:r>
      <w:r w:rsidRPr="00E138C3">
        <w:rPr>
          <w:rFonts w:ascii="Tahoma" w:eastAsia="Calibri" w:hAnsi="Tahoma" w:cs="Tahoma"/>
          <w:color w:val="000000"/>
          <w:sz w:val="18"/>
          <w:szCs w:val="18"/>
          <w:lang w:eastAsia="en-US"/>
        </w:rPr>
        <w:t>ри отсутствии или недостаточности денежных средств для списания комиссионных платежей с банковских Счетов, открытых в рамках Программы, Банк вправе производить списание с иных банковских Счетов, открытых на имя Клиента-физического лица в Банке</w:t>
      </w:r>
      <w:r w:rsidRPr="00E138C3">
        <w:rPr>
          <w:rFonts w:ascii="Tahoma" w:hAnsi="Tahoma" w:cs="Tahoma"/>
          <w:bCs/>
          <w:iCs/>
          <w:sz w:val="18"/>
          <w:szCs w:val="18"/>
        </w:rPr>
        <w:t xml:space="preserve">. </w:t>
      </w:r>
    </w:p>
    <w:p w14:paraId="2FB3F8B5" w14:textId="77777777" w:rsidR="00E138C3" w:rsidRPr="00E138C3" w:rsidRDefault="00E138C3" w:rsidP="00E138C3">
      <w:pPr>
        <w:autoSpaceDE w:val="0"/>
        <w:autoSpaceDN w:val="0"/>
        <w:adjustRightInd w:val="0"/>
        <w:jc w:val="both"/>
        <w:rPr>
          <w:rFonts w:ascii="Calibri" w:eastAsia="Calibri" w:hAnsi="Calibri" w:cs="Calibri"/>
          <w:color w:val="000000"/>
        </w:rPr>
      </w:pPr>
      <w:r w:rsidRPr="00E138C3">
        <w:rPr>
          <w:rFonts w:ascii="Tahoma" w:hAnsi="Tahoma" w:cs="Tahoma"/>
          <w:bCs/>
          <w:iCs/>
          <w:sz w:val="18"/>
          <w:szCs w:val="22"/>
        </w:rPr>
        <w:t>При недостаточности средств для списания комиссии в полном объеме на первом Счете по списку очередности, допускается частичное списание средств с каждого из последующих Счетов до взимания комиссии в полном объеме</w:t>
      </w:r>
      <w:r w:rsidRPr="00E138C3">
        <w:rPr>
          <w:rFonts w:ascii="Tahoma" w:hAnsi="Tahoma" w:cs="Tahoma"/>
          <w:bCs/>
          <w:iCs/>
          <w:color w:val="000000"/>
          <w:sz w:val="18"/>
        </w:rPr>
        <w:t>.</w:t>
      </w:r>
    </w:p>
    <w:p w14:paraId="26590B9A" w14:textId="77777777" w:rsidR="00E138C3" w:rsidRPr="00E138C3" w:rsidRDefault="00E138C3" w:rsidP="00E138C3">
      <w:pPr>
        <w:tabs>
          <w:tab w:val="left" w:pos="284"/>
        </w:tabs>
        <w:jc w:val="both"/>
        <w:rPr>
          <w:rFonts w:ascii="Tahoma" w:hAnsi="Tahoma" w:cs="Tahoma"/>
          <w:bCs/>
          <w:iCs/>
          <w:sz w:val="18"/>
          <w:szCs w:val="18"/>
        </w:rPr>
      </w:pPr>
      <w:r w:rsidRPr="00E138C3">
        <w:rPr>
          <w:rFonts w:ascii="Tahoma" w:hAnsi="Tahoma" w:cs="Tahoma"/>
          <w:bCs/>
          <w:iCs/>
          <w:sz w:val="18"/>
          <w:szCs w:val="18"/>
          <w:vertAlign w:val="superscript"/>
        </w:rPr>
        <w:t>4</w:t>
      </w:r>
      <w:r w:rsidRPr="00E138C3">
        <w:rPr>
          <w:rFonts w:ascii="Tahoma" w:hAnsi="Tahoma" w:cs="Tahoma"/>
          <w:bCs/>
          <w:iCs/>
          <w:sz w:val="18"/>
          <w:szCs w:val="18"/>
        </w:rPr>
        <w:t xml:space="preserve">Средние остатки (для условий бесплатного обслуживания Программы) – это совокупный баланс размещений денежных средств на Счетах Клиента в Банке, рассчитанный путем сложения ежедневных входящих остатков денежных средств на следующих счетах Клиента в Банке: Накопительных счетах, Счетах вклада, Текущих банковских счетах; остатки на банковских Счетах в драгоценных металлах (Счета ДМ), брокерских и Счетах Карт Клиента, в течение календарного месяца и деления этой суммы на количество дней в этом месяце (здесь и далее под месяцем понимается календарный месяц – это дни с 01-го по последний день месяца). При расчете Средних остатков за месяц подключения Программы деление производится на фактическое количество дней обслуживания (действия Программы) в этом месяце. Ежедневные входящие остатки в иностранной валюте принимаются в расчет по курсу ЦБ РФ на каждый день. </w:t>
      </w:r>
    </w:p>
    <w:p w14:paraId="411ED03D" w14:textId="77777777" w:rsidR="00E138C3" w:rsidRPr="00E138C3" w:rsidRDefault="00E138C3" w:rsidP="00E138C3">
      <w:pPr>
        <w:jc w:val="both"/>
        <w:rPr>
          <w:rFonts w:ascii="Tahoma" w:hAnsi="Tahoma" w:cs="Tahoma"/>
          <w:bCs/>
          <w:iCs/>
          <w:sz w:val="18"/>
          <w:szCs w:val="18"/>
        </w:rPr>
      </w:pPr>
      <w:r w:rsidRPr="00E138C3">
        <w:rPr>
          <w:rFonts w:ascii="Tahoma" w:hAnsi="Tahoma" w:cs="Tahoma"/>
          <w:bCs/>
          <w:iCs/>
          <w:sz w:val="18"/>
          <w:szCs w:val="18"/>
          <w:vertAlign w:val="superscript"/>
        </w:rPr>
        <w:t>5</w:t>
      </w:r>
      <w:r w:rsidRPr="00E138C3">
        <w:rPr>
          <w:rFonts w:ascii="Tahoma" w:hAnsi="Tahoma" w:cs="Tahoma"/>
          <w:bCs/>
          <w:iCs/>
          <w:sz w:val="18"/>
          <w:szCs w:val="18"/>
        </w:rPr>
        <w:t>Сумма покупок (Транзакций) – это сумма операций, совершенных Клиентом (за Отчетный период) при покупке товаров, работ, результатов интеллектуальной деятельности, услуг в ТСП по всем Картам (за исключением Карт с лимитом кредитования), эмитированным Банком в рамках Программы. В расчет Суммы покупок принимаются операции, отраженные по балансу Банка. Операции в иностранной валюте принимаются в расчет по курсу Банка на момент их совершения. Денежные переводы со Счёта Карты Клиента между своими счетами или на счета третьих лиц (открытые как в Банке, так и в других кредитных организациях), переводы с карты на карту и квази-кэш, оплата товаров (услуг, работ, результатов интеллектуальной деятельности) в разделе «Платежи» Интернет-Банка и/или Мобильного Банка; платежи и переводы с целью пополнения любых виртуальных и/или электронных кошельков, или иных электронных денежных средств; операции с МСС-кодами: 4829, 6012, 6050, 6529, 6530, 6531, 6532, 6533, 6534, 6536, 6537, 6538, 6051, 6540, 7372, 7399, 7995, 8999 в расчет суммы покупок не включаются.</w:t>
      </w:r>
    </w:p>
    <w:p w14:paraId="56277DF7" w14:textId="77777777" w:rsidR="00E138C3" w:rsidRPr="00E138C3" w:rsidRDefault="00E138C3" w:rsidP="00E138C3">
      <w:pPr>
        <w:jc w:val="both"/>
        <w:rPr>
          <w:rFonts w:ascii="Tahoma" w:hAnsi="Tahoma" w:cs="Tahoma"/>
          <w:bCs/>
          <w:iCs/>
          <w:sz w:val="18"/>
          <w:szCs w:val="18"/>
        </w:rPr>
      </w:pPr>
      <w:r w:rsidRPr="00E138C3">
        <w:rPr>
          <w:rFonts w:ascii="Tahoma" w:hAnsi="Tahoma" w:cs="Tahoma"/>
          <w:bCs/>
          <w:iCs/>
          <w:sz w:val="18"/>
          <w:szCs w:val="18"/>
        </w:rPr>
        <w:t>Для Карт в иностранных валютах в расчет Суммы покупок принимаются эквиваленты значений, указанные в п.2.3.2. и п.2.3.3. по курсу Банка на дату совершения Операций.</w:t>
      </w:r>
    </w:p>
    <w:p w14:paraId="44184359" w14:textId="77777777" w:rsidR="00E138C3" w:rsidRPr="00E138C3" w:rsidRDefault="00E138C3" w:rsidP="00E138C3">
      <w:pPr>
        <w:jc w:val="both"/>
        <w:rPr>
          <w:rFonts w:ascii="Tahoma" w:hAnsi="Tahoma" w:cs="Tahoma"/>
          <w:bCs/>
          <w:iCs/>
          <w:sz w:val="18"/>
          <w:szCs w:val="18"/>
        </w:rPr>
      </w:pPr>
      <w:r w:rsidRPr="00E138C3">
        <w:rPr>
          <w:rFonts w:ascii="Tahoma" w:hAnsi="Tahoma" w:cs="Tahoma"/>
          <w:bCs/>
          <w:iCs/>
          <w:sz w:val="18"/>
          <w:szCs w:val="18"/>
          <w:vertAlign w:val="superscript"/>
        </w:rPr>
        <w:t>6</w:t>
      </w:r>
      <w:r w:rsidRPr="00E138C3">
        <w:rPr>
          <w:rFonts w:ascii="Tahoma" w:eastAsia="Calibri" w:hAnsi="Tahoma" w:cs="Tahoma"/>
          <w:sz w:val="18"/>
          <w:szCs w:val="18"/>
          <w:lang w:eastAsia="en-US"/>
        </w:rPr>
        <w:t>Под «Заработной платой» понимаются исключительно поступления денежных средств на счет Карты Клиента, которые можно отнести к таковым согласно действующему законодательству РФ. В случае смещения дат поступления денежных средств (учитываемых в качестве Заработной платы, от Работодателя Клиента на счет Карты Клиента) в календарном месяце в связи с праздничными нерабочими днями в соответствии с действующим законодательством Российской Федерации и/или выходными днями</w:t>
      </w:r>
      <w:r w:rsidRPr="00E138C3">
        <w:rPr>
          <w:rFonts w:ascii="Calibri" w:eastAsia="Calibri" w:hAnsi="Calibri"/>
          <w:sz w:val="22"/>
          <w:szCs w:val="22"/>
          <w:lang w:eastAsia="en-US"/>
        </w:rPr>
        <w:t xml:space="preserve"> </w:t>
      </w:r>
      <w:r w:rsidRPr="00E138C3">
        <w:rPr>
          <w:rFonts w:ascii="Tahoma" w:eastAsia="Calibri" w:hAnsi="Tahoma" w:cs="Tahoma"/>
          <w:sz w:val="18"/>
          <w:szCs w:val="18"/>
          <w:lang w:eastAsia="en-US"/>
        </w:rPr>
        <w:t>(под выходными днями понимаются суббота и воскресенье, за исключением случаев переноса в соответствии с законодательством Российской Федерации выходных дней на другие дни), Банк учитывает среднюю сумму поступлений денежных средств (учитываемых в качестве Заработной платы, от Работодателя Клиента на счет Карты Клиента) за два календарных месяца, предшествующих месяцу начисления комиссии за обслуживание Программы. Банк не несет ответственности за расходы, понесенные Клиентом (взимание комиссии за обслуживание Программы), вследствие поступления денежных средств (учитываемых в качестве Заработной платы, от Работодателя Клиента на счет Карты Клиента) в календарном месяце и/или в течение двух календарных месяцев (в случаях смещения дат поступления денежных средств в связи с праздничными и/или выходными днями), предшествующих месяцу начисления комиссии за обслуживание Программы, в сумме, недостаточной для выполнения условий бесплатного обслуживания Программы.</w:t>
      </w:r>
    </w:p>
    <w:p w14:paraId="71DC8645" w14:textId="77777777" w:rsidR="00E138C3" w:rsidRPr="00E138C3" w:rsidRDefault="00E138C3" w:rsidP="00E138C3">
      <w:pPr>
        <w:jc w:val="both"/>
        <w:rPr>
          <w:rFonts w:ascii="Tahoma" w:eastAsia="Calibri" w:hAnsi="Tahoma" w:cs="Tahoma"/>
          <w:sz w:val="18"/>
          <w:szCs w:val="18"/>
          <w:lang w:eastAsia="en-US"/>
        </w:rPr>
      </w:pPr>
      <w:r w:rsidRPr="00E138C3">
        <w:rPr>
          <w:rFonts w:ascii="Tahoma" w:hAnsi="Tahoma" w:cs="Tahoma"/>
          <w:bCs/>
          <w:iCs/>
          <w:sz w:val="18"/>
          <w:szCs w:val="18"/>
          <w:vertAlign w:val="superscript"/>
        </w:rPr>
        <w:t>7</w:t>
      </w:r>
      <w:r w:rsidRPr="00E138C3">
        <w:rPr>
          <w:rFonts w:ascii="Tahoma" w:hAnsi="Tahoma" w:cs="Tahoma"/>
          <w:bCs/>
          <w:iCs/>
          <w:sz w:val="18"/>
          <w:szCs w:val="18"/>
        </w:rPr>
        <w:t xml:space="preserve">В рамках Программы под «Накопительным счетом» понимается ТБС, открываемый Банком Клиенту в соответствии с условиями УДБО. </w:t>
      </w:r>
      <w:r w:rsidRPr="00E138C3">
        <w:rPr>
          <w:rFonts w:ascii="Tahoma" w:eastAsia="Calibri" w:hAnsi="Tahoma" w:cs="Tahoma"/>
          <w:sz w:val="18"/>
          <w:szCs w:val="18"/>
          <w:lang w:eastAsia="en-US"/>
        </w:rPr>
        <w:t>Правоотношения Банка и Клиента по услуге «Накопительный счет» регулируются «Общими условиями открытия физическими лицами вкладов, текущего банковского счета в «Азиатско-Тихоокеанский Банк» (АО)» (Приложение № 1 к УДБО).</w:t>
      </w:r>
    </w:p>
    <w:p w14:paraId="3417F636" w14:textId="77777777" w:rsidR="00E138C3" w:rsidRPr="00E138C3" w:rsidRDefault="00E138C3" w:rsidP="00E138C3">
      <w:pPr>
        <w:jc w:val="both"/>
        <w:rPr>
          <w:rFonts w:ascii="Tahoma" w:hAnsi="Tahoma" w:cs="Tahoma"/>
          <w:bCs/>
          <w:iCs/>
          <w:sz w:val="18"/>
          <w:szCs w:val="18"/>
        </w:rPr>
      </w:pPr>
      <w:r w:rsidRPr="00E138C3">
        <w:rPr>
          <w:rFonts w:ascii="Tahoma" w:eastAsia="Calibri" w:hAnsi="Tahoma" w:cs="Tahoma"/>
          <w:sz w:val="18"/>
          <w:szCs w:val="18"/>
          <w:vertAlign w:val="superscript"/>
          <w:lang w:eastAsia="en-US"/>
        </w:rPr>
        <w:t>8</w:t>
      </w:r>
      <w:r w:rsidRPr="00E138C3">
        <w:rPr>
          <w:rFonts w:ascii="Tahoma" w:hAnsi="Tahoma" w:cs="Tahoma"/>
          <w:bCs/>
          <w:iCs/>
          <w:sz w:val="18"/>
          <w:szCs w:val="18"/>
        </w:rPr>
        <w:t>Оформление Счетов (в т.ч. Накопительных счетов) в валютах доллары США/Евро в рамках Программы не осуществляется с 01.08.2022 года для всех Клиентов-держателей Программы.</w:t>
      </w:r>
    </w:p>
    <w:p w14:paraId="164D33E3" w14:textId="77777777" w:rsidR="00E138C3" w:rsidRPr="00E138C3" w:rsidRDefault="00E138C3" w:rsidP="00E138C3">
      <w:pPr>
        <w:jc w:val="both"/>
        <w:rPr>
          <w:rFonts w:ascii="Tahoma" w:hAnsi="Tahoma" w:cs="Tahoma"/>
          <w:bCs/>
          <w:iCs/>
          <w:sz w:val="18"/>
          <w:szCs w:val="18"/>
        </w:rPr>
      </w:pPr>
      <w:r w:rsidRPr="00E138C3">
        <w:rPr>
          <w:rFonts w:ascii="Tahoma" w:eastAsia="Calibri" w:hAnsi="Tahoma" w:cs="Tahoma"/>
          <w:sz w:val="18"/>
          <w:szCs w:val="18"/>
          <w:vertAlign w:val="superscript"/>
          <w:lang w:eastAsia="en-US"/>
        </w:rPr>
        <w:t>9</w:t>
      </w:r>
      <w:r w:rsidRPr="00E138C3">
        <w:rPr>
          <w:rFonts w:ascii="Tahoma" w:hAnsi="Tahoma" w:cs="Tahoma"/>
          <w:bCs/>
          <w:iCs/>
          <w:sz w:val="18"/>
          <w:szCs w:val="18"/>
        </w:rPr>
        <w:t>Ежедневный остаток по Накопительному счету – это совокупный баланс денежных средств на Накопительном счете, рассчитанный путем сложения ежедневных входящих остатков денежных средств на Накопительном счете Клиента в течение календарного месяца (далее – Период) и деления этой суммы на количество дней в этом месяце. Первый Период исчисляется со дня, следующего за днем поступления денежных средств на указанный в настоящем пункте Накопительный счет по последний календарный месяц (включительно). Последующие Периоды исчисляются ежемесячно с 1-го числа каждого календарного месяца по последний календарный месяц (включительно). Выплата Банком Клиенту начисленных процентов производится на Накопительный счет в последний день месяца.</w:t>
      </w:r>
    </w:p>
    <w:p w14:paraId="2ACC3CC5" w14:textId="77777777" w:rsidR="00E138C3" w:rsidRPr="00E138C3" w:rsidRDefault="00E138C3" w:rsidP="00E138C3">
      <w:pPr>
        <w:jc w:val="both"/>
        <w:rPr>
          <w:rFonts w:ascii="Tahoma" w:hAnsi="Tahoma" w:cs="Tahoma"/>
          <w:bCs/>
          <w:iCs/>
          <w:sz w:val="18"/>
          <w:szCs w:val="18"/>
        </w:rPr>
      </w:pPr>
      <w:r w:rsidRPr="00E138C3">
        <w:rPr>
          <w:rFonts w:ascii="Tahoma" w:hAnsi="Tahoma" w:cs="Tahoma"/>
          <w:bCs/>
          <w:iCs/>
          <w:sz w:val="18"/>
          <w:szCs w:val="18"/>
        </w:rPr>
        <w:t>Дополнительные условия, влияющие на процентную ставку: процентная ставка по Накопительному счету в рублях устанавливается на дату оформления нового Накопительного счета в рублях (заключения договора), а для Клиентов, оформивших Накопительные счета в рублях по 31.10.2024г. включительно, с 01.11.2024г. Процентная ставка по Накопительному счету в юанях устанавливается на дату оформления нового Накопительного счета в юанях (заключения договора) с 10.07.2024г., а для Клиентов, оформивших Накопительные счета в юанях по 10.07.2024г. включительно, с 10.07.2024г. Размеры процентных ставок определяются Программой, являющейся неотъемлемой (составной) частью Тарифов Банка. В случае внесения изменений в Тарифы Банка Банк информирует Клиента в порядке, предусмотренном УДБО.</w:t>
      </w:r>
    </w:p>
    <w:p w14:paraId="784418F8" w14:textId="77777777" w:rsidR="00E138C3" w:rsidRPr="00E138C3" w:rsidRDefault="00E138C3" w:rsidP="00E138C3">
      <w:pPr>
        <w:jc w:val="both"/>
        <w:rPr>
          <w:rFonts w:ascii="Tahoma" w:eastAsia="Calibri" w:hAnsi="Tahoma" w:cs="Tahoma"/>
          <w:sz w:val="18"/>
          <w:szCs w:val="18"/>
          <w:lang w:eastAsia="en-US"/>
        </w:rPr>
      </w:pPr>
      <w:r w:rsidRPr="00E138C3">
        <w:rPr>
          <w:rFonts w:ascii="Tahoma" w:hAnsi="Tahoma" w:cs="Tahoma"/>
          <w:bCs/>
          <w:iCs/>
          <w:sz w:val="18"/>
          <w:szCs w:val="18"/>
          <w:vertAlign w:val="superscript"/>
        </w:rPr>
        <w:t>10</w:t>
      </w:r>
      <w:r w:rsidRPr="00E138C3">
        <w:rPr>
          <w:rFonts w:ascii="Tahoma" w:hAnsi="Tahoma" w:cs="Tahoma"/>
          <w:bCs/>
          <w:iCs/>
          <w:sz w:val="18"/>
          <w:szCs w:val="18"/>
        </w:rPr>
        <w:t>Оформление</w:t>
      </w:r>
      <w:r w:rsidRPr="00E138C3">
        <w:rPr>
          <w:rFonts w:ascii="Tahoma" w:eastAsia="Calibri" w:hAnsi="Tahoma" w:cs="Tahoma"/>
          <w:sz w:val="18"/>
          <w:szCs w:val="18"/>
          <w:lang w:eastAsia="en-US"/>
        </w:rPr>
        <w:t xml:space="preserve"> Накопительных счетов в валюте юань осуществляется при волеизъявлении Клиента, не является обязательной услугой для оформления Программы.</w:t>
      </w:r>
    </w:p>
    <w:p w14:paraId="677EE644" w14:textId="77777777" w:rsidR="00E138C3" w:rsidRPr="00E138C3" w:rsidRDefault="00E138C3" w:rsidP="00E138C3">
      <w:pPr>
        <w:ind w:firstLine="34"/>
        <w:jc w:val="both"/>
        <w:rPr>
          <w:rFonts w:ascii="Tahoma" w:hAnsi="Tahoma" w:cs="Tahoma"/>
          <w:bCs/>
          <w:iCs/>
          <w:sz w:val="18"/>
          <w:szCs w:val="18"/>
        </w:rPr>
      </w:pPr>
      <w:r w:rsidRPr="00E138C3">
        <w:rPr>
          <w:rFonts w:ascii="Tahoma" w:hAnsi="Tahoma" w:cs="Tahoma"/>
          <w:bCs/>
          <w:iCs/>
          <w:sz w:val="18"/>
          <w:szCs w:val="18"/>
          <w:vertAlign w:val="superscript"/>
        </w:rPr>
        <w:t>11</w:t>
      </w:r>
      <w:r w:rsidRPr="00E138C3">
        <w:rPr>
          <w:rFonts w:ascii="Tahoma" w:hAnsi="Tahoma" w:cs="Tahoma"/>
          <w:bCs/>
          <w:iCs/>
          <w:sz w:val="18"/>
          <w:szCs w:val="18"/>
        </w:rPr>
        <w:t>Минимальный остаток по Накопительному счету рассчитывается путем анализа ежедневных входящих остатков денежных средств на Накопительном счете Клиента в течение календарного месяца. Проценты начисляются на сумму минимального остатка средств в анализируемом периоде. Выплата начисленных процентов производится на Накопительный счет не позднее пятого рабочего дня месяца, следующего за месяцем начисления процентов.</w:t>
      </w:r>
    </w:p>
    <w:p w14:paraId="0A54A86E" w14:textId="77777777" w:rsidR="00E138C3" w:rsidRPr="00E138C3" w:rsidRDefault="00E138C3" w:rsidP="00E138C3">
      <w:pPr>
        <w:ind w:firstLine="34"/>
        <w:jc w:val="both"/>
        <w:rPr>
          <w:rFonts w:ascii="Tahoma" w:eastAsia="Calibri" w:hAnsi="Tahoma" w:cs="Tahoma"/>
          <w:sz w:val="18"/>
          <w:szCs w:val="18"/>
          <w:lang w:eastAsia="en-US"/>
        </w:rPr>
      </w:pPr>
      <w:r w:rsidRPr="00E138C3">
        <w:rPr>
          <w:rFonts w:ascii="Tahoma" w:hAnsi="Tahoma" w:cs="Tahoma"/>
          <w:bCs/>
          <w:iCs/>
          <w:sz w:val="18"/>
          <w:szCs w:val="18"/>
          <w:vertAlign w:val="superscript"/>
        </w:rPr>
        <w:t>12</w:t>
      </w:r>
      <w:r w:rsidRPr="00E138C3">
        <w:rPr>
          <w:rFonts w:ascii="Tahoma" w:eastAsia="Calibri" w:hAnsi="Tahoma" w:cs="Tahoma"/>
          <w:sz w:val="18"/>
          <w:szCs w:val="18"/>
          <w:lang w:eastAsia="en-US"/>
        </w:rPr>
        <w:t xml:space="preserve">Операции по счетам и использование платежных карт осуществляются с учетом ограничений, установленных платежными системами VISA International, </w:t>
      </w:r>
      <w:r w:rsidRPr="00E138C3">
        <w:rPr>
          <w:rFonts w:ascii="Tahoma" w:eastAsia="Calibri" w:hAnsi="Tahoma" w:cs="Tahoma"/>
          <w:sz w:val="18"/>
          <w:szCs w:val="18"/>
          <w:lang w:val="en-US" w:eastAsia="en-US"/>
        </w:rPr>
        <w:t>UnionPay</w:t>
      </w:r>
      <w:r w:rsidRPr="00E138C3">
        <w:rPr>
          <w:rFonts w:ascii="Tahoma" w:eastAsia="Calibri" w:hAnsi="Tahoma" w:cs="Tahoma"/>
          <w:sz w:val="18"/>
          <w:szCs w:val="18"/>
          <w:lang w:eastAsia="en-US"/>
        </w:rPr>
        <w:t xml:space="preserve"> </w:t>
      </w:r>
      <w:r w:rsidRPr="00E138C3">
        <w:rPr>
          <w:rFonts w:ascii="Tahoma" w:eastAsia="Calibri" w:hAnsi="Tahoma" w:cs="Tahoma"/>
          <w:sz w:val="18"/>
          <w:szCs w:val="18"/>
          <w:lang w:val="en-US" w:eastAsia="en-US"/>
        </w:rPr>
        <w:t>International</w:t>
      </w:r>
      <w:r w:rsidRPr="00E138C3">
        <w:rPr>
          <w:rFonts w:ascii="Tahoma" w:eastAsia="Calibri" w:hAnsi="Tahoma" w:cs="Tahoma"/>
          <w:sz w:val="18"/>
          <w:szCs w:val="18"/>
          <w:lang w:eastAsia="en-US"/>
        </w:rPr>
        <w:t>, иными уполномоченными лицами иностранных государств, международными организациями, а также законодательством иностранных государств, Российской Федерации.</w:t>
      </w:r>
    </w:p>
    <w:p w14:paraId="6CCE42C0" w14:textId="77777777" w:rsidR="00E138C3" w:rsidRPr="00E138C3" w:rsidRDefault="00E138C3" w:rsidP="00E138C3">
      <w:pPr>
        <w:ind w:firstLine="34"/>
        <w:jc w:val="both"/>
        <w:rPr>
          <w:rFonts w:ascii="Tahoma" w:hAnsi="Tahoma" w:cs="Tahoma"/>
          <w:bCs/>
          <w:iCs/>
          <w:sz w:val="18"/>
          <w:szCs w:val="18"/>
        </w:rPr>
      </w:pPr>
      <w:r w:rsidRPr="00E138C3">
        <w:rPr>
          <w:rFonts w:ascii="Tahoma" w:eastAsia="Calibri" w:hAnsi="Tahoma" w:cs="Tahoma"/>
          <w:sz w:val="18"/>
          <w:szCs w:val="18"/>
          <w:vertAlign w:val="superscript"/>
          <w:lang w:eastAsia="en-US"/>
        </w:rPr>
        <w:t>13</w:t>
      </w:r>
      <w:r w:rsidRPr="00E138C3">
        <w:rPr>
          <w:rFonts w:ascii="Tahoma" w:hAnsi="Tahoma" w:cs="Tahoma"/>
          <w:bCs/>
          <w:iCs/>
          <w:sz w:val="18"/>
          <w:szCs w:val="18"/>
        </w:rPr>
        <w:t>Комиссионное вознаграждение на основании заранее данного Клиентом акцепта взимается единовременно при оформлении Заявления на банковское обслуживание при получении и использовании дополнительных банковских (платежных) карт Банка в рамках Программы.</w:t>
      </w:r>
    </w:p>
    <w:p w14:paraId="3FE3A1D5" w14:textId="77777777" w:rsidR="00E138C3" w:rsidRPr="00E138C3" w:rsidRDefault="00E138C3" w:rsidP="00E138C3">
      <w:pPr>
        <w:ind w:firstLine="34"/>
        <w:jc w:val="both"/>
        <w:rPr>
          <w:rFonts w:ascii="Tahoma" w:hAnsi="Tahoma" w:cs="Tahoma"/>
          <w:bCs/>
          <w:iCs/>
          <w:sz w:val="18"/>
          <w:szCs w:val="18"/>
        </w:rPr>
      </w:pPr>
      <w:r w:rsidRPr="00E138C3">
        <w:rPr>
          <w:rFonts w:ascii="Tahoma" w:hAnsi="Tahoma" w:cs="Tahoma"/>
          <w:bCs/>
          <w:iCs/>
          <w:sz w:val="18"/>
          <w:szCs w:val="18"/>
          <w:vertAlign w:val="superscript"/>
        </w:rPr>
        <w:t>14</w:t>
      </w:r>
      <w:r w:rsidRPr="00E138C3">
        <w:rPr>
          <w:rFonts w:ascii="Tahoma" w:hAnsi="Tahoma" w:cs="Tahoma"/>
          <w:bCs/>
          <w:iCs/>
          <w:sz w:val="18"/>
          <w:szCs w:val="18"/>
        </w:rPr>
        <w:t xml:space="preserve">Денежные переводы с платежной карты на платежную карту в банкоматах Банка и в пользу юридических лиц – поставщиков услуг, заключивших договор с Банком, платежи в счет оплаты коммунальных и иных услуг через Интернет-банк «АТБ-Онлайн», Мобильный банк, а также лимиты проведения операций на Сайте </w:t>
      </w:r>
      <w:hyperlink r:id="rId114" w:history="1">
        <w:r w:rsidRPr="00E138C3">
          <w:rPr>
            <w:rFonts w:ascii="Tahoma" w:hAnsi="Tahoma" w:cs="Tahoma"/>
            <w:bCs/>
            <w:iCs/>
            <w:color w:val="0563C1"/>
            <w:sz w:val="18"/>
            <w:szCs w:val="18"/>
            <w:u w:val="single"/>
            <w:lang w:val="en-US"/>
          </w:rPr>
          <w:t>www</w:t>
        </w:r>
        <w:r w:rsidRPr="00E138C3">
          <w:rPr>
            <w:rFonts w:ascii="Tahoma" w:hAnsi="Tahoma" w:cs="Tahoma"/>
            <w:bCs/>
            <w:iCs/>
            <w:color w:val="0563C1"/>
            <w:sz w:val="18"/>
            <w:szCs w:val="18"/>
            <w:u w:val="single"/>
          </w:rPr>
          <w:t>.</w:t>
        </w:r>
        <w:r w:rsidRPr="00E138C3">
          <w:rPr>
            <w:rFonts w:ascii="Tahoma" w:hAnsi="Tahoma" w:cs="Tahoma"/>
            <w:bCs/>
            <w:iCs/>
            <w:color w:val="0563C1"/>
            <w:sz w:val="18"/>
            <w:szCs w:val="18"/>
            <w:u w:val="single"/>
            <w:lang w:val="en-US"/>
          </w:rPr>
          <w:t>atb</w:t>
        </w:r>
        <w:r w:rsidRPr="00E138C3">
          <w:rPr>
            <w:rFonts w:ascii="Tahoma" w:hAnsi="Tahoma" w:cs="Tahoma"/>
            <w:bCs/>
            <w:iCs/>
            <w:color w:val="0563C1"/>
            <w:sz w:val="18"/>
            <w:szCs w:val="18"/>
            <w:u w:val="single"/>
          </w:rPr>
          <w:t>.</w:t>
        </w:r>
        <w:r w:rsidRPr="00E138C3">
          <w:rPr>
            <w:rFonts w:ascii="Tahoma" w:hAnsi="Tahoma" w:cs="Tahoma"/>
            <w:bCs/>
            <w:iCs/>
            <w:color w:val="0563C1"/>
            <w:sz w:val="18"/>
            <w:szCs w:val="18"/>
            <w:u w:val="single"/>
            <w:lang w:val="en-US"/>
          </w:rPr>
          <w:t>su</w:t>
        </w:r>
      </w:hyperlink>
      <w:r w:rsidRPr="00E138C3">
        <w:rPr>
          <w:rFonts w:ascii="Tahoma" w:hAnsi="Tahoma" w:cs="Tahoma"/>
          <w:bCs/>
          <w:iCs/>
          <w:sz w:val="18"/>
          <w:szCs w:val="18"/>
        </w:rPr>
        <w:t>, регулируются соответствующими разделами Тарифов Банка для клиентов-физических лиц. Ограничения проведения операций в валютах доллар США/Евро/юань по оплате товаров, работ, услуг за рубежом/ограничения перевода денежных средств за рубеж физическим лицам/ограничения перевода денежных средств за рубеж на свой счет/ограничения переводов денежных средств без открытия банковского счета с использованием электронных средств платежа, предоставленных иностранными поставщиками платежных услуг, применяются в соответствии с законодательством Российской Федерации, в т.ч актами Банка России.</w:t>
      </w:r>
    </w:p>
    <w:p w14:paraId="1AC43961" w14:textId="77777777" w:rsidR="00E138C3" w:rsidRPr="00E138C3" w:rsidRDefault="00E138C3" w:rsidP="00E138C3">
      <w:pPr>
        <w:ind w:firstLine="34"/>
        <w:jc w:val="both"/>
        <w:rPr>
          <w:rFonts w:ascii="Tahoma" w:hAnsi="Tahoma" w:cs="Tahoma"/>
          <w:bCs/>
          <w:iCs/>
          <w:sz w:val="18"/>
          <w:szCs w:val="18"/>
        </w:rPr>
      </w:pPr>
      <w:r w:rsidRPr="00E138C3">
        <w:rPr>
          <w:rFonts w:ascii="Tahoma" w:hAnsi="Tahoma" w:cs="Tahoma"/>
          <w:bCs/>
          <w:iCs/>
          <w:sz w:val="18"/>
          <w:szCs w:val="18"/>
          <w:vertAlign w:val="superscript"/>
        </w:rPr>
        <w:t>15</w:t>
      </w:r>
      <w:r w:rsidRPr="00E138C3">
        <w:rPr>
          <w:rFonts w:ascii="Tahoma" w:hAnsi="Tahoma" w:cs="Tahoma"/>
          <w:bCs/>
          <w:iCs/>
          <w:sz w:val="18"/>
          <w:szCs w:val="18"/>
        </w:rPr>
        <w:t>ТСП (Торгово-сервисное предприятие), здесь и по тексту Программы – юридическое или физическое лицо – индивидуальный предприниматель (за исключением кредитных организаций), осуществляющее реализацию товаров (работ, услуг, результатов интеллектуальной деятельности), оплата которых производится Клиентами Банка с помощью Карты/реквизитов Карты через электронные средства платежа (POS-терминалы и платежные терминалы), а также через сеть Интернет.</w:t>
      </w:r>
    </w:p>
    <w:p w14:paraId="74D9FF46" w14:textId="77777777" w:rsidR="00E138C3" w:rsidRPr="00E138C3" w:rsidRDefault="00E138C3" w:rsidP="00E138C3">
      <w:pPr>
        <w:ind w:firstLine="34"/>
        <w:jc w:val="both"/>
        <w:rPr>
          <w:rFonts w:ascii="Tahoma" w:eastAsia="Calibri" w:hAnsi="Tahoma" w:cs="Tahoma"/>
          <w:sz w:val="18"/>
          <w:szCs w:val="18"/>
          <w:lang w:eastAsia="en-US"/>
        </w:rPr>
      </w:pPr>
      <w:r w:rsidRPr="00E138C3">
        <w:rPr>
          <w:rFonts w:ascii="Tahoma" w:hAnsi="Tahoma" w:cs="Tahoma"/>
          <w:bCs/>
          <w:iCs/>
          <w:sz w:val="18"/>
          <w:szCs w:val="18"/>
          <w:vertAlign w:val="superscript"/>
        </w:rPr>
        <w:t>16</w:t>
      </w:r>
      <w:r w:rsidRPr="00E138C3">
        <w:rPr>
          <w:rFonts w:ascii="Tahoma" w:eastAsia="Calibri" w:hAnsi="Tahoma" w:cs="Tahoma"/>
          <w:sz w:val="18"/>
          <w:szCs w:val="18"/>
          <w:lang w:eastAsia="en-US"/>
        </w:rPr>
        <w:t>По безналичным операциям с МСС-кодами: 4829 «Денежные переводы», 6012 «Финансовые институты – торговля и услуги», 6538 «Денежные переводы с Карты на Карту», 6534 «Платежная операция», 6051 «Квази-Кэш в нефинансовые учреждения» – комиссия не взимается.</w:t>
      </w:r>
    </w:p>
    <w:p w14:paraId="6A2313BE" w14:textId="77777777" w:rsidR="00E138C3" w:rsidRPr="00E138C3" w:rsidRDefault="00E138C3" w:rsidP="00E138C3">
      <w:pPr>
        <w:ind w:firstLine="34"/>
        <w:jc w:val="both"/>
        <w:rPr>
          <w:rFonts w:ascii="Tahoma" w:hAnsi="Tahoma" w:cs="Tahoma"/>
          <w:bCs/>
          <w:iCs/>
          <w:sz w:val="18"/>
          <w:szCs w:val="18"/>
        </w:rPr>
      </w:pPr>
      <w:r w:rsidRPr="00E138C3">
        <w:rPr>
          <w:rFonts w:ascii="Tahoma" w:eastAsia="Calibri" w:hAnsi="Tahoma" w:cs="Tahoma"/>
          <w:sz w:val="18"/>
          <w:szCs w:val="18"/>
          <w:vertAlign w:val="superscript"/>
          <w:lang w:eastAsia="en-US"/>
        </w:rPr>
        <w:t>17</w:t>
      </w:r>
      <w:r w:rsidRPr="00E138C3">
        <w:rPr>
          <w:rFonts w:ascii="Tahoma" w:hAnsi="Tahoma" w:cs="Tahoma"/>
          <w:bCs/>
          <w:iCs/>
          <w:sz w:val="18"/>
          <w:szCs w:val="18"/>
        </w:rPr>
        <w:t>Возможно взимание дополнительной комиссии за взнос и выдачу наличных в розничной сети партнеров Банка, а также другими банками за взнос и выдачу наличных по Карте Клиента, выпущенной в рамках Программы, в их устройствах. При проведении наличной операции с конверсией применяются курсы валют, указанные в пункте 4.2.2. Программы.</w:t>
      </w:r>
    </w:p>
    <w:p w14:paraId="5EB94ED7" w14:textId="77777777" w:rsidR="00E138C3" w:rsidRPr="00E138C3" w:rsidRDefault="00E138C3" w:rsidP="00E138C3">
      <w:pPr>
        <w:ind w:firstLine="34"/>
        <w:jc w:val="both"/>
        <w:rPr>
          <w:rFonts w:ascii="Tahoma" w:eastAsia="Calibri" w:hAnsi="Tahoma" w:cs="Tahoma"/>
          <w:sz w:val="18"/>
          <w:szCs w:val="18"/>
          <w:lang w:eastAsia="en-US"/>
        </w:rPr>
      </w:pPr>
      <w:r w:rsidRPr="00E138C3">
        <w:rPr>
          <w:rFonts w:ascii="Tahoma" w:hAnsi="Tahoma" w:cs="Tahoma"/>
          <w:bCs/>
          <w:iCs/>
          <w:sz w:val="18"/>
          <w:szCs w:val="18"/>
          <w:vertAlign w:val="superscript"/>
        </w:rPr>
        <w:t>18</w:t>
      </w:r>
      <w:r w:rsidRPr="00E138C3">
        <w:rPr>
          <w:rFonts w:ascii="Tahoma" w:eastAsia="Calibri" w:hAnsi="Tahoma" w:cs="Tahoma"/>
          <w:sz w:val="18"/>
          <w:szCs w:val="18"/>
          <w:lang w:eastAsia="en-US"/>
        </w:rPr>
        <w:t>Платежными системами и ТСП могут быть установлены собственные ограничения по предоставлению данной услуги. О наличии услуги и ограничениях по ней необходимо уточнять в ТСП.</w:t>
      </w:r>
    </w:p>
    <w:p w14:paraId="061280C0" w14:textId="77777777" w:rsidR="00E138C3" w:rsidRPr="00E138C3" w:rsidRDefault="00E138C3" w:rsidP="00E138C3">
      <w:pPr>
        <w:ind w:firstLine="34"/>
        <w:jc w:val="both"/>
        <w:rPr>
          <w:rFonts w:ascii="Tahoma" w:hAnsi="Tahoma" w:cs="Tahoma"/>
          <w:bCs/>
          <w:iCs/>
          <w:sz w:val="18"/>
          <w:szCs w:val="18"/>
        </w:rPr>
      </w:pPr>
      <w:r w:rsidRPr="00E138C3">
        <w:rPr>
          <w:rFonts w:ascii="Tahoma" w:eastAsia="Calibri" w:hAnsi="Tahoma" w:cs="Tahoma"/>
          <w:sz w:val="18"/>
          <w:szCs w:val="18"/>
          <w:vertAlign w:val="superscript"/>
          <w:lang w:eastAsia="en-US"/>
        </w:rPr>
        <w:t>19</w:t>
      </w:r>
      <w:r w:rsidRPr="00E138C3">
        <w:rPr>
          <w:rFonts w:ascii="Tahoma" w:hAnsi="Tahoma" w:cs="Tahoma"/>
          <w:bCs/>
          <w:iCs/>
          <w:sz w:val="18"/>
          <w:szCs w:val="18"/>
        </w:rPr>
        <w:t>Лимиты в день действуют от 00 до 24 ч. московского времени (включительно), в месяц - от 00 часов 1-го числа до 24 часов последнего числа месяца (включительно), по московскому времени. Выдача наличных денежных средств в устройствах в сумме, превышающей лимиты, не производится. Выдача сумм в пунктах выдачи наличных Банка производится с предъявлением документа, удостоверяющего личность. Лимиты выдачи денежных средств в иностранной валюте применимы исключительно для выдачи денежных средств в банкоматах и пунктах выдачи наличных за пределами Российской Федерации.</w:t>
      </w:r>
    </w:p>
    <w:p w14:paraId="0EE1F5C8" w14:textId="77777777" w:rsidR="00E138C3" w:rsidRPr="00E138C3" w:rsidRDefault="00E138C3" w:rsidP="00E138C3">
      <w:pPr>
        <w:tabs>
          <w:tab w:val="left" w:pos="284"/>
        </w:tabs>
        <w:jc w:val="both"/>
        <w:rPr>
          <w:rFonts w:ascii="Tahoma" w:eastAsia="Calibri" w:hAnsi="Tahoma" w:cs="Tahoma"/>
          <w:sz w:val="18"/>
          <w:szCs w:val="18"/>
          <w:lang w:eastAsia="en-US"/>
        </w:rPr>
      </w:pPr>
      <w:r w:rsidRPr="00E138C3">
        <w:rPr>
          <w:rFonts w:ascii="Tahoma" w:hAnsi="Tahoma" w:cs="Tahoma"/>
          <w:bCs/>
          <w:iCs/>
          <w:sz w:val="18"/>
          <w:szCs w:val="18"/>
          <w:vertAlign w:val="superscript"/>
        </w:rPr>
        <w:t>20</w:t>
      </w:r>
      <w:r w:rsidRPr="00E138C3">
        <w:rPr>
          <w:rFonts w:ascii="Tahoma" w:eastAsia="Calibri" w:hAnsi="Tahoma" w:cs="Tahoma"/>
          <w:sz w:val="18"/>
          <w:szCs w:val="18"/>
          <w:lang w:eastAsia="en-US"/>
        </w:rPr>
        <w:t>В случаях, установленных законодательством РФ, комиссионное вознаграждение Банком не взимается.</w:t>
      </w:r>
    </w:p>
    <w:p w14:paraId="0D9EBDB2" w14:textId="77777777" w:rsidR="00E138C3" w:rsidRPr="00E138C3" w:rsidRDefault="00E138C3" w:rsidP="00E138C3">
      <w:pPr>
        <w:tabs>
          <w:tab w:val="left" w:pos="284"/>
        </w:tabs>
        <w:jc w:val="both"/>
        <w:rPr>
          <w:rFonts w:ascii="Tahoma" w:hAnsi="Tahoma" w:cs="Tahoma"/>
          <w:bCs/>
          <w:iCs/>
          <w:sz w:val="18"/>
          <w:szCs w:val="18"/>
        </w:rPr>
      </w:pPr>
      <w:r w:rsidRPr="00E138C3">
        <w:rPr>
          <w:rFonts w:ascii="Tahoma" w:hAnsi="Tahoma" w:cs="Tahoma"/>
          <w:bCs/>
          <w:iCs/>
          <w:sz w:val="18"/>
          <w:szCs w:val="18"/>
          <w:vertAlign w:val="superscript"/>
        </w:rPr>
        <w:t>21</w:t>
      </w:r>
      <w:r w:rsidRPr="00E138C3">
        <w:rPr>
          <w:rFonts w:ascii="Tahoma" w:hAnsi="Tahoma" w:cs="Tahoma"/>
          <w:bCs/>
          <w:iCs/>
          <w:sz w:val="18"/>
          <w:szCs w:val="18"/>
        </w:rPr>
        <w:t>Применимо исключительно в случае установления законодательством Российской Федерации, в т.ч. актами Центрального банка РФ комиссионных ограничений при выдаче физическим лицам наличной иностранной валюты.</w:t>
      </w:r>
    </w:p>
    <w:p w14:paraId="1DE00672" w14:textId="77777777" w:rsidR="00E138C3" w:rsidRPr="00E138C3" w:rsidRDefault="00E138C3" w:rsidP="00E138C3">
      <w:pPr>
        <w:tabs>
          <w:tab w:val="left" w:pos="284"/>
        </w:tabs>
        <w:jc w:val="both"/>
        <w:rPr>
          <w:rFonts w:ascii="Tahoma" w:hAnsi="Tahoma" w:cs="Tahoma"/>
          <w:bCs/>
          <w:iCs/>
          <w:sz w:val="18"/>
          <w:szCs w:val="18"/>
        </w:rPr>
      </w:pPr>
      <w:r w:rsidRPr="00E138C3">
        <w:rPr>
          <w:rFonts w:ascii="Tahoma" w:hAnsi="Tahoma" w:cs="Tahoma"/>
          <w:bCs/>
          <w:iCs/>
          <w:sz w:val="18"/>
          <w:szCs w:val="18"/>
          <w:vertAlign w:val="superscript"/>
        </w:rPr>
        <w:t>22</w:t>
      </w:r>
      <w:r w:rsidRPr="00E138C3">
        <w:rPr>
          <w:rFonts w:ascii="Tahoma" w:hAnsi="Tahoma" w:cs="Tahoma"/>
          <w:bCs/>
          <w:iCs/>
          <w:sz w:val="18"/>
          <w:szCs w:val="18"/>
        </w:rPr>
        <w:t>Услуга не оказывается Клиенту в случае отсутствия денежных средств и операций по его Счетам в периоде оказания услуги.</w:t>
      </w:r>
    </w:p>
    <w:p w14:paraId="36640068" w14:textId="77777777" w:rsidR="00E138C3" w:rsidRPr="00E138C3" w:rsidRDefault="00E138C3" w:rsidP="00E138C3">
      <w:pPr>
        <w:tabs>
          <w:tab w:val="left" w:pos="284"/>
        </w:tabs>
        <w:jc w:val="both"/>
        <w:rPr>
          <w:rFonts w:ascii="Tahoma" w:hAnsi="Tahoma" w:cs="Tahoma"/>
          <w:bCs/>
          <w:iCs/>
          <w:sz w:val="18"/>
          <w:szCs w:val="18"/>
        </w:rPr>
      </w:pPr>
      <w:r w:rsidRPr="00E138C3">
        <w:rPr>
          <w:rFonts w:ascii="Tahoma" w:hAnsi="Tahoma" w:cs="Tahoma"/>
          <w:bCs/>
          <w:iCs/>
          <w:sz w:val="18"/>
          <w:szCs w:val="18"/>
          <w:vertAlign w:val="superscript"/>
        </w:rPr>
        <w:t>23</w:t>
      </w:r>
      <w:r w:rsidRPr="00E138C3">
        <w:rPr>
          <w:rFonts w:ascii="Tahoma" w:hAnsi="Tahoma" w:cs="Tahoma"/>
          <w:bCs/>
          <w:iCs/>
          <w:sz w:val="18"/>
          <w:szCs w:val="18"/>
        </w:rPr>
        <w:t>Блокировка/разблокировка Карты в базе данных Процессингового Центра Банка посредством Каналов ДБО и при оформлении операции работником Банка по заявлению Клиента в офисе Банка.</w:t>
      </w:r>
    </w:p>
    <w:p w14:paraId="35706A14" w14:textId="77777777" w:rsidR="00E138C3" w:rsidRPr="00E138C3" w:rsidRDefault="00E138C3" w:rsidP="00E138C3">
      <w:pPr>
        <w:tabs>
          <w:tab w:val="left" w:pos="284"/>
        </w:tabs>
        <w:jc w:val="both"/>
        <w:rPr>
          <w:rFonts w:ascii="Tahoma" w:hAnsi="Tahoma" w:cs="Tahoma"/>
          <w:bCs/>
          <w:iCs/>
          <w:sz w:val="18"/>
          <w:szCs w:val="18"/>
        </w:rPr>
      </w:pPr>
      <w:r w:rsidRPr="00E138C3">
        <w:rPr>
          <w:rFonts w:ascii="Tahoma" w:hAnsi="Tahoma" w:cs="Tahoma"/>
          <w:bCs/>
          <w:iCs/>
          <w:sz w:val="18"/>
          <w:szCs w:val="18"/>
          <w:vertAlign w:val="superscript"/>
        </w:rPr>
        <w:t>24</w:t>
      </w:r>
      <w:r w:rsidRPr="00E138C3">
        <w:rPr>
          <w:rFonts w:ascii="Tahoma" w:hAnsi="Tahoma" w:cs="Tahoma"/>
          <w:bCs/>
          <w:iCs/>
          <w:sz w:val="18"/>
          <w:szCs w:val="18"/>
        </w:rPr>
        <w:t>Операции с денежными средствами на валютных счетах, вкладах Клиентов осуществляются при соблюдении установленных законодательством Российской Федерации (в том числе актами Центрального банка РФ, иных уполномоченных лиц/органов, действующих на территории Российской Федерации), ограничений/условий.</w:t>
      </w:r>
    </w:p>
    <w:p w14:paraId="34A24201" w14:textId="77777777" w:rsidR="00E138C3" w:rsidRPr="00E138C3" w:rsidRDefault="00E138C3" w:rsidP="00E138C3">
      <w:pPr>
        <w:spacing w:after="160" w:line="259" w:lineRule="auto"/>
        <w:rPr>
          <w:rFonts w:ascii="Tahoma" w:hAnsi="Tahoma" w:cs="Tahoma"/>
          <w:bCs/>
          <w:iCs/>
          <w:sz w:val="22"/>
          <w:szCs w:val="22"/>
        </w:rPr>
      </w:pPr>
      <w:r w:rsidRPr="00E138C3">
        <w:rPr>
          <w:rFonts w:ascii="Tahoma" w:hAnsi="Tahoma" w:cs="Tahoma"/>
          <w:bCs/>
          <w:iCs/>
          <w:sz w:val="18"/>
          <w:szCs w:val="18"/>
          <w:vertAlign w:val="superscript"/>
        </w:rPr>
        <w:t>25</w:t>
      </w:r>
      <w:r w:rsidRPr="00E138C3">
        <w:rPr>
          <w:rFonts w:ascii="Tahoma" w:hAnsi="Tahoma" w:cs="Tahoma"/>
          <w:bCs/>
          <w:iCs/>
          <w:sz w:val="18"/>
          <w:szCs w:val="18"/>
        </w:rPr>
        <w:t>Ограничение для начисления максимальной ставки на Ежедневный остаток по Накопительному счету</w:t>
      </w:r>
      <w:r w:rsidRPr="00E138C3">
        <w:rPr>
          <w:rFonts w:ascii="Tahoma" w:hAnsi="Tahoma" w:cs="Tahoma"/>
          <w:bCs/>
          <w:iCs/>
          <w:sz w:val="18"/>
          <w:szCs w:val="18"/>
          <w:vertAlign w:val="superscript"/>
        </w:rPr>
        <w:t>9</w:t>
      </w:r>
      <w:r w:rsidRPr="00E138C3">
        <w:rPr>
          <w:rFonts w:ascii="Tahoma" w:hAnsi="Tahoma" w:cs="Tahoma"/>
          <w:bCs/>
          <w:iCs/>
          <w:sz w:val="18"/>
          <w:szCs w:val="18"/>
        </w:rPr>
        <w:t xml:space="preserve"> свыше 30 000 000 рублей (начисление по ставке 10% годовых) применимо </w:t>
      </w:r>
      <w:r w:rsidRPr="00E138C3">
        <w:rPr>
          <w:rFonts w:ascii="Tahoma" w:hAnsi="Tahoma" w:cs="Tahoma"/>
          <w:b/>
          <w:bCs/>
          <w:iCs/>
          <w:sz w:val="18"/>
          <w:szCs w:val="18"/>
        </w:rPr>
        <w:t>исключительно для Накопительных счетов в рублях, оформляемых с 21.08.2024г</w:t>
      </w:r>
      <w:r w:rsidRPr="00E138C3">
        <w:rPr>
          <w:rFonts w:ascii="Tahoma" w:hAnsi="Tahoma" w:cs="Tahoma"/>
          <w:bCs/>
          <w:iCs/>
          <w:sz w:val="18"/>
          <w:szCs w:val="18"/>
        </w:rPr>
        <w:t xml:space="preserve">. Для Накопительных счетов в рублях, оформленных до 21.08.2024г., процентная ставка (17% годовых) начисляется </w:t>
      </w:r>
      <w:r w:rsidRPr="00E138C3">
        <w:rPr>
          <w:rFonts w:ascii="Tahoma" w:hAnsi="Tahoma" w:cs="Tahoma"/>
          <w:b/>
          <w:bCs/>
          <w:iCs/>
          <w:sz w:val="18"/>
          <w:szCs w:val="18"/>
        </w:rPr>
        <w:t>на всю сумму</w:t>
      </w:r>
      <w:r w:rsidRPr="00E138C3">
        <w:rPr>
          <w:rFonts w:ascii="Tahoma" w:hAnsi="Tahoma" w:cs="Tahoma"/>
          <w:bCs/>
          <w:iCs/>
          <w:sz w:val="18"/>
          <w:szCs w:val="18"/>
        </w:rPr>
        <w:t xml:space="preserve"> Ежедневный остатка по Накопительному счету</w:t>
      </w:r>
      <w:r w:rsidRPr="00E138C3">
        <w:rPr>
          <w:rFonts w:ascii="Tahoma" w:hAnsi="Tahoma" w:cs="Tahoma"/>
          <w:bCs/>
          <w:iCs/>
          <w:sz w:val="18"/>
          <w:szCs w:val="18"/>
          <w:vertAlign w:val="superscript"/>
        </w:rPr>
        <w:t>9</w:t>
      </w:r>
      <w:r w:rsidRPr="00E138C3">
        <w:rPr>
          <w:rFonts w:ascii="Tahoma" w:hAnsi="Tahoma" w:cs="Tahoma"/>
          <w:bCs/>
          <w:iCs/>
          <w:sz w:val="22"/>
          <w:szCs w:val="22"/>
        </w:rPr>
        <w:t>.</w:t>
      </w:r>
    </w:p>
    <w:p w14:paraId="7FA48581" w14:textId="77777777" w:rsidR="00E138C3" w:rsidRPr="00E138C3" w:rsidRDefault="00E138C3" w:rsidP="00E138C3">
      <w:pPr>
        <w:spacing w:line="259" w:lineRule="auto"/>
        <w:rPr>
          <w:rFonts w:ascii="Calibri" w:eastAsia="Calibri" w:hAnsi="Calibri"/>
          <w:sz w:val="22"/>
          <w:szCs w:val="22"/>
          <w:lang w:eastAsia="en-US"/>
        </w:rPr>
      </w:pPr>
    </w:p>
    <w:p w14:paraId="65A2980D" w14:textId="0949B975" w:rsidR="00E138C3" w:rsidRPr="000B3718" w:rsidRDefault="000B3718" w:rsidP="000B3718">
      <w:pPr>
        <w:pStyle w:val="a5"/>
      </w:pPr>
      <w:r w:rsidRPr="000B3718">
        <w:t xml:space="preserve">4.6.2. </w:t>
      </w:r>
      <w:r w:rsidR="00E138C3" w:rsidRPr="000B3718">
        <w:t>Программа банковских услуг «Статус» (Тариф Банка), для Клиентов VIP Премьер+, оформивших настоящую Программу с 01.06.2021г. по 06.10.2024г.</w:t>
      </w:r>
    </w:p>
    <w:p w14:paraId="29B02409" w14:textId="77777777" w:rsidR="00E138C3" w:rsidRPr="00E138C3" w:rsidRDefault="00E138C3" w:rsidP="00E138C3">
      <w:pPr>
        <w:tabs>
          <w:tab w:val="left" w:pos="284"/>
        </w:tabs>
        <w:jc w:val="both"/>
        <w:rPr>
          <w:rFonts w:ascii="Tahoma" w:hAnsi="Tahoma" w:cs="Tahoma"/>
          <w:bCs/>
          <w:iCs/>
          <w:sz w:val="18"/>
          <w:szCs w:val="18"/>
        </w:rPr>
      </w:pPr>
    </w:p>
    <w:tbl>
      <w:tblPr>
        <w:tblW w:w="4999" w:type="pct"/>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0"/>
        <w:gridCol w:w="5124"/>
        <w:gridCol w:w="33"/>
        <w:gridCol w:w="4211"/>
        <w:gridCol w:w="248"/>
        <w:gridCol w:w="4268"/>
      </w:tblGrid>
      <w:tr w:rsidR="00E138C3" w:rsidRPr="00E138C3" w14:paraId="16116794" w14:textId="77777777" w:rsidTr="003D2438">
        <w:trPr>
          <w:trHeight w:val="377"/>
          <w:tblHeader/>
        </w:trPr>
        <w:tc>
          <w:tcPr>
            <w:tcW w:w="2104" w:type="pct"/>
            <w:gridSpan w:val="2"/>
            <w:tcBorders>
              <w:top w:val="single" w:sz="4" w:space="0" w:color="auto"/>
              <w:left w:val="single" w:sz="4" w:space="0" w:color="auto"/>
              <w:right w:val="single" w:sz="4" w:space="0" w:color="auto"/>
            </w:tcBorders>
            <w:shd w:val="clear" w:color="auto" w:fill="808080"/>
            <w:vAlign w:val="center"/>
          </w:tcPr>
          <w:p w14:paraId="656323AA" w14:textId="77777777" w:rsidR="00E138C3" w:rsidRPr="00E138C3" w:rsidRDefault="00E138C3" w:rsidP="00E138C3">
            <w:pPr>
              <w:tabs>
                <w:tab w:val="left" w:pos="284"/>
              </w:tabs>
              <w:jc w:val="center"/>
              <w:rPr>
                <w:rFonts w:ascii="Tahoma" w:hAnsi="Tahoma" w:cs="Tahoma"/>
                <w:bCs/>
                <w:iCs/>
                <w:color w:val="FFFFFF"/>
                <w:sz w:val="28"/>
                <w:szCs w:val="22"/>
              </w:rPr>
            </w:pPr>
            <w:r w:rsidRPr="00E138C3">
              <w:rPr>
                <w:rFonts w:ascii="Tahoma" w:hAnsi="Tahoma" w:cs="Tahoma"/>
                <w:bCs/>
                <w:iCs/>
                <w:color w:val="FFFFFF"/>
                <w:sz w:val="28"/>
                <w:szCs w:val="22"/>
              </w:rPr>
              <w:t>Банковские услуги</w:t>
            </w:r>
          </w:p>
        </w:tc>
        <w:tc>
          <w:tcPr>
            <w:tcW w:w="2896" w:type="pct"/>
            <w:gridSpan w:val="4"/>
            <w:tcBorders>
              <w:left w:val="single" w:sz="4" w:space="0" w:color="auto"/>
            </w:tcBorders>
            <w:shd w:val="clear" w:color="auto" w:fill="808080"/>
            <w:vAlign w:val="center"/>
          </w:tcPr>
          <w:p w14:paraId="275C2C04" w14:textId="77777777" w:rsidR="00E138C3" w:rsidRPr="00E138C3" w:rsidRDefault="00E138C3" w:rsidP="00E138C3">
            <w:pPr>
              <w:tabs>
                <w:tab w:val="left" w:pos="284"/>
              </w:tabs>
              <w:jc w:val="center"/>
              <w:rPr>
                <w:rFonts w:ascii="Tahoma" w:hAnsi="Tahoma" w:cs="Tahoma"/>
                <w:bCs/>
                <w:iCs/>
                <w:color w:val="FFFFFF"/>
                <w:sz w:val="28"/>
                <w:szCs w:val="22"/>
              </w:rPr>
            </w:pPr>
            <w:r w:rsidRPr="00E138C3">
              <w:rPr>
                <w:rFonts w:ascii="Tahoma" w:hAnsi="Tahoma" w:cs="Tahoma"/>
                <w:bCs/>
                <w:iCs/>
                <w:color w:val="FFFFFF"/>
                <w:sz w:val="28"/>
                <w:szCs w:val="22"/>
              </w:rPr>
              <w:t>Тарифы (комиссионное вознаграждение Банка)</w:t>
            </w:r>
            <w:r w:rsidRPr="00E138C3">
              <w:rPr>
                <w:rFonts w:ascii="Tahoma" w:hAnsi="Tahoma" w:cs="Tahoma"/>
                <w:bCs/>
                <w:iCs/>
                <w:color w:val="FFFFFF"/>
                <w:sz w:val="22"/>
                <w:szCs w:val="22"/>
                <w:vertAlign w:val="superscript"/>
              </w:rPr>
              <w:t>1,24</w:t>
            </w:r>
          </w:p>
        </w:tc>
      </w:tr>
      <w:tr w:rsidR="00E138C3" w:rsidRPr="00E138C3" w14:paraId="4E93BB2E" w14:textId="77777777" w:rsidTr="003D2438">
        <w:tc>
          <w:tcPr>
            <w:tcW w:w="410" w:type="pct"/>
            <w:shd w:val="clear" w:color="auto" w:fill="808080"/>
            <w:vAlign w:val="center"/>
          </w:tcPr>
          <w:p w14:paraId="34BF4F3D" w14:textId="77777777" w:rsidR="00E138C3" w:rsidRPr="00E138C3" w:rsidRDefault="00E138C3" w:rsidP="00E138C3">
            <w:pPr>
              <w:tabs>
                <w:tab w:val="left" w:pos="284"/>
              </w:tabs>
              <w:rPr>
                <w:rFonts w:ascii="Tahoma" w:hAnsi="Tahoma" w:cs="Tahoma"/>
                <w:bCs/>
                <w:iCs/>
                <w:color w:val="FFFFFF"/>
                <w:sz w:val="28"/>
                <w:szCs w:val="22"/>
              </w:rPr>
            </w:pPr>
            <w:r w:rsidRPr="00E138C3">
              <w:rPr>
                <w:rFonts w:ascii="Tahoma" w:hAnsi="Tahoma" w:cs="Tahoma"/>
                <w:bCs/>
                <w:iCs/>
                <w:color w:val="FFFFFF"/>
                <w:sz w:val="28"/>
                <w:szCs w:val="22"/>
              </w:rPr>
              <w:t>1.</w:t>
            </w:r>
          </w:p>
        </w:tc>
        <w:tc>
          <w:tcPr>
            <w:tcW w:w="4590" w:type="pct"/>
            <w:gridSpan w:val="5"/>
            <w:shd w:val="clear" w:color="auto" w:fill="808080"/>
            <w:vAlign w:val="center"/>
          </w:tcPr>
          <w:p w14:paraId="2A4FB306" w14:textId="77777777" w:rsidR="00E138C3" w:rsidRPr="00E138C3" w:rsidRDefault="00E138C3" w:rsidP="00E138C3">
            <w:pPr>
              <w:tabs>
                <w:tab w:val="left" w:pos="284"/>
              </w:tabs>
              <w:rPr>
                <w:rFonts w:ascii="Tahoma" w:hAnsi="Tahoma" w:cs="Tahoma"/>
                <w:bCs/>
                <w:iCs/>
                <w:color w:val="E36C0A"/>
                <w:sz w:val="28"/>
                <w:szCs w:val="22"/>
              </w:rPr>
            </w:pPr>
            <w:r w:rsidRPr="00E138C3">
              <w:rPr>
                <w:rFonts w:ascii="Tahoma" w:hAnsi="Tahoma" w:cs="Tahoma"/>
                <w:bCs/>
                <w:iCs/>
                <w:color w:val="FFFFFF"/>
                <w:sz w:val="28"/>
                <w:szCs w:val="22"/>
              </w:rPr>
              <w:t>Условия предоставления Программы банковских услуг «Статус» (далее – Программа) и требования к пользователю услуг (Клиенту)</w:t>
            </w:r>
          </w:p>
        </w:tc>
      </w:tr>
      <w:tr w:rsidR="00E138C3" w:rsidRPr="00E138C3" w14:paraId="7FE7E07A" w14:textId="77777777" w:rsidTr="003D2438">
        <w:tc>
          <w:tcPr>
            <w:tcW w:w="410" w:type="pct"/>
            <w:shd w:val="clear" w:color="auto" w:fill="auto"/>
            <w:vAlign w:val="center"/>
          </w:tcPr>
          <w:p w14:paraId="1480B0ED"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1.1.</w:t>
            </w:r>
          </w:p>
        </w:tc>
        <w:tc>
          <w:tcPr>
            <w:tcW w:w="1694" w:type="pct"/>
            <w:shd w:val="clear" w:color="auto" w:fill="auto"/>
            <w:vAlign w:val="center"/>
          </w:tcPr>
          <w:p w14:paraId="28102614" w14:textId="77777777" w:rsidR="00E138C3" w:rsidRPr="00E138C3" w:rsidRDefault="00E138C3" w:rsidP="00E138C3">
            <w:pPr>
              <w:rPr>
                <w:rFonts w:ascii="Tahoma" w:hAnsi="Tahoma" w:cs="Tahoma"/>
                <w:b/>
                <w:bCs/>
                <w:iCs/>
                <w:color w:val="E36C0A"/>
                <w:sz w:val="22"/>
                <w:szCs w:val="22"/>
              </w:rPr>
            </w:pPr>
            <w:r w:rsidRPr="00E138C3">
              <w:rPr>
                <w:rFonts w:ascii="Tahoma" w:hAnsi="Tahoma" w:cs="Tahoma"/>
                <w:color w:val="000000"/>
                <w:sz w:val="22"/>
                <w:szCs w:val="22"/>
              </w:rPr>
              <w:t>пользователи услуг (Клиенты)</w:t>
            </w:r>
          </w:p>
        </w:tc>
        <w:tc>
          <w:tcPr>
            <w:tcW w:w="2896" w:type="pct"/>
            <w:gridSpan w:val="4"/>
            <w:shd w:val="clear" w:color="auto" w:fill="auto"/>
            <w:vAlign w:val="center"/>
          </w:tcPr>
          <w:p w14:paraId="0E9186AA" w14:textId="77777777" w:rsidR="00E138C3" w:rsidRPr="00E138C3" w:rsidRDefault="00E138C3" w:rsidP="00E138C3">
            <w:pPr>
              <w:tabs>
                <w:tab w:val="left" w:pos="4889"/>
              </w:tabs>
              <w:jc w:val="both"/>
              <w:rPr>
                <w:rFonts w:ascii="Tahoma" w:hAnsi="Tahoma" w:cs="Tahoma"/>
                <w:bCs/>
                <w:iCs/>
                <w:sz w:val="22"/>
                <w:szCs w:val="22"/>
              </w:rPr>
            </w:pPr>
            <w:r w:rsidRPr="00E138C3">
              <w:rPr>
                <w:rFonts w:ascii="Tahoma" w:hAnsi="Tahoma" w:cs="Tahoma"/>
                <w:bCs/>
                <w:iCs/>
                <w:sz w:val="22"/>
                <w:szCs w:val="22"/>
              </w:rPr>
              <w:t>Физическое лицо (по тексту – Клиент), заключившее в рамках настоящей Программы</w:t>
            </w:r>
            <w:r w:rsidRPr="00E138C3">
              <w:rPr>
                <w:rFonts w:ascii="Tahoma" w:hAnsi="Tahoma" w:cs="Tahoma"/>
                <w:bCs/>
                <w:iCs/>
                <w:sz w:val="22"/>
                <w:szCs w:val="22"/>
                <w:vertAlign w:val="superscript"/>
              </w:rPr>
              <w:t xml:space="preserve">1 </w:t>
            </w:r>
            <w:r w:rsidRPr="00E138C3">
              <w:rPr>
                <w:rFonts w:ascii="Tahoma" w:hAnsi="Tahoma" w:cs="Tahoma"/>
                <w:bCs/>
                <w:iCs/>
                <w:sz w:val="22"/>
                <w:szCs w:val="22"/>
              </w:rPr>
              <w:t>с Банком Договоры Карт и (или) Договор Текущего банковского счета (далее – ТБС)</w:t>
            </w:r>
            <w:r w:rsidRPr="00E138C3">
              <w:rPr>
                <w:rFonts w:ascii="Tahoma" w:hAnsi="Tahoma" w:cs="Tahoma"/>
                <w:bCs/>
                <w:iCs/>
                <w:sz w:val="18"/>
                <w:szCs w:val="22"/>
                <w:vertAlign w:val="superscript"/>
              </w:rPr>
              <w:t>2</w:t>
            </w:r>
            <w:r w:rsidRPr="00E138C3">
              <w:rPr>
                <w:rFonts w:ascii="Tahoma" w:hAnsi="Tahoma" w:cs="Tahoma"/>
                <w:bCs/>
                <w:iCs/>
                <w:sz w:val="22"/>
                <w:szCs w:val="22"/>
              </w:rPr>
              <w:t>.</w:t>
            </w:r>
          </w:p>
        </w:tc>
      </w:tr>
      <w:tr w:rsidR="00E138C3" w:rsidRPr="00E138C3" w14:paraId="4B513262" w14:textId="77777777" w:rsidTr="003D2438">
        <w:trPr>
          <w:trHeight w:val="363"/>
        </w:trPr>
        <w:tc>
          <w:tcPr>
            <w:tcW w:w="410" w:type="pct"/>
            <w:shd w:val="clear" w:color="auto" w:fill="auto"/>
            <w:vAlign w:val="center"/>
          </w:tcPr>
          <w:p w14:paraId="7D9B956A"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1.2.</w:t>
            </w:r>
          </w:p>
        </w:tc>
        <w:tc>
          <w:tcPr>
            <w:tcW w:w="1694" w:type="pct"/>
            <w:shd w:val="clear" w:color="auto" w:fill="auto"/>
            <w:vAlign w:val="center"/>
          </w:tcPr>
          <w:p w14:paraId="54BFEF54" w14:textId="77777777" w:rsidR="00E138C3" w:rsidRPr="00E138C3" w:rsidRDefault="00E138C3" w:rsidP="00E138C3">
            <w:pPr>
              <w:rPr>
                <w:rFonts w:ascii="Tahoma" w:hAnsi="Tahoma" w:cs="Tahoma"/>
                <w:b/>
                <w:bCs/>
                <w:iCs/>
                <w:color w:val="E36C0A"/>
                <w:sz w:val="22"/>
                <w:szCs w:val="22"/>
              </w:rPr>
            </w:pPr>
            <w:r w:rsidRPr="00E138C3">
              <w:rPr>
                <w:rFonts w:ascii="Tahoma" w:hAnsi="Tahoma" w:cs="Tahoma"/>
                <w:color w:val="000000"/>
                <w:sz w:val="22"/>
                <w:szCs w:val="22"/>
              </w:rPr>
              <w:t>особенности предоставления услуг Банком</w:t>
            </w:r>
          </w:p>
        </w:tc>
        <w:tc>
          <w:tcPr>
            <w:tcW w:w="2896" w:type="pct"/>
            <w:gridSpan w:val="4"/>
            <w:shd w:val="clear" w:color="auto" w:fill="auto"/>
            <w:vAlign w:val="center"/>
          </w:tcPr>
          <w:p w14:paraId="624D520A" w14:textId="77777777" w:rsidR="00E138C3" w:rsidRPr="00E138C3" w:rsidRDefault="00E138C3" w:rsidP="00E138C3">
            <w:pPr>
              <w:tabs>
                <w:tab w:val="left" w:pos="4889"/>
              </w:tabs>
              <w:jc w:val="both"/>
              <w:rPr>
                <w:rFonts w:ascii="Tahoma" w:hAnsi="Tahoma" w:cs="Tahoma"/>
                <w:bCs/>
                <w:iCs/>
                <w:sz w:val="22"/>
                <w:szCs w:val="22"/>
              </w:rPr>
            </w:pPr>
            <w:r w:rsidRPr="00E138C3">
              <w:rPr>
                <w:rFonts w:ascii="Tahoma" w:hAnsi="Tahoma" w:cs="Tahoma"/>
                <w:bCs/>
                <w:iCs/>
                <w:sz w:val="22"/>
                <w:szCs w:val="22"/>
              </w:rPr>
              <w:t xml:space="preserve">Одному Клиенту может быть открыта только одна Программа, в том числе только одной из премиальных категорий обслуживания Клиента (по волеизъявлению Клиента): либо </w:t>
            </w:r>
            <w:r w:rsidRPr="00E138C3">
              <w:rPr>
                <w:rFonts w:ascii="Tahoma" w:hAnsi="Tahoma" w:cs="Tahoma"/>
                <w:bCs/>
                <w:iCs/>
                <w:sz w:val="22"/>
                <w:szCs w:val="22"/>
                <w:lang w:val="en-US"/>
              </w:rPr>
              <w:t>VIP</w:t>
            </w:r>
            <w:r w:rsidRPr="00E138C3">
              <w:rPr>
                <w:rFonts w:ascii="Tahoma" w:hAnsi="Tahoma" w:cs="Tahoma"/>
                <w:bCs/>
                <w:iCs/>
                <w:sz w:val="22"/>
                <w:szCs w:val="22"/>
              </w:rPr>
              <w:t xml:space="preserve"> Премьер, либо </w:t>
            </w:r>
            <w:r w:rsidRPr="00E138C3">
              <w:rPr>
                <w:rFonts w:ascii="Tahoma" w:hAnsi="Tahoma" w:cs="Tahoma"/>
                <w:bCs/>
                <w:iCs/>
                <w:sz w:val="22"/>
                <w:szCs w:val="22"/>
                <w:lang w:val="en-US"/>
              </w:rPr>
              <w:t>VIP</w:t>
            </w:r>
            <w:r w:rsidRPr="00E138C3">
              <w:rPr>
                <w:rFonts w:ascii="Tahoma" w:hAnsi="Tahoma" w:cs="Tahoma"/>
                <w:bCs/>
                <w:iCs/>
                <w:sz w:val="22"/>
                <w:szCs w:val="22"/>
              </w:rPr>
              <w:t xml:space="preserve"> Премьер+.</w:t>
            </w:r>
          </w:p>
        </w:tc>
      </w:tr>
      <w:tr w:rsidR="00E138C3" w:rsidRPr="00E138C3" w14:paraId="6D7F5DFC" w14:textId="77777777" w:rsidTr="003D2438">
        <w:trPr>
          <w:trHeight w:val="363"/>
        </w:trPr>
        <w:tc>
          <w:tcPr>
            <w:tcW w:w="410" w:type="pct"/>
            <w:shd w:val="clear" w:color="auto" w:fill="auto"/>
            <w:vAlign w:val="center"/>
          </w:tcPr>
          <w:p w14:paraId="0506B0E6"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1.3.</w:t>
            </w:r>
          </w:p>
        </w:tc>
        <w:tc>
          <w:tcPr>
            <w:tcW w:w="1694" w:type="pct"/>
            <w:shd w:val="clear" w:color="auto" w:fill="auto"/>
            <w:vAlign w:val="center"/>
          </w:tcPr>
          <w:p w14:paraId="6CBD0C1E" w14:textId="77777777" w:rsidR="00E138C3" w:rsidRPr="00E138C3" w:rsidDel="00FD29E3" w:rsidRDefault="00E138C3" w:rsidP="00E138C3">
            <w:pPr>
              <w:rPr>
                <w:rFonts w:ascii="Tahoma" w:hAnsi="Tahoma" w:cs="Tahoma"/>
                <w:color w:val="000000"/>
                <w:sz w:val="22"/>
                <w:szCs w:val="22"/>
              </w:rPr>
            </w:pPr>
            <w:r w:rsidRPr="00E138C3">
              <w:rPr>
                <w:rFonts w:ascii="Tahoma" w:hAnsi="Tahoma" w:cs="Tahoma"/>
                <w:color w:val="000000"/>
                <w:sz w:val="22"/>
                <w:szCs w:val="22"/>
              </w:rPr>
              <w:t>наименование премиальной категории обслуживания Клиента</w:t>
            </w:r>
          </w:p>
        </w:tc>
        <w:tc>
          <w:tcPr>
            <w:tcW w:w="2896" w:type="pct"/>
            <w:gridSpan w:val="4"/>
            <w:shd w:val="clear" w:color="auto" w:fill="auto"/>
            <w:vAlign w:val="center"/>
          </w:tcPr>
          <w:p w14:paraId="2B86CD51" w14:textId="77777777" w:rsidR="00E138C3" w:rsidRPr="00E138C3" w:rsidRDefault="00E138C3" w:rsidP="00E138C3">
            <w:pPr>
              <w:tabs>
                <w:tab w:val="left" w:pos="4889"/>
              </w:tabs>
              <w:jc w:val="center"/>
              <w:rPr>
                <w:rFonts w:ascii="Tahoma" w:hAnsi="Tahoma" w:cs="Tahoma"/>
                <w:b/>
                <w:bCs/>
                <w:iCs/>
                <w:sz w:val="22"/>
                <w:szCs w:val="22"/>
              </w:rPr>
            </w:pPr>
            <w:r w:rsidRPr="00E138C3">
              <w:rPr>
                <w:rFonts w:ascii="Tahoma" w:hAnsi="Tahoma" w:cs="Tahoma"/>
                <w:b/>
                <w:bCs/>
                <w:iCs/>
                <w:sz w:val="22"/>
                <w:szCs w:val="22"/>
                <w:lang w:val="en-US"/>
              </w:rPr>
              <w:t xml:space="preserve">VIP </w:t>
            </w:r>
            <w:r w:rsidRPr="00E138C3">
              <w:rPr>
                <w:rFonts w:ascii="Tahoma" w:hAnsi="Tahoma" w:cs="Tahoma"/>
                <w:b/>
                <w:bCs/>
                <w:iCs/>
                <w:sz w:val="22"/>
                <w:szCs w:val="22"/>
              </w:rPr>
              <w:t>Премьер+</w:t>
            </w:r>
          </w:p>
        </w:tc>
      </w:tr>
      <w:tr w:rsidR="00E138C3" w:rsidRPr="00E138C3" w14:paraId="0B8BE8FA" w14:textId="77777777" w:rsidTr="003D2438">
        <w:tc>
          <w:tcPr>
            <w:tcW w:w="410" w:type="pct"/>
            <w:shd w:val="clear" w:color="auto" w:fill="808080"/>
            <w:vAlign w:val="center"/>
          </w:tcPr>
          <w:p w14:paraId="4A458A47" w14:textId="77777777" w:rsidR="00E138C3" w:rsidRPr="00E138C3" w:rsidRDefault="00E138C3" w:rsidP="00E138C3">
            <w:pPr>
              <w:tabs>
                <w:tab w:val="left" w:pos="284"/>
              </w:tabs>
              <w:rPr>
                <w:rFonts w:ascii="Tahoma" w:hAnsi="Tahoma" w:cs="Tahoma"/>
                <w:bCs/>
                <w:iCs/>
                <w:color w:val="FFFFFF"/>
                <w:sz w:val="28"/>
                <w:szCs w:val="22"/>
              </w:rPr>
            </w:pPr>
            <w:r w:rsidRPr="00E138C3">
              <w:rPr>
                <w:rFonts w:ascii="Tahoma" w:hAnsi="Tahoma" w:cs="Tahoma"/>
                <w:bCs/>
                <w:iCs/>
                <w:color w:val="FFFFFF"/>
                <w:sz w:val="28"/>
                <w:szCs w:val="22"/>
              </w:rPr>
              <w:t>2.</w:t>
            </w:r>
          </w:p>
        </w:tc>
        <w:tc>
          <w:tcPr>
            <w:tcW w:w="4590" w:type="pct"/>
            <w:gridSpan w:val="5"/>
            <w:shd w:val="clear" w:color="auto" w:fill="808080"/>
            <w:vAlign w:val="center"/>
          </w:tcPr>
          <w:p w14:paraId="68D697D6" w14:textId="77777777" w:rsidR="00E138C3" w:rsidRPr="00E138C3" w:rsidRDefault="00E138C3" w:rsidP="00E138C3">
            <w:pPr>
              <w:tabs>
                <w:tab w:val="left" w:pos="284"/>
              </w:tabs>
              <w:rPr>
                <w:rFonts w:ascii="Tahoma" w:hAnsi="Tahoma" w:cs="Tahoma"/>
                <w:bCs/>
                <w:iCs/>
                <w:color w:val="FFFFFF"/>
                <w:sz w:val="28"/>
                <w:szCs w:val="22"/>
                <w:vertAlign w:val="superscript"/>
              </w:rPr>
            </w:pPr>
            <w:r w:rsidRPr="00E138C3">
              <w:rPr>
                <w:rFonts w:ascii="Tahoma" w:hAnsi="Tahoma" w:cs="Tahoma"/>
                <w:bCs/>
                <w:iCs/>
                <w:color w:val="FFFFFF"/>
                <w:sz w:val="28"/>
                <w:szCs w:val="22"/>
              </w:rPr>
              <w:t>Стоимость обслуживания Программы</w:t>
            </w:r>
          </w:p>
        </w:tc>
      </w:tr>
      <w:tr w:rsidR="00E138C3" w:rsidRPr="00E138C3" w14:paraId="41D987B6" w14:textId="77777777" w:rsidTr="003D2438">
        <w:tc>
          <w:tcPr>
            <w:tcW w:w="410" w:type="pct"/>
            <w:shd w:val="clear" w:color="auto" w:fill="auto"/>
            <w:vAlign w:val="center"/>
          </w:tcPr>
          <w:p w14:paraId="11757871"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2.1.</w:t>
            </w:r>
          </w:p>
        </w:tc>
        <w:tc>
          <w:tcPr>
            <w:tcW w:w="1694" w:type="pct"/>
            <w:shd w:val="clear" w:color="auto" w:fill="auto"/>
            <w:vAlign w:val="center"/>
          </w:tcPr>
          <w:p w14:paraId="629A54AD" w14:textId="77777777" w:rsidR="00E138C3" w:rsidRPr="00E138C3" w:rsidRDefault="00E138C3" w:rsidP="00E138C3">
            <w:pPr>
              <w:rPr>
                <w:rFonts w:ascii="Tahoma" w:hAnsi="Tahoma" w:cs="Tahoma"/>
                <w:bCs/>
                <w:iCs/>
                <w:sz w:val="22"/>
                <w:szCs w:val="22"/>
              </w:rPr>
            </w:pPr>
            <w:r w:rsidRPr="00E138C3">
              <w:rPr>
                <w:rFonts w:ascii="Tahoma" w:hAnsi="Tahoma" w:cs="Tahoma"/>
                <w:bCs/>
                <w:iCs/>
                <w:sz w:val="22"/>
                <w:szCs w:val="22"/>
              </w:rPr>
              <w:t>при соблюдении одного из условий, указанных в п.2.3 Программы</w:t>
            </w:r>
          </w:p>
        </w:tc>
        <w:tc>
          <w:tcPr>
            <w:tcW w:w="2896" w:type="pct"/>
            <w:gridSpan w:val="4"/>
            <w:shd w:val="clear" w:color="auto" w:fill="auto"/>
            <w:vAlign w:val="center"/>
          </w:tcPr>
          <w:p w14:paraId="55AF5194" w14:textId="77777777" w:rsidR="00E138C3" w:rsidRPr="00E138C3" w:rsidRDefault="00E138C3" w:rsidP="00E138C3">
            <w:pPr>
              <w:tabs>
                <w:tab w:val="left" w:pos="4889"/>
              </w:tabs>
              <w:jc w:val="center"/>
              <w:rPr>
                <w:rFonts w:ascii="Tahoma" w:hAnsi="Tahoma" w:cs="Tahoma"/>
                <w:b/>
                <w:bCs/>
                <w:sz w:val="22"/>
                <w:szCs w:val="22"/>
              </w:rPr>
            </w:pPr>
            <w:r w:rsidRPr="00E138C3">
              <w:rPr>
                <w:rFonts w:ascii="Tahoma" w:hAnsi="Tahoma" w:cs="Tahoma"/>
                <w:b/>
                <w:bCs/>
              </w:rPr>
              <w:t>БЕСПЛАТНО</w:t>
            </w:r>
          </w:p>
        </w:tc>
      </w:tr>
      <w:tr w:rsidR="00E138C3" w:rsidRPr="00E138C3" w14:paraId="63DD6568" w14:textId="77777777" w:rsidTr="003D2438">
        <w:tc>
          <w:tcPr>
            <w:tcW w:w="410" w:type="pct"/>
            <w:shd w:val="clear" w:color="auto" w:fill="auto"/>
            <w:vAlign w:val="center"/>
          </w:tcPr>
          <w:p w14:paraId="51382F00"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2.2.</w:t>
            </w:r>
          </w:p>
        </w:tc>
        <w:tc>
          <w:tcPr>
            <w:tcW w:w="1694" w:type="pct"/>
            <w:shd w:val="clear" w:color="auto" w:fill="auto"/>
            <w:vAlign w:val="center"/>
          </w:tcPr>
          <w:p w14:paraId="737003B0" w14:textId="77777777" w:rsidR="00E138C3" w:rsidRPr="00E138C3" w:rsidRDefault="00E138C3" w:rsidP="00E138C3">
            <w:pPr>
              <w:rPr>
                <w:rFonts w:ascii="Tahoma" w:hAnsi="Tahoma" w:cs="Tahoma"/>
                <w:bCs/>
                <w:iCs/>
                <w:sz w:val="22"/>
                <w:szCs w:val="22"/>
              </w:rPr>
            </w:pPr>
            <w:r w:rsidRPr="00E138C3">
              <w:rPr>
                <w:rFonts w:ascii="Tahoma" w:hAnsi="Tahoma" w:cs="Tahoma"/>
                <w:bCs/>
                <w:iCs/>
                <w:sz w:val="22"/>
                <w:szCs w:val="22"/>
              </w:rPr>
              <w:t>при несоблюдении какого-либо из условий, указанных в п.2.3 Программы</w:t>
            </w:r>
          </w:p>
        </w:tc>
        <w:tc>
          <w:tcPr>
            <w:tcW w:w="2896" w:type="pct"/>
            <w:gridSpan w:val="4"/>
            <w:shd w:val="clear" w:color="auto" w:fill="auto"/>
            <w:vAlign w:val="center"/>
          </w:tcPr>
          <w:p w14:paraId="2B4A7E56" w14:textId="77777777" w:rsidR="00E138C3" w:rsidRPr="00E138C3" w:rsidRDefault="00E138C3" w:rsidP="00E138C3">
            <w:pPr>
              <w:tabs>
                <w:tab w:val="left" w:pos="4889"/>
              </w:tabs>
              <w:jc w:val="center"/>
              <w:rPr>
                <w:rFonts w:ascii="Tahoma" w:hAnsi="Tahoma" w:cs="Tahoma"/>
                <w:bCs/>
                <w:iCs/>
                <w:sz w:val="22"/>
                <w:szCs w:val="22"/>
                <w:vertAlign w:val="superscript"/>
              </w:rPr>
            </w:pPr>
            <w:r w:rsidRPr="00E138C3">
              <w:rPr>
                <w:rFonts w:ascii="Tahoma" w:hAnsi="Tahoma" w:cs="Tahoma"/>
                <w:b/>
                <w:bCs/>
                <w:iCs/>
                <w:color w:val="000000"/>
                <w:sz w:val="22"/>
                <w:szCs w:val="22"/>
              </w:rPr>
              <w:t>4 4</w:t>
            </w:r>
            <w:r w:rsidRPr="00E138C3">
              <w:rPr>
                <w:rFonts w:ascii="Tahoma" w:hAnsi="Tahoma" w:cs="Tahoma"/>
                <w:b/>
                <w:bCs/>
                <w:iCs/>
                <w:color w:val="000000"/>
                <w:sz w:val="22"/>
                <w:szCs w:val="22"/>
                <w:lang w:val="en-US"/>
              </w:rPr>
              <w:t>50</w:t>
            </w:r>
            <w:r w:rsidRPr="00E138C3">
              <w:rPr>
                <w:rFonts w:ascii="Tahoma" w:hAnsi="Tahoma" w:cs="Tahoma"/>
                <w:bCs/>
                <w:iCs/>
                <w:color w:val="000000"/>
                <w:sz w:val="22"/>
                <w:szCs w:val="22"/>
              </w:rPr>
              <w:t xml:space="preserve"> рублей в месяц</w:t>
            </w:r>
            <w:r w:rsidRPr="00E138C3">
              <w:rPr>
                <w:rFonts w:ascii="Tahoma" w:hAnsi="Tahoma" w:cs="Tahoma"/>
                <w:bCs/>
                <w:iCs/>
                <w:color w:val="000000"/>
                <w:sz w:val="22"/>
                <w:szCs w:val="22"/>
                <w:vertAlign w:val="superscript"/>
              </w:rPr>
              <w:t>3</w:t>
            </w:r>
          </w:p>
        </w:tc>
      </w:tr>
      <w:tr w:rsidR="00E138C3" w:rsidRPr="00E138C3" w14:paraId="442C22B7" w14:textId="77777777" w:rsidTr="00E138C3">
        <w:tc>
          <w:tcPr>
            <w:tcW w:w="410" w:type="pct"/>
            <w:shd w:val="clear" w:color="auto" w:fill="7F7F7F"/>
            <w:vAlign w:val="center"/>
          </w:tcPr>
          <w:p w14:paraId="3F884184"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2.3.</w:t>
            </w:r>
          </w:p>
        </w:tc>
        <w:tc>
          <w:tcPr>
            <w:tcW w:w="4590" w:type="pct"/>
            <w:gridSpan w:val="5"/>
            <w:shd w:val="clear" w:color="auto" w:fill="7F7F7F"/>
            <w:vAlign w:val="center"/>
          </w:tcPr>
          <w:p w14:paraId="69462CA8" w14:textId="77777777" w:rsidR="00E138C3" w:rsidRPr="00E138C3" w:rsidRDefault="00E138C3" w:rsidP="00E138C3">
            <w:pPr>
              <w:tabs>
                <w:tab w:val="left" w:pos="4889"/>
              </w:tabs>
              <w:rPr>
                <w:rFonts w:ascii="Tahoma" w:hAnsi="Tahoma" w:cs="Tahoma"/>
                <w:b/>
                <w:bCs/>
                <w:iCs/>
                <w:color w:val="FFFFFF"/>
                <w:sz w:val="22"/>
                <w:szCs w:val="22"/>
              </w:rPr>
            </w:pPr>
            <w:r w:rsidRPr="00E138C3">
              <w:rPr>
                <w:rFonts w:ascii="Tahoma" w:hAnsi="Tahoma" w:cs="Tahoma"/>
                <w:b/>
                <w:bCs/>
                <w:iCs/>
                <w:color w:val="FFFFFF"/>
                <w:sz w:val="22"/>
                <w:szCs w:val="22"/>
              </w:rPr>
              <w:t>Условия бесплатного обслуживания Программы</w:t>
            </w:r>
          </w:p>
        </w:tc>
      </w:tr>
      <w:tr w:rsidR="00E138C3" w:rsidRPr="00E138C3" w14:paraId="6D1D2857" w14:textId="77777777" w:rsidTr="003D2438">
        <w:trPr>
          <w:trHeight w:val="446"/>
        </w:trPr>
        <w:tc>
          <w:tcPr>
            <w:tcW w:w="410" w:type="pct"/>
            <w:shd w:val="clear" w:color="auto" w:fill="auto"/>
            <w:vAlign w:val="center"/>
          </w:tcPr>
          <w:p w14:paraId="6C3C9FB8"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2.3.1.</w:t>
            </w:r>
          </w:p>
          <w:p w14:paraId="6CC83C7E" w14:textId="77777777" w:rsidR="00E138C3" w:rsidRPr="00E138C3" w:rsidRDefault="00E138C3" w:rsidP="00E138C3">
            <w:pPr>
              <w:rPr>
                <w:rFonts w:ascii="Tahoma" w:hAnsi="Tahoma" w:cs="Tahoma"/>
                <w:bCs/>
                <w:iCs/>
                <w:sz w:val="22"/>
                <w:szCs w:val="22"/>
              </w:rPr>
            </w:pPr>
          </w:p>
        </w:tc>
        <w:tc>
          <w:tcPr>
            <w:tcW w:w="1694" w:type="pct"/>
            <w:shd w:val="clear" w:color="auto" w:fill="auto"/>
            <w:vAlign w:val="center"/>
          </w:tcPr>
          <w:p w14:paraId="58C5A848" w14:textId="77777777" w:rsidR="00E138C3" w:rsidRPr="00E138C3" w:rsidRDefault="00E138C3" w:rsidP="00E138C3">
            <w:pPr>
              <w:rPr>
                <w:rFonts w:ascii="Tahoma" w:hAnsi="Tahoma" w:cs="Tahoma"/>
                <w:bCs/>
                <w:iCs/>
                <w:sz w:val="22"/>
                <w:szCs w:val="22"/>
              </w:rPr>
            </w:pPr>
            <w:r w:rsidRPr="00E138C3">
              <w:rPr>
                <w:rFonts w:ascii="Tahoma" w:hAnsi="Tahoma" w:cs="Tahoma"/>
                <w:bCs/>
                <w:iCs/>
                <w:sz w:val="22"/>
                <w:szCs w:val="22"/>
              </w:rPr>
              <w:t>Средние остатки</w:t>
            </w:r>
            <w:r w:rsidRPr="00E138C3">
              <w:rPr>
                <w:rFonts w:ascii="Tahoma" w:hAnsi="Tahoma" w:cs="Tahoma"/>
                <w:bCs/>
                <w:iCs/>
                <w:sz w:val="22"/>
                <w:szCs w:val="22"/>
                <w:vertAlign w:val="superscript"/>
              </w:rPr>
              <w:t>4</w:t>
            </w:r>
            <w:r w:rsidRPr="00E138C3">
              <w:rPr>
                <w:rFonts w:ascii="Tahoma" w:eastAsia="Calibri" w:hAnsi="Tahoma" w:cs="Tahoma"/>
                <w:sz w:val="22"/>
                <w:szCs w:val="22"/>
                <w:lang w:eastAsia="en-US"/>
              </w:rPr>
              <w:t xml:space="preserve"> денежных средств </w:t>
            </w:r>
            <w:r w:rsidRPr="00E138C3">
              <w:rPr>
                <w:rFonts w:ascii="Tahoma" w:hAnsi="Tahoma" w:cs="Tahoma"/>
                <w:bCs/>
                <w:iCs/>
                <w:sz w:val="22"/>
                <w:szCs w:val="22"/>
              </w:rPr>
              <w:t>в течение календарного месяца</w:t>
            </w:r>
          </w:p>
        </w:tc>
        <w:tc>
          <w:tcPr>
            <w:tcW w:w="2896" w:type="pct"/>
            <w:gridSpan w:val="4"/>
            <w:shd w:val="clear" w:color="auto" w:fill="auto"/>
            <w:vAlign w:val="center"/>
          </w:tcPr>
          <w:p w14:paraId="31D5AB66" w14:textId="77777777" w:rsidR="00E138C3" w:rsidRPr="00E138C3" w:rsidRDefault="00E138C3" w:rsidP="00E138C3">
            <w:pPr>
              <w:tabs>
                <w:tab w:val="left" w:pos="4889"/>
              </w:tabs>
              <w:ind w:left="480"/>
              <w:jc w:val="center"/>
              <w:rPr>
                <w:rFonts w:ascii="Tahoma" w:hAnsi="Tahoma" w:cs="Tahoma"/>
                <w:bCs/>
                <w:iCs/>
                <w:color w:val="000000"/>
              </w:rPr>
            </w:pPr>
            <w:r w:rsidRPr="00E138C3">
              <w:rPr>
                <w:rFonts w:ascii="Tahoma" w:hAnsi="Tahoma" w:cs="Tahoma"/>
                <w:bCs/>
                <w:iCs/>
                <w:color w:val="000000"/>
              </w:rPr>
              <w:t>от</w:t>
            </w:r>
            <w:r w:rsidRPr="00E138C3">
              <w:rPr>
                <w:rFonts w:ascii="Tahoma" w:hAnsi="Tahoma" w:cs="Tahoma"/>
                <w:b/>
                <w:bCs/>
                <w:iCs/>
                <w:color w:val="000000"/>
              </w:rPr>
              <w:t xml:space="preserve"> 15 000 000 рублей</w:t>
            </w:r>
            <w:r w:rsidRPr="00E138C3">
              <w:rPr>
                <w:rFonts w:ascii="Tahoma" w:hAnsi="Tahoma" w:cs="Tahoma"/>
                <w:bCs/>
                <w:iCs/>
                <w:color w:val="000000"/>
              </w:rPr>
              <w:t>;</w:t>
            </w:r>
          </w:p>
        </w:tc>
      </w:tr>
      <w:tr w:rsidR="00E138C3" w:rsidRPr="00E138C3" w14:paraId="3BE1C6B8" w14:textId="77777777" w:rsidTr="003D2438">
        <w:trPr>
          <w:trHeight w:val="1014"/>
        </w:trPr>
        <w:tc>
          <w:tcPr>
            <w:tcW w:w="410" w:type="pct"/>
            <w:shd w:val="clear" w:color="auto" w:fill="auto"/>
            <w:vAlign w:val="center"/>
          </w:tcPr>
          <w:p w14:paraId="12A18BF7" w14:textId="77777777" w:rsidR="00E138C3" w:rsidRPr="00E138C3" w:rsidRDefault="00E138C3" w:rsidP="00E138C3">
            <w:pPr>
              <w:rPr>
                <w:rFonts w:ascii="Tahoma" w:hAnsi="Tahoma" w:cs="Tahoma"/>
                <w:bCs/>
                <w:iCs/>
                <w:sz w:val="22"/>
                <w:szCs w:val="22"/>
              </w:rPr>
            </w:pPr>
            <w:r w:rsidRPr="00E138C3">
              <w:rPr>
                <w:rFonts w:ascii="Tahoma" w:hAnsi="Tahoma" w:cs="Tahoma"/>
                <w:bCs/>
                <w:iCs/>
                <w:sz w:val="22"/>
                <w:szCs w:val="22"/>
              </w:rPr>
              <w:t>2.3.2.</w:t>
            </w:r>
          </w:p>
        </w:tc>
        <w:tc>
          <w:tcPr>
            <w:tcW w:w="1694" w:type="pct"/>
            <w:shd w:val="clear" w:color="auto" w:fill="auto"/>
            <w:vAlign w:val="center"/>
          </w:tcPr>
          <w:p w14:paraId="5A834E08" w14:textId="77777777" w:rsidR="00E138C3" w:rsidRPr="00E138C3" w:rsidRDefault="00E138C3" w:rsidP="00E138C3">
            <w:pPr>
              <w:rPr>
                <w:rFonts w:ascii="Tahoma" w:hAnsi="Tahoma" w:cs="Tahoma"/>
                <w:bCs/>
                <w:iCs/>
                <w:sz w:val="22"/>
                <w:szCs w:val="22"/>
              </w:rPr>
            </w:pPr>
            <w:r w:rsidRPr="00E138C3">
              <w:rPr>
                <w:rFonts w:ascii="Tahoma" w:hAnsi="Tahoma" w:cs="Tahoma"/>
                <w:bCs/>
                <w:iCs/>
                <w:sz w:val="22"/>
                <w:szCs w:val="22"/>
              </w:rPr>
              <w:t>Средние остатки</w:t>
            </w:r>
            <w:r w:rsidRPr="00E138C3">
              <w:rPr>
                <w:rFonts w:ascii="Tahoma" w:hAnsi="Tahoma" w:cs="Tahoma"/>
                <w:bCs/>
                <w:iCs/>
                <w:sz w:val="22"/>
                <w:szCs w:val="22"/>
                <w:vertAlign w:val="superscript"/>
              </w:rPr>
              <w:t xml:space="preserve">4 </w:t>
            </w:r>
            <w:r w:rsidRPr="00E138C3">
              <w:rPr>
                <w:rFonts w:ascii="Tahoma" w:hAnsi="Tahoma" w:cs="Tahoma"/>
                <w:bCs/>
                <w:iCs/>
                <w:sz w:val="22"/>
                <w:szCs w:val="22"/>
              </w:rPr>
              <w:t xml:space="preserve">денежных средств в течение календарного месяца </w:t>
            </w:r>
            <w:r w:rsidRPr="00E138C3">
              <w:rPr>
                <w:rFonts w:ascii="Tahoma" w:hAnsi="Tahoma" w:cs="Tahoma"/>
                <w:b/>
                <w:bCs/>
                <w:iCs/>
                <w:sz w:val="22"/>
                <w:szCs w:val="22"/>
              </w:rPr>
              <w:t>и</w:t>
            </w:r>
            <w:r w:rsidRPr="00E138C3">
              <w:rPr>
                <w:rFonts w:ascii="Tahoma" w:hAnsi="Tahoma" w:cs="Tahoma"/>
                <w:bCs/>
                <w:iCs/>
                <w:sz w:val="22"/>
                <w:szCs w:val="22"/>
              </w:rPr>
              <w:t xml:space="preserve"> Сумма покупок</w:t>
            </w:r>
            <w:r w:rsidRPr="00E138C3">
              <w:rPr>
                <w:rFonts w:ascii="Tahoma" w:hAnsi="Tahoma" w:cs="Tahoma"/>
                <w:bCs/>
                <w:iCs/>
                <w:sz w:val="22"/>
                <w:szCs w:val="22"/>
                <w:vertAlign w:val="superscript"/>
              </w:rPr>
              <w:t>5</w:t>
            </w:r>
            <w:r w:rsidRPr="00E138C3">
              <w:rPr>
                <w:rFonts w:ascii="Tahoma" w:hAnsi="Tahoma" w:cs="Tahoma"/>
                <w:bCs/>
                <w:iCs/>
                <w:sz w:val="22"/>
                <w:szCs w:val="22"/>
              </w:rPr>
              <w:t xml:space="preserve"> по Картам, выпущенным в рамках Программы, в течение календарного месяца</w:t>
            </w:r>
          </w:p>
        </w:tc>
        <w:tc>
          <w:tcPr>
            <w:tcW w:w="2896" w:type="pct"/>
            <w:gridSpan w:val="4"/>
            <w:shd w:val="clear" w:color="auto" w:fill="auto"/>
            <w:vAlign w:val="center"/>
          </w:tcPr>
          <w:p w14:paraId="7A5577CC" w14:textId="77777777" w:rsidR="00E138C3" w:rsidRPr="00E138C3" w:rsidRDefault="00E138C3" w:rsidP="00E138C3">
            <w:pPr>
              <w:tabs>
                <w:tab w:val="left" w:pos="4889"/>
              </w:tabs>
              <w:ind w:left="480"/>
              <w:jc w:val="center"/>
              <w:rPr>
                <w:rFonts w:ascii="Tahoma" w:hAnsi="Tahoma" w:cs="Tahoma"/>
                <w:b/>
                <w:bCs/>
                <w:iCs/>
                <w:color w:val="000000"/>
              </w:rPr>
            </w:pPr>
            <w:r w:rsidRPr="00E138C3">
              <w:rPr>
                <w:rFonts w:ascii="Tahoma" w:hAnsi="Tahoma" w:cs="Tahoma"/>
                <w:bCs/>
                <w:iCs/>
                <w:color w:val="000000"/>
              </w:rPr>
              <w:t>Средние остатки</w:t>
            </w:r>
            <w:r w:rsidRPr="00E138C3">
              <w:rPr>
                <w:rFonts w:ascii="Tahoma" w:hAnsi="Tahoma" w:cs="Tahoma"/>
                <w:bCs/>
                <w:iCs/>
                <w:color w:val="000000"/>
                <w:vertAlign w:val="superscript"/>
              </w:rPr>
              <w:t xml:space="preserve">4 </w:t>
            </w:r>
            <w:r w:rsidRPr="00E138C3">
              <w:rPr>
                <w:rFonts w:ascii="Tahoma" w:hAnsi="Tahoma" w:cs="Tahoma"/>
                <w:bCs/>
                <w:iCs/>
                <w:color w:val="000000"/>
              </w:rPr>
              <w:t>от</w:t>
            </w:r>
            <w:r w:rsidRPr="00E138C3">
              <w:rPr>
                <w:rFonts w:ascii="Tahoma" w:hAnsi="Tahoma" w:cs="Tahoma"/>
                <w:b/>
                <w:bCs/>
                <w:iCs/>
                <w:color w:val="000000"/>
              </w:rPr>
              <w:t xml:space="preserve"> 3 000 000 рублей </w:t>
            </w:r>
            <w:r w:rsidRPr="00E138C3">
              <w:rPr>
                <w:rFonts w:ascii="Tahoma" w:hAnsi="Tahoma" w:cs="Tahoma"/>
                <w:bCs/>
                <w:iCs/>
                <w:color w:val="000000"/>
              </w:rPr>
              <w:t>и Сумма покупок от</w:t>
            </w:r>
            <w:r w:rsidRPr="00E138C3">
              <w:rPr>
                <w:rFonts w:ascii="Tahoma" w:hAnsi="Tahoma" w:cs="Tahoma"/>
                <w:b/>
                <w:bCs/>
                <w:iCs/>
                <w:color w:val="000000"/>
              </w:rPr>
              <w:t xml:space="preserve"> 150 000 рублей;</w:t>
            </w:r>
          </w:p>
        </w:tc>
      </w:tr>
      <w:tr w:rsidR="00E138C3" w:rsidRPr="00E138C3" w14:paraId="6B4A64BD" w14:textId="77777777" w:rsidTr="003D2438">
        <w:trPr>
          <w:trHeight w:val="882"/>
        </w:trPr>
        <w:tc>
          <w:tcPr>
            <w:tcW w:w="410" w:type="pct"/>
            <w:shd w:val="clear" w:color="auto" w:fill="auto"/>
            <w:vAlign w:val="center"/>
          </w:tcPr>
          <w:p w14:paraId="5F915330" w14:textId="77777777" w:rsidR="00E138C3" w:rsidRPr="00E138C3" w:rsidRDefault="00E138C3" w:rsidP="00E138C3">
            <w:pPr>
              <w:rPr>
                <w:rFonts w:ascii="Tahoma" w:hAnsi="Tahoma" w:cs="Tahoma"/>
                <w:bCs/>
                <w:iCs/>
                <w:sz w:val="22"/>
                <w:szCs w:val="22"/>
              </w:rPr>
            </w:pPr>
            <w:r w:rsidRPr="00E138C3">
              <w:rPr>
                <w:rFonts w:ascii="Tahoma" w:hAnsi="Tahoma" w:cs="Tahoma"/>
                <w:bCs/>
                <w:iCs/>
                <w:sz w:val="22"/>
                <w:szCs w:val="22"/>
              </w:rPr>
              <w:t>2.3.3.</w:t>
            </w:r>
          </w:p>
        </w:tc>
        <w:tc>
          <w:tcPr>
            <w:tcW w:w="1694" w:type="pct"/>
            <w:shd w:val="clear" w:color="auto" w:fill="auto"/>
            <w:vAlign w:val="center"/>
          </w:tcPr>
          <w:p w14:paraId="65314A2D" w14:textId="77777777" w:rsidR="00E138C3" w:rsidRPr="00E138C3" w:rsidRDefault="00E138C3" w:rsidP="00E138C3">
            <w:pPr>
              <w:rPr>
                <w:rFonts w:ascii="Tahoma" w:hAnsi="Tahoma" w:cs="Tahoma"/>
                <w:bCs/>
                <w:iCs/>
                <w:sz w:val="22"/>
                <w:szCs w:val="22"/>
              </w:rPr>
            </w:pPr>
            <w:r w:rsidRPr="00E138C3">
              <w:rPr>
                <w:rFonts w:ascii="Tahoma" w:hAnsi="Tahoma" w:cs="Tahoma"/>
                <w:bCs/>
                <w:iCs/>
                <w:sz w:val="22"/>
                <w:szCs w:val="22"/>
              </w:rPr>
              <w:t>Сумма покупок</w:t>
            </w:r>
            <w:r w:rsidRPr="00E138C3">
              <w:rPr>
                <w:rFonts w:ascii="Tahoma" w:hAnsi="Tahoma" w:cs="Tahoma"/>
                <w:bCs/>
                <w:iCs/>
                <w:sz w:val="22"/>
                <w:szCs w:val="22"/>
                <w:vertAlign w:val="superscript"/>
              </w:rPr>
              <w:t>5</w:t>
            </w:r>
            <w:r w:rsidRPr="00E138C3">
              <w:rPr>
                <w:rFonts w:ascii="Tahoma" w:hAnsi="Tahoma" w:cs="Tahoma"/>
                <w:bCs/>
                <w:iCs/>
                <w:sz w:val="22"/>
                <w:szCs w:val="22"/>
              </w:rPr>
              <w:t>, совершенных с использованием Карт, выпущенных в рамках Программы, в течение календарного месяца</w:t>
            </w:r>
          </w:p>
        </w:tc>
        <w:tc>
          <w:tcPr>
            <w:tcW w:w="2896" w:type="pct"/>
            <w:gridSpan w:val="4"/>
            <w:shd w:val="clear" w:color="auto" w:fill="auto"/>
            <w:vAlign w:val="center"/>
          </w:tcPr>
          <w:p w14:paraId="2EF79636" w14:textId="77777777" w:rsidR="00E138C3" w:rsidRPr="00E138C3" w:rsidRDefault="00E138C3" w:rsidP="00E138C3">
            <w:pPr>
              <w:tabs>
                <w:tab w:val="left" w:pos="4889"/>
              </w:tabs>
              <w:ind w:left="480"/>
              <w:jc w:val="center"/>
              <w:rPr>
                <w:rFonts w:ascii="Tahoma" w:hAnsi="Tahoma" w:cs="Tahoma"/>
                <w:bCs/>
                <w:iCs/>
                <w:color w:val="000000"/>
              </w:rPr>
            </w:pPr>
            <w:r w:rsidRPr="00E138C3">
              <w:rPr>
                <w:rFonts w:ascii="Tahoma" w:hAnsi="Tahoma" w:cs="Tahoma"/>
                <w:bCs/>
                <w:iCs/>
                <w:color w:val="000000"/>
              </w:rPr>
              <w:t>от</w:t>
            </w:r>
            <w:r w:rsidRPr="00E138C3">
              <w:rPr>
                <w:rFonts w:ascii="Tahoma" w:hAnsi="Tahoma" w:cs="Tahoma"/>
                <w:b/>
                <w:bCs/>
                <w:iCs/>
                <w:color w:val="000000"/>
              </w:rPr>
              <w:t xml:space="preserve"> 500 000</w:t>
            </w:r>
            <w:r w:rsidRPr="00E138C3">
              <w:rPr>
                <w:rFonts w:ascii="Tahoma" w:hAnsi="Tahoma" w:cs="Tahoma"/>
                <w:bCs/>
                <w:iCs/>
                <w:color w:val="000000"/>
              </w:rPr>
              <w:t xml:space="preserve"> </w:t>
            </w:r>
            <w:r w:rsidRPr="00E138C3">
              <w:rPr>
                <w:rFonts w:ascii="Tahoma" w:hAnsi="Tahoma" w:cs="Tahoma"/>
                <w:b/>
                <w:bCs/>
                <w:iCs/>
                <w:color w:val="000000"/>
              </w:rPr>
              <w:t>рублей;</w:t>
            </w:r>
          </w:p>
        </w:tc>
      </w:tr>
      <w:tr w:rsidR="00E138C3" w:rsidRPr="00E138C3" w14:paraId="067F7C58" w14:textId="77777777" w:rsidTr="003D2438">
        <w:trPr>
          <w:trHeight w:val="555"/>
        </w:trPr>
        <w:tc>
          <w:tcPr>
            <w:tcW w:w="410" w:type="pct"/>
            <w:shd w:val="clear" w:color="auto" w:fill="auto"/>
            <w:vAlign w:val="center"/>
          </w:tcPr>
          <w:p w14:paraId="20079FAC" w14:textId="77777777" w:rsidR="00E138C3" w:rsidRPr="00E138C3" w:rsidRDefault="00E138C3" w:rsidP="00E138C3">
            <w:pPr>
              <w:rPr>
                <w:rFonts w:ascii="Tahoma" w:hAnsi="Tahoma" w:cs="Tahoma"/>
                <w:bCs/>
                <w:iCs/>
                <w:sz w:val="22"/>
                <w:szCs w:val="22"/>
              </w:rPr>
            </w:pPr>
            <w:r w:rsidRPr="00E138C3">
              <w:rPr>
                <w:rFonts w:ascii="Tahoma" w:hAnsi="Tahoma" w:cs="Tahoma"/>
                <w:bCs/>
                <w:iCs/>
                <w:sz w:val="22"/>
                <w:szCs w:val="22"/>
              </w:rPr>
              <w:t>2.3.4.</w:t>
            </w:r>
          </w:p>
        </w:tc>
        <w:tc>
          <w:tcPr>
            <w:tcW w:w="1694" w:type="pct"/>
            <w:shd w:val="clear" w:color="auto" w:fill="auto"/>
            <w:vAlign w:val="center"/>
          </w:tcPr>
          <w:p w14:paraId="5F854A72" w14:textId="77777777" w:rsidR="00E138C3" w:rsidRPr="00E138C3" w:rsidRDefault="00E138C3" w:rsidP="00E138C3">
            <w:pPr>
              <w:rPr>
                <w:rFonts w:ascii="Tahoma" w:hAnsi="Tahoma" w:cs="Tahoma"/>
                <w:bCs/>
                <w:iCs/>
                <w:color w:val="000000"/>
                <w:sz w:val="22"/>
                <w:szCs w:val="22"/>
              </w:rPr>
            </w:pPr>
            <w:r w:rsidRPr="00E138C3">
              <w:rPr>
                <w:rFonts w:ascii="Tahoma" w:hAnsi="Tahoma" w:cs="Tahoma"/>
                <w:bCs/>
                <w:iCs/>
                <w:color w:val="000000"/>
                <w:sz w:val="22"/>
                <w:szCs w:val="22"/>
              </w:rPr>
              <w:t>поступление Заработной платы</w:t>
            </w:r>
            <w:r w:rsidRPr="00E138C3">
              <w:rPr>
                <w:rFonts w:ascii="Tahoma" w:hAnsi="Tahoma" w:cs="Tahoma"/>
                <w:bCs/>
                <w:iCs/>
                <w:color w:val="000000"/>
                <w:sz w:val="22"/>
                <w:szCs w:val="22"/>
                <w:vertAlign w:val="superscript"/>
              </w:rPr>
              <w:t>6</w:t>
            </w:r>
            <w:r w:rsidRPr="00E138C3">
              <w:rPr>
                <w:rFonts w:ascii="Tahoma" w:hAnsi="Tahoma" w:cs="Tahoma"/>
                <w:bCs/>
                <w:iCs/>
                <w:color w:val="000000"/>
                <w:sz w:val="22"/>
                <w:szCs w:val="22"/>
              </w:rPr>
              <w:t xml:space="preserve"> в течение календарного месяца на счет Карты, выпущенной в рамках Программы</w:t>
            </w:r>
          </w:p>
        </w:tc>
        <w:tc>
          <w:tcPr>
            <w:tcW w:w="2896" w:type="pct"/>
            <w:gridSpan w:val="4"/>
            <w:shd w:val="clear" w:color="auto" w:fill="auto"/>
            <w:vAlign w:val="center"/>
          </w:tcPr>
          <w:p w14:paraId="1785E3C3" w14:textId="77777777" w:rsidR="00E138C3" w:rsidRPr="00E138C3" w:rsidRDefault="00E138C3" w:rsidP="00E138C3">
            <w:pPr>
              <w:tabs>
                <w:tab w:val="left" w:pos="4889"/>
              </w:tabs>
              <w:ind w:left="480"/>
              <w:jc w:val="center"/>
              <w:rPr>
                <w:rFonts w:ascii="Tahoma" w:hAnsi="Tahoma" w:cs="Tahoma"/>
                <w:bCs/>
                <w:iCs/>
                <w:color w:val="000000"/>
              </w:rPr>
            </w:pPr>
            <w:r w:rsidRPr="00E138C3">
              <w:rPr>
                <w:rFonts w:ascii="Tahoma" w:hAnsi="Tahoma" w:cs="Tahoma"/>
                <w:bCs/>
                <w:iCs/>
                <w:color w:val="000000"/>
              </w:rPr>
              <w:t>от</w:t>
            </w:r>
            <w:r w:rsidRPr="00E138C3">
              <w:rPr>
                <w:rFonts w:ascii="Tahoma" w:hAnsi="Tahoma" w:cs="Tahoma"/>
                <w:b/>
                <w:bCs/>
                <w:iCs/>
                <w:color w:val="000000"/>
              </w:rPr>
              <w:t xml:space="preserve"> 400 000 рублей </w:t>
            </w:r>
            <w:r w:rsidRPr="00E138C3">
              <w:rPr>
                <w:rFonts w:ascii="Tahoma" w:hAnsi="Tahoma" w:cs="Tahoma"/>
                <w:bCs/>
                <w:iCs/>
                <w:color w:val="000000"/>
              </w:rPr>
              <w:t>в месяц;</w:t>
            </w:r>
          </w:p>
        </w:tc>
      </w:tr>
      <w:tr w:rsidR="00E138C3" w:rsidRPr="00E138C3" w14:paraId="719517E7" w14:textId="77777777" w:rsidTr="003D2438">
        <w:tc>
          <w:tcPr>
            <w:tcW w:w="410" w:type="pct"/>
            <w:shd w:val="clear" w:color="auto" w:fill="808080"/>
            <w:vAlign w:val="center"/>
          </w:tcPr>
          <w:p w14:paraId="63D200E7" w14:textId="77777777" w:rsidR="00E138C3" w:rsidRPr="00E138C3" w:rsidRDefault="00E138C3" w:rsidP="00E138C3">
            <w:pPr>
              <w:tabs>
                <w:tab w:val="left" w:pos="284"/>
              </w:tabs>
              <w:rPr>
                <w:rFonts w:ascii="Tahoma" w:hAnsi="Tahoma" w:cs="Tahoma"/>
                <w:bCs/>
                <w:iCs/>
                <w:color w:val="FFFFFF"/>
                <w:sz w:val="28"/>
                <w:szCs w:val="22"/>
              </w:rPr>
            </w:pPr>
            <w:r w:rsidRPr="00E138C3">
              <w:rPr>
                <w:rFonts w:ascii="Tahoma" w:hAnsi="Tahoma" w:cs="Tahoma"/>
                <w:bCs/>
                <w:iCs/>
                <w:color w:val="FFFFFF"/>
                <w:sz w:val="28"/>
                <w:szCs w:val="22"/>
              </w:rPr>
              <w:t>3.</w:t>
            </w:r>
          </w:p>
        </w:tc>
        <w:tc>
          <w:tcPr>
            <w:tcW w:w="4590" w:type="pct"/>
            <w:gridSpan w:val="5"/>
            <w:shd w:val="clear" w:color="auto" w:fill="808080"/>
            <w:vAlign w:val="center"/>
          </w:tcPr>
          <w:p w14:paraId="0A797BF5" w14:textId="77777777" w:rsidR="00E138C3" w:rsidRPr="00E138C3" w:rsidRDefault="00E138C3" w:rsidP="00E138C3">
            <w:pPr>
              <w:tabs>
                <w:tab w:val="left" w:pos="284"/>
              </w:tabs>
              <w:rPr>
                <w:rFonts w:ascii="Tahoma" w:hAnsi="Tahoma" w:cs="Tahoma"/>
                <w:bCs/>
                <w:iCs/>
                <w:color w:val="FFFFFF"/>
                <w:sz w:val="28"/>
                <w:szCs w:val="22"/>
              </w:rPr>
            </w:pPr>
            <w:r w:rsidRPr="00E138C3">
              <w:rPr>
                <w:rFonts w:ascii="Tahoma" w:hAnsi="Tahoma" w:cs="Tahoma"/>
                <w:bCs/>
                <w:iCs/>
                <w:color w:val="FFFFFF"/>
                <w:sz w:val="28"/>
                <w:szCs w:val="22"/>
              </w:rPr>
              <w:t>Банковские услуги, получаемые Клиентом в рамках Программы</w:t>
            </w:r>
          </w:p>
        </w:tc>
      </w:tr>
      <w:tr w:rsidR="00E138C3" w:rsidRPr="00E138C3" w14:paraId="09201EB2" w14:textId="77777777" w:rsidTr="00E138C3">
        <w:tc>
          <w:tcPr>
            <w:tcW w:w="410" w:type="pct"/>
            <w:shd w:val="clear" w:color="auto" w:fill="808080"/>
            <w:vAlign w:val="center"/>
          </w:tcPr>
          <w:p w14:paraId="7FC2F811"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3.1.</w:t>
            </w:r>
          </w:p>
        </w:tc>
        <w:tc>
          <w:tcPr>
            <w:tcW w:w="4590" w:type="pct"/>
            <w:gridSpan w:val="5"/>
            <w:shd w:val="clear" w:color="auto" w:fill="808080"/>
            <w:vAlign w:val="center"/>
          </w:tcPr>
          <w:p w14:paraId="75B3ADD1" w14:textId="77777777" w:rsidR="00E138C3" w:rsidRPr="00E138C3" w:rsidRDefault="00E138C3" w:rsidP="00E138C3">
            <w:pPr>
              <w:tabs>
                <w:tab w:val="left" w:pos="284"/>
              </w:tabs>
              <w:rPr>
                <w:rFonts w:ascii="Tahoma" w:hAnsi="Tahoma" w:cs="Tahoma"/>
                <w:b/>
                <w:bCs/>
                <w:iCs/>
                <w:color w:val="FFFFFF"/>
                <w:sz w:val="22"/>
                <w:szCs w:val="22"/>
                <w:vertAlign w:val="superscript"/>
              </w:rPr>
            </w:pPr>
            <w:r w:rsidRPr="00E138C3">
              <w:rPr>
                <w:rFonts w:ascii="Tahoma" w:hAnsi="Tahoma" w:cs="Tahoma"/>
                <w:b/>
                <w:bCs/>
                <w:iCs/>
                <w:color w:val="FFFFFF"/>
                <w:sz w:val="22"/>
                <w:szCs w:val="22"/>
              </w:rPr>
              <w:t>Накопительный счет</w:t>
            </w:r>
            <w:r w:rsidRPr="00E138C3">
              <w:rPr>
                <w:rFonts w:ascii="Tahoma" w:hAnsi="Tahoma" w:cs="Tahoma"/>
                <w:bCs/>
                <w:iCs/>
                <w:color w:val="FFFFFF"/>
                <w:sz w:val="22"/>
                <w:szCs w:val="22"/>
                <w:vertAlign w:val="superscript"/>
              </w:rPr>
              <w:t>7,8</w:t>
            </w:r>
            <w:r w:rsidRPr="00E138C3">
              <w:rPr>
                <w:rFonts w:ascii="Tahoma" w:hAnsi="Tahoma" w:cs="Tahoma"/>
                <w:b/>
                <w:bCs/>
                <w:iCs/>
                <w:color w:val="FFFFFF"/>
                <w:sz w:val="22"/>
                <w:szCs w:val="22"/>
                <w:vertAlign w:val="superscript"/>
              </w:rPr>
              <w:t xml:space="preserve">  </w:t>
            </w:r>
            <w:r w:rsidRPr="00E138C3">
              <w:rPr>
                <w:rFonts w:ascii="Tahoma" w:hAnsi="Tahoma" w:cs="Tahoma"/>
                <w:bCs/>
                <w:iCs/>
                <w:color w:val="FFFFFF"/>
                <w:sz w:val="22"/>
                <w:szCs w:val="22"/>
              </w:rPr>
              <w:t>(является текущим банковским счетом), далее – Накопительный счет</w:t>
            </w:r>
          </w:p>
        </w:tc>
      </w:tr>
      <w:tr w:rsidR="00E138C3" w:rsidRPr="00E138C3" w14:paraId="087D437B" w14:textId="77777777" w:rsidTr="003D2438">
        <w:tc>
          <w:tcPr>
            <w:tcW w:w="410" w:type="pct"/>
            <w:shd w:val="clear" w:color="auto" w:fill="auto"/>
            <w:vAlign w:val="center"/>
          </w:tcPr>
          <w:p w14:paraId="30463834" w14:textId="77777777" w:rsidR="00E138C3" w:rsidRPr="00E138C3" w:rsidRDefault="00E138C3" w:rsidP="00E138C3">
            <w:pPr>
              <w:tabs>
                <w:tab w:val="left" w:pos="284"/>
              </w:tabs>
              <w:rPr>
                <w:rFonts w:ascii="Tahoma" w:hAnsi="Tahoma" w:cs="Tahoma"/>
                <w:b/>
                <w:bCs/>
                <w:iCs/>
                <w:color w:val="000000"/>
                <w:sz w:val="22"/>
                <w:szCs w:val="22"/>
              </w:rPr>
            </w:pPr>
            <w:r w:rsidRPr="00E138C3">
              <w:rPr>
                <w:rFonts w:ascii="Tahoma" w:hAnsi="Tahoma" w:cs="Tahoma"/>
                <w:b/>
                <w:bCs/>
                <w:iCs/>
                <w:color w:val="000000"/>
                <w:sz w:val="22"/>
                <w:szCs w:val="22"/>
              </w:rPr>
              <w:t>3.1.1.</w:t>
            </w:r>
          </w:p>
        </w:tc>
        <w:tc>
          <w:tcPr>
            <w:tcW w:w="4590" w:type="pct"/>
            <w:gridSpan w:val="5"/>
            <w:shd w:val="clear" w:color="auto" w:fill="auto"/>
            <w:vAlign w:val="center"/>
          </w:tcPr>
          <w:p w14:paraId="10E6FCCF" w14:textId="77777777" w:rsidR="00E138C3" w:rsidRPr="00E138C3" w:rsidRDefault="00E138C3" w:rsidP="00E138C3">
            <w:pPr>
              <w:tabs>
                <w:tab w:val="left" w:pos="284"/>
              </w:tabs>
              <w:rPr>
                <w:rFonts w:ascii="Tahoma" w:hAnsi="Tahoma" w:cs="Tahoma"/>
                <w:b/>
                <w:bCs/>
                <w:iCs/>
                <w:sz w:val="22"/>
                <w:szCs w:val="22"/>
              </w:rPr>
            </w:pPr>
            <w:r w:rsidRPr="00E138C3">
              <w:rPr>
                <w:rFonts w:ascii="Tahoma" w:hAnsi="Tahoma" w:cs="Tahoma"/>
                <w:b/>
                <w:bCs/>
                <w:iCs/>
                <w:color w:val="000000"/>
                <w:sz w:val="22"/>
                <w:szCs w:val="22"/>
              </w:rPr>
              <w:t>Накопительный счет в рублях</w:t>
            </w:r>
          </w:p>
        </w:tc>
      </w:tr>
      <w:tr w:rsidR="00E138C3" w:rsidRPr="00E138C3" w14:paraId="2F4D8509" w14:textId="77777777" w:rsidTr="003D2438">
        <w:tc>
          <w:tcPr>
            <w:tcW w:w="410" w:type="pct"/>
            <w:shd w:val="clear" w:color="auto" w:fill="auto"/>
            <w:vAlign w:val="center"/>
          </w:tcPr>
          <w:p w14:paraId="48927497"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3.1.1.1.</w:t>
            </w:r>
          </w:p>
        </w:tc>
        <w:tc>
          <w:tcPr>
            <w:tcW w:w="1694" w:type="pct"/>
            <w:shd w:val="clear" w:color="auto" w:fill="auto"/>
            <w:vAlign w:val="center"/>
          </w:tcPr>
          <w:p w14:paraId="358F9375"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 xml:space="preserve">валюта Накопительного счета </w:t>
            </w:r>
          </w:p>
        </w:tc>
        <w:tc>
          <w:tcPr>
            <w:tcW w:w="2896" w:type="pct"/>
            <w:gridSpan w:val="4"/>
            <w:shd w:val="clear" w:color="auto" w:fill="auto"/>
            <w:vAlign w:val="center"/>
          </w:tcPr>
          <w:p w14:paraId="6018B7BC"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sz w:val="22"/>
                <w:szCs w:val="22"/>
              </w:rPr>
              <w:t>Российский рубль</w:t>
            </w:r>
          </w:p>
        </w:tc>
      </w:tr>
      <w:tr w:rsidR="00E138C3" w:rsidRPr="00E138C3" w14:paraId="3EB71CB2" w14:textId="77777777" w:rsidTr="003D2438">
        <w:tc>
          <w:tcPr>
            <w:tcW w:w="410" w:type="pct"/>
            <w:shd w:val="clear" w:color="auto" w:fill="auto"/>
            <w:vAlign w:val="center"/>
          </w:tcPr>
          <w:p w14:paraId="4BF566A9"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3.1.1.2.</w:t>
            </w:r>
          </w:p>
        </w:tc>
        <w:tc>
          <w:tcPr>
            <w:tcW w:w="1694" w:type="pct"/>
            <w:shd w:val="clear" w:color="auto" w:fill="auto"/>
            <w:vAlign w:val="center"/>
          </w:tcPr>
          <w:p w14:paraId="20704AAC"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открытие и обслуживание Накопительного счета</w:t>
            </w:r>
          </w:p>
        </w:tc>
        <w:tc>
          <w:tcPr>
            <w:tcW w:w="2896" w:type="pct"/>
            <w:gridSpan w:val="4"/>
            <w:shd w:val="clear" w:color="auto" w:fill="auto"/>
            <w:vAlign w:val="center"/>
          </w:tcPr>
          <w:p w14:paraId="0EED63D5" w14:textId="77777777" w:rsidR="00E138C3" w:rsidRPr="00E138C3" w:rsidRDefault="00E138C3" w:rsidP="00E138C3">
            <w:pPr>
              <w:tabs>
                <w:tab w:val="left" w:pos="284"/>
              </w:tabs>
              <w:jc w:val="center"/>
              <w:rPr>
                <w:rFonts w:ascii="Tahoma" w:hAnsi="Tahoma" w:cs="Tahoma"/>
                <w:b/>
                <w:bCs/>
                <w:iCs/>
                <w:color w:val="000000"/>
                <w:sz w:val="22"/>
                <w:szCs w:val="22"/>
              </w:rPr>
            </w:pPr>
            <w:r w:rsidRPr="00E138C3">
              <w:rPr>
                <w:rFonts w:ascii="Tahoma" w:hAnsi="Tahoma" w:cs="Tahoma"/>
                <w:bCs/>
                <w:iCs/>
                <w:color w:val="000000"/>
                <w:sz w:val="22"/>
                <w:szCs w:val="22"/>
              </w:rPr>
              <w:t xml:space="preserve">Открытие одного Накопительного счета в валюте российский рубль: </w:t>
            </w:r>
            <w:r w:rsidRPr="00E138C3">
              <w:rPr>
                <w:rFonts w:ascii="Tahoma" w:hAnsi="Tahoma" w:cs="Tahoma"/>
                <w:b/>
                <w:bCs/>
                <w:iCs/>
                <w:color w:val="000000"/>
                <w:sz w:val="22"/>
                <w:szCs w:val="22"/>
              </w:rPr>
              <w:t>БЕСПЛАТНО.</w:t>
            </w:r>
          </w:p>
          <w:p w14:paraId="441B9076"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color w:val="000000"/>
                <w:sz w:val="22"/>
                <w:szCs w:val="22"/>
              </w:rPr>
              <w:t xml:space="preserve">За каждый последующий Накопительный счет: </w:t>
            </w:r>
            <w:r w:rsidRPr="00E138C3">
              <w:rPr>
                <w:rFonts w:ascii="Tahoma" w:hAnsi="Tahoma" w:cs="Tahoma"/>
                <w:b/>
                <w:bCs/>
                <w:iCs/>
                <w:color w:val="000000"/>
                <w:sz w:val="22"/>
                <w:szCs w:val="22"/>
              </w:rPr>
              <w:t>2 000</w:t>
            </w:r>
            <w:r w:rsidRPr="00E138C3">
              <w:rPr>
                <w:rFonts w:ascii="Tahoma" w:hAnsi="Tahoma" w:cs="Tahoma"/>
                <w:bCs/>
                <w:iCs/>
                <w:color w:val="000000"/>
                <w:sz w:val="22"/>
                <w:szCs w:val="22"/>
              </w:rPr>
              <w:t xml:space="preserve"> </w:t>
            </w:r>
            <w:r w:rsidRPr="00E138C3">
              <w:rPr>
                <w:rFonts w:ascii="Tahoma" w:hAnsi="Tahoma" w:cs="Tahoma"/>
                <w:b/>
                <w:bCs/>
                <w:iCs/>
                <w:color w:val="000000"/>
                <w:sz w:val="22"/>
                <w:szCs w:val="22"/>
              </w:rPr>
              <w:t>рублей</w:t>
            </w:r>
            <w:r w:rsidRPr="00E138C3">
              <w:rPr>
                <w:rFonts w:ascii="Tahoma" w:hAnsi="Tahoma" w:cs="Tahoma"/>
                <w:bCs/>
                <w:iCs/>
                <w:color w:val="000000"/>
                <w:sz w:val="22"/>
                <w:szCs w:val="22"/>
              </w:rPr>
              <w:t xml:space="preserve"> (единовременно при открытии) </w:t>
            </w:r>
          </w:p>
          <w:p w14:paraId="7081CD8A" w14:textId="77777777" w:rsidR="00E138C3" w:rsidRPr="00E138C3" w:rsidRDefault="00E138C3" w:rsidP="00E138C3">
            <w:pPr>
              <w:tabs>
                <w:tab w:val="left" w:pos="284"/>
              </w:tabs>
              <w:jc w:val="center"/>
              <w:rPr>
                <w:rFonts w:ascii="Tahoma" w:hAnsi="Tahoma" w:cs="Tahoma"/>
                <w:b/>
                <w:bCs/>
                <w:iCs/>
                <w:color w:val="000000"/>
                <w:sz w:val="22"/>
                <w:szCs w:val="22"/>
                <w:lang w:val="en-US"/>
              </w:rPr>
            </w:pPr>
            <w:r w:rsidRPr="00E138C3">
              <w:rPr>
                <w:rFonts w:ascii="Tahoma" w:hAnsi="Tahoma" w:cs="Tahoma"/>
                <w:bCs/>
                <w:iCs/>
                <w:color w:val="000000"/>
                <w:sz w:val="22"/>
                <w:szCs w:val="22"/>
              </w:rPr>
              <w:t xml:space="preserve">Обслуживание Накопительных счетов: </w:t>
            </w:r>
            <w:r w:rsidRPr="00E138C3">
              <w:rPr>
                <w:rFonts w:ascii="Tahoma" w:hAnsi="Tahoma" w:cs="Tahoma"/>
                <w:b/>
                <w:bCs/>
                <w:iCs/>
                <w:color w:val="000000"/>
                <w:sz w:val="22"/>
                <w:szCs w:val="22"/>
              </w:rPr>
              <w:t>БЕСПЛАТНО</w:t>
            </w:r>
          </w:p>
        </w:tc>
      </w:tr>
      <w:tr w:rsidR="00E138C3" w:rsidRPr="00E138C3" w14:paraId="5E2A4246" w14:textId="77777777" w:rsidTr="003D2438">
        <w:tc>
          <w:tcPr>
            <w:tcW w:w="410" w:type="pct"/>
            <w:shd w:val="clear" w:color="auto" w:fill="auto"/>
            <w:vAlign w:val="center"/>
          </w:tcPr>
          <w:p w14:paraId="11D4B25B"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3.1.1.3.</w:t>
            </w:r>
          </w:p>
        </w:tc>
        <w:tc>
          <w:tcPr>
            <w:tcW w:w="1694" w:type="pct"/>
            <w:shd w:val="clear" w:color="auto" w:fill="auto"/>
            <w:vAlign w:val="center"/>
          </w:tcPr>
          <w:p w14:paraId="27CB10CC" w14:textId="77777777" w:rsidR="00E138C3" w:rsidRPr="00E138C3" w:rsidRDefault="00E138C3" w:rsidP="00E138C3">
            <w:pPr>
              <w:rPr>
                <w:rFonts w:ascii="Tahoma" w:hAnsi="Tahoma" w:cs="Tahoma"/>
                <w:bCs/>
                <w:iCs/>
                <w:sz w:val="22"/>
                <w:szCs w:val="22"/>
              </w:rPr>
            </w:pPr>
            <w:r w:rsidRPr="00E138C3">
              <w:rPr>
                <w:rFonts w:ascii="Tahoma" w:hAnsi="Tahoma" w:cs="Tahoma"/>
                <w:bCs/>
                <w:iCs/>
                <w:sz w:val="22"/>
                <w:szCs w:val="22"/>
              </w:rPr>
              <w:t>Процентная ставка на Ежедневный остаток по Накопительному счету</w:t>
            </w:r>
            <w:r w:rsidRPr="00E138C3">
              <w:rPr>
                <w:rFonts w:ascii="Tahoma" w:hAnsi="Tahoma" w:cs="Tahoma"/>
                <w:bCs/>
                <w:iCs/>
                <w:sz w:val="22"/>
                <w:szCs w:val="22"/>
                <w:vertAlign w:val="superscript"/>
              </w:rPr>
              <w:t>9</w:t>
            </w:r>
            <w:r w:rsidRPr="00E138C3">
              <w:rPr>
                <w:rFonts w:ascii="Tahoma" w:hAnsi="Tahoma" w:cs="Tahoma"/>
                <w:bCs/>
                <w:iCs/>
                <w:sz w:val="22"/>
                <w:szCs w:val="22"/>
              </w:rPr>
              <w:t xml:space="preserve"> в рублях, если размер Ежедневного остатка по Накопительному Счету</w:t>
            </w:r>
            <w:r w:rsidRPr="00E138C3">
              <w:rPr>
                <w:rFonts w:ascii="Tahoma" w:hAnsi="Tahoma" w:cs="Tahoma"/>
                <w:bCs/>
                <w:iCs/>
                <w:sz w:val="22"/>
                <w:szCs w:val="22"/>
                <w:vertAlign w:val="superscript"/>
              </w:rPr>
              <w:t xml:space="preserve">9 </w:t>
            </w:r>
            <w:r w:rsidRPr="00E138C3">
              <w:rPr>
                <w:rFonts w:ascii="Tahoma" w:hAnsi="Tahoma" w:cs="Tahoma"/>
                <w:b/>
                <w:bCs/>
                <w:iCs/>
                <w:sz w:val="22"/>
                <w:szCs w:val="22"/>
              </w:rPr>
              <w:t>до 30 000 000 рублей</w:t>
            </w:r>
            <w:r w:rsidRPr="00E138C3">
              <w:rPr>
                <w:rFonts w:ascii="Tahoma" w:hAnsi="Tahoma" w:cs="Tahoma"/>
                <w:bCs/>
                <w:iCs/>
                <w:sz w:val="22"/>
                <w:szCs w:val="22"/>
                <w:vertAlign w:val="superscript"/>
              </w:rPr>
              <w:t xml:space="preserve">25 </w:t>
            </w:r>
            <w:r w:rsidRPr="00E138C3">
              <w:rPr>
                <w:rFonts w:ascii="Tahoma" w:hAnsi="Tahoma" w:cs="Tahoma"/>
                <w:bCs/>
                <w:iCs/>
                <w:sz w:val="22"/>
                <w:szCs w:val="22"/>
              </w:rPr>
              <w:t>включительно, %</w:t>
            </w:r>
          </w:p>
          <w:p w14:paraId="34501D61"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sz w:val="22"/>
                <w:szCs w:val="22"/>
              </w:rPr>
              <w:t>годовых</w:t>
            </w:r>
          </w:p>
        </w:tc>
        <w:tc>
          <w:tcPr>
            <w:tcW w:w="2896" w:type="pct"/>
            <w:gridSpan w:val="4"/>
            <w:shd w:val="clear" w:color="auto" w:fill="auto"/>
            <w:vAlign w:val="center"/>
          </w:tcPr>
          <w:p w14:paraId="0083DFB8"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
                <w:bCs/>
                <w:iCs/>
                <w:color w:val="000000"/>
                <w:sz w:val="22"/>
                <w:szCs w:val="22"/>
              </w:rPr>
              <w:t>17%</w:t>
            </w:r>
          </w:p>
        </w:tc>
      </w:tr>
      <w:tr w:rsidR="00E138C3" w:rsidRPr="00E138C3" w14:paraId="00A05D3C" w14:textId="77777777" w:rsidTr="003D2438">
        <w:tc>
          <w:tcPr>
            <w:tcW w:w="410" w:type="pct"/>
            <w:shd w:val="clear" w:color="auto" w:fill="auto"/>
            <w:vAlign w:val="center"/>
          </w:tcPr>
          <w:p w14:paraId="163D6C9F"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3.1.1.4.</w:t>
            </w:r>
          </w:p>
        </w:tc>
        <w:tc>
          <w:tcPr>
            <w:tcW w:w="1694" w:type="pct"/>
            <w:shd w:val="clear" w:color="auto" w:fill="auto"/>
            <w:vAlign w:val="center"/>
          </w:tcPr>
          <w:p w14:paraId="4D7CD1FF" w14:textId="77777777" w:rsidR="00E138C3" w:rsidRPr="00E138C3" w:rsidRDefault="00E138C3" w:rsidP="00E138C3">
            <w:pPr>
              <w:rPr>
                <w:rFonts w:ascii="Tahoma" w:hAnsi="Tahoma" w:cs="Tahoma"/>
                <w:bCs/>
                <w:iCs/>
                <w:color w:val="000000"/>
                <w:sz w:val="22"/>
                <w:szCs w:val="22"/>
              </w:rPr>
            </w:pPr>
            <w:r w:rsidRPr="00E138C3">
              <w:rPr>
                <w:rFonts w:ascii="Tahoma" w:hAnsi="Tahoma" w:cs="Tahoma"/>
                <w:bCs/>
                <w:iCs/>
                <w:sz w:val="22"/>
                <w:szCs w:val="22"/>
              </w:rPr>
              <w:t>Если Ежедневный остаток по Накопительному счету</w:t>
            </w:r>
            <w:r w:rsidRPr="00E138C3">
              <w:rPr>
                <w:rFonts w:ascii="Tahoma" w:hAnsi="Tahoma" w:cs="Tahoma"/>
                <w:bCs/>
                <w:iCs/>
                <w:sz w:val="22"/>
                <w:szCs w:val="22"/>
                <w:vertAlign w:val="superscript"/>
              </w:rPr>
              <w:t xml:space="preserve">9 </w:t>
            </w:r>
            <w:r w:rsidRPr="00E138C3">
              <w:rPr>
                <w:rFonts w:ascii="Tahoma" w:hAnsi="Tahoma" w:cs="Tahoma"/>
                <w:bCs/>
                <w:iCs/>
                <w:sz w:val="22"/>
                <w:szCs w:val="22"/>
              </w:rPr>
              <w:t xml:space="preserve"> в рублях превышает </w:t>
            </w:r>
            <w:r w:rsidRPr="00E138C3">
              <w:rPr>
                <w:rFonts w:ascii="Tahoma" w:hAnsi="Tahoma" w:cs="Tahoma"/>
                <w:b/>
                <w:bCs/>
                <w:iCs/>
                <w:sz w:val="22"/>
                <w:szCs w:val="22"/>
              </w:rPr>
              <w:t>30 000 000 рублей</w:t>
            </w:r>
            <w:r w:rsidRPr="00E138C3">
              <w:rPr>
                <w:rFonts w:ascii="Tahoma" w:hAnsi="Tahoma" w:cs="Tahoma"/>
                <w:bCs/>
                <w:iCs/>
                <w:sz w:val="22"/>
                <w:szCs w:val="22"/>
                <w:vertAlign w:val="superscript"/>
              </w:rPr>
              <w:t>25</w:t>
            </w:r>
            <w:r w:rsidRPr="00E138C3">
              <w:rPr>
                <w:rFonts w:ascii="Tahoma" w:hAnsi="Tahoma" w:cs="Tahoma"/>
                <w:bCs/>
                <w:iCs/>
                <w:sz w:val="22"/>
                <w:szCs w:val="22"/>
              </w:rPr>
              <w:t>,</w:t>
            </w:r>
            <w:r w:rsidRPr="00E138C3">
              <w:rPr>
                <w:rFonts w:ascii="Tahoma" w:hAnsi="Tahoma" w:cs="Tahoma"/>
                <w:bCs/>
                <w:iCs/>
                <w:sz w:val="22"/>
                <w:szCs w:val="22"/>
                <w:vertAlign w:val="superscript"/>
              </w:rPr>
              <w:t xml:space="preserve"> </w:t>
            </w:r>
            <w:r w:rsidRPr="00E138C3">
              <w:rPr>
                <w:rFonts w:ascii="Tahoma" w:hAnsi="Tahoma" w:cs="Tahoma"/>
                <w:bCs/>
                <w:iCs/>
                <w:sz w:val="22"/>
                <w:szCs w:val="22"/>
              </w:rPr>
              <w:t xml:space="preserve">то </w:t>
            </w:r>
            <w:r w:rsidRPr="00E138C3">
              <w:rPr>
                <w:rFonts w:ascii="Tahoma" w:hAnsi="Tahoma" w:cs="Tahoma"/>
                <w:b/>
                <w:bCs/>
                <w:iCs/>
                <w:sz w:val="22"/>
                <w:szCs w:val="22"/>
              </w:rPr>
              <w:t>на сумму превышения</w:t>
            </w:r>
            <w:r w:rsidRPr="00E138C3">
              <w:rPr>
                <w:rFonts w:ascii="Tahoma" w:hAnsi="Tahoma" w:cs="Tahoma"/>
                <w:bCs/>
                <w:iCs/>
                <w:sz w:val="22"/>
                <w:szCs w:val="22"/>
              </w:rPr>
              <w:t xml:space="preserve"> процентная</w:t>
            </w:r>
            <w:r w:rsidRPr="00E138C3">
              <w:rPr>
                <w:rFonts w:ascii="Tahoma" w:hAnsi="Tahoma" w:cs="Tahoma"/>
                <w:bCs/>
                <w:iCs/>
                <w:sz w:val="22"/>
                <w:szCs w:val="22"/>
                <w:vertAlign w:val="superscript"/>
              </w:rPr>
              <w:t xml:space="preserve"> </w:t>
            </w:r>
            <w:r w:rsidRPr="00E138C3">
              <w:rPr>
                <w:rFonts w:ascii="Tahoma" w:hAnsi="Tahoma" w:cs="Tahoma"/>
                <w:bCs/>
                <w:iCs/>
                <w:sz w:val="22"/>
                <w:szCs w:val="22"/>
              </w:rPr>
              <w:t>ставка, в % годовых</w:t>
            </w:r>
          </w:p>
        </w:tc>
        <w:tc>
          <w:tcPr>
            <w:tcW w:w="2896" w:type="pct"/>
            <w:gridSpan w:val="4"/>
            <w:shd w:val="clear" w:color="auto" w:fill="auto"/>
            <w:vAlign w:val="center"/>
          </w:tcPr>
          <w:p w14:paraId="4891135B" w14:textId="77777777" w:rsidR="00E138C3" w:rsidRPr="00E138C3" w:rsidRDefault="00E138C3" w:rsidP="00E138C3">
            <w:pPr>
              <w:tabs>
                <w:tab w:val="left" w:pos="284"/>
              </w:tabs>
              <w:jc w:val="center"/>
              <w:rPr>
                <w:rFonts w:ascii="Tahoma" w:hAnsi="Tahoma" w:cs="Tahoma"/>
                <w:b/>
                <w:bCs/>
                <w:iCs/>
                <w:color w:val="000000"/>
                <w:sz w:val="22"/>
                <w:szCs w:val="22"/>
              </w:rPr>
            </w:pPr>
            <w:r w:rsidRPr="00E138C3">
              <w:rPr>
                <w:rFonts w:ascii="Tahoma" w:hAnsi="Tahoma" w:cs="Tahoma"/>
                <w:b/>
                <w:bCs/>
                <w:iCs/>
                <w:color w:val="000000"/>
                <w:sz w:val="22"/>
                <w:szCs w:val="22"/>
              </w:rPr>
              <w:t>10%</w:t>
            </w:r>
          </w:p>
        </w:tc>
      </w:tr>
      <w:tr w:rsidR="00E138C3" w:rsidRPr="00E138C3" w14:paraId="2065088D" w14:textId="77777777" w:rsidTr="003D2438">
        <w:tc>
          <w:tcPr>
            <w:tcW w:w="410" w:type="pct"/>
            <w:shd w:val="clear" w:color="auto" w:fill="auto"/>
            <w:vAlign w:val="center"/>
          </w:tcPr>
          <w:p w14:paraId="23256BBD" w14:textId="77777777" w:rsidR="00E138C3" w:rsidRPr="00E138C3" w:rsidRDefault="00E138C3" w:rsidP="00E138C3">
            <w:pPr>
              <w:tabs>
                <w:tab w:val="left" w:pos="284"/>
              </w:tabs>
              <w:rPr>
                <w:rFonts w:ascii="Tahoma" w:hAnsi="Tahoma" w:cs="Tahoma"/>
                <w:b/>
                <w:bCs/>
                <w:iCs/>
                <w:color w:val="000000"/>
                <w:sz w:val="22"/>
                <w:szCs w:val="22"/>
              </w:rPr>
            </w:pPr>
            <w:r w:rsidRPr="00E138C3">
              <w:rPr>
                <w:rFonts w:ascii="Tahoma" w:hAnsi="Tahoma" w:cs="Tahoma"/>
                <w:b/>
                <w:bCs/>
                <w:iCs/>
                <w:color w:val="000000"/>
                <w:sz w:val="22"/>
                <w:szCs w:val="22"/>
              </w:rPr>
              <w:t>3.1.2.</w:t>
            </w:r>
          </w:p>
        </w:tc>
        <w:tc>
          <w:tcPr>
            <w:tcW w:w="4590" w:type="pct"/>
            <w:gridSpan w:val="5"/>
            <w:shd w:val="clear" w:color="auto" w:fill="auto"/>
            <w:vAlign w:val="center"/>
          </w:tcPr>
          <w:p w14:paraId="6DA2FA31" w14:textId="77777777" w:rsidR="00E138C3" w:rsidRPr="00E138C3" w:rsidRDefault="00E138C3" w:rsidP="00E138C3">
            <w:pPr>
              <w:tabs>
                <w:tab w:val="left" w:pos="284"/>
              </w:tabs>
              <w:rPr>
                <w:rFonts w:ascii="Tahoma" w:hAnsi="Tahoma" w:cs="Tahoma"/>
                <w:b/>
                <w:bCs/>
                <w:iCs/>
                <w:color w:val="000000"/>
                <w:sz w:val="22"/>
                <w:szCs w:val="22"/>
              </w:rPr>
            </w:pPr>
            <w:r w:rsidRPr="00E138C3">
              <w:rPr>
                <w:rFonts w:ascii="Tahoma" w:hAnsi="Tahoma" w:cs="Tahoma"/>
                <w:b/>
                <w:bCs/>
                <w:iCs/>
                <w:color w:val="000000"/>
                <w:sz w:val="22"/>
                <w:szCs w:val="22"/>
              </w:rPr>
              <w:t>Накопительный счет в юанях</w:t>
            </w:r>
          </w:p>
        </w:tc>
      </w:tr>
      <w:tr w:rsidR="00E138C3" w:rsidRPr="00E138C3" w14:paraId="54DCD6A3" w14:textId="77777777" w:rsidTr="003D2438">
        <w:tc>
          <w:tcPr>
            <w:tcW w:w="410" w:type="pct"/>
            <w:shd w:val="clear" w:color="auto" w:fill="auto"/>
            <w:vAlign w:val="center"/>
          </w:tcPr>
          <w:p w14:paraId="5F05C3E4"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3.1.2.1.</w:t>
            </w:r>
          </w:p>
        </w:tc>
        <w:tc>
          <w:tcPr>
            <w:tcW w:w="1705" w:type="pct"/>
            <w:gridSpan w:val="2"/>
            <w:shd w:val="clear" w:color="auto" w:fill="auto"/>
            <w:vAlign w:val="center"/>
          </w:tcPr>
          <w:p w14:paraId="7B38E448"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 xml:space="preserve">валюта Накопительного счета </w:t>
            </w:r>
          </w:p>
        </w:tc>
        <w:tc>
          <w:tcPr>
            <w:tcW w:w="2885" w:type="pct"/>
            <w:gridSpan w:val="3"/>
            <w:shd w:val="clear" w:color="auto" w:fill="auto"/>
            <w:vAlign w:val="center"/>
          </w:tcPr>
          <w:p w14:paraId="509A91EB"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sz w:val="22"/>
                <w:szCs w:val="22"/>
              </w:rPr>
              <w:t>Юань</w:t>
            </w:r>
            <w:r w:rsidRPr="00E138C3">
              <w:rPr>
                <w:rFonts w:ascii="Tahoma" w:hAnsi="Tahoma" w:cs="Tahoma"/>
                <w:bCs/>
                <w:iCs/>
                <w:sz w:val="22"/>
                <w:szCs w:val="22"/>
                <w:vertAlign w:val="superscript"/>
              </w:rPr>
              <w:t>10</w:t>
            </w:r>
          </w:p>
        </w:tc>
      </w:tr>
      <w:tr w:rsidR="00E138C3" w:rsidRPr="00E138C3" w14:paraId="666B0DBE" w14:textId="77777777" w:rsidTr="003D2438">
        <w:tc>
          <w:tcPr>
            <w:tcW w:w="410" w:type="pct"/>
            <w:shd w:val="clear" w:color="auto" w:fill="auto"/>
            <w:vAlign w:val="center"/>
          </w:tcPr>
          <w:p w14:paraId="37230521"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3.1.2.2.</w:t>
            </w:r>
          </w:p>
        </w:tc>
        <w:tc>
          <w:tcPr>
            <w:tcW w:w="1705" w:type="pct"/>
            <w:gridSpan w:val="2"/>
            <w:shd w:val="clear" w:color="auto" w:fill="auto"/>
            <w:vAlign w:val="center"/>
          </w:tcPr>
          <w:p w14:paraId="55889BA1"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открытие и обслуживание Накопительного счета</w:t>
            </w:r>
          </w:p>
        </w:tc>
        <w:tc>
          <w:tcPr>
            <w:tcW w:w="2885" w:type="pct"/>
            <w:gridSpan w:val="3"/>
            <w:shd w:val="clear" w:color="auto" w:fill="auto"/>
            <w:vAlign w:val="center"/>
          </w:tcPr>
          <w:p w14:paraId="74C744C1" w14:textId="77777777" w:rsidR="00E138C3" w:rsidRPr="00E138C3" w:rsidRDefault="00E138C3" w:rsidP="00E138C3">
            <w:pPr>
              <w:tabs>
                <w:tab w:val="left" w:pos="284"/>
              </w:tabs>
              <w:jc w:val="center"/>
              <w:rPr>
                <w:rFonts w:ascii="Tahoma" w:hAnsi="Tahoma" w:cs="Tahoma"/>
                <w:b/>
                <w:bCs/>
                <w:iCs/>
                <w:color w:val="000000"/>
                <w:sz w:val="22"/>
                <w:szCs w:val="22"/>
              </w:rPr>
            </w:pPr>
            <w:r w:rsidRPr="00E138C3">
              <w:rPr>
                <w:rFonts w:ascii="Tahoma" w:hAnsi="Tahoma" w:cs="Tahoma"/>
                <w:bCs/>
                <w:iCs/>
                <w:color w:val="000000"/>
                <w:sz w:val="22"/>
                <w:szCs w:val="22"/>
              </w:rPr>
              <w:t>Открытие одного Накопительного счета в валюте юань</w:t>
            </w:r>
            <w:r w:rsidRPr="00E138C3">
              <w:rPr>
                <w:rFonts w:ascii="Tahoma" w:hAnsi="Tahoma" w:cs="Tahoma"/>
                <w:bCs/>
                <w:iCs/>
                <w:color w:val="000000"/>
                <w:sz w:val="22"/>
                <w:szCs w:val="22"/>
                <w:vertAlign w:val="superscript"/>
              </w:rPr>
              <w:t>10</w:t>
            </w:r>
            <w:r w:rsidRPr="00E138C3">
              <w:rPr>
                <w:rFonts w:ascii="Tahoma" w:hAnsi="Tahoma" w:cs="Tahoma"/>
                <w:bCs/>
                <w:iCs/>
                <w:color w:val="000000"/>
                <w:sz w:val="22"/>
                <w:szCs w:val="22"/>
              </w:rPr>
              <w:t xml:space="preserve">: </w:t>
            </w:r>
            <w:r w:rsidRPr="00E138C3">
              <w:rPr>
                <w:rFonts w:ascii="Tahoma" w:hAnsi="Tahoma" w:cs="Tahoma"/>
                <w:b/>
                <w:bCs/>
                <w:iCs/>
                <w:color w:val="000000"/>
                <w:sz w:val="22"/>
                <w:szCs w:val="22"/>
              </w:rPr>
              <w:t>БЕСПЛАТНО.</w:t>
            </w:r>
          </w:p>
          <w:p w14:paraId="1BA59514"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color w:val="000000"/>
                <w:sz w:val="22"/>
                <w:szCs w:val="22"/>
              </w:rPr>
              <w:t xml:space="preserve">За каждый последующий Накопительный счет: </w:t>
            </w:r>
            <w:r w:rsidRPr="00E138C3">
              <w:rPr>
                <w:rFonts w:ascii="Tahoma" w:hAnsi="Tahoma" w:cs="Tahoma"/>
                <w:b/>
                <w:bCs/>
                <w:iCs/>
                <w:color w:val="000000"/>
                <w:sz w:val="22"/>
                <w:szCs w:val="22"/>
              </w:rPr>
              <w:t>2 000</w:t>
            </w:r>
            <w:r w:rsidRPr="00E138C3">
              <w:rPr>
                <w:rFonts w:ascii="Tahoma" w:hAnsi="Tahoma" w:cs="Tahoma"/>
                <w:bCs/>
                <w:iCs/>
                <w:color w:val="000000"/>
                <w:sz w:val="22"/>
                <w:szCs w:val="22"/>
              </w:rPr>
              <w:t xml:space="preserve"> </w:t>
            </w:r>
            <w:r w:rsidRPr="00E138C3">
              <w:rPr>
                <w:rFonts w:ascii="Tahoma" w:hAnsi="Tahoma" w:cs="Tahoma"/>
                <w:b/>
                <w:bCs/>
                <w:iCs/>
                <w:color w:val="000000"/>
                <w:sz w:val="22"/>
                <w:szCs w:val="22"/>
              </w:rPr>
              <w:t>рублей</w:t>
            </w:r>
            <w:r w:rsidRPr="00E138C3">
              <w:rPr>
                <w:rFonts w:ascii="Tahoma" w:hAnsi="Tahoma" w:cs="Tahoma"/>
                <w:bCs/>
                <w:iCs/>
                <w:color w:val="000000"/>
                <w:sz w:val="22"/>
                <w:szCs w:val="22"/>
              </w:rPr>
              <w:t xml:space="preserve"> (единовременно при открытии)</w:t>
            </w:r>
          </w:p>
          <w:p w14:paraId="3A54E892"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color w:val="000000"/>
                <w:sz w:val="22"/>
                <w:szCs w:val="22"/>
              </w:rPr>
              <w:t xml:space="preserve">Обслуживание Накопительных счетов: </w:t>
            </w:r>
            <w:r w:rsidRPr="00E138C3">
              <w:rPr>
                <w:rFonts w:ascii="Tahoma" w:hAnsi="Tahoma" w:cs="Tahoma"/>
                <w:b/>
                <w:bCs/>
                <w:iCs/>
                <w:color w:val="000000"/>
                <w:sz w:val="22"/>
                <w:szCs w:val="22"/>
              </w:rPr>
              <w:t>БЕСПЛАТНО</w:t>
            </w:r>
          </w:p>
        </w:tc>
      </w:tr>
      <w:tr w:rsidR="00E138C3" w:rsidRPr="00E138C3" w14:paraId="71942BE4" w14:textId="77777777" w:rsidTr="003D2438">
        <w:trPr>
          <w:trHeight w:val="797"/>
        </w:trPr>
        <w:tc>
          <w:tcPr>
            <w:tcW w:w="410" w:type="pct"/>
            <w:shd w:val="clear" w:color="auto" w:fill="auto"/>
            <w:vAlign w:val="center"/>
          </w:tcPr>
          <w:p w14:paraId="33FB10A9"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3.1.2.3.</w:t>
            </w:r>
          </w:p>
        </w:tc>
        <w:tc>
          <w:tcPr>
            <w:tcW w:w="1705" w:type="pct"/>
            <w:gridSpan w:val="2"/>
            <w:shd w:val="clear" w:color="auto" w:fill="auto"/>
            <w:vAlign w:val="center"/>
          </w:tcPr>
          <w:p w14:paraId="41BAE6AE" w14:textId="77777777" w:rsidR="00E138C3" w:rsidRPr="00E138C3" w:rsidRDefault="00E138C3" w:rsidP="00E138C3">
            <w:pPr>
              <w:tabs>
                <w:tab w:val="left" w:pos="284"/>
              </w:tabs>
              <w:rPr>
                <w:rFonts w:ascii="Tahoma" w:hAnsi="Tahoma" w:cs="Tahoma"/>
                <w:bCs/>
                <w:iCs/>
                <w:sz w:val="22"/>
                <w:szCs w:val="22"/>
              </w:rPr>
            </w:pPr>
            <w:r w:rsidRPr="00E138C3">
              <w:rPr>
                <w:rFonts w:ascii="Tahoma" w:hAnsi="Tahoma" w:cs="Tahoma"/>
                <w:bCs/>
                <w:iCs/>
                <w:color w:val="000000"/>
                <w:sz w:val="22"/>
                <w:szCs w:val="22"/>
              </w:rPr>
              <w:t>процентная ставка на Ежедневный остаток</w:t>
            </w:r>
            <w:r w:rsidRPr="00E138C3">
              <w:rPr>
                <w:rFonts w:ascii="Tahoma" w:hAnsi="Tahoma" w:cs="Tahoma"/>
                <w:bCs/>
                <w:iCs/>
                <w:color w:val="000000"/>
                <w:sz w:val="22"/>
                <w:szCs w:val="22"/>
                <w:vertAlign w:val="superscript"/>
              </w:rPr>
              <w:t xml:space="preserve">9 </w:t>
            </w:r>
            <w:r w:rsidRPr="00E138C3">
              <w:rPr>
                <w:rFonts w:ascii="Tahoma" w:hAnsi="Tahoma" w:cs="Tahoma"/>
                <w:bCs/>
                <w:iCs/>
                <w:color w:val="000000"/>
                <w:sz w:val="22"/>
                <w:szCs w:val="22"/>
              </w:rPr>
              <w:t>денежных средств по Накопительному счету в юанях, % годовых</w:t>
            </w:r>
            <w:r w:rsidRPr="00E138C3" w:rsidDel="009E1C0A">
              <w:rPr>
                <w:rFonts w:ascii="Tahoma" w:hAnsi="Tahoma" w:cs="Tahoma"/>
                <w:bCs/>
                <w:iCs/>
                <w:color w:val="000000"/>
                <w:sz w:val="22"/>
                <w:szCs w:val="22"/>
              </w:rPr>
              <w:t xml:space="preserve"> </w:t>
            </w:r>
          </w:p>
        </w:tc>
        <w:tc>
          <w:tcPr>
            <w:tcW w:w="2885" w:type="pct"/>
            <w:gridSpan w:val="3"/>
            <w:shd w:val="clear" w:color="auto" w:fill="auto"/>
            <w:vAlign w:val="center"/>
          </w:tcPr>
          <w:p w14:paraId="3A307F65"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
                <w:bCs/>
                <w:iCs/>
                <w:color w:val="000000"/>
                <w:sz w:val="22"/>
                <w:szCs w:val="22"/>
              </w:rPr>
              <w:t>0,6%</w:t>
            </w:r>
          </w:p>
        </w:tc>
      </w:tr>
      <w:tr w:rsidR="00E138C3" w:rsidRPr="00E138C3" w14:paraId="1BE2FE82" w14:textId="77777777" w:rsidTr="003D2438">
        <w:trPr>
          <w:trHeight w:val="654"/>
        </w:trPr>
        <w:tc>
          <w:tcPr>
            <w:tcW w:w="410" w:type="pct"/>
            <w:shd w:val="clear" w:color="auto" w:fill="auto"/>
            <w:vAlign w:val="center"/>
          </w:tcPr>
          <w:p w14:paraId="5C64C0BD"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3.1.4</w:t>
            </w:r>
          </w:p>
        </w:tc>
        <w:tc>
          <w:tcPr>
            <w:tcW w:w="1705" w:type="pct"/>
            <w:gridSpan w:val="2"/>
            <w:shd w:val="clear" w:color="auto" w:fill="auto"/>
            <w:vAlign w:val="center"/>
          </w:tcPr>
          <w:p w14:paraId="2042F6B1"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процентная ставка на остаток</w:t>
            </w:r>
            <w:r w:rsidRPr="00E138C3">
              <w:rPr>
                <w:rFonts w:ascii="Tahoma" w:hAnsi="Tahoma" w:cs="Tahoma"/>
                <w:bCs/>
                <w:iCs/>
                <w:color w:val="000000"/>
                <w:sz w:val="22"/>
                <w:szCs w:val="22"/>
                <w:vertAlign w:val="superscript"/>
              </w:rPr>
              <w:t xml:space="preserve">11 </w:t>
            </w:r>
            <w:r w:rsidRPr="00E138C3">
              <w:rPr>
                <w:rFonts w:ascii="Tahoma" w:hAnsi="Tahoma" w:cs="Tahoma"/>
                <w:bCs/>
                <w:iCs/>
                <w:color w:val="000000"/>
                <w:sz w:val="22"/>
                <w:szCs w:val="22"/>
              </w:rPr>
              <w:t>денежных средств в валютах, отличных от валют, указанных п.3.1.1. и 3.1.2., % годовых</w:t>
            </w:r>
          </w:p>
        </w:tc>
        <w:tc>
          <w:tcPr>
            <w:tcW w:w="2885" w:type="pct"/>
            <w:gridSpan w:val="3"/>
            <w:shd w:val="clear" w:color="auto" w:fill="auto"/>
            <w:vAlign w:val="center"/>
          </w:tcPr>
          <w:p w14:paraId="43FEAA95"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color w:val="000000"/>
                <w:sz w:val="22"/>
                <w:szCs w:val="22"/>
              </w:rPr>
              <w:t>Не предусмотрено</w:t>
            </w:r>
          </w:p>
        </w:tc>
      </w:tr>
      <w:tr w:rsidR="00E138C3" w:rsidRPr="00E138C3" w14:paraId="165272DC" w14:textId="77777777" w:rsidTr="00E138C3">
        <w:tc>
          <w:tcPr>
            <w:tcW w:w="410" w:type="pct"/>
            <w:shd w:val="clear" w:color="auto" w:fill="808080"/>
            <w:vAlign w:val="center"/>
          </w:tcPr>
          <w:p w14:paraId="6E4A75AD"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3.2.</w:t>
            </w:r>
          </w:p>
        </w:tc>
        <w:tc>
          <w:tcPr>
            <w:tcW w:w="4590" w:type="pct"/>
            <w:gridSpan w:val="5"/>
            <w:shd w:val="clear" w:color="auto" w:fill="808080"/>
            <w:vAlign w:val="center"/>
          </w:tcPr>
          <w:p w14:paraId="39914D62"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Карта «Статус»</w:t>
            </w:r>
            <w:r w:rsidRPr="00E138C3" w:rsidDel="000F44DA">
              <w:rPr>
                <w:rFonts w:ascii="Tahoma" w:hAnsi="Tahoma" w:cs="Tahoma"/>
                <w:b/>
                <w:bCs/>
                <w:iCs/>
                <w:color w:val="FFFFFF"/>
                <w:sz w:val="22"/>
                <w:szCs w:val="22"/>
              </w:rPr>
              <w:t xml:space="preserve"> </w:t>
            </w:r>
            <w:r w:rsidRPr="00E138C3">
              <w:rPr>
                <w:rFonts w:ascii="Tahoma" w:hAnsi="Tahoma" w:cs="Tahoma"/>
                <w:b/>
                <w:bCs/>
                <w:iCs/>
                <w:color w:val="FFFFFF"/>
                <w:sz w:val="22"/>
                <w:szCs w:val="22"/>
              </w:rPr>
              <w:t>(по тексту – Карта)</w:t>
            </w:r>
            <w:r w:rsidRPr="00E138C3">
              <w:rPr>
                <w:rFonts w:ascii="Tahoma" w:hAnsi="Tahoma" w:cs="Tahoma"/>
                <w:bCs/>
                <w:iCs/>
                <w:color w:val="FFFFFF"/>
                <w:sz w:val="22"/>
                <w:szCs w:val="22"/>
                <w:vertAlign w:val="superscript"/>
              </w:rPr>
              <w:t>12</w:t>
            </w:r>
          </w:p>
        </w:tc>
      </w:tr>
      <w:tr w:rsidR="00E138C3" w:rsidRPr="00E138C3" w14:paraId="1487C0F9" w14:textId="77777777" w:rsidTr="00E138C3">
        <w:tc>
          <w:tcPr>
            <w:tcW w:w="410" w:type="pct"/>
            <w:shd w:val="clear" w:color="auto" w:fill="808080"/>
            <w:vAlign w:val="center"/>
          </w:tcPr>
          <w:p w14:paraId="740D159F"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3.2.1.</w:t>
            </w:r>
          </w:p>
        </w:tc>
        <w:tc>
          <w:tcPr>
            <w:tcW w:w="1694" w:type="pct"/>
            <w:shd w:val="clear" w:color="auto" w:fill="808080"/>
            <w:vAlign w:val="center"/>
          </w:tcPr>
          <w:p w14:paraId="35035B57"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тип Карты</w:t>
            </w:r>
          </w:p>
        </w:tc>
        <w:tc>
          <w:tcPr>
            <w:tcW w:w="1485" w:type="pct"/>
            <w:gridSpan w:val="3"/>
            <w:shd w:val="clear" w:color="auto" w:fill="808080"/>
            <w:vAlign w:val="center"/>
          </w:tcPr>
          <w:p w14:paraId="5CD3E5B5" w14:textId="77777777" w:rsidR="00E138C3" w:rsidRPr="00E138C3" w:rsidRDefault="00E138C3" w:rsidP="00E138C3">
            <w:pPr>
              <w:tabs>
                <w:tab w:val="left" w:pos="284"/>
              </w:tabs>
              <w:jc w:val="center"/>
              <w:rPr>
                <w:rFonts w:ascii="Tahoma" w:hAnsi="Tahoma" w:cs="Tahoma"/>
                <w:b/>
                <w:bCs/>
                <w:iCs/>
                <w:color w:val="FFFFFF"/>
                <w:sz w:val="22"/>
                <w:szCs w:val="22"/>
              </w:rPr>
            </w:pPr>
            <w:r w:rsidRPr="00E138C3">
              <w:rPr>
                <w:rFonts w:ascii="Tahoma" w:hAnsi="Tahoma" w:cs="Tahoma"/>
                <w:b/>
                <w:bCs/>
                <w:iCs/>
                <w:color w:val="FFFFFF"/>
                <w:sz w:val="22"/>
                <w:szCs w:val="22"/>
              </w:rPr>
              <w:t>UnionPay Diamond</w:t>
            </w:r>
          </w:p>
        </w:tc>
        <w:tc>
          <w:tcPr>
            <w:tcW w:w="1411" w:type="pct"/>
            <w:shd w:val="clear" w:color="auto" w:fill="808080"/>
            <w:vAlign w:val="center"/>
          </w:tcPr>
          <w:p w14:paraId="48202712" w14:textId="77777777" w:rsidR="00E138C3" w:rsidRPr="00E138C3" w:rsidRDefault="00E138C3" w:rsidP="00E138C3">
            <w:pPr>
              <w:tabs>
                <w:tab w:val="left" w:pos="284"/>
              </w:tabs>
              <w:jc w:val="center"/>
              <w:rPr>
                <w:rFonts w:ascii="Tahoma" w:hAnsi="Tahoma" w:cs="Tahoma"/>
                <w:b/>
                <w:bCs/>
                <w:iCs/>
                <w:color w:val="FFFFFF"/>
                <w:sz w:val="22"/>
                <w:szCs w:val="22"/>
              </w:rPr>
            </w:pPr>
            <w:r w:rsidRPr="00E138C3">
              <w:rPr>
                <w:rFonts w:ascii="Tahoma" w:hAnsi="Tahoma" w:cs="Tahoma"/>
                <w:b/>
                <w:bCs/>
                <w:iCs/>
                <w:color w:val="FFFFFF"/>
                <w:sz w:val="22"/>
                <w:szCs w:val="22"/>
              </w:rPr>
              <w:t>Visa Platinum</w:t>
            </w:r>
          </w:p>
        </w:tc>
      </w:tr>
      <w:tr w:rsidR="00E138C3" w:rsidRPr="00E138C3" w14:paraId="01BB7838" w14:textId="77777777" w:rsidTr="003D2438">
        <w:trPr>
          <w:trHeight w:val="283"/>
        </w:trPr>
        <w:tc>
          <w:tcPr>
            <w:tcW w:w="410" w:type="pct"/>
            <w:shd w:val="clear" w:color="auto" w:fill="auto"/>
            <w:vAlign w:val="center"/>
          </w:tcPr>
          <w:p w14:paraId="3702C55B"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3.2.1.1.</w:t>
            </w:r>
          </w:p>
        </w:tc>
        <w:tc>
          <w:tcPr>
            <w:tcW w:w="1694" w:type="pct"/>
            <w:shd w:val="clear" w:color="auto" w:fill="auto"/>
            <w:vAlign w:val="center"/>
          </w:tcPr>
          <w:p w14:paraId="005A170B"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валюта Счета Карты</w:t>
            </w:r>
            <w:r w:rsidRPr="00E138C3">
              <w:rPr>
                <w:rFonts w:ascii="Tahoma" w:hAnsi="Tahoma" w:cs="Tahoma"/>
                <w:bCs/>
                <w:iCs/>
                <w:color w:val="000000"/>
                <w:sz w:val="22"/>
                <w:szCs w:val="22"/>
                <w:vertAlign w:val="superscript"/>
              </w:rPr>
              <w:t>8</w:t>
            </w:r>
          </w:p>
        </w:tc>
        <w:tc>
          <w:tcPr>
            <w:tcW w:w="1485" w:type="pct"/>
            <w:gridSpan w:val="3"/>
            <w:shd w:val="clear" w:color="auto" w:fill="auto"/>
            <w:vAlign w:val="center"/>
          </w:tcPr>
          <w:p w14:paraId="1B32B274"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color w:val="000000"/>
                <w:sz w:val="22"/>
                <w:szCs w:val="22"/>
              </w:rPr>
              <w:t>Российский рубль/юань</w:t>
            </w:r>
          </w:p>
        </w:tc>
        <w:tc>
          <w:tcPr>
            <w:tcW w:w="1411" w:type="pct"/>
            <w:shd w:val="clear" w:color="auto" w:fill="auto"/>
            <w:vAlign w:val="center"/>
          </w:tcPr>
          <w:p w14:paraId="02F4BB20"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sz w:val="22"/>
                <w:szCs w:val="22"/>
              </w:rPr>
              <w:t>Российский рубль</w:t>
            </w:r>
            <w:r w:rsidRPr="00E138C3" w:rsidDel="00EB3638">
              <w:rPr>
                <w:rFonts w:ascii="Tahoma" w:hAnsi="Tahoma" w:cs="Tahoma"/>
                <w:bCs/>
                <w:iCs/>
                <w:sz w:val="22"/>
                <w:szCs w:val="22"/>
              </w:rPr>
              <w:t xml:space="preserve"> </w:t>
            </w:r>
          </w:p>
        </w:tc>
      </w:tr>
      <w:tr w:rsidR="00E138C3" w:rsidRPr="00E138C3" w14:paraId="0324A100" w14:textId="77777777" w:rsidTr="003D2438">
        <w:trPr>
          <w:trHeight w:val="886"/>
        </w:trPr>
        <w:tc>
          <w:tcPr>
            <w:tcW w:w="410" w:type="pct"/>
            <w:shd w:val="clear" w:color="auto" w:fill="auto"/>
            <w:vAlign w:val="center"/>
          </w:tcPr>
          <w:p w14:paraId="0FFFBBAA"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3.2.1.2.</w:t>
            </w:r>
          </w:p>
        </w:tc>
        <w:tc>
          <w:tcPr>
            <w:tcW w:w="1694" w:type="pct"/>
            <w:shd w:val="clear" w:color="auto" w:fill="auto"/>
            <w:vAlign w:val="center"/>
          </w:tcPr>
          <w:p w14:paraId="60CF1F86"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 xml:space="preserve">выпуск Основной Карты </w:t>
            </w:r>
          </w:p>
        </w:tc>
        <w:tc>
          <w:tcPr>
            <w:tcW w:w="1485" w:type="pct"/>
            <w:gridSpan w:val="3"/>
            <w:shd w:val="clear" w:color="auto" w:fill="auto"/>
            <w:vAlign w:val="center"/>
          </w:tcPr>
          <w:p w14:paraId="04F947CC"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color w:val="000000"/>
                <w:sz w:val="22"/>
                <w:szCs w:val="22"/>
              </w:rPr>
              <w:t xml:space="preserve">1 (одна) Карта в рублях: </w:t>
            </w:r>
            <w:r w:rsidRPr="00E138C3">
              <w:rPr>
                <w:rFonts w:ascii="Tahoma" w:hAnsi="Tahoma" w:cs="Tahoma"/>
                <w:b/>
                <w:bCs/>
                <w:iCs/>
                <w:color w:val="000000"/>
                <w:sz w:val="22"/>
                <w:szCs w:val="22"/>
              </w:rPr>
              <w:t>3 000 рублей</w:t>
            </w:r>
            <w:r w:rsidRPr="00E138C3">
              <w:rPr>
                <w:rFonts w:ascii="Tahoma" w:hAnsi="Tahoma" w:cs="Tahoma"/>
                <w:bCs/>
                <w:iCs/>
                <w:color w:val="000000"/>
                <w:sz w:val="22"/>
                <w:szCs w:val="22"/>
              </w:rPr>
              <w:t xml:space="preserve"> или </w:t>
            </w:r>
          </w:p>
          <w:p w14:paraId="6A43FE86" w14:textId="77777777" w:rsidR="00E138C3" w:rsidRPr="00E138C3" w:rsidRDefault="00E138C3" w:rsidP="00E138C3">
            <w:pPr>
              <w:tabs>
                <w:tab w:val="left" w:pos="284"/>
              </w:tabs>
              <w:jc w:val="center"/>
              <w:rPr>
                <w:rFonts w:ascii="Tahoma" w:hAnsi="Tahoma" w:cs="Tahoma"/>
                <w:b/>
                <w:bCs/>
              </w:rPr>
            </w:pPr>
            <w:r w:rsidRPr="00E138C3">
              <w:rPr>
                <w:rFonts w:ascii="Tahoma" w:hAnsi="Tahoma" w:cs="Tahoma"/>
                <w:bCs/>
                <w:iCs/>
                <w:color w:val="000000"/>
                <w:sz w:val="22"/>
                <w:szCs w:val="22"/>
              </w:rPr>
              <w:t xml:space="preserve">1 (одна) Карта в юанях: </w:t>
            </w:r>
            <w:r w:rsidRPr="00E138C3">
              <w:rPr>
                <w:rFonts w:ascii="Tahoma" w:hAnsi="Tahoma" w:cs="Tahoma"/>
                <w:b/>
                <w:bCs/>
              </w:rPr>
              <w:t>250 юаней</w:t>
            </w:r>
            <w:r w:rsidRPr="00E138C3">
              <w:rPr>
                <w:rFonts w:ascii="Tahoma" w:hAnsi="Tahoma" w:cs="Tahoma"/>
                <w:bCs/>
                <w:iCs/>
                <w:color w:val="000000"/>
                <w:sz w:val="22"/>
                <w:szCs w:val="22"/>
              </w:rPr>
              <w:t xml:space="preserve"> </w:t>
            </w:r>
          </w:p>
        </w:tc>
        <w:tc>
          <w:tcPr>
            <w:tcW w:w="1411" w:type="pct"/>
            <w:shd w:val="clear" w:color="auto" w:fill="auto"/>
            <w:vAlign w:val="center"/>
          </w:tcPr>
          <w:p w14:paraId="4D885B55"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color w:val="000000"/>
                <w:sz w:val="22"/>
                <w:szCs w:val="22"/>
              </w:rPr>
              <w:t xml:space="preserve">1 (одна) Карта в рублях: </w:t>
            </w:r>
            <w:r w:rsidRPr="00E138C3">
              <w:rPr>
                <w:rFonts w:ascii="Tahoma" w:hAnsi="Tahoma" w:cs="Tahoma"/>
                <w:b/>
                <w:bCs/>
              </w:rPr>
              <w:t>БЕСПЛАТНО</w:t>
            </w:r>
          </w:p>
        </w:tc>
      </w:tr>
      <w:tr w:rsidR="00E138C3" w:rsidRPr="00E138C3" w14:paraId="24CA19F8" w14:textId="77777777" w:rsidTr="003D2438">
        <w:trPr>
          <w:trHeight w:val="300"/>
        </w:trPr>
        <w:tc>
          <w:tcPr>
            <w:tcW w:w="410" w:type="pct"/>
            <w:shd w:val="clear" w:color="auto" w:fill="auto"/>
            <w:vAlign w:val="center"/>
          </w:tcPr>
          <w:p w14:paraId="2F413DAA"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3.2.1.3.</w:t>
            </w:r>
          </w:p>
        </w:tc>
        <w:tc>
          <w:tcPr>
            <w:tcW w:w="1694" w:type="pct"/>
            <w:shd w:val="clear" w:color="auto" w:fill="auto"/>
            <w:vAlign w:val="center"/>
          </w:tcPr>
          <w:p w14:paraId="74E7733B"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стоимость обслуживания Основной Карты</w:t>
            </w:r>
          </w:p>
        </w:tc>
        <w:tc>
          <w:tcPr>
            <w:tcW w:w="2896" w:type="pct"/>
            <w:gridSpan w:val="4"/>
            <w:shd w:val="clear" w:color="auto" w:fill="auto"/>
            <w:vAlign w:val="center"/>
          </w:tcPr>
          <w:p w14:paraId="6E3C926C"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
                <w:bCs/>
              </w:rPr>
              <w:t>БЕСПЛАТНО</w:t>
            </w:r>
          </w:p>
        </w:tc>
      </w:tr>
      <w:tr w:rsidR="00E138C3" w:rsidRPr="00E138C3" w14:paraId="04494824" w14:textId="77777777" w:rsidTr="003D2438">
        <w:trPr>
          <w:trHeight w:val="641"/>
        </w:trPr>
        <w:tc>
          <w:tcPr>
            <w:tcW w:w="410" w:type="pct"/>
            <w:shd w:val="clear" w:color="auto" w:fill="auto"/>
            <w:vAlign w:val="center"/>
          </w:tcPr>
          <w:p w14:paraId="785305BF"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3.2.1.4.</w:t>
            </w:r>
          </w:p>
        </w:tc>
        <w:tc>
          <w:tcPr>
            <w:tcW w:w="1694" w:type="pct"/>
            <w:shd w:val="clear" w:color="auto" w:fill="auto"/>
            <w:vAlign w:val="center"/>
          </w:tcPr>
          <w:p w14:paraId="24107B9B"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 xml:space="preserve">выпуск и обслуживание Дополнительной Карты </w:t>
            </w:r>
          </w:p>
        </w:tc>
        <w:tc>
          <w:tcPr>
            <w:tcW w:w="1485" w:type="pct"/>
            <w:gridSpan w:val="3"/>
            <w:vMerge w:val="restart"/>
            <w:shd w:val="clear" w:color="auto" w:fill="auto"/>
            <w:vAlign w:val="center"/>
          </w:tcPr>
          <w:p w14:paraId="2762AFAB"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
                <w:bCs/>
                <w:iCs/>
                <w:color w:val="000000"/>
                <w:sz w:val="22"/>
                <w:szCs w:val="22"/>
              </w:rPr>
              <w:t>Не предусмотрено</w:t>
            </w:r>
          </w:p>
        </w:tc>
        <w:tc>
          <w:tcPr>
            <w:tcW w:w="1411" w:type="pct"/>
            <w:shd w:val="clear" w:color="auto" w:fill="auto"/>
            <w:vAlign w:val="center"/>
          </w:tcPr>
          <w:p w14:paraId="0FF9FC1B"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color w:val="000000"/>
                <w:sz w:val="22"/>
                <w:szCs w:val="22"/>
              </w:rPr>
              <w:t xml:space="preserve">2 (две) Карты в рублях: </w:t>
            </w:r>
            <w:r w:rsidRPr="00E138C3">
              <w:rPr>
                <w:rFonts w:ascii="Tahoma" w:hAnsi="Tahoma" w:cs="Tahoma"/>
                <w:b/>
                <w:bCs/>
              </w:rPr>
              <w:t>БЕСПЛАТНО</w:t>
            </w:r>
          </w:p>
        </w:tc>
      </w:tr>
      <w:tr w:rsidR="00E138C3" w:rsidRPr="00E138C3" w14:paraId="3BAC2BE3" w14:textId="77777777" w:rsidTr="003D2438">
        <w:tc>
          <w:tcPr>
            <w:tcW w:w="410" w:type="pct"/>
            <w:vMerge w:val="restart"/>
            <w:shd w:val="clear" w:color="auto" w:fill="auto"/>
            <w:vAlign w:val="center"/>
          </w:tcPr>
          <w:p w14:paraId="0A6146A0" w14:textId="77777777" w:rsidR="00E138C3" w:rsidRPr="00E138C3" w:rsidRDefault="00E138C3" w:rsidP="00E138C3">
            <w:pPr>
              <w:tabs>
                <w:tab w:val="left" w:pos="284"/>
              </w:tabs>
              <w:rPr>
                <w:rFonts w:ascii="Tahoma" w:hAnsi="Tahoma" w:cs="Tahoma"/>
                <w:bCs/>
                <w:iCs/>
                <w:color w:val="000000"/>
                <w:sz w:val="22"/>
                <w:szCs w:val="22"/>
              </w:rPr>
            </w:pPr>
          </w:p>
          <w:p w14:paraId="50DF2EC8"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3.2.1.5.</w:t>
            </w:r>
          </w:p>
        </w:tc>
        <w:tc>
          <w:tcPr>
            <w:tcW w:w="1694" w:type="pct"/>
            <w:shd w:val="clear" w:color="auto" w:fill="auto"/>
            <w:vAlign w:val="center"/>
          </w:tcPr>
          <w:p w14:paraId="1D129383"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стоимость выпуска каждой К</w:t>
            </w:r>
            <w:r w:rsidRPr="00E138C3">
              <w:rPr>
                <w:rFonts w:ascii="Tahoma" w:hAnsi="Tahoma" w:cs="Tahoma"/>
                <w:bCs/>
                <w:iCs/>
                <w:sz w:val="22"/>
                <w:szCs w:val="22"/>
              </w:rPr>
              <w:t>арты свыше количества, указанного в пп.3.2.1.2.-3.2.1.3. Программы</w:t>
            </w:r>
            <w:r w:rsidRPr="00E138C3">
              <w:rPr>
                <w:rFonts w:ascii="Tahoma" w:hAnsi="Tahoma" w:cs="Tahoma"/>
                <w:bCs/>
                <w:iCs/>
                <w:sz w:val="22"/>
                <w:szCs w:val="22"/>
                <w:vertAlign w:val="superscript"/>
              </w:rPr>
              <w:t>13</w:t>
            </w:r>
          </w:p>
        </w:tc>
        <w:tc>
          <w:tcPr>
            <w:tcW w:w="1485" w:type="pct"/>
            <w:gridSpan w:val="3"/>
            <w:vMerge/>
            <w:shd w:val="clear" w:color="auto" w:fill="auto"/>
            <w:vAlign w:val="center"/>
          </w:tcPr>
          <w:p w14:paraId="6CB1CECC" w14:textId="77777777" w:rsidR="00E138C3" w:rsidRPr="00E138C3" w:rsidRDefault="00E138C3" w:rsidP="00E138C3">
            <w:pPr>
              <w:tabs>
                <w:tab w:val="left" w:pos="284"/>
              </w:tabs>
              <w:jc w:val="center"/>
              <w:rPr>
                <w:rFonts w:ascii="Tahoma" w:hAnsi="Tahoma" w:cs="Tahoma"/>
                <w:bCs/>
                <w:iCs/>
                <w:color w:val="000000"/>
                <w:sz w:val="22"/>
                <w:szCs w:val="22"/>
              </w:rPr>
            </w:pPr>
          </w:p>
        </w:tc>
        <w:tc>
          <w:tcPr>
            <w:tcW w:w="1411" w:type="pct"/>
            <w:shd w:val="clear" w:color="auto" w:fill="auto"/>
            <w:vAlign w:val="center"/>
          </w:tcPr>
          <w:p w14:paraId="7C574983"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color w:val="000000"/>
                <w:sz w:val="22"/>
                <w:szCs w:val="22"/>
              </w:rPr>
              <w:t xml:space="preserve">Карта в рублях: </w:t>
            </w:r>
            <w:r w:rsidRPr="00E138C3">
              <w:rPr>
                <w:rFonts w:ascii="Tahoma" w:hAnsi="Tahoma" w:cs="Tahoma"/>
                <w:b/>
                <w:bCs/>
                <w:iCs/>
                <w:color w:val="000000"/>
                <w:sz w:val="22"/>
                <w:szCs w:val="22"/>
              </w:rPr>
              <w:t>3 000</w:t>
            </w:r>
            <w:r w:rsidRPr="00E138C3">
              <w:rPr>
                <w:rFonts w:ascii="Tahoma" w:hAnsi="Tahoma" w:cs="Tahoma"/>
                <w:bCs/>
                <w:iCs/>
                <w:color w:val="000000"/>
                <w:sz w:val="22"/>
                <w:szCs w:val="22"/>
              </w:rPr>
              <w:t xml:space="preserve"> </w:t>
            </w:r>
            <w:r w:rsidRPr="00E138C3">
              <w:rPr>
                <w:rFonts w:ascii="Tahoma" w:hAnsi="Tahoma" w:cs="Tahoma"/>
                <w:b/>
                <w:bCs/>
                <w:iCs/>
                <w:color w:val="000000"/>
                <w:sz w:val="22"/>
                <w:szCs w:val="22"/>
              </w:rPr>
              <w:t>рублей</w:t>
            </w:r>
          </w:p>
        </w:tc>
      </w:tr>
      <w:tr w:rsidR="00E138C3" w:rsidRPr="00E138C3" w14:paraId="33006FD1" w14:textId="77777777" w:rsidTr="003D2438">
        <w:tc>
          <w:tcPr>
            <w:tcW w:w="410" w:type="pct"/>
            <w:vMerge/>
            <w:shd w:val="clear" w:color="auto" w:fill="auto"/>
            <w:vAlign w:val="center"/>
          </w:tcPr>
          <w:p w14:paraId="571C82B3" w14:textId="77777777" w:rsidR="00E138C3" w:rsidRPr="00E138C3" w:rsidRDefault="00E138C3" w:rsidP="00E138C3">
            <w:pPr>
              <w:tabs>
                <w:tab w:val="left" w:pos="284"/>
              </w:tabs>
              <w:rPr>
                <w:rFonts w:ascii="Tahoma" w:hAnsi="Tahoma" w:cs="Tahoma"/>
                <w:bCs/>
                <w:iCs/>
                <w:color w:val="000000"/>
                <w:sz w:val="22"/>
                <w:szCs w:val="22"/>
              </w:rPr>
            </w:pPr>
          </w:p>
        </w:tc>
        <w:tc>
          <w:tcPr>
            <w:tcW w:w="1694" w:type="pct"/>
            <w:shd w:val="clear" w:color="auto" w:fill="auto"/>
            <w:vAlign w:val="center"/>
          </w:tcPr>
          <w:p w14:paraId="7BCEE1B1"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обслуживание К</w:t>
            </w:r>
            <w:r w:rsidRPr="00E138C3">
              <w:rPr>
                <w:rFonts w:ascii="Tahoma" w:hAnsi="Tahoma" w:cs="Tahoma"/>
                <w:bCs/>
                <w:iCs/>
                <w:sz w:val="22"/>
                <w:szCs w:val="22"/>
              </w:rPr>
              <w:t>арт свыше количества, указанного в п.3.2.1.2. и 3.2.1.3. Программы</w:t>
            </w:r>
            <w:r w:rsidRPr="00E138C3">
              <w:rPr>
                <w:rFonts w:ascii="Tahoma" w:hAnsi="Tahoma" w:cs="Tahoma"/>
                <w:bCs/>
                <w:iCs/>
                <w:sz w:val="22"/>
                <w:szCs w:val="22"/>
                <w:vertAlign w:val="superscript"/>
              </w:rPr>
              <w:t>13</w:t>
            </w:r>
          </w:p>
        </w:tc>
        <w:tc>
          <w:tcPr>
            <w:tcW w:w="1485" w:type="pct"/>
            <w:gridSpan w:val="3"/>
            <w:vMerge/>
            <w:shd w:val="clear" w:color="auto" w:fill="auto"/>
            <w:vAlign w:val="center"/>
          </w:tcPr>
          <w:p w14:paraId="4AB54D3E" w14:textId="77777777" w:rsidR="00E138C3" w:rsidRPr="00E138C3" w:rsidRDefault="00E138C3" w:rsidP="00E138C3">
            <w:pPr>
              <w:tabs>
                <w:tab w:val="left" w:pos="284"/>
              </w:tabs>
              <w:jc w:val="center"/>
              <w:rPr>
                <w:rFonts w:ascii="Tahoma" w:hAnsi="Tahoma" w:cs="Tahoma"/>
                <w:bCs/>
              </w:rPr>
            </w:pPr>
          </w:p>
        </w:tc>
        <w:tc>
          <w:tcPr>
            <w:tcW w:w="1411" w:type="pct"/>
            <w:shd w:val="clear" w:color="auto" w:fill="auto"/>
            <w:vAlign w:val="center"/>
          </w:tcPr>
          <w:p w14:paraId="28612CCD" w14:textId="77777777" w:rsidR="00E138C3" w:rsidRPr="00E138C3" w:rsidRDefault="00E138C3" w:rsidP="00E138C3">
            <w:pPr>
              <w:tabs>
                <w:tab w:val="left" w:pos="284"/>
              </w:tabs>
              <w:jc w:val="center"/>
              <w:rPr>
                <w:rFonts w:ascii="Tahoma" w:hAnsi="Tahoma" w:cs="Tahoma"/>
                <w:b/>
                <w:bCs/>
              </w:rPr>
            </w:pPr>
            <w:r w:rsidRPr="00E138C3">
              <w:rPr>
                <w:rFonts w:ascii="Tahoma" w:hAnsi="Tahoma" w:cs="Tahoma"/>
                <w:b/>
                <w:bCs/>
              </w:rPr>
              <w:t>БЕСПЛАТНО</w:t>
            </w:r>
          </w:p>
        </w:tc>
      </w:tr>
      <w:tr w:rsidR="00E138C3" w:rsidRPr="00E138C3" w14:paraId="655446D4" w14:textId="77777777" w:rsidTr="003D2438">
        <w:tc>
          <w:tcPr>
            <w:tcW w:w="410" w:type="pct"/>
            <w:shd w:val="clear" w:color="auto" w:fill="auto"/>
            <w:vAlign w:val="center"/>
          </w:tcPr>
          <w:p w14:paraId="32CE795F"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3.2.1.6.</w:t>
            </w:r>
          </w:p>
        </w:tc>
        <w:tc>
          <w:tcPr>
            <w:tcW w:w="1694" w:type="pct"/>
            <w:shd w:val="clear" w:color="auto" w:fill="auto"/>
            <w:vAlign w:val="center"/>
          </w:tcPr>
          <w:p w14:paraId="36130030"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срок действия Карты</w:t>
            </w:r>
          </w:p>
        </w:tc>
        <w:tc>
          <w:tcPr>
            <w:tcW w:w="2896" w:type="pct"/>
            <w:gridSpan w:val="4"/>
            <w:shd w:val="clear" w:color="auto" w:fill="auto"/>
            <w:vAlign w:val="center"/>
          </w:tcPr>
          <w:p w14:paraId="11FB00A4"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color w:val="000000"/>
                <w:sz w:val="22"/>
                <w:szCs w:val="22"/>
              </w:rPr>
              <w:t>3 года</w:t>
            </w:r>
          </w:p>
        </w:tc>
      </w:tr>
      <w:tr w:rsidR="00E138C3" w:rsidRPr="00E138C3" w14:paraId="679C2CC3" w14:textId="77777777" w:rsidTr="003D2438">
        <w:tc>
          <w:tcPr>
            <w:tcW w:w="410" w:type="pct"/>
            <w:shd w:val="clear" w:color="auto" w:fill="auto"/>
            <w:vAlign w:val="center"/>
          </w:tcPr>
          <w:p w14:paraId="6D2E1625"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3.2.1.7.</w:t>
            </w:r>
          </w:p>
        </w:tc>
        <w:tc>
          <w:tcPr>
            <w:tcW w:w="1694" w:type="pct"/>
            <w:shd w:val="clear" w:color="auto" w:fill="auto"/>
            <w:vAlign w:val="center"/>
          </w:tcPr>
          <w:p w14:paraId="1C146F32"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перевыпуск Карты по любой причине</w:t>
            </w:r>
          </w:p>
        </w:tc>
        <w:tc>
          <w:tcPr>
            <w:tcW w:w="2896" w:type="pct"/>
            <w:gridSpan w:val="4"/>
            <w:shd w:val="clear" w:color="auto" w:fill="auto"/>
            <w:vAlign w:val="center"/>
          </w:tcPr>
          <w:p w14:paraId="56FA9E6A"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
                <w:bCs/>
              </w:rPr>
              <w:t>БЕСПЛАТНО</w:t>
            </w:r>
          </w:p>
        </w:tc>
      </w:tr>
      <w:tr w:rsidR="00E138C3" w:rsidRPr="00E138C3" w14:paraId="719318A5" w14:textId="77777777" w:rsidTr="003D2438">
        <w:tc>
          <w:tcPr>
            <w:tcW w:w="410" w:type="pct"/>
            <w:shd w:val="clear" w:color="auto" w:fill="auto"/>
            <w:vAlign w:val="center"/>
          </w:tcPr>
          <w:p w14:paraId="6D6E1006" w14:textId="77777777" w:rsidR="00E138C3" w:rsidRPr="00E138C3" w:rsidRDefault="00E138C3" w:rsidP="00E138C3">
            <w:pPr>
              <w:tabs>
                <w:tab w:val="left" w:pos="284"/>
              </w:tabs>
              <w:rPr>
                <w:rFonts w:ascii="Tahoma" w:hAnsi="Tahoma" w:cs="Tahoma"/>
                <w:bCs/>
                <w:iCs/>
                <w:color w:val="000000"/>
                <w:sz w:val="22"/>
                <w:szCs w:val="22"/>
                <w:lang w:val="en-US"/>
              </w:rPr>
            </w:pPr>
            <w:r w:rsidRPr="00E138C3">
              <w:rPr>
                <w:rFonts w:ascii="Tahoma" w:hAnsi="Tahoma" w:cs="Tahoma"/>
                <w:bCs/>
                <w:iCs/>
                <w:color w:val="000000"/>
                <w:sz w:val="22"/>
                <w:szCs w:val="22"/>
                <w:lang w:val="en-US"/>
              </w:rPr>
              <w:t>3.2.1.8.</w:t>
            </w:r>
          </w:p>
        </w:tc>
        <w:tc>
          <w:tcPr>
            <w:tcW w:w="1694" w:type="pct"/>
            <w:shd w:val="clear" w:color="auto" w:fill="auto"/>
            <w:vAlign w:val="center"/>
          </w:tcPr>
          <w:p w14:paraId="3269B88E"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начисление процентов Банком Клиенту на остаток денежных средств по Счету Карты</w:t>
            </w:r>
          </w:p>
        </w:tc>
        <w:tc>
          <w:tcPr>
            <w:tcW w:w="2896" w:type="pct"/>
            <w:gridSpan w:val="4"/>
            <w:shd w:val="clear" w:color="auto" w:fill="auto"/>
            <w:vAlign w:val="center"/>
          </w:tcPr>
          <w:p w14:paraId="1CD9FB87"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sz w:val="22"/>
                <w:szCs w:val="22"/>
              </w:rPr>
              <w:t>Не предусмотрено</w:t>
            </w:r>
          </w:p>
        </w:tc>
      </w:tr>
      <w:tr w:rsidR="00E138C3" w:rsidRPr="00E138C3" w14:paraId="375E39E4" w14:textId="77777777" w:rsidTr="003D2438">
        <w:tc>
          <w:tcPr>
            <w:tcW w:w="410" w:type="pct"/>
            <w:shd w:val="clear" w:color="auto" w:fill="808080"/>
            <w:vAlign w:val="center"/>
          </w:tcPr>
          <w:p w14:paraId="33257165" w14:textId="77777777" w:rsidR="00E138C3" w:rsidRPr="00E138C3" w:rsidRDefault="00E138C3" w:rsidP="00E138C3">
            <w:pPr>
              <w:tabs>
                <w:tab w:val="left" w:pos="284"/>
              </w:tabs>
              <w:rPr>
                <w:rFonts w:ascii="Tahoma" w:hAnsi="Tahoma" w:cs="Tahoma"/>
                <w:bCs/>
                <w:iCs/>
                <w:color w:val="FFFFFF"/>
                <w:sz w:val="28"/>
                <w:szCs w:val="22"/>
              </w:rPr>
            </w:pPr>
            <w:r w:rsidRPr="00E138C3">
              <w:rPr>
                <w:rFonts w:ascii="Tahoma" w:hAnsi="Tahoma" w:cs="Tahoma"/>
                <w:bCs/>
                <w:iCs/>
                <w:color w:val="FFFFFF"/>
                <w:sz w:val="28"/>
                <w:szCs w:val="22"/>
              </w:rPr>
              <w:t>4.</w:t>
            </w:r>
          </w:p>
        </w:tc>
        <w:tc>
          <w:tcPr>
            <w:tcW w:w="4590" w:type="pct"/>
            <w:gridSpan w:val="5"/>
            <w:shd w:val="clear" w:color="auto" w:fill="808080"/>
            <w:vAlign w:val="center"/>
          </w:tcPr>
          <w:p w14:paraId="3E7C087B" w14:textId="77777777" w:rsidR="00E138C3" w:rsidRPr="00E138C3" w:rsidRDefault="00E138C3" w:rsidP="00E138C3">
            <w:pPr>
              <w:tabs>
                <w:tab w:val="left" w:pos="284"/>
              </w:tabs>
              <w:rPr>
                <w:rFonts w:ascii="Tahoma" w:hAnsi="Tahoma" w:cs="Tahoma"/>
                <w:bCs/>
                <w:iCs/>
                <w:color w:val="FFFFFF"/>
                <w:sz w:val="28"/>
                <w:szCs w:val="22"/>
              </w:rPr>
            </w:pPr>
            <w:r w:rsidRPr="00E138C3">
              <w:rPr>
                <w:rFonts w:ascii="Tahoma" w:hAnsi="Tahoma" w:cs="Tahoma"/>
                <w:bCs/>
                <w:iCs/>
                <w:color w:val="FFFFFF"/>
                <w:sz w:val="28"/>
                <w:szCs w:val="22"/>
              </w:rPr>
              <w:t>Условия проведения операций, в т.ч. через Каналы ДБО Банка</w:t>
            </w:r>
            <w:r w:rsidRPr="00E138C3">
              <w:rPr>
                <w:rFonts w:ascii="Tahoma" w:hAnsi="Tahoma" w:cs="Tahoma"/>
                <w:bCs/>
                <w:iCs/>
                <w:color w:val="FFFFFF"/>
                <w:sz w:val="22"/>
                <w:szCs w:val="22"/>
              </w:rPr>
              <w:t xml:space="preserve"> (при наличии технической возможности)</w:t>
            </w:r>
          </w:p>
        </w:tc>
      </w:tr>
      <w:tr w:rsidR="00E138C3" w:rsidRPr="00E138C3" w14:paraId="63A20790" w14:textId="77777777" w:rsidTr="00E138C3">
        <w:tc>
          <w:tcPr>
            <w:tcW w:w="410" w:type="pct"/>
            <w:shd w:val="clear" w:color="auto" w:fill="808080"/>
            <w:vAlign w:val="center"/>
          </w:tcPr>
          <w:p w14:paraId="34DFA630"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4.1.</w:t>
            </w:r>
          </w:p>
        </w:tc>
        <w:tc>
          <w:tcPr>
            <w:tcW w:w="4590" w:type="pct"/>
            <w:gridSpan w:val="5"/>
            <w:shd w:val="clear" w:color="auto" w:fill="808080"/>
            <w:vAlign w:val="center"/>
          </w:tcPr>
          <w:p w14:paraId="02F7486C"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Денежные переводы с Карт и Накопительных счетов</w:t>
            </w:r>
            <w:r w:rsidRPr="00E138C3">
              <w:rPr>
                <w:rFonts w:ascii="Tahoma" w:hAnsi="Tahoma" w:cs="Tahoma"/>
                <w:bCs/>
                <w:iCs/>
                <w:color w:val="FFFFFF"/>
                <w:sz w:val="22"/>
                <w:szCs w:val="22"/>
                <w:vertAlign w:val="superscript"/>
              </w:rPr>
              <w:t xml:space="preserve">14 </w:t>
            </w:r>
            <w:r w:rsidRPr="00E138C3">
              <w:rPr>
                <w:rFonts w:ascii="Tahoma" w:hAnsi="Tahoma" w:cs="Tahoma"/>
                <w:b/>
                <w:bCs/>
                <w:iCs/>
                <w:color w:val="FFFFFF"/>
                <w:sz w:val="22"/>
                <w:szCs w:val="22"/>
              </w:rPr>
              <w:t>:</w:t>
            </w:r>
          </w:p>
        </w:tc>
      </w:tr>
      <w:tr w:rsidR="00E138C3" w:rsidRPr="00E138C3" w14:paraId="13BBEE39" w14:textId="77777777" w:rsidTr="003D2438">
        <w:tc>
          <w:tcPr>
            <w:tcW w:w="410" w:type="pct"/>
            <w:shd w:val="clear" w:color="auto" w:fill="auto"/>
            <w:vAlign w:val="center"/>
          </w:tcPr>
          <w:p w14:paraId="5A08FF39"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4.1.1.</w:t>
            </w:r>
          </w:p>
        </w:tc>
        <w:tc>
          <w:tcPr>
            <w:tcW w:w="1694" w:type="pct"/>
            <w:shd w:val="clear" w:color="auto" w:fill="auto"/>
            <w:vAlign w:val="center"/>
          </w:tcPr>
          <w:p w14:paraId="26340B5F"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на Карты и Счета Клиента, открытые в Банке</w:t>
            </w:r>
          </w:p>
        </w:tc>
        <w:tc>
          <w:tcPr>
            <w:tcW w:w="2896" w:type="pct"/>
            <w:gridSpan w:val="4"/>
            <w:vMerge w:val="restart"/>
            <w:shd w:val="clear" w:color="auto" w:fill="auto"/>
            <w:vAlign w:val="center"/>
          </w:tcPr>
          <w:p w14:paraId="35A4F0F0" w14:textId="77777777" w:rsidR="00E138C3" w:rsidRPr="00E138C3" w:rsidRDefault="00E138C3" w:rsidP="00E138C3">
            <w:pPr>
              <w:tabs>
                <w:tab w:val="left" w:pos="284"/>
              </w:tabs>
              <w:jc w:val="center"/>
              <w:rPr>
                <w:rFonts w:ascii="Tahoma" w:hAnsi="Tahoma" w:cs="Tahoma"/>
                <w:bCs/>
                <w:iCs/>
                <w:color w:val="000000"/>
                <w:sz w:val="22"/>
                <w:szCs w:val="22"/>
                <w14:textFill>
                  <w14:solidFill>
                    <w14:srgbClr w14:val="000000">
                      <w14:lumMod w14:val="75000"/>
                      <w14:lumOff w14:val="25000"/>
                    </w14:srgbClr>
                  </w14:solidFill>
                </w14:textFill>
              </w:rPr>
            </w:pPr>
            <w:r w:rsidRPr="00E138C3">
              <w:rPr>
                <w:rFonts w:ascii="Tahoma" w:hAnsi="Tahoma" w:cs="Tahoma"/>
                <w:b/>
                <w:bCs/>
                <w:iCs/>
                <w:color w:val="000000"/>
                <w:sz w:val="22"/>
                <w:szCs w:val="22"/>
              </w:rPr>
              <w:t>БЕСПЛАТНО</w:t>
            </w:r>
          </w:p>
        </w:tc>
      </w:tr>
      <w:tr w:rsidR="00E138C3" w:rsidRPr="00E138C3" w14:paraId="2DE7CCCC" w14:textId="77777777" w:rsidTr="003D2438">
        <w:tc>
          <w:tcPr>
            <w:tcW w:w="410" w:type="pct"/>
            <w:shd w:val="clear" w:color="auto" w:fill="auto"/>
            <w:vAlign w:val="center"/>
          </w:tcPr>
          <w:p w14:paraId="2BAEBBAD"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4.1.2.</w:t>
            </w:r>
          </w:p>
        </w:tc>
        <w:tc>
          <w:tcPr>
            <w:tcW w:w="1694" w:type="pct"/>
            <w:shd w:val="clear" w:color="auto" w:fill="auto"/>
            <w:vAlign w:val="center"/>
          </w:tcPr>
          <w:p w14:paraId="6962B3D0"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на Карты и Счета третьих лиц-Клиентов Банка</w:t>
            </w:r>
          </w:p>
        </w:tc>
        <w:tc>
          <w:tcPr>
            <w:tcW w:w="2896" w:type="pct"/>
            <w:gridSpan w:val="4"/>
            <w:vMerge/>
            <w:shd w:val="clear" w:color="auto" w:fill="auto"/>
            <w:vAlign w:val="center"/>
          </w:tcPr>
          <w:p w14:paraId="0A9915D9" w14:textId="77777777" w:rsidR="00E138C3" w:rsidRPr="00E138C3" w:rsidRDefault="00E138C3" w:rsidP="00E138C3">
            <w:pPr>
              <w:tabs>
                <w:tab w:val="left" w:pos="284"/>
              </w:tabs>
              <w:jc w:val="center"/>
              <w:rPr>
                <w:rFonts w:ascii="Tahoma" w:hAnsi="Tahoma" w:cs="Tahoma"/>
                <w:bCs/>
                <w:iCs/>
                <w:color w:val="000000"/>
                <w:sz w:val="22"/>
                <w:szCs w:val="22"/>
              </w:rPr>
            </w:pPr>
          </w:p>
        </w:tc>
      </w:tr>
      <w:tr w:rsidR="00E138C3" w:rsidRPr="00E138C3" w14:paraId="497F0292" w14:textId="77777777" w:rsidTr="003D2438">
        <w:tc>
          <w:tcPr>
            <w:tcW w:w="410" w:type="pct"/>
            <w:shd w:val="clear" w:color="auto" w:fill="auto"/>
            <w:vAlign w:val="center"/>
          </w:tcPr>
          <w:p w14:paraId="30A872F8"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4.1.</w:t>
            </w:r>
            <w:r w:rsidRPr="00E138C3">
              <w:rPr>
                <w:rFonts w:ascii="Tahoma" w:hAnsi="Tahoma" w:cs="Tahoma"/>
                <w:bCs/>
                <w:iCs/>
                <w:color w:val="000000"/>
                <w:sz w:val="22"/>
                <w:szCs w:val="22"/>
                <w:lang w:val="en-US"/>
              </w:rPr>
              <w:t>3</w:t>
            </w:r>
            <w:r w:rsidRPr="00E138C3">
              <w:rPr>
                <w:rFonts w:ascii="Tahoma" w:hAnsi="Tahoma" w:cs="Tahoma"/>
                <w:bCs/>
                <w:iCs/>
                <w:color w:val="000000"/>
                <w:sz w:val="22"/>
                <w:szCs w:val="22"/>
              </w:rPr>
              <w:t>.</w:t>
            </w:r>
          </w:p>
        </w:tc>
        <w:tc>
          <w:tcPr>
            <w:tcW w:w="1694" w:type="pct"/>
            <w:shd w:val="clear" w:color="auto" w:fill="auto"/>
            <w:vAlign w:val="center"/>
          </w:tcPr>
          <w:p w14:paraId="494F6B29"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 xml:space="preserve">на счета, открытые в других российских банках </w:t>
            </w:r>
          </w:p>
        </w:tc>
        <w:tc>
          <w:tcPr>
            <w:tcW w:w="2896" w:type="pct"/>
            <w:gridSpan w:val="4"/>
            <w:shd w:val="clear" w:color="auto" w:fill="auto"/>
            <w:vAlign w:val="center"/>
          </w:tcPr>
          <w:p w14:paraId="06CEE049" w14:textId="77777777" w:rsidR="00E138C3" w:rsidRPr="00E138C3" w:rsidRDefault="00E138C3" w:rsidP="00E138C3">
            <w:pPr>
              <w:tabs>
                <w:tab w:val="left" w:pos="284"/>
              </w:tabs>
              <w:jc w:val="center"/>
              <w:rPr>
                <w:rFonts w:ascii="Tahoma" w:hAnsi="Tahoma" w:cs="Tahoma"/>
                <w:b/>
                <w:bCs/>
                <w:iCs/>
                <w:color w:val="000000"/>
                <w:sz w:val="22"/>
                <w:szCs w:val="22"/>
              </w:rPr>
            </w:pPr>
            <w:r w:rsidRPr="00E138C3">
              <w:rPr>
                <w:rFonts w:ascii="Tahoma" w:hAnsi="Tahoma" w:cs="Tahoma"/>
                <w:bCs/>
                <w:iCs/>
                <w:color w:val="000000"/>
                <w:sz w:val="22"/>
                <w:szCs w:val="22"/>
              </w:rPr>
              <w:t xml:space="preserve">В рублях: </w:t>
            </w:r>
            <w:r w:rsidRPr="00E138C3">
              <w:rPr>
                <w:rFonts w:ascii="Tahoma" w:hAnsi="Tahoma" w:cs="Tahoma"/>
                <w:b/>
                <w:bCs/>
                <w:iCs/>
                <w:color w:val="000000"/>
                <w:sz w:val="22"/>
                <w:szCs w:val="22"/>
              </w:rPr>
              <w:t>БЕСПЛАТНО</w:t>
            </w:r>
          </w:p>
        </w:tc>
      </w:tr>
      <w:tr w:rsidR="00E138C3" w:rsidRPr="00E138C3" w14:paraId="47866555" w14:textId="77777777" w:rsidTr="003D2438">
        <w:tc>
          <w:tcPr>
            <w:tcW w:w="410" w:type="pct"/>
            <w:shd w:val="clear" w:color="auto" w:fill="auto"/>
            <w:vAlign w:val="center"/>
          </w:tcPr>
          <w:p w14:paraId="289281C4"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4.1.</w:t>
            </w:r>
            <w:r w:rsidRPr="00E138C3">
              <w:rPr>
                <w:rFonts w:ascii="Tahoma" w:hAnsi="Tahoma" w:cs="Tahoma"/>
                <w:bCs/>
                <w:iCs/>
                <w:color w:val="000000"/>
                <w:sz w:val="22"/>
                <w:szCs w:val="22"/>
                <w:lang w:val="en-US"/>
              </w:rPr>
              <w:t>4</w:t>
            </w:r>
            <w:r w:rsidRPr="00E138C3">
              <w:rPr>
                <w:rFonts w:ascii="Tahoma" w:hAnsi="Tahoma" w:cs="Tahoma"/>
                <w:bCs/>
                <w:iCs/>
                <w:color w:val="000000"/>
                <w:sz w:val="22"/>
                <w:szCs w:val="22"/>
              </w:rPr>
              <w:t>.</w:t>
            </w:r>
          </w:p>
        </w:tc>
        <w:tc>
          <w:tcPr>
            <w:tcW w:w="1694" w:type="pct"/>
            <w:shd w:val="clear" w:color="auto" w:fill="auto"/>
            <w:vAlign w:val="center"/>
          </w:tcPr>
          <w:p w14:paraId="1789172B" w14:textId="77777777" w:rsidR="00E138C3" w:rsidRPr="00E138C3" w:rsidRDefault="00E138C3" w:rsidP="00E138C3">
            <w:pPr>
              <w:tabs>
                <w:tab w:val="left" w:pos="284"/>
              </w:tabs>
              <w:rPr>
                <w:rFonts w:ascii="Tahoma" w:hAnsi="Tahoma" w:cs="Tahoma"/>
                <w:bCs/>
                <w:iCs/>
                <w:sz w:val="22"/>
                <w:szCs w:val="22"/>
              </w:rPr>
            </w:pPr>
            <w:r w:rsidRPr="00E138C3">
              <w:rPr>
                <w:rFonts w:ascii="Tahoma" w:hAnsi="Tahoma" w:cs="Tahoma"/>
                <w:bCs/>
                <w:iCs/>
                <w:sz w:val="22"/>
                <w:szCs w:val="22"/>
              </w:rPr>
              <w:t xml:space="preserve">с Карты на карты других банков с использованием номера карты </w:t>
            </w:r>
          </w:p>
          <w:p w14:paraId="014A93BB" w14:textId="77777777" w:rsidR="00E138C3" w:rsidRPr="00E138C3" w:rsidRDefault="00E138C3" w:rsidP="00E138C3">
            <w:pPr>
              <w:tabs>
                <w:tab w:val="left" w:pos="284"/>
              </w:tabs>
              <w:rPr>
                <w:rFonts w:ascii="Tahoma" w:hAnsi="Tahoma" w:cs="Tahoma"/>
                <w:bCs/>
                <w:iCs/>
                <w:sz w:val="22"/>
                <w:szCs w:val="22"/>
              </w:rPr>
            </w:pPr>
            <w:r w:rsidRPr="00E138C3">
              <w:rPr>
                <w:rFonts w:ascii="Tahoma" w:hAnsi="Tahoma" w:cs="Tahoma"/>
                <w:bCs/>
                <w:iCs/>
                <w:sz w:val="22"/>
                <w:szCs w:val="22"/>
              </w:rPr>
              <w:t>(для Карт в иностранных валютах не предусмотрено)</w:t>
            </w:r>
          </w:p>
        </w:tc>
        <w:tc>
          <w:tcPr>
            <w:tcW w:w="2896" w:type="pct"/>
            <w:gridSpan w:val="4"/>
            <w:shd w:val="clear" w:color="auto" w:fill="auto"/>
            <w:vAlign w:val="center"/>
          </w:tcPr>
          <w:p w14:paraId="25122EDF" w14:textId="77777777" w:rsidR="00E138C3" w:rsidRPr="00E138C3" w:rsidRDefault="00E138C3" w:rsidP="00E138C3">
            <w:pPr>
              <w:numPr>
                <w:ilvl w:val="0"/>
                <w:numId w:val="21"/>
              </w:numPr>
              <w:tabs>
                <w:tab w:val="left" w:pos="4889"/>
              </w:tabs>
              <w:spacing w:after="160" w:line="259" w:lineRule="auto"/>
              <w:ind w:left="364"/>
              <w:contextualSpacing/>
              <w:jc w:val="both"/>
              <w:rPr>
                <w:rFonts w:ascii="Tahoma" w:hAnsi="Tahoma" w:cs="Tahoma"/>
                <w:b/>
                <w:bCs/>
                <w:iCs/>
              </w:rPr>
            </w:pPr>
            <w:r w:rsidRPr="00E138C3">
              <w:rPr>
                <w:rFonts w:ascii="Tahoma" w:hAnsi="Tahoma" w:cs="Tahoma"/>
                <w:b/>
                <w:bCs/>
                <w:iCs/>
              </w:rPr>
              <w:t xml:space="preserve">переводы на Сайте Банка: </w:t>
            </w:r>
            <w:hyperlink r:id="rId115" w:history="1">
              <w:r w:rsidRPr="00E138C3">
                <w:rPr>
                  <w:rFonts w:ascii="Tahoma" w:hAnsi="Tahoma" w:cs="Tahoma"/>
                  <w:b/>
                  <w:bCs/>
                  <w:iCs/>
                  <w:color w:val="0563C1"/>
                  <w:u w:val="single"/>
                </w:rPr>
                <w:t>www.atb.su</w:t>
              </w:r>
            </w:hyperlink>
            <w:r w:rsidRPr="00E138C3">
              <w:rPr>
                <w:rFonts w:ascii="Tahoma" w:hAnsi="Tahoma" w:cs="Tahoma"/>
                <w:b/>
                <w:bCs/>
                <w:iCs/>
              </w:rPr>
              <w:t xml:space="preserve">, в каналах ДБО Банка: «АТБ-Онлайн», Мобильный банк, </w:t>
            </w:r>
            <w:r w:rsidRPr="00E138C3">
              <w:rPr>
                <w:rFonts w:ascii="Tahoma" w:hAnsi="Tahoma" w:cs="Tahoma"/>
                <w:b/>
                <w:iCs/>
              </w:rPr>
              <w:t>в банкоматах Банка</w:t>
            </w:r>
            <w:r w:rsidRPr="00E138C3">
              <w:rPr>
                <w:rFonts w:ascii="Tahoma" w:hAnsi="Tahoma" w:cs="Tahoma"/>
                <w:b/>
                <w:bCs/>
                <w:iCs/>
              </w:rPr>
              <w:t xml:space="preserve">: </w:t>
            </w:r>
          </w:p>
          <w:p w14:paraId="459CF4DC" w14:textId="77777777" w:rsidR="00E138C3" w:rsidRPr="00E138C3" w:rsidRDefault="00E138C3" w:rsidP="00E138C3">
            <w:pPr>
              <w:numPr>
                <w:ilvl w:val="0"/>
                <w:numId w:val="24"/>
              </w:numPr>
              <w:tabs>
                <w:tab w:val="left" w:pos="4889"/>
              </w:tabs>
              <w:spacing w:after="160" w:line="259" w:lineRule="auto"/>
              <w:contextualSpacing/>
              <w:jc w:val="both"/>
              <w:rPr>
                <w:rFonts w:ascii="Tahoma" w:hAnsi="Tahoma" w:cs="Tahoma"/>
                <w:bCs/>
                <w:iCs/>
              </w:rPr>
            </w:pPr>
            <w:r w:rsidRPr="00E138C3">
              <w:rPr>
                <w:rFonts w:ascii="Tahoma" w:hAnsi="Tahoma" w:cs="Tahoma"/>
                <w:bCs/>
                <w:iCs/>
              </w:rPr>
              <w:t xml:space="preserve">на карты российских банков-эмитентов: </w:t>
            </w:r>
            <w:r w:rsidRPr="00E138C3">
              <w:rPr>
                <w:rFonts w:ascii="Tahoma" w:hAnsi="Tahoma" w:cs="Tahoma"/>
                <w:b/>
                <w:bCs/>
                <w:iCs/>
              </w:rPr>
              <w:t>1,3%</w:t>
            </w:r>
            <w:r w:rsidRPr="00E138C3">
              <w:rPr>
                <w:rFonts w:ascii="Tahoma" w:hAnsi="Tahoma" w:cs="Tahoma"/>
                <w:bCs/>
                <w:iCs/>
              </w:rPr>
              <w:t xml:space="preserve"> от суммы перевода +30 рублей;</w:t>
            </w:r>
          </w:p>
          <w:p w14:paraId="316A64B7" w14:textId="77777777" w:rsidR="00E138C3" w:rsidRPr="00E138C3" w:rsidRDefault="00E138C3" w:rsidP="00E138C3">
            <w:pPr>
              <w:numPr>
                <w:ilvl w:val="0"/>
                <w:numId w:val="24"/>
              </w:numPr>
              <w:tabs>
                <w:tab w:val="left" w:pos="4889"/>
              </w:tabs>
              <w:spacing w:after="160" w:line="259" w:lineRule="auto"/>
              <w:contextualSpacing/>
              <w:jc w:val="both"/>
              <w:rPr>
                <w:rFonts w:ascii="Tahoma" w:hAnsi="Tahoma" w:cs="Tahoma"/>
                <w:bCs/>
                <w:iCs/>
              </w:rPr>
            </w:pPr>
            <w:r w:rsidRPr="00E138C3">
              <w:rPr>
                <w:rFonts w:ascii="Tahoma" w:hAnsi="Tahoma" w:cs="Tahoma"/>
                <w:bCs/>
                <w:iCs/>
              </w:rPr>
              <w:t xml:space="preserve">на карты иностранных банков-эмитентов: </w:t>
            </w:r>
            <w:r w:rsidRPr="00E138C3">
              <w:rPr>
                <w:rFonts w:ascii="Tahoma" w:hAnsi="Tahoma" w:cs="Tahoma"/>
                <w:b/>
                <w:bCs/>
                <w:iCs/>
              </w:rPr>
              <w:t>1,5%</w:t>
            </w:r>
            <w:r w:rsidRPr="00E138C3">
              <w:rPr>
                <w:rFonts w:ascii="Tahoma" w:hAnsi="Tahoma" w:cs="Tahoma"/>
                <w:bCs/>
                <w:iCs/>
              </w:rPr>
              <w:t xml:space="preserve"> от суммы перевода +150 рублей.</w:t>
            </w:r>
          </w:p>
          <w:p w14:paraId="59A698E5" w14:textId="77777777" w:rsidR="00E138C3" w:rsidRPr="00E138C3" w:rsidRDefault="00E138C3" w:rsidP="00E138C3">
            <w:pPr>
              <w:numPr>
                <w:ilvl w:val="0"/>
                <w:numId w:val="21"/>
              </w:numPr>
              <w:tabs>
                <w:tab w:val="left" w:pos="4889"/>
              </w:tabs>
              <w:spacing w:after="160" w:line="259" w:lineRule="auto"/>
              <w:ind w:left="364" w:hanging="364"/>
              <w:contextualSpacing/>
              <w:jc w:val="both"/>
              <w:rPr>
                <w:rFonts w:ascii="Tahoma" w:hAnsi="Tahoma" w:cs="Tahoma"/>
                <w:b/>
                <w:bCs/>
                <w:iCs/>
              </w:rPr>
            </w:pPr>
            <w:r w:rsidRPr="00E138C3">
              <w:rPr>
                <w:rFonts w:ascii="Tahoma" w:hAnsi="Tahoma" w:cs="Tahoma"/>
                <w:b/>
                <w:bCs/>
                <w:iCs/>
              </w:rPr>
              <w:t xml:space="preserve">в сервисах других банков (банкоматы, сайты и мобильные приложения банков): </w:t>
            </w:r>
          </w:p>
          <w:p w14:paraId="67446FEB" w14:textId="77777777" w:rsidR="00E138C3" w:rsidRPr="00E138C3" w:rsidRDefault="00E138C3" w:rsidP="00E138C3">
            <w:pPr>
              <w:numPr>
                <w:ilvl w:val="0"/>
                <w:numId w:val="24"/>
              </w:numPr>
              <w:tabs>
                <w:tab w:val="left" w:pos="4889"/>
              </w:tabs>
              <w:spacing w:after="160" w:line="259" w:lineRule="auto"/>
              <w:contextualSpacing/>
              <w:jc w:val="both"/>
              <w:rPr>
                <w:rFonts w:ascii="Tahoma" w:hAnsi="Tahoma" w:cs="Tahoma"/>
                <w:bCs/>
                <w:iCs/>
              </w:rPr>
            </w:pPr>
            <w:r w:rsidRPr="00E138C3">
              <w:rPr>
                <w:rFonts w:ascii="Tahoma" w:hAnsi="Tahoma" w:cs="Tahoma"/>
                <w:b/>
                <w:bCs/>
                <w:iCs/>
              </w:rPr>
              <w:t>1,3%</w:t>
            </w:r>
            <w:r w:rsidRPr="00E138C3">
              <w:rPr>
                <w:rFonts w:ascii="Tahoma" w:hAnsi="Tahoma" w:cs="Tahoma"/>
                <w:bCs/>
                <w:iCs/>
              </w:rPr>
              <w:t xml:space="preserve"> от суммы перевода +30 рублей (другой банк может взимать дополнительную комиссию согласно своих тарифов).</w:t>
            </w:r>
          </w:p>
        </w:tc>
      </w:tr>
      <w:tr w:rsidR="00E138C3" w:rsidRPr="00E138C3" w14:paraId="0C1213B3" w14:textId="77777777" w:rsidTr="00E138C3">
        <w:tc>
          <w:tcPr>
            <w:tcW w:w="410" w:type="pct"/>
            <w:shd w:val="clear" w:color="auto" w:fill="808080"/>
            <w:vAlign w:val="center"/>
          </w:tcPr>
          <w:p w14:paraId="09EA5B5A"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4.2.</w:t>
            </w:r>
          </w:p>
        </w:tc>
        <w:tc>
          <w:tcPr>
            <w:tcW w:w="4590" w:type="pct"/>
            <w:gridSpan w:val="5"/>
            <w:shd w:val="clear" w:color="auto" w:fill="808080"/>
            <w:vAlign w:val="center"/>
          </w:tcPr>
          <w:p w14:paraId="7EBF4DA1"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Совершение безналичных операций в ТСП</w:t>
            </w:r>
            <w:r w:rsidRPr="00E138C3">
              <w:rPr>
                <w:rFonts w:ascii="Tahoma" w:hAnsi="Tahoma" w:cs="Tahoma"/>
                <w:b/>
                <w:bCs/>
                <w:iCs/>
                <w:color w:val="FFFFFF"/>
                <w:sz w:val="22"/>
                <w:szCs w:val="22"/>
                <w:vertAlign w:val="superscript"/>
              </w:rPr>
              <w:t>15</w:t>
            </w:r>
            <w:r w:rsidRPr="00E138C3">
              <w:rPr>
                <w:rFonts w:ascii="Tahoma" w:hAnsi="Tahoma" w:cs="Tahoma"/>
                <w:b/>
                <w:bCs/>
                <w:iCs/>
                <w:color w:val="FFFFFF"/>
                <w:sz w:val="22"/>
                <w:szCs w:val="22"/>
              </w:rPr>
              <w:t xml:space="preserve"> и сети Интернет (оплата товаров, работ, услуг, результатов интеллектуальной деятельности)</w:t>
            </w:r>
            <w:r w:rsidRPr="00E138C3" w:rsidDel="00754919">
              <w:rPr>
                <w:rFonts w:ascii="Tahoma" w:hAnsi="Tahoma" w:cs="Tahoma"/>
                <w:b/>
                <w:bCs/>
                <w:iCs/>
                <w:color w:val="FFFFFF"/>
                <w:sz w:val="22"/>
                <w:szCs w:val="22"/>
              </w:rPr>
              <w:t xml:space="preserve"> </w:t>
            </w:r>
            <w:r w:rsidRPr="00E138C3">
              <w:rPr>
                <w:rFonts w:ascii="Tahoma" w:hAnsi="Tahoma" w:cs="Tahoma"/>
                <w:b/>
                <w:bCs/>
                <w:iCs/>
                <w:color w:val="FFFFFF"/>
                <w:sz w:val="22"/>
                <w:szCs w:val="22"/>
              </w:rPr>
              <w:t>Картой:</w:t>
            </w:r>
          </w:p>
        </w:tc>
      </w:tr>
      <w:tr w:rsidR="00E138C3" w:rsidRPr="00E138C3" w14:paraId="5B1A81E2" w14:textId="77777777" w:rsidTr="003D2438">
        <w:tc>
          <w:tcPr>
            <w:tcW w:w="410" w:type="pct"/>
            <w:shd w:val="clear" w:color="auto" w:fill="auto"/>
            <w:vAlign w:val="center"/>
          </w:tcPr>
          <w:p w14:paraId="2C8A7765"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4.2.1.</w:t>
            </w:r>
          </w:p>
        </w:tc>
        <w:tc>
          <w:tcPr>
            <w:tcW w:w="1694" w:type="pct"/>
            <w:shd w:val="clear" w:color="auto" w:fill="auto"/>
            <w:vAlign w:val="center"/>
          </w:tcPr>
          <w:p w14:paraId="57132E77" w14:textId="77777777" w:rsidR="00E138C3" w:rsidRPr="00E138C3" w:rsidRDefault="00E138C3" w:rsidP="00E138C3">
            <w:pPr>
              <w:tabs>
                <w:tab w:val="left" w:pos="284"/>
              </w:tabs>
              <w:rPr>
                <w:rFonts w:ascii="Tahoma" w:hAnsi="Tahoma" w:cs="Tahoma"/>
                <w:bCs/>
                <w:iCs/>
                <w:color w:val="000000"/>
                <w:sz w:val="22"/>
                <w:szCs w:val="22"/>
                <w:vertAlign w:val="superscript"/>
              </w:rPr>
            </w:pPr>
            <w:r w:rsidRPr="00E138C3">
              <w:rPr>
                <w:rFonts w:ascii="Tahoma" w:hAnsi="Tahoma" w:cs="Tahoma"/>
                <w:bCs/>
                <w:iCs/>
                <w:color w:val="000000"/>
                <w:sz w:val="22"/>
                <w:szCs w:val="22"/>
              </w:rPr>
              <w:t>безналичная оплата товаров, работ, услуг и результатов интеллектуальной деятельности в ТСП</w:t>
            </w:r>
          </w:p>
        </w:tc>
        <w:tc>
          <w:tcPr>
            <w:tcW w:w="2896" w:type="pct"/>
            <w:gridSpan w:val="4"/>
            <w:shd w:val="clear" w:color="auto" w:fill="auto"/>
            <w:vAlign w:val="center"/>
          </w:tcPr>
          <w:p w14:paraId="15EA5DBB" w14:textId="77777777" w:rsidR="00E138C3" w:rsidRPr="00E138C3" w:rsidRDefault="00E138C3" w:rsidP="00E138C3">
            <w:pPr>
              <w:tabs>
                <w:tab w:val="left" w:pos="284"/>
              </w:tabs>
              <w:jc w:val="center"/>
              <w:rPr>
                <w:rFonts w:ascii="Tahoma" w:hAnsi="Tahoma" w:cs="Tahoma"/>
                <w:b/>
                <w:bCs/>
                <w:iCs/>
                <w:color w:val="000000"/>
                <w:sz w:val="22"/>
                <w:szCs w:val="22"/>
              </w:rPr>
            </w:pPr>
            <w:r w:rsidRPr="00E138C3">
              <w:rPr>
                <w:rFonts w:ascii="Tahoma" w:hAnsi="Tahoma" w:cs="Tahoma"/>
                <w:b/>
                <w:bCs/>
                <w:iCs/>
                <w:color w:val="000000"/>
                <w:sz w:val="22"/>
                <w:szCs w:val="22"/>
              </w:rPr>
              <w:t>БЕСПЛАТНО</w:t>
            </w:r>
          </w:p>
        </w:tc>
      </w:tr>
      <w:tr w:rsidR="00E138C3" w:rsidRPr="00E138C3" w14:paraId="7E3DF7DD" w14:textId="77777777" w:rsidTr="003D2438">
        <w:tc>
          <w:tcPr>
            <w:tcW w:w="410" w:type="pct"/>
            <w:shd w:val="clear" w:color="auto" w:fill="auto"/>
            <w:vAlign w:val="center"/>
          </w:tcPr>
          <w:p w14:paraId="22F5A8B9"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4.2.2.</w:t>
            </w:r>
          </w:p>
        </w:tc>
        <w:tc>
          <w:tcPr>
            <w:tcW w:w="1694" w:type="pct"/>
            <w:shd w:val="clear" w:color="auto" w:fill="auto"/>
            <w:vAlign w:val="center"/>
          </w:tcPr>
          <w:p w14:paraId="45569115" w14:textId="77777777" w:rsidR="00E138C3" w:rsidRPr="00E138C3" w:rsidRDefault="00E138C3" w:rsidP="00E138C3">
            <w:pPr>
              <w:tabs>
                <w:tab w:val="left" w:pos="284"/>
              </w:tabs>
              <w:rPr>
                <w:rFonts w:ascii="Tahoma" w:hAnsi="Tahoma" w:cs="Tahoma"/>
                <w:bCs/>
                <w:iCs/>
                <w:sz w:val="22"/>
                <w:szCs w:val="22"/>
              </w:rPr>
            </w:pPr>
            <w:r w:rsidRPr="00E138C3">
              <w:rPr>
                <w:rFonts w:ascii="Tahoma" w:hAnsi="Tahoma" w:cs="Tahoma"/>
                <w:bCs/>
                <w:iCs/>
                <w:sz w:val="22"/>
                <w:szCs w:val="22"/>
              </w:rPr>
              <w:t>конверсия при совершении оплаты в ТСП</w:t>
            </w:r>
          </w:p>
        </w:tc>
        <w:tc>
          <w:tcPr>
            <w:tcW w:w="2896" w:type="pct"/>
            <w:gridSpan w:val="4"/>
            <w:shd w:val="clear" w:color="auto" w:fill="auto"/>
            <w:vAlign w:val="center"/>
          </w:tcPr>
          <w:p w14:paraId="25089E3C" w14:textId="77777777" w:rsidR="00E138C3" w:rsidRPr="00E138C3" w:rsidRDefault="00E138C3" w:rsidP="00E138C3">
            <w:pPr>
              <w:numPr>
                <w:ilvl w:val="0"/>
                <w:numId w:val="23"/>
              </w:numPr>
              <w:tabs>
                <w:tab w:val="left" w:pos="350"/>
              </w:tabs>
              <w:spacing w:after="160" w:line="259" w:lineRule="auto"/>
              <w:ind w:left="338"/>
              <w:contextualSpacing/>
              <w:jc w:val="both"/>
              <w:rPr>
                <w:rFonts w:ascii="Tahoma" w:hAnsi="Tahoma" w:cs="Tahoma"/>
                <w:b/>
                <w:bCs/>
                <w:iCs/>
              </w:rPr>
            </w:pPr>
            <w:r w:rsidRPr="00E138C3">
              <w:rPr>
                <w:rFonts w:ascii="Tahoma" w:hAnsi="Tahoma" w:cs="Tahoma"/>
                <w:b/>
                <w:bCs/>
                <w:iCs/>
              </w:rPr>
              <w:t>по курсу Банка на момент совершения операции</w:t>
            </w:r>
            <w:r w:rsidRPr="00E138C3">
              <w:rPr>
                <w:rFonts w:ascii="Tahoma" w:hAnsi="Tahoma" w:cs="Tahoma"/>
                <w:bCs/>
                <w:iCs/>
              </w:rPr>
              <w:t xml:space="preserve">: если валюта счета Карты Клиента отлична от валюты расчетов Банка с Платежной системой в этом регионе </w:t>
            </w:r>
            <w:r w:rsidRPr="00E138C3">
              <w:rPr>
                <w:rFonts w:ascii="Tahoma" w:hAnsi="Tahoma" w:cs="Tahoma"/>
                <w:bCs/>
                <w:i/>
                <w:iCs/>
              </w:rPr>
              <w:t>(валюта расчетов Банка с Платежной системой в этом регионе при этом идентична валюте совершения операции)</w:t>
            </w:r>
            <w:r w:rsidRPr="00E138C3">
              <w:rPr>
                <w:rFonts w:ascii="Tahoma" w:hAnsi="Tahoma" w:cs="Tahoma"/>
                <w:bCs/>
                <w:iCs/>
              </w:rPr>
              <w:t>;</w:t>
            </w:r>
          </w:p>
          <w:p w14:paraId="56AB21D6" w14:textId="77777777" w:rsidR="00E138C3" w:rsidRPr="00E138C3" w:rsidRDefault="00E138C3" w:rsidP="00E138C3">
            <w:pPr>
              <w:numPr>
                <w:ilvl w:val="0"/>
                <w:numId w:val="23"/>
              </w:numPr>
              <w:tabs>
                <w:tab w:val="left" w:pos="350"/>
              </w:tabs>
              <w:spacing w:after="160" w:line="259" w:lineRule="auto"/>
              <w:ind w:left="338"/>
              <w:contextualSpacing/>
              <w:jc w:val="both"/>
              <w:rPr>
                <w:rFonts w:ascii="Tahoma" w:hAnsi="Tahoma" w:cs="Tahoma"/>
                <w:b/>
                <w:bCs/>
                <w:iCs/>
              </w:rPr>
            </w:pPr>
            <w:r w:rsidRPr="00E138C3">
              <w:rPr>
                <w:rFonts w:ascii="Tahoma" w:hAnsi="Tahoma" w:cs="Tahoma"/>
                <w:b/>
                <w:bCs/>
                <w:iCs/>
              </w:rPr>
              <w:t>дополнительно применяются</w:t>
            </w:r>
            <w:r w:rsidRPr="00E138C3">
              <w:rPr>
                <w:rFonts w:ascii="Tahoma" w:hAnsi="Tahoma" w:cs="Tahoma"/>
                <w:bCs/>
                <w:iCs/>
              </w:rPr>
              <w:t xml:space="preserve"> </w:t>
            </w:r>
            <w:r w:rsidRPr="00E138C3">
              <w:rPr>
                <w:rFonts w:ascii="Tahoma" w:hAnsi="Tahoma" w:cs="Tahoma"/>
                <w:b/>
                <w:bCs/>
                <w:iCs/>
              </w:rPr>
              <w:t>курс и тарифы Платежной системы на момент проведения расчетов с Банком:</w:t>
            </w:r>
            <w:r w:rsidRPr="00E138C3">
              <w:rPr>
                <w:rFonts w:ascii="Tahoma" w:hAnsi="Tahoma" w:cs="Tahoma"/>
                <w:bCs/>
                <w:iCs/>
              </w:rPr>
              <w:t xml:space="preserve"> если валюта совершения операции – отлична от валюты расчетов Банка с Платежной системой, дополнительно к конверсии Платежная система применяет </w:t>
            </w:r>
            <w:r w:rsidRPr="00E138C3">
              <w:rPr>
                <w:rFonts w:ascii="Tahoma" w:hAnsi="Tahoma" w:cs="Tahoma"/>
                <w:b/>
                <w:bCs/>
                <w:iCs/>
              </w:rPr>
              <w:t>+2%</w:t>
            </w:r>
            <w:r w:rsidRPr="00E138C3">
              <w:rPr>
                <w:rFonts w:ascii="Tahoma" w:hAnsi="Tahoma" w:cs="Tahoma"/>
                <w:bCs/>
                <w:iCs/>
              </w:rPr>
              <w:t xml:space="preserve"> от суммы операции по курсу Банка</w:t>
            </w:r>
            <w:r w:rsidRPr="00E138C3" w:rsidDel="00770CE6">
              <w:rPr>
                <w:rFonts w:ascii="Tahoma" w:hAnsi="Tahoma" w:cs="Tahoma"/>
                <w:bCs/>
                <w:iCs/>
              </w:rPr>
              <w:t xml:space="preserve"> </w:t>
            </w:r>
            <w:r w:rsidRPr="00E138C3">
              <w:rPr>
                <w:rFonts w:ascii="Tahoma" w:hAnsi="Tahoma" w:cs="Tahoma"/>
                <w:bCs/>
                <w:iCs/>
              </w:rPr>
              <w:t xml:space="preserve">(для операций по Картам </w:t>
            </w:r>
            <w:r w:rsidRPr="00E138C3">
              <w:rPr>
                <w:rFonts w:ascii="Tahoma" w:hAnsi="Tahoma" w:cs="Tahoma"/>
                <w:bCs/>
                <w:iCs/>
                <w:lang w:val="en-US"/>
              </w:rPr>
              <w:t>Visa</w:t>
            </w:r>
            <w:r w:rsidRPr="00E138C3">
              <w:rPr>
                <w:rFonts w:ascii="Tahoma" w:hAnsi="Tahoma" w:cs="Tahoma"/>
                <w:bCs/>
                <w:iCs/>
              </w:rPr>
              <w:t xml:space="preserve"> и </w:t>
            </w:r>
            <w:r w:rsidRPr="00E138C3">
              <w:rPr>
                <w:rFonts w:ascii="Tahoma" w:hAnsi="Tahoma" w:cs="Tahoma"/>
                <w:bCs/>
                <w:iCs/>
                <w:lang w:val="en-US"/>
              </w:rPr>
              <w:t>UnionPay</w:t>
            </w:r>
            <w:r w:rsidRPr="00E138C3">
              <w:rPr>
                <w:rFonts w:ascii="Tahoma" w:hAnsi="Tahoma" w:cs="Tahoma"/>
                <w:bCs/>
                <w:iCs/>
              </w:rPr>
              <w:t xml:space="preserve">). </w:t>
            </w:r>
          </w:p>
        </w:tc>
      </w:tr>
      <w:tr w:rsidR="00E138C3" w:rsidRPr="00E138C3" w14:paraId="55DB6415" w14:textId="77777777" w:rsidTr="003D2438">
        <w:tc>
          <w:tcPr>
            <w:tcW w:w="410" w:type="pct"/>
            <w:shd w:val="clear" w:color="auto" w:fill="auto"/>
            <w:vAlign w:val="center"/>
          </w:tcPr>
          <w:p w14:paraId="2A5AD36C"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4.2.3.</w:t>
            </w:r>
          </w:p>
        </w:tc>
        <w:tc>
          <w:tcPr>
            <w:tcW w:w="1694" w:type="pct"/>
            <w:shd w:val="clear" w:color="auto" w:fill="auto"/>
            <w:vAlign w:val="center"/>
          </w:tcPr>
          <w:p w14:paraId="796D8CB4" w14:textId="77777777" w:rsidR="00E138C3" w:rsidRPr="00E138C3" w:rsidRDefault="00E138C3" w:rsidP="00E138C3">
            <w:pPr>
              <w:tabs>
                <w:tab w:val="left" w:pos="284"/>
              </w:tabs>
              <w:rPr>
                <w:rFonts w:ascii="Tahoma" w:hAnsi="Tahoma" w:cs="Tahoma"/>
                <w:bCs/>
                <w:iCs/>
                <w:sz w:val="22"/>
                <w:szCs w:val="22"/>
              </w:rPr>
            </w:pPr>
            <w:r w:rsidRPr="00E138C3">
              <w:rPr>
                <w:rFonts w:ascii="Tahoma" w:hAnsi="Tahoma" w:cs="Tahoma"/>
                <w:bCs/>
                <w:iCs/>
                <w:sz w:val="22"/>
                <w:szCs w:val="22"/>
              </w:rPr>
              <w:t>проведение «уникальных» транзакций: квази-кэш (оплата дорожных чеков, денежных обязательств), «игровые транзакции» (оплата лотерейных билетов, игровых фишек в казино) и пр.</w:t>
            </w:r>
            <w:r w:rsidRPr="00E138C3">
              <w:rPr>
                <w:rFonts w:ascii="Tahoma" w:hAnsi="Tahoma" w:cs="Tahoma"/>
                <w:bCs/>
                <w:iCs/>
                <w:sz w:val="22"/>
                <w:szCs w:val="22"/>
                <w:vertAlign w:val="superscript"/>
              </w:rPr>
              <w:t>16</w:t>
            </w:r>
          </w:p>
        </w:tc>
        <w:tc>
          <w:tcPr>
            <w:tcW w:w="2896" w:type="pct"/>
            <w:gridSpan w:val="4"/>
            <w:shd w:val="clear" w:color="auto" w:fill="auto"/>
            <w:vAlign w:val="center"/>
          </w:tcPr>
          <w:p w14:paraId="7ABBD79D" w14:textId="77777777" w:rsidR="00E138C3" w:rsidRPr="00E138C3" w:rsidRDefault="00E138C3" w:rsidP="00E138C3">
            <w:pPr>
              <w:tabs>
                <w:tab w:val="left" w:pos="284"/>
              </w:tabs>
              <w:jc w:val="center"/>
              <w:rPr>
                <w:rFonts w:ascii="Tahoma" w:hAnsi="Tahoma" w:cs="Tahoma"/>
                <w:bCs/>
                <w:iCs/>
                <w:sz w:val="22"/>
                <w:szCs w:val="22"/>
              </w:rPr>
            </w:pPr>
            <w:r w:rsidRPr="00E138C3">
              <w:rPr>
                <w:rFonts w:ascii="Tahoma" w:hAnsi="Tahoma" w:cs="Tahoma"/>
                <w:b/>
                <w:bCs/>
                <w:iCs/>
                <w:sz w:val="22"/>
                <w:szCs w:val="22"/>
              </w:rPr>
              <w:t>для Карт в рублях</w:t>
            </w:r>
            <w:r w:rsidRPr="00E138C3">
              <w:rPr>
                <w:rFonts w:ascii="Tahoma" w:hAnsi="Tahoma" w:cs="Tahoma"/>
                <w:bCs/>
                <w:iCs/>
                <w:sz w:val="22"/>
                <w:szCs w:val="22"/>
              </w:rPr>
              <w:t>: 4,9% от суммы операции +249 рублей;</w:t>
            </w:r>
          </w:p>
          <w:p w14:paraId="134B968D" w14:textId="77777777" w:rsidR="00E138C3" w:rsidRPr="00E138C3" w:rsidRDefault="00E138C3" w:rsidP="00E138C3">
            <w:pPr>
              <w:tabs>
                <w:tab w:val="left" w:pos="284"/>
              </w:tabs>
              <w:jc w:val="center"/>
              <w:rPr>
                <w:rFonts w:ascii="Tahoma" w:hAnsi="Tahoma" w:cs="Tahoma"/>
                <w:bCs/>
                <w:iCs/>
                <w:sz w:val="22"/>
                <w:szCs w:val="22"/>
              </w:rPr>
            </w:pPr>
            <w:r w:rsidRPr="00E138C3">
              <w:rPr>
                <w:rFonts w:ascii="Tahoma" w:hAnsi="Tahoma" w:cs="Tahoma"/>
                <w:b/>
                <w:bCs/>
                <w:iCs/>
                <w:sz w:val="22"/>
                <w:szCs w:val="22"/>
              </w:rPr>
              <w:t>для Карт в юанях</w:t>
            </w:r>
            <w:r w:rsidRPr="00E138C3">
              <w:rPr>
                <w:rFonts w:ascii="Tahoma" w:hAnsi="Tahoma" w:cs="Tahoma"/>
                <w:bCs/>
                <w:iCs/>
                <w:sz w:val="22"/>
                <w:szCs w:val="22"/>
              </w:rPr>
              <w:t>: 4,9% от суммы операции +20 юаней.</w:t>
            </w:r>
          </w:p>
        </w:tc>
      </w:tr>
      <w:tr w:rsidR="00E138C3" w:rsidRPr="00E138C3" w14:paraId="66C36023" w14:textId="77777777" w:rsidTr="00E138C3">
        <w:tc>
          <w:tcPr>
            <w:tcW w:w="410" w:type="pct"/>
            <w:shd w:val="clear" w:color="auto" w:fill="808080"/>
            <w:vAlign w:val="center"/>
          </w:tcPr>
          <w:p w14:paraId="5C9B50B2"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4.3.</w:t>
            </w:r>
          </w:p>
        </w:tc>
        <w:tc>
          <w:tcPr>
            <w:tcW w:w="4590" w:type="pct"/>
            <w:gridSpan w:val="5"/>
            <w:shd w:val="clear" w:color="auto" w:fill="808080"/>
            <w:vAlign w:val="center"/>
          </w:tcPr>
          <w:p w14:paraId="4D73990D"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Наличные операции по Карте в технических устройствах</w:t>
            </w:r>
          </w:p>
        </w:tc>
      </w:tr>
      <w:tr w:rsidR="00E138C3" w:rsidRPr="00E138C3" w14:paraId="1E2DA8FE" w14:textId="77777777" w:rsidTr="003D2438">
        <w:tc>
          <w:tcPr>
            <w:tcW w:w="410" w:type="pct"/>
            <w:shd w:val="clear" w:color="auto" w:fill="auto"/>
            <w:vAlign w:val="center"/>
          </w:tcPr>
          <w:p w14:paraId="704C0570"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4.3.1.</w:t>
            </w:r>
          </w:p>
        </w:tc>
        <w:tc>
          <w:tcPr>
            <w:tcW w:w="1694" w:type="pct"/>
            <w:shd w:val="clear" w:color="auto" w:fill="auto"/>
            <w:vAlign w:val="center"/>
          </w:tcPr>
          <w:p w14:paraId="2F799B04" w14:textId="77777777" w:rsidR="00E138C3" w:rsidRPr="00E138C3" w:rsidRDefault="00E138C3" w:rsidP="00E138C3">
            <w:pPr>
              <w:tabs>
                <w:tab w:val="left" w:pos="4873"/>
              </w:tabs>
              <w:rPr>
                <w:rFonts w:ascii="Tahoma" w:hAnsi="Tahoma" w:cs="Tahoma"/>
                <w:bCs/>
                <w:iCs/>
                <w:color w:val="000000"/>
                <w:sz w:val="22"/>
                <w:szCs w:val="22"/>
              </w:rPr>
            </w:pPr>
            <w:r w:rsidRPr="00E138C3">
              <w:rPr>
                <w:rFonts w:ascii="Tahoma" w:hAnsi="Tahoma" w:cs="Tahoma"/>
                <w:bCs/>
                <w:iCs/>
                <w:color w:val="000000"/>
                <w:sz w:val="22"/>
                <w:szCs w:val="22"/>
              </w:rPr>
              <w:t>взнос наличных в банкоматах, пунктах выдачи наличных Банка и ТСО, а также через розничные сети партнеров</w:t>
            </w:r>
            <w:r w:rsidRPr="00E138C3">
              <w:rPr>
                <w:rFonts w:ascii="Tahoma" w:hAnsi="Tahoma" w:cs="Tahoma"/>
                <w:bCs/>
                <w:iCs/>
                <w:sz w:val="22"/>
                <w:szCs w:val="22"/>
                <w:vertAlign w:val="superscript"/>
              </w:rPr>
              <w:t>17</w:t>
            </w:r>
          </w:p>
        </w:tc>
        <w:tc>
          <w:tcPr>
            <w:tcW w:w="2896" w:type="pct"/>
            <w:gridSpan w:val="4"/>
            <w:vMerge w:val="restart"/>
            <w:shd w:val="clear" w:color="auto" w:fill="auto"/>
            <w:vAlign w:val="center"/>
          </w:tcPr>
          <w:p w14:paraId="673CAFB5" w14:textId="77777777" w:rsidR="00E138C3" w:rsidRPr="00E138C3" w:rsidRDefault="00E138C3" w:rsidP="00E138C3">
            <w:pPr>
              <w:tabs>
                <w:tab w:val="left" w:pos="284"/>
              </w:tabs>
              <w:jc w:val="center"/>
              <w:rPr>
                <w:rFonts w:ascii="Tahoma" w:hAnsi="Tahoma" w:cs="Tahoma"/>
                <w:b/>
                <w:bCs/>
                <w:iCs/>
                <w:color w:val="000000"/>
                <w:sz w:val="22"/>
                <w:szCs w:val="22"/>
              </w:rPr>
            </w:pPr>
            <w:r w:rsidRPr="00E138C3">
              <w:rPr>
                <w:rFonts w:ascii="Tahoma" w:hAnsi="Tahoma" w:cs="Tahoma"/>
                <w:b/>
                <w:bCs/>
                <w:iCs/>
                <w:color w:val="000000"/>
                <w:sz w:val="22"/>
                <w:szCs w:val="22"/>
              </w:rPr>
              <w:t>БЕСПЛАТНО</w:t>
            </w:r>
          </w:p>
        </w:tc>
      </w:tr>
      <w:tr w:rsidR="00E138C3" w:rsidRPr="00E138C3" w14:paraId="063417A5" w14:textId="77777777" w:rsidTr="003D2438">
        <w:tc>
          <w:tcPr>
            <w:tcW w:w="410" w:type="pct"/>
            <w:shd w:val="clear" w:color="auto" w:fill="auto"/>
            <w:vAlign w:val="center"/>
          </w:tcPr>
          <w:p w14:paraId="58B8E3E0"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4.3.2.</w:t>
            </w:r>
          </w:p>
        </w:tc>
        <w:tc>
          <w:tcPr>
            <w:tcW w:w="1694" w:type="pct"/>
            <w:shd w:val="clear" w:color="auto" w:fill="auto"/>
            <w:vAlign w:val="center"/>
          </w:tcPr>
          <w:p w14:paraId="480AECC7" w14:textId="77777777" w:rsidR="00E138C3" w:rsidRPr="00E138C3" w:rsidRDefault="00E138C3" w:rsidP="00E138C3">
            <w:pPr>
              <w:tabs>
                <w:tab w:val="left" w:pos="4873"/>
              </w:tabs>
              <w:rPr>
                <w:rFonts w:ascii="Tahoma" w:hAnsi="Tahoma" w:cs="Tahoma"/>
                <w:bCs/>
                <w:iCs/>
                <w:color w:val="000000"/>
                <w:sz w:val="22"/>
                <w:szCs w:val="22"/>
              </w:rPr>
            </w:pPr>
            <w:r w:rsidRPr="00E138C3">
              <w:rPr>
                <w:rFonts w:ascii="Tahoma" w:hAnsi="Tahoma" w:cs="Tahoma"/>
                <w:bCs/>
                <w:iCs/>
                <w:color w:val="000000"/>
                <w:sz w:val="22"/>
                <w:szCs w:val="22"/>
              </w:rPr>
              <w:t>выдача наличных в банкоматах и пунктах выдачи наличных Банка, других банков</w:t>
            </w:r>
            <w:r w:rsidRPr="00E138C3">
              <w:rPr>
                <w:rFonts w:ascii="Tahoma" w:hAnsi="Tahoma" w:cs="Tahoma"/>
                <w:bCs/>
                <w:iCs/>
                <w:sz w:val="22"/>
                <w:szCs w:val="22"/>
                <w:vertAlign w:val="superscript"/>
              </w:rPr>
              <w:t>17</w:t>
            </w:r>
          </w:p>
        </w:tc>
        <w:tc>
          <w:tcPr>
            <w:tcW w:w="2896" w:type="pct"/>
            <w:gridSpan w:val="4"/>
            <w:vMerge/>
            <w:shd w:val="clear" w:color="auto" w:fill="auto"/>
            <w:vAlign w:val="center"/>
          </w:tcPr>
          <w:p w14:paraId="662A776A" w14:textId="77777777" w:rsidR="00E138C3" w:rsidRPr="00E138C3" w:rsidRDefault="00E138C3" w:rsidP="00E138C3">
            <w:pPr>
              <w:tabs>
                <w:tab w:val="left" w:pos="284"/>
              </w:tabs>
              <w:jc w:val="center"/>
              <w:rPr>
                <w:rFonts w:ascii="Tahoma" w:hAnsi="Tahoma" w:cs="Tahoma"/>
                <w:b/>
                <w:bCs/>
                <w:iCs/>
                <w:color w:val="000000"/>
                <w:sz w:val="22"/>
                <w:szCs w:val="22"/>
              </w:rPr>
            </w:pPr>
          </w:p>
        </w:tc>
      </w:tr>
      <w:tr w:rsidR="00E138C3" w:rsidRPr="00E138C3" w14:paraId="31B0A566" w14:textId="77777777" w:rsidTr="003D2438">
        <w:tc>
          <w:tcPr>
            <w:tcW w:w="410" w:type="pct"/>
            <w:shd w:val="clear" w:color="auto" w:fill="auto"/>
            <w:vAlign w:val="center"/>
          </w:tcPr>
          <w:p w14:paraId="177BCB44"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4.3.3.</w:t>
            </w:r>
          </w:p>
        </w:tc>
        <w:tc>
          <w:tcPr>
            <w:tcW w:w="1694" w:type="pct"/>
            <w:shd w:val="clear" w:color="auto" w:fill="auto"/>
            <w:vAlign w:val="center"/>
          </w:tcPr>
          <w:p w14:paraId="0331BDA2" w14:textId="77777777" w:rsidR="00E138C3" w:rsidRPr="00E138C3" w:rsidRDefault="00E138C3" w:rsidP="00E138C3">
            <w:pPr>
              <w:tabs>
                <w:tab w:val="left" w:pos="4873"/>
              </w:tabs>
              <w:rPr>
                <w:rFonts w:ascii="Tahoma" w:hAnsi="Tahoma" w:cs="Tahoma"/>
                <w:bCs/>
                <w:iCs/>
                <w:color w:val="000000"/>
                <w:sz w:val="22"/>
                <w:szCs w:val="22"/>
              </w:rPr>
            </w:pPr>
            <w:r w:rsidRPr="00E138C3">
              <w:rPr>
                <w:rFonts w:ascii="Tahoma" w:hAnsi="Tahoma" w:cs="Tahoma"/>
                <w:bCs/>
                <w:iCs/>
                <w:color w:val="000000"/>
                <w:sz w:val="22"/>
                <w:szCs w:val="22"/>
              </w:rPr>
              <w:t>выдача наличных денежных средств с использованием Карты с учетом лимитов совершения операций в ТСП</w:t>
            </w:r>
            <w:r w:rsidRPr="00E138C3">
              <w:rPr>
                <w:rFonts w:ascii="Tahoma" w:hAnsi="Tahoma" w:cs="Tahoma"/>
                <w:bCs/>
                <w:iCs/>
                <w:sz w:val="22"/>
                <w:szCs w:val="22"/>
                <w:vertAlign w:val="superscript"/>
              </w:rPr>
              <w:t>18</w:t>
            </w:r>
            <w:r w:rsidRPr="00E138C3">
              <w:rPr>
                <w:rFonts w:ascii="Tahoma" w:hAnsi="Tahoma" w:cs="Tahoma"/>
                <w:bCs/>
                <w:iCs/>
                <w:color w:val="000000"/>
                <w:sz w:val="22"/>
                <w:szCs w:val="22"/>
              </w:rPr>
              <w:t>, предоставляющих услугу выдачи наличных денежных средств при совершении покупки на территории РФ</w:t>
            </w:r>
          </w:p>
        </w:tc>
        <w:tc>
          <w:tcPr>
            <w:tcW w:w="2896" w:type="pct"/>
            <w:gridSpan w:val="4"/>
            <w:vMerge/>
            <w:shd w:val="clear" w:color="auto" w:fill="auto"/>
            <w:vAlign w:val="center"/>
          </w:tcPr>
          <w:p w14:paraId="26449FBC" w14:textId="77777777" w:rsidR="00E138C3" w:rsidRPr="00E138C3" w:rsidRDefault="00E138C3" w:rsidP="00E138C3">
            <w:pPr>
              <w:tabs>
                <w:tab w:val="left" w:pos="284"/>
              </w:tabs>
              <w:jc w:val="center"/>
              <w:rPr>
                <w:rFonts w:ascii="Tahoma" w:hAnsi="Tahoma" w:cs="Tahoma"/>
                <w:b/>
                <w:bCs/>
                <w:iCs/>
                <w:color w:val="000000"/>
                <w:sz w:val="22"/>
                <w:szCs w:val="22"/>
              </w:rPr>
            </w:pPr>
          </w:p>
        </w:tc>
      </w:tr>
      <w:tr w:rsidR="00E138C3" w:rsidRPr="00E138C3" w14:paraId="09AD2F37" w14:textId="77777777" w:rsidTr="003D2438">
        <w:tc>
          <w:tcPr>
            <w:tcW w:w="410" w:type="pct"/>
            <w:shd w:val="clear" w:color="auto" w:fill="auto"/>
            <w:vAlign w:val="center"/>
          </w:tcPr>
          <w:p w14:paraId="60C60A14"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4.3.4.</w:t>
            </w:r>
          </w:p>
        </w:tc>
        <w:tc>
          <w:tcPr>
            <w:tcW w:w="1694" w:type="pct"/>
            <w:shd w:val="clear" w:color="auto" w:fill="auto"/>
            <w:vAlign w:val="center"/>
          </w:tcPr>
          <w:p w14:paraId="287D7ACF"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ежедневный лимит выдачи наличных в банкоматах любых банков (в том числе Банка)</w:t>
            </w:r>
            <w:r w:rsidRPr="00E138C3">
              <w:rPr>
                <w:rFonts w:ascii="Tahoma" w:hAnsi="Tahoma" w:cs="Tahoma"/>
                <w:bCs/>
                <w:iCs/>
                <w:sz w:val="22"/>
                <w:szCs w:val="22"/>
                <w:vertAlign w:val="superscript"/>
              </w:rPr>
              <w:t>19</w:t>
            </w:r>
          </w:p>
        </w:tc>
        <w:tc>
          <w:tcPr>
            <w:tcW w:w="2896" w:type="pct"/>
            <w:gridSpan w:val="4"/>
            <w:shd w:val="clear" w:color="auto" w:fill="auto"/>
            <w:vAlign w:val="center"/>
          </w:tcPr>
          <w:p w14:paraId="70DD0CFF" w14:textId="77777777" w:rsidR="00E138C3" w:rsidRPr="00E138C3" w:rsidRDefault="00E138C3" w:rsidP="00E138C3">
            <w:pPr>
              <w:tabs>
                <w:tab w:val="left" w:pos="284"/>
              </w:tabs>
              <w:jc w:val="center"/>
              <w:rPr>
                <w:rFonts w:ascii="Tahoma" w:hAnsi="Tahoma" w:cs="Tahoma"/>
                <w:bCs/>
                <w:iCs/>
                <w:sz w:val="22"/>
                <w:szCs w:val="22"/>
              </w:rPr>
            </w:pPr>
            <w:r w:rsidRPr="00E138C3">
              <w:rPr>
                <w:rFonts w:ascii="Tahoma" w:hAnsi="Tahoma" w:cs="Tahoma"/>
                <w:bCs/>
                <w:iCs/>
                <w:sz w:val="22"/>
                <w:szCs w:val="22"/>
              </w:rPr>
              <w:t>500 000 рублей/</w:t>
            </w:r>
          </w:p>
          <w:p w14:paraId="6B487C82" w14:textId="77777777" w:rsidR="00E138C3" w:rsidRPr="00E138C3" w:rsidRDefault="00E138C3" w:rsidP="00E138C3">
            <w:pPr>
              <w:tabs>
                <w:tab w:val="left" w:pos="284"/>
              </w:tabs>
              <w:jc w:val="center"/>
              <w:rPr>
                <w:rFonts w:ascii="Tahoma" w:hAnsi="Tahoma" w:cs="Tahoma"/>
                <w:bCs/>
                <w:iCs/>
                <w:sz w:val="22"/>
                <w:szCs w:val="22"/>
              </w:rPr>
            </w:pPr>
            <w:r w:rsidRPr="00E138C3">
              <w:rPr>
                <w:rFonts w:ascii="Tahoma" w:hAnsi="Tahoma" w:cs="Tahoma"/>
                <w:bCs/>
                <w:iCs/>
                <w:sz w:val="22"/>
                <w:szCs w:val="22"/>
              </w:rPr>
              <w:t>8 000 долларов США/Евро/</w:t>
            </w:r>
          </w:p>
          <w:p w14:paraId="56DD7A64" w14:textId="77777777" w:rsidR="00E138C3" w:rsidRPr="00E138C3" w:rsidRDefault="00E138C3" w:rsidP="00E138C3">
            <w:pPr>
              <w:tabs>
                <w:tab w:val="left" w:pos="284"/>
              </w:tabs>
              <w:jc w:val="center"/>
              <w:rPr>
                <w:rFonts w:ascii="Tahoma" w:hAnsi="Tahoma" w:cs="Tahoma"/>
                <w:bCs/>
                <w:iCs/>
                <w:sz w:val="22"/>
                <w:szCs w:val="22"/>
              </w:rPr>
            </w:pPr>
            <w:r w:rsidRPr="00E138C3">
              <w:rPr>
                <w:rFonts w:ascii="Tahoma" w:hAnsi="Tahoma" w:cs="Tahoma"/>
                <w:bCs/>
                <w:iCs/>
                <w:sz w:val="22"/>
                <w:szCs w:val="22"/>
              </w:rPr>
              <w:t>40 000 юаней</w:t>
            </w:r>
            <w:r w:rsidRPr="00E138C3">
              <w:rPr>
                <w:rFonts w:ascii="Tahoma" w:hAnsi="Tahoma" w:cs="Tahoma"/>
                <w:bCs/>
                <w:iCs/>
                <w:sz w:val="22"/>
                <w:szCs w:val="22"/>
                <w:vertAlign w:val="superscript"/>
              </w:rPr>
              <w:t>24</w:t>
            </w:r>
          </w:p>
        </w:tc>
      </w:tr>
      <w:tr w:rsidR="00E138C3" w:rsidRPr="00E138C3" w14:paraId="225472F7" w14:textId="77777777" w:rsidTr="003D2438">
        <w:tc>
          <w:tcPr>
            <w:tcW w:w="410" w:type="pct"/>
            <w:shd w:val="clear" w:color="auto" w:fill="auto"/>
            <w:vAlign w:val="center"/>
          </w:tcPr>
          <w:p w14:paraId="53F8FF23" w14:textId="77777777" w:rsidR="00E138C3" w:rsidRPr="00E138C3" w:rsidRDefault="00E138C3" w:rsidP="00E138C3">
            <w:pPr>
              <w:spacing w:after="160" w:line="259" w:lineRule="auto"/>
              <w:rPr>
                <w:rFonts w:ascii="Calibri" w:eastAsia="Calibri" w:hAnsi="Calibri"/>
                <w:sz w:val="22"/>
                <w:szCs w:val="22"/>
                <w:lang w:eastAsia="en-US"/>
              </w:rPr>
            </w:pPr>
            <w:r w:rsidRPr="00E138C3">
              <w:rPr>
                <w:rFonts w:ascii="Tahoma" w:hAnsi="Tahoma" w:cs="Tahoma"/>
                <w:bCs/>
                <w:iCs/>
                <w:color w:val="000000"/>
                <w:sz w:val="22"/>
                <w:szCs w:val="22"/>
              </w:rPr>
              <w:t>4.3.5.</w:t>
            </w:r>
          </w:p>
        </w:tc>
        <w:tc>
          <w:tcPr>
            <w:tcW w:w="1694" w:type="pct"/>
            <w:shd w:val="clear" w:color="auto" w:fill="auto"/>
            <w:vAlign w:val="center"/>
          </w:tcPr>
          <w:p w14:paraId="1260B75C"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ежемесячный лимит выдачи наличных в банкоматах и пунктах выдачи наличных любых банков (в том числе Банка)</w:t>
            </w:r>
            <w:r w:rsidRPr="00E138C3">
              <w:rPr>
                <w:rFonts w:ascii="Tahoma" w:hAnsi="Tahoma" w:cs="Tahoma"/>
                <w:bCs/>
                <w:iCs/>
                <w:sz w:val="22"/>
                <w:szCs w:val="22"/>
                <w:vertAlign w:val="superscript"/>
              </w:rPr>
              <w:t>19</w:t>
            </w:r>
          </w:p>
        </w:tc>
        <w:tc>
          <w:tcPr>
            <w:tcW w:w="2896" w:type="pct"/>
            <w:gridSpan w:val="4"/>
            <w:shd w:val="clear" w:color="auto" w:fill="auto"/>
            <w:vAlign w:val="center"/>
          </w:tcPr>
          <w:p w14:paraId="23670F81" w14:textId="77777777" w:rsidR="00E138C3" w:rsidRPr="00E138C3" w:rsidRDefault="00E138C3" w:rsidP="00E138C3">
            <w:pPr>
              <w:tabs>
                <w:tab w:val="left" w:pos="284"/>
              </w:tabs>
              <w:jc w:val="center"/>
              <w:rPr>
                <w:rFonts w:ascii="Tahoma" w:hAnsi="Tahoma" w:cs="Tahoma"/>
                <w:bCs/>
                <w:iCs/>
                <w:sz w:val="22"/>
                <w:szCs w:val="22"/>
              </w:rPr>
            </w:pPr>
            <w:r w:rsidRPr="00E138C3">
              <w:rPr>
                <w:rFonts w:ascii="Tahoma" w:hAnsi="Tahoma" w:cs="Tahoma"/>
                <w:bCs/>
                <w:iCs/>
                <w:sz w:val="22"/>
                <w:szCs w:val="22"/>
              </w:rPr>
              <w:t>1 500 000 рублей/</w:t>
            </w:r>
          </w:p>
          <w:p w14:paraId="43CA7B7D" w14:textId="77777777" w:rsidR="00E138C3" w:rsidRPr="00E138C3" w:rsidRDefault="00E138C3" w:rsidP="00E138C3">
            <w:pPr>
              <w:tabs>
                <w:tab w:val="left" w:pos="284"/>
              </w:tabs>
              <w:jc w:val="center"/>
              <w:rPr>
                <w:rFonts w:ascii="Tahoma" w:hAnsi="Tahoma" w:cs="Tahoma"/>
                <w:bCs/>
                <w:iCs/>
                <w:sz w:val="22"/>
                <w:szCs w:val="22"/>
              </w:rPr>
            </w:pPr>
            <w:r w:rsidRPr="00E138C3">
              <w:rPr>
                <w:rFonts w:ascii="Tahoma" w:hAnsi="Tahoma" w:cs="Tahoma"/>
                <w:bCs/>
                <w:iCs/>
                <w:sz w:val="22"/>
                <w:szCs w:val="22"/>
              </w:rPr>
              <w:t>15 000 долларов США/Евро/</w:t>
            </w:r>
          </w:p>
          <w:p w14:paraId="49F04A05" w14:textId="77777777" w:rsidR="00E138C3" w:rsidRPr="00E138C3" w:rsidRDefault="00E138C3" w:rsidP="00E138C3">
            <w:pPr>
              <w:tabs>
                <w:tab w:val="left" w:pos="284"/>
              </w:tabs>
              <w:jc w:val="center"/>
              <w:rPr>
                <w:rFonts w:ascii="Tahoma" w:hAnsi="Tahoma" w:cs="Tahoma"/>
                <w:bCs/>
                <w:iCs/>
                <w:sz w:val="22"/>
                <w:szCs w:val="22"/>
              </w:rPr>
            </w:pPr>
            <w:r w:rsidRPr="00E138C3">
              <w:rPr>
                <w:rFonts w:ascii="Tahoma" w:hAnsi="Tahoma" w:cs="Tahoma"/>
                <w:bCs/>
                <w:iCs/>
                <w:sz w:val="22"/>
                <w:szCs w:val="22"/>
              </w:rPr>
              <w:t>115 000 юаней</w:t>
            </w:r>
            <w:r w:rsidRPr="00E138C3">
              <w:rPr>
                <w:rFonts w:ascii="Tahoma" w:hAnsi="Tahoma" w:cs="Tahoma"/>
                <w:bCs/>
                <w:iCs/>
                <w:sz w:val="22"/>
                <w:szCs w:val="22"/>
                <w:vertAlign w:val="superscript"/>
              </w:rPr>
              <w:t>24</w:t>
            </w:r>
          </w:p>
        </w:tc>
      </w:tr>
      <w:tr w:rsidR="00E138C3" w:rsidRPr="00E138C3" w14:paraId="2D2C440D" w14:textId="77777777" w:rsidTr="003D2438">
        <w:tc>
          <w:tcPr>
            <w:tcW w:w="410" w:type="pct"/>
            <w:shd w:val="clear" w:color="auto" w:fill="auto"/>
            <w:vAlign w:val="center"/>
          </w:tcPr>
          <w:p w14:paraId="1CCB3CB5" w14:textId="77777777" w:rsidR="00E138C3" w:rsidRPr="00E138C3" w:rsidRDefault="00E138C3" w:rsidP="00E138C3">
            <w:pPr>
              <w:spacing w:after="160" w:line="259" w:lineRule="auto"/>
              <w:rPr>
                <w:rFonts w:ascii="Tahoma" w:hAnsi="Tahoma" w:cs="Tahoma"/>
                <w:bCs/>
                <w:iCs/>
                <w:color w:val="000000"/>
                <w:sz w:val="22"/>
                <w:szCs w:val="22"/>
              </w:rPr>
            </w:pPr>
            <w:r w:rsidRPr="00E138C3">
              <w:rPr>
                <w:rFonts w:ascii="Tahoma" w:hAnsi="Tahoma" w:cs="Tahoma"/>
                <w:bCs/>
                <w:iCs/>
                <w:color w:val="000000"/>
                <w:sz w:val="22"/>
                <w:szCs w:val="22"/>
              </w:rPr>
              <w:t>4.3.6.</w:t>
            </w:r>
          </w:p>
        </w:tc>
        <w:tc>
          <w:tcPr>
            <w:tcW w:w="1694" w:type="pct"/>
            <w:shd w:val="clear" w:color="auto" w:fill="auto"/>
            <w:vAlign w:val="center"/>
          </w:tcPr>
          <w:p w14:paraId="3BE4B077"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sz w:val="22"/>
                <w:szCs w:val="22"/>
              </w:rPr>
              <w:t>ежедневный лимит снятия наличных в ТСП, предоставляющих услугу выдачи наличных денежных средств при совершении покупки (включительно от 00 ч. до 24 ч. Московского времени)</w:t>
            </w:r>
            <w:r w:rsidRPr="00E138C3">
              <w:rPr>
                <w:rFonts w:ascii="Tahoma" w:hAnsi="Tahoma" w:cs="Tahoma"/>
                <w:sz w:val="22"/>
                <w:szCs w:val="22"/>
                <w:vertAlign w:val="superscript"/>
              </w:rPr>
              <w:t xml:space="preserve">17,18 </w:t>
            </w:r>
            <w:r w:rsidRPr="00E138C3">
              <w:rPr>
                <w:rFonts w:ascii="Tahoma" w:hAnsi="Tahoma" w:cs="Tahoma"/>
                <w:sz w:val="22"/>
                <w:szCs w:val="22"/>
              </w:rPr>
              <w:t>с одного Счета Карты Клиента</w:t>
            </w:r>
          </w:p>
        </w:tc>
        <w:tc>
          <w:tcPr>
            <w:tcW w:w="2896" w:type="pct"/>
            <w:gridSpan w:val="4"/>
            <w:shd w:val="clear" w:color="auto" w:fill="auto"/>
            <w:vAlign w:val="center"/>
          </w:tcPr>
          <w:p w14:paraId="4F528E5C" w14:textId="77777777" w:rsidR="00E138C3" w:rsidRPr="00E138C3" w:rsidRDefault="00E138C3" w:rsidP="00E138C3">
            <w:pPr>
              <w:tabs>
                <w:tab w:val="left" w:pos="284"/>
              </w:tabs>
              <w:jc w:val="center"/>
              <w:rPr>
                <w:rFonts w:ascii="Tahoma" w:hAnsi="Tahoma" w:cs="Tahoma"/>
                <w:bCs/>
                <w:iCs/>
                <w:sz w:val="22"/>
                <w:szCs w:val="22"/>
              </w:rPr>
            </w:pPr>
            <w:r w:rsidRPr="00E138C3">
              <w:rPr>
                <w:rFonts w:ascii="Tahoma" w:hAnsi="Tahoma" w:cs="Tahoma"/>
                <w:bCs/>
                <w:iCs/>
                <w:sz w:val="22"/>
                <w:szCs w:val="22"/>
              </w:rPr>
              <w:t>5 000 рублей</w:t>
            </w:r>
          </w:p>
        </w:tc>
      </w:tr>
      <w:tr w:rsidR="00E138C3" w:rsidRPr="00E138C3" w14:paraId="18D22889" w14:textId="77777777" w:rsidTr="003D2438">
        <w:trPr>
          <w:trHeight w:val="905"/>
        </w:trPr>
        <w:tc>
          <w:tcPr>
            <w:tcW w:w="410" w:type="pct"/>
            <w:shd w:val="clear" w:color="auto" w:fill="auto"/>
            <w:vAlign w:val="center"/>
          </w:tcPr>
          <w:p w14:paraId="163B7E64" w14:textId="77777777" w:rsidR="00E138C3" w:rsidRPr="00E138C3" w:rsidRDefault="00E138C3" w:rsidP="00E138C3">
            <w:pPr>
              <w:spacing w:after="160" w:line="259" w:lineRule="auto"/>
              <w:rPr>
                <w:rFonts w:ascii="Tahoma" w:hAnsi="Tahoma" w:cs="Tahoma"/>
                <w:bCs/>
                <w:iCs/>
                <w:color w:val="000000"/>
                <w:sz w:val="22"/>
                <w:szCs w:val="22"/>
              </w:rPr>
            </w:pPr>
            <w:r w:rsidRPr="00E138C3">
              <w:rPr>
                <w:rFonts w:ascii="Tahoma" w:hAnsi="Tahoma" w:cs="Tahoma"/>
                <w:bCs/>
                <w:iCs/>
                <w:color w:val="000000"/>
                <w:sz w:val="22"/>
                <w:szCs w:val="22"/>
              </w:rPr>
              <w:t>4.3.7.</w:t>
            </w:r>
          </w:p>
        </w:tc>
        <w:tc>
          <w:tcPr>
            <w:tcW w:w="1694" w:type="pct"/>
            <w:shd w:val="clear" w:color="auto" w:fill="auto"/>
            <w:vAlign w:val="center"/>
          </w:tcPr>
          <w:p w14:paraId="036C89BD"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sz w:val="22"/>
                <w:szCs w:val="22"/>
              </w:rPr>
              <w:t>ежемесячный лимит снятия наличных в ТСП, предоставляющих услугу выдачи наличных денежных средств при совершении покупки (включительно от 00 ч. до 24 ч. Московского времени)</w:t>
            </w:r>
            <w:r w:rsidRPr="00E138C3">
              <w:rPr>
                <w:rFonts w:ascii="Tahoma" w:hAnsi="Tahoma" w:cs="Tahoma"/>
                <w:sz w:val="22"/>
                <w:szCs w:val="22"/>
                <w:vertAlign w:val="superscript"/>
              </w:rPr>
              <w:t xml:space="preserve"> 17,18</w:t>
            </w:r>
            <w:r w:rsidRPr="00E138C3">
              <w:rPr>
                <w:rFonts w:ascii="Tahoma" w:hAnsi="Tahoma" w:cs="Tahoma"/>
                <w:sz w:val="22"/>
                <w:szCs w:val="22"/>
              </w:rPr>
              <w:t xml:space="preserve"> с одного Счета Карты Клиента</w:t>
            </w:r>
          </w:p>
        </w:tc>
        <w:tc>
          <w:tcPr>
            <w:tcW w:w="2896" w:type="pct"/>
            <w:gridSpan w:val="4"/>
            <w:shd w:val="clear" w:color="auto" w:fill="auto"/>
            <w:vAlign w:val="center"/>
          </w:tcPr>
          <w:p w14:paraId="75ECCF1B" w14:textId="77777777" w:rsidR="00E138C3" w:rsidRPr="00E138C3" w:rsidRDefault="00E138C3" w:rsidP="00E138C3">
            <w:pPr>
              <w:tabs>
                <w:tab w:val="left" w:pos="284"/>
              </w:tabs>
              <w:jc w:val="center"/>
              <w:rPr>
                <w:rFonts w:ascii="Tahoma" w:hAnsi="Tahoma" w:cs="Tahoma"/>
                <w:bCs/>
                <w:iCs/>
                <w:sz w:val="22"/>
                <w:szCs w:val="22"/>
              </w:rPr>
            </w:pPr>
            <w:r w:rsidRPr="00E138C3">
              <w:rPr>
                <w:rFonts w:ascii="Tahoma" w:hAnsi="Tahoma" w:cs="Tahoma"/>
                <w:bCs/>
                <w:iCs/>
                <w:sz w:val="22"/>
                <w:szCs w:val="22"/>
              </w:rPr>
              <w:t>30 000 рублей</w:t>
            </w:r>
          </w:p>
        </w:tc>
      </w:tr>
      <w:tr w:rsidR="00E138C3" w:rsidRPr="00E138C3" w14:paraId="37D43BB8" w14:textId="77777777" w:rsidTr="00E138C3">
        <w:tc>
          <w:tcPr>
            <w:tcW w:w="410" w:type="pct"/>
            <w:shd w:val="clear" w:color="auto" w:fill="808080"/>
            <w:vAlign w:val="center"/>
          </w:tcPr>
          <w:p w14:paraId="5169CEA2"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4.4.</w:t>
            </w:r>
          </w:p>
        </w:tc>
        <w:tc>
          <w:tcPr>
            <w:tcW w:w="4590" w:type="pct"/>
            <w:gridSpan w:val="5"/>
            <w:shd w:val="clear" w:color="auto" w:fill="808080"/>
            <w:vAlign w:val="center"/>
          </w:tcPr>
          <w:p w14:paraId="632905E6"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 xml:space="preserve">Наличные операции в кассе Банка </w:t>
            </w:r>
            <w:r w:rsidRPr="00E138C3">
              <w:rPr>
                <w:rFonts w:ascii="Tahoma" w:hAnsi="Tahoma" w:cs="Tahoma"/>
                <w:bCs/>
                <w:iCs/>
                <w:color w:val="FFFFFF"/>
                <w:sz w:val="22"/>
                <w:szCs w:val="22"/>
              </w:rPr>
              <w:t>(по Счетам Карт и Накопительным счетам):</w:t>
            </w:r>
          </w:p>
        </w:tc>
      </w:tr>
      <w:tr w:rsidR="00E138C3" w:rsidRPr="00E138C3" w14:paraId="45D760E0" w14:textId="77777777" w:rsidTr="003D2438">
        <w:tc>
          <w:tcPr>
            <w:tcW w:w="410" w:type="pct"/>
            <w:shd w:val="clear" w:color="auto" w:fill="auto"/>
            <w:vAlign w:val="center"/>
          </w:tcPr>
          <w:p w14:paraId="6403E2A6"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4.4.1.</w:t>
            </w:r>
          </w:p>
        </w:tc>
        <w:tc>
          <w:tcPr>
            <w:tcW w:w="1694" w:type="pct"/>
            <w:shd w:val="clear" w:color="auto" w:fill="auto"/>
            <w:vAlign w:val="center"/>
          </w:tcPr>
          <w:p w14:paraId="041AEE39"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взнос наличных денежных средств с использованием Карты</w:t>
            </w:r>
          </w:p>
        </w:tc>
        <w:tc>
          <w:tcPr>
            <w:tcW w:w="2896" w:type="pct"/>
            <w:gridSpan w:val="4"/>
            <w:shd w:val="clear" w:color="auto" w:fill="auto"/>
            <w:vAlign w:val="center"/>
          </w:tcPr>
          <w:p w14:paraId="1831B41C" w14:textId="77777777" w:rsidR="00E138C3" w:rsidRPr="00E138C3" w:rsidRDefault="00E138C3" w:rsidP="00E138C3">
            <w:pPr>
              <w:tabs>
                <w:tab w:val="left" w:pos="284"/>
              </w:tabs>
              <w:jc w:val="center"/>
              <w:rPr>
                <w:rFonts w:ascii="Tahoma" w:hAnsi="Tahoma" w:cs="Tahoma"/>
                <w:b/>
                <w:bCs/>
                <w:iCs/>
                <w:color w:val="000000"/>
                <w:sz w:val="22"/>
                <w:szCs w:val="22"/>
              </w:rPr>
            </w:pPr>
            <w:r w:rsidRPr="00E138C3">
              <w:rPr>
                <w:rFonts w:ascii="Tahoma" w:hAnsi="Tahoma" w:cs="Tahoma"/>
                <w:b/>
                <w:bCs/>
                <w:iCs/>
                <w:color w:val="000000"/>
                <w:sz w:val="22"/>
                <w:szCs w:val="22"/>
              </w:rPr>
              <w:t>БЕСПЛАТНО</w:t>
            </w:r>
          </w:p>
        </w:tc>
      </w:tr>
      <w:tr w:rsidR="00E138C3" w:rsidRPr="00E138C3" w14:paraId="6240E57B" w14:textId="77777777" w:rsidTr="003D2438">
        <w:trPr>
          <w:trHeight w:val="520"/>
        </w:trPr>
        <w:tc>
          <w:tcPr>
            <w:tcW w:w="410" w:type="pct"/>
            <w:shd w:val="clear" w:color="auto" w:fill="auto"/>
            <w:vAlign w:val="center"/>
          </w:tcPr>
          <w:p w14:paraId="72AC4EE2"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4.4.2.1.</w:t>
            </w:r>
          </w:p>
        </w:tc>
        <w:tc>
          <w:tcPr>
            <w:tcW w:w="1694" w:type="pct"/>
            <w:shd w:val="clear" w:color="auto" w:fill="auto"/>
            <w:vAlign w:val="center"/>
          </w:tcPr>
          <w:p w14:paraId="575B2850"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выдача денежных средств со Счета Карты/Накопительного счета</w:t>
            </w:r>
          </w:p>
        </w:tc>
        <w:tc>
          <w:tcPr>
            <w:tcW w:w="2896" w:type="pct"/>
            <w:gridSpan w:val="4"/>
            <w:shd w:val="clear" w:color="auto" w:fill="auto"/>
            <w:vAlign w:val="center"/>
          </w:tcPr>
          <w:p w14:paraId="5F267AC6" w14:textId="77777777" w:rsidR="00E138C3" w:rsidRPr="00E138C3" w:rsidRDefault="00E138C3" w:rsidP="00E138C3">
            <w:pPr>
              <w:tabs>
                <w:tab w:val="left" w:pos="4889"/>
              </w:tabs>
              <w:jc w:val="center"/>
              <w:rPr>
                <w:rFonts w:ascii="Tahoma" w:hAnsi="Tahoma" w:cs="Tahoma"/>
                <w:b/>
                <w:bCs/>
                <w:iCs/>
                <w:color w:val="000000"/>
                <w:sz w:val="22"/>
                <w:szCs w:val="22"/>
              </w:rPr>
            </w:pPr>
            <w:r w:rsidRPr="00E138C3">
              <w:rPr>
                <w:rFonts w:ascii="Tahoma" w:hAnsi="Tahoma" w:cs="Tahoma"/>
                <w:bCs/>
                <w:iCs/>
                <w:sz w:val="22"/>
                <w:szCs w:val="22"/>
              </w:rPr>
              <w:t xml:space="preserve">Выдача средств, внесенных на Счет наличным путем: </w:t>
            </w:r>
            <w:r w:rsidRPr="00E138C3">
              <w:rPr>
                <w:rFonts w:ascii="Tahoma" w:hAnsi="Tahoma" w:cs="Tahoma"/>
                <w:b/>
                <w:bCs/>
                <w:iCs/>
                <w:color w:val="000000"/>
                <w:sz w:val="22"/>
                <w:szCs w:val="22"/>
              </w:rPr>
              <w:t>БЕСПЛАТНО;</w:t>
            </w:r>
          </w:p>
        </w:tc>
      </w:tr>
      <w:tr w:rsidR="00E138C3" w:rsidRPr="00E138C3" w14:paraId="038F285E" w14:textId="77777777" w:rsidTr="003D2438">
        <w:trPr>
          <w:trHeight w:val="4143"/>
        </w:trPr>
        <w:tc>
          <w:tcPr>
            <w:tcW w:w="410" w:type="pct"/>
            <w:shd w:val="clear" w:color="auto" w:fill="auto"/>
            <w:vAlign w:val="center"/>
          </w:tcPr>
          <w:p w14:paraId="6EB07A92"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4.4.2.2.</w:t>
            </w:r>
          </w:p>
        </w:tc>
        <w:tc>
          <w:tcPr>
            <w:tcW w:w="1694" w:type="pct"/>
            <w:shd w:val="clear" w:color="auto" w:fill="auto"/>
            <w:vAlign w:val="center"/>
          </w:tcPr>
          <w:p w14:paraId="035B198C" w14:textId="77777777" w:rsidR="00E138C3" w:rsidRPr="00E138C3" w:rsidRDefault="00E138C3" w:rsidP="00E138C3">
            <w:pPr>
              <w:tabs>
                <w:tab w:val="left" w:pos="4889"/>
              </w:tabs>
              <w:rPr>
                <w:rFonts w:ascii="Tahoma" w:hAnsi="Tahoma" w:cs="Tahoma"/>
                <w:bCs/>
                <w:iCs/>
                <w:sz w:val="22"/>
                <w:szCs w:val="22"/>
              </w:rPr>
            </w:pPr>
            <w:r w:rsidRPr="00E138C3">
              <w:rPr>
                <w:rFonts w:ascii="Tahoma" w:hAnsi="Tahoma" w:cs="Tahoma"/>
                <w:bCs/>
                <w:iCs/>
                <w:sz w:val="22"/>
                <w:szCs w:val="22"/>
              </w:rPr>
              <w:t xml:space="preserve">выдача средств, поступивших на Счет безналичным путем, в том числе зачисленных со Счета Клиента в Банке </w:t>
            </w:r>
          </w:p>
        </w:tc>
        <w:tc>
          <w:tcPr>
            <w:tcW w:w="2896" w:type="pct"/>
            <w:gridSpan w:val="4"/>
            <w:shd w:val="clear" w:color="auto" w:fill="auto"/>
            <w:vAlign w:val="center"/>
          </w:tcPr>
          <w:p w14:paraId="58EFAF8E" w14:textId="77777777" w:rsidR="00E138C3" w:rsidRPr="00E138C3" w:rsidRDefault="00E138C3" w:rsidP="00E138C3">
            <w:pPr>
              <w:numPr>
                <w:ilvl w:val="0"/>
                <w:numId w:val="64"/>
              </w:numPr>
              <w:tabs>
                <w:tab w:val="left" w:pos="4889"/>
              </w:tabs>
              <w:spacing w:after="160" w:line="259" w:lineRule="auto"/>
              <w:contextualSpacing/>
              <w:jc w:val="both"/>
              <w:rPr>
                <w:rFonts w:ascii="Tahoma" w:hAnsi="Tahoma" w:cs="Tahoma"/>
                <w:bCs/>
                <w:iCs/>
              </w:rPr>
            </w:pPr>
            <w:r w:rsidRPr="00E138C3">
              <w:rPr>
                <w:rFonts w:ascii="Tahoma" w:hAnsi="Tahoma" w:cs="Tahoma"/>
                <w:bCs/>
                <w:iCs/>
              </w:rPr>
              <w:t xml:space="preserve">в течение 15 календарных дней с даты поступления средств: </w:t>
            </w:r>
            <w:r w:rsidRPr="00E138C3">
              <w:rPr>
                <w:rFonts w:ascii="Tahoma" w:hAnsi="Tahoma" w:cs="Tahoma"/>
                <w:b/>
                <w:bCs/>
                <w:iCs/>
              </w:rPr>
              <w:t>5%</w:t>
            </w:r>
            <w:r w:rsidRPr="00E138C3">
              <w:rPr>
                <w:rFonts w:ascii="Tahoma" w:hAnsi="Tahoma" w:cs="Tahoma"/>
                <w:bCs/>
                <w:iCs/>
              </w:rPr>
              <w:t xml:space="preserve"> от суммы выданных средств</w:t>
            </w:r>
            <w:r w:rsidRPr="00E138C3">
              <w:rPr>
                <w:rFonts w:ascii="Tahoma" w:hAnsi="Tahoma" w:cs="Tahoma"/>
                <w:bCs/>
                <w:iCs/>
                <w:vertAlign w:val="superscript"/>
              </w:rPr>
              <w:t>20</w:t>
            </w:r>
            <w:r w:rsidRPr="00E138C3">
              <w:rPr>
                <w:rFonts w:ascii="Tahoma" w:hAnsi="Tahoma" w:cs="Tahoma"/>
                <w:bCs/>
                <w:iCs/>
              </w:rPr>
              <w:t>;</w:t>
            </w:r>
          </w:p>
          <w:p w14:paraId="7E2EAE0D" w14:textId="77777777" w:rsidR="00E138C3" w:rsidRPr="00E138C3" w:rsidRDefault="00E138C3" w:rsidP="00E138C3">
            <w:pPr>
              <w:numPr>
                <w:ilvl w:val="0"/>
                <w:numId w:val="64"/>
              </w:numPr>
              <w:spacing w:after="200" w:line="276" w:lineRule="auto"/>
              <w:contextualSpacing/>
              <w:jc w:val="both"/>
            </w:pPr>
            <w:r w:rsidRPr="00E138C3">
              <w:rPr>
                <w:rFonts w:ascii="Tahoma" w:hAnsi="Tahoma" w:cs="Tahoma"/>
                <w:bCs/>
                <w:iCs/>
              </w:rPr>
              <w:t xml:space="preserve">по истечении 15 календарных дней с даты поступления средств: </w:t>
            </w:r>
            <w:r w:rsidRPr="00E138C3">
              <w:rPr>
                <w:rFonts w:ascii="Tahoma" w:hAnsi="Tahoma" w:cs="Tahoma"/>
                <w:b/>
                <w:bCs/>
                <w:iCs/>
                <w:color w:val="000000"/>
              </w:rPr>
              <w:t>БЕСПЛАТНО;</w:t>
            </w:r>
          </w:p>
          <w:p w14:paraId="5FD83643" w14:textId="77777777" w:rsidR="00E138C3" w:rsidRPr="00E138C3" w:rsidRDefault="00E138C3" w:rsidP="00E138C3">
            <w:pPr>
              <w:numPr>
                <w:ilvl w:val="0"/>
                <w:numId w:val="64"/>
              </w:numPr>
              <w:spacing w:after="200" w:line="276" w:lineRule="auto"/>
              <w:contextualSpacing/>
              <w:jc w:val="both"/>
              <w:rPr>
                <w:rFonts w:ascii="Tahoma" w:hAnsi="Tahoma" w:cs="Tahoma"/>
              </w:rPr>
            </w:pPr>
            <w:r w:rsidRPr="00E138C3">
              <w:rPr>
                <w:rFonts w:ascii="Tahoma" w:hAnsi="Tahoma" w:cs="Tahoma"/>
              </w:rPr>
              <w:t xml:space="preserve">зачисление денежных средств со Счета вклада Клиента, причисление сумм процентов по Накопительным счетам, зачисление денежных средств по кредитным договорам Клиента с Банком, зачислений заработной платы, а также в результате конвертации валют: </w:t>
            </w:r>
            <w:r w:rsidRPr="00E138C3">
              <w:rPr>
                <w:rFonts w:ascii="Tahoma" w:hAnsi="Tahoma" w:cs="Tahoma"/>
                <w:b/>
              </w:rPr>
              <w:t>БЕСПЛАТНО;</w:t>
            </w:r>
          </w:p>
          <w:p w14:paraId="04A686D4" w14:textId="77777777" w:rsidR="00E138C3" w:rsidRPr="00E138C3" w:rsidRDefault="00E138C3" w:rsidP="00E138C3">
            <w:pPr>
              <w:numPr>
                <w:ilvl w:val="0"/>
                <w:numId w:val="64"/>
              </w:numPr>
              <w:spacing w:after="200" w:line="276" w:lineRule="auto"/>
              <w:contextualSpacing/>
              <w:jc w:val="both"/>
              <w:rPr>
                <w:rFonts w:ascii="Tahoma" w:hAnsi="Tahoma" w:cs="Tahoma"/>
              </w:rPr>
            </w:pPr>
            <w:r w:rsidRPr="00E138C3">
              <w:rPr>
                <w:rFonts w:ascii="Tahoma" w:hAnsi="Tahoma" w:cs="Tahoma"/>
              </w:rPr>
              <w:t xml:space="preserve">выдача наличной иностранной валюты в сумме остатка на 00:00 часов (по московскому времени) 9 марта 2022 года с любых вкладов или счетов Клиента в Банке в иностранной валюте, конвертация иностранной валюты в сумме остатка на 00:00 часов (по московскому времени) 9 марта 2022 года в доллары США или евро, осуществляемая в целях выдачи наличной иностранной валюты: </w:t>
            </w:r>
            <w:r w:rsidRPr="00E138C3">
              <w:rPr>
                <w:rFonts w:ascii="Tahoma" w:hAnsi="Tahoma" w:cs="Tahoma"/>
                <w:b/>
              </w:rPr>
              <w:t>БЕСПЛАТНО</w:t>
            </w:r>
            <w:r w:rsidRPr="00E138C3">
              <w:rPr>
                <w:rFonts w:ascii="Tahoma" w:hAnsi="Tahoma" w:cs="Tahoma"/>
                <w:vertAlign w:val="superscript"/>
              </w:rPr>
              <w:t>21,24</w:t>
            </w:r>
            <w:r w:rsidRPr="00E138C3">
              <w:rPr>
                <w:rFonts w:ascii="Tahoma" w:hAnsi="Tahoma" w:cs="Tahoma"/>
              </w:rPr>
              <w:t>.</w:t>
            </w:r>
          </w:p>
        </w:tc>
      </w:tr>
      <w:tr w:rsidR="00E138C3" w:rsidRPr="00E138C3" w14:paraId="32594122" w14:textId="77777777" w:rsidTr="00E138C3">
        <w:tc>
          <w:tcPr>
            <w:tcW w:w="410" w:type="pct"/>
            <w:shd w:val="clear" w:color="auto" w:fill="808080"/>
            <w:vAlign w:val="center"/>
          </w:tcPr>
          <w:p w14:paraId="260C5E37"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4.5.</w:t>
            </w:r>
          </w:p>
        </w:tc>
        <w:tc>
          <w:tcPr>
            <w:tcW w:w="4590" w:type="pct"/>
            <w:gridSpan w:val="5"/>
            <w:shd w:val="clear" w:color="auto" w:fill="808080"/>
            <w:vAlign w:val="center"/>
          </w:tcPr>
          <w:p w14:paraId="43872312"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Конверсионные операции по Счетам Карт и Накопительным счетам</w:t>
            </w:r>
            <w:r w:rsidRPr="00E138C3">
              <w:rPr>
                <w:rFonts w:ascii="Tahoma" w:hAnsi="Tahoma" w:cs="Tahoma"/>
                <w:b/>
                <w:bCs/>
                <w:iCs/>
                <w:color w:val="FFFFFF"/>
                <w:sz w:val="22"/>
                <w:szCs w:val="22"/>
                <w:vertAlign w:val="superscript"/>
              </w:rPr>
              <w:t>20</w:t>
            </w:r>
            <w:r w:rsidRPr="00E138C3">
              <w:rPr>
                <w:rFonts w:ascii="Tahoma" w:hAnsi="Tahoma" w:cs="Tahoma"/>
                <w:b/>
                <w:bCs/>
                <w:iCs/>
                <w:color w:val="FFFFFF"/>
                <w:sz w:val="22"/>
                <w:szCs w:val="22"/>
              </w:rPr>
              <w:t>:</w:t>
            </w:r>
          </w:p>
        </w:tc>
      </w:tr>
      <w:tr w:rsidR="00E138C3" w:rsidRPr="00E138C3" w14:paraId="13171AD3" w14:textId="77777777" w:rsidTr="003D2438">
        <w:tc>
          <w:tcPr>
            <w:tcW w:w="410" w:type="pct"/>
            <w:shd w:val="clear" w:color="auto" w:fill="auto"/>
            <w:vAlign w:val="center"/>
          </w:tcPr>
          <w:p w14:paraId="252475CB"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4.5.1.</w:t>
            </w:r>
          </w:p>
        </w:tc>
        <w:tc>
          <w:tcPr>
            <w:tcW w:w="1694" w:type="pct"/>
            <w:shd w:val="clear" w:color="auto" w:fill="auto"/>
          </w:tcPr>
          <w:p w14:paraId="02C7A851"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операции покупки/продажи иностранной валюты по Счетам Клиента, открытым в Банке, а также безналичные операции и операции выдачи/взноса наличных денежных с использованием Карты</w:t>
            </w:r>
          </w:p>
        </w:tc>
        <w:tc>
          <w:tcPr>
            <w:tcW w:w="2896" w:type="pct"/>
            <w:gridSpan w:val="4"/>
            <w:shd w:val="clear" w:color="auto" w:fill="auto"/>
            <w:vAlign w:val="center"/>
          </w:tcPr>
          <w:p w14:paraId="4090EE69"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color w:val="000000"/>
                <w:sz w:val="22"/>
                <w:szCs w:val="22"/>
              </w:rPr>
              <w:t>по курсу Банка на момент совершения операции</w:t>
            </w:r>
          </w:p>
        </w:tc>
      </w:tr>
      <w:tr w:rsidR="00E138C3" w:rsidRPr="00E138C3" w14:paraId="33285C41" w14:textId="77777777" w:rsidTr="00E138C3">
        <w:tc>
          <w:tcPr>
            <w:tcW w:w="410" w:type="pct"/>
            <w:shd w:val="clear" w:color="auto" w:fill="808080"/>
            <w:vAlign w:val="center"/>
          </w:tcPr>
          <w:p w14:paraId="786CD19D"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4.6.</w:t>
            </w:r>
          </w:p>
        </w:tc>
        <w:tc>
          <w:tcPr>
            <w:tcW w:w="4590" w:type="pct"/>
            <w:gridSpan w:val="5"/>
            <w:shd w:val="clear" w:color="auto" w:fill="808080"/>
            <w:vAlign w:val="center"/>
          </w:tcPr>
          <w:p w14:paraId="01B26063" w14:textId="77777777" w:rsidR="00E138C3" w:rsidRPr="00E138C3" w:rsidRDefault="00E138C3" w:rsidP="00E138C3">
            <w:pPr>
              <w:tabs>
                <w:tab w:val="left" w:pos="284"/>
              </w:tabs>
              <w:rPr>
                <w:rFonts w:ascii="Tahoma" w:hAnsi="Tahoma" w:cs="Tahoma"/>
                <w:b/>
                <w:bCs/>
                <w:iCs/>
                <w:color w:val="FFFFFF"/>
                <w:sz w:val="22"/>
                <w:szCs w:val="22"/>
              </w:rPr>
            </w:pPr>
            <w:r w:rsidRPr="00E138C3">
              <w:rPr>
                <w:rFonts w:ascii="Tahoma" w:hAnsi="Tahoma" w:cs="Tahoma"/>
                <w:b/>
                <w:bCs/>
                <w:iCs/>
                <w:color w:val="FFFFFF"/>
                <w:sz w:val="22"/>
                <w:szCs w:val="22"/>
              </w:rPr>
              <w:t>Прочие операции и сервисы:</w:t>
            </w:r>
          </w:p>
        </w:tc>
      </w:tr>
      <w:tr w:rsidR="00E138C3" w:rsidRPr="00E138C3" w14:paraId="553BC671" w14:textId="77777777" w:rsidTr="003D2438">
        <w:trPr>
          <w:trHeight w:val="427"/>
        </w:trPr>
        <w:tc>
          <w:tcPr>
            <w:tcW w:w="410" w:type="pct"/>
            <w:shd w:val="clear" w:color="auto" w:fill="auto"/>
            <w:vAlign w:val="center"/>
          </w:tcPr>
          <w:p w14:paraId="2E67FC7D"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4.6.1.</w:t>
            </w:r>
          </w:p>
        </w:tc>
        <w:tc>
          <w:tcPr>
            <w:tcW w:w="1694" w:type="pct"/>
            <w:shd w:val="clear" w:color="auto" w:fill="auto"/>
            <w:vAlign w:val="center"/>
          </w:tcPr>
          <w:p w14:paraId="664E0DD7" w14:textId="77777777" w:rsidR="00E138C3" w:rsidRPr="00E138C3" w:rsidRDefault="00E138C3" w:rsidP="00E138C3">
            <w:pPr>
              <w:rPr>
                <w:rFonts w:ascii="Tahoma" w:eastAsia="Calibri" w:hAnsi="Tahoma" w:cs="Tahoma"/>
                <w:lang w:eastAsia="en-US"/>
              </w:rPr>
            </w:pPr>
            <w:r w:rsidRPr="00E138C3">
              <w:rPr>
                <w:rFonts w:ascii="Tahoma" w:eastAsia="Calibri" w:hAnsi="Tahoma" w:cs="Tahoma"/>
                <w:sz w:val="22"/>
                <w:szCs w:val="22"/>
                <w:lang w:eastAsia="en-US"/>
              </w:rPr>
              <w:t>стоимость услуги СМС-информирования (полный пакет): детализирование уведомление о приходных и расходных операциях по Счету Карты в формате СМС-сообщений на мобильный телефон Клиента, указанный Клиентом Банку в качестве основного</w:t>
            </w:r>
            <w:r w:rsidRPr="00E138C3">
              <w:rPr>
                <w:rFonts w:ascii="Tahoma" w:hAnsi="Tahoma" w:cs="Tahoma"/>
                <w:bCs/>
                <w:iCs/>
                <w:sz w:val="22"/>
                <w:szCs w:val="22"/>
                <w:vertAlign w:val="superscript"/>
              </w:rPr>
              <w:t>22</w:t>
            </w:r>
          </w:p>
        </w:tc>
        <w:tc>
          <w:tcPr>
            <w:tcW w:w="2896" w:type="pct"/>
            <w:gridSpan w:val="4"/>
            <w:vMerge w:val="restart"/>
            <w:shd w:val="clear" w:color="auto" w:fill="auto"/>
            <w:vAlign w:val="center"/>
          </w:tcPr>
          <w:p w14:paraId="5B75E76A" w14:textId="77777777" w:rsidR="00E138C3" w:rsidRPr="00E138C3" w:rsidRDefault="00E138C3" w:rsidP="00E138C3">
            <w:pPr>
              <w:tabs>
                <w:tab w:val="left" w:pos="284"/>
              </w:tabs>
              <w:jc w:val="center"/>
              <w:rPr>
                <w:rFonts w:ascii="Tahoma" w:hAnsi="Tahoma" w:cs="Tahoma"/>
                <w:b/>
                <w:bCs/>
                <w:iCs/>
                <w:color w:val="000000"/>
                <w:sz w:val="22"/>
                <w:szCs w:val="22"/>
              </w:rPr>
            </w:pPr>
            <w:r w:rsidRPr="00E138C3">
              <w:rPr>
                <w:rFonts w:ascii="Tahoma" w:hAnsi="Tahoma" w:cs="Tahoma"/>
                <w:b/>
                <w:bCs/>
                <w:iCs/>
                <w:color w:val="000000"/>
                <w:sz w:val="22"/>
                <w:szCs w:val="22"/>
              </w:rPr>
              <w:t>БЕСПЛАТНО</w:t>
            </w:r>
          </w:p>
        </w:tc>
      </w:tr>
      <w:tr w:rsidR="00E138C3" w:rsidRPr="00E138C3" w14:paraId="64B9DF7D" w14:textId="77777777" w:rsidTr="003D2438">
        <w:trPr>
          <w:trHeight w:val="383"/>
        </w:trPr>
        <w:tc>
          <w:tcPr>
            <w:tcW w:w="410" w:type="pct"/>
            <w:shd w:val="clear" w:color="auto" w:fill="auto"/>
            <w:vAlign w:val="center"/>
          </w:tcPr>
          <w:p w14:paraId="7138BD55"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4.6.</w:t>
            </w:r>
            <w:r w:rsidRPr="00E138C3">
              <w:rPr>
                <w:rFonts w:ascii="Tahoma" w:hAnsi="Tahoma" w:cs="Tahoma"/>
                <w:bCs/>
                <w:iCs/>
                <w:color w:val="000000"/>
                <w:sz w:val="22"/>
                <w:szCs w:val="22"/>
                <w:lang w:val="en-US"/>
              </w:rPr>
              <w:t>2</w:t>
            </w:r>
            <w:r w:rsidRPr="00E138C3">
              <w:rPr>
                <w:rFonts w:ascii="Tahoma" w:hAnsi="Tahoma" w:cs="Tahoma"/>
                <w:bCs/>
                <w:iCs/>
                <w:color w:val="000000"/>
                <w:sz w:val="22"/>
                <w:szCs w:val="22"/>
              </w:rPr>
              <w:t>.</w:t>
            </w:r>
          </w:p>
        </w:tc>
        <w:tc>
          <w:tcPr>
            <w:tcW w:w="1694" w:type="pct"/>
            <w:shd w:val="clear" w:color="auto" w:fill="auto"/>
            <w:vAlign w:val="center"/>
          </w:tcPr>
          <w:p w14:paraId="28C44F61"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доступ к каналам ДБО: «АТБ-Онлайн», Мобильный банк</w:t>
            </w:r>
          </w:p>
        </w:tc>
        <w:tc>
          <w:tcPr>
            <w:tcW w:w="2896" w:type="pct"/>
            <w:gridSpan w:val="4"/>
            <w:vMerge/>
            <w:shd w:val="clear" w:color="auto" w:fill="auto"/>
            <w:vAlign w:val="center"/>
          </w:tcPr>
          <w:p w14:paraId="0E260C7D" w14:textId="77777777" w:rsidR="00E138C3" w:rsidRPr="00E138C3" w:rsidRDefault="00E138C3" w:rsidP="00E138C3">
            <w:pPr>
              <w:tabs>
                <w:tab w:val="left" w:pos="284"/>
              </w:tabs>
              <w:jc w:val="center"/>
              <w:rPr>
                <w:rFonts w:ascii="Tahoma" w:hAnsi="Tahoma" w:cs="Tahoma"/>
                <w:b/>
                <w:bCs/>
                <w:iCs/>
                <w:color w:val="000000"/>
                <w:sz w:val="22"/>
                <w:szCs w:val="22"/>
              </w:rPr>
            </w:pPr>
          </w:p>
        </w:tc>
      </w:tr>
      <w:tr w:rsidR="00E138C3" w:rsidRPr="00E138C3" w14:paraId="514BA17F" w14:textId="77777777" w:rsidTr="003D2438">
        <w:tc>
          <w:tcPr>
            <w:tcW w:w="410" w:type="pct"/>
            <w:shd w:val="clear" w:color="auto" w:fill="auto"/>
            <w:vAlign w:val="center"/>
          </w:tcPr>
          <w:p w14:paraId="49BFB492" w14:textId="77777777" w:rsidR="00E138C3" w:rsidRPr="00E138C3" w:rsidRDefault="00E138C3" w:rsidP="00E138C3">
            <w:pPr>
              <w:spacing w:after="160" w:line="259" w:lineRule="auto"/>
              <w:rPr>
                <w:rFonts w:ascii="Calibri" w:eastAsia="Calibri" w:hAnsi="Calibri"/>
                <w:sz w:val="22"/>
                <w:szCs w:val="22"/>
                <w:lang w:eastAsia="en-US"/>
              </w:rPr>
            </w:pPr>
            <w:r w:rsidRPr="00E138C3">
              <w:rPr>
                <w:rFonts w:ascii="Tahoma" w:hAnsi="Tahoma" w:cs="Tahoma"/>
                <w:bCs/>
                <w:iCs/>
                <w:color w:val="000000"/>
                <w:sz w:val="22"/>
                <w:szCs w:val="22"/>
              </w:rPr>
              <w:t>4.6.3.</w:t>
            </w:r>
          </w:p>
        </w:tc>
        <w:tc>
          <w:tcPr>
            <w:tcW w:w="1694" w:type="pct"/>
            <w:shd w:val="clear" w:color="auto" w:fill="auto"/>
            <w:vAlign w:val="center"/>
          </w:tcPr>
          <w:p w14:paraId="5A7F3009"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запрос баланса Счета Карты в банкоматах Банка посредством вывода информации на экран устройства и/или чек</w:t>
            </w:r>
          </w:p>
        </w:tc>
        <w:tc>
          <w:tcPr>
            <w:tcW w:w="2896" w:type="pct"/>
            <w:gridSpan w:val="4"/>
            <w:vMerge/>
            <w:shd w:val="clear" w:color="auto" w:fill="auto"/>
            <w:vAlign w:val="center"/>
          </w:tcPr>
          <w:p w14:paraId="5C62B1CB" w14:textId="77777777" w:rsidR="00E138C3" w:rsidRPr="00E138C3" w:rsidRDefault="00E138C3" w:rsidP="00E138C3">
            <w:pPr>
              <w:tabs>
                <w:tab w:val="left" w:pos="284"/>
              </w:tabs>
              <w:jc w:val="center"/>
              <w:rPr>
                <w:rFonts w:ascii="Tahoma" w:hAnsi="Tahoma" w:cs="Tahoma"/>
                <w:b/>
                <w:bCs/>
                <w:iCs/>
                <w:color w:val="000000"/>
                <w:sz w:val="22"/>
                <w:szCs w:val="22"/>
              </w:rPr>
            </w:pPr>
          </w:p>
        </w:tc>
      </w:tr>
      <w:tr w:rsidR="00E138C3" w:rsidRPr="00E138C3" w14:paraId="3BC8BFAA" w14:textId="77777777" w:rsidTr="003D2438">
        <w:trPr>
          <w:trHeight w:val="77"/>
        </w:trPr>
        <w:tc>
          <w:tcPr>
            <w:tcW w:w="410" w:type="pct"/>
            <w:shd w:val="clear" w:color="auto" w:fill="auto"/>
            <w:vAlign w:val="center"/>
          </w:tcPr>
          <w:p w14:paraId="5D7F5C6D" w14:textId="77777777" w:rsidR="00E138C3" w:rsidRPr="00E138C3" w:rsidRDefault="00E138C3" w:rsidP="00E138C3">
            <w:pPr>
              <w:spacing w:after="160" w:line="259" w:lineRule="auto"/>
              <w:rPr>
                <w:rFonts w:ascii="Calibri" w:eastAsia="Calibri" w:hAnsi="Calibri"/>
                <w:sz w:val="22"/>
                <w:szCs w:val="22"/>
                <w:lang w:eastAsia="en-US"/>
              </w:rPr>
            </w:pPr>
            <w:r w:rsidRPr="00E138C3">
              <w:rPr>
                <w:rFonts w:ascii="Tahoma" w:hAnsi="Tahoma" w:cs="Tahoma"/>
                <w:bCs/>
                <w:iCs/>
                <w:color w:val="000000"/>
                <w:sz w:val="22"/>
                <w:szCs w:val="22"/>
              </w:rPr>
              <w:t>4.6.4.</w:t>
            </w:r>
          </w:p>
        </w:tc>
        <w:tc>
          <w:tcPr>
            <w:tcW w:w="1694" w:type="pct"/>
            <w:shd w:val="clear" w:color="auto" w:fill="auto"/>
            <w:vAlign w:val="center"/>
          </w:tcPr>
          <w:p w14:paraId="7A09B2E3"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приостановление/возобновление операций с Картой</w:t>
            </w:r>
            <w:r w:rsidRPr="00E138C3">
              <w:rPr>
                <w:rFonts w:ascii="Tahoma" w:hAnsi="Tahoma" w:cs="Tahoma"/>
                <w:bCs/>
                <w:iCs/>
                <w:sz w:val="22"/>
                <w:szCs w:val="22"/>
                <w:vertAlign w:val="superscript"/>
              </w:rPr>
              <w:t>23</w:t>
            </w:r>
          </w:p>
        </w:tc>
        <w:tc>
          <w:tcPr>
            <w:tcW w:w="2896" w:type="pct"/>
            <w:gridSpan w:val="4"/>
            <w:vMerge/>
            <w:shd w:val="clear" w:color="auto" w:fill="auto"/>
            <w:vAlign w:val="center"/>
          </w:tcPr>
          <w:p w14:paraId="6120A0E1" w14:textId="77777777" w:rsidR="00E138C3" w:rsidRPr="00E138C3" w:rsidRDefault="00E138C3" w:rsidP="00E138C3">
            <w:pPr>
              <w:tabs>
                <w:tab w:val="left" w:pos="284"/>
              </w:tabs>
              <w:jc w:val="center"/>
              <w:rPr>
                <w:rFonts w:ascii="Tahoma" w:hAnsi="Tahoma" w:cs="Tahoma"/>
                <w:bCs/>
                <w:iCs/>
                <w:color w:val="000000"/>
                <w:sz w:val="22"/>
                <w:szCs w:val="22"/>
              </w:rPr>
            </w:pPr>
          </w:p>
        </w:tc>
      </w:tr>
      <w:tr w:rsidR="00E138C3" w:rsidRPr="00E138C3" w14:paraId="693DFDE5" w14:textId="77777777" w:rsidTr="003D2438">
        <w:tc>
          <w:tcPr>
            <w:tcW w:w="410" w:type="pct"/>
            <w:shd w:val="clear" w:color="auto" w:fill="auto"/>
            <w:vAlign w:val="center"/>
          </w:tcPr>
          <w:p w14:paraId="1F6DB420"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4.6.5.</w:t>
            </w:r>
          </w:p>
        </w:tc>
        <w:tc>
          <w:tcPr>
            <w:tcW w:w="1694" w:type="pct"/>
            <w:shd w:val="clear" w:color="auto" w:fill="auto"/>
            <w:vAlign w:val="center"/>
          </w:tcPr>
          <w:p w14:paraId="4EA40185"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выдача остатка денежных средств после закрытия Счета Карты</w:t>
            </w:r>
          </w:p>
        </w:tc>
        <w:tc>
          <w:tcPr>
            <w:tcW w:w="2896" w:type="pct"/>
            <w:gridSpan w:val="4"/>
            <w:vMerge/>
            <w:shd w:val="clear" w:color="auto" w:fill="auto"/>
            <w:vAlign w:val="center"/>
          </w:tcPr>
          <w:p w14:paraId="04DB399D" w14:textId="77777777" w:rsidR="00E138C3" w:rsidRPr="00E138C3" w:rsidRDefault="00E138C3" w:rsidP="00E138C3">
            <w:pPr>
              <w:tabs>
                <w:tab w:val="left" w:pos="284"/>
              </w:tabs>
              <w:jc w:val="center"/>
              <w:rPr>
                <w:rFonts w:ascii="Tahoma" w:hAnsi="Tahoma" w:cs="Tahoma"/>
                <w:bCs/>
                <w:iCs/>
                <w:color w:val="000000"/>
                <w:sz w:val="22"/>
                <w:szCs w:val="22"/>
              </w:rPr>
            </w:pPr>
          </w:p>
        </w:tc>
      </w:tr>
      <w:tr w:rsidR="00E138C3" w:rsidRPr="00E138C3" w14:paraId="69C4147E" w14:textId="77777777" w:rsidTr="003D2438">
        <w:tc>
          <w:tcPr>
            <w:tcW w:w="410" w:type="pct"/>
            <w:shd w:val="clear" w:color="auto" w:fill="auto"/>
            <w:vAlign w:val="center"/>
          </w:tcPr>
          <w:p w14:paraId="0A422D6F"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4.6.6.</w:t>
            </w:r>
          </w:p>
        </w:tc>
        <w:tc>
          <w:tcPr>
            <w:tcW w:w="1694" w:type="pct"/>
            <w:shd w:val="clear" w:color="auto" w:fill="auto"/>
            <w:vAlign w:val="center"/>
          </w:tcPr>
          <w:p w14:paraId="27D5BCBD"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постановка Карты в международный стоп-лист (на 2 недели) по волеизъявлению Клиента, 1 (один) регион</w:t>
            </w:r>
          </w:p>
        </w:tc>
        <w:tc>
          <w:tcPr>
            <w:tcW w:w="2896" w:type="pct"/>
            <w:gridSpan w:val="4"/>
            <w:shd w:val="clear" w:color="auto" w:fill="auto"/>
            <w:vAlign w:val="center"/>
          </w:tcPr>
          <w:p w14:paraId="4DB66817"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color w:val="000000"/>
                <w:sz w:val="22"/>
                <w:szCs w:val="22"/>
              </w:rPr>
              <w:t>1 500 рублей</w:t>
            </w:r>
          </w:p>
        </w:tc>
      </w:tr>
      <w:tr w:rsidR="00E138C3" w:rsidRPr="00E138C3" w14:paraId="544C6AEB" w14:textId="77777777" w:rsidTr="003D2438">
        <w:tc>
          <w:tcPr>
            <w:tcW w:w="410" w:type="pct"/>
            <w:shd w:val="clear" w:color="auto" w:fill="auto"/>
            <w:vAlign w:val="center"/>
          </w:tcPr>
          <w:p w14:paraId="22531352"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4.6.7.</w:t>
            </w:r>
          </w:p>
        </w:tc>
        <w:tc>
          <w:tcPr>
            <w:tcW w:w="1694" w:type="pct"/>
            <w:shd w:val="clear" w:color="auto" w:fill="auto"/>
            <w:vAlign w:val="center"/>
          </w:tcPr>
          <w:p w14:paraId="6818F9B1"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выписка по Счету Карты</w:t>
            </w:r>
          </w:p>
        </w:tc>
        <w:tc>
          <w:tcPr>
            <w:tcW w:w="2896" w:type="pct"/>
            <w:gridSpan w:val="4"/>
            <w:shd w:val="clear" w:color="auto" w:fill="auto"/>
            <w:vAlign w:val="center"/>
          </w:tcPr>
          <w:p w14:paraId="212FF164" w14:textId="77777777" w:rsidR="00E138C3" w:rsidRPr="00E138C3" w:rsidRDefault="00E138C3" w:rsidP="00E138C3">
            <w:pPr>
              <w:tabs>
                <w:tab w:val="left" w:pos="284"/>
                <w:tab w:val="left" w:pos="5609"/>
              </w:tabs>
              <w:jc w:val="center"/>
              <w:rPr>
                <w:rFonts w:ascii="Tahoma" w:hAnsi="Tahoma" w:cs="Tahoma"/>
                <w:b/>
                <w:bCs/>
                <w:iCs/>
                <w:color w:val="000000"/>
                <w:sz w:val="22"/>
                <w:szCs w:val="22"/>
              </w:rPr>
            </w:pPr>
            <w:r w:rsidRPr="00E138C3">
              <w:rPr>
                <w:rFonts w:ascii="Tahoma" w:hAnsi="Tahoma" w:cs="Tahoma"/>
                <w:bCs/>
                <w:iCs/>
                <w:color w:val="000000"/>
                <w:sz w:val="22"/>
                <w:szCs w:val="22"/>
              </w:rPr>
              <w:t>в банкоматах Банка:</w:t>
            </w:r>
            <w:r w:rsidRPr="00E138C3">
              <w:rPr>
                <w:rFonts w:ascii="Tahoma" w:hAnsi="Tahoma" w:cs="Tahoma"/>
                <w:b/>
                <w:bCs/>
                <w:iCs/>
                <w:color w:val="000000"/>
                <w:sz w:val="22"/>
                <w:szCs w:val="22"/>
              </w:rPr>
              <w:t xml:space="preserve"> БЕСПЛАТНО </w:t>
            </w:r>
          </w:p>
          <w:p w14:paraId="474C46FE" w14:textId="77777777" w:rsidR="00E138C3" w:rsidRPr="00E138C3" w:rsidRDefault="00E138C3" w:rsidP="00E138C3">
            <w:pPr>
              <w:tabs>
                <w:tab w:val="left" w:pos="284"/>
                <w:tab w:val="left" w:pos="5609"/>
              </w:tabs>
              <w:jc w:val="center"/>
              <w:rPr>
                <w:rFonts w:ascii="Tahoma" w:hAnsi="Tahoma" w:cs="Tahoma"/>
                <w:bCs/>
                <w:iCs/>
                <w:color w:val="000000"/>
                <w:sz w:val="22"/>
                <w:szCs w:val="22"/>
              </w:rPr>
            </w:pPr>
            <w:r w:rsidRPr="00E138C3">
              <w:rPr>
                <w:rFonts w:ascii="Tahoma" w:hAnsi="Tahoma" w:cs="Tahoma"/>
                <w:bCs/>
                <w:iCs/>
                <w:color w:val="000000"/>
                <w:sz w:val="22"/>
                <w:szCs w:val="22"/>
              </w:rPr>
              <w:t>в Подразделениях Банка: 250 рублей за одну выписку</w:t>
            </w:r>
          </w:p>
        </w:tc>
      </w:tr>
      <w:tr w:rsidR="00E138C3" w:rsidRPr="00E138C3" w14:paraId="73EF12FD" w14:textId="77777777" w:rsidTr="003D2438">
        <w:tc>
          <w:tcPr>
            <w:tcW w:w="410" w:type="pct"/>
            <w:shd w:val="clear" w:color="auto" w:fill="auto"/>
            <w:vAlign w:val="center"/>
          </w:tcPr>
          <w:p w14:paraId="12AEA1C0" w14:textId="77777777" w:rsidR="00E138C3" w:rsidRPr="00E138C3" w:rsidRDefault="00E138C3" w:rsidP="00E138C3">
            <w:pPr>
              <w:spacing w:after="160" w:line="259" w:lineRule="auto"/>
              <w:rPr>
                <w:rFonts w:ascii="Calibri" w:eastAsia="Calibri" w:hAnsi="Calibri"/>
                <w:sz w:val="22"/>
                <w:szCs w:val="22"/>
                <w:lang w:eastAsia="en-US"/>
              </w:rPr>
            </w:pPr>
            <w:r w:rsidRPr="00E138C3">
              <w:rPr>
                <w:rFonts w:ascii="Tahoma" w:hAnsi="Tahoma" w:cs="Tahoma"/>
                <w:bCs/>
                <w:iCs/>
                <w:color w:val="000000"/>
                <w:sz w:val="22"/>
                <w:szCs w:val="22"/>
              </w:rPr>
              <w:t>4.6.8.</w:t>
            </w:r>
          </w:p>
        </w:tc>
        <w:tc>
          <w:tcPr>
            <w:tcW w:w="1694" w:type="pct"/>
            <w:shd w:val="clear" w:color="auto" w:fill="auto"/>
            <w:vAlign w:val="center"/>
          </w:tcPr>
          <w:p w14:paraId="507FF733" w14:textId="77777777" w:rsidR="00E138C3" w:rsidRPr="00E138C3" w:rsidRDefault="00E138C3" w:rsidP="00E138C3">
            <w:pPr>
              <w:tabs>
                <w:tab w:val="left" w:pos="284"/>
              </w:tabs>
              <w:rPr>
                <w:rFonts w:ascii="Tahoma" w:hAnsi="Tahoma" w:cs="Tahoma"/>
                <w:bCs/>
                <w:iCs/>
                <w:color w:val="000000"/>
                <w:sz w:val="22"/>
                <w:szCs w:val="22"/>
              </w:rPr>
            </w:pPr>
            <w:r w:rsidRPr="00E138C3">
              <w:rPr>
                <w:rFonts w:ascii="Tahoma" w:hAnsi="Tahoma" w:cs="Tahoma"/>
                <w:bCs/>
                <w:iCs/>
                <w:color w:val="000000"/>
                <w:sz w:val="22"/>
                <w:szCs w:val="22"/>
              </w:rPr>
              <w:t>услуги, оказанные другими банками (авторизация по телексу, направление в Банк информации об утере/краже Карты)</w:t>
            </w:r>
          </w:p>
        </w:tc>
        <w:tc>
          <w:tcPr>
            <w:tcW w:w="2896" w:type="pct"/>
            <w:gridSpan w:val="4"/>
            <w:shd w:val="clear" w:color="auto" w:fill="auto"/>
            <w:vAlign w:val="center"/>
          </w:tcPr>
          <w:p w14:paraId="583B3F0F" w14:textId="77777777" w:rsidR="00E138C3" w:rsidRPr="00E138C3" w:rsidRDefault="00E138C3" w:rsidP="00E138C3">
            <w:pPr>
              <w:tabs>
                <w:tab w:val="left" w:pos="284"/>
              </w:tabs>
              <w:jc w:val="center"/>
              <w:rPr>
                <w:rFonts w:ascii="Tahoma" w:hAnsi="Tahoma" w:cs="Tahoma"/>
                <w:bCs/>
                <w:iCs/>
                <w:color w:val="000000"/>
                <w:sz w:val="22"/>
                <w:szCs w:val="22"/>
              </w:rPr>
            </w:pPr>
            <w:r w:rsidRPr="00E138C3">
              <w:rPr>
                <w:rFonts w:ascii="Tahoma" w:hAnsi="Tahoma" w:cs="Tahoma"/>
                <w:bCs/>
                <w:iCs/>
                <w:color w:val="000000"/>
                <w:sz w:val="22"/>
                <w:szCs w:val="22"/>
              </w:rPr>
              <w:t>по фактическим затратам Банка</w:t>
            </w:r>
          </w:p>
        </w:tc>
      </w:tr>
      <w:tr w:rsidR="00E138C3" w:rsidRPr="00E138C3" w14:paraId="1F45C65B" w14:textId="77777777" w:rsidTr="003D2438">
        <w:tc>
          <w:tcPr>
            <w:tcW w:w="410" w:type="pct"/>
            <w:shd w:val="clear" w:color="auto" w:fill="808080"/>
            <w:vAlign w:val="center"/>
          </w:tcPr>
          <w:p w14:paraId="35B86D5F" w14:textId="77777777" w:rsidR="00E138C3" w:rsidRPr="00E138C3" w:rsidRDefault="00E138C3" w:rsidP="00E138C3">
            <w:pPr>
              <w:tabs>
                <w:tab w:val="left" w:pos="284"/>
              </w:tabs>
              <w:rPr>
                <w:rFonts w:ascii="Tahoma" w:hAnsi="Tahoma" w:cs="Tahoma"/>
                <w:bCs/>
                <w:iCs/>
                <w:color w:val="FFFFFF"/>
                <w:sz w:val="28"/>
                <w:szCs w:val="22"/>
              </w:rPr>
            </w:pPr>
            <w:r w:rsidRPr="00E138C3">
              <w:rPr>
                <w:rFonts w:ascii="Tahoma" w:hAnsi="Tahoma" w:cs="Tahoma"/>
                <w:bCs/>
                <w:iCs/>
                <w:color w:val="FFFFFF"/>
                <w:sz w:val="28"/>
                <w:szCs w:val="22"/>
              </w:rPr>
              <w:t>5.</w:t>
            </w:r>
          </w:p>
        </w:tc>
        <w:tc>
          <w:tcPr>
            <w:tcW w:w="4590" w:type="pct"/>
            <w:gridSpan w:val="5"/>
            <w:shd w:val="clear" w:color="auto" w:fill="808080"/>
            <w:vAlign w:val="center"/>
          </w:tcPr>
          <w:p w14:paraId="7F4899EB" w14:textId="77777777" w:rsidR="00E138C3" w:rsidRPr="00E138C3" w:rsidRDefault="00E138C3" w:rsidP="00E138C3">
            <w:pPr>
              <w:tabs>
                <w:tab w:val="left" w:pos="284"/>
              </w:tabs>
              <w:rPr>
                <w:rFonts w:ascii="Tahoma" w:hAnsi="Tahoma" w:cs="Tahoma"/>
                <w:bCs/>
                <w:iCs/>
                <w:color w:val="FFFFFF"/>
                <w:sz w:val="28"/>
                <w:szCs w:val="22"/>
              </w:rPr>
            </w:pPr>
            <w:r w:rsidRPr="00E138C3">
              <w:rPr>
                <w:rFonts w:ascii="Tahoma" w:hAnsi="Tahoma" w:cs="Tahoma"/>
                <w:bCs/>
                <w:iCs/>
                <w:color w:val="FFFFFF"/>
                <w:sz w:val="28"/>
                <w:szCs w:val="22"/>
              </w:rPr>
              <w:t>Применимость правил программ лояльности</w:t>
            </w:r>
          </w:p>
        </w:tc>
      </w:tr>
      <w:tr w:rsidR="00E138C3" w:rsidRPr="00E138C3" w14:paraId="3B59A415" w14:textId="77777777" w:rsidTr="003D2438">
        <w:tc>
          <w:tcPr>
            <w:tcW w:w="2104" w:type="pct"/>
            <w:gridSpan w:val="2"/>
            <w:shd w:val="clear" w:color="auto" w:fill="808080"/>
            <w:vAlign w:val="center"/>
          </w:tcPr>
          <w:p w14:paraId="52D75FCF" w14:textId="77777777" w:rsidR="00E138C3" w:rsidRPr="00E138C3" w:rsidRDefault="00E138C3" w:rsidP="00E138C3">
            <w:pPr>
              <w:tabs>
                <w:tab w:val="left" w:pos="284"/>
              </w:tabs>
              <w:rPr>
                <w:rFonts w:ascii="Tahoma" w:hAnsi="Tahoma" w:cs="Tahoma"/>
                <w:b/>
                <w:bCs/>
                <w:iCs/>
                <w:color w:val="FFFFFF"/>
                <w:sz w:val="28"/>
                <w:szCs w:val="22"/>
              </w:rPr>
            </w:pPr>
          </w:p>
        </w:tc>
        <w:tc>
          <w:tcPr>
            <w:tcW w:w="1403" w:type="pct"/>
            <w:gridSpan w:val="2"/>
            <w:shd w:val="clear" w:color="auto" w:fill="808080"/>
            <w:vAlign w:val="center"/>
          </w:tcPr>
          <w:p w14:paraId="2B835E5E" w14:textId="77777777" w:rsidR="00E138C3" w:rsidRPr="00E138C3" w:rsidDel="00EB4583" w:rsidRDefault="00E138C3" w:rsidP="00E138C3">
            <w:pPr>
              <w:tabs>
                <w:tab w:val="left" w:pos="284"/>
              </w:tabs>
              <w:jc w:val="center"/>
              <w:rPr>
                <w:rFonts w:ascii="Tahoma" w:hAnsi="Tahoma" w:cs="Tahoma"/>
                <w:b/>
                <w:bCs/>
                <w:iCs/>
                <w:color w:val="FFFFFF"/>
                <w:sz w:val="28"/>
                <w:szCs w:val="22"/>
              </w:rPr>
            </w:pPr>
            <w:r w:rsidRPr="00E138C3">
              <w:rPr>
                <w:rFonts w:ascii="Tahoma" w:eastAsia="Calibri" w:hAnsi="Tahoma" w:cs="Tahoma"/>
                <w:b/>
                <w:color w:val="FFFFFF"/>
                <w:sz w:val="22"/>
                <w:szCs w:val="22"/>
                <w:lang w:eastAsia="en-US"/>
              </w:rPr>
              <w:t>UnionPay</w:t>
            </w:r>
            <w:r w:rsidRPr="00E138C3">
              <w:rPr>
                <w:rFonts w:ascii="Tahoma" w:hAnsi="Tahoma" w:cs="Tahoma"/>
                <w:b/>
                <w:bCs/>
                <w:iCs/>
                <w:color w:val="FFFFFF"/>
                <w:sz w:val="22"/>
                <w:szCs w:val="22"/>
              </w:rPr>
              <w:t xml:space="preserve"> </w:t>
            </w:r>
            <w:r w:rsidRPr="00E138C3">
              <w:rPr>
                <w:rFonts w:ascii="Tahoma" w:eastAsia="Calibri" w:hAnsi="Tahoma" w:cs="Tahoma"/>
                <w:b/>
                <w:color w:val="FFFFFF"/>
                <w:sz w:val="22"/>
                <w:szCs w:val="22"/>
                <w:lang w:eastAsia="en-US"/>
              </w:rPr>
              <w:t>Diamond</w:t>
            </w:r>
          </w:p>
        </w:tc>
        <w:tc>
          <w:tcPr>
            <w:tcW w:w="1493" w:type="pct"/>
            <w:gridSpan w:val="2"/>
            <w:shd w:val="clear" w:color="auto" w:fill="808080"/>
            <w:vAlign w:val="center"/>
          </w:tcPr>
          <w:p w14:paraId="69C811A4" w14:textId="77777777" w:rsidR="00E138C3" w:rsidRPr="00E138C3" w:rsidDel="00EB4583" w:rsidRDefault="00E138C3" w:rsidP="00E138C3">
            <w:pPr>
              <w:tabs>
                <w:tab w:val="left" w:pos="284"/>
              </w:tabs>
              <w:jc w:val="center"/>
              <w:rPr>
                <w:rFonts w:ascii="Tahoma" w:hAnsi="Tahoma" w:cs="Tahoma"/>
                <w:b/>
                <w:bCs/>
                <w:iCs/>
                <w:color w:val="FFFFFF"/>
                <w:sz w:val="28"/>
                <w:szCs w:val="22"/>
              </w:rPr>
            </w:pPr>
            <w:r w:rsidRPr="00E138C3">
              <w:rPr>
                <w:rFonts w:ascii="Tahoma" w:eastAsia="Calibri" w:hAnsi="Tahoma" w:cs="Tahoma"/>
                <w:b/>
                <w:color w:val="FFFFFF"/>
                <w:sz w:val="22"/>
                <w:szCs w:val="22"/>
                <w:lang w:eastAsia="en-US"/>
              </w:rPr>
              <w:t>Visa Platinum</w:t>
            </w:r>
          </w:p>
        </w:tc>
      </w:tr>
      <w:tr w:rsidR="00E138C3" w:rsidRPr="00E138C3" w14:paraId="038EB379" w14:textId="77777777" w:rsidTr="003D2438">
        <w:trPr>
          <w:trHeight w:val="1149"/>
        </w:trPr>
        <w:tc>
          <w:tcPr>
            <w:tcW w:w="410" w:type="pct"/>
            <w:shd w:val="clear" w:color="auto" w:fill="auto"/>
            <w:vAlign w:val="center"/>
          </w:tcPr>
          <w:p w14:paraId="78F89BDB" w14:textId="77777777" w:rsidR="00E138C3" w:rsidRPr="00E138C3" w:rsidRDefault="00E138C3" w:rsidP="00E138C3">
            <w:pPr>
              <w:spacing w:after="160" w:line="259" w:lineRule="auto"/>
              <w:rPr>
                <w:rFonts w:ascii="Tahoma" w:hAnsi="Tahoma" w:cs="Tahoma"/>
                <w:bCs/>
                <w:iCs/>
                <w:color w:val="000000"/>
                <w:sz w:val="22"/>
                <w:szCs w:val="22"/>
              </w:rPr>
            </w:pPr>
            <w:r w:rsidRPr="00E138C3">
              <w:rPr>
                <w:rFonts w:ascii="Tahoma" w:hAnsi="Tahoma" w:cs="Tahoma"/>
                <w:bCs/>
                <w:iCs/>
                <w:color w:val="000000"/>
                <w:sz w:val="22"/>
                <w:szCs w:val="22"/>
              </w:rPr>
              <w:t>5.1.</w:t>
            </w:r>
          </w:p>
        </w:tc>
        <w:tc>
          <w:tcPr>
            <w:tcW w:w="1694" w:type="pct"/>
            <w:shd w:val="clear" w:color="auto" w:fill="auto"/>
            <w:vAlign w:val="center"/>
          </w:tcPr>
          <w:p w14:paraId="748025C7" w14:textId="77777777" w:rsidR="00E138C3" w:rsidRPr="00E138C3" w:rsidDel="00EB4583" w:rsidRDefault="00E138C3" w:rsidP="00E138C3">
            <w:pPr>
              <w:spacing w:after="160" w:line="259" w:lineRule="auto"/>
              <w:rPr>
                <w:rFonts w:ascii="Tahoma" w:hAnsi="Tahoma" w:cs="Tahoma"/>
                <w:bCs/>
                <w:iCs/>
                <w:color w:val="000000"/>
                <w:sz w:val="22"/>
                <w:szCs w:val="22"/>
              </w:rPr>
            </w:pPr>
            <w:r w:rsidRPr="00E138C3">
              <w:rPr>
                <w:rFonts w:ascii="Tahoma" w:hAnsi="Tahoma" w:cs="Tahoma"/>
                <w:bCs/>
                <w:iCs/>
                <w:color w:val="000000"/>
                <w:sz w:val="22"/>
                <w:szCs w:val="22"/>
              </w:rPr>
              <w:t>Программа лояльности для клиентов-держателей Банковских карт «Азиатско-Тихоокеанский Банк, (АО)», размещённой на Сайте Банка www.atb.su и Подразделениях Банка</w:t>
            </w:r>
          </w:p>
        </w:tc>
        <w:tc>
          <w:tcPr>
            <w:tcW w:w="2896" w:type="pct"/>
            <w:gridSpan w:val="4"/>
            <w:shd w:val="clear" w:color="auto" w:fill="auto"/>
            <w:vAlign w:val="center"/>
          </w:tcPr>
          <w:p w14:paraId="733641FE" w14:textId="77777777" w:rsidR="00E138C3" w:rsidRPr="00E138C3" w:rsidDel="00EB4583" w:rsidRDefault="00E138C3" w:rsidP="00E138C3">
            <w:pPr>
              <w:spacing w:after="160" w:line="259" w:lineRule="auto"/>
              <w:jc w:val="center"/>
              <w:rPr>
                <w:rFonts w:ascii="Tahoma" w:hAnsi="Tahoma" w:cs="Tahoma"/>
                <w:bCs/>
                <w:iCs/>
                <w:color w:val="000000"/>
                <w:sz w:val="22"/>
                <w:szCs w:val="22"/>
              </w:rPr>
            </w:pPr>
            <w:r w:rsidRPr="00E138C3">
              <w:rPr>
                <w:rFonts w:ascii="Tahoma" w:hAnsi="Tahoma" w:cs="Tahoma"/>
                <w:bCs/>
                <w:iCs/>
                <w:color w:val="000000"/>
                <w:sz w:val="22"/>
                <w:szCs w:val="22"/>
              </w:rPr>
              <w:t xml:space="preserve">Согласно действующей </w:t>
            </w:r>
            <w:r w:rsidRPr="00E138C3">
              <w:rPr>
                <w:rFonts w:ascii="Tahoma" w:hAnsi="Tahoma" w:cs="Tahoma"/>
                <w:b/>
                <w:bCs/>
                <w:iCs/>
                <w:color w:val="000000"/>
                <w:sz w:val="22"/>
                <w:szCs w:val="22"/>
              </w:rPr>
              <w:t>Бонусной программе «Премиум-Бонус»</w:t>
            </w:r>
            <w:r w:rsidRPr="00E138C3">
              <w:rPr>
                <w:rFonts w:ascii="Tahoma" w:hAnsi="Tahoma" w:cs="Tahoma"/>
                <w:bCs/>
                <w:iCs/>
                <w:color w:val="000000"/>
                <w:sz w:val="22"/>
                <w:szCs w:val="22"/>
              </w:rPr>
              <w:t>, размещенной на Сайте Банка www.atb.su и в Подразделениях Банка</w:t>
            </w:r>
          </w:p>
        </w:tc>
      </w:tr>
      <w:tr w:rsidR="00E138C3" w:rsidRPr="00E138C3" w14:paraId="616BA305" w14:textId="77777777" w:rsidTr="003D2438">
        <w:trPr>
          <w:trHeight w:val="517"/>
        </w:trPr>
        <w:tc>
          <w:tcPr>
            <w:tcW w:w="410" w:type="pct"/>
            <w:shd w:val="clear" w:color="auto" w:fill="auto"/>
            <w:vAlign w:val="center"/>
          </w:tcPr>
          <w:p w14:paraId="1487E8B9" w14:textId="77777777" w:rsidR="00E138C3" w:rsidRPr="00E138C3" w:rsidRDefault="00E138C3" w:rsidP="00E138C3">
            <w:pPr>
              <w:spacing w:after="160" w:line="259" w:lineRule="auto"/>
              <w:rPr>
                <w:rFonts w:ascii="Tahoma" w:hAnsi="Tahoma" w:cs="Tahoma"/>
                <w:bCs/>
                <w:iCs/>
                <w:color w:val="000000"/>
                <w:sz w:val="22"/>
                <w:szCs w:val="22"/>
              </w:rPr>
            </w:pPr>
            <w:r w:rsidRPr="00E138C3">
              <w:rPr>
                <w:rFonts w:ascii="Tahoma" w:hAnsi="Tahoma" w:cs="Tahoma"/>
                <w:bCs/>
                <w:iCs/>
                <w:color w:val="000000"/>
                <w:sz w:val="22"/>
                <w:szCs w:val="22"/>
              </w:rPr>
              <w:t>5.2.</w:t>
            </w:r>
          </w:p>
        </w:tc>
        <w:tc>
          <w:tcPr>
            <w:tcW w:w="1694" w:type="pct"/>
            <w:shd w:val="clear" w:color="auto" w:fill="auto"/>
            <w:vAlign w:val="center"/>
          </w:tcPr>
          <w:p w14:paraId="3CF7CACA" w14:textId="77777777" w:rsidR="00E138C3" w:rsidRPr="00E138C3" w:rsidRDefault="00E138C3" w:rsidP="00E138C3">
            <w:pPr>
              <w:spacing w:after="160" w:line="259" w:lineRule="auto"/>
              <w:rPr>
                <w:rFonts w:ascii="Tahoma" w:hAnsi="Tahoma" w:cs="Tahoma"/>
                <w:bCs/>
                <w:iCs/>
                <w:color w:val="000000"/>
                <w:sz w:val="22"/>
                <w:szCs w:val="22"/>
              </w:rPr>
            </w:pPr>
            <w:r w:rsidRPr="00E138C3">
              <w:rPr>
                <w:rFonts w:ascii="Tahoma" w:hAnsi="Tahoma" w:cs="Tahoma"/>
                <w:bCs/>
                <w:iCs/>
                <w:color w:val="000000"/>
                <w:sz w:val="22"/>
                <w:szCs w:val="22"/>
              </w:rPr>
              <w:t>Иные программы лояльности</w:t>
            </w:r>
          </w:p>
        </w:tc>
        <w:tc>
          <w:tcPr>
            <w:tcW w:w="2896" w:type="pct"/>
            <w:gridSpan w:val="4"/>
            <w:shd w:val="clear" w:color="auto" w:fill="auto"/>
            <w:vAlign w:val="center"/>
          </w:tcPr>
          <w:p w14:paraId="092B6919" w14:textId="77777777" w:rsidR="00E138C3" w:rsidRPr="00E138C3" w:rsidRDefault="00E138C3" w:rsidP="00E138C3">
            <w:pPr>
              <w:spacing w:after="160" w:line="259" w:lineRule="auto"/>
              <w:jc w:val="both"/>
              <w:rPr>
                <w:rFonts w:ascii="Tahoma" w:hAnsi="Tahoma" w:cs="Tahoma"/>
                <w:bCs/>
                <w:iCs/>
                <w:color w:val="000000"/>
                <w:sz w:val="22"/>
                <w:szCs w:val="22"/>
              </w:rPr>
            </w:pPr>
            <w:r w:rsidRPr="00E138C3">
              <w:rPr>
                <w:rFonts w:ascii="Tahoma" w:hAnsi="Tahoma" w:cs="Tahoma"/>
                <w:bCs/>
                <w:iCs/>
                <w:color w:val="000000"/>
                <w:sz w:val="22"/>
                <w:szCs w:val="22"/>
              </w:rPr>
              <w:t>Услуги и сервисы в рамках программ привилегий Международных платежных систем Visa International Service Association и MasterCard Inc., а также компании Priority Pass Ltd. не предоставляются с 10.03.2022 года в связи с приостановлением деятельности указанных сервисов для карт, эмитированных российскими банками.</w:t>
            </w:r>
          </w:p>
        </w:tc>
      </w:tr>
    </w:tbl>
    <w:p w14:paraId="7959E6D5" w14:textId="77777777" w:rsidR="00E138C3" w:rsidRPr="00E138C3" w:rsidRDefault="00E138C3" w:rsidP="00E138C3">
      <w:pPr>
        <w:tabs>
          <w:tab w:val="left" w:pos="284"/>
        </w:tabs>
        <w:jc w:val="both"/>
        <w:rPr>
          <w:rFonts w:ascii="Tahoma" w:hAnsi="Tahoma" w:cs="Tahoma"/>
          <w:bCs/>
          <w:iCs/>
          <w:sz w:val="22"/>
          <w:szCs w:val="22"/>
        </w:rPr>
      </w:pPr>
    </w:p>
    <w:p w14:paraId="08F9686D" w14:textId="77777777" w:rsidR="00E138C3" w:rsidRPr="00E138C3" w:rsidRDefault="00E138C3" w:rsidP="00E138C3">
      <w:pPr>
        <w:spacing w:after="160" w:line="259" w:lineRule="auto"/>
        <w:rPr>
          <w:rFonts w:ascii="Tahoma" w:hAnsi="Tahoma" w:cs="Tahoma"/>
          <w:b/>
          <w:bCs/>
          <w:iCs/>
          <w:color w:val="000000"/>
          <w:sz w:val="20"/>
          <w:szCs w:val="22"/>
        </w:rPr>
      </w:pPr>
      <w:r w:rsidRPr="00E138C3">
        <w:rPr>
          <w:rFonts w:ascii="Tahoma" w:hAnsi="Tahoma" w:cs="Tahoma"/>
          <w:b/>
          <w:bCs/>
          <w:iCs/>
          <w:color w:val="000000"/>
          <w:sz w:val="20"/>
          <w:szCs w:val="22"/>
        </w:rPr>
        <w:t>Примечания:</w:t>
      </w:r>
    </w:p>
    <w:p w14:paraId="6327D890" w14:textId="77777777" w:rsidR="00E138C3" w:rsidRPr="00E138C3" w:rsidRDefault="00E138C3" w:rsidP="00E138C3">
      <w:pPr>
        <w:tabs>
          <w:tab w:val="left" w:pos="284"/>
        </w:tabs>
        <w:jc w:val="both"/>
        <w:rPr>
          <w:rFonts w:ascii="Tahoma" w:eastAsia="Calibri" w:hAnsi="Tahoma" w:cs="Tahoma"/>
          <w:sz w:val="18"/>
          <w:szCs w:val="18"/>
          <w:lang w:eastAsia="en-US"/>
        </w:rPr>
      </w:pPr>
      <w:r w:rsidRPr="00E138C3">
        <w:rPr>
          <w:rFonts w:ascii="Tahoma" w:hAnsi="Tahoma" w:cs="Tahoma"/>
          <w:bCs/>
          <w:iCs/>
          <w:sz w:val="18"/>
          <w:szCs w:val="18"/>
          <w:vertAlign w:val="superscript"/>
        </w:rPr>
        <w:t>1</w:t>
      </w:r>
      <w:r w:rsidRPr="00E138C3">
        <w:rPr>
          <w:rFonts w:ascii="Tahoma" w:eastAsia="Calibri" w:hAnsi="Tahoma" w:cs="Tahoma"/>
          <w:sz w:val="18"/>
          <w:szCs w:val="18"/>
          <w:lang w:eastAsia="en-US"/>
        </w:rPr>
        <w:t xml:space="preserve">Все предусмотренные Программой Тарифы (комиссионные платежи) взимаются (списываются) в порядке прямого дебетования на основании заранее данного Клиентом Банку акцепта и (или) инкассовыми поручениями с любого Счета Карты, Накопительного счета Клиента в Банке, в момент совершения соответствующей операции, если иное не установлено Программой/договором с Клиентом. Списание комиссий в валюте, отличной от валюты счета списания, производится Банком по курсу Банка России на день проведения операции. Комиссии, указанные в процентах, исчисляются от суммы тарифицируемой операции. Условия, определенные Программой, имеют приоритетную силу над условиями УДБО. </w:t>
      </w:r>
    </w:p>
    <w:p w14:paraId="0AAC0AA5" w14:textId="77777777" w:rsidR="00E138C3" w:rsidRPr="00E138C3" w:rsidRDefault="00E138C3" w:rsidP="00E138C3">
      <w:pPr>
        <w:tabs>
          <w:tab w:val="left" w:pos="284"/>
        </w:tabs>
        <w:jc w:val="both"/>
        <w:rPr>
          <w:rFonts w:ascii="Tahoma" w:eastAsia="Calibri" w:hAnsi="Tahoma" w:cs="Tahoma"/>
          <w:sz w:val="18"/>
          <w:szCs w:val="18"/>
          <w:lang w:eastAsia="en-US"/>
        </w:rPr>
      </w:pPr>
      <w:r w:rsidRPr="00E138C3">
        <w:rPr>
          <w:rFonts w:ascii="Tahoma" w:eastAsia="Calibri" w:hAnsi="Tahoma" w:cs="Tahoma"/>
          <w:sz w:val="18"/>
          <w:szCs w:val="18"/>
          <w:lang w:eastAsia="en-US"/>
        </w:rPr>
        <w:t xml:space="preserve">По волеизъявлению Клиента ему могут быть открыты Счета, предоставлен Кредит, на основании отдельно заключаемых договоров в рамках иных программ и Тарифных планов Банка. </w:t>
      </w:r>
    </w:p>
    <w:p w14:paraId="052118DD" w14:textId="77777777" w:rsidR="00E138C3" w:rsidRPr="00E138C3" w:rsidRDefault="00E138C3" w:rsidP="00E138C3">
      <w:pPr>
        <w:contextualSpacing/>
        <w:jc w:val="both"/>
        <w:rPr>
          <w:rFonts w:ascii="Tahoma" w:eastAsia="Calibri" w:hAnsi="Tahoma" w:cs="Tahoma"/>
          <w:sz w:val="18"/>
          <w:szCs w:val="18"/>
          <w:lang w:eastAsia="en-US"/>
        </w:rPr>
      </w:pPr>
      <w:r w:rsidRPr="00E138C3">
        <w:rPr>
          <w:rFonts w:ascii="Tahoma" w:eastAsia="Calibri" w:hAnsi="Tahoma" w:cs="Tahoma"/>
          <w:sz w:val="18"/>
          <w:szCs w:val="18"/>
          <w:lang w:eastAsia="en-US"/>
        </w:rPr>
        <w:t>Смена категории с «VIP Премьер» на «VIP Премьер+» или с «VIP Премьер+» на «VIP Премьер» или изменение условий/Тарифов/наполнения Программы услугами, оформляемых на условиях Тарифов, отличающихся от настоящих, возможен только после подписания соответствующих документов, предусматривающих такого рода изменения, с Клиентом-держателем Программы, за исключением изменений, инициируемых Банком в одностороннем порядке в случаях, предусмотренных законодательством Российской Федерации, Договором с Клиентом.</w:t>
      </w:r>
    </w:p>
    <w:p w14:paraId="61C37D3F" w14:textId="77777777" w:rsidR="00E138C3" w:rsidRPr="00E138C3" w:rsidRDefault="00E138C3" w:rsidP="00E138C3">
      <w:pPr>
        <w:contextualSpacing/>
        <w:jc w:val="both"/>
        <w:rPr>
          <w:rFonts w:ascii="Tahoma" w:eastAsia="Calibri" w:hAnsi="Tahoma" w:cs="Tahoma"/>
          <w:sz w:val="18"/>
          <w:szCs w:val="18"/>
          <w:lang w:eastAsia="en-US"/>
        </w:rPr>
      </w:pPr>
      <w:r w:rsidRPr="00E138C3">
        <w:rPr>
          <w:rFonts w:ascii="Tahoma" w:eastAsia="Calibri" w:hAnsi="Tahoma" w:cs="Tahoma"/>
          <w:sz w:val="18"/>
          <w:szCs w:val="18"/>
          <w:lang w:eastAsia="en-US"/>
        </w:rPr>
        <w:t>Программа – настоящий документ.</w:t>
      </w:r>
    </w:p>
    <w:p w14:paraId="23A8C51C" w14:textId="77777777" w:rsidR="00E138C3" w:rsidRPr="00E138C3" w:rsidRDefault="00E138C3" w:rsidP="00E138C3">
      <w:pPr>
        <w:tabs>
          <w:tab w:val="left" w:pos="284"/>
        </w:tabs>
        <w:jc w:val="both"/>
        <w:rPr>
          <w:rFonts w:ascii="Tahoma" w:eastAsia="Calibri" w:hAnsi="Tahoma" w:cs="Tahoma"/>
          <w:sz w:val="18"/>
          <w:szCs w:val="18"/>
          <w:lang w:eastAsia="en-US"/>
        </w:rPr>
      </w:pPr>
      <w:r w:rsidRPr="00E138C3">
        <w:rPr>
          <w:rFonts w:ascii="Tahoma" w:eastAsia="Calibri" w:hAnsi="Tahoma" w:cs="Tahoma"/>
          <w:sz w:val="18"/>
          <w:szCs w:val="18"/>
          <w:lang w:eastAsia="en-US"/>
        </w:rPr>
        <w:t>Премиальная категория обслуживания не присваивается Клиенту, если у него имеется перед Банком по любому Договору банковской услуги просроченная задолженность в течение последних 180 календарных дней продолжительностью (с перерывами или непрерывно) более 30 календарных дней.</w:t>
      </w:r>
    </w:p>
    <w:p w14:paraId="1C9E9A3E" w14:textId="77777777" w:rsidR="00E138C3" w:rsidRPr="00E138C3" w:rsidRDefault="00E138C3" w:rsidP="00E138C3">
      <w:pPr>
        <w:tabs>
          <w:tab w:val="left" w:pos="284"/>
        </w:tabs>
        <w:jc w:val="both"/>
        <w:rPr>
          <w:rFonts w:ascii="Tahoma" w:eastAsia="Calibri" w:hAnsi="Tahoma" w:cs="Tahoma"/>
          <w:sz w:val="18"/>
          <w:szCs w:val="18"/>
          <w:lang w:eastAsia="en-US"/>
        </w:rPr>
      </w:pPr>
      <w:r w:rsidRPr="00E138C3">
        <w:rPr>
          <w:rFonts w:ascii="Tahoma" w:eastAsia="Calibri" w:hAnsi="Tahoma" w:cs="Tahoma"/>
          <w:sz w:val="18"/>
          <w:szCs w:val="18"/>
          <w:vertAlign w:val="superscript"/>
          <w:lang w:eastAsia="en-US"/>
        </w:rPr>
        <w:t>2</w:t>
      </w:r>
      <w:r w:rsidRPr="00E138C3">
        <w:rPr>
          <w:rFonts w:ascii="Tahoma" w:eastAsia="Calibri" w:hAnsi="Tahoma" w:cs="Tahoma"/>
          <w:sz w:val="18"/>
          <w:szCs w:val="18"/>
          <w:lang w:eastAsia="en-US"/>
        </w:rPr>
        <w:t>Не указанные в Программе термины применяются в значении, указанном в Универсальном договоре банковского обслуживания физических лиц «Азиатско-Тихоокеанский Банк» (АО) (по тексту–УДБО), размещённом на Сайте Банка www.atb.su, в Подразделениях Банка.</w:t>
      </w:r>
    </w:p>
    <w:p w14:paraId="0B8FF28D" w14:textId="77777777" w:rsidR="00E138C3" w:rsidRPr="00E138C3" w:rsidRDefault="00E138C3" w:rsidP="00E138C3">
      <w:pPr>
        <w:tabs>
          <w:tab w:val="left" w:pos="709"/>
        </w:tabs>
        <w:jc w:val="both"/>
        <w:rPr>
          <w:rFonts w:ascii="Tahoma" w:hAnsi="Tahoma" w:cs="Tahoma"/>
          <w:bCs/>
          <w:iCs/>
          <w:sz w:val="18"/>
          <w:szCs w:val="18"/>
        </w:rPr>
      </w:pPr>
      <w:r w:rsidRPr="00E138C3">
        <w:rPr>
          <w:rFonts w:ascii="Tahoma" w:hAnsi="Tahoma" w:cs="Tahoma"/>
          <w:sz w:val="18"/>
          <w:szCs w:val="18"/>
          <w:vertAlign w:val="superscript"/>
        </w:rPr>
        <w:t>3</w:t>
      </w:r>
      <w:r w:rsidRPr="00E138C3">
        <w:rPr>
          <w:rFonts w:ascii="Tahoma" w:hAnsi="Tahoma" w:cs="Tahoma"/>
          <w:bCs/>
          <w:iCs/>
          <w:sz w:val="18"/>
          <w:szCs w:val="18"/>
        </w:rPr>
        <w:t>Порядок начисления и взимания Банком комиссионного вознаграждения, установленного Программой, для Клиентов-держателей Программы (взимается до оказания Банком услуги, если иное не установлено Программой):</w:t>
      </w:r>
    </w:p>
    <w:p w14:paraId="2C58BD47" w14:textId="77777777" w:rsidR="00E138C3" w:rsidRPr="00E138C3" w:rsidRDefault="00E138C3" w:rsidP="00E138C3">
      <w:pPr>
        <w:numPr>
          <w:ilvl w:val="0"/>
          <w:numId w:val="170"/>
        </w:numPr>
        <w:autoSpaceDE w:val="0"/>
        <w:autoSpaceDN w:val="0"/>
        <w:adjustRightInd w:val="0"/>
        <w:spacing w:after="160" w:line="259" w:lineRule="auto"/>
        <w:ind w:left="0"/>
        <w:jc w:val="both"/>
        <w:rPr>
          <w:rFonts w:ascii="Tahoma" w:hAnsi="Tahoma" w:cs="Tahoma"/>
          <w:bCs/>
          <w:iCs/>
          <w:sz w:val="18"/>
          <w:szCs w:val="18"/>
        </w:rPr>
      </w:pPr>
      <w:r w:rsidRPr="00E138C3">
        <w:rPr>
          <w:rFonts w:ascii="Tahoma" w:hAnsi="Tahoma" w:cs="Tahoma"/>
          <w:bCs/>
          <w:iCs/>
          <w:sz w:val="18"/>
          <w:szCs w:val="18"/>
        </w:rPr>
        <w:t>В Льготный период – календарный месяц, в котором Клиент оформил Программу, и в котором комиссия не начисляется.</w:t>
      </w:r>
    </w:p>
    <w:p w14:paraId="63620D28" w14:textId="77777777" w:rsidR="00E138C3" w:rsidRPr="00E138C3" w:rsidRDefault="00E138C3" w:rsidP="00E138C3">
      <w:pPr>
        <w:numPr>
          <w:ilvl w:val="0"/>
          <w:numId w:val="170"/>
        </w:numPr>
        <w:autoSpaceDE w:val="0"/>
        <w:autoSpaceDN w:val="0"/>
        <w:adjustRightInd w:val="0"/>
        <w:spacing w:after="160" w:line="259" w:lineRule="auto"/>
        <w:ind w:left="0"/>
        <w:jc w:val="both"/>
        <w:rPr>
          <w:rFonts w:ascii="Tahoma" w:hAnsi="Tahoma" w:cs="Tahoma"/>
          <w:bCs/>
          <w:iCs/>
          <w:sz w:val="18"/>
          <w:szCs w:val="18"/>
        </w:rPr>
      </w:pPr>
      <w:r w:rsidRPr="00E138C3">
        <w:rPr>
          <w:rFonts w:ascii="Tahoma" w:hAnsi="Tahoma" w:cs="Tahoma"/>
          <w:bCs/>
          <w:iCs/>
          <w:sz w:val="18"/>
          <w:szCs w:val="22"/>
        </w:rPr>
        <w:t>Со второго календарного месяца после оформления Программы и в последующие календарные месяцы обслуживания, комиссия начисляется исходя из суммы Средних остатков, суммы безналичных покупок по Карте и поступления Заработной платы</w:t>
      </w:r>
      <w:r w:rsidRPr="00E138C3">
        <w:rPr>
          <w:rFonts w:ascii="Tahoma" w:hAnsi="Tahoma" w:cs="Tahoma"/>
          <w:bCs/>
          <w:iCs/>
          <w:color w:val="FF0000"/>
          <w:sz w:val="18"/>
          <w:szCs w:val="22"/>
        </w:rPr>
        <w:t xml:space="preserve"> </w:t>
      </w:r>
      <w:r w:rsidRPr="00E138C3">
        <w:rPr>
          <w:rFonts w:ascii="Tahoma" w:hAnsi="Tahoma" w:cs="Tahoma"/>
          <w:bCs/>
          <w:iCs/>
          <w:sz w:val="18"/>
          <w:szCs w:val="22"/>
        </w:rPr>
        <w:t xml:space="preserve">на Счет Карты за каждый календарный месяц. Комиссия рассчитывается и взимается (при не соблюдении условий бесплатного обслуживания, указанных в п.2. Программы) в третьем и последующих месяцах не позднее четвертого рабочего дня месяца. </w:t>
      </w:r>
    </w:p>
    <w:p w14:paraId="439F927F" w14:textId="77777777" w:rsidR="00E138C3" w:rsidRPr="00E138C3" w:rsidRDefault="00E138C3" w:rsidP="00E138C3">
      <w:pPr>
        <w:numPr>
          <w:ilvl w:val="0"/>
          <w:numId w:val="170"/>
        </w:numPr>
        <w:autoSpaceDE w:val="0"/>
        <w:autoSpaceDN w:val="0"/>
        <w:adjustRightInd w:val="0"/>
        <w:spacing w:after="160" w:line="259" w:lineRule="auto"/>
        <w:ind w:left="0"/>
        <w:jc w:val="both"/>
        <w:rPr>
          <w:rFonts w:ascii="Tahoma" w:hAnsi="Tahoma" w:cs="Tahoma"/>
          <w:bCs/>
          <w:iCs/>
          <w:sz w:val="18"/>
          <w:szCs w:val="18"/>
        </w:rPr>
      </w:pPr>
      <w:r w:rsidRPr="00E138C3">
        <w:rPr>
          <w:rFonts w:ascii="Tahoma" w:hAnsi="Tahoma" w:cs="Tahoma"/>
          <w:bCs/>
          <w:iCs/>
          <w:sz w:val="18"/>
          <w:szCs w:val="18"/>
        </w:rPr>
        <w:t>При прекращении обслуживания Клиента в рамках Программы (закрытии всех Счетов) комиссия начисляется и взимается в день подачи Клиентом Заявления о закрытии последнего из Счетов, оформленного в рамках Программы. За неполный месяц при подаче такого Заявления комиссия не начисляется и не взимается (за исключением случаев расторжения Программы в Льготном периоде (п.3</w:t>
      </w:r>
      <w:r w:rsidRPr="00E138C3">
        <w:rPr>
          <w:rFonts w:ascii="Tahoma" w:hAnsi="Tahoma" w:cs="Tahoma"/>
          <w:bCs/>
          <w:iCs/>
          <w:sz w:val="18"/>
          <w:szCs w:val="18"/>
          <w:lang w:val="en-US"/>
        </w:rPr>
        <w:t>d</w:t>
      </w:r>
      <w:r w:rsidRPr="00E138C3">
        <w:rPr>
          <w:rFonts w:ascii="Tahoma" w:hAnsi="Tahoma" w:cs="Tahoma"/>
          <w:bCs/>
          <w:iCs/>
          <w:sz w:val="18"/>
          <w:szCs w:val="18"/>
        </w:rPr>
        <w:t xml:space="preserve"> </w:t>
      </w:r>
      <w:r w:rsidRPr="00E138C3">
        <w:rPr>
          <w:rFonts w:ascii="Tahoma" w:eastAsia="Calibri" w:hAnsi="Tahoma" w:cs="Tahoma"/>
          <w:bCs/>
          <w:iCs/>
          <w:color w:val="000000"/>
          <w:sz w:val="18"/>
          <w:szCs w:val="18"/>
          <w:lang w:eastAsia="en-US"/>
        </w:rPr>
        <w:t>настоящих Примечаний</w:t>
      </w:r>
      <w:r w:rsidRPr="00E138C3">
        <w:rPr>
          <w:rFonts w:ascii="Tahoma" w:hAnsi="Tahoma" w:cs="Tahoma"/>
          <w:bCs/>
          <w:iCs/>
          <w:sz w:val="18"/>
          <w:szCs w:val="18"/>
        </w:rPr>
        <w:t>).</w:t>
      </w:r>
    </w:p>
    <w:p w14:paraId="5BC3D93E" w14:textId="77777777" w:rsidR="00E138C3" w:rsidRPr="00E138C3" w:rsidRDefault="00E138C3" w:rsidP="00E138C3">
      <w:pPr>
        <w:numPr>
          <w:ilvl w:val="0"/>
          <w:numId w:val="170"/>
        </w:numPr>
        <w:autoSpaceDE w:val="0"/>
        <w:autoSpaceDN w:val="0"/>
        <w:adjustRightInd w:val="0"/>
        <w:spacing w:after="160" w:line="259" w:lineRule="auto"/>
        <w:ind w:left="0"/>
        <w:jc w:val="both"/>
        <w:rPr>
          <w:rFonts w:ascii="Tahoma" w:hAnsi="Tahoma" w:cs="Tahoma"/>
          <w:bCs/>
          <w:iCs/>
          <w:sz w:val="18"/>
          <w:szCs w:val="18"/>
        </w:rPr>
      </w:pPr>
      <w:r w:rsidRPr="00E138C3">
        <w:rPr>
          <w:rFonts w:ascii="Tahoma" w:hAnsi="Tahoma" w:cs="Tahoma"/>
          <w:bCs/>
          <w:iCs/>
          <w:sz w:val="18"/>
          <w:szCs w:val="18"/>
        </w:rPr>
        <w:t>В случае прекращения банковского обслуживания в «Азиатско-Тихоокеанский Банк» (АО) в рамках Программы в Льготном периоде по волеизъявлению Клиента, а также в иных случаях, предусмотренных законодательством РФ и заключенным Договором с Клиентом,</w:t>
      </w:r>
      <w:r w:rsidRPr="00E138C3" w:rsidDel="00B51EDB">
        <w:rPr>
          <w:rFonts w:ascii="Tahoma" w:hAnsi="Tahoma" w:cs="Tahoma"/>
          <w:bCs/>
          <w:iCs/>
          <w:sz w:val="18"/>
          <w:szCs w:val="18"/>
        </w:rPr>
        <w:t xml:space="preserve"> </w:t>
      </w:r>
      <w:r w:rsidRPr="00E138C3">
        <w:rPr>
          <w:rFonts w:ascii="Tahoma" w:hAnsi="Tahoma" w:cs="Tahoma"/>
          <w:b/>
          <w:bCs/>
          <w:iCs/>
          <w:sz w:val="18"/>
          <w:szCs w:val="18"/>
        </w:rPr>
        <w:t>Банк имеет право потребовать от Клиента оплаты услуг в размере суммы ежемесячного обслуживания (согласно п.2.2), за каждый месяц с момента оформления Программы до даты расторжения Договора Клиента с Банком.</w:t>
      </w:r>
    </w:p>
    <w:p w14:paraId="037207D4" w14:textId="77777777" w:rsidR="00E138C3" w:rsidRPr="00E138C3" w:rsidRDefault="00E138C3" w:rsidP="00E138C3">
      <w:pPr>
        <w:autoSpaceDE w:val="0"/>
        <w:autoSpaceDN w:val="0"/>
        <w:adjustRightInd w:val="0"/>
        <w:jc w:val="both"/>
        <w:rPr>
          <w:rFonts w:ascii="Tahoma" w:hAnsi="Tahoma" w:cs="Tahoma"/>
          <w:bCs/>
          <w:iCs/>
          <w:sz w:val="18"/>
          <w:szCs w:val="18"/>
        </w:rPr>
      </w:pPr>
      <w:r w:rsidRPr="00E138C3">
        <w:rPr>
          <w:rFonts w:ascii="Tahoma" w:hAnsi="Tahoma" w:cs="Tahoma"/>
          <w:bCs/>
          <w:iCs/>
          <w:sz w:val="18"/>
          <w:szCs w:val="18"/>
        </w:rPr>
        <w:t>При образовании комиссионной задолженности Клиента перед Банком, Банк имеет право в одностороннем порядке приостановить действие Карт Клиента, выпущенных в рамках Программы, и Программы лояльности, действующей в рамках Программы (операции по Счетам без использования Карт/реквизитов Карт остаются доступными), до даты погашения этой комиссионной задолженности, за исключением случаев, предусмотренных законодательством РФ.</w:t>
      </w:r>
    </w:p>
    <w:p w14:paraId="48A2FD7F" w14:textId="77777777" w:rsidR="00E138C3" w:rsidRPr="00E138C3" w:rsidRDefault="00E138C3" w:rsidP="00E138C3">
      <w:pPr>
        <w:autoSpaceDE w:val="0"/>
        <w:autoSpaceDN w:val="0"/>
        <w:adjustRightInd w:val="0"/>
        <w:jc w:val="both"/>
        <w:rPr>
          <w:rFonts w:ascii="Tahoma" w:hAnsi="Tahoma" w:cs="Tahoma"/>
          <w:bCs/>
          <w:iCs/>
          <w:sz w:val="18"/>
          <w:szCs w:val="18"/>
        </w:rPr>
      </w:pPr>
      <w:r w:rsidRPr="00E138C3">
        <w:rPr>
          <w:rFonts w:ascii="Tahoma" w:hAnsi="Tahoma" w:cs="Tahoma"/>
          <w:bCs/>
          <w:iCs/>
          <w:sz w:val="18"/>
          <w:szCs w:val="18"/>
          <w:lang w:val="en-US"/>
        </w:rPr>
        <w:t>C</w:t>
      </w:r>
      <w:r w:rsidRPr="00E138C3">
        <w:rPr>
          <w:rFonts w:ascii="Tahoma" w:hAnsi="Tahoma" w:cs="Tahoma"/>
          <w:bCs/>
          <w:iCs/>
          <w:sz w:val="18"/>
          <w:szCs w:val="18"/>
        </w:rPr>
        <w:t>писание комиссии за обслуживание Программы осуществляется единовременно с любых Счетов Клиента, открытых в рамках Программы, в следующей очередности (</w:t>
      </w:r>
      <w:r w:rsidRPr="00E138C3">
        <w:rPr>
          <w:rFonts w:ascii="Tahoma" w:eastAsia="Calibri" w:hAnsi="Tahoma" w:cs="Tahoma"/>
          <w:bCs/>
          <w:iCs/>
          <w:color w:val="000000"/>
          <w:sz w:val="18"/>
          <w:szCs w:val="18"/>
          <w:lang w:eastAsia="en-US"/>
        </w:rPr>
        <w:t>с учетом п.1 настоящих Примечаний, если иное не установлено настоящим пунктом)</w:t>
      </w:r>
      <w:r w:rsidRPr="00E138C3">
        <w:rPr>
          <w:rFonts w:ascii="Tahoma" w:hAnsi="Tahoma" w:cs="Tahoma"/>
          <w:bCs/>
          <w:iCs/>
          <w:sz w:val="18"/>
          <w:szCs w:val="18"/>
        </w:rPr>
        <w:t>:</w:t>
      </w:r>
    </w:p>
    <w:p w14:paraId="2FE3D4CB" w14:textId="77777777" w:rsidR="00E138C3" w:rsidRPr="00E138C3" w:rsidRDefault="00E138C3" w:rsidP="00E138C3">
      <w:pPr>
        <w:autoSpaceDE w:val="0"/>
        <w:autoSpaceDN w:val="0"/>
        <w:adjustRightInd w:val="0"/>
        <w:ind w:left="284"/>
        <w:jc w:val="both"/>
        <w:rPr>
          <w:rFonts w:ascii="Tahoma" w:hAnsi="Tahoma" w:cs="Tahoma"/>
          <w:bCs/>
          <w:iCs/>
          <w:sz w:val="18"/>
          <w:szCs w:val="18"/>
        </w:rPr>
      </w:pPr>
      <w:r w:rsidRPr="00E138C3">
        <w:rPr>
          <w:rFonts w:ascii="Tahoma" w:hAnsi="Tahoma" w:cs="Tahoma"/>
          <w:b/>
          <w:bCs/>
          <w:iCs/>
          <w:sz w:val="18"/>
          <w:szCs w:val="18"/>
        </w:rPr>
        <w:t>(1)</w:t>
      </w:r>
      <w:r w:rsidRPr="00E138C3">
        <w:rPr>
          <w:rFonts w:ascii="Tahoma" w:hAnsi="Tahoma" w:cs="Tahoma"/>
          <w:bCs/>
          <w:iCs/>
          <w:sz w:val="18"/>
          <w:szCs w:val="18"/>
        </w:rPr>
        <w:t xml:space="preserve"> Накопительные счета в рублях РФ; </w:t>
      </w:r>
      <w:r w:rsidRPr="00E138C3">
        <w:rPr>
          <w:rFonts w:ascii="Tahoma" w:hAnsi="Tahoma" w:cs="Tahoma"/>
          <w:b/>
          <w:bCs/>
          <w:iCs/>
          <w:sz w:val="18"/>
          <w:szCs w:val="18"/>
        </w:rPr>
        <w:t>(2)</w:t>
      </w:r>
      <w:r w:rsidRPr="00E138C3">
        <w:rPr>
          <w:rFonts w:ascii="Tahoma" w:hAnsi="Tahoma" w:cs="Tahoma"/>
          <w:bCs/>
          <w:iCs/>
          <w:sz w:val="18"/>
          <w:szCs w:val="18"/>
        </w:rPr>
        <w:t xml:space="preserve"> Счета Карты в рублях РФ; </w:t>
      </w:r>
      <w:r w:rsidRPr="00E138C3">
        <w:rPr>
          <w:rFonts w:ascii="Tahoma" w:hAnsi="Tahoma" w:cs="Tahoma"/>
          <w:b/>
          <w:bCs/>
          <w:iCs/>
          <w:sz w:val="18"/>
          <w:szCs w:val="18"/>
        </w:rPr>
        <w:t>(3)</w:t>
      </w:r>
      <w:r w:rsidRPr="00E138C3">
        <w:rPr>
          <w:rFonts w:ascii="Tahoma" w:hAnsi="Tahoma" w:cs="Tahoma"/>
          <w:bCs/>
          <w:iCs/>
          <w:sz w:val="18"/>
          <w:szCs w:val="18"/>
        </w:rPr>
        <w:t xml:space="preserve"> Накопительные счета в долларах США, далее в Евро, далее в иных валютах; </w:t>
      </w:r>
      <w:r w:rsidRPr="00E138C3">
        <w:rPr>
          <w:rFonts w:ascii="Tahoma" w:hAnsi="Tahoma" w:cs="Tahoma"/>
          <w:b/>
          <w:bCs/>
          <w:iCs/>
          <w:sz w:val="18"/>
          <w:szCs w:val="18"/>
        </w:rPr>
        <w:t>(4)</w:t>
      </w:r>
      <w:r w:rsidRPr="00E138C3">
        <w:rPr>
          <w:rFonts w:ascii="Tahoma" w:hAnsi="Tahoma" w:cs="Tahoma"/>
          <w:bCs/>
          <w:iCs/>
          <w:sz w:val="18"/>
          <w:szCs w:val="18"/>
        </w:rPr>
        <w:t xml:space="preserve"> Счета Карт в долларах США, далее в евро; </w:t>
      </w:r>
      <w:r w:rsidRPr="00E138C3">
        <w:rPr>
          <w:rFonts w:ascii="Tahoma" w:hAnsi="Tahoma" w:cs="Tahoma"/>
          <w:b/>
          <w:bCs/>
          <w:iCs/>
          <w:sz w:val="18"/>
          <w:szCs w:val="18"/>
        </w:rPr>
        <w:t>(6)</w:t>
      </w:r>
      <w:r w:rsidRPr="00E138C3">
        <w:rPr>
          <w:rFonts w:ascii="Tahoma" w:hAnsi="Tahoma" w:cs="Tahoma"/>
          <w:bCs/>
          <w:iCs/>
          <w:sz w:val="18"/>
          <w:szCs w:val="18"/>
        </w:rPr>
        <w:t xml:space="preserve"> п</w:t>
      </w:r>
      <w:r w:rsidRPr="00E138C3">
        <w:rPr>
          <w:rFonts w:ascii="Tahoma" w:eastAsia="Calibri" w:hAnsi="Tahoma" w:cs="Tahoma"/>
          <w:color w:val="000000"/>
          <w:sz w:val="18"/>
          <w:szCs w:val="18"/>
          <w:lang w:eastAsia="en-US"/>
        </w:rPr>
        <w:t>ри отсутствии или недостаточности денежных средств для списания комиссионных платежей с банковских Счетов, открытых в рамках Программы, Банк вправе производить списание с иных банковских Счетов, открытых на имя Клиента-физического лица в Банке</w:t>
      </w:r>
      <w:r w:rsidRPr="00E138C3">
        <w:rPr>
          <w:rFonts w:ascii="Tahoma" w:hAnsi="Tahoma" w:cs="Tahoma"/>
          <w:bCs/>
          <w:iCs/>
          <w:sz w:val="18"/>
          <w:szCs w:val="18"/>
        </w:rPr>
        <w:t xml:space="preserve">. </w:t>
      </w:r>
    </w:p>
    <w:p w14:paraId="5267398D" w14:textId="77777777" w:rsidR="00E138C3" w:rsidRPr="00E138C3" w:rsidRDefault="00E138C3" w:rsidP="00E138C3">
      <w:pPr>
        <w:autoSpaceDE w:val="0"/>
        <w:autoSpaceDN w:val="0"/>
        <w:adjustRightInd w:val="0"/>
        <w:jc w:val="both"/>
        <w:rPr>
          <w:rFonts w:ascii="Calibri" w:eastAsia="Calibri" w:hAnsi="Calibri" w:cs="Calibri"/>
          <w:color w:val="000000"/>
        </w:rPr>
      </w:pPr>
      <w:r w:rsidRPr="00E138C3">
        <w:rPr>
          <w:rFonts w:ascii="Tahoma" w:hAnsi="Tahoma" w:cs="Tahoma"/>
          <w:bCs/>
          <w:iCs/>
          <w:sz w:val="18"/>
          <w:szCs w:val="22"/>
        </w:rPr>
        <w:t>При недостаточности средств для списания комиссии в полном объеме на первом Счете по списку очередности, допускается частичное списание средств с каждого из последующих Счетов до взимания комиссии в полном объеме</w:t>
      </w:r>
      <w:r w:rsidRPr="00E138C3">
        <w:rPr>
          <w:rFonts w:ascii="Tahoma" w:hAnsi="Tahoma" w:cs="Tahoma"/>
          <w:bCs/>
          <w:iCs/>
          <w:color w:val="000000"/>
          <w:sz w:val="18"/>
        </w:rPr>
        <w:t>.</w:t>
      </w:r>
    </w:p>
    <w:p w14:paraId="5D17ACD7" w14:textId="77777777" w:rsidR="00E138C3" w:rsidRPr="00E138C3" w:rsidRDefault="00E138C3" w:rsidP="00E138C3">
      <w:pPr>
        <w:tabs>
          <w:tab w:val="left" w:pos="284"/>
        </w:tabs>
        <w:jc w:val="both"/>
        <w:rPr>
          <w:rFonts w:ascii="Tahoma" w:hAnsi="Tahoma" w:cs="Tahoma"/>
          <w:bCs/>
          <w:iCs/>
          <w:sz w:val="18"/>
          <w:szCs w:val="18"/>
        </w:rPr>
      </w:pPr>
      <w:r w:rsidRPr="00E138C3">
        <w:rPr>
          <w:rFonts w:ascii="Tahoma" w:hAnsi="Tahoma" w:cs="Tahoma"/>
          <w:bCs/>
          <w:iCs/>
          <w:sz w:val="18"/>
          <w:szCs w:val="18"/>
          <w:vertAlign w:val="superscript"/>
        </w:rPr>
        <w:t>4</w:t>
      </w:r>
      <w:r w:rsidRPr="00E138C3">
        <w:rPr>
          <w:rFonts w:ascii="Tahoma" w:hAnsi="Tahoma" w:cs="Tahoma"/>
          <w:bCs/>
          <w:iCs/>
          <w:sz w:val="18"/>
          <w:szCs w:val="18"/>
        </w:rPr>
        <w:t xml:space="preserve">Средние остатки (для условий бесплатного обслуживания Программы) – это совокупный баланс размещений денежных средств на Счетах Клиента в Банке, рассчитанный путем сложения ежедневных входящих остатков денежных средств на следующих счетах Клиента в Банке: Накопительных счетах, Счетах вклада, Текущих банковских счетах; остатки на банковских Счетах в драгоценных металлах (Счета ДМ), брокерских и Счетах Карт Клиента, в течение календарного месяца и деления этой суммы на количество дней в этом месяце (здесь и далее под месяцем понимается календарный месяц – это дни с 01-го по последний день месяца). При расчете Средних остатков за месяц подключения Программы деление производится на фактическое количество дней обслуживания (действия Программы) в этом месяце. Ежедневные входящие остатки в иностранной валюте принимаются в расчет по курсу ЦБ РФ на каждый день. </w:t>
      </w:r>
    </w:p>
    <w:p w14:paraId="704E8D0B" w14:textId="77777777" w:rsidR="00E138C3" w:rsidRPr="00E138C3" w:rsidRDefault="00E138C3" w:rsidP="00E138C3">
      <w:pPr>
        <w:jc w:val="both"/>
        <w:rPr>
          <w:rFonts w:ascii="Tahoma" w:hAnsi="Tahoma" w:cs="Tahoma"/>
          <w:bCs/>
          <w:iCs/>
          <w:sz w:val="18"/>
          <w:szCs w:val="18"/>
        </w:rPr>
      </w:pPr>
      <w:r w:rsidRPr="00E138C3">
        <w:rPr>
          <w:rFonts w:ascii="Tahoma" w:hAnsi="Tahoma" w:cs="Tahoma"/>
          <w:bCs/>
          <w:iCs/>
          <w:sz w:val="18"/>
          <w:szCs w:val="18"/>
          <w:vertAlign w:val="superscript"/>
        </w:rPr>
        <w:t>5</w:t>
      </w:r>
      <w:r w:rsidRPr="00E138C3">
        <w:rPr>
          <w:rFonts w:ascii="Tahoma" w:hAnsi="Tahoma" w:cs="Tahoma"/>
          <w:bCs/>
          <w:iCs/>
          <w:sz w:val="18"/>
          <w:szCs w:val="18"/>
        </w:rPr>
        <w:t>Сумма покупок (Транзакций) – это сумма операций, совершенных Клиентом (за Отчетный период) при покупке товаров, работ, результатов интеллектуальной деятельности, услуг в ТСП по всем Картам (за исключением Карт с лимитом кредитования), эмитированным Банком в рамках Программы. В расчет Суммы покупок принимаются операции, отраженные по балансу Банка. Операции в иностранной валюте принимаются в расчет по курсу Банка на момент их совершения. Денежные переводы со Счёта Карты Клиента между своими счетами или на счета третьих лиц (открытые как в Банке, так и в других кредитных организациях), переводы с карты на карту и квази-кэш, оплата товаров (услуг, работ, результатов интеллектуальной деятельности) в разделе «Платежи» Интернет-Банка и/или Мобильного Банка; платежи и переводы с целью пополнения любых виртуальных и/или электронных кошельков, или иных электронных денежных средств; операции с МСС-кодами: 4829, 6012, 6050, 6529, 6530, 6531, 6532, 6533, 6534, 6536, 6537, 6538, 6051, 6540, 7372, 7399, 7995, 8999 в расчет суммы покупок не включаются.</w:t>
      </w:r>
    </w:p>
    <w:p w14:paraId="1085D024" w14:textId="77777777" w:rsidR="00E138C3" w:rsidRPr="00E138C3" w:rsidRDefault="00E138C3" w:rsidP="00E138C3">
      <w:pPr>
        <w:jc w:val="both"/>
        <w:rPr>
          <w:rFonts w:ascii="Tahoma" w:hAnsi="Tahoma" w:cs="Tahoma"/>
          <w:bCs/>
          <w:iCs/>
          <w:sz w:val="18"/>
          <w:szCs w:val="18"/>
        </w:rPr>
      </w:pPr>
      <w:r w:rsidRPr="00E138C3">
        <w:rPr>
          <w:rFonts w:ascii="Tahoma" w:hAnsi="Tahoma" w:cs="Tahoma"/>
          <w:bCs/>
          <w:iCs/>
          <w:sz w:val="18"/>
          <w:szCs w:val="18"/>
        </w:rPr>
        <w:t>Для Карт в иностранных валютах в расчет Суммы покупок принимаются эквиваленты значений, указанные в п.2.3.2. и п.2.3.3. по курсу Банка на дату совершения Операций.</w:t>
      </w:r>
    </w:p>
    <w:p w14:paraId="788EB357" w14:textId="77777777" w:rsidR="00E138C3" w:rsidRPr="00E138C3" w:rsidRDefault="00E138C3" w:rsidP="00E138C3">
      <w:pPr>
        <w:jc w:val="both"/>
        <w:rPr>
          <w:rFonts w:ascii="Tahoma" w:hAnsi="Tahoma" w:cs="Tahoma"/>
          <w:bCs/>
          <w:iCs/>
          <w:sz w:val="18"/>
          <w:szCs w:val="18"/>
        </w:rPr>
      </w:pPr>
      <w:r w:rsidRPr="00E138C3">
        <w:rPr>
          <w:rFonts w:ascii="Tahoma" w:hAnsi="Tahoma" w:cs="Tahoma"/>
          <w:bCs/>
          <w:iCs/>
          <w:sz w:val="18"/>
          <w:szCs w:val="18"/>
          <w:vertAlign w:val="superscript"/>
        </w:rPr>
        <w:t>6</w:t>
      </w:r>
      <w:r w:rsidRPr="00E138C3">
        <w:rPr>
          <w:rFonts w:ascii="Tahoma" w:eastAsia="Calibri" w:hAnsi="Tahoma" w:cs="Tahoma"/>
          <w:sz w:val="18"/>
          <w:szCs w:val="18"/>
          <w:lang w:eastAsia="en-US"/>
        </w:rPr>
        <w:t>Под «Заработной платой» понимаются исключительно поступления денежных средств на счет Карты Клиента, которые можно отнести к таковым согласно действующему законодательству РФ. В случае смещения дат поступления денежных средств (учитываемых в качестве Заработной платы, от Работодателя Клиента на счет Карты Клиента) в календарном месяце в связи с праздничными нерабочими днями в соответствии с действующим законодательством Российской Федерации и/или выходными днями</w:t>
      </w:r>
      <w:r w:rsidRPr="00E138C3">
        <w:rPr>
          <w:rFonts w:ascii="Calibri" w:eastAsia="Calibri" w:hAnsi="Calibri"/>
          <w:sz w:val="22"/>
          <w:szCs w:val="22"/>
          <w:lang w:eastAsia="en-US"/>
        </w:rPr>
        <w:t xml:space="preserve"> </w:t>
      </w:r>
      <w:r w:rsidRPr="00E138C3">
        <w:rPr>
          <w:rFonts w:ascii="Tahoma" w:eastAsia="Calibri" w:hAnsi="Tahoma" w:cs="Tahoma"/>
          <w:sz w:val="18"/>
          <w:szCs w:val="18"/>
          <w:lang w:eastAsia="en-US"/>
        </w:rPr>
        <w:t>(под выходными днями понимаются суббота и воскресенье, за исключением случаев переноса в соответствии с законодательством Российской Федерации выходных дней на другие дни), Банк учитывает среднюю сумму поступлений денежных средств (учитываемых в качестве Заработной платы, от Работодателя Клиента на счет Карты Клиента) за два календарных месяца, предшествующих месяцу начисления комиссии за обслуживание Программы. Банк не несет ответственности за расходы, понесенные Клиентом (взимание комиссии за обслуживание Программы), вследствие поступления денежных средств (учитываемых в качестве Заработной платы, от Работодателя Клиента на счет Карты Клиента) в календарном месяце и/или в течение двух календарных месяцев (в случаях смещения дат поступления денежных средств в связи с праздничными и/или выходными днями), предшествующих месяцу начисления комиссии за обслуживание Программы, в сумме, недостаточной для выполнения условий бесплатного обслуживания Программы.</w:t>
      </w:r>
    </w:p>
    <w:p w14:paraId="15830EA3" w14:textId="77777777" w:rsidR="00E138C3" w:rsidRPr="00E138C3" w:rsidRDefault="00E138C3" w:rsidP="00E138C3">
      <w:pPr>
        <w:jc w:val="both"/>
        <w:rPr>
          <w:rFonts w:ascii="Tahoma" w:eastAsia="Calibri" w:hAnsi="Tahoma" w:cs="Tahoma"/>
          <w:sz w:val="18"/>
          <w:szCs w:val="18"/>
          <w:lang w:eastAsia="en-US"/>
        </w:rPr>
      </w:pPr>
      <w:r w:rsidRPr="00E138C3">
        <w:rPr>
          <w:rFonts w:ascii="Tahoma" w:hAnsi="Tahoma" w:cs="Tahoma"/>
          <w:bCs/>
          <w:iCs/>
          <w:sz w:val="18"/>
          <w:szCs w:val="18"/>
          <w:vertAlign w:val="superscript"/>
        </w:rPr>
        <w:t>7</w:t>
      </w:r>
      <w:r w:rsidRPr="00E138C3">
        <w:rPr>
          <w:rFonts w:ascii="Tahoma" w:hAnsi="Tahoma" w:cs="Tahoma"/>
          <w:bCs/>
          <w:iCs/>
          <w:sz w:val="18"/>
          <w:szCs w:val="18"/>
        </w:rPr>
        <w:t xml:space="preserve">В рамках Программы под «Накопительным счетом» понимается ТБС, открываемый Банком Клиенту в соответствии с условиями УДБО. </w:t>
      </w:r>
      <w:r w:rsidRPr="00E138C3">
        <w:rPr>
          <w:rFonts w:ascii="Tahoma" w:eastAsia="Calibri" w:hAnsi="Tahoma" w:cs="Tahoma"/>
          <w:sz w:val="18"/>
          <w:szCs w:val="18"/>
          <w:lang w:eastAsia="en-US"/>
        </w:rPr>
        <w:t>Правоотношения Банка и Клиента по услуге «Накопительный счет» регулируются «Общими условиями открытия физическими лицами вкладов, текущего банковского счета в «Азиатско-Тихоокеанский Банк» (АО)» (Приложение № 1 к УДБО).</w:t>
      </w:r>
    </w:p>
    <w:p w14:paraId="5FD54AC5" w14:textId="77777777" w:rsidR="00E138C3" w:rsidRPr="00E138C3" w:rsidRDefault="00E138C3" w:rsidP="00E138C3">
      <w:pPr>
        <w:jc w:val="both"/>
        <w:rPr>
          <w:rFonts w:ascii="Tahoma" w:hAnsi="Tahoma" w:cs="Tahoma"/>
          <w:bCs/>
          <w:iCs/>
          <w:sz w:val="18"/>
          <w:szCs w:val="18"/>
        </w:rPr>
      </w:pPr>
      <w:r w:rsidRPr="00E138C3">
        <w:rPr>
          <w:rFonts w:ascii="Tahoma" w:eastAsia="Calibri" w:hAnsi="Tahoma" w:cs="Tahoma"/>
          <w:sz w:val="18"/>
          <w:szCs w:val="18"/>
          <w:vertAlign w:val="superscript"/>
          <w:lang w:eastAsia="en-US"/>
        </w:rPr>
        <w:t>8</w:t>
      </w:r>
      <w:r w:rsidRPr="00E138C3">
        <w:rPr>
          <w:rFonts w:ascii="Tahoma" w:hAnsi="Tahoma" w:cs="Tahoma"/>
          <w:bCs/>
          <w:iCs/>
          <w:sz w:val="18"/>
          <w:szCs w:val="18"/>
        </w:rPr>
        <w:t>Оформление Счетов (в т.ч. Накопительных счетов) в валютах доллары США/Евро в рамках Программы не осуществляется с 01.08.2022 года для всех Клиентов-держателей Программы.</w:t>
      </w:r>
    </w:p>
    <w:p w14:paraId="14A25351" w14:textId="77777777" w:rsidR="00E138C3" w:rsidRPr="00E138C3" w:rsidRDefault="00E138C3" w:rsidP="00E138C3">
      <w:pPr>
        <w:jc w:val="both"/>
        <w:rPr>
          <w:rFonts w:ascii="Tahoma" w:hAnsi="Tahoma" w:cs="Tahoma"/>
          <w:bCs/>
          <w:iCs/>
          <w:sz w:val="18"/>
          <w:szCs w:val="18"/>
        </w:rPr>
      </w:pPr>
      <w:r w:rsidRPr="00E138C3">
        <w:rPr>
          <w:rFonts w:ascii="Tahoma" w:eastAsia="Calibri" w:hAnsi="Tahoma" w:cs="Tahoma"/>
          <w:sz w:val="18"/>
          <w:szCs w:val="18"/>
          <w:vertAlign w:val="superscript"/>
          <w:lang w:eastAsia="en-US"/>
        </w:rPr>
        <w:t>9</w:t>
      </w:r>
      <w:r w:rsidRPr="00E138C3">
        <w:rPr>
          <w:rFonts w:ascii="Tahoma" w:hAnsi="Tahoma" w:cs="Tahoma"/>
          <w:bCs/>
          <w:iCs/>
          <w:sz w:val="18"/>
          <w:szCs w:val="18"/>
        </w:rPr>
        <w:t>Ежедневный остаток по Накопительному счету – это совокупный баланс денежных средств на Накопительном счете, рассчитанный путем сложения ежедневных входящих остатков денежных средств на Накопительном счете Клиента в течение календарного месяца (далее – Период) и деления этой суммы на количество дней в этом месяце. Первый Период исчисляется со дня, следующего за днем поступления денежных средств на указанный в настоящем пункте Накопительный счет по последний календарный месяц (включительно). Последующие Периоды исчисляются ежемесячно с 1-го числа каждого календарного месяца по последний календарный месяц (включительно). Выплата Банком Клиенту начисленных процентов производится на Накопительный счет в последний день месяца.</w:t>
      </w:r>
    </w:p>
    <w:p w14:paraId="3263058C" w14:textId="77777777" w:rsidR="00E138C3" w:rsidRPr="00E138C3" w:rsidRDefault="00E138C3" w:rsidP="00E138C3">
      <w:pPr>
        <w:jc w:val="both"/>
        <w:rPr>
          <w:rFonts w:ascii="Tahoma" w:hAnsi="Tahoma" w:cs="Tahoma"/>
          <w:bCs/>
          <w:iCs/>
          <w:sz w:val="18"/>
          <w:szCs w:val="18"/>
        </w:rPr>
      </w:pPr>
      <w:r w:rsidRPr="00E138C3">
        <w:rPr>
          <w:rFonts w:ascii="Tahoma" w:hAnsi="Tahoma" w:cs="Tahoma"/>
          <w:bCs/>
          <w:iCs/>
          <w:sz w:val="18"/>
          <w:szCs w:val="18"/>
        </w:rPr>
        <w:t>Дополнительные условия, влияющие на процентную ставку: процентная ставка по Накопительному счету в рублях устанавливается на дату оформления нового Накопительного счета в рублях (заключения договора), а для Клиентов, оформивших Накопительные счета в рублях по 31.10.2024г. включительно, с 01.11.2024г. Процентная ставка по Накопительному счету в юанях устанавливается на дату оформления нового Накопительного счета в юанях (заключения договора) с 10.07.2024г., а для Клиентов, оформивших Накопительные счета в юанях по 10.07.2024г. включительно, с 10.07.2024г. Размеры процентных ставок определяются Программой, являющейся неотъемлемой (составной) частью Тарифов Банка. В случае внесения изменений в Тарифы Банка Банк информирует Клиента в порядке, предусмотренном УДБО.</w:t>
      </w:r>
    </w:p>
    <w:p w14:paraId="1BD88B67" w14:textId="77777777" w:rsidR="00E138C3" w:rsidRPr="00E138C3" w:rsidRDefault="00E138C3" w:rsidP="00E138C3">
      <w:pPr>
        <w:jc w:val="both"/>
        <w:rPr>
          <w:rFonts w:ascii="Tahoma" w:eastAsia="Calibri" w:hAnsi="Tahoma" w:cs="Tahoma"/>
          <w:sz w:val="18"/>
          <w:szCs w:val="18"/>
          <w:lang w:eastAsia="en-US"/>
        </w:rPr>
      </w:pPr>
      <w:r w:rsidRPr="00E138C3">
        <w:rPr>
          <w:rFonts w:ascii="Tahoma" w:hAnsi="Tahoma" w:cs="Tahoma"/>
          <w:bCs/>
          <w:iCs/>
          <w:sz w:val="18"/>
          <w:szCs w:val="18"/>
          <w:vertAlign w:val="superscript"/>
        </w:rPr>
        <w:t>10</w:t>
      </w:r>
      <w:r w:rsidRPr="00E138C3">
        <w:rPr>
          <w:rFonts w:ascii="Tahoma" w:hAnsi="Tahoma" w:cs="Tahoma"/>
          <w:bCs/>
          <w:iCs/>
          <w:sz w:val="18"/>
          <w:szCs w:val="18"/>
        </w:rPr>
        <w:t>Оформление</w:t>
      </w:r>
      <w:r w:rsidRPr="00E138C3">
        <w:rPr>
          <w:rFonts w:ascii="Tahoma" w:eastAsia="Calibri" w:hAnsi="Tahoma" w:cs="Tahoma"/>
          <w:sz w:val="18"/>
          <w:szCs w:val="18"/>
          <w:lang w:eastAsia="en-US"/>
        </w:rPr>
        <w:t xml:space="preserve"> Накопительных счетов в валюте юань осуществляется при волеизъявлении Клиента, не является обязательной услугой для оформления Программы.</w:t>
      </w:r>
    </w:p>
    <w:p w14:paraId="5D68A317" w14:textId="77777777" w:rsidR="00E138C3" w:rsidRPr="00E138C3" w:rsidRDefault="00E138C3" w:rsidP="00E138C3">
      <w:pPr>
        <w:ind w:firstLine="34"/>
        <w:jc w:val="both"/>
        <w:rPr>
          <w:rFonts w:ascii="Tahoma" w:hAnsi="Tahoma" w:cs="Tahoma"/>
          <w:bCs/>
          <w:iCs/>
          <w:sz w:val="18"/>
          <w:szCs w:val="18"/>
        </w:rPr>
      </w:pPr>
      <w:r w:rsidRPr="00E138C3">
        <w:rPr>
          <w:rFonts w:ascii="Tahoma" w:hAnsi="Tahoma" w:cs="Tahoma"/>
          <w:bCs/>
          <w:iCs/>
          <w:sz w:val="18"/>
          <w:szCs w:val="18"/>
          <w:vertAlign w:val="superscript"/>
        </w:rPr>
        <w:t>11</w:t>
      </w:r>
      <w:r w:rsidRPr="00E138C3">
        <w:rPr>
          <w:rFonts w:ascii="Tahoma" w:hAnsi="Tahoma" w:cs="Tahoma"/>
          <w:bCs/>
          <w:iCs/>
          <w:sz w:val="18"/>
          <w:szCs w:val="18"/>
        </w:rPr>
        <w:t>Минимальный остаток по Накопительному счету рассчитывается путем анализа ежедневных входящих остатков денежных средств на Накопительном счете Клиента в течение календарного месяца. Проценты начисляются на сумму минимального остатка средств в анализируемом периоде. Выплата начисленных процентов производится на Накопительный счет не позднее пятого рабочего дня месяца, следующего за месяцем начисления процентов.</w:t>
      </w:r>
    </w:p>
    <w:p w14:paraId="12459DCC" w14:textId="77777777" w:rsidR="00E138C3" w:rsidRPr="00E138C3" w:rsidRDefault="00E138C3" w:rsidP="00E138C3">
      <w:pPr>
        <w:ind w:firstLine="34"/>
        <w:jc w:val="both"/>
        <w:rPr>
          <w:rFonts w:ascii="Tahoma" w:eastAsia="Calibri" w:hAnsi="Tahoma" w:cs="Tahoma"/>
          <w:sz w:val="18"/>
          <w:szCs w:val="18"/>
          <w:lang w:eastAsia="en-US"/>
        </w:rPr>
      </w:pPr>
      <w:r w:rsidRPr="00E138C3">
        <w:rPr>
          <w:rFonts w:ascii="Tahoma" w:hAnsi="Tahoma" w:cs="Tahoma"/>
          <w:bCs/>
          <w:iCs/>
          <w:sz w:val="18"/>
          <w:szCs w:val="18"/>
          <w:vertAlign w:val="superscript"/>
        </w:rPr>
        <w:t>12</w:t>
      </w:r>
      <w:r w:rsidRPr="00E138C3">
        <w:rPr>
          <w:rFonts w:ascii="Tahoma" w:eastAsia="Calibri" w:hAnsi="Tahoma" w:cs="Tahoma"/>
          <w:sz w:val="18"/>
          <w:szCs w:val="18"/>
          <w:lang w:eastAsia="en-US"/>
        </w:rPr>
        <w:t xml:space="preserve">Операции по счетам и использование платежных карт осуществляются с учетом ограничений, установленных платежными системами VISA International, </w:t>
      </w:r>
      <w:r w:rsidRPr="00E138C3">
        <w:rPr>
          <w:rFonts w:ascii="Tahoma" w:eastAsia="Calibri" w:hAnsi="Tahoma" w:cs="Tahoma"/>
          <w:sz w:val="18"/>
          <w:szCs w:val="18"/>
          <w:lang w:val="en-US" w:eastAsia="en-US"/>
        </w:rPr>
        <w:t>UnionPay</w:t>
      </w:r>
      <w:r w:rsidRPr="00E138C3">
        <w:rPr>
          <w:rFonts w:ascii="Tahoma" w:eastAsia="Calibri" w:hAnsi="Tahoma" w:cs="Tahoma"/>
          <w:sz w:val="18"/>
          <w:szCs w:val="18"/>
          <w:lang w:eastAsia="en-US"/>
        </w:rPr>
        <w:t xml:space="preserve"> </w:t>
      </w:r>
      <w:r w:rsidRPr="00E138C3">
        <w:rPr>
          <w:rFonts w:ascii="Tahoma" w:eastAsia="Calibri" w:hAnsi="Tahoma" w:cs="Tahoma"/>
          <w:sz w:val="18"/>
          <w:szCs w:val="18"/>
          <w:lang w:val="en-US" w:eastAsia="en-US"/>
        </w:rPr>
        <w:t>International</w:t>
      </w:r>
      <w:r w:rsidRPr="00E138C3">
        <w:rPr>
          <w:rFonts w:ascii="Tahoma" w:eastAsia="Calibri" w:hAnsi="Tahoma" w:cs="Tahoma"/>
          <w:sz w:val="18"/>
          <w:szCs w:val="18"/>
          <w:lang w:eastAsia="en-US"/>
        </w:rPr>
        <w:t>, иными уполномоченными лицами иностранных государств, международными организациями, а также законодательством иностранных государств, Российской Федерации.</w:t>
      </w:r>
    </w:p>
    <w:p w14:paraId="13C358EE" w14:textId="77777777" w:rsidR="00E138C3" w:rsidRPr="00E138C3" w:rsidRDefault="00E138C3" w:rsidP="00E138C3">
      <w:pPr>
        <w:ind w:firstLine="34"/>
        <w:jc w:val="both"/>
        <w:rPr>
          <w:rFonts w:ascii="Tahoma" w:hAnsi="Tahoma" w:cs="Tahoma"/>
          <w:bCs/>
          <w:iCs/>
          <w:sz w:val="18"/>
          <w:szCs w:val="18"/>
        </w:rPr>
      </w:pPr>
      <w:r w:rsidRPr="00E138C3">
        <w:rPr>
          <w:rFonts w:ascii="Tahoma" w:eastAsia="Calibri" w:hAnsi="Tahoma" w:cs="Tahoma"/>
          <w:sz w:val="18"/>
          <w:szCs w:val="18"/>
          <w:vertAlign w:val="superscript"/>
          <w:lang w:eastAsia="en-US"/>
        </w:rPr>
        <w:t>13</w:t>
      </w:r>
      <w:r w:rsidRPr="00E138C3">
        <w:rPr>
          <w:rFonts w:ascii="Tahoma" w:hAnsi="Tahoma" w:cs="Tahoma"/>
          <w:bCs/>
          <w:iCs/>
          <w:sz w:val="18"/>
          <w:szCs w:val="18"/>
        </w:rPr>
        <w:t>Комиссионное вознаграждение на основании заранее данного Клиентом акцепта взимается единовременно при оформлении Заявления на банковское обслуживание при получении и использовании дополнительных банковских (платежных) карт Банка в рамках Программы.</w:t>
      </w:r>
    </w:p>
    <w:p w14:paraId="48375051" w14:textId="77777777" w:rsidR="00E138C3" w:rsidRPr="00E138C3" w:rsidRDefault="00E138C3" w:rsidP="00E138C3">
      <w:pPr>
        <w:ind w:firstLine="34"/>
        <w:jc w:val="both"/>
        <w:rPr>
          <w:rFonts w:ascii="Tahoma" w:hAnsi="Tahoma" w:cs="Tahoma"/>
          <w:bCs/>
          <w:iCs/>
          <w:sz w:val="18"/>
          <w:szCs w:val="18"/>
        </w:rPr>
      </w:pPr>
      <w:r w:rsidRPr="00E138C3">
        <w:rPr>
          <w:rFonts w:ascii="Tahoma" w:hAnsi="Tahoma" w:cs="Tahoma"/>
          <w:bCs/>
          <w:iCs/>
          <w:sz w:val="18"/>
          <w:szCs w:val="18"/>
          <w:vertAlign w:val="superscript"/>
        </w:rPr>
        <w:t>14</w:t>
      </w:r>
      <w:r w:rsidRPr="00E138C3">
        <w:rPr>
          <w:rFonts w:ascii="Tahoma" w:hAnsi="Tahoma" w:cs="Tahoma"/>
          <w:bCs/>
          <w:iCs/>
          <w:sz w:val="18"/>
          <w:szCs w:val="18"/>
        </w:rPr>
        <w:t xml:space="preserve">Денежные переводы с платежной карты на платежную карту в банкоматах Банка и в пользу юридических лиц – поставщиков услуг, заключивших договор с Банком, платежи в счет оплаты коммунальных и иных услуг через Интернет-банк «АТБ-Онлайн», Мобильный банк, а также лимиты проведения операций на Сайте </w:t>
      </w:r>
      <w:hyperlink r:id="rId116" w:history="1">
        <w:r w:rsidRPr="00E138C3">
          <w:rPr>
            <w:rFonts w:ascii="Tahoma" w:hAnsi="Tahoma" w:cs="Tahoma"/>
            <w:bCs/>
            <w:iCs/>
            <w:color w:val="0563C1"/>
            <w:sz w:val="18"/>
            <w:szCs w:val="18"/>
            <w:u w:val="single"/>
            <w:lang w:val="en-US"/>
          </w:rPr>
          <w:t>www</w:t>
        </w:r>
        <w:r w:rsidRPr="00E138C3">
          <w:rPr>
            <w:rFonts w:ascii="Tahoma" w:hAnsi="Tahoma" w:cs="Tahoma"/>
            <w:bCs/>
            <w:iCs/>
            <w:color w:val="0563C1"/>
            <w:sz w:val="18"/>
            <w:szCs w:val="18"/>
            <w:u w:val="single"/>
          </w:rPr>
          <w:t>.</w:t>
        </w:r>
        <w:r w:rsidRPr="00E138C3">
          <w:rPr>
            <w:rFonts w:ascii="Tahoma" w:hAnsi="Tahoma" w:cs="Tahoma"/>
            <w:bCs/>
            <w:iCs/>
            <w:color w:val="0563C1"/>
            <w:sz w:val="18"/>
            <w:szCs w:val="18"/>
            <w:u w:val="single"/>
            <w:lang w:val="en-US"/>
          </w:rPr>
          <w:t>atb</w:t>
        </w:r>
        <w:r w:rsidRPr="00E138C3">
          <w:rPr>
            <w:rFonts w:ascii="Tahoma" w:hAnsi="Tahoma" w:cs="Tahoma"/>
            <w:bCs/>
            <w:iCs/>
            <w:color w:val="0563C1"/>
            <w:sz w:val="18"/>
            <w:szCs w:val="18"/>
            <w:u w:val="single"/>
          </w:rPr>
          <w:t>.</w:t>
        </w:r>
        <w:r w:rsidRPr="00E138C3">
          <w:rPr>
            <w:rFonts w:ascii="Tahoma" w:hAnsi="Tahoma" w:cs="Tahoma"/>
            <w:bCs/>
            <w:iCs/>
            <w:color w:val="0563C1"/>
            <w:sz w:val="18"/>
            <w:szCs w:val="18"/>
            <w:u w:val="single"/>
            <w:lang w:val="en-US"/>
          </w:rPr>
          <w:t>su</w:t>
        </w:r>
      </w:hyperlink>
      <w:r w:rsidRPr="00E138C3">
        <w:rPr>
          <w:rFonts w:ascii="Tahoma" w:hAnsi="Tahoma" w:cs="Tahoma"/>
          <w:bCs/>
          <w:iCs/>
          <w:sz w:val="18"/>
          <w:szCs w:val="18"/>
        </w:rPr>
        <w:t>, регулируются соответствующими разделами Тарифов Банка для клиентов-физических лиц. Ограничения проведения операций в валютах доллар США/Евро/юань по оплате товаров, работ, услуг за рубежом/ограничения перевода денежных средств за рубеж физическим лицам/ограничения перевода денежных средств за рубеж на свой счет/ограничения переводов денежных средств без открытия банковского счета с использованием электронных средств платежа, предоставленных иностранными поставщиками платежных услуг, применяются в соответствии с законодательством Российской Федерации, в т.ч актами Банка России.</w:t>
      </w:r>
    </w:p>
    <w:p w14:paraId="0D111390" w14:textId="77777777" w:rsidR="00E138C3" w:rsidRPr="00E138C3" w:rsidRDefault="00E138C3" w:rsidP="00E138C3">
      <w:pPr>
        <w:ind w:firstLine="34"/>
        <w:jc w:val="both"/>
        <w:rPr>
          <w:rFonts w:ascii="Tahoma" w:hAnsi="Tahoma" w:cs="Tahoma"/>
          <w:bCs/>
          <w:iCs/>
          <w:sz w:val="18"/>
          <w:szCs w:val="18"/>
        </w:rPr>
      </w:pPr>
      <w:r w:rsidRPr="00E138C3">
        <w:rPr>
          <w:rFonts w:ascii="Tahoma" w:hAnsi="Tahoma" w:cs="Tahoma"/>
          <w:bCs/>
          <w:iCs/>
          <w:sz w:val="18"/>
          <w:szCs w:val="18"/>
          <w:vertAlign w:val="superscript"/>
        </w:rPr>
        <w:t>15</w:t>
      </w:r>
      <w:r w:rsidRPr="00E138C3">
        <w:rPr>
          <w:rFonts w:ascii="Tahoma" w:hAnsi="Tahoma" w:cs="Tahoma"/>
          <w:bCs/>
          <w:iCs/>
          <w:sz w:val="18"/>
          <w:szCs w:val="18"/>
        </w:rPr>
        <w:t>ТСП (Торгово-сервисное предприятие), здесь и по тексту Программы – юридическое или физическое лицо – индивидуальный предприниматель (за исключением кредитных организаций), осуществляющее реализацию товаров (работ, услуг, результатов интеллектуальной деятельности), оплата которых производится Клиентами Банка с помощью Карты/реквизитов Карты через электронные средства платежа (POS-терминалы и платежные терминалы), а также через сеть Интернет.</w:t>
      </w:r>
    </w:p>
    <w:p w14:paraId="63283083" w14:textId="77777777" w:rsidR="00E138C3" w:rsidRPr="00E138C3" w:rsidRDefault="00E138C3" w:rsidP="00E138C3">
      <w:pPr>
        <w:ind w:firstLine="34"/>
        <w:jc w:val="both"/>
        <w:rPr>
          <w:rFonts w:ascii="Tahoma" w:eastAsia="Calibri" w:hAnsi="Tahoma" w:cs="Tahoma"/>
          <w:sz w:val="18"/>
          <w:szCs w:val="18"/>
          <w:lang w:eastAsia="en-US"/>
        </w:rPr>
      </w:pPr>
      <w:r w:rsidRPr="00E138C3">
        <w:rPr>
          <w:rFonts w:ascii="Tahoma" w:hAnsi="Tahoma" w:cs="Tahoma"/>
          <w:bCs/>
          <w:iCs/>
          <w:sz w:val="18"/>
          <w:szCs w:val="18"/>
          <w:vertAlign w:val="superscript"/>
        </w:rPr>
        <w:t>16</w:t>
      </w:r>
      <w:r w:rsidRPr="00E138C3">
        <w:rPr>
          <w:rFonts w:ascii="Tahoma" w:eastAsia="Calibri" w:hAnsi="Tahoma" w:cs="Tahoma"/>
          <w:sz w:val="18"/>
          <w:szCs w:val="18"/>
          <w:lang w:eastAsia="en-US"/>
        </w:rPr>
        <w:t>По безналичным операциям с МСС-кодами: 4829 «Денежные переводы», 6012 «Финансовые институты – торговля и услуги», 6538 «Денежные переводы с Карты на Карту», 6534 «Платежная операция», 6051 «Квази-Кэш в нефинансовые учреждения» – комиссия не взимается.</w:t>
      </w:r>
    </w:p>
    <w:p w14:paraId="17D9EA15" w14:textId="77777777" w:rsidR="00E138C3" w:rsidRPr="00E138C3" w:rsidRDefault="00E138C3" w:rsidP="00E138C3">
      <w:pPr>
        <w:ind w:firstLine="34"/>
        <w:jc w:val="both"/>
        <w:rPr>
          <w:rFonts w:ascii="Tahoma" w:hAnsi="Tahoma" w:cs="Tahoma"/>
          <w:bCs/>
          <w:iCs/>
          <w:sz w:val="18"/>
          <w:szCs w:val="18"/>
        </w:rPr>
      </w:pPr>
      <w:r w:rsidRPr="00E138C3">
        <w:rPr>
          <w:rFonts w:ascii="Tahoma" w:eastAsia="Calibri" w:hAnsi="Tahoma" w:cs="Tahoma"/>
          <w:sz w:val="18"/>
          <w:szCs w:val="18"/>
          <w:vertAlign w:val="superscript"/>
          <w:lang w:eastAsia="en-US"/>
        </w:rPr>
        <w:t>17</w:t>
      </w:r>
      <w:r w:rsidRPr="00E138C3">
        <w:rPr>
          <w:rFonts w:ascii="Tahoma" w:hAnsi="Tahoma" w:cs="Tahoma"/>
          <w:bCs/>
          <w:iCs/>
          <w:sz w:val="18"/>
          <w:szCs w:val="18"/>
        </w:rPr>
        <w:t>Возможно взимание дополнительной комиссии за взнос и выдачу наличных в розничной сети партнеров Банка, а также другими банками за взнос и выдачу наличных по Карте Клиента, выпущенной в рамках Программы, в их устройствах. При проведении наличной операции с конверсией применяются курсы валют, указанные в пункте 4.2.2. Программы.</w:t>
      </w:r>
    </w:p>
    <w:p w14:paraId="1DF5EEF7" w14:textId="77777777" w:rsidR="00E138C3" w:rsidRPr="00E138C3" w:rsidRDefault="00E138C3" w:rsidP="00E138C3">
      <w:pPr>
        <w:ind w:firstLine="34"/>
        <w:jc w:val="both"/>
        <w:rPr>
          <w:rFonts w:ascii="Tahoma" w:eastAsia="Calibri" w:hAnsi="Tahoma" w:cs="Tahoma"/>
          <w:sz w:val="18"/>
          <w:szCs w:val="18"/>
          <w:lang w:eastAsia="en-US"/>
        </w:rPr>
      </w:pPr>
      <w:r w:rsidRPr="00E138C3">
        <w:rPr>
          <w:rFonts w:ascii="Tahoma" w:hAnsi="Tahoma" w:cs="Tahoma"/>
          <w:bCs/>
          <w:iCs/>
          <w:sz w:val="18"/>
          <w:szCs w:val="18"/>
          <w:vertAlign w:val="superscript"/>
        </w:rPr>
        <w:t>18</w:t>
      </w:r>
      <w:r w:rsidRPr="00E138C3">
        <w:rPr>
          <w:rFonts w:ascii="Tahoma" w:eastAsia="Calibri" w:hAnsi="Tahoma" w:cs="Tahoma"/>
          <w:sz w:val="18"/>
          <w:szCs w:val="18"/>
          <w:lang w:eastAsia="en-US"/>
        </w:rPr>
        <w:t>Платежными системами и ТСП могут быть установлены собственные ограничения по предоставлению данной услуги. О наличии услуги и ограничениях по ней необходимо уточнять в ТСП.</w:t>
      </w:r>
    </w:p>
    <w:p w14:paraId="7EDD2A35" w14:textId="77777777" w:rsidR="00E138C3" w:rsidRPr="00E138C3" w:rsidRDefault="00E138C3" w:rsidP="00E138C3">
      <w:pPr>
        <w:ind w:firstLine="34"/>
        <w:jc w:val="both"/>
        <w:rPr>
          <w:rFonts w:ascii="Tahoma" w:hAnsi="Tahoma" w:cs="Tahoma"/>
          <w:bCs/>
          <w:iCs/>
          <w:sz w:val="18"/>
          <w:szCs w:val="18"/>
        </w:rPr>
      </w:pPr>
      <w:r w:rsidRPr="00E138C3">
        <w:rPr>
          <w:rFonts w:ascii="Tahoma" w:eastAsia="Calibri" w:hAnsi="Tahoma" w:cs="Tahoma"/>
          <w:sz w:val="18"/>
          <w:szCs w:val="18"/>
          <w:vertAlign w:val="superscript"/>
          <w:lang w:eastAsia="en-US"/>
        </w:rPr>
        <w:t>19</w:t>
      </w:r>
      <w:r w:rsidRPr="00E138C3">
        <w:rPr>
          <w:rFonts w:ascii="Tahoma" w:hAnsi="Tahoma" w:cs="Tahoma"/>
          <w:bCs/>
          <w:iCs/>
          <w:sz w:val="18"/>
          <w:szCs w:val="18"/>
        </w:rPr>
        <w:t>Лимиты в день действуют от 00 до 24 ч. московского времени (включительно), в месяц - от 00 часов 1-го числа до 24 часов последнего числа месяца (включительно), по московскому времени. Выдача наличных денежных средств в устройствах в сумме, превышающей лимиты, не производится. Выдача сумм в пунктах выдачи наличных Банка производится с предъявлением документа, удостоверяющего личность. Лимиты выдачи денежных средств в иностранной валюте применимы исключительно для выдачи денежных средств в банкоматах и пунктах выдачи наличных за пределами Российской Федерации.</w:t>
      </w:r>
    </w:p>
    <w:p w14:paraId="05A9211A" w14:textId="77777777" w:rsidR="00E138C3" w:rsidRPr="00E138C3" w:rsidRDefault="00E138C3" w:rsidP="00E138C3">
      <w:pPr>
        <w:tabs>
          <w:tab w:val="left" w:pos="284"/>
        </w:tabs>
        <w:jc w:val="both"/>
        <w:rPr>
          <w:rFonts w:ascii="Tahoma" w:eastAsia="Calibri" w:hAnsi="Tahoma" w:cs="Tahoma"/>
          <w:sz w:val="18"/>
          <w:szCs w:val="18"/>
          <w:lang w:eastAsia="en-US"/>
        </w:rPr>
      </w:pPr>
      <w:r w:rsidRPr="00E138C3">
        <w:rPr>
          <w:rFonts w:ascii="Tahoma" w:hAnsi="Tahoma" w:cs="Tahoma"/>
          <w:bCs/>
          <w:iCs/>
          <w:sz w:val="18"/>
          <w:szCs w:val="18"/>
          <w:vertAlign w:val="superscript"/>
        </w:rPr>
        <w:t>20</w:t>
      </w:r>
      <w:r w:rsidRPr="00E138C3">
        <w:rPr>
          <w:rFonts w:ascii="Tahoma" w:eastAsia="Calibri" w:hAnsi="Tahoma" w:cs="Tahoma"/>
          <w:sz w:val="18"/>
          <w:szCs w:val="18"/>
          <w:lang w:eastAsia="en-US"/>
        </w:rPr>
        <w:t>В случаях, установленных законодательством РФ, комиссионное вознаграждение Банком не взимается.</w:t>
      </w:r>
    </w:p>
    <w:p w14:paraId="4467A103" w14:textId="77777777" w:rsidR="00E138C3" w:rsidRPr="00E138C3" w:rsidRDefault="00E138C3" w:rsidP="00E138C3">
      <w:pPr>
        <w:tabs>
          <w:tab w:val="left" w:pos="284"/>
        </w:tabs>
        <w:jc w:val="both"/>
        <w:rPr>
          <w:rFonts w:ascii="Tahoma" w:hAnsi="Tahoma" w:cs="Tahoma"/>
          <w:bCs/>
          <w:iCs/>
          <w:sz w:val="18"/>
          <w:szCs w:val="18"/>
        </w:rPr>
      </w:pPr>
      <w:r w:rsidRPr="00E138C3">
        <w:rPr>
          <w:rFonts w:ascii="Tahoma" w:hAnsi="Tahoma" w:cs="Tahoma"/>
          <w:bCs/>
          <w:iCs/>
          <w:sz w:val="18"/>
          <w:szCs w:val="18"/>
          <w:vertAlign w:val="superscript"/>
        </w:rPr>
        <w:t>21</w:t>
      </w:r>
      <w:r w:rsidRPr="00E138C3">
        <w:rPr>
          <w:rFonts w:ascii="Tahoma" w:hAnsi="Tahoma" w:cs="Tahoma"/>
          <w:bCs/>
          <w:iCs/>
          <w:sz w:val="18"/>
          <w:szCs w:val="18"/>
        </w:rPr>
        <w:t>Применимо исключительно в случае установления законодательством Российской Федерации, в т.ч. актами Центрального банка РФ комиссионных ограничений при выдаче физическим лицам наличной иностранной валюты.</w:t>
      </w:r>
    </w:p>
    <w:p w14:paraId="5698BD44" w14:textId="77777777" w:rsidR="00E138C3" w:rsidRPr="00E138C3" w:rsidRDefault="00E138C3" w:rsidP="00E138C3">
      <w:pPr>
        <w:tabs>
          <w:tab w:val="left" w:pos="284"/>
        </w:tabs>
        <w:jc w:val="both"/>
        <w:rPr>
          <w:rFonts w:ascii="Tahoma" w:hAnsi="Tahoma" w:cs="Tahoma"/>
          <w:bCs/>
          <w:iCs/>
          <w:sz w:val="18"/>
          <w:szCs w:val="18"/>
        </w:rPr>
      </w:pPr>
      <w:r w:rsidRPr="00E138C3">
        <w:rPr>
          <w:rFonts w:ascii="Tahoma" w:hAnsi="Tahoma" w:cs="Tahoma"/>
          <w:bCs/>
          <w:iCs/>
          <w:sz w:val="18"/>
          <w:szCs w:val="18"/>
          <w:vertAlign w:val="superscript"/>
        </w:rPr>
        <w:t>22</w:t>
      </w:r>
      <w:r w:rsidRPr="00E138C3">
        <w:rPr>
          <w:rFonts w:ascii="Tahoma" w:hAnsi="Tahoma" w:cs="Tahoma"/>
          <w:bCs/>
          <w:iCs/>
          <w:sz w:val="18"/>
          <w:szCs w:val="18"/>
        </w:rPr>
        <w:t>Услуга не оказывается Клиенту в случае отсутствия денежных средств и операций по его Счетам в периоде оказания услуги.</w:t>
      </w:r>
    </w:p>
    <w:p w14:paraId="3CA1B6FD" w14:textId="77777777" w:rsidR="00E138C3" w:rsidRPr="00E138C3" w:rsidRDefault="00E138C3" w:rsidP="00E138C3">
      <w:pPr>
        <w:tabs>
          <w:tab w:val="left" w:pos="284"/>
        </w:tabs>
        <w:jc w:val="both"/>
        <w:rPr>
          <w:rFonts w:ascii="Tahoma" w:hAnsi="Tahoma" w:cs="Tahoma"/>
          <w:bCs/>
          <w:iCs/>
          <w:sz w:val="18"/>
          <w:szCs w:val="18"/>
        </w:rPr>
      </w:pPr>
      <w:r w:rsidRPr="00E138C3">
        <w:rPr>
          <w:rFonts w:ascii="Tahoma" w:hAnsi="Tahoma" w:cs="Tahoma"/>
          <w:bCs/>
          <w:iCs/>
          <w:sz w:val="18"/>
          <w:szCs w:val="18"/>
          <w:vertAlign w:val="superscript"/>
        </w:rPr>
        <w:t>23</w:t>
      </w:r>
      <w:r w:rsidRPr="00E138C3">
        <w:rPr>
          <w:rFonts w:ascii="Tahoma" w:hAnsi="Tahoma" w:cs="Tahoma"/>
          <w:bCs/>
          <w:iCs/>
          <w:sz w:val="18"/>
          <w:szCs w:val="18"/>
        </w:rPr>
        <w:t>Блокировка/разблокировка Карты в базе данных Процессингового Центра Банка посредством Каналов ДБО и при оформлении операции работником Банка по заявлению Клиента в офисе Банка.</w:t>
      </w:r>
    </w:p>
    <w:p w14:paraId="22F5E739" w14:textId="77777777" w:rsidR="00E138C3" w:rsidRPr="00E138C3" w:rsidRDefault="00E138C3" w:rsidP="00E138C3">
      <w:pPr>
        <w:tabs>
          <w:tab w:val="left" w:pos="284"/>
        </w:tabs>
        <w:jc w:val="both"/>
        <w:rPr>
          <w:rFonts w:ascii="Tahoma" w:hAnsi="Tahoma" w:cs="Tahoma"/>
          <w:bCs/>
          <w:iCs/>
          <w:sz w:val="18"/>
          <w:szCs w:val="18"/>
        </w:rPr>
      </w:pPr>
      <w:r w:rsidRPr="00E138C3">
        <w:rPr>
          <w:rFonts w:ascii="Tahoma" w:hAnsi="Tahoma" w:cs="Tahoma"/>
          <w:bCs/>
          <w:iCs/>
          <w:sz w:val="18"/>
          <w:szCs w:val="18"/>
          <w:vertAlign w:val="superscript"/>
        </w:rPr>
        <w:t>24</w:t>
      </w:r>
      <w:r w:rsidRPr="00E138C3">
        <w:rPr>
          <w:rFonts w:ascii="Tahoma" w:hAnsi="Tahoma" w:cs="Tahoma"/>
          <w:bCs/>
          <w:iCs/>
          <w:sz w:val="18"/>
          <w:szCs w:val="18"/>
        </w:rPr>
        <w:t>Операции с денежными средствами на валютных счетах, вкладах Клиентов осуществляются при соблюдении установленных законодательством Российской Федерации в том числе актами Центрального банка РФ, иных уполномоченных лиц/органов, действующих на территории Российской Федерации), ограничений/условий.</w:t>
      </w:r>
    </w:p>
    <w:p w14:paraId="4EB42AFB" w14:textId="77777777" w:rsidR="00E138C3" w:rsidRPr="00E138C3" w:rsidRDefault="00E138C3" w:rsidP="00E138C3">
      <w:pPr>
        <w:tabs>
          <w:tab w:val="left" w:pos="284"/>
        </w:tabs>
        <w:jc w:val="both"/>
        <w:rPr>
          <w:rFonts w:ascii="Tahoma" w:hAnsi="Tahoma" w:cs="Tahoma"/>
          <w:bCs/>
          <w:iCs/>
          <w:sz w:val="18"/>
          <w:szCs w:val="18"/>
        </w:rPr>
      </w:pPr>
      <w:r w:rsidRPr="00E138C3">
        <w:rPr>
          <w:rFonts w:ascii="Calibri" w:eastAsia="Calibri" w:hAnsi="Calibri"/>
          <w:sz w:val="22"/>
          <w:szCs w:val="22"/>
          <w:vertAlign w:val="superscript"/>
          <w:lang w:eastAsia="en-US"/>
        </w:rPr>
        <w:t>25</w:t>
      </w:r>
      <w:r w:rsidRPr="00E138C3">
        <w:rPr>
          <w:rFonts w:ascii="Tahoma" w:hAnsi="Tahoma" w:cs="Tahoma"/>
          <w:bCs/>
          <w:iCs/>
          <w:sz w:val="18"/>
          <w:szCs w:val="18"/>
        </w:rPr>
        <w:t>Ограничение для начисления максимальной ставки на Ежедневный остаток по Накопительному счету</w:t>
      </w:r>
      <w:r w:rsidRPr="00E138C3">
        <w:rPr>
          <w:rFonts w:ascii="Tahoma" w:hAnsi="Tahoma" w:cs="Tahoma"/>
          <w:bCs/>
          <w:iCs/>
          <w:sz w:val="18"/>
          <w:szCs w:val="18"/>
          <w:vertAlign w:val="superscript"/>
        </w:rPr>
        <w:t>9</w:t>
      </w:r>
      <w:r w:rsidRPr="00E138C3">
        <w:rPr>
          <w:rFonts w:ascii="Tahoma" w:hAnsi="Tahoma" w:cs="Tahoma"/>
          <w:bCs/>
          <w:iCs/>
          <w:sz w:val="18"/>
          <w:szCs w:val="18"/>
        </w:rPr>
        <w:t xml:space="preserve"> свыше 30 000 000 рублей (начисление по ставке 10% годовых) применимо </w:t>
      </w:r>
      <w:r w:rsidRPr="00E138C3">
        <w:rPr>
          <w:rFonts w:ascii="Tahoma" w:hAnsi="Tahoma" w:cs="Tahoma"/>
          <w:b/>
          <w:bCs/>
          <w:iCs/>
          <w:sz w:val="18"/>
          <w:szCs w:val="18"/>
        </w:rPr>
        <w:t>исключительно для Накопительных счетов в рублях, оформляемых с 21.08.2024г</w:t>
      </w:r>
      <w:r w:rsidRPr="00E138C3">
        <w:rPr>
          <w:rFonts w:ascii="Tahoma" w:hAnsi="Tahoma" w:cs="Tahoma"/>
          <w:bCs/>
          <w:iCs/>
          <w:sz w:val="18"/>
          <w:szCs w:val="18"/>
        </w:rPr>
        <w:t xml:space="preserve">. Для Накопительных счетов в рублях, оформленных до 21.08.2024г., процентная ставка (17% годовых) начисляется </w:t>
      </w:r>
      <w:r w:rsidRPr="00E138C3">
        <w:rPr>
          <w:rFonts w:ascii="Tahoma" w:hAnsi="Tahoma" w:cs="Tahoma"/>
          <w:b/>
          <w:bCs/>
          <w:iCs/>
          <w:sz w:val="18"/>
          <w:szCs w:val="18"/>
        </w:rPr>
        <w:t>на всю сумму</w:t>
      </w:r>
      <w:r w:rsidRPr="00E138C3">
        <w:rPr>
          <w:rFonts w:ascii="Tahoma" w:hAnsi="Tahoma" w:cs="Tahoma"/>
          <w:bCs/>
          <w:iCs/>
          <w:sz w:val="18"/>
          <w:szCs w:val="18"/>
        </w:rPr>
        <w:t xml:space="preserve"> Ежедневного остатка по Накопительному счету</w:t>
      </w:r>
      <w:r w:rsidRPr="00E138C3">
        <w:rPr>
          <w:rFonts w:ascii="Tahoma" w:hAnsi="Tahoma" w:cs="Tahoma"/>
          <w:bCs/>
          <w:iCs/>
          <w:sz w:val="18"/>
          <w:szCs w:val="18"/>
          <w:vertAlign w:val="superscript"/>
        </w:rPr>
        <w:t>9</w:t>
      </w:r>
      <w:r w:rsidRPr="00E138C3">
        <w:rPr>
          <w:rFonts w:ascii="Tahoma" w:hAnsi="Tahoma" w:cs="Tahoma"/>
          <w:bCs/>
          <w:iCs/>
          <w:sz w:val="22"/>
          <w:szCs w:val="22"/>
        </w:rPr>
        <w:t>.</w:t>
      </w:r>
    </w:p>
    <w:p w14:paraId="00C75695" w14:textId="6C47CDD7" w:rsidR="00AE7485" w:rsidRDefault="00AE7485" w:rsidP="00AE7485">
      <w:pPr>
        <w:tabs>
          <w:tab w:val="left" w:pos="284"/>
        </w:tabs>
        <w:jc w:val="both"/>
        <w:rPr>
          <w:rFonts w:ascii="Tahoma" w:hAnsi="Tahoma" w:cs="Tahoma"/>
          <w:bCs/>
          <w:iCs/>
          <w:sz w:val="18"/>
          <w:szCs w:val="18"/>
        </w:rPr>
      </w:pPr>
    </w:p>
    <w:p w14:paraId="19B0A8D8" w14:textId="77777777" w:rsidR="00A016B8" w:rsidRPr="00AE7485" w:rsidRDefault="00A016B8" w:rsidP="00AE7485">
      <w:pPr>
        <w:tabs>
          <w:tab w:val="left" w:pos="284"/>
        </w:tabs>
        <w:jc w:val="both"/>
        <w:rPr>
          <w:rFonts w:ascii="Tahoma" w:hAnsi="Tahoma" w:cs="Tahoma"/>
          <w:bCs/>
          <w:iCs/>
          <w:sz w:val="18"/>
          <w:szCs w:val="18"/>
        </w:rPr>
      </w:pPr>
    </w:p>
    <w:p w14:paraId="7A513365" w14:textId="27CB9D2B" w:rsidR="00AE7485" w:rsidRPr="00AE7485" w:rsidRDefault="00AE7485" w:rsidP="000B3718">
      <w:pPr>
        <w:pStyle w:val="a5"/>
        <w:numPr>
          <w:ilvl w:val="1"/>
          <w:numId w:val="165"/>
        </w:numPr>
      </w:pPr>
      <w:r w:rsidRPr="00AE7485">
        <w:t>Тарифные планы премиального обслуживания с 07.10.2024г.</w:t>
      </w:r>
    </w:p>
    <w:p w14:paraId="182D9C69" w14:textId="14BAAA24" w:rsidR="00AE7485" w:rsidRPr="00AE7485" w:rsidRDefault="000B3718" w:rsidP="000B3718">
      <w:pPr>
        <w:pStyle w:val="a5"/>
      </w:pPr>
      <w:r>
        <w:t xml:space="preserve">4.6.1 </w:t>
      </w:r>
      <w:r w:rsidR="00AE7485" w:rsidRPr="00AE7485">
        <w:t>Тарифный план «Программа банковских услуг Статус» с 07.10.2024г.</w:t>
      </w:r>
    </w:p>
    <w:p w14:paraId="28D62AC2" w14:textId="77777777" w:rsidR="00AE7485" w:rsidRPr="00AE7485" w:rsidRDefault="00AE7485" w:rsidP="00AE7485">
      <w:pPr>
        <w:ind w:left="435"/>
        <w:rPr>
          <w:rFonts w:ascii="Tahoma" w:hAnsi="Tahoma" w:cs="Tahoma"/>
          <w:sz w:val="28"/>
          <w:szCs w:val="28"/>
        </w:rPr>
      </w:pPr>
    </w:p>
    <w:tbl>
      <w:tblPr>
        <w:tblW w:w="4999" w:type="pct"/>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2"/>
        <w:gridCol w:w="5575"/>
        <w:gridCol w:w="8587"/>
      </w:tblGrid>
      <w:tr w:rsidR="00AE7485" w:rsidRPr="00AE7485" w14:paraId="0287C50C" w14:textId="77777777" w:rsidTr="00B86BDE">
        <w:trPr>
          <w:trHeight w:val="377"/>
          <w:tblHeader/>
        </w:trPr>
        <w:tc>
          <w:tcPr>
            <w:tcW w:w="318" w:type="pct"/>
            <w:tcBorders>
              <w:top w:val="single" w:sz="4" w:space="0" w:color="auto"/>
              <w:left w:val="single" w:sz="4" w:space="0" w:color="auto"/>
              <w:right w:val="single" w:sz="4" w:space="0" w:color="auto"/>
            </w:tcBorders>
            <w:shd w:val="clear" w:color="auto" w:fill="5C5C5C"/>
            <w:vAlign w:val="center"/>
          </w:tcPr>
          <w:p w14:paraId="3B331A4F" w14:textId="77777777" w:rsidR="00AE7485" w:rsidRPr="00AE7485" w:rsidRDefault="00AE7485" w:rsidP="00AE7485">
            <w:pPr>
              <w:tabs>
                <w:tab w:val="left" w:pos="284"/>
              </w:tabs>
              <w:jc w:val="center"/>
              <w:rPr>
                <w:rFonts w:ascii="Tahoma" w:hAnsi="Tahoma" w:cs="Tahoma"/>
                <w:b/>
                <w:bCs/>
                <w:iCs/>
                <w:color w:val="FFFFFF"/>
              </w:rPr>
            </w:pPr>
            <w:r w:rsidRPr="00AE7485">
              <w:rPr>
                <w:rFonts w:ascii="Tahoma" w:hAnsi="Tahoma" w:cs="Tahoma"/>
                <w:b/>
                <w:bCs/>
                <w:iCs/>
                <w:color w:val="FFFFFF"/>
              </w:rPr>
              <w:t>№ пп</w:t>
            </w:r>
          </w:p>
        </w:tc>
        <w:tc>
          <w:tcPr>
            <w:tcW w:w="1843" w:type="pct"/>
            <w:tcBorders>
              <w:top w:val="single" w:sz="4" w:space="0" w:color="auto"/>
              <w:left w:val="single" w:sz="4" w:space="0" w:color="auto"/>
              <w:right w:val="single" w:sz="4" w:space="0" w:color="auto"/>
            </w:tcBorders>
            <w:shd w:val="clear" w:color="auto" w:fill="5C5C5C"/>
            <w:vAlign w:val="center"/>
          </w:tcPr>
          <w:p w14:paraId="32852DA1" w14:textId="77777777" w:rsidR="00AE7485" w:rsidRPr="00AE7485" w:rsidRDefault="00AE7485" w:rsidP="00AE7485">
            <w:pPr>
              <w:tabs>
                <w:tab w:val="left" w:pos="284"/>
              </w:tabs>
              <w:jc w:val="center"/>
              <w:rPr>
                <w:rFonts w:ascii="Tahoma" w:hAnsi="Tahoma" w:cs="Tahoma"/>
                <w:b/>
                <w:bCs/>
                <w:iCs/>
                <w:color w:val="FFFFFF"/>
              </w:rPr>
            </w:pPr>
            <w:r w:rsidRPr="00AE7485">
              <w:rPr>
                <w:rFonts w:ascii="Tahoma" w:hAnsi="Tahoma" w:cs="Tahoma"/>
                <w:b/>
                <w:bCs/>
                <w:iCs/>
                <w:color w:val="FFFFFF"/>
              </w:rPr>
              <w:t>БАНКОВСКИЕ УСЛУГИ</w:t>
            </w:r>
          </w:p>
        </w:tc>
        <w:tc>
          <w:tcPr>
            <w:tcW w:w="2839" w:type="pct"/>
            <w:tcBorders>
              <w:left w:val="single" w:sz="4" w:space="0" w:color="auto"/>
            </w:tcBorders>
            <w:shd w:val="clear" w:color="auto" w:fill="5C5C5C"/>
            <w:vAlign w:val="center"/>
          </w:tcPr>
          <w:p w14:paraId="3A3446AA" w14:textId="77777777" w:rsidR="00AE7485" w:rsidRPr="00AE7485" w:rsidRDefault="00AE7485" w:rsidP="00AE7485">
            <w:pPr>
              <w:tabs>
                <w:tab w:val="left" w:pos="284"/>
              </w:tabs>
              <w:jc w:val="center"/>
              <w:rPr>
                <w:rFonts w:ascii="Tahoma" w:hAnsi="Tahoma" w:cs="Tahoma"/>
                <w:b/>
                <w:bCs/>
                <w:iCs/>
                <w:color w:val="FFFFFF"/>
              </w:rPr>
            </w:pPr>
            <w:r w:rsidRPr="00AE7485">
              <w:rPr>
                <w:rFonts w:ascii="Tahoma" w:hAnsi="Tahoma" w:cs="Tahoma"/>
                <w:b/>
                <w:bCs/>
                <w:iCs/>
                <w:color w:val="FFFFFF"/>
              </w:rPr>
              <w:t>ТАРИФЫ (КОМИССИОННОЕ ВОЗНАГРАЖДЕНИЕ БАНКА)</w:t>
            </w:r>
            <w:r w:rsidRPr="00AE7485">
              <w:rPr>
                <w:rFonts w:ascii="Tahoma" w:hAnsi="Tahoma" w:cs="Tahoma"/>
                <w:b/>
                <w:bCs/>
                <w:iCs/>
                <w:color w:val="FFFFFF"/>
                <w:vertAlign w:val="superscript"/>
              </w:rPr>
              <w:footnoteReference w:id="172"/>
            </w:r>
            <w:r w:rsidRPr="00AE7485">
              <w:rPr>
                <w:rFonts w:ascii="Tahoma" w:hAnsi="Tahoma" w:cs="Tahoma"/>
                <w:b/>
                <w:bCs/>
                <w:iCs/>
                <w:color w:val="FFFFFF"/>
                <w:vertAlign w:val="superscript"/>
              </w:rPr>
              <w:t>,</w:t>
            </w:r>
            <w:r w:rsidRPr="00AE7485">
              <w:rPr>
                <w:rFonts w:ascii="Tahoma" w:hAnsi="Tahoma" w:cs="Tahoma"/>
                <w:b/>
                <w:bCs/>
                <w:iCs/>
                <w:color w:val="FFFFFF"/>
                <w:vertAlign w:val="superscript"/>
              </w:rPr>
              <w:footnoteReference w:id="173"/>
            </w:r>
          </w:p>
        </w:tc>
      </w:tr>
      <w:tr w:rsidR="00AE7485" w:rsidRPr="00AE7485" w14:paraId="46E50BEB" w14:textId="77777777" w:rsidTr="00B86BDE">
        <w:tc>
          <w:tcPr>
            <w:tcW w:w="318" w:type="pct"/>
            <w:shd w:val="clear" w:color="auto" w:fill="5C5C5C"/>
            <w:vAlign w:val="center"/>
          </w:tcPr>
          <w:p w14:paraId="2D9F164E" w14:textId="77777777" w:rsidR="00AE7485" w:rsidRPr="00AE7485" w:rsidRDefault="00AE7485" w:rsidP="00AE7485">
            <w:pPr>
              <w:tabs>
                <w:tab w:val="left" w:pos="284"/>
              </w:tabs>
              <w:rPr>
                <w:rFonts w:ascii="Tahoma" w:hAnsi="Tahoma" w:cs="Tahoma"/>
                <w:bCs/>
                <w:iCs/>
                <w:color w:val="FFFFFF"/>
              </w:rPr>
            </w:pPr>
            <w:r w:rsidRPr="00AE7485">
              <w:rPr>
                <w:rFonts w:ascii="Tahoma" w:hAnsi="Tahoma" w:cs="Tahoma"/>
                <w:bCs/>
                <w:iCs/>
                <w:color w:val="FFFFFF"/>
              </w:rPr>
              <w:t>1.</w:t>
            </w:r>
          </w:p>
        </w:tc>
        <w:tc>
          <w:tcPr>
            <w:tcW w:w="4682" w:type="pct"/>
            <w:gridSpan w:val="2"/>
            <w:shd w:val="clear" w:color="auto" w:fill="5C5C5C"/>
            <w:vAlign w:val="center"/>
          </w:tcPr>
          <w:p w14:paraId="4B2789FA" w14:textId="77777777" w:rsidR="00AE7485" w:rsidRPr="00AE7485" w:rsidRDefault="00AE7485" w:rsidP="00AE7485">
            <w:pPr>
              <w:tabs>
                <w:tab w:val="left" w:pos="284"/>
              </w:tabs>
              <w:rPr>
                <w:rFonts w:ascii="Tahoma" w:hAnsi="Tahoma" w:cs="Tahoma"/>
                <w:bCs/>
                <w:iCs/>
                <w:color w:val="E36C0A"/>
              </w:rPr>
            </w:pPr>
            <w:r w:rsidRPr="00AE7485">
              <w:rPr>
                <w:rFonts w:ascii="Tahoma" w:hAnsi="Tahoma" w:cs="Tahoma"/>
                <w:bCs/>
                <w:iCs/>
                <w:color w:val="FFFFFF"/>
              </w:rPr>
              <w:t>Условия предоставления и обслуживания Программы банковских услуг «Статус» (далее – Программа</w:t>
            </w:r>
            <w:r w:rsidRPr="00AE7485">
              <w:rPr>
                <w:rFonts w:ascii="Tahoma" w:hAnsi="Tahoma" w:cs="Tahoma"/>
                <w:bCs/>
                <w:iCs/>
                <w:color w:val="FFFFFF"/>
                <w:vertAlign w:val="superscript"/>
              </w:rPr>
              <w:footnoteReference w:id="174"/>
            </w:r>
            <w:r w:rsidRPr="00AE7485">
              <w:rPr>
                <w:rFonts w:ascii="Tahoma" w:hAnsi="Tahoma" w:cs="Tahoma"/>
                <w:bCs/>
                <w:iCs/>
                <w:color w:val="FFFFFF"/>
              </w:rPr>
              <w:t>)</w:t>
            </w:r>
          </w:p>
        </w:tc>
      </w:tr>
      <w:tr w:rsidR="00AE7485" w:rsidRPr="00AE7485" w14:paraId="31049EB4" w14:textId="77777777" w:rsidTr="00B86BDE">
        <w:tc>
          <w:tcPr>
            <w:tcW w:w="318" w:type="pct"/>
            <w:shd w:val="clear" w:color="auto" w:fill="auto"/>
            <w:vAlign w:val="center"/>
          </w:tcPr>
          <w:p w14:paraId="5C0716E1" w14:textId="77777777" w:rsidR="00AE7485" w:rsidRPr="00AE7485" w:rsidRDefault="00AE7485" w:rsidP="00AE7485">
            <w:pPr>
              <w:tabs>
                <w:tab w:val="left" w:pos="284"/>
              </w:tabs>
              <w:rPr>
                <w:rFonts w:ascii="Tahoma" w:hAnsi="Tahoma" w:cs="Tahoma"/>
                <w:bCs/>
                <w:iCs/>
                <w:color w:val="000000"/>
                <w:sz w:val="22"/>
                <w:szCs w:val="22"/>
              </w:rPr>
            </w:pPr>
            <w:r w:rsidRPr="00AE7485">
              <w:rPr>
                <w:rFonts w:ascii="Tahoma" w:hAnsi="Tahoma" w:cs="Tahoma"/>
                <w:bCs/>
                <w:iCs/>
                <w:color w:val="000000"/>
                <w:sz w:val="22"/>
                <w:szCs w:val="22"/>
              </w:rPr>
              <w:t>1.1.</w:t>
            </w:r>
          </w:p>
        </w:tc>
        <w:tc>
          <w:tcPr>
            <w:tcW w:w="1843" w:type="pct"/>
            <w:shd w:val="clear" w:color="auto" w:fill="auto"/>
            <w:vAlign w:val="center"/>
          </w:tcPr>
          <w:p w14:paraId="17058DC8" w14:textId="77777777" w:rsidR="00AE7485" w:rsidRPr="00AE7485" w:rsidRDefault="00AE7485" w:rsidP="00AE7485">
            <w:pPr>
              <w:rPr>
                <w:rFonts w:ascii="Tahoma" w:hAnsi="Tahoma" w:cs="Tahoma"/>
                <w:b/>
                <w:bCs/>
                <w:iCs/>
                <w:color w:val="E36C0A"/>
                <w:sz w:val="22"/>
                <w:szCs w:val="22"/>
              </w:rPr>
            </w:pPr>
            <w:r w:rsidRPr="00AE7485">
              <w:rPr>
                <w:rFonts w:ascii="Tahoma" w:hAnsi="Tahoma" w:cs="Tahoma"/>
                <w:color w:val="000000"/>
                <w:sz w:val="22"/>
                <w:szCs w:val="22"/>
              </w:rPr>
              <w:t xml:space="preserve">Пользователь услуг </w:t>
            </w:r>
          </w:p>
        </w:tc>
        <w:tc>
          <w:tcPr>
            <w:tcW w:w="2839" w:type="pct"/>
            <w:shd w:val="clear" w:color="auto" w:fill="auto"/>
            <w:vAlign w:val="center"/>
          </w:tcPr>
          <w:p w14:paraId="4B1CF58A"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Физическое лицо (далее – Клиент), заключившее в рамках настоящей Программы</w:t>
            </w:r>
            <w:r w:rsidRPr="00AE7485">
              <w:rPr>
                <w:rFonts w:ascii="Tahoma" w:hAnsi="Tahoma" w:cs="Tahoma"/>
                <w:bCs/>
                <w:iCs/>
                <w:sz w:val="22"/>
                <w:szCs w:val="22"/>
                <w:vertAlign w:val="superscript"/>
              </w:rPr>
              <w:t xml:space="preserve"> </w:t>
            </w:r>
            <w:r w:rsidRPr="00AE7485">
              <w:rPr>
                <w:rFonts w:ascii="Tahoma" w:hAnsi="Tahoma" w:cs="Tahoma"/>
                <w:bCs/>
                <w:iCs/>
                <w:sz w:val="22"/>
                <w:szCs w:val="22"/>
              </w:rPr>
              <w:t>с Банком Договор Карты. На имя одного Клиента может быть открыта только одна Программа банковских услуг (по волеизъявлению Клиента): либо «Статус», либо «Статус Плюс».</w:t>
            </w:r>
          </w:p>
        </w:tc>
      </w:tr>
      <w:tr w:rsidR="00AE7485" w:rsidRPr="00AE7485" w14:paraId="6DF849FD" w14:textId="77777777" w:rsidTr="00B86BDE">
        <w:tc>
          <w:tcPr>
            <w:tcW w:w="318" w:type="pct"/>
            <w:shd w:val="clear" w:color="auto" w:fill="auto"/>
            <w:vAlign w:val="center"/>
          </w:tcPr>
          <w:p w14:paraId="194924A1" w14:textId="77777777" w:rsidR="00AE7485" w:rsidRPr="00AE7485" w:rsidRDefault="00AE7485" w:rsidP="00AE7485">
            <w:pPr>
              <w:tabs>
                <w:tab w:val="left" w:pos="284"/>
              </w:tabs>
              <w:rPr>
                <w:rFonts w:ascii="Tahoma" w:hAnsi="Tahoma" w:cs="Tahoma"/>
                <w:bCs/>
                <w:iCs/>
                <w:color w:val="000000"/>
                <w:sz w:val="22"/>
                <w:szCs w:val="22"/>
              </w:rPr>
            </w:pPr>
            <w:r w:rsidRPr="00AE7485">
              <w:rPr>
                <w:rFonts w:ascii="Tahoma" w:hAnsi="Tahoma" w:cs="Tahoma"/>
                <w:bCs/>
                <w:iCs/>
                <w:color w:val="000000"/>
                <w:sz w:val="22"/>
                <w:szCs w:val="22"/>
              </w:rPr>
              <w:t>1.2.</w:t>
            </w:r>
          </w:p>
        </w:tc>
        <w:tc>
          <w:tcPr>
            <w:tcW w:w="1843" w:type="pct"/>
            <w:shd w:val="clear" w:color="auto" w:fill="auto"/>
            <w:vAlign w:val="center"/>
          </w:tcPr>
          <w:p w14:paraId="260EE1AC" w14:textId="77777777" w:rsidR="00AE7485" w:rsidRPr="00AE7485" w:rsidRDefault="00AE7485" w:rsidP="00AE7485">
            <w:pPr>
              <w:rPr>
                <w:rFonts w:ascii="Tahoma" w:hAnsi="Tahoma" w:cs="Tahoma"/>
                <w:bCs/>
                <w:iCs/>
                <w:sz w:val="22"/>
                <w:szCs w:val="22"/>
              </w:rPr>
            </w:pPr>
            <w:r w:rsidRPr="00AE7485">
              <w:rPr>
                <w:rFonts w:ascii="Tahoma" w:hAnsi="Tahoma" w:cs="Tahoma"/>
                <w:bCs/>
                <w:iCs/>
                <w:sz w:val="22"/>
                <w:szCs w:val="22"/>
              </w:rPr>
              <w:t>Стоимость подключения Программы</w:t>
            </w:r>
          </w:p>
        </w:tc>
        <w:tc>
          <w:tcPr>
            <w:tcW w:w="2839" w:type="pct"/>
            <w:shd w:val="clear" w:color="auto" w:fill="auto"/>
            <w:vAlign w:val="center"/>
          </w:tcPr>
          <w:p w14:paraId="23F44B45" w14:textId="77777777" w:rsidR="00AE7485" w:rsidRPr="00AE7485" w:rsidRDefault="00AE7485" w:rsidP="00AE7485">
            <w:pPr>
              <w:tabs>
                <w:tab w:val="left" w:pos="4889"/>
              </w:tabs>
              <w:jc w:val="center"/>
              <w:rPr>
                <w:rFonts w:ascii="Tahoma" w:hAnsi="Tahoma" w:cs="Tahoma"/>
                <w:b/>
                <w:bCs/>
                <w:sz w:val="22"/>
                <w:szCs w:val="22"/>
              </w:rPr>
            </w:pPr>
            <w:r w:rsidRPr="00AE7485">
              <w:rPr>
                <w:rFonts w:ascii="Tahoma" w:hAnsi="Tahoma" w:cs="Tahoma"/>
                <w:b/>
                <w:bCs/>
                <w:sz w:val="22"/>
                <w:szCs w:val="22"/>
              </w:rPr>
              <w:t>БЕСПЛАТНО</w:t>
            </w:r>
          </w:p>
        </w:tc>
      </w:tr>
      <w:tr w:rsidR="00AE7485" w:rsidRPr="00AE7485" w14:paraId="74445264" w14:textId="77777777" w:rsidTr="00B86BDE">
        <w:tc>
          <w:tcPr>
            <w:tcW w:w="318" w:type="pct"/>
            <w:shd w:val="clear" w:color="auto" w:fill="auto"/>
            <w:vAlign w:val="center"/>
          </w:tcPr>
          <w:p w14:paraId="693B6A64" w14:textId="77777777" w:rsidR="00AE7485" w:rsidRPr="00AE7485" w:rsidRDefault="00AE7485" w:rsidP="00AE7485">
            <w:pPr>
              <w:tabs>
                <w:tab w:val="left" w:pos="284"/>
              </w:tabs>
              <w:rPr>
                <w:rFonts w:ascii="Tahoma" w:hAnsi="Tahoma" w:cs="Tahoma"/>
                <w:bCs/>
                <w:iCs/>
                <w:color w:val="000000"/>
                <w:sz w:val="22"/>
                <w:szCs w:val="22"/>
              </w:rPr>
            </w:pPr>
            <w:r w:rsidRPr="00AE7485">
              <w:rPr>
                <w:rFonts w:ascii="Tahoma" w:hAnsi="Tahoma" w:cs="Tahoma"/>
                <w:bCs/>
                <w:iCs/>
                <w:color w:val="000000"/>
                <w:sz w:val="22"/>
                <w:szCs w:val="22"/>
              </w:rPr>
              <w:t>1.3.</w:t>
            </w:r>
          </w:p>
        </w:tc>
        <w:tc>
          <w:tcPr>
            <w:tcW w:w="1843" w:type="pct"/>
            <w:shd w:val="clear" w:color="auto" w:fill="auto"/>
            <w:vAlign w:val="center"/>
          </w:tcPr>
          <w:p w14:paraId="276D655B" w14:textId="77777777" w:rsidR="00AE7485" w:rsidRPr="00AE7485" w:rsidRDefault="00AE7485" w:rsidP="00AE7485">
            <w:pPr>
              <w:rPr>
                <w:rFonts w:ascii="Tahoma" w:hAnsi="Tahoma" w:cs="Tahoma"/>
                <w:bCs/>
                <w:iCs/>
                <w:sz w:val="22"/>
                <w:szCs w:val="22"/>
              </w:rPr>
            </w:pPr>
            <w:r w:rsidRPr="00AE7485">
              <w:rPr>
                <w:rFonts w:ascii="Tahoma" w:hAnsi="Tahoma" w:cs="Tahoma"/>
                <w:bCs/>
                <w:iCs/>
                <w:sz w:val="22"/>
                <w:szCs w:val="22"/>
              </w:rPr>
              <w:t>Стоимость обслуживания Программы с первого Отчетного периода</w:t>
            </w:r>
            <w:r w:rsidRPr="00AE7485">
              <w:rPr>
                <w:rFonts w:ascii="Tahoma" w:hAnsi="Tahoma" w:cs="Tahoma"/>
                <w:bCs/>
                <w:iCs/>
                <w:sz w:val="22"/>
                <w:szCs w:val="22"/>
                <w:vertAlign w:val="superscript"/>
              </w:rPr>
              <w:footnoteReference w:id="175"/>
            </w:r>
            <w:r w:rsidRPr="00AE7485">
              <w:rPr>
                <w:rFonts w:ascii="Tahoma" w:hAnsi="Tahoma" w:cs="Tahoma"/>
                <w:bCs/>
                <w:iCs/>
                <w:sz w:val="22"/>
                <w:szCs w:val="22"/>
              </w:rPr>
              <w:t>, следующего за месяцем подключения Программы (при не соблюдении одного из условий, указанных в п.2 Программы), а также в случае расторжения Программы в Льготном периоде</w:t>
            </w:r>
          </w:p>
        </w:tc>
        <w:tc>
          <w:tcPr>
            <w:tcW w:w="2839" w:type="pct"/>
            <w:shd w:val="clear" w:color="auto" w:fill="auto"/>
            <w:vAlign w:val="center"/>
          </w:tcPr>
          <w:p w14:paraId="2AD62488" w14:textId="77777777" w:rsidR="00AE7485" w:rsidRPr="00AE7485" w:rsidRDefault="00AE7485" w:rsidP="00AE7485">
            <w:pPr>
              <w:tabs>
                <w:tab w:val="left" w:pos="4889"/>
              </w:tabs>
              <w:jc w:val="center"/>
              <w:rPr>
                <w:rFonts w:ascii="Tahoma" w:hAnsi="Tahoma" w:cs="Tahoma"/>
                <w:b/>
                <w:bCs/>
                <w:sz w:val="22"/>
                <w:szCs w:val="22"/>
              </w:rPr>
            </w:pPr>
            <w:r w:rsidRPr="00AE7485">
              <w:rPr>
                <w:rFonts w:ascii="Tahoma" w:hAnsi="Tahoma" w:cs="Tahoma"/>
                <w:b/>
                <w:bCs/>
                <w:sz w:val="22"/>
                <w:szCs w:val="22"/>
              </w:rPr>
              <w:t xml:space="preserve">2 350 рублей </w:t>
            </w:r>
            <w:r w:rsidRPr="00AE7485">
              <w:rPr>
                <w:rFonts w:ascii="Tahoma" w:hAnsi="Tahoma" w:cs="Tahoma"/>
                <w:bCs/>
                <w:sz w:val="22"/>
                <w:szCs w:val="22"/>
              </w:rPr>
              <w:t>в месяц</w:t>
            </w:r>
            <w:r w:rsidRPr="00AE7485">
              <w:rPr>
                <w:rFonts w:ascii="Tahoma" w:hAnsi="Tahoma" w:cs="Tahoma"/>
                <w:bCs/>
                <w:sz w:val="22"/>
                <w:szCs w:val="22"/>
                <w:vertAlign w:val="superscript"/>
              </w:rPr>
              <w:footnoteReference w:id="176"/>
            </w:r>
          </w:p>
        </w:tc>
      </w:tr>
      <w:tr w:rsidR="00AE7485" w:rsidRPr="00AE7485" w14:paraId="0DC18F81" w14:textId="77777777" w:rsidTr="00B86BDE">
        <w:tc>
          <w:tcPr>
            <w:tcW w:w="318" w:type="pct"/>
            <w:shd w:val="clear" w:color="auto" w:fill="auto"/>
            <w:vAlign w:val="center"/>
          </w:tcPr>
          <w:p w14:paraId="7C19B020" w14:textId="77777777" w:rsidR="00AE7485" w:rsidRPr="00AE7485" w:rsidRDefault="00AE7485" w:rsidP="00AE7485">
            <w:pPr>
              <w:tabs>
                <w:tab w:val="left" w:pos="284"/>
              </w:tabs>
              <w:rPr>
                <w:rFonts w:ascii="Tahoma" w:hAnsi="Tahoma" w:cs="Tahoma"/>
                <w:bCs/>
                <w:iCs/>
                <w:color w:val="000000"/>
                <w:sz w:val="22"/>
                <w:szCs w:val="22"/>
              </w:rPr>
            </w:pPr>
            <w:r w:rsidRPr="00AE7485">
              <w:rPr>
                <w:rFonts w:ascii="Tahoma" w:hAnsi="Tahoma" w:cs="Tahoma"/>
                <w:bCs/>
                <w:iCs/>
                <w:color w:val="000000"/>
                <w:sz w:val="22"/>
                <w:szCs w:val="22"/>
              </w:rPr>
              <w:t>1.4.</w:t>
            </w:r>
          </w:p>
        </w:tc>
        <w:tc>
          <w:tcPr>
            <w:tcW w:w="1843" w:type="pct"/>
            <w:shd w:val="clear" w:color="auto" w:fill="auto"/>
            <w:vAlign w:val="center"/>
          </w:tcPr>
          <w:p w14:paraId="0086A7C0" w14:textId="77777777" w:rsidR="00AE7485" w:rsidRPr="00AE7485" w:rsidRDefault="00AE7485" w:rsidP="00AE7485">
            <w:pPr>
              <w:rPr>
                <w:rFonts w:ascii="Tahoma" w:hAnsi="Tahoma" w:cs="Tahoma"/>
                <w:bCs/>
                <w:iCs/>
                <w:sz w:val="22"/>
                <w:szCs w:val="22"/>
              </w:rPr>
            </w:pPr>
            <w:r w:rsidRPr="00AE7485">
              <w:rPr>
                <w:rFonts w:ascii="Tahoma" w:hAnsi="Tahoma" w:cs="Tahoma"/>
                <w:bCs/>
                <w:iCs/>
                <w:sz w:val="22"/>
                <w:szCs w:val="22"/>
              </w:rPr>
              <w:t>Стоимость обслуживания Программы при соблюдении одного из условий, указанных в п.2 Программы</w:t>
            </w:r>
          </w:p>
        </w:tc>
        <w:tc>
          <w:tcPr>
            <w:tcW w:w="2839" w:type="pct"/>
            <w:shd w:val="clear" w:color="auto" w:fill="auto"/>
            <w:vAlign w:val="center"/>
          </w:tcPr>
          <w:p w14:paraId="48DE286C" w14:textId="77777777" w:rsidR="00AE7485" w:rsidRPr="00AE7485" w:rsidRDefault="00AE7485" w:rsidP="00AE7485">
            <w:pPr>
              <w:tabs>
                <w:tab w:val="left" w:pos="4889"/>
              </w:tabs>
              <w:jc w:val="center"/>
              <w:rPr>
                <w:rFonts w:ascii="Tahoma" w:hAnsi="Tahoma" w:cs="Tahoma"/>
                <w:b/>
                <w:bCs/>
                <w:sz w:val="22"/>
                <w:szCs w:val="22"/>
              </w:rPr>
            </w:pPr>
            <w:r w:rsidRPr="00AE7485">
              <w:rPr>
                <w:rFonts w:ascii="Tahoma" w:hAnsi="Tahoma" w:cs="Tahoma"/>
                <w:b/>
                <w:bCs/>
                <w:sz w:val="22"/>
                <w:szCs w:val="22"/>
              </w:rPr>
              <w:t>БЕСПЛАТНО</w:t>
            </w:r>
          </w:p>
        </w:tc>
      </w:tr>
      <w:tr w:rsidR="00AE7485" w:rsidRPr="00AE7485" w14:paraId="1E04A87C" w14:textId="77777777" w:rsidTr="00B86BDE">
        <w:tc>
          <w:tcPr>
            <w:tcW w:w="318" w:type="pct"/>
            <w:shd w:val="clear" w:color="auto" w:fill="auto"/>
            <w:vAlign w:val="center"/>
          </w:tcPr>
          <w:p w14:paraId="55AB05C1" w14:textId="77777777" w:rsidR="00AE7485" w:rsidRPr="00AE7485" w:rsidRDefault="00AE7485" w:rsidP="00AE7485">
            <w:pPr>
              <w:tabs>
                <w:tab w:val="left" w:pos="284"/>
              </w:tabs>
              <w:rPr>
                <w:rFonts w:ascii="Tahoma" w:hAnsi="Tahoma" w:cs="Tahoma"/>
                <w:bCs/>
                <w:iCs/>
                <w:color w:val="000000"/>
                <w:sz w:val="22"/>
                <w:szCs w:val="22"/>
              </w:rPr>
            </w:pPr>
            <w:r w:rsidRPr="00AE7485">
              <w:rPr>
                <w:rFonts w:ascii="Tahoma" w:hAnsi="Tahoma" w:cs="Tahoma"/>
                <w:bCs/>
                <w:iCs/>
                <w:color w:val="000000"/>
                <w:sz w:val="22"/>
                <w:szCs w:val="22"/>
              </w:rPr>
              <w:t>1.5.</w:t>
            </w:r>
          </w:p>
        </w:tc>
        <w:tc>
          <w:tcPr>
            <w:tcW w:w="1843" w:type="pct"/>
            <w:shd w:val="clear" w:color="auto" w:fill="auto"/>
            <w:vAlign w:val="center"/>
          </w:tcPr>
          <w:p w14:paraId="1D08984E" w14:textId="77777777" w:rsidR="00AE7485" w:rsidRPr="00AE7485" w:rsidRDefault="00AE7485" w:rsidP="00AE7485">
            <w:pPr>
              <w:rPr>
                <w:rFonts w:ascii="Tahoma" w:hAnsi="Tahoma" w:cs="Tahoma"/>
                <w:bCs/>
                <w:iCs/>
                <w:sz w:val="22"/>
                <w:szCs w:val="22"/>
              </w:rPr>
            </w:pPr>
            <w:r w:rsidRPr="00AE7485">
              <w:rPr>
                <w:rFonts w:ascii="Tahoma" w:hAnsi="Tahoma" w:cs="Tahoma"/>
                <w:bCs/>
                <w:iCs/>
                <w:sz w:val="22"/>
                <w:szCs w:val="22"/>
              </w:rPr>
              <w:t>Льготный период при оформлении Программы</w:t>
            </w:r>
          </w:p>
        </w:tc>
        <w:tc>
          <w:tcPr>
            <w:tcW w:w="2839" w:type="pct"/>
            <w:shd w:val="clear" w:color="auto" w:fill="auto"/>
            <w:vAlign w:val="center"/>
          </w:tcPr>
          <w:p w14:paraId="6DC79DFB" w14:textId="77777777" w:rsidR="00AE7485" w:rsidRPr="00AE7485" w:rsidRDefault="00AE7485" w:rsidP="00AE7485">
            <w:pPr>
              <w:tabs>
                <w:tab w:val="left" w:pos="4889"/>
              </w:tabs>
              <w:jc w:val="center"/>
              <w:rPr>
                <w:rFonts w:ascii="Tahoma" w:hAnsi="Tahoma" w:cs="Tahoma"/>
                <w:bCs/>
                <w:sz w:val="22"/>
                <w:szCs w:val="22"/>
              </w:rPr>
            </w:pPr>
            <w:r w:rsidRPr="00AE7485">
              <w:rPr>
                <w:rFonts w:ascii="Tahoma" w:hAnsi="Tahoma" w:cs="Tahoma"/>
                <w:bCs/>
                <w:sz w:val="22"/>
                <w:szCs w:val="22"/>
              </w:rPr>
              <w:t>Календарный месяц, в котором Клиент оформил Программу и в котором комиссия за ежемесячное обслуживание Программы, указанная в п.2 Программы, не начисляется</w:t>
            </w:r>
          </w:p>
        </w:tc>
      </w:tr>
      <w:tr w:rsidR="00AE7485" w:rsidRPr="00AE7485" w14:paraId="207A031B" w14:textId="77777777" w:rsidTr="00B86BDE">
        <w:tc>
          <w:tcPr>
            <w:tcW w:w="318" w:type="pct"/>
            <w:shd w:val="clear" w:color="auto" w:fill="5C5C5C"/>
            <w:vAlign w:val="center"/>
          </w:tcPr>
          <w:p w14:paraId="33C07217" w14:textId="77777777" w:rsidR="00AE7485" w:rsidRPr="00AE7485" w:rsidRDefault="00AE7485" w:rsidP="00AE7485">
            <w:pPr>
              <w:tabs>
                <w:tab w:val="left" w:pos="284"/>
              </w:tabs>
              <w:rPr>
                <w:rFonts w:ascii="Tahoma" w:hAnsi="Tahoma" w:cs="Tahoma"/>
                <w:bCs/>
                <w:iCs/>
                <w:color w:val="FFFFFF"/>
              </w:rPr>
            </w:pPr>
            <w:r w:rsidRPr="00AE7485">
              <w:rPr>
                <w:rFonts w:ascii="Tahoma" w:hAnsi="Tahoma" w:cs="Tahoma"/>
                <w:bCs/>
                <w:iCs/>
                <w:color w:val="FFFFFF"/>
              </w:rPr>
              <w:t>2.</w:t>
            </w:r>
          </w:p>
        </w:tc>
        <w:tc>
          <w:tcPr>
            <w:tcW w:w="4682" w:type="pct"/>
            <w:gridSpan w:val="2"/>
            <w:shd w:val="clear" w:color="auto" w:fill="5C5C5C"/>
            <w:vAlign w:val="center"/>
          </w:tcPr>
          <w:p w14:paraId="78E5BC69" w14:textId="77777777" w:rsidR="00AE7485" w:rsidRPr="00AE7485" w:rsidRDefault="00AE7485" w:rsidP="00AE7485">
            <w:pPr>
              <w:tabs>
                <w:tab w:val="left" w:pos="284"/>
              </w:tabs>
              <w:rPr>
                <w:rFonts w:ascii="Tahoma" w:hAnsi="Tahoma" w:cs="Tahoma"/>
                <w:bCs/>
                <w:iCs/>
                <w:color w:val="FFFFFF"/>
              </w:rPr>
            </w:pPr>
            <w:r w:rsidRPr="00AE7485">
              <w:rPr>
                <w:rFonts w:ascii="Tahoma" w:hAnsi="Tahoma" w:cs="Tahoma"/>
                <w:bCs/>
                <w:iCs/>
                <w:color w:val="FFFFFF"/>
              </w:rPr>
              <w:t>Условия бесплатного обслуживания Программы</w:t>
            </w:r>
          </w:p>
        </w:tc>
      </w:tr>
      <w:tr w:rsidR="00AE7485" w:rsidRPr="00AE7485" w14:paraId="00425ABC" w14:textId="77777777" w:rsidTr="00B86BDE">
        <w:tc>
          <w:tcPr>
            <w:tcW w:w="318" w:type="pct"/>
            <w:shd w:val="clear" w:color="auto" w:fill="auto"/>
            <w:vAlign w:val="center"/>
          </w:tcPr>
          <w:p w14:paraId="03D5D923" w14:textId="77777777" w:rsidR="00AE7485" w:rsidRPr="00AE7485" w:rsidRDefault="00AE7485" w:rsidP="00AE7485">
            <w:pPr>
              <w:tabs>
                <w:tab w:val="left" w:pos="284"/>
              </w:tabs>
              <w:rPr>
                <w:rFonts w:ascii="Tahoma" w:hAnsi="Tahoma" w:cs="Tahoma"/>
                <w:bCs/>
                <w:iCs/>
                <w:color w:val="000000"/>
                <w:sz w:val="22"/>
                <w:szCs w:val="22"/>
              </w:rPr>
            </w:pPr>
            <w:r w:rsidRPr="00AE7485">
              <w:rPr>
                <w:rFonts w:ascii="Tahoma" w:hAnsi="Tahoma" w:cs="Tahoma"/>
                <w:bCs/>
                <w:iCs/>
                <w:color w:val="000000"/>
                <w:sz w:val="22"/>
                <w:szCs w:val="22"/>
              </w:rPr>
              <w:t>2.1.</w:t>
            </w:r>
          </w:p>
        </w:tc>
        <w:tc>
          <w:tcPr>
            <w:tcW w:w="1843" w:type="pct"/>
            <w:shd w:val="clear" w:color="auto" w:fill="auto"/>
            <w:vAlign w:val="center"/>
          </w:tcPr>
          <w:p w14:paraId="3DF7BB47" w14:textId="77777777" w:rsidR="00AE7485" w:rsidRPr="00AE7485" w:rsidRDefault="00AE7485" w:rsidP="00AE7485">
            <w:pPr>
              <w:rPr>
                <w:rFonts w:ascii="Tahoma" w:hAnsi="Tahoma" w:cs="Tahoma"/>
                <w:bCs/>
                <w:iCs/>
                <w:sz w:val="22"/>
                <w:szCs w:val="22"/>
              </w:rPr>
            </w:pPr>
            <w:r w:rsidRPr="00AE7485">
              <w:rPr>
                <w:rFonts w:ascii="Tahoma" w:hAnsi="Tahoma" w:cs="Tahoma"/>
                <w:bCs/>
                <w:iCs/>
                <w:sz w:val="22"/>
                <w:szCs w:val="22"/>
              </w:rPr>
              <w:t>Сумма покупок</w:t>
            </w:r>
            <w:r w:rsidRPr="00AE7485">
              <w:rPr>
                <w:rFonts w:ascii="Tahoma" w:hAnsi="Tahoma" w:cs="Tahoma"/>
                <w:bCs/>
                <w:iCs/>
                <w:sz w:val="22"/>
                <w:szCs w:val="22"/>
                <w:vertAlign w:val="superscript"/>
              </w:rPr>
              <w:footnoteReference w:id="177"/>
            </w:r>
            <w:r w:rsidRPr="00AE7485">
              <w:rPr>
                <w:rFonts w:ascii="Tahoma" w:hAnsi="Tahoma" w:cs="Tahoma"/>
                <w:bCs/>
                <w:iCs/>
                <w:sz w:val="22"/>
                <w:szCs w:val="22"/>
              </w:rPr>
              <w:t xml:space="preserve"> по Картам, выпущенным в рамках Программы, в течение Отчетного периода</w:t>
            </w:r>
          </w:p>
        </w:tc>
        <w:tc>
          <w:tcPr>
            <w:tcW w:w="2839" w:type="pct"/>
            <w:shd w:val="clear" w:color="auto" w:fill="auto"/>
            <w:vAlign w:val="center"/>
          </w:tcPr>
          <w:p w14:paraId="63D86909" w14:textId="77777777" w:rsidR="00AE7485" w:rsidRPr="00AE7485" w:rsidRDefault="00AE7485" w:rsidP="00AE7485">
            <w:pPr>
              <w:tabs>
                <w:tab w:val="left" w:pos="4889"/>
              </w:tabs>
              <w:jc w:val="center"/>
              <w:rPr>
                <w:rFonts w:ascii="Tahoma" w:hAnsi="Tahoma" w:cs="Tahoma"/>
                <w:b/>
                <w:bCs/>
                <w:sz w:val="22"/>
                <w:szCs w:val="22"/>
              </w:rPr>
            </w:pPr>
            <w:r w:rsidRPr="00AE7485">
              <w:rPr>
                <w:rFonts w:ascii="Tahoma" w:hAnsi="Tahoma" w:cs="Tahoma"/>
                <w:bCs/>
                <w:sz w:val="22"/>
                <w:szCs w:val="22"/>
              </w:rPr>
              <w:t>От</w:t>
            </w:r>
            <w:r w:rsidRPr="00AE7485">
              <w:rPr>
                <w:rFonts w:ascii="Tahoma" w:hAnsi="Tahoma" w:cs="Tahoma"/>
                <w:b/>
                <w:bCs/>
                <w:sz w:val="22"/>
                <w:szCs w:val="22"/>
              </w:rPr>
              <w:t xml:space="preserve"> 150 000 рублей</w:t>
            </w:r>
          </w:p>
        </w:tc>
      </w:tr>
      <w:tr w:rsidR="00AE7485" w:rsidRPr="00AE7485" w14:paraId="23967EA2" w14:textId="77777777" w:rsidTr="00B86BDE">
        <w:tc>
          <w:tcPr>
            <w:tcW w:w="318" w:type="pct"/>
            <w:shd w:val="clear" w:color="auto" w:fill="auto"/>
            <w:vAlign w:val="center"/>
          </w:tcPr>
          <w:p w14:paraId="0C9F9752" w14:textId="77777777" w:rsidR="00AE7485" w:rsidRPr="00AE7485" w:rsidRDefault="00AE7485" w:rsidP="00AE7485">
            <w:pPr>
              <w:tabs>
                <w:tab w:val="left" w:pos="284"/>
              </w:tabs>
              <w:rPr>
                <w:rFonts w:ascii="Tahoma" w:hAnsi="Tahoma" w:cs="Tahoma"/>
                <w:bCs/>
                <w:iCs/>
                <w:color w:val="000000"/>
                <w:sz w:val="22"/>
                <w:szCs w:val="22"/>
              </w:rPr>
            </w:pPr>
            <w:r w:rsidRPr="00AE7485">
              <w:rPr>
                <w:rFonts w:ascii="Tahoma" w:hAnsi="Tahoma" w:cs="Tahoma"/>
                <w:bCs/>
                <w:iCs/>
                <w:color w:val="000000"/>
                <w:sz w:val="22"/>
                <w:szCs w:val="22"/>
              </w:rPr>
              <w:t>2.2.</w:t>
            </w:r>
          </w:p>
        </w:tc>
        <w:tc>
          <w:tcPr>
            <w:tcW w:w="1843" w:type="pct"/>
            <w:shd w:val="clear" w:color="auto" w:fill="auto"/>
            <w:vAlign w:val="center"/>
          </w:tcPr>
          <w:p w14:paraId="617CE108" w14:textId="77777777" w:rsidR="00AE7485" w:rsidRPr="00AE7485" w:rsidRDefault="00AE7485" w:rsidP="00AE7485">
            <w:pPr>
              <w:rPr>
                <w:rFonts w:ascii="Tahoma" w:hAnsi="Tahoma" w:cs="Tahoma"/>
                <w:bCs/>
                <w:iCs/>
                <w:sz w:val="22"/>
                <w:szCs w:val="22"/>
              </w:rPr>
            </w:pPr>
            <w:r w:rsidRPr="00AE7485">
              <w:rPr>
                <w:rFonts w:ascii="Tahoma" w:hAnsi="Tahoma" w:cs="Tahoma"/>
                <w:bCs/>
                <w:iCs/>
                <w:sz w:val="22"/>
                <w:szCs w:val="22"/>
              </w:rPr>
              <w:t>Средние остатки</w:t>
            </w:r>
            <w:r w:rsidRPr="00AE7485">
              <w:rPr>
                <w:rFonts w:ascii="Tahoma" w:hAnsi="Tahoma" w:cs="Tahoma"/>
                <w:bCs/>
                <w:iCs/>
                <w:sz w:val="22"/>
                <w:szCs w:val="22"/>
                <w:vertAlign w:val="superscript"/>
              </w:rPr>
              <w:footnoteReference w:id="178"/>
            </w:r>
            <w:r w:rsidRPr="00AE7485">
              <w:rPr>
                <w:rFonts w:ascii="Tahoma" w:hAnsi="Tahoma" w:cs="Tahoma"/>
                <w:bCs/>
                <w:iCs/>
                <w:sz w:val="22"/>
                <w:szCs w:val="22"/>
              </w:rPr>
              <w:t xml:space="preserve"> денежных средств в течение Отчетного периода</w:t>
            </w:r>
          </w:p>
        </w:tc>
        <w:tc>
          <w:tcPr>
            <w:tcW w:w="2839" w:type="pct"/>
            <w:shd w:val="clear" w:color="auto" w:fill="auto"/>
            <w:vAlign w:val="center"/>
          </w:tcPr>
          <w:p w14:paraId="0ED1D9A0" w14:textId="77777777" w:rsidR="00AE7485" w:rsidRPr="00AE7485" w:rsidRDefault="00AE7485" w:rsidP="00AE7485">
            <w:pPr>
              <w:tabs>
                <w:tab w:val="left" w:pos="4889"/>
              </w:tabs>
              <w:jc w:val="center"/>
              <w:rPr>
                <w:rFonts w:ascii="Tahoma" w:hAnsi="Tahoma" w:cs="Tahoma"/>
                <w:bCs/>
                <w:sz w:val="22"/>
                <w:szCs w:val="22"/>
              </w:rPr>
            </w:pPr>
            <w:r w:rsidRPr="00AE7485">
              <w:rPr>
                <w:rFonts w:ascii="Tahoma" w:hAnsi="Tahoma" w:cs="Tahoma"/>
                <w:bCs/>
                <w:sz w:val="22"/>
                <w:szCs w:val="22"/>
              </w:rPr>
              <w:t xml:space="preserve">От </w:t>
            </w:r>
            <w:r w:rsidRPr="00AE7485">
              <w:rPr>
                <w:rFonts w:ascii="Tahoma" w:hAnsi="Tahoma" w:cs="Tahoma"/>
                <w:b/>
                <w:bCs/>
                <w:sz w:val="22"/>
                <w:szCs w:val="22"/>
              </w:rPr>
              <w:t>4 000 000 рублей</w:t>
            </w:r>
          </w:p>
        </w:tc>
      </w:tr>
      <w:tr w:rsidR="00AE7485" w:rsidRPr="00AE7485" w14:paraId="3E79ADE2" w14:textId="77777777" w:rsidTr="00B86BDE">
        <w:tc>
          <w:tcPr>
            <w:tcW w:w="318" w:type="pct"/>
            <w:shd w:val="clear" w:color="auto" w:fill="auto"/>
            <w:vAlign w:val="center"/>
          </w:tcPr>
          <w:p w14:paraId="5F84C678" w14:textId="77777777" w:rsidR="00AE7485" w:rsidRPr="00AE7485" w:rsidRDefault="00AE7485" w:rsidP="00AE7485">
            <w:pPr>
              <w:tabs>
                <w:tab w:val="left" w:pos="284"/>
              </w:tabs>
              <w:rPr>
                <w:rFonts w:ascii="Tahoma" w:hAnsi="Tahoma" w:cs="Tahoma"/>
                <w:bCs/>
                <w:iCs/>
                <w:color w:val="000000"/>
                <w:sz w:val="22"/>
                <w:szCs w:val="22"/>
              </w:rPr>
            </w:pPr>
            <w:r w:rsidRPr="00AE7485">
              <w:rPr>
                <w:rFonts w:ascii="Tahoma" w:hAnsi="Tahoma" w:cs="Tahoma"/>
                <w:bCs/>
                <w:iCs/>
                <w:color w:val="000000"/>
                <w:sz w:val="22"/>
                <w:szCs w:val="22"/>
              </w:rPr>
              <w:t>2.3.</w:t>
            </w:r>
          </w:p>
        </w:tc>
        <w:tc>
          <w:tcPr>
            <w:tcW w:w="1843" w:type="pct"/>
            <w:shd w:val="clear" w:color="auto" w:fill="auto"/>
            <w:vAlign w:val="center"/>
          </w:tcPr>
          <w:p w14:paraId="03BEDD96" w14:textId="77777777" w:rsidR="00AE7485" w:rsidRPr="00AE7485" w:rsidRDefault="00AE7485" w:rsidP="00AE7485">
            <w:pPr>
              <w:rPr>
                <w:rFonts w:ascii="Tahoma" w:hAnsi="Tahoma" w:cs="Tahoma"/>
                <w:bCs/>
                <w:iCs/>
                <w:sz w:val="22"/>
                <w:szCs w:val="22"/>
              </w:rPr>
            </w:pPr>
            <w:r w:rsidRPr="00AE7485">
              <w:rPr>
                <w:rFonts w:ascii="Tahoma" w:hAnsi="Tahoma" w:cs="Tahoma"/>
                <w:bCs/>
                <w:iCs/>
                <w:sz w:val="22"/>
                <w:szCs w:val="22"/>
              </w:rPr>
              <w:t>Средние остатки денежных средств в течение Отчетного периода</w:t>
            </w:r>
          </w:p>
          <w:p w14:paraId="4C477DDC" w14:textId="77777777" w:rsidR="00AE7485" w:rsidRPr="00AE7485" w:rsidRDefault="00AE7485" w:rsidP="00AE7485">
            <w:pPr>
              <w:rPr>
                <w:rFonts w:ascii="Tahoma" w:hAnsi="Tahoma" w:cs="Tahoma"/>
                <w:bCs/>
                <w:iCs/>
                <w:sz w:val="22"/>
                <w:szCs w:val="22"/>
              </w:rPr>
            </w:pPr>
            <w:r w:rsidRPr="00AE7485">
              <w:rPr>
                <w:rFonts w:ascii="Tahoma" w:hAnsi="Tahoma" w:cs="Tahoma"/>
                <w:bCs/>
                <w:iCs/>
                <w:sz w:val="22"/>
                <w:szCs w:val="22"/>
              </w:rPr>
              <w:t xml:space="preserve">и </w:t>
            </w:r>
          </w:p>
          <w:p w14:paraId="6DB44DDD" w14:textId="77777777" w:rsidR="00AE7485" w:rsidRPr="00AE7485" w:rsidRDefault="00AE7485" w:rsidP="00AE7485">
            <w:pPr>
              <w:rPr>
                <w:rFonts w:ascii="Tahoma" w:hAnsi="Tahoma" w:cs="Tahoma"/>
                <w:bCs/>
                <w:iCs/>
                <w:sz w:val="22"/>
                <w:szCs w:val="22"/>
              </w:rPr>
            </w:pPr>
            <w:r w:rsidRPr="00AE7485">
              <w:rPr>
                <w:rFonts w:ascii="Tahoma" w:hAnsi="Tahoma" w:cs="Tahoma"/>
                <w:bCs/>
                <w:iCs/>
                <w:sz w:val="22"/>
                <w:szCs w:val="22"/>
              </w:rPr>
              <w:t>Сумма покупок по Картам, выпущенным в рамках Программы, в течение Отчетного периода</w:t>
            </w:r>
          </w:p>
        </w:tc>
        <w:tc>
          <w:tcPr>
            <w:tcW w:w="2839" w:type="pct"/>
            <w:shd w:val="clear" w:color="auto" w:fill="auto"/>
            <w:vAlign w:val="center"/>
          </w:tcPr>
          <w:p w14:paraId="391C1B89" w14:textId="77777777" w:rsidR="00AE7485" w:rsidRPr="00AE7485" w:rsidRDefault="00AE7485" w:rsidP="00AE7485">
            <w:pPr>
              <w:tabs>
                <w:tab w:val="left" w:pos="4889"/>
              </w:tabs>
              <w:jc w:val="center"/>
              <w:rPr>
                <w:rFonts w:ascii="Tahoma" w:hAnsi="Tahoma" w:cs="Tahoma"/>
                <w:b/>
                <w:bCs/>
                <w:sz w:val="22"/>
                <w:szCs w:val="22"/>
              </w:rPr>
            </w:pPr>
            <w:r w:rsidRPr="00AE7485">
              <w:rPr>
                <w:rFonts w:ascii="Tahoma" w:hAnsi="Tahoma" w:cs="Tahoma"/>
                <w:bCs/>
                <w:sz w:val="22"/>
                <w:szCs w:val="22"/>
              </w:rPr>
              <w:t>Средние остатки от</w:t>
            </w:r>
            <w:r w:rsidRPr="00AE7485">
              <w:rPr>
                <w:rFonts w:ascii="Tahoma" w:hAnsi="Tahoma" w:cs="Tahoma"/>
                <w:b/>
                <w:bCs/>
                <w:sz w:val="22"/>
                <w:szCs w:val="22"/>
              </w:rPr>
              <w:t xml:space="preserve"> 1 500 000 рублей</w:t>
            </w:r>
          </w:p>
          <w:p w14:paraId="0659212D" w14:textId="77777777" w:rsidR="00AE7485" w:rsidRPr="00AE7485" w:rsidRDefault="00AE7485" w:rsidP="00AE7485">
            <w:pPr>
              <w:tabs>
                <w:tab w:val="left" w:pos="4889"/>
              </w:tabs>
              <w:jc w:val="center"/>
              <w:rPr>
                <w:rFonts w:ascii="Tahoma" w:hAnsi="Tahoma" w:cs="Tahoma"/>
                <w:bCs/>
                <w:sz w:val="22"/>
                <w:szCs w:val="22"/>
              </w:rPr>
            </w:pPr>
            <w:r w:rsidRPr="00AE7485">
              <w:rPr>
                <w:rFonts w:ascii="Tahoma" w:hAnsi="Tahoma" w:cs="Tahoma"/>
                <w:bCs/>
                <w:sz w:val="22"/>
                <w:szCs w:val="22"/>
              </w:rPr>
              <w:t>и</w:t>
            </w:r>
          </w:p>
          <w:p w14:paraId="245A7CFD" w14:textId="77777777" w:rsidR="00AE7485" w:rsidRPr="00AE7485" w:rsidRDefault="00AE7485" w:rsidP="00AE7485">
            <w:pPr>
              <w:tabs>
                <w:tab w:val="left" w:pos="4889"/>
              </w:tabs>
              <w:jc w:val="center"/>
              <w:rPr>
                <w:rFonts w:ascii="Tahoma" w:hAnsi="Tahoma" w:cs="Tahoma"/>
                <w:b/>
                <w:bCs/>
                <w:sz w:val="22"/>
                <w:szCs w:val="22"/>
              </w:rPr>
            </w:pPr>
            <w:r w:rsidRPr="00AE7485">
              <w:rPr>
                <w:rFonts w:ascii="Tahoma" w:hAnsi="Tahoma" w:cs="Tahoma"/>
                <w:bCs/>
                <w:iCs/>
                <w:color w:val="000000"/>
                <w:sz w:val="22"/>
                <w:szCs w:val="22"/>
              </w:rPr>
              <w:t>Сумма покупок от</w:t>
            </w:r>
            <w:r w:rsidRPr="00AE7485">
              <w:rPr>
                <w:rFonts w:ascii="Tahoma" w:hAnsi="Tahoma" w:cs="Tahoma"/>
                <w:b/>
                <w:bCs/>
                <w:iCs/>
                <w:color w:val="000000"/>
                <w:sz w:val="22"/>
                <w:szCs w:val="22"/>
              </w:rPr>
              <w:t xml:space="preserve"> 100 000 рублей</w:t>
            </w:r>
          </w:p>
        </w:tc>
      </w:tr>
      <w:tr w:rsidR="00AE7485" w:rsidRPr="00AE7485" w14:paraId="75AAAF8E" w14:textId="77777777" w:rsidTr="00B86BDE">
        <w:tc>
          <w:tcPr>
            <w:tcW w:w="318" w:type="pct"/>
            <w:shd w:val="clear" w:color="auto" w:fill="auto"/>
            <w:vAlign w:val="center"/>
          </w:tcPr>
          <w:p w14:paraId="5D1084E0" w14:textId="77777777" w:rsidR="00AE7485" w:rsidRPr="00AE7485" w:rsidRDefault="00AE7485" w:rsidP="00AE7485">
            <w:pPr>
              <w:tabs>
                <w:tab w:val="left" w:pos="284"/>
              </w:tabs>
              <w:rPr>
                <w:rFonts w:ascii="Tahoma" w:hAnsi="Tahoma" w:cs="Tahoma"/>
                <w:bCs/>
                <w:iCs/>
                <w:color w:val="000000"/>
                <w:sz w:val="22"/>
                <w:szCs w:val="22"/>
              </w:rPr>
            </w:pPr>
            <w:r w:rsidRPr="00AE7485">
              <w:rPr>
                <w:rFonts w:ascii="Tahoma" w:hAnsi="Tahoma" w:cs="Tahoma"/>
                <w:bCs/>
                <w:iCs/>
                <w:color w:val="000000"/>
                <w:sz w:val="22"/>
                <w:szCs w:val="22"/>
              </w:rPr>
              <w:t>2.4.</w:t>
            </w:r>
          </w:p>
        </w:tc>
        <w:tc>
          <w:tcPr>
            <w:tcW w:w="1843" w:type="pct"/>
            <w:shd w:val="clear" w:color="auto" w:fill="auto"/>
            <w:vAlign w:val="center"/>
          </w:tcPr>
          <w:p w14:paraId="5DC6740B" w14:textId="77777777" w:rsidR="00AE7485" w:rsidRPr="00AE7485" w:rsidRDefault="00AE7485" w:rsidP="00AE7485">
            <w:pPr>
              <w:rPr>
                <w:rFonts w:ascii="Tahoma" w:hAnsi="Tahoma" w:cs="Tahoma"/>
                <w:bCs/>
                <w:iCs/>
                <w:color w:val="000000"/>
                <w:sz w:val="22"/>
                <w:szCs w:val="22"/>
              </w:rPr>
            </w:pPr>
            <w:r w:rsidRPr="00AE7485">
              <w:rPr>
                <w:rFonts w:ascii="Tahoma" w:hAnsi="Tahoma" w:cs="Tahoma"/>
                <w:bCs/>
                <w:iCs/>
                <w:sz w:val="22"/>
                <w:szCs w:val="22"/>
              </w:rPr>
              <w:t>Поступление Заработной платы</w:t>
            </w:r>
            <w:r w:rsidRPr="00AE7485">
              <w:rPr>
                <w:rFonts w:ascii="Tahoma" w:hAnsi="Tahoma" w:cs="Tahoma"/>
                <w:bCs/>
                <w:iCs/>
                <w:sz w:val="22"/>
                <w:szCs w:val="22"/>
                <w:vertAlign w:val="superscript"/>
              </w:rPr>
              <w:footnoteReference w:id="179"/>
            </w:r>
            <w:r w:rsidRPr="00AE7485">
              <w:rPr>
                <w:rFonts w:ascii="Tahoma" w:hAnsi="Tahoma" w:cs="Tahoma"/>
                <w:bCs/>
                <w:iCs/>
                <w:sz w:val="22"/>
                <w:szCs w:val="22"/>
              </w:rPr>
              <w:t xml:space="preserve"> на </w:t>
            </w:r>
            <w:r w:rsidRPr="00AE7485">
              <w:rPr>
                <w:rFonts w:ascii="Tahoma" w:hAnsi="Tahoma" w:cs="Tahoma"/>
                <w:bCs/>
                <w:iCs/>
                <w:color w:val="000000"/>
                <w:sz w:val="22"/>
                <w:szCs w:val="22"/>
              </w:rPr>
              <w:t>Счет Карты</w:t>
            </w:r>
            <w:r w:rsidRPr="00AE7485">
              <w:rPr>
                <w:rFonts w:ascii="Tahoma" w:hAnsi="Tahoma" w:cs="Tahoma"/>
                <w:bCs/>
                <w:iCs/>
                <w:color w:val="000000"/>
                <w:sz w:val="22"/>
                <w:szCs w:val="22"/>
                <w:vertAlign w:val="superscript"/>
              </w:rPr>
              <w:footnoteReference w:id="180"/>
            </w:r>
            <w:r w:rsidRPr="00AE7485">
              <w:rPr>
                <w:rFonts w:ascii="Tahoma" w:hAnsi="Tahoma" w:cs="Tahoma"/>
                <w:bCs/>
                <w:iCs/>
                <w:color w:val="000000"/>
                <w:sz w:val="22"/>
                <w:szCs w:val="22"/>
              </w:rPr>
              <w:t>, выпущенной в рамках Программы,</w:t>
            </w:r>
          </w:p>
          <w:p w14:paraId="215EAEB4" w14:textId="77777777" w:rsidR="00AE7485" w:rsidRPr="00AE7485" w:rsidRDefault="00AE7485" w:rsidP="00AE7485">
            <w:pPr>
              <w:rPr>
                <w:rFonts w:ascii="Tahoma" w:hAnsi="Tahoma" w:cs="Tahoma"/>
                <w:bCs/>
                <w:iCs/>
                <w:color w:val="000000"/>
                <w:sz w:val="22"/>
                <w:szCs w:val="22"/>
              </w:rPr>
            </w:pPr>
            <w:r w:rsidRPr="00AE7485">
              <w:rPr>
                <w:rFonts w:ascii="Tahoma" w:hAnsi="Tahoma" w:cs="Tahoma"/>
                <w:bCs/>
                <w:iCs/>
                <w:color w:val="000000"/>
                <w:sz w:val="22"/>
                <w:szCs w:val="22"/>
              </w:rPr>
              <w:t>и</w:t>
            </w:r>
          </w:p>
          <w:p w14:paraId="4860E7A9" w14:textId="77777777" w:rsidR="00AE7485" w:rsidRPr="00AE7485" w:rsidRDefault="00AE7485" w:rsidP="00AE7485">
            <w:pPr>
              <w:rPr>
                <w:rFonts w:ascii="Tahoma" w:hAnsi="Tahoma" w:cs="Tahoma"/>
                <w:bCs/>
                <w:iCs/>
                <w:sz w:val="22"/>
                <w:szCs w:val="22"/>
              </w:rPr>
            </w:pPr>
            <w:r w:rsidRPr="00AE7485">
              <w:rPr>
                <w:rFonts w:ascii="Tahoma" w:hAnsi="Tahoma" w:cs="Tahoma"/>
                <w:bCs/>
                <w:iCs/>
                <w:sz w:val="22"/>
                <w:szCs w:val="22"/>
              </w:rPr>
              <w:t>Сумма покупок по Картам, выпущенным в рамках Программы, в течение Отчетного периода</w:t>
            </w:r>
          </w:p>
        </w:tc>
        <w:tc>
          <w:tcPr>
            <w:tcW w:w="2839" w:type="pct"/>
            <w:shd w:val="clear" w:color="auto" w:fill="auto"/>
            <w:vAlign w:val="center"/>
          </w:tcPr>
          <w:p w14:paraId="48A4280B"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Поступление заработной платы от </w:t>
            </w:r>
            <w:r w:rsidRPr="00AE7485">
              <w:rPr>
                <w:rFonts w:ascii="Tahoma" w:hAnsi="Tahoma" w:cs="Tahoma"/>
                <w:b/>
                <w:bCs/>
                <w:iCs/>
                <w:sz w:val="22"/>
                <w:szCs w:val="22"/>
              </w:rPr>
              <w:t>200 000 рублей</w:t>
            </w:r>
          </w:p>
          <w:p w14:paraId="5CA10C2E"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и</w:t>
            </w:r>
          </w:p>
          <w:p w14:paraId="295D26EA" w14:textId="77777777" w:rsidR="00AE7485" w:rsidRPr="00AE7485" w:rsidRDefault="00AE7485" w:rsidP="00AE7485">
            <w:pPr>
              <w:tabs>
                <w:tab w:val="left" w:pos="4889"/>
              </w:tabs>
              <w:jc w:val="center"/>
              <w:rPr>
                <w:rFonts w:ascii="Tahoma" w:hAnsi="Tahoma" w:cs="Tahoma"/>
                <w:bCs/>
                <w:iCs/>
                <w:sz w:val="22"/>
                <w:szCs w:val="22"/>
                <w:vertAlign w:val="superscript"/>
              </w:rPr>
            </w:pPr>
            <w:r w:rsidRPr="00AE7485">
              <w:rPr>
                <w:rFonts w:ascii="Tahoma" w:hAnsi="Tahoma" w:cs="Tahoma"/>
                <w:bCs/>
                <w:iCs/>
                <w:color w:val="000000"/>
                <w:sz w:val="22"/>
                <w:szCs w:val="22"/>
              </w:rPr>
              <w:t xml:space="preserve">Сумма покупок от </w:t>
            </w:r>
            <w:r w:rsidRPr="00AE7485">
              <w:rPr>
                <w:rFonts w:ascii="Tahoma" w:hAnsi="Tahoma" w:cs="Tahoma"/>
                <w:b/>
                <w:bCs/>
                <w:iCs/>
                <w:color w:val="000000"/>
                <w:sz w:val="22"/>
                <w:szCs w:val="22"/>
              </w:rPr>
              <w:t>100 000 рублей</w:t>
            </w:r>
          </w:p>
        </w:tc>
      </w:tr>
      <w:tr w:rsidR="00AE7485" w:rsidRPr="00AE7485" w14:paraId="70D6466F" w14:textId="77777777" w:rsidTr="00B86BDE">
        <w:tc>
          <w:tcPr>
            <w:tcW w:w="318" w:type="pct"/>
            <w:shd w:val="clear" w:color="auto" w:fill="5C5C5C"/>
            <w:vAlign w:val="center"/>
          </w:tcPr>
          <w:p w14:paraId="301DBE8B" w14:textId="77777777" w:rsidR="00AE7485" w:rsidRPr="00AE7485" w:rsidRDefault="00AE7485" w:rsidP="00AE7485">
            <w:pPr>
              <w:tabs>
                <w:tab w:val="left" w:pos="284"/>
              </w:tabs>
              <w:rPr>
                <w:rFonts w:ascii="Tahoma" w:hAnsi="Tahoma" w:cs="Tahoma"/>
                <w:bCs/>
                <w:iCs/>
                <w:color w:val="FFFFFF"/>
                <w:sz w:val="22"/>
                <w:szCs w:val="22"/>
              </w:rPr>
            </w:pPr>
            <w:r w:rsidRPr="00AE7485">
              <w:rPr>
                <w:rFonts w:ascii="Tahoma" w:hAnsi="Tahoma" w:cs="Tahoma"/>
                <w:bCs/>
                <w:iCs/>
                <w:color w:val="FFFFFF"/>
                <w:sz w:val="22"/>
                <w:szCs w:val="22"/>
              </w:rPr>
              <w:t>3.</w:t>
            </w:r>
          </w:p>
        </w:tc>
        <w:tc>
          <w:tcPr>
            <w:tcW w:w="4682" w:type="pct"/>
            <w:gridSpan w:val="2"/>
            <w:shd w:val="clear" w:color="auto" w:fill="5C5C5C"/>
            <w:vAlign w:val="center"/>
          </w:tcPr>
          <w:p w14:paraId="002399F7" w14:textId="77777777" w:rsidR="00AE7485" w:rsidRPr="00AE7485" w:rsidRDefault="00AE7485" w:rsidP="00AE7485">
            <w:pPr>
              <w:tabs>
                <w:tab w:val="left" w:pos="4889"/>
              </w:tabs>
              <w:rPr>
                <w:rFonts w:ascii="Tahoma" w:hAnsi="Tahoma" w:cs="Tahoma"/>
                <w:bCs/>
                <w:iCs/>
                <w:color w:val="FFFFFF"/>
                <w:sz w:val="22"/>
                <w:szCs w:val="22"/>
                <w:highlight w:val="yellow"/>
              </w:rPr>
            </w:pPr>
            <w:r w:rsidRPr="00AE7485">
              <w:rPr>
                <w:rFonts w:ascii="Tahoma" w:hAnsi="Tahoma" w:cs="Tahoma"/>
                <w:bCs/>
                <w:iCs/>
                <w:color w:val="FFFFFF"/>
                <w:sz w:val="22"/>
                <w:szCs w:val="22"/>
              </w:rPr>
              <w:t xml:space="preserve">Оформление и обслуживание банковских (платежных) карт </w:t>
            </w:r>
          </w:p>
        </w:tc>
      </w:tr>
      <w:tr w:rsidR="00AE7485" w:rsidRPr="00AE7485" w14:paraId="45CBC810" w14:textId="77777777" w:rsidTr="00AE7485">
        <w:tc>
          <w:tcPr>
            <w:tcW w:w="318" w:type="pct"/>
            <w:shd w:val="clear" w:color="auto" w:fill="595959"/>
            <w:vAlign w:val="center"/>
          </w:tcPr>
          <w:p w14:paraId="675908E2" w14:textId="77777777" w:rsidR="00AE7485" w:rsidRPr="00AE7485" w:rsidRDefault="00AE7485" w:rsidP="00AE7485">
            <w:pPr>
              <w:tabs>
                <w:tab w:val="left" w:pos="284"/>
              </w:tabs>
              <w:rPr>
                <w:rFonts w:ascii="Tahoma" w:hAnsi="Tahoma" w:cs="Tahoma"/>
                <w:bCs/>
                <w:iCs/>
                <w:color w:val="FFFFFF"/>
                <w:sz w:val="22"/>
                <w:szCs w:val="22"/>
              </w:rPr>
            </w:pPr>
            <w:r w:rsidRPr="00AE7485">
              <w:rPr>
                <w:rFonts w:ascii="Tahoma" w:hAnsi="Tahoma" w:cs="Tahoma"/>
                <w:bCs/>
                <w:iCs/>
                <w:color w:val="FFFFFF"/>
                <w:sz w:val="22"/>
                <w:szCs w:val="22"/>
              </w:rPr>
              <w:t>3.1.</w:t>
            </w:r>
          </w:p>
        </w:tc>
        <w:tc>
          <w:tcPr>
            <w:tcW w:w="4682" w:type="pct"/>
            <w:gridSpan w:val="2"/>
            <w:shd w:val="clear" w:color="auto" w:fill="595959"/>
            <w:vAlign w:val="center"/>
          </w:tcPr>
          <w:p w14:paraId="5DB6B85E" w14:textId="77777777" w:rsidR="00AE7485" w:rsidRPr="00AE7485" w:rsidRDefault="00AE7485" w:rsidP="00AE7485">
            <w:pPr>
              <w:tabs>
                <w:tab w:val="left" w:pos="4889"/>
              </w:tabs>
              <w:rPr>
                <w:rFonts w:ascii="Tahoma" w:hAnsi="Tahoma" w:cs="Tahoma"/>
                <w:bCs/>
                <w:iCs/>
                <w:color w:val="FFFFFF"/>
                <w:sz w:val="22"/>
                <w:szCs w:val="22"/>
              </w:rPr>
            </w:pPr>
            <w:r w:rsidRPr="00AE7485">
              <w:rPr>
                <w:rFonts w:ascii="Tahoma" w:hAnsi="Tahoma" w:cs="Tahoma"/>
                <w:bCs/>
                <w:iCs/>
                <w:color w:val="FFFFFF"/>
                <w:sz w:val="22"/>
                <w:szCs w:val="22"/>
              </w:rPr>
              <w:t>Карта типа Мир Supreme (именная и неименная)</w:t>
            </w:r>
          </w:p>
        </w:tc>
      </w:tr>
      <w:tr w:rsidR="00AE7485" w:rsidRPr="00AE7485" w14:paraId="55EA369E" w14:textId="77777777" w:rsidTr="00B86BDE">
        <w:tc>
          <w:tcPr>
            <w:tcW w:w="318" w:type="pct"/>
            <w:shd w:val="clear" w:color="auto" w:fill="auto"/>
            <w:vAlign w:val="center"/>
          </w:tcPr>
          <w:p w14:paraId="35C6E674" w14:textId="77777777" w:rsidR="00AE7485" w:rsidRPr="00AE7485" w:rsidRDefault="00AE7485" w:rsidP="00AE7485">
            <w:pPr>
              <w:tabs>
                <w:tab w:val="left" w:pos="284"/>
              </w:tabs>
              <w:rPr>
                <w:rFonts w:ascii="Tahoma" w:hAnsi="Tahoma" w:cs="Tahoma"/>
                <w:bCs/>
                <w:iCs/>
                <w:sz w:val="22"/>
                <w:szCs w:val="22"/>
                <w:lang w:val="en-US"/>
              </w:rPr>
            </w:pPr>
            <w:r w:rsidRPr="00AE7485">
              <w:rPr>
                <w:rFonts w:ascii="Tahoma" w:hAnsi="Tahoma" w:cs="Tahoma"/>
                <w:bCs/>
                <w:iCs/>
                <w:sz w:val="22"/>
                <w:szCs w:val="22"/>
                <w:lang w:val="en-US"/>
              </w:rPr>
              <w:t>3.1.1.</w:t>
            </w:r>
          </w:p>
        </w:tc>
        <w:tc>
          <w:tcPr>
            <w:tcW w:w="1843" w:type="pct"/>
            <w:shd w:val="clear" w:color="auto" w:fill="auto"/>
            <w:vAlign w:val="center"/>
          </w:tcPr>
          <w:p w14:paraId="2A83C569"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Валюта Счета Карты</w:t>
            </w:r>
          </w:p>
        </w:tc>
        <w:tc>
          <w:tcPr>
            <w:tcW w:w="2839" w:type="pct"/>
            <w:shd w:val="clear" w:color="auto" w:fill="auto"/>
            <w:vAlign w:val="center"/>
          </w:tcPr>
          <w:p w14:paraId="1C391BBF"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Российский рубль</w:t>
            </w:r>
          </w:p>
        </w:tc>
      </w:tr>
      <w:tr w:rsidR="00AE7485" w:rsidRPr="00AE7485" w14:paraId="0642E857" w14:textId="77777777" w:rsidTr="00B86BDE">
        <w:tc>
          <w:tcPr>
            <w:tcW w:w="318" w:type="pct"/>
            <w:shd w:val="clear" w:color="auto" w:fill="auto"/>
            <w:vAlign w:val="center"/>
          </w:tcPr>
          <w:p w14:paraId="153E2923"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3.1.2.</w:t>
            </w:r>
          </w:p>
        </w:tc>
        <w:tc>
          <w:tcPr>
            <w:tcW w:w="1843" w:type="pct"/>
            <w:shd w:val="clear" w:color="auto" w:fill="auto"/>
            <w:vAlign w:val="center"/>
          </w:tcPr>
          <w:p w14:paraId="0CBCE01C"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Годовое обслуживание Карты (Основной и Дополнительной)</w:t>
            </w:r>
          </w:p>
        </w:tc>
        <w:tc>
          <w:tcPr>
            <w:tcW w:w="2839" w:type="pct"/>
            <w:vMerge w:val="restart"/>
            <w:shd w:val="clear" w:color="auto" w:fill="auto"/>
            <w:vAlign w:val="center"/>
          </w:tcPr>
          <w:p w14:paraId="44EE5515" w14:textId="77777777" w:rsidR="00AE7485" w:rsidRPr="00AE7485" w:rsidRDefault="00AE7485" w:rsidP="00AE7485">
            <w:pPr>
              <w:tabs>
                <w:tab w:val="left" w:pos="4889"/>
              </w:tabs>
              <w:jc w:val="center"/>
              <w:rPr>
                <w:rFonts w:ascii="Tahoma" w:hAnsi="Tahoma" w:cs="Tahoma"/>
                <w:b/>
                <w:bCs/>
                <w:iCs/>
                <w:sz w:val="22"/>
                <w:szCs w:val="22"/>
              </w:rPr>
            </w:pPr>
            <w:r w:rsidRPr="00AE7485">
              <w:rPr>
                <w:rFonts w:ascii="Tahoma" w:hAnsi="Tahoma" w:cs="Tahoma"/>
                <w:b/>
                <w:bCs/>
                <w:iCs/>
                <w:sz w:val="22"/>
                <w:szCs w:val="22"/>
              </w:rPr>
              <w:t>БЕСПЛАТНО</w:t>
            </w:r>
          </w:p>
        </w:tc>
      </w:tr>
      <w:tr w:rsidR="00AE7485" w:rsidRPr="00AE7485" w14:paraId="68362E69" w14:textId="77777777" w:rsidTr="00B86BDE">
        <w:tc>
          <w:tcPr>
            <w:tcW w:w="318" w:type="pct"/>
            <w:shd w:val="clear" w:color="auto" w:fill="auto"/>
            <w:vAlign w:val="center"/>
          </w:tcPr>
          <w:p w14:paraId="4FD7FFB0"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3.1.3.</w:t>
            </w:r>
          </w:p>
        </w:tc>
        <w:tc>
          <w:tcPr>
            <w:tcW w:w="1843" w:type="pct"/>
            <w:shd w:val="clear" w:color="auto" w:fill="auto"/>
            <w:vAlign w:val="center"/>
          </w:tcPr>
          <w:p w14:paraId="2C78D19D"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Стоимость выпуска Основной Карты</w:t>
            </w:r>
          </w:p>
        </w:tc>
        <w:tc>
          <w:tcPr>
            <w:tcW w:w="2839" w:type="pct"/>
            <w:vMerge/>
            <w:shd w:val="clear" w:color="auto" w:fill="auto"/>
            <w:vAlign w:val="center"/>
          </w:tcPr>
          <w:p w14:paraId="320E433C" w14:textId="77777777" w:rsidR="00AE7485" w:rsidRPr="00AE7485" w:rsidRDefault="00AE7485" w:rsidP="00AE7485">
            <w:pPr>
              <w:tabs>
                <w:tab w:val="left" w:pos="4889"/>
              </w:tabs>
              <w:jc w:val="center"/>
              <w:rPr>
                <w:rFonts w:ascii="Tahoma" w:hAnsi="Tahoma" w:cs="Tahoma"/>
                <w:bCs/>
                <w:iCs/>
                <w:sz w:val="22"/>
                <w:szCs w:val="22"/>
              </w:rPr>
            </w:pPr>
          </w:p>
        </w:tc>
      </w:tr>
      <w:tr w:rsidR="00AE7485" w:rsidRPr="00AE7485" w14:paraId="5B517C21" w14:textId="77777777" w:rsidTr="00B86BDE">
        <w:trPr>
          <w:trHeight w:val="263"/>
        </w:trPr>
        <w:tc>
          <w:tcPr>
            <w:tcW w:w="318" w:type="pct"/>
            <w:vMerge w:val="restart"/>
            <w:shd w:val="clear" w:color="auto" w:fill="auto"/>
            <w:vAlign w:val="center"/>
          </w:tcPr>
          <w:p w14:paraId="019F5547"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3.1.4.</w:t>
            </w:r>
          </w:p>
        </w:tc>
        <w:tc>
          <w:tcPr>
            <w:tcW w:w="1843" w:type="pct"/>
            <w:vMerge w:val="restart"/>
            <w:shd w:val="clear" w:color="auto" w:fill="auto"/>
            <w:vAlign w:val="center"/>
          </w:tcPr>
          <w:p w14:paraId="5897442E"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Стоимость выпуска Дополнительной Карты</w:t>
            </w:r>
          </w:p>
        </w:tc>
        <w:tc>
          <w:tcPr>
            <w:tcW w:w="2839" w:type="pct"/>
            <w:shd w:val="clear" w:color="auto" w:fill="auto"/>
            <w:vAlign w:val="center"/>
          </w:tcPr>
          <w:p w14:paraId="3E1F8C2D"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Дополнительная Карта типа Мир </w:t>
            </w:r>
            <w:r w:rsidRPr="00AE7485">
              <w:rPr>
                <w:rFonts w:ascii="Tahoma" w:hAnsi="Tahoma" w:cs="Tahoma"/>
                <w:bCs/>
                <w:iCs/>
                <w:sz w:val="22"/>
                <w:szCs w:val="22"/>
                <w:lang w:val="en-US"/>
              </w:rPr>
              <w:t>Supreme</w:t>
            </w:r>
            <w:r w:rsidRPr="00AE7485">
              <w:rPr>
                <w:rFonts w:ascii="Tahoma" w:hAnsi="Tahoma" w:cs="Tahoma"/>
                <w:bCs/>
                <w:iCs/>
                <w:sz w:val="22"/>
                <w:szCs w:val="22"/>
              </w:rPr>
              <w:t xml:space="preserve">: </w:t>
            </w:r>
            <w:r w:rsidRPr="00AE7485">
              <w:rPr>
                <w:rFonts w:ascii="Tahoma" w:hAnsi="Tahoma" w:cs="Tahoma"/>
                <w:b/>
                <w:bCs/>
                <w:iCs/>
                <w:sz w:val="22"/>
                <w:szCs w:val="22"/>
              </w:rPr>
              <w:t>БЕСПЛАТНО</w:t>
            </w:r>
          </w:p>
        </w:tc>
      </w:tr>
      <w:tr w:rsidR="00AE7485" w:rsidRPr="00AE7485" w14:paraId="502CA726" w14:textId="77777777" w:rsidTr="00B86BDE">
        <w:trPr>
          <w:trHeight w:val="262"/>
        </w:trPr>
        <w:tc>
          <w:tcPr>
            <w:tcW w:w="318" w:type="pct"/>
            <w:vMerge/>
            <w:shd w:val="clear" w:color="auto" w:fill="auto"/>
            <w:vAlign w:val="center"/>
          </w:tcPr>
          <w:p w14:paraId="6013D966" w14:textId="77777777" w:rsidR="00AE7485" w:rsidRPr="00AE7485" w:rsidRDefault="00AE7485" w:rsidP="00AE7485">
            <w:pPr>
              <w:tabs>
                <w:tab w:val="left" w:pos="284"/>
              </w:tabs>
              <w:rPr>
                <w:rFonts w:ascii="Tahoma" w:hAnsi="Tahoma" w:cs="Tahoma"/>
                <w:bCs/>
                <w:iCs/>
                <w:sz w:val="22"/>
                <w:szCs w:val="22"/>
              </w:rPr>
            </w:pPr>
          </w:p>
        </w:tc>
        <w:tc>
          <w:tcPr>
            <w:tcW w:w="1843" w:type="pct"/>
            <w:vMerge/>
            <w:shd w:val="clear" w:color="auto" w:fill="auto"/>
            <w:vAlign w:val="center"/>
          </w:tcPr>
          <w:p w14:paraId="74880EF8" w14:textId="77777777" w:rsidR="00AE7485" w:rsidRPr="00AE7485" w:rsidRDefault="00AE7485" w:rsidP="00AE7485">
            <w:pPr>
              <w:tabs>
                <w:tab w:val="left" w:pos="4889"/>
              </w:tabs>
              <w:rPr>
                <w:rFonts w:ascii="Tahoma" w:hAnsi="Tahoma" w:cs="Tahoma"/>
                <w:bCs/>
                <w:iCs/>
                <w:sz w:val="22"/>
                <w:szCs w:val="22"/>
              </w:rPr>
            </w:pPr>
          </w:p>
        </w:tc>
        <w:tc>
          <w:tcPr>
            <w:tcW w:w="2839" w:type="pct"/>
            <w:shd w:val="clear" w:color="auto" w:fill="auto"/>
            <w:vAlign w:val="center"/>
          </w:tcPr>
          <w:p w14:paraId="22B33608"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Дополнительная Карта типа </w:t>
            </w:r>
            <w:r w:rsidRPr="00AE7485">
              <w:rPr>
                <w:rFonts w:ascii="Tahoma" w:hAnsi="Tahoma" w:cs="Tahoma"/>
                <w:bCs/>
                <w:iCs/>
                <w:sz w:val="22"/>
                <w:szCs w:val="22"/>
                <w:lang w:val="en-US"/>
              </w:rPr>
              <w:t>UnionPay</w:t>
            </w:r>
            <w:r w:rsidRPr="00AE7485">
              <w:rPr>
                <w:rFonts w:ascii="Tahoma" w:hAnsi="Tahoma" w:cs="Tahoma"/>
                <w:bCs/>
                <w:iCs/>
                <w:sz w:val="22"/>
                <w:szCs w:val="22"/>
              </w:rPr>
              <w:t xml:space="preserve"> </w:t>
            </w:r>
            <w:r w:rsidRPr="00AE7485">
              <w:rPr>
                <w:rFonts w:ascii="Tahoma" w:hAnsi="Tahoma" w:cs="Tahoma"/>
                <w:bCs/>
                <w:iCs/>
                <w:sz w:val="22"/>
                <w:szCs w:val="22"/>
                <w:lang w:val="en-US"/>
              </w:rPr>
              <w:t>Platinum</w:t>
            </w:r>
            <w:r w:rsidRPr="00AE7485">
              <w:rPr>
                <w:rFonts w:ascii="Tahoma" w:hAnsi="Tahoma" w:cs="Tahoma"/>
                <w:bCs/>
                <w:iCs/>
                <w:sz w:val="22"/>
                <w:szCs w:val="22"/>
              </w:rPr>
              <w:t xml:space="preserve">: </w:t>
            </w:r>
            <w:r w:rsidRPr="00AE7485">
              <w:rPr>
                <w:rFonts w:ascii="Tahoma" w:hAnsi="Tahoma" w:cs="Tahoma"/>
                <w:b/>
                <w:bCs/>
                <w:iCs/>
                <w:sz w:val="22"/>
                <w:szCs w:val="22"/>
              </w:rPr>
              <w:t>1</w:t>
            </w:r>
            <w:r w:rsidRPr="00AE7485">
              <w:rPr>
                <w:rFonts w:ascii="Tahoma" w:hAnsi="Tahoma" w:cs="Tahoma"/>
                <w:b/>
                <w:bCs/>
                <w:iCs/>
                <w:sz w:val="22"/>
                <w:szCs w:val="22"/>
                <w:lang w:val="en-US"/>
              </w:rPr>
              <w:t> </w:t>
            </w:r>
            <w:r w:rsidRPr="00AE7485">
              <w:rPr>
                <w:rFonts w:ascii="Tahoma" w:hAnsi="Tahoma" w:cs="Tahoma"/>
                <w:b/>
                <w:bCs/>
                <w:iCs/>
                <w:sz w:val="22"/>
                <w:szCs w:val="22"/>
              </w:rPr>
              <w:t>000 рублей</w:t>
            </w:r>
          </w:p>
        </w:tc>
      </w:tr>
      <w:tr w:rsidR="00AE7485" w:rsidRPr="00AE7485" w14:paraId="6EB62BEB" w14:textId="77777777" w:rsidTr="00B86BDE">
        <w:tc>
          <w:tcPr>
            <w:tcW w:w="318" w:type="pct"/>
            <w:shd w:val="clear" w:color="auto" w:fill="auto"/>
            <w:vAlign w:val="center"/>
          </w:tcPr>
          <w:p w14:paraId="5C153944"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3.1.5.</w:t>
            </w:r>
          </w:p>
        </w:tc>
        <w:tc>
          <w:tcPr>
            <w:tcW w:w="1843" w:type="pct"/>
            <w:shd w:val="clear" w:color="auto" w:fill="auto"/>
            <w:vAlign w:val="center"/>
          </w:tcPr>
          <w:p w14:paraId="3542C516"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Перевыпуск Карты (Основной и Дополнительной) по любой причине</w:t>
            </w:r>
          </w:p>
        </w:tc>
        <w:tc>
          <w:tcPr>
            <w:tcW w:w="2839" w:type="pct"/>
            <w:shd w:val="clear" w:color="auto" w:fill="auto"/>
            <w:vAlign w:val="center"/>
          </w:tcPr>
          <w:p w14:paraId="5D8FBF99" w14:textId="77777777" w:rsidR="00AE7485" w:rsidRPr="00AE7485" w:rsidRDefault="00AE7485" w:rsidP="00AE7485">
            <w:pPr>
              <w:tabs>
                <w:tab w:val="left" w:pos="4889"/>
              </w:tabs>
              <w:jc w:val="center"/>
              <w:rPr>
                <w:rFonts w:ascii="Tahoma" w:hAnsi="Tahoma" w:cs="Tahoma"/>
                <w:b/>
                <w:bCs/>
                <w:iCs/>
                <w:sz w:val="22"/>
                <w:szCs w:val="22"/>
              </w:rPr>
            </w:pPr>
            <w:r w:rsidRPr="00AE7485">
              <w:rPr>
                <w:rFonts w:ascii="Tahoma" w:hAnsi="Tahoma" w:cs="Tahoma"/>
                <w:b/>
                <w:bCs/>
                <w:iCs/>
                <w:sz w:val="22"/>
                <w:szCs w:val="22"/>
              </w:rPr>
              <w:t>БЕСПЛАТНО</w:t>
            </w:r>
          </w:p>
        </w:tc>
      </w:tr>
      <w:tr w:rsidR="00AE7485" w:rsidRPr="00AE7485" w14:paraId="52BC0C08" w14:textId="77777777" w:rsidTr="00B86BDE">
        <w:trPr>
          <w:trHeight w:val="263"/>
        </w:trPr>
        <w:tc>
          <w:tcPr>
            <w:tcW w:w="318" w:type="pct"/>
            <w:vMerge w:val="restart"/>
            <w:shd w:val="clear" w:color="auto" w:fill="auto"/>
            <w:vAlign w:val="center"/>
          </w:tcPr>
          <w:p w14:paraId="5DBFC051"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3.1.6.</w:t>
            </w:r>
          </w:p>
        </w:tc>
        <w:tc>
          <w:tcPr>
            <w:tcW w:w="1843" w:type="pct"/>
            <w:vMerge w:val="restart"/>
            <w:shd w:val="clear" w:color="auto" w:fill="auto"/>
            <w:vAlign w:val="center"/>
          </w:tcPr>
          <w:p w14:paraId="2041DDA3"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Срок действия Карты (Основной и Дополнительной)</w:t>
            </w:r>
          </w:p>
        </w:tc>
        <w:tc>
          <w:tcPr>
            <w:tcW w:w="2839" w:type="pct"/>
            <w:shd w:val="clear" w:color="auto" w:fill="auto"/>
            <w:vAlign w:val="center"/>
          </w:tcPr>
          <w:p w14:paraId="19E07382"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Карта типа Мир </w:t>
            </w:r>
            <w:r w:rsidRPr="00AE7485">
              <w:rPr>
                <w:rFonts w:ascii="Tahoma" w:hAnsi="Tahoma" w:cs="Tahoma"/>
                <w:bCs/>
                <w:iCs/>
                <w:sz w:val="22"/>
                <w:szCs w:val="22"/>
                <w:lang w:val="en-US"/>
              </w:rPr>
              <w:t>Supreme</w:t>
            </w:r>
            <w:r w:rsidRPr="00AE7485">
              <w:rPr>
                <w:rFonts w:ascii="Tahoma" w:hAnsi="Tahoma" w:cs="Tahoma"/>
                <w:bCs/>
                <w:iCs/>
                <w:sz w:val="22"/>
                <w:szCs w:val="22"/>
              </w:rPr>
              <w:t xml:space="preserve">: </w:t>
            </w:r>
            <w:r w:rsidRPr="00AE7485">
              <w:rPr>
                <w:rFonts w:ascii="Tahoma" w:hAnsi="Tahoma" w:cs="Tahoma"/>
                <w:b/>
                <w:bCs/>
                <w:iCs/>
                <w:sz w:val="22"/>
                <w:szCs w:val="22"/>
              </w:rPr>
              <w:t>10 лет</w:t>
            </w:r>
          </w:p>
        </w:tc>
      </w:tr>
      <w:tr w:rsidR="00AE7485" w:rsidRPr="000B3718" w14:paraId="735E069C" w14:textId="77777777" w:rsidTr="00B86BDE">
        <w:trPr>
          <w:trHeight w:val="262"/>
        </w:trPr>
        <w:tc>
          <w:tcPr>
            <w:tcW w:w="318" w:type="pct"/>
            <w:vMerge/>
            <w:shd w:val="clear" w:color="auto" w:fill="auto"/>
            <w:vAlign w:val="center"/>
          </w:tcPr>
          <w:p w14:paraId="13266587" w14:textId="77777777" w:rsidR="00AE7485" w:rsidRPr="00AE7485" w:rsidRDefault="00AE7485" w:rsidP="00AE7485">
            <w:pPr>
              <w:tabs>
                <w:tab w:val="left" w:pos="284"/>
              </w:tabs>
              <w:rPr>
                <w:rFonts w:ascii="Tahoma" w:hAnsi="Tahoma" w:cs="Tahoma"/>
                <w:bCs/>
                <w:iCs/>
                <w:sz w:val="22"/>
                <w:szCs w:val="22"/>
              </w:rPr>
            </w:pPr>
          </w:p>
        </w:tc>
        <w:tc>
          <w:tcPr>
            <w:tcW w:w="1843" w:type="pct"/>
            <w:vMerge/>
            <w:shd w:val="clear" w:color="auto" w:fill="auto"/>
            <w:vAlign w:val="center"/>
          </w:tcPr>
          <w:p w14:paraId="43119E9F" w14:textId="77777777" w:rsidR="00AE7485" w:rsidRPr="00AE7485" w:rsidRDefault="00AE7485" w:rsidP="00AE7485">
            <w:pPr>
              <w:tabs>
                <w:tab w:val="left" w:pos="4889"/>
              </w:tabs>
              <w:rPr>
                <w:rFonts w:ascii="Tahoma" w:hAnsi="Tahoma" w:cs="Tahoma"/>
                <w:bCs/>
                <w:iCs/>
                <w:sz w:val="22"/>
                <w:szCs w:val="22"/>
              </w:rPr>
            </w:pPr>
          </w:p>
        </w:tc>
        <w:tc>
          <w:tcPr>
            <w:tcW w:w="2839" w:type="pct"/>
            <w:shd w:val="clear" w:color="auto" w:fill="auto"/>
            <w:vAlign w:val="center"/>
          </w:tcPr>
          <w:p w14:paraId="15FF048B" w14:textId="77777777" w:rsidR="00AE7485" w:rsidRPr="00AE7485" w:rsidRDefault="00AE7485" w:rsidP="00AE7485">
            <w:pPr>
              <w:tabs>
                <w:tab w:val="left" w:pos="4889"/>
              </w:tabs>
              <w:jc w:val="center"/>
              <w:rPr>
                <w:rFonts w:ascii="Tahoma" w:hAnsi="Tahoma" w:cs="Tahoma"/>
                <w:bCs/>
                <w:iCs/>
                <w:sz w:val="22"/>
                <w:szCs w:val="22"/>
                <w:lang w:val="en-US"/>
              </w:rPr>
            </w:pPr>
            <w:r w:rsidRPr="00AE7485">
              <w:rPr>
                <w:rFonts w:ascii="Tahoma" w:hAnsi="Tahoma" w:cs="Tahoma"/>
                <w:bCs/>
                <w:iCs/>
                <w:sz w:val="22"/>
                <w:szCs w:val="22"/>
              </w:rPr>
              <w:t>Карта</w:t>
            </w:r>
            <w:r w:rsidRPr="00AE7485">
              <w:rPr>
                <w:rFonts w:ascii="Tahoma" w:hAnsi="Tahoma" w:cs="Tahoma"/>
                <w:bCs/>
                <w:iCs/>
                <w:sz w:val="22"/>
                <w:szCs w:val="22"/>
                <w:lang w:val="en-US"/>
              </w:rPr>
              <w:t xml:space="preserve"> </w:t>
            </w:r>
            <w:r w:rsidRPr="00AE7485">
              <w:rPr>
                <w:rFonts w:ascii="Tahoma" w:hAnsi="Tahoma" w:cs="Tahoma"/>
                <w:bCs/>
                <w:iCs/>
                <w:sz w:val="22"/>
                <w:szCs w:val="22"/>
              </w:rPr>
              <w:t>типа</w:t>
            </w:r>
            <w:r w:rsidRPr="00AE7485">
              <w:rPr>
                <w:rFonts w:ascii="Tahoma" w:hAnsi="Tahoma" w:cs="Tahoma"/>
                <w:bCs/>
                <w:iCs/>
                <w:sz w:val="22"/>
                <w:szCs w:val="22"/>
                <w:lang w:val="en-US"/>
              </w:rPr>
              <w:t xml:space="preserve"> UnionPay Platinum: </w:t>
            </w:r>
            <w:r w:rsidRPr="00AE7485">
              <w:rPr>
                <w:rFonts w:ascii="Tahoma" w:hAnsi="Tahoma" w:cs="Tahoma"/>
                <w:b/>
                <w:bCs/>
                <w:iCs/>
                <w:sz w:val="22"/>
                <w:szCs w:val="22"/>
                <w:lang w:val="en-US"/>
              </w:rPr>
              <w:t xml:space="preserve">3 </w:t>
            </w:r>
            <w:r w:rsidRPr="00AE7485">
              <w:rPr>
                <w:rFonts w:ascii="Tahoma" w:hAnsi="Tahoma" w:cs="Tahoma"/>
                <w:b/>
                <w:bCs/>
                <w:iCs/>
                <w:sz w:val="22"/>
                <w:szCs w:val="22"/>
              </w:rPr>
              <w:t>года</w:t>
            </w:r>
          </w:p>
        </w:tc>
      </w:tr>
      <w:tr w:rsidR="00AE7485" w:rsidRPr="00AE7485" w14:paraId="326D2C55" w14:textId="77777777" w:rsidTr="00AE7485">
        <w:tc>
          <w:tcPr>
            <w:tcW w:w="318" w:type="pct"/>
            <w:shd w:val="clear" w:color="auto" w:fill="595959"/>
            <w:vAlign w:val="center"/>
          </w:tcPr>
          <w:p w14:paraId="79307EC3" w14:textId="77777777" w:rsidR="00AE7485" w:rsidRPr="00AE7485" w:rsidRDefault="00AE7485" w:rsidP="00AE7485">
            <w:pPr>
              <w:tabs>
                <w:tab w:val="left" w:pos="284"/>
              </w:tabs>
              <w:rPr>
                <w:rFonts w:ascii="Tahoma" w:hAnsi="Tahoma" w:cs="Tahoma"/>
                <w:bCs/>
                <w:iCs/>
                <w:color w:val="FFFFFF"/>
                <w:sz w:val="22"/>
                <w:szCs w:val="22"/>
              </w:rPr>
            </w:pPr>
            <w:r w:rsidRPr="00AE7485">
              <w:rPr>
                <w:rFonts w:ascii="Tahoma" w:hAnsi="Tahoma" w:cs="Tahoma"/>
                <w:bCs/>
                <w:iCs/>
                <w:color w:val="FFFFFF"/>
                <w:sz w:val="22"/>
                <w:szCs w:val="22"/>
              </w:rPr>
              <w:t>3.2.</w:t>
            </w:r>
          </w:p>
        </w:tc>
        <w:tc>
          <w:tcPr>
            <w:tcW w:w="4682" w:type="pct"/>
            <w:gridSpan w:val="2"/>
            <w:shd w:val="clear" w:color="auto" w:fill="595959"/>
            <w:vAlign w:val="center"/>
          </w:tcPr>
          <w:p w14:paraId="547BF4DA" w14:textId="77777777" w:rsidR="00AE7485" w:rsidRPr="00AE7485" w:rsidRDefault="00AE7485" w:rsidP="00AE7485">
            <w:pPr>
              <w:tabs>
                <w:tab w:val="left" w:pos="4889"/>
              </w:tabs>
              <w:rPr>
                <w:rFonts w:ascii="Tahoma" w:hAnsi="Tahoma" w:cs="Tahoma"/>
                <w:bCs/>
                <w:iCs/>
                <w:color w:val="FFFFFF"/>
                <w:sz w:val="22"/>
                <w:szCs w:val="22"/>
              </w:rPr>
            </w:pPr>
            <w:r w:rsidRPr="00AE7485">
              <w:rPr>
                <w:rFonts w:ascii="Tahoma" w:hAnsi="Tahoma" w:cs="Tahoma"/>
                <w:bCs/>
                <w:iCs/>
                <w:color w:val="FFFFFF"/>
                <w:sz w:val="22"/>
                <w:szCs w:val="22"/>
              </w:rPr>
              <w:t xml:space="preserve">Карта типа </w:t>
            </w:r>
            <w:r w:rsidRPr="00AE7485">
              <w:rPr>
                <w:rFonts w:ascii="Tahoma" w:hAnsi="Tahoma" w:cs="Tahoma"/>
                <w:bCs/>
                <w:iCs/>
                <w:color w:val="FFFFFF"/>
                <w:sz w:val="22"/>
                <w:szCs w:val="22"/>
                <w:lang w:val="en-US"/>
              </w:rPr>
              <w:t>UnionPay</w:t>
            </w:r>
            <w:r w:rsidRPr="00AE7485">
              <w:rPr>
                <w:rFonts w:ascii="Tahoma" w:hAnsi="Tahoma" w:cs="Tahoma"/>
                <w:bCs/>
                <w:iCs/>
                <w:color w:val="FFFFFF"/>
                <w:sz w:val="22"/>
                <w:szCs w:val="22"/>
              </w:rPr>
              <w:t xml:space="preserve"> </w:t>
            </w:r>
            <w:r w:rsidRPr="00AE7485">
              <w:rPr>
                <w:rFonts w:ascii="Tahoma" w:hAnsi="Tahoma" w:cs="Tahoma"/>
                <w:bCs/>
                <w:iCs/>
                <w:color w:val="FFFFFF"/>
                <w:sz w:val="22"/>
                <w:szCs w:val="22"/>
                <w:lang w:val="en-US"/>
              </w:rPr>
              <w:t>Platinum</w:t>
            </w:r>
            <w:r w:rsidRPr="00AE7485">
              <w:rPr>
                <w:rFonts w:ascii="Tahoma" w:hAnsi="Tahoma" w:cs="Tahoma"/>
                <w:bCs/>
                <w:iCs/>
                <w:color w:val="FFFFFF"/>
                <w:sz w:val="22"/>
                <w:szCs w:val="22"/>
              </w:rPr>
              <w:t xml:space="preserve"> (именная и неименная)</w:t>
            </w:r>
          </w:p>
        </w:tc>
      </w:tr>
      <w:tr w:rsidR="00AE7485" w:rsidRPr="00AE7485" w14:paraId="583A7248" w14:textId="77777777" w:rsidTr="00B86BDE">
        <w:trPr>
          <w:trHeight w:val="390"/>
        </w:trPr>
        <w:tc>
          <w:tcPr>
            <w:tcW w:w="318" w:type="pct"/>
            <w:vMerge w:val="restart"/>
            <w:shd w:val="clear" w:color="auto" w:fill="auto"/>
            <w:vAlign w:val="center"/>
          </w:tcPr>
          <w:p w14:paraId="214A8A41" w14:textId="77777777" w:rsidR="00AE7485" w:rsidRPr="00AE7485" w:rsidRDefault="00AE7485" w:rsidP="00AE7485">
            <w:pPr>
              <w:tabs>
                <w:tab w:val="left" w:pos="284"/>
              </w:tabs>
              <w:rPr>
                <w:rFonts w:ascii="Tahoma" w:hAnsi="Tahoma" w:cs="Tahoma"/>
                <w:bCs/>
                <w:iCs/>
                <w:sz w:val="22"/>
                <w:szCs w:val="22"/>
                <w:lang w:val="en-US"/>
              </w:rPr>
            </w:pPr>
            <w:r w:rsidRPr="00AE7485">
              <w:rPr>
                <w:rFonts w:ascii="Tahoma" w:hAnsi="Tahoma" w:cs="Tahoma"/>
                <w:bCs/>
                <w:iCs/>
                <w:sz w:val="22"/>
                <w:szCs w:val="22"/>
                <w:lang w:val="en-US"/>
              </w:rPr>
              <w:t>3.</w:t>
            </w:r>
            <w:r w:rsidRPr="00AE7485">
              <w:rPr>
                <w:rFonts w:ascii="Tahoma" w:hAnsi="Tahoma" w:cs="Tahoma"/>
                <w:bCs/>
                <w:iCs/>
                <w:sz w:val="22"/>
                <w:szCs w:val="22"/>
              </w:rPr>
              <w:t>2</w:t>
            </w:r>
            <w:r w:rsidRPr="00AE7485">
              <w:rPr>
                <w:rFonts w:ascii="Tahoma" w:hAnsi="Tahoma" w:cs="Tahoma"/>
                <w:bCs/>
                <w:iCs/>
                <w:sz w:val="22"/>
                <w:szCs w:val="22"/>
                <w:lang w:val="en-US"/>
              </w:rPr>
              <w:t>.1.</w:t>
            </w:r>
          </w:p>
        </w:tc>
        <w:tc>
          <w:tcPr>
            <w:tcW w:w="1843" w:type="pct"/>
            <w:vMerge w:val="restart"/>
            <w:shd w:val="clear" w:color="auto" w:fill="auto"/>
            <w:vAlign w:val="center"/>
          </w:tcPr>
          <w:p w14:paraId="43A69D21"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Валюта Счета Карты</w:t>
            </w:r>
          </w:p>
        </w:tc>
        <w:tc>
          <w:tcPr>
            <w:tcW w:w="2839" w:type="pct"/>
            <w:shd w:val="clear" w:color="auto" w:fill="auto"/>
            <w:vAlign w:val="center"/>
          </w:tcPr>
          <w:p w14:paraId="69E6D9B2"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Российский рубль</w:t>
            </w:r>
          </w:p>
        </w:tc>
      </w:tr>
      <w:tr w:rsidR="00AE7485" w:rsidRPr="00AE7485" w14:paraId="4A69AA30" w14:textId="77777777" w:rsidTr="00B86BDE">
        <w:trPr>
          <w:trHeight w:val="414"/>
        </w:trPr>
        <w:tc>
          <w:tcPr>
            <w:tcW w:w="318" w:type="pct"/>
            <w:vMerge/>
            <w:shd w:val="clear" w:color="auto" w:fill="auto"/>
            <w:vAlign w:val="center"/>
          </w:tcPr>
          <w:p w14:paraId="553F0E38" w14:textId="77777777" w:rsidR="00AE7485" w:rsidRPr="00AE7485" w:rsidRDefault="00AE7485" w:rsidP="00AE7485">
            <w:pPr>
              <w:tabs>
                <w:tab w:val="left" w:pos="284"/>
              </w:tabs>
              <w:rPr>
                <w:rFonts w:ascii="Tahoma" w:hAnsi="Tahoma" w:cs="Tahoma"/>
                <w:bCs/>
                <w:iCs/>
                <w:sz w:val="22"/>
                <w:szCs w:val="22"/>
                <w:lang w:val="en-US"/>
              </w:rPr>
            </w:pPr>
          </w:p>
        </w:tc>
        <w:tc>
          <w:tcPr>
            <w:tcW w:w="1843" w:type="pct"/>
            <w:vMerge/>
            <w:shd w:val="clear" w:color="auto" w:fill="auto"/>
            <w:vAlign w:val="center"/>
          </w:tcPr>
          <w:p w14:paraId="6F1160EB" w14:textId="77777777" w:rsidR="00AE7485" w:rsidRPr="00AE7485" w:rsidRDefault="00AE7485" w:rsidP="00AE7485">
            <w:pPr>
              <w:tabs>
                <w:tab w:val="left" w:pos="4889"/>
              </w:tabs>
              <w:rPr>
                <w:rFonts w:ascii="Tahoma" w:hAnsi="Tahoma" w:cs="Tahoma"/>
                <w:bCs/>
                <w:iCs/>
                <w:sz w:val="22"/>
                <w:szCs w:val="22"/>
              </w:rPr>
            </w:pPr>
          </w:p>
        </w:tc>
        <w:tc>
          <w:tcPr>
            <w:tcW w:w="2839" w:type="pct"/>
            <w:shd w:val="clear" w:color="auto" w:fill="auto"/>
            <w:vAlign w:val="center"/>
          </w:tcPr>
          <w:p w14:paraId="08C00AC4"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Юань</w:t>
            </w:r>
          </w:p>
        </w:tc>
      </w:tr>
      <w:tr w:rsidR="00AE7485" w:rsidRPr="00AE7485" w14:paraId="051D0B19" w14:textId="77777777" w:rsidTr="00B86BDE">
        <w:tc>
          <w:tcPr>
            <w:tcW w:w="318" w:type="pct"/>
            <w:shd w:val="clear" w:color="auto" w:fill="auto"/>
            <w:vAlign w:val="center"/>
          </w:tcPr>
          <w:p w14:paraId="52B2DAFD"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3.2.2.</w:t>
            </w:r>
          </w:p>
        </w:tc>
        <w:tc>
          <w:tcPr>
            <w:tcW w:w="1843" w:type="pct"/>
            <w:shd w:val="clear" w:color="auto" w:fill="auto"/>
            <w:vAlign w:val="center"/>
          </w:tcPr>
          <w:p w14:paraId="3287F6CD"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Годовое обслуживание Карты (Основной и Дополнительной)</w:t>
            </w:r>
          </w:p>
        </w:tc>
        <w:tc>
          <w:tcPr>
            <w:tcW w:w="2839" w:type="pct"/>
            <w:shd w:val="clear" w:color="auto" w:fill="auto"/>
            <w:vAlign w:val="center"/>
          </w:tcPr>
          <w:p w14:paraId="2513D69D" w14:textId="77777777" w:rsidR="00AE7485" w:rsidRPr="00AE7485" w:rsidRDefault="00AE7485" w:rsidP="00AE7485">
            <w:pPr>
              <w:tabs>
                <w:tab w:val="left" w:pos="4889"/>
              </w:tabs>
              <w:jc w:val="center"/>
              <w:rPr>
                <w:rFonts w:ascii="Tahoma" w:hAnsi="Tahoma" w:cs="Tahoma"/>
                <w:b/>
                <w:bCs/>
                <w:iCs/>
                <w:sz w:val="22"/>
                <w:szCs w:val="22"/>
              </w:rPr>
            </w:pPr>
            <w:r w:rsidRPr="00AE7485">
              <w:rPr>
                <w:rFonts w:ascii="Tahoma" w:hAnsi="Tahoma" w:cs="Tahoma"/>
                <w:b/>
                <w:bCs/>
                <w:iCs/>
                <w:sz w:val="22"/>
                <w:szCs w:val="22"/>
              </w:rPr>
              <w:t>БЕСПЛАТНО</w:t>
            </w:r>
          </w:p>
        </w:tc>
      </w:tr>
      <w:tr w:rsidR="00AE7485" w:rsidRPr="00AE7485" w14:paraId="7AA88A28" w14:textId="77777777" w:rsidTr="00B86BDE">
        <w:trPr>
          <w:trHeight w:val="263"/>
        </w:trPr>
        <w:tc>
          <w:tcPr>
            <w:tcW w:w="318" w:type="pct"/>
            <w:vMerge w:val="restart"/>
            <w:shd w:val="clear" w:color="auto" w:fill="auto"/>
            <w:vAlign w:val="center"/>
          </w:tcPr>
          <w:p w14:paraId="463F6B30"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3.2.3.</w:t>
            </w:r>
          </w:p>
        </w:tc>
        <w:tc>
          <w:tcPr>
            <w:tcW w:w="1843" w:type="pct"/>
            <w:vMerge w:val="restart"/>
            <w:shd w:val="clear" w:color="auto" w:fill="auto"/>
            <w:vAlign w:val="center"/>
          </w:tcPr>
          <w:p w14:paraId="09FFF79E"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Стоимость выпуска Основной Карты</w:t>
            </w:r>
          </w:p>
        </w:tc>
        <w:tc>
          <w:tcPr>
            <w:tcW w:w="2839" w:type="pct"/>
            <w:shd w:val="clear" w:color="auto" w:fill="auto"/>
            <w:vAlign w:val="center"/>
          </w:tcPr>
          <w:p w14:paraId="3BCB2072"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Основная карта в рублях: </w:t>
            </w:r>
            <w:r w:rsidRPr="00AE7485">
              <w:rPr>
                <w:rFonts w:ascii="Tahoma" w:hAnsi="Tahoma" w:cs="Tahoma"/>
                <w:b/>
                <w:bCs/>
                <w:iCs/>
                <w:sz w:val="22"/>
                <w:szCs w:val="22"/>
              </w:rPr>
              <w:t>2 000 рублей</w:t>
            </w:r>
          </w:p>
        </w:tc>
      </w:tr>
      <w:tr w:rsidR="00AE7485" w:rsidRPr="00AE7485" w14:paraId="5008089A" w14:textId="77777777" w:rsidTr="00B86BDE">
        <w:trPr>
          <w:trHeight w:val="262"/>
        </w:trPr>
        <w:tc>
          <w:tcPr>
            <w:tcW w:w="318" w:type="pct"/>
            <w:vMerge/>
            <w:shd w:val="clear" w:color="auto" w:fill="auto"/>
            <w:vAlign w:val="center"/>
          </w:tcPr>
          <w:p w14:paraId="2EC90B15" w14:textId="77777777" w:rsidR="00AE7485" w:rsidRPr="00AE7485" w:rsidRDefault="00AE7485" w:rsidP="00AE7485">
            <w:pPr>
              <w:tabs>
                <w:tab w:val="left" w:pos="284"/>
              </w:tabs>
              <w:rPr>
                <w:rFonts w:ascii="Tahoma" w:hAnsi="Tahoma" w:cs="Tahoma"/>
                <w:bCs/>
                <w:iCs/>
                <w:sz w:val="22"/>
                <w:szCs w:val="22"/>
              </w:rPr>
            </w:pPr>
          </w:p>
        </w:tc>
        <w:tc>
          <w:tcPr>
            <w:tcW w:w="1843" w:type="pct"/>
            <w:vMerge/>
            <w:shd w:val="clear" w:color="auto" w:fill="auto"/>
            <w:vAlign w:val="center"/>
          </w:tcPr>
          <w:p w14:paraId="71BAE37E" w14:textId="77777777" w:rsidR="00AE7485" w:rsidRPr="00AE7485" w:rsidRDefault="00AE7485" w:rsidP="00AE7485">
            <w:pPr>
              <w:tabs>
                <w:tab w:val="left" w:pos="4889"/>
              </w:tabs>
              <w:rPr>
                <w:rFonts w:ascii="Tahoma" w:hAnsi="Tahoma" w:cs="Tahoma"/>
                <w:bCs/>
                <w:iCs/>
                <w:sz w:val="22"/>
                <w:szCs w:val="22"/>
              </w:rPr>
            </w:pPr>
          </w:p>
        </w:tc>
        <w:tc>
          <w:tcPr>
            <w:tcW w:w="2839" w:type="pct"/>
            <w:shd w:val="clear" w:color="auto" w:fill="auto"/>
            <w:vAlign w:val="center"/>
          </w:tcPr>
          <w:p w14:paraId="29B641D3"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Основная карта в юанях: </w:t>
            </w:r>
            <w:r w:rsidRPr="00AE7485">
              <w:rPr>
                <w:rFonts w:ascii="Tahoma" w:hAnsi="Tahoma" w:cs="Tahoma"/>
                <w:b/>
                <w:bCs/>
                <w:iCs/>
                <w:sz w:val="22"/>
                <w:szCs w:val="22"/>
              </w:rPr>
              <w:t>170 юаней</w:t>
            </w:r>
          </w:p>
        </w:tc>
      </w:tr>
      <w:tr w:rsidR="00AE7485" w:rsidRPr="00AE7485" w14:paraId="0242D91A" w14:textId="77777777" w:rsidTr="00B86BDE">
        <w:trPr>
          <w:trHeight w:val="263"/>
        </w:trPr>
        <w:tc>
          <w:tcPr>
            <w:tcW w:w="318" w:type="pct"/>
            <w:vMerge w:val="restart"/>
            <w:shd w:val="clear" w:color="auto" w:fill="auto"/>
            <w:vAlign w:val="center"/>
          </w:tcPr>
          <w:p w14:paraId="5F3EEAB0"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3.2.4.</w:t>
            </w:r>
          </w:p>
        </w:tc>
        <w:tc>
          <w:tcPr>
            <w:tcW w:w="1843" w:type="pct"/>
            <w:vMerge w:val="restart"/>
            <w:shd w:val="clear" w:color="auto" w:fill="auto"/>
            <w:vAlign w:val="center"/>
          </w:tcPr>
          <w:p w14:paraId="0BBE4D9D"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Стоимость выпуска Дополнительной Карты</w:t>
            </w:r>
          </w:p>
        </w:tc>
        <w:tc>
          <w:tcPr>
            <w:tcW w:w="2839" w:type="pct"/>
            <w:shd w:val="clear" w:color="auto" w:fill="auto"/>
            <w:vAlign w:val="center"/>
          </w:tcPr>
          <w:p w14:paraId="1EB43430"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Дополнительная Карта типа Мир </w:t>
            </w:r>
            <w:r w:rsidRPr="00AE7485">
              <w:rPr>
                <w:rFonts w:ascii="Tahoma" w:hAnsi="Tahoma" w:cs="Tahoma"/>
                <w:bCs/>
                <w:iCs/>
                <w:sz w:val="22"/>
                <w:szCs w:val="22"/>
                <w:lang w:val="en-US"/>
              </w:rPr>
              <w:t>Supreme</w:t>
            </w:r>
            <w:r w:rsidRPr="00AE7485">
              <w:rPr>
                <w:rFonts w:ascii="Tahoma" w:hAnsi="Tahoma" w:cs="Tahoma"/>
                <w:bCs/>
                <w:iCs/>
                <w:sz w:val="22"/>
                <w:szCs w:val="22"/>
                <w:vertAlign w:val="superscript"/>
                <w:lang w:val="en-US"/>
              </w:rPr>
              <w:footnoteReference w:id="181"/>
            </w:r>
            <w:r w:rsidRPr="00AE7485">
              <w:rPr>
                <w:rFonts w:ascii="Tahoma" w:hAnsi="Tahoma" w:cs="Tahoma"/>
                <w:bCs/>
                <w:iCs/>
                <w:sz w:val="22"/>
                <w:szCs w:val="22"/>
              </w:rPr>
              <w:t xml:space="preserve">: </w:t>
            </w:r>
            <w:r w:rsidRPr="00AE7485">
              <w:rPr>
                <w:rFonts w:ascii="Tahoma" w:hAnsi="Tahoma" w:cs="Tahoma"/>
                <w:b/>
                <w:bCs/>
                <w:iCs/>
                <w:sz w:val="22"/>
                <w:szCs w:val="22"/>
              </w:rPr>
              <w:t>БЕСПЛАТНО</w:t>
            </w:r>
          </w:p>
        </w:tc>
      </w:tr>
      <w:tr w:rsidR="00AE7485" w:rsidRPr="00AE7485" w14:paraId="7518ABCF" w14:textId="77777777" w:rsidTr="00B86BDE">
        <w:trPr>
          <w:trHeight w:val="262"/>
        </w:trPr>
        <w:tc>
          <w:tcPr>
            <w:tcW w:w="318" w:type="pct"/>
            <w:vMerge/>
            <w:shd w:val="clear" w:color="auto" w:fill="auto"/>
            <w:vAlign w:val="center"/>
          </w:tcPr>
          <w:p w14:paraId="598F6EBE" w14:textId="77777777" w:rsidR="00AE7485" w:rsidRPr="00AE7485" w:rsidRDefault="00AE7485" w:rsidP="00AE7485">
            <w:pPr>
              <w:tabs>
                <w:tab w:val="left" w:pos="284"/>
              </w:tabs>
              <w:rPr>
                <w:rFonts w:ascii="Tahoma" w:hAnsi="Tahoma" w:cs="Tahoma"/>
                <w:bCs/>
                <w:iCs/>
                <w:sz w:val="22"/>
                <w:szCs w:val="22"/>
              </w:rPr>
            </w:pPr>
          </w:p>
        </w:tc>
        <w:tc>
          <w:tcPr>
            <w:tcW w:w="1843" w:type="pct"/>
            <w:vMerge/>
            <w:shd w:val="clear" w:color="auto" w:fill="auto"/>
            <w:vAlign w:val="center"/>
          </w:tcPr>
          <w:p w14:paraId="6E9866FC" w14:textId="77777777" w:rsidR="00AE7485" w:rsidRPr="00AE7485" w:rsidRDefault="00AE7485" w:rsidP="00AE7485">
            <w:pPr>
              <w:tabs>
                <w:tab w:val="left" w:pos="4889"/>
              </w:tabs>
              <w:rPr>
                <w:rFonts w:ascii="Tahoma" w:hAnsi="Tahoma" w:cs="Tahoma"/>
                <w:bCs/>
                <w:iCs/>
                <w:sz w:val="22"/>
                <w:szCs w:val="22"/>
              </w:rPr>
            </w:pPr>
          </w:p>
        </w:tc>
        <w:tc>
          <w:tcPr>
            <w:tcW w:w="2839" w:type="pct"/>
            <w:shd w:val="clear" w:color="auto" w:fill="auto"/>
            <w:vAlign w:val="center"/>
          </w:tcPr>
          <w:p w14:paraId="67B3BAF8"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Дополнительная Карта типа </w:t>
            </w:r>
            <w:r w:rsidRPr="00AE7485">
              <w:rPr>
                <w:rFonts w:ascii="Tahoma" w:hAnsi="Tahoma" w:cs="Tahoma"/>
                <w:bCs/>
                <w:iCs/>
                <w:sz w:val="22"/>
                <w:szCs w:val="22"/>
                <w:lang w:val="en-US"/>
              </w:rPr>
              <w:t>UnionPay</w:t>
            </w:r>
            <w:r w:rsidRPr="00AE7485">
              <w:rPr>
                <w:rFonts w:ascii="Tahoma" w:hAnsi="Tahoma" w:cs="Tahoma"/>
                <w:bCs/>
                <w:iCs/>
                <w:sz w:val="22"/>
                <w:szCs w:val="22"/>
              </w:rPr>
              <w:t xml:space="preserve"> </w:t>
            </w:r>
            <w:r w:rsidRPr="00AE7485">
              <w:rPr>
                <w:rFonts w:ascii="Tahoma" w:hAnsi="Tahoma" w:cs="Tahoma"/>
                <w:bCs/>
                <w:iCs/>
                <w:sz w:val="22"/>
                <w:szCs w:val="22"/>
                <w:lang w:val="en-US"/>
              </w:rPr>
              <w:t>Platinum</w:t>
            </w:r>
            <w:r w:rsidRPr="00AE7485">
              <w:rPr>
                <w:rFonts w:ascii="Tahoma" w:hAnsi="Tahoma" w:cs="Tahoma"/>
                <w:bCs/>
                <w:iCs/>
                <w:sz w:val="22"/>
                <w:szCs w:val="22"/>
              </w:rPr>
              <w:t xml:space="preserve"> в рублях: </w:t>
            </w:r>
            <w:r w:rsidRPr="00AE7485">
              <w:rPr>
                <w:rFonts w:ascii="Tahoma" w:hAnsi="Tahoma" w:cs="Tahoma"/>
                <w:b/>
                <w:bCs/>
                <w:iCs/>
                <w:sz w:val="22"/>
                <w:szCs w:val="22"/>
              </w:rPr>
              <w:t>1</w:t>
            </w:r>
            <w:r w:rsidRPr="00AE7485">
              <w:rPr>
                <w:rFonts w:ascii="Tahoma" w:hAnsi="Tahoma" w:cs="Tahoma"/>
                <w:b/>
                <w:bCs/>
                <w:iCs/>
                <w:sz w:val="22"/>
                <w:szCs w:val="22"/>
                <w:lang w:val="en-US"/>
              </w:rPr>
              <w:t> </w:t>
            </w:r>
            <w:r w:rsidRPr="00AE7485">
              <w:rPr>
                <w:rFonts w:ascii="Tahoma" w:hAnsi="Tahoma" w:cs="Tahoma"/>
                <w:b/>
                <w:bCs/>
                <w:iCs/>
                <w:sz w:val="22"/>
                <w:szCs w:val="22"/>
              </w:rPr>
              <w:t>000 рублей</w:t>
            </w:r>
          </w:p>
        </w:tc>
      </w:tr>
      <w:tr w:rsidR="00AE7485" w:rsidRPr="00AE7485" w14:paraId="271C5B59" w14:textId="77777777" w:rsidTr="00B86BDE">
        <w:trPr>
          <w:trHeight w:val="262"/>
        </w:trPr>
        <w:tc>
          <w:tcPr>
            <w:tcW w:w="318" w:type="pct"/>
            <w:vMerge/>
            <w:shd w:val="clear" w:color="auto" w:fill="auto"/>
            <w:vAlign w:val="center"/>
          </w:tcPr>
          <w:p w14:paraId="4E841DBB" w14:textId="77777777" w:rsidR="00AE7485" w:rsidRPr="00AE7485" w:rsidRDefault="00AE7485" w:rsidP="00AE7485">
            <w:pPr>
              <w:tabs>
                <w:tab w:val="left" w:pos="284"/>
              </w:tabs>
              <w:rPr>
                <w:rFonts w:ascii="Tahoma" w:hAnsi="Tahoma" w:cs="Tahoma"/>
                <w:bCs/>
                <w:iCs/>
                <w:sz w:val="22"/>
                <w:szCs w:val="22"/>
              </w:rPr>
            </w:pPr>
          </w:p>
        </w:tc>
        <w:tc>
          <w:tcPr>
            <w:tcW w:w="1843" w:type="pct"/>
            <w:vMerge/>
            <w:shd w:val="clear" w:color="auto" w:fill="auto"/>
            <w:vAlign w:val="center"/>
          </w:tcPr>
          <w:p w14:paraId="3D7580C0" w14:textId="77777777" w:rsidR="00AE7485" w:rsidRPr="00AE7485" w:rsidRDefault="00AE7485" w:rsidP="00AE7485">
            <w:pPr>
              <w:tabs>
                <w:tab w:val="left" w:pos="4889"/>
              </w:tabs>
              <w:rPr>
                <w:rFonts w:ascii="Tahoma" w:hAnsi="Tahoma" w:cs="Tahoma"/>
                <w:bCs/>
                <w:iCs/>
                <w:sz w:val="22"/>
                <w:szCs w:val="22"/>
              </w:rPr>
            </w:pPr>
          </w:p>
        </w:tc>
        <w:tc>
          <w:tcPr>
            <w:tcW w:w="2839" w:type="pct"/>
            <w:shd w:val="clear" w:color="auto" w:fill="auto"/>
            <w:vAlign w:val="center"/>
          </w:tcPr>
          <w:p w14:paraId="5FD91C37"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Дополнительная Карта типа </w:t>
            </w:r>
            <w:r w:rsidRPr="00AE7485">
              <w:rPr>
                <w:rFonts w:ascii="Tahoma" w:hAnsi="Tahoma" w:cs="Tahoma"/>
                <w:bCs/>
                <w:iCs/>
                <w:sz w:val="22"/>
                <w:szCs w:val="22"/>
                <w:lang w:val="en-US"/>
              </w:rPr>
              <w:t>UnionPay</w:t>
            </w:r>
            <w:r w:rsidRPr="00AE7485">
              <w:rPr>
                <w:rFonts w:ascii="Tahoma" w:hAnsi="Tahoma" w:cs="Tahoma"/>
                <w:bCs/>
                <w:iCs/>
                <w:sz w:val="22"/>
                <w:szCs w:val="22"/>
              </w:rPr>
              <w:t xml:space="preserve"> </w:t>
            </w:r>
            <w:r w:rsidRPr="00AE7485">
              <w:rPr>
                <w:rFonts w:ascii="Tahoma" w:hAnsi="Tahoma" w:cs="Tahoma"/>
                <w:bCs/>
                <w:iCs/>
                <w:sz w:val="22"/>
                <w:szCs w:val="22"/>
                <w:lang w:val="en-US"/>
              </w:rPr>
              <w:t>Platinum</w:t>
            </w:r>
            <w:r w:rsidRPr="00AE7485">
              <w:rPr>
                <w:rFonts w:ascii="Tahoma" w:hAnsi="Tahoma" w:cs="Tahoma"/>
                <w:bCs/>
                <w:iCs/>
                <w:sz w:val="22"/>
                <w:szCs w:val="22"/>
              </w:rPr>
              <w:t xml:space="preserve"> в юанях: </w:t>
            </w:r>
            <w:r w:rsidRPr="00AE7485">
              <w:rPr>
                <w:rFonts w:ascii="Tahoma" w:hAnsi="Tahoma" w:cs="Tahoma"/>
                <w:b/>
                <w:bCs/>
                <w:iCs/>
                <w:sz w:val="22"/>
                <w:szCs w:val="22"/>
              </w:rPr>
              <w:t>85 аюней</w:t>
            </w:r>
          </w:p>
        </w:tc>
      </w:tr>
      <w:tr w:rsidR="00AE7485" w:rsidRPr="00AE7485" w14:paraId="22395503" w14:textId="77777777" w:rsidTr="00B86BDE">
        <w:tc>
          <w:tcPr>
            <w:tcW w:w="318" w:type="pct"/>
            <w:shd w:val="clear" w:color="auto" w:fill="auto"/>
            <w:vAlign w:val="center"/>
          </w:tcPr>
          <w:p w14:paraId="05E9385B"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3.2.5.</w:t>
            </w:r>
          </w:p>
        </w:tc>
        <w:tc>
          <w:tcPr>
            <w:tcW w:w="1843" w:type="pct"/>
            <w:shd w:val="clear" w:color="auto" w:fill="auto"/>
            <w:vAlign w:val="center"/>
          </w:tcPr>
          <w:p w14:paraId="5F23B86C"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Перевыпуск Карты (Основной и Дополнительной) по любой причине</w:t>
            </w:r>
          </w:p>
        </w:tc>
        <w:tc>
          <w:tcPr>
            <w:tcW w:w="2839" w:type="pct"/>
            <w:shd w:val="clear" w:color="auto" w:fill="auto"/>
            <w:vAlign w:val="center"/>
          </w:tcPr>
          <w:p w14:paraId="7866FE5E" w14:textId="77777777" w:rsidR="00AE7485" w:rsidRPr="00AE7485" w:rsidRDefault="00AE7485" w:rsidP="00AE7485">
            <w:pPr>
              <w:tabs>
                <w:tab w:val="left" w:pos="4889"/>
              </w:tabs>
              <w:jc w:val="center"/>
              <w:rPr>
                <w:rFonts w:ascii="Tahoma" w:hAnsi="Tahoma" w:cs="Tahoma"/>
                <w:b/>
                <w:bCs/>
                <w:iCs/>
                <w:sz w:val="22"/>
                <w:szCs w:val="22"/>
              </w:rPr>
            </w:pPr>
            <w:r w:rsidRPr="00AE7485">
              <w:rPr>
                <w:rFonts w:ascii="Tahoma" w:hAnsi="Tahoma" w:cs="Tahoma"/>
                <w:b/>
                <w:bCs/>
                <w:iCs/>
                <w:sz w:val="22"/>
                <w:szCs w:val="22"/>
              </w:rPr>
              <w:t>БЕСПЛАТНО</w:t>
            </w:r>
          </w:p>
        </w:tc>
      </w:tr>
      <w:tr w:rsidR="00AE7485" w:rsidRPr="00AE7485" w14:paraId="474AC838" w14:textId="77777777" w:rsidTr="00B86BDE">
        <w:trPr>
          <w:trHeight w:val="263"/>
        </w:trPr>
        <w:tc>
          <w:tcPr>
            <w:tcW w:w="318" w:type="pct"/>
            <w:vMerge w:val="restart"/>
            <w:shd w:val="clear" w:color="auto" w:fill="auto"/>
            <w:vAlign w:val="center"/>
          </w:tcPr>
          <w:p w14:paraId="0C7F071F"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3.2.6.</w:t>
            </w:r>
          </w:p>
        </w:tc>
        <w:tc>
          <w:tcPr>
            <w:tcW w:w="1843" w:type="pct"/>
            <w:vMerge w:val="restart"/>
            <w:shd w:val="clear" w:color="auto" w:fill="auto"/>
            <w:vAlign w:val="center"/>
          </w:tcPr>
          <w:p w14:paraId="0040D821"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 xml:space="preserve">Срок действия Карты (Основной и Дополнительной) </w:t>
            </w:r>
          </w:p>
        </w:tc>
        <w:tc>
          <w:tcPr>
            <w:tcW w:w="2839" w:type="pct"/>
            <w:shd w:val="clear" w:color="auto" w:fill="auto"/>
            <w:vAlign w:val="center"/>
          </w:tcPr>
          <w:p w14:paraId="52B00F60"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Карта типа Мир </w:t>
            </w:r>
            <w:r w:rsidRPr="00AE7485">
              <w:rPr>
                <w:rFonts w:ascii="Tahoma" w:hAnsi="Tahoma" w:cs="Tahoma"/>
                <w:bCs/>
                <w:iCs/>
                <w:sz w:val="22"/>
                <w:szCs w:val="22"/>
                <w:lang w:val="en-US"/>
              </w:rPr>
              <w:t>Supreme</w:t>
            </w:r>
            <w:r w:rsidRPr="00AE7485">
              <w:rPr>
                <w:rFonts w:ascii="Tahoma" w:hAnsi="Tahoma" w:cs="Tahoma"/>
                <w:bCs/>
                <w:iCs/>
                <w:sz w:val="22"/>
                <w:szCs w:val="22"/>
              </w:rPr>
              <w:t xml:space="preserve">: </w:t>
            </w:r>
            <w:r w:rsidRPr="00AE7485">
              <w:rPr>
                <w:rFonts w:ascii="Tahoma" w:hAnsi="Tahoma" w:cs="Tahoma"/>
                <w:b/>
                <w:bCs/>
                <w:iCs/>
                <w:sz w:val="22"/>
                <w:szCs w:val="22"/>
              </w:rPr>
              <w:t>10 лет</w:t>
            </w:r>
          </w:p>
        </w:tc>
      </w:tr>
      <w:tr w:rsidR="00AE7485" w:rsidRPr="000B3718" w14:paraId="4C0FA4C4" w14:textId="77777777" w:rsidTr="00B86BDE">
        <w:trPr>
          <w:trHeight w:val="262"/>
        </w:trPr>
        <w:tc>
          <w:tcPr>
            <w:tcW w:w="318" w:type="pct"/>
            <w:vMerge/>
            <w:shd w:val="clear" w:color="auto" w:fill="auto"/>
            <w:vAlign w:val="center"/>
          </w:tcPr>
          <w:p w14:paraId="1AEFD540" w14:textId="77777777" w:rsidR="00AE7485" w:rsidRPr="00AE7485" w:rsidRDefault="00AE7485" w:rsidP="00AE7485">
            <w:pPr>
              <w:tabs>
                <w:tab w:val="left" w:pos="284"/>
              </w:tabs>
              <w:rPr>
                <w:rFonts w:ascii="Tahoma" w:hAnsi="Tahoma" w:cs="Tahoma"/>
                <w:bCs/>
                <w:iCs/>
                <w:sz w:val="22"/>
                <w:szCs w:val="22"/>
              </w:rPr>
            </w:pPr>
          </w:p>
        </w:tc>
        <w:tc>
          <w:tcPr>
            <w:tcW w:w="1843" w:type="pct"/>
            <w:vMerge/>
            <w:shd w:val="clear" w:color="auto" w:fill="auto"/>
            <w:vAlign w:val="center"/>
          </w:tcPr>
          <w:p w14:paraId="7DD4C7F8" w14:textId="77777777" w:rsidR="00AE7485" w:rsidRPr="00AE7485" w:rsidRDefault="00AE7485" w:rsidP="00AE7485">
            <w:pPr>
              <w:tabs>
                <w:tab w:val="left" w:pos="4889"/>
              </w:tabs>
              <w:rPr>
                <w:rFonts w:ascii="Tahoma" w:hAnsi="Tahoma" w:cs="Tahoma"/>
                <w:bCs/>
                <w:iCs/>
                <w:sz w:val="22"/>
                <w:szCs w:val="22"/>
              </w:rPr>
            </w:pPr>
          </w:p>
        </w:tc>
        <w:tc>
          <w:tcPr>
            <w:tcW w:w="2839" w:type="pct"/>
            <w:shd w:val="clear" w:color="auto" w:fill="auto"/>
            <w:vAlign w:val="center"/>
          </w:tcPr>
          <w:p w14:paraId="67087F7C" w14:textId="77777777" w:rsidR="00AE7485" w:rsidRPr="00AE7485" w:rsidRDefault="00AE7485" w:rsidP="00AE7485">
            <w:pPr>
              <w:tabs>
                <w:tab w:val="left" w:pos="4889"/>
              </w:tabs>
              <w:jc w:val="center"/>
              <w:rPr>
                <w:rFonts w:ascii="Tahoma" w:hAnsi="Tahoma" w:cs="Tahoma"/>
                <w:bCs/>
                <w:iCs/>
                <w:sz w:val="22"/>
                <w:szCs w:val="22"/>
                <w:lang w:val="en-US"/>
              </w:rPr>
            </w:pPr>
            <w:r w:rsidRPr="00AE7485">
              <w:rPr>
                <w:rFonts w:ascii="Tahoma" w:hAnsi="Tahoma" w:cs="Tahoma"/>
                <w:bCs/>
                <w:iCs/>
                <w:sz w:val="22"/>
                <w:szCs w:val="22"/>
              </w:rPr>
              <w:t>Карта</w:t>
            </w:r>
            <w:r w:rsidRPr="00AE7485">
              <w:rPr>
                <w:rFonts w:ascii="Tahoma" w:hAnsi="Tahoma" w:cs="Tahoma"/>
                <w:bCs/>
                <w:iCs/>
                <w:sz w:val="22"/>
                <w:szCs w:val="22"/>
                <w:lang w:val="en-US"/>
              </w:rPr>
              <w:t xml:space="preserve"> </w:t>
            </w:r>
            <w:r w:rsidRPr="00AE7485">
              <w:rPr>
                <w:rFonts w:ascii="Tahoma" w:hAnsi="Tahoma" w:cs="Tahoma"/>
                <w:bCs/>
                <w:iCs/>
                <w:sz w:val="22"/>
                <w:szCs w:val="22"/>
              </w:rPr>
              <w:t>типа</w:t>
            </w:r>
            <w:r w:rsidRPr="00AE7485">
              <w:rPr>
                <w:rFonts w:ascii="Tahoma" w:hAnsi="Tahoma" w:cs="Tahoma"/>
                <w:bCs/>
                <w:iCs/>
                <w:sz w:val="22"/>
                <w:szCs w:val="22"/>
                <w:lang w:val="en-US"/>
              </w:rPr>
              <w:t xml:space="preserve"> UnionPay Platinum: </w:t>
            </w:r>
            <w:r w:rsidRPr="00AE7485">
              <w:rPr>
                <w:rFonts w:ascii="Tahoma" w:hAnsi="Tahoma" w:cs="Tahoma"/>
                <w:b/>
                <w:bCs/>
                <w:iCs/>
                <w:sz w:val="22"/>
                <w:szCs w:val="22"/>
                <w:lang w:val="en-US"/>
              </w:rPr>
              <w:t xml:space="preserve">3 </w:t>
            </w:r>
            <w:r w:rsidRPr="00AE7485">
              <w:rPr>
                <w:rFonts w:ascii="Tahoma" w:hAnsi="Tahoma" w:cs="Tahoma"/>
                <w:b/>
                <w:bCs/>
                <w:iCs/>
                <w:sz w:val="22"/>
                <w:szCs w:val="22"/>
              </w:rPr>
              <w:t>года</w:t>
            </w:r>
          </w:p>
        </w:tc>
      </w:tr>
      <w:tr w:rsidR="00AE7485" w:rsidRPr="00AE7485" w14:paraId="46DC9494" w14:textId="77777777" w:rsidTr="00B86BDE">
        <w:tc>
          <w:tcPr>
            <w:tcW w:w="318" w:type="pct"/>
            <w:shd w:val="clear" w:color="auto" w:fill="auto"/>
            <w:vAlign w:val="center"/>
          </w:tcPr>
          <w:p w14:paraId="0F30E28D"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3.3.</w:t>
            </w:r>
          </w:p>
        </w:tc>
        <w:tc>
          <w:tcPr>
            <w:tcW w:w="1843" w:type="pct"/>
            <w:shd w:val="clear" w:color="auto" w:fill="auto"/>
            <w:vAlign w:val="center"/>
          </w:tcPr>
          <w:p w14:paraId="616FEB8D"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Общее количество возможных Карт, выпущенных на имя Клиента в рамках Программы</w:t>
            </w:r>
          </w:p>
        </w:tc>
        <w:tc>
          <w:tcPr>
            <w:tcW w:w="2839" w:type="pct"/>
            <w:shd w:val="clear" w:color="auto" w:fill="auto"/>
            <w:vAlign w:val="center"/>
          </w:tcPr>
          <w:p w14:paraId="1DAC6022"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
                <w:bCs/>
                <w:iCs/>
                <w:sz w:val="22"/>
                <w:szCs w:val="22"/>
              </w:rPr>
              <w:t>Не более 5</w:t>
            </w:r>
            <w:r w:rsidRPr="00AE7485">
              <w:rPr>
                <w:rFonts w:ascii="Tahoma" w:hAnsi="Tahoma" w:cs="Tahoma"/>
                <w:bCs/>
                <w:iCs/>
                <w:sz w:val="22"/>
                <w:szCs w:val="22"/>
              </w:rPr>
              <w:t xml:space="preserve"> (пяти) Карт (Основных и Дополнительных) совокупно, </w:t>
            </w:r>
          </w:p>
          <w:p w14:paraId="78F0BF01"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выпущенных на имя Клиента в рамках Программы</w:t>
            </w:r>
          </w:p>
        </w:tc>
      </w:tr>
      <w:tr w:rsidR="00AE7485" w:rsidRPr="00AE7485" w14:paraId="1D4E40BA" w14:textId="77777777" w:rsidTr="00B86BDE">
        <w:tc>
          <w:tcPr>
            <w:tcW w:w="318" w:type="pct"/>
            <w:shd w:val="clear" w:color="auto" w:fill="auto"/>
            <w:vAlign w:val="center"/>
          </w:tcPr>
          <w:p w14:paraId="173CDE7D"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3.4.</w:t>
            </w:r>
          </w:p>
        </w:tc>
        <w:tc>
          <w:tcPr>
            <w:tcW w:w="1843" w:type="pct"/>
            <w:shd w:val="clear" w:color="auto" w:fill="auto"/>
            <w:vAlign w:val="center"/>
          </w:tcPr>
          <w:p w14:paraId="15302A65"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Начисление процентов Банком Клиенту на остаток денежных средств по Счет Карты</w:t>
            </w:r>
          </w:p>
        </w:tc>
        <w:tc>
          <w:tcPr>
            <w:tcW w:w="2839" w:type="pct"/>
            <w:shd w:val="clear" w:color="auto" w:fill="auto"/>
            <w:vAlign w:val="center"/>
          </w:tcPr>
          <w:p w14:paraId="73D71504"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Не предусмотрено</w:t>
            </w:r>
          </w:p>
        </w:tc>
      </w:tr>
      <w:tr w:rsidR="00AE7485" w:rsidRPr="00AE7485" w14:paraId="08AFEEBF" w14:textId="77777777" w:rsidTr="00B86BDE">
        <w:tc>
          <w:tcPr>
            <w:tcW w:w="318" w:type="pct"/>
            <w:shd w:val="clear" w:color="auto" w:fill="auto"/>
            <w:vAlign w:val="center"/>
          </w:tcPr>
          <w:p w14:paraId="5E15E63A"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3.5.</w:t>
            </w:r>
          </w:p>
        </w:tc>
        <w:tc>
          <w:tcPr>
            <w:tcW w:w="1843" w:type="pct"/>
            <w:shd w:val="clear" w:color="auto" w:fill="auto"/>
            <w:vAlign w:val="center"/>
          </w:tcPr>
          <w:p w14:paraId="092E23ED"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Установка и смена ПИН-кода к Карте (Основной и Дополнительной)</w:t>
            </w:r>
          </w:p>
        </w:tc>
        <w:tc>
          <w:tcPr>
            <w:tcW w:w="2839" w:type="pct"/>
            <w:vMerge w:val="restart"/>
            <w:shd w:val="clear" w:color="auto" w:fill="auto"/>
            <w:vAlign w:val="center"/>
          </w:tcPr>
          <w:p w14:paraId="4A25014E" w14:textId="77777777" w:rsidR="00AE7485" w:rsidRPr="00AE7485" w:rsidRDefault="00AE7485" w:rsidP="00AE7485">
            <w:pPr>
              <w:tabs>
                <w:tab w:val="left" w:pos="4889"/>
              </w:tabs>
              <w:jc w:val="center"/>
              <w:rPr>
                <w:rFonts w:ascii="Tahoma" w:hAnsi="Tahoma" w:cs="Tahoma"/>
                <w:b/>
                <w:bCs/>
                <w:iCs/>
                <w:sz w:val="22"/>
                <w:szCs w:val="22"/>
              </w:rPr>
            </w:pPr>
            <w:r w:rsidRPr="00AE7485">
              <w:rPr>
                <w:rFonts w:ascii="Tahoma" w:hAnsi="Tahoma" w:cs="Tahoma"/>
                <w:b/>
                <w:bCs/>
                <w:iCs/>
                <w:sz w:val="22"/>
                <w:szCs w:val="22"/>
              </w:rPr>
              <w:t>БЕСПЛАТНО</w:t>
            </w:r>
          </w:p>
        </w:tc>
      </w:tr>
      <w:tr w:rsidR="00AE7485" w:rsidRPr="00AE7485" w14:paraId="4F881DB4" w14:textId="77777777" w:rsidTr="00B86BDE">
        <w:trPr>
          <w:trHeight w:val="685"/>
        </w:trPr>
        <w:tc>
          <w:tcPr>
            <w:tcW w:w="318" w:type="pct"/>
            <w:shd w:val="clear" w:color="auto" w:fill="auto"/>
            <w:vAlign w:val="center"/>
          </w:tcPr>
          <w:p w14:paraId="6066CDF5"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3.6.</w:t>
            </w:r>
          </w:p>
        </w:tc>
        <w:tc>
          <w:tcPr>
            <w:tcW w:w="1843" w:type="pct"/>
            <w:shd w:val="clear" w:color="auto" w:fill="auto"/>
            <w:vAlign w:val="center"/>
          </w:tcPr>
          <w:p w14:paraId="62F80F29"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Запрос баланса Счета Карты в банкоматах других банков</w:t>
            </w:r>
            <w:r w:rsidRPr="00AE7485">
              <w:rPr>
                <w:rFonts w:ascii="Tahoma" w:hAnsi="Tahoma" w:cs="Tahoma"/>
                <w:bCs/>
                <w:iCs/>
                <w:sz w:val="22"/>
                <w:szCs w:val="22"/>
                <w:vertAlign w:val="superscript"/>
              </w:rPr>
              <w:footnoteReference w:id="182"/>
            </w:r>
          </w:p>
        </w:tc>
        <w:tc>
          <w:tcPr>
            <w:tcW w:w="2839" w:type="pct"/>
            <w:vMerge/>
            <w:shd w:val="clear" w:color="auto" w:fill="auto"/>
            <w:vAlign w:val="center"/>
          </w:tcPr>
          <w:p w14:paraId="616A8BF5" w14:textId="77777777" w:rsidR="00AE7485" w:rsidRPr="00AE7485" w:rsidRDefault="00AE7485" w:rsidP="00AE7485">
            <w:pPr>
              <w:tabs>
                <w:tab w:val="left" w:pos="4889"/>
              </w:tabs>
              <w:jc w:val="center"/>
              <w:rPr>
                <w:rFonts w:ascii="Tahoma" w:hAnsi="Tahoma" w:cs="Tahoma"/>
                <w:bCs/>
                <w:iCs/>
                <w:sz w:val="22"/>
                <w:szCs w:val="22"/>
              </w:rPr>
            </w:pPr>
          </w:p>
        </w:tc>
      </w:tr>
      <w:tr w:rsidR="00AE7485" w:rsidRPr="00AE7485" w14:paraId="41644055" w14:textId="77777777" w:rsidTr="00AE7485">
        <w:trPr>
          <w:trHeight w:val="435"/>
        </w:trPr>
        <w:tc>
          <w:tcPr>
            <w:tcW w:w="318" w:type="pct"/>
            <w:shd w:val="clear" w:color="auto" w:fill="595959"/>
            <w:vAlign w:val="center"/>
          </w:tcPr>
          <w:p w14:paraId="33E86B37" w14:textId="77777777" w:rsidR="00AE7485" w:rsidRPr="00AE7485" w:rsidRDefault="00AE7485" w:rsidP="00AE7485">
            <w:pPr>
              <w:tabs>
                <w:tab w:val="left" w:pos="284"/>
              </w:tabs>
              <w:rPr>
                <w:rFonts w:ascii="Tahoma" w:hAnsi="Tahoma" w:cs="Tahoma"/>
                <w:b/>
                <w:bCs/>
                <w:iCs/>
                <w:color w:val="FFFFFF"/>
                <w:sz w:val="22"/>
                <w:szCs w:val="22"/>
              </w:rPr>
            </w:pPr>
            <w:r w:rsidRPr="00AE7485">
              <w:rPr>
                <w:rFonts w:ascii="Tahoma" w:hAnsi="Tahoma" w:cs="Tahoma"/>
                <w:b/>
                <w:bCs/>
                <w:iCs/>
                <w:color w:val="FFFFFF"/>
                <w:sz w:val="22"/>
                <w:szCs w:val="22"/>
              </w:rPr>
              <w:t>4.</w:t>
            </w:r>
          </w:p>
        </w:tc>
        <w:tc>
          <w:tcPr>
            <w:tcW w:w="4682" w:type="pct"/>
            <w:gridSpan w:val="2"/>
            <w:shd w:val="clear" w:color="auto" w:fill="595959"/>
            <w:vAlign w:val="center"/>
          </w:tcPr>
          <w:p w14:paraId="7665FB3D" w14:textId="77777777" w:rsidR="00AE7485" w:rsidRPr="00AE7485" w:rsidRDefault="00AE7485" w:rsidP="00AE7485">
            <w:pPr>
              <w:tabs>
                <w:tab w:val="left" w:pos="4889"/>
              </w:tabs>
              <w:rPr>
                <w:rFonts w:ascii="Tahoma" w:hAnsi="Tahoma" w:cs="Tahoma"/>
                <w:b/>
                <w:bCs/>
                <w:iCs/>
                <w:color w:val="FFFFFF"/>
                <w:sz w:val="22"/>
                <w:szCs w:val="22"/>
              </w:rPr>
            </w:pPr>
            <w:r w:rsidRPr="00AE7485">
              <w:rPr>
                <w:rFonts w:ascii="Tahoma" w:hAnsi="Tahoma" w:cs="Tahoma"/>
                <w:b/>
                <w:bCs/>
                <w:iCs/>
                <w:color w:val="FFFFFF"/>
                <w:sz w:val="22"/>
                <w:szCs w:val="22"/>
              </w:rPr>
              <w:t>Условия обслуживания операций с наличными денежными средствами посредством Карты</w:t>
            </w:r>
          </w:p>
        </w:tc>
      </w:tr>
      <w:tr w:rsidR="00AE7485" w:rsidRPr="00AE7485" w14:paraId="38795ACE" w14:textId="77777777" w:rsidTr="00AE7485">
        <w:tc>
          <w:tcPr>
            <w:tcW w:w="318" w:type="pct"/>
            <w:shd w:val="clear" w:color="auto" w:fill="595959"/>
            <w:vAlign w:val="center"/>
          </w:tcPr>
          <w:p w14:paraId="3E04C962" w14:textId="77777777" w:rsidR="00AE7485" w:rsidRPr="00AE7485" w:rsidRDefault="00AE7485" w:rsidP="00AE7485">
            <w:pPr>
              <w:tabs>
                <w:tab w:val="left" w:pos="284"/>
              </w:tabs>
              <w:rPr>
                <w:rFonts w:ascii="Tahoma" w:hAnsi="Tahoma" w:cs="Tahoma"/>
                <w:b/>
                <w:bCs/>
                <w:iCs/>
                <w:color w:val="FFFFFF"/>
                <w:sz w:val="22"/>
                <w:szCs w:val="22"/>
              </w:rPr>
            </w:pPr>
            <w:r w:rsidRPr="00AE7485">
              <w:rPr>
                <w:rFonts w:ascii="Tahoma" w:hAnsi="Tahoma" w:cs="Tahoma"/>
                <w:b/>
                <w:bCs/>
                <w:iCs/>
                <w:color w:val="FFFFFF"/>
                <w:sz w:val="22"/>
                <w:szCs w:val="22"/>
              </w:rPr>
              <w:t>4.1.</w:t>
            </w:r>
          </w:p>
        </w:tc>
        <w:tc>
          <w:tcPr>
            <w:tcW w:w="4682" w:type="pct"/>
            <w:gridSpan w:val="2"/>
            <w:shd w:val="clear" w:color="auto" w:fill="595959"/>
            <w:vAlign w:val="center"/>
          </w:tcPr>
          <w:p w14:paraId="58AE7989" w14:textId="77777777" w:rsidR="00AE7485" w:rsidRPr="00AE7485" w:rsidRDefault="00AE7485" w:rsidP="00AE7485">
            <w:pPr>
              <w:tabs>
                <w:tab w:val="left" w:pos="4889"/>
              </w:tabs>
              <w:rPr>
                <w:rFonts w:ascii="Tahoma" w:hAnsi="Tahoma" w:cs="Tahoma"/>
                <w:b/>
                <w:bCs/>
                <w:iCs/>
                <w:color w:val="FFFFFF"/>
                <w:sz w:val="22"/>
                <w:szCs w:val="22"/>
              </w:rPr>
            </w:pPr>
            <w:r w:rsidRPr="00AE7485">
              <w:rPr>
                <w:rFonts w:ascii="Tahoma" w:hAnsi="Tahoma" w:cs="Tahoma"/>
                <w:b/>
                <w:bCs/>
                <w:iCs/>
                <w:color w:val="FFFFFF"/>
                <w:sz w:val="22"/>
                <w:szCs w:val="22"/>
              </w:rPr>
              <w:t>Лимиты совершения операций выдачи наличных в банкоматах и в пунктах выдачи наличных любых банков, включая Банка, с одного Счета Карты Клиента</w:t>
            </w:r>
            <w:r w:rsidRPr="00AE7485">
              <w:rPr>
                <w:rFonts w:ascii="Tahoma" w:hAnsi="Tahoma" w:cs="Tahoma"/>
                <w:b/>
                <w:bCs/>
                <w:iCs/>
                <w:color w:val="FFFFFF"/>
                <w:sz w:val="22"/>
                <w:szCs w:val="22"/>
                <w:vertAlign w:val="superscript"/>
              </w:rPr>
              <w:footnoteReference w:id="183"/>
            </w:r>
          </w:p>
        </w:tc>
      </w:tr>
      <w:tr w:rsidR="00AE7485" w:rsidRPr="00AE7485" w14:paraId="11B25631" w14:textId="77777777" w:rsidTr="00B86BDE">
        <w:trPr>
          <w:trHeight w:val="367"/>
        </w:trPr>
        <w:tc>
          <w:tcPr>
            <w:tcW w:w="318" w:type="pct"/>
            <w:vMerge w:val="restart"/>
            <w:shd w:val="clear" w:color="auto" w:fill="auto"/>
            <w:vAlign w:val="center"/>
          </w:tcPr>
          <w:p w14:paraId="229D691B"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4.1.1.</w:t>
            </w:r>
          </w:p>
        </w:tc>
        <w:tc>
          <w:tcPr>
            <w:tcW w:w="1843" w:type="pct"/>
            <w:vMerge w:val="restart"/>
            <w:shd w:val="clear" w:color="auto" w:fill="auto"/>
            <w:vAlign w:val="center"/>
          </w:tcPr>
          <w:p w14:paraId="0BD5E33D"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 xml:space="preserve">Ежедневно </w:t>
            </w:r>
          </w:p>
          <w:p w14:paraId="277B5801"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(с 00 до 24 чч. московского времени включительно)</w:t>
            </w:r>
          </w:p>
        </w:tc>
        <w:tc>
          <w:tcPr>
            <w:tcW w:w="2839" w:type="pct"/>
            <w:shd w:val="clear" w:color="auto" w:fill="auto"/>
            <w:vAlign w:val="center"/>
          </w:tcPr>
          <w:p w14:paraId="41EBE4B9"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Карта в рублях: </w:t>
            </w:r>
            <w:r w:rsidRPr="00AE7485">
              <w:rPr>
                <w:rFonts w:ascii="Tahoma" w:hAnsi="Tahoma" w:cs="Tahoma"/>
                <w:b/>
                <w:bCs/>
                <w:iCs/>
                <w:sz w:val="22"/>
                <w:szCs w:val="22"/>
              </w:rPr>
              <w:t>500 000 рублей</w:t>
            </w:r>
          </w:p>
        </w:tc>
      </w:tr>
      <w:tr w:rsidR="00AE7485" w:rsidRPr="00AE7485" w14:paraId="0E9304FA" w14:textId="77777777" w:rsidTr="00B86BDE">
        <w:trPr>
          <w:trHeight w:val="428"/>
        </w:trPr>
        <w:tc>
          <w:tcPr>
            <w:tcW w:w="318" w:type="pct"/>
            <w:vMerge/>
            <w:shd w:val="clear" w:color="auto" w:fill="auto"/>
            <w:vAlign w:val="center"/>
          </w:tcPr>
          <w:p w14:paraId="01A14622" w14:textId="77777777" w:rsidR="00AE7485" w:rsidRPr="00AE7485" w:rsidRDefault="00AE7485" w:rsidP="00AE7485">
            <w:pPr>
              <w:tabs>
                <w:tab w:val="left" w:pos="284"/>
              </w:tabs>
              <w:rPr>
                <w:rFonts w:ascii="Tahoma" w:hAnsi="Tahoma" w:cs="Tahoma"/>
                <w:bCs/>
                <w:iCs/>
                <w:sz w:val="22"/>
                <w:szCs w:val="22"/>
              </w:rPr>
            </w:pPr>
          </w:p>
        </w:tc>
        <w:tc>
          <w:tcPr>
            <w:tcW w:w="1843" w:type="pct"/>
            <w:vMerge/>
            <w:shd w:val="clear" w:color="auto" w:fill="auto"/>
            <w:vAlign w:val="center"/>
          </w:tcPr>
          <w:p w14:paraId="230C3FE6" w14:textId="77777777" w:rsidR="00AE7485" w:rsidRPr="00AE7485" w:rsidRDefault="00AE7485" w:rsidP="00AE7485">
            <w:pPr>
              <w:tabs>
                <w:tab w:val="left" w:pos="4889"/>
              </w:tabs>
              <w:rPr>
                <w:rFonts w:ascii="Tahoma" w:hAnsi="Tahoma" w:cs="Tahoma"/>
                <w:bCs/>
                <w:iCs/>
                <w:sz w:val="22"/>
                <w:szCs w:val="22"/>
              </w:rPr>
            </w:pPr>
          </w:p>
        </w:tc>
        <w:tc>
          <w:tcPr>
            <w:tcW w:w="2839" w:type="pct"/>
            <w:shd w:val="clear" w:color="auto" w:fill="auto"/>
            <w:vAlign w:val="center"/>
          </w:tcPr>
          <w:p w14:paraId="27FC2137"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Карта в юанях: </w:t>
            </w:r>
            <w:r w:rsidRPr="00AE7485">
              <w:rPr>
                <w:rFonts w:ascii="Tahoma" w:hAnsi="Tahoma" w:cs="Tahoma"/>
                <w:b/>
                <w:bCs/>
                <w:iCs/>
                <w:sz w:val="22"/>
                <w:szCs w:val="22"/>
              </w:rPr>
              <w:t>40 000 юаней</w:t>
            </w:r>
          </w:p>
        </w:tc>
      </w:tr>
      <w:tr w:rsidR="00AE7485" w:rsidRPr="00AE7485" w14:paraId="4FECF7C3" w14:textId="77777777" w:rsidTr="00B86BDE">
        <w:trPr>
          <w:trHeight w:val="398"/>
        </w:trPr>
        <w:tc>
          <w:tcPr>
            <w:tcW w:w="318" w:type="pct"/>
            <w:vMerge w:val="restart"/>
            <w:shd w:val="clear" w:color="auto" w:fill="auto"/>
            <w:vAlign w:val="center"/>
          </w:tcPr>
          <w:p w14:paraId="39329950"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4.1.2.</w:t>
            </w:r>
          </w:p>
        </w:tc>
        <w:tc>
          <w:tcPr>
            <w:tcW w:w="1843" w:type="pct"/>
            <w:vMerge w:val="restart"/>
            <w:shd w:val="clear" w:color="auto" w:fill="auto"/>
            <w:vAlign w:val="center"/>
          </w:tcPr>
          <w:p w14:paraId="653073E1"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 xml:space="preserve">Ежемесячно </w:t>
            </w:r>
          </w:p>
          <w:p w14:paraId="0EDA70C8"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(с 00 ч. первого числа месяца до 24 ч. последнего числа месяца московского времени включительно)</w:t>
            </w:r>
          </w:p>
        </w:tc>
        <w:tc>
          <w:tcPr>
            <w:tcW w:w="2839" w:type="pct"/>
            <w:shd w:val="clear" w:color="auto" w:fill="auto"/>
            <w:vAlign w:val="center"/>
          </w:tcPr>
          <w:p w14:paraId="6D256DAA"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Карта в рублях: </w:t>
            </w:r>
            <w:r w:rsidRPr="00AE7485">
              <w:rPr>
                <w:rFonts w:ascii="Tahoma" w:hAnsi="Tahoma" w:cs="Tahoma"/>
                <w:b/>
                <w:bCs/>
                <w:iCs/>
                <w:sz w:val="22"/>
                <w:szCs w:val="22"/>
              </w:rPr>
              <w:t>1 500 000 рублей</w:t>
            </w:r>
          </w:p>
        </w:tc>
      </w:tr>
      <w:tr w:rsidR="00AE7485" w:rsidRPr="00AE7485" w14:paraId="47306097" w14:textId="77777777" w:rsidTr="00B86BDE">
        <w:trPr>
          <w:trHeight w:val="397"/>
        </w:trPr>
        <w:tc>
          <w:tcPr>
            <w:tcW w:w="318" w:type="pct"/>
            <w:vMerge/>
            <w:shd w:val="clear" w:color="auto" w:fill="auto"/>
            <w:vAlign w:val="center"/>
          </w:tcPr>
          <w:p w14:paraId="50E9C7FC" w14:textId="77777777" w:rsidR="00AE7485" w:rsidRPr="00AE7485" w:rsidRDefault="00AE7485" w:rsidP="00AE7485">
            <w:pPr>
              <w:tabs>
                <w:tab w:val="left" w:pos="284"/>
              </w:tabs>
              <w:rPr>
                <w:rFonts w:ascii="Tahoma" w:hAnsi="Tahoma" w:cs="Tahoma"/>
                <w:bCs/>
                <w:iCs/>
                <w:sz w:val="22"/>
                <w:szCs w:val="22"/>
              </w:rPr>
            </w:pPr>
          </w:p>
        </w:tc>
        <w:tc>
          <w:tcPr>
            <w:tcW w:w="1843" w:type="pct"/>
            <w:vMerge/>
            <w:shd w:val="clear" w:color="auto" w:fill="auto"/>
            <w:vAlign w:val="center"/>
          </w:tcPr>
          <w:p w14:paraId="33A9E7B6" w14:textId="77777777" w:rsidR="00AE7485" w:rsidRPr="00AE7485" w:rsidRDefault="00AE7485" w:rsidP="00AE7485">
            <w:pPr>
              <w:tabs>
                <w:tab w:val="left" w:pos="4889"/>
              </w:tabs>
              <w:rPr>
                <w:rFonts w:ascii="Tahoma" w:hAnsi="Tahoma" w:cs="Tahoma"/>
                <w:bCs/>
                <w:iCs/>
                <w:sz w:val="22"/>
                <w:szCs w:val="22"/>
              </w:rPr>
            </w:pPr>
          </w:p>
        </w:tc>
        <w:tc>
          <w:tcPr>
            <w:tcW w:w="2839" w:type="pct"/>
            <w:shd w:val="clear" w:color="auto" w:fill="auto"/>
            <w:vAlign w:val="center"/>
          </w:tcPr>
          <w:p w14:paraId="182B10CE"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Карта в юанях: </w:t>
            </w:r>
            <w:r w:rsidRPr="00AE7485">
              <w:rPr>
                <w:rFonts w:ascii="Tahoma" w:hAnsi="Tahoma" w:cs="Tahoma"/>
                <w:b/>
                <w:bCs/>
                <w:iCs/>
                <w:sz w:val="22"/>
                <w:szCs w:val="22"/>
              </w:rPr>
              <w:t>115 000 юаней</w:t>
            </w:r>
          </w:p>
        </w:tc>
      </w:tr>
      <w:tr w:rsidR="00AE7485" w:rsidRPr="00AE7485" w14:paraId="03027281" w14:textId="77777777" w:rsidTr="00AE7485">
        <w:trPr>
          <w:trHeight w:val="397"/>
        </w:trPr>
        <w:tc>
          <w:tcPr>
            <w:tcW w:w="318" w:type="pct"/>
            <w:shd w:val="clear" w:color="auto" w:fill="595959"/>
            <w:vAlign w:val="center"/>
          </w:tcPr>
          <w:p w14:paraId="25F64BB6" w14:textId="77777777" w:rsidR="00AE7485" w:rsidRPr="00AE7485" w:rsidRDefault="00AE7485" w:rsidP="00AE7485">
            <w:pPr>
              <w:tabs>
                <w:tab w:val="left" w:pos="284"/>
              </w:tabs>
              <w:rPr>
                <w:rFonts w:ascii="Tahoma" w:hAnsi="Tahoma" w:cs="Tahoma"/>
                <w:b/>
                <w:bCs/>
                <w:iCs/>
                <w:color w:val="FFFFFF"/>
                <w:sz w:val="22"/>
                <w:szCs w:val="22"/>
              </w:rPr>
            </w:pPr>
            <w:r w:rsidRPr="00AE7485">
              <w:rPr>
                <w:rFonts w:ascii="Tahoma" w:hAnsi="Tahoma" w:cs="Tahoma"/>
                <w:b/>
                <w:bCs/>
                <w:iCs/>
                <w:color w:val="FFFFFF"/>
                <w:sz w:val="22"/>
                <w:szCs w:val="22"/>
              </w:rPr>
              <w:t>4.2.</w:t>
            </w:r>
          </w:p>
        </w:tc>
        <w:tc>
          <w:tcPr>
            <w:tcW w:w="4682" w:type="pct"/>
            <w:gridSpan w:val="2"/>
            <w:shd w:val="clear" w:color="auto" w:fill="595959"/>
            <w:vAlign w:val="center"/>
          </w:tcPr>
          <w:p w14:paraId="74C34A33" w14:textId="77777777" w:rsidR="00AE7485" w:rsidRPr="00AE7485" w:rsidRDefault="00AE7485" w:rsidP="00AE7485">
            <w:pPr>
              <w:tabs>
                <w:tab w:val="left" w:pos="4889"/>
              </w:tabs>
              <w:rPr>
                <w:rFonts w:ascii="Tahoma" w:hAnsi="Tahoma" w:cs="Tahoma"/>
                <w:b/>
                <w:bCs/>
                <w:iCs/>
                <w:color w:val="FFFFFF"/>
                <w:sz w:val="22"/>
                <w:szCs w:val="22"/>
              </w:rPr>
            </w:pPr>
            <w:r w:rsidRPr="00AE7485">
              <w:rPr>
                <w:rFonts w:ascii="Tahoma" w:hAnsi="Tahoma" w:cs="Tahoma"/>
                <w:b/>
                <w:bCs/>
                <w:iCs/>
                <w:color w:val="FFFFFF"/>
                <w:sz w:val="22"/>
                <w:szCs w:val="22"/>
              </w:rPr>
              <w:t>Лимиты совершения операции выдачи наличных в ТСП</w:t>
            </w:r>
            <w:r w:rsidRPr="00AE7485">
              <w:rPr>
                <w:rFonts w:ascii="Tahoma" w:hAnsi="Tahoma" w:cs="Tahoma"/>
                <w:b/>
                <w:bCs/>
                <w:iCs/>
                <w:color w:val="FFFFFF"/>
                <w:sz w:val="22"/>
                <w:szCs w:val="22"/>
                <w:vertAlign w:val="superscript"/>
              </w:rPr>
              <w:footnoteReference w:id="184"/>
            </w:r>
            <w:r w:rsidRPr="00AE7485">
              <w:rPr>
                <w:rFonts w:ascii="Tahoma" w:hAnsi="Tahoma" w:cs="Tahoma"/>
                <w:b/>
                <w:bCs/>
                <w:iCs/>
                <w:color w:val="FFFFFF"/>
                <w:sz w:val="22"/>
                <w:szCs w:val="22"/>
              </w:rPr>
              <w:t>, предоставляющих услугу выдачи наличных денежных средств при совершении покупки, с одного Счета Карты Клиента</w:t>
            </w:r>
            <w:r w:rsidRPr="00AE7485">
              <w:rPr>
                <w:rFonts w:ascii="Tahoma" w:hAnsi="Tahoma" w:cs="Tahoma"/>
                <w:b/>
                <w:bCs/>
                <w:iCs/>
                <w:color w:val="FFFFFF"/>
                <w:sz w:val="22"/>
                <w:szCs w:val="22"/>
                <w:vertAlign w:val="superscript"/>
              </w:rPr>
              <w:footnoteReference w:id="185"/>
            </w:r>
          </w:p>
        </w:tc>
      </w:tr>
      <w:tr w:rsidR="00AE7485" w:rsidRPr="00AE7485" w14:paraId="78FB06ED" w14:textId="77777777" w:rsidTr="00B86BDE">
        <w:trPr>
          <w:trHeight w:val="397"/>
        </w:trPr>
        <w:tc>
          <w:tcPr>
            <w:tcW w:w="318" w:type="pct"/>
            <w:shd w:val="clear" w:color="auto" w:fill="auto"/>
            <w:vAlign w:val="center"/>
          </w:tcPr>
          <w:p w14:paraId="0FEF689A"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4.2.1.</w:t>
            </w:r>
          </w:p>
        </w:tc>
        <w:tc>
          <w:tcPr>
            <w:tcW w:w="1843" w:type="pct"/>
            <w:shd w:val="clear" w:color="auto" w:fill="auto"/>
            <w:vAlign w:val="center"/>
          </w:tcPr>
          <w:p w14:paraId="6E8C9617"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 xml:space="preserve">Ежедневно </w:t>
            </w:r>
          </w:p>
          <w:p w14:paraId="2266DF67"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(с 00 до 24 чч. московского времени включительно)</w:t>
            </w:r>
          </w:p>
        </w:tc>
        <w:tc>
          <w:tcPr>
            <w:tcW w:w="2839" w:type="pct"/>
            <w:shd w:val="clear" w:color="auto" w:fill="auto"/>
            <w:vAlign w:val="center"/>
          </w:tcPr>
          <w:p w14:paraId="5F952D63" w14:textId="77777777" w:rsidR="00AE7485" w:rsidRPr="00AE7485" w:rsidRDefault="00AE7485" w:rsidP="00AE7485">
            <w:pPr>
              <w:tabs>
                <w:tab w:val="left" w:pos="4889"/>
              </w:tabs>
              <w:jc w:val="center"/>
              <w:rPr>
                <w:rFonts w:ascii="Tahoma" w:hAnsi="Tahoma" w:cs="Tahoma"/>
                <w:b/>
                <w:bCs/>
                <w:iCs/>
                <w:sz w:val="22"/>
                <w:szCs w:val="22"/>
              </w:rPr>
            </w:pPr>
            <w:r w:rsidRPr="00AE7485">
              <w:rPr>
                <w:rFonts w:ascii="Tahoma" w:hAnsi="Tahoma" w:cs="Tahoma"/>
                <w:b/>
                <w:bCs/>
                <w:iCs/>
                <w:sz w:val="22"/>
                <w:szCs w:val="22"/>
              </w:rPr>
              <w:t>5 000 рублей</w:t>
            </w:r>
          </w:p>
        </w:tc>
      </w:tr>
      <w:tr w:rsidR="00AE7485" w:rsidRPr="00AE7485" w14:paraId="738E2B41" w14:textId="77777777" w:rsidTr="00B86BDE">
        <w:trPr>
          <w:trHeight w:val="397"/>
        </w:trPr>
        <w:tc>
          <w:tcPr>
            <w:tcW w:w="318" w:type="pct"/>
            <w:shd w:val="clear" w:color="auto" w:fill="auto"/>
            <w:vAlign w:val="center"/>
          </w:tcPr>
          <w:p w14:paraId="5145BBBD"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4.2.2.</w:t>
            </w:r>
          </w:p>
        </w:tc>
        <w:tc>
          <w:tcPr>
            <w:tcW w:w="1843" w:type="pct"/>
            <w:shd w:val="clear" w:color="auto" w:fill="auto"/>
            <w:vAlign w:val="center"/>
          </w:tcPr>
          <w:p w14:paraId="7B40356C"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 xml:space="preserve">Ежемесячно </w:t>
            </w:r>
          </w:p>
          <w:p w14:paraId="694E626C"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(с 00 ч. первого числа месяца по 24 ч. последнего числа месяца московского времени включительно)</w:t>
            </w:r>
          </w:p>
        </w:tc>
        <w:tc>
          <w:tcPr>
            <w:tcW w:w="2839" w:type="pct"/>
            <w:shd w:val="clear" w:color="auto" w:fill="auto"/>
            <w:vAlign w:val="center"/>
          </w:tcPr>
          <w:p w14:paraId="7F22C28A" w14:textId="77777777" w:rsidR="00AE7485" w:rsidRPr="00AE7485" w:rsidRDefault="00AE7485" w:rsidP="00AE7485">
            <w:pPr>
              <w:tabs>
                <w:tab w:val="left" w:pos="4889"/>
              </w:tabs>
              <w:jc w:val="center"/>
              <w:rPr>
                <w:rFonts w:ascii="Tahoma" w:hAnsi="Tahoma" w:cs="Tahoma"/>
                <w:b/>
                <w:bCs/>
                <w:iCs/>
                <w:sz w:val="22"/>
                <w:szCs w:val="22"/>
              </w:rPr>
            </w:pPr>
            <w:r w:rsidRPr="00AE7485">
              <w:rPr>
                <w:rFonts w:ascii="Tahoma" w:hAnsi="Tahoma" w:cs="Tahoma"/>
                <w:b/>
                <w:bCs/>
                <w:iCs/>
                <w:sz w:val="22"/>
                <w:szCs w:val="22"/>
              </w:rPr>
              <w:t>30 000 рублей</w:t>
            </w:r>
          </w:p>
        </w:tc>
      </w:tr>
      <w:tr w:rsidR="00AE7485" w:rsidRPr="00AE7485" w14:paraId="4B8920D7" w14:textId="77777777" w:rsidTr="00AE7485">
        <w:trPr>
          <w:trHeight w:val="397"/>
        </w:trPr>
        <w:tc>
          <w:tcPr>
            <w:tcW w:w="318" w:type="pct"/>
            <w:shd w:val="clear" w:color="auto" w:fill="595959"/>
            <w:vAlign w:val="center"/>
          </w:tcPr>
          <w:p w14:paraId="301E5805" w14:textId="77777777" w:rsidR="00AE7485" w:rsidRPr="00AE7485" w:rsidRDefault="00AE7485" w:rsidP="00AE7485">
            <w:pPr>
              <w:tabs>
                <w:tab w:val="left" w:pos="284"/>
              </w:tabs>
              <w:rPr>
                <w:rFonts w:ascii="Tahoma" w:hAnsi="Tahoma" w:cs="Tahoma"/>
                <w:b/>
                <w:bCs/>
                <w:iCs/>
                <w:color w:val="FFFFFF"/>
                <w:sz w:val="22"/>
                <w:szCs w:val="22"/>
              </w:rPr>
            </w:pPr>
            <w:r w:rsidRPr="00AE7485">
              <w:rPr>
                <w:rFonts w:ascii="Tahoma" w:hAnsi="Tahoma" w:cs="Tahoma"/>
                <w:b/>
                <w:bCs/>
                <w:iCs/>
                <w:color w:val="FFFFFF"/>
                <w:sz w:val="22"/>
                <w:szCs w:val="22"/>
              </w:rPr>
              <w:t>4.3.</w:t>
            </w:r>
          </w:p>
        </w:tc>
        <w:tc>
          <w:tcPr>
            <w:tcW w:w="4682" w:type="pct"/>
            <w:gridSpan w:val="2"/>
            <w:shd w:val="clear" w:color="auto" w:fill="595959"/>
            <w:vAlign w:val="center"/>
          </w:tcPr>
          <w:p w14:paraId="172397F4" w14:textId="77777777" w:rsidR="00AE7485" w:rsidRPr="00AE7485" w:rsidRDefault="00AE7485" w:rsidP="00AE7485">
            <w:pPr>
              <w:tabs>
                <w:tab w:val="left" w:pos="4889"/>
              </w:tabs>
              <w:rPr>
                <w:rFonts w:ascii="Tahoma" w:hAnsi="Tahoma" w:cs="Tahoma"/>
                <w:b/>
                <w:bCs/>
                <w:iCs/>
                <w:color w:val="FFFFFF"/>
                <w:sz w:val="22"/>
                <w:szCs w:val="22"/>
              </w:rPr>
            </w:pPr>
            <w:r w:rsidRPr="00AE7485">
              <w:rPr>
                <w:rFonts w:ascii="Tahoma" w:hAnsi="Tahoma" w:cs="Tahoma"/>
                <w:b/>
                <w:bCs/>
                <w:iCs/>
                <w:color w:val="FFFFFF"/>
                <w:sz w:val="22"/>
                <w:szCs w:val="22"/>
              </w:rPr>
              <w:t>Выдача наличных денежных средств посредством Карты (с учетом лимитов совершения операций выдачи наличных)</w:t>
            </w:r>
            <w:r w:rsidRPr="00AE7485">
              <w:rPr>
                <w:rFonts w:ascii="Tahoma" w:hAnsi="Tahoma" w:cs="Tahoma"/>
                <w:b/>
                <w:bCs/>
                <w:iCs/>
                <w:color w:val="FFFFFF"/>
                <w:sz w:val="22"/>
                <w:szCs w:val="22"/>
                <w:vertAlign w:val="superscript"/>
              </w:rPr>
              <w:footnoteReference w:id="186"/>
            </w:r>
          </w:p>
        </w:tc>
      </w:tr>
      <w:tr w:rsidR="00AE7485" w:rsidRPr="00AE7485" w14:paraId="51FF21AD" w14:textId="77777777" w:rsidTr="00B86BDE">
        <w:trPr>
          <w:trHeight w:val="566"/>
        </w:trPr>
        <w:tc>
          <w:tcPr>
            <w:tcW w:w="318" w:type="pct"/>
            <w:shd w:val="clear" w:color="auto" w:fill="auto"/>
            <w:vAlign w:val="center"/>
          </w:tcPr>
          <w:p w14:paraId="66BDB098"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4.3.1.</w:t>
            </w:r>
          </w:p>
        </w:tc>
        <w:tc>
          <w:tcPr>
            <w:tcW w:w="1843" w:type="pct"/>
            <w:shd w:val="clear" w:color="auto" w:fill="auto"/>
            <w:vAlign w:val="center"/>
          </w:tcPr>
          <w:p w14:paraId="162CA4EB"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В банкоматах и пунктах выдачи наличных</w:t>
            </w:r>
            <w:r w:rsidRPr="00AE7485">
              <w:rPr>
                <w:rFonts w:ascii="Tahoma" w:hAnsi="Tahoma" w:cs="Tahoma"/>
                <w:bCs/>
                <w:iCs/>
                <w:sz w:val="22"/>
                <w:szCs w:val="22"/>
                <w:vertAlign w:val="superscript"/>
              </w:rPr>
              <w:footnoteReference w:id="187"/>
            </w:r>
            <w:r w:rsidRPr="00AE7485">
              <w:rPr>
                <w:rFonts w:ascii="Tahoma" w:hAnsi="Tahoma" w:cs="Tahoma"/>
                <w:bCs/>
                <w:iCs/>
                <w:sz w:val="22"/>
                <w:szCs w:val="22"/>
              </w:rPr>
              <w:t xml:space="preserve"> любых банков</w:t>
            </w:r>
            <w:r w:rsidRPr="00AE7485">
              <w:rPr>
                <w:rFonts w:ascii="Tahoma" w:hAnsi="Tahoma" w:cs="Tahoma"/>
                <w:bCs/>
                <w:iCs/>
                <w:sz w:val="22"/>
                <w:szCs w:val="22"/>
                <w:vertAlign w:val="superscript"/>
              </w:rPr>
              <w:footnoteReference w:id="188"/>
            </w:r>
            <w:r w:rsidRPr="00AE7485">
              <w:rPr>
                <w:rFonts w:ascii="Tahoma" w:hAnsi="Tahoma" w:cs="Tahoma"/>
                <w:bCs/>
                <w:iCs/>
                <w:sz w:val="22"/>
                <w:szCs w:val="22"/>
              </w:rPr>
              <w:t>, включая Банка</w:t>
            </w:r>
          </w:p>
        </w:tc>
        <w:tc>
          <w:tcPr>
            <w:tcW w:w="2839" w:type="pct"/>
            <w:vMerge w:val="restart"/>
            <w:shd w:val="clear" w:color="auto" w:fill="auto"/>
            <w:vAlign w:val="center"/>
          </w:tcPr>
          <w:p w14:paraId="49BF7BD9" w14:textId="77777777" w:rsidR="00AE7485" w:rsidRPr="00AE7485" w:rsidRDefault="00AE7485" w:rsidP="00AE7485">
            <w:pPr>
              <w:tabs>
                <w:tab w:val="left" w:pos="4889"/>
              </w:tabs>
              <w:jc w:val="center"/>
              <w:rPr>
                <w:rFonts w:ascii="Tahoma" w:hAnsi="Tahoma" w:cs="Tahoma"/>
                <w:b/>
                <w:bCs/>
                <w:iCs/>
                <w:sz w:val="22"/>
                <w:szCs w:val="22"/>
              </w:rPr>
            </w:pPr>
            <w:r w:rsidRPr="00AE7485">
              <w:rPr>
                <w:rFonts w:ascii="Tahoma" w:hAnsi="Tahoma" w:cs="Tahoma"/>
                <w:b/>
                <w:bCs/>
                <w:iCs/>
                <w:sz w:val="22"/>
                <w:szCs w:val="22"/>
              </w:rPr>
              <w:t>БЕСПЛАТНО</w:t>
            </w:r>
          </w:p>
        </w:tc>
      </w:tr>
      <w:tr w:rsidR="00AE7485" w:rsidRPr="00AE7485" w14:paraId="454F4BA4" w14:textId="77777777" w:rsidTr="00B86BDE">
        <w:trPr>
          <w:trHeight w:val="711"/>
        </w:trPr>
        <w:tc>
          <w:tcPr>
            <w:tcW w:w="318" w:type="pct"/>
            <w:shd w:val="clear" w:color="auto" w:fill="auto"/>
            <w:vAlign w:val="center"/>
          </w:tcPr>
          <w:p w14:paraId="43BBCEA0"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4.3.2.</w:t>
            </w:r>
          </w:p>
        </w:tc>
        <w:tc>
          <w:tcPr>
            <w:tcW w:w="1843" w:type="pct"/>
            <w:shd w:val="clear" w:color="auto" w:fill="auto"/>
            <w:vAlign w:val="center"/>
          </w:tcPr>
          <w:p w14:paraId="16F2B5BB"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В ТСП, предоставляющих услугу выдачи наличных денежных средств при совершении покупки</w:t>
            </w:r>
            <w:r w:rsidRPr="00AE7485">
              <w:rPr>
                <w:rFonts w:ascii="Tahoma" w:hAnsi="Tahoma" w:cs="Tahoma"/>
                <w:bCs/>
                <w:iCs/>
                <w:sz w:val="22"/>
                <w:szCs w:val="22"/>
                <w:vertAlign w:val="superscript"/>
              </w:rPr>
              <w:footnoteReference w:id="189"/>
            </w:r>
          </w:p>
        </w:tc>
        <w:tc>
          <w:tcPr>
            <w:tcW w:w="2839" w:type="pct"/>
            <w:vMerge/>
            <w:shd w:val="clear" w:color="auto" w:fill="auto"/>
            <w:vAlign w:val="center"/>
          </w:tcPr>
          <w:p w14:paraId="78328618" w14:textId="77777777" w:rsidR="00AE7485" w:rsidRPr="00AE7485" w:rsidRDefault="00AE7485" w:rsidP="00AE7485">
            <w:pPr>
              <w:tabs>
                <w:tab w:val="left" w:pos="4889"/>
              </w:tabs>
              <w:jc w:val="center"/>
              <w:rPr>
                <w:rFonts w:ascii="Tahoma" w:hAnsi="Tahoma" w:cs="Tahoma"/>
                <w:b/>
                <w:bCs/>
                <w:iCs/>
                <w:sz w:val="22"/>
                <w:szCs w:val="22"/>
              </w:rPr>
            </w:pPr>
          </w:p>
        </w:tc>
      </w:tr>
      <w:tr w:rsidR="00AE7485" w:rsidRPr="00AE7485" w14:paraId="50FA8EC4" w14:textId="77777777" w:rsidTr="00AE7485">
        <w:trPr>
          <w:trHeight w:val="245"/>
        </w:trPr>
        <w:tc>
          <w:tcPr>
            <w:tcW w:w="318" w:type="pct"/>
            <w:shd w:val="clear" w:color="auto" w:fill="595959"/>
            <w:vAlign w:val="center"/>
          </w:tcPr>
          <w:p w14:paraId="0E15B569" w14:textId="77777777" w:rsidR="00AE7485" w:rsidRPr="00AE7485" w:rsidRDefault="00AE7485" w:rsidP="00AE7485">
            <w:pPr>
              <w:tabs>
                <w:tab w:val="left" w:pos="284"/>
              </w:tabs>
              <w:rPr>
                <w:rFonts w:ascii="Tahoma" w:hAnsi="Tahoma" w:cs="Tahoma"/>
                <w:b/>
                <w:bCs/>
                <w:iCs/>
                <w:color w:val="FFFFFF"/>
                <w:sz w:val="22"/>
                <w:szCs w:val="22"/>
              </w:rPr>
            </w:pPr>
            <w:r w:rsidRPr="00AE7485">
              <w:rPr>
                <w:rFonts w:ascii="Tahoma" w:hAnsi="Tahoma" w:cs="Tahoma"/>
                <w:b/>
                <w:bCs/>
                <w:iCs/>
                <w:color w:val="FFFFFF"/>
                <w:sz w:val="22"/>
                <w:szCs w:val="22"/>
              </w:rPr>
              <w:t>4.4.</w:t>
            </w:r>
          </w:p>
        </w:tc>
        <w:tc>
          <w:tcPr>
            <w:tcW w:w="4682" w:type="pct"/>
            <w:gridSpan w:val="2"/>
            <w:shd w:val="clear" w:color="auto" w:fill="595959"/>
            <w:vAlign w:val="center"/>
          </w:tcPr>
          <w:p w14:paraId="71DD4705" w14:textId="77777777" w:rsidR="00AE7485" w:rsidRPr="00AE7485" w:rsidRDefault="00AE7485" w:rsidP="00AE7485">
            <w:pPr>
              <w:tabs>
                <w:tab w:val="left" w:pos="4889"/>
              </w:tabs>
              <w:rPr>
                <w:rFonts w:ascii="Tahoma" w:hAnsi="Tahoma" w:cs="Tahoma"/>
                <w:b/>
                <w:bCs/>
                <w:iCs/>
                <w:color w:val="FFFFFF"/>
                <w:sz w:val="22"/>
                <w:szCs w:val="22"/>
              </w:rPr>
            </w:pPr>
            <w:r w:rsidRPr="00AE7485">
              <w:rPr>
                <w:rFonts w:ascii="Tahoma" w:hAnsi="Tahoma" w:cs="Tahoma"/>
                <w:b/>
                <w:bCs/>
                <w:iCs/>
                <w:color w:val="FFFFFF"/>
                <w:sz w:val="22"/>
                <w:szCs w:val="22"/>
              </w:rPr>
              <w:t>Прием и зачисление наличных денежных средств на Счет Карты с использованием Карты</w:t>
            </w:r>
          </w:p>
        </w:tc>
      </w:tr>
      <w:tr w:rsidR="00AE7485" w:rsidRPr="00AE7485" w14:paraId="34A5316F" w14:textId="77777777" w:rsidTr="00B86BDE">
        <w:trPr>
          <w:trHeight w:val="563"/>
        </w:trPr>
        <w:tc>
          <w:tcPr>
            <w:tcW w:w="318" w:type="pct"/>
            <w:shd w:val="clear" w:color="auto" w:fill="auto"/>
            <w:vAlign w:val="center"/>
          </w:tcPr>
          <w:p w14:paraId="3743CA19"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4.4.1.</w:t>
            </w:r>
          </w:p>
        </w:tc>
        <w:tc>
          <w:tcPr>
            <w:tcW w:w="1843" w:type="pct"/>
            <w:shd w:val="clear" w:color="auto" w:fill="auto"/>
            <w:vAlign w:val="center"/>
          </w:tcPr>
          <w:p w14:paraId="3EACF334"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Через кассы, банкоматы и терминалы самообслуживания Банка</w:t>
            </w:r>
          </w:p>
        </w:tc>
        <w:tc>
          <w:tcPr>
            <w:tcW w:w="2839" w:type="pct"/>
            <w:vMerge w:val="restart"/>
            <w:shd w:val="clear" w:color="auto" w:fill="auto"/>
            <w:vAlign w:val="center"/>
          </w:tcPr>
          <w:p w14:paraId="0BFAEEBB" w14:textId="77777777" w:rsidR="00AE7485" w:rsidRPr="00AE7485" w:rsidRDefault="00AE7485" w:rsidP="00AE7485">
            <w:pPr>
              <w:tabs>
                <w:tab w:val="left" w:pos="4889"/>
              </w:tabs>
              <w:jc w:val="center"/>
              <w:rPr>
                <w:rFonts w:ascii="Tahoma" w:hAnsi="Tahoma" w:cs="Tahoma"/>
                <w:b/>
                <w:bCs/>
                <w:iCs/>
                <w:sz w:val="22"/>
                <w:szCs w:val="22"/>
              </w:rPr>
            </w:pPr>
            <w:r w:rsidRPr="00AE7485">
              <w:rPr>
                <w:rFonts w:ascii="Tahoma" w:hAnsi="Tahoma" w:cs="Tahoma"/>
                <w:b/>
                <w:bCs/>
                <w:iCs/>
                <w:sz w:val="22"/>
                <w:szCs w:val="22"/>
              </w:rPr>
              <w:t>БЕСПЛАТНО</w:t>
            </w:r>
          </w:p>
        </w:tc>
      </w:tr>
      <w:tr w:rsidR="00AE7485" w:rsidRPr="00AE7485" w14:paraId="3DD9F962" w14:textId="77777777" w:rsidTr="00B86BDE">
        <w:trPr>
          <w:trHeight w:val="481"/>
        </w:trPr>
        <w:tc>
          <w:tcPr>
            <w:tcW w:w="318" w:type="pct"/>
            <w:shd w:val="clear" w:color="auto" w:fill="auto"/>
            <w:vAlign w:val="center"/>
          </w:tcPr>
          <w:p w14:paraId="40663D53"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4.4.2.</w:t>
            </w:r>
          </w:p>
        </w:tc>
        <w:tc>
          <w:tcPr>
            <w:tcW w:w="1843" w:type="pct"/>
            <w:shd w:val="clear" w:color="auto" w:fill="auto"/>
            <w:vAlign w:val="center"/>
          </w:tcPr>
          <w:p w14:paraId="2D4B765D"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Через розничные сети других банков</w:t>
            </w:r>
            <w:r w:rsidRPr="00AE7485">
              <w:rPr>
                <w:rFonts w:ascii="Tahoma" w:hAnsi="Tahoma" w:cs="Tahoma"/>
                <w:b/>
                <w:bCs/>
                <w:iCs/>
                <w:sz w:val="22"/>
                <w:szCs w:val="22"/>
                <w:vertAlign w:val="superscript"/>
              </w:rPr>
              <w:footnoteReference w:id="190"/>
            </w:r>
          </w:p>
        </w:tc>
        <w:tc>
          <w:tcPr>
            <w:tcW w:w="2839" w:type="pct"/>
            <w:vMerge/>
            <w:shd w:val="clear" w:color="auto" w:fill="auto"/>
            <w:vAlign w:val="center"/>
          </w:tcPr>
          <w:p w14:paraId="4308A620" w14:textId="77777777" w:rsidR="00AE7485" w:rsidRPr="00AE7485" w:rsidRDefault="00AE7485" w:rsidP="00AE7485">
            <w:pPr>
              <w:tabs>
                <w:tab w:val="left" w:pos="4889"/>
              </w:tabs>
              <w:jc w:val="center"/>
              <w:rPr>
                <w:rFonts w:ascii="Tahoma" w:hAnsi="Tahoma" w:cs="Tahoma"/>
                <w:b/>
                <w:bCs/>
                <w:iCs/>
                <w:sz w:val="22"/>
                <w:szCs w:val="22"/>
              </w:rPr>
            </w:pPr>
          </w:p>
        </w:tc>
      </w:tr>
      <w:tr w:rsidR="00AE7485" w:rsidRPr="00AE7485" w14:paraId="1545B4F2" w14:textId="77777777" w:rsidTr="00AE7485">
        <w:trPr>
          <w:trHeight w:val="432"/>
        </w:trPr>
        <w:tc>
          <w:tcPr>
            <w:tcW w:w="318" w:type="pct"/>
            <w:shd w:val="clear" w:color="auto" w:fill="595959"/>
            <w:vAlign w:val="center"/>
          </w:tcPr>
          <w:p w14:paraId="6E4103AF"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
                <w:bCs/>
                <w:iCs/>
                <w:color w:val="FFFFFF"/>
                <w:sz w:val="22"/>
                <w:szCs w:val="22"/>
              </w:rPr>
              <w:t>5.</w:t>
            </w:r>
          </w:p>
        </w:tc>
        <w:tc>
          <w:tcPr>
            <w:tcW w:w="4682" w:type="pct"/>
            <w:gridSpan w:val="2"/>
            <w:shd w:val="clear" w:color="auto" w:fill="595959"/>
            <w:vAlign w:val="center"/>
          </w:tcPr>
          <w:p w14:paraId="4F373DAB" w14:textId="77777777" w:rsidR="00AE7485" w:rsidRPr="00AE7485" w:rsidRDefault="00AE7485" w:rsidP="00AE7485">
            <w:pPr>
              <w:tabs>
                <w:tab w:val="left" w:pos="4889"/>
              </w:tabs>
              <w:rPr>
                <w:rFonts w:ascii="Tahoma" w:hAnsi="Tahoma" w:cs="Tahoma"/>
                <w:b/>
                <w:bCs/>
                <w:iCs/>
                <w:sz w:val="22"/>
                <w:szCs w:val="22"/>
              </w:rPr>
            </w:pPr>
            <w:r w:rsidRPr="00AE7485">
              <w:rPr>
                <w:rFonts w:ascii="Tahoma" w:hAnsi="Tahoma" w:cs="Tahoma"/>
                <w:b/>
                <w:bCs/>
                <w:iCs/>
                <w:color w:val="FFFFFF"/>
                <w:sz w:val="22"/>
                <w:szCs w:val="22"/>
              </w:rPr>
              <w:t>Условия выдачи наличных денежных средств в пунктах выдачи наличных Банка со Счета Карты</w:t>
            </w:r>
          </w:p>
        </w:tc>
      </w:tr>
      <w:tr w:rsidR="00AE7485" w:rsidRPr="00AE7485" w14:paraId="23493C18" w14:textId="77777777" w:rsidTr="00B86BDE">
        <w:trPr>
          <w:trHeight w:val="614"/>
        </w:trPr>
        <w:tc>
          <w:tcPr>
            <w:tcW w:w="318" w:type="pct"/>
            <w:shd w:val="clear" w:color="auto" w:fill="auto"/>
            <w:vAlign w:val="center"/>
          </w:tcPr>
          <w:p w14:paraId="2E3B6A01"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5.1.</w:t>
            </w:r>
          </w:p>
        </w:tc>
        <w:tc>
          <w:tcPr>
            <w:tcW w:w="1843" w:type="pct"/>
            <w:shd w:val="clear" w:color="auto" w:fill="auto"/>
            <w:vAlign w:val="center"/>
          </w:tcPr>
          <w:p w14:paraId="385E63C8"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Выдача наличных денежных средств, поступивших на Счет Карты наличным способом</w:t>
            </w:r>
          </w:p>
        </w:tc>
        <w:tc>
          <w:tcPr>
            <w:tcW w:w="2839" w:type="pct"/>
            <w:vMerge w:val="restart"/>
            <w:shd w:val="clear" w:color="auto" w:fill="auto"/>
            <w:vAlign w:val="center"/>
          </w:tcPr>
          <w:p w14:paraId="1826CB12" w14:textId="77777777" w:rsidR="00AE7485" w:rsidRPr="00AE7485" w:rsidRDefault="00AE7485" w:rsidP="00AE7485">
            <w:pPr>
              <w:tabs>
                <w:tab w:val="left" w:pos="4889"/>
              </w:tabs>
              <w:jc w:val="center"/>
              <w:rPr>
                <w:rFonts w:ascii="Tahoma" w:hAnsi="Tahoma" w:cs="Tahoma"/>
                <w:b/>
                <w:bCs/>
                <w:iCs/>
                <w:sz w:val="22"/>
                <w:szCs w:val="22"/>
              </w:rPr>
            </w:pPr>
            <w:r w:rsidRPr="00AE7485">
              <w:rPr>
                <w:rFonts w:ascii="Tahoma" w:hAnsi="Tahoma" w:cs="Tahoma"/>
                <w:b/>
                <w:bCs/>
                <w:iCs/>
                <w:sz w:val="22"/>
                <w:szCs w:val="22"/>
              </w:rPr>
              <w:t>БЕСПЛАТНО</w:t>
            </w:r>
          </w:p>
        </w:tc>
      </w:tr>
      <w:tr w:rsidR="00AE7485" w:rsidRPr="00AE7485" w14:paraId="58F3409D" w14:textId="77777777" w:rsidTr="00B86BDE">
        <w:trPr>
          <w:trHeight w:val="711"/>
        </w:trPr>
        <w:tc>
          <w:tcPr>
            <w:tcW w:w="318" w:type="pct"/>
            <w:shd w:val="clear" w:color="auto" w:fill="auto"/>
            <w:vAlign w:val="center"/>
          </w:tcPr>
          <w:p w14:paraId="4B93344B"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5.2.</w:t>
            </w:r>
          </w:p>
        </w:tc>
        <w:tc>
          <w:tcPr>
            <w:tcW w:w="1843" w:type="pct"/>
            <w:shd w:val="clear" w:color="auto" w:fill="auto"/>
            <w:vAlign w:val="center"/>
          </w:tcPr>
          <w:p w14:paraId="6949F756"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Выдача наличных денежных средств, поступивших на Счет Карты безналичным способом со счетов Клиента, открытых в Банке как на физическое лицо, при совокупном сроке хранения этих денежных средств на этих счетах не менее 30 (тридцати) календарных дней (включительно) с даты их поступления</w:t>
            </w:r>
          </w:p>
        </w:tc>
        <w:tc>
          <w:tcPr>
            <w:tcW w:w="2839" w:type="pct"/>
            <w:vMerge/>
            <w:shd w:val="clear" w:color="auto" w:fill="auto"/>
            <w:vAlign w:val="center"/>
          </w:tcPr>
          <w:p w14:paraId="55A29321" w14:textId="77777777" w:rsidR="00AE7485" w:rsidRPr="00AE7485" w:rsidRDefault="00AE7485" w:rsidP="00AE7485">
            <w:pPr>
              <w:tabs>
                <w:tab w:val="left" w:pos="4889"/>
              </w:tabs>
              <w:jc w:val="center"/>
              <w:rPr>
                <w:rFonts w:ascii="Tahoma" w:hAnsi="Tahoma" w:cs="Tahoma"/>
                <w:b/>
                <w:bCs/>
                <w:iCs/>
                <w:sz w:val="22"/>
                <w:szCs w:val="22"/>
              </w:rPr>
            </w:pPr>
          </w:p>
        </w:tc>
      </w:tr>
      <w:tr w:rsidR="00AE7485" w:rsidRPr="00AE7485" w14:paraId="006EE5AD" w14:textId="77777777" w:rsidTr="00B86BDE">
        <w:trPr>
          <w:trHeight w:val="404"/>
        </w:trPr>
        <w:tc>
          <w:tcPr>
            <w:tcW w:w="318" w:type="pct"/>
            <w:shd w:val="clear" w:color="auto" w:fill="auto"/>
            <w:vAlign w:val="center"/>
          </w:tcPr>
          <w:p w14:paraId="0702A8E5"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5.3.</w:t>
            </w:r>
          </w:p>
        </w:tc>
        <w:tc>
          <w:tcPr>
            <w:tcW w:w="1843" w:type="pct"/>
            <w:shd w:val="clear" w:color="auto" w:fill="auto"/>
            <w:vAlign w:val="center"/>
          </w:tcPr>
          <w:p w14:paraId="0C161536"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 xml:space="preserve">Выдача наличных денежных средств, поступивших на Счет Карты безналичным способом со счетов Клиента, открытых в Банке как на физическое лицо, со счетов других клиентов Банка, а также со счетов, открытых в других банках при совокупном сроке хранения этих денежных средств на этих счетах </w:t>
            </w:r>
            <w:r w:rsidRPr="00AE7485">
              <w:rPr>
                <w:rFonts w:ascii="Tahoma" w:hAnsi="Tahoma" w:cs="Tahoma"/>
                <w:b/>
                <w:bCs/>
                <w:iCs/>
                <w:sz w:val="22"/>
                <w:szCs w:val="22"/>
              </w:rPr>
              <w:t>менее 30</w:t>
            </w:r>
            <w:r w:rsidRPr="00AE7485">
              <w:rPr>
                <w:rFonts w:ascii="Tahoma" w:hAnsi="Tahoma" w:cs="Tahoma"/>
                <w:bCs/>
                <w:iCs/>
                <w:sz w:val="22"/>
                <w:szCs w:val="22"/>
              </w:rPr>
              <w:t xml:space="preserve"> (тридцати) </w:t>
            </w:r>
            <w:r w:rsidRPr="00AE7485">
              <w:rPr>
                <w:rFonts w:ascii="Tahoma" w:hAnsi="Tahoma" w:cs="Tahoma"/>
                <w:b/>
                <w:bCs/>
                <w:iCs/>
                <w:sz w:val="22"/>
                <w:szCs w:val="22"/>
              </w:rPr>
              <w:t>календарных дней</w:t>
            </w:r>
            <w:r w:rsidRPr="00AE7485">
              <w:rPr>
                <w:rFonts w:ascii="Tahoma" w:hAnsi="Tahoma" w:cs="Tahoma"/>
                <w:bCs/>
                <w:iCs/>
                <w:sz w:val="22"/>
                <w:szCs w:val="22"/>
              </w:rPr>
              <w:t xml:space="preserve"> с даты их поступления</w:t>
            </w:r>
          </w:p>
        </w:tc>
        <w:tc>
          <w:tcPr>
            <w:tcW w:w="2839" w:type="pct"/>
            <w:shd w:val="clear" w:color="auto" w:fill="auto"/>
            <w:vAlign w:val="center"/>
          </w:tcPr>
          <w:p w14:paraId="46387F0D"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
                <w:bCs/>
                <w:iCs/>
                <w:sz w:val="22"/>
                <w:szCs w:val="22"/>
              </w:rPr>
              <w:t>5%</w:t>
            </w:r>
            <w:r w:rsidRPr="00AE7485">
              <w:rPr>
                <w:rFonts w:ascii="Tahoma" w:hAnsi="Tahoma" w:cs="Tahoma"/>
                <w:bCs/>
                <w:iCs/>
                <w:sz w:val="22"/>
                <w:szCs w:val="22"/>
              </w:rPr>
              <w:t xml:space="preserve"> от суммы операции</w:t>
            </w:r>
            <w:r w:rsidRPr="00AE7485">
              <w:rPr>
                <w:rFonts w:ascii="Tahoma" w:hAnsi="Tahoma" w:cs="Tahoma"/>
                <w:bCs/>
                <w:iCs/>
                <w:sz w:val="22"/>
                <w:szCs w:val="22"/>
                <w:vertAlign w:val="superscript"/>
              </w:rPr>
              <w:footnoteReference w:id="191"/>
            </w:r>
          </w:p>
        </w:tc>
      </w:tr>
      <w:tr w:rsidR="00AE7485" w:rsidRPr="00AE7485" w14:paraId="6E1192C3" w14:textId="77777777" w:rsidTr="00B86BDE">
        <w:trPr>
          <w:trHeight w:val="711"/>
        </w:trPr>
        <w:tc>
          <w:tcPr>
            <w:tcW w:w="318" w:type="pct"/>
            <w:shd w:val="clear" w:color="auto" w:fill="auto"/>
            <w:vAlign w:val="center"/>
          </w:tcPr>
          <w:p w14:paraId="396DCA0E"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5.4.</w:t>
            </w:r>
          </w:p>
        </w:tc>
        <w:tc>
          <w:tcPr>
            <w:tcW w:w="1843" w:type="pct"/>
            <w:shd w:val="clear" w:color="auto" w:fill="auto"/>
            <w:vAlign w:val="center"/>
          </w:tcPr>
          <w:p w14:paraId="43ED5B5F"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 xml:space="preserve">Выдача наличных денежных средств, поступивших на Счет Карты безналичным способом со счетов других клиентов Банка, а также со счетов, открытых в других банках при совокупном сроке хранения этих денежных средств на этих счетах </w:t>
            </w:r>
            <w:r w:rsidRPr="00AE7485">
              <w:rPr>
                <w:rFonts w:ascii="Tahoma" w:hAnsi="Tahoma" w:cs="Tahoma"/>
                <w:b/>
                <w:bCs/>
                <w:iCs/>
                <w:sz w:val="22"/>
                <w:szCs w:val="22"/>
              </w:rPr>
              <w:t>не менее 30</w:t>
            </w:r>
            <w:r w:rsidRPr="00AE7485">
              <w:rPr>
                <w:rFonts w:ascii="Tahoma" w:hAnsi="Tahoma" w:cs="Tahoma"/>
                <w:bCs/>
                <w:iCs/>
                <w:sz w:val="22"/>
                <w:szCs w:val="22"/>
              </w:rPr>
              <w:t xml:space="preserve"> (тридцати) </w:t>
            </w:r>
            <w:r w:rsidRPr="00AE7485">
              <w:rPr>
                <w:rFonts w:ascii="Tahoma" w:hAnsi="Tahoma" w:cs="Tahoma"/>
                <w:b/>
                <w:bCs/>
                <w:iCs/>
                <w:sz w:val="22"/>
                <w:szCs w:val="22"/>
              </w:rPr>
              <w:t>календарных дней</w:t>
            </w:r>
            <w:r w:rsidRPr="00AE7485">
              <w:rPr>
                <w:rFonts w:ascii="Tahoma" w:hAnsi="Tahoma" w:cs="Tahoma"/>
                <w:bCs/>
                <w:iCs/>
                <w:sz w:val="22"/>
                <w:szCs w:val="22"/>
              </w:rPr>
              <w:t xml:space="preserve"> (включительно) с даты их поступления</w:t>
            </w:r>
          </w:p>
        </w:tc>
        <w:tc>
          <w:tcPr>
            <w:tcW w:w="2839" w:type="pct"/>
            <w:shd w:val="clear" w:color="auto" w:fill="auto"/>
            <w:vAlign w:val="center"/>
          </w:tcPr>
          <w:p w14:paraId="03D71A1E"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
                <w:bCs/>
                <w:iCs/>
                <w:sz w:val="22"/>
                <w:szCs w:val="22"/>
              </w:rPr>
              <w:t>БЕСПЛАТНО</w:t>
            </w:r>
          </w:p>
        </w:tc>
      </w:tr>
      <w:tr w:rsidR="00AE7485" w:rsidRPr="00AE7485" w14:paraId="2A7ED740" w14:textId="77777777" w:rsidTr="00AE7485">
        <w:trPr>
          <w:trHeight w:val="711"/>
        </w:trPr>
        <w:tc>
          <w:tcPr>
            <w:tcW w:w="318" w:type="pct"/>
            <w:shd w:val="clear" w:color="auto" w:fill="595959"/>
            <w:vAlign w:val="center"/>
          </w:tcPr>
          <w:p w14:paraId="333846F1" w14:textId="77777777" w:rsidR="00AE7485" w:rsidRPr="00AE7485" w:rsidRDefault="00AE7485" w:rsidP="00AE7485">
            <w:pPr>
              <w:tabs>
                <w:tab w:val="left" w:pos="284"/>
              </w:tabs>
              <w:rPr>
                <w:rFonts w:ascii="Tahoma" w:hAnsi="Tahoma" w:cs="Tahoma"/>
                <w:b/>
                <w:bCs/>
                <w:iCs/>
                <w:color w:val="FFFFFF"/>
                <w:sz w:val="22"/>
                <w:szCs w:val="22"/>
              </w:rPr>
            </w:pPr>
            <w:r w:rsidRPr="00AE7485">
              <w:rPr>
                <w:rFonts w:ascii="Tahoma" w:hAnsi="Tahoma" w:cs="Tahoma"/>
                <w:b/>
                <w:bCs/>
                <w:iCs/>
                <w:color w:val="FFFFFF"/>
                <w:sz w:val="22"/>
                <w:szCs w:val="22"/>
              </w:rPr>
              <w:t>6.</w:t>
            </w:r>
          </w:p>
        </w:tc>
        <w:tc>
          <w:tcPr>
            <w:tcW w:w="4682" w:type="pct"/>
            <w:gridSpan w:val="2"/>
            <w:shd w:val="clear" w:color="auto" w:fill="595959"/>
            <w:vAlign w:val="center"/>
          </w:tcPr>
          <w:p w14:paraId="11064805" w14:textId="77777777" w:rsidR="00AE7485" w:rsidRPr="00AE7485" w:rsidRDefault="00AE7485" w:rsidP="00AE7485">
            <w:pPr>
              <w:tabs>
                <w:tab w:val="left" w:pos="4889"/>
              </w:tabs>
              <w:rPr>
                <w:rFonts w:ascii="Tahoma" w:hAnsi="Tahoma" w:cs="Tahoma"/>
                <w:b/>
                <w:bCs/>
                <w:iCs/>
                <w:color w:val="FFFFFF"/>
                <w:sz w:val="22"/>
                <w:szCs w:val="22"/>
              </w:rPr>
            </w:pPr>
            <w:r w:rsidRPr="00AE7485">
              <w:rPr>
                <w:rFonts w:ascii="Tahoma" w:hAnsi="Tahoma" w:cs="Tahoma"/>
                <w:b/>
                <w:bCs/>
                <w:iCs/>
                <w:color w:val="FFFFFF"/>
                <w:sz w:val="22"/>
                <w:szCs w:val="22"/>
              </w:rPr>
              <w:t>Совершение безналичных операций в ТСП и сети Интернет (оплата товаров, работ, услуг, результатов</w:t>
            </w:r>
          </w:p>
          <w:p w14:paraId="3905B1B2" w14:textId="77777777" w:rsidR="00AE7485" w:rsidRPr="00AE7485" w:rsidRDefault="00AE7485" w:rsidP="00AE7485">
            <w:pPr>
              <w:tabs>
                <w:tab w:val="left" w:pos="4889"/>
              </w:tabs>
              <w:rPr>
                <w:rFonts w:ascii="Tahoma" w:hAnsi="Tahoma" w:cs="Tahoma"/>
                <w:b/>
                <w:bCs/>
                <w:iCs/>
                <w:color w:val="FFFFFF"/>
                <w:sz w:val="22"/>
                <w:szCs w:val="22"/>
              </w:rPr>
            </w:pPr>
            <w:r w:rsidRPr="00AE7485">
              <w:rPr>
                <w:rFonts w:ascii="Tahoma" w:hAnsi="Tahoma" w:cs="Tahoma"/>
                <w:b/>
                <w:bCs/>
                <w:iCs/>
                <w:color w:val="FFFFFF"/>
                <w:sz w:val="22"/>
                <w:szCs w:val="22"/>
              </w:rPr>
              <w:t>интеллектуальной деятельности) посредством Карты:</w:t>
            </w:r>
          </w:p>
        </w:tc>
      </w:tr>
      <w:tr w:rsidR="00AE7485" w:rsidRPr="00AE7485" w14:paraId="6D01F276" w14:textId="77777777" w:rsidTr="00B86BDE">
        <w:trPr>
          <w:trHeight w:val="711"/>
        </w:trPr>
        <w:tc>
          <w:tcPr>
            <w:tcW w:w="318" w:type="pct"/>
            <w:shd w:val="clear" w:color="auto" w:fill="auto"/>
            <w:vAlign w:val="center"/>
          </w:tcPr>
          <w:p w14:paraId="5F148711"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6.1.</w:t>
            </w:r>
          </w:p>
        </w:tc>
        <w:tc>
          <w:tcPr>
            <w:tcW w:w="1843" w:type="pct"/>
            <w:shd w:val="clear" w:color="auto" w:fill="auto"/>
            <w:vAlign w:val="center"/>
          </w:tcPr>
          <w:p w14:paraId="318E88B1"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Безналичная оплата товаров, работ, услуг, результатов интеллектуальной деятельности</w:t>
            </w:r>
          </w:p>
        </w:tc>
        <w:tc>
          <w:tcPr>
            <w:tcW w:w="2839" w:type="pct"/>
            <w:shd w:val="clear" w:color="auto" w:fill="auto"/>
            <w:vAlign w:val="center"/>
          </w:tcPr>
          <w:p w14:paraId="441ECF42" w14:textId="77777777" w:rsidR="00AE7485" w:rsidRPr="00AE7485" w:rsidRDefault="00AE7485" w:rsidP="00AE7485">
            <w:pPr>
              <w:tabs>
                <w:tab w:val="left" w:pos="4889"/>
              </w:tabs>
              <w:jc w:val="center"/>
              <w:rPr>
                <w:rFonts w:ascii="Tahoma" w:hAnsi="Tahoma" w:cs="Tahoma"/>
                <w:b/>
                <w:bCs/>
                <w:iCs/>
                <w:sz w:val="22"/>
                <w:szCs w:val="22"/>
              </w:rPr>
            </w:pPr>
            <w:r w:rsidRPr="00AE7485">
              <w:rPr>
                <w:rFonts w:ascii="Tahoma" w:hAnsi="Tahoma" w:cs="Tahoma"/>
                <w:b/>
                <w:bCs/>
                <w:iCs/>
                <w:sz w:val="22"/>
                <w:szCs w:val="22"/>
              </w:rPr>
              <w:t>БЕСПЛАТНО</w:t>
            </w:r>
          </w:p>
        </w:tc>
      </w:tr>
      <w:tr w:rsidR="00AE7485" w:rsidRPr="00AE7485" w14:paraId="13436251" w14:textId="77777777" w:rsidTr="00B86BDE">
        <w:trPr>
          <w:trHeight w:val="533"/>
        </w:trPr>
        <w:tc>
          <w:tcPr>
            <w:tcW w:w="318" w:type="pct"/>
            <w:vMerge w:val="restart"/>
            <w:shd w:val="clear" w:color="auto" w:fill="auto"/>
            <w:vAlign w:val="center"/>
          </w:tcPr>
          <w:p w14:paraId="7EBF90C0"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6.2.</w:t>
            </w:r>
          </w:p>
        </w:tc>
        <w:tc>
          <w:tcPr>
            <w:tcW w:w="1843" w:type="pct"/>
            <w:vMerge w:val="restart"/>
            <w:shd w:val="clear" w:color="auto" w:fill="auto"/>
            <w:vAlign w:val="center"/>
          </w:tcPr>
          <w:p w14:paraId="16210792"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Проведение «уникальных» транзакций и квази-кэш операций: оплата дорожных чеков, денежных обязательств, лотерейных билетов, игровых фишек в казино и пр.</w:t>
            </w:r>
            <w:r w:rsidRPr="00AE7485">
              <w:rPr>
                <w:rFonts w:ascii="Tahoma" w:hAnsi="Tahoma" w:cs="Tahoma"/>
                <w:bCs/>
                <w:iCs/>
                <w:sz w:val="22"/>
                <w:szCs w:val="22"/>
                <w:vertAlign w:val="superscript"/>
              </w:rPr>
              <w:footnoteReference w:id="192"/>
            </w:r>
          </w:p>
        </w:tc>
        <w:tc>
          <w:tcPr>
            <w:tcW w:w="2839" w:type="pct"/>
            <w:shd w:val="clear" w:color="auto" w:fill="auto"/>
            <w:vAlign w:val="center"/>
          </w:tcPr>
          <w:p w14:paraId="0C2C1C39"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Карта в рублях: </w:t>
            </w:r>
            <w:r w:rsidRPr="00AE7485">
              <w:rPr>
                <w:rFonts w:ascii="Tahoma" w:hAnsi="Tahoma" w:cs="Tahoma"/>
                <w:b/>
                <w:bCs/>
                <w:iCs/>
                <w:sz w:val="22"/>
                <w:szCs w:val="22"/>
              </w:rPr>
              <w:t>4,9%</w:t>
            </w:r>
            <w:r w:rsidRPr="00AE7485">
              <w:rPr>
                <w:rFonts w:ascii="Tahoma" w:hAnsi="Tahoma" w:cs="Tahoma"/>
                <w:bCs/>
                <w:iCs/>
                <w:sz w:val="22"/>
                <w:szCs w:val="22"/>
              </w:rPr>
              <w:t xml:space="preserve"> от суммы операции </w:t>
            </w:r>
            <w:r w:rsidRPr="00AE7485">
              <w:rPr>
                <w:rFonts w:ascii="Tahoma" w:hAnsi="Tahoma" w:cs="Tahoma"/>
                <w:b/>
                <w:bCs/>
                <w:iCs/>
                <w:sz w:val="22"/>
                <w:szCs w:val="22"/>
              </w:rPr>
              <w:t>+249 рублей</w:t>
            </w:r>
          </w:p>
        </w:tc>
      </w:tr>
      <w:tr w:rsidR="00AE7485" w:rsidRPr="00AE7485" w14:paraId="077E9254" w14:textId="77777777" w:rsidTr="00B86BDE">
        <w:trPr>
          <w:trHeight w:val="532"/>
        </w:trPr>
        <w:tc>
          <w:tcPr>
            <w:tcW w:w="318" w:type="pct"/>
            <w:vMerge/>
            <w:shd w:val="clear" w:color="auto" w:fill="auto"/>
            <w:vAlign w:val="center"/>
          </w:tcPr>
          <w:p w14:paraId="1B1F8C54" w14:textId="77777777" w:rsidR="00AE7485" w:rsidRPr="00AE7485" w:rsidRDefault="00AE7485" w:rsidP="00AE7485">
            <w:pPr>
              <w:tabs>
                <w:tab w:val="left" w:pos="284"/>
              </w:tabs>
              <w:rPr>
                <w:rFonts w:ascii="Tahoma" w:hAnsi="Tahoma" w:cs="Tahoma"/>
                <w:bCs/>
                <w:iCs/>
                <w:sz w:val="22"/>
                <w:szCs w:val="22"/>
              </w:rPr>
            </w:pPr>
          </w:p>
        </w:tc>
        <w:tc>
          <w:tcPr>
            <w:tcW w:w="1843" w:type="pct"/>
            <w:vMerge/>
            <w:shd w:val="clear" w:color="auto" w:fill="auto"/>
            <w:vAlign w:val="center"/>
          </w:tcPr>
          <w:p w14:paraId="24573042" w14:textId="77777777" w:rsidR="00AE7485" w:rsidRPr="00AE7485" w:rsidRDefault="00AE7485" w:rsidP="00AE7485">
            <w:pPr>
              <w:tabs>
                <w:tab w:val="left" w:pos="4889"/>
              </w:tabs>
              <w:rPr>
                <w:rFonts w:ascii="Tahoma" w:hAnsi="Tahoma" w:cs="Tahoma"/>
                <w:bCs/>
                <w:iCs/>
                <w:sz w:val="22"/>
                <w:szCs w:val="22"/>
              </w:rPr>
            </w:pPr>
          </w:p>
        </w:tc>
        <w:tc>
          <w:tcPr>
            <w:tcW w:w="2839" w:type="pct"/>
            <w:shd w:val="clear" w:color="auto" w:fill="auto"/>
            <w:vAlign w:val="center"/>
          </w:tcPr>
          <w:p w14:paraId="3FE3213A"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Карта в юанях: </w:t>
            </w:r>
            <w:r w:rsidRPr="00AE7485">
              <w:rPr>
                <w:rFonts w:ascii="Tahoma" w:hAnsi="Tahoma" w:cs="Tahoma"/>
                <w:b/>
                <w:bCs/>
                <w:iCs/>
                <w:sz w:val="22"/>
                <w:szCs w:val="22"/>
              </w:rPr>
              <w:t>4,9%</w:t>
            </w:r>
            <w:r w:rsidRPr="00AE7485">
              <w:rPr>
                <w:rFonts w:ascii="Tahoma" w:hAnsi="Tahoma" w:cs="Tahoma"/>
                <w:bCs/>
                <w:iCs/>
                <w:sz w:val="22"/>
                <w:szCs w:val="22"/>
              </w:rPr>
              <w:t xml:space="preserve"> от суммы операции </w:t>
            </w:r>
            <w:r w:rsidRPr="00AE7485">
              <w:rPr>
                <w:rFonts w:ascii="Tahoma" w:hAnsi="Tahoma" w:cs="Tahoma"/>
                <w:b/>
                <w:bCs/>
                <w:iCs/>
                <w:sz w:val="22"/>
                <w:szCs w:val="22"/>
              </w:rPr>
              <w:t>+20 юаней</w:t>
            </w:r>
          </w:p>
        </w:tc>
      </w:tr>
      <w:tr w:rsidR="00AE7485" w:rsidRPr="00AE7485" w14:paraId="114E7757" w14:textId="77777777" w:rsidTr="00AE7485">
        <w:trPr>
          <w:trHeight w:val="336"/>
        </w:trPr>
        <w:tc>
          <w:tcPr>
            <w:tcW w:w="318" w:type="pct"/>
            <w:shd w:val="clear" w:color="auto" w:fill="595959"/>
            <w:vAlign w:val="center"/>
          </w:tcPr>
          <w:p w14:paraId="1DC05558" w14:textId="77777777" w:rsidR="00AE7485" w:rsidRPr="00AE7485" w:rsidRDefault="00AE7485" w:rsidP="00AE7485">
            <w:pPr>
              <w:tabs>
                <w:tab w:val="left" w:pos="284"/>
              </w:tabs>
              <w:rPr>
                <w:rFonts w:ascii="Tahoma" w:hAnsi="Tahoma" w:cs="Tahoma"/>
                <w:b/>
                <w:bCs/>
                <w:iCs/>
                <w:color w:val="FFFFFF"/>
                <w:sz w:val="22"/>
                <w:szCs w:val="22"/>
              </w:rPr>
            </w:pPr>
            <w:r w:rsidRPr="00AE7485">
              <w:rPr>
                <w:rFonts w:ascii="Tahoma" w:hAnsi="Tahoma" w:cs="Tahoma"/>
                <w:b/>
                <w:bCs/>
                <w:iCs/>
                <w:color w:val="FFFFFF"/>
                <w:sz w:val="22"/>
                <w:szCs w:val="22"/>
              </w:rPr>
              <w:t>7.</w:t>
            </w:r>
          </w:p>
        </w:tc>
        <w:tc>
          <w:tcPr>
            <w:tcW w:w="4682" w:type="pct"/>
            <w:gridSpan w:val="2"/>
            <w:shd w:val="clear" w:color="auto" w:fill="595959"/>
            <w:vAlign w:val="center"/>
          </w:tcPr>
          <w:p w14:paraId="7696C69D" w14:textId="77777777" w:rsidR="00AE7485" w:rsidRPr="00AE7485" w:rsidRDefault="00AE7485" w:rsidP="00AE7485">
            <w:pPr>
              <w:tabs>
                <w:tab w:val="left" w:pos="4889"/>
              </w:tabs>
              <w:rPr>
                <w:rFonts w:ascii="Tahoma" w:hAnsi="Tahoma" w:cs="Tahoma"/>
                <w:b/>
                <w:bCs/>
                <w:iCs/>
                <w:color w:val="FFFFFF"/>
                <w:sz w:val="22"/>
                <w:szCs w:val="22"/>
              </w:rPr>
            </w:pPr>
            <w:r w:rsidRPr="00AE7485">
              <w:rPr>
                <w:rFonts w:ascii="Tahoma" w:hAnsi="Tahoma" w:cs="Tahoma"/>
                <w:b/>
                <w:bCs/>
                <w:iCs/>
                <w:color w:val="FFFFFF"/>
                <w:sz w:val="22"/>
                <w:szCs w:val="22"/>
              </w:rPr>
              <w:t>Конверсионные операции</w:t>
            </w:r>
          </w:p>
        </w:tc>
      </w:tr>
      <w:tr w:rsidR="00AE7485" w:rsidRPr="00AE7485" w14:paraId="0FD9486A" w14:textId="77777777" w:rsidTr="00B86BDE">
        <w:trPr>
          <w:trHeight w:val="532"/>
        </w:trPr>
        <w:tc>
          <w:tcPr>
            <w:tcW w:w="318" w:type="pct"/>
            <w:shd w:val="clear" w:color="auto" w:fill="auto"/>
            <w:vAlign w:val="center"/>
          </w:tcPr>
          <w:p w14:paraId="0A44F34A"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7.1.</w:t>
            </w:r>
          </w:p>
        </w:tc>
        <w:tc>
          <w:tcPr>
            <w:tcW w:w="1843" w:type="pct"/>
            <w:shd w:val="clear" w:color="auto" w:fill="auto"/>
            <w:vAlign w:val="center"/>
          </w:tcPr>
          <w:p w14:paraId="12361795"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Операции покупки/продажи иностранной валюты</w:t>
            </w:r>
          </w:p>
          <w:p w14:paraId="40335D5C"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по Счетам Клиента, открытым в Банке, а также</w:t>
            </w:r>
          </w:p>
          <w:p w14:paraId="0D916F09"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безналичные операции и операции выдачи/взноса</w:t>
            </w:r>
          </w:p>
          <w:p w14:paraId="1F5D733B"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наличных денежных средств с использованием Карты</w:t>
            </w:r>
          </w:p>
        </w:tc>
        <w:tc>
          <w:tcPr>
            <w:tcW w:w="2839" w:type="pct"/>
            <w:shd w:val="clear" w:color="auto" w:fill="auto"/>
            <w:vAlign w:val="center"/>
          </w:tcPr>
          <w:p w14:paraId="5F1A526F"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По курсу Банка на момент совершения операции</w:t>
            </w:r>
          </w:p>
        </w:tc>
      </w:tr>
      <w:tr w:rsidR="00AE7485" w:rsidRPr="00AE7485" w14:paraId="194D86FC" w14:textId="77777777" w:rsidTr="00B86BDE">
        <w:trPr>
          <w:trHeight w:val="532"/>
        </w:trPr>
        <w:tc>
          <w:tcPr>
            <w:tcW w:w="318" w:type="pct"/>
            <w:shd w:val="clear" w:color="auto" w:fill="auto"/>
            <w:vAlign w:val="center"/>
          </w:tcPr>
          <w:p w14:paraId="1DBBC70D"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7.2.</w:t>
            </w:r>
          </w:p>
        </w:tc>
        <w:tc>
          <w:tcPr>
            <w:tcW w:w="1843" w:type="pct"/>
            <w:shd w:val="clear" w:color="auto" w:fill="auto"/>
            <w:vAlign w:val="center"/>
          </w:tcPr>
          <w:p w14:paraId="47D00E92"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При совершении оплаты в ТСП</w:t>
            </w:r>
          </w:p>
        </w:tc>
        <w:tc>
          <w:tcPr>
            <w:tcW w:w="2839" w:type="pct"/>
            <w:shd w:val="clear" w:color="auto" w:fill="auto"/>
            <w:vAlign w:val="center"/>
          </w:tcPr>
          <w:p w14:paraId="13CBD082"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
                <w:bCs/>
                <w:iCs/>
                <w:sz w:val="22"/>
                <w:szCs w:val="22"/>
              </w:rPr>
              <w:t>По курсу Банка на момент совершения операции:</w:t>
            </w:r>
            <w:r w:rsidRPr="00AE7485">
              <w:rPr>
                <w:rFonts w:ascii="Tahoma" w:hAnsi="Tahoma" w:cs="Tahoma"/>
                <w:bCs/>
                <w:iCs/>
                <w:sz w:val="22"/>
                <w:szCs w:val="22"/>
              </w:rPr>
              <w:t xml:space="preserve"> если валюта Счета Карты Клиента отлична от валюты расчетов Банка с Платежной системой в регионе совершения операции (валюта расчетов Банка с Платежной системой в этом регионе при этом идентична валюте совершения операции).</w:t>
            </w:r>
          </w:p>
          <w:p w14:paraId="0D0ABA0F"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
                <w:bCs/>
                <w:iCs/>
                <w:sz w:val="22"/>
                <w:szCs w:val="22"/>
              </w:rPr>
              <w:t>Дополнительно применяются курс и тарифы Платежной системы UnionPay International на момент проведения расчетов с Банком</w:t>
            </w:r>
            <w:r w:rsidRPr="00AE7485">
              <w:rPr>
                <w:rFonts w:ascii="Tahoma" w:hAnsi="Tahoma" w:cs="Tahoma"/>
                <w:bCs/>
                <w:iCs/>
                <w:sz w:val="22"/>
                <w:szCs w:val="22"/>
              </w:rPr>
              <w:t>: если валюта совершения операции – отлична от валюты расчетов Банка с Платежной системой, дополнительно к конверсии Платежная система применяет +2% от суммы операции по курсу Банка (для операций по Картам UnionPay</w:t>
            </w:r>
          </w:p>
          <w:p w14:paraId="6F909914"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International).</w:t>
            </w:r>
          </w:p>
        </w:tc>
      </w:tr>
      <w:tr w:rsidR="00AE7485" w:rsidRPr="00AE7485" w14:paraId="0C34E757" w14:textId="77777777" w:rsidTr="00AE7485">
        <w:trPr>
          <w:trHeight w:val="314"/>
        </w:trPr>
        <w:tc>
          <w:tcPr>
            <w:tcW w:w="318" w:type="pct"/>
            <w:shd w:val="clear" w:color="auto" w:fill="595959"/>
            <w:vAlign w:val="center"/>
          </w:tcPr>
          <w:p w14:paraId="4E40289E" w14:textId="77777777" w:rsidR="00AE7485" w:rsidRPr="00AE7485" w:rsidRDefault="00AE7485" w:rsidP="00AE7485">
            <w:pPr>
              <w:tabs>
                <w:tab w:val="left" w:pos="284"/>
              </w:tabs>
              <w:rPr>
                <w:rFonts w:ascii="Tahoma" w:hAnsi="Tahoma" w:cs="Tahoma"/>
                <w:b/>
                <w:bCs/>
                <w:iCs/>
                <w:color w:val="FFFFFF"/>
                <w:sz w:val="22"/>
                <w:szCs w:val="22"/>
              </w:rPr>
            </w:pPr>
            <w:r w:rsidRPr="00AE7485">
              <w:rPr>
                <w:rFonts w:ascii="Tahoma" w:hAnsi="Tahoma" w:cs="Tahoma"/>
                <w:b/>
                <w:bCs/>
                <w:iCs/>
                <w:color w:val="FFFFFF"/>
                <w:sz w:val="22"/>
                <w:szCs w:val="22"/>
              </w:rPr>
              <w:t>8.</w:t>
            </w:r>
          </w:p>
        </w:tc>
        <w:tc>
          <w:tcPr>
            <w:tcW w:w="4682" w:type="pct"/>
            <w:gridSpan w:val="2"/>
            <w:shd w:val="clear" w:color="auto" w:fill="595959"/>
            <w:vAlign w:val="center"/>
          </w:tcPr>
          <w:p w14:paraId="0E6322A6" w14:textId="77777777" w:rsidR="00AE7485" w:rsidRPr="00AE7485" w:rsidRDefault="00AE7485" w:rsidP="00AE7485">
            <w:pPr>
              <w:tabs>
                <w:tab w:val="left" w:pos="4889"/>
              </w:tabs>
              <w:rPr>
                <w:rFonts w:ascii="Tahoma" w:hAnsi="Tahoma" w:cs="Tahoma"/>
                <w:b/>
                <w:bCs/>
                <w:iCs/>
                <w:color w:val="FFFFFF"/>
                <w:sz w:val="22"/>
                <w:szCs w:val="22"/>
              </w:rPr>
            </w:pPr>
            <w:r w:rsidRPr="00AE7485">
              <w:rPr>
                <w:rFonts w:ascii="Tahoma" w:hAnsi="Tahoma" w:cs="Tahoma"/>
                <w:b/>
                <w:bCs/>
                <w:iCs/>
                <w:color w:val="FFFFFF"/>
                <w:sz w:val="22"/>
                <w:szCs w:val="22"/>
              </w:rPr>
              <w:t>Условия совершения переводов денежных средств</w:t>
            </w:r>
          </w:p>
        </w:tc>
      </w:tr>
      <w:tr w:rsidR="00AE7485" w:rsidRPr="00AE7485" w14:paraId="2D2F2F12" w14:textId="77777777" w:rsidTr="00B86BDE">
        <w:trPr>
          <w:trHeight w:val="532"/>
        </w:trPr>
        <w:tc>
          <w:tcPr>
            <w:tcW w:w="318" w:type="pct"/>
            <w:shd w:val="clear" w:color="auto" w:fill="auto"/>
            <w:vAlign w:val="center"/>
          </w:tcPr>
          <w:p w14:paraId="649BAE73"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8.1.</w:t>
            </w:r>
          </w:p>
        </w:tc>
        <w:tc>
          <w:tcPr>
            <w:tcW w:w="4682" w:type="pct"/>
            <w:gridSpan w:val="2"/>
            <w:shd w:val="clear" w:color="auto" w:fill="auto"/>
            <w:vAlign w:val="center"/>
          </w:tcPr>
          <w:p w14:paraId="4380544F"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 xml:space="preserve">Согласно тарифов Банка, указанных в разделе 4.10, расположенных на Сайте Банка </w:t>
            </w:r>
            <w:hyperlink r:id="rId117" w:history="1">
              <w:r w:rsidRPr="00AE7485">
                <w:rPr>
                  <w:rFonts w:ascii="Tahoma" w:hAnsi="Tahoma" w:cs="Tahoma"/>
                  <w:bCs/>
                  <w:iCs/>
                  <w:color w:val="0563C1"/>
                  <w:sz w:val="22"/>
                  <w:szCs w:val="22"/>
                  <w:u w:val="single"/>
                </w:rPr>
                <w:t>www.atb.su/api/document_download/?fileId=6824051&amp;iblockId=29</w:t>
              </w:r>
            </w:hyperlink>
            <w:r w:rsidRPr="00AE7485">
              <w:rPr>
                <w:rFonts w:ascii="Tahoma" w:hAnsi="Tahoma" w:cs="Tahoma"/>
                <w:bCs/>
                <w:iCs/>
                <w:sz w:val="22"/>
                <w:szCs w:val="22"/>
              </w:rPr>
              <w:t xml:space="preserve"> </w:t>
            </w:r>
          </w:p>
        </w:tc>
      </w:tr>
      <w:tr w:rsidR="00AE7485" w:rsidRPr="00AE7485" w14:paraId="6E20337E" w14:textId="77777777" w:rsidTr="00AE7485">
        <w:trPr>
          <w:trHeight w:val="336"/>
        </w:trPr>
        <w:tc>
          <w:tcPr>
            <w:tcW w:w="318" w:type="pct"/>
            <w:shd w:val="clear" w:color="auto" w:fill="595959"/>
            <w:vAlign w:val="center"/>
          </w:tcPr>
          <w:p w14:paraId="062D8D40" w14:textId="77777777" w:rsidR="00AE7485" w:rsidRPr="00AE7485" w:rsidRDefault="00AE7485" w:rsidP="00AE7485">
            <w:pPr>
              <w:tabs>
                <w:tab w:val="left" w:pos="284"/>
              </w:tabs>
              <w:rPr>
                <w:rFonts w:ascii="Tahoma" w:hAnsi="Tahoma" w:cs="Tahoma"/>
                <w:b/>
                <w:bCs/>
                <w:iCs/>
                <w:color w:val="FFFFFF"/>
                <w:sz w:val="22"/>
                <w:szCs w:val="22"/>
              </w:rPr>
            </w:pPr>
            <w:r w:rsidRPr="00AE7485">
              <w:rPr>
                <w:rFonts w:ascii="Tahoma" w:hAnsi="Tahoma" w:cs="Tahoma"/>
                <w:b/>
                <w:bCs/>
                <w:iCs/>
                <w:color w:val="FFFFFF"/>
                <w:sz w:val="22"/>
                <w:szCs w:val="22"/>
              </w:rPr>
              <w:t>9.</w:t>
            </w:r>
          </w:p>
        </w:tc>
        <w:tc>
          <w:tcPr>
            <w:tcW w:w="4682" w:type="pct"/>
            <w:gridSpan w:val="2"/>
            <w:shd w:val="clear" w:color="auto" w:fill="595959"/>
            <w:vAlign w:val="center"/>
          </w:tcPr>
          <w:p w14:paraId="1C907D36" w14:textId="77777777" w:rsidR="00AE7485" w:rsidRPr="00AE7485" w:rsidRDefault="00AE7485" w:rsidP="00AE7485">
            <w:pPr>
              <w:tabs>
                <w:tab w:val="left" w:pos="4889"/>
              </w:tabs>
              <w:rPr>
                <w:rFonts w:ascii="Tahoma" w:hAnsi="Tahoma" w:cs="Tahoma"/>
                <w:b/>
                <w:bCs/>
                <w:iCs/>
                <w:color w:val="FFFFFF"/>
                <w:sz w:val="22"/>
                <w:szCs w:val="22"/>
              </w:rPr>
            </w:pPr>
            <w:r w:rsidRPr="00AE7485">
              <w:rPr>
                <w:rFonts w:ascii="Tahoma" w:hAnsi="Tahoma" w:cs="Tahoma"/>
                <w:b/>
                <w:bCs/>
                <w:iCs/>
                <w:color w:val="FFFFFF"/>
                <w:sz w:val="22"/>
                <w:szCs w:val="22"/>
              </w:rPr>
              <w:t>Выписки и прочие сервисы</w:t>
            </w:r>
          </w:p>
        </w:tc>
      </w:tr>
      <w:tr w:rsidR="00AE7485" w:rsidRPr="00AE7485" w14:paraId="741A9745" w14:textId="77777777" w:rsidTr="00B86BDE">
        <w:trPr>
          <w:trHeight w:val="532"/>
        </w:trPr>
        <w:tc>
          <w:tcPr>
            <w:tcW w:w="318" w:type="pct"/>
            <w:shd w:val="clear" w:color="auto" w:fill="auto"/>
            <w:vAlign w:val="center"/>
          </w:tcPr>
          <w:p w14:paraId="64644F6C"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9.1.</w:t>
            </w:r>
          </w:p>
        </w:tc>
        <w:tc>
          <w:tcPr>
            <w:tcW w:w="1843" w:type="pct"/>
            <w:shd w:val="clear" w:color="auto" w:fill="auto"/>
            <w:vAlign w:val="center"/>
          </w:tcPr>
          <w:p w14:paraId="7747DCBD"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Изготовление выписок (в Подразделениях,  банкоматах и Каналах дистанционного банковского обслуживания Банка) по всем счетам Клиента, открытым в Банке</w:t>
            </w:r>
          </w:p>
        </w:tc>
        <w:tc>
          <w:tcPr>
            <w:tcW w:w="2839" w:type="pct"/>
            <w:vMerge w:val="restart"/>
            <w:shd w:val="clear" w:color="auto" w:fill="auto"/>
            <w:vAlign w:val="center"/>
          </w:tcPr>
          <w:p w14:paraId="1AEC3E31" w14:textId="77777777" w:rsidR="00AE7485" w:rsidRPr="00AE7485" w:rsidRDefault="00AE7485" w:rsidP="00AE7485">
            <w:pPr>
              <w:tabs>
                <w:tab w:val="left" w:pos="4889"/>
              </w:tabs>
              <w:jc w:val="center"/>
              <w:rPr>
                <w:rFonts w:ascii="Tahoma" w:hAnsi="Tahoma" w:cs="Tahoma"/>
                <w:b/>
                <w:bCs/>
                <w:iCs/>
                <w:sz w:val="22"/>
                <w:szCs w:val="22"/>
              </w:rPr>
            </w:pPr>
            <w:r w:rsidRPr="00AE7485">
              <w:rPr>
                <w:rFonts w:ascii="Tahoma" w:hAnsi="Tahoma" w:cs="Tahoma"/>
                <w:b/>
                <w:bCs/>
                <w:iCs/>
                <w:sz w:val="22"/>
                <w:szCs w:val="22"/>
              </w:rPr>
              <w:t>БЕСПЛАТНО</w:t>
            </w:r>
          </w:p>
        </w:tc>
      </w:tr>
      <w:tr w:rsidR="00AE7485" w:rsidRPr="00AE7485" w14:paraId="7DA89BF6" w14:textId="77777777" w:rsidTr="00B86BDE">
        <w:trPr>
          <w:trHeight w:val="532"/>
        </w:trPr>
        <w:tc>
          <w:tcPr>
            <w:tcW w:w="318" w:type="pct"/>
            <w:shd w:val="clear" w:color="auto" w:fill="auto"/>
            <w:vAlign w:val="center"/>
          </w:tcPr>
          <w:p w14:paraId="3B2A181F"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9.2.</w:t>
            </w:r>
          </w:p>
        </w:tc>
        <w:tc>
          <w:tcPr>
            <w:tcW w:w="1843" w:type="pct"/>
            <w:shd w:val="clear" w:color="auto" w:fill="auto"/>
            <w:vAlign w:val="center"/>
          </w:tcPr>
          <w:p w14:paraId="58EC2006"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Стоимость услуги СМС-информирования/</w:t>
            </w:r>
            <w:r w:rsidRPr="00AE7485">
              <w:rPr>
                <w:rFonts w:ascii="Tahoma" w:hAnsi="Tahoma" w:cs="Tahoma"/>
                <w:bCs/>
                <w:iCs/>
                <w:sz w:val="22"/>
                <w:szCs w:val="22"/>
                <w:lang w:val="en-US"/>
              </w:rPr>
              <w:t>push</w:t>
            </w:r>
            <w:r w:rsidRPr="00AE7485">
              <w:rPr>
                <w:rFonts w:ascii="Tahoma" w:hAnsi="Tahoma" w:cs="Tahoma"/>
                <w:bCs/>
                <w:iCs/>
                <w:sz w:val="22"/>
                <w:szCs w:val="22"/>
              </w:rPr>
              <w:t>-уведомления (полный пакет): детализирование уведомление о приходных и расходных операциях по Счету Карты/иные сведения по усмотрению Банка в формате СМС-сообщений/</w:t>
            </w:r>
            <w:r w:rsidRPr="00AE7485">
              <w:rPr>
                <w:rFonts w:ascii="Tahoma" w:hAnsi="Tahoma" w:cs="Tahoma"/>
                <w:bCs/>
                <w:iCs/>
                <w:sz w:val="22"/>
                <w:szCs w:val="22"/>
                <w:lang w:val="en-US"/>
              </w:rPr>
              <w:t>push</w:t>
            </w:r>
            <w:r w:rsidRPr="00AE7485">
              <w:rPr>
                <w:rFonts w:ascii="Tahoma" w:hAnsi="Tahoma" w:cs="Tahoma"/>
                <w:bCs/>
                <w:iCs/>
                <w:sz w:val="22"/>
                <w:szCs w:val="22"/>
              </w:rPr>
              <w:t>-уведомлений на Номер мобильного телефона Клиента, указанный Клиентом Банку в качестве основного</w:t>
            </w:r>
          </w:p>
        </w:tc>
        <w:tc>
          <w:tcPr>
            <w:tcW w:w="2839" w:type="pct"/>
            <w:vMerge/>
            <w:shd w:val="clear" w:color="auto" w:fill="auto"/>
            <w:vAlign w:val="center"/>
          </w:tcPr>
          <w:p w14:paraId="759559F2" w14:textId="77777777" w:rsidR="00AE7485" w:rsidRPr="00AE7485" w:rsidRDefault="00AE7485" w:rsidP="00AE7485">
            <w:pPr>
              <w:tabs>
                <w:tab w:val="left" w:pos="4889"/>
              </w:tabs>
              <w:jc w:val="center"/>
              <w:rPr>
                <w:rFonts w:ascii="Tahoma" w:hAnsi="Tahoma" w:cs="Tahoma"/>
                <w:b/>
                <w:bCs/>
                <w:iCs/>
                <w:sz w:val="22"/>
                <w:szCs w:val="22"/>
              </w:rPr>
            </w:pPr>
          </w:p>
        </w:tc>
      </w:tr>
      <w:tr w:rsidR="00AE7485" w:rsidRPr="00AE7485" w14:paraId="7CC7144D" w14:textId="77777777" w:rsidTr="00B86BDE">
        <w:trPr>
          <w:trHeight w:val="532"/>
        </w:trPr>
        <w:tc>
          <w:tcPr>
            <w:tcW w:w="318" w:type="pct"/>
            <w:shd w:val="clear" w:color="auto" w:fill="auto"/>
            <w:vAlign w:val="center"/>
          </w:tcPr>
          <w:p w14:paraId="487420BB"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9.3.</w:t>
            </w:r>
          </w:p>
        </w:tc>
        <w:tc>
          <w:tcPr>
            <w:tcW w:w="1843" w:type="pct"/>
            <w:shd w:val="clear" w:color="auto" w:fill="auto"/>
            <w:vAlign w:val="center"/>
          </w:tcPr>
          <w:p w14:paraId="2A188339"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Доступ в Каналы дистанционного банковского обслуживания (далее – Каналы ДБО) Банка: Интернет-банк и Мобильный банк</w:t>
            </w:r>
          </w:p>
        </w:tc>
        <w:tc>
          <w:tcPr>
            <w:tcW w:w="2839" w:type="pct"/>
            <w:vMerge/>
            <w:shd w:val="clear" w:color="auto" w:fill="auto"/>
            <w:vAlign w:val="center"/>
          </w:tcPr>
          <w:p w14:paraId="096EDAA8" w14:textId="77777777" w:rsidR="00AE7485" w:rsidRPr="00AE7485" w:rsidRDefault="00AE7485" w:rsidP="00AE7485">
            <w:pPr>
              <w:tabs>
                <w:tab w:val="left" w:pos="4889"/>
              </w:tabs>
              <w:jc w:val="center"/>
              <w:rPr>
                <w:rFonts w:ascii="Tahoma" w:hAnsi="Tahoma" w:cs="Tahoma"/>
                <w:b/>
                <w:bCs/>
                <w:iCs/>
                <w:sz w:val="22"/>
                <w:szCs w:val="22"/>
              </w:rPr>
            </w:pPr>
          </w:p>
        </w:tc>
      </w:tr>
      <w:tr w:rsidR="00AE7485" w:rsidRPr="00AE7485" w14:paraId="54309D6A" w14:textId="77777777" w:rsidTr="00B86BDE">
        <w:trPr>
          <w:trHeight w:val="532"/>
        </w:trPr>
        <w:tc>
          <w:tcPr>
            <w:tcW w:w="318" w:type="pct"/>
            <w:shd w:val="clear" w:color="auto" w:fill="auto"/>
            <w:vAlign w:val="center"/>
          </w:tcPr>
          <w:p w14:paraId="7C62D3CB"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9.4.</w:t>
            </w:r>
          </w:p>
        </w:tc>
        <w:tc>
          <w:tcPr>
            <w:tcW w:w="1843" w:type="pct"/>
            <w:shd w:val="clear" w:color="auto" w:fill="auto"/>
            <w:vAlign w:val="center"/>
          </w:tcPr>
          <w:p w14:paraId="7663FC78"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Блокировка/разблокировка Карты посредством Каналов ДБО Банка и/или по заявлению Клиента в офисе Банка</w:t>
            </w:r>
          </w:p>
        </w:tc>
        <w:tc>
          <w:tcPr>
            <w:tcW w:w="2839" w:type="pct"/>
            <w:vMerge/>
            <w:shd w:val="clear" w:color="auto" w:fill="auto"/>
            <w:vAlign w:val="center"/>
          </w:tcPr>
          <w:p w14:paraId="74D96CD2" w14:textId="77777777" w:rsidR="00AE7485" w:rsidRPr="00AE7485" w:rsidRDefault="00AE7485" w:rsidP="00AE7485">
            <w:pPr>
              <w:tabs>
                <w:tab w:val="left" w:pos="4889"/>
              </w:tabs>
              <w:jc w:val="center"/>
              <w:rPr>
                <w:rFonts w:ascii="Tahoma" w:hAnsi="Tahoma" w:cs="Tahoma"/>
                <w:b/>
                <w:bCs/>
                <w:iCs/>
                <w:sz w:val="22"/>
                <w:szCs w:val="22"/>
              </w:rPr>
            </w:pPr>
          </w:p>
        </w:tc>
      </w:tr>
      <w:tr w:rsidR="00AE7485" w:rsidRPr="00AE7485" w14:paraId="2A731D80" w14:textId="77777777" w:rsidTr="00AE7485">
        <w:trPr>
          <w:trHeight w:val="326"/>
        </w:trPr>
        <w:tc>
          <w:tcPr>
            <w:tcW w:w="318" w:type="pct"/>
            <w:shd w:val="clear" w:color="auto" w:fill="595959"/>
            <w:vAlign w:val="center"/>
          </w:tcPr>
          <w:p w14:paraId="6813BF5A" w14:textId="77777777" w:rsidR="00AE7485" w:rsidRPr="00AE7485" w:rsidRDefault="00AE7485" w:rsidP="00AE7485">
            <w:pPr>
              <w:tabs>
                <w:tab w:val="left" w:pos="284"/>
              </w:tabs>
              <w:rPr>
                <w:rFonts w:ascii="Tahoma" w:hAnsi="Tahoma" w:cs="Tahoma"/>
                <w:b/>
                <w:bCs/>
                <w:iCs/>
                <w:color w:val="FFFFFF"/>
                <w:sz w:val="22"/>
                <w:szCs w:val="22"/>
              </w:rPr>
            </w:pPr>
            <w:r w:rsidRPr="00AE7485">
              <w:rPr>
                <w:rFonts w:ascii="Tahoma" w:hAnsi="Tahoma" w:cs="Tahoma"/>
                <w:b/>
                <w:bCs/>
                <w:iCs/>
                <w:color w:val="FFFFFF"/>
                <w:sz w:val="22"/>
                <w:szCs w:val="22"/>
              </w:rPr>
              <w:t>10.</w:t>
            </w:r>
          </w:p>
        </w:tc>
        <w:tc>
          <w:tcPr>
            <w:tcW w:w="4682" w:type="pct"/>
            <w:gridSpan w:val="2"/>
            <w:shd w:val="clear" w:color="auto" w:fill="595959"/>
            <w:vAlign w:val="center"/>
          </w:tcPr>
          <w:p w14:paraId="58A0C359" w14:textId="77777777" w:rsidR="00AE7485" w:rsidRPr="00AE7485" w:rsidRDefault="00AE7485" w:rsidP="00AE7485">
            <w:pPr>
              <w:tabs>
                <w:tab w:val="left" w:pos="4889"/>
              </w:tabs>
              <w:rPr>
                <w:rFonts w:ascii="Tahoma" w:hAnsi="Tahoma" w:cs="Tahoma"/>
                <w:b/>
                <w:bCs/>
                <w:iCs/>
                <w:color w:val="FFFFFF"/>
                <w:sz w:val="22"/>
                <w:szCs w:val="22"/>
              </w:rPr>
            </w:pPr>
            <w:r w:rsidRPr="00AE7485">
              <w:rPr>
                <w:rFonts w:ascii="Tahoma" w:hAnsi="Tahoma" w:cs="Tahoma"/>
                <w:b/>
                <w:bCs/>
                <w:iCs/>
                <w:color w:val="FFFFFF"/>
                <w:sz w:val="22"/>
                <w:szCs w:val="22"/>
              </w:rPr>
              <w:t>Правила программ лояльности</w:t>
            </w:r>
          </w:p>
        </w:tc>
      </w:tr>
      <w:tr w:rsidR="00AE7485" w:rsidRPr="00AE7485" w14:paraId="62DA9194" w14:textId="77777777" w:rsidTr="00B86BDE">
        <w:trPr>
          <w:trHeight w:val="532"/>
        </w:trPr>
        <w:tc>
          <w:tcPr>
            <w:tcW w:w="318" w:type="pct"/>
            <w:shd w:val="clear" w:color="auto" w:fill="auto"/>
            <w:vAlign w:val="center"/>
          </w:tcPr>
          <w:p w14:paraId="1D3F8E1F"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10.1.</w:t>
            </w:r>
          </w:p>
        </w:tc>
        <w:tc>
          <w:tcPr>
            <w:tcW w:w="1843" w:type="pct"/>
            <w:shd w:val="clear" w:color="auto" w:fill="auto"/>
            <w:vAlign w:val="center"/>
          </w:tcPr>
          <w:p w14:paraId="2A3BEDD7"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Программа лояльности для Клиентов-держателей Банковских карт «Азиатско-Тихоокеанский Банк, (АО)», размещенная на Сайте Банка www.atb.su и Подразделениях Банка</w:t>
            </w:r>
          </w:p>
        </w:tc>
        <w:tc>
          <w:tcPr>
            <w:tcW w:w="2839" w:type="pct"/>
            <w:shd w:val="clear" w:color="auto" w:fill="auto"/>
            <w:vAlign w:val="center"/>
          </w:tcPr>
          <w:p w14:paraId="58201BE2" w14:textId="77777777" w:rsidR="00AE7485" w:rsidRPr="00AE7485" w:rsidRDefault="00AE7485" w:rsidP="00AE7485">
            <w:pPr>
              <w:tabs>
                <w:tab w:val="left" w:pos="4889"/>
              </w:tabs>
              <w:jc w:val="center"/>
              <w:rPr>
                <w:rFonts w:ascii="Tahoma" w:hAnsi="Tahoma" w:cs="Tahoma"/>
                <w:b/>
                <w:bCs/>
                <w:iCs/>
                <w:sz w:val="22"/>
                <w:szCs w:val="22"/>
              </w:rPr>
            </w:pPr>
            <w:r w:rsidRPr="00AE7485">
              <w:rPr>
                <w:rFonts w:ascii="Tahoma" w:hAnsi="Tahoma" w:cs="Tahoma"/>
                <w:bCs/>
                <w:iCs/>
                <w:sz w:val="22"/>
                <w:szCs w:val="22"/>
              </w:rPr>
              <w:t xml:space="preserve">Согласно действующей Бонусной программе «Премиум-Бонус», размещенной на Сайте Банка </w:t>
            </w:r>
            <w:hyperlink r:id="rId118" w:history="1">
              <w:r w:rsidRPr="00AE7485">
                <w:rPr>
                  <w:rFonts w:ascii="Tahoma" w:hAnsi="Tahoma" w:cs="Tahoma"/>
                  <w:bCs/>
                  <w:iCs/>
                  <w:color w:val="0563C1"/>
                  <w:sz w:val="22"/>
                  <w:szCs w:val="22"/>
                  <w:u w:val="single"/>
                </w:rPr>
                <w:t>www.atb.su</w:t>
              </w:r>
            </w:hyperlink>
            <w:r w:rsidRPr="00AE7485">
              <w:rPr>
                <w:rFonts w:ascii="Tahoma" w:hAnsi="Tahoma" w:cs="Tahoma"/>
                <w:bCs/>
                <w:iCs/>
                <w:sz w:val="22"/>
                <w:szCs w:val="22"/>
              </w:rPr>
              <w:t>, в Каналах ДБО Банка и в Подразделениях Банка</w:t>
            </w:r>
          </w:p>
        </w:tc>
      </w:tr>
      <w:tr w:rsidR="00AE7485" w:rsidRPr="00AE7485" w14:paraId="5CE1C6B8" w14:textId="77777777" w:rsidTr="00B86BDE">
        <w:trPr>
          <w:trHeight w:val="344"/>
        </w:trPr>
        <w:tc>
          <w:tcPr>
            <w:tcW w:w="318" w:type="pct"/>
            <w:vMerge w:val="restart"/>
            <w:shd w:val="clear" w:color="auto" w:fill="auto"/>
            <w:vAlign w:val="center"/>
          </w:tcPr>
          <w:p w14:paraId="760FCADB"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10.2.</w:t>
            </w:r>
          </w:p>
        </w:tc>
        <w:tc>
          <w:tcPr>
            <w:tcW w:w="1843" w:type="pct"/>
            <w:vMerge w:val="restart"/>
            <w:shd w:val="clear" w:color="auto" w:fill="auto"/>
            <w:vAlign w:val="center"/>
          </w:tcPr>
          <w:p w14:paraId="56E62992"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Программа лояльности Акционерного общества «Национальная система платежных карт»</w:t>
            </w:r>
            <w:r w:rsidRPr="00AE7485">
              <w:rPr>
                <w:rFonts w:ascii="Tahoma" w:hAnsi="Tahoma" w:cs="Tahoma"/>
                <w:bCs/>
                <w:iCs/>
                <w:sz w:val="22"/>
                <w:szCs w:val="22"/>
                <w:vertAlign w:val="superscript"/>
              </w:rPr>
              <w:footnoteReference w:id="193"/>
            </w:r>
          </w:p>
        </w:tc>
        <w:tc>
          <w:tcPr>
            <w:tcW w:w="2839" w:type="pct"/>
            <w:shd w:val="clear" w:color="auto" w:fill="auto"/>
            <w:vAlign w:val="center"/>
          </w:tcPr>
          <w:p w14:paraId="56D5A32D"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Карта типа Мир </w:t>
            </w:r>
            <w:r w:rsidRPr="00AE7485">
              <w:rPr>
                <w:rFonts w:ascii="Tahoma" w:hAnsi="Tahoma" w:cs="Tahoma"/>
                <w:bCs/>
                <w:iCs/>
                <w:sz w:val="22"/>
                <w:szCs w:val="22"/>
                <w:lang w:val="en-US"/>
              </w:rPr>
              <w:t>Supreme</w:t>
            </w:r>
            <w:r w:rsidRPr="00AE7485">
              <w:rPr>
                <w:rFonts w:ascii="Tahoma" w:hAnsi="Tahoma" w:cs="Tahoma"/>
                <w:bCs/>
                <w:iCs/>
                <w:sz w:val="22"/>
                <w:szCs w:val="22"/>
              </w:rPr>
              <w:t>: Согласно действующим Правилам программы лояльности Акционерного общества «Национальная система платежных карт», размещенным на его Официальном сайте vamprivet.ru/rules/</w:t>
            </w:r>
          </w:p>
        </w:tc>
      </w:tr>
      <w:tr w:rsidR="00AE7485" w:rsidRPr="00AE7485" w14:paraId="600BB430" w14:textId="77777777" w:rsidTr="00B86BDE">
        <w:trPr>
          <w:trHeight w:val="398"/>
        </w:trPr>
        <w:tc>
          <w:tcPr>
            <w:tcW w:w="318" w:type="pct"/>
            <w:vMerge/>
            <w:shd w:val="clear" w:color="auto" w:fill="auto"/>
            <w:vAlign w:val="center"/>
          </w:tcPr>
          <w:p w14:paraId="5C9164B9" w14:textId="77777777" w:rsidR="00AE7485" w:rsidRPr="00AE7485" w:rsidRDefault="00AE7485" w:rsidP="00AE7485">
            <w:pPr>
              <w:tabs>
                <w:tab w:val="left" w:pos="284"/>
              </w:tabs>
              <w:rPr>
                <w:rFonts w:ascii="Tahoma" w:hAnsi="Tahoma" w:cs="Tahoma"/>
                <w:bCs/>
                <w:iCs/>
                <w:sz w:val="22"/>
                <w:szCs w:val="22"/>
              </w:rPr>
            </w:pPr>
          </w:p>
        </w:tc>
        <w:tc>
          <w:tcPr>
            <w:tcW w:w="1843" w:type="pct"/>
            <w:vMerge/>
            <w:shd w:val="clear" w:color="auto" w:fill="auto"/>
            <w:vAlign w:val="center"/>
          </w:tcPr>
          <w:p w14:paraId="50D1EBEA" w14:textId="77777777" w:rsidR="00AE7485" w:rsidRPr="00AE7485" w:rsidRDefault="00AE7485" w:rsidP="00AE7485">
            <w:pPr>
              <w:tabs>
                <w:tab w:val="left" w:pos="4889"/>
              </w:tabs>
              <w:rPr>
                <w:rFonts w:ascii="Tahoma" w:hAnsi="Tahoma" w:cs="Tahoma"/>
                <w:bCs/>
                <w:iCs/>
                <w:sz w:val="22"/>
                <w:szCs w:val="22"/>
              </w:rPr>
            </w:pPr>
          </w:p>
        </w:tc>
        <w:tc>
          <w:tcPr>
            <w:tcW w:w="2839" w:type="pct"/>
            <w:shd w:val="clear" w:color="auto" w:fill="auto"/>
            <w:vAlign w:val="center"/>
          </w:tcPr>
          <w:p w14:paraId="205460A1"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Карта типа </w:t>
            </w:r>
            <w:r w:rsidRPr="00AE7485">
              <w:rPr>
                <w:rFonts w:ascii="Tahoma" w:hAnsi="Tahoma" w:cs="Tahoma"/>
                <w:bCs/>
                <w:iCs/>
                <w:sz w:val="22"/>
                <w:szCs w:val="22"/>
                <w:lang w:val="en-US"/>
              </w:rPr>
              <w:t>UnionPay</w:t>
            </w:r>
            <w:r w:rsidRPr="00AE7485">
              <w:rPr>
                <w:rFonts w:ascii="Tahoma" w:hAnsi="Tahoma" w:cs="Tahoma"/>
                <w:bCs/>
                <w:iCs/>
                <w:sz w:val="22"/>
                <w:szCs w:val="22"/>
              </w:rPr>
              <w:t xml:space="preserve"> </w:t>
            </w:r>
            <w:r w:rsidRPr="00AE7485">
              <w:rPr>
                <w:rFonts w:ascii="Tahoma" w:hAnsi="Tahoma" w:cs="Tahoma"/>
                <w:bCs/>
                <w:iCs/>
                <w:sz w:val="22"/>
                <w:szCs w:val="22"/>
                <w:lang w:val="en-US"/>
              </w:rPr>
              <w:t>Platinum</w:t>
            </w:r>
            <w:r w:rsidRPr="00AE7485">
              <w:rPr>
                <w:rFonts w:ascii="Tahoma" w:hAnsi="Tahoma" w:cs="Tahoma"/>
                <w:bCs/>
                <w:iCs/>
                <w:sz w:val="22"/>
                <w:szCs w:val="22"/>
              </w:rPr>
              <w:t>: не применимо</w:t>
            </w:r>
          </w:p>
        </w:tc>
      </w:tr>
      <w:tr w:rsidR="00AE7485" w:rsidRPr="00AE7485" w14:paraId="4D7AA808" w14:textId="77777777" w:rsidTr="00AE7485">
        <w:trPr>
          <w:trHeight w:val="262"/>
        </w:trPr>
        <w:tc>
          <w:tcPr>
            <w:tcW w:w="318" w:type="pct"/>
            <w:shd w:val="clear" w:color="auto" w:fill="595959"/>
            <w:vAlign w:val="center"/>
          </w:tcPr>
          <w:p w14:paraId="3C0C7C04" w14:textId="77777777" w:rsidR="00AE7485" w:rsidRPr="00AE7485" w:rsidRDefault="00AE7485" w:rsidP="00AE7485">
            <w:pPr>
              <w:tabs>
                <w:tab w:val="left" w:pos="284"/>
              </w:tabs>
              <w:rPr>
                <w:rFonts w:ascii="Tahoma" w:hAnsi="Tahoma" w:cs="Tahoma"/>
                <w:b/>
                <w:bCs/>
                <w:iCs/>
                <w:color w:val="FFFFFF"/>
                <w:sz w:val="22"/>
                <w:szCs w:val="22"/>
              </w:rPr>
            </w:pPr>
            <w:r w:rsidRPr="00AE7485">
              <w:rPr>
                <w:rFonts w:ascii="Tahoma" w:hAnsi="Tahoma" w:cs="Tahoma"/>
                <w:b/>
                <w:bCs/>
                <w:iCs/>
                <w:color w:val="FFFFFF"/>
                <w:sz w:val="22"/>
                <w:szCs w:val="22"/>
              </w:rPr>
              <w:t>11.</w:t>
            </w:r>
          </w:p>
        </w:tc>
        <w:tc>
          <w:tcPr>
            <w:tcW w:w="4682" w:type="pct"/>
            <w:gridSpan w:val="2"/>
            <w:shd w:val="clear" w:color="auto" w:fill="595959"/>
            <w:vAlign w:val="center"/>
          </w:tcPr>
          <w:p w14:paraId="45FE727B" w14:textId="77777777" w:rsidR="00AE7485" w:rsidRPr="00AE7485" w:rsidRDefault="00AE7485" w:rsidP="00AE7485">
            <w:pPr>
              <w:tabs>
                <w:tab w:val="left" w:pos="4889"/>
              </w:tabs>
              <w:rPr>
                <w:rFonts w:ascii="Tahoma" w:hAnsi="Tahoma" w:cs="Tahoma"/>
                <w:b/>
                <w:bCs/>
                <w:iCs/>
                <w:color w:val="FFFFFF"/>
                <w:sz w:val="22"/>
                <w:szCs w:val="22"/>
              </w:rPr>
            </w:pPr>
            <w:r w:rsidRPr="00AE7485">
              <w:rPr>
                <w:rFonts w:ascii="Tahoma" w:hAnsi="Tahoma" w:cs="Tahoma"/>
                <w:b/>
                <w:bCs/>
                <w:iCs/>
                <w:color w:val="FFFFFF"/>
                <w:sz w:val="22"/>
                <w:szCs w:val="22"/>
              </w:rPr>
              <w:t>Условия предоставления доступа в Бизнес-залы в рамках сервиса «</w:t>
            </w:r>
            <w:r w:rsidRPr="00AE7485">
              <w:rPr>
                <w:rFonts w:ascii="Tahoma" w:hAnsi="Tahoma" w:cs="Tahoma"/>
                <w:b/>
                <w:bCs/>
                <w:iCs/>
                <w:color w:val="FFFFFF"/>
                <w:sz w:val="22"/>
                <w:szCs w:val="22"/>
                <w:lang w:val="en-US"/>
              </w:rPr>
              <w:t>Mir</w:t>
            </w:r>
            <w:r w:rsidRPr="00AE7485">
              <w:rPr>
                <w:rFonts w:ascii="Tahoma" w:hAnsi="Tahoma" w:cs="Tahoma"/>
                <w:b/>
                <w:bCs/>
                <w:iCs/>
                <w:color w:val="FFFFFF"/>
                <w:sz w:val="22"/>
                <w:szCs w:val="22"/>
              </w:rPr>
              <w:t xml:space="preserve"> </w:t>
            </w:r>
            <w:r w:rsidRPr="00AE7485">
              <w:rPr>
                <w:rFonts w:ascii="Tahoma" w:hAnsi="Tahoma" w:cs="Tahoma"/>
                <w:b/>
                <w:bCs/>
                <w:iCs/>
                <w:color w:val="FFFFFF"/>
                <w:sz w:val="22"/>
                <w:szCs w:val="22"/>
                <w:lang w:val="en-US"/>
              </w:rPr>
              <w:t>Pass</w:t>
            </w:r>
            <w:r w:rsidRPr="00AE7485">
              <w:rPr>
                <w:rFonts w:ascii="Tahoma" w:hAnsi="Tahoma" w:cs="Tahoma"/>
                <w:b/>
                <w:bCs/>
                <w:iCs/>
                <w:color w:val="FFFFFF"/>
                <w:sz w:val="22"/>
                <w:szCs w:val="22"/>
              </w:rPr>
              <w:t>» (далее – Сервис) в соответствии с Условиями предоставления «Азиатско-Тихоокеанский Банк» (АО) Клиентам-держателям Программ банковских услуг «Статус» и Программ банковских услуг «Статус Плюс» кодов в целях получения Сервиса Mir Pass</w:t>
            </w:r>
          </w:p>
        </w:tc>
      </w:tr>
      <w:tr w:rsidR="00AE7485" w:rsidRPr="00AE7485" w14:paraId="4321104F" w14:textId="77777777" w:rsidTr="00B86BDE">
        <w:trPr>
          <w:trHeight w:val="262"/>
        </w:trPr>
        <w:tc>
          <w:tcPr>
            <w:tcW w:w="318" w:type="pct"/>
            <w:shd w:val="clear" w:color="auto" w:fill="auto"/>
            <w:vAlign w:val="center"/>
          </w:tcPr>
          <w:p w14:paraId="758D2274"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11.1.</w:t>
            </w:r>
          </w:p>
        </w:tc>
        <w:tc>
          <w:tcPr>
            <w:tcW w:w="1843" w:type="pct"/>
            <w:shd w:val="clear" w:color="auto" w:fill="auto"/>
            <w:vAlign w:val="center"/>
          </w:tcPr>
          <w:p w14:paraId="426FBD64"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Сервис «</w:t>
            </w:r>
            <w:r w:rsidRPr="00AE7485">
              <w:rPr>
                <w:rFonts w:ascii="Tahoma" w:hAnsi="Tahoma" w:cs="Tahoma"/>
                <w:bCs/>
                <w:iCs/>
                <w:sz w:val="22"/>
                <w:szCs w:val="22"/>
                <w:lang w:val="en-US"/>
              </w:rPr>
              <w:t>Mir Pass</w:t>
            </w:r>
            <w:r w:rsidRPr="00AE7485">
              <w:rPr>
                <w:rFonts w:ascii="Tahoma" w:hAnsi="Tahoma" w:cs="Tahoma"/>
                <w:bCs/>
                <w:iCs/>
                <w:sz w:val="22"/>
                <w:szCs w:val="22"/>
              </w:rPr>
              <w:t>»</w:t>
            </w:r>
          </w:p>
        </w:tc>
        <w:tc>
          <w:tcPr>
            <w:tcW w:w="2839" w:type="pct"/>
            <w:shd w:val="clear" w:color="auto" w:fill="auto"/>
            <w:vAlign w:val="center"/>
          </w:tcPr>
          <w:p w14:paraId="53C18BE7"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Сервис, обеспечивающий возможность предоставления доступа в бизнес-залы на территории аэропортов, железнодорожных вокзалов, портов и автовокзалов (по тексту – Бизнес-залы) в рамках Программы Клиенту-держателю Карты типа Мир </w:t>
            </w:r>
            <w:r w:rsidRPr="00AE7485">
              <w:rPr>
                <w:rFonts w:ascii="Tahoma" w:hAnsi="Tahoma" w:cs="Tahoma"/>
                <w:bCs/>
                <w:iCs/>
                <w:sz w:val="22"/>
                <w:szCs w:val="22"/>
                <w:lang w:val="en-US"/>
              </w:rPr>
              <w:t>Supreme</w:t>
            </w:r>
            <w:r w:rsidRPr="00AE7485">
              <w:rPr>
                <w:rFonts w:ascii="Tahoma" w:hAnsi="Tahoma" w:cs="Tahoma"/>
                <w:bCs/>
                <w:iCs/>
                <w:sz w:val="22"/>
                <w:szCs w:val="22"/>
              </w:rPr>
              <w:t xml:space="preserve"> по волеизъявлению Клиента, согласно действующим Правилам программы лояльности Акционерного общества «Национальная система платежных карт», размещенным на его официальном сайте vamprivet.ru/rules/</w:t>
            </w:r>
            <w:r w:rsidRPr="00AE7485">
              <w:rPr>
                <w:rFonts w:ascii="Tahoma" w:hAnsi="Tahoma" w:cs="Tahoma"/>
                <w:bCs/>
                <w:iCs/>
                <w:sz w:val="22"/>
                <w:szCs w:val="22"/>
                <w:vertAlign w:val="superscript"/>
              </w:rPr>
              <w:footnoteReference w:id="194"/>
            </w:r>
          </w:p>
        </w:tc>
      </w:tr>
      <w:tr w:rsidR="00AE7485" w:rsidRPr="00AE7485" w14:paraId="6F04B1E8" w14:textId="77777777" w:rsidTr="00B86BDE">
        <w:trPr>
          <w:trHeight w:val="262"/>
        </w:trPr>
        <w:tc>
          <w:tcPr>
            <w:tcW w:w="318" w:type="pct"/>
            <w:shd w:val="clear" w:color="auto" w:fill="auto"/>
            <w:vAlign w:val="center"/>
          </w:tcPr>
          <w:p w14:paraId="667B760C"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11.2.</w:t>
            </w:r>
          </w:p>
        </w:tc>
        <w:tc>
          <w:tcPr>
            <w:tcW w:w="1843" w:type="pct"/>
            <w:shd w:val="clear" w:color="auto" w:fill="auto"/>
            <w:vAlign w:val="center"/>
          </w:tcPr>
          <w:p w14:paraId="296C91E9"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Предоставление и обслуживание Сервиса в рамках Программы</w:t>
            </w:r>
          </w:p>
        </w:tc>
        <w:tc>
          <w:tcPr>
            <w:tcW w:w="2839" w:type="pct"/>
            <w:shd w:val="clear" w:color="auto" w:fill="auto"/>
            <w:vAlign w:val="center"/>
          </w:tcPr>
          <w:p w14:paraId="45267288" w14:textId="77777777" w:rsidR="00AE7485" w:rsidRPr="00AE7485" w:rsidRDefault="00AE7485" w:rsidP="00AE7485">
            <w:pPr>
              <w:tabs>
                <w:tab w:val="left" w:pos="4889"/>
              </w:tabs>
              <w:jc w:val="center"/>
              <w:rPr>
                <w:rFonts w:ascii="Tahoma" w:hAnsi="Tahoma" w:cs="Tahoma"/>
                <w:b/>
                <w:bCs/>
                <w:iCs/>
                <w:sz w:val="22"/>
                <w:szCs w:val="22"/>
              </w:rPr>
            </w:pPr>
            <w:r w:rsidRPr="00AE7485">
              <w:rPr>
                <w:rFonts w:ascii="Tahoma" w:hAnsi="Tahoma" w:cs="Tahoma"/>
                <w:b/>
                <w:bCs/>
                <w:iCs/>
                <w:sz w:val="22"/>
                <w:szCs w:val="22"/>
              </w:rPr>
              <w:t>БЕСПЛАТНО</w:t>
            </w:r>
          </w:p>
        </w:tc>
      </w:tr>
      <w:tr w:rsidR="00AE7485" w:rsidRPr="00AE7485" w14:paraId="1F702762" w14:textId="77777777" w:rsidTr="00B86BDE">
        <w:trPr>
          <w:trHeight w:val="262"/>
        </w:trPr>
        <w:tc>
          <w:tcPr>
            <w:tcW w:w="318" w:type="pct"/>
            <w:shd w:val="clear" w:color="auto" w:fill="auto"/>
            <w:vAlign w:val="center"/>
          </w:tcPr>
          <w:p w14:paraId="2229FDB4"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11.3.</w:t>
            </w:r>
          </w:p>
        </w:tc>
        <w:tc>
          <w:tcPr>
            <w:tcW w:w="1843" w:type="pct"/>
            <w:shd w:val="clear" w:color="auto" w:fill="auto"/>
            <w:vAlign w:val="center"/>
          </w:tcPr>
          <w:p w14:paraId="3FF6B5F0"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Количество доступных бесплатных проходов в Бизнес-залы в течение Отчетного периода при выполнении одного из условий п.2 Программы в месяце, предшествующем Отчетному периоду</w:t>
            </w:r>
          </w:p>
        </w:tc>
        <w:tc>
          <w:tcPr>
            <w:tcW w:w="2839" w:type="pct"/>
            <w:shd w:val="clear" w:color="auto" w:fill="auto"/>
            <w:vAlign w:val="center"/>
          </w:tcPr>
          <w:p w14:paraId="76AE7FF7"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2 прохода</w:t>
            </w:r>
          </w:p>
        </w:tc>
      </w:tr>
      <w:tr w:rsidR="00AE7485" w:rsidRPr="00AE7485" w14:paraId="52FF9D3C" w14:textId="77777777" w:rsidTr="00B86BDE">
        <w:trPr>
          <w:trHeight w:val="262"/>
        </w:trPr>
        <w:tc>
          <w:tcPr>
            <w:tcW w:w="318" w:type="pct"/>
            <w:shd w:val="clear" w:color="auto" w:fill="auto"/>
            <w:vAlign w:val="center"/>
          </w:tcPr>
          <w:p w14:paraId="2CA3AFCC"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11.4.</w:t>
            </w:r>
          </w:p>
        </w:tc>
        <w:tc>
          <w:tcPr>
            <w:tcW w:w="1843" w:type="pct"/>
            <w:shd w:val="clear" w:color="auto" w:fill="auto"/>
            <w:vAlign w:val="center"/>
          </w:tcPr>
          <w:p w14:paraId="1E9BECBE"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Количество доступных бесплатных проходов в Бизнес-залы в течение Отчетного периода при несоблюдении ни одного из условий п.2 Программы в месяце, предшествующем Отчетному периоду</w:t>
            </w:r>
          </w:p>
        </w:tc>
        <w:tc>
          <w:tcPr>
            <w:tcW w:w="2839" w:type="pct"/>
            <w:shd w:val="clear" w:color="auto" w:fill="auto"/>
            <w:vAlign w:val="center"/>
          </w:tcPr>
          <w:p w14:paraId="5ED60160"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Не предусмотрено</w:t>
            </w:r>
          </w:p>
        </w:tc>
      </w:tr>
      <w:tr w:rsidR="00AE7485" w:rsidRPr="00AE7485" w14:paraId="0619EDB5" w14:textId="77777777" w:rsidTr="00AE7485">
        <w:trPr>
          <w:trHeight w:val="262"/>
        </w:trPr>
        <w:tc>
          <w:tcPr>
            <w:tcW w:w="318" w:type="pct"/>
            <w:shd w:val="clear" w:color="auto" w:fill="595959"/>
            <w:vAlign w:val="center"/>
          </w:tcPr>
          <w:p w14:paraId="333FED13" w14:textId="77777777" w:rsidR="00AE7485" w:rsidRPr="00AE7485" w:rsidRDefault="00AE7485" w:rsidP="00AE7485">
            <w:pPr>
              <w:tabs>
                <w:tab w:val="left" w:pos="284"/>
              </w:tabs>
              <w:rPr>
                <w:rFonts w:ascii="Tahoma" w:hAnsi="Tahoma" w:cs="Tahoma"/>
                <w:b/>
                <w:bCs/>
                <w:iCs/>
                <w:color w:val="FFFFFF"/>
                <w:sz w:val="22"/>
                <w:szCs w:val="22"/>
              </w:rPr>
            </w:pPr>
            <w:r w:rsidRPr="00AE7485">
              <w:rPr>
                <w:rFonts w:ascii="Tahoma" w:hAnsi="Tahoma" w:cs="Tahoma"/>
                <w:b/>
                <w:bCs/>
                <w:iCs/>
                <w:color w:val="FFFFFF"/>
                <w:sz w:val="22"/>
                <w:szCs w:val="22"/>
              </w:rPr>
              <w:t>11.5.</w:t>
            </w:r>
          </w:p>
        </w:tc>
        <w:tc>
          <w:tcPr>
            <w:tcW w:w="4682" w:type="pct"/>
            <w:gridSpan w:val="2"/>
            <w:shd w:val="clear" w:color="auto" w:fill="595959"/>
            <w:vAlign w:val="center"/>
          </w:tcPr>
          <w:p w14:paraId="3676C96B" w14:textId="77777777" w:rsidR="00AE7485" w:rsidRPr="00AE7485" w:rsidRDefault="00AE7485" w:rsidP="00AE7485">
            <w:pPr>
              <w:tabs>
                <w:tab w:val="left" w:pos="4889"/>
              </w:tabs>
              <w:rPr>
                <w:rFonts w:ascii="Tahoma" w:hAnsi="Tahoma" w:cs="Tahoma"/>
                <w:b/>
                <w:bCs/>
                <w:iCs/>
                <w:color w:val="FFFFFF"/>
                <w:sz w:val="22"/>
                <w:szCs w:val="22"/>
              </w:rPr>
            </w:pPr>
            <w:r w:rsidRPr="00AE7485">
              <w:rPr>
                <w:rFonts w:ascii="Tahoma" w:hAnsi="Tahoma" w:cs="Tahoma"/>
                <w:b/>
                <w:bCs/>
                <w:iCs/>
                <w:color w:val="FFFFFF"/>
                <w:sz w:val="22"/>
                <w:szCs w:val="22"/>
              </w:rPr>
              <w:t>Ограничения предоставления Сервиса</w:t>
            </w:r>
          </w:p>
        </w:tc>
      </w:tr>
      <w:tr w:rsidR="00AE7485" w:rsidRPr="00AE7485" w14:paraId="3C900260" w14:textId="77777777" w:rsidTr="00B86BDE">
        <w:trPr>
          <w:trHeight w:val="262"/>
        </w:trPr>
        <w:tc>
          <w:tcPr>
            <w:tcW w:w="318" w:type="pct"/>
            <w:shd w:val="clear" w:color="auto" w:fill="auto"/>
            <w:vAlign w:val="center"/>
          </w:tcPr>
          <w:p w14:paraId="2BC0F872"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11.5.1.</w:t>
            </w:r>
          </w:p>
        </w:tc>
        <w:tc>
          <w:tcPr>
            <w:tcW w:w="4682" w:type="pct"/>
            <w:gridSpan w:val="2"/>
            <w:shd w:val="clear" w:color="auto" w:fill="auto"/>
            <w:vAlign w:val="center"/>
          </w:tcPr>
          <w:p w14:paraId="2507F007"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Сервис не предоставляется в Льготном периоде Программы.</w:t>
            </w:r>
          </w:p>
        </w:tc>
      </w:tr>
      <w:tr w:rsidR="00AE7485" w:rsidRPr="00AE7485" w14:paraId="30A89587" w14:textId="77777777" w:rsidTr="00B86BDE">
        <w:trPr>
          <w:trHeight w:val="262"/>
        </w:trPr>
        <w:tc>
          <w:tcPr>
            <w:tcW w:w="318" w:type="pct"/>
            <w:shd w:val="clear" w:color="auto" w:fill="auto"/>
            <w:vAlign w:val="center"/>
          </w:tcPr>
          <w:p w14:paraId="7BB801CD"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11.5.2.</w:t>
            </w:r>
          </w:p>
        </w:tc>
        <w:tc>
          <w:tcPr>
            <w:tcW w:w="4682" w:type="pct"/>
            <w:gridSpan w:val="2"/>
            <w:shd w:val="clear" w:color="auto" w:fill="auto"/>
            <w:vAlign w:val="center"/>
          </w:tcPr>
          <w:p w14:paraId="5D2A0903"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Сервис не предоставляется при наличии непогашенной комиссионной задолженности за обслуживание Программы, сформированной в результате несоблюдения условий, в соответствии с п.2. Программы.</w:t>
            </w:r>
          </w:p>
        </w:tc>
      </w:tr>
      <w:tr w:rsidR="00AE7485" w:rsidRPr="00AE7485" w14:paraId="08F30EFC" w14:textId="77777777" w:rsidTr="00B86BDE">
        <w:trPr>
          <w:trHeight w:val="262"/>
        </w:trPr>
        <w:tc>
          <w:tcPr>
            <w:tcW w:w="318" w:type="pct"/>
            <w:shd w:val="clear" w:color="auto" w:fill="auto"/>
            <w:vAlign w:val="center"/>
          </w:tcPr>
          <w:p w14:paraId="4E7D22ED"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11.5.3.</w:t>
            </w:r>
          </w:p>
        </w:tc>
        <w:tc>
          <w:tcPr>
            <w:tcW w:w="4682" w:type="pct"/>
            <w:gridSpan w:val="2"/>
            <w:shd w:val="clear" w:color="auto" w:fill="auto"/>
            <w:vAlign w:val="center"/>
          </w:tcPr>
          <w:p w14:paraId="31B1B17E"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Сервис не предоставляется при несоблюдении условий в месяце, предшествующем Отчетному периоду, в соответствии с п.2. Программы.</w:t>
            </w:r>
          </w:p>
        </w:tc>
      </w:tr>
      <w:tr w:rsidR="00AE7485" w:rsidRPr="00AE7485" w14:paraId="6F64B00D" w14:textId="77777777" w:rsidTr="00B86BDE">
        <w:trPr>
          <w:trHeight w:val="334"/>
        </w:trPr>
        <w:tc>
          <w:tcPr>
            <w:tcW w:w="318" w:type="pct"/>
            <w:shd w:val="clear" w:color="auto" w:fill="auto"/>
            <w:vAlign w:val="center"/>
          </w:tcPr>
          <w:p w14:paraId="6F9295B6"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11.5.4.</w:t>
            </w:r>
          </w:p>
        </w:tc>
        <w:tc>
          <w:tcPr>
            <w:tcW w:w="4682" w:type="pct"/>
            <w:gridSpan w:val="2"/>
            <w:shd w:val="clear" w:color="auto" w:fill="auto"/>
            <w:vAlign w:val="center"/>
          </w:tcPr>
          <w:p w14:paraId="658661D9"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Третьи лица (далее – Гости) могут воспользоваться Сервисом исключительно в сопровождении Клиента. При попытке воспользоваться Сервисом Гостями без сопровождения Клиента – услуга не предоставляется.</w:t>
            </w:r>
          </w:p>
        </w:tc>
      </w:tr>
      <w:tr w:rsidR="00AE7485" w:rsidRPr="00AE7485" w14:paraId="7CA19CDA" w14:textId="77777777" w:rsidTr="00B86BDE">
        <w:trPr>
          <w:trHeight w:val="262"/>
        </w:trPr>
        <w:tc>
          <w:tcPr>
            <w:tcW w:w="318" w:type="pct"/>
            <w:shd w:val="clear" w:color="auto" w:fill="auto"/>
            <w:vAlign w:val="center"/>
          </w:tcPr>
          <w:p w14:paraId="04C2C3FC"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11.5.5.</w:t>
            </w:r>
          </w:p>
        </w:tc>
        <w:tc>
          <w:tcPr>
            <w:tcW w:w="4682" w:type="pct"/>
            <w:gridSpan w:val="2"/>
            <w:shd w:val="clear" w:color="auto" w:fill="auto"/>
            <w:vAlign w:val="center"/>
          </w:tcPr>
          <w:p w14:paraId="3EE54555"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Посещение Бизнес-залов невозможно при наличии у Клиента текущей просроченной задолженности перед Банком по любому из Договоров банковской услуги.</w:t>
            </w:r>
          </w:p>
        </w:tc>
      </w:tr>
      <w:tr w:rsidR="00AE7485" w:rsidRPr="00AE7485" w14:paraId="0ECEB4AB" w14:textId="77777777" w:rsidTr="00B86BDE">
        <w:trPr>
          <w:trHeight w:val="262"/>
        </w:trPr>
        <w:tc>
          <w:tcPr>
            <w:tcW w:w="318" w:type="pct"/>
            <w:shd w:val="clear" w:color="auto" w:fill="auto"/>
            <w:vAlign w:val="center"/>
          </w:tcPr>
          <w:p w14:paraId="5F0B4244"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11.5.6.</w:t>
            </w:r>
          </w:p>
        </w:tc>
        <w:tc>
          <w:tcPr>
            <w:tcW w:w="4682" w:type="pct"/>
            <w:gridSpan w:val="2"/>
            <w:shd w:val="clear" w:color="auto" w:fill="auto"/>
            <w:vAlign w:val="center"/>
          </w:tcPr>
          <w:p w14:paraId="4DFA1A45"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Банк вправе приостановить в отношении Клиента действие Сервиса в одностороннем порядке при обнаружении признаков злоупотребления правом на его использование.</w:t>
            </w:r>
          </w:p>
        </w:tc>
      </w:tr>
      <w:tr w:rsidR="00AE7485" w:rsidRPr="00AE7485" w14:paraId="4259EA30" w14:textId="77777777" w:rsidTr="00B86BDE">
        <w:trPr>
          <w:trHeight w:val="262"/>
        </w:trPr>
        <w:tc>
          <w:tcPr>
            <w:tcW w:w="318" w:type="pct"/>
            <w:shd w:val="clear" w:color="auto" w:fill="auto"/>
            <w:vAlign w:val="center"/>
          </w:tcPr>
          <w:p w14:paraId="2AF5B14E"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11.5.7.</w:t>
            </w:r>
          </w:p>
        </w:tc>
        <w:tc>
          <w:tcPr>
            <w:tcW w:w="4682" w:type="pct"/>
            <w:gridSpan w:val="2"/>
            <w:shd w:val="clear" w:color="auto" w:fill="auto"/>
            <w:vAlign w:val="center"/>
          </w:tcPr>
          <w:p w14:paraId="2E9FC51E"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При расторжении Программы (по любой из причин) Сервис не предоставляется с даты принятия Банком Заявления о расторжении Программы банковских услуг «Статус».</w:t>
            </w:r>
          </w:p>
        </w:tc>
      </w:tr>
      <w:tr w:rsidR="00AE7485" w:rsidRPr="00AE7485" w14:paraId="771B5581" w14:textId="77777777" w:rsidTr="00B86BDE">
        <w:trPr>
          <w:trHeight w:val="262"/>
        </w:trPr>
        <w:tc>
          <w:tcPr>
            <w:tcW w:w="318" w:type="pct"/>
            <w:shd w:val="clear" w:color="auto" w:fill="auto"/>
            <w:vAlign w:val="center"/>
          </w:tcPr>
          <w:p w14:paraId="0E7A088F"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11.5.8.</w:t>
            </w:r>
          </w:p>
        </w:tc>
        <w:tc>
          <w:tcPr>
            <w:tcW w:w="4682" w:type="pct"/>
            <w:gridSpan w:val="2"/>
            <w:shd w:val="clear" w:color="auto" w:fill="auto"/>
            <w:vAlign w:val="center"/>
          </w:tcPr>
          <w:p w14:paraId="7AA7169C"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 xml:space="preserve">При закрытии последней из Карт типа Мир </w:t>
            </w:r>
            <w:r w:rsidRPr="00AE7485">
              <w:rPr>
                <w:rFonts w:ascii="Tahoma" w:hAnsi="Tahoma" w:cs="Tahoma"/>
                <w:bCs/>
                <w:iCs/>
                <w:sz w:val="22"/>
                <w:szCs w:val="22"/>
                <w:lang w:val="en-US"/>
              </w:rPr>
              <w:t>Supreme</w:t>
            </w:r>
            <w:r w:rsidRPr="00AE7485">
              <w:rPr>
                <w:rFonts w:ascii="Tahoma" w:hAnsi="Tahoma" w:cs="Tahoma"/>
                <w:bCs/>
                <w:iCs/>
                <w:sz w:val="22"/>
                <w:szCs w:val="22"/>
              </w:rPr>
              <w:t xml:space="preserve"> (по любой из причин), оформленной на имя Клиента в рамках Программы, Сервис не предоставляется с даты принятия Банком Заявления о закрытии банковской (платежной) карты.</w:t>
            </w:r>
          </w:p>
        </w:tc>
      </w:tr>
    </w:tbl>
    <w:p w14:paraId="6EAC395C" w14:textId="77777777" w:rsidR="00AE7485" w:rsidRPr="00AE7485" w:rsidRDefault="00AE7485" w:rsidP="00AE7485">
      <w:pPr>
        <w:spacing w:after="160" w:line="259" w:lineRule="auto"/>
        <w:rPr>
          <w:rFonts w:ascii="Tahoma" w:eastAsia="Calibri" w:hAnsi="Tahoma" w:cs="Tahoma"/>
          <w:bCs/>
          <w:iCs/>
          <w:sz w:val="18"/>
          <w:szCs w:val="18"/>
          <w:lang w:eastAsia="en-US"/>
        </w:rPr>
      </w:pPr>
    </w:p>
    <w:p w14:paraId="6021763B" w14:textId="3C7D092E" w:rsidR="00AE7485" w:rsidRPr="00AE7485" w:rsidRDefault="000B3718" w:rsidP="000B3718">
      <w:pPr>
        <w:pStyle w:val="a5"/>
      </w:pPr>
      <w:r>
        <w:t xml:space="preserve">4.6.2. </w:t>
      </w:r>
      <w:r w:rsidR="00AE7485" w:rsidRPr="00AE7485">
        <w:t>Тарифный план «Программа банковских услуг Статус» с 07.10.2024г.</w:t>
      </w:r>
    </w:p>
    <w:p w14:paraId="7EC1A05A" w14:textId="77777777" w:rsidR="00AE7485" w:rsidRPr="00AE7485" w:rsidRDefault="00AE7485" w:rsidP="00AE7485">
      <w:pPr>
        <w:ind w:left="435"/>
        <w:rPr>
          <w:rFonts w:ascii="Tahoma" w:hAnsi="Tahoma" w:cs="Tahoma"/>
          <w:sz w:val="28"/>
          <w:szCs w:val="28"/>
        </w:rPr>
      </w:pPr>
    </w:p>
    <w:tbl>
      <w:tblPr>
        <w:tblW w:w="4999" w:type="pct"/>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2"/>
        <w:gridCol w:w="5575"/>
        <w:gridCol w:w="8587"/>
      </w:tblGrid>
      <w:tr w:rsidR="00AE7485" w:rsidRPr="00AE7485" w14:paraId="5C8C14C2" w14:textId="77777777" w:rsidTr="00B86BDE">
        <w:trPr>
          <w:trHeight w:val="377"/>
          <w:tblHeader/>
        </w:trPr>
        <w:tc>
          <w:tcPr>
            <w:tcW w:w="318" w:type="pct"/>
            <w:tcBorders>
              <w:top w:val="single" w:sz="4" w:space="0" w:color="auto"/>
              <w:left w:val="single" w:sz="4" w:space="0" w:color="auto"/>
              <w:right w:val="single" w:sz="4" w:space="0" w:color="auto"/>
            </w:tcBorders>
            <w:shd w:val="clear" w:color="auto" w:fill="5C5C5C"/>
            <w:vAlign w:val="center"/>
          </w:tcPr>
          <w:p w14:paraId="6531A49D" w14:textId="77777777" w:rsidR="00AE7485" w:rsidRPr="00AE7485" w:rsidRDefault="00AE7485" w:rsidP="00AE7485">
            <w:pPr>
              <w:tabs>
                <w:tab w:val="left" w:pos="284"/>
              </w:tabs>
              <w:jc w:val="center"/>
              <w:rPr>
                <w:rFonts w:ascii="Tahoma" w:hAnsi="Tahoma" w:cs="Tahoma"/>
                <w:b/>
                <w:bCs/>
                <w:iCs/>
                <w:color w:val="FFFFFF"/>
              </w:rPr>
            </w:pPr>
            <w:r w:rsidRPr="00AE7485">
              <w:rPr>
                <w:rFonts w:ascii="Tahoma" w:hAnsi="Tahoma" w:cs="Tahoma"/>
                <w:b/>
                <w:bCs/>
                <w:iCs/>
                <w:color w:val="FFFFFF"/>
              </w:rPr>
              <w:t>№ пп</w:t>
            </w:r>
          </w:p>
        </w:tc>
        <w:tc>
          <w:tcPr>
            <w:tcW w:w="1843" w:type="pct"/>
            <w:tcBorders>
              <w:top w:val="single" w:sz="4" w:space="0" w:color="auto"/>
              <w:left w:val="single" w:sz="4" w:space="0" w:color="auto"/>
              <w:right w:val="single" w:sz="4" w:space="0" w:color="auto"/>
            </w:tcBorders>
            <w:shd w:val="clear" w:color="auto" w:fill="5C5C5C"/>
            <w:vAlign w:val="center"/>
          </w:tcPr>
          <w:p w14:paraId="3C85080E" w14:textId="77777777" w:rsidR="00AE7485" w:rsidRPr="00AE7485" w:rsidRDefault="00AE7485" w:rsidP="00AE7485">
            <w:pPr>
              <w:tabs>
                <w:tab w:val="left" w:pos="284"/>
              </w:tabs>
              <w:jc w:val="center"/>
              <w:rPr>
                <w:rFonts w:ascii="Tahoma" w:hAnsi="Tahoma" w:cs="Tahoma"/>
                <w:b/>
                <w:bCs/>
                <w:iCs/>
                <w:color w:val="FFFFFF"/>
              </w:rPr>
            </w:pPr>
            <w:r w:rsidRPr="00AE7485">
              <w:rPr>
                <w:rFonts w:ascii="Tahoma" w:hAnsi="Tahoma" w:cs="Tahoma"/>
                <w:b/>
                <w:bCs/>
                <w:iCs/>
                <w:color w:val="FFFFFF"/>
              </w:rPr>
              <w:t>БАНКОВСКИЕ УСЛУГИ</w:t>
            </w:r>
          </w:p>
        </w:tc>
        <w:tc>
          <w:tcPr>
            <w:tcW w:w="2839" w:type="pct"/>
            <w:tcBorders>
              <w:left w:val="single" w:sz="4" w:space="0" w:color="auto"/>
            </w:tcBorders>
            <w:shd w:val="clear" w:color="auto" w:fill="5C5C5C"/>
            <w:vAlign w:val="center"/>
          </w:tcPr>
          <w:p w14:paraId="5692E5F0" w14:textId="77777777" w:rsidR="00AE7485" w:rsidRPr="00AE7485" w:rsidRDefault="00AE7485" w:rsidP="00AE7485">
            <w:pPr>
              <w:tabs>
                <w:tab w:val="left" w:pos="284"/>
              </w:tabs>
              <w:jc w:val="center"/>
              <w:rPr>
                <w:rFonts w:ascii="Tahoma" w:hAnsi="Tahoma" w:cs="Tahoma"/>
                <w:b/>
                <w:bCs/>
                <w:iCs/>
                <w:color w:val="FFFFFF"/>
              </w:rPr>
            </w:pPr>
            <w:r w:rsidRPr="00AE7485">
              <w:rPr>
                <w:rFonts w:ascii="Tahoma" w:hAnsi="Tahoma" w:cs="Tahoma"/>
                <w:b/>
                <w:bCs/>
                <w:iCs/>
                <w:color w:val="FFFFFF"/>
              </w:rPr>
              <w:t>ТАРИФЫ (КОМИССИОННОЕ ВОЗНАГРАЖДЕНИЕ БАНКА)</w:t>
            </w:r>
            <w:r w:rsidRPr="00AE7485">
              <w:rPr>
                <w:rFonts w:ascii="Tahoma" w:hAnsi="Tahoma" w:cs="Tahoma"/>
                <w:b/>
                <w:bCs/>
                <w:iCs/>
                <w:color w:val="FFFFFF"/>
                <w:vertAlign w:val="superscript"/>
              </w:rPr>
              <w:footnoteReference w:id="195"/>
            </w:r>
            <w:r w:rsidRPr="00AE7485">
              <w:rPr>
                <w:rFonts w:ascii="Tahoma" w:hAnsi="Tahoma" w:cs="Tahoma"/>
                <w:b/>
                <w:bCs/>
                <w:iCs/>
                <w:color w:val="FFFFFF"/>
                <w:vertAlign w:val="superscript"/>
              </w:rPr>
              <w:t>,</w:t>
            </w:r>
            <w:r w:rsidRPr="00AE7485">
              <w:rPr>
                <w:rFonts w:ascii="Tahoma" w:hAnsi="Tahoma" w:cs="Tahoma"/>
                <w:b/>
                <w:bCs/>
                <w:iCs/>
                <w:color w:val="FFFFFF"/>
                <w:vertAlign w:val="superscript"/>
              </w:rPr>
              <w:footnoteReference w:id="196"/>
            </w:r>
          </w:p>
        </w:tc>
      </w:tr>
      <w:tr w:rsidR="00AE7485" w:rsidRPr="00AE7485" w14:paraId="3ECA106E" w14:textId="77777777" w:rsidTr="00B86BDE">
        <w:tc>
          <w:tcPr>
            <w:tcW w:w="318" w:type="pct"/>
            <w:shd w:val="clear" w:color="auto" w:fill="5C5C5C"/>
            <w:vAlign w:val="center"/>
          </w:tcPr>
          <w:p w14:paraId="050537E3" w14:textId="77777777" w:rsidR="00AE7485" w:rsidRPr="00AE7485" w:rsidRDefault="00AE7485" w:rsidP="00AE7485">
            <w:pPr>
              <w:tabs>
                <w:tab w:val="left" w:pos="284"/>
              </w:tabs>
              <w:rPr>
                <w:rFonts w:ascii="Tahoma" w:hAnsi="Tahoma" w:cs="Tahoma"/>
                <w:bCs/>
                <w:iCs/>
                <w:color w:val="FFFFFF"/>
              </w:rPr>
            </w:pPr>
            <w:r w:rsidRPr="00AE7485">
              <w:rPr>
                <w:rFonts w:ascii="Tahoma" w:hAnsi="Tahoma" w:cs="Tahoma"/>
                <w:bCs/>
                <w:iCs/>
                <w:color w:val="FFFFFF"/>
              </w:rPr>
              <w:t>1.</w:t>
            </w:r>
          </w:p>
        </w:tc>
        <w:tc>
          <w:tcPr>
            <w:tcW w:w="4682" w:type="pct"/>
            <w:gridSpan w:val="2"/>
            <w:shd w:val="clear" w:color="auto" w:fill="5C5C5C"/>
            <w:vAlign w:val="center"/>
          </w:tcPr>
          <w:p w14:paraId="343DB809" w14:textId="77777777" w:rsidR="00AE7485" w:rsidRPr="00AE7485" w:rsidRDefault="00AE7485" w:rsidP="00AE7485">
            <w:pPr>
              <w:tabs>
                <w:tab w:val="left" w:pos="284"/>
              </w:tabs>
              <w:rPr>
                <w:rFonts w:ascii="Tahoma" w:hAnsi="Tahoma" w:cs="Tahoma"/>
                <w:bCs/>
                <w:iCs/>
                <w:color w:val="E36C0A"/>
              </w:rPr>
            </w:pPr>
            <w:r w:rsidRPr="00AE7485">
              <w:rPr>
                <w:rFonts w:ascii="Tahoma" w:hAnsi="Tahoma" w:cs="Tahoma"/>
                <w:bCs/>
                <w:iCs/>
                <w:color w:val="FFFFFF"/>
              </w:rPr>
              <w:t>Условия предоставления и обслуживания Программы банковских услуг «Статус Плюс» (далее – Программа</w:t>
            </w:r>
            <w:r w:rsidRPr="00AE7485">
              <w:rPr>
                <w:rFonts w:ascii="Tahoma" w:hAnsi="Tahoma" w:cs="Tahoma"/>
                <w:bCs/>
                <w:iCs/>
                <w:color w:val="FFFFFF"/>
                <w:vertAlign w:val="superscript"/>
              </w:rPr>
              <w:footnoteReference w:id="197"/>
            </w:r>
            <w:r w:rsidRPr="00AE7485">
              <w:rPr>
                <w:rFonts w:ascii="Tahoma" w:hAnsi="Tahoma" w:cs="Tahoma"/>
                <w:bCs/>
                <w:iCs/>
                <w:color w:val="FFFFFF"/>
              </w:rPr>
              <w:t>)</w:t>
            </w:r>
          </w:p>
        </w:tc>
      </w:tr>
      <w:tr w:rsidR="00AE7485" w:rsidRPr="00AE7485" w14:paraId="15DB5FC2" w14:textId="77777777" w:rsidTr="00B86BDE">
        <w:tc>
          <w:tcPr>
            <w:tcW w:w="318" w:type="pct"/>
            <w:shd w:val="clear" w:color="auto" w:fill="auto"/>
            <w:vAlign w:val="center"/>
          </w:tcPr>
          <w:p w14:paraId="68E519A9" w14:textId="77777777" w:rsidR="00AE7485" w:rsidRPr="00AE7485" w:rsidRDefault="00AE7485" w:rsidP="00AE7485">
            <w:pPr>
              <w:tabs>
                <w:tab w:val="left" w:pos="284"/>
              </w:tabs>
              <w:rPr>
                <w:rFonts w:ascii="Tahoma" w:hAnsi="Tahoma" w:cs="Tahoma"/>
                <w:bCs/>
                <w:iCs/>
                <w:color w:val="000000"/>
                <w:sz w:val="22"/>
                <w:szCs w:val="22"/>
              </w:rPr>
            </w:pPr>
            <w:r w:rsidRPr="00AE7485">
              <w:rPr>
                <w:rFonts w:ascii="Tahoma" w:hAnsi="Tahoma" w:cs="Tahoma"/>
                <w:bCs/>
                <w:iCs/>
                <w:color w:val="000000"/>
                <w:sz w:val="22"/>
                <w:szCs w:val="22"/>
              </w:rPr>
              <w:t>1.1.</w:t>
            </w:r>
          </w:p>
        </w:tc>
        <w:tc>
          <w:tcPr>
            <w:tcW w:w="1843" w:type="pct"/>
            <w:shd w:val="clear" w:color="auto" w:fill="auto"/>
            <w:vAlign w:val="center"/>
          </w:tcPr>
          <w:p w14:paraId="38165019" w14:textId="77777777" w:rsidR="00AE7485" w:rsidRPr="00AE7485" w:rsidRDefault="00AE7485" w:rsidP="00AE7485">
            <w:pPr>
              <w:rPr>
                <w:rFonts w:ascii="Tahoma" w:hAnsi="Tahoma" w:cs="Tahoma"/>
                <w:b/>
                <w:bCs/>
                <w:iCs/>
                <w:color w:val="E36C0A"/>
                <w:sz w:val="22"/>
                <w:szCs w:val="22"/>
              </w:rPr>
            </w:pPr>
            <w:r w:rsidRPr="00AE7485">
              <w:rPr>
                <w:rFonts w:ascii="Tahoma" w:hAnsi="Tahoma" w:cs="Tahoma"/>
                <w:color w:val="000000"/>
                <w:sz w:val="22"/>
                <w:szCs w:val="22"/>
              </w:rPr>
              <w:t xml:space="preserve">Пользователь услуг </w:t>
            </w:r>
          </w:p>
        </w:tc>
        <w:tc>
          <w:tcPr>
            <w:tcW w:w="2839" w:type="pct"/>
            <w:shd w:val="clear" w:color="auto" w:fill="auto"/>
            <w:vAlign w:val="center"/>
          </w:tcPr>
          <w:p w14:paraId="4B0B918B"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Физическое лицо (далее – Клиент), заключившее в рамках настоящей Программы</w:t>
            </w:r>
            <w:r w:rsidRPr="00AE7485">
              <w:rPr>
                <w:rFonts w:ascii="Tahoma" w:hAnsi="Tahoma" w:cs="Tahoma"/>
                <w:bCs/>
                <w:iCs/>
                <w:sz w:val="22"/>
                <w:szCs w:val="22"/>
                <w:vertAlign w:val="superscript"/>
              </w:rPr>
              <w:t xml:space="preserve"> </w:t>
            </w:r>
            <w:r w:rsidRPr="00AE7485">
              <w:rPr>
                <w:rFonts w:ascii="Tahoma" w:hAnsi="Tahoma" w:cs="Tahoma"/>
                <w:bCs/>
                <w:iCs/>
                <w:sz w:val="22"/>
                <w:szCs w:val="22"/>
              </w:rPr>
              <w:t>с Банком Договор Карты. На имя одного Клиента может быть открыта только одна Программа банковских услуг (по волеизъявлению Клиента): либо «Статус», либо «Статус Плюс».</w:t>
            </w:r>
          </w:p>
        </w:tc>
      </w:tr>
      <w:tr w:rsidR="00AE7485" w:rsidRPr="00AE7485" w14:paraId="66FB1CAD" w14:textId="77777777" w:rsidTr="00B86BDE">
        <w:tc>
          <w:tcPr>
            <w:tcW w:w="318" w:type="pct"/>
            <w:shd w:val="clear" w:color="auto" w:fill="auto"/>
            <w:vAlign w:val="center"/>
          </w:tcPr>
          <w:p w14:paraId="1BF55C49" w14:textId="77777777" w:rsidR="00AE7485" w:rsidRPr="00AE7485" w:rsidRDefault="00AE7485" w:rsidP="00AE7485">
            <w:pPr>
              <w:tabs>
                <w:tab w:val="left" w:pos="284"/>
              </w:tabs>
              <w:rPr>
                <w:rFonts w:ascii="Tahoma" w:hAnsi="Tahoma" w:cs="Tahoma"/>
                <w:bCs/>
                <w:iCs/>
                <w:color w:val="000000"/>
                <w:sz w:val="22"/>
                <w:szCs w:val="22"/>
              </w:rPr>
            </w:pPr>
            <w:r w:rsidRPr="00AE7485">
              <w:rPr>
                <w:rFonts w:ascii="Tahoma" w:hAnsi="Tahoma" w:cs="Tahoma"/>
                <w:bCs/>
                <w:iCs/>
                <w:color w:val="000000"/>
                <w:sz w:val="22"/>
                <w:szCs w:val="22"/>
              </w:rPr>
              <w:t>1.2.</w:t>
            </w:r>
          </w:p>
        </w:tc>
        <w:tc>
          <w:tcPr>
            <w:tcW w:w="1843" w:type="pct"/>
            <w:shd w:val="clear" w:color="auto" w:fill="auto"/>
            <w:vAlign w:val="center"/>
          </w:tcPr>
          <w:p w14:paraId="2EE228F3" w14:textId="77777777" w:rsidR="00AE7485" w:rsidRPr="00AE7485" w:rsidRDefault="00AE7485" w:rsidP="00AE7485">
            <w:pPr>
              <w:rPr>
                <w:rFonts w:ascii="Tahoma" w:hAnsi="Tahoma" w:cs="Tahoma"/>
                <w:bCs/>
                <w:iCs/>
                <w:sz w:val="22"/>
                <w:szCs w:val="22"/>
              </w:rPr>
            </w:pPr>
            <w:r w:rsidRPr="00AE7485">
              <w:rPr>
                <w:rFonts w:ascii="Tahoma" w:hAnsi="Tahoma" w:cs="Tahoma"/>
                <w:bCs/>
                <w:iCs/>
                <w:sz w:val="22"/>
                <w:szCs w:val="22"/>
              </w:rPr>
              <w:t>Стоимость подключения Программы</w:t>
            </w:r>
          </w:p>
        </w:tc>
        <w:tc>
          <w:tcPr>
            <w:tcW w:w="2839" w:type="pct"/>
            <w:shd w:val="clear" w:color="auto" w:fill="auto"/>
            <w:vAlign w:val="center"/>
          </w:tcPr>
          <w:p w14:paraId="3549B03E" w14:textId="77777777" w:rsidR="00AE7485" w:rsidRPr="00AE7485" w:rsidRDefault="00AE7485" w:rsidP="00AE7485">
            <w:pPr>
              <w:tabs>
                <w:tab w:val="left" w:pos="4889"/>
              </w:tabs>
              <w:jc w:val="center"/>
              <w:rPr>
                <w:rFonts w:ascii="Tahoma" w:hAnsi="Tahoma" w:cs="Tahoma"/>
                <w:b/>
                <w:bCs/>
                <w:sz w:val="22"/>
              </w:rPr>
            </w:pPr>
            <w:r w:rsidRPr="00AE7485">
              <w:rPr>
                <w:rFonts w:ascii="Tahoma" w:hAnsi="Tahoma" w:cs="Tahoma"/>
                <w:b/>
                <w:bCs/>
                <w:sz w:val="22"/>
              </w:rPr>
              <w:t>БЕСПЛАТНО</w:t>
            </w:r>
          </w:p>
        </w:tc>
      </w:tr>
      <w:tr w:rsidR="00AE7485" w:rsidRPr="00AE7485" w14:paraId="0A5EBB96" w14:textId="77777777" w:rsidTr="00B86BDE">
        <w:tc>
          <w:tcPr>
            <w:tcW w:w="318" w:type="pct"/>
            <w:shd w:val="clear" w:color="auto" w:fill="auto"/>
            <w:vAlign w:val="center"/>
          </w:tcPr>
          <w:p w14:paraId="4A88171A" w14:textId="77777777" w:rsidR="00AE7485" w:rsidRPr="00AE7485" w:rsidRDefault="00AE7485" w:rsidP="00AE7485">
            <w:pPr>
              <w:tabs>
                <w:tab w:val="left" w:pos="284"/>
              </w:tabs>
              <w:rPr>
                <w:rFonts w:ascii="Tahoma" w:hAnsi="Tahoma" w:cs="Tahoma"/>
                <w:bCs/>
                <w:iCs/>
                <w:color w:val="000000"/>
                <w:sz w:val="22"/>
                <w:szCs w:val="22"/>
              </w:rPr>
            </w:pPr>
            <w:r w:rsidRPr="00AE7485">
              <w:rPr>
                <w:rFonts w:ascii="Tahoma" w:hAnsi="Tahoma" w:cs="Tahoma"/>
                <w:bCs/>
                <w:iCs/>
                <w:color w:val="000000"/>
                <w:sz w:val="22"/>
                <w:szCs w:val="22"/>
              </w:rPr>
              <w:t>1.3.</w:t>
            </w:r>
          </w:p>
        </w:tc>
        <w:tc>
          <w:tcPr>
            <w:tcW w:w="1843" w:type="pct"/>
            <w:shd w:val="clear" w:color="auto" w:fill="auto"/>
            <w:vAlign w:val="center"/>
          </w:tcPr>
          <w:p w14:paraId="61EB1CC1" w14:textId="77777777" w:rsidR="00AE7485" w:rsidRPr="00AE7485" w:rsidRDefault="00AE7485" w:rsidP="00AE7485">
            <w:pPr>
              <w:rPr>
                <w:rFonts w:ascii="Tahoma" w:hAnsi="Tahoma" w:cs="Tahoma"/>
                <w:bCs/>
                <w:iCs/>
                <w:sz w:val="22"/>
                <w:szCs w:val="22"/>
              </w:rPr>
            </w:pPr>
            <w:r w:rsidRPr="00AE7485">
              <w:rPr>
                <w:rFonts w:ascii="Tahoma" w:hAnsi="Tahoma" w:cs="Tahoma"/>
                <w:bCs/>
                <w:iCs/>
                <w:sz w:val="22"/>
                <w:szCs w:val="22"/>
              </w:rPr>
              <w:t>Стоимость обслуживания Программы с первого Отчетного периода</w:t>
            </w:r>
            <w:r w:rsidRPr="00AE7485">
              <w:rPr>
                <w:rFonts w:ascii="Tahoma" w:hAnsi="Tahoma" w:cs="Tahoma"/>
                <w:bCs/>
                <w:iCs/>
                <w:sz w:val="22"/>
                <w:szCs w:val="22"/>
                <w:vertAlign w:val="superscript"/>
              </w:rPr>
              <w:footnoteReference w:id="198"/>
            </w:r>
            <w:r w:rsidRPr="00AE7485">
              <w:rPr>
                <w:rFonts w:ascii="Tahoma" w:hAnsi="Tahoma" w:cs="Tahoma"/>
                <w:bCs/>
                <w:iCs/>
                <w:sz w:val="22"/>
                <w:szCs w:val="22"/>
              </w:rPr>
              <w:t>, следующего за месяцем подключения Программы (при не соблюдении одного из условий, указанных в п.2 Программы), а также в случае расторжения Программы в Льготном периоде</w:t>
            </w:r>
          </w:p>
        </w:tc>
        <w:tc>
          <w:tcPr>
            <w:tcW w:w="2839" w:type="pct"/>
            <w:shd w:val="clear" w:color="auto" w:fill="auto"/>
            <w:vAlign w:val="center"/>
          </w:tcPr>
          <w:p w14:paraId="13BB0FED" w14:textId="77777777" w:rsidR="00AE7485" w:rsidRPr="00AE7485" w:rsidRDefault="00AE7485" w:rsidP="00AE7485">
            <w:pPr>
              <w:tabs>
                <w:tab w:val="left" w:pos="4889"/>
              </w:tabs>
              <w:jc w:val="center"/>
              <w:rPr>
                <w:rFonts w:ascii="Tahoma" w:hAnsi="Tahoma" w:cs="Tahoma"/>
                <w:b/>
                <w:bCs/>
                <w:sz w:val="22"/>
                <w:szCs w:val="22"/>
              </w:rPr>
            </w:pPr>
            <w:r w:rsidRPr="00AE7485">
              <w:rPr>
                <w:rFonts w:ascii="Tahoma" w:hAnsi="Tahoma" w:cs="Tahoma"/>
                <w:b/>
                <w:bCs/>
                <w:sz w:val="22"/>
                <w:szCs w:val="22"/>
              </w:rPr>
              <w:t xml:space="preserve">4 350 рублей </w:t>
            </w:r>
            <w:r w:rsidRPr="00AE7485">
              <w:rPr>
                <w:rFonts w:ascii="Tahoma" w:hAnsi="Tahoma" w:cs="Tahoma"/>
                <w:bCs/>
                <w:sz w:val="22"/>
                <w:szCs w:val="22"/>
              </w:rPr>
              <w:t>в месяц</w:t>
            </w:r>
            <w:r w:rsidRPr="00AE7485">
              <w:rPr>
                <w:rFonts w:ascii="Tahoma" w:hAnsi="Tahoma" w:cs="Tahoma"/>
                <w:bCs/>
                <w:sz w:val="22"/>
                <w:szCs w:val="22"/>
                <w:vertAlign w:val="superscript"/>
              </w:rPr>
              <w:footnoteReference w:id="199"/>
            </w:r>
          </w:p>
        </w:tc>
      </w:tr>
      <w:tr w:rsidR="00AE7485" w:rsidRPr="00AE7485" w14:paraId="72BDAE78" w14:textId="77777777" w:rsidTr="00B86BDE">
        <w:tc>
          <w:tcPr>
            <w:tcW w:w="318" w:type="pct"/>
            <w:shd w:val="clear" w:color="auto" w:fill="auto"/>
            <w:vAlign w:val="center"/>
          </w:tcPr>
          <w:p w14:paraId="6F4F1DB7" w14:textId="77777777" w:rsidR="00AE7485" w:rsidRPr="00AE7485" w:rsidRDefault="00AE7485" w:rsidP="00AE7485">
            <w:pPr>
              <w:tabs>
                <w:tab w:val="left" w:pos="284"/>
              </w:tabs>
              <w:rPr>
                <w:rFonts w:ascii="Tahoma" w:hAnsi="Tahoma" w:cs="Tahoma"/>
                <w:bCs/>
                <w:iCs/>
                <w:color w:val="000000"/>
                <w:sz w:val="22"/>
                <w:szCs w:val="22"/>
              </w:rPr>
            </w:pPr>
            <w:r w:rsidRPr="00AE7485">
              <w:rPr>
                <w:rFonts w:ascii="Tahoma" w:hAnsi="Tahoma" w:cs="Tahoma"/>
                <w:bCs/>
                <w:iCs/>
                <w:color w:val="000000"/>
                <w:sz w:val="22"/>
                <w:szCs w:val="22"/>
              </w:rPr>
              <w:t>1.4.</w:t>
            </w:r>
          </w:p>
        </w:tc>
        <w:tc>
          <w:tcPr>
            <w:tcW w:w="1843" w:type="pct"/>
            <w:shd w:val="clear" w:color="auto" w:fill="auto"/>
            <w:vAlign w:val="center"/>
          </w:tcPr>
          <w:p w14:paraId="4933E679" w14:textId="77777777" w:rsidR="00AE7485" w:rsidRPr="00AE7485" w:rsidRDefault="00AE7485" w:rsidP="00AE7485">
            <w:pPr>
              <w:rPr>
                <w:rFonts w:ascii="Tahoma" w:hAnsi="Tahoma" w:cs="Tahoma"/>
                <w:bCs/>
                <w:iCs/>
                <w:sz w:val="22"/>
                <w:szCs w:val="22"/>
              </w:rPr>
            </w:pPr>
            <w:r w:rsidRPr="00AE7485">
              <w:rPr>
                <w:rFonts w:ascii="Tahoma" w:hAnsi="Tahoma" w:cs="Tahoma"/>
                <w:bCs/>
                <w:iCs/>
                <w:sz w:val="22"/>
                <w:szCs w:val="22"/>
              </w:rPr>
              <w:t>Стоимость обслуживания Программы при соблюдении одного из условий, указанных в п.2 Программы</w:t>
            </w:r>
          </w:p>
        </w:tc>
        <w:tc>
          <w:tcPr>
            <w:tcW w:w="2839" w:type="pct"/>
            <w:shd w:val="clear" w:color="auto" w:fill="auto"/>
            <w:vAlign w:val="center"/>
          </w:tcPr>
          <w:p w14:paraId="671D867F" w14:textId="77777777" w:rsidR="00AE7485" w:rsidRPr="00AE7485" w:rsidRDefault="00AE7485" w:rsidP="00AE7485">
            <w:pPr>
              <w:tabs>
                <w:tab w:val="left" w:pos="4889"/>
              </w:tabs>
              <w:jc w:val="center"/>
              <w:rPr>
                <w:rFonts w:ascii="Tahoma" w:hAnsi="Tahoma" w:cs="Tahoma"/>
                <w:b/>
                <w:bCs/>
                <w:sz w:val="22"/>
                <w:szCs w:val="22"/>
              </w:rPr>
            </w:pPr>
            <w:r w:rsidRPr="00AE7485">
              <w:rPr>
                <w:rFonts w:ascii="Tahoma" w:hAnsi="Tahoma" w:cs="Tahoma"/>
                <w:b/>
                <w:bCs/>
                <w:sz w:val="22"/>
                <w:szCs w:val="22"/>
              </w:rPr>
              <w:t>БЕСПЛАТНО</w:t>
            </w:r>
          </w:p>
        </w:tc>
      </w:tr>
      <w:tr w:rsidR="00AE7485" w:rsidRPr="00AE7485" w14:paraId="764420D0" w14:textId="77777777" w:rsidTr="00B86BDE">
        <w:tc>
          <w:tcPr>
            <w:tcW w:w="318" w:type="pct"/>
            <w:shd w:val="clear" w:color="auto" w:fill="auto"/>
            <w:vAlign w:val="center"/>
          </w:tcPr>
          <w:p w14:paraId="71DB26DB" w14:textId="77777777" w:rsidR="00AE7485" w:rsidRPr="00AE7485" w:rsidRDefault="00AE7485" w:rsidP="00AE7485">
            <w:pPr>
              <w:tabs>
                <w:tab w:val="left" w:pos="284"/>
              </w:tabs>
              <w:rPr>
                <w:rFonts w:ascii="Tahoma" w:hAnsi="Tahoma" w:cs="Tahoma"/>
                <w:bCs/>
                <w:iCs/>
                <w:color w:val="000000"/>
                <w:sz w:val="22"/>
                <w:szCs w:val="22"/>
              </w:rPr>
            </w:pPr>
            <w:r w:rsidRPr="00AE7485">
              <w:rPr>
                <w:rFonts w:ascii="Tahoma" w:hAnsi="Tahoma" w:cs="Tahoma"/>
                <w:bCs/>
                <w:iCs/>
                <w:color w:val="000000"/>
                <w:sz w:val="22"/>
                <w:szCs w:val="22"/>
              </w:rPr>
              <w:t>1.5.</w:t>
            </w:r>
          </w:p>
        </w:tc>
        <w:tc>
          <w:tcPr>
            <w:tcW w:w="1843" w:type="pct"/>
            <w:shd w:val="clear" w:color="auto" w:fill="auto"/>
            <w:vAlign w:val="center"/>
          </w:tcPr>
          <w:p w14:paraId="7F6E83BC" w14:textId="77777777" w:rsidR="00AE7485" w:rsidRPr="00AE7485" w:rsidRDefault="00AE7485" w:rsidP="00AE7485">
            <w:pPr>
              <w:rPr>
                <w:rFonts w:ascii="Tahoma" w:hAnsi="Tahoma" w:cs="Tahoma"/>
                <w:bCs/>
                <w:iCs/>
                <w:sz w:val="22"/>
                <w:szCs w:val="22"/>
              </w:rPr>
            </w:pPr>
            <w:r w:rsidRPr="00AE7485">
              <w:rPr>
                <w:rFonts w:ascii="Tahoma" w:hAnsi="Tahoma" w:cs="Tahoma"/>
                <w:bCs/>
                <w:iCs/>
                <w:sz w:val="22"/>
                <w:szCs w:val="22"/>
              </w:rPr>
              <w:t>Льготный период при оформлении Программы</w:t>
            </w:r>
          </w:p>
        </w:tc>
        <w:tc>
          <w:tcPr>
            <w:tcW w:w="2839" w:type="pct"/>
            <w:shd w:val="clear" w:color="auto" w:fill="auto"/>
            <w:vAlign w:val="center"/>
          </w:tcPr>
          <w:p w14:paraId="4DC0BDF4" w14:textId="77777777" w:rsidR="00AE7485" w:rsidRPr="00AE7485" w:rsidRDefault="00AE7485" w:rsidP="00AE7485">
            <w:pPr>
              <w:tabs>
                <w:tab w:val="left" w:pos="4889"/>
              </w:tabs>
              <w:jc w:val="center"/>
              <w:rPr>
                <w:rFonts w:ascii="Tahoma" w:hAnsi="Tahoma" w:cs="Tahoma"/>
                <w:bCs/>
                <w:sz w:val="22"/>
                <w:szCs w:val="22"/>
              </w:rPr>
            </w:pPr>
            <w:r w:rsidRPr="00AE7485">
              <w:rPr>
                <w:rFonts w:ascii="Tahoma" w:hAnsi="Tahoma" w:cs="Tahoma"/>
                <w:bCs/>
                <w:sz w:val="22"/>
                <w:szCs w:val="22"/>
              </w:rPr>
              <w:t>Календарный месяц, в котором Клиент оформил Программу и в котором комиссия за ежемесячное обслуживание Программы, указанная в п.2 Программы, не начисляется</w:t>
            </w:r>
          </w:p>
        </w:tc>
      </w:tr>
      <w:tr w:rsidR="00AE7485" w:rsidRPr="00AE7485" w14:paraId="722A7918" w14:textId="77777777" w:rsidTr="00B86BDE">
        <w:tc>
          <w:tcPr>
            <w:tcW w:w="318" w:type="pct"/>
            <w:shd w:val="clear" w:color="auto" w:fill="5C5C5C"/>
            <w:vAlign w:val="center"/>
          </w:tcPr>
          <w:p w14:paraId="2EABD056" w14:textId="77777777" w:rsidR="00AE7485" w:rsidRPr="00AE7485" w:rsidRDefault="00AE7485" w:rsidP="00AE7485">
            <w:pPr>
              <w:tabs>
                <w:tab w:val="left" w:pos="284"/>
              </w:tabs>
              <w:rPr>
                <w:rFonts w:ascii="Tahoma" w:hAnsi="Tahoma" w:cs="Tahoma"/>
                <w:bCs/>
                <w:iCs/>
                <w:color w:val="FFFFFF"/>
              </w:rPr>
            </w:pPr>
            <w:r w:rsidRPr="00AE7485">
              <w:rPr>
                <w:rFonts w:ascii="Tahoma" w:hAnsi="Tahoma" w:cs="Tahoma"/>
                <w:bCs/>
                <w:iCs/>
                <w:color w:val="FFFFFF"/>
              </w:rPr>
              <w:t>2.</w:t>
            </w:r>
          </w:p>
        </w:tc>
        <w:tc>
          <w:tcPr>
            <w:tcW w:w="4682" w:type="pct"/>
            <w:gridSpan w:val="2"/>
            <w:shd w:val="clear" w:color="auto" w:fill="5C5C5C"/>
            <w:vAlign w:val="center"/>
          </w:tcPr>
          <w:p w14:paraId="106447FD" w14:textId="77777777" w:rsidR="00AE7485" w:rsidRPr="00AE7485" w:rsidRDefault="00AE7485" w:rsidP="00AE7485">
            <w:pPr>
              <w:tabs>
                <w:tab w:val="left" w:pos="284"/>
              </w:tabs>
              <w:rPr>
                <w:rFonts w:ascii="Tahoma" w:hAnsi="Tahoma" w:cs="Tahoma"/>
                <w:bCs/>
                <w:iCs/>
                <w:color w:val="FFFFFF"/>
              </w:rPr>
            </w:pPr>
            <w:r w:rsidRPr="00AE7485">
              <w:rPr>
                <w:rFonts w:ascii="Tahoma" w:hAnsi="Tahoma" w:cs="Tahoma"/>
                <w:bCs/>
                <w:iCs/>
                <w:color w:val="FFFFFF"/>
              </w:rPr>
              <w:t>Условия бесплатного обслуживания Программы</w:t>
            </w:r>
          </w:p>
        </w:tc>
      </w:tr>
      <w:tr w:rsidR="00AE7485" w:rsidRPr="00AE7485" w14:paraId="1F3561B3" w14:textId="77777777" w:rsidTr="00B86BDE">
        <w:tc>
          <w:tcPr>
            <w:tcW w:w="318" w:type="pct"/>
            <w:shd w:val="clear" w:color="auto" w:fill="auto"/>
            <w:vAlign w:val="center"/>
          </w:tcPr>
          <w:p w14:paraId="627472CC" w14:textId="77777777" w:rsidR="00AE7485" w:rsidRPr="00AE7485" w:rsidRDefault="00AE7485" w:rsidP="00AE7485">
            <w:pPr>
              <w:tabs>
                <w:tab w:val="left" w:pos="284"/>
              </w:tabs>
              <w:rPr>
                <w:rFonts w:ascii="Tahoma" w:hAnsi="Tahoma" w:cs="Tahoma"/>
                <w:bCs/>
                <w:iCs/>
                <w:color w:val="000000"/>
                <w:sz w:val="22"/>
                <w:szCs w:val="22"/>
              </w:rPr>
            </w:pPr>
            <w:r w:rsidRPr="00AE7485">
              <w:rPr>
                <w:rFonts w:ascii="Tahoma" w:hAnsi="Tahoma" w:cs="Tahoma"/>
                <w:bCs/>
                <w:iCs/>
                <w:color w:val="000000"/>
                <w:sz w:val="22"/>
                <w:szCs w:val="22"/>
              </w:rPr>
              <w:t>2.1.</w:t>
            </w:r>
          </w:p>
        </w:tc>
        <w:tc>
          <w:tcPr>
            <w:tcW w:w="1843" w:type="pct"/>
            <w:shd w:val="clear" w:color="auto" w:fill="auto"/>
            <w:vAlign w:val="center"/>
          </w:tcPr>
          <w:p w14:paraId="2864D74D" w14:textId="77777777" w:rsidR="00AE7485" w:rsidRPr="00AE7485" w:rsidRDefault="00AE7485" w:rsidP="00AE7485">
            <w:pPr>
              <w:rPr>
                <w:rFonts w:ascii="Tahoma" w:hAnsi="Tahoma" w:cs="Tahoma"/>
                <w:bCs/>
                <w:iCs/>
                <w:sz w:val="22"/>
                <w:szCs w:val="22"/>
              </w:rPr>
            </w:pPr>
            <w:r w:rsidRPr="00AE7485">
              <w:rPr>
                <w:rFonts w:ascii="Tahoma" w:hAnsi="Tahoma" w:cs="Tahoma"/>
                <w:bCs/>
                <w:iCs/>
                <w:sz w:val="22"/>
                <w:szCs w:val="22"/>
              </w:rPr>
              <w:t>Сумма покупок</w:t>
            </w:r>
            <w:r w:rsidRPr="00AE7485">
              <w:rPr>
                <w:rFonts w:ascii="Tahoma" w:hAnsi="Tahoma" w:cs="Tahoma"/>
                <w:bCs/>
                <w:iCs/>
                <w:sz w:val="22"/>
                <w:szCs w:val="22"/>
                <w:vertAlign w:val="superscript"/>
              </w:rPr>
              <w:footnoteReference w:id="200"/>
            </w:r>
            <w:r w:rsidRPr="00AE7485">
              <w:rPr>
                <w:rFonts w:ascii="Tahoma" w:hAnsi="Tahoma" w:cs="Tahoma"/>
                <w:bCs/>
                <w:iCs/>
                <w:sz w:val="22"/>
                <w:szCs w:val="22"/>
              </w:rPr>
              <w:t xml:space="preserve"> по Картам, выпущенным в рамках Программы, в течение Отчетного периода</w:t>
            </w:r>
          </w:p>
        </w:tc>
        <w:tc>
          <w:tcPr>
            <w:tcW w:w="2839" w:type="pct"/>
            <w:shd w:val="clear" w:color="auto" w:fill="auto"/>
            <w:vAlign w:val="center"/>
          </w:tcPr>
          <w:p w14:paraId="3FA45A9F" w14:textId="77777777" w:rsidR="00AE7485" w:rsidRPr="00AE7485" w:rsidRDefault="00AE7485" w:rsidP="00AE7485">
            <w:pPr>
              <w:tabs>
                <w:tab w:val="left" w:pos="4889"/>
              </w:tabs>
              <w:jc w:val="center"/>
              <w:rPr>
                <w:rFonts w:ascii="Tahoma" w:hAnsi="Tahoma" w:cs="Tahoma"/>
                <w:b/>
                <w:bCs/>
                <w:sz w:val="22"/>
                <w:szCs w:val="22"/>
              </w:rPr>
            </w:pPr>
            <w:r w:rsidRPr="00AE7485">
              <w:rPr>
                <w:rFonts w:ascii="Tahoma" w:hAnsi="Tahoma" w:cs="Tahoma"/>
                <w:bCs/>
                <w:sz w:val="22"/>
                <w:szCs w:val="22"/>
              </w:rPr>
              <w:t>От</w:t>
            </w:r>
            <w:r w:rsidRPr="00AE7485">
              <w:rPr>
                <w:rFonts w:ascii="Tahoma" w:hAnsi="Tahoma" w:cs="Tahoma"/>
                <w:b/>
                <w:bCs/>
                <w:sz w:val="22"/>
                <w:szCs w:val="22"/>
              </w:rPr>
              <w:t xml:space="preserve"> 550 000 рублей</w:t>
            </w:r>
          </w:p>
        </w:tc>
      </w:tr>
      <w:tr w:rsidR="00AE7485" w:rsidRPr="00AE7485" w14:paraId="7E35DFC1" w14:textId="77777777" w:rsidTr="00B86BDE">
        <w:tc>
          <w:tcPr>
            <w:tcW w:w="318" w:type="pct"/>
            <w:shd w:val="clear" w:color="auto" w:fill="auto"/>
            <w:vAlign w:val="center"/>
          </w:tcPr>
          <w:p w14:paraId="5DF1E4FF" w14:textId="77777777" w:rsidR="00AE7485" w:rsidRPr="00AE7485" w:rsidRDefault="00AE7485" w:rsidP="00AE7485">
            <w:pPr>
              <w:tabs>
                <w:tab w:val="left" w:pos="284"/>
              </w:tabs>
              <w:rPr>
                <w:rFonts w:ascii="Tahoma" w:hAnsi="Tahoma" w:cs="Tahoma"/>
                <w:bCs/>
                <w:iCs/>
                <w:color w:val="000000"/>
                <w:sz w:val="22"/>
                <w:szCs w:val="22"/>
              </w:rPr>
            </w:pPr>
            <w:r w:rsidRPr="00AE7485">
              <w:rPr>
                <w:rFonts w:ascii="Tahoma" w:hAnsi="Tahoma" w:cs="Tahoma"/>
                <w:bCs/>
                <w:iCs/>
                <w:color w:val="000000"/>
                <w:sz w:val="22"/>
                <w:szCs w:val="22"/>
              </w:rPr>
              <w:t>2.2.</w:t>
            </w:r>
          </w:p>
        </w:tc>
        <w:tc>
          <w:tcPr>
            <w:tcW w:w="1843" w:type="pct"/>
            <w:shd w:val="clear" w:color="auto" w:fill="auto"/>
            <w:vAlign w:val="center"/>
          </w:tcPr>
          <w:p w14:paraId="23EAE3BA" w14:textId="77777777" w:rsidR="00AE7485" w:rsidRPr="00AE7485" w:rsidRDefault="00AE7485" w:rsidP="00AE7485">
            <w:pPr>
              <w:rPr>
                <w:rFonts w:ascii="Tahoma" w:hAnsi="Tahoma" w:cs="Tahoma"/>
                <w:bCs/>
                <w:iCs/>
                <w:sz w:val="22"/>
                <w:szCs w:val="22"/>
              </w:rPr>
            </w:pPr>
            <w:r w:rsidRPr="00AE7485">
              <w:rPr>
                <w:rFonts w:ascii="Tahoma" w:hAnsi="Tahoma" w:cs="Tahoma"/>
                <w:bCs/>
                <w:iCs/>
                <w:sz w:val="22"/>
                <w:szCs w:val="22"/>
              </w:rPr>
              <w:t>Средние остатки</w:t>
            </w:r>
            <w:r w:rsidRPr="00AE7485">
              <w:rPr>
                <w:rFonts w:ascii="Tahoma" w:hAnsi="Tahoma" w:cs="Tahoma"/>
                <w:bCs/>
                <w:iCs/>
                <w:sz w:val="22"/>
                <w:szCs w:val="22"/>
                <w:vertAlign w:val="superscript"/>
              </w:rPr>
              <w:footnoteReference w:id="201"/>
            </w:r>
            <w:r w:rsidRPr="00AE7485">
              <w:rPr>
                <w:rFonts w:ascii="Tahoma" w:hAnsi="Tahoma" w:cs="Tahoma"/>
                <w:bCs/>
                <w:iCs/>
                <w:sz w:val="22"/>
                <w:szCs w:val="22"/>
              </w:rPr>
              <w:t xml:space="preserve"> денежных средств в течение Отчетного периода</w:t>
            </w:r>
          </w:p>
        </w:tc>
        <w:tc>
          <w:tcPr>
            <w:tcW w:w="2839" w:type="pct"/>
            <w:shd w:val="clear" w:color="auto" w:fill="auto"/>
            <w:vAlign w:val="center"/>
          </w:tcPr>
          <w:p w14:paraId="052F2F4A" w14:textId="77777777" w:rsidR="00AE7485" w:rsidRPr="00AE7485" w:rsidRDefault="00AE7485" w:rsidP="00AE7485">
            <w:pPr>
              <w:tabs>
                <w:tab w:val="left" w:pos="4889"/>
              </w:tabs>
              <w:jc w:val="center"/>
              <w:rPr>
                <w:rFonts w:ascii="Tahoma" w:hAnsi="Tahoma" w:cs="Tahoma"/>
                <w:bCs/>
                <w:sz w:val="22"/>
                <w:szCs w:val="22"/>
              </w:rPr>
            </w:pPr>
            <w:r w:rsidRPr="00AE7485">
              <w:rPr>
                <w:rFonts w:ascii="Tahoma" w:hAnsi="Tahoma" w:cs="Tahoma"/>
                <w:bCs/>
                <w:sz w:val="22"/>
                <w:szCs w:val="22"/>
              </w:rPr>
              <w:t xml:space="preserve">От </w:t>
            </w:r>
            <w:r w:rsidRPr="00AE7485">
              <w:rPr>
                <w:rFonts w:ascii="Tahoma" w:hAnsi="Tahoma" w:cs="Tahoma"/>
                <w:b/>
                <w:bCs/>
                <w:sz w:val="22"/>
                <w:szCs w:val="22"/>
              </w:rPr>
              <w:t>15 000 000 рублей</w:t>
            </w:r>
          </w:p>
        </w:tc>
      </w:tr>
      <w:tr w:rsidR="00AE7485" w:rsidRPr="00AE7485" w14:paraId="2C332B96" w14:textId="77777777" w:rsidTr="00B86BDE">
        <w:tc>
          <w:tcPr>
            <w:tcW w:w="318" w:type="pct"/>
            <w:shd w:val="clear" w:color="auto" w:fill="auto"/>
            <w:vAlign w:val="center"/>
          </w:tcPr>
          <w:p w14:paraId="73D5DFF4" w14:textId="77777777" w:rsidR="00AE7485" w:rsidRPr="00AE7485" w:rsidRDefault="00AE7485" w:rsidP="00AE7485">
            <w:pPr>
              <w:tabs>
                <w:tab w:val="left" w:pos="284"/>
              </w:tabs>
              <w:rPr>
                <w:rFonts w:ascii="Tahoma" w:hAnsi="Tahoma" w:cs="Tahoma"/>
                <w:bCs/>
                <w:iCs/>
                <w:color w:val="000000"/>
                <w:sz w:val="22"/>
                <w:szCs w:val="22"/>
              </w:rPr>
            </w:pPr>
            <w:r w:rsidRPr="00AE7485">
              <w:rPr>
                <w:rFonts w:ascii="Tahoma" w:hAnsi="Tahoma" w:cs="Tahoma"/>
                <w:bCs/>
                <w:iCs/>
                <w:color w:val="000000"/>
                <w:sz w:val="22"/>
                <w:szCs w:val="22"/>
              </w:rPr>
              <w:t>2.3.</w:t>
            </w:r>
          </w:p>
        </w:tc>
        <w:tc>
          <w:tcPr>
            <w:tcW w:w="1843" w:type="pct"/>
            <w:shd w:val="clear" w:color="auto" w:fill="auto"/>
            <w:vAlign w:val="center"/>
          </w:tcPr>
          <w:p w14:paraId="6EFD82C2" w14:textId="77777777" w:rsidR="00AE7485" w:rsidRPr="00AE7485" w:rsidRDefault="00AE7485" w:rsidP="00AE7485">
            <w:pPr>
              <w:rPr>
                <w:rFonts w:ascii="Tahoma" w:hAnsi="Tahoma" w:cs="Tahoma"/>
                <w:bCs/>
                <w:iCs/>
                <w:sz w:val="22"/>
                <w:szCs w:val="22"/>
              </w:rPr>
            </w:pPr>
            <w:r w:rsidRPr="00AE7485">
              <w:rPr>
                <w:rFonts w:ascii="Tahoma" w:hAnsi="Tahoma" w:cs="Tahoma"/>
                <w:bCs/>
                <w:iCs/>
                <w:sz w:val="22"/>
                <w:szCs w:val="22"/>
              </w:rPr>
              <w:t>Средние остатки денежных средств в течение Отчетного периода</w:t>
            </w:r>
          </w:p>
          <w:p w14:paraId="0E8E34B5" w14:textId="77777777" w:rsidR="00AE7485" w:rsidRPr="00AE7485" w:rsidRDefault="00AE7485" w:rsidP="00AE7485">
            <w:pPr>
              <w:rPr>
                <w:rFonts w:ascii="Tahoma" w:hAnsi="Tahoma" w:cs="Tahoma"/>
                <w:bCs/>
                <w:iCs/>
                <w:sz w:val="22"/>
                <w:szCs w:val="22"/>
              </w:rPr>
            </w:pPr>
            <w:r w:rsidRPr="00AE7485">
              <w:rPr>
                <w:rFonts w:ascii="Tahoma" w:hAnsi="Tahoma" w:cs="Tahoma"/>
                <w:bCs/>
                <w:iCs/>
                <w:sz w:val="22"/>
                <w:szCs w:val="22"/>
              </w:rPr>
              <w:t xml:space="preserve">и </w:t>
            </w:r>
          </w:p>
          <w:p w14:paraId="0088AA59" w14:textId="77777777" w:rsidR="00AE7485" w:rsidRPr="00AE7485" w:rsidRDefault="00AE7485" w:rsidP="00AE7485">
            <w:pPr>
              <w:rPr>
                <w:rFonts w:ascii="Tahoma" w:hAnsi="Tahoma" w:cs="Tahoma"/>
                <w:bCs/>
                <w:iCs/>
                <w:sz w:val="22"/>
                <w:szCs w:val="22"/>
              </w:rPr>
            </w:pPr>
            <w:r w:rsidRPr="00AE7485">
              <w:rPr>
                <w:rFonts w:ascii="Tahoma" w:hAnsi="Tahoma" w:cs="Tahoma"/>
                <w:bCs/>
                <w:iCs/>
                <w:sz w:val="22"/>
                <w:szCs w:val="22"/>
              </w:rPr>
              <w:t>Сумма покупок по Картам, выпущенным в рамках Программы, в течение Отчетного периода</w:t>
            </w:r>
          </w:p>
        </w:tc>
        <w:tc>
          <w:tcPr>
            <w:tcW w:w="2839" w:type="pct"/>
            <w:shd w:val="clear" w:color="auto" w:fill="auto"/>
            <w:vAlign w:val="center"/>
          </w:tcPr>
          <w:p w14:paraId="15FBBA5A" w14:textId="77777777" w:rsidR="00AE7485" w:rsidRPr="00AE7485" w:rsidRDefault="00AE7485" w:rsidP="00AE7485">
            <w:pPr>
              <w:tabs>
                <w:tab w:val="left" w:pos="4889"/>
              </w:tabs>
              <w:jc w:val="center"/>
              <w:rPr>
                <w:rFonts w:ascii="Tahoma" w:hAnsi="Tahoma" w:cs="Tahoma"/>
                <w:b/>
                <w:bCs/>
                <w:sz w:val="22"/>
                <w:szCs w:val="22"/>
              </w:rPr>
            </w:pPr>
            <w:r w:rsidRPr="00AE7485">
              <w:rPr>
                <w:rFonts w:ascii="Tahoma" w:hAnsi="Tahoma" w:cs="Tahoma"/>
                <w:bCs/>
                <w:sz w:val="22"/>
                <w:szCs w:val="22"/>
              </w:rPr>
              <w:t>Средние остатки от</w:t>
            </w:r>
            <w:r w:rsidRPr="00AE7485">
              <w:rPr>
                <w:rFonts w:ascii="Tahoma" w:hAnsi="Tahoma" w:cs="Tahoma"/>
                <w:b/>
                <w:bCs/>
                <w:sz w:val="22"/>
                <w:szCs w:val="22"/>
              </w:rPr>
              <w:t xml:space="preserve"> 4 000 000 рублей</w:t>
            </w:r>
          </w:p>
          <w:p w14:paraId="7528D401" w14:textId="77777777" w:rsidR="00AE7485" w:rsidRPr="00AE7485" w:rsidRDefault="00AE7485" w:rsidP="00AE7485">
            <w:pPr>
              <w:tabs>
                <w:tab w:val="left" w:pos="4889"/>
              </w:tabs>
              <w:jc w:val="center"/>
              <w:rPr>
                <w:rFonts w:ascii="Tahoma" w:hAnsi="Tahoma" w:cs="Tahoma"/>
                <w:bCs/>
                <w:sz w:val="22"/>
                <w:szCs w:val="22"/>
              </w:rPr>
            </w:pPr>
            <w:r w:rsidRPr="00AE7485">
              <w:rPr>
                <w:rFonts w:ascii="Tahoma" w:hAnsi="Tahoma" w:cs="Tahoma"/>
                <w:bCs/>
                <w:sz w:val="22"/>
                <w:szCs w:val="22"/>
              </w:rPr>
              <w:t>и</w:t>
            </w:r>
          </w:p>
          <w:p w14:paraId="3A5A1061" w14:textId="77777777" w:rsidR="00AE7485" w:rsidRPr="00AE7485" w:rsidRDefault="00AE7485" w:rsidP="00AE7485">
            <w:pPr>
              <w:tabs>
                <w:tab w:val="left" w:pos="4889"/>
              </w:tabs>
              <w:jc w:val="center"/>
              <w:rPr>
                <w:rFonts w:ascii="Tahoma" w:hAnsi="Tahoma" w:cs="Tahoma"/>
                <w:b/>
                <w:bCs/>
                <w:sz w:val="22"/>
                <w:szCs w:val="22"/>
              </w:rPr>
            </w:pPr>
            <w:r w:rsidRPr="00AE7485">
              <w:rPr>
                <w:rFonts w:ascii="Tahoma" w:hAnsi="Tahoma" w:cs="Tahoma"/>
                <w:bCs/>
                <w:iCs/>
                <w:color w:val="000000"/>
                <w:sz w:val="22"/>
                <w:szCs w:val="22"/>
              </w:rPr>
              <w:t>Сумма покупок от</w:t>
            </w:r>
            <w:r w:rsidRPr="00AE7485">
              <w:rPr>
                <w:rFonts w:ascii="Tahoma" w:hAnsi="Tahoma" w:cs="Tahoma"/>
                <w:b/>
                <w:bCs/>
                <w:iCs/>
                <w:color w:val="000000"/>
                <w:sz w:val="22"/>
                <w:szCs w:val="22"/>
              </w:rPr>
              <w:t xml:space="preserve"> 200 000 рублей</w:t>
            </w:r>
          </w:p>
        </w:tc>
      </w:tr>
      <w:tr w:rsidR="00AE7485" w:rsidRPr="00AE7485" w14:paraId="1A4D5080" w14:textId="77777777" w:rsidTr="00B86BDE">
        <w:tc>
          <w:tcPr>
            <w:tcW w:w="318" w:type="pct"/>
            <w:shd w:val="clear" w:color="auto" w:fill="auto"/>
            <w:vAlign w:val="center"/>
          </w:tcPr>
          <w:p w14:paraId="421BE4DF" w14:textId="77777777" w:rsidR="00AE7485" w:rsidRPr="00AE7485" w:rsidRDefault="00AE7485" w:rsidP="00AE7485">
            <w:pPr>
              <w:tabs>
                <w:tab w:val="left" w:pos="284"/>
              </w:tabs>
              <w:rPr>
                <w:rFonts w:ascii="Tahoma" w:hAnsi="Tahoma" w:cs="Tahoma"/>
                <w:bCs/>
                <w:iCs/>
                <w:color w:val="000000"/>
                <w:sz w:val="22"/>
                <w:szCs w:val="22"/>
              </w:rPr>
            </w:pPr>
            <w:r w:rsidRPr="00AE7485">
              <w:rPr>
                <w:rFonts w:ascii="Tahoma" w:hAnsi="Tahoma" w:cs="Tahoma"/>
                <w:bCs/>
                <w:iCs/>
                <w:color w:val="000000"/>
                <w:sz w:val="22"/>
                <w:szCs w:val="22"/>
              </w:rPr>
              <w:t>2.4.</w:t>
            </w:r>
          </w:p>
        </w:tc>
        <w:tc>
          <w:tcPr>
            <w:tcW w:w="1843" w:type="pct"/>
            <w:shd w:val="clear" w:color="auto" w:fill="auto"/>
            <w:vAlign w:val="center"/>
          </w:tcPr>
          <w:p w14:paraId="43280E83" w14:textId="77777777" w:rsidR="00AE7485" w:rsidRPr="00AE7485" w:rsidRDefault="00AE7485" w:rsidP="00AE7485">
            <w:pPr>
              <w:rPr>
                <w:rFonts w:ascii="Tahoma" w:hAnsi="Tahoma" w:cs="Tahoma"/>
                <w:bCs/>
                <w:iCs/>
                <w:color w:val="000000"/>
                <w:sz w:val="22"/>
                <w:szCs w:val="22"/>
              </w:rPr>
            </w:pPr>
            <w:r w:rsidRPr="00AE7485">
              <w:rPr>
                <w:rFonts w:ascii="Tahoma" w:hAnsi="Tahoma" w:cs="Tahoma"/>
                <w:bCs/>
                <w:iCs/>
                <w:sz w:val="22"/>
                <w:szCs w:val="22"/>
              </w:rPr>
              <w:t>Поступление Заработной платы</w:t>
            </w:r>
            <w:r w:rsidRPr="00AE7485">
              <w:rPr>
                <w:rFonts w:ascii="Tahoma" w:hAnsi="Tahoma" w:cs="Tahoma"/>
                <w:bCs/>
                <w:iCs/>
                <w:sz w:val="22"/>
                <w:szCs w:val="22"/>
                <w:vertAlign w:val="superscript"/>
              </w:rPr>
              <w:footnoteReference w:id="202"/>
            </w:r>
            <w:r w:rsidRPr="00AE7485">
              <w:rPr>
                <w:rFonts w:ascii="Tahoma" w:hAnsi="Tahoma" w:cs="Tahoma"/>
                <w:bCs/>
                <w:iCs/>
                <w:sz w:val="22"/>
                <w:szCs w:val="22"/>
              </w:rPr>
              <w:t xml:space="preserve"> на </w:t>
            </w:r>
            <w:r w:rsidRPr="00AE7485">
              <w:rPr>
                <w:rFonts w:ascii="Tahoma" w:hAnsi="Tahoma" w:cs="Tahoma"/>
                <w:bCs/>
                <w:iCs/>
                <w:color w:val="000000"/>
                <w:sz w:val="22"/>
                <w:szCs w:val="22"/>
              </w:rPr>
              <w:t>Счет Карты</w:t>
            </w:r>
            <w:r w:rsidRPr="00AE7485">
              <w:rPr>
                <w:rFonts w:ascii="Tahoma" w:hAnsi="Tahoma" w:cs="Tahoma"/>
                <w:bCs/>
                <w:iCs/>
                <w:color w:val="000000"/>
                <w:sz w:val="22"/>
                <w:szCs w:val="22"/>
                <w:vertAlign w:val="superscript"/>
              </w:rPr>
              <w:footnoteReference w:id="203"/>
            </w:r>
            <w:r w:rsidRPr="00AE7485">
              <w:rPr>
                <w:rFonts w:ascii="Tahoma" w:hAnsi="Tahoma" w:cs="Tahoma"/>
                <w:bCs/>
                <w:iCs/>
                <w:color w:val="000000"/>
                <w:sz w:val="22"/>
                <w:szCs w:val="22"/>
              </w:rPr>
              <w:t>, выпущенной в рамках Программы,</w:t>
            </w:r>
          </w:p>
          <w:p w14:paraId="72C186B6" w14:textId="77777777" w:rsidR="00AE7485" w:rsidRPr="00AE7485" w:rsidRDefault="00AE7485" w:rsidP="00AE7485">
            <w:pPr>
              <w:rPr>
                <w:rFonts w:ascii="Tahoma" w:hAnsi="Tahoma" w:cs="Tahoma"/>
                <w:bCs/>
                <w:iCs/>
                <w:color w:val="000000"/>
                <w:sz w:val="22"/>
                <w:szCs w:val="22"/>
              </w:rPr>
            </w:pPr>
            <w:r w:rsidRPr="00AE7485">
              <w:rPr>
                <w:rFonts w:ascii="Tahoma" w:hAnsi="Tahoma" w:cs="Tahoma"/>
                <w:bCs/>
                <w:iCs/>
                <w:color w:val="000000"/>
                <w:sz w:val="22"/>
                <w:szCs w:val="22"/>
              </w:rPr>
              <w:t>и</w:t>
            </w:r>
          </w:p>
          <w:p w14:paraId="0559ED21" w14:textId="77777777" w:rsidR="00AE7485" w:rsidRPr="00AE7485" w:rsidRDefault="00AE7485" w:rsidP="00AE7485">
            <w:pPr>
              <w:rPr>
                <w:rFonts w:ascii="Tahoma" w:hAnsi="Tahoma" w:cs="Tahoma"/>
                <w:bCs/>
                <w:iCs/>
                <w:sz w:val="22"/>
                <w:szCs w:val="22"/>
              </w:rPr>
            </w:pPr>
            <w:r w:rsidRPr="00AE7485">
              <w:rPr>
                <w:rFonts w:ascii="Tahoma" w:hAnsi="Tahoma" w:cs="Tahoma"/>
                <w:bCs/>
                <w:iCs/>
                <w:sz w:val="22"/>
                <w:szCs w:val="22"/>
              </w:rPr>
              <w:t>Сумма покупок по Картам, выпущенным в рамках Программы, в течение Отчетного периода</w:t>
            </w:r>
          </w:p>
        </w:tc>
        <w:tc>
          <w:tcPr>
            <w:tcW w:w="2839" w:type="pct"/>
            <w:shd w:val="clear" w:color="auto" w:fill="auto"/>
            <w:vAlign w:val="center"/>
          </w:tcPr>
          <w:p w14:paraId="65EACBF3"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Поступление заработной платы от </w:t>
            </w:r>
            <w:r w:rsidRPr="00AE7485">
              <w:rPr>
                <w:rFonts w:ascii="Tahoma" w:hAnsi="Tahoma" w:cs="Tahoma"/>
                <w:b/>
                <w:bCs/>
                <w:iCs/>
                <w:sz w:val="22"/>
                <w:szCs w:val="22"/>
              </w:rPr>
              <w:t>500 000 рублей</w:t>
            </w:r>
          </w:p>
          <w:p w14:paraId="7B9F159F"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и</w:t>
            </w:r>
          </w:p>
          <w:p w14:paraId="210D67A1" w14:textId="77777777" w:rsidR="00AE7485" w:rsidRPr="00AE7485" w:rsidRDefault="00AE7485" w:rsidP="00AE7485">
            <w:pPr>
              <w:tabs>
                <w:tab w:val="left" w:pos="4889"/>
              </w:tabs>
              <w:jc w:val="center"/>
              <w:rPr>
                <w:rFonts w:ascii="Tahoma" w:hAnsi="Tahoma" w:cs="Tahoma"/>
                <w:bCs/>
                <w:iCs/>
                <w:sz w:val="22"/>
                <w:szCs w:val="22"/>
                <w:vertAlign w:val="superscript"/>
              </w:rPr>
            </w:pPr>
            <w:r w:rsidRPr="00AE7485">
              <w:rPr>
                <w:rFonts w:ascii="Tahoma" w:hAnsi="Tahoma" w:cs="Tahoma"/>
                <w:bCs/>
                <w:iCs/>
                <w:color w:val="000000"/>
                <w:sz w:val="22"/>
                <w:szCs w:val="22"/>
              </w:rPr>
              <w:t xml:space="preserve">Сумма покупок от </w:t>
            </w:r>
            <w:r w:rsidRPr="00AE7485">
              <w:rPr>
                <w:rFonts w:ascii="Tahoma" w:hAnsi="Tahoma" w:cs="Tahoma"/>
                <w:b/>
                <w:bCs/>
                <w:iCs/>
                <w:color w:val="000000"/>
                <w:sz w:val="22"/>
                <w:szCs w:val="22"/>
              </w:rPr>
              <w:t>200 000 рублей</w:t>
            </w:r>
          </w:p>
        </w:tc>
      </w:tr>
      <w:tr w:rsidR="00AE7485" w:rsidRPr="00AE7485" w14:paraId="3036BDDF" w14:textId="77777777" w:rsidTr="00B86BDE">
        <w:tc>
          <w:tcPr>
            <w:tcW w:w="318" w:type="pct"/>
            <w:shd w:val="clear" w:color="auto" w:fill="5C5C5C"/>
            <w:vAlign w:val="center"/>
          </w:tcPr>
          <w:p w14:paraId="2315FD24" w14:textId="77777777" w:rsidR="00AE7485" w:rsidRPr="00AE7485" w:rsidRDefault="00AE7485" w:rsidP="00AE7485">
            <w:pPr>
              <w:tabs>
                <w:tab w:val="left" w:pos="284"/>
              </w:tabs>
              <w:rPr>
                <w:rFonts w:ascii="Tahoma" w:hAnsi="Tahoma" w:cs="Tahoma"/>
                <w:bCs/>
                <w:iCs/>
                <w:color w:val="FFFFFF"/>
                <w:sz w:val="22"/>
                <w:szCs w:val="22"/>
              </w:rPr>
            </w:pPr>
            <w:r w:rsidRPr="00AE7485">
              <w:rPr>
                <w:rFonts w:ascii="Tahoma" w:hAnsi="Tahoma" w:cs="Tahoma"/>
                <w:bCs/>
                <w:iCs/>
                <w:color w:val="FFFFFF"/>
                <w:sz w:val="22"/>
                <w:szCs w:val="22"/>
              </w:rPr>
              <w:t>3.</w:t>
            </w:r>
          </w:p>
        </w:tc>
        <w:tc>
          <w:tcPr>
            <w:tcW w:w="4682" w:type="pct"/>
            <w:gridSpan w:val="2"/>
            <w:shd w:val="clear" w:color="auto" w:fill="5C5C5C"/>
            <w:vAlign w:val="center"/>
          </w:tcPr>
          <w:p w14:paraId="1D9D223A" w14:textId="77777777" w:rsidR="00AE7485" w:rsidRPr="00AE7485" w:rsidRDefault="00AE7485" w:rsidP="00AE7485">
            <w:pPr>
              <w:tabs>
                <w:tab w:val="left" w:pos="4889"/>
              </w:tabs>
              <w:rPr>
                <w:rFonts w:ascii="Tahoma" w:hAnsi="Tahoma" w:cs="Tahoma"/>
                <w:bCs/>
                <w:iCs/>
                <w:color w:val="FFFFFF"/>
                <w:sz w:val="22"/>
                <w:szCs w:val="22"/>
                <w:highlight w:val="yellow"/>
              </w:rPr>
            </w:pPr>
            <w:r w:rsidRPr="00AE7485">
              <w:rPr>
                <w:rFonts w:ascii="Tahoma" w:hAnsi="Tahoma" w:cs="Tahoma"/>
                <w:bCs/>
                <w:iCs/>
                <w:color w:val="FFFFFF"/>
                <w:sz w:val="22"/>
                <w:szCs w:val="22"/>
              </w:rPr>
              <w:t xml:space="preserve">Оформление и обслуживание банковских (платежных) карт </w:t>
            </w:r>
          </w:p>
        </w:tc>
      </w:tr>
      <w:tr w:rsidR="00AE7485" w:rsidRPr="00AE7485" w14:paraId="0BD18283" w14:textId="77777777" w:rsidTr="00AE7485">
        <w:tc>
          <w:tcPr>
            <w:tcW w:w="318" w:type="pct"/>
            <w:shd w:val="clear" w:color="auto" w:fill="595959"/>
            <w:vAlign w:val="center"/>
          </w:tcPr>
          <w:p w14:paraId="3F1EF3B2" w14:textId="77777777" w:rsidR="00AE7485" w:rsidRPr="00AE7485" w:rsidRDefault="00AE7485" w:rsidP="00AE7485">
            <w:pPr>
              <w:tabs>
                <w:tab w:val="left" w:pos="284"/>
              </w:tabs>
              <w:rPr>
                <w:rFonts w:ascii="Tahoma" w:hAnsi="Tahoma" w:cs="Tahoma"/>
                <w:bCs/>
                <w:iCs/>
                <w:color w:val="FFFFFF"/>
                <w:sz w:val="22"/>
                <w:szCs w:val="22"/>
              </w:rPr>
            </w:pPr>
            <w:r w:rsidRPr="00AE7485">
              <w:rPr>
                <w:rFonts w:ascii="Tahoma" w:hAnsi="Tahoma" w:cs="Tahoma"/>
                <w:bCs/>
                <w:iCs/>
                <w:color w:val="FFFFFF"/>
                <w:sz w:val="22"/>
                <w:szCs w:val="22"/>
              </w:rPr>
              <w:t>3.1.</w:t>
            </w:r>
          </w:p>
        </w:tc>
        <w:tc>
          <w:tcPr>
            <w:tcW w:w="4682" w:type="pct"/>
            <w:gridSpan w:val="2"/>
            <w:shd w:val="clear" w:color="auto" w:fill="595959"/>
            <w:vAlign w:val="center"/>
          </w:tcPr>
          <w:p w14:paraId="2177CBC8" w14:textId="77777777" w:rsidR="00AE7485" w:rsidRPr="00AE7485" w:rsidRDefault="00AE7485" w:rsidP="00AE7485">
            <w:pPr>
              <w:tabs>
                <w:tab w:val="left" w:pos="4889"/>
              </w:tabs>
              <w:rPr>
                <w:rFonts w:ascii="Tahoma" w:hAnsi="Tahoma" w:cs="Tahoma"/>
                <w:bCs/>
                <w:iCs/>
                <w:color w:val="FFFFFF"/>
                <w:sz w:val="22"/>
                <w:szCs w:val="22"/>
              </w:rPr>
            </w:pPr>
            <w:r w:rsidRPr="00AE7485">
              <w:rPr>
                <w:rFonts w:ascii="Tahoma" w:hAnsi="Tahoma" w:cs="Tahoma"/>
                <w:bCs/>
                <w:iCs/>
                <w:color w:val="FFFFFF"/>
                <w:sz w:val="22"/>
                <w:szCs w:val="22"/>
              </w:rPr>
              <w:t>Карта типа Мир Supreme (именная и неименная)</w:t>
            </w:r>
          </w:p>
        </w:tc>
      </w:tr>
      <w:tr w:rsidR="00AE7485" w:rsidRPr="00AE7485" w14:paraId="41B0CE74" w14:textId="77777777" w:rsidTr="00B86BDE">
        <w:tc>
          <w:tcPr>
            <w:tcW w:w="318" w:type="pct"/>
            <w:shd w:val="clear" w:color="auto" w:fill="auto"/>
            <w:vAlign w:val="center"/>
          </w:tcPr>
          <w:p w14:paraId="7F88A0AC" w14:textId="77777777" w:rsidR="00AE7485" w:rsidRPr="00AE7485" w:rsidRDefault="00AE7485" w:rsidP="00AE7485">
            <w:pPr>
              <w:tabs>
                <w:tab w:val="left" w:pos="284"/>
              </w:tabs>
              <w:rPr>
                <w:rFonts w:ascii="Tahoma" w:hAnsi="Tahoma" w:cs="Tahoma"/>
                <w:bCs/>
                <w:iCs/>
                <w:sz w:val="22"/>
                <w:szCs w:val="22"/>
                <w:lang w:val="en-US"/>
              </w:rPr>
            </w:pPr>
            <w:r w:rsidRPr="00AE7485">
              <w:rPr>
                <w:rFonts w:ascii="Tahoma" w:hAnsi="Tahoma" w:cs="Tahoma"/>
                <w:bCs/>
                <w:iCs/>
                <w:sz w:val="22"/>
                <w:szCs w:val="22"/>
                <w:lang w:val="en-US"/>
              </w:rPr>
              <w:t>3.1.1.</w:t>
            </w:r>
          </w:p>
        </w:tc>
        <w:tc>
          <w:tcPr>
            <w:tcW w:w="1843" w:type="pct"/>
            <w:shd w:val="clear" w:color="auto" w:fill="auto"/>
            <w:vAlign w:val="center"/>
          </w:tcPr>
          <w:p w14:paraId="3788D275"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Валюта Счета Карты</w:t>
            </w:r>
          </w:p>
        </w:tc>
        <w:tc>
          <w:tcPr>
            <w:tcW w:w="2839" w:type="pct"/>
            <w:shd w:val="clear" w:color="auto" w:fill="auto"/>
            <w:vAlign w:val="center"/>
          </w:tcPr>
          <w:p w14:paraId="16FEA29B"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Российский рубль</w:t>
            </w:r>
          </w:p>
        </w:tc>
      </w:tr>
      <w:tr w:rsidR="00AE7485" w:rsidRPr="00AE7485" w14:paraId="659428A2" w14:textId="77777777" w:rsidTr="00B86BDE">
        <w:tc>
          <w:tcPr>
            <w:tcW w:w="318" w:type="pct"/>
            <w:shd w:val="clear" w:color="auto" w:fill="auto"/>
            <w:vAlign w:val="center"/>
          </w:tcPr>
          <w:p w14:paraId="36ED102F"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3.1.2.</w:t>
            </w:r>
          </w:p>
        </w:tc>
        <w:tc>
          <w:tcPr>
            <w:tcW w:w="1843" w:type="pct"/>
            <w:shd w:val="clear" w:color="auto" w:fill="auto"/>
            <w:vAlign w:val="center"/>
          </w:tcPr>
          <w:p w14:paraId="3F929EF6"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Годовое обслуживание Карты (Основной и Дополнительной)</w:t>
            </w:r>
          </w:p>
        </w:tc>
        <w:tc>
          <w:tcPr>
            <w:tcW w:w="2839" w:type="pct"/>
            <w:vMerge w:val="restart"/>
            <w:shd w:val="clear" w:color="auto" w:fill="auto"/>
            <w:vAlign w:val="center"/>
          </w:tcPr>
          <w:p w14:paraId="76E90C92" w14:textId="77777777" w:rsidR="00AE7485" w:rsidRPr="00AE7485" w:rsidRDefault="00AE7485" w:rsidP="00AE7485">
            <w:pPr>
              <w:tabs>
                <w:tab w:val="left" w:pos="4889"/>
              </w:tabs>
              <w:jc w:val="center"/>
              <w:rPr>
                <w:rFonts w:ascii="Tahoma" w:hAnsi="Tahoma" w:cs="Tahoma"/>
                <w:b/>
                <w:bCs/>
                <w:iCs/>
                <w:sz w:val="22"/>
                <w:szCs w:val="22"/>
              </w:rPr>
            </w:pPr>
            <w:r w:rsidRPr="00AE7485">
              <w:rPr>
                <w:rFonts w:ascii="Tahoma" w:hAnsi="Tahoma" w:cs="Tahoma"/>
                <w:b/>
                <w:bCs/>
                <w:iCs/>
                <w:sz w:val="22"/>
                <w:szCs w:val="22"/>
              </w:rPr>
              <w:t>БЕСПЛАТНО</w:t>
            </w:r>
          </w:p>
        </w:tc>
      </w:tr>
      <w:tr w:rsidR="00AE7485" w:rsidRPr="00AE7485" w14:paraId="2AFCA5A9" w14:textId="77777777" w:rsidTr="00B86BDE">
        <w:tc>
          <w:tcPr>
            <w:tcW w:w="318" w:type="pct"/>
            <w:shd w:val="clear" w:color="auto" w:fill="auto"/>
            <w:vAlign w:val="center"/>
          </w:tcPr>
          <w:p w14:paraId="7FE7C8C2"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3.1.3.</w:t>
            </w:r>
          </w:p>
        </w:tc>
        <w:tc>
          <w:tcPr>
            <w:tcW w:w="1843" w:type="pct"/>
            <w:shd w:val="clear" w:color="auto" w:fill="auto"/>
            <w:vAlign w:val="center"/>
          </w:tcPr>
          <w:p w14:paraId="7A0DA89E"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Стоимость выпуска Основной Карты</w:t>
            </w:r>
          </w:p>
        </w:tc>
        <w:tc>
          <w:tcPr>
            <w:tcW w:w="2839" w:type="pct"/>
            <w:vMerge/>
            <w:shd w:val="clear" w:color="auto" w:fill="auto"/>
            <w:vAlign w:val="center"/>
          </w:tcPr>
          <w:p w14:paraId="790AB632" w14:textId="77777777" w:rsidR="00AE7485" w:rsidRPr="00AE7485" w:rsidRDefault="00AE7485" w:rsidP="00AE7485">
            <w:pPr>
              <w:tabs>
                <w:tab w:val="left" w:pos="4889"/>
              </w:tabs>
              <w:jc w:val="center"/>
              <w:rPr>
                <w:rFonts w:ascii="Tahoma" w:hAnsi="Tahoma" w:cs="Tahoma"/>
                <w:bCs/>
                <w:iCs/>
                <w:sz w:val="22"/>
                <w:szCs w:val="22"/>
              </w:rPr>
            </w:pPr>
          </w:p>
        </w:tc>
      </w:tr>
      <w:tr w:rsidR="00AE7485" w:rsidRPr="00AE7485" w14:paraId="1F6E6B7A" w14:textId="77777777" w:rsidTr="00B86BDE">
        <w:trPr>
          <w:trHeight w:val="263"/>
        </w:trPr>
        <w:tc>
          <w:tcPr>
            <w:tcW w:w="318" w:type="pct"/>
            <w:vMerge w:val="restart"/>
            <w:shd w:val="clear" w:color="auto" w:fill="auto"/>
            <w:vAlign w:val="center"/>
          </w:tcPr>
          <w:p w14:paraId="396C03DC"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3.1.4.</w:t>
            </w:r>
          </w:p>
        </w:tc>
        <w:tc>
          <w:tcPr>
            <w:tcW w:w="1843" w:type="pct"/>
            <w:vMerge w:val="restart"/>
            <w:shd w:val="clear" w:color="auto" w:fill="auto"/>
            <w:vAlign w:val="center"/>
          </w:tcPr>
          <w:p w14:paraId="7FDCE2FD"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Стоимость выпуска Дополнительной Карты</w:t>
            </w:r>
          </w:p>
        </w:tc>
        <w:tc>
          <w:tcPr>
            <w:tcW w:w="2839" w:type="pct"/>
            <w:shd w:val="clear" w:color="auto" w:fill="auto"/>
            <w:vAlign w:val="center"/>
          </w:tcPr>
          <w:p w14:paraId="57FCFC78"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Дополнительная Карта типа Мир </w:t>
            </w:r>
            <w:r w:rsidRPr="00AE7485">
              <w:rPr>
                <w:rFonts w:ascii="Tahoma" w:hAnsi="Tahoma" w:cs="Tahoma"/>
                <w:bCs/>
                <w:iCs/>
                <w:sz w:val="22"/>
                <w:szCs w:val="22"/>
                <w:lang w:val="en-US"/>
              </w:rPr>
              <w:t>Supreme</w:t>
            </w:r>
            <w:r w:rsidRPr="00AE7485">
              <w:rPr>
                <w:rFonts w:ascii="Tahoma" w:hAnsi="Tahoma" w:cs="Tahoma"/>
                <w:bCs/>
                <w:iCs/>
                <w:sz w:val="22"/>
                <w:szCs w:val="22"/>
              </w:rPr>
              <w:t xml:space="preserve">: </w:t>
            </w:r>
            <w:r w:rsidRPr="00AE7485">
              <w:rPr>
                <w:rFonts w:ascii="Tahoma" w:hAnsi="Tahoma" w:cs="Tahoma"/>
                <w:b/>
                <w:bCs/>
                <w:iCs/>
                <w:sz w:val="22"/>
                <w:szCs w:val="22"/>
              </w:rPr>
              <w:t>БЕСПЛАТНО</w:t>
            </w:r>
          </w:p>
        </w:tc>
      </w:tr>
      <w:tr w:rsidR="00AE7485" w:rsidRPr="00AE7485" w14:paraId="78363EC3" w14:textId="77777777" w:rsidTr="00B86BDE">
        <w:trPr>
          <w:trHeight w:val="262"/>
        </w:trPr>
        <w:tc>
          <w:tcPr>
            <w:tcW w:w="318" w:type="pct"/>
            <w:vMerge/>
            <w:shd w:val="clear" w:color="auto" w:fill="auto"/>
            <w:vAlign w:val="center"/>
          </w:tcPr>
          <w:p w14:paraId="6A1DDFAA" w14:textId="77777777" w:rsidR="00AE7485" w:rsidRPr="00AE7485" w:rsidRDefault="00AE7485" w:rsidP="00AE7485">
            <w:pPr>
              <w:tabs>
                <w:tab w:val="left" w:pos="284"/>
              </w:tabs>
              <w:rPr>
                <w:rFonts w:ascii="Tahoma" w:hAnsi="Tahoma" w:cs="Tahoma"/>
                <w:bCs/>
                <w:iCs/>
                <w:sz w:val="22"/>
                <w:szCs w:val="22"/>
              </w:rPr>
            </w:pPr>
          </w:p>
        </w:tc>
        <w:tc>
          <w:tcPr>
            <w:tcW w:w="1843" w:type="pct"/>
            <w:vMerge/>
            <w:shd w:val="clear" w:color="auto" w:fill="auto"/>
            <w:vAlign w:val="center"/>
          </w:tcPr>
          <w:p w14:paraId="171A6D61" w14:textId="77777777" w:rsidR="00AE7485" w:rsidRPr="00AE7485" w:rsidRDefault="00AE7485" w:rsidP="00AE7485">
            <w:pPr>
              <w:tabs>
                <w:tab w:val="left" w:pos="4889"/>
              </w:tabs>
              <w:rPr>
                <w:rFonts w:ascii="Tahoma" w:hAnsi="Tahoma" w:cs="Tahoma"/>
                <w:bCs/>
                <w:iCs/>
                <w:sz w:val="22"/>
                <w:szCs w:val="22"/>
              </w:rPr>
            </w:pPr>
          </w:p>
        </w:tc>
        <w:tc>
          <w:tcPr>
            <w:tcW w:w="2839" w:type="pct"/>
            <w:shd w:val="clear" w:color="auto" w:fill="auto"/>
            <w:vAlign w:val="center"/>
          </w:tcPr>
          <w:p w14:paraId="6BE2D5F0"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Дополнительная Карта типа </w:t>
            </w:r>
            <w:r w:rsidRPr="00AE7485">
              <w:rPr>
                <w:rFonts w:ascii="Tahoma" w:hAnsi="Tahoma" w:cs="Tahoma"/>
                <w:bCs/>
                <w:iCs/>
                <w:sz w:val="22"/>
                <w:szCs w:val="22"/>
                <w:lang w:val="en-US"/>
              </w:rPr>
              <w:t>UnionPay</w:t>
            </w:r>
            <w:r w:rsidRPr="00AE7485">
              <w:rPr>
                <w:rFonts w:ascii="Tahoma" w:hAnsi="Tahoma" w:cs="Tahoma"/>
                <w:bCs/>
                <w:iCs/>
                <w:sz w:val="22"/>
                <w:szCs w:val="22"/>
              </w:rPr>
              <w:t xml:space="preserve"> </w:t>
            </w:r>
            <w:r w:rsidRPr="00AE7485">
              <w:rPr>
                <w:rFonts w:ascii="Tahoma" w:hAnsi="Tahoma" w:cs="Tahoma"/>
                <w:bCs/>
                <w:iCs/>
                <w:sz w:val="22"/>
                <w:szCs w:val="22"/>
                <w:lang w:val="en-US"/>
              </w:rPr>
              <w:t>Diamond</w:t>
            </w:r>
            <w:r w:rsidRPr="00AE7485">
              <w:rPr>
                <w:rFonts w:ascii="Tahoma" w:hAnsi="Tahoma" w:cs="Tahoma"/>
                <w:bCs/>
                <w:iCs/>
                <w:sz w:val="22"/>
                <w:szCs w:val="22"/>
              </w:rPr>
              <w:t xml:space="preserve">: </w:t>
            </w:r>
            <w:r w:rsidRPr="00AE7485">
              <w:rPr>
                <w:rFonts w:ascii="Tahoma" w:hAnsi="Tahoma" w:cs="Tahoma"/>
                <w:b/>
                <w:bCs/>
                <w:iCs/>
                <w:sz w:val="22"/>
                <w:szCs w:val="22"/>
              </w:rPr>
              <w:t>2</w:t>
            </w:r>
            <w:r w:rsidRPr="00AE7485">
              <w:rPr>
                <w:rFonts w:ascii="Tahoma" w:hAnsi="Tahoma" w:cs="Tahoma"/>
                <w:b/>
                <w:bCs/>
                <w:iCs/>
                <w:sz w:val="22"/>
                <w:szCs w:val="22"/>
                <w:lang w:val="en-US"/>
              </w:rPr>
              <w:t> </w:t>
            </w:r>
            <w:r w:rsidRPr="00AE7485">
              <w:rPr>
                <w:rFonts w:ascii="Tahoma" w:hAnsi="Tahoma" w:cs="Tahoma"/>
                <w:b/>
                <w:bCs/>
                <w:iCs/>
                <w:sz w:val="22"/>
                <w:szCs w:val="22"/>
              </w:rPr>
              <w:t>000 рублей</w:t>
            </w:r>
          </w:p>
        </w:tc>
      </w:tr>
      <w:tr w:rsidR="00AE7485" w:rsidRPr="00AE7485" w14:paraId="5775B63C" w14:textId="77777777" w:rsidTr="00B86BDE">
        <w:tc>
          <w:tcPr>
            <w:tcW w:w="318" w:type="pct"/>
            <w:shd w:val="clear" w:color="auto" w:fill="auto"/>
            <w:vAlign w:val="center"/>
          </w:tcPr>
          <w:p w14:paraId="5412B24E"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3.1.5.</w:t>
            </w:r>
          </w:p>
        </w:tc>
        <w:tc>
          <w:tcPr>
            <w:tcW w:w="1843" w:type="pct"/>
            <w:shd w:val="clear" w:color="auto" w:fill="auto"/>
            <w:vAlign w:val="center"/>
          </w:tcPr>
          <w:p w14:paraId="6C4F30BA"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Перевыпуск Карты (Основной и Дополнительной) по любой причине</w:t>
            </w:r>
          </w:p>
        </w:tc>
        <w:tc>
          <w:tcPr>
            <w:tcW w:w="2839" w:type="pct"/>
            <w:shd w:val="clear" w:color="auto" w:fill="auto"/>
            <w:vAlign w:val="center"/>
          </w:tcPr>
          <w:p w14:paraId="350D39F8" w14:textId="77777777" w:rsidR="00AE7485" w:rsidRPr="00AE7485" w:rsidRDefault="00AE7485" w:rsidP="00AE7485">
            <w:pPr>
              <w:tabs>
                <w:tab w:val="left" w:pos="4889"/>
              </w:tabs>
              <w:jc w:val="center"/>
              <w:rPr>
                <w:rFonts w:ascii="Tahoma" w:hAnsi="Tahoma" w:cs="Tahoma"/>
                <w:b/>
                <w:bCs/>
                <w:iCs/>
                <w:sz w:val="22"/>
                <w:szCs w:val="22"/>
              </w:rPr>
            </w:pPr>
            <w:r w:rsidRPr="00AE7485">
              <w:rPr>
                <w:rFonts w:ascii="Tahoma" w:hAnsi="Tahoma" w:cs="Tahoma"/>
                <w:b/>
                <w:bCs/>
                <w:iCs/>
                <w:sz w:val="22"/>
                <w:szCs w:val="22"/>
              </w:rPr>
              <w:t>БЕСПЛАТНО</w:t>
            </w:r>
          </w:p>
        </w:tc>
      </w:tr>
      <w:tr w:rsidR="00AE7485" w:rsidRPr="00AE7485" w14:paraId="739A2988" w14:textId="77777777" w:rsidTr="00B86BDE">
        <w:trPr>
          <w:trHeight w:val="263"/>
        </w:trPr>
        <w:tc>
          <w:tcPr>
            <w:tcW w:w="318" w:type="pct"/>
            <w:vMerge w:val="restart"/>
            <w:shd w:val="clear" w:color="auto" w:fill="auto"/>
            <w:vAlign w:val="center"/>
          </w:tcPr>
          <w:p w14:paraId="59DCFF27"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3.1.6.</w:t>
            </w:r>
          </w:p>
        </w:tc>
        <w:tc>
          <w:tcPr>
            <w:tcW w:w="1843" w:type="pct"/>
            <w:vMerge w:val="restart"/>
            <w:shd w:val="clear" w:color="auto" w:fill="auto"/>
            <w:vAlign w:val="center"/>
          </w:tcPr>
          <w:p w14:paraId="0E354F77"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Срок действия Карты (Основной и Дополнительной)</w:t>
            </w:r>
          </w:p>
        </w:tc>
        <w:tc>
          <w:tcPr>
            <w:tcW w:w="2839" w:type="pct"/>
            <w:shd w:val="clear" w:color="auto" w:fill="auto"/>
            <w:vAlign w:val="center"/>
          </w:tcPr>
          <w:p w14:paraId="2E3648F8"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Карта типа Мир </w:t>
            </w:r>
            <w:r w:rsidRPr="00AE7485">
              <w:rPr>
                <w:rFonts w:ascii="Tahoma" w:hAnsi="Tahoma" w:cs="Tahoma"/>
                <w:bCs/>
                <w:iCs/>
                <w:sz w:val="22"/>
                <w:szCs w:val="22"/>
                <w:lang w:val="en-US"/>
              </w:rPr>
              <w:t>Supreme</w:t>
            </w:r>
            <w:r w:rsidRPr="00AE7485">
              <w:rPr>
                <w:rFonts w:ascii="Tahoma" w:hAnsi="Tahoma" w:cs="Tahoma"/>
                <w:bCs/>
                <w:iCs/>
                <w:sz w:val="22"/>
                <w:szCs w:val="22"/>
              </w:rPr>
              <w:t xml:space="preserve">: </w:t>
            </w:r>
            <w:r w:rsidRPr="00AE7485">
              <w:rPr>
                <w:rFonts w:ascii="Tahoma" w:hAnsi="Tahoma" w:cs="Tahoma"/>
                <w:b/>
                <w:bCs/>
                <w:iCs/>
                <w:sz w:val="22"/>
                <w:szCs w:val="22"/>
              </w:rPr>
              <w:t>10 лет</w:t>
            </w:r>
          </w:p>
        </w:tc>
      </w:tr>
      <w:tr w:rsidR="00AE7485" w:rsidRPr="00AE7485" w14:paraId="6EB41DA9" w14:textId="77777777" w:rsidTr="00B86BDE">
        <w:trPr>
          <w:trHeight w:val="262"/>
        </w:trPr>
        <w:tc>
          <w:tcPr>
            <w:tcW w:w="318" w:type="pct"/>
            <w:vMerge/>
            <w:shd w:val="clear" w:color="auto" w:fill="auto"/>
            <w:vAlign w:val="center"/>
          </w:tcPr>
          <w:p w14:paraId="7C3845A2" w14:textId="77777777" w:rsidR="00AE7485" w:rsidRPr="00AE7485" w:rsidRDefault="00AE7485" w:rsidP="00AE7485">
            <w:pPr>
              <w:tabs>
                <w:tab w:val="left" w:pos="284"/>
              </w:tabs>
              <w:rPr>
                <w:rFonts w:ascii="Tahoma" w:hAnsi="Tahoma" w:cs="Tahoma"/>
                <w:bCs/>
                <w:iCs/>
                <w:sz w:val="22"/>
                <w:szCs w:val="22"/>
              </w:rPr>
            </w:pPr>
          </w:p>
        </w:tc>
        <w:tc>
          <w:tcPr>
            <w:tcW w:w="1843" w:type="pct"/>
            <w:vMerge/>
            <w:shd w:val="clear" w:color="auto" w:fill="auto"/>
            <w:vAlign w:val="center"/>
          </w:tcPr>
          <w:p w14:paraId="15D4422D" w14:textId="77777777" w:rsidR="00AE7485" w:rsidRPr="00AE7485" w:rsidRDefault="00AE7485" w:rsidP="00AE7485">
            <w:pPr>
              <w:tabs>
                <w:tab w:val="left" w:pos="4889"/>
              </w:tabs>
              <w:rPr>
                <w:rFonts w:ascii="Tahoma" w:hAnsi="Tahoma" w:cs="Tahoma"/>
                <w:bCs/>
                <w:iCs/>
                <w:sz w:val="22"/>
                <w:szCs w:val="22"/>
              </w:rPr>
            </w:pPr>
          </w:p>
        </w:tc>
        <w:tc>
          <w:tcPr>
            <w:tcW w:w="2839" w:type="pct"/>
            <w:shd w:val="clear" w:color="auto" w:fill="auto"/>
            <w:vAlign w:val="center"/>
          </w:tcPr>
          <w:p w14:paraId="0AFB8899" w14:textId="77777777" w:rsidR="00AE7485" w:rsidRPr="00AE7485" w:rsidRDefault="00AE7485" w:rsidP="00AE7485">
            <w:pPr>
              <w:tabs>
                <w:tab w:val="left" w:pos="4889"/>
              </w:tabs>
              <w:jc w:val="center"/>
              <w:rPr>
                <w:rFonts w:ascii="Tahoma" w:hAnsi="Tahoma" w:cs="Tahoma"/>
                <w:bCs/>
                <w:iCs/>
                <w:sz w:val="22"/>
                <w:szCs w:val="22"/>
                <w:lang w:val="en-US"/>
              </w:rPr>
            </w:pPr>
            <w:r w:rsidRPr="00AE7485">
              <w:rPr>
                <w:rFonts w:ascii="Tahoma" w:hAnsi="Tahoma" w:cs="Tahoma"/>
                <w:bCs/>
                <w:iCs/>
                <w:sz w:val="22"/>
                <w:szCs w:val="22"/>
              </w:rPr>
              <w:t>Карта</w:t>
            </w:r>
            <w:r w:rsidRPr="00AE7485">
              <w:rPr>
                <w:rFonts w:ascii="Tahoma" w:hAnsi="Tahoma" w:cs="Tahoma"/>
                <w:bCs/>
                <w:iCs/>
                <w:sz w:val="22"/>
                <w:szCs w:val="22"/>
                <w:lang w:val="en-US"/>
              </w:rPr>
              <w:t xml:space="preserve"> </w:t>
            </w:r>
            <w:r w:rsidRPr="00AE7485">
              <w:rPr>
                <w:rFonts w:ascii="Tahoma" w:hAnsi="Tahoma" w:cs="Tahoma"/>
                <w:bCs/>
                <w:iCs/>
                <w:sz w:val="22"/>
                <w:szCs w:val="22"/>
              </w:rPr>
              <w:t>типа</w:t>
            </w:r>
            <w:r w:rsidRPr="00AE7485">
              <w:rPr>
                <w:rFonts w:ascii="Tahoma" w:hAnsi="Tahoma" w:cs="Tahoma"/>
                <w:bCs/>
                <w:iCs/>
                <w:sz w:val="22"/>
                <w:szCs w:val="22"/>
                <w:lang w:val="en-US"/>
              </w:rPr>
              <w:t xml:space="preserve"> UnionPay Diamond: </w:t>
            </w:r>
            <w:r w:rsidRPr="00AE7485">
              <w:rPr>
                <w:rFonts w:ascii="Tahoma" w:hAnsi="Tahoma" w:cs="Tahoma"/>
                <w:b/>
                <w:bCs/>
                <w:iCs/>
                <w:sz w:val="22"/>
                <w:szCs w:val="22"/>
                <w:lang w:val="en-US"/>
              </w:rPr>
              <w:t xml:space="preserve">3 </w:t>
            </w:r>
            <w:r w:rsidRPr="00AE7485">
              <w:rPr>
                <w:rFonts w:ascii="Tahoma" w:hAnsi="Tahoma" w:cs="Tahoma"/>
                <w:b/>
                <w:bCs/>
                <w:iCs/>
                <w:sz w:val="22"/>
                <w:szCs w:val="22"/>
              </w:rPr>
              <w:t>года</w:t>
            </w:r>
          </w:p>
        </w:tc>
      </w:tr>
      <w:tr w:rsidR="00AE7485" w:rsidRPr="00AE7485" w14:paraId="5D1F2886" w14:textId="77777777" w:rsidTr="00AE7485">
        <w:tc>
          <w:tcPr>
            <w:tcW w:w="318" w:type="pct"/>
            <w:shd w:val="clear" w:color="auto" w:fill="595959"/>
            <w:vAlign w:val="center"/>
          </w:tcPr>
          <w:p w14:paraId="0EE2D28F" w14:textId="77777777" w:rsidR="00AE7485" w:rsidRPr="00AE7485" w:rsidRDefault="00AE7485" w:rsidP="00AE7485">
            <w:pPr>
              <w:tabs>
                <w:tab w:val="left" w:pos="284"/>
              </w:tabs>
              <w:rPr>
                <w:rFonts w:ascii="Tahoma" w:hAnsi="Tahoma" w:cs="Tahoma"/>
                <w:bCs/>
                <w:iCs/>
                <w:color w:val="FFFFFF"/>
                <w:sz w:val="22"/>
                <w:szCs w:val="22"/>
              </w:rPr>
            </w:pPr>
            <w:r w:rsidRPr="00AE7485">
              <w:rPr>
                <w:rFonts w:ascii="Tahoma" w:hAnsi="Tahoma" w:cs="Tahoma"/>
                <w:bCs/>
                <w:iCs/>
                <w:color w:val="FFFFFF"/>
                <w:sz w:val="22"/>
                <w:szCs w:val="22"/>
              </w:rPr>
              <w:t>3.2.</w:t>
            </w:r>
          </w:p>
        </w:tc>
        <w:tc>
          <w:tcPr>
            <w:tcW w:w="4682" w:type="pct"/>
            <w:gridSpan w:val="2"/>
            <w:shd w:val="clear" w:color="auto" w:fill="595959"/>
            <w:vAlign w:val="center"/>
          </w:tcPr>
          <w:p w14:paraId="2EB47CA9" w14:textId="77777777" w:rsidR="00AE7485" w:rsidRPr="00AE7485" w:rsidRDefault="00AE7485" w:rsidP="00AE7485">
            <w:pPr>
              <w:tabs>
                <w:tab w:val="left" w:pos="4889"/>
              </w:tabs>
              <w:rPr>
                <w:rFonts w:ascii="Tahoma" w:hAnsi="Tahoma" w:cs="Tahoma"/>
                <w:bCs/>
                <w:iCs/>
                <w:color w:val="FFFFFF"/>
                <w:sz w:val="22"/>
                <w:szCs w:val="22"/>
              </w:rPr>
            </w:pPr>
            <w:r w:rsidRPr="00AE7485">
              <w:rPr>
                <w:rFonts w:ascii="Tahoma" w:hAnsi="Tahoma" w:cs="Tahoma"/>
                <w:bCs/>
                <w:iCs/>
                <w:color w:val="FFFFFF"/>
                <w:sz w:val="22"/>
                <w:szCs w:val="22"/>
              </w:rPr>
              <w:t xml:space="preserve">Карта типа </w:t>
            </w:r>
            <w:r w:rsidRPr="00AE7485">
              <w:rPr>
                <w:rFonts w:ascii="Tahoma" w:hAnsi="Tahoma" w:cs="Tahoma"/>
                <w:bCs/>
                <w:iCs/>
                <w:color w:val="FFFFFF"/>
                <w:sz w:val="22"/>
                <w:szCs w:val="22"/>
                <w:lang w:val="en-US"/>
              </w:rPr>
              <w:t>UnionPay</w:t>
            </w:r>
            <w:r w:rsidRPr="00AE7485">
              <w:rPr>
                <w:rFonts w:ascii="Tahoma" w:hAnsi="Tahoma" w:cs="Tahoma"/>
                <w:bCs/>
                <w:iCs/>
                <w:color w:val="FFFFFF"/>
                <w:sz w:val="22"/>
                <w:szCs w:val="22"/>
              </w:rPr>
              <w:t xml:space="preserve"> </w:t>
            </w:r>
            <w:r w:rsidRPr="00AE7485">
              <w:rPr>
                <w:rFonts w:ascii="Tahoma" w:hAnsi="Tahoma" w:cs="Tahoma"/>
                <w:bCs/>
                <w:iCs/>
                <w:color w:val="FFFFFF"/>
                <w:sz w:val="22"/>
                <w:szCs w:val="22"/>
                <w:lang w:val="en-US"/>
              </w:rPr>
              <w:t>Diamond</w:t>
            </w:r>
            <w:r w:rsidRPr="00AE7485">
              <w:rPr>
                <w:rFonts w:ascii="Tahoma" w:hAnsi="Tahoma" w:cs="Tahoma"/>
                <w:bCs/>
                <w:iCs/>
                <w:color w:val="FFFFFF"/>
                <w:sz w:val="22"/>
                <w:szCs w:val="22"/>
              </w:rPr>
              <w:t xml:space="preserve"> (именная и неименная)</w:t>
            </w:r>
          </w:p>
        </w:tc>
      </w:tr>
      <w:tr w:rsidR="00AE7485" w:rsidRPr="00AE7485" w14:paraId="563D9165" w14:textId="77777777" w:rsidTr="00B86BDE">
        <w:trPr>
          <w:trHeight w:val="390"/>
        </w:trPr>
        <w:tc>
          <w:tcPr>
            <w:tcW w:w="318" w:type="pct"/>
            <w:vMerge w:val="restart"/>
            <w:shd w:val="clear" w:color="auto" w:fill="auto"/>
            <w:vAlign w:val="center"/>
          </w:tcPr>
          <w:p w14:paraId="0F628150" w14:textId="77777777" w:rsidR="00AE7485" w:rsidRPr="00AE7485" w:rsidRDefault="00AE7485" w:rsidP="00AE7485">
            <w:pPr>
              <w:tabs>
                <w:tab w:val="left" w:pos="284"/>
              </w:tabs>
              <w:rPr>
                <w:rFonts w:ascii="Tahoma" w:hAnsi="Tahoma" w:cs="Tahoma"/>
                <w:bCs/>
                <w:iCs/>
                <w:sz w:val="22"/>
                <w:szCs w:val="22"/>
                <w:lang w:val="en-US"/>
              </w:rPr>
            </w:pPr>
            <w:r w:rsidRPr="00AE7485">
              <w:rPr>
                <w:rFonts w:ascii="Tahoma" w:hAnsi="Tahoma" w:cs="Tahoma"/>
                <w:bCs/>
                <w:iCs/>
                <w:sz w:val="22"/>
                <w:szCs w:val="22"/>
                <w:lang w:val="en-US"/>
              </w:rPr>
              <w:t>3.</w:t>
            </w:r>
            <w:r w:rsidRPr="00AE7485">
              <w:rPr>
                <w:rFonts w:ascii="Tahoma" w:hAnsi="Tahoma" w:cs="Tahoma"/>
                <w:bCs/>
                <w:iCs/>
                <w:sz w:val="22"/>
                <w:szCs w:val="22"/>
              </w:rPr>
              <w:t>2</w:t>
            </w:r>
            <w:r w:rsidRPr="00AE7485">
              <w:rPr>
                <w:rFonts w:ascii="Tahoma" w:hAnsi="Tahoma" w:cs="Tahoma"/>
                <w:bCs/>
                <w:iCs/>
                <w:sz w:val="22"/>
                <w:szCs w:val="22"/>
                <w:lang w:val="en-US"/>
              </w:rPr>
              <w:t>.1.</w:t>
            </w:r>
          </w:p>
        </w:tc>
        <w:tc>
          <w:tcPr>
            <w:tcW w:w="1843" w:type="pct"/>
            <w:vMerge w:val="restart"/>
            <w:shd w:val="clear" w:color="auto" w:fill="auto"/>
            <w:vAlign w:val="center"/>
          </w:tcPr>
          <w:p w14:paraId="51078B5D"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Валюта Счета Карты</w:t>
            </w:r>
          </w:p>
        </w:tc>
        <w:tc>
          <w:tcPr>
            <w:tcW w:w="2839" w:type="pct"/>
            <w:shd w:val="clear" w:color="auto" w:fill="auto"/>
            <w:vAlign w:val="center"/>
          </w:tcPr>
          <w:p w14:paraId="297A5C8F"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Российский рубль</w:t>
            </w:r>
          </w:p>
        </w:tc>
      </w:tr>
      <w:tr w:rsidR="00AE7485" w:rsidRPr="00AE7485" w14:paraId="47E83651" w14:textId="77777777" w:rsidTr="00B86BDE">
        <w:trPr>
          <w:trHeight w:val="414"/>
        </w:trPr>
        <w:tc>
          <w:tcPr>
            <w:tcW w:w="318" w:type="pct"/>
            <w:vMerge/>
            <w:shd w:val="clear" w:color="auto" w:fill="auto"/>
            <w:vAlign w:val="center"/>
          </w:tcPr>
          <w:p w14:paraId="12FFB96B" w14:textId="77777777" w:rsidR="00AE7485" w:rsidRPr="00AE7485" w:rsidRDefault="00AE7485" w:rsidP="00AE7485">
            <w:pPr>
              <w:tabs>
                <w:tab w:val="left" w:pos="284"/>
              </w:tabs>
              <w:rPr>
                <w:rFonts w:ascii="Tahoma" w:hAnsi="Tahoma" w:cs="Tahoma"/>
                <w:bCs/>
                <w:iCs/>
                <w:sz w:val="22"/>
                <w:szCs w:val="22"/>
                <w:lang w:val="en-US"/>
              </w:rPr>
            </w:pPr>
          </w:p>
        </w:tc>
        <w:tc>
          <w:tcPr>
            <w:tcW w:w="1843" w:type="pct"/>
            <w:vMerge/>
            <w:shd w:val="clear" w:color="auto" w:fill="auto"/>
            <w:vAlign w:val="center"/>
          </w:tcPr>
          <w:p w14:paraId="7778FCA8" w14:textId="77777777" w:rsidR="00AE7485" w:rsidRPr="00AE7485" w:rsidRDefault="00AE7485" w:rsidP="00AE7485">
            <w:pPr>
              <w:tabs>
                <w:tab w:val="left" w:pos="4889"/>
              </w:tabs>
              <w:rPr>
                <w:rFonts w:ascii="Tahoma" w:hAnsi="Tahoma" w:cs="Tahoma"/>
                <w:bCs/>
                <w:iCs/>
                <w:sz w:val="22"/>
                <w:szCs w:val="22"/>
              </w:rPr>
            </w:pPr>
          </w:p>
        </w:tc>
        <w:tc>
          <w:tcPr>
            <w:tcW w:w="2839" w:type="pct"/>
            <w:shd w:val="clear" w:color="auto" w:fill="auto"/>
            <w:vAlign w:val="center"/>
          </w:tcPr>
          <w:p w14:paraId="7781C179"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Юань</w:t>
            </w:r>
          </w:p>
        </w:tc>
      </w:tr>
      <w:tr w:rsidR="00AE7485" w:rsidRPr="00AE7485" w14:paraId="0D2268D6" w14:textId="77777777" w:rsidTr="00B86BDE">
        <w:tc>
          <w:tcPr>
            <w:tcW w:w="318" w:type="pct"/>
            <w:shd w:val="clear" w:color="auto" w:fill="auto"/>
            <w:vAlign w:val="center"/>
          </w:tcPr>
          <w:p w14:paraId="3278A8E7"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3.2.2.</w:t>
            </w:r>
          </w:p>
        </w:tc>
        <w:tc>
          <w:tcPr>
            <w:tcW w:w="1843" w:type="pct"/>
            <w:shd w:val="clear" w:color="auto" w:fill="auto"/>
            <w:vAlign w:val="center"/>
          </w:tcPr>
          <w:p w14:paraId="59F479D6"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Годовое обслуживание Карты (Основной и Дополнительной)</w:t>
            </w:r>
          </w:p>
        </w:tc>
        <w:tc>
          <w:tcPr>
            <w:tcW w:w="2839" w:type="pct"/>
            <w:shd w:val="clear" w:color="auto" w:fill="auto"/>
            <w:vAlign w:val="center"/>
          </w:tcPr>
          <w:p w14:paraId="12F2F15E" w14:textId="77777777" w:rsidR="00AE7485" w:rsidRPr="00AE7485" w:rsidRDefault="00AE7485" w:rsidP="00AE7485">
            <w:pPr>
              <w:tabs>
                <w:tab w:val="left" w:pos="4889"/>
              </w:tabs>
              <w:jc w:val="center"/>
              <w:rPr>
                <w:rFonts w:ascii="Tahoma" w:hAnsi="Tahoma" w:cs="Tahoma"/>
                <w:b/>
                <w:bCs/>
                <w:iCs/>
                <w:sz w:val="22"/>
                <w:szCs w:val="22"/>
              </w:rPr>
            </w:pPr>
            <w:r w:rsidRPr="00AE7485">
              <w:rPr>
                <w:rFonts w:ascii="Tahoma" w:hAnsi="Tahoma" w:cs="Tahoma"/>
                <w:b/>
                <w:bCs/>
                <w:iCs/>
                <w:sz w:val="22"/>
                <w:szCs w:val="22"/>
              </w:rPr>
              <w:t>БЕСПЛАТНО</w:t>
            </w:r>
          </w:p>
        </w:tc>
      </w:tr>
      <w:tr w:rsidR="00AE7485" w:rsidRPr="00AE7485" w14:paraId="18E3D611" w14:textId="77777777" w:rsidTr="00B86BDE">
        <w:trPr>
          <w:trHeight w:val="263"/>
        </w:trPr>
        <w:tc>
          <w:tcPr>
            <w:tcW w:w="318" w:type="pct"/>
            <w:vMerge w:val="restart"/>
            <w:shd w:val="clear" w:color="auto" w:fill="auto"/>
            <w:vAlign w:val="center"/>
          </w:tcPr>
          <w:p w14:paraId="7C1C8A5E"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3.2.3.</w:t>
            </w:r>
          </w:p>
        </w:tc>
        <w:tc>
          <w:tcPr>
            <w:tcW w:w="1843" w:type="pct"/>
            <w:vMerge w:val="restart"/>
            <w:shd w:val="clear" w:color="auto" w:fill="auto"/>
            <w:vAlign w:val="center"/>
          </w:tcPr>
          <w:p w14:paraId="6DF533ED"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Стоимость выпуска Основной Карты</w:t>
            </w:r>
          </w:p>
        </w:tc>
        <w:tc>
          <w:tcPr>
            <w:tcW w:w="2839" w:type="pct"/>
            <w:shd w:val="clear" w:color="auto" w:fill="auto"/>
            <w:vAlign w:val="center"/>
          </w:tcPr>
          <w:p w14:paraId="72D60DFF"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Основная карта в рублях: </w:t>
            </w:r>
            <w:r w:rsidRPr="00AE7485">
              <w:rPr>
                <w:rFonts w:ascii="Tahoma" w:hAnsi="Tahoma" w:cs="Tahoma"/>
                <w:b/>
                <w:bCs/>
                <w:iCs/>
                <w:sz w:val="22"/>
                <w:szCs w:val="22"/>
              </w:rPr>
              <w:t>3 000 рублей</w:t>
            </w:r>
          </w:p>
        </w:tc>
      </w:tr>
      <w:tr w:rsidR="00AE7485" w:rsidRPr="00AE7485" w14:paraId="517B473C" w14:textId="77777777" w:rsidTr="00B86BDE">
        <w:trPr>
          <w:trHeight w:val="262"/>
        </w:trPr>
        <w:tc>
          <w:tcPr>
            <w:tcW w:w="318" w:type="pct"/>
            <w:vMerge/>
            <w:shd w:val="clear" w:color="auto" w:fill="auto"/>
            <w:vAlign w:val="center"/>
          </w:tcPr>
          <w:p w14:paraId="77980956" w14:textId="77777777" w:rsidR="00AE7485" w:rsidRPr="00AE7485" w:rsidRDefault="00AE7485" w:rsidP="00AE7485">
            <w:pPr>
              <w:tabs>
                <w:tab w:val="left" w:pos="284"/>
              </w:tabs>
              <w:rPr>
                <w:rFonts w:ascii="Tahoma" w:hAnsi="Tahoma" w:cs="Tahoma"/>
                <w:bCs/>
                <w:iCs/>
                <w:sz w:val="22"/>
                <w:szCs w:val="22"/>
              </w:rPr>
            </w:pPr>
          </w:p>
        </w:tc>
        <w:tc>
          <w:tcPr>
            <w:tcW w:w="1843" w:type="pct"/>
            <w:vMerge/>
            <w:shd w:val="clear" w:color="auto" w:fill="auto"/>
            <w:vAlign w:val="center"/>
          </w:tcPr>
          <w:p w14:paraId="1EAB2D2B" w14:textId="77777777" w:rsidR="00AE7485" w:rsidRPr="00AE7485" w:rsidRDefault="00AE7485" w:rsidP="00AE7485">
            <w:pPr>
              <w:tabs>
                <w:tab w:val="left" w:pos="4889"/>
              </w:tabs>
              <w:rPr>
                <w:rFonts w:ascii="Tahoma" w:hAnsi="Tahoma" w:cs="Tahoma"/>
                <w:bCs/>
                <w:iCs/>
                <w:sz w:val="22"/>
                <w:szCs w:val="22"/>
              </w:rPr>
            </w:pPr>
          </w:p>
        </w:tc>
        <w:tc>
          <w:tcPr>
            <w:tcW w:w="2839" w:type="pct"/>
            <w:shd w:val="clear" w:color="auto" w:fill="auto"/>
            <w:vAlign w:val="center"/>
          </w:tcPr>
          <w:p w14:paraId="27F08717"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Основная карта в юанях: </w:t>
            </w:r>
            <w:r w:rsidRPr="00AE7485">
              <w:rPr>
                <w:rFonts w:ascii="Tahoma" w:hAnsi="Tahoma" w:cs="Tahoma"/>
                <w:b/>
                <w:bCs/>
                <w:iCs/>
                <w:sz w:val="22"/>
                <w:szCs w:val="22"/>
              </w:rPr>
              <w:t>250 юаней</w:t>
            </w:r>
          </w:p>
        </w:tc>
      </w:tr>
      <w:tr w:rsidR="00AE7485" w:rsidRPr="00AE7485" w14:paraId="7188766C" w14:textId="77777777" w:rsidTr="00B86BDE">
        <w:trPr>
          <w:trHeight w:val="263"/>
        </w:trPr>
        <w:tc>
          <w:tcPr>
            <w:tcW w:w="318" w:type="pct"/>
            <w:vMerge w:val="restart"/>
            <w:shd w:val="clear" w:color="auto" w:fill="auto"/>
            <w:vAlign w:val="center"/>
          </w:tcPr>
          <w:p w14:paraId="0168A663"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3.2.4.</w:t>
            </w:r>
          </w:p>
        </w:tc>
        <w:tc>
          <w:tcPr>
            <w:tcW w:w="1843" w:type="pct"/>
            <w:vMerge w:val="restart"/>
            <w:shd w:val="clear" w:color="auto" w:fill="auto"/>
            <w:vAlign w:val="center"/>
          </w:tcPr>
          <w:p w14:paraId="26C3D26C"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Стоимость выпуска Дополнительной Карты</w:t>
            </w:r>
          </w:p>
        </w:tc>
        <w:tc>
          <w:tcPr>
            <w:tcW w:w="2839" w:type="pct"/>
            <w:shd w:val="clear" w:color="auto" w:fill="auto"/>
            <w:vAlign w:val="center"/>
          </w:tcPr>
          <w:p w14:paraId="416C4464"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Дополнительная Карта типа Мир </w:t>
            </w:r>
            <w:r w:rsidRPr="00AE7485">
              <w:rPr>
                <w:rFonts w:ascii="Tahoma" w:hAnsi="Tahoma" w:cs="Tahoma"/>
                <w:bCs/>
                <w:iCs/>
                <w:sz w:val="22"/>
                <w:szCs w:val="22"/>
                <w:lang w:val="en-US"/>
              </w:rPr>
              <w:t>Supreme</w:t>
            </w:r>
            <w:r w:rsidRPr="00AE7485">
              <w:rPr>
                <w:rFonts w:ascii="Tahoma" w:hAnsi="Tahoma" w:cs="Tahoma"/>
                <w:bCs/>
                <w:iCs/>
                <w:sz w:val="22"/>
                <w:szCs w:val="22"/>
                <w:vertAlign w:val="superscript"/>
                <w:lang w:val="en-US"/>
              </w:rPr>
              <w:footnoteReference w:id="204"/>
            </w:r>
            <w:r w:rsidRPr="00AE7485">
              <w:rPr>
                <w:rFonts w:ascii="Tahoma" w:hAnsi="Tahoma" w:cs="Tahoma"/>
                <w:bCs/>
                <w:iCs/>
                <w:sz w:val="22"/>
                <w:szCs w:val="22"/>
              </w:rPr>
              <w:t xml:space="preserve">: </w:t>
            </w:r>
            <w:r w:rsidRPr="00AE7485">
              <w:rPr>
                <w:rFonts w:ascii="Tahoma" w:hAnsi="Tahoma" w:cs="Tahoma"/>
                <w:b/>
                <w:bCs/>
                <w:iCs/>
                <w:sz w:val="22"/>
                <w:szCs w:val="22"/>
              </w:rPr>
              <w:t>БЕСПЛАТНО</w:t>
            </w:r>
          </w:p>
        </w:tc>
      </w:tr>
      <w:tr w:rsidR="00AE7485" w:rsidRPr="00AE7485" w14:paraId="0F1092FA" w14:textId="77777777" w:rsidTr="00B86BDE">
        <w:trPr>
          <w:trHeight w:val="262"/>
        </w:trPr>
        <w:tc>
          <w:tcPr>
            <w:tcW w:w="318" w:type="pct"/>
            <w:vMerge/>
            <w:shd w:val="clear" w:color="auto" w:fill="auto"/>
            <w:vAlign w:val="center"/>
          </w:tcPr>
          <w:p w14:paraId="1B33F756" w14:textId="77777777" w:rsidR="00AE7485" w:rsidRPr="00AE7485" w:rsidRDefault="00AE7485" w:rsidP="00AE7485">
            <w:pPr>
              <w:tabs>
                <w:tab w:val="left" w:pos="284"/>
              </w:tabs>
              <w:rPr>
                <w:rFonts w:ascii="Tahoma" w:hAnsi="Tahoma" w:cs="Tahoma"/>
                <w:bCs/>
                <w:iCs/>
                <w:sz w:val="22"/>
                <w:szCs w:val="22"/>
              </w:rPr>
            </w:pPr>
          </w:p>
        </w:tc>
        <w:tc>
          <w:tcPr>
            <w:tcW w:w="1843" w:type="pct"/>
            <w:vMerge/>
            <w:shd w:val="clear" w:color="auto" w:fill="auto"/>
            <w:vAlign w:val="center"/>
          </w:tcPr>
          <w:p w14:paraId="33A45983" w14:textId="77777777" w:rsidR="00AE7485" w:rsidRPr="00AE7485" w:rsidRDefault="00AE7485" w:rsidP="00AE7485">
            <w:pPr>
              <w:tabs>
                <w:tab w:val="left" w:pos="4889"/>
              </w:tabs>
              <w:rPr>
                <w:rFonts w:ascii="Tahoma" w:hAnsi="Tahoma" w:cs="Tahoma"/>
                <w:bCs/>
                <w:iCs/>
                <w:sz w:val="22"/>
                <w:szCs w:val="22"/>
              </w:rPr>
            </w:pPr>
          </w:p>
        </w:tc>
        <w:tc>
          <w:tcPr>
            <w:tcW w:w="2839" w:type="pct"/>
            <w:shd w:val="clear" w:color="auto" w:fill="auto"/>
            <w:vAlign w:val="center"/>
          </w:tcPr>
          <w:p w14:paraId="430AC411"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Дополнительная Карта типа </w:t>
            </w:r>
            <w:r w:rsidRPr="00AE7485">
              <w:rPr>
                <w:rFonts w:ascii="Tahoma" w:hAnsi="Tahoma" w:cs="Tahoma"/>
                <w:bCs/>
                <w:iCs/>
                <w:sz w:val="22"/>
                <w:szCs w:val="22"/>
                <w:lang w:val="en-US"/>
              </w:rPr>
              <w:t>UnionPay</w:t>
            </w:r>
            <w:r w:rsidRPr="00AE7485">
              <w:rPr>
                <w:rFonts w:ascii="Tahoma" w:hAnsi="Tahoma" w:cs="Tahoma"/>
                <w:bCs/>
                <w:iCs/>
                <w:sz w:val="22"/>
                <w:szCs w:val="22"/>
              </w:rPr>
              <w:t xml:space="preserve"> </w:t>
            </w:r>
            <w:r w:rsidRPr="00AE7485">
              <w:rPr>
                <w:rFonts w:ascii="Tahoma" w:hAnsi="Tahoma" w:cs="Tahoma"/>
                <w:bCs/>
                <w:iCs/>
                <w:sz w:val="22"/>
                <w:szCs w:val="22"/>
                <w:lang w:val="en-US"/>
              </w:rPr>
              <w:t>Diamond</w:t>
            </w:r>
            <w:r w:rsidRPr="00AE7485">
              <w:rPr>
                <w:rFonts w:ascii="Tahoma" w:hAnsi="Tahoma" w:cs="Tahoma"/>
                <w:bCs/>
                <w:iCs/>
                <w:sz w:val="22"/>
                <w:szCs w:val="22"/>
              </w:rPr>
              <w:t xml:space="preserve"> в рублях: </w:t>
            </w:r>
            <w:r w:rsidRPr="00AE7485">
              <w:rPr>
                <w:rFonts w:ascii="Tahoma" w:hAnsi="Tahoma" w:cs="Tahoma"/>
                <w:b/>
                <w:bCs/>
                <w:iCs/>
                <w:sz w:val="22"/>
                <w:szCs w:val="22"/>
              </w:rPr>
              <w:t>2</w:t>
            </w:r>
            <w:r w:rsidRPr="00AE7485">
              <w:rPr>
                <w:rFonts w:ascii="Tahoma" w:hAnsi="Tahoma" w:cs="Tahoma"/>
                <w:b/>
                <w:bCs/>
                <w:iCs/>
                <w:sz w:val="22"/>
                <w:szCs w:val="22"/>
                <w:lang w:val="en-US"/>
              </w:rPr>
              <w:t> </w:t>
            </w:r>
            <w:r w:rsidRPr="00AE7485">
              <w:rPr>
                <w:rFonts w:ascii="Tahoma" w:hAnsi="Tahoma" w:cs="Tahoma"/>
                <w:b/>
                <w:bCs/>
                <w:iCs/>
                <w:sz w:val="22"/>
                <w:szCs w:val="22"/>
              </w:rPr>
              <w:t>000 рублей</w:t>
            </w:r>
          </w:p>
        </w:tc>
      </w:tr>
      <w:tr w:rsidR="00AE7485" w:rsidRPr="00AE7485" w14:paraId="4E4A9347" w14:textId="77777777" w:rsidTr="00B86BDE">
        <w:trPr>
          <w:trHeight w:val="262"/>
        </w:trPr>
        <w:tc>
          <w:tcPr>
            <w:tcW w:w="318" w:type="pct"/>
            <w:vMerge/>
            <w:shd w:val="clear" w:color="auto" w:fill="auto"/>
            <w:vAlign w:val="center"/>
          </w:tcPr>
          <w:p w14:paraId="09E32949" w14:textId="77777777" w:rsidR="00AE7485" w:rsidRPr="00AE7485" w:rsidRDefault="00AE7485" w:rsidP="00AE7485">
            <w:pPr>
              <w:tabs>
                <w:tab w:val="left" w:pos="284"/>
              </w:tabs>
              <w:rPr>
                <w:rFonts w:ascii="Tahoma" w:hAnsi="Tahoma" w:cs="Tahoma"/>
                <w:bCs/>
                <w:iCs/>
                <w:sz w:val="22"/>
                <w:szCs w:val="22"/>
              </w:rPr>
            </w:pPr>
          </w:p>
        </w:tc>
        <w:tc>
          <w:tcPr>
            <w:tcW w:w="1843" w:type="pct"/>
            <w:vMerge/>
            <w:shd w:val="clear" w:color="auto" w:fill="auto"/>
            <w:vAlign w:val="center"/>
          </w:tcPr>
          <w:p w14:paraId="6AB38C4A" w14:textId="77777777" w:rsidR="00AE7485" w:rsidRPr="00AE7485" w:rsidRDefault="00AE7485" w:rsidP="00AE7485">
            <w:pPr>
              <w:tabs>
                <w:tab w:val="left" w:pos="4889"/>
              </w:tabs>
              <w:rPr>
                <w:rFonts w:ascii="Tahoma" w:hAnsi="Tahoma" w:cs="Tahoma"/>
                <w:bCs/>
                <w:iCs/>
                <w:sz w:val="22"/>
                <w:szCs w:val="22"/>
              </w:rPr>
            </w:pPr>
          </w:p>
        </w:tc>
        <w:tc>
          <w:tcPr>
            <w:tcW w:w="2839" w:type="pct"/>
            <w:shd w:val="clear" w:color="auto" w:fill="auto"/>
            <w:vAlign w:val="center"/>
          </w:tcPr>
          <w:p w14:paraId="0519EA9F"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Дополнительная Карта типа </w:t>
            </w:r>
            <w:r w:rsidRPr="00AE7485">
              <w:rPr>
                <w:rFonts w:ascii="Tahoma" w:hAnsi="Tahoma" w:cs="Tahoma"/>
                <w:bCs/>
                <w:iCs/>
                <w:sz w:val="22"/>
                <w:szCs w:val="22"/>
                <w:lang w:val="en-US"/>
              </w:rPr>
              <w:t>UnionPay</w:t>
            </w:r>
            <w:r w:rsidRPr="00AE7485">
              <w:rPr>
                <w:rFonts w:ascii="Tahoma" w:hAnsi="Tahoma" w:cs="Tahoma"/>
                <w:bCs/>
                <w:iCs/>
                <w:sz w:val="22"/>
                <w:szCs w:val="22"/>
              </w:rPr>
              <w:t xml:space="preserve"> </w:t>
            </w:r>
            <w:r w:rsidRPr="00AE7485">
              <w:rPr>
                <w:rFonts w:ascii="Tahoma" w:hAnsi="Tahoma" w:cs="Tahoma"/>
                <w:bCs/>
                <w:iCs/>
                <w:sz w:val="22"/>
                <w:szCs w:val="22"/>
                <w:lang w:val="en-US"/>
              </w:rPr>
              <w:t>Diamond</w:t>
            </w:r>
            <w:r w:rsidRPr="00AE7485">
              <w:rPr>
                <w:rFonts w:ascii="Tahoma" w:hAnsi="Tahoma" w:cs="Tahoma"/>
                <w:bCs/>
                <w:iCs/>
                <w:sz w:val="22"/>
                <w:szCs w:val="22"/>
              </w:rPr>
              <w:t xml:space="preserve"> в юанях: </w:t>
            </w:r>
            <w:r w:rsidRPr="00AE7485">
              <w:rPr>
                <w:rFonts w:ascii="Tahoma" w:hAnsi="Tahoma" w:cs="Tahoma"/>
                <w:b/>
                <w:bCs/>
                <w:iCs/>
                <w:sz w:val="22"/>
                <w:szCs w:val="22"/>
              </w:rPr>
              <w:t>170 юаней</w:t>
            </w:r>
          </w:p>
        </w:tc>
      </w:tr>
      <w:tr w:rsidR="00AE7485" w:rsidRPr="00AE7485" w14:paraId="7EB69FF1" w14:textId="77777777" w:rsidTr="00B86BDE">
        <w:tc>
          <w:tcPr>
            <w:tcW w:w="318" w:type="pct"/>
            <w:shd w:val="clear" w:color="auto" w:fill="auto"/>
            <w:vAlign w:val="center"/>
          </w:tcPr>
          <w:p w14:paraId="1E00E981"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3.2.5.</w:t>
            </w:r>
          </w:p>
        </w:tc>
        <w:tc>
          <w:tcPr>
            <w:tcW w:w="1843" w:type="pct"/>
            <w:shd w:val="clear" w:color="auto" w:fill="auto"/>
            <w:vAlign w:val="center"/>
          </w:tcPr>
          <w:p w14:paraId="240AC41F"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Перевыпуск Карты (Основной и Дополнительной) по любой причине</w:t>
            </w:r>
          </w:p>
        </w:tc>
        <w:tc>
          <w:tcPr>
            <w:tcW w:w="2839" w:type="pct"/>
            <w:shd w:val="clear" w:color="auto" w:fill="auto"/>
            <w:vAlign w:val="center"/>
          </w:tcPr>
          <w:p w14:paraId="4C128CF6" w14:textId="77777777" w:rsidR="00AE7485" w:rsidRPr="00AE7485" w:rsidRDefault="00AE7485" w:rsidP="00AE7485">
            <w:pPr>
              <w:tabs>
                <w:tab w:val="left" w:pos="4889"/>
              </w:tabs>
              <w:jc w:val="center"/>
              <w:rPr>
                <w:rFonts w:ascii="Tahoma" w:hAnsi="Tahoma" w:cs="Tahoma"/>
                <w:b/>
                <w:bCs/>
                <w:iCs/>
                <w:sz w:val="22"/>
                <w:szCs w:val="22"/>
              </w:rPr>
            </w:pPr>
            <w:r w:rsidRPr="00AE7485">
              <w:rPr>
                <w:rFonts w:ascii="Tahoma" w:hAnsi="Tahoma" w:cs="Tahoma"/>
                <w:b/>
                <w:bCs/>
                <w:iCs/>
                <w:sz w:val="22"/>
                <w:szCs w:val="22"/>
              </w:rPr>
              <w:t>БЕСПЛАТНО</w:t>
            </w:r>
          </w:p>
        </w:tc>
      </w:tr>
      <w:tr w:rsidR="00AE7485" w:rsidRPr="00AE7485" w14:paraId="688BD4B2" w14:textId="77777777" w:rsidTr="00B86BDE">
        <w:trPr>
          <w:trHeight w:val="263"/>
        </w:trPr>
        <w:tc>
          <w:tcPr>
            <w:tcW w:w="318" w:type="pct"/>
            <w:vMerge w:val="restart"/>
            <w:shd w:val="clear" w:color="auto" w:fill="auto"/>
            <w:vAlign w:val="center"/>
          </w:tcPr>
          <w:p w14:paraId="3F22D3F1"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3.2.6.</w:t>
            </w:r>
          </w:p>
        </w:tc>
        <w:tc>
          <w:tcPr>
            <w:tcW w:w="1843" w:type="pct"/>
            <w:vMerge w:val="restart"/>
            <w:shd w:val="clear" w:color="auto" w:fill="auto"/>
            <w:vAlign w:val="center"/>
          </w:tcPr>
          <w:p w14:paraId="362993E7"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 xml:space="preserve">Срок действия Карты (Основной и Дополнительной) </w:t>
            </w:r>
          </w:p>
        </w:tc>
        <w:tc>
          <w:tcPr>
            <w:tcW w:w="2839" w:type="pct"/>
            <w:shd w:val="clear" w:color="auto" w:fill="auto"/>
            <w:vAlign w:val="center"/>
          </w:tcPr>
          <w:p w14:paraId="741BC61A"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Карта типа Мир </w:t>
            </w:r>
            <w:r w:rsidRPr="00AE7485">
              <w:rPr>
                <w:rFonts w:ascii="Tahoma" w:hAnsi="Tahoma" w:cs="Tahoma"/>
                <w:bCs/>
                <w:iCs/>
                <w:sz w:val="22"/>
                <w:szCs w:val="22"/>
                <w:lang w:val="en-US"/>
              </w:rPr>
              <w:t>Supreme</w:t>
            </w:r>
            <w:r w:rsidRPr="00AE7485">
              <w:rPr>
                <w:rFonts w:ascii="Tahoma" w:hAnsi="Tahoma" w:cs="Tahoma"/>
                <w:bCs/>
                <w:iCs/>
                <w:sz w:val="22"/>
                <w:szCs w:val="22"/>
              </w:rPr>
              <w:t xml:space="preserve">: </w:t>
            </w:r>
            <w:r w:rsidRPr="00AE7485">
              <w:rPr>
                <w:rFonts w:ascii="Tahoma" w:hAnsi="Tahoma" w:cs="Tahoma"/>
                <w:b/>
                <w:bCs/>
                <w:iCs/>
                <w:sz w:val="22"/>
                <w:szCs w:val="22"/>
              </w:rPr>
              <w:t>10 лет</w:t>
            </w:r>
          </w:p>
        </w:tc>
      </w:tr>
      <w:tr w:rsidR="00AE7485" w:rsidRPr="00AE7485" w14:paraId="747BFA96" w14:textId="77777777" w:rsidTr="00B86BDE">
        <w:trPr>
          <w:trHeight w:val="262"/>
        </w:trPr>
        <w:tc>
          <w:tcPr>
            <w:tcW w:w="318" w:type="pct"/>
            <w:vMerge/>
            <w:shd w:val="clear" w:color="auto" w:fill="auto"/>
            <w:vAlign w:val="center"/>
          </w:tcPr>
          <w:p w14:paraId="576B973D" w14:textId="77777777" w:rsidR="00AE7485" w:rsidRPr="00AE7485" w:rsidRDefault="00AE7485" w:rsidP="00AE7485">
            <w:pPr>
              <w:tabs>
                <w:tab w:val="left" w:pos="284"/>
              </w:tabs>
              <w:rPr>
                <w:rFonts w:ascii="Tahoma" w:hAnsi="Tahoma" w:cs="Tahoma"/>
                <w:bCs/>
                <w:iCs/>
                <w:sz w:val="22"/>
                <w:szCs w:val="22"/>
              </w:rPr>
            </w:pPr>
          </w:p>
        </w:tc>
        <w:tc>
          <w:tcPr>
            <w:tcW w:w="1843" w:type="pct"/>
            <w:vMerge/>
            <w:shd w:val="clear" w:color="auto" w:fill="auto"/>
            <w:vAlign w:val="center"/>
          </w:tcPr>
          <w:p w14:paraId="5595F28C" w14:textId="77777777" w:rsidR="00AE7485" w:rsidRPr="00AE7485" w:rsidRDefault="00AE7485" w:rsidP="00AE7485">
            <w:pPr>
              <w:tabs>
                <w:tab w:val="left" w:pos="4889"/>
              </w:tabs>
              <w:rPr>
                <w:rFonts w:ascii="Tahoma" w:hAnsi="Tahoma" w:cs="Tahoma"/>
                <w:bCs/>
                <w:iCs/>
                <w:sz w:val="22"/>
                <w:szCs w:val="22"/>
              </w:rPr>
            </w:pPr>
          </w:p>
        </w:tc>
        <w:tc>
          <w:tcPr>
            <w:tcW w:w="2839" w:type="pct"/>
            <w:shd w:val="clear" w:color="auto" w:fill="auto"/>
            <w:vAlign w:val="center"/>
          </w:tcPr>
          <w:p w14:paraId="7486DA92" w14:textId="77777777" w:rsidR="00AE7485" w:rsidRPr="00AE7485" w:rsidRDefault="00AE7485" w:rsidP="00AE7485">
            <w:pPr>
              <w:tabs>
                <w:tab w:val="left" w:pos="4889"/>
              </w:tabs>
              <w:jc w:val="center"/>
              <w:rPr>
                <w:rFonts w:ascii="Tahoma" w:hAnsi="Tahoma" w:cs="Tahoma"/>
                <w:bCs/>
                <w:iCs/>
                <w:sz w:val="22"/>
                <w:szCs w:val="22"/>
                <w:lang w:val="en-US"/>
              </w:rPr>
            </w:pPr>
            <w:r w:rsidRPr="00AE7485">
              <w:rPr>
                <w:rFonts w:ascii="Tahoma" w:hAnsi="Tahoma" w:cs="Tahoma"/>
                <w:bCs/>
                <w:iCs/>
                <w:sz w:val="22"/>
                <w:szCs w:val="22"/>
              </w:rPr>
              <w:t>Карта</w:t>
            </w:r>
            <w:r w:rsidRPr="00AE7485">
              <w:rPr>
                <w:rFonts w:ascii="Tahoma" w:hAnsi="Tahoma" w:cs="Tahoma"/>
                <w:bCs/>
                <w:iCs/>
                <w:sz w:val="22"/>
                <w:szCs w:val="22"/>
                <w:lang w:val="en-US"/>
              </w:rPr>
              <w:t xml:space="preserve"> </w:t>
            </w:r>
            <w:r w:rsidRPr="00AE7485">
              <w:rPr>
                <w:rFonts w:ascii="Tahoma" w:hAnsi="Tahoma" w:cs="Tahoma"/>
                <w:bCs/>
                <w:iCs/>
                <w:sz w:val="22"/>
                <w:szCs w:val="22"/>
              </w:rPr>
              <w:t>типа</w:t>
            </w:r>
            <w:r w:rsidRPr="00AE7485">
              <w:rPr>
                <w:rFonts w:ascii="Tahoma" w:hAnsi="Tahoma" w:cs="Tahoma"/>
                <w:bCs/>
                <w:iCs/>
                <w:sz w:val="22"/>
                <w:szCs w:val="22"/>
                <w:lang w:val="en-US"/>
              </w:rPr>
              <w:t xml:space="preserve"> UnionPay Diamond: </w:t>
            </w:r>
            <w:r w:rsidRPr="00AE7485">
              <w:rPr>
                <w:rFonts w:ascii="Tahoma" w:hAnsi="Tahoma" w:cs="Tahoma"/>
                <w:b/>
                <w:bCs/>
                <w:iCs/>
                <w:sz w:val="22"/>
                <w:szCs w:val="22"/>
                <w:lang w:val="en-US"/>
              </w:rPr>
              <w:t xml:space="preserve">3 </w:t>
            </w:r>
            <w:r w:rsidRPr="00AE7485">
              <w:rPr>
                <w:rFonts w:ascii="Tahoma" w:hAnsi="Tahoma" w:cs="Tahoma"/>
                <w:b/>
                <w:bCs/>
                <w:iCs/>
                <w:sz w:val="22"/>
                <w:szCs w:val="22"/>
              </w:rPr>
              <w:t>года</w:t>
            </w:r>
          </w:p>
        </w:tc>
      </w:tr>
      <w:tr w:rsidR="00AE7485" w:rsidRPr="00AE7485" w14:paraId="29A15034" w14:textId="77777777" w:rsidTr="00B86BDE">
        <w:tc>
          <w:tcPr>
            <w:tcW w:w="318" w:type="pct"/>
            <w:shd w:val="clear" w:color="auto" w:fill="auto"/>
            <w:vAlign w:val="center"/>
          </w:tcPr>
          <w:p w14:paraId="53494DE4"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3.3.</w:t>
            </w:r>
          </w:p>
        </w:tc>
        <w:tc>
          <w:tcPr>
            <w:tcW w:w="1843" w:type="pct"/>
            <w:shd w:val="clear" w:color="auto" w:fill="auto"/>
            <w:vAlign w:val="center"/>
          </w:tcPr>
          <w:p w14:paraId="3E3E1858"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Общее количество возможных Карт, выпущенных на имя Клиента в рамках Программы</w:t>
            </w:r>
          </w:p>
        </w:tc>
        <w:tc>
          <w:tcPr>
            <w:tcW w:w="2839" w:type="pct"/>
            <w:shd w:val="clear" w:color="auto" w:fill="auto"/>
            <w:vAlign w:val="center"/>
          </w:tcPr>
          <w:p w14:paraId="6F38ACC0"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
                <w:bCs/>
                <w:iCs/>
                <w:sz w:val="22"/>
                <w:szCs w:val="22"/>
              </w:rPr>
              <w:t>Не более 6</w:t>
            </w:r>
            <w:r w:rsidRPr="00AE7485">
              <w:rPr>
                <w:rFonts w:ascii="Tahoma" w:hAnsi="Tahoma" w:cs="Tahoma"/>
                <w:bCs/>
                <w:iCs/>
                <w:sz w:val="22"/>
                <w:szCs w:val="22"/>
              </w:rPr>
              <w:t xml:space="preserve"> (шести) Карт (Основных и Дополнительных) совокупно, </w:t>
            </w:r>
          </w:p>
          <w:p w14:paraId="6C483836"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выпущенных на имя Клиента в рамках Программы</w:t>
            </w:r>
          </w:p>
        </w:tc>
      </w:tr>
      <w:tr w:rsidR="00AE7485" w:rsidRPr="00AE7485" w14:paraId="3A8761B5" w14:textId="77777777" w:rsidTr="00B86BDE">
        <w:tc>
          <w:tcPr>
            <w:tcW w:w="318" w:type="pct"/>
            <w:shd w:val="clear" w:color="auto" w:fill="auto"/>
            <w:vAlign w:val="center"/>
          </w:tcPr>
          <w:p w14:paraId="2C8E939D"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3.4.</w:t>
            </w:r>
          </w:p>
        </w:tc>
        <w:tc>
          <w:tcPr>
            <w:tcW w:w="1843" w:type="pct"/>
            <w:shd w:val="clear" w:color="auto" w:fill="auto"/>
            <w:vAlign w:val="center"/>
          </w:tcPr>
          <w:p w14:paraId="74C1B4C4"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Начисление процентов Банком Клиенту на остаток денежных средств по Счет Карты</w:t>
            </w:r>
          </w:p>
        </w:tc>
        <w:tc>
          <w:tcPr>
            <w:tcW w:w="2839" w:type="pct"/>
            <w:shd w:val="clear" w:color="auto" w:fill="auto"/>
            <w:vAlign w:val="center"/>
          </w:tcPr>
          <w:p w14:paraId="4640AF06"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Не предусмотрено</w:t>
            </w:r>
          </w:p>
        </w:tc>
      </w:tr>
      <w:tr w:rsidR="00AE7485" w:rsidRPr="00AE7485" w14:paraId="497DDCF9" w14:textId="77777777" w:rsidTr="00B86BDE">
        <w:tc>
          <w:tcPr>
            <w:tcW w:w="318" w:type="pct"/>
            <w:shd w:val="clear" w:color="auto" w:fill="auto"/>
            <w:vAlign w:val="center"/>
          </w:tcPr>
          <w:p w14:paraId="76BC1F23"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3.5.</w:t>
            </w:r>
          </w:p>
        </w:tc>
        <w:tc>
          <w:tcPr>
            <w:tcW w:w="1843" w:type="pct"/>
            <w:shd w:val="clear" w:color="auto" w:fill="auto"/>
            <w:vAlign w:val="center"/>
          </w:tcPr>
          <w:p w14:paraId="2A037F5F"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Установка и смена ПИН-кода к Карте (Основной и Дополнительной)</w:t>
            </w:r>
          </w:p>
        </w:tc>
        <w:tc>
          <w:tcPr>
            <w:tcW w:w="2839" w:type="pct"/>
            <w:vMerge w:val="restart"/>
            <w:shd w:val="clear" w:color="auto" w:fill="auto"/>
            <w:vAlign w:val="center"/>
          </w:tcPr>
          <w:p w14:paraId="633A2A83" w14:textId="77777777" w:rsidR="00AE7485" w:rsidRPr="00AE7485" w:rsidRDefault="00AE7485" w:rsidP="00AE7485">
            <w:pPr>
              <w:tabs>
                <w:tab w:val="left" w:pos="4889"/>
              </w:tabs>
              <w:jc w:val="center"/>
              <w:rPr>
                <w:rFonts w:ascii="Tahoma" w:hAnsi="Tahoma" w:cs="Tahoma"/>
                <w:b/>
                <w:bCs/>
                <w:iCs/>
                <w:sz w:val="22"/>
                <w:szCs w:val="22"/>
              </w:rPr>
            </w:pPr>
            <w:r w:rsidRPr="00AE7485">
              <w:rPr>
                <w:rFonts w:ascii="Tahoma" w:hAnsi="Tahoma" w:cs="Tahoma"/>
                <w:b/>
                <w:bCs/>
                <w:iCs/>
                <w:sz w:val="22"/>
                <w:szCs w:val="22"/>
              </w:rPr>
              <w:t>БЕСПЛАТНО</w:t>
            </w:r>
          </w:p>
        </w:tc>
      </w:tr>
      <w:tr w:rsidR="00AE7485" w:rsidRPr="00AE7485" w14:paraId="527B2597" w14:textId="77777777" w:rsidTr="00B86BDE">
        <w:trPr>
          <w:trHeight w:val="685"/>
        </w:trPr>
        <w:tc>
          <w:tcPr>
            <w:tcW w:w="318" w:type="pct"/>
            <w:shd w:val="clear" w:color="auto" w:fill="auto"/>
            <w:vAlign w:val="center"/>
          </w:tcPr>
          <w:p w14:paraId="7C93202F"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3.6.</w:t>
            </w:r>
          </w:p>
        </w:tc>
        <w:tc>
          <w:tcPr>
            <w:tcW w:w="1843" w:type="pct"/>
            <w:shd w:val="clear" w:color="auto" w:fill="auto"/>
            <w:vAlign w:val="center"/>
          </w:tcPr>
          <w:p w14:paraId="3346A236"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Запрос баланса Счета Карты в банкоматах других банков</w:t>
            </w:r>
            <w:r w:rsidRPr="00AE7485">
              <w:rPr>
                <w:rFonts w:ascii="Tahoma" w:hAnsi="Tahoma" w:cs="Tahoma"/>
                <w:bCs/>
                <w:iCs/>
                <w:sz w:val="22"/>
                <w:szCs w:val="22"/>
                <w:vertAlign w:val="superscript"/>
              </w:rPr>
              <w:footnoteReference w:id="205"/>
            </w:r>
          </w:p>
        </w:tc>
        <w:tc>
          <w:tcPr>
            <w:tcW w:w="2839" w:type="pct"/>
            <w:vMerge/>
            <w:shd w:val="clear" w:color="auto" w:fill="auto"/>
            <w:vAlign w:val="center"/>
          </w:tcPr>
          <w:p w14:paraId="37C9C444" w14:textId="77777777" w:rsidR="00AE7485" w:rsidRPr="00AE7485" w:rsidRDefault="00AE7485" w:rsidP="00AE7485">
            <w:pPr>
              <w:tabs>
                <w:tab w:val="left" w:pos="4889"/>
              </w:tabs>
              <w:jc w:val="center"/>
              <w:rPr>
                <w:rFonts w:ascii="Tahoma" w:hAnsi="Tahoma" w:cs="Tahoma"/>
                <w:bCs/>
                <w:iCs/>
                <w:sz w:val="22"/>
                <w:szCs w:val="22"/>
              </w:rPr>
            </w:pPr>
          </w:p>
        </w:tc>
      </w:tr>
      <w:tr w:rsidR="00AE7485" w:rsidRPr="00AE7485" w14:paraId="01BEB8CC" w14:textId="77777777" w:rsidTr="00AE7485">
        <w:trPr>
          <w:trHeight w:val="435"/>
        </w:trPr>
        <w:tc>
          <w:tcPr>
            <w:tcW w:w="318" w:type="pct"/>
            <w:shd w:val="clear" w:color="auto" w:fill="595959"/>
            <w:vAlign w:val="center"/>
          </w:tcPr>
          <w:p w14:paraId="595DF73B" w14:textId="77777777" w:rsidR="00AE7485" w:rsidRPr="00AE7485" w:rsidRDefault="00AE7485" w:rsidP="00AE7485">
            <w:pPr>
              <w:tabs>
                <w:tab w:val="left" w:pos="284"/>
              </w:tabs>
              <w:rPr>
                <w:rFonts w:ascii="Tahoma" w:hAnsi="Tahoma" w:cs="Tahoma"/>
                <w:b/>
                <w:bCs/>
                <w:iCs/>
                <w:color w:val="FFFFFF"/>
                <w:sz w:val="22"/>
                <w:szCs w:val="22"/>
              </w:rPr>
            </w:pPr>
            <w:r w:rsidRPr="00AE7485">
              <w:rPr>
                <w:rFonts w:ascii="Tahoma" w:hAnsi="Tahoma" w:cs="Tahoma"/>
                <w:b/>
                <w:bCs/>
                <w:iCs/>
                <w:color w:val="FFFFFF"/>
                <w:sz w:val="22"/>
                <w:szCs w:val="22"/>
              </w:rPr>
              <w:t>4.</w:t>
            </w:r>
          </w:p>
        </w:tc>
        <w:tc>
          <w:tcPr>
            <w:tcW w:w="4682" w:type="pct"/>
            <w:gridSpan w:val="2"/>
            <w:shd w:val="clear" w:color="auto" w:fill="595959"/>
            <w:vAlign w:val="center"/>
          </w:tcPr>
          <w:p w14:paraId="04E2896C" w14:textId="77777777" w:rsidR="00AE7485" w:rsidRPr="00AE7485" w:rsidRDefault="00AE7485" w:rsidP="00AE7485">
            <w:pPr>
              <w:tabs>
                <w:tab w:val="left" w:pos="4889"/>
              </w:tabs>
              <w:rPr>
                <w:rFonts w:ascii="Tahoma" w:hAnsi="Tahoma" w:cs="Tahoma"/>
                <w:b/>
                <w:bCs/>
                <w:iCs/>
                <w:color w:val="FFFFFF"/>
                <w:sz w:val="22"/>
                <w:szCs w:val="22"/>
              </w:rPr>
            </w:pPr>
            <w:r w:rsidRPr="00AE7485">
              <w:rPr>
                <w:rFonts w:ascii="Tahoma" w:hAnsi="Tahoma" w:cs="Tahoma"/>
                <w:b/>
                <w:bCs/>
                <w:iCs/>
                <w:color w:val="FFFFFF"/>
                <w:sz w:val="22"/>
                <w:szCs w:val="22"/>
              </w:rPr>
              <w:t>Условия обслуживания операций с наличными денежными средствами посредством Карты</w:t>
            </w:r>
          </w:p>
        </w:tc>
      </w:tr>
      <w:tr w:rsidR="00AE7485" w:rsidRPr="00AE7485" w14:paraId="04E63762" w14:textId="77777777" w:rsidTr="00AE7485">
        <w:tc>
          <w:tcPr>
            <w:tcW w:w="318" w:type="pct"/>
            <w:shd w:val="clear" w:color="auto" w:fill="595959"/>
            <w:vAlign w:val="center"/>
          </w:tcPr>
          <w:p w14:paraId="0CC4254E" w14:textId="77777777" w:rsidR="00AE7485" w:rsidRPr="00AE7485" w:rsidRDefault="00AE7485" w:rsidP="00AE7485">
            <w:pPr>
              <w:tabs>
                <w:tab w:val="left" w:pos="284"/>
              </w:tabs>
              <w:rPr>
                <w:rFonts w:ascii="Tahoma" w:hAnsi="Tahoma" w:cs="Tahoma"/>
                <w:b/>
                <w:bCs/>
                <w:iCs/>
                <w:color w:val="FFFFFF"/>
                <w:sz w:val="22"/>
                <w:szCs w:val="22"/>
              </w:rPr>
            </w:pPr>
            <w:r w:rsidRPr="00AE7485">
              <w:rPr>
                <w:rFonts w:ascii="Tahoma" w:hAnsi="Tahoma" w:cs="Tahoma"/>
                <w:b/>
                <w:bCs/>
                <w:iCs/>
                <w:color w:val="FFFFFF"/>
                <w:sz w:val="22"/>
                <w:szCs w:val="22"/>
              </w:rPr>
              <w:t>4.1.</w:t>
            </w:r>
          </w:p>
        </w:tc>
        <w:tc>
          <w:tcPr>
            <w:tcW w:w="4682" w:type="pct"/>
            <w:gridSpan w:val="2"/>
            <w:shd w:val="clear" w:color="auto" w:fill="595959"/>
            <w:vAlign w:val="center"/>
          </w:tcPr>
          <w:p w14:paraId="5BD7E7D8" w14:textId="77777777" w:rsidR="00AE7485" w:rsidRPr="00AE7485" w:rsidRDefault="00AE7485" w:rsidP="00AE7485">
            <w:pPr>
              <w:tabs>
                <w:tab w:val="left" w:pos="4889"/>
              </w:tabs>
              <w:rPr>
                <w:rFonts w:ascii="Tahoma" w:hAnsi="Tahoma" w:cs="Tahoma"/>
                <w:b/>
                <w:bCs/>
                <w:iCs/>
                <w:color w:val="FFFFFF"/>
                <w:sz w:val="22"/>
                <w:szCs w:val="22"/>
              </w:rPr>
            </w:pPr>
            <w:r w:rsidRPr="00AE7485">
              <w:rPr>
                <w:rFonts w:ascii="Tahoma" w:hAnsi="Tahoma" w:cs="Tahoma"/>
                <w:b/>
                <w:bCs/>
                <w:iCs/>
                <w:color w:val="FFFFFF"/>
                <w:sz w:val="22"/>
                <w:szCs w:val="22"/>
              </w:rPr>
              <w:t>Лимиты совершения операций выдачи наличных в банкоматах и в пунктах выдачи наличных любых банков, включая Банка, с одного Счета Карты Клиента</w:t>
            </w:r>
            <w:r w:rsidRPr="00AE7485">
              <w:rPr>
                <w:rFonts w:ascii="Tahoma" w:hAnsi="Tahoma" w:cs="Tahoma"/>
                <w:b/>
                <w:bCs/>
                <w:iCs/>
                <w:color w:val="FFFFFF"/>
                <w:sz w:val="22"/>
                <w:szCs w:val="22"/>
                <w:vertAlign w:val="superscript"/>
              </w:rPr>
              <w:footnoteReference w:id="206"/>
            </w:r>
          </w:p>
        </w:tc>
      </w:tr>
      <w:tr w:rsidR="00AE7485" w:rsidRPr="00AE7485" w14:paraId="768F9AF1" w14:textId="77777777" w:rsidTr="00B86BDE">
        <w:trPr>
          <w:trHeight w:val="367"/>
        </w:trPr>
        <w:tc>
          <w:tcPr>
            <w:tcW w:w="318" w:type="pct"/>
            <w:vMerge w:val="restart"/>
            <w:shd w:val="clear" w:color="auto" w:fill="auto"/>
            <w:vAlign w:val="center"/>
          </w:tcPr>
          <w:p w14:paraId="0EE760B4"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4.1.1.</w:t>
            </w:r>
          </w:p>
        </w:tc>
        <w:tc>
          <w:tcPr>
            <w:tcW w:w="1843" w:type="pct"/>
            <w:vMerge w:val="restart"/>
            <w:shd w:val="clear" w:color="auto" w:fill="auto"/>
            <w:vAlign w:val="center"/>
          </w:tcPr>
          <w:p w14:paraId="5D759269"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 xml:space="preserve">Ежедневно </w:t>
            </w:r>
          </w:p>
          <w:p w14:paraId="027EA8C1"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(с 00 до 24 чч. московского времени включительно)</w:t>
            </w:r>
          </w:p>
        </w:tc>
        <w:tc>
          <w:tcPr>
            <w:tcW w:w="2839" w:type="pct"/>
            <w:shd w:val="clear" w:color="auto" w:fill="auto"/>
            <w:vAlign w:val="center"/>
          </w:tcPr>
          <w:p w14:paraId="501CA916"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Карта в рублях: </w:t>
            </w:r>
            <w:r w:rsidRPr="00AE7485">
              <w:rPr>
                <w:rFonts w:ascii="Tahoma" w:hAnsi="Tahoma" w:cs="Tahoma"/>
                <w:b/>
                <w:bCs/>
                <w:iCs/>
                <w:sz w:val="22"/>
                <w:szCs w:val="22"/>
              </w:rPr>
              <w:t>1 000 000 рублей</w:t>
            </w:r>
          </w:p>
        </w:tc>
      </w:tr>
      <w:tr w:rsidR="00AE7485" w:rsidRPr="00AE7485" w14:paraId="6F1C480B" w14:textId="77777777" w:rsidTr="00B86BDE">
        <w:trPr>
          <w:trHeight w:val="428"/>
        </w:trPr>
        <w:tc>
          <w:tcPr>
            <w:tcW w:w="318" w:type="pct"/>
            <w:vMerge/>
            <w:shd w:val="clear" w:color="auto" w:fill="auto"/>
            <w:vAlign w:val="center"/>
          </w:tcPr>
          <w:p w14:paraId="7E37FA3F" w14:textId="77777777" w:rsidR="00AE7485" w:rsidRPr="00AE7485" w:rsidRDefault="00AE7485" w:rsidP="00AE7485">
            <w:pPr>
              <w:tabs>
                <w:tab w:val="left" w:pos="284"/>
              </w:tabs>
              <w:rPr>
                <w:rFonts w:ascii="Tahoma" w:hAnsi="Tahoma" w:cs="Tahoma"/>
                <w:bCs/>
                <w:iCs/>
                <w:sz w:val="22"/>
                <w:szCs w:val="22"/>
              </w:rPr>
            </w:pPr>
          </w:p>
        </w:tc>
        <w:tc>
          <w:tcPr>
            <w:tcW w:w="1843" w:type="pct"/>
            <w:vMerge/>
            <w:shd w:val="clear" w:color="auto" w:fill="auto"/>
            <w:vAlign w:val="center"/>
          </w:tcPr>
          <w:p w14:paraId="448835E7" w14:textId="77777777" w:rsidR="00AE7485" w:rsidRPr="00AE7485" w:rsidRDefault="00AE7485" w:rsidP="00AE7485">
            <w:pPr>
              <w:tabs>
                <w:tab w:val="left" w:pos="4889"/>
              </w:tabs>
              <w:rPr>
                <w:rFonts w:ascii="Tahoma" w:hAnsi="Tahoma" w:cs="Tahoma"/>
                <w:bCs/>
                <w:iCs/>
                <w:sz w:val="22"/>
                <w:szCs w:val="22"/>
              </w:rPr>
            </w:pPr>
          </w:p>
        </w:tc>
        <w:tc>
          <w:tcPr>
            <w:tcW w:w="2839" w:type="pct"/>
            <w:shd w:val="clear" w:color="auto" w:fill="auto"/>
            <w:vAlign w:val="center"/>
          </w:tcPr>
          <w:p w14:paraId="3888B1DD"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Карта в юанях: </w:t>
            </w:r>
            <w:r w:rsidRPr="00AE7485">
              <w:rPr>
                <w:rFonts w:ascii="Tahoma" w:hAnsi="Tahoma" w:cs="Tahoma"/>
                <w:b/>
                <w:bCs/>
                <w:iCs/>
                <w:sz w:val="22"/>
                <w:szCs w:val="22"/>
              </w:rPr>
              <w:t>86 000 юаней</w:t>
            </w:r>
          </w:p>
        </w:tc>
      </w:tr>
      <w:tr w:rsidR="00AE7485" w:rsidRPr="00AE7485" w14:paraId="23EBF530" w14:textId="77777777" w:rsidTr="00B86BDE">
        <w:trPr>
          <w:trHeight w:val="398"/>
        </w:trPr>
        <w:tc>
          <w:tcPr>
            <w:tcW w:w="318" w:type="pct"/>
            <w:vMerge w:val="restart"/>
            <w:shd w:val="clear" w:color="auto" w:fill="auto"/>
            <w:vAlign w:val="center"/>
          </w:tcPr>
          <w:p w14:paraId="2B04C941"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4.1.2.</w:t>
            </w:r>
          </w:p>
        </w:tc>
        <w:tc>
          <w:tcPr>
            <w:tcW w:w="1843" w:type="pct"/>
            <w:vMerge w:val="restart"/>
            <w:shd w:val="clear" w:color="auto" w:fill="auto"/>
            <w:vAlign w:val="center"/>
          </w:tcPr>
          <w:p w14:paraId="71A994CF"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 xml:space="preserve">Ежемесячно </w:t>
            </w:r>
          </w:p>
          <w:p w14:paraId="11BEAD02"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(с 00 ч. первого числа месяца до 24 ч. последнего числа месяца московского времени включительно)</w:t>
            </w:r>
          </w:p>
        </w:tc>
        <w:tc>
          <w:tcPr>
            <w:tcW w:w="2839" w:type="pct"/>
            <w:shd w:val="clear" w:color="auto" w:fill="auto"/>
            <w:vAlign w:val="center"/>
          </w:tcPr>
          <w:p w14:paraId="5AFFD71A"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Карта в рублях: </w:t>
            </w:r>
            <w:r w:rsidRPr="00AE7485">
              <w:rPr>
                <w:rFonts w:ascii="Tahoma" w:hAnsi="Tahoma" w:cs="Tahoma"/>
                <w:b/>
                <w:bCs/>
                <w:iCs/>
                <w:sz w:val="22"/>
                <w:szCs w:val="22"/>
              </w:rPr>
              <w:t>2 000 000 рублей</w:t>
            </w:r>
          </w:p>
        </w:tc>
      </w:tr>
      <w:tr w:rsidR="00AE7485" w:rsidRPr="00AE7485" w14:paraId="69E2E8C3" w14:textId="77777777" w:rsidTr="00B86BDE">
        <w:trPr>
          <w:trHeight w:val="397"/>
        </w:trPr>
        <w:tc>
          <w:tcPr>
            <w:tcW w:w="318" w:type="pct"/>
            <w:vMerge/>
            <w:shd w:val="clear" w:color="auto" w:fill="auto"/>
            <w:vAlign w:val="center"/>
          </w:tcPr>
          <w:p w14:paraId="2E29E5C4" w14:textId="77777777" w:rsidR="00AE7485" w:rsidRPr="00AE7485" w:rsidRDefault="00AE7485" w:rsidP="00AE7485">
            <w:pPr>
              <w:tabs>
                <w:tab w:val="left" w:pos="284"/>
              </w:tabs>
              <w:rPr>
                <w:rFonts w:ascii="Tahoma" w:hAnsi="Tahoma" w:cs="Tahoma"/>
                <w:bCs/>
                <w:iCs/>
                <w:sz w:val="22"/>
                <w:szCs w:val="22"/>
              </w:rPr>
            </w:pPr>
          </w:p>
        </w:tc>
        <w:tc>
          <w:tcPr>
            <w:tcW w:w="1843" w:type="pct"/>
            <w:vMerge/>
            <w:shd w:val="clear" w:color="auto" w:fill="auto"/>
            <w:vAlign w:val="center"/>
          </w:tcPr>
          <w:p w14:paraId="186053F1" w14:textId="77777777" w:rsidR="00AE7485" w:rsidRPr="00AE7485" w:rsidRDefault="00AE7485" w:rsidP="00AE7485">
            <w:pPr>
              <w:tabs>
                <w:tab w:val="left" w:pos="4889"/>
              </w:tabs>
              <w:rPr>
                <w:rFonts w:ascii="Tahoma" w:hAnsi="Tahoma" w:cs="Tahoma"/>
                <w:bCs/>
                <w:iCs/>
                <w:sz w:val="22"/>
                <w:szCs w:val="22"/>
              </w:rPr>
            </w:pPr>
          </w:p>
        </w:tc>
        <w:tc>
          <w:tcPr>
            <w:tcW w:w="2839" w:type="pct"/>
            <w:shd w:val="clear" w:color="auto" w:fill="auto"/>
            <w:vAlign w:val="center"/>
          </w:tcPr>
          <w:p w14:paraId="4280FFD2"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Карта в юанях: </w:t>
            </w:r>
            <w:r w:rsidRPr="00AE7485">
              <w:rPr>
                <w:rFonts w:ascii="Tahoma" w:hAnsi="Tahoma" w:cs="Tahoma"/>
                <w:b/>
                <w:bCs/>
                <w:iCs/>
                <w:sz w:val="22"/>
                <w:szCs w:val="22"/>
              </w:rPr>
              <w:t>180 000 юаней</w:t>
            </w:r>
          </w:p>
        </w:tc>
      </w:tr>
      <w:tr w:rsidR="00AE7485" w:rsidRPr="00AE7485" w14:paraId="2D211BCA" w14:textId="77777777" w:rsidTr="00AE7485">
        <w:trPr>
          <w:trHeight w:val="397"/>
        </w:trPr>
        <w:tc>
          <w:tcPr>
            <w:tcW w:w="318" w:type="pct"/>
            <w:shd w:val="clear" w:color="auto" w:fill="595959"/>
            <w:vAlign w:val="center"/>
          </w:tcPr>
          <w:p w14:paraId="41087A00" w14:textId="77777777" w:rsidR="00AE7485" w:rsidRPr="00AE7485" w:rsidRDefault="00AE7485" w:rsidP="00AE7485">
            <w:pPr>
              <w:tabs>
                <w:tab w:val="left" w:pos="284"/>
              </w:tabs>
              <w:rPr>
                <w:rFonts w:ascii="Tahoma" w:hAnsi="Tahoma" w:cs="Tahoma"/>
                <w:b/>
                <w:bCs/>
                <w:iCs/>
                <w:color w:val="FFFFFF"/>
                <w:sz w:val="22"/>
                <w:szCs w:val="22"/>
              </w:rPr>
            </w:pPr>
            <w:r w:rsidRPr="00AE7485">
              <w:rPr>
                <w:rFonts w:ascii="Tahoma" w:hAnsi="Tahoma" w:cs="Tahoma"/>
                <w:b/>
                <w:bCs/>
                <w:iCs/>
                <w:color w:val="FFFFFF"/>
                <w:sz w:val="22"/>
                <w:szCs w:val="22"/>
              </w:rPr>
              <w:t>4.2.</w:t>
            </w:r>
          </w:p>
        </w:tc>
        <w:tc>
          <w:tcPr>
            <w:tcW w:w="4682" w:type="pct"/>
            <w:gridSpan w:val="2"/>
            <w:shd w:val="clear" w:color="auto" w:fill="595959"/>
            <w:vAlign w:val="center"/>
          </w:tcPr>
          <w:p w14:paraId="7D3D20D2" w14:textId="77777777" w:rsidR="00AE7485" w:rsidRPr="00AE7485" w:rsidRDefault="00AE7485" w:rsidP="00AE7485">
            <w:pPr>
              <w:tabs>
                <w:tab w:val="left" w:pos="4889"/>
              </w:tabs>
              <w:rPr>
                <w:rFonts w:ascii="Tahoma" w:hAnsi="Tahoma" w:cs="Tahoma"/>
                <w:b/>
                <w:bCs/>
                <w:iCs/>
                <w:color w:val="FFFFFF"/>
                <w:sz w:val="22"/>
                <w:szCs w:val="22"/>
              </w:rPr>
            </w:pPr>
            <w:r w:rsidRPr="00AE7485">
              <w:rPr>
                <w:rFonts w:ascii="Tahoma" w:hAnsi="Tahoma" w:cs="Tahoma"/>
                <w:b/>
                <w:bCs/>
                <w:iCs/>
                <w:color w:val="FFFFFF"/>
                <w:sz w:val="22"/>
                <w:szCs w:val="22"/>
              </w:rPr>
              <w:t>Лимиты совершения операции выдачи наличных в ТСП</w:t>
            </w:r>
            <w:r w:rsidRPr="00AE7485">
              <w:rPr>
                <w:rFonts w:ascii="Tahoma" w:hAnsi="Tahoma" w:cs="Tahoma"/>
                <w:b/>
                <w:bCs/>
                <w:iCs/>
                <w:color w:val="FFFFFF"/>
                <w:sz w:val="22"/>
                <w:szCs w:val="22"/>
                <w:vertAlign w:val="superscript"/>
              </w:rPr>
              <w:footnoteReference w:id="207"/>
            </w:r>
            <w:r w:rsidRPr="00AE7485">
              <w:rPr>
                <w:rFonts w:ascii="Tahoma" w:hAnsi="Tahoma" w:cs="Tahoma"/>
                <w:b/>
                <w:bCs/>
                <w:iCs/>
                <w:color w:val="FFFFFF"/>
                <w:sz w:val="22"/>
                <w:szCs w:val="22"/>
              </w:rPr>
              <w:t>, предоставляющих услугу выдачи наличных денежных средств при совершении покупки, с одного Счета Карты Клиента</w:t>
            </w:r>
            <w:r w:rsidRPr="00AE7485">
              <w:rPr>
                <w:rFonts w:ascii="Tahoma" w:hAnsi="Tahoma" w:cs="Tahoma"/>
                <w:b/>
                <w:bCs/>
                <w:iCs/>
                <w:color w:val="FFFFFF"/>
                <w:sz w:val="22"/>
                <w:szCs w:val="22"/>
                <w:vertAlign w:val="superscript"/>
              </w:rPr>
              <w:footnoteReference w:id="208"/>
            </w:r>
          </w:p>
        </w:tc>
      </w:tr>
      <w:tr w:rsidR="00AE7485" w:rsidRPr="00AE7485" w14:paraId="0ED480E9" w14:textId="77777777" w:rsidTr="00B86BDE">
        <w:trPr>
          <w:trHeight w:val="397"/>
        </w:trPr>
        <w:tc>
          <w:tcPr>
            <w:tcW w:w="318" w:type="pct"/>
            <w:shd w:val="clear" w:color="auto" w:fill="auto"/>
            <w:vAlign w:val="center"/>
          </w:tcPr>
          <w:p w14:paraId="6A33E5D4"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4.2.1.</w:t>
            </w:r>
          </w:p>
        </w:tc>
        <w:tc>
          <w:tcPr>
            <w:tcW w:w="1843" w:type="pct"/>
            <w:shd w:val="clear" w:color="auto" w:fill="auto"/>
            <w:vAlign w:val="center"/>
          </w:tcPr>
          <w:p w14:paraId="6404E0DD"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 xml:space="preserve">Ежедневно </w:t>
            </w:r>
          </w:p>
          <w:p w14:paraId="2A3358E0"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(с 00 до 24 чч. московского времени включительно)</w:t>
            </w:r>
          </w:p>
        </w:tc>
        <w:tc>
          <w:tcPr>
            <w:tcW w:w="2839" w:type="pct"/>
            <w:shd w:val="clear" w:color="auto" w:fill="auto"/>
            <w:vAlign w:val="center"/>
          </w:tcPr>
          <w:p w14:paraId="0EE55402" w14:textId="77777777" w:rsidR="00AE7485" w:rsidRPr="00AE7485" w:rsidRDefault="00AE7485" w:rsidP="00AE7485">
            <w:pPr>
              <w:tabs>
                <w:tab w:val="left" w:pos="4889"/>
              </w:tabs>
              <w:jc w:val="center"/>
              <w:rPr>
                <w:rFonts w:ascii="Tahoma" w:hAnsi="Tahoma" w:cs="Tahoma"/>
                <w:b/>
                <w:bCs/>
                <w:iCs/>
                <w:sz w:val="22"/>
                <w:szCs w:val="22"/>
              </w:rPr>
            </w:pPr>
            <w:r w:rsidRPr="00AE7485">
              <w:rPr>
                <w:rFonts w:ascii="Tahoma" w:hAnsi="Tahoma" w:cs="Tahoma"/>
                <w:b/>
                <w:bCs/>
                <w:iCs/>
                <w:sz w:val="22"/>
                <w:szCs w:val="22"/>
              </w:rPr>
              <w:t>5 000 рублей</w:t>
            </w:r>
          </w:p>
        </w:tc>
      </w:tr>
      <w:tr w:rsidR="00AE7485" w:rsidRPr="00AE7485" w14:paraId="46F50956" w14:textId="77777777" w:rsidTr="00B86BDE">
        <w:trPr>
          <w:trHeight w:val="397"/>
        </w:trPr>
        <w:tc>
          <w:tcPr>
            <w:tcW w:w="318" w:type="pct"/>
            <w:shd w:val="clear" w:color="auto" w:fill="auto"/>
            <w:vAlign w:val="center"/>
          </w:tcPr>
          <w:p w14:paraId="09621642"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4.2.2.</w:t>
            </w:r>
          </w:p>
        </w:tc>
        <w:tc>
          <w:tcPr>
            <w:tcW w:w="1843" w:type="pct"/>
            <w:shd w:val="clear" w:color="auto" w:fill="auto"/>
            <w:vAlign w:val="center"/>
          </w:tcPr>
          <w:p w14:paraId="12FC8A84"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 xml:space="preserve">Ежемесячно </w:t>
            </w:r>
          </w:p>
          <w:p w14:paraId="7D5AA7B1"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(с 00 ч. первого числа месяца по 24 ч. последнего числа месяца московского времени включительно)</w:t>
            </w:r>
          </w:p>
        </w:tc>
        <w:tc>
          <w:tcPr>
            <w:tcW w:w="2839" w:type="pct"/>
            <w:shd w:val="clear" w:color="auto" w:fill="auto"/>
            <w:vAlign w:val="center"/>
          </w:tcPr>
          <w:p w14:paraId="19E024EB" w14:textId="77777777" w:rsidR="00AE7485" w:rsidRPr="00AE7485" w:rsidRDefault="00AE7485" w:rsidP="00AE7485">
            <w:pPr>
              <w:tabs>
                <w:tab w:val="left" w:pos="4889"/>
              </w:tabs>
              <w:jc w:val="center"/>
              <w:rPr>
                <w:rFonts w:ascii="Tahoma" w:hAnsi="Tahoma" w:cs="Tahoma"/>
                <w:b/>
                <w:bCs/>
                <w:iCs/>
                <w:sz w:val="22"/>
                <w:szCs w:val="22"/>
              </w:rPr>
            </w:pPr>
            <w:r w:rsidRPr="00AE7485">
              <w:rPr>
                <w:rFonts w:ascii="Tahoma" w:hAnsi="Tahoma" w:cs="Tahoma"/>
                <w:b/>
                <w:bCs/>
                <w:iCs/>
                <w:sz w:val="22"/>
                <w:szCs w:val="22"/>
              </w:rPr>
              <w:t>30 000 рублей</w:t>
            </w:r>
          </w:p>
        </w:tc>
      </w:tr>
      <w:tr w:rsidR="00AE7485" w:rsidRPr="00AE7485" w14:paraId="26A69A3A" w14:textId="77777777" w:rsidTr="00AE7485">
        <w:trPr>
          <w:trHeight w:val="397"/>
        </w:trPr>
        <w:tc>
          <w:tcPr>
            <w:tcW w:w="318" w:type="pct"/>
            <w:shd w:val="clear" w:color="auto" w:fill="595959"/>
            <w:vAlign w:val="center"/>
          </w:tcPr>
          <w:p w14:paraId="41740A66" w14:textId="77777777" w:rsidR="00AE7485" w:rsidRPr="00AE7485" w:rsidRDefault="00AE7485" w:rsidP="00AE7485">
            <w:pPr>
              <w:tabs>
                <w:tab w:val="left" w:pos="284"/>
              </w:tabs>
              <w:rPr>
                <w:rFonts w:ascii="Tahoma" w:hAnsi="Tahoma" w:cs="Tahoma"/>
                <w:b/>
                <w:bCs/>
                <w:iCs/>
                <w:color w:val="FFFFFF"/>
                <w:sz w:val="22"/>
                <w:szCs w:val="22"/>
              </w:rPr>
            </w:pPr>
            <w:r w:rsidRPr="00AE7485">
              <w:rPr>
                <w:rFonts w:ascii="Tahoma" w:hAnsi="Tahoma" w:cs="Tahoma"/>
                <w:b/>
                <w:bCs/>
                <w:iCs/>
                <w:color w:val="FFFFFF"/>
                <w:sz w:val="22"/>
                <w:szCs w:val="22"/>
              </w:rPr>
              <w:t>4.3.</w:t>
            </w:r>
          </w:p>
        </w:tc>
        <w:tc>
          <w:tcPr>
            <w:tcW w:w="4682" w:type="pct"/>
            <w:gridSpan w:val="2"/>
            <w:shd w:val="clear" w:color="auto" w:fill="595959"/>
            <w:vAlign w:val="center"/>
          </w:tcPr>
          <w:p w14:paraId="1BBFC2F3" w14:textId="77777777" w:rsidR="00AE7485" w:rsidRPr="00AE7485" w:rsidRDefault="00AE7485" w:rsidP="00AE7485">
            <w:pPr>
              <w:tabs>
                <w:tab w:val="left" w:pos="4889"/>
              </w:tabs>
              <w:rPr>
                <w:rFonts w:ascii="Tahoma" w:hAnsi="Tahoma" w:cs="Tahoma"/>
                <w:b/>
                <w:bCs/>
                <w:iCs/>
                <w:color w:val="FFFFFF"/>
                <w:sz w:val="22"/>
                <w:szCs w:val="22"/>
              </w:rPr>
            </w:pPr>
            <w:r w:rsidRPr="00AE7485">
              <w:rPr>
                <w:rFonts w:ascii="Tahoma" w:hAnsi="Tahoma" w:cs="Tahoma"/>
                <w:b/>
                <w:bCs/>
                <w:iCs/>
                <w:color w:val="FFFFFF"/>
                <w:sz w:val="22"/>
                <w:szCs w:val="22"/>
              </w:rPr>
              <w:t>Выдача наличных денежных средств посредством Карты (с учетом лимитов совершения операций выдачи наличных)</w:t>
            </w:r>
            <w:r w:rsidRPr="00AE7485">
              <w:rPr>
                <w:rFonts w:ascii="Tahoma" w:hAnsi="Tahoma" w:cs="Tahoma"/>
                <w:b/>
                <w:bCs/>
                <w:iCs/>
                <w:color w:val="FFFFFF"/>
                <w:sz w:val="22"/>
                <w:szCs w:val="22"/>
                <w:vertAlign w:val="superscript"/>
              </w:rPr>
              <w:footnoteReference w:id="209"/>
            </w:r>
          </w:p>
        </w:tc>
      </w:tr>
      <w:tr w:rsidR="00AE7485" w:rsidRPr="00AE7485" w14:paraId="00C09D72" w14:textId="77777777" w:rsidTr="00B86BDE">
        <w:trPr>
          <w:trHeight w:val="566"/>
        </w:trPr>
        <w:tc>
          <w:tcPr>
            <w:tcW w:w="318" w:type="pct"/>
            <w:shd w:val="clear" w:color="auto" w:fill="auto"/>
            <w:vAlign w:val="center"/>
          </w:tcPr>
          <w:p w14:paraId="60777484"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4.3.1.</w:t>
            </w:r>
          </w:p>
        </w:tc>
        <w:tc>
          <w:tcPr>
            <w:tcW w:w="1843" w:type="pct"/>
            <w:shd w:val="clear" w:color="auto" w:fill="auto"/>
            <w:vAlign w:val="center"/>
          </w:tcPr>
          <w:p w14:paraId="61BDD6CD"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В банкоматах и пунктах выдачи наличных</w:t>
            </w:r>
            <w:r w:rsidRPr="00AE7485">
              <w:rPr>
                <w:rFonts w:ascii="Tahoma" w:hAnsi="Tahoma" w:cs="Tahoma"/>
                <w:bCs/>
                <w:iCs/>
                <w:sz w:val="22"/>
                <w:szCs w:val="22"/>
                <w:vertAlign w:val="superscript"/>
              </w:rPr>
              <w:footnoteReference w:id="210"/>
            </w:r>
            <w:r w:rsidRPr="00AE7485">
              <w:rPr>
                <w:rFonts w:ascii="Tahoma" w:hAnsi="Tahoma" w:cs="Tahoma"/>
                <w:bCs/>
                <w:iCs/>
                <w:sz w:val="22"/>
                <w:szCs w:val="22"/>
              </w:rPr>
              <w:t xml:space="preserve"> любых банков</w:t>
            </w:r>
            <w:r w:rsidRPr="00AE7485">
              <w:rPr>
                <w:rFonts w:ascii="Tahoma" w:hAnsi="Tahoma" w:cs="Tahoma"/>
                <w:bCs/>
                <w:iCs/>
                <w:sz w:val="22"/>
                <w:szCs w:val="22"/>
                <w:vertAlign w:val="superscript"/>
              </w:rPr>
              <w:footnoteReference w:id="211"/>
            </w:r>
            <w:r w:rsidRPr="00AE7485">
              <w:rPr>
                <w:rFonts w:ascii="Tahoma" w:hAnsi="Tahoma" w:cs="Tahoma"/>
                <w:bCs/>
                <w:iCs/>
                <w:sz w:val="22"/>
                <w:szCs w:val="22"/>
              </w:rPr>
              <w:t>, включая Банка</w:t>
            </w:r>
          </w:p>
        </w:tc>
        <w:tc>
          <w:tcPr>
            <w:tcW w:w="2839" w:type="pct"/>
            <w:vMerge w:val="restart"/>
            <w:shd w:val="clear" w:color="auto" w:fill="auto"/>
            <w:vAlign w:val="center"/>
          </w:tcPr>
          <w:p w14:paraId="4AE65110" w14:textId="77777777" w:rsidR="00AE7485" w:rsidRPr="00AE7485" w:rsidRDefault="00AE7485" w:rsidP="00AE7485">
            <w:pPr>
              <w:tabs>
                <w:tab w:val="left" w:pos="4889"/>
              </w:tabs>
              <w:jc w:val="center"/>
              <w:rPr>
                <w:rFonts w:ascii="Tahoma" w:hAnsi="Tahoma" w:cs="Tahoma"/>
                <w:b/>
                <w:bCs/>
                <w:iCs/>
                <w:sz w:val="22"/>
                <w:szCs w:val="22"/>
              </w:rPr>
            </w:pPr>
            <w:r w:rsidRPr="00AE7485">
              <w:rPr>
                <w:rFonts w:ascii="Tahoma" w:hAnsi="Tahoma" w:cs="Tahoma"/>
                <w:b/>
                <w:bCs/>
                <w:iCs/>
                <w:sz w:val="22"/>
                <w:szCs w:val="22"/>
              </w:rPr>
              <w:t>БЕСПЛАТНО</w:t>
            </w:r>
          </w:p>
        </w:tc>
      </w:tr>
      <w:tr w:rsidR="00AE7485" w:rsidRPr="00AE7485" w14:paraId="13A85838" w14:textId="77777777" w:rsidTr="00B86BDE">
        <w:trPr>
          <w:trHeight w:val="711"/>
        </w:trPr>
        <w:tc>
          <w:tcPr>
            <w:tcW w:w="318" w:type="pct"/>
            <w:shd w:val="clear" w:color="auto" w:fill="auto"/>
            <w:vAlign w:val="center"/>
          </w:tcPr>
          <w:p w14:paraId="7864CE97"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4.3.2.</w:t>
            </w:r>
          </w:p>
        </w:tc>
        <w:tc>
          <w:tcPr>
            <w:tcW w:w="1843" w:type="pct"/>
            <w:shd w:val="clear" w:color="auto" w:fill="auto"/>
            <w:vAlign w:val="center"/>
          </w:tcPr>
          <w:p w14:paraId="4E566F31"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В ТСП, предоставляющих услугу выдачи наличных денежных средств при совершении покупки</w:t>
            </w:r>
            <w:r w:rsidRPr="00AE7485">
              <w:rPr>
                <w:rFonts w:ascii="Tahoma" w:hAnsi="Tahoma" w:cs="Tahoma"/>
                <w:bCs/>
                <w:iCs/>
                <w:sz w:val="22"/>
                <w:szCs w:val="22"/>
                <w:vertAlign w:val="superscript"/>
              </w:rPr>
              <w:footnoteReference w:id="212"/>
            </w:r>
          </w:p>
        </w:tc>
        <w:tc>
          <w:tcPr>
            <w:tcW w:w="2839" w:type="pct"/>
            <w:vMerge/>
            <w:shd w:val="clear" w:color="auto" w:fill="auto"/>
            <w:vAlign w:val="center"/>
          </w:tcPr>
          <w:p w14:paraId="64F4853D" w14:textId="77777777" w:rsidR="00AE7485" w:rsidRPr="00AE7485" w:rsidRDefault="00AE7485" w:rsidP="00AE7485">
            <w:pPr>
              <w:tabs>
                <w:tab w:val="left" w:pos="4889"/>
              </w:tabs>
              <w:jc w:val="center"/>
              <w:rPr>
                <w:rFonts w:ascii="Tahoma" w:hAnsi="Tahoma" w:cs="Tahoma"/>
                <w:b/>
                <w:bCs/>
                <w:iCs/>
                <w:sz w:val="22"/>
                <w:szCs w:val="22"/>
              </w:rPr>
            </w:pPr>
          </w:p>
        </w:tc>
      </w:tr>
      <w:tr w:rsidR="00AE7485" w:rsidRPr="00AE7485" w14:paraId="68D94F8A" w14:textId="77777777" w:rsidTr="00AE7485">
        <w:trPr>
          <w:trHeight w:val="245"/>
        </w:trPr>
        <w:tc>
          <w:tcPr>
            <w:tcW w:w="318" w:type="pct"/>
            <w:shd w:val="clear" w:color="auto" w:fill="595959"/>
            <w:vAlign w:val="center"/>
          </w:tcPr>
          <w:p w14:paraId="3C4D14C4" w14:textId="77777777" w:rsidR="00AE7485" w:rsidRPr="00AE7485" w:rsidRDefault="00AE7485" w:rsidP="00AE7485">
            <w:pPr>
              <w:tabs>
                <w:tab w:val="left" w:pos="284"/>
              </w:tabs>
              <w:rPr>
                <w:rFonts w:ascii="Tahoma" w:hAnsi="Tahoma" w:cs="Tahoma"/>
                <w:b/>
                <w:bCs/>
                <w:iCs/>
                <w:color w:val="FFFFFF"/>
                <w:sz w:val="22"/>
                <w:szCs w:val="22"/>
              </w:rPr>
            </w:pPr>
            <w:r w:rsidRPr="00AE7485">
              <w:rPr>
                <w:rFonts w:ascii="Tahoma" w:hAnsi="Tahoma" w:cs="Tahoma"/>
                <w:b/>
                <w:bCs/>
                <w:iCs/>
                <w:color w:val="FFFFFF"/>
                <w:sz w:val="22"/>
                <w:szCs w:val="22"/>
              </w:rPr>
              <w:t>4.4.</w:t>
            </w:r>
          </w:p>
        </w:tc>
        <w:tc>
          <w:tcPr>
            <w:tcW w:w="4682" w:type="pct"/>
            <w:gridSpan w:val="2"/>
            <w:shd w:val="clear" w:color="auto" w:fill="595959"/>
            <w:vAlign w:val="center"/>
          </w:tcPr>
          <w:p w14:paraId="7422746C" w14:textId="77777777" w:rsidR="00AE7485" w:rsidRPr="00AE7485" w:rsidRDefault="00AE7485" w:rsidP="00AE7485">
            <w:pPr>
              <w:tabs>
                <w:tab w:val="left" w:pos="4889"/>
              </w:tabs>
              <w:rPr>
                <w:rFonts w:ascii="Tahoma" w:hAnsi="Tahoma" w:cs="Tahoma"/>
                <w:b/>
                <w:bCs/>
                <w:iCs/>
                <w:color w:val="FFFFFF"/>
                <w:sz w:val="22"/>
                <w:szCs w:val="22"/>
              </w:rPr>
            </w:pPr>
            <w:r w:rsidRPr="00AE7485">
              <w:rPr>
                <w:rFonts w:ascii="Tahoma" w:hAnsi="Tahoma" w:cs="Tahoma"/>
                <w:b/>
                <w:bCs/>
                <w:iCs/>
                <w:color w:val="FFFFFF"/>
                <w:sz w:val="22"/>
                <w:szCs w:val="22"/>
              </w:rPr>
              <w:t>Прием и зачисление наличных денежных средств на Счет Карты с использованием Карты</w:t>
            </w:r>
          </w:p>
        </w:tc>
      </w:tr>
      <w:tr w:rsidR="00AE7485" w:rsidRPr="00AE7485" w14:paraId="7AF9CDE3" w14:textId="77777777" w:rsidTr="00B86BDE">
        <w:trPr>
          <w:trHeight w:val="563"/>
        </w:trPr>
        <w:tc>
          <w:tcPr>
            <w:tcW w:w="318" w:type="pct"/>
            <w:shd w:val="clear" w:color="auto" w:fill="auto"/>
            <w:vAlign w:val="center"/>
          </w:tcPr>
          <w:p w14:paraId="73CD4828"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4.4.1.</w:t>
            </w:r>
          </w:p>
        </w:tc>
        <w:tc>
          <w:tcPr>
            <w:tcW w:w="1843" w:type="pct"/>
            <w:shd w:val="clear" w:color="auto" w:fill="auto"/>
            <w:vAlign w:val="center"/>
          </w:tcPr>
          <w:p w14:paraId="25561D5F"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Через кассы, банкоматы и терминалы самообслуживания Банка</w:t>
            </w:r>
          </w:p>
        </w:tc>
        <w:tc>
          <w:tcPr>
            <w:tcW w:w="2839" w:type="pct"/>
            <w:vMerge w:val="restart"/>
            <w:shd w:val="clear" w:color="auto" w:fill="auto"/>
            <w:vAlign w:val="center"/>
          </w:tcPr>
          <w:p w14:paraId="73B17C48" w14:textId="77777777" w:rsidR="00AE7485" w:rsidRPr="00AE7485" w:rsidRDefault="00AE7485" w:rsidP="00AE7485">
            <w:pPr>
              <w:tabs>
                <w:tab w:val="left" w:pos="4889"/>
              </w:tabs>
              <w:jc w:val="center"/>
              <w:rPr>
                <w:rFonts w:ascii="Tahoma" w:hAnsi="Tahoma" w:cs="Tahoma"/>
                <w:b/>
                <w:bCs/>
                <w:iCs/>
                <w:sz w:val="22"/>
                <w:szCs w:val="22"/>
              </w:rPr>
            </w:pPr>
            <w:r w:rsidRPr="00AE7485">
              <w:rPr>
                <w:rFonts w:ascii="Tahoma" w:hAnsi="Tahoma" w:cs="Tahoma"/>
                <w:b/>
                <w:bCs/>
                <w:iCs/>
                <w:sz w:val="22"/>
                <w:szCs w:val="22"/>
              </w:rPr>
              <w:t>БЕСПЛАТНО</w:t>
            </w:r>
          </w:p>
        </w:tc>
      </w:tr>
      <w:tr w:rsidR="00AE7485" w:rsidRPr="00AE7485" w14:paraId="2CEB4D69" w14:textId="77777777" w:rsidTr="00B86BDE">
        <w:trPr>
          <w:trHeight w:val="481"/>
        </w:trPr>
        <w:tc>
          <w:tcPr>
            <w:tcW w:w="318" w:type="pct"/>
            <w:shd w:val="clear" w:color="auto" w:fill="auto"/>
            <w:vAlign w:val="center"/>
          </w:tcPr>
          <w:p w14:paraId="5C5C87DB"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4.4.2.</w:t>
            </w:r>
          </w:p>
        </w:tc>
        <w:tc>
          <w:tcPr>
            <w:tcW w:w="1843" w:type="pct"/>
            <w:shd w:val="clear" w:color="auto" w:fill="auto"/>
            <w:vAlign w:val="center"/>
          </w:tcPr>
          <w:p w14:paraId="64D4C947"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Через розничные сети других банков</w:t>
            </w:r>
            <w:r w:rsidRPr="00AE7485">
              <w:rPr>
                <w:rFonts w:ascii="Tahoma" w:hAnsi="Tahoma" w:cs="Tahoma"/>
                <w:b/>
                <w:bCs/>
                <w:iCs/>
                <w:sz w:val="22"/>
                <w:szCs w:val="22"/>
                <w:vertAlign w:val="superscript"/>
              </w:rPr>
              <w:footnoteReference w:id="213"/>
            </w:r>
          </w:p>
        </w:tc>
        <w:tc>
          <w:tcPr>
            <w:tcW w:w="2839" w:type="pct"/>
            <w:vMerge/>
            <w:shd w:val="clear" w:color="auto" w:fill="auto"/>
            <w:vAlign w:val="center"/>
          </w:tcPr>
          <w:p w14:paraId="523A9823" w14:textId="77777777" w:rsidR="00AE7485" w:rsidRPr="00AE7485" w:rsidRDefault="00AE7485" w:rsidP="00AE7485">
            <w:pPr>
              <w:tabs>
                <w:tab w:val="left" w:pos="4889"/>
              </w:tabs>
              <w:jc w:val="center"/>
              <w:rPr>
                <w:rFonts w:ascii="Tahoma" w:hAnsi="Tahoma" w:cs="Tahoma"/>
                <w:b/>
                <w:bCs/>
                <w:iCs/>
                <w:sz w:val="22"/>
                <w:szCs w:val="22"/>
              </w:rPr>
            </w:pPr>
          </w:p>
        </w:tc>
      </w:tr>
      <w:tr w:rsidR="00AE7485" w:rsidRPr="00AE7485" w14:paraId="103995DC" w14:textId="77777777" w:rsidTr="00AE7485">
        <w:trPr>
          <w:trHeight w:val="432"/>
        </w:trPr>
        <w:tc>
          <w:tcPr>
            <w:tcW w:w="318" w:type="pct"/>
            <w:shd w:val="clear" w:color="auto" w:fill="595959"/>
            <w:vAlign w:val="center"/>
          </w:tcPr>
          <w:p w14:paraId="5A056EB0"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
                <w:bCs/>
                <w:iCs/>
                <w:color w:val="FFFFFF"/>
                <w:sz w:val="22"/>
                <w:szCs w:val="22"/>
              </w:rPr>
              <w:t>5.</w:t>
            </w:r>
          </w:p>
        </w:tc>
        <w:tc>
          <w:tcPr>
            <w:tcW w:w="4682" w:type="pct"/>
            <w:gridSpan w:val="2"/>
            <w:shd w:val="clear" w:color="auto" w:fill="595959"/>
            <w:vAlign w:val="center"/>
          </w:tcPr>
          <w:p w14:paraId="1D7442F6" w14:textId="77777777" w:rsidR="00AE7485" w:rsidRPr="00AE7485" w:rsidRDefault="00AE7485" w:rsidP="00AE7485">
            <w:pPr>
              <w:tabs>
                <w:tab w:val="left" w:pos="4889"/>
              </w:tabs>
              <w:rPr>
                <w:rFonts w:ascii="Tahoma" w:hAnsi="Tahoma" w:cs="Tahoma"/>
                <w:b/>
                <w:bCs/>
                <w:iCs/>
                <w:sz w:val="22"/>
                <w:szCs w:val="22"/>
              </w:rPr>
            </w:pPr>
            <w:r w:rsidRPr="00AE7485">
              <w:rPr>
                <w:rFonts w:ascii="Tahoma" w:hAnsi="Tahoma" w:cs="Tahoma"/>
                <w:b/>
                <w:bCs/>
                <w:iCs/>
                <w:color w:val="FFFFFF"/>
                <w:sz w:val="22"/>
                <w:szCs w:val="22"/>
              </w:rPr>
              <w:t>Условия выдачи наличных денежных средств в пунктах выдачи наличных Банка со Счета Карты</w:t>
            </w:r>
          </w:p>
        </w:tc>
      </w:tr>
      <w:tr w:rsidR="00AE7485" w:rsidRPr="00AE7485" w14:paraId="5B873C48" w14:textId="77777777" w:rsidTr="00B86BDE">
        <w:trPr>
          <w:trHeight w:val="614"/>
        </w:trPr>
        <w:tc>
          <w:tcPr>
            <w:tcW w:w="318" w:type="pct"/>
            <w:shd w:val="clear" w:color="auto" w:fill="auto"/>
            <w:vAlign w:val="center"/>
          </w:tcPr>
          <w:p w14:paraId="0C36DF22"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5.1.</w:t>
            </w:r>
          </w:p>
        </w:tc>
        <w:tc>
          <w:tcPr>
            <w:tcW w:w="1843" w:type="pct"/>
            <w:shd w:val="clear" w:color="auto" w:fill="auto"/>
            <w:vAlign w:val="center"/>
          </w:tcPr>
          <w:p w14:paraId="301AD665"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Выдача наличных денежных средств, поступивших на Счет Карты наличным способом</w:t>
            </w:r>
          </w:p>
        </w:tc>
        <w:tc>
          <w:tcPr>
            <w:tcW w:w="2839" w:type="pct"/>
            <w:vMerge w:val="restart"/>
            <w:shd w:val="clear" w:color="auto" w:fill="auto"/>
            <w:vAlign w:val="center"/>
          </w:tcPr>
          <w:p w14:paraId="109FBFA1" w14:textId="77777777" w:rsidR="00AE7485" w:rsidRPr="00AE7485" w:rsidRDefault="00AE7485" w:rsidP="00AE7485">
            <w:pPr>
              <w:tabs>
                <w:tab w:val="left" w:pos="4889"/>
              </w:tabs>
              <w:jc w:val="center"/>
              <w:rPr>
                <w:rFonts w:ascii="Tahoma" w:hAnsi="Tahoma" w:cs="Tahoma"/>
                <w:b/>
                <w:bCs/>
                <w:iCs/>
                <w:sz w:val="22"/>
                <w:szCs w:val="22"/>
              </w:rPr>
            </w:pPr>
            <w:r w:rsidRPr="00AE7485">
              <w:rPr>
                <w:rFonts w:ascii="Tahoma" w:hAnsi="Tahoma" w:cs="Tahoma"/>
                <w:b/>
                <w:bCs/>
                <w:iCs/>
                <w:sz w:val="22"/>
                <w:szCs w:val="22"/>
              </w:rPr>
              <w:t>БЕСПЛАТНО</w:t>
            </w:r>
          </w:p>
        </w:tc>
      </w:tr>
      <w:tr w:rsidR="00AE7485" w:rsidRPr="00AE7485" w14:paraId="19D14AA0" w14:textId="77777777" w:rsidTr="00B86BDE">
        <w:trPr>
          <w:trHeight w:val="711"/>
        </w:trPr>
        <w:tc>
          <w:tcPr>
            <w:tcW w:w="318" w:type="pct"/>
            <w:shd w:val="clear" w:color="auto" w:fill="auto"/>
            <w:vAlign w:val="center"/>
          </w:tcPr>
          <w:p w14:paraId="6E208A38"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5.2.</w:t>
            </w:r>
          </w:p>
        </w:tc>
        <w:tc>
          <w:tcPr>
            <w:tcW w:w="1843" w:type="pct"/>
            <w:shd w:val="clear" w:color="auto" w:fill="auto"/>
            <w:vAlign w:val="center"/>
          </w:tcPr>
          <w:p w14:paraId="71636E0B"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Выдача наличных денежных средств, поступивших на Счет Карты безналичным способом со счетов Клиента, открытых в Банке как на физическое лицо, при совокупном сроке хранения этих денежных средств на этих счетах не менее 30 (тридцати) календарных дней (включительно) с даты их поступления</w:t>
            </w:r>
          </w:p>
        </w:tc>
        <w:tc>
          <w:tcPr>
            <w:tcW w:w="2839" w:type="pct"/>
            <w:vMerge/>
            <w:shd w:val="clear" w:color="auto" w:fill="auto"/>
            <w:vAlign w:val="center"/>
          </w:tcPr>
          <w:p w14:paraId="0E8184D3" w14:textId="77777777" w:rsidR="00AE7485" w:rsidRPr="00AE7485" w:rsidRDefault="00AE7485" w:rsidP="00AE7485">
            <w:pPr>
              <w:tabs>
                <w:tab w:val="left" w:pos="4889"/>
              </w:tabs>
              <w:jc w:val="center"/>
              <w:rPr>
                <w:rFonts w:ascii="Tahoma" w:hAnsi="Tahoma" w:cs="Tahoma"/>
                <w:b/>
                <w:bCs/>
                <w:iCs/>
                <w:sz w:val="22"/>
                <w:szCs w:val="22"/>
              </w:rPr>
            </w:pPr>
          </w:p>
        </w:tc>
      </w:tr>
      <w:tr w:rsidR="00AE7485" w:rsidRPr="00AE7485" w14:paraId="61B850C7" w14:textId="77777777" w:rsidTr="00B86BDE">
        <w:trPr>
          <w:trHeight w:val="404"/>
        </w:trPr>
        <w:tc>
          <w:tcPr>
            <w:tcW w:w="318" w:type="pct"/>
            <w:shd w:val="clear" w:color="auto" w:fill="auto"/>
            <w:vAlign w:val="center"/>
          </w:tcPr>
          <w:p w14:paraId="0D28A9E7"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5.3.</w:t>
            </w:r>
          </w:p>
        </w:tc>
        <w:tc>
          <w:tcPr>
            <w:tcW w:w="1843" w:type="pct"/>
            <w:shd w:val="clear" w:color="auto" w:fill="auto"/>
            <w:vAlign w:val="center"/>
          </w:tcPr>
          <w:p w14:paraId="6C0ACB39"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 xml:space="preserve">Выдача наличных денежных средств, поступивших на Счет Карты безналичным способом со счетов Клиента, открытых в Банке как на физическое лицо, со счетов других клиентов Банка, а также со счетов, открытых в других банках при совокупном сроке хранения этих денежных средств на этих счетах </w:t>
            </w:r>
            <w:r w:rsidRPr="00AE7485">
              <w:rPr>
                <w:rFonts w:ascii="Tahoma" w:hAnsi="Tahoma" w:cs="Tahoma"/>
                <w:b/>
                <w:bCs/>
                <w:iCs/>
                <w:sz w:val="22"/>
                <w:szCs w:val="22"/>
              </w:rPr>
              <w:t>менее 30</w:t>
            </w:r>
            <w:r w:rsidRPr="00AE7485">
              <w:rPr>
                <w:rFonts w:ascii="Tahoma" w:hAnsi="Tahoma" w:cs="Tahoma"/>
                <w:bCs/>
                <w:iCs/>
                <w:sz w:val="22"/>
                <w:szCs w:val="22"/>
              </w:rPr>
              <w:t xml:space="preserve"> (тридцати) </w:t>
            </w:r>
            <w:r w:rsidRPr="00AE7485">
              <w:rPr>
                <w:rFonts w:ascii="Tahoma" w:hAnsi="Tahoma" w:cs="Tahoma"/>
                <w:b/>
                <w:bCs/>
                <w:iCs/>
                <w:sz w:val="22"/>
                <w:szCs w:val="22"/>
              </w:rPr>
              <w:t>календарных дней</w:t>
            </w:r>
            <w:r w:rsidRPr="00AE7485">
              <w:rPr>
                <w:rFonts w:ascii="Tahoma" w:hAnsi="Tahoma" w:cs="Tahoma"/>
                <w:bCs/>
                <w:iCs/>
                <w:sz w:val="22"/>
                <w:szCs w:val="22"/>
              </w:rPr>
              <w:t xml:space="preserve"> с даты их поступления</w:t>
            </w:r>
          </w:p>
        </w:tc>
        <w:tc>
          <w:tcPr>
            <w:tcW w:w="2839" w:type="pct"/>
            <w:shd w:val="clear" w:color="auto" w:fill="auto"/>
            <w:vAlign w:val="center"/>
          </w:tcPr>
          <w:p w14:paraId="75232E68"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
                <w:bCs/>
                <w:iCs/>
                <w:sz w:val="22"/>
                <w:szCs w:val="22"/>
              </w:rPr>
              <w:t>5%</w:t>
            </w:r>
            <w:r w:rsidRPr="00AE7485">
              <w:rPr>
                <w:rFonts w:ascii="Tahoma" w:hAnsi="Tahoma" w:cs="Tahoma"/>
                <w:bCs/>
                <w:iCs/>
                <w:sz w:val="22"/>
                <w:szCs w:val="22"/>
              </w:rPr>
              <w:t xml:space="preserve"> от суммы операции</w:t>
            </w:r>
            <w:r w:rsidRPr="00AE7485">
              <w:rPr>
                <w:rFonts w:ascii="Tahoma" w:hAnsi="Tahoma" w:cs="Tahoma"/>
                <w:bCs/>
                <w:iCs/>
                <w:sz w:val="22"/>
                <w:szCs w:val="22"/>
                <w:vertAlign w:val="superscript"/>
              </w:rPr>
              <w:footnoteReference w:id="214"/>
            </w:r>
          </w:p>
        </w:tc>
      </w:tr>
      <w:tr w:rsidR="00AE7485" w:rsidRPr="00AE7485" w14:paraId="5764A2FE" w14:textId="77777777" w:rsidTr="00B86BDE">
        <w:trPr>
          <w:trHeight w:val="711"/>
        </w:trPr>
        <w:tc>
          <w:tcPr>
            <w:tcW w:w="318" w:type="pct"/>
            <w:shd w:val="clear" w:color="auto" w:fill="auto"/>
            <w:vAlign w:val="center"/>
          </w:tcPr>
          <w:p w14:paraId="76FFCC04"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5.4.</w:t>
            </w:r>
          </w:p>
        </w:tc>
        <w:tc>
          <w:tcPr>
            <w:tcW w:w="1843" w:type="pct"/>
            <w:shd w:val="clear" w:color="auto" w:fill="auto"/>
            <w:vAlign w:val="center"/>
          </w:tcPr>
          <w:p w14:paraId="4E429A9B"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 xml:space="preserve">Выдача наличных денежных средств, поступивших на Счет Карты безналичным способом со счетов других клиентов Банка, а также со счетов, открытых в других банках при совокупном сроке хранения этих денежных средств на этих счетах </w:t>
            </w:r>
            <w:r w:rsidRPr="00AE7485">
              <w:rPr>
                <w:rFonts w:ascii="Tahoma" w:hAnsi="Tahoma" w:cs="Tahoma"/>
                <w:b/>
                <w:bCs/>
                <w:iCs/>
                <w:sz w:val="22"/>
                <w:szCs w:val="22"/>
              </w:rPr>
              <w:t>не менее 30</w:t>
            </w:r>
            <w:r w:rsidRPr="00AE7485">
              <w:rPr>
                <w:rFonts w:ascii="Tahoma" w:hAnsi="Tahoma" w:cs="Tahoma"/>
                <w:bCs/>
                <w:iCs/>
                <w:sz w:val="22"/>
                <w:szCs w:val="22"/>
              </w:rPr>
              <w:t xml:space="preserve"> (тридцати) </w:t>
            </w:r>
            <w:r w:rsidRPr="00AE7485">
              <w:rPr>
                <w:rFonts w:ascii="Tahoma" w:hAnsi="Tahoma" w:cs="Tahoma"/>
                <w:b/>
                <w:bCs/>
                <w:iCs/>
                <w:sz w:val="22"/>
                <w:szCs w:val="22"/>
              </w:rPr>
              <w:t>календарных дней</w:t>
            </w:r>
            <w:r w:rsidRPr="00AE7485">
              <w:rPr>
                <w:rFonts w:ascii="Tahoma" w:hAnsi="Tahoma" w:cs="Tahoma"/>
                <w:bCs/>
                <w:iCs/>
                <w:sz w:val="22"/>
                <w:szCs w:val="22"/>
              </w:rPr>
              <w:t xml:space="preserve"> (включительно) с даты их поступления</w:t>
            </w:r>
          </w:p>
        </w:tc>
        <w:tc>
          <w:tcPr>
            <w:tcW w:w="2839" w:type="pct"/>
            <w:shd w:val="clear" w:color="auto" w:fill="auto"/>
            <w:vAlign w:val="center"/>
          </w:tcPr>
          <w:p w14:paraId="6C320E8A"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
                <w:bCs/>
                <w:iCs/>
                <w:sz w:val="22"/>
                <w:szCs w:val="22"/>
              </w:rPr>
              <w:t>БЕСПЛАТНО</w:t>
            </w:r>
          </w:p>
        </w:tc>
      </w:tr>
      <w:tr w:rsidR="00AE7485" w:rsidRPr="00AE7485" w14:paraId="4B59741C" w14:textId="77777777" w:rsidTr="00AE7485">
        <w:trPr>
          <w:trHeight w:val="711"/>
        </w:trPr>
        <w:tc>
          <w:tcPr>
            <w:tcW w:w="318" w:type="pct"/>
            <w:shd w:val="clear" w:color="auto" w:fill="595959"/>
            <w:vAlign w:val="center"/>
          </w:tcPr>
          <w:p w14:paraId="4ACDC29D" w14:textId="77777777" w:rsidR="00AE7485" w:rsidRPr="00AE7485" w:rsidRDefault="00AE7485" w:rsidP="00AE7485">
            <w:pPr>
              <w:tabs>
                <w:tab w:val="left" w:pos="284"/>
              </w:tabs>
              <w:rPr>
                <w:rFonts w:ascii="Tahoma" w:hAnsi="Tahoma" w:cs="Tahoma"/>
                <w:b/>
                <w:bCs/>
                <w:iCs/>
                <w:color w:val="FFFFFF"/>
                <w:sz w:val="22"/>
                <w:szCs w:val="22"/>
              </w:rPr>
            </w:pPr>
            <w:r w:rsidRPr="00AE7485">
              <w:rPr>
                <w:rFonts w:ascii="Tahoma" w:hAnsi="Tahoma" w:cs="Tahoma"/>
                <w:b/>
                <w:bCs/>
                <w:iCs/>
                <w:color w:val="FFFFFF"/>
                <w:sz w:val="22"/>
                <w:szCs w:val="22"/>
              </w:rPr>
              <w:t>6.</w:t>
            </w:r>
          </w:p>
        </w:tc>
        <w:tc>
          <w:tcPr>
            <w:tcW w:w="4682" w:type="pct"/>
            <w:gridSpan w:val="2"/>
            <w:shd w:val="clear" w:color="auto" w:fill="595959"/>
            <w:vAlign w:val="center"/>
          </w:tcPr>
          <w:p w14:paraId="52AFE0CB" w14:textId="77777777" w:rsidR="00AE7485" w:rsidRPr="00AE7485" w:rsidRDefault="00AE7485" w:rsidP="00AE7485">
            <w:pPr>
              <w:tabs>
                <w:tab w:val="left" w:pos="4889"/>
              </w:tabs>
              <w:rPr>
                <w:rFonts w:ascii="Tahoma" w:hAnsi="Tahoma" w:cs="Tahoma"/>
                <w:b/>
                <w:bCs/>
                <w:iCs/>
                <w:color w:val="FFFFFF"/>
                <w:sz w:val="22"/>
                <w:szCs w:val="22"/>
              </w:rPr>
            </w:pPr>
            <w:r w:rsidRPr="00AE7485">
              <w:rPr>
                <w:rFonts w:ascii="Tahoma" w:hAnsi="Tahoma" w:cs="Tahoma"/>
                <w:b/>
                <w:bCs/>
                <w:iCs/>
                <w:color w:val="FFFFFF"/>
                <w:sz w:val="22"/>
                <w:szCs w:val="22"/>
              </w:rPr>
              <w:t>Совершение безналичных операций в ТСП и сети Интернет (оплата товаров, работ, услуг, результатов</w:t>
            </w:r>
          </w:p>
          <w:p w14:paraId="404FAAD5" w14:textId="77777777" w:rsidR="00AE7485" w:rsidRPr="00AE7485" w:rsidRDefault="00AE7485" w:rsidP="00AE7485">
            <w:pPr>
              <w:tabs>
                <w:tab w:val="left" w:pos="4889"/>
              </w:tabs>
              <w:rPr>
                <w:rFonts w:ascii="Tahoma" w:hAnsi="Tahoma" w:cs="Tahoma"/>
                <w:b/>
                <w:bCs/>
                <w:iCs/>
                <w:color w:val="FFFFFF"/>
                <w:sz w:val="22"/>
                <w:szCs w:val="22"/>
              </w:rPr>
            </w:pPr>
            <w:r w:rsidRPr="00AE7485">
              <w:rPr>
                <w:rFonts w:ascii="Tahoma" w:hAnsi="Tahoma" w:cs="Tahoma"/>
                <w:b/>
                <w:bCs/>
                <w:iCs/>
                <w:color w:val="FFFFFF"/>
                <w:sz w:val="22"/>
                <w:szCs w:val="22"/>
              </w:rPr>
              <w:t>интеллектуальной деятельности) посредством Карты:</w:t>
            </w:r>
          </w:p>
        </w:tc>
      </w:tr>
      <w:tr w:rsidR="00AE7485" w:rsidRPr="00AE7485" w14:paraId="529CB452" w14:textId="77777777" w:rsidTr="00B86BDE">
        <w:trPr>
          <w:trHeight w:val="711"/>
        </w:trPr>
        <w:tc>
          <w:tcPr>
            <w:tcW w:w="318" w:type="pct"/>
            <w:shd w:val="clear" w:color="auto" w:fill="auto"/>
            <w:vAlign w:val="center"/>
          </w:tcPr>
          <w:p w14:paraId="41C841FE"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6.1.</w:t>
            </w:r>
          </w:p>
        </w:tc>
        <w:tc>
          <w:tcPr>
            <w:tcW w:w="1843" w:type="pct"/>
            <w:shd w:val="clear" w:color="auto" w:fill="auto"/>
            <w:vAlign w:val="center"/>
          </w:tcPr>
          <w:p w14:paraId="3A9895B9"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Безналичная оплата товаров, работ, услуг, результатов интеллектуальной деятельности</w:t>
            </w:r>
          </w:p>
        </w:tc>
        <w:tc>
          <w:tcPr>
            <w:tcW w:w="2839" w:type="pct"/>
            <w:shd w:val="clear" w:color="auto" w:fill="auto"/>
            <w:vAlign w:val="center"/>
          </w:tcPr>
          <w:p w14:paraId="0AB4BBFE" w14:textId="77777777" w:rsidR="00AE7485" w:rsidRPr="00AE7485" w:rsidRDefault="00AE7485" w:rsidP="00AE7485">
            <w:pPr>
              <w:tabs>
                <w:tab w:val="left" w:pos="4889"/>
              </w:tabs>
              <w:jc w:val="center"/>
              <w:rPr>
                <w:rFonts w:ascii="Tahoma" w:hAnsi="Tahoma" w:cs="Tahoma"/>
                <w:b/>
                <w:bCs/>
                <w:iCs/>
                <w:sz w:val="22"/>
                <w:szCs w:val="22"/>
              </w:rPr>
            </w:pPr>
            <w:r w:rsidRPr="00AE7485">
              <w:rPr>
                <w:rFonts w:ascii="Tahoma" w:hAnsi="Tahoma" w:cs="Tahoma"/>
                <w:b/>
                <w:bCs/>
                <w:iCs/>
                <w:sz w:val="22"/>
                <w:szCs w:val="22"/>
              </w:rPr>
              <w:t>БЕСПЛАТНО</w:t>
            </w:r>
          </w:p>
        </w:tc>
      </w:tr>
      <w:tr w:rsidR="00AE7485" w:rsidRPr="00AE7485" w14:paraId="615F2832" w14:textId="77777777" w:rsidTr="00B86BDE">
        <w:trPr>
          <w:trHeight w:val="533"/>
        </w:trPr>
        <w:tc>
          <w:tcPr>
            <w:tcW w:w="318" w:type="pct"/>
            <w:vMerge w:val="restart"/>
            <w:shd w:val="clear" w:color="auto" w:fill="auto"/>
            <w:vAlign w:val="center"/>
          </w:tcPr>
          <w:p w14:paraId="60BE9EB4"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6.2.</w:t>
            </w:r>
          </w:p>
        </w:tc>
        <w:tc>
          <w:tcPr>
            <w:tcW w:w="1843" w:type="pct"/>
            <w:vMerge w:val="restart"/>
            <w:shd w:val="clear" w:color="auto" w:fill="auto"/>
            <w:vAlign w:val="center"/>
          </w:tcPr>
          <w:p w14:paraId="0BDB5555"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Проведение «уникальных» транзакций и квази-кэш операций: оплата дорожных чеков, денежных обязательств, лотерейных билетов, игровых фишек в казино и пр.</w:t>
            </w:r>
            <w:r w:rsidRPr="00AE7485">
              <w:rPr>
                <w:rFonts w:ascii="Tahoma" w:hAnsi="Tahoma" w:cs="Tahoma"/>
                <w:bCs/>
                <w:iCs/>
                <w:sz w:val="22"/>
                <w:szCs w:val="22"/>
                <w:vertAlign w:val="superscript"/>
              </w:rPr>
              <w:footnoteReference w:id="215"/>
            </w:r>
          </w:p>
        </w:tc>
        <w:tc>
          <w:tcPr>
            <w:tcW w:w="2839" w:type="pct"/>
            <w:shd w:val="clear" w:color="auto" w:fill="auto"/>
            <w:vAlign w:val="center"/>
          </w:tcPr>
          <w:p w14:paraId="78654D9B"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Карта в рублях: </w:t>
            </w:r>
            <w:r w:rsidRPr="00AE7485">
              <w:rPr>
                <w:rFonts w:ascii="Tahoma" w:hAnsi="Tahoma" w:cs="Tahoma"/>
                <w:b/>
                <w:bCs/>
                <w:iCs/>
                <w:sz w:val="22"/>
                <w:szCs w:val="22"/>
              </w:rPr>
              <w:t>4,9%</w:t>
            </w:r>
            <w:r w:rsidRPr="00AE7485">
              <w:rPr>
                <w:rFonts w:ascii="Tahoma" w:hAnsi="Tahoma" w:cs="Tahoma"/>
                <w:bCs/>
                <w:iCs/>
                <w:sz w:val="22"/>
                <w:szCs w:val="22"/>
              </w:rPr>
              <w:t xml:space="preserve"> от суммы операции </w:t>
            </w:r>
            <w:r w:rsidRPr="00AE7485">
              <w:rPr>
                <w:rFonts w:ascii="Tahoma" w:hAnsi="Tahoma" w:cs="Tahoma"/>
                <w:b/>
                <w:bCs/>
                <w:iCs/>
                <w:sz w:val="22"/>
                <w:szCs w:val="22"/>
              </w:rPr>
              <w:t>+249 рублей</w:t>
            </w:r>
          </w:p>
        </w:tc>
      </w:tr>
      <w:tr w:rsidR="00AE7485" w:rsidRPr="00AE7485" w14:paraId="7DC808ED" w14:textId="77777777" w:rsidTr="00B86BDE">
        <w:trPr>
          <w:trHeight w:val="532"/>
        </w:trPr>
        <w:tc>
          <w:tcPr>
            <w:tcW w:w="318" w:type="pct"/>
            <w:vMerge/>
            <w:shd w:val="clear" w:color="auto" w:fill="auto"/>
            <w:vAlign w:val="center"/>
          </w:tcPr>
          <w:p w14:paraId="1A95EDCB" w14:textId="77777777" w:rsidR="00AE7485" w:rsidRPr="00AE7485" w:rsidRDefault="00AE7485" w:rsidP="00AE7485">
            <w:pPr>
              <w:tabs>
                <w:tab w:val="left" w:pos="284"/>
              </w:tabs>
              <w:rPr>
                <w:rFonts w:ascii="Tahoma" w:hAnsi="Tahoma" w:cs="Tahoma"/>
                <w:bCs/>
                <w:iCs/>
                <w:sz w:val="22"/>
                <w:szCs w:val="22"/>
              </w:rPr>
            </w:pPr>
          </w:p>
        </w:tc>
        <w:tc>
          <w:tcPr>
            <w:tcW w:w="1843" w:type="pct"/>
            <w:vMerge/>
            <w:shd w:val="clear" w:color="auto" w:fill="auto"/>
            <w:vAlign w:val="center"/>
          </w:tcPr>
          <w:p w14:paraId="04D0403E" w14:textId="77777777" w:rsidR="00AE7485" w:rsidRPr="00AE7485" w:rsidRDefault="00AE7485" w:rsidP="00AE7485">
            <w:pPr>
              <w:tabs>
                <w:tab w:val="left" w:pos="4889"/>
              </w:tabs>
              <w:rPr>
                <w:rFonts w:ascii="Tahoma" w:hAnsi="Tahoma" w:cs="Tahoma"/>
                <w:bCs/>
                <w:iCs/>
                <w:sz w:val="22"/>
                <w:szCs w:val="22"/>
              </w:rPr>
            </w:pPr>
          </w:p>
        </w:tc>
        <w:tc>
          <w:tcPr>
            <w:tcW w:w="2839" w:type="pct"/>
            <w:shd w:val="clear" w:color="auto" w:fill="auto"/>
            <w:vAlign w:val="center"/>
          </w:tcPr>
          <w:p w14:paraId="443D468B"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Карта в юанях: </w:t>
            </w:r>
            <w:r w:rsidRPr="00AE7485">
              <w:rPr>
                <w:rFonts w:ascii="Tahoma" w:hAnsi="Tahoma" w:cs="Tahoma"/>
                <w:b/>
                <w:bCs/>
                <w:iCs/>
                <w:sz w:val="22"/>
                <w:szCs w:val="22"/>
              </w:rPr>
              <w:t>4,9%</w:t>
            </w:r>
            <w:r w:rsidRPr="00AE7485">
              <w:rPr>
                <w:rFonts w:ascii="Tahoma" w:hAnsi="Tahoma" w:cs="Tahoma"/>
                <w:bCs/>
                <w:iCs/>
                <w:sz w:val="22"/>
                <w:szCs w:val="22"/>
              </w:rPr>
              <w:t xml:space="preserve"> от суммы операции </w:t>
            </w:r>
            <w:r w:rsidRPr="00AE7485">
              <w:rPr>
                <w:rFonts w:ascii="Tahoma" w:hAnsi="Tahoma" w:cs="Tahoma"/>
                <w:b/>
                <w:bCs/>
                <w:iCs/>
                <w:sz w:val="22"/>
                <w:szCs w:val="22"/>
              </w:rPr>
              <w:t>+20 юаней</w:t>
            </w:r>
          </w:p>
        </w:tc>
      </w:tr>
      <w:tr w:rsidR="00AE7485" w:rsidRPr="00AE7485" w14:paraId="2DE8B4B6" w14:textId="77777777" w:rsidTr="00AE7485">
        <w:trPr>
          <w:trHeight w:val="336"/>
        </w:trPr>
        <w:tc>
          <w:tcPr>
            <w:tcW w:w="318" w:type="pct"/>
            <w:shd w:val="clear" w:color="auto" w:fill="595959"/>
            <w:vAlign w:val="center"/>
          </w:tcPr>
          <w:p w14:paraId="7E0B6268" w14:textId="77777777" w:rsidR="00AE7485" w:rsidRPr="00AE7485" w:rsidRDefault="00AE7485" w:rsidP="00AE7485">
            <w:pPr>
              <w:tabs>
                <w:tab w:val="left" w:pos="284"/>
              </w:tabs>
              <w:rPr>
                <w:rFonts w:ascii="Tahoma" w:hAnsi="Tahoma" w:cs="Tahoma"/>
                <w:b/>
                <w:bCs/>
                <w:iCs/>
                <w:color w:val="FFFFFF"/>
                <w:sz w:val="22"/>
                <w:szCs w:val="22"/>
              </w:rPr>
            </w:pPr>
            <w:r w:rsidRPr="00AE7485">
              <w:rPr>
                <w:rFonts w:ascii="Tahoma" w:hAnsi="Tahoma" w:cs="Tahoma"/>
                <w:b/>
                <w:bCs/>
                <w:iCs/>
                <w:color w:val="FFFFFF"/>
                <w:sz w:val="22"/>
                <w:szCs w:val="22"/>
              </w:rPr>
              <w:t>7.</w:t>
            </w:r>
          </w:p>
        </w:tc>
        <w:tc>
          <w:tcPr>
            <w:tcW w:w="4682" w:type="pct"/>
            <w:gridSpan w:val="2"/>
            <w:shd w:val="clear" w:color="auto" w:fill="595959"/>
            <w:vAlign w:val="center"/>
          </w:tcPr>
          <w:p w14:paraId="15CB28CB" w14:textId="77777777" w:rsidR="00AE7485" w:rsidRPr="00AE7485" w:rsidRDefault="00AE7485" w:rsidP="00AE7485">
            <w:pPr>
              <w:tabs>
                <w:tab w:val="left" w:pos="4889"/>
              </w:tabs>
              <w:rPr>
                <w:rFonts w:ascii="Tahoma" w:hAnsi="Tahoma" w:cs="Tahoma"/>
                <w:b/>
                <w:bCs/>
                <w:iCs/>
                <w:color w:val="FFFFFF"/>
                <w:sz w:val="22"/>
                <w:szCs w:val="22"/>
              </w:rPr>
            </w:pPr>
            <w:r w:rsidRPr="00AE7485">
              <w:rPr>
                <w:rFonts w:ascii="Tahoma" w:hAnsi="Tahoma" w:cs="Tahoma"/>
                <w:b/>
                <w:bCs/>
                <w:iCs/>
                <w:color w:val="FFFFFF"/>
                <w:sz w:val="22"/>
                <w:szCs w:val="22"/>
              </w:rPr>
              <w:t>Конверсионные операции</w:t>
            </w:r>
          </w:p>
        </w:tc>
      </w:tr>
      <w:tr w:rsidR="00AE7485" w:rsidRPr="00AE7485" w14:paraId="6E26123D" w14:textId="77777777" w:rsidTr="00B86BDE">
        <w:trPr>
          <w:trHeight w:val="532"/>
        </w:trPr>
        <w:tc>
          <w:tcPr>
            <w:tcW w:w="318" w:type="pct"/>
            <w:shd w:val="clear" w:color="auto" w:fill="auto"/>
            <w:vAlign w:val="center"/>
          </w:tcPr>
          <w:p w14:paraId="53697019"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7.1.</w:t>
            </w:r>
          </w:p>
        </w:tc>
        <w:tc>
          <w:tcPr>
            <w:tcW w:w="1843" w:type="pct"/>
            <w:shd w:val="clear" w:color="auto" w:fill="auto"/>
            <w:vAlign w:val="center"/>
          </w:tcPr>
          <w:p w14:paraId="0EFE61F3"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Операции покупки/продажи иностранной валюты</w:t>
            </w:r>
          </w:p>
          <w:p w14:paraId="50006C36"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по Счетам Клиента, открытым в Банке, а также</w:t>
            </w:r>
          </w:p>
          <w:p w14:paraId="3B4431A7"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безналичные операции и операции выдачи/взноса</w:t>
            </w:r>
          </w:p>
          <w:p w14:paraId="4231ABEF"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наличных денежных средств с использованием Карты</w:t>
            </w:r>
          </w:p>
        </w:tc>
        <w:tc>
          <w:tcPr>
            <w:tcW w:w="2839" w:type="pct"/>
            <w:shd w:val="clear" w:color="auto" w:fill="auto"/>
            <w:vAlign w:val="center"/>
          </w:tcPr>
          <w:p w14:paraId="069DC89E"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По курсу Банка на момент совершения операции</w:t>
            </w:r>
          </w:p>
        </w:tc>
      </w:tr>
      <w:tr w:rsidR="00AE7485" w:rsidRPr="00AE7485" w14:paraId="10E290CD" w14:textId="77777777" w:rsidTr="00B86BDE">
        <w:trPr>
          <w:trHeight w:val="532"/>
        </w:trPr>
        <w:tc>
          <w:tcPr>
            <w:tcW w:w="318" w:type="pct"/>
            <w:shd w:val="clear" w:color="auto" w:fill="auto"/>
            <w:vAlign w:val="center"/>
          </w:tcPr>
          <w:p w14:paraId="45969AE2"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7.2.</w:t>
            </w:r>
          </w:p>
        </w:tc>
        <w:tc>
          <w:tcPr>
            <w:tcW w:w="1843" w:type="pct"/>
            <w:shd w:val="clear" w:color="auto" w:fill="auto"/>
            <w:vAlign w:val="center"/>
          </w:tcPr>
          <w:p w14:paraId="3DC09928"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При совершении оплаты в ТСП</w:t>
            </w:r>
          </w:p>
        </w:tc>
        <w:tc>
          <w:tcPr>
            <w:tcW w:w="2839" w:type="pct"/>
            <w:shd w:val="clear" w:color="auto" w:fill="auto"/>
            <w:vAlign w:val="center"/>
          </w:tcPr>
          <w:p w14:paraId="20C07132"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
                <w:bCs/>
                <w:iCs/>
                <w:sz w:val="22"/>
                <w:szCs w:val="22"/>
              </w:rPr>
              <w:t>По курсу Банка на момент совершения операции:</w:t>
            </w:r>
            <w:r w:rsidRPr="00AE7485">
              <w:rPr>
                <w:rFonts w:ascii="Tahoma" w:hAnsi="Tahoma" w:cs="Tahoma"/>
                <w:bCs/>
                <w:iCs/>
                <w:sz w:val="22"/>
                <w:szCs w:val="22"/>
              </w:rPr>
              <w:t xml:space="preserve"> если валюта Счета Карты Клиента отлична от валюты расчетов Банка с Платежной системой в регионе совершения операции (валюта расчетов Банка с Платежной системой в этом регионе при этом идентична валюте совершения операции).</w:t>
            </w:r>
          </w:p>
          <w:p w14:paraId="11C34097"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
                <w:bCs/>
                <w:iCs/>
                <w:sz w:val="22"/>
                <w:szCs w:val="22"/>
              </w:rPr>
              <w:t>Дополнительно применяются курс и тарифы Платежной системы UnionPay International на момент проведения расчетов с Банком</w:t>
            </w:r>
            <w:r w:rsidRPr="00AE7485">
              <w:rPr>
                <w:rFonts w:ascii="Tahoma" w:hAnsi="Tahoma" w:cs="Tahoma"/>
                <w:bCs/>
                <w:iCs/>
                <w:sz w:val="22"/>
                <w:szCs w:val="22"/>
              </w:rPr>
              <w:t>: если валюта совершения операции – отлична от валюты расчетов Банка с Платежной системой, дополнительно к конверсии Платежная система применяет +2% от суммы операции по курсу Банка (для операций по Картам UnionPay</w:t>
            </w:r>
          </w:p>
          <w:p w14:paraId="0A91A7E4"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International).</w:t>
            </w:r>
          </w:p>
        </w:tc>
      </w:tr>
      <w:tr w:rsidR="00AE7485" w:rsidRPr="00AE7485" w14:paraId="42F82E66" w14:textId="77777777" w:rsidTr="00AE7485">
        <w:trPr>
          <w:trHeight w:val="314"/>
        </w:trPr>
        <w:tc>
          <w:tcPr>
            <w:tcW w:w="318" w:type="pct"/>
            <w:shd w:val="clear" w:color="auto" w:fill="595959"/>
            <w:vAlign w:val="center"/>
          </w:tcPr>
          <w:p w14:paraId="5ED9BA13" w14:textId="77777777" w:rsidR="00AE7485" w:rsidRPr="00AE7485" w:rsidRDefault="00AE7485" w:rsidP="00AE7485">
            <w:pPr>
              <w:tabs>
                <w:tab w:val="left" w:pos="284"/>
              </w:tabs>
              <w:rPr>
                <w:rFonts w:ascii="Tahoma" w:hAnsi="Tahoma" w:cs="Tahoma"/>
                <w:b/>
                <w:bCs/>
                <w:iCs/>
                <w:color w:val="FFFFFF"/>
                <w:sz w:val="22"/>
                <w:szCs w:val="22"/>
              </w:rPr>
            </w:pPr>
            <w:r w:rsidRPr="00AE7485">
              <w:rPr>
                <w:rFonts w:ascii="Tahoma" w:hAnsi="Tahoma" w:cs="Tahoma"/>
                <w:b/>
                <w:bCs/>
                <w:iCs/>
                <w:color w:val="FFFFFF"/>
                <w:sz w:val="22"/>
                <w:szCs w:val="22"/>
              </w:rPr>
              <w:t>8.</w:t>
            </w:r>
          </w:p>
        </w:tc>
        <w:tc>
          <w:tcPr>
            <w:tcW w:w="4682" w:type="pct"/>
            <w:gridSpan w:val="2"/>
            <w:shd w:val="clear" w:color="auto" w:fill="595959"/>
            <w:vAlign w:val="center"/>
          </w:tcPr>
          <w:p w14:paraId="61C44E2E" w14:textId="77777777" w:rsidR="00AE7485" w:rsidRPr="00AE7485" w:rsidRDefault="00AE7485" w:rsidP="00AE7485">
            <w:pPr>
              <w:tabs>
                <w:tab w:val="left" w:pos="4889"/>
              </w:tabs>
              <w:rPr>
                <w:rFonts w:ascii="Tahoma" w:hAnsi="Tahoma" w:cs="Tahoma"/>
                <w:b/>
                <w:bCs/>
                <w:iCs/>
                <w:color w:val="FFFFFF"/>
                <w:sz w:val="22"/>
                <w:szCs w:val="22"/>
              </w:rPr>
            </w:pPr>
            <w:r w:rsidRPr="00AE7485">
              <w:rPr>
                <w:rFonts w:ascii="Tahoma" w:hAnsi="Tahoma" w:cs="Tahoma"/>
                <w:b/>
                <w:bCs/>
                <w:iCs/>
                <w:color w:val="FFFFFF"/>
                <w:sz w:val="22"/>
                <w:szCs w:val="22"/>
              </w:rPr>
              <w:t>Условия совершения переводов денежных средств</w:t>
            </w:r>
          </w:p>
        </w:tc>
      </w:tr>
      <w:tr w:rsidR="00AE7485" w:rsidRPr="00AE7485" w14:paraId="7322E04E" w14:textId="77777777" w:rsidTr="00B86BDE">
        <w:trPr>
          <w:trHeight w:val="532"/>
        </w:trPr>
        <w:tc>
          <w:tcPr>
            <w:tcW w:w="318" w:type="pct"/>
            <w:shd w:val="clear" w:color="auto" w:fill="auto"/>
            <w:vAlign w:val="center"/>
          </w:tcPr>
          <w:p w14:paraId="4618EA47"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8.1.</w:t>
            </w:r>
          </w:p>
        </w:tc>
        <w:tc>
          <w:tcPr>
            <w:tcW w:w="4682" w:type="pct"/>
            <w:gridSpan w:val="2"/>
            <w:shd w:val="clear" w:color="auto" w:fill="auto"/>
            <w:vAlign w:val="center"/>
          </w:tcPr>
          <w:p w14:paraId="44E07CDC"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 xml:space="preserve">Согласно тарифов Банка, указанных в разделе 4.10, расположенных на Сайте Банка </w:t>
            </w:r>
            <w:hyperlink r:id="rId119" w:history="1">
              <w:r w:rsidRPr="00AE7485">
                <w:rPr>
                  <w:rFonts w:ascii="Tahoma" w:hAnsi="Tahoma" w:cs="Tahoma"/>
                  <w:bCs/>
                  <w:iCs/>
                  <w:color w:val="0563C1"/>
                  <w:sz w:val="22"/>
                  <w:szCs w:val="22"/>
                  <w:u w:val="single"/>
                </w:rPr>
                <w:t>www.atb.su/api/document_download/?fileId=6824051&amp;iblockId=29</w:t>
              </w:r>
            </w:hyperlink>
            <w:r w:rsidRPr="00AE7485">
              <w:rPr>
                <w:rFonts w:ascii="Tahoma" w:hAnsi="Tahoma" w:cs="Tahoma"/>
                <w:bCs/>
                <w:iCs/>
                <w:sz w:val="22"/>
                <w:szCs w:val="22"/>
              </w:rPr>
              <w:t xml:space="preserve"> </w:t>
            </w:r>
          </w:p>
        </w:tc>
      </w:tr>
      <w:tr w:rsidR="00AE7485" w:rsidRPr="00AE7485" w14:paraId="2EF78F4E" w14:textId="77777777" w:rsidTr="00AE7485">
        <w:trPr>
          <w:trHeight w:val="336"/>
        </w:trPr>
        <w:tc>
          <w:tcPr>
            <w:tcW w:w="318" w:type="pct"/>
            <w:shd w:val="clear" w:color="auto" w:fill="595959"/>
            <w:vAlign w:val="center"/>
          </w:tcPr>
          <w:p w14:paraId="1C040F1E" w14:textId="77777777" w:rsidR="00AE7485" w:rsidRPr="00AE7485" w:rsidRDefault="00AE7485" w:rsidP="00AE7485">
            <w:pPr>
              <w:tabs>
                <w:tab w:val="left" w:pos="284"/>
              </w:tabs>
              <w:rPr>
                <w:rFonts w:ascii="Tahoma" w:hAnsi="Tahoma" w:cs="Tahoma"/>
                <w:b/>
                <w:bCs/>
                <w:iCs/>
                <w:color w:val="FFFFFF"/>
                <w:sz w:val="22"/>
                <w:szCs w:val="22"/>
              </w:rPr>
            </w:pPr>
            <w:r w:rsidRPr="00AE7485">
              <w:rPr>
                <w:rFonts w:ascii="Tahoma" w:hAnsi="Tahoma" w:cs="Tahoma"/>
                <w:b/>
                <w:bCs/>
                <w:iCs/>
                <w:color w:val="FFFFFF"/>
                <w:sz w:val="22"/>
                <w:szCs w:val="22"/>
              </w:rPr>
              <w:t>9.</w:t>
            </w:r>
          </w:p>
        </w:tc>
        <w:tc>
          <w:tcPr>
            <w:tcW w:w="4682" w:type="pct"/>
            <w:gridSpan w:val="2"/>
            <w:shd w:val="clear" w:color="auto" w:fill="595959"/>
            <w:vAlign w:val="center"/>
          </w:tcPr>
          <w:p w14:paraId="62C4B243" w14:textId="77777777" w:rsidR="00AE7485" w:rsidRPr="00AE7485" w:rsidRDefault="00AE7485" w:rsidP="00AE7485">
            <w:pPr>
              <w:tabs>
                <w:tab w:val="left" w:pos="4889"/>
              </w:tabs>
              <w:rPr>
                <w:rFonts w:ascii="Tahoma" w:hAnsi="Tahoma" w:cs="Tahoma"/>
                <w:b/>
                <w:bCs/>
                <w:iCs/>
                <w:color w:val="FFFFFF"/>
                <w:sz w:val="22"/>
                <w:szCs w:val="22"/>
              </w:rPr>
            </w:pPr>
            <w:r w:rsidRPr="00AE7485">
              <w:rPr>
                <w:rFonts w:ascii="Tahoma" w:hAnsi="Tahoma" w:cs="Tahoma"/>
                <w:b/>
                <w:bCs/>
                <w:iCs/>
                <w:color w:val="FFFFFF"/>
                <w:sz w:val="22"/>
                <w:szCs w:val="22"/>
              </w:rPr>
              <w:t>Выписки и прочие сервисы</w:t>
            </w:r>
          </w:p>
        </w:tc>
      </w:tr>
      <w:tr w:rsidR="00AE7485" w:rsidRPr="00AE7485" w14:paraId="22D082CA" w14:textId="77777777" w:rsidTr="00B86BDE">
        <w:trPr>
          <w:trHeight w:val="532"/>
        </w:trPr>
        <w:tc>
          <w:tcPr>
            <w:tcW w:w="318" w:type="pct"/>
            <w:shd w:val="clear" w:color="auto" w:fill="auto"/>
            <w:vAlign w:val="center"/>
          </w:tcPr>
          <w:p w14:paraId="6A416A71"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9.1.</w:t>
            </w:r>
          </w:p>
        </w:tc>
        <w:tc>
          <w:tcPr>
            <w:tcW w:w="1843" w:type="pct"/>
            <w:shd w:val="clear" w:color="auto" w:fill="auto"/>
            <w:vAlign w:val="center"/>
          </w:tcPr>
          <w:p w14:paraId="6A9D5959"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Изготовление выписок (в Подразделениях,  банкоматах и Каналах дистанционного банковского обслуживания Банка) по всем счетам Клиента, открытым в Банке</w:t>
            </w:r>
          </w:p>
        </w:tc>
        <w:tc>
          <w:tcPr>
            <w:tcW w:w="2839" w:type="pct"/>
            <w:vMerge w:val="restart"/>
            <w:shd w:val="clear" w:color="auto" w:fill="auto"/>
            <w:vAlign w:val="center"/>
          </w:tcPr>
          <w:p w14:paraId="3179A58B" w14:textId="77777777" w:rsidR="00AE7485" w:rsidRPr="00AE7485" w:rsidRDefault="00AE7485" w:rsidP="00AE7485">
            <w:pPr>
              <w:tabs>
                <w:tab w:val="left" w:pos="4889"/>
              </w:tabs>
              <w:jc w:val="center"/>
              <w:rPr>
                <w:rFonts w:ascii="Tahoma" w:hAnsi="Tahoma" w:cs="Tahoma"/>
                <w:b/>
                <w:bCs/>
                <w:iCs/>
                <w:sz w:val="22"/>
                <w:szCs w:val="22"/>
              </w:rPr>
            </w:pPr>
            <w:r w:rsidRPr="00AE7485">
              <w:rPr>
                <w:rFonts w:ascii="Tahoma" w:hAnsi="Tahoma" w:cs="Tahoma"/>
                <w:b/>
                <w:bCs/>
                <w:iCs/>
                <w:sz w:val="22"/>
                <w:szCs w:val="22"/>
              </w:rPr>
              <w:t>БЕСПЛАТНО</w:t>
            </w:r>
          </w:p>
        </w:tc>
      </w:tr>
      <w:tr w:rsidR="00AE7485" w:rsidRPr="00AE7485" w14:paraId="45217652" w14:textId="77777777" w:rsidTr="00B86BDE">
        <w:trPr>
          <w:trHeight w:val="532"/>
        </w:trPr>
        <w:tc>
          <w:tcPr>
            <w:tcW w:w="318" w:type="pct"/>
            <w:shd w:val="clear" w:color="auto" w:fill="auto"/>
            <w:vAlign w:val="center"/>
          </w:tcPr>
          <w:p w14:paraId="34364930"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9.2.</w:t>
            </w:r>
          </w:p>
        </w:tc>
        <w:tc>
          <w:tcPr>
            <w:tcW w:w="1843" w:type="pct"/>
            <w:shd w:val="clear" w:color="auto" w:fill="auto"/>
            <w:vAlign w:val="center"/>
          </w:tcPr>
          <w:p w14:paraId="21A28D0F"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Стоимость услуги СМС-информирования/</w:t>
            </w:r>
            <w:r w:rsidRPr="00AE7485">
              <w:rPr>
                <w:rFonts w:ascii="Tahoma" w:hAnsi="Tahoma" w:cs="Tahoma"/>
                <w:bCs/>
                <w:iCs/>
                <w:sz w:val="22"/>
                <w:szCs w:val="22"/>
                <w:lang w:val="en-US"/>
              </w:rPr>
              <w:t>push</w:t>
            </w:r>
            <w:r w:rsidRPr="00AE7485">
              <w:rPr>
                <w:rFonts w:ascii="Tahoma" w:hAnsi="Tahoma" w:cs="Tahoma"/>
                <w:bCs/>
                <w:iCs/>
                <w:sz w:val="22"/>
                <w:szCs w:val="22"/>
              </w:rPr>
              <w:t>-уведомления (полный пакет): детализирование уведомление о приходных и расходных операциях по Счету Карты/иные сведения по усмотрению Банка в формате СМС-сообщений/</w:t>
            </w:r>
            <w:r w:rsidRPr="00AE7485">
              <w:rPr>
                <w:rFonts w:ascii="Tahoma" w:hAnsi="Tahoma" w:cs="Tahoma"/>
                <w:bCs/>
                <w:iCs/>
                <w:sz w:val="22"/>
                <w:szCs w:val="22"/>
                <w:lang w:val="en-US"/>
              </w:rPr>
              <w:t>push</w:t>
            </w:r>
            <w:r w:rsidRPr="00AE7485">
              <w:rPr>
                <w:rFonts w:ascii="Tahoma" w:hAnsi="Tahoma" w:cs="Tahoma"/>
                <w:bCs/>
                <w:iCs/>
                <w:sz w:val="22"/>
                <w:szCs w:val="22"/>
              </w:rPr>
              <w:t>-уведомлений на Номер мобильного телефона Клиента, указанный Клиентом Банку в качестве основного</w:t>
            </w:r>
          </w:p>
        </w:tc>
        <w:tc>
          <w:tcPr>
            <w:tcW w:w="2839" w:type="pct"/>
            <w:vMerge/>
            <w:shd w:val="clear" w:color="auto" w:fill="auto"/>
            <w:vAlign w:val="center"/>
          </w:tcPr>
          <w:p w14:paraId="740A2B06" w14:textId="77777777" w:rsidR="00AE7485" w:rsidRPr="00AE7485" w:rsidRDefault="00AE7485" w:rsidP="00AE7485">
            <w:pPr>
              <w:tabs>
                <w:tab w:val="left" w:pos="4889"/>
              </w:tabs>
              <w:jc w:val="center"/>
              <w:rPr>
                <w:rFonts w:ascii="Tahoma" w:hAnsi="Tahoma" w:cs="Tahoma"/>
                <w:b/>
                <w:bCs/>
                <w:iCs/>
                <w:sz w:val="22"/>
                <w:szCs w:val="22"/>
              </w:rPr>
            </w:pPr>
          </w:p>
        </w:tc>
      </w:tr>
      <w:tr w:rsidR="00AE7485" w:rsidRPr="00AE7485" w14:paraId="6CEC28F1" w14:textId="77777777" w:rsidTr="00B86BDE">
        <w:trPr>
          <w:trHeight w:val="532"/>
        </w:trPr>
        <w:tc>
          <w:tcPr>
            <w:tcW w:w="318" w:type="pct"/>
            <w:shd w:val="clear" w:color="auto" w:fill="auto"/>
            <w:vAlign w:val="center"/>
          </w:tcPr>
          <w:p w14:paraId="2FC50C6B"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9.3.</w:t>
            </w:r>
          </w:p>
        </w:tc>
        <w:tc>
          <w:tcPr>
            <w:tcW w:w="1843" w:type="pct"/>
            <w:shd w:val="clear" w:color="auto" w:fill="auto"/>
            <w:vAlign w:val="center"/>
          </w:tcPr>
          <w:p w14:paraId="357A3C8A"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Доступ в Каналы дистанционного банковского обслуживания (далее – Каналы ДБО) Банка: Интернет-банк и Мобильный банк</w:t>
            </w:r>
          </w:p>
        </w:tc>
        <w:tc>
          <w:tcPr>
            <w:tcW w:w="2839" w:type="pct"/>
            <w:vMerge/>
            <w:shd w:val="clear" w:color="auto" w:fill="auto"/>
            <w:vAlign w:val="center"/>
          </w:tcPr>
          <w:p w14:paraId="2D71418A" w14:textId="77777777" w:rsidR="00AE7485" w:rsidRPr="00AE7485" w:rsidRDefault="00AE7485" w:rsidP="00AE7485">
            <w:pPr>
              <w:tabs>
                <w:tab w:val="left" w:pos="4889"/>
              </w:tabs>
              <w:jc w:val="center"/>
              <w:rPr>
                <w:rFonts w:ascii="Tahoma" w:hAnsi="Tahoma" w:cs="Tahoma"/>
                <w:b/>
                <w:bCs/>
                <w:iCs/>
                <w:sz w:val="22"/>
                <w:szCs w:val="22"/>
              </w:rPr>
            </w:pPr>
          </w:p>
        </w:tc>
      </w:tr>
      <w:tr w:rsidR="00AE7485" w:rsidRPr="00AE7485" w14:paraId="5131AD94" w14:textId="77777777" w:rsidTr="00B86BDE">
        <w:trPr>
          <w:trHeight w:val="532"/>
        </w:trPr>
        <w:tc>
          <w:tcPr>
            <w:tcW w:w="318" w:type="pct"/>
            <w:shd w:val="clear" w:color="auto" w:fill="auto"/>
            <w:vAlign w:val="center"/>
          </w:tcPr>
          <w:p w14:paraId="3AEB8F46"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9.4.</w:t>
            </w:r>
          </w:p>
        </w:tc>
        <w:tc>
          <w:tcPr>
            <w:tcW w:w="1843" w:type="pct"/>
            <w:shd w:val="clear" w:color="auto" w:fill="auto"/>
            <w:vAlign w:val="center"/>
          </w:tcPr>
          <w:p w14:paraId="79E455A8"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Блокировка/разблокировка Карты посредством Каналов ДБО Банка и/или по заявлению Клиента в офисе Банка</w:t>
            </w:r>
          </w:p>
        </w:tc>
        <w:tc>
          <w:tcPr>
            <w:tcW w:w="2839" w:type="pct"/>
            <w:vMerge/>
            <w:shd w:val="clear" w:color="auto" w:fill="auto"/>
            <w:vAlign w:val="center"/>
          </w:tcPr>
          <w:p w14:paraId="47B6F715" w14:textId="77777777" w:rsidR="00AE7485" w:rsidRPr="00AE7485" w:rsidRDefault="00AE7485" w:rsidP="00AE7485">
            <w:pPr>
              <w:tabs>
                <w:tab w:val="left" w:pos="4889"/>
              </w:tabs>
              <w:jc w:val="center"/>
              <w:rPr>
                <w:rFonts w:ascii="Tahoma" w:hAnsi="Tahoma" w:cs="Tahoma"/>
                <w:b/>
                <w:bCs/>
                <w:iCs/>
                <w:sz w:val="22"/>
                <w:szCs w:val="22"/>
              </w:rPr>
            </w:pPr>
          </w:p>
        </w:tc>
      </w:tr>
      <w:tr w:rsidR="00AE7485" w:rsidRPr="00AE7485" w14:paraId="5F75BD24" w14:textId="77777777" w:rsidTr="00AE7485">
        <w:trPr>
          <w:trHeight w:val="326"/>
        </w:trPr>
        <w:tc>
          <w:tcPr>
            <w:tcW w:w="318" w:type="pct"/>
            <w:shd w:val="clear" w:color="auto" w:fill="595959"/>
            <w:vAlign w:val="center"/>
          </w:tcPr>
          <w:p w14:paraId="79DCF582" w14:textId="77777777" w:rsidR="00AE7485" w:rsidRPr="00AE7485" w:rsidRDefault="00AE7485" w:rsidP="00AE7485">
            <w:pPr>
              <w:tabs>
                <w:tab w:val="left" w:pos="284"/>
              </w:tabs>
              <w:rPr>
                <w:rFonts w:ascii="Tahoma" w:hAnsi="Tahoma" w:cs="Tahoma"/>
                <w:b/>
                <w:bCs/>
                <w:iCs/>
                <w:color w:val="FFFFFF"/>
                <w:sz w:val="22"/>
                <w:szCs w:val="22"/>
              </w:rPr>
            </w:pPr>
            <w:r w:rsidRPr="00AE7485">
              <w:rPr>
                <w:rFonts w:ascii="Tahoma" w:hAnsi="Tahoma" w:cs="Tahoma"/>
                <w:b/>
                <w:bCs/>
                <w:iCs/>
                <w:color w:val="FFFFFF"/>
                <w:sz w:val="22"/>
                <w:szCs w:val="22"/>
              </w:rPr>
              <w:t>10.</w:t>
            </w:r>
          </w:p>
        </w:tc>
        <w:tc>
          <w:tcPr>
            <w:tcW w:w="4682" w:type="pct"/>
            <w:gridSpan w:val="2"/>
            <w:shd w:val="clear" w:color="auto" w:fill="595959"/>
            <w:vAlign w:val="center"/>
          </w:tcPr>
          <w:p w14:paraId="2CC367E6" w14:textId="77777777" w:rsidR="00AE7485" w:rsidRPr="00AE7485" w:rsidRDefault="00AE7485" w:rsidP="00AE7485">
            <w:pPr>
              <w:tabs>
                <w:tab w:val="left" w:pos="4889"/>
              </w:tabs>
              <w:rPr>
                <w:rFonts w:ascii="Tahoma" w:hAnsi="Tahoma" w:cs="Tahoma"/>
                <w:b/>
                <w:bCs/>
                <w:iCs/>
                <w:color w:val="FFFFFF"/>
                <w:sz w:val="22"/>
                <w:szCs w:val="22"/>
              </w:rPr>
            </w:pPr>
            <w:r w:rsidRPr="00AE7485">
              <w:rPr>
                <w:rFonts w:ascii="Tahoma" w:hAnsi="Tahoma" w:cs="Tahoma"/>
                <w:b/>
                <w:bCs/>
                <w:iCs/>
                <w:color w:val="FFFFFF"/>
                <w:sz w:val="22"/>
                <w:szCs w:val="22"/>
              </w:rPr>
              <w:t>Правила программ лояльности</w:t>
            </w:r>
          </w:p>
        </w:tc>
      </w:tr>
      <w:tr w:rsidR="00AE7485" w:rsidRPr="00AE7485" w14:paraId="67A829D8" w14:textId="77777777" w:rsidTr="00B86BDE">
        <w:trPr>
          <w:trHeight w:val="532"/>
        </w:trPr>
        <w:tc>
          <w:tcPr>
            <w:tcW w:w="318" w:type="pct"/>
            <w:shd w:val="clear" w:color="auto" w:fill="auto"/>
            <w:vAlign w:val="center"/>
          </w:tcPr>
          <w:p w14:paraId="42E5FF12"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10.1.</w:t>
            </w:r>
          </w:p>
        </w:tc>
        <w:tc>
          <w:tcPr>
            <w:tcW w:w="1843" w:type="pct"/>
            <w:shd w:val="clear" w:color="auto" w:fill="auto"/>
            <w:vAlign w:val="center"/>
          </w:tcPr>
          <w:p w14:paraId="0C772C16"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Программа лояльности для Клиентов-держателей Банковских карт «Азиатско-Тихоокеанский Банк, (АО)», размещенная на Сайте Банка www.atb.su и Подразделениях Банка</w:t>
            </w:r>
          </w:p>
        </w:tc>
        <w:tc>
          <w:tcPr>
            <w:tcW w:w="2839" w:type="pct"/>
            <w:shd w:val="clear" w:color="auto" w:fill="auto"/>
            <w:vAlign w:val="center"/>
          </w:tcPr>
          <w:p w14:paraId="52E2F39A" w14:textId="77777777" w:rsidR="00AE7485" w:rsidRPr="00AE7485" w:rsidRDefault="00AE7485" w:rsidP="00AE7485">
            <w:pPr>
              <w:tabs>
                <w:tab w:val="left" w:pos="4889"/>
              </w:tabs>
              <w:jc w:val="center"/>
              <w:rPr>
                <w:rFonts w:ascii="Tahoma" w:hAnsi="Tahoma" w:cs="Tahoma"/>
                <w:b/>
                <w:bCs/>
                <w:iCs/>
                <w:sz w:val="22"/>
                <w:szCs w:val="22"/>
              </w:rPr>
            </w:pPr>
            <w:r w:rsidRPr="00AE7485">
              <w:rPr>
                <w:rFonts w:ascii="Tahoma" w:hAnsi="Tahoma" w:cs="Tahoma"/>
                <w:bCs/>
                <w:iCs/>
                <w:sz w:val="22"/>
                <w:szCs w:val="22"/>
              </w:rPr>
              <w:t xml:space="preserve">Согласно действующей Бонусной программе «Премиум-Бонус», размещенной на Сайте Банка </w:t>
            </w:r>
            <w:hyperlink r:id="rId120" w:history="1">
              <w:r w:rsidRPr="00AE7485">
                <w:rPr>
                  <w:rFonts w:ascii="Tahoma" w:hAnsi="Tahoma" w:cs="Tahoma"/>
                  <w:bCs/>
                  <w:iCs/>
                  <w:color w:val="0563C1"/>
                  <w:sz w:val="22"/>
                  <w:szCs w:val="22"/>
                  <w:u w:val="single"/>
                </w:rPr>
                <w:t>www.atb.su</w:t>
              </w:r>
            </w:hyperlink>
            <w:r w:rsidRPr="00AE7485">
              <w:rPr>
                <w:rFonts w:ascii="Tahoma" w:hAnsi="Tahoma" w:cs="Tahoma"/>
                <w:bCs/>
                <w:iCs/>
                <w:sz w:val="22"/>
                <w:szCs w:val="22"/>
              </w:rPr>
              <w:t>, в Каналах ДБО Банка и в Подразделениях Банка</w:t>
            </w:r>
          </w:p>
        </w:tc>
      </w:tr>
      <w:tr w:rsidR="00AE7485" w:rsidRPr="00AE7485" w14:paraId="7BC971EB" w14:textId="77777777" w:rsidTr="00B86BDE">
        <w:trPr>
          <w:trHeight w:val="344"/>
        </w:trPr>
        <w:tc>
          <w:tcPr>
            <w:tcW w:w="318" w:type="pct"/>
            <w:vMerge w:val="restart"/>
            <w:shd w:val="clear" w:color="auto" w:fill="auto"/>
            <w:vAlign w:val="center"/>
          </w:tcPr>
          <w:p w14:paraId="395A2793"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10.2.</w:t>
            </w:r>
          </w:p>
        </w:tc>
        <w:tc>
          <w:tcPr>
            <w:tcW w:w="1843" w:type="pct"/>
            <w:vMerge w:val="restart"/>
            <w:shd w:val="clear" w:color="auto" w:fill="auto"/>
            <w:vAlign w:val="center"/>
          </w:tcPr>
          <w:p w14:paraId="52ACFFA7"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Программа лояльности Акционерного общества «Национальная система платежных карт»</w:t>
            </w:r>
            <w:r w:rsidRPr="00AE7485">
              <w:rPr>
                <w:rFonts w:ascii="Tahoma" w:hAnsi="Tahoma" w:cs="Tahoma"/>
                <w:bCs/>
                <w:iCs/>
                <w:sz w:val="22"/>
                <w:szCs w:val="22"/>
                <w:vertAlign w:val="superscript"/>
              </w:rPr>
              <w:footnoteReference w:id="216"/>
            </w:r>
          </w:p>
        </w:tc>
        <w:tc>
          <w:tcPr>
            <w:tcW w:w="2839" w:type="pct"/>
            <w:shd w:val="clear" w:color="auto" w:fill="auto"/>
            <w:vAlign w:val="center"/>
          </w:tcPr>
          <w:p w14:paraId="51D88DEC"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Карта типа Мир </w:t>
            </w:r>
            <w:r w:rsidRPr="00AE7485">
              <w:rPr>
                <w:rFonts w:ascii="Tahoma" w:hAnsi="Tahoma" w:cs="Tahoma"/>
                <w:bCs/>
                <w:iCs/>
                <w:sz w:val="22"/>
                <w:szCs w:val="22"/>
                <w:lang w:val="en-US"/>
              </w:rPr>
              <w:t>Supreme</w:t>
            </w:r>
            <w:r w:rsidRPr="00AE7485">
              <w:rPr>
                <w:rFonts w:ascii="Tahoma" w:hAnsi="Tahoma" w:cs="Tahoma"/>
                <w:bCs/>
                <w:iCs/>
                <w:sz w:val="22"/>
                <w:szCs w:val="22"/>
              </w:rPr>
              <w:t>: Согласно действующим Правилам программы лояльности Акционерного общества «Национальная система платежных карт», размещенным на его Официальном сайте vamprivet.ru/rules/</w:t>
            </w:r>
          </w:p>
        </w:tc>
      </w:tr>
      <w:tr w:rsidR="00AE7485" w:rsidRPr="00AE7485" w14:paraId="57466039" w14:textId="77777777" w:rsidTr="00B86BDE">
        <w:trPr>
          <w:trHeight w:val="398"/>
        </w:trPr>
        <w:tc>
          <w:tcPr>
            <w:tcW w:w="318" w:type="pct"/>
            <w:vMerge/>
            <w:shd w:val="clear" w:color="auto" w:fill="auto"/>
            <w:vAlign w:val="center"/>
          </w:tcPr>
          <w:p w14:paraId="7A2446BE" w14:textId="77777777" w:rsidR="00AE7485" w:rsidRPr="00AE7485" w:rsidRDefault="00AE7485" w:rsidP="00AE7485">
            <w:pPr>
              <w:tabs>
                <w:tab w:val="left" w:pos="284"/>
              </w:tabs>
              <w:rPr>
                <w:rFonts w:ascii="Tahoma" w:hAnsi="Tahoma" w:cs="Tahoma"/>
                <w:bCs/>
                <w:iCs/>
                <w:sz w:val="22"/>
                <w:szCs w:val="22"/>
              </w:rPr>
            </w:pPr>
          </w:p>
        </w:tc>
        <w:tc>
          <w:tcPr>
            <w:tcW w:w="1843" w:type="pct"/>
            <w:vMerge/>
            <w:shd w:val="clear" w:color="auto" w:fill="auto"/>
            <w:vAlign w:val="center"/>
          </w:tcPr>
          <w:p w14:paraId="5CBAE953" w14:textId="77777777" w:rsidR="00AE7485" w:rsidRPr="00AE7485" w:rsidRDefault="00AE7485" w:rsidP="00AE7485">
            <w:pPr>
              <w:tabs>
                <w:tab w:val="left" w:pos="4889"/>
              </w:tabs>
              <w:rPr>
                <w:rFonts w:ascii="Tahoma" w:hAnsi="Tahoma" w:cs="Tahoma"/>
                <w:bCs/>
                <w:iCs/>
                <w:sz w:val="22"/>
                <w:szCs w:val="22"/>
              </w:rPr>
            </w:pPr>
          </w:p>
        </w:tc>
        <w:tc>
          <w:tcPr>
            <w:tcW w:w="2839" w:type="pct"/>
            <w:shd w:val="clear" w:color="auto" w:fill="auto"/>
            <w:vAlign w:val="center"/>
          </w:tcPr>
          <w:p w14:paraId="0995EA33"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Карта типа </w:t>
            </w:r>
            <w:r w:rsidRPr="00AE7485">
              <w:rPr>
                <w:rFonts w:ascii="Tahoma" w:hAnsi="Tahoma" w:cs="Tahoma"/>
                <w:bCs/>
                <w:iCs/>
                <w:sz w:val="22"/>
                <w:szCs w:val="22"/>
                <w:lang w:val="en-US"/>
              </w:rPr>
              <w:t>UnionPay</w:t>
            </w:r>
            <w:r w:rsidRPr="00AE7485">
              <w:rPr>
                <w:rFonts w:ascii="Tahoma" w:hAnsi="Tahoma" w:cs="Tahoma"/>
                <w:bCs/>
                <w:iCs/>
                <w:sz w:val="22"/>
                <w:szCs w:val="22"/>
              </w:rPr>
              <w:t xml:space="preserve"> </w:t>
            </w:r>
            <w:r w:rsidRPr="00AE7485">
              <w:rPr>
                <w:rFonts w:ascii="Tahoma" w:hAnsi="Tahoma" w:cs="Tahoma"/>
                <w:bCs/>
                <w:iCs/>
                <w:sz w:val="22"/>
                <w:szCs w:val="22"/>
                <w:lang w:val="en-US"/>
              </w:rPr>
              <w:t>Diamond</w:t>
            </w:r>
            <w:r w:rsidRPr="00AE7485">
              <w:rPr>
                <w:rFonts w:ascii="Tahoma" w:hAnsi="Tahoma" w:cs="Tahoma"/>
                <w:bCs/>
                <w:iCs/>
                <w:sz w:val="22"/>
                <w:szCs w:val="22"/>
              </w:rPr>
              <w:t>: не применимо</w:t>
            </w:r>
          </w:p>
        </w:tc>
      </w:tr>
      <w:tr w:rsidR="00AE7485" w:rsidRPr="00AE7485" w14:paraId="4D6EC673" w14:textId="77777777" w:rsidTr="00AE7485">
        <w:trPr>
          <w:trHeight w:val="262"/>
        </w:trPr>
        <w:tc>
          <w:tcPr>
            <w:tcW w:w="318" w:type="pct"/>
            <w:shd w:val="clear" w:color="auto" w:fill="595959"/>
            <w:vAlign w:val="center"/>
          </w:tcPr>
          <w:p w14:paraId="41E63F4D" w14:textId="77777777" w:rsidR="00AE7485" w:rsidRPr="00AE7485" w:rsidRDefault="00AE7485" w:rsidP="00AE7485">
            <w:pPr>
              <w:tabs>
                <w:tab w:val="left" w:pos="284"/>
              </w:tabs>
              <w:rPr>
                <w:rFonts w:ascii="Tahoma" w:hAnsi="Tahoma" w:cs="Tahoma"/>
                <w:b/>
                <w:bCs/>
                <w:iCs/>
                <w:color w:val="FFFFFF"/>
                <w:sz w:val="22"/>
                <w:szCs w:val="22"/>
              </w:rPr>
            </w:pPr>
            <w:r w:rsidRPr="00AE7485">
              <w:rPr>
                <w:rFonts w:ascii="Tahoma" w:hAnsi="Tahoma" w:cs="Tahoma"/>
                <w:b/>
                <w:bCs/>
                <w:iCs/>
                <w:color w:val="FFFFFF"/>
                <w:sz w:val="22"/>
                <w:szCs w:val="22"/>
              </w:rPr>
              <w:t>11.</w:t>
            </w:r>
          </w:p>
        </w:tc>
        <w:tc>
          <w:tcPr>
            <w:tcW w:w="4682" w:type="pct"/>
            <w:gridSpan w:val="2"/>
            <w:shd w:val="clear" w:color="auto" w:fill="595959"/>
            <w:vAlign w:val="center"/>
          </w:tcPr>
          <w:p w14:paraId="39174996" w14:textId="77777777" w:rsidR="00AE7485" w:rsidRPr="00AE7485" w:rsidRDefault="00AE7485" w:rsidP="00AE7485">
            <w:pPr>
              <w:tabs>
                <w:tab w:val="left" w:pos="4889"/>
              </w:tabs>
              <w:rPr>
                <w:rFonts w:ascii="Tahoma" w:hAnsi="Tahoma" w:cs="Tahoma"/>
                <w:b/>
                <w:bCs/>
                <w:iCs/>
                <w:color w:val="FFFFFF"/>
                <w:sz w:val="22"/>
                <w:szCs w:val="22"/>
              </w:rPr>
            </w:pPr>
            <w:r w:rsidRPr="00AE7485">
              <w:rPr>
                <w:rFonts w:ascii="Tahoma" w:hAnsi="Tahoma" w:cs="Tahoma"/>
                <w:b/>
                <w:bCs/>
                <w:iCs/>
                <w:color w:val="FFFFFF"/>
                <w:sz w:val="22"/>
                <w:szCs w:val="22"/>
              </w:rPr>
              <w:t>Условия предоставления доступа в Бизнес-залы в рамках сервиса «</w:t>
            </w:r>
            <w:r w:rsidRPr="00AE7485">
              <w:rPr>
                <w:rFonts w:ascii="Tahoma" w:hAnsi="Tahoma" w:cs="Tahoma"/>
                <w:b/>
                <w:bCs/>
                <w:iCs/>
                <w:color w:val="FFFFFF"/>
                <w:sz w:val="22"/>
                <w:szCs w:val="22"/>
                <w:lang w:val="en-US"/>
              </w:rPr>
              <w:t>Mir</w:t>
            </w:r>
            <w:r w:rsidRPr="00AE7485">
              <w:rPr>
                <w:rFonts w:ascii="Tahoma" w:hAnsi="Tahoma" w:cs="Tahoma"/>
                <w:b/>
                <w:bCs/>
                <w:iCs/>
                <w:color w:val="FFFFFF"/>
                <w:sz w:val="22"/>
                <w:szCs w:val="22"/>
              </w:rPr>
              <w:t xml:space="preserve"> </w:t>
            </w:r>
            <w:r w:rsidRPr="00AE7485">
              <w:rPr>
                <w:rFonts w:ascii="Tahoma" w:hAnsi="Tahoma" w:cs="Tahoma"/>
                <w:b/>
                <w:bCs/>
                <w:iCs/>
                <w:color w:val="FFFFFF"/>
                <w:sz w:val="22"/>
                <w:szCs w:val="22"/>
                <w:lang w:val="en-US"/>
              </w:rPr>
              <w:t>Pass</w:t>
            </w:r>
            <w:r w:rsidRPr="00AE7485">
              <w:rPr>
                <w:rFonts w:ascii="Tahoma" w:hAnsi="Tahoma" w:cs="Tahoma"/>
                <w:b/>
                <w:bCs/>
                <w:iCs/>
                <w:color w:val="FFFFFF"/>
                <w:sz w:val="22"/>
                <w:szCs w:val="22"/>
              </w:rPr>
              <w:t>» (далее – Сервис) в соответствии с Условиями предоставления «Азиатско-Тихоокеанский Банк» (АО) Клиентам-держателям Программ банковских услуг «Статус» и Программ банковских услуг «Статус Плюс» кодов в целях получения Сервиса Mir Pass</w:t>
            </w:r>
          </w:p>
        </w:tc>
      </w:tr>
      <w:tr w:rsidR="00AE7485" w:rsidRPr="00AE7485" w14:paraId="3810EF1B" w14:textId="77777777" w:rsidTr="00B86BDE">
        <w:trPr>
          <w:trHeight w:val="262"/>
        </w:trPr>
        <w:tc>
          <w:tcPr>
            <w:tcW w:w="318" w:type="pct"/>
            <w:shd w:val="clear" w:color="auto" w:fill="auto"/>
            <w:vAlign w:val="center"/>
          </w:tcPr>
          <w:p w14:paraId="2DC00424"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11.1.</w:t>
            </w:r>
          </w:p>
        </w:tc>
        <w:tc>
          <w:tcPr>
            <w:tcW w:w="1843" w:type="pct"/>
            <w:shd w:val="clear" w:color="auto" w:fill="auto"/>
            <w:vAlign w:val="center"/>
          </w:tcPr>
          <w:p w14:paraId="3A6BB52A"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Сервис «</w:t>
            </w:r>
            <w:r w:rsidRPr="00AE7485">
              <w:rPr>
                <w:rFonts w:ascii="Tahoma" w:hAnsi="Tahoma" w:cs="Tahoma"/>
                <w:bCs/>
                <w:iCs/>
                <w:sz w:val="22"/>
                <w:szCs w:val="22"/>
                <w:lang w:val="en-US"/>
              </w:rPr>
              <w:t>Mir Pass</w:t>
            </w:r>
            <w:r w:rsidRPr="00AE7485">
              <w:rPr>
                <w:rFonts w:ascii="Tahoma" w:hAnsi="Tahoma" w:cs="Tahoma"/>
                <w:bCs/>
                <w:iCs/>
                <w:sz w:val="22"/>
                <w:szCs w:val="22"/>
              </w:rPr>
              <w:t>»</w:t>
            </w:r>
          </w:p>
        </w:tc>
        <w:tc>
          <w:tcPr>
            <w:tcW w:w="2839" w:type="pct"/>
            <w:shd w:val="clear" w:color="auto" w:fill="auto"/>
            <w:vAlign w:val="center"/>
          </w:tcPr>
          <w:p w14:paraId="5111EF2A"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 xml:space="preserve">Сервис, обеспечивающий возможность предоставления доступа в бизнес-залы на территории аэропортов, железнодорожных вокзалов, портов и автовокзалов (по тексту – Бизнес-залы) в рамках Программы Клиенту-держателю Карты типа Мир </w:t>
            </w:r>
            <w:r w:rsidRPr="00AE7485">
              <w:rPr>
                <w:rFonts w:ascii="Tahoma" w:hAnsi="Tahoma" w:cs="Tahoma"/>
                <w:bCs/>
                <w:iCs/>
                <w:sz w:val="22"/>
                <w:szCs w:val="22"/>
                <w:lang w:val="en-US"/>
              </w:rPr>
              <w:t>Supreme</w:t>
            </w:r>
            <w:r w:rsidRPr="00AE7485">
              <w:rPr>
                <w:rFonts w:ascii="Tahoma" w:hAnsi="Tahoma" w:cs="Tahoma"/>
                <w:bCs/>
                <w:iCs/>
                <w:sz w:val="22"/>
                <w:szCs w:val="22"/>
              </w:rPr>
              <w:t xml:space="preserve"> по волеизъявлению Клиента, согласно действующим Правилам программы лояльности Акционерного общества «Национальная система платежных карт», размещенным на его официальном сайте vamprivet.ru/rules/</w:t>
            </w:r>
            <w:r w:rsidRPr="00AE7485">
              <w:rPr>
                <w:rFonts w:ascii="Tahoma" w:hAnsi="Tahoma" w:cs="Tahoma"/>
                <w:bCs/>
                <w:iCs/>
                <w:sz w:val="22"/>
                <w:szCs w:val="22"/>
                <w:vertAlign w:val="superscript"/>
              </w:rPr>
              <w:footnoteReference w:id="217"/>
            </w:r>
          </w:p>
        </w:tc>
      </w:tr>
      <w:tr w:rsidR="00AE7485" w:rsidRPr="00AE7485" w14:paraId="063ED5B4" w14:textId="77777777" w:rsidTr="00B86BDE">
        <w:trPr>
          <w:trHeight w:val="262"/>
        </w:trPr>
        <w:tc>
          <w:tcPr>
            <w:tcW w:w="318" w:type="pct"/>
            <w:shd w:val="clear" w:color="auto" w:fill="auto"/>
            <w:vAlign w:val="center"/>
          </w:tcPr>
          <w:p w14:paraId="7CB1B845"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11.2.</w:t>
            </w:r>
          </w:p>
        </w:tc>
        <w:tc>
          <w:tcPr>
            <w:tcW w:w="1843" w:type="pct"/>
            <w:shd w:val="clear" w:color="auto" w:fill="auto"/>
            <w:vAlign w:val="center"/>
          </w:tcPr>
          <w:p w14:paraId="48F72A9F"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Предоставление и обслуживание Сервиса в рамках Программы</w:t>
            </w:r>
          </w:p>
        </w:tc>
        <w:tc>
          <w:tcPr>
            <w:tcW w:w="2839" w:type="pct"/>
            <w:shd w:val="clear" w:color="auto" w:fill="auto"/>
            <w:vAlign w:val="center"/>
          </w:tcPr>
          <w:p w14:paraId="4D2B03D5" w14:textId="77777777" w:rsidR="00AE7485" w:rsidRPr="00AE7485" w:rsidRDefault="00AE7485" w:rsidP="00AE7485">
            <w:pPr>
              <w:tabs>
                <w:tab w:val="left" w:pos="4889"/>
              </w:tabs>
              <w:jc w:val="center"/>
              <w:rPr>
                <w:rFonts w:ascii="Tahoma" w:hAnsi="Tahoma" w:cs="Tahoma"/>
                <w:b/>
                <w:bCs/>
                <w:iCs/>
                <w:sz w:val="22"/>
                <w:szCs w:val="22"/>
              </w:rPr>
            </w:pPr>
            <w:r w:rsidRPr="00AE7485">
              <w:rPr>
                <w:rFonts w:ascii="Tahoma" w:hAnsi="Tahoma" w:cs="Tahoma"/>
                <w:b/>
                <w:bCs/>
                <w:iCs/>
                <w:sz w:val="22"/>
                <w:szCs w:val="22"/>
              </w:rPr>
              <w:t>БЕСПЛАТНО</w:t>
            </w:r>
          </w:p>
        </w:tc>
      </w:tr>
      <w:tr w:rsidR="00AE7485" w:rsidRPr="00AE7485" w14:paraId="26976F51" w14:textId="77777777" w:rsidTr="00B86BDE">
        <w:trPr>
          <w:trHeight w:val="262"/>
        </w:trPr>
        <w:tc>
          <w:tcPr>
            <w:tcW w:w="318" w:type="pct"/>
            <w:shd w:val="clear" w:color="auto" w:fill="auto"/>
            <w:vAlign w:val="center"/>
          </w:tcPr>
          <w:p w14:paraId="33990D45"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11.3.</w:t>
            </w:r>
          </w:p>
        </w:tc>
        <w:tc>
          <w:tcPr>
            <w:tcW w:w="1843" w:type="pct"/>
            <w:shd w:val="clear" w:color="auto" w:fill="auto"/>
            <w:vAlign w:val="center"/>
          </w:tcPr>
          <w:p w14:paraId="119ED05C"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Количество доступных бесплатных проходов в Бизнес-залы в течение Отчетного периода при выполнении одного из условий п.2 Программы в месяце, предшествующем Отчетному периоду</w:t>
            </w:r>
          </w:p>
        </w:tc>
        <w:tc>
          <w:tcPr>
            <w:tcW w:w="2839" w:type="pct"/>
            <w:shd w:val="clear" w:color="auto" w:fill="auto"/>
            <w:vAlign w:val="center"/>
          </w:tcPr>
          <w:p w14:paraId="14AC070E"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8 проходов</w:t>
            </w:r>
          </w:p>
        </w:tc>
      </w:tr>
      <w:tr w:rsidR="00AE7485" w:rsidRPr="00AE7485" w14:paraId="75486B3B" w14:textId="77777777" w:rsidTr="00B86BDE">
        <w:trPr>
          <w:trHeight w:val="262"/>
        </w:trPr>
        <w:tc>
          <w:tcPr>
            <w:tcW w:w="318" w:type="pct"/>
            <w:shd w:val="clear" w:color="auto" w:fill="auto"/>
            <w:vAlign w:val="center"/>
          </w:tcPr>
          <w:p w14:paraId="1A9637FE"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11.4.</w:t>
            </w:r>
          </w:p>
        </w:tc>
        <w:tc>
          <w:tcPr>
            <w:tcW w:w="1843" w:type="pct"/>
            <w:shd w:val="clear" w:color="auto" w:fill="auto"/>
            <w:vAlign w:val="center"/>
          </w:tcPr>
          <w:p w14:paraId="0FEEBC48"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Количество доступных бесплатных проходов в Бизнес-залы в течение Отчетного периода при несоблюдении ни одного из условий п.2 Программы в месяце, предшествующем Отчетному периоду</w:t>
            </w:r>
          </w:p>
        </w:tc>
        <w:tc>
          <w:tcPr>
            <w:tcW w:w="2839" w:type="pct"/>
            <w:shd w:val="clear" w:color="auto" w:fill="auto"/>
            <w:vAlign w:val="center"/>
          </w:tcPr>
          <w:p w14:paraId="54B9C1B0" w14:textId="77777777" w:rsidR="00AE7485" w:rsidRPr="00AE7485" w:rsidRDefault="00AE7485" w:rsidP="00AE7485">
            <w:pPr>
              <w:tabs>
                <w:tab w:val="left" w:pos="4889"/>
              </w:tabs>
              <w:jc w:val="center"/>
              <w:rPr>
                <w:rFonts w:ascii="Tahoma" w:hAnsi="Tahoma" w:cs="Tahoma"/>
                <w:bCs/>
                <w:iCs/>
                <w:sz w:val="22"/>
                <w:szCs w:val="22"/>
              </w:rPr>
            </w:pPr>
            <w:r w:rsidRPr="00AE7485">
              <w:rPr>
                <w:rFonts w:ascii="Tahoma" w:hAnsi="Tahoma" w:cs="Tahoma"/>
                <w:bCs/>
                <w:iCs/>
                <w:sz w:val="22"/>
                <w:szCs w:val="22"/>
              </w:rPr>
              <w:t>Не предусмотрено</w:t>
            </w:r>
          </w:p>
        </w:tc>
      </w:tr>
      <w:tr w:rsidR="00AE7485" w:rsidRPr="00AE7485" w14:paraId="02CBCCCB" w14:textId="77777777" w:rsidTr="00AE7485">
        <w:trPr>
          <w:trHeight w:val="262"/>
        </w:trPr>
        <w:tc>
          <w:tcPr>
            <w:tcW w:w="318" w:type="pct"/>
            <w:shd w:val="clear" w:color="auto" w:fill="595959"/>
            <w:vAlign w:val="center"/>
          </w:tcPr>
          <w:p w14:paraId="76469EA8" w14:textId="77777777" w:rsidR="00AE7485" w:rsidRPr="00AE7485" w:rsidRDefault="00AE7485" w:rsidP="00AE7485">
            <w:pPr>
              <w:tabs>
                <w:tab w:val="left" w:pos="284"/>
              </w:tabs>
              <w:rPr>
                <w:rFonts w:ascii="Tahoma" w:hAnsi="Tahoma" w:cs="Tahoma"/>
                <w:b/>
                <w:bCs/>
                <w:iCs/>
                <w:color w:val="FFFFFF"/>
                <w:sz w:val="22"/>
                <w:szCs w:val="22"/>
              </w:rPr>
            </w:pPr>
            <w:r w:rsidRPr="00AE7485">
              <w:rPr>
                <w:rFonts w:ascii="Tahoma" w:hAnsi="Tahoma" w:cs="Tahoma"/>
                <w:b/>
                <w:bCs/>
                <w:iCs/>
                <w:color w:val="FFFFFF"/>
                <w:sz w:val="22"/>
                <w:szCs w:val="22"/>
              </w:rPr>
              <w:t>11.4.</w:t>
            </w:r>
          </w:p>
        </w:tc>
        <w:tc>
          <w:tcPr>
            <w:tcW w:w="4682" w:type="pct"/>
            <w:gridSpan w:val="2"/>
            <w:shd w:val="clear" w:color="auto" w:fill="595959"/>
            <w:vAlign w:val="center"/>
          </w:tcPr>
          <w:p w14:paraId="0E418659" w14:textId="77777777" w:rsidR="00AE7485" w:rsidRPr="00AE7485" w:rsidRDefault="00AE7485" w:rsidP="00AE7485">
            <w:pPr>
              <w:tabs>
                <w:tab w:val="left" w:pos="4889"/>
              </w:tabs>
              <w:rPr>
                <w:rFonts w:ascii="Tahoma" w:hAnsi="Tahoma" w:cs="Tahoma"/>
                <w:b/>
                <w:bCs/>
                <w:iCs/>
                <w:color w:val="FFFFFF"/>
                <w:sz w:val="22"/>
                <w:szCs w:val="22"/>
              </w:rPr>
            </w:pPr>
            <w:r w:rsidRPr="00AE7485">
              <w:rPr>
                <w:rFonts w:ascii="Tahoma" w:hAnsi="Tahoma" w:cs="Tahoma"/>
                <w:b/>
                <w:bCs/>
                <w:iCs/>
                <w:color w:val="FFFFFF"/>
                <w:sz w:val="22"/>
                <w:szCs w:val="22"/>
              </w:rPr>
              <w:t>Ограничения предоставления Сервиса</w:t>
            </w:r>
          </w:p>
        </w:tc>
      </w:tr>
      <w:tr w:rsidR="00AE7485" w:rsidRPr="00AE7485" w14:paraId="5AD65A6B" w14:textId="77777777" w:rsidTr="00B86BDE">
        <w:trPr>
          <w:trHeight w:val="262"/>
        </w:trPr>
        <w:tc>
          <w:tcPr>
            <w:tcW w:w="318" w:type="pct"/>
            <w:shd w:val="clear" w:color="auto" w:fill="auto"/>
            <w:vAlign w:val="center"/>
          </w:tcPr>
          <w:p w14:paraId="5F7C2DA9"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11.4.1.</w:t>
            </w:r>
          </w:p>
        </w:tc>
        <w:tc>
          <w:tcPr>
            <w:tcW w:w="4682" w:type="pct"/>
            <w:gridSpan w:val="2"/>
            <w:shd w:val="clear" w:color="auto" w:fill="auto"/>
            <w:vAlign w:val="center"/>
          </w:tcPr>
          <w:p w14:paraId="39F082CA"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Сервис не предоставляется в Льготном периоде Программы.</w:t>
            </w:r>
          </w:p>
        </w:tc>
      </w:tr>
      <w:tr w:rsidR="00AE7485" w:rsidRPr="00AE7485" w14:paraId="7CD18507" w14:textId="77777777" w:rsidTr="00B86BDE">
        <w:trPr>
          <w:trHeight w:val="262"/>
        </w:trPr>
        <w:tc>
          <w:tcPr>
            <w:tcW w:w="318" w:type="pct"/>
            <w:shd w:val="clear" w:color="auto" w:fill="auto"/>
            <w:vAlign w:val="center"/>
          </w:tcPr>
          <w:p w14:paraId="6C57AF4F"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11.4.2.</w:t>
            </w:r>
          </w:p>
        </w:tc>
        <w:tc>
          <w:tcPr>
            <w:tcW w:w="4682" w:type="pct"/>
            <w:gridSpan w:val="2"/>
            <w:shd w:val="clear" w:color="auto" w:fill="auto"/>
            <w:vAlign w:val="center"/>
          </w:tcPr>
          <w:p w14:paraId="7AED4DE0"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Сервис не предоставляется при наличии непогашенной комиссионной задолженности за обслуживание Программы, сформированной в результате несоблюдения условий, в соответствии с п.2. Программы.</w:t>
            </w:r>
          </w:p>
        </w:tc>
      </w:tr>
      <w:tr w:rsidR="00AE7485" w:rsidRPr="00AE7485" w14:paraId="1CBEAB40" w14:textId="77777777" w:rsidTr="00B86BDE">
        <w:trPr>
          <w:trHeight w:val="262"/>
        </w:trPr>
        <w:tc>
          <w:tcPr>
            <w:tcW w:w="318" w:type="pct"/>
            <w:shd w:val="clear" w:color="auto" w:fill="auto"/>
            <w:vAlign w:val="center"/>
          </w:tcPr>
          <w:p w14:paraId="0CE96B16"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11.4.3.</w:t>
            </w:r>
          </w:p>
        </w:tc>
        <w:tc>
          <w:tcPr>
            <w:tcW w:w="4682" w:type="pct"/>
            <w:gridSpan w:val="2"/>
            <w:shd w:val="clear" w:color="auto" w:fill="auto"/>
            <w:vAlign w:val="center"/>
          </w:tcPr>
          <w:p w14:paraId="71BDE31C"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Сервис не предоставляется при несоблюдении условий в месяце, предшествующем Отчетному периоду, в соответствии с п.2. Программы.</w:t>
            </w:r>
          </w:p>
        </w:tc>
      </w:tr>
      <w:tr w:rsidR="00AE7485" w:rsidRPr="00AE7485" w14:paraId="46CD5F8B" w14:textId="77777777" w:rsidTr="00B86BDE">
        <w:trPr>
          <w:trHeight w:val="334"/>
        </w:trPr>
        <w:tc>
          <w:tcPr>
            <w:tcW w:w="318" w:type="pct"/>
            <w:shd w:val="clear" w:color="auto" w:fill="auto"/>
            <w:vAlign w:val="center"/>
          </w:tcPr>
          <w:p w14:paraId="59BC7650"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11.4.4.</w:t>
            </w:r>
          </w:p>
        </w:tc>
        <w:tc>
          <w:tcPr>
            <w:tcW w:w="4682" w:type="pct"/>
            <w:gridSpan w:val="2"/>
            <w:shd w:val="clear" w:color="auto" w:fill="auto"/>
            <w:vAlign w:val="center"/>
          </w:tcPr>
          <w:p w14:paraId="2E13C084"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Третьи лица (далее – Гости) могут воспользоваться Сервисом исключительно в сопровождении Клиента. При попытке воспользоваться Сервисом Гостями без сопровождения Клиента – услуга не предоставляется.</w:t>
            </w:r>
          </w:p>
        </w:tc>
      </w:tr>
      <w:tr w:rsidR="00AE7485" w:rsidRPr="00AE7485" w14:paraId="67F6567B" w14:textId="77777777" w:rsidTr="00B86BDE">
        <w:trPr>
          <w:trHeight w:val="262"/>
        </w:trPr>
        <w:tc>
          <w:tcPr>
            <w:tcW w:w="318" w:type="pct"/>
            <w:shd w:val="clear" w:color="auto" w:fill="auto"/>
            <w:vAlign w:val="center"/>
          </w:tcPr>
          <w:p w14:paraId="4FD73E4C"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11.4.5.</w:t>
            </w:r>
          </w:p>
        </w:tc>
        <w:tc>
          <w:tcPr>
            <w:tcW w:w="4682" w:type="pct"/>
            <w:gridSpan w:val="2"/>
            <w:shd w:val="clear" w:color="auto" w:fill="auto"/>
            <w:vAlign w:val="center"/>
          </w:tcPr>
          <w:p w14:paraId="0F7DCB8B"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Посещение Бизнес-залов невозможно при наличии у Клиента текущей просроченной задолженности перед Банком по любому из Договоров банковской услуги.</w:t>
            </w:r>
          </w:p>
        </w:tc>
      </w:tr>
      <w:tr w:rsidR="00AE7485" w:rsidRPr="00AE7485" w14:paraId="1B5F0070" w14:textId="77777777" w:rsidTr="00B86BDE">
        <w:trPr>
          <w:trHeight w:val="262"/>
        </w:trPr>
        <w:tc>
          <w:tcPr>
            <w:tcW w:w="318" w:type="pct"/>
            <w:shd w:val="clear" w:color="auto" w:fill="auto"/>
            <w:vAlign w:val="center"/>
          </w:tcPr>
          <w:p w14:paraId="7060955B"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11.4.6.</w:t>
            </w:r>
          </w:p>
        </w:tc>
        <w:tc>
          <w:tcPr>
            <w:tcW w:w="4682" w:type="pct"/>
            <w:gridSpan w:val="2"/>
            <w:shd w:val="clear" w:color="auto" w:fill="auto"/>
            <w:vAlign w:val="center"/>
          </w:tcPr>
          <w:p w14:paraId="444EBABF"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Банк вправе приостановить в отношении Клиента действие Сервиса в одностороннем порядке при обнаружении признаков злоупотребления правом на его использование.</w:t>
            </w:r>
          </w:p>
        </w:tc>
      </w:tr>
      <w:tr w:rsidR="00AE7485" w:rsidRPr="00AE7485" w14:paraId="3DAEA689" w14:textId="77777777" w:rsidTr="00B86BDE">
        <w:trPr>
          <w:trHeight w:val="262"/>
        </w:trPr>
        <w:tc>
          <w:tcPr>
            <w:tcW w:w="318" w:type="pct"/>
            <w:shd w:val="clear" w:color="auto" w:fill="auto"/>
            <w:vAlign w:val="center"/>
          </w:tcPr>
          <w:p w14:paraId="26A0945E"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11.4.7.</w:t>
            </w:r>
          </w:p>
        </w:tc>
        <w:tc>
          <w:tcPr>
            <w:tcW w:w="4682" w:type="pct"/>
            <w:gridSpan w:val="2"/>
            <w:shd w:val="clear" w:color="auto" w:fill="auto"/>
            <w:vAlign w:val="center"/>
          </w:tcPr>
          <w:p w14:paraId="79689F27"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При расторжении Программы (по любой из причин) Сервис не предоставляется с даты принятия Банком Заявления о расторжении Программы банковских услуг «Статус».</w:t>
            </w:r>
          </w:p>
        </w:tc>
      </w:tr>
      <w:tr w:rsidR="00AE7485" w:rsidRPr="00AE7485" w14:paraId="62B02AD1" w14:textId="77777777" w:rsidTr="00B86BDE">
        <w:trPr>
          <w:trHeight w:val="262"/>
        </w:trPr>
        <w:tc>
          <w:tcPr>
            <w:tcW w:w="318" w:type="pct"/>
            <w:shd w:val="clear" w:color="auto" w:fill="auto"/>
            <w:vAlign w:val="center"/>
          </w:tcPr>
          <w:p w14:paraId="7037A9E9" w14:textId="77777777" w:rsidR="00AE7485" w:rsidRPr="00AE7485" w:rsidRDefault="00AE7485" w:rsidP="00AE7485">
            <w:pPr>
              <w:tabs>
                <w:tab w:val="left" w:pos="284"/>
              </w:tabs>
              <w:rPr>
                <w:rFonts w:ascii="Tahoma" w:hAnsi="Tahoma" w:cs="Tahoma"/>
                <w:bCs/>
                <w:iCs/>
                <w:sz w:val="22"/>
                <w:szCs w:val="22"/>
              </w:rPr>
            </w:pPr>
            <w:r w:rsidRPr="00AE7485">
              <w:rPr>
                <w:rFonts w:ascii="Tahoma" w:hAnsi="Tahoma" w:cs="Tahoma"/>
                <w:bCs/>
                <w:iCs/>
                <w:sz w:val="22"/>
                <w:szCs w:val="22"/>
              </w:rPr>
              <w:t>11.4.8.</w:t>
            </w:r>
          </w:p>
        </w:tc>
        <w:tc>
          <w:tcPr>
            <w:tcW w:w="4682" w:type="pct"/>
            <w:gridSpan w:val="2"/>
            <w:shd w:val="clear" w:color="auto" w:fill="auto"/>
            <w:vAlign w:val="center"/>
          </w:tcPr>
          <w:p w14:paraId="227E4F2D" w14:textId="77777777" w:rsidR="00AE7485" w:rsidRPr="00AE7485" w:rsidRDefault="00AE7485" w:rsidP="00AE7485">
            <w:pPr>
              <w:tabs>
                <w:tab w:val="left" w:pos="4889"/>
              </w:tabs>
              <w:rPr>
                <w:rFonts w:ascii="Tahoma" w:hAnsi="Tahoma" w:cs="Tahoma"/>
                <w:bCs/>
                <w:iCs/>
                <w:sz w:val="22"/>
                <w:szCs w:val="22"/>
              </w:rPr>
            </w:pPr>
            <w:r w:rsidRPr="00AE7485">
              <w:rPr>
                <w:rFonts w:ascii="Tahoma" w:hAnsi="Tahoma" w:cs="Tahoma"/>
                <w:bCs/>
                <w:iCs/>
                <w:sz w:val="22"/>
                <w:szCs w:val="22"/>
              </w:rPr>
              <w:t xml:space="preserve">При закрытии последней из Карт типа Мир </w:t>
            </w:r>
            <w:r w:rsidRPr="00AE7485">
              <w:rPr>
                <w:rFonts w:ascii="Tahoma" w:hAnsi="Tahoma" w:cs="Tahoma"/>
                <w:bCs/>
                <w:iCs/>
                <w:sz w:val="22"/>
                <w:szCs w:val="22"/>
                <w:lang w:val="en-US"/>
              </w:rPr>
              <w:t>Supreme</w:t>
            </w:r>
            <w:r w:rsidRPr="00AE7485">
              <w:rPr>
                <w:rFonts w:ascii="Tahoma" w:hAnsi="Tahoma" w:cs="Tahoma"/>
                <w:bCs/>
                <w:iCs/>
                <w:sz w:val="22"/>
                <w:szCs w:val="22"/>
              </w:rPr>
              <w:t xml:space="preserve"> (по любой из причин), оформленной на имя Клиента в рамках Программы, Сервис не предоставляется с даты принятия Банком Заявления о закрытии банковской (платежной) карты.</w:t>
            </w:r>
          </w:p>
        </w:tc>
      </w:tr>
    </w:tbl>
    <w:p w14:paraId="6BBF54CB" w14:textId="77777777" w:rsidR="00AE7485" w:rsidRPr="00AE7485" w:rsidRDefault="00AE7485" w:rsidP="00F46A82">
      <w:pPr>
        <w:spacing w:line="259" w:lineRule="auto"/>
        <w:rPr>
          <w:rFonts w:ascii="Tahoma" w:eastAsia="Calibri" w:hAnsi="Tahoma" w:cs="Tahoma"/>
          <w:bCs/>
          <w:iCs/>
          <w:sz w:val="18"/>
          <w:szCs w:val="18"/>
          <w:lang w:eastAsia="en-US"/>
        </w:rPr>
      </w:pPr>
    </w:p>
    <w:p w14:paraId="1C8DB8D0" w14:textId="3C912F6C" w:rsidR="00F46A82" w:rsidRPr="00F46A82" w:rsidRDefault="000B3718" w:rsidP="000B3718">
      <w:pPr>
        <w:pStyle w:val="a5"/>
      </w:pPr>
      <w:r>
        <w:t xml:space="preserve">4.7.3. </w:t>
      </w:r>
      <w:r w:rsidR="00F46A82" w:rsidRPr="00F46A82">
        <w:t>Тариф «Накопительный счет Статус» с 07.10.2024г.</w:t>
      </w:r>
    </w:p>
    <w:p w14:paraId="03F7D5B0" w14:textId="77777777" w:rsidR="00F46A82" w:rsidRPr="00F46A82" w:rsidRDefault="00F46A82" w:rsidP="00F46A82">
      <w:pPr>
        <w:spacing w:line="259" w:lineRule="auto"/>
        <w:rPr>
          <w:rFonts w:ascii="Tahoma" w:eastAsia="Calibri" w:hAnsi="Tahoma" w:cs="Tahoma"/>
          <w:sz w:val="28"/>
          <w:szCs w:val="28"/>
          <w:lang w:eastAsia="en-US"/>
        </w:rPr>
      </w:pPr>
    </w:p>
    <w:tbl>
      <w:tblPr>
        <w:tblW w:w="4999" w:type="pct"/>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2"/>
        <w:gridCol w:w="5575"/>
        <w:gridCol w:w="8587"/>
      </w:tblGrid>
      <w:tr w:rsidR="00F46A82" w:rsidRPr="00F46A82" w14:paraId="756DD9C7" w14:textId="77777777" w:rsidTr="003D2438">
        <w:trPr>
          <w:trHeight w:val="377"/>
          <w:tblHeader/>
        </w:trPr>
        <w:tc>
          <w:tcPr>
            <w:tcW w:w="318" w:type="pct"/>
            <w:tcBorders>
              <w:top w:val="single" w:sz="4" w:space="0" w:color="auto"/>
              <w:left w:val="single" w:sz="4" w:space="0" w:color="auto"/>
              <w:right w:val="single" w:sz="4" w:space="0" w:color="auto"/>
            </w:tcBorders>
            <w:shd w:val="clear" w:color="auto" w:fill="5C5C5C"/>
            <w:vAlign w:val="center"/>
          </w:tcPr>
          <w:p w14:paraId="55CD7769" w14:textId="77777777" w:rsidR="00F46A82" w:rsidRPr="00F46A82" w:rsidRDefault="00F46A82" w:rsidP="00F46A82">
            <w:pPr>
              <w:tabs>
                <w:tab w:val="left" w:pos="284"/>
              </w:tabs>
              <w:jc w:val="center"/>
              <w:rPr>
                <w:rFonts w:ascii="Tahoma" w:hAnsi="Tahoma" w:cs="Tahoma"/>
                <w:b/>
                <w:bCs/>
                <w:iCs/>
                <w:color w:val="FFFFFF"/>
                <w:sz w:val="22"/>
              </w:rPr>
            </w:pPr>
            <w:r w:rsidRPr="00F46A82">
              <w:rPr>
                <w:rFonts w:ascii="Tahoma" w:hAnsi="Tahoma" w:cs="Tahoma"/>
                <w:b/>
                <w:bCs/>
                <w:iCs/>
                <w:color w:val="FFFFFF"/>
                <w:sz w:val="22"/>
              </w:rPr>
              <w:t>№ пп</w:t>
            </w:r>
          </w:p>
        </w:tc>
        <w:tc>
          <w:tcPr>
            <w:tcW w:w="1843" w:type="pct"/>
            <w:tcBorders>
              <w:top w:val="single" w:sz="4" w:space="0" w:color="auto"/>
              <w:left w:val="single" w:sz="4" w:space="0" w:color="auto"/>
              <w:right w:val="single" w:sz="4" w:space="0" w:color="auto"/>
            </w:tcBorders>
            <w:shd w:val="clear" w:color="auto" w:fill="5C5C5C"/>
            <w:vAlign w:val="center"/>
          </w:tcPr>
          <w:p w14:paraId="466AD302" w14:textId="77777777" w:rsidR="00F46A82" w:rsidRPr="00F46A82" w:rsidRDefault="00F46A82" w:rsidP="00F46A82">
            <w:pPr>
              <w:tabs>
                <w:tab w:val="left" w:pos="284"/>
              </w:tabs>
              <w:jc w:val="center"/>
              <w:rPr>
                <w:rFonts w:ascii="Tahoma" w:hAnsi="Tahoma" w:cs="Tahoma"/>
                <w:b/>
                <w:bCs/>
                <w:iCs/>
                <w:color w:val="FFFFFF"/>
                <w:sz w:val="22"/>
              </w:rPr>
            </w:pPr>
            <w:r w:rsidRPr="00F46A82">
              <w:rPr>
                <w:rFonts w:ascii="Tahoma" w:hAnsi="Tahoma" w:cs="Tahoma"/>
                <w:b/>
                <w:bCs/>
                <w:iCs/>
                <w:color w:val="FFFFFF"/>
                <w:sz w:val="22"/>
              </w:rPr>
              <w:t>БАНКОВСКИЕ УСЛУГИ</w:t>
            </w:r>
          </w:p>
        </w:tc>
        <w:tc>
          <w:tcPr>
            <w:tcW w:w="2839" w:type="pct"/>
            <w:tcBorders>
              <w:left w:val="single" w:sz="4" w:space="0" w:color="auto"/>
            </w:tcBorders>
            <w:shd w:val="clear" w:color="auto" w:fill="5C5C5C"/>
            <w:vAlign w:val="center"/>
          </w:tcPr>
          <w:p w14:paraId="0B2DC1BB" w14:textId="77777777" w:rsidR="00F46A82" w:rsidRPr="00F46A82" w:rsidRDefault="00F46A82" w:rsidP="00F46A82">
            <w:pPr>
              <w:tabs>
                <w:tab w:val="left" w:pos="284"/>
              </w:tabs>
              <w:jc w:val="center"/>
              <w:rPr>
                <w:rFonts w:ascii="Tahoma" w:hAnsi="Tahoma" w:cs="Tahoma"/>
                <w:b/>
                <w:bCs/>
                <w:iCs/>
                <w:color w:val="FFFFFF"/>
                <w:sz w:val="22"/>
              </w:rPr>
            </w:pPr>
            <w:r w:rsidRPr="00F46A82">
              <w:rPr>
                <w:rFonts w:ascii="Tahoma" w:hAnsi="Tahoma" w:cs="Tahoma"/>
                <w:b/>
                <w:bCs/>
                <w:iCs/>
                <w:color w:val="FFFFFF"/>
                <w:sz w:val="22"/>
              </w:rPr>
              <w:t>ТАРИФЫ (КОМИССИОННОЕ ВОЗНАГРАЖДЕНИЕ БАНКА)</w:t>
            </w:r>
            <w:r w:rsidRPr="00F46A82">
              <w:rPr>
                <w:rFonts w:ascii="Tahoma" w:hAnsi="Tahoma" w:cs="Tahoma"/>
                <w:b/>
                <w:bCs/>
                <w:iCs/>
                <w:color w:val="FFFFFF"/>
                <w:sz w:val="22"/>
                <w:vertAlign w:val="superscript"/>
              </w:rPr>
              <w:footnoteReference w:id="218"/>
            </w:r>
            <w:r w:rsidRPr="00F46A82">
              <w:rPr>
                <w:rFonts w:ascii="Tahoma" w:hAnsi="Tahoma" w:cs="Tahoma"/>
                <w:b/>
                <w:bCs/>
                <w:iCs/>
                <w:color w:val="FFFFFF"/>
                <w:sz w:val="22"/>
                <w:vertAlign w:val="superscript"/>
              </w:rPr>
              <w:t>,</w:t>
            </w:r>
            <w:r w:rsidRPr="00F46A82">
              <w:rPr>
                <w:rFonts w:ascii="Tahoma" w:hAnsi="Tahoma" w:cs="Tahoma"/>
                <w:b/>
                <w:bCs/>
                <w:iCs/>
                <w:color w:val="FFFFFF"/>
                <w:sz w:val="22"/>
                <w:vertAlign w:val="superscript"/>
              </w:rPr>
              <w:footnoteReference w:id="219"/>
            </w:r>
          </w:p>
        </w:tc>
      </w:tr>
      <w:tr w:rsidR="00F46A82" w:rsidRPr="00F46A82" w14:paraId="29CC6CA6" w14:textId="77777777" w:rsidTr="003D2438">
        <w:tc>
          <w:tcPr>
            <w:tcW w:w="318" w:type="pct"/>
            <w:shd w:val="clear" w:color="auto" w:fill="5C5C5C"/>
            <w:vAlign w:val="center"/>
          </w:tcPr>
          <w:p w14:paraId="1248A600" w14:textId="77777777" w:rsidR="00F46A82" w:rsidRPr="00F46A82" w:rsidRDefault="00F46A82" w:rsidP="00F46A82">
            <w:pPr>
              <w:tabs>
                <w:tab w:val="left" w:pos="284"/>
              </w:tabs>
              <w:rPr>
                <w:rFonts w:ascii="Tahoma" w:hAnsi="Tahoma" w:cs="Tahoma"/>
                <w:bCs/>
                <w:iCs/>
                <w:color w:val="FFFFFF"/>
                <w:sz w:val="22"/>
              </w:rPr>
            </w:pPr>
            <w:r w:rsidRPr="00F46A82">
              <w:rPr>
                <w:rFonts w:ascii="Tahoma" w:hAnsi="Tahoma" w:cs="Tahoma"/>
                <w:bCs/>
                <w:iCs/>
                <w:color w:val="FFFFFF"/>
                <w:sz w:val="22"/>
              </w:rPr>
              <w:t>1.</w:t>
            </w:r>
          </w:p>
        </w:tc>
        <w:tc>
          <w:tcPr>
            <w:tcW w:w="4682" w:type="pct"/>
            <w:gridSpan w:val="2"/>
            <w:shd w:val="clear" w:color="auto" w:fill="5C5C5C"/>
            <w:vAlign w:val="center"/>
          </w:tcPr>
          <w:p w14:paraId="08150779" w14:textId="77777777" w:rsidR="00F46A82" w:rsidRPr="00F46A82" w:rsidRDefault="00F46A82" w:rsidP="00F46A82">
            <w:pPr>
              <w:tabs>
                <w:tab w:val="left" w:pos="284"/>
              </w:tabs>
              <w:rPr>
                <w:rFonts w:ascii="Tahoma" w:hAnsi="Tahoma" w:cs="Tahoma"/>
                <w:bCs/>
                <w:iCs/>
                <w:color w:val="E36C0A"/>
                <w:sz w:val="22"/>
              </w:rPr>
            </w:pPr>
            <w:r w:rsidRPr="00F46A82">
              <w:rPr>
                <w:rFonts w:ascii="Tahoma" w:hAnsi="Tahoma" w:cs="Tahoma"/>
                <w:bCs/>
                <w:iCs/>
                <w:color w:val="FFFFFF"/>
                <w:sz w:val="22"/>
              </w:rPr>
              <w:t>Условия предоставления и обслуживания Накопительного счета «Статус» (далее – Накопительный счет</w:t>
            </w:r>
            <w:r w:rsidRPr="00F46A82">
              <w:rPr>
                <w:rFonts w:ascii="Tahoma" w:hAnsi="Tahoma" w:cs="Tahoma"/>
                <w:bCs/>
                <w:iCs/>
                <w:color w:val="FFFFFF"/>
                <w:sz w:val="22"/>
                <w:vertAlign w:val="superscript"/>
              </w:rPr>
              <w:footnoteReference w:id="220"/>
            </w:r>
            <w:r w:rsidRPr="00F46A82">
              <w:rPr>
                <w:rFonts w:ascii="Tahoma" w:hAnsi="Tahoma" w:cs="Tahoma"/>
                <w:bCs/>
                <w:iCs/>
                <w:color w:val="FFFFFF"/>
                <w:sz w:val="22"/>
              </w:rPr>
              <w:t>)</w:t>
            </w:r>
          </w:p>
        </w:tc>
      </w:tr>
      <w:tr w:rsidR="00F46A82" w:rsidRPr="00F46A82" w14:paraId="79F15983" w14:textId="77777777" w:rsidTr="003D2438">
        <w:tc>
          <w:tcPr>
            <w:tcW w:w="318" w:type="pct"/>
            <w:shd w:val="clear" w:color="auto" w:fill="auto"/>
            <w:vAlign w:val="center"/>
          </w:tcPr>
          <w:p w14:paraId="2270DEEB" w14:textId="77777777" w:rsidR="00F46A82" w:rsidRPr="00F46A82" w:rsidRDefault="00F46A82" w:rsidP="00F46A82">
            <w:pPr>
              <w:tabs>
                <w:tab w:val="left" w:pos="284"/>
              </w:tabs>
              <w:rPr>
                <w:rFonts w:ascii="Tahoma" w:hAnsi="Tahoma" w:cs="Tahoma"/>
                <w:bCs/>
                <w:iCs/>
                <w:color w:val="000000"/>
                <w:sz w:val="22"/>
                <w:szCs w:val="22"/>
              </w:rPr>
            </w:pPr>
            <w:r w:rsidRPr="00F46A82">
              <w:rPr>
                <w:rFonts w:ascii="Tahoma" w:hAnsi="Tahoma" w:cs="Tahoma"/>
                <w:bCs/>
                <w:iCs/>
                <w:color w:val="000000"/>
                <w:sz w:val="22"/>
                <w:szCs w:val="22"/>
              </w:rPr>
              <w:t>1.1.</w:t>
            </w:r>
          </w:p>
        </w:tc>
        <w:tc>
          <w:tcPr>
            <w:tcW w:w="1843" w:type="pct"/>
            <w:shd w:val="clear" w:color="auto" w:fill="auto"/>
            <w:vAlign w:val="center"/>
          </w:tcPr>
          <w:p w14:paraId="5F24A334" w14:textId="77777777" w:rsidR="00F46A82" w:rsidRPr="00F46A82" w:rsidRDefault="00F46A82" w:rsidP="00F46A82">
            <w:pPr>
              <w:rPr>
                <w:rFonts w:ascii="Tahoma" w:hAnsi="Tahoma" w:cs="Tahoma"/>
                <w:b/>
                <w:bCs/>
                <w:iCs/>
                <w:color w:val="E36C0A"/>
                <w:sz w:val="22"/>
                <w:szCs w:val="22"/>
              </w:rPr>
            </w:pPr>
            <w:r w:rsidRPr="00F46A82">
              <w:rPr>
                <w:rFonts w:ascii="Tahoma" w:hAnsi="Tahoma" w:cs="Tahoma"/>
                <w:color w:val="000000"/>
                <w:sz w:val="22"/>
                <w:szCs w:val="22"/>
              </w:rPr>
              <w:t xml:space="preserve">Пользователь услуги </w:t>
            </w:r>
          </w:p>
        </w:tc>
        <w:tc>
          <w:tcPr>
            <w:tcW w:w="2839" w:type="pct"/>
            <w:shd w:val="clear" w:color="auto" w:fill="auto"/>
            <w:vAlign w:val="center"/>
          </w:tcPr>
          <w:p w14:paraId="1B95E6D2" w14:textId="77777777" w:rsidR="00F46A82" w:rsidRPr="00F46A82" w:rsidRDefault="00F46A82" w:rsidP="00F46A82">
            <w:pPr>
              <w:tabs>
                <w:tab w:val="left" w:pos="4889"/>
              </w:tabs>
              <w:jc w:val="center"/>
              <w:rPr>
                <w:rFonts w:ascii="Tahoma" w:hAnsi="Tahoma" w:cs="Tahoma"/>
                <w:bCs/>
                <w:iCs/>
                <w:sz w:val="22"/>
                <w:szCs w:val="22"/>
              </w:rPr>
            </w:pPr>
            <w:r w:rsidRPr="00F46A82">
              <w:rPr>
                <w:rFonts w:ascii="Tahoma" w:hAnsi="Tahoma" w:cs="Tahoma"/>
                <w:bCs/>
                <w:iCs/>
                <w:sz w:val="22"/>
                <w:szCs w:val="22"/>
              </w:rPr>
              <w:t xml:space="preserve">Физическое лицо (далее – Клиент), заключившее с Банком Договор ТБС (Текущего банковского счета), в рамках которого открывается Накопительный счет (далее – Договор) после заключения Договора Карты в рамках Программы банковских услуг «Статус» (далее – Программа). </w:t>
            </w:r>
          </w:p>
          <w:p w14:paraId="60C4D377" w14:textId="77777777" w:rsidR="00F46A82" w:rsidRPr="00F46A82" w:rsidRDefault="00F46A82" w:rsidP="00F46A82">
            <w:pPr>
              <w:tabs>
                <w:tab w:val="left" w:pos="4889"/>
              </w:tabs>
              <w:jc w:val="center"/>
              <w:rPr>
                <w:rFonts w:ascii="Tahoma" w:hAnsi="Tahoma" w:cs="Tahoma"/>
                <w:bCs/>
                <w:iCs/>
                <w:sz w:val="22"/>
                <w:szCs w:val="22"/>
              </w:rPr>
            </w:pPr>
            <w:r w:rsidRPr="00F46A82">
              <w:rPr>
                <w:rFonts w:ascii="Tahoma" w:hAnsi="Tahoma" w:cs="Tahoma"/>
                <w:bCs/>
                <w:iCs/>
                <w:sz w:val="22"/>
                <w:szCs w:val="22"/>
              </w:rPr>
              <w:t>При расторжении Программы (по любой из причин) Договор прекращает свое действие с даты принятия Банком Заявления о расторжении Программы банковских услуг «Статус», закрывается Накопительный счет, проценты за неполный Отчетный период по Накопительному счету Банком не выплачиваются.</w:t>
            </w:r>
          </w:p>
        </w:tc>
      </w:tr>
      <w:tr w:rsidR="00F46A82" w:rsidRPr="00F46A82" w14:paraId="7423845D" w14:textId="77777777" w:rsidTr="003D2438">
        <w:tc>
          <w:tcPr>
            <w:tcW w:w="318" w:type="pct"/>
            <w:shd w:val="clear" w:color="auto" w:fill="auto"/>
            <w:vAlign w:val="center"/>
          </w:tcPr>
          <w:p w14:paraId="3B03FC43" w14:textId="77777777" w:rsidR="00F46A82" w:rsidRPr="00F46A82" w:rsidRDefault="00F46A82" w:rsidP="00F46A82">
            <w:pPr>
              <w:tabs>
                <w:tab w:val="left" w:pos="284"/>
              </w:tabs>
              <w:rPr>
                <w:rFonts w:ascii="Tahoma" w:hAnsi="Tahoma" w:cs="Tahoma"/>
                <w:bCs/>
                <w:iCs/>
                <w:color w:val="000000"/>
                <w:sz w:val="22"/>
                <w:szCs w:val="22"/>
              </w:rPr>
            </w:pPr>
            <w:r w:rsidRPr="00F46A82">
              <w:rPr>
                <w:rFonts w:ascii="Tahoma" w:hAnsi="Tahoma" w:cs="Tahoma"/>
                <w:bCs/>
                <w:iCs/>
                <w:color w:val="000000"/>
                <w:sz w:val="22"/>
                <w:szCs w:val="22"/>
              </w:rPr>
              <w:t>1.2.</w:t>
            </w:r>
          </w:p>
        </w:tc>
        <w:tc>
          <w:tcPr>
            <w:tcW w:w="1843" w:type="pct"/>
            <w:shd w:val="clear" w:color="auto" w:fill="auto"/>
            <w:vAlign w:val="center"/>
          </w:tcPr>
          <w:p w14:paraId="22F171FB"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Стоимость открытия и обслуживания Накопительного счета</w:t>
            </w:r>
          </w:p>
        </w:tc>
        <w:tc>
          <w:tcPr>
            <w:tcW w:w="2839" w:type="pct"/>
            <w:shd w:val="clear" w:color="auto" w:fill="auto"/>
            <w:vAlign w:val="center"/>
          </w:tcPr>
          <w:p w14:paraId="23AE6348" w14:textId="77777777" w:rsidR="00F46A82" w:rsidRPr="00F46A82" w:rsidRDefault="00F46A82" w:rsidP="00F46A82">
            <w:pPr>
              <w:tabs>
                <w:tab w:val="left" w:pos="4889"/>
              </w:tabs>
              <w:jc w:val="center"/>
              <w:rPr>
                <w:rFonts w:ascii="Tahoma" w:hAnsi="Tahoma" w:cs="Tahoma"/>
                <w:b/>
                <w:bCs/>
                <w:sz w:val="22"/>
                <w:szCs w:val="22"/>
              </w:rPr>
            </w:pPr>
            <w:r w:rsidRPr="00F46A82">
              <w:rPr>
                <w:rFonts w:ascii="Tahoma" w:hAnsi="Tahoma" w:cs="Tahoma"/>
                <w:b/>
                <w:bCs/>
                <w:sz w:val="22"/>
                <w:szCs w:val="22"/>
              </w:rPr>
              <w:t>БЕСПЛАТНО</w:t>
            </w:r>
          </w:p>
        </w:tc>
      </w:tr>
      <w:tr w:rsidR="00F46A82" w:rsidRPr="00F46A82" w14:paraId="3A646072" w14:textId="77777777" w:rsidTr="003D2438">
        <w:trPr>
          <w:trHeight w:val="201"/>
        </w:trPr>
        <w:tc>
          <w:tcPr>
            <w:tcW w:w="318" w:type="pct"/>
            <w:shd w:val="clear" w:color="auto" w:fill="auto"/>
            <w:vAlign w:val="center"/>
          </w:tcPr>
          <w:p w14:paraId="1199E15E" w14:textId="77777777" w:rsidR="00F46A82" w:rsidRPr="00F46A82" w:rsidRDefault="00F46A82" w:rsidP="00F46A82">
            <w:pPr>
              <w:tabs>
                <w:tab w:val="left" w:pos="284"/>
              </w:tabs>
              <w:rPr>
                <w:rFonts w:ascii="Tahoma" w:hAnsi="Tahoma" w:cs="Tahoma"/>
                <w:bCs/>
                <w:iCs/>
                <w:color w:val="000000"/>
                <w:sz w:val="22"/>
                <w:szCs w:val="22"/>
              </w:rPr>
            </w:pPr>
            <w:r w:rsidRPr="00F46A82">
              <w:rPr>
                <w:rFonts w:ascii="Tahoma" w:hAnsi="Tahoma" w:cs="Tahoma"/>
                <w:bCs/>
                <w:iCs/>
                <w:color w:val="000000"/>
                <w:sz w:val="22"/>
                <w:szCs w:val="22"/>
              </w:rPr>
              <w:t>1.3.</w:t>
            </w:r>
          </w:p>
        </w:tc>
        <w:tc>
          <w:tcPr>
            <w:tcW w:w="1843" w:type="pct"/>
            <w:shd w:val="clear" w:color="auto" w:fill="auto"/>
            <w:vAlign w:val="center"/>
          </w:tcPr>
          <w:p w14:paraId="5767971B"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Минимальная сумма первого пополнения Накопительного счета</w:t>
            </w:r>
          </w:p>
        </w:tc>
        <w:tc>
          <w:tcPr>
            <w:tcW w:w="2839" w:type="pct"/>
            <w:vMerge w:val="restart"/>
            <w:shd w:val="clear" w:color="auto" w:fill="auto"/>
            <w:vAlign w:val="center"/>
          </w:tcPr>
          <w:p w14:paraId="3C1CDD59" w14:textId="77777777" w:rsidR="00F46A82" w:rsidRPr="00F46A82" w:rsidRDefault="00F46A82" w:rsidP="00F46A82">
            <w:pPr>
              <w:tabs>
                <w:tab w:val="left" w:pos="4889"/>
              </w:tabs>
              <w:jc w:val="center"/>
              <w:rPr>
                <w:rFonts w:ascii="Tahoma" w:hAnsi="Tahoma" w:cs="Tahoma"/>
                <w:b/>
                <w:bCs/>
                <w:sz w:val="22"/>
                <w:szCs w:val="22"/>
              </w:rPr>
            </w:pPr>
            <w:r w:rsidRPr="00F46A82">
              <w:rPr>
                <w:rFonts w:ascii="Tahoma" w:hAnsi="Tahoma" w:cs="Tahoma"/>
                <w:b/>
                <w:bCs/>
                <w:sz w:val="22"/>
                <w:szCs w:val="22"/>
              </w:rPr>
              <w:t>Без ограничений</w:t>
            </w:r>
          </w:p>
        </w:tc>
      </w:tr>
      <w:tr w:rsidR="00F46A82" w:rsidRPr="00F46A82" w14:paraId="09465001" w14:textId="77777777" w:rsidTr="003D2438">
        <w:tc>
          <w:tcPr>
            <w:tcW w:w="318" w:type="pct"/>
            <w:shd w:val="clear" w:color="auto" w:fill="auto"/>
            <w:vAlign w:val="center"/>
          </w:tcPr>
          <w:p w14:paraId="37D4C956" w14:textId="77777777" w:rsidR="00F46A82" w:rsidRPr="00F46A82" w:rsidRDefault="00F46A82" w:rsidP="00F46A82">
            <w:pPr>
              <w:tabs>
                <w:tab w:val="left" w:pos="284"/>
              </w:tabs>
              <w:rPr>
                <w:rFonts w:ascii="Tahoma" w:hAnsi="Tahoma" w:cs="Tahoma"/>
                <w:bCs/>
                <w:iCs/>
                <w:color w:val="000000"/>
                <w:sz w:val="22"/>
                <w:szCs w:val="22"/>
                <w:lang w:val="en-US"/>
              </w:rPr>
            </w:pPr>
            <w:r w:rsidRPr="00F46A82">
              <w:rPr>
                <w:rFonts w:ascii="Tahoma" w:hAnsi="Tahoma" w:cs="Tahoma"/>
                <w:bCs/>
                <w:iCs/>
                <w:color w:val="000000"/>
                <w:sz w:val="22"/>
                <w:szCs w:val="22"/>
                <w:lang w:val="en-US"/>
              </w:rPr>
              <w:t>1.4.</w:t>
            </w:r>
          </w:p>
        </w:tc>
        <w:tc>
          <w:tcPr>
            <w:tcW w:w="1843" w:type="pct"/>
            <w:shd w:val="clear" w:color="auto" w:fill="auto"/>
            <w:vAlign w:val="center"/>
          </w:tcPr>
          <w:p w14:paraId="793CAC80"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Максимальная сумма первого пополнения Накопительного счета</w:t>
            </w:r>
          </w:p>
        </w:tc>
        <w:tc>
          <w:tcPr>
            <w:tcW w:w="2839" w:type="pct"/>
            <w:vMerge/>
            <w:shd w:val="clear" w:color="auto" w:fill="auto"/>
            <w:vAlign w:val="center"/>
          </w:tcPr>
          <w:p w14:paraId="27B2968C" w14:textId="77777777" w:rsidR="00F46A82" w:rsidRPr="00F46A82" w:rsidRDefault="00F46A82" w:rsidP="00F46A82">
            <w:pPr>
              <w:tabs>
                <w:tab w:val="left" w:pos="4889"/>
              </w:tabs>
              <w:rPr>
                <w:rFonts w:ascii="Tahoma" w:hAnsi="Tahoma" w:cs="Tahoma"/>
                <w:b/>
                <w:bCs/>
                <w:sz w:val="22"/>
              </w:rPr>
            </w:pPr>
          </w:p>
        </w:tc>
      </w:tr>
      <w:tr w:rsidR="00F46A82" w:rsidRPr="00F46A82" w14:paraId="07458E8E" w14:textId="77777777" w:rsidTr="003D2438">
        <w:tc>
          <w:tcPr>
            <w:tcW w:w="318" w:type="pct"/>
            <w:shd w:val="clear" w:color="auto" w:fill="auto"/>
            <w:vAlign w:val="center"/>
          </w:tcPr>
          <w:p w14:paraId="6977F35A" w14:textId="77777777" w:rsidR="00F46A82" w:rsidRPr="00F46A82" w:rsidRDefault="00F46A82" w:rsidP="00F46A82">
            <w:pPr>
              <w:tabs>
                <w:tab w:val="left" w:pos="284"/>
              </w:tabs>
              <w:rPr>
                <w:rFonts w:ascii="Tahoma" w:hAnsi="Tahoma" w:cs="Tahoma"/>
                <w:bCs/>
                <w:iCs/>
                <w:color w:val="000000"/>
                <w:sz w:val="22"/>
                <w:szCs w:val="22"/>
                <w:lang w:val="en-US"/>
              </w:rPr>
            </w:pPr>
            <w:r w:rsidRPr="00F46A82">
              <w:rPr>
                <w:rFonts w:ascii="Tahoma" w:hAnsi="Tahoma" w:cs="Tahoma"/>
                <w:bCs/>
                <w:iCs/>
                <w:color w:val="000000"/>
                <w:sz w:val="22"/>
                <w:szCs w:val="22"/>
                <w:lang w:val="en-US"/>
              </w:rPr>
              <w:t>1.5.</w:t>
            </w:r>
          </w:p>
        </w:tc>
        <w:tc>
          <w:tcPr>
            <w:tcW w:w="1843" w:type="pct"/>
            <w:shd w:val="clear" w:color="auto" w:fill="auto"/>
            <w:vAlign w:val="center"/>
          </w:tcPr>
          <w:p w14:paraId="39BFBE5B"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Срок размещения денежных средств на Накопительном счете</w:t>
            </w:r>
          </w:p>
        </w:tc>
        <w:tc>
          <w:tcPr>
            <w:tcW w:w="2839" w:type="pct"/>
            <w:vMerge/>
            <w:shd w:val="clear" w:color="auto" w:fill="auto"/>
            <w:vAlign w:val="center"/>
          </w:tcPr>
          <w:p w14:paraId="0BF669CD" w14:textId="77777777" w:rsidR="00F46A82" w:rsidRPr="00F46A82" w:rsidRDefault="00F46A82" w:rsidP="00F46A82">
            <w:pPr>
              <w:tabs>
                <w:tab w:val="left" w:pos="4889"/>
              </w:tabs>
              <w:rPr>
                <w:rFonts w:ascii="Tahoma" w:hAnsi="Tahoma" w:cs="Tahoma"/>
                <w:b/>
                <w:bCs/>
                <w:sz w:val="22"/>
              </w:rPr>
            </w:pPr>
          </w:p>
        </w:tc>
      </w:tr>
      <w:tr w:rsidR="00F46A82" w:rsidRPr="00F46A82" w14:paraId="5A9753F7" w14:textId="77777777" w:rsidTr="003D2438">
        <w:tc>
          <w:tcPr>
            <w:tcW w:w="318" w:type="pct"/>
            <w:shd w:val="clear" w:color="auto" w:fill="auto"/>
            <w:vAlign w:val="center"/>
          </w:tcPr>
          <w:p w14:paraId="127A9017" w14:textId="77777777" w:rsidR="00F46A82" w:rsidRPr="00F46A82" w:rsidRDefault="00F46A82" w:rsidP="00F46A82">
            <w:pPr>
              <w:tabs>
                <w:tab w:val="left" w:pos="284"/>
              </w:tabs>
              <w:rPr>
                <w:rFonts w:ascii="Tahoma" w:hAnsi="Tahoma" w:cs="Tahoma"/>
                <w:bCs/>
                <w:iCs/>
                <w:color w:val="000000"/>
                <w:sz w:val="22"/>
                <w:szCs w:val="22"/>
                <w:lang w:val="en-US"/>
              </w:rPr>
            </w:pPr>
            <w:r w:rsidRPr="00F46A82">
              <w:rPr>
                <w:rFonts w:ascii="Tahoma" w:hAnsi="Tahoma" w:cs="Tahoma"/>
                <w:bCs/>
                <w:iCs/>
                <w:color w:val="000000"/>
                <w:sz w:val="22"/>
                <w:szCs w:val="22"/>
                <w:lang w:val="en-US"/>
              </w:rPr>
              <w:t>1.6.</w:t>
            </w:r>
          </w:p>
        </w:tc>
        <w:tc>
          <w:tcPr>
            <w:tcW w:w="1843" w:type="pct"/>
            <w:shd w:val="clear" w:color="auto" w:fill="auto"/>
            <w:vAlign w:val="center"/>
          </w:tcPr>
          <w:p w14:paraId="02F6862B"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Порядок начисления процентов</w:t>
            </w:r>
          </w:p>
        </w:tc>
        <w:tc>
          <w:tcPr>
            <w:tcW w:w="2839" w:type="pct"/>
            <w:shd w:val="clear" w:color="auto" w:fill="auto"/>
            <w:vAlign w:val="center"/>
          </w:tcPr>
          <w:p w14:paraId="4685E1DC" w14:textId="77777777" w:rsidR="00F46A82" w:rsidRPr="00F46A82" w:rsidRDefault="00F46A82" w:rsidP="00F46A82">
            <w:pPr>
              <w:tabs>
                <w:tab w:val="left" w:pos="4889"/>
              </w:tabs>
              <w:jc w:val="center"/>
              <w:rPr>
                <w:rFonts w:ascii="Tahoma" w:hAnsi="Tahoma" w:cs="Tahoma"/>
                <w:bCs/>
                <w:iCs/>
                <w:sz w:val="22"/>
                <w:szCs w:val="22"/>
              </w:rPr>
            </w:pPr>
            <w:r w:rsidRPr="00F46A82">
              <w:rPr>
                <w:rFonts w:ascii="Tahoma" w:hAnsi="Tahoma" w:cs="Tahoma"/>
                <w:bCs/>
                <w:iCs/>
                <w:sz w:val="22"/>
                <w:szCs w:val="22"/>
              </w:rPr>
              <w:t>Начисление процентов на сумму денежных средств, поступившую на Накопительный счет впервые (в том числе первое пополнение Накопительного счета), начинается со дня, следующего за днем поступления этой суммы денежных средств на Накопительный счет.</w:t>
            </w:r>
          </w:p>
          <w:p w14:paraId="19367E48" w14:textId="77777777" w:rsidR="00F46A82" w:rsidRPr="00F46A82" w:rsidRDefault="00F46A82" w:rsidP="00F46A82">
            <w:pPr>
              <w:tabs>
                <w:tab w:val="left" w:pos="4889"/>
              </w:tabs>
              <w:jc w:val="center"/>
              <w:rPr>
                <w:rFonts w:ascii="Tahoma" w:hAnsi="Tahoma" w:cs="Tahoma"/>
                <w:b/>
                <w:bCs/>
                <w:sz w:val="22"/>
              </w:rPr>
            </w:pPr>
            <w:r w:rsidRPr="00F46A82">
              <w:rPr>
                <w:rFonts w:ascii="Tahoma" w:hAnsi="Tahoma" w:cs="Tahoma"/>
                <w:bCs/>
                <w:iCs/>
                <w:sz w:val="22"/>
                <w:szCs w:val="22"/>
              </w:rPr>
              <w:t>Начисление процентной ставки в день открытия Накопительного счета не производится.</w:t>
            </w:r>
          </w:p>
        </w:tc>
      </w:tr>
      <w:tr w:rsidR="00F46A82" w:rsidRPr="00F46A82" w14:paraId="0C42FA45" w14:textId="77777777" w:rsidTr="003D2438">
        <w:trPr>
          <w:trHeight w:val="404"/>
        </w:trPr>
        <w:tc>
          <w:tcPr>
            <w:tcW w:w="318" w:type="pct"/>
            <w:shd w:val="clear" w:color="auto" w:fill="auto"/>
            <w:vAlign w:val="center"/>
          </w:tcPr>
          <w:p w14:paraId="7A7D1354" w14:textId="77777777" w:rsidR="00F46A82" w:rsidRPr="00F46A82" w:rsidRDefault="00F46A82" w:rsidP="00F46A82">
            <w:pPr>
              <w:tabs>
                <w:tab w:val="left" w:pos="284"/>
              </w:tabs>
              <w:rPr>
                <w:rFonts w:ascii="Tahoma" w:hAnsi="Tahoma" w:cs="Tahoma"/>
                <w:bCs/>
                <w:iCs/>
                <w:color w:val="000000"/>
                <w:sz w:val="22"/>
                <w:szCs w:val="22"/>
                <w:lang w:val="en-US"/>
              </w:rPr>
            </w:pPr>
            <w:r w:rsidRPr="00F46A82">
              <w:rPr>
                <w:rFonts w:ascii="Tahoma" w:hAnsi="Tahoma" w:cs="Tahoma"/>
                <w:bCs/>
                <w:iCs/>
                <w:color w:val="000000"/>
                <w:sz w:val="22"/>
                <w:szCs w:val="22"/>
              </w:rPr>
              <w:t>1.7.</w:t>
            </w:r>
          </w:p>
        </w:tc>
        <w:tc>
          <w:tcPr>
            <w:tcW w:w="1843" w:type="pct"/>
            <w:shd w:val="clear" w:color="auto" w:fill="auto"/>
            <w:vAlign w:val="center"/>
          </w:tcPr>
          <w:p w14:paraId="2B5B6D3C"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Периодичность выплаты процентов</w:t>
            </w:r>
          </w:p>
        </w:tc>
        <w:tc>
          <w:tcPr>
            <w:tcW w:w="2839" w:type="pct"/>
            <w:shd w:val="clear" w:color="auto" w:fill="auto"/>
            <w:vAlign w:val="center"/>
          </w:tcPr>
          <w:p w14:paraId="6D7A6A0A" w14:textId="77777777" w:rsidR="00F46A82" w:rsidRPr="00F46A82" w:rsidRDefault="00F46A82" w:rsidP="00F46A82">
            <w:pPr>
              <w:tabs>
                <w:tab w:val="left" w:pos="4889"/>
              </w:tabs>
              <w:jc w:val="center"/>
              <w:rPr>
                <w:rFonts w:ascii="Tahoma" w:hAnsi="Tahoma" w:cs="Tahoma"/>
                <w:bCs/>
                <w:sz w:val="22"/>
              </w:rPr>
            </w:pPr>
            <w:r w:rsidRPr="00F46A82">
              <w:rPr>
                <w:rFonts w:ascii="Tahoma" w:hAnsi="Tahoma" w:cs="Tahoma"/>
                <w:bCs/>
                <w:iCs/>
                <w:sz w:val="22"/>
                <w:szCs w:val="22"/>
              </w:rPr>
              <w:t>Ежемесячно, исходя из процентной ставки, установленной по Накопительному счету и суммы Ежедневного остатка</w:t>
            </w:r>
            <w:r w:rsidRPr="00F46A82">
              <w:rPr>
                <w:rFonts w:ascii="Tahoma" w:eastAsia="Calibri" w:hAnsi="Tahoma" w:cs="Tahoma"/>
                <w:iCs/>
                <w:sz w:val="22"/>
                <w:szCs w:val="22"/>
                <w:vertAlign w:val="superscript"/>
                <w:lang w:eastAsia="en-US"/>
              </w:rPr>
              <w:footnoteReference w:id="221"/>
            </w:r>
            <w:r w:rsidRPr="00F46A82">
              <w:rPr>
                <w:rFonts w:ascii="Tahoma" w:hAnsi="Tahoma" w:cs="Tahoma"/>
                <w:bCs/>
                <w:iCs/>
                <w:sz w:val="22"/>
                <w:szCs w:val="22"/>
              </w:rPr>
              <w:t xml:space="preserve"> денежных средств, находящихся на Накопительном счете в Отчетном периоде</w:t>
            </w:r>
            <w:r w:rsidRPr="00F46A82">
              <w:rPr>
                <w:rFonts w:ascii="Tahoma" w:eastAsia="Calibri" w:hAnsi="Tahoma" w:cs="Tahoma"/>
                <w:iCs/>
                <w:sz w:val="22"/>
                <w:szCs w:val="22"/>
                <w:vertAlign w:val="superscript"/>
                <w:lang w:eastAsia="en-US"/>
              </w:rPr>
              <w:footnoteReference w:id="222"/>
            </w:r>
          </w:p>
        </w:tc>
      </w:tr>
      <w:tr w:rsidR="00F46A82" w:rsidRPr="00F46A82" w14:paraId="37A99C29" w14:textId="77777777" w:rsidTr="003D2438">
        <w:tc>
          <w:tcPr>
            <w:tcW w:w="318" w:type="pct"/>
            <w:shd w:val="clear" w:color="auto" w:fill="auto"/>
            <w:vAlign w:val="center"/>
          </w:tcPr>
          <w:p w14:paraId="0087EDA1" w14:textId="77777777" w:rsidR="00F46A82" w:rsidRPr="00F46A82" w:rsidRDefault="00F46A82" w:rsidP="00F46A82">
            <w:pPr>
              <w:tabs>
                <w:tab w:val="left" w:pos="284"/>
              </w:tabs>
              <w:rPr>
                <w:rFonts w:ascii="Tahoma" w:hAnsi="Tahoma" w:cs="Tahoma"/>
                <w:bCs/>
                <w:iCs/>
                <w:color w:val="000000"/>
                <w:sz w:val="22"/>
                <w:szCs w:val="22"/>
                <w:lang w:val="en-US"/>
              </w:rPr>
            </w:pPr>
            <w:r w:rsidRPr="00F46A82">
              <w:rPr>
                <w:rFonts w:ascii="Tahoma" w:hAnsi="Tahoma" w:cs="Tahoma"/>
                <w:bCs/>
                <w:iCs/>
                <w:color w:val="000000"/>
                <w:sz w:val="22"/>
                <w:szCs w:val="22"/>
              </w:rPr>
              <w:t>1.8.</w:t>
            </w:r>
          </w:p>
        </w:tc>
        <w:tc>
          <w:tcPr>
            <w:tcW w:w="1843" w:type="pct"/>
            <w:shd w:val="clear" w:color="auto" w:fill="auto"/>
            <w:vAlign w:val="center"/>
          </w:tcPr>
          <w:p w14:paraId="79B3F4AE"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Способ выплаты процентов</w:t>
            </w:r>
          </w:p>
        </w:tc>
        <w:tc>
          <w:tcPr>
            <w:tcW w:w="2839" w:type="pct"/>
            <w:shd w:val="clear" w:color="auto" w:fill="auto"/>
            <w:vAlign w:val="center"/>
          </w:tcPr>
          <w:p w14:paraId="07BEA416" w14:textId="77777777" w:rsidR="00F46A82" w:rsidRPr="00F46A82" w:rsidRDefault="00F46A82" w:rsidP="00F46A82">
            <w:pPr>
              <w:tabs>
                <w:tab w:val="left" w:pos="4889"/>
              </w:tabs>
              <w:jc w:val="center"/>
              <w:rPr>
                <w:rFonts w:ascii="Tahoma" w:hAnsi="Tahoma" w:cs="Tahoma"/>
                <w:bCs/>
                <w:iCs/>
                <w:sz w:val="22"/>
                <w:szCs w:val="22"/>
              </w:rPr>
            </w:pPr>
            <w:r w:rsidRPr="00F46A82">
              <w:rPr>
                <w:rFonts w:ascii="Tahoma" w:hAnsi="Tahoma" w:cs="Tahoma"/>
                <w:bCs/>
                <w:iCs/>
                <w:sz w:val="22"/>
                <w:szCs w:val="22"/>
              </w:rPr>
              <w:t>Ежемесячно, проценты причисляются к остатку денежных средств на Накопительном счете</w:t>
            </w:r>
          </w:p>
        </w:tc>
      </w:tr>
      <w:tr w:rsidR="00F46A82" w:rsidRPr="00F46A82" w14:paraId="37FC9DF9" w14:textId="77777777" w:rsidTr="003D2438">
        <w:tc>
          <w:tcPr>
            <w:tcW w:w="318" w:type="pct"/>
            <w:shd w:val="clear" w:color="auto" w:fill="auto"/>
            <w:vAlign w:val="center"/>
          </w:tcPr>
          <w:p w14:paraId="00D8A545" w14:textId="77777777" w:rsidR="00F46A82" w:rsidRPr="00F46A82" w:rsidRDefault="00F46A82" w:rsidP="00F46A82">
            <w:pPr>
              <w:tabs>
                <w:tab w:val="left" w:pos="284"/>
              </w:tabs>
              <w:rPr>
                <w:rFonts w:ascii="Tahoma" w:hAnsi="Tahoma" w:cs="Tahoma"/>
                <w:bCs/>
                <w:iCs/>
                <w:color w:val="000000"/>
                <w:sz w:val="22"/>
                <w:szCs w:val="22"/>
              </w:rPr>
            </w:pPr>
            <w:r w:rsidRPr="00F46A82">
              <w:rPr>
                <w:rFonts w:ascii="Tahoma" w:hAnsi="Tahoma" w:cs="Tahoma"/>
                <w:bCs/>
                <w:iCs/>
                <w:color w:val="000000"/>
                <w:sz w:val="22"/>
                <w:szCs w:val="22"/>
              </w:rPr>
              <w:t>1.9.</w:t>
            </w:r>
          </w:p>
        </w:tc>
        <w:tc>
          <w:tcPr>
            <w:tcW w:w="1843" w:type="pct"/>
            <w:shd w:val="clear" w:color="auto" w:fill="auto"/>
            <w:vAlign w:val="center"/>
          </w:tcPr>
          <w:p w14:paraId="1248E96A"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Приветственная повышенная ставка</w:t>
            </w:r>
          </w:p>
        </w:tc>
        <w:tc>
          <w:tcPr>
            <w:tcW w:w="2839" w:type="pct"/>
            <w:shd w:val="clear" w:color="auto" w:fill="auto"/>
            <w:vAlign w:val="center"/>
          </w:tcPr>
          <w:p w14:paraId="122F3478" w14:textId="77777777" w:rsidR="00F46A82" w:rsidRPr="00F46A82" w:rsidRDefault="00F46A82" w:rsidP="00F46A82">
            <w:pPr>
              <w:tabs>
                <w:tab w:val="left" w:pos="4889"/>
              </w:tabs>
              <w:jc w:val="center"/>
              <w:rPr>
                <w:rFonts w:ascii="Tahoma" w:hAnsi="Tahoma" w:cs="Tahoma"/>
                <w:bCs/>
                <w:iCs/>
                <w:sz w:val="22"/>
                <w:szCs w:val="22"/>
              </w:rPr>
            </w:pPr>
            <w:r w:rsidRPr="00F46A82">
              <w:rPr>
                <w:rFonts w:ascii="Tahoma" w:hAnsi="Tahoma" w:cs="Tahoma"/>
                <w:bCs/>
                <w:iCs/>
                <w:sz w:val="22"/>
                <w:szCs w:val="22"/>
              </w:rPr>
              <w:t>Не применимо</w:t>
            </w:r>
          </w:p>
        </w:tc>
      </w:tr>
      <w:tr w:rsidR="00F46A82" w:rsidRPr="00F46A82" w14:paraId="1D419161" w14:textId="77777777" w:rsidTr="003D2438">
        <w:tc>
          <w:tcPr>
            <w:tcW w:w="318" w:type="pct"/>
            <w:vMerge w:val="restart"/>
            <w:shd w:val="clear" w:color="auto" w:fill="auto"/>
            <w:vAlign w:val="center"/>
          </w:tcPr>
          <w:p w14:paraId="71452864" w14:textId="77777777" w:rsidR="00F46A82" w:rsidRPr="00F46A82" w:rsidRDefault="00F46A82" w:rsidP="00F46A82">
            <w:pPr>
              <w:tabs>
                <w:tab w:val="left" w:pos="284"/>
              </w:tabs>
              <w:rPr>
                <w:rFonts w:ascii="Tahoma" w:hAnsi="Tahoma" w:cs="Tahoma"/>
                <w:bCs/>
                <w:iCs/>
                <w:color w:val="000000"/>
                <w:sz w:val="22"/>
                <w:szCs w:val="22"/>
              </w:rPr>
            </w:pPr>
            <w:r w:rsidRPr="00F46A82">
              <w:rPr>
                <w:rFonts w:ascii="Tahoma" w:hAnsi="Tahoma" w:cs="Tahoma"/>
                <w:bCs/>
                <w:iCs/>
                <w:color w:val="000000"/>
                <w:sz w:val="22"/>
                <w:szCs w:val="22"/>
              </w:rPr>
              <w:t>1.10.</w:t>
            </w:r>
          </w:p>
        </w:tc>
        <w:tc>
          <w:tcPr>
            <w:tcW w:w="1843" w:type="pct"/>
            <w:vMerge w:val="restart"/>
            <w:shd w:val="clear" w:color="auto" w:fill="auto"/>
            <w:vAlign w:val="center"/>
          </w:tcPr>
          <w:p w14:paraId="052B7F11"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Валюта Накопительного счета</w:t>
            </w:r>
          </w:p>
        </w:tc>
        <w:tc>
          <w:tcPr>
            <w:tcW w:w="2839" w:type="pct"/>
            <w:shd w:val="clear" w:color="auto" w:fill="auto"/>
            <w:vAlign w:val="center"/>
          </w:tcPr>
          <w:p w14:paraId="70B650AB" w14:textId="77777777" w:rsidR="00F46A82" w:rsidRPr="00F46A82" w:rsidRDefault="00F46A82" w:rsidP="00F46A82">
            <w:pPr>
              <w:tabs>
                <w:tab w:val="left" w:pos="4889"/>
              </w:tabs>
              <w:jc w:val="center"/>
              <w:rPr>
                <w:rFonts w:ascii="Tahoma" w:hAnsi="Tahoma" w:cs="Tahoma"/>
                <w:bCs/>
                <w:iCs/>
                <w:sz w:val="22"/>
                <w:szCs w:val="22"/>
              </w:rPr>
            </w:pPr>
            <w:r w:rsidRPr="00F46A82">
              <w:rPr>
                <w:rFonts w:ascii="Tahoma" w:hAnsi="Tahoma" w:cs="Tahoma"/>
                <w:bCs/>
                <w:iCs/>
                <w:sz w:val="22"/>
                <w:szCs w:val="22"/>
              </w:rPr>
              <w:t>Российский рубль</w:t>
            </w:r>
          </w:p>
        </w:tc>
      </w:tr>
      <w:tr w:rsidR="00F46A82" w:rsidRPr="00F46A82" w14:paraId="41E99436" w14:textId="77777777" w:rsidTr="003D2438">
        <w:tc>
          <w:tcPr>
            <w:tcW w:w="318" w:type="pct"/>
            <w:vMerge/>
            <w:shd w:val="clear" w:color="auto" w:fill="auto"/>
            <w:vAlign w:val="center"/>
          </w:tcPr>
          <w:p w14:paraId="77730762" w14:textId="77777777" w:rsidR="00F46A82" w:rsidRPr="00F46A82" w:rsidRDefault="00F46A82" w:rsidP="00F46A82">
            <w:pPr>
              <w:tabs>
                <w:tab w:val="left" w:pos="284"/>
              </w:tabs>
              <w:rPr>
                <w:rFonts w:ascii="Tahoma" w:hAnsi="Tahoma" w:cs="Tahoma"/>
                <w:bCs/>
                <w:iCs/>
                <w:color w:val="000000"/>
                <w:sz w:val="22"/>
                <w:szCs w:val="22"/>
              </w:rPr>
            </w:pPr>
          </w:p>
        </w:tc>
        <w:tc>
          <w:tcPr>
            <w:tcW w:w="1843" w:type="pct"/>
            <w:vMerge/>
            <w:shd w:val="clear" w:color="auto" w:fill="auto"/>
            <w:vAlign w:val="center"/>
          </w:tcPr>
          <w:p w14:paraId="12EF2FF1" w14:textId="77777777" w:rsidR="00F46A82" w:rsidRPr="00F46A82" w:rsidRDefault="00F46A82" w:rsidP="00F46A82">
            <w:pPr>
              <w:rPr>
                <w:rFonts w:ascii="Tahoma" w:hAnsi="Tahoma" w:cs="Tahoma"/>
                <w:bCs/>
                <w:iCs/>
                <w:sz w:val="22"/>
                <w:szCs w:val="22"/>
              </w:rPr>
            </w:pPr>
          </w:p>
        </w:tc>
        <w:tc>
          <w:tcPr>
            <w:tcW w:w="2839" w:type="pct"/>
            <w:shd w:val="clear" w:color="auto" w:fill="auto"/>
            <w:vAlign w:val="center"/>
          </w:tcPr>
          <w:p w14:paraId="7D0EF568" w14:textId="77777777" w:rsidR="00F46A82" w:rsidRPr="00F46A82" w:rsidRDefault="00F46A82" w:rsidP="00F46A82">
            <w:pPr>
              <w:tabs>
                <w:tab w:val="left" w:pos="4889"/>
              </w:tabs>
              <w:jc w:val="center"/>
              <w:rPr>
                <w:rFonts w:ascii="Tahoma" w:hAnsi="Tahoma" w:cs="Tahoma"/>
                <w:bCs/>
                <w:iCs/>
                <w:sz w:val="22"/>
                <w:szCs w:val="22"/>
              </w:rPr>
            </w:pPr>
            <w:r w:rsidRPr="00F46A82">
              <w:rPr>
                <w:rFonts w:ascii="Tahoma" w:hAnsi="Tahoma" w:cs="Tahoma"/>
                <w:bCs/>
                <w:iCs/>
                <w:sz w:val="22"/>
                <w:szCs w:val="22"/>
              </w:rPr>
              <w:t>Юань</w:t>
            </w:r>
          </w:p>
        </w:tc>
      </w:tr>
      <w:tr w:rsidR="00F46A82" w:rsidRPr="00F46A82" w14:paraId="41EB4ACD" w14:textId="77777777" w:rsidTr="00F46A82">
        <w:tc>
          <w:tcPr>
            <w:tcW w:w="318" w:type="pct"/>
            <w:shd w:val="clear" w:color="auto" w:fill="595959"/>
            <w:vAlign w:val="center"/>
          </w:tcPr>
          <w:p w14:paraId="38E7B828" w14:textId="77777777" w:rsidR="00F46A82" w:rsidRPr="00F46A82" w:rsidRDefault="00F46A82" w:rsidP="00F46A82">
            <w:pPr>
              <w:tabs>
                <w:tab w:val="left" w:pos="284"/>
              </w:tabs>
              <w:rPr>
                <w:rFonts w:ascii="Tahoma" w:hAnsi="Tahoma" w:cs="Tahoma"/>
                <w:bCs/>
                <w:iCs/>
                <w:color w:val="FFFFFF"/>
                <w:sz w:val="22"/>
              </w:rPr>
            </w:pPr>
            <w:r w:rsidRPr="00F46A82">
              <w:rPr>
                <w:rFonts w:ascii="Tahoma" w:hAnsi="Tahoma" w:cs="Tahoma"/>
                <w:bCs/>
                <w:iCs/>
                <w:color w:val="FFFFFF"/>
                <w:sz w:val="22"/>
              </w:rPr>
              <w:t>2.</w:t>
            </w:r>
          </w:p>
        </w:tc>
        <w:tc>
          <w:tcPr>
            <w:tcW w:w="4682" w:type="pct"/>
            <w:gridSpan w:val="2"/>
            <w:shd w:val="clear" w:color="auto" w:fill="595959"/>
            <w:vAlign w:val="center"/>
          </w:tcPr>
          <w:p w14:paraId="2C909686" w14:textId="77777777" w:rsidR="00F46A82" w:rsidRPr="00F46A82" w:rsidRDefault="00F46A82" w:rsidP="00F46A82">
            <w:pPr>
              <w:rPr>
                <w:rFonts w:ascii="Tahoma" w:hAnsi="Tahoma" w:cs="Tahoma"/>
                <w:bCs/>
                <w:iCs/>
                <w:color w:val="FFFFFF"/>
                <w:sz w:val="22"/>
              </w:rPr>
            </w:pPr>
            <w:r w:rsidRPr="00F46A82">
              <w:rPr>
                <w:rFonts w:ascii="Tahoma" w:hAnsi="Tahoma" w:cs="Tahoma"/>
                <w:bCs/>
                <w:iCs/>
                <w:color w:val="FFFFFF"/>
                <w:sz w:val="22"/>
              </w:rPr>
              <w:t>Накопительный счет в рублях</w:t>
            </w:r>
          </w:p>
        </w:tc>
      </w:tr>
      <w:tr w:rsidR="00F46A82" w:rsidRPr="00F46A82" w14:paraId="4E99B61A" w14:textId="77777777" w:rsidTr="003D2438">
        <w:tc>
          <w:tcPr>
            <w:tcW w:w="318" w:type="pct"/>
            <w:shd w:val="clear" w:color="auto" w:fill="auto"/>
            <w:vAlign w:val="center"/>
          </w:tcPr>
          <w:p w14:paraId="7AA1762E" w14:textId="77777777" w:rsidR="00F46A82" w:rsidRPr="00F46A82" w:rsidRDefault="00F46A82" w:rsidP="00F46A82">
            <w:pPr>
              <w:tabs>
                <w:tab w:val="left" w:pos="284"/>
              </w:tabs>
              <w:rPr>
                <w:rFonts w:ascii="Tahoma" w:hAnsi="Tahoma" w:cs="Tahoma"/>
                <w:bCs/>
                <w:iCs/>
                <w:color w:val="000000"/>
                <w:sz w:val="22"/>
                <w:szCs w:val="22"/>
              </w:rPr>
            </w:pPr>
            <w:r w:rsidRPr="00F46A82">
              <w:rPr>
                <w:rFonts w:ascii="Tahoma" w:hAnsi="Tahoma" w:cs="Tahoma"/>
                <w:bCs/>
                <w:iCs/>
                <w:color w:val="000000"/>
                <w:sz w:val="22"/>
                <w:szCs w:val="22"/>
              </w:rPr>
              <w:t>2.1.</w:t>
            </w:r>
          </w:p>
        </w:tc>
        <w:tc>
          <w:tcPr>
            <w:tcW w:w="1843" w:type="pct"/>
            <w:shd w:val="clear" w:color="auto" w:fill="auto"/>
            <w:vAlign w:val="center"/>
          </w:tcPr>
          <w:p w14:paraId="1F3FCF81"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Валюта Накопительного счета</w:t>
            </w:r>
          </w:p>
        </w:tc>
        <w:tc>
          <w:tcPr>
            <w:tcW w:w="2839" w:type="pct"/>
            <w:shd w:val="clear" w:color="auto" w:fill="auto"/>
            <w:vAlign w:val="center"/>
          </w:tcPr>
          <w:p w14:paraId="6E084706" w14:textId="77777777" w:rsidR="00F46A82" w:rsidRPr="00F46A82" w:rsidRDefault="00F46A82" w:rsidP="00F46A82">
            <w:pPr>
              <w:tabs>
                <w:tab w:val="left" w:pos="4889"/>
              </w:tabs>
              <w:jc w:val="center"/>
              <w:rPr>
                <w:rFonts w:ascii="Tahoma" w:hAnsi="Tahoma" w:cs="Tahoma"/>
                <w:b/>
                <w:bCs/>
                <w:sz w:val="22"/>
                <w:szCs w:val="22"/>
              </w:rPr>
            </w:pPr>
            <w:r w:rsidRPr="00F46A82">
              <w:rPr>
                <w:rFonts w:ascii="Tahoma" w:hAnsi="Tahoma" w:cs="Tahoma"/>
                <w:b/>
                <w:bCs/>
                <w:sz w:val="22"/>
                <w:szCs w:val="22"/>
              </w:rPr>
              <w:t>Российский рубль</w:t>
            </w:r>
          </w:p>
        </w:tc>
      </w:tr>
      <w:tr w:rsidR="00F46A82" w:rsidRPr="00F46A82" w14:paraId="69DCD338" w14:textId="77777777" w:rsidTr="003D2438">
        <w:trPr>
          <w:trHeight w:val="641"/>
        </w:trPr>
        <w:tc>
          <w:tcPr>
            <w:tcW w:w="318" w:type="pct"/>
            <w:shd w:val="clear" w:color="auto" w:fill="auto"/>
            <w:vAlign w:val="center"/>
          </w:tcPr>
          <w:p w14:paraId="79EBE646" w14:textId="77777777" w:rsidR="00F46A82" w:rsidRPr="00F46A82" w:rsidRDefault="00F46A82" w:rsidP="00F46A82">
            <w:pPr>
              <w:tabs>
                <w:tab w:val="left" w:pos="284"/>
              </w:tabs>
              <w:rPr>
                <w:rFonts w:ascii="Tahoma" w:hAnsi="Tahoma" w:cs="Tahoma"/>
                <w:bCs/>
                <w:iCs/>
                <w:color w:val="000000"/>
                <w:sz w:val="22"/>
                <w:szCs w:val="22"/>
              </w:rPr>
            </w:pPr>
            <w:r w:rsidRPr="00F46A82">
              <w:rPr>
                <w:rFonts w:ascii="Tahoma" w:hAnsi="Tahoma" w:cs="Tahoma"/>
                <w:bCs/>
                <w:iCs/>
                <w:color w:val="000000"/>
                <w:sz w:val="22"/>
                <w:szCs w:val="22"/>
              </w:rPr>
              <w:t>2.2.</w:t>
            </w:r>
          </w:p>
        </w:tc>
        <w:tc>
          <w:tcPr>
            <w:tcW w:w="1" w:type="pct"/>
            <w:gridSpan w:val="2"/>
            <w:shd w:val="clear" w:color="auto" w:fill="auto"/>
            <w:vAlign w:val="center"/>
          </w:tcPr>
          <w:p w14:paraId="69EDFBAC" w14:textId="77777777" w:rsidR="00F46A82" w:rsidRPr="00F46A82" w:rsidDel="00514473" w:rsidRDefault="00F46A82" w:rsidP="00F46A82">
            <w:pPr>
              <w:rPr>
                <w:rFonts w:ascii="Tahoma" w:hAnsi="Tahoma" w:cs="Tahoma"/>
                <w:b/>
                <w:bCs/>
                <w:sz w:val="22"/>
                <w:szCs w:val="22"/>
              </w:rPr>
            </w:pPr>
            <w:r w:rsidRPr="00F46A82">
              <w:rPr>
                <w:rFonts w:ascii="Tahoma" w:hAnsi="Tahoma" w:cs="Tahoma"/>
                <w:bCs/>
                <w:iCs/>
                <w:sz w:val="22"/>
                <w:szCs w:val="22"/>
              </w:rPr>
              <w:t>Процентная ставка на Ежедневный остаток по Накопительному счету в рублях, если размер Ежедневного остатка по Накопительному Счету</w:t>
            </w:r>
            <w:r w:rsidRPr="00F46A82">
              <w:rPr>
                <w:rFonts w:ascii="Tahoma" w:hAnsi="Tahoma" w:cs="Tahoma"/>
                <w:bCs/>
                <w:iCs/>
                <w:sz w:val="22"/>
                <w:szCs w:val="22"/>
                <w:vertAlign w:val="superscript"/>
              </w:rPr>
              <w:t xml:space="preserve"> </w:t>
            </w:r>
            <w:r w:rsidRPr="00F46A82">
              <w:rPr>
                <w:rFonts w:ascii="Tahoma" w:hAnsi="Tahoma" w:cs="Tahoma"/>
                <w:b/>
                <w:bCs/>
                <w:iCs/>
                <w:sz w:val="22"/>
                <w:szCs w:val="22"/>
              </w:rPr>
              <w:t>до 30 000 000 рублей</w:t>
            </w:r>
            <w:r w:rsidRPr="00F46A82">
              <w:rPr>
                <w:rFonts w:ascii="Tahoma" w:hAnsi="Tahoma" w:cs="Tahoma"/>
                <w:bCs/>
                <w:iCs/>
                <w:sz w:val="22"/>
                <w:szCs w:val="22"/>
                <w:vertAlign w:val="superscript"/>
              </w:rPr>
              <w:t xml:space="preserve"> </w:t>
            </w:r>
            <w:r w:rsidRPr="00F46A82">
              <w:rPr>
                <w:rFonts w:ascii="Tahoma" w:hAnsi="Tahoma" w:cs="Tahoma"/>
                <w:bCs/>
                <w:iCs/>
                <w:sz w:val="22"/>
                <w:szCs w:val="22"/>
              </w:rPr>
              <w:t>включительно, % годовых</w:t>
            </w:r>
          </w:p>
        </w:tc>
      </w:tr>
      <w:tr w:rsidR="00F46A82" w:rsidRPr="00F46A82" w14:paraId="198FB5A6" w14:textId="77777777" w:rsidTr="003D2438">
        <w:tc>
          <w:tcPr>
            <w:tcW w:w="318" w:type="pct"/>
            <w:shd w:val="clear" w:color="auto" w:fill="auto"/>
            <w:vAlign w:val="center"/>
          </w:tcPr>
          <w:p w14:paraId="579FEE19" w14:textId="77777777" w:rsidR="00F46A82" w:rsidRPr="00F46A82" w:rsidRDefault="00F46A82" w:rsidP="00F46A82">
            <w:pPr>
              <w:tabs>
                <w:tab w:val="left" w:pos="284"/>
              </w:tabs>
              <w:rPr>
                <w:rFonts w:ascii="Tahoma" w:hAnsi="Tahoma" w:cs="Tahoma"/>
                <w:bCs/>
                <w:iCs/>
                <w:color w:val="000000"/>
                <w:sz w:val="22"/>
                <w:szCs w:val="22"/>
              </w:rPr>
            </w:pPr>
            <w:r w:rsidRPr="00F46A82">
              <w:rPr>
                <w:rFonts w:ascii="Tahoma" w:hAnsi="Tahoma" w:cs="Tahoma"/>
                <w:bCs/>
                <w:iCs/>
                <w:color w:val="000000"/>
                <w:sz w:val="22"/>
                <w:szCs w:val="22"/>
              </w:rPr>
              <w:t>2.2.1.</w:t>
            </w:r>
          </w:p>
        </w:tc>
        <w:tc>
          <w:tcPr>
            <w:tcW w:w="1843" w:type="pct"/>
            <w:shd w:val="clear" w:color="auto" w:fill="auto"/>
            <w:vAlign w:val="center"/>
          </w:tcPr>
          <w:p w14:paraId="2D7E1E5C"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При Сумме покупок по Карте</w:t>
            </w:r>
            <w:r w:rsidRPr="00F46A82">
              <w:rPr>
                <w:rFonts w:ascii="Tahoma" w:hAnsi="Tahoma" w:cs="Tahoma"/>
                <w:bCs/>
                <w:iCs/>
                <w:sz w:val="22"/>
                <w:szCs w:val="22"/>
                <w:vertAlign w:val="superscript"/>
              </w:rPr>
              <w:footnoteReference w:id="223"/>
            </w:r>
            <w:r w:rsidRPr="00F46A82">
              <w:rPr>
                <w:rFonts w:ascii="Tahoma" w:hAnsi="Tahoma" w:cs="Tahoma"/>
                <w:bCs/>
                <w:iCs/>
                <w:sz w:val="22"/>
                <w:szCs w:val="22"/>
              </w:rPr>
              <w:t>, выпущенной в рамках Программы, в течение Периода для учета Расходных операций по Счету Карты</w:t>
            </w:r>
            <w:r w:rsidRPr="00F46A82">
              <w:rPr>
                <w:rFonts w:ascii="Tahoma" w:hAnsi="Tahoma" w:cs="Tahoma"/>
                <w:bCs/>
                <w:iCs/>
                <w:sz w:val="22"/>
                <w:szCs w:val="22"/>
                <w:vertAlign w:val="superscript"/>
              </w:rPr>
              <w:footnoteReference w:id="224"/>
            </w:r>
            <w:r w:rsidRPr="00F46A82">
              <w:rPr>
                <w:rFonts w:ascii="Tahoma" w:hAnsi="Tahoma" w:cs="Tahoma"/>
                <w:bCs/>
                <w:iCs/>
                <w:sz w:val="22"/>
                <w:szCs w:val="22"/>
              </w:rPr>
              <w:t xml:space="preserve"> (далее – Период), от 75 000 рублей</w:t>
            </w:r>
          </w:p>
        </w:tc>
        <w:tc>
          <w:tcPr>
            <w:tcW w:w="2839" w:type="pct"/>
            <w:shd w:val="clear" w:color="auto" w:fill="auto"/>
            <w:vAlign w:val="center"/>
          </w:tcPr>
          <w:p w14:paraId="5A5F6AC4" w14:textId="77777777" w:rsidR="00F46A82" w:rsidRPr="00F46A82" w:rsidRDefault="00F46A82" w:rsidP="00F46A82">
            <w:pPr>
              <w:tabs>
                <w:tab w:val="left" w:pos="4889"/>
              </w:tabs>
              <w:jc w:val="center"/>
              <w:rPr>
                <w:rFonts w:ascii="Tahoma" w:hAnsi="Tahoma" w:cs="Tahoma"/>
                <w:b/>
                <w:bCs/>
                <w:sz w:val="22"/>
                <w:szCs w:val="22"/>
              </w:rPr>
            </w:pPr>
            <w:r w:rsidRPr="00F46A82">
              <w:rPr>
                <w:rFonts w:ascii="Tahoma" w:hAnsi="Tahoma" w:cs="Tahoma"/>
                <w:b/>
                <w:bCs/>
                <w:sz w:val="22"/>
                <w:szCs w:val="22"/>
              </w:rPr>
              <w:t>19%</w:t>
            </w:r>
          </w:p>
        </w:tc>
      </w:tr>
      <w:tr w:rsidR="00F46A82" w:rsidRPr="00F46A82" w14:paraId="6490DD1C" w14:textId="77777777" w:rsidTr="003D2438">
        <w:tc>
          <w:tcPr>
            <w:tcW w:w="318" w:type="pct"/>
            <w:shd w:val="clear" w:color="auto" w:fill="auto"/>
            <w:vAlign w:val="center"/>
          </w:tcPr>
          <w:p w14:paraId="39386FFB" w14:textId="77777777" w:rsidR="00F46A82" w:rsidRPr="00F46A82" w:rsidRDefault="00F46A82" w:rsidP="00F46A82">
            <w:pPr>
              <w:tabs>
                <w:tab w:val="left" w:pos="284"/>
              </w:tabs>
              <w:rPr>
                <w:rFonts w:ascii="Tahoma" w:hAnsi="Tahoma" w:cs="Tahoma"/>
                <w:bCs/>
                <w:iCs/>
                <w:color w:val="000000"/>
                <w:sz w:val="22"/>
                <w:szCs w:val="22"/>
              </w:rPr>
            </w:pPr>
            <w:r w:rsidRPr="00F46A82">
              <w:rPr>
                <w:rFonts w:ascii="Tahoma" w:hAnsi="Tahoma" w:cs="Tahoma"/>
                <w:bCs/>
                <w:iCs/>
                <w:color w:val="000000"/>
                <w:sz w:val="22"/>
                <w:szCs w:val="22"/>
              </w:rPr>
              <w:t>2.2.2.</w:t>
            </w:r>
          </w:p>
        </w:tc>
        <w:tc>
          <w:tcPr>
            <w:tcW w:w="1843" w:type="pct"/>
            <w:shd w:val="clear" w:color="auto" w:fill="auto"/>
            <w:vAlign w:val="center"/>
          </w:tcPr>
          <w:p w14:paraId="452CBF62"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При Сумме по покупок по Карте, выпущенной в рамках Программы, в течение Периода, до 75 000 рублей</w:t>
            </w:r>
          </w:p>
        </w:tc>
        <w:tc>
          <w:tcPr>
            <w:tcW w:w="2839" w:type="pct"/>
            <w:shd w:val="clear" w:color="auto" w:fill="auto"/>
            <w:vAlign w:val="center"/>
          </w:tcPr>
          <w:p w14:paraId="60B6EC37" w14:textId="77777777" w:rsidR="00F46A82" w:rsidRPr="00F46A82" w:rsidRDefault="00F46A82" w:rsidP="00F46A82">
            <w:pPr>
              <w:tabs>
                <w:tab w:val="left" w:pos="4889"/>
              </w:tabs>
              <w:jc w:val="center"/>
              <w:rPr>
                <w:rFonts w:ascii="Tahoma" w:hAnsi="Tahoma" w:cs="Tahoma"/>
                <w:b/>
                <w:bCs/>
                <w:sz w:val="22"/>
                <w:szCs w:val="22"/>
              </w:rPr>
            </w:pPr>
            <w:r w:rsidRPr="00F46A82">
              <w:rPr>
                <w:rFonts w:ascii="Tahoma" w:hAnsi="Tahoma" w:cs="Tahoma"/>
                <w:b/>
                <w:bCs/>
                <w:sz w:val="22"/>
                <w:szCs w:val="22"/>
              </w:rPr>
              <w:t>17%</w:t>
            </w:r>
          </w:p>
        </w:tc>
      </w:tr>
      <w:tr w:rsidR="00F46A82" w:rsidRPr="00F46A82" w14:paraId="48F30CE6" w14:textId="77777777" w:rsidTr="003D2438">
        <w:tc>
          <w:tcPr>
            <w:tcW w:w="318" w:type="pct"/>
            <w:shd w:val="clear" w:color="auto" w:fill="auto"/>
            <w:vAlign w:val="center"/>
          </w:tcPr>
          <w:p w14:paraId="247F60ED" w14:textId="77777777" w:rsidR="00F46A82" w:rsidRPr="00F46A82" w:rsidRDefault="00F46A82" w:rsidP="00F46A82">
            <w:pPr>
              <w:tabs>
                <w:tab w:val="left" w:pos="284"/>
              </w:tabs>
              <w:rPr>
                <w:rFonts w:ascii="Tahoma" w:hAnsi="Tahoma" w:cs="Tahoma"/>
                <w:bCs/>
                <w:iCs/>
                <w:color w:val="000000"/>
                <w:sz w:val="22"/>
                <w:szCs w:val="22"/>
              </w:rPr>
            </w:pPr>
            <w:r w:rsidRPr="00F46A82">
              <w:rPr>
                <w:rFonts w:ascii="Tahoma" w:hAnsi="Tahoma" w:cs="Tahoma"/>
                <w:bCs/>
                <w:iCs/>
                <w:color w:val="000000"/>
                <w:sz w:val="22"/>
                <w:szCs w:val="22"/>
              </w:rPr>
              <w:t>2.3.</w:t>
            </w:r>
          </w:p>
        </w:tc>
        <w:tc>
          <w:tcPr>
            <w:tcW w:w="1843" w:type="pct"/>
            <w:shd w:val="clear" w:color="auto" w:fill="auto"/>
            <w:vAlign w:val="center"/>
          </w:tcPr>
          <w:p w14:paraId="45B63133" w14:textId="77777777" w:rsidR="00F46A82" w:rsidRPr="00F46A82" w:rsidRDefault="00F46A82" w:rsidP="00F46A82">
            <w:pPr>
              <w:rPr>
                <w:rFonts w:ascii="Tahoma" w:hAnsi="Tahoma" w:cs="Tahoma"/>
                <w:bCs/>
                <w:iCs/>
                <w:color w:val="000000"/>
                <w:sz w:val="22"/>
                <w:szCs w:val="22"/>
              </w:rPr>
            </w:pPr>
            <w:r w:rsidRPr="00F46A82">
              <w:rPr>
                <w:rFonts w:ascii="Tahoma" w:hAnsi="Tahoma" w:cs="Tahoma"/>
                <w:bCs/>
                <w:iCs/>
                <w:sz w:val="22"/>
                <w:szCs w:val="22"/>
              </w:rPr>
              <w:t>Если Ежедневный остаток по Накопительному счету</w:t>
            </w:r>
            <w:r w:rsidRPr="00F46A82">
              <w:rPr>
                <w:rFonts w:ascii="Tahoma" w:hAnsi="Tahoma" w:cs="Tahoma"/>
                <w:bCs/>
                <w:iCs/>
                <w:sz w:val="22"/>
                <w:szCs w:val="22"/>
                <w:vertAlign w:val="superscript"/>
              </w:rPr>
              <w:t xml:space="preserve"> </w:t>
            </w:r>
            <w:r w:rsidRPr="00F46A82">
              <w:rPr>
                <w:rFonts w:ascii="Tahoma" w:hAnsi="Tahoma" w:cs="Tahoma"/>
                <w:bCs/>
                <w:iCs/>
                <w:sz w:val="22"/>
                <w:szCs w:val="22"/>
              </w:rPr>
              <w:t xml:space="preserve"> в рублях превышает </w:t>
            </w:r>
            <w:r w:rsidRPr="00F46A82">
              <w:rPr>
                <w:rFonts w:ascii="Tahoma" w:hAnsi="Tahoma" w:cs="Tahoma"/>
                <w:b/>
                <w:bCs/>
                <w:iCs/>
                <w:sz w:val="22"/>
                <w:szCs w:val="22"/>
              </w:rPr>
              <w:t>30 000 000 рублей</w:t>
            </w:r>
            <w:r w:rsidRPr="00F46A82">
              <w:rPr>
                <w:rFonts w:ascii="Tahoma" w:hAnsi="Tahoma" w:cs="Tahoma"/>
                <w:bCs/>
                <w:iCs/>
                <w:sz w:val="22"/>
                <w:szCs w:val="22"/>
              </w:rPr>
              <w:t>,</w:t>
            </w:r>
            <w:r w:rsidRPr="00F46A82">
              <w:rPr>
                <w:rFonts w:ascii="Tahoma" w:hAnsi="Tahoma" w:cs="Tahoma"/>
                <w:bCs/>
                <w:iCs/>
                <w:sz w:val="22"/>
                <w:szCs w:val="22"/>
                <w:vertAlign w:val="superscript"/>
              </w:rPr>
              <w:t xml:space="preserve"> </w:t>
            </w:r>
            <w:r w:rsidRPr="00F46A82">
              <w:rPr>
                <w:rFonts w:ascii="Tahoma" w:hAnsi="Tahoma" w:cs="Tahoma"/>
                <w:bCs/>
                <w:iCs/>
                <w:sz w:val="22"/>
                <w:szCs w:val="22"/>
              </w:rPr>
              <w:t xml:space="preserve">то </w:t>
            </w:r>
            <w:r w:rsidRPr="00F46A82">
              <w:rPr>
                <w:rFonts w:ascii="Tahoma" w:hAnsi="Tahoma" w:cs="Tahoma"/>
                <w:b/>
                <w:bCs/>
                <w:iCs/>
                <w:sz w:val="22"/>
                <w:szCs w:val="22"/>
              </w:rPr>
              <w:t>на сумму превышения</w:t>
            </w:r>
            <w:r w:rsidRPr="00F46A82">
              <w:rPr>
                <w:rFonts w:ascii="Tahoma" w:hAnsi="Tahoma" w:cs="Tahoma"/>
                <w:bCs/>
                <w:iCs/>
                <w:sz w:val="22"/>
                <w:szCs w:val="22"/>
              </w:rPr>
              <w:t xml:space="preserve"> процентная</w:t>
            </w:r>
            <w:r w:rsidRPr="00F46A82">
              <w:rPr>
                <w:rFonts w:ascii="Tahoma" w:hAnsi="Tahoma" w:cs="Tahoma"/>
                <w:bCs/>
                <w:iCs/>
                <w:sz w:val="22"/>
                <w:szCs w:val="22"/>
                <w:vertAlign w:val="superscript"/>
              </w:rPr>
              <w:t xml:space="preserve"> </w:t>
            </w:r>
            <w:r w:rsidRPr="00F46A82">
              <w:rPr>
                <w:rFonts w:ascii="Tahoma" w:hAnsi="Tahoma" w:cs="Tahoma"/>
                <w:bCs/>
                <w:iCs/>
                <w:sz w:val="22"/>
                <w:szCs w:val="22"/>
              </w:rPr>
              <w:t>ставка, в % годовых (вне зависимости от Суммы покупок по Карте, выпущенной в рамках Программы, в течение Периода)</w:t>
            </w:r>
          </w:p>
        </w:tc>
        <w:tc>
          <w:tcPr>
            <w:tcW w:w="2839" w:type="pct"/>
            <w:shd w:val="clear" w:color="auto" w:fill="auto"/>
            <w:vAlign w:val="center"/>
          </w:tcPr>
          <w:p w14:paraId="798A47D7" w14:textId="77777777" w:rsidR="00F46A82" w:rsidRPr="00F46A82" w:rsidRDefault="00F46A82" w:rsidP="00F46A82">
            <w:pPr>
              <w:tabs>
                <w:tab w:val="left" w:pos="4889"/>
              </w:tabs>
              <w:jc w:val="center"/>
              <w:rPr>
                <w:rFonts w:ascii="Tahoma" w:hAnsi="Tahoma" w:cs="Tahoma"/>
                <w:b/>
                <w:bCs/>
                <w:sz w:val="22"/>
                <w:szCs w:val="22"/>
              </w:rPr>
            </w:pPr>
            <w:r w:rsidRPr="00F46A82">
              <w:rPr>
                <w:rFonts w:ascii="Tahoma" w:hAnsi="Tahoma" w:cs="Tahoma"/>
                <w:b/>
                <w:bCs/>
                <w:sz w:val="22"/>
                <w:szCs w:val="22"/>
              </w:rPr>
              <w:t>10%</w:t>
            </w:r>
          </w:p>
        </w:tc>
      </w:tr>
      <w:tr w:rsidR="00F46A82" w:rsidRPr="00F46A82" w14:paraId="4226CAA1" w14:textId="77777777" w:rsidTr="003D2438">
        <w:tc>
          <w:tcPr>
            <w:tcW w:w="318" w:type="pct"/>
            <w:shd w:val="clear" w:color="auto" w:fill="auto"/>
            <w:vAlign w:val="center"/>
          </w:tcPr>
          <w:p w14:paraId="2F42AEE5" w14:textId="77777777" w:rsidR="00F46A82" w:rsidRPr="00F46A82" w:rsidRDefault="00F46A82" w:rsidP="00F46A82">
            <w:pPr>
              <w:tabs>
                <w:tab w:val="left" w:pos="284"/>
              </w:tabs>
              <w:rPr>
                <w:rFonts w:ascii="Tahoma" w:hAnsi="Tahoma" w:cs="Tahoma"/>
                <w:bCs/>
                <w:iCs/>
                <w:color w:val="000000"/>
                <w:sz w:val="22"/>
                <w:szCs w:val="22"/>
              </w:rPr>
            </w:pPr>
            <w:r w:rsidRPr="00F46A82">
              <w:rPr>
                <w:rFonts w:ascii="Tahoma" w:hAnsi="Tahoma" w:cs="Tahoma"/>
                <w:bCs/>
                <w:iCs/>
                <w:color w:val="000000"/>
                <w:sz w:val="22"/>
                <w:szCs w:val="22"/>
              </w:rPr>
              <w:t>2.4.</w:t>
            </w:r>
          </w:p>
        </w:tc>
        <w:tc>
          <w:tcPr>
            <w:tcW w:w="1843" w:type="pct"/>
            <w:shd w:val="clear" w:color="auto" w:fill="auto"/>
            <w:vAlign w:val="center"/>
          </w:tcPr>
          <w:p w14:paraId="2C3C4AC7"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Максимальная сумма, размещенная на Накопительном счете в рублях, свыше которой начисление процентов не осуществляется</w:t>
            </w:r>
          </w:p>
        </w:tc>
        <w:tc>
          <w:tcPr>
            <w:tcW w:w="2839" w:type="pct"/>
            <w:shd w:val="clear" w:color="auto" w:fill="auto"/>
            <w:vAlign w:val="center"/>
          </w:tcPr>
          <w:p w14:paraId="200D87FD" w14:textId="77777777" w:rsidR="00F46A82" w:rsidRPr="00F46A82" w:rsidRDefault="00F46A82" w:rsidP="00F46A82">
            <w:pPr>
              <w:tabs>
                <w:tab w:val="left" w:pos="4889"/>
              </w:tabs>
              <w:jc w:val="center"/>
              <w:rPr>
                <w:rFonts w:ascii="Tahoma" w:hAnsi="Tahoma" w:cs="Tahoma"/>
                <w:b/>
                <w:bCs/>
                <w:sz w:val="22"/>
                <w:szCs w:val="22"/>
              </w:rPr>
            </w:pPr>
            <w:r w:rsidRPr="00F46A82">
              <w:rPr>
                <w:rFonts w:ascii="Tahoma" w:hAnsi="Tahoma" w:cs="Tahoma"/>
                <w:b/>
                <w:bCs/>
                <w:sz w:val="22"/>
                <w:szCs w:val="22"/>
              </w:rPr>
              <w:t>Не предусмотрено</w:t>
            </w:r>
          </w:p>
        </w:tc>
      </w:tr>
      <w:tr w:rsidR="00F46A82" w:rsidRPr="00F46A82" w14:paraId="25500A33" w14:textId="77777777" w:rsidTr="003D2438">
        <w:tc>
          <w:tcPr>
            <w:tcW w:w="318" w:type="pct"/>
            <w:shd w:val="clear" w:color="auto" w:fill="5C5C5C"/>
            <w:vAlign w:val="center"/>
          </w:tcPr>
          <w:p w14:paraId="65385488" w14:textId="77777777" w:rsidR="00F46A82" w:rsidRPr="00F46A82" w:rsidRDefault="00F46A82" w:rsidP="00F46A82">
            <w:pPr>
              <w:tabs>
                <w:tab w:val="left" w:pos="284"/>
              </w:tabs>
              <w:rPr>
                <w:rFonts w:ascii="Tahoma" w:hAnsi="Tahoma" w:cs="Tahoma"/>
                <w:bCs/>
                <w:iCs/>
                <w:color w:val="FFFFFF"/>
                <w:sz w:val="22"/>
              </w:rPr>
            </w:pPr>
            <w:r w:rsidRPr="00F46A82">
              <w:rPr>
                <w:rFonts w:ascii="Tahoma" w:hAnsi="Tahoma" w:cs="Tahoma"/>
                <w:bCs/>
                <w:iCs/>
                <w:color w:val="FFFFFF"/>
                <w:sz w:val="22"/>
              </w:rPr>
              <w:t>3.</w:t>
            </w:r>
          </w:p>
        </w:tc>
        <w:tc>
          <w:tcPr>
            <w:tcW w:w="4682" w:type="pct"/>
            <w:gridSpan w:val="2"/>
            <w:shd w:val="clear" w:color="auto" w:fill="5C5C5C"/>
            <w:vAlign w:val="center"/>
          </w:tcPr>
          <w:p w14:paraId="3D0FE1A3" w14:textId="77777777" w:rsidR="00F46A82" w:rsidRPr="00F46A82" w:rsidRDefault="00F46A82" w:rsidP="00F46A82">
            <w:pPr>
              <w:tabs>
                <w:tab w:val="left" w:pos="284"/>
              </w:tabs>
              <w:rPr>
                <w:rFonts w:ascii="Tahoma" w:hAnsi="Tahoma" w:cs="Tahoma"/>
                <w:bCs/>
                <w:iCs/>
                <w:color w:val="FFFFFF"/>
                <w:sz w:val="22"/>
              </w:rPr>
            </w:pPr>
            <w:r w:rsidRPr="00F46A82">
              <w:rPr>
                <w:rFonts w:ascii="Tahoma" w:hAnsi="Tahoma" w:cs="Tahoma"/>
                <w:bCs/>
                <w:iCs/>
                <w:color w:val="FFFFFF"/>
                <w:sz w:val="22"/>
              </w:rPr>
              <w:t>Накопительный счет в юанях</w:t>
            </w:r>
          </w:p>
        </w:tc>
      </w:tr>
      <w:tr w:rsidR="00F46A82" w:rsidRPr="00F46A82" w14:paraId="408E3C63" w14:textId="77777777" w:rsidTr="003D2438">
        <w:tc>
          <w:tcPr>
            <w:tcW w:w="318" w:type="pct"/>
            <w:shd w:val="clear" w:color="auto" w:fill="auto"/>
            <w:vAlign w:val="center"/>
          </w:tcPr>
          <w:p w14:paraId="0AA41428" w14:textId="77777777" w:rsidR="00F46A82" w:rsidRPr="00F46A82" w:rsidRDefault="00F46A82" w:rsidP="00F46A82">
            <w:pPr>
              <w:tabs>
                <w:tab w:val="left" w:pos="284"/>
              </w:tabs>
              <w:rPr>
                <w:rFonts w:ascii="Tahoma" w:hAnsi="Tahoma" w:cs="Tahoma"/>
                <w:bCs/>
                <w:iCs/>
                <w:color w:val="000000"/>
                <w:sz w:val="22"/>
                <w:szCs w:val="22"/>
              </w:rPr>
            </w:pPr>
            <w:r w:rsidRPr="00F46A82">
              <w:rPr>
                <w:rFonts w:ascii="Tahoma" w:hAnsi="Tahoma" w:cs="Tahoma"/>
                <w:bCs/>
                <w:iCs/>
                <w:color w:val="000000"/>
                <w:sz w:val="22"/>
                <w:szCs w:val="22"/>
              </w:rPr>
              <w:t>3.1.</w:t>
            </w:r>
          </w:p>
        </w:tc>
        <w:tc>
          <w:tcPr>
            <w:tcW w:w="1843" w:type="pct"/>
            <w:shd w:val="clear" w:color="auto" w:fill="auto"/>
            <w:vAlign w:val="center"/>
          </w:tcPr>
          <w:p w14:paraId="53A5FCE6"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Валюта Накопительного счета</w:t>
            </w:r>
          </w:p>
        </w:tc>
        <w:tc>
          <w:tcPr>
            <w:tcW w:w="2839" w:type="pct"/>
            <w:shd w:val="clear" w:color="auto" w:fill="auto"/>
            <w:vAlign w:val="center"/>
          </w:tcPr>
          <w:p w14:paraId="21E3F081" w14:textId="77777777" w:rsidR="00F46A82" w:rsidRPr="00F46A82" w:rsidRDefault="00F46A82" w:rsidP="00F46A82">
            <w:pPr>
              <w:tabs>
                <w:tab w:val="left" w:pos="4889"/>
              </w:tabs>
              <w:jc w:val="center"/>
              <w:rPr>
                <w:rFonts w:ascii="Tahoma" w:hAnsi="Tahoma" w:cs="Tahoma"/>
                <w:b/>
                <w:bCs/>
                <w:sz w:val="22"/>
                <w:szCs w:val="22"/>
              </w:rPr>
            </w:pPr>
            <w:r w:rsidRPr="00F46A82">
              <w:rPr>
                <w:rFonts w:ascii="Tahoma" w:hAnsi="Tahoma" w:cs="Tahoma"/>
                <w:b/>
                <w:bCs/>
                <w:sz w:val="22"/>
                <w:szCs w:val="22"/>
              </w:rPr>
              <w:t>Юань</w:t>
            </w:r>
          </w:p>
        </w:tc>
      </w:tr>
      <w:tr w:rsidR="00F46A82" w:rsidRPr="00F46A82" w14:paraId="1713A0F5" w14:textId="77777777" w:rsidTr="003D2438">
        <w:tc>
          <w:tcPr>
            <w:tcW w:w="318" w:type="pct"/>
            <w:shd w:val="clear" w:color="auto" w:fill="auto"/>
            <w:vAlign w:val="center"/>
          </w:tcPr>
          <w:p w14:paraId="2BAF6C4C" w14:textId="77777777" w:rsidR="00F46A82" w:rsidRPr="00F46A82" w:rsidRDefault="00F46A82" w:rsidP="00F46A82">
            <w:pPr>
              <w:tabs>
                <w:tab w:val="left" w:pos="284"/>
              </w:tabs>
              <w:rPr>
                <w:rFonts w:ascii="Tahoma" w:hAnsi="Tahoma" w:cs="Tahoma"/>
                <w:bCs/>
                <w:iCs/>
                <w:color w:val="000000"/>
                <w:sz w:val="22"/>
                <w:szCs w:val="22"/>
              </w:rPr>
            </w:pPr>
            <w:r w:rsidRPr="00F46A82">
              <w:rPr>
                <w:rFonts w:ascii="Tahoma" w:hAnsi="Tahoma" w:cs="Tahoma"/>
                <w:bCs/>
                <w:iCs/>
                <w:color w:val="000000"/>
                <w:sz w:val="22"/>
                <w:szCs w:val="22"/>
              </w:rPr>
              <w:t>3.2.</w:t>
            </w:r>
          </w:p>
        </w:tc>
        <w:tc>
          <w:tcPr>
            <w:tcW w:w="1843" w:type="pct"/>
            <w:shd w:val="clear" w:color="auto" w:fill="auto"/>
            <w:vAlign w:val="center"/>
          </w:tcPr>
          <w:p w14:paraId="03DA5A48"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Процентная ставка на Ежедневный остаток денежных</w:t>
            </w:r>
          </w:p>
          <w:p w14:paraId="6AC6383F"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средств по Накопительному счету в юанях, %</w:t>
            </w:r>
          </w:p>
          <w:p w14:paraId="5168BCA6"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годовых</w:t>
            </w:r>
            <w:r w:rsidRPr="00F46A82">
              <w:rPr>
                <w:rFonts w:ascii="Tahoma" w:hAnsi="Tahoma" w:cs="Tahoma"/>
                <w:bCs/>
                <w:iCs/>
                <w:sz w:val="22"/>
                <w:szCs w:val="22"/>
                <w:vertAlign w:val="superscript"/>
              </w:rPr>
              <w:footnoteReference w:id="225"/>
            </w:r>
          </w:p>
        </w:tc>
        <w:tc>
          <w:tcPr>
            <w:tcW w:w="2839" w:type="pct"/>
            <w:shd w:val="clear" w:color="auto" w:fill="auto"/>
            <w:vAlign w:val="center"/>
          </w:tcPr>
          <w:p w14:paraId="3A1A1E92" w14:textId="77777777" w:rsidR="00F46A82" w:rsidRPr="00F46A82" w:rsidRDefault="00F46A82" w:rsidP="00F46A82">
            <w:pPr>
              <w:tabs>
                <w:tab w:val="left" w:pos="4889"/>
              </w:tabs>
              <w:jc w:val="center"/>
              <w:rPr>
                <w:rFonts w:ascii="Tahoma" w:hAnsi="Tahoma" w:cs="Tahoma"/>
                <w:b/>
                <w:bCs/>
                <w:sz w:val="22"/>
                <w:szCs w:val="22"/>
              </w:rPr>
            </w:pPr>
            <w:r w:rsidRPr="00F46A82">
              <w:rPr>
                <w:rFonts w:ascii="Tahoma" w:hAnsi="Tahoma" w:cs="Tahoma"/>
                <w:bCs/>
                <w:sz w:val="22"/>
                <w:szCs w:val="22"/>
              </w:rPr>
              <w:t>0,5%</w:t>
            </w:r>
          </w:p>
        </w:tc>
      </w:tr>
      <w:tr w:rsidR="00F46A82" w:rsidRPr="00F46A82" w14:paraId="085604C3" w14:textId="77777777" w:rsidTr="003D2438">
        <w:tc>
          <w:tcPr>
            <w:tcW w:w="318" w:type="pct"/>
            <w:shd w:val="clear" w:color="auto" w:fill="auto"/>
            <w:vAlign w:val="center"/>
          </w:tcPr>
          <w:p w14:paraId="67128947" w14:textId="77777777" w:rsidR="00F46A82" w:rsidRPr="00F46A82" w:rsidRDefault="00F46A82" w:rsidP="00F46A82">
            <w:pPr>
              <w:tabs>
                <w:tab w:val="left" w:pos="284"/>
              </w:tabs>
              <w:rPr>
                <w:rFonts w:ascii="Tahoma" w:hAnsi="Tahoma" w:cs="Tahoma"/>
                <w:bCs/>
                <w:iCs/>
                <w:color w:val="000000"/>
                <w:sz w:val="22"/>
                <w:szCs w:val="22"/>
              </w:rPr>
            </w:pPr>
            <w:r w:rsidRPr="00F46A82">
              <w:rPr>
                <w:rFonts w:ascii="Tahoma" w:hAnsi="Tahoma" w:cs="Tahoma"/>
                <w:bCs/>
                <w:iCs/>
                <w:color w:val="000000"/>
                <w:sz w:val="22"/>
                <w:szCs w:val="22"/>
              </w:rPr>
              <w:t>3.3.</w:t>
            </w:r>
          </w:p>
        </w:tc>
        <w:tc>
          <w:tcPr>
            <w:tcW w:w="1843" w:type="pct"/>
            <w:shd w:val="clear" w:color="auto" w:fill="auto"/>
            <w:vAlign w:val="center"/>
          </w:tcPr>
          <w:p w14:paraId="4D29646D"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Максимальная сумма, размещенная на Накопительном счете в юанях, свыше которой начисление процентов не осуществляется</w:t>
            </w:r>
          </w:p>
        </w:tc>
        <w:tc>
          <w:tcPr>
            <w:tcW w:w="2839" w:type="pct"/>
            <w:shd w:val="clear" w:color="auto" w:fill="auto"/>
            <w:vAlign w:val="center"/>
          </w:tcPr>
          <w:p w14:paraId="47FE7833" w14:textId="77777777" w:rsidR="00F46A82" w:rsidRPr="00F46A82" w:rsidRDefault="00F46A82" w:rsidP="00F46A82">
            <w:pPr>
              <w:tabs>
                <w:tab w:val="left" w:pos="4889"/>
              </w:tabs>
              <w:jc w:val="center"/>
              <w:rPr>
                <w:rFonts w:ascii="Tahoma" w:hAnsi="Tahoma" w:cs="Tahoma"/>
                <w:b/>
                <w:bCs/>
                <w:iCs/>
                <w:sz w:val="22"/>
                <w:szCs w:val="22"/>
              </w:rPr>
            </w:pPr>
            <w:r w:rsidRPr="00F46A82">
              <w:rPr>
                <w:rFonts w:ascii="Tahoma" w:hAnsi="Tahoma" w:cs="Tahoma"/>
                <w:b/>
                <w:bCs/>
                <w:sz w:val="22"/>
                <w:szCs w:val="22"/>
              </w:rPr>
              <w:t>Не предусмотрено</w:t>
            </w:r>
          </w:p>
        </w:tc>
      </w:tr>
      <w:tr w:rsidR="00F46A82" w:rsidRPr="00F46A82" w14:paraId="11C17BCA" w14:textId="77777777" w:rsidTr="00F46A82">
        <w:tc>
          <w:tcPr>
            <w:tcW w:w="318" w:type="pct"/>
            <w:shd w:val="clear" w:color="auto" w:fill="595959"/>
            <w:vAlign w:val="center"/>
          </w:tcPr>
          <w:p w14:paraId="67016436" w14:textId="77777777" w:rsidR="00F46A82" w:rsidRPr="00F46A82" w:rsidDel="00860D0C" w:rsidRDefault="00F46A82" w:rsidP="00F46A82">
            <w:pPr>
              <w:tabs>
                <w:tab w:val="left" w:pos="284"/>
              </w:tabs>
              <w:rPr>
                <w:rFonts w:ascii="Tahoma" w:hAnsi="Tahoma" w:cs="Tahoma"/>
                <w:bCs/>
                <w:iCs/>
                <w:color w:val="FFFFFF"/>
                <w:sz w:val="22"/>
              </w:rPr>
            </w:pPr>
            <w:r w:rsidRPr="00F46A82">
              <w:rPr>
                <w:rFonts w:ascii="Tahoma" w:hAnsi="Tahoma" w:cs="Tahoma"/>
                <w:bCs/>
                <w:iCs/>
                <w:color w:val="FFFFFF"/>
                <w:sz w:val="22"/>
              </w:rPr>
              <w:t>4.</w:t>
            </w:r>
          </w:p>
        </w:tc>
        <w:tc>
          <w:tcPr>
            <w:tcW w:w="4682" w:type="pct"/>
            <w:gridSpan w:val="2"/>
            <w:shd w:val="clear" w:color="auto" w:fill="595959"/>
            <w:vAlign w:val="center"/>
          </w:tcPr>
          <w:p w14:paraId="3B6E4E60" w14:textId="77777777" w:rsidR="00F46A82" w:rsidRPr="00F46A82" w:rsidDel="00860D0C" w:rsidRDefault="00F46A82" w:rsidP="00F46A82">
            <w:pPr>
              <w:tabs>
                <w:tab w:val="left" w:pos="4889"/>
              </w:tabs>
              <w:rPr>
                <w:rFonts w:ascii="Tahoma" w:hAnsi="Tahoma" w:cs="Tahoma"/>
                <w:bCs/>
                <w:iCs/>
                <w:color w:val="FFFFFF"/>
                <w:sz w:val="22"/>
              </w:rPr>
            </w:pPr>
            <w:r w:rsidRPr="00F46A82">
              <w:rPr>
                <w:rFonts w:ascii="Tahoma" w:hAnsi="Tahoma" w:cs="Tahoma"/>
                <w:b/>
                <w:bCs/>
                <w:iCs/>
                <w:color w:val="FFFFFF"/>
                <w:sz w:val="22"/>
                <w:szCs w:val="22"/>
              </w:rPr>
              <w:t>Условия выдачи наличных денежных средств в пунктах выдачи наличных Банка с Накопительного счета</w:t>
            </w:r>
          </w:p>
        </w:tc>
      </w:tr>
      <w:tr w:rsidR="00F46A82" w:rsidRPr="00F46A82" w14:paraId="6F83482F" w14:textId="77777777" w:rsidTr="003D2438">
        <w:trPr>
          <w:trHeight w:val="614"/>
        </w:trPr>
        <w:tc>
          <w:tcPr>
            <w:tcW w:w="318" w:type="pct"/>
            <w:shd w:val="clear" w:color="auto" w:fill="auto"/>
            <w:vAlign w:val="center"/>
          </w:tcPr>
          <w:p w14:paraId="46B6AFBA" w14:textId="77777777" w:rsidR="00F46A82" w:rsidRPr="00F46A82" w:rsidRDefault="00F46A82" w:rsidP="00F46A82">
            <w:pPr>
              <w:tabs>
                <w:tab w:val="left" w:pos="284"/>
              </w:tabs>
              <w:rPr>
                <w:rFonts w:ascii="Tahoma" w:hAnsi="Tahoma" w:cs="Tahoma"/>
                <w:bCs/>
                <w:iCs/>
                <w:sz w:val="22"/>
                <w:szCs w:val="22"/>
              </w:rPr>
            </w:pPr>
            <w:r w:rsidRPr="00F46A82">
              <w:rPr>
                <w:rFonts w:ascii="Tahoma" w:hAnsi="Tahoma" w:cs="Tahoma"/>
                <w:bCs/>
                <w:iCs/>
                <w:sz w:val="22"/>
                <w:szCs w:val="22"/>
              </w:rPr>
              <w:t>4.1.</w:t>
            </w:r>
          </w:p>
        </w:tc>
        <w:tc>
          <w:tcPr>
            <w:tcW w:w="1843" w:type="pct"/>
            <w:shd w:val="clear" w:color="auto" w:fill="auto"/>
            <w:vAlign w:val="center"/>
          </w:tcPr>
          <w:p w14:paraId="69804703" w14:textId="77777777" w:rsidR="00F46A82" w:rsidRPr="00F46A82" w:rsidRDefault="00F46A82" w:rsidP="00F46A82">
            <w:pPr>
              <w:tabs>
                <w:tab w:val="left" w:pos="4889"/>
              </w:tabs>
              <w:rPr>
                <w:rFonts w:ascii="Tahoma" w:hAnsi="Tahoma" w:cs="Tahoma"/>
                <w:bCs/>
                <w:iCs/>
                <w:sz w:val="22"/>
                <w:szCs w:val="22"/>
              </w:rPr>
            </w:pPr>
            <w:r w:rsidRPr="00F46A82">
              <w:rPr>
                <w:rFonts w:ascii="Tahoma" w:hAnsi="Tahoma" w:cs="Tahoma"/>
                <w:bCs/>
                <w:iCs/>
                <w:sz w:val="22"/>
                <w:szCs w:val="22"/>
              </w:rPr>
              <w:t>Выдача наличных денежных средств, поступивших на Накопительный счет наличным способом</w:t>
            </w:r>
          </w:p>
        </w:tc>
        <w:tc>
          <w:tcPr>
            <w:tcW w:w="2839" w:type="pct"/>
            <w:vMerge w:val="restart"/>
            <w:shd w:val="clear" w:color="auto" w:fill="auto"/>
            <w:vAlign w:val="center"/>
          </w:tcPr>
          <w:p w14:paraId="79313320" w14:textId="77777777" w:rsidR="00F46A82" w:rsidRPr="00F46A82" w:rsidRDefault="00F46A82" w:rsidP="00F46A82">
            <w:pPr>
              <w:tabs>
                <w:tab w:val="left" w:pos="4889"/>
              </w:tabs>
              <w:jc w:val="center"/>
              <w:rPr>
                <w:rFonts w:ascii="Tahoma" w:hAnsi="Tahoma" w:cs="Tahoma"/>
                <w:b/>
                <w:bCs/>
                <w:iCs/>
                <w:sz w:val="22"/>
                <w:szCs w:val="22"/>
              </w:rPr>
            </w:pPr>
            <w:r w:rsidRPr="00F46A82">
              <w:rPr>
                <w:rFonts w:ascii="Tahoma" w:hAnsi="Tahoma" w:cs="Tahoma"/>
                <w:b/>
                <w:bCs/>
                <w:iCs/>
                <w:sz w:val="22"/>
                <w:szCs w:val="22"/>
              </w:rPr>
              <w:t>БЕСПЛАТНО</w:t>
            </w:r>
          </w:p>
        </w:tc>
      </w:tr>
      <w:tr w:rsidR="00F46A82" w:rsidRPr="00F46A82" w14:paraId="69B97D78" w14:textId="77777777" w:rsidTr="003D2438">
        <w:trPr>
          <w:trHeight w:val="711"/>
        </w:trPr>
        <w:tc>
          <w:tcPr>
            <w:tcW w:w="318" w:type="pct"/>
            <w:shd w:val="clear" w:color="auto" w:fill="auto"/>
            <w:vAlign w:val="center"/>
          </w:tcPr>
          <w:p w14:paraId="1A753321" w14:textId="77777777" w:rsidR="00F46A82" w:rsidRPr="00F46A82" w:rsidRDefault="00F46A82" w:rsidP="00F46A82">
            <w:pPr>
              <w:tabs>
                <w:tab w:val="left" w:pos="284"/>
              </w:tabs>
              <w:rPr>
                <w:rFonts w:ascii="Tahoma" w:hAnsi="Tahoma" w:cs="Tahoma"/>
                <w:bCs/>
                <w:iCs/>
                <w:sz w:val="22"/>
                <w:szCs w:val="22"/>
              </w:rPr>
            </w:pPr>
            <w:r w:rsidRPr="00F46A82">
              <w:rPr>
                <w:rFonts w:ascii="Tahoma" w:hAnsi="Tahoma" w:cs="Tahoma"/>
                <w:bCs/>
                <w:iCs/>
                <w:sz w:val="22"/>
                <w:szCs w:val="22"/>
              </w:rPr>
              <w:t>4.2.</w:t>
            </w:r>
          </w:p>
        </w:tc>
        <w:tc>
          <w:tcPr>
            <w:tcW w:w="1843" w:type="pct"/>
            <w:shd w:val="clear" w:color="auto" w:fill="auto"/>
            <w:vAlign w:val="center"/>
          </w:tcPr>
          <w:p w14:paraId="1D373CCD" w14:textId="77777777" w:rsidR="00F46A82" w:rsidRPr="00F46A82" w:rsidRDefault="00F46A82" w:rsidP="00F46A82">
            <w:pPr>
              <w:tabs>
                <w:tab w:val="left" w:pos="4889"/>
              </w:tabs>
              <w:rPr>
                <w:rFonts w:ascii="Tahoma" w:hAnsi="Tahoma" w:cs="Tahoma"/>
                <w:bCs/>
                <w:iCs/>
                <w:sz w:val="22"/>
                <w:szCs w:val="22"/>
              </w:rPr>
            </w:pPr>
            <w:r w:rsidRPr="00F46A82">
              <w:rPr>
                <w:rFonts w:ascii="Tahoma" w:hAnsi="Tahoma" w:cs="Tahoma"/>
                <w:bCs/>
                <w:iCs/>
                <w:sz w:val="22"/>
                <w:szCs w:val="22"/>
              </w:rPr>
              <w:t>Выдача наличных денежных средств, поступивших на Накопительный счет безналичным способом со счетов Клиента, открытых в Банке как на физическое лицо, при совокупном сроке хранения этих денежных средств на этих счетах не менее 30 (тридцати) календарных дней (включительно) с даты их поступления</w:t>
            </w:r>
          </w:p>
        </w:tc>
        <w:tc>
          <w:tcPr>
            <w:tcW w:w="2839" w:type="pct"/>
            <w:vMerge/>
            <w:shd w:val="clear" w:color="auto" w:fill="auto"/>
            <w:vAlign w:val="center"/>
          </w:tcPr>
          <w:p w14:paraId="6B2446B5" w14:textId="77777777" w:rsidR="00F46A82" w:rsidRPr="00F46A82" w:rsidRDefault="00F46A82" w:rsidP="00F46A82">
            <w:pPr>
              <w:tabs>
                <w:tab w:val="left" w:pos="4889"/>
              </w:tabs>
              <w:jc w:val="center"/>
              <w:rPr>
                <w:rFonts w:ascii="Tahoma" w:hAnsi="Tahoma" w:cs="Tahoma"/>
                <w:b/>
                <w:bCs/>
                <w:iCs/>
                <w:sz w:val="22"/>
                <w:szCs w:val="22"/>
              </w:rPr>
            </w:pPr>
          </w:p>
        </w:tc>
      </w:tr>
      <w:tr w:rsidR="00F46A82" w:rsidRPr="00F46A82" w14:paraId="1B2201BE" w14:textId="77777777" w:rsidTr="003D2438">
        <w:trPr>
          <w:trHeight w:val="1432"/>
        </w:trPr>
        <w:tc>
          <w:tcPr>
            <w:tcW w:w="318" w:type="pct"/>
            <w:shd w:val="clear" w:color="auto" w:fill="auto"/>
            <w:vAlign w:val="center"/>
          </w:tcPr>
          <w:p w14:paraId="0C0F5E35" w14:textId="77777777" w:rsidR="00F46A82" w:rsidRPr="00F46A82" w:rsidRDefault="00F46A82" w:rsidP="00F46A82">
            <w:pPr>
              <w:tabs>
                <w:tab w:val="left" w:pos="284"/>
              </w:tabs>
              <w:rPr>
                <w:rFonts w:ascii="Tahoma" w:hAnsi="Tahoma" w:cs="Tahoma"/>
                <w:bCs/>
                <w:iCs/>
                <w:sz w:val="22"/>
                <w:szCs w:val="22"/>
              </w:rPr>
            </w:pPr>
            <w:r w:rsidRPr="00F46A82">
              <w:rPr>
                <w:rFonts w:ascii="Tahoma" w:hAnsi="Tahoma" w:cs="Tahoma"/>
                <w:bCs/>
                <w:iCs/>
                <w:sz w:val="22"/>
                <w:szCs w:val="22"/>
              </w:rPr>
              <w:t>4.3.</w:t>
            </w:r>
          </w:p>
        </w:tc>
        <w:tc>
          <w:tcPr>
            <w:tcW w:w="1843" w:type="pct"/>
            <w:shd w:val="clear" w:color="auto" w:fill="auto"/>
            <w:vAlign w:val="center"/>
          </w:tcPr>
          <w:p w14:paraId="449DC329" w14:textId="77777777" w:rsidR="00F46A82" w:rsidRPr="00F46A82" w:rsidRDefault="00F46A82" w:rsidP="00F46A82">
            <w:pPr>
              <w:tabs>
                <w:tab w:val="left" w:pos="4889"/>
              </w:tabs>
              <w:rPr>
                <w:rFonts w:ascii="Tahoma" w:hAnsi="Tahoma" w:cs="Tahoma"/>
                <w:bCs/>
                <w:iCs/>
                <w:sz w:val="22"/>
                <w:szCs w:val="22"/>
              </w:rPr>
            </w:pPr>
            <w:r w:rsidRPr="00F46A82">
              <w:rPr>
                <w:rFonts w:ascii="Tahoma" w:hAnsi="Tahoma" w:cs="Tahoma"/>
                <w:bCs/>
                <w:iCs/>
                <w:sz w:val="22"/>
                <w:szCs w:val="22"/>
              </w:rPr>
              <w:t xml:space="preserve">Выдача наличных денежных средств, поступивших на Накопительный счет безналичным способом со счетов Клиента, открытых в Банке как на физическое лицо, со счетов других клиентов Банка, а также со счетов, открытых в других банках при совокупном сроке хранения этих денежных средств на этих счетах </w:t>
            </w:r>
            <w:r w:rsidRPr="00F46A82">
              <w:rPr>
                <w:rFonts w:ascii="Tahoma" w:hAnsi="Tahoma" w:cs="Tahoma"/>
                <w:b/>
                <w:bCs/>
                <w:iCs/>
                <w:sz w:val="22"/>
                <w:szCs w:val="22"/>
              </w:rPr>
              <w:t>менее 30</w:t>
            </w:r>
            <w:r w:rsidRPr="00F46A82">
              <w:rPr>
                <w:rFonts w:ascii="Tahoma" w:hAnsi="Tahoma" w:cs="Tahoma"/>
                <w:bCs/>
                <w:iCs/>
                <w:sz w:val="22"/>
                <w:szCs w:val="22"/>
              </w:rPr>
              <w:t xml:space="preserve"> (тридцати) </w:t>
            </w:r>
            <w:r w:rsidRPr="00F46A82">
              <w:rPr>
                <w:rFonts w:ascii="Tahoma" w:hAnsi="Tahoma" w:cs="Tahoma"/>
                <w:b/>
                <w:bCs/>
                <w:iCs/>
                <w:sz w:val="22"/>
                <w:szCs w:val="22"/>
              </w:rPr>
              <w:t>календарных дней</w:t>
            </w:r>
            <w:r w:rsidRPr="00F46A82">
              <w:rPr>
                <w:rFonts w:ascii="Tahoma" w:hAnsi="Tahoma" w:cs="Tahoma"/>
                <w:bCs/>
                <w:iCs/>
                <w:sz w:val="22"/>
                <w:szCs w:val="22"/>
              </w:rPr>
              <w:t xml:space="preserve"> с даты их поступления</w:t>
            </w:r>
          </w:p>
        </w:tc>
        <w:tc>
          <w:tcPr>
            <w:tcW w:w="2839" w:type="pct"/>
            <w:shd w:val="clear" w:color="auto" w:fill="auto"/>
            <w:vAlign w:val="center"/>
          </w:tcPr>
          <w:p w14:paraId="7354E6AA" w14:textId="77777777" w:rsidR="00F46A82" w:rsidRPr="00F46A82" w:rsidRDefault="00F46A82" w:rsidP="00F46A82">
            <w:pPr>
              <w:tabs>
                <w:tab w:val="left" w:pos="4889"/>
              </w:tabs>
              <w:jc w:val="center"/>
              <w:rPr>
                <w:rFonts w:ascii="Tahoma" w:hAnsi="Tahoma" w:cs="Tahoma"/>
                <w:bCs/>
                <w:iCs/>
                <w:sz w:val="22"/>
                <w:szCs w:val="22"/>
              </w:rPr>
            </w:pPr>
            <w:r w:rsidRPr="00F46A82">
              <w:rPr>
                <w:rFonts w:ascii="Tahoma" w:hAnsi="Tahoma" w:cs="Tahoma"/>
                <w:b/>
                <w:bCs/>
                <w:iCs/>
                <w:sz w:val="22"/>
                <w:szCs w:val="22"/>
              </w:rPr>
              <w:t>5%</w:t>
            </w:r>
            <w:r w:rsidRPr="00F46A82">
              <w:rPr>
                <w:rFonts w:ascii="Tahoma" w:hAnsi="Tahoma" w:cs="Tahoma"/>
                <w:bCs/>
                <w:iCs/>
                <w:sz w:val="22"/>
                <w:szCs w:val="22"/>
              </w:rPr>
              <w:t xml:space="preserve"> от суммы операции</w:t>
            </w:r>
            <w:r w:rsidRPr="00F46A82">
              <w:rPr>
                <w:rFonts w:ascii="Tahoma" w:hAnsi="Tahoma" w:cs="Tahoma"/>
                <w:bCs/>
                <w:iCs/>
                <w:sz w:val="22"/>
                <w:szCs w:val="22"/>
                <w:vertAlign w:val="superscript"/>
              </w:rPr>
              <w:footnoteReference w:id="226"/>
            </w:r>
          </w:p>
        </w:tc>
      </w:tr>
      <w:tr w:rsidR="00F46A82" w:rsidRPr="00F46A82" w14:paraId="5BEB0BE9" w14:textId="77777777" w:rsidTr="003D2438">
        <w:trPr>
          <w:trHeight w:val="1432"/>
        </w:trPr>
        <w:tc>
          <w:tcPr>
            <w:tcW w:w="318" w:type="pct"/>
            <w:shd w:val="clear" w:color="auto" w:fill="auto"/>
            <w:vAlign w:val="center"/>
          </w:tcPr>
          <w:p w14:paraId="02A9A4C7" w14:textId="77777777" w:rsidR="00F46A82" w:rsidRPr="00F46A82" w:rsidRDefault="00F46A82" w:rsidP="00F46A82">
            <w:pPr>
              <w:tabs>
                <w:tab w:val="left" w:pos="284"/>
              </w:tabs>
              <w:rPr>
                <w:rFonts w:ascii="Tahoma" w:hAnsi="Tahoma" w:cs="Tahoma"/>
                <w:bCs/>
                <w:iCs/>
                <w:sz w:val="22"/>
                <w:szCs w:val="22"/>
              </w:rPr>
            </w:pPr>
            <w:r w:rsidRPr="00F46A82">
              <w:rPr>
                <w:rFonts w:ascii="Tahoma" w:hAnsi="Tahoma" w:cs="Tahoma"/>
                <w:bCs/>
                <w:iCs/>
                <w:sz w:val="22"/>
                <w:szCs w:val="22"/>
              </w:rPr>
              <w:t>4.4.</w:t>
            </w:r>
          </w:p>
        </w:tc>
        <w:tc>
          <w:tcPr>
            <w:tcW w:w="1843" w:type="pct"/>
            <w:shd w:val="clear" w:color="auto" w:fill="auto"/>
            <w:vAlign w:val="center"/>
          </w:tcPr>
          <w:p w14:paraId="41231619" w14:textId="77777777" w:rsidR="00F46A82" w:rsidRPr="00F46A82" w:rsidRDefault="00F46A82" w:rsidP="00F46A82">
            <w:pPr>
              <w:tabs>
                <w:tab w:val="left" w:pos="4889"/>
              </w:tabs>
              <w:rPr>
                <w:rFonts w:ascii="Tahoma" w:hAnsi="Tahoma" w:cs="Tahoma"/>
                <w:bCs/>
                <w:iCs/>
                <w:sz w:val="22"/>
                <w:szCs w:val="22"/>
              </w:rPr>
            </w:pPr>
            <w:r w:rsidRPr="00F46A82">
              <w:rPr>
                <w:rFonts w:ascii="Tahoma" w:hAnsi="Tahoma" w:cs="Tahoma"/>
                <w:bCs/>
                <w:iCs/>
                <w:sz w:val="22"/>
                <w:szCs w:val="22"/>
              </w:rPr>
              <w:t xml:space="preserve">Выдача наличных денежных средств, поступивших на Накопительный счет безналичным способом со счетов других клиентов Банка, а также со счетов, открытых в других банках при совокупном сроке хранения этих денежных средств на этих счетах </w:t>
            </w:r>
            <w:r w:rsidRPr="00F46A82">
              <w:rPr>
                <w:rFonts w:ascii="Tahoma" w:hAnsi="Tahoma" w:cs="Tahoma"/>
                <w:b/>
                <w:bCs/>
                <w:iCs/>
                <w:sz w:val="22"/>
                <w:szCs w:val="22"/>
              </w:rPr>
              <w:t>не менее 30</w:t>
            </w:r>
            <w:r w:rsidRPr="00F46A82">
              <w:rPr>
                <w:rFonts w:ascii="Tahoma" w:hAnsi="Tahoma" w:cs="Tahoma"/>
                <w:bCs/>
                <w:iCs/>
                <w:sz w:val="22"/>
                <w:szCs w:val="22"/>
              </w:rPr>
              <w:t xml:space="preserve"> (тридцати) </w:t>
            </w:r>
            <w:r w:rsidRPr="00F46A82">
              <w:rPr>
                <w:rFonts w:ascii="Tahoma" w:hAnsi="Tahoma" w:cs="Tahoma"/>
                <w:b/>
                <w:bCs/>
                <w:iCs/>
                <w:sz w:val="22"/>
                <w:szCs w:val="22"/>
              </w:rPr>
              <w:t>календарных дней</w:t>
            </w:r>
            <w:r w:rsidRPr="00F46A82">
              <w:rPr>
                <w:rFonts w:ascii="Tahoma" w:hAnsi="Tahoma" w:cs="Tahoma"/>
                <w:bCs/>
                <w:iCs/>
                <w:sz w:val="22"/>
                <w:szCs w:val="22"/>
              </w:rPr>
              <w:t xml:space="preserve"> (включительно)с даты их поступления</w:t>
            </w:r>
          </w:p>
        </w:tc>
        <w:tc>
          <w:tcPr>
            <w:tcW w:w="2839" w:type="pct"/>
            <w:shd w:val="clear" w:color="auto" w:fill="auto"/>
            <w:vAlign w:val="center"/>
          </w:tcPr>
          <w:p w14:paraId="7A139293" w14:textId="77777777" w:rsidR="00F46A82" w:rsidRPr="00F46A82" w:rsidRDefault="00F46A82" w:rsidP="00F46A82">
            <w:pPr>
              <w:tabs>
                <w:tab w:val="left" w:pos="4889"/>
              </w:tabs>
              <w:jc w:val="center"/>
              <w:rPr>
                <w:rFonts w:ascii="Tahoma" w:hAnsi="Tahoma" w:cs="Tahoma"/>
                <w:b/>
                <w:bCs/>
                <w:iCs/>
                <w:sz w:val="22"/>
                <w:szCs w:val="22"/>
              </w:rPr>
            </w:pPr>
            <w:r w:rsidRPr="00F46A82">
              <w:rPr>
                <w:rFonts w:ascii="Tahoma" w:hAnsi="Tahoma" w:cs="Tahoma"/>
                <w:b/>
                <w:bCs/>
                <w:iCs/>
                <w:sz w:val="22"/>
                <w:szCs w:val="22"/>
              </w:rPr>
              <w:t>БЕСПЛАТНО</w:t>
            </w:r>
          </w:p>
        </w:tc>
      </w:tr>
      <w:tr w:rsidR="00F46A82" w:rsidRPr="00F46A82" w14:paraId="01E5461D" w14:textId="77777777" w:rsidTr="00F46A82">
        <w:trPr>
          <w:trHeight w:val="314"/>
        </w:trPr>
        <w:tc>
          <w:tcPr>
            <w:tcW w:w="318" w:type="pct"/>
            <w:shd w:val="clear" w:color="auto" w:fill="595959"/>
            <w:vAlign w:val="center"/>
          </w:tcPr>
          <w:p w14:paraId="6334C2E2" w14:textId="77777777" w:rsidR="00F46A82" w:rsidRPr="00F46A82" w:rsidRDefault="00F46A82" w:rsidP="00F46A82">
            <w:pPr>
              <w:tabs>
                <w:tab w:val="left" w:pos="284"/>
              </w:tabs>
              <w:rPr>
                <w:rFonts w:ascii="Tahoma" w:hAnsi="Tahoma" w:cs="Tahoma"/>
                <w:b/>
                <w:bCs/>
                <w:iCs/>
                <w:color w:val="FFFFFF"/>
                <w:sz w:val="22"/>
                <w:szCs w:val="22"/>
              </w:rPr>
            </w:pPr>
            <w:r w:rsidRPr="00F46A82">
              <w:rPr>
                <w:rFonts w:ascii="Tahoma" w:hAnsi="Tahoma" w:cs="Tahoma"/>
                <w:b/>
                <w:bCs/>
                <w:iCs/>
                <w:color w:val="FFFFFF"/>
                <w:sz w:val="22"/>
                <w:szCs w:val="22"/>
              </w:rPr>
              <w:t>5.</w:t>
            </w:r>
          </w:p>
        </w:tc>
        <w:tc>
          <w:tcPr>
            <w:tcW w:w="4682" w:type="pct"/>
            <w:gridSpan w:val="2"/>
            <w:shd w:val="clear" w:color="auto" w:fill="595959"/>
            <w:vAlign w:val="center"/>
          </w:tcPr>
          <w:p w14:paraId="7A253EC0" w14:textId="77777777" w:rsidR="00F46A82" w:rsidRPr="00F46A82" w:rsidRDefault="00F46A82" w:rsidP="00F46A82">
            <w:pPr>
              <w:tabs>
                <w:tab w:val="left" w:pos="4889"/>
              </w:tabs>
              <w:rPr>
                <w:rFonts w:ascii="Tahoma" w:hAnsi="Tahoma" w:cs="Tahoma"/>
                <w:b/>
                <w:bCs/>
                <w:iCs/>
                <w:color w:val="FFFFFF"/>
                <w:sz w:val="22"/>
                <w:szCs w:val="22"/>
              </w:rPr>
            </w:pPr>
            <w:r w:rsidRPr="00F46A82">
              <w:rPr>
                <w:rFonts w:ascii="Tahoma" w:hAnsi="Tahoma" w:cs="Tahoma"/>
                <w:b/>
                <w:bCs/>
                <w:iCs/>
                <w:color w:val="FFFFFF"/>
                <w:sz w:val="22"/>
                <w:szCs w:val="22"/>
              </w:rPr>
              <w:t>Условия совершения переводов денежных средств</w:t>
            </w:r>
          </w:p>
        </w:tc>
      </w:tr>
      <w:tr w:rsidR="00F46A82" w:rsidRPr="00F46A82" w14:paraId="7A206871" w14:textId="77777777" w:rsidTr="003D2438">
        <w:trPr>
          <w:trHeight w:val="532"/>
        </w:trPr>
        <w:tc>
          <w:tcPr>
            <w:tcW w:w="318" w:type="pct"/>
            <w:shd w:val="clear" w:color="auto" w:fill="auto"/>
            <w:vAlign w:val="center"/>
          </w:tcPr>
          <w:p w14:paraId="53BF6B79" w14:textId="77777777" w:rsidR="00F46A82" w:rsidRPr="00F46A82" w:rsidRDefault="00F46A82" w:rsidP="00F46A82">
            <w:pPr>
              <w:tabs>
                <w:tab w:val="left" w:pos="284"/>
              </w:tabs>
              <w:rPr>
                <w:rFonts w:ascii="Tahoma" w:hAnsi="Tahoma" w:cs="Tahoma"/>
                <w:bCs/>
                <w:iCs/>
                <w:sz w:val="22"/>
                <w:szCs w:val="22"/>
              </w:rPr>
            </w:pPr>
            <w:r w:rsidRPr="00F46A82">
              <w:rPr>
                <w:rFonts w:ascii="Tahoma" w:hAnsi="Tahoma" w:cs="Tahoma"/>
                <w:bCs/>
                <w:iCs/>
                <w:sz w:val="22"/>
                <w:szCs w:val="22"/>
              </w:rPr>
              <w:t>5.1.</w:t>
            </w:r>
          </w:p>
        </w:tc>
        <w:tc>
          <w:tcPr>
            <w:tcW w:w="4682" w:type="pct"/>
            <w:gridSpan w:val="2"/>
            <w:shd w:val="clear" w:color="auto" w:fill="auto"/>
            <w:vAlign w:val="center"/>
          </w:tcPr>
          <w:p w14:paraId="718AEFDA" w14:textId="77777777" w:rsidR="00F46A82" w:rsidRPr="00F46A82" w:rsidRDefault="00F46A82" w:rsidP="00F46A82">
            <w:pPr>
              <w:tabs>
                <w:tab w:val="left" w:pos="4889"/>
              </w:tabs>
              <w:rPr>
                <w:rFonts w:ascii="Tahoma" w:hAnsi="Tahoma" w:cs="Tahoma"/>
                <w:bCs/>
                <w:iCs/>
                <w:sz w:val="22"/>
                <w:szCs w:val="22"/>
              </w:rPr>
            </w:pPr>
            <w:r w:rsidRPr="00F46A82">
              <w:rPr>
                <w:rFonts w:ascii="Tahoma" w:hAnsi="Tahoma" w:cs="Tahoma"/>
                <w:bCs/>
                <w:iCs/>
                <w:sz w:val="22"/>
                <w:szCs w:val="22"/>
              </w:rPr>
              <w:t xml:space="preserve">Согласно тарифов Банка, указанных в разделе 4.10, размещаемых в Подразделениях Банка и на Сайте Банка </w:t>
            </w:r>
            <w:hyperlink r:id="rId121" w:history="1">
              <w:r w:rsidRPr="00F46A82">
                <w:rPr>
                  <w:rFonts w:ascii="Tahoma" w:hAnsi="Tahoma" w:cs="Tahoma"/>
                  <w:bCs/>
                  <w:iCs/>
                  <w:color w:val="0563C1"/>
                  <w:sz w:val="22"/>
                  <w:szCs w:val="22"/>
                  <w:u w:val="single"/>
                </w:rPr>
                <w:t>www.atb.su/api/document_download/?fileId=6824051&amp;iblockId=29</w:t>
              </w:r>
            </w:hyperlink>
            <w:r w:rsidRPr="00F46A82">
              <w:rPr>
                <w:rFonts w:ascii="Tahoma" w:hAnsi="Tahoma" w:cs="Tahoma"/>
                <w:bCs/>
                <w:iCs/>
                <w:color w:val="0563C1"/>
                <w:sz w:val="22"/>
                <w:szCs w:val="22"/>
                <w:u w:val="single"/>
              </w:rPr>
              <w:t>.</w:t>
            </w:r>
          </w:p>
        </w:tc>
      </w:tr>
      <w:tr w:rsidR="00F46A82" w:rsidRPr="00F46A82" w14:paraId="27D94BD6" w14:textId="77777777" w:rsidTr="00F46A82">
        <w:trPr>
          <w:trHeight w:val="532"/>
        </w:trPr>
        <w:tc>
          <w:tcPr>
            <w:tcW w:w="318" w:type="pct"/>
            <w:shd w:val="clear" w:color="auto" w:fill="595959"/>
            <w:vAlign w:val="center"/>
          </w:tcPr>
          <w:p w14:paraId="4853A6C5" w14:textId="77777777" w:rsidR="00F46A82" w:rsidRPr="00F46A82" w:rsidRDefault="00F46A82" w:rsidP="00F46A82">
            <w:pPr>
              <w:tabs>
                <w:tab w:val="left" w:pos="284"/>
              </w:tabs>
              <w:rPr>
                <w:rFonts w:ascii="Tahoma" w:hAnsi="Tahoma" w:cs="Tahoma"/>
                <w:bCs/>
                <w:iCs/>
                <w:sz w:val="22"/>
                <w:szCs w:val="22"/>
              </w:rPr>
            </w:pPr>
            <w:r w:rsidRPr="00F46A82">
              <w:rPr>
                <w:rFonts w:ascii="Tahoma" w:hAnsi="Tahoma" w:cs="Tahoma"/>
                <w:b/>
                <w:bCs/>
                <w:iCs/>
                <w:color w:val="FFFFFF"/>
                <w:sz w:val="22"/>
                <w:szCs w:val="22"/>
              </w:rPr>
              <w:t>6.</w:t>
            </w:r>
          </w:p>
        </w:tc>
        <w:tc>
          <w:tcPr>
            <w:tcW w:w="4682" w:type="pct"/>
            <w:gridSpan w:val="2"/>
            <w:shd w:val="clear" w:color="auto" w:fill="595959"/>
            <w:vAlign w:val="center"/>
          </w:tcPr>
          <w:p w14:paraId="4C31A6D0" w14:textId="77777777" w:rsidR="00F46A82" w:rsidRPr="00F46A82" w:rsidRDefault="00F46A82" w:rsidP="00F46A82">
            <w:pPr>
              <w:tabs>
                <w:tab w:val="left" w:pos="4889"/>
              </w:tabs>
              <w:rPr>
                <w:rFonts w:ascii="Tahoma" w:hAnsi="Tahoma" w:cs="Tahoma"/>
                <w:bCs/>
                <w:iCs/>
                <w:sz w:val="22"/>
                <w:szCs w:val="22"/>
              </w:rPr>
            </w:pPr>
            <w:r w:rsidRPr="00F46A82">
              <w:rPr>
                <w:rFonts w:ascii="Tahoma" w:hAnsi="Tahoma" w:cs="Tahoma"/>
                <w:b/>
                <w:bCs/>
                <w:iCs/>
                <w:color w:val="FFFFFF"/>
                <w:sz w:val="22"/>
                <w:szCs w:val="22"/>
              </w:rPr>
              <w:t>Страхование денежных средств, находящихся на Накопительном счете</w:t>
            </w:r>
          </w:p>
        </w:tc>
      </w:tr>
      <w:tr w:rsidR="00F46A82" w:rsidRPr="00F46A82" w14:paraId="2B5DB022" w14:textId="77777777" w:rsidTr="003D2438">
        <w:trPr>
          <w:trHeight w:val="532"/>
        </w:trPr>
        <w:tc>
          <w:tcPr>
            <w:tcW w:w="318" w:type="pct"/>
            <w:shd w:val="clear" w:color="auto" w:fill="auto"/>
            <w:vAlign w:val="center"/>
          </w:tcPr>
          <w:p w14:paraId="563F1527" w14:textId="77777777" w:rsidR="00F46A82" w:rsidRPr="00F46A82" w:rsidRDefault="00F46A82" w:rsidP="00F46A82">
            <w:pPr>
              <w:tabs>
                <w:tab w:val="left" w:pos="284"/>
              </w:tabs>
              <w:rPr>
                <w:rFonts w:ascii="Tahoma" w:hAnsi="Tahoma" w:cs="Tahoma"/>
                <w:bCs/>
                <w:iCs/>
                <w:sz w:val="22"/>
                <w:szCs w:val="22"/>
              </w:rPr>
            </w:pPr>
            <w:r w:rsidRPr="00F46A82">
              <w:rPr>
                <w:rFonts w:ascii="Tahoma" w:hAnsi="Tahoma" w:cs="Tahoma"/>
                <w:bCs/>
                <w:iCs/>
                <w:sz w:val="22"/>
                <w:szCs w:val="22"/>
              </w:rPr>
              <w:t>6.1</w:t>
            </w:r>
          </w:p>
        </w:tc>
        <w:tc>
          <w:tcPr>
            <w:tcW w:w="4682" w:type="pct"/>
            <w:gridSpan w:val="2"/>
            <w:shd w:val="clear" w:color="auto" w:fill="auto"/>
            <w:vAlign w:val="center"/>
          </w:tcPr>
          <w:p w14:paraId="4D1B4CCA" w14:textId="77777777" w:rsidR="00F46A82" w:rsidRPr="00F46A82" w:rsidRDefault="00F46A82" w:rsidP="00F46A82">
            <w:pPr>
              <w:autoSpaceDE w:val="0"/>
              <w:autoSpaceDN w:val="0"/>
              <w:adjustRightInd w:val="0"/>
              <w:jc w:val="both"/>
              <w:rPr>
                <w:rFonts w:ascii="Tahoma" w:hAnsi="Tahoma" w:cs="Tahoma"/>
                <w:bCs/>
                <w:iCs/>
                <w:sz w:val="22"/>
                <w:szCs w:val="22"/>
              </w:rPr>
            </w:pPr>
            <w:r w:rsidRPr="00F46A82">
              <w:rPr>
                <w:rFonts w:ascii="Tahoma" w:hAnsi="Tahoma" w:cs="Tahoma"/>
                <w:bCs/>
                <w:iCs/>
                <w:sz w:val="22"/>
                <w:szCs w:val="22"/>
              </w:rPr>
              <w:t>Денежные средства застрахованы в пределах 1 400 000 рублей (либо в пределах эквивалентной суммы в иностранной валюте на день наступления страхового случая) по всем Счетам Клиента в Банке в соответствии с</w:t>
            </w:r>
            <w:r w:rsidRPr="00F46A82">
              <w:rPr>
                <w:rFonts w:ascii="Tahoma" w:hAnsi="Tahoma" w:cs="Tahoma"/>
                <w:bCs/>
                <w:iCs/>
                <w:szCs w:val="22"/>
              </w:rPr>
              <w:t xml:space="preserve"> Федеральным законом от 23.12.2003 N 177-ФЗ </w:t>
            </w:r>
            <w:r w:rsidRPr="00F46A82">
              <w:rPr>
                <w:rFonts w:ascii="Tahoma" w:hAnsi="Tahoma" w:cs="Tahoma"/>
                <w:bCs/>
                <w:iCs/>
                <w:sz w:val="22"/>
                <w:szCs w:val="22"/>
              </w:rPr>
              <w:t>«</w:t>
            </w:r>
            <w:r w:rsidRPr="00F46A82">
              <w:rPr>
                <w:rFonts w:ascii="Tahoma" w:hAnsi="Tahoma" w:cs="Tahoma"/>
                <w:bCs/>
                <w:iCs/>
                <w:szCs w:val="22"/>
              </w:rPr>
              <w:t>О страховании вкладов в банках Российской Федерации</w:t>
            </w:r>
            <w:r w:rsidRPr="00F46A82">
              <w:rPr>
                <w:rFonts w:ascii="Tahoma" w:hAnsi="Tahoma" w:cs="Tahoma"/>
                <w:bCs/>
                <w:iCs/>
                <w:sz w:val="22"/>
                <w:szCs w:val="22"/>
              </w:rPr>
              <w:t>».</w:t>
            </w:r>
          </w:p>
        </w:tc>
      </w:tr>
    </w:tbl>
    <w:p w14:paraId="443ADE85" w14:textId="77777777" w:rsidR="00F46A82" w:rsidRPr="00F46A82" w:rsidRDefault="00F46A82" w:rsidP="00F46A82">
      <w:pPr>
        <w:spacing w:line="259" w:lineRule="auto"/>
        <w:rPr>
          <w:rFonts w:ascii="Tahoma" w:eastAsia="Calibri" w:hAnsi="Tahoma" w:cs="Tahoma"/>
          <w:bCs/>
          <w:iCs/>
          <w:sz w:val="18"/>
          <w:szCs w:val="18"/>
          <w:lang w:eastAsia="en-US"/>
        </w:rPr>
      </w:pPr>
    </w:p>
    <w:p w14:paraId="7D230DB3" w14:textId="4225C26A" w:rsidR="00F46A82" w:rsidRPr="00F46A82" w:rsidRDefault="000B3718" w:rsidP="000B3718">
      <w:pPr>
        <w:pStyle w:val="a5"/>
      </w:pPr>
      <w:r>
        <w:t xml:space="preserve">4.7.4. </w:t>
      </w:r>
      <w:r w:rsidR="00F46A82" w:rsidRPr="00F46A82">
        <w:t>Тариф «Накопительный счет Статус Плюс» с 07.10.2024г.</w:t>
      </w:r>
    </w:p>
    <w:p w14:paraId="373F76B2" w14:textId="77777777" w:rsidR="00F46A82" w:rsidRPr="00F46A82" w:rsidRDefault="00F46A82" w:rsidP="00F46A82">
      <w:pPr>
        <w:spacing w:line="259" w:lineRule="auto"/>
        <w:rPr>
          <w:rFonts w:ascii="Tahoma" w:eastAsia="Calibri" w:hAnsi="Tahoma" w:cs="Tahoma"/>
          <w:sz w:val="28"/>
          <w:szCs w:val="28"/>
          <w:lang w:eastAsia="en-US"/>
        </w:rPr>
      </w:pPr>
    </w:p>
    <w:tbl>
      <w:tblPr>
        <w:tblW w:w="4999" w:type="pct"/>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3"/>
        <w:gridCol w:w="5714"/>
        <w:gridCol w:w="8587"/>
      </w:tblGrid>
      <w:tr w:rsidR="00F46A82" w:rsidRPr="00F46A82" w14:paraId="74CE3883" w14:textId="77777777" w:rsidTr="003D2438">
        <w:trPr>
          <w:trHeight w:val="377"/>
          <w:tblHeader/>
        </w:trPr>
        <w:tc>
          <w:tcPr>
            <w:tcW w:w="272" w:type="pct"/>
            <w:tcBorders>
              <w:top w:val="single" w:sz="4" w:space="0" w:color="auto"/>
              <w:left w:val="single" w:sz="4" w:space="0" w:color="auto"/>
              <w:right w:val="single" w:sz="4" w:space="0" w:color="auto"/>
            </w:tcBorders>
            <w:shd w:val="clear" w:color="auto" w:fill="5C5C5C"/>
            <w:vAlign w:val="center"/>
          </w:tcPr>
          <w:p w14:paraId="18B969D3" w14:textId="77777777" w:rsidR="00F46A82" w:rsidRPr="00F46A82" w:rsidRDefault="00F46A82" w:rsidP="00F46A82">
            <w:pPr>
              <w:tabs>
                <w:tab w:val="left" w:pos="284"/>
              </w:tabs>
              <w:jc w:val="center"/>
              <w:rPr>
                <w:rFonts w:ascii="Tahoma" w:hAnsi="Tahoma" w:cs="Tahoma"/>
                <w:b/>
                <w:bCs/>
                <w:iCs/>
                <w:color w:val="FFFFFF"/>
              </w:rPr>
            </w:pPr>
            <w:r w:rsidRPr="00F46A82">
              <w:rPr>
                <w:rFonts w:ascii="Tahoma" w:hAnsi="Tahoma" w:cs="Tahoma"/>
                <w:b/>
                <w:bCs/>
                <w:iCs/>
                <w:color w:val="FFFFFF"/>
              </w:rPr>
              <w:t>№ пп</w:t>
            </w:r>
          </w:p>
        </w:tc>
        <w:tc>
          <w:tcPr>
            <w:tcW w:w="1889" w:type="pct"/>
            <w:tcBorders>
              <w:top w:val="single" w:sz="4" w:space="0" w:color="auto"/>
              <w:left w:val="single" w:sz="4" w:space="0" w:color="auto"/>
              <w:right w:val="single" w:sz="4" w:space="0" w:color="auto"/>
            </w:tcBorders>
            <w:shd w:val="clear" w:color="auto" w:fill="5C5C5C"/>
            <w:vAlign w:val="center"/>
          </w:tcPr>
          <w:p w14:paraId="1C1D915B" w14:textId="77777777" w:rsidR="00F46A82" w:rsidRPr="00F46A82" w:rsidRDefault="00F46A82" w:rsidP="00F46A82">
            <w:pPr>
              <w:tabs>
                <w:tab w:val="left" w:pos="284"/>
              </w:tabs>
              <w:jc w:val="center"/>
              <w:rPr>
                <w:rFonts w:ascii="Tahoma" w:hAnsi="Tahoma" w:cs="Tahoma"/>
                <w:b/>
                <w:bCs/>
                <w:iCs/>
                <w:color w:val="FFFFFF"/>
              </w:rPr>
            </w:pPr>
            <w:r w:rsidRPr="00F46A82">
              <w:rPr>
                <w:rFonts w:ascii="Tahoma" w:hAnsi="Tahoma" w:cs="Tahoma"/>
                <w:b/>
                <w:bCs/>
                <w:iCs/>
                <w:color w:val="FFFFFF"/>
              </w:rPr>
              <w:t>БАНКОВСКИЕ УСЛУГИ</w:t>
            </w:r>
          </w:p>
        </w:tc>
        <w:tc>
          <w:tcPr>
            <w:tcW w:w="2839" w:type="pct"/>
            <w:tcBorders>
              <w:left w:val="single" w:sz="4" w:space="0" w:color="auto"/>
            </w:tcBorders>
            <w:shd w:val="clear" w:color="auto" w:fill="5C5C5C"/>
            <w:vAlign w:val="center"/>
          </w:tcPr>
          <w:p w14:paraId="355E1166" w14:textId="77777777" w:rsidR="00F46A82" w:rsidRPr="00F46A82" w:rsidRDefault="00F46A82" w:rsidP="00F46A82">
            <w:pPr>
              <w:tabs>
                <w:tab w:val="left" w:pos="284"/>
              </w:tabs>
              <w:jc w:val="center"/>
              <w:rPr>
                <w:rFonts w:ascii="Tahoma" w:hAnsi="Tahoma" w:cs="Tahoma"/>
                <w:b/>
                <w:bCs/>
                <w:iCs/>
                <w:color w:val="FFFFFF"/>
              </w:rPr>
            </w:pPr>
            <w:r w:rsidRPr="00F46A82">
              <w:rPr>
                <w:rFonts w:ascii="Tahoma" w:hAnsi="Tahoma" w:cs="Tahoma"/>
                <w:b/>
                <w:bCs/>
                <w:iCs/>
                <w:color w:val="FFFFFF"/>
              </w:rPr>
              <w:t>ТАРИФЫ (КОМИССИОННОЕ ВОЗНАГРАЖДЕНИЕ БАНКА)</w:t>
            </w:r>
            <w:r w:rsidRPr="00F46A82">
              <w:rPr>
                <w:rFonts w:ascii="Tahoma" w:hAnsi="Tahoma" w:cs="Tahoma"/>
                <w:b/>
                <w:bCs/>
                <w:iCs/>
                <w:color w:val="FFFFFF"/>
                <w:vertAlign w:val="superscript"/>
              </w:rPr>
              <w:footnoteReference w:id="227"/>
            </w:r>
            <w:r w:rsidRPr="00F46A82">
              <w:rPr>
                <w:rFonts w:ascii="Tahoma" w:hAnsi="Tahoma" w:cs="Tahoma"/>
                <w:b/>
                <w:bCs/>
                <w:iCs/>
                <w:color w:val="FFFFFF"/>
                <w:vertAlign w:val="superscript"/>
              </w:rPr>
              <w:t>,</w:t>
            </w:r>
            <w:r w:rsidRPr="00F46A82">
              <w:rPr>
                <w:rFonts w:ascii="Tahoma" w:hAnsi="Tahoma" w:cs="Tahoma"/>
                <w:b/>
                <w:bCs/>
                <w:iCs/>
                <w:color w:val="FFFFFF"/>
                <w:vertAlign w:val="superscript"/>
              </w:rPr>
              <w:footnoteReference w:id="228"/>
            </w:r>
          </w:p>
        </w:tc>
      </w:tr>
      <w:tr w:rsidR="00F46A82" w:rsidRPr="00F46A82" w14:paraId="5D62B38D" w14:textId="77777777" w:rsidTr="003D2438">
        <w:tc>
          <w:tcPr>
            <w:tcW w:w="272" w:type="pct"/>
            <w:shd w:val="clear" w:color="auto" w:fill="5C5C5C"/>
            <w:vAlign w:val="center"/>
          </w:tcPr>
          <w:p w14:paraId="265AFE37" w14:textId="77777777" w:rsidR="00F46A82" w:rsidRPr="00F46A82" w:rsidRDefault="00F46A82" w:rsidP="00F46A82">
            <w:pPr>
              <w:tabs>
                <w:tab w:val="left" w:pos="284"/>
              </w:tabs>
              <w:rPr>
                <w:rFonts w:ascii="Tahoma" w:hAnsi="Tahoma" w:cs="Tahoma"/>
                <w:bCs/>
                <w:iCs/>
                <w:color w:val="FFFFFF"/>
              </w:rPr>
            </w:pPr>
            <w:r w:rsidRPr="00F46A82">
              <w:rPr>
                <w:rFonts w:ascii="Tahoma" w:hAnsi="Tahoma" w:cs="Tahoma"/>
                <w:bCs/>
                <w:iCs/>
                <w:color w:val="FFFFFF"/>
              </w:rPr>
              <w:t>1.</w:t>
            </w:r>
          </w:p>
        </w:tc>
        <w:tc>
          <w:tcPr>
            <w:tcW w:w="4728" w:type="pct"/>
            <w:gridSpan w:val="2"/>
            <w:shd w:val="clear" w:color="auto" w:fill="5C5C5C"/>
            <w:vAlign w:val="center"/>
          </w:tcPr>
          <w:p w14:paraId="0BD74AF1" w14:textId="77777777" w:rsidR="00F46A82" w:rsidRPr="00F46A82" w:rsidRDefault="00F46A82" w:rsidP="00F46A82">
            <w:pPr>
              <w:tabs>
                <w:tab w:val="left" w:pos="284"/>
              </w:tabs>
              <w:rPr>
                <w:rFonts w:ascii="Tahoma" w:hAnsi="Tahoma" w:cs="Tahoma"/>
                <w:bCs/>
                <w:iCs/>
                <w:color w:val="E36C0A"/>
              </w:rPr>
            </w:pPr>
            <w:r w:rsidRPr="00F46A82">
              <w:rPr>
                <w:rFonts w:ascii="Tahoma" w:hAnsi="Tahoma" w:cs="Tahoma"/>
                <w:bCs/>
                <w:iCs/>
                <w:color w:val="FFFFFF"/>
              </w:rPr>
              <w:t>Условия предоставления и обслуживания Накопительного счета «Статус Плюс» (далее – Накопительный счет</w:t>
            </w:r>
            <w:r w:rsidRPr="00F46A82">
              <w:rPr>
                <w:rFonts w:ascii="Tahoma" w:hAnsi="Tahoma" w:cs="Tahoma"/>
                <w:bCs/>
                <w:iCs/>
                <w:color w:val="FFFFFF"/>
                <w:vertAlign w:val="superscript"/>
              </w:rPr>
              <w:footnoteReference w:id="229"/>
            </w:r>
            <w:r w:rsidRPr="00F46A82">
              <w:rPr>
                <w:rFonts w:ascii="Tahoma" w:hAnsi="Tahoma" w:cs="Tahoma"/>
                <w:bCs/>
                <w:iCs/>
                <w:color w:val="FFFFFF"/>
              </w:rPr>
              <w:t>)</w:t>
            </w:r>
          </w:p>
        </w:tc>
      </w:tr>
      <w:tr w:rsidR="00F46A82" w:rsidRPr="00F46A82" w14:paraId="3DC2AAD5" w14:textId="77777777" w:rsidTr="003D2438">
        <w:tc>
          <w:tcPr>
            <w:tcW w:w="272" w:type="pct"/>
            <w:shd w:val="clear" w:color="auto" w:fill="auto"/>
            <w:vAlign w:val="center"/>
          </w:tcPr>
          <w:p w14:paraId="2E8F0450" w14:textId="77777777" w:rsidR="00F46A82" w:rsidRPr="00F46A82" w:rsidRDefault="00F46A82" w:rsidP="00F46A82">
            <w:pPr>
              <w:tabs>
                <w:tab w:val="left" w:pos="284"/>
              </w:tabs>
              <w:rPr>
                <w:rFonts w:ascii="Tahoma" w:hAnsi="Tahoma" w:cs="Tahoma"/>
                <w:bCs/>
                <w:iCs/>
                <w:color w:val="000000"/>
                <w:sz w:val="22"/>
                <w:szCs w:val="22"/>
              </w:rPr>
            </w:pPr>
            <w:r w:rsidRPr="00F46A82">
              <w:rPr>
                <w:rFonts w:ascii="Tahoma" w:hAnsi="Tahoma" w:cs="Tahoma"/>
                <w:bCs/>
                <w:iCs/>
                <w:color w:val="000000"/>
                <w:sz w:val="22"/>
                <w:szCs w:val="22"/>
              </w:rPr>
              <w:t>1.1.</w:t>
            </w:r>
          </w:p>
        </w:tc>
        <w:tc>
          <w:tcPr>
            <w:tcW w:w="1889" w:type="pct"/>
            <w:shd w:val="clear" w:color="auto" w:fill="auto"/>
            <w:vAlign w:val="center"/>
          </w:tcPr>
          <w:p w14:paraId="3FA52D9B" w14:textId="77777777" w:rsidR="00F46A82" w:rsidRPr="00F46A82" w:rsidRDefault="00F46A82" w:rsidP="00F46A82">
            <w:pPr>
              <w:rPr>
                <w:rFonts w:ascii="Tahoma" w:hAnsi="Tahoma" w:cs="Tahoma"/>
                <w:b/>
                <w:bCs/>
                <w:iCs/>
                <w:color w:val="E36C0A"/>
                <w:sz w:val="22"/>
                <w:szCs w:val="22"/>
                <w:lang w:val="en-US"/>
              </w:rPr>
            </w:pPr>
            <w:r w:rsidRPr="00F46A82">
              <w:rPr>
                <w:rFonts w:ascii="Tahoma" w:hAnsi="Tahoma" w:cs="Tahoma"/>
                <w:color w:val="000000"/>
                <w:sz w:val="22"/>
                <w:szCs w:val="22"/>
              </w:rPr>
              <w:t>Пользователь услуги</w:t>
            </w:r>
          </w:p>
        </w:tc>
        <w:tc>
          <w:tcPr>
            <w:tcW w:w="2839" w:type="pct"/>
            <w:shd w:val="clear" w:color="auto" w:fill="auto"/>
            <w:vAlign w:val="center"/>
          </w:tcPr>
          <w:p w14:paraId="3ED36428" w14:textId="77777777" w:rsidR="00F46A82" w:rsidRPr="00F46A82" w:rsidRDefault="00F46A82" w:rsidP="00F46A82">
            <w:pPr>
              <w:tabs>
                <w:tab w:val="left" w:pos="4889"/>
              </w:tabs>
              <w:jc w:val="center"/>
              <w:rPr>
                <w:rFonts w:ascii="Tahoma" w:hAnsi="Tahoma" w:cs="Tahoma"/>
                <w:bCs/>
                <w:iCs/>
                <w:sz w:val="22"/>
                <w:szCs w:val="22"/>
              </w:rPr>
            </w:pPr>
            <w:r w:rsidRPr="00F46A82">
              <w:rPr>
                <w:rFonts w:ascii="Tahoma" w:hAnsi="Tahoma" w:cs="Tahoma"/>
                <w:bCs/>
                <w:iCs/>
                <w:sz w:val="22"/>
                <w:szCs w:val="22"/>
              </w:rPr>
              <w:t xml:space="preserve">Физическое лицо (далее – Клиент), заключившее с Банком Договор Текущего банковского счета (далее – Договор) после заключения Договора Карты в рамках Программы банковских услуг «Статус Плюс» (далее – Программа). </w:t>
            </w:r>
          </w:p>
          <w:p w14:paraId="4EB62BFF" w14:textId="77777777" w:rsidR="00F46A82" w:rsidRPr="00F46A82" w:rsidRDefault="00F46A82" w:rsidP="00F46A82">
            <w:pPr>
              <w:tabs>
                <w:tab w:val="left" w:pos="4889"/>
              </w:tabs>
              <w:jc w:val="center"/>
              <w:rPr>
                <w:rFonts w:ascii="Tahoma" w:hAnsi="Tahoma" w:cs="Tahoma"/>
                <w:bCs/>
                <w:iCs/>
                <w:sz w:val="22"/>
                <w:szCs w:val="22"/>
              </w:rPr>
            </w:pPr>
            <w:r w:rsidRPr="00F46A82">
              <w:rPr>
                <w:rFonts w:ascii="Tahoma" w:hAnsi="Tahoma" w:cs="Tahoma"/>
                <w:bCs/>
                <w:iCs/>
                <w:sz w:val="22"/>
                <w:szCs w:val="22"/>
              </w:rPr>
              <w:t>При расторжении Программы (по любой из причин) Накопительный счет прекращает свое действие с даты принятия Банком Заявления о расторжении Программы банковских услуг «Статус Плюс», проценты за неполный Отчетный период по Накопительному счету Банком не выплачиваются.</w:t>
            </w:r>
          </w:p>
        </w:tc>
      </w:tr>
      <w:tr w:rsidR="00F46A82" w:rsidRPr="00F46A82" w14:paraId="622E5E4A" w14:textId="77777777" w:rsidTr="003D2438">
        <w:tc>
          <w:tcPr>
            <w:tcW w:w="272" w:type="pct"/>
            <w:shd w:val="clear" w:color="auto" w:fill="auto"/>
            <w:vAlign w:val="center"/>
          </w:tcPr>
          <w:p w14:paraId="70207502" w14:textId="77777777" w:rsidR="00F46A82" w:rsidRPr="00F46A82" w:rsidRDefault="00F46A82" w:rsidP="00F46A82">
            <w:pPr>
              <w:tabs>
                <w:tab w:val="left" w:pos="284"/>
              </w:tabs>
              <w:rPr>
                <w:rFonts w:ascii="Tahoma" w:hAnsi="Tahoma" w:cs="Tahoma"/>
                <w:bCs/>
                <w:iCs/>
                <w:color w:val="000000"/>
                <w:sz w:val="22"/>
                <w:szCs w:val="22"/>
              </w:rPr>
            </w:pPr>
            <w:r w:rsidRPr="00F46A82">
              <w:rPr>
                <w:rFonts w:ascii="Tahoma" w:hAnsi="Tahoma" w:cs="Tahoma"/>
                <w:bCs/>
                <w:iCs/>
                <w:color w:val="000000"/>
                <w:sz w:val="22"/>
                <w:szCs w:val="22"/>
              </w:rPr>
              <w:t>1.2.</w:t>
            </w:r>
          </w:p>
        </w:tc>
        <w:tc>
          <w:tcPr>
            <w:tcW w:w="1889" w:type="pct"/>
            <w:shd w:val="clear" w:color="auto" w:fill="auto"/>
            <w:vAlign w:val="center"/>
          </w:tcPr>
          <w:p w14:paraId="2835C072"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Стоимость открытия и обслуживания Накопительного счета</w:t>
            </w:r>
          </w:p>
        </w:tc>
        <w:tc>
          <w:tcPr>
            <w:tcW w:w="2839" w:type="pct"/>
            <w:shd w:val="clear" w:color="auto" w:fill="auto"/>
            <w:vAlign w:val="center"/>
          </w:tcPr>
          <w:p w14:paraId="31248C7D" w14:textId="77777777" w:rsidR="00F46A82" w:rsidRPr="00F46A82" w:rsidRDefault="00F46A82" w:rsidP="00F46A82">
            <w:pPr>
              <w:tabs>
                <w:tab w:val="left" w:pos="4889"/>
              </w:tabs>
              <w:jc w:val="center"/>
              <w:rPr>
                <w:rFonts w:ascii="Tahoma" w:hAnsi="Tahoma" w:cs="Tahoma"/>
                <w:b/>
                <w:bCs/>
                <w:sz w:val="22"/>
                <w:szCs w:val="22"/>
              </w:rPr>
            </w:pPr>
            <w:r w:rsidRPr="00F46A82">
              <w:rPr>
                <w:rFonts w:ascii="Tahoma" w:hAnsi="Tahoma" w:cs="Tahoma"/>
                <w:b/>
                <w:bCs/>
                <w:sz w:val="22"/>
                <w:szCs w:val="22"/>
              </w:rPr>
              <w:t>БЕСПЛАТНО</w:t>
            </w:r>
          </w:p>
        </w:tc>
      </w:tr>
      <w:tr w:rsidR="00F46A82" w:rsidRPr="00F46A82" w14:paraId="32DAABAB" w14:textId="77777777" w:rsidTr="003D2438">
        <w:trPr>
          <w:trHeight w:val="201"/>
        </w:trPr>
        <w:tc>
          <w:tcPr>
            <w:tcW w:w="272" w:type="pct"/>
            <w:shd w:val="clear" w:color="auto" w:fill="auto"/>
            <w:vAlign w:val="center"/>
          </w:tcPr>
          <w:p w14:paraId="27E436A5" w14:textId="77777777" w:rsidR="00F46A82" w:rsidRPr="00F46A82" w:rsidRDefault="00F46A82" w:rsidP="00F46A82">
            <w:pPr>
              <w:tabs>
                <w:tab w:val="left" w:pos="284"/>
              </w:tabs>
              <w:rPr>
                <w:rFonts w:ascii="Tahoma" w:hAnsi="Tahoma" w:cs="Tahoma"/>
                <w:bCs/>
                <w:iCs/>
                <w:color w:val="000000"/>
                <w:sz w:val="22"/>
                <w:szCs w:val="22"/>
              </w:rPr>
            </w:pPr>
            <w:r w:rsidRPr="00F46A82">
              <w:rPr>
                <w:rFonts w:ascii="Tahoma" w:hAnsi="Tahoma" w:cs="Tahoma"/>
                <w:bCs/>
                <w:iCs/>
                <w:color w:val="000000"/>
                <w:sz w:val="22"/>
                <w:szCs w:val="22"/>
              </w:rPr>
              <w:t>1.3.</w:t>
            </w:r>
          </w:p>
        </w:tc>
        <w:tc>
          <w:tcPr>
            <w:tcW w:w="1889" w:type="pct"/>
            <w:shd w:val="clear" w:color="auto" w:fill="auto"/>
            <w:vAlign w:val="center"/>
          </w:tcPr>
          <w:p w14:paraId="791111C8"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Минимальная сумма первого пополнения Накопительного счета</w:t>
            </w:r>
          </w:p>
        </w:tc>
        <w:tc>
          <w:tcPr>
            <w:tcW w:w="2839" w:type="pct"/>
            <w:vMerge w:val="restart"/>
            <w:shd w:val="clear" w:color="auto" w:fill="auto"/>
            <w:vAlign w:val="center"/>
          </w:tcPr>
          <w:p w14:paraId="1EE42E8D" w14:textId="77777777" w:rsidR="00F46A82" w:rsidRPr="00F46A82" w:rsidRDefault="00F46A82" w:rsidP="00F46A82">
            <w:pPr>
              <w:tabs>
                <w:tab w:val="left" w:pos="4889"/>
              </w:tabs>
              <w:jc w:val="center"/>
              <w:rPr>
                <w:rFonts w:ascii="Tahoma" w:hAnsi="Tahoma" w:cs="Tahoma"/>
                <w:b/>
                <w:bCs/>
                <w:sz w:val="22"/>
                <w:szCs w:val="22"/>
                <w:lang w:val="en-US"/>
              </w:rPr>
            </w:pPr>
            <w:r w:rsidRPr="00F46A82">
              <w:rPr>
                <w:rFonts w:ascii="Tahoma" w:hAnsi="Tahoma" w:cs="Tahoma"/>
                <w:b/>
                <w:bCs/>
                <w:sz w:val="22"/>
                <w:szCs w:val="22"/>
              </w:rPr>
              <w:t>Без ограничений</w:t>
            </w:r>
          </w:p>
        </w:tc>
      </w:tr>
      <w:tr w:rsidR="00F46A82" w:rsidRPr="00F46A82" w14:paraId="6EDFBA31" w14:textId="77777777" w:rsidTr="003D2438">
        <w:tc>
          <w:tcPr>
            <w:tcW w:w="272" w:type="pct"/>
            <w:shd w:val="clear" w:color="auto" w:fill="auto"/>
            <w:vAlign w:val="center"/>
          </w:tcPr>
          <w:p w14:paraId="09F88DCD" w14:textId="77777777" w:rsidR="00F46A82" w:rsidRPr="00F46A82" w:rsidRDefault="00F46A82" w:rsidP="00F46A82">
            <w:pPr>
              <w:tabs>
                <w:tab w:val="left" w:pos="284"/>
              </w:tabs>
              <w:rPr>
                <w:rFonts w:ascii="Tahoma" w:hAnsi="Tahoma" w:cs="Tahoma"/>
                <w:bCs/>
                <w:iCs/>
                <w:color w:val="000000"/>
                <w:sz w:val="22"/>
                <w:szCs w:val="22"/>
                <w:lang w:val="en-US"/>
              </w:rPr>
            </w:pPr>
            <w:r w:rsidRPr="00F46A82">
              <w:rPr>
                <w:rFonts w:ascii="Tahoma" w:hAnsi="Tahoma" w:cs="Tahoma"/>
                <w:bCs/>
                <w:iCs/>
                <w:color w:val="000000"/>
                <w:sz w:val="22"/>
                <w:szCs w:val="22"/>
                <w:lang w:val="en-US"/>
              </w:rPr>
              <w:t>1.4.</w:t>
            </w:r>
          </w:p>
        </w:tc>
        <w:tc>
          <w:tcPr>
            <w:tcW w:w="1889" w:type="pct"/>
            <w:shd w:val="clear" w:color="auto" w:fill="auto"/>
            <w:vAlign w:val="center"/>
          </w:tcPr>
          <w:p w14:paraId="1F649A50"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Максимальная сумма первого пополнения Накопительного счета</w:t>
            </w:r>
          </w:p>
        </w:tc>
        <w:tc>
          <w:tcPr>
            <w:tcW w:w="2839" w:type="pct"/>
            <w:vMerge/>
            <w:shd w:val="clear" w:color="auto" w:fill="auto"/>
            <w:vAlign w:val="center"/>
          </w:tcPr>
          <w:p w14:paraId="7180A250" w14:textId="77777777" w:rsidR="00F46A82" w:rsidRPr="00F46A82" w:rsidRDefault="00F46A82" w:rsidP="00F46A82">
            <w:pPr>
              <w:tabs>
                <w:tab w:val="left" w:pos="4889"/>
              </w:tabs>
              <w:rPr>
                <w:rFonts w:ascii="Tahoma" w:hAnsi="Tahoma" w:cs="Tahoma"/>
                <w:b/>
                <w:bCs/>
              </w:rPr>
            </w:pPr>
          </w:p>
        </w:tc>
      </w:tr>
      <w:tr w:rsidR="00F46A82" w:rsidRPr="00F46A82" w14:paraId="04FBB84A" w14:textId="77777777" w:rsidTr="003D2438">
        <w:tc>
          <w:tcPr>
            <w:tcW w:w="272" w:type="pct"/>
            <w:shd w:val="clear" w:color="auto" w:fill="auto"/>
            <w:vAlign w:val="center"/>
          </w:tcPr>
          <w:p w14:paraId="17F6CFA2" w14:textId="77777777" w:rsidR="00F46A82" w:rsidRPr="00F46A82" w:rsidRDefault="00F46A82" w:rsidP="00F46A82">
            <w:pPr>
              <w:tabs>
                <w:tab w:val="left" w:pos="284"/>
              </w:tabs>
              <w:rPr>
                <w:rFonts w:ascii="Tahoma" w:hAnsi="Tahoma" w:cs="Tahoma"/>
                <w:bCs/>
                <w:iCs/>
                <w:color w:val="000000"/>
                <w:sz w:val="22"/>
                <w:szCs w:val="22"/>
                <w:lang w:val="en-US"/>
              </w:rPr>
            </w:pPr>
            <w:r w:rsidRPr="00F46A82">
              <w:rPr>
                <w:rFonts w:ascii="Tahoma" w:hAnsi="Tahoma" w:cs="Tahoma"/>
                <w:bCs/>
                <w:iCs/>
                <w:color w:val="000000"/>
                <w:sz w:val="22"/>
                <w:szCs w:val="22"/>
                <w:lang w:val="en-US"/>
              </w:rPr>
              <w:t>1.5.</w:t>
            </w:r>
          </w:p>
        </w:tc>
        <w:tc>
          <w:tcPr>
            <w:tcW w:w="1889" w:type="pct"/>
            <w:shd w:val="clear" w:color="auto" w:fill="auto"/>
            <w:vAlign w:val="center"/>
          </w:tcPr>
          <w:p w14:paraId="728827A1"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Срок размещения денежных средств на Накопительном счете</w:t>
            </w:r>
          </w:p>
        </w:tc>
        <w:tc>
          <w:tcPr>
            <w:tcW w:w="2839" w:type="pct"/>
            <w:vMerge/>
            <w:shd w:val="clear" w:color="auto" w:fill="auto"/>
            <w:vAlign w:val="center"/>
          </w:tcPr>
          <w:p w14:paraId="6C654B04" w14:textId="77777777" w:rsidR="00F46A82" w:rsidRPr="00F46A82" w:rsidRDefault="00F46A82" w:rsidP="00F46A82">
            <w:pPr>
              <w:tabs>
                <w:tab w:val="left" w:pos="4889"/>
              </w:tabs>
              <w:rPr>
                <w:rFonts w:ascii="Tahoma" w:hAnsi="Tahoma" w:cs="Tahoma"/>
                <w:b/>
                <w:bCs/>
              </w:rPr>
            </w:pPr>
          </w:p>
        </w:tc>
      </w:tr>
      <w:tr w:rsidR="00F46A82" w:rsidRPr="00F46A82" w14:paraId="31DED853" w14:textId="77777777" w:rsidTr="003D2438">
        <w:tc>
          <w:tcPr>
            <w:tcW w:w="272" w:type="pct"/>
            <w:shd w:val="clear" w:color="auto" w:fill="auto"/>
            <w:vAlign w:val="center"/>
          </w:tcPr>
          <w:p w14:paraId="47D9AEA6" w14:textId="77777777" w:rsidR="00F46A82" w:rsidRPr="00F46A82" w:rsidRDefault="00F46A82" w:rsidP="00F46A82">
            <w:pPr>
              <w:tabs>
                <w:tab w:val="left" w:pos="284"/>
              </w:tabs>
              <w:rPr>
                <w:rFonts w:ascii="Tahoma" w:hAnsi="Tahoma" w:cs="Tahoma"/>
                <w:bCs/>
                <w:iCs/>
                <w:color w:val="000000"/>
                <w:sz w:val="22"/>
                <w:szCs w:val="22"/>
                <w:lang w:val="en-US"/>
              </w:rPr>
            </w:pPr>
            <w:r w:rsidRPr="00F46A82">
              <w:rPr>
                <w:rFonts w:ascii="Tahoma" w:hAnsi="Tahoma" w:cs="Tahoma"/>
                <w:bCs/>
                <w:iCs/>
                <w:color w:val="000000"/>
                <w:sz w:val="22"/>
                <w:szCs w:val="22"/>
                <w:lang w:val="en-US"/>
              </w:rPr>
              <w:t>1.6.</w:t>
            </w:r>
          </w:p>
        </w:tc>
        <w:tc>
          <w:tcPr>
            <w:tcW w:w="1889" w:type="pct"/>
            <w:shd w:val="clear" w:color="auto" w:fill="auto"/>
            <w:vAlign w:val="center"/>
          </w:tcPr>
          <w:p w14:paraId="050DDFE3"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Порядок начисления процентов</w:t>
            </w:r>
          </w:p>
        </w:tc>
        <w:tc>
          <w:tcPr>
            <w:tcW w:w="2839" w:type="pct"/>
            <w:shd w:val="clear" w:color="auto" w:fill="auto"/>
            <w:vAlign w:val="center"/>
          </w:tcPr>
          <w:p w14:paraId="0052C92E" w14:textId="77777777" w:rsidR="00F46A82" w:rsidRPr="00F46A82" w:rsidRDefault="00F46A82" w:rsidP="00F46A82">
            <w:pPr>
              <w:tabs>
                <w:tab w:val="left" w:pos="4889"/>
              </w:tabs>
              <w:jc w:val="center"/>
              <w:rPr>
                <w:rFonts w:ascii="Tahoma" w:hAnsi="Tahoma" w:cs="Tahoma"/>
                <w:bCs/>
                <w:iCs/>
                <w:sz w:val="22"/>
                <w:szCs w:val="22"/>
              </w:rPr>
            </w:pPr>
            <w:r w:rsidRPr="00F46A82">
              <w:rPr>
                <w:rFonts w:ascii="Tahoma" w:hAnsi="Tahoma" w:cs="Tahoma"/>
                <w:bCs/>
                <w:iCs/>
                <w:sz w:val="22"/>
                <w:szCs w:val="22"/>
              </w:rPr>
              <w:t>Начисление процентной ставки на сумму денежных средств, поступившую на Накопительный счет впервые (в том числе первое пополнение Накопительного счета), начинается со дня, следующего за днем поступления этой суммы денежных средств на Накопительный счет.</w:t>
            </w:r>
          </w:p>
          <w:p w14:paraId="02FCA8A8" w14:textId="77777777" w:rsidR="00F46A82" w:rsidRPr="00F46A82" w:rsidRDefault="00F46A82" w:rsidP="00F46A82">
            <w:pPr>
              <w:tabs>
                <w:tab w:val="left" w:pos="4889"/>
              </w:tabs>
              <w:jc w:val="center"/>
              <w:rPr>
                <w:rFonts w:ascii="Tahoma" w:hAnsi="Tahoma" w:cs="Tahoma"/>
                <w:b/>
                <w:bCs/>
              </w:rPr>
            </w:pPr>
            <w:r w:rsidRPr="00F46A82">
              <w:rPr>
                <w:rFonts w:ascii="Tahoma" w:hAnsi="Tahoma" w:cs="Tahoma"/>
                <w:bCs/>
                <w:iCs/>
                <w:sz w:val="22"/>
                <w:szCs w:val="22"/>
              </w:rPr>
              <w:t>Начисление процентной ставки в день открытия Накопительного счета не производится.</w:t>
            </w:r>
          </w:p>
        </w:tc>
      </w:tr>
      <w:tr w:rsidR="00F46A82" w:rsidRPr="00F46A82" w14:paraId="689294C5" w14:textId="77777777" w:rsidTr="003D2438">
        <w:trPr>
          <w:trHeight w:val="404"/>
        </w:trPr>
        <w:tc>
          <w:tcPr>
            <w:tcW w:w="272" w:type="pct"/>
            <w:shd w:val="clear" w:color="auto" w:fill="auto"/>
            <w:vAlign w:val="center"/>
          </w:tcPr>
          <w:p w14:paraId="4D1DBF35" w14:textId="77777777" w:rsidR="00F46A82" w:rsidRPr="00F46A82" w:rsidRDefault="00F46A82" w:rsidP="00F46A82">
            <w:pPr>
              <w:tabs>
                <w:tab w:val="left" w:pos="284"/>
              </w:tabs>
              <w:rPr>
                <w:rFonts w:ascii="Tahoma" w:hAnsi="Tahoma" w:cs="Tahoma"/>
                <w:bCs/>
                <w:iCs/>
                <w:color w:val="000000"/>
                <w:sz w:val="22"/>
                <w:szCs w:val="22"/>
                <w:lang w:val="en-US"/>
              </w:rPr>
            </w:pPr>
            <w:r w:rsidRPr="00F46A82">
              <w:rPr>
                <w:rFonts w:ascii="Tahoma" w:hAnsi="Tahoma" w:cs="Tahoma"/>
                <w:bCs/>
                <w:iCs/>
                <w:color w:val="000000"/>
                <w:sz w:val="22"/>
                <w:szCs w:val="22"/>
              </w:rPr>
              <w:t>1.7.</w:t>
            </w:r>
          </w:p>
        </w:tc>
        <w:tc>
          <w:tcPr>
            <w:tcW w:w="1889" w:type="pct"/>
            <w:shd w:val="clear" w:color="auto" w:fill="auto"/>
            <w:vAlign w:val="center"/>
          </w:tcPr>
          <w:p w14:paraId="093D30C2"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Периодичность выплаты процентов</w:t>
            </w:r>
          </w:p>
        </w:tc>
        <w:tc>
          <w:tcPr>
            <w:tcW w:w="2839" w:type="pct"/>
            <w:shd w:val="clear" w:color="auto" w:fill="auto"/>
            <w:vAlign w:val="center"/>
          </w:tcPr>
          <w:p w14:paraId="0B842BD7" w14:textId="77777777" w:rsidR="00F46A82" w:rsidRPr="00F46A82" w:rsidRDefault="00F46A82" w:rsidP="00F46A82">
            <w:pPr>
              <w:tabs>
                <w:tab w:val="left" w:pos="4889"/>
              </w:tabs>
              <w:jc w:val="center"/>
              <w:rPr>
                <w:rFonts w:ascii="Tahoma" w:hAnsi="Tahoma" w:cs="Tahoma"/>
                <w:bCs/>
              </w:rPr>
            </w:pPr>
            <w:r w:rsidRPr="00F46A82">
              <w:rPr>
                <w:rFonts w:ascii="Tahoma" w:hAnsi="Tahoma" w:cs="Tahoma"/>
                <w:bCs/>
                <w:iCs/>
                <w:sz w:val="22"/>
                <w:szCs w:val="22"/>
              </w:rPr>
              <w:t>Ежемесячно, исходя из процентной ставки, установленной по Накопительному счету и суммы Ежедневного остатка</w:t>
            </w:r>
            <w:r w:rsidRPr="00F46A82">
              <w:rPr>
                <w:rFonts w:ascii="Tahoma" w:eastAsia="Calibri" w:hAnsi="Tahoma" w:cs="Tahoma"/>
                <w:iCs/>
                <w:sz w:val="22"/>
                <w:szCs w:val="22"/>
                <w:vertAlign w:val="superscript"/>
                <w:lang w:eastAsia="en-US"/>
              </w:rPr>
              <w:footnoteReference w:id="230"/>
            </w:r>
            <w:r w:rsidRPr="00F46A82">
              <w:rPr>
                <w:rFonts w:ascii="Tahoma" w:hAnsi="Tahoma" w:cs="Tahoma"/>
                <w:bCs/>
                <w:iCs/>
                <w:sz w:val="22"/>
                <w:szCs w:val="22"/>
              </w:rPr>
              <w:t xml:space="preserve"> денежных средств, находящихся на Накопительном счете в Отчетном периоде</w:t>
            </w:r>
            <w:r w:rsidRPr="00F46A82">
              <w:rPr>
                <w:rFonts w:ascii="Tahoma" w:eastAsia="Calibri" w:hAnsi="Tahoma" w:cs="Tahoma"/>
                <w:iCs/>
                <w:sz w:val="22"/>
                <w:szCs w:val="22"/>
                <w:vertAlign w:val="superscript"/>
                <w:lang w:eastAsia="en-US"/>
              </w:rPr>
              <w:footnoteReference w:id="231"/>
            </w:r>
          </w:p>
        </w:tc>
      </w:tr>
      <w:tr w:rsidR="00F46A82" w:rsidRPr="00F46A82" w14:paraId="104BCF87" w14:textId="77777777" w:rsidTr="003D2438">
        <w:tc>
          <w:tcPr>
            <w:tcW w:w="272" w:type="pct"/>
            <w:shd w:val="clear" w:color="auto" w:fill="auto"/>
            <w:vAlign w:val="center"/>
          </w:tcPr>
          <w:p w14:paraId="5A623636" w14:textId="77777777" w:rsidR="00F46A82" w:rsidRPr="00F46A82" w:rsidRDefault="00F46A82" w:rsidP="00F46A82">
            <w:pPr>
              <w:tabs>
                <w:tab w:val="left" w:pos="284"/>
              </w:tabs>
              <w:rPr>
                <w:rFonts w:ascii="Tahoma" w:hAnsi="Tahoma" w:cs="Tahoma"/>
                <w:bCs/>
                <w:iCs/>
                <w:color w:val="000000"/>
                <w:sz w:val="22"/>
                <w:szCs w:val="22"/>
                <w:lang w:val="en-US"/>
              </w:rPr>
            </w:pPr>
            <w:r w:rsidRPr="00F46A82">
              <w:rPr>
                <w:rFonts w:ascii="Tahoma" w:hAnsi="Tahoma" w:cs="Tahoma"/>
                <w:bCs/>
                <w:iCs/>
                <w:color w:val="000000"/>
                <w:sz w:val="22"/>
                <w:szCs w:val="22"/>
              </w:rPr>
              <w:t>1.8.</w:t>
            </w:r>
          </w:p>
        </w:tc>
        <w:tc>
          <w:tcPr>
            <w:tcW w:w="1889" w:type="pct"/>
            <w:shd w:val="clear" w:color="auto" w:fill="auto"/>
            <w:vAlign w:val="center"/>
          </w:tcPr>
          <w:p w14:paraId="04C69DFF"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Способ выплаты процентов</w:t>
            </w:r>
          </w:p>
        </w:tc>
        <w:tc>
          <w:tcPr>
            <w:tcW w:w="2839" w:type="pct"/>
            <w:shd w:val="clear" w:color="auto" w:fill="auto"/>
            <w:vAlign w:val="center"/>
          </w:tcPr>
          <w:p w14:paraId="52A7F416" w14:textId="77777777" w:rsidR="00F46A82" w:rsidRPr="00F46A82" w:rsidRDefault="00F46A82" w:rsidP="00F46A82">
            <w:pPr>
              <w:tabs>
                <w:tab w:val="left" w:pos="4889"/>
              </w:tabs>
              <w:jc w:val="center"/>
              <w:rPr>
                <w:rFonts w:ascii="Tahoma" w:hAnsi="Tahoma" w:cs="Tahoma"/>
                <w:bCs/>
                <w:iCs/>
                <w:sz w:val="22"/>
                <w:szCs w:val="22"/>
              </w:rPr>
            </w:pPr>
            <w:r w:rsidRPr="00F46A82">
              <w:rPr>
                <w:rFonts w:ascii="Tahoma" w:hAnsi="Tahoma" w:cs="Tahoma"/>
                <w:bCs/>
                <w:iCs/>
                <w:sz w:val="22"/>
                <w:szCs w:val="22"/>
              </w:rPr>
              <w:t>Ежемесячно, проценты причисляются к остатку денежных средств на Накопительном счете</w:t>
            </w:r>
          </w:p>
        </w:tc>
      </w:tr>
      <w:tr w:rsidR="00F46A82" w:rsidRPr="00F46A82" w14:paraId="0148B8A4" w14:textId="77777777" w:rsidTr="003D2438">
        <w:tc>
          <w:tcPr>
            <w:tcW w:w="272" w:type="pct"/>
            <w:shd w:val="clear" w:color="auto" w:fill="auto"/>
            <w:vAlign w:val="center"/>
          </w:tcPr>
          <w:p w14:paraId="47653839" w14:textId="77777777" w:rsidR="00F46A82" w:rsidRPr="00F46A82" w:rsidRDefault="00F46A82" w:rsidP="00F46A82">
            <w:pPr>
              <w:tabs>
                <w:tab w:val="left" w:pos="284"/>
              </w:tabs>
              <w:rPr>
                <w:rFonts w:ascii="Tahoma" w:hAnsi="Tahoma" w:cs="Tahoma"/>
                <w:bCs/>
                <w:iCs/>
                <w:color w:val="000000"/>
                <w:sz w:val="22"/>
                <w:szCs w:val="22"/>
              </w:rPr>
            </w:pPr>
            <w:r w:rsidRPr="00F46A82">
              <w:rPr>
                <w:rFonts w:ascii="Tahoma" w:hAnsi="Tahoma" w:cs="Tahoma"/>
                <w:bCs/>
                <w:iCs/>
                <w:color w:val="000000"/>
                <w:sz w:val="22"/>
                <w:szCs w:val="22"/>
              </w:rPr>
              <w:t>1.9.</w:t>
            </w:r>
          </w:p>
        </w:tc>
        <w:tc>
          <w:tcPr>
            <w:tcW w:w="1889" w:type="pct"/>
            <w:shd w:val="clear" w:color="auto" w:fill="auto"/>
            <w:vAlign w:val="center"/>
          </w:tcPr>
          <w:p w14:paraId="112AB5CE"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Приветственная повышенная ставка</w:t>
            </w:r>
          </w:p>
        </w:tc>
        <w:tc>
          <w:tcPr>
            <w:tcW w:w="2839" w:type="pct"/>
            <w:shd w:val="clear" w:color="auto" w:fill="auto"/>
            <w:vAlign w:val="center"/>
          </w:tcPr>
          <w:p w14:paraId="2E8D642C" w14:textId="77777777" w:rsidR="00F46A82" w:rsidRPr="00F46A82" w:rsidRDefault="00F46A82" w:rsidP="00F46A82">
            <w:pPr>
              <w:tabs>
                <w:tab w:val="left" w:pos="4889"/>
              </w:tabs>
              <w:jc w:val="center"/>
              <w:rPr>
                <w:rFonts w:ascii="Tahoma" w:hAnsi="Tahoma" w:cs="Tahoma"/>
                <w:bCs/>
                <w:iCs/>
                <w:sz w:val="22"/>
                <w:szCs w:val="22"/>
              </w:rPr>
            </w:pPr>
            <w:r w:rsidRPr="00F46A82">
              <w:rPr>
                <w:rFonts w:ascii="Tahoma" w:hAnsi="Tahoma" w:cs="Tahoma"/>
                <w:bCs/>
                <w:iCs/>
                <w:sz w:val="22"/>
                <w:szCs w:val="22"/>
              </w:rPr>
              <w:t>Не применимо</w:t>
            </w:r>
          </w:p>
        </w:tc>
      </w:tr>
      <w:tr w:rsidR="00F46A82" w:rsidRPr="00F46A82" w14:paraId="5359704E" w14:textId="77777777" w:rsidTr="003D2438">
        <w:tc>
          <w:tcPr>
            <w:tcW w:w="272" w:type="pct"/>
            <w:vMerge w:val="restart"/>
            <w:shd w:val="clear" w:color="auto" w:fill="auto"/>
            <w:vAlign w:val="center"/>
          </w:tcPr>
          <w:p w14:paraId="5DE01816" w14:textId="77777777" w:rsidR="00F46A82" w:rsidRPr="00F46A82" w:rsidRDefault="00F46A82" w:rsidP="00F46A82">
            <w:pPr>
              <w:tabs>
                <w:tab w:val="left" w:pos="284"/>
              </w:tabs>
              <w:rPr>
                <w:rFonts w:ascii="Tahoma" w:hAnsi="Tahoma" w:cs="Tahoma"/>
                <w:bCs/>
                <w:iCs/>
                <w:color w:val="000000"/>
                <w:sz w:val="22"/>
                <w:szCs w:val="22"/>
              </w:rPr>
            </w:pPr>
            <w:r w:rsidRPr="00F46A82">
              <w:rPr>
                <w:rFonts w:ascii="Tahoma" w:hAnsi="Tahoma" w:cs="Tahoma"/>
                <w:bCs/>
                <w:iCs/>
                <w:color w:val="000000"/>
                <w:sz w:val="22"/>
                <w:szCs w:val="22"/>
              </w:rPr>
              <w:t>1.10.</w:t>
            </w:r>
          </w:p>
        </w:tc>
        <w:tc>
          <w:tcPr>
            <w:tcW w:w="1889" w:type="pct"/>
            <w:vMerge w:val="restart"/>
            <w:shd w:val="clear" w:color="auto" w:fill="auto"/>
            <w:vAlign w:val="center"/>
          </w:tcPr>
          <w:p w14:paraId="7908D9C8"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Валюта Накопительного счета</w:t>
            </w:r>
          </w:p>
        </w:tc>
        <w:tc>
          <w:tcPr>
            <w:tcW w:w="2839" w:type="pct"/>
            <w:shd w:val="clear" w:color="auto" w:fill="auto"/>
            <w:vAlign w:val="center"/>
          </w:tcPr>
          <w:p w14:paraId="6397D87F" w14:textId="77777777" w:rsidR="00F46A82" w:rsidRPr="00F46A82" w:rsidRDefault="00F46A82" w:rsidP="00F46A82">
            <w:pPr>
              <w:tabs>
                <w:tab w:val="left" w:pos="4889"/>
              </w:tabs>
              <w:jc w:val="center"/>
              <w:rPr>
                <w:rFonts w:ascii="Tahoma" w:hAnsi="Tahoma" w:cs="Tahoma"/>
                <w:bCs/>
                <w:iCs/>
                <w:sz w:val="22"/>
                <w:szCs w:val="22"/>
              </w:rPr>
            </w:pPr>
            <w:r w:rsidRPr="00F46A82">
              <w:rPr>
                <w:rFonts w:ascii="Tahoma" w:hAnsi="Tahoma" w:cs="Tahoma"/>
                <w:bCs/>
                <w:iCs/>
                <w:sz w:val="22"/>
                <w:szCs w:val="22"/>
              </w:rPr>
              <w:t>Российский рубль</w:t>
            </w:r>
          </w:p>
        </w:tc>
      </w:tr>
      <w:tr w:rsidR="00F46A82" w:rsidRPr="00F46A82" w14:paraId="02F50DC4" w14:textId="77777777" w:rsidTr="003D2438">
        <w:tc>
          <w:tcPr>
            <w:tcW w:w="272" w:type="pct"/>
            <w:vMerge/>
            <w:shd w:val="clear" w:color="auto" w:fill="auto"/>
            <w:vAlign w:val="center"/>
          </w:tcPr>
          <w:p w14:paraId="293636F4" w14:textId="77777777" w:rsidR="00F46A82" w:rsidRPr="00F46A82" w:rsidRDefault="00F46A82" w:rsidP="00F46A82">
            <w:pPr>
              <w:tabs>
                <w:tab w:val="left" w:pos="284"/>
              </w:tabs>
              <w:rPr>
                <w:rFonts w:ascii="Tahoma" w:hAnsi="Tahoma" w:cs="Tahoma"/>
                <w:bCs/>
                <w:iCs/>
                <w:color w:val="000000"/>
                <w:sz w:val="22"/>
                <w:szCs w:val="22"/>
              </w:rPr>
            </w:pPr>
          </w:p>
        </w:tc>
        <w:tc>
          <w:tcPr>
            <w:tcW w:w="1889" w:type="pct"/>
            <w:vMerge/>
            <w:shd w:val="clear" w:color="auto" w:fill="auto"/>
            <w:vAlign w:val="center"/>
          </w:tcPr>
          <w:p w14:paraId="1FE70795" w14:textId="77777777" w:rsidR="00F46A82" w:rsidRPr="00F46A82" w:rsidRDefault="00F46A82" w:rsidP="00F46A82">
            <w:pPr>
              <w:rPr>
                <w:rFonts w:ascii="Tahoma" w:hAnsi="Tahoma" w:cs="Tahoma"/>
                <w:bCs/>
                <w:iCs/>
                <w:sz w:val="22"/>
                <w:szCs w:val="22"/>
              </w:rPr>
            </w:pPr>
          </w:p>
        </w:tc>
        <w:tc>
          <w:tcPr>
            <w:tcW w:w="2839" w:type="pct"/>
            <w:shd w:val="clear" w:color="auto" w:fill="auto"/>
            <w:vAlign w:val="center"/>
          </w:tcPr>
          <w:p w14:paraId="7D1AA9E7" w14:textId="77777777" w:rsidR="00F46A82" w:rsidRPr="00F46A82" w:rsidRDefault="00F46A82" w:rsidP="00F46A82">
            <w:pPr>
              <w:tabs>
                <w:tab w:val="left" w:pos="4889"/>
              </w:tabs>
              <w:jc w:val="center"/>
              <w:rPr>
                <w:rFonts w:ascii="Tahoma" w:hAnsi="Tahoma" w:cs="Tahoma"/>
                <w:bCs/>
                <w:iCs/>
                <w:sz w:val="22"/>
                <w:szCs w:val="22"/>
              </w:rPr>
            </w:pPr>
            <w:r w:rsidRPr="00F46A82">
              <w:rPr>
                <w:rFonts w:ascii="Tahoma" w:hAnsi="Tahoma" w:cs="Tahoma"/>
                <w:bCs/>
                <w:iCs/>
                <w:sz w:val="22"/>
                <w:szCs w:val="22"/>
              </w:rPr>
              <w:t>Юань</w:t>
            </w:r>
          </w:p>
        </w:tc>
      </w:tr>
      <w:tr w:rsidR="00F46A82" w:rsidRPr="00F46A82" w14:paraId="188E80E5" w14:textId="77777777" w:rsidTr="00F46A82">
        <w:tc>
          <w:tcPr>
            <w:tcW w:w="272" w:type="pct"/>
            <w:shd w:val="clear" w:color="auto" w:fill="595959"/>
            <w:vAlign w:val="center"/>
          </w:tcPr>
          <w:p w14:paraId="0E1DBBA6" w14:textId="77777777" w:rsidR="00F46A82" w:rsidRPr="00F46A82" w:rsidRDefault="00F46A82" w:rsidP="00F46A82">
            <w:pPr>
              <w:tabs>
                <w:tab w:val="left" w:pos="284"/>
              </w:tabs>
              <w:rPr>
                <w:rFonts w:ascii="Tahoma" w:hAnsi="Tahoma" w:cs="Tahoma"/>
                <w:bCs/>
                <w:iCs/>
                <w:color w:val="FFFFFF"/>
              </w:rPr>
            </w:pPr>
            <w:r w:rsidRPr="00F46A82">
              <w:rPr>
                <w:rFonts w:ascii="Tahoma" w:hAnsi="Tahoma" w:cs="Tahoma"/>
                <w:bCs/>
                <w:iCs/>
                <w:color w:val="FFFFFF"/>
              </w:rPr>
              <w:t>2.</w:t>
            </w:r>
          </w:p>
        </w:tc>
        <w:tc>
          <w:tcPr>
            <w:tcW w:w="4728" w:type="pct"/>
            <w:gridSpan w:val="2"/>
            <w:shd w:val="clear" w:color="auto" w:fill="595959"/>
            <w:vAlign w:val="center"/>
          </w:tcPr>
          <w:p w14:paraId="25B47F90" w14:textId="77777777" w:rsidR="00F46A82" w:rsidRPr="00F46A82" w:rsidRDefault="00F46A82" w:rsidP="00F46A82">
            <w:pPr>
              <w:rPr>
                <w:rFonts w:ascii="Tahoma" w:hAnsi="Tahoma" w:cs="Tahoma"/>
                <w:bCs/>
                <w:iCs/>
                <w:color w:val="FFFFFF"/>
              </w:rPr>
            </w:pPr>
            <w:r w:rsidRPr="00F46A82">
              <w:rPr>
                <w:rFonts w:ascii="Tahoma" w:hAnsi="Tahoma" w:cs="Tahoma"/>
                <w:bCs/>
                <w:iCs/>
                <w:color w:val="FFFFFF"/>
              </w:rPr>
              <w:t>Накопительный счет в рублях</w:t>
            </w:r>
          </w:p>
        </w:tc>
      </w:tr>
      <w:tr w:rsidR="00F46A82" w:rsidRPr="00F46A82" w14:paraId="4B28F18A" w14:textId="77777777" w:rsidTr="003D2438">
        <w:tc>
          <w:tcPr>
            <w:tcW w:w="272" w:type="pct"/>
            <w:shd w:val="clear" w:color="auto" w:fill="auto"/>
            <w:vAlign w:val="center"/>
          </w:tcPr>
          <w:p w14:paraId="2DF392E8" w14:textId="77777777" w:rsidR="00F46A82" w:rsidRPr="00F46A82" w:rsidRDefault="00F46A82" w:rsidP="00F46A82">
            <w:pPr>
              <w:tabs>
                <w:tab w:val="left" w:pos="284"/>
              </w:tabs>
              <w:rPr>
                <w:rFonts w:ascii="Tahoma" w:hAnsi="Tahoma" w:cs="Tahoma"/>
                <w:bCs/>
                <w:iCs/>
                <w:color w:val="000000"/>
                <w:sz w:val="22"/>
                <w:szCs w:val="22"/>
              </w:rPr>
            </w:pPr>
            <w:r w:rsidRPr="00F46A82">
              <w:rPr>
                <w:rFonts w:ascii="Tahoma" w:hAnsi="Tahoma" w:cs="Tahoma"/>
                <w:bCs/>
                <w:iCs/>
                <w:color w:val="000000"/>
                <w:sz w:val="22"/>
                <w:szCs w:val="22"/>
              </w:rPr>
              <w:t>2.1.</w:t>
            </w:r>
          </w:p>
        </w:tc>
        <w:tc>
          <w:tcPr>
            <w:tcW w:w="1889" w:type="pct"/>
            <w:shd w:val="clear" w:color="auto" w:fill="auto"/>
            <w:vAlign w:val="center"/>
          </w:tcPr>
          <w:p w14:paraId="74578D38" w14:textId="77777777" w:rsidR="00F46A82" w:rsidRPr="00F46A82" w:rsidDel="00514473" w:rsidRDefault="00F46A82" w:rsidP="00F46A82">
            <w:pPr>
              <w:rPr>
                <w:rFonts w:ascii="Tahoma" w:hAnsi="Tahoma" w:cs="Tahoma"/>
                <w:bCs/>
                <w:iCs/>
                <w:sz w:val="22"/>
                <w:szCs w:val="22"/>
              </w:rPr>
            </w:pPr>
            <w:r w:rsidRPr="00F46A82">
              <w:rPr>
                <w:rFonts w:ascii="Tahoma" w:hAnsi="Tahoma" w:cs="Tahoma"/>
                <w:bCs/>
                <w:iCs/>
                <w:sz w:val="22"/>
                <w:szCs w:val="22"/>
              </w:rPr>
              <w:t>Валюта Накопительного счета</w:t>
            </w:r>
          </w:p>
        </w:tc>
        <w:tc>
          <w:tcPr>
            <w:tcW w:w="2839" w:type="pct"/>
            <w:shd w:val="clear" w:color="auto" w:fill="auto"/>
            <w:vAlign w:val="center"/>
          </w:tcPr>
          <w:p w14:paraId="5DD18D5C" w14:textId="77777777" w:rsidR="00F46A82" w:rsidRPr="00F46A82" w:rsidDel="00514473" w:rsidRDefault="00F46A82" w:rsidP="00F46A82">
            <w:pPr>
              <w:tabs>
                <w:tab w:val="left" w:pos="4889"/>
              </w:tabs>
              <w:jc w:val="center"/>
              <w:rPr>
                <w:rFonts w:ascii="Tahoma" w:hAnsi="Tahoma" w:cs="Tahoma"/>
                <w:b/>
                <w:bCs/>
                <w:sz w:val="22"/>
                <w:szCs w:val="22"/>
              </w:rPr>
            </w:pPr>
            <w:r w:rsidRPr="00F46A82">
              <w:rPr>
                <w:rFonts w:ascii="Tahoma" w:hAnsi="Tahoma" w:cs="Tahoma"/>
                <w:b/>
                <w:bCs/>
                <w:sz w:val="22"/>
                <w:szCs w:val="22"/>
              </w:rPr>
              <w:t>Российский рубль</w:t>
            </w:r>
          </w:p>
        </w:tc>
      </w:tr>
      <w:tr w:rsidR="00F46A82" w:rsidRPr="00F46A82" w14:paraId="11EFDA93" w14:textId="77777777" w:rsidTr="003D2438">
        <w:tc>
          <w:tcPr>
            <w:tcW w:w="272" w:type="pct"/>
            <w:shd w:val="clear" w:color="auto" w:fill="auto"/>
            <w:vAlign w:val="center"/>
          </w:tcPr>
          <w:p w14:paraId="7CC72348" w14:textId="77777777" w:rsidR="00F46A82" w:rsidRPr="00F46A82" w:rsidRDefault="00F46A82" w:rsidP="00F46A82">
            <w:pPr>
              <w:tabs>
                <w:tab w:val="left" w:pos="284"/>
              </w:tabs>
              <w:rPr>
                <w:rFonts w:ascii="Tahoma" w:hAnsi="Tahoma" w:cs="Tahoma"/>
                <w:bCs/>
                <w:iCs/>
                <w:color w:val="000000"/>
                <w:sz w:val="22"/>
                <w:szCs w:val="22"/>
              </w:rPr>
            </w:pPr>
            <w:r w:rsidRPr="00F46A82">
              <w:rPr>
                <w:rFonts w:ascii="Tahoma" w:hAnsi="Tahoma" w:cs="Tahoma"/>
                <w:bCs/>
                <w:iCs/>
                <w:color w:val="000000"/>
                <w:sz w:val="22"/>
                <w:szCs w:val="22"/>
              </w:rPr>
              <w:t>2.2.</w:t>
            </w:r>
          </w:p>
        </w:tc>
        <w:tc>
          <w:tcPr>
            <w:tcW w:w="4728" w:type="pct"/>
            <w:gridSpan w:val="2"/>
            <w:shd w:val="clear" w:color="auto" w:fill="auto"/>
            <w:vAlign w:val="center"/>
          </w:tcPr>
          <w:p w14:paraId="7EA16D6D" w14:textId="77777777" w:rsidR="00F46A82" w:rsidRPr="00F46A82" w:rsidRDefault="00F46A82" w:rsidP="00F46A82">
            <w:pPr>
              <w:rPr>
                <w:rFonts w:ascii="Tahoma" w:hAnsi="Tahoma" w:cs="Tahoma"/>
                <w:b/>
                <w:bCs/>
                <w:sz w:val="22"/>
                <w:szCs w:val="22"/>
              </w:rPr>
            </w:pPr>
            <w:r w:rsidRPr="00F46A82">
              <w:rPr>
                <w:rFonts w:ascii="Tahoma" w:hAnsi="Tahoma" w:cs="Tahoma"/>
                <w:bCs/>
                <w:iCs/>
                <w:sz w:val="22"/>
                <w:szCs w:val="22"/>
              </w:rPr>
              <w:t>Процентная ставка на Ежедневный остаток по Накопительному счету в рублях, если размер Ежедневного остатка по Накопительному Счету</w:t>
            </w:r>
            <w:r w:rsidRPr="00F46A82">
              <w:rPr>
                <w:rFonts w:ascii="Tahoma" w:hAnsi="Tahoma" w:cs="Tahoma"/>
                <w:bCs/>
                <w:iCs/>
                <w:sz w:val="22"/>
                <w:szCs w:val="22"/>
                <w:vertAlign w:val="superscript"/>
              </w:rPr>
              <w:t xml:space="preserve"> </w:t>
            </w:r>
            <w:r w:rsidRPr="00F46A82">
              <w:rPr>
                <w:rFonts w:ascii="Tahoma" w:hAnsi="Tahoma" w:cs="Tahoma"/>
                <w:b/>
                <w:bCs/>
                <w:iCs/>
                <w:sz w:val="22"/>
                <w:szCs w:val="22"/>
              </w:rPr>
              <w:t>до 30 000 000 рублей</w:t>
            </w:r>
            <w:r w:rsidRPr="00F46A82">
              <w:rPr>
                <w:rFonts w:ascii="Tahoma" w:hAnsi="Tahoma" w:cs="Tahoma"/>
                <w:bCs/>
                <w:iCs/>
                <w:sz w:val="22"/>
                <w:szCs w:val="22"/>
                <w:vertAlign w:val="superscript"/>
              </w:rPr>
              <w:t xml:space="preserve"> </w:t>
            </w:r>
            <w:r w:rsidRPr="00F46A82">
              <w:rPr>
                <w:rFonts w:ascii="Tahoma" w:hAnsi="Tahoma" w:cs="Tahoma"/>
                <w:bCs/>
                <w:iCs/>
                <w:sz w:val="22"/>
                <w:szCs w:val="22"/>
              </w:rPr>
              <w:t>включительно, % годовых</w:t>
            </w:r>
          </w:p>
        </w:tc>
      </w:tr>
      <w:tr w:rsidR="00F46A82" w:rsidRPr="00F46A82" w14:paraId="4C13E9B6" w14:textId="77777777" w:rsidTr="003D2438">
        <w:tc>
          <w:tcPr>
            <w:tcW w:w="272" w:type="pct"/>
            <w:shd w:val="clear" w:color="auto" w:fill="auto"/>
            <w:vAlign w:val="center"/>
          </w:tcPr>
          <w:p w14:paraId="39A0E323" w14:textId="77777777" w:rsidR="00F46A82" w:rsidRPr="00F46A82" w:rsidRDefault="00F46A82" w:rsidP="00F46A82">
            <w:pPr>
              <w:tabs>
                <w:tab w:val="left" w:pos="284"/>
              </w:tabs>
              <w:rPr>
                <w:rFonts w:ascii="Tahoma" w:hAnsi="Tahoma" w:cs="Tahoma"/>
                <w:bCs/>
                <w:iCs/>
                <w:color w:val="000000"/>
                <w:sz w:val="22"/>
                <w:szCs w:val="22"/>
              </w:rPr>
            </w:pPr>
            <w:r w:rsidRPr="00F46A82">
              <w:rPr>
                <w:rFonts w:ascii="Tahoma" w:hAnsi="Tahoma" w:cs="Tahoma"/>
                <w:bCs/>
                <w:iCs/>
                <w:color w:val="000000"/>
                <w:sz w:val="22"/>
                <w:szCs w:val="22"/>
              </w:rPr>
              <w:t>2.2.1.</w:t>
            </w:r>
          </w:p>
        </w:tc>
        <w:tc>
          <w:tcPr>
            <w:tcW w:w="1889" w:type="pct"/>
            <w:shd w:val="clear" w:color="auto" w:fill="auto"/>
            <w:vAlign w:val="center"/>
          </w:tcPr>
          <w:p w14:paraId="6C369638"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При Сумме покупок по Карте</w:t>
            </w:r>
            <w:r w:rsidRPr="00F46A82">
              <w:rPr>
                <w:rFonts w:ascii="Tahoma" w:hAnsi="Tahoma" w:cs="Tahoma"/>
                <w:bCs/>
                <w:iCs/>
                <w:sz w:val="22"/>
                <w:szCs w:val="22"/>
                <w:vertAlign w:val="superscript"/>
              </w:rPr>
              <w:footnoteReference w:id="232"/>
            </w:r>
            <w:r w:rsidRPr="00F46A82">
              <w:rPr>
                <w:rFonts w:ascii="Tahoma" w:hAnsi="Tahoma" w:cs="Tahoma"/>
                <w:bCs/>
                <w:iCs/>
                <w:sz w:val="22"/>
                <w:szCs w:val="22"/>
              </w:rPr>
              <w:t>, выпущенной в рамках Программы, в течение Периода для учета Расходных операций по Счету Карты</w:t>
            </w:r>
            <w:r w:rsidRPr="00F46A82">
              <w:rPr>
                <w:rFonts w:ascii="Tahoma" w:hAnsi="Tahoma" w:cs="Tahoma"/>
                <w:bCs/>
                <w:iCs/>
                <w:sz w:val="22"/>
                <w:szCs w:val="22"/>
                <w:vertAlign w:val="superscript"/>
              </w:rPr>
              <w:footnoteReference w:id="233"/>
            </w:r>
            <w:r w:rsidRPr="00F46A82">
              <w:rPr>
                <w:rFonts w:ascii="Tahoma" w:hAnsi="Tahoma" w:cs="Tahoma"/>
                <w:bCs/>
                <w:iCs/>
                <w:sz w:val="22"/>
                <w:szCs w:val="22"/>
              </w:rPr>
              <w:t xml:space="preserve"> (далее – Период), от 75 000 рублей</w:t>
            </w:r>
          </w:p>
        </w:tc>
        <w:tc>
          <w:tcPr>
            <w:tcW w:w="2839" w:type="pct"/>
            <w:shd w:val="clear" w:color="auto" w:fill="auto"/>
            <w:vAlign w:val="center"/>
          </w:tcPr>
          <w:p w14:paraId="052DE0C0" w14:textId="77777777" w:rsidR="00F46A82" w:rsidRPr="00F46A82" w:rsidRDefault="00F46A82" w:rsidP="00F46A82">
            <w:pPr>
              <w:tabs>
                <w:tab w:val="left" w:pos="4889"/>
              </w:tabs>
              <w:jc w:val="center"/>
              <w:rPr>
                <w:rFonts w:ascii="Tahoma" w:hAnsi="Tahoma" w:cs="Tahoma"/>
                <w:b/>
                <w:bCs/>
                <w:sz w:val="22"/>
                <w:szCs w:val="22"/>
              </w:rPr>
            </w:pPr>
            <w:r w:rsidRPr="00F46A82">
              <w:rPr>
                <w:rFonts w:ascii="Tahoma" w:hAnsi="Tahoma" w:cs="Tahoma"/>
                <w:b/>
                <w:bCs/>
                <w:sz w:val="22"/>
                <w:szCs w:val="22"/>
              </w:rPr>
              <w:t>19%</w:t>
            </w:r>
          </w:p>
        </w:tc>
      </w:tr>
      <w:tr w:rsidR="00F46A82" w:rsidRPr="00F46A82" w14:paraId="1F68123B" w14:textId="77777777" w:rsidTr="003D2438">
        <w:tc>
          <w:tcPr>
            <w:tcW w:w="272" w:type="pct"/>
            <w:shd w:val="clear" w:color="auto" w:fill="auto"/>
            <w:vAlign w:val="center"/>
          </w:tcPr>
          <w:p w14:paraId="32F9BB4B" w14:textId="77777777" w:rsidR="00F46A82" w:rsidRPr="00F46A82" w:rsidRDefault="00F46A82" w:rsidP="00F46A82">
            <w:pPr>
              <w:tabs>
                <w:tab w:val="left" w:pos="284"/>
              </w:tabs>
              <w:rPr>
                <w:rFonts w:ascii="Tahoma" w:hAnsi="Tahoma" w:cs="Tahoma"/>
                <w:bCs/>
                <w:iCs/>
                <w:color w:val="000000"/>
                <w:sz w:val="22"/>
                <w:szCs w:val="22"/>
              </w:rPr>
            </w:pPr>
            <w:r w:rsidRPr="00F46A82">
              <w:rPr>
                <w:rFonts w:ascii="Tahoma" w:hAnsi="Tahoma" w:cs="Tahoma"/>
                <w:bCs/>
                <w:iCs/>
                <w:color w:val="000000"/>
                <w:sz w:val="22"/>
                <w:szCs w:val="22"/>
              </w:rPr>
              <w:t>2.2.2.</w:t>
            </w:r>
          </w:p>
        </w:tc>
        <w:tc>
          <w:tcPr>
            <w:tcW w:w="1889" w:type="pct"/>
            <w:shd w:val="clear" w:color="auto" w:fill="auto"/>
            <w:vAlign w:val="center"/>
          </w:tcPr>
          <w:p w14:paraId="3192ED5C"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При Сумме по покупок по Карте, выпущенной в рамках Программы, в течение Периода, до 75 000 рублей</w:t>
            </w:r>
          </w:p>
        </w:tc>
        <w:tc>
          <w:tcPr>
            <w:tcW w:w="2839" w:type="pct"/>
            <w:shd w:val="clear" w:color="auto" w:fill="auto"/>
            <w:vAlign w:val="center"/>
          </w:tcPr>
          <w:p w14:paraId="6CA8B657" w14:textId="77777777" w:rsidR="00F46A82" w:rsidRPr="00F46A82" w:rsidRDefault="00F46A82" w:rsidP="00F46A82">
            <w:pPr>
              <w:tabs>
                <w:tab w:val="left" w:pos="4889"/>
              </w:tabs>
              <w:jc w:val="center"/>
              <w:rPr>
                <w:rFonts w:ascii="Tahoma" w:hAnsi="Tahoma" w:cs="Tahoma"/>
                <w:b/>
                <w:bCs/>
                <w:sz w:val="22"/>
                <w:szCs w:val="22"/>
              </w:rPr>
            </w:pPr>
            <w:r w:rsidRPr="00F46A82">
              <w:rPr>
                <w:rFonts w:ascii="Tahoma" w:hAnsi="Tahoma" w:cs="Tahoma"/>
                <w:b/>
                <w:bCs/>
                <w:sz w:val="22"/>
                <w:szCs w:val="22"/>
              </w:rPr>
              <w:t>17%</w:t>
            </w:r>
          </w:p>
        </w:tc>
      </w:tr>
      <w:tr w:rsidR="00F46A82" w:rsidRPr="00F46A82" w14:paraId="0420DD5F" w14:textId="77777777" w:rsidTr="003D2438">
        <w:tc>
          <w:tcPr>
            <w:tcW w:w="272" w:type="pct"/>
            <w:shd w:val="clear" w:color="auto" w:fill="auto"/>
            <w:vAlign w:val="center"/>
          </w:tcPr>
          <w:p w14:paraId="76902730" w14:textId="77777777" w:rsidR="00F46A82" w:rsidRPr="00F46A82" w:rsidRDefault="00F46A82" w:rsidP="00F46A82">
            <w:pPr>
              <w:tabs>
                <w:tab w:val="left" w:pos="284"/>
              </w:tabs>
              <w:rPr>
                <w:rFonts w:ascii="Tahoma" w:hAnsi="Tahoma" w:cs="Tahoma"/>
                <w:bCs/>
                <w:iCs/>
                <w:color w:val="000000"/>
                <w:sz w:val="22"/>
                <w:szCs w:val="22"/>
              </w:rPr>
            </w:pPr>
            <w:r w:rsidRPr="00F46A82">
              <w:rPr>
                <w:rFonts w:ascii="Tahoma" w:hAnsi="Tahoma" w:cs="Tahoma"/>
                <w:bCs/>
                <w:iCs/>
                <w:color w:val="000000"/>
                <w:sz w:val="22"/>
                <w:szCs w:val="22"/>
              </w:rPr>
              <w:t>2.3.</w:t>
            </w:r>
          </w:p>
        </w:tc>
        <w:tc>
          <w:tcPr>
            <w:tcW w:w="1889" w:type="pct"/>
            <w:shd w:val="clear" w:color="auto" w:fill="auto"/>
            <w:vAlign w:val="center"/>
          </w:tcPr>
          <w:p w14:paraId="133C60C4" w14:textId="77777777" w:rsidR="00F46A82" w:rsidRPr="00F46A82" w:rsidRDefault="00F46A82" w:rsidP="00F46A82">
            <w:pPr>
              <w:rPr>
                <w:rFonts w:ascii="Tahoma" w:hAnsi="Tahoma" w:cs="Tahoma"/>
                <w:bCs/>
                <w:iCs/>
                <w:color w:val="000000"/>
                <w:sz w:val="22"/>
                <w:szCs w:val="22"/>
              </w:rPr>
            </w:pPr>
            <w:r w:rsidRPr="00F46A82">
              <w:rPr>
                <w:rFonts w:ascii="Tahoma" w:hAnsi="Tahoma" w:cs="Tahoma"/>
                <w:bCs/>
                <w:iCs/>
                <w:sz w:val="22"/>
                <w:szCs w:val="22"/>
              </w:rPr>
              <w:t>Если Ежедневный остаток по Накопительному счету</w:t>
            </w:r>
            <w:r w:rsidRPr="00F46A82">
              <w:rPr>
                <w:rFonts w:ascii="Tahoma" w:hAnsi="Tahoma" w:cs="Tahoma"/>
                <w:bCs/>
                <w:iCs/>
                <w:sz w:val="22"/>
                <w:szCs w:val="22"/>
                <w:vertAlign w:val="superscript"/>
              </w:rPr>
              <w:t xml:space="preserve"> </w:t>
            </w:r>
            <w:r w:rsidRPr="00F46A82">
              <w:rPr>
                <w:rFonts w:ascii="Tahoma" w:hAnsi="Tahoma" w:cs="Tahoma"/>
                <w:bCs/>
                <w:iCs/>
                <w:sz w:val="22"/>
                <w:szCs w:val="22"/>
              </w:rPr>
              <w:t xml:space="preserve"> в рублях превышает </w:t>
            </w:r>
            <w:r w:rsidRPr="00F46A82">
              <w:rPr>
                <w:rFonts w:ascii="Tahoma" w:hAnsi="Tahoma" w:cs="Tahoma"/>
                <w:b/>
                <w:bCs/>
                <w:iCs/>
                <w:sz w:val="22"/>
                <w:szCs w:val="22"/>
              </w:rPr>
              <w:t>30 000 000 рублей</w:t>
            </w:r>
            <w:r w:rsidRPr="00F46A82">
              <w:rPr>
                <w:rFonts w:ascii="Tahoma" w:hAnsi="Tahoma" w:cs="Tahoma"/>
                <w:bCs/>
                <w:iCs/>
                <w:sz w:val="22"/>
                <w:szCs w:val="22"/>
              </w:rPr>
              <w:t>,</w:t>
            </w:r>
            <w:r w:rsidRPr="00F46A82">
              <w:rPr>
                <w:rFonts w:ascii="Tahoma" w:hAnsi="Tahoma" w:cs="Tahoma"/>
                <w:bCs/>
                <w:iCs/>
                <w:sz w:val="22"/>
                <w:szCs w:val="22"/>
                <w:vertAlign w:val="superscript"/>
              </w:rPr>
              <w:t xml:space="preserve"> </w:t>
            </w:r>
            <w:r w:rsidRPr="00F46A82">
              <w:rPr>
                <w:rFonts w:ascii="Tahoma" w:hAnsi="Tahoma" w:cs="Tahoma"/>
                <w:bCs/>
                <w:iCs/>
                <w:sz w:val="22"/>
                <w:szCs w:val="22"/>
              </w:rPr>
              <w:t xml:space="preserve">то </w:t>
            </w:r>
            <w:r w:rsidRPr="00F46A82">
              <w:rPr>
                <w:rFonts w:ascii="Tahoma" w:hAnsi="Tahoma" w:cs="Tahoma"/>
                <w:b/>
                <w:bCs/>
                <w:iCs/>
                <w:sz w:val="22"/>
                <w:szCs w:val="22"/>
              </w:rPr>
              <w:t>на сумму превышения</w:t>
            </w:r>
            <w:r w:rsidRPr="00F46A82">
              <w:rPr>
                <w:rFonts w:ascii="Tahoma" w:hAnsi="Tahoma" w:cs="Tahoma"/>
                <w:bCs/>
                <w:iCs/>
                <w:sz w:val="22"/>
                <w:szCs w:val="22"/>
              </w:rPr>
              <w:t xml:space="preserve"> процентная</w:t>
            </w:r>
            <w:r w:rsidRPr="00F46A82">
              <w:rPr>
                <w:rFonts w:ascii="Tahoma" w:hAnsi="Tahoma" w:cs="Tahoma"/>
                <w:bCs/>
                <w:iCs/>
                <w:sz w:val="22"/>
                <w:szCs w:val="22"/>
                <w:vertAlign w:val="superscript"/>
              </w:rPr>
              <w:t xml:space="preserve"> </w:t>
            </w:r>
            <w:r w:rsidRPr="00F46A82">
              <w:rPr>
                <w:rFonts w:ascii="Tahoma" w:hAnsi="Tahoma" w:cs="Tahoma"/>
                <w:bCs/>
                <w:iCs/>
                <w:sz w:val="22"/>
                <w:szCs w:val="22"/>
              </w:rPr>
              <w:t>ставка, в % годовых (вне зависимости от Суммы покупок по Карте, выпущенной в рамках Программы, в течение Периода)</w:t>
            </w:r>
          </w:p>
        </w:tc>
        <w:tc>
          <w:tcPr>
            <w:tcW w:w="2839" w:type="pct"/>
            <w:shd w:val="clear" w:color="auto" w:fill="auto"/>
            <w:vAlign w:val="center"/>
          </w:tcPr>
          <w:p w14:paraId="0E58EA4A" w14:textId="77777777" w:rsidR="00F46A82" w:rsidRPr="00F46A82" w:rsidRDefault="00F46A82" w:rsidP="00F46A82">
            <w:pPr>
              <w:tabs>
                <w:tab w:val="left" w:pos="4889"/>
              </w:tabs>
              <w:jc w:val="center"/>
              <w:rPr>
                <w:rFonts w:ascii="Tahoma" w:hAnsi="Tahoma" w:cs="Tahoma"/>
                <w:b/>
                <w:bCs/>
                <w:sz w:val="22"/>
                <w:szCs w:val="22"/>
              </w:rPr>
            </w:pPr>
            <w:r w:rsidRPr="00F46A82">
              <w:rPr>
                <w:rFonts w:ascii="Tahoma" w:hAnsi="Tahoma" w:cs="Tahoma"/>
                <w:b/>
                <w:bCs/>
                <w:sz w:val="22"/>
                <w:szCs w:val="22"/>
              </w:rPr>
              <w:t>10%</w:t>
            </w:r>
          </w:p>
        </w:tc>
      </w:tr>
      <w:tr w:rsidR="00F46A82" w:rsidRPr="00F46A82" w14:paraId="6B732291" w14:textId="77777777" w:rsidTr="003D2438">
        <w:tc>
          <w:tcPr>
            <w:tcW w:w="272" w:type="pct"/>
            <w:shd w:val="clear" w:color="auto" w:fill="auto"/>
            <w:vAlign w:val="center"/>
          </w:tcPr>
          <w:p w14:paraId="7BD939BC" w14:textId="77777777" w:rsidR="00F46A82" w:rsidRPr="00F46A82" w:rsidRDefault="00F46A82" w:rsidP="00F46A82">
            <w:pPr>
              <w:tabs>
                <w:tab w:val="left" w:pos="284"/>
              </w:tabs>
              <w:rPr>
                <w:rFonts w:ascii="Tahoma" w:hAnsi="Tahoma" w:cs="Tahoma"/>
                <w:bCs/>
                <w:iCs/>
                <w:color w:val="000000"/>
                <w:sz w:val="22"/>
                <w:szCs w:val="22"/>
              </w:rPr>
            </w:pPr>
            <w:r w:rsidRPr="00F46A82">
              <w:rPr>
                <w:rFonts w:ascii="Tahoma" w:hAnsi="Tahoma" w:cs="Tahoma"/>
                <w:bCs/>
                <w:iCs/>
                <w:color w:val="000000"/>
                <w:sz w:val="22"/>
                <w:szCs w:val="22"/>
              </w:rPr>
              <w:t>2.4.</w:t>
            </w:r>
          </w:p>
        </w:tc>
        <w:tc>
          <w:tcPr>
            <w:tcW w:w="1889" w:type="pct"/>
            <w:shd w:val="clear" w:color="auto" w:fill="auto"/>
            <w:vAlign w:val="center"/>
          </w:tcPr>
          <w:p w14:paraId="5788D24A"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Максимальная сумма, размещенная на Накопительном счете в рублях, свыше которой начисление процентов не осуществляется</w:t>
            </w:r>
          </w:p>
        </w:tc>
        <w:tc>
          <w:tcPr>
            <w:tcW w:w="2839" w:type="pct"/>
            <w:shd w:val="clear" w:color="auto" w:fill="auto"/>
            <w:vAlign w:val="center"/>
          </w:tcPr>
          <w:p w14:paraId="36F8376D" w14:textId="77777777" w:rsidR="00F46A82" w:rsidRPr="00F46A82" w:rsidDel="00F4530E" w:rsidRDefault="00F46A82" w:rsidP="00F46A82">
            <w:pPr>
              <w:tabs>
                <w:tab w:val="left" w:pos="4889"/>
              </w:tabs>
              <w:jc w:val="center"/>
              <w:rPr>
                <w:rFonts w:ascii="Tahoma" w:hAnsi="Tahoma" w:cs="Tahoma"/>
                <w:b/>
                <w:bCs/>
                <w:sz w:val="22"/>
                <w:szCs w:val="22"/>
              </w:rPr>
            </w:pPr>
            <w:r w:rsidRPr="00F46A82">
              <w:rPr>
                <w:rFonts w:ascii="Tahoma" w:hAnsi="Tahoma" w:cs="Tahoma"/>
                <w:b/>
                <w:bCs/>
                <w:sz w:val="22"/>
                <w:szCs w:val="22"/>
              </w:rPr>
              <w:t>Не предусмотрено</w:t>
            </w:r>
          </w:p>
        </w:tc>
      </w:tr>
      <w:tr w:rsidR="00F46A82" w:rsidRPr="00F46A82" w14:paraId="489A8A5E" w14:textId="77777777" w:rsidTr="003D2438">
        <w:tc>
          <w:tcPr>
            <w:tcW w:w="272" w:type="pct"/>
            <w:shd w:val="clear" w:color="auto" w:fill="5C5C5C"/>
            <w:vAlign w:val="center"/>
          </w:tcPr>
          <w:p w14:paraId="3B0209F0" w14:textId="77777777" w:rsidR="00F46A82" w:rsidRPr="00F46A82" w:rsidRDefault="00F46A82" w:rsidP="00F46A82">
            <w:pPr>
              <w:tabs>
                <w:tab w:val="left" w:pos="284"/>
              </w:tabs>
              <w:rPr>
                <w:rFonts w:ascii="Tahoma" w:hAnsi="Tahoma" w:cs="Tahoma"/>
                <w:bCs/>
                <w:iCs/>
                <w:color w:val="FFFFFF"/>
              </w:rPr>
            </w:pPr>
            <w:r w:rsidRPr="00F46A82">
              <w:rPr>
                <w:rFonts w:ascii="Tahoma" w:hAnsi="Tahoma" w:cs="Tahoma"/>
                <w:bCs/>
                <w:iCs/>
                <w:color w:val="FFFFFF"/>
              </w:rPr>
              <w:t>3.</w:t>
            </w:r>
          </w:p>
        </w:tc>
        <w:tc>
          <w:tcPr>
            <w:tcW w:w="4728" w:type="pct"/>
            <w:gridSpan w:val="2"/>
            <w:shd w:val="clear" w:color="auto" w:fill="5C5C5C"/>
            <w:vAlign w:val="center"/>
          </w:tcPr>
          <w:p w14:paraId="5844205E" w14:textId="77777777" w:rsidR="00F46A82" w:rsidRPr="00F46A82" w:rsidRDefault="00F46A82" w:rsidP="00F46A82">
            <w:pPr>
              <w:tabs>
                <w:tab w:val="left" w:pos="284"/>
              </w:tabs>
              <w:rPr>
                <w:rFonts w:ascii="Tahoma" w:hAnsi="Tahoma" w:cs="Tahoma"/>
                <w:bCs/>
                <w:iCs/>
                <w:color w:val="FFFFFF"/>
              </w:rPr>
            </w:pPr>
            <w:r w:rsidRPr="00F46A82">
              <w:rPr>
                <w:rFonts w:ascii="Tahoma" w:hAnsi="Tahoma" w:cs="Tahoma"/>
                <w:bCs/>
                <w:iCs/>
                <w:color w:val="FFFFFF"/>
              </w:rPr>
              <w:t>Накопительный счет в юанях</w:t>
            </w:r>
          </w:p>
        </w:tc>
      </w:tr>
      <w:tr w:rsidR="00F46A82" w:rsidRPr="00F46A82" w14:paraId="5B794E50" w14:textId="77777777" w:rsidTr="003D2438">
        <w:tc>
          <w:tcPr>
            <w:tcW w:w="272" w:type="pct"/>
            <w:shd w:val="clear" w:color="auto" w:fill="auto"/>
            <w:vAlign w:val="center"/>
          </w:tcPr>
          <w:p w14:paraId="6BBB1847" w14:textId="77777777" w:rsidR="00F46A82" w:rsidRPr="00F46A82" w:rsidRDefault="00F46A82" w:rsidP="00F46A82">
            <w:pPr>
              <w:tabs>
                <w:tab w:val="left" w:pos="284"/>
              </w:tabs>
              <w:rPr>
                <w:rFonts w:ascii="Tahoma" w:hAnsi="Tahoma" w:cs="Tahoma"/>
                <w:bCs/>
                <w:iCs/>
                <w:color w:val="000000"/>
                <w:sz w:val="22"/>
                <w:szCs w:val="22"/>
              </w:rPr>
            </w:pPr>
            <w:r w:rsidRPr="00F46A82">
              <w:rPr>
                <w:rFonts w:ascii="Tahoma" w:hAnsi="Tahoma" w:cs="Tahoma"/>
                <w:bCs/>
                <w:iCs/>
                <w:color w:val="000000"/>
                <w:sz w:val="22"/>
                <w:szCs w:val="22"/>
              </w:rPr>
              <w:t>3.1.</w:t>
            </w:r>
          </w:p>
        </w:tc>
        <w:tc>
          <w:tcPr>
            <w:tcW w:w="1889" w:type="pct"/>
            <w:shd w:val="clear" w:color="auto" w:fill="auto"/>
            <w:vAlign w:val="center"/>
          </w:tcPr>
          <w:p w14:paraId="039F5DB9"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Валюта Накопительного счета</w:t>
            </w:r>
          </w:p>
        </w:tc>
        <w:tc>
          <w:tcPr>
            <w:tcW w:w="2839" w:type="pct"/>
            <w:shd w:val="clear" w:color="auto" w:fill="auto"/>
            <w:vAlign w:val="center"/>
          </w:tcPr>
          <w:p w14:paraId="13DB347D" w14:textId="77777777" w:rsidR="00F46A82" w:rsidRPr="00F46A82" w:rsidRDefault="00F46A82" w:rsidP="00F46A82">
            <w:pPr>
              <w:tabs>
                <w:tab w:val="left" w:pos="4889"/>
              </w:tabs>
              <w:jc w:val="center"/>
              <w:rPr>
                <w:rFonts w:ascii="Tahoma" w:hAnsi="Tahoma" w:cs="Tahoma"/>
                <w:b/>
                <w:bCs/>
                <w:sz w:val="22"/>
                <w:szCs w:val="22"/>
              </w:rPr>
            </w:pPr>
            <w:r w:rsidRPr="00F46A82">
              <w:rPr>
                <w:rFonts w:ascii="Tahoma" w:hAnsi="Tahoma" w:cs="Tahoma"/>
                <w:b/>
                <w:bCs/>
                <w:sz w:val="22"/>
                <w:szCs w:val="22"/>
              </w:rPr>
              <w:t>Юань</w:t>
            </w:r>
          </w:p>
        </w:tc>
      </w:tr>
      <w:tr w:rsidR="00F46A82" w:rsidRPr="00F46A82" w14:paraId="4E01C6FE" w14:textId="77777777" w:rsidTr="003D2438">
        <w:tc>
          <w:tcPr>
            <w:tcW w:w="272" w:type="pct"/>
            <w:shd w:val="clear" w:color="auto" w:fill="auto"/>
            <w:vAlign w:val="center"/>
          </w:tcPr>
          <w:p w14:paraId="57BE4806" w14:textId="77777777" w:rsidR="00F46A82" w:rsidRPr="00F46A82" w:rsidRDefault="00F46A82" w:rsidP="00F46A82">
            <w:pPr>
              <w:tabs>
                <w:tab w:val="left" w:pos="284"/>
              </w:tabs>
              <w:rPr>
                <w:rFonts w:ascii="Tahoma" w:hAnsi="Tahoma" w:cs="Tahoma"/>
                <w:bCs/>
                <w:iCs/>
                <w:color w:val="000000"/>
                <w:sz w:val="22"/>
                <w:szCs w:val="22"/>
              </w:rPr>
            </w:pPr>
            <w:r w:rsidRPr="00F46A82">
              <w:rPr>
                <w:rFonts w:ascii="Tahoma" w:hAnsi="Tahoma" w:cs="Tahoma"/>
                <w:bCs/>
                <w:iCs/>
                <w:color w:val="000000"/>
                <w:sz w:val="22"/>
                <w:szCs w:val="22"/>
              </w:rPr>
              <w:t>3.2.</w:t>
            </w:r>
          </w:p>
        </w:tc>
        <w:tc>
          <w:tcPr>
            <w:tcW w:w="1889" w:type="pct"/>
            <w:shd w:val="clear" w:color="auto" w:fill="auto"/>
            <w:vAlign w:val="center"/>
          </w:tcPr>
          <w:p w14:paraId="39DDFCC6"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Процентная ставка на Ежедневный остаток денежных</w:t>
            </w:r>
          </w:p>
          <w:p w14:paraId="143715AB"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средств по Накопительному счету в юанях, %</w:t>
            </w:r>
          </w:p>
          <w:p w14:paraId="2046FD84"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годовых</w:t>
            </w:r>
            <w:r w:rsidRPr="00F46A82">
              <w:rPr>
                <w:rFonts w:ascii="Tahoma" w:hAnsi="Tahoma" w:cs="Tahoma"/>
                <w:bCs/>
                <w:iCs/>
                <w:sz w:val="22"/>
                <w:szCs w:val="22"/>
                <w:vertAlign w:val="superscript"/>
              </w:rPr>
              <w:footnoteReference w:id="234"/>
            </w:r>
          </w:p>
        </w:tc>
        <w:tc>
          <w:tcPr>
            <w:tcW w:w="2839" w:type="pct"/>
            <w:shd w:val="clear" w:color="auto" w:fill="auto"/>
            <w:vAlign w:val="center"/>
          </w:tcPr>
          <w:p w14:paraId="5E7873DD" w14:textId="77777777" w:rsidR="00F46A82" w:rsidRPr="00F46A82" w:rsidRDefault="00F46A82" w:rsidP="00F46A82">
            <w:pPr>
              <w:tabs>
                <w:tab w:val="left" w:pos="4889"/>
              </w:tabs>
              <w:jc w:val="center"/>
              <w:rPr>
                <w:rFonts w:ascii="Tahoma" w:hAnsi="Tahoma" w:cs="Tahoma"/>
                <w:b/>
                <w:bCs/>
                <w:sz w:val="22"/>
                <w:szCs w:val="22"/>
              </w:rPr>
            </w:pPr>
            <w:r w:rsidRPr="00F46A82">
              <w:rPr>
                <w:rFonts w:ascii="Tahoma" w:hAnsi="Tahoma" w:cs="Tahoma"/>
                <w:bCs/>
                <w:sz w:val="22"/>
                <w:szCs w:val="22"/>
              </w:rPr>
              <w:t>0,6%</w:t>
            </w:r>
          </w:p>
        </w:tc>
      </w:tr>
      <w:tr w:rsidR="00F46A82" w:rsidRPr="00F46A82" w14:paraId="2F9F8D92" w14:textId="77777777" w:rsidTr="003D2438">
        <w:tc>
          <w:tcPr>
            <w:tcW w:w="272" w:type="pct"/>
            <w:shd w:val="clear" w:color="auto" w:fill="auto"/>
            <w:vAlign w:val="center"/>
          </w:tcPr>
          <w:p w14:paraId="353BD2B8" w14:textId="77777777" w:rsidR="00F46A82" w:rsidRPr="00F46A82" w:rsidRDefault="00F46A82" w:rsidP="00F46A82">
            <w:pPr>
              <w:tabs>
                <w:tab w:val="left" w:pos="284"/>
              </w:tabs>
              <w:rPr>
                <w:rFonts w:ascii="Tahoma" w:hAnsi="Tahoma" w:cs="Tahoma"/>
                <w:bCs/>
                <w:iCs/>
                <w:color w:val="000000"/>
                <w:sz w:val="22"/>
                <w:szCs w:val="22"/>
              </w:rPr>
            </w:pPr>
            <w:r w:rsidRPr="00F46A82">
              <w:rPr>
                <w:rFonts w:ascii="Tahoma" w:hAnsi="Tahoma" w:cs="Tahoma"/>
                <w:bCs/>
                <w:iCs/>
                <w:color w:val="000000"/>
                <w:sz w:val="22"/>
                <w:szCs w:val="22"/>
              </w:rPr>
              <w:t>3.3.</w:t>
            </w:r>
          </w:p>
        </w:tc>
        <w:tc>
          <w:tcPr>
            <w:tcW w:w="1889" w:type="pct"/>
            <w:shd w:val="clear" w:color="auto" w:fill="auto"/>
            <w:vAlign w:val="center"/>
          </w:tcPr>
          <w:p w14:paraId="530FAB85" w14:textId="77777777" w:rsidR="00F46A82" w:rsidRPr="00F46A82" w:rsidRDefault="00F46A82" w:rsidP="00F46A82">
            <w:pPr>
              <w:rPr>
                <w:rFonts w:ascii="Tahoma" w:hAnsi="Tahoma" w:cs="Tahoma"/>
                <w:bCs/>
                <w:iCs/>
                <w:sz w:val="22"/>
                <w:szCs w:val="22"/>
              </w:rPr>
            </w:pPr>
            <w:r w:rsidRPr="00F46A82">
              <w:rPr>
                <w:rFonts w:ascii="Tahoma" w:hAnsi="Tahoma" w:cs="Tahoma"/>
                <w:bCs/>
                <w:iCs/>
                <w:sz w:val="22"/>
                <w:szCs w:val="22"/>
              </w:rPr>
              <w:t>Максимальная сумма, размещенная на Накопительном счете в юанях, свыше которой начисление процентов не осуществляется</w:t>
            </w:r>
          </w:p>
        </w:tc>
        <w:tc>
          <w:tcPr>
            <w:tcW w:w="2839" w:type="pct"/>
            <w:shd w:val="clear" w:color="auto" w:fill="auto"/>
            <w:vAlign w:val="center"/>
          </w:tcPr>
          <w:p w14:paraId="1B33DC85" w14:textId="77777777" w:rsidR="00F46A82" w:rsidRPr="00F46A82" w:rsidRDefault="00F46A82" w:rsidP="00F46A82">
            <w:pPr>
              <w:tabs>
                <w:tab w:val="left" w:pos="4889"/>
              </w:tabs>
              <w:jc w:val="center"/>
              <w:rPr>
                <w:rFonts w:ascii="Tahoma" w:hAnsi="Tahoma" w:cs="Tahoma"/>
                <w:b/>
                <w:bCs/>
                <w:iCs/>
                <w:sz w:val="22"/>
                <w:szCs w:val="22"/>
              </w:rPr>
            </w:pPr>
            <w:r w:rsidRPr="00F46A82">
              <w:rPr>
                <w:rFonts w:ascii="Tahoma" w:hAnsi="Tahoma" w:cs="Tahoma"/>
                <w:b/>
                <w:bCs/>
                <w:sz w:val="22"/>
                <w:szCs w:val="22"/>
              </w:rPr>
              <w:t>Не предусмотрено</w:t>
            </w:r>
          </w:p>
        </w:tc>
      </w:tr>
      <w:tr w:rsidR="00F46A82" w:rsidRPr="00F46A82" w14:paraId="437DA7F5" w14:textId="77777777" w:rsidTr="00F46A82">
        <w:tc>
          <w:tcPr>
            <w:tcW w:w="272" w:type="pct"/>
            <w:shd w:val="clear" w:color="auto" w:fill="595959"/>
            <w:vAlign w:val="center"/>
          </w:tcPr>
          <w:p w14:paraId="1706D6CF" w14:textId="77777777" w:rsidR="00F46A82" w:rsidRPr="00F46A82" w:rsidDel="00860D0C" w:rsidRDefault="00F46A82" w:rsidP="00F46A82">
            <w:pPr>
              <w:tabs>
                <w:tab w:val="left" w:pos="284"/>
              </w:tabs>
              <w:rPr>
                <w:rFonts w:ascii="Tahoma" w:hAnsi="Tahoma" w:cs="Tahoma"/>
                <w:bCs/>
                <w:iCs/>
                <w:color w:val="FFFFFF"/>
              </w:rPr>
            </w:pPr>
            <w:r w:rsidRPr="00F46A82">
              <w:rPr>
                <w:rFonts w:ascii="Tahoma" w:hAnsi="Tahoma" w:cs="Tahoma"/>
                <w:bCs/>
                <w:iCs/>
                <w:color w:val="FFFFFF"/>
              </w:rPr>
              <w:t>4.</w:t>
            </w:r>
          </w:p>
        </w:tc>
        <w:tc>
          <w:tcPr>
            <w:tcW w:w="4728" w:type="pct"/>
            <w:gridSpan w:val="2"/>
            <w:shd w:val="clear" w:color="auto" w:fill="595959"/>
            <w:vAlign w:val="center"/>
          </w:tcPr>
          <w:p w14:paraId="7C6B8296" w14:textId="77777777" w:rsidR="00F46A82" w:rsidRPr="00F46A82" w:rsidDel="00860D0C" w:rsidRDefault="00F46A82" w:rsidP="00F46A82">
            <w:pPr>
              <w:tabs>
                <w:tab w:val="left" w:pos="4889"/>
              </w:tabs>
              <w:rPr>
                <w:rFonts w:ascii="Tahoma" w:hAnsi="Tahoma" w:cs="Tahoma"/>
                <w:bCs/>
                <w:iCs/>
                <w:color w:val="FFFFFF"/>
              </w:rPr>
            </w:pPr>
            <w:r w:rsidRPr="00F46A82">
              <w:rPr>
                <w:rFonts w:ascii="Tahoma" w:hAnsi="Tahoma" w:cs="Tahoma"/>
                <w:b/>
                <w:bCs/>
                <w:iCs/>
                <w:color w:val="FFFFFF"/>
                <w:sz w:val="22"/>
                <w:szCs w:val="22"/>
              </w:rPr>
              <w:t>Условия выдачи наличных денежных средств в пунктах выдачи наличных Банка с Накопительного счета</w:t>
            </w:r>
          </w:p>
        </w:tc>
      </w:tr>
      <w:tr w:rsidR="00F46A82" w:rsidRPr="00F46A82" w14:paraId="0965BD7F" w14:textId="77777777" w:rsidTr="003D2438">
        <w:trPr>
          <w:trHeight w:val="614"/>
        </w:trPr>
        <w:tc>
          <w:tcPr>
            <w:tcW w:w="272" w:type="pct"/>
            <w:shd w:val="clear" w:color="auto" w:fill="auto"/>
            <w:vAlign w:val="center"/>
          </w:tcPr>
          <w:p w14:paraId="46A13865" w14:textId="77777777" w:rsidR="00F46A82" w:rsidRPr="00F46A82" w:rsidRDefault="00F46A82" w:rsidP="00F46A82">
            <w:pPr>
              <w:tabs>
                <w:tab w:val="left" w:pos="284"/>
              </w:tabs>
              <w:rPr>
                <w:rFonts w:ascii="Tahoma" w:hAnsi="Tahoma" w:cs="Tahoma"/>
                <w:bCs/>
                <w:iCs/>
                <w:sz w:val="22"/>
                <w:szCs w:val="22"/>
              </w:rPr>
            </w:pPr>
            <w:r w:rsidRPr="00F46A82">
              <w:rPr>
                <w:rFonts w:ascii="Tahoma" w:hAnsi="Tahoma" w:cs="Tahoma"/>
                <w:bCs/>
                <w:iCs/>
                <w:sz w:val="22"/>
                <w:szCs w:val="22"/>
              </w:rPr>
              <w:t>4.1.</w:t>
            </w:r>
          </w:p>
        </w:tc>
        <w:tc>
          <w:tcPr>
            <w:tcW w:w="1889" w:type="pct"/>
            <w:shd w:val="clear" w:color="auto" w:fill="auto"/>
            <w:vAlign w:val="center"/>
          </w:tcPr>
          <w:p w14:paraId="31FD6517" w14:textId="77777777" w:rsidR="00F46A82" w:rsidRPr="00F46A82" w:rsidRDefault="00F46A82" w:rsidP="00F46A82">
            <w:pPr>
              <w:tabs>
                <w:tab w:val="left" w:pos="4889"/>
              </w:tabs>
              <w:rPr>
                <w:rFonts w:ascii="Tahoma" w:hAnsi="Tahoma" w:cs="Tahoma"/>
                <w:bCs/>
                <w:iCs/>
                <w:sz w:val="22"/>
                <w:szCs w:val="22"/>
              </w:rPr>
            </w:pPr>
            <w:r w:rsidRPr="00F46A82">
              <w:rPr>
                <w:rFonts w:ascii="Tahoma" w:hAnsi="Tahoma" w:cs="Tahoma"/>
                <w:bCs/>
                <w:iCs/>
                <w:sz w:val="22"/>
                <w:szCs w:val="22"/>
              </w:rPr>
              <w:t>Выдача наличных денежных средств, поступивших на Накопительный счет наличным способом</w:t>
            </w:r>
          </w:p>
        </w:tc>
        <w:tc>
          <w:tcPr>
            <w:tcW w:w="2839" w:type="pct"/>
            <w:vMerge w:val="restart"/>
            <w:shd w:val="clear" w:color="auto" w:fill="auto"/>
            <w:vAlign w:val="center"/>
          </w:tcPr>
          <w:p w14:paraId="611BFA7F" w14:textId="77777777" w:rsidR="00F46A82" w:rsidRPr="00F46A82" w:rsidRDefault="00F46A82" w:rsidP="00F46A82">
            <w:pPr>
              <w:tabs>
                <w:tab w:val="left" w:pos="4889"/>
              </w:tabs>
              <w:jc w:val="center"/>
              <w:rPr>
                <w:rFonts w:ascii="Tahoma" w:hAnsi="Tahoma" w:cs="Tahoma"/>
                <w:b/>
                <w:bCs/>
                <w:iCs/>
                <w:sz w:val="22"/>
                <w:szCs w:val="22"/>
              </w:rPr>
            </w:pPr>
            <w:r w:rsidRPr="00F46A82">
              <w:rPr>
                <w:rFonts w:ascii="Tahoma" w:hAnsi="Tahoma" w:cs="Tahoma"/>
                <w:b/>
                <w:bCs/>
                <w:iCs/>
                <w:sz w:val="22"/>
                <w:szCs w:val="22"/>
              </w:rPr>
              <w:t>БЕСПЛАТНО</w:t>
            </w:r>
          </w:p>
        </w:tc>
      </w:tr>
      <w:tr w:rsidR="00F46A82" w:rsidRPr="00F46A82" w14:paraId="6DD0ABA9" w14:textId="77777777" w:rsidTr="003D2438">
        <w:trPr>
          <w:trHeight w:val="711"/>
        </w:trPr>
        <w:tc>
          <w:tcPr>
            <w:tcW w:w="272" w:type="pct"/>
            <w:shd w:val="clear" w:color="auto" w:fill="auto"/>
            <w:vAlign w:val="center"/>
          </w:tcPr>
          <w:p w14:paraId="1F235F12" w14:textId="77777777" w:rsidR="00F46A82" w:rsidRPr="00F46A82" w:rsidRDefault="00F46A82" w:rsidP="00F46A82">
            <w:pPr>
              <w:tabs>
                <w:tab w:val="left" w:pos="284"/>
              </w:tabs>
              <w:rPr>
                <w:rFonts w:ascii="Tahoma" w:hAnsi="Tahoma" w:cs="Tahoma"/>
                <w:bCs/>
                <w:iCs/>
                <w:sz w:val="22"/>
                <w:szCs w:val="22"/>
              </w:rPr>
            </w:pPr>
            <w:r w:rsidRPr="00F46A82">
              <w:rPr>
                <w:rFonts w:ascii="Tahoma" w:hAnsi="Tahoma" w:cs="Tahoma"/>
                <w:bCs/>
                <w:iCs/>
                <w:sz w:val="22"/>
                <w:szCs w:val="22"/>
              </w:rPr>
              <w:t>4.2.</w:t>
            </w:r>
          </w:p>
        </w:tc>
        <w:tc>
          <w:tcPr>
            <w:tcW w:w="1889" w:type="pct"/>
            <w:shd w:val="clear" w:color="auto" w:fill="auto"/>
            <w:vAlign w:val="center"/>
          </w:tcPr>
          <w:p w14:paraId="2B02F647" w14:textId="77777777" w:rsidR="00F46A82" w:rsidRPr="00F46A82" w:rsidRDefault="00F46A82" w:rsidP="00F46A82">
            <w:pPr>
              <w:tabs>
                <w:tab w:val="left" w:pos="4889"/>
              </w:tabs>
              <w:rPr>
                <w:rFonts w:ascii="Tahoma" w:hAnsi="Tahoma" w:cs="Tahoma"/>
                <w:bCs/>
                <w:iCs/>
                <w:sz w:val="22"/>
                <w:szCs w:val="22"/>
              </w:rPr>
            </w:pPr>
            <w:r w:rsidRPr="00F46A82">
              <w:rPr>
                <w:rFonts w:ascii="Tahoma" w:hAnsi="Tahoma" w:cs="Tahoma"/>
                <w:bCs/>
                <w:iCs/>
                <w:sz w:val="22"/>
                <w:szCs w:val="22"/>
              </w:rPr>
              <w:t>Выдача наличных денежных средств, поступивших на Накопительный счет безналичным способом со счетов Клиента, открытых в Банке как на физическое лицо, при совокупном сроке хранения этих денежных средств на этих счетах не менее 30 (тридцати) календарных дней (включительно) с даты их поступления</w:t>
            </w:r>
          </w:p>
        </w:tc>
        <w:tc>
          <w:tcPr>
            <w:tcW w:w="2839" w:type="pct"/>
            <w:vMerge/>
            <w:shd w:val="clear" w:color="auto" w:fill="auto"/>
            <w:vAlign w:val="center"/>
          </w:tcPr>
          <w:p w14:paraId="2BAED93C" w14:textId="77777777" w:rsidR="00F46A82" w:rsidRPr="00F46A82" w:rsidRDefault="00F46A82" w:rsidP="00F46A82">
            <w:pPr>
              <w:tabs>
                <w:tab w:val="left" w:pos="4889"/>
              </w:tabs>
              <w:jc w:val="center"/>
              <w:rPr>
                <w:rFonts w:ascii="Tahoma" w:hAnsi="Tahoma" w:cs="Tahoma"/>
                <w:b/>
                <w:bCs/>
                <w:iCs/>
                <w:sz w:val="22"/>
                <w:szCs w:val="22"/>
              </w:rPr>
            </w:pPr>
          </w:p>
        </w:tc>
      </w:tr>
      <w:tr w:rsidR="00F46A82" w:rsidRPr="00F46A82" w14:paraId="03252EBE" w14:textId="77777777" w:rsidTr="003D2438">
        <w:trPr>
          <w:trHeight w:val="1432"/>
        </w:trPr>
        <w:tc>
          <w:tcPr>
            <w:tcW w:w="272" w:type="pct"/>
            <w:shd w:val="clear" w:color="auto" w:fill="auto"/>
            <w:vAlign w:val="center"/>
          </w:tcPr>
          <w:p w14:paraId="79565C91" w14:textId="77777777" w:rsidR="00F46A82" w:rsidRPr="00F46A82" w:rsidRDefault="00F46A82" w:rsidP="00F46A82">
            <w:pPr>
              <w:tabs>
                <w:tab w:val="left" w:pos="284"/>
              </w:tabs>
              <w:rPr>
                <w:rFonts w:ascii="Tahoma" w:hAnsi="Tahoma" w:cs="Tahoma"/>
                <w:bCs/>
                <w:iCs/>
                <w:sz w:val="22"/>
                <w:szCs w:val="22"/>
              </w:rPr>
            </w:pPr>
            <w:r w:rsidRPr="00F46A82">
              <w:rPr>
                <w:rFonts w:ascii="Tahoma" w:hAnsi="Tahoma" w:cs="Tahoma"/>
                <w:bCs/>
                <w:iCs/>
                <w:sz w:val="22"/>
                <w:szCs w:val="22"/>
              </w:rPr>
              <w:t>4.3.</w:t>
            </w:r>
          </w:p>
        </w:tc>
        <w:tc>
          <w:tcPr>
            <w:tcW w:w="1889" w:type="pct"/>
            <w:shd w:val="clear" w:color="auto" w:fill="auto"/>
            <w:vAlign w:val="center"/>
          </w:tcPr>
          <w:p w14:paraId="012A0F5B" w14:textId="77777777" w:rsidR="00F46A82" w:rsidRPr="00F46A82" w:rsidRDefault="00F46A82" w:rsidP="00F46A82">
            <w:pPr>
              <w:tabs>
                <w:tab w:val="left" w:pos="4889"/>
              </w:tabs>
              <w:rPr>
                <w:rFonts w:ascii="Tahoma" w:hAnsi="Tahoma" w:cs="Tahoma"/>
                <w:bCs/>
                <w:iCs/>
                <w:sz w:val="22"/>
                <w:szCs w:val="22"/>
              </w:rPr>
            </w:pPr>
            <w:r w:rsidRPr="00F46A82">
              <w:rPr>
                <w:rFonts w:ascii="Tahoma" w:hAnsi="Tahoma" w:cs="Tahoma"/>
                <w:bCs/>
                <w:iCs/>
                <w:sz w:val="22"/>
                <w:szCs w:val="22"/>
              </w:rPr>
              <w:t xml:space="preserve">Выдача наличных денежных средств, поступивших на Накопительный счет безналичным способом со счетов Клиента, открытых в Банке как на физическое лицо, со счетов других клиентов Банка, а также со счетов, открытых в других банках при совокупном сроке хранения этих денежных средств на этих счетах </w:t>
            </w:r>
            <w:r w:rsidRPr="00F46A82">
              <w:rPr>
                <w:rFonts w:ascii="Tahoma" w:hAnsi="Tahoma" w:cs="Tahoma"/>
                <w:b/>
                <w:bCs/>
                <w:iCs/>
                <w:sz w:val="22"/>
                <w:szCs w:val="22"/>
              </w:rPr>
              <w:t>менее 30</w:t>
            </w:r>
            <w:r w:rsidRPr="00F46A82">
              <w:rPr>
                <w:rFonts w:ascii="Tahoma" w:hAnsi="Tahoma" w:cs="Tahoma"/>
                <w:bCs/>
                <w:iCs/>
                <w:sz w:val="22"/>
                <w:szCs w:val="22"/>
              </w:rPr>
              <w:t xml:space="preserve"> (тридцати) </w:t>
            </w:r>
            <w:r w:rsidRPr="00F46A82">
              <w:rPr>
                <w:rFonts w:ascii="Tahoma" w:hAnsi="Tahoma" w:cs="Tahoma"/>
                <w:b/>
                <w:bCs/>
                <w:iCs/>
                <w:sz w:val="22"/>
                <w:szCs w:val="22"/>
              </w:rPr>
              <w:t>календарных дней</w:t>
            </w:r>
            <w:r w:rsidRPr="00F46A82">
              <w:rPr>
                <w:rFonts w:ascii="Tahoma" w:hAnsi="Tahoma" w:cs="Tahoma"/>
                <w:bCs/>
                <w:iCs/>
                <w:sz w:val="22"/>
                <w:szCs w:val="22"/>
              </w:rPr>
              <w:t xml:space="preserve"> с даты их поступления</w:t>
            </w:r>
          </w:p>
        </w:tc>
        <w:tc>
          <w:tcPr>
            <w:tcW w:w="2839" w:type="pct"/>
            <w:shd w:val="clear" w:color="auto" w:fill="auto"/>
            <w:vAlign w:val="center"/>
          </w:tcPr>
          <w:p w14:paraId="459BC018" w14:textId="77777777" w:rsidR="00F46A82" w:rsidRPr="00F46A82" w:rsidRDefault="00F46A82" w:rsidP="00F46A82">
            <w:pPr>
              <w:tabs>
                <w:tab w:val="left" w:pos="4889"/>
              </w:tabs>
              <w:jc w:val="center"/>
              <w:rPr>
                <w:rFonts w:ascii="Tahoma" w:hAnsi="Tahoma" w:cs="Tahoma"/>
                <w:bCs/>
                <w:iCs/>
                <w:sz w:val="22"/>
                <w:szCs w:val="22"/>
              </w:rPr>
            </w:pPr>
            <w:r w:rsidRPr="00F46A82">
              <w:rPr>
                <w:rFonts w:ascii="Tahoma" w:hAnsi="Tahoma" w:cs="Tahoma"/>
                <w:b/>
                <w:bCs/>
                <w:iCs/>
                <w:sz w:val="22"/>
                <w:szCs w:val="22"/>
              </w:rPr>
              <w:t>5%</w:t>
            </w:r>
            <w:r w:rsidRPr="00F46A82">
              <w:rPr>
                <w:rFonts w:ascii="Tahoma" w:hAnsi="Tahoma" w:cs="Tahoma"/>
                <w:bCs/>
                <w:iCs/>
                <w:sz w:val="22"/>
                <w:szCs w:val="22"/>
              </w:rPr>
              <w:t xml:space="preserve"> от суммы операции</w:t>
            </w:r>
            <w:r w:rsidRPr="00F46A82">
              <w:rPr>
                <w:rFonts w:ascii="Tahoma" w:hAnsi="Tahoma" w:cs="Tahoma"/>
                <w:bCs/>
                <w:iCs/>
                <w:sz w:val="22"/>
                <w:szCs w:val="22"/>
                <w:vertAlign w:val="superscript"/>
              </w:rPr>
              <w:footnoteReference w:id="235"/>
            </w:r>
          </w:p>
        </w:tc>
      </w:tr>
      <w:tr w:rsidR="00F46A82" w:rsidRPr="00F46A82" w14:paraId="546D9DF2" w14:textId="77777777" w:rsidTr="003D2438">
        <w:trPr>
          <w:trHeight w:val="1432"/>
        </w:trPr>
        <w:tc>
          <w:tcPr>
            <w:tcW w:w="272" w:type="pct"/>
            <w:shd w:val="clear" w:color="auto" w:fill="auto"/>
            <w:vAlign w:val="center"/>
          </w:tcPr>
          <w:p w14:paraId="447EDBAE" w14:textId="77777777" w:rsidR="00F46A82" w:rsidRPr="00F46A82" w:rsidRDefault="00F46A82" w:rsidP="00F46A82">
            <w:pPr>
              <w:tabs>
                <w:tab w:val="left" w:pos="284"/>
              </w:tabs>
              <w:rPr>
                <w:rFonts w:ascii="Tahoma" w:hAnsi="Tahoma" w:cs="Tahoma"/>
                <w:bCs/>
                <w:iCs/>
                <w:sz w:val="22"/>
                <w:szCs w:val="22"/>
              </w:rPr>
            </w:pPr>
            <w:r w:rsidRPr="00F46A82">
              <w:rPr>
                <w:rFonts w:ascii="Tahoma" w:hAnsi="Tahoma" w:cs="Tahoma"/>
                <w:bCs/>
                <w:iCs/>
                <w:sz w:val="22"/>
                <w:szCs w:val="22"/>
              </w:rPr>
              <w:t>4.4.</w:t>
            </w:r>
          </w:p>
        </w:tc>
        <w:tc>
          <w:tcPr>
            <w:tcW w:w="1889" w:type="pct"/>
            <w:shd w:val="clear" w:color="auto" w:fill="auto"/>
            <w:vAlign w:val="center"/>
          </w:tcPr>
          <w:p w14:paraId="51BE85F1" w14:textId="77777777" w:rsidR="00F46A82" w:rsidRPr="00F46A82" w:rsidRDefault="00F46A82" w:rsidP="00F46A82">
            <w:pPr>
              <w:tabs>
                <w:tab w:val="left" w:pos="4889"/>
              </w:tabs>
              <w:rPr>
                <w:rFonts w:ascii="Tahoma" w:hAnsi="Tahoma" w:cs="Tahoma"/>
                <w:bCs/>
                <w:iCs/>
                <w:sz w:val="22"/>
                <w:szCs w:val="22"/>
              </w:rPr>
            </w:pPr>
            <w:r w:rsidRPr="00F46A82">
              <w:rPr>
                <w:rFonts w:ascii="Tahoma" w:hAnsi="Tahoma" w:cs="Tahoma"/>
                <w:bCs/>
                <w:iCs/>
                <w:sz w:val="22"/>
                <w:szCs w:val="22"/>
              </w:rPr>
              <w:t xml:space="preserve">Выдача наличных денежных средств, поступивших на Накопительный счет безналичным способом со счетов других клиентов Банка, а также со счетов, открытых в других банках при совокупном сроке хранения этих денежных средств на этих счетах </w:t>
            </w:r>
            <w:r w:rsidRPr="00F46A82">
              <w:rPr>
                <w:rFonts w:ascii="Tahoma" w:hAnsi="Tahoma" w:cs="Tahoma"/>
                <w:b/>
                <w:bCs/>
                <w:iCs/>
                <w:sz w:val="22"/>
                <w:szCs w:val="22"/>
              </w:rPr>
              <w:t>не менее 30</w:t>
            </w:r>
            <w:r w:rsidRPr="00F46A82">
              <w:rPr>
                <w:rFonts w:ascii="Tahoma" w:hAnsi="Tahoma" w:cs="Tahoma"/>
                <w:bCs/>
                <w:iCs/>
                <w:sz w:val="22"/>
                <w:szCs w:val="22"/>
              </w:rPr>
              <w:t xml:space="preserve"> (тридцати) </w:t>
            </w:r>
            <w:r w:rsidRPr="00F46A82">
              <w:rPr>
                <w:rFonts w:ascii="Tahoma" w:hAnsi="Tahoma" w:cs="Tahoma"/>
                <w:b/>
                <w:bCs/>
                <w:iCs/>
                <w:sz w:val="22"/>
                <w:szCs w:val="22"/>
              </w:rPr>
              <w:t>календарных дней</w:t>
            </w:r>
            <w:r w:rsidRPr="00F46A82">
              <w:rPr>
                <w:rFonts w:ascii="Tahoma" w:hAnsi="Tahoma" w:cs="Tahoma"/>
                <w:bCs/>
                <w:iCs/>
                <w:sz w:val="22"/>
                <w:szCs w:val="22"/>
              </w:rPr>
              <w:t xml:space="preserve"> (включительно)с даты их поступления</w:t>
            </w:r>
          </w:p>
        </w:tc>
        <w:tc>
          <w:tcPr>
            <w:tcW w:w="2839" w:type="pct"/>
            <w:shd w:val="clear" w:color="auto" w:fill="auto"/>
            <w:vAlign w:val="center"/>
          </w:tcPr>
          <w:p w14:paraId="15255654" w14:textId="77777777" w:rsidR="00F46A82" w:rsidRPr="00F46A82" w:rsidRDefault="00F46A82" w:rsidP="00F46A82">
            <w:pPr>
              <w:tabs>
                <w:tab w:val="left" w:pos="4889"/>
              </w:tabs>
              <w:jc w:val="center"/>
              <w:rPr>
                <w:rFonts w:ascii="Tahoma" w:hAnsi="Tahoma" w:cs="Tahoma"/>
                <w:b/>
                <w:bCs/>
                <w:iCs/>
                <w:sz w:val="22"/>
                <w:szCs w:val="22"/>
              </w:rPr>
            </w:pPr>
            <w:r w:rsidRPr="00F46A82">
              <w:rPr>
                <w:rFonts w:ascii="Tahoma" w:hAnsi="Tahoma" w:cs="Tahoma"/>
                <w:b/>
                <w:bCs/>
                <w:iCs/>
                <w:sz w:val="22"/>
                <w:szCs w:val="22"/>
              </w:rPr>
              <w:t>БЕСПЛАТНО</w:t>
            </w:r>
          </w:p>
        </w:tc>
      </w:tr>
      <w:tr w:rsidR="00F46A82" w:rsidRPr="00F46A82" w14:paraId="53411EF9" w14:textId="77777777" w:rsidTr="00F46A82">
        <w:trPr>
          <w:trHeight w:val="314"/>
        </w:trPr>
        <w:tc>
          <w:tcPr>
            <w:tcW w:w="272" w:type="pct"/>
            <w:shd w:val="clear" w:color="auto" w:fill="595959"/>
            <w:vAlign w:val="center"/>
          </w:tcPr>
          <w:p w14:paraId="0C51270E" w14:textId="77777777" w:rsidR="00F46A82" w:rsidRPr="00F46A82" w:rsidRDefault="00F46A82" w:rsidP="00F46A82">
            <w:pPr>
              <w:tabs>
                <w:tab w:val="left" w:pos="284"/>
              </w:tabs>
              <w:rPr>
                <w:rFonts w:ascii="Tahoma" w:hAnsi="Tahoma" w:cs="Tahoma"/>
                <w:b/>
                <w:bCs/>
                <w:iCs/>
                <w:color w:val="FFFFFF"/>
                <w:sz w:val="22"/>
                <w:szCs w:val="22"/>
              </w:rPr>
            </w:pPr>
            <w:r w:rsidRPr="00F46A82">
              <w:rPr>
                <w:rFonts w:ascii="Tahoma" w:hAnsi="Tahoma" w:cs="Tahoma"/>
                <w:b/>
                <w:bCs/>
                <w:iCs/>
                <w:color w:val="FFFFFF"/>
                <w:sz w:val="22"/>
                <w:szCs w:val="22"/>
              </w:rPr>
              <w:t>5.</w:t>
            </w:r>
          </w:p>
        </w:tc>
        <w:tc>
          <w:tcPr>
            <w:tcW w:w="4728" w:type="pct"/>
            <w:gridSpan w:val="2"/>
            <w:shd w:val="clear" w:color="auto" w:fill="595959"/>
            <w:vAlign w:val="center"/>
          </w:tcPr>
          <w:p w14:paraId="20540B45" w14:textId="77777777" w:rsidR="00F46A82" w:rsidRPr="00F46A82" w:rsidRDefault="00F46A82" w:rsidP="00F46A82">
            <w:pPr>
              <w:tabs>
                <w:tab w:val="left" w:pos="4889"/>
              </w:tabs>
              <w:rPr>
                <w:rFonts w:ascii="Tahoma" w:hAnsi="Tahoma" w:cs="Tahoma"/>
                <w:b/>
                <w:bCs/>
                <w:iCs/>
                <w:color w:val="FFFFFF"/>
                <w:sz w:val="22"/>
                <w:szCs w:val="22"/>
              </w:rPr>
            </w:pPr>
            <w:r w:rsidRPr="00F46A82">
              <w:rPr>
                <w:rFonts w:ascii="Tahoma" w:hAnsi="Tahoma" w:cs="Tahoma"/>
                <w:b/>
                <w:bCs/>
                <w:iCs/>
                <w:color w:val="FFFFFF"/>
                <w:sz w:val="22"/>
                <w:szCs w:val="22"/>
              </w:rPr>
              <w:t>Условия совершения переводов денежных средств</w:t>
            </w:r>
          </w:p>
        </w:tc>
      </w:tr>
      <w:tr w:rsidR="00F46A82" w:rsidRPr="00F46A82" w14:paraId="56B99D4E" w14:textId="77777777" w:rsidTr="003D2438">
        <w:trPr>
          <w:trHeight w:val="532"/>
        </w:trPr>
        <w:tc>
          <w:tcPr>
            <w:tcW w:w="272" w:type="pct"/>
            <w:shd w:val="clear" w:color="auto" w:fill="auto"/>
            <w:vAlign w:val="center"/>
          </w:tcPr>
          <w:p w14:paraId="044E062F" w14:textId="77777777" w:rsidR="00F46A82" w:rsidRPr="00F46A82" w:rsidRDefault="00F46A82" w:rsidP="00F46A82">
            <w:pPr>
              <w:tabs>
                <w:tab w:val="left" w:pos="284"/>
              </w:tabs>
              <w:rPr>
                <w:rFonts w:ascii="Tahoma" w:hAnsi="Tahoma" w:cs="Tahoma"/>
                <w:bCs/>
                <w:iCs/>
                <w:sz w:val="22"/>
                <w:szCs w:val="22"/>
              </w:rPr>
            </w:pPr>
            <w:r w:rsidRPr="00F46A82">
              <w:rPr>
                <w:rFonts w:ascii="Tahoma" w:hAnsi="Tahoma" w:cs="Tahoma"/>
                <w:bCs/>
                <w:iCs/>
                <w:sz w:val="22"/>
                <w:szCs w:val="22"/>
              </w:rPr>
              <w:t>5.1.</w:t>
            </w:r>
          </w:p>
        </w:tc>
        <w:tc>
          <w:tcPr>
            <w:tcW w:w="4728" w:type="pct"/>
            <w:gridSpan w:val="2"/>
            <w:shd w:val="clear" w:color="auto" w:fill="auto"/>
            <w:vAlign w:val="center"/>
          </w:tcPr>
          <w:p w14:paraId="404FF6BE" w14:textId="77777777" w:rsidR="00F46A82" w:rsidRPr="00F46A82" w:rsidRDefault="00F46A82" w:rsidP="00F46A82">
            <w:pPr>
              <w:tabs>
                <w:tab w:val="left" w:pos="4889"/>
              </w:tabs>
              <w:rPr>
                <w:rFonts w:ascii="Tahoma" w:hAnsi="Tahoma" w:cs="Tahoma"/>
                <w:bCs/>
                <w:iCs/>
                <w:sz w:val="22"/>
                <w:szCs w:val="22"/>
              </w:rPr>
            </w:pPr>
            <w:r w:rsidRPr="00F46A82">
              <w:rPr>
                <w:rFonts w:ascii="Tahoma" w:hAnsi="Tahoma" w:cs="Tahoma"/>
                <w:bCs/>
                <w:iCs/>
                <w:sz w:val="22"/>
                <w:szCs w:val="22"/>
              </w:rPr>
              <w:t xml:space="preserve">Согласно тарифов Банка, указанных в разделе 4.10, расположенных на Сайте Банка </w:t>
            </w:r>
            <w:hyperlink r:id="rId122" w:history="1">
              <w:r w:rsidRPr="00F46A82">
                <w:rPr>
                  <w:rFonts w:ascii="Tahoma" w:hAnsi="Tahoma" w:cs="Tahoma"/>
                  <w:bCs/>
                  <w:iCs/>
                  <w:color w:val="0563C1"/>
                  <w:sz w:val="22"/>
                  <w:szCs w:val="22"/>
                  <w:u w:val="single"/>
                </w:rPr>
                <w:t>www.atb.su/api/document_download/?fileId=6824051&amp;iblockId=29</w:t>
              </w:r>
            </w:hyperlink>
            <w:r w:rsidRPr="00F46A82">
              <w:rPr>
                <w:rFonts w:ascii="Tahoma" w:hAnsi="Tahoma" w:cs="Tahoma"/>
                <w:bCs/>
                <w:iCs/>
                <w:sz w:val="22"/>
                <w:szCs w:val="22"/>
              </w:rPr>
              <w:t xml:space="preserve"> </w:t>
            </w:r>
          </w:p>
        </w:tc>
      </w:tr>
      <w:tr w:rsidR="00F46A82" w:rsidRPr="00F46A82" w14:paraId="5F5392FE" w14:textId="77777777" w:rsidTr="00F46A82">
        <w:trPr>
          <w:trHeight w:val="472"/>
        </w:trPr>
        <w:tc>
          <w:tcPr>
            <w:tcW w:w="272" w:type="pct"/>
            <w:shd w:val="clear" w:color="auto" w:fill="595959"/>
            <w:vAlign w:val="center"/>
          </w:tcPr>
          <w:p w14:paraId="29D4A1B6" w14:textId="77777777" w:rsidR="00F46A82" w:rsidRPr="00F46A82" w:rsidRDefault="00F46A82" w:rsidP="00F46A82">
            <w:pPr>
              <w:tabs>
                <w:tab w:val="left" w:pos="284"/>
              </w:tabs>
              <w:rPr>
                <w:rFonts w:ascii="Tahoma" w:hAnsi="Tahoma" w:cs="Tahoma"/>
                <w:b/>
                <w:bCs/>
                <w:iCs/>
                <w:color w:val="FFFFFF"/>
                <w:sz w:val="22"/>
                <w:szCs w:val="22"/>
              </w:rPr>
            </w:pPr>
            <w:r w:rsidRPr="00F46A82">
              <w:rPr>
                <w:rFonts w:ascii="Tahoma" w:hAnsi="Tahoma" w:cs="Tahoma"/>
                <w:b/>
                <w:bCs/>
                <w:iCs/>
                <w:color w:val="FFFFFF"/>
                <w:sz w:val="22"/>
                <w:szCs w:val="22"/>
              </w:rPr>
              <w:t>6.</w:t>
            </w:r>
          </w:p>
        </w:tc>
        <w:tc>
          <w:tcPr>
            <w:tcW w:w="4728" w:type="pct"/>
            <w:gridSpan w:val="2"/>
            <w:shd w:val="clear" w:color="auto" w:fill="595959"/>
            <w:vAlign w:val="center"/>
          </w:tcPr>
          <w:p w14:paraId="5D4C9DEE" w14:textId="77777777" w:rsidR="00F46A82" w:rsidRPr="00F46A82" w:rsidRDefault="00F46A82" w:rsidP="00F46A82">
            <w:pPr>
              <w:tabs>
                <w:tab w:val="left" w:pos="4889"/>
              </w:tabs>
              <w:rPr>
                <w:rFonts w:ascii="Tahoma" w:hAnsi="Tahoma" w:cs="Tahoma"/>
                <w:b/>
                <w:bCs/>
                <w:iCs/>
                <w:color w:val="FFFFFF"/>
                <w:sz w:val="22"/>
                <w:szCs w:val="22"/>
              </w:rPr>
            </w:pPr>
            <w:r w:rsidRPr="00F46A82">
              <w:rPr>
                <w:rFonts w:ascii="Tahoma" w:hAnsi="Tahoma" w:cs="Tahoma"/>
                <w:b/>
                <w:bCs/>
                <w:iCs/>
                <w:color w:val="FFFFFF"/>
                <w:sz w:val="22"/>
                <w:szCs w:val="22"/>
              </w:rPr>
              <w:t>Страхование денежных средств, находящихся на Накопительном счете</w:t>
            </w:r>
          </w:p>
        </w:tc>
      </w:tr>
      <w:tr w:rsidR="00F46A82" w:rsidRPr="00F46A82" w14:paraId="0651F585" w14:textId="77777777" w:rsidTr="003D2438">
        <w:trPr>
          <w:trHeight w:val="532"/>
        </w:trPr>
        <w:tc>
          <w:tcPr>
            <w:tcW w:w="272" w:type="pct"/>
            <w:shd w:val="clear" w:color="auto" w:fill="auto"/>
            <w:vAlign w:val="center"/>
          </w:tcPr>
          <w:p w14:paraId="243B0AD1" w14:textId="77777777" w:rsidR="00F46A82" w:rsidRPr="00F46A82" w:rsidRDefault="00F46A82" w:rsidP="00F46A82">
            <w:pPr>
              <w:tabs>
                <w:tab w:val="left" w:pos="284"/>
              </w:tabs>
              <w:rPr>
                <w:rFonts w:ascii="Tahoma" w:hAnsi="Tahoma" w:cs="Tahoma"/>
                <w:bCs/>
                <w:iCs/>
                <w:sz w:val="22"/>
                <w:szCs w:val="22"/>
              </w:rPr>
            </w:pPr>
            <w:r w:rsidRPr="00F46A82">
              <w:rPr>
                <w:rFonts w:ascii="Tahoma" w:hAnsi="Tahoma" w:cs="Tahoma"/>
                <w:bCs/>
                <w:iCs/>
                <w:sz w:val="22"/>
                <w:szCs w:val="22"/>
              </w:rPr>
              <w:t>6.1</w:t>
            </w:r>
          </w:p>
        </w:tc>
        <w:tc>
          <w:tcPr>
            <w:tcW w:w="4728" w:type="pct"/>
            <w:gridSpan w:val="2"/>
            <w:shd w:val="clear" w:color="auto" w:fill="auto"/>
            <w:vAlign w:val="center"/>
          </w:tcPr>
          <w:p w14:paraId="081AC706" w14:textId="77777777" w:rsidR="00F46A82" w:rsidRPr="00F46A82" w:rsidRDefault="00F46A82" w:rsidP="00F46A82">
            <w:pPr>
              <w:tabs>
                <w:tab w:val="left" w:pos="4889"/>
              </w:tabs>
              <w:rPr>
                <w:rFonts w:ascii="Tahoma" w:hAnsi="Tahoma" w:cs="Tahoma"/>
                <w:bCs/>
                <w:iCs/>
                <w:sz w:val="22"/>
                <w:szCs w:val="22"/>
              </w:rPr>
            </w:pPr>
            <w:r w:rsidRPr="00F46A82">
              <w:rPr>
                <w:rFonts w:ascii="Tahoma" w:hAnsi="Tahoma" w:cs="Tahoma"/>
                <w:bCs/>
                <w:iCs/>
                <w:sz w:val="22"/>
                <w:szCs w:val="22"/>
              </w:rPr>
              <w:t>Денежные средства застрахованы в пределах 1 400 000 рублей (либо в пределах эквивалентной суммы в иностранной валюте на день наступления страхового случая) по всем Счетам Клиента в Банке.</w:t>
            </w:r>
          </w:p>
        </w:tc>
      </w:tr>
    </w:tbl>
    <w:p w14:paraId="1144959C" w14:textId="77777777" w:rsidR="00F46A82" w:rsidRPr="00F46A82" w:rsidRDefault="00F46A82" w:rsidP="00F46A82">
      <w:pPr>
        <w:spacing w:after="160" w:line="259" w:lineRule="auto"/>
        <w:rPr>
          <w:rFonts w:ascii="Tahoma" w:hAnsi="Tahoma" w:cs="Tahoma"/>
          <w:bCs/>
          <w:iCs/>
          <w:sz w:val="18"/>
          <w:szCs w:val="18"/>
        </w:rPr>
      </w:pPr>
    </w:p>
    <w:p w14:paraId="0969D087" w14:textId="77777777" w:rsidR="00F15466" w:rsidRDefault="00F15466" w:rsidP="00B335FF">
      <w:pPr>
        <w:rPr>
          <w:rFonts w:ascii="Tahoma" w:hAnsi="Tahoma" w:cs="Tahoma"/>
          <w:b/>
          <w:bCs/>
          <w:color w:val="E36C0A" w:themeColor="accent6" w:themeShade="BF"/>
          <w:sz w:val="22"/>
        </w:rPr>
      </w:pPr>
    </w:p>
    <w:p w14:paraId="1454D608" w14:textId="672671D3" w:rsidR="00B335FF" w:rsidRDefault="00845DEA" w:rsidP="000B3718">
      <w:pPr>
        <w:pStyle w:val="a5"/>
      </w:pPr>
      <w:r>
        <w:t>4.8</w:t>
      </w:r>
      <w:r w:rsidR="00B335FF" w:rsidRPr="00CE5927">
        <w:t>.</w:t>
      </w:r>
      <w:r w:rsidR="00B335FF">
        <w:t xml:space="preserve"> </w:t>
      </w:r>
      <w:r w:rsidR="00B335FF" w:rsidRPr="004E7D62">
        <w:t>Обслуживание карт, эмитированными сторонними кредитными организациями</w:t>
      </w:r>
    </w:p>
    <w:p w14:paraId="41BD86FC" w14:textId="77777777" w:rsidR="004E30AD" w:rsidRPr="002404B1" w:rsidRDefault="004E30AD" w:rsidP="004E30AD">
      <w:pPr>
        <w:rPr>
          <w:rFonts w:ascii="Tahoma" w:hAnsi="Tahoma" w:cs="Tahoma"/>
          <w:sz w:val="22"/>
          <w:szCs w:val="22"/>
        </w:rPr>
      </w:pPr>
    </w:p>
    <w:tbl>
      <w:tblPr>
        <w:tblW w:w="0" w:type="auto"/>
        <w:tblInd w:w="392" w:type="dxa"/>
        <w:tblLook w:val="04A0" w:firstRow="1" w:lastRow="0" w:firstColumn="1" w:lastColumn="0" w:noHBand="0" w:noVBand="1"/>
      </w:tblPr>
      <w:tblGrid>
        <w:gridCol w:w="3061"/>
        <w:gridCol w:w="2693"/>
        <w:gridCol w:w="2819"/>
      </w:tblGrid>
      <w:tr w:rsidR="004E30AD" w:rsidRPr="002404B1" w14:paraId="04C4F784" w14:textId="77777777" w:rsidTr="0093383F">
        <w:tc>
          <w:tcPr>
            <w:tcW w:w="3061" w:type="dxa"/>
            <w:vMerge w:val="restart"/>
            <w:tcBorders>
              <w:top w:val="single" w:sz="12" w:space="0" w:color="auto"/>
              <w:left w:val="single" w:sz="12" w:space="0" w:color="auto"/>
              <w:right w:val="single" w:sz="12" w:space="0" w:color="auto"/>
            </w:tcBorders>
            <w:vAlign w:val="center"/>
          </w:tcPr>
          <w:p w14:paraId="1EF04C23" w14:textId="77777777" w:rsidR="004E30AD" w:rsidRPr="004E7D62" w:rsidRDefault="004E30AD" w:rsidP="0093383F">
            <w:pPr>
              <w:tabs>
                <w:tab w:val="left" w:pos="426"/>
              </w:tabs>
              <w:spacing w:after="200" w:line="276" w:lineRule="auto"/>
              <w:jc w:val="center"/>
              <w:rPr>
                <w:rFonts w:ascii="Tahoma" w:eastAsiaTheme="minorHAnsi" w:hAnsi="Tahoma" w:cs="Tahoma"/>
                <w:b/>
                <w:sz w:val="20"/>
                <w:szCs w:val="22"/>
                <w:lang w:eastAsia="en-US"/>
              </w:rPr>
            </w:pPr>
            <w:r w:rsidRPr="004E7D62">
              <w:rPr>
                <w:rFonts w:ascii="Tahoma" w:eastAsiaTheme="minorHAnsi" w:hAnsi="Tahoma" w:cs="Tahoma"/>
                <w:b/>
                <w:sz w:val="20"/>
                <w:szCs w:val="22"/>
                <w:lang w:eastAsia="en-US"/>
              </w:rPr>
              <w:t>Вид операции</w:t>
            </w:r>
          </w:p>
        </w:tc>
        <w:tc>
          <w:tcPr>
            <w:tcW w:w="5512" w:type="dxa"/>
            <w:gridSpan w:val="2"/>
            <w:tcBorders>
              <w:top w:val="single" w:sz="12" w:space="0" w:color="auto"/>
              <w:left w:val="single" w:sz="12" w:space="0" w:color="auto"/>
              <w:right w:val="single" w:sz="12" w:space="0" w:color="auto"/>
            </w:tcBorders>
            <w:vAlign w:val="center"/>
          </w:tcPr>
          <w:p w14:paraId="03A5A559" w14:textId="77777777" w:rsidR="004E30AD" w:rsidRPr="004E7D62" w:rsidRDefault="004E30AD" w:rsidP="0093383F">
            <w:pPr>
              <w:tabs>
                <w:tab w:val="left" w:pos="0"/>
                <w:tab w:val="left" w:pos="142"/>
              </w:tabs>
              <w:spacing w:after="200" w:line="276" w:lineRule="auto"/>
              <w:jc w:val="center"/>
              <w:rPr>
                <w:rFonts w:ascii="Tahoma" w:eastAsiaTheme="minorHAnsi" w:hAnsi="Tahoma" w:cs="Tahoma"/>
                <w:b/>
                <w:sz w:val="20"/>
                <w:szCs w:val="22"/>
                <w:lang w:eastAsia="en-US"/>
              </w:rPr>
            </w:pPr>
            <w:r w:rsidRPr="004E7D62">
              <w:rPr>
                <w:rFonts w:ascii="Tahoma" w:eastAsiaTheme="minorHAnsi" w:hAnsi="Tahoma" w:cs="Tahoma"/>
                <w:b/>
                <w:sz w:val="20"/>
                <w:szCs w:val="22"/>
                <w:lang w:eastAsia="en-US"/>
              </w:rPr>
              <w:t>Снятие наличных денежных средств, от суммы операции</w:t>
            </w:r>
          </w:p>
        </w:tc>
      </w:tr>
      <w:tr w:rsidR="004E30AD" w:rsidRPr="002404B1" w14:paraId="4BC95675" w14:textId="77777777" w:rsidTr="0093383F">
        <w:tc>
          <w:tcPr>
            <w:tcW w:w="3061" w:type="dxa"/>
            <w:vMerge/>
            <w:tcBorders>
              <w:left w:val="single" w:sz="12" w:space="0" w:color="auto"/>
              <w:bottom w:val="single" w:sz="12" w:space="0" w:color="auto"/>
              <w:right w:val="single" w:sz="12" w:space="0" w:color="auto"/>
            </w:tcBorders>
            <w:vAlign w:val="center"/>
          </w:tcPr>
          <w:p w14:paraId="13582E90" w14:textId="77777777" w:rsidR="004E30AD" w:rsidRPr="004E7D62" w:rsidRDefault="004E30AD" w:rsidP="0093383F">
            <w:pPr>
              <w:tabs>
                <w:tab w:val="left" w:pos="426"/>
              </w:tabs>
              <w:spacing w:after="200" w:line="276" w:lineRule="auto"/>
              <w:jc w:val="center"/>
              <w:rPr>
                <w:rFonts w:ascii="Tahoma" w:eastAsiaTheme="minorHAnsi" w:hAnsi="Tahoma" w:cs="Tahoma"/>
                <w:b/>
                <w:sz w:val="20"/>
                <w:szCs w:val="22"/>
                <w:lang w:eastAsia="en-US"/>
              </w:rPr>
            </w:pPr>
          </w:p>
        </w:tc>
        <w:tc>
          <w:tcPr>
            <w:tcW w:w="2693" w:type="dxa"/>
            <w:tcBorders>
              <w:top w:val="single" w:sz="12" w:space="0" w:color="auto"/>
              <w:left w:val="single" w:sz="12" w:space="0" w:color="auto"/>
              <w:bottom w:val="single" w:sz="12" w:space="0" w:color="auto"/>
              <w:right w:val="single" w:sz="12" w:space="0" w:color="auto"/>
            </w:tcBorders>
            <w:vAlign w:val="center"/>
          </w:tcPr>
          <w:p w14:paraId="38FF1936" w14:textId="77777777" w:rsidR="004E30AD" w:rsidRPr="004E7D62" w:rsidRDefault="004E30AD" w:rsidP="0093383F">
            <w:pPr>
              <w:tabs>
                <w:tab w:val="left" w:pos="0"/>
                <w:tab w:val="left" w:pos="142"/>
              </w:tabs>
              <w:spacing w:after="200" w:line="276" w:lineRule="auto"/>
              <w:jc w:val="center"/>
              <w:rPr>
                <w:rFonts w:ascii="Tahoma" w:eastAsiaTheme="minorHAnsi" w:hAnsi="Tahoma" w:cs="Tahoma"/>
                <w:b/>
                <w:sz w:val="20"/>
                <w:szCs w:val="22"/>
                <w:lang w:eastAsia="en-US"/>
              </w:rPr>
            </w:pPr>
            <w:r w:rsidRPr="004E7D62">
              <w:rPr>
                <w:rFonts w:ascii="Tahoma" w:eastAsiaTheme="minorHAnsi" w:hAnsi="Tahoma" w:cs="Tahoma"/>
                <w:b/>
                <w:sz w:val="20"/>
                <w:szCs w:val="22"/>
                <w:lang w:eastAsia="en-US"/>
              </w:rPr>
              <w:t>в банкоматах Банка</w:t>
            </w:r>
            <w:r w:rsidRPr="004E7D62">
              <w:rPr>
                <w:rFonts w:ascii="Tahoma" w:eastAsiaTheme="minorHAnsi" w:hAnsi="Tahoma" w:cs="Tahoma"/>
                <w:b/>
                <w:sz w:val="20"/>
                <w:szCs w:val="22"/>
                <w:vertAlign w:val="superscript"/>
                <w:lang w:eastAsia="en-US"/>
              </w:rPr>
              <w:t>1</w:t>
            </w:r>
          </w:p>
        </w:tc>
        <w:tc>
          <w:tcPr>
            <w:tcW w:w="2819" w:type="dxa"/>
            <w:tcBorders>
              <w:top w:val="single" w:sz="12" w:space="0" w:color="auto"/>
              <w:left w:val="single" w:sz="12" w:space="0" w:color="auto"/>
              <w:bottom w:val="single" w:sz="12" w:space="0" w:color="auto"/>
              <w:right w:val="single" w:sz="12" w:space="0" w:color="auto"/>
            </w:tcBorders>
            <w:vAlign w:val="center"/>
          </w:tcPr>
          <w:p w14:paraId="2D7710B9" w14:textId="77777777" w:rsidR="004E30AD" w:rsidRPr="004E7D62" w:rsidRDefault="004E30AD" w:rsidP="0093383F">
            <w:pPr>
              <w:tabs>
                <w:tab w:val="left" w:pos="0"/>
                <w:tab w:val="left" w:pos="142"/>
              </w:tabs>
              <w:spacing w:after="200" w:line="276" w:lineRule="auto"/>
              <w:jc w:val="center"/>
              <w:rPr>
                <w:rFonts w:ascii="Tahoma" w:eastAsiaTheme="minorHAnsi" w:hAnsi="Tahoma" w:cs="Tahoma"/>
                <w:b/>
                <w:sz w:val="20"/>
                <w:szCs w:val="22"/>
                <w:lang w:eastAsia="en-US"/>
              </w:rPr>
            </w:pPr>
            <w:r w:rsidRPr="004E7D62">
              <w:rPr>
                <w:rFonts w:ascii="Tahoma" w:eastAsiaTheme="minorHAnsi" w:hAnsi="Tahoma" w:cs="Tahoma"/>
                <w:b/>
                <w:sz w:val="20"/>
                <w:szCs w:val="22"/>
                <w:lang w:eastAsia="en-US"/>
              </w:rPr>
              <w:t>в пунктах выдачи наличных Банка</w:t>
            </w:r>
            <w:r w:rsidRPr="004E7D62">
              <w:rPr>
                <w:rFonts w:ascii="Tahoma" w:eastAsiaTheme="minorHAnsi" w:hAnsi="Tahoma" w:cs="Tahoma"/>
                <w:b/>
                <w:sz w:val="20"/>
                <w:szCs w:val="22"/>
                <w:vertAlign w:val="superscript"/>
                <w:lang w:eastAsia="en-US"/>
              </w:rPr>
              <w:t>1</w:t>
            </w:r>
          </w:p>
        </w:tc>
      </w:tr>
      <w:tr w:rsidR="004E30AD" w:rsidRPr="002404B1" w14:paraId="348AA981" w14:textId="77777777" w:rsidTr="0093383F">
        <w:tc>
          <w:tcPr>
            <w:tcW w:w="3061" w:type="dxa"/>
            <w:tcBorders>
              <w:top w:val="single" w:sz="12" w:space="0" w:color="auto"/>
              <w:left w:val="single" w:sz="12" w:space="0" w:color="auto"/>
              <w:bottom w:val="single" w:sz="12" w:space="0" w:color="auto"/>
              <w:right w:val="single" w:sz="12" w:space="0" w:color="auto"/>
            </w:tcBorders>
          </w:tcPr>
          <w:p w14:paraId="0606AAC3" w14:textId="77777777" w:rsidR="004E30AD" w:rsidRPr="004E7D62" w:rsidRDefault="004E30AD" w:rsidP="0093383F">
            <w:pPr>
              <w:tabs>
                <w:tab w:val="left" w:pos="0"/>
                <w:tab w:val="left" w:pos="142"/>
              </w:tabs>
              <w:spacing w:after="200" w:line="276" w:lineRule="auto"/>
              <w:jc w:val="both"/>
              <w:rPr>
                <w:rFonts w:ascii="Tahoma" w:eastAsiaTheme="minorHAnsi" w:hAnsi="Tahoma" w:cs="Tahoma"/>
                <w:sz w:val="20"/>
                <w:szCs w:val="22"/>
                <w:lang w:eastAsia="en-US"/>
              </w:rPr>
            </w:pPr>
            <w:r w:rsidRPr="004E7D62">
              <w:rPr>
                <w:rFonts w:ascii="Tahoma" w:eastAsiaTheme="minorHAnsi" w:hAnsi="Tahoma" w:cs="Tahoma"/>
                <w:sz w:val="20"/>
                <w:szCs w:val="22"/>
                <w:lang w:eastAsia="en-US"/>
              </w:rPr>
              <w:t>Платежная система Visa</w:t>
            </w:r>
          </w:p>
        </w:tc>
        <w:tc>
          <w:tcPr>
            <w:tcW w:w="2693" w:type="dxa"/>
            <w:tcBorders>
              <w:top w:val="single" w:sz="12" w:space="0" w:color="auto"/>
              <w:left w:val="single" w:sz="12" w:space="0" w:color="auto"/>
              <w:bottom w:val="single" w:sz="12" w:space="0" w:color="auto"/>
              <w:right w:val="single" w:sz="12" w:space="0" w:color="auto"/>
            </w:tcBorders>
          </w:tcPr>
          <w:p w14:paraId="48D1AFAA" w14:textId="77777777" w:rsidR="004E30AD" w:rsidRPr="004E7D62" w:rsidRDefault="004E30AD" w:rsidP="0093383F">
            <w:pPr>
              <w:tabs>
                <w:tab w:val="left" w:pos="0"/>
                <w:tab w:val="left" w:pos="142"/>
              </w:tabs>
              <w:spacing w:after="200" w:line="276" w:lineRule="auto"/>
              <w:jc w:val="both"/>
              <w:rPr>
                <w:rFonts w:ascii="Tahoma" w:eastAsiaTheme="minorHAnsi" w:hAnsi="Tahoma" w:cs="Tahoma"/>
                <w:sz w:val="20"/>
                <w:szCs w:val="22"/>
                <w:lang w:eastAsia="en-US"/>
              </w:rPr>
            </w:pPr>
            <w:r w:rsidRPr="004E7D62">
              <w:rPr>
                <w:rFonts w:ascii="Tahoma" w:eastAsiaTheme="minorHAnsi" w:hAnsi="Tahoma" w:cs="Tahoma"/>
                <w:sz w:val="20"/>
                <w:szCs w:val="22"/>
                <w:lang w:eastAsia="en-US"/>
              </w:rPr>
              <w:t>БЕСПЛАТНО</w:t>
            </w:r>
          </w:p>
        </w:tc>
        <w:tc>
          <w:tcPr>
            <w:tcW w:w="2819" w:type="dxa"/>
            <w:tcBorders>
              <w:top w:val="single" w:sz="12" w:space="0" w:color="auto"/>
              <w:left w:val="single" w:sz="12" w:space="0" w:color="auto"/>
              <w:bottom w:val="single" w:sz="12" w:space="0" w:color="auto"/>
              <w:right w:val="single" w:sz="12" w:space="0" w:color="auto"/>
            </w:tcBorders>
          </w:tcPr>
          <w:p w14:paraId="2F4CE8C5" w14:textId="77777777" w:rsidR="004E30AD" w:rsidRPr="004E7D62" w:rsidRDefault="004E30AD" w:rsidP="0093383F">
            <w:pPr>
              <w:tabs>
                <w:tab w:val="left" w:pos="0"/>
                <w:tab w:val="left" w:pos="142"/>
              </w:tabs>
              <w:spacing w:after="200" w:line="276" w:lineRule="auto"/>
              <w:jc w:val="both"/>
              <w:rPr>
                <w:rFonts w:ascii="Tahoma" w:eastAsiaTheme="minorHAnsi" w:hAnsi="Tahoma" w:cs="Tahoma"/>
                <w:sz w:val="20"/>
                <w:szCs w:val="22"/>
                <w:lang w:eastAsia="en-US"/>
              </w:rPr>
            </w:pPr>
            <w:r w:rsidRPr="004E7D62">
              <w:rPr>
                <w:rFonts w:ascii="Tahoma" w:eastAsiaTheme="minorHAnsi" w:hAnsi="Tahoma" w:cs="Tahoma"/>
                <w:sz w:val="20"/>
                <w:szCs w:val="22"/>
                <w:lang w:eastAsia="en-US"/>
              </w:rPr>
              <w:t>1%</w:t>
            </w:r>
          </w:p>
        </w:tc>
      </w:tr>
      <w:tr w:rsidR="004E30AD" w:rsidRPr="002404B1" w14:paraId="697960EF" w14:textId="77777777" w:rsidTr="0093383F">
        <w:trPr>
          <w:trHeight w:val="847"/>
        </w:trPr>
        <w:tc>
          <w:tcPr>
            <w:tcW w:w="3061" w:type="dxa"/>
            <w:tcBorders>
              <w:top w:val="single" w:sz="12" w:space="0" w:color="auto"/>
              <w:left w:val="single" w:sz="12" w:space="0" w:color="auto"/>
              <w:bottom w:val="single" w:sz="12" w:space="0" w:color="auto"/>
              <w:right w:val="single" w:sz="12" w:space="0" w:color="auto"/>
            </w:tcBorders>
          </w:tcPr>
          <w:p w14:paraId="46958ED5" w14:textId="77777777" w:rsidR="004E30AD" w:rsidRPr="004E7D62" w:rsidRDefault="004E30AD" w:rsidP="0093383F">
            <w:pPr>
              <w:tabs>
                <w:tab w:val="left" w:pos="0"/>
                <w:tab w:val="left" w:pos="142"/>
              </w:tabs>
              <w:spacing w:after="200" w:line="276" w:lineRule="auto"/>
              <w:jc w:val="both"/>
              <w:rPr>
                <w:rFonts w:ascii="Tahoma" w:eastAsiaTheme="minorHAnsi" w:hAnsi="Tahoma" w:cs="Tahoma"/>
                <w:sz w:val="20"/>
                <w:szCs w:val="22"/>
                <w:lang w:eastAsia="en-US"/>
              </w:rPr>
            </w:pPr>
            <w:r w:rsidRPr="004E7D62">
              <w:rPr>
                <w:rFonts w:ascii="Tahoma" w:eastAsiaTheme="minorHAnsi" w:hAnsi="Tahoma" w:cs="Tahoma"/>
                <w:sz w:val="20"/>
                <w:szCs w:val="22"/>
                <w:lang w:eastAsia="en-US"/>
              </w:rPr>
              <w:t>Платежная система MasterCard</w:t>
            </w:r>
          </w:p>
        </w:tc>
        <w:tc>
          <w:tcPr>
            <w:tcW w:w="2693" w:type="dxa"/>
            <w:tcBorders>
              <w:top w:val="single" w:sz="12" w:space="0" w:color="auto"/>
              <w:left w:val="single" w:sz="12" w:space="0" w:color="auto"/>
              <w:bottom w:val="single" w:sz="12" w:space="0" w:color="auto"/>
              <w:right w:val="single" w:sz="12" w:space="0" w:color="auto"/>
            </w:tcBorders>
          </w:tcPr>
          <w:p w14:paraId="72955A77" w14:textId="77777777" w:rsidR="004E30AD" w:rsidRPr="004E7D62" w:rsidRDefault="004E30AD" w:rsidP="0093383F">
            <w:pPr>
              <w:tabs>
                <w:tab w:val="left" w:pos="0"/>
                <w:tab w:val="left" w:pos="142"/>
              </w:tabs>
              <w:spacing w:after="200" w:line="276" w:lineRule="auto"/>
              <w:jc w:val="both"/>
              <w:rPr>
                <w:rFonts w:ascii="Tahoma" w:eastAsiaTheme="minorHAnsi" w:hAnsi="Tahoma" w:cs="Tahoma"/>
                <w:sz w:val="20"/>
                <w:szCs w:val="22"/>
                <w:lang w:eastAsia="en-US"/>
              </w:rPr>
            </w:pPr>
            <w:r w:rsidRPr="004E7D62">
              <w:rPr>
                <w:rFonts w:ascii="Tahoma" w:eastAsiaTheme="minorHAnsi" w:hAnsi="Tahoma" w:cs="Tahoma"/>
                <w:sz w:val="20"/>
                <w:szCs w:val="22"/>
                <w:lang w:eastAsia="en-US"/>
              </w:rPr>
              <w:t>БЕСПЛАТНО</w:t>
            </w:r>
          </w:p>
        </w:tc>
        <w:tc>
          <w:tcPr>
            <w:tcW w:w="2819" w:type="dxa"/>
            <w:tcBorders>
              <w:top w:val="single" w:sz="12" w:space="0" w:color="auto"/>
              <w:left w:val="single" w:sz="12" w:space="0" w:color="auto"/>
              <w:bottom w:val="single" w:sz="12" w:space="0" w:color="auto"/>
              <w:right w:val="single" w:sz="12" w:space="0" w:color="auto"/>
            </w:tcBorders>
          </w:tcPr>
          <w:p w14:paraId="66BC864F" w14:textId="77777777" w:rsidR="004E30AD" w:rsidRPr="004E7D62" w:rsidRDefault="004E30AD" w:rsidP="0093383F">
            <w:pPr>
              <w:tabs>
                <w:tab w:val="left" w:pos="0"/>
                <w:tab w:val="left" w:pos="142"/>
              </w:tabs>
              <w:spacing w:after="200" w:line="276" w:lineRule="auto"/>
              <w:jc w:val="both"/>
              <w:rPr>
                <w:rFonts w:ascii="Tahoma" w:eastAsiaTheme="minorHAnsi" w:hAnsi="Tahoma" w:cs="Tahoma"/>
                <w:sz w:val="20"/>
                <w:szCs w:val="22"/>
                <w:lang w:eastAsia="en-US"/>
              </w:rPr>
            </w:pPr>
            <w:r w:rsidRPr="004E7D62">
              <w:rPr>
                <w:rFonts w:ascii="Tahoma" w:eastAsiaTheme="minorHAnsi" w:hAnsi="Tahoma" w:cs="Tahoma"/>
                <w:sz w:val="20"/>
                <w:szCs w:val="22"/>
                <w:lang w:eastAsia="en-US"/>
              </w:rPr>
              <w:t>1%</w:t>
            </w:r>
          </w:p>
        </w:tc>
      </w:tr>
      <w:tr w:rsidR="004E30AD" w:rsidRPr="002404B1" w14:paraId="6BD1CF0A" w14:textId="77777777" w:rsidTr="0093383F">
        <w:tc>
          <w:tcPr>
            <w:tcW w:w="3061" w:type="dxa"/>
            <w:tcBorders>
              <w:top w:val="single" w:sz="12" w:space="0" w:color="auto"/>
              <w:left w:val="single" w:sz="12" w:space="0" w:color="auto"/>
              <w:bottom w:val="single" w:sz="12" w:space="0" w:color="auto"/>
              <w:right w:val="single" w:sz="12" w:space="0" w:color="auto"/>
            </w:tcBorders>
          </w:tcPr>
          <w:p w14:paraId="7088A1AA" w14:textId="77777777" w:rsidR="004E30AD" w:rsidRPr="004E7D62" w:rsidRDefault="004E30AD" w:rsidP="0093383F">
            <w:pPr>
              <w:tabs>
                <w:tab w:val="left" w:pos="0"/>
                <w:tab w:val="left" w:pos="142"/>
              </w:tabs>
              <w:spacing w:after="200" w:line="276" w:lineRule="auto"/>
              <w:jc w:val="both"/>
              <w:rPr>
                <w:rFonts w:ascii="Tahoma" w:eastAsiaTheme="minorHAnsi" w:hAnsi="Tahoma" w:cs="Tahoma"/>
                <w:sz w:val="20"/>
                <w:szCs w:val="22"/>
                <w:lang w:val="en-US" w:eastAsia="en-US"/>
              </w:rPr>
            </w:pPr>
            <w:r w:rsidRPr="004E7D62">
              <w:rPr>
                <w:rFonts w:ascii="Tahoma" w:eastAsiaTheme="minorHAnsi" w:hAnsi="Tahoma" w:cs="Tahoma"/>
                <w:sz w:val="20"/>
                <w:szCs w:val="22"/>
                <w:lang w:eastAsia="en-US"/>
              </w:rPr>
              <w:t>Платежная</w:t>
            </w:r>
            <w:r w:rsidRPr="004E7D62">
              <w:rPr>
                <w:rFonts w:ascii="Tahoma" w:eastAsiaTheme="minorHAnsi" w:hAnsi="Tahoma" w:cs="Tahoma"/>
                <w:sz w:val="20"/>
                <w:szCs w:val="22"/>
                <w:lang w:val="en-US" w:eastAsia="en-US"/>
              </w:rPr>
              <w:t xml:space="preserve"> </w:t>
            </w:r>
            <w:r w:rsidRPr="004E7D62">
              <w:rPr>
                <w:rFonts w:ascii="Tahoma" w:eastAsiaTheme="minorHAnsi" w:hAnsi="Tahoma" w:cs="Tahoma"/>
                <w:sz w:val="20"/>
                <w:szCs w:val="22"/>
                <w:lang w:eastAsia="en-US"/>
              </w:rPr>
              <w:t>система</w:t>
            </w:r>
            <w:r w:rsidRPr="004E7D62">
              <w:rPr>
                <w:rFonts w:ascii="Tahoma" w:eastAsiaTheme="minorHAnsi" w:hAnsi="Tahoma" w:cs="Tahoma"/>
                <w:sz w:val="20"/>
                <w:szCs w:val="22"/>
                <w:lang w:val="en-US" w:eastAsia="en-US"/>
              </w:rPr>
              <w:t xml:space="preserve"> Union Pay International</w:t>
            </w:r>
          </w:p>
        </w:tc>
        <w:tc>
          <w:tcPr>
            <w:tcW w:w="2693" w:type="dxa"/>
            <w:tcBorders>
              <w:top w:val="single" w:sz="12" w:space="0" w:color="auto"/>
              <w:left w:val="single" w:sz="12" w:space="0" w:color="auto"/>
              <w:bottom w:val="single" w:sz="12" w:space="0" w:color="auto"/>
              <w:right w:val="single" w:sz="12" w:space="0" w:color="auto"/>
            </w:tcBorders>
          </w:tcPr>
          <w:p w14:paraId="44AEE5BA" w14:textId="77777777" w:rsidR="004E30AD" w:rsidRPr="004E7D62" w:rsidRDefault="004E30AD" w:rsidP="0093383F">
            <w:pPr>
              <w:tabs>
                <w:tab w:val="left" w:pos="0"/>
                <w:tab w:val="left" w:pos="142"/>
              </w:tabs>
              <w:spacing w:after="200" w:line="276" w:lineRule="auto"/>
              <w:jc w:val="both"/>
              <w:rPr>
                <w:rFonts w:ascii="Tahoma" w:eastAsiaTheme="minorHAnsi" w:hAnsi="Tahoma" w:cs="Tahoma"/>
                <w:sz w:val="20"/>
                <w:szCs w:val="22"/>
                <w:lang w:eastAsia="en-US"/>
              </w:rPr>
            </w:pPr>
            <w:r w:rsidRPr="004E7D62">
              <w:rPr>
                <w:rFonts w:ascii="Tahoma" w:eastAsiaTheme="minorHAnsi" w:hAnsi="Tahoma" w:cs="Tahoma"/>
                <w:sz w:val="20"/>
                <w:szCs w:val="22"/>
                <w:lang w:eastAsia="en-US"/>
              </w:rPr>
              <w:t>БЕСПЛАТНО</w:t>
            </w:r>
          </w:p>
        </w:tc>
        <w:tc>
          <w:tcPr>
            <w:tcW w:w="2819" w:type="dxa"/>
            <w:tcBorders>
              <w:top w:val="single" w:sz="12" w:space="0" w:color="auto"/>
              <w:left w:val="single" w:sz="12" w:space="0" w:color="auto"/>
              <w:bottom w:val="single" w:sz="12" w:space="0" w:color="auto"/>
              <w:right w:val="single" w:sz="12" w:space="0" w:color="auto"/>
            </w:tcBorders>
          </w:tcPr>
          <w:p w14:paraId="04AFEADD" w14:textId="77777777" w:rsidR="004E30AD" w:rsidRPr="004E7D62" w:rsidRDefault="004E30AD" w:rsidP="0093383F">
            <w:pPr>
              <w:tabs>
                <w:tab w:val="left" w:pos="0"/>
                <w:tab w:val="left" w:pos="142"/>
              </w:tabs>
              <w:spacing w:after="200" w:line="276" w:lineRule="auto"/>
              <w:jc w:val="both"/>
              <w:rPr>
                <w:rFonts w:ascii="Tahoma" w:eastAsiaTheme="minorHAnsi" w:hAnsi="Tahoma" w:cs="Tahoma"/>
                <w:sz w:val="20"/>
                <w:szCs w:val="22"/>
                <w:lang w:eastAsia="en-US"/>
              </w:rPr>
            </w:pPr>
            <w:r w:rsidRPr="004E7D62">
              <w:rPr>
                <w:rFonts w:ascii="Tahoma" w:eastAsiaTheme="minorHAnsi" w:hAnsi="Tahoma" w:cs="Tahoma"/>
                <w:sz w:val="20"/>
                <w:szCs w:val="22"/>
                <w:lang w:eastAsia="en-US"/>
              </w:rPr>
              <w:t>не осуществляется</w:t>
            </w:r>
          </w:p>
        </w:tc>
      </w:tr>
      <w:tr w:rsidR="004E30AD" w:rsidRPr="002404B1" w14:paraId="0169EF6A" w14:textId="77777777" w:rsidTr="0093383F">
        <w:tc>
          <w:tcPr>
            <w:tcW w:w="3061" w:type="dxa"/>
            <w:tcBorders>
              <w:top w:val="single" w:sz="12" w:space="0" w:color="auto"/>
              <w:left w:val="single" w:sz="12" w:space="0" w:color="auto"/>
              <w:bottom w:val="single" w:sz="12" w:space="0" w:color="auto"/>
              <w:right w:val="single" w:sz="12" w:space="0" w:color="auto"/>
            </w:tcBorders>
          </w:tcPr>
          <w:p w14:paraId="6B0099A8" w14:textId="77777777" w:rsidR="004E30AD" w:rsidRPr="004E7D62" w:rsidRDefault="004E30AD" w:rsidP="0093383F">
            <w:pPr>
              <w:tabs>
                <w:tab w:val="left" w:pos="0"/>
                <w:tab w:val="left" w:pos="142"/>
              </w:tabs>
              <w:spacing w:after="200" w:line="276" w:lineRule="auto"/>
              <w:jc w:val="both"/>
              <w:rPr>
                <w:rFonts w:ascii="Tahoma" w:eastAsiaTheme="minorHAnsi" w:hAnsi="Tahoma" w:cs="Tahoma"/>
                <w:sz w:val="20"/>
                <w:szCs w:val="22"/>
                <w:lang w:eastAsia="en-US"/>
              </w:rPr>
            </w:pPr>
            <w:r w:rsidRPr="004E7D62">
              <w:rPr>
                <w:rFonts w:ascii="Tahoma" w:eastAsiaTheme="minorHAnsi" w:hAnsi="Tahoma" w:cs="Tahoma"/>
                <w:sz w:val="20"/>
                <w:szCs w:val="22"/>
                <w:lang w:eastAsia="en-US"/>
              </w:rPr>
              <w:t>Платежная система МИР</w:t>
            </w:r>
          </w:p>
        </w:tc>
        <w:tc>
          <w:tcPr>
            <w:tcW w:w="2693" w:type="dxa"/>
            <w:tcBorders>
              <w:top w:val="single" w:sz="12" w:space="0" w:color="auto"/>
              <w:left w:val="single" w:sz="12" w:space="0" w:color="auto"/>
              <w:bottom w:val="single" w:sz="12" w:space="0" w:color="auto"/>
              <w:right w:val="single" w:sz="12" w:space="0" w:color="auto"/>
            </w:tcBorders>
          </w:tcPr>
          <w:p w14:paraId="1113B8F2" w14:textId="77777777" w:rsidR="004E30AD" w:rsidRPr="004E7D62" w:rsidRDefault="004E30AD" w:rsidP="0093383F">
            <w:pPr>
              <w:tabs>
                <w:tab w:val="left" w:pos="0"/>
                <w:tab w:val="left" w:pos="142"/>
              </w:tabs>
              <w:spacing w:after="200" w:line="276" w:lineRule="auto"/>
              <w:jc w:val="both"/>
              <w:rPr>
                <w:rFonts w:ascii="Tahoma" w:eastAsiaTheme="minorHAnsi" w:hAnsi="Tahoma" w:cs="Tahoma"/>
                <w:sz w:val="20"/>
                <w:szCs w:val="22"/>
                <w:lang w:eastAsia="en-US"/>
              </w:rPr>
            </w:pPr>
            <w:r w:rsidRPr="004E7D62">
              <w:rPr>
                <w:rFonts w:ascii="Tahoma" w:eastAsiaTheme="minorHAnsi" w:hAnsi="Tahoma" w:cs="Tahoma"/>
                <w:sz w:val="20"/>
                <w:szCs w:val="22"/>
                <w:lang w:eastAsia="en-US"/>
              </w:rPr>
              <w:t>БЕСПЛАТНО</w:t>
            </w:r>
          </w:p>
        </w:tc>
        <w:tc>
          <w:tcPr>
            <w:tcW w:w="2819" w:type="dxa"/>
            <w:tcBorders>
              <w:top w:val="single" w:sz="12" w:space="0" w:color="auto"/>
              <w:left w:val="single" w:sz="12" w:space="0" w:color="auto"/>
              <w:bottom w:val="single" w:sz="12" w:space="0" w:color="auto"/>
              <w:right w:val="single" w:sz="12" w:space="0" w:color="auto"/>
            </w:tcBorders>
          </w:tcPr>
          <w:p w14:paraId="3CAAD995" w14:textId="77777777" w:rsidR="004E30AD" w:rsidRPr="004E7D62" w:rsidRDefault="004E30AD" w:rsidP="0093383F">
            <w:pPr>
              <w:tabs>
                <w:tab w:val="left" w:pos="0"/>
                <w:tab w:val="left" w:pos="142"/>
              </w:tabs>
              <w:spacing w:after="200" w:line="276" w:lineRule="auto"/>
              <w:jc w:val="both"/>
              <w:rPr>
                <w:rFonts w:ascii="Tahoma" w:eastAsiaTheme="minorHAnsi" w:hAnsi="Tahoma" w:cs="Tahoma"/>
                <w:sz w:val="20"/>
                <w:szCs w:val="22"/>
                <w:lang w:eastAsia="en-US"/>
              </w:rPr>
            </w:pPr>
            <w:r w:rsidRPr="004E7D62">
              <w:rPr>
                <w:rFonts w:ascii="Tahoma" w:eastAsiaTheme="minorHAnsi" w:hAnsi="Tahoma" w:cs="Tahoma"/>
                <w:sz w:val="20"/>
                <w:szCs w:val="22"/>
                <w:lang w:eastAsia="en-US"/>
              </w:rPr>
              <w:t>1%</w:t>
            </w:r>
          </w:p>
        </w:tc>
      </w:tr>
    </w:tbl>
    <w:p w14:paraId="58127785" w14:textId="77777777" w:rsidR="004E30AD" w:rsidRPr="002404B1" w:rsidRDefault="004E30AD" w:rsidP="004E30AD">
      <w:pPr>
        <w:rPr>
          <w:rFonts w:ascii="Tahoma" w:hAnsi="Tahoma" w:cs="Tahoma"/>
          <w:sz w:val="18"/>
          <w:szCs w:val="18"/>
          <w:vertAlign w:val="superscript"/>
        </w:rPr>
      </w:pPr>
    </w:p>
    <w:p w14:paraId="57800421" w14:textId="77777777" w:rsidR="004E30AD" w:rsidRPr="002404B1" w:rsidRDefault="004E30AD" w:rsidP="004E30AD">
      <w:pPr>
        <w:rPr>
          <w:rFonts w:ascii="Tahoma" w:hAnsi="Tahoma" w:cs="Tahoma"/>
          <w:sz w:val="18"/>
          <w:szCs w:val="18"/>
        </w:rPr>
      </w:pPr>
      <w:r w:rsidRPr="002404B1">
        <w:rPr>
          <w:rFonts w:ascii="Tahoma" w:hAnsi="Tahoma" w:cs="Tahoma"/>
          <w:sz w:val="18"/>
          <w:szCs w:val="18"/>
          <w:vertAlign w:val="superscript"/>
        </w:rPr>
        <w:t>1</w:t>
      </w:r>
      <w:r w:rsidRPr="002404B1">
        <w:rPr>
          <w:rFonts w:ascii="Tahoma" w:hAnsi="Tahoma" w:cs="Tahoma"/>
          <w:sz w:val="18"/>
          <w:szCs w:val="18"/>
        </w:rPr>
        <w:t xml:space="preserve">Банк- "Азиатско-Тихоокеанский Банк" </w:t>
      </w:r>
      <w:r>
        <w:rPr>
          <w:rFonts w:ascii="Tahoma" w:hAnsi="Tahoma" w:cs="Tahoma"/>
          <w:sz w:val="18"/>
          <w:szCs w:val="18"/>
        </w:rPr>
        <w:t>(АО)</w:t>
      </w:r>
    </w:p>
    <w:p w14:paraId="652B50FC" w14:textId="77777777" w:rsidR="004E30AD" w:rsidRDefault="004E30AD" w:rsidP="004E30AD">
      <w:pPr>
        <w:rPr>
          <w:rFonts w:ascii="Tahoma" w:hAnsi="Tahoma" w:cs="Tahoma"/>
          <w:b/>
          <w:bCs/>
          <w:iCs/>
          <w:color w:val="E36C0A"/>
          <w:sz w:val="22"/>
          <w:szCs w:val="22"/>
        </w:rPr>
      </w:pPr>
    </w:p>
    <w:p w14:paraId="18E2D92D" w14:textId="77777777" w:rsidR="004E30AD" w:rsidRPr="00CE5927" w:rsidRDefault="004E30AD" w:rsidP="004E30AD">
      <w:pPr>
        <w:rPr>
          <w:rFonts w:ascii="Tahoma" w:hAnsi="Tahoma" w:cs="Tahoma"/>
          <w:b/>
          <w:bCs/>
          <w:iCs/>
          <w:color w:val="E36C0A"/>
          <w:sz w:val="22"/>
          <w:szCs w:val="22"/>
        </w:rPr>
      </w:pPr>
    </w:p>
    <w:p w14:paraId="51B25E46" w14:textId="3E73CDDA" w:rsidR="004E30AD" w:rsidRPr="00CE5927" w:rsidRDefault="00845DEA" w:rsidP="000B3718">
      <w:pPr>
        <w:pStyle w:val="a5"/>
      </w:pPr>
      <w:r>
        <w:t>4.9</w:t>
      </w:r>
      <w:r w:rsidR="004E30AD" w:rsidRPr="00CE5927">
        <w:t xml:space="preserve">. Тарифы за совершение платежей по картам Visa, Mastercard, МИР АТБ </w:t>
      </w:r>
      <w:r w:rsidR="004E30AD">
        <w:t>(АО)</w:t>
      </w:r>
      <w:r w:rsidR="004E30AD" w:rsidRPr="00CE5927">
        <w:t xml:space="preserve"> в банкоматах АТБ </w:t>
      </w:r>
      <w:r w:rsidR="004E30AD">
        <w:t>(АО)</w:t>
      </w:r>
    </w:p>
    <w:p w14:paraId="42D795D8" w14:textId="77777777" w:rsidR="004E30AD" w:rsidRPr="00CE5927" w:rsidRDefault="004E30AD" w:rsidP="004E30AD">
      <w:pPr>
        <w:rPr>
          <w:rFonts w:ascii="Tahoma" w:hAnsi="Tahoma" w:cs="Tahoma"/>
          <w:b/>
          <w:bCs/>
          <w:iCs/>
          <w:color w:val="E36C0A"/>
          <w:sz w:val="22"/>
          <w:szCs w:val="22"/>
        </w:rPr>
      </w:pPr>
    </w:p>
    <w:tbl>
      <w:tblPr>
        <w:tblW w:w="5000" w:type="pct"/>
        <w:tblLook w:val="04A0" w:firstRow="1" w:lastRow="0" w:firstColumn="1" w:lastColumn="0" w:noHBand="0" w:noVBand="1"/>
      </w:tblPr>
      <w:tblGrid>
        <w:gridCol w:w="1304"/>
        <w:gridCol w:w="9022"/>
        <w:gridCol w:w="4801"/>
      </w:tblGrid>
      <w:tr w:rsidR="004E30AD" w:rsidRPr="00CE5927" w14:paraId="26DC4811" w14:textId="77777777" w:rsidTr="0093383F">
        <w:trPr>
          <w:trHeight w:val="600"/>
        </w:trPr>
        <w:tc>
          <w:tcPr>
            <w:tcW w:w="431" w:type="pct"/>
            <w:tcBorders>
              <w:top w:val="single" w:sz="4" w:space="0" w:color="auto"/>
              <w:left w:val="single" w:sz="4" w:space="0" w:color="auto"/>
              <w:bottom w:val="single" w:sz="4" w:space="0" w:color="auto"/>
              <w:right w:val="single" w:sz="4" w:space="0" w:color="auto"/>
            </w:tcBorders>
            <w:shd w:val="clear" w:color="000000" w:fill="808080"/>
            <w:vAlign w:val="center"/>
            <w:hideMark/>
          </w:tcPr>
          <w:p w14:paraId="639C6751" w14:textId="77777777" w:rsidR="004E30AD" w:rsidRPr="00CE5927" w:rsidRDefault="004E30AD" w:rsidP="0093383F">
            <w:pPr>
              <w:rPr>
                <w:rFonts w:ascii="Tahoma" w:hAnsi="Tahoma" w:cs="Tahoma"/>
                <w:b/>
                <w:bCs/>
                <w:color w:val="FFFFFF"/>
                <w:sz w:val="22"/>
              </w:rPr>
            </w:pPr>
            <w:r w:rsidRPr="00CE5927">
              <w:rPr>
                <w:rFonts w:ascii="Tahoma" w:hAnsi="Tahoma" w:cs="Tahoma"/>
                <w:b/>
                <w:bCs/>
                <w:color w:val="FFFFFF"/>
                <w:sz w:val="22"/>
              </w:rPr>
              <w:t> </w:t>
            </w:r>
          </w:p>
        </w:tc>
        <w:tc>
          <w:tcPr>
            <w:tcW w:w="2982" w:type="pct"/>
            <w:tcBorders>
              <w:top w:val="single" w:sz="4" w:space="0" w:color="auto"/>
              <w:left w:val="nil"/>
              <w:bottom w:val="single" w:sz="4" w:space="0" w:color="auto"/>
              <w:right w:val="single" w:sz="4" w:space="0" w:color="auto"/>
            </w:tcBorders>
            <w:shd w:val="clear" w:color="000000" w:fill="808080"/>
            <w:vAlign w:val="center"/>
            <w:hideMark/>
          </w:tcPr>
          <w:p w14:paraId="02348531" w14:textId="77777777" w:rsidR="004E30AD" w:rsidRPr="00CE5927" w:rsidRDefault="004E30AD" w:rsidP="0093383F">
            <w:pPr>
              <w:rPr>
                <w:rFonts w:ascii="Tahoma" w:hAnsi="Tahoma" w:cs="Tahoma"/>
                <w:b/>
                <w:bCs/>
                <w:color w:val="FFFFFF"/>
                <w:sz w:val="22"/>
              </w:rPr>
            </w:pPr>
            <w:r w:rsidRPr="00CE5927">
              <w:rPr>
                <w:rFonts w:ascii="Tahoma" w:hAnsi="Tahoma" w:cs="Tahoma"/>
                <w:b/>
                <w:bCs/>
                <w:color w:val="FFFFFF"/>
                <w:sz w:val="22"/>
              </w:rPr>
              <w:t>Вид операции</w:t>
            </w:r>
          </w:p>
        </w:tc>
        <w:tc>
          <w:tcPr>
            <w:tcW w:w="1587" w:type="pct"/>
            <w:tcBorders>
              <w:top w:val="single" w:sz="4" w:space="0" w:color="auto"/>
              <w:left w:val="nil"/>
              <w:bottom w:val="single" w:sz="4" w:space="0" w:color="auto"/>
              <w:right w:val="single" w:sz="4" w:space="0" w:color="auto"/>
            </w:tcBorders>
            <w:shd w:val="clear" w:color="000000" w:fill="808080"/>
            <w:vAlign w:val="center"/>
            <w:hideMark/>
          </w:tcPr>
          <w:p w14:paraId="33E65875" w14:textId="77777777" w:rsidR="004E30AD" w:rsidRPr="00CE5927" w:rsidRDefault="004E30AD" w:rsidP="0093383F">
            <w:pPr>
              <w:jc w:val="center"/>
              <w:rPr>
                <w:rFonts w:ascii="Tahoma" w:hAnsi="Tahoma" w:cs="Tahoma"/>
                <w:b/>
                <w:bCs/>
                <w:color w:val="FFFFFF"/>
                <w:sz w:val="22"/>
              </w:rPr>
            </w:pPr>
            <w:r w:rsidRPr="00CE5927">
              <w:rPr>
                <w:rFonts w:ascii="Tahoma" w:hAnsi="Tahoma" w:cs="Tahoma"/>
                <w:b/>
                <w:bCs/>
                <w:color w:val="FFFFFF"/>
                <w:sz w:val="22"/>
              </w:rPr>
              <w:t>Комиссионное вознаграждение</w:t>
            </w:r>
          </w:p>
        </w:tc>
      </w:tr>
      <w:tr w:rsidR="004E30AD" w:rsidRPr="00CE5927" w14:paraId="5CCA60C1" w14:textId="77777777" w:rsidTr="0093383F">
        <w:trPr>
          <w:trHeight w:val="600"/>
        </w:trPr>
        <w:tc>
          <w:tcPr>
            <w:tcW w:w="43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BC56A32" w14:textId="77777777" w:rsidR="004E30AD" w:rsidRPr="00CE5927" w:rsidRDefault="004E30AD" w:rsidP="0093383F">
            <w:pPr>
              <w:jc w:val="center"/>
              <w:rPr>
                <w:rFonts w:ascii="Tahoma" w:hAnsi="Tahoma" w:cs="Tahoma"/>
                <w:color w:val="000000"/>
                <w:sz w:val="22"/>
              </w:rPr>
            </w:pPr>
            <w:r w:rsidRPr="00CE5927">
              <w:rPr>
                <w:rFonts w:ascii="Tahoma" w:hAnsi="Tahoma" w:cs="Tahoma"/>
                <w:color w:val="000000"/>
                <w:sz w:val="22"/>
              </w:rPr>
              <w:t>1.</w:t>
            </w:r>
          </w:p>
        </w:tc>
        <w:tc>
          <w:tcPr>
            <w:tcW w:w="2982" w:type="pct"/>
            <w:tcBorders>
              <w:top w:val="single" w:sz="4" w:space="0" w:color="auto"/>
              <w:left w:val="nil"/>
              <w:bottom w:val="single" w:sz="4" w:space="0" w:color="auto"/>
              <w:right w:val="single" w:sz="4" w:space="0" w:color="auto"/>
            </w:tcBorders>
            <w:shd w:val="clear" w:color="auto" w:fill="auto"/>
            <w:vAlign w:val="center"/>
            <w:hideMark/>
          </w:tcPr>
          <w:p w14:paraId="0F87FEF2" w14:textId="77777777" w:rsidR="004E30AD" w:rsidRPr="00CE5927" w:rsidRDefault="004E30AD" w:rsidP="0093383F">
            <w:pPr>
              <w:rPr>
                <w:rFonts w:ascii="Tahoma" w:hAnsi="Tahoma" w:cs="Tahoma"/>
                <w:color w:val="000000"/>
                <w:sz w:val="22"/>
              </w:rPr>
            </w:pPr>
            <w:r w:rsidRPr="00CE5927">
              <w:rPr>
                <w:rFonts w:ascii="Tahoma" w:hAnsi="Tahoma" w:cs="Tahoma"/>
                <w:color w:val="000000"/>
                <w:sz w:val="22"/>
              </w:rPr>
              <w:t xml:space="preserve">Платежи, осуществляемые в банкоматах АТБ </w:t>
            </w:r>
            <w:r>
              <w:rPr>
                <w:rFonts w:ascii="Tahoma" w:hAnsi="Tahoma" w:cs="Tahoma"/>
                <w:color w:val="000000"/>
                <w:sz w:val="22"/>
              </w:rPr>
              <w:t>(АО)</w:t>
            </w:r>
            <w:r w:rsidRPr="00CE5927">
              <w:rPr>
                <w:rFonts w:ascii="Tahoma" w:hAnsi="Tahoma" w:cs="Tahoma"/>
                <w:color w:val="000000"/>
                <w:sz w:val="22"/>
              </w:rPr>
              <w:t>, в адрес поставщиков услуг*</w:t>
            </w:r>
          </w:p>
        </w:tc>
        <w:tc>
          <w:tcPr>
            <w:tcW w:w="1587" w:type="pct"/>
            <w:tcBorders>
              <w:top w:val="single" w:sz="4" w:space="0" w:color="auto"/>
              <w:left w:val="nil"/>
              <w:bottom w:val="single" w:sz="4" w:space="0" w:color="auto"/>
              <w:right w:val="single" w:sz="4" w:space="0" w:color="auto"/>
            </w:tcBorders>
            <w:shd w:val="clear" w:color="auto" w:fill="auto"/>
            <w:vAlign w:val="center"/>
            <w:hideMark/>
          </w:tcPr>
          <w:p w14:paraId="6F4C4A46" w14:textId="77777777" w:rsidR="004E30AD" w:rsidRPr="00CE5927" w:rsidRDefault="004E30AD" w:rsidP="0093383F">
            <w:pPr>
              <w:jc w:val="center"/>
              <w:rPr>
                <w:rFonts w:ascii="Tahoma" w:hAnsi="Tahoma" w:cs="Tahoma"/>
                <w:sz w:val="22"/>
              </w:rPr>
            </w:pPr>
            <w:r w:rsidRPr="00CE5927">
              <w:rPr>
                <w:rFonts w:ascii="Tahoma" w:hAnsi="Tahoma" w:cs="Tahoma"/>
                <w:sz w:val="22"/>
              </w:rPr>
              <w:t>1%, мин. 5 рублей макс. 20 рублей</w:t>
            </w:r>
          </w:p>
        </w:tc>
      </w:tr>
      <w:tr w:rsidR="004E30AD" w:rsidRPr="00CE5927" w14:paraId="39633096" w14:textId="77777777" w:rsidTr="0093383F">
        <w:trPr>
          <w:trHeight w:val="600"/>
        </w:trPr>
        <w:tc>
          <w:tcPr>
            <w:tcW w:w="5000" w:type="pct"/>
            <w:gridSpan w:val="3"/>
            <w:tcBorders>
              <w:top w:val="single" w:sz="4" w:space="0" w:color="auto"/>
            </w:tcBorders>
            <w:shd w:val="clear" w:color="auto" w:fill="auto"/>
            <w:vAlign w:val="center"/>
          </w:tcPr>
          <w:p w14:paraId="5AEEB9BB" w14:textId="77777777" w:rsidR="004E30AD" w:rsidRPr="00CE5927" w:rsidRDefault="004E30AD" w:rsidP="0093383F">
            <w:pPr>
              <w:rPr>
                <w:rFonts w:ascii="Tahoma" w:hAnsi="Tahoma" w:cs="Tahoma"/>
                <w:strike/>
                <w:sz w:val="18"/>
                <w:szCs w:val="16"/>
              </w:rPr>
            </w:pPr>
            <w:r w:rsidRPr="00CE5927">
              <w:rPr>
                <w:rFonts w:ascii="Tahoma" w:hAnsi="Tahoma" w:cs="Tahoma"/>
                <w:sz w:val="22"/>
              </w:rPr>
              <w:t>*</w:t>
            </w:r>
            <w:r w:rsidRPr="00CE5927">
              <w:rPr>
                <w:rFonts w:ascii="Tahoma" w:hAnsi="Tahoma" w:cs="Tahoma"/>
                <w:sz w:val="16"/>
                <w:szCs w:val="16"/>
              </w:rPr>
              <w:t xml:space="preserve"> </w:t>
            </w:r>
            <w:r w:rsidRPr="00CE5927">
              <w:rPr>
                <w:rFonts w:ascii="Tahoma" w:hAnsi="Tahoma" w:cs="Tahoma"/>
                <w:sz w:val="18"/>
                <w:szCs w:val="16"/>
              </w:rPr>
              <w:t xml:space="preserve">Максимальная сумма одного перевода в адрес поставщиков услуг (ЖКХ и иные платежи) - 15 000 руб. </w:t>
            </w:r>
          </w:p>
          <w:p w14:paraId="1358312C" w14:textId="77777777" w:rsidR="004E30AD" w:rsidRPr="00CE5927" w:rsidRDefault="004E30AD" w:rsidP="0093383F">
            <w:pPr>
              <w:rPr>
                <w:rFonts w:ascii="Tahoma" w:hAnsi="Tahoma" w:cs="Tahoma"/>
                <w:sz w:val="22"/>
              </w:rPr>
            </w:pPr>
            <w:r w:rsidRPr="00CE5927">
              <w:rPr>
                <w:rFonts w:ascii="Tahoma" w:hAnsi="Tahoma" w:cs="Tahoma"/>
                <w:sz w:val="18"/>
                <w:szCs w:val="16"/>
              </w:rPr>
              <w:t>Максимальная сумма одного перевода в адрес сотовых операторов - 3 000 руб</w:t>
            </w:r>
          </w:p>
        </w:tc>
      </w:tr>
    </w:tbl>
    <w:p w14:paraId="2D4BCEE6" w14:textId="77777777" w:rsidR="004E30AD" w:rsidRPr="00CE5927" w:rsidRDefault="004E30AD" w:rsidP="004E30AD">
      <w:pPr>
        <w:rPr>
          <w:rFonts w:ascii="Tahoma" w:hAnsi="Tahoma" w:cs="Tahoma"/>
          <w:b/>
          <w:sz w:val="22"/>
          <w:szCs w:val="22"/>
        </w:rPr>
      </w:pPr>
    </w:p>
    <w:p w14:paraId="504D1051" w14:textId="3FD71828" w:rsidR="004E30AD" w:rsidRPr="00CE5927" w:rsidRDefault="00845DEA" w:rsidP="000B3718">
      <w:pPr>
        <w:pStyle w:val="a5"/>
      </w:pPr>
      <w:r>
        <w:rPr>
          <w:iCs/>
        </w:rPr>
        <w:t>4.10</w:t>
      </w:r>
      <w:r w:rsidR="004E30AD" w:rsidRPr="00CE5927">
        <w:rPr>
          <w:iCs/>
        </w:rPr>
        <w:t xml:space="preserve">. </w:t>
      </w:r>
      <w:r w:rsidR="004E30AD" w:rsidRPr="00CE5927">
        <w:t xml:space="preserve">Тариф по переводу на банковские карты Visa/MastеrСard, эмитированные «Азиатско-Тихоокеанский Банк» </w:t>
      </w:r>
      <w:r w:rsidR="004E30AD">
        <w:t>(АО)</w:t>
      </w:r>
      <w:r w:rsidR="004E30AD" w:rsidRPr="00CE5927">
        <w:t xml:space="preserve"> с банковских карт, эмитированных сторонними банками, осуществляемый в устройствах других кредитных учреждений, включая зарубежные (переводы в системе Visa Money Transfer,</w:t>
      </w:r>
      <w:r w:rsidR="004E30AD" w:rsidRPr="00CE5927">
        <w:rPr>
          <w:rFonts w:asciiTheme="minorHAnsi" w:eastAsiaTheme="minorHAnsi" w:hAnsiTheme="minorHAnsi" w:cstheme="minorBidi"/>
          <w:lang w:eastAsia="en-US"/>
        </w:rPr>
        <w:t xml:space="preserve"> </w:t>
      </w:r>
      <w:r w:rsidR="004E30AD" w:rsidRPr="00CE5927">
        <w:t>MasterCard MoneySend):</w:t>
      </w:r>
    </w:p>
    <w:p w14:paraId="3777C732" w14:textId="77777777" w:rsidR="004E30AD" w:rsidRPr="00CE5927" w:rsidRDefault="004E30AD" w:rsidP="004E30AD">
      <w:pPr>
        <w:ind w:firstLine="426"/>
        <w:jc w:val="both"/>
        <w:rPr>
          <w:rFonts w:ascii="Arial Narrow" w:hAnsi="Arial Narrow"/>
          <w:sz w:val="22"/>
          <w:szCs w:val="22"/>
        </w:rPr>
      </w:pPr>
      <w:r w:rsidRPr="00CE5927">
        <w:rPr>
          <w:rFonts w:ascii="Arial Narrow" w:hAnsi="Arial Narrow"/>
          <w:sz w:val="22"/>
          <w:szCs w:val="22"/>
        </w:rPr>
        <w:t xml:space="preserve"> </w:t>
      </w:r>
    </w:p>
    <w:tbl>
      <w:tblPr>
        <w:tblW w:w="5000" w:type="pct"/>
        <w:tblLook w:val="04A0" w:firstRow="1" w:lastRow="0" w:firstColumn="1" w:lastColumn="0" w:noHBand="0" w:noVBand="1"/>
      </w:tblPr>
      <w:tblGrid>
        <w:gridCol w:w="1071"/>
        <w:gridCol w:w="6862"/>
        <w:gridCol w:w="7194"/>
      </w:tblGrid>
      <w:tr w:rsidR="004E30AD" w:rsidRPr="00CE5927" w14:paraId="2E551A67" w14:textId="77777777" w:rsidTr="0093383F">
        <w:trPr>
          <w:trHeight w:val="70"/>
        </w:trPr>
        <w:tc>
          <w:tcPr>
            <w:tcW w:w="3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21A5DB" w14:textId="77777777" w:rsidR="004E30AD" w:rsidRPr="00CE5927" w:rsidRDefault="004E30AD" w:rsidP="0093383F">
            <w:pPr>
              <w:jc w:val="center"/>
              <w:rPr>
                <w:rFonts w:ascii="Tahoma" w:hAnsi="Tahoma" w:cs="Tahoma"/>
                <w:b/>
                <w:color w:val="000000"/>
                <w:sz w:val="22"/>
                <w:szCs w:val="22"/>
              </w:rPr>
            </w:pPr>
            <w:r w:rsidRPr="00CE5927">
              <w:rPr>
                <w:rFonts w:ascii="Tahoma" w:hAnsi="Tahoma" w:cs="Tahoma"/>
                <w:b/>
                <w:color w:val="000000"/>
                <w:sz w:val="22"/>
                <w:szCs w:val="22"/>
              </w:rPr>
              <w:t>№ п/п</w:t>
            </w:r>
          </w:p>
        </w:tc>
        <w:tc>
          <w:tcPr>
            <w:tcW w:w="2268" w:type="pct"/>
            <w:tcBorders>
              <w:top w:val="single" w:sz="4" w:space="0" w:color="auto"/>
              <w:left w:val="nil"/>
              <w:bottom w:val="single" w:sz="4" w:space="0" w:color="auto"/>
              <w:right w:val="single" w:sz="4" w:space="0" w:color="auto"/>
            </w:tcBorders>
            <w:shd w:val="clear" w:color="auto" w:fill="auto"/>
            <w:vAlign w:val="center"/>
            <w:hideMark/>
          </w:tcPr>
          <w:p w14:paraId="6AE46A1E" w14:textId="77777777" w:rsidR="004E30AD" w:rsidRPr="00CE5927" w:rsidRDefault="004E30AD" w:rsidP="0093383F">
            <w:pPr>
              <w:jc w:val="center"/>
              <w:rPr>
                <w:rFonts w:ascii="Tahoma" w:hAnsi="Tahoma" w:cs="Tahoma"/>
                <w:b/>
                <w:color w:val="000000"/>
                <w:sz w:val="22"/>
                <w:szCs w:val="22"/>
              </w:rPr>
            </w:pPr>
            <w:r w:rsidRPr="00CE5927">
              <w:rPr>
                <w:rFonts w:ascii="Tahoma" w:hAnsi="Tahoma" w:cs="Tahoma"/>
                <w:b/>
                <w:color w:val="000000"/>
                <w:sz w:val="22"/>
                <w:szCs w:val="22"/>
              </w:rPr>
              <w:t>Вид операции</w:t>
            </w:r>
          </w:p>
        </w:tc>
        <w:tc>
          <w:tcPr>
            <w:tcW w:w="2378" w:type="pct"/>
            <w:tcBorders>
              <w:top w:val="single" w:sz="4" w:space="0" w:color="auto"/>
              <w:left w:val="nil"/>
              <w:bottom w:val="single" w:sz="4" w:space="0" w:color="auto"/>
              <w:right w:val="single" w:sz="4" w:space="0" w:color="auto"/>
            </w:tcBorders>
            <w:vAlign w:val="center"/>
          </w:tcPr>
          <w:p w14:paraId="57C7FD81" w14:textId="77777777" w:rsidR="004E30AD" w:rsidRPr="00CE5927" w:rsidRDefault="004E30AD" w:rsidP="0093383F">
            <w:pPr>
              <w:jc w:val="center"/>
              <w:rPr>
                <w:rFonts w:ascii="Tahoma" w:hAnsi="Tahoma" w:cs="Tahoma"/>
                <w:b/>
                <w:color w:val="000000"/>
                <w:sz w:val="22"/>
                <w:szCs w:val="22"/>
              </w:rPr>
            </w:pPr>
            <w:r w:rsidRPr="00CE5927">
              <w:rPr>
                <w:rFonts w:ascii="Tahoma" w:hAnsi="Tahoma" w:cs="Tahoma"/>
                <w:b/>
                <w:color w:val="000000"/>
                <w:sz w:val="22"/>
                <w:szCs w:val="22"/>
              </w:rPr>
              <w:t>тариф</w:t>
            </w:r>
          </w:p>
        </w:tc>
      </w:tr>
      <w:tr w:rsidR="004E30AD" w:rsidRPr="00CE5927" w14:paraId="652263E2" w14:textId="77777777" w:rsidTr="0093383F">
        <w:trPr>
          <w:trHeight w:val="445"/>
        </w:trPr>
        <w:tc>
          <w:tcPr>
            <w:tcW w:w="3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E2A169" w14:textId="77777777" w:rsidR="004E30AD" w:rsidRPr="00CE5927" w:rsidRDefault="004E30AD" w:rsidP="0093383F">
            <w:pPr>
              <w:jc w:val="center"/>
              <w:rPr>
                <w:rFonts w:ascii="Tahoma" w:hAnsi="Tahoma" w:cs="Tahoma"/>
                <w:color w:val="000000"/>
                <w:sz w:val="22"/>
                <w:szCs w:val="22"/>
              </w:rPr>
            </w:pPr>
            <w:r w:rsidRPr="00CE5927">
              <w:rPr>
                <w:rFonts w:ascii="Tahoma" w:hAnsi="Tahoma" w:cs="Tahoma"/>
                <w:color w:val="000000"/>
                <w:sz w:val="22"/>
                <w:szCs w:val="22"/>
              </w:rPr>
              <w:t>1.</w:t>
            </w:r>
          </w:p>
        </w:tc>
        <w:tc>
          <w:tcPr>
            <w:tcW w:w="2268" w:type="pct"/>
            <w:tcBorders>
              <w:top w:val="single" w:sz="4" w:space="0" w:color="auto"/>
              <w:left w:val="nil"/>
              <w:bottom w:val="single" w:sz="4" w:space="0" w:color="auto"/>
              <w:right w:val="single" w:sz="4" w:space="0" w:color="auto"/>
            </w:tcBorders>
            <w:shd w:val="clear" w:color="auto" w:fill="auto"/>
            <w:vAlign w:val="center"/>
            <w:hideMark/>
          </w:tcPr>
          <w:p w14:paraId="3E56F144" w14:textId="77777777" w:rsidR="004E30AD" w:rsidRPr="00CE5927" w:rsidRDefault="004E30AD" w:rsidP="0093383F">
            <w:pPr>
              <w:rPr>
                <w:rFonts w:ascii="Tahoma" w:eastAsia="Calibri" w:hAnsi="Tahoma" w:cs="Tahoma"/>
                <w:bCs/>
                <w:sz w:val="22"/>
                <w:szCs w:val="22"/>
              </w:rPr>
            </w:pPr>
          </w:p>
          <w:p w14:paraId="2872996B" w14:textId="77777777" w:rsidR="004E30AD" w:rsidRPr="00CE5927" w:rsidRDefault="004E30AD" w:rsidP="0093383F">
            <w:pPr>
              <w:rPr>
                <w:rFonts w:ascii="Tahoma" w:eastAsia="Calibri" w:hAnsi="Tahoma" w:cs="Tahoma"/>
                <w:bCs/>
                <w:sz w:val="22"/>
                <w:szCs w:val="22"/>
              </w:rPr>
            </w:pPr>
            <w:r w:rsidRPr="00CE5927">
              <w:rPr>
                <w:rFonts w:ascii="Tahoma" w:eastAsia="Calibri" w:hAnsi="Tahoma" w:cs="Tahoma"/>
                <w:bCs/>
                <w:sz w:val="22"/>
                <w:szCs w:val="22"/>
              </w:rPr>
              <w:t xml:space="preserve">- перевод на банковские карты </w:t>
            </w:r>
            <w:r w:rsidRPr="00CE5927">
              <w:rPr>
                <w:rFonts w:ascii="Tahoma" w:eastAsia="Calibri" w:hAnsi="Tahoma" w:cs="Tahoma"/>
                <w:bCs/>
                <w:sz w:val="22"/>
                <w:szCs w:val="22"/>
                <w:lang w:val="en-US"/>
              </w:rPr>
              <w:t>Visa</w:t>
            </w:r>
            <w:r w:rsidRPr="00CE5927">
              <w:rPr>
                <w:rFonts w:ascii="Tahoma" w:eastAsia="Calibri" w:hAnsi="Tahoma" w:cs="Tahoma"/>
                <w:bCs/>
                <w:sz w:val="22"/>
                <w:szCs w:val="22"/>
              </w:rPr>
              <w:t>/</w:t>
            </w:r>
            <w:r w:rsidRPr="00CE5927">
              <w:rPr>
                <w:rFonts w:ascii="Tahoma" w:eastAsiaTheme="minorHAnsi" w:hAnsi="Tahoma" w:cs="Tahoma"/>
                <w:sz w:val="22"/>
                <w:szCs w:val="22"/>
                <w:lang w:eastAsia="en-US"/>
              </w:rPr>
              <w:t xml:space="preserve"> </w:t>
            </w:r>
            <w:r w:rsidRPr="00CE5927">
              <w:rPr>
                <w:rFonts w:ascii="Tahoma" w:eastAsia="Calibri" w:hAnsi="Tahoma" w:cs="Tahoma"/>
                <w:bCs/>
                <w:sz w:val="22"/>
                <w:szCs w:val="22"/>
              </w:rPr>
              <w:t xml:space="preserve">MastеrСard, эмитированные </w:t>
            </w:r>
            <w:r w:rsidRPr="00CE5927">
              <w:rPr>
                <w:rFonts w:ascii="Tahoma" w:hAnsi="Tahoma" w:cs="Tahoma"/>
                <w:color w:val="000000"/>
                <w:sz w:val="22"/>
                <w:szCs w:val="22"/>
              </w:rPr>
              <w:t xml:space="preserve">«Азиатско-Тихоокеанский Банк» </w:t>
            </w:r>
            <w:r>
              <w:rPr>
                <w:rFonts w:ascii="Tahoma" w:hAnsi="Tahoma" w:cs="Tahoma"/>
                <w:color w:val="000000"/>
                <w:sz w:val="22"/>
                <w:szCs w:val="22"/>
              </w:rPr>
              <w:t>(АО)</w:t>
            </w:r>
            <w:r w:rsidRPr="00CE5927">
              <w:rPr>
                <w:rFonts w:ascii="Tahoma" w:eastAsia="Calibri" w:hAnsi="Tahoma" w:cs="Tahoma"/>
                <w:bCs/>
                <w:sz w:val="22"/>
                <w:szCs w:val="22"/>
              </w:rPr>
              <w:t>;</w:t>
            </w:r>
          </w:p>
          <w:p w14:paraId="4F745DEF" w14:textId="77777777" w:rsidR="004E30AD" w:rsidRPr="00CE5927" w:rsidRDefault="004E30AD" w:rsidP="0093383F">
            <w:pPr>
              <w:rPr>
                <w:rFonts w:ascii="Tahoma" w:eastAsia="Calibri" w:hAnsi="Tahoma" w:cs="Tahoma"/>
                <w:bCs/>
                <w:sz w:val="22"/>
                <w:szCs w:val="22"/>
              </w:rPr>
            </w:pPr>
          </w:p>
          <w:p w14:paraId="3E447F47" w14:textId="77777777" w:rsidR="004E30AD" w:rsidRPr="00CE5927" w:rsidRDefault="004E30AD" w:rsidP="0093383F">
            <w:pPr>
              <w:rPr>
                <w:rFonts w:ascii="Tahoma" w:eastAsia="Calibri" w:hAnsi="Tahoma" w:cs="Tahoma"/>
                <w:bCs/>
                <w:sz w:val="22"/>
                <w:szCs w:val="22"/>
              </w:rPr>
            </w:pPr>
            <w:r w:rsidRPr="00CE5927">
              <w:rPr>
                <w:rFonts w:ascii="Tahoma" w:eastAsia="Calibri" w:hAnsi="Tahoma" w:cs="Tahoma"/>
                <w:bCs/>
                <w:sz w:val="22"/>
                <w:szCs w:val="22"/>
              </w:rPr>
              <w:t xml:space="preserve">-ограничения по данным операциям, установленные </w:t>
            </w:r>
            <w:r w:rsidRPr="00CE5927">
              <w:rPr>
                <w:rFonts w:ascii="Tahoma" w:hAnsi="Tahoma" w:cs="Tahoma"/>
                <w:color w:val="000000"/>
                <w:sz w:val="22"/>
                <w:szCs w:val="22"/>
              </w:rPr>
              <w:t xml:space="preserve">«Азиатско-Тихоокеанский Банк» </w:t>
            </w:r>
            <w:r>
              <w:rPr>
                <w:rFonts w:ascii="Tahoma" w:hAnsi="Tahoma" w:cs="Tahoma"/>
                <w:color w:val="000000"/>
                <w:sz w:val="22"/>
                <w:szCs w:val="22"/>
              </w:rPr>
              <w:t>(АО)</w:t>
            </w:r>
            <w:r w:rsidRPr="00CE5927">
              <w:rPr>
                <w:rFonts w:ascii="Tahoma" w:eastAsia="Calibri" w:hAnsi="Tahoma" w:cs="Tahoma"/>
                <w:bCs/>
                <w:sz w:val="22"/>
                <w:szCs w:val="22"/>
              </w:rPr>
              <w:t>.</w:t>
            </w:r>
          </w:p>
          <w:p w14:paraId="64D39E62" w14:textId="77777777" w:rsidR="004E30AD" w:rsidRPr="00CE5927" w:rsidRDefault="004E30AD" w:rsidP="0093383F">
            <w:pPr>
              <w:rPr>
                <w:rFonts w:ascii="Tahoma" w:hAnsi="Tahoma" w:cs="Tahoma"/>
                <w:color w:val="000000"/>
                <w:sz w:val="22"/>
                <w:szCs w:val="22"/>
              </w:rPr>
            </w:pPr>
            <w:r w:rsidRPr="00CE5927">
              <w:rPr>
                <w:rFonts w:ascii="Tahoma" w:hAnsi="Tahoma" w:cs="Tahoma"/>
                <w:color w:val="000000"/>
                <w:sz w:val="22"/>
                <w:szCs w:val="22"/>
              </w:rPr>
              <w:t xml:space="preserve"> </w:t>
            </w:r>
          </w:p>
        </w:tc>
        <w:tc>
          <w:tcPr>
            <w:tcW w:w="2378" w:type="pct"/>
            <w:tcBorders>
              <w:top w:val="single" w:sz="4" w:space="0" w:color="auto"/>
              <w:left w:val="nil"/>
              <w:bottom w:val="single" w:sz="4" w:space="0" w:color="auto"/>
              <w:right w:val="single" w:sz="4" w:space="0" w:color="auto"/>
            </w:tcBorders>
            <w:vAlign w:val="center"/>
          </w:tcPr>
          <w:p w14:paraId="256FFC68" w14:textId="77777777" w:rsidR="004E30AD" w:rsidRPr="00CE5927" w:rsidRDefault="004E30AD" w:rsidP="0093383F">
            <w:pPr>
              <w:widowControl w:val="0"/>
              <w:autoSpaceDE w:val="0"/>
              <w:autoSpaceDN w:val="0"/>
              <w:adjustRightInd w:val="0"/>
              <w:jc w:val="center"/>
              <w:rPr>
                <w:rFonts w:ascii="Tahoma" w:hAnsi="Tahoma" w:cs="Tahoma"/>
                <w:color w:val="000000"/>
                <w:sz w:val="22"/>
                <w:szCs w:val="22"/>
              </w:rPr>
            </w:pPr>
            <w:r w:rsidRPr="00CE5927">
              <w:rPr>
                <w:rFonts w:ascii="Tahoma" w:hAnsi="Tahoma" w:cs="Tahoma"/>
                <w:color w:val="000000"/>
                <w:sz w:val="22"/>
                <w:szCs w:val="22"/>
              </w:rPr>
              <w:t>0 рублей*</w:t>
            </w:r>
          </w:p>
          <w:p w14:paraId="5432DD59" w14:textId="77777777" w:rsidR="004E30AD" w:rsidRPr="00CE5927" w:rsidRDefault="004E30AD" w:rsidP="0093383F">
            <w:pPr>
              <w:widowControl w:val="0"/>
              <w:autoSpaceDE w:val="0"/>
              <w:autoSpaceDN w:val="0"/>
              <w:adjustRightInd w:val="0"/>
              <w:jc w:val="center"/>
              <w:rPr>
                <w:rFonts w:ascii="Tahoma" w:hAnsi="Tahoma" w:cs="Tahoma"/>
                <w:color w:val="000000"/>
                <w:sz w:val="22"/>
                <w:szCs w:val="22"/>
              </w:rPr>
            </w:pPr>
          </w:p>
          <w:p w14:paraId="3E6288AE" w14:textId="77777777" w:rsidR="004E30AD" w:rsidRPr="00CE5927" w:rsidRDefault="004E30AD" w:rsidP="0093383F">
            <w:pPr>
              <w:widowControl w:val="0"/>
              <w:autoSpaceDE w:val="0"/>
              <w:autoSpaceDN w:val="0"/>
              <w:adjustRightInd w:val="0"/>
              <w:jc w:val="center"/>
              <w:rPr>
                <w:rFonts w:ascii="Tahoma" w:hAnsi="Tahoma" w:cs="Tahoma"/>
                <w:color w:val="000000"/>
                <w:sz w:val="22"/>
                <w:szCs w:val="22"/>
              </w:rPr>
            </w:pPr>
            <w:r w:rsidRPr="00CE5927">
              <w:rPr>
                <w:rFonts w:ascii="Tahoma" w:hAnsi="Tahoma" w:cs="Tahoma"/>
                <w:color w:val="000000"/>
                <w:sz w:val="22"/>
                <w:szCs w:val="22"/>
              </w:rPr>
              <w:t>не установлено</w:t>
            </w:r>
          </w:p>
        </w:tc>
      </w:tr>
    </w:tbl>
    <w:p w14:paraId="735ECBC9" w14:textId="77777777" w:rsidR="004E30AD" w:rsidRPr="00CE5927" w:rsidRDefault="004E30AD" w:rsidP="004E30AD">
      <w:pPr>
        <w:rPr>
          <w:rFonts w:ascii="Arial Narrow" w:eastAsia="Calibri" w:hAnsi="Arial Narrow" w:cs="Calibri"/>
          <w:bCs/>
          <w:sz w:val="22"/>
          <w:szCs w:val="22"/>
        </w:rPr>
      </w:pPr>
    </w:p>
    <w:p w14:paraId="16BCD36F" w14:textId="77777777" w:rsidR="004E30AD" w:rsidRPr="00CE5927" w:rsidRDefault="004E30AD" w:rsidP="004E30AD">
      <w:pPr>
        <w:widowControl w:val="0"/>
        <w:autoSpaceDE w:val="0"/>
        <w:autoSpaceDN w:val="0"/>
        <w:adjustRightInd w:val="0"/>
        <w:ind w:left="284"/>
        <w:contextualSpacing/>
        <w:rPr>
          <w:rFonts w:ascii="Tahoma" w:hAnsi="Tahoma" w:cs="Tahoma"/>
          <w:color w:val="000000"/>
          <w:sz w:val="22"/>
          <w:szCs w:val="22"/>
        </w:rPr>
      </w:pPr>
      <w:r w:rsidRPr="00CE5927">
        <w:rPr>
          <w:rFonts w:ascii="Tahoma" w:hAnsi="Tahoma" w:cs="Tahoma"/>
          <w:sz w:val="22"/>
          <w:szCs w:val="22"/>
        </w:rPr>
        <w:t xml:space="preserve">*комиссия, взимаемая </w:t>
      </w:r>
      <w:r w:rsidRPr="00CE5927">
        <w:rPr>
          <w:rFonts w:ascii="Tahoma" w:hAnsi="Tahoma" w:cs="Tahoma"/>
          <w:color w:val="000000"/>
          <w:sz w:val="22"/>
          <w:szCs w:val="22"/>
        </w:rPr>
        <w:t xml:space="preserve">«Азиатско-Тихоокеанский Банк» </w:t>
      </w:r>
      <w:r>
        <w:rPr>
          <w:rFonts w:ascii="Tahoma" w:hAnsi="Tahoma" w:cs="Tahoma"/>
          <w:color w:val="000000"/>
          <w:sz w:val="22"/>
          <w:szCs w:val="22"/>
        </w:rPr>
        <w:t>(АО)</w:t>
      </w:r>
      <w:r w:rsidRPr="00CE5927">
        <w:rPr>
          <w:rFonts w:ascii="Tahoma" w:hAnsi="Tahoma" w:cs="Tahoma"/>
          <w:color w:val="000000"/>
          <w:sz w:val="22"/>
          <w:szCs w:val="22"/>
        </w:rPr>
        <w:t>.</w:t>
      </w:r>
    </w:p>
    <w:p w14:paraId="65081513" w14:textId="77777777" w:rsidR="004E30AD" w:rsidRPr="00CE5927" w:rsidRDefault="004E30AD" w:rsidP="004E30AD">
      <w:pPr>
        <w:rPr>
          <w:rFonts w:ascii="Tahoma" w:hAnsi="Tahoma" w:cs="Tahoma"/>
          <w:b/>
          <w:bCs/>
          <w:iCs/>
          <w:color w:val="E36C0A"/>
          <w:sz w:val="22"/>
          <w:szCs w:val="22"/>
        </w:rPr>
      </w:pPr>
    </w:p>
    <w:p w14:paraId="728159CF" w14:textId="77777777" w:rsidR="00263C73" w:rsidRPr="00CE5927" w:rsidRDefault="00263C73" w:rsidP="004E30AD">
      <w:pPr>
        <w:rPr>
          <w:rFonts w:ascii="Tahoma" w:hAnsi="Tahoma" w:cs="Tahoma"/>
          <w:b/>
          <w:bCs/>
          <w:iCs/>
          <w:color w:val="E36C0A"/>
          <w:sz w:val="22"/>
          <w:szCs w:val="22"/>
        </w:rPr>
      </w:pPr>
    </w:p>
    <w:p w14:paraId="3DCE6768" w14:textId="487F2240" w:rsidR="004E30AD" w:rsidRPr="00CE5927" w:rsidRDefault="009B24A5" w:rsidP="000B3718">
      <w:pPr>
        <w:pStyle w:val="a5"/>
      </w:pPr>
      <w:r>
        <w:t>4.1</w:t>
      </w:r>
      <w:r w:rsidR="00845DEA">
        <w:t>1</w:t>
      </w:r>
      <w:r w:rsidR="004E30AD" w:rsidRPr="00CE5927">
        <w:t xml:space="preserve">. Конверсионные операции по банковским картам «Азиатско-Тихоокеанский Банк» </w:t>
      </w:r>
      <w:r w:rsidR="004E30AD">
        <w:t>(АО)</w:t>
      </w:r>
      <w:r w:rsidR="004E30AD" w:rsidRPr="00CE5927">
        <w:t>:</w:t>
      </w:r>
    </w:p>
    <w:p w14:paraId="3261D54E" w14:textId="77777777" w:rsidR="004E30AD" w:rsidRPr="00CE5927" w:rsidRDefault="004E30AD" w:rsidP="004E30AD">
      <w:pPr>
        <w:rPr>
          <w:rFonts w:ascii="Tahoma" w:hAnsi="Tahoma" w:cs="Tahoma"/>
          <w:color w:val="E36C0A"/>
          <w:sz w:val="22"/>
          <w:szCs w:val="22"/>
        </w:rPr>
      </w:pPr>
    </w:p>
    <w:tbl>
      <w:tblPr>
        <w:tblW w:w="0" w:type="auto"/>
        <w:tblLayout w:type="fixed"/>
        <w:tblCellMar>
          <w:left w:w="0" w:type="dxa"/>
          <w:right w:w="0" w:type="dxa"/>
        </w:tblCellMar>
        <w:tblLook w:val="04A0" w:firstRow="1" w:lastRow="0" w:firstColumn="1" w:lastColumn="0" w:noHBand="0" w:noVBand="1"/>
      </w:tblPr>
      <w:tblGrid>
        <w:gridCol w:w="1668"/>
        <w:gridCol w:w="26"/>
        <w:gridCol w:w="1249"/>
        <w:gridCol w:w="1418"/>
        <w:gridCol w:w="1276"/>
        <w:gridCol w:w="1559"/>
        <w:gridCol w:w="1559"/>
        <w:gridCol w:w="6946"/>
      </w:tblGrid>
      <w:tr w:rsidR="004E30AD" w:rsidRPr="00CE5927" w14:paraId="489CB0C6" w14:textId="77777777" w:rsidTr="0093383F">
        <w:trPr>
          <w:trHeight w:val="581"/>
        </w:trPr>
        <w:tc>
          <w:tcPr>
            <w:tcW w:w="15701" w:type="dxa"/>
            <w:gridSpan w:val="8"/>
            <w:tcBorders>
              <w:top w:val="single" w:sz="8" w:space="0" w:color="auto"/>
              <w:left w:val="single" w:sz="8" w:space="0" w:color="auto"/>
              <w:bottom w:val="single" w:sz="8" w:space="0" w:color="auto"/>
              <w:right w:val="single" w:sz="8" w:space="0" w:color="auto"/>
            </w:tcBorders>
            <w:shd w:val="clear" w:color="auto" w:fill="A6A6A6" w:themeFill="background1" w:themeFillShade="A6"/>
            <w:tcMar>
              <w:top w:w="0" w:type="dxa"/>
              <w:left w:w="108" w:type="dxa"/>
              <w:bottom w:w="0" w:type="dxa"/>
              <w:right w:w="108" w:type="dxa"/>
            </w:tcMar>
            <w:hideMark/>
          </w:tcPr>
          <w:p w14:paraId="6E40D79E" w14:textId="77777777" w:rsidR="004E30AD" w:rsidRPr="00CE5927" w:rsidRDefault="004E30AD" w:rsidP="0093383F">
            <w:pPr>
              <w:widowControl w:val="0"/>
              <w:tabs>
                <w:tab w:val="right" w:pos="10206"/>
              </w:tabs>
              <w:autoSpaceDE w:val="0"/>
              <w:autoSpaceDN w:val="0"/>
              <w:adjustRightInd w:val="0"/>
              <w:jc w:val="both"/>
              <w:rPr>
                <w:rFonts w:ascii="Tahoma" w:hAnsi="Tahoma" w:cs="Tahoma"/>
              </w:rPr>
            </w:pPr>
            <w:r w:rsidRPr="00CE5927">
              <w:rPr>
                <w:rFonts w:ascii="Tahoma" w:hAnsi="Tahoma" w:cs="Tahoma"/>
                <w:color w:val="FFFFFF" w:themeColor="background1"/>
                <w:sz w:val="22"/>
                <w:szCs w:val="22"/>
              </w:rPr>
              <w:t xml:space="preserve">Расчет суммы списания/зачисления со счета/на счет банковской карты при проведении конверсии валют по операциям с картами международных платежных систем </w:t>
            </w:r>
            <w:r w:rsidRPr="00CE5927">
              <w:rPr>
                <w:rFonts w:ascii="Tahoma" w:hAnsi="Tahoma" w:cs="Tahoma"/>
                <w:b/>
                <w:color w:val="FFFFFF" w:themeColor="background1"/>
                <w:sz w:val="22"/>
                <w:szCs w:val="22"/>
                <w:lang w:val="en-US"/>
              </w:rPr>
              <w:t>Visa</w:t>
            </w:r>
            <w:r w:rsidRPr="00CE5927">
              <w:rPr>
                <w:rFonts w:ascii="Tahoma" w:hAnsi="Tahoma" w:cs="Tahoma"/>
                <w:b/>
                <w:color w:val="FFFFFF" w:themeColor="background1"/>
                <w:sz w:val="22"/>
                <w:szCs w:val="22"/>
              </w:rPr>
              <w:t xml:space="preserve"> </w:t>
            </w:r>
            <w:r w:rsidRPr="00CE5927">
              <w:rPr>
                <w:rFonts w:ascii="Tahoma" w:hAnsi="Tahoma" w:cs="Tahoma"/>
                <w:b/>
                <w:color w:val="FFFFFF" w:themeColor="background1"/>
                <w:sz w:val="22"/>
                <w:szCs w:val="22"/>
                <w:lang w:val="en-US"/>
              </w:rPr>
              <w:t>International</w:t>
            </w:r>
            <w:r w:rsidRPr="00CE5927">
              <w:rPr>
                <w:rFonts w:ascii="Tahoma" w:hAnsi="Tahoma" w:cs="Tahoma"/>
                <w:b/>
                <w:color w:val="FFFFFF" w:themeColor="background1"/>
                <w:sz w:val="22"/>
                <w:szCs w:val="22"/>
              </w:rPr>
              <w:t xml:space="preserve">, </w:t>
            </w:r>
            <w:r w:rsidRPr="00CE5927">
              <w:rPr>
                <w:rFonts w:ascii="Tahoma" w:hAnsi="Tahoma" w:cs="Tahoma"/>
                <w:b/>
                <w:color w:val="FFFFFF" w:themeColor="background1"/>
                <w:sz w:val="22"/>
                <w:szCs w:val="22"/>
                <w:lang w:val="en-US"/>
              </w:rPr>
              <w:t>MasterCard</w:t>
            </w:r>
            <w:r w:rsidRPr="00CE5927">
              <w:rPr>
                <w:rFonts w:ascii="Tahoma" w:hAnsi="Tahoma" w:cs="Tahoma"/>
                <w:b/>
                <w:color w:val="FFFFFF" w:themeColor="background1"/>
                <w:sz w:val="22"/>
                <w:szCs w:val="22"/>
              </w:rPr>
              <w:t xml:space="preserve"> International Inc.</w:t>
            </w:r>
            <w:r w:rsidRPr="00CE5927">
              <w:rPr>
                <w:rFonts w:ascii="Tahoma" w:hAnsi="Tahoma" w:cs="Tahoma"/>
                <w:color w:val="FFFFFF" w:themeColor="background1"/>
                <w:sz w:val="22"/>
                <w:szCs w:val="22"/>
              </w:rPr>
              <w:t> </w:t>
            </w:r>
          </w:p>
        </w:tc>
      </w:tr>
      <w:tr w:rsidR="004E30AD" w:rsidRPr="00CE5927" w14:paraId="14CAD34A" w14:textId="77777777" w:rsidTr="0093383F">
        <w:trPr>
          <w:trHeight w:val="409"/>
        </w:trPr>
        <w:tc>
          <w:tcPr>
            <w:tcW w:w="1694" w:type="dxa"/>
            <w:gridSpan w:val="2"/>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3676D1"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Валюта</w:t>
            </w:r>
          </w:p>
          <w:p w14:paraId="4A79166D"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 xml:space="preserve">операции  </w:t>
            </w:r>
          </w:p>
        </w:tc>
        <w:tc>
          <w:tcPr>
            <w:tcW w:w="14007" w:type="dxa"/>
            <w:gridSpan w:val="6"/>
            <w:tcBorders>
              <w:top w:val="nil"/>
              <w:left w:val="nil"/>
              <w:bottom w:val="single" w:sz="8" w:space="0" w:color="auto"/>
              <w:right w:val="single" w:sz="8" w:space="0" w:color="auto"/>
            </w:tcBorders>
            <w:tcMar>
              <w:top w:w="0" w:type="dxa"/>
              <w:left w:w="108" w:type="dxa"/>
              <w:bottom w:w="0" w:type="dxa"/>
              <w:right w:w="108" w:type="dxa"/>
            </w:tcMar>
            <w:hideMark/>
          </w:tcPr>
          <w:p w14:paraId="225E4005" w14:textId="77777777" w:rsidR="004E30AD" w:rsidRPr="00CE5927" w:rsidRDefault="004E30AD" w:rsidP="0093383F">
            <w:pPr>
              <w:widowControl w:val="0"/>
              <w:tabs>
                <w:tab w:val="right" w:pos="10206"/>
              </w:tabs>
              <w:autoSpaceDE w:val="0"/>
              <w:autoSpaceDN w:val="0"/>
              <w:adjustRightInd w:val="0"/>
              <w:jc w:val="center"/>
              <w:rPr>
                <w:rFonts w:ascii="Tahoma" w:hAnsi="Tahoma" w:cs="Tahoma"/>
                <w:sz w:val="20"/>
                <w:szCs w:val="20"/>
              </w:rPr>
            </w:pPr>
            <w:r w:rsidRPr="00CE5927">
              <w:rPr>
                <w:rFonts w:ascii="Tahoma" w:hAnsi="Tahoma" w:cs="Tahoma"/>
                <w:sz w:val="20"/>
                <w:szCs w:val="20"/>
              </w:rPr>
              <w:t>Валюта счета карты</w:t>
            </w:r>
          </w:p>
        </w:tc>
      </w:tr>
      <w:tr w:rsidR="004E30AD" w:rsidRPr="00CE5927" w14:paraId="233D7E5C" w14:textId="77777777" w:rsidTr="0093383F">
        <w:trPr>
          <w:trHeight w:val="415"/>
        </w:trPr>
        <w:tc>
          <w:tcPr>
            <w:tcW w:w="1694" w:type="dxa"/>
            <w:gridSpan w:val="2"/>
            <w:vMerge/>
            <w:tcBorders>
              <w:top w:val="nil"/>
              <w:left w:val="single" w:sz="8" w:space="0" w:color="auto"/>
              <w:bottom w:val="single" w:sz="8" w:space="0" w:color="auto"/>
              <w:right w:val="single" w:sz="8" w:space="0" w:color="auto"/>
            </w:tcBorders>
            <w:vAlign w:val="center"/>
            <w:hideMark/>
          </w:tcPr>
          <w:p w14:paraId="44187EB2"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p>
        </w:tc>
        <w:tc>
          <w:tcPr>
            <w:tcW w:w="2667" w:type="dxa"/>
            <w:gridSpan w:val="2"/>
            <w:tcBorders>
              <w:top w:val="nil"/>
              <w:left w:val="nil"/>
              <w:bottom w:val="single" w:sz="8" w:space="0" w:color="auto"/>
              <w:right w:val="single" w:sz="8" w:space="0" w:color="auto"/>
            </w:tcBorders>
            <w:tcMar>
              <w:top w:w="0" w:type="dxa"/>
              <w:left w:w="108" w:type="dxa"/>
              <w:bottom w:w="0" w:type="dxa"/>
              <w:right w:w="108" w:type="dxa"/>
            </w:tcMar>
            <w:hideMark/>
          </w:tcPr>
          <w:p w14:paraId="7AC15112"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lang w:val="en-US"/>
              </w:rPr>
            </w:pPr>
            <w:r w:rsidRPr="00CE5927">
              <w:rPr>
                <w:rFonts w:ascii="Tahoma" w:hAnsi="Tahoma" w:cs="Tahoma"/>
                <w:sz w:val="20"/>
                <w:szCs w:val="20"/>
              </w:rPr>
              <w:t>Российский рубль(</w:t>
            </w:r>
            <w:r w:rsidRPr="00CE5927">
              <w:rPr>
                <w:rFonts w:ascii="Tahoma" w:hAnsi="Tahoma" w:cs="Tahoma"/>
                <w:sz w:val="20"/>
                <w:szCs w:val="20"/>
                <w:lang w:val="en-US"/>
              </w:rPr>
              <w:t>RUR)</w:t>
            </w:r>
          </w:p>
        </w:tc>
        <w:tc>
          <w:tcPr>
            <w:tcW w:w="2835" w:type="dxa"/>
            <w:gridSpan w:val="2"/>
            <w:tcBorders>
              <w:top w:val="nil"/>
              <w:left w:val="nil"/>
              <w:bottom w:val="single" w:sz="8" w:space="0" w:color="auto"/>
              <w:right w:val="single" w:sz="8" w:space="0" w:color="auto"/>
            </w:tcBorders>
            <w:tcMar>
              <w:top w:w="0" w:type="dxa"/>
              <w:left w:w="108" w:type="dxa"/>
              <w:bottom w:w="0" w:type="dxa"/>
              <w:right w:w="108" w:type="dxa"/>
            </w:tcMar>
            <w:hideMark/>
          </w:tcPr>
          <w:p w14:paraId="65501AA5"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Доллар США (</w:t>
            </w:r>
            <w:r w:rsidRPr="00CE5927">
              <w:rPr>
                <w:rFonts w:ascii="Tahoma" w:hAnsi="Tahoma" w:cs="Tahoma"/>
                <w:sz w:val="20"/>
                <w:szCs w:val="20"/>
                <w:lang w:val="en-US"/>
              </w:rPr>
              <w:t>USD)</w:t>
            </w:r>
          </w:p>
        </w:tc>
        <w:tc>
          <w:tcPr>
            <w:tcW w:w="8505" w:type="dxa"/>
            <w:gridSpan w:val="2"/>
            <w:tcBorders>
              <w:top w:val="nil"/>
              <w:left w:val="nil"/>
              <w:bottom w:val="single" w:sz="8" w:space="0" w:color="auto"/>
              <w:right w:val="single" w:sz="8" w:space="0" w:color="auto"/>
            </w:tcBorders>
            <w:tcMar>
              <w:top w:w="0" w:type="dxa"/>
              <w:left w:w="108" w:type="dxa"/>
              <w:bottom w:w="0" w:type="dxa"/>
              <w:right w:w="108" w:type="dxa"/>
            </w:tcMar>
            <w:hideMark/>
          </w:tcPr>
          <w:p w14:paraId="4D1B1690"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Евро (</w:t>
            </w:r>
            <w:r w:rsidRPr="00CE5927">
              <w:rPr>
                <w:rFonts w:ascii="Tahoma" w:hAnsi="Tahoma" w:cs="Tahoma"/>
                <w:sz w:val="20"/>
                <w:szCs w:val="20"/>
                <w:lang w:val="en-US"/>
              </w:rPr>
              <w:t>EUR)</w:t>
            </w:r>
          </w:p>
        </w:tc>
      </w:tr>
      <w:tr w:rsidR="004E30AD" w:rsidRPr="00CE5927" w14:paraId="644AA931" w14:textId="77777777" w:rsidTr="0093383F">
        <w:trPr>
          <w:trHeight w:val="433"/>
        </w:trPr>
        <w:tc>
          <w:tcPr>
            <w:tcW w:w="1694" w:type="dxa"/>
            <w:gridSpan w:val="2"/>
            <w:vMerge/>
            <w:tcBorders>
              <w:top w:val="nil"/>
              <w:left w:val="single" w:sz="8" w:space="0" w:color="auto"/>
              <w:bottom w:val="single" w:sz="8" w:space="0" w:color="auto"/>
              <w:right w:val="single" w:sz="8" w:space="0" w:color="auto"/>
            </w:tcBorders>
            <w:vAlign w:val="center"/>
            <w:hideMark/>
          </w:tcPr>
          <w:p w14:paraId="0925666B"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p>
        </w:tc>
        <w:tc>
          <w:tcPr>
            <w:tcW w:w="1249" w:type="dxa"/>
            <w:tcBorders>
              <w:top w:val="nil"/>
              <w:left w:val="nil"/>
              <w:bottom w:val="single" w:sz="8" w:space="0" w:color="auto"/>
              <w:right w:val="single" w:sz="8" w:space="0" w:color="auto"/>
            </w:tcBorders>
            <w:tcMar>
              <w:top w:w="0" w:type="dxa"/>
              <w:left w:w="108" w:type="dxa"/>
              <w:bottom w:w="0" w:type="dxa"/>
              <w:right w:w="108" w:type="dxa"/>
            </w:tcMar>
            <w:hideMark/>
          </w:tcPr>
          <w:p w14:paraId="7AD6C5EC"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Списание</w:t>
            </w:r>
          </w:p>
        </w:tc>
        <w:tc>
          <w:tcPr>
            <w:tcW w:w="1418" w:type="dxa"/>
            <w:tcBorders>
              <w:top w:val="nil"/>
              <w:left w:val="nil"/>
              <w:bottom w:val="single" w:sz="8" w:space="0" w:color="auto"/>
              <w:right w:val="single" w:sz="8" w:space="0" w:color="auto"/>
            </w:tcBorders>
            <w:tcMar>
              <w:top w:w="0" w:type="dxa"/>
              <w:left w:w="108" w:type="dxa"/>
              <w:bottom w:w="0" w:type="dxa"/>
              <w:right w:w="108" w:type="dxa"/>
            </w:tcMar>
            <w:hideMark/>
          </w:tcPr>
          <w:p w14:paraId="1C73F1A3"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 xml:space="preserve">Зачисление </w:t>
            </w:r>
          </w:p>
        </w:tc>
        <w:tc>
          <w:tcPr>
            <w:tcW w:w="1276" w:type="dxa"/>
            <w:tcBorders>
              <w:top w:val="nil"/>
              <w:left w:val="nil"/>
              <w:bottom w:val="single" w:sz="8" w:space="0" w:color="auto"/>
              <w:right w:val="single" w:sz="8" w:space="0" w:color="auto"/>
            </w:tcBorders>
            <w:tcMar>
              <w:top w:w="0" w:type="dxa"/>
              <w:left w:w="108" w:type="dxa"/>
              <w:bottom w:w="0" w:type="dxa"/>
              <w:right w:w="108" w:type="dxa"/>
            </w:tcMar>
            <w:hideMark/>
          </w:tcPr>
          <w:p w14:paraId="2709BA48"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Списание</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14:paraId="3B3C1B3F"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 xml:space="preserve">Зачисление </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14:paraId="0BEE177B"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Списание</w:t>
            </w:r>
          </w:p>
        </w:tc>
        <w:tc>
          <w:tcPr>
            <w:tcW w:w="6946" w:type="dxa"/>
            <w:tcBorders>
              <w:top w:val="nil"/>
              <w:left w:val="nil"/>
              <w:bottom w:val="single" w:sz="8" w:space="0" w:color="auto"/>
              <w:right w:val="single" w:sz="8" w:space="0" w:color="auto"/>
            </w:tcBorders>
            <w:tcMar>
              <w:top w:w="0" w:type="dxa"/>
              <w:left w:w="108" w:type="dxa"/>
              <w:bottom w:w="0" w:type="dxa"/>
              <w:right w:w="108" w:type="dxa"/>
            </w:tcMar>
            <w:hideMark/>
          </w:tcPr>
          <w:p w14:paraId="48078A1F"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 xml:space="preserve">Зачисление </w:t>
            </w:r>
          </w:p>
        </w:tc>
      </w:tr>
      <w:tr w:rsidR="004E30AD" w:rsidRPr="00CE5927" w14:paraId="2D427D95" w14:textId="77777777" w:rsidTr="0093383F">
        <w:trPr>
          <w:trHeight w:val="433"/>
        </w:trPr>
        <w:tc>
          <w:tcPr>
            <w:tcW w:w="15701" w:type="dxa"/>
            <w:gridSpan w:val="8"/>
            <w:tcBorders>
              <w:top w:val="nil"/>
              <w:left w:val="single" w:sz="8" w:space="0" w:color="auto"/>
              <w:bottom w:val="single" w:sz="8" w:space="0" w:color="auto"/>
              <w:right w:val="single" w:sz="8" w:space="0" w:color="auto"/>
            </w:tcBorders>
            <w:vAlign w:val="center"/>
            <w:hideMark/>
          </w:tcPr>
          <w:tbl>
            <w:tblPr>
              <w:tblW w:w="15688" w:type="dxa"/>
              <w:tblLayout w:type="fixed"/>
              <w:tblCellMar>
                <w:left w:w="0" w:type="dxa"/>
                <w:right w:w="0" w:type="dxa"/>
              </w:tblCellMar>
              <w:tblLook w:val="04A0" w:firstRow="1" w:lastRow="0" w:firstColumn="1" w:lastColumn="0" w:noHBand="0" w:noVBand="1"/>
            </w:tblPr>
            <w:tblGrid>
              <w:gridCol w:w="1694"/>
              <w:gridCol w:w="1249"/>
              <w:gridCol w:w="1418"/>
              <w:gridCol w:w="1276"/>
              <w:gridCol w:w="1559"/>
              <w:gridCol w:w="1559"/>
              <w:gridCol w:w="6933"/>
            </w:tblGrid>
            <w:tr w:rsidR="004E30AD" w:rsidRPr="00CE5927" w14:paraId="6777E87A" w14:textId="77777777" w:rsidTr="0093383F">
              <w:trPr>
                <w:trHeight w:val="433"/>
              </w:trPr>
              <w:tc>
                <w:tcPr>
                  <w:tcW w:w="15688" w:type="dxa"/>
                  <w:gridSpan w:val="7"/>
                  <w:tcBorders>
                    <w:top w:val="nil"/>
                    <w:left w:val="single" w:sz="8" w:space="0" w:color="auto"/>
                    <w:bottom w:val="single" w:sz="8" w:space="0" w:color="auto"/>
                    <w:right w:val="single" w:sz="8" w:space="0" w:color="auto"/>
                  </w:tcBorders>
                  <w:vAlign w:val="center"/>
                  <w:hideMark/>
                </w:tcPr>
                <w:p w14:paraId="1F49A627" w14:textId="77777777" w:rsidR="004E30AD" w:rsidRPr="00CE5927" w:rsidRDefault="004E30AD" w:rsidP="0093383F">
                  <w:pPr>
                    <w:widowControl w:val="0"/>
                    <w:tabs>
                      <w:tab w:val="right" w:pos="10206"/>
                    </w:tabs>
                    <w:autoSpaceDE w:val="0"/>
                    <w:autoSpaceDN w:val="0"/>
                    <w:adjustRightInd w:val="0"/>
                    <w:rPr>
                      <w:rFonts w:ascii="Tahoma" w:hAnsi="Tahoma" w:cs="Tahoma"/>
                      <w:b/>
                      <w:sz w:val="20"/>
                      <w:szCs w:val="20"/>
                    </w:rPr>
                  </w:pPr>
                  <w:r w:rsidRPr="00CE5927">
                    <w:rPr>
                      <w:rFonts w:ascii="Tahoma" w:hAnsi="Tahoma" w:cs="Tahoma"/>
                      <w:b/>
                      <w:sz w:val="20"/>
                      <w:szCs w:val="20"/>
                    </w:rPr>
                    <w:t>Расчеты в устройствах Банка</w:t>
                  </w:r>
                </w:p>
              </w:tc>
            </w:tr>
            <w:tr w:rsidR="004E30AD" w:rsidRPr="00CE5927" w14:paraId="48DB6717" w14:textId="77777777" w:rsidTr="0093383F">
              <w:tc>
                <w:tcPr>
                  <w:tcW w:w="16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E1E8701"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Российский рубль (</w:t>
                  </w:r>
                  <w:r w:rsidRPr="00CE5927">
                    <w:rPr>
                      <w:rFonts w:ascii="Tahoma" w:hAnsi="Tahoma" w:cs="Tahoma"/>
                      <w:sz w:val="20"/>
                      <w:szCs w:val="20"/>
                      <w:lang w:val="en-US"/>
                    </w:rPr>
                    <w:t>RUR)</w:t>
                  </w:r>
                </w:p>
              </w:tc>
              <w:tc>
                <w:tcPr>
                  <w:tcW w:w="1249" w:type="dxa"/>
                  <w:tcBorders>
                    <w:top w:val="nil"/>
                    <w:left w:val="nil"/>
                    <w:bottom w:val="single" w:sz="8" w:space="0" w:color="auto"/>
                    <w:right w:val="single" w:sz="8" w:space="0" w:color="auto"/>
                  </w:tcBorders>
                  <w:tcMar>
                    <w:top w:w="0" w:type="dxa"/>
                    <w:left w:w="108" w:type="dxa"/>
                    <w:bottom w:w="0" w:type="dxa"/>
                    <w:right w:w="108" w:type="dxa"/>
                  </w:tcMar>
                  <w:hideMark/>
                </w:tcPr>
                <w:p w14:paraId="742E26C6"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lang w:val="en-US"/>
                    </w:rPr>
                  </w:pPr>
                  <w:r w:rsidRPr="00CE5927">
                    <w:rPr>
                      <w:rFonts w:ascii="Tahoma" w:hAnsi="Tahoma" w:cs="Tahoma"/>
                      <w:sz w:val="20"/>
                      <w:szCs w:val="20"/>
                      <w:lang w:val="en-US"/>
                    </w:rPr>
                    <w:t>RUR</w:t>
                  </w:r>
                </w:p>
              </w:tc>
              <w:tc>
                <w:tcPr>
                  <w:tcW w:w="1418" w:type="dxa"/>
                  <w:tcBorders>
                    <w:top w:val="nil"/>
                    <w:left w:val="nil"/>
                    <w:bottom w:val="single" w:sz="8" w:space="0" w:color="auto"/>
                    <w:right w:val="single" w:sz="8" w:space="0" w:color="auto"/>
                  </w:tcBorders>
                  <w:tcMar>
                    <w:top w:w="0" w:type="dxa"/>
                    <w:left w:w="108" w:type="dxa"/>
                    <w:bottom w:w="0" w:type="dxa"/>
                    <w:right w:w="108" w:type="dxa"/>
                  </w:tcMar>
                  <w:hideMark/>
                </w:tcPr>
                <w:p w14:paraId="29926C0C"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lang w:val="en-US"/>
                    </w:rPr>
                  </w:pPr>
                  <w:r w:rsidRPr="00CE5927">
                    <w:rPr>
                      <w:rFonts w:ascii="Tahoma" w:hAnsi="Tahoma" w:cs="Tahoma"/>
                      <w:sz w:val="20"/>
                      <w:szCs w:val="20"/>
                      <w:lang w:val="en-US"/>
                    </w:rPr>
                    <w:t>RUR</w:t>
                  </w:r>
                </w:p>
              </w:tc>
              <w:tc>
                <w:tcPr>
                  <w:tcW w:w="1276" w:type="dxa"/>
                  <w:tcBorders>
                    <w:top w:val="nil"/>
                    <w:left w:val="nil"/>
                    <w:bottom w:val="single" w:sz="8" w:space="0" w:color="auto"/>
                    <w:right w:val="single" w:sz="8" w:space="0" w:color="auto"/>
                  </w:tcBorders>
                  <w:tcMar>
                    <w:top w:w="0" w:type="dxa"/>
                    <w:left w:w="108" w:type="dxa"/>
                    <w:bottom w:w="0" w:type="dxa"/>
                    <w:right w:w="108" w:type="dxa"/>
                  </w:tcMar>
                  <w:hideMark/>
                </w:tcPr>
                <w:p w14:paraId="7147D469"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lang w:val="en-US"/>
                    </w:rPr>
                  </w:pPr>
                  <w:r w:rsidRPr="00CE5927">
                    <w:rPr>
                      <w:rFonts w:ascii="Tahoma" w:hAnsi="Tahoma" w:cs="Tahoma"/>
                      <w:sz w:val="20"/>
                      <w:szCs w:val="20"/>
                      <w:lang w:val="en-US"/>
                    </w:rPr>
                    <w:t>RUR</w:t>
                  </w:r>
                  <w:r w:rsidRPr="00CE5927">
                    <w:rPr>
                      <w:rFonts w:ascii="Tahoma" w:hAnsi="Tahoma" w:cs="Tahoma"/>
                      <w:sz w:val="20"/>
                      <w:szCs w:val="20"/>
                    </w:rPr>
                    <w:t>/КБ покупки валюты</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14:paraId="6BACA7FE"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RUR</w:t>
                  </w:r>
                  <w:r w:rsidRPr="00CE5927">
                    <w:rPr>
                      <w:rFonts w:ascii="Tahoma" w:hAnsi="Tahoma" w:cs="Tahoma"/>
                      <w:sz w:val="20"/>
                      <w:szCs w:val="20"/>
                    </w:rPr>
                    <w:t>/КБ продажи валюты</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14:paraId="59B5B22F"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lang w:val="en-US"/>
                    </w:rPr>
                  </w:pPr>
                  <w:r w:rsidRPr="00CE5927">
                    <w:rPr>
                      <w:rFonts w:ascii="Tahoma" w:hAnsi="Tahoma" w:cs="Tahoma"/>
                      <w:sz w:val="20"/>
                      <w:szCs w:val="20"/>
                      <w:lang w:val="en-US"/>
                    </w:rPr>
                    <w:t>RUR</w:t>
                  </w:r>
                  <w:r w:rsidRPr="00CE5927">
                    <w:rPr>
                      <w:rFonts w:ascii="Tahoma" w:hAnsi="Tahoma" w:cs="Tahoma"/>
                      <w:sz w:val="20"/>
                      <w:szCs w:val="20"/>
                    </w:rPr>
                    <w:t>/КБ покупки валюты</w:t>
                  </w:r>
                </w:p>
              </w:tc>
              <w:tc>
                <w:tcPr>
                  <w:tcW w:w="6933" w:type="dxa"/>
                  <w:tcBorders>
                    <w:top w:val="nil"/>
                    <w:left w:val="nil"/>
                    <w:bottom w:val="single" w:sz="8" w:space="0" w:color="auto"/>
                    <w:right w:val="single" w:sz="8" w:space="0" w:color="auto"/>
                  </w:tcBorders>
                  <w:tcMar>
                    <w:top w:w="0" w:type="dxa"/>
                    <w:left w:w="108" w:type="dxa"/>
                    <w:bottom w:w="0" w:type="dxa"/>
                    <w:right w:w="108" w:type="dxa"/>
                  </w:tcMar>
                  <w:hideMark/>
                </w:tcPr>
                <w:p w14:paraId="2A81991B"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RUR</w:t>
                  </w:r>
                  <w:r w:rsidRPr="00CE5927">
                    <w:rPr>
                      <w:rFonts w:ascii="Tahoma" w:hAnsi="Tahoma" w:cs="Tahoma"/>
                      <w:sz w:val="20"/>
                      <w:szCs w:val="20"/>
                    </w:rPr>
                    <w:t>/КБ продажи валюты</w:t>
                  </w:r>
                </w:p>
              </w:tc>
            </w:tr>
            <w:tr w:rsidR="004E30AD" w:rsidRPr="00CE5927" w14:paraId="3AA64FCD" w14:textId="77777777" w:rsidTr="0093383F">
              <w:tc>
                <w:tcPr>
                  <w:tcW w:w="16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40EC5BC"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Доллар США (</w:t>
                  </w:r>
                  <w:r w:rsidRPr="00CE5927">
                    <w:rPr>
                      <w:rFonts w:ascii="Tahoma" w:hAnsi="Tahoma" w:cs="Tahoma"/>
                      <w:sz w:val="20"/>
                      <w:szCs w:val="20"/>
                      <w:lang w:val="en-US"/>
                    </w:rPr>
                    <w:t>USD)</w:t>
                  </w:r>
                </w:p>
              </w:tc>
              <w:tc>
                <w:tcPr>
                  <w:tcW w:w="1249" w:type="dxa"/>
                  <w:tcBorders>
                    <w:top w:val="nil"/>
                    <w:left w:val="nil"/>
                    <w:bottom w:val="single" w:sz="8" w:space="0" w:color="auto"/>
                    <w:right w:val="single" w:sz="8" w:space="0" w:color="auto"/>
                  </w:tcBorders>
                  <w:tcMar>
                    <w:top w:w="0" w:type="dxa"/>
                    <w:left w:w="108" w:type="dxa"/>
                    <w:bottom w:w="0" w:type="dxa"/>
                    <w:right w:w="108" w:type="dxa"/>
                  </w:tcMar>
                  <w:hideMark/>
                </w:tcPr>
                <w:p w14:paraId="65C471BF"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lang w:val="en-US"/>
                    </w:rPr>
                  </w:pPr>
                  <w:r w:rsidRPr="00CE5927">
                    <w:rPr>
                      <w:rFonts w:ascii="Tahoma" w:hAnsi="Tahoma" w:cs="Tahoma"/>
                      <w:sz w:val="20"/>
                      <w:szCs w:val="20"/>
                      <w:lang w:val="en-US"/>
                    </w:rPr>
                    <w:t>USD</w:t>
                  </w:r>
                  <w:r w:rsidRPr="00CE5927">
                    <w:rPr>
                      <w:rFonts w:ascii="Tahoma" w:hAnsi="Tahoma" w:cs="Tahoma"/>
                      <w:sz w:val="20"/>
                      <w:szCs w:val="20"/>
                    </w:rPr>
                    <w:t>*КБ продажи валюты</w:t>
                  </w:r>
                </w:p>
              </w:tc>
              <w:tc>
                <w:tcPr>
                  <w:tcW w:w="1418" w:type="dxa"/>
                  <w:tcBorders>
                    <w:top w:val="nil"/>
                    <w:left w:val="nil"/>
                    <w:bottom w:val="single" w:sz="8" w:space="0" w:color="auto"/>
                    <w:right w:val="single" w:sz="8" w:space="0" w:color="auto"/>
                  </w:tcBorders>
                  <w:tcMar>
                    <w:top w:w="0" w:type="dxa"/>
                    <w:left w:w="108" w:type="dxa"/>
                    <w:bottom w:w="0" w:type="dxa"/>
                    <w:right w:w="108" w:type="dxa"/>
                  </w:tcMar>
                  <w:hideMark/>
                </w:tcPr>
                <w:p w14:paraId="3C4C8BEC"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USD</w:t>
                  </w:r>
                  <w:r w:rsidRPr="00CE5927">
                    <w:rPr>
                      <w:rFonts w:ascii="Tahoma" w:hAnsi="Tahoma" w:cs="Tahoma"/>
                      <w:sz w:val="20"/>
                      <w:szCs w:val="20"/>
                    </w:rPr>
                    <w:t>*КБ покупки валюты</w:t>
                  </w:r>
                </w:p>
              </w:tc>
              <w:tc>
                <w:tcPr>
                  <w:tcW w:w="1276" w:type="dxa"/>
                  <w:tcBorders>
                    <w:top w:val="nil"/>
                    <w:left w:val="nil"/>
                    <w:bottom w:val="single" w:sz="8" w:space="0" w:color="auto"/>
                    <w:right w:val="single" w:sz="8" w:space="0" w:color="auto"/>
                  </w:tcBorders>
                  <w:tcMar>
                    <w:top w:w="0" w:type="dxa"/>
                    <w:left w:w="108" w:type="dxa"/>
                    <w:bottom w:w="0" w:type="dxa"/>
                    <w:right w:w="108" w:type="dxa"/>
                  </w:tcMar>
                  <w:hideMark/>
                </w:tcPr>
                <w:p w14:paraId="5FA0A6E9"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USD</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14:paraId="3130321B"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USD</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14:paraId="20FEFA25"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USD</w:t>
                  </w:r>
                  <w:r w:rsidRPr="00CE5927">
                    <w:rPr>
                      <w:rFonts w:ascii="Tahoma" w:hAnsi="Tahoma" w:cs="Tahoma"/>
                      <w:sz w:val="20"/>
                      <w:szCs w:val="20"/>
                    </w:rPr>
                    <w:t xml:space="preserve">*КБ кросс-курс покупки валюты </w:t>
                  </w:r>
                </w:p>
              </w:tc>
              <w:tc>
                <w:tcPr>
                  <w:tcW w:w="6933" w:type="dxa"/>
                  <w:tcBorders>
                    <w:top w:val="nil"/>
                    <w:left w:val="nil"/>
                    <w:bottom w:val="single" w:sz="8" w:space="0" w:color="auto"/>
                    <w:right w:val="single" w:sz="8" w:space="0" w:color="auto"/>
                  </w:tcBorders>
                  <w:tcMar>
                    <w:top w:w="0" w:type="dxa"/>
                    <w:left w:w="108" w:type="dxa"/>
                    <w:bottom w:w="0" w:type="dxa"/>
                    <w:right w:w="108" w:type="dxa"/>
                  </w:tcMar>
                  <w:hideMark/>
                </w:tcPr>
                <w:p w14:paraId="70CF2A17"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USD</w:t>
                  </w:r>
                  <w:r w:rsidRPr="00CE5927">
                    <w:rPr>
                      <w:rFonts w:ascii="Tahoma" w:hAnsi="Tahoma" w:cs="Tahoma"/>
                      <w:sz w:val="20"/>
                      <w:szCs w:val="20"/>
                    </w:rPr>
                    <w:t xml:space="preserve">*КБ </w:t>
                  </w:r>
                </w:p>
                <w:p w14:paraId="568EAD97"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кросс-курс продажи валюты</w:t>
                  </w:r>
                </w:p>
              </w:tc>
            </w:tr>
            <w:tr w:rsidR="004E30AD" w:rsidRPr="00CE5927" w14:paraId="4A8759DE" w14:textId="77777777" w:rsidTr="0093383F">
              <w:tc>
                <w:tcPr>
                  <w:tcW w:w="16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9502C10"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Евро (</w:t>
                  </w:r>
                  <w:r w:rsidRPr="00CE5927">
                    <w:rPr>
                      <w:rFonts w:ascii="Tahoma" w:hAnsi="Tahoma" w:cs="Tahoma"/>
                      <w:sz w:val="20"/>
                      <w:szCs w:val="20"/>
                      <w:lang w:val="en-US"/>
                    </w:rPr>
                    <w:t>EUR)</w:t>
                  </w:r>
                </w:p>
              </w:tc>
              <w:tc>
                <w:tcPr>
                  <w:tcW w:w="1249" w:type="dxa"/>
                  <w:tcBorders>
                    <w:top w:val="nil"/>
                    <w:left w:val="nil"/>
                    <w:bottom w:val="single" w:sz="8" w:space="0" w:color="auto"/>
                    <w:right w:val="single" w:sz="8" w:space="0" w:color="auto"/>
                  </w:tcBorders>
                  <w:tcMar>
                    <w:top w:w="0" w:type="dxa"/>
                    <w:left w:w="108" w:type="dxa"/>
                    <w:bottom w:w="0" w:type="dxa"/>
                    <w:right w:w="108" w:type="dxa"/>
                  </w:tcMar>
                  <w:hideMark/>
                </w:tcPr>
                <w:p w14:paraId="33B72B51"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lang w:val="en-US"/>
                    </w:rPr>
                  </w:pPr>
                  <w:r w:rsidRPr="00CE5927">
                    <w:rPr>
                      <w:rFonts w:ascii="Tahoma" w:hAnsi="Tahoma" w:cs="Tahoma"/>
                      <w:sz w:val="20"/>
                      <w:szCs w:val="20"/>
                      <w:lang w:val="en-US"/>
                    </w:rPr>
                    <w:t>EUR</w:t>
                  </w:r>
                  <w:r w:rsidRPr="00CE5927">
                    <w:rPr>
                      <w:rFonts w:ascii="Tahoma" w:hAnsi="Tahoma" w:cs="Tahoma"/>
                      <w:sz w:val="20"/>
                      <w:szCs w:val="20"/>
                    </w:rPr>
                    <w:t>*КБ продажи валюты</w:t>
                  </w:r>
                </w:p>
              </w:tc>
              <w:tc>
                <w:tcPr>
                  <w:tcW w:w="1418" w:type="dxa"/>
                  <w:tcBorders>
                    <w:top w:val="nil"/>
                    <w:left w:val="nil"/>
                    <w:bottom w:val="single" w:sz="8" w:space="0" w:color="auto"/>
                    <w:right w:val="single" w:sz="8" w:space="0" w:color="auto"/>
                  </w:tcBorders>
                  <w:tcMar>
                    <w:top w:w="0" w:type="dxa"/>
                    <w:left w:w="108" w:type="dxa"/>
                    <w:bottom w:w="0" w:type="dxa"/>
                    <w:right w:w="108" w:type="dxa"/>
                  </w:tcMar>
                  <w:hideMark/>
                </w:tcPr>
                <w:p w14:paraId="1505A389"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EUR</w:t>
                  </w:r>
                  <w:r w:rsidRPr="00CE5927">
                    <w:rPr>
                      <w:rFonts w:ascii="Tahoma" w:hAnsi="Tahoma" w:cs="Tahoma"/>
                      <w:sz w:val="20"/>
                      <w:szCs w:val="20"/>
                    </w:rPr>
                    <w:t>*КБ покупки валюты</w:t>
                  </w:r>
                </w:p>
              </w:tc>
              <w:tc>
                <w:tcPr>
                  <w:tcW w:w="1276" w:type="dxa"/>
                  <w:tcBorders>
                    <w:top w:val="nil"/>
                    <w:left w:val="nil"/>
                    <w:bottom w:val="single" w:sz="8" w:space="0" w:color="auto"/>
                    <w:right w:val="single" w:sz="8" w:space="0" w:color="auto"/>
                  </w:tcBorders>
                  <w:tcMar>
                    <w:top w:w="0" w:type="dxa"/>
                    <w:left w:w="108" w:type="dxa"/>
                    <w:bottom w:w="0" w:type="dxa"/>
                    <w:right w:w="108" w:type="dxa"/>
                  </w:tcMar>
                  <w:hideMark/>
                </w:tcPr>
                <w:p w14:paraId="145F81D5"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EUR</w:t>
                  </w:r>
                  <w:r w:rsidRPr="00CE5927">
                    <w:rPr>
                      <w:rFonts w:ascii="Tahoma" w:hAnsi="Tahoma" w:cs="Tahoma"/>
                      <w:sz w:val="20"/>
                      <w:szCs w:val="20"/>
                    </w:rPr>
                    <w:t xml:space="preserve">*КБ </w:t>
                  </w:r>
                </w:p>
                <w:p w14:paraId="2F0491A9"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кросс-курс покупки валюты</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14:paraId="5D54CC98"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EUR</w:t>
                  </w:r>
                  <w:r w:rsidRPr="00CE5927">
                    <w:rPr>
                      <w:rFonts w:ascii="Tahoma" w:hAnsi="Tahoma" w:cs="Tahoma"/>
                      <w:sz w:val="20"/>
                      <w:szCs w:val="20"/>
                    </w:rPr>
                    <w:t>* КБ кросс-курс продажи валюты</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14:paraId="1939D902"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EUR</w:t>
                  </w:r>
                </w:p>
              </w:tc>
              <w:tc>
                <w:tcPr>
                  <w:tcW w:w="6933" w:type="dxa"/>
                  <w:tcBorders>
                    <w:top w:val="nil"/>
                    <w:left w:val="nil"/>
                    <w:bottom w:val="single" w:sz="8" w:space="0" w:color="auto"/>
                    <w:right w:val="single" w:sz="8" w:space="0" w:color="auto"/>
                  </w:tcBorders>
                  <w:tcMar>
                    <w:top w:w="0" w:type="dxa"/>
                    <w:left w:w="108" w:type="dxa"/>
                    <w:bottom w:w="0" w:type="dxa"/>
                    <w:right w:w="108" w:type="dxa"/>
                  </w:tcMar>
                  <w:hideMark/>
                </w:tcPr>
                <w:p w14:paraId="5B46E9E2"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EUR</w:t>
                  </w:r>
                </w:p>
              </w:tc>
            </w:tr>
          </w:tbl>
          <w:p w14:paraId="458F8086" w14:textId="77777777" w:rsidR="004E30AD" w:rsidRPr="00CE5927" w:rsidRDefault="004E30AD" w:rsidP="0093383F">
            <w:pPr>
              <w:widowControl w:val="0"/>
              <w:tabs>
                <w:tab w:val="right" w:pos="10206"/>
              </w:tabs>
              <w:autoSpaceDE w:val="0"/>
              <w:autoSpaceDN w:val="0"/>
              <w:adjustRightInd w:val="0"/>
              <w:rPr>
                <w:rFonts w:ascii="Tahoma" w:hAnsi="Tahoma" w:cs="Tahoma"/>
                <w:b/>
                <w:sz w:val="20"/>
                <w:szCs w:val="20"/>
              </w:rPr>
            </w:pPr>
            <w:r w:rsidRPr="00CE5927">
              <w:rPr>
                <w:rFonts w:ascii="Tahoma" w:hAnsi="Tahoma" w:cs="Tahoma"/>
                <w:b/>
                <w:sz w:val="20"/>
                <w:szCs w:val="20"/>
              </w:rPr>
              <w:t>На территории РФ (ВБ - рубль РФ)</w:t>
            </w:r>
            <w:r w:rsidRPr="00CE5927">
              <w:rPr>
                <w:rFonts w:ascii="Tahoma" w:hAnsi="Tahoma" w:cs="Tahoma"/>
                <w:b/>
                <w:sz w:val="20"/>
                <w:szCs w:val="20"/>
                <w:vertAlign w:val="superscript"/>
              </w:rPr>
              <w:t>3</w:t>
            </w:r>
          </w:p>
        </w:tc>
      </w:tr>
      <w:tr w:rsidR="004E30AD" w:rsidRPr="00CE5927" w14:paraId="2B0C713F" w14:textId="77777777" w:rsidTr="0093383F">
        <w:tc>
          <w:tcPr>
            <w:tcW w:w="1694"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D87BFE"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Российский рубль (</w:t>
            </w:r>
            <w:r w:rsidRPr="00CE5927">
              <w:rPr>
                <w:rFonts w:ascii="Tahoma" w:hAnsi="Tahoma" w:cs="Tahoma"/>
                <w:sz w:val="20"/>
                <w:szCs w:val="20"/>
                <w:lang w:val="en-US"/>
              </w:rPr>
              <w:t>RUR)</w:t>
            </w:r>
          </w:p>
        </w:tc>
        <w:tc>
          <w:tcPr>
            <w:tcW w:w="1249" w:type="dxa"/>
            <w:tcBorders>
              <w:top w:val="nil"/>
              <w:left w:val="nil"/>
              <w:bottom w:val="single" w:sz="8" w:space="0" w:color="auto"/>
              <w:right w:val="single" w:sz="8" w:space="0" w:color="auto"/>
            </w:tcBorders>
            <w:tcMar>
              <w:top w:w="0" w:type="dxa"/>
              <w:left w:w="108" w:type="dxa"/>
              <w:bottom w:w="0" w:type="dxa"/>
              <w:right w:w="108" w:type="dxa"/>
            </w:tcMar>
            <w:hideMark/>
          </w:tcPr>
          <w:p w14:paraId="0E19A854"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lang w:val="en-US"/>
              </w:rPr>
            </w:pPr>
            <w:r w:rsidRPr="00CE5927">
              <w:rPr>
                <w:rFonts w:ascii="Tahoma" w:hAnsi="Tahoma" w:cs="Tahoma"/>
                <w:sz w:val="20"/>
                <w:szCs w:val="20"/>
                <w:lang w:val="en-US"/>
              </w:rPr>
              <w:t>RUR</w:t>
            </w:r>
          </w:p>
        </w:tc>
        <w:tc>
          <w:tcPr>
            <w:tcW w:w="1418" w:type="dxa"/>
            <w:tcBorders>
              <w:top w:val="nil"/>
              <w:left w:val="nil"/>
              <w:bottom w:val="single" w:sz="8" w:space="0" w:color="auto"/>
              <w:right w:val="single" w:sz="8" w:space="0" w:color="auto"/>
            </w:tcBorders>
            <w:tcMar>
              <w:top w:w="0" w:type="dxa"/>
              <w:left w:w="108" w:type="dxa"/>
              <w:bottom w:w="0" w:type="dxa"/>
              <w:right w:w="108" w:type="dxa"/>
            </w:tcMar>
            <w:hideMark/>
          </w:tcPr>
          <w:p w14:paraId="095B451B"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lang w:val="en-US"/>
              </w:rPr>
            </w:pPr>
            <w:r w:rsidRPr="00CE5927">
              <w:rPr>
                <w:rFonts w:ascii="Tahoma" w:hAnsi="Tahoma" w:cs="Tahoma"/>
                <w:sz w:val="20"/>
                <w:szCs w:val="20"/>
                <w:lang w:val="en-US"/>
              </w:rPr>
              <w:t>RUR</w:t>
            </w:r>
          </w:p>
        </w:tc>
        <w:tc>
          <w:tcPr>
            <w:tcW w:w="1276" w:type="dxa"/>
            <w:tcBorders>
              <w:top w:val="nil"/>
              <w:left w:val="nil"/>
              <w:bottom w:val="single" w:sz="8" w:space="0" w:color="auto"/>
              <w:right w:val="single" w:sz="8" w:space="0" w:color="auto"/>
            </w:tcBorders>
            <w:tcMar>
              <w:top w:w="0" w:type="dxa"/>
              <w:left w:w="108" w:type="dxa"/>
              <w:bottom w:w="0" w:type="dxa"/>
              <w:right w:w="108" w:type="dxa"/>
            </w:tcMar>
            <w:hideMark/>
          </w:tcPr>
          <w:p w14:paraId="0D76E531"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lang w:val="en-US"/>
              </w:rPr>
            </w:pPr>
            <w:r w:rsidRPr="00CE5927">
              <w:rPr>
                <w:rFonts w:ascii="Tahoma" w:hAnsi="Tahoma" w:cs="Tahoma"/>
                <w:sz w:val="20"/>
                <w:szCs w:val="20"/>
                <w:lang w:val="en-US"/>
              </w:rPr>
              <w:t>RUR</w:t>
            </w:r>
            <w:r w:rsidRPr="00CE5927">
              <w:rPr>
                <w:rFonts w:ascii="Tahoma" w:hAnsi="Tahoma" w:cs="Tahoma"/>
                <w:sz w:val="20"/>
                <w:szCs w:val="20"/>
              </w:rPr>
              <w:t>/КБ покупки валюты</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14:paraId="25434E1D"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RUR</w:t>
            </w:r>
            <w:r w:rsidRPr="00CE5927">
              <w:rPr>
                <w:rFonts w:ascii="Tahoma" w:hAnsi="Tahoma" w:cs="Tahoma"/>
                <w:sz w:val="20"/>
                <w:szCs w:val="20"/>
              </w:rPr>
              <w:t>/КБ продажи валюты</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14:paraId="221862B0"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lang w:val="en-US"/>
              </w:rPr>
            </w:pPr>
            <w:r w:rsidRPr="00CE5927">
              <w:rPr>
                <w:rFonts w:ascii="Tahoma" w:hAnsi="Tahoma" w:cs="Tahoma"/>
                <w:sz w:val="20"/>
                <w:szCs w:val="20"/>
                <w:lang w:val="en-US"/>
              </w:rPr>
              <w:t>RUR</w:t>
            </w:r>
            <w:r w:rsidRPr="00CE5927">
              <w:rPr>
                <w:rFonts w:ascii="Tahoma" w:hAnsi="Tahoma" w:cs="Tahoma"/>
                <w:sz w:val="20"/>
                <w:szCs w:val="20"/>
              </w:rPr>
              <w:t>/КБ покупки валюты</w:t>
            </w:r>
          </w:p>
        </w:tc>
        <w:tc>
          <w:tcPr>
            <w:tcW w:w="6946" w:type="dxa"/>
            <w:tcBorders>
              <w:top w:val="nil"/>
              <w:left w:val="nil"/>
              <w:bottom w:val="single" w:sz="8" w:space="0" w:color="auto"/>
              <w:right w:val="single" w:sz="8" w:space="0" w:color="auto"/>
            </w:tcBorders>
            <w:tcMar>
              <w:top w:w="0" w:type="dxa"/>
              <w:left w:w="108" w:type="dxa"/>
              <w:bottom w:w="0" w:type="dxa"/>
              <w:right w:w="108" w:type="dxa"/>
            </w:tcMar>
            <w:hideMark/>
          </w:tcPr>
          <w:p w14:paraId="1C8EBD9A"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RUR</w:t>
            </w:r>
            <w:r w:rsidRPr="00CE5927">
              <w:rPr>
                <w:rFonts w:ascii="Tahoma" w:hAnsi="Tahoma" w:cs="Tahoma"/>
                <w:sz w:val="20"/>
                <w:szCs w:val="20"/>
              </w:rPr>
              <w:t>/КБ продажи валюты</w:t>
            </w:r>
          </w:p>
        </w:tc>
      </w:tr>
      <w:tr w:rsidR="004E30AD" w:rsidRPr="00CE5927" w14:paraId="2388E204" w14:textId="77777777" w:rsidTr="0093383F">
        <w:tc>
          <w:tcPr>
            <w:tcW w:w="1694"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614F7D"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Доллар США (</w:t>
            </w:r>
            <w:r w:rsidRPr="00CE5927">
              <w:rPr>
                <w:rFonts w:ascii="Tahoma" w:hAnsi="Tahoma" w:cs="Tahoma"/>
                <w:sz w:val="20"/>
                <w:szCs w:val="20"/>
                <w:lang w:val="en-US"/>
              </w:rPr>
              <w:t>USD)</w:t>
            </w:r>
          </w:p>
        </w:tc>
        <w:tc>
          <w:tcPr>
            <w:tcW w:w="1249" w:type="dxa"/>
            <w:tcBorders>
              <w:top w:val="nil"/>
              <w:left w:val="nil"/>
              <w:bottom w:val="single" w:sz="8" w:space="0" w:color="auto"/>
              <w:right w:val="single" w:sz="8" w:space="0" w:color="auto"/>
            </w:tcBorders>
            <w:tcMar>
              <w:top w:w="0" w:type="dxa"/>
              <w:left w:w="108" w:type="dxa"/>
              <w:bottom w:w="0" w:type="dxa"/>
              <w:right w:w="108" w:type="dxa"/>
            </w:tcMar>
            <w:hideMark/>
          </w:tcPr>
          <w:p w14:paraId="0B331A79"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lang w:val="en-US"/>
              </w:rPr>
            </w:pPr>
            <w:r w:rsidRPr="00CE5927">
              <w:rPr>
                <w:rFonts w:ascii="Tahoma" w:hAnsi="Tahoma" w:cs="Tahoma"/>
                <w:sz w:val="20"/>
                <w:szCs w:val="20"/>
                <w:lang w:val="en-US"/>
              </w:rPr>
              <w:t>USD</w:t>
            </w:r>
            <w:r w:rsidRPr="00CE5927">
              <w:rPr>
                <w:rFonts w:ascii="Tahoma" w:hAnsi="Tahoma" w:cs="Tahoma"/>
                <w:sz w:val="20"/>
                <w:szCs w:val="20"/>
              </w:rPr>
              <w:t>*КПС</w:t>
            </w:r>
          </w:p>
        </w:tc>
        <w:tc>
          <w:tcPr>
            <w:tcW w:w="1418" w:type="dxa"/>
            <w:tcBorders>
              <w:top w:val="nil"/>
              <w:left w:val="nil"/>
              <w:bottom w:val="single" w:sz="8" w:space="0" w:color="auto"/>
              <w:right w:val="single" w:sz="8" w:space="0" w:color="auto"/>
            </w:tcBorders>
            <w:tcMar>
              <w:top w:w="0" w:type="dxa"/>
              <w:left w:w="108" w:type="dxa"/>
              <w:bottom w:w="0" w:type="dxa"/>
              <w:right w:w="108" w:type="dxa"/>
            </w:tcMar>
            <w:hideMark/>
          </w:tcPr>
          <w:p w14:paraId="428B3FF1"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USD</w:t>
            </w:r>
            <w:r w:rsidRPr="00CE5927">
              <w:rPr>
                <w:rFonts w:ascii="Tahoma" w:hAnsi="Tahoma" w:cs="Tahoma"/>
                <w:sz w:val="20"/>
                <w:szCs w:val="20"/>
              </w:rPr>
              <w:t>*КПС</w:t>
            </w:r>
          </w:p>
        </w:tc>
        <w:tc>
          <w:tcPr>
            <w:tcW w:w="1276" w:type="dxa"/>
            <w:tcBorders>
              <w:top w:val="nil"/>
              <w:left w:val="nil"/>
              <w:bottom w:val="single" w:sz="8" w:space="0" w:color="auto"/>
              <w:right w:val="single" w:sz="8" w:space="0" w:color="auto"/>
            </w:tcBorders>
            <w:tcMar>
              <w:top w:w="0" w:type="dxa"/>
              <w:left w:w="108" w:type="dxa"/>
              <w:bottom w:w="0" w:type="dxa"/>
              <w:right w:w="108" w:type="dxa"/>
            </w:tcMar>
            <w:hideMark/>
          </w:tcPr>
          <w:p w14:paraId="7320CBED"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USD</w:t>
            </w:r>
            <w:r w:rsidRPr="00CE5927">
              <w:rPr>
                <w:rFonts w:ascii="Tahoma" w:hAnsi="Tahoma" w:cs="Tahoma"/>
                <w:sz w:val="20"/>
                <w:szCs w:val="20"/>
              </w:rPr>
              <w:t>*КПС/КБ покупки валюты</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14:paraId="4C3C38F6"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USD</w:t>
            </w:r>
            <w:r w:rsidRPr="00CE5927">
              <w:rPr>
                <w:rFonts w:ascii="Tahoma" w:hAnsi="Tahoma" w:cs="Tahoma"/>
                <w:sz w:val="20"/>
                <w:szCs w:val="20"/>
              </w:rPr>
              <w:t>*КПС/КБ продажи валюты</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14:paraId="3D620491"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USD</w:t>
            </w:r>
            <w:r w:rsidRPr="00CE5927">
              <w:rPr>
                <w:rFonts w:ascii="Tahoma" w:hAnsi="Tahoma" w:cs="Tahoma"/>
                <w:sz w:val="20"/>
                <w:szCs w:val="20"/>
              </w:rPr>
              <w:t>*КПС/КБ покупки валюты</w:t>
            </w:r>
          </w:p>
        </w:tc>
        <w:tc>
          <w:tcPr>
            <w:tcW w:w="6946" w:type="dxa"/>
            <w:tcBorders>
              <w:top w:val="nil"/>
              <w:left w:val="nil"/>
              <w:bottom w:val="single" w:sz="8" w:space="0" w:color="auto"/>
              <w:right w:val="single" w:sz="8" w:space="0" w:color="auto"/>
            </w:tcBorders>
            <w:tcMar>
              <w:top w:w="0" w:type="dxa"/>
              <w:left w:w="108" w:type="dxa"/>
              <w:bottom w:w="0" w:type="dxa"/>
              <w:right w:w="108" w:type="dxa"/>
            </w:tcMar>
            <w:hideMark/>
          </w:tcPr>
          <w:p w14:paraId="7456084A"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USD</w:t>
            </w:r>
            <w:r w:rsidRPr="00CE5927">
              <w:rPr>
                <w:rFonts w:ascii="Tahoma" w:hAnsi="Tahoma" w:cs="Tahoma"/>
                <w:sz w:val="20"/>
                <w:szCs w:val="20"/>
              </w:rPr>
              <w:t>*КПС/КБ продажи валюты</w:t>
            </w:r>
          </w:p>
        </w:tc>
      </w:tr>
      <w:tr w:rsidR="004E30AD" w:rsidRPr="00CE5927" w14:paraId="138B32AB" w14:textId="77777777" w:rsidTr="0093383F">
        <w:tc>
          <w:tcPr>
            <w:tcW w:w="1694"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55372EB"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Евро (</w:t>
            </w:r>
            <w:r w:rsidRPr="00CE5927">
              <w:rPr>
                <w:rFonts w:ascii="Tahoma" w:hAnsi="Tahoma" w:cs="Tahoma"/>
                <w:sz w:val="20"/>
                <w:szCs w:val="20"/>
                <w:lang w:val="en-US"/>
              </w:rPr>
              <w:t>EUR)</w:t>
            </w:r>
          </w:p>
        </w:tc>
        <w:tc>
          <w:tcPr>
            <w:tcW w:w="1249" w:type="dxa"/>
            <w:tcBorders>
              <w:top w:val="nil"/>
              <w:left w:val="nil"/>
              <w:bottom w:val="single" w:sz="8" w:space="0" w:color="auto"/>
              <w:right w:val="single" w:sz="8" w:space="0" w:color="auto"/>
            </w:tcBorders>
            <w:tcMar>
              <w:top w:w="0" w:type="dxa"/>
              <w:left w:w="108" w:type="dxa"/>
              <w:bottom w:w="0" w:type="dxa"/>
              <w:right w:w="108" w:type="dxa"/>
            </w:tcMar>
            <w:hideMark/>
          </w:tcPr>
          <w:p w14:paraId="7D6C7570"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lang w:val="en-US"/>
              </w:rPr>
            </w:pPr>
            <w:r w:rsidRPr="00CE5927">
              <w:rPr>
                <w:rFonts w:ascii="Tahoma" w:hAnsi="Tahoma" w:cs="Tahoma"/>
                <w:sz w:val="20"/>
                <w:szCs w:val="20"/>
                <w:lang w:val="en-US"/>
              </w:rPr>
              <w:t>EUR</w:t>
            </w:r>
            <w:r w:rsidRPr="00CE5927">
              <w:rPr>
                <w:rFonts w:ascii="Tahoma" w:hAnsi="Tahoma" w:cs="Tahoma"/>
                <w:sz w:val="20"/>
                <w:szCs w:val="20"/>
              </w:rPr>
              <w:t>*КПС</w:t>
            </w:r>
          </w:p>
        </w:tc>
        <w:tc>
          <w:tcPr>
            <w:tcW w:w="1418" w:type="dxa"/>
            <w:tcBorders>
              <w:top w:val="nil"/>
              <w:left w:val="nil"/>
              <w:bottom w:val="single" w:sz="8" w:space="0" w:color="auto"/>
              <w:right w:val="single" w:sz="8" w:space="0" w:color="auto"/>
            </w:tcBorders>
            <w:tcMar>
              <w:top w:w="0" w:type="dxa"/>
              <w:left w:w="108" w:type="dxa"/>
              <w:bottom w:w="0" w:type="dxa"/>
              <w:right w:w="108" w:type="dxa"/>
            </w:tcMar>
            <w:hideMark/>
          </w:tcPr>
          <w:p w14:paraId="44E2423F"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EUR</w:t>
            </w:r>
            <w:r w:rsidRPr="00CE5927">
              <w:rPr>
                <w:rFonts w:ascii="Tahoma" w:hAnsi="Tahoma" w:cs="Tahoma"/>
                <w:sz w:val="20"/>
                <w:szCs w:val="20"/>
              </w:rPr>
              <w:t>*КПС</w:t>
            </w:r>
          </w:p>
        </w:tc>
        <w:tc>
          <w:tcPr>
            <w:tcW w:w="1276" w:type="dxa"/>
            <w:tcBorders>
              <w:top w:val="nil"/>
              <w:left w:val="nil"/>
              <w:bottom w:val="single" w:sz="8" w:space="0" w:color="auto"/>
              <w:right w:val="single" w:sz="8" w:space="0" w:color="auto"/>
            </w:tcBorders>
            <w:tcMar>
              <w:top w:w="0" w:type="dxa"/>
              <w:left w:w="108" w:type="dxa"/>
              <w:bottom w:w="0" w:type="dxa"/>
              <w:right w:w="108" w:type="dxa"/>
            </w:tcMar>
            <w:hideMark/>
          </w:tcPr>
          <w:p w14:paraId="37144EC4"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EUR</w:t>
            </w:r>
            <w:r w:rsidRPr="00CE5927">
              <w:rPr>
                <w:rFonts w:ascii="Tahoma" w:hAnsi="Tahoma" w:cs="Tahoma"/>
                <w:sz w:val="20"/>
                <w:szCs w:val="20"/>
              </w:rPr>
              <w:t>*КПС/</w:t>
            </w:r>
          </w:p>
          <w:p w14:paraId="211E93EA"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КБ покупки валюты</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14:paraId="2D1D4243"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EUR</w:t>
            </w:r>
            <w:r w:rsidRPr="00CE5927">
              <w:rPr>
                <w:rFonts w:ascii="Tahoma" w:hAnsi="Tahoma" w:cs="Tahoma"/>
                <w:sz w:val="20"/>
                <w:szCs w:val="20"/>
              </w:rPr>
              <w:t>*КПС/КБ продажи валюты</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14:paraId="5683DE67"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EUR</w:t>
            </w:r>
            <w:r w:rsidRPr="00CE5927">
              <w:rPr>
                <w:rFonts w:ascii="Tahoma" w:hAnsi="Tahoma" w:cs="Tahoma"/>
                <w:sz w:val="20"/>
                <w:szCs w:val="20"/>
              </w:rPr>
              <w:t>*КПС/КБ покупки валюты</w:t>
            </w:r>
          </w:p>
        </w:tc>
        <w:tc>
          <w:tcPr>
            <w:tcW w:w="6946" w:type="dxa"/>
            <w:tcBorders>
              <w:top w:val="nil"/>
              <w:left w:val="nil"/>
              <w:bottom w:val="single" w:sz="8" w:space="0" w:color="auto"/>
              <w:right w:val="single" w:sz="8" w:space="0" w:color="auto"/>
            </w:tcBorders>
            <w:tcMar>
              <w:top w:w="0" w:type="dxa"/>
              <w:left w:w="108" w:type="dxa"/>
              <w:bottom w:w="0" w:type="dxa"/>
              <w:right w:w="108" w:type="dxa"/>
            </w:tcMar>
            <w:hideMark/>
          </w:tcPr>
          <w:p w14:paraId="1BF7FBFF"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EUR</w:t>
            </w:r>
            <w:r w:rsidRPr="00CE5927">
              <w:rPr>
                <w:rFonts w:ascii="Tahoma" w:hAnsi="Tahoma" w:cs="Tahoma"/>
                <w:sz w:val="20"/>
                <w:szCs w:val="20"/>
              </w:rPr>
              <w:t>*КПС/КБ продажи валюты</w:t>
            </w:r>
          </w:p>
        </w:tc>
      </w:tr>
      <w:tr w:rsidR="004E30AD" w:rsidRPr="00CE5927" w14:paraId="4F4601BB" w14:textId="77777777" w:rsidTr="0093383F">
        <w:trPr>
          <w:trHeight w:val="694"/>
        </w:trPr>
        <w:tc>
          <w:tcPr>
            <w:tcW w:w="1694"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E23731B"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Другая валюта</w:t>
            </w:r>
          </w:p>
        </w:tc>
        <w:tc>
          <w:tcPr>
            <w:tcW w:w="1249" w:type="dxa"/>
            <w:tcBorders>
              <w:top w:val="nil"/>
              <w:left w:val="nil"/>
              <w:bottom w:val="single" w:sz="8" w:space="0" w:color="auto"/>
              <w:right w:val="single" w:sz="8" w:space="0" w:color="auto"/>
            </w:tcBorders>
            <w:tcMar>
              <w:top w:w="0" w:type="dxa"/>
              <w:left w:w="108" w:type="dxa"/>
              <w:bottom w:w="0" w:type="dxa"/>
              <w:right w:w="108" w:type="dxa"/>
            </w:tcMar>
            <w:hideMark/>
          </w:tcPr>
          <w:p w14:paraId="1103BA5D"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lang w:val="en-US"/>
              </w:rPr>
            </w:pPr>
            <w:r w:rsidRPr="00CE5927">
              <w:rPr>
                <w:rFonts w:ascii="Tahoma" w:hAnsi="Tahoma" w:cs="Tahoma"/>
                <w:sz w:val="20"/>
                <w:szCs w:val="20"/>
              </w:rPr>
              <w:t>ДВ*КПС</w:t>
            </w:r>
          </w:p>
        </w:tc>
        <w:tc>
          <w:tcPr>
            <w:tcW w:w="1418" w:type="dxa"/>
            <w:tcBorders>
              <w:top w:val="nil"/>
              <w:left w:val="nil"/>
              <w:bottom w:val="single" w:sz="8" w:space="0" w:color="auto"/>
              <w:right w:val="single" w:sz="8" w:space="0" w:color="auto"/>
            </w:tcBorders>
            <w:tcMar>
              <w:top w:w="0" w:type="dxa"/>
              <w:left w:w="108" w:type="dxa"/>
              <w:bottom w:w="0" w:type="dxa"/>
              <w:right w:w="108" w:type="dxa"/>
            </w:tcMar>
            <w:hideMark/>
          </w:tcPr>
          <w:p w14:paraId="5711364F"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ДВ*КПС</w:t>
            </w:r>
          </w:p>
        </w:tc>
        <w:tc>
          <w:tcPr>
            <w:tcW w:w="1276" w:type="dxa"/>
            <w:tcBorders>
              <w:top w:val="nil"/>
              <w:left w:val="nil"/>
              <w:bottom w:val="single" w:sz="8" w:space="0" w:color="auto"/>
              <w:right w:val="single" w:sz="8" w:space="0" w:color="auto"/>
            </w:tcBorders>
            <w:tcMar>
              <w:top w:w="0" w:type="dxa"/>
              <w:left w:w="108" w:type="dxa"/>
              <w:bottom w:w="0" w:type="dxa"/>
              <w:right w:w="108" w:type="dxa"/>
            </w:tcMar>
            <w:hideMark/>
          </w:tcPr>
          <w:p w14:paraId="4A5D5B33"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ДВ*КПС/</w:t>
            </w:r>
          </w:p>
          <w:p w14:paraId="7A809FF2"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КБ покупки валюты</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14:paraId="338500C0"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ДВ*КПС/КБ продажи валюты</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14:paraId="107A86B7"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ДВ*КПС/КБ покупки валюты</w:t>
            </w:r>
          </w:p>
        </w:tc>
        <w:tc>
          <w:tcPr>
            <w:tcW w:w="6946" w:type="dxa"/>
            <w:tcBorders>
              <w:top w:val="nil"/>
              <w:left w:val="nil"/>
              <w:bottom w:val="single" w:sz="8" w:space="0" w:color="auto"/>
              <w:right w:val="single" w:sz="8" w:space="0" w:color="auto"/>
            </w:tcBorders>
            <w:tcMar>
              <w:top w:w="0" w:type="dxa"/>
              <w:left w:w="108" w:type="dxa"/>
              <w:bottom w:w="0" w:type="dxa"/>
              <w:right w:w="108" w:type="dxa"/>
            </w:tcMar>
            <w:hideMark/>
          </w:tcPr>
          <w:p w14:paraId="478EE077"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ДВ*КПС/КБ продажи валюты</w:t>
            </w:r>
          </w:p>
        </w:tc>
      </w:tr>
      <w:tr w:rsidR="004E30AD" w:rsidRPr="00CE5927" w14:paraId="386F0B78" w14:textId="77777777" w:rsidTr="0093383F">
        <w:trPr>
          <w:trHeight w:val="437"/>
        </w:trPr>
        <w:tc>
          <w:tcPr>
            <w:tcW w:w="15701" w:type="dxa"/>
            <w:gridSpan w:val="8"/>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BD4E3B" w14:textId="77777777" w:rsidR="004E30AD" w:rsidRPr="00CE5927" w:rsidRDefault="004E30AD" w:rsidP="0093383F">
            <w:pPr>
              <w:widowControl w:val="0"/>
              <w:tabs>
                <w:tab w:val="right" w:pos="10206"/>
              </w:tabs>
              <w:autoSpaceDE w:val="0"/>
              <w:autoSpaceDN w:val="0"/>
              <w:adjustRightInd w:val="0"/>
              <w:rPr>
                <w:rFonts w:ascii="Tahoma" w:hAnsi="Tahoma" w:cs="Tahoma"/>
                <w:b/>
                <w:sz w:val="20"/>
                <w:szCs w:val="20"/>
              </w:rPr>
            </w:pPr>
            <w:r w:rsidRPr="00CE5927">
              <w:rPr>
                <w:rFonts w:ascii="Tahoma" w:hAnsi="Tahoma" w:cs="Tahoma"/>
                <w:b/>
                <w:sz w:val="20"/>
                <w:szCs w:val="20"/>
              </w:rPr>
              <w:t>Расчеты за пределами РФ</w:t>
            </w:r>
            <w:r w:rsidRPr="00CE5927">
              <w:rPr>
                <w:rFonts w:ascii="Tahoma" w:hAnsi="Tahoma" w:cs="Tahoma"/>
                <w:b/>
                <w:sz w:val="20"/>
                <w:szCs w:val="20"/>
                <w:vertAlign w:val="superscript"/>
              </w:rPr>
              <w:t xml:space="preserve">1 </w:t>
            </w:r>
            <w:r w:rsidRPr="00CE5927">
              <w:rPr>
                <w:rFonts w:ascii="Tahoma" w:hAnsi="Tahoma" w:cs="Tahoma"/>
                <w:b/>
                <w:sz w:val="20"/>
                <w:szCs w:val="20"/>
              </w:rPr>
              <w:t xml:space="preserve">(ВБ - доллар США, при совершении операции в евро - Евро) </w:t>
            </w:r>
            <w:r w:rsidRPr="00CE5927">
              <w:rPr>
                <w:rFonts w:ascii="Tahoma" w:hAnsi="Tahoma" w:cs="Tahoma"/>
                <w:b/>
                <w:sz w:val="20"/>
                <w:szCs w:val="20"/>
                <w:vertAlign w:val="superscript"/>
              </w:rPr>
              <w:t>3</w:t>
            </w:r>
          </w:p>
        </w:tc>
      </w:tr>
      <w:tr w:rsidR="004E30AD" w:rsidRPr="00CE5927" w14:paraId="61D5CCE2" w14:textId="77777777" w:rsidTr="0093383F">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17D2DD"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Российский рубль (</w:t>
            </w:r>
            <w:r w:rsidRPr="00CE5927">
              <w:rPr>
                <w:rFonts w:ascii="Tahoma" w:hAnsi="Tahoma" w:cs="Tahoma"/>
                <w:sz w:val="20"/>
                <w:szCs w:val="20"/>
                <w:lang w:val="en-US"/>
              </w:rPr>
              <w:t>RUR)</w:t>
            </w:r>
            <w:r w:rsidRPr="00CE5927">
              <w:rPr>
                <w:rFonts w:ascii="Tahoma" w:hAnsi="Tahoma" w:cs="Tahoma"/>
                <w:sz w:val="20"/>
                <w:szCs w:val="20"/>
                <w:vertAlign w:val="superscript"/>
              </w:rPr>
              <w:t>2</w:t>
            </w:r>
          </w:p>
        </w:tc>
        <w:tc>
          <w:tcPr>
            <w:tcW w:w="1275" w:type="dxa"/>
            <w:gridSpan w:val="2"/>
            <w:tcBorders>
              <w:top w:val="nil"/>
              <w:left w:val="nil"/>
              <w:bottom w:val="single" w:sz="8" w:space="0" w:color="auto"/>
              <w:right w:val="single" w:sz="8" w:space="0" w:color="auto"/>
            </w:tcBorders>
            <w:tcMar>
              <w:top w:w="0" w:type="dxa"/>
              <w:left w:w="108" w:type="dxa"/>
              <w:bottom w:w="0" w:type="dxa"/>
              <w:right w:w="108" w:type="dxa"/>
            </w:tcMar>
            <w:hideMark/>
          </w:tcPr>
          <w:p w14:paraId="08011AB7"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RUR</w:t>
            </w:r>
            <w:r w:rsidRPr="00CE5927">
              <w:rPr>
                <w:rFonts w:ascii="Tahoma" w:hAnsi="Tahoma" w:cs="Tahoma"/>
                <w:sz w:val="20"/>
                <w:szCs w:val="20"/>
              </w:rPr>
              <w:t>/КПС*КБ продажи валюты</w:t>
            </w:r>
          </w:p>
        </w:tc>
        <w:tc>
          <w:tcPr>
            <w:tcW w:w="1418" w:type="dxa"/>
            <w:tcBorders>
              <w:top w:val="nil"/>
              <w:left w:val="nil"/>
              <w:bottom w:val="single" w:sz="8" w:space="0" w:color="auto"/>
              <w:right w:val="single" w:sz="8" w:space="0" w:color="auto"/>
            </w:tcBorders>
            <w:tcMar>
              <w:top w:w="0" w:type="dxa"/>
              <w:left w:w="108" w:type="dxa"/>
              <w:bottom w:w="0" w:type="dxa"/>
              <w:right w:w="108" w:type="dxa"/>
            </w:tcMar>
            <w:hideMark/>
          </w:tcPr>
          <w:p w14:paraId="2D6A9B53"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RUR</w:t>
            </w:r>
            <w:r w:rsidRPr="00CE5927">
              <w:rPr>
                <w:rFonts w:ascii="Tahoma" w:hAnsi="Tahoma" w:cs="Tahoma"/>
                <w:sz w:val="20"/>
                <w:szCs w:val="20"/>
              </w:rPr>
              <w:t>/КПС*</w:t>
            </w:r>
          </w:p>
          <w:p w14:paraId="6DD58582"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КБ покупки валюты</w:t>
            </w:r>
          </w:p>
        </w:tc>
        <w:tc>
          <w:tcPr>
            <w:tcW w:w="1276" w:type="dxa"/>
            <w:tcBorders>
              <w:top w:val="nil"/>
              <w:left w:val="nil"/>
              <w:bottom w:val="single" w:sz="8" w:space="0" w:color="auto"/>
              <w:right w:val="single" w:sz="8" w:space="0" w:color="auto"/>
            </w:tcBorders>
            <w:tcMar>
              <w:top w:w="0" w:type="dxa"/>
              <w:left w:w="108" w:type="dxa"/>
              <w:bottom w:w="0" w:type="dxa"/>
              <w:right w:w="108" w:type="dxa"/>
            </w:tcMar>
            <w:hideMark/>
          </w:tcPr>
          <w:p w14:paraId="336FBB92"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lang w:val="en-US"/>
              </w:rPr>
            </w:pPr>
            <w:r w:rsidRPr="00CE5927">
              <w:rPr>
                <w:rFonts w:ascii="Tahoma" w:hAnsi="Tahoma" w:cs="Tahoma"/>
                <w:sz w:val="20"/>
                <w:szCs w:val="20"/>
                <w:lang w:val="en-US"/>
              </w:rPr>
              <w:t>RUR</w:t>
            </w:r>
            <w:r w:rsidRPr="00CE5927">
              <w:rPr>
                <w:rFonts w:ascii="Tahoma" w:hAnsi="Tahoma" w:cs="Tahoma"/>
                <w:sz w:val="20"/>
                <w:szCs w:val="20"/>
              </w:rPr>
              <w:t>*КПС</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14:paraId="607BA6E1"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RUR</w:t>
            </w:r>
            <w:r w:rsidRPr="00CE5927">
              <w:rPr>
                <w:rFonts w:ascii="Tahoma" w:hAnsi="Tahoma" w:cs="Tahoma"/>
                <w:sz w:val="20"/>
                <w:szCs w:val="20"/>
              </w:rPr>
              <w:t>*КПС</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14:paraId="02BDF396"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RUR</w:t>
            </w:r>
            <w:r w:rsidRPr="00CE5927">
              <w:rPr>
                <w:rFonts w:ascii="Tahoma" w:hAnsi="Tahoma" w:cs="Tahoma"/>
                <w:sz w:val="20"/>
                <w:szCs w:val="20"/>
              </w:rPr>
              <w:t>/КПС*КБ кросс-курс продажи валюты</w:t>
            </w:r>
          </w:p>
        </w:tc>
        <w:tc>
          <w:tcPr>
            <w:tcW w:w="6946" w:type="dxa"/>
            <w:tcBorders>
              <w:top w:val="nil"/>
              <w:left w:val="nil"/>
              <w:bottom w:val="single" w:sz="8" w:space="0" w:color="auto"/>
              <w:right w:val="single" w:sz="8" w:space="0" w:color="auto"/>
            </w:tcBorders>
            <w:tcMar>
              <w:top w:w="0" w:type="dxa"/>
              <w:left w:w="108" w:type="dxa"/>
              <w:bottom w:w="0" w:type="dxa"/>
              <w:right w:w="108" w:type="dxa"/>
            </w:tcMar>
            <w:hideMark/>
          </w:tcPr>
          <w:p w14:paraId="4C367FE8"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RUR</w:t>
            </w:r>
            <w:r w:rsidRPr="00CE5927">
              <w:rPr>
                <w:rFonts w:ascii="Tahoma" w:hAnsi="Tahoma" w:cs="Tahoma"/>
                <w:sz w:val="20"/>
                <w:szCs w:val="20"/>
              </w:rPr>
              <w:t>/КПС*КБ кросс-курс покупки валюты</w:t>
            </w:r>
          </w:p>
        </w:tc>
      </w:tr>
      <w:tr w:rsidR="004E30AD" w:rsidRPr="00CE5927" w14:paraId="29F7AE93" w14:textId="77777777" w:rsidTr="0093383F">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21F6A1"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Доллар США (</w:t>
            </w:r>
            <w:r w:rsidRPr="00CE5927">
              <w:rPr>
                <w:rFonts w:ascii="Tahoma" w:hAnsi="Tahoma" w:cs="Tahoma"/>
                <w:sz w:val="20"/>
                <w:szCs w:val="20"/>
                <w:lang w:val="en-US"/>
              </w:rPr>
              <w:t>USD)</w:t>
            </w:r>
          </w:p>
        </w:tc>
        <w:tc>
          <w:tcPr>
            <w:tcW w:w="1275" w:type="dxa"/>
            <w:gridSpan w:val="2"/>
            <w:tcBorders>
              <w:top w:val="nil"/>
              <w:left w:val="nil"/>
              <w:bottom w:val="single" w:sz="8" w:space="0" w:color="auto"/>
              <w:right w:val="single" w:sz="8" w:space="0" w:color="auto"/>
            </w:tcBorders>
            <w:tcMar>
              <w:top w:w="0" w:type="dxa"/>
              <w:left w:w="108" w:type="dxa"/>
              <w:bottom w:w="0" w:type="dxa"/>
              <w:right w:w="108" w:type="dxa"/>
            </w:tcMar>
            <w:hideMark/>
          </w:tcPr>
          <w:p w14:paraId="4BFF7A58"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lang w:val="en-US"/>
              </w:rPr>
            </w:pPr>
            <w:r w:rsidRPr="00CE5927">
              <w:rPr>
                <w:rFonts w:ascii="Tahoma" w:hAnsi="Tahoma" w:cs="Tahoma"/>
                <w:sz w:val="20"/>
                <w:szCs w:val="20"/>
                <w:lang w:val="en-US"/>
              </w:rPr>
              <w:t>USD</w:t>
            </w:r>
            <w:r w:rsidRPr="00CE5927">
              <w:rPr>
                <w:rFonts w:ascii="Tahoma" w:hAnsi="Tahoma" w:cs="Tahoma"/>
                <w:sz w:val="20"/>
                <w:szCs w:val="20"/>
              </w:rPr>
              <w:t>*КБ продажи валюты</w:t>
            </w:r>
          </w:p>
        </w:tc>
        <w:tc>
          <w:tcPr>
            <w:tcW w:w="1418" w:type="dxa"/>
            <w:tcBorders>
              <w:top w:val="nil"/>
              <w:left w:val="nil"/>
              <w:bottom w:val="single" w:sz="8" w:space="0" w:color="auto"/>
              <w:right w:val="single" w:sz="8" w:space="0" w:color="auto"/>
            </w:tcBorders>
            <w:tcMar>
              <w:top w:w="0" w:type="dxa"/>
              <w:left w:w="108" w:type="dxa"/>
              <w:bottom w:w="0" w:type="dxa"/>
              <w:right w:w="108" w:type="dxa"/>
            </w:tcMar>
            <w:hideMark/>
          </w:tcPr>
          <w:p w14:paraId="2305657A"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USD</w:t>
            </w:r>
            <w:r w:rsidRPr="00CE5927">
              <w:rPr>
                <w:rFonts w:ascii="Tahoma" w:hAnsi="Tahoma" w:cs="Tahoma"/>
                <w:sz w:val="20"/>
                <w:szCs w:val="20"/>
              </w:rPr>
              <w:t>*КБ покупки валюты</w:t>
            </w:r>
          </w:p>
        </w:tc>
        <w:tc>
          <w:tcPr>
            <w:tcW w:w="1276" w:type="dxa"/>
            <w:tcBorders>
              <w:top w:val="nil"/>
              <w:left w:val="nil"/>
              <w:bottom w:val="single" w:sz="8" w:space="0" w:color="auto"/>
              <w:right w:val="single" w:sz="8" w:space="0" w:color="auto"/>
            </w:tcBorders>
            <w:tcMar>
              <w:top w:w="0" w:type="dxa"/>
              <w:left w:w="108" w:type="dxa"/>
              <w:bottom w:w="0" w:type="dxa"/>
              <w:right w:w="108" w:type="dxa"/>
            </w:tcMar>
            <w:hideMark/>
          </w:tcPr>
          <w:p w14:paraId="2112B531"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lang w:val="en-US"/>
              </w:rPr>
            </w:pPr>
            <w:r w:rsidRPr="00CE5927">
              <w:rPr>
                <w:rFonts w:ascii="Tahoma" w:hAnsi="Tahoma" w:cs="Tahoma"/>
                <w:sz w:val="20"/>
                <w:szCs w:val="20"/>
                <w:lang w:val="en-US"/>
              </w:rPr>
              <w:t>USD</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14:paraId="65BDD14B"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lang w:val="en-US"/>
              </w:rPr>
            </w:pPr>
            <w:r w:rsidRPr="00CE5927">
              <w:rPr>
                <w:rFonts w:ascii="Tahoma" w:hAnsi="Tahoma" w:cs="Tahoma"/>
                <w:sz w:val="20"/>
                <w:szCs w:val="20"/>
                <w:lang w:val="en-US"/>
              </w:rPr>
              <w:t>USD</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14:paraId="3E1328CD"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USD</w:t>
            </w:r>
            <w:r w:rsidRPr="00CE5927">
              <w:rPr>
                <w:rFonts w:ascii="Tahoma" w:hAnsi="Tahoma" w:cs="Tahoma"/>
                <w:sz w:val="20"/>
                <w:szCs w:val="20"/>
              </w:rPr>
              <w:t>*КБ кросс-курс продажи валюты</w:t>
            </w:r>
          </w:p>
        </w:tc>
        <w:tc>
          <w:tcPr>
            <w:tcW w:w="6946" w:type="dxa"/>
            <w:tcBorders>
              <w:top w:val="nil"/>
              <w:left w:val="nil"/>
              <w:bottom w:val="single" w:sz="8" w:space="0" w:color="auto"/>
              <w:right w:val="single" w:sz="8" w:space="0" w:color="auto"/>
            </w:tcBorders>
            <w:tcMar>
              <w:top w:w="0" w:type="dxa"/>
              <w:left w:w="108" w:type="dxa"/>
              <w:bottom w:w="0" w:type="dxa"/>
              <w:right w:w="108" w:type="dxa"/>
            </w:tcMar>
            <w:hideMark/>
          </w:tcPr>
          <w:p w14:paraId="0011124C"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USD</w:t>
            </w:r>
            <w:r w:rsidRPr="00CE5927">
              <w:rPr>
                <w:rFonts w:ascii="Tahoma" w:hAnsi="Tahoma" w:cs="Tahoma"/>
                <w:sz w:val="20"/>
                <w:szCs w:val="20"/>
              </w:rPr>
              <w:t>*КБ кросс-курс покупки валюты</w:t>
            </w:r>
          </w:p>
        </w:tc>
      </w:tr>
      <w:tr w:rsidR="004E30AD" w:rsidRPr="00CE5927" w14:paraId="0F69D322" w14:textId="77777777" w:rsidTr="0093383F">
        <w:trPr>
          <w:trHeight w:val="572"/>
        </w:trPr>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DF10364"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Евро (</w:t>
            </w:r>
            <w:r w:rsidRPr="00CE5927">
              <w:rPr>
                <w:rFonts w:ascii="Tahoma" w:hAnsi="Tahoma" w:cs="Tahoma"/>
                <w:sz w:val="20"/>
                <w:szCs w:val="20"/>
                <w:lang w:val="en-US"/>
              </w:rPr>
              <w:t>EUR)</w:t>
            </w:r>
            <w:r w:rsidRPr="00CE5927">
              <w:rPr>
                <w:rFonts w:ascii="Tahoma" w:hAnsi="Tahoma" w:cs="Tahoma"/>
                <w:sz w:val="20"/>
                <w:szCs w:val="20"/>
                <w:vertAlign w:val="superscript"/>
              </w:rPr>
              <w:t>3</w:t>
            </w:r>
          </w:p>
        </w:tc>
        <w:tc>
          <w:tcPr>
            <w:tcW w:w="1275" w:type="dxa"/>
            <w:gridSpan w:val="2"/>
            <w:tcBorders>
              <w:top w:val="nil"/>
              <w:left w:val="nil"/>
              <w:bottom w:val="single" w:sz="8" w:space="0" w:color="auto"/>
              <w:right w:val="single" w:sz="8" w:space="0" w:color="auto"/>
            </w:tcBorders>
            <w:tcMar>
              <w:top w:w="0" w:type="dxa"/>
              <w:left w:w="108" w:type="dxa"/>
              <w:bottom w:w="0" w:type="dxa"/>
              <w:right w:w="108" w:type="dxa"/>
            </w:tcMar>
            <w:hideMark/>
          </w:tcPr>
          <w:p w14:paraId="421BC71B"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EUR</w:t>
            </w:r>
            <w:r w:rsidRPr="00CE5927">
              <w:rPr>
                <w:rFonts w:ascii="Tahoma" w:hAnsi="Tahoma" w:cs="Tahoma"/>
                <w:sz w:val="20"/>
                <w:szCs w:val="20"/>
              </w:rPr>
              <w:t>*КБ продажи валюты</w:t>
            </w:r>
          </w:p>
        </w:tc>
        <w:tc>
          <w:tcPr>
            <w:tcW w:w="1418" w:type="dxa"/>
            <w:tcBorders>
              <w:top w:val="nil"/>
              <w:left w:val="nil"/>
              <w:bottom w:val="single" w:sz="8" w:space="0" w:color="auto"/>
              <w:right w:val="single" w:sz="8" w:space="0" w:color="auto"/>
            </w:tcBorders>
            <w:tcMar>
              <w:top w:w="0" w:type="dxa"/>
              <w:left w:w="108" w:type="dxa"/>
              <w:bottom w:w="0" w:type="dxa"/>
              <w:right w:w="108" w:type="dxa"/>
            </w:tcMar>
            <w:hideMark/>
          </w:tcPr>
          <w:p w14:paraId="3EB21DFE"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EUR</w:t>
            </w:r>
            <w:r w:rsidRPr="00CE5927">
              <w:rPr>
                <w:rFonts w:ascii="Tahoma" w:hAnsi="Tahoma" w:cs="Tahoma"/>
                <w:sz w:val="20"/>
                <w:szCs w:val="20"/>
              </w:rPr>
              <w:t>*КБ покупки валюты</w:t>
            </w:r>
          </w:p>
        </w:tc>
        <w:tc>
          <w:tcPr>
            <w:tcW w:w="1276" w:type="dxa"/>
            <w:tcBorders>
              <w:top w:val="nil"/>
              <w:left w:val="nil"/>
              <w:bottom w:val="single" w:sz="8" w:space="0" w:color="auto"/>
              <w:right w:val="single" w:sz="8" w:space="0" w:color="auto"/>
            </w:tcBorders>
            <w:tcMar>
              <w:top w:w="0" w:type="dxa"/>
              <w:left w:w="108" w:type="dxa"/>
              <w:bottom w:w="0" w:type="dxa"/>
              <w:right w:w="108" w:type="dxa"/>
            </w:tcMar>
            <w:hideMark/>
          </w:tcPr>
          <w:p w14:paraId="5235622E"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EUR</w:t>
            </w:r>
            <w:r w:rsidRPr="00CE5927">
              <w:rPr>
                <w:rFonts w:ascii="Tahoma" w:hAnsi="Tahoma" w:cs="Tahoma"/>
                <w:sz w:val="20"/>
                <w:szCs w:val="20"/>
              </w:rPr>
              <w:t>*КБ кросс-курс продажи валюты</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14:paraId="65044E6F"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lang w:val="en-US"/>
              </w:rPr>
              <w:t>EUR</w:t>
            </w:r>
            <w:r w:rsidRPr="00CE5927">
              <w:rPr>
                <w:rFonts w:ascii="Tahoma" w:hAnsi="Tahoma" w:cs="Tahoma"/>
                <w:sz w:val="20"/>
                <w:szCs w:val="20"/>
              </w:rPr>
              <w:t>*КБ кросс-курс покупки валюты</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14:paraId="7141DC5A"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lang w:val="en-US"/>
              </w:rPr>
            </w:pPr>
            <w:r w:rsidRPr="00CE5927">
              <w:rPr>
                <w:rFonts w:ascii="Tahoma" w:hAnsi="Tahoma" w:cs="Tahoma"/>
                <w:sz w:val="20"/>
                <w:szCs w:val="20"/>
                <w:lang w:val="en-US"/>
              </w:rPr>
              <w:t>EUR</w:t>
            </w:r>
          </w:p>
        </w:tc>
        <w:tc>
          <w:tcPr>
            <w:tcW w:w="6946" w:type="dxa"/>
            <w:tcBorders>
              <w:top w:val="nil"/>
              <w:left w:val="nil"/>
              <w:bottom w:val="single" w:sz="8" w:space="0" w:color="auto"/>
              <w:right w:val="single" w:sz="8" w:space="0" w:color="auto"/>
            </w:tcBorders>
            <w:tcMar>
              <w:top w:w="0" w:type="dxa"/>
              <w:left w:w="108" w:type="dxa"/>
              <w:bottom w:w="0" w:type="dxa"/>
              <w:right w:w="108" w:type="dxa"/>
            </w:tcMar>
            <w:hideMark/>
          </w:tcPr>
          <w:p w14:paraId="06AF5558"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lang w:val="en-US"/>
              </w:rPr>
            </w:pPr>
            <w:r w:rsidRPr="00CE5927">
              <w:rPr>
                <w:rFonts w:ascii="Tahoma" w:hAnsi="Tahoma" w:cs="Tahoma"/>
                <w:sz w:val="20"/>
                <w:szCs w:val="20"/>
                <w:lang w:val="en-US"/>
              </w:rPr>
              <w:t>EUR</w:t>
            </w:r>
          </w:p>
        </w:tc>
      </w:tr>
      <w:tr w:rsidR="004E30AD" w:rsidRPr="00CE5927" w14:paraId="1E11707F" w14:textId="77777777" w:rsidTr="0093383F">
        <w:trPr>
          <w:trHeight w:val="1255"/>
        </w:trPr>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9D581BC"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Другая валюта</w:t>
            </w:r>
            <w:r w:rsidRPr="00CE5927">
              <w:rPr>
                <w:rFonts w:ascii="Tahoma" w:hAnsi="Tahoma" w:cs="Tahoma"/>
                <w:sz w:val="20"/>
                <w:szCs w:val="20"/>
                <w:vertAlign w:val="superscript"/>
              </w:rPr>
              <w:t>2</w:t>
            </w:r>
          </w:p>
        </w:tc>
        <w:tc>
          <w:tcPr>
            <w:tcW w:w="1275" w:type="dxa"/>
            <w:gridSpan w:val="2"/>
            <w:tcBorders>
              <w:top w:val="nil"/>
              <w:left w:val="nil"/>
              <w:bottom w:val="single" w:sz="8" w:space="0" w:color="auto"/>
              <w:right w:val="single" w:sz="8" w:space="0" w:color="auto"/>
            </w:tcBorders>
            <w:tcMar>
              <w:top w:w="0" w:type="dxa"/>
              <w:left w:w="108" w:type="dxa"/>
              <w:bottom w:w="0" w:type="dxa"/>
              <w:right w:w="108" w:type="dxa"/>
            </w:tcMar>
            <w:hideMark/>
          </w:tcPr>
          <w:p w14:paraId="3EDF06F4"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ДВ/КПС*КБ продажи валюты</w:t>
            </w:r>
          </w:p>
        </w:tc>
        <w:tc>
          <w:tcPr>
            <w:tcW w:w="1418" w:type="dxa"/>
            <w:tcBorders>
              <w:top w:val="nil"/>
              <w:left w:val="nil"/>
              <w:bottom w:val="single" w:sz="8" w:space="0" w:color="auto"/>
              <w:right w:val="single" w:sz="8" w:space="0" w:color="auto"/>
            </w:tcBorders>
            <w:tcMar>
              <w:top w:w="0" w:type="dxa"/>
              <w:left w:w="108" w:type="dxa"/>
              <w:bottom w:w="0" w:type="dxa"/>
              <w:right w:w="108" w:type="dxa"/>
            </w:tcMar>
            <w:hideMark/>
          </w:tcPr>
          <w:p w14:paraId="0D1A8993"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ДВ/КПС*КБ покупки валюты</w:t>
            </w:r>
          </w:p>
        </w:tc>
        <w:tc>
          <w:tcPr>
            <w:tcW w:w="1276" w:type="dxa"/>
            <w:tcBorders>
              <w:top w:val="nil"/>
              <w:left w:val="nil"/>
              <w:bottom w:val="single" w:sz="8" w:space="0" w:color="auto"/>
              <w:right w:val="single" w:sz="8" w:space="0" w:color="auto"/>
            </w:tcBorders>
            <w:tcMar>
              <w:top w:w="0" w:type="dxa"/>
              <w:left w:w="108" w:type="dxa"/>
              <w:bottom w:w="0" w:type="dxa"/>
              <w:right w:w="108" w:type="dxa"/>
            </w:tcMar>
            <w:hideMark/>
          </w:tcPr>
          <w:p w14:paraId="4E1C7217"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ДВ*КПС</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14:paraId="3451C435"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ДВ*КПС</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14:paraId="3FE0F5A7"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ДВ/КПС*КБ кросс-курс продажи валюты</w:t>
            </w:r>
          </w:p>
        </w:tc>
        <w:tc>
          <w:tcPr>
            <w:tcW w:w="6946" w:type="dxa"/>
            <w:tcBorders>
              <w:top w:val="nil"/>
              <w:left w:val="nil"/>
              <w:bottom w:val="single" w:sz="8" w:space="0" w:color="auto"/>
              <w:right w:val="single" w:sz="8" w:space="0" w:color="auto"/>
            </w:tcBorders>
            <w:tcMar>
              <w:top w:w="0" w:type="dxa"/>
              <w:left w:w="108" w:type="dxa"/>
              <w:bottom w:w="0" w:type="dxa"/>
              <w:right w:w="108" w:type="dxa"/>
            </w:tcMar>
            <w:hideMark/>
          </w:tcPr>
          <w:p w14:paraId="343CDDB0" w14:textId="77777777" w:rsidR="004E30AD" w:rsidRPr="00CE5927" w:rsidRDefault="004E30AD" w:rsidP="0093383F">
            <w:pPr>
              <w:widowControl w:val="0"/>
              <w:tabs>
                <w:tab w:val="right" w:pos="10206"/>
              </w:tabs>
              <w:autoSpaceDE w:val="0"/>
              <w:autoSpaceDN w:val="0"/>
              <w:adjustRightInd w:val="0"/>
              <w:rPr>
                <w:rFonts w:ascii="Tahoma" w:hAnsi="Tahoma" w:cs="Tahoma"/>
                <w:sz w:val="20"/>
                <w:szCs w:val="20"/>
              </w:rPr>
            </w:pPr>
            <w:r w:rsidRPr="00CE5927">
              <w:rPr>
                <w:rFonts w:ascii="Tahoma" w:hAnsi="Tahoma" w:cs="Tahoma"/>
                <w:sz w:val="20"/>
                <w:szCs w:val="20"/>
              </w:rPr>
              <w:t>ДВ/КПС*КБ кросс-курс покупки валюты</w:t>
            </w:r>
          </w:p>
        </w:tc>
      </w:tr>
    </w:tbl>
    <w:p w14:paraId="1E157D86" w14:textId="77777777" w:rsidR="004E30AD" w:rsidRPr="00CE5927" w:rsidRDefault="004E30AD" w:rsidP="004E30AD">
      <w:pPr>
        <w:rPr>
          <w:rFonts w:ascii="Tahoma" w:hAnsi="Tahoma" w:cs="Tahoma"/>
          <w:color w:val="E36C0A"/>
          <w:sz w:val="22"/>
          <w:szCs w:val="22"/>
        </w:rPr>
      </w:pPr>
    </w:p>
    <w:p w14:paraId="397D38CD" w14:textId="77777777" w:rsidR="004E30AD" w:rsidRPr="00CE5927" w:rsidRDefault="004E30AD" w:rsidP="004E30AD">
      <w:pPr>
        <w:widowControl w:val="0"/>
        <w:tabs>
          <w:tab w:val="right" w:pos="10206"/>
        </w:tabs>
        <w:autoSpaceDE w:val="0"/>
        <w:autoSpaceDN w:val="0"/>
        <w:adjustRightInd w:val="0"/>
        <w:rPr>
          <w:rFonts w:ascii="Tahoma" w:hAnsi="Tahoma" w:cs="Tahoma"/>
          <w:sz w:val="22"/>
          <w:szCs w:val="22"/>
        </w:rPr>
      </w:pPr>
      <w:r w:rsidRPr="00CE5927">
        <w:rPr>
          <w:rFonts w:ascii="Tahoma" w:hAnsi="Tahoma" w:cs="Tahoma"/>
          <w:sz w:val="22"/>
          <w:szCs w:val="22"/>
        </w:rPr>
        <w:t>Валюта операции – это валюта, в которой совершена покупка или происходит снятие средств по карте;</w:t>
      </w:r>
    </w:p>
    <w:p w14:paraId="13F8D004" w14:textId="77777777" w:rsidR="004E30AD" w:rsidRPr="00CE5927" w:rsidRDefault="004E30AD" w:rsidP="004E30AD">
      <w:pPr>
        <w:widowControl w:val="0"/>
        <w:tabs>
          <w:tab w:val="right" w:pos="10206"/>
        </w:tabs>
        <w:autoSpaceDE w:val="0"/>
        <w:autoSpaceDN w:val="0"/>
        <w:adjustRightInd w:val="0"/>
        <w:rPr>
          <w:rFonts w:ascii="Tahoma" w:hAnsi="Tahoma" w:cs="Tahoma"/>
          <w:sz w:val="22"/>
          <w:szCs w:val="22"/>
        </w:rPr>
      </w:pPr>
      <w:r w:rsidRPr="00CE5927">
        <w:rPr>
          <w:rFonts w:ascii="Tahoma" w:hAnsi="Tahoma" w:cs="Tahoma"/>
          <w:sz w:val="22"/>
          <w:szCs w:val="22"/>
        </w:rPr>
        <w:t xml:space="preserve">Банк- «Азиатско-Тихоокеанский Банк» </w:t>
      </w:r>
      <w:r>
        <w:rPr>
          <w:rFonts w:ascii="Tahoma" w:hAnsi="Tahoma" w:cs="Tahoma"/>
          <w:sz w:val="22"/>
          <w:szCs w:val="22"/>
        </w:rPr>
        <w:t>(АО)</w:t>
      </w:r>
      <w:r w:rsidRPr="00CE5927">
        <w:rPr>
          <w:rFonts w:ascii="Tahoma" w:hAnsi="Tahoma" w:cs="Tahoma"/>
          <w:sz w:val="22"/>
          <w:szCs w:val="22"/>
        </w:rPr>
        <w:t>;</w:t>
      </w:r>
    </w:p>
    <w:p w14:paraId="4B50DE21" w14:textId="77777777" w:rsidR="004E30AD" w:rsidRPr="00CE5927" w:rsidRDefault="004E30AD" w:rsidP="004E30AD">
      <w:pPr>
        <w:widowControl w:val="0"/>
        <w:tabs>
          <w:tab w:val="right" w:pos="10206"/>
        </w:tabs>
        <w:autoSpaceDE w:val="0"/>
        <w:autoSpaceDN w:val="0"/>
        <w:adjustRightInd w:val="0"/>
        <w:rPr>
          <w:rFonts w:ascii="Tahoma" w:hAnsi="Tahoma" w:cs="Tahoma"/>
          <w:sz w:val="22"/>
          <w:szCs w:val="22"/>
        </w:rPr>
      </w:pPr>
      <w:r w:rsidRPr="00CE5927">
        <w:rPr>
          <w:rFonts w:ascii="Tahoma" w:hAnsi="Tahoma" w:cs="Tahoma"/>
          <w:sz w:val="22"/>
          <w:szCs w:val="22"/>
          <w:lang w:val="en-US"/>
        </w:rPr>
        <w:t>USD</w:t>
      </w:r>
      <w:r w:rsidRPr="00CE5927">
        <w:rPr>
          <w:rFonts w:ascii="Tahoma" w:hAnsi="Tahoma" w:cs="Tahoma"/>
          <w:sz w:val="22"/>
          <w:szCs w:val="22"/>
        </w:rPr>
        <w:t xml:space="preserve"> – сумма операции в долларах США;</w:t>
      </w:r>
    </w:p>
    <w:p w14:paraId="7866660F" w14:textId="77777777" w:rsidR="004E30AD" w:rsidRPr="00CE5927" w:rsidRDefault="004E30AD" w:rsidP="004E30AD">
      <w:pPr>
        <w:widowControl w:val="0"/>
        <w:tabs>
          <w:tab w:val="right" w:pos="10206"/>
        </w:tabs>
        <w:autoSpaceDE w:val="0"/>
        <w:autoSpaceDN w:val="0"/>
        <w:adjustRightInd w:val="0"/>
        <w:rPr>
          <w:rFonts w:ascii="Tahoma" w:hAnsi="Tahoma" w:cs="Tahoma"/>
          <w:sz w:val="22"/>
          <w:szCs w:val="22"/>
        </w:rPr>
      </w:pPr>
      <w:r w:rsidRPr="00CE5927">
        <w:rPr>
          <w:rFonts w:ascii="Tahoma" w:hAnsi="Tahoma" w:cs="Tahoma"/>
          <w:sz w:val="22"/>
          <w:szCs w:val="22"/>
          <w:lang w:val="en-US"/>
        </w:rPr>
        <w:t>EUR</w:t>
      </w:r>
      <w:r w:rsidRPr="00CE5927">
        <w:rPr>
          <w:rFonts w:ascii="Tahoma" w:hAnsi="Tahoma" w:cs="Tahoma"/>
          <w:sz w:val="22"/>
          <w:szCs w:val="22"/>
        </w:rPr>
        <w:t xml:space="preserve"> – сумма операции в евро;</w:t>
      </w:r>
    </w:p>
    <w:p w14:paraId="0B6657FF" w14:textId="77777777" w:rsidR="004E30AD" w:rsidRPr="00CE5927" w:rsidRDefault="004E30AD" w:rsidP="004E30AD">
      <w:pPr>
        <w:widowControl w:val="0"/>
        <w:tabs>
          <w:tab w:val="right" w:pos="10206"/>
        </w:tabs>
        <w:autoSpaceDE w:val="0"/>
        <w:autoSpaceDN w:val="0"/>
        <w:adjustRightInd w:val="0"/>
        <w:rPr>
          <w:rFonts w:ascii="Tahoma" w:hAnsi="Tahoma" w:cs="Tahoma"/>
          <w:sz w:val="22"/>
          <w:szCs w:val="22"/>
        </w:rPr>
      </w:pPr>
      <w:r w:rsidRPr="00CE5927">
        <w:rPr>
          <w:rFonts w:ascii="Tahoma" w:hAnsi="Tahoma" w:cs="Tahoma"/>
          <w:sz w:val="22"/>
          <w:szCs w:val="22"/>
        </w:rPr>
        <w:t>ДВ – сумма операции в другой валюте;</w:t>
      </w:r>
    </w:p>
    <w:p w14:paraId="704A7F91" w14:textId="77777777" w:rsidR="004E30AD" w:rsidRPr="00CE5927" w:rsidRDefault="004E30AD" w:rsidP="004E30AD">
      <w:pPr>
        <w:widowControl w:val="0"/>
        <w:tabs>
          <w:tab w:val="right" w:pos="10206"/>
        </w:tabs>
        <w:autoSpaceDE w:val="0"/>
        <w:autoSpaceDN w:val="0"/>
        <w:adjustRightInd w:val="0"/>
        <w:rPr>
          <w:rFonts w:ascii="Tahoma" w:hAnsi="Tahoma" w:cs="Tahoma"/>
          <w:sz w:val="22"/>
          <w:szCs w:val="22"/>
        </w:rPr>
      </w:pPr>
      <w:r w:rsidRPr="00CE5927">
        <w:rPr>
          <w:rFonts w:ascii="Tahoma" w:hAnsi="Tahoma" w:cs="Tahoma"/>
          <w:sz w:val="22"/>
          <w:szCs w:val="22"/>
        </w:rPr>
        <w:t>ВБ – валюта биллинга-это валюта расчетов между Банком и платежной системой;</w:t>
      </w:r>
    </w:p>
    <w:p w14:paraId="750CC4C6" w14:textId="77777777" w:rsidR="004E30AD" w:rsidRPr="00CE5927" w:rsidRDefault="004E30AD" w:rsidP="004E30AD">
      <w:pPr>
        <w:widowControl w:val="0"/>
        <w:tabs>
          <w:tab w:val="right" w:pos="10206"/>
        </w:tabs>
        <w:autoSpaceDE w:val="0"/>
        <w:autoSpaceDN w:val="0"/>
        <w:adjustRightInd w:val="0"/>
        <w:rPr>
          <w:rFonts w:ascii="Tahoma" w:hAnsi="Tahoma" w:cs="Tahoma"/>
          <w:sz w:val="22"/>
          <w:szCs w:val="22"/>
        </w:rPr>
      </w:pPr>
      <w:r w:rsidRPr="00CE5927">
        <w:rPr>
          <w:rFonts w:ascii="Tahoma" w:hAnsi="Tahoma" w:cs="Tahoma"/>
          <w:sz w:val="22"/>
          <w:szCs w:val="22"/>
        </w:rPr>
        <w:t>МПС- международная платежная система;</w:t>
      </w:r>
    </w:p>
    <w:p w14:paraId="05E5DDBD" w14:textId="77777777" w:rsidR="004E30AD" w:rsidRPr="00CE5927" w:rsidRDefault="004E30AD" w:rsidP="004E30AD">
      <w:pPr>
        <w:widowControl w:val="0"/>
        <w:tabs>
          <w:tab w:val="right" w:pos="10206"/>
        </w:tabs>
        <w:autoSpaceDE w:val="0"/>
        <w:autoSpaceDN w:val="0"/>
        <w:adjustRightInd w:val="0"/>
        <w:jc w:val="both"/>
        <w:rPr>
          <w:rFonts w:ascii="Tahoma" w:hAnsi="Tahoma" w:cs="Tahoma"/>
          <w:sz w:val="22"/>
          <w:szCs w:val="22"/>
        </w:rPr>
      </w:pPr>
      <w:r w:rsidRPr="00CE5927">
        <w:rPr>
          <w:rFonts w:ascii="Tahoma" w:hAnsi="Tahoma" w:cs="Tahoma"/>
          <w:sz w:val="22"/>
          <w:szCs w:val="22"/>
        </w:rPr>
        <w:t xml:space="preserve">КБ – банковский курс покупки или продажи валюты «Азиатско-Тихоокеанский Банк» </w:t>
      </w:r>
      <w:r>
        <w:rPr>
          <w:rFonts w:ascii="Tahoma" w:hAnsi="Tahoma" w:cs="Tahoma"/>
          <w:sz w:val="22"/>
          <w:szCs w:val="22"/>
        </w:rPr>
        <w:t>(АО)</w:t>
      </w:r>
      <w:r w:rsidRPr="00CE5927">
        <w:rPr>
          <w:rFonts w:ascii="Tahoma" w:hAnsi="Tahoma" w:cs="Tahoma"/>
          <w:sz w:val="22"/>
          <w:szCs w:val="22"/>
        </w:rPr>
        <w:t>, установленный на дату проведения операции и утвержденный Приказом по Банку;</w:t>
      </w:r>
    </w:p>
    <w:p w14:paraId="5E784E3C" w14:textId="77777777" w:rsidR="004E30AD" w:rsidRPr="00CE5927" w:rsidRDefault="004E30AD" w:rsidP="004E30AD">
      <w:pPr>
        <w:widowControl w:val="0"/>
        <w:tabs>
          <w:tab w:val="right" w:pos="10206"/>
        </w:tabs>
        <w:autoSpaceDE w:val="0"/>
        <w:autoSpaceDN w:val="0"/>
        <w:adjustRightInd w:val="0"/>
        <w:jc w:val="both"/>
        <w:rPr>
          <w:rFonts w:ascii="Tahoma" w:hAnsi="Tahoma" w:cs="Tahoma"/>
          <w:sz w:val="22"/>
          <w:szCs w:val="22"/>
        </w:rPr>
      </w:pPr>
      <w:r w:rsidRPr="00CE5927">
        <w:rPr>
          <w:rFonts w:ascii="Tahoma" w:hAnsi="Tahoma" w:cs="Tahoma"/>
          <w:sz w:val="22"/>
          <w:szCs w:val="22"/>
        </w:rPr>
        <w:t xml:space="preserve">КБ кросс-курс -  кросс - курс </w:t>
      </w:r>
      <w:r w:rsidRPr="00CE5927">
        <w:rPr>
          <w:rFonts w:ascii="Tahoma" w:hAnsi="Tahoma" w:cs="Tahoma"/>
          <w:sz w:val="22"/>
          <w:szCs w:val="22"/>
          <w:lang w:val="en-US"/>
        </w:rPr>
        <w:t>USD</w:t>
      </w:r>
      <w:r w:rsidRPr="00CE5927">
        <w:rPr>
          <w:rFonts w:ascii="Tahoma" w:hAnsi="Tahoma" w:cs="Tahoma"/>
          <w:sz w:val="22"/>
          <w:szCs w:val="22"/>
        </w:rPr>
        <w:t>-</w:t>
      </w:r>
      <w:r w:rsidRPr="00CE5927">
        <w:rPr>
          <w:rFonts w:ascii="Tahoma" w:hAnsi="Tahoma" w:cs="Tahoma"/>
          <w:sz w:val="22"/>
          <w:szCs w:val="22"/>
          <w:lang w:val="en-US"/>
        </w:rPr>
        <w:t>EUR</w:t>
      </w:r>
      <w:r w:rsidRPr="00CE5927">
        <w:rPr>
          <w:rFonts w:ascii="Tahoma" w:hAnsi="Tahoma" w:cs="Tahoma"/>
          <w:sz w:val="22"/>
          <w:szCs w:val="22"/>
        </w:rPr>
        <w:t xml:space="preserve">  рассчитывается через </w:t>
      </w:r>
      <w:r w:rsidRPr="00CE5927">
        <w:rPr>
          <w:rFonts w:ascii="Tahoma" w:hAnsi="Tahoma" w:cs="Tahoma"/>
          <w:sz w:val="22"/>
          <w:szCs w:val="22"/>
          <w:lang w:val="en-US"/>
        </w:rPr>
        <w:t>RUR</w:t>
      </w:r>
      <w:r w:rsidRPr="00CE5927">
        <w:rPr>
          <w:rFonts w:ascii="Tahoma" w:hAnsi="Tahoma" w:cs="Tahoma"/>
          <w:sz w:val="22"/>
          <w:szCs w:val="22"/>
        </w:rPr>
        <w:t xml:space="preserve"> по курсу продажи </w:t>
      </w:r>
      <w:r w:rsidRPr="00CE5927">
        <w:rPr>
          <w:rFonts w:ascii="Tahoma" w:hAnsi="Tahoma" w:cs="Tahoma"/>
          <w:sz w:val="22"/>
          <w:szCs w:val="22"/>
          <w:lang w:val="en-US"/>
        </w:rPr>
        <w:t>USD</w:t>
      </w:r>
      <w:r w:rsidRPr="00CE5927">
        <w:rPr>
          <w:rFonts w:ascii="Tahoma" w:hAnsi="Tahoma" w:cs="Tahoma"/>
          <w:sz w:val="22"/>
          <w:szCs w:val="22"/>
        </w:rPr>
        <w:t xml:space="preserve">  и курсу покупки </w:t>
      </w:r>
      <w:r w:rsidRPr="00CE5927">
        <w:rPr>
          <w:rFonts w:ascii="Tahoma" w:hAnsi="Tahoma" w:cs="Tahoma"/>
          <w:sz w:val="22"/>
          <w:szCs w:val="22"/>
          <w:lang w:val="en-US"/>
        </w:rPr>
        <w:t>EUR</w:t>
      </w:r>
      <w:r w:rsidRPr="00CE5927">
        <w:rPr>
          <w:rFonts w:ascii="Tahoma" w:hAnsi="Tahoma" w:cs="Tahoma"/>
          <w:sz w:val="22"/>
          <w:szCs w:val="22"/>
        </w:rPr>
        <w:t xml:space="preserve"> «Азиатско-Тихоокеанский Банк» </w:t>
      </w:r>
      <w:r>
        <w:rPr>
          <w:rFonts w:ascii="Tahoma" w:hAnsi="Tahoma" w:cs="Tahoma"/>
          <w:sz w:val="22"/>
          <w:szCs w:val="22"/>
        </w:rPr>
        <w:t>(АО)</w:t>
      </w:r>
      <w:r w:rsidRPr="00CE5927">
        <w:rPr>
          <w:rFonts w:ascii="Tahoma" w:hAnsi="Tahoma" w:cs="Tahoma"/>
          <w:sz w:val="22"/>
          <w:szCs w:val="22"/>
        </w:rPr>
        <w:t xml:space="preserve">; кросс - курс </w:t>
      </w:r>
      <w:r w:rsidRPr="00CE5927">
        <w:rPr>
          <w:rFonts w:ascii="Tahoma" w:hAnsi="Tahoma" w:cs="Tahoma"/>
          <w:sz w:val="22"/>
          <w:szCs w:val="22"/>
          <w:lang w:val="en-US"/>
        </w:rPr>
        <w:t>EUR</w:t>
      </w:r>
      <w:r w:rsidRPr="00CE5927">
        <w:rPr>
          <w:rFonts w:ascii="Tahoma" w:hAnsi="Tahoma" w:cs="Tahoma"/>
          <w:sz w:val="22"/>
          <w:szCs w:val="22"/>
        </w:rPr>
        <w:t xml:space="preserve"> - </w:t>
      </w:r>
      <w:r w:rsidRPr="00CE5927">
        <w:rPr>
          <w:rFonts w:ascii="Tahoma" w:hAnsi="Tahoma" w:cs="Tahoma"/>
          <w:sz w:val="22"/>
          <w:szCs w:val="22"/>
          <w:lang w:val="en-US"/>
        </w:rPr>
        <w:t>USD</w:t>
      </w:r>
      <w:r w:rsidRPr="00CE5927">
        <w:rPr>
          <w:rFonts w:ascii="Tahoma" w:hAnsi="Tahoma" w:cs="Tahoma"/>
          <w:sz w:val="22"/>
          <w:szCs w:val="22"/>
        </w:rPr>
        <w:t xml:space="preserve"> рассчитывается через </w:t>
      </w:r>
      <w:r w:rsidRPr="00CE5927">
        <w:rPr>
          <w:rFonts w:ascii="Tahoma" w:hAnsi="Tahoma" w:cs="Tahoma"/>
          <w:sz w:val="22"/>
          <w:szCs w:val="22"/>
          <w:lang w:val="en-US"/>
        </w:rPr>
        <w:t>RUR</w:t>
      </w:r>
      <w:r w:rsidRPr="00CE5927">
        <w:rPr>
          <w:rFonts w:ascii="Tahoma" w:hAnsi="Tahoma" w:cs="Tahoma"/>
          <w:sz w:val="22"/>
          <w:szCs w:val="22"/>
        </w:rPr>
        <w:t xml:space="preserve"> по курсу продажи </w:t>
      </w:r>
      <w:r w:rsidRPr="00CE5927">
        <w:rPr>
          <w:rFonts w:ascii="Tahoma" w:hAnsi="Tahoma" w:cs="Tahoma"/>
          <w:sz w:val="22"/>
          <w:szCs w:val="22"/>
          <w:lang w:val="en-US"/>
        </w:rPr>
        <w:t>EUR</w:t>
      </w:r>
      <w:r w:rsidRPr="00CE5927">
        <w:rPr>
          <w:rFonts w:ascii="Tahoma" w:hAnsi="Tahoma" w:cs="Tahoma"/>
          <w:sz w:val="22"/>
          <w:szCs w:val="22"/>
        </w:rPr>
        <w:t xml:space="preserve"> и курсу покупки </w:t>
      </w:r>
      <w:r w:rsidRPr="00CE5927">
        <w:rPr>
          <w:rFonts w:ascii="Tahoma" w:hAnsi="Tahoma" w:cs="Tahoma"/>
          <w:sz w:val="22"/>
          <w:szCs w:val="22"/>
          <w:lang w:val="en-US"/>
        </w:rPr>
        <w:t>USD</w:t>
      </w:r>
      <w:r w:rsidRPr="00CE5927">
        <w:rPr>
          <w:rFonts w:ascii="Tahoma" w:hAnsi="Tahoma" w:cs="Tahoma"/>
          <w:sz w:val="22"/>
          <w:szCs w:val="22"/>
        </w:rPr>
        <w:t xml:space="preserve"> «Азиатско-Тихоокеанский Банк» </w:t>
      </w:r>
      <w:r>
        <w:rPr>
          <w:rFonts w:ascii="Tahoma" w:hAnsi="Tahoma" w:cs="Tahoma"/>
          <w:sz w:val="22"/>
          <w:szCs w:val="22"/>
        </w:rPr>
        <w:t>(АО)</w:t>
      </w:r>
      <w:r w:rsidRPr="00CE5927">
        <w:rPr>
          <w:rFonts w:ascii="Tahoma" w:hAnsi="Tahoma" w:cs="Tahoma"/>
          <w:sz w:val="22"/>
          <w:szCs w:val="22"/>
        </w:rPr>
        <w:t>;</w:t>
      </w:r>
    </w:p>
    <w:p w14:paraId="485E44F0" w14:textId="77777777" w:rsidR="004E30AD" w:rsidRPr="00CE5927" w:rsidRDefault="004E30AD" w:rsidP="004E30AD">
      <w:pPr>
        <w:widowControl w:val="0"/>
        <w:tabs>
          <w:tab w:val="right" w:pos="10206"/>
        </w:tabs>
        <w:autoSpaceDE w:val="0"/>
        <w:autoSpaceDN w:val="0"/>
        <w:adjustRightInd w:val="0"/>
        <w:jc w:val="both"/>
        <w:rPr>
          <w:rFonts w:ascii="Tahoma" w:hAnsi="Tahoma" w:cs="Tahoma"/>
          <w:sz w:val="22"/>
          <w:szCs w:val="22"/>
        </w:rPr>
      </w:pPr>
      <w:r w:rsidRPr="00CE5927">
        <w:rPr>
          <w:rFonts w:ascii="Tahoma" w:hAnsi="Tahoma" w:cs="Tahoma"/>
          <w:sz w:val="22"/>
          <w:szCs w:val="22"/>
        </w:rPr>
        <w:t>КПС – курс платежной системы;</w:t>
      </w:r>
    </w:p>
    <w:p w14:paraId="63878FAA" w14:textId="77777777" w:rsidR="004E30AD" w:rsidRPr="00CE5927" w:rsidRDefault="004E30AD" w:rsidP="004E30AD">
      <w:pPr>
        <w:widowControl w:val="0"/>
        <w:tabs>
          <w:tab w:val="right" w:pos="10206"/>
        </w:tabs>
        <w:autoSpaceDE w:val="0"/>
        <w:autoSpaceDN w:val="0"/>
        <w:adjustRightInd w:val="0"/>
        <w:jc w:val="both"/>
        <w:rPr>
          <w:rFonts w:ascii="Tahoma" w:hAnsi="Tahoma" w:cs="Tahoma"/>
          <w:sz w:val="22"/>
          <w:szCs w:val="22"/>
        </w:rPr>
      </w:pPr>
      <w:r w:rsidRPr="00CE5927">
        <w:rPr>
          <w:rFonts w:ascii="Tahoma" w:hAnsi="Tahoma" w:cs="Tahoma"/>
          <w:sz w:val="22"/>
          <w:szCs w:val="22"/>
        </w:rPr>
        <w:t xml:space="preserve">Банк-эквайер </w:t>
      </w:r>
      <w:r w:rsidRPr="00CE5927">
        <w:rPr>
          <w:rFonts w:ascii="Arial" w:hAnsi="Arial" w:cs="Arial"/>
          <w:sz w:val="22"/>
          <w:szCs w:val="22"/>
        </w:rPr>
        <w:t>─</w:t>
      </w:r>
      <w:r w:rsidRPr="00CE5927">
        <w:rPr>
          <w:rFonts w:ascii="Tahoma" w:hAnsi="Tahoma" w:cs="Tahoma"/>
          <w:sz w:val="22"/>
          <w:szCs w:val="22"/>
        </w:rPr>
        <w:t xml:space="preserve"> банк, обслуживающий проведение операции;</w:t>
      </w:r>
    </w:p>
    <w:p w14:paraId="629F5CD9" w14:textId="77777777" w:rsidR="004E30AD" w:rsidRPr="00CE5927" w:rsidRDefault="004E30AD" w:rsidP="004E30AD">
      <w:pPr>
        <w:widowControl w:val="0"/>
        <w:tabs>
          <w:tab w:val="right" w:pos="10206"/>
        </w:tabs>
        <w:autoSpaceDE w:val="0"/>
        <w:autoSpaceDN w:val="0"/>
        <w:adjustRightInd w:val="0"/>
        <w:jc w:val="both"/>
        <w:rPr>
          <w:rFonts w:ascii="Tahoma" w:hAnsi="Tahoma" w:cs="Tahoma"/>
          <w:sz w:val="22"/>
          <w:szCs w:val="22"/>
          <w:vertAlign w:val="superscript"/>
        </w:rPr>
      </w:pPr>
      <w:r w:rsidRPr="00CE5927">
        <w:rPr>
          <w:rFonts w:ascii="Tahoma" w:hAnsi="Tahoma" w:cs="Tahoma"/>
          <w:sz w:val="22"/>
          <w:szCs w:val="22"/>
          <w:vertAlign w:val="superscript"/>
        </w:rPr>
        <w:t>1</w:t>
      </w:r>
      <w:r w:rsidRPr="00CE5927">
        <w:rPr>
          <w:rFonts w:ascii="Tahoma" w:hAnsi="Tahoma" w:cs="Tahoma"/>
          <w:sz w:val="22"/>
          <w:szCs w:val="22"/>
        </w:rPr>
        <w:t xml:space="preserve"> В том числе оплата покупок на интернет-сайтах и в магазинах мобильных приложений, поддерживаемых зарубежными банками;</w:t>
      </w:r>
    </w:p>
    <w:p w14:paraId="16B9E6D9" w14:textId="77777777" w:rsidR="004E30AD" w:rsidRPr="00CE5927" w:rsidRDefault="004E30AD" w:rsidP="004E30AD">
      <w:pPr>
        <w:widowControl w:val="0"/>
        <w:tabs>
          <w:tab w:val="right" w:pos="10206"/>
        </w:tabs>
        <w:autoSpaceDE w:val="0"/>
        <w:autoSpaceDN w:val="0"/>
        <w:adjustRightInd w:val="0"/>
        <w:jc w:val="both"/>
        <w:rPr>
          <w:rFonts w:ascii="Tahoma" w:hAnsi="Tahoma" w:cs="Tahoma"/>
          <w:sz w:val="22"/>
          <w:szCs w:val="22"/>
        </w:rPr>
      </w:pPr>
      <w:r w:rsidRPr="00CE5927">
        <w:rPr>
          <w:rFonts w:ascii="Tahoma" w:hAnsi="Tahoma" w:cs="Tahoma"/>
          <w:sz w:val="22"/>
          <w:szCs w:val="22"/>
          <w:vertAlign w:val="superscript"/>
        </w:rPr>
        <w:t>2</w:t>
      </w:r>
      <w:r w:rsidRPr="00CE5927">
        <w:rPr>
          <w:rFonts w:ascii="Tahoma" w:hAnsi="Tahoma" w:cs="Tahoma"/>
          <w:sz w:val="22"/>
          <w:szCs w:val="22"/>
        </w:rPr>
        <w:t xml:space="preserve"> По картам платежной системы </w:t>
      </w:r>
      <w:r w:rsidRPr="00CE5927">
        <w:rPr>
          <w:rFonts w:ascii="Tahoma" w:hAnsi="Tahoma" w:cs="Tahoma"/>
          <w:sz w:val="22"/>
          <w:szCs w:val="22"/>
          <w:lang w:val="en-US"/>
        </w:rPr>
        <w:t>VISA</w:t>
      </w:r>
      <w:r w:rsidRPr="00CE5927">
        <w:rPr>
          <w:rFonts w:ascii="Tahoma" w:hAnsi="Tahoma" w:cs="Tahoma"/>
          <w:sz w:val="22"/>
          <w:szCs w:val="22"/>
        </w:rPr>
        <w:t xml:space="preserve">  к сумме операции добавляется дополнительно комиссия за проведение конвертации в размере 2 %; </w:t>
      </w:r>
    </w:p>
    <w:p w14:paraId="74D9C987" w14:textId="77777777" w:rsidR="004E30AD" w:rsidRPr="00CE5927" w:rsidRDefault="004E30AD" w:rsidP="004E30AD">
      <w:pPr>
        <w:widowControl w:val="0"/>
        <w:tabs>
          <w:tab w:val="right" w:pos="10206"/>
        </w:tabs>
        <w:autoSpaceDE w:val="0"/>
        <w:autoSpaceDN w:val="0"/>
        <w:adjustRightInd w:val="0"/>
        <w:jc w:val="both"/>
        <w:rPr>
          <w:rFonts w:ascii="Tahoma" w:hAnsi="Tahoma" w:cs="Tahoma"/>
          <w:sz w:val="22"/>
          <w:szCs w:val="22"/>
        </w:rPr>
      </w:pPr>
      <w:r w:rsidRPr="00CE5927">
        <w:rPr>
          <w:rFonts w:ascii="Tahoma" w:hAnsi="Tahoma" w:cs="Tahoma"/>
          <w:sz w:val="22"/>
          <w:szCs w:val="22"/>
          <w:vertAlign w:val="superscript"/>
        </w:rPr>
        <w:t>3</w:t>
      </w:r>
      <w:r w:rsidRPr="00CE5927">
        <w:rPr>
          <w:rFonts w:ascii="Tahoma" w:hAnsi="Tahoma" w:cs="Tahoma"/>
          <w:sz w:val="22"/>
          <w:szCs w:val="22"/>
        </w:rPr>
        <w:t xml:space="preserve"> МПС и банк-эквайер оставляют за собой право решать  по какому</w:t>
      </w:r>
      <w:r>
        <w:rPr>
          <w:rFonts w:ascii="Tahoma" w:hAnsi="Tahoma" w:cs="Tahoma"/>
          <w:sz w:val="22"/>
          <w:szCs w:val="22"/>
        </w:rPr>
        <w:t xml:space="preserve"> курсу на какую дату проводить </w:t>
      </w:r>
      <w:r w:rsidRPr="00CE5927">
        <w:rPr>
          <w:rFonts w:ascii="Tahoma" w:hAnsi="Tahoma" w:cs="Tahoma"/>
          <w:sz w:val="22"/>
          <w:szCs w:val="22"/>
        </w:rPr>
        <w:t>расчеты.</w:t>
      </w:r>
    </w:p>
    <w:p w14:paraId="621530CF" w14:textId="34A96F99" w:rsidR="004E30AD" w:rsidRDefault="004E30AD" w:rsidP="004E30AD">
      <w:pPr>
        <w:rPr>
          <w:rFonts w:ascii="Tahoma" w:hAnsi="Tahoma" w:cs="Tahoma"/>
          <w:b/>
          <w:sz w:val="22"/>
          <w:szCs w:val="22"/>
        </w:rPr>
      </w:pPr>
    </w:p>
    <w:p w14:paraId="0067198F" w14:textId="77777777" w:rsidR="00B4457C" w:rsidRDefault="00B4457C" w:rsidP="004E30AD">
      <w:pPr>
        <w:rPr>
          <w:rFonts w:ascii="Tahoma" w:hAnsi="Tahoma" w:cs="Tahoma"/>
          <w:b/>
          <w:sz w:val="22"/>
          <w:szCs w:val="22"/>
        </w:rPr>
      </w:pPr>
    </w:p>
    <w:p w14:paraId="4F91DA96" w14:textId="378261D3" w:rsidR="009D50B5" w:rsidRPr="00395A84" w:rsidRDefault="000D177C" w:rsidP="000B3718">
      <w:pPr>
        <w:pStyle w:val="a5"/>
      </w:pPr>
      <w:r>
        <w:t>4.1</w:t>
      </w:r>
      <w:r w:rsidR="00845DEA">
        <w:t>2</w:t>
      </w:r>
      <w:r w:rsidR="009D50B5">
        <w:t>. Бонусная Программа</w:t>
      </w:r>
      <w:r w:rsidR="009D50B5" w:rsidRPr="00395A84">
        <w:t xml:space="preserve"> Стандарт-директ</w:t>
      </w:r>
    </w:p>
    <w:p w14:paraId="73B2A643" w14:textId="2B463D96" w:rsidR="006A10B4" w:rsidRPr="007062B9" w:rsidRDefault="006A10B4" w:rsidP="006A10B4">
      <w:pPr>
        <w:tabs>
          <w:tab w:val="left" w:pos="851"/>
        </w:tabs>
        <w:ind w:left="426"/>
        <w:rPr>
          <w:rFonts w:ascii="Tahoma" w:hAnsi="Tahoma" w:cs="Tahoma"/>
          <w:b/>
          <w:bCs/>
          <w:iCs/>
          <w:color w:val="E36C0A"/>
          <w:sz w:val="22"/>
          <w:szCs w:val="22"/>
        </w:rPr>
      </w:pPr>
      <w:r w:rsidRPr="007062B9">
        <w:rPr>
          <w:rFonts w:ascii="Tahoma" w:hAnsi="Tahoma" w:cs="Tahoma"/>
          <w:b/>
          <w:bCs/>
          <w:iCs/>
          <w:color w:val="E36C0A"/>
          <w:sz w:val="22"/>
          <w:szCs w:val="22"/>
        </w:rPr>
        <w:t>(является неотъемлемой частью Программы лояльности для клиентов-держателей Банковских карт «Азиатско-Тихоокеанский Банк» (АО))</w:t>
      </w:r>
    </w:p>
    <w:tbl>
      <w:tblPr>
        <w:tblW w:w="15451" w:type="dxa"/>
        <w:tblLook w:val="04A0" w:firstRow="1" w:lastRow="0" w:firstColumn="1" w:lastColumn="0" w:noHBand="0" w:noVBand="1"/>
      </w:tblPr>
      <w:tblGrid>
        <w:gridCol w:w="716"/>
        <w:gridCol w:w="7535"/>
        <w:gridCol w:w="7200"/>
      </w:tblGrid>
      <w:tr w:rsidR="006A10B4" w14:paraId="6B84995B" w14:textId="77777777" w:rsidTr="006A10B4">
        <w:trPr>
          <w:trHeight w:val="289"/>
        </w:trPr>
        <w:tc>
          <w:tcPr>
            <w:tcW w:w="7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tbl>
            <w:tblPr>
              <w:tblW w:w="0" w:type="auto"/>
              <w:tblCellSpacing w:w="0" w:type="dxa"/>
              <w:tblCellMar>
                <w:left w:w="0" w:type="dxa"/>
                <w:right w:w="0" w:type="dxa"/>
              </w:tblCellMar>
              <w:tblLook w:val="04A0" w:firstRow="1" w:lastRow="0" w:firstColumn="1" w:lastColumn="0" w:noHBand="0" w:noVBand="1"/>
            </w:tblPr>
            <w:tblGrid>
              <w:gridCol w:w="490"/>
            </w:tblGrid>
            <w:tr w:rsidR="006A10B4" w14:paraId="744D188D" w14:textId="77777777" w:rsidTr="00EB52FB">
              <w:trPr>
                <w:trHeight w:val="289"/>
                <w:tblCellSpacing w:w="0" w:type="dxa"/>
              </w:trPr>
              <w:tc>
                <w:tcPr>
                  <w:tcW w:w="490" w:type="dxa"/>
                  <w:tcBorders>
                    <w:top w:val="nil"/>
                    <w:left w:val="single" w:sz="4" w:space="0" w:color="auto"/>
                    <w:bottom w:val="single" w:sz="4" w:space="0" w:color="auto"/>
                    <w:right w:val="single" w:sz="4" w:space="0" w:color="auto"/>
                  </w:tcBorders>
                  <w:shd w:val="clear" w:color="000000" w:fill="808080"/>
                  <w:vAlign w:val="center"/>
                  <w:hideMark/>
                </w:tcPr>
                <w:p w14:paraId="27A15BD7" w14:textId="1B1541F9" w:rsidR="006A10B4" w:rsidRDefault="006A10B4" w:rsidP="006A10B4">
                  <w:pPr>
                    <w:jc w:val="center"/>
                    <w:rPr>
                      <w:rFonts w:ascii="Tahoma" w:hAnsi="Tahoma" w:cs="Tahoma"/>
                      <w:b/>
                      <w:bCs/>
                      <w:color w:val="FFFFFF"/>
                      <w:sz w:val="20"/>
                      <w:szCs w:val="20"/>
                    </w:rPr>
                  </w:pPr>
                  <w:r>
                    <w:rPr>
                      <w:rFonts w:ascii="Tahoma" w:hAnsi="Tahoma" w:cs="Tahoma"/>
                      <w:b/>
                      <w:bCs/>
                      <w:color w:val="FFFFFF"/>
                      <w:sz w:val="20"/>
                      <w:szCs w:val="20"/>
                    </w:rPr>
                    <w:t>1.</w:t>
                  </w:r>
                </w:p>
              </w:tc>
            </w:tr>
          </w:tbl>
          <w:p w14:paraId="4CB3C412" w14:textId="77777777" w:rsidR="006A10B4" w:rsidRDefault="006A10B4" w:rsidP="00EB52FB">
            <w:pPr>
              <w:rPr>
                <w:rFonts w:ascii="Calibri" w:hAnsi="Calibri" w:cs="Calibri"/>
                <w:color w:val="000000"/>
                <w:sz w:val="22"/>
                <w:szCs w:val="22"/>
              </w:rPr>
            </w:pPr>
          </w:p>
        </w:tc>
        <w:tc>
          <w:tcPr>
            <w:tcW w:w="14735" w:type="dxa"/>
            <w:gridSpan w:val="2"/>
            <w:tcBorders>
              <w:top w:val="single" w:sz="4" w:space="0" w:color="auto"/>
              <w:left w:val="single" w:sz="4" w:space="0" w:color="auto"/>
              <w:bottom w:val="single" w:sz="4" w:space="0" w:color="auto"/>
              <w:right w:val="single" w:sz="4" w:space="0" w:color="auto"/>
            </w:tcBorders>
            <w:shd w:val="clear" w:color="000000" w:fill="808080"/>
            <w:vAlign w:val="center"/>
            <w:hideMark/>
          </w:tcPr>
          <w:p w14:paraId="2775C147" w14:textId="77777777" w:rsidR="006A10B4" w:rsidRDefault="006A10B4" w:rsidP="00EB52FB">
            <w:pPr>
              <w:rPr>
                <w:rFonts w:ascii="Tahoma" w:hAnsi="Tahoma" w:cs="Tahoma"/>
                <w:b/>
                <w:bCs/>
                <w:color w:val="FFFFFF"/>
                <w:sz w:val="20"/>
                <w:szCs w:val="20"/>
              </w:rPr>
            </w:pPr>
            <w:r>
              <w:rPr>
                <w:rFonts w:ascii="Tahoma" w:hAnsi="Tahoma" w:cs="Tahoma"/>
                <w:b/>
                <w:bCs/>
                <w:color w:val="FFFFFF"/>
                <w:sz w:val="20"/>
                <w:szCs w:val="20"/>
              </w:rPr>
              <w:t xml:space="preserve">Условия предоставления настоящей Бонусной программы (по тексту – Программа) </w:t>
            </w:r>
          </w:p>
        </w:tc>
      </w:tr>
      <w:tr w:rsidR="006A10B4" w14:paraId="14A5D794" w14:textId="77777777" w:rsidTr="006A10B4">
        <w:trPr>
          <w:trHeight w:val="555"/>
        </w:trPr>
        <w:tc>
          <w:tcPr>
            <w:tcW w:w="7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FC2CB9" w14:textId="21B7BBD4" w:rsidR="006A10B4" w:rsidRDefault="006A10B4" w:rsidP="00EB52FB">
            <w:pPr>
              <w:jc w:val="center"/>
              <w:rPr>
                <w:rFonts w:ascii="Tahoma" w:hAnsi="Tahoma" w:cs="Tahoma"/>
                <w:sz w:val="20"/>
                <w:szCs w:val="20"/>
              </w:rPr>
            </w:pPr>
            <w:r>
              <w:rPr>
                <w:rFonts w:ascii="Tahoma" w:hAnsi="Tahoma" w:cs="Tahoma"/>
                <w:sz w:val="20"/>
                <w:szCs w:val="20"/>
              </w:rPr>
              <w:t>1.1.</w:t>
            </w:r>
          </w:p>
        </w:tc>
        <w:tc>
          <w:tcPr>
            <w:tcW w:w="7535" w:type="dxa"/>
            <w:tcBorders>
              <w:top w:val="single" w:sz="4" w:space="0" w:color="auto"/>
              <w:left w:val="nil"/>
              <w:bottom w:val="single" w:sz="4" w:space="0" w:color="auto"/>
              <w:right w:val="single" w:sz="4" w:space="0" w:color="auto"/>
            </w:tcBorders>
            <w:shd w:val="clear" w:color="000000" w:fill="FFFFFF"/>
            <w:vAlign w:val="center"/>
            <w:hideMark/>
          </w:tcPr>
          <w:p w14:paraId="5D4C8800" w14:textId="77777777" w:rsidR="006A10B4" w:rsidRDefault="006A10B4" w:rsidP="00EB52FB">
            <w:pPr>
              <w:rPr>
                <w:rFonts w:ascii="Tahoma" w:hAnsi="Tahoma" w:cs="Tahoma"/>
                <w:color w:val="000000"/>
                <w:sz w:val="20"/>
                <w:szCs w:val="20"/>
              </w:rPr>
            </w:pPr>
            <w:r>
              <w:rPr>
                <w:rFonts w:ascii="Tahoma" w:hAnsi="Tahoma" w:cs="Tahoma"/>
                <w:color w:val="000000"/>
                <w:sz w:val="20"/>
                <w:szCs w:val="20"/>
              </w:rPr>
              <w:t>Применимые к Программе тарифные планы Банка</w:t>
            </w:r>
            <w:r>
              <w:rPr>
                <w:rFonts w:ascii="Tahoma" w:hAnsi="Tahoma" w:cs="Tahoma"/>
                <w:color w:val="000000"/>
                <w:sz w:val="20"/>
                <w:szCs w:val="20"/>
                <w:vertAlign w:val="superscript"/>
              </w:rPr>
              <w:t>1</w:t>
            </w:r>
          </w:p>
        </w:tc>
        <w:tc>
          <w:tcPr>
            <w:tcW w:w="7200" w:type="dxa"/>
            <w:tcBorders>
              <w:top w:val="single" w:sz="4" w:space="0" w:color="auto"/>
              <w:left w:val="nil"/>
              <w:bottom w:val="single" w:sz="4" w:space="0" w:color="auto"/>
              <w:right w:val="single" w:sz="4" w:space="0" w:color="auto"/>
            </w:tcBorders>
            <w:shd w:val="clear" w:color="000000" w:fill="FFFFFF"/>
            <w:vAlign w:val="center"/>
            <w:hideMark/>
          </w:tcPr>
          <w:p w14:paraId="5C0A5D30" w14:textId="77777777" w:rsidR="006A10B4" w:rsidRDefault="006A10B4" w:rsidP="00EB52FB">
            <w:pPr>
              <w:jc w:val="center"/>
              <w:rPr>
                <w:rFonts w:ascii="Tahoma" w:hAnsi="Tahoma" w:cs="Tahoma"/>
                <w:sz w:val="20"/>
                <w:szCs w:val="20"/>
              </w:rPr>
            </w:pPr>
            <w:r>
              <w:rPr>
                <w:rFonts w:ascii="Tahoma" w:hAnsi="Tahoma" w:cs="Tahoma"/>
                <w:sz w:val="20"/>
                <w:szCs w:val="20"/>
              </w:rPr>
              <w:t>Детская карта</w:t>
            </w:r>
          </w:p>
        </w:tc>
      </w:tr>
      <w:tr w:rsidR="006A10B4" w14:paraId="2C2431E6" w14:textId="77777777" w:rsidTr="00EB52FB">
        <w:trPr>
          <w:trHeight w:val="76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394BF3C6" w14:textId="5DE122F1" w:rsidR="006A10B4" w:rsidRDefault="006A10B4" w:rsidP="00EB52FB">
            <w:pPr>
              <w:jc w:val="center"/>
              <w:rPr>
                <w:rFonts w:ascii="Tahoma" w:hAnsi="Tahoma" w:cs="Tahoma"/>
                <w:sz w:val="20"/>
                <w:szCs w:val="20"/>
              </w:rPr>
            </w:pPr>
            <w:r>
              <w:rPr>
                <w:rFonts w:ascii="Tahoma" w:hAnsi="Tahoma" w:cs="Tahoma"/>
                <w:sz w:val="20"/>
                <w:szCs w:val="20"/>
              </w:rPr>
              <w:t>1.2.</w:t>
            </w:r>
          </w:p>
        </w:tc>
        <w:tc>
          <w:tcPr>
            <w:tcW w:w="7535" w:type="dxa"/>
            <w:tcBorders>
              <w:top w:val="nil"/>
              <w:left w:val="nil"/>
              <w:bottom w:val="single" w:sz="4" w:space="0" w:color="auto"/>
              <w:right w:val="single" w:sz="4" w:space="0" w:color="auto"/>
            </w:tcBorders>
            <w:shd w:val="clear" w:color="000000" w:fill="FFFFFF"/>
            <w:vAlign w:val="center"/>
            <w:hideMark/>
          </w:tcPr>
          <w:p w14:paraId="31D3D6CF" w14:textId="77777777" w:rsidR="006A10B4" w:rsidRDefault="006A10B4" w:rsidP="00EB52FB">
            <w:pPr>
              <w:rPr>
                <w:rFonts w:ascii="Tahoma" w:hAnsi="Tahoma" w:cs="Tahoma"/>
                <w:sz w:val="20"/>
                <w:szCs w:val="20"/>
              </w:rPr>
            </w:pPr>
            <w:r>
              <w:rPr>
                <w:rFonts w:ascii="Tahoma" w:hAnsi="Tahoma" w:cs="Tahoma"/>
                <w:sz w:val="20"/>
                <w:szCs w:val="20"/>
              </w:rPr>
              <w:t>Общие условия Программы</w:t>
            </w:r>
          </w:p>
        </w:tc>
        <w:tc>
          <w:tcPr>
            <w:tcW w:w="7200" w:type="dxa"/>
            <w:tcBorders>
              <w:top w:val="single" w:sz="4" w:space="0" w:color="auto"/>
              <w:left w:val="nil"/>
              <w:bottom w:val="single" w:sz="4" w:space="0" w:color="auto"/>
              <w:right w:val="single" w:sz="4" w:space="0" w:color="000000"/>
            </w:tcBorders>
            <w:shd w:val="clear" w:color="000000" w:fill="FFFFFF"/>
            <w:vAlign w:val="center"/>
            <w:hideMark/>
          </w:tcPr>
          <w:p w14:paraId="26E4A1E9" w14:textId="77777777" w:rsidR="006A10B4" w:rsidRDefault="006A10B4" w:rsidP="00EB52FB">
            <w:pPr>
              <w:jc w:val="center"/>
              <w:rPr>
                <w:rFonts w:ascii="Tahoma" w:hAnsi="Tahoma" w:cs="Tahoma"/>
                <w:color w:val="000000"/>
                <w:sz w:val="20"/>
                <w:szCs w:val="20"/>
              </w:rPr>
            </w:pPr>
            <w:r>
              <w:rPr>
                <w:rFonts w:ascii="Tahoma" w:hAnsi="Tahoma" w:cs="Tahoma"/>
                <w:color w:val="000000"/>
                <w:sz w:val="20"/>
                <w:szCs w:val="20"/>
              </w:rPr>
              <w:t>В соответствии с Программой лояльности для клиентов-держателей Банковских карт «Азиатско-Тихоокеанский Ба</w:t>
            </w:r>
            <w:r>
              <w:rPr>
                <w:rFonts w:ascii="Tahoma" w:hAnsi="Tahoma" w:cs="Tahoma"/>
                <w:sz w:val="20"/>
                <w:szCs w:val="20"/>
              </w:rPr>
              <w:t>нк»</w:t>
            </w:r>
            <w:r>
              <w:rPr>
                <w:rFonts w:ascii="Tahoma" w:hAnsi="Tahoma" w:cs="Tahoma"/>
                <w:color w:val="000000"/>
                <w:sz w:val="20"/>
                <w:szCs w:val="20"/>
              </w:rPr>
              <w:t xml:space="preserve"> (АО), размещенной на Сайте Банка www.atb.su и в Подразделениях Банка (по тексту – Программа лояльности).</w:t>
            </w:r>
          </w:p>
        </w:tc>
      </w:tr>
      <w:tr w:rsidR="006A10B4" w14:paraId="6B17AC2E" w14:textId="77777777" w:rsidTr="00EB52FB">
        <w:trPr>
          <w:trHeight w:val="51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039B1E9F" w14:textId="77777777" w:rsidR="006A10B4" w:rsidRDefault="006A10B4" w:rsidP="00EB52FB">
            <w:pPr>
              <w:jc w:val="center"/>
              <w:rPr>
                <w:rFonts w:ascii="Tahoma" w:hAnsi="Tahoma" w:cs="Tahoma"/>
                <w:sz w:val="20"/>
                <w:szCs w:val="20"/>
              </w:rPr>
            </w:pPr>
            <w:r>
              <w:rPr>
                <w:rFonts w:ascii="Tahoma" w:hAnsi="Tahoma" w:cs="Tahoma"/>
                <w:sz w:val="20"/>
                <w:szCs w:val="20"/>
              </w:rPr>
              <w:t>1.3.</w:t>
            </w:r>
          </w:p>
        </w:tc>
        <w:tc>
          <w:tcPr>
            <w:tcW w:w="7535" w:type="dxa"/>
            <w:tcBorders>
              <w:top w:val="nil"/>
              <w:left w:val="nil"/>
              <w:bottom w:val="single" w:sz="4" w:space="0" w:color="auto"/>
              <w:right w:val="single" w:sz="4" w:space="0" w:color="auto"/>
            </w:tcBorders>
            <w:shd w:val="clear" w:color="000000" w:fill="FFFFFF"/>
            <w:vAlign w:val="center"/>
            <w:hideMark/>
          </w:tcPr>
          <w:p w14:paraId="70F279F9" w14:textId="77777777" w:rsidR="006A10B4" w:rsidRDefault="006A10B4" w:rsidP="00EB52FB">
            <w:pPr>
              <w:rPr>
                <w:rFonts w:ascii="Tahoma" w:hAnsi="Tahoma" w:cs="Tahoma"/>
                <w:sz w:val="20"/>
                <w:szCs w:val="20"/>
              </w:rPr>
            </w:pPr>
            <w:r>
              <w:rPr>
                <w:rFonts w:ascii="Tahoma" w:hAnsi="Tahoma" w:cs="Tahoma"/>
                <w:sz w:val="20"/>
                <w:szCs w:val="20"/>
              </w:rPr>
              <w:t>Условная единица, используемая Банком для расчета размера выплаты денежных средств (по тексту также – кэшбэк) по Программе лояльности</w:t>
            </w:r>
          </w:p>
        </w:tc>
        <w:tc>
          <w:tcPr>
            <w:tcW w:w="7200" w:type="dxa"/>
            <w:tcBorders>
              <w:top w:val="single" w:sz="4" w:space="0" w:color="auto"/>
              <w:left w:val="nil"/>
              <w:bottom w:val="single" w:sz="4" w:space="0" w:color="auto"/>
              <w:right w:val="single" w:sz="4" w:space="0" w:color="000000"/>
            </w:tcBorders>
            <w:shd w:val="clear" w:color="auto" w:fill="auto"/>
            <w:vAlign w:val="center"/>
            <w:hideMark/>
          </w:tcPr>
          <w:p w14:paraId="213E38D9" w14:textId="77777777" w:rsidR="006A10B4" w:rsidRDefault="006A10B4" w:rsidP="00EB52FB">
            <w:pPr>
              <w:jc w:val="center"/>
              <w:rPr>
                <w:rFonts w:ascii="Tahoma" w:hAnsi="Tahoma" w:cs="Tahoma"/>
                <w:sz w:val="20"/>
                <w:szCs w:val="20"/>
              </w:rPr>
            </w:pPr>
            <w:r>
              <w:rPr>
                <w:rFonts w:ascii="Tahoma" w:hAnsi="Tahoma" w:cs="Tahoma"/>
                <w:sz w:val="20"/>
                <w:szCs w:val="20"/>
              </w:rPr>
              <w:t>Российский рубль</w:t>
            </w:r>
          </w:p>
        </w:tc>
      </w:tr>
      <w:tr w:rsidR="006A10B4" w14:paraId="2146B13E" w14:textId="77777777" w:rsidTr="00EB52FB">
        <w:trPr>
          <w:trHeight w:val="51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06354844" w14:textId="77777777" w:rsidR="006A10B4" w:rsidRDefault="006A10B4" w:rsidP="00EB52FB">
            <w:pPr>
              <w:jc w:val="center"/>
              <w:rPr>
                <w:rFonts w:ascii="Tahoma" w:hAnsi="Tahoma" w:cs="Tahoma"/>
                <w:sz w:val="20"/>
                <w:szCs w:val="20"/>
              </w:rPr>
            </w:pPr>
            <w:r>
              <w:rPr>
                <w:rFonts w:ascii="Tahoma" w:hAnsi="Tahoma" w:cs="Tahoma"/>
                <w:sz w:val="20"/>
                <w:szCs w:val="20"/>
              </w:rPr>
              <w:t>1.4.</w:t>
            </w:r>
          </w:p>
        </w:tc>
        <w:tc>
          <w:tcPr>
            <w:tcW w:w="7535" w:type="dxa"/>
            <w:tcBorders>
              <w:top w:val="nil"/>
              <w:left w:val="nil"/>
              <w:bottom w:val="single" w:sz="4" w:space="0" w:color="auto"/>
              <w:right w:val="single" w:sz="4" w:space="0" w:color="auto"/>
            </w:tcBorders>
            <w:shd w:val="clear" w:color="000000" w:fill="FFFFFF"/>
            <w:vAlign w:val="center"/>
            <w:hideMark/>
          </w:tcPr>
          <w:p w14:paraId="45220D61" w14:textId="77777777" w:rsidR="006A10B4" w:rsidRDefault="006A10B4" w:rsidP="00EB52FB">
            <w:pPr>
              <w:rPr>
                <w:rFonts w:ascii="Tahoma" w:hAnsi="Tahoma" w:cs="Tahoma"/>
                <w:sz w:val="20"/>
                <w:szCs w:val="20"/>
              </w:rPr>
            </w:pPr>
            <w:r>
              <w:rPr>
                <w:rFonts w:ascii="Tahoma" w:hAnsi="Tahoma" w:cs="Tahoma"/>
                <w:sz w:val="20"/>
                <w:szCs w:val="20"/>
              </w:rPr>
              <w:t>Принцип выплаты рассчитанного кэшбэка</w:t>
            </w:r>
          </w:p>
        </w:tc>
        <w:tc>
          <w:tcPr>
            <w:tcW w:w="7200" w:type="dxa"/>
            <w:tcBorders>
              <w:top w:val="single" w:sz="4" w:space="0" w:color="auto"/>
              <w:left w:val="nil"/>
              <w:bottom w:val="single" w:sz="4" w:space="0" w:color="auto"/>
              <w:right w:val="single" w:sz="4" w:space="0" w:color="000000"/>
            </w:tcBorders>
            <w:shd w:val="clear" w:color="auto" w:fill="auto"/>
            <w:vAlign w:val="center"/>
            <w:hideMark/>
          </w:tcPr>
          <w:p w14:paraId="46681050" w14:textId="77777777" w:rsidR="006A10B4" w:rsidRDefault="006A10B4" w:rsidP="00EB52FB">
            <w:pPr>
              <w:jc w:val="center"/>
              <w:rPr>
                <w:rFonts w:ascii="Tahoma" w:hAnsi="Tahoma" w:cs="Tahoma"/>
                <w:sz w:val="20"/>
                <w:szCs w:val="20"/>
              </w:rPr>
            </w:pPr>
            <w:r>
              <w:rPr>
                <w:rFonts w:ascii="Tahoma" w:hAnsi="Tahoma" w:cs="Tahoma"/>
                <w:sz w:val="20"/>
                <w:szCs w:val="20"/>
              </w:rPr>
              <w:t>Выплата кэшбэка производится ежемесячно на Счет карты Клиента</w:t>
            </w:r>
            <w:r>
              <w:rPr>
                <w:rFonts w:ascii="Tahoma" w:hAnsi="Tahoma" w:cs="Tahoma"/>
                <w:sz w:val="20"/>
                <w:szCs w:val="20"/>
                <w:vertAlign w:val="superscript"/>
              </w:rPr>
              <w:t>2</w:t>
            </w:r>
            <w:r>
              <w:rPr>
                <w:rFonts w:ascii="Tahoma" w:hAnsi="Tahoma" w:cs="Tahoma"/>
                <w:sz w:val="20"/>
                <w:szCs w:val="20"/>
              </w:rPr>
              <w:t xml:space="preserve">, выпущенной в рамках тарифных планов, указанных в п.1.1. Программы, не позднее 10 (десятого) рабочего дня календарного месяца, следующего за месяцем, в котором были совершены транзакции. </w:t>
            </w:r>
          </w:p>
        </w:tc>
      </w:tr>
      <w:tr w:rsidR="006A10B4" w14:paraId="5A7B3218" w14:textId="77777777" w:rsidTr="00EB52FB">
        <w:trPr>
          <w:trHeight w:val="300"/>
        </w:trPr>
        <w:tc>
          <w:tcPr>
            <w:tcW w:w="716" w:type="dxa"/>
            <w:tcBorders>
              <w:top w:val="nil"/>
              <w:left w:val="single" w:sz="4" w:space="0" w:color="auto"/>
              <w:bottom w:val="single" w:sz="4" w:space="0" w:color="auto"/>
              <w:right w:val="single" w:sz="4" w:space="0" w:color="auto"/>
            </w:tcBorders>
            <w:shd w:val="clear" w:color="000000" w:fill="808080"/>
            <w:noWrap/>
            <w:vAlign w:val="center"/>
            <w:hideMark/>
          </w:tcPr>
          <w:p w14:paraId="300A6BBE" w14:textId="77777777" w:rsidR="006A10B4" w:rsidRDefault="006A10B4" w:rsidP="00EB52FB">
            <w:pPr>
              <w:jc w:val="center"/>
              <w:rPr>
                <w:rFonts w:ascii="Tahoma" w:hAnsi="Tahoma" w:cs="Tahoma"/>
                <w:b/>
                <w:bCs/>
                <w:color w:val="FFFFFF"/>
                <w:sz w:val="20"/>
                <w:szCs w:val="20"/>
              </w:rPr>
            </w:pPr>
            <w:r>
              <w:rPr>
                <w:rFonts w:ascii="Tahoma" w:hAnsi="Tahoma" w:cs="Tahoma"/>
                <w:b/>
                <w:bCs/>
                <w:color w:val="FFFFFF"/>
                <w:sz w:val="20"/>
                <w:szCs w:val="20"/>
              </w:rPr>
              <w:t>2.</w:t>
            </w:r>
          </w:p>
        </w:tc>
        <w:tc>
          <w:tcPr>
            <w:tcW w:w="14735" w:type="dxa"/>
            <w:gridSpan w:val="2"/>
            <w:tcBorders>
              <w:top w:val="single" w:sz="4" w:space="0" w:color="auto"/>
              <w:left w:val="nil"/>
              <w:bottom w:val="single" w:sz="4" w:space="0" w:color="auto"/>
              <w:right w:val="single" w:sz="4" w:space="0" w:color="000000"/>
            </w:tcBorders>
            <w:shd w:val="clear" w:color="000000" w:fill="808080"/>
            <w:noWrap/>
            <w:vAlign w:val="center"/>
            <w:hideMark/>
          </w:tcPr>
          <w:p w14:paraId="1AD43829" w14:textId="77777777" w:rsidR="006A10B4" w:rsidRDefault="006A10B4" w:rsidP="00EB52FB">
            <w:pPr>
              <w:rPr>
                <w:rFonts w:ascii="Tahoma" w:hAnsi="Tahoma" w:cs="Tahoma"/>
                <w:b/>
                <w:bCs/>
                <w:color w:val="FFFFFF"/>
                <w:sz w:val="20"/>
                <w:szCs w:val="20"/>
              </w:rPr>
            </w:pPr>
            <w:r>
              <w:rPr>
                <w:rFonts w:ascii="Tahoma" w:hAnsi="Tahoma" w:cs="Tahoma"/>
                <w:b/>
                <w:bCs/>
                <w:color w:val="FFFFFF"/>
                <w:sz w:val="20"/>
                <w:szCs w:val="20"/>
              </w:rPr>
              <w:t>Ограничения применимости</w:t>
            </w:r>
          </w:p>
        </w:tc>
      </w:tr>
      <w:tr w:rsidR="006A10B4" w14:paraId="4B305EBE" w14:textId="77777777" w:rsidTr="00EB52FB">
        <w:trPr>
          <w:trHeight w:val="630"/>
        </w:trPr>
        <w:tc>
          <w:tcPr>
            <w:tcW w:w="716" w:type="dxa"/>
            <w:tcBorders>
              <w:top w:val="nil"/>
              <w:left w:val="single" w:sz="4" w:space="0" w:color="auto"/>
              <w:bottom w:val="single" w:sz="4" w:space="0" w:color="auto"/>
              <w:right w:val="single" w:sz="4" w:space="0" w:color="auto"/>
            </w:tcBorders>
            <w:shd w:val="clear" w:color="000000" w:fill="FFFFFF"/>
            <w:noWrap/>
            <w:vAlign w:val="center"/>
            <w:hideMark/>
          </w:tcPr>
          <w:p w14:paraId="433D9B36" w14:textId="77777777" w:rsidR="006A10B4" w:rsidRDefault="006A10B4" w:rsidP="00EB52FB">
            <w:pPr>
              <w:jc w:val="center"/>
              <w:rPr>
                <w:rFonts w:ascii="Tahoma" w:hAnsi="Tahoma" w:cs="Tahoma"/>
                <w:sz w:val="20"/>
                <w:szCs w:val="20"/>
              </w:rPr>
            </w:pPr>
            <w:r>
              <w:rPr>
                <w:rFonts w:ascii="Tahoma" w:hAnsi="Tahoma" w:cs="Tahoma"/>
                <w:sz w:val="20"/>
                <w:szCs w:val="20"/>
              </w:rPr>
              <w:t>2.1.</w:t>
            </w:r>
          </w:p>
        </w:tc>
        <w:tc>
          <w:tcPr>
            <w:tcW w:w="7535" w:type="dxa"/>
            <w:tcBorders>
              <w:top w:val="nil"/>
              <w:left w:val="nil"/>
              <w:bottom w:val="single" w:sz="4" w:space="0" w:color="auto"/>
              <w:right w:val="single" w:sz="4" w:space="0" w:color="auto"/>
            </w:tcBorders>
            <w:shd w:val="clear" w:color="000000" w:fill="FFFFFF"/>
            <w:vAlign w:val="center"/>
            <w:hideMark/>
          </w:tcPr>
          <w:p w14:paraId="2D782DF3" w14:textId="77777777" w:rsidR="006A10B4" w:rsidRDefault="006A10B4" w:rsidP="00EB52FB">
            <w:pPr>
              <w:rPr>
                <w:rFonts w:ascii="Tahoma" w:hAnsi="Tahoma" w:cs="Tahoma"/>
                <w:sz w:val="20"/>
                <w:szCs w:val="20"/>
              </w:rPr>
            </w:pPr>
            <w:r>
              <w:rPr>
                <w:rFonts w:ascii="Tahoma" w:hAnsi="Tahoma" w:cs="Tahoma"/>
                <w:sz w:val="20"/>
                <w:szCs w:val="20"/>
              </w:rPr>
              <w:t>Общие ограничения применимости Программы, участия, расчета и выплаты кэшбэка</w:t>
            </w:r>
          </w:p>
        </w:tc>
        <w:tc>
          <w:tcPr>
            <w:tcW w:w="7200" w:type="dxa"/>
            <w:tcBorders>
              <w:top w:val="single" w:sz="4" w:space="0" w:color="auto"/>
              <w:left w:val="nil"/>
              <w:bottom w:val="single" w:sz="4" w:space="0" w:color="auto"/>
              <w:right w:val="single" w:sz="4" w:space="0" w:color="000000"/>
            </w:tcBorders>
            <w:shd w:val="clear" w:color="auto" w:fill="auto"/>
            <w:vAlign w:val="center"/>
            <w:hideMark/>
          </w:tcPr>
          <w:p w14:paraId="76879A1E" w14:textId="77777777" w:rsidR="006A10B4" w:rsidRDefault="006A10B4" w:rsidP="00EB52FB">
            <w:pPr>
              <w:jc w:val="center"/>
              <w:rPr>
                <w:rFonts w:ascii="Tahoma" w:hAnsi="Tahoma" w:cs="Tahoma"/>
                <w:sz w:val="20"/>
                <w:szCs w:val="20"/>
              </w:rPr>
            </w:pPr>
            <w:r>
              <w:rPr>
                <w:rFonts w:ascii="Tahoma" w:hAnsi="Tahoma" w:cs="Tahoma"/>
                <w:sz w:val="20"/>
                <w:szCs w:val="20"/>
              </w:rPr>
              <w:t>В соответствии с Программой лояльности</w:t>
            </w:r>
          </w:p>
        </w:tc>
      </w:tr>
      <w:tr w:rsidR="006A10B4" w14:paraId="4F4C9E00" w14:textId="77777777" w:rsidTr="00EB52FB">
        <w:trPr>
          <w:trHeight w:val="300"/>
        </w:trPr>
        <w:tc>
          <w:tcPr>
            <w:tcW w:w="716" w:type="dxa"/>
            <w:tcBorders>
              <w:top w:val="nil"/>
              <w:left w:val="single" w:sz="4" w:space="0" w:color="auto"/>
              <w:bottom w:val="single" w:sz="4" w:space="0" w:color="auto"/>
              <w:right w:val="single" w:sz="4" w:space="0" w:color="auto"/>
            </w:tcBorders>
            <w:shd w:val="clear" w:color="000000" w:fill="FFFFFF"/>
            <w:noWrap/>
            <w:vAlign w:val="center"/>
            <w:hideMark/>
          </w:tcPr>
          <w:p w14:paraId="19AF83F4" w14:textId="77777777" w:rsidR="006A10B4" w:rsidRDefault="006A10B4" w:rsidP="00EB52FB">
            <w:pPr>
              <w:jc w:val="center"/>
              <w:rPr>
                <w:rFonts w:ascii="Tahoma" w:hAnsi="Tahoma" w:cs="Tahoma"/>
                <w:sz w:val="20"/>
                <w:szCs w:val="20"/>
              </w:rPr>
            </w:pPr>
            <w:r>
              <w:rPr>
                <w:rFonts w:ascii="Tahoma" w:hAnsi="Tahoma" w:cs="Tahoma"/>
                <w:sz w:val="20"/>
                <w:szCs w:val="20"/>
              </w:rPr>
              <w:t>2.2.</w:t>
            </w:r>
          </w:p>
        </w:tc>
        <w:tc>
          <w:tcPr>
            <w:tcW w:w="7535" w:type="dxa"/>
            <w:tcBorders>
              <w:top w:val="nil"/>
              <w:left w:val="nil"/>
              <w:bottom w:val="single" w:sz="4" w:space="0" w:color="auto"/>
              <w:right w:val="single" w:sz="4" w:space="0" w:color="auto"/>
            </w:tcBorders>
            <w:shd w:val="clear" w:color="000000" w:fill="FFFFFF"/>
            <w:vAlign w:val="center"/>
            <w:hideMark/>
          </w:tcPr>
          <w:p w14:paraId="7D65F4D0" w14:textId="77777777" w:rsidR="006A10B4" w:rsidRDefault="006A10B4" w:rsidP="00EB52FB">
            <w:pPr>
              <w:rPr>
                <w:rFonts w:ascii="Tahoma" w:hAnsi="Tahoma" w:cs="Tahoma"/>
                <w:sz w:val="20"/>
                <w:szCs w:val="20"/>
              </w:rPr>
            </w:pPr>
            <w:r>
              <w:rPr>
                <w:rFonts w:ascii="Tahoma" w:hAnsi="Tahoma" w:cs="Tahoma"/>
                <w:sz w:val="20"/>
                <w:szCs w:val="20"/>
              </w:rPr>
              <w:t>Максимальная сумма одной транзакции для расчета кэшбэка, в месяц</w:t>
            </w:r>
          </w:p>
        </w:tc>
        <w:tc>
          <w:tcPr>
            <w:tcW w:w="7200" w:type="dxa"/>
            <w:tcBorders>
              <w:top w:val="single" w:sz="4" w:space="0" w:color="auto"/>
              <w:left w:val="nil"/>
              <w:bottom w:val="single" w:sz="4" w:space="0" w:color="auto"/>
              <w:right w:val="single" w:sz="4" w:space="0" w:color="000000"/>
            </w:tcBorders>
            <w:shd w:val="clear" w:color="000000" w:fill="FFFFFF"/>
            <w:noWrap/>
            <w:vAlign w:val="center"/>
            <w:hideMark/>
          </w:tcPr>
          <w:p w14:paraId="4B6DD336" w14:textId="77777777" w:rsidR="006A10B4" w:rsidRDefault="006A10B4" w:rsidP="00EB52FB">
            <w:pPr>
              <w:jc w:val="center"/>
              <w:rPr>
                <w:rFonts w:ascii="Tahoma" w:hAnsi="Tahoma" w:cs="Tahoma"/>
                <w:sz w:val="20"/>
                <w:szCs w:val="20"/>
              </w:rPr>
            </w:pPr>
            <w:r>
              <w:rPr>
                <w:rFonts w:ascii="Tahoma" w:hAnsi="Tahoma" w:cs="Tahoma"/>
                <w:sz w:val="20"/>
                <w:szCs w:val="20"/>
              </w:rPr>
              <w:t>без ограничений</w:t>
            </w:r>
          </w:p>
        </w:tc>
      </w:tr>
      <w:tr w:rsidR="006A10B4" w14:paraId="5AD21A86" w14:textId="77777777" w:rsidTr="00EB52FB">
        <w:trPr>
          <w:trHeight w:val="960"/>
        </w:trPr>
        <w:tc>
          <w:tcPr>
            <w:tcW w:w="716" w:type="dxa"/>
            <w:tcBorders>
              <w:top w:val="nil"/>
              <w:left w:val="single" w:sz="4" w:space="0" w:color="auto"/>
              <w:bottom w:val="single" w:sz="4" w:space="0" w:color="auto"/>
              <w:right w:val="single" w:sz="4" w:space="0" w:color="auto"/>
            </w:tcBorders>
            <w:shd w:val="clear" w:color="000000" w:fill="FFFFFF"/>
            <w:noWrap/>
            <w:vAlign w:val="center"/>
            <w:hideMark/>
          </w:tcPr>
          <w:p w14:paraId="4956489B" w14:textId="77777777" w:rsidR="006A10B4" w:rsidRDefault="006A10B4" w:rsidP="00EB52FB">
            <w:pPr>
              <w:jc w:val="center"/>
              <w:rPr>
                <w:rFonts w:ascii="Tahoma" w:hAnsi="Tahoma" w:cs="Tahoma"/>
                <w:sz w:val="20"/>
                <w:szCs w:val="20"/>
              </w:rPr>
            </w:pPr>
            <w:r>
              <w:rPr>
                <w:rFonts w:ascii="Tahoma" w:hAnsi="Tahoma" w:cs="Tahoma"/>
                <w:sz w:val="20"/>
                <w:szCs w:val="20"/>
              </w:rPr>
              <w:t>2.3.</w:t>
            </w:r>
          </w:p>
        </w:tc>
        <w:tc>
          <w:tcPr>
            <w:tcW w:w="7535" w:type="dxa"/>
            <w:tcBorders>
              <w:top w:val="nil"/>
              <w:left w:val="nil"/>
              <w:bottom w:val="single" w:sz="4" w:space="0" w:color="auto"/>
              <w:right w:val="single" w:sz="4" w:space="0" w:color="auto"/>
            </w:tcBorders>
            <w:shd w:val="clear" w:color="000000" w:fill="FFFFFF"/>
            <w:vAlign w:val="center"/>
            <w:hideMark/>
          </w:tcPr>
          <w:p w14:paraId="0E2C3DA6" w14:textId="77777777" w:rsidR="006A10B4" w:rsidRDefault="006A10B4" w:rsidP="00EB52FB">
            <w:pPr>
              <w:rPr>
                <w:rFonts w:ascii="Tahoma" w:hAnsi="Tahoma" w:cs="Tahoma"/>
                <w:sz w:val="20"/>
                <w:szCs w:val="20"/>
              </w:rPr>
            </w:pPr>
            <w:r>
              <w:rPr>
                <w:rFonts w:ascii="Tahoma" w:hAnsi="Tahoma" w:cs="Tahoma"/>
                <w:sz w:val="20"/>
                <w:szCs w:val="20"/>
              </w:rPr>
              <w:t>Необходимый минимальный транзакционный оборот для выплаты кэшбэка по каждому Счету карты Клиента</w:t>
            </w:r>
            <w:r>
              <w:rPr>
                <w:rFonts w:ascii="Tahoma" w:hAnsi="Tahoma" w:cs="Tahoma"/>
                <w:sz w:val="20"/>
                <w:szCs w:val="20"/>
                <w:vertAlign w:val="superscript"/>
              </w:rPr>
              <w:t>2</w:t>
            </w:r>
            <w:r>
              <w:rPr>
                <w:rFonts w:ascii="Tahoma" w:hAnsi="Tahoma" w:cs="Tahoma"/>
                <w:sz w:val="20"/>
                <w:szCs w:val="20"/>
              </w:rPr>
              <w:t>, соответствующему одному из тарифных планов, указанных в п.1.1. Программы, в месяц</w:t>
            </w:r>
          </w:p>
        </w:tc>
        <w:tc>
          <w:tcPr>
            <w:tcW w:w="7200" w:type="dxa"/>
            <w:tcBorders>
              <w:top w:val="single" w:sz="4" w:space="0" w:color="auto"/>
              <w:left w:val="nil"/>
              <w:bottom w:val="single" w:sz="4" w:space="0" w:color="auto"/>
              <w:right w:val="single" w:sz="4" w:space="0" w:color="000000"/>
            </w:tcBorders>
            <w:shd w:val="clear" w:color="000000" w:fill="FFFFFF"/>
            <w:vAlign w:val="center"/>
            <w:hideMark/>
          </w:tcPr>
          <w:p w14:paraId="5245CCE4" w14:textId="77777777" w:rsidR="006A10B4" w:rsidRDefault="006A10B4" w:rsidP="00EB52FB">
            <w:pPr>
              <w:jc w:val="center"/>
              <w:rPr>
                <w:rFonts w:ascii="Tahoma" w:hAnsi="Tahoma" w:cs="Tahoma"/>
                <w:sz w:val="20"/>
                <w:szCs w:val="20"/>
              </w:rPr>
            </w:pPr>
            <w:r>
              <w:rPr>
                <w:rFonts w:ascii="Tahoma" w:hAnsi="Tahoma" w:cs="Tahoma"/>
                <w:sz w:val="20"/>
                <w:szCs w:val="20"/>
              </w:rPr>
              <w:t>не менее 250 рублей</w:t>
            </w:r>
            <w:r>
              <w:rPr>
                <w:rFonts w:ascii="Tahoma" w:hAnsi="Tahoma" w:cs="Tahoma"/>
                <w:sz w:val="20"/>
                <w:szCs w:val="20"/>
                <w:vertAlign w:val="superscript"/>
              </w:rPr>
              <w:t>3</w:t>
            </w:r>
          </w:p>
        </w:tc>
      </w:tr>
      <w:tr w:rsidR="006A10B4" w14:paraId="2460CB0C" w14:textId="77777777" w:rsidTr="00EB52FB">
        <w:trPr>
          <w:trHeight w:val="300"/>
        </w:trPr>
        <w:tc>
          <w:tcPr>
            <w:tcW w:w="716" w:type="dxa"/>
            <w:tcBorders>
              <w:top w:val="nil"/>
              <w:left w:val="single" w:sz="4" w:space="0" w:color="auto"/>
              <w:bottom w:val="single" w:sz="4" w:space="0" w:color="auto"/>
              <w:right w:val="single" w:sz="4" w:space="0" w:color="auto"/>
            </w:tcBorders>
            <w:shd w:val="clear" w:color="000000" w:fill="FFFFFF"/>
            <w:noWrap/>
            <w:vAlign w:val="center"/>
            <w:hideMark/>
          </w:tcPr>
          <w:p w14:paraId="49505C66" w14:textId="77777777" w:rsidR="006A10B4" w:rsidRDefault="006A10B4" w:rsidP="00EB52FB">
            <w:pPr>
              <w:jc w:val="center"/>
              <w:rPr>
                <w:rFonts w:ascii="Tahoma" w:hAnsi="Tahoma" w:cs="Tahoma"/>
                <w:sz w:val="20"/>
                <w:szCs w:val="20"/>
              </w:rPr>
            </w:pPr>
            <w:r>
              <w:rPr>
                <w:rFonts w:ascii="Tahoma" w:hAnsi="Tahoma" w:cs="Tahoma"/>
                <w:sz w:val="20"/>
                <w:szCs w:val="20"/>
              </w:rPr>
              <w:t>2.4.</w:t>
            </w:r>
          </w:p>
        </w:tc>
        <w:tc>
          <w:tcPr>
            <w:tcW w:w="7535" w:type="dxa"/>
            <w:tcBorders>
              <w:top w:val="nil"/>
              <w:left w:val="nil"/>
              <w:bottom w:val="single" w:sz="4" w:space="0" w:color="auto"/>
              <w:right w:val="single" w:sz="4" w:space="0" w:color="auto"/>
            </w:tcBorders>
            <w:shd w:val="clear" w:color="000000" w:fill="FFFFFF"/>
            <w:vAlign w:val="center"/>
            <w:hideMark/>
          </w:tcPr>
          <w:p w14:paraId="2AF5871A" w14:textId="77777777" w:rsidR="006A10B4" w:rsidRDefault="006A10B4" w:rsidP="00EB52FB">
            <w:pPr>
              <w:rPr>
                <w:rFonts w:ascii="Tahoma" w:hAnsi="Tahoma" w:cs="Tahoma"/>
                <w:sz w:val="20"/>
                <w:szCs w:val="20"/>
              </w:rPr>
            </w:pPr>
            <w:r>
              <w:rPr>
                <w:rFonts w:ascii="Tahoma" w:hAnsi="Tahoma" w:cs="Tahoma"/>
                <w:sz w:val="20"/>
                <w:szCs w:val="20"/>
              </w:rPr>
              <w:t>Максимальная сумма кэшбэка в месяц в рамках Программы</w:t>
            </w:r>
          </w:p>
        </w:tc>
        <w:tc>
          <w:tcPr>
            <w:tcW w:w="7200" w:type="dxa"/>
            <w:tcBorders>
              <w:top w:val="single" w:sz="4" w:space="0" w:color="auto"/>
              <w:left w:val="nil"/>
              <w:bottom w:val="single" w:sz="4" w:space="0" w:color="auto"/>
              <w:right w:val="single" w:sz="4" w:space="0" w:color="000000"/>
            </w:tcBorders>
            <w:shd w:val="clear" w:color="000000" w:fill="FFFFFF"/>
            <w:noWrap/>
            <w:vAlign w:val="center"/>
            <w:hideMark/>
          </w:tcPr>
          <w:p w14:paraId="284CC651" w14:textId="77777777" w:rsidR="006A10B4" w:rsidRDefault="006A10B4" w:rsidP="00EB52FB">
            <w:pPr>
              <w:jc w:val="center"/>
              <w:rPr>
                <w:rFonts w:ascii="Tahoma" w:hAnsi="Tahoma" w:cs="Tahoma"/>
                <w:sz w:val="20"/>
                <w:szCs w:val="20"/>
              </w:rPr>
            </w:pPr>
            <w:r>
              <w:rPr>
                <w:rFonts w:ascii="Tahoma" w:hAnsi="Tahoma" w:cs="Tahoma"/>
                <w:sz w:val="20"/>
                <w:szCs w:val="20"/>
              </w:rPr>
              <w:t>5 000 (пять тысяч) рублей</w:t>
            </w:r>
          </w:p>
        </w:tc>
      </w:tr>
      <w:tr w:rsidR="006A10B4" w14:paraId="1A72FC8C" w14:textId="77777777" w:rsidTr="00EB52FB">
        <w:trPr>
          <w:trHeight w:val="870"/>
        </w:trPr>
        <w:tc>
          <w:tcPr>
            <w:tcW w:w="71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05A58FD" w14:textId="77777777" w:rsidR="006A10B4" w:rsidRDefault="006A10B4" w:rsidP="00EB52FB">
            <w:pPr>
              <w:jc w:val="center"/>
              <w:rPr>
                <w:rFonts w:ascii="Tahoma" w:hAnsi="Tahoma" w:cs="Tahoma"/>
                <w:sz w:val="20"/>
                <w:szCs w:val="20"/>
              </w:rPr>
            </w:pPr>
            <w:r>
              <w:rPr>
                <w:rFonts w:ascii="Tahoma" w:hAnsi="Tahoma" w:cs="Tahoma"/>
                <w:sz w:val="20"/>
                <w:szCs w:val="20"/>
              </w:rPr>
              <w:t>2.5.</w:t>
            </w:r>
          </w:p>
        </w:tc>
        <w:tc>
          <w:tcPr>
            <w:tcW w:w="7535"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15149C48" w14:textId="77777777" w:rsidR="006A10B4" w:rsidRDefault="006A10B4" w:rsidP="00EB52FB">
            <w:pPr>
              <w:rPr>
                <w:rFonts w:ascii="Tahoma" w:hAnsi="Tahoma" w:cs="Tahoma"/>
                <w:sz w:val="20"/>
                <w:szCs w:val="20"/>
              </w:rPr>
            </w:pPr>
            <w:r>
              <w:rPr>
                <w:rFonts w:ascii="Tahoma" w:hAnsi="Tahoma" w:cs="Tahoma"/>
                <w:sz w:val="20"/>
                <w:szCs w:val="20"/>
              </w:rPr>
              <w:t>Прочие ограничения</w:t>
            </w:r>
          </w:p>
        </w:tc>
        <w:tc>
          <w:tcPr>
            <w:tcW w:w="7200" w:type="dxa"/>
            <w:tcBorders>
              <w:top w:val="single" w:sz="4" w:space="0" w:color="auto"/>
              <w:left w:val="nil"/>
              <w:bottom w:val="single" w:sz="4" w:space="0" w:color="auto"/>
              <w:right w:val="single" w:sz="4" w:space="0" w:color="000000"/>
            </w:tcBorders>
            <w:shd w:val="clear" w:color="000000" w:fill="FFFFFF"/>
            <w:vAlign w:val="center"/>
            <w:hideMark/>
          </w:tcPr>
          <w:p w14:paraId="52BC3CBD" w14:textId="77777777" w:rsidR="006A10B4" w:rsidRDefault="006A10B4" w:rsidP="00EB52FB">
            <w:pPr>
              <w:jc w:val="center"/>
              <w:rPr>
                <w:rFonts w:ascii="Tahoma" w:hAnsi="Tahoma" w:cs="Tahoma"/>
                <w:sz w:val="20"/>
                <w:szCs w:val="20"/>
              </w:rPr>
            </w:pPr>
            <w:r>
              <w:rPr>
                <w:rFonts w:ascii="Tahoma" w:hAnsi="Tahoma" w:cs="Tahoma"/>
                <w:sz w:val="20"/>
                <w:szCs w:val="20"/>
              </w:rPr>
              <w:t>В начислении кэшбэка не учитываются операции внесения и выдачи наличных денежных средств, платежей и денежных переводов в каналах дистанционного банковского обслуживания и сервисах самообслуживания (включая операции с использованием Системы быстрых платежей и СБПэй, в т.ч. с использованием QR-кодов), покупки с выдачей наличных денежных средств, а также операции в иностранной валюте.</w:t>
            </w:r>
          </w:p>
        </w:tc>
      </w:tr>
      <w:tr w:rsidR="006A10B4" w14:paraId="301A1D20" w14:textId="77777777" w:rsidTr="00EB52FB">
        <w:trPr>
          <w:trHeight w:val="510"/>
        </w:trPr>
        <w:tc>
          <w:tcPr>
            <w:tcW w:w="716" w:type="dxa"/>
            <w:vMerge/>
            <w:tcBorders>
              <w:top w:val="nil"/>
              <w:left w:val="single" w:sz="4" w:space="0" w:color="auto"/>
              <w:bottom w:val="single" w:sz="4" w:space="0" w:color="000000"/>
              <w:right w:val="single" w:sz="4" w:space="0" w:color="auto"/>
            </w:tcBorders>
            <w:vAlign w:val="center"/>
            <w:hideMark/>
          </w:tcPr>
          <w:p w14:paraId="484F5130" w14:textId="77777777" w:rsidR="006A10B4" w:rsidRDefault="006A10B4" w:rsidP="00EB52FB">
            <w:pPr>
              <w:rPr>
                <w:rFonts w:ascii="Tahoma" w:hAnsi="Tahoma" w:cs="Tahoma"/>
                <w:sz w:val="20"/>
                <w:szCs w:val="20"/>
              </w:rPr>
            </w:pPr>
          </w:p>
        </w:tc>
        <w:tc>
          <w:tcPr>
            <w:tcW w:w="7535" w:type="dxa"/>
            <w:vMerge/>
            <w:tcBorders>
              <w:top w:val="nil"/>
              <w:left w:val="single" w:sz="4" w:space="0" w:color="auto"/>
              <w:bottom w:val="single" w:sz="4" w:space="0" w:color="000000"/>
              <w:right w:val="single" w:sz="4" w:space="0" w:color="auto"/>
            </w:tcBorders>
            <w:vAlign w:val="center"/>
            <w:hideMark/>
          </w:tcPr>
          <w:p w14:paraId="25EA7F79" w14:textId="77777777" w:rsidR="006A10B4" w:rsidRDefault="006A10B4" w:rsidP="00EB52FB">
            <w:pPr>
              <w:rPr>
                <w:rFonts w:ascii="Tahoma" w:hAnsi="Tahoma" w:cs="Tahoma"/>
                <w:sz w:val="20"/>
                <w:szCs w:val="20"/>
              </w:rPr>
            </w:pPr>
          </w:p>
        </w:tc>
        <w:tc>
          <w:tcPr>
            <w:tcW w:w="7200" w:type="dxa"/>
            <w:tcBorders>
              <w:top w:val="single" w:sz="4" w:space="0" w:color="auto"/>
              <w:left w:val="nil"/>
              <w:bottom w:val="single" w:sz="4" w:space="0" w:color="auto"/>
              <w:right w:val="single" w:sz="4" w:space="0" w:color="000000"/>
            </w:tcBorders>
            <w:shd w:val="clear" w:color="000000" w:fill="FFFFFF"/>
            <w:vAlign w:val="center"/>
            <w:hideMark/>
          </w:tcPr>
          <w:p w14:paraId="3029010D" w14:textId="77777777" w:rsidR="006A10B4" w:rsidRDefault="006A10B4" w:rsidP="00EB52FB">
            <w:pPr>
              <w:jc w:val="center"/>
              <w:rPr>
                <w:rFonts w:ascii="Tahoma" w:hAnsi="Tahoma" w:cs="Tahoma"/>
                <w:sz w:val="20"/>
                <w:szCs w:val="20"/>
              </w:rPr>
            </w:pPr>
            <w:r>
              <w:rPr>
                <w:rFonts w:ascii="Tahoma" w:hAnsi="Tahoma" w:cs="Tahoma"/>
                <w:sz w:val="20"/>
                <w:szCs w:val="20"/>
              </w:rPr>
              <w:t>В начислении кэшбэка не учитываются транзакции, подпадающие в список исключений МСС-кодов, указанных в Программе лояльности и на Сайте Банка www.atb.su</w:t>
            </w:r>
          </w:p>
        </w:tc>
      </w:tr>
      <w:tr w:rsidR="006A10B4" w14:paraId="155C89D5" w14:textId="77777777" w:rsidTr="00EB52FB">
        <w:trPr>
          <w:trHeight w:val="300"/>
        </w:trPr>
        <w:tc>
          <w:tcPr>
            <w:tcW w:w="716" w:type="dxa"/>
            <w:tcBorders>
              <w:top w:val="nil"/>
              <w:left w:val="single" w:sz="4" w:space="0" w:color="auto"/>
              <w:bottom w:val="single" w:sz="4" w:space="0" w:color="auto"/>
              <w:right w:val="single" w:sz="4" w:space="0" w:color="auto"/>
            </w:tcBorders>
            <w:shd w:val="clear" w:color="000000" w:fill="808080"/>
            <w:noWrap/>
            <w:vAlign w:val="center"/>
            <w:hideMark/>
          </w:tcPr>
          <w:p w14:paraId="74DC2073" w14:textId="77777777" w:rsidR="006A10B4" w:rsidRDefault="006A10B4" w:rsidP="00EB52FB">
            <w:pPr>
              <w:jc w:val="center"/>
              <w:rPr>
                <w:rFonts w:ascii="Tahoma" w:hAnsi="Tahoma" w:cs="Tahoma"/>
                <w:b/>
                <w:bCs/>
                <w:color w:val="FFFFFF"/>
                <w:sz w:val="20"/>
                <w:szCs w:val="20"/>
              </w:rPr>
            </w:pPr>
            <w:r>
              <w:rPr>
                <w:rFonts w:ascii="Tahoma" w:hAnsi="Tahoma" w:cs="Tahoma"/>
                <w:b/>
                <w:bCs/>
                <w:color w:val="FFFFFF"/>
                <w:sz w:val="20"/>
                <w:szCs w:val="20"/>
              </w:rPr>
              <w:t>3.</w:t>
            </w:r>
          </w:p>
        </w:tc>
        <w:tc>
          <w:tcPr>
            <w:tcW w:w="14735" w:type="dxa"/>
            <w:gridSpan w:val="2"/>
            <w:tcBorders>
              <w:top w:val="single" w:sz="4" w:space="0" w:color="auto"/>
              <w:left w:val="nil"/>
              <w:bottom w:val="single" w:sz="4" w:space="0" w:color="auto"/>
              <w:right w:val="single" w:sz="4" w:space="0" w:color="000000"/>
            </w:tcBorders>
            <w:shd w:val="clear" w:color="000000" w:fill="808080"/>
            <w:noWrap/>
            <w:vAlign w:val="center"/>
            <w:hideMark/>
          </w:tcPr>
          <w:p w14:paraId="3BD5D516" w14:textId="77777777" w:rsidR="006A10B4" w:rsidRDefault="006A10B4" w:rsidP="00EB52FB">
            <w:pPr>
              <w:rPr>
                <w:rFonts w:ascii="Tahoma" w:hAnsi="Tahoma" w:cs="Tahoma"/>
                <w:b/>
                <w:bCs/>
                <w:color w:val="FFFFFF"/>
                <w:sz w:val="20"/>
                <w:szCs w:val="20"/>
              </w:rPr>
            </w:pPr>
            <w:r>
              <w:rPr>
                <w:rFonts w:ascii="Tahoma" w:hAnsi="Tahoma" w:cs="Tahoma"/>
                <w:b/>
                <w:bCs/>
                <w:color w:val="FFFFFF"/>
                <w:sz w:val="20"/>
                <w:szCs w:val="20"/>
              </w:rPr>
              <w:t>Категории расчета кэшбэка</w:t>
            </w:r>
          </w:p>
        </w:tc>
      </w:tr>
      <w:tr w:rsidR="006A10B4" w14:paraId="115FBC5B" w14:textId="77777777" w:rsidTr="00EB52FB">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1A2065E1" w14:textId="77777777" w:rsidR="006A10B4" w:rsidRDefault="006A10B4" w:rsidP="00EB52FB">
            <w:pPr>
              <w:jc w:val="center"/>
              <w:rPr>
                <w:rFonts w:ascii="Tahoma" w:hAnsi="Tahoma" w:cs="Tahoma"/>
                <w:sz w:val="20"/>
                <w:szCs w:val="20"/>
              </w:rPr>
            </w:pPr>
            <w:r>
              <w:rPr>
                <w:rFonts w:ascii="Tahoma" w:hAnsi="Tahoma" w:cs="Tahoma"/>
                <w:sz w:val="20"/>
                <w:szCs w:val="20"/>
              </w:rPr>
              <w:t>3.1.</w:t>
            </w:r>
          </w:p>
        </w:tc>
        <w:tc>
          <w:tcPr>
            <w:tcW w:w="7535" w:type="dxa"/>
            <w:tcBorders>
              <w:top w:val="nil"/>
              <w:left w:val="nil"/>
              <w:bottom w:val="single" w:sz="4" w:space="0" w:color="auto"/>
              <w:right w:val="single" w:sz="4" w:space="0" w:color="auto"/>
            </w:tcBorders>
            <w:shd w:val="clear" w:color="auto" w:fill="auto"/>
            <w:vAlign w:val="center"/>
            <w:hideMark/>
          </w:tcPr>
          <w:p w14:paraId="67F136BD" w14:textId="77777777" w:rsidR="006A10B4" w:rsidRDefault="006A10B4" w:rsidP="00EB52FB">
            <w:pPr>
              <w:rPr>
                <w:rFonts w:ascii="Tahoma" w:hAnsi="Tahoma" w:cs="Tahoma"/>
                <w:sz w:val="20"/>
                <w:szCs w:val="20"/>
              </w:rPr>
            </w:pPr>
            <w:r>
              <w:rPr>
                <w:rFonts w:ascii="Tahoma" w:hAnsi="Tahoma" w:cs="Tahoma"/>
                <w:sz w:val="20"/>
                <w:szCs w:val="20"/>
              </w:rPr>
              <w:t>Стандартная</w:t>
            </w:r>
          </w:p>
        </w:tc>
        <w:tc>
          <w:tcPr>
            <w:tcW w:w="7200" w:type="dxa"/>
            <w:tcBorders>
              <w:top w:val="single" w:sz="4" w:space="0" w:color="auto"/>
              <w:left w:val="nil"/>
              <w:bottom w:val="single" w:sz="4" w:space="0" w:color="auto"/>
              <w:right w:val="single" w:sz="4" w:space="0" w:color="000000"/>
            </w:tcBorders>
            <w:shd w:val="clear" w:color="000000" w:fill="FFFFFF"/>
            <w:noWrap/>
            <w:vAlign w:val="center"/>
            <w:hideMark/>
          </w:tcPr>
          <w:p w14:paraId="2BCDCDDF" w14:textId="77777777" w:rsidR="006A10B4" w:rsidRDefault="006A10B4" w:rsidP="00EB52FB">
            <w:pPr>
              <w:jc w:val="center"/>
              <w:rPr>
                <w:rFonts w:ascii="Tahoma" w:hAnsi="Tahoma" w:cs="Tahoma"/>
                <w:sz w:val="20"/>
                <w:szCs w:val="20"/>
              </w:rPr>
            </w:pPr>
            <w:r>
              <w:rPr>
                <w:rFonts w:ascii="Tahoma" w:hAnsi="Tahoma" w:cs="Tahoma"/>
                <w:sz w:val="20"/>
                <w:szCs w:val="20"/>
              </w:rPr>
              <w:t>не предусмотрено</w:t>
            </w:r>
          </w:p>
        </w:tc>
      </w:tr>
      <w:tr w:rsidR="006A10B4" w14:paraId="6890304B" w14:textId="77777777" w:rsidTr="00EB52FB">
        <w:trPr>
          <w:trHeight w:val="76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20C9A875" w14:textId="77777777" w:rsidR="006A10B4" w:rsidRDefault="006A10B4" w:rsidP="00EB52FB">
            <w:pPr>
              <w:jc w:val="center"/>
              <w:rPr>
                <w:rFonts w:ascii="Tahoma" w:hAnsi="Tahoma" w:cs="Tahoma"/>
                <w:sz w:val="20"/>
                <w:szCs w:val="20"/>
              </w:rPr>
            </w:pPr>
            <w:r>
              <w:rPr>
                <w:rFonts w:ascii="Tahoma" w:hAnsi="Tahoma" w:cs="Tahoma"/>
                <w:sz w:val="20"/>
                <w:szCs w:val="20"/>
              </w:rPr>
              <w:t>3.2.</w:t>
            </w:r>
          </w:p>
        </w:tc>
        <w:tc>
          <w:tcPr>
            <w:tcW w:w="7535" w:type="dxa"/>
            <w:tcBorders>
              <w:top w:val="nil"/>
              <w:left w:val="nil"/>
              <w:bottom w:val="single" w:sz="4" w:space="0" w:color="auto"/>
              <w:right w:val="single" w:sz="4" w:space="0" w:color="auto"/>
            </w:tcBorders>
            <w:shd w:val="clear" w:color="000000" w:fill="FFFFFF"/>
            <w:vAlign w:val="center"/>
            <w:hideMark/>
          </w:tcPr>
          <w:p w14:paraId="73504939" w14:textId="77777777" w:rsidR="006A10B4" w:rsidRDefault="006A10B4" w:rsidP="00EB52FB">
            <w:pPr>
              <w:rPr>
                <w:rFonts w:ascii="Tahoma" w:hAnsi="Tahoma" w:cs="Tahoma"/>
                <w:sz w:val="20"/>
                <w:szCs w:val="20"/>
              </w:rPr>
            </w:pPr>
            <w:r>
              <w:rPr>
                <w:rFonts w:ascii="Tahoma" w:hAnsi="Tahoma" w:cs="Tahoma"/>
                <w:sz w:val="20"/>
                <w:szCs w:val="20"/>
              </w:rPr>
              <w:t xml:space="preserve">Повышенная (выбор (подключение) осуществляется Клиентом самостоятельно в Личном кабинете </w:t>
            </w:r>
            <w:r>
              <w:rPr>
                <w:rFonts w:ascii="Tahoma" w:hAnsi="Tahoma" w:cs="Tahoma"/>
                <w:sz w:val="18"/>
                <w:szCs w:val="18"/>
              </w:rPr>
              <w:t>)</w:t>
            </w:r>
          </w:p>
        </w:tc>
        <w:tc>
          <w:tcPr>
            <w:tcW w:w="7200" w:type="dxa"/>
            <w:tcBorders>
              <w:top w:val="single" w:sz="4" w:space="0" w:color="auto"/>
              <w:left w:val="nil"/>
              <w:bottom w:val="single" w:sz="4" w:space="0" w:color="auto"/>
              <w:right w:val="single" w:sz="4" w:space="0" w:color="000000"/>
            </w:tcBorders>
            <w:shd w:val="clear" w:color="000000" w:fill="FFFFFF"/>
            <w:vAlign w:val="center"/>
            <w:hideMark/>
          </w:tcPr>
          <w:p w14:paraId="6A15FCCD" w14:textId="77777777" w:rsidR="006A10B4" w:rsidRDefault="006A10B4" w:rsidP="00EB52FB">
            <w:pPr>
              <w:jc w:val="center"/>
              <w:rPr>
                <w:rFonts w:ascii="Tahoma" w:hAnsi="Tahoma" w:cs="Tahoma"/>
                <w:sz w:val="20"/>
                <w:szCs w:val="20"/>
              </w:rPr>
            </w:pPr>
            <w:r>
              <w:rPr>
                <w:rFonts w:ascii="Tahoma" w:hAnsi="Tahoma" w:cs="Tahoma"/>
                <w:sz w:val="20"/>
                <w:szCs w:val="20"/>
              </w:rPr>
              <w:t>Транзакции, к которым не была применена ставка, указанная в пп.4-5 Программы, применяются ставка и условия, указаные в п.3.1 Программы.</w:t>
            </w:r>
          </w:p>
        </w:tc>
      </w:tr>
      <w:tr w:rsidR="006A10B4" w14:paraId="4C2783E7" w14:textId="77777777" w:rsidTr="00EB52FB">
        <w:trPr>
          <w:trHeight w:val="300"/>
        </w:trPr>
        <w:tc>
          <w:tcPr>
            <w:tcW w:w="716" w:type="dxa"/>
            <w:tcBorders>
              <w:top w:val="nil"/>
              <w:left w:val="single" w:sz="4" w:space="0" w:color="auto"/>
              <w:bottom w:val="single" w:sz="4" w:space="0" w:color="auto"/>
              <w:right w:val="single" w:sz="4" w:space="0" w:color="auto"/>
            </w:tcBorders>
            <w:shd w:val="clear" w:color="000000" w:fill="808080"/>
            <w:noWrap/>
            <w:vAlign w:val="center"/>
            <w:hideMark/>
          </w:tcPr>
          <w:p w14:paraId="7E9995B1" w14:textId="77777777" w:rsidR="006A10B4" w:rsidRDefault="006A10B4" w:rsidP="00EB52FB">
            <w:pPr>
              <w:jc w:val="center"/>
              <w:rPr>
                <w:rFonts w:ascii="Tahoma" w:hAnsi="Tahoma" w:cs="Tahoma"/>
                <w:b/>
                <w:bCs/>
                <w:color w:val="FFFFFF"/>
                <w:sz w:val="20"/>
                <w:szCs w:val="20"/>
              </w:rPr>
            </w:pPr>
            <w:r>
              <w:rPr>
                <w:rFonts w:ascii="Tahoma" w:hAnsi="Tahoma" w:cs="Tahoma"/>
                <w:b/>
                <w:bCs/>
                <w:color w:val="FFFFFF"/>
                <w:sz w:val="20"/>
                <w:szCs w:val="20"/>
              </w:rPr>
              <w:t>4.</w:t>
            </w:r>
          </w:p>
        </w:tc>
        <w:tc>
          <w:tcPr>
            <w:tcW w:w="14735" w:type="dxa"/>
            <w:gridSpan w:val="2"/>
            <w:tcBorders>
              <w:top w:val="single" w:sz="4" w:space="0" w:color="auto"/>
              <w:left w:val="nil"/>
              <w:bottom w:val="single" w:sz="4" w:space="0" w:color="auto"/>
              <w:right w:val="single" w:sz="4" w:space="0" w:color="000000"/>
            </w:tcBorders>
            <w:shd w:val="clear" w:color="000000" w:fill="808080"/>
            <w:noWrap/>
            <w:vAlign w:val="center"/>
            <w:hideMark/>
          </w:tcPr>
          <w:p w14:paraId="6510AF72" w14:textId="77777777" w:rsidR="006A10B4" w:rsidRDefault="006A10B4" w:rsidP="00EB52FB">
            <w:pPr>
              <w:rPr>
                <w:rFonts w:ascii="Tahoma" w:hAnsi="Tahoma" w:cs="Tahoma"/>
                <w:b/>
                <w:bCs/>
                <w:color w:val="FFFFFF"/>
                <w:sz w:val="20"/>
                <w:szCs w:val="20"/>
              </w:rPr>
            </w:pPr>
            <w:r>
              <w:rPr>
                <w:rFonts w:ascii="Tahoma" w:hAnsi="Tahoma" w:cs="Tahoma"/>
                <w:b/>
                <w:bCs/>
                <w:color w:val="FFFFFF"/>
                <w:sz w:val="20"/>
                <w:szCs w:val="20"/>
              </w:rPr>
              <w:t>Категории повышенного кэшбэка, на выбор Участника Программы</w:t>
            </w:r>
          </w:p>
        </w:tc>
      </w:tr>
      <w:tr w:rsidR="006A10B4" w14:paraId="44704EE2" w14:textId="77777777" w:rsidTr="00EB52FB">
        <w:trPr>
          <w:trHeight w:val="300"/>
        </w:trPr>
        <w:tc>
          <w:tcPr>
            <w:tcW w:w="716" w:type="dxa"/>
            <w:tcBorders>
              <w:top w:val="nil"/>
              <w:left w:val="single" w:sz="4" w:space="0" w:color="auto"/>
              <w:bottom w:val="single" w:sz="4" w:space="0" w:color="auto"/>
              <w:right w:val="single" w:sz="4" w:space="0" w:color="auto"/>
            </w:tcBorders>
            <w:shd w:val="clear" w:color="000000" w:fill="FFFFFF"/>
            <w:noWrap/>
            <w:vAlign w:val="center"/>
            <w:hideMark/>
          </w:tcPr>
          <w:p w14:paraId="22FC0671" w14:textId="77777777" w:rsidR="006A10B4" w:rsidRDefault="006A10B4" w:rsidP="00EB52FB">
            <w:pPr>
              <w:jc w:val="center"/>
              <w:rPr>
                <w:rFonts w:ascii="Tahoma" w:hAnsi="Tahoma" w:cs="Tahoma"/>
                <w:sz w:val="20"/>
                <w:szCs w:val="20"/>
              </w:rPr>
            </w:pPr>
            <w:r>
              <w:rPr>
                <w:rFonts w:ascii="Tahoma" w:hAnsi="Tahoma" w:cs="Tahoma"/>
                <w:sz w:val="20"/>
                <w:szCs w:val="20"/>
              </w:rPr>
              <w:t>4.1.</w:t>
            </w:r>
          </w:p>
        </w:tc>
        <w:tc>
          <w:tcPr>
            <w:tcW w:w="7535" w:type="dxa"/>
            <w:tcBorders>
              <w:top w:val="nil"/>
              <w:left w:val="nil"/>
              <w:bottom w:val="single" w:sz="4" w:space="0" w:color="auto"/>
              <w:right w:val="single" w:sz="4" w:space="0" w:color="auto"/>
            </w:tcBorders>
            <w:shd w:val="clear" w:color="000000" w:fill="FFFFFF"/>
            <w:noWrap/>
            <w:vAlign w:val="center"/>
            <w:hideMark/>
          </w:tcPr>
          <w:p w14:paraId="398FE881" w14:textId="77777777" w:rsidR="006A10B4" w:rsidRDefault="006A10B4" w:rsidP="00EB52FB">
            <w:pPr>
              <w:rPr>
                <w:rFonts w:ascii="Tahoma" w:hAnsi="Tahoma" w:cs="Tahoma"/>
                <w:sz w:val="20"/>
                <w:szCs w:val="20"/>
              </w:rPr>
            </w:pPr>
            <w:r>
              <w:rPr>
                <w:rFonts w:ascii="Tahoma" w:hAnsi="Tahoma" w:cs="Tahoma"/>
                <w:sz w:val="20"/>
                <w:szCs w:val="20"/>
              </w:rPr>
              <w:t>Счастливое детство</w:t>
            </w:r>
          </w:p>
        </w:tc>
        <w:tc>
          <w:tcPr>
            <w:tcW w:w="7200" w:type="dxa"/>
            <w:tcBorders>
              <w:top w:val="single" w:sz="4" w:space="0" w:color="auto"/>
              <w:left w:val="nil"/>
              <w:bottom w:val="nil"/>
              <w:right w:val="single" w:sz="4" w:space="0" w:color="000000"/>
            </w:tcBorders>
            <w:shd w:val="clear" w:color="auto" w:fill="auto"/>
            <w:noWrap/>
            <w:vAlign w:val="center"/>
            <w:hideMark/>
          </w:tcPr>
          <w:p w14:paraId="60D77354" w14:textId="77777777" w:rsidR="006A10B4" w:rsidRDefault="006A10B4" w:rsidP="00EB52FB">
            <w:pPr>
              <w:jc w:val="center"/>
              <w:rPr>
                <w:rFonts w:ascii="Tahoma" w:hAnsi="Tahoma" w:cs="Tahoma"/>
                <w:b/>
                <w:bCs/>
                <w:color w:val="000000"/>
                <w:sz w:val="20"/>
                <w:szCs w:val="20"/>
              </w:rPr>
            </w:pPr>
            <w:r>
              <w:rPr>
                <w:rFonts w:ascii="Tahoma" w:hAnsi="Tahoma" w:cs="Tahoma"/>
                <w:b/>
                <w:bCs/>
                <w:color w:val="000000"/>
                <w:sz w:val="20"/>
                <w:szCs w:val="20"/>
              </w:rPr>
              <w:t>5%</w:t>
            </w:r>
            <w:r>
              <w:rPr>
                <w:rFonts w:ascii="Tahoma" w:hAnsi="Tahoma" w:cs="Tahoma"/>
                <w:color w:val="000000"/>
                <w:sz w:val="20"/>
                <w:szCs w:val="20"/>
              </w:rPr>
              <w:t xml:space="preserve"> от каждых достигнутых 100 рублей транзакции</w:t>
            </w:r>
            <w:r>
              <w:rPr>
                <w:rFonts w:ascii="Tahoma" w:hAnsi="Tahoma" w:cs="Tahoma"/>
                <w:color w:val="000000"/>
                <w:sz w:val="20"/>
                <w:szCs w:val="20"/>
                <w:vertAlign w:val="superscript"/>
              </w:rPr>
              <w:t>4</w:t>
            </w:r>
          </w:p>
        </w:tc>
      </w:tr>
      <w:tr w:rsidR="006A10B4" w14:paraId="4738C80C" w14:textId="77777777" w:rsidTr="00EB52FB">
        <w:trPr>
          <w:trHeight w:val="300"/>
        </w:trPr>
        <w:tc>
          <w:tcPr>
            <w:tcW w:w="716" w:type="dxa"/>
            <w:tcBorders>
              <w:top w:val="nil"/>
              <w:left w:val="single" w:sz="4" w:space="0" w:color="auto"/>
              <w:bottom w:val="single" w:sz="4" w:space="0" w:color="auto"/>
              <w:right w:val="single" w:sz="4" w:space="0" w:color="auto"/>
            </w:tcBorders>
            <w:shd w:val="clear" w:color="000000" w:fill="808080"/>
            <w:noWrap/>
            <w:vAlign w:val="center"/>
            <w:hideMark/>
          </w:tcPr>
          <w:p w14:paraId="238F0720" w14:textId="77777777" w:rsidR="006A10B4" w:rsidRDefault="006A10B4" w:rsidP="00EB52FB">
            <w:pPr>
              <w:jc w:val="center"/>
              <w:rPr>
                <w:rFonts w:ascii="Tahoma" w:hAnsi="Tahoma" w:cs="Tahoma"/>
                <w:b/>
                <w:bCs/>
                <w:color w:val="FFFFFF"/>
                <w:sz w:val="20"/>
                <w:szCs w:val="20"/>
              </w:rPr>
            </w:pPr>
            <w:r>
              <w:rPr>
                <w:rFonts w:ascii="Tahoma" w:hAnsi="Tahoma" w:cs="Tahoma"/>
                <w:b/>
                <w:bCs/>
                <w:color w:val="FFFFFF"/>
                <w:sz w:val="20"/>
                <w:szCs w:val="20"/>
              </w:rPr>
              <w:t>5.</w:t>
            </w:r>
          </w:p>
        </w:tc>
        <w:tc>
          <w:tcPr>
            <w:tcW w:w="14735" w:type="dxa"/>
            <w:gridSpan w:val="2"/>
            <w:tcBorders>
              <w:top w:val="single" w:sz="4" w:space="0" w:color="auto"/>
              <w:left w:val="nil"/>
              <w:bottom w:val="single" w:sz="4" w:space="0" w:color="auto"/>
              <w:right w:val="single" w:sz="4" w:space="0" w:color="000000"/>
            </w:tcBorders>
            <w:shd w:val="clear" w:color="000000" w:fill="808080"/>
            <w:noWrap/>
            <w:vAlign w:val="center"/>
            <w:hideMark/>
          </w:tcPr>
          <w:p w14:paraId="411113FE" w14:textId="77777777" w:rsidR="006A10B4" w:rsidRDefault="006A10B4" w:rsidP="00EB52FB">
            <w:pPr>
              <w:rPr>
                <w:rFonts w:ascii="Tahoma" w:hAnsi="Tahoma" w:cs="Tahoma"/>
                <w:b/>
                <w:bCs/>
                <w:color w:val="FFFFFF"/>
                <w:sz w:val="20"/>
                <w:szCs w:val="20"/>
              </w:rPr>
            </w:pPr>
            <w:r>
              <w:rPr>
                <w:rFonts w:ascii="Tahoma" w:hAnsi="Tahoma" w:cs="Tahoma"/>
                <w:b/>
                <w:bCs/>
                <w:color w:val="FFFFFF"/>
                <w:sz w:val="20"/>
                <w:szCs w:val="20"/>
              </w:rPr>
              <w:t>Перечень МСС-кодов по категориям</w:t>
            </w:r>
          </w:p>
        </w:tc>
      </w:tr>
      <w:tr w:rsidR="006A10B4" w14:paraId="69F3E6B9" w14:textId="77777777" w:rsidTr="00EB52FB">
        <w:trPr>
          <w:trHeight w:val="675"/>
        </w:trPr>
        <w:tc>
          <w:tcPr>
            <w:tcW w:w="716" w:type="dxa"/>
            <w:tcBorders>
              <w:top w:val="nil"/>
              <w:left w:val="single" w:sz="4" w:space="0" w:color="auto"/>
              <w:bottom w:val="single" w:sz="4" w:space="0" w:color="auto"/>
              <w:right w:val="single" w:sz="4" w:space="0" w:color="auto"/>
            </w:tcBorders>
            <w:shd w:val="clear" w:color="000000" w:fill="FFFFFF"/>
            <w:noWrap/>
            <w:vAlign w:val="center"/>
            <w:hideMark/>
          </w:tcPr>
          <w:p w14:paraId="685F46DA" w14:textId="77777777" w:rsidR="006A10B4" w:rsidRDefault="006A10B4" w:rsidP="00EB52FB">
            <w:pPr>
              <w:jc w:val="center"/>
              <w:rPr>
                <w:rFonts w:ascii="Tahoma" w:hAnsi="Tahoma" w:cs="Tahoma"/>
                <w:sz w:val="20"/>
                <w:szCs w:val="20"/>
              </w:rPr>
            </w:pPr>
            <w:r>
              <w:rPr>
                <w:rFonts w:ascii="Tahoma" w:hAnsi="Tahoma" w:cs="Tahoma"/>
                <w:sz w:val="20"/>
                <w:szCs w:val="20"/>
              </w:rPr>
              <w:t>5.1.</w:t>
            </w:r>
          </w:p>
        </w:tc>
        <w:tc>
          <w:tcPr>
            <w:tcW w:w="7535" w:type="dxa"/>
            <w:tcBorders>
              <w:top w:val="nil"/>
              <w:left w:val="nil"/>
              <w:bottom w:val="single" w:sz="4" w:space="0" w:color="auto"/>
              <w:right w:val="single" w:sz="4" w:space="0" w:color="auto"/>
            </w:tcBorders>
            <w:shd w:val="clear" w:color="000000" w:fill="FFFFFF"/>
            <w:vAlign w:val="center"/>
            <w:hideMark/>
          </w:tcPr>
          <w:p w14:paraId="2A2E18E0" w14:textId="77777777" w:rsidR="006A10B4" w:rsidRDefault="006A10B4" w:rsidP="00EB52FB">
            <w:pPr>
              <w:rPr>
                <w:rFonts w:ascii="Tahoma" w:hAnsi="Tahoma" w:cs="Tahoma"/>
                <w:b/>
                <w:bCs/>
                <w:sz w:val="20"/>
                <w:szCs w:val="20"/>
              </w:rPr>
            </w:pPr>
            <w:r>
              <w:rPr>
                <w:rFonts w:ascii="Tahoma" w:hAnsi="Tahoma" w:cs="Tahoma"/>
                <w:b/>
                <w:bCs/>
                <w:sz w:val="20"/>
                <w:szCs w:val="20"/>
              </w:rPr>
              <w:t xml:space="preserve">Счастливое детство: </w:t>
            </w:r>
            <w:r>
              <w:rPr>
                <w:rFonts w:ascii="Tahoma" w:hAnsi="Tahoma" w:cs="Tahoma"/>
                <w:sz w:val="20"/>
                <w:szCs w:val="20"/>
              </w:rPr>
              <w:t>места общественного питания, развлечения и хобби, билеты в театры, кинотеатры, музеи</w:t>
            </w:r>
          </w:p>
        </w:tc>
        <w:tc>
          <w:tcPr>
            <w:tcW w:w="7200" w:type="dxa"/>
            <w:tcBorders>
              <w:top w:val="single" w:sz="4" w:space="0" w:color="auto"/>
              <w:left w:val="nil"/>
              <w:bottom w:val="single" w:sz="4" w:space="0" w:color="auto"/>
              <w:right w:val="single" w:sz="4" w:space="0" w:color="000000"/>
            </w:tcBorders>
            <w:shd w:val="clear" w:color="000000" w:fill="FFFFFF"/>
            <w:vAlign w:val="center"/>
            <w:hideMark/>
          </w:tcPr>
          <w:p w14:paraId="457D10A2" w14:textId="77777777" w:rsidR="006A10B4" w:rsidRDefault="006A10B4" w:rsidP="00EB52FB">
            <w:pPr>
              <w:jc w:val="center"/>
              <w:rPr>
                <w:rFonts w:ascii="Tahoma" w:hAnsi="Tahoma" w:cs="Tahoma"/>
                <w:sz w:val="20"/>
                <w:szCs w:val="20"/>
              </w:rPr>
            </w:pPr>
            <w:r>
              <w:rPr>
                <w:rFonts w:ascii="Tahoma" w:hAnsi="Tahoma" w:cs="Tahoma"/>
                <w:sz w:val="20"/>
                <w:szCs w:val="20"/>
              </w:rPr>
              <w:t>5943, 5945, 5947, 5949, 5970, 5972, 7933, 7941, 7999, 7832, 7829, 7911, 7922, 7929, 7841, 5811, 5812, 5813, 5814, 5943, 5945, 5947, 5949, 5970, 5972, 7933, 7941, 7999, 7832, 7829, 7911, 7922, 7929, 7841, 5811, 5812, 5813, 5814</w:t>
            </w:r>
          </w:p>
        </w:tc>
      </w:tr>
      <w:tr w:rsidR="006A10B4" w14:paraId="73388C16" w14:textId="77777777" w:rsidTr="00EB52FB">
        <w:trPr>
          <w:trHeight w:val="300"/>
        </w:trPr>
        <w:tc>
          <w:tcPr>
            <w:tcW w:w="716" w:type="dxa"/>
            <w:tcBorders>
              <w:top w:val="nil"/>
              <w:left w:val="single" w:sz="4" w:space="0" w:color="auto"/>
              <w:bottom w:val="single" w:sz="4" w:space="0" w:color="auto"/>
              <w:right w:val="single" w:sz="4" w:space="0" w:color="auto"/>
            </w:tcBorders>
            <w:shd w:val="clear" w:color="000000" w:fill="808080"/>
            <w:noWrap/>
            <w:vAlign w:val="center"/>
            <w:hideMark/>
          </w:tcPr>
          <w:p w14:paraId="4CE7392C" w14:textId="77777777" w:rsidR="006A10B4" w:rsidRDefault="006A10B4" w:rsidP="00EB52FB">
            <w:pPr>
              <w:jc w:val="center"/>
              <w:rPr>
                <w:rFonts w:ascii="Tahoma" w:hAnsi="Tahoma" w:cs="Tahoma"/>
                <w:b/>
                <w:bCs/>
                <w:color w:val="FFFFFF"/>
                <w:sz w:val="20"/>
                <w:szCs w:val="20"/>
              </w:rPr>
            </w:pPr>
            <w:r>
              <w:rPr>
                <w:rFonts w:ascii="Tahoma" w:hAnsi="Tahoma" w:cs="Tahoma"/>
                <w:b/>
                <w:bCs/>
                <w:color w:val="FFFFFF"/>
                <w:sz w:val="20"/>
                <w:szCs w:val="20"/>
              </w:rPr>
              <w:t>6.</w:t>
            </w:r>
          </w:p>
        </w:tc>
        <w:tc>
          <w:tcPr>
            <w:tcW w:w="14735" w:type="dxa"/>
            <w:gridSpan w:val="2"/>
            <w:tcBorders>
              <w:top w:val="single" w:sz="4" w:space="0" w:color="auto"/>
              <w:left w:val="nil"/>
              <w:bottom w:val="single" w:sz="4" w:space="0" w:color="auto"/>
              <w:right w:val="single" w:sz="4" w:space="0" w:color="000000"/>
            </w:tcBorders>
            <w:shd w:val="clear" w:color="000000" w:fill="808080"/>
            <w:noWrap/>
            <w:vAlign w:val="center"/>
            <w:hideMark/>
          </w:tcPr>
          <w:p w14:paraId="5D893163" w14:textId="77777777" w:rsidR="006A10B4" w:rsidRDefault="006A10B4" w:rsidP="00EB52FB">
            <w:pPr>
              <w:rPr>
                <w:rFonts w:ascii="Tahoma" w:hAnsi="Tahoma" w:cs="Tahoma"/>
                <w:b/>
                <w:bCs/>
                <w:color w:val="FFFFFF"/>
                <w:sz w:val="20"/>
                <w:szCs w:val="20"/>
              </w:rPr>
            </w:pPr>
            <w:r>
              <w:rPr>
                <w:rFonts w:ascii="Tahoma" w:hAnsi="Tahoma" w:cs="Tahoma"/>
                <w:b/>
                <w:bCs/>
                <w:color w:val="FFFFFF"/>
                <w:sz w:val="20"/>
                <w:szCs w:val="20"/>
              </w:rPr>
              <w:t>Лимиты выплаты кэшбэка в категориях, в месяц</w:t>
            </w:r>
          </w:p>
        </w:tc>
      </w:tr>
      <w:tr w:rsidR="006A10B4" w14:paraId="5E6844BA" w14:textId="77777777" w:rsidTr="00EB52FB">
        <w:trPr>
          <w:trHeight w:val="300"/>
        </w:trPr>
        <w:tc>
          <w:tcPr>
            <w:tcW w:w="716" w:type="dxa"/>
            <w:tcBorders>
              <w:top w:val="nil"/>
              <w:left w:val="single" w:sz="4" w:space="0" w:color="auto"/>
              <w:bottom w:val="single" w:sz="4" w:space="0" w:color="auto"/>
              <w:right w:val="single" w:sz="4" w:space="0" w:color="auto"/>
            </w:tcBorders>
            <w:shd w:val="clear" w:color="000000" w:fill="FFFFFF"/>
            <w:noWrap/>
            <w:vAlign w:val="center"/>
            <w:hideMark/>
          </w:tcPr>
          <w:p w14:paraId="5B632220" w14:textId="77777777" w:rsidR="006A10B4" w:rsidRDefault="006A10B4" w:rsidP="00EB52FB">
            <w:pPr>
              <w:jc w:val="center"/>
              <w:rPr>
                <w:rFonts w:ascii="Tahoma" w:hAnsi="Tahoma" w:cs="Tahoma"/>
                <w:sz w:val="20"/>
                <w:szCs w:val="20"/>
              </w:rPr>
            </w:pPr>
            <w:r>
              <w:rPr>
                <w:rFonts w:ascii="Tahoma" w:hAnsi="Tahoma" w:cs="Tahoma"/>
                <w:sz w:val="20"/>
                <w:szCs w:val="20"/>
              </w:rPr>
              <w:t>6.1.</w:t>
            </w:r>
          </w:p>
        </w:tc>
        <w:tc>
          <w:tcPr>
            <w:tcW w:w="14735" w:type="dxa"/>
            <w:gridSpan w:val="2"/>
            <w:tcBorders>
              <w:top w:val="single" w:sz="4" w:space="0" w:color="auto"/>
              <w:left w:val="nil"/>
              <w:bottom w:val="single" w:sz="4" w:space="0" w:color="auto"/>
              <w:right w:val="single" w:sz="4" w:space="0" w:color="000000"/>
            </w:tcBorders>
            <w:shd w:val="clear" w:color="000000" w:fill="FFFFFF"/>
            <w:noWrap/>
            <w:vAlign w:val="center"/>
            <w:hideMark/>
          </w:tcPr>
          <w:p w14:paraId="05210277" w14:textId="77777777" w:rsidR="006A10B4" w:rsidRDefault="006A10B4" w:rsidP="00EB52FB">
            <w:pPr>
              <w:rPr>
                <w:rFonts w:ascii="Tahoma" w:hAnsi="Tahoma" w:cs="Tahoma"/>
                <w:sz w:val="20"/>
                <w:szCs w:val="20"/>
              </w:rPr>
            </w:pPr>
            <w:r>
              <w:rPr>
                <w:rFonts w:ascii="Tahoma" w:hAnsi="Tahoma" w:cs="Tahoma"/>
                <w:sz w:val="20"/>
                <w:szCs w:val="20"/>
              </w:rPr>
              <w:t>В соответствии с п.2.4 Программы</w:t>
            </w:r>
          </w:p>
        </w:tc>
      </w:tr>
      <w:tr w:rsidR="006A10B4" w14:paraId="728F669B" w14:textId="77777777" w:rsidTr="00EB52FB">
        <w:trPr>
          <w:trHeight w:val="300"/>
        </w:trPr>
        <w:tc>
          <w:tcPr>
            <w:tcW w:w="716" w:type="dxa"/>
            <w:tcBorders>
              <w:top w:val="nil"/>
              <w:left w:val="single" w:sz="4" w:space="0" w:color="auto"/>
              <w:bottom w:val="single" w:sz="4" w:space="0" w:color="auto"/>
              <w:right w:val="single" w:sz="4" w:space="0" w:color="auto"/>
            </w:tcBorders>
            <w:shd w:val="clear" w:color="000000" w:fill="808080"/>
            <w:noWrap/>
            <w:vAlign w:val="center"/>
            <w:hideMark/>
          </w:tcPr>
          <w:p w14:paraId="612187EF" w14:textId="77777777" w:rsidR="006A10B4" w:rsidRDefault="006A10B4" w:rsidP="00EB52FB">
            <w:pPr>
              <w:jc w:val="center"/>
              <w:rPr>
                <w:rFonts w:ascii="Tahoma" w:hAnsi="Tahoma" w:cs="Tahoma"/>
                <w:b/>
                <w:bCs/>
                <w:color w:val="FFFFFF"/>
                <w:sz w:val="20"/>
                <w:szCs w:val="20"/>
              </w:rPr>
            </w:pPr>
            <w:r>
              <w:rPr>
                <w:rFonts w:ascii="Tahoma" w:hAnsi="Tahoma" w:cs="Tahoma"/>
                <w:b/>
                <w:bCs/>
                <w:color w:val="FFFFFF"/>
                <w:sz w:val="20"/>
                <w:szCs w:val="20"/>
              </w:rPr>
              <w:t>7.</w:t>
            </w:r>
          </w:p>
        </w:tc>
        <w:tc>
          <w:tcPr>
            <w:tcW w:w="14735" w:type="dxa"/>
            <w:gridSpan w:val="2"/>
            <w:tcBorders>
              <w:top w:val="single" w:sz="4" w:space="0" w:color="auto"/>
              <w:left w:val="nil"/>
              <w:bottom w:val="single" w:sz="4" w:space="0" w:color="auto"/>
              <w:right w:val="single" w:sz="4" w:space="0" w:color="000000"/>
            </w:tcBorders>
            <w:shd w:val="clear" w:color="000000" w:fill="808080"/>
            <w:noWrap/>
            <w:vAlign w:val="center"/>
            <w:hideMark/>
          </w:tcPr>
          <w:p w14:paraId="5E68B909" w14:textId="77777777" w:rsidR="006A10B4" w:rsidRDefault="006A10B4" w:rsidP="00EB52FB">
            <w:pPr>
              <w:rPr>
                <w:rFonts w:ascii="Tahoma" w:hAnsi="Tahoma" w:cs="Tahoma"/>
                <w:b/>
                <w:bCs/>
                <w:color w:val="FFFFFF"/>
                <w:sz w:val="20"/>
                <w:szCs w:val="20"/>
              </w:rPr>
            </w:pPr>
            <w:r>
              <w:rPr>
                <w:rFonts w:ascii="Tahoma" w:hAnsi="Tahoma" w:cs="Tahoma"/>
                <w:b/>
                <w:bCs/>
                <w:color w:val="FFFFFF"/>
                <w:sz w:val="20"/>
                <w:szCs w:val="20"/>
              </w:rPr>
              <w:t>Условия отключения Программы по инициативе Банка</w:t>
            </w:r>
          </w:p>
        </w:tc>
      </w:tr>
      <w:tr w:rsidR="006A10B4" w14:paraId="79739FD5" w14:textId="77777777" w:rsidTr="00EB52FB">
        <w:trPr>
          <w:trHeight w:val="37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02604E6F" w14:textId="77777777" w:rsidR="006A10B4" w:rsidRDefault="006A10B4" w:rsidP="00EB52FB">
            <w:pPr>
              <w:jc w:val="center"/>
              <w:rPr>
                <w:rFonts w:ascii="Tahoma" w:hAnsi="Tahoma" w:cs="Tahoma"/>
                <w:sz w:val="20"/>
                <w:szCs w:val="20"/>
              </w:rPr>
            </w:pPr>
            <w:r>
              <w:rPr>
                <w:rFonts w:ascii="Tahoma" w:hAnsi="Tahoma" w:cs="Tahoma"/>
                <w:sz w:val="20"/>
                <w:szCs w:val="20"/>
              </w:rPr>
              <w:t>7.1.</w:t>
            </w:r>
          </w:p>
        </w:tc>
        <w:tc>
          <w:tcPr>
            <w:tcW w:w="14735" w:type="dxa"/>
            <w:gridSpan w:val="2"/>
            <w:tcBorders>
              <w:top w:val="single" w:sz="4" w:space="0" w:color="auto"/>
              <w:left w:val="nil"/>
              <w:bottom w:val="single" w:sz="4" w:space="0" w:color="auto"/>
              <w:right w:val="single" w:sz="4" w:space="0" w:color="000000"/>
            </w:tcBorders>
            <w:shd w:val="clear" w:color="000000" w:fill="FFFFFF"/>
            <w:vAlign w:val="center"/>
            <w:hideMark/>
          </w:tcPr>
          <w:p w14:paraId="43ADB132" w14:textId="77777777" w:rsidR="006A10B4" w:rsidRDefault="006A10B4" w:rsidP="00EB52FB">
            <w:pPr>
              <w:rPr>
                <w:rFonts w:ascii="Tahoma" w:hAnsi="Tahoma" w:cs="Tahoma"/>
                <w:sz w:val="20"/>
                <w:szCs w:val="20"/>
              </w:rPr>
            </w:pPr>
            <w:r>
              <w:rPr>
                <w:rFonts w:ascii="Tahoma" w:hAnsi="Tahoma" w:cs="Tahoma"/>
                <w:sz w:val="20"/>
                <w:szCs w:val="20"/>
              </w:rPr>
              <w:t>Банк вправе приостановить действие Клиента в Программе в одностороннем порядке на условиях, изложенных в пп.9.6.-9.10.4. Программы Лояльности.</w:t>
            </w:r>
          </w:p>
        </w:tc>
      </w:tr>
    </w:tbl>
    <w:p w14:paraId="63C7A8F6" w14:textId="77777777" w:rsidR="006A10B4" w:rsidRDefault="006A10B4" w:rsidP="006A10B4">
      <w:pPr>
        <w:rPr>
          <w:rFonts w:ascii="Tahoma" w:hAnsi="Tahoma" w:cs="Tahoma"/>
          <w:sz w:val="22"/>
          <w:szCs w:val="22"/>
        </w:rPr>
      </w:pPr>
    </w:p>
    <w:p w14:paraId="7DA9C57F" w14:textId="77777777" w:rsidR="006A10B4" w:rsidRDefault="006A10B4" w:rsidP="006A10B4">
      <w:pPr>
        <w:rPr>
          <w:rFonts w:ascii="Tahoma" w:hAnsi="Tahoma" w:cs="Tahoma"/>
          <w:sz w:val="22"/>
          <w:szCs w:val="22"/>
        </w:rPr>
      </w:pPr>
      <w:r>
        <w:rPr>
          <w:rFonts w:ascii="Tahoma" w:hAnsi="Tahoma" w:cs="Tahoma"/>
          <w:sz w:val="22"/>
          <w:szCs w:val="22"/>
        </w:rPr>
        <w:t>Примечания:</w:t>
      </w:r>
    </w:p>
    <w:tbl>
      <w:tblPr>
        <w:tblW w:w="15451" w:type="dxa"/>
        <w:tblLook w:val="04A0" w:firstRow="1" w:lastRow="0" w:firstColumn="1" w:lastColumn="0" w:noHBand="0" w:noVBand="1"/>
      </w:tblPr>
      <w:tblGrid>
        <w:gridCol w:w="15451"/>
      </w:tblGrid>
      <w:tr w:rsidR="006A10B4" w14:paraId="32EB8D74" w14:textId="77777777" w:rsidTr="00EB52FB">
        <w:trPr>
          <w:trHeight w:val="285"/>
        </w:trPr>
        <w:tc>
          <w:tcPr>
            <w:tcW w:w="15451" w:type="dxa"/>
            <w:tcBorders>
              <w:top w:val="nil"/>
              <w:left w:val="nil"/>
              <w:bottom w:val="nil"/>
              <w:right w:val="nil"/>
            </w:tcBorders>
            <w:shd w:val="clear" w:color="000000" w:fill="FFFFFF"/>
            <w:hideMark/>
          </w:tcPr>
          <w:p w14:paraId="750A9B0F" w14:textId="77777777" w:rsidR="006A10B4" w:rsidRDefault="006A10B4" w:rsidP="00EB52FB">
            <w:pPr>
              <w:rPr>
                <w:rFonts w:ascii="Tahoma" w:hAnsi="Tahoma" w:cs="Tahoma"/>
                <w:sz w:val="18"/>
                <w:szCs w:val="18"/>
              </w:rPr>
            </w:pPr>
            <w:r>
              <w:rPr>
                <w:rFonts w:ascii="Tahoma" w:hAnsi="Tahoma" w:cs="Tahoma"/>
                <w:sz w:val="18"/>
                <w:szCs w:val="18"/>
                <w:vertAlign w:val="superscript"/>
              </w:rPr>
              <w:t>1</w:t>
            </w:r>
            <w:r>
              <w:rPr>
                <w:rFonts w:ascii="Tahoma" w:hAnsi="Tahoma" w:cs="Tahoma"/>
                <w:sz w:val="18"/>
                <w:szCs w:val="18"/>
              </w:rPr>
              <w:t>Банк – «Азиатско-Тихоокеанский Банк» (Акционерное общество).</w:t>
            </w:r>
          </w:p>
        </w:tc>
      </w:tr>
      <w:tr w:rsidR="006A10B4" w14:paraId="064E1A9E" w14:textId="77777777" w:rsidTr="00EB52FB">
        <w:trPr>
          <w:trHeight w:val="285"/>
        </w:trPr>
        <w:tc>
          <w:tcPr>
            <w:tcW w:w="15451" w:type="dxa"/>
            <w:tcBorders>
              <w:top w:val="nil"/>
              <w:left w:val="nil"/>
              <w:bottom w:val="nil"/>
              <w:right w:val="nil"/>
            </w:tcBorders>
            <w:shd w:val="clear" w:color="auto" w:fill="auto"/>
            <w:hideMark/>
          </w:tcPr>
          <w:p w14:paraId="119E707D" w14:textId="77777777" w:rsidR="006A10B4" w:rsidRDefault="006A10B4" w:rsidP="00EB52FB">
            <w:pPr>
              <w:rPr>
                <w:rFonts w:ascii="Tahoma" w:hAnsi="Tahoma" w:cs="Tahoma"/>
                <w:sz w:val="18"/>
                <w:szCs w:val="18"/>
              </w:rPr>
            </w:pPr>
            <w:r>
              <w:rPr>
                <w:rFonts w:ascii="Tahoma" w:hAnsi="Tahoma" w:cs="Tahoma"/>
                <w:sz w:val="18"/>
                <w:szCs w:val="18"/>
                <w:vertAlign w:val="superscript"/>
              </w:rPr>
              <w:t>2</w:t>
            </w:r>
            <w:r>
              <w:rPr>
                <w:rFonts w:ascii="Tahoma" w:hAnsi="Tahoma" w:cs="Tahoma"/>
                <w:sz w:val="18"/>
                <w:szCs w:val="18"/>
              </w:rPr>
              <w:t>Клиент – физическое лицо, заключившее с Банком Договор Карты.</w:t>
            </w:r>
          </w:p>
        </w:tc>
      </w:tr>
      <w:tr w:rsidR="006A10B4" w14:paraId="62A7D056" w14:textId="77777777" w:rsidTr="00EB52FB">
        <w:trPr>
          <w:trHeight w:val="525"/>
        </w:trPr>
        <w:tc>
          <w:tcPr>
            <w:tcW w:w="15451" w:type="dxa"/>
            <w:tcBorders>
              <w:top w:val="nil"/>
              <w:left w:val="nil"/>
              <w:bottom w:val="nil"/>
              <w:right w:val="nil"/>
            </w:tcBorders>
            <w:shd w:val="clear" w:color="000000" w:fill="FFFFFF"/>
            <w:hideMark/>
          </w:tcPr>
          <w:p w14:paraId="7D5FE381" w14:textId="77777777" w:rsidR="006A10B4" w:rsidRDefault="006A10B4" w:rsidP="00EB52FB">
            <w:pPr>
              <w:rPr>
                <w:rFonts w:ascii="Tahoma" w:hAnsi="Tahoma" w:cs="Tahoma"/>
                <w:sz w:val="18"/>
                <w:szCs w:val="18"/>
              </w:rPr>
            </w:pPr>
            <w:r>
              <w:rPr>
                <w:rFonts w:ascii="Tahoma" w:hAnsi="Tahoma" w:cs="Tahoma"/>
                <w:sz w:val="18"/>
                <w:szCs w:val="18"/>
                <w:vertAlign w:val="superscript"/>
              </w:rPr>
              <w:t>3</w:t>
            </w:r>
            <w:r>
              <w:rPr>
                <w:rFonts w:ascii="Tahoma" w:hAnsi="Tahoma" w:cs="Tahoma"/>
                <w:sz w:val="18"/>
                <w:szCs w:val="18"/>
              </w:rPr>
              <w:t>Ограничение по минимальному транзакционному обороту применяется с первого полного календарного месяца, следующего за месяцем, в котором Клиенту была выдана Банковская карта. При расчете минимального транзакционного оборота учитываются операции в Торгово-сервисных предприятиях (за исключением операций, подпадающих в список исключений МСС-кодов, в соответствии с п.2.5 Программы), округленные в меньшую сторону до суммы кратной 100 рублям.</w:t>
            </w:r>
          </w:p>
        </w:tc>
      </w:tr>
      <w:tr w:rsidR="006A10B4" w14:paraId="5098E6FD" w14:textId="77777777" w:rsidTr="00EB52FB">
        <w:trPr>
          <w:trHeight w:val="300"/>
        </w:trPr>
        <w:tc>
          <w:tcPr>
            <w:tcW w:w="15451" w:type="dxa"/>
            <w:tcBorders>
              <w:top w:val="nil"/>
              <w:left w:val="nil"/>
              <w:bottom w:val="nil"/>
              <w:right w:val="nil"/>
            </w:tcBorders>
            <w:shd w:val="clear" w:color="auto" w:fill="auto"/>
            <w:hideMark/>
          </w:tcPr>
          <w:p w14:paraId="5AF0527A" w14:textId="77777777" w:rsidR="006A10B4" w:rsidRDefault="006A10B4" w:rsidP="00EB52FB">
            <w:pPr>
              <w:rPr>
                <w:rFonts w:ascii="Tahoma" w:hAnsi="Tahoma" w:cs="Tahoma"/>
                <w:sz w:val="18"/>
                <w:szCs w:val="18"/>
              </w:rPr>
            </w:pPr>
            <w:r>
              <w:rPr>
                <w:rFonts w:ascii="Tahoma" w:hAnsi="Tahoma" w:cs="Tahoma"/>
                <w:sz w:val="18"/>
                <w:szCs w:val="18"/>
                <w:vertAlign w:val="superscript"/>
              </w:rPr>
              <w:t>4</w:t>
            </w:r>
            <w:r>
              <w:rPr>
                <w:rFonts w:ascii="Tahoma" w:hAnsi="Tahoma" w:cs="Tahoma"/>
                <w:sz w:val="18"/>
                <w:szCs w:val="18"/>
              </w:rPr>
              <w:t xml:space="preserve">При расчёте кэшбэка сумма покупки округляется в меньшую сторону до кратной 100 рублям. На остаток суммы транзакции (не кратный 100 рублям) кэшбэк не начисляется. </w:t>
            </w:r>
          </w:p>
        </w:tc>
      </w:tr>
      <w:tr w:rsidR="006A10B4" w14:paraId="4ADCB39C" w14:textId="77777777" w:rsidTr="00EB52FB">
        <w:trPr>
          <w:trHeight w:val="540"/>
        </w:trPr>
        <w:tc>
          <w:tcPr>
            <w:tcW w:w="15451" w:type="dxa"/>
            <w:tcBorders>
              <w:top w:val="nil"/>
              <w:left w:val="nil"/>
              <w:bottom w:val="nil"/>
              <w:right w:val="nil"/>
            </w:tcBorders>
            <w:shd w:val="clear" w:color="auto" w:fill="auto"/>
            <w:hideMark/>
          </w:tcPr>
          <w:p w14:paraId="14E25B7E" w14:textId="77777777" w:rsidR="006A10B4" w:rsidRDefault="006A10B4" w:rsidP="00EB52FB">
            <w:pPr>
              <w:rPr>
                <w:rFonts w:ascii="Tahoma" w:hAnsi="Tahoma" w:cs="Tahoma"/>
                <w:color w:val="000000"/>
                <w:sz w:val="18"/>
                <w:szCs w:val="18"/>
              </w:rPr>
            </w:pPr>
            <w:r>
              <w:rPr>
                <w:rFonts w:ascii="Tahoma" w:hAnsi="Tahoma" w:cs="Tahoma"/>
                <w:color w:val="000000"/>
                <w:sz w:val="18"/>
                <w:szCs w:val="18"/>
              </w:rPr>
              <w:t xml:space="preserve">Термины, значение которым не приведено в Программе, применяются в значении, </w:t>
            </w:r>
            <w:r>
              <w:rPr>
                <w:rFonts w:ascii="Tahoma" w:hAnsi="Tahoma" w:cs="Tahoma"/>
                <w:sz w:val="18"/>
                <w:szCs w:val="18"/>
              </w:rPr>
              <w:t>указанном в Программе лояльности и Универсальном договоре банковского обслуживания физических лиц «Азиатско-Тихоокеанский Банк» (АО), размещенных на Сайте Банка и в Подразделениях Банка.</w:t>
            </w:r>
          </w:p>
        </w:tc>
      </w:tr>
    </w:tbl>
    <w:p w14:paraId="6FDF33B9" w14:textId="77777777" w:rsidR="007D5E11" w:rsidRPr="004A143F" w:rsidRDefault="007D5E11" w:rsidP="004E30AD">
      <w:pPr>
        <w:ind w:left="-142"/>
        <w:rPr>
          <w:rFonts w:ascii="Tahoma" w:hAnsi="Tahoma" w:cs="Tahoma"/>
          <w:sz w:val="22"/>
          <w:szCs w:val="16"/>
        </w:rPr>
      </w:pPr>
    </w:p>
    <w:p w14:paraId="398F25CE" w14:textId="10D80CB6" w:rsidR="006826C4" w:rsidRPr="00845DEA" w:rsidRDefault="000B3718" w:rsidP="000B3718">
      <w:pPr>
        <w:pStyle w:val="a5"/>
      </w:pPr>
      <w:r>
        <w:t xml:space="preserve">4.13. </w:t>
      </w:r>
      <w:r w:rsidR="006826C4" w:rsidRPr="00845DEA">
        <w:t xml:space="preserve">Бонусная Программа </w:t>
      </w:r>
    </w:p>
    <w:p w14:paraId="4F2E3186" w14:textId="249A0632" w:rsidR="003E2FCA" w:rsidRPr="00845DEA" w:rsidRDefault="000B3718" w:rsidP="000B3718">
      <w:pPr>
        <w:pStyle w:val="a5"/>
      </w:pPr>
      <w:r>
        <w:t xml:space="preserve">4.13.1. </w:t>
      </w:r>
      <w:r w:rsidR="003E2FCA" w:rsidRPr="00845DEA">
        <w:t>Бонусная Программа «Стандарт-Бонус»</w:t>
      </w:r>
    </w:p>
    <w:p w14:paraId="3A2ECB8E" w14:textId="77777777" w:rsidR="003E2FCA" w:rsidRPr="006A10B4" w:rsidRDefault="003E2FCA" w:rsidP="003E2FCA">
      <w:pPr>
        <w:ind w:firstLine="284"/>
        <w:jc w:val="both"/>
        <w:rPr>
          <w:rFonts w:ascii="Tahoma" w:hAnsi="Tahoma" w:cs="Tahoma"/>
          <w:b/>
          <w:bCs/>
          <w:iCs/>
          <w:color w:val="E36C0A"/>
          <w:sz w:val="22"/>
          <w:szCs w:val="22"/>
        </w:rPr>
      </w:pPr>
      <w:r w:rsidRPr="006A10B4">
        <w:rPr>
          <w:rFonts w:ascii="Tahoma" w:hAnsi="Tahoma" w:cs="Tahoma"/>
          <w:b/>
          <w:bCs/>
          <w:iCs/>
          <w:color w:val="E36C0A"/>
          <w:sz w:val="22"/>
          <w:szCs w:val="22"/>
        </w:rPr>
        <w:t>(является неотъемлемой частью Программы лояльности для клиентов-держателей Банковских карт «Азиатско-Тихоокеанский Банк, (АО)»)</w:t>
      </w:r>
    </w:p>
    <w:tbl>
      <w:tblPr>
        <w:tblW w:w="15376" w:type="dxa"/>
        <w:tblLook w:val="04A0" w:firstRow="1" w:lastRow="0" w:firstColumn="1" w:lastColumn="0" w:noHBand="0" w:noVBand="1"/>
      </w:tblPr>
      <w:tblGrid>
        <w:gridCol w:w="716"/>
        <w:gridCol w:w="7538"/>
        <w:gridCol w:w="3561"/>
        <w:gridCol w:w="3561"/>
      </w:tblGrid>
      <w:tr w:rsidR="003E2FCA" w14:paraId="0800D898" w14:textId="77777777" w:rsidTr="00C720A8">
        <w:trPr>
          <w:trHeight w:val="289"/>
        </w:trPr>
        <w:tc>
          <w:tcPr>
            <w:tcW w:w="716"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bottom"/>
            <w:hideMark/>
          </w:tcPr>
          <w:p w14:paraId="3043D350" w14:textId="77777777" w:rsidR="003E2FCA" w:rsidRDefault="003E2FCA" w:rsidP="00C720A8">
            <w:pPr>
              <w:jc w:val="center"/>
              <w:rPr>
                <w:rFonts w:ascii="Calibri" w:hAnsi="Calibri" w:cs="Calibri"/>
                <w:color w:val="000000"/>
                <w:sz w:val="22"/>
                <w:szCs w:val="22"/>
              </w:rPr>
            </w:pPr>
            <w:r w:rsidRPr="002D06BF">
              <w:rPr>
                <w:rFonts w:ascii="Calibri" w:hAnsi="Calibri" w:cs="Calibri"/>
                <w:color w:val="FFFFFF" w:themeColor="background1"/>
                <w:sz w:val="22"/>
                <w:szCs w:val="22"/>
              </w:rPr>
              <w:t>1.</w:t>
            </w:r>
          </w:p>
        </w:tc>
        <w:tc>
          <w:tcPr>
            <w:tcW w:w="14660" w:type="dxa"/>
            <w:gridSpan w:val="3"/>
            <w:tcBorders>
              <w:top w:val="single" w:sz="4" w:space="0" w:color="auto"/>
              <w:left w:val="single" w:sz="4" w:space="0" w:color="auto"/>
              <w:bottom w:val="single" w:sz="4" w:space="0" w:color="auto"/>
              <w:right w:val="single" w:sz="4" w:space="0" w:color="auto"/>
            </w:tcBorders>
            <w:shd w:val="clear" w:color="000000" w:fill="808080"/>
            <w:vAlign w:val="center"/>
            <w:hideMark/>
          </w:tcPr>
          <w:p w14:paraId="350E7DE7" w14:textId="77777777" w:rsidR="003E2FCA" w:rsidRDefault="003E2FCA" w:rsidP="00C720A8">
            <w:pPr>
              <w:ind w:right="4297"/>
              <w:rPr>
                <w:rFonts w:ascii="Tahoma" w:hAnsi="Tahoma" w:cs="Tahoma"/>
                <w:b/>
                <w:bCs/>
                <w:color w:val="FFFFFF"/>
                <w:sz w:val="20"/>
                <w:szCs w:val="20"/>
              </w:rPr>
            </w:pPr>
            <w:r>
              <w:rPr>
                <w:rFonts w:ascii="Tahoma" w:hAnsi="Tahoma" w:cs="Tahoma"/>
                <w:b/>
                <w:bCs/>
                <w:color w:val="FFFFFF"/>
                <w:sz w:val="20"/>
                <w:szCs w:val="20"/>
              </w:rPr>
              <w:t xml:space="preserve">Условия предоставления настоящей Бонусной программы (по тексту – Программа) </w:t>
            </w:r>
          </w:p>
        </w:tc>
      </w:tr>
      <w:tr w:rsidR="003E2FCA" w14:paraId="5A3E27DC" w14:textId="77777777" w:rsidTr="00C720A8">
        <w:trPr>
          <w:trHeight w:val="555"/>
        </w:trPr>
        <w:tc>
          <w:tcPr>
            <w:tcW w:w="7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81F23F" w14:textId="77777777" w:rsidR="003E2FCA" w:rsidRDefault="003E2FCA" w:rsidP="00C720A8">
            <w:pPr>
              <w:jc w:val="center"/>
              <w:rPr>
                <w:rFonts w:ascii="Tahoma" w:hAnsi="Tahoma" w:cs="Tahoma"/>
                <w:sz w:val="20"/>
                <w:szCs w:val="20"/>
              </w:rPr>
            </w:pPr>
            <w:r>
              <w:rPr>
                <w:rFonts w:ascii="Tahoma" w:hAnsi="Tahoma" w:cs="Tahoma"/>
                <w:sz w:val="20"/>
                <w:szCs w:val="20"/>
              </w:rPr>
              <w:t>1.1.</w:t>
            </w:r>
          </w:p>
        </w:tc>
        <w:tc>
          <w:tcPr>
            <w:tcW w:w="7538" w:type="dxa"/>
            <w:tcBorders>
              <w:top w:val="single" w:sz="4" w:space="0" w:color="auto"/>
              <w:left w:val="nil"/>
              <w:bottom w:val="single" w:sz="4" w:space="0" w:color="auto"/>
              <w:right w:val="single" w:sz="4" w:space="0" w:color="auto"/>
            </w:tcBorders>
            <w:shd w:val="clear" w:color="000000" w:fill="FFFFFF"/>
            <w:vAlign w:val="center"/>
            <w:hideMark/>
          </w:tcPr>
          <w:p w14:paraId="4B37291D" w14:textId="77777777" w:rsidR="003E2FCA" w:rsidRPr="002D06BF" w:rsidRDefault="003E2FCA" w:rsidP="00C720A8">
            <w:pPr>
              <w:rPr>
                <w:rFonts w:ascii="Tahoma" w:hAnsi="Tahoma" w:cs="Tahoma"/>
                <w:color w:val="000000"/>
                <w:sz w:val="20"/>
                <w:szCs w:val="20"/>
              </w:rPr>
            </w:pPr>
            <w:r w:rsidRPr="002D06BF">
              <w:rPr>
                <w:rFonts w:ascii="Tahoma" w:hAnsi="Tahoma" w:cs="Tahoma"/>
                <w:color w:val="000000"/>
                <w:sz w:val="20"/>
                <w:szCs w:val="20"/>
              </w:rPr>
              <w:t>Применимые к Программе тарифные планы Банка</w:t>
            </w:r>
            <w:r w:rsidRPr="002D06BF">
              <w:rPr>
                <w:rFonts w:ascii="Tahoma" w:hAnsi="Tahoma" w:cs="Tahoma"/>
                <w:color w:val="000000"/>
                <w:sz w:val="20"/>
                <w:szCs w:val="20"/>
                <w:vertAlign w:val="superscript"/>
              </w:rPr>
              <w:t>1</w:t>
            </w:r>
          </w:p>
        </w:tc>
        <w:tc>
          <w:tcPr>
            <w:tcW w:w="7122" w:type="dxa"/>
            <w:gridSpan w:val="2"/>
            <w:tcBorders>
              <w:top w:val="single" w:sz="4" w:space="0" w:color="auto"/>
              <w:left w:val="nil"/>
              <w:bottom w:val="single" w:sz="4" w:space="0" w:color="auto"/>
              <w:right w:val="single" w:sz="4" w:space="0" w:color="auto"/>
            </w:tcBorders>
            <w:shd w:val="clear" w:color="auto" w:fill="auto"/>
            <w:vAlign w:val="center"/>
            <w:hideMark/>
          </w:tcPr>
          <w:p w14:paraId="1E31094A" w14:textId="77777777" w:rsidR="003E2FCA" w:rsidRPr="002C688F" w:rsidRDefault="003E2FCA" w:rsidP="00C720A8">
            <w:pPr>
              <w:jc w:val="center"/>
              <w:rPr>
                <w:rFonts w:ascii="Tahoma" w:hAnsi="Tahoma" w:cs="Tahoma"/>
                <w:sz w:val="20"/>
                <w:szCs w:val="20"/>
              </w:rPr>
            </w:pPr>
            <w:r w:rsidRPr="00C50A02">
              <w:rPr>
                <w:rFonts w:ascii="Tahoma" w:hAnsi="Tahoma" w:cs="Tahoma"/>
                <w:sz w:val="20"/>
                <w:szCs w:val="20"/>
              </w:rPr>
              <w:t>Тарифные планы: АТБ карта, АТБ карта Зарплатная, АТБ карта (Специальная), АТБ карта (Акционная), Большой кошелёк, Валютный кошелёк, Кошелёк, Кэшбэк карта</w:t>
            </w:r>
          </w:p>
        </w:tc>
      </w:tr>
      <w:tr w:rsidR="003E2FCA" w14:paraId="761FF677" w14:textId="77777777" w:rsidTr="00C720A8">
        <w:trPr>
          <w:trHeight w:val="76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1D8C03CE" w14:textId="77777777" w:rsidR="003E2FCA" w:rsidRDefault="003E2FCA" w:rsidP="00C720A8">
            <w:pPr>
              <w:jc w:val="center"/>
              <w:rPr>
                <w:rFonts w:ascii="Tahoma" w:hAnsi="Tahoma" w:cs="Tahoma"/>
                <w:sz w:val="20"/>
                <w:szCs w:val="20"/>
              </w:rPr>
            </w:pPr>
            <w:r>
              <w:rPr>
                <w:rFonts w:ascii="Tahoma" w:hAnsi="Tahoma" w:cs="Tahoma"/>
                <w:sz w:val="20"/>
                <w:szCs w:val="20"/>
              </w:rPr>
              <w:t>1.2.</w:t>
            </w:r>
          </w:p>
        </w:tc>
        <w:tc>
          <w:tcPr>
            <w:tcW w:w="7538" w:type="dxa"/>
            <w:tcBorders>
              <w:top w:val="nil"/>
              <w:left w:val="nil"/>
              <w:bottom w:val="single" w:sz="4" w:space="0" w:color="auto"/>
              <w:right w:val="single" w:sz="4" w:space="0" w:color="auto"/>
            </w:tcBorders>
            <w:shd w:val="clear" w:color="000000" w:fill="FFFFFF"/>
            <w:vAlign w:val="center"/>
            <w:hideMark/>
          </w:tcPr>
          <w:p w14:paraId="1F7ACA5B" w14:textId="77777777" w:rsidR="003E2FCA" w:rsidRPr="002D06BF" w:rsidRDefault="003E2FCA" w:rsidP="00C720A8">
            <w:pPr>
              <w:rPr>
                <w:rFonts w:ascii="Tahoma" w:hAnsi="Tahoma" w:cs="Tahoma"/>
                <w:sz w:val="20"/>
                <w:szCs w:val="20"/>
              </w:rPr>
            </w:pPr>
            <w:r w:rsidRPr="002D06BF">
              <w:rPr>
                <w:rFonts w:ascii="Tahoma" w:hAnsi="Tahoma" w:cs="Tahoma"/>
                <w:sz w:val="20"/>
                <w:szCs w:val="20"/>
              </w:rPr>
              <w:t>Общие условия Программы</w:t>
            </w:r>
          </w:p>
        </w:tc>
        <w:tc>
          <w:tcPr>
            <w:tcW w:w="7122" w:type="dxa"/>
            <w:gridSpan w:val="2"/>
            <w:tcBorders>
              <w:top w:val="single" w:sz="4" w:space="0" w:color="auto"/>
              <w:left w:val="nil"/>
              <w:bottom w:val="single" w:sz="4" w:space="0" w:color="auto"/>
              <w:right w:val="single" w:sz="4" w:space="0" w:color="000000"/>
            </w:tcBorders>
            <w:shd w:val="clear" w:color="auto" w:fill="auto"/>
            <w:vAlign w:val="center"/>
            <w:hideMark/>
          </w:tcPr>
          <w:p w14:paraId="44B1DAB4" w14:textId="77777777" w:rsidR="003E2FCA" w:rsidRPr="002D06BF" w:rsidRDefault="003E2FCA" w:rsidP="00C720A8">
            <w:pPr>
              <w:jc w:val="center"/>
              <w:rPr>
                <w:rFonts w:ascii="Tahoma" w:hAnsi="Tahoma" w:cs="Tahoma"/>
                <w:color w:val="000000"/>
                <w:sz w:val="20"/>
                <w:szCs w:val="20"/>
              </w:rPr>
            </w:pPr>
            <w:r w:rsidRPr="002D06BF">
              <w:rPr>
                <w:rFonts w:ascii="Tahoma" w:hAnsi="Tahoma" w:cs="Tahoma"/>
                <w:color w:val="000000"/>
                <w:sz w:val="20"/>
                <w:szCs w:val="20"/>
              </w:rPr>
              <w:t>В соответствии с Программой лояльности для клиентов-держателей Банковских карт «Азиатско-Тихоокеанский Банк (АО)», размещенной на Сайте Банка www.atb.su и в Подразделениях Банка (по тексту – Программа лояльности).</w:t>
            </w:r>
          </w:p>
        </w:tc>
      </w:tr>
      <w:tr w:rsidR="003E2FCA" w14:paraId="13F3FF11" w14:textId="77777777" w:rsidTr="00C720A8">
        <w:trPr>
          <w:trHeight w:val="51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433F3395" w14:textId="77777777" w:rsidR="003E2FCA" w:rsidRDefault="003E2FCA" w:rsidP="00C720A8">
            <w:pPr>
              <w:jc w:val="center"/>
              <w:rPr>
                <w:rFonts w:ascii="Tahoma" w:hAnsi="Tahoma" w:cs="Tahoma"/>
                <w:sz w:val="20"/>
                <w:szCs w:val="20"/>
              </w:rPr>
            </w:pPr>
            <w:r>
              <w:rPr>
                <w:rFonts w:ascii="Tahoma" w:hAnsi="Tahoma" w:cs="Tahoma"/>
                <w:sz w:val="20"/>
                <w:szCs w:val="20"/>
              </w:rPr>
              <w:t>1.3.</w:t>
            </w:r>
          </w:p>
        </w:tc>
        <w:tc>
          <w:tcPr>
            <w:tcW w:w="7538" w:type="dxa"/>
            <w:tcBorders>
              <w:top w:val="nil"/>
              <w:left w:val="nil"/>
              <w:bottom w:val="single" w:sz="4" w:space="0" w:color="auto"/>
              <w:right w:val="single" w:sz="4" w:space="0" w:color="auto"/>
            </w:tcBorders>
            <w:shd w:val="clear" w:color="000000" w:fill="FFFFFF"/>
            <w:vAlign w:val="center"/>
            <w:hideMark/>
          </w:tcPr>
          <w:p w14:paraId="6AAABACF" w14:textId="77777777" w:rsidR="003E2FCA" w:rsidRPr="002D06BF" w:rsidRDefault="003E2FCA" w:rsidP="00C720A8">
            <w:pPr>
              <w:rPr>
                <w:rFonts w:ascii="Tahoma" w:hAnsi="Tahoma" w:cs="Tahoma"/>
                <w:sz w:val="20"/>
                <w:szCs w:val="20"/>
              </w:rPr>
            </w:pPr>
            <w:r w:rsidRPr="002D06BF">
              <w:rPr>
                <w:rFonts w:ascii="Tahoma" w:hAnsi="Tahoma" w:cs="Tahoma"/>
                <w:sz w:val="20"/>
                <w:szCs w:val="20"/>
              </w:rPr>
              <w:t>Условная единица, используемая Банком для расчета размера выплаты денежных средств по Программе лояльности</w:t>
            </w:r>
          </w:p>
        </w:tc>
        <w:tc>
          <w:tcPr>
            <w:tcW w:w="7122" w:type="dxa"/>
            <w:gridSpan w:val="2"/>
            <w:tcBorders>
              <w:top w:val="single" w:sz="4" w:space="0" w:color="auto"/>
              <w:left w:val="nil"/>
              <w:bottom w:val="single" w:sz="4" w:space="0" w:color="auto"/>
              <w:right w:val="single" w:sz="4" w:space="0" w:color="000000"/>
            </w:tcBorders>
            <w:shd w:val="clear" w:color="auto" w:fill="auto"/>
            <w:vAlign w:val="center"/>
            <w:hideMark/>
          </w:tcPr>
          <w:p w14:paraId="32CD95AE" w14:textId="77777777" w:rsidR="003E2FCA" w:rsidRPr="002D06BF" w:rsidRDefault="003E2FCA" w:rsidP="00C720A8">
            <w:pPr>
              <w:jc w:val="center"/>
              <w:rPr>
                <w:rFonts w:ascii="Tahoma" w:hAnsi="Tahoma" w:cs="Tahoma"/>
                <w:color w:val="000000"/>
                <w:sz w:val="20"/>
                <w:szCs w:val="20"/>
              </w:rPr>
            </w:pPr>
            <w:r w:rsidRPr="002D06BF">
              <w:rPr>
                <w:rFonts w:ascii="Tahoma" w:hAnsi="Tahoma" w:cs="Tahoma"/>
                <w:color w:val="000000"/>
                <w:sz w:val="20"/>
                <w:szCs w:val="20"/>
              </w:rPr>
              <w:t>Балл</w:t>
            </w:r>
          </w:p>
        </w:tc>
      </w:tr>
      <w:tr w:rsidR="003E2FCA" w14:paraId="6EB2C082" w14:textId="77777777" w:rsidTr="00C720A8">
        <w:trPr>
          <w:trHeight w:val="51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128CF443" w14:textId="77777777" w:rsidR="003E2FCA" w:rsidRDefault="003E2FCA" w:rsidP="00C720A8">
            <w:pPr>
              <w:jc w:val="center"/>
              <w:rPr>
                <w:rFonts w:ascii="Tahoma" w:hAnsi="Tahoma" w:cs="Tahoma"/>
                <w:sz w:val="20"/>
                <w:szCs w:val="20"/>
              </w:rPr>
            </w:pPr>
            <w:r>
              <w:rPr>
                <w:rFonts w:ascii="Tahoma" w:hAnsi="Tahoma" w:cs="Tahoma"/>
                <w:sz w:val="20"/>
                <w:szCs w:val="20"/>
              </w:rPr>
              <w:t>1.4.</w:t>
            </w:r>
          </w:p>
        </w:tc>
        <w:tc>
          <w:tcPr>
            <w:tcW w:w="7538" w:type="dxa"/>
            <w:tcBorders>
              <w:top w:val="nil"/>
              <w:left w:val="nil"/>
              <w:bottom w:val="single" w:sz="4" w:space="0" w:color="auto"/>
              <w:right w:val="single" w:sz="4" w:space="0" w:color="auto"/>
            </w:tcBorders>
            <w:shd w:val="clear" w:color="000000" w:fill="FFFFFF"/>
            <w:vAlign w:val="center"/>
            <w:hideMark/>
          </w:tcPr>
          <w:p w14:paraId="448373F3" w14:textId="77777777" w:rsidR="003E2FCA" w:rsidRPr="002D06BF" w:rsidRDefault="003E2FCA" w:rsidP="00C720A8">
            <w:pPr>
              <w:rPr>
                <w:rFonts w:ascii="Tahoma" w:hAnsi="Tahoma" w:cs="Tahoma"/>
                <w:sz w:val="20"/>
                <w:szCs w:val="20"/>
              </w:rPr>
            </w:pPr>
            <w:r w:rsidRPr="002D06BF">
              <w:rPr>
                <w:rFonts w:ascii="Tahoma" w:hAnsi="Tahoma" w:cs="Tahoma"/>
                <w:sz w:val="20"/>
                <w:szCs w:val="20"/>
              </w:rPr>
              <w:t>Принцип выплаты рассчитанн</w:t>
            </w:r>
            <w:r w:rsidRPr="002D06BF">
              <w:rPr>
                <w:rFonts w:ascii="Tahoma" w:hAnsi="Tahoma" w:cs="Tahoma"/>
                <w:color w:val="000000"/>
                <w:sz w:val="20"/>
                <w:szCs w:val="20"/>
              </w:rPr>
              <w:t>ых Баллов</w:t>
            </w:r>
          </w:p>
        </w:tc>
        <w:tc>
          <w:tcPr>
            <w:tcW w:w="7122" w:type="dxa"/>
            <w:gridSpan w:val="2"/>
            <w:tcBorders>
              <w:top w:val="single" w:sz="4" w:space="0" w:color="auto"/>
              <w:left w:val="nil"/>
              <w:bottom w:val="single" w:sz="4" w:space="0" w:color="auto"/>
              <w:right w:val="single" w:sz="4" w:space="0" w:color="000000"/>
            </w:tcBorders>
            <w:shd w:val="clear" w:color="auto" w:fill="auto"/>
            <w:vAlign w:val="center"/>
            <w:hideMark/>
          </w:tcPr>
          <w:p w14:paraId="0204014E" w14:textId="77777777" w:rsidR="003E2FCA" w:rsidRPr="002D06BF" w:rsidRDefault="003E2FCA" w:rsidP="00C720A8">
            <w:pPr>
              <w:jc w:val="center"/>
              <w:rPr>
                <w:rFonts w:ascii="Tahoma" w:hAnsi="Tahoma" w:cs="Tahoma"/>
                <w:sz w:val="20"/>
                <w:szCs w:val="20"/>
              </w:rPr>
            </w:pPr>
            <w:r w:rsidRPr="002D06BF">
              <w:rPr>
                <w:rFonts w:ascii="Tahoma" w:hAnsi="Tahoma" w:cs="Tahoma"/>
                <w:sz w:val="20"/>
                <w:szCs w:val="20"/>
              </w:rPr>
              <w:t xml:space="preserve">Зачисление Баллов производится ежемесячно на специальный бонусный счет Участника в Личном кабинете </w:t>
            </w:r>
            <w:r w:rsidRPr="002D06BF">
              <w:rPr>
                <w:rFonts w:ascii="Tahoma" w:hAnsi="Tahoma" w:cs="Tahoma"/>
                <w:sz w:val="20"/>
                <w:szCs w:val="20"/>
              </w:rPr>
              <w:br/>
              <w:t>(по тексту – Бонусный счет) в порядке и в сроки, указанные в Программе лояльности.</w:t>
            </w:r>
          </w:p>
        </w:tc>
      </w:tr>
      <w:tr w:rsidR="003E2FCA" w14:paraId="48019705" w14:textId="77777777" w:rsidTr="00C720A8">
        <w:trPr>
          <w:trHeight w:val="300"/>
        </w:trPr>
        <w:tc>
          <w:tcPr>
            <w:tcW w:w="716" w:type="dxa"/>
            <w:tcBorders>
              <w:top w:val="nil"/>
              <w:left w:val="single" w:sz="4" w:space="0" w:color="auto"/>
              <w:bottom w:val="single" w:sz="4" w:space="0" w:color="auto"/>
              <w:right w:val="single" w:sz="4" w:space="0" w:color="auto"/>
            </w:tcBorders>
            <w:shd w:val="clear" w:color="000000" w:fill="808080"/>
            <w:noWrap/>
            <w:vAlign w:val="center"/>
            <w:hideMark/>
          </w:tcPr>
          <w:p w14:paraId="5A903DC1" w14:textId="77777777" w:rsidR="003E2FCA" w:rsidRDefault="003E2FCA" w:rsidP="00C720A8">
            <w:pPr>
              <w:jc w:val="center"/>
              <w:rPr>
                <w:rFonts w:ascii="Tahoma" w:hAnsi="Tahoma" w:cs="Tahoma"/>
                <w:b/>
                <w:bCs/>
                <w:color w:val="FFFFFF"/>
                <w:sz w:val="20"/>
                <w:szCs w:val="20"/>
              </w:rPr>
            </w:pPr>
            <w:r>
              <w:rPr>
                <w:rFonts w:ascii="Tahoma" w:hAnsi="Tahoma" w:cs="Tahoma"/>
                <w:b/>
                <w:bCs/>
                <w:color w:val="FFFFFF"/>
                <w:sz w:val="20"/>
                <w:szCs w:val="20"/>
              </w:rPr>
              <w:t>2.</w:t>
            </w:r>
          </w:p>
        </w:tc>
        <w:tc>
          <w:tcPr>
            <w:tcW w:w="14660" w:type="dxa"/>
            <w:gridSpan w:val="3"/>
            <w:tcBorders>
              <w:top w:val="single" w:sz="4" w:space="0" w:color="auto"/>
              <w:left w:val="nil"/>
              <w:bottom w:val="single" w:sz="4" w:space="0" w:color="auto"/>
              <w:right w:val="single" w:sz="4" w:space="0" w:color="000000"/>
            </w:tcBorders>
            <w:shd w:val="clear" w:color="000000" w:fill="808080"/>
            <w:noWrap/>
            <w:vAlign w:val="center"/>
            <w:hideMark/>
          </w:tcPr>
          <w:p w14:paraId="6A9DEFB3" w14:textId="77777777" w:rsidR="003E2FCA" w:rsidRDefault="003E2FCA" w:rsidP="00C720A8">
            <w:pPr>
              <w:rPr>
                <w:rFonts w:ascii="Tahoma" w:hAnsi="Tahoma" w:cs="Tahoma"/>
                <w:b/>
                <w:bCs/>
                <w:color w:val="FFFFFF"/>
                <w:sz w:val="20"/>
                <w:szCs w:val="20"/>
              </w:rPr>
            </w:pPr>
            <w:r>
              <w:rPr>
                <w:rFonts w:ascii="Tahoma" w:hAnsi="Tahoma" w:cs="Tahoma"/>
                <w:b/>
                <w:bCs/>
                <w:color w:val="FFFFFF"/>
                <w:sz w:val="20"/>
                <w:szCs w:val="20"/>
              </w:rPr>
              <w:t>Ограничения применимости</w:t>
            </w:r>
          </w:p>
        </w:tc>
      </w:tr>
      <w:tr w:rsidR="003E2FCA" w14:paraId="3EE40799" w14:textId="77777777" w:rsidTr="00C720A8">
        <w:trPr>
          <w:trHeight w:val="630"/>
        </w:trPr>
        <w:tc>
          <w:tcPr>
            <w:tcW w:w="716" w:type="dxa"/>
            <w:tcBorders>
              <w:top w:val="nil"/>
              <w:left w:val="single" w:sz="4" w:space="0" w:color="auto"/>
              <w:bottom w:val="single" w:sz="4" w:space="0" w:color="auto"/>
              <w:right w:val="single" w:sz="4" w:space="0" w:color="auto"/>
            </w:tcBorders>
            <w:shd w:val="clear" w:color="000000" w:fill="FFFFFF"/>
            <w:noWrap/>
            <w:vAlign w:val="center"/>
            <w:hideMark/>
          </w:tcPr>
          <w:p w14:paraId="000B715D" w14:textId="77777777" w:rsidR="003E2FCA" w:rsidRDefault="003E2FCA" w:rsidP="00C720A8">
            <w:pPr>
              <w:jc w:val="center"/>
              <w:rPr>
                <w:rFonts w:ascii="Tahoma" w:hAnsi="Tahoma" w:cs="Tahoma"/>
                <w:sz w:val="20"/>
                <w:szCs w:val="20"/>
              </w:rPr>
            </w:pPr>
            <w:r>
              <w:rPr>
                <w:rFonts w:ascii="Tahoma" w:hAnsi="Tahoma" w:cs="Tahoma"/>
                <w:sz w:val="20"/>
                <w:szCs w:val="20"/>
              </w:rPr>
              <w:t>2.1.</w:t>
            </w:r>
          </w:p>
        </w:tc>
        <w:tc>
          <w:tcPr>
            <w:tcW w:w="7538" w:type="dxa"/>
            <w:tcBorders>
              <w:top w:val="nil"/>
              <w:left w:val="nil"/>
              <w:bottom w:val="single" w:sz="4" w:space="0" w:color="auto"/>
              <w:right w:val="single" w:sz="4" w:space="0" w:color="auto"/>
            </w:tcBorders>
            <w:shd w:val="clear" w:color="000000" w:fill="FFFFFF"/>
            <w:vAlign w:val="center"/>
            <w:hideMark/>
          </w:tcPr>
          <w:p w14:paraId="5208A865" w14:textId="77777777" w:rsidR="003E2FCA" w:rsidRPr="002D06BF" w:rsidRDefault="003E2FCA" w:rsidP="00C720A8">
            <w:pPr>
              <w:rPr>
                <w:rFonts w:ascii="Tahoma" w:hAnsi="Tahoma" w:cs="Tahoma"/>
                <w:sz w:val="20"/>
                <w:szCs w:val="20"/>
              </w:rPr>
            </w:pPr>
            <w:r w:rsidRPr="002D06BF">
              <w:rPr>
                <w:rFonts w:ascii="Tahoma" w:hAnsi="Tahoma" w:cs="Tahoma"/>
                <w:sz w:val="20"/>
                <w:szCs w:val="20"/>
              </w:rPr>
              <w:t>Общие ограничения применимости Программы, участия, расчета и начисления баллов</w:t>
            </w:r>
          </w:p>
        </w:tc>
        <w:tc>
          <w:tcPr>
            <w:tcW w:w="7122" w:type="dxa"/>
            <w:gridSpan w:val="2"/>
            <w:tcBorders>
              <w:top w:val="single" w:sz="4" w:space="0" w:color="auto"/>
              <w:left w:val="nil"/>
              <w:bottom w:val="single" w:sz="4" w:space="0" w:color="auto"/>
              <w:right w:val="single" w:sz="4" w:space="0" w:color="000000"/>
            </w:tcBorders>
            <w:shd w:val="clear" w:color="auto" w:fill="auto"/>
            <w:vAlign w:val="center"/>
            <w:hideMark/>
          </w:tcPr>
          <w:p w14:paraId="3130F998" w14:textId="77777777" w:rsidR="003E2FCA" w:rsidRPr="002D06BF" w:rsidRDefault="003E2FCA" w:rsidP="00C720A8">
            <w:pPr>
              <w:jc w:val="center"/>
              <w:rPr>
                <w:rFonts w:ascii="Tahoma" w:hAnsi="Tahoma" w:cs="Tahoma"/>
                <w:sz w:val="20"/>
                <w:szCs w:val="20"/>
              </w:rPr>
            </w:pPr>
            <w:r w:rsidRPr="002D06BF">
              <w:rPr>
                <w:rFonts w:ascii="Tahoma" w:hAnsi="Tahoma" w:cs="Tahoma"/>
                <w:sz w:val="20"/>
                <w:szCs w:val="20"/>
              </w:rPr>
              <w:t>В соответствии с Программой лояльности</w:t>
            </w:r>
          </w:p>
        </w:tc>
      </w:tr>
      <w:tr w:rsidR="003E2FCA" w14:paraId="6F87FBBA" w14:textId="77777777" w:rsidTr="00C720A8">
        <w:trPr>
          <w:trHeight w:val="300"/>
        </w:trPr>
        <w:tc>
          <w:tcPr>
            <w:tcW w:w="716" w:type="dxa"/>
            <w:tcBorders>
              <w:top w:val="nil"/>
              <w:left w:val="single" w:sz="4" w:space="0" w:color="auto"/>
              <w:bottom w:val="single" w:sz="4" w:space="0" w:color="auto"/>
              <w:right w:val="single" w:sz="4" w:space="0" w:color="auto"/>
            </w:tcBorders>
            <w:shd w:val="clear" w:color="000000" w:fill="FFFFFF"/>
            <w:noWrap/>
            <w:vAlign w:val="center"/>
            <w:hideMark/>
          </w:tcPr>
          <w:p w14:paraId="4D044815" w14:textId="77777777" w:rsidR="003E2FCA" w:rsidRDefault="003E2FCA" w:rsidP="00C720A8">
            <w:pPr>
              <w:jc w:val="center"/>
              <w:rPr>
                <w:rFonts w:ascii="Tahoma" w:hAnsi="Tahoma" w:cs="Tahoma"/>
                <w:sz w:val="20"/>
                <w:szCs w:val="20"/>
              </w:rPr>
            </w:pPr>
            <w:r>
              <w:rPr>
                <w:rFonts w:ascii="Tahoma" w:hAnsi="Tahoma" w:cs="Tahoma"/>
                <w:sz w:val="20"/>
                <w:szCs w:val="20"/>
              </w:rPr>
              <w:t>2.2.</w:t>
            </w:r>
          </w:p>
        </w:tc>
        <w:tc>
          <w:tcPr>
            <w:tcW w:w="7538" w:type="dxa"/>
            <w:tcBorders>
              <w:top w:val="nil"/>
              <w:left w:val="nil"/>
              <w:bottom w:val="single" w:sz="4" w:space="0" w:color="auto"/>
              <w:right w:val="single" w:sz="4" w:space="0" w:color="auto"/>
            </w:tcBorders>
            <w:shd w:val="clear" w:color="000000" w:fill="FFFFFF"/>
            <w:vAlign w:val="center"/>
            <w:hideMark/>
          </w:tcPr>
          <w:p w14:paraId="384E1CC1" w14:textId="77777777" w:rsidR="003E2FCA" w:rsidRPr="002D06BF" w:rsidRDefault="003E2FCA" w:rsidP="00C720A8">
            <w:pPr>
              <w:rPr>
                <w:rFonts w:ascii="Tahoma" w:hAnsi="Tahoma" w:cs="Tahoma"/>
                <w:sz w:val="20"/>
                <w:szCs w:val="20"/>
              </w:rPr>
            </w:pPr>
            <w:r w:rsidRPr="002D06BF">
              <w:rPr>
                <w:rFonts w:ascii="Tahoma" w:hAnsi="Tahoma" w:cs="Tahoma"/>
                <w:sz w:val="20"/>
                <w:szCs w:val="20"/>
              </w:rPr>
              <w:t>Максимальная сумма одной транзакции для расчета Баллов, в месяц</w:t>
            </w:r>
          </w:p>
        </w:tc>
        <w:tc>
          <w:tcPr>
            <w:tcW w:w="7122" w:type="dxa"/>
            <w:gridSpan w:val="2"/>
            <w:tcBorders>
              <w:top w:val="single" w:sz="4" w:space="0" w:color="auto"/>
              <w:left w:val="nil"/>
              <w:bottom w:val="single" w:sz="4" w:space="0" w:color="auto"/>
              <w:right w:val="single" w:sz="4" w:space="0" w:color="000000"/>
            </w:tcBorders>
            <w:shd w:val="clear" w:color="000000" w:fill="FFFFFF"/>
            <w:noWrap/>
            <w:vAlign w:val="center"/>
            <w:hideMark/>
          </w:tcPr>
          <w:p w14:paraId="27B1EAC3" w14:textId="77777777" w:rsidR="003E2FCA" w:rsidRPr="002D06BF" w:rsidRDefault="003E2FCA" w:rsidP="00C720A8">
            <w:pPr>
              <w:jc w:val="center"/>
              <w:rPr>
                <w:rFonts w:ascii="Tahoma" w:hAnsi="Tahoma" w:cs="Tahoma"/>
                <w:sz w:val="20"/>
                <w:szCs w:val="20"/>
              </w:rPr>
            </w:pPr>
            <w:r w:rsidRPr="002D06BF">
              <w:rPr>
                <w:rFonts w:ascii="Tahoma" w:hAnsi="Tahoma" w:cs="Tahoma"/>
                <w:sz w:val="20"/>
                <w:szCs w:val="20"/>
              </w:rPr>
              <w:t>без ограничений</w:t>
            </w:r>
          </w:p>
        </w:tc>
      </w:tr>
      <w:tr w:rsidR="003E2FCA" w14:paraId="7A8D76C4" w14:textId="77777777" w:rsidTr="00C720A8">
        <w:trPr>
          <w:trHeight w:val="960"/>
        </w:trPr>
        <w:tc>
          <w:tcPr>
            <w:tcW w:w="716" w:type="dxa"/>
            <w:tcBorders>
              <w:top w:val="nil"/>
              <w:left w:val="single" w:sz="4" w:space="0" w:color="auto"/>
              <w:bottom w:val="single" w:sz="4" w:space="0" w:color="auto"/>
              <w:right w:val="single" w:sz="4" w:space="0" w:color="auto"/>
            </w:tcBorders>
            <w:shd w:val="clear" w:color="000000" w:fill="FFFFFF"/>
            <w:noWrap/>
            <w:vAlign w:val="center"/>
            <w:hideMark/>
          </w:tcPr>
          <w:p w14:paraId="4ED0F3F3" w14:textId="77777777" w:rsidR="003E2FCA" w:rsidRDefault="003E2FCA" w:rsidP="00C720A8">
            <w:pPr>
              <w:jc w:val="center"/>
              <w:rPr>
                <w:rFonts w:ascii="Tahoma" w:hAnsi="Tahoma" w:cs="Tahoma"/>
                <w:sz w:val="20"/>
                <w:szCs w:val="20"/>
              </w:rPr>
            </w:pPr>
            <w:r>
              <w:rPr>
                <w:rFonts w:ascii="Tahoma" w:hAnsi="Tahoma" w:cs="Tahoma"/>
                <w:sz w:val="20"/>
                <w:szCs w:val="20"/>
              </w:rPr>
              <w:t>2.3.</w:t>
            </w:r>
          </w:p>
        </w:tc>
        <w:tc>
          <w:tcPr>
            <w:tcW w:w="7538" w:type="dxa"/>
            <w:tcBorders>
              <w:top w:val="nil"/>
              <w:left w:val="nil"/>
              <w:bottom w:val="single" w:sz="4" w:space="0" w:color="auto"/>
              <w:right w:val="single" w:sz="4" w:space="0" w:color="auto"/>
            </w:tcBorders>
            <w:shd w:val="clear" w:color="000000" w:fill="FFFFFF"/>
            <w:vAlign w:val="center"/>
            <w:hideMark/>
          </w:tcPr>
          <w:p w14:paraId="412B81FA" w14:textId="77777777" w:rsidR="003E2FCA" w:rsidRPr="002D06BF" w:rsidRDefault="003E2FCA" w:rsidP="00C720A8">
            <w:pPr>
              <w:rPr>
                <w:rFonts w:ascii="Tahoma" w:hAnsi="Tahoma" w:cs="Tahoma"/>
                <w:sz w:val="20"/>
                <w:szCs w:val="20"/>
              </w:rPr>
            </w:pPr>
            <w:r w:rsidRPr="002D06BF">
              <w:rPr>
                <w:rFonts w:ascii="Tahoma" w:hAnsi="Tahoma" w:cs="Tahoma"/>
                <w:sz w:val="20"/>
                <w:szCs w:val="20"/>
              </w:rPr>
              <w:t>Необходимый минимальный транзакционный оборот для начисления Баллов по каждому Счету карты Клиента</w:t>
            </w:r>
            <w:r w:rsidRPr="002D06BF">
              <w:rPr>
                <w:rFonts w:ascii="Tahoma" w:hAnsi="Tahoma" w:cs="Tahoma"/>
                <w:sz w:val="20"/>
                <w:szCs w:val="20"/>
                <w:vertAlign w:val="superscript"/>
              </w:rPr>
              <w:t>4</w:t>
            </w:r>
            <w:r w:rsidRPr="002D06BF">
              <w:rPr>
                <w:rFonts w:ascii="Tahoma" w:hAnsi="Tahoma" w:cs="Tahoma"/>
                <w:sz w:val="20"/>
                <w:szCs w:val="20"/>
              </w:rPr>
              <w:t>, соответствующему одному из тарифных планов, указанных в п.1.1. Программы, в месяц</w:t>
            </w:r>
            <w:r w:rsidRPr="002D06BF">
              <w:rPr>
                <w:rFonts w:ascii="Tahoma" w:hAnsi="Tahoma" w:cs="Tahoma"/>
                <w:sz w:val="20"/>
                <w:szCs w:val="20"/>
                <w:vertAlign w:val="superscript"/>
              </w:rPr>
              <w:t>5</w:t>
            </w:r>
          </w:p>
        </w:tc>
        <w:tc>
          <w:tcPr>
            <w:tcW w:w="7122" w:type="dxa"/>
            <w:gridSpan w:val="2"/>
            <w:tcBorders>
              <w:top w:val="single" w:sz="4" w:space="0" w:color="auto"/>
              <w:left w:val="nil"/>
              <w:bottom w:val="single" w:sz="4" w:space="0" w:color="auto"/>
              <w:right w:val="single" w:sz="4" w:space="0" w:color="000000"/>
            </w:tcBorders>
            <w:shd w:val="clear" w:color="000000" w:fill="FFFFFF"/>
            <w:vAlign w:val="center"/>
            <w:hideMark/>
          </w:tcPr>
          <w:p w14:paraId="3D261F59" w14:textId="77777777" w:rsidR="003E2FCA" w:rsidRPr="002D06BF" w:rsidRDefault="003E2FCA" w:rsidP="00C720A8">
            <w:pPr>
              <w:jc w:val="center"/>
              <w:rPr>
                <w:rFonts w:ascii="Tahoma" w:hAnsi="Tahoma" w:cs="Tahoma"/>
                <w:sz w:val="20"/>
                <w:szCs w:val="20"/>
              </w:rPr>
            </w:pPr>
            <w:r w:rsidRPr="002D06BF">
              <w:rPr>
                <w:rFonts w:ascii="Tahoma" w:hAnsi="Tahoma" w:cs="Tahoma"/>
                <w:sz w:val="20"/>
                <w:szCs w:val="20"/>
              </w:rPr>
              <w:t>не менее 5000 рублей</w:t>
            </w:r>
            <w:r w:rsidRPr="002D06BF">
              <w:rPr>
                <w:rFonts w:ascii="Tahoma" w:hAnsi="Tahoma" w:cs="Tahoma"/>
                <w:sz w:val="20"/>
                <w:szCs w:val="20"/>
                <w:vertAlign w:val="superscript"/>
              </w:rPr>
              <w:t>2</w:t>
            </w:r>
          </w:p>
        </w:tc>
      </w:tr>
      <w:tr w:rsidR="003E2FCA" w14:paraId="4D5B3F43" w14:textId="77777777" w:rsidTr="00C720A8">
        <w:trPr>
          <w:trHeight w:val="300"/>
        </w:trPr>
        <w:tc>
          <w:tcPr>
            <w:tcW w:w="716" w:type="dxa"/>
            <w:tcBorders>
              <w:top w:val="nil"/>
              <w:left w:val="single" w:sz="4" w:space="0" w:color="auto"/>
              <w:bottom w:val="single" w:sz="4" w:space="0" w:color="auto"/>
              <w:right w:val="single" w:sz="4" w:space="0" w:color="auto"/>
            </w:tcBorders>
            <w:shd w:val="clear" w:color="000000" w:fill="FFFFFF"/>
            <w:noWrap/>
            <w:vAlign w:val="center"/>
            <w:hideMark/>
          </w:tcPr>
          <w:p w14:paraId="20122A73" w14:textId="77777777" w:rsidR="003E2FCA" w:rsidRDefault="003E2FCA" w:rsidP="00C720A8">
            <w:pPr>
              <w:jc w:val="center"/>
              <w:rPr>
                <w:rFonts w:ascii="Tahoma" w:hAnsi="Tahoma" w:cs="Tahoma"/>
                <w:sz w:val="20"/>
                <w:szCs w:val="20"/>
              </w:rPr>
            </w:pPr>
            <w:r>
              <w:rPr>
                <w:rFonts w:ascii="Tahoma" w:hAnsi="Tahoma" w:cs="Tahoma"/>
                <w:sz w:val="20"/>
                <w:szCs w:val="20"/>
              </w:rPr>
              <w:t>2.4.</w:t>
            </w:r>
          </w:p>
        </w:tc>
        <w:tc>
          <w:tcPr>
            <w:tcW w:w="7538" w:type="dxa"/>
            <w:tcBorders>
              <w:top w:val="nil"/>
              <w:left w:val="nil"/>
              <w:bottom w:val="single" w:sz="4" w:space="0" w:color="auto"/>
              <w:right w:val="single" w:sz="4" w:space="0" w:color="auto"/>
            </w:tcBorders>
            <w:shd w:val="clear" w:color="000000" w:fill="FFFFFF"/>
            <w:vAlign w:val="center"/>
            <w:hideMark/>
          </w:tcPr>
          <w:p w14:paraId="73F35152" w14:textId="77777777" w:rsidR="003E2FCA" w:rsidRPr="002D06BF" w:rsidRDefault="003E2FCA" w:rsidP="00C720A8">
            <w:pPr>
              <w:rPr>
                <w:rFonts w:ascii="Tahoma" w:hAnsi="Tahoma" w:cs="Tahoma"/>
                <w:sz w:val="20"/>
                <w:szCs w:val="20"/>
              </w:rPr>
            </w:pPr>
            <w:r w:rsidRPr="002D06BF">
              <w:rPr>
                <w:rFonts w:ascii="Tahoma" w:hAnsi="Tahoma" w:cs="Tahoma"/>
                <w:sz w:val="20"/>
                <w:szCs w:val="20"/>
              </w:rPr>
              <w:t>Минимальная сумма конвертации начисленных Баллов в рубли</w:t>
            </w:r>
          </w:p>
        </w:tc>
        <w:tc>
          <w:tcPr>
            <w:tcW w:w="7122" w:type="dxa"/>
            <w:gridSpan w:val="2"/>
            <w:tcBorders>
              <w:top w:val="single" w:sz="4" w:space="0" w:color="auto"/>
              <w:left w:val="nil"/>
              <w:bottom w:val="single" w:sz="4" w:space="0" w:color="auto"/>
              <w:right w:val="single" w:sz="4" w:space="0" w:color="000000"/>
            </w:tcBorders>
            <w:shd w:val="clear" w:color="000000" w:fill="FFFFFF"/>
            <w:noWrap/>
            <w:vAlign w:val="center"/>
            <w:hideMark/>
          </w:tcPr>
          <w:p w14:paraId="5883A4EF" w14:textId="77777777" w:rsidR="003E2FCA" w:rsidRPr="002D06BF" w:rsidRDefault="003E2FCA" w:rsidP="00C720A8">
            <w:pPr>
              <w:jc w:val="center"/>
              <w:rPr>
                <w:rFonts w:ascii="Tahoma" w:hAnsi="Tahoma" w:cs="Tahoma"/>
                <w:sz w:val="20"/>
                <w:szCs w:val="20"/>
              </w:rPr>
            </w:pPr>
            <w:r w:rsidRPr="002D06BF">
              <w:rPr>
                <w:rFonts w:ascii="Tahoma" w:hAnsi="Tahoma" w:cs="Tahoma"/>
                <w:sz w:val="20"/>
                <w:szCs w:val="20"/>
              </w:rPr>
              <w:t>1 (один) Балл</w:t>
            </w:r>
          </w:p>
        </w:tc>
      </w:tr>
      <w:tr w:rsidR="003E2FCA" w14:paraId="4D4F9870" w14:textId="77777777" w:rsidTr="00C720A8">
        <w:trPr>
          <w:trHeight w:val="795"/>
        </w:trPr>
        <w:tc>
          <w:tcPr>
            <w:tcW w:w="716" w:type="dxa"/>
            <w:vMerge w:val="restart"/>
            <w:tcBorders>
              <w:top w:val="nil"/>
              <w:left w:val="single" w:sz="4" w:space="0" w:color="auto"/>
              <w:right w:val="single" w:sz="4" w:space="0" w:color="auto"/>
            </w:tcBorders>
            <w:shd w:val="clear" w:color="000000" w:fill="FFFFFF"/>
            <w:noWrap/>
            <w:vAlign w:val="center"/>
            <w:hideMark/>
          </w:tcPr>
          <w:p w14:paraId="4096D065" w14:textId="77777777" w:rsidR="003E2FCA" w:rsidRDefault="003E2FCA" w:rsidP="00C720A8">
            <w:pPr>
              <w:jc w:val="center"/>
              <w:rPr>
                <w:rFonts w:ascii="Tahoma" w:hAnsi="Tahoma" w:cs="Tahoma"/>
                <w:sz w:val="20"/>
                <w:szCs w:val="20"/>
              </w:rPr>
            </w:pPr>
            <w:r>
              <w:rPr>
                <w:rFonts w:ascii="Tahoma" w:hAnsi="Tahoma" w:cs="Tahoma"/>
                <w:sz w:val="20"/>
                <w:szCs w:val="20"/>
              </w:rPr>
              <w:t>2.5.</w:t>
            </w:r>
          </w:p>
        </w:tc>
        <w:tc>
          <w:tcPr>
            <w:tcW w:w="7538" w:type="dxa"/>
            <w:vMerge w:val="restart"/>
            <w:tcBorders>
              <w:top w:val="nil"/>
              <w:left w:val="nil"/>
              <w:right w:val="single" w:sz="4" w:space="0" w:color="auto"/>
            </w:tcBorders>
            <w:shd w:val="clear" w:color="000000" w:fill="FFFFFF"/>
            <w:vAlign w:val="center"/>
            <w:hideMark/>
          </w:tcPr>
          <w:p w14:paraId="74C59179" w14:textId="77777777" w:rsidR="003E2FCA" w:rsidRDefault="003E2FCA" w:rsidP="00C720A8">
            <w:pPr>
              <w:rPr>
                <w:rFonts w:ascii="Tahoma" w:hAnsi="Tahoma" w:cs="Tahoma"/>
                <w:sz w:val="20"/>
                <w:szCs w:val="20"/>
              </w:rPr>
            </w:pPr>
            <w:r>
              <w:rPr>
                <w:rFonts w:ascii="Tahoma" w:hAnsi="Tahoma" w:cs="Tahoma"/>
                <w:sz w:val="20"/>
                <w:szCs w:val="20"/>
              </w:rPr>
              <w:t>Максимальная сумма конвертации начисленных Баллов в рубли с учетом Баллов, начисленных в рамках всех Бонусных программ Банка, в месяц</w:t>
            </w:r>
            <w:r>
              <w:rPr>
                <w:rFonts w:ascii="Tahoma" w:hAnsi="Tahoma" w:cs="Tahoma"/>
                <w:sz w:val="20"/>
                <w:szCs w:val="20"/>
                <w:vertAlign w:val="superscript"/>
              </w:rPr>
              <w:t>3</w:t>
            </w:r>
            <w:r>
              <w:rPr>
                <w:rFonts w:ascii="Tahoma" w:hAnsi="Tahoma" w:cs="Tahoma"/>
                <w:sz w:val="20"/>
                <w:szCs w:val="20"/>
              </w:rPr>
              <w:t xml:space="preserve"> в рамках Программы</w:t>
            </w:r>
          </w:p>
        </w:tc>
        <w:tc>
          <w:tcPr>
            <w:tcW w:w="7122" w:type="dxa"/>
            <w:gridSpan w:val="2"/>
            <w:tcBorders>
              <w:top w:val="single" w:sz="4" w:space="0" w:color="auto"/>
              <w:left w:val="nil"/>
              <w:bottom w:val="single" w:sz="4" w:space="0" w:color="auto"/>
              <w:right w:val="single" w:sz="4" w:space="0" w:color="000000"/>
            </w:tcBorders>
            <w:shd w:val="clear" w:color="000000" w:fill="FFFFFF"/>
            <w:noWrap/>
            <w:vAlign w:val="center"/>
            <w:hideMark/>
          </w:tcPr>
          <w:p w14:paraId="5A6AC68B" w14:textId="77777777" w:rsidR="003E2FCA" w:rsidRPr="004848C5" w:rsidRDefault="003E2FCA" w:rsidP="00C720A8">
            <w:pPr>
              <w:jc w:val="center"/>
              <w:rPr>
                <w:rFonts w:ascii="Tahoma" w:hAnsi="Tahoma" w:cs="Tahoma"/>
                <w:sz w:val="20"/>
                <w:szCs w:val="20"/>
              </w:rPr>
            </w:pPr>
            <w:r w:rsidRPr="004848C5">
              <w:rPr>
                <w:rFonts w:ascii="Tahoma" w:hAnsi="Tahoma" w:cs="Tahoma"/>
                <w:sz w:val="20"/>
                <w:szCs w:val="20"/>
              </w:rPr>
              <w:t>Для держателей действующих Банковских карт, выпущенных в рамках Программы банковских услуг «Статус»</w:t>
            </w:r>
            <w:r>
              <w:rPr>
                <w:rFonts w:ascii="Tahoma" w:hAnsi="Tahoma" w:cs="Tahoma"/>
                <w:sz w:val="20"/>
                <w:szCs w:val="20"/>
              </w:rPr>
              <w:t xml:space="preserve"> </w:t>
            </w:r>
            <w:r w:rsidRPr="00E453F9">
              <w:rPr>
                <w:rFonts w:ascii="Tahoma" w:hAnsi="Tahoma" w:cs="Tahoma"/>
                <w:sz w:val="20"/>
                <w:szCs w:val="20"/>
              </w:rPr>
              <w:t>и «Статус Плюс»</w:t>
            </w:r>
            <w:r w:rsidRPr="004848C5">
              <w:rPr>
                <w:rFonts w:ascii="Tahoma" w:hAnsi="Tahoma" w:cs="Tahoma"/>
                <w:sz w:val="20"/>
                <w:szCs w:val="20"/>
              </w:rPr>
              <w:t xml:space="preserve">: </w:t>
            </w:r>
            <w:r w:rsidRPr="004848C5">
              <w:rPr>
                <w:rFonts w:ascii="Tahoma" w:hAnsi="Tahoma" w:cs="Tahoma"/>
                <w:sz w:val="20"/>
                <w:szCs w:val="20"/>
              </w:rPr>
              <w:br/>
            </w:r>
            <w:r w:rsidRPr="004848C5">
              <w:rPr>
                <w:rFonts w:ascii="Tahoma" w:hAnsi="Tahoma" w:cs="Tahoma"/>
                <w:b/>
                <w:bCs/>
                <w:sz w:val="20"/>
                <w:szCs w:val="20"/>
              </w:rPr>
              <w:t>10 000</w:t>
            </w:r>
            <w:r w:rsidRPr="004848C5">
              <w:rPr>
                <w:rFonts w:ascii="Tahoma" w:hAnsi="Tahoma" w:cs="Tahoma"/>
                <w:sz w:val="20"/>
                <w:szCs w:val="20"/>
              </w:rPr>
              <w:t xml:space="preserve"> (десять тысяч) Баллов в месяц.</w:t>
            </w:r>
          </w:p>
        </w:tc>
      </w:tr>
      <w:tr w:rsidR="003E2FCA" w14:paraId="334DD730" w14:textId="77777777" w:rsidTr="00C720A8">
        <w:trPr>
          <w:trHeight w:val="795"/>
        </w:trPr>
        <w:tc>
          <w:tcPr>
            <w:tcW w:w="716" w:type="dxa"/>
            <w:vMerge/>
            <w:tcBorders>
              <w:left w:val="single" w:sz="4" w:space="0" w:color="auto"/>
              <w:right w:val="single" w:sz="4" w:space="0" w:color="auto"/>
            </w:tcBorders>
            <w:shd w:val="clear" w:color="000000" w:fill="FFFFFF"/>
            <w:noWrap/>
            <w:vAlign w:val="center"/>
          </w:tcPr>
          <w:p w14:paraId="0197E7A5" w14:textId="77777777" w:rsidR="003E2FCA" w:rsidRDefault="003E2FCA" w:rsidP="00C720A8">
            <w:pPr>
              <w:jc w:val="center"/>
              <w:rPr>
                <w:rFonts w:ascii="Tahoma" w:hAnsi="Tahoma" w:cs="Tahoma"/>
                <w:sz w:val="20"/>
                <w:szCs w:val="20"/>
              </w:rPr>
            </w:pPr>
          </w:p>
        </w:tc>
        <w:tc>
          <w:tcPr>
            <w:tcW w:w="7538" w:type="dxa"/>
            <w:vMerge/>
            <w:tcBorders>
              <w:left w:val="nil"/>
              <w:right w:val="single" w:sz="4" w:space="0" w:color="auto"/>
            </w:tcBorders>
            <w:shd w:val="clear" w:color="000000" w:fill="FFFFFF"/>
            <w:vAlign w:val="center"/>
          </w:tcPr>
          <w:p w14:paraId="3B9E4815" w14:textId="77777777" w:rsidR="003E2FCA" w:rsidRDefault="003E2FCA" w:rsidP="00C720A8">
            <w:pPr>
              <w:rPr>
                <w:rFonts w:ascii="Tahoma" w:hAnsi="Tahoma" w:cs="Tahoma"/>
                <w:sz w:val="20"/>
                <w:szCs w:val="20"/>
              </w:rPr>
            </w:pPr>
          </w:p>
        </w:tc>
        <w:tc>
          <w:tcPr>
            <w:tcW w:w="7122" w:type="dxa"/>
            <w:gridSpan w:val="2"/>
            <w:tcBorders>
              <w:top w:val="single" w:sz="4" w:space="0" w:color="auto"/>
              <w:left w:val="nil"/>
              <w:bottom w:val="single" w:sz="4" w:space="0" w:color="auto"/>
              <w:right w:val="single" w:sz="4" w:space="0" w:color="000000"/>
            </w:tcBorders>
            <w:shd w:val="clear" w:color="000000" w:fill="FFFFFF"/>
            <w:noWrap/>
            <w:vAlign w:val="center"/>
          </w:tcPr>
          <w:p w14:paraId="42402EBD" w14:textId="77777777" w:rsidR="003E2FCA" w:rsidRPr="004848C5" w:rsidRDefault="003E2FCA" w:rsidP="00C720A8">
            <w:pPr>
              <w:jc w:val="center"/>
              <w:rPr>
                <w:rFonts w:ascii="Tahoma" w:hAnsi="Tahoma" w:cs="Tahoma"/>
                <w:sz w:val="20"/>
                <w:szCs w:val="20"/>
              </w:rPr>
            </w:pPr>
            <w:r w:rsidRPr="004848C5">
              <w:rPr>
                <w:rFonts w:ascii="Tahoma" w:hAnsi="Tahoma" w:cs="Tahoma"/>
                <w:sz w:val="20"/>
                <w:szCs w:val="20"/>
              </w:rPr>
              <w:t>Для держателей действующей (на дату конвертации Баллов) кредитной Банковской карты (с действующим кредитным договором, заключенным с Банком)/</w:t>
            </w:r>
            <w:r w:rsidRPr="004848C5">
              <w:rPr>
                <w:rFonts w:ascii="Tahoma" w:hAnsi="Tahoma" w:cs="Tahoma"/>
                <w:sz w:val="20"/>
                <w:szCs w:val="20"/>
              </w:rPr>
              <w:br/>
              <w:t xml:space="preserve">Банковской карты с Бонусной программой «Стандарт-Бонус» или «Стандарт-Бонус </w:t>
            </w:r>
            <w:r>
              <w:rPr>
                <w:rFonts w:ascii="Tahoma" w:hAnsi="Tahoma" w:cs="Tahoma"/>
                <w:sz w:val="20"/>
                <w:szCs w:val="20"/>
              </w:rPr>
              <w:t>Л</w:t>
            </w:r>
            <w:r w:rsidRPr="004848C5">
              <w:rPr>
                <w:rFonts w:ascii="Tahoma" w:hAnsi="Tahoma" w:cs="Tahoma"/>
                <w:sz w:val="20"/>
                <w:szCs w:val="20"/>
              </w:rPr>
              <w:t>айт», на счет которой Клиенту зачисляется Заработная плата</w:t>
            </w:r>
            <w:r w:rsidRPr="004848C5">
              <w:rPr>
                <w:rFonts w:ascii="Tahoma" w:hAnsi="Tahoma" w:cs="Tahoma"/>
                <w:sz w:val="20"/>
                <w:szCs w:val="20"/>
                <w:vertAlign w:val="superscript"/>
              </w:rPr>
              <w:t>6</w:t>
            </w:r>
            <w:r w:rsidRPr="004848C5">
              <w:rPr>
                <w:rFonts w:ascii="Tahoma" w:hAnsi="Tahoma" w:cs="Tahoma"/>
                <w:sz w:val="20"/>
                <w:szCs w:val="20"/>
              </w:rPr>
              <w:t xml:space="preserve">: </w:t>
            </w:r>
            <w:r w:rsidRPr="004848C5">
              <w:rPr>
                <w:rFonts w:ascii="Tahoma" w:hAnsi="Tahoma" w:cs="Tahoma"/>
                <w:b/>
                <w:bCs/>
                <w:sz w:val="20"/>
                <w:szCs w:val="20"/>
              </w:rPr>
              <w:t>5 000</w:t>
            </w:r>
            <w:r w:rsidRPr="004848C5">
              <w:rPr>
                <w:rFonts w:ascii="Tahoma" w:hAnsi="Tahoma" w:cs="Tahoma"/>
                <w:sz w:val="20"/>
                <w:szCs w:val="20"/>
              </w:rPr>
              <w:t xml:space="preserve"> (пять тысяч) Баллов в месяц.</w:t>
            </w:r>
          </w:p>
        </w:tc>
      </w:tr>
      <w:tr w:rsidR="003E2FCA" w14:paraId="002CB07C" w14:textId="77777777" w:rsidTr="00C720A8">
        <w:trPr>
          <w:trHeight w:val="795"/>
        </w:trPr>
        <w:tc>
          <w:tcPr>
            <w:tcW w:w="716" w:type="dxa"/>
            <w:vMerge/>
            <w:tcBorders>
              <w:left w:val="single" w:sz="4" w:space="0" w:color="auto"/>
              <w:bottom w:val="single" w:sz="4" w:space="0" w:color="auto"/>
              <w:right w:val="single" w:sz="4" w:space="0" w:color="auto"/>
            </w:tcBorders>
            <w:shd w:val="clear" w:color="000000" w:fill="FFFFFF"/>
            <w:noWrap/>
            <w:vAlign w:val="center"/>
          </w:tcPr>
          <w:p w14:paraId="4C450DB3" w14:textId="77777777" w:rsidR="003E2FCA" w:rsidRDefault="003E2FCA" w:rsidP="00C720A8">
            <w:pPr>
              <w:jc w:val="center"/>
              <w:rPr>
                <w:rFonts w:ascii="Tahoma" w:hAnsi="Tahoma" w:cs="Tahoma"/>
                <w:sz w:val="20"/>
                <w:szCs w:val="20"/>
              </w:rPr>
            </w:pPr>
          </w:p>
        </w:tc>
        <w:tc>
          <w:tcPr>
            <w:tcW w:w="7538" w:type="dxa"/>
            <w:vMerge/>
            <w:tcBorders>
              <w:left w:val="nil"/>
              <w:bottom w:val="single" w:sz="4" w:space="0" w:color="auto"/>
              <w:right w:val="single" w:sz="4" w:space="0" w:color="auto"/>
            </w:tcBorders>
            <w:shd w:val="clear" w:color="000000" w:fill="FFFFFF"/>
            <w:vAlign w:val="center"/>
          </w:tcPr>
          <w:p w14:paraId="102B6DE3" w14:textId="77777777" w:rsidR="003E2FCA" w:rsidRDefault="003E2FCA" w:rsidP="00C720A8">
            <w:pPr>
              <w:rPr>
                <w:rFonts w:ascii="Tahoma" w:hAnsi="Tahoma" w:cs="Tahoma"/>
                <w:sz w:val="20"/>
                <w:szCs w:val="20"/>
              </w:rPr>
            </w:pPr>
          </w:p>
        </w:tc>
        <w:tc>
          <w:tcPr>
            <w:tcW w:w="7122" w:type="dxa"/>
            <w:gridSpan w:val="2"/>
            <w:tcBorders>
              <w:top w:val="single" w:sz="4" w:space="0" w:color="auto"/>
              <w:left w:val="nil"/>
              <w:bottom w:val="single" w:sz="4" w:space="0" w:color="auto"/>
              <w:right w:val="single" w:sz="4" w:space="0" w:color="000000"/>
            </w:tcBorders>
            <w:shd w:val="clear" w:color="000000" w:fill="FFFFFF"/>
            <w:noWrap/>
            <w:vAlign w:val="center"/>
          </w:tcPr>
          <w:p w14:paraId="6D23597B" w14:textId="77777777" w:rsidR="003E2FCA" w:rsidRPr="004848C5" w:rsidRDefault="003E2FCA" w:rsidP="00C720A8">
            <w:pPr>
              <w:jc w:val="center"/>
              <w:rPr>
                <w:rFonts w:ascii="Tahoma" w:hAnsi="Tahoma" w:cs="Tahoma"/>
                <w:sz w:val="20"/>
                <w:szCs w:val="20"/>
              </w:rPr>
            </w:pPr>
            <w:r w:rsidRPr="004848C5">
              <w:rPr>
                <w:rFonts w:ascii="Tahoma" w:hAnsi="Tahoma" w:cs="Tahoma"/>
                <w:sz w:val="20"/>
                <w:szCs w:val="20"/>
              </w:rPr>
              <w:t>Для иных категорий Банковских карт</w:t>
            </w:r>
            <w:r w:rsidRPr="004848C5">
              <w:rPr>
                <w:rFonts w:ascii="Tahoma" w:hAnsi="Tahoma" w:cs="Tahoma"/>
                <w:b/>
                <w:bCs/>
                <w:sz w:val="20"/>
                <w:szCs w:val="20"/>
              </w:rPr>
              <w:t>: 3 000</w:t>
            </w:r>
            <w:r w:rsidRPr="004848C5">
              <w:rPr>
                <w:rFonts w:ascii="Tahoma" w:hAnsi="Tahoma" w:cs="Tahoma"/>
                <w:sz w:val="20"/>
                <w:szCs w:val="20"/>
              </w:rPr>
              <w:t xml:space="preserve"> (три тысячи) Баллов в месяц.</w:t>
            </w:r>
          </w:p>
        </w:tc>
      </w:tr>
      <w:tr w:rsidR="003E2FCA" w14:paraId="4AFE929F" w14:textId="77777777" w:rsidTr="00C720A8">
        <w:trPr>
          <w:trHeight w:val="780"/>
        </w:trPr>
        <w:tc>
          <w:tcPr>
            <w:tcW w:w="716"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D7B2EA2" w14:textId="77777777" w:rsidR="003E2FCA" w:rsidRDefault="003E2FCA" w:rsidP="00C720A8">
            <w:pPr>
              <w:jc w:val="center"/>
              <w:rPr>
                <w:rFonts w:ascii="Tahoma" w:hAnsi="Tahoma" w:cs="Tahoma"/>
                <w:sz w:val="20"/>
                <w:szCs w:val="20"/>
              </w:rPr>
            </w:pPr>
            <w:r>
              <w:rPr>
                <w:rFonts w:ascii="Tahoma" w:hAnsi="Tahoma" w:cs="Tahoma"/>
                <w:sz w:val="20"/>
                <w:szCs w:val="20"/>
              </w:rPr>
              <w:t>2.6.</w:t>
            </w:r>
          </w:p>
        </w:tc>
        <w:tc>
          <w:tcPr>
            <w:tcW w:w="7538" w:type="dxa"/>
            <w:vMerge w:val="restart"/>
            <w:tcBorders>
              <w:top w:val="single" w:sz="4" w:space="0" w:color="auto"/>
              <w:left w:val="nil"/>
              <w:bottom w:val="single" w:sz="4" w:space="0" w:color="auto"/>
              <w:right w:val="single" w:sz="4" w:space="0" w:color="auto"/>
            </w:tcBorders>
            <w:shd w:val="clear" w:color="000000" w:fill="FFFFFF"/>
            <w:vAlign w:val="center"/>
            <w:hideMark/>
          </w:tcPr>
          <w:p w14:paraId="09B8CF6D" w14:textId="77777777" w:rsidR="003E2FCA" w:rsidRDefault="003E2FCA" w:rsidP="00C720A8">
            <w:pPr>
              <w:rPr>
                <w:rFonts w:ascii="Tahoma" w:hAnsi="Tahoma" w:cs="Tahoma"/>
                <w:sz w:val="20"/>
                <w:szCs w:val="20"/>
              </w:rPr>
            </w:pPr>
            <w:r w:rsidRPr="004848C5">
              <w:rPr>
                <w:rFonts w:ascii="Tahoma" w:hAnsi="Tahoma" w:cs="Tahoma"/>
                <w:sz w:val="20"/>
                <w:szCs w:val="20"/>
              </w:rPr>
              <w:t>Максимальная общая сумма начисленных Баллов на Бонусный счет Клиента (с учётом Баллов по иным Бонусным программам Банка, применимым к другим тарифным планам Банка, в рамках которых на имя Клиента оформлены Банковские карты), в месяц</w:t>
            </w:r>
            <w:r w:rsidRPr="004848C5">
              <w:rPr>
                <w:rFonts w:ascii="Tahoma" w:hAnsi="Tahoma" w:cs="Tahoma"/>
                <w:sz w:val="20"/>
                <w:szCs w:val="20"/>
                <w:vertAlign w:val="superscript"/>
              </w:rPr>
              <w:t>5</w:t>
            </w:r>
          </w:p>
        </w:tc>
        <w:tc>
          <w:tcPr>
            <w:tcW w:w="7122" w:type="dxa"/>
            <w:gridSpan w:val="2"/>
            <w:tcBorders>
              <w:top w:val="single" w:sz="4" w:space="0" w:color="auto"/>
              <w:left w:val="nil"/>
              <w:bottom w:val="single" w:sz="4" w:space="0" w:color="auto"/>
              <w:right w:val="single" w:sz="4" w:space="0" w:color="auto"/>
            </w:tcBorders>
            <w:shd w:val="clear" w:color="000000" w:fill="FFFFFF"/>
            <w:noWrap/>
            <w:vAlign w:val="center"/>
            <w:hideMark/>
          </w:tcPr>
          <w:p w14:paraId="11FA50E8" w14:textId="77777777" w:rsidR="003E2FCA" w:rsidRPr="004848C5" w:rsidRDefault="003E2FCA" w:rsidP="00C720A8">
            <w:pPr>
              <w:jc w:val="center"/>
              <w:rPr>
                <w:rFonts w:ascii="Tahoma" w:hAnsi="Tahoma" w:cs="Tahoma"/>
                <w:sz w:val="20"/>
                <w:szCs w:val="20"/>
              </w:rPr>
            </w:pPr>
            <w:r w:rsidRPr="004848C5">
              <w:rPr>
                <w:rFonts w:ascii="Tahoma" w:hAnsi="Tahoma" w:cs="Tahoma"/>
                <w:sz w:val="20"/>
                <w:szCs w:val="20"/>
              </w:rPr>
              <w:t>Для держателей действующих Банковских карт, выпущенных в рамках Программы банковских услуг «Статус»</w:t>
            </w:r>
            <w:r>
              <w:rPr>
                <w:rFonts w:ascii="Tahoma" w:hAnsi="Tahoma" w:cs="Tahoma"/>
                <w:sz w:val="20"/>
                <w:szCs w:val="20"/>
              </w:rPr>
              <w:t xml:space="preserve"> </w:t>
            </w:r>
            <w:r w:rsidRPr="00E453F9">
              <w:rPr>
                <w:rFonts w:ascii="Tahoma" w:hAnsi="Tahoma" w:cs="Tahoma"/>
                <w:sz w:val="20"/>
                <w:szCs w:val="20"/>
              </w:rPr>
              <w:t>и «Статус Плюс»</w:t>
            </w:r>
            <w:r w:rsidRPr="004848C5">
              <w:rPr>
                <w:rFonts w:ascii="Tahoma" w:hAnsi="Tahoma" w:cs="Tahoma"/>
                <w:sz w:val="20"/>
                <w:szCs w:val="20"/>
              </w:rPr>
              <w:t xml:space="preserve">: </w:t>
            </w:r>
            <w:r w:rsidRPr="004848C5">
              <w:rPr>
                <w:rFonts w:ascii="Tahoma" w:hAnsi="Tahoma" w:cs="Tahoma"/>
                <w:sz w:val="20"/>
                <w:szCs w:val="20"/>
              </w:rPr>
              <w:br/>
            </w:r>
            <w:r w:rsidRPr="004848C5">
              <w:rPr>
                <w:rFonts w:ascii="Tahoma" w:hAnsi="Tahoma" w:cs="Tahoma"/>
                <w:b/>
                <w:bCs/>
                <w:sz w:val="20"/>
                <w:szCs w:val="20"/>
              </w:rPr>
              <w:t>10 000</w:t>
            </w:r>
            <w:r w:rsidRPr="004848C5">
              <w:rPr>
                <w:rFonts w:ascii="Tahoma" w:hAnsi="Tahoma" w:cs="Tahoma"/>
                <w:sz w:val="20"/>
                <w:szCs w:val="20"/>
              </w:rPr>
              <w:t xml:space="preserve"> (десять тысяч) Баллов в месяц.</w:t>
            </w:r>
          </w:p>
        </w:tc>
      </w:tr>
      <w:tr w:rsidR="003E2FCA" w14:paraId="0D1A2E97" w14:textId="77777777" w:rsidTr="00C720A8">
        <w:trPr>
          <w:trHeight w:val="1560"/>
        </w:trPr>
        <w:tc>
          <w:tcPr>
            <w:tcW w:w="716" w:type="dxa"/>
            <w:vMerge/>
            <w:tcBorders>
              <w:top w:val="single" w:sz="4" w:space="0" w:color="auto"/>
              <w:left w:val="single" w:sz="4" w:space="0" w:color="auto"/>
              <w:bottom w:val="single" w:sz="4" w:space="0" w:color="auto"/>
              <w:right w:val="single" w:sz="4" w:space="0" w:color="auto"/>
            </w:tcBorders>
            <w:shd w:val="clear" w:color="000000" w:fill="FFFFFF"/>
            <w:noWrap/>
            <w:vAlign w:val="center"/>
          </w:tcPr>
          <w:p w14:paraId="234BBC66" w14:textId="77777777" w:rsidR="003E2FCA" w:rsidRDefault="003E2FCA" w:rsidP="00C720A8">
            <w:pPr>
              <w:jc w:val="center"/>
              <w:rPr>
                <w:rFonts w:ascii="Tahoma" w:hAnsi="Tahoma" w:cs="Tahoma"/>
                <w:sz w:val="20"/>
                <w:szCs w:val="20"/>
              </w:rPr>
            </w:pPr>
          </w:p>
        </w:tc>
        <w:tc>
          <w:tcPr>
            <w:tcW w:w="7538" w:type="dxa"/>
            <w:vMerge/>
            <w:tcBorders>
              <w:top w:val="single" w:sz="4" w:space="0" w:color="auto"/>
              <w:left w:val="nil"/>
              <w:bottom w:val="single" w:sz="4" w:space="0" w:color="auto"/>
              <w:right w:val="single" w:sz="4" w:space="0" w:color="auto"/>
            </w:tcBorders>
            <w:shd w:val="clear" w:color="000000" w:fill="FFFFFF"/>
            <w:vAlign w:val="center"/>
          </w:tcPr>
          <w:p w14:paraId="2B875858" w14:textId="77777777" w:rsidR="003E2FCA" w:rsidRPr="004848C5" w:rsidRDefault="003E2FCA" w:rsidP="00C720A8">
            <w:pPr>
              <w:rPr>
                <w:rFonts w:ascii="Tahoma" w:hAnsi="Tahoma" w:cs="Tahoma"/>
                <w:sz w:val="20"/>
                <w:szCs w:val="20"/>
              </w:rPr>
            </w:pPr>
          </w:p>
        </w:tc>
        <w:tc>
          <w:tcPr>
            <w:tcW w:w="7122" w:type="dxa"/>
            <w:gridSpan w:val="2"/>
            <w:tcBorders>
              <w:top w:val="single" w:sz="4" w:space="0" w:color="auto"/>
              <w:left w:val="nil"/>
              <w:bottom w:val="single" w:sz="4" w:space="0" w:color="auto"/>
              <w:right w:val="single" w:sz="4" w:space="0" w:color="auto"/>
            </w:tcBorders>
            <w:shd w:val="clear" w:color="000000" w:fill="FFFFFF"/>
            <w:noWrap/>
            <w:vAlign w:val="center"/>
          </w:tcPr>
          <w:p w14:paraId="0254DFCB" w14:textId="77777777" w:rsidR="003E2FCA" w:rsidRPr="004848C5" w:rsidRDefault="003E2FCA" w:rsidP="00C720A8">
            <w:pPr>
              <w:jc w:val="center"/>
              <w:rPr>
                <w:rFonts w:ascii="Tahoma" w:hAnsi="Tahoma" w:cs="Tahoma"/>
                <w:sz w:val="20"/>
                <w:szCs w:val="20"/>
              </w:rPr>
            </w:pPr>
            <w:r w:rsidRPr="004848C5">
              <w:rPr>
                <w:rFonts w:ascii="Tahoma" w:hAnsi="Tahoma" w:cs="Tahoma"/>
                <w:sz w:val="20"/>
                <w:szCs w:val="20"/>
              </w:rPr>
              <w:t>Для держателей действующей (на дату конвертации Баллов) кредитной Банковской карты (с действующим кредитным договором, заключенным с Банком)/</w:t>
            </w:r>
            <w:r w:rsidRPr="004848C5">
              <w:rPr>
                <w:rFonts w:ascii="Tahoma" w:hAnsi="Tahoma" w:cs="Tahoma"/>
                <w:sz w:val="20"/>
                <w:szCs w:val="20"/>
              </w:rPr>
              <w:br/>
              <w:t>Банковской карты с Бонусной программой «Станд</w:t>
            </w:r>
            <w:r>
              <w:rPr>
                <w:rFonts w:ascii="Tahoma" w:hAnsi="Tahoma" w:cs="Tahoma"/>
                <w:sz w:val="20"/>
                <w:szCs w:val="20"/>
              </w:rPr>
              <w:t>арт-Бонус» или «Стандарт-Бонус Л</w:t>
            </w:r>
            <w:r w:rsidRPr="004848C5">
              <w:rPr>
                <w:rFonts w:ascii="Tahoma" w:hAnsi="Tahoma" w:cs="Tahoma"/>
                <w:sz w:val="20"/>
                <w:szCs w:val="20"/>
              </w:rPr>
              <w:t>айт», на счет которой Клиенту зачисляется Заработная плата</w:t>
            </w:r>
            <w:r w:rsidRPr="004848C5">
              <w:rPr>
                <w:rFonts w:ascii="Tahoma" w:hAnsi="Tahoma" w:cs="Tahoma"/>
                <w:sz w:val="20"/>
                <w:szCs w:val="20"/>
                <w:vertAlign w:val="superscript"/>
              </w:rPr>
              <w:t>6</w:t>
            </w:r>
            <w:r w:rsidRPr="004848C5">
              <w:rPr>
                <w:rFonts w:ascii="Tahoma" w:hAnsi="Tahoma" w:cs="Tahoma"/>
                <w:sz w:val="20"/>
                <w:szCs w:val="20"/>
              </w:rPr>
              <w:t xml:space="preserve">: </w:t>
            </w:r>
            <w:r w:rsidRPr="004848C5">
              <w:rPr>
                <w:rFonts w:ascii="Tahoma" w:hAnsi="Tahoma" w:cs="Tahoma"/>
                <w:b/>
                <w:bCs/>
                <w:sz w:val="20"/>
                <w:szCs w:val="20"/>
              </w:rPr>
              <w:t>5 000</w:t>
            </w:r>
            <w:r w:rsidRPr="004848C5">
              <w:rPr>
                <w:rFonts w:ascii="Tahoma" w:hAnsi="Tahoma" w:cs="Tahoma"/>
                <w:sz w:val="20"/>
                <w:szCs w:val="20"/>
              </w:rPr>
              <w:t xml:space="preserve"> (пять тысяч) Баллов в месяц.</w:t>
            </w:r>
          </w:p>
        </w:tc>
      </w:tr>
      <w:tr w:rsidR="003E2FCA" w14:paraId="0861195E" w14:textId="77777777" w:rsidTr="00C720A8">
        <w:trPr>
          <w:trHeight w:val="780"/>
        </w:trPr>
        <w:tc>
          <w:tcPr>
            <w:tcW w:w="716" w:type="dxa"/>
            <w:vMerge/>
            <w:tcBorders>
              <w:top w:val="single" w:sz="4" w:space="0" w:color="auto"/>
              <w:left w:val="single" w:sz="4" w:space="0" w:color="auto"/>
              <w:bottom w:val="single" w:sz="4" w:space="0" w:color="auto"/>
              <w:right w:val="single" w:sz="4" w:space="0" w:color="auto"/>
            </w:tcBorders>
            <w:shd w:val="clear" w:color="000000" w:fill="FFFFFF"/>
            <w:noWrap/>
            <w:vAlign w:val="center"/>
          </w:tcPr>
          <w:p w14:paraId="407A010B" w14:textId="77777777" w:rsidR="003E2FCA" w:rsidRDefault="003E2FCA" w:rsidP="00C720A8">
            <w:pPr>
              <w:jc w:val="center"/>
              <w:rPr>
                <w:rFonts w:ascii="Tahoma" w:hAnsi="Tahoma" w:cs="Tahoma"/>
                <w:sz w:val="20"/>
                <w:szCs w:val="20"/>
              </w:rPr>
            </w:pPr>
          </w:p>
        </w:tc>
        <w:tc>
          <w:tcPr>
            <w:tcW w:w="7538" w:type="dxa"/>
            <w:vMerge/>
            <w:tcBorders>
              <w:top w:val="single" w:sz="4" w:space="0" w:color="auto"/>
              <w:left w:val="nil"/>
              <w:bottom w:val="single" w:sz="4" w:space="0" w:color="auto"/>
              <w:right w:val="single" w:sz="4" w:space="0" w:color="auto"/>
            </w:tcBorders>
            <w:shd w:val="clear" w:color="000000" w:fill="FFFFFF"/>
            <w:vAlign w:val="center"/>
          </w:tcPr>
          <w:p w14:paraId="2386D795" w14:textId="77777777" w:rsidR="003E2FCA" w:rsidRPr="004848C5" w:rsidRDefault="003E2FCA" w:rsidP="00C720A8">
            <w:pPr>
              <w:rPr>
                <w:rFonts w:ascii="Tahoma" w:hAnsi="Tahoma" w:cs="Tahoma"/>
                <w:sz w:val="20"/>
                <w:szCs w:val="20"/>
              </w:rPr>
            </w:pPr>
          </w:p>
        </w:tc>
        <w:tc>
          <w:tcPr>
            <w:tcW w:w="7122" w:type="dxa"/>
            <w:gridSpan w:val="2"/>
            <w:tcBorders>
              <w:top w:val="single" w:sz="4" w:space="0" w:color="auto"/>
              <w:left w:val="nil"/>
              <w:bottom w:val="single" w:sz="4" w:space="0" w:color="auto"/>
              <w:right w:val="single" w:sz="4" w:space="0" w:color="auto"/>
            </w:tcBorders>
            <w:shd w:val="clear" w:color="000000" w:fill="FFFFFF"/>
            <w:noWrap/>
            <w:vAlign w:val="center"/>
          </w:tcPr>
          <w:p w14:paraId="07093C75" w14:textId="77777777" w:rsidR="003E2FCA" w:rsidRPr="004848C5" w:rsidRDefault="003E2FCA" w:rsidP="00C720A8">
            <w:pPr>
              <w:jc w:val="center"/>
              <w:rPr>
                <w:rFonts w:ascii="Tahoma" w:hAnsi="Tahoma" w:cs="Tahoma"/>
                <w:sz w:val="20"/>
                <w:szCs w:val="20"/>
              </w:rPr>
            </w:pPr>
            <w:r w:rsidRPr="004848C5">
              <w:rPr>
                <w:rFonts w:ascii="Tahoma" w:hAnsi="Tahoma" w:cs="Tahoma"/>
                <w:sz w:val="20"/>
                <w:szCs w:val="20"/>
              </w:rPr>
              <w:t>Для иных категорий Банковских карт</w:t>
            </w:r>
            <w:r w:rsidRPr="004848C5">
              <w:rPr>
                <w:rFonts w:ascii="Tahoma" w:hAnsi="Tahoma" w:cs="Tahoma"/>
                <w:b/>
                <w:bCs/>
                <w:sz w:val="20"/>
                <w:szCs w:val="20"/>
              </w:rPr>
              <w:t>: 3 000</w:t>
            </w:r>
            <w:r w:rsidRPr="004848C5">
              <w:rPr>
                <w:rFonts w:ascii="Tahoma" w:hAnsi="Tahoma" w:cs="Tahoma"/>
                <w:sz w:val="20"/>
                <w:szCs w:val="20"/>
              </w:rPr>
              <w:t xml:space="preserve"> (три тысячи) Баллов в месяц.</w:t>
            </w:r>
          </w:p>
        </w:tc>
      </w:tr>
      <w:tr w:rsidR="003E2FCA" w14:paraId="0864FD3A" w14:textId="77777777" w:rsidTr="00C720A8">
        <w:trPr>
          <w:trHeight w:val="870"/>
        </w:trPr>
        <w:tc>
          <w:tcPr>
            <w:tcW w:w="71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16DBDB" w14:textId="77777777" w:rsidR="003E2FCA" w:rsidRDefault="003E2FCA" w:rsidP="00C720A8">
            <w:pPr>
              <w:jc w:val="center"/>
              <w:rPr>
                <w:rFonts w:ascii="Tahoma" w:hAnsi="Tahoma" w:cs="Tahoma"/>
                <w:sz w:val="20"/>
                <w:szCs w:val="20"/>
              </w:rPr>
            </w:pPr>
            <w:r>
              <w:rPr>
                <w:rFonts w:ascii="Tahoma" w:hAnsi="Tahoma" w:cs="Tahoma"/>
                <w:sz w:val="20"/>
                <w:szCs w:val="20"/>
              </w:rPr>
              <w:t>2.7.</w:t>
            </w:r>
          </w:p>
        </w:tc>
        <w:tc>
          <w:tcPr>
            <w:tcW w:w="7538"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7FD1695" w14:textId="77777777" w:rsidR="003E2FCA" w:rsidRDefault="003E2FCA" w:rsidP="00C720A8">
            <w:pPr>
              <w:rPr>
                <w:rFonts w:ascii="Tahoma" w:hAnsi="Tahoma" w:cs="Tahoma"/>
                <w:sz w:val="20"/>
                <w:szCs w:val="20"/>
              </w:rPr>
            </w:pPr>
            <w:r>
              <w:rPr>
                <w:rFonts w:ascii="Tahoma" w:hAnsi="Tahoma" w:cs="Tahoma"/>
                <w:sz w:val="20"/>
                <w:szCs w:val="20"/>
              </w:rPr>
              <w:t>Прочие ограничения</w:t>
            </w:r>
          </w:p>
        </w:tc>
        <w:tc>
          <w:tcPr>
            <w:tcW w:w="7122" w:type="dxa"/>
            <w:gridSpan w:val="2"/>
            <w:tcBorders>
              <w:top w:val="single" w:sz="4" w:space="0" w:color="auto"/>
              <w:left w:val="single" w:sz="4" w:space="0" w:color="auto"/>
              <w:bottom w:val="single" w:sz="4" w:space="0" w:color="auto"/>
              <w:right w:val="single" w:sz="4" w:space="0" w:color="000000"/>
            </w:tcBorders>
            <w:shd w:val="clear" w:color="000000" w:fill="FFFFFF"/>
            <w:vAlign w:val="center"/>
            <w:hideMark/>
          </w:tcPr>
          <w:p w14:paraId="23582A8C" w14:textId="77777777" w:rsidR="003E2FCA" w:rsidRPr="004F6CC7" w:rsidRDefault="003E2FCA" w:rsidP="00C720A8">
            <w:pPr>
              <w:jc w:val="center"/>
              <w:rPr>
                <w:rFonts w:ascii="Tahoma" w:hAnsi="Tahoma" w:cs="Tahoma"/>
                <w:sz w:val="20"/>
                <w:szCs w:val="20"/>
              </w:rPr>
            </w:pPr>
            <w:r w:rsidRPr="004F6CC7">
              <w:rPr>
                <w:rFonts w:ascii="Tahoma" w:hAnsi="Tahoma" w:cs="Tahoma"/>
                <w:sz w:val="20"/>
                <w:szCs w:val="20"/>
              </w:rPr>
              <w:t xml:space="preserve">В начислении Баллов не учитываются операции внесения и выдачи наличных денежных средств, платежей и денежных переводов в каналах дистанционного банковского обслуживания  и сервисах самообслуживания (включая операции с использованием Системы быстрых платежей и СБПэй, в т.ч. с использованием QR-кодов), </w:t>
            </w:r>
            <w:r w:rsidRPr="004F6CC7">
              <w:rPr>
                <w:rFonts w:ascii="Tahoma" w:hAnsi="Tahoma" w:cs="Tahoma"/>
                <w:sz w:val="20"/>
                <w:szCs w:val="20"/>
              </w:rPr>
              <w:br/>
              <w:t>покупки с выдачей наличных денежных средств, а также операции в иностранной валюте.</w:t>
            </w:r>
          </w:p>
        </w:tc>
      </w:tr>
      <w:tr w:rsidR="003E2FCA" w14:paraId="513FD260" w14:textId="77777777" w:rsidTr="00C720A8">
        <w:trPr>
          <w:trHeight w:val="510"/>
        </w:trPr>
        <w:tc>
          <w:tcPr>
            <w:tcW w:w="716" w:type="dxa"/>
            <w:vMerge/>
            <w:tcBorders>
              <w:top w:val="single" w:sz="4" w:space="0" w:color="auto"/>
              <w:left w:val="single" w:sz="4" w:space="0" w:color="auto"/>
              <w:bottom w:val="single" w:sz="4" w:space="0" w:color="auto"/>
              <w:right w:val="single" w:sz="4" w:space="0" w:color="auto"/>
            </w:tcBorders>
            <w:vAlign w:val="center"/>
            <w:hideMark/>
          </w:tcPr>
          <w:p w14:paraId="25534EAC" w14:textId="77777777" w:rsidR="003E2FCA" w:rsidRDefault="003E2FCA" w:rsidP="00C720A8">
            <w:pPr>
              <w:rPr>
                <w:rFonts w:ascii="Tahoma" w:hAnsi="Tahoma" w:cs="Tahoma"/>
                <w:sz w:val="20"/>
                <w:szCs w:val="20"/>
              </w:rPr>
            </w:pPr>
          </w:p>
        </w:tc>
        <w:tc>
          <w:tcPr>
            <w:tcW w:w="7538" w:type="dxa"/>
            <w:vMerge/>
            <w:tcBorders>
              <w:top w:val="single" w:sz="4" w:space="0" w:color="auto"/>
              <w:left w:val="single" w:sz="4" w:space="0" w:color="auto"/>
              <w:bottom w:val="single" w:sz="4" w:space="0" w:color="auto"/>
              <w:right w:val="single" w:sz="4" w:space="0" w:color="auto"/>
            </w:tcBorders>
            <w:vAlign w:val="center"/>
            <w:hideMark/>
          </w:tcPr>
          <w:p w14:paraId="07FDE398" w14:textId="77777777" w:rsidR="003E2FCA" w:rsidRDefault="003E2FCA" w:rsidP="00C720A8">
            <w:pPr>
              <w:rPr>
                <w:rFonts w:ascii="Tahoma" w:hAnsi="Tahoma" w:cs="Tahoma"/>
                <w:sz w:val="20"/>
                <w:szCs w:val="20"/>
              </w:rPr>
            </w:pPr>
          </w:p>
        </w:tc>
        <w:tc>
          <w:tcPr>
            <w:tcW w:w="7122" w:type="dxa"/>
            <w:gridSpan w:val="2"/>
            <w:tcBorders>
              <w:top w:val="single" w:sz="4" w:space="0" w:color="auto"/>
              <w:left w:val="single" w:sz="4" w:space="0" w:color="auto"/>
              <w:bottom w:val="single" w:sz="4" w:space="0" w:color="auto"/>
              <w:right w:val="single" w:sz="4" w:space="0" w:color="000000"/>
            </w:tcBorders>
            <w:shd w:val="clear" w:color="000000" w:fill="FFFFFF"/>
            <w:vAlign w:val="center"/>
            <w:hideMark/>
          </w:tcPr>
          <w:p w14:paraId="32110028" w14:textId="77777777" w:rsidR="003E2FCA" w:rsidRPr="004F6CC7" w:rsidRDefault="003E2FCA" w:rsidP="00C720A8">
            <w:pPr>
              <w:jc w:val="center"/>
              <w:rPr>
                <w:rFonts w:ascii="Tahoma" w:hAnsi="Tahoma" w:cs="Tahoma"/>
                <w:sz w:val="20"/>
                <w:szCs w:val="20"/>
              </w:rPr>
            </w:pPr>
            <w:r w:rsidRPr="004F6CC7">
              <w:rPr>
                <w:rFonts w:ascii="Tahoma" w:hAnsi="Tahoma" w:cs="Tahoma"/>
                <w:sz w:val="20"/>
                <w:szCs w:val="20"/>
              </w:rPr>
              <w:t xml:space="preserve">В начислении Баллов не учитываются транзакции, подпадающие в список исключений МСС-кодов, </w:t>
            </w:r>
            <w:r w:rsidRPr="004F6CC7">
              <w:rPr>
                <w:rFonts w:ascii="Tahoma" w:hAnsi="Tahoma" w:cs="Tahoma"/>
                <w:sz w:val="20"/>
                <w:szCs w:val="20"/>
              </w:rPr>
              <w:br/>
              <w:t>указанных в Программе лояльности и на Сайте Банка www.atb.su</w:t>
            </w:r>
          </w:p>
        </w:tc>
      </w:tr>
      <w:tr w:rsidR="003E2FCA" w14:paraId="0FEA9D3D" w14:textId="77777777" w:rsidTr="00C720A8">
        <w:trPr>
          <w:trHeight w:val="300"/>
        </w:trPr>
        <w:tc>
          <w:tcPr>
            <w:tcW w:w="716" w:type="dxa"/>
            <w:tcBorders>
              <w:top w:val="nil"/>
              <w:left w:val="single" w:sz="4" w:space="0" w:color="auto"/>
              <w:bottom w:val="single" w:sz="4" w:space="0" w:color="auto"/>
              <w:right w:val="single" w:sz="4" w:space="0" w:color="auto"/>
            </w:tcBorders>
            <w:shd w:val="clear" w:color="000000" w:fill="808080"/>
            <w:noWrap/>
            <w:vAlign w:val="center"/>
            <w:hideMark/>
          </w:tcPr>
          <w:p w14:paraId="18769088" w14:textId="77777777" w:rsidR="003E2FCA" w:rsidRDefault="003E2FCA" w:rsidP="00C720A8">
            <w:pPr>
              <w:jc w:val="center"/>
              <w:rPr>
                <w:rFonts w:ascii="Tahoma" w:hAnsi="Tahoma" w:cs="Tahoma"/>
                <w:b/>
                <w:bCs/>
                <w:color w:val="FFFFFF"/>
                <w:sz w:val="20"/>
                <w:szCs w:val="20"/>
              </w:rPr>
            </w:pPr>
            <w:r>
              <w:rPr>
                <w:rFonts w:ascii="Tahoma" w:hAnsi="Tahoma" w:cs="Tahoma"/>
                <w:b/>
                <w:bCs/>
                <w:color w:val="FFFFFF"/>
                <w:sz w:val="20"/>
                <w:szCs w:val="20"/>
              </w:rPr>
              <w:t>3.</w:t>
            </w:r>
          </w:p>
        </w:tc>
        <w:tc>
          <w:tcPr>
            <w:tcW w:w="14660" w:type="dxa"/>
            <w:gridSpan w:val="3"/>
            <w:tcBorders>
              <w:top w:val="single" w:sz="4" w:space="0" w:color="auto"/>
              <w:left w:val="nil"/>
              <w:bottom w:val="single" w:sz="4" w:space="0" w:color="auto"/>
              <w:right w:val="single" w:sz="4" w:space="0" w:color="000000"/>
            </w:tcBorders>
            <w:shd w:val="clear" w:color="000000" w:fill="808080"/>
            <w:noWrap/>
            <w:vAlign w:val="center"/>
            <w:hideMark/>
          </w:tcPr>
          <w:p w14:paraId="17937B37" w14:textId="77777777" w:rsidR="003E2FCA" w:rsidRDefault="003E2FCA" w:rsidP="00C720A8">
            <w:pPr>
              <w:rPr>
                <w:rFonts w:ascii="Tahoma" w:hAnsi="Tahoma" w:cs="Tahoma"/>
                <w:b/>
                <w:bCs/>
                <w:color w:val="FFFFFF"/>
                <w:sz w:val="20"/>
                <w:szCs w:val="20"/>
              </w:rPr>
            </w:pPr>
            <w:r>
              <w:rPr>
                <w:rFonts w:ascii="Tahoma" w:hAnsi="Tahoma" w:cs="Tahoma"/>
                <w:b/>
                <w:bCs/>
                <w:color w:val="FFFFFF"/>
                <w:sz w:val="20"/>
                <w:szCs w:val="20"/>
              </w:rPr>
              <w:t>Категории расчета Баллов</w:t>
            </w:r>
          </w:p>
        </w:tc>
      </w:tr>
      <w:tr w:rsidR="003E2FCA" w14:paraId="298C345A" w14:textId="77777777" w:rsidTr="00C720A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369EDFBD" w14:textId="77777777" w:rsidR="003E2FCA" w:rsidRDefault="003E2FCA" w:rsidP="00C720A8">
            <w:pPr>
              <w:jc w:val="center"/>
              <w:rPr>
                <w:rFonts w:ascii="Tahoma" w:hAnsi="Tahoma" w:cs="Tahoma"/>
                <w:sz w:val="20"/>
                <w:szCs w:val="20"/>
              </w:rPr>
            </w:pPr>
            <w:r>
              <w:rPr>
                <w:rFonts w:ascii="Tahoma" w:hAnsi="Tahoma" w:cs="Tahoma"/>
                <w:sz w:val="20"/>
                <w:szCs w:val="20"/>
              </w:rPr>
              <w:t>3.1.</w:t>
            </w:r>
          </w:p>
        </w:tc>
        <w:tc>
          <w:tcPr>
            <w:tcW w:w="7538" w:type="dxa"/>
            <w:tcBorders>
              <w:top w:val="nil"/>
              <w:left w:val="nil"/>
              <w:bottom w:val="single" w:sz="4" w:space="0" w:color="auto"/>
              <w:right w:val="single" w:sz="4" w:space="0" w:color="auto"/>
            </w:tcBorders>
            <w:shd w:val="clear" w:color="auto" w:fill="auto"/>
            <w:vAlign w:val="center"/>
            <w:hideMark/>
          </w:tcPr>
          <w:p w14:paraId="07FA2071" w14:textId="77777777" w:rsidR="003E2FCA" w:rsidRDefault="003E2FCA" w:rsidP="00C720A8">
            <w:pPr>
              <w:rPr>
                <w:rFonts w:ascii="Tahoma" w:hAnsi="Tahoma" w:cs="Tahoma"/>
                <w:sz w:val="20"/>
                <w:szCs w:val="20"/>
              </w:rPr>
            </w:pPr>
            <w:r>
              <w:rPr>
                <w:rFonts w:ascii="Tahoma" w:hAnsi="Tahoma" w:cs="Tahoma"/>
                <w:sz w:val="20"/>
                <w:szCs w:val="20"/>
              </w:rPr>
              <w:t>Стандартная</w:t>
            </w:r>
          </w:p>
        </w:tc>
        <w:tc>
          <w:tcPr>
            <w:tcW w:w="7122" w:type="dxa"/>
            <w:gridSpan w:val="2"/>
            <w:tcBorders>
              <w:top w:val="single" w:sz="4" w:space="0" w:color="auto"/>
              <w:left w:val="nil"/>
              <w:bottom w:val="single" w:sz="4" w:space="0" w:color="auto"/>
              <w:right w:val="single" w:sz="4" w:space="0" w:color="000000"/>
            </w:tcBorders>
            <w:shd w:val="clear" w:color="000000" w:fill="FFFFFF"/>
            <w:noWrap/>
            <w:vAlign w:val="center"/>
            <w:hideMark/>
          </w:tcPr>
          <w:p w14:paraId="21BB4D2B" w14:textId="77777777" w:rsidR="003E2FCA" w:rsidRPr="004F6CC7" w:rsidRDefault="003E2FCA" w:rsidP="00C720A8">
            <w:pPr>
              <w:jc w:val="center"/>
              <w:rPr>
                <w:rFonts w:ascii="Tahoma" w:hAnsi="Tahoma" w:cs="Tahoma"/>
                <w:sz w:val="20"/>
                <w:szCs w:val="20"/>
              </w:rPr>
            </w:pPr>
            <w:r w:rsidRPr="004F6CC7">
              <w:rPr>
                <w:rFonts w:ascii="Tahoma" w:hAnsi="Tahoma" w:cs="Tahoma"/>
                <w:b/>
                <w:bCs/>
                <w:sz w:val="20"/>
                <w:szCs w:val="20"/>
              </w:rPr>
              <w:t xml:space="preserve">1% </w:t>
            </w:r>
            <w:r w:rsidRPr="004F6CC7">
              <w:rPr>
                <w:rFonts w:ascii="Tahoma" w:hAnsi="Tahoma" w:cs="Tahoma"/>
                <w:sz w:val="20"/>
                <w:szCs w:val="20"/>
              </w:rPr>
              <w:t>от каждых достигнутых 100 рублей транзакции</w:t>
            </w:r>
            <w:r w:rsidRPr="004F6CC7">
              <w:rPr>
                <w:rFonts w:ascii="Tahoma" w:hAnsi="Tahoma" w:cs="Tahoma"/>
                <w:sz w:val="20"/>
                <w:szCs w:val="20"/>
                <w:vertAlign w:val="superscript"/>
              </w:rPr>
              <w:t>7</w:t>
            </w:r>
          </w:p>
        </w:tc>
      </w:tr>
      <w:tr w:rsidR="003E2FCA" w14:paraId="440EE3B4" w14:textId="77777777" w:rsidTr="00C720A8">
        <w:trPr>
          <w:trHeight w:val="765"/>
        </w:trPr>
        <w:tc>
          <w:tcPr>
            <w:tcW w:w="7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13059" w14:textId="77777777" w:rsidR="003E2FCA" w:rsidRDefault="003E2FCA" w:rsidP="00C720A8">
            <w:pPr>
              <w:jc w:val="center"/>
              <w:rPr>
                <w:rFonts w:ascii="Tahoma" w:hAnsi="Tahoma" w:cs="Tahoma"/>
                <w:sz w:val="20"/>
                <w:szCs w:val="20"/>
              </w:rPr>
            </w:pPr>
            <w:r>
              <w:rPr>
                <w:rFonts w:ascii="Tahoma" w:hAnsi="Tahoma" w:cs="Tahoma"/>
                <w:sz w:val="20"/>
                <w:szCs w:val="20"/>
              </w:rPr>
              <w:t>3.2.</w:t>
            </w:r>
          </w:p>
        </w:tc>
        <w:tc>
          <w:tcPr>
            <w:tcW w:w="753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8687D08" w14:textId="77777777" w:rsidR="003E2FCA" w:rsidRDefault="003E2FCA" w:rsidP="00C720A8">
            <w:pPr>
              <w:rPr>
                <w:rFonts w:ascii="Tahoma" w:hAnsi="Tahoma" w:cs="Tahoma"/>
                <w:sz w:val="20"/>
                <w:szCs w:val="20"/>
              </w:rPr>
            </w:pPr>
            <w:r>
              <w:rPr>
                <w:rFonts w:ascii="Tahoma" w:hAnsi="Tahoma" w:cs="Tahoma"/>
                <w:sz w:val="20"/>
                <w:szCs w:val="20"/>
              </w:rPr>
              <w:t>Повышенная (выбор (подключение) осуществляется Клиентом самостоятельно в Личном кабинете</w:t>
            </w:r>
            <w:r>
              <w:rPr>
                <w:rFonts w:ascii="Tahoma" w:hAnsi="Tahoma" w:cs="Tahoma"/>
                <w:sz w:val="18"/>
                <w:szCs w:val="18"/>
              </w:rPr>
              <w:t>)</w:t>
            </w:r>
          </w:p>
        </w:tc>
        <w:tc>
          <w:tcPr>
            <w:tcW w:w="7122" w:type="dxa"/>
            <w:gridSpan w:val="2"/>
            <w:tcBorders>
              <w:top w:val="single" w:sz="4" w:space="0" w:color="auto"/>
              <w:left w:val="single" w:sz="4" w:space="0" w:color="auto"/>
              <w:bottom w:val="single" w:sz="4" w:space="0" w:color="auto"/>
              <w:right w:val="single" w:sz="4" w:space="0" w:color="000000"/>
            </w:tcBorders>
            <w:shd w:val="clear" w:color="000000" w:fill="FFFFFF"/>
            <w:vAlign w:val="center"/>
            <w:hideMark/>
          </w:tcPr>
          <w:p w14:paraId="6B91664F" w14:textId="77777777" w:rsidR="003E2FCA" w:rsidRPr="004F6CC7" w:rsidRDefault="003E2FCA" w:rsidP="00C720A8">
            <w:pPr>
              <w:jc w:val="center"/>
              <w:rPr>
                <w:rFonts w:ascii="Tahoma" w:hAnsi="Tahoma" w:cs="Tahoma"/>
                <w:sz w:val="20"/>
                <w:szCs w:val="20"/>
              </w:rPr>
            </w:pPr>
            <w:r w:rsidRPr="004F6CC7">
              <w:rPr>
                <w:rFonts w:ascii="Tahoma" w:hAnsi="Tahoma" w:cs="Tahoma"/>
                <w:sz w:val="20"/>
                <w:szCs w:val="20"/>
              </w:rPr>
              <w:t xml:space="preserve">Транзакции, к которым не была применена ставка, указанная в пп.4-5 </w:t>
            </w:r>
            <w:r>
              <w:rPr>
                <w:rFonts w:ascii="Tahoma" w:hAnsi="Tahoma" w:cs="Tahoma"/>
                <w:sz w:val="20"/>
                <w:szCs w:val="20"/>
              </w:rPr>
              <w:t xml:space="preserve">Программы, применяется ставка, </w:t>
            </w:r>
            <w:r w:rsidRPr="004F6CC7">
              <w:rPr>
                <w:rFonts w:ascii="Tahoma" w:hAnsi="Tahoma" w:cs="Tahoma"/>
                <w:sz w:val="20"/>
                <w:szCs w:val="20"/>
              </w:rPr>
              <w:t>указанная в п.3.1 Программы.</w:t>
            </w:r>
          </w:p>
        </w:tc>
      </w:tr>
      <w:tr w:rsidR="003E2FCA" w14:paraId="0B7E2BBB" w14:textId="77777777" w:rsidTr="00C720A8">
        <w:trPr>
          <w:trHeight w:val="765"/>
        </w:trPr>
        <w:tc>
          <w:tcPr>
            <w:tcW w:w="716" w:type="dxa"/>
            <w:tcBorders>
              <w:top w:val="single" w:sz="4" w:space="0" w:color="auto"/>
              <w:left w:val="single" w:sz="4" w:space="0" w:color="auto"/>
              <w:bottom w:val="single" w:sz="4" w:space="0" w:color="auto"/>
              <w:right w:val="single" w:sz="4" w:space="0" w:color="auto"/>
            </w:tcBorders>
            <w:shd w:val="clear" w:color="auto" w:fill="7F7F7F" w:themeFill="text1" w:themeFillTint="80"/>
            <w:noWrap/>
            <w:vAlign w:val="center"/>
          </w:tcPr>
          <w:p w14:paraId="0A4245BD" w14:textId="77777777" w:rsidR="003E2FCA" w:rsidRDefault="003E2FCA" w:rsidP="00C720A8">
            <w:pPr>
              <w:jc w:val="center"/>
              <w:rPr>
                <w:rFonts w:ascii="Tahoma" w:hAnsi="Tahoma" w:cs="Tahoma"/>
                <w:b/>
                <w:bCs/>
                <w:color w:val="FFFFFF"/>
                <w:sz w:val="20"/>
                <w:szCs w:val="20"/>
              </w:rPr>
            </w:pPr>
            <w:r>
              <w:rPr>
                <w:rFonts w:ascii="Tahoma" w:hAnsi="Tahoma" w:cs="Tahoma"/>
                <w:b/>
                <w:bCs/>
                <w:color w:val="FFFFFF"/>
                <w:sz w:val="20"/>
                <w:szCs w:val="20"/>
              </w:rPr>
              <w:t>4.</w:t>
            </w:r>
          </w:p>
        </w:tc>
        <w:tc>
          <w:tcPr>
            <w:tcW w:w="7538"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2B7A12DE" w14:textId="77777777" w:rsidR="003E2FCA" w:rsidRPr="004F6CC7" w:rsidRDefault="003E2FCA" w:rsidP="00C720A8">
            <w:pPr>
              <w:rPr>
                <w:rFonts w:ascii="Tahoma" w:hAnsi="Tahoma" w:cs="Tahoma"/>
                <w:b/>
                <w:bCs/>
                <w:color w:val="FFFFFF"/>
                <w:sz w:val="20"/>
                <w:szCs w:val="20"/>
              </w:rPr>
            </w:pPr>
            <w:r w:rsidRPr="004F6CC7">
              <w:rPr>
                <w:rFonts w:ascii="Tahoma" w:hAnsi="Tahoma" w:cs="Tahoma"/>
                <w:b/>
                <w:bCs/>
                <w:color w:val="FFFFFF"/>
                <w:sz w:val="20"/>
                <w:szCs w:val="20"/>
              </w:rPr>
              <w:t>Категории повышенных Баллов, на выбор Участника Программы</w:t>
            </w:r>
            <w:r w:rsidRPr="004F6CC7">
              <w:rPr>
                <w:rFonts w:ascii="Tahoma" w:hAnsi="Tahoma" w:cs="Tahoma"/>
                <w:color w:val="FFFFFF"/>
                <w:sz w:val="20"/>
                <w:szCs w:val="20"/>
                <w:vertAlign w:val="superscript"/>
              </w:rPr>
              <w:t>8</w:t>
            </w:r>
          </w:p>
        </w:tc>
        <w:tc>
          <w:tcPr>
            <w:tcW w:w="3561" w:type="dxa"/>
            <w:tcBorders>
              <w:top w:val="single" w:sz="4" w:space="0" w:color="auto"/>
              <w:left w:val="single" w:sz="4" w:space="0" w:color="auto"/>
              <w:bottom w:val="single" w:sz="4" w:space="0" w:color="auto"/>
              <w:right w:val="single" w:sz="4" w:space="0" w:color="000000"/>
            </w:tcBorders>
            <w:shd w:val="clear" w:color="auto" w:fill="7F7F7F" w:themeFill="text1" w:themeFillTint="80"/>
            <w:vAlign w:val="center"/>
          </w:tcPr>
          <w:p w14:paraId="053292C3" w14:textId="77777777" w:rsidR="003E2FCA" w:rsidRPr="004F6CC7" w:rsidRDefault="003E2FCA" w:rsidP="00C720A8">
            <w:pPr>
              <w:jc w:val="center"/>
              <w:rPr>
                <w:rFonts w:ascii="Tahoma" w:hAnsi="Tahoma" w:cs="Tahoma"/>
                <w:b/>
                <w:bCs/>
                <w:color w:val="FFFFFF"/>
                <w:sz w:val="20"/>
                <w:szCs w:val="20"/>
              </w:rPr>
            </w:pPr>
            <w:r w:rsidRPr="004F6CC7">
              <w:rPr>
                <w:rFonts w:ascii="Tahoma" w:hAnsi="Tahoma" w:cs="Tahoma"/>
                <w:b/>
                <w:bCs/>
                <w:color w:val="FFFFFF"/>
                <w:sz w:val="20"/>
                <w:szCs w:val="20"/>
              </w:rPr>
              <w:t>При безналичном зачислении заработной платы</w:t>
            </w:r>
            <w:r w:rsidRPr="004F6CC7">
              <w:rPr>
                <w:rFonts w:ascii="Tahoma" w:hAnsi="Tahoma" w:cs="Tahoma"/>
                <w:b/>
                <w:bCs/>
                <w:color w:val="FFFFFF"/>
                <w:sz w:val="20"/>
                <w:szCs w:val="20"/>
                <w:vertAlign w:val="superscript"/>
              </w:rPr>
              <w:t xml:space="preserve">6 </w:t>
            </w:r>
            <w:r w:rsidRPr="004F6CC7">
              <w:rPr>
                <w:rFonts w:ascii="Tahoma" w:hAnsi="Tahoma" w:cs="Tahoma"/>
                <w:b/>
                <w:bCs/>
                <w:color w:val="FFFFFF"/>
                <w:sz w:val="20"/>
                <w:szCs w:val="20"/>
              </w:rPr>
              <w:t>Клиента в календарном месяце на Счет Банковской карты, выпущенной в рамках одного (или нескольких) тарифных планов, указанных в п.1.1 Программы</w:t>
            </w:r>
          </w:p>
        </w:tc>
        <w:tc>
          <w:tcPr>
            <w:tcW w:w="3561" w:type="dxa"/>
            <w:tcBorders>
              <w:top w:val="single" w:sz="4" w:space="0" w:color="auto"/>
              <w:left w:val="single" w:sz="4" w:space="0" w:color="auto"/>
              <w:bottom w:val="single" w:sz="4" w:space="0" w:color="auto"/>
              <w:right w:val="single" w:sz="4" w:space="0" w:color="000000"/>
            </w:tcBorders>
            <w:shd w:val="clear" w:color="auto" w:fill="7F7F7F" w:themeFill="text1" w:themeFillTint="80"/>
            <w:vAlign w:val="center"/>
          </w:tcPr>
          <w:p w14:paraId="0034FA97" w14:textId="77777777" w:rsidR="003E2FCA" w:rsidRPr="004F6CC7" w:rsidRDefault="003E2FCA" w:rsidP="00C720A8">
            <w:pPr>
              <w:jc w:val="center"/>
              <w:rPr>
                <w:rFonts w:ascii="Tahoma" w:hAnsi="Tahoma" w:cs="Tahoma"/>
                <w:b/>
                <w:bCs/>
                <w:color w:val="FFFFFF"/>
                <w:sz w:val="20"/>
                <w:szCs w:val="20"/>
              </w:rPr>
            </w:pPr>
            <w:r w:rsidRPr="004F6CC7">
              <w:rPr>
                <w:rFonts w:ascii="Tahoma" w:hAnsi="Tahoma" w:cs="Tahoma"/>
                <w:b/>
                <w:bCs/>
                <w:color w:val="FFFFFF"/>
                <w:sz w:val="20"/>
                <w:szCs w:val="20"/>
              </w:rPr>
              <w:t>В иных случаях</w:t>
            </w:r>
          </w:p>
        </w:tc>
      </w:tr>
    </w:tbl>
    <w:p w14:paraId="0260533F" w14:textId="77777777" w:rsidR="003E2FCA" w:rsidRDefault="003E2FCA" w:rsidP="003E2FCA"/>
    <w:tbl>
      <w:tblPr>
        <w:tblW w:w="15331" w:type="dxa"/>
        <w:tblInd w:w="-5" w:type="dxa"/>
        <w:tblLayout w:type="fixed"/>
        <w:tblLook w:val="04A0" w:firstRow="1" w:lastRow="0" w:firstColumn="1" w:lastColumn="0" w:noHBand="0" w:noVBand="1"/>
      </w:tblPr>
      <w:tblGrid>
        <w:gridCol w:w="715"/>
        <w:gridCol w:w="7507"/>
        <w:gridCol w:w="29"/>
        <w:gridCol w:w="3515"/>
        <w:gridCol w:w="3543"/>
        <w:gridCol w:w="22"/>
      </w:tblGrid>
      <w:tr w:rsidR="003E2FCA" w14:paraId="72501743" w14:textId="77777777" w:rsidTr="00C720A8">
        <w:trPr>
          <w:gridAfter w:val="1"/>
          <w:wAfter w:w="22" w:type="dxa"/>
          <w:trHeight w:val="300"/>
        </w:trPr>
        <w:tc>
          <w:tcPr>
            <w:tcW w:w="715" w:type="dxa"/>
            <w:tcBorders>
              <w:top w:val="single" w:sz="4" w:space="0" w:color="auto"/>
              <w:left w:val="single" w:sz="4" w:space="0" w:color="auto"/>
              <w:bottom w:val="single" w:sz="4" w:space="0" w:color="auto"/>
              <w:right w:val="single" w:sz="4" w:space="0" w:color="auto"/>
            </w:tcBorders>
            <w:shd w:val="clear" w:color="000000" w:fill="FFFFFF"/>
            <w:noWrap/>
            <w:hideMark/>
          </w:tcPr>
          <w:p w14:paraId="44663D1E" w14:textId="77777777" w:rsidR="003E2FCA" w:rsidRPr="00C50A02" w:rsidRDefault="003E2FCA" w:rsidP="00C720A8">
            <w:pPr>
              <w:rPr>
                <w:rFonts w:ascii="Tahoma" w:hAnsi="Tahoma" w:cs="Tahoma"/>
                <w:sz w:val="20"/>
                <w:szCs w:val="20"/>
              </w:rPr>
            </w:pPr>
            <w:r w:rsidRPr="00C50A02">
              <w:rPr>
                <w:rFonts w:ascii="Tahoma" w:hAnsi="Tahoma" w:cs="Tahoma"/>
                <w:sz w:val="20"/>
                <w:szCs w:val="20"/>
              </w:rPr>
              <w:t>4.1.</w:t>
            </w:r>
          </w:p>
        </w:tc>
        <w:tc>
          <w:tcPr>
            <w:tcW w:w="7536" w:type="dxa"/>
            <w:gridSpan w:val="2"/>
            <w:tcBorders>
              <w:top w:val="single" w:sz="4" w:space="0" w:color="auto"/>
              <w:left w:val="nil"/>
              <w:bottom w:val="single" w:sz="4" w:space="0" w:color="auto"/>
              <w:right w:val="single" w:sz="4" w:space="0" w:color="auto"/>
            </w:tcBorders>
            <w:shd w:val="clear" w:color="000000" w:fill="FFFFFF"/>
            <w:noWrap/>
            <w:hideMark/>
          </w:tcPr>
          <w:p w14:paraId="21437D0D" w14:textId="77777777" w:rsidR="003E2FCA" w:rsidRPr="00C50A02" w:rsidRDefault="003E2FCA" w:rsidP="00C720A8">
            <w:pPr>
              <w:rPr>
                <w:rFonts w:ascii="Tahoma" w:hAnsi="Tahoma" w:cs="Tahoma"/>
                <w:sz w:val="20"/>
                <w:szCs w:val="20"/>
              </w:rPr>
            </w:pPr>
            <w:r w:rsidRPr="00C50A02">
              <w:rPr>
                <w:rFonts w:ascii="Tahoma" w:hAnsi="Tahoma" w:cs="Tahoma"/>
                <w:sz w:val="20"/>
                <w:szCs w:val="20"/>
              </w:rPr>
              <w:t>Аптеки и оптики</w:t>
            </w:r>
          </w:p>
        </w:tc>
        <w:tc>
          <w:tcPr>
            <w:tcW w:w="351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211472" w14:textId="77777777" w:rsidR="003E2FCA" w:rsidRPr="004F6CC7" w:rsidRDefault="003E2FCA" w:rsidP="00C720A8">
            <w:pPr>
              <w:jc w:val="center"/>
              <w:rPr>
                <w:rFonts w:ascii="Tahoma" w:hAnsi="Tahoma" w:cs="Tahoma"/>
                <w:b/>
                <w:bCs/>
                <w:sz w:val="20"/>
                <w:szCs w:val="20"/>
              </w:rPr>
            </w:pPr>
            <w:r w:rsidRPr="004F6CC7">
              <w:rPr>
                <w:rFonts w:ascii="Tahoma" w:hAnsi="Tahoma" w:cs="Tahoma"/>
                <w:b/>
                <w:bCs/>
                <w:sz w:val="20"/>
                <w:szCs w:val="20"/>
              </w:rPr>
              <w:t>10%</w:t>
            </w:r>
            <w:r w:rsidRPr="004F6CC7">
              <w:rPr>
                <w:rFonts w:ascii="Tahoma" w:hAnsi="Tahoma" w:cs="Tahoma"/>
                <w:sz w:val="20"/>
                <w:szCs w:val="20"/>
              </w:rPr>
              <w:t xml:space="preserve"> от каждых достигнутых 100 рублей транзакции</w:t>
            </w:r>
            <w:r w:rsidRPr="004F6CC7">
              <w:rPr>
                <w:rFonts w:ascii="Tahoma" w:hAnsi="Tahoma" w:cs="Tahoma"/>
                <w:sz w:val="20"/>
                <w:szCs w:val="20"/>
                <w:vertAlign w:val="superscript"/>
              </w:rPr>
              <w:t>7</w:t>
            </w:r>
          </w:p>
        </w:tc>
        <w:tc>
          <w:tcPr>
            <w:tcW w:w="354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A2025" w14:textId="77777777" w:rsidR="003E2FCA" w:rsidRPr="004F6CC7" w:rsidRDefault="003E2FCA" w:rsidP="00C720A8">
            <w:pPr>
              <w:jc w:val="center"/>
              <w:rPr>
                <w:rFonts w:ascii="Tahoma" w:hAnsi="Tahoma" w:cs="Tahoma"/>
                <w:b/>
                <w:bCs/>
                <w:sz w:val="20"/>
                <w:szCs w:val="20"/>
              </w:rPr>
            </w:pPr>
            <w:r w:rsidRPr="004F6CC7">
              <w:rPr>
                <w:rFonts w:ascii="Tahoma" w:hAnsi="Tahoma" w:cs="Tahoma"/>
                <w:b/>
                <w:bCs/>
                <w:sz w:val="20"/>
                <w:szCs w:val="20"/>
              </w:rPr>
              <w:t>7%</w:t>
            </w:r>
            <w:r w:rsidRPr="004F6CC7">
              <w:rPr>
                <w:rFonts w:ascii="Tahoma" w:hAnsi="Tahoma" w:cs="Tahoma"/>
                <w:sz w:val="20"/>
                <w:szCs w:val="20"/>
              </w:rPr>
              <w:t xml:space="preserve"> от каждых достигнутых 100 рублей транзакции</w:t>
            </w:r>
            <w:r w:rsidRPr="004F6CC7">
              <w:rPr>
                <w:rFonts w:ascii="Tahoma" w:hAnsi="Tahoma" w:cs="Tahoma"/>
                <w:sz w:val="20"/>
                <w:szCs w:val="20"/>
                <w:vertAlign w:val="superscript"/>
              </w:rPr>
              <w:t>7</w:t>
            </w:r>
          </w:p>
        </w:tc>
      </w:tr>
      <w:tr w:rsidR="003E2FCA" w14:paraId="3AB9129D" w14:textId="77777777" w:rsidTr="00C720A8">
        <w:trPr>
          <w:gridAfter w:val="1"/>
          <w:wAfter w:w="22" w:type="dxa"/>
          <w:trHeight w:val="300"/>
        </w:trPr>
        <w:tc>
          <w:tcPr>
            <w:tcW w:w="715" w:type="dxa"/>
            <w:tcBorders>
              <w:top w:val="single" w:sz="4" w:space="0" w:color="auto"/>
              <w:left w:val="single" w:sz="4" w:space="0" w:color="auto"/>
              <w:bottom w:val="single" w:sz="4" w:space="0" w:color="auto"/>
              <w:right w:val="single" w:sz="4" w:space="0" w:color="auto"/>
            </w:tcBorders>
            <w:shd w:val="clear" w:color="000000" w:fill="FFFFFF"/>
            <w:noWrap/>
          </w:tcPr>
          <w:p w14:paraId="05994DCB" w14:textId="77777777" w:rsidR="003E2FCA" w:rsidRPr="00C50A02" w:rsidRDefault="003E2FCA" w:rsidP="00C720A8">
            <w:pPr>
              <w:rPr>
                <w:rFonts w:ascii="Tahoma" w:hAnsi="Tahoma" w:cs="Tahoma"/>
                <w:sz w:val="20"/>
                <w:szCs w:val="20"/>
              </w:rPr>
            </w:pPr>
            <w:r w:rsidRPr="00C50A02">
              <w:rPr>
                <w:rFonts w:ascii="Tahoma" w:hAnsi="Tahoma" w:cs="Tahoma"/>
                <w:sz w:val="20"/>
                <w:szCs w:val="20"/>
              </w:rPr>
              <w:t>4.2.</w:t>
            </w:r>
          </w:p>
        </w:tc>
        <w:tc>
          <w:tcPr>
            <w:tcW w:w="7536" w:type="dxa"/>
            <w:gridSpan w:val="2"/>
            <w:tcBorders>
              <w:top w:val="single" w:sz="4" w:space="0" w:color="auto"/>
              <w:left w:val="nil"/>
              <w:bottom w:val="single" w:sz="4" w:space="0" w:color="auto"/>
              <w:right w:val="single" w:sz="4" w:space="0" w:color="auto"/>
            </w:tcBorders>
            <w:shd w:val="clear" w:color="000000" w:fill="FFFFFF"/>
            <w:noWrap/>
          </w:tcPr>
          <w:p w14:paraId="654A2050" w14:textId="77777777" w:rsidR="003E2FCA" w:rsidRPr="00C50A02" w:rsidRDefault="003E2FCA" w:rsidP="00C720A8">
            <w:pPr>
              <w:rPr>
                <w:rFonts w:ascii="Tahoma" w:hAnsi="Tahoma" w:cs="Tahoma"/>
                <w:sz w:val="20"/>
                <w:szCs w:val="20"/>
              </w:rPr>
            </w:pPr>
            <w:r w:rsidRPr="00C50A02">
              <w:rPr>
                <w:rFonts w:ascii="Tahoma" w:hAnsi="Tahoma" w:cs="Tahoma"/>
                <w:sz w:val="20"/>
                <w:szCs w:val="20"/>
              </w:rPr>
              <w:t>Дом, ремонт</w:t>
            </w:r>
          </w:p>
        </w:tc>
        <w:tc>
          <w:tcPr>
            <w:tcW w:w="3515"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67C68669" w14:textId="77777777" w:rsidR="003E2FCA" w:rsidRPr="004F6CC7" w:rsidRDefault="003E2FCA" w:rsidP="00C720A8">
            <w:pPr>
              <w:jc w:val="center"/>
              <w:rPr>
                <w:rFonts w:ascii="Tahoma" w:hAnsi="Tahoma" w:cs="Tahoma"/>
                <w:b/>
                <w:bCs/>
                <w:sz w:val="20"/>
                <w:szCs w:val="20"/>
              </w:rPr>
            </w:pPr>
          </w:p>
        </w:tc>
        <w:tc>
          <w:tcPr>
            <w:tcW w:w="3543"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461F52D2" w14:textId="77777777" w:rsidR="003E2FCA" w:rsidRPr="004F6CC7" w:rsidRDefault="003E2FCA" w:rsidP="00C720A8">
            <w:pPr>
              <w:jc w:val="center"/>
              <w:rPr>
                <w:rFonts w:ascii="Tahoma" w:hAnsi="Tahoma" w:cs="Tahoma"/>
                <w:b/>
                <w:bCs/>
                <w:sz w:val="20"/>
                <w:szCs w:val="20"/>
              </w:rPr>
            </w:pPr>
          </w:p>
        </w:tc>
      </w:tr>
      <w:tr w:rsidR="003E2FCA" w14:paraId="40160A70" w14:textId="77777777" w:rsidTr="00C720A8">
        <w:trPr>
          <w:gridAfter w:val="1"/>
          <w:wAfter w:w="22" w:type="dxa"/>
          <w:trHeight w:val="300"/>
        </w:trPr>
        <w:tc>
          <w:tcPr>
            <w:tcW w:w="715" w:type="dxa"/>
            <w:tcBorders>
              <w:top w:val="single" w:sz="4" w:space="0" w:color="auto"/>
              <w:left w:val="single" w:sz="4" w:space="0" w:color="auto"/>
              <w:bottom w:val="single" w:sz="4" w:space="0" w:color="auto"/>
              <w:right w:val="single" w:sz="4" w:space="0" w:color="auto"/>
            </w:tcBorders>
            <w:shd w:val="clear" w:color="000000" w:fill="FFFFFF"/>
            <w:noWrap/>
          </w:tcPr>
          <w:p w14:paraId="690BE015" w14:textId="77777777" w:rsidR="003E2FCA" w:rsidRPr="00C50A02" w:rsidRDefault="003E2FCA" w:rsidP="00C720A8">
            <w:pPr>
              <w:rPr>
                <w:rFonts w:ascii="Tahoma" w:hAnsi="Tahoma" w:cs="Tahoma"/>
                <w:sz w:val="20"/>
                <w:szCs w:val="20"/>
              </w:rPr>
            </w:pPr>
            <w:r w:rsidRPr="00C50A02">
              <w:rPr>
                <w:rFonts w:ascii="Tahoma" w:hAnsi="Tahoma" w:cs="Tahoma"/>
                <w:sz w:val="20"/>
                <w:szCs w:val="20"/>
              </w:rPr>
              <w:t>4.3.</w:t>
            </w:r>
          </w:p>
        </w:tc>
        <w:tc>
          <w:tcPr>
            <w:tcW w:w="7536" w:type="dxa"/>
            <w:gridSpan w:val="2"/>
            <w:tcBorders>
              <w:top w:val="single" w:sz="4" w:space="0" w:color="auto"/>
              <w:left w:val="nil"/>
              <w:bottom w:val="single" w:sz="4" w:space="0" w:color="auto"/>
              <w:right w:val="single" w:sz="4" w:space="0" w:color="auto"/>
            </w:tcBorders>
            <w:shd w:val="clear" w:color="000000" w:fill="FFFFFF"/>
            <w:noWrap/>
          </w:tcPr>
          <w:p w14:paraId="07A077AC" w14:textId="77777777" w:rsidR="003E2FCA" w:rsidRPr="00C50A02" w:rsidRDefault="003E2FCA" w:rsidP="00C720A8">
            <w:pPr>
              <w:rPr>
                <w:rFonts w:ascii="Tahoma" w:hAnsi="Tahoma" w:cs="Tahoma"/>
                <w:sz w:val="20"/>
                <w:szCs w:val="20"/>
              </w:rPr>
            </w:pPr>
            <w:r w:rsidRPr="00C50A02">
              <w:rPr>
                <w:rFonts w:ascii="Tahoma" w:hAnsi="Tahoma" w:cs="Tahoma"/>
                <w:sz w:val="20"/>
                <w:szCs w:val="20"/>
              </w:rPr>
              <w:t>АЗС</w:t>
            </w:r>
          </w:p>
        </w:tc>
        <w:tc>
          <w:tcPr>
            <w:tcW w:w="3515"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321BC67F" w14:textId="77777777" w:rsidR="003E2FCA" w:rsidRPr="004F6CC7" w:rsidRDefault="003E2FCA" w:rsidP="00C720A8">
            <w:pPr>
              <w:jc w:val="center"/>
              <w:rPr>
                <w:rFonts w:ascii="Tahoma" w:hAnsi="Tahoma" w:cs="Tahoma"/>
                <w:b/>
                <w:bCs/>
                <w:sz w:val="20"/>
                <w:szCs w:val="20"/>
              </w:rPr>
            </w:pPr>
          </w:p>
        </w:tc>
        <w:tc>
          <w:tcPr>
            <w:tcW w:w="3543"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6E9AB4C6" w14:textId="77777777" w:rsidR="003E2FCA" w:rsidRPr="004F6CC7" w:rsidRDefault="003E2FCA" w:rsidP="00C720A8">
            <w:pPr>
              <w:jc w:val="center"/>
              <w:rPr>
                <w:rFonts w:ascii="Tahoma" w:hAnsi="Tahoma" w:cs="Tahoma"/>
                <w:b/>
                <w:bCs/>
                <w:sz w:val="20"/>
                <w:szCs w:val="20"/>
              </w:rPr>
            </w:pPr>
          </w:p>
        </w:tc>
      </w:tr>
      <w:tr w:rsidR="003E2FCA" w14:paraId="0702D6F7" w14:textId="77777777" w:rsidTr="00C720A8">
        <w:trPr>
          <w:gridAfter w:val="1"/>
          <w:wAfter w:w="22" w:type="dxa"/>
          <w:trHeight w:val="300"/>
        </w:trPr>
        <w:tc>
          <w:tcPr>
            <w:tcW w:w="715" w:type="dxa"/>
            <w:tcBorders>
              <w:top w:val="single" w:sz="4" w:space="0" w:color="auto"/>
              <w:left w:val="single" w:sz="4" w:space="0" w:color="auto"/>
              <w:bottom w:val="single" w:sz="4" w:space="0" w:color="auto"/>
              <w:right w:val="single" w:sz="4" w:space="0" w:color="auto"/>
            </w:tcBorders>
            <w:shd w:val="clear" w:color="000000" w:fill="FFFFFF"/>
            <w:noWrap/>
          </w:tcPr>
          <w:p w14:paraId="289B43EE" w14:textId="77777777" w:rsidR="003E2FCA" w:rsidRPr="00C50A02" w:rsidRDefault="003E2FCA" w:rsidP="00C720A8">
            <w:pPr>
              <w:rPr>
                <w:rFonts w:ascii="Tahoma" w:hAnsi="Tahoma" w:cs="Tahoma"/>
                <w:sz w:val="20"/>
                <w:szCs w:val="20"/>
              </w:rPr>
            </w:pPr>
            <w:r w:rsidRPr="00C50A02">
              <w:rPr>
                <w:rFonts w:ascii="Tahoma" w:hAnsi="Tahoma" w:cs="Tahoma"/>
                <w:sz w:val="20"/>
                <w:szCs w:val="20"/>
              </w:rPr>
              <w:t>4.4.</w:t>
            </w:r>
          </w:p>
        </w:tc>
        <w:tc>
          <w:tcPr>
            <w:tcW w:w="7536" w:type="dxa"/>
            <w:gridSpan w:val="2"/>
            <w:tcBorders>
              <w:top w:val="single" w:sz="4" w:space="0" w:color="auto"/>
              <w:left w:val="nil"/>
              <w:bottom w:val="single" w:sz="4" w:space="0" w:color="auto"/>
              <w:right w:val="single" w:sz="4" w:space="0" w:color="auto"/>
            </w:tcBorders>
            <w:shd w:val="clear" w:color="000000" w:fill="FFFFFF"/>
            <w:noWrap/>
          </w:tcPr>
          <w:p w14:paraId="6789C1BF" w14:textId="77777777" w:rsidR="003E2FCA" w:rsidRPr="00C50A02" w:rsidRDefault="003E2FCA" w:rsidP="00C720A8">
            <w:pPr>
              <w:rPr>
                <w:rFonts w:ascii="Tahoma" w:hAnsi="Tahoma" w:cs="Tahoma"/>
                <w:sz w:val="20"/>
                <w:szCs w:val="20"/>
              </w:rPr>
            </w:pPr>
            <w:r w:rsidRPr="00C50A02">
              <w:rPr>
                <w:rFonts w:ascii="Tahoma" w:hAnsi="Tahoma" w:cs="Tahoma"/>
                <w:sz w:val="20"/>
                <w:szCs w:val="20"/>
              </w:rPr>
              <w:t>Автоуслуги и запчасти</w:t>
            </w:r>
          </w:p>
        </w:tc>
        <w:tc>
          <w:tcPr>
            <w:tcW w:w="3515"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2ADAB6BF" w14:textId="77777777" w:rsidR="003E2FCA" w:rsidRPr="004F6CC7" w:rsidRDefault="003E2FCA" w:rsidP="00C720A8">
            <w:pPr>
              <w:jc w:val="center"/>
              <w:rPr>
                <w:rFonts w:ascii="Tahoma" w:hAnsi="Tahoma" w:cs="Tahoma"/>
                <w:b/>
                <w:bCs/>
                <w:sz w:val="20"/>
                <w:szCs w:val="20"/>
              </w:rPr>
            </w:pPr>
          </w:p>
        </w:tc>
        <w:tc>
          <w:tcPr>
            <w:tcW w:w="3543"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23A1889E" w14:textId="77777777" w:rsidR="003E2FCA" w:rsidRPr="004F6CC7" w:rsidRDefault="003E2FCA" w:rsidP="00C720A8">
            <w:pPr>
              <w:jc w:val="center"/>
              <w:rPr>
                <w:rFonts w:ascii="Tahoma" w:hAnsi="Tahoma" w:cs="Tahoma"/>
                <w:b/>
                <w:bCs/>
                <w:sz w:val="20"/>
                <w:szCs w:val="20"/>
              </w:rPr>
            </w:pPr>
          </w:p>
        </w:tc>
      </w:tr>
      <w:tr w:rsidR="003E2FCA" w14:paraId="79CD8ECA" w14:textId="77777777" w:rsidTr="00C720A8">
        <w:trPr>
          <w:gridAfter w:val="1"/>
          <w:wAfter w:w="22" w:type="dxa"/>
          <w:trHeight w:val="300"/>
        </w:trPr>
        <w:tc>
          <w:tcPr>
            <w:tcW w:w="715" w:type="dxa"/>
            <w:tcBorders>
              <w:top w:val="single" w:sz="4" w:space="0" w:color="auto"/>
              <w:left w:val="single" w:sz="4" w:space="0" w:color="auto"/>
              <w:bottom w:val="single" w:sz="4" w:space="0" w:color="auto"/>
              <w:right w:val="single" w:sz="4" w:space="0" w:color="auto"/>
            </w:tcBorders>
            <w:shd w:val="clear" w:color="000000" w:fill="FFFFFF"/>
            <w:noWrap/>
          </w:tcPr>
          <w:p w14:paraId="12FD72BD" w14:textId="77777777" w:rsidR="003E2FCA" w:rsidRPr="00C50A02" w:rsidRDefault="003E2FCA" w:rsidP="00C720A8">
            <w:pPr>
              <w:rPr>
                <w:rFonts w:ascii="Tahoma" w:hAnsi="Tahoma" w:cs="Tahoma"/>
                <w:sz w:val="20"/>
                <w:szCs w:val="20"/>
              </w:rPr>
            </w:pPr>
            <w:r w:rsidRPr="00C50A02">
              <w:rPr>
                <w:rFonts w:ascii="Tahoma" w:hAnsi="Tahoma" w:cs="Tahoma"/>
                <w:sz w:val="20"/>
                <w:szCs w:val="20"/>
              </w:rPr>
              <w:t>4.5.</w:t>
            </w:r>
          </w:p>
        </w:tc>
        <w:tc>
          <w:tcPr>
            <w:tcW w:w="7536" w:type="dxa"/>
            <w:gridSpan w:val="2"/>
            <w:tcBorders>
              <w:top w:val="single" w:sz="4" w:space="0" w:color="auto"/>
              <w:left w:val="nil"/>
              <w:bottom w:val="single" w:sz="4" w:space="0" w:color="auto"/>
              <w:right w:val="single" w:sz="4" w:space="0" w:color="auto"/>
            </w:tcBorders>
            <w:shd w:val="clear" w:color="000000" w:fill="FFFFFF"/>
            <w:noWrap/>
          </w:tcPr>
          <w:p w14:paraId="20276832" w14:textId="77777777" w:rsidR="003E2FCA" w:rsidRPr="00C50A02" w:rsidRDefault="003E2FCA" w:rsidP="00C720A8">
            <w:pPr>
              <w:rPr>
                <w:rFonts w:ascii="Tahoma" w:hAnsi="Tahoma" w:cs="Tahoma"/>
                <w:sz w:val="20"/>
                <w:szCs w:val="20"/>
              </w:rPr>
            </w:pPr>
            <w:r w:rsidRPr="00C50A02">
              <w:rPr>
                <w:rFonts w:ascii="Tahoma" w:hAnsi="Tahoma" w:cs="Tahoma"/>
                <w:sz w:val="20"/>
                <w:szCs w:val="20"/>
              </w:rPr>
              <w:t>Такси и каршеринг</w:t>
            </w:r>
          </w:p>
        </w:tc>
        <w:tc>
          <w:tcPr>
            <w:tcW w:w="3515"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22D50E19" w14:textId="77777777" w:rsidR="003E2FCA" w:rsidRPr="004F6CC7" w:rsidRDefault="003E2FCA" w:rsidP="00C720A8">
            <w:pPr>
              <w:jc w:val="center"/>
              <w:rPr>
                <w:rFonts w:ascii="Tahoma" w:hAnsi="Tahoma" w:cs="Tahoma"/>
                <w:b/>
                <w:bCs/>
                <w:sz w:val="20"/>
                <w:szCs w:val="20"/>
              </w:rPr>
            </w:pPr>
          </w:p>
        </w:tc>
        <w:tc>
          <w:tcPr>
            <w:tcW w:w="3543"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628A96F1" w14:textId="77777777" w:rsidR="003E2FCA" w:rsidRPr="004F6CC7" w:rsidRDefault="003E2FCA" w:rsidP="00C720A8">
            <w:pPr>
              <w:jc w:val="center"/>
              <w:rPr>
                <w:rFonts w:ascii="Tahoma" w:hAnsi="Tahoma" w:cs="Tahoma"/>
                <w:b/>
                <w:bCs/>
                <w:sz w:val="20"/>
                <w:szCs w:val="20"/>
              </w:rPr>
            </w:pPr>
          </w:p>
        </w:tc>
      </w:tr>
      <w:tr w:rsidR="003E2FCA" w14:paraId="1375FC12" w14:textId="77777777" w:rsidTr="00C720A8">
        <w:trPr>
          <w:gridAfter w:val="1"/>
          <w:wAfter w:w="22" w:type="dxa"/>
          <w:trHeight w:val="300"/>
        </w:trPr>
        <w:tc>
          <w:tcPr>
            <w:tcW w:w="715" w:type="dxa"/>
            <w:tcBorders>
              <w:top w:val="single" w:sz="4" w:space="0" w:color="auto"/>
              <w:left w:val="single" w:sz="4" w:space="0" w:color="auto"/>
              <w:bottom w:val="single" w:sz="4" w:space="0" w:color="auto"/>
              <w:right w:val="single" w:sz="4" w:space="0" w:color="auto"/>
            </w:tcBorders>
            <w:shd w:val="clear" w:color="000000" w:fill="FFFFFF"/>
            <w:noWrap/>
          </w:tcPr>
          <w:p w14:paraId="5DEBC328" w14:textId="77777777" w:rsidR="003E2FCA" w:rsidRPr="00C50A02" w:rsidRDefault="003E2FCA" w:rsidP="00C720A8">
            <w:pPr>
              <w:rPr>
                <w:rFonts w:ascii="Tahoma" w:hAnsi="Tahoma" w:cs="Tahoma"/>
                <w:sz w:val="20"/>
                <w:szCs w:val="20"/>
              </w:rPr>
            </w:pPr>
            <w:r w:rsidRPr="00C50A02">
              <w:rPr>
                <w:rFonts w:ascii="Tahoma" w:hAnsi="Tahoma" w:cs="Tahoma"/>
                <w:sz w:val="20"/>
                <w:szCs w:val="20"/>
              </w:rPr>
              <w:t>4.6.</w:t>
            </w:r>
          </w:p>
        </w:tc>
        <w:tc>
          <w:tcPr>
            <w:tcW w:w="7536" w:type="dxa"/>
            <w:gridSpan w:val="2"/>
            <w:tcBorders>
              <w:top w:val="single" w:sz="4" w:space="0" w:color="auto"/>
              <w:left w:val="nil"/>
              <w:bottom w:val="single" w:sz="4" w:space="0" w:color="auto"/>
              <w:right w:val="single" w:sz="4" w:space="0" w:color="auto"/>
            </w:tcBorders>
            <w:shd w:val="clear" w:color="000000" w:fill="FFFFFF"/>
            <w:noWrap/>
          </w:tcPr>
          <w:p w14:paraId="38AAC566" w14:textId="77777777" w:rsidR="003E2FCA" w:rsidRPr="00C50A02" w:rsidRDefault="003E2FCA" w:rsidP="00C720A8">
            <w:pPr>
              <w:rPr>
                <w:rFonts w:ascii="Tahoma" w:hAnsi="Tahoma" w:cs="Tahoma"/>
                <w:sz w:val="20"/>
                <w:szCs w:val="20"/>
              </w:rPr>
            </w:pPr>
            <w:r w:rsidRPr="00C50A02">
              <w:rPr>
                <w:rFonts w:ascii="Tahoma" w:hAnsi="Tahoma" w:cs="Tahoma"/>
                <w:sz w:val="20"/>
                <w:szCs w:val="20"/>
              </w:rPr>
              <w:t>Шопинг</w:t>
            </w:r>
          </w:p>
        </w:tc>
        <w:tc>
          <w:tcPr>
            <w:tcW w:w="3515"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0A63BB2A" w14:textId="77777777" w:rsidR="003E2FCA" w:rsidRPr="004F6CC7" w:rsidRDefault="003E2FCA" w:rsidP="00C720A8">
            <w:pPr>
              <w:jc w:val="center"/>
              <w:rPr>
                <w:rFonts w:ascii="Tahoma" w:hAnsi="Tahoma" w:cs="Tahoma"/>
                <w:b/>
                <w:bCs/>
                <w:sz w:val="20"/>
                <w:szCs w:val="20"/>
              </w:rPr>
            </w:pPr>
          </w:p>
        </w:tc>
        <w:tc>
          <w:tcPr>
            <w:tcW w:w="3543"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2F0FFD52" w14:textId="77777777" w:rsidR="003E2FCA" w:rsidRPr="004F6CC7" w:rsidRDefault="003E2FCA" w:rsidP="00C720A8">
            <w:pPr>
              <w:jc w:val="center"/>
              <w:rPr>
                <w:rFonts w:ascii="Tahoma" w:hAnsi="Tahoma" w:cs="Tahoma"/>
                <w:b/>
                <w:bCs/>
                <w:sz w:val="20"/>
                <w:szCs w:val="20"/>
              </w:rPr>
            </w:pPr>
          </w:p>
        </w:tc>
      </w:tr>
      <w:tr w:rsidR="003E2FCA" w14:paraId="09121FBC" w14:textId="77777777" w:rsidTr="00C720A8">
        <w:trPr>
          <w:gridAfter w:val="1"/>
          <w:wAfter w:w="22" w:type="dxa"/>
          <w:trHeight w:val="300"/>
        </w:trPr>
        <w:tc>
          <w:tcPr>
            <w:tcW w:w="715" w:type="dxa"/>
            <w:tcBorders>
              <w:top w:val="single" w:sz="4" w:space="0" w:color="auto"/>
              <w:left w:val="single" w:sz="4" w:space="0" w:color="auto"/>
              <w:bottom w:val="single" w:sz="4" w:space="0" w:color="auto"/>
              <w:right w:val="single" w:sz="4" w:space="0" w:color="auto"/>
            </w:tcBorders>
            <w:shd w:val="clear" w:color="000000" w:fill="FFFFFF"/>
            <w:noWrap/>
            <w:hideMark/>
          </w:tcPr>
          <w:p w14:paraId="30540ABE" w14:textId="77777777" w:rsidR="003E2FCA" w:rsidRPr="00C50A02" w:rsidRDefault="003E2FCA" w:rsidP="00C720A8">
            <w:pPr>
              <w:rPr>
                <w:rFonts w:ascii="Tahoma" w:hAnsi="Tahoma" w:cs="Tahoma"/>
                <w:sz w:val="20"/>
                <w:szCs w:val="20"/>
              </w:rPr>
            </w:pPr>
            <w:r w:rsidRPr="00C50A02">
              <w:rPr>
                <w:rFonts w:ascii="Tahoma" w:hAnsi="Tahoma" w:cs="Tahoma"/>
                <w:sz w:val="20"/>
                <w:szCs w:val="20"/>
              </w:rPr>
              <w:t>4.7.</w:t>
            </w:r>
          </w:p>
        </w:tc>
        <w:tc>
          <w:tcPr>
            <w:tcW w:w="7536" w:type="dxa"/>
            <w:gridSpan w:val="2"/>
            <w:tcBorders>
              <w:top w:val="single" w:sz="4" w:space="0" w:color="auto"/>
              <w:left w:val="nil"/>
              <w:bottom w:val="single" w:sz="4" w:space="0" w:color="auto"/>
              <w:right w:val="single" w:sz="4" w:space="0" w:color="auto"/>
            </w:tcBorders>
            <w:shd w:val="clear" w:color="000000" w:fill="FFFFFF"/>
            <w:noWrap/>
            <w:hideMark/>
          </w:tcPr>
          <w:p w14:paraId="232CEA73" w14:textId="77777777" w:rsidR="003E2FCA" w:rsidRPr="00C50A02" w:rsidRDefault="003E2FCA" w:rsidP="00C720A8">
            <w:pPr>
              <w:rPr>
                <w:rFonts w:ascii="Tahoma" w:hAnsi="Tahoma" w:cs="Tahoma"/>
                <w:sz w:val="20"/>
                <w:szCs w:val="20"/>
              </w:rPr>
            </w:pPr>
            <w:r w:rsidRPr="00C50A02">
              <w:rPr>
                <w:rFonts w:ascii="Tahoma" w:hAnsi="Tahoma" w:cs="Tahoma"/>
                <w:sz w:val="20"/>
                <w:szCs w:val="20"/>
              </w:rPr>
              <w:t>Маркетплейсы</w:t>
            </w:r>
          </w:p>
        </w:tc>
        <w:tc>
          <w:tcPr>
            <w:tcW w:w="3515" w:type="dxa"/>
            <w:vMerge/>
            <w:tcBorders>
              <w:top w:val="single" w:sz="4" w:space="0" w:color="auto"/>
              <w:left w:val="single" w:sz="4" w:space="0" w:color="auto"/>
              <w:bottom w:val="single" w:sz="4" w:space="0" w:color="000000"/>
              <w:right w:val="single" w:sz="4" w:space="0" w:color="auto"/>
            </w:tcBorders>
            <w:vAlign w:val="center"/>
            <w:hideMark/>
          </w:tcPr>
          <w:p w14:paraId="0D2B05F0" w14:textId="77777777" w:rsidR="003E2FCA" w:rsidRDefault="003E2FCA" w:rsidP="00C720A8">
            <w:pPr>
              <w:rPr>
                <w:rFonts w:ascii="Tahoma" w:hAnsi="Tahoma" w:cs="Tahoma"/>
                <w:b/>
                <w:bCs/>
                <w:sz w:val="20"/>
                <w:szCs w:val="20"/>
              </w:rPr>
            </w:pPr>
          </w:p>
        </w:tc>
        <w:tc>
          <w:tcPr>
            <w:tcW w:w="3543" w:type="dxa"/>
            <w:vMerge/>
            <w:tcBorders>
              <w:top w:val="single" w:sz="4" w:space="0" w:color="auto"/>
              <w:left w:val="single" w:sz="4" w:space="0" w:color="auto"/>
              <w:bottom w:val="single" w:sz="4" w:space="0" w:color="000000"/>
              <w:right w:val="single" w:sz="4" w:space="0" w:color="auto"/>
            </w:tcBorders>
            <w:vAlign w:val="center"/>
            <w:hideMark/>
          </w:tcPr>
          <w:p w14:paraId="468F7897" w14:textId="77777777" w:rsidR="003E2FCA" w:rsidRDefault="003E2FCA" w:rsidP="00C720A8">
            <w:pPr>
              <w:rPr>
                <w:rFonts w:ascii="Tahoma" w:hAnsi="Tahoma" w:cs="Tahoma"/>
                <w:b/>
                <w:bCs/>
                <w:color w:val="000000"/>
                <w:sz w:val="20"/>
                <w:szCs w:val="20"/>
              </w:rPr>
            </w:pPr>
          </w:p>
        </w:tc>
      </w:tr>
      <w:tr w:rsidR="003E2FCA" w14:paraId="254F7584" w14:textId="77777777" w:rsidTr="00C720A8">
        <w:trPr>
          <w:gridAfter w:val="1"/>
          <w:wAfter w:w="22" w:type="dxa"/>
          <w:trHeight w:val="300"/>
        </w:trPr>
        <w:tc>
          <w:tcPr>
            <w:tcW w:w="715" w:type="dxa"/>
            <w:tcBorders>
              <w:top w:val="single" w:sz="4" w:space="0" w:color="auto"/>
              <w:left w:val="single" w:sz="4" w:space="0" w:color="auto"/>
              <w:bottom w:val="single" w:sz="4" w:space="0" w:color="auto"/>
              <w:right w:val="single" w:sz="4" w:space="0" w:color="auto"/>
            </w:tcBorders>
            <w:shd w:val="clear" w:color="000000" w:fill="FFFFFF"/>
            <w:noWrap/>
          </w:tcPr>
          <w:p w14:paraId="175831D6" w14:textId="77777777" w:rsidR="003E2FCA" w:rsidRPr="00C50A02" w:rsidRDefault="003E2FCA" w:rsidP="00C720A8">
            <w:pPr>
              <w:rPr>
                <w:rFonts w:ascii="Tahoma" w:hAnsi="Tahoma" w:cs="Tahoma"/>
                <w:sz w:val="20"/>
                <w:szCs w:val="20"/>
              </w:rPr>
            </w:pPr>
            <w:r w:rsidRPr="00C50A02">
              <w:rPr>
                <w:rFonts w:ascii="Tahoma" w:hAnsi="Tahoma" w:cs="Tahoma"/>
                <w:sz w:val="20"/>
                <w:szCs w:val="20"/>
              </w:rPr>
              <w:t>4.8.</w:t>
            </w:r>
          </w:p>
        </w:tc>
        <w:tc>
          <w:tcPr>
            <w:tcW w:w="7536" w:type="dxa"/>
            <w:gridSpan w:val="2"/>
            <w:tcBorders>
              <w:top w:val="single" w:sz="4" w:space="0" w:color="auto"/>
              <w:left w:val="nil"/>
              <w:bottom w:val="single" w:sz="4" w:space="0" w:color="auto"/>
              <w:right w:val="single" w:sz="4" w:space="0" w:color="auto"/>
            </w:tcBorders>
            <w:shd w:val="clear" w:color="000000" w:fill="FFFFFF"/>
            <w:noWrap/>
          </w:tcPr>
          <w:p w14:paraId="2D7C9D9C" w14:textId="77777777" w:rsidR="003E2FCA" w:rsidRPr="00C50A02" w:rsidRDefault="003E2FCA" w:rsidP="00C720A8">
            <w:pPr>
              <w:rPr>
                <w:rFonts w:ascii="Tahoma" w:hAnsi="Tahoma" w:cs="Tahoma"/>
                <w:sz w:val="20"/>
                <w:szCs w:val="20"/>
              </w:rPr>
            </w:pPr>
            <w:r w:rsidRPr="00C50A02">
              <w:rPr>
                <w:rFonts w:ascii="Tahoma" w:hAnsi="Tahoma" w:cs="Tahoma"/>
                <w:sz w:val="20"/>
                <w:szCs w:val="20"/>
              </w:rPr>
              <w:t>Кафе, рестораны, фастфуд</w:t>
            </w:r>
          </w:p>
        </w:tc>
        <w:tc>
          <w:tcPr>
            <w:tcW w:w="3515" w:type="dxa"/>
            <w:vMerge/>
            <w:tcBorders>
              <w:top w:val="single" w:sz="4" w:space="0" w:color="auto"/>
              <w:left w:val="single" w:sz="4" w:space="0" w:color="auto"/>
              <w:bottom w:val="single" w:sz="4" w:space="0" w:color="000000"/>
              <w:right w:val="single" w:sz="4" w:space="0" w:color="auto"/>
            </w:tcBorders>
            <w:vAlign w:val="center"/>
          </w:tcPr>
          <w:p w14:paraId="20B72C5C" w14:textId="77777777" w:rsidR="003E2FCA" w:rsidRDefault="003E2FCA" w:rsidP="00C720A8">
            <w:pPr>
              <w:rPr>
                <w:rFonts w:ascii="Tahoma" w:hAnsi="Tahoma" w:cs="Tahoma"/>
                <w:b/>
                <w:bCs/>
                <w:sz w:val="20"/>
                <w:szCs w:val="20"/>
              </w:rPr>
            </w:pPr>
          </w:p>
        </w:tc>
        <w:tc>
          <w:tcPr>
            <w:tcW w:w="3543" w:type="dxa"/>
            <w:vMerge/>
            <w:tcBorders>
              <w:top w:val="single" w:sz="4" w:space="0" w:color="auto"/>
              <w:left w:val="single" w:sz="4" w:space="0" w:color="auto"/>
              <w:bottom w:val="single" w:sz="4" w:space="0" w:color="000000"/>
              <w:right w:val="single" w:sz="4" w:space="0" w:color="auto"/>
            </w:tcBorders>
            <w:vAlign w:val="center"/>
          </w:tcPr>
          <w:p w14:paraId="2E2D923A" w14:textId="77777777" w:rsidR="003E2FCA" w:rsidRDefault="003E2FCA" w:rsidP="00C720A8">
            <w:pPr>
              <w:rPr>
                <w:rFonts w:ascii="Tahoma" w:hAnsi="Tahoma" w:cs="Tahoma"/>
                <w:b/>
                <w:bCs/>
                <w:color w:val="000000"/>
                <w:sz w:val="20"/>
                <w:szCs w:val="20"/>
              </w:rPr>
            </w:pPr>
          </w:p>
        </w:tc>
      </w:tr>
      <w:tr w:rsidR="003E2FCA" w14:paraId="15EF3ED9" w14:textId="77777777" w:rsidTr="00C720A8">
        <w:trPr>
          <w:gridAfter w:val="1"/>
          <w:wAfter w:w="22" w:type="dxa"/>
          <w:trHeight w:val="300"/>
        </w:trPr>
        <w:tc>
          <w:tcPr>
            <w:tcW w:w="715" w:type="dxa"/>
            <w:tcBorders>
              <w:top w:val="single" w:sz="4" w:space="0" w:color="auto"/>
              <w:left w:val="single" w:sz="4" w:space="0" w:color="auto"/>
              <w:bottom w:val="single" w:sz="4" w:space="0" w:color="auto"/>
              <w:right w:val="single" w:sz="4" w:space="0" w:color="auto"/>
            </w:tcBorders>
            <w:shd w:val="clear" w:color="000000" w:fill="FFFFFF"/>
            <w:noWrap/>
          </w:tcPr>
          <w:p w14:paraId="745C1680" w14:textId="77777777" w:rsidR="003E2FCA" w:rsidRPr="00C50A02" w:rsidRDefault="003E2FCA" w:rsidP="00C720A8">
            <w:pPr>
              <w:rPr>
                <w:rFonts w:ascii="Tahoma" w:hAnsi="Tahoma" w:cs="Tahoma"/>
                <w:sz w:val="20"/>
                <w:szCs w:val="20"/>
              </w:rPr>
            </w:pPr>
            <w:r w:rsidRPr="00C50A02">
              <w:rPr>
                <w:rFonts w:ascii="Tahoma" w:hAnsi="Tahoma" w:cs="Tahoma"/>
                <w:sz w:val="20"/>
                <w:szCs w:val="20"/>
              </w:rPr>
              <w:t>4.9.</w:t>
            </w:r>
          </w:p>
        </w:tc>
        <w:tc>
          <w:tcPr>
            <w:tcW w:w="7536" w:type="dxa"/>
            <w:gridSpan w:val="2"/>
            <w:tcBorders>
              <w:top w:val="single" w:sz="4" w:space="0" w:color="auto"/>
              <w:left w:val="nil"/>
              <w:bottom w:val="single" w:sz="4" w:space="0" w:color="auto"/>
              <w:right w:val="single" w:sz="4" w:space="0" w:color="auto"/>
            </w:tcBorders>
            <w:shd w:val="clear" w:color="000000" w:fill="FFFFFF"/>
            <w:noWrap/>
          </w:tcPr>
          <w:p w14:paraId="0BD82CA2" w14:textId="77777777" w:rsidR="003E2FCA" w:rsidRPr="00C50A02" w:rsidRDefault="003E2FCA" w:rsidP="00C720A8">
            <w:pPr>
              <w:rPr>
                <w:rFonts w:ascii="Tahoma" w:hAnsi="Tahoma" w:cs="Tahoma"/>
                <w:sz w:val="20"/>
                <w:szCs w:val="20"/>
              </w:rPr>
            </w:pPr>
            <w:r w:rsidRPr="00C50A02">
              <w:rPr>
                <w:rFonts w:ascii="Tahoma" w:hAnsi="Tahoma" w:cs="Tahoma"/>
                <w:sz w:val="20"/>
                <w:szCs w:val="20"/>
              </w:rPr>
              <w:t>Салоны красоты и парфюмерия</w:t>
            </w:r>
          </w:p>
        </w:tc>
        <w:tc>
          <w:tcPr>
            <w:tcW w:w="3515" w:type="dxa"/>
            <w:vMerge/>
            <w:tcBorders>
              <w:top w:val="single" w:sz="4" w:space="0" w:color="auto"/>
              <w:left w:val="single" w:sz="4" w:space="0" w:color="auto"/>
              <w:bottom w:val="single" w:sz="4" w:space="0" w:color="000000"/>
              <w:right w:val="single" w:sz="4" w:space="0" w:color="auto"/>
            </w:tcBorders>
            <w:vAlign w:val="center"/>
          </w:tcPr>
          <w:p w14:paraId="7F34E757" w14:textId="77777777" w:rsidR="003E2FCA" w:rsidRDefault="003E2FCA" w:rsidP="00C720A8">
            <w:pPr>
              <w:rPr>
                <w:rFonts w:ascii="Tahoma" w:hAnsi="Tahoma" w:cs="Tahoma"/>
                <w:b/>
                <w:bCs/>
                <w:sz w:val="20"/>
                <w:szCs w:val="20"/>
              </w:rPr>
            </w:pPr>
          </w:p>
        </w:tc>
        <w:tc>
          <w:tcPr>
            <w:tcW w:w="3543" w:type="dxa"/>
            <w:vMerge/>
            <w:tcBorders>
              <w:top w:val="single" w:sz="4" w:space="0" w:color="auto"/>
              <w:left w:val="single" w:sz="4" w:space="0" w:color="auto"/>
              <w:bottom w:val="single" w:sz="4" w:space="0" w:color="000000"/>
              <w:right w:val="single" w:sz="4" w:space="0" w:color="auto"/>
            </w:tcBorders>
            <w:vAlign w:val="center"/>
          </w:tcPr>
          <w:p w14:paraId="2B9BE00E" w14:textId="77777777" w:rsidR="003E2FCA" w:rsidRDefault="003E2FCA" w:rsidP="00C720A8">
            <w:pPr>
              <w:rPr>
                <w:rFonts w:ascii="Tahoma" w:hAnsi="Tahoma" w:cs="Tahoma"/>
                <w:b/>
                <w:bCs/>
                <w:color w:val="000000"/>
                <w:sz w:val="20"/>
                <w:szCs w:val="20"/>
              </w:rPr>
            </w:pPr>
          </w:p>
        </w:tc>
      </w:tr>
      <w:tr w:rsidR="003E2FCA" w14:paraId="2BD9BB7E" w14:textId="77777777" w:rsidTr="00C720A8">
        <w:trPr>
          <w:gridAfter w:val="1"/>
          <w:wAfter w:w="22" w:type="dxa"/>
          <w:trHeight w:val="300"/>
        </w:trPr>
        <w:tc>
          <w:tcPr>
            <w:tcW w:w="715" w:type="dxa"/>
            <w:tcBorders>
              <w:top w:val="single" w:sz="4" w:space="0" w:color="auto"/>
              <w:left w:val="single" w:sz="4" w:space="0" w:color="auto"/>
              <w:bottom w:val="single" w:sz="4" w:space="0" w:color="auto"/>
              <w:right w:val="single" w:sz="4" w:space="0" w:color="auto"/>
            </w:tcBorders>
            <w:shd w:val="clear" w:color="000000" w:fill="FFFFFF"/>
            <w:noWrap/>
          </w:tcPr>
          <w:p w14:paraId="164AC26F" w14:textId="77777777" w:rsidR="003E2FCA" w:rsidRPr="00C50A02" w:rsidRDefault="003E2FCA" w:rsidP="00C720A8">
            <w:pPr>
              <w:rPr>
                <w:rFonts w:ascii="Tahoma" w:hAnsi="Tahoma" w:cs="Tahoma"/>
                <w:sz w:val="20"/>
                <w:szCs w:val="20"/>
              </w:rPr>
            </w:pPr>
            <w:r w:rsidRPr="00C50A02">
              <w:rPr>
                <w:rFonts w:ascii="Tahoma" w:hAnsi="Tahoma" w:cs="Tahoma"/>
                <w:sz w:val="20"/>
                <w:szCs w:val="20"/>
              </w:rPr>
              <w:t>4.10.</w:t>
            </w:r>
          </w:p>
        </w:tc>
        <w:tc>
          <w:tcPr>
            <w:tcW w:w="7536" w:type="dxa"/>
            <w:gridSpan w:val="2"/>
            <w:tcBorders>
              <w:top w:val="single" w:sz="4" w:space="0" w:color="auto"/>
              <w:left w:val="nil"/>
              <w:bottom w:val="single" w:sz="4" w:space="0" w:color="auto"/>
              <w:right w:val="single" w:sz="4" w:space="0" w:color="auto"/>
            </w:tcBorders>
            <w:shd w:val="clear" w:color="000000" w:fill="FFFFFF"/>
            <w:noWrap/>
          </w:tcPr>
          <w:p w14:paraId="4D11C742" w14:textId="77777777" w:rsidR="003E2FCA" w:rsidRPr="00C50A02" w:rsidRDefault="003E2FCA" w:rsidP="00C720A8">
            <w:pPr>
              <w:rPr>
                <w:rFonts w:ascii="Tahoma" w:hAnsi="Tahoma" w:cs="Tahoma"/>
                <w:sz w:val="20"/>
                <w:szCs w:val="20"/>
              </w:rPr>
            </w:pPr>
            <w:r w:rsidRPr="00C50A02">
              <w:rPr>
                <w:rFonts w:ascii="Tahoma" w:hAnsi="Tahoma" w:cs="Tahoma"/>
                <w:sz w:val="20"/>
                <w:szCs w:val="20"/>
              </w:rPr>
              <w:t>Кино и развлечения</w:t>
            </w:r>
          </w:p>
        </w:tc>
        <w:tc>
          <w:tcPr>
            <w:tcW w:w="3515" w:type="dxa"/>
            <w:vMerge/>
            <w:tcBorders>
              <w:top w:val="single" w:sz="4" w:space="0" w:color="auto"/>
              <w:left w:val="single" w:sz="4" w:space="0" w:color="auto"/>
              <w:bottom w:val="single" w:sz="4" w:space="0" w:color="000000"/>
              <w:right w:val="single" w:sz="4" w:space="0" w:color="auto"/>
            </w:tcBorders>
            <w:vAlign w:val="center"/>
          </w:tcPr>
          <w:p w14:paraId="3E160BE3" w14:textId="77777777" w:rsidR="003E2FCA" w:rsidRDefault="003E2FCA" w:rsidP="00C720A8">
            <w:pPr>
              <w:rPr>
                <w:rFonts w:ascii="Tahoma" w:hAnsi="Tahoma" w:cs="Tahoma"/>
                <w:b/>
                <w:bCs/>
                <w:sz w:val="20"/>
                <w:szCs w:val="20"/>
              </w:rPr>
            </w:pPr>
          </w:p>
        </w:tc>
        <w:tc>
          <w:tcPr>
            <w:tcW w:w="3543" w:type="dxa"/>
            <w:vMerge/>
            <w:tcBorders>
              <w:top w:val="single" w:sz="4" w:space="0" w:color="auto"/>
              <w:left w:val="single" w:sz="4" w:space="0" w:color="auto"/>
              <w:bottom w:val="single" w:sz="4" w:space="0" w:color="000000"/>
              <w:right w:val="single" w:sz="4" w:space="0" w:color="auto"/>
            </w:tcBorders>
            <w:vAlign w:val="center"/>
          </w:tcPr>
          <w:p w14:paraId="6ED2E64B" w14:textId="77777777" w:rsidR="003E2FCA" w:rsidRDefault="003E2FCA" w:rsidP="00C720A8">
            <w:pPr>
              <w:rPr>
                <w:rFonts w:ascii="Tahoma" w:hAnsi="Tahoma" w:cs="Tahoma"/>
                <w:b/>
                <w:bCs/>
                <w:color w:val="000000"/>
                <w:sz w:val="20"/>
                <w:szCs w:val="20"/>
              </w:rPr>
            </w:pPr>
          </w:p>
        </w:tc>
      </w:tr>
      <w:tr w:rsidR="003E2FCA" w14:paraId="32BBC623" w14:textId="77777777" w:rsidTr="00C720A8">
        <w:trPr>
          <w:gridAfter w:val="1"/>
          <w:wAfter w:w="22" w:type="dxa"/>
          <w:trHeight w:val="300"/>
        </w:trPr>
        <w:tc>
          <w:tcPr>
            <w:tcW w:w="715" w:type="dxa"/>
            <w:tcBorders>
              <w:top w:val="nil"/>
              <w:left w:val="single" w:sz="4" w:space="0" w:color="auto"/>
              <w:bottom w:val="single" w:sz="4" w:space="0" w:color="auto"/>
              <w:right w:val="single" w:sz="4" w:space="0" w:color="auto"/>
            </w:tcBorders>
            <w:shd w:val="clear" w:color="000000" w:fill="FFFFFF"/>
            <w:noWrap/>
            <w:hideMark/>
          </w:tcPr>
          <w:p w14:paraId="5AFA8825" w14:textId="77777777" w:rsidR="003E2FCA" w:rsidRPr="00C50A02" w:rsidRDefault="003E2FCA" w:rsidP="00C720A8">
            <w:pPr>
              <w:rPr>
                <w:rFonts w:ascii="Tahoma" w:hAnsi="Tahoma" w:cs="Tahoma"/>
                <w:sz w:val="20"/>
                <w:szCs w:val="20"/>
              </w:rPr>
            </w:pPr>
            <w:r w:rsidRPr="00C50A02">
              <w:rPr>
                <w:rFonts w:ascii="Tahoma" w:hAnsi="Tahoma" w:cs="Tahoma"/>
                <w:sz w:val="20"/>
                <w:szCs w:val="20"/>
              </w:rPr>
              <w:t>4.11.</w:t>
            </w:r>
          </w:p>
        </w:tc>
        <w:tc>
          <w:tcPr>
            <w:tcW w:w="7536" w:type="dxa"/>
            <w:gridSpan w:val="2"/>
            <w:tcBorders>
              <w:top w:val="nil"/>
              <w:left w:val="nil"/>
              <w:bottom w:val="single" w:sz="4" w:space="0" w:color="auto"/>
              <w:right w:val="single" w:sz="4" w:space="0" w:color="auto"/>
            </w:tcBorders>
            <w:shd w:val="clear" w:color="000000" w:fill="FFFFFF"/>
            <w:noWrap/>
            <w:hideMark/>
          </w:tcPr>
          <w:p w14:paraId="5845D632" w14:textId="77777777" w:rsidR="003E2FCA" w:rsidRPr="00C50A02" w:rsidRDefault="003E2FCA" w:rsidP="00C720A8">
            <w:pPr>
              <w:rPr>
                <w:rFonts w:ascii="Tahoma" w:hAnsi="Tahoma" w:cs="Tahoma"/>
                <w:sz w:val="20"/>
                <w:szCs w:val="20"/>
              </w:rPr>
            </w:pPr>
            <w:r w:rsidRPr="00C50A02">
              <w:rPr>
                <w:rFonts w:ascii="Tahoma" w:hAnsi="Tahoma" w:cs="Tahoma"/>
                <w:sz w:val="20"/>
                <w:szCs w:val="20"/>
              </w:rPr>
              <w:t>Фитнес и спортивные товары</w:t>
            </w:r>
          </w:p>
        </w:tc>
        <w:tc>
          <w:tcPr>
            <w:tcW w:w="3515" w:type="dxa"/>
            <w:vMerge/>
            <w:tcBorders>
              <w:top w:val="nil"/>
              <w:left w:val="single" w:sz="4" w:space="0" w:color="auto"/>
              <w:bottom w:val="single" w:sz="4" w:space="0" w:color="000000"/>
              <w:right w:val="single" w:sz="4" w:space="0" w:color="auto"/>
            </w:tcBorders>
            <w:vAlign w:val="center"/>
            <w:hideMark/>
          </w:tcPr>
          <w:p w14:paraId="0A372571" w14:textId="77777777" w:rsidR="003E2FCA" w:rsidRDefault="003E2FCA" w:rsidP="00C720A8">
            <w:pPr>
              <w:rPr>
                <w:rFonts w:ascii="Tahoma" w:hAnsi="Tahoma" w:cs="Tahoma"/>
                <w:b/>
                <w:bCs/>
                <w:sz w:val="20"/>
                <w:szCs w:val="20"/>
              </w:rPr>
            </w:pPr>
          </w:p>
        </w:tc>
        <w:tc>
          <w:tcPr>
            <w:tcW w:w="3543" w:type="dxa"/>
            <w:vMerge/>
            <w:tcBorders>
              <w:top w:val="nil"/>
              <w:left w:val="single" w:sz="4" w:space="0" w:color="auto"/>
              <w:bottom w:val="single" w:sz="4" w:space="0" w:color="000000"/>
              <w:right w:val="single" w:sz="4" w:space="0" w:color="auto"/>
            </w:tcBorders>
            <w:vAlign w:val="center"/>
            <w:hideMark/>
          </w:tcPr>
          <w:p w14:paraId="00A41B66" w14:textId="77777777" w:rsidR="003E2FCA" w:rsidRDefault="003E2FCA" w:rsidP="00C720A8">
            <w:pPr>
              <w:rPr>
                <w:rFonts w:ascii="Tahoma" w:hAnsi="Tahoma" w:cs="Tahoma"/>
                <w:b/>
                <w:bCs/>
                <w:color w:val="000000"/>
                <w:sz w:val="20"/>
                <w:szCs w:val="20"/>
              </w:rPr>
            </w:pPr>
          </w:p>
        </w:tc>
      </w:tr>
      <w:tr w:rsidR="003E2FCA" w14:paraId="31C1BCB8" w14:textId="77777777" w:rsidTr="00C720A8">
        <w:trPr>
          <w:gridAfter w:val="1"/>
          <w:wAfter w:w="22" w:type="dxa"/>
          <w:trHeight w:val="300"/>
        </w:trPr>
        <w:tc>
          <w:tcPr>
            <w:tcW w:w="715" w:type="dxa"/>
            <w:tcBorders>
              <w:top w:val="nil"/>
              <w:left w:val="single" w:sz="4" w:space="0" w:color="auto"/>
              <w:bottom w:val="single" w:sz="4" w:space="0" w:color="auto"/>
              <w:right w:val="single" w:sz="4" w:space="0" w:color="auto"/>
            </w:tcBorders>
            <w:shd w:val="clear" w:color="000000" w:fill="FFFFFF"/>
            <w:noWrap/>
          </w:tcPr>
          <w:p w14:paraId="68ACFB63" w14:textId="77777777" w:rsidR="003E2FCA" w:rsidRPr="00C50A02" w:rsidRDefault="003E2FCA" w:rsidP="00C720A8">
            <w:pPr>
              <w:rPr>
                <w:rFonts w:ascii="Tahoma" w:hAnsi="Tahoma" w:cs="Tahoma"/>
                <w:sz w:val="20"/>
                <w:szCs w:val="20"/>
              </w:rPr>
            </w:pPr>
            <w:r w:rsidRPr="00C50A02">
              <w:rPr>
                <w:rFonts w:ascii="Tahoma" w:hAnsi="Tahoma" w:cs="Tahoma"/>
                <w:sz w:val="20"/>
                <w:szCs w:val="20"/>
              </w:rPr>
              <w:t>4.12.</w:t>
            </w:r>
          </w:p>
        </w:tc>
        <w:tc>
          <w:tcPr>
            <w:tcW w:w="7536" w:type="dxa"/>
            <w:gridSpan w:val="2"/>
            <w:tcBorders>
              <w:top w:val="nil"/>
              <w:left w:val="nil"/>
              <w:bottom w:val="single" w:sz="4" w:space="0" w:color="auto"/>
              <w:right w:val="single" w:sz="4" w:space="0" w:color="auto"/>
            </w:tcBorders>
            <w:shd w:val="clear" w:color="000000" w:fill="FFFFFF"/>
            <w:noWrap/>
          </w:tcPr>
          <w:p w14:paraId="4F350607" w14:textId="77777777" w:rsidR="003E2FCA" w:rsidRPr="00C50A02" w:rsidRDefault="003E2FCA" w:rsidP="00C720A8">
            <w:pPr>
              <w:rPr>
                <w:rFonts w:ascii="Tahoma" w:hAnsi="Tahoma" w:cs="Tahoma"/>
                <w:sz w:val="20"/>
                <w:szCs w:val="20"/>
              </w:rPr>
            </w:pPr>
            <w:r w:rsidRPr="00C50A02">
              <w:rPr>
                <w:rFonts w:ascii="Tahoma" w:hAnsi="Tahoma" w:cs="Tahoma"/>
                <w:sz w:val="20"/>
                <w:szCs w:val="20"/>
              </w:rPr>
              <w:t>Медицинские услуги</w:t>
            </w:r>
          </w:p>
        </w:tc>
        <w:tc>
          <w:tcPr>
            <w:tcW w:w="3515" w:type="dxa"/>
            <w:vMerge/>
            <w:tcBorders>
              <w:top w:val="nil"/>
              <w:left w:val="single" w:sz="4" w:space="0" w:color="auto"/>
              <w:bottom w:val="single" w:sz="4" w:space="0" w:color="000000"/>
              <w:right w:val="single" w:sz="4" w:space="0" w:color="auto"/>
            </w:tcBorders>
            <w:vAlign w:val="center"/>
          </w:tcPr>
          <w:p w14:paraId="403522D8" w14:textId="77777777" w:rsidR="003E2FCA" w:rsidRDefault="003E2FCA" w:rsidP="00C720A8">
            <w:pPr>
              <w:rPr>
                <w:rFonts w:ascii="Tahoma" w:hAnsi="Tahoma" w:cs="Tahoma"/>
                <w:b/>
                <w:bCs/>
                <w:sz w:val="20"/>
                <w:szCs w:val="20"/>
              </w:rPr>
            </w:pPr>
          </w:p>
        </w:tc>
        <w:tc>
          <w:tcPr>
            <w:tcW w:w="3543" w:type="dxa"/>
            <w:vMerge/>
            <w:tcBorders>
              <w:top w:val="nil"/>
              <w:left w:val="single" w:sz="4" w:space="0" w:color="auto"/>
              <w:bottom w:val="single" w:sz="4" w:space="0" w:color="000000"/>
              <w:right w:val="single" w:sz="4" w:space="0" w:color="auto"/>
            </w:tcBorders>
            <w:vAlign w:val="center"/>
          </w:tcPr>
          <w:p w14:paraId="51868C50" w14:textId="77777777" w:rsidR="003E2FCA" w:rsidRDefault="003E2FCA" w:rsidP="00C720A8">
            <w:pPr>
              <w:rPr>
                <w:rFonts w:ascii="Tahoma" w:hAnsi="Tahoma" w:cs="Tahoma"/>
                <w:b/>
                <w:bCs/>
                <w:color w:val="000000"/>
                <w:sz w:val="20"/>
                <w:szCs w:val="20"/>
              </w:rPr>
            </w:pPr>
          </w:p>
        </w:tc>
      </w:tr>
      <w:tr w:rsidR="003E2FCA" w14:paraId="7966759A" w14:textId="77777777" w:rsidTr="00C720A8">
        <w:trPr>
          <w:gridAfter w:val="1"/>
          <w:wAfter w:w="22" w:type="dxa"/>
          <w:trHeight w:val="300"/>
        </w:trPr>
        <w:tc>
          <w:tcPr>
            <w:tcW w:w="715" w:type="dxa"/>
            <w:tcBorders>
              <w:top w:val="nil"/>
              <w:left w:val="single" w:sz="4" w:space="0" w:color="auto"/>
              <w:bottom w:val="single" w:sz="4" w:space="0" w:color="auto"/>
              <w:right w:val="single" w:sz="4" w:space="0" w:color="auto"/>
            </w:tcBorders>
            <w:shd w:val="clear" w:color="000000" w:fill="FFFFFF"/>
            <w:noWrap/>
            <w:hideMark/>
          </w:tcPr>
          <w:p w14:paraId="7071A8A5" w14:textId="77777777" w:rsidR="003E2FCA" w:rsidRPr="00C50A02" w:rsidRDefault="003E2FCA" w:rsidP="00C720A8">
            <w:pPr>
              <w:rPr>
                <w:rFonts w:ascii="Tahoma" w:hAnsi="Tahoma" w:cs="Tahoma"/>
                <w:sz w:val="20"/>
                <w:szCs w:val="20"/>
              </w:rPr>
            </w:pPr>
            <w:r w:rsidRPr="00C50A02">
              <w:rPr>
                <w:rFonts w:ascii="Tahoma" w:hAnsi="Tahoma" w:cs="Tahoma"/>
                <w:sz w:val="20"/>
                <w:szCs w:val="20"/>
              </w:rPr>
              <w:t>4.13.</w:t>
            </w:r>
          </w:p>
        </w:tc>
        <w:tc>
          <w:tcPr>
            <w:tcW w:w="7536" w:type="dxa"/>
            <w:gridSpan w:val="2"/>
            <w:tcBorders>
              <w:top w:val="nil"/>
              <w:left w:val="nil"/>
              <w:bottom w:val="single" w:sz="4" w:space="0" w:color="auto"/>
              <w:right w:val="single" w:sz="4" w:space="0" w:color="auto"/>
            </w:tcBorders>
            <w:shd w:val="clear" w:color="000000" w:fill="FFFFFF"/>
            <w:noWrap/>
            <w:hideMark/>
          </w:tcPr>
          <w:p w14:paraId="535FBEEC" w14:textId="77777777" w:rsidR="003E2FCA" w:rsidRPr="00C50A02" w:rsidRDefault="003E2FCA" w:rsidP="00C720A8">
            <w:pPr>
              <w:rPr>
                <w:rFonts w:ascii="Tahoma" w:hAnsi="Tahoma" w:cs="Tahoma"/>
                <w:sz w:val="20"/>
                <w:szCs w:val="20"/>
              </w:rPr>
            </w:pPr>
            <w:r w:rsidRPr="00C50A02">
              <w:rPr>
                <w:rFonts w:ascii="Tahoma" w:hAnsi="Tahoma" w:cs="Tahoma"/>
                <w:sz w:val="20"/>
                <w:szCs w:val="20"/>
              </w:rPr>
              <w:t>Книги и канцтовары</w:t>
            </w:r>
          </w:p>
        </w:tc>
        <w:tc>
          <w:tcPr>
            <w:tcW w:w="3515" w:type="dxa"/>
            <w:vMerge/>
            <w:tcBorders>
              <w:top w:val="nil"/>
              <w:left w:val="single" w:sz="4" w:space="0" w:color="auto"/>
              <w:bottom w:val="single" w:sz="4" w:space="0" w:color="000000"/>
              <w:right w:val="single" w:sz="4" w:space="0" w:color="auto"/>
            </w:tcBorders>
            <w:vAlign w:val="center"/>
            <w:hideMark/>
          </w:tcPr>
          <w:p w14:paraId="1B2C3CAD" w14:textId="77777777" w:rsidR="003E2FCA" w:rsidRDefault="003E2FCA" w:rsidP="00C720A8">
            <w:pPr>
              <w:rPr>
                <w:rFonts w:ascii="Tahoma" w:hAnsi="Tahoma" w:cs="Tahoma"/>
                <w:b/>
                <w:bCs/>
                <w:sz w:val="20"/>
                <w:szCs w:val="20"/>
              </w:rPr>
            </w:pPr>
          </w:p>
        </w:tc>
        <w:tc>
          <w:tcPr>
            <w:tcW w:w="3543" w:type="dxa"/>
            <w:vMerge/>
            <w:tcBorders>
              <w:top w:val="nil"/>
              <w:left w:val="single" w:sz="4" w:space="0" w:color="auto"/>
              <w:bottom w:val="single" w:sz="4" w:space="0" w:color="000000"/>
              <w:right w:val="single" w:sz="4" w:space="0" w:color="auto"/>
            </w:tcBorders>
            <w:vAlign w:val="center"/>
            <w:hideMark/>
          </w:tcPr>
          <w:p w14:paraId="0B2083A1" w14:textId="77777777" w:rsidR="003E2FCA" w:rsidRDefault="003E2FCA" w:rsidP="00C720A8">
            <w:pPr>
              <w:rPr>
                <w:rFonts w:ascii="Tahoma" w:hAnsi="Tahoma" w:cs="Tahoma"/>
                <w:b/>
                <w:bCs/>
                <w:color w:val="000000"/>
                <w:sz w:val="20"/>
                <w:szCs w:val="20"/>
              </w:rPr>
            </w:pPr>
          </w:p>
        </w:tc>
      </w:tr>
      <w:tr w:rsidR="003E2FCA" w14:paraId="0B557C64" w14:textId="77777777" w:rsidTr="00C720A8">
        <w:trPr>
          <w:gridAfter w:val="1"/>
          <w:wAfter w:w="22" w:type="dxa"/>
          <w:trHeight w:val="300"/>
        </w:trPr>
        <w:tc>
          <w:tcPr>
            <w:tcW w:w="715" w:type="dxa"/>
            <w:tcBorders>
              <w:top w:val="nil"/>
              <w:left w:val="single" w:sz="4" w:space="0" w:color="auto"/>
              <w:bottom w:val="single" w:sz="4" w:space="0" w:color="auto"/>
              <w:right w:val="single" w:sz="4" w:space="0" w:color="auto"/>
            </w:tcBorders>
            <w:shd w:val="clear" w:color="000000" w:fill="FFFFFF"/>
            <w:noWrap/>
            <w:hideMark/>
          </w:tcPr>
          <w:p w14:paraId="6ABA8509" w14:textId="77777777" w:rsidR="003E2FCA" w:rsidRPr="00C50A02" w:rsidRDefault="003E2FCA" w:rsidP="00C720A8">
            <w:pPr>
              <w:rPr>
                <w:rFonts w:ascii="Tahoma" w:hAnsi="Tahoma" w:cs="Tahoma"/>
                <w:sz w:val="20"/>
                <w:szCs w:val="20"/>
              </w:rPr>
            </w:pPr>
            <w:r w:rsidRPr="00C50A02">
              <w:rPr>
                <w:rFonts w:ascii="Tahoma" w:hAnsi="Tahoma" w:cs="Tahoma"/>
                <w:sz w:val="20"/>
                <w:szCs w:val="20"/>
              </w:rPr>
              <w:t>4.14.</w:t>
            </w:r>
          </w:p>
        </w:tc>
        <w:tc>
          <w:tcPr>
            <w:tcW w:w="7536" w:type="dxa"/>
            <w:gridSpan w:val="2"/>
            <w:tcBorders>
              <w:top w:val="nil"/>
              <w:left w:val="nil"/>
              <w:bottom w:val="single" w:sz="4" w:space="0" w:color="auto"/>
              <w:right w:val="single" w:sz="4" w:space="0" w:color="auto"/>
            </w:tcBorders>
            <w:shd w:val="clear" w:color="000000" w:fill="FFFFFF"/>
            <w:noWrap/>
            <w:hideMark/>
          </w:tcPr>
          <w:p w14:paraId="108EA049" w14:textId="77777777" w:rsidR="003E2FCA" w:rsidRPr="00C50A02" w:rsidRDefault="003E2FCA" w:rsidP="00C720A8">
            <w:pPr>
              <w:rPr>
                <w:rFonts w:ascii="Tahoma" w:hAnsi="Tahoma" w:cs="Tahoma"/>
                <w:sz w:val="20"/>
                <w:szCs w:val="20"/>
              </w:rPr>
            </w:pPr>
            <w:r w:rsidRPr="00C50A02">
              <w:rPr>
                <w:rFonts w:ascii="Tahoma" w:hAnsi="Tahoma" w:cs="Tahoma"/>
                <w:sz w:val="20"/>
                <w:szCs w:val="20"/>
              </w:rPr>
              <w:t>Товары для животных</w:t>
            </w:r>
          </w:p>
        </w:tc>
        <w:tc>
          <w:tcPr>
            <w:tcW w:w="3515" w:type="dxa"/>
            <w:vMerge/>
            <w:tcBorders>
              <w:top w:val="nil"/>
              <w:left w:val="single" w:sz="4" w:space="0" w:color="auto"/>
              <w:bottom w:val="single" w:sz="4" w:space="0" w:color="000000"/>
              <w:right w:val="single" w:sz="4" w:space="0" w:color="auto"/>
            </w:tcBorders>
            <w:vAlign w:val="center"/>
            <w:hideMark/>
          </w:tcPr>
          <w:p w14:paraId="4AA7C738" w14:textId="77777777" w:rsidR="003E2FCA" w:rsidRDefault="003E2FCA" w:rsidP="00C720A8">
            <w:pPr>
              <w:rPr>
                <w:rFonts w:ascii="Tahoma" w:hAnsi="Tahoma" w:cs="Tahoma"/>
                <w:b/>
                <w:bCs/>
                <w:sz w:val="20"/>
                <w:szCs w:val="20"/>
              </w:rPr>
            </w:pPr>
          </w:p>
        </w:tc>
        <w:tc>
          <w:tcPr>
            <w:tcW w:w="3543" w:type="dxa"/>
            <w:vMerge/>
            <w:tcBorders>
              <w:top w:val="nil"/>
              <w:left w:val="single" w:sz="4" w:space="0" w:color="auto"/>
              <w:bottom w:val="single" w:sz="4" w:space="0" w:color="000000"/>
              <w:right w:val="single" w:sz="4" w:space="0" w:color="auto"/>
            </w:tcBorders>
            <w:vAlign w:val="center"/>
            <w:hideMark/>
          </w:tcPr>
          <w:p w14:paraId="219279C0" w14:textId="77777777" w:rsidR="003E2FCA" w:rsidRDefault="003E2FCA" w:rsidP="00C720A8">
            <w:pPr>
              <w:rPr>
                <w:rFonts w:ascii="Tahoma" w:hAnsi="Tahoma" w:cs="Tahoma"/>
                <w:b/>
                <w:bCs/>
                <w:color w:val="000000"/>
                <w:sz w:val="20"/>
                <w:szCs w:val="20"/>
              </w:rPr>
            </w:pPr>
          </w:p>
        </w:tc>
      </w:tr>
      <w:tr w:rsidR="003E2FCA" w14:paraId="3150FE05" w14:textId="77777777" w:rsidTr="00C720A8">
        <w:trPr>
          <w:gridAfter w:val="1"/>
          <w:wAfter w:w="22" w:type="dxa"/>
          <w:trHeight w:val="300"/>
        </w:trPr>
        <w:tc>
          <w:tcPr>
            <w:tcW w:w="715" w:type="dxa"/>
            <w:tcBorders>
              <w:top w:val="nil"/>
              <w:left w:val="single" w:sz="4" w:space="0" w:color="auto"/>
              <w:bottom w:val="single" w:sz="4" w:space="0" w:color="auto"/>
              <w:right w:val="single" w:sz="4" w:space="0" w:color="auto"/>
            </w:tcBorders>
            <w:shd w:val="clear" w:color="000000" w:fill="FFFFFF"/>
            <w:noWrap/>
            <w:hideMark/>
          </w:tcPr>
          <w:p w14:paraId="6991C04C" w14:textId="77777777" w:rsidR="003E2FCA" w:rsidRPr="00C50A02" w:rsidRDefault="003E2FCA" w:rsidP="00C720A8">
            <w:pPr>
              <w:rPr>
                <w:rFonts w:ascii="Tahoma" w:hAnsi="Tahoma" w:cs="Tahoma"/>
                <w:sz w:val="20"/>
                <w:szCs w:val="20"/>
              </w:rPr>
            </w:pPr>
            <w:r w:rsidRPr="00C50A02">
              <w:rPr>
                <w:rFonts w:ascii="Tahoma" w:hAnsi="Tahoma" w:cs="Tahoma"/>
                <w:sz w:val="20"/>
                <w:szCs w:val="20"/>
              </w:rPr>
              <w:t>4.15.</w:t>
            </w:r>
          </w:p>
        </w:tc>
        <w:tc>
          <w:tcPr>
            <w:tcW w:w="7536" w:type="dxa"/>
            <w:gridSpan w:val="2"/>
            <w:tcBorders>
              <w:top w:val="nil"/>
              <w:left w:val="nil"/>
              <w:bottom w:val="single" w:sz="4" w:space="0" w:color="auto"/>
              <w:right w:val="single" w:sz="4" w:space="0" w:color="auto"/>
            </w:tcBorders>
            <w:shd w:val="clear" w:color="000000" w:fill="FFFFFF"/>
            <w:noWrap/>
            <w:hideMark/>
          </w:tcPr>
          <w:p w14:paraId="178B17C0" w14:textId="77777777" w:rsidR="003E2FCA" w:rsidRPr="00C50A02" w:rsidRDefault="003E2FCA" w:rsidP="00C720A8">
            <w:pPr>
              <w:rPr>
                <w:rFonts w:ascii="Tahoma" w:hAnsi="Tahoma" w:cs="Tahoma"/>
                <w:sz w:val="20"/>
                <w:szCs w:val="20"/>
              </w:rPr>
            </w:pPr>
            <w:r w:rsidRPr="00C50A02">
              <w:rPr>
                <w:rFonts w:ascii="Tahoma" w:hAnsi="Tahoma" w:cs="Tahoma"/>
                <w:sz w:val="20"/>
                <w:szCs w:val="20"/>
              </w:rPr>
              <w:t>Турагентства</w:t>
            </w:r>
          </w:p>
        </w:tc>
        <w:tc>
          <w:tcPr>
            <w:tcW w:w="3515" w:type="dxa"/>
            <w:vMerge/>
            <w:tcBorders>
              <w:top w:val="nil"/>
              <w:left w:val="single" w:sz="4" w:space="0" w:color="auto"/>
              <w:bottom w:val="single" w:sz="4" w:space="0" w:color="000000"/>
              <w:right w:val="single" w:sz="4" w:space="0" w:color="auto"/>
            </w:tcBorders>
            <w:vAlign w:val="center"/>
            <w:hideMark/>
          </w:tcPr>
          <w:p w14:paraId="4E1AE90E" w14:textId="77777777" w:rsidR="003E2FCA" w:rsidRDefault="003E2FCA" w:rsidP="00C720A8">
            <w:pPr>
              <w:rPr>
                <w:rFonts w:ascii="Tahoma" w:hAnsi="Tahoma" w:cs="Tahoma"/>
                <w:b/>
                <w:bCs/>
                <w:sz w:val="20"/>
                <w:szCs w:val="20"/>
              </w:rPr>
            </w:pPr>
          </w:p>
        </w:tc>
        <w:tc>
          <w:tcPr>
            <w:tcW w:w="3543" w:type="dxa"/>
            <w:vMerge/>
            <w:tcBorders>
              <w:top w:val="nil"/>
              <w:left w:val="single" w:sz="4" w:space="0" w:color="auto"/>
              <w:bottom w:val="single" w:sz="4" w:space="0" w:color="000000"/>
              <w:right w:val="single" w:sz="4" w:space="0" w:color="auto"/>
            </w:tcBorders>
            <w:vAlign w:val="center"/>
            <w:hideMark/>
          </w:tcPr>
          <w:p w14:paraId="796BA2C9" w14:textId="77777777" w:rsidR="003E2FCA" w:rsidRDefault="003E2FCA" w:rsidP="00C720A8">
            <w:pPr>
              <w:rPr>
                <w:rFonts w:ascii="Tahoma" w:hAnsi="Tahoma" w:cs="Tahoma"/>
                <w:b/>
                <w:bCs/>
                <w:color w:val="000000"/>
                <w:sz w:val="20"/>
                <w:szCs w:val="20"/>
              </w:rPr>
            </w:pPr>
          </w:p>
        </w:tc>
      </w:tr>
      <w:tr w:rsidR="003E2FCA" w14:paraId="7A4AFC06" w14:textId="77777777" w:rsidTr="00C720A8">
        <w:trPr>
          <w:gridAfter w:val="1"/>
          <w:wAfter w:w="22" w:type="dxa"/>
          <w:trHeight w:val="300"/>
        </w:trPr>
        <w:tc>
          <w:tcPr>
            <w:tcW w:w="715" w:type="dxa"/>
            <w:tcBorders>
              <w:top w:val="nil"/>
              <w:left w:val="single" w:sz="4" w:space="0" w:color="auto"/>
              <w:bottom w:val="single" w:sz="4" w:space="0" w:color="auto"/>
              <w:right w:val="single" w:sz="4" w:space="0" w:color="auto"/>
            </w:tcBorders>
            <w:shd w:val="clear" w:color="000000" w:fill="FFFFFF"/>
            <w:noWrap/>
          </w:tcPr>
          <w:p w14:paraId="0B2DC92E" w14:textId="77777777" w:rsidR="003E2FCA" w:rsidRPr="00C50A02" w:rsidRDefault="003E2FCA" w:rsidP="00C720A8">
            <w:pPr>
              <w:rPr>
                <w:rFonts w:ascii="Tahoma" w:hAnsi="Tahoma" w:cs="Tahoma"/>
                <w:sz w:val="20"/>
                <w:szCs w:val="20"/>
              </w:rPr>
            </w:pPr>
            <w:r w:rsidRPr="00C50A02">
              <w:rPr>
                <w:rFonts w:ascii="Tahoma" w:hAnsi="Tahoma" w:cs="Tahoma"/>
                <w:sz w:val="20"/>
                <w:szCs w:val="20"/>
              </w:rPr>
              <w:t>4.16.</w:t>
            </w:r>
          </w:p>
        </w:tc>
        <w:tc>
          <w:tcPr>
            <w:tcW w:w="7536" w:type="dxa"/>
            <w:gridSpan w:val="2"/>
            <w:tcBorders>
              <w:top w:val="nil"/>
              <w:left w:val="nil"/>
              <w:bottom w:val="single" w:sz="4" w:space="0" w:color="auto"/>
              <w:right w:val="single" w:sz="4" w:space="0" w:color="auto"/>
            </w:tcBorders>
            <w:shd w:val="clear" w:color="000000" w:fill="FFFFFF"/>
            <w:noWrap/>
          </w:tcPr>
          <w:p w14:paraId="768BA87F" w14:textId="77777777" w:rsidR="003E2FCA" w:rsidRPr="00C50A02" w:rsidRDefault="003E2FCA" w:rsidP="00C720A8">
            <w:pPr>
              <w:rPr>
                <w:rFonts w:ascii="Tahoma" w:hAnsi="Tahoma" w:cs="Tahoma"/>
                <w:sz w:val="20"/>
                <w:szCs w:val="20"/>
              </w:rPr>
            </w:pPr>
            <w:r w:rsidRPr="00C50A02">
              <w:rPr>
                <w:rFonts w:ascii="Tahoma" w:hAnsi="Tahoma" w:cs="Tahoma"/>
                <w:sz w:val="20"/>
                <w:szCs w:val="20"/>
              </w:rPr>
              <w:t>ЖД билеты</w:t>
            </w:r>
          </w:p>
        </w:tc>
        <w:tc>
          <w:tcPr>
            <w:tcW w:w="3515" w:type="dxa"/>
            <w:vMerge/>
            <w:tcBorders>
              <w:top w:val="nil"/>
              <w:left w:val="single" w:sz="4" w:space="0" w:color="auto"/>
              <w:bottom w:val="single" w:sz="4" w:space="0" w:color="000000"/>
              <w:right w:val="single" w:sz="4" w:space="0" w:color="auto"/>
            </w:tcBorders>
            <w:vAlign w:val="center"/>
          </w:tcPr>
          <w:p w14:paraId="66CC1894" w14:textId="77777777" w:rsidR="003E2FCA" w:rsidRDefault="003E2FCA" w:rsidP="00C720A8">
            <w:pPr>
              <w:rPr>
                <w:rFonts w:ascii="Tahoma" w:hAnsi="Tahoma" w:cs="Tahoma"/>
                <w:b/>
                <w:bCs/>
                <w:sz w:val="20"/>
                <w:szCs w:val="20"/>
              </w:rPr>
            </w:pPr>
          </w:p>
        </w:tc>
        <w:tc>
          <w:tcPr>
            <w:tcW w:w="3543" w:type="dxa"/>
            <w:vMerge/>
            <w:tcBorders>
              <w:top w:val="nil"/>
              <w:left w:val="single" w:sz="4" w:space="0" w:color="auto"/>
              <w:bottom w:val="single" w:sz="4" w:space="0" w:color="000000"/>
              <w:right w:val="single" w:sz="4" w:space="0" w:color="auto"/>
            </w:tcBorders>
            <w:vAlign w:val="center"/>
          </w:tcPr>
          <w:p w14:paraId="3ED7DD20" w14:textId="77777777" w:rsidR="003E2FCA" w:rsidRDefault="003E2FCA" w:rsidP="00C720A8">
            <w:pPr>
              <w:rPr>
                <w:rFonts w:ascii="Tahoma" w:hAnsi="Tahoma" w:cs="Tahoma"/>
                <w:b/>
                <w:bCs/>
                <w:color w:val="000000"/>
                <w:sz w:val="20"/>
                <w:szCs w:val="20"/>
              </w:rPr>
            </w:pPr>
          </w:p>
        </w:tc>
      </w:tr>
      <w:tr w:rsidR="003E2FCA" w14:paraId="1B55BB72" w14:textId="77777777" w:rsidTr="00C720A8">
        <w:trPr>
          <w:gridAfter w:val="1"/>
          <w:wAfter w:w="22" w:type="dxa"/>
          <w:trHeight w:val="300"/>
        </w:trPr>
        <w:tc>
          <w:tcPr>
            <w:tcW w:w="715" w:type="dxa"/>
            <w:tcBorders>
              <w:top w:val="nil"/>
              <w:left w:val="single" w:sz="4" w:space="0" w:color="auto"/>
              <w:bottom w:val="single" w:sz="4" w:space="0" w:color="auto"/>
              <w:right w:val="single" w:sz="4" w:space="0" w:color="auto"/>
            </w:tcBorders>
            <w:shd w:val="clear" w:color="000000" w:fill="FFFFFF"/>
            <w:noWrap/>
          </w:tcPr>
          <w:p w14:paraId="29B3657F" w14:textId="77777777" w:rsidR="003E2FCA" w:rsidRPr="00C50A02" w:rsidRDefault="003E2FCA" w:rsidP="00C720A8">
            <w:pPr>
              <w:rPr>
                <w:rFonts w:ascii="Tahoma" w:hAnsi="Tahoma" w:cs="Tahoma"/>
                <w:sz w:val="20"/>
                <w:szCs w:val="20"/>
              </w:rPr>
            </w:pPr>
            <w:r w:rsidRPr="00C50A02">
              <w:rPr>
                <w:rFonts w:ascii="Tahoma" w:hAnsi="Tahoma" w:cs="Tahoma"/>
                <w:sz w:val="20"/>
                <w:szCs w:val="20"/>
              </w:rPr>
              <w:t>4.17.</w:t>
            </w:r>
          </w:p>
        </w:tc>
        <w:tc>
          <w:tcPr>
            <w:tcW w:w="7536" w:type="dxa"/>
            <w:gridSpan w:val="2"/>
            <w:tcBorders>
              <w:top w:val="nil"/>
              <w:left w:val="nil"/>
              <w:bottom w:val="single" w:sz="4" w:space="0" w:color="auto"/>
              <w:right w:val="single" w:sz="4" w:space="0" w:color="auto"/>
            </w:tcBorders>
            <w:shd w:val="clear" w:color="000000" w:fill="FFFFFF"/>
            <w:noWrap/>
          </w:tcPr>
          <w:p w14:paraId="62498197" w14:textId="77777777" w:rsidR="003E2FCA" w:rsidRPr="00C50A02" w:rsidRDefault="003E2FCA" w:rsidP="00C720A8">
            <w:pPr>
              <w:rPr>
                <w:rFonts w:ascii="Tahoma" w:hAnsi="Tahoma" w:cs="Tahoma"/>
                <w:sz w:val="20"/>
                <w:szCs w:val="20"/>
              </w:rPr>
            </w:pPr>
            <w:r w:rsidRPr="00C50A02">
              <w:rPr>
                <w:rFonts w:ascii="Tahoma" w:hAnsi="Tahoma" w:cs="Tahoma"/>
                <w:sz w:val="20"/>
                <w:szCs w:val="20"/>
              </w:rPr>
              <w:t>Авиабилеты</w:t>
            </w:r>
          </w:p>
        </w:tc>
        <w:tc>
          <w:tcPr>
            <w:tcW w:w="3515" w:type="dxa"/>
            <w:vMerge/>
            <w:tcBorders>
              <w:top w:val="nil"/>
              <w:left w:val="single" w:sz="4" w:space="0" w:color="auto"/>
              <w:bottom w:val="single" w:sz="4" w:space="0" w:color="000000"/>
              <w:right w:val="single" w:sz="4" w:space="0" w:color="auto"/>
            </w:tcBorders>
            <w:vAlign w:val="center"/>
          </w:tcPr>
          <w:p w14:paraId="38FD707F" w14:textId="77777777" w:rsidR="003E2FCA" w:rsidRDefault="003E2FCA" w:rsidP="00C720A8">
            <w:pPr>
              <w:rPr>
                <w:rFonts w:ascii="Tahoma" w:hAnsi="Tahoma" w:cs="Tahoma"/>
                <w:b/>
                <w:bCs/>
                <w:sz w:val="20"/>
                <w:szCs w:val="20"/>
              </w:rPr>
            </w:pPr>
          </w:p>
        </w:tc>
        <w:tc>
          <w:tcPr>
            <w:tcW w:w="3543" w:type="dxa"/>
            <w:vMerge/>
            <w:tcBorders>
              <w:top w:val="nil"/>
              <w:left w:val="single" w:sz="4" w:space="0" w:color="auto"/>
              <w:bottom w:val="single" w:sz="4" w:space="0" w:color="000000"/>
              <w:right w:val="single" w:sz="4" w:space="0" w:color="auto"/>
            </w:tcBorders>
            <w:vAlign w:val="center"/>
          </w:tcPr>
          <w:p w14:paraId="6DD18E87" w14:textId="77777777" w:rsidR="003E2FCA" w:rsidRDefault="003E2FCA" w:rsidP="00C720A8">
            <w:pPr>
              <w:rPr>
                <w:rFonts w:ascii="Tahoma" w:hAnsi="Tahoma" w:cs="Tahoma"/>
                <w:b/>
                <w:bCs/>
                <w:color w:val="000000"/>
                <w:sz w:val="20"/>
                <w:szCs w:val="20"/>
              </w:rPr>
            </w:pPr>
          </w:p>
        </w:tc>
      </w:tr>
      <w:tr w:rsidR="003E2FCA" w14:paraId="1D0CE28F" w14:textId="77777777" w:rsidTr="00C720A8">
        <w:trPr>
          <w:gridAfter w:val="1"/>
          <w:wAfter w:w="22" w:type="dxa"/>
          <w:trHeight w:val="300"/>
        </w:trPr>
        <w:tc>
          <w:tcPr>
            <w:tcW w:w="715" w:type="dxa"/>
            <w:tcBorders>
              <w:top w:val="nil"/>
              <w:left w:val="single" w:sz="4" w:space="0" w:color="auto"/>
              <w:bottom w:val="single" w:sz="4" w:space="0" w:color="auto"/>
              <w:right w:val="single" w:sz="4" w:space="0" w:color="auto"/>
            </w:tcBorders>
            <w:shd w:val="clear" w:color="000000" w:fill="FFFFFF"/>
            <w:noWrap/>
          </w:tcPr>
          <w:p w14:paraId="4304B531" w14:textId="77777777" w:rsidR="003E2FCA" w:rsidRPr="00C50A02" w:rsidRDefault="003E2FCA" w:rsidP="00C720A8">
            <w:pPr>
              <w:rPr>
                <w:rFonts w:ascii="Tahoma" w:hAnsi="Tahoma" w:cs="Tahoma"/>
                <w:sz w:val="20"/>
                <w:szCs w:val="20"/>
              </w:rPr>
            </w:pPr>
            <w:r w:rsidRPr="00C50A02">
              <w:rPr>
                <w:rFonts w:ascii="Tahoma" w:hAnsi="Tahoma" w:cs="Tahoma"/>
                <w:sz w:val="20"/>
                <w:szCs w:val="20"/>
              </w:rPr>
              <w:t>4.18.</w:t>
            </w:r>
          </w:p>
        </w:tc>
        <w:tc>
          <w:tcPr>
            <w:tcW w:w="7536" w:type="dxa"/>
            <w:gridSpan w:val="2"/>
            <w:tcBorders>
              <w:top w:val="nil"/>
              <w:left w:val="nil"/>
              <w:bottom w:val="single" w:sz="4" w:space="0" w:color="auto"/>
              <w:right w:val="single" w:sz="4" w:space="0" w:color="auto"/>
            </w:tcBorders>
            <w:shd w:val="clear" w:color="000000" w:fill="FFFFFF"/>
            <w:noWrap/>
          </w:tcPr>
          <w:p w14:paraId="26A7FC28" w14:textId="77777777" w:rsidR="003E2FCA" w:rsidRPr="00C50A02" w:rsidRDefault="003E2FCA" w:rsidP="00C720A8">
            <w:pPr>
              <w:rPr>
                <w:rFonts w:ascii="Tahoma" w:hAnsi="Tahoma" w:cs="Tahoma"/>
                <w:sz w:val="20"/>
                <w:szCs w:val="20"/>
              </w:rPr>
            </w:pPr>
            <w:r w:rsidRPr="00C50A02">
              <w:rPr>
                <w:rFonts w:ascii="Tahoma" w:hAnsi="Tahoma" w:cs="Tahoma"/>
                <w:sz w:val="20"/>
                <w:szCs w:val="20"/>
              </w:rPr>
              <w:t>Отели</w:t>
            </w:r>
          </w:p>
        </w:tc>
        <w:tc>
          <w:tcPr>
            <w:tcW w:w="3515" w:type="dxa"/>
            <w:vMerge/>
            <w:tcBorders>
              <w:top w:val="nil"/>
              <w:left w:val="single" w:sz="4" w:space="0" w:color="auto"/>
              <w:bottom w:val="single" w:sz="4" w:space="0" w:color="000000"/>
              <w:right w:val="single" w:sz="4" w:space="0" w:color="auto"/>
            </w:tcBorders>
            <w:vAlign w:val="center"/>
          </w:tcPr>
          <w:p w14:paraId="15815ED4" w14:textId="77777777" w:rsidR="003E2FCA" w:rsidRDefault="003E2FCA" w:rsidP="00C720A8">
            <w:pPr>
              <w:rPr>
                <w:rFonts w:ascii="Tahoma" w:hAnsi="Tahoma" w:cs="Tahoma"/>
                <w:b/>
                <w:bCs/>
                <w:sz w:val="20"/>
                <w:szCs w:val="20"/>
              </w:rPr>
            </w:pPr>
          </w:p>
        </w:tc>
        <w:tc>
          <w:tcPr>
            <w:tcW w:w="3543" w:type="dxa"/>
            <w:vMerge/>
            <w:tcBorders>
              <w:top w:val="nil"/>
              <w:left w:val="single" w:sz="4" w:space="0" w:color="auto"/>
              <w:bottom w:val="single" w:sz="4" w:space="0" w:color="000000"/>
              <w:right w:val="single" w:sz="4" w:space="0" w:color="auto"/>
            </w:tcBorders>
            <w:vAlign w:val="center"/>
          </w:tcPr>
          <w:p w14:paraId="1F1FABC2" w14:textId="77777777" w:rsidR="003E2FCA" w:rsidRDefault="003E2FCA" w:rsidP="00C720A8">
            <w:pPr>
              <w:rPr>
                <w:rFonts w:ascii="Tahoma" w:hAnsi="Tahoma" w:cs="Tahoma"/>
                <w:b/>
                <w:bCs/>
                <w:color w:val="000000"/>
                <w:sz w:val="20"/>
                <w:szCs w:val="20"/>
              </w:rPr>
            </w:pPr>
          </w:p>
        </w:tc>
      </w:tr>
      <w:tr w:rsidR="003E2FCA" w14:paraId="3F7EBDE4" w14:textId="77777777" w:rsidTr="00C720A8">
        <w:trPr>
          <w:gridAfter w:val="1"/>
          <w:wAfter w:w="22" w:type="dxa"/>
          <w:trHeight w:val="300"/>
        </w:trPr>
        <w:tc>
          <w:tcPr>
            <w:tcW w:w="715" w:type="dxa"/>
            <w:tcBorders>
              <w:top w:val="nil"/>
              <w:left w:val="single" w:sz="4" w:space="0" w:color="auto"/>
              <w:bottom w:val="single" w:sz="4" w:space="0" w:color="auto"/>
              <w:right w:val="single" w:sz="4" w:space="0" w:color="auto"/>
            </w:tcBorders>
            <w:shd w:val="clear" w:color="000000" w:fill="FFFFFF"/>
            <w:noWrap/>
          </w:tcPr>
          <w:p w14:paraId="125C3A74" w14:textId="77777777" w:rsidR="003E2FCA" w:rsidRPr="00C50A02" w:rsidRDefault="003E2FCA" w:rsidP="00C720A8">
            <w:pPr>
              <w:rPr>
                <w:rFonts w:ascii="Tahoma" w:hAnsi="Tahoma" w:cs="Tahoma"/>
                <w:sz w:val="20"/>
                <w:szCs w:val="20"/>
              </w:rPr>
            </w:pPr>
            <w:r w:rsidRPr="00C50A02">
              <w:rPr>
                <w:rFonts w:ascii="Tahoma" w:hAnsi="Tahoma" w:cs="Tahoma"/>
                <w:sz w:val="20"/>
                <w:szCs w:val="20"/>
              </w:rPr>
              <w:t>4.19.</w:t>
            </w:r>
          </w:p>
        </w:tc>
        <w:tc>
          <w:tcPr>
            <w:tcW w:w="7536" w:type="dxa"/>
            <w:gridSpan w:val="2"/>
            <w:tcBorders>
              <w:top w:val="nil"/>
              <w:left w:val="nil"/>
              <w:bottom w:val="single" w:sz="4" w:space="0" w:color="auto"/>
              <w:right w:val="single" w:sz="4" w:space="0" w:color="auto"/>
            </w:tcBorders>
            <w:shd w:val="clear" w:color="000000" w:fill="FFFFFF"/>
            <w:noWrap/>
          </w:tcPr>
          <w:p w14:paraId="773B37F3" w14:textId="77777777" w:rsidR="003E2FCA" w:rsidRPr="00C50A02" w:rsidRDefault="003E2FCA" w:rsidP="00C720A8">
            <w:pPr>
              <w:rPr>
                <w:rFonts w:ascii="Tahoma" w:hAnsi="Tahoma" w:cs="Tahoma"/>
                <w:sz w:val="20"/>
                <w:szCs w:val="20"/>
              </w:rPr>
            </w:pPr>
            <w:r w:rsidRPr="00C50A02">
              <w:rPr>
                <w:rFonts w:ascii="Tahoma" w:hAnsi="Tahoma" w:cs="Tahoma"/>
                <w:sz w:val="20"/>
                <w:szCs w:val="20"/>
              </w:rPr>
              <w:t>Цветы</w:t>
            </w:r>
          </w:p>
        </w:tc>
        <w:tc>
          <w:tcPr>
            <w:tcW w:w="3515" w:type="dxa"/>
            <w:vMerge/>
            <w:tcBorders>
              <w:top w:val="nil"/>
              <w:left w:val="single" w:sz="4" w:space="0" w:color="auto"/>
              <w:bottom w:val="single" w:sz="4" w:space="0" w:color="000000"/>
              <w:right w:val="single" w:sz="4" w:space="0" w:color="auto"/>
            </w:tcBorders>
            <w:vAlign w:val="center"/>
          </w:tcPr>
          <w:p w14:paraId="35DE4DE1" w14:textId="77777777" w:rsidR="003E2FCA" w:rsidRDefault="003E2FCA" w:rsidP="00C720A8">
            <w:pPr>
              <w:rPr>
                <w:rFonts w:ascii="Tahoma" w:hAnsi="Tahoma" w:cs="Tahoma"/>
                <w:b/>
                <w:bCs/>
                <w:sz w:val="20"/>
                <w:szCs w:val="20"/>
              </w:rPr>
            </w:pPr>
          </w:p>
        </w:tc>
        <w:tc>
          <w:tcPr>
            <w:tcW w:w="3543" w:type="dxa"/>
            <w:vMerge/>
            <w:tcBorders>
              <w:top w:val="nil"/>
              <w:left w:val="single" w:sz="4" w:space="0" w:color="auto"/>
              <w:bottom w:val="single" w:sz="4" w:space="0" w:color="000000"/>
              <w:right w:val="single" w:sz="4" w:space="0" w:color="auto"/>
            </w:tcBorders>
            <w:vAlign w:val="center"/>
          </w:tcPr>
          <w:p w14:paraId="2C5E7A18" w14:textId="77777777" w:rsidR="003E2FCA" w:rsidRDefault="003E2FCA" w:rsidP="00C720A8">
            <w:pPr>
              <w:rPr>
                <w:rFonts w:ascii="Tahoma" w:hAnsi="Tahoma" w:cs="Tahoma"/>
                <w:b/>
                <w:bCs/>
                <w:color w:val="000000"/>
                <w:sz w:val="20"/>
                <w:szCs w:val="20"/>
              </w:rPr>
            </w:pPr>
          </w:p>
        </w:tc>
      </w:tr>
      <w:tr w:rsidR="003E2FCA" w14:paraId="7AB5AEB7" w14:textId="77777777" w:rsidTr="00C720A8">
        <w:trPr>
          <w:gridAfter w:val="1"/>
          <w:wAfter w:w="22" w:type="dxa"/>
          <w:trHeight w:val="345"/>
        </w:trPr>
        <w:tc>
          <w:tcPr>
            <w:tcW w:w="715" w:type="dxa"/>
            <w:tcBorders>
              <w:top w:val="single" w:sz="4" w:space="0" w:color="auto"/>
              <w:left w:val="single" w:sz="4" w:space="0" w:color="auto"/>
              <w:bottom w:val="single" w:sz="4" w:space="0" w:color="auto"/>
              <w:right w:val="single" w:sz="4" w:space="0" w:color="auto"/>
            </w:tcBorders>
            <w:shd w:val="clear" w:color="000000" w:fill="FFFFFF"/>
            <w:noWrap/>
            <w:hideMark/>
          </w:tcPr>
          <w:p w14:paraId="7C479F21" w14:textId="77777777" w:rsidR="003E2FCA" w:rsidRPr="00C50A02" w:rsidRDefault="003E2FCA" w:rsidP="00C720A8">
            <w:pPr>
              <w:rPr>
                <w:rFonts w:ascii="Tahoma" w:hAnsi="Tahoma" w:cs="Tahoma"/>
                <w:sz w:val="20"/>
                <w:szCs w:val="20"/>
              </w:rPr>
            </w:pPr>
            <w:r w:rsidRPr="00C50A02">
              <w:rPr>
                <w:rFonts w:ascii="Tahoma" w:hAnsi="Tahoma" w:cs="Tahoma"/>
                <w:sz w:val="20"/>
                <w:szCs w:val="20"/>
              </w:rPr>
              <w:t>4.20.</w:t>
            </w:r>
          </w:p>
        </w:tc>
        <w:tc>
          <w:tcPr>
            <w:tcW w:w="7536" w:type="dxa"/>
            <w:gridSpan w:val="2"/>
            <w:tcBorders>
              <w:top w:val="single" w:sz="4" w:space="0" w:color="auto"/>
              <w:left w:val="single" w:sz="4" w:space="0" w:color="auto"/>
              <w:bottom w:val="single" w:sz="4" w:space="0" w:color="auto"/>
              <w:right w:val="single" w:sz="4" w:space="0" w:color="auto"/>
            </w:tcBorders>
            <w:shd w:val="clear" w:color="000000" w:fill="FFFFFF"/>
            <w:noWrap/>
            <w:hideMark/>
          </w:tcPr>
          <w:p w14:paraId="62B0A3E1" w14:textId="77777777" w:rsidR="003E2FCA" w:rsidRPr="00C50A02" w:rsidRDefault="003E2FCA" w:rsidP="00C720A8">
            <w:pPr>
              <w:rPr>
                <w:rFonts w:ascii="Tahoma" w:hAnsi="Tahoma" w:cs="Tahoma"/>
                <w:sz w:val="20"/>
                <w:szCs w:val="20"/>
              </w:rPr>
            </w:pPr>
            <w:r w:rsidRPr="00C50A02">
              <w:rPr>
                <w:rFonts w:ascii="Tahoma" w:hAnsi="Tahoma" w:cs="Tahoma"/>
                <w:sz w:val="20"/>
                <w:szCs w:val="20"/>
              </w:rPr>
              <w:t>Супермаркеты</w:t>
            </w:r>
          </w:p>
        </w:tc>
        <w:tc>
          <w:tcPr>
            <w:tcW w:w="3515" w:type="dxa"/>
            <w:vMerge/>
            <w:tcBorders>
              <w:top w:val="nil"/>
              <w:left w:val="single" w:sz="4" w:space="0" w:color="auto"/>
              <w:bottom w:val="single" w:sz="4" w:space="0" w:color="000000"/>
              <w:right w:val="single" w:sz="4" w:space="0" w:color="auto"/>
            </w:tcBorders>
            <w:vAlign w:val="center"/>
            <w:hideMark/>
          </w:tcPr>
          <w:p w14:paraId="2D8BE859" w14:textId="77777777" w:rsidR="003E2FCA" w:rsidRDefault="003E2FCA" w:rsidP="00C720A8">
            <w:pPr>
              <w:rPr>
                <w:rFonts w:ascii="Tahoma" w:hAnsi="Tahoma" w:cs="Tahoma"/>
                <w:b/>
                <w:bCs/>
                <w:sz w:val="20"/>
                <w:szCs w:val="20"/>
              </w:rPr>
            </w:pPr>
          </w:p>
        </w:tc>
        <w:tc>
          <w:tcPr>
            <w:tcW w:w="3543" w:type="dxa"/>
            <w:vMerge/>
            <w:tcBorders>
              <w:top w:val="nil"/>
              <w:left w:val="single" w:sz="4" w:space="0" w:color="auto"/>
              <w:bottom w:val="single" w:sz="4" w:space="0" w:color="000000"/>
              <w:right w:val="single" w:sz="4" w:space="0" w:color="auto"/>
            </w:tcBorders>
            <w:vAlign w:val="center"/>
            <w:hideMark/>
          </w:tcPr>
          <w:p w14:paraId="6B5D709A" w14:textId="77777777" w:rsidR="003E2FCA" w:rsidRDefault="003E2FCA" w:rsidP="00C720A8">
            <w:pPr>
              <w:rPr>
                <w:rFonts w:ascii="Tahoma" w:hAnsi="Tahoma" w:cs="Tahoma"/>
                <w:b/>
                <w:bCs/>
                <w:color w:val="000000"/>
                <w:sz w:val="20"/>
                <w:szCs w:val="20"/>
              </w:rPr>
            </w:pPr>
          </w:p>
        </w:tc>
      </w:tr>
      <w:tr w:rsidR="003E2FCA" w14:paraId="6F51701C" w14:textId="77777777" w:rsidTr="00C720A8">
        <w:trPr>
          <w:gridAfter w:val="1"/>
          <w:wAfter w:w="22" w:type="dxa"/>
          <w:trHeight w:val="300"/>
        </w:trPr>
        <w:tc>
          <w:tcPr>
            <w:tcW w:w="715" w:type="dxa"/>
            <w:tcBorders>
              <w:top w:val="nil"/>
              <w:left w:val="single" w:sz="4" w:space="0" w:color="auto"/>
              <w:bottom w:val="single" w:sz="4" w:space="0" w:color="auto"/>
              <w:right w:val="single" w:sz="4" w:space="0" w:color="auto"/>
            </w:tcBorders>
            <w:shd w:val="clear" w:color="000000" w:fill="808080"/>
            <w:noWrap/>
            <w:vAlign w:val="center"/>
            <w:hideMark/>
          </w:tcPr>
          <w:p w14:paraId="26FC9C8A" w14:textId="77777777" w:rsidR="003E2FCA" w:rsidRDefault="003E2FCA" w:rsidP="00C720A8">
            <w:pPr>
              <w:jc w:val="center"/>
              <w:rPr>
                <w:rFonts w:ascii="Tahoma" w:hAnsi="Tahoma" w:cs="Tahoma"/>
                <w:b/>
                <w:bCs/>
                <w:color w:val="FFFFFF"/>
                <w:sz w:val="20"/>
                <w:szCs w:val="20"/>
              </w:rPr>
            </w:pPr>
            <w:r>
              <w:rPr>
                <w:rFonts w:ascii="Tahoma" w:hAnsi="Tahoma" w:cs="Tahoma"/>
                <w:b/>
                <w:bCs/>
                <w:color w:val="FFFFFF"/>
                <w:sz w:val="20"/>
                <w:szCs w:val="20"/>
              </w:rPr>
              <w:t>5.</w:t>
            </w:r>
          </w:p>
        </w:tc>
        <w:tc>
          <w:tcPr>
            <w:tcW w:w="14594" w:type="dxa"/>
            <w:gridSpan w:val="4"/>
            <w:tcBorders>
              <w:top w:val="single" w:sz="4" w:space="0" w:color="auto"/>
              <w:left w:val="nil"/>
              <w:bottom w:val="single" w:sz="4" w:space="0" w:color="auto"/>
              <w:right w:val="single" w:sz="4" w:space="0" w:color="000000"/>
            </w:tcBorders>
            <w:shd w:val="clear" w:color="000000" w:fill="808080"/>
            <w:noWrap/>
            <w:vAlign w:val="center"/>
            <w:hideMark/>
          </w:tcPr>
          <w:p w14:paraId="440E2FED" w14:textId="77777777" w:rsidR="003E2FCA" w:rsidRDefault="003E2FCA" w:rsidP="00C720A8">
            <w:pPr>
              <w:rPr>
                <w:rFonts w:ascii="Tahoma" w:hAnsi="Tahoma" w:cs="Tahoma"/>
                <w:b/>
                <w:bCs/>
                <w:color w:val="FFFFFF"/>
                <w:sz w:val="20"/>
                <w:szCs w:val="20"/>
              </w:rPr>
            </w:pPr>
            <w:r>
              <w:rPr>
                <w:rFonts w:ascii="Tahoma" w:hAnsi="Tahoma" w:cs="Tahoma"/>
                <w:b/>
                <w:bCs/>
                <w:color w:val="FFFFFF"/>
                <w:sz w:val="20"/>
                <w:szCs w:val="20"/>
              </w:rPr>
              <w:t>Перечень МСС-кодов по категориям</w:t>
            </w:r>
          </w:p>
        </w:tc>
      </w:tr>
      <w:tr w:rsidR="003E2FCA" w14:paraId="019F3B79" w14:textId="77777777" w:rsidTr="00C720A8">
        <w:trPr>
          <w:trHeight w:val="872"/>
        </w:trPr>
        <w:tc>
          <w:tcPr>
            <w:tcW w:w="71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246DA49" w14:textId="77777777" w:rsidR="003E2FCA" w:rsidRPr="00AD3D6C" w:rsidRDefault="003E2FCA" w:rsidP="00C720A8">
            <w:pPr>
              <w:jc w:val="center"/>
              <w:rPr>
                <w:rFonts w:ascii="Tahoma" w:hAnsi="Tahoma" w:cs="Tahoma"/>
                <w:sz w:val="20"/>
                <w:szCs w:val="20"/>
              </w:rPr>
            </w:pPr>
            <w:r w:rsidRPr="00AD3D6C">
              <w:rPr>
                <w:rFonts w:ascii="Tahoma" w:hAnsi="Tahoma" w:cs="Tahoma"/>
                <w:sz w:val="20"/>
                <w:szCs w:val="20"/>
              </w:rPr>
              <w:t>5.1.</w:t>
            </w:r>
          </w:p>
        </w:tc>
        <w:tc>
          <w:tcPr>
            <w:tcW w:w="750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330DC98" w14:textId="77777777" w:rsidR="003E2FCA" w:rsidRPr="00AD3D6C" w:rsidRDefault="003E2FCA" w:rsidP="00C720A8">
            <w:pPr>
              <w:rPr>
                <w:rFonts w:ascii="Tahoma" w:hAnsi="Tahoma" w:cs="Tahoma"/>
                <w:sz w:val="20"/>
                <w:szCs w:val="20"/>
              </w:rPr>
            </w:pPr>
            <w:r w:rsidRPr="00AD3D6C">
              <w:rPr>
                <w:rFonts w:ascii="Tahoma" w:hAnsi="Tahoma" w:cs="Tahoma"/>
                <w:b/>
                <w:bCs/>
                <w:sz w:val="20"/>
                <w:szCs w:val="20"/>
              </w:rPr>
              <w:t>Аптеки и оптики:</w:t>
            </w:r>
            <w:r w:rsidRPr="00AD3D6C">
              <w:rPr>
                <w:rFonts w:ascii="Tahoma" w:hAnsi="Tahoma" w:cs="Tahoma"/>
                <w:sz w:val="20"/>
                <w:szCs w:val="20"/>
              </w:rPr>
              <w:t xml:space="preserve"> лекарства, слуховые аппараты, ортопедические товары, оптические товары </w:t>
            </w:r>
          </w:p>
        </w:tc>
        <w:tc>
          <w:tcPr>
            <w:tcW w:w="7109" w:type="dxa"/>
            <w:gridSpan w:val="4"/>
            <w:tcBorders>
              <w:top w:val="single" w:sz="4" w:space="0" w:color="auto"/>
              <w:left w:val="single" w:sz="4" w:space="0" w:color="auto"/>
              <w:bottom w:val="single" w:sz="4" w:space="0" w:color="auto"/>
              <w:right w:val="single" w:sz="4" w:space="0" w:color="000000"/>
            </w:tcBorders>
            <w:shd w:val="clear" w:color="000000" w:fill="FFFFFF"/>
            <w:vAlign w:val="center"/>
            <w:hideMark/>
          </w:tcPr>
          <w:p w14:paraId="548B5DED" w14:textId="77777777" w:rsidR="003E2FCA" w:rsidRPr="00AD3D6C" w:rsidRDefault="003E2FCA" w:rsidP="00C720A8">
            <w:pPr>
              <w:jc w:val="center"/>
              <w:rPr>
                <w:rFonts w:ascii="Tahoma" w:hAnsi="Tahoma" w:cs="Tahoma"/>
                <w:sz w:val="20"/>
                <w:szCs w:val="20"/>
              </w:rPr>
            </w:pPr>
            <w:r w:rsidRPr="00AD3D6C">
              <w:rPr>
                <w:rFonts w:ascii="Tahoma" w:hAnsi="Tahoma" w:cs="Tahoma"/>
                <w:sz w:val="20"/>
                <w:szCs w:val="20"/>
              </w:rPr>
              <w:t>5122, 5912, 5975, 5976, 8043, 8044</w:t>
            </w:r>
          </w:p>
        </w:tc>
      </w:tr>
      <w:tr w:rsidR="003E2FCA" w14:paraId="6BCBF7F3" w14:textId="77777777" w:rsidTr="00C720A8">
        <w:trPr>
          <w:trHeight w:val="872"/>
        </w:trPr>
        <w:tc>
          <w:tcPr>
            <w:tcW w:w="71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4B9336C" w14:textId="77777777" w:rsidR="003E2FCA" w:rsidRPr="00AD3D6C" w:rsidRDefault="003E2FCA" w:rsidP="00C720A8">
            <w:pPr>
              <w:jc w:val="center"/>
              <w:rPr>
                <w:rFonts w:ascii="Tahoma" w:hAnsi="Tahoma" w:cs="Tahoma"/>
                <w:sz w:val="20"/>
                <w:szCs w:val="20"/>
              </w:rPr>
            </w:pPr>
            <w:r w:rsidRPr="00AD3D6C">
              <w:rPr>
                <w:rFonts w:ascii="Tahoma" w:hAnsi="Tahoma" w:cs="Tahoma"/>
                <w:sz w:val="20"/>
                <w:szCs w:val="20"/>
              </w:rPr>
              <w:t>5.2.</w:t>
            </w:r>
          </w:p>
        </w:tc>
        <w:tc>
          <w:tcPr>
            <w:tcW w:w="750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FF6A55A" w14:textId="77777777" w:rsidR="003E2FCA" w:rsidRPr="00AD3D6C" w:rsidRDefault="003E2FCA" w:rsidP="00C720A8">
            <w:pPr>
              <w:rPr>
                <w:rFonts w:ascii="Tahoma" w:hAnsi="Tahoma" w:cs="Tahoma"/>
                <w:sz w:val="20"/>
                <w:szCs w:val="20"/>
              </w:rPr>
            </w:pPr>
            <w:r w:rsidRPr="00AD3D6C">
              <w:rPr>
                <w:rFonts w:ascii="Tahoma" w:hAnsi="Tahoma" w:cs="Tahoma"/>
                <w:b/>
                <w:bCs/>
                <w:sz w:val="20"/>
                <w:szCs w:val="20"/>
              </w:rPr>
              <w:t>Дом, ремонт:</w:t>
            </w:r>
            <w:r w:rsidRPr="00AD3D6C">
              <w:rPr>
                <w:rFonts w:ascii="Tahoma" w:hAnsi="Tahoma" w:cs="Tahoma"/>
                <w:sz w:val="20"/>
                <w:szCs w:val="20"/>
              </w:rPr>
              <w:t xml:space="preserve"> мебель, товары для дома и ремонта, дачи и сада</w:t>
            </w:r>
          </w:p>
        </w:tc>
        <w:tc>
          <w:tcPr>
            <w:tcW w:w="7109" w:type="dxa"/>
            <w:gridSpan w:val="4"/>
            <w:tcBorders>
              <w:top w:val="single" w:sz="4" w:space="0" w:color="auto"/>
              <w:left w:val="single" w:sz="4" w:space="0" w:color="auto"/>
              <w:bottom w:val="single" w:sz="4" w:space="0" w:color="auto"/>
              <w:right w:val="single" w:sz="4" w:space="0" w:color="000000"/>
            </w:tcBorders>
            <w:shd w:val="clear" w:color="000000" w:fill="FFFFFF"/>
            <w:vAlign w:val="center"/>
            <w:hideMark/>
          </w:tcPr>
          <w:p w14:paraId="14326150" w14:textId="77777777" w:rsidR="003E2FCA" w:rsidRPr="00AD3D6C" w:rsidRDefault="003E2FCA" w:rsidP="00C720A8">
            <w:pPr>
              <w:jc w:val="center"/>
              <w:rPr>
                <w:rFonts w:ascii="Tahoma" w:hAnsi="Tahoma" w:cs="Tahoma"/>
                <w:sz w:val="20"/>
                <w:szCs w:val="20"/>
              </w:rPr>
            </w:pPr>
            <w:r w:rsidRPr="00AD3D6C">
              <w:rPr>
                <w:rFonts w:ascii="Tahoma" w:hAnsi="Tahoma" w:cs="Tahoma"/>
                <w:sz w:val="20"/>
                <w:szCs w:val="20"/>
              </w:rPr>
              <w:t>1520, 1711, 1731, 1740, 1750, 1761, 1771, 1799, 2791, 2842, 5021, 5039, 5046, 5051, 5065, 5072, 5074, 5085, 5198, 5200, 5211, 5231, 5251, 5261, 5415, 5712, 5713, 5714, 5718, 5719, 5722, 7622,7623, 7629, 7641,7692, 7699</w:t>
            </w:r>
          </w:p>
        </w:tc>
      </w:tr>
      <w:tr w:rsidR="003E2FCA" w14:paraId="1C3F1C8C" w14:textId="77777777" w:rsidTr="00C720A8">
        <w:trPr>
          <w:trHeight w:val="681"/>
        </w:trPr>
        <w:tc>
          <w:tcPr>
            <w:tcW w:w="71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AF426D5" w14:textId="77777777" w:rsidR="003E2FCA" w:rsidRPr="00AD3D6C" w:rsidRDefault="003E2FCA" w:rsidP="00C720A8">
            <w:pPr>
              <w:jc w:val="center"/>
              <w:rPr>
                <w:rFonts w:ascii="Tahoma" w:hAnsi="Tahoma" w:cs="Tahoma"/>
                <w:sz w:val="20"/>
                <w:szCs w:val="20"/>
              </w:rPr>
            </w:pPr>
            <w:r w:rsidRPr="00AD3D6C">
              <w:rPr>
                <w:rFonts w:ascii="Tahoma" w:hAnsi="Tahoma" w:cs="Tahoma"/>
                <w:sz w:val="20"/>
                <w:szCs w:val="20"/>
              </w:rPr>
              <w:t>5.3.</w:t>
            </w:r>
          </w:p>
        </w:tc>
        <w:tc>
          <w:tcPr>
            <w:tcW w:w="7507" w:type="dxa"/>
            <w:tcBorders>
              <w:top w:val="single" w:sz="4" w:space="0" w:color="auto"/>
              <w:left w:val="nil"/>
              <w:bottom w:val="single" w:sz="4" w:space="0" w:color="auto"/>
              <w:right w:val="single" w:sz="4" w:space="0" w:color="auto"/>
            </w:tcBorders>
            <w:shd w:val="clear" w:color="000000" w:fill="FFFFFF"/>
            <w:vAlign w:val="center"/>
            <w:hideMark/>
          </w:tcPr>
          <w:p w14:paraId="53826F1A" w14:textId="77777777" w:rsidR="003E2FCA" w:rsidRPr="00AD3D6C" w:rsidRDefault="003E2FCA" w:rsidP="00C720A8">
            <w:pPr>
              <w:rPr>
                <w:rFonts w:ascii="Tahoma" w:hAnsi="Tahoma" w:cs="Tahoma"/>
                <w:sz w:val="20"/>
                <w:szCs w:val="20"/>
              </w:rPr>
            </w:pPr>
            <w:r w:rsidRPr="00AD3D6C">
              <w:rPr>
                <w:rFonts w:ascii="Tahoma" w:hAnsi="Tahoma" w:cs="Tahoma"/>
                <w:b/>
                <w:bCs/>
                <w:sz w:val="20"/>
                <w:szCs w:val="20"/>
              </w:rPr>
              <w:t>АЗС:</w:t>
            </w:r>
            <w:r w:rsidRPr="00AD3D6C">
              <w:rPr>
                <w:rFonts w:ascii="Tahoma" w:hAnsi="Tahoma" w:cs="Tahoma"/>
                <w:sz w:val="20"/>
                <w:szCs w:val="20"/>
              </w:rPr>
              <w:t xml:space="preserve"> АЗС и нефтепродукты</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hideMark/>
          </w:tcPr>
          <w:p w14:paraId="4DED1B5A" w14:textId="77777777" w:rsidR="003E2FCA" w:rsidRPr="00AD3D6C" w:rsidRDefault="003E2FCA" w:rsidP="00C720A8">
            <w:pPr>
              <w:jc w:val="center"/>
              <w:rPr>
                <w:rFonts w:ascii="Tahoma" w:hAnsi="Tahoma" w:cs="Tahoma"/>
                <w:sz w:val="20"/>
                <w:szCs w:val="20"/>
              </w:rPr>
            </w:pPr>
            <w:r w:rsidRPr="00AD3D6C">
              <w:rPr>
                <w:rFonts w:ascii="Tahoma" w:hAnsi="Tahoma" w:cs="Tahoma"/>
                <w:sz w:val="20"/>
                <w:szCs w:val="20"/>
              </w:rPr>
              <w:t>5172, 5541, 5542, 5983</w:t>
            </w:r>
          </w:p>
        </w:tc>
      </w:tr>
      <w:tr w:rsidR="003E2FCA" w14:paraId="4A371E44" w14:textId="77777777" w:rsidTr="00C720A8">
        <w:trPr>
          <w:trHeight w:val="705"/>
        </w:trPr>
        <w:tc>
          <w:tcPr>
            <w:tcW w:w="715" w:type="dxa"/>
            <w:tcBorders>
              <w:top w:val="nil"/>
              <w:left w:val="single" w:sz="4" w:space="0" w:color="auto"/>
              <w:bottom w:val="single" w:sz="4" w:space="0" w:color="auto"/>
              <w:right w:val="single" w:sz="4" w:space="0" w:color="auto"/>
            </w:tcBorders>
            <w:shd w:val="clear" w:color="000000" w:fill="FFFFFF"/>
            <w:noWrap/>
            <w:vAlign w:val="center"/>
            <w:hideMark/>
          </w:tcPr>
          <w:p w14:paraId="3C36D9F6" w14:textId="77777777" w:rsidR="003E2FCA" w:rsidRPr="00AD3D6C" w:rsidRDefault="003E2FCA" w:rsidP="00C720A8">
            <w:pPr>
              <w:jc w:val="center"/>
              <w:rPr>
                <w:rFonts w:ascii="Tahoma" w:hAnsi="Tahoma" w:cs="Tahoma"/>
                <w:sz w:val="20"/>
                <w:szCs w:val="20"/>
              </w:rPr>
            </w:pPr>
            <w:r w:rsidRPr="00AD3D6C">
              <w:rPr>
                <w:rFonts w:ascii="Tahoma" w:hAnsi="Tahoma" w:cs="Tahoma"/>
                <w:sz w:val="20"/>
                <w:szCs w:val="20"/>
              </w:rPr>
              <w:t>5.4.</w:t>
            </w:r>
          </w:p>
        </w:tc>
        <w:tc>
          <w:tcPr>
            <w:tcW w:w="7507" w:type="dxa"/>
            <w:tcBorders>
              <w:top w:val="nil"/>
              <w:left w:val="nil"/>
              <w:bottom w:val="single" w:sz="4" w:space="0" w:color="auto"/>
              <w:right w:val="single" w:sz="4" w:space="0" w:color="auto"/>
            </w:tcBorders>
            <w:shd w:val="clear" w:color="000000" w:fill="FFFFFF"/>
            <w:vAlign w:val="center"/>
            <w:hideMark/>
          </w:tcPr>
          <w:p w14:paraId="1F548790" w14:textId="77777777" w:rsidR="003E2FCA" w:rsidRPr="00AD3D6C" w:rsidRDefault="003E2FCA" w:rsidP="00C720A8">
            <w:pPr>
              <w:rPr>
                <w:rFonts w:ascii="Tahoma" w:hAnsi="Tahoma" w:cs="Tahoma"/>
                <w:sz w:val="20"/>
                <w:szCs w:val="20"/>
              </w:rPr>
            </w:pPr>
            <w:r w:rsidRPr="00AD3D6C">
              <w:rPr>
                <w:rFonts w:ascii="Tahoma" w:hAnsi="Tahoma" w:cs="Tahoma"/>
                <w:b/>
                <w:bCs/>
                <w:sz w:val="20"/>
                <w:szCs w:val="20"/>
              </w:rPr>
              <w:t>Автоуслуги и запчасти:</w:t>
            </w:r>
            <w:r w:rsidRPr="00AD3D6C">
              <w:rPr>
                <w:rFonts w:ascii="Tahoma" w:hAnsi="Tahoma" w:cs="Tahoma"/>
                <w:sz w:val="20"/>
                <w:szCs w:val="20"/>
              </w:rPr>
              <w:t xml:space="preserve"> автомобили, автозапчасти, шины, автоуслуги, сервис и ремонт</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hideMark/>
          </w:tcPr>
          <w:p w14:paraId="08E166F3" w14:textId="77777777" w:rsidR="003E2FCA" w:rsidRPr="00AD3D6C" w:rsidRDefault="003E2FCA" w:rsidP="00C720A8">
            <w:pPr>
              <w:jc w:val="center"/>
              <w:rPr>
                <w:rFonts w:ascii="Tahoma" w:hAnsi="Tahoma" w:cs="Tahoma"/>
                <w:sz w:val="20"/>
                <w:szCs w:val="20"/>
              </w:rPr>
            </w:pPr>
            <w:r w:rsidRPr="00AD3D6C">
              <w:rPr>
                <w:rFonts w:ascii="Tahoma" w:hAnsi="Tahoma" w:cs="Tahoma"/>
                <w:sz w:val="20"/>
                <w:szCs w:val="20"/>
              </w:rPr>
              <w:t>5511, 5521, 5531, 5532, 5533, 5571, 7531, 7534, 7535, 7538, 7542, 7549</w:t>
            </w:r>
          </w:p>
        </w:tc>
      </w:tr>
      <w:tr w:rsidR="003E2FCA" w14:paraId="31823FD9" w14:textId="77777777" w:rsidTr="00C720A8">
        <w:trPr>
          <w:trHeight w:val="687"/>
        </w:trPr>
        <w:tc>
          <w:tcPr>
            <w:tcW w:w="71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F90F410" w14:textId="77777777" w:rsidR="003E2FCA" w:rsidRPr="00AD3D6C" w:rsidRDefault="003E2FCA" w:rsidP="00C720A8">
            <w:pPr>
              <w:jc w:val="center"/>
              <w:rPr>
                <w:rFonts w:ascii="Tahoma" w:hAnsi="Tahoma" w:cs="Tahoma"/>
                <w:sz w:val="20"/>
                <w:szCs w:val="20"/>
              </w:rPr>
            </w:pPr>
            <w:r w:rsidRPr="00AD3D6C">
              <w:rPr>
                <w:rFonts w:ascii="Tahoma" w:hAnsi="Tahoma" w:cs="Tahoma"/>
                <w:sz w:val="20"/>
                <w:szCs w:val="20"/>
              </w:rPr>
              <w:t>5.5.</w:t>
            </w:r>
          </w:p>
        </w:tc>
        <w:tc>
          <w:tcPr>
            <w:tcW w:w="750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6EFF017" w14:textId="77777777" w:rsidR="003E2FCA" w:rsidRPr="00AD3D6C" w:rsidRDefault="003E2FCA" w:rsidP="00C720A8">
            <w:pPr>
              <w:rPr>
                <w:rFonts w:ascii="Tahoma" w:hAnsi="Tahoma" w:cs="Tahoma"/>
                <w:sz w:val="20"/>
                <w:szCs w:val="20"/>
              </w:rPr>
            </w:pPr>
            <w:r w:rsidRPr="00AD3D6C">
              <w:rPr>
                <w:rFonts w:ascii="Tahoma" w:hAnsi="Tahoma" w:cs="Tahoma"/>
                <w:b/>
                <w:bCs/>
                <w:sz w:val="20"/>
                <w:szCs w:val="20"/>
              </w:rPr>
              <w:t>Такси и каршеринг:</w:t>
            </w:r>
            <w:r w:rsidRPr="00AD3D6C">
              <w:rPr>
                <w:rFonts w:ascii="Tahoma" w:hAnsi="Tahoma" w:cs="Tahoma"/>
                <w:sz w:val="20"/>
                <w:szCs w:val="20"/>
              </w:rPr>
              <w:t xml:space="preserve"> такси и каршеринг, прокат самокатов</w:t>
            </w:r>
          </w:p>
        </w:tc>
        <w:tc>
          <w:tcPr>
            <w:tcW w:w="7109" w:type="dxa"/>
            <w:gridSpan w:val="4"/>
            <w:tcBorders>
              <w:top w:val="single" w:sz="4" w:space="0" w:color="auto"/>
              <w:left w:val="single" w:sz="4" w:space="0" w:color="auto"/>
              <w:bottom w:val="single" w:sz="4" w:space="0" w:color="auto"/>
              <w:right w:val="single" w:sz="4" w:space="0" w:color="000000"/>
            </w:tcBorders>
            <w:shd w:val="clear" w:color="000000" w:fill="FFFFFF"/>
            <w:noWrap/>
            <w:vAlign w:val="center"/>
            <w:hideMark/>
          </w:tcPr>
          <w:p w14:paraId="2DDA79E0" w14:textId="77777777" w:rsidR="003E2FCA" w:rsidRPr="00AD3D6C" w:rsidRDefault="003E2FCA" w:rsidP="00C720A8">
            <w:pPr>
              <w:jc w:val="center"/>
              <w:rPr>
                <w:rFonts w:ascii="Tahoma" w:hAnsi="Tahoma" w:cs="Tahoma"/>
                <w:sz w:val="20"/>
                <w:szCs w:val="20"/>
              </w:rPr>
            </w:pPr>
            <w:r w:rsidRPr="00AD3D6C">
              <w:rPr>
                <w:rFonts w:ascii="Tahoma" w:hAnsi="Tahoma" w:cs="Tahoma"/>
                <w:sz w:val="20"/>
                <w:szCs w:val="20"/>
              </w:rPr>
              <w:t>3351-3441, 3990, 4121,7512</w:t>
            </w:r>
          </w:p>
        </w:tc>
      </w:tr>
      <w:tr w:rsidR="003E2FCA" w14:paraId="1B726D11" w14:textId="77777777" w:rsidTr="00C720A8">
        <w:trPr>
          <w:trHeight w:val="711"/>
        </w:trPr>
        <w:tc>
          <w:tcPr>
            <w:tcW w:w="71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CD82785" w14:textId="77777777" w:rsidR="003E2FCA" w:rsidRPr="00AD3D6C" w:rsidRDefault="003E2FCA" w:rsidP="00C720A8">
            <w:pPr>
              <w:jc w:val="center"/>
              <w:rPr>
                <w:rFonts w:ascii="Tahoma" w:hAnsi="Tahoma" w:cs="Tahoma"/>
                <w:sz w:val="20"/>
                <w:szCs w:val="20"/>
              </w:rPr>
            </w:pPr>
            <w:r w:rsidRPr="00AD3D6C">
              <w:rPr>
                <w:rFonts w:ascii="Tahoma" w:hAnsi="Tahoma" w:cs="Tahoma"/>
                <w:sz w:val="20"/>
                <w:szCs w:val="20"/>
              </w:rPr>
              <w:t>5.6.</w:t>
            </w:r>
          </w:p>
        </w:tc>
        <w:tc>
          <w:tcPr>
            <w:tcW w:w="7507" w:type="dxa"/>
            <w:tcBorders>
              <w:top w:val="single" w:sz="4" w:space="0" w:color="auto"/>
              <w:left w:val="nil"/>
              <w:bottom w:val="single" w:sz="4" w:space="0" w:color="auto"/>
              <w:right w:val="single" w:sz="4" w:space="0" w:color="auto"/>
            </w:tcBorders>
            <w:shd w:val="clear" w:color="000000" w:fill="FFFFFF"/>
            <w:vAlign w:val="center"/>
            <w:hideMark/>
          </w:tcPr>
          <w:p w14:paraId="3B71024B" w14:textId="77777777" w:rsidR="003E2FCA" w:rsidRPr="00AD3D6C" w:rsidRDefault="003E2FCA" w:rsidP="00C720A8">
            <w:pPr>
              <w:rPr>
                <w:rFonts w:ascii="Tahoma" w:hAnsi="Tahoma" w:cs="Tahoma"/>
                <w:sz w:val="20"/>
                <w:szCs w:val="20"/>
              </w:rPr>
            </w:pPr>
            <w:r w:rsidRPr="00AD3D6C">
              <w:rPr>
                <w:rFonts w:ascii="Tahoma" w:hAnsi="Tahoma" w:cs="Tahoma"/>
                <w:b/>
                <w:bCs/>
                <w:sz w:val="20"/>
                <w:szCs w:val="20"/>
              </w:rPr>
              <w:t xml:space="preserve">Шопинг: </w:t>
            </w:r>
            <w:r w:rsidRPr="00AD3D6C">
              <w:rPr>
                <w:rFonts w:ascii="Tahoma" w:hAnsi="Tahoma" w:cs="Tahoma"/>
                <w:sz w:val="20"/>
                <w:szCs w:val="20"/>
              </w:rPr>
              <w:t>одежда, обувь, ювелирные изделия, детские товары</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hideMark/>
          </w:tcPr>
          <w:p w14:paraId="7971BD27" w14:textId="77777777" w:rsidR="003E2FCA" w:rsidRPr="00AD3D6C" w:rsidRDefault="003E2FCA" w:rsidP="00C720A8">
            <w:pPr>
              <w:jc w:val="center"/>
              <w:rPr>
                <w:rFonts w:ascii="Tahoma" w:hAnsi="Tahoma" w:cs="Tahoma"/>
                <w:sz w:val="20"/>
                <w:szCs w:val="20"/>
              </w:rPr>
            </w:pPr>
            <w:r w:rsidRPr="00AD3D6C">
              <w:rPr>
                <w:rFonts w:ascii="Tahoma" w:hAnsi="Tahoma" w:cs="Tahoma"/>
                <w:sz w:val="20"/>
                <w:szCs w:val="20"/>
              </w:rPr>
              <w:t>5641, 5945, 5137, 5139, 5611, 5621, 5631, 5651, 5661, 5681, 5691, 5699, 5944</w:t>
            </w:r>
          </w:p>
        </w:tc>
      </w:tr>
      <w:tr w:rsidR="003E2FCA" w14:paraId="59F92942" w14:textId="77777777" w:rsidTr="00C720A8">
        <w:trPr>
          <w:trHeight w:val="835"/>
        </w:trPr>
        <w:tc>
          <w:tcPr>
            <w:tcW w:w="715" w:type="dxa"/>
            <w:tcBorders>
              <w:top w:val="nil"/>
              <w:left w:val="single" w:sz="4" w:space="0" w:color="auto"/>
              <w:bottom w:val="single" w:sz="4" w:space="0" w:color="auto"/>
              <w:right w:val="single" w:sz="4" w:space="0" w:color="auto"/>
            </w:tcBorders>
            <w:shd w:val="clear" w:color="000000" w:fill="FFFFFF"/>
            <w:noWrap/>
            <w:vAlign w:val="center"/>
            <w:hideMark/>
          </w:tcPr>
          <w:p w14:paraId="0FCEEE3C" w14:textId="77777777" w:rsidR="003E2FCA" w:rsidRPr="00AD3D6C" w:rsidRDefault="003E2FCA" w:rsidP="00C720A8">
            <w:pPr>
              <w:jc w:val="center"/>
              <w:rPr>
                <w:rFonts w:ascii="Tahoma" w:hAnsi="Tahoma" w:cs="Tahoma"/>
                <w:sz w:val="20"/>
                <w:szCs w:val="20"/>
              </w:rPr>
            </w:pPr>
            <w:r w:rsidRPr="00AD3D6C">
              <w:rPr>
                <w:rFonts w:ascii="Tahoma" w:hAnsi="Tahoma" w:cs="Tahoma"/>
                <w:sz w:val="20"/>
                <w:szCs w:val="20"/>
              </w:rPr>
              <w:t>5.7.</w:t>
            </w:r>
          </w:p>
        </w:tc>
        <w:tc>
          <w:tcPr>
            <w:tcW w:w="7507" w:type="dxa"/>
            <w:tcBorders>
              <w:top w:val="nil"/>
              <w:left w:val="nil"/>
              <w:bottom w:val="single" w:sz="4" w:space="0" w:color="auto"/>
              <w:right w:val="single" w:sz="4" w:space="0" w:color="auto"/>
            </w:tcBorders>
            <w:shd w:val="clear" w:color="000000" w:fill="FFFFFF"/>
            <w:vAlign w:val="center"/>
            <w:hideMark/>
          </w:tcPr>
          <w:p w14:paraId="10962B19" w14:textId="77777777" w:rsidR="003E2FCA" w:rsidRPr="00AD3D6C" w:rsidRDefault="003E2FCA" w:rsidP="00C720A8">
            <w:pPr>
              <w:rPr>
                <w:rFonts w:ascii="Tahoma" w:hAnsi="Tahoma" w:cs="Tahoma"/>
                <w:sz w:val="20"/>
                <w:szCs w:val="20"/>
              </w:rPr>
            </w:pPr>
            <w:r w:rsidRPr="00AD3D6C">
              <w:rPr>
                <w:rFonts w:ascii="Tahoma" w:hAnsi="Tahoma" w:cs="Tahoma"/>
                <w:b/>
                <w:bCs/>
                <w:sz w:val="20"/>
                <w:szCs w:val="20"/>
              </w:rPr>
              <w:t>Маркетплейсы:</w:t>
            </w:r>
            <w:r w:rsidRPr="00AD3D6C">
              <w:rPr>
                <w:rFonts w:ascii="Tahoma" w:hAnsi="Tahoma" w:cs="Tahoma"/>
                <w:sz w:val="20"/>
                <w:szCs w:val="20"/>
              </w:rPr>
              <w:t xml:space="preserve"> покупки на маркетплейсах и онлайн-маркетах</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hideMark/>
          </w:tcPr>
          <w:p w14:paraId="6C001381" w14:textId="77777777" w:rsidR="003E2FCA" w:rsidRPr="00AD3D6C" w:rsidRDefault="003E2FCA" w:rsidP="00C720A8">
            <w:pPr>
              <w:jc w:val="center"/>
              <w:rPr>
                <w:rFonts w:ascii="Tahoma" w:hAnsi="Tahoma" w:cs="Tahoma"/>
                <w:sz w:val="20"/>
                <w:szCs w:val="20"/>
              </w:rPr>
            </w:pPr>
            <w:r w:rsidRPr="00AD3D6C">
              <w:rPr>
                <w:rFonts w:ascii="Tahoma" w:hAnsi="Tahoma" w:cs="Tahoma"/>
                <w:sz w:val="20"/>
                <w:szCs w:val="20"/>
              </w:rPr>
              <w:t>5262, 5300, 5964</w:t>
            </w:r>
          </w:p>
        </w:tc>
      </w:tr>
      <w:tr w:rsidR="003E2FCA" w14:paraId="7EE605F5" w14:textId="77777777" w:rsidTr="00C720A8">
        <w:trPr>
          <w:trHeight w:val="847"/>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46B0AA4F" w14:textId="77777777" w:rsidR="003E2FCA" w:rsidRPr="00AD3D6C" w:rsidRDefault="003E2FCA" w:rsidP="00C720A8">
            <w:pPr>
              <w:jc w:val="center"/>
              <w:rPr>
                <w:rFonts w:ascii="Tahoma" w:hAnsi="Tahoma" w:cs="Tahoma"/>
                <w:sz w:val="20"/>
                <w:szCs w:val="20"/>
              </w:rPr>
            </w:pPr>
            <w:r w:rsidRPr="00AD3D6C">
              <w:rPr>
                <w:rFonts w:ascii="Tahoma" w:hAnsi="Tahoma" w:cs="Tahoma"/>
                <w:sz w:val="20"/>
                <w:szCs w:val="20"/>
              </w:rPr>
              <w:t>5.8.</w:t>
            </w:r>
          </w:p>
        </w:tc>
        <w:tc>
          <w:tcPr>
            <w:tcW w:w="7507" w:type="dxa"/>
            <w:tcBorders>
              <w:top w:val="nil"/>
              <w:left w:val="nil"/>
              <w:bottom w:val="single" w:sz="4" w:space="0" w:color="auto"/>
              <w:right w:val="single" w:sz="4" w:space="0" w:color="auto"/>
            </w:tcBorders>
            <w:shd w:val="clear" w:color="000000" w:fill="FFFFFF"/>
            <w:vAlign w:val="center"/>
          </w:tcPr>
          <w:p w14:paraId="028270AB" w14:textId="77777777" w:rsidR="003E2FCA" w:rsidRPr="00AD3D6C" w:rsidRDefault="003E2FCA" w:rsidP="00C720A8">
            <w:pPr>
              <w:rPr>
                <w:rFonts w:ascii="Tahoma" w:hAnsi="Tahoma" w:cs="Tahoma"/>
                <w:b/>
                <w:bCs/>
                <w:sz w:val="20"/>
                <w:szCs w:val="20"/>
              </w:rPr>
            </w:pPr>
            <w:r w:rsidRPr="00AD3D6C">
              <w:rPr>
                <w:rFonts w:ascii="Tahoma" w:hAnsi="Tahoma" w:cs="Tahoma"/>
                <w:b/>
                <w:bCs/>
                <w:sz w:val="20"/>
                <w:szCs w:val="20"/>
              </w:rPr>
              <w:t>Кафе, рестораны, фастфуд</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tcPr>
          <w:p w14:paraId="61290D09" w14:textId="77777777" w:rsidR="003E2FCA" w:rsidRPr="00AD3D6C" w:rsidRDefault="003E2FCA" w:rsidP="00C720A8">
            <w:pPr>
              <w:jc w:val="center"/>
              <w:rPr>
                <w:rFonts w:ascii="Tahoma" w:hAnsi="Tahoma" w:cs="Tahoma"/>
                <w:sz w:val="20"/>
                <w:szCs w:val="20"/>
              </w:rPr>
            </w:pPr>
            <w:r w:rsidRPr="00AD3D6C">
              <w:rPr>
                <w:rFonts w:ascii="Tahoma" w:hAnsi="Tahoma" w:cs="Tahoma"/>
                <w:sz w:val="20"/>
                <w:szCs w:val="20"/>
              </w:rPr>
              <w:t>5811, 5812, 5813, 5814</w:t>
            </w:r>
          </w:p>
        </w:tc>
      </w:tr>
      <w:tr w:rsidR="003E2FCA" w14:paraId="2D5C95E5" w14:textId="77777777" w:rsidTr="00C720A8">
        <w:trPr>
          <w:trHeight w:val="785"/>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597F8A3A" w14:textId="77777777" w:rsidR="003E2FCA" w:rsidRPr="00AD3D6C" w:rsidRDefault="003E2FCA" w:rsidP="00C720A8">
            <w:pPr>
              <w:jc w:val="center"/>
              <w:rPr>
                <w:rFonts w:ascii="Tahoma" w:hAnsi="Tahoma" w:cs="Tahoma"/>
                <w:sz w:val="20"/>
                <w:szCs w:val="20"/>
              </w:rPr>
            </w:pPr>
            <w:r w:rsidRPr="00AD3D6C">
              <w:rPr>
                <w:rFonts w:ascii="Tahoma" w:hAnsi="Tahoma" w:cs="Tahoma"/>
                <w:sz w:val="20"/>
                <w:szCs w:val="20"/>
              </w:rPr>
              <w:t>5.9.</w:t>
            </w:r>
          </w:p>
        </w:tc>
        <w:tc>
          <w:tcPr>
            <w:tcW w:w="7507" w:type="dxa"/>
            <w:tcBorders>
              <w:top w:val="nil"/>
              <w:left w:val="nil"/>
              <w:bottom w:val="single" w:sz="4" w:space="0" w:color="auto"/>
              <w:right w:val="single" w:sz="4" w:space="0" w:color="auto"/>
            </w:tcBorders>
            <w:shd w:val="clear" w:color="000000" w:fill="FFFFFF"/>
            <w:vAlign w:val="center"/>
          </w:tcPr>
          <w:p w14:paraId="0CE6C796" w14:textId="77777777" w:rsidR="003E2FCA" w:rsidRPr="00AD3D6C" w:rsidRDefault="003E2FCA" w:rsidP="00C720A8">
            <w:pPr>
              <w:rPr>
                <w:rFonts w:ascii="Tahoma" w:hAnsi="Tahoma" w:cs="Tahoma"/>
                <w:sz w:val="20"/>
                <w:szCs w:val="20"/>
              </w:rPr>
            </w:pPr>
            <w:r w:rsidRPr="00AD3D6C">
              <w:rPr>
                <w:rFonts w:ascii="Tahoma" w:hAnsi="Tahoma" w:cs="Tahoma"/>
                <w:b/>
                <w:bCs/>
                <w:sz w:val="20"/>
                <w:szCs w:val="20"/>
              </w:rPr>
              <w:t>Салоны красоты и парфюмерия:</w:t>
            </w:r>
            <w:r w:rsidRPr="00AD3D6C">
              <w:rPr>
                <w:rFonts w:ascii="Tahoma" w:hAnsi="Tahoma" w:cs="Tahoma"/>
                <w:sz w:val="20"/>
                <w:szCs w:val="20"/>
              </w:rPr>
              <w:t xml:space="preserve"> салоны красоты и здоровья, косметика и парфюмерия</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tcPr>
          <w:p w14:paraId="0C838A48" w14:textId="77777777" w:rsidR="003E2FCA" w:rsidRPr="00AD3D6C" w:rsidRDefault="003E2FCA" w:rsidP="00C720A8">
            <w:pPr>
              <w:jc w:val="center"/>
              <w:rPr>
                <w:rFonts w:ascii="Tahoma" w:hAnsi="Tahoma" w:cs="Tahoma"/>
                <w:sz w:val="20"/>
                <w:szCs w:val="20"/>
              </w:rPr>
            </w:pPr>
            <w:r w:rsidRPr="00AD3D6C">
              <w:rPr>
                <w:rFonts w:ascii="Tahoma" w:hAnsi="Tahoma" w:cs="Tahoma"/>
                <w:sz w:val="20"/>
                <w:szCs w:val="20"/>
              </w:rPr>
              <w:t>5977,7230, 7297, 7298</w:t>
            </w:r>
          </w:p>
        </w:tc>
      </w:tr>
      <w:tr w:rsidR="003E2FCA" w14:paraId="04BF71FD" w14:textId="77777777" w:rsidTr="00C720A8">
        <w:trPr>
          <w:trHeight w:val="927"/>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53EF2C56" w14:textId="77777777" w:rsidR="003E2FCA" w:rsidRPr="00AD3D6C" w:rsidRDefault="003E2FCA" w:rsidP="00C720A8">
            <w:pPr>
              <w:jc w:val="center"/>
              <w:rPr>
                <w:rFonts w:ascii="Tahoma" w:hAnsi="Tahoma" w:cs="Tahoma"/>
                <w:sz w:val="20"/>
                <w:szCs w:val="20"/>
              </w:rPr>
            </w:pPr>
            <w:r w:rsidRPr="00AD3D6C">
              <w:rPr>
                <w:rFonts w:ascii="Tahoma" w:hAnsi="Tahoma" w:cs="Tahoma"/>
                <w:sz w:val="20"/>
                <w:szCs w:val="20"/>
              </w:rPr>
              <w:t>5.10.</w:t>
            </w:r>
          </w:p>
        </w:tc>
        <w:tc>
          <w:tcPr>
            <w:tcW w:w="7507" w:type="dxa"/>
            <w:tcBorders>
              <w:top w:val="nil"/>
              <w:left w:val="nil"/>
              <w:bottom w:val="single" w:sz="4" w:space="0" w:color="auto"/>
              <w:right w:val="single" w:sz="4" w:space="0" w:color="auto"/>
            </w:tcBorders>
            <w:shd w:val="clear" w:color="000000" w:fill="FFFFFF"/>
            <w:vAlign w:val="center"/>
          </w:tcPr>
          <w:p w14:paraId="1984B749" w14:textId="77777777" w:rsidR="003E2FCA" w:rsidRPr="00AD3D6C" w:rsidRDefault="003E2FCA" w:rsidP="00C720A8">
            <w:pPr>
              <w:rPr>
                <w:rFonts w:ascii="Tahoma" w:hAnsi="Tahoma" w:cs="Tahoma"/>
                <w:sz w:val="20"/>
                <w:szCs w:val="20"/>
              </w:rPr>
            </w:pPr>
            <w:r w:rsidRPr="00AD3D6C">
              <w:rPr>
                <w:rFonts w:ascii="Tahoma" w:hAnsi="Tahoma" w:cs="Tahoma"/>
                <w:b/>
                <w:bCs/>
                <w:sz w:val="20"/>
                <w:szCs w:val="20"/>
              </w:rPr>
              <w:t xml:space="preserve">Кино и развлечения: </w:t>
            </w:r>
            <w:r w:rsidRPr="00AD3D6C">
              <w:rPr>
                <w:rFonts w:ascii="Tahoma" w:hAnsi="Tahoma" w:cs="Tahoma"/>
                <w:sz w:val="20"/>
                <w:szCs w:val="20"/>
              </w:rPr>
              <w:t>кино, выставки и достопримечательности, зоопарки, дельфинарии, парки аттракционов, цирки, музыкальные мероприятия</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tcPr>
          <w:p w14:paraId="13782F68" w14:textId="77777777" w:rsidR="003E2FCA" w:rsidRPr="00AD3D6C" w:rsidRDefault="003E2FCA" w:rsidP="00C720A8">
            <w:pPr>
              <w:jc w:val="center"/>
              <w:rPr>
                <w:rFonts w:ascii="Tahoma" w:hAnsi="Tahoma" w:cs="Tahoma"/>
                <w:sz w:val="20"/>
                <w:szCs w:val="20"/>
              </w:rPr>
            </w:pPr>
            <w:r w:rsidRPr="00AD3D6C">
              <w:rPr>
                <w:rFonts w:ascii="Tahoma" w:hAnsi="Tahoma" w:cs="Tahoma"/>
                <w:sz w:val="20"/>
                <w:szCs w:val="20"/>
              </w:rPr>
              <w:t>7829, 7832, 7841, 7911, 7922, 7929, 7932, 7933, 7991, 7996, 7998, 7999</w:t>
            </w:r>
          </w:p>
        </w:tc>
      </w:tr>
      <w:tr w:rsidR="003E2FCA" w14:paraId="5A212797" w14:textId="77777777" w:rsidTr="00C720A8">
        <w:trPr>
          <w:trHeight w:val="982"/>
        </w:trPr>
        <w:tc>
          <w:tcPr>
            <w:tcW w:w="715"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F84BC25" w14:textId="77777777" w:rsidR="003E2FCA" w:rsidRPr="00DC693B" w:rsidRDefault="003E2FCA" w:rsidP="00C720A8">
            <w:pPr>
              <w:jc w:val="center"/>
              <w:rPr>
                <w:rFonts w:ascii="Tahoma" w:hAnsi="Tahoma" w:cs="Tahoma"/>
                <w:sz w:val="20"/>
                <w:szCs w:val="20"/>
              </w:rPr>
            </w:pPr>
            <w:r w:rsidRPr="00DC693B">
              <w:rPr>
                <w:rFonts w:ascii="Tahoma" w:hAnsi="Tahoma" w:cs="Tahoma"/>
                <w:sz w:val="20"/>
                <w:szCs w:val="20"/>
              </w:rPr>
              <w:t>5.11.</w:t>
            </w:r>
          </w:p>
        </w:tc>
        <w:tc>
          <w:tcPr>
            <w:tcW w:w="7507" w:type="dxa"/>
            <w:tcBorders>
              <w:top w:val="single" w:sz="4" w:space="0" w:color="auto"/>
              <w:left w:val="nil"/>
              <w:bottom w:val="single" w:sz="4" w:space="0" w:color="auto"/>
              <w:right w:val="single" w:sz="4" w:space="0" w:color="auto"/>
            </w:tcBorders>
            <w:shd w:val="clear" w:color="auto" w:fill="auto"/>
            <w:vAlign w:val="center"/>
          </w:tcPr>
          <w:p w14:paraId="6232AAFC" w14:textId="77777777" w:rsidR="003E2FCA" w:rsidRPr="00DC693B" w:rsidRDefault="003E2FCA" w:rsidP="00C720A8">
            <w:pPr>
              <w:rPr>
                <w:rFonts w:ascii="Tahoma" w:hAnsi="Tahoma" w:cs="Tahoma"/>
                <w:sz w:val="20"/>
                <w:szCs w:val="20"/>
              </w:rPr>
            </w:pPr>
            <w:r w:rsidRPr="00DC693B">
              <w:rPr>
                <w:rFonts w:ascii="Tahoma" w:hAnsi="Tahoma" w:cs="Tahoma"/>
                <w:b/>
                <w:bCs/>
                <w:sz w:val="20"/>
                <w:szCs w:val="20"/>
              </w:rPr>
              <w:t xml:space="preserve">Фитнес и спортивные товары: </w:t>
            </w:r>
            <w:r w:rsidRPr="00DC693B">
              <w:rPr>
                <w:rFonts w:ascii="Tahoma" w:hAnsi="Tahoma" w:cs="Tahoma"/>
                <w:sz w:val="20"/>
                <w:szCs w:val="20"/>
              </w:rPr>
              <w:t>спортив</w:t>
            </w:r>
            <w:r>
              <w:rPr>
                <w:rFonts w:ascii="Tahoma" w:hAnsi="Tahoma" w:cs="Tahoma"/>
                <w:sz w:val="20"/>
                <w:szCs w:val="20"/>
              </w:rPr>
              <w:t>н</w:t>
            </w:r>
            <w:r w:rsidRPr="00DC693B">
              <w:rPr>
                <w:rFonts w:ascii="Tahoma" w:hAnsi="Tahoma" w:cs="Tahoma"/>
                <w:sz w:val="20"/>
                <w:szCs w:val="20"/>
              </w:rPr>
              <w:t>ая одежда и инвентарь, фитнес и спорт-клубы</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tcPr>
          <w:p w14:paraId="4CD673B1" w14:textId="77777777" w:rsidR="003E2FCA" w:rsidRPr="00DC693B" w:rsidRDefault="003E2FCA" w:rsidP="00C720A8">
            <w:pPr>
              <w:jc w:val="center"/>
              <w:rPr>
                <w:rFonts w:ascii="Tahoma" w:hAnsi="Tahoma" w:cs="Tahoma"/>
                <w:sz w:val="20"/>
                <w:szCs w:val="20"/>
              </w:rPr>
            </w:pPr>
            <w:r w:rsidRPr="00DC693B">
              <w:rPr>
                <w:rFonts w:ascii="Tahoma" w:hAnsi="Tahoma" w:cs="Tahoma"/>
                <w:sz w:val="20"/>
                <w:szCs w:val="20"/>
              </w:rPr>
              <w:t>7992, 5655, 5940, 5941, 7941, 7997</w:t>
            </w:r>
          </w:p>
        </w:tc>
      </w:tr>
      <w:tr w:rsidR="003E2FCA" w14:paraId="0A69CB4E" w14:textId="77777777" w:rsidTr="00C720A8">
        <w:trPr>
          <w:trHeight w:val="905"/>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44F8A0F9" w14:textId="77777777" w:rsidR="003E2FCA" w:rsidRPr="00DC693B" w:rsidRDefault="003E2FCA" w:rsidP="00C720A8">
            <w:pPr>
              <w:jc w:val="center"/>
              <w:rPr>
                <w:rFonts w:ascii="Tahoma" w:hAnsi="Tahoma" w:cs="Tahoma"/>
                <w:sz w:val="20"/>
                <w:szCs w:val="20"/>
              </w:rPr>
            </w:pPr>
            <w:r w:rsidRPr="00DC693B">
              <w:rPr>
                <w:rFonts w:ascii="Tahoma" w:hAnsi="Tahoma" w:cs="Tahoma"/>
                <w:sz w:val="20"/>
                <w:szCs w:val="20"/>
              </w:rPr>
              <w:t>5.12.</w:t>
            </w:r>
          </w:p>
        </w:tc>
        <w:tc>
          <w:tcPr>
            <w:tcW w:w="7507" w:type="dxa"/>
            <w:tcBorders>
              <w:top w:val="nil"/>
              <w:left w:val="nil"/>
              <w:bottom w:val="single" w:sz="4" w:space="0" w:color="auto"/>
              <w:right w:val="single" w:sz="4" w:space="0" w:color="auto"/>
            </w:tcBorders>
            <w:shd w:val="clear" w:color="auto" w:fill="auto"/>
            <w:vAlign w:val="center"/>
          </w:tcPr>
          <w:p w14:paraId="1144577D" w14:textId="77777777" w:rsidR="003E2FCA" w:rsidRPr="00DC693B" w:rsidRDefault="003E2FCA" w:rsidP="00C720A8">
            <w:pPr>
              <w:rPr>
                <w:rFonts w:ascii="Tahoma" w:hAnsi="Tahoma" w:cs="Tahoma"/>
                <w:sz w:val="20"/>
                <w:szCs w:val="20"/>
              </w:rPr>
            </w:pPr>
            <w:r w:rsidRPr="00DC693B">
              <w:rPr>
                <w:rFonts w:ascii="Tahoma" w:hAnsi="Tahoma" w:cs="Tahoma"/>
                <w:b/>
                <w:bCs/>
                <w:sz w:val="20"/>
                <w:szCs w:val="20"/>
              </w:rPr>
              <w:t xml:space="preserve">Медицинские услуги: </w:t>
            </w:r>
            <w:r w:rsidRPr="00DC693B">
              <w:rPr>
                <w:rFonts w:ascii="Tahoma" w:hAnsi="Tahoma" w:cs="Tahoma"/>
                <w:sz w:val="20"/>
                <w:szCs w:val="20"/>
              </w:rPr>
              <w:t>медицинские услуги,</w:t>
            </w:r>
            <w:r w:rsidRPr="00DC693B">
              <w:rPr>
                <w:rFonts w:ascii="Tahoma" w:hAnsi="Tahoma" w:cs="Tahoma"/>
                <w:b/>
                <w:bCs/>
                <w:sz w:val="20"/>
                <w:szCs w:val="20"/>
              </w:rPr>
              <w:t xml:space="preserve"> </w:t>
            </w:r>
            <w:r w:rsidRPr="00DC693B">
              <w:rPr>
                <w:rFonts w:ascii="Tahoma" w:hAnsi="Tahoma" w:cs="Tahoma"/>
                <w:sz w:val="20"/>
                <w:szCs w:val="20"/>
              </w:rPr>
              <w:t xml:space="preserve"> стоматологии и лаборатории, услуги скорой помощи</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tcPr>
          <w:p w14:paraId="05DD0086" w14:textId="77777777" w:rsidR="003E2FCA" w:rsidRPr="00DC693B" w:rsidRDefault="003E2FCA" w:rsidP="00C720A8">
            <w:pPr>
              <w:jc w:val="center"/>
              <w:rPr>
                <w:rFonts w:ascii="Tahoma" w:hAnsi="Tahoma" w:cs="Tahoma"/>
                <w:sz w:val="20"/>
                <w:szCs w:val="20"/>
              </w:rPr>
            </w:pPr>
            <w:r w:rsidRPr="00DC693B">
              <w:rPr>
                <w:rFonts w:ascii="Tahoma" w:hAnsi="Tahoma" w:cs="Tahoma"/>
                <w:sz w:val="20"/>
                <w:szCs w:val="20"/>
              </w:rPr>
              <w:t>4119, 8021, 5047, 8011, 8031, 8041, 8042, 8049, 8062, 8071, 8099</w:t>
            </w:r>
          </w:p>
        </w:tc>
      </w:tr>
      <w:tr w:rsidR="003E2FCA" w14:paraId="1F9C24DB" w14:textId="77777777" w:rsidTr="00C720A8">
        <w:trPr>
          <w:trHeight w:val="813"/>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17A932C6" w14:textId="77777777" w:rsidR="003E2FCA" w:rsidRPr="00DC693B" w:rsidRDefault="003E2FCA" w:rsidP="00C720A8">
            <w:pPr>
              <w:jc w:val="center"/>
              <w:rPr>
                <w:rFonts w:ascii="Tahoma" w:hAnsi="Tahoma" w:cs="Tahoma"/>
                <w:sz w:val="20"/>
                <w:szCs w:val="20"/>
              </w:rPr>
            </w:pPr>
            <w:r w:rsidRPr="00DC693B">
              <w:rPr>
                <w:rFonts w:ascii="Tahoma" w:hAnsi="Tahoma" w:cs="Tahoma"/>
                <w:sz w:val="20"/>
                <w:szCs w:val="20"/>
              </w:rPr>
              <w:t>5.13.</w:t>
            </w:r>
          </w:p>
        </w:tc>
        <w:tc>
          <w:tcPr>
            <w:tcW w:w="7507" w:type="dxa"/>
            <w:tcBorders>
              <w:top w:val="nil"/>
              <w:left w:val="nil"/>
              <w:bottom w:val="single" w:sz="4" w:space="0" w:color="auto"/>
              <w:right w:val="single" w:sz="4" w:space="0" w:color="auto"/>
            </w:tcBorders>
            <w:shd w:val="clear" w:color="auto" w:fill="auto"/>
            <w:vAlign w:val="center"/>
          </w:tcPr>
          <w:p w14:paraId="510D9BB0" w14:textId="77777777" w:rsidR="003E2FCA" w:rsidRPr="00DC693B" w:rsidRDefault="003E2FCA" w:rsidP="00C720A8">
            <w:pPr>
              <w:rPr>
                <w:rFonts w:ascii="Tahoma" w:hAnsi="Tahoma" w:cs="Tahoma"/>
                <w:sz w:val="20"/>
                <w:szCs w:val="20"/>
              </w:rPr>
            </w:pPr>
            <w:r w:rsidRPr="00DC693B">
              <w:rPr>
                <w:rFonts w:ascii="Tahoma" w:hAnsi="Tahoma" w:cs="Tahoma"/>
                <w:b/>
                <w:bCs/>
                <w:sz w:val="20"/>
                <w:szCs w:val="20"/>
              </w:rPr>
              <w:t>Книги и канцтовары:</w:t>
            </w:r>
            <w:r w:rsidRPr="00DC693B">
              <w:rPr>
                <w:rFonts w:ascii="Tahoma" w:hAnsi="Tahoma" w:cs="Tahoma"/>
                <w:sz w:val="20"/>
                <w:szCs w:val="20"/>
              </w:rPr>
              <w:t xml:space="preserve"> школьные принадлежности, канцтовары, книги</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tcPr>
          <w:p w14:paraId="121A8CE7" w14:textId="77777777" w:rsidR="003E2FCA" w:rsidRPr="00DC693B" w:rsidRDefault="003E2FCA" w:rsidP="00C720A8">
            <w:pPr>
              <w:jc w:val="center"/>
              <w:rPr>
                <w:rFonts w:ascii="Tahoma" w:hAnsi="Tahoma" w:cs="Tahoma"/>
                <w:sz w:val="20"/>
                <w:szCs w:val="20"/>
              </w:rPr>
            </w:pPr>
            <w:r w:rsidRPr="00DC693B">
              <w:rPr>
                <w:rFonts w:ascii="Tahoma" w:hAnsi="Tahoma" w:cs="Tahoma"/>
                <w:sz w:val="20"/>
                <w:szCs w:val="20"/>
              </w:rPr>
              <w:t>2741, 5111, 5192, 5942, 5943, 5994</w:t>
            </w:r>
          </w:p>
        </w:tc>
      </w:tr>
      <w:tr w:rsidR="003E2FCA" w14:paraId="28991917" w14:textId="77777777" w:rsidTr="00C720A8">
        <w:trPr>
          <w:trHeight w:val="607"/>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443E9C1B" w14:textId="77777777" w:rsidR="003E2FCA" w:rsidRPr="00DC693B" w:rsidRDefault="003E2FCA" w:rsidP="00C720A8">
            <w:pPr>
              <w:jc w:val="center"/>
              <w:rPr>
                <w:rFonts w:ascii="Tahoma" w:hAnsi="Tahoma" w:cs="Tahoma"/>
                <w:sz w:val="20"/>
                <w:szCs w:val="20"/>
              </w:rPr>
            </w:pPr>
            <w:r w:rsidRPr="00DC693B">
              <w:rPr>
                <w:rFonts w:ascii="Tahoma" w:hAnsi="Tahoma" w:cs="Tahoma"/>
                <w:sz w:val="20"/>
                <w:szCs w:val="20"/>
              </w:rPr>
              <w:t>5.14.</w:t>
            </w:r>
          </w:p>
        </w:tc>
        <w:tc>
          <w:tcPr>
            <w:tcW w:w="7507" w:type="dxa"/>
            <w:tcBorders>
              <w:top w:val="nil"/>
              <w:left w:val="nil"/>
              <w:bottom w:val="single" w:sz="4" w:space="0" w:color="auto"/>
              <w:right w:val="single" w:sz="4" w:space="0" w:color="auto"/>
            </w:tcBorders>
            <w:shd w:val="clear" w:color="auto" w:fill="auto"/>
            <w:vAlign w:val="center"/>
          </w:tcPr>
          <w:p w14:paraId="30F79AA4" w14:textId="77777777" w:rsidR="003E2FCA" w:rsidRPr="00DC693B" w:rsidRDefault="003E2FCA" w:rsidP="00C720A8">
            <w:pPr>
              <w:rPr>
                <w:rFonts w:ascii="Tahoma" w:hAnsi="Tahoma" w:cs="Tahoma"/>
                <w:sz w:val="20"/>
                <w:szCs w:val="20"/>
              </w:rPr>
            </w:pPr>
            <w:r w:rsidRPr="00DC693B">
              <w:rPr>
                <w:rFonts w:ascii="Tahoma" w:hAnsi="Tahoma" w:cs="Tahoma"/>
                <w:b/>
                <w:bCs/>
                <w:sz w:val="20"/>
                <w:szCs w:val="20"/>
              </w:rPr>
              <w:t>Товары для  животных:</w:t>
            </w:r>
            <w:r w:rsidRPr="00DC693B">
              <w:rPr>
                <w:rFonts w:ascii="Tahoma" w:hAnsi="Tahoma" w:cs="Tahoma"/>
                <w:sz w:val="20"/>
                <w:szCs w:val="20"/>
              </w:rPr>
              <w:t xml:space="preserve"> ветеринарные услуги, зоомагазины</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tcPr>
          <w:p w14:paraId="25F44F76" w14:textId="77777777" w:rsidR="003E2FCA" w:rsidRPr="00DC693B" w:rsidRDefault="003E2FCA" w:rsidP="00C720A8">
            <w:pPr>
              <w:jc w:val="center"/>
              <w:rPr>
                <w:rFonts w:ascii="Tahoma" w:hAnsi="Tahoma" w:cs="Tahoma"/>
                <w:sz w:val="20"/>
                <w:szCs w:val="20"/>
              </w:rPr>
            </w:pPr>
            <w:r w:rsidRPr="00DC693B">
              <w:rPr>
                <w:rFonts w:ascii="Tahoma" w:hAnsi="Tahoma" w:cs="Tahoma"/>
                <w:sz w:val="20"/>
                <w:szCs w:val="20"/>
              </w:rPr>
              <w:t>0742, 5995</w:t>
            </w:r>
          </w:p>
        </w:tc>
      </w:tr>
      <w:tr w:rsidR="003E2FCA" w14:paraId="3F4F33FE" w14:textId="77777777" w:rsidTr="00C720A8">
        <w:trPr>
          <w:trHeight w:val="671"/>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14645C2D" w14:textId="77777777" w:rsidR="003E2FCA" w:rsidRPr="00DC693B" w:rsidRDefault="003E2FCA" w:rsidP="00C720A8">
            <w:pPr>
              <w:jc w:val="center"/>
              <w:rPr>
                <w:rFonts w:ascii="Tahoma" w:hAnsi="Tahoma" w:cs="Tahoma"/>
                <w:sz w:val="20"/>
                <w:szCs w:val="20"/>
              </w:rPr>
            </w:pPr>
            <w:r w:rsidRPr="00DC693B">
              <w:rPr>
                <w:rFonts w:ascii="Tahoma" w:hAnsi="Tahoma" w:cs="Tahoma"/>
                <w:sz w:val="20"/>
                <w:szCs w:val="20"/>
              </w:rPr>
              <w:t>5.15.</w:t>
            </w:r>
          </w:p>
        </w:tc>
        <w:tc>
          <w:tcPr>
            <w:tcW w:w="7507" w:type="dxa"/>
            <w:tcBorders>
              <w:top w:val="nil"/>
              <w:left w:val="nil"/>
              <w:bottom w:val="single" w:sz="4" w:space="0" w:color="auto"/>
              <w:right w:val="single" w:sz="4" w:space="0" w:color="auto"/>
            </w:tcBorders>
            <w:shd w:val="clear" w:color="auto" w:fill="auto"/>
            <w:vAlign w:val="center"/>
          </w:tcPr>
          <w:p w14:paraId="6930F580" w14:textId="77777777" w:rsidR="003E2FCA" w:rsidRPr="00DC693B" w:rsidRDefault="003E2FCA" w:rsidP="00C720A8">
            <w:pPr>
              <w:rPr>
                <w:rFonts w:ascii="Tahoma" w:hAnsi="Tahoma" w:cs="Tahoma"/>
                <w:b/>
                <w:bCs/>
                <w:sz w:val="20"/>
                <w:szCs w:val="20"/>
              </w:rPr>
            </w:pPr>
            <w:r w:rsidRPr="00DC693B">
              <w:rPr>
                <w:rFonts w:ascii="Tahoma" w:hAnsi="Tahoma" w:cs="Tahoma"/>
                <w:b/>
                <w:bCs/>
                <w:sz w:val="20"/>
                <w:szCs w:val="20"/>
              </w:rPr>
              <w:t>Турагенства:</w:t>
            </w:r>
            <w:r w:rsidRPr="00DC693B">
              <w:rPr>
                <w:rFonts w:ascii="Tahoma" w:hAnsi="Tahoma" w:cs="Tahoma"/>
                <w:sz w:val="20"/>
                <w:szCs w:val="20"/>
              </w:rPr>
              <w:t xml:space="preserve"> турагентства и турагрегаторы</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tcPr>
          <w:p w14:paraId="16471076" w14:textId="77777777" w:rsidR="003E2FCA" w:rsidRPr="00DC693B" w:rsidRDefault="003E2FCA" w:rsidP="00C720A8">
            <w:pPr>
              <w:jc w:val="center"/>
              <w:rPr>
                <w:rFonts w:ascii="Tahoma" w:hAnsi="Tahoma" w:cs="Tahoma"/>
                <w:sz w:val="20"/>
                <w:szCs w:val="20"/>
              </w:rPr>
            </w:pPr>
            <w:r w:rsidRPr="00DC693B">
              <w:rPr>
                <w:rFonts w:ascii="Tahoma" w:hAnsi="Tahoma" w:cs="Tahoma"/>
                <w:sz w:val="20"/>
                <w:szCs w:val="20"/>
              </w:rPr>
              <w:t>4722</w:t>
            </w:r>
          </w:p>
        </w:tc>
      </w:tr>
      <w:tr w:rsidR="003E2FCA" w14:paraId="761052A8" w14:textId="77777777" w:rsidTr="00C720A8">
        <w:trPr>
          <w:trHeight w:val="592"/>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5C8A68CB" w14:textId="77777777" w:rsidR="003E2FCA" w:rsidRPr="00DC693B" w:rsidRDefault="003E2FCA" w:rsidP="00C720A8">
            <w:pPr>
              <w:jc w:val="center"/>
              <w:rPr>
                <w:rFonts w:ascii="Tahoma" w:hAnsi="Tahoma" w:cs="Tahoma"/>
                <w:sz w:val="20"/>
                <w:szCs w:val="20"/>
              </w:rPr>
            </w:pPr>
            <w:r w:rsidRPr="00DC693B">
              <w:rPr>
                <w:rFonts w:ascii="Tahoma" w:hAnsi="Tahoma" w:cs="Tahoma"/>
                <w:sz w:val="20"/>
                <w:szCs w:val="20"/>
              </w:rPr>
              <w:t>5.16.</w:t>
            </w:r>
          </w:p>
        </w:tc>
        <w:tc>
          <w:tcPr>
            <w:tcW w:w="7507" w:type="dxa"/>
            <w:tcBorders>
              <w:top w:val="nil"/>
              <w:left w:val="nil"/>
              <w:bottom w:val="single" w:sz="4" w:space="0" w:color="auto"/>
              <w:right w:val="single" w:sz="4" w:space="0" w:color="auto"/>
            </w:tcBorders>
            <w:shd w:val="clear" w:color="auto" w:fill="auto"/>
            <w:vAlign w:val="center"/>
          </w:tcPr>
          <w:p w14:paraId="44E32590" w14:textId="77777777" w:rsidR="003E2FCA" w:rsidRPr="00DC693B" w:rsidRDefault="003E2FCA" w:rsidP="00C720A8">
            <w:pPr>
              <w:rPr>
                <w:rFonts w:ascii="Tahoma" w:hAnsi="Tahoma" w:cs="Tahoma"/>
                <w:sz w:val="20"/>
                <w:szCs w:val="20"/>
              </w:rPr>
            </w:pPr>
            <w:r w:rsidRPr="00DC693B">
              <w:rPr>
                <w:rFonts w:ascii="Tahoma" w:hAnsi="Tahoma" w:cs="Tahoma"/>
                <w:b/>
                <w:bCs/>
                <w:sz w:val="20"/>
                <w:szCs w:val="20"/>
              </w:rPr>
              <w:t xml:space="preserve">ЖД билеты: </w:t>
            </w:r>
            <w:r w:rsidRPr="00DC693B">
              <w:rPr>
                <w:rFonts w:ascii="Tahoma" w:hAnsi="Tahoma" w:cs="Tahoma"/>
                <w:sz w:val="20"/>
                <w:szCs w:val="20"/>
              </w:rPr>
              <w:t>пассажирские перевозки, перевозка грузов</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tcPr>
          <w:p w14:paraId="5924DBC7" w14:textId="77777777" w:rsidR="003E2FCA" w:rsidRPr="00DC693B" w:rsidRDefault="003E2FCA" w:rsidP="00C720A8">
            <w:pPr>
              <w:jc w:val="center"/>
              <w:rPr>
                <w:rFonts w:ascii="Tahoma" w:hAnsi="Tahoma" w:cs="Tahoma"/>
                <w:sz w:val="20"/>
                <w:szCs w:val="20"/>
              </w:rPr>
            </w:pPr>
            <w:r w:rsidRPr="00DC693B">
              <w:rPr>
                <w:rFonts w:ascii="Tahoma" w:hAnsi="Tahoma" w:cs="Tahoma"/>
                <w:sz w:val="20"/>
                <w:szCs w:val="20"/>
              </w:rPr>
              <w:t>4111, 4112, 4011</w:t>
            </w:r>
          </w:p>
        </w:tc>
      </w:tr>
      <w:tr w:rsidR="003E2FCA" w14:paraId="51EA4D31" w14:textId="77777777" w:rsidTr="00C720A8">
        <w:trPr>
          <w:trHeight w:val="785"/>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6B3FF06A" w14:textId="77777777" w:rsidR="003E2FCA" w:rsidRPr="00DC693B" w:rsidRDefault="003E2FCA" w:rsidP="00C720A8">
            <w:pPr>
              <w:jc w:val="center"/>
              <w:rPr>
                <w:rFonts w:ascii="Tahoma" w:hAnsi="Tahoma" w:cs="Tahoma"/>
                <w:sz w:val="20"/>
                <w:szCs w:val="20"/>
              </w:rPr>
            </w:pPr>
            <w:r w:rsidRPr="00DC693B">
              <w:rPr>
                <w:rFonts w:ascii="Tahoma" w:hAnsi="Tahoma" w:cs="Tahoma"/>
                <w:sz w:val="20"/>
                <w:szCs w:val="20"/>
              </w:rPr>
              <w:t>5.17.</w:t>
            </w:r>
          </w:p>
        </w:tc>
        <w:tc>
          <w:tcPr>
            <w:tcW w:w="7507" w:type="dxa"/>
            <w:tcBorders>
              <w:top w:val="nil"/>
              <w:left w:val="nil"/>
              <w:bottom w:val="single" w:sz="4" w:space="0" w:color="auto"/>
              <w:right w:val="single" w:sz="4" w:space="0" w:color="auto"/>
            </w:tcBorders>
            <w:shd w:val="clear" w:color="auto" w:fill="auto"/>
            <w:vAlign w:val="center"/>
          </w:tcPr>
          <w:p w14:paraId="0EF6F63E" w14:textId="77777777" w:rsidR="003E2FCA" w:rsidRPr="00DC693B" w:rsidRDefault="003E2FCA" w:rsidP="00C720A8">
            <w:pPr>
              <w:rPr>
                <w:rFonts w:ascii="Tahoma" w:hAnsi="Tahoma" w:cs="Tahoma"/>
                <w:b/>
                <w:bCs/>
                <w:sz w:val="20"/>
                <w:szCs w:val="20"/>
              </w:rPr>
            </w:pPr>
            <w:r w:rsidRPr="00DC693B">
              <w:rPr>
                <w:rFonts w:ascii="Tahoma" w:hAnsi="Tahoma" w:cs="Tahoma"/>
                <w:b/>
                <w:bCs/>
                <w:sz w:val="20"/>
                <w:szCs w:val="20"/>
              </w:rPr>
              <w:t>Авиабилеты</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tcPr>
          <w:p w14:paraId="33515302" w14:textId="77777777" w:rsidR="003E2FCA" w:rsidRPr="00DC693B" w:rsidRDefault="003E2FCA" w:rsidP="00C720A8">
            <w:pPr>
              <w:jc w:val="center"/>
              <w:rPr>
                <w:rFonts w:ascii="Tahoma" w:hAnsi="Tahoma" w:cs="Tahoma"/>
                <w:sz w:val="20"/>
                <w:szCs w:val="20"/>
              </w:rPr>
            </w:pPr>
            <w:r w:rsidRPr="00DC693B">
              <w:rPr>
                <w:rFonts w:ascii="Tahoma" w:hAnsi="Tahoma" w:cs="Tahoma"/>
                <w:sz w:val="20"/>
                <w:szCs w:val="20"/>
              </w:rPr>
              <w:t>3000-3301, 4511, 4582</w:t>
            </w:r>
          </w:p>
        </w:tc>
      </w:tr>
      <w:tr w:rsidR="003E2FCA" w14:paraId="374EC43C" w14:textId="77777777" w:rsidTr="00C720A8">
        <w:trPr>
          <w:trHeight w:val="692"/>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24A025FF" w14:textId="77777777" w:rsidR="003E2FCA" w:rsidRPr="00DC693B" w:rsidRDefault="003E2FCA" w:rsidP="00C720A8">
            <w:pPr>
              <w:jc w:val="center"/>
              <w:rPr>
                <w:rFonts w:ascii="Tahoma" w:hAnsi="Tahoma" w:cs="Tahoma"/>
                <w:sz w:val="20"/>
                <w:szCs w:val="20"/>
              </w:rPr>
            </w:pPr>
            <w:r w:rsidRPr="00DC693B">
              <w:rPr>
                <w:rFonts w:ascii="Tahoma" w:hAnsi="Tahoma" w:cs="Tahoma"/>
                <w:sz w:val="20"/>
                <w:szCs w:val="20"/>
              </w:rPr>
              <w:t>5.18.</w:t>
            </w:r>
          </w:p>
        </w:tc>
        <w:tc>
          <w:tcPr>
            <w:tcW w:w="7507" w:type="dxa"/>
            <w:tcBorders>
              <w:top w:val="nil"/>
              <w:left w:val="nil"/>
              <w:bottom w:val="single" w:sz="4" w:space="0" w:color="auto"/>
              <w:right w:val="single" w:sz="4" w:space="0" w:color="auto"/>
            </w:tcBorders>
            <w:shd w:val="clear" w:color="auto" w:fill="auto"/>
            <w:vAlign w:val="center"/>
          </w:tcPr>
          <w:p w14:paraId="2EDE6F45" w14:textId="77777777" w:rsidR="003E2FCA" w:rsidRPr="00DC693B" w:rsidRDefault="003E2FCA" w:rsidP="00C720A8">
            <w:pPr>
              <w:rPr>
                <w:rFonts w:ascii="Tahoma" w:hAnsi="Tahoma" w:cs="Tahoma"/>
                <w:b/>
                <w:bCs/>
                <w:sz w:val="20"/>
                <w:szCs w:val="20"/>
              </w:rPr>
            </w:pPr>
            <w:r w:rsidRPr="00DC693B">
              <w:rPr>
                <w:rFonts w:ascii="Tahoma" w:hAnsi="Tahoma" w:cs="Tahoma"/>
                <w:b/>
                <w:bCs/>
                <w:sz w:val="20"/>
                <w:szCs w:val="20"/>
              </w:rPr>
              <w:t>Отели</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tcPr>
          <w:p w14:paraId="265F766C" w14:textId="77777777" w:rsidR="003E2FCA" w:rsidRPr="00DC693B" w:rsidRDefault="003E2FCA" w:rsidP="00C720A8">
            <w:pPr>
              <w:jc w:val="center"/>
              <w:rPr>
                <w:rFonts w:ascii="Tahoma" w:hAnsi="Tahoma" w:cs="Tahoma"/>
                <w:sz w:val="20"/>
                <w:szCs w:val="20"/>
              </w:rPr>
            </w:pPr>
            <w:r w:rsidRPr="00DC693B">
              <w:rPr>
                <w:rFonts w:ascii="Tahoma" w:hAnsi="Tahoma" w:cs="Tahoma"/>
                <w:sz w:val="20"/>
                <w:szCs w:val="20"/>
              </w:rPr>
              <w:t>3501-3799, 7032, 3618, 7011</w:t>
            </w:r>
          </w:p>
        </w:tc>
      </w:tr>
      <w:tr w:rsidR="003E2FCA" w14:paraId="307067B4" w14:textId="77777777" w:rsidTr="00C720A8">
        <w:trPr>
          <w:trHeight w:val="659"/>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63CAF1B5" w14:textId="77777777" w:rsidR="003E2FCA" w:rsidRPr="00DC693B" w:rsidRDefault="003E2FCA" w:rsidP="00C720A8">
            <w:pPr>
              <w:jc w:val="center"/>
              <w:rPr>
                <w:rFonts w:ascii="Tahoma" w:hAnsi="Tahoma" w:cs="Tahoma"/>
                <w:sz w:val="20"/>
                <w:szCs w:val="20"/>
              </w:rPr>
            </w:pPr>
            <w:r w:rsidRPr="00DC693B">
              <w:rPr>
                <w:rFonts w:ascii="Tahoma" w:hAnsi="Tahoma" w:cs="Tahoma"/>
                <w:sz w:val="20"/>
                <w:szCs w:val="20"/>
              </w:rPr>
              <w:t>5.19.</w:t>
            </w:r>
          </w:p>
        </w:tc>
        <w:tc>
          <w:tcPr>
            <w:tcW w:w="7507" w:type="dxa"/>
            <w:tcBorders>
              <w:top w:val="nil"/>
              <w:left w:val="nil"/>
              <w:bottom w:val="single" w:sz="4" w:space="0" w:color="auto"/>
              <w:right w:val="single" w:sz="4" w:space="0" w:color="auto"/>
            </w:tcBorders>
            <w:shd w:val="clear" w:color="auto" w:fill="auto"/>
            <w:vAlign w:val="center"/>
          </w:tcPr>
          <w:p w14:paraId="7BA7AAA1" w14:textId="77777777" w:rsidR="003E2FCA" w:rsidRPr="00DC693B" w:rsidRDefault="003E2FCA" w:rsidP="00C720A8">
            <w:pPr>
              <w:rPr>
                <w:rFonts w:ascii="Tahoma" w:hAnsi="Tahoma" w:cs="Tahoma"/>
                <w:b/>
                <w:bCs/>
                <w:sz w:val="20"/>
                <w:szCs w:val="20"/>
              </w:rPr>
            </w:pPr>
            <w:r w:rsidRPr="00DC693B">
              <w:rPr>
                <w:rFonts w:ascii="Tahoma" w:hAnsi="Tahoma" w:cs="Tahoma"/>
                <w:b/>
                <w:bCs/>
                <w:sz w:val="20"/>
                <w:szCs w:val="20"/>
              </w:rPr>
              <w:t>Цветы</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tcPr>
          <w:p w14:paraId="6A49E8AF" w14:textId="77777777" w:rsidR="003E2FCA" w:rsidRPr="00DC693B" w:rsidRDefault="003E2FCA" w:rsidP="00C720A8">
            <w:pPr>
              <w:jc w:val="center"/>
              <w:rPr>
                <w:rFonts w:ascii="Tahoma" w:hAnsi="Tahoma" w:cs="Tahoma"/>
                <w:sz w:val="20"/>
                <w:szCs w:val="20"/>
              </w:rPr>
            </w:pPr>
            <w:r w:rsidRPr="00DC693B">
              <w:rPr>
                <w:rFonts w:ascii="Tahoma" w:hAnsi="Tahoma" w:cs="Tahoma"/>
                <w:sz w:val="20"/>
                <w:szCs w:val="20"/>
              </w:rPr>
              <w:t>5193, 5992</w:t>
            </w:r>
          </w:p>
        </w:tc>
      </w:tr>
      <w:tr w:rsidR="003E2FCA" w14:paraId="32208EC1" w14:textId="77777777" w:rsidTr="00C720A8">
        <w:trPr>
          <w:trHeight w:val="991"/>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63472DF8" w14:textId="77777777" w:rsidR="003E2FCA" w:rsidRPr="00DC693B" w:rsidRDefault="003E2FCA" w:rsidP="00C720A8">
            <w:pPr>
              <w:jc w:val="center"/>
              <w:rPr>
                <w:rFonts w:ascii="Tahoma" w:hAnsi="Tahoma" w:cs="Tahoma"/>
                <w:sz w:val="20"/>
                <w:szCs w:val="20"/>
              </w:rPr>
            </w:pPr>
            <w:r w:rsidRPr="00DC693B">
              <w:rPr>
                <w:rFonts w:ascii="Tahoma" w:hAnsi="Tahoma" w:cs="Tahoma"/>
                <w:sz w:val="20"/>
                <w:szCs w:val="20"/>
              </w:rPr>
              <w:t>5.20.</w:t>
            </w:r>
          </w:p>
        </w:tc>
        <w:tc>
          <w:tcPr>
            <w:tcW w:w="7507" w:type="dxa"/>
            <w:tcBorders>
              <w:top w:val="nil"/>
              <w:left w:val="nil"/>
              <w:bottom w:val="single" w:sz="4" w:space="0" w:color="auto"/>
              <w:right w:val="single" w:sz="4" w:space="0" w:color="auto"/>
            </w:tcBorders>
            <w:shd w:val="clear" w:color="auto" w:fill="auto"/>
            <w:vAlign w:val="center"/>
          </w:tcPr>
          <w:p w14:paraId="3CBB6B2B" w14:textId="77777777" w:rsidR="003E2FCA" w:rsidRPr="00DC693B" w:rsidRDefault="003E2FCA" w:rsidP="00C720A8">
            <w:pPr>
              <w:rPr>
                <w:rFonts w:ascii="Tahoma" w:hAnsi="Tahoma" w:cs="Tahoma"/>
                <w:sz w:val="20"/>
                <w:szCs w:val="20"/>
              </w:rPr>
            </w:pPr>
            <w:r w:rsidRPr="00DC693B">
              <w:rPr>
                <w:rFonts w:ascii="Tahoma" w:hAnsi="Tahoma" w:cs="Tahoma"/>
                <w:b/>
                <w:bCs/>
                <w:sz w:val="20"/>
                <w:szCs w:val="20"/>
              </w:rPr>
              <w:t>Супермаркеты:</w:t>
            </w:r>
            <w:r w:rsidRPr="00DC693B">
              <w:rPr>
                <w:rFonts w:ascii="Tahoma" w:hAnsi="Tahoma" w:cs="Tahoma"/>
                <w:sz w:val="20"/>
                <w:szCs w:val="20"/>
              </w:rPr>
              <w:t xml:space="preserve"> бакалейные магазины, кондитерские, булочные, продажа мяса и молочных продуктов</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tcPr>
          <w:p w14:paraId="7D0B35EC" w14:textId="77777777" w:rsidR="003E2FCA" w:rsidRPr="00DC693B" w:rsidRDefault="003E2FCA" w:rsidP="00C720A8">
            <w:pPr>
              <w:jc w:val="center"/>
              <w:rPr>
                <w:rFonts w:ascii="Tahoma" w:hAnsi="Tahoma" w:cs="Tahoma"/>
                <w:sz w:val="20"/>
                <w:szCs w:val="20"/>
              </w:rPr>
            </w:pPr>
            <w:r w:rsidRPr="00DC693B">
              <w:rPr>
                <w:rFonts w:ascii="Tahoma" w:hAnsi="Tahoma" w:cs="Tahoma"/>
                <w:sz w:val="20"/>
                <w:szCs w:val="20"/>
              </w:rPr>
              <w:t>5411, 5412, 5422, 5441, 5451, 5462, 5499, 5921</w:t>
            </w:r>
          </w:p>
        </w:tc>
      </w:tr>
      <w:tr w:rsidR="003E2FCA" w14:paraId="32AE9462" w14:textId="77777777" w:rsidTr="00C720A8">
        <w:trPr>
          <w:trHeight w:val="300"/>
        </w:trPr>
        <w:tc>
          <w:tcPr>
            <w:tcW w:w="715" w:type="dxa"/>
            <w:tcBorders>
              <w:top w:val="nil"/>
              <w:left w:val="single" w:sz="4" w:space="0" w:color="auto"/>
              <w:bottom w:val="single" w:sz="4" w:space="0" w:color="auto"/>
              <w:right w:val="single" w:sz="4" w:space="0" w:color="auto"/>
            </w:tcBorders>
            <w:shd w:val="clear" w:color="000000" w:fill="808080"/>
            <w:noWrap/>
            <w:vAlign w:val="center"/>
            <w:hideMark/>
          </w:tcPr>
          <w:p w14:paraId="26114ADF" w14:textId="77777777" w:rsidR="003E2FCA" w:rsidRDefault="003E2FCA" w:rsidP="00C720A8">
            <w:pPr>
              <w:jc w:val="center"/>
              <w:rPr>
                <w:rFonts w:ascii="Tahoma" w:hAnsi="Tahoma" w:cs="Tahoma"/>
                <w:b/>
                <w:bCs/>
                <w:color w:val="FFFFFF"/>
                <w:sz w:val="20"/>
                <w:szCs w:val="20"/>
              </w:rPr>
            </w:pPr>
            <w:r>
              <w:rPr>
                <w:rFonts w:ascii="Tahoma" w:hAnsi="Tahoma" w:cs="Tahoma"/>
                <w:b/>
                <w:bCs/>
                <w:color w:val="FFFFFF"/>
                <w:sz w:val="20"/>
                <w:szCs w:val="20"/>
              </w:rPr>
              <w:t>6.</w:t>
            </w:r>
          </w:p>
        </w:tc>
        <w:tc>
          <w:tcPr>
            <w:tcW w:w="14616" w:type="dxa"/>
            <w:gridSpan w:val="5"/>
            <w:tcBorders>
              <w:top w:val="single" w:sz="4" w:space="0" w:color="auto"/>
              <w:left w:val="nil"/>
              <w:bottom w:val="single" w:sz="4" w:space="0" w:color="auto"/>
              <w:right w:val="single" w:sz="4" w:space="0" w:color="000000"/>
            </w:tcBorders>
            <w:shd w:val="clear" w:color="000000" w:fill="808080"/>
            <w:noWrap/>
            <w:vAlign w:val="center"/>
            <w:hideMark/>
          </w:tcPr>
          <w:p w14:paraId="00720ECE" w14:textId="77777777" w:rsidR="003E2FCA" w:rsidRDefault="003E2FCA" w:rsidP="00C720A8">
            <w:pPr>
              <w:rPr>
                <w:rFonts w:ascii="Tahoma" w:hAnsi="Tahoma" w:cs="Tahoma"/>
                <w:b/>
                <w:bCs/>
                <w:color w:val="FFFFFF"/>
                <w:sz w:val="20"/>
                <w:szCs w:val="20"/>
              </w:rPr>
            </w:pPr>
            <w:r>
              <w:rPr>
                <w:rFonts w:ascii="Tahoma" w:hAnsi="Tahoma" w:cs="Tahoma"/>
                <w:b/>
                <w:bCs/>
                <w:color w:val="FFFFFF"/>
                <w:sz w:val="20"/>
                <w:szCs w:val="20"/>
              </w:rPr>
              <w:t>Условия прекращения действия ранее начисленных Баллов</w:t>
            </w:r>
          </w:p>
        </w:tc>
      </w:tr>
      <w:tr w:rsidR="003E2FCA" w14:paraId="34C0EDE2" w14:textId="77777777" w:rsidTr="00C720A8">
        <w:trPr>
          <w:trHeight w:val="660"/>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F3922" w14:textId="77777777" w:rsidR="003E2FCA" w:rsidRDefault="003E2FCA" w:rsidP="00C720A8">
            <w:pPr>
              <w:jc w:val="center"/>
              <w:rPr>
                <w:rFonts w:ascii="Tahoma" w:hAnsi="Tahoma" w:cs="Tahoma"/>
                <w:sz w:val="20"/>
                <w:szCs w:val="20"/>
              </w:rPr>
            </w:pPr>
            <w:r>
              <w:rPr>
                <w:rFonts w:ascii="Tahoma" w:hAnsi="Tahoma" w:cs="Tahoma"/>
                <w:sz w:val="20"/>
                <w:szCs w:val="20"/>
              </w:rPr>
              <w:t>6.1.</w:t>
            </w:r>
          </w:p>
        </w:tc>
        <w:tc>
          <w:tcPr>
            <w:tcW w:w="7536" w:type="dxa"/>
            <w:gridSpan w:val="2"/>
            <w:tcBorders>
              <w:top w:val="single" w:sz="4" w:space="0" w:color="auto"/>
              <w:left w:val="nil"/>
              <w:bottom w:val="single" w:sz="4" w:space="0" w:color="auto"/>
              <w:right w:val="single" w:sz="4" w:space="0" w:color="auto"/>
            </w:tcBorders>
            <w:shd w:val="clear" w:color="000000" w:fill="FFFFFF"/>
            <w:vAlign w:val="center"/>
            <w:hideMark/>
          </w:tcPr>
          <w:p w14:paraId="21BFC846" w14:textId="77777777" w:rsidR="003E2FCA" w:rsidRPr="004F6CC7" w:rsidRDefault="003E2FCA" w:rsidP="00C720A8">
            <w:pPr>
              <w:rPr>
                <w:rFonts w:ascii="Tahoma" w:hAnsi="Tahoma" w:cs="Tahoma"/>
                <w:sz w:val="20"/>
                <w:szCs w:val="20"/>
              </w:rPr>
            </w:pPr>
            <w:r w:rsidRPr="004F6CC7">
              <w:rPr>
                <w:rFonts w:ascii="Tahoma" w:hAnsi="Tahoma" w:cs="Tahoma"/>
                <w:sz w:val="20"/>
                <w:szCs w:val="20"/>
              </w:rPr>
              <w:t>Максимальный срок действия начисленных Баллов (с даты их фактического начисления)</w:t>
            </w:r>
            <w:r w:rsidRPr="004F6CC7">
              <w:rPr>
                <w:rFonts w:ascii="Tahoma" w:hAnsi="Tahoma" w:cs="Tahoma"/>
                <w:sz w:val="20"/>
                <w:szCs w:val="20"/>
                <w:vertAlign w:val="superscript"/>
              </w:rPr>
              <w:t>9</w:t>
            </w:r>
          </w:p>
        </w:tc>
        <w:tc>
          <w:tcPr>
            <w:tcW w:w="7080" w:type="dxa"/>
            <w:gridSpan w:val="3"/>
            <w:tcBorders>
              <w:top w:val="single" w:sz="4" w:space="0" w:color="auto"/>
              <w:left w:val="nil"/>
              <w:bottom w:val="single" w:sz="4" w:space="0" w:color="auto"/>
              <w:right w:val="single" w:sz="4" w:space="0" w:color="000000"/>
            </w:tcBorders>
            <w:shd w:val="clear" w:color="000000" w:fill="FFFFFF"/>
            <w:noWrap/>
            <w:vAlign w:val="center"/>
            <w:hideMark/>
          </w:tcPr>
          <w:p w14:paraId="5572EB7D" w14:textId="77777777" w:rsidR="003E2FCA" w:rsidRPr="004F6CC7" w:rsidRDefault="003E2FCA" w:rsidP="00C720A8">
            <w:pPr>
              <w:jc w:val="center"/>
              <w:rPr>
                <w:rFonts w:ascii="Tahoma" w:hAnsi="Tahoma" w:cs="Tahoma"/>
                <w:sz w:val="20"/>
                <w:szCs w:val="20"/>
              </w:rPr>
            </w:pPr>
            <w:r w:rsidRPr="004F6CC7">
              <w:rPr>
                <w:rFonts w:ascii="Tahoma" w:hAnsi="Tahoma" w:cs="Tahoma"/>
                <w:sz w:val="20"/>
                <w:szCs w:val="20"/>
              </w:rPr>
              <w:t>6 (шесть) месяцев</w:t>
            </w:r>
          </w:p>
        </w:tc>
      </w:tr>
      <w:tr w:rsidR="003E2FCA" w14:paraId="552D5F9D" w14:textId="77777777" w:rsidTr="00C720A8">
        <w:trPr>
          <w:trHeight w:val="300"/>
        </w:trPr>
        <w:tc>
          <w:tcPr>
            <w:tcW w:w="715" w:type="dxa"/>
            <w:tcBorders>
              <w:top w:val="nil"/>
              <w:left w:val="single" w:sz="4" w:space="0" w:color="auto"/>
              <w:bottom w:val="single" w:sz="4" w:space="0" w:color="auto"/>
              <w:right w:val="single" w:sz="4" w:space="0" w:color="auto"/>
            </w:tcBorders>
            <w:shd w:val="clear" w:color="000000" w:fill="808080"/>
            <w:noWrap/>
            <w:vAlign w:val="center"/>
            <w:hideMark/>
          </w:tcPr>
          <w:p w14:paraId="6872B7EA" w14:textId="77777777" w:rsidR="003E2FCA" w:rsidRDefault="003E2FCA" w:rsidP="00C720A8">
            <w:pPr>
              <w:jc w:val="center"/>
              <w:rPr>
                <w:rFonts w:ascii="Tahoma" w:hAnsi="Tahoma" w:cs="Tahoma"/>
                <w:b/>
                <w:bCs/>
                <w:color w:val="FFFFFF"/>
                <w:sz w:val="20"/>
                <w:szCs w:val="20"/>
              </w:rPr>
            </w:pPr>
            <w:r>
              <w:rPr>
                <w:rFonts w:ascii="Tahoma" w:hAnsi="Tahoma" w:cs="Tahoma"/>
                <w:b/>
                <w:bCs/>
                <w:color w:val="FFFFFF"/>
                <w:sz w:val="20"/>
                <w:szCs w:val="20"/>
              </w:rPr>
              <w:t>7.</w:t>
            </w:r>
          </w:p>
        </w:tc>
        <w:tc>
          <w:tcPr>
            <w:tcW w:w="14616" w:type="dxa"/>
            <w:gridSpan w:val="5"/>
            <w:tcBorders>
              <w:top w:val="single" w:sz="4" w:space="0" w:color="auto"/>
              <w:left w:val="nil"/>
              <w:bottom w:val="single" w:sz="4" w:space="0" w:color="auto"/>
              <w:right w:val="single" w:sz="4" w:space="0" w:color="000000"/>
            </w:tcBorders>
            <w:shd w:val="clear" w:color="000000" w:fill="808080"/>
            <w:noWrap/>
            <w:vAlign w:val="center"/>
            <w:hideMark/>
          </w:tcPr>
          <w:p w14:paraId="14066A6C" w14:textId="77777777" w:rsidR="003E2FCA" w:rsidRDefault="003E2FCA" w:rsidP="00C720A8">
            <w:pPr>
              <w:rPr>
                <w:rFonts w:ascii="Tahoma" w:hAnsi="Tahoma" w:cs="Tahoma"/>
                <w:b/>
                <w:bCs/>
                <w:color w:val="FFFFFF"/>
                <w:sz w:val="20"/>
                <w:szCs w:val="20"/>
              </w:rPr>
            </w:pPr>
            <w:r>
              <w:rPr>
                <w:rFonts w:ascii="Tahoma" w:hAnsi="Tahoma" w:cs="Tahoma"/>
                <w:b/>
                <w:bCs/>
                <w:color w:val="FFFFFF"/>
                <w:sz w:val="20"/>
                <w:szCs w:val="20"/>
              </w:rPr>
              <w:t>Условия отключения Программы по инициативе Банка</w:t>
            </w:r>
          </w:p>
        </w:tc>
      </w:tr>
      <w:tr w:rsidR="003E2FCA" w14:paraId="207B155E" w14:textId="77777777" w:rsidTr="00C720A8">
        <w:trPr>
          <w:trHeight w:val="375"/>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14:paraId="48B9F495" w14:textId="77777777" w:rsidR="003E2FCA" w:rsidRDefault="003E2FCA" w:rsidP="00C720A8">
            <w:pPr>
              <w:jc w:val="center"/>
              <w:rPr>
                <w:rFonts w:ascii="Tahoma" w:hAnsi="Tahoma" w:cs="Tahoma"/>
                <w:sz w:val="20"/>
                <w:szCs w:val="20"/>
              </w:rPr>
            </w:pPr>
            <w:r>
              <w:rPr>
                <w:rFonts w:ascii="Tahoma" w:hAnsi="Tahoma" w:cs="Tahoma"/>
                <w:sz w:val="20"/>
                <w:szCs w:val="20"/>
              </w:rPr>
              <w:t>7.1.</w:t>
            </w:r>
          </w:p>
        </w:tc>
        <w:tc>
          <w:tcPr>
            <w:tcW w:w="14616" w:type="dxa"/>
            <w:gridSpan w:val="5"/>
            <w:tcBorders>
              <w:top w:val="single" w:sz="4" w:space="0" w:color="auto"/>
              <w:left w:val="nil"/>
              <w:bottom w:val="single" w:sz="4" w:space="0" w:color="auto"/>
              <w:right w:val="single" w:sz="4" w:space="0" w:color="000000"/>
            </w:tcBorders>
            <w:shd w:val="clear" w:color="000000" w:fill="FFFFFF"/>
            <w:vAlign w:val="center"/>
            <w:hideMark/>
          </w:tcPr>
          <w:p w14:paraId="20E8DD36" w14:textId="77777777" w:rsidR="003E2FCA" w:rsidRPr="007A6E49" w:rsidRDefault="003E2FCA" w:rsidP="00C720A8">
            <w:pPr>
              <w:rPr>
                <w:rFonts w:ascii="Tahoma" w:hAnsi="Tahoma" w:cs="Tahoma"/>
                <w:sz w:val="20"/>
                <w:szCs w:val="20"/>
              </w:rPr>
            </w:pPr>
            <w:r w:rsidRPr="007A6E49">
              <w:rPr>
                <w:rFonts w:ascii="Tahoma" w:hAnsi="Tahoma" w:cs="Tahoma"/>
                <w:sz w:val="20"/>
                <w:szCs w:val="20"/>
              </w:rPr>
              <w:t>Банк вправе приостановить в отношении Клиента действие Программы в одностороннем порядке по основаниям, изложенным в Программе лояльности.</w:t>
            </w:r>
          </w:p>
        </w:tc>
      </w:tr>
    </w:tbl>
    <w:p w14:paraId="2CEF8C32" w14:textId="77777777" w:rsidR="003E2FCA" w:rsidRPr="004C6D38" w:rsidRDefault="003E2FCA" w:rsidP="003E2FCA">
      <w:pPr>
        <w:ind w:firstLine="142"/>
        <w:rPr>
          <w:rFonts w:ascii="Tahoma" w:hAnsi="Tahoma" w:cs="Tahoma"/>
          <w:sz w:val="18"/>
          <w:szCs w:val="22"/>
        </w:rPr>
      </w:pPr>
      <w:r w:rsidRPr="004C6D38">
        <w:rPr>
          <w:rFonts w:ascii="Tahoma" w:hAnsi="Tahoma" w:cs="Tahoma"/>
          <w:b/>
          <w:sz w:val="18"/>
          <w:szCs w:val="22"/>
        </w:rPr>
        <w:t>Примечания:</w:t>
      </w:r>
    </w:p>
    <w:tbl>
      <w:tblPr>
        <w:tblpPr w:leftFromText="180" w:rightFromText="180" w:vertAnchor="text" w:tblpY="1"/>
        <w:tblOverlap w:val="never"/>
        <w:tblW w:w="15309" w:type="dxa"/>
        <w:tblLook w:val="04A0" w:firstRow="1" w:lastRow="0" w:firstColumn="1" w:lastColumn="0" w:noHBand="0" w:noVBand="1"/>
      </w:tblPr>
      <w:tblGrid>
        <w:gridCol w:w="15309"/>
      </w:tblGrid>
      <w:tr w:rsidR="003E2FCA" w14:paraId="0820B385" w14:textId="77777777" w:rsidTr="00C720A8">
        <w:trPr>
          <w:trHeight w:val="285"/>
        </w:trPr>
        <w:tc>
          <w:tcPr>
            <w:tcW w:w="15309" w:type="dxa"/>
            <w:tcBorders>
              <w:top w:val="nil"/>
              <w:left w:val="nil"/>
              <w:bottom w:val="nil"/>
              <w:right w:val="nil"/>
            </w:tcBorders>
            <w:shd w:val="clear" w:color="000000" w:fill="FFFFFF"/>
            <w:hideMark/>
          </w:tcPr>
          <w:p w14:paraId="7CE213DB" w14:textId="77777777" w:rsidR="003E2FCA" w:rsidRPr="00B00547" w:rsidRDefault="003E2FCA" w:rsidP="00C720A8">
            <w:pPr>
              <w:jc w:val="both"/>
              <w:rPr>
                <w:rFonts w:ascii="Tahoma" w:hAnsi="Tahoma" w:cs="Tahoma"/>
                <w:sz w:val="18"/>
                <w:szCs w:val="18"/>
              </w:rPr>
            </w:pPr>
            <w:r w:rsidRPr="00B00547">
              <w:rPr>
                <w:rFonts w:ascii="Tahoma" w:hAnsi="Tahoma" w:cs="Tahoma"/>
                <w:sz w:val="18"/>
                <w:szCs w:val="18"/>
                <w:vertAlign w:val="superscript"/>
              </w:rPr>
              <w:t>1</w:t>
            </w:r>
            <w:r w:rsidRPr="00B00547">
              <w:rPr>
                <w:rFonts w:ascii="Tahoma" w:hAnsi="Tahoma" w:cs="Tahoma"/>
                <w:sz w:val="18"/>
                <w:szCs w:val="18"/>
              </w:rPr>
              <w:t>Банк – «Азиатско-Тихоокеанский Банк» (Акционерное общество).</w:t>
            </w:r>
          </w:p>
        </w:tc>
      </w:tr>
      <w:tr w:rsidR="003E2FCA" w14:paraId="612C8080" w14:textId="77777777" w:rsidTr="00C720A8">
        <w:trPr>
          <w:trHeight w:val="525"/>
        </w:trPr>
        <w:tc>
          <w:tcPr>
            <w:tcW w:w="15309" w:type="dxa"/>
            <w:tcBorders>
              <w:top w:val="nil"/>
              <w:left w:val="nil"/>
              <w:bottom w:val="nil"/>
              <w:right w:val="nil"/>
            </w:tcBorders>
            <w:shd w:val="clear" w:color="auto" w:fill="auto"/>
            <w:hideMark/>
          </w:tcPr>
          <w:p w14:paraId="6993ABA3" w14:textId="77777777" w:rsidR="003E2FCA" w:rsidRPr="00B00547" w:rsidRDefault="003E2FCA" w:rsidP="00C720A8">
            <w:pPr>
              <w:jc w:val="both"/>
              <w:rPr>
                <w:rFonts w:ascii="Tahoma" w:hAnsi="Tahoma" w:cs="Tahoma"/>
                <w:sz w:val="18"/>
                <w:szCs w:val="18"/>
              </w:rPr>
            </w:pPr>
            <w:r w:rsidRPr="00B00547">
              <w:rPr>
                <w:rFonts w:ascii="Tahoma" w:hAnsi="Tahoma" w:cs="Tahoma"/>
                <w:sz w:val="18"/>
                <w:szCs w:val="18"/>
                <w:vertAlign w:val="superscript"/>
              </w:rPr>
              <w:t>2</w:t>
            </w:r>
            <w:r w:rsidRPr="00B00547">
              <w:rPr>
                <w:rFonts w:ascii="Tahoma" w:hAnsi="Tahoma" w:cs="Tahoma"/>
                <w:sz w:val="18"/>
                <w:szCs w:val="18"/>
              </w:rPr>
              <w:t>Ограничение по минимальному транзакционному обороту применяется с первого полного календарного месяца, следующего за месяцем, в котором Клиенту была выдана Банковская карта. При расчете минимального транзакционного оборота учитываются операции в Торгово-сервисных предприятиях (за исключением операций, подпадающих в список исключений МСС-кодов, в соответствии с п.2.</w:t>
            </w:r>
            <w:r>
              <w:rPr>
                <w:rFonts w:ascii="Tahoma" w:hAnsi="Tahoma" w:cs="Tahoma"/>
                <w:sz w:val="18"/>
                <w:szCs w:val="18"/>
              </w:rPr>
              <w:t>7</w:t>
            </w:r>
            <w:r w:rsidRPr="00B00547">
              <w:rPr>
                <w:rFonts w:ascii="Tahoma" w:hAnsi="Tahoma" w:cs="Tahoma"/>
                <w:sz w:val="18"/>
                <w:szCs w:val="18"/>
              </w:rPr>
              <w:t xml:space="preserve"> Программы), округленные в меньшую сторону до суммы кратной 100 рублям.</w:t>
            </w:r>
          </w:p>
        </w:tc>
      </w:tr>
      <w:tr w:rsidR="003E2FCA" w14:paraId="62930745" w14:textId="77777777" w:rsidTr="00C720A8">
        <w:trPr>
          <w:trHeight w:val="147"/>
        </w:trPr>
        <w:tc>
          <w:tcPr>
            <w:tcW w:w="15309" w:type="dxa"/>
            <w:tcBorders>
              <w:top w:val="nil"/>
              <w:left w:val="nil"/>
              <w:bottom w:val="nil"/>
              <w:right w:val="nil"/>
            </w:tcBorders>
            <w:shd w:val="clear" w:color="auto" w:fill="auto"/>
            <w:hideMark/>
          </w:tcPr>
          <w:p w14:paraId="034AAB1C" w14:textId="77777777" w:rsidR="003E2FCA" w:rsidRPr="00B00547" w:rsidRDefault="003E2FCA" w:rsidP="00C720A8">
            <w:pPr>
              <w:jc w:val="both"/>
              <w:rPr>
                <w:rFonts w:ascii="Tahoma" w:hAnsi="Tahoma" w:cs="Tahoma"/>
                <w:sz w:val="18"/>
                <w:szCs w:val="18"/>
              </w:rPr>
            </w:pPr>
            <w:r w:rsidRPr="00B00547">
              <w:rPr>
                <w:rFonts w:ascii="Tahoma" w:hAnsi="Tahoma" w:cs="Tahoma"/>
                <w:sz w:val="18"/>
                <w:szCs w:val="18"/>
                <w:vertAlign w:val="superscript"/>
              </w:rPr>
              <w:t>3</w:t>
            </w:r>
            <w:r w:rsidRPr="00B00547">
              <w:rPr>
                <w:rFonts w:ascii="Tahoma" w:hAnsi="Tahoma" w:cs="Tahoma"/>
                <w:sz w:val="18"/>
                <w:szCs w:val="18"/>
              </w:rPr>
              <w:t>Если сумма накопленных Баллов превышает лимит списания, указанный в п.2.5. Программы, остатком Баллов можно воспользоваться в следующем периоде (месяце).</w:t>
            </w:r>
          </w:p>
        </w:tc>
      </w:tr>
      <w:tr w:rsidR="003E2FCA" w14:paraId="0F2C5264" w14:textId="77777777" w:rsidTr="00C720A8">
        <w:trPr>
          <w:trHeight w:val="238"/>
        </w:trPr>
        <w:tc>
          <w:tcPr>
            <w:tcW w:w="15309" w:type="dxa"/>
            <w:tcBorders>
              <w:top w:val="nil"/>
              <w:left w:val="nil"/>
              <w:bottom w:val="nil"/>
              <w:right w:val="nil"/>
            </w:tcBorders>
            <w:shd w:val="clear" w:color="auto" w:fill="auto"/>
            <w:hideMark/>
          </w:tcPr>
          <w:p w14:paraId="3D8AC174" w14:textId="77777777" w:rsidR="003E2FCA" w:rsidRPr="00B00547" w:rsidRDefault="003E2FCA" w:rsidP="00C720A8">
            <w:pPr>
              <w:jc w:val="both"/>
              <w:rPr>
                <w:rFonts w:ascii="Tahoma" w:hAnsi="Tahoma" w:cs="Tahoma"/>
                <w:sz w:val="18"/>
                <w:szCs w:val="18"/>
              </w:rPr>
            </w:pPr>
            <w:r w:rsidRPr="00B00547">
              <w:rPr>
                <w:rFonts w:ascii="Tahoma" w:hAnsi="Tahoma" w:cs="Tahoma"/>
                <w:sz w:val="18"/>
                <w:szCs w:val="18"/>
                <w:vertAlign w:val="superscript"/>
              </w:rPr>
              <w:t>4</w:t>
            </w:r>
            <w:r w:rsidRPr="00B00547">
              <w:rPr>
                <w:rFonts w:ascii="Tahoma" w:hAnsi="Tahoma" w:cs="Tahoma"/>
                <w:sz w:val="18"/>
                <w:szCs w:val="18"/>
              </w:rPr>
              <w:t>Клиент – физическое лицо, заключившее с Банком Договоры Карт.</w:t>
            </w:r>
          </w:p>
        </w:tc>
      </w:tr>
      <w:tr w:rsidR="003E2FCA" w14:paraId="5F685291" w14:textId="77777777" w:rsidTr="00C720A8">
        <w:trPr>
          <w:trHeight w:val="345"/>
        </w:trPr>
        <w:tc>
          <w:tcPr>
            <w:tcW w:w="15309" w:type="dxa"/>
            <w:tcBorders>
              <w:top w:val="nil"/>
              <w:left w:val="nil"/>
              <w:bottom w:val="nil"/>
              <w:right w:val="nil"/>
            </w:tcBorders>
            <w:shd w:val="clear" w:color="auto" w:fill="auto"/>
            <w:hideMark/>
          </w:tcPr>
          <w:p w14:paraId="3261723D" w14:textId="77777777" w:rsidR="003E2FCA" w:rsidRPr="00B00547" w:rsidRDefault="003E2FCA" w:rsidP="00C720A8">
            <w:pPr>
              <w:jc w:val="both"/>
              <w:rPr>
                <w:rFonts w:ascii="Tahoma" w:hAnsi="Tahoma" w:cs="Tahoma"/>
                <w:sz w:val="18"/>
                <w:szCs w:val="18"/>
              </w:rPr>
            </w:pPr>
            <w:r w:rsidRPr="00B00547">
              <w:rPr>
                <w:rFonts w:ascii="Tahoma" w:hAnsi="Tahoma" w:cs="Tahoma"/>
                <w:sz w:val="18"/>
                <w:szCs w:val="18"/>
                <w:vertAlign w:val="superscript"/>
              </w:rPr>
              <w:t>5</w:t>
            </w:r>
            <w:r w:rsidRPr="00B00547">
              <w:rPr>
                <w:rFonts w:ascii="Tahoma" w:hAnsi="Tahoma" w:cs="Tahoma"/>
                <w:sz w:val="18"/>
                <w:szCs w:val="18"/>
              </w:rPr>
              <w:t>Максимально-допустимое суммарное количество Баллов, начисленных на Бонусный счет Клиента, за транзакционный оборот по Банковской карте, выпущенной в рамках Тарифного плана, в соответствии с п.1.1 Программы.</w:t>
            </w:r>
          </w:p>
        </w:tc>
      </w:tr>
      <w:tr w:rsidR="003E2FCA" w14:paraId="38EBE825" w14:textId="77777777" w:rsidTr="00C720A8">
        <w:trPr>
          <w:trHeight w:val="300"/>
        </w:trPr>
        <w:tc>
          <w:tcPr>
            <w:tcW w:w="15309" w:type="dxa"/>
            <w:tcBorders>
              <w:top w:val="nil"/>
              <w:left w:val="nil"/>
              <w:bottom w:val="nil"/>
              <w:right w:val="nil"/>
            </w:tcBorders>
            <w:shd w:val="clear" w:color="auto" w:fill="auto"/>
            <w:vAlign w:val="center"/>
            <w:hideMark/>
          </w:tcPr>
          <w:p w14:paraId="40347EA9" w14:textId="77777777" w:rsidR="003E2FCA" w:rsidRPr="00B00547" w:rsidRDefault="003E2FCA" w:rsidP="00C720A8">
            <w:pPr>
              <w:jc w:val="both"/>
              <w:rPr>
                <w:rFonts w:ascii="Tahoma" w:hAnsi="Tahoma" w:cs="Tahoma"/>
                <w:sz w:val="18"/>
                <w:szCs w:val="18"/>
              </w:rPr>
            </w:pPr>
            <w:r w:rsidRPr="00B00547">
              <w:rPr>
                <w:rFonts w:ascii="Tahoma" w:hAnsi="Tahoma" w:cs="Tahoma"/>
                <w:sz w:val="18"/>
                <w:szCs w:val="18"/>
                <w:vertAlign w:val="superscript"/>
              </w:rPr>
              <w:t>6</w:t>
            </w:r>
            <w:r w:rsidRPr="00B00547">
              <w:rPr>
                <w:rFonts w:ascii="Tahoma" w:hAnsi="Tahoma" w:cs="Tahoma"/>
                <w:sz w:val="18"/>
                <w:szCs w:val="18"/>
              </w:rPr>
              <w:t>Под «Заработной платой» понимаются исключительно поступления денежных средств на счет Карты Клиента, которые можно отнести к таковым согласно действующему законодательству Российской Федерации.</w:t>
            </w:r>
          </w:p>
        </w:tc>
      </w:tr>
      <w:tr w:rsidR="003E2FCA" w14:paraId="1EB89B2B" w14:textId="77777777" w:rsidTr="00C720A8">
        <w:trPr>
          <w:trHeight w:val="300"/>
        </w:trPr>
        <w:tc>
          <w:tcPr>
            <w:tcW w:w="15309" w:type="dxa"/>
            <w:tcBorders>
              <w:top w:val="nil"/>
              <w:left w:val="nil"/>
              <w:bottom w:val="nil"/>
              <w:right w:val="nil"/>
            </w:tcBorders>
            <w:shd w:val="clear" w:color="auto" w:fill="auto"/>
            <w:hideMark/>
          </w:tcPr>
          <w:p w14:paraId="4D35A99C" w14:textId="77777777" w:rsidR="003E2FCA" w:rsidRPr="00B00547" w:rsidRDefault="003E2FCA" w:rsidP="00C720A8">
            <w:pPr>
              <w:jc w:val="both"/>
              <w:rPr>
                <w:rFonts w:ascii="Tahoma" w:hAnsi="Tahoma" w:cs="Tahoma"/>
                <w:sz w:val="18"/>
                <w:szCs w:val="18"/>
              </w:rPr>
            </w:pPr>
            <w:r w:rsidRPr="00B00547">
              <w:rPr>
                <w:rFonts w:ascii="Tahoma" w:hAnsi="Tahoma" w:cs="Tahoma"/>
                <w:sz w:val="18"/>
                <w:szCs w:val="18"/>
                <w:vertAlign w:val="superscript"/>
              </w:rPr>
              <w:t>7</w:t>
            </w:r>
            <w:r w:rsidRPr="00B00547">
              <w:rPr>
                <w:rFonts w:ascii="Tahoma" w:hAnsi="Tahoma" w:cs="Tahoma"/>
                <w:sz w:val="18"/>
                <w:szCs w:val="18"/>
              </w:rPr>
              <w:t xml:space="preserve">При расчёте Баллов сумма покупки округляется в меньшую сторону до кратной 100 рублям. На остаток суммы транзакции (не кратный 100 рублям) Баллы не начисляются. </w:t>
            </w:r>
          </w:p>
        </w:tc>
      </w:tr>
      <w:tr w:rsidR="003E2FCA" w14:paraId="58568412" w14:textId="77777777" w:rsidTr="00C720A8">
        <w:trPr>
          <w:trHeight w:val="300"/>
        </w:trPr>
        <w:tc>
          <w:tcPr>
            <w:tcW w:w="15309" w:type="dxa"/>
            <w:tcBorders>
              <w:top w:val="nil"/>
              <w:left w:val="nil"/>
              <w:bottom w:val="nil"/>
              <w:right w:val="nil"/>
            </w:tcBorders>
            <w:shd w:val="clear" w:color="auto" w:fill="auto"/>
            <w:hideMark/>
          </w:tcPr>
          <w:p w14:paraId="2B257DC4" w14:textId="77777777" w:rsidR="003E2FCA" w:rsidRPr="00B00547" w:rsidRDefault="003E2FCA" w:rsidP="00C720A8">
            <w:pPr>
              <w:jc w:val="both"/>
              <w:rPr>
                <w:rFonts w:ascii="Tahoma" w:hAnsi="Tahoma" w:cs="Tahoma"/>
                <w:sz w:val="18"/>
                <w:szCs w:val="18"/>
              </w:rPr>
            </w:pPr>
            <w:r w:rsidRPr="00B00547">
              <w:rPr>
                <w:rFonts w:ascii="Tahoma" w:hAnsi="Tahoma" w:cs="Tahoma"/>
                <w:sz w:val="18"/>
                <w:szCs w:val="18"/>
                <w:vertAlign w:val="superscript"/>
              </w:rPr>
              <w:t>8</w:t>
            </w:r>
            <w:r w:rsidRPr="00B00547">
              <w:rPr>
                <w:rFonts w:ascii="Tahoma" w:hAnsi="Tahoma" w:cs="Tahoma"/>
                <w:sz w:val="18"/>
                <w:szCs w:val="18"/>
              </w:rPr>
              <w:t>Клиентом может быть подключена только одна Категория повышенных Баллов в отчётном периоде (месяце).</w:t>
            </w:r>
            <w:r w:rsidRPr="00F00134">
              <w:rPr>
                <w:rFonts w:ascii="Tahoma" w:hAnsi="Tahoma" w:cs="Tahoma"/>
                <w:sz w:val="18"/>
                <w:szCs w:val="18"/>
              </w:rPr>
              <w:t>Банк на ежемесячной основе не позднее 25 числа каждого календарного месяца определяет перечень категорий, доступных Клиенту для подключения в Личном кабинете для начисления Баллов за покупки в отдельных категориях на следующий календарный месяц.</w:t>
            </w:r>
          </w:p>
        </w:tc>
      </w:tr>
      <w:tr w:rsidR="003E2FCA" w14:paraId="76AB723E" w14:textId="77777777" w:rsidTr="00C720A8">
        <w:trPr>
          <w:trHeight w:val="300"/>
        </w:trPr>
        <w:tc>
          <w:tcPr>
            <w:tcW w:w="15309" w:type="dxa"/>
            <w:tcBorders>
              <w:top w:val="nil"/>
              <w:left w:val="nil"/>
              <w:bottom w:val="nil"/>
              <w:right w:val="nil"/>
            </w:tcBorders>
            <w:shd w:val="clear" w:color="auto" w:fill="auto"/>
            <w:noWrap/>
            <w:hideMark/>
          </w:tcPr>
          <w:p w14:paraId="0A158567" w14:textId="77777777" w:rsidR="003E2FCA" w:rsidRPr="00B00547" w:rsidRDefault="003E2FCA" w:rsidP="00C720A8">
            <w:pPr>
              <w:jc w:val="both"/>
              <w:rPr>
                <w:rFonts w:ascii="Tahoma" w:hAnsi="Tahoma" w:cs="Tahoma"/>
                <w:sz w:val="18"/>
                <w:szCs w:val="18"/>
              </w:rPr>
            </w:pPr>
            <w:r w:rsidRPr="00B00547">
              <w:rPr>
                <w:rFonts w:ascii="Tahoma" w:hAnsi="Tahoma" w:cs="Tahoma"/>
                <w:sz w:val="18"/>
                <w:szCs w:val="18"/>
                <w:vertAlign w:val="superscript"/>
              </w:rPr>
              <w:t>9</w:t>
            </w:r>
            <w:r w:rsidRPr="00B00547">
              <w:rPr>
                <w:rFonts w:ascii="Tahoma" w:hAnsi="Tahoma" w:cs="Tahoma"/>
                <w:sz w:val="18"/>
                <w:szCs w:val="18"/>
              </w:rPr>
              <w:t>Если Клиент не воспользовался Баллами в течении указанного срока, то они сгорают (списываются) без возможности их использования Клиентом, а также без возможности их возмещения Клиенту.</w:t>
            </w:r>
          </w:p>
        </w:tc>
      </w:tr>
      <w:tr w:rsidR="003E2FCA" w14:paraId="0DD08315" w14:textId="77777777" w:rsidTr="00C720A8">
        <w:trPr>
          <w:trHeight w:val="540"/>
        </w:trPr>
        <w:tc>
          <w:tcPr>
            <w:tcW w:w="15309" w:type="dxa"/>
            <w:tcBorders>
              <w:top w:val="nil"/>
              <w:left w:val="nil"/>
              <w:bottom w:val="nil"/>
              <w:right w:val="nil"/>
            </w:tcBorders>
            <w:shd w:val="clear" w:color="auto" w:fill="auto"/>
            <w:hideMark/>
          </w:tcPr>
          <w:p w14:paraId="2A4AACB6" w14:textId="77777777" w:rsidR="003E2FCA" w:rsidRPr="00B00547" w:rsidRDefault="003E2FCA" w:rsidP="00C720A8">
            <w:pPr>
              <w:jc w:val="both"/>
              <w:rPr>
                <w:rFonts w:ascii="Tahoma" w:hAnsi="Tahoma" w:cs="Tahoma"/>
                <w:sz w:val="18"/>
                <w:szCs w:val="18"/>
              </w:rPr>
            </w:pPr>
            <w:r w:rsidRPr="00B00547">
              <w:rPr>
                <w:rFonts w:ascii="Tahoma" w:hAnsi="Tahoma" w:cs="Tahoma"/>
                <w:sz w:val="18"/>
                <w:szCs w:val="18"/>
              </w:rPr>
              <w:t>Термины, значение которым не приведено в Программе, применяются в значении, указанном в Программе лояльности и Универсальном договоре банковского обслуживания физических лиц «Азиатско-Тихоокеанский Банк» (АО), размещенных на Сайте Банка и в Подразделениях Банка.</w:t>
            </w:r>
          </w:p>
        </w:tc>
      </w:tr>
    </w:tbl>
    <w:p w14:paraId="246A0181" w14:textId="77777777" w:rsidR="00F41C17" w:rsidRPr="00F41C17" w:rsidRDefault="00F41C17" w:rsidP="00F41C17">
      <w:pPr>
        <w:rPr>
          <w:rFonts w:ascii="Tahoma" w:hAnsi="Tahoma" w:cs="Tahoma"/>
          <w:b/>
          <w:bCs/>
          <w:iCs/>
          <w:color w:val="E36C0A"/>
          <w:sz w:val="22"/>
          <w:szCs w:val="22"/>
        </w:rPr>
      </w:pPr>
    </w:p>
    <w:p w14:paraId="4BC1A1EA" w14:textId="7BC051D0" w:rsidR="00567578" w:rsidRPr="00B76708" w:rsidRDefault="000B3718" w:rsidP="000B3718">
      <w:pPr>
        <w:pStyle w:val="a5"/>
      </w:pPr>
      <w:r>
        <w:t xml:space="preserve">4.14. </w:t>
      </w:r>
      <w:r w:rsidR="00567578" w:rsidRPr="00B76708">
        <w:t>Бонусная Программа «Премиум-бонус» для держателей Программы банковских услуг «Статус»</w:t>
      </w:r>
    </w:p>
    <w:p w14:paraId="5E6D6EE3" w14:textId="0B030796" w:rsidR="00567578" w:rsidRDefault="00567578" w:rsidP="000B3718">
      <w:pPr>
        <w:pStyle w:val="a5"/>
        <w:rPr>
          <w:rFonts w:eastAsia="Calibri"/>
          <w:lang w:eastAsia="en-US"/>
        </w:rPr>
      </w:pPr>
      <w:r w:rsidRPr="00567578">
        <w:rPr>
          <w:rFonts w:eastAsia="Calibri"/>
          <w:lang w:eastAsia="en-US"/>
        </w:rPr>
        <w:t>(является неотъемлемой частью Программы лояльности для клиентов-держателей Банковских карт «Азиатско-Тихоокеанский Банк, (АО)»)</w:t>
      </w:r>
    </w:p>
    <w:p w14:paraId="0E46B78C" w14:textId="77777777" w:rsidR="00567578" w:rsidRPr="00567578" w:rsidRDefault="00567578" w:rsidP="00567578">
      <w:pPr>
        <w:tabs>
          <w:tab w:val="left" w:pos="851"/>
        </w:tabs>
        <w:spacing w:line="259" w:lineRule="auto"/>
        <w:jc w:val="both"/>
        <w:rPr>
          <w:rFonts w:ascii="Tahoma" w:eastAsia="Calibri" w:hAnsi="Tahoma" w:cs="Tahoma"/>
          <w:b/>
          <w:bCs/>
          <w:iCs/>
          <w:color w:val="E36C0A"/>
          <w:sz w:val="22"/>
          <w:szCs w:val="22"/>
          <w:lang w:eastAsia="en-US"/>
        </w:rPr>
      </w:pPr>
    </w:p>
    <w:p w14:paraId="2743F559" w14:textId="77777777" w:rsidR="00567578" w:rsidRPr="00567578" w:rsidRDefault="00567578" w:rsidP="00567578">
      <w:pPr>
        <w:spacing w:line="259" w:lineRule="auto"/>
        <w:rPr>
          <w:rFonts w:ascii="Tahoma" w:eastAsia="Calibri" w:hAnsi="Tahoma" w:cs="Tahoma"/>
          <w:bCs/>
          <w:iCs/>
          <w:color w:val="E36C0A"/>
          <w:sz w:val="22"/>
          <w:szCs w:val="22"/>
          <w:lang w:eastAsia="en-US"/>
        </w:rPr>
      </w:pPr>
      <w:r w:rsidRPr="00567578">
        <w:rPr>
          <w:rFonts w:ascii="Tahoma" w:eastAsia="Calibri" w:hAnsi="Tahoma" w:cs="Tahoma"/>
          <w:bCs/>
          <w:iCs/>
          <w:sz w:val="20"/>
          <w:szCs w:val="22"/>
          <w:lang w:eastAsia="en-US"/>
        </w:rPr>
        <w:t>Действует с 06.12.2023г. (с изменениями от 07.10.2024г.)</w:t>
      </w:r>
    </w:p>
    <w:tbl>
      <w:tblPr>
        <w:tblW w:w="0" w:type="auto"/>
        <w:tblInd w:w="-147" w:type="dxa"/>
        <w:tblLook w:val="04A0" w:firstRow="1" w:lastRow="0" w:firstColumn="1" w:lastColumn="0" w:noHBand="0" w:noVBand="1"/>
      </w:tblPr>
      <w:tblGrid>
        <w:gridCol w:w="846"/>
        <w:gridCol w:w="5108"/>
        <w:gridCol w:w="8753"/>
      </w:tblGrid>
      <w:tr w:rsidR="00567578" w:rsidRPr="00567578" w14:paraId="6B1D7AB1" w14:textId="77777777" w:rsidTr="00567578">
        <w:trPr>
          <w:trHeight w:val="360"/>
        </w:trPr>
        <w:tc>
          <w:tcPr>
            <w:tcW w:w="846" w:type="dxa"/>
            <w:tcBorders>
              <w:top w:val="single" w:sz="4" w:space="0" w:color="auto"/>
              <w:left w:val="single" w:sz="4" w:space="0" w:color="auto"/>
              <w:bottom w:val="single" w:sz="4" w:space="0" w:color="auto"/>
              <w:right w:val="single" w:sz="4" w:space="0" w:color="auto"/>
            </w:tcBorders>
            <w:shd w:val="clear" w:color="auto" w:fill="7F7F7F"/>
            <w:noWrap/>
            <w:vAlign w:val="center"/>
            <w:hideMark/>
          </w:tcPr>
          <w:p w14:paraId="75282CF9" w14:textId="77777777" w:rsidR="00567578" w:rsidRPr="00567578" w:rsidRDefault="00567578" w:rsidP="00567578">
            <w:pPr>
              <w:spacing w:after="160" w:line="259" w:lineRule="auto"/>
              <w:jc w:val="center"/>
              <w:rPr>
                <w:rFonts w:ascii="Tahoma" w:eastAsia="Calibri" w:hAnsi="Tahoma" w:cs="Tahoma"/>
                <w:color w:val="000000"/>
                <w:sz w:val="20"/>
                <w:szCs w:val="20"/>
                <w:lang w:eastAsia="en-US"/>
              </w:rPr>
            </w:pPr>
            <w:r w:rsidRPr="00567578">
              <w:rPr>
                <w:rFonts w:ascii="Tahoma" w:eastAsia="Calibri" w:hAnsi="Tahoma" w:cs="Tahoma"/>
                <w:color w:val="FFFFFF"/>
                <w:sz w:val="20"/>
                <w:szCs w:val="20"/>
                <w:lang w:eastAsia="en-US"/>
              </w:rPr>
              <w:t>1.</w:t>
            </w:r>
          </w:p>
        </w:tc>
        <w:tc>
          <w:tcPr>
            <w:tcW w:w="13861" w:type="dxa"/>
            <w:gridSpan w:val="2"/>
            <w:tcBorders>
              <w:top w:val="single" w:sz="4" w:space="0" w:color="auto"/>
              <w:left w:val="single" w:sz="4" w:space="0" w:color="auto"/>
              <w:bottom w:val="single" w:sz="4" w:space="0" w:color="auto"/>
              <w:right w:val="single" w:sz="4" w:space="0" w:color="auto"/>
            </w:tcBorders>
            <w:shd w:val="clear" w:color="auto" w:fill="7F7F7F"/>
            <w:vAlign w:val="center"/>
            <w:hideMark/>
          </w:tcPr>
          <w:p w14:paraId="21523DE7" w14:textId="77777777" w:rsidR="00567578" w:rsidRPr="00567578" w:rsidRDefault="00567578" w:rsidP="00567578">
            <w:pPr>
              <w:spacing w:after="160" w:line="259" w:lineRule="auto"/>
              <w:rPr>
                <w:rFonts w:ascii="Tahoma" w:eastAsia="Calibri" w:hAnsi="Tahoma" w:cs="Tahoma"/>
                <w:b/>
                <w:bCs/>
                <w:color w:val="FFFFFF"/>
                <w:sz w:val="20"/>
                <w:szCs w:val="20"/>
                <w:lang w:eastAsia="en-US"/>
              </w:rPr>
            </w:pPr>
            <w:r w:rsidRPr="00567578">
              <w:rPr>
                <w:rFonts w:ascii="Tahoma" w:eastAsia="Calibri" w:hAnsi="Tahoma" w:cs="Tahoma"/>
                <w:b/>
                <w:bCs/>
                <w:color w:val="FFFFFF"/>
                <w:sz w:val="20"/>
                <w:szCs w:val="20"/>
                <w:lang w:eastAsia="en-US"/>
              </w:rPr>
              <w:t xml:space="preserve">Условия предоставления настоящей Бонусной программы (по тексту – Программа) </w:t>
            </w:r>
          </w:p>
        </w:tc>
      </w:tr>
      <w:tr w:rsidR="00567578" w:rsidRPr="00567578" w14:paraId="5DD40F69" w14:textId="77777777" w:rsidTr="00B86BDE">
        <w:trPr>
          <w:trHeight w:val="405"/>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F8C5D8"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1.1.</w:t>
            </w:r>
          </w:p>
        </w:tc>
        <w:tc>
          <w:tcPr>
            <w:tcW w:w="5108" w:type="dxa"/>
            <w:tcBorders>
              <w:top w:val="single" w:sz="4" w:space="0" w:color="auto"/>
              <w:left w:val="nil"/>
              <w:bottom w:val="single" w:sz="4" w:space="0" w:color="auto"/>
              <w:right w:val="single" w:sz="4" w:space="0" w:color="auto"/>
            </w:tcBorders>
            <w:shd w:val="clear" w:color="000000" w:fill="FFFFFF"/>
            <w:vAlign w:val="center"/>
            <w:hideMark/>
          </w:tcPr>
          <w:p w14:paraId="36CADEE3" w14:textId="77777777" w:rsidR="00567578" w:rsidRPr="00567578" w:rsidRDefault="00567578" w:rsidP="00567578">
            <w:pPr>
              <w:spacing w:after="160" w:line="259" w:lineRule="auto"/>
              <w:rPr>
                <w:rFonts w:ascii="Tahoma" w:eastAsia="Calibri" w:hAnsi="Tahoma" w:cs="Tahoma"/>
                <w:color w:val="000000"/>
                <w:sz w:val="20"/>
                <w:szCs w:val="20"/>
                <w:lang w:eastAsia="en-US"/>
              </w:rPr>
            </w:pPr>
            <w:r w:rsidRPr="00567578">
              <w:rPr>
                <w:rFonts w:ascii="Tahoma" w:eastAsia="Calibri" w:hAnsi="Tahoma" w:cs="Tahoma"/>
                <w:color w:val="000000"/>
                <w:sz w:val="20"/>
                <w:szCs w:val="20"/>
                <w:lang w:eastAsia="en-US"/>
              </w:rPr>
              <w:t>Применимые к Программе тарифные планы Банка</w:t>
            </w:r>
            <w:r w:rsidRPr="00567578">
              <w:rPr>
                <w:rFonts w:ascii="Tahoma" w:eastAsia="Calibri" w:hAnsi="Tahoma" w:cs="Tahoma"/>
                <w:color w:val="000000"/>
                <w:sz w:val="20"/>
                <w:szCs w:val="20"/>
                <w:vertAlign w:val="superscript"/>
                <w:lang w:eastAsia="en-US"/>
              </w:rPr>
              <w:t>1</w:t>
            </w:r>
          </w:p>
        </w:tc>
        <w:tc>
          <w:tcPr>
            <w:tcW w:w="8753" w:type="dxa"/>
            <w:tcBorders>
              <w:top w:val="single" w:sz="4" w:space="0" w:color="auto"/>
              <w:left w:val="nil"/>
              <w:bottom w:val="single" w:sz="4" w:space="0" w:color="auto"/>
              <w:right w:val="single" w:sz="4" w:space="0" w:color="auto"/>
            </w:tcBorders>
            <w:shd w:val="clear" w:color="auto" w:fill="auto"/>
            <w:vAlign w:val="center"/>
            <w:hideMark/>
          </w:tcPr>
          <w:p w14:paraId="1FD58821"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Программа банковских услуг «Статус» и Программа банковских услуг «Статус Плюс».</w:t>
            </w:r>
          </w:p>
        </w:tc>
      </w:tr>
      <w:tr w:rsidR="00567578" w:rsidRPr="00567578" w14:paraId="4A940D72" w14:textId="77777777" w:rsidTr="00B86BDE">
        <w:trPr>
          <w:trHeight w:val="94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2B601C8B"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1.2.</w:t>
            </w:r>
          </w:p>
        </w:tc>
        <w:tc>
          <w:tcPr>
            <w:tcW w:w="5108" w:type="dxa"/>
            <w:tcBorders>
              <w:top w:val="nil"/>
              <w:left w:val="nil"/>
              <w:bottom w:val="single" w:sz="4" w:space="0" w:color="auto"/>
              <w:right w:val="single" w:sz="4" w:space="0" w:color="auto"/>
            </w:tcBorders>
            <w:shd w:val="clear" w:color="000000" w:fill="FFFFFF"/>
            <w:vAlign w:val="center"/>
            <w:hideMark/>
          </w:tcPr>
          <w:p w14:paraId="2133BB78"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Общие условия Программы</w:t>
            </w:r>
          </w:p>
        </w:tc>
        <w:tc>
          <w:tcPr>
            <w:tcW w:w="8753" w:type="dxa"/>
            <w:tcBorders>
              <w:top w:val="nil"/>
              <w:left w:val="nil"/>
              <w:bottom w:val="single" w:sz="4" w:space="0" w:color="auto"/>
              <w:right w:val="single" w:sz="4" w:space="0" w:color="auto"/>
            </w:tcBorders>
            <w:shd w:val="clear" w:color="auto" w:fill="auto"/>
            <w:vAlign w:val="center"/>
            <w:hideMark/>
          </w:tcPr>
          <w:p w14:paraId="58AB9C32"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В соответствии с Программой лояльности для клиентов-держателей Банковских карт «Азиатско-Тихоокеанский Банк (АО)», размещенной на Сайте Банка www.atb.su и в Подразделениях Банка (по тексту – Программа лояльности).</w:t>
            </w:r>
          </w:p>
        </w:tc>
      </w:tr>
      <w:tr w:rsidR="00567578" w:rsidRPr="00567578" w14:paraId="6C91FB28" w14:textId="77777777" w:rsidTr="00B86BDE">
        <w:trPr>
          <w:trHeight w:val="713"/>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2CD49BBE"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1.3.</w:t>
            </w:r>
          </w:p>
        </w:tc>
        <w:tc>
          <w:tcPr>
            <w:tcW w:w="5108" w:type="dxa"/>
            <w:tcBorders>
              <w:top w:val="nil"/>
              <w:left w:val="nil"/>
              <w:bottom w:val="single" w:sz="4" w:space="0" w:color="auto"/>
              <w:right w:val="single" w:sz="4" w:space="0" w:color="auto"/>
            </w:tcBorders>
            <w:shd w:val="clear" w:color="000000" w:fill="FFFFFF"/>
            <w:vAlign w:val="center"/>
            <w:hideMark/>
          </w:tcPr>
          <w:p w14:paraId="73678CE1"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Условная единица, используемая Банком для расчета размера выплаты денежных средств по Программе лояльности</w:t>
            </w:r>
          </w:p>
        </w:tc>
        <w:tc>
          <w:tcPr>
            <w:tcW w:w="8753" w:type="dxa"/>
            <w:tcBorders>
              <w:top w:val="nil"/>
              <w:left w:val="nil"/>
              <w:bottom w:val="single" w:sz="4" w:space="0" w:color="auto"/>
              <w:right w:val="single" w:sz="4" w:space="0" w:color="auto"/>
            </w:tcBorders>
            <w:shd w:val="clear" w:color="auto" w:fill="auto"/>
            <w:vAlign w:val="center"/>
            <w:hideMark/>
          </w:tcPr>
          <w:p w14:paraId="6694912B"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Балл</w:t>
            </w:r>
          </w:p>
        </w:tc>
      </w:tr>
      <w:tr w:rsidR="00567578" w:rsidRPr="00567578" w14:paraId="2362BE1A" w14:textId="77777777" w:rsidTr="00B86BDE">
        <w:trPr>
          <w:trHeight w:val="47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375D13E2"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1.4.</w:t>
            </w:r>
          </w:p>
        </w:tc>
        <w:tc>
          <w:tcPr>
            <w:tcW w:w="5108" w:type="dxa"/>
            <w:tcBorders>
              <w:top w:val="nil"/>
              <w:left w:val="nil"/>
              <w:bottom w:val="single" w:sz="4" w:space="0" w:color="auto"/>
              <w:right w:val="single" w:sz="4" w:space="0" w:color="auto"/>
            </w:tcBorders>
            <w:shd w:val="clear" w:color="000000" w:fill="FFFFFF"/>
            <w:vAlign w:val="center"/>
            <w:hideMark/>
          </w:tcPr>
          <w:p w14:paraId="08D0A3BD"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Принцип выплаты рассчитанных Баллов</w:t>
            </w:r>
          </w:p>
        </w:tc>
        <w:tc>
          <w:tcPr>
            <w:tcW w:w="8753" w:type="dxa"/>
            <w:tcBorders>
              <w:top w:val="nil"/>
              <w:left w:val="nil"/>
              <w:bottom w:val="single" w:sz="4" w:space="0" w:color="auto"/>
              <w:right w:val="single" w:sz="4" w:space="0" w:color="auto"/>
            </w:tcBorders>
            <w:shd w:val="clear" w:color="auto" w:fill="auto"/>
            <w:vAlign w:val="center"/>
            <w:hideMark/>
          </w:tcPr>
          <w:p w14:paraId="47264CF2"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Зачисление Баллов производится ежемесячно на специальный бонусный счет Участника в Личном кабинете в порядке и в сроки, указанные в Программе лояльности.</w:t>
            </w:r>
          </w:p>
        </w:tc>
      </w:tr>
      <w:tr w:rsidR="00567578" w:rsidRPr="00567578" w14:paraId="6DBB67AA" w14:textId="77777777" w:rsidTr="00B86BDE">
        <w:trPr>
          <w:trHeight w:val="360"/>
        </w:trPr>
        <w:tc>
          <w:tcPr>
            <w:tcW w:w="846" w:type="dxa"/>
            <w:tcBorders>
              <w:top w:val="nil"/>
              <w:left w:val="single" w:sz="4" w:space="0" w:color="auto"/>
              <w:bottom w:val="single" w:sz="4" w:space="0" w:color="auto"/>
              <w:right w:val="single" w:sz="4" w:space="0" w:color="auto"/>
            </w:tcBorders>
            <w:shd w:val="clear" w:color="000000" w:fill="757171"/>
            <w:noWrap/>
            <w:vAlign w:val="center"/>
            <w:hideMark/>
          </w:tcPr>
          <w:p w14:paraId="1E23AB49" w14:textId="77777777" w:rsidR="00567578" w:rsidRPr="00567578" w:rsidRDefault="00567578" w:rsidP="00567578">
            <w:pPr>
              <w:spacing w:after="160" w:line="259" w:lineRule="auto"/>
              <w:jc w:val="center"/>
              <w:rPr>
                <w:rFonts w:ascii="Tahoma" w:eastAsia="Calibri" w:hAnsi="Tahoma" w:cs="Tahoma"/>
                <w:b/>
                <w:bCs/>
                <w:color w:val="FFFFFF"/>
                <w:sz w:val="20"/>
                <w:szCs w:val="20"/>
                <w:lang w:eastAsia="en-US"/>
              </w:rPr>
            </w:pPr>
            <w:r w:rsidRPr="00567578">
              <w:rPr>
                <w:rFonts w:ascii="Tahoma" w:eastAsia="Calibri" w:hAnsi="Tahoma" w:cs="Tahoma"/>
                <w:b/>
                <w:bCs/>
                <w:color w:val="FFFFFF"/>
                <w:sz w:val="20"/>
                <w:szCs w:val="20"/>
                <w:lang w:eastAsia="en-US"/>
              </w:rPr>
              <w:t>2.</w:t>
            </w:r>
          </w:p>
        </w:tc>
        <w:tc>
          <w:tcPr>
            <w:tcW w:w="5108" w:type="dxa"/>
            <w:tcBorders>
              <w:top w:val="nil"/>
              <w:left w:val="nil"/>
              <w:bottom w:val="single" w:sz="4" w:space="0" w:color="auto"/>
              <w:right w:val="single" w:sz="4" w:space="0" w:color="auto"/>
            </w:tcBorders>
            <w:shd w:val="clear" w:color="000000" w:fill="757171"/>
            <w:noWrap/>
            <w:vAlign w:val="center"/>
            <w:hideMark/>
          </w:tcPr>
          <w:p w14:paraId="596EE011" w14:textId="77777777" w:rsidR="00567578" w:rsidRPr="00567578" w:rsidRDefault="00567578" w:rsidP="00567578">
            <w:pPr>
              <w:spacing w:after="160" w:line="259" w:lineRule="auto"/>
              <w:rPr>
                <w:rFonts w:ascii="Tahoma" w:eastAsia="Calibri" w:hAnsi="Tahoma" w:cs="Tahoma"/>
                <w:b/>
                <w:bCs/>
                <w:color w:val="FFFFFF"/>
                <w:sz w:val="20"/>
                <w:szCs w:val="20"/>
                <w:lang w:eastAsia="en-US"/>
              </w:rPr>
            </w:pPr>
            <w:r w:rsidRPr="00567578">
              <w:rPr>
                <w:rFonts w:ascii="Tahoma" w:eastAsia="Calibri" w:hAnsi="Tahoma" w:cs="Tahoma"/>
                <w:b/>
                <w:bCs/>
                <w:color w:val="FFFFFF"/>
                <w:sz w:val="20"/>
                <w:szCs w:val="20"/>
                <w:lang w:eastAsia="en-US"/>
              </w:rPr>
              <w:t>Ограничения применимости</w:t>
            </w:r>
          </w:p>
        </w:tc>
        <w:tc>
          <w:tcPr>
            <w:tcW w:w="8753" w:type="dxa"/>
            <w:tcBorders>
              <w:top w:val="nil"/>
              <w:left w:val="nil"/>
              <w:bottom w:val="single" w:sz="4" w:space="0" w:color="auto"/>
              <w:right w:val="single" w:sz="4" w:space="0" w:color="auto"/>
            </w:tcBorders>
            <w:shd w:val="clear" w:color="000000" w:fill="757171"/>
            <w:noWrap/>
            <w:vAlign w:val="center"/>
            <w:hideMark/>
          </w:tcPr>
          <w:p w14:paraId="0D96D022" w14:textId="77777777" w:rsidR="00567578" w:rsidRPr="00567578" w:rsidRDefault="00567578" w:rsidP="00567578">
            <w:pPr>
              <w:spacing w:after="160" w:line="259" w:lineRule="auto"/>
              <w:jc w:val="center"/>
              <w:rPr>
                <w:rFonts w:ascii="Tahoma" w:eastAsia="Calibri" w:hAnsi="Tahoma" w:cs="Tahoma"/>
                <w:b/>
                <w:bCs/>
                <w:sz w:val="20"/>
                <w:szCs w:val="20"/>
                <w:lang w:eastAsia="en-US"/>
              </w:rPr>
            </w:pPr>
            <w:r w:rsidRPr="00567578">
              <w:rPr>
                <w:rFonts w:ascii="Tahoma" w:eastAsia="Calibri" w:hAnsi="Tahoma" w:cs="Tahoma"/>
                <w:b/>
                <w:bCs/>
                <w:sz w:val="20"/>
                <w:szCs w:val="20"/>
                <w:lang w:eastAsia="en-US"/>
              </w:rPr>
              <w:t> </w:t>
            </w:r>
          </w:p>
        </w:tc>
      </w:tr>
      <w:tr w:rsidR="00567578" w:rsidRPr="00567578" w14:paraId="74017F13" w14:textId="77777777" w:rsidTr="00B86BDE">
        <w:trPr>
          <w:trHeight w:val="486"/>
        </w:trPr>
        <w:tc>
          <w:tcPr>
            <w:tcW w:w="846" w:type="dxa"/>
            <w:tcBorders>
              <w:top w:val="nil"/>
              <w:left w:val="single" w:sz="4" w:space="0" w:color="auto"/>
              <w:bottom w:val="single" w:sz="4" w:space="0" w:color="auto"/>
              <w:right w:val="single" w:sz="4" w:space="0" w:color="auto"/>
            </w:tcBorders>
            <w:shd w:val="clear" w:color="000000" w:fill="FFFFFF"/>
            <w:noWrap/>
            <w:vAlign w:val="center"/>
            <w:hideMark/>
          </w:tcPr>
          <w:p w14:paraId="4984D141"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2.1.</w:t>
            </w:r>
          </w:p>
        </w:tc>
        <w:tc>
          <w:tcPr>
            <w:tcW w:w="5108" w:type="dxa"/>
            <w:tcBorders>
              <w:top w:val="nil"/>
              <w:left w:val="nil"/>
              <w:bottom w:val="single" w:sz="4" w:space="0" w:color="auto"/>
              <w:right w:val="nil"/>
            </w:tcBorders>
            <w:shd w:val="clear" w:color="000000" w:fill="FFFFFF"/>
            <w:vAlign w:val="center"/>
            <w:hideMark/>
          </w:tcPr>
          <w:p w14:paraId="075C850E"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Общие ограничения применимости Программы, участия, расчета и начисления баллов</w:t>
            </w:r>
          </w:p>
        </w:tc>
        <w:tc>
          <w:tcPr>
            <w:tcW w:w="8753" w:type="dxa"/>
            <w:tcBorders>
              <w:top w:val="nil"/>
              <w:left w:val="single" w:sz="4" w:space="0" w:color="auto"/>
              <w:bottom w:val="single" w:sz="4" w:space="0" w:color="auto"/>
              <w:right w:val="single" w:sz="4" w:space="0" w:color="auto"/>
            </w:tcBorders>
            <w:shd w:val="clear" w:color="auto" w:fill="auto"/>
            <w:vAlign w:val="center"/>
            <w:hideMark/>
          </w:tcPr>
          <w:p w14:paraId="036926C8"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В соответствии с Программой лояльности</w:t>
            </w:r>
          </w:p>
        </w:tc>
      </w:tr>
      <w:tr w:rsidR="00567578" w:rsidRPr="00567578" w14:paraId="286718AF" w14:textId="77777777" w:rsidTr="00B86BDE">
        <w:trPr>
          <w:trHeight w:val="369"/>
        </w:trPr>
        <w:tc>
          <w:tcPr>
            <w:tcW w:w="846" w:type="dxa"/>
            <w:tcBorders>
              <w:top w:val="nil"/>
              <w:left w:val="single" w:sz="4" w:space="0" w:color="auto"/>
              <w:bottom w:val="single" w:sz="4" w:space="0" w:color="auto"/>
              <w:right w:val="single" w:sz="4" w:space="0" w:color="auto"/>
            </w:tcBorders>
            <w:shd w:val="clear" w:color="000000" w:fill="FFFFFF"/>
            <w:noWrap/>
            <w:vAlign w:val="center"/>
            <w:hideMark/>
          </w:tcPr>
          <w:p w14:paraId="7874F37C"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2.2.</w:t>
            </w:r>
          </w:p>
        </w:tc>
        <w:tc>
          <w:tcPr>
            <w:tcW w:w="5108" w:type="dxa"/>
            <w:tcBorders>
              <w:top w:val="nil"/>
              <w:left w:val="nil"/>
              <w:bottom w:val="single" w:sz="4" w:space="0" w:color="auto"/>
              <w:right w:val="single" w:sz="4" w:space="0" w:color="auto"/>
            </w:tcBorders>
            <w:shd w:val="clear" w:color="000000" w:fill="FFFFFF"/>
            <w:vAlign w:val="center"/>
            <w:hideMark/>
          </w:tcPr>
          <w:p w14:paraId="39ADD85B"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Максимальная сумма одной транзакции для расчета Баллов, в месяц</w:t>
            </w:r>
          </w:p>
        </w:tc>
        <w:tc>
          <w:tcPr>
            <w:tcW w:w="8753" w:type="dxa"/>
            <w:tcBorders>
              <w:top w:val="nil"/>
              <w:left w:val="nil"/>
              <w:bottom w:val="single" w:sz="4" w:space="0" w:color="auto"/>
              <w:right w:val="single" w:sz="4" w:space="0" w:color="auto"/>
            </w:tcBorders>
            <w:shd w:val="clear" w:color="000000" w:fill="FFFFFF"/>
            <w:noWrap/>
            <w:vAlign w:val="center"/>
            <w:hideMark/>
          </w:tcPr>
          <w:p w14:paraId="5D51DBB8"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без ограничений</w:t>
            </w:r>
          </w:p>
        </w:tc>
      </w:tr>
      <w:tr w:rsidR="00567578" w:rsidRPr="00567578" w14:paraId="4630C572" w14:textId="77777777" w:rsidTr="00B86BDE">
        <w:trPr>
          <w:trHeight w:val="141"/>
        </w:trPr>
        <w:tc>
          <w:tcPr>
            <w:tcW w:w="846" w:type="dxa"/>
            <w:tcBorders>
              <w:top w:val="nil"/>
              <w:left w:val="single" w:sz="4" w:space="0" w:color="auto"/>
              <w:bottom w:val="single" w:sz="4" w:space="0" w:color="auto"/>
              <w:right w:val="single" w:sz="4" w:space="0" w:color="auto"/>
            </w:tcBorders>
            <w:shd w:val="clear" w:color="000000" w:fill="FFFFFF"/>
            <w:noWrap/>
            <w:vAlign w:val="center"/>
            <w:hideMark/>
          </w:tcPr>
          <w:p w14:paraId="162AA833"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2.3.</w:t>
            </w:r>
          </w:p>
        </w:tc>
        <w:tc>
          <w:tcPr>
            <w:tcW w:w="5108" w:type="dxa"/>
            <w:tcBorders>
              <w:top w:val="nil"/>
              <w:left w:val="nil"/>
              <w:bottom w:val="single" w:sz="4" w:space="0" w:color="auto"/>
              <w:right w:val="single" w:sz="4" w:space="0" w:color="auto"/>
            </w:tcBorders>
            <w:shd w:val="clear" w:color="000000" w:fill="FFFFFF"/>
            <w:vAlign w:val="center"/>
            <w:hideMark/>
          </w:tcPr>
          <w:p w14:paraId="7D836FF6"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Необходимый минимальный транзакционный оборот для начисления Баллов, в месяц</w:t>
            </w:r>
          </w:p>
        </w:tc>
        <w:tc>
          <w:tcPr>
            <w:tcW w:w="8753" w:type="dxa"/>
            <w:tcBorders>
              <w:top w:val="nil"/>
              <w:left w:val="nil"/>
              <w:bottom w:val="single" w:sz="4" w:space="0" w:color="auto"/>
              <w:right w:val="single" w:sz="4" w:space="0" w:color="auto"/>
            </w:tcBorders>
            <w:shd w:val="clear" w:color="000000" w:fill="FFFFFF"/>
            <w:vAlign w:val="center"/>
            <w:hideMark/>
          </w:tcPr>
          <w:p w14:paraId="366B1C7D"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не менее 5000 рублей</w:t>
            </w:r>
            <w:r w:rsidRPr="00567578">
              <w:rPr>
                <w:rFonts w:ascii="Tahoma" w:eastAsia="Calibri" w:hAnsi="Tahoma" w:cs="Tahoma"/>
                <w:sz w:val="20"/>
                <w:szCs w:val="20"/>
                <w:vertAlign w:val="superscript"/>
                <w:lang w:eastAsia="en-US"/>
              </w:rPr>
              <w:t>2</w:t>
            </w:r>
          </w:p>
        </w:tc>
      </w:tr>
      <w:tr w:rsidR="00567578" w:rsidRPr="00567578" w14:paraId="4711F09D" w14:textId="77777777" w:rsidTr="00B86BDE">
        <w:trPr>
          <w:trHeight w:val="720"/>
        </w:trPr>
        <w:tc>
          <w:tcPr>
            <w:tcW w:w="846" w:type="dxa"/>
            <w:tcBorders>
              <w:top w:val="nil"/>
              <w:left w:val="single" w:sz="4" w:space="0" w:color="auto"/>
              <w:bottom w:val="single" w:sz="4" w:space="0" w:color="auto"/>
              <w:right w:val="single" w:sz="4" w:space="0" w:color="auto"/>
            </w:tcBorders>
            <w:shd w:val="clear" w:color="000000" w:fill="FFFFFF"/>
            <w:noWrap/>
            <w:vAlign w:val="center"/>
            <w:hideMark/>
          </w:tcPr>
          <w:p w14:paraId="58137EAE"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2.4.</w:t>
            </w:r>
          </w:p>
        </w:tc>
        <w:tc>
          <w:tcPr>
            <w:tcW w:w="5108" w:type="dxa"/>
            <w:tcBorders>
              <w:top w:val="nil"/>
              <w:left w:val="nil"/>
              <w:bottom w:val="single" w:sz="4" w:space="0" w:color="auto"/>
              <w:right w:val="single" w:sz="4" w:space="0" w:color="auto"/>
            </w:tcBorders>
            <w:shd w:val="clear" w:color="000000" w:fill="FFFFFF"/>
            <w:vAlign w:val="center"/>
            <w:hideMark/>
          </w:tcPr>
          <w:p w14:paraId="7EEFB1FF"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Минимальная сумма конвертации начисленных Баллов в рубли</w:t>
            </w:r>
          </w:p>
        </w:tc>
        <w:tc>
          <w:tcPr>
            <w:tcW w:w="8753" w:type="dxa"/>
            <w:tcBorders>
              <w:top w:val="nil"/>
              <w:left w:val="nil"/>
              <w:bottom w:val="single" w:sz="4" w:space="0" w:color="auto"/>
              <w:right w:val="single" w:sz="4" w:space="0" w:color="auto"/>
            </w:tcBorders>
            <w:shd w:val="clear" w:color="000000" w:fill="FFFFFF"/>
            <w:noWrap/>
            <w:vAlign w:val="center"/>
            <w:hideMark/>
          </w:tcPr>
          <w:p w14:paraId="4C8C8D34"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1 (один) Балл</w:t>
            </w:r>
          </w:p>
        </w:tc>
      </w:tr>
      <w:tr w:rsidR="00567578" w:rsidRPr="00567578" w14:paraId="79549259" w14:textId="77777777" w:rsidTr="00B86BDE">
        <w:trPr>
          <w:trHeight w:val="668"/>
        </w:trPr>
        <w:tc>
          <w:tcPr>
            <w:tcW w:w="846"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16488005"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2.5.</w:t>
            </w:r>
          </w:p>
        </w:tc>
        <w:tc>
          <w:tcPr>
            <w:tcW w:w="5108"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7663F024"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Максимальная сумма конвертации начисленных Баллов в рубли, в месяц</w:t>
            </w:r>
            <w:r w:rsidRPr="00567578">
              <w:rPr>
                <w:rFonts w:ascii="Tahoma" w:eastAsia="Calibri" w:hAnsi="Tahoma" w:cs="Tahoma"/>
                <w:sz w:val="20"/>
                <w:szCs w:val="20"/>
                <w:vertAlign w:val="superscript"/>
                <w:lang w:eastAsia="en-US"/>
              </w:rPr>
              <w:t>3</w:t>
            </w:r>
          </w:p>
        </w:tc>
        <w:tc>
          <w:tcPr>
            <w:tcW w:w="8753" w:type="dxa"/>
            <w:tcBorders>
              <w:top w:val="single" w:sz="4" w:space="0" w:color="auto"/>
              <w:left w:val="nil"/>
              <w:bottom w:val="single" w:sz="4" w:space="0" w:color="auto"/>
              <w:right w:val="single" w:sz="4" w:space="0" w:color="auto"/>
            </w:tcBorders>
            <w:shd w:val="clear" w:color="000000" w:fill="FFFFFF"/>
            <w:vAlign w:val="center"/>
            <w:hideMark/>
          </w:tcPr>
          <w:p w14:paraId="73009B59"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 xml:space="preserve">Для держателей действующих Банковских карт, выпущенных в рамках Программы банковских услуг «Статус» и «Статус Плюс»: </w:t>
            </w:r>
            <w:r w:rsidRPr="00567578">
              <w:rPr>
                <w:rFonts w:ascii="Tahoma" w:eastAsia="Calibri" w:hAnsi="Tahoma" w:cs="Tahoma"/>
                <w:sz w:val="20"/>
                <w:szCs w:val="20"/>
                <w:lang w:eastAsia="en-US"/>
              </w:rPr>
              <w:br/>
            </w:r>
            <w:r w:rsidRPr="00567578">
              <w:rPr>
                <w:rFonts w:ascii="Tahoma" w:eastAsia="Calibri" w:hAnsi="Tahoma" w:cs="Tahoma"/>
                <w:b/>
                <w:bCs/>
                <w:sz w:val="20"/>
                <w:szCs w:val="20"/>
                <w:lang w:eastAsia="en-US"/>
              </w:rPr>
              <w:t>10 000</w:t>
            </w:r>
            <w:r w:rsidRPr="00567578">
              <w:rPr>
                <w:rFonts w:ascii="Tahoma" w:eastAsia="Calibri" w:hAnsi="Tahoma" w:cs="Tahoma"/>
                <w:sz w:val="20"/>
                <w:szCs w:val="20"/>
                <w:lang w:eastAsia="en-US"/>
              </w:rPr>
              <w:t xml:space="preserve"> (десять тысяч) Баллов в месяц.</w:t>
            </w:r>
          </w:p>
        </w:tc>
      </w:tr>
      <w:tr w:rsidR="00567578" w:rsidRPr="00567578" w14:paraId="5B64EE53" w14:textId="77777777" w:rsidTr="00B86BDE">
        <w:trPr>
          <w:trHeight w:val="1635"/>
        </w:trPr>
        <w:tc>
          <w:tcPr>
            <w:tcW w:w="846" w:type="dxa"/>
            <w:vMerge/>
            <w:tcBorders>
              <w:top w:val="nil"/>
              <w:left w:val="single" w:sz="4" w:space="0" w:color="auto"/>
              <w:bottom w:val="single" w:sz="4" w:space="0" w:color="000000"/>
              <w:right w:val="single" w:sz="4" w:space="0" w:color="auto"/>
            </w:tcBorders>
            <w:vAlign w:val="center"/>
            <w:hideMark/>
          </w:tcPr>
          <w:p w14:paraId="3C7F6BA0" w14:textId="77777777" w:rsidR="00567578" w:rsidRPr="00567578" w:rsidRDefault="00567578" w:rsidP="00567578">
            <w:pPr>
              <w:spacing w:after="160" w:line="259" w:lineRule="auto"/>
              <w:rPr>
                <w:rFonts w:ascii="Tahoma" w:eastAsia="Calibri" w:hAnsi="Tahoma" w:cs="Tahoma"/>
                <w:sz w:val="20"/>
                <w:szCs w:val="20"/>
                <w:lang w:eastAsia="en-US"/>
              </w:rPr>
            </w:pPr>
          </w:p>
        </w:tc>
        <w:tc>
          <w:tcPr>
            <w:tcW w:w="5108" w:type="dxa"/>
            <w:vMerge/>
            <w:tcBorders>
              <w:top w:val="nil"/>
              <w:left w:val="single" w:sz="4" w:space="0" w:color="auto"/>
              <w:bottom w:val="single" w:sz="4" w:space="0" w:color="000000"/>
              <w:right w:val="single" w:sz="4" w:space="0" w:color="auto"/>
            </w:tcBorders>
            <w:vAlign w:val="center"/>
            <w:hideMark/>
          </w:tcPr>
          <w:p w14:paraId="7F50A65F" w14:textId="77777777" w:rsidR="00567578" w:rsidRPr="00567578" w:rsidRDefault="00567578" w:rsidP="00567578">
            <w:pPr>
              <w:spacing w:after="160" w:line="259" w:lineRule="auto"/>
              <w:rPr>
                <w:rFonts w:ascii="Tahoma" w:eastAsia="Calibri" w:hAnsi="Tahoma" w:cs="Tahoma"/>
                <w:sz w:val="20"/>
                <w:szCs w:val="20"/>
                <w:lang w:eastAsia="en-US"/>
              </w:rPr>
            </w:pPr>
          </w:p>
        </w:tc>
        <w:tc>
          <w:tcPr>
            <w:tcW w:w="8753" w:type="dxa"/>
            <w:tcBorders>
              <w:top w:val="single" w:sz="4" w:space="0" w:color="auto"/>
              <w:left w:val="nil"/>
              <w:bottom w:val="single" w:sz="4" w:space="0" w:color="auto"/>
              <w:right w:val="single" w:sz="4" w:space="0" w:color="auto"/>
            </w:tcBorders>
            <w:shd w:val="clear" w:color="000000" w:fill="FFFFFF"/>
            <w:vAlign w:val="center"/>
            <w:hideMark/>
          </w:tcPr>
          <w:p w14:paraId="540B9521"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Для держателей действующей (на дату конвертации Баллов) кредитной Банковской карты (с действующим кредитным договором, заключенным с Банком)/</w:t>
            </w:r>
            <w:r w:rsidRPr="00567578">
              <w:rPr>
                <w:rFonts w:ascii="Tahoma" w:eastAsia="Calibri" w:hAnsi="Tahoma" w:cs="Tahoma"/>
                <w:sz w:val="20"/>
                <w:szCs w:val="20"/>
                <w:lang w:eastAsia="en-US"/>
              </w:rPr>
              <w:br/>
              <w:t>Банковской карты с Бонусной программой «Стандарт-Бонус» или «Стандарт-Бонус лайт», на счет которой Клиенту зачисляется Заработная плата</w:t>
            </w:r>
            <w:r w:rsidRPr="00567578">
              <w:rPr>
                <w:rFonts w:ascii="Tahoma" w:eastAsia="Calibri" w:hAnsi="Tahoma" w:cs="Tahoma"/>
                <w:sz w:val="20"/>
                <w:szCs w:val="20"/>
                <w:vertAlign w:val="superscript"/>
                <w:lang w:eastAsia="en-US"/>
              </w:rPr>
              <w:t>4</w:t>
            </w:r>
            <w:r w:rsidRPr="00567578">
              <w:rPr>
                <w:rFonts w:ascii="Tahoma" w:eastAsia="Calibri" w:hAnsi="Tahoma" w:cs="Tahoma"/>
                <w:sz w:val="20"/>
                <w:szCs w:val="20"/>
                <w:lang w:eastAsia="en-US"/>
              </w:rPr>
              <w:t xml:space="preserve">: </w:t>
            </w:r>
            <w:r w:rsidRPr="00567578">
              <w:rPr>
                <w:rFonts w:ascii="Tahoma" w:eastAsia="Calibri" w:hAnsi="Tahoma" w:cs="Tahoma"/>
                <w:b/>
                <w:bCs/>
                <w:sz w:val="20"/>
                <w:szCs w:val="20"/>
                <w:lang w:eastAsia="en-US"/>
              </w:rPr>
              <w:t>5 000</w:t>
            </w:r>
            <w:r w:rsidRPr="00567578">
              <w:rPr>
                <w:rFonts w:ascii="Tahoma" w:eastAsia="Calibri" w:hAnsi="Tahoma" w:cs="Tahoma"/>
                <w:sz w:val="20"/>
                <w:szCs w:val="20"/>
                <w:lang w:eastAsia="en-US"/>
              </w:rPr>
              <w:t xml:space="preserve"> (пять тысяч) Баллов в месяц.</w:t>
            </w:r>
          </w:p>
        </w:tc>
      </w:tr>
      <w:tr w:rsidR="00567578" w:rsidRPr="00567578" w14:paraId="4213C728" w14:textId="77777777" w:rsidTr="00B86BDE">
        <w:trPr>
          <w:trHeight w:val="70"/>
        </w:trPr>
        <w:tc>
          <w:tcPr>
            <w:tcW w:w="846" w:type="dxa"/>
            <w:vMerge/>
            <w:tcBorders>
              <w:top w:val="nil"/>
              <w:left w:val="single" w:sz="4" w:space="0" w:color="auto"/>
              <w:bottom w:val="single" w:sz="4" w:space="0" w:color="000000"/>
              <w:right w:val="single" w:sz="4" w:space="0" w:color="auto"/>
            </w:tcBorders>
            <w:vAlign w:val="center"/>
            <w:hideMark/>
          </w:tcPr>
          <w:p w14:paraId="4A17D01A" w14:textId="77777777" w:rsidR="00567578" w:rsidRPr="00567578" w:rsidRDefault="00567578" w:rsidP="00567578">
            <w:pPr>
              <w:spacing w:after="160" w:line="259" w:lineRule="auto"/>
              <w:rPr>
                <w:rFonts w:ascii="Tahoma" w:eastAsia="Calibri" w:hAnsi="Tahoma" w:cs="Tahoma"/>
                <w:sz w:val="20"/>
                <w:szCs w:val="20"/>
                <w:lang w:eastAsia="en-US"/>
              </w:rPr>
            </w:pPr>
          </w:p>
        </w:tc>
        <w:tc>
          <w:tcPr>
            <w:tcW w:w="5108" w:type="dxa"/>
            <w:vMerge/>
            <w:tcBorders>
              <w:top w:val="nil"/>
              <w:left w:val="single" w:sz="4" w:space="0" w:color="auto"/>
              <w:bottom w:val="single" w:sz="4" w:space="0" w:color="000000"/>
              <w:right w:val="single" w:sz="4" w:space="0" w:color="auto"/>
            </w:tcBorders>
            <w:vAlign w:val="center"/>
            <w:hideMark/>
          </w:tcPr>
          <w:p w14:paraId="0E974925" w14:textId="77777777" w:rsidR="00567578" w:rsidRPr="00567578" w:rsidRDefault="00567578" w:rsidP="00567578">
            <w:pPr>
              <w:spacing w:after="160" w:line="259" w:lineRule="auto"/>
              <w:rPr>
                <w:rFonts w:ascii="Tahoma" w:eastAsia="Calibri" w:hAnsi="Tahoma" w:cs="Tahoma"/>
                <w:sz w:val="20"/>
                <w:szCs w:val="20"/>
                <w:lang w:eastAsia="en-US"/>
              </w:rPr>
            </w:pPr>
          </w:p>
        </w:tc>
        <w:tc>
          <w:tcPr>
            <w:tcW w:w="8753" w:type="dxa"/>
            <w:tcBorders>
              <w:top w:val="single" w:sz="4" w:space="0" w:color="auto"/>
              <w:left w:val="nil"/>
              <w:bottom w:val="single" w:sz="4" w:space="0" w:color="auto"/>
              <w:right w:val="single" w:sz="4" w:space="0" w:color="auto"/>
            </w:tcBorders>
            <w:shd w:val="clear" w:color="000000" w:fill="FFFFFF"/>
            <w:vAlign w:val="center"/>
            <w:hideMark/>
          </w:tcPr>
          <w:p w14:paraId="5CDDBFCB"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Для иных категорий Банковских карт</w:t>
            </w:r>
            <w:r w:rsidRPr="00567578">
              <w:rPr>
                <w:rFonts w:ascii="Tahoma" w:eastAsia="Calibri" w:hAnsi="Tahoma" w:cs="Tahoma"/>
                <w:b/>
                <w:bCs/>
                <w:sz w:val="20"/>
                <w:szCs w:val="20"/>
                <w:lang w:eastAsia="en-US"/>
              </w:rPr>
              <w:t>: 3 000</w:t>
            </w:r>
            <w:r w:rsidRPr="00567578">
              <w:rPr>
                <w:rFonts w:ascii="Tahoma" w:eastAsia="Calibri" w:hAnsi="Tahoma" w:cs="Tahoma"/>
                <w:sz w:val="20"/>
                <w:szCs w:val="20"/>
                <w:lang w:eastAsia="en-US"/>
              </w:rPr>
              <w:t xml:space="preserve"> (три тысячи) Баллов в месяц.</w:t>
            </w:r>
          </w:p>
        </w:tc>
      </w:tr>
      <w:tr w:rsidR="00567578" w:rsidRPr="00567578" w14:paraId="794C89B5" w14:textId="77777777" w:rsidTr="00B86BDE">
        <w:trPr>
          <w:trHeight w:val="1230"/>
        </w:trPr>
        <w:tc>
          <w:tcPr>
            <w:tcW w:w="846"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0BCC1F67"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2.6.</w:t>
            </w:r>
          </w:p>
        </w:tc>
        <w:tc>
          <w:tcPr>
            <w:tcW w:w="5108"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30DD6C0A" w14:textId="77777777" w:rsidR="00567578" w:rsidRPr="00567578" w:rsidRDefault="00567578" w:rsidP="00567578">
            <w:pPr>
              <w:spacing w:after="160" w:line="259" w:lineRule="auto"/>
              <w:rPr>
                <w:rFonts w:ascii="Tahoma" w:eastAsia="Calibri" w:hAnsi="Tahoma" w:cs="Tahoma"/>
                <w:color w:val="000000"/>
                <w:sz w:val="20"/>
                <w:szCs w:val="20"/>
                <w:lang w:eastAsia="en-US"/>
              </w:rPr>
            </w:pPr>
            <w:r w:rsidRPr="00567578">
              <w:rPr>
                <w:rFonts w:ascii="Tahoma" w:eastAsia="Calibri" w:hAnsi="Tahoma" w:cs="Tahoma"/>
                <w:color w:val="000000"/>
                <w:sz w:val="20"/>
                <w:szCs w:val="20"/>
                <w:lang w:eastAsia="en-US"/>
              </w:rPr>
              <w:t>Максимальная общая сумма начисленных Баллов (с учётом Баллов по иным Бонусным программам Банка, применимым к другим тарифным планам Банка, в рамках которых на имя Клиента оформлены Банковские карты), в месяц</w:t>
            </w:r>
          </w:p>
        </w:tc>
        <w:tc>
          <w:tcPr>
            <w:tcW w:w="8753" w:type="dxa"/>
            <w:tcBorders>
              <w:top w:val="single" w:sz="4" w:space="0" w:color="auto"/>
              <w:left w:val="nil"/>
              <w:bottom w:val="single" w:sz="4" w:space="0" w:color="auto"/>
              <w:right w:val="single" w:sz="4" w:space="0" w:color="auto"/>
            </w:tcBorders>
            <w:shd w:val="clear" w:color="000000" w:fill="FFFFFF"/>
            <w:vAlign w:val="center"/>
            <w:hideMark/>
          </w:tcPr>
          <w:p w14:paraId="39868942"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Для держателей действующих Банковских карт, выпущенных в рамках Программы банковских услуг «Статус» и «Статус Плюс»:</w:t>
            </w:r>
            <w:r w:rsidRPr="00567578">
              <w:rPr>
                <w:rFonts w:ascii="Tahoma" w:eastAsia="Calibri" w:hAnsi="Tahoma" w:cs="Tahoma"/>
                <w:sz w:val="20"/>
                <w:szCs w:val="20"/>
                <w:lang w:eastAsia="en-US"/>
              </w:rPr>
              <w:br/>
            </w:r>
            <w:r w:rsidRPr="00567578">
              <w:rPr>
                <w:rFonts w:ascii="Tahoma" w:eastAsia="Calibri" w:hAnsi="Tahoma" w:cs="Tahoma"/>
                <w:b/>
                <w:bCs/>
                <w:sz w:val="20"/>
                <w:szCs w:val="20"/>
                <w:lang w:eastAsia="en-US"/>
              </w:rPr>
              <w:t>10 000</w:t>
            </w:r>
            <w:r w:rsidRPr="00567578">
              <w:rPr>
                <w:rFonts w:ascii="Tahoma" w:eastAsia="Calibri" w:hAnsi="Tahoma" w:cs="Tahoma"/>
                <w:sz w:val="20"/>
                <w:szCs w:val="20"/>
                <w:lang w:eastAsia="en-US"/>
              </w:rPr>
              <w:t xml:space="preserve"> (десять тысяч) Баллов в месяц.</w:t>
            </w:r>
          </w:p>
        </w:tc>
      </w:tr>
      <w:tr w:rsidR="00567578" w:rsidRPr="00567578" w14:paraId="09676C0F" w14:textId="77777777" w:rsidTr="00B86BDE">
        <w:trPr>
          <w:trHeight w:val="1530"/>
        </w:trPr>
        <w:tc>
          <w:tcPr>
            <w:tcW w:w="846" w:type="dxa"/>
            <w:vMerge/>
            <w:tcBorders>
              <w:top w:val="nil"/>
              <w:left w:val="single" w:sz="4" w:space="0" w:color="auto"/>
              <w:bottom w:val="single" w:sz="4" w:space="0" w:color="000000"/>
              <w:right w:val="single" w:sz="4" w:space="0" w:color="auto"/>
            </w:tcBorders>
            <w:vAlign w:val="center"/>
            <w:hideMark/>
          </w:tcPr>
          <w:p w14:paraId="084BD1B4" w14:textId="77777777" w:rsidR="00567578" w:rsidRPr="00567578" w:rsidRDefault="00567578" w:rsidP="00567578">
            <w:pPr>
              <w:spacing w:after="160" w:line="259" w:lineRule="auto"/>
              <w:rPr>
                <w:rFonts w:ascii="Tahoma" w:eastAsia="Calibri" w:hAnsi="Tahoma" w:cs="Tahoma"/>
                <w:sz w:val="20"/>
                <w:szCs w:val="20"/>
                <w:lang w:eastAsia="en-US"/>
              </w:rPr>
            </w:pPr>
          </w:p>
        </w:tc>
        <w:tc>
          <w:tcPr>
            <w:tcW w:w="5108" w:type="dxa"/>
            <w:vMerge/>
            <w:tcBorders>
              <w:top w:val="nil"/>
              <w:left w:val="single" w:sz="4" w:space="0" w:color="auto"/>
              <w:bottom w:val="single" w:sz="4" w:space="0" w:color="000000"/>
              <w:right w:val="single" w:sz="4" w:space="0" w:color="auto"/>
            </w:tcBorders>
            <w:vAlign w:val="center"/>
            <w:hideMark/>
          </w:tcPr>
          <w:p w14:paraId="5FB89E10" w14:textId="77777777" w:rsidR="00567578" w:rsidRPr="00567578" w:rsidRDefault="00567578" w:rsidP="00567578">
            <w:pPr>
              <w:spacing w:after="160" w:line="259" w:lineRule="auto"/>
              <w:rPr>
                <w:rFonts w:ascii="Tahoma" w:eastAsia="Calibri" w:hAnsi="Tahoma" w:cs="Tahoma"/>
                <w:color w:val="000000"/>
                <w:sz w:val="20"/>
                <w:szCs w:val="20"/>
                <w:lang w:eastAsia="en-US"/>
              </w:rPr>
            </w:pPr>
          </w:p>
        </w:tc>
        <w:tc>
          <w:tcPr>
            <w:tcW w:w="8753" w:type="dxa"/>
            <w:tcBorders>
              <w:top w:val="single" w:sz="4" w:space="0" w:color="auto"/>
              <w:left w:val="nil"/>
              <w:bottom w:val="single" w:sz="4" w:space="0" w:color="auto"/>
              <w:right w:val="single" w:sz="4" w:space="0" w:color="auto"/>
            </w:tcBorders>
            <w:shd w:val="clear" w:color="000000" w:fill="FFFFFF"/>
            <w:vAlign w:val="center"/>
            <w:hideMark/>
          </w:tcPr>
          <w:p w14:paraId="4894A414"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Для держателей действующей (на дату начисления Баллов) кредитной Банковской карты (с действующим кредитным договором, заключенным с Банком)/</w:t>
            </w:r>
            <w:r w:rsidRPr="00567578">
              <w:rPr>
                <w:rFonts w:ascii="Tahoma" w:eastAsia="Calibri" w:hAnsi="Tahoma" w:cs="Tahoma"/>
                <w:sz w:val="20"/>
                <w:szCs w:val="20"/>
                <w:lang w:eastAsia="en-US"/>
              </w:rPr>
              <w:br/>
              <w:t>Банковской карты с Бонусной программой «Стандарт-Бонус» или «Стандарт-Бонус лайт», на счет которой Клиенту зачисляется Заработная плата</w:t>
            </w:r>
            <w:r w:rsidRPr="00567578">
              <w:rPr>
                <w:rFonts w:ascii="Tahoma" w:eastAsia="Calibri" w:hAnsi="Tahoma" w:cs="Tahoma"/>
                <w:sz w:val="20"/>
                <w:szCs w:val="20"/>
                <w:vertAlign w:val="superscript"/>
                <w:lang w:eastAsia="en-US"/>
              </w:rPr>
              <w:t>4</w:t>
            </w:r>
            <w:r w:rsidRPr="00567578">
              <w:rPr>
                <w:rFonts w:ascii="Tahoma" w:eastAsia="Calibri" w:hAnsi="Tahoma" w:cs="Tahoma"/>
                <w:sz w:val="20"/>
                <w:szCs w:val="20"/>
                <w:lang w:eastAsia="en-US"/>
              </w:rPr>
              <w:t>:</w:t>
            </w:r>
            <w:r w:rsidRPr="00567578">
              <w:rPr>
                <w:rFonts w:ascii="Tahoma" w:eastAsia="Calibri" w:hAnsi="Tahoma" w:cs="Tahoma"/>
                <w:b/>
                <w:bCs/>
                <w:sz w:val="20"/>
                <w:szCs w:val="20"/>
                <w:lang w:eastAsia="en-US"/>
              </w:rPr>
              <w:t xml:space="preserve"> 5 000</w:t>
            </w:r>
            <w:r w:rsidRPr="00567578">
              <w:rPr>
                <w:rFonts w:ascii="Tahoma" w:eastAsia="Calibri" w:hAnsi="Tahoma" w:cs="Tahoma"/>
                <w:sz w:val="20"/>
                <w:szCs w:val="20"/>
                <w:lang w:eastAsia="en-US"/>
              </w:rPr>
              <w:t xml:space="preserve"> (пять тысяч) Баллов в месяц.</w:t>
            </w:r>
          </w:p>
        </w:tc>
      </w:tr>
      <w:tr w:rsidR="00567578" w:rsidRPr="00567578" w14:paraId="46BE77BA" w14:textId="77777777" w:rsidTr="00B86BDE">
        <w:trPr>
          <w:trHeight w:val="337"/>
        </w:trPr>
        <w:tc>
          <w:tcPr>
            <w:tcW w:w="846" w:type="dxa"/>
            <w:vMerge/>
            <w:tcBorders>
              <w:top w:val="nil"/>
              <w:left w:val="single" w:sz="4" w:space="0" w:color="auto"/>
              <w:bottom w:val="single" w:sz="4" w:space="0" w:color="000000"/>
              <w:right w:val="single" w:sz="4" w:space="0" w:color="auto"/>
            </w:tcBorders>
            <w:vAlign w:val="center"/>
            <w:hideMark/>
          </w:tcPr>
          <w:p w14:paraId="5FA9384A" w14:textId="77777777" w:rsidR="00567578" w:rsidRPr="00567578" w:rsidRDefault="00567578" w:rsidP="00567578">
            <w:pPr>
              <w:spacing w:after="160" w:line="259" w:lineRule="auto"/>
              <w:rPr>
                <w:rFonts w:ascii="Tahoma" w:eastAsia="Calibri" w:hAnsi="Tahoma" w:cs="Tahoma"/>
                <w:sz w:val="20"/>
                <w:szCs w:val="20"/>
                <w:lang w:eastAsia="en-US"/>
              </w:rPr>
            </w:pPr>
          </w:p>
        </w:tc>
        <w:tc>
          <w:tcPr>
            <w:tcW w:w="5108" w:type="dxa"/>
            <w:vMerge/>
            <w:tcBorders>
              <w:top w:val="nil"/>
              <w:left w:val="single" w:sz="4" w:space="0" w:color="auto"/>
              <w:bottom w:val="single" w:sz="4" w:space="0" w:color="000000"/>
              <w:right w:val="single" w:sz="4" w:space="0" w:color="auto"/>
            </w:tcBorders>
            <w:vAlign w:val="center"/>
            <w:hideMark/>
          </w:tcPr>
          <w:p w14:paraId="79E15B9A" w14:textId="77777777" w:rsidR="00567578" w:rsidRPr="00567578" w:rsidRDefault="00567578" w:rsidP="00567578">
            <w:pPr>
              <w:spacing w:after="160" w:line="259" w:lineRule="auto"/>
              <w:rPr>
                <w:rFonts w:ascii="Tahoma" w:eastAsia="Calibri" w:hAnsi="Tahoma" w:cs="Tahoma"/>
                <w:color w:val="000000"/>
                <w:sz w:val="20"/>
                <w:szCs w:val="20"/>
                <w:lang w:eastAsia="en-US"/>
              </w:rPr>
            </w:pPr>
          </w:p>
        </w:tc>
        <w:tc>
          <w:tcPr>
            <w:tcW w:w="8753" w:type="dxa"/>
            <w:tcBorders>
              <w:top w:val="single" w:sz="4" w:space="0" w:color="auto"/>
              <w:left w:val="nil"/>
              <w:bottom w:val="single" w:sz="4" w:space="0" w:color="auto"/>
              <w:right w:val="single" w:sz="4" w:space="0" w:color="auto"/>
            </w:tcBorders>
            <w:shd w:val="clear" w:color="000000" w:fill="FFFFFF"/>
            <w:vAlign w:val="center"/>
            <w:hideMark/>
          </w:tcPr>
          <w:p w14:paraId="5584124A"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Для иных категорий Банковских карт</w:t>
            </w:r>
            <w:r w:rsidRPr="00567578">
              <w:rPr>
                <w:rFonts w:ascii="Tahoma" w:eastAsia="Calibri" w:hAnsi="Tahoma" w:cs="Tahoma"/>
                <w:b/>
                <w:bCs/>
                <w:sz w:val="20"/>
                <w:szCs w:val="20"/>
                <w:lang w:eastAsia="en-US"/>
              </w:rPr>
              <w:t>:</w:t>
            </w:r>
            <w:r w:rsidRPr="00567578">
              <w:rPr>
                <w:rFonts w:ascii="Tahoma" w:eastAsia="Calibri" w:hAnsi="Tahoma" w:cs="Tahoma"/>
                <w:sz w:val="20"/>
                <w:szCs w:val="20"/>
                <w:lang w:eastAsia="en-US"/>
              </w:rPr>
              <w:t xml:space="preserve"> </w:t>
            </w:r>
            <w:r w:rsidRPr="00567578">
              <w:rPr>
                <w:rFonts w:ascii="Tahoma" w:eastAsia="Calibri" w:hAnsi="Tahoma" w:cs="Tahoma"/>
                <w:b/>
                <w:bCs/>
                <w:sz w:val="20"/>
                <w:szCs w:val="20"/>
                <w:lang w:eastAsia="en-US"/>
              </w:rPr>
              <w:t>3 000</w:t>
            </w:r>
            <w:r w:rsidRPr="00567578">
              <w:rPr>
                <w:rFonts w:ascii="Tahoma" w:eastAsia="Calibri" w:hAnsi="Tahoma" w:cs="Tahoma"/>
                <w:sz w:val="20"/>
                <w:szCs w:val="20"/>
                <w:lang w:eastAsia="en-US"/>
              </w:rPr>
              <w:t xml:space="preserve"> (три тысячи) Баллов в месяц.</w:t>
            </w:r>
          </w:p>
        </w:tc>
      </w:tr>
      <w:tr w:rsidR="00567578" w:rsidRPr="00567578" w14:paraId="07B547FA" w14:textId="77777777" w:rsidTr="00B86BDE">
        <w:trPr>
          <w:trHeight w:val="1321"/>
        </w:trPr>
        <w:tc>
          <w:tcPr>
            <w:tcW w:w="846"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1403E20E"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2.7.</w:t>
            </w:r>
          </w:p>
        </w:tc>
        <w:tc>
          <w:tcPr>
            <w:tcW w:w="5108" w:type="dxa"/>
            <w:vMerge w:val="restart"/>
            <w:tcBorders>
              <w:top w:val="nil"/>
              <w:left w:val="single" w:sz="4" w:space="0" w:color="auto"/>
              <w:bottom w:val="single" w:sz="4" w:space="0" w:color="auto"/>
              <w:right w:val="single" w:sz="4" w:space="0" w:color="auto"/>
            </w:tcBorders>
            <w:shd w:val="clear" w:color="000000" w:fill="FFFFFF"/>
            <w:vAlign w:val="center"/>
            <w:hideMark/>
          </w:tcPr>
          <w:p w14:paraId="7403F180" w14:textId="77777777" w:rsidR="00567578" w:rsidRPr="00567578" w:rsidRDefault="00567578" w:rsidP="00567578">
            <w:pPr>
              <w:spacing w:after="160" w:line="259" w:lineRule="auto"/>
              <w:rPr>
                <w:rFonts w:ascii="Tahoma" w:eastAsia="Calibri" w:hAnsi="Tahoma" w:cs="Tahoma"/>
                <w:color w:val="000000"/>
                <w:sz w:val="20"/>
                <w:szCs w:val="20"/>
                <w:lang w:eastAsia="en-US"/>
              </w:rPr>
            </w:pPr>
            <w:r w:rsidRPr="00567578">
              <w:rPr>
                <w:rFonts w:ascii="Tahoma" w:eastAsia="Calibri" w:hAnsi="Tahoma" w:cs="Tahoma"/>
                <w:color w:val="000000"/>
                <w:sz w:val="20"/>
                <w:szCs w:val="20"/>
                <w:lang w:eastAsia="en-US"/>
              </w:rPr>
              <w:t>Прочие ограничения</w:t>
            </w:r>
          </w:p>
        </w:tc>
        <w:tc>
          <w:tcPr>
            <w:tcW w:w="8753" w:type="dxa"/>
            <w:tcBorders>
              <w:top w:val="nil"/>
              <w:left w:val="nil"/>
              <w:bottom w:val="single" w:sz="4" w:space="0" w:color="auto"/>
              <w:right w:val="single" w:sz="4" w:space="0" w:color="auto"/>
            </w:tcBorders>
            <w:shd w:val="clear" w:color="000000" w:fill="FFFFFF"/>
            <w:vAlign w:val="center"/>
            <w:hideMark/>
          </w:tcPr>
          <w:p w14:paraId="5654A11A" w14:textId="77777777" w:rsidR="00567578" w:rsidRPr="00567578" w:rsidRDefault="00567578" w:rsidP="00567578">
            <w:pPr>
              <w:spacing w:after="160" w:line="259" w:lineRule="auto"/>
              <w:jc w:val="center"/>
              <w:rPr>
                <w:rFonts w:ascii="Tahoma" w:eastAsia="Calibri" w:hAnsi="Tahoma" w:cs="Tahoma"/>
                <w:color w:val="000000"/>
                <w:sz w:val="20"/>
                <w:szCs w:val="20"/>
                <w:lang w:eastAsia="en-US"/>
              </w:rPr>
            </w:pPr>
            <w:r w:rsidRPr="00567578">
              <w:rPr>
                <w:rFonts w:ascii="Tahoma" w:eastAsia="Calibri" w:hAnsi="Tahoma" w:cs="Tahoma"/>
                <w:color w:val="000000"/>
                <w:sz w:val="20"/>
                <w:szCs w:val="20"/>
                <w:lang w:eastAsia="en-US"/>
              </w:rPr>
              <w:t xml:space="preserve">В начислении Баллов не учитываются операции внесения и выдачи наличных денежных средств, платежей и денежных переводов в каналах дистанционного банковского обслуживания и сервисах самообслуживания (включая операции с использованием Системы быстрых платежей и СБПэй, в т.ч. с использованием QR-кодов), покупки с выдачей наличных денежных средств, </w:t>
            </w:r>
            <w:r w:rsidRPr="00567578">
              <w:rPr>
                <w:rFonts w:ascii="Tahoma" w:eastAsia="Calibri" w:hAnsi="Tahoma" w:cs="Tahoma"/>
                <w:color w:val="000000"/>
                <w:sz w:val="20"/>
                <w:szCs w:val="20"/>
                <w:lang w:eastAsia="en-US"/>
              </w:rPr>
              <w:br/>
              <w:t>а также операции в иностранной валюте.</w:t>
            </w:r>
          </w:p>
        </w:tc>
      </w:tr>
      <w:tr w:rsidR="00567578" w:rsidRPr="00567578" w14:paraId="662F22DB" w14:textId="77777777" w:rsidTr="00B86BDE">
        <w:trPr>
          <w:trHeight w:val="720"/>
        </w:trPr>
        <w:tc>
          <w:tcPr>
            <w:tcW w:w="846" w:type="dxa"/>
            <w:vMerge/>
            <w:tcBorders>
              <w:top w:val="nil"/>
              <w:left w:val="single" w:sz="4" w:space="0" w:color="auto"/>
              <w:bottom w:val="single" w:sz="4" w:space="0" w:color="000000"/>
              <w:right w:val="single" w:sz="4" w:space="0" w:color="auto"/>
            </w:tcBorders>
            <w:vAlign w:val="center"/>
            <w:hideMark/>
          </w:tcPr>
          <w:p w14:paraId="5096FA04" w14:textId="77777777" w:rsidR="00567578" w:rsidRPr="00567578" w:rsidRDefault="00567578" w:rsidP="00567578">
            <w:pPr>
              <w:spacing w:after="160" w:line="259" w:lineRule="auto"/>
              <w:rPr>
                <w:rFonts w:ascii="Tahoma" w:eastAsia="Calibri" w:hAnsi="Tahoma" w:cs="Tahoma"/>
                <w:sz w:val="20"/>
                <w:szCs w:val="20"/>
                <w:lang w:eastAsia="en-US"/>
              </w:rPr>
            </w:pPr>
          </w:p>
        </w:tc>
        <w:tc>
          <w:tcPr>
            <w:tcW w:w="5108" w:type="dxa"/>
            <w:vMerge/>
            <w:tcBorders>
              <w:top w:val="nil"/>
              <w:left w:val="single" w:sz="4" w:space="0" w:color="auto"/>
              <w:bottom w:val="single" w:sz="4" w:space="0" w:color="auto"/>
              <w:right w:val="single" w:sz="4" w:space="0" w:color="auto"/>
            </w:tcBorders>
            <w:vAlign w:val="center"/>
            <w:hideMark/>
          </w:tcPr>
          <w:p w14:paraId="4B024E22" w14:textId="77777777" w:rsidR="00567578" w:rsidRPr="00567578" w:rsidRDefault="00567578" w:rsidP="00567578">
            <w:pPr>
              <w:spacing w:after="160" w:line="259" w:lineRule="auto"/>
              <w:rPr>
                <w:rFonts w:ascii="Tahoma" w:eastAsia="Calibri" w:hAnsi="Tahoma" w:cs="Tahoma"/>
                <w:color w:val="000000"/>
                <w:sz w:val="20"/>
                <w:szCs w:val="20"/>
                <w:lang w:eastAsia="en-US"/>
              </w:rPr>
            </w:pPr>
          </w:p>
        </w:tc>
        <w:tc>
          <w:tcPr>
            <w:tcW w:w="8753" w:type="dxa"/>
            <w:tcBorders>
              <w:top w:val="nil"/>
              <w:left w:val="nil"/>
              <w:bottom w:val="single" w:sz="4" w:space="0" w:color="auto"/>
              <w:right w:val="single" w:sz="4" w:space="0" w:color="auto"/>
            </w:tcBorders>
            <w:shd w:val="clear" w:color="000000" w:fill="FFFFFF"/>
            <w:vAlign w:val="center"/>
            <w:hideMark/>
          </w:tcPr>
          <w:p w14:paraId="327C50A9" w14:textId="77777777" w:rsidR="00567578" w:rsidRPr="00567578" w:rsidRDefault="00567578" w:rsidP="00567578">
            <w:pPr>
              <w:spacing w:after="160" w:line="259" w:lineRule="auto"/>
              <w:jc w:val="center"/>
              <w:rPr>
                <w:rFonts w:ascii="Tahoma" w:eastAsia="Calibri" w:hAnsi="Tahoma" w:cs="Tahoma"/>
                <w:color w:val="000000"/>
                <w:sz w:val="20"/>
                <w:szCs w:val="20"/>
                <w:lang w:eastAsia="en-US"/>
              </w:rPr>
            </w:pPr>
            <w:r w:rsidRPr="00567578">
              <w:rPr>
                <w:rFonts w:ascii="Tahoma" w:eastAsia="Calibri" w:hAnsi="Tahoma" w:cs="Tahoma"/>
                <w:color w:val="000000"/>
                <w:sz w:val="20"/>
                <w:szCs w:val="20"/>
                <w:lang w:eastAsia="en-US"/>
              </w:rPr>
              <w:t>В начислении Баллов не учитываются транзакции, подпадающие в список исключений МСС-кодов, указанных в Программе лояльности.</w:t>
            </w:r>
          </w:p>
        </w:tc>
      </w:tr>
      <w:tr w:rsidR="00567578" w:rsidRPr="00567578" w14:paraId="56E04ECB" w14:textId="77777777" w:rsidTr="00B86BDE">
        <w:trPr>
          <w:trHeight w:val="360"/>
        </w:trPr>
        <w:tc>
          <w:tcPr>
            <w:tcW w:w="846" w:type="dxa"/>
            <w:tcBorders>
              <w:top w:val="nil"/>
              <w:left w:val="single" w:sz="4" w:space="0" w:color="auto"/>
              <w:bottom w:val="single" w:sz="4" w:space="0" w:color="auto"/>
              <w:right w:val="single" w:sz="4" w:space="0" w:color="auto"/>
            </w:tcBorders>
            <w:shd w:val="clear" w:color="000000" w:fill="757171"/>
            <w:noWrap/>
            <w:vAlign w:val="center"/>
            <w:hideMark/>
          </w:tcPr>
          <w:p w14:paraId="395925FE" w14:textId="77777777" w:rsidR="00567578" w:rsidRPr="00567578" w:rsidRDefault="00567578" w:rsidP="00567578">
            <w:pPr>
              <w:spacing w:after="160" w:line="259" w:lineRule="auto"/>
              <w:jc w:val="center"/>
              <w:rPr>
                <w:rFonts w:ascii="Tahoma" w:eastAsia="Calibri" w:hAnsi="Tahoma" w:cs="Tahoma"/>
                <w:b/>
                <w:bCs/>
                <w:color w:val="FFFFFF"/>
                <w:sz w:val="20"/>
                <w:szCs w:val="20"/>
                <w:lang w:eastAsia="en-US"/>
              </w:rPr>
            </w:pPr>
            <w:r w:rsidRPr="00567578">
              <w:rPr>
                <w:rFonts w:ascii="Tahoma" w:eastAsia="Calibri" w:hAnsi="Tahoma" w:cs="Tahoma"/>
                <w:b/>
                <w:bCs/>
                <w:color w:val="FFFFFF"/>
                <w:sz w:val="20"/>
                <w:szCs w:val="20"/>
                <w:lang w:eastAsia="en-US"/>
              </w:rPr>
              <w:t>3.</w:t>
            </w:r>
          </w:p>
        </w:tc>
        <w:tc>
          <w:tcPr>
            <w:tcW w:w="5108" w:type="dxa"/>
            <w:tcBorders>
              <w:top w:val="nil"/>
              <w:left w:val="nil"/>
              <w:bottom w:val="single" w:sz="4" w:space="0" w:color="auto"/>
              <w:right w:val="single" w:sz="4" w:space="0" w:color="auto"/>
            </w:tcBorders>
            <w:shd w:val="clear" w:color="000000" w:fill="757171"/>
            <w:noWrap/>
            <w:vAlign w:val="center"/>
            <w:hideMark/>
          </w:tcPr>
          <w:p w14:paraId="2C135379" w14:textId="77777777" w:rsidR="00567578" w:rsidRPr="00567578" w:rsidRDefault="00567578" w:rsidP="00567578">
            <w:pPr>
              <w:spacing w:after="160" w:line="259" w:lineRule="auto"/>
              <w:rPr>
                <w:rFonts w:ascii="Tahoma" w:eastAsia="Calibri" w:hAnsi="Tahoma" w:cs="Tahoma"/>
                <w:b/>
                <w:bCs/>
                <w:color w:val="FFFFFF"/>
                <w:sz w:val="20"/>
                <w:szCs w:val="20"/>
                <w:lang w:eastAsia="en-US"/>
              </w:rPr>
            </w:pPr>
            <w:r w:rsidRPr="00567578">
              <w:rPr>
                <w:rFonts w:ascii="Tahoma" w:eastAsia="Calibri" w:hAnsi="Tahoma" w:cs="Tahoma"/>
                <w:b/>
                <w:bCs/>
                <w:color w:val="FFFFFF"/>
                <w:sz w:val="20"/>
                <w:szCs w:val="20"/>
                <w:lang w:eastAsia="en-US"/>
              </w:rPr>
              <w:t>Категории расчета Баллов</w:t>
            </w:r>
          </w:p>
        </w:tc>
        <w:tc>
          <w:tcPr>
            <w:tcW w:w="8753" w:type="dxa"/>
            <w:tcBorders>
              <w:top w:val="nil"/>
              <w:left w:val="nil"/>
              <w:bottom w:val="single" w:sz="4" w:space="0" w:color="auto"/>
              <w:right w:val="single" w:sz="4" w:space="0" w:color="auto"/>
            </w:tcBorders>
            <w:shd w:val="clear" w:color="000000" w:fill="757171"/>
            <w:noWrap/>
            <w:vAlign w:val="center"/>
            <w:hideMark/>
          </w:tcPr>
          <w:p w14:paraId="7C760665" w14:textId="77777777" w:rsidR="00567578" w:rsidRPr="00567578" w:rsidRDefault="00567578" w:rsidP="00567578">
            <w:pPr>
              <w:spacing w:after="160" w:line="259" w:lineRule="auto"/>
              <w:jc w:val="center"/>
              <w:rPr>
                <w:rFonts w:ascii="Tahoma" w:eastAsia="Calibri" w:hAnsi="Tahoma" w:cs="Tahoma"/>
                <w:b/>
                <w:bCs/>
                <w:color w:val="000000"/>
                <w:sz w:val="20"/>
                <w:szCs w:val="20"/>
                <w:lang w:eastAsia="en-US"/>
              </w:rPr>
            </w:pPr>
            <w:r w:rsidRPr="00567578">
              <w:rPr>
                <w:rFonts w:ascii="Tahoma" w:eastAsia="Calibri" w:hAnsi="Tahoma" w:cs="Tahoma"/>
                <w:b/>
                <w:bCs/>
                <w:color w:val="000000"/>
                <w:sz w:val="20"/>
                <w:szCs w:val="20"/>
                <w:lang w:eastAsia="en-US"/>
              </w:rPr>
              <w:t> </w:t>
            </w:r>
          </w:p>
        </w:tc>
      </w:tr>
      <w:tr w:rsidR="00567578" w:rsidRPr="00567578" w14:paraId="1EDCFE58" w14:textId="77777777" w:rsidTr="00B86BDE">
        <w:trPr>
          <w:trHeight w:val="40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763BB68E"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3.1.</w:t>
            </w:r>
          </w:p>
        </w:tc>
        <w:tc>
          <w:tcPr>
            <w:tcW w:w="5108" w:type="dxa"/>
            <w:tcBorders>
              <w:top w:val="nil"/>
              <w:left w:val="nil"/>
              <w:bottom w:val="single" w:sz="4" w:space="0" w:color="auto"/>
              <w:right w:val="nil"/>
            </w:tcBorders>
            <w:shd w:val="clear" w:color="auto" w:fill="auto"/>
            <w:vAlign w:val="center"/>
            <w:hideMark/>
          </w:tcPr>
          <w:p w14:paraId="6BD76C9B"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Стандартная</w:t>
            </w:r>
          </w:p>
        </w:tc>
        <w:tc>
          <w:tcPr>
            <w:tcW w:w="8753" w:type="dxa"/>
            <w:tcBorders>
              <w:top w:val="nil"/>
              <w:left w:val="single" w:sz="4" w:space="0" w:color="auto"/>
              <w:bottom w:val="single" w:sz="4" w:space="0" w:color="auto"/>
              <w:right w:val="single" w:sz="4" w:space="0" w:color="auto"/>
            </w:tcBorders>
            <w:shd w:val="clear" w:color="000000" w:fill="FFFFFF"/>
            <w:noWrap/>
            <w:vAlign w:val="center"/>
            <w:hideMark/>
          </w:tcPr>
          <w:p w14:paraId="426E5C70"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b/>
                <w:bCs/>
                <w:sz w:val="20"/>
                <w:szCs w:val="20"/>
                <w:lang w:eastAsia="en-US"/>
              </w:rPr>
              <w:t xml:space="preserve">1% </w:t>
            </w:r>
            <w:r w:rsidRPr="00567578">
              <w:rPr>
                <w:rFonts w:ascii="Tahoma" w:eastAsia="Calibri" w:hAnsi="Tahoma" w:cs="Tahoma"/>
                <w:sz w:val="20"/>
                <w:szCs w:val="20"/>
                <w:lang w:eastAsia="en-US"/>
              </w:rPr>
              <w:t>от каждых достигнутых 100 рублей транзакции</w:t>
            </w:r>
            <w:r w:rsidRPr="00567578">
              <w:rPr>
                <w:rFonts w:ascii="Tahoma" w:eastAsia="Calibri" w:hAnsi="Tahoma" w:cs="Tahoma"/>
                <w:sz w:val="20"/>
                <w:szCs w:val="20"/>
                <w:vertAlign w:val="superscript"/>
                <w:lang w:eastAsia="en-US"/>
              </w:rPr>
              <w:t>5</w:t>
            </w:r>
          </w:p>
        </w:tc>
      </w:tr>
      <w:tr w:rsidR="00567578" w:rsidRPr="00567578" w14:paraId="684FC435" w14:textId="77777777" w:rsidTr="00B86BDE">
        <w:trPr>
          <w:trHeight w:val="958"/>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1F163EA7"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3.2.</w:t>
            </w:r>
          </w:p>
        </w:tc>
        <w:tc>
          <w:tcPr>
            <w:tcW w:w="5108" w:type="dxa"/>
            <w:tcBorders>
              <w:top w:val="nil"/>
              <w:left w:val="nil"/>
              <w:bottom w:val="single" w:sz="4" w:space="0" w:color="auto"/>
              <w:right w:val="nil"/>
            </w:tcBorders>
            <w:shd w:val="clear" w:color="auto" w:fill="auto"/>
            <w:vAlign w:val="center"/>
            <w:hideMark/>
          </w:tcPr>
          <w:p w14:paraId="336E477D"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Повышенная (выбор (подключение) осуществляется Клиентом самостоятельно в Личном кабинете) в порядке и на условиях, указанных в Программе Лояльности</w:t>
            </w:r>
          </w:p>
        </w:tc>
        <w:tc>
          <w:tcPr>
            <w:tcW w:w="8753" w:type="dxa"/>
            <w:tcBorders>
              <w:top w:val="nil"/>
              <w:left w:val="single" w:sz="4" w:space="0" w:color="auto"/>
              <w:bottom w:val="single" w:sz="4" w:space="0" w:color="auto"/>
              <w:right w:val="single" w:sz="4" w:space="0" w:color="auto"/>
            </w:tcBorders>
            <w:shd w:val="clear" w:color="auto" w:fill="auto"/>
            <w:vAlign w:val="center"/>
            <w:hideMark/>
          </w:tcPr>
          <w:p w14:paraId="28B95071" w14:textId="77777777" w:rsidR="00567578" w:rsidRPr="00567578" w:rsidRDefault="00567578" w:rsidP="00567578">
            <w:pPr>
              <w:spacing w:after="160" w:line="259" w:lineRule="auto"/>
              <w:jc w:val="center"/>
              <w:rPr>
                <w:rFonts w:ascii="Tahoma" w:eastAsia="Calibri" w:hAnsi="Tahoma" w:cs="Tahoma"/>
                <w:color w:val="000000"/>
                <w:sz w:val="20"/>
                <w:szCs w:val="20"/>
                <w:lang w:eastAsia="en-US"/>
              </w:rPr>
            </w:pPr>
            <w:r w:rsidRPr="00567578">
              <w:rPr>
                <w:rFonts w:ascii="Tahoma" w:eastAsia="Calibri" w:hAnsi="Tahoma" w:cs="Tahoma"/>
                <w:color w:val="000000"/>
                <w:sz w:val="20"/>
                <w:szCs w:val="20"/>
                <w:lang w:eastAsia="en-US"/>
              </w:rPr>
              <w:t>Транзакции, к которым не была применена ставка, указанная в пп.4-5 Программы, применяется ставка, указанная в п.3.1 Программы.</w:t>
            </w:r>
          </w:p>
        </w:tc>
      </w:tr>
      <w:tr w:rsidR="00567578" w:rsidRPr="00567578" w14:paraId="32DFEAFF" w14:textId="77777777" w:rsidTr="00B86BDE">
        <w:trPr>
          <w:trHeight w:val="465"/>
        </w:trPr>
        <w:tc>
          <w:tcPr>
            <w:tcW w:w="846" w:type="dxa"/>
            <w:tcBorders>
              <w:top w:val="nil"/>
              <w:left w:val="single" w:sz="4" w:space="0" w:color="auto"/>
              <w:bottom w:val="single" w:sz="4" w:space="0" w:color="auto"/>
              <w:right w:val="single" w:sz="4" w:space="0" w:color="auto"/>
            </w:tcBorders>
            <w:shd w:val="clear" w:color="000000" w:fill="757171"/>
            <w:noWrap/>
            <w:vAlign w:val="center"/>
            <w:hideMark/>
          </w:tcPr>
          <w:p w14:paraId="57271831" w14:textId="77777777" w:rsidR="00567578" w:rsidRPr="00567578" w:rsidRDefault="00567578" w:rsidP="00567578">
            <w:pPr>
              <w:spacing w:after="160" w:line="259" w:lineRule="auto"/>
              <w:jc w:val="center"/>
              <w:rPr>
                <w:rFonts w:ascii="Tahoma" w:eastAsia="Calibri" w:hAnsi="Tahoma" w:cs="Tahoma"/>
                <w:b/>
                <w:bCs/>
                <w:color w:val="FFFFFF"/>
                <w:sz w:val="20"/>
                <w:szCs w:val="20"/>
                <w:lang w:eastAsia="en-US"/>
              </w:rPr>
            </w:pPr>
            <w:r w:rsidRPr="00567578">
              <w:rPr>
                <w:rFonts w:ascii="Tahoma" w:eastAsia="Calibri" w:hAnsi="Tahoma" w:cs="Tahoma"/>
                <w:b/>
                <w:bCs/>
                <w:color w:val="FFFFFF"/>
                <w:sz w:val="20"/>
                <w:szCs w:val="20"/>
                <w:lang w:eastAsia="en-US"/>
              </w:rPr>
              <w:t>4.</w:t>
            </w:r>
          </w:p>
        </w:tc>
        <w:tc>
          <w:tcPr>
            <w:tcW w:w="5108" w:type="dxa"/>
            <w:tcBorders>
              <w:top w:val="nil"/>
              <w:left w:val="nil"/>
              <w:bottom w:val="single" w:sz="4" w:space="0" w:color="auto"/>
              <w:right w:val="single" w:sz="4" w:space="0" w:color="auto"/>
            </w:tcBorders>
            <w:shd w:val="clear" w:color="000000" w:fill="757171"/>
            <w:noWrap/>
            <w:vAlign w:val="center"/>
            <w:hideMark/>
          </w:tcPr>
          <w:p w14:paraId="11D80212" w14:textId="77777777" w:rsidR="00567578" w:rsidRPr="00567578" w:rsidRDefault="00567578" w:rsidP="00567578">
            <w:pPr>
              <w:spacing w:after="160" w:line="259" w:lineRule="auto"/>
              <w:rPr>
                <w:rFonts w:ascii="Tahoma" w:eastAsia="Calibri" w:hAnsi="Tahoma" w:cs="Tahoma"/>
                <w:b/>
                <w:bCs/>
                <w:color w:val="FFFFFF"/>
                <w:sz w:val="20"/>
                <w:szCs w:val="20"/>
                <w:lang w:eastAsia="en-US"/>
              </w:rPr>
            </w:pPr>
            <w:r w:rsidRPr="00567578">
              <w:rPr>
                <w:rFonts w:ascii="Tahoma" w:eastAsia="Calibri" w:hAnsi="Tahoma" w:cs="Tahoma"/>
                <w:b/>
                <w:bCs/>
                <w:color w:val="FFFFFF"/>
                <w:sz w:val="20"/>
                <w:szCs w:val="20"/>
                <w:lang w:eastAsia="en-US"/>
              </w:rPr>
              <w:t>Категории повышенных Баллов, на выбор Участника Программы</w:t>
            </w:r>
            <w:r w:rsidRPr="00567578">
              <w:rPr>
                <w:rFonts w:ascii="Tahoma" w:eastAsia="Calibri" w:hAnsi="Tahoma" w:cs="Tahoma"/>
                <w:color w:val="FFFFFF"/>
                <w:sz w:val="20"/>
                <w:szCs w:val="20"/>
                <w:vertAlign w:val="superscript"/>
                <w:lang w:eastAsia="en-US"/>
              </w:rPr>
              <w:t>6</w:t>
            </w:r>
          </w:p>
        </w:tc>
        <w:tc>
          <w:tcPr>
            <w:tcW w:w="8753" w:type="dxa"/>
            <w:tcBorders>
              <w:top w:val="nil"/>
              <w:left w:val="nil"/>
              <w:bottom w:val="single" w:sz="4" w:space="0" w:color="auto"/>
              <w:right w:val="single" w:sz="4" w:space="0" w:color="auto"/>
            </w:tcBorders>
            <w:shd w:val="clear" w:color="000000" w:fill="757171"/>
            <w:noWrap/>
            <w:vAlign w:val="center"/>
            <w:hideMark/>
          </w:tcPr>
          <w:p w14:paraId="26D42017" w14:textId="77777777" w:rsidR="00567578" w:rsidRPr="00567578" w:rsidRDefault="00567578" w:rsidP="00567578">
            <w:pPr>
              <w:spacing w:after="160" w:line="259" w:lineRule="auto"/>
              <w:jc w:val="center"/>
              <w:rPr>
                <w:rFonts w:ascii="Tahoma" w:eastAsia="Calibri" w:hAnsi="Tahoma" w:cs="Tahoma"/>
                <w:b/>
                <w:bCs/>
                <w:sz w:val="20"/>
                <w:szCs w:val="20"/>
                <w:lang w:eastAsia="en-US"/>
              </w:rPr>
            </w:pPr>
            <w:r w:rsidRPr="00567578">
              <w:rPr>
                <w:rFonts w:ascii="Tahoma" w:eastAsia="Calibri" w:hAnsi="Tahoma" w:cs="Tahoma"/>
                <w:b/>
                <w:bCs/>
                <w:sz w:val="20"/>
                <w:szCs w:val="20"/>
                <w:lang w:eastAsia="en-US"/>
              </w:rPr>
              <w:t> </w:t>
            </w:r>
          </w:p>
        </w:tc>
      </w:tr>
      <w:tr w:rsidR="00567578" w:rsidRPr="00567578" w14:paraId="265ECB9E" w14:textId="77777777" w:rsidTr="00B86BDE">
        <w:trPr>
          <w:trHeight w:val="36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53470DE7"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4.1.</w:t>
            </w:r>
          </w:p>
        </w:tc>
        <w:tc>
          <w:tcPr>
            <w:tcW w:w="5108" w:type="dxa"/>
            <w:tcBorders>
              <w:top w:val="nil"/>
              <w:left w:val="nil"/>
              <w:bottom w:val="single" w:sz="4" w:space="0" w:color="auto"/>
              <w:right w:val="single" w:sz="4" w:space="0" w:color="auto"/>
            </w:tcBorders>
            <w:shd w:val="clear" w:color="auto" w:fill="auto"/>
            <w:vAlign w:val="center"/>
            <w:hideMark/>
          </w:tcPr>
          <w:p w14:paraId="67ED4BE1"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Аптеки и оптика</w:t>
            </w:r>
          </w:p>
        </w:tc>
        <w:tc>
          <w:tcPr>
            <w:tcW w:w="8753" w:type="dxa"/>
            <w:vMerge w:val="restart"/>
            <w:tcBorders>
              <w:top w:val="nil"/>
              <w:left w:val="single" w:sz="4" w:space="0" w:color="auto"/>
              <w:bottom w:val="single" w:sz="4" w:space="0" w:color="000000"/>
              <w:right w:val="single" w:sz="4" w:space="0" w:color="auto"/>
            </w:tcBorders>
            <w:shd w:val="clear" w:color="auto" w:fill="auto"/>
            <w:vAlign w:val="center"/>
            <w:hideMark/>
          </w:tcPr>
          <w:p w14:paraId="1584E556" w14:textId="77777777" w:rsidR="00567578" w:rsidRPr="00567578" w:rsidRDefault="00567578" w:rsidP="00567578">
            <w:pPr>
              <w:spacing w:after="160" w:line="259" w:lineRule="auto"/>
              <w:jc w:val="center"/>
              <w:rPr>
                <w:rFonts w:ascii="Tahoma" w:eastAsia="Calibri" w:hAnsi="Tahoma" w:cs="Tahoma"/>
                <w:b/>
                <w:bCs/>
                <w:sz w:val="20"/>
                <w:szCs w:val="20"/>
                <w:lang w:eastAsia="en-US"/>
              </w:rPr>
            </w:pPr>
            <w:r w:rsidRPr="00567578">
              <w:rPr>
                <w:rFonts w:ascii="Tahoma" w:eastAsia="Calibri" w:hAnsi="Tahoma" w:cs="Tahoma"/>
                <w:b/>
                <w:bCs/>
                <w:sz w:val="20"/>
                <w:szCs w:val="20"/>
                <w:lang w:eastAsia="en-US"/>
              </w:rPr>
              <w:t xml:space="preserve">7% </w:t>
            </w:r>
            <w:r w:rsidRPr="00567578">
              <w:rPr>
                <w:rFonts w:ascii="Tahoma" w:eastAsia="Calibri" w:hAnsi="Tahoma" w:cs="Tahoma"/>
                <w:sz w:val="20"/>
                <w:szCs w:val="20"/>
                <w:lang w:eastAsia="en-US"/>
              </w:rPr>
              <w:t>от каждых достигнутых 100 рублей транзакции</w:t>
            </w:r>
            <w:r w:rsidRPr="00567578">
              <w:rPr>
                <w:rFonts w:ascii="Tahoma" w:eastAsia="Calibri" w:hAnsi="Tahoma" w:cs="Tahoma"/>
                <w:sz w:val="20"/>
                <w:szCs w:val="20"/>
                <w:vertAlign w:val="superscript"/>
                <w:lang w:eastAsia="en-US"/>
              </w:rPr>
              <w:t>5</w:t>
            </w:r>
          </w:p>
        </w:tc>
      </w:tr>
      <w:tr w:rsidR="00567578" w:rsidRPr="00567578" w14:paraId="01BC231C" w14:textId="77777777" w:rsidTr="00B86BDE">
        <w:trPr>
          <w:trHeight w:val="339"/>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1DB628CB"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4.2.</w:t>
            </w:r>
          </w:p>
        </w:tc>
        <w:tc>
          <w:tcPr>
            <w:tcW w:w="5108" w:type="dxa"/>
            <w:tcBorders>
              <w:top w:val="nil"/>
              <w:left w:val="nil"/>
              <w:bottom w:val="single" w:sz="4" w:space="0" w:color="auto"/>
              <w:right w:val="single" w:sz="4" w:space="0" w:color="auto"/>
            </w:tcBorders>
            <w:shd w:val="clear" w:color="auto" w:fill="auto"/>
            <w:vAlign w:val="center"/>
            <w:hideMark/>
          </w:tcPr>
          <w:p w14:paraId="7047B6A8"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Дом, ремонт</w:t>
            </w:r>
          </w:p>
        </w:tc>
        <w:tc>
          <w:tcPr>
            <w:tcW w:w="8753" w:type="dxa"/>
            <w:vMerge/>
            <w:tcBorders>
              <w:top w:val="nil"/>
              <w:left w:val="single" w:sz="4" w:space="0" w:color="auto"/>
              <w:bottom w:val="single" w:sz="4" w:space="0" w:color="000000"/>
              <w:right w:val="single" w:sz="4" w:space="0" w:color="auto"/>
            </w:tcBorders>
            <w:vAlign w:val="center"/>
            <w:hideMark/>
          </w:tcPr>
          <w:p w14:paraId="0A372CBE" w14:textId="77777777" w:rsidR="00567578" w:rsidRPr="00567578" w:rsidRDefault="00567578" w:rsidP="00567578">
            <w:pPr>
              <w:spacing w:after="160" w:line="259" w:lineRule="auto"/>
              <w:rPr>
                <w:rFonts w:ascii="Tahoma" w:eastAsia="Calibri" w:hAnsi="Tahoma" w:cs="Tahoma"/>
                <w:b/>
                <w:bCs/>
                <w:sz w:val="20"/>
                <w:szCs w:val="20"/>
                <w:lang w:eastAsia="en-US"/>
              </w:rPr>
            </w:pPr>
          </w:p>
        </w:tc>
      </w:tr>
      <w:tr w:rsidR="00567578" w:rsidRPr="00567578" w14:paraId="3572C4EE" w14:textId="77777777" w:rsidTr="00B86BDE">
        <w:trPr>
          <w:trHeight w:val="189"/>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299B917C"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4.3.</w:t>
            </w:r>
          </w:p>
        </w:tc>
        <w:tc>
          <w:tcPr>
            <w:tcW w:w="5108" w:type="dxa"/>
            <w:tcBorders>
              <w:top w:val="nil"/>
              <w:left w:val="nil"/>
              <w:bottom w:val="single" w:sz="4" w:space="0" w:color="auto"/>
              <w:right w:val="single" w:sz="4" w:space="0" w:color="auto"/>
            </w:tcBorders>
            <w:shd w:val="clear" w:color="auto" w:fill="auto"/>
            <w:vAlign w:val="center"/>
            <w:hideMark/>
          </w:tcPr>
          <w:p w14:paraId="5029113F"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АЗС</w:t>
            </w:r>
          </w:p>
        </w:tc>
        <w:tc>
          <w:tcPr>
            <w:tcW w:w="8753" w:type="dxa"/>
            <w:vMerge/>
            <w:tcBorders>
              <w:top w:val="nil"/>
              <w:left w:val="single" w:sz="4" w:space="0" w:color="auto"/>
              <w:bottom w:val="single" w:sz="4" w:space="0" w:color="000000"/>
              <w:right w:val="single" w:sz="4" w:space="0" w:color="auto"/>
            </w:tcBorders>
            <w:vAlign w:val="center"/>
            <w:hideMark/>
          </w:tcPr>
          <w:p w14:paraId="52878E81" w14:textId="77777777" w:rsidR="00567578" w:rsidRPr="00567578" w:rsidRDefault="00567578" w:rsidP="00567578">
            <w:pPr>
              <w:spacing w:after="160" w:line="259" w:lineRule="auto"/>
              <w:rPr>
                <w:rFonts w:ascii="Tahoma" w:eastAsia="Calibri" w:hAnsi="Tahoma" w:cs="Tahoma"/>
                <w:b/>
                <w:bCs/>
                <w:sz w:val="20"/>
                <w:szCs w:val="20"/>
                <w:lang w:eastAsia="en-US"/>
              </w:rPr>
            </w:pPr>
          </w:p>
        </w:tc>
      </w:tr>
      <w:tr w:rsidR="00567578" w:rsidRPr="00567578" w14:paraId="548DD7C2" w14:textId="77777777" w:rsidTr="00B86BDE">
        <w:trPr>
          <w:trHeight w:val="181"/>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0EF99EAE"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4.4.</w:t>
            </w:r>
          </w:p>
        </w:tc>
        <w:tc>
          <w:tcPr>
            <w:tcW w:w="5108" w:type="dxa"/>
            <w:tcBorders>
              <w:top w:val="nil"/>
              <w:left w:val="nil"/>
              <w:bottom w:val="single" w:sz="4" w:space="0" w:color="auto"/>
              <w:right w:val="single" w:sz="4" w:space="0" w:color="auto"/>
            </w:tcBorders>
            <w:shd w:val="clear" w:color="auto" w:fill="auto"/>
            <w:vAlign w:val="center"/>
            <w:hideMark/>
          </w:tcPr>
          <w:p w14:paraId="19491FE0"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Автоуслуги и запчасти</w:t>
            </w:r>
          </w:p>
        </w:tc>
        <w:tc>
          <w:tcPr>
            <w:tcW w:w="8753" w:type="dxa"/>
            <w:vMerge/>
            <w:tcBorders>
              <w:top w:val="nil"/>
              <w:left w:val="single" w:sz="4" w:space="0" w:color="auto"/>
              <w:bottom w:val="single" w:sz="4" w:space="0" w:color="000000"/>
              <w:right w:val="single" w:sz="4" w:space="0" w:color="auto"/>
            </w:tcBorders>
            <w:vAlign w:val="center"/>
            <w:hideMark/>
          </w:tcPr>
          <w:p w14:paraId="2558A3BA" w14:textId="77777777" w:rsidR="00567578" w:rsidRPr="00567578" w:rsidRDefault="00567578" w:rsidP="00567578">
            <w:pPr>
              <w:spacing w:after="160" w:line="259" w:lineRule="auto"/>
              <w:rPr>
                <w:rFonts w:ascii="Tahoma" w:eastAsia="Calibri" w:hAnsi="Tahoma" w:cs="Tahoma"/>
                <w:b/>
                <w:bCs/>
                <w:sz w:val="20"/>
                <w:szCs w:val="20"/>
                <w:lang w:eastAsia="en-US"/>
              </w:rPr>
            </w:pPr>
          </w:p>
        </w:tc>
      </w:tr>
      <w:tr w:rsidR="00567578" w:rsidRPr="00567578" w14:paraId="58DB0B05" w14:textId="77777777" w:rsidTr="00B86BDE">
        <w:trPr>
          <w:trHeight w:val="187"/>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609B085D"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4.5.</w:t>
            </w:r>
          </w:p>
        </w:tc>
        <w:tc>
          <w:tcPr>
            <w:tcW w:w="5108" w:type="dxa"/>
            <w:tcBorders>
              <w:top w:val="nil"/>
              <w:left w:val="nil"/>
              <w:bottom w:val="single" w:sz="4" w:space="0" w:color="auto"/>
              <w:right w:val="single" w:sz="4" w:space="0" w:color="auto"/>
            </w:tcBorders>
            <w:shd w:val="clear" w:color="auto" w:fill="auto"/>
            <w:vAlign w:val="center"/>
            <w:hideMark/>
          </w:tcPr>
          <w:p w14:paraId="369CBE4A"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Такси и каршеринг</w:t>
            </w:r>
          </w:p>
        </w:tc>
        <w:tc>
          <w:tcPr>
            <w:tcW w:w="8753" w:type="dxa"/>
            <w:vMerge/>
            <w:tcBorders>
              <w:top w:val="nil"/>
              <w:left w:val="single" w:sz="4" w:space="0" w:color="auto"/>
              <w:bottom w:val="single" w:sz="4" w:space="0" w:color="000000"/>
              <w:right w:val="single" w:sz="4" w:space="0" w:color="auto"/>
            </w:tcBorders>
            <w:vAlign w:val="center"/>
            <w:hideMark/>
          </w:tcPr>
          <w:p w14:paraId="363CE2F1" w14:textId="77777777" w:rsidR="00567578" w:rsidRPr="00567578" w:rsidRDefault="00567578" w:rsidP="00567578">
            <w:pPr>
              <w:spacing w:after="160" w:line="259" w:lineRule="auto"/>
              <w:rPr>
                <w:rFonts w:ascii="Tahoma" w:eastAsia="Calibri" w:hAnsi="Tahoma" w:cs="Tahoma"/>
                <w:b/>
                <w:bCs/>
                <w:sz w:val="20"/>
                <w:szCs w:val="20"/>
                <w:lang w:eastAsia="en-US"/>
              </w:rPr>
            </w:pPr>
          </w:p>
        </w:tc>
      </w:tr>
      <w:tr w:rsidR="00567578" w:rsidRPr="00567578" w14:paraId="5A453AF9" w14:textId="77777777" w:rsidTr="00B86BDE">
        <w:trPr>
          <w:trHeight w:val="49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6642A5FE"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4.6.</w:t>
            </w:r>
          </w:p>
        </w:tc>
        <w:tc>
          <w:tcPr>
            <w:tcW w:w="5108" w:type="dxa"/>
            <w:tcBorders>
              <w:top w:val="nil"/>
              <w:left w:val="nil"/>
              <w:bottom w:val="single" w:sz="4" w:space="0" w:color="auto"/>
              <w:right w:val="single" w:sz="4" w:space="0" w:color="auto"/>
            </w:tcBorders>
            <w:shd w:val="clear" w:color="auto" w:fill="auto"/>
            <w:vAlign w:val="center"/>
            <w:hideMark/>
          </w:tcPr>
          <w:p w14:paraId="25E6DFAF"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Шоппинг</w:t>
            </w:r>
          </w:p>
        </w:tc>
        <w:tc>
          <w:tcPr>
            <w:tcW w:w="8753" w:type="dxa"/>
            <w:vMerge/>
            <w:tcBorders>
              <w:top w:val="nil"/>
              <w:left w:val="single" w:sz="4" w:space="0" w:color="auto"/>
              <w:bottom w:val="single" w:sz="4" w:space="0" w:color="000000"/>
              <w:right w:val="single" w:sz="4" w:space="0" w:color="auto"/>
            </w:tcBorders>
            <w:vAlign w:val="center"/>
            <w:hideMark/>
          </w:tcPr>
          <w:p w14:paraId="25201152" w14:textId="77777777" w:rsidR="00567578" w:rsidRPr="00567578" w:rsidRDefault="00567578" w:rsidP="00567578">
            <w:pPr>
              <w:spacing w:after="160" w:line="259" w:lineRule="auto"/>
              <w:rPr>
                <w:rFonts w:ascii="Tahoma" w:eastAsia="Calibri" w:hAnsi="Tahoma" w:cs="Tahoma"/>
                <w:b/>
                <w:bCs/>
                <w:sz w:val="20"/>
                <w:szCs w:val="20"/>
                <w:lang w:eastAsia="en-US"/>
              </w:rPr>
            </w:pPr>
          </w:p>
        </w:tc>
      </w:tr>
      <w:tr w:rsidR="00567578" w:rsidRPr="00567578" w14:paraId="3768C780" w14:textId="77777777" w:rsidTr="00B86BDE">
        <w:trPr>
          <w:trHeight w:val="7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2CF44789"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4.7.</w:t>
            </w:r>
          </w:p>
        </w:tc>
        <w:tc>
          <w:tcPr>
            <w:tcW w:w="5108" w:type="dxa"/>
            <w:tcBorders>
              <w:top w:val="nil"/>
              <w:left w:val="nil"/>
              <w:bottom w:val="single" w:sz="4" w:space="0" w:color="auto"/>
              <w:right w:val="single" w:sz="4" w:space="0" w:color="auto"/>
            </w:tcBorders>
            <w:shd w:val="clear" w:color="auto" w:fill="auto"/>
            <w:vAlign w:val="center"/>
            <w:hideMark/>
          </w:tcPr>
          <w:p w14:paraId="32692DE2"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Маркетплейсы</w:t>
            </w:r>
          </w:p>
        </w:tc>
        <w:tc>
          <w:tcPr>
            <w:tcW w:w="8753" w:type="dxa"/>
            <w:vMerge/>
            <w:tcBorders>
              <w:top w:val="nil"/>
              <w:left w:val="single" w:sz="4" w:space="0" w:color="auto"/>
              <w:bottom w:val="single" w:sz="4" w:space="0" w:color="000000"/>
              <w:right w:val="single" w:sz="4" w:space="0" w:color="auto"/>
            </w:tcBorders>
            <w:vAlign w:val="center"/>
            <w:hideMark/>
          </w:tcPr>
          <w:p w14:paraId="08120C26" w14:textId="77777777" w:rsidR="00567578" w:rsidRPr="00567578" w:rsidRDefault="00567578" w:rsidP="00567578">
            <w:pPr>
              <w:spacing w:after="160" w:line="259" w:lineRule="auto"/>
              <w:rPr>
                <w:rFonts w:ascii="Tahoma" w:eastAsia="Calibri" w:hAnsi="Tahoma" w:cs="Tahoma"/>
                <w:b/>
                <w:bCs/>
                <w:sz w:val="20"/>
                <w:szCs w:val="20"/>
                <w:lang w:eastAsia="en-US"/>
              </w:rPr>
            </w:pPr>
          </w:p>
        </w:tc>
      </w:tr>
      <w:tr w:rsidR="00567578" w:rsidRPr="00567578" w14:paraId="35C3E61B" w14:textId="77777777" w:rsidTr="00B86BDE">
        <w:trPr>
          <w:trHeight w:val="7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9BA4E18"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4.8.</w:t>
            </w:r>
          </w:p>
        </w:tc>
        <w:tc>
          <w:tcPr>
            <w:tcW w:w="5108" w:type="dxa"/>
            <w:tcBorders>
              <w:top w:val="nil"/>
              <w:left w:val="nil"/>
              <w:bottom w:val="single" w:sz="4" w:space="0" w:color="auto"/>
              <w:right w:val="single" w:sz="4" w:space="0" w:color="auto"/>
            </w:tcBorders>
            <w:shd w:val="clear" w:color="auto" w:fill="auto"/>
            <w:vAlign w:val="center"/>
            <w:hideMark/>
          </w:tcPr>
          <w:p w14:paraId="0B52CB55"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Кафе, рестораны, фастфуд</w:t>
            </w:r>
          </w:p>
        </w:tc>
        <w:tc>
          <w:tcPr>
            <w:tcW w:w="8753" w:type="dxa"/>
            <w:vMerge/>
            <w:tcBorders>
              <w:top w:val="nil"/>
              <w:left w:val="single" w:sz="4" w:space="0" w:color="auto"/>
              <w:bottom w:val="single" w:sz="4" w:space="0" w:color="000000"/>
              <w:right w:val="single" w:sz="4" w:space="0" w:color="auto"/>
            </w:tcBorders>
            <w:vAlign w:val="center"/>
            <w:hideMark/>
          </w:tcPr>
          <w:p w14:paraId="024F42D7" w14:textId="77777777" w:rsidR="00567578" w:rsidRPr="00567578" w:rsidRDefault="00567578" w:rsidP="00567578">
            <w:pPr>
              <w:spacing w:after="160" w:line="259" w:lineRule="auto"/>
              <w:rPr>
                <w:rFonts w:ascii="Tahoma" w:eastAsia="Calibri" w:hAnsi="Tahoma" w:cs="Tahoma"/>
                <w:b/>
                <w:bCs/>
                <w:sz w:val="20"/>
                <w:szCs w:val="20"/>
                <w:lang w:eastAsia="en-US"/>
              </w:rPr>
            </w:pPr>
          </w:p>
        </w:tc>
      </w:tr>
      <w:tr w:rsidR="00567578" w:rsidRPr="00567578" w14:paraId="3898905C" w14:textId="77777777" w:rsidTr="00B86BDE">
        <w:trPr>
          <w:trHeight w:val="7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375F75E6"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4.9.</w:t>
            </w:r>
          </w:p>
        </w:tc>
        <w:tc>
          <w:tcPr>
            <w:tcW w:w="5108" w:type="dxa"/>
            <w:tcBorders>
              <w:top w:val="nil"/>
              <w:left w:val="nil"/>
              <w:bottom w:val="single" w:sz="4" w:space="0" w:color="auto"/>
              <w:right w:val="single" w:sz="4" w:space="0" w:color="auto"/>
            </w:tcBorders>
            <w:shd w:val="clear" w:color="auto" w:fill="auto"/>
            <w:vAlign w:val="center"/>
            <w:hideMark/>
          </w:tcPr>
          <w:p w14:paraId="643ACC19"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Салоны красоты и парфюмерия</w:t>
            </w:r>
          </w:p>
        </w:tc>
        <w:tc>
          <w:tcPr>
            <w:tcW w:w="8753" w:type="dxa"/>
            <w:vMerge/>
            <w:tcBorders>
              <w:top w:val="nil"/>
              <w:left w:val="single" w:sz="4" w:space="0" w:color="auto"/>
              <w:bottom w:val="single" w:sz="4" w:space="0" w:color="000000"/>
              <w:right w:val="single" w:sz="4" w:space="0" w:color="auto"/>
            </w:tcBorders>
            <w:vAlign w:val="center"/>
            <w:hideMark/>
          </w:tcPr>
          <w:p w14:paraId="3EB4C93A" w14:textId="77777777" w:rsidR="00567578" w:rsidRPr="00567578" w:rsidRDefault="00567578" w:rsidP="00567578">
            <w:pPr>
              <w:spacing w:after="160" w:line="259" w:lineRule="auto"/>
              <w:rPr>
                <w:rFonts w:ascii="Tahoma" w:eastAsia="Calibri" w:hAnsi="Tahoma" w:cs="Tahoma"/>
                <w:b/>
                <w:bCs/>
                <w:sz w:val="20"/>
                <w:szCs w:val="20"/>
                <w:lang w:eastAsia="en-US"/>
              </w:rPr>
            </w:pPr>
          </w:p>
        </w:tc>
      </w:tr>
      <w:tr w:rsidR="00567578" w:rsidRPr="00567578" w14:paraId="282D9723" w14:textId="77777777" w:rsidTr="00B86BDE">
        <w:trPr>
          <w:trHeight w:val="7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FE6EE8A"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4.10.</w:t>
            </w:r>
          </w:p>
        </w:tc>
        <w:tc>
          <w:tcPr>
            <w:tcW w:w="5108" w:type="dxa"/>
            <w:tcBorders>
              <w:top w:val="nil"/>
              <w:left w:val="nil"/>
              <w:bottom w:val="single" w:sz="4" w:space="0" w:color="auto"/>
              <w:right w:val="single" w:sz="4" w:space="0" w:color="auto"/>
            </w:tcBorders>
            <w:shd w:val="clear" w:color="auto" w:fill="auto"/>
            <w:vAlign w:val="center"/>
            <w:hideMark/>
          </w:tcPr>
          <w:p w14:paraId="695A0B28"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Кино и развлечения</w:t>
            </w:r>
          </w:p>
        </w:tc>
        <w:tc>
          <w:tcPr>
            <w:tcW w:w="8753" w:type="dxa"/>
            <w:vMerge/>
            <w:tcBorders>
              <w:top w:val="nil"/>
              <w:left w:val="single" w:sz="4" w:space="0" w:color="auto"/>
              <w:bottom w:val="single" w:sz="4" w:space="0" w:color="000000"/>
              <w:right w:val="single" w:sz="4" w:space="0" w:color="auto"/>
            </w:tcBorders>
            <w:vAlign w:val="center"/>
            <w:hideMark/>
          </w:tcPr>
          <w:p w14:paraId="3E6AF45E" w14:textId="77777777" w:rsidR="00567578" w:rsidRPr="00567578" w:rsidRDefault="00567578" w:rsidP="00567578">
            <w:pPr>
              <w:spacing w:after="160" w:line="259" w:lineRule="auto"/>
              <w:rPr>
                <w:rFonts w:ascii="Tahoma" w:eastAsia="Calibri" w:hAnsi="Tahoma" w:cs="Tahoma"/>
                <w:b/>
                <w:bCs/>
                <w:sz w:val="20"/>
                <w:szCs w:val="20"/>
                <w:lang w:eastAsia="en-US"/>
              </w:rPr>
            </w:pPr>
          </w:p>
        </w:tc>
      </w:tr>
      <w:tr w:rsidR="00567578" w:rsidRPr="00567578" w14:paraId="109B20B2" w14:textId="77777777" w:rsidTr="00B86BDE">
        <w:trPr>
          <w:trHeight w:val="7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780BDD26"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4.11.</w:t>
            </w:r>
          </w:p>
        </w:tc>
        <w:tc>
          <w:tcPr>
            <w:tcW w:w="5108" w:type="dxa"/>
            <w:tcBorders>
              <w:top w:val="nil"/>
              <w:left w:val="nil"/>
              <w:bottom w:val="single" w:sz="4" w:space="0" w:color="auto"/>
              <w:right w:val="single" w:sz="4" w:space="0" w:color="auto"/>
            </w:tcBorders>
            <w:shd w:val="clear" w:color="auto" w:fill="auto"/>
            <w:vAlign w:val="center"/>
            <w:hideMark/>
          </w:tcPr>
          <w:p w14:paraId="7A2FE6EC"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Фитнес и спортивные товары</w:t>
            </w:r>
          </w:p>
        </w:tc>
        <w:tc>
          <w:tcPr>
            <w:tcW w:w="8753" w:type="dxa"/>
            <w:vMerge/>
            <w:tcBorders>
              <w:top w:val="nil"/>
              <w:left w:val="single" w:sz="4" w:space="0" w:color="auto"/>
              <w:bottom w:val="single" w:sz="4" w:space="0" w:color="000000"/>
              <w:right w:val="single" w:sz="4" w:space="0" w:color="auto"/>
            </w:tcBorders>
            <w:vAlign w:val="center"/>
            <w:hideMark/>
          </w:tcPr>
          <w:p w14:paraId="1ABAF023" w14:textId="77777777" w:rsidR="00567578" w:rsidRPr="00567578" w:rsidRDefault="00567578" w:rsidP="00567578">
            <w:pPr>
              <w:spacing w:after="160" w:line="259" w:lineRule="auto"/>
              <w:rPr>
                <w:rFonts w:ascii="Tahoma" w:eastAsia="Calibri" w:hAnsi="Tahoma" w:cs="Tahoma"/>
                <w:b/>
                <w:bCs/>
                <w:sz w:val="20"/>
                <w:szCs w:val="20"/>
                <w:lang w:eastAsia="en-US"/>
              </w:rPr>
            </w:pPr>
          </w:p>
        </w:tc>
      </w:tr>
      <w:tr w:rsidR="00567578" w:rsidRPr="00567578" w14:paraId="0BCC1C53" w14:textId="77777777" w:rsidTr="00B86BDE">
        <w:trPr>
          <w:trHeight w:val="7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2A420610"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4.12.</w:t>
            </w:r>
          </w:p>
        </w:tc>
        <w:tc>
          <w:tcPr>
            <w:tcW w:w="5108" w:type="dxa"/>
            <w:tcBorders>
              <w:top w:val="nil"/>
              <w:left w:val="nil"/>
              <w:bottom w:val="single" w:sz="4" w:space="0" w:color="auto"/>
              <w:right w:val="single" w:sz="4" w:space="0" w:color="auto"/>
            </w:tcBorders>
            <w:shd w:val="clear" w:color="auto" w:fill="auto"/>
            <w:vAlign w:val="center"/>
            <w:hideMark/>
          </w:tcPr>
          <w:p w14:paraId="41EF4C89"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Медицинские услуги</w:t>
            </w:r>
          </w:p>
        </w:tc>
        <w:tc>
          <w:tcPr>
            <w:tcW w:w="8753" w:type="dxa"/>
            <w:vMerge/>
            <w:tcBorders>
              <w:top w:val="nil"/>
              <w:left w:val="single" w:sz="4" w:space="0" w:color="auto"/>
              <w:bottom w:val="single" w:sz="4" w:space="0" w:color="000000"/>
              <w:right w:val="single" w:sz="4" w:space="0" w:color="auto"/>
            </w:tcBorders>
            <w:vAlign w:val="center"/>
            <w:hideMark/>
          </w:tcPr>
          <w:p w14:paraId="1457EA81" w14:textId="77777777" w:rsidR="00567578" w:rsidRPr="00567578" w:rsidRDefault="00567578" w:rsidP="00567578">
            <w:pPr>
              <w:spacing w:after="160" w:line="259" w:lineRule="auto"/>
              <w:rPr>
                <w:rFonts w:ascii="Tahoma" w:eastAsia="Calibri" w:hAnsi="Tahoma" w:cs="Tahoma"/>
                <w:b/>
                <w:bCs/>
                <w:sz w:val="20"/>
                <w:szCs w:val="20"/>
                <w:lang w:eastAsia="en-US"/>
              </w:rPr>
            </w:pPr>
          </w:p>
        </w:tc>
      </w:tr>
      <w:tr w:rsidR="00567578" w:rsidRPr="00567578" w14:paraId="2F3BA949" w14:textId="77777777" w:rsidTr="00B86BDE">
        <w:trPr>
          <w:trHeight w:val="7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30675E3E"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4.13.</w:t>
            </w:r>
          </w:p>
        </w:tc>
        <w:tc>
          <w:tcPr>
            <w:tcW w:w="5108" w:type="dxa"/>
            <w:tcBorders>
              <w:top w:val="nil"/>
              <w:left w:val="nil"/>
              <w:bottom w:val="single" w:sz="4" w:space="0" w:color="auto"/>
              <w:right w:val="single" w:sz="4" w:space="0" w:color="auto"/>
            </w:tcBorders>
            <w:shd w:val="clear" w:color="auto" w:fill="auto"/>
            <w:vAlign w:val="center"/>
            <w:hideMark/>
          </w:tcPr>
          <w:p w14:paraId="08972BF2"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Книги и канцтовары</w:t>
            </w:r>
          </w:p>
        </w:tc>
        <w:tc>
          <w:tcPr>
            <w:tcW w:w="8753" w:type="dxa"/>
            <w:vMerge/>
            <w:tcBorders>
              <w:top w:val="nil"/>
              <w:left w:val="single" w:sz="4" w:space="0" w:color="auto"/>
              <w:bottom w:val="single" w:sz="4" w:space="0" w:color="000000"/>
              <w:right w:val="single" w:sz="4" w:space="0" w:color="auto"/>
            </w:tcBorders>
            <w:vAlign w:val="center"/>
            <w:hideMark/>
          </w:tcPr>
          <w:p w14:paraId="2A7D97F7" w14:textId="77777777" w:rsidR="00567578" w:rsidRPr="00567578" w:rsidRDefault="00567578" w:rsidP="00567578">
            <w:pPr>
              <w:spacing w:after="160" w:line="259" w:lineRule="auto"/>
              <w:rPr>
                <w:rFonts w:ascii="Tahoma" w:eastAsia="Calibri" w:hAnsi="Tahoma" w:cs="Tahoma"/>
                <w:b/>
                <w:bCs/>
                <w:sz w:val="20"/>
                <w:szCs w:val="20"/>
                <w:lang w:eastAsia="en-US"/>
              </w:rPr>
            </w:pPr>
          </w:p>
        </w:tc>
      </w:tr>
      <w:tr w:rsidR="00567578" w:rsidRPr="00567578" w14:paraId="7A6D1C9D" w14:textId="77777777" w:rsidTr="00B86BDE">
        <w:trPr>
          <w:trHeight w:val="7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1EDA2519"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4.14.</w:t>
            </w:r>
          </w:p>
        </w:tc>
        <w:tc>
          <w:tcPr>
            <w:tcW w:w="5108" w:type="dxa"/>
            <w:tcBorders>
              <w:top w:val="nil"/>
              <w:left w:val="nil"/>
              <w:bottom w:val="single" w:sz="4" w:space="0" w:color="auto"/>
              <w:right w:val="single" w:sz="4" w:space="0" w:color="auto"/>
            </w:tcBorders>
            <w:shd w:val="clear" w:color="auto" w:fill="auto"/>
            <w:vAlign w:val="center"/>
            <w:hideMark/>
          </w:tcPr>
          <w:p w14:paraId="31CDDFD0"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Товары для животных</w:t>
            </w:r>
          </w:p>
        </w:tc>
        <w:tc>
          <w:tcPr>
            <w:tcW w:w="8753" w:type="dxa"/>
            <w:vMerge/>
            <w:tcBorders>
              <w:top w:val="nil"/>
              <w:left w:val="single" w:sz="4" w:space="0" w:color="auto"/>
              <w:bottom w:val="single" w:sz="4" w:space="0" w:color="000000"/>
              <w:right w:val="single" w:sz="4" w:space="0" w:color="auto"/>
            </w:tcBorders>
            <w:vAlign w:val="center"/>
            <w:hideMark/>
          </w:tcPr>
          <w:p w14:paraId="420FFD16" w14:textId="77777777" w:rsidR="00567578" w:rsidRPr="00567578" w:rsidRDefault="00567578" w:rsidP="00567578">
            <w:pPr>
              <w:spacing w:after="160" w:line="259" w:lineRule="auto"/>
              <w:rPr>
                <w:rFonts w:ascii="Tahoma" w:eastAsia="Calibri" w:hAnsi="Tahoma" w:cs="Tahoma"/>
                <w:b/>
                <w:bCs/>
                <w:sz w:val="20"/>
                <w:szCs w:val="20"/>
                <w:lang w:eastAsia="en-US"/>
              </w:rPr>
            </w:pPr>
          </w:p>
        </w:tc>
      </w:tr>
      <w:tr w:rsidR="00567578" w:rsidRPr="00567578" w14:paraId="519CBD6B" w14:textId="77777777" w:rsidTr="00B86BDE">
        <w:trPr>
          <w:trHeight w:val="7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6EFBB41"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4.15.</w:t>
            </w:r>
          </w:p>
        </w:tc>
        <w:tc>
          <w:tcPr>
            <w:tcW w:w="5108" w:type="dxa"/>
            <w:tcBorders>
              <w:top w:val="nil"/>
              <w:left w:val="nil"/>
              <w:bottom w:val="single" w:sz="4" w:space="0" w:color="auto"/>
              <w:right w:val="single" w:sz="4" w:space="0" w:color="auto"/>
            </w:tcBorders>
            <w:shd w:val="clear" w:color="auto" w:fill="auto"/>
            <w:vAlign w:val="center"/>
            <w:hideMark/>
          </w:tcPr>
          <w:p w14:paraId="75EF8F24"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Турагентства</w:t>
            </w:r>
          </w:p>
        </w:tc>
        <w:tc>
          <w:tcPr>
            <w:tcW w:w="8753" w:type="dxa"/>
            <w:vMerge/>
            <w:tcBorders>
              <w:top w:val="nil"/>
              <w:left w:val="single" w:sz="4" w:space="0" w:color="auto"/>
              <w:bottom w:val="single" w:sz="4" w:space="0" w:color="000000"/>
              <w:right w:val="single" w:sz="4" w:space="0" w:color="auto"/>
            </w:tcBorders>
            <w:vAlign w:val="center"/>
            <w:hideMark/>
          </w:tcPr>
          <w:p w14:paraId="025352D1" w14:textId="77777777" w:rsidR="00567578" w:rsidRPr="00567578" w:rsidRDefault="00567578" w:rsidP="00567578">
            <w:pPr>
              <w:spacing w:after="160" w:line="259" w:lineRule="auto"/>
              <w:rPr>
                <w:rFonts w:ascii="Tahoma" w:eastAsia="Calibri" w:hAnsi="Tahoma" w:cs="Tahoma"/>
                <w:b/>
                <w:bCs/>
                <w:sz w:val="20"/>
                <w:szCs w:val="20"/>
                <w:lang w:eastAsia="en-US"/>
              </w:rPr>
            </w:pPr>
          </w:p>
        </w:tc>
      </w:tr>
      <w:tr w:rsidR="00567578" w:rsidRPr="00567578" w14:paraId="28D326AA" w14:textId="77777777" w:rsidTr="00B86BDE">
        <w:trPr>
          <w:trHeight w:val="7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051B9322"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4.16.</w:t>
            </w:r>
          </w:p>
        </w:tc>
        <w:tc>
          <w:tcPr>
            <w:tcW w:w="5108" w:type="dxa"/>
            <w:tcBorders>
              <w:top w:val="nil"/>
              <w:left w:val="nil"/>
              <w:bottom w:val="single" w:sz="4" w:space="0" w:color="auto"/>
              <w:right w:val="single" w:sz="4" w:space="0" w:color="auto"/>
            </w:tcBorders>
            <w:shd w:val="clear" w:color="auto" w:fill="auto"/>
            <w:vAlign w:val="center"/>
            <w:hideMark/>
          </w:tcPr>
          <w:p w14:paraId="0DE840FE"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ЖД билеты</w:t>
            </w:r>
          </w:p>
        </w:tc>
        <w:tc>
          <w:tcPr>
            <w:tcW w:w="8753" w:type="dxa"/>
            <w:vMerge/>
            <w:tcBorders>
              <w:top w:val="nil"/>
              <w:left w:val="single" w:sz="4" w:space="0" w:color="auto"/>
              <w:bottom w:val="single" w:sz="4" w:space="0" w:color="000000"/>
              <w:right w:val="single" w:sz="4" w:space="0" w:color="auto"/>
            </w:tcBorders>
            <w:vAlign w:val="center"/>
            <w:hideMark/>
          </w:tcPr>
          <w:p w14:paraId="2212083F" w14:textId="77777777" w:rsidR="00567578" w:rsidRPr="00567578" w:rsidRDefault="00567578" w:rsidP="00567578">
            <w:pPr>
              <w:spacing w:after="160" w:line="259" w:lineRule="auto"/>
              <w:rPr>
                <w:rFonts w:ascii="Tahoma" w:eastAsia="Calibri" w:hAnsi="Tahoma" w:cs="Tahoma"/>
                <w:b/>
                <w:bCs/>
                <w:sz w:val="20"/>
                <w:szCs w:val="20"/>
                <w:lang w:eastAsia="en-US"/>
              </w:rPr>
            </w:pPr>
          </w:p>
        </w:tc>
      </w:tr>
      <w:tr w:rsidR="00567578" w:rsidRPr="00567578" w14:paraId="67421C37" w14:textId="77777777" w:rsidTr="00B86BDE">
        <w:trPr>
          <w:trHeight w:val="7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77F1010"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4.17.</w:t>
            </w:r>
          </w:p>
        </w:tc>
        <w:tc>
          <w:tcPr>
            <w:tcW w:w="5108" w:type="dxa"/>
            <w:tcBorders>
              <w:top w:val="nil"/>
              <w:left w:val="nil"/>
              <w:bottom w:val="single" w:sz="4" w:space="0" w:color="auto"/>
              <w:right w:val="single" w:sz="4" w:space="0" w:color="auto"/>
            </w:tcBorders>
            <w:shd w:val="clear" w:color="auto" w:fill="auto"/>
            <w:vAlign w:val="center"/>
            <w:hideMark/>
          </w:tcPr>
          <w:p w14:paraId="70981A83"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Авиабилеты</w:t>
            </w:r>
          </w:p>
        </w:tc>
        <w:tc>
          <w:tcPr>
            <w:tcW w:w="8753" w:type="dxa"/>
            <w:vMerge/>
            <w:tcBorders>
              <w:top w:val="nil"/>
              <w:left w:val="single" w:sz="4" w:space="0" w:color="auto"/>
              <w:bottom w:val="single" w:sz="4" w:space="0" w:color="000000"/>
              <w:right w:val="single" w:sz="4" w:space="0" w:color="auto"/>
            </w:tcBorders>
            <w:vAlign w:val="center"/>
            <w:hideMark/>
          </w:tcPr>
          <w:p w14:paraId="163E1897" w14:textId="77777777" w:rsidR="00567578" w:rsidRPr="00567578" w:rsidRDefault="00567578" w:rsidP="00567578">
            <w:pPr>
              <w:spacing w:after="160" w:line="259" w:lineRule="auto"/>
              <w:rPr>
                <w:rFonts w:ascii="Tahoma" w:eastAsia="Calibri" w:hAnsi="Tahoma" w:cs="Tahoma"/>
                <w:b/>
                <w:bCs/>
                <w:sz w:val="20"/>
                <w:szCs w:val="20"/>
                <w:lang w:eastAsia="en-US"/>
              </w:rPr>
            </w:pPr>
          </w:p>
        </w:tc>
      </w:tr>
      <w:tr w:rsidR="00567578" w:rsidRPr="00567578" w14:paraId="2A8BCD31" w14:textId="77777777" w:rsidTr="00B86BDE">
        <w:trPr>
          <w:trHeight w:val="42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6E414F22"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4.18.</w:t>
            </w:r>
          </w:p>
        </w:tc>
        <w:tc>
          <w:tcPr>
            <w:tcW w:w="5108" w:type="dxa"/>
            <w:tcBorders>
              <w:top w:val="nil"/>
              <w:left w:val="nil"/>
              <w:bottom w:val="single" w:sz="4" w:space="0" w:color="auto"/>
              <w:right w:val="single" w:sz="4" w:space="0" w:color="auto"/>
            </w:tcBorders>
            <w:shd w:val="clear" w:color="auto" w:fill="auto"/>
            <w:vAlign w:val="center"/>
            <w:hideMark/>
          </w:tcPr>
          <w:p w14:paraId="5A85AD6E"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Отели</w:t>
            </w:r>
          </w:p>
        </w:tc>
        <w:tc>
          <w:tcPr>
            <w:tcW w:w="8753" w:type="dxa"/>
            <w:vMerge/>
            <w:tcBorders>
              <w:top w:val="nil"/>
              <w:left w:val="single" w:sz="4" w:space="0" w:color="auto"/>
              <w:bottom w:val="single" w:sz="4" w:space="0" w:color="000000"/>
              <w:right w:val="single" w:sz="4" w:space="0" w:color="auto"/>
            </w:tcBorders>
            <w:vAlign w:val="center"/>
            <w:hideMark/>
          </w:tcPr>
          <w:p w14:paraId="555B4C52" w14:textId="77777777" w:rsidR="00567578" w:rsidRPr="00567578" w:rsidRDefault="00567578" w:rsidP="00567578">
            <w:pPr>
              <w:spacing w:after="160" w:line="259" w:lineRule="auto"/>
              <w:rPr>
                <w:rFonts w:ascii="Tahoma" w:eastAsia="Calibri" w:hAnsi="Tahoma" w:cs="Tahoma"/>
                <w:b/>
                <w:bCs/>
                <w:sz w:val="20"/>
                <w:szCs w:val="20"/>
                <w:lang w:eastAsia="en-US"/>
              </w:rPr>
            </w:pPr>
          </w:p>
        </w:tc>
      </w:tr>
      <w:tr w:rsidR="00567578" w:rsidRPr="00567578" w14:paraId="22DDCE01" w14:textId="77777777" w:rsidTr="00B86BDE">
        <w:trPr>
          <w:trHeight w:val="7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504B9DC0"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4.19.</w:t>
            </w:r>
          </w:p>
        </w:tc>
        <w:tc>
          <w:tcPr>
            <w:tcW w:w="5108" w:type="dxa"/>
            <w:tcBorders>
              <w:top w:val="nil"/>
              <w:left w:val="nil"/>
              <w:bottom w:val="single" w:sz="4" w:space="0" w:color="auto"/>
              <w:right w:val="single" w:sz="4" w:space="0" w:color="auto"/>
            </w:tcBorders>
            <w:shd w:val="clear" w:color="auto" w:fill="auto"/>
            <w:vAlign w:val="center"/>
            <w:hideMark/>
          </w:tcPr>
          <w:p w14:paraId="7FEFBD7E"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Цветы</w:t>
            </w:r>
          </w:p>
        </w:tc>
        <w:tc>
          <w:tcPr>
            <w:tcW w:w="8753" w:type="dxa"/>
            <w:vMerge/>
            <w:tcBorders>
              <w:top w:val="nil"/>
              <w:left w:val="single" w:sz="4" w:space="0" w:color="auto"/>
              <w:bottom w:val="single" w:sz="4" w:space="0" w:color="000000"/>
              <w:right w:val="single" w:sz="4" w:space="0" w:color="auto"/>
            </w:tcBorders>
            <w:vAlign w:val="center"/>
            <w:hideMark/>
          </w:tcPr>
          <w:p w14:paraId="2B457672" w14:textId="77777777" w:rsidR="00567578" w:rsidRPr="00567578" w:rsidRDefault="00567578" w:rsidP="00567578">
            <w:pPr>
              <w:spacing w:after="160" w:line="259" w:lineRule="auto"/>
              <w:rPr>
                <w:rFonts w:ascii="Tahoma" w:eastAsia="Calibri" w:hAnsi="Tahoma" w:cs="Tahoma"/>
                <w:b/>
                <w:bCs/>
                <w:sz w:val="20"/>
                <w:szCs w:val="20"/>
                <w:lang w:eastAsia="en-US"/>
              </w:rPr>
            </w:pPr>
          </w:p>
        </w:tc>
      </w:tr>
      <w:tr w:rsidR="00567578" w:rsidRPr="00567578" w14:paraId="77E67173" w14:textId="77777777" w:rsidTr="00B86BDE">
        <w:trPr>
          <w:trHeight w:val="7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3234C6FE"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4.20.</w:t>
            </w:r>
          </w:p>
        </w:tc>
        <w:tc>
          <w:tcPr>
            <w:tcW w:w="5108" w:type="dxa"/>
            <w:tcBorders>
              <w:top w:val="nil"/>
              <w:left w:val="nil"/>
              <w:bottom w:val="single" w:sz="4" w:space="0" w:color="auto"/>
              <w:right w:val="single" w:sz="4" w:space="0" w:color="auto"/>
            </w:tcBorders>
            <w:shd w:val="clear" w:color="auto" w:fill="auto"/>
            <w:vAlign w:val="center"/>
            <w:hideMark/>
          </w:tcPr>
          <w:p w14:paraId="2DC2D4D1"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Супермаркеты</w:t>
            </w:r>
          </w:p>
        </w:tc>
        <w:tc>
          <w:tcPr>
            <w:tcW w:w="8753" w:type="dxa"/>
            <w:vMerge/>
            <w:tcBorders>
              <w:top w:val="nil"/>
              <w:left w:val="single" w:sz="4" w:space="0" w:color="auto"/>
              <w:bottom w:val="single" w:sz="4" w:space="0" w:color="000000"/>
              <w:right w:val="single" w:sz="4" w:space="0" w:color="auto"/>
            </w:tcBorders>
            <w:vAlign w:val="center"/>
            <w:hideMark/>
          </w:tcPr>
          <w:p w14:paraId="266B27E6" w14:textId="77777777" w:rsidR="00567578" w:rsidRPr="00567578" w:rsidRDefault="00567578" w:rsidP="00567578">
            <w:pPr>
              <w:spacing w:after="160" w:line="259" w:lineRule="auto"/>
              <w:rPr>
                <w:rFonts w:ascii="Tahoma" w:eastAsia="Calibri" w:hAnsi="Tahoma" w:cs="Tahoma"/>
                <w:b/>
                <w:bCs/>
                <w:sz w:val="20"/>
                <w:szCs w:val="20"/>
                <w:lang w:eastAsia="en-US"/>
              </w:rPr>
            </w:pPr>
          </w:p>
        </w:tc>
      </w:tr>
      <w:tr w:rsidR="00567578" w:rsidRPr="00567578" w14:paraId="2095D3F9" w14:textId="77777777" w:rsidTr="00B86BDE">
        <w:trPr>
          <w:trHeight w:val="360"/>
        </w:trPr>
        <w:tc>
          <w:tcPr>
            <w:tcW w:w="846" w:type="dxa"/>
            <w:tcBorders>
              <w:top w:val="nil"/>
              <w:left w:val="single" w:sz="4" w:space="0" w:color="auto"/>
              <w:bottom w:val="single" w:sz="4" w:space="0" w:color="auto"/>
              <w:right w:val="single" w:sz="4" w:space="0" w:color="auto"/>
            </w:tcBorders>
            <w:shd w:val="clear" w:color="000000" w:fill="757171"/>
            <w:noWrap/>
            <w:vAlign w:val="center"/>
            <w:hideMark/>
          </w:tcPr>
          <w:p w14:paraId="5E9B533E" w14:textId="77777777" w:rsidR="00567578" w:rsidRPr="00567578" w:rsidRDefault="00567578" w:rsidP="00567578">
            <w:pPr>
              <w:spacing w:after="160" w:line="259" w:lineRule="auto"/>
              <w:jc w:val="center"/>
              <w:rPr>
                <w:rFonts w:ascii="Tahoma" w:eastAsia="Calibri" w:hAnsi="Tahoma" w:cs="Tahoma"/>
                <w:b/>
                <w:bCs/>
                <w:color w:val="FFFFFF"/>
                <w:sz w:val="20"/>
                <w:szCs w:val="20"/>
                <w:lang w:eastAsia="en-US"/>
              </w:rPr>
            </w:pPr>
            <w:r w:rsidRPr="00567578">
              <w:rPr>
                <w:rFonts w:ascii="Tahoma" w:eastAsia="Calibri" w:hAnsi="Tahoma" w:cs="Tahoma"/>
                <w:b/>
                <w:bCs/>
                <w:color w:val="FFFFFF"/>
                <w:sz w:val="20"/>
                <w:szCs w:val="20"/>
                <w:lang w:eastAsia="en-US"/>
              </w:rPr>
              <w:t>5.</w:t>
            </w:r>
          </w:p>
        </w:tc>
        <w:tc>
          <w:tcPr>
            <w:tcW w:w="13861" w:type="dxa"/>
            <w:gridSpan w:val="2"/>
            <w:tcBorders>
              <w:top w:val="single" w:sz="4" w:space="0" w:color="auto"/>
              <w:left w:val="nil"/>
              <w:bottom w:val="single" w:sz="4" w:space="0" w:color="auto"/>
              <w:right w:val="single" w:sz="4" w:space="0" w:color="000000"/>
            </w:tcBorders>
            <w:shd w:val="clear" w:color="000000" w:fill="757171"/>
            <w:noWrap/>
            <w:vAlign w:val="center"/>
            <w:hideMark/>
          </w:tcPr>
          <w:p w14:paraId="07D56524" w14:textId="77777777" w:rsidR="00567578" w:rsidRPr="00567578" w:rsidRDefault="00567578" w:rsidP="00567578">
            <w:pPr>
              <w:spacing w:after="160" w:line="259" w:lineRule="auto"/>
              <w:rPr>
                <w:rFonts w:ascii="Tahoma" w:eastAsia="Calibri" w:hAnsi="Tahoma" w:cs="Tahoma"/>
                <w:b/>
                <w:bCs/>
                <w:color w:val="FFFFFF"/>
                <w:sz w:val="20"/>
                <w:szCs w:val="20"/>
                <w:lang w:eastAsia="en-US"/>
              </w:rPr>
            </w:pPr>
            <w:r w:rsidRPr="00567578">
              <w:rPr>
                <w:rFonts w:ascii="Tahoma" w:eastAsia="Calibri" w:hAnsi="Tahoma" w:cs="Tahoma"/>
                <w:b/>
                <w:bCs/>
                <w:color w:val="FFFFFF"/>
                <w:sz w:val="20"/>
                <w:szCs w:val="20"/>
                <w:lang w:eastAsia="en-US"/>
              </w:rPr>
              <w:t>Перечень МСС-кодов по категориям</w:t>
            </w:r>
          </w:p>
        </w:tc>
      </w:tr>
      <w:tr w:rsidR="00567578" w:rsidRPr="00567578" w14:paraId="60CAEDEB" w14:textId="77777777" w:rsidTr="00B86BDE">
        <w:trPr>
          <w:trHeight w:val="720"/>
        </w:trPr>
        <w:tc>
          <w:tcPr>
            <w:tcW w:w="846" w:type="dxa"/>
            <w:tcBorders>
              <w:top w:val="nil"/>
              <w:left w:val="single" w:sz="4" w:space="0" w:color="auto"/>
              <w:bottom w:val="single" w:sz="4" w:space="0" w:color="auto"/>
              <w:right w:val="single" w:sz="4" w:space="0" w:color="auto"/>
            </w:tcBorders>
            <w:shd w:val="clear" w:color="000000" w:fill="FFFFFF"/>
            <w:noWrap/>
            <w:vAlign w:val="center"/>
            <w:hideMark/>
          </w:tcPr>
          <w:p w14:paraId="2EF1AC48"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5.1.</w:t>
            </w:r>
          </w:p>
        </w:tc>
        <w:tc>
          <w:tcPr>
            <w:tcW w:w="5108" w:type="dxa"/>
            <w:tcBorders>
              <w:top w:val="nil"/>
              <w:left w:val="nil"/>
              <w:bottom w:val="single" w:sz="4" w:space="0" w:color="auto"/>
              <w:right w:val="single" w:sz="4" w:space="0" w:color="auto"/>
            </w:tcBorders>
            <w:shd w:val="clear" w:color="auto" w:fill="auto"/>
            <w:vAlign w:val="center"/>
            <w:hideMark/>
          </w:tcPr>
          <w:p w14:paraId="086B222C"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b/>
                <w:bCs/>
                <w:sz w:val="20"/>
                <w:szCs w:val="20"/>
                <w:lang w:eastAsia="en-US"/>
              </w:rPr>
              <w:t>Аптеки и оптика:</w:t>
            </w:r>
            <w:r w:rsidRPr="00567578">
              <w:rPr>
                <w:rFonts w:ascii="Tahoma" w:eastAsia="Calibri" w:hAnsi="Tahoma" w:cs="Tahoma"/>
                <w:sz w:val="20"/>
                <w:szCs w:val="20"/>
                <w:lang w:eastAsia="en-US"/>
              </w:rPr>
              <w:t xml:space="preserve"> лекарства, слуховые аппараты, ортопедические товары, оптические товары </w:t>
            </w:r>
          </w:p>
        </w:tc>
        <w:tc>
          <w:tcPr>
            <w:tcW w:w="8753" w:type="dxa"/>
            <w:tcBorders>
              <w:top w:val="single" w:sz="4" w:space="0" w:color="auto"/>
              <w:left w:val="nil"/>
              <w:bottom w:val="single" w:sz="4" w:space="0" w:color="auto"/>
              <w:right w:val="single" w:sz="4" w:space="0" w:color="auto"/>
            </w:tcBorders>
            <w:shd w:val="clear" w:color="000000" w:fill="FFFFFF"/>
            <w:vAlign w:val="center"/>
            <w:hideMark/>
          </w:tcPr>
          <w:p w14:paraId="110AA790"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5122, 5912, 5975, 5976, 8043, 8044</w:t>
            </w:r>
          </w:p>
        </w:tc>
      </w:tr>
      <w:tr w:rsidR="00567578" w:rsidRPr="00567578" w14:paraId="4D1D1CA0" w14:textId="77777777" w:rsidTr="00B86BDE">
        <w:trPr>
          <w:trHeight w:val="720"/>
        </w:trPr>
        <w:tc>
          <w:tcPr>
            <w:tcW w:w="846" w:type="dxa"/>
            <w:tcBorders>
              <w:top w:val="nil"/>
              <w:left w:val="single" w:sz="4" w:space="0" w:color="auto"/>
              <w:bottom w:val="single" w:sz="4" w:space="0" w:color="auto"/>
              <w:right w:val="single" w:sz="4" w:space="0" w:color="auto"/>
            </w:tcBorders>
            <w:shd w:val="clear" w:color="000000" w:fill="FFFFFF"/>
            <w:noWrap/>
            <w:vAlign w:val="center"/>
            <w:hideMark/>
          </w:tcPr>
          <w:p w14:paraId="64162975"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5.2.</w:t>
            </w:r>
          </w:p>
        </w:tc>
        <w:tc>
          <w:tcPr>
            <w:tcW w:w="5108" w:type="dxa"/>
            <w:tcBorders>
              <w:top w:val="nil"/>
              <w:left w:val="nil"/>
              <w:bottom w:val="single" w:sz="4" w:space="0" w:color="auto"/>
              <w:right w:val="single" w:sz="4" w:space="0" w:color="auto"/>
            </w:tcBorders>
            <w:shd w:val="clear" w:color="auto" w:fill="auto"/>
            <w:vAlign w:val="center"/>
            <w:hideMark/>
          </w:tcPr>
          <w:p w14:paraId="41416C95"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b/>
                <w:bCs/>
                <w:sz w:val="20"/>
                <w:szCs w:val="20"/>
                <w:lang w:eastAsia="en-US"/>
              </w:rPr>
              <w:t>Дом, ремонт:</w:t>
            </w:r>
            <w:r w:rsidRPr="00567578">
              <w:rPr>
                <w:rFonts w:ascii="Tahoma" w:eastAsia="Calibri" w:hAnsi="Tahoma" w:cs="Tahoma"/>
                <w:sz w:val="20"/>
                <w:szCs w:val="20"/>
                <w:lang w:eastAsia="en-US"/>
              </w:rPr>
              <w:t xml:space="preserve"> мебель, товары для дома и ремонта, дачи и сада</w:t>
            </w:r>
          </w:p>
        </w:tc>
        <w:tc>
          <w:tcPr>
            <w:tcW w:w="8753" w:type="dxa"/>
            <w:tcBorders>
              <w:top w:val="single" w:sz="4" w:space="0" w:color="auto"/>
              <w:left w:val="nil"/>
              <w:bottom w:val="single" w:sz="4" w:space="0" w:color="auto"/>
              <w:right w:val="single" w:sz="4" w:space="0" w:color="auto"/>
            </w:tcBorders>
            <w:shd w:val="clear" w:color="000000" w:fill="FFFFFF"/>
            <w:vAlign w:val="center"/>
            <w:hideMark/>
          </w:tcPr>
          <w:p w14:paraId="05EF6C5F"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1520, 1711, 1731, 1740, 1750, 1761, 1771, 1799, 2791, 2842, 5021, 5039, 5046, 5051, 5065, 5072, 5074, 5085, 5198, 5200, 5211, 5231, 5251, 5261, 5415, 5712, 5713, 5714, 5718, 5719, 5722, 7622,7623, 7629, 7641,7692, 7699</w:t>
            </w:r>
          </w:p>
        </w:tc>
      </w:tr>
      <w:tr w:rsidR="00567578" w:rsidRPr="00567578" w14:paraId="392B8C9B" w14:textId="77777777" w:rsidTr="00B86BDE">
        <w:trPr>
          <w:trHeight w:val="360"/>
        </w:trPr>
        <w:tc>
          <w:tcPr>
            <w:tcW w:w="846" w:type="dxa"/>
            <w:tcBorders>
              <w:top w:val="nil"/>
              <w:left w:val="single" w:sz="4" w:space="0" w:color="auto"/>
              <w:bottom w:val="single" w:sz="4" w:space="0" w:color="auto"/>
              <w:right w:val="single" w:sz="4" w:space="0" w:color="auto"/>
            </w:tcBorders>
            <w:shd w:val="clear" w:color="000000" w:fill="FFFFFF"/>
            <w:noWrap/>
            <w:vAlign w:val="center"/>
            <w:hideMark/>
          </w:tcPr>
          <w:p w14:paraId="70E01517"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5.3.</w:t>
            </w:r>
          </w:p>
        </w:tc>
        <w:tc>
          <w:tcPr>
            <w:tcW w:w="5108" w:type="dxa"/>
            <w:tcBorders>
              <w:top w:val="nil"/>
              <w:left w:val="nil"/>
              <w:bottom w:val="single" w:sz="4" w:space="0" w:color="auto"/>
              <w:right w:val="single" w:sz="4" w:space="0" w:color="auto"/>
            </w:tcBorders>
            <w:shd w:val="clear" w:color="auto" w:fill="auto"/>
            <w:vAlign w:val="center"/>
            <w:hideMark/>
          </w:tcPr>
          <w:p w14:paraId="5F9613EE"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b/>
                <w:bCs/>
                <w:sz w:val="20"/>
                <w:szCs w:val="20"/>
                <w:lang w:eastAsia="en-US"/>
              </w:rPr>
              <w:t>АЗС:</w:t>
            </w:r>
            <w:r w:rsidRPr="00567578">
              <w:rPr>
                <w:rFonts w:ascii="Tahoma" w:eastAsia="Calibri" w:hAnsi="Tahoma" w:cs="Tahoma"/>
                <w:sz w:val="20"/>
                <w:szCs w:val="20"/>
                <w:lang w:eastAsia="en-US"/>
              </w:rPr>
              <w:t xml:space="preserve"> АЗС и нефтепродукты</w:t>
            </w:r>
          </w:p>
        </w:tc>
        <w:tc>
          <w:tcPr>
            <w:tcW w:w="8753" w:type="dxa"/>
            <w:tcBorders>
              <w:top w:val="single" w:sz="4" w:space="0" w:color="auto"/>
              <w:left w:val="nil"/>
              <w:bottom w:val="single" w:sz="4" w:space="0" w:color="auto"/>
              <w:right w:val="single" w:sz="4" w:space="0" w:color="auto"/>
            </w:tcBorders>
            <w:shd w:val="clear" w:color="000000" w:fill="FFFFFF"/>
            <w:vAlign w:val="center"/>
            <w:hideMark/>
          </w:tcPr>
          <w:p w14:paraId="1B8785FA"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5172, 5541, 5542, 5983</w:t>
            </w:r>
          </w:p>
        </w:tc>
      </w:tr>
      <w:tr w:rsidR="00567578" w:rsidRPr="00567578" w14:paraId="7611E1FB" w14:textId="77777777" w:rsidTr="00B86BDE">
        <w:trPr>
          <w:trHeight w:val="720"/>
        </w:trPr>
        <w:tc>
          <w:tcPr>
            <w:tcW w:w="846" w:type="dxa"/>
            <w:tcBorders>
              <w:top w:val="nil"/>
              <w:left w:val="single" w:sz="4" w:space="0" w:color="auto"/>
              <w:bottom w:val="single" w:sz="4" w:space="0" w:color="auto"/>
              <w:right w:val="single" w:sz="4" w:space="0" w:color="auto"/>
            </w:tcBorders>
            <w:shd w:val="clear" w:color="000000" w:fill="FFFFFF"/>
            <w:noWrap/>
            <w:vAlign w:val="center"/>
            <w:hideMark/>
          </w:tcPr>
          <w:p w14:paraId="56BDE668"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5.4.</w:t>
            </w:r>
          </w:p>
        </w:tc>
        <w:tc>
          <w:tcPr>
            <w:tcW w:w="5108" w:type="dxa"/>
            <w:tcBorders>
              <w:top w:val="nil"/>
              <w:left w:val="nil"/>
              <w:bottom w:val="single" w:sz="4" w:space="0" w:color="auto"/>
              <w:right w:val="single" w:sz="4" w:space="0" w:color="auto"/>
            </w:tcBorders>
            <w:shd w:val="clear" w:color="auto" w:fill="auto"/>
            <w:vAlign w:val="center"/>
            <w:hideMark/>
          </w:tcPr>
          <w:p w14:paraId="4E3D044A"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b/>
                <w:bCs/>
                <w:sz w:val="20"/>
                <w:szCs w:val="20"/>
                <w:lang w:eastAsia="en-US"/>
              </w:rPr>
              <w:t>Автоуслуги и запчасти:</w:t>
            </w:r>
            <w:r w:rsidRPr="00567578">
              <w:rPr>
                <w:rFonts w:ascii="Tahoma" w:eastAsia="Calibri" w:hAnsi="Tahoma" w:cs="Tahoma"/>
                <w:sz w:val="20"/>
                <w:szCs w:val="20"/>
                <w:lang w:eastAsia="en-US"/>
              </w:rPr>
              <w:t xml:space="preserve"> автомобили, автозапчасти, шины, автоуслуги, сервис и ремонт</w:t>
            </w:r>
          </w:p>
        </w:tc>
        <w:tc>
          <w:tcPr>
            <w:tcW w:w="8753" w:type="dxa"/>
            <w:tcBorders>
              <w:top w:val="single" w:sz="4" w:space="0" w:color="auto"/>
              <w:left w:val="nil"/>
              <w:bottom w:val="single" w:sz="4" w:space="0" w:color="auto"/>
              <w:right w:val="single" w:sz="4" w:space="0" w:color="auto"/>
            </w:tcBorders>
            <w:shd w:val="clear" w:color="000000" w:fill="FFFFFF"/>
            <w:vAlign w:val="center"/>
            <w:hideMark/>
          </w:tcPr>
          <w:p w14:paraId="15DA62ED"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5511, 5521, 5531, 5532, 5533, 5571, 7531, 7534, 7535, 7538, 7542, 7549</w:t>
            </w:r>
          </w:p>
        </w:tc>
      </w:tr>
      <w:tr w:rsidR="00567578" w:rsidRPr="00567578" w14:paraId="0DF1346A" w14:textId="77777777" w:rsidTr="00B86BDE">
        <w:trPr>
          <w:trHeight w:val="70"/>
        </w:trPr>
        <w:tc>
          <w:tcPr>
            <w:tcW w:w="846" w:type="dxa"/>
            <w:tcBorders>
              <w:top w:val="nil"/>
              <w:left w:val="single" w:sz="4" w:space="0" w:color="auto"/>
              <w:bottom w:val="single" w:sz="4" w:space="0" w:color="auto"/>
              <w:right w:val="single" w:sz="4" w:space="0" w:color="auto"/>
            </w:tcBorders>
            <w:shd w:val="clear" w:color="000000" w:fill="FFFFFF"/>
            <w:noWrap/>
            <w:vAlign w:val="center"/>
            <w:hideMark/>
          </w:tcPr>
          <w:p w14:paraId="271749C1"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5.5.</w:t>
            </w:r>
          </w:p>
        </w:tc>
        <w:tc>
          <w:tcPr>
            <w:tcW w:w="5108" w:type="dxa"/>
            <w:tcBorders>
              <w:top w:val="nil"/>
              <w:left w:val="nil"/>
              <w:bottom w:val="single" w:sz="4" w:space="0" w:color="auto"/>
              <w:right w:val="single" w:sz="4" w:space="0" w:color="auto"/>
            </w:tcBorders>
            <w:shd w:val="clear" w:color="auto" w:fill="auto"/>
            <w:vAlign w:val="center"/>
            <w:hideMark/>
          </w:tcPr>
          <w:p w14:paraId="4375366C"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b/>
                <w:bCs/>
                <w:sz w:val="20"/>
                <w:szCs w:val="20"/>
                <w:lang w:eastAsia="en-US"/>
              </w:rPr>
              <w:t>Такси и каршеринг:</w:t>
            </w:r>
            <w:r w:rsidRPr="00567578">
              <w:rPr>
                <w:rFonts w:ascii="Tahoma" w:eastAsia="Calibri" w:hAnsi="Tahoma" w:cs="Tahoma"/>
                <w:sz w:val="20"/>
                <w:szCs w:val="20"/>
                <w:lang w:eastAsia="en-US"/>
              </w:rPr>
              <w:t xml:space="preserve"> такси и каршеринг, прокат самокатов</w:t>
            </w:r>
          </w:p>
        </w:tc>
        <w:tc>
          <w:tcPr>
            <w:tcW w:w="8753" w:type="dxa"/>
            <w:tcBorders>
              <w:top w:val="single" w:sz="4" w:space="0" w:color="auto"/>
              <w:left w:val="nil"/>
              <w:bottom w:val="single" w:sz="4" w:space="0" w:color="auto"/>
              <w:right w:val="single" w:sz="4" w:space="0" w:color="auto"/>
            </w:tcBorders>
            <w:shd w:val="clear" w:color="000000" w:fill="FFFFFF"/>
            <w:vAlign w:val="center"/>
            <w:hideMark/>
          </w:tcPr>
          <w:p w14:paraId="02B5A7C0"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3351-3441, 3990, 4121,7512</w:t>
            </w:r>
          </w:p>
        </w:tc>
      </w:tr>
      <w:tr w:rsidR="00567578" w:rsidRPr="00567578" w14:paraId="722CEC2F" w14:textId="77777777" w:rsidTr="00B86BDE">
        <w:trPr>
          <w:trHeight w:val="720"/>
        </w:trPr>
        <w:tc>
          <w:tcPr>
            <w:tcW w:w="846" w:type="dxa"/>
            <w:tcBorders>
              <w:top w:val="nil"/>
              <w:left w:val="single" w:sz="4" w:space="0" w:color="auto"/>
              <w:bottom w:val="single" w:sz="4" w:space="0" w:color="auto"/>
              <w:right w:val="single" w:sz="4" w:space="0" w:color="auto"/>
            </w:tcBorders>
            <w:shd w:val="clear" w:color="000000" w:fill="FFFFFF"/>
            <w:noWrap/>
            <w:vAlign w:val="center"/>
            <w:hideMark/>
          </w:tcPr>
          <w:p w14:paraId="79747ACF"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5.6.</w:t>
            </w:r>
          </w:p>
        </w:tc>
        <w:tc>
          <w:tcPr>
            <w:tcW w:w="5108" w:type="dxa"/>
            <w:tcBorders>
              <w:top w:val="nil"/>
              <w:left w:val="nil"/>
              <w:bottom w:val="single" w:sz="4" w:space="0" w:color="auto"/>
              <w:right w:val="single" w:sz="4" w:space="0" w:color="auto"/>
            </w:tcBorders>
            <w:shd w:val="clear" w:color="auto" w:fill="auto"/>
            <w:vAlign w:val="center"/>
            <w:hideMark/>
          </w:tcPr>
          <w:p w14:paraId="04983FCE"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b/>
                <w:bCs/>
                <w:sz w:val="20"/>
                <w:szCs w:val="20"/>
                <w:lang w:eastAsia="en-US"/>
              </w:rPr>
              <w:t xml:space="preserve">Шоппинг: </w:t>
            </w:r>
            <w:r w:rsidRPr="00567578">
              <w:rPr>
                <w:rFonts w:ascii="Tahoma" w:eastAsia="Calibri" w:hAnsi="Tahoma" w:cs="Tahoma"/>
                <w:sz w:val="20"/>
                <w:szCs w:val="20"/>
                <w:lang w:eastAsia="en-US"/>
              </w:rPr>
              <w:t>одежда, обувь, ювелирные изделия, детские товары</w:t>
            </w:r>
          </w:p>
        </w:tc>
        <w:tc>
          <w:tcPr>
            <w:tcW w:w="8753" w:type="dxa"/>
            <w:tcBorders>
              <w:top w:val="single" w:sz="4" w:space="0" w:color="auto"/>
              <w:left w:val="nil"/>
              <w:bottom w:val="single" w:sz="4" w:space="0" w:color="auto"/>
              <w:right w:val="single" w:sz="4" w:space="0" w:color="auto"/>
            </w:tcBorders>
            <w:shd w:val="clear" w:color="auto" w:fill="auto"/>
            <w:noWrap/>
            <w:vAlign w:val="center"/>
            <w:hideMark/>
          </w:tcPr>
          <w:p w14:paraId="5FD464D3"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5641, 5945, 5137, 5139, 5611, 5621, 5631, 5651, 5661, 5681, 5691, 5699, 5944</w:t>
            </w:r>
          </w:p>
        </w:tc>
      </w:tr>
      <w:tr w:rsidR="00567578" w:rsidRPr="00567578" w14:paraId="5DF83A8A" w14:textId="77777777" w:rsidTr="00B86BDE">
        <w:trPr>
          <w:trHeight w:val="720"/>
        </w:trPr>
        <w:tc>
          <w:tcPr>
            <w:tcW w:w="846" w:type="dxa"/>
            <w:tcBorders>
              <w:top w:val="nil"/>
              <w:left w:val="single" w:sz="4" w:space="0" w:color="auto"/>
              <w:bottom w:val="single" w:sz="4" w:space="0" w:color="auto"/>
              <w:right w:val="single" w:sz="4" w:space="0" w:color="auto"/>
            </w:tcBorders>
            <w:shd w:val="clear" w:color="000000" w:fill="FFFFFF"/>
            <w:noWrap/>
            <w:vAlign w:val="center"/>
            <w:hideMark/>
          </w:tcPr>
          <w:p w14:paraId="406DB8BE"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5.7.</w:t>
            </w:r>
          </w:p>
        </w:tc>
        <w:tc>
          <w:tcPr>
            <w:tcW w:w="5108" w:type="dxa"/>
            <w:tcBorders>
              <w:top w:val="nil"/>
              <w:left w:val="nil"/>
              <w:bottom w:val="single" w:sz="4" w:space="0" w:color="auto"/>
              <w:right w:val="single" w:sz="4" w:space="0" w:color="auto"/>
            </w:tcBorders>
            <w:shd w:val="clear" w:color="auto" w:fill="auto"/>
            <w:vAlign w:val="center"/>
            <w:hideMark/>
          </w:tcPr>
          <w:p w14:paraId="4C5519A1"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b/>
                <w:bCs/>
                <w:sz w:val="20"/>
                <w:szCs w:val="20"/>
                <w:lang w:eastAsia="en-US"/>
              </w:rPr>
              <w:t>Маркетплейсы:</w:t>
            </w:r>
            <w:r w:rsidRPr="00567578">
              <w:rPr>
                <w:rFonts w:ascii="Tahoma" w:eastAsia="Calibri" w:hAnsi="Tahoma" w:cs="Tahoma"/>
                <w:sz w:val="20"/>
                <w:szCs w:val="20"/>
                <w:lang w:eastAsia="en-US"/>
              </w:rPr>
              <w:t xml:space="preserve"> покупки на маркетплейсах и онлайн-маркетах</w:t>
            </w:r>
          </w:p>
        </w:tc>
        <w:tc>
          <w:tcPr>
            <w:tcW w:w="8753" w:type="dxa"/>
            <w:tcBorders>
              <w:top w:val="single" w:sz="4" w:space="0" w:color="auto"/>
              <w:left w:val="nil"/>
              <w:bottom w:val="single" w:sz="4" w:space="0" w:color="auto"/>
              <w:right w:val="single" w:sz="4" w:space="0" w:color="auto"/>
            </w:tcBorders>
            <w:shd w:val="clear" w:color="000000" w:fill="FFFFFF"/>
            <w:noWrap/>
            <w:vAlign w:val="center"/>
            <w:hideMark/>
          </w:tcPr>
          <w:p w14:paraId="77C50FB3"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5262, 5300, 5964</w:t>
            </w:r>
          </w:p>
        </w:tc>
      </w:tr>
      <w:tr w:rsidR="00567578" w:rsidRPr="00567578" w14:paraId="22707482" w14:textId="77777777" w:rsidTr="00B86BDE">
        <w:trPr>
          <w:trHeight w:val="360"/>
        </w:trPr>
        <w:tc>
          <w:tcPr>
            <w:tcW w:w="846" w:type="dxa"/>
            <w:tcBorders>
              <w:top w:val="nil"/>
              <w:left w:val="single" w:sz="4" w:space="0" w:color="auto"/>
              <w:bottom w:val="single" w:sz="4" w:space="0" w:color="auto"/>
              <w:right w:val="single" w:sz="4" w:space="0" w:color="auto"/>
            </w:tcBorders>
            <w:shd w:val="clear" w:color="000000" w:fill="FFFFFF"/>
            <w:noWrap/>
            <w:vAlign w:val="center"/>
            <w:hideMark/>
          </w:tcPr>
          <w:p w14:paraId="16EAAB5C"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5.8.</w:t>
            </w:r>
          </w:p>
        </w:tc>
        <w:tc>
          <w:tcPr>
            <w:tcW w:w="5108" w:type="dxa"/>
            <w:tcBorders>
              <w:top w:val="nil"/>
              <w:left w:val="nil"/>
              <w:bottom w:val="single" w:sz="4" w:space="0" w:color="auto"/>
              <w:right w:val="single" w:sz="4" w:space="0" w:color="auto"/>
            </w:tcBorders>
            <w:shd w:val="clear" w:color="auto" w:fill="auto"/>
            <w:vAlign w:val="center"/>
            <w:hideMark/>
          </w:tcPr>
          <w:p w14:paraId="43BC9920" w14:textId="77777777" w:rsidR="00567578" w:rsidRPr="00567578" w:rsidRDefault="00567578" w:rsidP="00567578">
            <w:pPr>
              <w:spacing w:after="160" w:line="259" w:lineRule="auto"/>
              <w:rPr>
                <w:rFonts w:ascii="Tahoma" w:eastAsia="Calibri" w:hAnsi="Tahoma" w:cs="Tahoma"/>
                <w:b/>
                <w:bCs/>
                <w:sz w:val="20"/>
                <w:szCs w:val="20"/>
                <w:lang w:eastAsia="en-US"/>
              </w:rPr>
            </w:pPr>
            <w:r w:rsidRPr="00567578">
              <w:rPr>
                <w:rFonts w:ascii="Tahoma" w:eastAsia="Calibri" w:hAnsi="Tahoma" w:cs="Tahoma"/>
                <w:b/>
                <w:bCs/>
                <w:sz w:val="20"/>
                <w:szCs w:val="20"/>
                <w:lang w:eastAsia="en-US"/>
              </w:rPr>
              <w:t>Кафе, рестораны, фастфуд</w:t>
            </w:r>
          </w:p>
        </w:tc>
        <w:tc>
          <w:tcPr>
            <w:tcW w:w="8753" w:type="dxa"/>
            <w:tcBorders>
              <w:top w:val="single" w:sz="4" w:space="0" w:color="auto"/>
              <w:left w:val="nil"/>
              <w:bottom w:val="single" w:sz="4" w:space="0" w:color="auto"/>
              <w:right w:val="single" w:sz="4" w:space="0" w:color="auto"/>
            </w:tcBorders>
            <w:shd w:val="clear" w:color="000000" w:fill="FFFFFF"/>
            <w:noWrap/>
            <w:vAlign w:val="center"/>
            <w:hideMark/>
          </w:tcPr>
          <w:p w14:paraId="354B3D03"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5811, 5812, 5813, 5814</w:t>
            </w:r>
          </w:p>
        </w:tc>
      </w:tr>
      <w:tr w:rsidR="00567578" w:rsidRPr="00567578" w14:paraId="04675BFF" w14:textId="77777777" w:rsidTr="00B86BDE">
        <w:trPr>
          <w:trHeight w:val="115"/>
        </w:trPr>
        <w:tc>
          <w:tcPr>
            <w:tcW w:w="846" w:type="dxa"/>
            <w:tcBorders>
              <w:top w:val="nil"/>
              <w:left w:val="single" w:sz="4" w:space="0" w:color="auto"/>
              <w:bottom w:val="single" w:sz="4" w:space="0" w:color="auto"/>
              <w:right w:val="single" w:sz="4" w:space="0" w:color="auto"/>
            </w:tcBorders>
            <w:shd w:val="clear" w:color="000000" w:fill="FFFFFF"/>
            <w:noWrap/>
            <w:vAlign w:val="center"/>
            <w:hideMark/>
          </w:tcPr>
          <w:p w14:paraId="4F325F97"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5.9.</w:t>
            </w:r>
          </w:p>
        </w:tc>
        <w:tc>
          <w:tcPr>
            <w:tcW w:w="5108" w:type="dxa"/>
            <w:tcBorders>
              <w:top w:val="nil"/>
              <w:left w:val="nil"/>
              <w:bottom w:val="single" w:sz="4" w:space="0" w:color="auto"/>
              <w:right w:val="single" w:sz="4" w:space="0" w:color="auto"/>
            </w:tcBorders>
            <w:shd w:val="clear" w:color="auto" w:fill="auto"/>
            <w:vAlign w:val="center"/>
            <w:hideMark/>
          </w:tcPr>
          <w:p w14:paraId="5A89FED1"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b/>
                <w:bCs/>
                <w:sz w:val="20"/>
                <w:szCs w:val="20"/>
                <w:lang w:eastAsia="en-US"/>
              </w:rPr>
              <w:t>Салоны красоты и парфюмерия:</w:t>
            </w:r>
            <w:r w:rsidRPr="00567578">
              <w:rPr>
                <w:rFonts w:ascii="Tahoma" w:eastAsia="Calibri" w:hAnsi="Tahoma" w:cs="Tahoma"/>
                <w:sz w:val="20"/>
                <w:szCs w:val="20"/>
                <w:lang w:eastAsia="en-US"/>
              </w:rPr>
              <w:t xml:space="preserve"> салоны красоты и здоровья, косметика и парфюмерия</w:t>
            </w:r>
          </w:p>
        </w:tc>
        <w:tc>
          <w:tcPr>
            <w:tcW w:w="8753" w:type="dxa"/>
            <w:tcBorders>
              <w:top w:val="single" w:sz="4" w:space="0" w:color="auto"/>
              <w:left w:val="nil"/>
              <w:bottom w:val="single" w:sz="4" w:space="0" w:color="auto"/>
              <w:right w:val="single" w:sz="4" w:space="0" w:color="auto"/>
            </w:tcBorders>
            <w:shd w:val="clear" w:color="000000" w:fill="FFFFFF"/>
            <w:noWrap/>
            <w:vAlign w:val="center"/>
            <w:hideMark/>
          </w:tcPr>
          <w:p w14:paraId="7B018565"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5977,7230, 7297, 7298</w:t>
            </w:r>
          </w:p>
        </w:tc>
      </w:tr>
      <w:tr w:rsidR="00567578" w:rsidRPr="00567578" w14:paraId="7D1EB0F1" w14:textId="77777777" w:rsidTr="00B86BDE">
        <w:trPr>
          <w:trHeight w:val="225"/>
        </w:trPr>
        <w:tc>
          <w:tcPr>
            <w:tcW w:w="846" w:type="dxa"/>
            <w:tcBorders>
              <w:top w:val="nil"/>
              <w:left w:val="single" w:sz="4" w:space="0" w:color="auto"/>
              <w:bottom w:val="single" w:sz="4" w:space="0" w:color="auto"/>
              <w:right w:val="single" w:sz="4" w:space="0" w:color="auto"/>
            </w:tcBorders>
            <w:shd w:val="clear" w:color="000000" w:fill="FFFFFF"/>
            <w:noWrap/>
            <w:vAlign w:val="center"/>
            <w:hideMark/>
          </w:tcPr>
          <w:p w14:paraId="0C40F31F"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5.10.</w:t>
            </w:r>
          </w:p>
        </w:tc>
        <w:tc>
          <w:tcPr>
            <w:tcW w:w="5108" w:type="dxa"/>
            <w:tcBorders>
              <w:top w:val="nil"/>
              <w:left w:val="nil"/>
              <w:bottom w:val="single" w:sz="4" w:space="0" w:color="auto"/>
              <w:right w:val="single" w:sz="4" w:space="0" w:color="auto"/>
            </w:tcBorders>
            <w:shd w:val="clear" w:color="auto" w:fill="auto"/>
            <w:vAlign w:val="center"/>
            <w:hideMark/>
          </w:tcPr>
          <w:p w14:paraId="32BBA98E"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b/>
                <w:bCs/>
                <w:sz w:val="20"/>
                <w:szCs w:val="20"/>
                <w:lang w:eastAsia="en-US"/>
              </w:rPr>
              <w:t xml:space="preserve">Кино и развлечения: </w:t>
            </w:r>
            <w:r w:rsidRPr="00567578">
              <w:rPr>
                <w:rFonts w:ascii="Tahoma" w:eastAsia="Calibri" w:hAnsi="Tahoma" w:cs="Tahoma"/>
                <w:sz w:val="20"/>
                <w:szCs w:val="20"/>
                <w:lang w:eastAsia="en-US"/>
              </w:rPr>
              <w:t>кино, выставки и достопримечательности, зоопарки, дельфинарии, парки аттракционов, цирки, музыкальные мероприятия</w:t>
            </w:r>
          </w:p>
        </w:tc>
        <w:tc>
          <w:tcPr>
            <w:tcW w:w="8753" w:type="dxa"/>
            <w:tcBorders>
              <w:top w:val="single" w:sz="4" w:space="0" w:color="auto"/>
              <w:left w:val="nil"/>
              <w:bottom w:val="single" w:sz="4" w:space="0" w:color="auto"/>
              <w:right w:val="single" w:sz="4" w:space="0" w:color="auto"/>
            </w:tcBorders>
            <w:shd w:val="clear" w:color="000000" w:fill="FFFFFF"/>
            <w:noWrap/>
            <w:vAlign w:val="center"/>
            <w:hideMark/>
          </w:tcPr>
          <w:p w14:paraId="64647663"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7829, 7832, 7841, 7911, 7922, 7929, 7932, 7933, 7991, 7996, 7998, 7999</w:t>
            </w:r>
          </w:p>
        </w:tc>
      </w:tr>
      <w:tr w:rsidR="00567578" w:rsidRPr="00567578" w14:paraId="1504EFFB" w14:textId="77777777" w:rsidTr="00B86BDE">
        <w:trPr>
          <w:trHeight w:val="720"/>
        </w:trPr>
        <w:tc>
          <w:tcPr>
            <w:tcW w:w="846" w:type="dxa"/>
            <w:tcBorders>
              <w:top w:val="nil"/>
              <w:left w:val="single" w:sz="4" w:space="0" w:color="auto"/>
              <w:bottom w:val="single" w:sz="4" w:space="0" w:color="auto"/>
              <w:right w:val="single" w:sz="4" w:space="0" w:color="auto"/>
            </w:tcBorders>
            <w:shd w:val="clear" w:color="000000" w:fill="FFFFFF"/>
            <w:noWrap/>
            <w:vAlign w:val="center"/>
            <w:hideMark/>
          </w:tcPr>
          <w:p w14:paraId="1D770CDB"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5.11.</w:t>
            </w:r>
          </w:p>
        </w:tc>
        <w:tc>
          <w:tcPr>
            <w:tcW w:w="5108" w:type="dxa"/>
            <w:tcBorders>
              <w:top w:val="nil"/>
              <w:left w:val="nil"/>
              <w:bottom w:val="single" w:sz="4" w:space="0" w:color="auto"/>
              <w:right w:val="single" w:sz="4" w:space="0" w:color="auto"/>
            </w:tcBorders>
            <w:shd w:val="clear" w:color="auto" w:fill="auto"/>
            <w:vAlign w:val="center"/>
            <w:hideMark/>
          </w:tcPr>
          <w:p w14:paraId="7B34F869"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b/>
                <w:bCs/>
                <w:sz w:val="20"/>
                <w:szCs w:val="20"/>
                <w:lang w:eastAsia="en-US"/>
              </w:rPr>
              <w:t xml:space="preserve">Фитнес и спортивные товары: </w:t>
            </w:r>
            <w:r w:rsidRPr="00567578">
              <w:rPr>
                <w:rFonts w:ascii="Tahoma" w:eastAsia="Calibri" w:hAnsi="Tahoma" w:cs="Tahoma"/>
                <w:sz w:val="20"/>
                <w:szCs w:val="20"/>
                <w:lang w:eastAsia="en-US"/>
              </w:rPr>
              <w:t>спортивная одежда и инвентарь, фитнес и спорт-клубы</w:t>
            </w:r>
          </w:p>
        </w:tc>
        <w:tc>
          <w:tcPr>
            <w:tcW w:w="8753" w:type="dxa"/>
            <w:tcBorders>
              <w:top w:val="single" w:sz="4" w:space="0" w:color="auto"/>
              <w:left w:val="nil"/>
              <w:bottom w:val="single" w:sz="4" w:space="0" w:color="auto"/>
              <w:right w:val="single" w:sz="4" w:space="0" w:color="auto"/>
            </w:tcBorders>
            <w:shd w:val="clear" w:color="000000" w:fill="FFFFFF"/>
            <w:noWrap/>
            <w:vAlign w:val="center"/>
            <w:hideMark/>
          </w:tcPr>
          <w:p w14:paraId="3A2ABF98"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7992, 5655, 5940, 5941, 7941, 7997</w:t>
            </w:r>
          </w:p>
        </w:tc>
      </w:tr>
      <w:tr w:rsidR="00567578" w:rsidRPr="00567578" w14:paraId="4F101100" w14:textId="77777777" w:rsidTr="00B86BDE">
        <w:trPr>
          <w:trHeight w:val="391"/>
        </w:trPr>
        <w:tc>
          <w:tcPr>
            <w:tcW w:w="846" w:type="dxa"/>
            <w:tcBorders>
              <w:top w:val="nil"/>
              <w:left w:val="single" w:sz="4" w:space="0" w:color="auto"/>
              <w:bottom w:val="single" w:sz="4" w:space="0" w:color="auto"/>
              <w:right w:val="single" w:sz="4" w:space="0" w:color="auto"/>
            </w:tcBorders>
            <w:shd w:val="clear" w:color="000000" w:fill="FFFFFF"/>
            <w:noWrap/>
            <w:vAlign w:val="center"/>
            <w:hideMark/>
          </w:tcPr>
          <w:p w14:paraId="797727C7"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5.12.</w:t>
            </w:r>
          </w:p>
        </w:tc>
        <w:tc>
          <w:tcPr>
            <w:tcW w:w="5108" w:type="dxa"/>
            <w:tcBorders>
              <w:top w:val="nil"/>
              <w:left w:val="nil"/>
              <w:bottom w:val="single" w:sz="4" w:space="0" w:color="auto"/>
              <w:right w:val="single" w:sz="4" w:space="0" w:color="auto"/>
            </w:tcBorders>
            <w:shd w:val="clear" w:color="auto" w:fill="auto"/>
            <w:vAlign w:val="center"/>
            <w:hideMark/>
          </w:tcPr>
          <w:p w14:paraId="6B3DF4F3"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b/>
                <w:bCs/>
                <w:sz w:val="20"/>
                <w:szCs w:val="20"/>
                <w:lang w:eastAsia="en-US"/>
              </w:rPr>
              <w:t xml:space="preserve">Медицинские услуги: </w:t>
            </w:r>
            <w:r w:rsidRPr="00567578">
              <w:rPr>
                <w:rFonts w:ascii="Tahoma" w:eastAsia="Calibri" w:hAnsi="Tahoma" w:cs="Tahoma"/>
                <w:sz w:val="20"/>
                <w:szCs w:val="20"/>
                <w:lang w:eastAsia="en-US"/>
              </w:rPr>
              <w:t>медицинские услуги,</w:t>
            </w:r>
            <w:r w:rsidRPr="00567578">
              <w:rPr>
                <w:rFonts w:ascii="Tahoma" w:eastAsia="Calibri" w:hAnsi="Tahoma" w:cs="Tahoma"/>
                <w:b/>
                <w:bCs/>
                <w:sz w:val="20"/>
                <w:szCs w:val="20"/>
                <w:lang w:eastAsia="en-US"/>
              </w:rPr>
              <w:t xml:space="preserve"> </w:t>
            </w:r>
            <w:r w:rsidRPr="00567578">
              <w:rPr>
                <w:rFonts w:ascii="Tahoma" w:eastAsia="Calibri" w:hAnsi="Tahoma" w:cs="Tahoma"/>
                <w:sz w:val="20"/>
                <w:szCs w:val="20"/>
                <w:lang w:eastAsia="en-US"/>
              </w:rPr>
              <w:t xml:space="preserve"> стоматологии и лаборатории, услуги скорой помощи</w:t>
            </w:r>
          </w:p>
        </w:tc>
        <w:tc>
          <w:tcPr>
            <w:tcW w:w="8753" w:type="dxa"/>
            <w:tcBorders>
              <w:top w:val="single" w:sz="4" w:space="0" w:color="auto"/>
              <w:left w:val="nil"/>
              <w:bottom w:val="single" w:sz="4" w:space="0" w:color="auto"/>
              <w:right w:val="single" w:sz="4" w:space="0" w:color="auto"/>
            </w:tcBorders>
            <w:shd w:val="clear" w:color="000000" w:fill="FFFFFF"/>
            <w:noWrap/>
            <w:vAlign w:val="center"/>
            <w:hideMark/>
          </w:tcPr>
          <w:p w14:paraId="42EB11A0"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4119, 8021, 5047, 8011, 8031, 8041, 8042, 8049, 8062, 8071, 8099</w:t>
            </w:r>
          </w:p>
        </w:tc>
      </w:tr>
      <w:tr w:rsidR="00567578" w:rsidRPr="00567578" w14:paraId="699C8276" w14:textId="77777777" w:rsidTr="00B86BDE">
        <w:trPr>
          <w:trHeight w:val="720"/>
        </w:trPr>
        <w:tc>
          <w:tcPr>
            <w:tcW w:w="846" w:type="dxa"/>
            <w:tcBorders>
              <w:top w:val="nil"/>
              <w:left w:val="single" w:sz="4" w:space="0" w:color="auto"/>
              <w:bottom w:val="single" w:sz="4" w:space="0" w:color="auto"/>
              <w:right w:val="single" w:sz="4" w:space="0" w:color="auto"/>
            </w:tcBorders>
            <w:shd w:val="clear" w:color="000000" w:fill="FFFFFF"/>
            <w:noWrap/>
            <w:vAlign w:val="center"/>
            <w:hideMark/>
          </w:tcPr>
          <w:p w14:paraId="3668F9BA"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5.13.</w:t>
            </w:r>
          </w:p>
        </w:tc>
        <w:tc>
          <w:tcPr>
            <w:tcW w:w="5108" w:type="dxa"/>
            <w:tcBorders>
              <w:top w:val="nil"/>
              <w:left w:val="nil"/>
              <w:bottom w:val="single" w:sz="4" w:space="0" w:color="auto"/>
              <w:right w:val="single" w:sz="4" w:space="0" w:color="auto"/>
            </w:tcBorders>
            <w:shd w:val="clear" w:color="auto" w:fill="auto"/>
            <w:vAlign w:val="center"/>
            <w:hideMark/>
          </w:tcPr>
          <w:p w14:paraId="74412E68"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b/>
                <w:bCs/>
                <w:sz w:val="20"/>
                <w:szCs w:val="20"/>
                <w:lang w:eastAsia="en-US"/>
              </w:rPr>
              <w:t>Книги и канцтовары:</w:t>
            </w:r>
            <w:r w:rsidRPr="00567578">
              <w:rPr>
                <w:rFonts w:ascii="Tahoma" w:eastAsia="Calibri" w:hAnsi="Tahoma" w:cs="Tahoma"/>
                <w:sz w:val="20"/>
                <w:szCs w:val="20"/>
                <w:lang w:eastAsia="en-US"/>
              </w:rPr>
              <w:t xml:space="preserve"> школьные принадлежности, канцтовары, книги</w:t>
            </w:r>
          </w:p>
        </w:tc>
        <w:tc>
          <w:tcPr>
            <w:tcW w:w="8753" w:type="dxa"/>
            <w:tcBorders>
              <w:top w:val="single" w:sz="4" w:space="0" w:color="auto"/>
              <w:left w:val="nil"/>
              <w:bottom w:val="single" w:sz="4" w:space="0" w:color="auto"/>
              <w:right w:val="single" w:sz="4" w:space="0" w:color="auto"/>
            </w:tcBorders>
            <w:shd w:val="clear" w:color="000000" w:fill="FFFFFF"/>
            <w:noWrap/>
            <w:vAlign w:val="center"/>
            <w:hideMark/>
          </w:tcPr>
          <w:p w14:paraId="039E43D2"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2741, 5111, 5192, 5942, 5943, 5994</w:t>
            </w:r>
          </w:p>
        </w:tc>
      </w:tr>
      <w:tr w:rsidR="00567578" w:rsidRPr="00567578" w14:paraId="51B48F3D" w14:textId="77777777" w:rsidTr="00B86BDE">
        <w:trPr>
          <w:trHeight w:val="720"/>
        </w:trPr>
        <w:tc>
          <w:tcPr>
            <w:tcW w:w="846" w:type="dxa"/>
            <w:tcBorders>
              <w:top w:val="nil"/>
              <w:left w:val="single" w:sz="4" w:space="0" w:color="auto"/>
              <w:bottom w:val="single" w:sz="4" w:space="0" w:color="auto"/>
              <w:right w:val="single" w:sz="4" w:space="0" w:color="auto"/>
            </w:tcBorders>
            <w:shd w:val="clear" w:color="000000" w:fill="FFFFFF"/>
            <w:noWrap/>
            <w:vAlign w:val="center"/>
            <w:hideMark/>
          </w:tcPr>
          <w:p w14:paraId="3445EB65"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5.14.</w:t>
            </w:r>
          </w:p>
        </w:tc>
        <w:tc>
          <w:tcPr>
            <w:tcW w:w="5108" w:type="dxa"/>
            <w:tcBorders>
              <w:top w:val="nil"/>
              <w:left w:val="nil"/>
              <w:bottom w:val="single" w:sz="4" w:space="0" w:color="auto"/>
              <w:right w:val="single" w:sz="4" w:space="0" w:color="auto"/>
            </w:tcBorders>
            <w:shd w:val="clear" w:color="auto" w:fill="auto"/>
            <w:vAlign w:val="center"/>
            <w:hideMark/>
          </w:tcPr>
          <w:p w14:paraId="79644533"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b/>
                <w:bCs/>
                <w:sz w:val="20"/>
                <w:szCs w:val="20"/>
                <w:lang w:eastAsia="en-US"/>
              </w:rPr>
              <w:t>Товары для  животных:</w:t>
            </w:r>
            <w:r w:rsidRPr="00567578">
              <w:rPr>
                <w:rFonts w:ascii="Tahoma" w:eastAsia="Calibri" w:hAnsi="Tahoma" w:cs="Tahoma"/>
                <w:sz w:val="20"/>
                <w:szCs w:val="20"/>
                <w:lang w:eastAsia="en-US"/>
              </w:rPr>
              <w:t xml:space="preserve"> ветеринарные услуги, зоомагазины</w:t>
            </w:r>
          </w:p>
        </w:tc>
        <w:tc>
          <w:tcPr>
            <w:tcW w:w="8753" w:type="dxa"/>
            <w:tcBorders>
              <w:top w:val="single" w:sz="4" w:space="0" w:color="auto"/>
              <w:left w:val="nil"/>
              <w:bottom w:val="single" w:sz="4" w:space="0" w:color="auto"/>
              <w:right w:val="single" w:sz="4" w:space="0" w:color="auto"/>
            </w:tcBorders>
            <w:shd w:val="clear" w:color="000000" w:fill="FFFFFF"/>
            <w:noWrap/>
            <w:vAlign w:val="center"/>
            <w:hideMark/>
          </w:tcPr>
          <w:p w14:paraId="16BFA89F"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0742, 5995</w:t>
            </w:r>
          </w:p>
        </w:tc>
      </w:tr>
      <w:tr w:rsidR="00567578" w:rsidRPr="00567578" w14:paraId="387ECA80" w14:textId="77777777" w:rsidTr="00B86BDE">
        <w:trPr>
          <w:trHeight w:val="360"/>
        </w:trPr>
        <w:tc>
          <w:tcPr>
            <w:tcW w:w="846" w:type="dxa"/>
            <w:tcBorders>
              <w:top w:val="nil"/>
              <w:left w:val="single" w:sz="4" w:space="0" w:color="auto"/>
              <w:bottom w:val="single" w:sz="4" w:space="0" w:color="auto"/>
              <w:right w:val="single" w:sz="4" w:space="0" w:color="auto"/>
            </w:tcBorders>
            <w:shd w:val="clear" w:color="000000" w:fill="FFFFFF"/>
            <w:noWrap/>
            <w:vAlign w:val="center"/>
            <w:hideMark/>
          </w:tcPr>
          <w:p w14:paraId="16E7E8D6"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5.15.</w:t>
            </w:r>
          </w:p>
        </w:tc>
        <w:tc>
          <w:tcPr>
            <w:tcW w:w="5108" w:type="dxa"/>
            <w:tcBorders>
              <w:top w:val="nil"/>
              <w:left w:val="nil"/>
              <w:bottom w:val="single" w:sz="4" w:space="0" w:color="auto"/>
              <w:right w:val="single" w:sz="4" w:space="0" w:color="auto"/>
            </w:tcBorders>
            <w:shd w:val="clear" w:color="auto" w:fill="auto"/>
            <w:vAlign w:val="center"/>
            <w:hideMark/>
          </w:tcPr>
          <w:p w14:paraId="59DC0CC4" w14:textId="77777777" w:rsidR="00567578" w:rsidRPr="00567578" w:rsidRDefault="00567578" w:rsidP="00567578">
            <w:pPr>
              <w:spacing w:after="160" w:line="259" w:lineRule="auto"/>
              <w:rPr>
                <w:rFonts w:ascii="Tahoma" w:eastAsia="Calibri" w:hAnsi="Tahoma" w:cs="Tahoma"/>
                <w:b/>
                <w:bCs/>
                <w:sz w:val="20"/>
                <w:szCs w:val="20"/>
                <w:lang w:eastAsia="en-US"/>
              </w:rPr>
            </w:pPr>
            <w:r w:rsidRPr="00567578">
              <w:rPr>
                <w:rFonts w:ascii="Tahoma" w:eastAsia="Calibri" w:hAnsi="Tahoma" w:cs="Tahoma"/>
                <w:b/>
                <w:bCs/>
                <w:sz w:val="20"/>
                <w:szCs w:val="20"/>
                <w:lang w:eastAsia="en-US"/>
              </w:rPr>
              <w:t>Турагенства:</w:t>
            </w:r>
            <w:r w:rsidRPr="00567578">
              <w:rPr>
                <w:rFonts w:ascii="Tahoma" w:eastAsia="Calibri" w:hAnsi="Tahoma" w:cs="Tahoma"/>
                <w:sz w:val="20"/>
                <w:szCs w:val="20"/>
                <w:lang w:eastAsia="en-US"/>
              </w:rPr>
              <w:t xml:space="preserve"> турагентства и турагрегаторы</w:t>
            </w:r>
          </w:p>
        </w:tc>
        <w:tc>
          <w:tcPr>
            <w:tcW w:w="8753" w:type="dxa"/>
            <w:tcBorders>
              <w:top w:val="single" w:sz="4" w:space="0" w:color="auto"/>
              <w:left w:val="nil"/>
              <w:bottom w:val="single" w:sz="4" w:space="0" w:color="auto"/>
              <w:right w:val="single" w:sz="4" w:space="0" w:color="auto"/>
            </w:tcBorders>
            <w:shd w:val="clear" w:color="000000" w:fill="FFFFFF"/>
            <w:noWrap/>
            <w:vAlign w:val="center"/>
            <w:hideMark/>
          </w:tcPr>
          <w:p w14:paraId="69E2AFCA"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4722</w:t>
            </w:r>
          </w:p>
        </w:tc>
      </w:tr>
      <w:tr w:rsidR="00567578" w:rsidRPr="00567578" w14:paraId="58AC31A8" w14:textId="77777777" w:rsidTr="00B86BDE">
        <w:trPr>
          <w:trHeight w:val="70"/>
        </w:trPr>
        <w:tc>
          <w:tcPr>
            <w:tcW w:w="846" w:type="dxa"/>
            <w:tcBorders>
              <w:top w:val="nil"/>
              <w:left w:val="single" w:sz="4" w:space="0" w:color="auto"/>
              <w:bottom w:val="single" w:sz="4" w:space="0" w:color="auto"/>
              <w:right w:val="single" w:sz="4" w:space="0" w:color="auto"/>
            </w:tcBorders>
            <w:shd w:val="clear" w:color="000000" w:fill="FFFFFF"/>
            <w:noWrap/>
            <w:vAlign w:val="center"/>
            <w:hideMark/>
          </w:tcPr>
          <w:p w14:paraId="732B5C79"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5.16.</w:t>
            </w:r>
          </w:p>
        </w:tc>
        <w:tc>
          <w:tcPr>
            <w:tcW w:w="5108" w:type="dxa"/>
            <w:tcBorders>
              <w:top w:val="nil"/>
              <w:left w:val="nil"/>
              <w:bottom w:val="single" w:sz="4" w:space="0" w:color="auto"/>
              <w:right w:val="single" w:sz="4" w:space="0" w:color="auto"/>
            </w:tcBorders>
            <w:shd w:val="clear" w:color="auto" w:fill="auto"/>
            <w:vAlign w:val="center"/>
            <w:hideMark/>
          </w:tcPr>
          <w:p w14:paraId="61879533"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b/>
                <w:bCs/>
                <w:sz w:val="20"/>
                <w:szCs w:val="20"/>
                <w:lang w:eastAsia="en-US"/>
              </w:rPr>
              <w:t xml:space="preserve">ЖД билеты: </w:t>
            </w:r>
            <w:r w:rsidRPr="00567578">
              <w:rPr>
                <w:rFonts w:ascii="Tahoma" w:eastAsia="Calibri" w:hAnsi="Tahoma" w:cs="Tahoma"/>
                <w:sz w:val="20"/>
                <w:szCs w:val="20"/>
                <w:lang w:eastAsia="en-US"/>
              </w:rPr>
              <w:t>пассажирские перевозки, перевозка грузов</w:t>
            </w:r>
          </w:p>
        </w:tc>
        <w:tc>
          <w:tcPr>
            <w:tcW w:w="8753" w:type="dxa"/>
            <w:tcBorders>
              <w:top w:val="single" w:sz="4" w:space="0" w:color="auto"/>
              <w:left w:val="nil"/>
              <w:bottom w:val="single" w:sz="4" w:space="0" w:color="auto"/>
              <w:right w:val="single" w:sz="4" w:space="0" w:color="auto"/>
            </w:tcBorders>
            <w:shd w:val="clear" w:color="000000" w:fill="FFFFFF"/>
            <w:noWrap/>
            <w:vAlign w:val="center"/>
            <w:hideMark/>
          </w:tcPr>
          <w:p w14:paraId="2973C07D"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4111, 4112, 4011</w:t>
            </w:r>
          </w:p>
        </w:tc>
      </w:tr>
      <w:tr w:rsidR="00567578" w:rsidRPr="00567578" w14:paraId="56E30BC0" w14:textId="77777777" w:rsidTr="00B86BDE">
        <w:trPr>
          <w:trHeight w:val="360"/>
        </w:trPr>
        <w:tc>
          <w:tcPr>
            <w:tcW w:w="846" w:type="dxa"/>
            <w:tcBorders>
              <w:top w:val="nil"/>
              <w:left w:val="single" w:sz="4" w:space="0" w:color="auto"/>
              <w:bottom w:val="single" w:sz="4" w:space="0" w:color="auto"/>
              <w:right w:val="single" w:sz="4" w:space="0" w:color="auto"/>
            </w:tcBorders>
            <w:shd w:val="clear" w:color="000000" w:fill="FFFFFF"/>
            <w:noWrap/>
            <w:vAlign w:val="center"/>
            <w:hideMark/>
          </w:tcPr>
          <w:p w14:paraId="60F9E75A"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5.17.</w:t>
            </w:r>
          </w:p>
        </w:tc>
        <w:tc>
          <w:tcPr>
            <w:tcW w:w="5108" w:type="dxa"/>
            <w:tcBorders>
              <w:top w:val="nil"/>
              <w:left w:val="nil"/>
              <w:bottom w:val="single" w:sz="4" w:space="0" w:color="auto"/>
              <w:right w:val="single" w:sz="4" w:space="0" w:color="auto"/>
            </w:tcBorders>
            <w:shd w:val="clear" w:color="auto" w:fill="auto"/>
            <w:vAlign w:val="center"/>
            <w:hideMark/>
          </w:tcPr>
          <w:p w14:paraId="6E2D420E" w14:textId="77777777" w:rsidR="00567578" w:rsidRPr="00567578" w:rsidRDefault="00567578" w:rsidP="00567578">
            <w:pPr>
              <w:spacing w:after="160" w:line="259" w:lineRule="auto"/>
              <w:rPr>
                <w:rFonts w:ascii="Tahoma" w:eastAsia="Calibri" w:hAnsi="Tahoma" w:cs="Tahoma"/>
                <w:b/>
                <w:bCs/>
                <w:sz w:val="20"/>
                <w:szCs w:val="20"/>
                <w:lang w:eastAsia="en-US"/>
              </w:rPr>
            </w:pPr>
            <w:r w:rsidRPr="00567578">
              <w:rPr>
                <w:rFonts w:ascii="Tahoma" w:eastAsia="Calibri" w:hAnsi="Tahoma" w:cs="Tahoma"/>
                <w:b/>
                <w:bCs/>
                <w:sz w:val="20"/>
                <w:szCs w:val="20"/>
                <w:lang w:eastAsia="en-US"/>
              </w:rPr>
              <w:t>Авиабилеты</w:t>
            </w:r>
          </w:p>
        </w:tc>
        <w:tc>
          <w:tcPr>
            <w:tcW w:w="8753" w:type="dxa"/>
            <w:tcBorders>
              <w:top w:val="single" w:sz="4" w:space="0" w:color="auto"/>
              <w:left w:val="nil"/>
              <w:bottom w:val="single" w:sz="4" w:space="0" w:color="auto"/>
              <w:right w:val="single" w:sz="4" w:space="0" w:color="auto"/>
            </w:tcBorders>
            <w:shd w:val="clear" w:color="000000" w:fill="FFFFFF"/>
            <w:noWrap/>
            <w:vAlign w:val="center"/>
            <w:hideMark/>
          </w:tcPr>
          <w:p w14:paraId="594C1589"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3000-3301, 4511, 4582</w:t>
            </w:r>
          </w:p>
        </w:tc>
      </w:tr>
      <w:tr w:rsidR="00567578" w:rsidRPr="00567578" w14:paraId="4FDCD713" w14:textId="77777777" w:rsidTr="00B86BDE">
        <w:trPr>
          <w:trHeight w:val="360"/>
        </w:trPr>
        <w:tc>
          <w:tcPr>
            <w:tcW w:w="846" w:type="dxa"/>
            <w:tcBorders>
              <w:top w:val="nil"/>
              <w:left w:val="single" w:sz="4" w:space="0" w:color="auto"/>
              <w:bottom w:val="single" w:sz="4" w:space="0" w:color="auto"/>
              <w:right w:val="single" w:sz="4" w:space="0" w:color="auto"/>
            </w:tcBorders>
            <w:shd w:val="clear" w:color="000000" w:fill="FFFFFF"/>
            <w:noWrap/>
            <w:vAlign w:val="center"/>
            <w:hideMark/>
          </w:tcPr>
          <w:p w14:paraId="5F469C90"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5.18.</w:t>
            </w:r>
          </w:p>
        </w:tc>
        <w:tc>
          <w:tcPr>
            <w:tcW w:w="5108" w:type="dxa"/>
            <w:tcBorders>
              <w:top w:val="nil"/>
              <w:left w:val="nil"/>
              <w:bottom w:val="single" w:sz="4" w:space="0" w:color="auto"/>
              <w:right w:val="single" w:sz="4" w:space="0" w:color="auto"/>
            </w:tcBorders>
            <w:shd w:val="clear" w:color="auto" w:fill="auto"/>
            <w:vAlign w:val="center"/>
            <w:hideMark/>
          </w:tcPr>
          <w:p w14:paraId="32F13C05" w14:textId="77777777" w:rsidR="00567578" w:rsidRPr="00567578" w:rsidRDefault="00567578" w:rsidP="00567578">
            <w:pPr>
              <w:spacing w:after="160" w:line="259" w:lineRule="auto"/>
              <w:rPr>
                <w:rFonts w:ascii="Tahoma" w:eastAsia="Calibri" w:hAnsi="Tahoma" w:cs="Tahoma"/>
                <w:b/>
                <w:bCs/>
                <w:sz w:val="20"/>
                <w:szCs w:val="20"/>
                <w:lang w:eastAsia="en-US"/>
              </w:rPr>
            </w:pPr>
            <w:r w:rsidRPr="00567578">
              <w:rPr>
                <w:rFonts w:ascii="Tahoma" w:eastAsia="Calibri" w:hAnsi="Tahoma" w:cs="Tahoma"/>
                <w:b/>
                <w:bCs/>
                <w:sz w:val="20"/>
                <w:szCs w:val="20"/>
                <w:lang w:eastAsia="en-US"/>
              </w:rPr>
              <w:t>Отели</w:t>
            </w:r>
          </w:p>
        </w:tc>
        <w:tc>
          <w:tcPr>
            <w:tcW w:w="8753" w:type="dxa"/>
            <w:tcBorders>
              <w:top w:val="single" w:sz="4" w:space="0" w:color="auto"/>
              <w:left w:val="nil"/>
              <w:bottom w:val="single" w:sz="4" w:space="0" w:color="auto"/>
              <w:right w:val="single" w:sz="4" w:space="0" w:color="auto"/>
            </w:tcBorders>
            <w:shd w:val="clear" w:color="000000" w:fill="FFFFFF"/>
            <w:noWrap/>
            <w:vAlign w:val="center"/>
            <w:hideMark/>
          </w:tcPr>
          <w:p w14:paraId="6B986162"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3501-3799, 7032, 3618, 7011</w:t>
            </w:r>
          </w:p>
        </w:tc>
      </w:tr>
      <w:tr w:rsidR="00567578" w:rsidRPr="00567578" w14:paraId="08D0DC26" w14:textId="77777777" w:rsidTr="00B86BDE">
        <w:trPr>
          <w:trHeight w:val="360"/>
        </w:trPr>
        <w:tc>
          <w:tcPr>
            <w:tcW w:w="846" w:type="dxa"/>
            <w:tcBorders>
              <w:top w:val="nil"/>
              <w:left w:val="single" w:sz="4" w:space="0" w:color="auto"/>
              <w:bottom w:val="single" w:sz="4" w:space="0" w:color="auto"/>
              <w:right w:val="single" w:sz="4" w:space="0" w:color="auto"/>
            </w:tcBorders>
            <w:shd w:val="clear" w:color="000000" w:fill="FFFFFF"/>
            <w:noWrap/>
            <w:vAlign w:val="center"/>
            <w:hideMark/>
          </w:tcPr>
          <w:p w14:paraId="6633D216"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5.19.</w:t>
            </w:r>
          </w:p>
        </w:tc>
        <w:tc>
          <w:tcPr>
            <w:tcW w:w="5108" w:type="dxa"/>
            <w:tcBorders>
              <w:top w:val="nil"/>
              <w:left w:val="nil"/>
              <w:bottom w:val="single" w:sz="4" w:space="0" w:color="auto"/>
              <w:right w:val="single" w:sz="4" w:space="0" w:color="auto"/>
            </w:tcBorders>
            <w:shd w:val="clear" w:color="auto" w:fill="auto"/>
            <w:vAlign w:val="center"/>
            <w:hideMark/>
          </w:tcPr>
          <w:p w14:paraId="6D0F7C31" w14:textId="77777777" w:rsidR="00567578" w:rsidRPr="00567578" w:rsidRDefault="00567578" w:rsidP="00567578">
            <w:pPr>
              <w:spacing w:after="160" w:line="259" w:lineRule="auto"/>
              <w:rPr>
                <w:rFonts w:ascii="Tahoma" w:eastAsia="Calibri" w:hAnsi="Tahoma" w:cs="Tahoma"/>
                <w:b/>
                <w:bCs/>
                <w:sz w:val="20"/>
                <w:szCs w:val="20"/>
                <w:lang w:eastAsia="en-US"/>
              </w:rPr>
            </w:pPr>
            <w:r w:rsidRPr="00567578">
              <w:rPr>
                <w:rFonts w:ascii="Tahoma" w:eastAsia="Calibri" w:hAnsi="Tahoma" w:cs="Tahoma"/>
                <w:b/>
                <w:bCs/>
                <w:sz w:val="20"/>
                <w:szCs w:val="20"/>
                <w:lang w:eastAsia="en-US"/>
              </w:rPr>
              <w:t>Цветы</w:t>
            </w:r>
          </w:p>
        </w:tc>
        <w:tc>
          <w:tcPr>
            <w:tcW w:w="8753" w:type="dxa"/>
            <w:tcBorders>
              <w:top w:val="single" w:sz="4" w:space="0" w:color="auto"/>
              <w:left w:val="nil"/>
              <w:bottom w:val="single" w:sz="4" w:space="0" w:color="auto"/>
              <w:right w:val="single" w:sz="4" w:space="0" w:color="auto"/>
            </w:tcBorders>
            <w:shd w:val="clear" w:color="000000" w:fill="FFFFFF"/>
            <w:noWrap/>
            <w:vAlign w:val="center"/>
            <w:hideMark/>
          </w:tcPr>
          <w:p w14:paraId="061C5AB7"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5193, 5992</w:t>
            </w:r>
          </w:p>
        </w:tc>
      </w:tr>
      <w:tr w:rsidR="00567578" w:rsidRPr="00567578" w14:paraId="0DDBB4E7" w14:textId="77777777" w:rsidTr="00B86BDE">
        <w:trPr>
          <w:trHeight w:val="780"/>
        </w:trPr>
        <w:tc>
          <w:tcPr>
            <w:tcW w:w="846" w:type="dxa"/>
            <w:tcBorders>
              <w:top w:val="nil"/>
              <w:left w:val="single" w:sz="4" w:space="0" w:color="auto"/>
              <w:bottom w:val="single" w:sz="4" w:space="0" w:color="auto"/>
              <w:right w:val="single" w:sz="4" w:space="0" w:color="auto"/>
            </w:tcBorders>
            <w:shd w:val="clear" w:color="000000" w:fill="FFFFFF"/>
            <w:noWrap/>
            <w:vAlign w:val="center"/>
            <w:hideMark/>
          </w:tcPr>
          <w:p w14:paraId="4F9A6416"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5.20.</w:t>
            </w:r>
          </w:p>
        </w:tc>
        <w:tc>
          <w:tcPr>
            <w:tcW w:w="5108" w:type="dxa"/>
            <w:tcBorders>
              <w:top w:val="nil"/>
              <w:left w:val="nil"/>
              <w:bottom w:val="single" w:sz="4" w:space="0" w:color="auto"/>
              <w:right w:val="single" w:sz="4" w:space="0" w:color="auto"/>
            </w:tcBorders>
            <w:shd w:val="clear" w:color="auto" w:fill="auto"/>
            <w:vAlign w:val="center"/>
            <w:hideMark/>
          </w:tcPr>
          <w:p w14:paraId="70FE885D"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b/>
                <w:bCs/>
                <w:sz w:val="20"/>
                <w:szCs w:val="20"/>
                <w:lang w:eastAsia="en-US"/>
              </w:rPr>
              <w:t>Супермаркеты:</w:t>
            </w:r>
            <w:r w:rsidRPr="00567578">
              <w:rPr>
                <w:rFonts w:ascii="Tahoma" w:eastAsia="Calibri" w:hAnsi="Tahoma" w:cs="Tahoma"/>
                <w:sz w:val="20"/>
                <w:szCs w:val="20"/>
                <w:lang w:eastAsia="en-US"/>
              </w:rPr>
              <w:t xml:space="preserve"> бакалейные магазины, кондитерские, булочные, продажа мяса и молочных продуктов</w:t>
            </w:r>
          </w:p>
        </w:tc>
        <w:tc>
          <w:tcPr>
            <w:tcW w:w="8753" w:type="dxa"/>
            <w:tcBorders>
              <w:top w:val="single" w:sz="4" w:space="0" w:color="auto"/>
              <w:left w:val="nil"/>
              <w:bottom w:val="single" w:sz="4" w:space="0" w:color="auto"/>
              <w:right w:val="single" w:sz="4" w:space="0" w:color="auto"/>
            </w:tcBorders>
            <w:shd w:val="clear" w:color="000000" w:fill="FFFFFF"/>
            <w:vAlign w:val="center"/>
            <w:hideMark/>
          </w:tcPr>
          <w:p w14:paraId="6FC258F5"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5411, 5412, 5422, 5441, 5451, 5462, 5499, 5921</w:t>
            </w:r>
          </w:p>
        </w:tc>
      </w:tr>
      <w:tr w:rsidR="00567578" w:rsidRPr="00567578" w14:paraId="09F648F1" w14:textId="77777777" w:rsidTr="00B86BDE">
        <w:trPr>
          <w:trHeight w:val="405"/>
        </w:trPr>
        <w:tc>
          <w:tcPr>
            <w:tcW w:w="846" w:type="dxa"/>
            <w:tcBorders>
              <w:top w:val="nil"/>
              <w:left w:val="single" w:sz="4" w:space="0" w:color="auto"/>
              <w:bottom w:val="single" w:sz="4" w:space="0" w:color="auto"/>
              <w:right w:val="single" w:sz="4" w:space="0" w:color="auto"/>
            </w:tcBorders>
            <w:shd w:val="clear" w:color="000000" w:fill="757171"/>
            <w:noWrap/>
            <w:vAlign w:val="center"/>
            <w:hideMark/>
          </w:tcPr>
          <w:p w14:paraId="40B7CC2C" w14:textId="77777777" w:rsidR="00567578" w:rsidRPr="00567578" w:rsidRDefault="00567578" w:rsidP="00567578">
            <w:pPr>
              <w:spacing w:after="160" w:line="259" w:lineRule="auto"/>
              <w:jc w:val="center"/>
              <w:rPr>
                <w:rFonts w:ascii="Tahoma" w:eastAsia="Calibri" w:hAnsi="Tahoma" w:cs="Tahoma"/>
                <w:b/>
                <w:bCs/>
                <w:color w:val="FFFFFF"/>
                <w:sz w:val="20"/>
                <w:szCs w:val="20"/>
                <w:lang w:eastAsia="en-US"/>
              </w:rPr>
            </w:pPr>
            <w:r w:rsidRPr="00567578">
              <w:rPr>
                <w:rFonts w:ascii="Tahoma" w:eastAsia="Calibri" w:hAnsi="Tahoma" w:cs="Tahoma"/>
                <w:b/>
                <w:bCs/>
                <w:color w:val="FFFFFF"/>
                <w:sz w:val="20"/>
                <w:szCs w:val="20"/>
                <w:lang w:eastAsia="en-US"/>
              </w:rPr>
              <w:t>6.</w:t>
            </w:r>
          </w:p>
        </w:tc>
        <w:tc>
          <w:tcPr>
            <w:tcW w:w="13861" w:type="dxa"/>
            <w:gridSpan w:val="2"/>
            <w:tcBorders>
              <w:top w:val="single" w:sz="4" w:space="0" w:color="auto"/>
              <w:left w:val="nil"/>
              <w:bottom w:val="single" w:sz="4" w:space="0" w:color="auto"/>
              <w:right w:val="single" w:sz="4" w:space="0" w:color="000000"/>
            </w:tcBorders>
            <w:shd w:val="clear" w:color="000000" w:fill="757171"/>
            <w:noWrap/>
            <w:vAlign w:val="center"/>
            <w:hideMark/>
          </w:tcPr>
          <w:p w14:paraId="66208E0C" w14:textId="77777777" w:rsidR="00567578" w:rsidRPr="00567578" w:rsidRDefault="00567578" w:rsidP="00567578">
            <w:pPr>
              <w:spacing w:after="160" w:line="259" w:lineRule="auto"/>
              <w:rPr>
                <w:rFonts w:ascii="Tahoma" w:eastAsia="Calibri" w:hAnsi="Tahoma" w:cs="Tahoma"/>
                <w:b/>
                <w:bCs/>
                <w:color w:val="FFFFFF"/>
                <w:sz w:val="20"/>
                <w:szCs w:val="20"/>
                <w:lang w:eastAsia="en-US"/>
              </w:rPr>
            </w:pPr>
            <w:r w:rsidRPr="00567578">
              <w:rPr>
                <w:rFonts w:ascii="Tahoma" w:eastAsia="Calibri" w:hAnsi="Tahoma" w:cs="Tahoma"/>
                <w:b/>
                <w:bCs/>
                <w:color w:val="FFFFFF"/>
                <w:sz w:val="20"/>
                <w:szCs w:val="20"/>
                <w:lang w:eastAsia="en-US"/>
              </w:rPr>
              <w:t>Кэшбэк</w:t>
            </w:r>
            <w:r w:rsidRPr="00567578">
              <w:rPr>
                <w:rFonts w:ascii="Tahoma" w:eastAsia="Calibri" w:hAnsi="Tahoma" w:cs="Tahoma"/>
                <w:b/>
                <w:bCs/>
                <w:color w:val="FFFFFF"/>
                <w:sz w:val="20"/>
                <w:szCs w:val="20"/>
                <w:vertAlign w:val="superscript"/>
                <w:lang w:eastAsia="en-US"/>
              </w:rPr>
              <w:t xml:space="preserve">8 </w:t>
            </w:r>
            <w:r w:rsidRPr="00567578">
              <w:rPr>
                <w:rFonts w:ascii="Tahoma" w:eastAsia="Calibri" w:hAnsi="Tahoma" w:cs="Tahoma"/>
                <w:b/>
                <w:bCs/>
                <w:color w:val="FFFFFF"/>
                <w:sz w:val="20"/>
                <w:szCs w:val="20"/>
                <w:lang w:eastAsia="en-US"/>
              </w:rPr>
              <w:t>за оплату посещения бизнес-залов аэропортов (для Клиентов-держателей Программы банковских услуг «Статус», оформленной по 06.10.2024г.)</w:t>
            </w:r>
          </w:p>
        </w:tc>
      </w:tr>
      <w:tr w:rsidR="00567578" w:rsidRPr="00567578" w14:paraId="2342FE11" w14:textId="77777777" w:rsidTr="00B86BDE">
        <w:trPr>
          <w:trHeight w:val="1546"/>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858EC37"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6.1.</w:t>
            </w:r>
          </w:p>
        </w:tc>
        <w:tc>
          <w:tcPr>
            <w:tcW w:w="5108" w:type="dxa"/>
            <w:tcBorders>
              <w:top w:val="nil"/>
              <w:left w:val="nil"/>
              <w:bottom w:val="single" w:sz="4" w:space="0" w:color="auto"/>
              <w:right w:val="single" w:sz="4" w:space="0" w:color="auto"/>
            </w:tcBorders>
            <w:shd w:val="clear" w:color="000000" w:fill="FFFFFF"/>
            <w:vAlign w:val="center"/>
            <w:hideMark/>
          </w:tcPr>
          <w:p w14:paraId="166AC955" w14:textId="77777777" w:rsidR="00567578" w:rsidRPr="00567578" w:rsidRDefault="00567578" w:rsidP="00567578">
            <w:pPr>
              <w:spacing w:after="160" w:line="259" w:lineRule="auto"/>
              <w:rPr>
                <w:rFonts w:ascii="Tahoma" w:eastAsia="Calibri" w:hAnsi="Tahoma" w:cs="Tahoma"/>
                <w:color w:val="000000"/>
                <w:sz w:val="20"/>
                <w:szCs w:val="20"/>
                <w:lang w:eastAsia="en-US"/>
              </w:rPr>
            </w:pPr>
            <w:r w:rsidRPr="00567578">
              <w:rPr>
                <w:rFonts w:ascii="Tahoma" w:eastAsia="Calibri" w:hAnsi="Tahoma" w:cs="Tahoma"/>
                <w:color w:val="000000"/>
                <w:sz w:val="20"/>
                <w:szCs w:val="20"/>
                <w:lang w:eastAsia="en-US"/>
              </w:rPr>
              <w:t>Условия выплаты кэшбэка</w:t>
            </w:r>
          </w:p>
        </w:tc>
        <w:tc>
          <w:tcPr>
            <w:tcW w:w="8753" w:type="dxa"/>
            <w:tcBorders>
              <w:top w:val="nil"/>
              <w:left w:val="nil"/>
              <w:bottom w:val="single" w:sz="4" w:space="0" w:color="auto"/>
              <w:right w:val="single" w:sz="4" w:space="0" w:color="auto"/>
            </w:tcBorders>
            <w:shd w:val="clear" w:color="auto" w:fill="auto"/>
            <w:vAlign w:val="center"/>
            <w:hideMark/>
          </w:tcPr>
          <w:p w14:paraId="19BA8312" w14:textId="77777777" w:rsidR="00567578" w:rsidRPr="00567578" w:rsidRDefault="00567578" w:rsidP="00567578">
            <w:pPr>
              <w:spacing w:after="160" w:line="259" w:lineRule="auto"/>
              <w:jc w:val="center"/>
              <w:rPr>
                <w:rFonts w:ascii="Tahoma" w:eastAsia="Calibri" w:hAnsi="Tahoma" w:cs="Tahoma"/>
                <w:color w:val="000000"/>
                <w:sz w:val="20"/>
                <w:szCs w:val="20"/>
                <w:lang w:eastAsia="en-US"/>
              </w:rPr>
            </w:pPr>
            <w:r w:rsidRPr="00567578">
              <w:rPr>
                <w:rFonts w:ascii="Tahoma" w:eastAsia="Calibri" w:hAnsi="Tahoma" w:cs="Tahoma"/>
                <w:color w:val="000000"/>
                <w:sz w:val="20"/>
                <w:szCs w:val="20"/>
                <w:lang w:eastAsia="en-US"/>
              </w:rPr>
              <w:t xml:space="preserve">Выплата кэшбэка в размере совершённой транзакции по оплате посещения бизнес-зала аэропорта, но не более 5 000 рублей (включительно) в течение календарного месяца (при выполнении Клиентом условий бесплатного обслуживания по Программе банковских услуг «Статус» согласно п.2.3 Паспорта продукта Программы банковских услуг «Статус», </w:t>
            </w:r>
            <w:r w:rsidRPr="00567578">
              <w:rPr>
                <w:rFonts w:ascii="Tahoma" w:eastAsia="Calibri" w:hAnsi="Tahoma" w:cs="Tahoma"/>
                <w:color w:val="000000"/>
                <w:sz w:val="20"/>
                <w:szCs w:val="20"/>
                <w:lang w:eastAsia="en-US"/>
              </w:rPr>
              <w:br/>
              <w:t>размещённому на Сайте Банка www.atb.su и в Подразделениях Банка, в месяце, предшествующем месяцу посещения бизнес-зала) осуществляется в срок до 15 числа следующего месяца (включительно)</w:t>
            </w:r>
            <w:r w:rsidRPr="00567578">
              <w:rPr>
                <w:rFonts w:ascii="Tahoma" w:eastAsia="Calibri" w:hAnsi="Tahoma" w:cs="Tahoma"/>
                <w:color w:val="000000"/>
                <w:sz w:val="20"/>
                <w:szCs w:val="20"/>
                <w:vertAlign w:val="superscript"/>
                <w:lang w:eastAsia="en-US"/>
              </w:rPr>
              <w:t>7</w:t>
            </w:r>
            <w:r w:rsidRPr="00567578">
              <w:rPr>
                <w:rFonts w:ascii="Tahoma" w:eastAsia="Calibri" w:hAnsi="Tahoma" w:cs="Tahoma"/>
                <w:color w:val="000000"/>
                <w:sz w:val="20"/>
                <w:szCs w:val="20"/>
                <w:lang w:eastAsia="en-US"/>
              </w:rPr>
              <w:t>.</w:t>
            </w:r>
            <w:r w:rsidRPr="00567578">
              <w:rPr>
                <w:rFonts w:ascii="Tahoma" w:eastAsia="Calibri" w:hAnsi="Tahoma" w:cs="Tahoma"/>
                <w:color w:val="000000"/>
                <w:sz w:val="20"/>
                <w:szCs w:val="20"/>
                <w:lang w:eastAsia="en-US"/>
              </w:rPr>
              <w:br/>
              <w:t xml:space="preserve">Выплата кэшбэка за оплату посещения бизнес-зала аэропорта не включается в максимальную сумму выплаты, </w:t>
            </w:r>
            <w:r w:rsidRPr="00567578">
              <w:rPr>
                <w:rFonts w:ascii="Tahoma" w:eastAsia="Calibri" w:hAnsi="Tahoma" w:cs="Tahoma"/>
                <w:color w:val="000000"/>
                <w:sz w:val="20"/>
                <w:szCs w:val="20"/>
                <w:lang w:eastAsia="en-US"/>
              </w:rPr>
              <w:br/>
              <w:t>указанную в п.2, а происходит дополнительно к ней.</w:t>
            </w:r>
          </w:p>
        </w:tc>
      </w:tr>
      <w:tr w:rsidR="00567578" w:rsidRPr="00567578" w14:paraId="3D1D4221" w14:textId="77777777" w:rsidTr="00B86BDE">
        <w:trPr>
          <w:trHeight w:val="360"/>
        </w:trPr>
        <w:tc>
          <w:tcPr>
            <w:tcW w:w="846" w:type="dxa"/>
            <w:tcBorders>
              <w:top w:val="nil"/>
              <w:left w:val="single" w:sz="4" w:space="0" w:color="auto"/>
              <w:bottom w:val="single" w:sz="4" w:space="0" w:color="auto"/>
              <w:right w:val="single" w:sz="4" w:space="0" w:color="auto"/>
            </w:tcBorders>
            <w:shd w:val="clear" w:color="000000" w:fill="757171"/>
            <w:noWrap/>
            <w:vAlign w:val="center"/>
            <w:hideMark/>
          </w:tcPr>
          <w:p w14:paraId="5C199250" w14:textId="77777777" w:rsidR="00567578" w:rsidRPr="00567578" w:rsidRDefault="00567578" w:rsidP="00567578">
            <w:pPr>
              <w:spacing w:after="160" w:line="259" w:lineRule="auto"/>
              <w:jc w:val="center"/>
              <w:rPr>
                <w:rFonts w:ascii="Tahoma" w:eastAsia="Calibri" w:hAnsi="Tahoma" w:cs="Tahoma"/>
                <w:b/>
                <w:bCs/>
                <w:color w:val="FFFFFF"/>
                <w:sz w:val="20"/>
                <w:szCs w:val="20"/>
                <w:lang w:eastAsia="en-US"/>
              </w:rPr>
            </w:pPr>
            <w:r w:rsidRPr="00567578">
              <w:rPr>
                <w:rFonts w:ascii="Tahoma" w:eastAsia="Calibri" w:hAnsi="Tahoma" w:cs="Tahoma"/>
                <w:b/>
                <w:bCs/>
                <w:color w:val="FFFFFF"/>
                <w:sz w:val="20"/>
                <w:szCs w:val="20"/>
                <w:lang w:eastAsia="en-US"/>
              </w:rPr>
              <w:t>6.2.</w:t>
            </w:r>
          </w:p>
        </w:tc>
        <w:tc>
          <w:tcPr>
            <w:tcW w:w="5108" w:type="dxa"/>
            <w:tcBorders>
              <w:top w:val="nil"/>
              <w:left w:val="nil"/>
              <w:bottom w:val="single" w:sz="4" w:space="0" w:color="auto"/>
              <w:right w:val="single" w:sz="4" w:space="0" w:color="auto"/>
            </w:tcBorders>
            <w:shd w:val="clear" w:color="000000" w:fill="757171"/>
            <w:noWrap/>
            <w:vAlign w:val="center"/>
            <w:hideMark/>
          </w:tcPr>
          <w:p w14:paraId="5C0EF37B" w14:textId="77777777" w:rsidR="00567578" w:rsidRPr="00567578" w:rsidRDefault="00567578" w:rsidP="00567578">
            <w:pPr>
              <w:spacing w:after="160" w:line="259" w:lineRule="auto"/>
              <w:rPr>
                <w:rFonts w:ascii="Tahoma" w:eastAsia="Calibri" w:hAnsi="Tahoma" w:cs="Tahoma"/>
                <w:b/>
                <w:bCs/>
                <w:color w:val="FFFFFF"/>
                <w:sz w:val="20"/>
                <w:szCs w:val="20"/>
                <w:lang w:eastAsia="en-US"/>
              </w:rPr>
            </w:pPr>
            <w:r w:rsidRPr="00567578">
              <w:rPr>
                <w:rFonts w:ascii="Tahoma" w:eastAsia="Calibri" w:hAnsi="Tahoma" w:cs="Tahoma"/>
                <w:b/>
                <w:bCs/>
                <w:color w:val="FFFFFF"/>
                <w:sz w:val="20"/>
                <w:szCs w:val="20"/>
                <w:lang w:eastAsia="en-US"/>
              </w:rPr>
              <w:t>Ограничения выплаты кэшбэка</w:t>
            </w:r>
          </w:p>
        </w:tc>
        <w:tc>
          <w:tcPr>
            <w:tcW w:w="8753" w:type="dxa"/>
            <w:tcBorders>
              <w:top w:val="nil"/>
              <w:left w:val="nil"/>
              <w:bottom w:val="single" w:sz="4" w:space="0" w:color="auto"/>
              <w:right w:val="single" w:sz="4" w:space="0" w:color="auto"/>
            </w:tcBorders>
            <w:shd w:val="clear" w:color="000000" w:fill="757171"/>
            <w:vAlign w:val="center"/>
            <w:hideMark/>
          </w:tcPr>
          <w:p w14:paraId="449FAF84" w14:textId="77777777" w:rsidR="00567578" w:rsidRPr="00567578" w:rsidRDefault="00567578" w:rsidP="00567578">
            <w:pPr>
              <w:spacing w:after="160" w:line="259" w:lineRule="auto"/>
              <w:jc w:val="center"/>
              <w:rPr>
                <w:rFonts w:ascii="Tahoma" w:eastAsia="Calibri" w:hAnsi="Tahoma" w:cs="Tahoma"/>
                <w:b/>
                <w:bCs/>
                <w:color w:val="000000"/>
                <w:sz w:val="20"/>
                <w:szCs w:val="20"/>
                <w:lang w:eastAsia="en-US"/>
              </w:rPr>
            </w:pPr>
            <w:r w:rsidRPr="00567578">
              <w:rPr>
                <w:rFonts w:ascii="Tahoma" w:eastAsia="Calibri" w:hAnsi="Tahoma" w:cs="Tahoma"/>
                <w:b/>
                <w:bCs/>
                <w:color w:val="000000"/>
                <w:sz w:val="20"/>
                <w:szCs w:val="20"/>
                <w:lang w:eastAsia="en-US"/>
              </w:rPr>
              <w:t> </w:t>
            </w:r>
          </w:p>
        </w:tc>
      </w:tr>
      <w:tr w:rsidR="00567578" w:rsidRPr="00567578" w14:paraId="2B5E9FA9" w14:textId="77777777" w:rsidTr="00B86BDE">
        <w:trPr>
          <w:trHeight w:val="4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267ECA66"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6.2.1.</w:t>
            </w:r>
          </w:p>
        </w:tc>
        <w:tc>
          <w:tcPr>
            <w:tcW w:w="13861" w:type="dxa"/>
            <w:gridSpan w:val="2"/>
            <w:tcBorders>
              <w:top w:val="single" w:sz="4" w:space="0" w:color="auto"/>
              <w:left w:val="nil"/>
              <w:bottom w:val="single" w:sz="4" w:space="0" w:color="auto"/>
              <w:right w:val="single" w:sz="4" w:space="0" w:color="000000"/>
            </w:tcBorders>
            <w:shd w:val="clear" w:color="auto" w:fill="auto"/>
            <w:vAlign w:val="center"/>
            <w:hideMark/>
          </w:tcPr>
          <w:p w14:paraId="69277FCC"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 xml:space="preserve">Максимальная общая сумма кэшбэка за оплату посещения бизнес-залов аэропортов не может превышать </w:t>
            </w:r>
            <w:r w:rsidRPr="00567578">
              <w:rPr>
                <w:rFonts w:ascii="Tahoma" w:eastAsia="Calibri" w:hAnsi="Tahoma" w:cs="Tahoma"/>
                <w:b/>
                <w:bCs/>
                <w:sz w:val="20"/>
                <w:szCs w:val="20"/>
                <w:lang w:eastAsia="en-US"/>
              </w:rPr>
              <w:t>5 000 рублей</w:t>
            </w:r>
            <w:r w:rsidRPr="00567578">
              <w:rPr>
                <w:rFonts w:ascii="Tahoma" w:eastAsia="Calibri" w:hAnsi="Tahoma" w:cs="Tahoma"/>
                <w:sz w:val="20"/>
                <w:szCs w:val="20"/>
                <w:lang w:eastAsia="en-US"/>
              </w:rPr>
              <w:t xml:space="preserve"> в одном календарном месяце.</w:t>
            </w:r>
          </w:p>
        </w:tc>
      </w:tr>
      <w:tr w:rsidR="00567578" w:rsidRPr="00567578" w14:paraId="2476BB91" w14:textId="77777777" w:rsidTr="00B86BDE">
        <w:trPr>
          <w:trHeight w:val="92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681FD51B"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6.2.2.</w:t>
            </w:r>
          </w:p>
        </w:tc>
        <w:tc>
          <w:tcPr>
            <w:tcW w:w="13861" w:type="dxa"/>
            <w:gridSpan w:val="2"/>
            <w:tcBorders>
              <w:top w:val="single" w:sz="4" w:space="0" w:color="auto"/>
              <w:left w:val="nil"/>
              <w:bottom w:val="single" w:sz="4" w:space="0" w:color="auto"/>
              <w:right w:val="single" w:sz="4" w:space="0" w:color="000000"/>
            </w:tcBorders>
            <w:shd w:val="clear" w:color="auto" w:fill="auto"/>
            <w:vAlign w:val="center"/>
            <w:hideMark/>
          </w:tcPr>
          <w:p w14:paraId="283F6E49"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 xml:space="preserve">Сумма кэшбэка за оплату посещения бизнес-залов аэропортов не может превышать сумму, указанную в документе, подтверждающем факт оплаты посещения бизнес-зала аэропорта Клиентом. В случае посещения нескольких бизнес-залов аэропортов Клиентом в течение одного календарного месяца, Банк выплачивает кэшбэк за совокупность сумм, указанных в подтверждающих оплату документах, но не более, чем </w:t>
            </w:r>
            <w:r w:rsidRPr="00567578">
              <w:rPr>
                <w:rFonts w:ascii="Tahoma" w:eastAsia="Calibri" w:hAnsi="Tahoma" w:cs="Tahoma"/>
                <w:b/>
                <w:bCs/>
                <w:sz w:val="20"/>
                <w:szCs w:val="20"/>
                <w:lang w:eastAsia="en-US"/>
              </w:rPr>
              <w:t>5 000 рублей</w:t>
            </w:r>
            <w:r w:rsidRPr="00567578">
              <w:rPr>
                <w:rFonts w:ascii="Tahoma" w:eastAsia="Calibri" w:hAnsi="Tahoma" w:cs="Tahoma"/>
                <w:sz w:val="20"/>
                <w:szCs w:val="20"/>
                <w:lang w:eastAsia="en-US"/>
              </w:rPr>
              <w:t xml:space="preserve"> в одном календарном месяце.</w:t>
            </w:r>
          </w:p>
        </w:tc>
      </w:tr>
      <w:tr w:rsidR="00567578" w:rsidRPr="00567578" w14:paraId="5B86D07E" w14:textId="77777777" w:rsidTr="00B86BDE">
        <w:trPr>
          <w:trHeight w:val="553"/>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7A06635E"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6.2.3.</w:t>
            </w:r>
          </w:p>
        </w:tc>
        <w:tc>
          <w:tcPr>
            <w:tcW w:w="13861" w:type="dxa"/>
            <w:gridSpan w:val="2"/>
            <w:tcBorders>
              <w:top w:val="single" w:sz="4" w:space="0" w:color="auto"/>
              <w:left w:val="nil"/>
              <w:bottom w:val="single" w:sz="4" w:space="0" w:color="auto"/>
              <w:right w:val="single" w:sz="4" w:space="0" w:color="000000"/>
            </w:tcBorders>
            <w:shd w:val="clear" w:color="auto" w:fill="auto"/>
            <w:vAlign w:val="center"/>
            <w:hideMark/>
          </w:tcPr>
          <w:p w14:paraId="621F081B"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Банк не производит выплату кэшбэка за оплату посещения бизнес-залов аэропортов, совершённую Клиентом в Льготный период Программы «Статус» (в месяце оформления Программы банковских услуг «Статус» и месяце, следующим за ним)</w:t>
            </w:r>
            <w:r w:rsidRPr="00567578">
              <w:rPr>
                <w:rFonts w:ascii="Tahoma" w:eastAsia="Calibri" w:hAnsi="Tahoma" w:cs="Tahoma"/>
                <w:sz w:val="20"/>
                <w:szCs w:val="20"/>
                <w:vertAlign w:val="superscript"/>
                <w:lang w:eastAsia="en-US"/>
              </w:rPr>
              <w:t>9</w:t>
            </w:r>
            <w:r w:rsidRPr="00567578">
              <w:rPr>
                <w:rFonts w:ascii="Tahoma" w:eastAsia="Calibri" w:hAnsi="Tahoma" w:cs="Tahoma"/>
                <w:sz w:val="20"/>
                <w:szCs w:val="20"/>
                <w:lang w:eastAsia="en-US"/>
              </w:rPr>
              <w:t>.</w:t>
            </w:r>
          </w:p>
        </w:tc>
      </w:tr>
      <w:tr w:rsidR="00567578" w:rsidRPr="00567578" w14:paraId="359ED78C" w14:textId="77777777" w:rsidTr="00B86BDE">
        <w:trPr>
          <w:trHeight w:val="126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5DF96610"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6.2.4.</w:t>
            </w:r>
          </w:p>
        </w:tc>
        <w:tc>
          <w:tcPr>
            <w:tcW w:w="13861" w:type="dxa"/>
            <w:gridSpan w:val="2"/>
            <w:tcBorders>
              <w:top w:val="single" w:sz="4" w:space="0" w:color="auto"/>
              <w:left w:val="nil"/>
              <w:bottom w:val="single" w:sz="4" w:space="0" w:color="auto"/>
              <w:right w:val="single" w:sz="4" w:space="0" w:color="000000"/>
            </w:tcBorders>
            <w:shd w:val="clear" w:color="auto" w:fill="auto"/>
            <w:vAlign w:val="center"/>
            <w:hideMark/>
          </w:tcPr>
          <w:p w14:paraId="43CD4A0E"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 xml:space="preserve">В случаях, если Клиент является держателем нескольких Программ банковских услуг «Статус» одновременно, то такой Клиент вправе рассчитывать на кэшбэк за оплату посещения </w:t>
            </w:r>
            <w:r w:rsidRPr="00567578">
              <w:rPr>
                <w:rFonts w:ascii="Tahoma" w:eastAsia="Calibri" w:hAnsi="Tahoma" w:cs="Tahoma"/>
                <w:sz w:val="20"/>
                <w:szCs w:val="20"/>
                <w:lang w:eastAsia="en-US"/>
              </w:rPr>
              <w:br/>
              <w:t xml:space="preserve">бизнес-зала аэропорта исключительно в рамках последней оформленной Программы банковских услуг «Статус»: кэшбэк за оплату посещения бизнес-зала аэропорта, </w:t>
            </w:r>
            <w:r w:rsidRPr="00567578">
              <w:rPr>
                <w:rFonts w:ascii="Tahoma" w:eastAsia="Calibri" w:hAnsi="Tahoma" w:cs="Tahoma"/>
                <w:sz w:val="20"/>
                <w:szCs w:val="20"/>
                <w:lang w:eastAsia="en-US"/>
              </w:rPr>
              <w:br/>
              <w:t>совершенную Клиентом в рамках ранее оформленных Программ банковских услуг «Статус», Банком не выплачивается, в том числе, частично.</w:t>
            </w:r>
          </w:p>
        </w:tc>
      </w:tr>
      <w:tr w:rsidR="00567578" w:rsidRPr="00567578" w14:paraId="07668354" w14:textId="77777777" w:rsidTr="00B86BDE">
        <w:trPr>
          <w:trHeight w:val="952"/>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29BFF53F"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6.2.5.</w:t>
            </w:r>
          </w:p>
        </w:tc>
        <w:tc>
          <w:tcPr>
            <w:tcW w:w="13861" w:type="dxa"/>
            <w:gridSpan w:val="2"/>
            <w:tcBorders>
              <w:top w:val="single" w:sz="4" w:space="0" w:color="auto"/>
              <w:left w:val="nil"/>
              <w:bottom w:val="single" w:sz="4" w:space="0" w:color="auto"/>
              <w:right w:val="single" w:sz="4" w:space="0" w:color="000000"/>
            </w:tcBorders>
            <w:shd w:val="clear" w:color="000000" w:fill="FFFFFF"/>
            <w:vAlign w:val="center"/>
            <w:hideMark/>
          </w:tcPr>
          <w:p w14:paraId="44302E21"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 xml:space="preserve">Банк не производит выплату кэшбэка (в т.ч. частичную) за оплату посещения бизнес-залов аэропортов, совершённую Клиентом, если в месяце, предшествующем месяцу посещения </w:t>
            </w:r>
            <w:r w:rsidRPr="00567578">
              <w:rPr>
                <w:rFonts w:ascii="Tahoma" w:eastAsia="Calibri" w:hAnsi="Tahoma" w:cs="Tahoma"/>
                <w:sz w:val="20"/>
                <w:szCs w:val="20"/>
                <w:lang w:eastAsia="en-US"/>
              </w:rPr>
              <w:br/>
              <w:t>бизнес-зала аэропорта, Клиентом не было выполнено ни одно из условий бесплатного обслуживания по Программе банковских услуг «Статус» согласно п.2.3 Паспорта продукта Программы банковских услуг «Статус».</w:t>
            </w:r>
          </w:p>
        </w:tc>
      </w:tr>
      <w:tr w:rsidR="00567578" w:rsidRPr="00567578" w14:paraId="444DA8CC" w14:textId="77777777" w:rsidTr="00B86BDE">
        <w:trPr>
          <w:trHeight w:val="677"/>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02C8F11B"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6.2.6.</w:t>
            </w:r>
          </w:p>
        </w:tc>
        <w:tc>
          <w:tcPr>
            <w:tcW w:w="13861" w:type="dxa"/>
            <w:gridSpan w:val="2"/>
            <w:tcBorders>
              <w:top w:val="single" w:sz="4" w:space="0" w:color="auto"/>
              <w:left w:val="nil"/>
              <w:bottom w:val="single" w:sz="4" w:space="0" w:color="auto"/>
              <w:right w:val="single" w:sz="4" w:space="0" w:color="000000"/>
            </w:tcBorders>
            <w:shd w:val="clear" w:color="auto" w:fill="auto"/>
            <w:vAlign w:val="center"/>
            <w:hideMark/>
          </w:tcPr>
          <w:p w14:paraId="71D64623"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Банк не производит выплату кэшбэка за оплату посещения бизнес-залов аэропортов, совершённую Клиентом, при наличии непогашенной комиссионной задолженности за обслуживание Программы банковских услуг «Статус».</w:t>
            </w:r>
          </w:p>
        </w:tc>
      </w:tr>
      <w:tr w:rsidR="00567578" w:rsidRPr="00567578" w14:paraId="4A790074" w14:textId="77777777" w:rsidTr="00B86BDE">
        <w:trPr>
          <w:trHeight w:val="417"/>
        </w:trPr>
        <w:tc>
          <w:tcPr>
            <w:tcW w:w="846" w:type="dxa"/>
            <w:tcBorders>
              <w:top w:val="nil"/>
              <w:left w:val="single" w:sz="4" w:space="0" w:color="auto"/>
              <w:bottom w:val="single" w:sz="4" w:space="0" w:color="auto"/>
              <w:right w:val="single" w:sz="4" w:space="0" w:color="auto"/>
            </w:tcBorders>
            <w:shd w:val="clear" w:color="000000" w:fill="757171"/>
            <w:noWrap/>
            <w:vAlign w:val="center"/>
            <w:hideMark/>
          </w:tcPr>
          <w:p w14:paraId="7251833B" w14:textId="77777777" w:rsidR="00567578" w:rsidRPr="00567578" w:rsidRDefault="00567578" w:rsidP="00567578">
            <w:pPr>
              <w:spacing w:after="160" w:line="259" w:lineRule="auto"/>
              <w:jc w:val="center"/>
              <w:rPr>
                <w:rFonts w:ascii="Tahoma" w:eastAsia="Calibri" w:hAnsi="Tahoma" w:cs="Tahoma"/>
                <w:b/>
                <w:bCs/>
                <w:color w:val="FFFFFF"/>
                <w:sz w:val="20"/>
                <w:szCs w:val="20"/>
                <w:lang w:eastAsia="en-US"/>
              </w:rPr>
            </w:pPr>
            <w:r w:rsidRPr="00567578">
              <w:rPr>
                <w:rFonts w:ascii="Tahoma" w:eastAsia="Calibri" w:hAnsi="Tahoma" w:cs="Tahoma"/>
                <w:b/>
                <w:bCs/>
                <w:color w:val="FFFFFF"/>
                <w:sz w:val="20"/>
                <w:szCs w:val="20"/>
                <w:lang w:eastAsia="en-US"/>
              </w:rPr>
              <w:t>7.</w:t>
            </w:r>
          </w:p>
        </w:tc>
        <w:tc>
          <w:tcPr>
            <w:tcW w:w="5108" w:type="dxa"/>
            <w:tcBorders>
              <w:top w:val="nil"/>
              <w:left w:val="nil"/>
              <w:bottom w:val="single" w:sz="4" w:space="0" w:color="auto"/>
              <w:right w:val="single" w:sz="4" w:space="0" w:color="auto"/>
            </w:tcBorders>
            <w:shd w:val="clear" w:color="000000" w:fill="757171"/>
            <w:noWrap/>
            <w:vAlign w:val="center"/>
            <w:hideMark/>
          </w:tcPr>
          <w:p w14:paraId="3C246891" w14:textId="77777777" w:rsidR="00567578" w:rsidRPr="00567578" w:rsidRDefault="00567578" w:rsidP="00567578">
            <w:pPr>
              <w:spacing w:after="160" w:line="259" w:lineRule="auto"/>
              <w:rPr>
                <w:rFonts w:ascii="Tahoma" w:eastAsia="Calibri" w:hAnsi="Tahoma" w:cs="Tahoma"/>
                <w:b/>
                <w:bCs/>
                <w:color w:val="FFFFFF"/>
                <w:sz w:val="20"/>
                <w:szCs w:val="20"/>
                <w:lang w:eastAsia="en-US"/>
              </w:rPr>
            </w:pPr>
            <w:r w:rsidRPr="00567578">
              <w:rPr>
                <w:rFonts w:ascii="Tahoma" w:eastAsia="Calibri" w:hAnsi="Tahoma" w:cs="Tahoma"/>
                <w:b/>
                <w:bCs/>
                <w:color w:val="FFFFFF"/>
                <w:sz w:val="20"/>
                <w:szCs w:val="20"/>
                <w:lang w:eastAsia="en-US"/>
              </w:rPr>
              <w:t>Условия прекращения действия ранее начисленных Баллов</w:t>
            </w:r>
          </w:p>
        </w:tc>
        <w:tc>
          <w:tcPr>
            <w:tcW w:w="8753" w:type="dxa"/>
            <w:tcBorders>
              <w:top w:val="nil"/>
              <w:left w:val="nil"/>
              <w:bottom w:val="single" w:sz="4" w:space="0" w:color="auto"/>
              <w:right w:val="single" w:sz="4" w:space="0" w:color="auto"/>
            </w:tcBorders>
            <w:shd w:val="clear" w:color="000000" w:fill="757171"/>
            <w:noWrap/>
            <w:vAlign w:val="center"/>
            <w:hideMark/>
          </w:tcPr>
          <w:p w14:paraId="5BCC5F83" w14:textId="77777777" w:rsidR="00567578" w:rsidRPr="00567578" w:rsidRDefault="00567578" w:rsidP="00567578">
            <w:pPr>
              <w:spacing w:after="160" w:line="259" w:lineRule="auto"/>
              <w:rPr>
                <w:rFonts w:ascii="Tahoma" w:eastAsia="Calibri" w:hAnsi="Tahoma" w:cs="Tahoma"/>
                <w:b/>
                <w:bCs/>
                <w:sz w:val="20"/>
                <w:szCs w:val="20"/>
                <w:lang w:eastAsia="en-US"/>
              </w:rPr>
            </w:pPr>
            <w:r w:rsidRPr="00567578">
              <w:rPr>
                <w:rFonts w:ascii="Tahoma" w:eastAsia="Calibri" w:hAnsi="Tahoma" w:cs="Tahoma"/>
                <w:b/>
                <w:bCs/>
                <w:sz w:val="20"/>
                <w:szCs w:val="20"/>
                <w:lang w:eastAsia="en-US"/>
              </w:rPr>
              <w:t> </w:t>
            </w:r>
          </w:p>
        </w:tc>
      </w:tr>
      <w:tr w:rsidR="00567578" w:rsidRPr="00567578" w14:paraId="2330FF78" w14:textId="77777777" w:rsidTr="00B86BDE">
        <w:trPr>
          <w:trHeight w:val="427"/>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1F133025" w14:textId="77777777" w:rsidR="00567578" w:rsidRPr="00567578" w:rsidRDefault="00567578" w:rsidP="00567578">
            <w:pPr>
              <w:spacing w:after="160" w:line="259" w:lineRule="auto"/>
              <w:jc w:val="center"/>
              <w:rPr>
                <w:rFonts w:ascii="Tahoma" w:eastAsia="Calibri" w:hAnsi="Tahoma" w:cs="Tahoma"/>
                <w:color w:val="000000"/>
                <w:sz w:val="20"/>
                <w:szCs w:val="20"/>
                <w:lang w:eastAsia="en-US"/>
              </w:rPr>
            </w:pPr>
            <w:r w:rsidRPr="00567578">
              <w:rPr>
                <w:rFonts w:ascii="Tahoma" w:eastAsia="Calibri" w:hAnsi="Tahoma" w:cs="Tahoma"/>
                <w:color w:val="000000"/>
                <w:sz w:val="20"/>
                <w:szCs w:val="20"/>
                <w:lang w:eastAsia="en-US"/>
              </w:rPr>
              <w:t>7.1.</w:t>
            </w:r>
          </w:p>
        </w:tc>
        <w:tc>
          <w:tcPr>
            <w:tcW w:w="5108" w:type="dxa"/>
            <w:tcBorders>
              <w:top w:val="nil"/>
              <w:left w:val="nil"/>
              <w:bottom w:val="single" w:sz="4" w:space="0" w:color="auto"/>
              <w:right w:val="single" w:sz="4" w:space="0" w:color="auto"/>
            </w:tcBorders>
            <w:shd w:val="clear" w:color="000000" w:fill="FFFFFF"/>
            <w:vAlign w:val="center"/>
            <w:hideMark/>
          </w:tcPr>
          <w:p w14:paraId="3E2AB24A"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 xml:space="preserve">Максимальный срок действия начисленных Баллов </w:t>
            </w:r>
            <w:r w:rsidRPr="00567578">
              <w:rPr>
                <w:rFonts w:ascii="Tahoma" w:eastAsia="Calibri" w:hAnsi="Tahoma" w:cs="Tahoma"/>
                <w:sz w:val="20"/>
                <w:szCs w:val="20"/>
                <w:lang w:eastAsia="en-US"/>
              </w:rPr>
              <w:br/>
              <w:t>(с даты их фактического начисления)</w:t>
            </w:r>
            <w:r w:rsidRPr="00567578">
              <w:rPr>
                <w:rFonts w:ascii="Tahoma" w:eastAsia="Calibri" w:hAnsi="Tahoma" w:cs="Tahoma"/>
                <w:sz w:val="20"/>
                <w:szCs w:val="20"/>
                <w:vertAlign w:val="superscript"/>
                <w:lang w:eastAsia="en-US"/>
              </w:rPr>
              <w:t>10</w:t>
            </w:r>
          </w:p>
        </w:tc>
        <w:tc>
          <w:tcPr>
            <w:tcW w:w="8753" w:type="dxa"/>
            <w:tcBorders>
              <w:top w:val="nil"/>
              <w:left w:val="nil"/>
              <w:bottom w:val="single" w:sz="4" w:space="0" w:color="auto"/>
              <w:right w:val="single" w:sz="4" w:space="0" w:color="auto"/>
            </w:tcBorders>
            <w:shd w:val="clear" w:color="000000" w:fill="FFFFFF"/>
            <w:noWrap/>
            <w:vAlign w:val="center"/>
            <w:hideMark/>
          </w:tcPr>
          <w:p w14:paraId="0706993A" w14:textId="77777777" w:rsidR="00567578" w:rsidRPr="00567578" w:rsidRDefault="00567578" w:rsidP="00567578">
            <w:pPr>
              <w:spacing w:after="160" w:line="259" w:lineRule="auto"/>
              <w:jc w:val="center"/>
              <w:rPr>
                <w:rFonts w:ascii="Tahoma" w:eastAsia="Calibri" w:hAnsi="Tahoma" w:cs="Tahoma"/>
                <w:color w:val="000000"/>
                <w:sz w:val="20"/>
                <w:szCs w:val="20"/>
                <w:lang w:eastAsia="en-US"/>
              </w:rPr>
            </w:pPr>
            <w:r w:rsidRPr="00567578">
              <w:rPr>
                <w:rFonts w:ascii="Tahoma" w:eastAsia="Calibri" w:hAnsi="Tahoma" w:cs="Tahoma"/>
                <w:color w:val="000000"/>
                <w:sz w:val="20"/>
                <w:szCs w:val="20"/>
                <w:lang w:eastAsia="en-US"/>
              </w:rPr>
              <w:t>6 (шесть) месяцев</w:t>
            </w:r>
          </w:p>
        </w:tc>
      </w:tr>
      <w:tr w:rsidR="00567578" w:rsidRPr="00567578" w14:paraId="32D9D425" w14:textId="77777777" w:rsidTr="00B86BDE">
        <w:trPr>
          <w:trHeight w:val="360"/>
        </w:trPr>
        <w:tc>
          <w:tcPr>
            <w:tcW w:w="846" w:type="dxa"/>
            <w:tcBorders>
              <w:top w:val="nil"/>
              <w:left w:val="single" w:sz="4" w:space="0" w:color="auto"/>
              <w:bottom w:val="single" w:sz="4" w:space="0" w:color="auto"/>
              <w:right w:val="single" w:sz="4" w:space="0" w:color="auto"/>
            </w:tcBorders>
            <w:shd w:val="clear" w:color="000000" w:fill="757171"/>
            <w:noWrap/>
            <w:vAlign w:val="center"/>
            <w:hideMark/>
          </w:tcPr>
          <w:p w14:paraId="29C55751" w14:textId="77777777" w:rsidR="00567578" w:rsidRPr="00567578" w:rsidRDefault="00567578" w:rsidP="00567578">
            <w:pPr>
              <w:spacing w:after="160" w:line="259" w:lineRule="auto"/>
              <w:jc w:val="center"/>
              <w:rPr>
                <w:rFonts w:ascii="Tahoma" w:eastAsia="Calibri" w:hAnsi="Tahoma" w:cs="Tahoma"/>
                <w:b/>
                <w:bCs/>
                <w:color w:val="FFFFFF"/>
                <w:sz w:val="20"/>
                <w:szCs w:val="20"/>
                <w:lang w:eastAsia="en-US"/>
              </w:rPr>
            </w:pPr>
            <w:r w:rsidRPr="00567578">
              <w:rPr>
                <w:rFonts w:ascii="Tahoma" w:eastAsia="Calibri" w:hAnsi="Tahoma" w:cs="Tahoma"/>
                <w:b/>
                <w:bCs/>
                <w:color w:val="FFFFFF"/>
                <w:sz w:val="20"/>
                <w:szCs w:val="20"/>
                <w:lang w:eastAsia="en-US"/>
              </w:rPr>
              <w:t>8.</w:t>
            </w:r>
          </w:p>
        </w:tc>
        <w:tc>
          <w:tcPr>
            <w:tcW w:w="5108" w:type="dxa"/>
            <w:tcBorders>
              <w:top w:val="nil"/>
              <w:left w:val="nil"/>
              <w:bottom w:val="single" w:sz="4" w:space="0" w:color="auto"/>
              <w:right w:val="single" w:sz="4" w:space="0" w:color="auto"/>
            </w:tcBorders>
            <w:shd w:val="clear" w:color="000000" w:fill="757171"/>
            <w:noWrap/>
            <w:vAlign w:val="center"/>
            <w:hideMark/>
          </w:tcPr>
          <w:p w14:paraId="12B38529" w14:textId="77777777" w:rsidR="00567578" w:rsidRPr="00567578" w:rsidRDefault="00567578" w:rsidP="00567578">
            <w:pPr>
              <w:spacing w:after="160" w:line="259" w:lineRule="auto"/>
              <w:rPr>
                <w:rFonts w:ascii="Tahoma" w:eastAsia="Calibri" w:hAnsi="Tahoma" w:cs="Tahoma"/>
                <w:b/>
                <w:bCs/>
                <w:color w:val="FFFFFF"/>
                <w:sz w:val="20"/>
                <w:szCs w:val="20"/>
                <w:lang w:eastAsia="en-US"/>
              </w:rPr>
            </w:pPr>
            <w:r w:rsidRPr="00567578">
              <w:rPr>
                <w:rFonts w:ascii="Tahoma" w:eastAsia="Calibri" w:hAnsi="Tahoma" w:cs="Tahoma"/>
                <w:b/>
                <w:bCs/>
                <w:color w:val="FFFFFF"/>
                <w:sz w:val="20"/>
                <w:szCs w:val="20"/>
                <w:lang w:eastAsia="en-US"/>
              </w:rPr>
              <w:t>Условия отключения Программы по инициативе Банка</w:t>
            </w:r>
          </w:p>
        </w:tc>
        <w:tc>
          <w:tcPr>
            <w:tcW w:w="8753" w:type="dxa"/>
            <w:tcBorders>
              <w:top w:val="nil"/>
              <w:left w:val="nil"/>
              <w:bottom w:val="single" w:sz="4" w:space="0" w:color="auto"/>
              <w:right w:val="single" w:sz="4" w:space="0" w:color="auto"/>
            </w:tcBorders>
            <w:shd w:val="clear" w:color="000000" w:fill="757171"/>
            <w:noWrap/>
            <w:vAlign w:val="center"/>
            <w:hideMark/>
          </w:tcPr>
          <w:p w14:paraId="0C083B5B" w14:textId="77777777" w:rsidR="00567578" w:rsidRPr="00567578" w:rsidRDefault="00567578" w:rsidP="00567578">
            <w:pPr>
              <w:spacing w:after="160" w:line="259" w:lineRule="auto"/>
              <w:rPr>
                <w:rFonts w:ascii="Tahoma" w:eastAsia="Calibri" w:hAnsi="Tahoma" w:cs="Tahoma"/>
                <w:b/>
                <w:bCs/>
                <w:sz w:val="20"/>
                <w:szCs w:val="20"/>
                <w:lang w:eastAsia="en-US"/>
              </w:rPr>
            </w:pPr>
            <w:r w:rsidRPr="00567578">
              <w:rPr>
                <w:rFonts w:ascii="Tahoma" w:eastAsia="Calibri" w:hAnsi="Tahoma" w:cs="Tahoma"/>
                <w:b/>
                <w:bCs/>
                <w:sz w:val="20"/>
                <w:szCs w:val="20"/>
                <w:lang w:eastAsia="en-US"/>
              </w:rPr>
              <w:t> </w:t>
            </w:r>
          </w:p>
        </w:tc>
      </w:tr>
      <w:tr w:rsidR="00567578" w:rsidRPr="00567578" w14:paraId="35CD36D1" w14:textId="77777777" w:rsidTr="00B86BDE">
        <w:trPr>
          <w:trHeight w:val="31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69AC7138" w14:textId="77777777" w:rsidR="00567578" w:rsidRPr="00567578" w:rsidRDefault="00567578" w:rsidP="00567578">
            <w:pPr>
              <w:spacing w:after="160" w:line="259" w:lineRule="auto"/>
              <w:jc w:val="center"/>
              <w:rPr>
                <w:rFonts w:ascii="Tahoma" w:eastAsia="Calibri" w:hAnsi="Tahoma" w:cs="Tahoma"/>
                <w:sz w:val="20"/>
                <w:szCs w:val="20"/>
                <w:lang w:eastAsia="en-US"/>
              </w:rPr>
            </w:pPr>
            <w:r w:rsidRPr="00567578">
              <w:rPr>
                <w:rFonts w:ascii="Tahoma" w:eastAsia="Calibri" w:hAnsi="Tahoma" w:cs="Tahoma"/>
                <w:sz w:val="20"/>
                <w:szCs w:val="20"/>
                <w:lang w:eastAsia="en-US"/>
              </w:rPr>
              <w:t>8.1.</w:t>
            </w:r>
          </w:p>
        </w:tc>
        <w:tc>
          <w:tcPr>
            <w:tcW w:w="13861" w:type="dxa"/>
            <w:gridSpan w:val="2"/>
            <w:tcBorders>
              <w:top w:val="single" w:sz="4" w:space="0" w:color="auto"/>
              <w:left w:val="nil"/>
              <w:bottom w:val="single" w:sz="4" w:space="0" w:color="auto"/>
              <w:right w:val="single" w:sz="4" w:space="0" w:color="000000"/>
            </w:tcBorders>
            <w:shd w:val="clear" w:color="000000" w:fill="FFFFFF"/>
            <w:vAlign w:val="center"/>
            <w:hideMark/>
          </w:tcPr>
          <w:p w14:paraId="1780731F" w14:textId="77777777" w:rsidR="00567578" w:rsidRPr="00567578" w:rsidRDefault="00567578" w:rsidP="00567578">
            <w:pPr>
              <w:spacing w:after="160" w:line="259" w:lineRule="auto"/>
              <w:rPr>
                <w:rFonts w:ascii="Tahoma" w:eastAsia="Calibri" w:hAnsi="Tahoma" w:cs="Tahoma"/>
                <w:sz w:val="20"/>
                <w:szCs w:val="20"/>
                <w:lang w:eastAsia="en-US"/>
              </w:rPr>
            </w:pPr>
            <w:r w:rsidRPr="00567578">
              <w:rPr>
                <w:rFonts w:ascii="Tahoma" w:eastAsia="Calibri" w:hAnsi="Tahoma" w:cs="Tahoma"/>
                <w:sz w:val="20"/>
                <w:szCs w:val="20"/>
                <w:lang w:eastAsia="en-US"/>
              </w:rPr>
              <w:t>Банк вправе приостановить в отношении Клиента действие Программы в одностороннем порядке по основаниям, изложенным в Программе лояльности.</w:t>
            </w:r>
          </w:p>
        </w:tc>
      </w:tr>
    </w:tbl>
    <w:p w14:paraId="1CBCBF81" w14:textId="77777777" w:rsidR="00567578" w:rsidRPr="00567578" w:rsidRDefault="00567578" w:rsidP="00567578">
      <w:pPr>
        <w:spacing w:after="160" w:line="288" w:lineRule="auto"/>
        <w:jc w:val="both"/>
        <w:rPr>
          <w:rFonts w:ascii="Tahoma" w:eastAsia="Calibri" w:hAnsi="Tahoma" w:cs="Tahoma"/>
          <w:b/>
          <w:bCs/>
          <w:iCs/>
          <w:sz w:val="18"/>
          <w:szCs w:val="20"/>
          <w:lang w:eastAsia="en-US"/>
        </w:rPr>
      </w:pPr>
      <w:r w:rsidRPr="00567578">
        <w:rPr>
          <w:rFonts w:ascii="Tahoma" w:eastAsia="Calibri" w:hAnsi="Tahoma" w:cs="Tahoma"/>
          <w:b/>
          <w:bCs/>
          <w:iCs/>
          <w:sz w:val="18"/>
          <w:szCs w:val="20"/>
          <w:lang w:eastAsia="en-US"/>
        </w:rPr>
        <w:t>Примечания:</w:t>
      </w:r>
    </w:p>
    <w:p w14:paraId="100B6799" w14:textId="77777777" w:rsidR="00567578" w:rsidRPr="00567578" w:rsidRDefault="00567578" w:rsidP="00567578">
      <w:pPr>
        <w:spacing w:after="160"/>
        <w:jc w:val="both"/>
        <w:rPr>
          <w:rFonts w:ascii="Tahoma" w:eastAsia="Calibri" w:hAnsi="Tahoma" w:cs="Tahoma"/>
          <w:bCs/>
          <w:iCs/>
          <w:sz w:val="18"/>
          <w:szCs w:val="20"/>
          <w:lang w:eastAsia="en-US"/>
        </w:rPr>
      </w:pPr>
      <w:r w:rsidRPr="00567578">
        <w:rPr>
          <w:rFonts w:ascii="Tahoma" w:eastAsia="Calibri" w:hAnsi="Tahoma" w:cs="Tahoma"/>
          <w:bCs/>
          <w:iCs/>
          <w:sz w:val="18"/>
          <w:szCs w:val="20"/>
          <w:vertAlign w:val="superscript"/>
          <w:lang w:eastAsia="en-US"/>
        </w:rPr>
        <w:t>1</w:t>
      </w:r>
      <w:r w:rsidRPr="00567578">
        <w:rPr>
          <w:rFonts w:ascii="Tahoma" w:eastAsia="Calibri" w:hAnsi="Tahoma" w:cs="Tahoma"/>
          <w:bCs/>
          <w:iCs/>
          <w:sz w:val="18"/>
          <w:szCs w:val="20"/>
          <w:lang w:eastAsia="en-US"/>
        </w:rPr>
        <w:t>Банк – «Азиатско-Тихоокеанский Банк» (Акционерное общество).</w:t>
      </w:r>
    </w:p>
    <w:p w14:paraId="209200BF" w14:textId="77777777" w:rsidR="00567578" w:rsidRPr="00567578" w:rsidRDefault="00567578" w:rsidP="00567578">
      <w:pPr>
        <w:spacing w:after="160"/>
        <w:jc w:val="both"/>
        <w:rPr>
          <w:rFonts w:ascii="Tahoma" w:eastAsia="Calibri" w:hAnsi="Tahoma" w:cs="Tahoma"/>
          <w:bCs/>
          <w:iCs/>
          <w:sz w:val="18"/>
          <w:szCs w:val="20"/>
          <w:lang w:eastAsia="en-US"/>
        </w:rPr>
      </w:pPr>
      <w:r w:rsidRPr="00567578">
        <w:rPr>
          <w:rFonts w:ascii="Tahoma" w:eastAsia="Calibri" w:hAnsi="Tahoma" w:cs="Tahoma"/>
          <w:bCs/>
          <w:iCs/>
          <w:sz w:val="18"/>
          <w:szCs w:val="20"/>
          <w:vertAlign w:val="superscript"/>
          <w:lang w:eastAsia="en-US"/>
        </w:rPr>
        <w:t>2</w:t>
      </w:r>
      <w:r w:rsidRPr="00567578">
        <w:rPr>
          <w:rFonts w:ascii="Tahoma" w:eastAsia="Calibri" w:hAnsi="Tahoma" w:cs="Tahoma"/>
          <w:bCs/>
          <w:iCs/>
          <w:sz w:val="18"/>
          <w:szCs w:val="20"/>
          <w:lang w:eastAsia="en-US"/>
        </w:rPr>
        <w:t>Ограничение по минимальному транзакционному обороту считается с первого полного календарного месяца, следующего за месяцем, в котором Клиенту была выдана Банковская карта в рамках Программы банковских услуг «Статус» и «Статус Плюс».</w:t>
      </w:r>
      <w:r w:rsidRPr="00567578">
        <w:rPr>
          <w:rFonts w:ascii="Tahoma" w:eastAsia="Calibri" w:hAnsi="Tahoma" w:cs="Tahoma"/>
          <w:bCs/>
          <w:iCs/>
          <w:sz w:val="18"/>
          <w:szCs w:val="20"/>
          <w:lang w:eastAsia="en-US"/>
        </w:rPr>
        <w:tab/>
      </w:r>
    </w:p>
    <w:p w14:paraId="1C3360A7" w14:textId="77777777" w:rsidR="00567578" w:rsidRPr="00567578" w:rsidRDefault="00567578" w:rsidP="00567578">
      <w:pPr>
        <w:spacing w:after="160"/>
        <w:jc w:val="both"/>
        <w:rPr>
          <w:rFonts w:ascii="Tahoma" w:eastAsia="Calibri" w:hAnsi="Tahoma" w:cs="Tahoma"/>
          <w:bCs/>
          <w:iCs/>
          <w:sz w:val="18"/>
          <w:szCs w:val="20"/>
          <w:lang w:eastAsia="en-US"/>
        </w:rPr>
      </w:pPr>
      <w:r w:rsidRPr="00567578">
        <w:rPr>
          <w:rFonts w:ascii="Tahoma" w:eastAsia="Calibri" w:hAnsi="Tahoma" w:cs="Tahoma"/>
          <w:bCs/>
          <w:iCs/>
          <w:sz w:val="18"/>
          <w:szCs w:val="20"/>
          <w:vertAlign w:val="superscript"/>
          <w:lang w:eastAsia="en-US"/>
        </w:rPr>
        <w:t>3</w:t>
      </w:r>
      <w:r w:rsidRPr="00567578">
        <w:rPr>
          <w:rFonts w:ascii="Tahoma" w:eastAsia="Calibri" w:hAnsi="Tahoma" w:cs="Tahoma"/>
          <w:bCs/>
          <w:iCs/>
          <w:sz w:val="18"/>
          <w:szCs w:val="20"/>
          <w:lang w:eastAsia="en-US"/>
        </w:rPr>
        <w:t>Если сумма накопленных Баллов превышает лимит списания, указанный в п.2.2.3. Программы, остатком Баллов можно воспользоваться в следующем периоде (месяце).</w:t>
      </w:r>
    </w:p>
    <w:p w14:paraId="7A0FA228" w14:textId="77777777" w:rsidR="00567578" w:rsidRPr="00567578" w:rsidRDefault="00567578" w:rsidP="00567578">
      <w:pPr>
        <w:spacing w:after="160"/>
        <w:jc w:val="both"/>
        <w:rPr>
          <w:rFonts w:ascii="Tahoma" w:eastAsia="Calibri" w:hAnsi="Tahoma" w:cs="Tahoma"/>
          <w:bCs/>
          <w:iCs/>
          <w:sz w:val="18"/>
          <w:szCs w:val="20"/>
          <w:lang w:eastAsia="en-US"/>
        </w:rPr>
      </w:pPr>
      <w:r w:rsidRPr="00567578">
        <w:rPr>
          <w:rFonts w:ascii="Tahoma" w:eastAsia="Calibri" w:hAnsi="Tahoma" w:cs="Tahoma"/>
          <w:bCs/>
          <w:iCs/>
          <w:sz w:val="18"/>
          <w:szCs w:val="20"/>
          <w:vertAlign w:val="superscript"/>
          <w:lang w:eastAsia="en-US"/>
        </w:rPr>
        <w:t>4</w:t>
      </w:r>
      <w:r w:rsidRPr="00567578">
        <w:rPr>
          <w:rFonts w:ascii="Tahoma" w:eastAsia="Calibri" w:hAnsi="Tahoma" w:cs="Tahoma"/>
          <w:bCs/>
          <w:iCs/>
          <w:sz w:val="18"/>
          <w:szCs w:val="20"/>
          <w:lang w:eastAsia="en-US"/>
        </w:rPr>
        <w:t>Под «Заработной платой» понимаются исключительно поступления денежных средств на счет Карты Клиента, которые можно отнести к таковым согласно действующему законодательству Российской Федерации.</w:t>
      </w:r>
    </w:p>
    <w:p w14:paraId="44CCE147" w14:textId="77777777" w:rsidR="00567578" w:rsidRPr="00567578" w:rsidRDefault="00567578" w:rsidP="00567578">
      <w:pPr>
        <w:spacing w:after="160"/>
        <w:jc w:val="both"/>
        <w:rPr>
          <w:rFonts w:ascii="Tahoma" w:eastAsia="Calibri" w:hAnsi="Tahoma" w:cs="Tahoma"/>
          <w:bCs/>
          <w:iCs/>
          <w:sz w:val="18"/>
          <w:szCs w:val="20"/>
          <w:lang w:eastAsia="en-US"/>
        </w:rPr>
      </w:pPr>
      <w:r w:rsidRPr="00567578">
        <w:rPr>
          <w:rFonts w:ascii="Tahoma" w:eastAsia="Calibri" w:hAnsi="Tahoma" w:cs="Tahoma"/>
          <w:bCs/>
          <w:iCs/>
          <w:sz w:val="18"/>
          <w:szCs w:val="20"/>
          <w:vertAlign w:val="superscript"/>
          <w:lang w:eastAsia="en-US"/>
        </w:rPr>
        <w:t>5</w:t>
      </w:r>
      <w:r w:rsidRPr="00567578">
        <w:rPr>
          <w:rFonts w:ascii="Tahoma" w:eastAsia="Calibri" w:hAnsi="Tahoma" w:cs="Tahoma"/>
          <w:bCs/>
          <w:iCs/>
          <w:sz w:val="18"/>
          <w:szCs w:val="20"/>
          <w:lang w:eastAsia="en-US"/>
        </w:rPr>
        <w:t xml:space="preserve">При расчёте Баллов сумма покупки округляется в меньшую сторону до кратной 100 рублям. На остаток суммы транзакции (не кратный 100 рублям) Баллы не начисляются. </w:t>
      </w:r>
    </w:p>
    <w:p w14:paraId="02EB274E" w14:textId="77777777" w:rsidR="00567578" w:rsidRPr="00567578" w:rsidRDefault="00567578" w:rsidP="00567578">
      <w:pPr>
        <w:spacing w:after="160"/>
        <w:jc w:val="both"/>
        <w:rPr>
          <w:rFonts w:ascii="Tahoma" w:eastAsia="Calibri" w:hAnsi="Tahoma" w:cs="Tahoma"/>
          <w:bCs/>
          <w:iCs/>
          <w:sz w:val="18"/>
          <w:szCs w:val="20"/>
          <w:lang w:eastAsia="en-US"/>
        </w:rPr>
      </w:pPr>
      <w:r w:rsidRPr="00567578">
        <w:rPr>
          <w:rFonts w:ascii="Tahoma" w:eastAsia="Calibri" w:hAnsi="Tahoma" w:cs="Tahoma"/>
          <w:bCs/>
          <w:iCs/>
          <w:sz w:val="18"/>
          <w:szCs w:val="20"/>
          <w:vertAlign w:val="superscript"/>
          <w:lang w:eastAsia="en-US"/>
        </w:rPr>
        <w:t>6</w:t>
      </w:r>
      <w:r w:rsidRPr="00567578">
        <w:rPr>
          <w:rFonts w:ascii="Tahoma" w:eastAsia="Calibri" w:hAnsi="Tahoma" w:cs="Tahoma"/>
          <w:bCs/>
          <w:iCs/>
          <w:sz w:val="18"/>
          <w:szCs w:val="20"/>
          <w:lang w:eastAsia="en-US"/>
        </w:rPr>
        <w:t>Клиентом может быть подключена только одна Категория повышенных Баллов в отчётном периоде (месяце). Банк на ежемесячной основе не позднее 25 числа каждого календарного месяца определяет перечень категорий, доступных Клиенту для подключения в Личном кабинете для начисления Баллов за покупки в отдельных категориях на следующий календарный месяц.</w:t>
      </w:r>
    </w:p>
    <w:p w14:paraId="124F8BE5" w14:textId="77777777" w:rsidR="00567578" w:rsidRPr="00567578" w:rsidRDefault="00567578" w:rsidP="00567578">
      <w:pPr>
        <w:spacing w:after="160"/>
        <w:jc w:val="both"/>
        <w:rPr>
          <w:rFonts w:ascii="Tahoma" w:eastAsia="Calibri" w:hAnsi="Tahoma" w:cs="Tahoma"/>
          <w:bCs/>
          <w:iCs/>
          <w:sz w:val="18"/>
          <w:szCs w:val="20"/>
          <w:lang w:eastAsia="en-US"/>
        </w:rPr>
      </w:pPr>
      <w:r w:rsidRPr="00567578">
        <w:rPr>
          <w:rFonts w:ascii="Tahoma" w:eastAsia="Calibri" w:hAnsi="Tahoma" w:cs="Tahoma"/>
          <w:bCs/>
          <w:iCs/>
          <w:sz w:val="18"/>
          <w:szCs w:val="20"/>
          <w:vertAlign w:val="superscript"/>
          <w:lang w:eastAsia="en-US"/>
        </w:rPr>
        <w:t>7</w:t>
      </w:r>
      <w:r w:rsidRPr="00567578">
        <w:rPr>
          <w:rFonts w:ascii="Tahoma" w:eastAsia="Calibri" w:hAnsi="Tahoma" w:cs="Tahoma"/>
          <w:bCs/>
          <w:iCs/>
          <w:sz w:val="18"/>
          <w:szCs w:val="20"/>
          <w:lang w:eastAsia="en-US"/>
        </w:rPr>
        <w:t>Выплата кэшбэка за оплату посещения бизнес-залов аэропортов производится Банком исключительно Клиентам-держателям Программы банковских услуг «Статус», оформленной до 07.10.2024 года, и при предоставлении Клиентом чека за оплату посещения (посещений) бизнес-зала аэропорта и посадочного талона, отправленного Клиентом (в виде читабельной фотографии/скан-копии, по которым однозначно можно определить даты посещения бизнес-зала и перелета, ФИО Клиента, сумму и детали транзакции) до конца месяца, в котором Клиентом совершена оплата посещения бизнес-зала аэропорта, по адресу электронной почты ask@atb.su.</w:t>
      </w:r>
    </w:p>
    <w:p w14:paraId="10B67849" w14:textId="77777777" w:rsidR="00567578" w:rsidRPr="00567578" w:rsidRDefault="00567578" w:rsidP="00567578">
      <w:pPr>
        <w:spacing w:after="160"/>
        <w:jc w:val="both"/>
        <w:rPr>
          <w:rFonts w:ascii="Tahoma" w:eastAsia="Calibri" w:hAnsi="Tahoma" w:cs="Tahoma"/>
          <w:bCs/>
          <w:iCs/>
          <w:sz w:val="18"/>
          <w:szCs w:val="20"/>
          <w:lang w:eastAsia="en-US"/>
        </w:rPr>
      </w:pPr>
      <w:r w:rsidRPr="00567578">
        <w:rPr>
          <w:rFonts w:ascii="Tahoma" w:eastAsia="Calibri" w:hAnsi="Tahoma" w:cs="Tahoma"/>
          <w:bCs/>
          <w:iCs/>
          <w:sz w:val="18"/>
          <w:szCs w:val="20"/>
          <w:vertAlign w:val="superscript"/>
          <w:lang w:eastAsia="en-US"/>
        </w:rPr>
        <w:t>8</w:t>
      </w:r>
      <w:r w:rsidRPr="00567578">
        <w:rPr>
          <w:rFonts w:ascii="Tahoma" w:eastAsia="Calibri" w:hAnsi="Tahoma" w:cs="Tahoma"/>
          <w:bCs/>
          <w:iCs/>
          <w:sz w:val="18"/>
          <w:szCs w:val="20"/>
          <w:lang w:eastAsia="en-US"/>
        </w:rPr>
        <w:t>Кэшбэк – возврат Банком стоимости прохода в бизнес-залы аэропортов, оплаченной Клиентом, в соответствии с разделом 6 Программы. Производится в рублях на Счет Карты Клиента.</w:t>
      </w:r>
    </w:p>
    <w:p w14:paraId="43313374" w14:textId="77777777" w:rsidR="00567578" w:rsidRPr="00567578" w:rsidRDefault="00567578" w:rsidP="00567578">
      <w:pPr>
        <w:spacing w:after="160"/>
        <w:jc w:val="both"/>
        <w:rPr>
          <w:rFonts w:ascii="Tahoma" w:eastAsia="Calibri" w:hAnsi="Tahoma" w:cs="Tahoma"/>
          <w:bCs/>
          <w:iCs/>
          <w:sz w:val="18"/>
          <w:szCs w:val="20"/>
          <w:lang w:eastAsia="en-US"/>
        </w:rPr>
      </w:pPr>
      <w:r w:rsidRPr="00567578">
        <w:rPr>
          <w:rFonts w:ascii="Tahoma" w:eastAsia="Calibri" w:hAnsi="Tahoma" w:cs="Tahoma"/>
          <w:bCs/>
          <w:iCs/>
          <w:sz w:val="18"/>
          <w:szCs w:val="20"/>
          <w:vertAlign w:val="superscript"/>
          <w:lang w:eastAsia="en-US"/>
        </w:rPr>
        <w:t>9</w:t>
      </w:r>
      <w:r w:rsidRPr="00567578">
        <w:rPr>
          <w:rFonts w:ascii="Tahoma" w:eastAsia="Calibri" w:hAnsi="Tahoma" w:cs="Tahoma"/>
          <w:bCs/>
          <w:iCs/>
          <w:sz w:val="18"/>
          <w:szCs w:val="20"/>
          <w:lang w:eastAsia="en-US"/>
        </w:rPr>
        <w:t>Со второго месяца пользования Клиентом Программой банковских услуг «Статус» Банком анализируется выполнение Клиентом условий бесплатного обслуживания по Программе банковских услуг «Статус» согласно п.2.3 Паспорта продукта Программы банковских услуг «Статус», размещённой на Сайте Банка www.atb.su и в Подразделениях Банка. В случае отсутствия выполнения хотя бы одного из условий Клиентом – кэшбэк за оплату посещения бизнес-залов аэропортов Банком не выплачивается (в т.ч. частично).</w:t>
      </w:r>
    </w:p>
    <w:p w14:paraId="518FC60D" w14:textId="77777777" w:rsidR="00567578" w:rsidRPr="00567578" w:rsidRDefault="00567578" w:rsidP="00567578">
      <w:pPr>
        <w:spacing w:after="160"/>
        <w:jc w:val="both"/>
        <w:rPr>
          <w:rFonts w:ascii="Tahoma" w:eastAsia="Calibri" w:hAnsi="Tahoma" w:cs="Tahoma"/>
          <w:bCs/>
          <w:iCs/>
          <w:sz w:val="18"/>
          <w:szCs w:val="20"/>
          <w:lang w:eastAsia="en-US"/>
        </w:rPr>
      </w:pPr>
      <w:r w:rsidRPr="00567578">
        <w:rPr>
          <w:rFonts w:ascii="Tahoma" w:eastAsia="Calibri" w:hAnsi="Tahoma" w:cs="Tahoma"/>
          <w:bCs/>
          <w:iCs/>
          <w:sz w:val="18"/>
          <w:szCs w:val="20"/>
          <w:vertAlign w:val="superscript"/>
          <w:lang w:eastAsia="en-US"/>
        </w:rPr>
        <w:t>10</w:t>
      </w:r>
      <w:r w:rsidRPr="00567578">
        <w:rPr>
          <w:rFonts w:ascii="Tahoma" w:eastAsia="Calibri" w:hAnsi="Tahoma" w:cs="Tahoma"/>
          <w:bCs/>
          <w:iCs/>
          <w:sz w:val="18"/>
          <w:szCs w:val="20"/>
          <w:lang w:eastAsia="en-US"/>
        </w:rPr>
        <w:t>Если Клиент не воспользовался Баллами в течение указанного срока, то они сгорают (списываются) без возможности их использования Клиентом, а также без возможности их возмещения Клиенту.</w:t>
      </w:r>
    </w:p>
    <w:p w14:paraId="13ADC38E" w14:textId="77777777" w:rsidR="00567578" w:rsidRPr="00567578" w:rsidRDefault="00567578" w:rsidP="00567578">
      <w:pPr>
        <w:spacing w:after="160"/>
        <w:jc w:val="both"/>
        <w:rPr>
          <w:rFonts w:ascii="Tahoma" w:eastAsia="Calibri" w:hAnsi="Tahoma" w:cs="Tahoma"/>
          <w:bCs/>
          <w:iCs/>
          <w:sz w:val="18"/>
          <w:szCs w:val="20"/>
          <w:lang w:eastAsia="en-US"/>
        </w:rPr>
      </w:pPr>
      <w:r w:rsidRPr="00567578">
        <w:rPr>
          <w:rFonts w:ascii="Tahoma" w:eastAsia="Calibri" w:hAnsi="Tahoma" w:cs="Tahoma"/>
          <w:bCs/>
          <w:iCs/>
          <w:sz w:val="18"/>
          <w:szCs w:val="20"/>
          <w:lang w:eastAsia="en-US"/>
        </w:rPr>
        <w:t>Термины, значение которым не приведено в Программе, применяются в значении, указанном в Программе лояльности и Универсальном договоре банковского обслуживания физических лиц «Азиатско-Тихоокеанский Банк» (АО), размещенных на Сайте Банка и в Подразделениях Банка.</w:t>
      </w:r>
    </w:p>
    <w:p w14:paraId="3B1A5606" w14:textId="77777777" w:rsidR="0057119A" w:rsidRPr="00B910FA" w:rsidRDefault="0057119A" w:rsidP="0057119A">
      <w:pPr>
        <w:rPr>
          <w:rFonts w:ascii="Tahoma" w:hAnsi="Tahoma" w:cs="Tahoma"/>
          <w:b/>
          <w:bCs/>
          <w:iCs/>
          <w:color w:val="E36C0A"/>
          <w:sz w:val="20"/>
          <w:szCs w:val="20"/>
        </w:rPr>
      </w:pPr>
    </w:p>
    <w:p w14:paraId="6A18B78C" w14:textId="734E4346" w:rsidR="003E2FCA" w:rsidRPr="00697EC0" w:rsidRDefault="00845DEA" w:rsidP="000B3718">
      <w:pPr>
        <w:pStyle w:val="a5"/>
      </w:pPr>
      <w:r>
        <w:t>4.15</w:t>
      </w:r>
      <w:r w:rsidR="003E2FCA">
        <w:t>.</w:t>
      </w:r>
      <w:r w:rsidR="003E2FCA">
        <w:tab/>
      </w:r>
      <w:r w:rsidR="003E2FCA" w:rsidRPr="00697EC0">
        <w:t xml:space="preserve">Бонусная Программа «Стандарт-Бонус </w:t>
      </w:r>
      <w:r w:rsidR="003E2FCA">
        <w:t>Л</w:t>
      </w:r>
      <w:r w:rsidR="003E2FCA" w:rsidRPr="00697EC0">
        <w:t xml:space="preserve">айт» </w:t>
      </w:r>
    </w:p>
    <w:p w14:paraId="51465E62" w14:textId="77777777" w:rsidR="003E2FCA" w:rsidRDefault="003E2FCA" w:rsidP="003E2FCA">
      <w:pPr>
        <w:tabs>
          <w:tab w:val="left" w:pos="851"/>
        </w:tabs>
        <w:jc w:val="both"/>
      </w:pPr>
      <w:r w:rsidRPr="006A10B4">
        <w:rPr>
          <w:rFonts w:ascii="Tahoma" w:hAnsi="Tahoma" w:cs="Tahoma"/>
          <w:b/>
          <w:bCs/>
          <w:iCs/>
          <w:color w:val="E36C0A"/>
          <w:sz w:val="22"/>
          <w:szCs w:val="22"/>
        </w:rPr>
        <w:t>(является неотъемлемой частью Программы лояльности для клиентов-держателей Банковских карт «Азиатско-Тихоокеанский Банк, (АО)»)</w:t>
      </w:r>
      <w:r>
        <w:t xml:space="preserve"> </w:t>
      </w:r>
    </w:p>
    <w:p w14:paraId="139FBE5B" w14:textId="77777777" w:rsidR="003E2FCA" w:rsidRPr="006A10B4" w:rsidRDefault="003E2FCA" w:rsidP="003E2FCA">
      <w:pPr>
        <w:tabs>
          <w:tab w:val="left" w:pos="851"/>
        </w:tabs>
        <w:ind w:firstLine="426"/>
        <w:jc w:val="both"/>
        <w:rPr>
          <w:rFonts w:ascii="Tahoma" w:hAnsi="Tahoma" w:cs="Tahoma"/>
          <w:b/>
          <w:bCs/>
          <w:iCs/>
          <w:color w:val="E36C0A"/>
          <w:sz w:val="22"/>
          <w:szCs w:val="22"/>
        </w:rPr>
      </w:pPr>
    </w:p>
    <w:tbl>
      <w:tblPr>
        <w:tblW w:w="15376" w:type="dxa"/>
        <w:tblLook w:val="04A0" w:firstRow="1" w:lastRow="0" w:firstColumn="1" w:lastColumn="0" w:noHBand="0" w:noVBand="1"/>
      </w:tblPr>
      <w:tblGrid>
        <w:gridCol w:w="716"/>
        <w:gridCol w:w="7538"/>
        <w:gridCol w:w="3561"/>
        <w:gridCol w:w="3561"/>
      </w:tblGrid>
      <w:tr w:rsidR="003E2FCA" w14:paraId="6FD14928" w14:textId="77777777" w:rsidTr="00C720A8">
        <w:trPr>
          <w:trHeight w:val="289"/>
        </w:trPr>
        <w:tc>
          <w:tcPr>
            <w:tcW w:w="716"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bottom"/>
            <w:hideMark/>
          </w:tcPr>
          <w:p w14:paraId="725659FC" w14:textId="77777777" w:rsidR="003E2FCA" w:rsidRDefault="003E2FCA" w:rsidP="00C720A8">
            <w:pPr>
              <w:jc w:val="center"/>
              <w:rPr>
                <w:rFonts w:ascii="Calibri" w:hAnsi="Calibri" w:cs="Calibri"/>
                <w:color w:val="000000"/>
                <w:sz w:val="22"/>
                <w:szCs w:val="22"/>
              </w:rPr>
            </w:pPr>
            <w:r w:rsidRPr="002D06BF">
              <w:rPr>
                <w:rFonts w:ascii="Calibri" w:hAnsi="Calibri" w:cs="Calibri"/>
                <w:color w:val="FFFFFF" w:themeColor="background1"/>
                <w:sz w:val="22"/>
                <w:szCs w:val="22"/>
              </w:rPr>
              <w:t>1.</w:t>
            </w:r>
          </w:p>
        </w:tc>
        <w:tc>
          <w:tcPr>
            <w:tcW w:w="14660" w:type="dxa"/>
            <w:gridSpan w:val="3"/>
            <w:tcBorders>
              <w:top w:val="single" w:sz="4" w:space="0" w:color="auto"/>
              <w:left w:val="single" w:sz="4" w:space="0" w:color="auto"/>
              <w:bottom w:val="single" w:sz="4" w:space="0" w:color="auto"/>
              <w:right w:val="single" w:sz="4" w:space="0" w:color="auto"/>
            </w:tcBorders>
            <w:shd w:val="clear" w:color="000000" w:fill="808080"/>
            <w:vAlign w:val="center"/>
            <w:hideMark/>
          </w:tcPr>
          <w:p w14:paraId="75C709D6" w14:textId="77777777" w:rsidR="003E2FCA" w:rsidRDefault="003E2FCA" w:rsidP="00C720A8">
            <w:pPr>
              <w:ind w:right="4297"/>
              <w:rPr>
                <w:rFonts w:ascii="Tahoma" w:hAnsi="Tahoma" w:cs="Tahoma"/>
                <w:b/>
                <w:bCs/>
                <w:color w:val="FFFFFF"/>
                <w:sz w:val="20"/>
                <w:szCs w:val="20"/>
              </w:rPr>
            </w:pPr>
            <w:r>
              <w:rPr>
                <w:rFonts w:ascii="Tahoma" w:hAnsi="Tahoma" w:cs="Tahoma"/>
                <w:b/>
                <w:bCs/>
                <w:color w:val="FFFFFF"/>
                <w:sz w:val="20"/>
                <w:szCs w:val="20"/>
              </w:rPr>
              <w:t xml:space="preserve">Условия предоставления настоящей Бонусной программы (по тексту – Программа) </w:t>
            </w:r>
          </w:p>
        </w:tc>
      </w:tr>
      <w:tr w:rsidR="003E2FCA" w14:paraId="596F9677" w14:textId="77777777" w:rsidTr="00C720A8">
        <w:trPr>
          <w:trHeight w:val="555"/>
        </w:trPr>
        <w:tc>
          <w:tcPr>
            <w:tcW w:w="7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F06B75" w14:textId="77777777" w:rsidR="003E2FCA" w:rsidRDefault="003E2FCA" w:rsidP="00C720A8">
            <w:pPr>
              <w:jc w:val="center"/>
              <w:rPr>
                <w:rFonts w:ascii="Tahoma" w:hAnsi="Tahoma" w:cs="Tahoma"/>
                <w:sz w:val="20"/>
                <w:szCs w:val="20"/>
              </w:rPr>
            </w:pPr>
            <w:r>
              <w:rPr>
                <w:rFonts w:ascii="Tahoma" w:hAnsi="Tahoma" w:cs="Tahoma"/>
                <w:sz w:val="20"/>
                <w:szCs w:val="20"/>
              </w:rPr>
              <w:t>1.1.</w:t>
            </w:r>
          </w:p>
        </w:tc>
        <w:tc>
          <w:tcPr>
            <w:tcW w:w="7538" w:type="dxa"/>
            <w:tcBorders>
              <w:top w:val="single" w:sz="4" w:space="0" w:color="auto"/>
              <w:left w:val="nil"/>
              <w:bottom w:val="single" w:sz="4" w:space="0" w:color="auto"/>
              <w:right w:val="single" w:sz="4" w:space="0" w:color="auto"/>
            </w:tcBorders>
            <w:shd w:val="clear" w:color="000000" w:fill="FFFFFF"/>
            <w:vAlign w:val="center"/>
            <w:hideMark/>
          </w:tcPr>
          <w:p w14:paraId="04573EF3" w14:textId="77777777" w:rsidR="003E2FCA" w:rsidRPr="002D06BF" w:rsidRDefault="003E2FCA" w:rsidP="00C720A8">
            <w:pPr>
              <w:rPr>
                <w:rFonts w:ascii="Tahoma" w:hAnsi="Tahoma" w:cs="Tahoma"/>
                <w:color w:val="000000"/>
                <w:sz w:val="20"/>
                <w:szCs w:val="20"/>
              </w:rPr>
            </w:pPr>
            <w:r w:rsidRPr="002D06BF">
              <w:rPr>
                <w:rFonts w:ascii="Tahoma" w:hAnsi="Tahoma" w:cs="Tahoma"/>
                <w:color w:val="000000"/>
                <w:sz w:val="20"/>
                <w:szCs w:val="20"/>
              </w:rPr>
              <w:t>Применимые к Программе тарифные планы Банка</w:t>
            </w:r>
            <w:r w:rsidRPr="002D06BF">
              <w:rPr>
                <w:rFonts w:ascii="Tahoma" w:hAnsi="Tahoma" w:cs="Tahoma"/>
                <w:color w:val="000000"/>
                <w:sz w:val="20"/>
                <w:szCs w:val="20"/>
                <w:vertAlign w:val="superscript"/>
              </w:rPr>
              <w:t>1</w:t>
            </w:r>
          </w:p>
        </w:tc>
        <w:tc>
          <w:tcPr>
            <w:tcW w:w="7122" w:type="dxa"/>
            <w:gridSpan w:val="2"/>
            <w:tcBorders>
              <w:top w:val="single" w:sz="4" w:space="0" w:color="auto"/>
              <w:left w:val="nil"/>
              <w:bottom w:val="single" w:sz="4" w:space="0" w:color="auto"/>
              <w:right w:val="single" w:sz="4" w:space="0" w:color="auto"/>
            </w:tcBorders>
            <w:shd w:val="clear" w:color="auto" w:fill="auto"/>
            <w:vAlign w:val="center"/>
            <w:hideMark/>
          </w:tcPr>
          <w:p w14:paraId="2216A2C8" w14:textId="77777777" w:rsidR="003E2FCA" w:rsidRPr="002C688F" w:rsidRDefault="003E2FCA" w:rsidP="00C720A8">
            <w:pPr>
              <w:jc w:val="center"/>
              <w:rPr>
                <w:rFonts w:ascii="Tahoma" w:hAnsi="Tahoma" w:cs="Tahoma"/>
                <w:sz w:val="20"/>
                <w:szCs w:val="20"/>
              </w:rPr>
            </w:pPr>
            <w:r w:rsidRPr="007947FD">
              <w:rPr>
                <w:rFonts w:ascii="Tahoma" w:hAnsi="Tahoma" w:cs="Tahoma"/>
                <w:sz w:val="20"/>
                <w:szCs w:val="20"/>
              </w:rPr>
              <w:t>Тарифные планы: Особый статус, Единая карта сахалинца, Приморец, Кампус, АТБ карта (Единая карта сахалинца), АТБ карта (Соц</w:t>
            </w:r>
            <w:r>
              <w:rPr>
                <w:rFonts w:ascii="Tahoma" w:hAnsi="Tahoma" w:cs="Tahoma"/>
                <w:sz w:val="20"/>
                <w:szCs w:val="20"/>
              </w:rPr>
              <w:t>иальная карта Амурской области)</w:t>
            </w:r>
          </w:p>
        </w:tc>
      </w:tr>
      <w:tr w:rsidR="003E2FCA" w14:paraId="2D8FE4E6" w14:textId="77777777" w:rsidTr="00C720A8">
        <w:trPr>
          <w:trHeight w:val="76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28EC3BD5" w14:textId="77777777" w:rsidR="003E2FCA" w:rsidRDefault="003E2FCA" w:rsidP="00C720A8">
            <w:pPr>
              <w:jc w:val="center"/>
              <w:rPr>
                <w:rFonts w:ascii="Tahoma" w:hAnsi="Tahoma" w:cs="Tahoma"/>
                <w:sz w:val="20"/>
                <w:szCs w:val="20"/>
              </w:rPr>
            </w:pPr>
            <w:r>
              <w:rPr>
                <w:rFonts w:ascii="Tahoma" w:hAnsi="Tahoma" w:cs="Tahoma"/>
                <w:sz w:val="20"/>
                <w:szCs w:val="20"/>
              </w:rPr>
              <w:t>1.2.</w:t>
            </w:r>
          </w:p>
        </w:tc>
        <w:tc>
          <w:tcPr>
            <w:tcW w:w="7538" w:type="dxa"/>
            <w:tcBorders>
              <w:top w:val="nil"/>
              <w:left w:val="nil"/>
              <w:bottom w:val="single" w:sz="4" w:space="0" w:color="auto"/>
              <w:right w:val="single" w:sz="4" w:space="0" w:color="auto"/>
            </w:tcBorders>
            <w:shd w:val="clear" w:color="000000" w:fill="FFFFFF"/>
            <w:vAlign w:val="center"/>
            <w:hideMark/>
          </w:tcPr>
          <w:p w14:paraId="09C023BD" w14:textId="77777777" w:rsidR="003E2FCA" w:rsidRPr="002D06BF" w:rsidRDefault="003E2FCA" w:rsidP="00C720A8">
            <w:pPr>
              <w:rPr>
                <w:rFonts w:ascii="Tahoma" w:hAnsi="Tahoma" w:cs="Tahoma"/>
                <w:sz w:val="20"/>
                <w:szCs w:val="20"/>
              </w:rPr>
            </w:pPr>
            <w:r w:rsidRPr="002D06BF">
              <w:rPr>
                <w:rFonts w:ascii="Tahoma" w:hAnsi="Tahoma" w:cs="Tahoma"/>
                <w:sz w:val="20"/>
                <w:szCs w:val="20"/>
              </w:rPr>
              <w:t>Общие условия Программы</w:t>
            </w:r>
          </w:p>
        </w:tc>
        <w:tc>
          <w:tcPr>
            <w:tcW w:w="7122" w:type="dxa"/>
            <w:gridSpan w:val="2"/>
            <w:tcBorders>
              <w:top w:val="single" w:sz="4" w:space="0" w:color="auto"/>
              <w:left w:val="nil"/>
              <w:bottom w:val="single" w:sz="4" w:space="0" w:color="auto"/>
              <w:right w:val="single" w:sz="4" w:space="0" w:color="000000"/>
            </w:tcBorders>
            <w:shd w:val="clear" w:color="auto" w:fill="auto"/>
            <w:vAlign w:val="center"/>
            <w:hideMark/>
          </w:tcPr>
          <w:p w14:paraId="2B27B678" w14:textId="77777777" w:rsidR="003E2FCA" w:rsidRPr="002D06BF" w:rsidRDefault="003E2FCA" w:rsidP="00C720A8">
            <w:pPr>
              <w:jc w:val="center"/>
              <w:rPr>
                <w:rFonts w:ascii="Tahoma" w:hAnsi="Tahoma" w:cs="Tahoma"/>
                <w:color w:val="000000"/>
                <w:sz w:val="20"/>
                <w:szCs w:val="20"/>
              </w:rPr>
            </w:pPr>
            <w:r w:rsidRPr="002D06BF">
              <w:rPr>
                <w:rFonts w:ascii="Tahoma" w:hAnsi="Tahoma" w:cs="Tahoma"/>
                <w:color w:val="000000"/>
                <w:sz w:val="20"/>
                <w:szCs w:val="20"/>
              </w:rPr>
              <w:t>В соответствии с Программой лояльности для клиентов-держателей Банковских карт «Азиатско-Тихоокеанский Банк (АО)», размещенной на Сайте Банка www.atb.su и в Подразделениях Банка (по тексту – Программа лояльности).</w:t>
            </w:r>
          </w:p>
        </w:tc>
      </w:tr>
      <w:tr w:rsidR="003E2FCA" w14:paraId="45487FBC" w14:textId="77777777" w:rsidTr="00C720A8">
        <w:trPr>
          <w:trHeight w:val="51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044D1417" w14:textId="77777777" w:rsidR="003E2FCA" w:rsidRDefault="003E2FCA" w:rsidP="00C720A8">
            <w:pPr>
              <w:jc w:val="center"/>
              <w:rPr>
                <w:rFonts w:ascii="Tahoma" w:hAnsi="Tahoma" w:cs="Tahoma"/>
                <w:sz w:val="20"/>
                <w:szCs w:val="20"/>
              </w:rPr>
            </w:pPr>
            <w:r>
              <w:rPr>
                <w:rFonts w:ascii="Tahoma" w:hAnsi="Tahoma" w:cs="Tahoma"/>
                <w:sz w:val="20"/>
                <w:szCs w:val="20"/>
              </w:rPr>
              <w:t>1.3.</w:t>
            </w:r>
          </w:p>
        </w:tc>
        <w:tc>
          <w:tcPr>
            <w:tcW w:w="7538" w:type="dxa"/>
            <w:tcBorders>
              <w:top w:val="nil"/>
              <w:left w:val="nil"/>
              <w:bottom w:val="single" w:sz="4" w:space="0" w:color="auto"/>
              <w:right w:val="single" w:sz="4" w:space="0" w:color="auto"/>
            </w:tcBorders>
            <w:shd w:val="clear" w:color="000000" w:fill="FFFFFF"/>
            <w:vAlign w:val="center"/>
            <w:hideMark/>
          </w:tcPr>
          <w:p w14:paraId="1C08633D" w14:textId="77777777" w:rsidR="003E2FCA" w:rsidRPr="002D06BF" w:rsidRDefault="003E2FCA" w:rsidP="00C720A8">
            <w:pPr>
              <w:rPr>
                <w:rFonts w:ascii="Tahoma" w:hAnsi="Tahoma" w:cs="Tahoma"/>
                <w:sz w:val="20"/>
                <w:szCs w:val="20"/>
              </w:rPr>
            </w:pPr>
            <w:r w:rsidRPr="002D06BF">
              <w:rPr>
                <w:rFonts w:ascii="Tahoma" w:hAnsi="Tahoma" w:cs="Tahoma"/>
                <w:sz w:val="20"/>
                <w:szCs w:val="20"/>
              </w:rPr>
              <w:t>Условная единица, используемая Банком для расчета размера выплаты денежных средств по Программе лояльности</w:t>
            </w:r>
          </w:p>
        </w:tc>
        <w:tc>
          <w:tcPr>
            <w:tcW w:w="7122" w:type="dxa"/>
            <w:gridSpan w:val="2"/>
            <w:tcBorders>
              <w:top w:val="single" w:sz="4" w:space="0" w:color="auto"/>
              <w:left w:val="nil"/>
              <w:bottom w:val="single" w:sz="4" w:space="0" w:color="auto"/>
              <w:right w:val="single" w:sz="4" w:space="0" w:color="000000"/>
            </w:tcBorders>
            <w:shd w:val="clear" w:color="auto" w:fill="auto"/>
            <w:vAlign w:val="center"/>
            <w:hideMark/>
          </w:tcPr>
          <w:p w14:paraId="08D3ED6F" w14:textId="77777777" w:rsidR="003E2FCA" w:rsidRPr="002D06BF" w:rsidRDefault="003E2FCA" w:rsidP="00C720A8">
            <w:pPr>
              <w:jc w:val="center"/>
              <w:rPr>
                <w:rFonts w:ascii="Tahoma" w:hAnsi="Tahoma" w:cs="Tahoma"/>
                <w:color w:val="000000"/>
                <w:sz w:val="20"/>
                <w:szCs w:val="20"/>
              </w:rPr>
            </w:pPr>
            <w:r w:rsidRPr="002D06BF">
              <w:rPr>
                <w:rFonts w:ascii="Tahoma" w:hAnsi="Tahoma" w:cs="Tahoma"/>
                <w:color w:val="000000"/>
                <w:sz w:val="20"/>
                <w:szCs w:val="20"/>
              </w:rPr>
              <w:t>Балл</w:t>
            </w:r>
          </w:p>
        </w:tc>
      </w:tr>
      <w:tr w:rsidR="003E2FCA" w14:paraId="27296075" w14:textId="77777777" w:rsidTr="00C720A8">
        <w:trPr>
          <w:trHeight w:val="51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095922EC" w14:textId="77777777" w:rsidR="003E2FCA" w:rsidRDefault="003E2FCA" w:rsidP="00C720A8">
            <w:pPr>
              <w:jc w:val="center"/>
              <w:rPr>
                <w:rFonts w:ascii="Tahoma" w:hAnsi="Tahoma" w:cs="Tahoma"/>
                <w:sz w:val="20"/>
                <w:szCs w:val="20"/>
              </w:rPr>
            </w:pPr>
            <w:r>
              <w:rPr>
                <w:rFonts w:ascii="Tahoma" w:hAnsi="Tahoma" w:cs="Tahoma"/>
                <w:sz w:val="20"/>
                <w:szCs w:val="20"/>
              </w:rPr>
              <w:t>1.4.</w:t>
            </w:r>
          </w:p>
        </w:tc>
        <w:tc>
          <w:tcPr>
            <w:tcW w:w="7538" w:type="dxa"/>
            <w:tcBorders>
              <w:top w:val="nil"/>
              <w:left w:val="nil"/>
              <w:bottom w:val="single" w:sz="4" w:space="0" w:color="auto"/>
              <w:right w:val="single" w:sz="4" w:space="0" w:color="auto"/>
            </w:tcBorders>
            <w:shd w:val="clear" w:color="000000" w:fill="FFFFFF"/>
            <w:vAlign w:val="center"/>
            <w:hideMark/>
          </w:tcPr>
          <w:p w14:paraId="3B9D601F" w14:textId="77777777" w:rsidR="003E2FCA" w:rsidRPr="002D06BF" w:rsidRDefault="003E2FCA" w:rsidP="00C720A8">
            <w:pPr>
              <w:rPr>
                <w:rFonts w:ascii="Tahoma" w:hAnsi="Tahoma" w:cs="Tahoma"/>
                <w:sz w:val="20"/>
                <w:szCs w:val="20"/>
              </w:rPr>
            </w:pPr>
            <w:r w:rsidRPr="002D06BF">
              <w:rPr>
                <w:rFonts w:ascii="Tahoma" w:hAnsi="Tahoma" w:cs="Tahoma"/>
                <w:sz w:val="20"/>
                <w:szCs w:val="20"/>
              </w:rPr>
              <w:t>Принцип выплаты рассчитанн</w:t>
            </w:r>
            <w:r w:rsidRPr="002D06BF">
              <w:rPr>
                <w:rFonts w:ascii="Tahoma" w:hAnsi="Tahoma" w:cs="Tahoma"/>
                <w:color w:val="000000"/>
                <w:sz w:val="20"/>
                <w:szCs w:val="20"/>
              </w:rPr>
              <w:t>ых Баллов</w:t>
            </w:r>
          </w:p>
        </w:tc>
        <w:tc>
          <w:tcPr>
            <w:tcW w:w="7122" w:type="dxa"/>
            <w:gridSpan w:val="2"/>
            <w:tcBorders>
              <w:top w:val="single" w:sz="4" w:space="0" w:color="auto"/>
              <w:left w:val="nil"/>
              <w:bottom w:val="single" w:sz="4" w:space="0" w:color="auto"/>
              <w:right w:val="single" w:sz="4" w:space="0" w:color="000000"/>
            </w:tcBorders>
            <w:shd w:val="clear" w:color="auto" w:fill="auto"/>
            <w:vAlign w:val="center"/>
            <w:hideMark/>
          </w:tcPr>
          <w:p w14:paraId="1F7D5B6E" w14:textId="77777777" w:rsidR="003E2FCA" w:rsidRPr="002D06BF" w:rsidRDefault="003E2FCA" w:rsidP="00C720A8">
            <w:pPr>
              <w:jc w:val="center"/>
              <w:rPr>
                <w:rFonts w:ascii="Tahoma" w:hAnsi="Tahoma" w:cs="Tahoma"/>
                <w:sz w:val="20"/>
                <w:szCs w:val="20"/>
              </w:rPr>
            </w:pPr>
            <w:r w:rsidRPr="002D06BF">
              <w:rPr>
                <w:rFonts w:ascii="Tahoma" w:hAnsi="Tahoma" w:cs="Tahoma"/>
                <w:sz w:val="20"/>
                <w:szCs w:val="20"/>
              </w:rPr>
              <w:t xml:space="preserve">Зачисление Баллов производится ежемесячно на специальный бонусный счет Участника в Личном кабинете </w:t>
            </w:r>
            <w:r w:rsidRPr="002D06BF">
              <w:rPr>
                <w:rFonts w:ascii="Tahoma" w:hAnsi="Tahoma" w:cs="Tahoma"/>
                <w:sz w:val="20"/>
                <w:szCs w:val="20"/>
              </w:rPr>
              <w:br/>
              <w:t>(по тексту – Бонусный счет) в порядке и в сроки, указанные в Программе лояльности.</w:t>
            </w:r>
          </w:p>
        </w:tc>
      </w:tr>
      <w:tr w:rsidR="003E2FCA" w14:paraId="62692FEB" w14:textId="77777777" w:rsidTr="00C720A8">
        <w:trPr>
          <w:trHeight w:val="300"/>
        </w:trPr>
        <w:tc>
          <w:tcPr>
            <w:tcW w:w="716" w:type="dxa"/>
            <w:tcBorders>
              <w:top w:val="nil"/>
              <w:left w:val="single" w:sz="4" w:space="0" w:color="auto"/>
              <w:bottom w:val="single" w:sz="4" w:space="0" w:color="auto"/>
              <w:right w:val="single" w:sz="4" w:space="0" w:color="auto"/>
            </w:tcBorders>
            <w:shd w:val="clear" w:color="000000" w:fill="808080"/>
            <w:noWrap/>
            <w:vAlign w:val="center"/>
            <w:hideMark/>
          </w:tcPr>
          <w:p w14:paraId="796625A4" w14:textId="77777777" w:rsidR="003E2FCA" w:rsidRDefault="003E2FCA" w:rsidP="00C720A8">
            <w:pPr>
              <w:jc w:val="center"/>
              <w:rPr>
                <w:rFonts w:ascii="Tahoma" w:hAnsi="Tahoma" w:cs="Tahoma"/>
                <w:b/>
                <w:bCs/>
                <w:color w:val="FFFFFF"/>
                <w:sz w:val="20"/>
                <w:szCs w:val="20"/>
              </w:rPr>
            </w:pPr>
            <w:r>
              <w:rPr>
                <w:rFonts w:ascii="Tahoma" w:hAnsi="Tahoma" w:cs="Tahoma"/>
                <w:b/>
                <w:bCs/>
                <w:color w:val="FFFFFF"/>
                <w:sz w:val="20"/>
                <w:szCs w:val="20"/>
              </w:rPr>
              <w:t>2.</w:t>
            </w:r>
          </w:p>
        </w:tc>
        <w:tc>
          <w:tcPr>
            <w:tcW w:w="14660" w:type="dxa"/>
            <w:gridSpan w:val="3"/>
            <w:tcBorders>
              <w:top w:val="single" w:sz="4" w:space="0" w:color="auto"/>
              <w:left w:val="nil"/>
              <w:bottom w:val="single" w:sz="4" w:space="0" w:color="auto"/>
              <w:right w:val="single" w:sz="4" w:space="0" w:color="000000"/>
            </w:tcBorders>
            <w:shd w:val="clear" w:color="000000" w:fill="808080"/>
            <w:noWrap/>
            <w:vAlign w:val="center"/>
            <w:hideMark/>
          </w:tcPr>
          <w:p w14:paraId="5EBF0D2C" w14:textId="77777777" w:rsidR="003E2FCA" w:rsidRDefault="003E2FCA" w:rsidP="00C720A8">
            <w:pPr>
              <w:rPr>
                <w:rFonts w:ascii="Tahoma" w:hAnsi="Tahoma" w:cs="Tahoma"/>
                <w:b/>
                <w:bCs/>
                <w:color w:val="FFFFFF"/>
                <w:sz w:val="20"/>
                <w:szCs w:val="20"/>
              </w:rPr>
            </w:pPr>
            <w:r>
              <w:rPr>
                <w:rFonts w:ascii="Tahoma" w:hAnsi="Tahoma" w:cs="Tahoma"/>
                <w:b/>
                <w:bCs/>
                <w:color w:val="FFFFFF"/>
                <w:sz w:val="20"/>
                <w:szCs w:val="20"/>
              </w:rPr>
              <w:t>Ограничения применимости</w:t>
            </w:r>
          </w:p>
        </w:tc>
      </w:tr>
      <w:tr w:rsidR="003E2FCA" w14:paraId="17073EED" w14:textId="77777777" w:rsidTr="00C720A8">
        <w:trPr>
          <w:trHeight w:val="630"/>
        </w:trPr>
        <w:tc>
          <w:tcPr>
            <w:tcW w:w="716" w:type="dxa"/>
            <w:tcBorders>
              <w:top w:val="nil"/>
              <w:left w:val="single" w:sz="4" w:space="0" w:color="auto"/>
              <w:bottom w:val="single" w:sz="4" w:space="0" w:color="auto"/>
              <w:right w:val="single" w:sz="4" w:space="0" w:color="auto"/>
            </w:tcBorders>
            <w:shd w:val="clear" w:color="000000" w:fill="FFFFFF"/>
            <w:noWrap/>
            <w:vAlign w:val="center"/>
            <w:hideMark/>
          </w:tcPr>
          <w:p w14:paraId="78602987" w14:textId="77777777" w:rsidR="003E2FCA" w:rsidRDefault="003E2FCA" w:rsidP="00C720A8">
            <w:pPr>
              <w:jc w:val="center"/>
              <w:rPr>
                <w:rFonts w:ascii="Tahoma" w:hAnsi="Tahoma" w:cs="Tahoma"/>
                <w:sz w:val="20"/>
                <w:szCs w:val="20"/>
              </w:rPr>
            </w:pPr>
            <w:r>
              <w:rPr>
                <w:rFonts w:ascii="Tahoma" w:hAnsi="Tahoma" w:cs="Tahoma"/>
                <w:sz w:val="20"/>
                <w:szCs w:val="20"/>
              </w:rPr>
              <w:t>2.1.</w:t>
            </w:r>
          </w:p>
        </w:tc>
        <w:tc>
          <w:tcPr>
            <w:tcW w:w="7538" w:type="dxa"/>
            <w:tcBorders>
              <w:top w:val="nil"/>
              <w:left w:val="nil"/>
              <w:bottom w:val="single" w:sz="4" w:space="0" w:color="auto"/>
              <w:right w:val="single" w:sz="4" w:space="0" w:color="auto"/>
            </w:tcBorders>
            <w:shd w:val="clear" w:color="000000" w:fill="FFFFFF"/>
            <w:vAlign w:val="center"/>
            <w:hideMark/>
          </w:tcPr>
          <w:p w14:paraId="1C26141C" w14:textId="77777777" w:rsidR="003E2FCA" w:rsidRPr="002D06BF" w:rsidRDefault="003E2FCA" w:rsidP="00C720A8">
            <w:pPr>
              <w:rPr>
                <w:rFonts w:ascii="Tahoma" w:hAnsi="Tahoma" w:cs="Tahoma"/>
                <w:sz w:val="20"/>
                <w:szCs w:val="20"/>
              </w:rPr>
            </w:pPr>
            <w:r w:rsidRPr="002D06BF">
              <w:rPr>
                <w:rFonts w:ascii="Tahoma" w:hAnsi="Tahoma" w:cs="Tahoma"/>
                <w:sz w:val="20"/>
                <w:szCs w:val="20"/>
              </w:rPr>
              <w:t>Общие ограничения применимости Программы, участия, расчета и начисления баллов</w:t>
            </w:r>
          </w:p>
        </w:tc>
        <w:tc>
          <w:tcPr>
            <w:tcW w:w="7122" w:type="dxa"/>
            <w:gridSpan w:val="2"/>
            <w:tcBorders>
              <w:top w:val="single" w:sz="4" w:space="0" w:color="auto"/>
              <w:left w:val="nil"/>
              <w:bottom w:val="single" w:sz="4" w:space="0" w:color="auto"/>
              <w:right w:val="single" w:sz="4" w:space="0" w:color="000000"/>
            </w:tcBorders>
            <w:shd w:val="clear" w:color="auto" w:fill="auto"/>
            <w:vAlign w:val="center"/>
            <w:hideMark/>
          </w:tcPr>
          <w:p w14:paraId="7BDE3795" w14:textId="77777777" w:rsidR="003E2FCA" w:rsidRPr="002D06BF" w:rsidRDefault="003E2FCA" w:rsidP="00C720A8">
            <w:pPr>
              <w:jc w:val="center"/>
              <w:rPr>
                <w:rFonts w:ascii="Tahoma" w:hAnsi="Tahoma" w:cs="Tahoma"/>
                <w:sz w:val="20"/>
                <w:szCs w:val="20"/>
              </w:rPr>
            </w:pPr>
            <w:r w:rsidRPr="002D06BF">
              <w:rPr>
                <w:rFonts w:ascii="Tahoma" w:hAnsi="Tahoma" w:cs="Tahoma"/>
                <w:sz w:val="20"/>
                <w:szCs w:val="20"/>
              </w:rPr>
              <w:t>В соответствии с Программой лояльности</w:t>
            </w:r>
          </w:p>
        </w:tc>
      </w:tr>
      <w:tr w:rsidR="003E2FCA" w14:paraId="3FBF0848" w14:textId="77777777" w:rsidTr="00C720A8">
        <w:trPr>
          <w:trHeight w:val="300"/>
        </w:trPr>
        <w:tc>
          <w:tcPr>
            <w:tcW w:w="716" w:type="dxa"/>
            <w:tcBorders>
              <w:top w:val="nil"/>
              <w:left w:val="single" w:sz="4" w:space="0" w:color="auto"/>
              <w:bottom w:val="single" w:sz="4" w:space="0" w:color="auto"/>
              <w:right w:val="single" w:sz="4" w:space="0" w:color="auto"/>
            </w:tcBorders>
            <w:shd w:val="clear" w:color="000000" w:fill="FFFFFF"/>
            <w:noWrap/>
            <w:vAlign w:val="center"/>
            <w:hideMark/>
          </w:tcPr>
          <w:p w14:paraId="0C05BDE0" w14:textId="77777777" w:rsidR="003E2FCA" w:rsidRDefault="003E2FCA" w:rsidP="00C720A8">
            <w:pPr>
              <w:jc w:val="center"/>
              <w:rPr>
                <w:rFonts w:ascii="Tahoma" w:hAnsi="Tahoma" w:cs="Tahoma"/>
                <w:sz w:val="20"/>
                <w:szCs w:val="20"/>
              </w:rPr>
            </w:pPr>
            <w:r>
              <w:rPr>
                <w:rFonts w:ascii="Tahoma" w:hAnsi="Tahoma" w:cs="Tahoma"/>
                <w:sz w:val="20"/>
                <w:szCs w:val="20"/>
              </w:rPr>
              <w:t>2.2.</w:t>
            </w:r>
          </w:p>
        </w:tc>
        <w:tc>
          <w:tcPr>
            <w:tcW w:w="7538" w:type="dxa"/>
            <w:tcBorders>
              <w:top w:val="nil"/>
              <w:left w:val="nil"/>
              <w:bottom w:val="single" w:sz="4" w:space="0" w:color="auto"/>
              <w:right w:val="single" w:sz="4" w:space="0" w:color="auto"/>
            </w:tcBorders>
            <w:shd w:val="clear" w:color="000000" w:fill="FFFFFF"/>
            <w:vAlign w:val="center"/>
            <w:hideMark/>
          </w:tcPr>
          <w:p w14:paraId="5352018E" w14:textId="77777777" w:rsidR="003E2FCA" w:rsidRPr="002D06BF" w:rsidRDefault="003E2FCA" w:rsidP="00C720A8">
            <w:pPr>
              <w:rPr>
                <w:rFonts w:ascii="Tahoma" w:hAnsi="Tahoma" w:cs="Tahoma"/>
                <w:sz w:val="20"/>
                <w:szCs w:val="20"/>
              </w:rPr>
            </w:pPr>
            <w:r w:rsidRPr="002D06BF">
              <w:rPr>
                <w:rFonts w:ascii="Tahoma" w:hAnsi="Tahoma" w:cs="Tahoma"/>
                <w:sz w:val="20"/>
                <w:szCs w:val="20"/>
              </w:rPr>
              <w:t>Максимальная сумма одной транзакции для расчета Баллов, в месяц</w:t>
            </w:r>
          </w:p>
        </w:tc>
        <w:tc>
          <w:tcPr>
            <w:tcW w:w="7122" w:type="dxa"/>
            <w:gridSpan w:val="2"/>
            <w:tcBorders>
              <w:top w:val="single" w:sz="4" w:space="0" w:color="auto"/>
              <w:left w:val="nil"/>
              <w:bottom w:val="single" w:sz="4" w:space="0" w:color="auto"/>
              <w:right w:val="single" w:sz="4" w:space="0" w:color="000000"/>
            </w:tcBorders>
            <w:shd w:val="clear" w:color="000000" w:fill="FFFFFF"/>
            <w:noWrap/>
            <w:vAlign w:val="center"/>
            <w:hideMark/>
          </w:tcPr>
          <w:p w14:paraId="0C1293DC" w14:textId="77777777" w:rsidR="003E2FCA" w:rsidRPr="002D06BF" w:rsidRDefault="003E2FCA" w:rsidP="00C720A8">
            <w:pPr>
              <w:jc w:val="center"/>
              <w:rPr>
                <w:rFonts w:ascii="Tahoma" w:hAnsi="Tahoma" w:cs="Tahoma"/>
                <w:sz w:val="20"/>
                <w:szCs w:val="20"/>
              </w:rPr>
            </w:pPr>
            <w:r w:rsidRPr="002D06BF">
              <w:rPr>
                <w:rFonts w:ascii="Tahoma" w:hAnsi="Tahoma" w:cs="Tahoma"/>
                <w:sz w:val="20"/>
                <w:szCs w:val="20"/>
              </w:rPr>
              <w:t>без ограничений</w:t>
            </w:r>
          </w:p>
        </w:tc>
      </w:tr>
      <w:tr w:rsidR="003E2FCA" w14:paraId="1CA7CB29" w14:textId="77777777" w:rsidTr="00C720A8">
        <w:trPr>
          <w:trHeight w:val="960"/>
        </w:trPr>
        <w:tc>
          <w:tcPr>
            <w:tcW w:w="716" w:type="dxa"/>
            <w:tcBorders>
              <w:top w:val="nil"/>
              <w:left w:val="single" w:sz="4" w:space="0" w:color="auto"/>
              <w:bottom w:val="single" w:sz="4" w:space="0" w:color="auto"/>
              <w:right w:val="single" w:sz="4" w:space="0" w:color="auto"/>
            </w:tcBorders>
            <w:shd w:val="clear" w:color="000000" w:fill="FFFFFF"/>
            <w:noWrap/>
            <w:vAlign w:val="center"/>
            <w:hideMark/>
          </w:tcPr>
          <w:p w14:paraId="1EAD9630" w14:textId="77777777" w:rsidR="003E2FCA" w:rsidRDefault="003E2FCA" w:rsidP="00C720A8">
            <w:pPr>
              <w:jc w:val="center"/>
              <w:rPr>
                <w:rFonts w:ascii="Tahoma" w:hAnsi="Tahoma" w:cs="Tahoma"/>
                <w:sz w:val="20"/>
                <w:szCs w:val="20"/>
              </w:rPr>
            </w:pPr>
            <w:r>
              <w:rPr>
                <w:rFonts w:ascii="Tahoma" w:hAnsi="Tahoma" w:cs="Tahoma"/>
                <w:sz w:val="20"/>
                <w:szCs w:val="20"/>
              </w:rPr>
              <w:t>2.3.</w:t>
            </w:r>
          </w:p>
        </w:tc>
        <w:tc>
          <w:tcPr>
            <w:tcW w:w="7538" w:type="dxa"/>
            <w:tcBorders>
              <w:top w:val="nil"/>
              <w:left w:val="nil"/>
              <w:bottom w:val="single" w:sz="4" w:space="0" w:color="auto"/>
              <w:right w:val="single" w:sz="4" w:space="0" w:color="auto"/>
            </w:tcBorders>
            <w:shd w:val="clear" w:color="000000" w:fill="FFFFFF"/>
            <w:vAlign w:val="center"/>
            <w:hideMark/>
          </w:tcPr>
          <w:p w14:paraId="046775B9" w14:textId="77777777" w:rsidR="003E2FCA" w:rsidRPr="002D06BF" w:rsidRDefault="003E2FCA" w:rsidP="00C720A8">
            <w:pPr>
              <w:rPr>
                <w:rFonts w:ascii="Tahoma" w:hAnsi="Tahoma" w:cs="Tahoma"/>
                <w:sz w:val="20"/>
                <w:szCs w:val="20"/>
              </w:rPr>
            </w:pPr>
            <w:r w:rsidRPr="002D06BF">
              <w:rPr>
                <w:rFonts w:ascii="Tahoma" w:hAnsi="Tahoma" w:cs="Tahoma"/>
                <w:sz w:val="20"/>
                <w:szCs w:val="20"/>
              </w:rPr>
              <w:t>Необходимый минимальный транзакционный оборот для начисления Баллов по каждому Счету карты Клиента</w:t>
            </w:r>
            <w:r w:rsidRPr="002D06BF">
              <w:rPr>
                <w:rFonts w:ascii="Tahoma" w:hAnsi="Tahoma" w:cs="Tahoma"/>
                <w:sz w:val="20"/>
                <w:szCs w:val="20"/>
                <w:vertAlign w:val="superscript"/>
              </w:rPr>
              <w:t>4</w:t>
            </w:r>
            <w:r w:rsidRPr="002D06BF">
              <w:rPr>
                <w:rFonts w:ascii="Tahoma" w:hAnsi="Tahoma" w:cs="Tahoma"/>
                <w:sz w:val="20"/>
                <w:szCs w:val="20"/>
              </w:rPr>
              <w:t>, соответствующему одному из тарифных планов, указанных в п.1.1. Программы, в месяц</w:t>
            </w:r>
            <w:r w:rsidRPr="002D06BF">
              <w:rPr>
                <w:rFonts w:ascii="Tahoma" w:hAnsi="Tahoma" w:cs="Tahoma"/>
                <w:sz w:val="20"/>
                <w:szCs w:val="20"/>
                <w:vertAlign w:val="superscript"/>
              </w:rPr>
              <w:t>5</w:t>
            </w:r>
          </w:p>
        </w:tc>
        <w:tc>
          <w:tcPr>
            <w:tcW w:w="7122" w:type="dxa"/>
            <w:gridSpan w:val="2"/>
            <w:tcBorders>
              <w:top w:val="single" w:sz="4" w:space="0" w:color="auto"/>
              <w:left w:val="nil"/>
              <w:bottom w:val="single" w:sz="4" w:space="0" w:color="auto"/>
              <w:right w:val="single" w:sz="4" w:space="0" w:color="000000"/>
            </w:tcBorders>
            <w:shd w:val="clear" w:color="000000" w:fill="FFFFFF"/>
            <w:vAlign w:val="center"/>
            <w:hideMark/>
          </w:tcPr>
          <w:p w14:paraId="101BFC39" w14:textId="77777777" w:rsidR="003E2FCA" w:rsidRPr="002D06BF" w:rsidRDefault="003E2FCA" w:rsidP="00C720A8">
            <w:pPr>
              <w:jc w:val="center"/>
              <w:rPr>
                <w:rFonts w:ascii="Tahoma" w:hAnsi="Tahoma" w:cs="Tahoma"/>
                <w:sz w:val="20"/>
                <w:szCs w:val="20"/>
              </w:rPr>
            </w:pPr>
            <w:r w:rsidRPr="002D06BF">
              <w:rPr>
                <w:rFonts w:ascii="Tahoma" w:hAnsi="Tahoma" w:cs="Tahoma"/>
                <w:sz w:val="20"/>
                <w:szCs w:val="20"/>
              </w:rPr>
              <w:t>не менее 5000 рублей</w:t>
            </w:r>
            <w:r w:rsidRPr="002D06BF">
              <w:rPr>
                <w:rFonts w:ascii="Tahoma" w:hAnsi="Tahoma" w:cs="Tahoma"/>
                <w:sz w:val="20"/>
                <w:szCs w:val="20"/>
                <w:vertAlign w:val="superscript"/>
              </w:rPr>
              <w:t>2</w:t>
            </w:r>
          </w:p>
        </w:tc>
      </w:tr>
      <w:tr w:rsidR="003E2FCA" w14:paraId="2339F79C" w14:textId="77777777" w:rsidTr="00C720A8">
        <w:trPr>
          <w:trHeight w:val="300"/>
        </w:trPr>
        <w:tc>
          <w:tcPr>
            <w:tcW w:w="716" w:type="dxa"/>
            <w:tcBorders>
              <w:top w:val="nil"/>
              <w:left w:val="single" w:sz="4" w:space="0" w:color="auto"/>
              <w:bottom w:val="single" w:sz="4" w:space="0" w:color="auto"/>
              <w:right w:val="single" w:sz="4" w:space="0" w:color="auto"/>
            </w:tcBorders>
            <w:shd w:val="clear" w:color="000000" w:fill="FFFFFF"/>
            <w:noWrap/>
            <w:vAlign w:val="center"/>
            <w:hideMark/>
          </w:tcPr>
          <w:p w14:paraId="6C299D10" w14:textId="77777777" w:rsidR="003E2FCA" w:rsidRDefault="003E2FCA" w:rsidP="00C720A8">
            <w:pPr>
              <w:jc w:val="center"/>
              <w:rPr>
                <w:rFonts w:ascii="Tahoma" w:hAnsi="Tahoma" w:cs="Tahoma"/>
                <w:sz w:val="20"/>
                <w:szCs w:val="20"/>
              </w:rPr>
            </w:pPr>
            <w:r>
              <w:rPr>
                <w:rFonts w:ascii="Tahoma" w:hAnsi="Tahoma" w:cs="Tahoma"/>
                <w:sz w:val="20"/>
                <w:szCs w:val="20"/>
              </w:rPr>
              <w:t>2.4.</w:t>
            </w:r>
          </w:p>
        </w:tc>
        <w:tc>
          <w:tcPr>
            <w:tcW w:w="7538" w:type="dxa"/>
            <w:tcBorders>
              <w:top w:val="nil"/>
              <w:left w:val="nil"/>
              <w:bottom w:val="single" w:sz="4" w:space="0" w:color="auto"/>
              <w:right w:val="single" w:sz="4" w:space="0" w:color="auto"/>
            </w:tcBorders>
            <w:shd w:val="clear" w:color="000000" w:fill="FFFFFF"/>
            <w:vAlign w:val="center"/>
            <w:hideMark/>
          </w:tcPr>
          <w:p w14:paraId="137B5F5C" w14:textId="77777777" w:rsidR="003E2FCA" w:rsidRPr="002D06BF" w:rsidRDefault="003E2FCA" w:rsidP="00C720A8">
            <w:pPr>
              <w:rPr>
                <w:rFonts w:ascii="Tahoma" w:hAnsi="Tahoma" w:cs="Tahoma"/>
                <w:sz w:val="20"/>
                <w:szCs w:val="20"/>
              </w:rPr>
            </w:pPr>
            <w:r w:rsidRPr="002D06BF">
              <w:rPr>
                <w:rFonts w:ascii="Tahoma" w:hAnsi="Tahoma" w:cs="Tahoma"/>
                <w:sz w:val="20"/>
                <w:szCs w:val="20"/>
              </w:rPr>
              <w:t>Минимальная сумма конвертации начисленных Баллов в рубли</w:t>
            </w:r>
          </w:p>
        </w:tc>
        <w:tc>
          <w:tcPr>
            <w:tcW w:w="7122" w:type="dxa"/>
            <w:gridSpan w:val="2"/>
            <w:tcBorders>
              <w:top w:val="single" w:sz="4" w:space="0" w:color="auto"/>
              <w:left w:val="nil"/>
              <w:bottom w:val="single" w:sz="4" w:space="0" w:color="auto"/>
              <w:right w:val="single" w:sz="4" w:space="0" w:color="000000"/>
            </w:tcBorders>
            <w:shd w:val="clear" w:color="000000" w:fill="FFFFFF"/>
            <w:noWrap/>
            <w:vAlign w:val="center"/>
            <w:hideMark/>
          </w:tcPr>
          <w:p w14:paraId="7F05F94D" w14:textId="77777777" w:rsidR="003E2FCA" w:rsidRPr="002D06BF" w:rsidRDefault="003E2FCA" w:rsidP="00C720A8">
            <w:pPr>
              <w:jc w:val="center"/>
              <w:rPr>
                <w:rFonts w:ascii="Tahoma" w:hAnsi="Tahoma" w:cs="Tahoma"/>
                <w:sz w:val="20"/>
                <w:szCs w:val="20"/>
              </w:rPr>
            </w:pPr>
            <w:r w:rsidRPr="002D06BF">
              <w:rPr>
                <w:rFonts w:ascii="Tahoma" w:hAnsi="Tahoma" w:cs="Tahoma"/>
                <w:sz w:val="20"/>
                <w:szCs w:val="20"/>
              </w:rPr>
              <w:t>1 (один) Балл</w:t>
            </w:r>
          </w:p>
        </w:tc>
      </w:tr>
      <w:tr w:rsidR="003E2FCA" w14:paraId="559C7C93" w14:textId="77777777" w:rsidTr="00C720A8">
        <w:trPr>
          <w:trHeight w:val="795"/>
        </w:trPr>
        <w:tc>
          <w:tcPr>
            <w:tcW w:w="716"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1DCE03C" w14:textId="77777777" w:rsidR="003E2FCA" w:rsidRDefault="003E2FCA" w:rsidP="00C720A8">
            <w:pPr>
              <w:jc w:val="center"/>
              <w:rPr>
                <w:rFonts w:ascii="Tahoma" w:hAnsi="Tahoma" w:cs="Tahoma"/>
                <w:sz w:val="20"/>
                <w:szCs w:val="20"/>
              </w:rPr>
            </w:pPr>
            <w:r>
              <w:rPr>
                <w:rFonts w:ascii="Tahoma" w:hAnsi="Tahoma" w:cs="Tahoma"/>
                <w:sz w:val="20"/>
                <w:szCs w:val="20"/>
              </w:rPr>
              <w:t>2.5.</w:t>
            </w:r>
          </w:p>
        </w:tc>
        <w:tc>
          <w:tcPr>
            <w:tcW w:w="7538" w:type="dxa"/>
            <w:vMerge w:val="restart"/>
            <w:tcBorders>
              <w:top w:val="single" w:sz="4" w:space="0" w:color="auto"/>
              <w:left w:val="nil"/>
              <w:bottom w:val="single" w:sz="4" w:space="0" w:color="auto"/>
              <w:right w:val="single" w:sz="4" w:space="0" w:color="auto"/>
            </w:tcBorders>
            <w:shd w:val="clear" w:color="000000" w:fill="FFFFFF"/>
            <w:vAlign w:val="center"/>
            <w:hideMark/>
          </w:tcPr>
          <w:p w14:paraId="119318FE" w14:textId="77777777" w:rsidR="003E2FCA" w:rsidRDefault="003E2FCA" w:rsidP="00C720A8">
            <w:pPr>
              <w:rPr>
                <w:rFonts w:ascii="Tahoma" w:hAnsi="Tahoma" w:cs="Tahoma"/>
                <w:sz w:val="20"/>
                <w:szCs w:val="20"/>
              </w:rPr>
            </w:pPr>
            <w:r>
              <w:rPr>
                <w:rFonts w:ascii="Tahoma" w:hAnsi="Tahoma" w:cs="Tahoma"/>
                <w:sz w:val="20"/>
                <w:szCs w:val="20"/>
              </w:rPr>
              <w:t>Максимальная сумма конвертации начисленных Баллов в рубли с учетом Баллов, начисленных в рамках всех Бонусных программ Банка, в месяц</w:t>
            </w:r>
            <w:r>
              <w:rPr>
                <w:rFonts w:ascii="Tahoma" w:hAnsi="Tahoma" w:cs="Tahoma"/>
                <w:sz w:val="20"/>
                <w:szCs w:val="20"/>
                <w:vertAlign w:val="superscript"/>
              </w:rPr>
              <w:t>3</w:t>
            </w:r>
            <w:r>
              <w:rPr>
                <w:rFonts w:ascii="Tahoma" w:hAnsi="Tahoma" w:cs="Tahoma"/>
                <w:sz w:val="20"/>
                <w:szCs w:val="20"/>
              </w:rPr>
              <w:t xml:space="preserve"> в рамках Программы</w:t>
            </w:r>
          </w:p>
        </w:tc>
        <w:tc>
          <w:tcPr>
            <w:tcW w:w="7122" w:type="dxa"/>
            <w:gridSpan w:val="2"/>
            <w:tcBorders>
              <w:top w:val="single" w:sz="4" w:space="0" w:color="auto"/>
              <w:left w:val="nil"/>
              <w:bottom w:val="single" w:sz="4" w:space="0" w:color="auto"/>
              <w:right w:val="single" w:sz="4" w:space="0" w:color="000000"/>
            </w:tcBorders>
            <w:shd w:val="clear" w:color="000000" w:fill="FFFFFF"/>
            <w:noWrap/>
            <w:vAlign w:val="center"/>
            <w:hideMark/>
          </w:tcPr>
          <w:p w14:paraId="53328EC8" w14:textId="77777777" w:rsidR="003E2FCA" w:rsidRPr="004848C5" w:rsidRDefault="003E2FCA" w:rsidP="00C720A8">
            <w:pPr>
              <w:jc w:val="center"/>
              <w:rPr>
                <w:rFonts w:ascii="Tahoma" w:hAnsi="Tahoma" w:cs="Tahoma"/>
                <w:sz w:val="20"/>
                <w:szCs w:val="20"/>
              </w:rPr>
            </w:pPr>
            <w:r w:rsidRPr="004848C5">
              <w:rPr>
                <w:rFonts w:ascii="Tahoma" w:hAnsi="Tahoma" w:cs="Tahoma"/>
                <w:sz w:val="20"/>
                <w:szCs w:val="20"/>
              </w:rPr>
              <w:t>Для держателей действующих Банковских карт, выпущенных в рамках Программы банковских услуг «Статус»</w:t>
            </w:r>
            <w:r>
              <w:rPr>
                <w:rFonts w:ascii="Tahoma" w:hAnsi="Tahoma" w:cs="Tahoma"/>
                <w:sz w:val="20"/>
                <w:szCs w:val="20"/>
              </w:rPr>
              <w:t xml:space="preserve"> </w:t>
            </w:r>
            <w:r w:rsidRPr="00E453F9">
              <w:rPr>
                <w:rFonts w:ascii="Tahoma" w:hAnsi="Tahoma" w:cs="Tahoma"/>
                <w:sz w:val="20"/>
                <w:szCs w:val="20"/>
              </w:rPr>
              <w:t>и «Статус Плюс»</w:t>
            </w:r>
            <w:r w:rsidRPr="004848C5">
              <w:rPr>
                <w:rFonts w:ascii="Tahoma" w:hAnsi="Tahoma" w:cs="Tahoma"/>
                <w:sz w:val="20"/>
                <w:szCs w:val="20"/>
              </w:rPr>
              <w:t xml:space="preserve">: </w:t>
            </w:r>
            <w:r w:rsidRPr="004848C5">
              <w:rPr>
                <w:rFonts w:ascii="Tahoma" w:hAnsi="Tahoma" w:cs="Tahoma"/>
                <w:sz w:val="20"/>
                <w:szCs w:val="20"/>
              </w:rPr>
              <w:br/>
            </w:r>
            <w:r w:rsidRPr="004848C5">
              <w:rPr>
                <w:rFonts w:ascii="Tahoma" w:hAnsi="Tahoma" w:cs="Tahoma"/>
                <w:b/>
                <w:bCs/>
                <w:sz w:val="20"/>
                <w:szCs w:val="20"/>
              </w:rPr>
              <w:t>10 000</w:t>
            </w:r>
            <w:r w:rsidRPr="004848C5">
              <w:rPr>
                <w:rFonts w:ascii="Tahoma" w:hAnsi="Tahoma" w:cs="Tahoma"/>
                <w:sz w:val="20"/>
                <w:szCs w:val="20"/>
              </w:rPr>
              <w:t xml:space="preserve"> (десять тысяч) Баллов в месяц.</w:t>
            </w:r>
          </w:p>
        </w:tc>
      </w:tr>
      <w:tr w:rsidR="003E2FCA" w14:paraId="1AD50E25" w14:textId="77777777" w:rsidTr="00C720A8">
        <w:trPr>
          <w:trHeight w:val="795"/>
        </w:trPr>
        <w:tc>
          <w:tcPr>
            <w:tcW w:w="716" w:type="dxa"/>
            <w:vMerge/>
            <w:tcBorders>
              <w:top w:val="single" w:sz="4" w:space="0" w:color="auto"/>
              <w:left w:val="single" w:sz="4" w:space="0" w:color="auto"/>
              <w:bottom w:val="single" w:sz="4" w:space="0" w:color="auto"/>
              <w:right w:val="single" w:sz="4" w:space="0" w:color="auto"/>
            </w:tcBorders>
            <w:shd w:val="clear" w:color="000000" w:fill="FFFFFF"/>
            <w:noWrap/>
            <w:vAlign w:val="center"/>
          </w:tcPr>
          <w:p w14:paraId="6F63FF26" w14:textId="77777777" w:rsidR="003E2FCA" w:rsidRDefault="003E2FCA" w:rsidP="00C720A8">
            <w:pPr>
              <w:jc w:val="center"/>
              <w:rPr>
                <w:rFonts w:ascii="Tahoma" w:hAnsi="Tahoma" w:cs="Tahoma"/>
                <w:sz w:val="20"/>
                <w:szCs w:val="20"/>
              </w:rPr>
            </w:pPr>
          </w:p>
        </w:tc>
        <w:tc>
          <w:tcPr>
            <w:tcW w:w="7538" w:type="dxa"/>
            <w:vMerge/>
            <w:tcBorders>
              <w:top w:val="single" w:sz="4" w:space="0" w:color="auto"/>
              <w:left w:val="nil"/>
              <w:bottom w:val="single" w:sz="4" w:space="0" w:color="auto"/>
              <w:right w:val="single" w:sz="4" w:space="0" w:color="auto"/>
            </w:tcBorders>
            <w:shd w:val="clear" w:color="000000" w:fill="FFFFFF"/>
            <w:vAlign w:val="center"/>
          </w:tcPr>
          <w:p w14:paraId="6A403649" w14:textId="77777777" w:rsidR="003E2FCA" w:rsidRDefault="003E2FCA" w:rsidP="00C720A8">
            <w:pPr>
              <w:rPr>
                <w:rFonts w:ascii="Tahoma" w:hAnsi="Tahoma" w:cs="Tahoma"/>
                <w:sz w:val="20"/>
                <w:szCs w:val="20"/>
              </w:rPr>
            </w:pPr>
          </w:p>
        </w:tc>
        <w:tc>
          <w:tcPr>
            <w:tcW w:w="7122" w:type="dxa"/>
            <w:gridSpan w:val="2"/>
            <w:tcBorders>
              <w:top w:val="single" w:sz="4" w:space="0" w:color="auto"/>
              <w:left w:val="nil"/>
              <w:bottom w:val="single" w:sz="4" w:space="0" w:color="auto"/>
              <w:right w:val="single" w:sz="4" w:space="0" w:color="000000"/>
            </w:tcBorders>
            <w:shd w:val="clear" w:color="000000" w:fill="FFFFFF"/>
            <w:noWrap/>
            <w:vAlign w:val="center"/>
          </w:tcPr>
          <w:p w14:paraId="3C6F747F" w14:textId="77777777" w:rsidR="003E2FCA" w:rsidRPr="004848C5" w:rsidRDefault="003E2FCA" w:rsidP="00C720A8">
            <w:pPr>
              <w:jc w:val="center"/>
              <w:rPr>
                <w:rFonts w:ascii="Tahoma" w:hAnsi="Tahoma" w:cs="Tahoma"/>
                <w:sz w:val="20"/>
                <w:szCs w:val="20"/>
              </w:rPr>
            </w:pPr>
            <w:r w:rsidRPr="004848C5">
              <w:rPr>
                <w:rFonts w:ascii="Tahoma" w:hAnsi="Tahoma" w:cs="Tahoma"/>
                <w:sz w:val="20"/>
                <w:szCs w:val="20"/>
              </w:rPr>
              <w:t>Для держателей действующей (на дату конвертации Баллов) кредитной Банковской карты (с действующим кредитным договором, заключенным с Банком)/</w:t>
            </w:r>
            <w:r w:rsidRPr="004848C5">
              <w:rPr>
                <w:rFonts w:ascii="Tahoma" w:hAnsi="Tahoma" w:cs="Tahoma"/>
                <w:sz w:val="20"/>
                <w:szCs w:val="20"/>
              </w:rPr>
              <w:br/>
              <w:t>Банковской карты с Бонусной программой «Станд</w:t>
            </w:r>
            <w:r>
              <w:rPr>
                <w:rFonts w:ascii="Tahoma" w:hAnsi="Tahoma" w:cs="Tahoma"/>
                <w:sz w:val="20"/>
                <w:szCs w:val="20"/>
              </w:rPr>
              <w:t>арт-Бонус» или «Стандарт-Бонус Л</w:t>
            </w:r>
            <w:r w:rsidRPr="004848C5">
              <w:rPr>
                <w:rFonts w:ascii="Tahoma" w:hAnsi="Tahoma" w:cs="Tahoma"/>
                <w:sz w:val="20"/>
                <w:szCs w:val="20"/>
              </w:rPr>
              <w:t>айт», на счет которой Клиенту зачисляется Заработная плата</w:t>
            </w:r>
            <w:r w:rsidRPr="004848C5">
              <w:rPr>
                <w:rFonts w:ascii="Tahoma" w:hAnsi="Tahoma" w:cs="Tahoma"/>
                <w:sz w:val="20"/>
                <w:szCs w:val="20"/>
                <w:vertAlign w:val="superscript"/>
              </w:rPr>
              <w:t>6</w:t>
            </w:r>
            <w:r w:rsidRPr="004848C5">
              <w:rPr>
                <w:rFonts w:ascii="Tahoma" w:hAnsi="Tahoma" w:cs="Tahoma"/>
                <w:sz w:val="20"/>
                <w:szCs w:val="20"/>
              </w:rPr>
              <w:t xml:space="preserve">: </w:t>
            </w:r>
            <w:r w:rsidRPr="004848C5">
              <w:rPr>
                <w:rFonts w:ascii="Tahoma" w:hAnsi="Tahoma" w:cs="Tahoma"/>
                <w:b/>
                <w:bCs/>
                <w:sz w:val="20"/>
                <w:szCs w:val="20"/>
              </w:rPr>
              <w:t>5 000</w:t>
            </w:r>
            <w:r w:rsidRPr="004848C5">
              <w:rPr>
                <w:rFonts w:ascii="Tahoma" w:hAnsi="Tahoma" w:cs="Tahoma"/>
                <w:sz w:val="20"/>
                <w:szCs w:val="20"/>
              </w:rPr>
              <w:t xml:space="preserve"> (пять тысяч) Баллов в месяц.</w:t>
            </w:r>
          </w:p>
        </w:tc>
      </w:tr>
      <w:tr w:rsidR="003E2FCA" w14:paraId="3C6738D6" w14:textId="77777777" w:rsidTr="00C720A8">
        <w:trPr>
          <w:trHeight w:val="795"/>
        </w:trPr>
        <w:tc>
          <w:tcPr>
            <w:tcW w:w="716" w:type="dxa"/>
            <w:vMerge/>
            <w:tcBorders>
              <w:top w:val="single" w:sz="4" w:space="0" w:color="auto"/>
              <w:left w:val="single" w:sz="4" w:space="0" w:color="auto"/>
              <w:bottom w:val="single" w:sz="4" w:space="0" w:color="auto"/>
              <w:right w:val="single" w:sz="4" w:space="0" w:color="auto"/>
            </w:tcBorders>
            <w:shd w:val="clear" w:color="000000" w:fill="FFFFFF"/>
            <w:noWrap/>
            <w:vAlign w:val="center"/>
          </w:tcPr>
          <w:p w14:paraId="7A8C6B64" w14:textId="77777777" w:rsidR="003E2FCA" w:rsidRDefault="003E2FCA" w:rsidP="00C720A8">
            <w:pPr>
              <w:jc w:val="center"/>
              <w:rPr>
                <w:rFonts w:ascii="Tahoma" w:hAnsi="Tahoma" w:cs="Tahoma"/>
                <w:sz w:val="20"/>
                <w:szCs w:val="20"/>
              </w:rPr>
            </w:pPr>
          </w:p>
        </w:tc>
        <w:tc>
          <w:tcPr>
            <w:tcW w:w="7538" w:type="dxa"/>
            <w:vMerge/>
            <w:tcBorders>
              <w:top w:val="single" w:sz="4" w:space="0" w:color="auto"/>
              <w:left w:val="nil"/>
              <w:bottom w:val="single" w:sz="4" w:space="0" w:color="auto"/>
              <w:right w:val="single" w:sz="4" w:space="0" w:color="auto"/>
            </w:tcBorders>
            <w:shd w:val="clear" w:color="000000" w:fill="FFFFFF"/>
            <w:vAlign w:val="center"/>
          </w:tcPr>
          <w:p w14:paraId="7800E63E" w14:textId="77777777" w:rsidR="003E2FCA" w:rsidRDefault="003E2FCA" w:rsidP="00C720A8">
            <w:pPr>
              <w:rPr>
                <w:rFonts w:ascii="Tahoma" w:hAnsi="Tahoma" w:cs="Tahoma"/>
                <w:sz w:val="20"/>
                <w:szCs w:val="20"/>
              </w:rPr>
            </w:pPr>
          </w:p>
        </w:tc>
        <w:tc>
          <w:tcPr>
            <w:tcW w:w="7122" w:type="dxa"/>
            <w:gridSpan w:val="2"/>
            <w:tcBorders>
              <w:top w:val="single" w:sz="4" w:space="0" w:color="auto"/>
              <w:left w:val="nil"/>
              <w:bottom w:val="single" w:sz="4" w:space="0" w:color="auto"/>
              <w:right w:val="single" w:sz="4" w:space="0" w:color="000000"/>
            </w:tcBorders>
            <w:shd w:val="clear" w:color="000000" w:fill="FFFFFF"/>
            <w:noWrap/>
            <w:vAlign w:val="center"/>
          </w:tcPr>
          <w:p w14:paraId="558DCFBC" w14:textId="77777777" w:rsidR="003E2FCA" w:rsidRPr="004848C5" w:rsidRDefault="003E2FCA" w:rsidP="00C720A8">
            <w:pPr>
              <w:jc w:val="center"/>
              <w:rPr>
                <w:rFonts w:ascii="Tahoma" w:hAnsi="Tahoma" w:cs="Tahoma"/>
                <w:sz w:val="20"/>
                <w:szCs w:val="20"/>
              </w:rPr>
            </w:pPr>
            <w:r w:rsidRPr="004848C5">
              <w:rPr>
                <w:rFonts w:ascii="Tahoma" w:hAnsi="Tahoma" w:cs="Tahoma"/>
                <w:sz w:val="20"/>
                <w:szCs w:val="20"/>
              </w:rPr>
              <w:t>Для иных категорий Банковских карт</w:t>
            </w:r>
            <w:r w:rsidRPr="004848C5">
              <w:rPr>
                <w:rFonts w:ascii="Tahoma" w:hAnsi="Tahoma" w:cs="Tahoma"/>
                <w:b/>
                <w:bCs/>
                <w:sz w:val="20"/>
                <w:szCs w:val="20"/>
              </w:rPr>
              <w:t>: 3 000</w:t>
            </w:r>
            <w:r w:rsidRPr="004848C5">
              <w:rPr>
                <w:rFonts w:ascii="Tahoma" w:hAnsi="Tahoma" w:cs="Tahoma"/>
                <w:sz w:val="20"/>
                <w:szCs w:val="20"/>
              </w:rPr>
              <w:t xml:space="preserve"> (три тысячи) Баллов в месяц.</w:t>
            </w:r>
          </w:p>
        </w:tc>
      </w:tr>
      <w:tr w:rsidR="003E2FCA" w14:paraId="5BF3ABCB" w14:textId="77777777" w:rsidTr="00C720A8">
        <w:trPr>
          <w:trHeight w:val="780"/>
        </w:trPr>
        <w:tc>
          <w:tcPr>
            <w:tcW w:w="716" w:type="dxa"/>
            <w:vMerge w:val="restart"/>
            <w:tcBorders>
              <w:top w:val="nil"/>
              <w:left w:val="single" w:sz="4" w:space="0" w:color="auto"/>
              <w:right w:val="single" w:sz="4" w:space="0" w:color="auto"/>
            </w:tcBorders>
            <w:shd w:val="clear" w:color="000000" w:fill="FFFFFF"/>
            <w:noWrap/>
            <w:vAlign w:val="center"/>
            <w:hideMark/>
          </w:tcPr>
          <w:p w14:paraId="5EFC45E7" w14:textId="77777777" w:rsidR="003E2FCA" w:rsidRDefault="003E2FCA" w:rsidP="00C720A8">
            <w:pPr>
              <w:jc w:val="center"/>
              <w:rPr>
                <w:rFonts w:ascii="Tahoma" w:hAnsi="Tahoma" w:cs="Tahoma"/>
                <w:sz w:val="20"/>
                <w:szCs w:val="20"/>
              </w:rPr>
            </w:pPr>
            <w:r>
              <w:rPr>
                <w:rFonts w:ascii="Tahoma" w:hAnsi="Tahoma" w:cs="Tahoma"/>
                <w:sz w:val="20"/>
                <w:szCs w:val="20"/>
              </w:rPr>
              <w:t>2.6.</w:t>
            </w:r>
          </w:p>
        </w:tc>
        <w:tc>
          <w:tcPr>
            <w:tcW w:w="7538" w:type="dxa"/>
            <w:vMerge w:val="restart"/>
            <w:tcBorders>
              <w:top w:val="nil"/>
              <w:left w:val="nil"/>
              <w:right w:val="single" w:sz="4" w:space="0" w:color="auto"/>
            </w:tcBorders>
            <w:shd w:val="clear" w:color="000000" w:fill="FFFFFF"/>
            <w:vAlign w:val="center"/>
            <w:hideMark/>
          </w:tcPr>
          <w:p w14:paraId="0F1298CC" w14:textId="77777777" w:rsidR="003E2FCA" w:rsidRDefault="003E2FCA" w:rsidP="00C720A8">
            <w:pPr>
              <w:rPr>
                <w:rFonts w:ascii="Tahoma" w:hAnsi="Tahoma" w:cs="Tahoma"/>
                <w:sz w:val="20"/>
                <w:szCs w:val="20"/>
              </w:rPr>
            </w:pPr>
            <w:r w:rsidRPr="004848C5">
              <w:rPr>
                <w:rFonts w:ascii="Tahoma" w:hAnsi="Tahoma" w:cs="Tahoma"/>
                <w:sz w:val="20"/>
                <w:szCs w:val="20"/>
              </w:rPr>
              <w:t>Максимальная общая сумма начисленных Баллов на Бонусный счет Клиента (с учётом Баллов по иным Бонусным программам Банка, применимым к другим тарифным планам Банка, в рамках которых на имя Клиента оформлены Банковские карты), в месяц</w:t>
            </w:r>
            <w:r w:rsidRPr="004848C5">
              <w:rPr>
                <w:rFonts w:ascii="Tahoma" w:hAnsi="Tahoma" w:cs="Tahoma"/>
                <w:sz w:val="20"/>
                <w:szCs w:val="20"/>
                <w:vertAlign w:val="superscript"/>
              </w:rPr>
              <w:t>5</w:t>
            </w:r>
          </w:p>
        </w:tc>
        <w:tc>
          <w:tcPr>
            <w:tcW w:w="7122" w:type="dxa"/>
            <w:gridSpan w:val="2"/>
            <w:tcBorders>
              <w:top w:val="single" w:sz="4" w:space="0" w:color="auto"/>
              <w:left w:val="nil"/>
              <w:bottom w:val="single" w:sz="4" w:space="0" w:color="auto"/>
              <w:right w:val="single" w:sz="4" w:space="0" w:color="auto"/>
            </w:tcBorders>
            <w:shd w:val="clear" w:color="000000" w:fill="FFFFFF"/>
            <w:noWrap/>
            <w:vAlign w:val="center"/>
            <w:hideMark/>
          </w:tcPr>
          <w:p w14:paraId="577C7079" w14:textId="77777777" w:rsidR="003E2FCA" w:rsidRPr="004848C5" w:rsidRDefault="003E2FCA" w:rsidP="00C720A8">
            <w:pPr>
              <w:jc w:val="center"/>
              <w:rPr>
                <w:rFonts w:ascii="Tahoma" w:hAnsi="Tahoma" w:cs="Tahoma"/>
                <w:sz w:val="20"/>
                <w:szCs w:val="20"/>
              </w:rPr>
            </w:pPr>
            <w:r w:rsidRPr="004848C5">
              <w:rPr>
                <w:rFonts w:ascii="Tahoma" w:hAnsi="Tahoma" w:cs="Tahoma"/>
                <w:sz w:val="20"/>
                <w:szCs w:val="20"/>
              </w:rPr>
              <w:t>Для держателей действующих Банковских карт, выпущенных в рамках Программы банковских услуг «Статус»</w:t>
            </w:r>
            <w:r>
              <w:rPr>
                <w:rFonts w:ascii="Tahoma" w:hAnsi="Tahoma" w:cs="Tahoma"/>
                <w:sz w:val="20"/>
                <w:szCs w:val="20"/>
              </w:rPr>
              <w:t xml:space="preserve"> </w:t>
            </w:r>
            <w:r w:rsidRPr="00E453F9">
              <w:rPr>
                <w:rFonts w:ascii="Tahoma" w:hAnsi="Tahoma" w:cs="Tahoma"/>
                <w:sz w:val="20"/>
                <w:szCs w:val="20"/>
              </w:rPr>
              <w:t>и «Статус Плюс»</w:t>
            </w:r>
            <w:r w:rsidRPr="004848C5">
              <w:rPr>
                <w:rFonts w:ascii="Tahoma" w:hAnsi="Tahoma" w:cs="Tahoma"/>
                <w:sz w:val="20"/>
                <w:szCs w:val="20"/>
              </w:rPr>
              <w:t xml:space="preserve">: </w:t>
            </w:r>
            <w:r w:rsidRPr="004848C5">
              <w:rPr>
                <w:rFonts w:ascii="Tahoma" w:hAnsi="Tahoma" w:cs="Tahoma"/>
                <w:sz w:val="20"/>
                <w:szCs w:val="20"/>
              </w:rPr>
              <w:br/>
            </w:r>
            <w:r w:rsidRPr="004848C5">
              <w:rPr>
                <w:rFonts w:ascii="Tahoma" w:hAnsi="Tahoma" w:cs="Tahoma"/>
                <w:b/>
                <w:bCs/>
                <w:sz w:val="20"/>
                <w:szCs w:val="20"/>
              </w:rPr>
              <w:t>10 000</w:t>
            </w:r>
            <w:r w:rsidRPr="004848C5">
              <w:rPr>
                <w:rFonts w:ascii="Tahoma" w:hAnsi="Tahoma" w:cs="Tahoma"/>
                <w:sz w:val="20"/>
                <w:szCs w:val="20"/>
              </w:rPr>
              <w:t xml:space="preserve"> (десять тысяч) Баллов в месяц.</w:t>
            </w:r>
          </w:p>
        </w:tc>
      </w:tr>
      <w:tr w:rsidR="003E2FCA" w14:paraId="3BE2A43F" w14:textId="77777777" w:rsidTr="00C720A8">
        <w:trPr>
          <w:trHeight w:val="1560"/>
        </w:trPr>
        <w:tc>
          <w:tcPr>
            <w:tcW w:w="716" w:type="dxa"/>
            <w:vMerge/>
            <w:tcBorders>
              <w:left w:val="single" w:sz="4" w:space="0" w:color="auto"/>
              <w:right w:val="single" w:sz="4" w:space="0" w:color="auto"/>
            </w:tcBorders>
            <w:shd w:val="clear" w:color="000000" w:fill="FFFFFF"/>
            <w:noWrap/>
            <w:vAlign w:val="center"/>
          </w:tcPr>
          <w:p w14:paraId="2E1282C8" w14:textId="77777777" w:rsidR="003E2FCA" w:rsidRDefault="003E2FCA" w:rsidP="00C720A8">
            <w:pPr>
              <w:jc w:val="center"/>
              <w:rPr>
                <w:rFonts w:ascii="Tahoma" w:hAnsi="Tahoma" w:cs="Tahoma"/>
                <w:sz w:val="20"/>
                <w:szCs w:val="20"/>
              </w:rPr>
            </w:pPr>
          </w:p>
        </w:tc>
        <w:tc>
          <w:tcPr>
            <w:tcW w:w="7538" w:type="dxa"/>
            <w:vMerge/>
            <w:tcBorders>
              <w:left w:val="nil"/>
              <w:right w:val="single" w:sz="4" w:space="0" w:color="auto"/>
            </w:tcBorders>
            <w:shd w:val="clear" w:color="000000" w:fill="FFFFFF"/>
            <w:vAlign w:val="center"/>
          </w:tcPr>
          <w:p w14:paraId="17300C0C" w14:textId="77777777" w:rsidR="003E2FCA" w:rsidRPr="004848C5" w:rsidRDefault="003E2FCA" w:rsidP="00C720A8">
            <w:pPr>
              <w:rPr>
                <w:rFonts w:ascii="Tahoma" w:hAnsi="Tahoma" w:cs="Tahoma"/>
                <w:sz w:val="20"/>
                <w:szCs w:val="20"/>
              </w:rPr>
            </w:pPr>
          </w:p>
        </w:tc>
        <w:tc>
          <w:tcPr>
            <w:tcW w:w="7122" w:type="dxa"/>
            <w:gridSpan w:val="2"/>
            <w:tcBorders>
              <w:top w:val="single" w:sz="4" w:space="0" w:color="auto"/>
              <w:left w:val="nil"/>
              <w:bottom w:val="single" w:sz="4" w:space="0" w:color="auto"/>
              <w:right w:val="single" w:sz="4" w:space="0" w:color="auto"/>
            </w:tcBorders>
            <w:shd w:val="clear" w:color="000000" w:fill="FFFFFF"/>
            <w:noWrap/>
            <w:vAlign w:val="center"/>
          </w:tcPr>
          <w:p w14:paraId="294AF696" w14:textId="77777777" w:rsidR="003E2FCA" w:rsidRPr="004848C5" w:rsidRDefault="003E2FCA" w:rsidP="00C720A8">
            <w:pPr>
              <w:jc w:val="center"/>
              <w:rPr>
                <w:rFonts w:ascii="Tahoma" w:hAnsi="Tahoma" w:cs="Tahoma"/>
                <w:sz w:val="20"/>
                <w:szCs w:val="20"/>
              </w:rPr>
            </w:pPr>
            <w:r w:rsidRPr="004848C5">
              <w:rPr>
                <w:rFonts w:ascii="Tahoma" w:hAnsi="Tahoma" w:cs="Tahoma"/>
                <w:sz w:val="20"/>
                <w:szCs w:val="20"/>
              </w:rPr>
              <w:t>Для держателей действующей (на дату конвертации Баллов) кредитной Банковской карты (с действующим кредитным договором, заключенным с Банком)/</w:t>
            </w:r>
            <w:r w:rsidRPr="004848C5">
              <w:rPr>
                <w:rFonts w:ascii="Tahoma" w:hAnsi="Tahoma" w:cs="Tahoma"/>
                <w:sz w:val="20"/>
                <w:szCs w:val="20"/>
              </w:rPr>
              <w:br/>
              <w:t>Банковской карты с Бонусной программой «Станд</w:t>
            </w:r>
            <w:r>
              <w:rPr>
                <w:rFonts w:ascii="Tahoma" w:hAnsi="Tahoma" w:cs="Tahoma"/>
                <w:sz w:val="20"/>
                <w:szCs w:val="20"/>
              </w:rPr>
              <w:t>арт-Бонус» или «Стандарт-Бонус Л</w:t>
            </w:r>
            <w:r w:rsidRPr="004848C5">
              <w:rPr>
                <w:rFonts w:ascii="Tahoma" w:hAnsi="Tahoma" w:cs="Tahoma"/>
                <w:sz w:val="20"/>
                <w:szCs w:val="20"/>
              </w:rPr>
              <w:t>айт», на счет которой Клиенту зачисляется Заработная плата</w:t>
            </w:r>
            <w:r w:rsidRPr="004848C5">
              <w:rPr>
                <w:rFonts w:ascii="Tahoma" w:hAnsi="Tahoma" w:cs="Tahoma"/>
                <w:sz w:val="20"/>
                <w:szCs w:val="20"/>
                <w:vertAlign w:val="superscript"/>
              </w:rPr>
              <w:t>6</w:t>
            </w:r>
            <w:r w:rsidRPr="004848C5">
              <w:rPr>
                <w:rFonts w:ascii="Tahoma" w:hAnsi="Tahoma" w:cs="Tahoma"/>
                <w:sz w:val="20"/>
                <w:szCs w:val="20"/>
              </w:rPr>
              <w:t xml:space="preserve">: </w:t>
            </w:r>
            <w:r w:rsidRPr="004848C5">
              <w:rPr>
                <w:rFonts w:ascii="Tahoma" w:hAnsi="Tahoma" w:cs="Tahoma"/>
                <w:b/>
                <w:bCs/>
                <w:sz w:val="20"/>
                <w:szCs w:val="20"/>
              </w:rPr>
              <w:t>5 000</w:t>
            </w:r>
            <w:r w:rsidRPr="004848C5">
              <w:rPr>
                <w:rFonts w:ascii="Tahoma" w:hAnsi="Tahoma" w:cs="Tahoma"/>
                <w:sz w:val="20"/>
                <w:szCs w:val="20"/>
              </w:rPr>
              <w:t xml:space="preserve"> (пять тысяч) Баллов в месяц.</w:t>
            </w:r>
          </w:p>
        </w:tc>
      </w:tr>
      <w:tr w:rsidR="003E2FCA" w14:paraId="4929FB43" w14:textId="77777777" w:rsidTr="00C720A8">
        <w:trPr>
          <w:trHeight w:val="780"/>
        </w:trPr>
        <w:tc>
          <w:tcPr>
            <w:tcW w:w="716" w:type="dxa"/>
            <w:vMerge/>
            <w:tcBorders>
              <w:left w:val="single" w:sz="4" w:space="0" w:color="auto"/>
              <w:bottom w:val="single" w:sz="4" w:space="0" w:color="auto"/>
              <w:right w:val="single" w:sz="4" w:space="0" w:color="auto"/>
            </w:tcBorders>
            <w:shd w:val="clear" w:color="000000" w:fill="FFFFFF"/>
            <w:noWrap/>
            <w:vAlign w:val="center"/>
          </w:tcPr>
          <w:p w14:paraId="00C3D0DE" w14:textId="77777777" w:rsidR="003E2FCA" w:rsidRDefault="003E2FCA" w:rsidP="00C720A8">
            <w:pPr>
              <w:jc w:val="center"/>
              <w:rPr>
                <w:rFonts w:ascii="Tahoma" w:hAnsi="Tahoma" w:cs="Tahoma"/>
                <w:sz w:val="20"/>
                <w:szCs w:val="20"/>
              </w:rPr>
            </w:pPr>
          </w:p>
        </w:tc>
        <w:tc>
          <w:tcPr>
            <w:tcW w:w="7538" w:type="dxa"/>
            <w:vMerge/>
            <w:tcBorders>
              <w:left w:val="nil"/>
              <w:bottom w:val="single" w:sz="4" w:space="0" w:color="auto"/>
              <w:right w:val="single" w:sz="4" w:space="0" w:color="auto"/>
            </w:tcBorders>
            <w:shd w:val="clear" w:color="000000" w:fill="FFFFFF"/>
            <w:vAlign w:val="center"/>
          </w:tcPr>
          <w:p w14:paraId="73308F2A" w14:textId="77777777" w:rsidR="003E2FCA" w:rsidRPr="004848C5" w:rsidRDefault="003E2FCA" w:rsidP="00C720A8">
            <w:pPr>
              <w:rPr>
                <w:rFonts w:ascii="Tahoma" w:hAnsi="Tahoma" w:cs="Tahoma"/>
                <w:sz w:val="20"/>
                <w:szCs w:val="20"/>
              </w:rPr>
            </w:pPr>
          </w:p>
        </w:tc>
        <w:tc>
          <w:tcPr>
            <w:tcW w:w="7122" w:type="dxa"/>
            <w:gridSpan w:val="2"/>
            <w:tcBorders>
              <w:top w:val="single" w:sz="4" w:space="0" w:color="auto"/>
              <w:left w:val="nil"/>
              <w:bottom w:val="single" w:sz="4" w:space="0" w:color="auto"/>
              <w:right w:val="single" w:sz="4" w:space="0" w:color="auto"/>
            </w:tcBorders>
            <w:shd w:val="clear" w:color="000000" w:fill="FFFFFF"/>
            <w:noWrap/>
            <w:vAlign w:val="center"/>
          </w:tcPr>
          <w:p w14:paraId="28F13925" w14:textId="77777777" w:rsidR="003E2FCA" w:rsidRPr="004848C5" w:rsidRDefault="003E2FCA" w:rsidP="00C720A8">
            <w:pPr>
              <w:jc w:val="center"/>
              <w:rPr>
                <w:rFonts w:ascii="Tahoma" w:hAnsi="Tahoma" w:cs="Tahoma"/>
                <w:sz w:val="20"/>
                <w:szCs w:val="20"/>
              </w:rPr>
            </w:pPr>
            <w:r w:rsidRPr="004848C5">
              <w:rPr>
                <w:rFonts w:ascii="Tahoma" w:hAnsi="Tahoma" w:cs="Tahoma"/>
                <w:sz w:val="20"/>
                <w:szCs w:val="20"/>
              </w:rPr>
              <w:t>Для иных категорий Банковских карт</w:t>
            </w:r>
            <w:r w:rsidRPr="004848C5">
              <w:rPr>
                <w:rFonts w:ascii="Tahoma" w:hAnsi="Tahoma" w:cs="Tahoma"/>
                <w:b/>
                <w:bCs/>
                <w:sz w:val="20"/>
                <w:szCs w:val="20"/>
              </w:rPr>
              <w:t>: 3 000</w:t>
            </w:r>
            <w:r w:rsidRPr="004848C5">
              <w:rPr>
                <w:rFonts w:ascii="Tahoma" w:hAnsi="Tahoma" w:cs="Tahoma"/>
                <w:sz w:val="20"/>
                <w:szCs w:val="20"/>
              </w:rPr>
              <w:t xml:space="preserve"> (три тысячи) Баллов в месяц.</w:t>
            </w:r>
          </w:p>
        </w:tc>
      </w:tr>
      <w:tr w:rsidR="003E2FCA" w14:paraId="412A70B7" w14:textId="77777777" w:rsidTr="00C720A8">
        <w:trPr>
          <w:trHeight w:val="870"/>
        </w:trPr>
        <w:tc>
          <w:tcPr>
            <w:tcW w:w="71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99035E" w14:textId="77777777" w:rsidR="003E2FCA" w:rsidRDefault="003E2FCA" w:rsidP="00C720A8">
            <w:pPr>
              <w:jc w:val="center"/>
              <w:rPr>
                <w:rFonts w:ascii="Tahoma" w:hAnsi="Tahoma" w:cs="Tahoma"/>
                <w:sz w:val="20"/>
                <w:szCs w:val="20"/>
              </w:rPr>
            </w:pPr>
            <w:r>
              <w:rPr>
                <w:rFonts w:ascii="Tahoma" w:hAnsi="Tahoma" w:cs="Tahoma"/>
                <w:sz w:val="20"/>
                <w:szCs w:val="20"/>
              </w:rPr>
              <w:t>2.7.</w:t>
            </w:r>
          </w:p>
        </w:tc>
        <w:tc>
          <w:tcPr>
            <w:tcW w:w="7538"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0B2318AD" w14:textId="77777777" w:rsidR="003E2FCA" w:rsidRDefault="003E2FCA" w:rsidP="00C720A8">
            <w:pPr>
              <w:rPr>
                <w:rFonts w:ascii="Tahoma" w:hAnsi="Tahoma" w:cs="Tahoma"/>
                <w:sz w:val="20"/>
                <w:szCs w:val="20"/>
              </w:rPr>
            </w:pPr>
            <w:r>
              <w:rPr>
                <w:rFonts w:ascii="Tahoma" w:hAnsi="Tahoma" w:cs="Tahoma"/>
                <w:sz w:val="20"/>
                <w:szCs w:val="20"/>
              </w:rPr>
              <w:t>Прочие ограничения</w:t>
            </w:r>
          </w:p>
        </w:tc>
        <w:tc>
          <w:tcPr>
            <w:tcW w:w="7122" w:type="dxa"/>
            <w:gridSpan w:val="2"/>
            <w:tcBorders>
              <w:top w:val="single" w:sz="4" w:space="0" w:color="auto"/>
              <w:left w:val="single" w:sz="4" w:space="0" w:color="auto"/>
              <w:bottom w:val="single" w:sz="4" w:space="0" w:color="auto"/>
              <w:right w:val="single" w:sz="4" w:space="0" w:color="000000"/>
            </w:tcBorders>
            <w:shd w:val="clear" w:color="000000" w:fill="FFFFFF"/>
            <w:vAlign w:val="center"/>
            <w:hideMark/>
          </w:tcPr>
          <w:p w14:paraId="5C764B0F" w14:textId="77777777" w:rsidR="003E2FCA" w:rsidRPr="004F6CC7" w:rsidRDefault="003E2FCA" w:rsidP="00C720A8">
            <w:pPr>
              <w:jc w:val="center"/>
              <w:rPr>
                <w:rFonts w:ascii="Tahoma" w:hAnsi="Tahoma" w:cs="Tahoma"/>
                <w:sz w:val="20"/>
                <w:szCs w:val="20"/>
              </w:rPr>
            </w:pPr>
            <w:r w:rsidRPr="004F6CC7">
              <w:rPr>
                <w:rFonts w:ascii="Tahoma" w:hAnsi="Tahoma" w:cs="Tahoma"/>
                <w:sz w:val="20"/>
                <w:szCs w:val="20"/>
              </w:rPr>
              <w:t xml:space="preserve">В начислении Баллов не учитываются операции внесения и выдачи наличных денежных средств, платежей и денежных переводов в каналах дистанционного банковского обслуживания  и сервисах самообслуживания (включая операции с использованием Системы быстрых платежей и СБПэй, в т.ч. с использованием QR-кодов), </w:t>
            </w:r>
            <w:r w:rsidRPr="004F6CC7">
              <w:rPr>
                <w:rFonts w:ascii="Tahoma" w:hAnsi="Tahoma" w:cs="Tahoma"/>
                <w:sz w:val="20"/>
                <w:szCs w:val="20"/>
              </w:rPr>
              <w:br/>
              <w:t>покупки с выдачей наличных денежных средств, а также операции в иностранной валюте.</w:t>
            </w:r>
          </w:p>
        </w:tc>
      </w:tr>
      <w:tr w:rsidR="003E2FCA" w14:paraId="6C7E6B68" w14:textId="77777777" w:rsidTr="00C720A8">
        <w:trPr>
          <w:trHeight w:val="510"/>
        </w:trPr>
        <w:tc>
          <w:tcPr>
            <w:tcW w:w="716" w:type="dxa"/>
            <w:vMerge/>
            <w:tcBorders>
              <w:top w:val="single" w:sz="4" w:space="0" w:color="auto"/>
              <w:left w:val="single" w:sz="4" w:space="0" w:color="auto"/>
              <w:bottom w:val="single" w:sz="4" w:space="0" w:color="auto"/>
              <w:right w:val="single" w:sz="4" w:space="0" w:color="auto"/>
            </w:tcBorders>
            <w:vAlign w:val="center"/>
            <w:hideMark/>
          </w:tcPr>
          <w:p w14:paraId="1432F666" w14:textId="77777777" w:rsidR="003E2FCA" w:rsidRDefault="003E2FCA" w:rsidP="00C720A8">
            <w:pPr>
              <w:rPr>
                <w:rFonts w:ascii="Tahoma" w:hAnsi="Tahoma" w:cs="Tahoma"/>
                <w:sz w:val="20"/>
                <w:szCs w:val="20"/>
              </w:rPr>
            </w:pPr>
          </w:p>
        </w:tc>
        <w:tc>
          <w:tcPr>
            <w:tcW w:w="7538" w:type="dxa"/>
            <w:vMerge/>
            <w:tcBorders>
              <w:top w:val="single" w:sz="4" w:space="0" w:color="auto"/>
              <w:left w:val="single" w:sz="4" w:space="0" w:color="auto"/>
              <w:bottom w:val="single" w:sz="4" w:space="0" w:color="auto"/>
              <w:right w:val="single" w:sz="4" w:space="0" w:color="auto"/>
            </w:tcBorders>
            <w:vAlign w:val="center"/>
            <w:hideMark/>
          </w:tcPr>
          <w:p w14:paraId="02235956" w14:textId="77777777" w:rsidR="003E2FCA" w:rsidRDefault="003E2FCA" w:rsidP="00C720A8">
            <w:pPr>
              <w:rPr>
                <w:rFonts w:ascii="Tahoma" w:hAnsi="Tahoma" w:cs="Tahoma"/>
                <w:sz w:val="20"/>
                <w:szCs w:val="20"/>
              </w:rPr>
            </w:pPr>
          </w:p>
        </w:tc>
        <w:tc>
          <w:tcPr>
            <w:tcW w:w="7122" w:type="dxa"/>
            <w:gridSpan w:val="2"/>
            <w:tcBorders>
              <w:top w:val="single" w:sz="4" w:space="0" w:color="auto"/>
              <w:left w:val="single" w:sz="4" w:space="0" w:color="auto"/>
              <w:bottom w:val="single" w:sz="4" w:space="0" w:color="auto"/>
              <w:right w:val="single" w:sz="4" w:space="0" w:color="000000"/>
            </w:tcBorders>
            <w:shd w:val="clear" w:color="000000" w:fill="FFFFFF"/>
            <w:vAlign w:val="center"/>
            <w:hideMark/>
          </w:tcPr>
          <w:p w14:paraId="2126E726" w14:textId="77777777" w:rsidR="003E2FCA" w:rsidRPr="004F6CC7" w:rsidRDefault="003E2FCA" w:rsidP="00C720A8">
            <w:pPr>
              <w:jc w:val="center"/>
              <w:rPr>
                <w:rFonts w:ascii="Tahoma" w:hAnsi="Tahoma" w:cs="Tahoma"/>
                <w:sz w:val="20"/>
                <w:szCs w:val="20"/>
              </w:rPr>
            </w:pPr>
            <w:r w:rsidRPr="004F6CC7">
              <w:rPr>
                <w:rFonts w:ascii="Tahoma" w:hAnsi="Tahoma" w:cs="Tahoma"/>
                <w:sz w:val="20"/>
                <w:szCs w:val="20"/>
              </w:rPr>
              <w:t xml:space="preserve">В начислении Баллов не учитываются транзакции, подпадающие в список исключений МСС-кодов, </w:t>
            </w:r>
            <w:r w:rsidRPr="004F6CC7">
              <w:rPr>
                <w:rFonts w:ascii="Tahoma" w:hAnsi="Tahoma" w:cs="Tahoma"/>
                <w:sz w:val="20"/>
                <w:szCs w:val="20"/>
              </w:rPr>
              <w:br/>
              <w:t>указанных в Программе лояльности и на Сайте Банка www.atb.su</w:t>
            </w:r>
          </w:p>
        </w:tc>
      </w:tr>
      <w:tr w:rsidR="003E2FCA" w14:paraId="171252B7" w14:textId="77777777" w:rsidTr="00C720A8">
        <w:trPr>
          <w:trHeight w:val="300"/>
        </w:trPr>
        <w:tc>
          <w:tcPr>
            <w:tcW w:w="716" w:type="dxa"/>
            <w:tcBorders>
              <w:top w:val="nil"/>
              <w:left w:val="single" w:sz="4" w:space="0" w:color="auto"/>
              <w:bottom w:val="single" w:sz="4" w:space="0" w:color="auto"/>
              <w:right w:val="single" w:sz="4" w:space="0" w:color="auto"/>
            </w:tcBorders>
            <w:shd w:val="clear" w:color="000000" w:fill="808080"/>
            <w:noWrap/>
            <w:vAlign w:val="center"/>
            <w:hideMark/>
          </w:tcPr>
          <w:p w14:paraId="48EB5404" w14:textId="77777777" w:rsidR="003E2FCA" w:rsidRDefault="003E2FCA" w:rsidP="00C720A8">
            <w:pPr>
              <w:jc w:val="center"/>
              <w:rPr>
                <w:rFonts w:ascii="Tahoma" w:hAnsi="Tahoma" w:cs="Tahoma"/>
                <w:b/>
                <w:bCs/>
                <w:color w:val="FFFFFF"/>
                <w:sz w:val="20"/>
                <w:szCs w:val="20"/>
              </w:rPr>
            </w:pPr>
            <w:r>
              <w:rPr>
                <w:rFonts w:ascii="Tahoma" w:hAnsi="Tahoma" w:cs="Tahoma"/>
                <w:b/>
                <w:bCs/>
                <w:color w:val="FFFFFF"/>
                <w:sz w:val="20"/>
                <w:szCs w:val="20"/>
              </w:rPr>
              <w:t>3.</w:t>
            </w:r>
          </w:p>
        </w:tc>
        <w:tc>
          <w:tcPr>
            <w:tcW w:w="14660" w:type="dxa"/>
            <w:gridSpan w:val="3"/>
            <w:tcBorders>
              <w:top w:val="single" w:sz="4" w:space="0" w:color="auto"/>
              <w:left w:val="nil"/>
              <w:bottom w:val="single" w:sz="4" w:space="0" w:color="auto"/>
              <w:right w:val="single" w:sz="4" w:space="0" w:color="000000"/>
            </w:tcBorders>
            <w:shd w:val="clear" w:color="000000" w:fill="808080"/>
            <w:noWrap/>
            <w:vAlign w:val="center"/>
            <w:hideMark/>
          </w:tcPr>
          <w:p w14:paraId="0702F233" w14:textId="77777777" w:rsidR="003E2FCA" w:rsidRDefault="003E2FCA" w:rsidP="00C720A8">
            <w:pPr>
              <w:rPr>
                <w:rFonts w:ascii="Tahoma" w:hAnsi="Tahoma" w:cs="Tahoma"/>
                <w:b/>
                <w:bCs/>
                <w:color w:val="FFFFFF"/>
                <w:sz w:val="20"/>
                <w:szCs w:val="20"/>
              </w:rPr>
            </w:pPr>
            <w:r>
              <w:rPr>
                <w:rFonts w:ascii="Tahoma" w:hAnsi="Tahoma" w:cs="Tahoma"/>
                <w:b/>
                <w:bCs/>
                <w:color w:val="FFFFFF"/>
                <w:sz w:val="20"/>
                <w:szCs w:val="20"/>
              </w:rPr>
              <w:t>Категории расчета Баллов</w:t>
            </w:r>
          </w:p>
        </w:tc>
      </w:tr>
      <w:tr w:rsidR="003E2FCA" w14:paraId="6D8633CC" w14:textId="77777777" w:rsidTr="00C720A8">
        <w:trPr>
          <w:trHeight w:val="300"/>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34FBF532" w14:textId="77777777" w:rsidR="003E2FCA" w:rsidRDefault="003E2FCA" w:rsidP="00C720A8">
            <w:pPr>
              <w:jc w:val="center"/>
              <w:rPr>
                <w:rFonts w:ascii="Tahoma" w:hAnsi="Tahoma" w:cs="Tahoma"/>
                <w:sz w:val="20"/>
                <w:szCs w:val="20"/>
              </w:rPr>
            </w:pPr>
            <w:r>
              <w:rPr>
                <w:rFonts w:ascii="Tahoma" w:hAnsi="Tahoma" w:cs="Tahoma"/>
                <w:sz w:val="20"/>
                <w:szCs w:val="20"/>
              </w:rPr>
              <w:t>3.1.</w:t>
            </w:r>
          </w:p>
        </w:tc>
        <w:tc>
          <w:tcPr>
            <w:tcW w:w="7538" w:type="dxa"/>
            <w:tcBorders>
              <w:top w:val="nil"/>
              <w:left w:val="nil"/>
              <w:bottom w:val="single" w:sz="4" w:space="0" w:color="auto"/>
              <w:right w:val="single" w:sz="4" w:space="0" w:color="auto"/>
            </w:tcBorders>
            <w:shd w:val="clear" w:color="auto" w:fill="auto"/>
            <w:vAlign w:val="center"/>
            <w:hideMark/>
          </w:tcPr>
          <w:p w14:paraId="40FA5A47" w14:textId="77777777" w:rsidR="003E2FCA" w:rsidRDefault="003E2FCA" w:rsidP="00C720A8">
            <w:pPr>
              <w:rPr>
                <w:rFonts w:ascii="Tahoma" w:hAnsi="Tahoma" w:cs="Tahoma"/>
                <w:sz w:val="20"/>
                <w:szCs w:val="20"/>
              </w:rPr>
            </w:pPr>
            <w:r>
              <w:rPr>
                <w:rFonts w:ascii="Tahoma" w:hAnsi="Tahoma" w:cs="Tahoma"/>
                <w:sz w:val="20"/>
                <w:szCs w:val="20"/>
              </w:rPr>
              <w:t>Стандартная</w:t>
            </w:r>
          </w:p>
        </w:tc>
        <w:tc>
          <w:tcPr>
            <w:tcW w:w="7122" w:type="dxa"/>
            <w:gridSpan w:val="2"/>
            <w:tcBorders>
              <w:top w:val="single" w:sz="4" w:space="0" w:color="auto"/>
              <w:left w:val="nil"/>
              <w:bottom w:val="single" w:sz="4" w:space="0" w:color="auto"/>
              <w:right w:val="single" w:sz="4" w:space="0" w:color="000000"/>
            </w:tcBorders>
            <w:shd w:val="clear" w:color="000000" w:fill="FFFFFF"/>
            <w:noWrap/>
            <w:vAlign w:val="center"/>
            <w:hideMark/>
          </w:tcPr>
          <w:p w14:paraId="5F662AD6" w14:textId="77777777" w:rsidR="003E2FCA" w:rsidRPr="004F6CC7" w:rsidRDefault="003E2FCA" w:rsidP="00C720A8">
            <w:pPr>
              <w:jc w:val="center"/>
              <w:rPr>
                <w:rFonts w:ascii="Tahoma" w:hAnsi="Tahoma" w:cs="Tahoma"/>
                <w:sz w:val="20"/>
                <w:szCs w:val="20"/>
              </w:rPr>
            </w:pPr>
            <w:r w:rsidRPr="004F6CC7">
              <w:rPr>
                <w:rFonts w:ascii="Tahoma" w:hAnsi="Tahoma" w:cs="Tahoma"/>
                <w:b/>
                <w:bCs/>
                <w:sz w:val="20"/>
                <w:szCs w:val="20"/>
              </w:rPr>
              <w:t xml:space="preserve">1% </w:t>
            </w:r>
            <w:r w:rsidRPr="004F6CC7">
              <w:rPr>
                <w:rFonts w:ascii="Tahoma" w:hAnsi="Tahoma" w:cs="Tahoma"/>
                <w:sz w:val="20"/>
                <w:szCs w:val="20"/>
              </w:rPr>
              <w:t>от каждых достигнутых 100 рублей транзакции</w:t>
            </w:r>
            <w:r w:rsidRPr="004F6CC7">
              <w:rPr>
                <w:rFonts w:ascii="Tahoma" w:hAnsi="Tahoma" w:cs="Tahoma"/>
                <w:sz w:val="20"/>
                <w:szCs w:val="20"/>
                <w:vertAlign w:val="superscript"/>
              </w:rPr>
              <w:t>7</w:t>
            </w:r>
          </w:p>
        </w:tc>
      </w:tr>
      <w:tr w:rsidR="003E2FCA" w14:paraId="10C2B5DD" w14:textId="77777777" w:rsidTr="00C720A8">
        <w:trPr>
          <w:trHeight w:val="765"/>
        </w:trPr>
        <w:tc>
          <w:tcPr>
            <w:tcW w:w="7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7E1411" w14:textId="77777777" w:rsidR="003E2FCA" w:rsidRDefault="003E2FCA" w:rsidP="00C720A8">
            <w:pPr>
              <w:jc w:val="center"/>
              <w:rPr>
                <w:rFonts w:ascii="Tahoma" w:hAnsi="Tahoma" w:cs="Tahoma"/>
                <w:sz w:val="20"/>
                <w:szCs w:val="20"/>
              </w:rPr>
            </w:pPr>
            <w:r>
              <w:rPr>
                <w:rFonts w:ascii="Tahoma" w:hAnsi="Tahoma" w:cs="Tahoma"/>
                <w:sz w:val="20"/>
                <w:szCs w:val="20"/>
              </w:rPr>
              <w:t>3.2.</w:t>
            </w:r>
          </w:p>
        </w:tc>
        <w:tc>
          <w:tcPr>
            <w:tcW w:w="753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FD4ACDE" w14:textId="77777777" w:rsidR="003E2FCA" w:rsidRDefault="003E2FCA" w:rsidP="00C720A8">
            <w:pPr>
              <w:rPr>
                <w:rFonts w:ascii="Tahoma" w:hAnsi="Tahoma" w:cs="Tahoma"/>
                <w:sz w:val="20"/>
                <w:szCs w:val="20"/>
              </w:rPr>
            </w:pPr>
            <w:r>
              <w:rPr>
                <w:rFonts w:ascii="Tahoma" w:hAnsi="Tahoma" w:cs="Tahoma"/>
                <w:sz w:val="20"/>
                <w:szCs w:val="20"/>
              </w:rPr>
              <w:t>Повышенная (выбор (подключение) осуществляется Клиентом самостоятельно в Личном кабинете</w:t>
            </w:r>
            <w:r>
              <w:rPr>
                <w:rFonts w:ascii="Tahoma" w:hAnsi="Tahoma" w:cs="Tahoma"/>
                <w:sz w:val="18"/>
                <w:szCs w:val="18"/>
              </w:rPr>
              <w:t>)</w:t>
            </w:r>
          </w:p>
        </w:tc>
        <w:tc>
          <w:tcPr>
            <w:tcW w:w="7122" w:type="dxa"/>
            <w:gridSpan w:val="2"/>
            <w:tcBorders>
              <w:top w:val="single" w:sz="4" w:space="0" w:color="auto"/>
              <w:left w:val="single" w:sz="4" w:space="0" w:color="auto"/>
              <w:bottom w:val="single" w:sz="4" w:space="0" w:color="auto"/>
              <w:right w:val="single" w:sz="4" w:space="0" w:color="000000"/>
            </w:tcBorders>
            <w:shd w:val="clear" w:color="000000" w:fill="FFFFFF"/>
            <w:vAlign w:val="center"/>
            <w:hideMark/>
          </w:tcPr>
          <w:p w14:paraId="6CF86835" w14:textId="77777777" w:rsidR="003E2FCA" w:rsidRPr="004F6CC7" w:rsidRDefault="003E2FCA" w:rsidP="00C720A8">
            <w:pPr>
              <w:jc w:val="center"/>
              <w:rPr>
                <w:rFonts w:ascii="Tahoma" w:hAnsi="Tahoma" w:cs="Tahoma"/>
                <w:sz w:val="20"/>
                <w:szCs w:val="20"/>
              </w:rPr>
            </w:pPr>
            <w:r w:rsidRPr="004F6CC7">
              <w:rPr>
                <w:rFonts w:ascii="Tahoma" w:hAnsi="Tahoma" w:cs="Tahoma"/>
                <w:sz w:val="20"/>
                <w:szCs w:val="20"/>
              </w:rPr>
              <w:t xml:space="preserve">Транзакции, к которым не была применена ставка, указанная в пп.4-5 </w:t>
            </w:r>
            <w:r>
              <w:rPr>
                <w:rFonts w:ascii="Tahoma" w:hAnsi="Tahoma" w:cs="Tahoma"/>
                <w:sz w:val="20"/>
                <w:szCs w:val="20"/>
              </w:rPr>
              <w:t xml:space="preserve">Программы, применяется ставка, </w:t>
            </w:r>
            <w:r w:rsidRPr="004F6CC7">
              <w:rPr>
                <w:rFonts w:ascii="Tahoma" w:hAnsi="Tahoma" w:cs="Tahoma"/>
                <w:sz w:val="20"/>
                <w:szCs w:val="20"/>
              </w:rPr>
              <w:t>указанная в п.3.1 Программы.</w:t>
            </w:r>
          </w:p>
        </w:tc>
      </w:tr>
      <w:tr w:rsidR="003E2FCA" w14:paraId="17CDDE2F" w14:textId="77777777" w:rsidTr="00C720A8">
        <w:trPr>
          <w:trHeight w:val="765"/>
        </w:trPr>
        <w:tc>
          <w:tcPr>
            <w:tcW w:w="716" w:type="dxa"/>
            <w:tcBorders>
              <w:top w:val="single" w:sz="4" w:space="0" w:color="auto"/>
              <w:left w:val="single" w:sz="4" w:space="0" w:color="auto"/>
              <w:bottom w:val="single" w:sz="4" w:space="0" w:color="auto"/>
              <w:right w:val="single" w:sz="4" w:space="0" w:color="auto"/>
            </w:tcBorders>
            <w:shd w:val="clear" w:color="auto" w:fill="7F7F7F" w:themeFill="text1" w:themeFillTint="80"/>
            <w:noWrap/>
            <w:vAlign w:val="center"/>
          </w:tcPr>
          <w:p w14:paraId="18C79576" w14:textId="77777777" w:rsidR="003E2FCA" w:rsidRDefault="003E2FCA" w:rsidP="00C720A8">
            <w:pPr>
              <w:jc w:val="center"/>
              <w:rPr>
                <w:rFonts w:ascii="Tahoma" w:hAnsi="Tahoma" w:cs="Tahoma"/>
                <w:b/>
                <w:bCs/>
                <w:color w:val="FFFFFF"/>
                <w:sz w:val="20"/>
                <w:szCs w:val="20"/>
              </w:rPr>
            </w:pPr>
            <w:r>
              <w:rPr>
                <w:rFonts w:ascii="Tahoma" w:hAnsi="Tahoma" w:cs="Tahoma"/>
                <w:b/>
                <w:bCs/>
                <w:color w:val="FFFFFF"/>
                <w:sz w:val="20"/>
                <w:szCs w:val="20"/>
              </w:rPr>
              <w:t>4.</w:t>
            </w:r>
          </w:p>
        </w:tc>
        <w:tc>
          <w:tcPr>
            <w:tcW w:w="7538"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3BBD8FDB" w14:textId="77777777" w:rsidR="003E2FCA" w:rsidRPr="004F6CC7" w:rsidRDefault="003E2FCA" w:rsidP="00C720A8">
            <w:pPr>
              <w:rPr>
                <w:rFonts w:ascii="Tahoma" w:hAnsi="Tahoma" w:cs="Tahoma"/>
                <w:b/>
                <w:bCs/>
                <w:color w:val="FFFFFF"/>
                <w:sz w:val="20"/>
                <w:szCs w:val="20"/>
              </w:rPr>
            </w:pPr>
            <w:r w:rsidRPr="004F6CC7">
              <w:rPr>
                <w:rFonts w:ascii="Tahoma" w:hAnsi="Tahoma" w:cs="Tahoma"/>
                <w:b/>
                <w:bCs/>
                <w:color w:val="FFFFFF"/>
                <w:sz w:val="20"/>
                <w:szCs w:val="20"/>
              </w:rPr>
              <w:t>Категории повышенных Баллов, на выбор Участника Программы</w:t>
            </w:r>
            <w:r w:rsidRPr="004F6CC7">
              <w:rPr>
                <w:rFonts w:ascii="Tahoma" w:hAnsi="Tahoma" w:cs="Tahoma"/>
                <w:color w:val="FFFFFF"/>
                <w:sz w:val="20"/>
                <w:szCs w:val="20"/>
                <w:vertAlign w:val="superscript"/>
              </w:rPr>
              <w:t>8</w:t>
            </w:r>
          </w:p>
        </w:tc>
        <w:tc>
          <w:tcPr>
            <w:tcW w:w="3561" w:type="dxa"/>
            <w:tcBorders>
              <w:top w:val="single" w:sz="4" w:space="0" w:color="auto"/>
              <w:left w:val="single" w:sz="4" w:space="0" w:color="auto"/>
              <w:bottom w:val="single" w:sz="4" w:space="0" w:color="auto"/>
              <w:right w:val="single" w:sz="4" w:space="0" w:color="000000"/>
            </w:tcBorders>
            <w:shd w:val="clear" w:color="auto" w:fill="7F7F7F" w:themeFill="text1" w:themeFillTint="80"/>
            <w:vAlign w:val="center"/>
          </w:tcPr>
          <w:p w14:paraId="7244A30A" w14:textId="77777777" w:rsidR="003E2FCA" w:rsidRPr="004F6CC7" w:rsidRDefault="003E2FCA" w:rsidP="00C720A8">
            <w:pPr>
              <w:jc w:val="center"/>
              <w:rPr>
                <w:rFonts w:ascii="Tahoma" w:hAnsi="Tahoma" w:cs="Tahoma"/>
                <w:b/>
                <w:bCs/>
                <w:color w:val="FFFFFF"/>
                <w:sz w:val="20"/>
                <w:szCs w:val="20"/>
              </w:rPr>
            </w:pPr>
            <w:r w:rsidRPr="004F6CC7">
              <w:rPr>
                <w:rFonts w:ascii="Tahoma" w:hAnsi="Tahoma" w:cs="Tahoma"/>
                <w:b/>
                <w:bCs/>
                <w:color w:val="FFFFFF"/>
                <w:sz w:val="20"/>
                <w:szCs w:val="20"/>
              </w:rPr>
              <w:t>При безналичном зачислении заработной платы</w:t>
            </w:r>
            <w:r w:rsidRPr="004F6CC7">
              <w:rPr>
                <w:rFonts w:ascii="Tahoma" w:hAnsi="Tahoma" w:cs="Tahoma"/>
                <w:b/>
                <w:bCs/>
                <w:color w:val="FFFFFF"/>
                <w:sz w:val="20"/>
                <w:szCs w:val="20"/>
                <w:vertAlign w:val="superscript"/>
              </w:rPr>
              <w:t xml:space="preserve">6 </w:t>
            </w:r>
            <w:r w:rsidRPr="004F6CC7">
              <w:rPr>
                <w:rFonts w:ascii="Tahoma" w:hAnsi="Tahoma" w:cs="Tahoma"/>
                <w:b/>
                <w:bCs/>
                <w:color w:val="FFFFFF"/>
                <w:sz w:val="20"/>
                <w:szCs w:val="20"/>
              </w:rPr>
              <w:t>Клиента в календарном месяце на Счет Банковской карты, выпущенной в рамках одного (или нескольких) тарифных планов, указанных в п.1.1 Программы</w:t>
            </w:r>
          </w:p>
        </w:tc>
        <w:tc>
          <w:tcPr>
            <w:tcW w:w="3561" w:type="dxa"/>
            <w:tcBorders>
              <w:top w:val="single" w:sz="4" w:space="0" w:color="auto"/>
              <w:left w:val="single" w:sz="4" w:space="0" w:color="auto"/>
              <w:bottom w:val="single" w:sz="4" w:space="0" w:color="auto"/>
              <w:right w:val="single" w:sz="4" w:space="0" w:color="000000"/>
            </w:tcBorders>
            <w:shd w:val="clear" w:color="auto" w:fill="7F7F7F" w:themeFill="text1" w:themeFillTint="80"/>
            <w:vAlign w:val="center"/>
          </w:tcPr>
          <w:p w14:paraId="4E2FB8B5" w14:textId="77777777" w:rsidR="003E2FCA" w:rsidRPr="004F6CC7" w:rsidRDefault="003E2FCA" w:rsidP="00C720A8">
            <w:pPr>
              <w:jc w:val="center"/>
              <w:rPr>
                <w:rFonts w:ascii="Tahoma" w:hAnsi="Tahoma" w:cs="Tahoma"/>
                <w:b/>
                <w:bCs/>
                <w:color w:val="FFFFFF"/>
                <w:sz w:val="20"/>
                <w:szCs w:val="20"/>
              </w:rPr>
            </w:pPr>
            <w:r w:rsidRPr="004F6CC7">
              <w:rPr>
                <w:rFonts w:ascii="Tahoma" w:hAnsi="Tahoma" w:cs="Tahoma"/>
                <w:b/>
                <w:bCs/>
                <w:color w:val="FFFFFF"/>
                <w:sz w:val="20"/>
                <w:szCs w:val="20"/>
              </w:rPr>
              <w:t>В иных случаях</w:t>
            </w:r>
          </w:p>
        </w:tc>
      </w:tr>
    </w:tbl>
    <w:p w14:paraId="4FD1702A" w14:textId="77777777" w:rsidR="003E2FCA" w:rsidRDefault="003E2FCA" w:rsidP="003E2FCA"/>
    <w:tbl>
      <w:tblPr>
        <w:tblW w:w="15331" w:type="dxa"/>
        <w:tblInd w:w="-5" w:type="dxa"/>
        <w:tblLayout w:type="fixed"/>
        <w:tblLook w:val="04A0" w:firstRow="1" w:lastRow="0" w:firstColumn="1" w:lastColumn="0" w:noHBand="0" w:noVBand="1"/>
      </w:tblPr>
      <w:tblGrid>
        <w:gridCol w:w="715"/>
        <w:gridCol w:w="7507"/>
        <w:gridCol w:w="29"/>
        <w:gridCol w:w="3515"/>
        <w:gridCol w:w="3543"/>
        <w:gridCol w:w="22"/>
      </w:tblGrid>
      <w:tr w:rsidR="003E2FCA" w14:paraId="02CE1A31" w14:textId="77777777" w:rsidTr="00C720A8">
        <w:trPr>
          <w:gridAfter w:val="1"/>
          <w:wAfter w:w="22" w:type="dxa"/>
          <w:trHeight w:val="300"/>
        </w:trPr>
        <w:tc>
          <w:tcPr>
            <w:tcW w:w="71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0C8D2DA" w14:textId="77777777" w:rsidR="003E2FCA" w:rsidRPr="0027533E" w:rsidRDefault="003E2FCA" w:rsidP="00C720A8">
            <w:pPr>
              <w:jc w:val="center"/>
              <w:rPr>
                <w:rFonts w:ascii="Tahoma" w:hAnsi="Tahoma" w:cs="Tahoma"/>
                <w:sz w:val="20"/>
                <w:szCs w:val="20"/>
              </w:rPr>
            </w:pPr>
            <w:r w:rsidRPr="0027533E">
              <w:rPr>
                <w:rFonts w:ascii="Tahoma" w:hAnsi="Tahoma" w:cs="Tahoma"/>
                <w:sz w:val="20"/>
                <w:szCs w:val="20"/>
              </w:rPr>
              <w:t>4.1.</w:t>
            </w:r>
          </w:p>
        </w:tc>
        <w:tc>
          <w:tcPr>
            <w:tcW w:w="7536" w:type="dxa"/>
            <w:gridSpan w:val="2"/>
            <w:tcBorders>
              <w:top w:val="single" w:sz="4" w:space="0" w:color="auto"/>
              <w:left w:val="nil"/>
              <w:bottom w:val="single" w:sz="4" w:space="0" w:color="auto"/>
              <w:right w:val="single" w:sz="4" w:space="0" w:color="auto"/>
            </w:tcBorders>
            <w:shd w:val="clear" w:color="000000" w:fill="FFFFFF"/>
            <w:noWrap/>
            <w:vAlign w:val="center"/>
            <w:hideMark/>
          </w:tcPr>
          <w:p w14:paraId="234DB5A3" w14:textId="77777777" w:rsidR="003E2FCA" w:rsidRPr="0027533E" w:rsidRDefault="003E2FCA" w:rsidP="00C720A8">
            <w:pPr>
              <w:rPr>
                <w:rFonts w:ascii="Tahoma" w:hAnsi="Tahoma" w:cs="Tahoma"/>
                <w:sz w:val="20"/>
                <w:szCs w:val="20"/>
              </w:rPr>
            </w:pPr>
            <w:r w:rsidRPr="0027533E">
              <w:rPr>
                <w:rFonts w:ascii="Tahoma" w:hAnsi="Tahoma" w:cs="Tahoma"/>
                <w:sz w:val="20"/>
                <w:szCs w:val="20"/>
              </w:rPr>
              <w:t>Аптеки и оптики</w:t>
            </w:r>
          </w:p>
        </w:tc>
        <w:tc>
          <w:tcPr>
            <w:tcW w:w="351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DE9C8" w14:textId="77777777" w:rsidR="003E2FCA" w:rsidRPr="004F6CC7" w:rsidRDefault="003E2FCA" w:rsidP="00C720A8">
            <w:pPr>
              <w:jc w:val="center"/>
              <w:rPr>
                <w:rFonts w:ascii="Tahoma" w:hAnsi="Tahoma" w:cs="Tahoma"/>
                <w:b/>
                <w:bCs/>
                <w:sz w:val="20"/>
                <w:szCs w:val="20"/>
              </w:rPr>
            </w:pPr>
            <w:r w:rsidRPr="004F6CC7">
              <w:rPr>
                <w:rFonts w:ascii="Tahoma" w:hAnsi="Tahoma" w:cs="Tahoma"/>
                <w:b/>
                <w:bCs/>
                <w:sz w:val="20"/>
                <w:szCs w:val="20"/>
              </w:rPr>
              <w:t>10%</w:t>
            </w:r>
            <w:r w:rsidRPr="004F6CC7">
              <w:rPr>
                <w:rFonts w:ascii="Tahoma" w:hAnsi="Tahoma" w:cs="Tahoma"/>
                <w:sz w:val="20"/>
                <w:szCs w:val="20"/>
              </w:rPr>
              <w:t xml:space="preserve"> от каждых достигнутых 100 рублей транзакции</w:t>
            </w:r>
            <w:r w:rsidRPr="004F6CC7">
              <w:rPr>
                <w:rFonts w:ascii="Tahoma" w:hAnsi="Tahoma" w:cs="Tahoma"/>
                <w:sz w:val="20"/>
                <w:szCs w:val="20"/>
                <w:vertAlign w:val="superscript"/>
              </w:rPr>
              <w:t>7</w:t>
            </w:r>
          </w:p>
        </w:tc>
        <w:tc>
          <w:tcPr>
            <w:tcW w:w="354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3E8702" w14:textId="77777777" w:rsidR="003E2FCA" w:rsidRPr="004F6CC7" w:rsidRDefault="003E2FCA" w:rsidP="00C720A8">
            <w:pPr>
              <w:jc w:val="center"/>
              <w:rPr>
                <w:rFonts w:ascii="Tahoma" w:hAnsi="Tahoma" w:cs="Tahoma"/>
                <w:b/>
                <w:bCs/>
                <w:sz w:val="20"/>
                <w:szCs w:val="20"/>
              </w:rPr>
            </w:pPr>
            <w:r w:rsidRPr="004F6CC7">
              <w:rPr>
                <w:rFonts w:ascii="Tahoma" w:hAnsi="Tahoma" w:cs="Tahoma"/>
                <w:b/>
                <w:bCs/>
                <w:sz w:val="20"/>
                <w:szCs w:val="20"/>
              </w:rPr>
              <w:t>7%</w:t>
            </w:r>
            <w:r w:rsidRPr="004F6CC7">
              <w:rPr>
                <w:rFonts w:ascii="Tahoma" w:hAnsi="Tahoma" w:cs="Tahoma"/>
                <w:sz w:val="20"/>
                <w:szCs w:val="20"/>
              </w:rPr>
              <w:t xml:space="preserve"> от каждых достигнутых 100 рублей транзакции</w:t>
            </w:r>
            <w:r w:rsidRPr="004F6CC7">
              <w:rPr>
                <w:rFonts w:ascii="Tahoma" w:hAnsi="Tahoma" w:cs="Tahoma"/>
                <w:sz w:val="20"/>
                <w:szCs w:val="20"/>
                <w:vertAlign w:val="superscript"/>
              </w:rPr>
              <w:t>7</w:t>
            </w:r>
          </w:p>
        </w:tc>
      </w:tr>
      <w:tr w:rsidR="003E2FCA" w14:paraId="6603C5DD" w14:textId="77777777" w:rsidTr="00C720A8">
        <w:trPr>
          <w:gridAfter w:val="1"/>
          <w:wAfter w:w="22" w:type="dxa"/>
          <w:trHeight w:val="300"/>
        </w:trPr>
        <w:tc>
          <w:tcPr>
            <w:tcW w:w="71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7CF81B3" w14:textId="77777777" w:rsidR="003E2FCA" w:rsidRPr="0027533E" w:rsidRDefault="003E2FCA" w:rsidP="00C720A8">
            <w:pPr>
              <w:jc w:val="center"/>
              <w:rPr>
                <w:rFonts w:ascii="Tahoma" w:hAnsi="Tahoma" w:cs="Tahoma"/>
                <w:sz w:val="20"/>
                <w:szCs w:val="20"/>
              </w:rPr>
            </w:pPr>
            <w:r w:rsidRPr="0027533E">
              <w:rPr>
                <w:rFonts w:ascii="Tahoma" w:hAnsi="Tahoma" w:cs="Tahoma"/>
                <w:sz w:val="20"/>
                <w:szCs w:val="20"/>
              </w:rPr>
              <w:t>4.2.</w:t>
            </w:r>
          </w:p>
        </w:tc>
        <w:tc>
          <w:tcPr>
            <w:tcW w:w="7536" w:type="dxa"/>
            <w:gridSpan w:val="2"/>
            <w:tcBorders>
              <w:top w:val="single" w:sz="4" w:space="0" w:color="auto"/>
              <w:left w:val="nil"/>
              <w:bottom w:val="single" w:sz="4" w:space="0" w:color="auto"/>
              <w:right w:val="single" w:sz="4" w:space="0" w:color="auto"/>
            </w:tcBorders>
            <w:shd w:val="clear" w:color="000000" w:fill="FFFFFF"/>
            <w:noWrap/>
            <w:vAlign w:val="center"/>
            <w:hideMark/>
          </w:tcPr>
          <w:p w14:paraId="2EAF76D7" w14:textId="77777777" w:rsidR="003E2FCA" w:rsidRPr="0027533E" w:rsidRDefault="003E2FCA" w:rsidP="00C720A8">
            <w:pPr>
              <w:rPr>
                <w:rFonts w:ascii="Tahoma" w:hAnsi="Tahoma" w:cs="Tahoma"/>
                <w:sz w:val="20"/>
                <w:szCs w:val="20"/>
              </w:rPr>
            </w:pPr>
            <w:r w:rsidRPr="0027533E">
              <w:rPr>
                <w:rFonts w:ascii="Tahoma" w:hAnsi="Tahoma" w:cs="Tahoma"/>
                <w:sz w:val="20"/>
                <w:szCs w:val="20"/>
              </w:rPr>
              <w:t>Дом, ремонт</w:t>
            </w:r>
          </w:p>
        </w:tc>
        <w:tc>
          <w:tcPr>
            <w:tcW w:w="3515" w:type="dxa"/>
            <w:vMerge/>
            <w:tcBorders>
              <w:top w:val="single" w:sz="4" w:space="0" w:color="auto"/>
              <w:left w:val="single" w:sz="4" w:space="0" w:color="auto"/>
              <w:bottom w:val="single" w:sz="4" w:space="0" w:color="000000"/>
              <w:right w:val="single" w:sz="4" w:space="0" w:color="auto"/>
            </w:tcBorders>
            <w:vAlign w:val="center"/>
            <w:hideMark/>
          </w:tcPr>
          <w:p w14:paraId="1C6ED32D" w14:textId="77777777" w:rsidR="003E2FCA" w:rsidRDefault="003E2FCA" w:rsidP="00C720A8">
            <w:pPr>
              <w:rPr>
                <w:rFonts w:ascii="Tahoma" w:hAnsi="Tahoma" w:cs="Tahoma"/>
                <w:b/>
                <w:bCs/>
                <w:sz w:val="20"/>
                <w:szCs w:val="20"/>
              </w:rPr>
            </w:pPr>
          </w:p>
        </w:tc>
        <w:tc>
          <w:tcPr>
            <w:tcW w:w="3543" w:type="dxa"/>
            <w:vMerge/>
            <w:tcBorders>
              <w:top w:val="single" w:sz="4" w:space="0" w:color="auto"/>
              <w:left w:val="single" w:sz="4" w:space="0" w:color="auto"/>
              <w:bottom w:val="single" w:sz="4" w:space="0" w:color="000000"/>
              <w:right w:val="single" w:sz="4" w:space="0" w:color="auto"/>
            </w:tcBorders>
            <w:vAlign w:val="center"/>
            <w:hideMark/>
          </w:tcPr>
          <w:p w14:paraId="62A81A3F" w14:textId="77777777" w:rsidR="003E2FCA" w:rsidRDefault="003E2FCA" w:rsidP="00C720A8">
            <w:pPr>
              <w:rPr>
                <w:rFonts w:ascii="Tahoma" w:hAnsi="Tahoma" w:cs="Tahoma"/>
                <w:b/>
                <w:bCs/>
                <w:color w:val="000000"/>
                <w:sz w:val="20"/>
                <w:szCs w:val="20"/>
              </w:rPr>
            </w:pPr>
          </w:p>
        </w:tc>
      </w:tr>
      <w:tr w:rsidR="003E2FCA" w14:paraId="0E9227CA" w14:textId="77777777" w:rsidTr="00C720A8">
        <w:trPr>
          <w:gridAfter w:val="1"/>
          <w:wAfter w:w="22" w:type="dxa"/>
          <w:trHeight w:val="300"/>
        </w:trPr>
        <w:tc>
          <w:tcPr>
            <w:tcW w:w="715" w:type="dxa"/>
            <w:tcBorders>
              <w:top w:val="nil"/>
              <w:left w:val="single" w:sz="4" w:space="0" w:color="auto"/>
              <w:bottom w:val="single" w:sz="4" w:space="0" w:color="auto"/>
              <w:right w:val="single" w:sz="4" w:space="0" w:color="auto"/>
            </w:tcBorders>
            <w:shd w:val="clear" w:color="000000" w:fill="FFFFFF"/>
            <w:noWrap/>
            <w:vAlign w:val="center"/>
            <w:hideMark/>
          </w:tcPr>
          <w:p w14:paraId="39CAAD77" w14:textId="77777777" w:rsidR="003E2FCA" w:rsidRPr="0027533E" w:rsidRDefault="003E2FCA" w:rsidP="00C720A8">
            <w:pPr>
              <w:jc w:val="center"/>
              <w:rPr>
                <w:rFonts w:ascii="Tahoma" w:hAnsi="Tahoma" w:cs="Tahoma"/>
                <w:sz w:val="20"/>
                <w:szCs w:val="20"/>
              </w:rPr>
            </w:pPr>
            <w:r w:rsidRPr="0027533E">
              <w:rPr>
                <w:rFonts w:ascii="Tahoma" w:hAnsi="Tahoma" w:cs="Tahoma"/>
                <w:sz w:val="20"/>
                <w:szCs w:val="20"/>
              </w:rPr>
              <w:t>4.3.</w:t>
            </w:r>
          </w:p>
        </w:tc>
        <w:tc>
          <w:tcPr>
            <w:tcW w:w="7536" w:type="dxa"/>
            <w:gridSpan w:val="2"/>
            <w:tcBorders>
              <w:top w:val="nil"/>
              <w:left w:val="nil"/>
              <w:bottom w:val="single" w:sz="4" w:space="0" w:color="auto"/>
              <w:right w:val="single" w:sz="4" w:space="0" w:color="auto"/>
            </w:tcBorders>
            <w:shd w:val="clear" w:color="000000" w:fill="FFFFFF"/>
            <w:noWrap/>
            <w:vAlign w:val="center"/>
            <w:hideMark/>
          </w:tcPr>
          <w:p w14:paraId="2F6D8393" w14:textId="77777777" w:rsidR="003E2FCA" w:rsidRPr="0027533E" w:rsidRDefault="003E2FCA" w:rsidP="00C720A8">
            <w:pPr>
              <w:rPr>
                <w:rFonts w:ascii="Tahoma" w:hAnsi="Tahoma" w:cs="Tahoma"/>
                <w:sz w:val="20"/>
                <w:szCs w:val="20"/>
              </w:rPr>
            </w:pPr>
            <w:r w:rsidRPr="0027533E">
              <w:rPr>
                <w:rFonts w:ascii="Tahoma" w:hAnsi="Tahoma" w:cs="Tahoma"/>
                <w:sz w:val="20"/>
                <w:szCs w:val="20"/>
              </w:rPr>
              <w:t>АЗС</w:t>
            </w:r>
          </w:p>
        </w:tc>
        <w:tc>
          <w:tcPr>
            <w:tcW w:w="3515" w:type="dxa"/>
            <w:vMerge/>
            <w:tcBorders>
              <w:top w:val="nil"/>
              <w:left w:val="single" w:sz="4" w:space="0" w:color="auto"/>
              <w:bottom w:val="single" w:sz="4" w:space="0" w:color="000000"/>
              <w:right w:val="single" w:sz="4" w:space="0" w:color="auto"/>
            </w:tcBorders>
            <w:vAlign w:val="center"/>
            <w:hideMark/>
          </w:tcPr>
          <w:p w14:paraId="175D73F9" w14:textId="77777777" w:rsidR="003E2FCA" w:rsidRDefault="003E2FCA" w:rsidP="00C720A8">
            <w:pPr>
              <w:rPr>
                <w:rFonts w:ascii="Tahoma" w:hAnsi="Tahoma" w:cs="Tahoma"/>
                <w:b/>
                <w:bCs/>
                <w:sz w:val="20"/>
                <w:szCs w:val="20"/>
              </w:rPr>
            </w:pPr>
          </w:p>
        </w:tc>
        <w:tc>
          <w:tcPr>
            <w:tcW w:w="3543" w:type="dxa"/>
            <w:vMerge/>
            <w:tcBorders>
              <w:top w:val="nil"/>
              <w:left w:val="single" w:sz="4" w:space="0" w:color="auto"/>
              <w:bottom w:val="single" w:sz="4" w:space="0" w:color="000000"/>
              <w:right w:val="single" w:sz="4" w:space="0" w:color="auto"/>
            </w:tcBorders>
            <w:vAlign w:val="center"/>
            <w:hideMark/>
          </w:tcPr>
          <w:p w14:paraId="7736DB90" w14:textId="77777777" w:rsidR="003E2FCA" w:rsidRDefault="003E2FCA" w:rsidP="00C720A8">
            <w:pPr>
              <w:rPr>
                <w:rFonts w:ascii="Tahoma" w:hAnsi="Tahoma" w:cs="Tahoma"/>
                <w:b/>
                <w:bCs/>
                <w:color w:val="000000"/>
                <w:sz w:val="20"/>
                <w:szCs w:val="20"/>
              </w:rPr>
            </w:pPr>
          </w:p>
        </w:tc>
      </w:tr>
      <w:tr w:rsidR="003E2FCA" w14:paraId="7338ABDF" w14:textId="77777777" w:rsidTr="00C720A8">
        <w:trPr>
          <w:gridAfter w:val="1"/>
          <w:wAfter w:w="22" w:type="dxa"/>
          <w:trHeight w:val="300"/>
        </w:trPr>
        <w:tc>
          <w:tcPr>
            <w:tcW w:w="715" w:type="dxa"/>
            <w:tcBorders>
              <w:top w:val="nil"/>
              <w:left w:val="single" w:sz="4" w:space="0" w:color="auto"/>
              <w:bottom w:val="single" w:sz="4" w:space="0" w:color="auto"/>
              <w:right w:val="single" w:sz="4" w:space="0" w:color="auto"/>
            </w:tcBorders>
            <w:shd w:val="clear" w:color="000000" w:fill="FFFFFF"/>
            <w:noWrap/>
            <w:vAlign w:val="center"/>
            <w:hideMark/>
          </w:tcPr>
          <w:p w14:paraId="180D2942" w14:textId="77777777" w:rsidR="003E2FCA" w:rsidRPr="0027533E" w:rsidRDefault="003E2FCA" w:rsidP="00C720A8">
            <w:pPr>
              <w:jc w:val="center"/>
              <w:rPr>
                <w:rFonts w:ascii="Tahoma" w:hAnsi="Tahoma" w:cs="Tahoma"/>
                <w:sz w:val="20"/>
                <w:szCs w:val="20"/>
              </w:rPr>
            </w:pPr>
            <w:r w:rsidRPr="0027533E">
              <w:rPr>
                <w:rFonts w:ascii="Tahoma" w:hAnsi="Tahoma" w:cs="Tahoma"/>
                <w:sz w:val="20"/>
                <w:szCs w:val="20"/>
              </w:rPr>
              <w:t>4.4.</w:t>
            </w:r>
          </w:p>
        </w:tc>
        <w:tc>
          <w:tcPr>
            <w:tcW w:w="7536" w:type="dxa"/>
            <w:gridSpan w:val="2"/>
            <w:tcBorders>
              <w:top w:val="nil"/>
              <w:left w:val="nil"/>
              <w:bottom w:val="single" w:sz="4" w:space="0" w:color="auto"/>
              <w:right w:val="single" w:sz="4" w:space="0" w:color="auto"/>
            </w:tcBorders>
            <w:shd w:val="clear" w:color="000000" w:fill="FFFFFF"/>
            <w:noWrap/>
            <w:vAlign w:val="center"/>
            <w:hideMark/>
          </w:tcPr>
          <w:p w14:paraId="4BF47748" w14:textId="77777777" w:rsidR="003E2FCA" w:rsidRPr="0027533E" w:rsidRDefault="003E2FCA" w:rsidP="00C720A8">
            <w:pPr>
              <w:rPr>
                <w:rFonts w:ascii="Tahoma" w:hAnsi="Tahoma" w:cs="Tahoma"/>
                <w:sz w:val="20"/>
                <w:szCs w:val="20"/>
              </w:rPr>
            </w:pPr>
            <w:r w:rsidRPr="0027533E">
              <w:rPr>
                <w:rFonts w:ascii="Tahoma" w:hAnsi="Tahoma" w:cs="Tahoma"/>
                <w:sz w:val="20"/>
                <w:szCs w:val="20"/>
              </w:rPr>
              <w:t>Автоуслуги и запчасти</w:t>
            </w:r>
          </w:p>
        </w:tc>
        <w:tc>
          <w:tcPr>
            <w:tcW w:w="3515" w:type="dxa"/>
            <w:vMerge/>
            <w:tcBorders>
              <w:top w:val="nil"/>
              <w:left w:val="single" w:sz="4" w:space="0" w:color="auto"/>
              <w:bottom w:val="single" w:sz="4" w:space="0" w:color="000000"/>
              <w:right w:val="single" w:sz="4" w:space="0" w:color="auto"/>
            </w:tcBorders>
            <w:vAlign w:val="center"/>
            <w:hideMark/>
          </w:tcPr>
          <w:p w14:paraId="7C90E8BC" w14:textId="77777777" w:rsidR="003E2FCA" w:rsidRDefault="003E2FCA" w:rsidP="00C720A8">
            <w:pPr>
              <w:rPr>
                <w:rFonts w:ascii="Tahoma" w:hAnsi="Tahoma" w:cs="Tahoma"/>
                <w:b/>
                <w:bCs/>
                <w:sz w:val="20"/>
                <w:szCs w:val="20"/>
              </w:rPr>
            </w:pPr>
          </w:p>
        </w:tc>
        <w:tc>
          <w:tcPr>
            <w:tcW w:w="3543" w:type="dxa"/>
            <w:vMerge/>
            <w:tcBorders>
              <w:top w:val="nil"/>
              <w:left w:val="single" w:sz="4" w:space="0" w:color="auto"/>
              <w:bottom w:val="single" w:sz="4" w:space="0" w:color="000000"/>
              <w:right w:val="single" w:sz="4" w:space="0" w:color="auto"/>
            </w:tcBorders>
            <w:vAlign w:val="center"/>
            <w:hideMark/>
          </w:tcPr>
          <w:p w14:paraId="5E3D5D7F" w14:textId="77777777" w:rsidR="003E2FCA" w:rsidRDefault="003E2FCA" w:rsidP="00C720A8">
            <w:pPr>
              <w:rPr>
                <w:rFonts w:ascii="Tahoma" w:hAnsi="Tahoma" w:cs="Tahoma"/>
                <w:b/>
                <w:bCs/>
                <w:color w:val="000000"/>
                <w:sz w:val="20"/>
                <w:szCs w:val="20"/>
              </w:rPr>
            </w:pPr>
          </w:p>
        </w:tc>
      </w:tr>
      <w:tr w:rsidR="003E2FCA" w14:paraId="41B199BC" w14:textId="77777777" w:rsidTr="00C720A8">
        <w:trPr>
          <w:gridAfter w:val="1"/>
          <w:wAfter w:w="22" w:type="dxa"/>
          <w:trHeight w:val="300"/>
        </w:trPr>
        <w:tc>
          <w:tcPr>
            <w:tcW w:w="715" w:type="dxa"/>
            <w:tcBorders>
              <w:top w:val="nil"/>
              <w:left w:val="single" w:sz="4" w:space="0" w:color="auto"/>
              <w:bottom w:val="single" w:sz="4" w:space="0" w:color="auto"/>
              <w:right w:val="single" w:sz="4" w:space="0" w:color="auto"/>
            </w:tcBorders>
            <w:shd w:val="clear" w:color="000000" w:fill="FFFFFF"/>
            <w:noWrap/>
            <w:vAlign w:val="center"/>
            <w:hideMark/>
          </w:tcPr>
          <w:p w14:paraId="602688F0" w14:textId="77777777" w:rsidR="003E2FCA" w:rsidRPr="0027533E" w:rsidRDefault="003E2FCA" w:rsidP="00C720A8">
            <w:pPr>
              <w:jc w:val="center"/>
              <w:rPr>
                <w:rFonts w:ascii="Tahoma" w:hAnsi="Tahoma" w:cs="Tahoma"/>
                <w:sz w:val="20"/>
                <w:szCs w:val="20"/>
              </w:rPr>
            </w:pPr>
            <w:r w:rsidRPr="0027533E">
              <w:rPr>
                <w:rFonts w:ascii="Tahoma" w:hAnsi="Tahoma" w:cs="Tahoma"/>
                <w:sz w:val="20"/>
                <w:szCs w:val="20"/>
              </w:rPr>
              <w:t>4.5.</w:t>
            </w:r>
          </w:p>
        </w:tc>
        <w:tc>
          <w:tcPr>
            <w:tcW w:w="7536" w:type="dxa"/>
            <w:gridSpan w:val="2"/>
            <w:tcBorders>
              <w:top w:val="nil"/>
              <w:left w:val="nil"/>
              <w:bottom w:val="single" w:sz="4" w:space="0" w:color="auto"/>
              <w:right w:val="single" w:sz="4" w:space="0" w:color="auto"/>
            </w:tcBorders>
            <w:shd w:val="clear" w:color="000000" w:fill="FFFFFF"/>
            <w:noWrap/>
            <w:vAlign w:val="center"/>
            <w:hideMark/>
          </w:tcPr>
          <w:p w14:paraId="41605400" w14:textId="77777777" w:rsidR="003E2FCA" w:rsidRPr="0027533E" w:rsidRDefault="003E2FCA" w:rsidP="00C720A8">
            <w:pPr>
              <w:rPr>
                <w:rFonts w:ascii="Tahoma" w:hAnsi="Tahoma" w:cs="Tahoma"/>
                <w:sz w:val="20"/>
                <w:szCs w:val="20"/>
              </w:rPr>
            </w:pPr>
            <w:r w:rsidRPr="0027533E">
              <w:rPr>
                <w:rFonts w:ascii="Tahoma" w:hAnsi="Tahoma" w:cs="Tahoma"/>
                <w:sz w:val="20"/>
                <w:szCs w:val="20"/>
              </w:rPr>
              <w:t>Такси и каршеринг</w:t>
            </w:r>
          </w:p>
        </w:tc>
        <w:tc>
          <w:tcPr>
            <w:tcW w:w="3515" w:type="dxa"/>
            <w:vMerge/>
            <w:tcBorders>
              <w:top w:val="nil"/>
              <w:left w:val="single" w:sz="4" w:space="0" w:color="auto"/>
              <w:bottom w:val="single" w:sz="4" w:space="0" w:color="000000"/>
              <w:right w:val="single" w:sz="4" w:space="0" w:color="auto"/>
            </w:tcBorders>
            <w:vAlign w:val="center"/>
            <w:hideMark/>
          </w:tcPr>
          <w:p w14:paraId="278364A9" w14:textId="77777777" w:rsidR="003E2FCA" w:rsidRDefault="003E2FCA" w:rsidP="00C720A8">
            <w:pPr>
              <w:rPr>
                <w:rFonts w:ascii="Tahoma" w:hAnsi="Tahoma" w:cs="Tahoma"/>
                <w:b/>
                <w:bCs/>
                <w:sz w:val="20"/>
                <w:szCs w:val="20"/>
              </w:rPr>
            </w:pPr>
          </w:p>
        </w:tc>
        <w:tc>
          <w:tcPr>
            <w:tcW w:w="3543" w:type="dxa"/>
            <w:vMerge/>
            <w:tcBorders>
              <w:top w:val="nil"/>
              <w:left w:val="single" w:sz="4" w:space="0" w:color="auto"/>
              <w:bottom w:val="single" w:sz="4" w:space="0" w:color="000000"/>
              <w:right w:val="single" w:sz="4" w:space="0" w:color="auto"/>
            </w:tcBorders>
            <w:vAlign w:val="center"/>
            <w:hideMark/>
          </w:tcPr>
          <w:p w14:paraId="76B96701" w14:textId="77777777" w:rsidR="003E2FCA" w:rsidRDefault="003E2FCA" w:rsidP="00C720A8">
            <w:pPr>
              <w:rPr>
                <w:rFonts w:ascii="Tahoma" w:hAnsi="Tahoma" w:cs="Tahoma"/>
                <w:b/>
                <w:bCs/>
                <w:color w:val="000000"/>
                <w:sz w:val="20"/>
                <w:szCs w:val="20"/>
              </w:rPr>
            </w:pPr>
          </w:p>
        </w:tc>
      </w:tr>
      <w:tr w:rsidR="003E2FCA" w14:paraId="2ABEB10C" w14:textId="77777777" w:rsidTr="00C720A8">
        <w:trPr>
          <w:gridAfter w:val="1"/>
          <w:wAfter w:w="22" w:type="dxa"/>
          <w:trHeight w:val="300"/>
        </w:trPr>
        <w:tc>
          <w:tcPr>
            <w:tcW w:w="715" w:type="dxa"/>
            <w:tcBorders>
              <w:top w:val="nil"/>
              <w:left w:val="single" w:sz="4" w:space="0" w:color="auto"/>
              <w:bottom w:val="single" w:sz="4" w:space="0" w:color="auto"/>
              <w:right w:val="single" w:sz="4" w:space="0" w:color="auto"/>
            </w:tcBorders>
            <w:shd w:val="clear" w:color="000000" w:fill="FFFFFF"/>
            <w:noWrap/>
            <w:vAlign w:val="center"/>
            <w:hideMark/>
          </w:tcPr>
          <w:p w14:paraId="55638B40" w14:textId="77777777" w:rsidR="003E2FCA" w:rsidRPr="0027533E" w:rsidRDefault="003E2FCA" w:rsidP="00C720A8">
            <w:pPr>
              <w:jc w:val="center"/>
              <w:rPr>
                <w:rFonts w:ascii="Tahoma" w:hAnsi="Tahoma" w:cs="Tahoma"/>
                <w:sz w:val="20"/>
                <w:szCs w:val="20"/>
              </w:rPr>
            </w:pPr>
            <w:r w:rsidRPr="0027533E">
              <w:rPr>
                <w:rFonts w:ascii="Tahoma" w:hAnsi="Tahoma" w:cs="Tahoma"/>
                <w:sz w:val="20"/>
                <w:szCs w:val="20"/>
              </w:rPr>
              <w:t>4.6.</w:t>
            </w:r>
          </w:p>
        </w:tc>
        <w:tc>
          <w:tcPr>
            <w:tcW w:w="7536" w:type="dxa"/>
            <w:gridSpan w:val="2"/>
            <w:tcBorders>
              <w:top w:val="nil"/>
              <w:left w:val="nil"/>
              <w:bottom w:val="single" w:sz="4" w:space="0" w:color="auto"/>
              <w:right w:val="single" w:sz="4" w:space="0" w:color="auto"/>
            </w:tcBorders>
            <w:shd w:val="clear" w:color="000000" w:fill="FFFFFF"/>
            <w:noWrap/>
            <w:vAlign w:val="center"/>
            <w:hideMark/>
          </w:tcPr>
          <w:p w14:paraId="66E1FACD" w14:textId="77777777" w:rsidR="003E2FCA" w:rsidRPr="0027533E" w:rsidRDefault="003E2FCA" w:rsidP="00C720A8">
            <w:pPr>
              <w:rPr>
                <w:rFonts w:ascii="Tahoma" w:hAnsi="Tahoma" w:cs="Tahoma"/>
                <w:sz w:val="20"/>
                <w:szCs w:val="20"/>
              </w:rPr>
            </w:pPr>
            <w:r w:rsidRPr="0027533E">
              <w:rPr>
                <w:rFonts w:ascii="Tahoma" w:hAnsi="Tahoma" w:cs="Tahoma"/>
                <w:sz w:val="20"/>
                <w:szCs w:val="20"/>
              </w:rPr>
              <w:t>Шопинг</w:t>
            </w:r>
          </w:p>
        </w:tc>
        <w:tc>
          <w:tcPr>
            <w:tcW w:w="3515" w:type="dxa"/>
            <w:vMerge/>
            <w:tcBorders>
              <w:top w:val="nil"/>
              <w:left w:val="single" w:sz="4" w:space="0" w:color="auto"/>
              <w:bottom w:val="single" w:sz="4" w:space="0" w:color="000000"/>
              <w:right w:val="single" w:sz="4" w:space="0" w:color="auto"/>
            </w:tcBorders>
            <w:vAlign w:val="center"/>
            <w:hideMark/>
          </w:tcPr>
          <w:p w14:paraId="065F818A" w14:textId="77777777" w:rsidR="003E2FCA" w:rsidRDefault="003E2FCA" w:rsidP="00C720A8">
            <w:pPr>
              <w:rPr>
                <w:rFonts w:ascii="Tahoma" w:hAnsi="Tahoma" w:cs="Tahoma"/>
                <w:b/>
                <w:bCs/>
                <w:sz w:val="20"/>
                <w:szCs w:val="20"/>
              </w:rPr>
            </w:pPr>
          </w:p>
        </w:tc>
        <w:tc>
          <w:tcPr>
            <w:tcW w:w="3543" w:type="dxa"/>
            <w:vMerge/>
            <w:tcBorders>
              <w:top w:val="nil"/>
              <w:left w:val="single" w:sz="4" w:space="0" w:color="auto"/>
              <w:bottom w:val="single" w:sz="4" w:space="0" w:color="000000"/>
              <w:right w:val="single" w:sz="4" w:space="0" w:color="auto"/>
            </w:tcBorders>
            <w:vAlign w:val="center"/>
            <w:hideMark/>
          </w:tcPr>
          <w:p w14:paraId="18F9304D" w14:textId="77777777" w:rsidR="003E2FCA" w:rsidRDefault="003E2FCA" w:rsidP="00C720A8">
            <w:pPr>
              <w:rPr>
                <w:rFonts w:ascii="Tahoma" w:hAnsi="Tahoma" w:cs="Tahoma"/>
                <w:b/>
                <w:bCs/>
                <w:color w:val="000000"/>
                <w:sz w:val="20"/>
                <w:szCs w:val="20"/>
              </w:rPr>
            </w:pPr>
          </w:p>
        </w:tc>
      </w:tr>
      <w:tr w:rsidR="003E2FCA" w14:paraId="0FDFFD60" w14:textId="77777777" w:rsidTr="00C720A8">
        <w:trPr>
          <w:gridAfter w:val="1"/>
          <w:wAfter w:w="22" w:type="dxa"/>
          <w:trHeight w:val="300"/>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709AE03D" w14:textId="77777777" w:rsidR="003E2FCA" w:rsidRPr="0027533E" w:rsidRDefault="003E2FCA" w:rsidP="00C720A8">
            <w:pPr>
              <w:jc w:val="center"/>
              <w:rPr>
                <w:rFonts w:ascii="Tahoma" w:hAnsi="Tahoma" w:cs="Tahoma"/>
                <w:sz w:val="20"/>
                <w:szCs w:val="20"/>
              </w:rPr>
            </w:pPr>
            <w:r w:rsidRPr="0027533E">
              <w:rPr>
                <w:rFonts w:ascii="Tahoma" w:hAnsi="Tahoma" w:cs="Tahoma"/>
                <w:sz w:val="20"/>
                <w:szCs w:val="20"/>
              </w:rPr>
              <w:t>4.7.</w:t>
            </w:r>
          </w:p>
        </w:tc>
        <w:tc>
          <w:tcPr>
            <w:tcW w:w="7536" w:type="dxa"/>
            <w:gridSpan w:val="2"/>
            <w:tcBorders>
              <w:top w:val="nil"/>
              <w:left w:val="nil"/>
              <w:bottom w:val="single" w:sz="4" w:space="0" w:color="auto"/>
              <w:right w:val="single" w:sz="4" w:space="0" w:color="auto"/>
            </w:tcBorders>
            <w:shd w:val="clear" w:color="000000" w:fill="FFFFFF"/>
            <w:noWrap/>
            <w:vAlign w:val="center"/>
          </w:tcPr>
          <w:p w14:paraId="00997DEC" w14:textId="77777777" w:rsidR="003E2FCA" w:rsidRPr="0027533E" w:rsidRDefault="003E2FCA" w:rsidP="00C720A8">
            <w:pPr>
              <w:rPr>
                <w:rFonts w:ascii="Tahoma" w:hAnsi="Tahoma" w:cs="Tahoma"/>
                <w:sz w:val="20"/>
                <w:szCs w:val="20"/>
              </w:rPr>
            </w:pPr>
            <w:r w:rsidRPr="0027533E">
              <w:rPr>
                <w:rFonts w:ascii="Tahoma" w:hAnsi="Tahoma" w:cs="Tahoma"/>
                <w:sz w:val="20"/>
                <w:szCs w:val="20"/>
              </w:rPr>
              <w:t>Маркетплейсы</w:t>
            </w:r>
          </w:p>
        </w:tc>
        <w:tc>
          <w:tcPr>
            <w:tcW w:w="3515" w:type="dxa"/>
            <w:vMerge/>
            <w:tcBorders>
              <w:top w:val="nil"/>
              <w:left w:val="single" w:sz="4" w:space="0" w:color="auto"/>
              <w:bottom w:val="single" w:sz="4" w:space="0" w:color="000000"/>
              <w:right w:val="single" w:sz="4" w:space="0" w:color="auto"/>
            </w:tcBorders>
            <w:vAlign w:val="center"/>
          </w:tcPr>
          <w:p w14:paraId="1B8080A8" w14:textId="77777777" w:rsidR="003E2FCA" w:rsidRDefault="003E2FCA" w:rsidP="00C720A8">
            <w:pPr>
              <w:rPr>
                <w:rFonts w:ascii="Tahoma" w:hAnsi="Tahoma" w:cs="Tahoma"/>
                <w:b/>
                <w:bCs/>
                <w:sz w:val="20"/>
                <w:szCs w:val="20"/>
              </w:rPr>
            </w:pPr>
          </w:p>
        </w:tc>
        <w:tc>
          <w:tcPr>
            <w:tcW w:w="3543" w:type="dxa"/>
            <w:vMerge/>
            <w:tcBorders>
              <w:top w:val="nil"/>
              <w:left w:val="single" w:sz="4" w:space="0" w:color="auto"/>
              <w:bottom w:val="single" w:sz="4" w:space="0" w:color="000000"/>
              <w:right w:val="single" w:sz="4" w:space="0" w:color="auto"/>
            </w:tcBorders>
            <w:vAlign w:val="center"/>
          </w:tcPr>
          <w:p w14:paraId="2BD4702B" w14:textId="77777777" w:rsidR="003E2FCA" w:rsidRDefault="003E2FCA" w:rsidP="00C720A8">
            <w:pPr>
              <w:rPr>
                <w:rFonts w:ascii="Tahoma" w:hAnsi="Tahoma" w:cs="Tahoma"/>
                <w:b/>
                <w:bCs/>
                <w:color w:val="000000"/>
                <w:sz w:val="20"/>
                <w:szCs w:val="20"/>
              </w:rPr>
            </w:pPr>
          </w:p>
        </w:tc>
      </w:tr>
      <w:tr w:rsidR="003E2FCA" w14:paraId="22C6135D" w14:textId="77777777" w:rsidTr="00C720A8">
        <w:trPr>
          <w:gridAfter w:val="1"/>
          <w:wAfter w:w="22" w:type="dxa"/>
          <w:trHeight w:val="300"/>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1F07FC3E" w14:textId="77777777" w:rsidR="003E2FCA" w:rsidRPr="0027533E" w:rsidRDefault="003E2FCA" w:rsidP="00C720A8">
            <w:pPr>
              <w:jc w:val="center"/>
              <w:rPr>
                <w:rFonts w:ascii="Tahoma" w:hAnsi="Tahoma" w:cs="Tahoma"/>
                <w:sz w:val="20"/>
                <w:szCs w:val="20"/>
              </w:rPr>
            </w:pPr>
            <w:r w:rsidRPr="0027533E">
              <w:rPr>
                <w:rFonts w:ascii="Tahoma" w:hAnsi="Tahoma" w:cs="Tahoma"/>
                <w:sz w:val="20"/>
                <w:szCs w:val="20"/>
              </w:rPr>
              <w:t>4.8.</w:t>
            </w:r>
          </w:p>
        </w:tc>
        <w:tc>
          <w:tcPr>
            <w:tcW w:w="7536" w:type="dxa"/>
            <w:gridSpan w:val="2"/>
            <w:tcBorders>
              <w:top w:val="nil"/>
              <w:left w:val="nil"/>
              <w:bottom w:val="single" w:sz="4" w:space="0" w:color="auto"/>
              <w:right w:val="single" w:sz="4" w:space="0" w:color="auto"/>
            </w:tcBorders>
            <w:shd w:val="clear" w:color="000000" w:fill="FFFFFF"/>
            <w:noWrap/>
            <w:vAlign w:val="center"/>
          </w:tcPr>
          <w:p w14:paraId="1064A6BD" w14:textId="77777777" w:rsidR="003E2FCA" w:rsidRPr="0027533E" w:rsidRDefault="003E2FCA" w:rsidP="00C720A8">
            <w:pPr>
              <w:rPr>
                <w:rFonts w:ascii="Tahoma" w:hAnsi="Tahoma" w:cs="Tahoma"/>
                <w:sz w:val="20"/>
                <w:szCs w:val="20"/>
              </w:rPr>
            </w:pPr>
            <w:r w:rsidRPr="0027533E">
              <w:rPr>
                <w:rFonts w:ascii="Tahoma" w:hAnsi="Tahoma" w:cs="Tahoma"/>
                <w:sz w:val="20"/>
                <w:szCs w:val="20"/>
              </w:rPr>
              <w:t>Кафе, рестораны, фастфуд</w:t>
            </w:r>
          </w:p>
        </w:tc>
        <w:tc>
          <w:tcPr>
            <w:tcW w:w="3515" w:type="dxa"/>
            <w:vMerge/>
            <w:tcBorders>
              <w:top w:val="nil"/>
              <w:left w:val="single" w:sz="4" w:space="0" w:color="auto"/>
              <w:bottom w:val="single" w:sz="4" w:space="0" w:color="000000"/>
              <w:right w:val="single" w:sz="4" w:space="0" w:color="auto"/>
            </w:tcBorders>
            <w:vAlign w:val="center"/>
          </w:tcPr>
          <w:p w14:paraId="005D5214" w14:textId="77777777" w:rsidR="003E2FCA" w:rsidRDefault="003E2FCA" w:rsidP="00C720A8">
            <w:pPr>
              <w:rPr>
                <w:rFonts w:ascii="Tahoma" w:hAnsi="Tahoma" w:cs="Tahoma"/>
                <w:b/>
                <w:bCs/>
                <w:sz w:val="20"/>
                <w:szCs w:val="20"/>
              </w:rPr>
            </w:pPr>
          </w:p>
        </w:tc>
        <w:tc>
          <w:tcPr>
            <w:tcW w:w="3543" w:type="dxa"/>
            <w:vMerge/>
            <w:tcBorders>
              <w:top w:val="nil"/>
              <w:left w:val="single" w:sz="4" w:space="0" w:color="auto"/>
              <w:bottom w:val="single" w:sz="4" w:space="0" w:color="000000"/>
              <w:right w:val="single" w:sz="4" w:space="0" w:color="auto"/>
            </w:tcBorders>
            <w:vAlign w:val="center"/>
          </w:tcPr>
          <w:p w14:paraId="172287F2" w14:textId="77777777" w:rsidR="003E2FCA" w:rsidRDefault="003E2FCA" w:rsidP="00C720A8">
            <w:pPr>
              <w:rPr>
                <w:rFonts w:ascii="Tahoma" w:hAnsi="Tahoma" w:cs="Tahoma"/>
                <w:b/>
                <w:bCs/>
                <w:color w:val="000000"/>
                <w:sz w:val="20"/>
                <w:szCs w:val="20"/>
              </w:rPr>
            </w:pPr>
          </w:p>
        </w:tc>
      </w:tr>
      <w:tr w:rsidR="003E2FCA" w14:paraId="21060AD9" w14:textId="77777777" w:rsidTr="00C720A8">
        <w:trPr>
          <w:gridAfter w:val="1"/>
          <w:wAfter w:w="22" w:type="dxa"/>
          <w:trHeight w:val="300"/>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23E1A914" w14:textId="77777777" w:rsidR="003E2FCA" w:rsidRPr="0027533E" w:rsidRDefault="003E2FCA" w:rsidP="00C720A8">
            <w:pPr>
              <w:jc w:val="center"/>
              <w:rPr>
                <w:rFonts w:ascii="Tahoma" w:hAnsi="Tahoma" w:cs="Tahoma"/>
                <w:sz w:val="20"/>
                <w:szCs w:val="20"/>
              </w:rPr>
            </w:pPr>
            <w:r w:rsidRPr="0027533E">
              <w:rPr>
                <w:rFonts w:ascii="Tahoma" w:hAnsi="Tahoma" w:cs="Tahoma"/>
                <w:sz w:val="20"/>
                <w:szCs w:val="20"/>
              </w:rPr>
              <w:t>4.9.</w:t>
            </w:r>
          </w:p>
        </w:tc>
        <w:tc>
          <w:tcPr>
            <w:tcW w:w="7536" w:type="dxa"/>
            <w:gridSpan w:val="2"/>
            <w:tcBorders>
              <w:top w:val="nil"/>
              <w:left w:val="nil"/>
              <w:bottom w:val="single" w:sz="4" w:space="0" w:color="auto"/>
              <w:right w:val="single" w:sz="4" w:space="0" w:color="auto"/>
            </w:tcBorders>
            <w:shd w:val="clear" w:color="000000" w:fill="FFFFFF"/>
            <w:noWrap/>
            <w:vAlign w:val="center"/>
          </w:tcPr>
          <w:p w14:paraId="232020CF" w14:textId="77777777" w:rsidR="003E2FCA" w:rsidRPr="0027533E" w:rsidRDefault="003E2FCA" w:rsidP="00C720A8">
            <w:pPr>
              <w:rPr>
                <w:rFonts w:ascii="Tahoma" w:hAnsi="Tahoma" w:cs="Tahoma"/>
                <w:sz w:val="20"/>
                <w:szCs w:val="20"/>
              </w:rPr>
            </w:pPr>
            <w:r w:rsidRPr="0027533E">
              <w:rPr>
                <w:rFonts w:ascii="Tahoma" w:hAnsi="Tahoma" w:cs="Tahoma"/>
                <w:sz w:val="20"/>
                <w:szCs w:val="20"/>
              </w:rPr>
              <w:t>Салоны красоты и парфюмерия</w:t>
            </w:r>
          </w:p>
        </w:tc>
        <w:tc>
          <w:tcPr>
            <w:tcW w:w="3515" w:type="dxa"/>
            <w:vMerge/>
            <w:tcBorders>
              <w:top w:val="nil"/>
              <w:left w:val="single" w:sz="4" w:space="0" w:color="auto"/>
              <w:bottom w:val="single" w:sz="4" w:space="0" w:color="000000"/>
              <w:right w:val="single" w:sz="4" w:space="0" w:color="auto"/>
            </w:tcBorders>
            <w:vAlign w:val="center"/>
          </w:tcPr>
          <w:p w14:paraId="2297760D" w14:textId="77777777" w:rsidR="003E2FCA" w:rsidRDefault="003E2FCA" w:rsidP="00C720A8">
            <w:pPr>
              <w:rPr>
                <w:rFonts w:ascii="Tahoma" w:hAnsi="Tahoma" w:cs="Tahoma"/>
                <w:b/>
                <w:bCs/>
                <w:sz w:val="20"/>
                <w:szCs w:val="20"/>
              </w:rPr>
            </w:pPr>
          </w:p>
        </w:tc>
        <w:tc>
          <w:tcPr>
            <w:tcW w:w="3543" w:type="dxa"/>
            <w:vMerge/>
            <w:tcBorders>
              <w:top w:val="nil"/>
              <w:left w:val="single" w:sz="4" w:space="0" w:color="auto"/>
              <w:bottom w:val="single" w:sz="4" w:space="0" w:color="000000"/>
              <w:right w:val="single" w:sz="4" w:space="0" w:color="auto"/>
            </w:tcBorders>
            <w:vAlign w:val="center"/>
          </w:tcPr>
          <w:p w14:paraId="279883D3" w14:textId="77777777" w:rsidR="003E2FCA" w:rsidRDefault="003E2FCA" w:rsidP="00C720A8">
            <w:pPr>
              <w:rPr>
                <w:rFonts w:ascii="Tahoma" w:hAnsi="Tahoma" w:cs="Tahoma"/>
                <w:b/>
                <w:bCs/>
                <w:color w:val="000000"/>
                <w:sz w:val="20"/>
                <w:szCs w:val="20"/>
              </w:rPr>
            </w:pPr>
          </w:p>
        </w:tc>
      </w:tr>
      <w:tr w:rsidR="003E2FCA" w14:paraId="4E7F0A58" w14:textId="77777777" w:rsidTr="00C720A8">
        <w:trPr>
          <w:gridAfter w:val="1"/>
          <w:wAfter w:w="22" w:type="dxa"/>
          <w:trHeight w:val="300"/>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7FDAEE76" w14:textId="77777777" w:rsidR="003E2FCA" w:rsidRPr="0027533E" w:rsidRDefault="003E2FCA" w:rsidP="00C720A8">
            <w:pPr>
              <w:jc w:val="center"/>
              <w:rPr>
                <w:rFonts w:ascii="Tahoma" w:hAnsi="Tahoma" w:cs="Tahoma"/>
                <w:sz w:val="20"/>
                <w:szCs w:val="20"/>
              </w:rPr>
            </w:pPr>
            <w:r w:rsidRPr="0027533E">
              <w:rPr>
                <w:rFonts w:ascii="Tahoma" w:hAnsi="Tahoma" w:cs="Tahoma"/>
                <w:sz w:val="20"/>
                <w:szCs w:val="20"/>
              </w:rPr>
              <w:t>4.10.</w:t>
            </w:r>
          </w:p>
        </w:tc>
        <w:tc>
          <w:tcPr>
            <w:tcW w:w="7536" w:type="dxa"/>
            <w:gridSpan w:val="2"/>
            <w:tcBorders>
              <w:top w:val="nil"/>
              <w:left w:val="nil"/>
              <w:bottom w:val="single" w:sz="4" w:space="0" w:color="auto"/>
              <w:right w:val="single" w:sz="4" w:space="0" w:color="auto"/>
            </w:tcBorders>
            <w:shd w:val="clear" w:color="000000" w:fill="FFFFFF"/>
            <w:noWrap/>
            <w:vAlign w:val="center"/>
          </w:tcPr>
          <w:p w14:paraId="0CFB1796" w14:textId="77777777" w:rsidR="003E2FCA" w:rsidRPr="0027533E" w:rsidRDefault="003E2FCA" w:rsidP="00C720A8">
            <w:pPr>
              <w:rPr>
                <w:rFonts w:ascii="Tahoma" w:hAnsi="Tahoma" w:cs="Tahoma"/>
                <w:sz w:val="20"/>
                <w:szCs w:val="20"/>
              </w:rPr>
            </w:pPr>
            <w:r w:rsidRPr="0027533E">
              <w:rPr>
                <w:rFonts w:ascii="Tahoma" w:hAnsi="Tahoma" w:cs="Tahoma"/>
                <w:sz w:val="20"/>
                <w:szCs w:val="20"/>
              </w:rPr>
              <w:t>Кино и развлечения</w:t>
            </w:r>
          </w:p>
        </w:tc>
        <w:tc>
          <w:tcPr>
            <w:tcW w:w="3515" w:type="dxa"/>
            <w:vMerge/>
            <w:tcBorders>
              <w:top w:val="nil"/>
              <w:left w:val="single" w:sz="4" w:space="0" w:color="auto"/>
              <w:bottom w:val="single" w:sz="4" w:space="0" w:color="000000"/>
              <w:right w:val="single" w:sz="4" w:space="0" w:color="auto"/>
            </w:tcBorders>
            <w:vAlign w:val="center"/>
          </w:tcPr>
          <w:p w14:paraId="17C48C91" w14:textId="77777777" w:rsidR="003E2FCA" w:rsidRDefault="003E2FCA" w:rsidP="00C720A8">
            <w:pPr>
              <w:rPr>
                <w:rFonts w:ascii="Tahoma" w:hAnsi="Tahoma" w:cs="Tahoma"/>
                <w:b/>
                <w:bCs/>
                <w:sz w:val="20"/>
                <w:szCs w:val="20"/>
              </w:rPr>
            </w:pPr>
          </w:p>
        </w:tc>
        <w:tc>
          <w:tcPr>
            <w:tcW w:w="3543" w:type="dxa"/>
            <w:vMerge/>
            <w:tcBorders>
              <w:top w:val="nil"/>
              <w:left w:val="single" w:sz="4" w:space="0" w:color="auto"/>
              <w:bottom w:val="single" w:sz="4" w:space="0" w:color="000000"/>
              <w:right w:val="single" w:sz="4" w:space="0" w:color="auto"/>
            </w:tcBorders>
            <w:vAlign w:val="center"/>
          </w:tcPr>
          <w:p w14:paraId="6A515D8E" w14:textId="77777777" w:rsidR="003E2FCA" w:rsidRDefault="003E2FCA" w:rsidP="00C720A8">
            <w:pPr>
              <w:rPr>
                <w:rFonts w:ascii="Tahoma" w:hAnsi="Tahoma" w:cs="Tahoma"/>
                <w:b/>
                <w:bCs/>
                <w:color w:val="000000"/>
                <w:sz w:val="20"/>
                <w:szCs w:val="20"/>
              </w:rPr>
            </w:pPr>
          </w:p>
        </w:tc>
      </w:tr>
      <w:tr w:rsidR="003E2FCA" w14:paraId="288AC7F3" w14:textId="77777777" w:rsidTr="00C720A8">
        <w:trPr>
          <w:gridAfter w:val="1"/>
          <w:wAfter w:w="22" w:type="dxa"/>
          <w:trHeight w:val="300"/>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7ABCB22C" w14:textId="77777777" w:rsidR="003E2FCA" w:rsidRPr="0027533E" w:rsidRDefault="003E2FCA" w:rsidP="00C720A8">
            <w:pPr>
              <w:jc w:val="center"/>
              <w:rPr>
                <w:rFonts w:ascii="Tahoma" w:hAnsi="Tahoma" w:cs="Tahoma"/>
                <w:sz w:val="20"/>
                <w:szCs w:val="20"/>
              </w:rPr>
            </w:pPr>
            <w:r w:rsidRPr="0027533E">
              <w:rPr>
                <w:rFonts w:ascii="Tahoma" w:hAnsi="Tahoma" w:cs="Tahoma"/>
                <w:sz w:val="20"/>
                <w:szCs w:val="20"/>
              </w:rPr>
              <w:t>4.11.</w:t>
            </w:r>
          </w:p>
        </w:tc>
        <w:tc>
          <w:tcPr>
            <w:tcW w:w="7536" w:type="dxa"/>
            <w:gridSpan w:val="2"/>
            <w:tcBorders>
              <w:top w:val="nil"/>
              <w:left w:val="nil"/>
              <w:bottom w:val="single" w:sz="4" w:space="0" w:color="auto"/>
              <w:right w:val="single" w:sz="4" w:space="0" w:color="auto"/>
            </w:tcBorders>
            <w:shd w:val="clear" w:color="000000" w:fill="FFFFFF"/>
            <w:noWrap/>
            <w:vAlign w:val="center"/>
          </w:tcPr>
          <w:p w14:paraId="340C4AE1" w14:textId="77777777" w:rsidR="003E2FCA" w:rsidRPr="0027533E" w:rsidRDefault="003E2FCA" w:rsidP="00C720A8">
            <w:pPr>
              <w:rPr>
                <w:rFonts w:ascii="Tahoma" w:hAnsi="Tahoma" w:cs="Tahoma"/>
                <w:sz w:val="20"/>
                <w:szCs w:val="20"/>
              </w:rPr>
            </w:pPr>
            <w:r w:rsidRPr="0027533E">
              <w:rPr>
                <w:rFonts w:ascii="Tahoma" w:hAnsi="Tahoma" w:cs="Tahoma"/>
                <w:sz w:val="20"/>
                <w:szCs w:val="20"/>
              </w:rPr>
              <w:t>Фитнес и спортивные товары</w:t>
            </w:r>
          </w:p>
        </w:tc>
        <w:tc>
          <w:tcPr>
            <w:tcW w:w="3515" w:type="dxa"/>
            <w:vMerge/>
            <w:tcBorders>
              <w:top w:val="nil"/>
              <w:left w:val="single" w:sz="4" w:space="0" w:color="auto"/>
              <w:bottom w:val="single" w:sz="4" w:space="0" w:color="000000"/>
              <w:right w:val="single" w:sz="4" w:space="0" w:color="auto"/>
            </w:tcBorders>
            <w:vAlign w:val="center"/>
          </w:tcPr>
          <w:p w14:paraId="56A16E2E" w14:textId="77777777" w:rsidR="003E2FCA" w:rsidRDefault="003E2FCA" w:rsidP="00C720A8">
            <w:pPr>
              <w:rPr>
                <w:rFonts w:ascii="Tahoma" w:hAnsi="Tahoma" w:cs="Tahoma"/>
                <w:b/>
                <w:bCs/>
                <w:sz w:val="20"/>
                <w:szCs w:val="20"/>
              </w:rPr>
            </w:pPr>
          </w:p>
        </w:tc>
        <w:tc>
          <w:tcPr>
            <w:tcW w:w="3543" w:type="dxa"/>
            <w:vMerge/>
            <w:tcBorders>
              <w:top w:val="nil"/>
              <w:left w:val="single" w:sz="4" w:space="0" w:color="auto"/>
              <w:bottom w:val="single" w:sz="4" w:space="0" w:color="000000"/>
              <w:right w:val="single" w:sz="4" w:space="0" w:color="auto"/>
            </w:tcBorders>
            <w:vAlign w:val="center"/>
          </w:tcPr>
          <w:p w14:paraId="0A0CCFC1" w14:textId="77777777" w:rsidR="003E2FCA" w:rsidRDefault="003E2FCA" w:rsidP="00C720A8">
            <w:pPr>
              <w:rPr>
                <w:rFonts w:ascii="Tahoma" w:hAnsi="Tahoma" w:cs="Tahoma"/>
                <w:b/>
                <w:bCs/>
                <w:color w:val="000000"/>
                <w:sz w:val="20"/>
                <w:szCs w:val="20"/>
              </w:rPr>
            </w:pPr>
          </w:p>
        </w:tc>
      </w:tr>
      <w:tr w:rsidR="003E2FCA" w14:paraId="17B71BFA" w14:textId="77777777" w:rsidTr="00C720A8">
        <w:trPr>
          <w:gridAfter w:val="1"/>
          <w:wAfter w:w="22" w:type="dxa"/>
          <w:trHeight w:val="300"/>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6F258EE4" w14:textId="77777777" w:rsidR="003E2FCA" w:rsidRPr="0027533E" w:rsidRDefault="003E2FCA" w:rsidP="00C720A8">
            <w:pPr>
              <w:jc w:val="center"/>
              <w:rPr>
                <w:rFonts w:ascii="Tahoma" w:hAnsi="Tahoma" w:cs="Tahoma"/>
                <w:sz w:val="20"/>
                <w:szCs w:val="20"/>
              </w:rPr>
            </w:pPr>
            <w:r w:rsidRPr="0027533E">
              <w:rPr>
                <w:rFonts w:ascii="Tahoma" w:hAnsi="Tahoma" w:cs="Tahoma"/>
                <w:sz w:val="20"/>
                <w:szCs w:val="20"/>
              </w:rPr>
              <w:t>4.12.</w:t>
            </w:r>
          </w:p>
        </w:tc>
        <w:tc>
          <w:tcPr>
            <w:tcW w:w="7536" w:type="dxa"/>
            <w:gridSpan w:val="2"/>
            <w:tcBorders>
              <w:top w:val="nil"/>
              <w:left w:val="nil"/>
              <w:bottom w:val="single" w:sz="4" w:space="0" w:color="auto"/>
              <w:right w:val="single" w:sz="4" w:space="0" w:color="auto"/>
            </w:tcBorders>
            <w:shd w:val="clear" w:color="000000" w:fill="FFFFFF"/>
            <w:noWrap/>
            <w:vAlign w:val="center"/>
          </w:tcPr>
          <w:p w14:paraId="0EE7A3F6" w14:textId="77777777" w:rsidR="003E2FCA" w:rsidRPr="0027533E" w:rsidRDefault="003E2FCA" w:rsidP="00C720A8">
            <w:pPr>
              <w:rPr>
                <w:rFonts w:ascii="Tahoma" w:hAnsi="Tahoma" w:cs="Tahoma"/>
                <w:sz w:val="20"/>
                <w:szCs w:val="20"/>
              </w:rPr>
            </w:pPr>
            <w:r w:rsidRPr="0027533E">
              <w:rPr>
                <w:rFonts w:ascii="Tahoma" w:hAnsi="Tahoma" w:cs="Tahoma"/>
                <w:sz w:val="20"/>
                <w:szCs w:val="20"/>
              </w:rPr>
              <w:t>Медицинские услуги</w:t>
            </w:r>
          </w:p>
        </w:tc>
        <w:tc>
          <w:tcPr>
            <w:tcW w:w="3515" w:type="dxa"/>
            <w:vMerge/>
            <w:tcBorders>
              <w:top w:val="nil"/>
              <w:left w:val="single" w:sz="4" w:space="0" w:color="auto"/>
              <w:bottom w:val="single" w:sz="4" w:space="0" w:color="000000"/>
              <w:right w:val="single" w:sz="4" w:space="0" w:color="auto"/>
            </w:tcBorders>
            <w:vAlign w:val="center"/>
          </w:tcPr>
          <w:p w14:paraId="6789D3D4" w14:textId="77777777" w:rsidR="003E2FCA" w:rsidRDefault="003E2FCA" w:rsidP="00C720A8">
            <w:pPr>
              <w:rPr>
                <w:rFonts w:ascii="Tahoma" w:hAnsi="Tahoma" w:cs="Tahoma"/>
                <w:b/>
                <w:bCs/>
                <w:sz w:val="20"/>
                <w:szCs w:val="20"/>
              </w:rPr>
            </w:pPr>
          </w:p>
        </w:tc>
        <w:tc>
          <w:tcPr>
            <w:tcW w:w="3543" w:type="dxa"/>
            <w:vMerge/>
            <w:tcBorders>
              <w:top w:val="nil"/>
              <w:left w:val="single" w:sz="4" w:space="0" w:color="auto"/>
              <w:bottom w:val="single" w:sz="4" w:space="0" w:color="000000"/>
              <w:right w:val="single" w:sz="4" w:space="0" w:color="auto"/>
            </w:tcBorders>
            <w:vAlign w:val="center"/>
          </w:tcPr>
          <w:p w14:paraId="2D906673" w14:textId="77777777" w:rsidR="003E2FCA" w:rsidRDefault="003E2FCA" w:rsidP="00C720A8">
            <w:pPr>
              <w:rPr>
                <w:rFonts w:ascii="Tahoma" w:hAnsi="Tahoma" w:cs="Tahoma"/>
                <w:b/>
                <w:bCs/>
                <w:color w:val="000000"/>
                <w:sz w:val="20"/>
                <w:szCs w:val="20"/>
              </w:rPr>
            </w:pPr>
          </w:p>
        </w:tc>
      </w:tr>
      <w:tr w:rsidR="003E2FCA" w14:paraId="4AB54DD2" w14:textId="77777777" w:rsidTr="00C720A8">
        <w:trPr>
          <w:gridAfter w:val="1"/>
          <w:wAfter w:w="22" w:type="dxa"/>
          <w:trHeight w:val="300"/>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66B90342" w14:textId="77777777" w:rsidR="003E2FCA" w:rsidRPr="0027533E" w:rsidRDefault="003E2FCA" w:rsidP="00C720A8">
            <w:pPr>
              <w:jc w:val="center"/>
              <w:rPr>
                <w:rFonts w:ascii="Tahoma" w:hAnsi="Tahoma" w:cs="Tahoma"/>
                <w:sz w:val="20"/>
                <w:szCs w:val="20"/>
              </w:rPr>
            </w:pPr>
            <w:r w:rsidRPr="0027533E">
              <w:rPr>
                <w:rFonts w:ascii="Tahoma" w:hAnsi="Tahoma" w:cs="Tahoma"/>
                <w:sz w:val="20"/>
                <w:szCs w:val="20"/>
              </w:rPr>
              <w:t>4.13.</w:t>
            </w:r>
          </w:p>
        </w:tc>
        <w:tc>
          <w:tcPr>
            <w:tcW w:w="7536" w:type="dxa"/>
            <w:gridSpan w:val="2"/>
            <w:tcBorders>
              <w:top w:val="nil"/>
              <w:left w:val="nil"/>
              <w:bottom w:val="single" w:sz="4" w:space="0" w:color="auto"/>
              <w:right w:val="single" w:sz="4" w:space="0" w:color="auto"/>
            </w:tcBorders>
            <w:shd w:val="clear" w:color="000000" w:fill="FFFFFF"/>
            <w:noWrap/>
            <w:vAlign w:val="center"/>
          </w:tcPr>
          <w:p w14:paraId="62BEF914" w14:textId="77777777" w:rsidR="003E2FCA" w:rsidRPr="0027533E" w:rsidRDefault="003E2FCA" w:rsidP="00C720A8">
            <w:pPr>
              <w:rPr>
                <w:rFonts w:ascii="Tahoma" w:hAnsi="Tahoma" w:cs="Tahoma"/>
                <w:sz w:val="20"/>
                <w:szCs w:val="20"/>
              </w:rPr>
            </w:pPr>
            <w:r w:rsidRPr="0027533E">
              <w:rPr>
                <w:rFonts w:ascii="Tahoma" w:hAnsi="Tahoma" w:cs="Tahoma"/>
                <w:sz w:val="20"/>
                <w:szCs w:val="20"/>
              </w:rPr>
              <w:t>Книги и канцтовары</w:t>
            </w:r>
          </w:p>
        </w:tc>
        <w:tc>
          <w:tcPr>
            <w:tcW w:w="3515" w:type="dxa"/>
            <w:vMerge/>
            <w:tcBorders>
              <w:top w:val="nil"/>
              <w:left w:val="single" w:sz="4" w:space="0" w:color="auto"/>
              <w:bottom w:val="single" w:sz="4" w:space="0" w:color="000000"/>
              <w:right w:val="single" w:sz="4" w:space="0" w:color="auto"/>
            </w:tcBorders>
            <w:vAlign w:val="center"/>
          </w:tcPr>
          <w:p w14:paraId="53666901" w14:textId="77777777" w:rsidR="003E2FCA" w:rsidRDefault="003E2FCA" w:rsidP="00C720A8">
            <w:pPr>
              <w:rPr>
                <w:rFonts w:ascii="Tahoma" w:hAnsi="Tahoma" w:cs="Tahoma"/>
                <w:b/>
                <w:bCs/>
                <w:sz w:val="20"/>
                <w:szCs w:val="20"/>
              </w:rPr>
            </w:pPr>
          </w:p>
        </w:tc>
        <w:tc>
          <w:tcPr>
            <w:tcW w:w="3543" w:type="dxa"/>
            <w:vMerge/>
            <w:tcBorders>
              <w:top w:val="nil"/>
              <w:left w:val="single" w:sz="4" w:space="0" w:color="auto"/>
              <w:bottom w:val="single" w:sz="4" w:space="0" w:color="000000"/>
              <w:right w:val="single" w:sz="4" w:space="0" w:color="auto"/>
            </w:tcBorders>
            <w:vAlign w:val="center"/>
          </w:tcPr>
          <w:p w14:paraId="1AD7250E" w14:textId="77777777" w:rsidR="003E2FCA" w:rsidRDefault="003E2FCA" w:rsidP="00C720A8">
            <w:pPr>
              <w:rPr>
                <w:rFonts w:ascii="Tahoma" w:hAnsi="Tahoma" w:cs="Tahoma"/>
                <w:b/>
                <w:bCs/>
                <w:color w:val="000000"/>
                <w:sz w:val="20"/>
                <w:szCs w:val="20"/>
              </w:rPr>
            </w:pPr>
          </w:p>
        </w:tc>
      </w:tr>
      <w:tr w:rsidR="003E2FCA" w14:paraId="66EA6A03" w14:textId="77777777" w:rsidTr="00C720A8">
        <w:trPr>
          <w:gridAfter w:val="1"/>
          <w:wAfter w:w="22" w:type="dxa"/>
          <w:trHeight w:val="300"/>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287752EC" w14:textId="77777777" w:rsidR="003E2FCA" w:rsidRPr="0027533E" w:rsidRDefault="003E2FCA" w:rsidP="00C720A8">
            <w:pPr>
              <w:jc w:val="center"/>
              <w:rPr>
                <w:rFonts w:ascii="Tahoma" w:hAnsi="Tahoma" w:cs="Tahoma"/>
                <w:sz w:val="20"/>
                <w:szCs w:val="20"/>
              </w:rPr>
            </w:pPr>
            <w:r w:rsidRPr="0027533E">
              <w:rPr>
                <w:rFonts w:ascii="Tahoma" w:hAnsi="Tahoma" w:cs="Tahoma"/>
                <w:sz w:val="20"/>
                <w:szCs w:val="20"/>
              </w:rPr>
              <w:t>4.14.</w:t>
            </w:r>
          </w:p>
        </w:tc>
        <w:tc>
          <w:tcPr>
            <w:tcW w:w="7536" w:type="dxa"/>
            <w:gridSpan w:val="2"/>
            <w:tcBorders>
              <w:top w:val="nil"/>
              <w:left w:val="nil"/>
              <w:bottom w:val="single" w:sz="4" w:space="0" w:color="auto"/>
              <w:right w:val="single" w:sz="4" w:space="0" w:color="auto"/>
            </w:tcBorders>
            <w:shd w:val="clear" w:color="000000" w:fill="FFFFFF"/>
            <w:noWrap/>
            <w:vAlign w:val="center"/>
          </w:tcPr>
          <w:p w14:paraId="04B4F537" w14:textId="77777777" w:rsidR="003E2FCA" w:rsidRPr="0027533E" w:rsidRDefault="003E2FCA" w:rsidP="00C720A8">
            <w:pPr>
              <w:rPr>
                <w:rFonts w:ascii="Tahoma" w:hAnsi="Tahoma" w:cs="Tahoma"/>
                <w:sz w:val="20"/>
                <w:szCs w:val="20"/>
              </w:rPr>
            </w:pPr>
            <w:r w:rsidRPr="0027533E">
              <w:rPr>
                <w:rFonts w:ascii="Tahoma" w:hAnsi="Tahoma" w:cs="Tahoma"/>
                <w:sz w:val="20"/>
                <w:szCs w:val="20"/>
              </w:rPr>
              <w:t>Товары для животных</w:t>
            </w:r>
          </w:p>
        </w:tc>
        <w:tc>
          <w:tcPr>
            <w:tcW w:w="3515" w:type="dxa"/>
            <w:vMerge/>
            <w:tcBorders>
              <w:top w:val="nil"/>
              <w:left w:val="single" w:sz="4" w:space="0" w:color="auto"/>
              <w:bottom w:val="single" w:sz="4" w:space="0" w:color="000000"/>
              <w:right w:val="single" w:sz="4" w:space="0" w:color="auto"/>
            </w:tcBorders>
            <w:vAlign w:val="center"/>
          </w:tcPr>
          <w:p w14:paraId="2D2FEB6A" w14:textId="77777777" w:rsidR="003E2FCA" w:rsidRDefault="003E2FCA" w:rsidP="00C720A8">
            <w:pPr>
              <w:rPr>
                <w:rFonts w:ascii="Tahoma" w:hAnsi="Tahoma" w:cs="Tahoma"/>
                <w:b/>
                <w:bCs/>
                <w:sz w:val="20"/>
                <w:szCs w:val="20"/>
              </w:rPr>
            </w:pPr>
          </w:p>
        </w:tc>
        <w:tc>
          <w:tcPr>
            <w:tcW w:w="3543" w:type="dxa"/>
            <w:vMerge/>
            <w:tcBorders>
              <w:top w:val="nil"/>
              <w:left w:val="single" w:sz="4" w:space="0" w:color="auto"/>
              <w:bottom w:val="single" w:sz="4" w:space="0" w:color="000000"/>
              <w:right w:val="single" w:sz="4" w:space="0" w:color="auto"/>
            </w:tcBorders>
            <w:vAlign w:val="center"/>
          </w:tcPr>
          <w:p w14:paraId="22671056" w14:textId="77777777" w:rsidR="003E2FCA" w:rsidRDefault="003E2FCA" w:rsidP="00C720A8">
            <w:pPr>
              <w:rPr>
                <w:rFonts w:ascii="Tahoma" w:hAnsi="Tahoma" w:cs="Tahoma"/>
                <w:b/>
                <w:bCs/>
                <w:color w:val="000000"/>
                <w:sz w:val="20"/>
                <w:szCs w:val="20"/>
              </w:rPr>
            </w:pPr>
          </w:p>
        </w:tc>
      </w:tr>
      <w:tr w:rsidR="003E2FCA" w14:paraId="426FAD3B" w14:textId="77777777" w:rsidTr="00C720A8">
        <w:trPr>
          <w:gridAfter w:val="1"/>
          <w:wAfter w:w="22" w:type="dxa"/>
          <w:trHeight w:val="300"/>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49F1ECD3" w14:textId="77777777" w:rsidR="003E2FCA" w:rsidRPr="0027533E" w:rsidRDefault="003E2FCA" w:rsidP="00C720A8">
            <w:pPr>
              <w:jc w:val="center"/>
              <w:rPr>
                <w:rFonts w:ascii="Tahoma" w:hAnsi="Tahoma" w:cs="Tahoma"/>
                <w:sz w:val="20"/>
                <w:szCs w:val="20"/>
              </w:rPr>
            </w:pPr>
            <w:r w:rsidRPr="0027533E">
              <w:rPr>
                <w:rFonts w:ascii="Tahoma" w:hAnsi="Tahoma" w:cs="Tahoma"/>
                <w:sz w:val="20"/>
                <w:szCs w:val="20"/>
              </w:rPr>
              <w:t>4.15.</w:t>
            </w:r>
          </w:p>
        </w:tc>
        <w:tc>
          <w:tcPr>
            <w:tcW w:w="7536" w:type="dxa"/>
            <w:gridSpan w:val="2"/>
            <w:tcBorders>
              <w:top w:val="nil"/>
              <w:left w:val="nil"/>
              <w:bottom w:val="single" w:sz="4" w:space="0" w:color="auto"/>
              <w:right w:val="single" w:sz="4" w:space="0" w:color="auto"/>
            </w:tcBorders>
            <w:shd w:val="clear" w:color="000000" w:fill="FFFFFF"/>
            <w:noWrap/>
            <w:vAlign w:val="center"/>
          </w:tcPr>
          <w:p w14:paraId="61173E88" w14:textId="77777777" w:rsidR="003E2FCA" w:rsidRPr="0027533E" w:rsidRDefault="003E2FCA" w:rsidP="00C720A8">
            <w:pPr>
              <w:rPr>
                <w:rFonts w:ascii="Tahoma" w:hAnsi="Tahoma" w:cs="Tahoma"/>
                <w:sz w:val="20"/>
                <w:szCs w:val="20"/>
              </w:rPr>
            </w:pPr>
            <w:r w:rsidRPr="0027533E">
              <w:rPr>
                <w:rFonts w:ascii="Tahoma" w:hAnsi="Tahoma" w:cs="Tahoma"/>
                <w:sz w:val="20"/>
                <w:szCs w:val="20"/>
              </w:rPr>
              <w:t>Турагентства</w:t>
            </w:r>
          </w:p>
        </w:tc>
        <w:tc>
          <w:tcPr>
            <w:tcW w:w="3515" w:type="dxa"/>
            <w:vMerge/>
            <w:tcBorders>
              <w:top w:val="nil"/>
              <w:left w:val="single" w:sz="4" w:space="0" w:color="auto"/>
              <w:bottom w:val="single" w:sz="4" w:space="0" w:color="000000"/>
              <w:right w:val="single" w:sz="4" w:space="0" w:color="auto"/>
            </w:tcBorders>
            <w:vAlign w:val="center"/>
          </w:tcPr>
          <w:p w14:paraId="53C6C61D" w14:textId="77777777" w:rsidR="003E2FCA" w:rsidRDefault="003E2FCA" w:rsidP="00C720A8">
            <w:pPr>
              <w:rPr>
                <w:rFonts w:ascii="Tahoma" w:hAnsi="Tahoma" w:cs="Tahoma"/>
                <w:b/>
                <w:bCs/>
                <w:sz w:val="20"/>
                <w:szCs w:val="20"/>
              </w:rPr>
            </w:pPr>
          </w:p>
        </w:tc>
        <w:tc>
          <w:tcPr>
            <w:tcW w:w="3543" w:type="dxa"/>
            <w:vMerge/>
            <w:tcBorders>
              <w:top w:val="nil"/>
              <w:left w:val="single" w:sz="4" w:space="0" w:color="auto"/>
              <w:bottom w:val="single" w:sz="4" w:space="0" w:color="000000"/>
              <w:right w:val="single" w:sz="4" w:space="0" w:color="auto"/>
            </w:tcBorders>
            <w:vAlign w:val="center"/>
          </w:tcPr>
          <w:p w14:paraId="0BAB3728" w14:textId="77777777" w:rsidR="003E2FCA" w:rsidRDefault="003E2FCA" w:rsidP="00C720A8">
            <w:pPr>
              <w:rPr>
                <w:rFonts w:ascii="Tahoma" w:hAnsi="Tahoma" w:cs="Tahoma"/>
                <w:b/>
                <w:bCs/>
                <w:color w:val="000000"/>
                <w:sz w:val="20"/>
                <w:szCs w:val="20"/>
              </w:rPr>
            </w:pPr>
          </w:p>
        </w:tc>
      </w:tr>
      <w:tr w:rsidR="003E2FCA" w14:paraId="545B6093" w14:textId="77777777" w:rsidTr="00C720A8">
        <w:trPr>
          <w:gridAfter w:val="1"/>
          <w:wAfter w:w="22" w:type="dxa"/>
          <w:trHeight w:val="300"/>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51559702" w14:textId="77777777" w:rsidR="003E2FCA" w:rsidRPr="0027533E" w:rsidRDefault="003E2FCA" w:rsidP="00C720A8">
            <w:pPr>
              <w:jc w:val="center"/>
              <w:rPr>
                <w:rFonts w:ascii="Tahoma" w:hAnsi="Tahoma" w:cs="Tahoma"/>
                <w:sz w:val="20"/>
                <w:szCs w:val="20"/>
              </w:rPr>
            </w:pPr>
            <w:r w:rsidRPr="0027533E">
              <w:rPr>
                <w:rFonts w:ascii="Tahoma" w:hAnsi="Tahoma" w:cs="Tahoma"/>
                <w:sz w:val="20"/>
                <w:szCs w:val="20"/>
              </w:rPr>
              <w:t>4.16.</w:t>
            </w:r>
          </w:p>
        </w:tc>
        <w:tc>
          <w:tcPr>
            <w:tcW w:w="7536" w:type="dxa"/>
            <w:gridSpan w:val="2"/>
            <w:tcBorders>
              <w:top w:val="nil"/>
              <w:left w:val="nil"/>
              <w:bottom w:val="single" w:sz="4" w:space="0" w:color="auto"/>
              <w:right w:val="single" w:sz="4" w:space="0" w:color="auto"/>
            </w:tcBorders>
            <w:shd w:val="clear" w:color="000000" w:fill="FFFFFF"/>
            <w:noWrap/>
            <w:vAlign w:val="center"/>
          </w:tcPr>
          <w:p w14:paraId="5B8F1B1D" w14:textId="77777777" w:rsidR="003E2FCA" w:rsidRPr="0027533E" w:rsidRDefault="003E2FCA" w:rsidP="00C720A8">
            <w:pPr>
              <w:rPr>
                <w:rFonts w:ascii="Tahoma" w:hAnsi="Tahoma" w:cs="Tahoma"/>
                <w:sz w:val="20"/>
                <w:szCs w:val="20"/>
              </w:rPr>
            </w:pPr>
            <w:r w:rsidRPr="0027533E">
              <w:rPr>
                <w:rFonts w:ascii="Tahoma" w:hAnsi="Tahoma" w:cs="Tahoma"/>
                <w:sz w:val="20"/>
                <w:szCs w:val="20"/>
              </w:rPr>
              <w:t>ЖД билеты</w:t>
            </w:r>
          </w:p>
        </w:tc>
        <w:tc>
          <w:tcPr>
            <w:tcW w:w="3515" w:type="dxa"/>
            <w:vMerge/>
            <w:tcBorders>
              <w:top w:val="nil"/>
              <w:left w:val="single" w:sz="4" w:space="0" w:color="auto"/>
              <w:bottom w:val="single" w:sz="4" w:space="0" w:color="000000"/>
              <w:right w:val="single" w:sz="4" w:space="0" w:color="auto"/>
            </w:tcBorders>
            <w:vAlign w:val="center"/>
          </w:tcPr>
          <w:p w14:paraId="1C101D40" w14:textId="77777777" w:rsidR="003E2FCA" w:rsidRDefault="003E2FCA" w:rsidP="00C720A8">
            <w:pPr>
              <w:rPr>
                <w:rFonts w:ascii="Tahoma" w:hAnsi="Tahoma" w:cs="Tahoma"/>
                <w:b/>
                <w:bCs/>
                <w:sz w:val="20"/>
                <w:szCs w:val="20"/>
              </w:rPr>
            </w:pPr>
          </w:p>
        </w:tc>
        <w:tc>
          <w:tcPr>
            <w:tcW w:w="3543" w:type="dxa"/>
            <w:vMerge/>
            <w:tcBorders>
              <w:top w:val="nil"/>
              <w:left w:val="single" w:sz="4" w:space="0" w:color="auto"/>
              <w:bottom w:val="single" w:sz="4" w:space="0" w:color="000000"/>
              <w:right w:val="single" w:sz="4" w:space="0" w:color="auto"/>
            </w:tcBorders>
            <w:vAlign w:val="center"/>
          </w:tcPr>
          <w:p w14:paraId="313EE170" w14:textId="77777777" w:rsidR="003E2FCA" w:rsidRDefault="003E2FCA" w:rsidP="00C720A8">
            <w:pPr>
              <w:rPr>
                <w:rFonts w:ascii="Tahoma" w:hAnsi="Tahoma" w:cs="Tahoma"/>
                <w:b/>
                <w:bCs/>
                <w:color w:val="000000"/>
                <w:sz w:val="20"/>
                <w:szCs w:val="20"/>
              </w:rPr>
            </w:pPr>
          </w:p>
        </w:tc>
      </w:tr>
      <w:tr w:rsidR="003E2FCA" w14:paraId="3A79F16B" w14:textId="77777777" w:rsidTr="00C720A8">
        <w:trPr>
          <w:gridAfter w:val="1"/>
          <w:wAfter w:w="22" w:type="dxa"/>
          <w:trHeight w:val="300"/>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5094CDE7" w14:textId="77777777" w:rsidR="003E2FCA" w:rsidRPr="0027533E" w:rsidRDefault="003E2FCA" w:rsidP="00C720A8">
            <w:pPr>
              <w:jc w:val="center"/>
              <w:rPr>
                <w:rFonts w:ascii="Tahoma" w:hAnsi="Tahoma" w:cs="Tahoma"/>
                <w:sz w:val="20"/>
                <w:szCs w:val="20"/>
              </w:rPr>
            </w:pPr>
            <w:r w:rsidRPr="0027533E">
              <w:rPr>
                <w:rFonts w:ascii="Tahoma" w:hAnsi="Tahoma" w:cs="Tahoma"/>
                <w:sz w:val="20"/>
                <w:szCs w:val="20"/>
              </w:rPr>
              <w:t>4.17.</w:t>
            </w:r>
          </w:p>
        </w:tc>
        <w:tc>
          <w:tcPr>
            <w:tcW w:w="7536" w:type="dxa"/>
            <w:gridSpan w:val="2"/>
            <w:tcBorders>
              <w:top w:val="nil"/>
              <w:left w:val="nil"/>
              <w:bottom w:val="single" w:sz="4" w:space="0" w:color="auto"/>
              <w:right w:val="single" w:sz="4" w:space="0" w:color="auto"/>
            </w:tcBorders>
            <w:shd w:val="clear" w:color="000000" w:fill="FFFFFF"/>
            <w:noWrap/>
            <w:vAlign w:val="center"/>
          </w:tcPr>
          <w:p w14:paraId="77AC0356" w14:textId="77777777" w:rsidR="003E2FCA" w:rsidRPr="0027533E" w:rsidRDefault="003E2FCA" w:rsidP="00C720A8">
            <w:pPr>
              <w:rPr>
                <w:rFonts w:ascii="Tahoma" w:hAnsi="Tahoma" w:cs="Tahoma"/>
                <w:sz w:val="20"/>
                <w:szCs w:val="20"/>
              </w:rPr>
            </w:pPr>
            <w:r w:rsidRPr="0027533E">
              <w:rPr>
                <w:rFonts w:ascii="Tahoma" w:hAnsi="Tahoma" w:cs="Tahoma"/>
                <w:sz w:val="20"/>
                <w:szCs w:val="20"/>
              </w:rPr>
              <w:t>Авиабилеты</w:t>
            </w:r>
          </w:p>
        </w:tc>
        <w:tc>
          <w:tcPr>
            <w:tcW w:w="3515" w:type="dxa"/>
            <w:vMerge/>
            <w:tcBorders>
              <w:top w:val="nil"/>
              <w:left w:val="single" w:sz="4" w:space="0" w:color="auto"/>
              <w:bottom w:val="single" w:sz="4" w:space="0" w:color="000000"/>
              <w:right w:val="single" w:sz="4" w:space="0" w:color="auto"/>
            </w:tcBorders>
            <w:vAlign w:val="center"/>
          </w:tcPr>
          <w:p w14:paraId="1D08F414" w14:textId="77777777" w:rsidR="003E2FCA" w:rsidRDefault="003E2FCA" w:rsidP="00C720A8">
            <w:pPr>
              <w:rPr>
                <w:rFonts w:ascii="Tahoma" w:hAnsi="Tahoma" w:cs="Tahoma"/>
                <w:b/>
                <w:bCs/>
                <w:sz w:val="20"/>
                <w:szCs w:val="20"/>
              </w:rPr>
            </w:pPr>
          </w:p>
        </w:tc>
        <w:tc>
          <w:tcPr>
            <w:tcW w:w="3543" w:type="dxa"/>
            <w:vMerge/>
            <w:tcBorders>
              <w:top w:val="nil"/>
              <w:left w:val="single" w:sz="4" w:space="0" w:color="auto"/>
              <w:bottom w:val="single" w:sz="4" w:space="0" w:color="000000"/>
              <w:right w:val="single" w:sz="4" w:space="0" w:color="auto"/>
            </w:tcBorders>
            <w:vAlign w:val="center"/>
          </w:tcPr>
          <w:p w14:paraId="7B88643A" w14:textId="77777777" w:rsidR="003E2FCA" w:rsidRDefault="003E2FCA" w:rsidP="00C720A8">
            <w:pPr>
              <w:rPr>
                <w:rFonts w:ascii="Tahoma" w:hAnsi="Tahoma" w:cs="Tahoma"/>
                <w:b/>
                <w:bCs/>
                <w:color w:val="000000"/>
                <w:sz w:val="20"/>
                <w:szCs w:val="20"/>
              </w:rPr>
            </w:pPr>
          </w:p>
        </w:tc>
      </w:tr>
      <w:tr w:rsidR="003E2FCA" w14:paraId="6FBC5EFD" w14:textId="77777777" w:rsidTr="00C720A8">
        <w:trPr>
          <w:gridAfter w:val="1"/>
          <w:wAfter w:w="22" w:type="dxa"/>
          <w:trHeight w:val="300"/>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732F6285" w14:textId="77777777" w:rsidR="003E2FCA" w:rsidRPr="0027533E" w:rsidRDefault="003E2FCA" w:rsidP="00C720A8">
            <w:pPr>
              <w:jc w:val="center"/>
              <w:rPr>
                <w:rFonts w:ascii="Tahoma" w:hAnsi="Tahoma" w:cs="Tahoma"/>
                <w:sz w:val="20"/>
                <w:szCs w:val="20"/>
              </w:rPr>
            </w:pPr>
            <w:r w:rsidRPr="0027533E">
              <w:rPr>
                <w:rFonts w:ascii="Tahoma" w:hAnsi="Tahoma" w:cs="Tahoma"/>
                <w:sz w:val="20"/>
                <w:szCs w:val="20"/>
              </w:rPr>
              <w:t>4.18.</w:t>
            </w:r>
          </w:p>
        </w:tc>
        <w:tc>
          <w:tcPr>
            <w:tcW w:w="7536" w:type="dxa"/>
            <w:gridSpan w:val="2"/>
            <w:tcBorders>
              <w:top w:val="nil"/>
              <w:left w:val="nil"/>
              <w:bottom w:val="single" w:sz="4" w:space="0" w:color="auto"/>
              <w:right w:val="single" w:sz="4" w:space="0" w:color="auto"/>
            </w:tcBorders>
            <w:shd w:val="clear" w:color="000000" w:fill="FFFFFF"/>
            <w:noWrap/>
            <w:vAlign w:val="center"/>
          </w:tcPr>
          <w:p w14:paraId="7BE3818C" w14:textId="77777777" w:rsidR="003E2FCA" w:rsidRPr="0027533E" w:rsidRDefault="003E2FCA" w:rsidP="00C720A8">
            <w:pPr>
              <w:rPr>
                <w:rFonts w:ascii="Tahoma" w:hAnsi="Tahoma" w:cs="Tahoma"/>
                <w:sz w:val="20"/>
                <w:szCs w:val="20"/>
              </w:rPr>
            </w:pPr>
            <w:r w:rsidRPr="0027533E">
              <w:rPr>
                <w:rFonts w:ascii="Tahoma" w:hAnsi="Tahoma" w:cs="Tahoma"/>
                <w:sz w:val="20"/>
                <w:szCs w:val="20"/>
              </w:rPr>
              <w:t>Отели</w:t>
            </w:r>
          </w:p>
        </w:tc>
        <w:tc>
          <w:tcPr>
            <w:tcW w:w="3515" w:type="dxa"/>
            <w:vMerge/>
            <w:tcBorders>
              <w:top w:val="nil"/>
              <w:left w:val="single" w:sz="4" w:space="0" w:color="auto"/>
              <w:bottom w:val="single" w:sz="4" w:space="0" w:color="000000"/>
              <w:right w:val="single" w:sz="4" w:space="0" w:color="auto"/>
            </w:tcBorders>
            <w:vAlign w:val="center"/>
          </w:tcPr>
          <w:p w14:paraId="61EDD42A" w14:textId="77777777" w:rsidR="003E2FCA" w:rsidRDefault="003E2FCA" w:rsidP="00C720A8">
            <w:pPr>
              <w:rPr>
                <w:rFonts w:ascii="Tahoma" w:hAnsi="Tahoma" w:cs="Tahoma"/>
                <w:b/>
                <w:bCs/>
                <w:sz w:val="20"/>
                <w:szCs w:val="20"/>
              </w:rPr>
            </w:pPr>
          </w:p>
        </w:tc>
        <w:tc>
          <w:tcPr>
            <w:tcW w:w="3543" w:type="dxa"/>
            <w:vMerge/>
            <w:tcBorders>
              <w:top w:val="nil"/>
              <w:left w:val="single" w:sz="4" w:space="0" w:color="auto"/>
              <w:bottom w:val="single" w:sz="4" w:space="0" w:color="000000"/>
              <w:right w:val="single" w:sz="4" w:space="0" w:color="auto"/>
            </w:tcBorders>
            <w:vAlign w:val="center"/>
          </w:tcPr>
          <w:p w14:paraId="7BF13648" w14:textId="77777777" w:rsidR="003E2FCA" w:rsidRDefault="003E2FCA" w:rsidP="00C720A8">
            <w:pPr>
              <w:rPr>
                <w:rFonts w:ascii="Tahoma" w:hAnsi="Tahoma" w:cs="Tahoma"/>
                <w:b/>
                <w:bCs/>
                <w:color w:val="000000"/>
                <w:sz w:val="20"/>
                <w:szCs w:val="20"/>
              </w:rPr>
            </w:pPr>
          </w:p>
        </w:tc>
      </w:tr>
      <w:tr w:rsidR="003E2FCA" w14:paraId="2C99358E" w14:textId="77777777" w:rsidTr="00C720A8">
        <w:trPr>
          <w:gridAfter w:val="1"/>
          <w:wAfter w:w="22" w:type="dxa"/>
          <w:trHeight w:val="300"/>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28951369" w14:textId="77777777" w:rsidR="003E2FCA" w:rsidRPr="0027533E" w:rsidRDefault="003E2FCA" w:rsidP="00C720A8">
            <w:pPr>
              <w:jc w:val="center"/>
              <w:rPr>
                <w:rFonts w:ascii="Tahoma" w:hAnsi="Tahoma" w:cs="Tahoma"/>
                <w:sz w:val="20"/>
                <w:szCs w:val="20"/>
              </w:rPr>
            </w:pPr>
            <w:r w:rsidRPr="0027533E">
              <w:rPr>
                <w:rFonts w:ascii="Tahoma" w:hAnsi="Tahoma" w:cs="Tahoma"/>
                <w:sz w:val="20"/>
                <w:szCs w:val="20"/>
              </w:rPr>
              <w:t>4.19.</w:t>
            </w:r>
          </w:p>
        </w:tc>
        <w:tc>
          <w:tcPr>
            <w:tcW w:w="7536" w:type="dxa"/>
            <w:gridSpan w:val="2"/>
            <w:tcBorders>
              <w:top w:val="nil"/>
              <w:left w:val="nil"/>
              <w:bottom w:val="single" w:sz="4" w:space="0" w:color="auto"/>
              <w:right w:val="single" w:sz="4" w:space="0" w:color="auto"/>
            </w:tcBorders>
            <w:shd w:val="clear" w:color="000000" w:fill="FFFFFF"/>
            <w:noWrap/>
            <w:vAlign w:val="center"/>
          </w:tcPr>
          <w:p w14:paraId="7A167497" w14:textId="77777777" w:rsidR="003E2FCA" w:rsidRPr="0027533E" w:rsidRDefault="003E2FCA" w:rsidP="00C720A8">
            <w:pPr>
              <w:rPr>
                <w:rFonts w:ascii="Tahoma" w:hAnsi="Tahoma" w:cs="Tahoma"/>
                <w:sz w:val="20"/>
                <w:szCs w:val="20"/>
              </w:rPr>
            </w:pPr>
            <w:r w:rsidRPr="0027533E">
              <w:rPr>
                <w:rFonts w:ascii="Tahoma" w:hAnsi="Tahoma" w:cs="Tahoma"/>
                <w:sz w:val="20"/>
                <w:szCs w:val="20"/>
              </w:rPr>
              <w:t>Цветы</w:t>
            </w:r>
          </w:p>
        </w:tc>
        <w:tc>
          <w:tcPr>
            <w:tcW w:w="3515" w:type="dxa"/>
            <w:vMerge/>
            <w:tcBorders>
              <w:top w:val="nil"/>
              <w:left w:val="single" w:sz="4" w:space="0" w:color="auto"/>
              <w:bottom w:val="single" w:sz="4" w:space="0" w:color="000000"/>
              <w:right w:val="single" w:sz="4" w:space="0" w:color="auto"/>
            </w:tcBorders>
            <w:vAlign w:val="center"/>
          </w:tcPr>
          <w:p w14:paraId="4A83AFB4" w14:textId="77777777" w:rsidR="003E2FCA" w:rsidRDefault="003E2FCA" w:rsidP="00C720A8">
            <w:pPr>
              <w:rPr>
                <w:rFonts w:ascii="Tahoma" w:hAnsi="Tahoma" w:cs="Tahoma"/>
                <w:b/>
                <w:bCs/>
                <w:sz w:val="20"/>
                <w:szCs w:val="20"/>
              </w:rPr>
            </w:pPr>
          </w:p>
        </w:tc>
        <w:tc>
          <w:tcPr>
            <w:tcW w:w="3543" w:type="dxa"/>
            <w:vMerge/>
            <w:tcBorders>
              <w:top w:val="nil"/>
              <w:left w:val="single" w:sz="4" w:space="0" w:color="auto"/>
              <w:bottom w:val="single" w:sz="4" w:space="0" w:color="000000"/>
              <w:right w:val="single" w:sz="4" w:space="0" w:color="auto"/>
            </w:tcBorders>
            <w:vAlign w:val="center"/>
          </w:tcPr>
          <w:p w14:paraId="38F86721" w14:textId="77777777" w:rsidR="003E2FCA" w:rsidRDefault="003E2FCA" w:rsidP="00C720A8">
            <w:pPr>
              <w:rPr>
                <w:rFonts w:ascii="Tahoma" w:hAnsi="Tahoma" w:cs="Tahoma"/>
                <w:b/>
                <w:bCs/>
                <w:color w:val="000000"/>
                <w:sz w:val="20"/>
                <w:szCs w:val="20"/>
              </w:rPr>
            </w:pPr>
          </w:p>
        </w:tc>
      </w:tr>
      <w:tr w:rsidR="003E2FCA" w14:paraId="74C4F5DC" w14:textId="77777777" w:rsidTr="00C720A8">
        <w:trPr>
          <w:gridAfter w:val="1"/>
          <w:wAfter w:w="22" w:type="dxa"/>
          <w:trHeight w:val="345"/>
        </w:trPr>
        <w:tc>
          <w:tcPr>
            <w:tcW w:w="715" w:type="dxa"/>
            <w:tcBorders>
              <w:top w:val="nil"/>
              <w:left w:val="single" w:sz="4" w:space="0" w:color="auto"/>
              <w:bottom w:val="single" w:sz="4" w:space="0" w:color="auto"/>
              <w:right w:val="single" w:sz="4" w:space="0" w:color="auto"/>
            </w:tcBorders>
            <w:shd w:val="clear" w:color="000000" w:fill="FFFFFF"/>
            <w:noWrap/>
            <w:vAlign w:val="center"/>
            <w:hideMark/>
          </w:tcPr>
          <w:p w14:paraId="0CA856E4" w14:textId="77777777" w:rsidR="003E2FCA" w:rsidRPr="0027533E" w:rsidRDefault="003E2FCA" w:rsidP="00C720A8">
            <w:pPr>
              <w:jc w:val="center"/>
              <w:rPr>
                <w:rFonts w:ascii="Tahoma" w:hAnsi="Tahoma" w:cs="Tahoma"/>
                <w:sz w:val="20"/>
                <w:szCs w:val="20"/>
              </w:rPr>
            </w:pPr>
            <w:r w:rsidRPr="0027533E">
              <w:rPr>
                <w:rFonts w:ascii="Tahoma" w:hAnsi="Tahoma" w:cs="Tahoma"/>
                <w:sz w:val="20"/>
                <w:szCs w:val="20"/>
              </w:rPr>
              <w:t>4.20.</w:t>
            </w:r>
          </w:p>
        </w:tc>
        <w:tc>
          <w:tcPr>
            <w:tcW w:w="7536" w:type="dxa"/>
            <w:gridSpan w:val="2"/>
            <w:tcBorders>
              <w:top w:val="nil"/>
              <w:left w:val="nil"/>
              <w:bottom w:val="single" w:sz="4" w:space="0" w:color="auto"/>
              <w:right w:val="single" w:sz="4" w:space="0" w:color="auto"/>
            </w:tcBorders>
            <w:shd w:val="clear" w:color="000000" w:fill="FFFFFF"/>
            <w:noWrap/>
            <w:vAlign w:val="center"/>
            <w:hideMark/>
          </w:tcPr>
          <w:p w14:paraId="311A1530" w14:textId="77777777" w:rsidR="003E2FCA" w:rsidRPr="0027533E" w:rsidRDefault="003E2FCA" w:rsidP="00C720A8">
            <w:pPr>
              <w:rPr>
                <w:rFonts w:ascii="Tahoma" w:hAnsi="Tahoma" w:cs="Tahoma"/>
                <w:sz w:val="20"/>
                <w:szCs w:val="20"/>
              </w:rPr>
            </w:pPr>
            <w:r w:rsidRPr="0027533E">
              <w:rPr>
                <w:rFonts w:ascii="Tahoma" w:hAnsi="Tahoma" w:cs="Tahoma"/>
                <w:sz w:val="20"/>
                <w:szCs w:val="20"/>
              </w:rPr>
              <w:t>Супермаркеты</w:t>
            </w:r>
          </w:p>
        </w:tc>
        <w:tc>
          <w:tcPr>
            <w:tcW w:w="3515" w:type="dxa"/>
            <w:vMerge/>
            <w:tcBorders>
              <w:top w:val="nil"/>
              <w:left w:val="single" w:sz="4" w:space="0" w:color="auto"/>
              <w:bottom w:val="single" w:sz="4" w:space="0" w:color="000000"/>
              <w:right w:val="single" w:sz="4" w:space="0" w:color="auto"/>
            </w:tcBorders>
            <w:vAlign w:val="center"/>
            <w:hideMark/>
          </w:tcPr>
          <w:p w14:paraId="50AB9A4B" w14:textId="77777777" w:rsidR="003E2FCA" w:rsidRDefault="003E2FCA" w:rsidP="00C720A8">
            <w:pPr>
              <w:rPr>
                <w:rFonts w:ascii="Tahoma" w:hAnsi="Tahoma" w:cs="Tahoma"/>
                <w:b/>
                <w:bCs/>
                <w:sz w:val="20"/>
                <w:szCs w:val="20"/>
              </w:rPr>
            </w:pPr>
          </w:p>
        </w:tc>
        <w:tc>
          <w:tcPr>
            <w:tcW w:w="3543" w:type="dxa"/>
            <w:vMerge/>
            <w:tcBorders>
              <w:top w:val="nil"/>
              <w:left w:val="single" w:sz="4" w:space="0" w:color="auto"/>
              <w:bottom w:val="single" w:sz="4" w:space="0" w:color="000000"/>
              <w:right w:val="single" w:sz="4" w:space="0" w:color="auto"/>
            </w:tcBorders>
            <w:vAlign w:val="center"/>
            <w:hideMark/>
          </w:tcPr>
          <w:p w14:paraId="624B1080" w14:textId="77777777" w:rsidR="003E2FCA" w:rsidRDefault="003E2FCA" w:rsidP="00C720A8">
            <w:pPr>
              <w:rPr>
                <w:rFonts w:ascii="Tahoma" w:hAnsi="Tahoma" w:cs="Tahoma"/>
                <w:b/>
                <w:bCs/>
                <w:color w:val="000000"/>
                <w:sz w:val="20"/>
                <w:szCs w:val="20"/>
              </w:rPr>
            </w:pPr>
          </w:p>
        </w:tc>
      </w:tr>
      <w:tr w:rsidR="003E2FCA" w14:paraId="5E31DD30" w14:textId="77777777" w:rsidTr="00C720A8">
        <w:trPr>
          <w:gridAfter w:val="1"/>
          <w:wAfter w:w="22" w:type="dxa"/>
          <w:trHeight w:val="300"/>
        </w:trPr>
        <w:tc>
          <w:tcPr>
            <w:tcW w:w="715" w:type="dxa"/>
            <w:tcBorders>
              <w:top w:val="nil"/>
              <w:left w:val="single" w:sz="4" w:space="0" w:color="auto"/>
              <w:bottom w:val="single" w:sz="4" w:space="0" w:color="auto"/>
              <w:right w:val="single" w:sz="4" w:space="0" w:color="auto"/>
            </w:tcBorders>
            <w:shd w:val="clear" w:color="000000" w:fill="808080"/>
            <w:noWrap/>
            <w:vAlign w:val="center"/>
            <w:hideMark/>
          </w:tcPr>
          <w:p w14:paraId="4318E053" w14:textId="77777777" w:rsidR="003E2FCA" w:rsidRDefault="003E2FCA" w:rsidP="00C720A8">
            <w:pPr>
              <w:jc w:val="center"/>
              <w:rPr>
                <w:rFonts w:ascii="Tahoma" w:hAnsi="Tahoma" w:cs="Tahoma"/>
                <w:b/>
                <w:bCs/>
                <w:color w:val="FFFFFF"/>
                <w:sz w:val="20"/>
                <w:szCs w:val="20"/>
              </w:rPr>
            </w:pPr>
            <w:r>
              <w:rPr>
                <w:rFonts w:ascii="Tahoma" w:hAnsi="Tahoma" w:cs="Tahoma"/>
                <w:b/>
                <w:bCs/>
                <w:color w:val="FFFFFF"/>
                <w:sz w:val="20"/>
                <w:szCs w:val="20"/>
              </w:rPr>
              <w:t>5.</w:t>
            </w:r>
          </w:p>
        </w:tc>
        <w:tc>
          <w:tcPr>
            <w:tcW w:w="14594" w:type="dxa"/>
            <w:gridSpan w:val="4"/>
            <w:tcBorders>
              <w:top w:val="single" w:sz="4" w:space="0" w:color="auto"/>
              <w:left w:val="nil"/>
              <w:bottom w:val="single" w:sz="4" w:space="0" w:color="auto"/>
              <w:right w:val="single" w:sz="4" w:space="0" w:color="000000"/>
            </w:tcBorders>
            <w:shd w:val="clear" w:color="000000" w:fill="808080"/>
            <w:noWrap/>
            <w:vAlign w:val="center"/>
            <w:hideMark/>
          </w:tcPr>
          <w:p w14:paraId="2C629D1B" w14:textId="77777777" w:rsidR="003E2FCA" w:rsidRDefault="003E2FCA" w:rsidP="00C720A8">
            <w:pPr>
              <w:rPr>
                <w:rFonts w:ascii="Tahoma" w:hAnsi="Tahoma" w:cs="Tahoma"/>
                <w:b/>
                <w:bCs/>
                <w:color w:val="FFFFFF"/>
                <w:sz w:val="20"/>
                <w:szCs w:val="20"/>
              </w:rPr>
            </w:pPr>
            <w:r>
              <w:rPr>
                <w:rFonts w:ascii="Tahoma" w:hAnsi="Tahoma" w:cs="Tahoma"/>
                <w:b/>
                <w:bCs/>
                <w:color w:val="FFFFFF"/>
                <w:sz w:val="20"/>
                <w:szCs w:val="20"/>
              </w:rPr>
              <w:t>Перечень МСС-кодов по категориям</w:t>
            </w:r>
          </w:p>
        </w:tc>
      </w:tr>
      <w:tr w:rsidR="003E2FCA" w14:paraId="4D78E93F" w14:textId="77777777" w:rsidTr="00C720A8">
        <w:trPr>
          <w:trHeight w:val="599"/>
        </w:trPr>
        <w:tc>
          <w:tcPr>
            <w:tcW w:w="71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9FF661C" w14:textId="77777777" w:rsidR="003E2FCA" w:rsidRPr="00E70BA2" w:rsidRDefault="003E2FCA" w:rsidP="00C720A8">
            <w:pPr>
              <w:jc w:val="center"/>
              <w:rPr>
                <w:rFonts w:ascii="Tahoma" w:hAnsi="Tahoma" w:cs="Tahoma"/>
                <w:sz w:val="20"/>
                <w:szCs w:val="20"/>
              </w:rPr>
            </w:pPr>
            <w:r w:rsidRPr="00E70BA2">
              <w:rPr>
                <w:rFonts w:ascii="Tahoma" w:hAnsi="Tahoma" w:cs="Tahoma"/>
                <w:sz w:val="20"/>
                <w:szCs w:val="20"/>
              </w:rPr>
              <w:t>5.1.</w:t>
            </w:r>
          </w:p>
        </w:tc>
        <w:tc>
          <w:tcPr>
            <w:tcW w:w="750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5FD1AB0" w14:textId="77777777" w:rsidR="003E2FCA" w:rsidRPr="00E70BA2" w:rsidRDefault="003E2FCA" w:rsidP="00C720A8">
            <w:pPr>
              <w:rPr>
                <w:rFonts w:ascii="Tahoma" w:hAnsi="Tahoma" w:cs="Tahoma"/>
                <w:sz w:val="20"/>
                <w:szCs w:val="20"/>
              </w:rPr>
            </w:pPr>
            <w:r w:rsidRPr="00E70BA2">
              <w:rPr>
                <w:rFonts w:ascii="Tahoma" w:hAnsi="Tahoma" w:cs="Tahoma"/>
                <w:b/>
                <w:bCs/>
                <w:sz w:val="20"/>
                <w:szCs w:val="20"/>
              </w:rPr>
              <w:t>Аптеки и оптики:</w:t>
            </w:r>
            <w:r w:rsidRPr="00E70BA2">
              <w:rPr>
                <w:rFonts w:ascii="Tahoma" w:hAnsi="Tahoma" w:cs="Tahoma"/>
                <w:sz w:val="20"/>
                <w:szCs w:val="20"/>
              </w:rPr>
              <w:t xml:space="preserve"> лекарства, слуховые аппараты, ортопедические товары, оптические товары </w:t>
            </w:r>
          </w:p>
        </w:tc>
        <w:tc>
          <w:tcPr>
            <w:tcW w:w="7109" w:type="dxa"/>
            <w:gridSpan w:val="4"/>
            <w:tcBorders>
              <w:top w:val="single" w:sz="4" w:space="0" w:color="auto"/>
              <w:left w:val="single" w:sz="4" w:space="0" w:color="auto"/>
              <w:bottom w:val="single" w:sz="4" w:space="0" w:color="auto"/>
              <w:right w:val="single" w:sz="4" w:space="0" w:color="000000"/>
            </w:tcBorders>
            <w:shd w:val="clear" w:color="000000" w:fill="FFFFFF"/>
            <w:vAlign w:val="center"/>
            <w:hideMark/>
          </w:tcPr>
          <w:p w14:paraId="29F59599" w14:textId="77777777" w:rsidR="003E2FCA" w:rsidRPr="00E70BA2" w:rsidRDefault="003E2FCA" w:rsidP="00C720A8">
            <w:pPr>
              <w:jc w:val="center"/>
              <w:rPr>
                <w:rFonts w:ascii="Tahoma" w:hAnsi="Tahoma" w:cs="Tahoma"/>
                <w:sz w:val="20"/>
                <w:szCs w:val="20"/>
              </w:rPr>
            </w:pPr>
            <w:r w:rsidRPr="00E70BA2">
              <w:rPr>
                <w:rFonts w:ascii="Tahoma" w:hAnsi="Tahoma" w:cs="Tahoma"/>
                <w:sz w:val="20"/>
                <w:szCs w:val="20"/>
              </w:rPr>
              <w:t>5122, 5912, 5975, 5976, 8043, 8044</w:t>
            </w:r>
          </w:p>
        </w:tc>
      </w:tr>
      <w:tr w:rsidR="003E2FCA" w14:paraId="31F6C3EE" w14:textId="77777777" w:rsidTr="00C720A8">
        <w:trPr>
          <w:trHeight w:val="872"/>
        </w:trPr>
        <w:tc>
          <w:tcPr>
            <w:tcW w:w="71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298E77C" w14:textId="77777777" w:rsidR="003E2FCA" w:rsidRPr="00E70BA2" w:rsidRDefault="003E2FCA" w:rsidP="00C720A8">
            <w:pPr>
              <w:jc w:val="center"/>
              <w:rPr>
                <w:rFonts w:ascii="Tahoma" w:hAnsi="Tahoma" w:cs="Tahoma"/>
                <w:sz w:val="20"/>
                <w:szCs w:val="20"/>
              </w:rPr>
            </w:pPr>
            <w:r w:rsidRPr="00E70BA2">
              <w:rPr>
                <w:rFonts w:ascii="Tahoma" w:hAnsi="Tahoma" w:cs="Tahoma"/>
                <w:sz w:val="20"/>
                <w:szCs w:val="20"/>
              </w:rPr>
              <w:t>5.2.</w:t>
            </w:r>
          </w:p>
        </w:tc>
        <w:tc>
          <w:tcPr>
            <w:tcW w:w="750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EF55278" w14:textId="77777777" w:rsidR="003E2FCA" w:rsidRPr="00E70BA2" w:rsidRDefault="003E2FCA" w:rsidP="00C720A8">
            <w:pPr>
              <w:rPr>
                <w:rFonts w:ascii="Tahoma" w:hAnsi="Tahoma" w:cs="Tahoma"/>
                <w:sz w:val="20"/>
                <w:szCs w:val="20"/>
              </w:rPr>
            </w:pPr>
            <w:r w:rsidRPr="00E70BA2">
              <w:rPr>
                <w:rFonts w:ascii="Tahoma" w:hAnsi="Tahoma" w:cs="Tahoma"/>
                <w:b/>
                <w:bCs/>
                <w:sz w:val="20"/>
                <w:szCs w:val="20"/>
              </w:rPr>
              <w:t>Дом, ремонт:</w:t>
            </w:r>
            <w:r w:rsidRPr="00E70BA2">
              <w:rPr>
                <w:rFonts w:ascii="Tahoma" w:hAnsi="Tahoma" w:cs="Tahoma"/>
                <w:sz w:val="20"/>
                <w:szCs w:val="20"/>
              </w:rPr>
              <w:t xml:space="preserve"> мебель, товары для дома и ремонта, дачи и сада</w:t>
            </w:r>
          </w:p>
        </w:tc>
        <w:tc>
          <w:tcPr>
            <w:tcW w:w="7109" w:type="dxa"/>
            <w:gridSpan w:val="4"/>
            <w:tcBorders>
              <w:top w:val="single" w:sz="4" w:space="0" w:color="auto"/>
              <w:left w:val="single" w:sz="4" w:space="0" w:color="auto"/>
              <w:bottom w:val="single" w:sz="4" w:space="0" w:color="auto"/>
              <w:right w:val="single" w:sz="4" w:space="0" w:color="000000"/>
            </w:tcBorders>
            <w:shd w:val="clear" w:color="000000" w:fill="FFFFFF"/>
            <w:vAlign w:val="center"/>
            <w:hideMark/>
          </w:tcPr>
          <w:p w14:paraId="146997F1" w14:textId="77777777" w:rsidR="003E2FCA" w:rsidRPr="00E70BA2" w:rsidRDefault="003E2FCA" w:rsidP="00C720A8">
            <w:pPr>
              <w:jc w:val="center"/>
              <w:rPr>
                <w:rFonts w:ascii="Tahoma" w:hAnsi="Tahoma" w:cs="Tahoma"/>
                <w:sz w:val="20"/>
                <w:szCs w:val="20"/>
              </w:rPr>
            </w:pPr>
            <w:r w:rsidRPr="00E70BA2">
              <w:rPr>
                <w:rFonts w:ascii="Tahoma" w:hAnsi="Tahoma" w:cs="Tahoma"/>
                <w:sz w:val="20"/>
                <w:szCs w:val="20"/>
              </w:rPr>
              <w:t>1520, 1711, 1731, 1740, 1750, 1761, 1771, 1799, 2791, 2842, 5021, 5039, 5046, 5051, 5065, 5072, 5074, 5085, 5198, 5200, 5211, 5231, 5251, 5261, 5415, 5712, 5713, 5714, 5718, 5719, 5722, 7622,7623, 7629, 7641,7692, 7699</w:t>
            </w:r>
          </w:p>
        </w:tc>
      </w:tr>
      <w:tr w:rsidR="003E2FCA" w14:paraId="18B9F020" w14:textId="77777777" w:rsidTr="00C720A8">
        <w:trPr>
          <w:trHeight w:val="579"/>
        </w:trPr>
        <w:tc>
          <w:tcPr>
            <w:tcW w:w="71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2C750F5" w14:textId="77777777" w:rsidR="003E2FCA" w:rsidRPr="00E70BA2" w:rsidRDefault="003E2FCA" w:rsidP="00C720A8">
            <w:pPr>
              <w:jc w:val="center"/>
              <w:rPr>
                <w:rFonts w:ascii="Tahoma" w:hAnsi="Tahoma" w:cs="Tahoma"/>
                <w:sz w:val="20"/>
                <w:szCs w:val="20"/>
              </w:rPr>
            </w:pPr>
            <w:r w:rsidRPr="00E70BA2">
              <w:rPr>
                <w:rFonts w:ascii="Tahoma" w:hAnsi="Tahoma" w:cs="Tahoma"/>
                <w:sz w:val="20"/>
                <w:szCs w:val="20"/>
              </w:rPr>
              <w:t>5.3.</w:t>
            </w:r>
          </w:p>
        </w:tc>
        <w:tc>
          <w:tcPr>
            <w:tcW w:w="7507" w:type="dxa"/>
            <w:tcBorders>
              <w:top w:val="single" w:sz="4" w:space="0" w:color="auto"/>
              <w:left w:val="nil"/>
              <w:bottom w:val="single" w:sz="4" w:space="0" w:color="auto"/>
              <w:right w:val="single" w:sz="4" w:space="0" w:color="auto"/>
            </w:tcBorders>
            <w:shd w:val="clear" w:color="000000" w:fill="FFFFFF"/>
            <w:vAlign w:val="center"/>
            <w:hideMark/>
          </w:tcPr>
          <w:p w14:paraId="1379BC7F" w14:textId="77777777" w:rsidR="003E2FCA" w:rsidRPr="00E70BA2" w:rsidRDefault="003E2FCA" w:rsidP="00C720A8">
            <w:pPr>
              <w:rPr>
                <w:rFonts w:ascii="Tahoma" w:hAnsi="Tahoma" w:cs="Tahoma"/>
                <w:sz w:val="20"/>
                <w:szCs w:val="20"/>
              </w:rPr>
            </w:pPr>
            <w:r w:rsidRPr="00E70BA2">
              <w:rPr>
                <w:rFonts w:ascii="Tahoma" w:hAnsi="Tahoma" w:cs="Tahoma"/>
                <w:b/>
                <w:bCs/>
                <w:sz w:val="20"/>
                <w:szCs w:val="20"/>
              </w:rPr>
              <w:t>АЗС:</w:t>
            </w:r>
            <w:r w:rsidRPr="00E70BA2">
              <w:rPr>
                <w:rFonts w:ascii="Tahoma" w:hAnsi="Tahoma" w:cs="Tahoma"/>
                <w:sz w:val="20"/>
                <w:szCs w:val="20"/>
              </w:rPr>
              <w:t xml:space="preserve"> АЗС и нефтепродукты</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hideMark/>
          </w:tcPr>
          <w:p w14:paraId="4041006B" w14:textId="77777777" w:rsidR="003E2FCA" w:rsidRPr="00E70BA2" w:rsidRDefault="003E2FCA" w:rsidP="00C720A8">
            <w:pPr>
              <w:jc w:val="center"/>
              <w:rPr>
                <w:rFonts w:ascii="Tahoma" w:hAnsi="Tahoma" w:cs="Tahoma"/>
                <w:sz w:val="20"/>
                <w:szCs w:val="20"/>
              </w:rPr>
            </w:pPr>
            <w:r w:rsidRPr="00E70BA2">
              <w:rPr>
                <w:rFonts w:ascii="Tahoma" w:hAnsi="Tahoma" w:cs="Tahoma"/>
                <w:sz w:val="20"/>
                <w:szCs w:val="20"/>
              </w:rPr>
              <w:t>5172, 5541, 5542, 5983</w:t>
            </w:r>
          </w:p>
        </w:tc>
      </w:tr>
      <w:tr w:rsidR="003E2FCA" w14:paraId="7E843655" w14:textId="77777777" w:rsidTr="00C720A8">
        <w:trPr>
          <w:trHeight w:val="699"/>
        </w:trPr>
        <w:tc>
          <w:tcPr>
            <w:tcW w:w="715" w:type="dxa"/>
            <w:tcBorders>
              <w:top w:val="nil"/>
              <w:left w:val="single" w:sz="4" w:space="0" w:color="auto"/>
              <w:bottom w:val="single" w:sz="4" w:space="0" w:color="auto"/>
              <w:right w:val="single" w:sz="4" w:space="0" w:color="auto"/>
            </w:tcBorders>
            <w:shd w:val="clear" w:color="000000" w:fill="FFFFFF"/>
            <w:noWrap/>
            <w:vAlign w:val="center"/>
            <w:hideMark/>
          </w:tcPr>
          <w:p w14:paraId="303DBAA4" w14:textId="77777777" w:rsidR="003E2FCA" w:rsidRPr="00E70BA2" w:rsidRDefault="003E2FCA" w:rsidP="00C720A8">
            <w:pPr>
              <w:jc w:val="center"/>
              <w:rPr>
                <w:rFonts w:ascii="Tahoma" w:hAnsi="Tahoma" w:cs="Tahoma"/>
                <w:sz w:val="20"/>
                <w:szCs w:val="20"/>
              </w:rPr>
            </w:pPr>
            <w:r w:rsidRPr="00E70BA2">
              <w:rPr>
                <w:rFonts w:ascii="Tahoma" w:hAnsi="Tahoma" w:cs="Tahoma"/>
                <w:sz w:val="20"/>
                <w:szCs w:val="20"/>
              </w:rPr>
              <w:t>5.4.</w:t>
            </w:r>
          </w:p>
        </w:tc>
        <w:tc>
          <w:tcPr>
            <w:tcW w:w="7507" w:type="dxa"/>
            <w:tcBorders>
              <w:top w:val="nil"/>
              <w:left w:val="nil"/>
              <w:bottom w:val="single" w:sz="4" w:space="0" w:color="auto"/>
              <w:right w:val="single" w:sz="4" w:space="0" w:color="auto"/>
            </w:tcBorders>
            <w:shd w:val="clear" w:color="000000" w:fill="FFFFFF"/>
            <w:vAlign w:val="center"/>
            <w:hideMark/>
          </w:tcPr>
          <w:p w14:paraId="4B2DF633" w14:textId="77777777" w:rsidR="003E2FCA" w:rsidRPr="00E70BA2" w:rsidRDefault="003E2FCA" w:rsidP="00C720A8">
            <w:pPr>
              <w:rPr>
                <w:rFonts w:ascii="Tahoma" w:hAnsi="Tahoma" w:cs="Tahoma"/>
                <w:sz w:val="20"/>
                <w:szCs w:val="20"/>
              </w:rPr>
            </w:pPr>
            <w:r w:rsidRPr="00E70BA2">
              <w:rPr>
                <w:rFonts w:ascii="Tahoma" w:hAnsi="Tahoma" w:cs="Tahoma"/>
                <w:b/>
                <w:bCs/>
                <w:sz w:val="20"/>
                <w:szCs w:val="20"/>
              </w:rPr>
              <w:t>Автоуслуги и запчасти:</w:t>
            </w:r>
            <w:r w:rsidRPr="00E70BA2">
              <w:rPr>
                <w:rFonts w:ascii="Tahoma" w:hAnsi="Tahoma" w:cs="Tahoma"/>
                <w:sz w:val="20"/>
                <w:szCs w:val="20"/>
              </w:rPr>
              <w:t xml:space="preserve"> автомобили, автозапчасти, шины, автоуслуги, сервис и ремонт</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hideMark/>
          </w:tcPr>
          <w:p w14:paraId="3D4AED73" w14:textId="77777777" w:rsidR="003E2FCA" w:rsidRPr="00E70BA2" w:rsidRDefault="003E2FCA" w:rsidP="00C720A8">
            <w:pPr>
              <w:jc w:val="center"/>
              <w:rPr>
                <w:rFonts w:ascii="Tahoma" w:hAnsi="Tahoma" w:cs="Tahoma"/>
                <w:sz w:val="20"/>
                <w:szCs w:val="20"/>
              </w:rPr>
            </w:pPr>
            <w:r w:rsidRPr="00E70BA2">
              <w:rPr>
                <w:rFonts w:ascii="Tahoma" w:hAnsi="Tahoma" w:cs="Tahoma"/>
                <w:sz w:val="20"/>
                <w:szCs w:val="20"/>
              </w:rPr>
              <w:t>5511, 5521, 5531, 5532, 5533, 5571, 7531, 7534, 7535, 7538, 7542, 7549</w:t>
            </w:r>
          </w:p>
        </w:tc>
      </w:tr>
      <w:tr w:rsidR="003E2FCA" w14:paraId="24BD0097" w14:textId="77777777" w:rsidTr="00C720A8">
        <w:trPr>
          <w:trHeight w:val="872"/>
        </w:trPr>
        <w:tc>
          <w:tcPr>
            <w:tcW w:w="71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12547C0" w14:textId="77777777" w:rsidR="003E2FCA" w:rsidRPr="00E70BA2" w:rsidRDefault="003E2FCA" w:rsidP="00C720A8">
            <w:pPr>
              <w:jc w:val="center"/>
              <w:rPr>
                <w:rFonts w:ascii="Tahoma" w:hAnsi="Tahoma" w:cs="Tahoma"/>
                <w:sz w:val="20"/>
                <w:szCs w:val="20"/>
              </w:rPr>
            </w:pPr>
            <w:r w:rsidRPr="00E70BA2">
              <w:rPr>
                <w:rFonts w:ascii="Tahoma" w:hAnsi="Tahoma" w:cs="Tahoma"/>
                <w:sz w:val="20"/>
                <w:szCs w:val="20"/>
              </w:rPr>
              <w:t>5.5.</w:t>
            </w:r>
          </w:p>
        </w:tc>
        <w:tc>
          <w:tcPr>
            <w:tcW w:w="750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E3E67BD" w14:textId="77777777" w:rsidR="003E2FCA" w:rsidRPr="00E70BA2" w:rsidRDefault="003E2FCA" w:rsidP="00C720A8">
            <w:pPr>
              <w:rPr>
                <w:rFonts w:ascii="Tahoma" w:hAnsi="Tahoma" w:cs="Tahoma"/>
                <w:sz w:val="20"/>
                <w:szCs w:val="20"/>
              </w:rPr>
            </w:pPr>
            <w:r w:rsidRPr="00E70BA2">
              <w:rPr>
                <w:rFonts w:ascii="Tahoma" w:hAnsi="Tahoma" w:cs="Tahoma"/>
                <w:b/>
                <w:bCs/>
                <w:sz w:val="20"/>
                <w:szCs w:val="20"/>
              </w:rPr>
              <w:t>Такси и каршеринг:</w:t>
            </w:r>
            <w:r w:rsidRPr="00E70BA2">
              <w:rPr>
                <w:rFonts w:ascii="Tahoma" w:hAnsi="Tahoma" w:cs="Tahoma"/>
                <w:sz w:val="20"/>
                <w:szCs w:val="20"/>
              </w:rPr>
              <w:t xml:space="preserve"> такси и каршеринг, прокат самокатов</w:t>
            </w:r>
          </w:p>
        </w:tc>
        <w:tc>
          <w:tcPr>
            <w:tcW w:w="7109" w:type="dxa"/>
            <w:gridSpan w:val="4"/>
            <w:tcBorders>
              <w:top w:val="single" w:sz="4" w:space="0" w:color="auto"/>
              <w:left w:val="single" w:sz="4" w:space="0" w:color="auto"/>
              <w:bottom w:val="single" w:sz="4" w:space="0" w:color="auto"/>
              <w:right w:val="single" w:sz="4" w:space="0" w:color="000000"/>
            </w:tcBorders>
            <w:shd w:val="clear" w:color="000000" w:fill="FFFFFF"/>
            <w:noWrap/>
            <w:vAlign w:val="center"/>
            <w:hideMark/>
          </w:tcPr>
          <w:p w14:paraId="3B1EB971" w14:textId="77777777" w:rsidR="003E2FCA" w:rsidRPr="00E70BA2" w:rsidRDefault="003E2FCA" w:rsidP="00C720A8">
            <w:pPr>
              <w:jc w:val="center"/>
              <w:rPr>
                <w:rFonts w:ascii="Tahoma" w:hAnsi="Tahoma" w:cs="Tahoma"/>
                <w:sz w:val="20"/>
                <w:szCs w:val="20"/>
              </w:rPr>
            </w:pPr>
            <w:r w:rsidRPr="00E70BA2">
              <w:rPr>
                <w:rFonts w:ascii="Tahoma" w:hAnsi="Tahoma" w:cs="Tahoma"/>
                <w:sz w:val="20"/>
                <w:szCs w:val="20"/>
              </w:rPr>
              <w:t>3351-3441, 3990, 4121,7512</w:t>
            </w:r>
          </w:p>
        </w:tc>
      </w:tr>
      <w:tr w:rsidR="003E2FCA" w14:paraId="25E4B221" w14:textId="77777777" w:rsidTr="00C720A8">
        <w:trPr>
          <w:trHeight w:val="643"/>
        </w:trPr>
        <w:tc>
          <w:tcPr>
            <w:tcW w:w="71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1CC60D9" w14:textId="77777777" w:rsidR="003E2FCA" w:rsidRPr="00E70BA2" w:rsidRDefault="003E2FCA" w:rsidP="00C720A8">
            <w:pPr>
              <w:jc w:val="center"/>
              <w:rPr>
                <w:rFonts w:ascii="Tahoma" w:hAnsi="Tahoma" w:cs="Tahoma"/>
                <w:sz w:val="20"/>
                <w:szCs w:val="20"/>
              </w:rPr>
            </w:pPr>
            <w:r w:rsidRPr="00E70BA2">
              <w:rPr>
                <w:rFonts w:ascii="Tahoma" w:hAnsi="Tahoma" w:cs="Tahoma"/>
                <w:sz w:val="20"/>
                <w:szCs w:val="20"/>
              </w:rPr>
              <w:t>5.6.</w:t>
            </w:r>
          </w:p>
        </w:tc>
        <w:tc>
          <w:tcPr>
            <w:tcW w:w="7507" w:type="dxa"/>
            <w:tcBorders>
              <w:top w:val="single" w:sz="4" w:space="0" w:color="auto"/>
              <w:left w:val="nil"/>
              <w:bottom w:val="single" w:sz="4" w:space="0" w:color="auto"/>
              <w:right w:val="single" w:sz="4" w:space="0" w:color="auto"/>
            </w:tcBorders>
            <w:shd w:val="clear" w:color="000000" w:fill="FFFFFF"/>
            <w:vAlign w:val="center"/>
            <w:hideMark/>
          </w:tcPr>
          <w:p w14:paraId="18AC1CF5" w14:textId="77777777" w:rsidR="003E2FCA" w:rsidRPr="00E70BA2" w:rsidRDefault="003E2FCA" w:rsidP="00C720A8">
            <w:pPr>
              <w:rPr>
                <w:rFonts w:ascii="Tahoma" w:hAnsi="Tahoma" w:cs="Tahoma"/>
                <w:sz w:val="20"/>
                <w:szCs w:val="20"/>
              </w:rPr>
            </w:pPr>
            <w:r w:rsidRPr="00E70BA2">
              <w:rPr>
                <w:rFonts w:ascii="Tahoma" w:hAnsi="Tahoma" w:cs="Tahoma"/>
                <w:b/>
                <w:bCs/>
                <w:sz w:val="20"/>
                <w:szCs w:val="20"/>
              </w:rPr>
              <w:t xml:space="preserve">Шопинг: </w:t>
            </w:r>
            <w:r w:rsidRPr="00E70BA2">
              <w:rPr>
                <w:rFonts w:ascii="Tahoma" w:hAnsi="Tahoma" w:cs="Tahoma"/>
                <w:sz w:val="20"/>
                <w:szCs w:val="20"/>
              </w:rPr>
              <w:t>одежда, обувь, ювелирные изделия, детские товары</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hideMark/>
          </w:tcPr>
          <w:p w14:paraId="1DDF985C" w14:textId="77777777" w:rsidR="003E2FCA" w:rsidRPr="00E70BA2" w:rsidRDefault="003E2FCA" w:rsidP="00C720A8">
            <w:pPr>
              <w:jc w:val="center"/>
              <w:rPr>
                <w:rFonts w:ascii="Tahoma" w:hAnsi="Tahoma" w:cs="Tahoma"/>
                <w:sz w:val="20"/>
                <w:szCs w:val="20"/>
              </w:rPr>
            </w:pPr>
            <w:r w:rsidRPr="00E70BA2">
              <w:rPr>
                <w:rFonts w:ascii="Tahoma" w:hAnsi="Tahoma" w:cs="Tahoma"/>
                <w:sz w:val="20"/>
                <w:szCs w:val="20"/>
              </w:rPr>
              <w:t>5641, 5945, 5137, 5139, 5611, 5621, 5631, 5651, 5661, 5681, 5691, 5699, 5944</w:t>
            </w:r>
          </w:p>
        </w:tc>
      </w:tr>
      <w:tr w:rsidR="003E2FCA" w14:paraId="3F5567E5" w14:textId="77777777" w:rsidTr="00C720A8">
        <w:trPr>
          <w:trHeight w:val="785"/>
        </w:trPr>
        <w:tc>
          <w:tcPr>
            <w:tcW w:w="715" w:type="dxa"/>
            <w:tcBorders>
              <w:top w:val="nil"/>
              <w:left w:val="single" w:sz="4" w:space="0" w:color="auto"/>
              <w:bottom w:val="single" w:sz="4" w:space="0" w:color="auto"/>
              <w:right w:val="single" w:sz="4" w:space="0" w:color="auto"/>
            </w:tcBorders>
            <w:shd w:val="clear" w:color="000000" w:fill="FFFFFF"/>
            <w:noWrap/>
            <w:vAlign w:val="center"/>
            <w:hideMark/>
          </w:tcPr>
          <w:p w14:paraId="51925203" w14:textId="77777777" w:rsidR="003E2FCA" w:rsidRPr="00E70BA2" w:rsidRDefault="003E2FCA" w:rsidP="00C720A8">
            <w:pPr>
              <w:jc w:val="center"/>
              <w:rPr>
                <w:rFonts w:ascii="Tahoma" w:hAnsi="Tahoma" w:cs="Tahoma"/>
                <w:sz w:val="20"/>
                <w:szCs w:val="20"/>
              </w:rPr>
            </w:pPr>
            <w:r w:rsidRPr="00E70BA2">
              <w:rPr>
                <w:rFonts w:ascii="Tahoma" w:hAnsi="Tahoma" w:cs="Tahoma"/>
                <w:sz w:val="20"/>
                <w:szCs w:val="20"/>
              </w:rPr>
              <w:t>5.7.</w:t>
            </w:r>
          </w:p>
        </w:tc>
        <w:tc>
          <w:tcPr>
            <w:tcW w:w="7507" w:type="dxa"/>
            <w:tcBorders>
              <w:top w:val="nil"/>
              <w:left w:val="nil"/>
              <w:bottom w:val="single" w:sz="4" w:space="0" w:color="auto"/>
              <w:right w:val="single" w:sz="4" w:space="0" w:color="auto"/>
            </w:tcBorders>
            <w:shd w:val="clear" w:color="000000" w:fill="FFFFFF"/>
            <w:vAlign w:val="center"/>
            <w:hideMark/>
          </w:tcPr>
          <w:p w14:paraId="75611581" w14:textId="77777777" w:rsidR="003E2FCA" w:rsidRPr="00E70BA2" w:rsidRDefault="003E2FCA" w:rsidP="00C720A8">
            <w:pPr>
              <w:rPr>
                <w:rFonts w:ascii="Tahoma" w:hAnsi="Tahoma" w:cs="Tahoma"/>
                <w:sz w:val="20"/>
                <w:szCs w:val="20"/>
              </w:rPr>
            </w:pPr>
            <w:r w:rsidRPr="00E70BA2">
              <w:rPr>
                <w:rFonts w:ascii="Tahoma" w:hAnsi="Tahoma" w:cs="Tahoma"/>
                <w:b/>
                <w:bCs/>
                <w:sz w:val="20"/>
                <w:szCs w:val="20"/>
              </w:rPr>
              <w:t>Маркетплейсы:</w:t>
            </w:r>
            <w:r w:rsidRPr="00E70BA2">
              <w:rPr>
                <w:rFonts w:ascii="Tahoma" w:hAnsi="Tahoma" w:cs="Tahoma"/>
                <w:sz w:val="20"/>
                <w:szCs w:val="20"/>
              </w:rPr>
              <w:t xml:space="preserve"> покупки на маркетплейсах и онлайн-маркетах</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hideMark/>
          </w:tcPr>
          <w:p w14:paraId="2882DC97" w14:textId="77777777" w:rsidR="003E2FCA" w:rsidRPr="00E70BA2" w:rsidRDefault="003E2FCA" w:rsidP="00C720A8">
            <w:pPr>
              <w:jc w:val="center"/>
              <w:rPr>
                <w:rFonts w:ascii="Tahoma" w:hAnsi="Tahoma" w:cs="Tahoma"/>
                <w:sz w:val="20"/>
                <w:szCs w:val="20"/>
              </w:rPr>
            </w:pPr>
            <w:r w:rsidRPr="00E70BA2">
              <w:rPr>
                <w:rFonts w:ascii="Tahoma" w:hAnsi="Tahoma" w:cs="Tahoma"/>
                <w:sz w:val="20"/>
                <w:szCs w:val="20"/>
              </w:rPr>
              <w:t>5262, 5300,5964</w:t>
            </w:r>
          </w:p>
        </w:tc>
      </w:tr>
      <w:tr w:rsidR="003E2FCA" w14:paraId="7AAC39EB" w14:textId="77777777" w:rsidTr="00C720A8">
        <w:trPr>
          <w:trHeight w:val="697"/>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4A7F8A44" w14:textId="77777777" w:rsidR="003E2FCA" w:rsidRPr="00E70BA2" w:rsidRDefault="003E2FCA" w:rsidP="00C720A8">
            <w:pPr>
              <w:jc w:val="center"/>
              <w:rPr>
                <w:rFonts w:ascii="Tahoma" w:hAnsi="Tahoma" w:cs="Tahoma"/>
                <w:sz w:val="20"/>
                <w:szCs w:val="20"/>
              </w:rPr>
            </w:pPr>
            <w:r w:rsidRPr="00E70BA2">
              <w:rPr>
                <w:rFonts w:ascii="Tahoma" w:hAnsi="Tahoma" w:cs="Tahoma"/>
                <w:sz w:val="20"/>
                <w:szCs w:val="20"/>
              </w:rPr>
              <w:t>5.8.</w:t>
            </w:r>
          </w:p>
        </w:tc>
        <w:tc>
          <w:tcPr>
            <w:tcW w:w="7507" w:type="dxa"/>
            <w:tcBorders>
              <w:top w:val="nil"/>
              <w:left w:val="nil"/>
              <w:bottom w:val="single" w:sz="4" w:space="0" w:color="auto"/>
              <w:right w:val="single" w:sz="4" w:space="0" w:color="auto"/>
            </w:tcBorders>
            <w:shd w:val="clear" w:color="000000" w:fill="FFFFFF"/>
            <w:vAlign w:val="center"/>
          </w:tcPr>
          <w:p w14:paraId="19E836E3" w14:textId="77777777" w:rsidR="003E2FCA" w:rsidRPr="00E70BA2" w:rsidRDefault="003E2FCA" w:rsidP="00C720A8">
            <w:pPr>
              <w:rPr>
                <w:rFonts w:ascii="Tahoma" w:hAnsi="Tahoma" w:cs="Tahoma"/>
                <w:b/>
                <w:bCs/>
                <w:sz w:val="20"/>
                <w:szCs w:val="20"/>
              </w:rPr>
            </w:pPr>
            <w:r w:rsidRPr="00E70BA2">
              <w:rPr>
                <w:rFonts w:ascii="Tahoma" w:hAnsi="Tahoma" w:cs="Tahoma"/>
                <w:b/>
                <w:bCs/>
                <w:sz w:val="20"/>
                <w:szCs w:val="20"/>
              </w:rPr>
              <w:t>Кафе, рестораны, фастфуд</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tcPr>
          <w:p w14:paraId="7C8E5051" w14:textId="77777777" w:rsidR="003E2FCA" w:rsidRPr="00E70BA2" w:rsidRDefault="003E2FCA" w:rsidP="00C720A8">
            <w:pPr>
              <w:jc w:val="center"/>
              <w:rPr>
                <w:rFonts w:ascii="Tahoma" w:hAnsi="Tahoma" w:cs="Tahoma"/>
                <w:sz w:val="20"/>
                <w:szCs w:val="20"/>
              </w:rPr>
            </w:pPr>
            <w:r w:rsidRPr="00E70BA2">
              <w:rPr>
                <w:rFonts w:ascii="Tahoma" w:hAnsi="Tahoma" w:cs="Tahoma"/>
                <w:sz w:val="20"/>
                <w:szCs w:val="20"/>
              </w:rPr>
              <w:t>5811, 5812, 5813, 5814</w:t>
            </w:r>
          </w:p>
        </w:tc>
      </w:tr>
      <w:tr w:rsidR="003E2FCA" w14:paraId="0AA9A13B" w14:textId="77777777" w:rsidTr="00C720A8">
        <w:trPr>
          <w:trHeight w:val="693"/>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3C36EE5F" w14:textId="77777777" w:rsidR="003E2FCA" w:rsidRPr="00E70BA2" w:rsidRDefault="003E2FCA" w:rsidP="00C720A8">
            <w:pPr>
              <w:jc w:val="center"/>
              <w:rPr>
                <w:rFonts w:ascii="Tahoma" w:hAnsi="Tahoma" w:cs="Tahoma"/>
                <w:sz w:val="20"/>
                <w:szCs w:val="20"/>
              </w:rPr>
            </w:pPr>
            <w:r w:rsidRPr="00E70BA2">
              <w:rPr>
                <w:rFonts w:ascii="Tahoma" w:hAnsi="Tahoma" w:cs="Tahoma"/>
                <w:sz w:val="20"/>
                <w:szCs w:val="20"/>
              </w:rPr>
              <w:t>5.9.</w:t>
            </w:r>
          </w:p>
        </w:tc>
        <w:tc>
          <w:tcPr>
            <w:tcW w:w="7507" w:type="dxa"/>
            <w:tcBorders>
              <w:top w:val="nil"/>
              <w:left w:val="nil"/>
              <w:bottom w:val="single" w:sz="4" w:space="0" w:color="auto"/>
              <w:right w:val="single" w:sz="4" w:space="0" w:color="auto"/>
            </w:tcBorders>
            <w:shd w:val="clear" w:color="000000" w:fill="FFFFFF"/>
            <w:vAlign w:val="center"/>
          </w:tcPr>
          <w:p w14:paraId="2263920C" w14:textId="77777777" w:rsidR="003E2FCA" w:rsidRPr="00E70BA2" w:rsidRDefault="003E2FCA" w:rsidP="00C720A8">
            <w:pPr>
              <w:rPr>
                <w:rFonts w:ascii="Tahoma" w:hAnsi="Tahoma" w:cs="Tahoma"/>
                <w:sz w:val="20"/>
                <w:szCs w:val="20"/>
              </w:rPr>
            </w:pPr>
            <w:r w:rsidRPr="00E70BA2">
              <w:rPr>
                <w:rFonts w:ascii="Tahoma" w:hAnsi="Tahoma" w:cs="Tahoma"/>
                <w:b/>
                <w:bCs/>
                <w:sz w:val="20"/>
                <w:szCs w:val="20"/>
              </w:rPr>
              <w:t>Салоны красоты и парфюмерия:</w:t>
            </w:r>
            <w:r w:rsidRPr="00E70BA2">
              <w:rPr>
                <w:rFonts w:ascii="Tahoma" w:hAnsi="Tahoma" w:cs="Tahoma"/>
                <w:sz w:val="20"/>
                <w:szCs w:val="20"/>
              </w:rPr>
              <w:t xml:space="preserve"> салоны красоты и здоровья, косметика и парфюмерия</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tcPr>
          <w:p w14:paraId="60E6A089" w14:textId="77777777" w:rsidR="003E2FCA" w:rsidRPr="00E70BA2" w:rsidRDefault="003E2FCA" w:rsidP="00C720A8">
            <w:pPr>
              <w:jc w:val="center"/>
              <w:rPr>
                <w:rFonts w:ascii="Tahoma" w:hAnsi="Tahoma" w:cs="Tahoma"/>
                <w:sz w:val="20"/>
                <w:szCs w:val="20"/>
              </w:rPr>
            </w:pPr>
            <w:r w:rsidRPr="00E70BA2">
              <w:rPr>
                <w:rFonts w:ascii="Tahoma" w:hAnsi="Tahoma" w:cs="Tahoma"/>
                <w:sz w:val="20"/>
                <w:szCs w:val="20"/>
              </w:rPr>
              <w:t>5977,7230, 7297, 7298</w:t>
            </w:r>
          </w:p>
        </w:tc>
      </w:tr>
      <w:tr w:rsidR="003E2FCA" w14:paraId="167FE8C7" w14:textId="77777777" w:rsidTr="00C720A8">
        <w:trPr>
          <w:trHeight w:val="844"/>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289B18C5" w14:textId="77777777" w:rsidR="003E2FCA" w:rsidRPr="00E70BA2" w:rsidRDefault="003E2FCA" w:rsidP="00C720A8">
            <w:pPr>
              <w:jc w:val="center"/>
              <w:rPr>
                <w:rFonts w:ascii="Tahoma" w:hAnsi="Tahoma" w:cs="Tahoma"/>
                <w:sz w:val="20"/>
                <w:szCs w:val="20"/>
              </w:rPr>
            </w:pPr>
            <w:r w:rsidRPr="00E70BA2">
              <w:rPr>
                <w:rFonts w:ascii="Tahoma" w:hAnsi="Tahoma" w:cs="Tahoma"/>
                <w:sz w:val="20"/>
                <w:szCs w:val="20"/>
              </w:rPr>
              <w:t>5.10.</w:t>
            </w:r>
          </w:p>
        </w:tc>
        <w:tc>
          <w:tcPr>
            <w:tcW w:w="7507" w:type="dxa"/>
            <w:tcBorders>
              <w:top w:val="nil"/>
              <w:left w:val="nil"/>
              <w:bottom w:val="single" w:sz="4" w:space="0" w:color="auto"/>
              <w:right w:val="single" w:sz="4" w:space="0" w:color="auto"/>
            </w:tcBorders>
            <w:shd w:val="clear" w:color="000000" w:fill="FFFFFF"/>
            <w:vAlign w:val="center"/>
          </w:tcPr>
          <w:p w14:paraId="61120A37" w14:textId="77777777" w:rsidR="003E2FCA" w:rsidRPr="00E70BA2" w:rsidRDefault="003E2FCA" w:rsidP="00C720A8">
            <w:pPr>
              <w:rPr>
                <w:rFonts w:ascii="Tahoma" w:hAnsi="Tahoma" w:cs="Tahoma"/>
                <w:sz w:val="20"/>
                <w:szCs w:val="20"/>
              </w:rPr>
            </w:pPr>
            <w:r w:rsidRPr="00E70BA2">
              <w:rPr>
                <w:rFonts w:ascii="Tahoma" w:hAnsi="Tahoma" w:cs="Tahoma"/>
                <w:b/>
                <w:bCs/>
                <w:sz w:val="20"/>
                <w:szCs w:val="20"/>
              </w:rPr>
              <w:t xml:space="preserve">Кино и развлечения: </w:t>
            </w:r>
            <w:r w:rsidRPr="00E70BA2">
              <w:rPr>
                <w:rFonts w:ascii="Tahoma" w:hAnsi="Tahoma" w:cs="Tahoma"/>
                <w:sz w:val="20"/>
                <w:szCs w:val="20"/>
              </w:rPr>
              <w:t>кино, выставки и достопримечательности, зоопарки, дельфинарии, парки аттракционов, цирки, музыкальные мероприятия</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tcPr>
          <w:p w14:paraId="0C1ED938" w14:textId="77777777" w:rsidR="003E2FCA" w:rsidRPr="00E70BA2" w:rsidRDefault="003E2FCA" w:rsidP="00C720A8">
            <w:pPr>
              <w:jc w:val="center"/>
              <w:rPr>
                <w:rFonts w:ascii="Tahoma" w:hAnsi="Tahoma" w:cs="Tahoma"/>
                <w:sz w:val="20"/>
                <w:szCs w:val="20"/>
              </w:rPr>
            </w:pPr>
            <w:r w:rsidRPr="00E70BA2">
              <w:rPr>
                <w:rFonts w:ascii="Tahoma" w:hAnsi="Tahoma" w:cs="Tahoma"/>
                <w:sz w:val="20"/>
                <w:szCs w:val="20"/>
              </w:rPr>
              <w:t>7829, 7832, 7841, 7911, 7922, 7929, 7932, 7933, 7991, 7996, 7998, 7999</w:t>
            </w:r>
          </w:p>
        </w:tc>
      </w:tr>
      <w:tr w:rsidR="003E2FCA" w14:paraId="445FB65E" w14:textId="77777777" w:rsidTr="00C720A8">
        <w:trPr>
          <w:trHeight w:val="984"/>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4411CCF2" w14:textId="77777777" w:rsidR="003E2FCA" w:rsidRPr="004E2968" w:rsidRDefault="003E2FCA" w:rsidP="00C720A8">
            <w:pPr>
              <w:jc w:val="center"/>
              <w:rPr>
                <w:rFonts w:ascii="Tahoma" w:hAnsi="Tahoma" w:cs="Tahoma"/>
                <w:sz w:val="20"/>
                <w:szCs w:val="20"/>
              </w:rPr>
            </w:pPr>
            <w:r w:rsidRPr="004E2968">
              <w:rPr>
                <w:rFonts w:ascii="Tahoma" w:hAnsi="Tahoma" w:cs="Tahoma"/>
                <w:sz w:val="20"/>
                <w:szCs w:val="20"/>
              </w:rPr>
              <w:t>5.11.</w:t>
            </w:r>
          </w:p>
        </w:tc>
        <w:tc>
          <w:tcPr>
            <w:tcW w:w="7507" w:type="dxa"/>
            <w:tcBorders>
              <w:top w:val="nil"/>
              <w:left w:val="nil"/>
              <w:bottom w:val="single" w:sz="4" w:space="0" w:color="auto"/>
              <w:right w:val="single" w:sz="4" w:space="0" w:color="auto"/>
            </w:tcBorders>
            <w:shd w:val="clear" w:color="000000" w:fill="FFFFFF"/>
            <w:vAlign w:val="center"/>
          </w:tcPr>
          <w:p w14:paraId="79F031A8" w14:textId="77777777" w:rsidR="003E2FCA" w:rsidRPr="004E2968" w:rsidRDefault="003E2FCA" w:rsidP="00C720A8">
            <w:pPr>
              <w:rPr>
                <w:rFonts w:ascii="Tahoma" w:hAnsi="Tahoma" w:cs="Tahoma"/>
                <w:sz w:val="20"/>
                <w:szCs w:val="20"/>
              </w:rPr>
            </w:pPr>
            <w:r w:rsidRPr="004E2968">
              <w:rPr>
                <w:rFonts w:ascii="Tahoma" w:hAnsi="Tahoma" w:cs="Tahoma"/>
                <w:b/>
                <w:bCs/>
                <w:sz w:val="20"/>
                <w:szCs w:val="20"/>
              </w:rPr>
              <w:t xml:space="preserve">Фитнес и спортивные товары: </w:t>
            </w:r>
            <w:r w:rsidRPr="004E2968">
              <w:rPr>
                <w:rFonts w:ascii="Tahoma" w:hAnsi="Tahoma" w:cs="Tahoma"/>
                <w:sz w:val="20"/>
                <w:szCs w:val="20"/>
              </w:rPr>
              <w:t>спортивная одежда и инвентарь, фитнес и спорт-клубы</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tcPr>
          <w:p w14:paraId="0EAE00C1" w14:textId="77777777" w:rsidR="003E2FCA" w:rsidRPr="004E2968" w:rsidRDefault="003E2FCA" w:rsidP="00C720A8">
            <w:pPr>
              <w:jc w:val="center"/>
              <w:rPr>
                <w:rFonts w:ascii="Tahoma" w:hAnsi="Tahoma" w:cs="Tahoma"/>
                <w:sz w:val="20"/>
                <w:szCs w:val="20"/>
              </w:rPr>
            </w:pPr>
            <w:r w:rsidRPr="004E2968">
              <w:rPr>
                <w:rFonts w:ascii="Tahoma" w:hAnsi="Tahoma" w:cs="Tahoma"/>
                <w:sz w:val="20"/>
                <w:szCs w:val="20"/>
              </w:rPr>
              <w:t>7992, 5655, 5940, 5941, 7941, 7997</w:t>
            </w:r>
          </w:p>
        </w:tc>
      </w:tr>
      <w:tr w:rsidR="003E2FCA" w14:paraId="30FB1A27" w14:textId="77777777" w:rsidTr="00C720A8">
        <w:trPr>
          <w:trHeight w:val="843"/>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26E40E37" w14:textId="77777777" w:rsidR="003E2FCA" w:rsidRPr="004E2968" w:rsidRDefault="003E2FCA" w:rsidP="00C720A8">
            <w:pPr>
              <w:jc w:val="center"/>
              <w:rPr>
                <w:rFonts w:ascii="Tahoma" w:hAnsi="Tahoma" w:cs="Tahoma"/>
                <w:sz w:val="20"/>
                <w:szCs w:val="20"/>
              </w:rPr>
            </w:pPr>
            <w:r w:rsidRPr="004E2968">
              <w:rPr>
                <w:rFonts w:ascii="Tahoma" w:hAnsi="Tahoma" w:cs="Tahoma"/>
                <w:sz w:val="20"/>
                <w:szCs w:val="20"/>
              </w:rPr>
              <w:t>5.12.</w:t>
            </w:r>
          </w:p>
        </w:tc>
        <w:tc>
          <w:tcPr>
            <w:tcW w:w="7507" w:type="dxa"/>
            <w:tcBorders>
              <w:top w:val="nil"/>
              <w:left w:val="nil"/>
              <w:bottom w:val="single" w:sz="4" w:space="0" w:color="auto"/>
              <w:right w:val="single" w:sz="4" w:space="0" w:color="auto"/>
            </w:tcBorders>
            <w:shd w:val="clear" w:color="000000" w:fill="FFFFFF"/>
            <w:vAlign w:val="center"/>
          </w:tcPr>
          <w:p w14:paraId="16021432" w14:textId="77777777" w:rsidR="003E2FCA" w:rsidRPr="004E2968" w:rsidRDefault="003E2FCA" w:rsidP="00C720A8">
            <w:pPr>
              <w:rPr>
                <w:rFonts w:ascii="Tahoma" w:hAnsi="Tahoma" w:cs="Tahoma"/>
                <w:sz w:val="20"/>
                <w:szCs w:val="20"/>
              </w:rPr>
            </w:pPr>
            <w:r w:rsidRPr="004E2968">
              <w:rPr>
                <w:rFonts w:ascii="Tahoma" w:hAnsi="Tahoma" w:cs="Tahoma"/>
                <w:b/>
                <w:bCs/>
                <w:sz w:val="20"/>
                <w:szCs w:val="20"/>
              </w:rPr>
              <w:t xml:space="preserve">Медицинские услуги: </w:t>
            </w:r>
            <w:r w:rsidRPr="004E2968">
              <w:rPr>
                <w:rFonts w:ascii="Tahoma" w:hAnsi="Tahoma" w:cs="Tahoma"/>
                <w:sz w:val="20"/>
                <w:szCs w:val="20"/>
              </w:rPr>
              <w:t>медицинские услуги,</w:t>
            </w:r>
            <w:r w:rsidRPr="004E2968">
              <w:rPr>
                <w:rFonts w:ascii="Tahoma" w:hAnsi="Tahoma" w:cs="Tahoma"/>
                <w:b/>
                <w:bCs/>
                <w:sz w:val="20"/>
                <w:szCs w:val="20"/>
              </w:rPr>
              <w:t xml:space="preserve"> </w:t>
            </w:r>
            <w:r w:rsidRPr="004E2968">
              <w:rPr>
                <w:rFonts w:ascii="Tahoma" w:hAnsi="Tahoma" w:cs="Tahoma"/>
                <w:sz w:val="20"/>
                <w:szCs w:val="20"/>
              </w:rPr>
              <w:t xml:space="preserve"> стоматологии и лаборатории, услуги скорой помощи</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tcPr>
          <w:p w14:paraId="68CD8F30" w14:textId="77777777" w:rsidR="003E2FCA" w:rsidRPr="004E2968" w:rsidRDefault="003E2FCA" w:rsidP="00C720A8">
            <w:pPr>
              <w:jc w:val="center"/>
              <w:rPr>
                <w:rFonts w:ascii="Tahoma" w:hAnsi="Tahoma" w:cs="Tahoma"/>
                <w:sz w:val="20"/>
                <w:szCs w:val="20"/>
              </w:rPr>
            </w:pPr>
            <w:r w:rsidRPr="004E2968">
              <w:rPr>
                <w:rFonts w:ascii="Tahoma" w:hAnsi="Tahoma" w:cs="Tahoma"/>
                <w:sz w:val="20"/>
                <w:szCs w:val="20"/>
              </w:rPr>
              <w:t>4119, 8021, 5047, 8011, 8031, 8041, 8042, 8049, 8062, 8071, 8099</w:t>
            </w:r>
          </w:p>
        </w:tc>
      </w:tr>
      <w:tr w:rsidR="003E2FCA" w14:paraId="4FA56CEE" w14:textId="77777777" w:rsidTr="00C720A8">
        <w:trPr>
          <w:trHeight w:val="698"/>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2C270B5B" w14:textId="77777777" w:rsidR="003E2FCA" w:rsidRPr="004E2968" w:rsidRDefault="003E2FCA" w:rsidP="00C720A8">
            <w:pPr>
              <w:jc w:val="center"/>
              <w:rPr>
                <w:rFonts w:ascii="Tahoma" w:hAnsi="Tahoma" w:cs="Tahoma"/>
                <w:sz w:val="20"/>
                <w:szCs w:val="20"/>
              </w:rPr>
            </w:pPr>
            <w:r w:rsidRPr="004E2968">
              <w:rPr>
                <w:rFonts w:ascii="Tahoma" w:hAnsi="Tahoma" w:cs="Tahoma"/>
                <w:sz w:val="20"/>
                <w:szCs w:val="20"/>
              </w:rPr>
              <w:t>5.13.</w:t>
            </w:r>
          </w:p>
        </w:tc>
        <w:tc>
          <w:tcPr>
            <w:tcW w:w="7507" w:type="dxa"/>
            <w:tcBorders>
              <w:top w:val="nil"/>
              <w:left w:val="nil"/>
              <w:bottom w:val="single" w:sz="4" w:space="0" w:color="auto"/>
              <w:right w:val="single" w:sz="4" w:space="0" w:color="auto"/>
            </w:tcBorders>
            <w:shd w:val="clear" w:color="000000" w:fill="FFFFFF"/>
            <w:vAlign w:val="center"/>
          </w:tcPr>
          <w:p w14:paraId="70EB7CF2" w14:textId="77777777" w:rsidR="003E2FCA" w:rsidRPr="004E2968" w:rsidRDefault="003E2FCA" w:rsidP="00C720A8">
            <w:pPr>
              <w:rPr>
                <w:rFonts w:ascii="Tahoma" w:hAnsi="Tahoma" w:cs="Tahoma"/>
                <w:sz w:val="20"/>
                <w:szCs w:val="20"/>
              </w:rPr>
            </w:pPr>
            <w:r w:rsidRPr="004E2968">
              <w:rPr>
                <w:rFonts w:ascii="Tahoma" w:hAnsi="Tahoma" w:cs="Tahoma"/>
                <w:b/>
                <w:bCs/>
                <w:sz w:val="20"/>
                <w:szCs w:val="20"/>
              </w:rPr>
              <w:t>Книги и канцтовары:</w:t>
            </w:r>
            <w:r w:rsidRPr="004E2968">
              <w:rPr>
                <w:rFonts w:ascii="Tahoma" w:hAnsi="Tahoma" w:cs="Tahoma"/>
                <w:sz w:val="20"/>
                <w:szCs w:val="20"/>
              </w:rPr>
              <w:t xml:space="preserve"> школьные принадлежности, канцтовары, книги</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tcPr>
          <w:p w14:paraId="1525366B" w14:textId="77777777" w:rsidR="003E2FCA" w:rsidRPr="004E2968" w:rsidRDefault="003E2FCA" w:rsidP="00C720A8">
            <w:pPr>
              <w:jc w:val="center"/>
              <w:rPr>
                <w:rFonts w:ascii="Tahoma" w:hAnsi="Tahoma" w:cs="Tahoma"/>
                <w:sz w:val="20"/>
                <w:szCs w:val="20"/>
              </w:rPr>
            </w:pPr>
            <w:r w:rsidRPr="004E2968">
              <w:rPr>
                <w:rFonts w:ascii="Tahoma" w:hAnsi="Tahoma" w:cs="Tahoma"/>
                <w:sz w:val="20"/>
                <w:szCs w:val="20"/>
              </w:rPr>
              <w:t>2741, 5111, 5192, 5942, 5943, 5994</w:t>
            </w:r>
          </w:p>
        </w:tc>
      </w:tr>
      <w:tr w:rsidR="003E2FCA" w14:paraId="691D83DE" w14:textId="77777777" w:rsidTr="00C720A8">
        <w:trPr>
          <w:trHeight w:val="695"/>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1850B9EF" w14:textId="77777777" w:rsidR="003E2FCA" w:rsidRPr="004E2968" w:rsidRDefault="003E2FCA" w:rsidP="00C720A8">
            <w:pPr>
              <w:jc w:val="center"/>
              <w:rPr>
                <w:rFonts w:ascii="Tahoma" w:hAnsi="Tahoma" w:cs="Tahoma"/>
                <w:sz w:val="20"/>
                <w:szCs w:val="20"/>
              </w:rPr>
            </w:pPr>
            <w:r w:rsidRPr="004E2968">
              <w:rPr>
                <w:rFonts w:ascii="Tahoma" w:hAnsi="Tahoma" w:cs="Tahoma"/>
                <w:sz w:val="20"/>
                <w:szCs w:val="20"/>
              </w:rPr>
              <w:t>5.14.</w:t>
            </w:r>
          </w:p>
        </w:tc>
        <w:tc>
          <w:tcPr>
            <w:tcW w:w="7507" w:type="dxa"/>
            <w:tcBorders>
              <w:top w:val="nil"/>
              <w:left w:val="nil"/>
              <w:bottom w:val="single" w:sz="4" w:space="0" w:color="auto"/>
              <w:right w:val="single" w:sz="4" w:space="0" w:color="auto"/>
            </w:tcBorders>
            <w:shd w:val="clear" w:color="000000" w:fill="FFFFFF"/>
            <w:vAlign w:val="center"/>
          </w:tcPr>
          <w:p w14:paraId="6BF9C6A3" w14:textId="77777777" w:rsidR="003E2FCA" w:rsidRPr="004E2968" w:rsidRDefault="003E2FCA" w:rsidP="00C720A8">
            <w:pPr>
              <w:rPr>
                <w:rFonts w:ascii="Tahoma" w:hAnsi="Tahoma" w:cs="Tahoma"/>
                <w:sz w:val="20"/>
                <w:szCs w:val="20"/>
              </w:rPr>
            </w:pPr>
            <w:r w:rsidRPr="004E2968">
              <w:rPr>
                <w:rFonts w:ascii="Tahoma" w:hAnsi="Tahoma" w:cs="Tahoma"/>
                <w:b/>
                <w:bCs/>
                <w:sz w:val="20"/>
                <w:szCs w:val="20"/>
              </w:rPr>
              <w:t>Товары для  животных:</w:t>
            </w:r>
            <w:r w:rsidRPr="004E2968">
              <w:rPr>
                <w:rFonts w:ascii="Tahoma" w:hAnsi="Tahoma" w:cs="Tahoma"/>
                <w:sz w:val="20"/>
                <w:szCs w:val="20"/>
              </w:rPr>
              <w:t xml:space="preserve"> ветеринарные услуги, зоомагазины</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tcPr>
          <w:p w14:paraId="6846399F" w14:textId="77777777" w:rsidR="003E2FCA" w:rsidRPr="004E2968" w:rsidRDefault="003E2FCA" w:rsidP="00C720A8">
            <w:pPr>
              <w:jc w:val="center"/>
              <w:rPr>
                <w:rFonts w:ascii="Tahoma" w:hAnsi="Tahoma" w:cs="Tahoma"/>
                <w:sz w:val="20"/>
                <w:szCs w:val="20"/>
              </w:rPr>
            </w:pPr>
            <w:r w:rsidRPr="004E2968">
              <w:rPr>
                <w:rFonts w:ascii="Tahoma" w:hAnsi="Tahoma" w:cs="Tahoma"/>
                <w:sz w:val="20"/>
                <w:szCs w:val="20"/>
              </w:rPr>
              <w:t>0742, 5995</w:t>
            </w:r>
          </w:p>
        </w:tc>
      </w:tr>
      <w:tr w:rsidR="003E2FCA" w14:paraId="53334C42" w14:textId="77777777" w:rsidTr="00C720A8">
        <w:trPr>
          <w:trHeight w:val="847"/>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2C58C633" w14:textId="77777777" w:rsidR="003E2FCA" w:rsidRPr="004E2968" w:rsidRDefault="003E2FCA" w:rsidP="00C720A8">
            <w:pPr>
              <w:jc w:val="center"/>
              <w:rPr>
                <w:rFonts w:ascii="Tahoma" w:hAnsi="Tahoma" w:cs="Tahoma"/>
                <w:sz w:val="20"/>
                <w:szCs w:val="20"/>
              </w:rPr>
            </w:pPr>
            <w:r w:rsidRPr="004E2968">
              <w:rPr>
                <w:rFonts w:ascii="Tahoma" w:hAnsi="Tahoma" w:cs="Tahoma"/>
                <w:sz w:val="20"/>
                <w:szCs w:val="20"/>
              </w:rPr>
              <w:t>5.15.</w:t>
            </w:r>
          </w:p>
        </w:tc>
        <w:tc>
          <w:tcPr>
            <w:tcW w:w="7507" w:type="dxa"/>
            <w:tcBorders>
              <w:top w:val="nil"/>
              <w:left w:val="nil"/>
              <w:bottom w:val="single" w:sz="4" w:space="0" w:color="auto"/>
              <w:right w:val="single" w:sz="4" w:space="0" w:color="auto"/>
            </w:tcBorders>
            <w:shd w:val="clear" w:color="000000" w:fill="FFFFFF"/>
            <w:vAlign w:val="center"/>
          </w:tcPr>
          <w:p w14:paraId="64B8513E" w14:textId="77777777" w:rsidR="003E2FCA" w:rsidRPr="004E2968" w:rsidRDefault="003E2FCA" w:rsidP="00C720A8">
            <w:pPr>
              <w:rPr>
                <w:rFonts w:ascii="Tahoma" w:hAnsi="Tahoma" w:cs="Tahoma"/>
                <w:b/>
                <w:bCs/>
                <w:sz w:val="20"/>
                <w:szCs w:val="20"/>
              </w:rPr>
            </w:pPr>
            <w:r w:rsidRPr="004E2968">
              <w:rPr>
                <w:rFonts w:ascii="Tahoma" w:hAnsi="Tahoma" w:cs="Tahoma"/>
                <w:b/>
                <w:bCs/>
                <w:sz w:val="20"/>
                <w:szCs w:val="20"/>
              </w:rPr>
              <w:t>Турагенства:</w:t>
            </w:r>
            <w:r w:rsidRPr="004E2968">
              <w:rPr>
                <w:rFonts w:ascii="Tahoma" w:hAnsi="Tahoma" w:cs="Tahoma"/>
                <w:sz w:val="20"/>
                <w:szCs w:val="20"/>
              </w:rPr>
              <w:t xml:space="preserve"> турагентства и турагрегаторы</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tcPr>
          <w:p w14:paraId="0E1192A4" w14:textId="77777777" w:rsidR="003E2FCA" w:rsidRPr="004E2968" w:rsidRDefault="003E2FCA" w:rsidP="00C720A8">
            <w:pPr>
              <w:jc w:val="center"/>
              <w:rPr>
                <w:rFonts w:ascii="Tahoma" w:hAnsi="Tahoma" w:cs="Tahoma"/>
                <w:sz w:val="20"/>
                <w:szCs w:val="20"/>
              </w:rPr>
            </w:pPr>
            <w:r w:rsidRPr="004E2968">
              <w:rPr>
                <w:rFonts w:ascii="Tahoma" w:hAnsi="Tahoma" w:cs="Tahoma"/>
                <w:sz w:val="20"/>
                <w:szCs w:val="20"/>
              </w:rPr>
              <w:t>4722</w:t>
            </w:r>
          </w:p>
        </w:tc>
      </w:tr>
      <w:tr w:rsidR="003E2FCA" w14:paraId="03632563" w14:textId="77777777" w:rsidTr="00C720A8">
        <w:trPr>
          <w:trHeight w:val="844"/>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72016008" w14:textId="77777777" w:rsidR="003E2FCA" w:rsidRPr="004E2968" w:rsidRDefault="003E2FCA" w:rsidP="00C720A8">
            <w:pPr>
              <w:jc w:val="center"/>
              <w:rPr>
                <w:rFonts w:ascii="Tahoma" w:hAnsi="Tahoma" w:cs="Tahoma"/>
                <w:sz w:val="20"/>
                <w:szCs w:val="20"/>
              </w:rPr>
            </w:pPr>
            <w:r w:rsidRPr="004E2968">
              <w:rPr>
                <w:rFonts w:ascii="Tahoma" w:hAnsi="Tahoma" w:cs="Tahoma"/>
                <w:sz w:val="20"/>
                <w:szCs w:val="20"/>
              </w:rPr>
              <w:t>5.16.</w:t>
            </w:r>
          </w:p>
        </w:tc>
        <w:tc>
          <w:tcPr>
            <w:tcW w:w="7507" w:type="dxa"/>
            <w:tcBorders>
              <w:top w:val="nil"/>
              <w:left w:val="nil"/>
              <w:bottom w:val="single" w:sz="4" w:space="0" w:color="auto"/>
              <w:right w:val="single" w:sz="4" w:space="0" w:color="auto"/>
            </w:tcBorders>
            <w:shd w:val="clear" w:color="000000" w:fill="FFFFFF"/>
            <w:vAlign w:val="center"/>
          </w:tcPr>
          <w:p w14:paraId="39CE0DDD" w14:textId="77777777" w:rsidR="003E2FCA" w:rsidRPr="004E2968" w:rsidRDefault="003E2FCA" w:rsidP="00C720A8">
            <w:pPr>
              <w:rPr>
                <w:rFonts w:ascii="Tahoma" w:hAnsi="Tahoma" w:cs="Tahoma"/>
                <w:sz w:val="20"/>
                <w:szCs w:val="20"/>
              </w:rPr>
            </w:pPr>
            <w:r w:rsidRPr="004E2968">
              <w:rPr>
                <w:rFonts w:ascii="Tahoma" w:hAnsi="Tahoma" w:cs="Tahoma"/>
                <w:b/>
                <w:bCs/>
                <w:sz w:val="20"/>
                <w:szCs w:val="20"/>
              </w:rPr>
              <w:t xml:space="preserve">ЖД билеты: </w:t>
            </w:r>
            <w:r w:rsidRPr="004E2968">
              <w:rPr>
                <w:rFonts w:ascii="Tahoma" w:hAnsi="Tahoma" w:cs="Tahoma"/>
                <w:sz w:val="20"/>
                <w:szCs w:val="20"/>
              </w:rPr>
              <w:t>пассажирские перевозки, перевозка грузов</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tcPr>
          <w:p w14:paraId="30F6B3F9" w14:textId="77777777" w:rsidR="003E2FCA" w:rsidRPr="004E2968" w:rsidRDefault="003E2FCA" w:rsidP="00C720A8">
            <w:pPr>
              <w:jc w:val="center"/>
              <w:rPr>
                <w:rFonts w:ascii="Tahoma" w:hAnsi="Tahoma" w:cs="Tahoma"/>
                <w:sz w:val="20"/>
                <w:szCs w:val="20"/>
              </w:rPr>
            </w:pPr>
            <w:r w:rsidRPr="004E2968">
              <w:rPr>
                <w:rFonts w:ascii="Tahoma" w:hAnsi="Tahoma" w:cs="Tahoma"/>
                <w:sz w:val="20"/>
                <w:szCs w:val="20"/>
              </w:rPr>
              <w:t>4111, 4112, 4011</w:t>
            </w:r>
          </w:p>
        </w:tc>
      </w:tr>
      <w:tr w:rsidR="003E2FCA" w14:paraId="1EBF5E14" w14:textId="77777777" w:rsidTr="00C720A8">
        <w:trPr>
          <w:trHeight w:val="829"/>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0D9DF6D9" w14:textId="77777777" w:rsidR="003E2FCA" w:rsidRPr="004E2968" w:rsidRDefault="003E2FCA" w:rsidP="00C720A8">
            <w:pPr>
              <w:jc w:val="center"/>
              <w:rPr>
                <w:rFonts w:ascii="Tahoma" w:hAnsi="Tahoma" w:cs="Tahoma"/>
                <w:sz w:val="20"/>
                <w:szCs w:val="20"/>
              </w:rPr>
            </w:pPr>
            <w:r w:rsidRPr="004E2968">
              <w:rPr>
                <w:rFonts w:ascii="Tahoma" w:hAnsi="Tahoma" w:cs="Tahoma"/>
                <w:sz w:val="20"/>
                <w:szCs w:val="20"/>
              </w:rPr>
              <w:t>5.17.</w:t>
            </w:r>
          </w:p>
        </w:tc>
        <w:tc>
          <w:tcPr>
            <w:tcW w:w="7507" w:type="dxa"/>
            <w:tcBorders>
              <w:top w:val="nil"/>
              <w:left w:val="nil"/>
              <w:bottom w:val="single" w:sz="4" w:space="0" w:color="auto"/>
              <w:right w:val="single" w:sz="4" w:space="0" w:color="auto"/>
            </w:tcBorders>
            <w:shd w:val="clear" w:color="000000" w:fill="FFFFFF"/>
            <w:vAlign w:val="center"/>
          </w:tcPr>
          <w:p w14:paraId="001398EF" w14:textId="77777777" w:rsidR="003E2FCA" w:rsidRPr="004E2968" w:rsidRDefault="003E2FCA" w:rsidP="00C720A8">
            <w:pPr>
              <w:rPr>
                <w:rFonts w:ascii="Tahoma" w:hAnsi="Tahoma" w:cs="Tahoma"/>
                <w:b/>
                <w:bCs/>
                <w:sz w:val="20"/>
                <w:szCs w:val="20"/>
              </w:rPr>
            </w:pPr>
            <w:r w:rsidRPr="004E2968">
              <w:rPr>
                <w:rFonts w:ascii="Tahoma" w:hAnsi="Tahoma" w:cs="Tahoma"/>
                <w:b/>
                <w:bCs/>
                <w:sz w:val="20"/>
                <w:szCs w:val="20"/>
              </w:rPr>
              <w:t>Авиабилеты</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tcPr>
          <w:p w14:paraId="0ADEC1D9" w14:textId="77777777" w:rsidR="003E2FCA" w:rsidRPr="004E2968" w:rsidRDefault="003E2FCA" w:rsidP="00C720A8">
            <w:pPr>
              <w:jc w:val="center"/>
              <w:rPr>
                <w:rFonts w:ascii="Tahoma" w:hAnsi="Tahoma" w:cs="Tahoma"/>
                <w:sz w:val="20"/>
                <w:szCs w:val="20"/>
              </w:rPr>
            </w:pPr>
            <w:r w:rsidRPr="004E2968">
              <w:rPr>
                <w:rFonts w:ascii="Tahoma" w:hAnsi="Tahoma" w:cs="Tahoma"/>
                <w:sz w:val="20"/>
                <w:szCs w:val="20"/>
              </w:rPr>
              <w:t>3000 - 3301, 4511, 4582</w:t>
            </w:r>
          </w:p>
        </w:tc>
      </w:tr>
      <w:tr w:rsidR="003E2FCA" w14:paraId="5440A9D9" w14:textId="77777777" w:rsidTr="00C720A8">
        <w:trPr>
          <w:trHeight w:val="840"/>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2E88E7E6" w14:textId="77777777" w:rsidR="003E2FCA" w:rsidRPr="004E2968" w:rsidRDefault="003E2FCA" w:rsidP="00C720A8">
            <w:pPr>
              <w:jc w:val="center"/>
              <w:rPr>
                <w:rFonts w:ascii="Tahoma" w:hAnsi="Tahoma" w:cs="Tahoma"/>
                <w:sz w:val="20"/>
                <w:szCs w:val="20"/>
              </w:rPr>
            </w:pPr>
            <w:r w:rsidRPr="004E2968">
              <w:rPr>
                <w:rFonts w:ascii="Tahoma" w:hAnsi="Tahoma" w:cs="Tahoma"/>
                <w:sz w:val="20"/>
                <w:szCs w:val="20"/>
              </w:rPr>
              <w:t>5.18.</w:t>
            </w:r>
          </w:p>
        </w:tc>
        <w:tc>
          <w:tcPr>
            <w:tcW w:w="7507" w:type="dxa"/>
            <w:tcBorders>
              <w:top w:val="nil"/>
              <w:left w:val="nil"/>
              <w:bottom w:val="single" w:sz="4" w:space="0" w:color="auto"/>
              <w:right w:val="single" w:sz="4" w:space="0" w:color="auto"/>
            </w:tcBorders>
            <w:shd w:val="clear" w:color="000000" w:fill="FFFFFF"/>
            <w:vAlign w:val="center"/>
          </w:tcPr>
          <w:p w14:paraId="55352085" w14:textId="77777777" w:rsidR="003E2FCA" w:rsidRPr="004E2968" w:rsidRDefault="003E2FCA" w:rsidP="00C720A8">
            <w:pPr>
              <w:rPr>
                <w:rFonts w:ascii="Tahoma" w:hAnsi="Tahoma" w:cs="Tahoma"/>
                <w:b/>
                <w:bCs/>
                <w:sz w:val="20"/>
                <w:szCs w:val="20"/>
              </w:rPr>
            </w:pPr>
            <w:r w:rsidRPr="004E2968">
              <w:rPr>
                <w:rFonts w:ascii="Tahoma" w:hAnsi="Tahoma" w:cs="Tahoma"/>
                <w:b/>
                <w:bCs/>
                <w:sz w:val="20"/>
                <w:szCs w:val="20"/>
              </w:rPr>
              <w:t>Отели</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tcPr>
          <w:p w14:paraId="722D7078" w14:textId="77777777" w:rsidR="003E2FCA" w:rsidRPr="004E2968" w:rsidRDefault="003E2FCA" w:rsidP="00C720A8">
            <w:pPr>
              <w:jc w:val="center"/>
              <w:rPr>
                <w:rFonts w:ascii="Tahoma" w:hAnsi="Tahoma" w:cs="Tahoma"/>
                <w:sz w:val="20"/>
                <w:szCs w:val="20"/>
              </w:rPr>
            </w:pPr>
            <w:r w:rsidRPr="004E2968">
              <w:rPr>
                <w:rFonts w:ascii="Tahoma" w:hAnsi="Tahoma" w:cs="Tahoma"/>
                <w:sz w:val="20"/>
                <w:szCs w:val="20"/>
              </w:rPr>
              <w:t>3501-3799, 7032, 3618, 7011</w:t>
            </w:r>
          </w:p>
        </w:tc>
      </w:tr>
      <w:tr w:rsidR="003E2FCA" w14:paraId="44B614DB" w14:textId="77777777" w:rsidTr="00C720A8">
        <w:trPr>
          <w:trHeight w:val="785"/>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4FC0C638" w14:textId="77777777" w:rsidR="003E2FCA" w:rsidRPr="004E2968" w:rsidRDefault="003E2FCA" w:rsidP="00C720A8">
            <w:pPr>
              <w:jc w:val="center"/>
              <w:rPr>
                <w:rFonts w:ascii="Tahoma" w:hAnsi="Tahoma" w:cs="Tahoma"/>
                <w:sz w:val="20"/>
                <w:szCs w:val="20"/>
              </w:rPr>
            </w:pPr>
            <w:r w:rsidRPr="004E2968">
              <w:rPr>
                <w:rFonts w:ascii="Tahoma" w:hAnsi="Tahoma" w:cs="Tahoma"/>
                <w:sz w:val="20"/>
                <w:szCs w:val="20"/>
              </w:rPr>
              <w:t>5.19.</w:t>
            </w:r>
          </w:p>
        </w:tc>
        <w:tc>
          <w:tcPr>
            <w:tcW w:w="7507" w:type="dxa"/>
            <w:tcBorders>
              <w:top w:val="nil"/>
              <w:left w:val="nil"/>
              <w:bottom w:val="single" w:sz="4" w:space="0" w:color="auto"/>
              <w:right w:val="single" w:sz="4" w:space="0" w:color="auto"/>
            </w:tcBorders>
            <w:shd w:val="clear" w:color="000000" w:fill="FFFFFF"/>
            <w:vAlign w:val="center"/>
          </w:tcPr>
          <w:p w14:paraId="31812AC3" w14:textId="77777777" w:rsidR="003E2FCA" w:rsidRPr="004E2968" w:rsidRDefault="003E2FCA" w:rsidP="00C720A8">
            <w:pPr>
              <w:rPr>
                <w:rFonts w:ascii="Tahoma" w:hAnsi="Tahoma" w:cs="Tahoma"/>
                <w:b/>
                <w:bCs/>
                <w:sz w:val="20"/>
                <w:szCs w:val="20"/>
              </w:rPr>
            </w:pPr>
            <w:r w:rsidRPr="004E2968">
              <w:rPr>
                <w:rFonts w:ascii="Tahoma" w:hAnsi="Tahoma" w:cs="Tahoma"/>
                <w:b/>
                <w:bCs/>
                <w:sz w:val="20"/>
                <w:szCs w:val="20"/>
              </w:rPr>
              <w:t>Цветы</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tcPr>
          <w:p w14:paraId="43523B34" w14:textId="77777777" w:rsidR="003E2FCA" w:rsidRPr="004E2968" w:rsidRDefault="003E2FCA" w:rsidP="00C720A8">
            <w:pPr>
              <w:jc w:val="center"/>
              <w:rPr>
                <w:rFonts w:ascii="Tahoma" w:hAnsi="Tahoma" w:cs="Tahoma"/>
                <w:sz w:val="20"/>
                <w:szCs w:val="20"/>
              </w:rPr>
            </w:pPr>
            <w:r w:rsidRPr="004E2968">
              <w:rPr>
                <w:rFonts w:ascii="Tahoma" w:hAnsi="Tahoma" w:cs="Tahoma"/>
                <w:sz w:val="20"/>
                <w:szCs w:val="20"/>
              </w:rPr>
              <w:t>5193, 5992</w:t>
            </w:r>
          </w:p>
        </w:tc>
      </w:tr>
      <w:tr w:rsidR="003E2FCA" w14:paraId="3B3745E7" w14:textId="77777777" w:rsidTr="00C720A8">
        <w:trPr>
          <w:trHeight w:val="927"/>
        </w:trPr>
        <w:tc>
          <w:tcPr>
            <w:tcW w:w="715" w:type="dxa"/>
            <w:tcBorders>
              <w:top w:val="nil"/>
              <w:left w:val="single" w:sz="4" w:space="0" w:color="auto"/>
              <w:bottom w:val="single" w:sz="4" w:space="0" w:color="auto"/>
              <w:right w:val="single" w:sz="4" w:space="0" w:color="auto"/>
            </w:tcBorders>
            <w:shd w:val="clear" w:color="000000" w:fill="FFFFFF"/>
            <w:noWrap/>
            <w:vAlign w:val="center"/>
          </w:tcPr>
          <w:p w14:paraId="184ADCAB" w14:textId="77777777" w:rsidR="003E2FCA" w:rsidRPr="004E2968" w:rsidRDefault="003E2FCA" w:rsidP="00C720A8">
            <w:pPr>
              <w:jc w:val="center"/>
              <w:rPr>
                <w:rFonts w:ascii="Tahoma" w:hAnsi="Tahoma" w:cs="Tahoma"/>
                <w:sz w:val="20"/>
                <w:szCs w:val="20"/>
              </w:rPr>
            </w:pPr>
            <w:r w:rsidRPr="004E2968">
              <w:rPr>
                <w:rFonts w:ascii="Tahoma" w:hAnsi="Tahoma" w:cs="Tahoma"/>
                <w:sz w:val="20"/>
                <w:szCs w:val="20"/>
              </w:rPr>
              <w:t>5.20.</w:t>
            </w:r>
          </w:p>
        </w:tc>
        <w:tc>
          <w:tcPr>
            <w:tcW w:w="7507" w:type="dxa"/>
            <w:tcBorders>
              <w:top w:val="nil"/>
              <w:left w:val="nil"/>
              <w:bottom w:val="single" w:sz="4" w:space="0" w:color="auto"/>
              <w:right w:val="single" w:sz="4" w:space="0" w:color="auto"/>
            </w:tcBorders>
            <w:shd w:val="clear" w:color="000000" w:fill="FFFFFF"/>
            <w:vAlign w:val="center"/>
          </w:tcPr>
          <w:p w14:paraId="0B004E10" w14:textId="77777777" w:rsidR="003E2FCA" w:rsidRPr="004E2968" w:rsidRDefault="003E2FCA" w:rsidP="00C720A8">
            <w:pPr>
              <w:rPr>
                <w:rFonts w:ascii="Tahoma" w:hAnsi="Tahoma" w:cs="Tahoma"/>
                <w:sz w:val="20"/>
                <w:szCs w:val="20"/>
              </w:rPr>
            </w:pPr>
            <w:r w:rsidRPr="004E2968">
              <w:rPr>
                <w:rFonts w:ascii="Tahoma" w:hAnsi="Tahoma" w:cs="Tahoma"/>
                <w:b/>
                <w:bCs/>
                <w:sz w:val="20"/>
                <w:szCs w:val="20"/>
              </w:rPr>
              <w:t>Супермаркеты:</w:t>
            </w:r>
            <w:r w:rsidRPr="004E2968">
              <w:rPr>
                <w:rFonts w:ascii="Tahoma" w:hAnsi="Tahoma" w:cs="Tahoma"/>
                <w:sz w:val="20"/>
                <w:szCs w:val="20"/>
              </w:rPr>
              <w:t xml:space="preserve"> бакалейные магазины, кондитерские, булочные, продажа мяса и молочных продуктов</w:t>
            </w:r>
          </w:p>
        </w:tc>
        <w:tc>
          <w:tcPr>
            <w:tcW w:w="7109" w:type="dxa"/>
            <w:gridSpan w:val="4"/>
            <w:tcBorders>
              <w:top w:val="single" w:sz="4" w:space="0" w:color="auto"/>
              <w:left w:val="nil"/>
              <w:bottom w:val="single" w:sz="4" w:space="0" w:color="auto"/>
              <w:right w:val="single" w:sz="4" w:space="0" w:color="000000"/>
            </w:tcBorders>
            <w:shd w:val="clear" w:color="000000" w:fill="FFFFFF"/>
            <w:noWrap/>
            <w:vAlign w:val="center"/>
          </w:tcPr>
          <w:p w14:paraId="25BF694C" w14:textId="77777777" w:rsidR="003E2FCA" w:rsidRPr="004E2968" w:rsidRDefault="003E2FCA" w:rsidP="00C720A8">
            <w:pPr>
              <w:jc w:val="center"/>
              <w:rPr>
                <w:rFonts w:ascii="Tahoma" w:hAnsi="Tahoma" w:cs="Tahoma"/>
                <w:sz w:val="20"/>
                <w:szCs w:val="20"/>
              </w:rPr>
            </w:pPr>
            <w:r w:rsidRPr="004E2968">
              <w:rPr>
                <w:rFonts w:ascii="Tahoma" w:hAnsi="Tahoma" w:cs="Tahoma"/>
                <w:sz w:val="20"/>
                <w:szCs w:val="20"/>
              </w:rPr>
              <w:t>5411, 5412, 5422, 5441, 5451, 5462, 5499, 5921</w:t>
            </w:r>
          </w:p>
        </w:tc>
      </w:tr>
      <w:tr w:rsidR="003E2FCA" w14:paraId="6361A297" w14:textId="77777777" w:rsidTr="00C720A8">
        <w:trPr>
          <w:trHeight w:val="300"/>
        </w:trPr>
        <w:tc>
          <w:tcPr>
            <w:tcW w:w="715" w:type="dxa"/>
            <w:tcBorders>
              <w:top w:val="nil"/>
              <w:left w:val="single" w:sz="4" w:space="0" w:color="auto"/>
              <w:bottom w:val="single" w:sz="4" w:space="0" w:color="auto"/>
              <w:right w:val="single" w:sz="4" w:space="0" w:color="auto"/>
            </w:tcBorders>
            <w:shd w:val="clear" w:color="000000" w:fill="808080"/>
            <w:noWrap/>
            <w:vAlign w:val="center"/>
            <w:hideMark/>
          </w:tcPr>
          <w:p w14:paraId="528178B9" w14:textId="77777777" w:rsidR="003E2FCA" w:rsidRDefault="003E2FCA" w:rsidP="00C720A8">
            <w:pPr>
              <w:jc w:val="center"/>
              <w:rPr>
                <w:rFonts w:ascii="Tahoma" w:hAnsi="Tahoma" w:cs="Tahoma"/>
                <w:b/>
                <w:bCs/>
                <w:color w:val="FFFFFF"/>
                <w:sz w:val="20"/>
                <w:szCs w:val="20"/>
              </w:rPr>
            </w:pPr>
            <w:r>
              <w:rPr>
                <w:rFonts w:ascii="Tahoma" w:hAnsi="Tahoma" w:cs="Tahoma"/>
                <w:b/>
                <w:bCs/>
                <w:color w:val="FFFFFF"/>
                <w:sz w:val="20"/>
                <w:szCs w:val="20"/>
              </w:rPr>
              <w:t>6.</w:t>
            </w:r>
          </w:p>
        </w:tc>
        <w:tc>
          <w:tcPr>
            <w:tcW w:w="14616" w:type="dxa"/>
            <w:gridSpan w:val="5"/>
            <w:tcBorders>
              <w:top w:val="single" w:sz="4" w:space="0" w:color="auto"/>
              <w:left w:val="nil"/>
              <w:bottom w:val="single" w:sz="4" w:space="0" w:color="auto"/>
              <w:right w:val="single" w:sz="4" w:space="0" w:color="000000"/>
            </w:tcBorders>
            <w:shd w:val="clear" w:color="000000" w:fill="808080"/>
            <w:noWrap/>
            <w:vAlign w:val="center"/>
            <w:hideMark/>
          </w:tcPr>
          <w:p w14:paraId="4C0127D3" w14:textId="77777777" w:rsidR="003E2FCA" w:rsidRDefault="003E2FCA" w:rsidP="00C720A8">
            <w:pPr>
              <w:rPr>
                <w:rFonts w:ascii="Tahoma" w:hAnsi="Tahoma" w:cs="Tahoma"/>
                <w:b/>
                <w:bCs/>
                <w:color w:val="FFFFFF"/>
                <w:sz w:val="20"/>
                <w:szCs w:val="20"/>
              </w:rPr>
            </w:pPr>
            <w:r>
              <w:rPr>
                <w:rFonts w:ascii="Tahoma" w:hAnsi="Tahoma" w:cs="Tahoma"/>
                <w:b/>
                <w:bCs/>
                <w:color w:val="FFFFFF"/>
                <w:sz w:val="20"/>
                <w:szCs w:val="20"/>
              </w:rPr>
              <w:t>Условия прекращения действия ранее начисленных Баллов</w:t>
            </w:r>
          </w:p>
        </w:tc>
      </w:tr>
      <w:tr w:rsidR="003E2FCA" w14:paraId="3B086223" w14:textId="77777777" w:rsidTr="00C720A8">
        <w:trPr>
          <w:trHeight w:val="660"/>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A76C00" w14:textId="77777777" w:rsidR="003E2FCA" w:rsidRDefault="003E2FCA" w:rsidP="00C720A8">
            <w:pPr>
              <w:jc w:val="center"/>
              <w:rPr>
                <w:rFonts w:ascii="Tahoma" w:hAnsi="Tahoma" w:cs="Tahoma"/>
                <w:sz w:val="20"/>
                <w:szCs w:val="20"/>
              </w:rPr>
            </w:pPr>
            <w:r>
              <w:rPr>
                <w:rFonts w:ascii="Tahoma" w:hAnsi="Tahoma" w:cs="Tahoma"/>
                <w:sz w:val="20"/>
                <w:szCs w:val="20"/>
              </w:rPr>
              <w:t>6.1.</w:t>
            </w:r>
          </w:p>
        </w:tc>
        <w:tc>
          <w:tcPr>
            <w:tcW w:w="7536" w:type="dxa"/>
            <w:gridSpan w:val="2"/>
            <w:tcBorders>
              <w:top w:val="single" w:sz="4" w:space="0" w:color="auto"/>
              <w:left w:val="nil"/>
              <w:bottom w:val="single" w:sz="4" w:space="0" w:color="auto"/>
              <w:right w:val="single" w:sz="4" w:space="0" w:color="auto"/>
            </w:tcBorders>
            <w:shd w:val="clear" w:color="000000" w:fill="FFFFFF"/>
            <w:vAlign w:val="center"/>
            <w:hideMark/>
          </w:tcPr>
          <w:p w14:paraId="38E6FA1E" w14:textId="77777777" w:rsidR="003E2FCA" w:rsidRPr="004F6CC7" w:rsidRDefault="003E2FCA" w:rsidP="00C720A8">
            <w:pPr>
              <w:rPr>
                <w:rFonts w:ascii="Tahoma" w:hAnsi="Tahoma" w:cs="Tahoma"/>
                <w:sz w:val="20"/>
                <w:szCs w:val="20"/>
              </w:rPr>
            </w:pPr>
            <w:r w:rsidRPr="004F6CC7">
              <w:rPr>
                <w:rFonts w:ascii="Tahoma" w:hAnsi="Tahoma" w:cs="Tahoma"/>
                <w:sz w:val="20"/>
                <w:szCs w:val="20"/>
              </w:rPr>
              <w:t>Максимальный срок действия начисленных Баллов (с даты их фактического начисления)</w:t>
            </w:r>
            <w:r w:rsidRPr="004F6CC7">
              <w:rPr>
                <w:rFonts w:ascii="Tahoma" w:hAnsi="Tahoma" w:cs="Tahoma"/>
                <w:sz w:val="20"/>
                <w:szCs w:val="20"/>
                <w:vertAlign w:val="superscript"/>
              </w:rPr>
              <w:t>9</w:t>
            </w:r>
          </w:p>
        </w:tc>
        <w:tc>
          <w:tcPr>
            <w:tcW w:w="7080" w:type="dxa"/>
            <w:gridSpan w:val="3"/>
            <w:tcBorders>
              <w:top w:val="single" w:sz="4" w:space="0" w:color="auto"/>
              <w:left w:val="nil"/>
              <w:bottom w:val="single" w:sz="4" w:space="0" w:color="auto"/>
              <w:right w:val="single" w:sz="4" w:space="0" w:color="000000"/>
            </w:tcBorders>
            <w:shd w:val="clear" w:color="000000" w:fill="FFFFFF"/>
            <w:noWrap/>
            <w:vAlign w:val="center"/>
            <w:hideMark/>
          </w:tcPr>
          <w:p w14:paraId="10161AA2" w14:textId="77777777" w:rsidR="003E2FCA" w:rsidRPr="004F6CC7" w:rsidRDefault="003E2FCA" w:rsidP="00C720A8">
            <w:pPr>
              <w:jc w:val="center"/>
              <w:rPr>
                <w:rFonts w:ascii="Tahoma" w:hAnsi="Tahoma" w:cs="Tahoma"/>
                <w:sz w:val="20"/>
                <w:szCs w:val="20"/>
              </w:rPr>
            </w:pPr>
            <w:r w:rsidRPr="004F6CC7">
              <w:rPr>
                <w:rFonts w:ascii="Tahoma" w:hAnsi="Tahoma" w:cs="Tahoma"/>
                <w:sz w:val="20"/>
                <w:szCs w:val="20"/>
              </w:rPr>
              <w:t>6 (шесть) месяцев</w:t>
            </w:r>
          </w:p>
        </w:tc>
      </w:tr>
      <w:tr w:rsidR="003E2FCA" w14:paraId="0AAA5DAB" w14:textId="77777777" w:rsidTr="00C720A8">
        <w:trPr>
          <w:trHeight w:val="300"/>
        </w:trPr>
        <w:tc>
          <w:tcPr>
            <w:tcW w:w="715" w:type="dxa"/>
            <w:tcBorders>
              <w:top w:val="nil"/>
              <w:left w:val="single" w:sz="4" w:space="0" w:color="auto"/>
              <w:bottom w:val="single" w:sz="4" w:space="0" w:color="auto"/>
              <w:right w:val="single" w:sz="4" w:space="0" w:color="auto"/>
            </w:tcBorders>
            <w:shd w:val="clear" w:color="000000" w:fill="808080"/>
            <w:noWrap/>
            <w:vAlign w:val="center"/>
            <w:hideMark/>
          </w:tcPr>
          <w:p w14:paraId="4BA9B5C7" w14:textId="77777777" w:rsidR="003E2FCA" w:rsidRDefault="003E2FCA" w:rsidP="00C720A8">
            <w:pPr>
              <w:jc w:val="center"/>
              <w:rPr>
                <w:rFonts w:ascii="Tahoma" w:hAnsi="Tahoma" w:cs="Tahoma"/>
                <w:b/>
                <w:bCs/>
                <w:color w:val="FFFFFF"/>
                <w:sz w:val="20"/>
                <w:szCs w:val="20"/>
              </w:rPr>
            </w:pPr>
            <w:r>
              <w:rPr>
                <w:rFonts w:ascii="Tahoma" w:hAnsi="Tahoma" w:cs="Tahoma"/>
                <w:b/>
                <w:bCs/>
                <w:color w:val="FFFFFF"/>
                <w:sz w:val="20"/>
                <w:szCs w:val="20"/>
              </w:rPr>
              <w:t>7.</w:t>
            </w:r>
          </w:p>
        </w:tc>
        <w:tc>
          <w:tcPr>
            <w:tcW w:w="14616" w:type="dxa"/>
            <w:gridSpan w:val="5"/>
            <w:tcBorders>
              <w:top w:val="single" w:sz="4" w:space="0" w:color="auto"/>
              <w:left w:val="nil"/>
              <w:bottom w:val="single" w:sz="4" w:space="0" w:color="auto"/>
              <w:right w:val="single" w:sz="4" w:space="0" w:color="000000"/>
            </w:tcBorders>
            <w:shd w:val="clear" w:color="000000" w:fill="808080"/>
            <w:noWrap/>
            <w:vAlign w:val="center"/>
            <w:hideMark/>
          </w:tcPr>
          <w:p w14:paraId="48AF5DB2" w14:textId="77777777" w:rsidR="003E2FCA" w:rsidRDefault="003E2FCA" w:rsidP="00C720A8">
            <w:pPr>
              <w:rPr>
                <w:rFonts w:ascii="Tahoma" w:hAnsi="Tahoma" w:cs="Tahoma"/>
                <w:b/>
                <w:bCs/>
                <w:color w:val="FFFFFF"/>
                <w:sz w:val="20"/>
                <w:szCs w:val="20"/>
              </w:rPr>
            </w:pPr>
            <w:r>
              <w:rPr>
                <w:rFonts w:ascii="Tahoma" w:hAnsi="Tahoma" w:cs="Tahoma"/>
                <w:b/>
                <w:bCs/>
                <w:color w:val="FFFFFF"/>
                <w:sz w:val="20"/>
                <w:szCs w:val="20"/>
              </w:rPr>
              <w:t>Условия отключения Программы по инициативе Банка</w:t>
            </w:r>
          </w:p>
        </w:tc>
      </w:tr>
      <w:tr w:rsidR="003E2FCA" w14:paraId="1C47C772" w14:textId="77777777" w:rsidTr="00C720A8">
        <w:trPr>
          <w:trHeight w:val="375"/>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14:paraId="44D82118" w14:textId="77777777" w:rsidR="003E2FCA" w:rsidRDefault="003E2FCA" w:rsidP="00C720A8">
            <w:pPr>
              <w:jc w:val="center"/>
              <w:rPr>
                <w:rFonts w:ascii="Tahoma" w:hAnsi="Tahoma" w:cs="Tahoma"/>
                <w:sz w:val="20"/>
                <w:szCs w:val="20"/>
              </w:rPr>
            </w:pPr>
            <w:r>
              <w:rPr>
                <w:rFonts w:ascii="Tahoma" w:hAnsi="Tahoma" w:cs="Tahoma"/>
                <w:sz w:val="20"/>
                <w:szCs w:val="20"/>
              </w:rPr>
              <w:t>7.1.</w:t>
            </w:r>
          </w:p>
        </w:tc>
        <w:tc>
          <w:tcPr>
            <w:tcW w:w="14616" w:type="dxa"/>
            <w:gridSpan w:val="5"/>
            <w:tcBorders>
              <w:top w:val="single" w:sz="4" w:space="0" w:color="auto"/>
              <w:left w:val="nil"/>
              <w:bottom w:val="single" w:sz="4" w:space="0" w:color="auto"/>
              <w:right w:val="single" w:sz="4" w:space="0" w:color="000000"/>
            </w:tcBorders>
            <w:shd w:val="clear" w:color="000000" w:fill="FFFFFF"/>
            <w:vAlign w:val="center"/>
            <w:hideMark/>
          </w:tcPr>
          <w:p w14:paraId="327A637F" w14:textId="77777777" w:rsidR="003E2FCA" w:rsidRPr="007A6E49" w:rsidRDefault="003E2FCA" w:rsidP="00C720A8">
            <w:pPr>
              <w:rPr>
                <w:rFonts w:ascii="Tahoma" w:hAnsi="Tahoma" w:cs="Tahoma"/>
                <w:sz w:val="20"/>
                <w:szCs w:val="20"/>
              </w:rPr>
            </w:pPr>
            <w:r w:rsidRPr="007A6E49">
              <w:rPr>
                <w:rFonts w:ascii="Tahoma" w:hAnsi="Tahoma" w:cs="Tahoma"/>
                <w:sz w:val="20"/>
                <w:szCs w:val="20"/>
              </w:rPr>
              <w:t>Банк вправе приостановить в отношении Клиента действие Программы в одностороннем порядке по основаниям, изложенным в Программе лояльности.</w:t>
            </w:r>
          </w:p>
        </w:tc>
      </w:tr>
    </w:tbl>
    <w:p w14:paraId="08BB1EC2" w14:textId="77777777" w:rsidR="003E2FCA" w:rsidRPr="004C6D38" w:rsidRDefault="003E2FCA" w:rsidP="003E2FCA">
      <w:pPr>
        <w:ind w:firstLine="142"/>
        <w:rPr>
          <w:rFonts w:ascii="Tahoma" w:hAnsi="Tahoma" w:cs="Tahoma"/>
          <w:sz w:val="18"/>
          <w:szCs w:val="22"/>
        </w:rPr>
      </w:pPr>
      <w:r w:rsidRPr="004C6D38">
        <w:rPr>
          <w:rFonts w:ascii="Tahoma" w:hAnsi="Tahoma" w:cs="Tahoma"/>
          <w:b/>
          <w:sz w:val="18"/>
          <w:szCs w:val="22"/>
        </w:rPr>
        <w:t>Примечания:</w:t>
      </w:r>
    </w:p>
    <w:tbl>
      <w:tblPr>
        <w:tblW w:w="15309" w:type="dxa"/>
        <w:tblLook w:val="04A0" w:firstRow="1" w:lastRow="0" w:firstColumn="1" w:lastColumn="0" w:noHBand="0" w:noVBand="1"/>
      </w:tblPr>
      <w:tblGrid>
        <w:gridCol w:w="15309"/>
      </w:tblGrid>
      <w:tr w:rsidR="003E2FCA" w14:paraId="0F64790A" w14:textId="77777777" w:rsidTr="00C720A8">
        <w:trPr>
          <w:trHeight w:val="285"/>
        </w:trPr>
        <w:tc>
          <w:tcPr>
            <w:tcW w:w="15309" w:type="dxa"/>
            <w:tcBorders>
              <w:top w:val="nil"/>
              <w:left w:val="nil"/>
              <w:bottom w:val="nil"/>
              <w:right w:val="nil"/>
            </w:tcBorders>
            <w:shd w:val="clear" w:color="000000" w:fill="FFFFFF"/>
            <w:hideMark/>
          </w:tcPr>
          <w:p w14:paraId="0D97B0C0" w14:textId="77777777" w:rsidR="003E2FCA" w:rsidRPr="00B00547" w:rsidRDefault="003E2FCA" w:rsidP="00C720A8">
            <w:pPr>
              <w:jc w:val="both"/>
              <w:rPr>
                <w:rFonts w:ascii="Tahoma" w:hAnsi="Tahoma" w:cs="Tahoma"/>
                <w:sz w:val="18"/>
                <w:szCs w:val="18"/>
              </w:rPr>
            </w:pPr>
            <w:r w:rsidRPr="00B00547">
              <w:rPr>
                <w:rFonts w:ascii="Tahoma" w:hAnsi="Tahoma" w:cs="Tahoma"/>
                <w:sz w:val="18"/>
                <w:szCs w:val="18"/>
                <w:vertAlign w:val="superscript"/>
              </w:rPr>
              <w:t>1</w:t>
            </w:r>
            <w:r w:rsidRPr="00B00547">
              <w:rPr>
                <w:rFonts w:ascii="Tahoma" w:hAnsi="Tahoma" w:cs="Tahoma"/>
                <w:sz w:val="18"/>
                <w:szCs w:val="18"/>
              </w:rPr>
              <w:t>Банк – «Азиатско-Тихоокеанский Банк» (Акционерное общество).</w:t>
            </w:r>
          </w:p>
        </w:tc>
      </w:tr>
      <w:tr w:rsidR="003E2FCA" w14:paraId="15AA4459" w14:textId="77777777" w:rsidTr="00C720A8">
        <w:trPr>
          <w:trHeight w:val="525"/>
        </w:trPr>
        <w:tc>
          <w:tcPr>
            <w:tcW w:w="15309" w:type="dxa"/>
            <w:tcBorders>
              <w:top w:val="nil"/>
              <w:left w:val="nil"/>
              <w:bottom w:val="nil"/>
              <w:right w:val="nil"/>
            </w:tcBorders>
            <w:shd w:val="clear" w:color="auto" w:fill="auto"/>
            <w:hideMark/>
          </w:tcPr>
          <w:p w14:paraId="1C842C75" w14:textId="77777777" w:rsidR="003E2FCA" w:rsidRPr="00B00547" w:rsidRDefault="003E2FCA" w:rsidP="00C720A8">
            <w:pPr>
              <w:jc w:val="both"/>
              <w:rPr>
                <w:rFonts w:ascii="Tahoma" w:hAnsi="Tahoma" w:cs="Tahoma"/>
                <w:sz w:val="18"/>
                <w:szCs w:val="18"/>
              </w:rPr>
            </w:pPr>
            <w:r w:rsidRPr="00B00547">
              <w:rPr>
                <w:rFonts w:ascii="Tahoma" w:hAnsi="Tahoma" w:cs="Tahoma"/>
                <w:sz w:val="18"/>
                <w:szCs w:val="18"/>
                <w:vertAlign w:val="superscript"/>
              </w:rPr>
              <w:t>2</w:t>
            </w:r>
            <w:r w:rsidRPr="00B00547">
              <w:rPr>
                <w:rFonts w:ascii="Tahoma" w:hAnsi="Tahoma" w:cs="Tahoma"/>
                <w:sz w:val="18"/>
                <w:szCs w:val="18"/>
              </w:rPr>
              <w:t>Ограничение по минимальному транзакционному обороту применяется с первого полного календарного месяца, следующего за месяцем, в котором Клиенту была выдана Банковская карта. При расчете минимального транзакционного оборота учитываются операции в Торгово-сервисных предприятиях (за исключением операций, подпадающих в список исключений МСС-кодов, в соответствии с п.2.</w:t>
            </w:r>
            <w:r>
              <w:rPr>
                <w:rFonts w:ascii="Tahoma" w:hAnsi="Tahoma" w:cs="Tahoma"/>
                <w:sz w:val="18"/>
                <w:szCs w:val="18"/>
              </w:rPr>
              <w:t>7</w:t>
            </w:r>
            <w:r w:rsidRPr="00B00547">
              <w:rPr>
                <w:rFonts w:ascii="Tahoma" w:hAnsi="Tahoma" w:cs="Tahoma"/>
                <w:sz w:val="18"/>
                <w:szCs w:val="18"/>
              </w:rPr>
              <w:t xml:space="preserve"> Программы), округленные в меньшую сторону до суммы кратной 100 рублям.</w:t>
            </w:r>
          </w:p>
        </w:tc>
      </w:tr>
      <w:tr w:rsidR="003E2FCA" w14:paraId="42760FE8" w14:textId="77777777" w:rsidTr="00C720A8">
        <w:trPr>
          <w:trHeight w:val="147"/>
        </w:trPr>
        <w:tc>
          <w:tcPr>
            <w:tcW w:w="15309" w:type="dxa"/>
            <w:tcBorders>
              <w:top w:val="nil"/>
              <w:left w:val="nil"/>
              <w:bottom w:val="nil"/>
              <w:right w:val="nil"/>
            </w:tcBorders>
            <w:shd w:val="clear" w:color="auto" w:fill="auto"/>
            <w:hideMark/>
          </w:tcPr>
          <w:p w14:paraId="400CB484" w14:textId="77777777" w:rsidR="003E2FCA" w:rsidRPr="00B00547" w:rsidRDefault="003E2FCA" w:rsidP="00C720A8">
            <w:pPr>
              <w:jc w:val="both"/>
              <w:rPr>
                <w:rFonts w:ascii="Tahoma" w:hAnsi="Tahoma" w:cs="Tahoma"/>
                <w:sz w:val="18"/>
                <w:szCs w:val="18"/>
              </w:rPr>
            </w:pPr>
            <w:r w:rsidRPr="00B00547">
              <w:rPr>
                <w:rFonts w:ascii="Tahoma" w:hAnsi="Tahoma" w:cs="Tahoma"/>
                <w:sz w:val="18"/>
                <w:szCs w:val="18"/>
                <w:vertAlign w:val="superscript"/>
              </w:rPr>
              <w:t>3</w:t>
            </w:r>
            <w:r w:rsidRPr="00B00547">
              <w:rPr>
                <w:rFonts w:ascii="Tahoma" w:hAnsi="Tahoma" w:cs="Tahoma"/>
                <w:sz w:val="18"/>
                <w:szCs w:val="18"/>
              </w:rPr>
              <w:t>Если сумма накопленных Баллов превышает лимит списания, указанный в п.2.5. Программы, остатком Баллов можно воспользоваться в следующем периоде (месяце).</w:t>
            </w:r>
          </w:p>
        </w:tc>
      </w:tr>
      <w:tr w:rsidR="003E2FCA" w14:paraId="175CCF81" w14:textId="77777777" w:rsidTr="00C720A8">
        <w:trPr>
          <w:trHeight w:val="238"/>
        </w:trPr>
        <w:tc>
          <w:tcPr>
            <w:tcW w:w="15309" w:type="dxa"/>
            <w:tcBorders>
              <w:top w:val="nil"/>
              <w:left w:val="nil"/>
              <w:bottom w:val="nil"/>
              <w:right w:val="nil"/>
            </w:tcBorders>
            <w:shd w:val="clear" w:color="auto" w:fill="auto"/>
            <w:hideMark/>
          </w:tcPr>
          <w:p w14:paraId="464D1CF5" w14:textId="77777777" w:rsidR="003E2FCA" w:rsidRPr="00B00547" w:rsidRDefault="003E2FCA" w:rsidP="00C720A8">
            <w:pPr>
              <w:jc w:val="both"/>
              <w:rPr>
                <w:rFonts w:ascii="Tahoma" w:hAnsi="Tahoma" w:cs="Tahoma"/>
                <w:sz w:val="18"/>
                <w:szCs w:val="18"/>
              </w:rPr>
            </w:pPr>
            <w:r w:rsidRPr="00B00547">
              <w:rPr>
                <w:rFonts w:ascii="Tahoma" w:hAnsi="Tahoma" w:cs="Tahoma"/>
                <w:sz w:val="18"/>
                <w:szCs w:val="18"/>
                <w:vertAlign w:val="superscript"/>
              </w:rPr>
              <w:t>4</w:t>
            </w:r>
            <w:r w:rsidRPr="00B00547">
              <w:rPr>
                <w:rFonts w:ascii="Tahoma" w:hAnsi="Tahoma" w:cs="Tahoma"/>
                <w:sz w:val="18"/>
                <w:szCs w:val="18"/>
              </w:rPr>
              <w:t>Клиент – физическое лицо, заключившее с Банком Договоры Карт.</w:t>
            </w:r>
          </w:p>
        </w:tc>
      </w:tr>
      <w:tr w:rsidR="003E2FCA" w14:paraId="04B5493F" w14:textId="77777777" w:rsidTr="00C720A8">
        <w:trPr>
          <w:trHeight w:val="345"/>
        </w:trPr>
        <w:tc>
          <w:tcPr>
            <w:tcW w:w="15309" w:type="dxa"/>
            <w:tcBorders>
              <w:top w:val="nil"/>
              <w:left w:val="nil"/>
              <w:bottom w:val="nil"/>
              <w:right w:val="nil"/>
            </w:tcBorders>
            <w:shd w:val="clear" w:color="auto" w:fill="auto"/>
            <w:hideMark/>
          </w:tcPr>
          <w:p w14:paraId="5E913BF0" w14:textId="77777777" w:rsidR="003E2FCA" w:rsidRPr="00B00547" w:rsidRDefault="003E2FCA" w:rsidP="00C720A8">
            <w:pPr>
              <w:jc w:val="both"/>
              <w:rPr>
                <w:rFonts w:ascii="Tahoma" w:hAnsi="Tahoma" w:cs="Tahoma"/>
                <w:sz w:val="18"/>
                <w:szCs w:val="18"/>
              </w:rPr>
            </w:pPr>
            <w:r w:rsidRPr="00B00547">
              <w:rPr>
                <w:rFonts w:ascii="Tahoma" w:hAnsi="Tahoma" w:cs="Tahoma"/>
                <w:sz w:val="18"/>
                <w:szCs w:val="18"/>
                <w:vertAlign w:val="superscript"/>
              </w:rPr>
              <w:t>5</w:t>
            </w:r>
            <w:r w:rsidRPr="00B00547">
              <w:rPr>
                <w:rFonts w:ascii="Tahoma" w:hAnsi="Tahoma" w:cs="Tahoma"/>
                <w:sz w:val="18"/>
                <w:szCs w:val="18"/>
              </w:rPr>
              <w:t>Максимально-допустимое суммарное количество Баллов, начисленных на Бонусный счет Клиента, за транзакционный оборот по Банковской карте, выпущенной в рамках Тарифного плана, в соответствии с п.1.1 Программы.</w:t>
            </w:r>
          </w:p>
        </w:tc>
      </w:tr>
      <w:tr w:rsidR="003E2FCA" w14:paraId="3C76DDEC" w14:textId="77777777" w:rsidTr="00C720A8">
        <w:trPr>
          <w:trHeight w:val="300"/>
        </w:trPr>
        <w:tc>
          <w:tcPr>
            <w:tcW w:w="15309" w:type="dxa"/>
            <w:tcBorders>
              <w:top w:val="nil"/>
              <w:left w:val="nil"/>
              <w:bottom w:val="nil"/>
              <w:right w:val="nil"/>
            </w:tcBorders>
            <w:shd w:val="clear" w:color="auto" w:fill="auto"/>
            <w:vAlign w:val="center"/>
            <w:hideMark/>
          </w:tcPr>
          <w:p w14:paraId="39C7AE4F" w14:textId="77777777" w:rsidR="003E2FCA" w:rsidRPr="00B00547" w:rsidRDefault="003E2FCA" w:rsidP="00C720A8">
            <w:pPr>
              <w:jc w:val="both"/>
              <w:rPr>
                <w:rFonts w:ascii="Tahoma" w:hAnsi="Tahoma" w:cs="Tahoma"/>
                <w:sz w:val="18"/>
                <w:szCs w:val="18"/>
              </w:rPr>
            </w:pPr>
            <w:r w:rsidRPr="00B00547">
              <w:rPr>
                <w:rFonts w:ascii="Tahoma" w:hAnsi="Tahoma" w:cs="Tahoma"/>
                <w:sz w:val="18"/>
                <w:szCs w:val="18"/>
                <w:vertAlign w:val="superscript"/>
              </w:rPr>
              <w:t>6</w:t>
            </w:r>
            <w:r w:rsidRPr="00B00547">
              <w:rPr>
                <w:rFonts w:ascii="Tahoma" w:hAnsi="Tahoma" w:cs="Tahoma"/>
                <w:sz w:val="18"/>
                <w:szCs w:val="18"/>
              </w:rPr>
              <w:t>Под «Заработной платой» понимаются исключительно поступления денежных средств на счет Карты Клиента, которые можно отнести к таковым согласно действующему законодательству Российской Федерации.</w:t>
            </w:r>
          </w:p>
        </w:tc>
      </w:tr>
      <w:tr w:rsidR="003E2FCA" w14:paraId="40B7DFCD" w14:textId="77777777" w:rsidTr="00C720A8">
        <w:trPr>
          <w:trHeight w:val="300"/>
        </w:trPr>
        <w:tc>
          <w:tcPr>
            <w:tcW w:w="15309" w:type="dxa"/>
            <w:tcBorders>
              <w:top w:val="nil"/>
              <w:left w:val="nil"/>
              <w:bottom w:val="nil"/>
              <w:right w:val="nil"/>
            </w:tcBorders>
            <w:shd w:val="clear" w:color="auto" w:fill="auto"/>
            <w:hideMark/>
          </w:tcPr>
          <w:p w14:paraId="372C7CAE" w14:textId="77777777" w:rsidR="003E2FCA" w:rsidRPr="00B00547" w:rsidRDefault="003E2FCA" w:rsidP="00C720A8">
            <w:pPr>
              <w:jc w:val="both"/>
              <w:rPr>
                <w:rFonts w:ascii="Tahoma" w:hAnsi="Tahoma" w:cs="Tahoma"/>
                <w:sz w:val="18"/>
                <w:szCs w:val="18"/>
              </w:rPr>
            </w:pPr>
            <w:r w:rsidRPr="00B00547">
              <w:rPr>
                <w:rFonts w:ascii="Tahoma" w:hAnsi="Tahoma" w:cs="Tahoma"/>
                <w:sz w:val="18"/>
                <w:szCs w:val="18"/>
                <w:vertAlign w:val="superscript"/>
              </w:rPr>
              <w:t>7</w:t>
            </w:r>
            <w:r w:rsidRPr="00B00547">
              <w:rPr>
                <w:rFonts w:ascii="Tahoma" w:hAnsi="Tahoma" w:cs="Tahoma"/>
                <w:sz w:val="18"/>
                <w:szCs w:val="18"/>
              </w:rPr>
              <w:t xml:space="preserve">При расчёте Баллов сумма покупки округляется в меньшую сторону до кратной 100 рублям. На остаток суммы транзакции (не кратный 100 рублям) Баллы не начисляются. </w:t>
            </w:r>
          </w:p>
        </w:tc>
      </w:tr>
      <w:tr w:rsidR="003E2FCA" w14:paraId="60274BED" w14:textId="77777777" w:rsidTr="00C720A8">
        <w:trPr>
          <w:trHeight w:val="300"/>
        </w:trPr>
        <w:tc>
          <w:tcPr>
            <w:tcW w:w="15309" w:type="dxa"/>
            <w:tcBorders>
              <w:top w:val="nil"/>
              <w:left w:val="nil"/>
              <w:bottom w:val="nil"/>
              <w:right w:val="nil"/>
            </w:tcBorders>
            <w:shd w:val="clear" w:color="auto" w:fill="auto"/>
            <w:hideMark/>
          </w:tcPr>
          <w:p w14:paraId="691184FA" w14:textId="77777777" w:rsidR="003E2FCA" w:rsidRPr="00B00547" w:rsidRDefault="003E2FCA" w:rsidP="00C720A8">
            <w:pPr>
              <w:jc w:val="both"/>
              <w:rPr>
                <w:rFonts w:ascii="Tahoma" w:hAnsi="Tahoma" w:cs="Tahoma"/>
                <w:sz w:val="18"/>
                <w:szCs w:val="18"/>
              </w:rPr>
            </w:pPr>
            <w:r w:rsidRPr="00B00547">
              <w:rPr>
                <w:rFonts w:ascii="Tahoma" w:hAnsi="Tahoma" w:cs="Tahoma"/>
                <w:sz w:val="18"/>
                <w:szCs w:val="18"/>
                <w:vertAlign w:val="superscript"/>
              </w:rPr>
              <w:t>8</w:t>
            </w:r>
            <w:r w:rsidRPr="00B00547">
              <w:rPr>
                <w:rFonts w:ascii="Tahoma" w:hAnsi="Tahoma" w:cs="Tahoma"/>
                <w:sz w:val="18"/>
                <w:szCs w:val="18"/>
              </w:rPr>
              <w:t>Клиентом может быть подключена только одна Категория повышенных Баллов в отчётном периоде (месяце).</w:t>
            </w:r>
            <w:r>
              <w:rPr>
                <w:rFonts w:ascii="Tahoma" w:hAnsi="Tahoma" w:cs="Tahoma"/>
                <w:sz w:val="18"/>
                <w:szCs w:val="18"/>
              </w:rPr>
              <w:t xml:space="preserve"> </w:t>
            </w:r>
            <w:r w:rsidRPr="00CB59E2">
              <w:rPr>
                <w:rFonts w:ascii="Tahoma" w:hAnsi="Tahoma" w:cs="Tahoma"/>
                <w:sz w:val="18"/>
                <w:szCs w:val="18"/>
              </w:rPr>
              <w:t>Банк на ежемесячной основе не позднее 25 числа каждого календарного месяца определяет перечень категорий, доступных Клиенту для подключения в Личном кабинете для начисления Баллов за покупки в отдельных категориях на следующий календарный месяц.</w:t>
            </w:r>
          </w:p>
        </w:tc>
      </w:tr>
      <w:tr w:rsidR="003E2FCA" w14:paraId="221F59F6" w14:textId="77777777" w:rsidTr="00C720A8">
        <w:trPr>
          <w:trHeight w:val="300"/>
        </w:trPr>
        <w:tc>
          <w:tcPr>
            <w:tcW w:w="15309" w:type="dxa"/>
            <w:tcBorders>
              <w:top w:val="nil"/>
              <w:left w:val="nil"/>
              <w:bottom w:val="nil"/>
              <w:right w:val="nil"/>
            </w:tcBorders>
            <w:shd w:val="clear" w:color="auto" w:fill="auto"/>
            <w:noWrap/>
            <w:hideMark/>
          </w:tcPr>
          <w:p w14:paraId="5E98AC85" w14:textId="77777777" w:rsidR="003E2FCA" w:rsidRPr="00B00547" w:rsidRDefault="003E2FCA" w:rsidP="00C720A8">
            <w:pPr>
              <w:jc w:val="both"/>
              <w:rPr>
                <w:rFonts w:ascii="Tahoma" w:hAnsi="Tahoma" w:cs="Tahoma"/>
                <w:sz w:val="18"/>
                <w:szCs w:val="18"/>
              </w:rPr>
            </w:pPr>
            <w:r w:rsidRPr="00B00547">
              <w:rPr>
                <w:rFonts w:ascii="Tahoma" w:hAnsi="Tahoma" w:cs="Tahoma"/>
                <w:sz w:val="18"/>
                <w:szCs w:val="18"/>
                <w:vertAlign w:val="superscript"/>
              </w:rPr>
              <w:t>9</w:t>
            </w:r>
            <w:r w:rsidRPr="00B00547">
              <w:rPr>
                <w:rFonts w:ascii="Tahoma" w:hAnsi="Tahoma" w:cs="Tahoma"/>
                <w:sz w:val="18"/>
                <w:szCs w:val="18"/>
              </w:rPr>
              <w:t>Если Клиент не воспользовался Баллами в течении указанного срока, то они сгорают (списываются) без возможности их использования Клиентом, а также без возможности их возмещения Клиенту.</w:t>
            </w:r>
          </w:p>
        </w:tc>
      </w:tr>
      <w:tr w:rsidR="003E2FCA" w14:paraId="3194F677" w14:textId="77777777" w:rsidTr="00C720A8">
        <w:trPr>
          <w:trHeight w:val="540"/>
        </w:trPr>
        <w:tc>
          <w:tcPr>
            <w:tcW w:w="15309" w:type="dxa"/>
            <w:tcBorders>
              <w:top w:val="nil"/>
              <w:left w:val="nil"/>
              <w:bottom w:val="nil"/>
              <w:right w:val="nil"/>
            </w:tcBorders>
            <w:shd w:val="clear" w:color="auto" w:fill="auto"/>
            <w:hideMark/>
          </w:tcPr>
          <w:p w14:paraId="27CAFE92" w14:textId="77777777" w:rsidR="003E2FCA" w:rsidRPr="00B00547" w:rsidRDefault="003E2FCA" w:rsidP="00C720A8">
            <w:pPr>
              <w:jc w:val="both"/>
              <w:rPr>
                <w:rFonts w:ascii="Tahoma" w:hAnsi="Tahoma" w:cs="Tahoma"/>
                <w:sz w:val="18"/>
                <w:szCs w:val="18"/>
              </w:rPr>
            </w:pPr>
            <w:r w:rsidRPr="00B00547">
              <w:rPr>
                <w:rFonts w:ascii="Tahoma" w:hAnsi="Tahoma" w:cs="Tahoma"/>
                <w:sz w:val="18"/>
                <w:szCs w:val="18"/>
              </w:rPr>
              <w:t>Термины, значение которым не приведено в Программе, применяются в значении, указанном в Программе лояльности и Универсальном договоре банковского обслуживания физических лиц «Азиатско-Тихоокеанский Банк» (АО), размещенных на Сайте Банка и в Подразделениях Банка.</w:t>
            </w:r>
          </w:p>
        </w:tc>
      </w:tr>
    </w:tbl>
    <w:p w14:paraId="57C7CF27" w14:textId="77777777" w:rsidR="00F41C17" w:rsidRDefault="00F41C17" w:rsidP="004E30AD">
      <w:pPr>
        <w:rPr>
          <w:rFonts w:ascii="Tahoma" w:hAnsi="Tahoma" w:cs="Tahoma"/>
          <w:b/>
          <w:sz w:val="22"/>
          <w:szCs w:val="22"/>
        </w:rPr>
      </w:pPr>
    </w:p>
    <w:p w14:paraId="03565A02" w14:textId="1FC028BB" w:rsidR="004D3A9A" w:rsidRPr="004F04D0" w:rsidRDefault="004D3A9A" w:rsidP="000B3718">
      <w:pPr>
        <w:pStyle w:val="a5"/>
      </w:pPr>
      <w:r>
        <w:t>4.16.</w:t>
      </w:r>
      <w:r w:rsidRPr="004F04D0">
        <w:t xml:space="preserve"> </w:t>
      </w:r>
      <w:r w:rsidRPr="004F04D0">
        <w:tab/>
        <w:t>БОНУСНАЯ ПРОГРАММА «</w:t>
      </w:r>
      <w:r>
        <w:t>КРЕДИТ - БОНУС</w:t>
      </w:r>
      <w:r w:rsidRPr="004F04D0">
        <w:t>»</w:t>
      </w:r>
    </w:p>
    <w:p w14:paraId="22C7AA1D" w14:textId="77777777" w:rsidR="004D3A9A" w:rsidRPr="004F04D0" w:rsidRDefault="004D3A9A" w:rsidP="004D3A9A">
      <w:pPr>
        <w:rPr>
          <w:rFonts w:ascii="Tahoma" w:hAnsi="Tahoma" w:cs="Tahoma"/>
          <w:b/>
          <w:bCs/>
          <w:sz w:val="18"/>
          <w:szCs w:val="18"/>
        </w:rPr>
      </w:pPr>
      <w:r w:rsidRPr="004F04D0">
        <w:rPr>
          <w:rFonts w:ascii="Tahoma" w:hAnsi="Tahoma" w:cs="Tahoma"/>
          <w:b/>
          <w:bCs/>
          <w:sz w:val="18"/>
          <w:szCs w:val="18"/>
        </w:rPr>
        <w:t>(является неотъемлемой частью ПРОГРАММЫ ЛОЯЛЬНОСТИ ДЛЯ КЛИЕ</w:t>
      </w:r>
      <w:r>
        <w:rPr>
          <w:rFonts w:ascii="Tahoma" w:hAnsi="Tahoma" w:cs="Tahoma"/>
          <w:b/>
          <w:bCs/>
          <w:sz w:val="18"/>
          <w:szCs w:val="18"/>
        </w:rPr>
        <w:t>НТОВ ДЕРЖАТЕЛЕЙ БАНКОВСКИХ КАРТ</w:t>
      </w:r>
      <w:r w:rsidRPr="004F04D0">
        <w:rPr>
          <w:rFonts w:ascii="Tahoma" w:hAnsi="Tahoma" w:cs="Tahoma"/>
          <w:b/>
          <w:bCs/>
          <w:sz w:val="18"/>
          <w:szCs w:val="18"/>
        </w:rPr>
        <w:t xml:space="preserve"> «АЗИАТСКО-ТИХООКЕАНСКИЙ БАНК» (АО)")</w:t>
      </w:r>
    </w:p>
    <w:p w14:paraId="60D5D487" w14:textId="77777777" w:rsidR="004D3A9A" w:rsidRPr="007D420B" w:rsidRDefault="004D3A9A" w:rsidP="004D3A9A">
      <w:pPr>
        <w:rPr>
          <w:rFonts w:ascii="Tahoma" w:hAnsi="Tahoma" w:cs="Tahoma"/>
          <w:sz w:val="18"/>
          <w:szCs w:val="18"/>
        </w:rPr>
      </w:pPr>
      <w:r w:rsidRPr="007D420B">
        <w:rPr>
          <w:rFonts w:ascii="Tahoma" w:hAnsi="Tahoma" w:cs="Tahoma"/>
          <w:sz w:val="18"/>
          <w:szCs w:val="18"/>
        </w:rPr>
        <w:t>Введены в действие с 01.11.2023 (</w:t>
      </w:r>
      <w:r>
        <w:rPr>
          <w:rFonts w:ascii="Tahoma" w:hAnsi="Tahoma" w:cs="Tahoma"/>
          <w:color w:val="FF0000"/>
          <w:sz w:val="18"/>
          <w:szCs w:val="18"/>
        </w:rPr>
        <w:t>в редакции от</w:t>
      </w:r>
      <w:r w:rsidRPr="00A62930">
        <w:rPr>
          <w:rFonts w:ascii="Tahoma" w:hAnsi="Tahoma" w:cs="Tahoma"/>
          <w:color w:val="FF0000"/>
          <w:sz w:val="18"/>
          <w:szCs w:val="18"/>
        </w:rPr>
        <w:t xml:space="preserve"> 01.</w:t>
      </w:r>
      <w:r>
        <w:rPr>
          <w:rFonts w:ascii="Tahoma" w:hAnsi="Tahoma" w:cs="Tahoma"/>
          <w:color w:val="FF0000"/>
          <w:sz w:val="18"/>
          <w:szCs w:val="18"/>
        </w:rPr>
        <w:t>10</w:t>
      </w:r>
      <w:r w:rsidRPr="00A62930">
        <w:rPr>
          <w:rFonts w:ascii="Tahoma" w:hAnsi="Tahoma" w:cs="Tahoma"/>
          <w:color w:val="FF0000"/>
          <w:sz w:val="18"/>
          <w:szCs w:val="18"/>
        </w:rPr>
        <w:t>.2024 г</w:t>
      </w:r>
      <w:r w:rsidRPr="007D420B">
        <w:rPr>
          <w:rFonts w:ascii="Tahoma" w:hAnsi="Tahoma" w:cs="Tahoma"/>
          <w:sz w:val="18"/>
          <w:szCs w:val="18"/>
        </w:rPr>
        <w:t>)</w:t>
      </w:r>
    </w:p>
    <w:tbl>
      <w:tblPr>
        <w:tblW w:w="14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4820"/>
        <w:gridCol w:w="9440"/>
      </w:tblGrid>
      <w:tr w:rsidR="004D3A9A" w:rsidRPr="0062014C" w14:paraId="7F4DE552" w14:textId="77777777" w:rsidTr="00B86BDE">
        <w:trPr>
          <w:trHeight w:val="374"/>
        </w:trPr>
        <w:tc>
          <w:tcPr>
            <w:tcW w:w="704" w:type="dxa"/>
            <w:shd w:val="clear" w:color="auto" w:fill="D9D9D9" w:themeFill="background1" w:themeFillShade="D9"/>
            <w:vAlign w:val="center"/>
            <w:hideMark/>
          </w:tcPr>
          <w:p w14:paraId="06472F84" w14:textId="77777777" w:rsidR="004D3A9A" w:rsidRPr="00BC7920" w:rsidRDefault="004D3A9A" w:rsidP="00B86BDE">
            <w:pPr>
              <w:rPr>
                <w:rFonts w:ascii="Tahoma" w:hAnsi="Tahoma" w:cs="Tahoma"/>
                <w:b/>
                <w:bCs/>
                <w:sz w:val="18"/>
                <w:szCs w:val="18"/>
              </w:rPr>
            </w:pPr>
            <w:r w:rsidRPr="00BC7920">
              <w:rPr>
                <w:rFonts w:ascii="Tahoma" w:hAnsi="Tahoma" w:cs="Tahoma"/>
                <w:b/>
                <w:bCs/>
                <w:sz w:val="18"/>
                <w:szCs w:val="18"/>
              </w:rPr>
              <w:t>1.</w:t>
            </w:r>
          </w:p>
          <w:p w14:paraId="73F680B7" w14:textId="77777777" w:rsidR="004D3A9A" w:rsidRPr="00BC7920" w:rsidRDefault="004D3A9A" w:rsidP="00B86BDE">
            <w:pPr>
              <w:rPr>
                <w:rFonts w:ascii="Tahoma" w:hAnsi="Tahoma" w:cs="Tahoma"/>
                <w:b/>
                <w:bCs/>
                <w:sz w:val="18"/>
                <w:szCs w:val="18"/>
              </w:rPr>
            </w:pPr>
          </w:p>
        </w:tc>
        <w:tc>
          <w:tcPr>
            <w:tcW w:w="14260" w:type="dxa"/>
            <w:gridSpan w:val="2"/>
            <w:shd w:val="clear" w:color="auto" w:fill="D9D9D9" w:themeFill="background1" w:themeFillShade="D9"/>
            <w:vAlign w:val="center"/>
            <w:hideMark/>
          </w:tcPr>
          <w:p w14:paraId="52B4DB4C" w14:textId="77777777" w:rsidR="004D3A9A" w:rsidRPr="00BC7920" w:rsidRDefault="004D3A9A" w:rsidP="00B86BDE">
            <w:pPr>
              <w:rPr>
                <w:rFonts w:ascii="Tahoma" w:hAnsi="Tahoma" w:cs="Tahoma"/>
                <w:b/>
                <w:bCs/>
                <w:sz w:val="18"/>
                <w:szCs w:val="18"/>
              </w:rPr>
            </w:pPr>
            <w:r w:rsidRPr="00BC7920">
              <w:rPr>
                <w:rFonts w:ascii="Tahoma" w:hAnsi="Tahoma" w:cs="Tahoma"/>
                <w:b/>
                <w:bCs/>
                <w:sz w:val="18"/>
                <w:szCs w:val="18"/>
              </w:rPr>
              <w:t>Условия предоставления настоящей Бонусной программы</w:t>
            </w:r>
          </w:p>
        </w:tc>
      </w:tr>
      <w:tr w:rsidR="004D3A9A" w:rsidRPr="0062014C" w14:paraId="5873517E" w14:textId="77777777" w:rsidTr="00B86BDE">
        <w:trPr>
          <w:trHeight w:val="346"/>
        </w:trPr>
        <w:tc>
          <w:tcPr>
            <w:tcW w:w="704" w:type="dxa"/>
            <w:shd w:val="clear" w:color="auto" w:fill="auto"/>
            <w:noWrap/>
            <w:vAlign w:val="center"/>
          </w:tcPr>
          <w:p w14:paraId="6A637E83" w14:textId="77777777" w:rsidR="004D3A9A" w:rsidRPr="0062014C" w:rsidRDefault="004D3A9A" w:rsidP="00B86BDE">
            <w:pPr>
              <w:jc w:val="center"/>
              <w:rPr>
                <w:rFonts w:ascii="Tahoma" w:hAnsi="Tahoma" w:cs="Tahoma"/>
                <w:sz w:val="18"/>
                <w:szCs w:val="18"/>
              </w:rPr>
            </w:pPr>
            <w:r w:rsidRPr="0062014C">
              <w:rPr>
                <w:rFonts w:ascii="Tahoma" w:hAnsi="Tahoma" w:cs="Tahoma"/>
                <w:sz w:val="18"/>
                <w:szCs w:val="18"/>
              </w:rPr>
              <w:t>1.1.</w:t>
            </w:r>
          </w:p>
        </w:tc>
        <w:tc>
          <w:tcPr>
            <w:tcW w:w="4820" w:type="dxa"/>
            <w:shd w:val="clear" w:color="000000" w:fill="FFFFFF"/>
            <w:vAlign w:val="center"/>
          </w:tcPr>
          <w:p w14:paraId="05F94E05" w14:textId="77777777" w:rsidR="004D3A9A" w:rsidRPr="0062014C" w:rsidRDefault="004D3A9A" w:rsidP="00B86BDE">
            <w:pPr>
              <w:rPr>
                <w:rFonts w:ascii="Tahoma" w:hAnsi="Tahoma" w:cs="Tahoma"/>
                <w:sz w:val="18"/>
                <w:szCs w:val="18"/>
              </w:rPr>
            </w:pPr>
            <w:r w:rsidRPr="0062014C">
              <w:rPr>
                <w:rFonts w:ascii="Tahoma" w:hAnsi="Tahoma" w:cs="Tahoma"/>
                <w:sz w:val="18"/>
                <w:szCs w:val="18"/>
              </w:rPr>
              <w:t>Используемые в настоящей Бонусной программе</w:t>
            </w:r>
            <w:r>
              <w:rPr>
                <w:rFonts w:ascii="Tahoma" w:hAnsi="Tahoma" w:cs="Tahoma"/>
                <w:sz w:val="18"/>
                <w:szCs w:val="18"/>
              </w:rPr>
              <w:t xml:space="preserve"> </w:t>
            </w:r>
            <w:r w:rsidRPr="008172C1">
              <w:rPr>
                <w:rFonts w:ascii="Tahoma" w:hAnsi="Tahoma" w:cs="Tahoma"/>
                <w:sz w:val="18"/>
                <w:szCs w:val="18"/>
              </w:rPr>
              <w:t>"Кредит - Бонус" (далее - Программа)</w:t>
            </w:r>
            <w:r w:rsidRPr="0062014C">
              <w:rPr>
                <w:rFonts w:ascii="Tahoma" w:hAnsi="Tahoma" w:cs="Tahoma"/>
                <w:sz w:val="18"/>
                <w:szCs w:val="18"/>
              </w:rPr>
              <w:t xml:space="preserve"> тарифные планы Банка</w:t>
            </w:r>
            <w:r w:rsidRPr="0062014C">
              <w:rPr>
                <w:rFonts w:ascii="Tahoma" w:hAnsi="Tahoma" w:cs="Tahoma"/>
                <w:sz w:val="18"/>
                <w:szCs w:val="18"/>
                <w:vertAlign w:val="superscript"/>
              </w:rPr>
              <w:t>1</w:t>
            </w:r>
            <w:r w:rsidRPr="0062014C">
              <w:rPr>
                <w:rFonts w:ascii="Tahoma" w:hAnsi="Tahoma" w:cs="Tahoma"/>
                <w:sz w:val="18"/>
                <w:szCs w:val="18"/>
              </w:rPr>
              <w:t>.</w:t>
            </w:r>
          </w:p>
        </w:tc>
        <w:tc>
          <w:tcPr>
            <w:tcW w:w="9440" w:type="dxa"/>
            <w:shd w:val="clear" w:color="auto" w:fill="auto"/>
            <w:vAlign w:val="center"/>
          </w:tcPr>
          <w:p w14:paraId="4832D4E8" w14:textId="77777777" w:rsidR="004D3A9A" w:rsidRPr="00084D62" w:rsidRDefault="004D3A9A" w:rsidP="00B86BDE">
            <w:pPr>
              <w:rPr>
                <w:rFonts w:ascii="Tahoma" w:hAnsi="Tahoma" w:cs="Tahoma"/>
                <w:sz w:val="18"/>
                <w:szCs w:val="18"/>
              </w:rPr>
            </w:pPr>
            <w:r w:rsidRPr="00084D62">
              <w:rPr>
                <w:rFonts w:ascii="Tahoma" w:hAnsi="Tahoma" w:cs="Tahoma"/>
                <w:sz w:val="18"/>
                <w:szCs w:val="18"/>
              </w:rPr>
              <w:t xml:space="preserve">Тарифные планы: </w:t>
            </w:r>
          </w:p>
          <w:p w14:paraId="611E9FDF" w14:textId="77777777" w:rsidR="004D3A9A" w:rsidRDefault="004D3A9A" w:rsidP="00B86BDE">
            <w:pPr>
              <w:rPr>
                <w:rFonts w:ascii="Tahoma" w:hAnsi="Tahoma" w:cs="Tahoma"/>
                <w:sz w:val="18"/>
                <w:szCs w:val="18"/>
              </w:rPr>
            </w:pPr>
            <w:r>
              <w:rPr>
                <w:rFonts w:ascii="Tahoma" w:hAnsi="Tahoma" w:cs="Tahoma"/>
                <w:sz w:val="18"/>
                <w:szCs w:val="18"/>
              </w:rPr>
              <w:t>- "Универсальная карта", "Лайт";</w:t>
            </w:r>
          </w:p>
          <w:p w14:paraId="6EE814D0" w14:textId="77777777" w:rsidR="004D3A9A" w:rsidRPr="0062014C" w:rsidRDefault="004D3A9A" w:rsidP="00B86BDE">
            <w:pPr>
              <w:rPr>
                <w:rFonts w:ascii="Tahoma" w:hAnsi="Tahoma" w:cs="Tahoma"/>
                <w:sz w:val="18"/>
                <w:szCs w:val="18"/>
              </w:rPr>
            </w:pPr>
            <w:r w:rsidRPr="00084D62">
              <w:rPr>
                <w:rFonts w:ascii="Tahoma" w:hAnsi="Tahoma" w:cs="Tahoma"/>
                <w:sz w:val="18"/>
                <w:szCs w:val="18"/>
              </w:rPr>
              <w:t>- Ставка 19, Ставка 19 сотрудникам, 90 даром, Мои правила, Абсолютный ноль, Фреш.</w:t>
            </w:r>
          </w:p>
        </w:tc>
      </w:tr>
      <w:tr w:rsidR="004D3A9A" w:rsidRPr="0062014C" w14:paraId="1082D8D8" w14:textId="77777777" w:rsidTr="00B86BDE">
        <w:trPr>
          <w:trHeight w:val="346"/>
        </w:trPr>
        <w:tc>
          <w:tcPr>
            <w:tcW w:w="704" w:type="dxa"/>
            <w:shd w:val="clear" w:color="auto" w:fill="auto"/>
            <w:noWrap/>
            <w:vAlign w:val="center"/>
          </w:tcPr>
          <w:p w14:paraId="5B0A3832" w14:textId="77777777" w:rsidR="004D3A9A" w:rsidRPr="0062014C" w:rsidRDefault="004D3A9A" w:rsidP="00B86BDE">
            <w:pPr>
              <w:jc w:val="center"/>
              <w:rPr>
                <w:rFonts w:ascii="Tahoma" w:hAnsi="Tahoma" w:cs="Tahoma"/>
                <w:sz w:val="18"/>
                <w:szCs w:val="18"/>
              </w:rPr>
            </w:pPr>
            <w:r w:rsidRPr="0062014C">
              <w:rPr>
                <w:rFonts w:ascii="Tahoma" w:hAnsi="Tahoma" w:cs="Tahoma"/>
                <w:sz w:val="18"/>
                <w:szCs w:val="18"/>
              </w:rPr>
              <w:t>1.2.</w:t>
            </w:r>
          </w:p>
        </w:tc>
        <w:tc>
          <w:tcPr>
            <w:tcW w:w="4820" w:type="dxa"/>
            <w:shd w:val="clear" w:color="000000" w:fill="FFFFFF"/>
            <w:vAlign w:val="center"/>
          </w:tcPr>
          <w:p w14:paraId="321AC5CF" w14:textId="77777777" w:rsidR="004D3A9A" w:rsidRPr="0062014C" w:rsidRDefault="004D3A9A" w:rsidP="00B86BDE">
            <w:pPr>
              <w:rPr>
                <w:rFonts w:ascii="Tahoma" w:hAnsi="Tahoma" w:cs="Tahoma"/>
                <w:sz w:val="18"/>
                <w:szCs w:val="18"/>
              </w:rPr>
            </w:pPr>
            <w:r w:rsidRPr="0062014C">
              <w:rPr>
                <w:rFonts w:ascii="Tahoma" w:hAnsi="Tahoma" w:cs="Tahoma"/>
                <w:sz w:val="18"/>
                <w:szCs w:val="18"/>
              </w:rPr>
              <w:t xml:space="preserve">Общие условия </w:t>
            </w:r>
            <w:r>
              <w:rPr>
                <w:rFonts w:ascii="Tahoma" w:hAnsi="Tahoma" w:cs="Tahoma"/>
                <w:sz w:val="18"/>
                <w:szCs w:val="18"/>
              </w:rPr>
              <w:t>П</w:t>
            </w:r>
            <w:r w:rsidRPr="0062014C">
              <w:rPr>
                <w:rFonts w:ascii="Tahoma" w:hAnsi="Tahoma" w:cs="Tahoma"/>
                <w:sz w:val="18"/>
                <w:szCs w:val="18"/>
              </w:rPr>
              <w:t xml:space="preserve">рограммы </w:t>
            </w:r>
          </w:p>
        </w:tc>
        <w:tc>
          <w:tcPr>
            <w:tcW w:w="9440" w:type="dxa"/>
            <w:shd w:val="clear" w:color="auto" w:fill="auto"/>
            <w:vAlign w:val="center"/>
          </w:tcPr>
          <w:p w14:paraId="48236267" w14:textId="77777777" w:rsidR="004D3A9A" w:rsidRPr="0062014C" w:rsidRDefault="004D3A9A" w:rsidP="00B86BDE">
            <w:pPr>
              <w:rPr>
                <w:rFonts w:ascii="Tahoma" w:hAnsi="Tahoma" w:cs="Tahoma"/>
                <w:sz w:val="18"/>
                <w:szCs w:val="18"/>
              </w:rPr>
            </w:pPr>
            <w:r w:rsidRPr="0062014C">
              <w:rPr>
                <w:rFonts w:ascii="Tahoma" w:hAnsi="Tahoma" w:cs="Tahoma"/>
                <w:sz w:val="18"/>
                <w:szCs w:val="18"/>
              </w:rPr>
              <w:t>В соответствии с ПРОГРАММОЙ ЛОЯЛЬНОСТИ ДЛЯ КЛИЕНТОВ ДЕРЖАТЕЛЕЙ БАНКОВСКИХ КАРТ «АЗИАТСКО-ТИХООКЕАНСКИЙ БАНК» (АО)" (далее - Программа лояльности), которая размещена на официальном сайте Банка www.atb.su и подразделениях Банка.</w:t>
            </w:r>
          </w:p>
        </w:tc>
      </w:tr>
      <w:tr w:rsidR="004D3A9A" w:rsidRPr="0062014C" w14:paraId="648A754A" w14:textId="77777777" w:rsidTr="00B86BDE">
        <w:trPr>
          <w:trHeight w:val="346"/>
        </w:trPr>
        <w:tc>
          <w:tcPr>
            <w:tcW w:w="704" w:type="dxa"/>
            <w:shd w:val="clear" w:color="auto" w:fill="auto"/>
            <w:noWrap/>
            <w:vAlign w:val="center"/>
            <w:hideMark/>
          </w:tcPr>
          <w:p w14:paraId="06C59EA1" w14:textId="77777777" w:rsidR="004D3A9A" w:rsidRPr="0062014C" w:rsidRDefault="004D3A9A" w:rsidP="00B86BDE">
            <w:pPr>
              <w:jc w:val="center"/>
              <w:rPr>
                <w:rFonts w:ascii="Tahoma" w:hAnsi="Tahoma" w:cs="Tahoma"/>
                <w:sz w:val="18"/>
                <w:szCs w:val="18"/>
              </w:rPr>
            </w:pPr>
            <w:r w:rsidRPr="0062014C">
              <w:rPr>
                <w:rFonts w:ascii="Tahoma" w:hAnsi="Tahoma" w:cs="Tahoma"/>
                <w:sz w:val="18"/>
                <w:szCs w:val="18"/>
              </w:rPr>
              <w:t>1.3.</w:t>
            </w:r>
          </w:p>
        </w:tc>
        <w:tc>
          <w:tcPr>
            <w:tcW w:w="4820" w:type="dxa"/>
            <w:shd w:val="clear" w:color="000000" w:fill="FFFFFF"/>
            <w:vAlign w:val="center"/>
            <w:hideMark/>
          </w:tcPr>
          <w:p w14:paraId="666336E4" w14:textId="77777777" w:rsidR="004D3A9A" w:rsidRPr="0062014C" w:rsidRDefault="004D3A9A" w:rsidP="00B86BDE">
            <w:pPr>
              <w:rPr>
                <w:rFonts w:ascii="Tahoma" w:hAnsi="Tahoma" w:cs="Tahoma"/>
                <w:sz w:val="18"/>
                <w:szCs w:val="18"/>
              </w:rPr>
            </w:pPr>
            <w:r w:rsidRPr="0062014C">
              <w:rPr>
                <w:rFonts w:ascii="Tahoma" w:hAnsi="Tahoma" w:cs="Tahoma"/>
                <w:sz w:val="18"/>
                <w:szCs w:val="18"/>
              </w:rPr>
              <w:t>Принцип выплаты рассчитанных Баллов</w:t>
            </w:r>
          </w:p>
        </w:tc>
        <w:tc>
          <w:tcPr>
            <w:tcW w:w="9440" w:type="dxa"/>
            <w:shd w:val="clear" w:color="auto" w:fill="auto"/>
            <w:vAlign w:val="center"/>
            <w:hideMark/>
          </w:tcPr>
          <w:p w14:paraId="073DAFB5" w14:textId="77777777" w:rsidR="004D3A9A" w:rsidRPr="0062014C" w:rsidRDefault="004D3A9A" w:rsidP="00B86BDE">
            <w:pPr>
              <w:rPr>
                <w:rFonts w:ascii="Tahoma" w:hAnsi="Tahoma" w:cs="Tahoma"/>
                <w:sz w:val="18"/>
                <w:szCs w:val="18"/>
              </w:rPr>
            </w:pPr>
            <w:r w:rsidRPr="0062014C">
              <w:rPr>
                <w:rFonts w:ascii="Tahoma" w:hAnsi="Tahoma" w:cs="Tahoma"/>
                <w:sz w:val="18"/>
                <w:szCs w:val="18"/>
              </w:rPr>
              <w:t>Зачисление Баллов производится на специальный бонусный счет Участника в Личном кабинете (по тексту – Бонусный счет) в по</w:t>
            </w:r>
            <w:r>
              <w:rPr>
                <w:rFonts w:ascii="Tahoma" w:hAnsi="Tahoma" w:cs="Tahoma"/>
                <w:sz w:val="18"/>
                <w:szCs w:val="18"/>
              </w:rPr>
              <w:t xml:space="preserve">рядке и в сроки, указанные в </w:t>
            </w:r>
            <w:r w:rsidRPr="0062014C">
              <w:rPr>
                <w:rFonts w:ascii="Tahoma" w:hAnsi="Tahoma" w:cs="Tahoma"/>
                <w:sz w:val="18"/>
                <w:szCs w:val="18"/>
              </w:rPr>
              <w:t>Программ</w:t>
            </w:r>
            <w:r>
              <w:rPr>
                <w:rFonts w:ascii="Tahoma" w:hAnsi="Tahoma" w:cs="Tahoma"/>
                <w:sz w:val="18"/>
                <w:szCs w:val="18"/>
              </w:rPr>
              <w:t>е</w:t>
            </w:r>
            <w:r w:rsidRPr="0062014C">
              <w:rPr>
                <w:rFonts w:ascii="Tahoma" w:hAnsi="Tahoma" w:cs="Tahoma"/>
                <w:sz w:val="18"/>
                <w:szCs w:val="18"/>
              </w:rPr>
              <w:t xml:space="preserve"> лояльности.</w:t>
            </w:r>
          </w:p>
        </w:tc>
      </w:tr>
      <w:tr w:rsidR="004D3A9A" w:rsidRPr="0062014C" w14:paraId="059C9B1D" w14:textId="77777777" w:rsidTr="00B86BDE">
        <w:trPr>
          <w:trHeight w:val="374"/>
        </w:trPr>
        <w:tc>
          <w:tcPr>
            <w:tcW w:w="704" w:type="dxa"/>
            <w:shd w:val="clear" w:color="auto" w:fill="D9D9D9" w:themeFill="background1" w:themeFillShade="D9"/>
            <w:noWrap/>
            <w:vAlign w:val="center"/>
            <w:hideMark/>
          </w:tcPr>
          <w:p w14:paraId="2EC27D1D" w14:textId="77777777" w:rsidR="004D3A9A" w:rsidRPr="00BC7920" w:rsidRDefault="004D3A9A" w:rsidP="00B86BDE">
            <w:pPr>
              <w:jc w:val="center"/>
              <w:rPr>
                <w:rFonts w:ascii="Tahoma" w:hAnsi="Tahoma" w:cs="Tahoma"/>
                <w:b/>
                <w:bCs/>
                <w:sz w:val="18"/>
                <w:szCs w:val="18"/>
              </w:rPr>
            </w:pPr>
            <w:r w:rsidRPr="00BC7920">
              <w:rPr>
                <w:rFonts w:ascii="Tahoma" w:hAnsi="Tahoma" w:cs="Tahoma"/>
                <w:b/>
                <w:bCs/>
                <w:sz w:val="18"/>
                <w:szCs w:val="18"/>
              </w:rPr>
              <w:t>2.</w:t>
            </w:r>
          </w:p>
        </w:tc>
        <w:tc>
          <w:tcPr>
            <w:tcW w:w="4820" w:type="dxa"/>
            <w:shd w:val="clear" w:color="auto" w:fill="D9D9D9" w:themeFill="background1" w:themeFillShade="D9"/>
            <w:noWrap/>
            <w:vAlign w:val="center"/>
            <w:hideMark/>
          </w:tcPr>
          <w:p w14:paraId="76468438" w14:textId="77777777" w:rsidR="004D3A9A" w:rsidRPr="00BC7920" w:rsidRDefault="004D3A9A" w:rsidP="00B86BDE">
            <w:pPr>
              <w:rPr>
                <w:rFonts w:ascii="Tahoma" w:hAnsi="Tahoma" w:cs="Tahoma"/>
                <w:b/>
                <w:bCs/>
                <w:sz w:val="18"/>
                <w:szCs w:val="18"/>
              </w:rPr>
            </w:pPr>
            <w:r w:rsidRPr="00BC7920">
              <w:rPr>
                <w:rFonts w:ascii="Tahoma" w:hAnsi="Tahoma" w:cs="Tahoma"/>
                <w:b/>
                <w:bCs/>
                <w:sz w:val="18"/>
                <w:szCs w:val="18"/>
              </w:rPr>
              <w:t>Ограничения применимости</w:t>
            </w:r>
          </w:p>
        </w:tc>
        <w:tc>
          <w:tcPr>
            <w:tcW w:w="9440" w:type="dxa"/>
            <w:shd w:val="clear" w:color="auto" w:fill="D9D9D9" w:themeFill="background1" w:themeFillShade="D9"/>
            <w:noWrap/>
            <w:vAlign w:val="center"/>
            <w:hideMark/>
          </w:tcPr>
          <w:p w14:paraId="0A4B4B83" w14:textId="77777777" w:rsidR="004D3A9A" w:rsidRPr="00BC7920" w:rsidRDefault="004D3A9A" w:rsidP="00B86BDE">
            <w:pPr>
              <w:rPr>
                <w:rFonts w:ascii="Tahoma" w:hAnsi="Tahoma" w:cs="Tahoma"/>
                <w:b/>
                <w:bCs/>
                <w:sz w:val="18"/>
                <w:szCs w:val="18"/>
              </w:rPr>
            </w:pPr>
            <w:r w:rsidRPr="00BC7920">
              <w:rPr>
                <w:rFonts w:ascii="Tahoma" w:hAnsi="Tahoma" w:cs="Tahoma"/>
                <w:b/>
                <w:bCs/>
                <w:sz w:val="18"/>
                <w:szCs w:val="18"/>
              </w:rPr>
              <w:t> </w:t>
            </w:r>
          </w:p>
        </w:tc>
      </w:tr>
      <w:tr w:rsidR="004D3A9A" w:rsidRPr="0062014C" w14:paraId="466B1C43" w14:textId="77777777" w:rsidTr="00B86BDE">
        <w:trPr>
          <w:trHeight w:val="471"/>
        </w:trPr>
        <w:tc>
          <w:tcPr>
            <w:tcW w:w="704" w:type="dxa"/>
            <w:shd w:val="clear" w:color="000000" w:fill="FFFFFF"/>
            <w:noWrap/>
            <w:vAlign w:val="center"/>
            <w:hideMark/>
          </w:tcPr>
          <w:p w14:paraId="63F755B0" w14:textId="77777777" w:rsidR="004D3A9A" w:rsidRPr="0062014C" w:rsidRDefault="004D3A9A" w:rsidP="00B86BDE">
            <w:pPr>
              <w:jc w:val="center"/>
              <w:rPr>
                <w:rFonts w:ascii="Tahoma" w:hAnsi="Tahoma" w:cs="Tahoma"/>
                <w:sz w:val="18"/>
                <w:szCs w:val="18"/>
              </w:rPr>
            </w:pPr>
            <w:r w:rsidRPr="0062014C">
              <w:rPr>
                <w:rFonts w:ascii="Tahoma" w:hAnsi="Tahoma" w:cs="Tahoma"/>
                <w:sz w:val="18"/>
                <w:szCs w:val="18"/>
              </w:rPr>
              <w:t>2.1.</w:t>
            </w:r>
          </w:p>
        </w:tc>
        <w:tc>
          <w:tcPr>
            <w:tcW w:w="4820" w:type="dxa"/>
            <w:shd w:val="clear" w:color="000000" w:fill="FFFFFF"/>
            <w:vAlign w:val="center"/>
            <w:hideMark/>
          </w:tcPr>
          <w:p w14:paraId="229F3CF2" w14:textId="77777777" w:rsidR="004D3A9A" w:rsidRPr="0062014C" w:rsidRDefault="004D3A9A" w:rsidP="00B86BDE">
            <w:pPr>
              <w:rPr>
                <w:rFonts w:ascii="Tahoma" w:hAnsi="Tahoma" w:cs="Tahoma"/>
                <w:sz w:val="18"/>
                <w:szCs w:val="18"/>
              </w:rPr>
            </w:pPr>
            <w:r w:rsidRPr="0062014C">
              <w:rPr>
                <w:rFonts w:ascii="Tahoma" w:hAnsi="Tahoma" w:cs="Tahoma"/>
                <w:sz w:val="18"/>
                <w:szCs w:val="18"/>
              </w:rPr>
              <w:t xml:space="preserve">Общие ограничения применимости </w:t>
            </w:r>
            <w:r>
              <w:rPr>
                <w:rFonts w:ascii="Tahoma" w:hAnsi="Tahoma" w:cs="Tahoma"/>
                <w:sz w:val="18"/>
                <w:szCs w:val="18"/>
              </w:rPr>
              <w:t>П</w:t>
            </w:r>
            <w:r w:rsidRPr="0062014C">
              <w:rPr>
                <w:rFonts w:ascii="Tahoma" w:hAnsi="Tahoma" w:cs="Tahoma"/>
                <w:sz w:val="18"/>
                <w:szCs w:val="18"/>
              </w:rPr>
              <w:t>рограммы, участия, расчета и начисления  Баллов</w:t>
            </w:r>
          </w:p>
        </w:tc>
        <w:tc>
          <w:tcPr>
            <w:tcW w:w="9440" w:type="dxa"/>
            <w:shd w:val="clear" w:color="auto" w:fill="auto"/>
            <w:vAlign w:val="center"/>
            <w:hideMark/>
          </w:tcPr>
          <w:p w14:paraId="51F1DAFE" w14:textId="77777777" w:rsidR="004D3A9A" w:rsidRPr="0062014C" w:rsidRDefault="004D3A9A" w:rsidP="00B86BDE">
            <w:pPr>
              <w:rPr>
                <w:rFonts w:ascii="Tahoma" w:hAnsi="Tahoma" w:cs="Tahoma"/>
                <w:sz w:val="18"/>
                <w:szCs w:val="18"/>
              </w:rPr>
            </w:pPr>
            <w:r w:rsidRPr="0062014C">
              <w:rPr>
                <w:rFonts w:ascii="Tahoma" w:hAnsi="Tahoma" w:cs="Tahoma"/>
                <w:sz w:val="18"/>
                <w:szCs w:val="18"/>
              </w:rPr>
              <w:t>В соответствии с Программой лояльности.</w:t>
            </w:r>
          </w:p>
        </w:tc>
      </w:tr>
      <w:tr w:rsidR="004D3A9A" w:rsidRPr="0062014C" w14:paraId="0D779C1D" w14:textId="77777777" w:rsidTr="00B86BDE">
        <w:trPr>
          <w:trHeight w:val="332"/>
        </w:trPr>
        <w:tc>
          <w:tcPr>
            <w:tcW w:w="704" w:type="dxa"/>
            <w:shd w:val="clear" w:color="000000" w:fill="FFFFFF"/>
            <w:noWrap/>
            <w:vAlign w:val="center"/>
            <w:hideMark/>
          </w:tcPr>
          <w:p w14:paraId="162815F4" w14:textId="77777777" w:rsidR="004D3A9A" w:rsidRPr="0062014C" w:rsidRDefault="004D3A9A" w:rsidP="00B86BDE">
            <w:pPr>
              <w:jc w:val="center"/>
              <w:rPr>
                <w:rFonts w:ascii="Tahoma" w:hAnsi="Tahoma" w:cs="Tahoma"/>
                <w:sz w:val="18"/>
                <w:szCs w:val="18"/>
              </w:rPr>
            </w:pPr>
            <w:r w:rsidRPr="0062014C">
              <w:rPr>
                <w:rFonts w:ascii="Tahoma" w:hAnsi="Tahoma" w:cs="Tahoma"/>
                <w:sz w:val="18"/>
                <w:szCs w:val="18"/>
              </w:rPr>
              <w:t>2.2.</w:t>
            </w:r>
          </w:p>
        </w:tc>
        <w:tc>
          <w:tcPr>
            <w:tcW w:w="4820" w:type="dxa"/>
            <w:shd w:val="clear" w:color="000000" w:fill="FFFFFF"/>
            <w:vAlign w:val="center"/>
            <w:hideMark/>
          </w:tcPr>
          <w:p w14:paraId="1ADEDC6D" w14:textId="77777777" w:rsidR="004D3A9A" w:rsidRPr="0062014C" w:rsidRDefault="004D3A9A" w:rsidP="00B86BDE">
            <w:pPr>
              <w:rPr>
                <w:rFonts w:ascii="Tahoma" w:hAnsi="Tahoma" w:cs="Tahoma"/>
                <w:sz w:val="18"/>
                <w:szCs w:val="18"/>
              </w:rPr>
            </w:pPr>
            <w:r w:rsidRPr="0062014C">
              <w:rPr>
                <w:rFonts w:ascii="Tahoma" w:hAnsi="Tahoma" w:cs="Tahoma"/>
                <w:sz w:val="18"/>
                <w:szCs w:val="18"/>
              </w:rPr>
              <w:t>Максимальная сумма одной транзакции для расчета Баллов, в мес.</w:t>
            </w:r>
          </w:p>
        </w:tc>
        <w:tc>
          <w:tcPr>
            <w:tcW w:w="9440" w:type="dxa"/>
            <w:shd w:val="clear" w:color="000000" w:fill="FFFFFF"/>
            <w:noWrap/>
            <w:vAlign w:val="center"/>
            <w:hideMark/>
          </w:tcPr>
          <w:p w14:paraId="72BB1092" w14:textId="77777777" w:rsidR="004D3A9A" w:rsidRPr="0062014C" w:rsidRDefault="004D3A9A" w:rsidP="00B86BDE">
            <w:pPr>
              <w:jc w:val="center"/>
              <w:rPr>
                <w:rFonts w:ascii="Tahoma" w:hAnsi="Tahoma" w:cs="Tahoma"/>
                <w:sz w:val="18"/>
                <w:szCs w:val="18"/>
              </w:rPr>
            </w:pPr>
            <w:r w:rsidRPr="0062014C">
              <w:rPr>
                <w:rFonts w:ascii="Tahoma" w:hAnsi="Tahoma" w:cs="Tahoma"/>
                <w:sz w:val="18"/>
                <w:szCs w:val="18"/>
              </w:rPr>
              <w:t>без ограничений</w:t>
            </w:r>
          </w:p>
        </w:tc>
      </w:tr>
      <w:tr w:rsidR="004D3A9A" w:rsidRPr="0062014C" w14:paraId="143B0677" w14:textId="77777777" w:rsidTr="00B86BDE">
        <w:trPr>
          <w:trHeight w:val="734"/>
        </w:trPr>
        <w:tc>
          <w:tcPr>
            <w:tcW w:w="704" w:type="dxa"/>
            <w:shd w:val="clear" w:color="000000" w:fill="FFFFFF"/>
            <w:noWrap/>
            <w:vAlign w:val="center"/>
            <w:hideMark/>
          </w:tcPr>
          <w:p w14:paraId="40ACCDBE" w14:textId="77777777" w:rsidR="004D3A9A" w:rsidRPr="0062014C" w:rsidRDefault="004D3A9A" w:rsidP="00B86BDE">
            <w:pPr>
              <w:jc w:val="center"/>
              <w:rPr>
                <w:rFonts w:ascii="Tahoma" w:hAnsi="Tahoma" w:cs="Tahoma"/>
                <w:sz w:val="18"/>
                <w:szCs w:val="18"/>
              </w:rPr>
            </w:pPr>
            <w:r w:rsidRPr="0062014C">
              <w:rPr>
                <w:rFonts w:ascii="Tahoma" w:hAnsi="Tahoma" w:cs="Tahoma"/>
                <w:sz w:val="18"/>
                <w:szCs w:val="18"/>
              </w:rPr>
              <w:t>2.3.</w:t>
            </w:r>
          </w:p>
        </w:tc>
        <w:tc>
          <w:tcPr>
            <w:tcW w:w="4820" w:type="dxa"/>
            <w:shd w:val="clear" w:color="auto" w:fill="auto"/>
            <w:vAlign w:val="center"/>
            <w:hideMark/>
          </w:tcPr>
          <w:p w14:paraId="405DB742" w14:textId="77777777" w:rsidR="004D3A9A" w:rsidRPr="0062014C" w:rsidRDefault="004D3A9A" w:rsidP="00B86BDE">
            <w:pPr>
              <w:rPr>
                <w:rFonts w:ascii="Tahoma" w:hAnsi="Tahoma" w:cs="Tahoma"/>
                <w:sz w:val="18"/>
                <w:szCs w:val="18"/>
              </w:rPr>
            </w:pPr>
            <w:r w:rsidRPr="0062014C">
              <w:rPr>
                <w:rFonts w:ascii="Tahoma" w:hAnsi="Tahoma" w:cs="Tahoma"/>
                <w:sz w:val="18"/>
                <w:szCs w:val="18"/>
              </w:rPr>
              <w:t>Необходимый минимальный транзакционный оборот для начисления Баллов</w:t>
            </w:r>
            <w:r w:rsidRPr="0062014C">
              <w:rPr>
                <w:rFonts w:ascii="Tahoma" w:hAnsi="Tahoma" w:cs="Tahoma"/>
                <w:sz w:val="18"/>
                <w:szCs w:val="18"/>
                <w:vertAlign w:val="superscript"/>
              </w:rPr>
              <w:t>4</w:t>
            </w:r>
            <w:r w:rsidRPr="0062014C">
              <w:rPr>
                <w:rFonts w:ascii="Tahoma" w:hAnsi="Tahoma" w:cs="Tahoma"/>
                <w:sz w:val="18"/>
                <w:szCs w:val="18"/>
              </w:rPr>
              <w:t>, по каждому карточному счету Клиента, в рамках которого на имя Клиента оформлены Банковские карты</w:t>
            </w:r>
          </w:p>
        </w:tc>
        <w:tc>
          <w:tcPr>
            <w:tcW w:w="9440" w:type="dxa"/>
            <w:shd w:val="clear" w:color="000000" w:fill="FFFFFF"/>
            <w:vAlign w:val="center"/>
            <w:hideMark/>
          </w:tcPr>
          <w:p w14:paraId="664C3285" w14:textId="77777777" w:rsidR="004D3A9A" w:rsidRPr="0062014C" w:rsidRDefault="004D3A9A" w:rsidP="00B86BDE">
            <w:pPr>
              <w:jc w:val="center"/>
              <w:rPr>
                <w:rFonts w:ascii="Tahoma" w:hAnsi="Tahoma" w:cs="Tahoma"/>
                <w:sz w:val="18"/>
                <w:szCs w:val="18"/>
              </w:rPr>
            </w:pPr>
            <w:r w:rsidRPr="0062014C">
              <w:rPr>
                <w:rFonts w:ascii="Tahoma" w:hAnsi="Tahoma" w:cs="Tahoma"/>
                <w:sz w:val="18"/>
                <w:szCs w:val="18"/>
              </w:rPr>
              <w:t>не менее 5000 (пять тысяч) руб.</w:t>
            </w:r>
            <w:r w:rsidRPr="0062014C">
              <w:rPr>
                <w:rFonts w:ascii="Tahoma" w:hAnsi="Tahoma" w:cs="Tahoma"/>
                <w:sz w:val="18"/>
                <w:szCs w:val="18"/>
                <w:vertAlign w:val="superscript"/>
              </w:rPr>
              <w:t>4</w:t>
            </w:r>
            <w:r w:rsidRPr="0062014C">
              <w:rPr>
                <w:rFonts w:ascii="Tahoma" w:hAnsi="Tahoma" w:cs="Tahoma"/>
                <w:sz w:val="18"/>
                <w:szCs w:val="18"/>
              </w:rPr>
              <w:t xml:space="preserve"> в месяц</w:t>
            </w:r>
          </w:p>
        </w:tc>
      </w:tr>
      <w:tr w:rsidR="004D3A9A" w:rsidRPr="0062014C" w14:paraId="7926166C" w14:textId="77777777" w:rsidTr="00B86BDE">
        <w:trPr>
          <w:trHeight w:val="332"/>
        </w:trPr>
        <w:tc>
          <w:tcPr>
            <w:tcW w:w="704" w:type="dxa"/>
            <w:shd w:val="clear" w:color="000000" w:fill="FFFFFF"/>
            <w:noWrap/>
            <w:vAlign w:val="center"/>
            <w:hideMark/>
          </w:tcPr>
          <w:p w14:paraId="3773B728" w14:textId="77777777" w:rsidR="004D3A9A" w:rsidRPr="0062014C" w:rsidRDefault="004D3A9A" w:rsidP="00B86BDE">
            <w:pPr>
              <w:jc w:val="center"/>
              <w:rPr>
                <w:rFonts w:ascii="Tahoma" w:hAnsi="Tahoma" w:cs="Tahoma"/>
                <w:sz w:val="18"/>
                <w:szCs w:val="18"/>
              </w:rPr>
            </w:pPr>
            <w:r w:rsidRPr="0062014C">
              <w:rPr>
                <w:rFonts w:ascii="Tahoma" w:hAnsi="Tahoma" w:cs="Tahoma"/>
                <w:sz w:val="18"/>
                <w:szCs w:val="18"/>
              </w:rPr>
              <w:t>2.4.</w:t>
            </w:r>
          </w:p>
        </w:tc>
        <w:tc>
          <w:tcPr>
            <w:tcW w:w="4820" w:type="dxa"/>
            <w:shd w:val="clear" w:color="000000" w:fill="FFFFFF"/>
            <w:vAlign w:val="center"/>
            <w:hideMark/>
          </w:tcPr>
          <w:p w14:paraId="6D464EA6" w14:textId="77777777" w:rsidR="004D3A9A" w:rsidRPr="0062014C" w:rsidRDefault="004D3A9A" w:rsidP="00B86BDE">
            <w:pPr>
              <w:rPr>
                <w:rFonts w:ascii="Tahoma" w:hAnsi="Tahoma" w:cs="Tahoma"/>
                <w:sz w:val="18"/>
                <w:szCs w:val="18"/>
              </w:rPr>
            </w:pPr>
            <w:r w:rsidRPr="0062014C">
              <w:rPr>
                <w:rFonts w:ascii="Tahoma" w:hAnsi="Tahoma" w:cs="Tahoma"/>
                <w:sz w:val="18"/>
                <w:szCs w:val="18"/>
              </w:rPr>
              <w:t>Минимальная сумма конвертации начисленных Баллов в рубли</w:t>
            </w:r>
            <w:r w:rsidRPr="0062014C">
              <w:rPr>
                <w:rFonts w:ascii="Tahoma" w:hAnsi="Tahoma" w:cs="Tahoma"/>
                <w:sz w:val="18"/>
                <w:szCs w:val="18"/>
                <w:vertAlign w:val="superscript"/>
              </w:rPr>
              <w:t>1</w:t>
            </w:r>
          </w:p>
        </w:tc>
        <w:tc>
          <w:tcPr>
            <w:tcW w:w="9440" w:type="dxa"/>
            <w:shd w:val="clear" w:color="000000" w:fill="FFFFFF"/>
            <w:noWrap/>
            <w:vAlign w:val="center"/>
            <w:hideMark/>
          </w:tcPr>
          <w:p w14:paraId="3D441D55" w14:textId="77777777" w:rsidR="004D3A9A" w:rsidRPr="0062014C" w:rsidRDefault="004D3A9A" w:rsidP="00B86BDE">
            <w:pPr>
              <w:jc w:val="center"/>
              <w:rPr>
                <w:rFonts w:ascii="Tahoma" w:hAnsi="Tahoma" w:cs="Tahoma"/>
                <w:sz w:val="18"/>
                <w:szCs w:val="18"/>
              </w:rPr>
            </w:pPr>
            <w:r w:rsidRPr="0062014C">
              <w:rPr>
                <w:rFonts w:ascii="Tahoma" w:hAnsi="Tahoma" w:cs="Tahoma"/>
                <w:sz w:val="18"/>
                <w:szCs w:val="18"/>
              </w:rPr>
              <w:t>1</w:t>
            </w:r>
            <w:r>
              <w:rPr>
                <w:rFonts w:ascii="Tahoma" w:hAnsi="Tahoma" w:cs="Tahoma"/>
                <w:sz w:val="18"/>
                <w:szCs w:val="18"/>
              </w:rPr>
              <w:t xml:space="preserve"> (один)</w:t>
            </w:r>
            <w:r w:rsidRPr="0062014C">
              <w:rPr>
                <w:rFonts w:ascii="Tahoma" w:hAnsi="Tahoma" w:cs="Tahoma"/>
                <w:sz w:val="18"/>
                <w:szCs w:val="18"/>
              </w:rPr>
              <w:t xml:space="preserve"> Балл</w:t>
            </w:r>
          </w:p>
        </w:tc>
      </w:tr>
      <w:tr w:rsidR="004D3A9A" w:rsidRPr="0062014C" w14:paraId="1DA7F341" w14:textId="77777777" w:rsidTr="00B86BDE">
        <w:trPr>
          <w:trHeight w:val="374"/>
        </w:trPr>
        <w:tc>
          <w:tcPr>
            <w:tcW w:w="704" w:type="dxa"/>
            <w:shd w:val="clear" w:color="000000" w:fill="FFFFFF"/>
            <w:noWrap/>
            <w:vAlign w:val="center"/>
            <w:hideMark/>
          </w:tcPr>
          <w:p w14:paraId="4537378D" w14:textId="77777777" w:rsidR="004D3A9A" w:rsidRPr="0062014C" w:rsidRDefault="004D3A9A" w:rsidP="00B86BDE">
            <w:pPr>
              <w:jc w:val="center"/>
              <w:rPr>
                <w:rFonts w:ascii="Tahoma" w:hAnsi="Tahoma" w:cs="Tahoma"/>
                <w:sz w:val="18"/>
                <w:szCs w:val="18"/>
              </w:rPr>
            </w:pPr>
            <w:r w:rsidRPr="0062014C">
              <w:rPr>
                <w:rFonts w:ascii="Tahoma" w:hAnsi="Tahoma" w:cs="Tahoma"/>
                <w:sz w:val="18"/>
                <w:szCs w:val="18"/>
              </w:rPr>
              <w:t>2.5.</w:t>
            </w:r>
          </w:p>
        </w:tc>
        <w:tc>
          <w:tcPr>
            <w:tcW w:w="4820" w:type="dxa"/>
            <w:shd w:val="clear" w:color="000000" w:fill="FFFFFF"/>
            <w:vAlign w:val="center"/>
            <w:hideMark/>
          </w:tcPr>
          <w:p w14:paraId="725B020C" w14:textId="77777777" w:rsidR="004D3A9A" w:rsidRPr="0062014C" w:rsidRDefault="004D3A9A" w:rsidP="00B86BDE">
            <w:pPr>
              <w:rPr>
                <w:rFonts w:ascii="Tahoma" w:hAnsi="Tahoma" w:cs="Tahoma"/>
                <w:sz w:val="18"/>
                <w:szCs w:val="18"/>
              </w:rPr>
            </w:pPr>
            <w:r w:rsidRPr="0062014C">
              <w:rPr>
                <w:rFonts w:ascii="Tahoma" w:hAnsi="Tahoma" w:cs="Tahoma"/>
                <w:sz w:val="18"/>
                <w:szCs w:val="18"/>
              </w:rPr>
              <w:t xml:space="preserve">Максимальная сумма конвертации начисленных </w:t>
            </w:r>
            <w:r>
              <w:rPr>
                <w:rFonts w:ascii="Tahoma" w:hAnsi="Tahoma" w:cs="Tahoma"/>
                <w:sz w:val="18"/>
                <w:szCs w:val="18"/>
              </w:rPr>
              <w:t>Баллов в рубли</w:t>
            </w:r>
            <w:r w:rsidRPr="0062014C">
              <w:rPr>
                <w:rFonts w:ascii="Tahoma" w:hAnsi="Tahoma" w:cs="Tahoma"/>
                <w:sz w:val="18"/>
                <w:szCs w:val="18"/>
                <w:vertAlign w:val="superscript"/>
              </w:rPr>
              <w:t>1,6</w:t>
            </w:r>
          </w:p>
        </w:tc>
        <w:tc>
          <w:tcPr>
            <w:tcW w:w="9440" w:type="dxa"/>
            <w:shd w:val="clear" w:color="000000" w:fill="FFFFFF"/>
            <w:noWrap/>
            <w:vAlign w:val="center"/>
            <w:hideMark/>
          </w:tcPr>
          <w:p w14:paraId="286A80CB" w14:textId="77777777" w:rsidR="004D3A9A" w:rsidRPr="00CA7A6C" w:rsidRDefault="004D3A9A" w:rsidP="00B86BDE">
            <w:pPr>
              <w:rPr>
                <w:rFonts w:ascii="Tahoma" w:hAnsi="Tahoma" w:cs="Tahoma"/>
                <w:sz w:val="18"/>
                <w:szCs w:val="18"/>
              </w:rPr>
            </w:pPr>
            <w:r w:rsidRPr="00CA7A6C">
              <w:rPr>
                <w:rFonts w:ascii="Tahoma" w:hAnsi="Tahoma" w:cs="Tahoma"/>
                <w:sz w:val="18"/>
                <w:szCs w:val="18"/>
              </w:rPr>
              <w:t>Для держателей действующих Банковских карт, выпущенных в рамках Программы банковских услуг «Статус»: 10 000 (десять тысяч) Баллов в месяц.</w:t>
            </w:r>
          </w:p>
          <w:p w14:paraId="18DBBE18" w14:textId="77777777" w:rsidR="004D3A9A" w:rsidRPr="00CA7A6C" w:rsidRDefault="004D3A9A" w:rsidP="00B86BDE">
            <w:pPr>
              <w:rPr>
                <w:rFonts w:ascii="Tahoma" w:hAnsi="Tahoma" w:cs="Tahoma"/>
                <w:sz w:val="18"/>
                <w:szCs w:val="18"/>
              </w:rPr>
            </w:pPr>
            <w:r w:rsidRPr="00CA7A6C">
              <w:rPr>
                <w:rFonts w:ascii="Tahoma" w:hAnsi="Tahoma" w:cs="Tahoma"/>
                <w:sz w:val="18"/>
                <w:szCs w:val="18"/>
              </w:rPr>
              <w:t>Для держателей действующей (на дату конвертации Баллов) кредитной Банковской карты (с действующим кредитным договором, заключенным с Банком)/</w:t>
            </w:r>
          </w:p>
          <w:p w14:paraId="41186A19" w14:textId="77777777" w:rsidR="004D3A9A" w:rsidRPr="00CA7A6C" w:rsidRDefault="004D3A9A" w:rsidP="00B86BDE">
            <w:pPr>
              <w:rPr>
                <w:rFonts w:ascii="Tahoma" w:hAnsi="Tahoma" w:cs="Tahoma"/>
                <w:sz w:val="18"/>
                <w:szCs w:val="18"/>
              </w:rPr>
            </w:pPr>
            <w:r w:rsidRPr="00CA7A6C">
              <w:rPr>
                <w:rFonts w:ascii="Tahoma" w:hAnsi="Tahoma" w:cs="Tahoma"/>
                <w:sz w:val="18"/>
                <w:szCs w:val="18"/>
              </w:rPr>
              <w:t>Банковской карты с Бонусной программой «Стандарт-Бонус» или «Стандарт-Бонус лайт», на счет которой Клиенту зачисляется Заработная плата</w:t>
            </w:r>
            <w:r w:rsidRPr="00DC25C6">
              <w:rPr>
                <w:rFonts w:ascii="Tahoma" w:hAnsi="Tahoma" w:cs="Tahoma"/>
                <w:sz w:val="18"/>
                <w:szCs w:val="18"/>
                <w:vertAlign w:val="superscript"/>
              </w:rPr>
              <w:t>12</w:t>
            </w:r>
            <w:r w:rsidRPr="00CA7A6C">
              <w:rPr>
                <w:rFonts w:ascii="Tahoma" w:hAnsi="Tahoma" w:cs="Tahoma"/>
                <w:sz w:val="18"/>
                <w:szCs w:val="18"/>
              </w:rPr>
              <w:t>: 5 000 (пять тысяч) Баллов в месяц.</w:t>
            </w:r>
          </w:p>
          <w:p w14:paraId="60AB1094" w14:textId="77777777" w:rsidR="004D3A9A" w:rsidRPr="0062014C" w:rsidRDefault="004D3A9A" w:rsidP="00B86BDE">
            <w:pPr>
              <w:rPr>
                <w:rFonts w:ascii="Tahoma" w:hAnsi="Tahoma" w:cs="Tahoma"/>
                <w:sz w:val="18"/>
                <w:szCs w:val="18"/>
              </w:rPr>
            </w:pPr>
            <w:r w:rsidRPr="00CA7A6C">
              <w:rPr>
                <w:rFonts w:ascii="Tahoma" w:hAnsi="Tahoma" w:cs="Tahoma"/>
                <w:sz w:val="18"/>
                <w:szCs w:val="18"/>
              </w:rPr>
              <w:t>Для иных категорий Банковских карт: 3 000 (три тысячи) Баллов в месяц.</w:t>
            </w:r>
          </w:p>
        </w:tc>
      </w:tr>
      <w:tr w:rsidR="004D3A9A" w:rsidRPr="0062014C" w14:paraId="6655F2BE" w14:textId="77777777" w:rsidTr="00B86BDE">
        <w:trPr>
          <w:trHeight w:val="860"/>
        </w:trPr>
        <w:tc>
          <w:tcPr>
            <w:tcW w:w="704" w:type="dxa"/>
            <w:shd w:val="clear" w:color="000000" w:fill="FFFFFF"/>
            <w:noWrap/>
            <w:vAlign w:val="center"/>
            <w:hideMark/>
          </w:tcPr>
          <w:p w14:paraId="4F2BD742" w14:textId="77777777" w:rsidR="004D3A9A" w:rsidRPr="0062014C" w:rsidRDefault="004D3A9A" w:rsidP="00B86BDE">
            <w:pPr>
              <w:jc w:val="center"/>
              <w:rPr>
                <w:rFonts w:ascii="Tahoma" w:hAnsi="Tahoma" w:cs="Tahoma"/>
                <w:sz w:val="18"/>
                <w:szCs w:val="18"/>
              </w:rPr>
            </w:pPr>
            <w:r>
              <w:rPr>
                <w:rFonts w:ascii="Tahoma" w:hAnsi="Tahoma" w:cs="Tahoma"/>
                <w:sz w:val="18"/>
                <w:szCs w:val="18"/>
              </w:rPr>
              <w:t>2.6</w:t>
            </w:r>
            <w:r w:rsidRPr="0062014C">
              <w:rPr>
                <w:rFonts w:ascii="Tahoma" w:hAnsi="Tahoma" w:cs="Tahoma"/>
                <w:sz w:val="18"/>
                <w:szCs w:val="18"/>
              </w:rPr>
              <w:t>.</w:t>
            </w:r>
          </w:p>
        </w:tc>
        <w:tc>
          <w:tcPr>
            <w:tcW w:w="4820" w:type="dxa"/>
            <w:shd w:val="clear" w:color="000000" w:fill="FFFFFF"/>
            <w:vAlign w:val="center"/>
            <w:hideMark/>
          </w:tcPr>
          <w:p w14:paraId="5FEDE63A" w14:textId="77777777" w:rsidR="004D3A9A" w:rsidRPr="0062014C" w:rsidRDefault="004D3A9A" w:rsidP="00B86BDE">
            <w:pPr>
              <w:rPr>
                <w:rFonts w:ascii="Tahoma" w:hAnsi="Tahoma" w:cs="Tahoma"/>
                <w:sz w:val="18"/>
                <w:szCs w:val="18"/>
              </w:rPr>
            </w:pPr>
            <w:r w:rsidRPr="0062014C">
              <w:rPr>
                <w:rFonts w:ascii="Tahoma" w:hAnsi="Tahoma" w:cs="Tahoma"/>
                <w:sz w:val="18"/>
                <w:szCs w:val="18"/>
              </w:rPr>
              <w:t>Максимальная общая сумма начисленных Баллов на Бонусный счет Клиента (с учётом Баллов по иным Бонусным программам Банка, применимым к другим тарифным планам Банка, в рамках которых на имя Клиента оформлены Банковские карты), в месяц</w:t>
            </w:r>
          </w:p>
        </w:tc>
        <w:tc>
          <w:tcPr>
            <w:tcW w:w="9440" w:type="dxa"/>
            <w:shd w:val="clear" w:color="000000" w:fill="FFFFFF"/>
            <w:noWrap/>
            <w:vAlign w:val="center"/>
            <w:hideMark/>
          </w:tcPr>
          <w:p w14:paraId="44A62473" w14:textId="77777777" w:rsidR="004D3A9A" w:rsidRPr="00CA7A6C" w:rsidRDefault="004D3A9A" w:rsidP="00B86BDE">
            <w:pPr>
              <w:rPr>
                <w:rFonts w:ascii="Tahoma" w:hAnsi="Tahoma" w:cs="Tahoma"/>
                <w:sz w:val="18"/>
                <w:szCs w:val="18"/>
              </w:rPr>
            </w:pPr>
            <w:r w:rsidRPr="00CA7A6C">
              <w:rPr>
                <w:rFonts w:ascii="Tahoma" w:hAnsi="Tahoma" w:cs="Tahoma"/>
                <w:sz w:val="18"/>
                <w:szCs w:val="18"/>
              </w:rPr>
              <w:t>Для держателей действующих Банковских карт, выпущенных в рамках Программы банковских услуг «Статус»: 10 000 (десять тысяч) Баллов в месяц.</w:t>
            </w:r>
          </w:p>
          <w:p w14:paraId="34D12067" w14:textId="77777777" w:rsidR="004D3A9A" w:rsidRPr="00CA7A6C" w:rsidRDefault="004D3A9A" w:rsidP="00B86BDE">
            <w:pPr>
              <w:rPr>
                <w:rFonts w:ascii="Tahoma" w:hAnsi="Tahoma" w:cs="Tahoma"/>
                <w:sz w:val="18"/>
                <w:szCs w:val="18"/>
              </w:rPr>
            </w:pPr>
            <w:r w:rsidRPr="00CA7A6C">
              <w:rPr>
                <w:rFonts w:ascii="Tahoma" w:hAnsi="Tahoma" w:cs="Tahoma"/>
                <w:sz w:val="18"/>
                <w:szCs w:val="18"/>
              </w:rPr>
              <w:t>Для держателей действующей (на дату конвертации Баллов) кредитной Банковской карты (с действующим кредитным договором, заключенным с Банком)/</w:t>
            </w:r>
          </w:p>
          <w:p w14:paraId="55D4D3FA" w14:textId="77777777" w:rsidR="004D3A9A" w:rsidRPr="00CA7A6C" w:rsidRDefault="004D3A9A" w:rsidP="00B86BDE">
            <w:pPr>
              <w:rPr>
                <w:rFonts w:ascii="Tahoma" w:hAnsi="Tahoma" w:cs="Tahoma"/>
                <w:sz w:val="18"/>
                <w:szCs w:val="18"/>
              </w:rPr>
            </w:pPr>
            <w:r w:rsidRPr="00CA7A6C">
              <w:rPr>
                <w:rFonts w:ascii="Tahoma" w:hAnsi="Tahoma" w:cs="Tahoma"/>
                <w:sz w:val="18"/>
                <w:szCs w:val="18"/>
              </w:rPr>
              <w:t>Банковской карты с Бонусной программой «Стандарт-Бонус» или «Стандарт-Бонус лайт», на счет которой Клиенту зачисляется Заработная плата</w:t>
            </w:r>
            <w:r w:rsidRPr="00DC25C6">
              <w:rPr>
                <w:rFonts w:ascii="Tahoma" w:hAnsi="Tahoma" w:cs="Tahoma"/>
                <w:sz w:val="18"/>
                <w:szCs w:val="18"/>
                <w:vertAlign w:val="superscript"/>
              </w:rPr>
              <w:t>12</w:t>
            </w:r>
            <w:r w:rsidRPr="00CA7A6C">
              <w:rPr>
                <w:rFonts w:ascii="Tahoma" w:hAnsi="Tahoma" w:cs="Tahoma"/>
                <w:sz w:val="18"/>
                <w:szCs w:val="18"/>
              </w:rPr>
              <w:t>: 5 000 (пять тысяч) Баллов в месяц.</w:t>
            </w:r>
          </w:p>
          <w:p w14:paraId="60D4FF60" w14:textId="77777777" w:rsidR="004D3A9A" w:rsidRPr="0062014C" w:rsidRDefault="004D3A9A" w:rsidP="00B86BDE">
            <w:pPr>
              <w:rPr>
                <w:rFonts w:ascii="Tahoma" w:hAnsi="Tahoma" w:cs="Tahoma"/>
                <w:sz w:val="18"/>
                <w:szCs w:val="18"/>
              </w:rPr>
            </w:pPr>
            <w:r w:rsidRPr="00CA7A6C">
              <w:rPr>
                <w:rFonts w:ascii="Tahoma" w:hAnsi="Tahoma" w:cs="Tahoma"/>
                <w:sz w:val="18"/>
                <w:szCs w:val="18"/>
              </w:rPr>
              <w:t>Для иных категорий Банковских карт: 3 000 (три тысячи) Баллов в месяц.</w:t>
            </w:r>
          </w:p>
        </w:tc>
      </w:tr>
      <w:tr w:rsidR="004D3A9A" w:rsidRPr="0062014C" w14:paraId="476843FA" w14:textId="77777777" w:rsidTr="00B86BDE">
        <w:trPr>
          <w:trHeight w:val="846"/>
        </w:trPr>
        <w:tc>
          <w:tcPr>
            <w:tcW w:w="704" w:type="dxa"/>
            <w:vMerge w:val="restart"/>
            <w:shd w:val="clear" w:color="auto" w:fill="auto"/>
            <w:noWrap/>
            <w:vAlign w:val="center"/>
            <w:hideMark/>
          </w:tcPr>
          <w:p w14:paraId="0A4E604F" w14:textId="77777777" w:rsidR="004D3A9A" w:rsidRPr="0062014C" w:rsidRDefault="004D3A9A" w:rsidP="00B86BDE">
            <w:pPr>
              <w:jc w:val="center"/>
              <w:rPr>
                <w:rFonts w:ascii="Tahoma" w:hAnsi="Tahoma" w:cs="Tahoma"/>
                <w:sz w:val="18"/>
                <w:szCs w:val="18"/>
              </w:rPr>
            </w:pPr>
            <w:r>
              <w:rPr>
                <w:rFonts w:ascii="Tahoma" w:hAnsi="Tahoma" w:cs="Tahoma"/>
                <w:sz w:val="18"/>
                <w:szCs w:val="18"/>
              </w:rPr>
              <w:t>2.7</w:t>
            </w:r>
            <w:r w:rsidRPr="0062014C">
              <w:rPr>
                <w:rFonts w:ascii="Tahoma" w:hAnsi="Tahoma" w:cs="Tahoma"/>
                <w:sz w:val="18"/>
                <w:szCs w:val="18"/>
              </w:rPr>
              <w:t>.</w:t>
            </w:r>
          </w:p>
        </w:tc>
        <w:tc>
          <w:tcPr>
            <w:tcW w:w="4820" w:type="dxa"/>
            <w:vMerge w:val="restart"/>
            <w:shd w:val="clear" w:color="000000" w:fill="FFFFFF"/>
            <w:vAlign w:val="center"/>
            <w:hideMark/>
          </w:tcPr>
          <w:p w14:paraId="7BD15EC8" w14:textId="77777777" w:rsidR="004D3A9A" w:rsidRPr="0062014C" w:rsidRDefault="004D3A9A" w:rsidP="00B86BDE">
            <w:pPr>
              <w:rPr>
                <w:rFonts w:ascii="Tahoma" w:hAnsi="Tahoma" w:cs="Tahoma"/>
                <w:color w:val="000000"/>
                <w:sz w:val="18"/>
                <w:szCs w:val="18"/>
              </w:rPr>
            </w:pPr>
            <w:r w:rsidRPr="0062014C">
              <w:rPr>
                <w:rFonts w:ascii="Tahoma" w:hAnsi="Tahoma" w:cs="Tahoma"/>
                <w:color w:val="000000"/>
                <w:sz w:val="18"/>
                <w:szCs w:val="18"/>
              </w:rPr>
              <w:t>Прочие ограничения</w:t>
            </w:r>
          </w:p>
        </w:tc>
        <w:tc>
          <w:tcPr>
            <w:tcW w:w="9440" w:type="dxa"/>
            <w:shd w:val="clear" w:color="000000" w:fill="FFFFFF"/>
            <w:vAlign w:val="center"/>
            <w:hideMark/>
          </w:tcPr>
          <w:p w14:paraId="2A2E25AE" w14:textId="77777777" w:rsidR="004D3A9A" w:rsidRPr="0062014C" w:rsidRDefault="004D3A9A" w:rsidP="00B86BDE">
            <w:pPr>
              <w:rPr>
                <w:rFonts w:ascii="Tahoma" w:hAnsi="Tahoma" w:cs="Tahoma"/>
                <w:color w:val="000000"/>
                <w:sz w:val="18"/>
                <w:szCs w:val="18"/>
              </w:rPr>
            </w:pPr>
            <w:r w:rsidRPr="0062014C">
              <w:rPr>
                <w:rFonts w:ascii="Tahoma" w:hAnsi="Tahoma" w:cs="Tahoma"/>
                <w:color w:val="000000"/>
                <w:sz w:val="18"/>
                <w:szCs w:val="18"/>
              </w:rPr>
              <w:t>В начислении Баллов не учитываются операции внесения и выдачи наличных денежных средств, платежей и денежных переводов в каналах дистанционного банковского обслуживания  и сервисах самообслуживания (включая операции с использованием Системы быстрых платежей и СБПэй, в т.ч. с использованием QR-кодов), покупки с выдачей наличных денежных средств, а также операции в иностранной валюте.</w:t>
            </w:r>
          </w:p>
        </w:tc>
      </w:tr>
      <w:tr w:rsidR="004D3A9A" w:rsidRPr="0062014C" w14:paraId="67DB8DE6" w14:textId="77777777" w:rsidTr="00B86BDE">
        <w:trPr>
          <w:trHeight w:val="374"/>
        </w:trPr>
        <w:tc>
          <w:tcPr>
            <w:tcW w:w="704" w:type="dxa"/>
            <w:vMerge/>
            <w:vAlign w:val="center"/>
            <w:hideMark/>
          </w:tcPr>
          <w:p w14:paraId="06049767" w14:textId="77777777" w:rsidR="004D3A9A" w:rsidRPr="0062014C" w:rsidRDefault="004D3A9A" w:rsidP="00B86BDE">
            <w:pPr>
              <w:rPr>
                <w:rFonts w:ascii="Tahoma" w:hAnsi="Tahoma" w:cs="Tahoma"/>
                <w:sz w:val="18"/>
                <w:szCs w:val="18"/>
              </w:rPr>
            </w:pPr>
          </w:p>
        </w:tc>
        <w:tc>
          <w:tcPr>
            <w:tcW w:w="4820" w:type="dxa"/>
            <w:vMerge/>
            <w:vAlign w:val="center"/>
            <w:hideMark/>
          </w:tcPr>
          <w:p w14:paraId="79310C20" w14:textId="77777777" w:rsidR="004D3A9A" w:rsidRPr="0062014C" w:rsidRDefault="004D3A9A" w:rsidP="00B86BDE">
            <w:pPr>
              <w:rPr>
                <w:rFonts w:ascii="Tahoma" w:hAnsi="Tahoma" w:cs="Tahoma"/>
                <w:color w:val="000000"/>
                <w:sz w:val="18"/>
                <w:szCs w:val="18"/>
              </w:rPr>
            </w:pPr>
          </w:p>
        </w:tc>
        <w:tc>
          <w:tcPr>
            <w:tcW w:w="9440" w:type="dxa"/>
            <w:shd w:val="clear" w:color="000000" w:fill="FFFFFF"/>
            <w:vAlign w:val="center"/>
            <w:hideMark/>
          </w:tcPr>
          <w:p w14:paraId="69AB334A" w14:textId="77777777" w:rsidR="004D3A9A" w:rsidRPr="0062014C" w:rsidRDefault="004D3A9A" w:rsidP="00B86BDE">
            <w:pPr>
              <w:rPr>
                <w:rFonts w:ascii="Tahoma" w:hAnsi="Tahoma" w:cs="Tahoma"/>
                <w:sz w:val="18"/>
                <w:szCs w:val="18"/>
              </w:rPr>
            </w:pPr>
            <w:r w:rsidRPr="0062014C">
              <w:rPr>
                <w:rFonts w:ascii="Tahoma" w:hAnsi="Tahoma" w:cs="Tahoma"/>
                <w:sz w:val="18"/>
                <w:szCs w:val="18"/>
              </w:rPr>
              <w:t>В начислении Баллов не учитываются транзакции, подпадающие в список исключений МСС-кодов, указанных в Программе лояльности и на Сайте Банка www.atb.su</w:t>
            </w:r>
          </w:p>
        </w:tc>
      </w:tr>
      <w:tr w:rsidR="004D3A9A" w:rsidRPr="0062014C" w14:paraId="7CB6D64E" w14:textId="77777777" w:rsidTr="00B86BDE">
        <w:trPr>
          <w:trHeight w:val="568"/>
        </w:trPr>
        <w:tc>
          <w:tcPr>
            <w:tcW w:w="704" w:type="dxa"/>
            <w:shd w:val="clear" w:color="auto" w:fill="D9D9D9" w:themeFill="background1" w:themeFillShade="D9"/>
            <w:noWrap/>
            <w:vAlign w:val="center"/>
            <w:hideMark/>
          </w:tcPr>
          <w:p w14:paraId="6CDF9F99" w14:textId="77777777" w:rsidR="004D3A9A" w:rsidRPr="00BC7920" w:rsidRDefault="004D3A9A" w:rsidP="00B86BDE">
            <w:pPr>
              <w:jc w:val="center"/>
              <w:rPr>
                <w:rFonts w:ascii="Tahoma" w:hAnsi="Tahoma" w:cs="Tahoma"/>
                <w:b/>
                <w:bCs/>
                <w:sz w:val="18"/>
                <w:szCs w:val="18"/>
              </w:rPr>
            </w:pPr>
            <w:r w:rsidRPr="00BC7920">
              <w:rPr>
                <w:rFonts w:ascii="Tahoma" w:hAnsi="Tahoma" w:cs="Tahoma"/>
                <w:b/>
                <w:bCs/>
                <w:sz w:val="18"/>
                <w:szCs w:val="18"/>
              </w:rPr>
              <w:t>3.</w:t>
            </w:r>
          </w:p>
        </w:tc>
        <w:tc>
          <w:tcPr>
            <w:tcW w:w="14260" w:type="dxa"/>
            <w:gridSpan w:val="2"/>
            <w:shd w:val="clear" w:color="auto" w:fill="D9D9D9" w:themeFill="background1" w:themeFillShade="D9"/>
            <w:noWrap/>
            <w:vAlign w:val="center"/>
            <w:hideMark/>
          </w:tcPr>
          <w:p w14:paraId="59FA91C3" w14:textId="77777777" w:rsidR="004D3A9A" w:rsidRPr="00BC7920" w:rsidRDefault="004D3A9A" w:rsidP="00B86BDE">
            <w:pPr>
              <w:rPr>
                <w:rFonts w:ascii="Tahoma" w:hAnsi="Tahoma" w:cs="Tahoma"/>
                <w:b/>
                <w:bCs/>
                <w:sz w:val="18"/>
                <w:szCs w:val="18"/>
              </w:rPr>
            </w:pPr>
            <w:r w:rsidRPr="00BC7920">
              <w:rPr>
                <w:rFonts w:ascii="Tahoma" w:hAnsi="Tahoma" w:cs="Tahoma"/>
                <w:b/>
                <w:bCs/>
                <w:sz w:val="18"/>
                <w:szCs w:val="18"/>
              </w:rPr>
              <w:t>Категории расчета Баллов</w:t>
            </w:r>
            <w:r w:rsidRPr="00BC7920">
              <w:rPr>
                <w:rFonts w:ascii="Tahoma" w:hAnsi="Tahoma" w:cs="Tahoma"/>
                <w:b/>
                <w:bCs/>
                <w:sz w:val="18"/>
                <w:szCs w:val="18"/>
                <w:vertAlign w:val="superscript"/>
              </w:rPr>
              <w:t xml:space="preserve"> 3</w:t>
            </w:r>
          </w:p>
        </w:tc>
      </w:tr>
      <w:tr w:rsidR="004D3A9A" w:rsidRPr="0062014C" w14:paraId="6723DF30" w14:textId="77777777" w:rsidTr="00B86BDE">
        <w:trPr>
          <w:trHeight w:val="526"/>
        </w:trPr>
        <w:tc>
          <w:tcPr>
            <w:tcW w:w="704" w:type="dxa"/>
            <w:shd w:val="clear" w:color="auto" w:fill="auto"/>
            <w:noWrap/>
            <w:vAlign w:val="center"/>
            <w:hideMark/>
          </w:tcPr>
          <w:p w14:paraId="0D4860D4" w14:textId="77777777" w:rsidR="004D3A9A" w:rsidRPr="0062014C" w:rsidRDefault="004D3A9A" w:rsidP="00B86BDE">
            <w:pPr>
              <w:jc w:val="center"/>
              <w:rPr>
                <w:rFonts w:ascii="Tahoma" w:hAnsi="Tahoma" w:cs="Tahoma"/>
                <w:sz w:val="18"/>
                <w:szCs w:val="18"/>
              </w:rPr>
            </w:pPr>
            <w:r w:rsidRPr="0062014C">
              <w:rPr>
                <w:rFonts w:ascii="Tahoma" w:hAnsi="Tahoma" w:cs="Tahoma"/>
                <w:sz w:val="18"/>
                <w:szCs w:val="18"/>
              </w:rPr>
              <w:t>3.1.</w:t>
            </w:r>
          </w:p>
        </w:tc>
        <w:tc>
          <w:tcPr>
            <w:tcW w:w="4820" w:type="dxa"/>
            <w:shd w:val="clear" w:color="auto" w:fill="auto"/>
            <w:vAlign w:val="center"/>
            <w:hideMark/>
          </w:tcPr>
          <w:p w14:paraId="2CB76D79" w14:textId="77777777" w:rsidR="004D3A9A" w:rsidRPr="0062014C" w:rsidRDefault="004D3A9A" w:rsidP="00B86BDE">
            <w:pPr>
              <w:rPr>
                <w:rFonts w:ascii="Tahoma" w:hAnsi="Tahoma" w:cs="Tahoma"/>
                <w:sz w:val="18"/>
                <w:szCs w:val="18"/>
              </w:rPr>
            </w:pPr>
            <w:r w:rsidRPr="0062014C">
              <w:rPr>
                <w:rFonts w:ascii="Tahoma" w:hAnsi="Tahoma" w:cs="Tahoma"/>
                <w:sz w:val="18"/>
                <w:szCs w:val="18"/>
              </w:rPr>
              <w:t>Стандартная</w:t>
            </w:r>
            <w:r w:rsidRPr="0062014C">
              <w:rPr>
                <w:rFonts w:ascii="Tahoma" w:hAnsi="Tahoma" w:cs="Tahoma"/>
                <w:sz w:val="18"/>
                <w:szCs w:val="18"/>
                <w:vertAlign w:val="superscript"/>
              </w:rPr>
              <w:t>11</w:t>
            </w:r>
          </w:p>
        </w:tc>
        <w:tc>
          <w:tcPr>
            <w:tcW w:w="9440" w:type="dxa"/>
            <w:shd w:val="clear" w:color="auto" w:fill="auto"/>
            <w:noWrap/>
            <w:vAlign w:val="center"/>
            <w:hideMark/>
          </w:tcPr>
          <w:p w14:paraId="13EF873D" w14:textId="77777777" w:rsidR="004D3A9A" w:rsidRPr="0062014C" w:rsidRDefault="004D3A9A" w:rsidP="00B86BDE">
            <w:pPr>
              <w:jc w:val="center"/>
              <w:rPr>
                <w:rFonts w:ascii="Tahoma" w:hAnsi="Tahoma" w:cs="Tahoma"/>
                <w:sz w:val="18"/>
                <w:szCs w:val="18"/>
              </w:rPr>
            </w:pPr>
            <w:r w:rsidRPr="0062014C">
              <w:rPr>
                <w:rFonts w:ascii="Tahoma" w:hAnsi="Tahoma" w:cs="Tahoma"/>
                <w:sz w:val="18"/>
                <w:szCs w:val="18"/>
              </w:rPr>
              <w:t>1% от каждых достигнутых 100 рублей транзакции</w:t>
            </w:r>
            <w:r w:rsidRPr="0062014C">
              <w:rPr>
                <w:rFonts w:ascii="Tahoma" w:hAnsi="Tahoma" w:cs="Tahoma"/>
                <w:sz w:val="18"/>
                <w:szCs w:val="18"/>
                <w:vertAlign w:val="superscript"/>
              </w:rPr>
              <w:t>7</w:t>
            </w:r>
          </w:p>
        </w:tc>
      </w:tr>
      <w:tr w:rsidR="004D3A9A" w:rsidRPr="0062014C" w14:paraId="01C937CD" w14:textId="77777777" w:rsidTr="00B86BDE">
        <w:trPr>
          <w:trHeight w:val="485"/>
        </w:trPr>
        <w:tc>
          <w:tcPr>
            <w:tcW w:w="704" w:type="dxa"/>
            <w:shd w:val="clear" w:color="auto" w:fill="auto"/>
            <w:noWrap/>
            <w:vAlign w:val="center"/>
            <w:hideMark/>
          </w:tcPr>
          <w:p w14:paraId="66361ED5" w14:textId="77777777" w:rsidR="004D3A9A" w:rsidRPr="0062014C" w:rsidRDefault="004D3A9A" w:rsidP="00B86BDE">
            <w:pPr>
              <w:jc w:val="center"/>
              <w:rPr>
                <w:rFonts w:ascii="Tahoma" w:hAnsi="Tahoma" w:cs="Tahoma"/>
                <w:sz w:val="18"/>
                <w:szCs w:val="18"/>
              </w:rPr>
            </w:pPr>
            <w:r w:rsidRPr="0062014C">
              <w:rPr>
                <w:rFonts w:ascii="Tahoma" w:hAnsi="Tahoma" w:cs="Tahoma"/>
                <w:sz w:val="18"/>
                <w:szCs w:val="18"/>
              </w:rPr>
              <w:t>3.2.</w:t>
            </w:r>
          </w:p>
        </w:tc>
        <w:tc>
          <w:tcPr>
            <w:tcW w:w="4820" w:type="dxa"/>
            <w:shd w:val="clear" w:color="auto" w:fill="auto"/>
            <w:vAlign w:val="center"/>
            <w:hideMark/>
          </w:tcPr>
          <w:p w14:paraId="4549CEE2" w14:textId="77777777" w:rsidR="004D3A9A" w:rsidRPr="0062014C" w:rsidRDefault="004D3A9A" w:rsidP="00B86BDE">
            <w:pPr>
              <w:rPr>
                <w:rFonts w:ascii="Tahoma" w:hAnsi="Tahoma" w:cs="Tahoma"/>
                <w:sz w:val="18"/>
                <w:szCs w:val="18"/>
              </w:rPr>
            </w:pPr>
            <w:r w:rsidRPr="0062014C">
              <w:rPr>
                <w:rFonts w:ascii="Tahoma" w:hAnsi="Tahoma" w:cs="Tahoma"/>
                <w:sz w:val="18"/>
                <w:szCs w:val="18"/>
              </w:rPr>
              <w:t>Повышенная (выбор (подключение) осуществляется Клиентом самостоятельно в Личном кабинете лояльности</w:t>
            </w:r>
            <w:r>
              <w:rPr>
                <w:rFonts w:ascii="Tahoma" w:hAnsi="Tahoma" w:cs="Tahoma"/>
                <w:sz w:val="18"/>
                <w:szCs w:val="18"/>
              </w:rPr>
              <w:t xml:space="preserve"> «Кэшбэк и бонусы»</w:t>
            </w:r>
            <w:r w:rsidRPr="0062014C">
              <w:rPr>
                <w:rFonts w:ascii="Tahoma" w:hAnsi="Tahoma" w:cs="Tahoma"/>
                <w:sz w:val="18"/>
                <w:szCs w:val="18"/>
              </w:rPr>
              <w:t>)</w:t>
            </w:r>
          </w:p>
        </w:tc>
        <w:tc>
          <w:tcPr>
            <w:tcW w:w="9440" w:type="dxa"/>
            <w:shd w:val="clear" w:color="auto" w:fill="auto"/>
            <w:vAlign w:val="center"/>
            <w:hideMark/>
          </w:tcPr>
          <w:p w14:paraId="3B929775" w14:textId="77777777" w:rsidR="004D3A9A" w:rsidRPr="0062014C" w:rsidRDefault="004D3A9A" w:rsidP="00B86BDE">
            <w:pPr>
              <w:jc w:val="center"/>
              <w:rPr>
                <w:rFonts w:ascii="Tahoma" w:hAnsi="Tahoma" w:cs="Tahoma"/>
                <w:sz w:val="18"/>
                <w:szCs w:val="18"/>
              </w:rPr>
            </w:pPr>
            <w:r w:rsidRPr="0062014C">
              <w:rPr>
                <w:rFonts w:ascii="Tahoma" w:hAnsi="Tahoma" w:cs="Tahoma"/>
                <w:sz w:val="18"/>
                <w:szCs w:val="18"/>
              </w:rPr>
              <w:t>согласно разделам 4-</w:t>
            </w:r>
            <w:r>
              <w:rPr>
                <w:rFonts w:ascii="Tahoma" w:hAnsi="Tahoma" w:cs="Tahoma"/>
                <w:sz w:val="18"/>
                <w:szCs w:val="18"/>
              </w:rPr>
              <w:t>5</w:t>
            </w:r>
            <w:r w:rsidRPr="0062014C">
              <w:rPr>
                <w:rFonts w:ascii="Tahoma" w:hAnsi="Tahoma" w:cs="Tahoma"/>
                <w:sz w:val="18"/>
                <w:szCs w:val="18"/>
              </w:rPr>
              <w:t xml:space="preserve"> настоящего документа. К Транзакциям, к которым не была применена ставка, указанная в п. 4, применяется ставка, указанная в п. 3.1. настоящего документа.</w:t>
            </w:r>
          </w:p>
        </w:tc>
      </w:tr>
      <w:tr w:rsidR="004D3A9A" w:rsidRPr="0062014C" w14:paraId="3D42029C" w14:textId="77777777" w:rsidTr="00B86BDE">
        <w:trPr>
          <w:trHeight w:val="277"/>
        </w:trPr>
        <w:tc>
          <w:tcPr>
            <w:tcW w:w="704" w:type="dxa"/>
            <w:shd w:val="clear" w:color="auto" w:fill="D9D9D9" w:themeFill="background1" w:themeFillShade="D9"/>
            <w:noWrap/>
            <w:vAlign w:val="center"/>
            <w:hideMark/>
          </w:tcPr>
          <w:p w14:paraId="1F6E7437" w14:textId="77777777" w:rsidR="004D3A9A" w:rsidRPr="00BC7920" w:rsidRDefault="004D3A9A" w:rsidP="00B86BDE">
            <w:pPr>
              <w:jc w:val="center"/>
              <w:rPr>
                <w:rFonts w:ascii="Tahoma" w:hAnsi="Tahoma" w:cs="Tahoma"/>
                <w:b/>
                <w:bCs/>
                <w:sz w:val="18"/>
                <w:szCs w:val="18"/>
              </w:rPr>
            </w:pPr>
            <w:r w:rsidRPr="00BC7920">
              <w:rPr>
                <w:rFonts w:ascii="Tahoma" w:hAnsi="Tahoma" w:cs="Tahoma"/>
                <w:b/>
                <w:bCs/>
                <w:sz w:val="18"/>
                <w:szCs w:val="18"/>
              </w:rPr>
              <w:t>4.</w:t>
            </w:r>
          </w:p>
        </w:tc>
        <w:tc>
          <w:tcPr>
            <w:tcW w:w="4820" w:type="dxa"/>
            <w:shd w:val="clear" w:color="auto" w:fill="D9D9D9" w:themeFill="background1" w:themeFillShade="D9"/>
            <w:vAlign w:val="center"/>
            <w:hideMark/>
          </w:tcPr>
          <w:p w14:paraId="6B6D130F" w14:textId="77777777" w:rsidR="004D3A9A" w:rsidRPr="00BC7920" w:rsidRDefault="004D3A9A" w:rsidP="00B86BDE">
            <w:pPr>
              <w:rPr>
                <w:rFonts w:ascii="Tahoma" w:hAnsi="Tahoma" w:cs="Tahoma"/>
                <w:b/>
                <w:bCs/>
                <w:sz w:val="18"/>
                <w:szCs w:val="18"/>
              </w:rPr>
            </w:pPr>
            <w:r w:rsidRPr="00BC7920">
              <w:rPr>
                <w:rFonts w:ascii="Tahoma" w:hAnsi="Tahoma" w:cs="Tahoma"/>
                <w:b/>
                <w:bCs/>
                <w:sz w:val="18"/>
                <w:szCs w:val="18"/>
              </w:rPr>
              <w:t>Категории повышенных Баллов</w:t>
            </w:r>
            <w:r w:rsidRPr="00BC7920">
              <w:rPr>
                <w:rFonts w:ascii="Tahoma" w:hAnsi="Tahoma" w:cs="Tahoma"/>
                <w:b/>
                <w:bCs/>
                <w:sz w:val="18"/>
                <w:szCs w:val="18"/>
                <w:vertAlign w:val="superscript"/>
              </w:rPr>
              <w:t>8</w:t>
            </w:r>
          </w:p>
        </w:tc>
        <w:tc>
          <w:tcPr>
            <w:tcW w:w="9440" w:type="dxa"/>
            <w:shd w:val="clear" w:color="auto" w:fill="D9D9D9" w:themeFill="background1" w:themeFillShade="D9"/>
            <w:noWrap/>
            <w:vAlign w:val="center"/>
            <w:hideMark/>
          </w:tcPr>
          <w:p w14:paraId="52811651" w14:textId="77777777" w:rsidR="004D3A9A" w:rsidRPr="00BC7920" w:rsidRDefault="004D3A9A" w:rsidP="00B86BDE">
            <w:pPr>
              <w:jc w:val="center"/>
              <w:rPr>
                <w:rFonts w:ascii="Tahoma" w:hAnsi="Tahoma" w:cs="Tahoma"/>
                <w:b/>
                <w:bCs/>
                <w:sz w:val="18"/>
                <w:szCs w:val="18"/>
              </w:rPr>
            </w:pPr>
            <w:r w:rsidRPr="00BC7920">
              <w:rPr>
                <w:rFonts w:ascii="Tahoma" w:hAnsi="Tahoma" w:cs="Tahoma"/>
                <w:b/>
                <w:bCs/>
                <w:sz w:val="18"/>
                <w:szCs w:val="18"/>
              </w:rPr>
              <w:t> </w:t>
            </w:r>
          </w:p>
        </w:tc>
      </w:tr>
      <w:tr w:rsidR="004D3A9A" w:rsidRPr="0062014C" w14:paraId="235D3F61" w14:textId="77777777" w:rsidTr="00B86BDE">
        <w:trPr>
          <w:trHeight w:val="277"/>
        </w:trPr>
        <w:tc>
          <w:tcPr>
            <w:tcW w:w="704" w:type="dxa"/>
            <w:shd w:val="clear" w:color="auto" w:fill="auto"/>
            <w:noWrap/>
            <w:vAlign w:val="center"/>
            <w:hideMark/>
          </w:tcPr>
          <w:p w14:paraId="286AE4B4" w14:textId="77777777" w:rsidR="004D3A9A" w:rsidRPr="0062014C" w:rsidRDefault="004D3A9A" w:rsidP="00B86BDE">
            <w:pPr>
              <w:jc w:val="center"/>
              <w:rPr>
                <w:rFonts w:ascii="Tahoma" w:hAnsi="Tahoma" w:cs="Tahoma"/>
                <w:sz w:val="18"/>
                <w:szCs w:val="18"/>
              </w:rPr>
            </w:pPr>
            <w:r w:rsidRPr="0062014C">
              <w:rPr>
                <w:rFonts w:ascii="Tahoma" w:hAnsi="Tahoma" w:cs="Tahoma"/>
                <w:sz w:val="18"/>
                <w:szCs w:val="18"/>
              </w:rPr>
              <w:t>4.1.</w:t>
            </w:r>
          </w:p>
        </w:tc>
        <w:tc>
          <w:tcPr>
            <w:tcW w:w="4820" w:type="dxa"/>
            <w:shd w:val="clear" w:color="auto" w:fill="auto"/>
            <w:noWrap/>
            <w:vAlign w:val="center"/>
            <w:hideMark/>
          </w:tcPr>
          <w:p w14:paraId="27D4928D" w14:textId="77777777" w:rsidR="004D3A9A" w:rsidRPr="003B2AE7" w:rsidRDefault="004D3A9A" w:rsidP="00B86BDE">
            <w:pPr>
              <w:rPr>
                <w:rFonts w:ascii="Tahoma" w:hAnsi="Tahoma" w:cs="Tahoma"/>
                <w:sz w:val="18"/>
                <w:szCs w:val="18"/>
              </w:rPr>
            </w:pPr>
            <w:r w:rsidRPr="003B2AE7">
              <w:rPr>
                <w:rFonts w:ascii="Tahoma" w:hAnsi="Tahoma" w:cs="Tahoma"/>
                <w:sz w:val="18"/>
                <w:szCs w:val="18"/>
              </w:rPr>
              <w:t>Авиабилеты</w:t>
            </w:r>
          </w:p>
        </w:tc>
        <w:tc>
          <w:tcPr>
            <w:tcW w:w="9440" w:type="dxa"/>
            <w:vMerge w:val="restart"/>
            <w:shd w:val="clear" w:color="auto" w:fill="auto"/>
            <w:noWrap/>
            <w:vAlign w:val="center"/>
            <w:hideMark/>
          </w:tcPr>
          <w:p w14:paraId="2106F7CD" w14:textId="77777777" w:rsidR="004D3A9A" w:rsidRPr="0062014C" w:rsidRDefault="004D3A9A" w:rsidP="00B86BDE">
            <w:pPr>
              <w:jc w:val="center"/>
              <w:rPr>
                <w:rFonts w:ascii="Tahoma" w:hAnsi="Tahoma" w:cs="Tahoma"/>
                <w:b/>
                <w:bCs/>
                <w:sz w:val="18"/>
                <w:szCs w:val="18"/>
              </w:rPr>
            </w:pPr>
            <w:r w:rsidRPr="0062014C">
              <w:rPr>
                <w:rFonts w:ascii="Tahoma" w:hAnsi="Tahoma" w:cs="Tahoma"/>
                <w:b/>
                <w:bCs/>
                <w:sz w:val="18"/>
                <w:szCs w:val="18"/>
              </w:rPr>
              <w:t>7% от каждых достигнутых 100 рублей Транзакции</w:t>
            </w:r>
            <w:r w:rsidRPr="0062014C">
              <w:rPr>
                <w:rFonts w:ascii="Tahoma" w:hAnsi="Tahoma" w:cs="Tahoma"/>
                <w:b/>
                <w:bCs/>
                <w:sz w:val="18"/>
                <w:szCs w:val="18"/>
                <w:vertAlign w:val="superscript"/>
              </w:rPr>
              <w:t>7</w:t>
            </w:r>
            <w:r w:rsidRPr="0062014C">
              <w:rPr>
                <w:rFonts w:ascii="Tahoma" w:hAnsi="Tahoma" w:cs="Tahoma"/>
                <w:b/>
                <w:bCs/>
                <w:sz w:val="18"/>
                <w:szCs w:val="18"/>
              </w:rPr>
              <w:t xml:space="preserve"> (в выбранной категории)</w:t>
            </w:r>
          </w:p>
        </w:tc>
      </w:tr>
      <w:tr w:rsidR="004D3A9A" w:rsidRPr="0062014C" w14:paraId="0ABF2261" w14:textId="77777777" w:rsidTr="00B86BDE">
        <w:trPr>
          <w:trHeight w:val="277"/>
        </w:trPr>
        <w:tc>
          <w:tcPr>
            <w:tcW w:w="704" w:type="dxa"/>
            <w:shd w:val="clear" w:color="auto" w:fill="auto"/>
            <w:noWrap/>
            <w:vAlign w:val="center"/>
            <w:hideMark/>
          </w:tcPr>
          <w:p w14:paraId="4B551FCA" w14:textId="77777777" w:rsidR="004D3A9A" w:rsidRPr="0062014C" w:rsidRDefault="004D3A9A" w:rsidP="00B86BDE">
            <w:pPr>
              <w:jc w:val="center"/>
              <w:rPr>
                <w:rFonts w:ascii="Tahoma" w:hAnsi="Tahoma" w:cs="Tahoma"/>
                <w:sz w:val="18"/>
                <w:szCs w:val="18"/>
              </w:rPr>
            </w:pPr>
            <w:r w:rsidRPr="0062014C">
              <w:rPr>
                <w:rFonts w:ascii="Tahoma" w:hAnsi="Tahoma" w:cs="Tahoma"/>
                <w:sz w:val="18"/>
                <w:szCs w:val="18"/>
              </w:rPr>
              <w:t>4.2.</w:t>
            </w:r>
          </w:p>
        </w:tc>
        <w:tc>
          <w:tcPr>
            <w:tcW w:w="4820" w:type="dxa"/>
            <w:shd w:val="clear" w:color="auto" w:fill="auto"/>
            <w:noWrap/>
            <w:vAlign w:val="center"/>
            <w:hideMark/>
          </w:tcPr>
          <w:p w14:paraId="1BB16107" w14:textId="77777777" w:rsidR="004D3A9A" w:rsidRPr="003B2AE7" w:rsidRDefault="004D3A9A" w:rsidP="00B86BDE">
            <w:pPr>
              <w:rPr>
                <w:rFonts w:ascii="Tahoma" w:hAnsi="Tahoma" w:cs="Tahoma"/>
                <w:sz w:val="18"/>
                <w:szCs w:val="18"/>
              </w:rPr>
            </w:pPr>
            <w:r w:rsidRPr="003B2AE7">
              <w:rPr>
                <w:rFonts w:ascii="Tahoma" w:hAnsi="Tahoma" w:cs="Tahoma"/>
                <w:sz w:val="18"/>
                <w:szCs w:val="18"/>
              </w:rPr>
              <w:t>Автоуслуги и автозапчасти</w:t>
            </w:r>
          </w:p>
        </w:tc>
        <w:tc>
          <w:tcPr>
            <w:tcW w:w="9440" w:type="dxa"/>
            <w:vMerge/>
            <w:vAlign w:val="center"/>
            <w:hideMark/>
          </w:tcPr>
          <w:p w14:paraId="7EE3F872" w14:textId="77777777" w:rsidR="004D3A9A" w:rsidRPr="0062014C" w:rsidRDefault="004D3A9A" w:rsidP="00B86BDE">
            <w:pPr>
              <w:rPr>
                <w:rFonts w:ascii="Tahoma" w:hAnsi="Tahoma" w:cs="Tahoma"/>
                <w:b/>
                <w:bCs/>
                <w:sz w:val="18"/>
                <w:szCs w:val="18"/>
              </w:rPr>
            </w:pPr>
          </w:p>
        </w:tc>
      </w:tr>
      <w:tr w:rsidR="004D3A9A" w:rsidRPr="0062014C" w14:paraId="45913D9E" w14:textId="77777777" w:rsidTr="00B86BDE">
        <w:trPr>
          <w:trHeight w:val="277"/>
        </w:trPr>
        <w:tc>
          <w:tcPr>
            <w:tcW w:w="704" w:type="dxa"/>
            <w:shd w:val="clear" w:color="auto" w:fill="auto"/>
            <w:noWrap/>
            <w:vAlign w:val="center"/>
            <w:hideMark/>
          </w:tcPr>
          <w:p w14:paraId="6196AB8B" w14:textId="77777777" w:rsidR="004D3A9A" w:rsidRPr="0062014C" w:rsidRDefault="004D3A9A" w:rsidP="00B86BDE">
            <w:pPr>
              <w:jc w:val="center"/>
              <w:rPr>
                <w:rFonts w:ascii="Tahoma" w:hAnsi="Tahoma" w:cs="Tahoma"/>
                <w:sz w:val="18"/>
                <w:szCs w:val="18"/>
              </w:rPr>
            </w:pPr>
            <w:r w:rsidRPr="0062014C">
              <w:rPr>
                <w:rFonts w:ascii="Tahoma" w:hAnsi="Tahoma" w:cs="Tahoma"/>
                <w:sz w:val="18"/>
                <w:szCs w:val="18"/>
              </w:rPr>
              <w:t>4.3.</w:t>
            </w:r>
          </w:p>
        </w:tc>
        <w:tc>
          <w:tcPr>
            <w:tcW w:w="4820" w:type="dxa"/>
            <w:shd w:val="clear" w:color="auto" w:fill="auto"/>
            <w:noWrap/>
            <w:vAlign w:val="center"/>
            <w:hideMark/>
          </w:tcPr>
          <w:p w14:paraId="6C3FD833" w14:textId="77777777" w:rsidR="004D3A9A" w:rsidRPr="003B2AE7" w:rsidRDefault="004D3A9A" w:rsidP="00B86BDE">
            <w:pPr>
              <w:rPr>
                <w:rFonts w:ascii="Tahoma" w:hAnsi="Tahoma" w:cs="Tahoma"/>
                <w:sz w:val="18"/>
                <w:szCs w:val="18"/>
              </w:rPr>
            </w:pPr>
            <w:r w:rsidRPr="003B2AE7">
              <w:rPr>
                <w:rFonts w:ascii="Tahoma" w:hAnsi="Tahoma" w:cs="Tahoma"/>
                <w:sz w:val="18"/>
                <w:szCs w:val="18"/>
              </w:rPr>
              <w:t>АЗС</w:t>
            </w:r>
          </w:p>
        </w:tc>
        <w:tc>
          <w:tcPr>
            <w:tcW w:w="9440" w:type="dxa"/>
            <w:vMerge/>
            <w:vAlign w:val="center"/>
            <w:hideMark/>
          </w:tcPr>
          <w:p w14:paraId="6855FB29" w14:textId="77777777" w:rsidR="004D3A9A" w:rsidRPr="0062014C" w:rsidRDefault="004D3A9A" w:rsidP="00B86BDE">
            <w:pPr>
              <w:rPr>
                <w:rFonts w:ascii="Tahoma" w:hAnsi="Tahoma" w:cs="Tahoma"/>
                <w:b/>
                <w:bCs/>
                <w:sz w:val="18"/>
                <w:szCs w:val="18"/>
              </w:rPr>
            </w:pPr>
          </w:p>
        </w:tc>
      </w:tr>
      <w:tr w:rsidR="004D3A9A" w:rsidRPr="0062014C" w14:paraId="07F68349" w14:textId="77777777" w:rsidTr="00B86BDE">
        <w:trPr>
          <w:trHeight w:val="277"/>
        </w:trPr>
        <w:tc>
          <w:tcPr>
            <w:tcW w:w="704" w:type="dxa"/>
            <w:shd w:val="clear" w:color="auto" w:fill="auto"/>
            <w:noWrap/>
            <w:vAlign w:val="center"/>
            <w:hideMark/>
          </w:tcPr>
          <w:p w14:paraId="6FF5BB8D" w14:textId="77777777" w:rsidR="004D3A9A" w:rsidRPr="0062014C" w:rsidRDefault="004D3A9A" w:rsidP="00B86BDE">
            <w:pPr>
              <w:jc w:val="center"/>
              <w:rPr>
                <w:rFonts w:ascii="Tahoma" w:hAnsi="Tahoma" w:cs="Tahoma"/>
                <w:sz w:val="18"/>
                <w:szCs w:val="18"/>
              </w:rPr>
            </w:pPr>
            <w:r w:rsidRPr="0062014C">
              <w:rPr>
                <w:rFonts w:ascii="Tahoma" w:hAnsi="Tahoma" w:cs="Tahoma"/>
                <w:sz w:val="18"/>
                <w:szCs w:val="18"/>
              </w:rPr>
              <w:t>4.4.</w:t>
            </w:r>
          </w:p>
        </w:tc>
        <w:tc>
          <w:tcPr>
            <w:tcW w:w="4820" w:type="dxa"/>
            <w:shd w:val="clear" w:color="auto" w:fill="auto"/>
            <w:noWrap/>
            <w:vAlign w:val="center"/>
            <w:hideMark/>
          </w:tcPr>
          <w:p w14:paraId="4128F24E" w14:textId="77777777" w:rsidR="004D3A9A" w:rsidRPr="003B2AE7" w:rsidRDefault="004D3A9A" w:rsidP="00B86BDE">
            <w:pPr>
              <w:rPr>
                <w:rFonts w:ascii="Tahoma" w:hAnsi="Tahoma" w:cs="Tahoma"/>
                <w:sz w:val="18"/>
                <w:szCs w:val="18"/>
              </w:rPr>
            </w:pPr>
            <w:r w:rsidRPr="003B2AE7">
              <w:rPr>
                <w:rFonts w:ascii="Tahoma" w:hAnsi="Tahoma" w:cs="Tahoma"/>
                <w:sz w:val="18"/>
                <w:szCs w:val="18"/>
              </w:rPr>
              <w:t>Аптеки и оптики</w:t>
            </w:r>
          </w:p>
        </w:tc>
        <w:tc>
          <w:tcPr>
            <w:tcW w:w="9440" w:type="dxa"/>
            <w:vMerge/>
            <w:vAlign w:val="center"/>
            <w:hideMark/>
          </w:tcPr>
          <w:p w14:paraId="5AE46B55" w14:textId="77777777" w:rsidR="004D3A9A" w:rsidRPr="0062014C" w:rsidRDefault="004D3A9A" w:rsidP="00B86BDE">
            <w:pPr>
              <w:rPr>
                <w:rFonts w:ascii="Tahoma" w:hAnsi="Tahoma" w:cs="Tahoma"/>
                <w:b/>
                <w:bCs/>
                <w:sz w:val="18"/>
                <w:szCs w:val="18"/>
              </w:rPr>
            </w:pPr>
          </w:p>
        </w:tc>
      </w:tr>
      <w:tr w:rsidR="004D3A9A" w:rsidRPr="0062014C" w14:paraId="4C9FB7C7" w14:textId="77777777" w:rsidTr="00B86BDE">
        <w:trPr>
          <w:trHeight w:val="277"/>
        </w:trPr>
        <w:tc>
          <w:tcPr>
            <w:tcW w:w="704" w:type="dxa"/>
            <w:shd w:val="clear" w:color="auto" w:fill="auto"/>
            <w:noWrap/>
            <w:vAlign w:val="center"/>
            <w:hideMark/>
          </w:tcPr>
          <w:p w14:paraId="17172E1C" w14:textId="77777777" w:rsidR="004D3A9A" w:rsidRPr="0062014C" w:rsidRDefault="004D3A9A" w:rsidP="00B86BDE">
            <w:pPr>
              <w:jc w:val="center"/>
              <w:rPr>
                <w:rFonts w:ascii="Tahoma" w:hAnsi="Tahoma" w:cs="Tahoma"/>
                <w:sz w:val="18"/>
                <w:szCs w:val="18"/>
              </w:rPr>
            </w:pPr>
            <w:r w:rsidRPr="0062014C">
              <w:rPr>
                <w:rFonts w:ascii="Tahoma" w:hAnsi="Tahoma" w:cs="Tahoma"/>
                <w:sz w:val="18"/>
                <w:szCs w:val="18"/>
              </w:rPr>
              <w:t>4.5.</w:t>
            </w:r>
          </w:p>
        </w:tc>
        <w:tc>
          <w:tcPr>
            <w:tcW w:w="4820" w:type="dxa"/>
            <w:shd w:val="clear" w:color="auto" w:fill="auto"/>
            <w:noWrap/>
            <w:vAlign w:val="center"/>
            <w:hideMark/>
          </w:tcPr>
          <w:p w14:paraId="6F50B08D" w14:textId="77777777" w:rsidR="004D3A9A" w:rsidRPr="003B2AE7" w:rsidRDefault="004D3A9A" w:rsidP="00B86BDE">
            <w:pPr>
              <w:rPr>
                <w:rFonts w:ascii="Tahoma" w:hAnsi="Tahoma" w:cs="Tahoma"/>
                <w:sz w:val="18"/>
                <w:szCs w:val="18"/>
              </w:rPr>
            </w:pPr>
            <w:r w:rsidRPr="003B2AE7">
              <w:rPr>
                <w:rFonts w:ascii="Tahoma" w:hAnsi="Tahoma" w:cs="Tahoma"/>
                <w:sz w:val="18"/>
                <w:szCs w:val="18"/>
              </w:rPr>
              <w:t>Дом, ремонт</w:t>
            </w:r>
          </w:p>
        </w:tc>
        <w:tc>
          <w:tcPr>
            <w:tcW w:w="9440" w:type="dxa"/>
            <w:vMerge/>
            <w:vAlign w:val="center"/>
            <w:hideMark/>
          </w:tcPr>
          <w:p w14:paraId="0591FCE6" w14:textId="77777777" w:rsidR="004D3A9A" w:rsidRPr="0062014C" w:rsidRDefault="004D3A9A" w:rsidP="00B86BDE">
            <w:pPr>
              <w:rPr>
                <w:rFonts w:ascii="Tahoma" w:hAnsi="Tahoma" w:cs="Tahoma"/>
                <w:b/>
                <w:bCs/>
                <w:sz w:val="18"/>
                <w:szCs w:val="18"/>
              </w:rPr>
            </w:pPr>
          </w:p>
        </w:tc>
      </w:tr>
      <w:tr w:rsidR="004D3A9A" w:rsidRPr="0062014C" w14:paraId="58A55E11" w14:textId="77777777" w:rsidTr="00B86BDE">
        <w:trPr>
          <w:trHeight w:val="323"/>
        </w:trPr>
        <w:tc>
          <w:tcPr>
            <w:tcW w:w="704" w:type="dxa"/>
            <w:shd w:val="clear" w:color="auto" w:fill="auto"/>
            <w:noWrap/>
            <w:vAlign w:val="center"/>
            <w:hideMark/>
          </w:tcPr>
          <w:p w14:paraId="265A3E49" w14:textId="77777777" w:rsidR="004D3A9A" w:rsidRPr="0062014C" w:rsidRDefault="004D3A9A" w:rsidP="00B86BDE">
            <w:pPr>
              <w:jc w:val="center"/>
              <w:rPr>
                <w:rFonts w:ascii="Tahoma" w:hAnsi="Tahoma" w:cs="Tahoma"/>
                <w:sz w:val="18"/>
                <w:szCs w:val="18"/>
              </w:rPr>
            </w:pPr>
            <w:r w:rsidRPr="0062014C">
              <w:rPr>
                <w:rFonts w:ascii="Tahoma" w:hAnsi="Tahoma" w:cs="Tahoma"/>
                <w:sz w:val="18"/>
                <w:szCs w:val="18"/>
              </w:rPr>
              <w:t>4.6.</w:t>
            </w:r>
          </w:p>
        </w:tc>
        <w:tc>
          <w:tcPr>
            <w:tcW w:w="4820" w:type="dxa"/>
            <w:shd w:val="clear" w:color="auto" w:fill="auto"/>
            <w:noWrap/>
            <w:vAlign w:val="center"/>
            <w:hideMark/>
          </w:tcPr>
          <w:p w14:paraId="6F144D0F" w14:textId="77777777" w:rsidR="004D3A9A" w:rsidRPr="003B2AE7" w:rsidRDefault="004D3A9A" w:rsidP="00B86BDE">
            <w:pPr>
              <w:rPr>
                <w:rFonts w:ascii="Tahoma" w:hAnsi="Tahoma" w:cs="Tahoma"/>
                <w:sz w:val="18"/>
                <w:szCs w:val="18"/>
              </w:rPr>
            </w:pPr>
            <w:r w:rsidRPr="003B2AE7">
              <w:rPr>
                <w:rFonts w:ascii="Tahoma" w:hAnsi="Tahoma" w:cs="Tahoma"/>
                <w:sz w:val="18"/>
                <w:szCs w:val="18"/>
              </w:rPr>
              <w:t>ЖД билеты</w:t>
            </w:r>
          </w:p>
        </w:tc>
        <w:tc>
          <w:tcPr>
            <w:tcW w:w="9440" w:type="dxa"/>
            <w:vMerge/>
            <w:vAlign w:val="center"/>
            <w:hideMark/>
          </w:tcPr>
          <w:p w14:paraId="78DD30C8" w14:textId="77777777" w:rsidR="004D3A9A" w:rsidRPr="0062014C" w:rsidRDefault="004D3A9A" w:rsidP="00B86BDE">
            <w:pPr>
              <w:rPr>
                <w:rFonts w:ascii="Tahoma" w:hAnsi="Tahoma" w:cs="Tahoma"/>
                <w:b/>
                <w:bCs/>
                <w:sz w:val="18"/>
                <w:szCs w:val="18"/>
              </w:rPr>
            </w:pPr>
          </w:p>
        </w:tc>
      </w:tr>
      <w:tr w:rsidR="004D3A9A" w:rsidRPr="0062014C" w14:paraId="7EE2995F" w14:textId="77777777" w:rsidTr="00B86BDE">
        <w:trPr>
          <w:trHeight w:val="277"/>
        </w:trPr>
        <w:tc>
          <w:tcPr>
            <w:tcW w:w="704" w:type="dxa"/>
            <w:shd w:val="clear" w:color="auto" w:fill="auto"/>
            <w:noWrap/>
            <w:vAlign w:val="center"/>
            <w:hideMark/>
          </w:tcPr>
          <w:p w14:paraId="5B16A44A" w14:textId="77777777" w:rsidR="004D3A9A" w:rsidRPr="0062014C" w:rsidRDefault="004D3A9A" w:rsidP="00B86BDE">
            <w:pPr>
              <w:jc w:val="center"/>
              <w:rPr>
                <w:rFonts w:ascii="Tahoma" w:hAnsi="Tahoma" w:cs="Tahoma"/>
                <w:sz w:val="18"/>
                <w:szCs w:val="18"/>
              </w:rPr>
            </w:pPr>
            <w:r w:rsidRPr="0062014C">
              <w:rPr>
                <w:rFonts w:ascii="Tahoma" w:hAnsi="Tahoma" w:cs="Tahoma"/>
                <w:sz w:val="18"/>
                <w:szCs w:val="18"/>
              </w:rPr>
              <w:t>4.7.</w:t>
            </w:r>
          </w:p>
        </w:tc>
        <w:tc>
          <w:tcPr>
            <w:tcW w:w="4820" w:type="dxa"/>
            <w:shd w:val="clear" w:color="auto" w:fill="auto"/>
            <w:noWrap/>
            <w:vAlign w:val="center"/>
            <w:hideMark/>
          </w:tcPr>
          <w:p w14:paraId="0EA99D3A" w14:textId="77777777" w:rsidR="004D3A9A" w:rsidRPr="003B2AE7" w:rsidRDefault="004D3A9A" w:rsidP="00B86BDE">
            <w:pPr>
              <w:rPr>
                <w:rFonts w:ascii="Tahoma" w:hAnsi="Tahoma" w:cs="Tahoma"/>
                <w:sz w:val="18"/>
                <w:szCs w:val="18"/>
              </w:rPr>
            </w:pPr>
            <w:r w:rsidRPr="003B2AE7">
              <w:rPr>
                <w:rFonts w:ascii="Tahoma" w:hAnsi="Tahoma" w:cs="Tahoma"/>
                <w:sz w:val="18"/>
                <w:szCs w:val="18"/>
              </w:rPr>
              <w:t>Кафе, рестораны, фастфуд</w:t>
            </w:r>
          </w:p>
        </w:tc>
        <w:tc>
          <w:tcPr>
            <w:tcW w:w="9440" w:type="dxa"/>
            <w:vMerge/>
            <w:vAlign w:val="center"/>
            <w:hideMark/>
          </w:tcPr>
          <w:p w14:paraId="1C017498" w14:textId="77777777" w:rsidR="004D3A9A" w:rsidRPr="0062014C" w:rsidRDefault="004D3A9A" w:rsidP="00B86BDE">
            <w:pPr>
              <w:rPr>
                <w:rFonts w:ascii="Tahoma" w:hAnsi="Tahoma" w:cs="Tahoma"/>
                <w:b/>
                <w:bCs/>
                <w:sz w:val="18"/>
                <w:szCs w:val="18"/>
              </w:rPr>
            </w:pPr>
          </w:p>
        </w:tc>
      </w:tr>
      <w:tr w:rsidR="004D3A9A" w:rsidRPr="0062014C" w14:paraId="5C1C2AB5" w14:textId="77777777" w:rsidTr="00B86BDE">
        <w:trPr>
          <w:trHeight w:val="318"/>
        </w:trPr>
        <w:tc>
          <w:tcPr>
            <w:tcW w:w="704" w:type="dxa"/>
            <w:shd w:val="clear" w:color="auto" w:fill="auto"/>
            <w:noWrap/>
            <w:vAlign w:val="center"/>
            <w:hideMark/>
          </w:tcPr>
          <w:p w14:paraId="5622CD84" w14:textId="77777777" w:rsidR="004D3A9A" w:rsidRPr="0062014C" w:rsidRDefault="004D3A9A" w:rsidP="00B86BDE">
            <w:pPr>
              <w:jc w:val="center"/>
              <w:rPr>
                <w:rFonts w:ascii="Tahoma" w:hAnsi="Tahoma" w:cs="Tahoma"/>
                <w:sz w:val="18"/>
                <w:szCs w:val="18"/>
              </w:rPr>
            </w:pPr>
            <w:r w:rsidRPr="0062014C">
              <w:rPr>
                <w:rFonts w:ascii="Tahoma" w:hAnsi="Tahoma" w:cs="Tahoma"/>
                <w:sz w:val="18"/>
                <w:szCs w:val="18"/>
              </w:rPr>
              <w:t>4.8.</w:t>
            </w:r>
          </w:p>
        </w:tc>
        <w:tc>
          <w:tcPr>
            <w:tcW w:w="4820" w:type="dxa"/>
            <w:shd w:val="clear" w:color="auto" w:fill="auto"/>
            <w:noWrap/>
            <w:vAlign w:val="center"/>
          </w:tcPr>
          <w:p w14:paraId="10333279" w14:textId="77777777" w:rsidR="004D3A9A" w:rsidRPr="003B2AE7" w:rsidRDefault="004D3A9A" w:rsidP="00B86BDE">
            <w:pPr>
              <w:rPr>
                <w:rFonts w:ascii="Tahoma" w:hAnsi="Tahoma" w:cs="Tahoma"/>
                <w:sz w:val="18"/>
                <w:szCs w:val="18"/>
              </w:rPr>
            </w:pPr>
            <w:r w:rsidRPr="003B2AE7">
              <w:rPr>
                <w:rFonts w:ascii="Tahoma" w:hAnsi="Tahoma" w:cs="Tahoma"/>
                <w:sz w:val="18"/>
                <w:szCs w:val="18"/>
              </w:rPr>
              <w:t>Кино и развлечения</w:t>
            </w:r>
          </w:p>
        </w:tc>
        <w:tc>
          <w:tcPr>
            <w:tcW w:w="9440" w:type="dxa"/>
            <w:vMerge/>
            <w:shd w:val="clear" w:color="auto" w:fill="auto"/>
            <w:noWrap/>
            <w:vAlign w:val="center"/>
          </w:tcPr>
          <w:p w14:paraId="1724068E" w14:textId="77777777" w:rsidR="004D3A9A" w:rsidRPr="0062014C" w:rsidRDefault="004D3A9A" w:rsidP="00B86BDE">
            <w:pPr>
              <w:jc w:val="center"/>
              <w:rPr>
                <w:rFonts w:ascii="Tahoma" w:hAnsi="Tahoma" w:cs="Tahoma"/>
                <w:b/>
                <w:bCs/>
                <w:sz w:val="18"/>
                <w:szCs w:val="18"/>
              </w:rPr>
            </w:pPr>
          </w:p>
        </w:tc>
      </w:tr>
      <w:tr w:rsidR="004D3A9A" w:rsidRPr="0062014C" w14:paraId="63A9C6E0" w14:textId="77777777" w:rsidTr="00B86BDE">
        <w:trPr>
          <w:trHeight w:val="318"/>
        </w:trPr>
        <w:tc>
          <w:tcPr>
            <w:tcW w:w="704" w:type="dxa"/>
            <w:shd w:val="clear" w:color="auto" w:fill="auto"/>
            <w:noWrap/>
            <w:vAlign w:val="center"/>
          </w:tcPr>
          <w:p w14:paraId="3F9F59A4" w14:textId="77777777" w:rsidR="004D3A9A" w:rsidRPr="0062014C" w:rsidRDefault="004D3A9A" w:rsidP="00B86BDE">
            <w:pPr>
              <w:jc w:val="center"/>
              <w:rPr>
                <w:rFonts w:ascii="Tahoma" w:hAnsi="Tahoma" w:cs="Tahoma"/>
                <w:sz w:val="18"/>
                <w:szCs w:val="18"/>
              </w:rPr>
            </w:pPr>
            <w:r>
              <w:rPr>
                <w:rFonts w:ascii="Tahoma" w:hAnsi="Tahoma" w:cs="Tahoma"/>
                <w:sz w:val="18"/>
                <w:szCs w:val="18"/>
              </w:rPr>
              <w:t>4.9.</w:t>
            </w:r>
          </w:p>
        </w:tc>
        <w:tc>
          <w:tcPr>
            <w:tcW w:w="4820" w:type="dxa"/>
            <w:shd w:val="clear" w:color="auto" w:fill="auto"/>
            <w:noWrap/>
            <w:vAlign w:val="center"/>
          </w:tcPr>
          <w:p w14:paraId="5F3EB408" w14:textId="77777777" w:rsidR="004D3A9A" w:rsidRPr="003B2AE7" w:rsidRDefault="004D3A9A" w:rsidP="00B86BDE">
            <w:pPr>
              <w:rPr>
                <w:rFonts w:ascii="Tahoma" w:hAnsi="Tahoma" w:cs="Tahoma"/>
                <w:sz w:val="18"/>
                <w:szCs w:val="18"/>
              </w:rPr>
            </w:pPr>
            <w:r w:rsidRPr="003B2AE7">
              <w:rPr>
                <w:rFonts w:ascii="Tahoma" w:hAnsi="Tahoma" w:cs="Tahoma"/>
                <w:sz w:val="18"/>
                <w:szCs w:val="18"/>
              </w:rPr>
              <w:t>Книги и канцтовары</w:t>
            </w:r>
          </w:p>
        </w:tc>
        <w:tc>
          <w:tcPr>
            <w:tcW w:w="9440" w:type="dxa"/>
            <w:vMerge/>
            <w:shd w:val="clear" w:color="auto" w:fill="auto"/>
            <w:noWrap/>
            <w:vAlign w:val="center"/>
          </w:tcPr>
          <w:p w14:paraId="038D6D61" w14:textId="77777777" w:rsidR="004D3A9A" w:rsidRPr="0062014C" w:rsidRDefault="004D3A9A" w:rsidP="00B86BDE">
            <w:pPr>
              <w:jc w:val="center"/>
              <w:rPr>
                <w:rFonts w:ascii="Tahoma" w:hAnsi="Tahoma" w:cs="Tahoma"/>
                <w:b/>
                <w:bCs/>
                <w:sz w:val="18"/>
                <w:szCs w:val="18"/>
              </w:rPr>
            </w:pPr>
          </w:p>
        </w:tc>
      </w:tr>
      <w:tr w:rsidR="004D3A9A" w:rsidRPr="0062014C" w14:paraId="6CF1EE0A" w14:textId="77777777" w:rsidTr="00B86BDE">
        <w:trPr>
          <w:trHeight w:val="318"/>
        </w:trPr>
        <w:tc>
          <w:tcPr>
            <w:tcW w:w="704" w:type="dxa"/>
            <w:shd w:val="clear" w:color="auto" w:fill="auto"/>
            <w:noWrap/>
            <w:vAlign w:val="center"/>
          </w:tcPr>
          <w:p w14:paraId="033F78C3" w14:textId="77777777" w:rsidR="004D3A9A" w:rsidRPr="0062014C" w:rsidRDefault="004D3A9A" w:rsidP="00B86BDE">
            <w:pPr>
              <w:jc w:val="center"/>
              <w:rPr>
                <w:rFonts w:ascii="Tahoma" w:hAnsi="Tahoma" w:cs="Tahoma"/>
                <w:sz w:val="18"/>
                <w:szCs w:val="18"/>
              </w:rPr>
            </w:pPr>
            <w:r>
              <w:rPr>
                <w:rFonts w:ascii="Tahoma" w:hAnsi="Tahoma" w:cs="Tahoma"/>
                <w:sz w:val="18"/>
                <w:szCs w:val="18"/>
              </w:rPr>
              <w:t>4.10.</w:t>
            </w:r>
          </w:p>
        </w:tc>
        <w:tc>
          <w:tcPr>
            <w:tcW w:w="4820" w:type="dxa"/>
            <w:shd w:val="clear" w:color="auto" w:fill="auto"/>
            <w:noWrap/>
            <w:vAlign w:val="center"/>
          </w:tcPr>
          <w:p w14:paraId="35088E35" w14:textId="77777777" w:rsidR="004D3A9A" w:rsidRPr="003B2AE7" w:rsidRDefault="004D3A9A" w:rsidP="00B86BDE">
            <w:pPr>
              <w:rPr>
                <w:rFonts w:ascii="Tahoma" w:hAnsi="Tahoma" w:cs="Tahoma"/>
                <w:sz w:val="18"/>
                <w:szCs w:val="18"/>
              </w:rPr>
            </w:pPr>
            <w:r w:rsidRPr="003B2AE7">
              <w:rPr>
                <w:rFonts w:ascii="Tahoma" w:hAnsi="Tahoma" w:cs="Tahoma"/>
                <w:sz w:val="18"/>
                <w:szCs w:val="18"/>
              </w:rPr>
              <w:t>Маркетплейсы</w:t>
            </w:r>
          </w:p>
        </w:tc>
        <w:tc>
          <w:tcPr>
            <w:tcW w:w="9440" w:type="dxa"/>
            <w:vMerge/>
            <w:shd w:val="clear" w:color="auto" w:fill="auto"/>
            <w:noWrap/>
            <w:vAlign w:val="center"/>
          </w:tcPr>
          <w:p w14:paraId="24445808" w14:textId="77777777" w:rsidR="004D3A9A" w:rsidRPr="0062014C" w:rsidRDefault="004D3A9A" w:rsidP="00B86BDE">
            <w:pPr>
              <w:jc w:val="center"/>
              <w:rPr>
                <w:rFonts w:ascii="Tahoma" w:hAnsi="Tahoma" w:cs="Tahoma"/>
                <w:b/>
                <w:bCs/>
                <w:sz w:val="18"/>
                <w:szCs w:val="18"/>
              </w:rPr>
            </w:pPr>
          </w:p>
        </w:tc>
      </w:tr>
      <w:tr w:rsidR="004D3A9A" w:rsidRPr="0062014C" w14:paraId="671A88B7" w14:textId="77777777" w:rsidTr="00B86BDE">
        <w:trPr>
          <w:trHeight w:val="318"/>
        </w:trPr>
        <w:tc>
          <w:tcPr>
            <w:tcW w:w="704" w:type="dxa"/>
            <w:shd w:val="clear" w:color="auto" w:fill="auto"/>
            <w:noWrap/>
            <w:vAlign w:val="center"/>
          </w:tcPr>
          <w:p w14:paraId="1845EC3F" w14:textId="77777777" w:rsidR="004D3A9A" w:rsidRPr="0062014C" w:rsidRDefault="004D3A9A" w:rsidP="00B86BDE">
            <w:pPr>
              <w:jc w:val="center"/>
              <w:rPr>
                <w:rFonts w:ascii="Tahoma" w:hAnsi="Tahoma" w:cs="Tahoma"/>
                <w:sz w:val="18"/>
                <w:szCs w:val="18"/>
              </w:rPr>
            </w:pPr>
            <w:r>
              <w:rPr>
                <w:rFonts w:ascii="Tahoma" w:hAnsi="Tahoma" w:cs="Tahoma"/>
                <w:sz w:val="18"/>
                <w:szCs w:val="18"/>
              </w:rPr>
              <w:t>4.11.</w:t>
            </w:r>
          </w:p>
        </w:tc>
        <w:tc>
          <w:tcPr>
            <w:tcW w:w="4820" w:type="dxa"/>
            <w:shd w:val="clear" w:color="auto" w:fill="auto"/>
            <w:noWrap/>
            <w:vAlign w:val="center"/>
          </w:tcPr>
          <w:p w14:paraId="4D84F50B" w14:textId="77777777" w:rsidR="004D3A9A" w:rsidRPr="003B2AE7" w:rsidRDefault="004D3A9A" w:rsidP="00B86BDE">
            <w:pPr>
              <w:rPr>
                <w:rFonts w:ascii="Tahoma" w:hAnsi="Tahoma" w:cs="Tahoma"/>
                <w:sz w:val="18"/>
                <w:szCs w:val="18"/>
              </w:rPr>
            </w:pPr>
            <w:r w:rsidRPr="003B2AE7">
              <w:rPr>
                <w:rFonts w:ascii="Tahoma" w:hAnsi="Tahoma" w:cs="Tahoma"/>
                <w:sz w:val="18"/>
                <w:szCs w:val="18"/>
              </w:rPr>
              <w:t>Медицинские услуги</w:t>
            </w:r>
          </w:p>
        </w:tc>
        <w:tc>
          <w:tcPr>
            <w:tcW w:w="9440" w:type="dxa"/>
            <w:vMerge/>
            <w:shd w:val="clear" w:color="auto" w:fill="auto"/>
            <w:noWrap/>
            <w:vAlign w:val="center"/>
          </w:tcPr>
          <w:p w14:paraId="00B97DC4" w14:textId="77777777" w:rsidR="004D3A9A" w:rsidRPr="0062014C" w:rsidRDefault="004D3A9A" w:rsidP="00B86BDE">
            <w:pPr>
              <w:jc w:val="center"/>
              <w:rPr>
                <w:rFonts w:ascii="Tahoma" w:hAnsi="Tahoma" w:cs="Tahoma"/>
                <w:b/>
                <w:bCs/>
                <w:sz w:val="18"/>
                <w:szCs w:val="18"/>
              </w:rPr>
            </w:pPr>
          </w:p>
        </w:tc>
      </w:tr>
      <w:tr w:rsidR="004D3A9A" w:rsidRPr="0062014C" w14:paraId="7ADDF54D" w14:textId="77777777" w:rsidTr="00B86BDE">
        <w:trPr>
          <w:trHeight w:val="318"/>
        </w:trPr>
        <w:tc>
          <w:tcPr>
            <w:tcW w:w="704" w:type="dxa"/>
            <w:shd w:val="clear" w:color="auto" w:fill="auto"/>
            <w:noWrap/>
            <w:vAlign w:val="center"/>
          </w:tcPr>
          <w:p w14:paraId="7FFBBD61" w14:textId="77777777" w:rsidR="004D3A9A" w:rsidRPr="0062014C" w:rsidRDefault="004D3A9A" w:rsidP="00B86BDE">
            <w:pPr>
              <w:jc w:val="center"/>
              <w:rPr>
                <w:rFonts w:ascii="Tahoma" w:hAnsi="Tahoma" w:cs="Tahoma"/>
                <w:sz w:val="18"/>
                <w:szCs w:val="18"/>
              </w:rPr>
            </w:pPr>
            <w:r>
              <w:rPr>
                <w:rFonts w:ascii="Tahoma" w:hAnsi="Tahoma" w:cs="Tahoma"/>
                <w:sz w:val="18"/>
                <w:szCs w:val="18"/>
              </w:rPr>
              <w:t>4.12.</w:t>
            </w:r>
          </w:p>
        </w:tc>
        <w:tc>
          <w:tcPr>
            <w:tcW w:w="4820" w:type="dxa"/>
            <w:shd w:val="clear" w:color="auto" w:fill="auto"/>
            <w:noWrap/>
            <w:vAlign w:val="center"/>
          </w:tcPr>
          <w:p w14:paraId="779D22ED" w14:textId="77777777" w:rsidR="004D3A9A" w:rsidRPr="003B2AE7" w:rsidRDefault="004D3A9A" w:rsidP="00B86BDE">
            <w:pPr>
              <w:rPr>
                <w:rFonts w:ascii="Tahoma" w:hAnsi="Tahoma" w:cs="Tahoma"/>
                <w:sz w:val="18"/>
                <w:szCs w:val="18"/>
              </w:rPr>
            </w:pPr>
            <w:r w:rsidRPr="003B2AE7">
              <w:rPr>
                <w:rFonts w:ascii="Tahoma" w:hAnsi="Tahoma" w:cs="Tahoma"/>
                <w:sz w:val="18"/>
                <w:szCs w:val="18"/>
              </w:rPr>
              <w:t>Отели</w:t>
            </w:r>
          </w:p>
        </w:tc>
        <w:tc>
          <w:tcPr>
            <w:tcW w:w="9440" w:type="dxa"/>
            <w:vMerge/>
            <w:shd w:val="clear" w:color="auto" w:fill="auto"/>
            <w:noWrap/>
            <w:vAlign w:val="center"/>
          </w:tcPr>
          <w:p w14:paraId="6251E57E" w14:textId="77777777" w:rsidR="004D3A9A" w:rsidRPr="0062014C" w:rsidRDefault="004D3A9A" w:rsidP="00B86BDE">
            <w:pPr>
              <w:jc w:val="center"/>
              <w:rPr>
                <w:rFonts w:ascii="Tahoma" w:hAnsi="Tahoma" w:cs="Tahoma"/>
                <w:b/>
                <w:bCs/>
                <w:sz w:val="18"/>
                <w:szCs w:val="18"/>
              </w:rPr>
            </w:pPr>
          </w:p>
        </w:tc>
      </w:tr>
      <w:tr w:rsidR="004D3A9A" w:rsidRPr="0062014C" w14:paraId="31441076" w14:textId="77777777" w:rsidTr="00B86BDE">
        <w:trPr>
          <w:trHeight w:val="318"/>
        </w:trPr>
        <w:tc>
          <w:tcPr>
            <w:tcW w:w="704" w:type="dxa"/>
            <w:shd w:val="clear" w:color="auto" w:fill="auto"/>
            <w:noWrap/>
            <w:vAlign w:val="center"/>
          </w:tcPr>
          <w:p w14:paraId="301885B5" w14:textId="77777777" w:rsidR="004D3A9A" w:rsidRPr="0062014C" w:rsidRDefault="004D3A9A" w:rsidP="00B86BDE">
            <w:pPr>
              <w:jc w:val="center"/>
              <w:rPr>
                <w:rFonts w:ascii="Tahoma" w:hAnsi="Tahoma" w:cs="Tahoma"/>
                <w:sz w:val="18"/>
                <w:szCs w:val="18"/>
              </w:rPr>
            </w:pPr>
            <w:r>
              <w:rPr>
                <w:rFonts w:ascii="Tahoma" w:hAnsi="Tahoma" w:cs="Tahoma"/>
                <w:sz w:val="18"/>
                <w:szCs w:val="18"/>
              </w:rPr>
              <w:t>4.13.</w:t>
            </w:r>
          </w:p>
        </w:tc>
        <w:tc>
          <w:tcPr>
            <w:tcW w:w="4820" w:type="dxa"/>
            <w:shd w:val="clear" w:color="auto" w:fill="auto"/>
            <w:noWrap/>
            <w:vAlign w:val="center"/>
          </w:tcPr>
          <w:p w14:paraId="37CE389C" w14:textId="77777777" w:rsidR="004D3A9A" w:rsidRPr="003B2AE7" w:rsidRDefault="004D3A9A" w:rsidP="00B86BDE">
            <w:pPr>
              <w:rPr>
                <w:rFonts w:ascii="Tahoma" w:hAnsi="Tahoma" w:cs="Tahoma"/>
                <w:sz w:val="18"/>
                <w:szCs w:val="18"/>
              </w:rPr>
            </w:pPr>
            <w:r w:rsidRPr="003B2AE7">
              <w:rPr>
                <w:rFonts w:ascii="Tahoma" w:hAnsi="Tahoma" w:cs="Tahoma"/>
                <w:sz w:val="18"/>
                <w:szCs w:val="18"/>
              </w:rPr>
              <w:t>Салоны красоты и парфюмерия</w:t>
            </w:r>
          </w:p>
        </w:tc>
        <w:tc>
          <w:tcPr>
            <w:tcW w:w="9440" w:type="dxa"/>
            <w:vMerge/>
            <w:shd w:val="clear" w:color="auto" w:fill="auto"/>
            <w:noWrap/>
            <w:vAlign w:val="center"/>
          </w:tcPr>
          <w:p w14:paraId="7D5E99ED" w14:textId="77777777" w:rsidR="004D3A9A" w:rsidRPr="0062014C" w:rsidRDefault="004D3A9A" w:rsidP="00B86BDE">
            <w:pPr>
              <w:jc w:val="center"/>
              <w:rPr>
                <w:rFonts w:ascii="Tahoma" w:hAnsi="Tahoma" w:cs="Tahoma"/>
                <w:b/>
                <w:bCs/>
                <w:sz w:val="18"/>
                <w:szCs w:val="18"/>
              </w:rPr>
            </w:pPr>
          </w:p>
        </w:tc>
      </w:tr>
      <w:tr w:rsidR="004D3A9A" w:rsidRPr="0062014C" w14:paraId="3C63FC39" w14:textId="77777777" w:rsidTr="00B86BDE">
        <w:trPr>
          <w:trHeight w:val="318"/>
        </w:trPr>
        <w:tc>
          <w:tcPr>
            <w:tcW w:w="704" w:type="dxa"/>
            <w:shd w:val="clear" w:color="auto" w:fill="auto"/>
            <w:noWrap/>
            <w:vAlign w:val="center"/>
          </w:tcPr>
          <w:p w14:paraId="1B383FFC" w14:textId="77777777" w:rsidR="004D3A9A" w:rsidRPr="0062014C" w:rsidRDefault="004D3A9A" w:rsidP="00B86BDE">
            <w:pPr>
              <w:jc w:val="center"/>
              <w:rPr>
                <w:rFonts w:ascii="Tahoma" w:hAnsi="Tahoma" w:cs="Tahoma"/>
                <w:sz w:val="18"/>
                <w:szCs w:val="18"/>
              </w:rPr>
            </w:pPr>
            <w:r>
              <w:rPr>
                <w:rFonts w:ascii="Tahoma" w:hAnsi="Tahoma" w:cs="Tahoma"/>
                <w:sz w:val="18"/>
                <w:szCs w:val="18"/>
              </w:rPr>
              <w:t>4.14.</w:t>
            </w:r>
          </w:p>
        </w:tc>
        <w:tc>
          <w:tcPr>
            <w:tcW w:w="4820" w:type="dxa"/>
            <w:shd w:val="clear" w:color="auto" w:fill="auto"/>
            <w:noWrap/>
            <w:vAlign w:val="center"/>
          </w:tcPr>
          <w:p w14:paraId="57FB541A" w14:textId="77777777" w:rsidR="004D3A9A" w:rsidRPr="003B2AE7" w:rsidRDefault="004D3A9A" w:rsidP="00B86BDE">
            <w:pPr>
              <w:rPr>
                <w:rFonts w:ascii="Tahoma" w:hAnsi="Tahoma" w:cs="Tahoma"/>
                <w:sz w:val="18"/>
                <w:szCs w:val="18"/>
              </w:rPr>
            </w:pPr>
            <w:r w:rsidRPr="003B2AE7">
              <w:rPr>
                <w:rFonts w:ascii="Tahoma" w:hAnsi="Tahoma" w:cs="Tahoma"/>
                <w:sz w:val="18"/>
                <w:szCs w:val="18"/>
              </w:rPr>
              <w:t>Супермаркеты</w:t>
            </w:r>
          </w:p>
        </w:tc>
        <w:tc>
          <w:tcPr>
            <w:tcW w:w="9440" w:type="dxa"/>
            <w:vMerge/>
            <w:shd w:val="clear" w:color="auto" w:fill="auto"/>
            <w:noWrap/>
            <w:vAlign w:val="center"/>
          </w:tcPr>
          <w:p w14:paraId="5FD65411" w14:textId="77777777" w:rsidR="004D3A9A" w:rsidRPr="0062014C" w:rsidRDefault="004D3A9A" w:rsidP="00B86BDE">
            <w:pPr>
              <w:jc w:val="center"/>
              <w:rPr>
                <w:rFonts w:ascii="Tahoma" w:hAnsi="Tahoma" w:cs="Tahoma"/>
                <w:b/>
                <w:bCs/>
                <w:sz w:val="18"/>
                <w:szCs w:val="18"/>
              </w:rPr>
            </w:pPr>
          </w:p>
        </w:tc>
      </w:tr>
      <w:tr w:rsidR="004D3A9A" w:rsidRPr="0062014C" w14:paraId="0E3A66A2" w14:textId="77777777" w:rsidTr="00B86BDE">
        <w:trPr>
          <w:trHeight w:val="318"/>
        </w:trPr>
        <w:tc>
          <w:tcPr>
            <w:tcW w:w="704" w:type="dxa"/>
            <w:shd w:val="clear" w:color="auto" w:fill="auto"/>
            <w:noWrap/>
            <w:vAlign w:val="center"/>
          </w:tcPr>
          <w:p w14:paraId="62CFEDB2" w14:textId="77777777" w:rsidR="004D3A9A" w:rsidRPr="0062014C" w:rsidRDefault="004D3A9A" w:rsidP="00B86BDE">
            <w:pPr>
              <w:jc w:val="center"/>
              <w:rPr>
                <w:rFonts w:ascii="Tahoma" w:hAnsi="Tahoma" w:cs="Tahoma"/>
                <w:sz w:val="18"/>
                <w:szCs w:val="18"/>
              </w:rPr>
            </w:pPr>
            <w:r>
              <w:rPr>
                <w:rFonts w:ascii="Tahoma" w:hAnsi="Tahoma" w:cs="Tahoma"/>
                <w:sz w:val="18"/>
                <w:szCs w:val="18"/>
              </w:rPr>
              <w:t>4.15.</w:t>
            </w:r>
          </w:p>
        </w:tc>
        <w:tc>
          <w:tcPr>
            <w:tcW w:w="4820" w:type="dxa"/>
            <w:shd w:val="clear" w:color="auto" w:fill="auto"/>
            <w:noWrap/>
            <w:vAlign w:val="center"/>
          </w:tcPr>
          <w:p w14:paraId="5DDEC172" w14:textId="77777777" w:rsidR="004D3A9A" w:rsidRPr="003B2AE7" w:rsidRDefault="004D3A9A" w:rsidP="00B86BDE">
            <w:pPr>
              <w:rPr>
                <w:rFonts w:ascii="Tahoma" w:hAnsi="Tahoma" w:cs="Tahoma"/>
                <w:sz w:val="18"/>
                <w:szCs w:val="18"/>
              </w:rPr>
            </w:pPr>
            <w:r w:rsidRPr="003B2AE7">
              <w:rPr>
                <w:rFonts w:ascii="Tahoma" w:hAnsi="Tahoma" w:cs="Tahoma"/>
                <w:sz w:val="18"/>
                <w:szCs w:val="18"/>
              </w:rPr>
              <w:t>Такси и каршеринг</w:t>
            </w:r>
          </w:p>
        </w:tc>
        <w:tc>
          <w:tcPr>
            <w:tcW w:w="9440" w:type="dxa"/>
            <w:vMerge/>
            <w:shd w:val="clear" w:color="auto" w:fill="auto"/>
            <w:noWrap/>
            <w:vAlign w:val="center"/>
          </w:tcPr>
          <w:p w14:paraId="45B00EF3" w14:textId="77777777" w:rsidR="004D3A9A" w:rsidRPr="0062014C" w:rsidRDefault="004D3A9A" w:rsidP="00B86BDE">
            <w:pPr>
              <w:jc w:val="center"/>
              <w:rPr>
                <w:rFonts w:ascii="Tahoma" w:hAnsi="Tahoma" w:cs="Tahoma"/>
                <w:b/>
                <w:bCs/>
                <w:sz w:val="18"/>
                <w:szCs w:val="18"/>
              </w:rPr>
            </w:pPr>
          </w:p>
        </w:tc>
      </w:tr>
      <w:tr w:rsidR="004D3A9A" w:rsidRPr="0062014C" w14:paraId="2DE671D0" w14:textId="77777777" w:rsidTr="00B86BDE">
        <w:trPr>
          <w:trHeight w:val="318"/>
        </w:trPr>
        <w:tc>
          <w:tcPr>
            <w:tcW w:w="704" w:type="dxa"/>
            <w:shd w:val="clear" w:color="auto" w:fill="auto"/>
            <w:noWrap/>
            <w:vAlign w:val="center"/>
          </w:tcPr>
          <w:p w14:paraId="71800CF8" w14:textId="77777777" w:rsidR="004D3A9A" w:rsidRPr="0062014C" w:rsidRDefault="004D3A9A" w:rsidP="00B86BDE">
            <w:pPr>
              <w:jc w:val="center"/>
              <w:rPr>
                <w:rFonts w:ascii="Tahoma" w:hAnsi="Tahoma" w:cs="Tahoma"/>
                <w:sz w:val="18"/>
                <w:szCs w:val="18"/>
              </w:rPr>
            </w:pPr>
            <w:r>
              <w:rPr>
                <w:rFonts w:ascii="Tahoma" w:hAnsi="Tahoma" w:cs="Tahoma"/>
                <w:sz w:val="18"/>
                <w:szCs w:val="18"/>
              </w:rPr>
              <w:t>4.16</w:t>
            </w:r>
          </w:p>
        </w:tc>
        <w:tc>
          <w:tcPr>
            <w:tcW w:w="4820" w:type="dxa"/>
            <w:shd w:val="clear" w:color="auto" w:fill="auto"/>
            <w:noWrap/>
            <w:vAlign w:val="center"/>
          </w:tcPr>
          <w:p w14:paraId="587E882B" w14:textId="77777777" w:rsidR="004D3A9A" w:rsidRPr="003B2AE7" w:rsidRDefault="004D3A9A" w:rsidP="00B86BDE">
            <w:pPr>
              <w:rPr>
                <w:rFonts w:ascii="Tahoma" w:hAnsi="Tahoma" w:cs="Tahoma"/>
                <w:sz w:val="18"/>
                <w:szCs w:val="18"/>
              </w:rPr>
            </w:pPr>
            <w:r w:rsidRPr="003B2AE7">
              <w:rPr>
                <w:rFonts w:ascii="Tahoma" w:hAnsi="Tahoma" w:cs="Tahoma"/>
                <w:sz w:val="18"/>
                <w:szCs w:val="18"/>
              </w:rPr>
              <w:t>Товары для животных</w:t>
            </w:r>
          </w:p>
        </w:tc>
        <w:tc>
          <w:tcPr>
            <w:tcW w:w="9440" w:type="dxa"/>
            <w:vMerge/>
            <w:shd w:val="clear" w:color="auto" w:fill="auto"/>
            <w:noWrap/>
            <w:vAlign w:val="center"/>
          </w:tcPr>
          <w:p w14:paraId="093AC00D" w14:textId="77777777" w:rsidR="004D3A9A" w:rsidRPr="0062014C" w:rsidRDefault="004D3A9A" w:rsidP="00B86BDE">
            <w:pPr>
              <w:jc w:val="center"/>
              <w:rPr>
                <w:rFonts w:ascii="Tahoma" w:hAnsi="Tahoma" w:cs="Tahoma"/>
                <w:b/>
                <w:bCs/>
                <w:sz w:val="18"/>
                <w:szCs w:val="18"/>
              </w:rPr>
            </w:pPr>
          </w:p>
        </w:tc>
      </w:tr>
      <w:tr w:rsidR="004D3A9A" w:rsidRPr="0062014C" w14:paraId="77CEA99A" w14:textId="77777777" w:rsidTr="00B86BDE">
        <w:trPr>
          <w:trHeight w:val="318"/>
        </w:trPr>
        <w:tc>
          <w:tcPr>
            <w:tcW w:w="704" w:type="dxa"/>
            <w:shd w:val="clear" w:color="auto" w:fill="auto"/>
            <w:noWrap/>
            <w:vAlign w:val="center"/>
          </w:tcPr>
          <w:p w14:paraId="7CA91026" w14:textId="77777777" w:rsidR="004D3A9A" w:rsidRDefault="004D3A9A" w:rsidP="00B86BDE">
            <w:pPr>
              <w:jc w:val="center"/>
              <w:rPr>
                <w:rFonts w:ascii="Tahoma" w:hAnsi="Tahoma" w:cs="Tahoma"/>
                <w:sz w:val="18"/>
                <w:szCs w:val="18"/>
              </w:rPr>
            </w:pPr>
            <w:r>
              <w:rPr>
                <w:rFonts w:ascii="Tahoma" w:hAnsi="Tahoma" w:cs="Tahoma"/>
                <w:sz w:val="18"/>
                <w:szCs w:val="18"/>
              </w:rPr>
              <w:t>4.17.</w:t>
            </w:r>
          </w:p>
        </w:tc>
        <w:tc>
          <w:tcPr>
            <w:tcW w:w="4820" w:type="dxa"/>
            <w:shd w:val="clear" w:color="auto" w:fill="auto"/>
            <w:noWrap/>
            <w:vAlign w:val="center"/>
          </w:tcPr>
          <w:p w14:paraId="7CDD8EF7" w14:textId="77777777" w:rsidR="004D3A9A" w:rsidRPr="003B2AE7" w:rsidRDefault="004D3A9A" w:rsidP="00B86BDE">
            <w:pPr>
              <w:rPr>
                <w:rFonts w:ascii="Tahoma" w:hAnsi="Tahoma" w:cs="Tahoma"/>
                <w:sz w:val="18"/>
                <w:szCs w:val="18"/>
              </w:rPr>
            </w:pPr>
            <w:r w:rsidRPr="003B2AE7">
              <w:rPr>
                <w:rFonts w:ascii="Tahoma" w:hAnsi="Tahoma" w:cs="Tahoma"/>
                <w:sz w:val="18"/>
                <w:szCs w:val="18"/>
              </w:rPr>
              <w:t>Турагенства</w:t>
            </w:r>
          </w:p>
        </w:tc>
        <w:tc>
          <w:tcPr>
            <w:tcW w:w="9440" w:type="dxa"/>
            <w:vMerge/>
            <w:shd w:val="clear" w:color="auto" w:fill="auto"/>
            <w:noWrap/>
            <w:vAlign w:val="center"/>
          </w:tcPr>
          <w:p w14:paraId="5AC2A206" w14:textId="77777777" w:rsidR="004D3A9A" w:rsidRPr="0062014C" w:rsidRDefault="004D3A9A" w:rsidP="00B86BDE">
            <w:pPr>
              <w:jc w:val="center"/>
              <w:rPr>
                <w:rFonts w:ascii="Tahoma" w:hAnsi="Tahoma" w:cs="Tahoma"/>
                <w:b/>
                <w:bCs/>
                <w:sz w:val="18"/>
                <w:szCs w:val="18"/>
              </w:rPr>
            </w:pPr>
          </w:p>
        </w:tc>
      </w:tr>
      <w:tr w:rsidR="004D3A9A" w:rsidRPr="0062014C" w14:paraId="0A53E051" w14:textId="77777777" w:rsidTr="00B86BDE">
        <w:trPr>
          <w:trHeight w:val="318"/>
        </w:trPr>
        <w:tc>
          <w:tcPr>
            <w:tcW w:w="704" w:type="dxa"/>
            <w:shd w:val="clear" w:color="auto" w:fill="auto"/>
            <w:noWrap/>
            <w:vAlign w:val="center"/>
          </w:tcPr>
          <w:p w14:paraId="4E4D6897" w14:textId="77777777" w:rsidR="004D3A9A" w:rsidRDefault="004D3A9A" w:rsidP="00B86BDE">
            <w:pPr>
              <w:jc w:val="center"/>
              <w:rPr>
                <w:rFonts w:ascii="Tahoma" w:hAnsi="Tahoma" w:cs="Tahoma"/>
                <w:sz w:val="18"/>
                <w:szCs w:val="18"/>
              </w:rPr>
            </w:pPr>
            <w:r>
              <w:rPr>
                <w:rFonts w:ascii="Tahoma" w:hAnsi="Tahoma" w:cs="Tahoma"/>
                <w:sz w:val="18"/>
                <w:szCs w:val="18"/>
              </w:rPr>
              <w:t>4.18.</w:t>
            </w:r>
          </w:p>
        </w:tc>
        <w:tc>
          <w:tcPr>
            <w:tcW w:w="4820" w:type="dxa"/>
            <w:shd w:val="clear" w:color="auto" w:fill="auto"/>
            <w:noWrap/>
            <w:vAlign w:val="center"/>
          </w:tcPr>
          <w:p w14:paraId="0AB23536" w14:textId="77777777" w:rsidR="004D3A9A" w:rsidRPr="003B2AE7" w:rsidRDefault="004D3A9A" w:rsidP="00B86BDE">
            <w:pPr>
              <w:rPr>
                <w:rFonts w:ascii="Tahoma" w:hAnsi="Tahoma" w:cs="Tahoma"/>
                <w:sz w:val="18"/>
                <w:szCs w:val="18"/>
              </w:rPr>
            </w:pPr>
            <w:r w:rsidRPr="003B2AE7">
              <w:rPr>
                <w:rFonts w:ascii="Tahoma" w:hAnsi="Tahoma" w:cs="Tahoma"/>
                <w:sz w:val="18"/>
                <w:szCs w:val="18"/>
              </w:rPr>
              <w:t>Фитнес и спортивные товары</w:t>
            </w:r>
          </w:p>
        </w:tc>
        <w:tc>
          <w:tcPr>
            <w:tcW w:w="9440" w:type="dxa"/>
            <w:vMerge/>
            <w:shd w:val="clear" w:color="auto" w:fill="auto"/>
            <w:noWrap/>
            <w:vAlign w:val="center"/>
          </w:tcPr>
          <w:p w14:paraId="71B00F9D" w14:textId="77777777" w:rsidR="004D3A9A" w:rsidRPr="0062014C" w:rsidRDefault="004D3A9A" w:rsidP="00B86BDE">
            <w:pPr>
              <w:jc w:val="center"/>
              <w:rPr>
                <w:rFonts w:ascii="Tahoma" w:hAnsi="Tahoma" w:cs="Tahoma"/>
                <w:b/>
                <w:bCs/>
                <w:sz w:val="18"/>
                <w:szCs w:val="18"/>
              </w:rPr>
            </w:pPr>
          </w:p>
        </w:tc>
      </w:tr>
      <w:tr w:rsidR="004D3A9A" w:rsidRPr="0062014C" w14:paraId="049B6008" w14:textId="77777777" w:rsidTr="00B86BDE">
        <w:trPr>
          <w:trHeight w:val="318"/>
        </w:trPr>
        <w:tc>
          <w:tcPr>
            <w:tcW w:w="704" w:type="dxa"/>
            <w:shd w:val="clear" w:color="auto" w:fill="auto"/>
            <w:noWrap/>
            <w:vAlign w:val="center"/>
          </w:tcPr>
          <w:p w14:paraId="4ED134A7" w14:textId="77777777" w:rsidR="004D3A9A" w:rsidRDefault="004D3A9A" w:rsidP="00B86BDE">
            <w:pPr>
              <w:rPr>
                <w:rFonts w:ascii="Tahoma" w:hAnsi="Tahoma" w:cs="Tahoma"/>
                <w:sz w:val="18"/>
                <w:szCs w:val="18"/>
              </w:rPr>
            </w:pPr>
            <w:r>
              <w:rPr>
                <w:rFonts w:ascii="Tahoma" w:hAnsi="Tahoma" w:cs="Tahoma"/>
                <w:sz w:val="18"/>
                <w:szCs w:val="18"/>
              </w:rPr>
              <w:t>4.19.</w:t>
            </w:r>
          </w:p>
        </w:tc>
        <w:tc>
          <w:tcPr>
            <w:tcW w:w="4820" w:type="dxa"/>
            <w:shd w:val="clear" w:color="auto" w:fill="auto"/>
            <w:noWrap/>
            <w:vAlign w:val="center"/>
          </w:tcPr>
          <w:p w14:paraId="4ADDD178" w14:textId="77777777" w:rsidR="004D3A9A" w:rsidRPr="003B2AE7" w:rsidRDefault="004D3A9A" w:rsidP="00B86BDE">
            <w:pPr>
              <w:rPr>
                <w:rFonts w:ascii="Tahoma" w:hAnsi="Tahoma" w:cs="Tahoma"/>
                <w:sz w:val="18"/>
                <w:szCs w:val="18"/>
              </w:rPr>
            </w:pPr>
            <w:r w:rsidRPr="003B2AE7">
              <w:rPr>
                <w:rFonts w:ascii="Tahoma" w:hAnsi="Tahoma" w:cs="Tahoma"/>
                <w:sz w:val="18"/>
                <w:szCs w:val="18"/>
              </w:rPr>
              <w:t>Цветы</w:t>
            </w:r>
          </w:p>
        </w:tc>
        <w:tc>
          <w:tcPr>
            <w:tcW w:w="9440" w:type="dxa"/>
            <w:vMerge/>
            <w:shd w:val="clear" w:color="auto" w:fill="auto"/>
            <w:noWrap/>
            <w:vAlign w:val="center"/>
          </w:tcPr>
          <w:p w14:paraId="3AB9CA87" w14:textId="77777777" w:rsidR="004D3A9A" w:rsidRPr="0062014C" w:rsidRDefault="004D3A9A" w:rsidP="00B86BDE">
            <w:pPr>
              <w:jc w:val="center"/>
              <w:rPr>
                <w:rFonts w:ascii="Tahoma" w:hAnsi="Tahoma" w:cs="Tahoma"/>
                <w:b/>
                <w:bCs/>
                <w:sz w:val="18"/>
                <w:szCs w:val="18"/>
              </w:rPr>
            </w:pPr>
          </w:p>
        </w:tc>
      </w:tr>
      <w:tr w:rsidR="004D3A9A" w:rsidRPr="0062014C" w14:paraId="07B4B3BE" w14:textId="77777777" w:rsidTr="00B86BDE">
        <w:trPr>
          <w:trHeight w:val="318"/>
        </w:trPr>
        <w:tc>
          <w:tcPr>
            <w:tcW w:w="704" w:type="dxa"/>
            <w:shd w:val="clear" w:color="auto" w:fill="auto"/>
            <w:noWrap/>
            <w:vAlign w:val="center"/>
          </w:tcPr>
          <w:p w14:paraId="57BFD537" w14:textId="77777777" w:rsidR="004D3A9A" w:rsidRDefault="004D3A9A" w:rsidP="00B86BDE">
            <w:pPr>
              <w:jc w:val="center"/>
              <w:rPr>
                <w:rFonts w:ascii="Tahoma" w:hAnsi="Tahoma" w:cs="Tahoma"/>
                <w:sz w:val="18"/>
                <w:szCs w:val="18"/>
              </w:rPr>
            </w:pPr>
            <w:r>
              <w:rPr>
                <w:rFonts w:ascii="Tahoma" w:hAnsi="Tahoma" w:cs="Tahoma"/>
                <w:sz w:val="18"/>
                <w:szCs w:val="18"/>
              </w:rPr>
              <w:t>4.20.</w:t>
            </w:r>
          </w:p>
        </w:tc>
        <w:tc>
          <w:tcPr>
            <w:tcW w:w="4820" w:type="dxa"/>
            <w:shd w:val="clear" w:color="auto" w:fill="auto"/>
            <w:noWrap/>
            <w:vAlign w:val="center"/>
          </w:tcPr>
          <w:p w14:paraId="756395AA" w14:textId="77777777" w:rsidR="004D3A9A" w:rsidRPr="003B2AE7" w:rsidRDefault="004D3A9A" w:rsidP="00B86BDE">
            <w:pPr>
              <w:rPr>
                <w:rFonts w:ascii="Tahoma" w:hAnsi="Tahoma" w:cs="Tahoma"/>
                <w:sz w:val="18"/>
                <w:szCs w:val="18"/>
              </w:rPr>
            </w:pPr>
            <w:r w:rsidRPr="003B2AE7">
              <w:rPr>
                <w:rFonts w:ascii="Tahoma" w:hAnsi="Tahoma" w:cs="Tahoma"/>
                <w:sz w:val="18"/>
                <w:szCs w:val="18"/>
              </w:rPr>
              <w:t>Шоппинг</w:t>
            </w:r>
          </w:p>
        </w:tc>
        <w:tc>
          <w:tcPr>
            <w:tcW w:w="9440" w:type="dxa"/>
            <w:vMerge/>
            <w:shd w:val="clear" w:color="auto" w:fill="auto"/>
            <w:noWrap/>
            <w:vAlign w:val="center"/>
          </w:tcPr>
          <w:p w14:paraId="0871902D" w14:textId="77777777" w:rsidR="004D3A9A" w:rsidRPr="0062014C" w:rsidRDefault="004D3A9A" w:rsidP="00B86BDE">
            <w:pPr>
              <w:jc w:val="center"/>
              <w:rPr>
                <w:rFonts w:ascii="Tahoma" w:hAnsi="Tahoma" w:cs="Tahoma"/>
                <w:b/>
                <w:bCs/>
                <w:sz w:val="18"/>
                <w:szCs w:val="18"/>
              </w:rPr>
            </w:pPr>
          </w:p>
        </w:tc>
      </w:tr>
      <w:tr w:rsidR="004D3A9A" w:rsidRPr="0062014C" w14:paraId="32A44797" w14:textId="77777777" w:rsidTr="00B86BDE">
        <w:trPr>
          <w:trHeight w:val="318"/>
        </w:trPr>
        <w:tc>
          <w:tcPr>
            <w:tcW w:w="704" w:type="dxa"/>
            <w:shd w:val="clear" w:color="auto" w:fill="auto"/>
            <w:noWrap/>
            <w:vAlign w:val="center"/>
          </w:tcPr>
          <w:p w14:paraId="3A6025A3" w14:textId="77777777" w:rsidR="004D3A9A" w:rsidRDefault="004D3A9A" w:rsidP="00B86BDE">
            <w:pPr>
              <w:jc w:val="center"/>
              <w:rPr>
                <w:rFonts w:ascii="Tahoma" w:hAnsi="Tahoma" w:cs="Tahoma"/>
                <w:sz w:val="18"/>
                <w:szCs w:val="18"/>
              </w:rPr>
            </w:pPr>
            <w:r>
              <w:rPr>
                <w:rFonts w:ascii="Tahoma" w:hAnsi="Tahoma" w:cs="Tahoma"/>
                <w:sz w:val="18"/>
                <w:szCs w:val="18"/>
              </w:rPr>
              <w:t>4.21.</w:t>
            </w:r>
          </w:p>
        </w:tc>
        <w:tc>
          <w:tcPr>
            <w:tcW w:w="4820" w:type="dxa"/>
            <w:shd w:val="clear" w:color="auto" w:fill="auto"/>
            <w:noWrap/>
            <w:vAlign w:val="center"/>
          </w:tcPr>
          <w:p w14:paraId="1590BF1A" w14:textId="77777777" w:rsidR="004D3A9A" w:rsidRPr="003B2AE7" w:rsidRDefault="004D3A9A" w:rsidP="00B86BDE">
            <w:pPr>
              <w:rPr>
                <w:rFonts w:ascii="Tahoma" w:hAnsi="Tahoma" w:cs="Tahoma"/>
                <w:iCs/>
                <w:sz w:val="18"/>
                <w:szCs w:val="18"/>
              </w:rPr>
            </w:pPr>
            <w:r w:rsidRPr="003B2AE7">
              <w:rPr>
                <w:rFonts w:ascii="Tahoma" w:hAnsi="Tahoma" w:cs="Tahoma"/>
                <w:iCs/>
                <w:sz w:val="18"/>
                <w:szCs w:val="18"/>
              </w:rPr>
              <w:t>Все включено</w:t>
            </w:r>
          </w:p>
        </w:tc>
        <w:tc>
          <w:tcPr>
            <w:tcW w:w="9440" w:type="dxa"/>
            <w:shd w:val="clear" w:color="auto" w:fill="auto"/>
            <w:noWrap/>
            <w:vAlign w:val="center"/>
          </w:tcPr>
          <w:p w14:paraId="6CFFF699" w14:textId="77777777" w:rsidR="004D3A9A" w:rsidRPr="0062014C" w:rsidRDefault="004D3A9A" w:rsidP="00B86BDE">
            <w:pPr>
              <w:jc w:val="center"/>
              <w:rPr>
                <w:rFonts w:ascii="Tahoma" w:hAnsi="Tahoma" w:cs="Tahoma"/>
                <w:b/>
                <w:bCs/>
                <w:sz w:val="18"/>
                <w:szCs w:val="18"/>
              </w:rPr>
            </w:pPr>
            <w:r w:rsidRPr="0062014C">
              <w:rPr>
                <w:rFonts w:ascii="Tahoma" w:hAnsi="Tahoma" w:cs="Tahoma"/>
                <w:b/>
                <w:bCs/>
                <w:sz w:val="18"/>
                <w:szCs w:val="18"/>
              </w:rPr>
              <w:t>1,5% от каждых достигнутых 100 рублей Транзакции</w:t>
            </w:r>
            <w:r w:rsidRPr="0062014C">
              <w:rPr>
                <w:rFonts w:ascii="Tahoma" w:hAnsi="Tahoma" w:cs="Tahoma"/>
                <w:b/>
                <w:bCs/>
                <w:sz w:val="18"/>
                <w:szCs w:val="18"/>
                <w:vertAlign w:val="superscript"/>
              </w:rPr>
              <w:t>7</w:t>
            </w:r>
            <w:r w:rsidRPr="0062014C">
              <w:rPr>
                <w:rFonts w:ascii="Tahoma" w:hAnsi="Tahoma" w:cs="Tahoma"/>
                <w:b/>
                <w:bCs/>
                <w:sz w:val="18"/>
                <w:szCs w:val="18"/>
              </w:rPr>
              <w:t xml:space="preserve"> (в выбранной категории)</w:t>
            </w:r>
          </w:p>
        </w:tc>
      </w:tr>
      <w:tr w:rsidR="004D3A9A" w:rsidRPr="0062014C" w14:paraId="58B14055" w14:textId="77777777" w:rsidTr="00B86BDE">
        <w:trPr>
          <w:trHeight w:val="277"/>
        </w:trPr>
        <w:tc>
          <w:tcPr>
            <w:tcW w:w="704" w:type="dxa"/>
            <w:shd w:val="clear" w:color="auto" w:fill="D9D9D9" w:themeFill="background1" w:themeFillShade="D9"/>
            <w:noWrap/>
            <w:vAlign w:val="center"/>
            <w:hideMark/>
          </w:tcPr>
          <w:p w14:paraId="635B3702" w14:textId="77777777" w:rsidR="004D3A9A" w:rsidRPr="00BC7920" w:rsidRDefault="004D3A9A" w:rsidP="00B86BDE">
            <w:pPr>
              <w:jc w:val="center"/>
              <w:rPr>
                <w:rFonts w:ascii="Tahoma" w:hAnsi="Tahoma" w:cs="Tahoma"/>
                <w:b/>
                <w:bCs/>
                <w:sz w:val="18"/>
                <w:szCs w:val="18"/>
              </w:rPr>
            </w:pPr>
            <w:r w:rsidRPr="00BC7920">
              <w:rPr>
                <w:rFonts w:ascii="Tahoma" w:hAnsi="Tahoma" w:cs="Tahoma"/>
                <w:b/>
                <w:bCs/>
                <w:sz w:val="18"/>
                <w:szCs w:val="18"/>
              </w:rPr>
              <w:t>5.</w:t>
            </w:r>
          </w:p>
        </w:tc>
        <w:tc>
          <w:tcPr>
            <w:tcW w:w="4820" w:type="dxa"/>
            <w:shd w:val="clear" w:color="auto" w:fill="D9D9D9" w:themeFill="background1" w:themeFillShade="D9"/>
            <w:vAlign w:val="center"/>
            <w:hideMark/>
          </w:tcPr>
          <w:p w14:paraId="3D5A28AF" w14:textId="77777777" w:rsidR="004D3A9A" w:rsidRPr="00BC7920" w:rsidRDefault="004D3A9A" w:rsidP="00B86BDE">
            <w:pPr>
              <w:rPr>
                <w:rFonts w:ascii="Tahoma" w:hAnsi="Tahoma" w:cs="Tahoma"/>
                <w:b/>
                <w:bCs/>
                <w:sz w:val="18"/>
                <w:szCs w:val="18"/>
              </w:rPr>
            </w:pPr>
            <w:r w:rsidRPr="00BC7920">
              <w:rPr>
                <w:rFonts w:ascii="Tahoma" w:hAnsi="Tahoma" w:cs="Tahoma"/>
                <w:b/>
                <w:bCs/>
                <w:sz w:val="18"/>
                <w:szCs w:val="18"/>
              </w:rPr>
              <w:t>Перечень кодов МСС по категориям</w:t>
            </w:r>
          </w:p>
        </w:tc>
        <w:tc>
          <w:tcPr>
            <w:tcW w:w="9440" w:type="dxa"/>
            <w:shd w:val="clear" w:color="auto" w:fill="D9D9D9" w:themeFill="background1" w:themeFillShade="D9"/>
            <w:noWrap/>
            <w:vAlign w:val="center"/>
            <w:hideMark/>
          </w:tcPr>
          <w:p w14:paraId="46D79D10" w14:textId="77777777" w:rsidR="004D3A9A" w:rsidRPr="00BC7920" w:rsidRDefault="004D3A9A" w:rsidP="00B86BDE">
            <w:pPr>
              <w:jc w:val="center"/>
              <w:rPr>
                <w:rFonts w:ascii="Tahoma" w:hAnsi="Tahoma" w:cs="Tahoma"/>
                <w:b/>
                <w:bCs/>
                <w:sz w:val="18"/>
                <w:szCs w:val="18"/>
              </w:rPr>
            </w:pPr>
            <w:r w:rsidRPr="00BC7920">
              <w:rPr>
                <w:rFonts w:ascii="Tahoma" w:hAnsi="Tahoma" w:cs="Tahoma"/>
                <w:b/>
                <w:bCs/>
                <w:sz w:val="18"/>
                <w:szCs w:val="18"/>
              </w:rPr>
              <w:t> </w:t>
            </w:r>
          </w:p>
        </w:tc>
      </w:tr>
      <w:tr w:rsidR="004D3A9A" w:rsidRPr="0062014C" w14:paraId="0DEE6E16" w14:textId="77777777" w:rsidTr="00B86BDE">
        <w:trPr>
          <w:trHeight w:val="313"/>
        </w:trPr>
        <w:tc>
          <w:tcPr>
            <w:tcW w:w="704" w:type="dxa"/>
            <w:shd w:val="clear" w:color="auto" w:fill="auto"/>
            <w:noWrap/>
            <w:vAlign w:val="center"/>
            <w:hideMark/>
          </w:tcPr>
          <w:p w14:paraId="22FDEEB2" w14:textId="77777777" w:rsidR="004D3A9A" w:rsidRPr="0062014C" w:rsidRDefault="004D3A9A" w:rsidP="00B86BDE">
            <w:pPr>
              <w:jc w:val="center"/>
              <w:rPr>
                <w:rFonts w:ascii="Tahoma" w:hAnsi="Tahoma" w:cs="Tahoma"/>
                <w:sz w:val="18"/>
                <w:szCs w:val="18"/>
              </w:rPr>
            </w:pPr>
            <w:r w:rsidRPr="0062014C">
              <w:rPr>
                <w:rFonts w:ascii="Tahoma" w:hAnsi="Tahoma" w:cs="Tahoma"/>
                <w:sz w:val="18"/>
                <w:szCs w:val="18"/>
              </w:rPr>
              <w:t>5.1.</w:t>
            </w:r>
          </w:p>
        </w:tc>
        <w:tc>
          <w:tcPr>
            <w:tcW w:w="4820" w:type="dxa"/>
            <w:shd w:val="clear" w:color="auto" w:fill="auto"/>
            <w:vAlign w:val="center"/>
            <w:hideMark/>
          </w:tcPr>
          <w:p w14:paraId="02BAF923" w14:textId="77777777" w:rsidR="004D3A9A" w:rsidRPr="008A329B" w:rsidRDefault="004D3A9A" w:rsidP="00B86BDE">
            <w:pPr>
              <w:rPr>
                <w:rFonts w:ascii="Tahoma" w:hAnsi="Tahoma" w:cs="Tahoma"/>
                <w:b/>
                <w:bCs/>
                <w:sz w:val="18"/>
                <w:szCs w:val="18"/>
              </w:rPr>
            </w:pPr>
            <w:r w:rsidRPr="008A329B">
              <w:rPr>
                <w:rFonts w:ascii="Tahoma" w:hAnsi="Tahoma" w:cs="Tahoma"/>
                <w:b/>
                <w:bCs/>
                <w:sz w:val="18"/>
                <w:szCs w:val="18"/>
              </w:rPr>
              <w:t>Авиабилеты</w:t>
            </w:r>
          </w:p>
        </w:tc>
        <w:tc>
          <w:tcPr>
            <w:tcW w:w="9440" w:type="dxa"/>
            <w:shd w:val="clear" w:color="auto" w:fill="auto"/>
            <w:noWrap/>
            <w:vAlign w:val="center"/>
            <w:hideMark/>
          </w:tcPr>
          <w:p w14:paraId="59F4585B" w14:textId="77777777" w:rsidR="004D3A9A" w:rsidRDefault="004D3A9A" w:rsidP="00B86BDE">
            <w:pPr>
              <w:jc w:val="center"/>
              <w:rPr>
                <w:rFonts w:ascii="Tahoma" w:hAnsi="Tahoma" w:cs="Tahoma"/>
                <w:sz w:val="18"/>
                <w:szCs w:val="18"/>
              </w:rPr>
            </w:pPr>
            <w:r>
              <w:rPr>
                <w:rFonts w:ascii="Tahoma" w:hAnsi="Tahoma" w:cs="Tahoma"/>
                <w:sz w:val="18"/>
                <w:szCs w:val="18"/>
              </w:rPr>
              <w:t>4511, 4582, 3000-3301</w:t>
            </w:r>
          </w:p>
        </w:tc>
      </w:tr>
      <w:tr w:rsidR="004D3A9A" w:rsidRPr="0062014C" w14:paraId="2A21E825" w14:textId="77777777" w:rsidTr="00B86BDE">
        <w:trPr>
          <w:trHeight w:val="573"/>
        </w:trPr>
        <w:tc>
          <w:tcPr>
            <w:tcW w:w="704" w:type="dxa"/>
            <w:shd w:val="clear" w:color="auto" w:fill="auto"/>
            <w:noWrap/>
            <w:vAlign w:val="center"/>
            <w:hideMark/>
          </w:tcPr>
          <w:p w14:paraId="0F01F000" w14:textId="77777777" w:rsidR="004D3A9A" w:rsidRPr="0062014C" w:rsidRDefault="004D3A9A" w:rsidP="00B86BDE">
            <w:pPr>
              <w:jc w:val="center"/>
              <w:rPr>
                <w:rFonts w:ascii="Tahoma" w:hAnsi="Tahoma" w:cs="Tahoma"/>
                <w:sz w:val="18"/>
                <w:szCs w:val="18"/>
              </w:rPr>
            </w:pPr>
            <w:r w:rsidRPr="0062014C">
              <w:rPr>
                <w:rFonts w:ascii="Tahoma" w:hAnsi="Tahoma" w:cs="Tahoma"/>
                <w:sz w:val="18"/>
                <w:szCs w:val="18"/>
              </w:rPr>
              <w:t>5.2.</w:t>
            </w:r>
          </w:p>
        </w:tc>
        <w:tc>
          <w:tcPr>
            <w:tcW w:w="4820" w:type="dxa"/>
            <w:shd w:val="clear" w:color="auto" w:fill="auto"/>
            <w:vAlign w:val="center"/>
            <w:hideMark/>
          </w:tcPr>
          <w:p w14:paraId="5860F7B5" w14:textId="77777777" w:rsidR="004D3A9A" w:rsidRPr="008A329B" w:rsidRDefault="004D3A9A" w:rsidP="00B86BDE">
            <w:pPr>
              <w:rPr>
                <w:rFonts w:ascii="Tahoma" w:hAnsi="Tahoma" w:cs="Tahoma"/>
                <w:sz w:val="18"/>
                <w:szCs w:val="18"/>
              </w:rPr>
            </w:pPr>
            <w:r w:rsidRPr="008A329B">
              <w:rPr>
                <w:rFonts w:ascii="Tahoma" w:hAnsi="Tahoma" w:cs="Tahoma"/>
                <w:b/>
                <w:bCs/>
                <w:sz w:val="18"/>
                <w:szCs w:val="18"/>
              </w:rPr>
              <w:t>Автоуслуги и автозапчасти: а</w:t>
            </w:r>
            <w:r w:rsidRPr="008A329B">
              <w:rPr>
                <w:rFonts w:ascii="Tahoma" w:hAnsi="Tahoma" w:cs="Tahoma"/>
                <w:sz w:val="18"/>
                <w:szCs w:val="18"/>
              </w:rPr>
              <w:t>втомобили, автозапчасти, шины, автоуслуги (сервис и ремонт)</w:t>
            </w:r>
          </w:p>
        </w:tc>
        <w:tc>
          <w:tcPr>
            <w:tcW w:w="9440" w:type="dxa"/>
            <w:shd w:val="clear" w:color="auto" w:fill="auto"/>
            <w:noWrap/>
            <w:vAlign w:val="center"/>
            <w:hideMark/>
          </w:tcPr>
          <w:p w14:paraId="1B0BAE14" w14:textId="77777777" w:rsidR="004D3A9A" w:rsidRDefault="004D3A9A" w:rsidP="00B86BDE">
            <w:pPr>
              <w:jc w:val="center"/>
              <w:rPr>
                <w:rFonts w:ascii="Tahoma" w:hAnsi="Tahoma" w:cs="Tahoma"/>
                <w:sz w:val="18"/>
                <w:szCs w:val="18"/>
              </w:rPr>
            </w:pPr>
            <w:r>
              <w:rPr>
                <w:rFonts w:ascii="Tahoma" w:hAnsi="Tahoma" w:cs="Tahoma"/>
                <w:sz w:val="18"/>
                <w:szCs w:val="18"/>
              </w:rPr>
              <w:t>5511, 5521, 5531, 5532, 5533,5571, 7531, 7534, 7535, 7538, 7542, 7549</w:t>
            </w:r>
          </w:p>
        </w:tc>
      </w:tr>
      <w:tr w:rsidR="004D3A9A" w:rsidRPr="0062014C" w14:paraId="3C63E8BC" w14:textId="77777777" w:rsidTr="00B86BDE">
        <w:trPr>
          <w:trHeight w:val="383"/>
        </w:trPr>
        <w:tc>
          <w:tcPr>
            <w:tcW w:w="704" w:type="dxa"/>
            <w:shd w:val="clear" w:color="auto" w:fill="auto"/>
            <w:noWrap/>
            <w:vAlign w:val="center"/>
            <w:hideMark/>
          </w:tcPr>
          <w:p w14:paraId="71D393BA" w14:textId="77777777" w:rsidR="004D3A9A" w:rsidRPr="0062014C" w:rsidRDefault="004D3A9A" w:rsidP="00B86BDE">
            <w:pPr>
              <w:jc w:val="center"/>
              <w:rPr>
                <w:rFonts w:ascii="Tahoma" w:hAnsi="Tahoma" w:cs="Tahoma"/>
                <w:sz w:val="18"/>
                <w:szCs w:val="18"/>
              </w:rPr>
            </w:pPr>
            <w:r w:rsidRPr="0062014C">
              <w:rPr>
                <w:rFonts w:ascii="Tahoma" w:hAnsi="Tahoma" w:cs="Tahoma"/>
                <w:sz w:val="18"/>
                <w:szCs w:val="18"/>
              </w:rPr>
              <w:t>5.3.</w:t>
            </w:r>
          </w:p>
        </w:tc>
        <w:tc>
          <w:tcPr>
            <w:tcW w:w="4820" w:type="dxa"/>
            <w:shd w:val="clear" w:color="auto" w:fill="auto"/>
            <w:vAlign w:val="center"/>
            <w:hideMark/>
          </w:tcPr>
          <w:p w14:paraId="5CD740ED" w14:textId="77777777" w:rsidR="004D3A9A" w:rsidRPr="008A329B" w:rsidRDefault="004D3A9A" w:rsidP="00B86BDE">
            <w:pPr>
              <w:rPr>
                <w:rFonts w:ascii="Tahoma" w:hAnsi="Tahoma" w:cs="Tahoma"/>
                <w:sz w:val="18"/>
                <w:szCs w:val="18"/>
              </w:rPr>
            </w:pPr>
            <w:r w:rsidRPr="008A329B">
              <w:rPr>
                <w:rFonts w:ascii="Tahoma" w:hAnsi="Tahoma" w:cs="Tahoma"/>
                <w:b/>
                <w:bCs/>
                <w:sz w:val="18"/>
                <w:szCs w:val="18"/>
              </w:rPr>
              <w:t>АЗС:</w:t>
            </w:r>
            <w:r w:rsidRPr="008A329B">
              <w:rPr>
                <w:rFonts w:ascii="Tahoma" w:hAnsi="Tahoma" w:cs="Tahoma"/>
                <w:sz w:val="18"/>
                <w:szCs w:val="18"/>
              </w:rPr>
              <w:t xml:space="preserve"> АЗС и нефтепродукты</w:t>
            </w:r>
          </w:p>
        </w:tc>
        <w:tc>
          <w:tcPr>
            <w:tcW w:w="9440" w:type="dxa"/>
            <w:shd w:val="clear" w:color="auto" w:fill="auto"/>
            <w:vAlign w:val="center"/>
            <w:hideMark/>
          </w:tcPr>
          <w:p w14:paraId="48E2B5C3" w14:textId="77777777" w:rsidR="004D3A9A" w:rsidRDefault="004D3A9A" w:rsidP="00B86BDE">
            <w:pPr>
              <w:jc w:val="center"/>
              <w:rPr>
                <w:rFonts w:ascii="Tahoma" w:hAnsi="Tahoma" w:cs="Tahoma"/>
                <w:sz w:val="18"/>
                <w:szCs w:val="18"/>
              </w:rPr>
            </w:pPr>
            <w:r>
              <w:rPr>
                <w:rFonts w:ascii="Tahoma" w:hAnsi="Tahoma" w:cs="Tahoma"/>
                <w:sz w:val="18"/>
                <w:szCs w:val="18"/>
              </w:rPr>
              <w:t>5172, 5541, 5542, 5983</w:t>
            </w:r>
          </w:p>
        </w:tc>
      </w:tr>
      <w:tr w:rsidR="004D3A9A" w:rsidRPr="0062014C" w14:paraId="7B4B8870" w14:textId="77777777" w:rsidTr="00B86BDE">
        <w:trPr>
          <w:trHeight w:val="417"/>
        </w:trPr>
        <w:tc>
          <w:tcPr>
            <w:tcW w:w="704" w:type="dxa"/>
            <w:shd w:val="clear" w:color="auto" w:fill="auto"/>
            <w:noWrap/>
            <w:vAlign w:val="center"/>
            <w:hideMark/>
          </w:tcPr>
          <w:p w14:paraId="5FE4478A" w14:textId="77777777" w:rsidR="004D3A9A" w:rsidRPr="0062014C" w:rsidRDefault="004D3A9A" w:rsidP="00B86BDE">
            <w:pPr>
              <w:jc w:val="center"/>
              <w:rPr>
                <w:rFonts w:ascii="Tahoma" w:hAnsi="Tahoma" w:cs="Tahoma"/>
                <w:sz w:val="18"/>
                <w:szCs w:val="18"/>
              </w:rPr>
            </w:pPr>
            <w:r w:rsidRPr="0062014C">
              <w:rPr>
                <w:rFonts w:ascii="Tahoma" w:hAnsi="Tahoma" w:cs="Tahoma"/>
                <w:sz w:val="18"/>
                <w:szCs w:val="18"/>
              </w:rPr>
              <w:t>5.4.</w:t>
            </w:r>
          </w:p>
        </w:tc>
        <w:tc>
          <w:tcPr>
            <w:tcW w:w="4820" w:type="dxa"/>
            <w:shd w:val="clear" w:color="auto" w:fill="auto"/>
            <w:vAlign w:val="center"/>
            <w:hideMark/>
          </w:tcPr>
          <w:p w14:paraId="539971C4" w14:textId="77777777" w:rsidR="004D3A9A" w:rsidRPr="008A329B" w:rsidRDefault="004D3A9A" w:rsidP="00B86BDE">
            <w:pPr>
              <w:rPr>
                <w:rFonts w:ascii="Tahoma" w:hAnsi="Tahoma" w:cs="Tahoma"/>
                <w:sz w:val="18"/>
                <w:szCs w:val="18"/>
              </w:rPr>
            </w:pPr>
            <w:r w:rsidRPr="008A329B">
              <w:rPr>
                <w:rFonts w:ascii="Tahoma" w:hAnsi="Tahoma" w:cs="Tahoma"/>
                <w:b/>
                <w:bCs/>
                <w:sz w:val="18"/>
                <w:szCs w:val="18"/>
              </w:rPr>
              <w:t>Аптеки и оптики:</w:t>
            </w:r>
            <w:r w:rsidRPr="008A329B">
              <w:rPr>
                <w:rFonts w:ascii="Tahoma" w:hAnsi="Tahoma" w:cs="Tahoma"/>
                <w:sz w:val="18"/>
                <w:szCs w:val="18"/>
              </w:rPr>
              <w:t xml:space="preserve"> лекарства и мединские товары: ортопедические, оптические, слуховые</w:t>
            </w:r>
          </w:p>
        </w:tc>
        <w:tc>
          <w:tcPr>
            <w:tcW w:w="9440" w:type="dxa"/>
            <w:shd w:val="clear" w:color="auto" w:fill="auto"/>
            <w:noWrap/>
            <w:vAlign w:val="center"/>
            <w:hideMark/>
          </w:tcPr>
          <w:p w14:paraId="40AE56FA" w14:textId="77777777" w:rsidR="004D3A9A" w:rsidRDefault="004D3A9A" w:rsidP="00B86BDE">
            <w:pPr>
              <w:jc w:val="center"/>
              <w:rPr>
                <w:rFonts w:ascii="Tahoma" w:hAnsi="Tahoma" w:cs="Tahoma"/>
                <w:sz w:val="18"/>
                <w:szCs w:val="18"/>
              </w:rPr>
            </w:pPr>
            <w:r>
              <w:rPr>
                <w:rFonts w:ascii="Tahoma" w:hAnsi="Tahoma" w:cs="Tahoma"/>
                <w:sz w:val="18"/>
                <w:szCs w:val="18"/>
              </w:rPr>
              <w:t>5122, 5912, 5975, 5976, 8043, 8044</w:t>
            </w:r>
          </w:p>
        </w:tc>
      </w:tr>
      <w:tr w:rsidR="004D3A9A" w:rsidRPr="0062014C" w14:paraId="792A5BEE" w14:textId="77777777" w:rsidTr="00B86BDE">
        <w:trPr>
          <w:trHeight w:val="551"/>
        </w:trPr>
        <w:tc>
          <w:tcPr>
            <w:tcW w:w="704" w:type="dxa"/>
            <w:shd w:val="clear" w:color="auto" w:fill="auto"/>
            <w:noWrap/>
            <w:vAlign w:val="center"/>
            <w:hideMark/>
          </w:tcPr>
          <w:p w14:paraId="1BBE25CE" w14:textId="77777777" w:rsidR="004D3A9A" w:rsidRPr="0062014C" w:rsidRDefault="004D3A9A" w:rsidP="00B86BDE">
            <w:pPr>
              <w:jc w:val="center"/>
              <w:rPr>
                <w:rFonts w:ascii="Tahoma" w:hAnsi="Tahoma" w:cs="Tahoma"/>
                <w:sz w:val="18"/>
                <w:szCs w:val="18"/>
              </w:rPr>
            </w:pPr>
            <w:r w:rsidRPr="0062014C">
              <w:rPr>
                <w:rFonts w:ascii="Tahoma" w:hAnsi="Tahoma" w:cs="Tahoma"/>
                <w:sz w:val="18"/>
                <w:szCs w:val="18"/>
              </w:rPr>
              <w:t>5.5.</w:t>
            </w:r>
          </w:p>
        </w:tc>
        <w:tc>
          <w:tcPr>
            <w:tcW w:w="4820" w:type="dxa"/>
            <w:shd w:val="clear" w:color="auto" w:fill="auto"/>
            <w:vAlign w:val="center"/>
            <w:hideMark/>
          </w:tcPr>
          <w:p w14:paraId="68BCFFB7" w14:textId="77777777" w:rsidR="004D3A9A" w:rsidRPr="008A329B" w:rsidRDefault="004D3A9A" w:rsidP="00B86BDE">
            <w:pPr>
              <w:rPr>
                <w:rFonts w:ascii="Tahoma" w:hAnsi="Tahoma" w:cs="Tahoma"/>
                <w:sz w:val="18"/>
                <w:szCs w:val="18"/>
              </w:rPr>
            </w:pPr>
            <w:r w:rsidRPr="008A329B">
              <w:rPr>
                <w:rFonts w:ascii="Tahoma" w:hAnsi="Tahoma" w:cs="Tahoma"/>
                <w:b/>
                <w:bCs/>
                <w:sz w:val="18"/>
                <w:szCs w:val="18"/>
              </w:rPr>
              <w:t xml:space="preserve">Дом ремонт: </w:t>
            </w:r>
            <w:r w:rsidRPr="008A329B">
              <w:rPr>
                <w:rFonts w:ascii="Tahoma" w:hAnsi="Tahoma" w:cs="Tahoma"/>
                <w:sz w:val="18"/>
                <w:szCs w:val="18"/>
              </w:rPr>
              <w:t>мебель, товары для дома и ремонта, дачи и сада</w:t>
            </w:r>
          </w:p>
        </w:tc>
        <w:tc>
          <w:tcPr>
            <w:tcW w:w="9440" w:type="dxa"/>
            <w:shd w:val="clear" w:color="auto" w:fill="auto"/>
            <w:noWrap/>
            <w:hideMark/>
          </w:tcPr>
          <w:p w14:paraId="35AAEBF1" w14:textId="77777777" w:rsidR="004D3A9A" w:rsidRDefault="004D3A9A" w:rsidP="00B86BDE">
            <w:pPr>
              <w:jc w:val="center"/>
              <w:rPr>
                <w:rFonts w:ascii="Tahoma" w:hAnsi="Tahoma" w:cs="Tahoma"/>
                <w:sz w:val="18"/>
                <w:szCs w:val="18"/>
              </w:rPr>
            </w:pPr>
            <w:r>
              <w:rPr>
                <w:rFonts w:ascii="Tahoma" w:hAnsi="Tahoma" w:cs="Tahoma"/>
                <w:sz w:val="18"/>
                <w:szCs w:val="18"/>
              </w:rPr>
              <w:t>1520, 1711, 1731, 1740, 1750, 1761, 1771, 1799, 2791, 2842, 5021, 5039, 5046, 5051, 5065, 5072, 5074, 5085, 5198, 5200, 5211, 5231, 5251, 5261, 5415, 5712, 5713, 5714, 5718, 5719, 5722, 7622, 7623, 7629, 7641, 7692, 7699</w:t>
            </w:r>
          </w:p>
        </w:tc>
      </w:tr>
      <w:tr w:rsidR="004D3A9A" w:rsidRPr="0062014C" w14:paraId="5DA553A5" w14:textId="77777777" w:rsidTr="00B86BDE">
        <w:trPr>
          <w:trHeight w:val="526"/>
        </w:trPr>
        <w:tc>
          <w:tcPr>
            <w:tcW w:w="704" w:type="dxa"/>
            <w:shd w:val="clear" w:color="auto" w:fill="auto"/>
            <w:noWrap/>
            <w:vAlign w:val="center"/>
            <w:hideMark/>
          </w:tcPr>
          <w:p w14:paraId="6915C26D" w14:textId="77777777" w:rsidR="004D3A9A" w:rsidRPr="0062014C" w:rsidRDefault="004D3A9A" w:rsidP="00B86BDE">
            <w:pPr>
              <w:jc w:val="center"/>
              <w:rPr>
                <w:rFonts w:ascii="Tahoma" w:hAnsi="Tahoma" w:cs="Tahoma"/>
                <w:sz w:val="18"/>
                <w:szCs w:val="18"/>
              </w:rPr>
            </w:pPr>
            <w:r w:rsidRPr="0062014C">
              <w:rPr>
                <w:rFonts w:ascii="Tahoma" w:hAnsi="Tahoma" w:cs="Tahoma"/>
                <w:sz w:val="18"/>
                <w:szCs w:val="18"/>
              </w:rPr>
              <w:t>5.6.</w:t>
            </w:r>
          </w:p>
        </w:tc>
        <w:tc>
          <w:tcPr>
            <w:tcW w:w="4820" w:type="dxa"/>
            <w:shd w:val="clear" w:color="auto" w:fill="auto"/>
            <w:vAlign w:val="center"/>
            <w:hideMark/>
          </w:tcPr>
          <w:p w14:paraId="02D0D14D" w14:textId="77777777" w:rsidR="004D3A9A" w:rsidRPr="008A329B" w:rsidRDefault="004D3A9A" w:rsidP="00B86BDE">
            <w:pPr>
              <w:rPr>
                <w:rFonts w:ascii="Tahoma" w:hAnsi="Tahoma" w:cs="Tahoma"/>
                <w:b/>
                <w:bCs/>
                <w:sz w:val="18"/>
                <w:szCs w:val="18"/>
              </w:rPr>
            </w:pPr>
            <w:r w:rsidRPr="008A329B">
              <w:rPr>
                <w:rFonts w:ascii="Tahoma" w:hAnsi="Tahoma" w:cs="Tahoma"/>
                <w:b/>
                <w:bCs/>
                <w:sz w:val="18"/>
                <w:szCs w:val="18"/>
              </w:rPr>
              <w:t>ЖД билеты</w:t>
            </w:r>
          </w:p>
        </w:tc>
        <w:tc>
          <w:tcPr>
            <w:tcW w:w="9440" w:type="dxa"/>
            <w:shd w:val="clear" w:color="auto" w:fill="auto"/>
            <w:noWrap/>
            <w:hideMark/>
          </w:tcPr>
          <w:p w14:paraId="1FFA3A8F" w14:textId="77777777" w:rsidR="004D3A9A" w:rsidRDefault="004D3A9A" w:rsidP="00B86BDE">
            <w:pPr>
              <w:jc w:val="center"/>
              <w:rPr>
                <w:rFonts w:ascii="Tahoma" w:hAnsi="Tahoma" w:cs="Tahoma"/>
                <w:sz w:val="18"/>
                <w:szCs w:val="18"/>
              </w:rPr>
            </w:pPr>
            <w:r>
              <w:rPr>
                <w:rFonts w:ascii="Tahoma" w:hAnsi="Tahoma" w:cs="Tahoma"/>
                <w:sz w:val="18"/>
                <w:szCs w:val="18"/>
              </w:rPr>
              <w:t>4111, 4112, 4011</w:t>
            </w:r>
          </w:p>
        </w:tc>
      </w:tr>
      <w:tr w:rsidR="004D3A9A" w:rsidRPr="0062014C" w14:paraId="7EB2149A" w14:textId="77777777" w:rsidTr="00B86BDE">
        <w:trPr>
          <w:trHeight w:val="267"/>
        </w:trPr>
        <w:tc>
          <w:tcPr>
            <w:tcW w:w="704" w:type="dxa"/>
            <w:shd w:val="clear" w:color="auto" w:fill="auto"/>
            <w:noWrap/>
            <w:vAlign w:val="center"/>
            <w:hideMark/>
          </w:tcPr>
          <w:p w14:paraId="2A86CDAA" w14:textId="77777777" w:rsidR="004D3A9A" w:rsidRPr="0062014C" w:rsidRDefault="004D3A9A" w:rsidP="00B86BDE">
            <w:pPr>
              <w:jc w:val="center"/>
              <w:rPr>
                <w:rFonts w:ascii="Tahoma" w:hAnsi="Tahoma" w:cs="Tahoma"/>
                <w:sz w:val="18"/>
                <w:szCs w:val="18"/>
              </w:rPr>
            </w:pPr>
            <w:r w:rsidRPr="0062014C">
              <w:rPr>
                <w:rFonts w:ascii="Tahoma" w:hAnsi="Tahoma" w:cs="Tahoma"/>
                <w:sz w:val="18"/>
                <w:szCs w:val="18"/>
              </w:rPr>
              <w:t>5.7.</w:t>
            </w:r>
          </w:p>
        </w:tc>
        <w:tc>
          <w:tcPr>
            <w:tcW w:w="4820" w:type="dxa"/>
            <w:shd w:val="clear" w:color="auto" w:fill="auto"/>
            <w:vAlign w:val="center"/>
            <w:hideMark/>
          </w:tcPr>
          <w:p w14:paraId="108CBBBE" w14:textId="77777777" w:rsidR="004D3A9A" w:rsidRPr="008A329B" w:rsidRDefault="004D3A9A" w:rsidP="00B86BDE">
            <w:pPr>
              <w:rPr>
                <w:rFonts w:ascii="Tahoma" w:hAnsi="Tahoma" w:cs="Tahoma"/>
                <w:b/>
                <w:bCs/>
                <w:sz w:val="18"/>
                <w:szCs w:val="18"/>
              </w:rPr>
            </w:pPr>
            <w:r w:rsidRPr="008A329B">
              <w:rPr>
                <w:rFonts w:ascii="Tahoma" w:hAnsi="Tahoma" w:cs="Tahoma"/>
                <w:b/>
                <w:bCs/>
                <w:sz w:val="18"/>
                <w:szCs w:val="18"/>
              </w:rPr>
              <w:t>Кафе, рестораны, фастфуд</w:t>
            </w:r>
          </w:p>
        </w:tc>
        <w:tc>
          <w:tcPr>
            <w:tcW w:w="9440" w:type="dxa"/>
            <w:shd w:val="clear" w:color="auto" w:fill="auto"/>
            <w:noWrap/>
            <w:hideMark/>
          </w:tcPr>
          <w:p w14:paraId="020B185B" w14:textId="77777777" w:rsidR="004D3A9A" w:rsidRDefault="004D3A9A" w:rsidP="00B86BDE">
            <w:pPr>
              <w:jc w:val="center"/>
              <w:rPr>
                <w:rFonts w:ascii="Tahoma" w:hAnsi="Tahoma" w:cs="Tahoma"/>
                <w:sz w:val="18"/>
                <w:szCs w:val="18"/>
              </w:rPr>
            </w:pPr>
            <w:r>
              <w:rPr>
                <w:rFonts w:ascii="Tahoma" w:hAnsi="Tahoma" w:cs="Tahoma"/>
                <w:sz w:val="18"/>
                <w:szCs w:val="18"/>
              </w:rPr>
              <w:t>5811, 5812, 5813, 5814</w:t>
            </w:r>
          </w:p>
        </w:tc>
      </w:tr>
      <w:tr w:rsidR="004D3A9A" w:rsidRPr="0062014C" w14:paraId="78806CDD" w14:textId="77777777" w:rsidTr="00B86BDE">
        <w:trPr>
          <w:trHeight w:val="692"/>
        </w:trPr>
        <w:tc>
          <w:tcPr>
            <w:tcW w:w="704" w:type="dxa"/>
            <w:shd w:val="clear" w:color="auto" w:fill="auto"/>
            <w:noWrap/>
            <w:vAlign w:val="center"/>
          </w:tcPr>
          <w:p w14:paraId="10CD44F9" w14:textId="77777777" w:rsidR="004D3A9A" w:rsidRPr="0062014C" w:rsidRDefault="004D3A9A" w:rsidP="00B86BDE">
            <w:pPr>
              <w:jc w:val="center"/>
              <w:rPr>
                <w:rFonts w:ascii="Tahoma" w:hAnsi="Tahoma" w:cs="Tahoma"/>
                <w:sz w:val="18"/>
                <w:szCs w:val="18"/>
              </w:rPr>
            </w:pPr>
            <w:r>
              <w:rPr>
                <w:rFonts w:ascii="Tahoma" w:hAnsi="Tahoma" w:cs="Tahoma"/>
                <w:sz w:val="18"/>
                <w:szCs w:val="18"/>
              </w:rPr>
              <w:t>5.8.</w:t>
            </w:r>
          </w:p>
        </w:tc>
        <w:tc>
          <w:tcPr>
            <w:tcW w:w="4820" w:type="dxa"/>
            <w:shd w:val="clear" w:color="auto" w:fill="auto"/>
            <w:vAlign w:val="center"/>
          </w:tcPr>
          <w:p w14:paraId="2DDBB397" w14:textId="77777777" w:rsidR="004D3A9A" w:rsidRPr="008A329B" w:rsidRDefault="004D3A9A" w:rsidP="00B86BDE">
            <w:pPr>
              <w:rPr>
                <w:rFonts w:ascii="Tahoma" w:hAnsi="Tahoma" w:cs="Tahoma"/>
                <w:b/>
                <w:bCs/>
                <w:sz w:val="18"/>
                <w:szCs w:val="18"/>
              </w:rPr>
            </w:pPr>
            <w:r w:rsidRPr="008A329B">
              <w:rPr>
                <w:rFonts w:ascii="Tahoma" w:hAnsi="Tahoma" w:cs="Tahoma"/>
                <w:b/>
                <w:bCs/>
                <w:sz w:val="18"/>
                <w:szCs w:val="18"/>
              </w:rPr>
              <w:t xml:space="preserve">Кино и развлечения: </w:t>
            </w:r>
            <w:r w:rsidRPr="008A329B">
              <w:rPr>
                <w:rFonts w:ascii="Tahoma" w:hAnsi="Tahoma" w:cs="Tahoma"/>
                <w:sz w:val="18"/>
                <w:szCs w:val="18"/>
              </w:rPr>
              <w:t>Кино, выставки и достопримечательности, зоопарки, дельфинарии, парки аттракционов, цирки, музыкальные мероприятия</w:t>
            </w:r>
          </w:p>
        </w:tc>
        <w:tc>
          <w:tcPr>
            <w:tcW w:w="9440" w:type="dxa"/>
            <w:shd w:val="clear" w:color="auto" w:fill="auto"/>
            <w:noWrap/>
          </w:tcPr>
          <w:p w14:paraId="608564FF" w14:textId="77777777" w:rsidR="004D3A9A" w:rsidRDefault="004D3A9A" w:rsidP="00B86BDE">
            <w:pPr>
              <w:jc w:val="center"/>
              <w:rPr>
                <w:rFonts w:ascii="Tahoma" w:hAnsi="Tahoma" w:cs="Tahoma"/>
                <w:sz w:val="18"/>
                <w:szCs w:val="18"/>
              </w:rPr>
            </w:pPr>
            <w:r>
              <w:rPr>
                <w:rFonts w:ascii="Tahoma" w:hAnsi="Tahoma" w:cs="Tahoma"/>
                <w:sz w:val="18"/>
                <w:szCs w:val="18"/>
              </w:rPr>
              <w:t>7829, 7832, 7841, 7911, 7922, 7929, 7932, 7933, 7991, 7996, 7998, 7999</w:t>
            </w:r>
          </w:p>
        </w:tc>
      </w:tr>
      <w:tr w:rsidR="004D3A9A" w:rsidRPr="0062014C" w14:paraId="28C15948" w14:textId="77777777" w:rsidTr="00B86BDE">
        <w:trPr>
          <w:trHeight w:val="236"/>
        </w:trPr>
        <w:tc>
          <w:tcPr>
            <w:tcW w:w="704" w:type="dxa"/>
            <w:shd w:val="clear" w:color="auto" w:fill="auto"/>
            <w:noWrap/>
            <w:vAlign w:val="center"/>
          </w:tcPr>
          <w:p w14:paraId="71DD5F81" w14:textId="77777777" w:rsidR="004D3A9A" w:rsidRPr="0062014C" w:rsidRDefault="004D3A9A" w:rsidP="00B86BDE">
            <w:pPr>
              <w:jc w:val="center"/>
              <w:rPr>
                <w:rFonts w:ascii="Tahoma" w:hAnsi="Tahoma" w:cs="Tahoma"/>
                <w:sz w:val="18"/>
                <w:szCs w:val="18"/>
              </w:rPr>
            </w:pPr>
            <w:r>
              <w:rPr>
                <w:rFonts w:ascii="Tahoma" w:hAnsi="Tahoma" w:cs="Tahoma"/>
                <w:sz w:val="18"/>
                <w:szCs w:val="18"/>
              </w:rPr>
              <w:t>5.9.</w:t>
            </w:r>
          </w:p>
        </w:tc>
        <w:tc>
          <w:tcPr>
            <w:tcW w:w="4820" w:type="dxa"/>
            <w:shd w:val="clear" w:color="auto" w:fill="auto"/>
            <w:vAlign w:val="center"/>
          </w:tcPr>
          <w:p w14:paraId="54A5D691" w14:textId="77777777" w:rsidR="004D3A9A" w:rsidRPr="008A329B" w:rsidRDefault="004D3A9A" w:rsidP="00B86BDE">
            <w:pPr>
              <w:rPr>
                <w:rFonts w:ascii="Tahoma" w:hAnsi="Tahoma" w:cs="Tahoma"/>
                <w:b/>
                <w:bCs/>
                <w:sz w:val="18"/>
                <w:szCs w:val="18"/>
              </w:rPr>
            </w:pPr>
            <w:r w:rsidRPr="008A329B">
              <w:rPr>
                <w:rFonts w:ascii="Tahoma" w:hAnsi="Tahoma" w:cs="Tahoma"/>
                <w:b/>
                <w:bCs/>
                <w:sz w:val="18"/>
                <w:szCs w:val="18"/>
              </w:rPr>
              <w:t>Книги и канцтовары</w:t>
            </w:r>
          </w:p>
        </w:tc>
        <w:tc>
          <w:tcPr>
            <w:tcW w:w="9440" w:type="dxa"/>
            <w:shd w:val="clear" w:color="auto" w:fill="auto"/>
            <w:noWrap/>
          </w:tcPr>
          <w:p w14:paraId="79255882" w14:textId="77777777" w:rsidR="004D3A9A" w:rsidRDefault="004D3A9A" w:rsidP="00B86BDE">
            <w:pPr>
              <w:jc w:val="center"/>
              <w:rPr>
                <w:rFonts w:ascii="Tahoma" w:hAnsi="Tahoma" w:cs="Tahoma"/>
                <w:sz w:val="18"/>
                <w:szCs w:val="18"/>
              </w:rPr>
            </w:pPr>
            <w:r>
              <w:rPr>
                <w:rFonts w:ascii="Tahoma" w:hAnsi="Tahoma" w:cs="Tahoma"/>
                <w:sz w:val="18"/>
                <w:szCs w:val="18"/>
              </w:rPr>
              <w:t>2741, 5111, 5192, 5942, 5943, 5994</w:t>
            </w:r>
          </w:p>
        </w:tc>
      </w:tr>
      <w:tr w:rsidR="004D3A9A" w:rsidRPr="0062014C" w14:paraId="2DC7D221" w14:textId="77777777" w:rsidTr="00B86BDE">
        <w:trPr>
          <w:trHeight w:val="564"/>
        </w:trPr>
        <w:tc>
          <w:tcPr>
            <w:tcW w:w="704" w:type="dxa"/>
            <w:shd w:val="clear" w:color="auto" w:fill="auto"/>
            <w:noWrap/>
            <w:vAlign w:val="center"/>
          </w:tcPr>
          <w:p w14:paraId="1C8AE1EB" w14:textId="77777777" w:rsidR="004D3A9A" w:rsidRPr="0062014C" w:rsidRDefault="004D3A9A" w:rsidP="00B86BDE">
            <w:pPr>
              <w:jc w:val="center"/>
              <w:rPr>
                <w:rFonts w:ascii="Tahoma" w:hAnsi="Tahoma" w:cs="Tahoma"/>
                <w:sz w:val="18"/>
                <w:szCs w:val="18"/>
              </w:rPr>
            </w:pPr>
            <w:r>
              <w:rPr>
                <w:rFonts w:ascii="Tahoma" w:hAnsi="Tahoma" w:cs="Tahoma"/>
                <w:sz w:val="18"/>
                <w:szCs w:val="18"/>
              </w:rPr>
              <w:t>5.10.</w:t>
            </w:r>
          </w:p>
        </w:tc>
        <w:tc>
          <w:tcPr>
            <w:tcW w:w="4820" w:type="dxa"/>
            <w:shd w:val="clear" w:color="auto" w:fill="auto"/>
            <w:vAlign w:val="center"/>
          </w:tcPr>
          <w:p w14:paraId="1709C825" w14:textId="77777777" w:rsidR="004D3A9A" w:rsidRPr="008A329B" w:rsidRDefault="004D3A9A" w:rsidP="00B86BDE">
            <w:pPr>
              <w:rPr>
                <w:rFonts w:ascii="Tahoma" w:hAnsi="Tahoma" w:cs="Tahoma"/>
                <w:b/>
                <w:bCs/>
                <w:sz w:val="18"/>
                <w:szCs w:val="18"/>
              </w:rPr>
            </w:pPr>
            <w:r w:rsidRPr="008A329B">
              <w:rPr>
                <w:rFonts w:ascii="Tahoma" w:hAnsi="Tahoma" w:cs="Tahoma"/>
                <w:b/>
                <w:bCs/>
                <w:sz w:val="18"/>
                <w:szCs w:val="18"/>
              </w:rPr>
              <w:t xml:space="preserve">Маркетплейсы: </w:t>
            </w:r>
            <w:r w:rsidRPr="008A329B">
              <w:rPr>
                <w:rFonts w:ascii="Tahoma" w:hAnsi="Tahoma" w:cs="Tahoma"/>
                <w:sz w:val="18"/>
                <w:szCs w:val="18"/>
              </w:rPr>
              <w:t>покупки на маркетплейсах и онлайн-маркетах</w:t>
            </w:r>
          </w:p>
        </w:tc>
        <w:tc>
          <w:tcPr>
            <w:tcW w:w="9440" w:type="dxa"/>
            <w:shd w:val="clear" w:color="auto" w:fill="auto"/>
            <w:noWrap/>
          </w:tcPr>
          <w:p w14:paraId="6D4FE9C3" w14:textId="77777777" w:rsidR="004D3A9A" w:rsidRDefault="004D3A9A" w:rsidP="00B86BDE">
            <w:pPr>
              <w:jc w:val="center"/>
              <w:rPr>
                <w:rFonts w:ascii="Tahoma" w:hAnsi="Tahoma" w:cs="Tahoma"/>
                <w:sz w:val="18"/>
                <w:szCs w:val="18"/>
              </w:rPr>
            </w:pPr>
            <w:r>
              <w:rPr>
                <w:rFonts w:ascii="Tahoma" w:hAnsi="Tahoma" w:cs="Tahoma"/>
                <w:sz w:val="18"/>
                <w:szCs w:val="18"/>
              </w:rPr>
              <w:t>5262, 5300, 5964</w:t>
            </w:r>
          </w:p>
        </w:tc>
      </w:tr>
      <w:tr w:rsidR="004D3A9A" w:rsidRPr="0062014C" w14:paraId="1BD13F03" w14:textId="77777777" w:rsidTr="00B86BDE">
        <w:trPr>
          <w:trHeight w:val="418"/>
        </w:trPr>
        <w:tc>
          <w:tcPr>
            <w:tcW w:w="704" w:type="dxa"/>
            <w:shd w:val="clear" w:color="auto" w:fill="auto"/>
            <w:noWrap/>
            <w:vAlign w:val="center"/>
          </w:tcPr>
          <w:p w14:paraId="65D5123B" w14:textId="77777777" w:rsidR="004D3A9A" w:rsidRPr="0062014C" w:rsidRDefault="004D3A9A" w:rsidP="00B86BDE">
            <w:pPr>
              <w:jc w:val="center"/>
              <w:rPr>
                <w:rFonts w:ascii="Tahoma" w:hAnsi="Tahoma" w:cs="Tahoma"/>
                <w:sz w:val="18"/>
                <w:szCs w:val="18"/>
              </w:rPr>
            </w:pPr>
            <w:r>
              <w:rPr>
                <w:rFonts w:ascii="Tahoma" w:hAnsi="Tahoma" w:cs="Tahoma"/>
                <w:sz w:val="18"/>
                <w:szCs w:val="18"/>
              </w:rPr>
              <w:t>5.11.</w:t>
            </w:r>
          </w:p>
        </w:tc>
        <w:tc>
          <w:tcPr>
            <w:tcW w:w="4820" w:type="dxa"/>
            <w:shd w:val="clear" w:color="auto" w:fill="auto"/>
            <w:vAlign w:val="center"/>
          </w:tcPr>
          <w:p w14:paraId="3A293DE5" w14:textId="77777777" w:rsidR="004D3A9A" w:rsidRPr="008A329B" w:rsidRDefault="004D3A9A" w:rsidP="00B86BDE">
            <w:pPr>
              <w:rPr>
                <w:rFonts w:ascii="Tahoma" w:hAnsi="Tahoma" w:cs="Tahoma"/>
                <w:b/>
                <w:bCs/>
                <w:sz w:val="18"/>
                <w:szCs w:val="18"/>
              </w:rPr>
            </w:pPr>
            <w:r w:rsidRPr="008A329B">
              <w:rPr>
                <w:rFonts w:ascii="Tahoma" w:hAnsi="Tahoma" w:cs="Tahoma"/>
                <w:b/>
                <w:bCs/>
                <w:sz w:val="18"/>
                <w:szCs w:val="18"/>
              </w:rPr>
              <w:t xml:space="preserve">Медицинские услуги: </w:t>
            </w:r>
            <w:r w:rsidRPr="008A329B">
              <w:rPr>
                <w:rFonts w:ascii="Tahoma" w:hAnsi="Tahoma" w:cs="Tahoma"/>
                <w:sz w:val="18"/>
                <w:szCs w:val="18"/>
              </w:rPr>
              <w:t>медицинские услуги, стоматологии и лаборатории, услуги скорой помощи</w:t>
            </w:r>
          </w:p>
        </w:tc>
        <w:tc>
          <w:tcPr>
            <w:tcW w:w="9440" w:type="dxa"/>
            <w:shd w:val="clear" w:color="auto" w:fill="auto"/>
            <w:noWrap/>
          </w:tcPr>
          <w:p w14:paraId="5B385993" w14:textId="77777777" w:rsidR="004D3A9A" w:rsidRDefault="004D3A9A" w:rsidP="00B86BDE">
            <w:pPr>
              <w:jc w:val="center"/>
              <w:rPr>
                <w:rFonts w:ascii="Tahoma" w:hAnsi="Tahoma" w:cs="Tahoma"/>
                <w:sz w:val="18"/>
                <w:szCs w:val="18"/>
              </w:rPr>
            </w:pPr>
            <w:r>
              <w:rPr>
                <w:rFonts w:ascii="Tahoma" w:hAnsi="Tahoma" w:cs="Tahoma"/>
                <w:sz w:val="18"/>
                <w:szCs w:val="18"/>
              </w:rPr>
              <w:t>4119, 8021, 5047, 8011, 8031, 8041, 8042, 8049, 8062, 8071, 8099</w:t>
            </w:r>
          </w:p>
        </w:tc>
      </w:tr>
      <w:tr w:rsidR="004D3A9A" w:rsidRPr="0062014C" w14:paraId="4136F77D" w14:textId="77777777" w:rsidTr="00B86BDE">
        <w:trPr>
          <w:trHeight w:val="395"/>
        </w:trPr>
        <w:tc>
          <w:tcPr>
            <w:tcW w:w="704" w:type="dxa"/>
            <w:shd w:val="clear" w:color="auto" w:fill="auto"/>
            <w:noWrap/>
            <w:vAlign w:val="center"/>
          </w:tcPr>
          <w:p w14:paraId="456B0B10" w14:textId="77777777" w:rsidR="004D3A9A" w:rsidRPr="0062014C" w:rsidRDefault="004D3A9A" w:rsidP="00B86BDE">
            <w:pPr>
              <w:jc w:val="center"/>
              <w:rPr>
                <w:rFonts w:ascii="Tahoma" w:hAnsi="Tahoma" w:cs="Tahoma"/>
                <w:sz w:val="18"/>
                <w:szCs w:val="18"/>
              </w:rPr>
            </w:pPr>
            <w:r>
              <w:rPr>
                <w:rFonts w:ascii="Tahoma" w:hAnsi="Tahoma" w:cs="Tahoma"/>
                <w:sz w:val="18"/>
                <w:szCs w:val="18"/>
              </w:rPr>
              <w:t>5.12.</w:t>
            </w:r>
          </w:p>
        </w:tc>
        <w:tc>
          <w:tcPr>
            <w:tcW w:w="4820" w:type="dxa"/>
            <w:shd w:val="clear" w:color="auto" w:fill="auto"/>
            <w:vAlign w:val="center"/>
          </w:tcPr>
          <w:p w14:paraId="36944EC3" w14:textId="77777777" w:rsidR="004D3A9A" w:rsidRPr="008A329B" w:rsidRDefault="004D3A9A" w:rsidP="00B86BDE">
            <w:pPr>
              <w:rPr>
                <w:rFonts w:ascii="Tahoma" w:hAnsi="Tahoma" w:cs="Tahoma"/>
                <w:b/>
                <w:bCs/>
                <w:sz w:val="18"/>
                <w:szCs w:val="18"/>
              </w:rPr>
            </w:pPr>
            <w:r w:rsidRPr="008A329B">
              <w:rPr>
                <w:rFonts w:ascii="Tahoma" w:hAnsi="Tahoma" w:cs="Tahoma"/>
                <w:b/>
                <w:bCs/>
                <w:sz w:val="18"/>
                <w:szCs w:val="18"/>
              </w:rPr>
              <w:t>Отели</w:t>
            </w:r>
          </w:p>
        </w:tc>
        <w:tc>
          <w:tcPr>
            <w:tcW w:w="9440" w:type="dxa"/>
            <w:shd w:val="clear" w:color="auto" w:fill="auto"/>
            <w:noWrap/>
          </w:tcPr>
          <w:p w14:paraId="729E6288" w14:textId="77777777" w:rsidR="004D3A9A" w:rsidRDefault="004D3A9A" w:rsidP="00B86BDE">
            <w:pPr>
              <w:jc w:val="center"/>
              <w:rPr>
                <w:rFonts w:ascii="Tahoma" w:hAnsi="Tahoma" w:cs="Tahoma"/>
                <w:sz w:val="18"/>
                <w:szCs w:val="18"/>
              </w:rPr>
            </w:pPr>
            <w:r>
              <w:rPr>
                <w:rFonts w:ascii="Tahoma" w:hAnsi="Tahoma" w:cs="Tahoma"/>
                <w:sz w:val="18"/>
                <w:szCs w:val="18"/>
              </w:rPr>
              <w:t>3501-3799, 7032, 3618, 7011</w:t>
            </w:r>
          </w:p>
        </w:tc>
      </w:tr>
      <w:tr w:rsidR="004D3A9A" w:rsidRPr="0062014C" w14:paraId="726AF780" w14:textId="77777777" w:rsidTr="00B86BDE">
        <w:trPr>
          <w:trHeight w:val="557"/>
        </w:trPr>
        <w:tc>
          <w:tcPr>
            <w:tcW w:w="704" w:type="dxa"/>
            <w:shd w:val="clear" w:color="auto" w:fill="auto"/>
            <w:noWrap/>
            <w:vAlign w:val="center"/>
          </w:tcPr>
          <w:p w14:paraId="74C14874" w14:textId="77777777" w:rsidR="004D3A9A" w:rsidRPr="0062014C" w:rsidRDefault="004D3A9A" w:rsidP="00B86BDE">
            <w:pPr>
              <w:jc w:val="center"/>
              <w:rPr>
                <w:rFonts w:ascii="Tahoma" w:hAnsi="Tahoma" w:cs="Tahoma"/>
                <w:sz w:val="18"/>
                <w:szCs w:val="18"/>
              </w:rPr>
            </w:pPr>
            <w:r>
              <w:rPr>
                <w:rFonts w:ascii="Tahoma" w:hAnsi="Tahoma" w:cs="Tahoma"/>
                <w:sz w:val="18"/>
                <w:szCs w:val="18"/>
              </w:rPr>
              <w:t>5.13.</w:t>
            </w:r>
          </w:p>
        </w:tc>
        <w:tc>
          <w:tcPr>
            <w:tcW w:w="4820" w:type="dxa"/>
            <w:shd w:val="clear" w:color="auto" w:fill="auto"/>
            <w:vAlign w:val="center"/>
          </w:tcPr>
          <w:p w14:paraId="3605865F" w14:textId="77777777" w:rsidR="004D3A9A" w:rsidRPr="008A329B" w:rsidRDefault="004D3A9A" w:rsidP="00B86BDE">
            <w:pPr>
              <w:rPr>
                <w:rFonts w:ascii="Tahoma" w:hAnsi="Tahoma" w:cs="Tahoma"/>
                <w:b/>
                <w:bCs/>
                <w:sz w:val="18"/>
                <w:szCs w:val="18"/>
              </w:rPr>
            </w:pPr>
            <w:r w:rsidRPr="008A329B">
              <w:rPr>
                <w:rFonts w:ascii="Tahoma" w:hAnsi="Tahoma" w:cs="Tahoma"/>
                <w:b/>
                <w:bCs/>
                <w:sz w:val="18"/>
                <w:szCs w:val="18"/>
              </w:rPr>
              <w:t xml:space="preserve">Салоны красоты и парфюмерия: </w:t>
            </w:r>
            <w:r w:rsidRPr="008A329B">
              <w:rPr>
                <w:rFonts w:ascii="Tahoma" w:hAnsi="Tahoma" w:cs="Tahoma"/>
                <w:sz w:val="18"/>
                <w:szCs w:val="18"/>
              </w:rPr>
              <w:t>салоны красоты и здоровья, косметика и парфюмерия</w:t>
            </w:r>
          </w:p>
        </w:tc>
        <w:tc>
          <w:tcPr>
            <w:tcW w:w="9440" w:type="dxa"/>
            <w:shd w:val="clear" w:color="auto" w:fill="auto"/>
            <w:noWrap/>
          </w:tcPr>
          <w:p w14:paraId="0D00CAA6" w14:textId="77777777" w:rsidR="004D3A9A" w:rsidRDefault="004D3A9A" w:rsidP="00B86BDE">
            <w:pPr>
              <w:jc w:val="center"/>
              <w:rPr>
                <w:rFonts w:ascii="Tahoma" w:hAnsi="Tahoma" w:cs="Tahoma"/>
                <w:sz w:val="18"/>
                <w:szCs w:val="18"/>
              </w:rPr>
            </w:pPr>
            <w:r>
              <w:rPr>
                <w:rFonts w:ascii="Tahoma" w:hAnsi="Tahoma" w:cs="Tahoma"/>
                <w:sz w:val="18"/>
                <w:szCs w:val="18"/>
              </w:rPr>
              <w:t>5977, 7230, 7297, 7298</w:t>
            </w:r>
          </w:p>
        </w:tc>
      </w:tr>
      <w:tr w:rsidR="004D3A9A" w:rsidRPr="0062014C" w14:paraId="7644325B" w14:textId="77777777" w:rsidTr="00B86BDE">
        <w:trPr>
          <w:trHeight w:val="565"/>
        </w:trPr>
        <w:tc>
          <w:tcPr>
            <w:tcW w:w="704" w:type="dxa"/>
            <w:shd w:val="clear" w:color="auto" w:fill="auto"/>
            <w:noWrap/>
            <w:vAlign w:val="center"/>
          </w:tcPr>
          <w:p w14:paraId="0CA5E85B" w14:textId="77777777" w:rsidR="004D3A9A" w:rsidRPr="0062014C" w:rsidRDefault="004D3A9A" w:rsidP="00B86BDE">
            <w:pPr>
              <w:jc w:val="center"/>
              <w:rPr>
                <w:rFonts w:ascii="Tahoma" w:hAnsi="Tahoma" w:cs="Tahoma"/>
                <w:sz w:val="18"/>
                <w:szCs w:val="18"/>
              </w:rPr>
            </w:pPr>
            <w:r>
              <w:rPr>
                <w:rFonts w:ascii="Tahoma" w:hAnsi="Tahoma" w:cs="Tahoma"/>
                <w:sz w:val="18"/>
                <w:szCs w:val="18"/>
              </w:rPr>
              <w:t>5.14.</w:t>
            </w:r>
          </w:p>
        </w:tc>
        <w:tc>
          <w:tcPr>
            <w:tcW w:w="4820" w:type="dxa"/>
            <w:shd w:val="clear" w:color="auto" w:fill="auto"/>
            <w:vAlign w:val="center"/>
          </w:tcPr>
          <w:p w14:paraId="53CFB277" w14:textId="77777777" w:rsidR="004D3A9A" w:rsidRPr="008A329B" w:rsidRDefault="004D3A9A" w:rsidP="00B86BDE">
            <w:pPr>
              <w:rPr>
                <w:rFonts w:ascii="Tahoma" w:hAnsi="Tahoma" w:cs="Tahoma"/>
                <w:b/>
                <w:bCs/>
                <w:sz w:val="18"/>
                <w:szCs w:val="18"/>
              </w:rPr>
            </w:pPr>
            <w:r w:rsidRPr="008A329B">
              <w:rPr>
                <w:rFonts w:ascii="Tahoma" w:hAnsi="Tahoma" w:cs="Tahoma"/>
                <w:b/>
                <w:bCs/>
                <w:sz w:val="18"/>
                <w:szCs w:val="18"/>
              </w:rPr>
              <w:t xml:space="preserve">Супермаркеты: </w:t>
            </w:r>
            <w:r w:rsidRPr="008A329B">
              <w:rPr>
                <w:rFonts w:ascii="Tahoma" w:hAnsi="Tahoma" w:cs="Tahoma"/>
                <w:sz w:val="18"/>
                <w:szCs w:val="18"/>
              </w:rPr>
              <w:t>розничные продовольственные магазины, гибридные супермаркеты, кондитерские</w:t>
            </w:r>
          </w:p>
        </w:tc>
        <w:tc>
          <w:tcPr>
            <w:tcW w:w="9440" w:type="dxa"/>
            <w:shd w:val="clear" w:color="auto" w:fill="auto"/>
            <w:noWrap/>
          </w:tcPr>
          <w:p w14:paraId="61FE5D0A" w14:textId="77777777" w:rsidR="004D3A9A" w:rsidRDefault="004D3A9A" w:rsidP="00B86BDE">
            <w:pPr>
              <w:jc w:val="center"/>
              <w:rPr>
                <w:rFonts w:ascii="Tahoma" w:hAnsi="Tahoma" w:cs="Tahoma"/>
                <w:sz w:val="18"/>
                <w:szCs w:val="18"/>
              </w:rPr>
            </w:pPr>
            <w:r>
              <w:rPr>
                <w:rFonts w:ascii="Tahoma" w:hAnsi="Tahoma" w:cs="Tahoma"/>
                <w:sz w:val="18"/>
                <w:szCs w:val="18"/>
              </w:rPr>
              <w:t>5411, 5412, 5422, 5441, 5451, 5462, 5499, 5921</w:t>
            </w:r>
          </w:p>
        </w:tc>
      </w:tr>
      <w:tr w:rsidR="004D3A9A" w:rsidRPr="0062014C" w14:paraId="5532507E" w14:textId="77777777" w:rsidTr="00B86BDE">
        <w:trPr>
          <w:trHeight w:val="545"/>
        </w:trPr>
        <w:tc>
          <w:tcPr>
            <w:tcW w:w="704" w:type="dxa"/>
            <w:shd w:val="clear" w:color="auto" w:fill="auto"/>
            <w:noWrap/>
            <w:vAlign w:val="center"/>
          </w:tcPr>
          <w:p w14:paraId="314CB237" w14:textId="77777777" w:rsidR="004D3A9A" w:rsidRPr="0062014C" w:rsidRDefault="004D3A9A" w:rsidP="00B86BDE">
            <w:pPr>
              <w:jc w:val="center"/>
              <w:rPr>
                <w:rFonts w:ascii="Tahoma" w:hAnsi="Tahoma" w:cs="Tahoma"/>
                <w:sz w:val="18"/>
                <w:szCs w:val="18"/>
              </w:rPr>
            </w:pPr>
            <w:r>
              <w:rPr>
                <w:rFonts w:ascii="Tahoma" w:hAnsi="Tahoma" w:cs="Tahoma"/>
                <w:sz w:val="18"/>
                <w:szCs w:val="18"/>
              </w:rPr>
              <w:t>5.15.</w:t>
            </w:r>
          </w:p>
        </w:tc>
        <w:tc>
          <w:tcPr>
            <w:tcW w:w="4820" w:type="dxa"/>
            <w:shd w:val="clear" w:color="auto" w:fill="auto"/>
            <w:vAlign w:val="center"/>
          </w:tcPr>
          <w:p w14:paraId="665DA3D9" w14:textId="77777777" w:rsidR="004D3A9A" w:rsidRPr="008A329B" w:rsidRDefault="004D3A9A" w:rsidP="00B86BDE">
            <w:pPr>
              <w:rPr>
                <w:rFonts w:ascii="Tahoma" w:hAnsi="Tahoma" w:cs="Tahoma"/>
                <w:b/>
                <w:bCs/>
                <w:sz w:val="18"/>
                <w:szCs w:val="18"/>
              </w:rPr>
            </w:pPr>
            <w:r w:rsidRPr="008A329B">
              <w:rPr>
                <w:rFonts w:ascii="Tahoma" w:hAnsi="Tahoma" w:cs="Tahoma"/>
                <w:b/>
                <w:bCs/>
                <w:sz w:val="18"/>
                <w:szCs w:val="18"/>
              </w:rPr>
              <w:t xml:space="preserve">Такси и каршеринг: </w:t>
            </w:r>
            <w:r w:rsidRPr="008A329B">
              <w:rPr>
                <w:rFonts w:ascii="Tahoma" w:hAnsi="Tahoma" w:cs="Tahoma"/>
                <w:sz w:val="18"/>
                <w:szCs w:val="18"/>
              </w:rPr>
              <w:t>такси и каршеринг, прокат самокатов</w:t>
            </w:r>
          </w:p>
        </w:tc>
        <w:tc>
          <w:tcPr>
            <w:tcW w:w="9440" w:type="dxa"/>
            <w:shd w:val="clear" w:color="auto" w:fill="auto"/>
            <w:noWrap/>
          </w:tcPr>
          <w:p w14:paraId="31639AB1" w14:textId="77777777" w:rsidR="004D3A9A" w:rsidRDefault="004D3A9A" w:rsidP="00B86BDE">
            <w:pPr>
              <w:jc w:val="center"/>
              <w:rPr>
                <w:rFonts w:ascii="Tahoma" w:hAnsi="Tahoma" w:cs="Tahoma"/>
                <w:sz w:val="18"/>
                <w:szCs w:val="18"/>
              </w:rPr>
            </w:pPr>
            <w:r>
              <w:rPr>
                <w:rFonts w:ascii="Tahoma" w:hAnsi="Tahoma" w:cs="Tahoma"/>
                <w:sz w:val="18"/>
                <w:szCs w:val="18"/>
              </w:rPr>
              <w:t>3351-3441, 3990, 4121, 7512</w:t>
            </w:r>
          </w:p>
        </w:tc>
      </w:tr>
      <w:tr w:rsidR="004D3A9A" w:rsidRPr="0062014C" w14:paraId="122357F9" w14:textId="77777777" w:rsidTr="00B86BDE">
        <w:trPr>
          <w:trHeight w:val="411"/>
        </w:trPr>
        <w:tc>
          <w:tcPr>
            <w:tcW w:w="704" w:type="dxa"/>
            <w:shd w:val="clear" w:color="auto" w:fill="auto"/>
            <w:noWrap/>
            <w:vAlign w:val="center"/>
          </w:tcPr>
          <w:p w14:paraId="0646C399" w14:textId="77777777" w:rsidR="004D3A9A" w:rsidRPr="0062014C" w:rsidRDefault="004D3A9A" w:rsidP="00B86BDE">
            <w:pPr>
              <w:jc w:val="center"/>
              <w:rPr>
                <w:rFonts w:ascii="Tahoma" w:hAnsi="Tahoma" w:cs="Tahoma"/>
                <w:sz w:val="18"/>
                <w:szCs w:val="18"/>
              </w:rPr>
            </w:pPr>
            <w:r>
              <w:rPr>
                <w:rFonts w:ascii="Tahoma" w:hAnsi="Tahoma" w:cs="Tahoma"/>
                <w:sz w:val="18"/>
                <w:szCs w:val="18"/>
              </w:rPr>
              <w:t>5.16.</w:t>
            </w:r>
          </w:p>
        </w:tc>
        <w:tc>
          <w:tcPr>
            <w:tcW w:w="4820" w:type="dxa"/>
            <w:shd w:val="clear" w:color="auto" w:fill="auto"/>
            <w:vAlign w:val="center"/>
          </w:tcPr>
          <w:p w14:paraId="63CA858B" w14:textId="77777777" w:rsidR="004D3A9A" w:rsidRPr="008A329B" w:rsidRDefault="004D3A9A" w:rsidP="00B86BDE">
            <w:pPr>
              <w:rPr>
                <w:rFonts w:ascii="Tahoma" w:hAnsi="Tahoma" w:cs="Tahoma"/>
                <w:b/>
                <w:bCs/>
                <w:sz w:val="18"/>
                <w:szCs w:val="18"/>
              </w:rPr>
            </w:pPr>
            <w:r w:rsidRPr="008A329B">
              <w:rPr>
                <w:rFonts w:ascii="Tahoma" w:hAnsi="Tahoma" w:cs="Tahoma"/>
                <w:b/>
                <w:bCs/>
                <w:sz w:val="18"/>
                <w:szCs w:val="18"/>
              </w:rPr>
              <w:t xml:space="preserve">Товары для животных: </w:t>
            </w:r>
            <w:r w:rsidRPr="008A329B">
              <w:rPr>
                <w:rFonts w:ascii="Tahoma" w:hAnsi="Tahoma" w:cs="Tahoma"/>
                <w:sz w:val="18"/>
                <w:szCs w:val="18"/>
              </w:rPr>
              <w:t>ветеринарные услуги, зоо магазины</w:t>
            </w:r>
          </w:p>
        </w:tc>
        <w:tc>
          <w:tcPr>
            <w:tcW w:w="9440" w:type="dxa"/>
            <w:shd w:val="clear" w:color="auto" w:fill="auto"/>
            <w:noWrap/>
          </w:tcPr>
          <w:p w14:paraId="6B7211D7" w14:textId="77777777" w:rsidR="004D3A9A" w:rsidRDefault="004D3A9A" w:rsidP="00B86BDE">
            <w:pPr>
              <w:jc w:val="center"/>
              <w:rPr>
                <w:rFonts w:ascii="Tahoma" w:hAnsi="Tahoma" w:cs="Tahoma"/>
                <w:sz w:val="18"/>
                <w:szCs w:val="18"/>
              </w:rPr>
            </w:pPr>
            <w:r>
              <w:rPr>
                <w:rFonts w:ascii="Tahoma" w:hAnsi="Tahoma" w:cs="Tahoma"/>
                <w:sz w:val="18"/>
                <w:szCs w:val="18"/>
              </w:rPr>
              <w:t>0742, 5995</w:t>
            </w:r>
          </w:p>
        </w:tc>
      </w:tr>
      <w:tr w:rsidR="004D3A9A" w:rsidRPr="0062014C" w14:paraId="4DD35DB7" w14:textId="77777777" w:rsidTr="00B86BDE">
        <w:trPr>
          <w:trHeight w:val="404"/>
        </w:trPr>
        <w:tc>
          <w:tcPr>
            <w:tcW w:w="704" w:type="dxa"/>
            <w:shd w:val="clear" w:color="auto" w:fill="auto"/>
            <w:noWrap/>
            <w:vAlign w:val="center"/>
          </w:tcPr>
          <w:p w14:paraId="70F2B077" w14:textId="77777777" w:rsidR="004D3A9A" w:rsidRPr="0062014C" w:rsidRDefault="004D3A9A" w:rsidP="00B86BDE">
            <w:pPr>
              <w:jc w:val="center"/>
              <w:rPr>
                <w:rFonts w:ascii="Tahoma" w:hAnsi="Tahoma" w:cs="Tahoma"/>
                <w:sz w:val="18"/>
                <w:szCs w:val="18"/>
              </w:rPr>
            </w:pPr>
            <w:r>
              <w:rPr>
                <w:rFonts w:ascii="Tahoma" w:hAnsi="Tahoma" w:cs="Tahoma"/>
                <w:sz w:val="18"/>
                <w:szCs w:val="18"/>
              </w:rPr>
              <w:t>5.17.</w:t>
            </w:r>
          </w:p>
        </w:tc>
        <w:tc>
          <w:tcPr>
            <w:tcW w:w="4820" w:type="dxa"/>
            <w:shd w:val="clear" w:color="auto" w:fill="auto"/>
            <w:vAlign w:val="center"/>
          </w:tcPr>
          <w:p w14:paraId="2968AA3C" w14:textId="77777777" w:rsidR="004D3A9A" w:rsidRPr="008A329B" w:rsidRDefault="004D3A9A" w:rsidP="00B86BDE">
            <w:pPr>
              <w:rPr>
                <w:rFonts w:ascii="Tahoma" w:hAnsi="Tahoma" w:cs="Tahoma"/>
                <w:b/>
                <w:bCs/>
                <w:sz w:val="18"/>
                <w:szCs w:val="18"/>
              </w:rPr>
            </w:pPr>
            <w:r w:rsidRPr="008A329B">
              <w:rPr>
                <w:rFonts w:ascii="Tahoma" w:hAnsi="Tahoma" w:cs="Tahoma"/>
                <w:b/>
                <w:bCs/>
                <w:sz w:val="18"/>
                <w:szCs w:val="18"/>
              </w:rPr>
              <w:t>Турагенства:</w:t>
            </w:r>
            <w:r w:rsidRPr="008A329B">
              <w:rPr>
                <w:rFonts w:ascii="Tahoma" w:hAnsi="Tahoma" w:cs="Tahoma"/>
                <w:sz w:val="18"/>
                <w:szCs w:val="18"/>
              </w:rPr>
              <w:t xml:space="preserve"> турагентства и турагрегаторы</w:t>
            </w:r>
          </w:p>
        </w:tc>
        <w:tc>
          <w:tcPr>
            <w:tcW w:w="9440" w:type="dxa"/>
            <w:shd w:val="clear" w:color="auto" w:fill="auto"/>
            <w:noWrap/>
          </w:tcPr>
          <w:p w14:paraId="2F5793F1" w14:textId="77777777" w:rsidR="004D3A9A" w:rsidRDefault="004D3A9A" w:rsidP="00B86BDE">
            <w:pPr>
              <w:jc w:val="center"/>
              <w:rPr>
                <w:rFonts w:ascii="Tahoma" w:hAnsi="Tahoma" w:cs="Tahoma"/>
                <w:sz w:val="18"/>
                <w:szCs w:val="18"/>
              </w:rPr>
            </w:pPr>
            <w:r>
              <w:rPr>
                <w:rFonts w:ascii="Tahoma" w:hAnsi="Tahoma" w:cs="Tahoma"/>
                <w:sz w:val="18"/>
                <w:szCs w:val="18"/>
              </w:rPr>
              <w:t>4722</w:t>
            </w:r>
          </w:p>
        </w:tc>
      </w:tr>
      <w:tr w:rsidR="004D3A9A" w:rsidRPr="0062014C" w14:paraId="57B70817" w14:textId="77777777" w:rsidTr="00B86BDE">
        <w:trPr>
          <w:trHeight w:val="552"/>
        </w:trPr>
        <w:tc>
          <w:tcPr>
            <w:tcW w:w="704" w:type="dxa"/>
            <w:shd w:val="clear" w:color="auto" w:fill="auto"/>
            <w:noWrap/>
            <w:vAlign w:val="center"/>
          </w:tcPr>
          <w:p w14:paraId="40BF152A" w14:textId="77777777" w:rsidR="004D3A9A" w:rsidRPr="0062014C" w:rsidRDefault="004D3A9A" w:rsidP="00B86BDE">
            <w:pPr>
              <w:jc w:val="center"/>
              <w:rPr>
                <w:rFonts w:ascii="Tahoma" w:hAnsi="Tahoma" w:cs="Tahoma"/>
                <w:sz w:val="18"/>
                <w:szCs w:val="18"/>
              </w:rPr>
            </w:pPr>
            <w:r>
              <w:rPr>
                <w:rFonts w:ascii="Tahoma" w:hAnsi="Tahoma" w:cs="Tahoma"/>
                <w:sz w:val="18"/>
                <w:szCs w:val="18"/>
              </w:rPr>
              <w:t>5.18.</w:t>
            </w:r>
          </w:p>
        </w:tc>
        <w:tc>
          <w:tcPr>
            <w:tcW w:w="4820" w:type="dxa"/>
            <w:shd w:val="clear" w:color="auto" w:fill="auto"/>
            <w:vAlign w:val="center"/>
          </w:tcPr>
          <w:p w14:paraId="7D9BC45F" w14:textId="77777777" w:rsidR="004D3A9A" w:rsidRPr="008A329B" w:rsidRDefault="004D3A9A" w:rsidP="00B86BDE">
            <w:pPr>
              <w:rPr>
                <w:rFonts w:ascii="Tahoma" w:hAnsi="Tahoma" w:cs="Tahoma"/>
                <w:sz w:val="18"/>
                <w:szCs w:val="18"/>
              </w:rPr>
            </w:pPr>
            <w:r w:rsidRPr="008A329B">
              <w:rPr>
                <w:rFonts w:ascii="Tahoma" w:hAnsi="Tahoma" w:cs="Tahoma"/>
                <w:b/>
                <w:bCs/>
                <w:sz w:val="18"/>
                <w:szCs w:val="18"/>
              </w:rPr>
              <w:t xml:space="preserve">Фитнес и спортивные товары: </w:t>
            </w:r>
            <w:r w:rsidRPr="008A329B">
              <w:rPr>
                <w:rFonts w:ascii="Tahoma" w:hAnsi="Tahoma" w:cs="Tahoma"/>
                <w:sz w:val="18"/>
                <w:szCs w:val="18"/>
              </w:rPr>
              <w:t>спортивая одежда и инвентарь, фитнес и спорт-клубы</w:t>
            </w:r>
          </w:p>
        </w:tc>
        <w:tc>
          <w:tcPr>
            <w:tcW w:w="9440" w:type="dxa"/>
            <w:shd w:val="clear" w:color="auto" w:fill="auto"/>
            <w:noWrap/>
          </w:tcPr>
          <w:p w14:paraId="5BC961BA" w14:textId="77777777" w:rsidR="004D3A9A" w:rsidRDefault="004D3A9A" w:rsidP="00B86BDE">
            <w:pPr>
              <w:jc w:val="center"/>
              <w:rPr>
                <w:rFonts w:ascii="Tahoma" w:hAnsi="Tahoma" w:cs="Tahoma"/>
                <w:sz w:val="18"/>
                <w:szCs w:val="18"/>
              </w:rPr>
            </w:pPr>
            <w:r>
              <w:rPr>
                <w:rFonts w:ascii="Tahoma" w:hAnsi="Tahoma" w:cs="Tahoma"/>
                <w:sz w:val="18"/>
                <w:szCs w:val="18"/>
              </w:rPr>
              <w:t>7992, 5655, 5940, 5941, 7941, 7997</w:t>
            </w:r>
          </w:p>
        </w:tc>
      </w:tr>
      <w:tr w:rsidR="004D3A9A" w:rsidRPr="0062014C" w14:paraId="4FBE4481" w14:textId="77777777" w:rsidTr="00B86BDE">
        <w:trPr>
          <w:trHeight w:val="252"/>
        </w:trPr>
        <w:tc>
          <w:tcPr>
            <w:tcW w:w="704" w:type="dxa"/>
            <w:shd w:val="clear" w:color="auto" w:fill="auto"/>
            <w:noWrap/>
            <w:vAlign w:val="center"/>
          </w:tcPr>
          <w:p w14:paraId="23BE4D4C" w14:textId="77777777" w:rsidR="004D3A9A" w:rsidRPr="0062014C" w:rsidRDefault="004D3A9A" w:rsidP="00B86BDE">
            <w:pPr>
              <w:jc w:val="center"/>
              <w:rPr>
                <w:rFonts w:ascii="Tahoma" w:hAnsi="Tahoma" w:cs="Tahoma"/>
                <w:sz w:val="18"/>
                <w:szCs w:val="18"/>
              </w:rPr>
            </w:pPr>
            <w:r>
              <w:rPr>
                <w:rFonts w:ascii="Tahoma" w:hAnsi="Tahoma" w:cs="Tahoma"/>
                <w:sz w:val="18"/>
                <w:szCs w:val="18"/>
              </w:rPr>
              <w:t>5.19.</w:t>
            </w:r>
          </w:p>
        </w:tc>
        <w:tc>
          <w:tcPr>
            <w:tcW w:w="4820" w:type="dxa"/>
            <w:shd w:val="clear" w:color="auto" w:fill="auto"/>
            <w:vAlign w:val="center"/>
          </w:tcPr>
          <w:p w14:paraId="56A82883" w14:textId="77777777" w:rsidR="004D3A9A" w:rsidRPr="008A329B" w:rsidRDefault="004D3A9A" w:rsidP="00B86BDE">
            <w:pPr>
              <w:rPr>
                <w:rFonts w:ascii="Tahoma" w:hAnsi="Tahoma" w:cs="Tahoma"/>
                <w:b/>
                <w:bCs/>
                <w:sz w:val="18"/>
                <w:szCs w:val="18"/>
              </w:rPr>
            </w:pPr>
            <w:r w:rsidRPr="008A329B">
              <w:rPr>
                <w:rFonts w:ascii="Tahoma" w:hAnsi="Tahoma" w:cs="Tahoma"/>
                <w:b/>
                <w:bCs/>
                <w:sz w:val="18"/>
                <w:szCs w:val="18"/>
              </w:rPr>
              <w:t>Цветы</w:t>
            </w:r>
          </w:p>
        </w:tc>
        <w:tc>
          <w:tcPr>
            <w:tcW w:w="9440" w:type="dxa"/>
            <w:shd w:val="clear" w:color="auto" w:fill="auto"/>
            <w:noWrap/>
          </w:tcPr>
          <w:p w14:paraId="0C270382" w14:textId="77777777" w:rsidR="004D3A9A" w:rsidRDefault="004D3A9A" w:rsidP="00B86BDE">
            <w:pPr>
              <w:jc w:val="center"/>
              <w:rPr>
                <w:rFonts w:ascii="Tahoma" w:hAnsi="Tahoma" w:cs="Tahoma"/>
                <w:sz w:val="18"/>
                <w:szCs w:val="18"/>
              </w:rPr>
            </w:pPr>
            <w:r>
              <w:rPr>
                <w:rFonts w:ascii="Tahoma" w:hAnsi="Tahoma" w:cs="Tahoma"/>
                <w:sz w:val="18"/>
                <w:szCs w:val="18"/>
              </w:rPr>
              <w:t>5193, 5992</w:t>
            </w:r>
          </w:p>
        </w:tc>
      </w:tr>
      <w:tr w:rsidR="004D3A9A" w:rsidRPr="0062014C" w14:paraId="4F292CBF" w14:textId="77777777" w:rsidTr="00B86BDE">
        <w:trPr>
          <w:trHeight w:val="697"/>
        </w:trPr>
        <w:tc>
          <w:tcPr>
            <w:tcW w:w="704" w:type="dxa"/>
            <w:shd w:val="clear" w:color="auto" w:fill="auto"/>
            <w:noWrap/>
            <w:vAlign w:val="center"/>
          </w:tcPr>
          <w:p w14:paraId="5156DE22" w14:textId="77777777" w:rsidR="004D3A9A" w:rsidRPr="0062014C" w:rsidRDefault="004D3A9A" w:rsidP="00B86BDE">
            <w:pPr>
              <w:jc w:val="center"/>
              <w:rPr>
                <w:rFonts w:ascii="Tahoma" w:hAnsi="Tahoma" w:cs="Tahoma"/>
                <w:sz w:val="18"/>
                <w:szCs w:val="18"/>
              </w:rPr>
            </w:pPr>
            <w:r>
              <w:rPr>
                <w:rFonts w:ascii="Tahoma" w:hAnsi="Tahoma" w:cs="Tahoma"/>
                <w:sz w:val="18"/>
                <w:szCs w:val="18"/>
              </w:rPr>
              <w:t>5.20.</w:t>
            </w:r>
          </w:p>
        </w:tc>
        <w:tc>
          <w:tcPr>
            <w:tcW w:w="4820" w:type="dxa"/>
            <w:shd w:val="clear" w:color="auto" w:fill="auto"/>
            <w:vAlign w:val="center"/>
          </w:tcPr>
          <w:p w14:paraId="0C948CF4" w14:textId="77777777" w:rsidR="004D3A9A" w:rsidRPr="008A329B" w:rsidRDefault="004D3A9A" w:rsidP="00B86BDE">
            <w:pPr>
              <w:rPr>
                <w:rFonts w:ascii="Tahoma" w:hAnsi="Tahoma" w:cs="Tahoma"/>
                <w:sz w:val="18"/>
                <w:szCs w:val="18"/>
              </w:rPr>
            </w:pPr>
            <w:r w:rsidRPr="008A329B">
              <w:rPr>
                <w:rFonts w:ascii="Tahoma" w:hAnsi="Tahoma" w:cs="Tahoma"/>
                <w:b/>
                <w:bCs/>
                <w:sz w:val="18"/>
                <w:szCs w:val="18"/>
              </w:rPr>
              <w:t xml:space="preserve">Шопинг: </w:t>
            </w:r>
            <w:r w:rsidRPr="008A329B">
              <w:rPr>
                <w:rFonts w:ascii="Tahoma" w:hAnsi="Tahoma" w:cs="Tahoma"/>
                <w:sz w:val="18"/>
                <w:szCs w:val="18"/>
              </w:rPr>
              <w:t>одежда, обувь, ювелирные изделия, детские товары</w:t>
            </w:r>
          </w:p>
        </w:tc>
        <w:tc>
          <w:tcPr>
            <w:tcW w:w="9440" w:type="dxa"/>
            <w:shd w:val="clear" w:color="auto" w:fill="auto"/>
            <w:noWrap/>
          </w:tcPr>
          <w:p w14:paraId="39F034DF" w14:textId="77777777" w:rsidR="004D3A9A" w:rsidRDefault="004D3A9A" w:rsidP="00B86BDE">
            <w:pPr>
              <w:jc w:val="center"/>
              <w:rPr>
                <w:rFonts w:ascii="Tahoma" w:hAnsi="Tahoma" w:cs="Tahoma"/>
                <w:sz w:val="18"/>
                <w:szCs w:val="18"/>
              </w:rPr>
            </w:pPr>
            <w:r>
              <w:rPr>
                <w:rFonts w:ascii="Tahoma" w:hAnsi="Tahoma" w:cs="Tahoma"/>
                <w:sz w:val="18"/>
                <w:szCs w:val="18"/>
              </w:rPr>
              <w:t>5641, 5945, 5137, 5139, 5611, 5621, 5631, 5651, 5661, 5681, 5691, 5699, 5944</w:t>
            </w:r>
          </w:p>
        </w:tc>
      </w:tr>
      <w:tr w:rsidR="004D3A9A" w:rsidRPr="0062014C" w14:paraId="214CFDBD" w14:textId="77777777" w:rsidTr="00B86BDE">
        <w:trPr>
          <w:trHeight w:val="277"/>
        </w:trPr>
        <w:tc>
          <w:tcPr>
            <w:tcW w:w="704" w:type="dxa"/>
            <w:shd w:val="clear" w:color="auto" w:fill="auto"/>
            <w:noWrap/>
            <w:vAlign w:val="center"/>
            <w:hideMark/>
          </w:tcPr>
          <w:p w14:paraId="79A67E24" w14:textId="77777777" w:rsidR="004D3A9A" w:rsidRPr="0062014C" w:rsidRDefault="004D3A9A" w:rsidP="00B86BDE">
            <w:pPr>
              <w:jc w:val="center"/>
              <w:rPr>
                <w:rFonts w:ascii="Tahoma" w:hAnsi="Tahoma" w:cs="Tahoma"/>
                <w:sz w:val="18"/>
                <w:szCs w:val="18"/>
              </w:rPr>
            </w:pPr>
            <w:r>
              <w:rPr>
                <w:rFonts w:ascii="Tahoma" w:hAnsi="Tahoma" w:cs="Tahoma"/>
                <w:sz w:val="18"/>
                <w:szCs w:val="18"/>
              </w:rPr>
              <w:t>5.21</w:t>
            </w:r>
            <w:r w:rsidRPr="0062014C">
              <w:rPr>
                <w:rFonts w:ascii="Tahoma" w:hAnsi="Tahoma" w:cs="Tahoma"/>
                <w:sz w:val="18"/>
                <w:szCs w:val="18"/>
              </w:rPr>
              <w:t>.</w:t>
            </w:r>
          </w:p>
        </w:tc>
        <w:tc>
          <w:tcPr>
            <w:tcW w:w="4820" w:type="dxa"/>
            <w:shd w:val="clear" w:color="auto" w:fill="auto"/>
            <w:vAlign w:val="center"/>
            <w:hideMark/>
          </w:tcPr>
          <w:p w14:paraId="0342145B" w14:textId="77777777" w:rsidR="004D3A9A" w:rsidRPr="008A329B" w:rsidRDefault="004D3A9A" w:rsidP="00B86BDE">
            <w:pPr>
              <w:rPr>
                <w:rFonts w:ascii="Tahoma" w:hAnsi="Tahoma" w:cs="Tahoma"/>
                <w:b/>
                <w:bCs/>
                <w:iCs/>
                <w:sz w:val="18"/>
                <w:szCs w:val="18"/>
              </w:rPr>
            </w:pPr>
            <w:r w:rsidRPr="008A329B">
              <w:rPr>
                <w:rFonts w:ascii="Tahoma" w:hAnsi="Tahoma" w:cs="Tahoma"/>
                <w:b/>
                <w:bCs/>
                <w:iCs/>
                <w:sz w:val="18"/>
                <w:szCs w:val="18"/>
              </w:rPr>
              <w:t>Все включено</w:t>
            </w:r>
          </w:p>
        </w:tc>
        <w:tc>
          <w:tcPr>
            <w:tcW w:w="9440" w:type="dxa"/>
            <w:shd w:val="clear" w:color="auto" w:fill="auto"/>
            <w:noWrap/>
            <w:vAlign w:val="center"/>
            <w:hideMark/>
          </w:tcPr>
          <w:p w14:paraId="1913A27B" w14:textId="77777777" w:rsidR="004D3A9A" w:rsidRPr="0062014C" w:rsidRDefault="004D3A9A" w:rsidP="00B86BDE">
            <w:pPr>
              <w:jc w:val="center"/>
              <w:rPr>
                <w:rFonts w:ascii="Tahoma" w:hAnsi="Tahoma" w:cs="Tahoma"/>
                <w:sz w:val="18"/>
                <w:szCs w:val="18"/>
              </w:rPr>
            </w:pPr>
            <w:r w:rsidRPr="0062014C">
              <w:rPr>
                <w:rFonts w:ascii="Tahoma" w:hAnsi="Tahoma" w:cs="Tahoma"/>
                <w:sz w:val="18"/>
                <w:szCs w:val="18"/>
              </w:rPr>
              <w:t>Все Транзакции, за исключением транзакций, подпадающих в список исключений МСС-кодов, указанных в Программе лояльности и на Сайте Банка www.atb.su</w:t>
            </w:r>
          </w:p>
        </w:tc>
      </w:tr>
      <w:tr w:rsidR="004D3A9A" w:rsidRPr="0062014C" w14:paraId="3AF8842B" w14:textId="77777777" w:rsidTr="00B86BDE">
        <w:trPr>
          <w:trHeight w:val="374"/>
        </w:trPr>
        <w:tc>
          <w:tcPr>
            <w:tcW w:w="704" w:type="dxa"/>
            <w:shd w:val="clear" w:color="auto" w:fill="D9D9D9" w:themeFill="background1" w:themeFillShade="D9"/>
            <w:noWrap/>
            <w:vAlign w:val="center"/>
            <w:hideMark/>
          </w:tcPr>
          <w:p w14:paraId="21AEF6DB" w14:textId="77777777" w:rsidR="004D3A9A" w:rsidRPr="00897ABC" w:rsidRDefault="004D3A9A" w:rsidP="00B86BDE">
            <w:pPr>
              <w:jc w:val="center"/>
              <w:rPr>
                <w:rFonts w:ascii="Tahoma" w:hAnsi="Tahoma" w:cs="Tahoma"/>
                <w:b/>
                <w:bCs/>
                <w:sz w:val="18"/>
                <w:szCs w:val="18"/>
              </w:rPr>
            </w:pPr>
            <w:r>
              <w:rPr>
                <w:rFonts w:ascii="Tahoma" w:hAnsi="Tahoma" w:cs="Tahoma"/>
                <w:b/>
                <w:bCs/>
                <w:sz w:val="18"/>
                <w:szCs w:val="18"/>
              </w:rPr>
              <w:t>6</w:t>
            </w:r>
            <w:r w:rsidRPr="00897ABC">
              <w:rPr>
                <w:rFonts w:ascii="Tahoma" w:hAnsi="Tahoma" w:cs="Tahoma"/>
                <w:b/>
                <w:bCs/>
                <w:sz w:val="18"/>
                <w:szCs w:val="18"/>
              </w:rPr>
              <w:t>.</w:t>
            </w:r>
          </w:p>
        </w:tc>
        <w:tc>
          <w:tcPr>
            <w:tcW w:w="4820" w:type="dxa"/>
            <w:shd w:val="clear" w:color="auto" w:fill="D9D9D9" w:themeFill="background1" w:themeFillShade="D9"/>
            <w:noWrap/>
            <w:vAlign w:val="center"/>
            <w:hideMark/>
          </w:tcPr>
          <w:p w14:paraId="5040F611" w14:textId="77777777" w:rsidR="004D3A9A" w:rsidRPr="00897ABC" w:rsidRDefault="004D3A9A" w:rsidP="00B86BDE">
            <w:pPr>
              <w:rPr>
                <w:rFonts w:ascii="Tahoma" w:hAnsi="Tahoma" w:cs="Tahoma"/>
                <w:b/>
                <w:bCs/>
                <w:sz w:val="18"/>
                <w:szCs w:val="18"/>
              </w:rPr>
            </w:pPr>
            <w:r w:rsidRPr="00897ABC">
              <w:rPr>
                <w:rFonts w:ascii="Tahoma" w:hAnsi="Tahoma" w:cs="Tahoma"/>
                <w:b/>
                <w:bCs/>
                <w:sz w:val="18"/>
                <w:szCs w:val="18"/>
              </w:rPr>
              <w:t xml:space="preserve">Условия прекращения действия ранее начисленных Баллов </w:t>
            </w:r>
          </w:p>
        </w:tc>
        <w:tc>
          <w:tcPr>
            <w:tcW w:w="9440" w:type="dxa"/>
            <w:shd w:val="clear" w:color="auto" w:fill="D9D9D9" w:themeFill="background1" w:themeFillShade="D9"/>
            <w:noWrap/>
            <w:vAlign w:val="center"/>
            <w:hideMark/>
          </w:tcPr>
          <w:p w14:paraId="672CC117" w14:textId="77777777" w:rsidR="004D3A9A" w:rsidRPr="00897ABC" w:rsidRDefault="004D3A9A" w:rsidP="00B86BDE">
            <w:pPr>
              <w:rPr>
                <w:rFonts w:ascii="Tahoma" w:hAnsi="Tahoma" w:cs="Tahoma"/>
                <w:b/>
                <w:bCs/>
                <w:sz w:val="18"/>
                <w:szCs w:val="18"/>
              </w:rPr>
            </w:pPr>
            <w:r w:rsidRPr="00897ABC">
              <w:rPr>
                <w:rFonts w:ascii="Tahoma" w:hAnsi="Tahoma" w:cs="Tahoma"/>
                <w:b/>
                <w:bCs/>
                <w:sz w:val="18"/>
                <w:szCs w:val="18"/>
              </w:rPr>
              <w:t> </w:t>
            </w:r>
          </w:p>
        </w:tc>
      </w:tr>
      <w:tr w:rsidR="004D3A9A" w:rsidRPr="0062014C" w14:paraId="78E70B39" w14:textId="77777777" w:rsidTr="00B86BDE">
        <w:trPr>
          <w:trHeight w:val="304"/>
        </w:trPr>
        <w:tc>
          <w:tcPr>
            <w:tcW w:w="704" w:type="dxa"/>
            <w:shd w:val="clear" w:color="auto" w:fill="auto"/>
            <w:noWrap/>
            <w:vAlign w:val="center"/>
            <w:hideMark/>
          </w:tcPr>
          <w:p w14:paraId="6AF34647" w14:textId="77777777" w:rsidR="004D3A9A" w:rsidRPr="00897ABC" w:rsidRDefault="004D3A9A" w:rsidP="00B86BDE">
            <w:pPr>
              <w:jc w:val="center"/>
              <w:rPr>
                <w:rFonts w:ascii="Tahoma" w:hAnsi="Tahoma" w:cs="Tahoma"/>
                <w:sz w:val="18"/>
                <w:szCs w:val="18"/>
              </w:rPr>
            </w:pPr>
            <w:r>
              <w:rPr>
                <w:rFonts w:ascii="Tahoma" w:hAnsi="Tahoma" w:cs="Tahoma"/>
                <w:sz w:val="18"/>
                <w:szCs w:val="18"/>
              </w:rPr>
              <w:t>6</w:t>
            </w:r>
            <w:r w:rsidRPr="00897ABC">
              <w:rPr>
                <w:rFonts w:ascii="Tahoma" w:hAnsi="Tahoma" w:cs="Tahoma"/>
                <w:sz w:val="18"/>
                <w:szCs w:val="18"/>
              </w:rPr>
              <w:t>.1.</w:t>
            </w:r>
          </w:p>
        </w:tc>
        <w:tc>
          <w:tcPr>
            <w:tcW w:w="4820" w:type="dxa"/>
            <w:shd w:val="clear" w:color="000000" w:fill="FFFFFF"/>
            <w:vAlign w:val="center"/>
            <w:hideMark/>
          </w:tcPr>
          <w:p w14:paraId="11DBF7C6" w14:textId="77777777" w:rsidR="004D3A9A" w:rsidRPr="00897ABC" w:rsidRDefault="004D3A9A" w:rsidP="00B86BDE">
            <w:pPr>
              <w:rPr>
                <w:rFonts w:ascii="Tahoma" w:hAnsi="Tahoma" w:cs="Tahoma"/>
                <w:sz w:val="18"/>
                <w:szCs w:val="18"/>
              </w:rPr>
            </w:pPr>
            <w:r w:rsidRPr="00897ABC">
              <w:rPr>
                <w:rFonts w:ascii="Tahoma" w:hAnsi="Tahoma" w:cs="Tahoma"/>
                <w:sz w:val="18"/>
                <w:szCs w:val="18"/>
              </w:rPr>
              <w:t>Максимальный срок действия начисленных Баллов (с даты их фактического начисления)</w:t>
            </w:r>
            <w:r w:rsidRPr="00897ABC">
              <w:rPr>
                <w:rFonts w:ascii="Tahoma" w:hAnsi="Tahoma" w:cs="Tahoma"/>
                <w:sz w:val="18"/>
                <w:szCs w:val="18"/>
                <w:vertAlign w:val="superscript"/>
              </w:rPr>
              <w:t>5</w:t>
            </w:r>
          </w:p>
        </w:tc>
        <w:tc>
          <w:tcPr>
            <w:tcW w:w="9440" w:type="dxa"/>
            <w:shd w:val="clear" w:color="000000" w:fill="FFFFFF"/>
            <w:noWrap/>
            <w:vAlign w:val="center"/>
            <w:hideMark/>
          </w:tcPr>
          <w:p w14:paraId="3EBD22A6" w14:textId="77777777" w:rsidR="004D3A9A" w:rsidRPr="00897ABC" w:rsidRDefault="004D3A9A" w:rsidP="00B86BDE">
            <w:pPr>
              <w:jc w:val="center"/>
              <w:rPr>
                <w:rFonts w:ascii="Tahoma" w:hAnsi="Tahoma" w:cs="Tahoma"/>
                <w:sz w:val="18"/>
                <w:szCs w:val="18"/>
              </w:rPr>
            </w:pPr>
            <w:r w:rsidRPr="00897ABC">
              <w:rPr>
                <w:rFonts w:ascii="Tahoma" w:hAnsi="Tahoma" w:cs="Tahoma"/>
                <w:sz w:val="18"/>
                <w:szCs w:val="18"/>
              </w:rPr>
              <w:t xml:space="preserve">6 </w:t>
            </w:r>
            <w:r>
              <w:rPr>
                <w:rFonts w:ascii="Tahoma" w:hAnsi="Tahoma" w:cs="Tahoma"/>
                <w:sz w:val="18"/>
                <w:szCs w:val="18"/>
              </w:rPr>
              <w:t xml:space="preserve">(шесть) </w:t>
            </w:r>
            <w:r w:rsidRPr="00897ABC">
              <w:rPr>
                <w:rFonts w:ascii="Tahoma" w:hAnsi="Tahoma" w:cs="Tahoma"/>
                <w:sz w:val="18"/>
                <w:szCs w:val="18"/>
              </w:rPr>
              <w:t>мес.</w:t>
            </w:r>
          </w:p>
        </w:tc>
      </w:tr>
      <w:tr w:rsidR="004D3A9A" w:rsidRPr="0062014C" w14:paraId="36B8F0E3" w14:textId="77777777" w:rsidTr="00B86BDE">
        <w:trPr>
          <w:trHeight w:val="277"/>
        </w:trPr>
        <w:tc>
          <w:tcPr>
            <w:tcW w:w="704" w:type="dxa"/>
            <w:shd w:val="clear" w:color="auto" w:fill="D9D9D9" w:themeFill="background1" w:themeFillShade="D9"/>
            <w:noWrap/>
            <w:vAlign w:val="center"/>
            <w:hideMark/>
          </w:tcPr>
          <w:p w14:paraId="52A69081" w14:textId="77777777" w:rsidR="004D3A9A" w:rsidRPr="00897ABC" w:rsidRDefault="004D3A9A" w:rsidP="00B86BDE">
            <w:pPr>
              <w:jc w:val="center"/>
              <w:rPr>
                <w:rFonts w:ascii="Tahoma" w:hAnsi="Tahoma" w:cs="Tahoma"/>
                <w:b/>
                <w:bCs/>
                <w:sz w:val="18"/>
                <w:szCs w:val="18"/>
              </w:rPr>
            </w:pPr>
            <w:r>
              <w:rPr>
                <w:rFonts w:ascii="Tahoma" w:hAnsi="Tahoma" w:cs="Tahoma"/>
                <w:b/>
                <w:bCs/>
                <w:sz w:val="18"/>
                <w:szCs w:val="18"/>
              </w:rPr>
              <w:t>7</w:t>
            </w:r>
            <w:r w:rsidRPr="00897ABC">
              <w:rPr>
                <w:rFonts w:ascii="Tahoma" w:hAnsi="Tahoma" w:cs="Tahoma"/>
                <w:b/>
                <w:bCs/>
                <w:sz w:val="18"/>
                <w:szCs w:val="18"/>
              </w:rPr>
              <w:t>.</w:t>
            </w:r>
          </w:p>
        </w:tc>
        <w:tc>
          <w:tcPr>
            <w:tcW w:w="4820" w:type="dxa"/>
            <w:shd w:val="clear" w:color="auto" w:fill="D9D9D9" w:themeFill="background1" w:themeFillShade="D9"/>
            <w:noWrap/>
            <w:vAlign w:val="center"/>
            <w:hideMark/>
          </w:tcPr>
          <w:p w14:paraId="5B027602" w14:textId="77777777" w:rsidR="004D3A9A" w:rsidRPr="00897ABC" w:rsidRDefault="004D3A9A" w:rsidP="00B86BDE">
            <w:pPr>
              <w:rPr>
                <w:rFonts w:ascii="Tahoma" w:hAnsi="Tahoma" w:cs="Tahoma"/>
                <w:b/>
                <w:bCs/>
                <w:sz w:val="18"/>
                <w:szCs w:val="18"/>
              </w:rPr>
            </w:pPr>
            <w:r w:rsidRPr="00897ABC">
              <w:rPr>
                <w:rFonts w:ascii="Tahoma" w:hAnsi="Tahoma" w:cs="Tahoma"/>
                <w:b/>
                <w:bCs/>
                <w:sz w:val="18"/>
                <w:szCs w:val="18"/>
              </w:rPr>
              <w:t>Условия отключения Программы по инициативе Банка</w:t>
            </w:r>
          </w:p>
        </w:tc>
        <w:tc>
          <w:tcPr>
            <w:tcW w:w="9440" w:type="dxa"/>
            <w:shd w:val="clear" w:color="auto" w:fill="D9D9D9" w:themeFill="background1" w:themeFillShade="D9"/>
            <w:noWrap/>
            <w:vAlign w:val="center"/>
            <w:hideMark/>
          </w:tcPr>
          <w:p w14:paraId="08762011" w14:textId="77777777" w:rsidR="004D3A9A" w:rsidRPr="00897ABC" w:rsidRDefault="004D3A9A" w:rsidP="00B86BDE">
            <w:pPr>
              <w:rPr>
                <w:rFonts w:ascii="Tahoma" w:hAnsi="Tahoma" w:cs="Tahoma"/>
                <w:b/>
                <w:bCs/>
                <w:sz w:val="18"/>
                <w:szCs w:val="18"/>
              </w:rPr>
            </w:pPr>
            <w:r w:rsidRPr="00897ABC">
              <w:rPr>
                <w:rFonts w:ascii="Tahoma" w:hAnsi="Tahoma" w:cs="Tahoma"/>
                <w:b/>
                <w:bCs/>
                <w:sz w:val="18"/>
                <w:szCs w:val="18"/>
              </w:rPr>
              <w:t> </w:t>
            </w:r>
          </w:p>
        </w:tc>
      </w:tr>
      <w:tr w:rsidR="004D3A9A" w:rsidRPr="0062014C" w14:paraId="77B92092" w14:textId="77777777" w:rsidTr="00B86BDE">
        <w:trPr>
          <w:trHeight w:val="346"/>
        </w:trPr>
        <w:tc>
          <w:tcPr>
            <w:tcW w:w="704" w:type="dxa"/>
            <w:shd w:val="clear" w:color="auto" w:fill="auto"/>
            <w:noWrap/>
            <w:vAlign w:val="center"/>
            <w:hideMark/>
          </w:tcPr>
          <w:p w14:paraId="6FFDFD98" w14:textId="77777777" w:rsidR="004D3A9A" w:rsidRPr="00897ABC" w:rsidRDefault="004D3A9A" w:rsidP="00B86BDE">
            <w:pPr>
              <w:jc w:val="center"/>
              <w:rPr>
                <w:rFonts w:ascii="Tahoma" w:hAnsi="Tahoma" w:cs="Tahoma"/>
                <w:sz w:val="18"/>
                <w:szCs w:val="18"/>
              </w:rPr>
            </w:pPr>
            <w:r>
              <w:rPr>
                <w:rFonts w:ascii="Tahoma" w:hAnsi="Tahoma" w:cs="Tahoma"/>
                <w:sz w:val="18"/>
                <w:szCs w:val="18"/>
              </w:rPr>
              <w:t>7</w:t>
            </w:r>
            <w:r w:rsidRPr="00897ABC">
              <w:rPr>
                <w:rFonts w:ascii="Tahoma" w:hAnsi="Tahoma" w:cs="Tahoma"/>
                <w:sz w:val="18"/>
                <w:szCs w:val="18"/>
              </w:rPr>
              <w:t>.1.</w:t>
            </w:r>
          </w:p>
        </w:tc>
        <w:tc>
          <w:tcPr>
            <w:tcW w:w="14260" w:type="dxa"/>
            <w:gridSpan w:val="2"/>
            <w:shd w:val="clear" w:color="000000" w:fill="FFFFFF"/>
            <w:vAlign w:val="center"/>
            <w:hideMark/>
          </w:tcPr>
          <w:p w14:paraId="7DF694D8" w14:textId="77777777" w:rsidR="004D3A9A" w:rsidRPr="00897ABC" w:rsidRDefault="004D3A9A" w:rsidP="00B86BDE">
            <w:pPr>
              <w:rPr>
                <w:rFonts w:ascii="Tahoma" w:hAnsi="Tahoma" w:cs="Tahoma"/>
                <w:sz w:val="18"/>
                <w:szCs w:val="18"/>
              </w:rPr>
            </w:pPr>
            <w:r w:rsidRPr="00897ABC">
              <w:rPr>
                <w:rFonts w:ascii="Tahoma" w:hAnsi="Tahoma" w:cs="Tahoma"/>
                <w:sz w:val="18"/>
                <w:szCs w:val="18"/>
              </w:rPr>
              <w:t xml:space="preserve">Банк вправе приостановить </w:t>
            </w:r>
            <w:r>
              <w:rPr>
                <w:rFonts w:ascii="Tahoma" w:hAnsi="Tahoma" w:cs="Tahoma"/>
                <w:sz w:val="18"/>
                <w:szCs w:val="18"/>
              </w:rPr>
              <w:t>участие</w:t>
            </w:r>
            <w:r w:rsidRPr="00897ABC">
              <w:rPr>
                <w:rFonts w:ascii="Tahoma" w:hAnsi="Tahoma" w:cs="Tahoma"/>
                <w:sz w:val="18"/>
                <w:szCs w:val="18"/>
              </w:rPr>
              <w:t xml:space="preserve"> Клиента в Программе в одностороннем порядке на услов</w:t>
            </w:r>
            <w:r>
              <w:rPr>
                <w:rFonts w:ascii="Tahoma" w:hAnsi="Tahoma" w:cs="Tahoma"/>
                <w:sz w:val="18"/>
                <w:szCs w:val="18"/>
              </w:rPr>
              <w:t xml:space="preserve">иях, изложенных в </w:t>
            </w:r>
            <w:r w:rsidRPr="00897ABC">
              <w:rPr>
                <w:rFonts w:ascii="Tahoma" w:hAnsi="Tahoma" w:cs="Tahoma"/>
                <w:sz w:val="18"/>
                <w:szCs w:val="18"/>
              </w:rPr>
              <w:t>Программ</w:t>
            </w:r>
            <w:r>
              <w:rPr>
                <w:rFonts w:ascii="Tahoma" w:hAnsi="Tahoma" w:cs="Tahoma"/>
                <w:sz w:val="18"/>
                <w:szCs w:val="18"/>
              </w:rPr>
              <w:t>е</w:t>
            </w:r>
            <w:r w:rsidRPr="00897ABC">
              <w:rPr>
                <w:rFonts w:ascii="Tahoma" w:hAnsi="Tahoma" w:cs="Tahoma"/>
                <w:sz w:val="18"/>
                <w:szCs w:val="18"/>
              </w:rPr>
              <w:t xml:space="preserve"> Лояльности.</w:t>
            </w:r>
          </w:p>
        </w:tc>
      </w:tr>
      <w:tr w:rsidR="004D3A9A" w:rsidRPr="0062014C" w14:paraId="0595CD0C" w14:textId="77777777" w:rsidTr="00B86BDE">
        <w:trPr>
          <w:trHeight w:val="304"/>
        </w:trPr>
        <w:tc>
          <w:tcPr>
            <w:tcW w:w="5524" w:type="dxa"/>
            <w:gridSpan w:val="2"/>
            <w:shd w:val="clear" w:color="auto" w:fill="auto"/>
            <w:vAlign w:val="center"/>
            <w:hideMark/>
          </w:tcPr>
          <w:p w14:paraId="142375DB" w14:textId="77777777" w:rsidR="004D3A9A" w:rsidRPr="00897ABC" w:rsidRDefault="004D3A9A" w:rsidP="00B86BDE">
            <w:pPr>
              <w:rPr>
                <w:rFonts w:ascii="Tahoma" w:hAnsi="Tahoma" w:cs="Tahoma"/>
                <w:b/>
                <w:bCs/>
                <w:sz w:val="18"/>
                <w:szCs w:val="18"/>
              </w:rPr>
            </w:pPr>
            <w:r w:rsidRPr="00897ABC">
              <w:rPr>
                <w:rFonts w:ascii="Tahoma" w:hAnsi="Tahoma" w:cs="Tahoma"/>
                <w:b/>
                <w:bCs/>
                <w:sz w:val="18"/>
                <w:szCs w:val="18"/>
              </w:rPr>
              <w:t>Примечания:</w:t>
            </w:r>
          </w:p>
        </w:tc>
        <w:tc>
          <w:tcPr>
            <w:tcW w:w="9440" w:type="dxa"/>
            <w:shd w:val="clear" w:color="auto" w:fill="auto"/>
            <w:vAlign w:val="center"/>
            <w:hideMark/>
          </w:tcPr>
          <w:p w14:paraId="2F6D0CEE" w14:textId="77777777" w:rsidR="004D3A9A" w:rsidRPr="00897ABC" w:rsidRDefault="004D3A9A" w:rsidP="00B86BDE">
            <w:pPr>
              <w:rPr>
                <w:rFonts w:ascii="Tahoma" w:hAnsi="Tahoma" w:cs="Tahoma"/>
                <w:b/>
                <w:bCs/>
                <w:sz w:val="18"/>
                <w:szCs w:val="18"/>
              </w:rPr>
            </w:pPr>
            <w:r w:rsidRPr="00897ABC">
              <w:rPr>
                <w:rFonts w:ascii="Tahoma" w:hAnsi="Tahoma" w:cs="Tahoma"/>
                <w:b/>
                <w:bCs/>
                <w:sz w:val="18"/>
                <w:szCs w:val="18"/>
              </w:rPr>
              <w:t> </w:t>
            </w:r>
          </w:p>
        </w:tc>
      </w:tr>
      <w:tr w:rsidR="004D3A9A" w:rsidRPr="0062014C" w14:paraId="77AAF7A8" w14:textId="77777777" w:rsidTr="00B86BDE">
        <w:trPr>
          <w:trHeight w:val="3876"/>
        </w:trPr>
        <w:tc>
          <w:tcPr>
            <w:tcW w:w="14964" w:type="dxa"/>
            <w:gridSpan w:val="3"/>
            <w:shd w:val="clear" w:color="000000" w:fill="FFFFFF"/>
            <w:hideMark/>
          </w:tcPr>
          <w:p w14:paraId="5EE7FCE1" w14:textId="77777777" w:rsidR="004D3A9A" w:rsidRDefault="004D3A9A" w:rsidP="00B86BDE">
            <w:pPr>
              <w:rPr>
                <w:rFonts w:ascii="Tahoma" w:hAnsi="Tahoma" w:cs="Tahoma"/>
                <w:sz w:val="18"/>
                <w:szCs w:val="18"/>
              </w:rPr>
            </w:pPr>
            <w:r w:rsidRPr="00897ABC">
              <w:rPr>
                <w:rFonts w:ascii="Tahoma" w:hAnsi="Tahoma" w:cs="Tahoma"/>
                <w:sz w:val="18"/>
                <w:szCs w:val="18"/>
                <w:vertAlign w:val="superscript"/>
              </w:rPr>
              <w:t>1</w:t>
            </w:r>
            <w:r w:rsidRPr="00897ABC">
              <w:rPr>
                <w:rFonts w:ascii="Tahoma" w:hAnsi="Tahoma" w:cs="Tahoma"/>
                <w:sz w:val="18"/>
                <w:szCs w:val="18"/>
              </w:rPr>
              <w:t xml:space="preserve"> Конвертация в денежном эквиваленте из расчета 1 Балл=1 Российский рубль</w:t>
            </w:r>
            <w:r>
              <w:rPr>
                <w:rFonts w:ascii="Tahoma" w:hAnsi="Tahoma" w:cs="Tahoma"/>
                <w:sz w:val="18"/>
                <w:szCs w:val="18"/>
              </w:rPr>
              <w:t>.</w:t>
            </w:r>
          </w:p>
          <w:p w14:paraId="04DD346F" w14:textId="77777777" w:rsidR="004D3A9A" w:rsidRPr="00897ABC" w:rsidRDefault="004D3A9A" w:rsidP="00B86BDE">
            <w:pPr>
              <w:rPr>
                <w:rFonts w:ascii="Tahoma" w:hAnsi="Tahoma" w:cs="Tahoma"/>
                <w:sz w:val="18"/>
                <w:szCs w:val="18"/>
              </w:rPr>
            </w:pPr>
            <w:r w:rsidRPr="00897ABC">
              <w:rPr>
                <w:rFonts w:ascii="Tahoma" w:hAnsi="Tahoma" w:cs="Tahoma"/>
                <w:sz w:val="18"/>
                <w:szCs w:val="18"/>
                <w:vertAlign w:val="superscript"/>
              </w:rPr>
              <w:t>2</w:t>
            </w:r>
            <w:r w:rsidRPr="00897ABC">
              <w:rPr>
                <w:rFonts w:ascii="Tahoma" w:hAnsi="Tahoma" w:cs="Tahoma"/>
                <w:sz w:val="18"/>
                <w:szCs w:val="18"/>
              </w:rPr>
              <w:t xml:space="preserve"> Банк - «Азиатско-Тихоокеанский Банк» (Акционерное общество).</w:t>
            </w:r>
          </w:p>
          <w:p w14:paraId="353140FE" w14:textId="77777777" w:rsidR="004D3A9A" w:rsidRPr="00897ABC" w:rsidRDefault="004D3A9A" w:rsidP="00B86BDE">
            <w:pPr>
              <w:rPr>
                <w:rFonts w:ascii="Tahoma" w:hAnsi="Tahoma" w:cs="Tahoma"/>
                <w:sz w:val="18"/>
                <w:szCs w:val="18"/>
              </w:rPr>
            </w:pPr>
            <w:r w:rsidRPr="00897ABC">
              <w:rPr>
                <w:rFonts w:ascii="Tahoma" w:hAnsi="Tahoma" w:cs="Tahoma"/>
                <w:sz w:val="18"/>
                <w:szCs w:val="18"/>
                <w:vertAlign w:val="superscript"/>
              </w:rPr>
              <w:t>3</w:t>
            </w:r>
            <w:r w:rsidRPr="00897ABC">
              <w:rPr>
                <w:rFonts w:ascii="Tahoma" w:hAnsi="Tahoma" w:cs="Tahoma"/>
                <w:sz w:val="18"/>
                <w:szCs w:val="18"/>
              </w:rPr>
              <w:t xml:space="preserve"> Баллы, начисляются только на Транзакции за исключением списка исключений MCC кодов опубликованных на сайте Банка и в правилах Программы лояльности, указанной в п 1.2 </w:t>
            </w:r>
            <w:r>
              <w:rPr>
                <w:rFonts w:ascii="Tahoma" w:hAnsi="Tahoma" w:cs="Tahoma"/>
                <w:sz w:val="18"/>
                <w:szCs w:val="18"/>
              </w:rPr>
              <w:t>П</w:t>
            </w:r>
            <w:r w:rsidRPr="00897ABC">
              <w:rPr>
                <w:rFonts w:ascii="Tahoma" w:hAnsi="Tahoma" w:cs="Tahoma"/>
                <w:sz w:val="18"/>
                <w:szCs w:val="18"/>
              </w:rPr>
              <w:t xml:space="preserve">рограммы </w:t>
            </w:r>
          </w:p>
          <w:p w14:paraId="3D9732BB" w14:textId="77777777" w:rsidR="004D3A9A" w:rsidRPr="0062014C" w:rsidRDefault="004D3A9A" w:rsidP="00B86BDE">
            <w:pPr>
              <w:rPr>
                <w:rFonts w:ascii="Tahoma" w:hAnsi="Tahoma" w:cs="Tahoma"/>
                <w:sz w:val="18"/>
                <w:szCs w:val="18"/>
              </w:rPr>
            </w:pPr>
            <w:r w:rsidRPr="0062014C">
              <w:rPr>
                <w:rFonts w:ascii="Tahoma" w:hAnsi="Tahoma" w:cs="Tahoma"/>
                <w:sz w:val="18"/>
                <w:szCs w:val="18"/>
                <w:vertAlign w:val="superscript"/>
              </w:rPr>
              <w:t>4</w:t>
            </w:r>
            <w:r w:rsidRPr="0062014C">
              <w:rPr>
                <w:rFonts w:ascii="Tahoma" w:hAnsi="Tahoma" w:cs="Tahoma"/>
                <w:sz w:val="18"/>
                <w:szCs w:val="18"/>
              </w:rPr>
              <w:t xml:space="preserve"> Ограничение по минимальному транзакционному обороту применяется с первого полного календарного месяца, следующего за месяцем, в котором Клиенту была выдана Банковская карта. При расчете минимального транзакционного оборота учитываются операции в торгово-сервисных предприятиях (за исключением операций, подпадающих в список исключений МСС-кодов, </w:t>
            </w:r>
            <w:r w:rsidRPr="00604116">
              <w:rPr>
                <w:rFonts w:ascii="Tahoma" w:hAnsi="Tahoma" w:cs="Tahoma"/>
                <w:sz w:val="18"/>
                <w:szCs w:val="18"/>
              </w:rPr>
              <w:t>в соответствии с п. 2.8. Программы</w:t>
            </w:r>
            <w:r w:rsidRPr="0062014C">
              <w:rPr>
                <w:rFonts w:ascii="Tahoma" w:hAnsi="Tahoma" w:cs="Tahoma"/>
                <w:sz w:val="18"/>
                <w:szCs w:val="18"/>
              </w:rPr>
              <w:t>), округленные в меньшую сторону до суммы кратной 100 рублям.</w:t>
            </w:r>
          </w:p>
          <w:p w14:paraId="6C81FD55" w14:textId="77777777" w:rsidR="004D3A9A" w:rsidRPr="0062014C" w:rsidRDefault="004D3A9A" w:rsidP="00B86BDE">
            <w:pPr>
              <w:rPr>
                <w:rFonts w:ascii="Tahoma" w:hAnsi="Tahoma" w:cs="Tahoma"/>
                <w:color w:val="000000"/>
                <w:sz w:val="18"/>
                <w:szCs w:val="18"/>
              </w:rPr>
            </w:pPr>
            <w:r w:rsidRPr="0062014C">
              <w:rPr>
                <w:rFonts w:ascii="Tahoma" w:hAnsi="Tahoma" w:cs="Tahoma"/>
                <w:color w:val="000000"/>
                <w:sz w:val="18"/>
                <w:szCs w:val="18"/>
                <w:vertAlign w:val="superscript"/>
              </w:rPr>
              <w:t>5</w:t>
            </w:r>
            <w:r w:rsidRPr="0062014C">
              <w:rPr>
                <w:rFonts w:ascii="Tahoma" w:hAnsi="Tahoma" w:cs="Tahoma"/>
                <w:color w:val="000000"/>
                <w:sz w:val="18"/>
                <w:szCs w:val="18"/>
              </w:rPr>
              <w:t xml:space="preserve"> Если Клиент не воспользовался Бонусными Баллами в течение указанного срока, то они сгорают(списываются) без возможности использования Клиентом, без возмещения ему.</w:t>
            </w:r>
          </w:p>
          <w:p w14:paraId="51E09812" w14:textId="77777777" w:rsidR="004D3A9A" w:rsidRPr="0062014C" w:rsidRDefault="004D3A9A" w:rsidP="00B86BDE">
            <w:pPr>
              <w:rPr>
                <w:rFonts w:ascii="Tahoma" w:hAnsi="Tahoma" w:cs="Tahoma"/>
                <w:color w:val="000000"/>
                <w:sz w:val="18"/>
                <w:szCs w:val="18"/>
              </w:rPr>
            </w:pPr>
            <w:r w:rsidRPr="0062014C">
              <w:rPr>
                <w:rFonts w:ascii="Tahoma" w:hAnsi="Tahoma" w:cs="Tahoma"/>
                <w:color w:val="000000"/>
                <w:sz w:val="18"/>
                <w:szCs w:val="18"/>
                <w:vertAlign w:val="superscript"/>
              </w:rPr>
              <w:t>6</w:t>
            </w:r>
            <w:r w:rsidRPr="0062014C">
              <w:rPr>
                <w:rFonts w:ascii="Tahoma" w:hAnsi="Tahoma" w:cs="Tahoma"/>
                <w:color w:val="000000"/>
                <w:sz w:val="18"/>
                <w:szCs w:val="18"/>
              </w:rPr>
              <w:t xml:space="preserve"> Если сумма накопленных Баллов превышает лимит списания указанный в п.2.5 </w:t>
            </w:r>
            <w:r>
              <w:rPr>
                <w:rFonts w:ascii="Tahoma" w:hAnsi="Tahoma" w:cs="Tahoma"/>
                <w:color w:val="000000"/>
                <w:sz w:val="18"/>
                <w:szCs w:val="18"/>
              </w:rPr>
              <w:t>П</w:t>
            </w:r>
            <w:r w:rsidRPr="0062014C">
              <w:rPr>
                <w:rFonts w:ascii="Tahoma" w:hAnsi="Tahoma" w:cs="Tahoma"/>
                <w:color w:val="000000"/>
                <w:sz w:val="18"/>
                <w:szCs w:val="18"/>
              </w:rPr>
              <w:t xml:space="preserve">рограммы, остатком Баллов можно воспользоваться в следующем периоде (месяце) в пределах максимального срока действия начисленных Баллов, указанного в п. </w:t>
            </w:r>
            <w:r>
              <w:rPr>
                <w:rFonts w:ascii="Tahoma" w:hAnsi="Tahoma" w:cs="Tahoma"/>
                <w:color w:val="000000"/>
                <w:sz w:val="18"/>
                <w:szCs w:val="18"/>
              </w:rPr>
              <w:t>6</w:t>
            </w:r>
            <w:r w:rsidRPr="0062014C">
              <w:rPr>
                <w:rFonts w:ascii="Tahoma" w:hAnsi="Tahoma" w:cs="Tahoma"/>
                <w:color w:val="000000"/>
                <w:sz w:val="18"/>
                <w:szCs w:val="18"/>
              </w:rPr>
              <w:t xml:space="preserve">. </w:t>
            </w:r>
            <w:r>
              <w:rPr>
                <w:rFonts w:ascii="Tahoma" w:hAnsi="Tahoma" w:cs="Tahoma"/>
                <w:color w:val="000000"/>
                <w:sz w:val="18"/>
                <w:szCs w:val="18"/>
              </w:rPr>
              <w:t>П</w:t>
            </w:r>
            <w:r w:rsidRPr="0062014C">
              <w:rPr>
                <w:rFonts w:ascii="Tahoma" w:hAnsi="Tahoma" w:cs="Tahoma"/>
                <w:color w:val="000000"/>
                <w:sz w:val="18"/>
                <w:szCs w:val="18"/>
              </w:rPr>
              <w:t>рограммы</w:t>
            </w:r>
          </w:p>
          <w:p w14:paraId="3036BD7C" w14:textId="77777777" w:rsidR="004D3A9A" w:rsidRPr="0062014C" w:rsidRDefault="004D3A9A" w:rsidP="00B86BDE">
            <w:pPr>
              <w:rPr>
                <w:rFonts w:ascii="Tahoma" w:hAnsi="Tahoma" w:cs="Tahoma"/>
                <w:color w:val="000000"/>
                <w:sz w:val="18"/>
                <w:szCs w:val="18"/>
              </w:rPr>
            </w:pPr>
            <w:r w:rsidRPr="0062014C">
              <w:rPr>
                <w:rFonts w:ascii="Tahoma" w:hAnsi="Tahoma" w:cs="Tahoma"/>
                <w:color w:val="000000"/>
                <w:sz w:val="18"/>
                <w:szCs w:val="18"/>
                <w:vertAlign w:val="superscript"/>
              </w:rPr>
              <w:t>7</w:t>
            </w:r>
            <w:r>
              <w:rPr>
                <w:rFonts w:ascii="Tahoma" w:hAnsi="Tahoma" w:cs="Tahoma"/>
                <w:color w:val="000000"/>
                <w:sz w:val="18"/>
                <w:szCs w:val="18"/>
                <w:vertAlign w:val="superscript"/>
              </w:rPr>
              <w:t xml:space="preserve"> </w:t>
            </w:r>
            <w:r w:rsidRPr="0062014C">
              <w:rPr>
                <w:rFonts w:ascii="Tahoma" w:hAnsi="Tahoma" w:cs="Tahoma"/>
                <w:color w:val="000000"/>
                <w:sz w:val="18"/>
                <w:szCs w:val="18"/>
              </w:rPr>
              <w:t>При расчете вознаграждения, начисление происходит из расчета 1 (Один) балл за каждые достигнутые 100 рублей транзакций</w:t>
            </w:r>
            <w:r>
              <w:rPr>
                <w:rFonts w:ascii="Tahoma" w:hAnsi="Tahoma" w:cs="Tahoma"/>
                <w:color w:val="000000"/>
                <w:sz w:val="18"/>
                <w:szCs w:val="18"/>
              </w:rPr>
              <w:t xml:space="preserve"> </w:t>
            </w:r>
            <w:r w:rsidRPr="00B801C5">
              <w:rPr>
                <w:rFonts w:ascii="Tahoma" w:hAnsi="Tahoma" w:cs="Tahoma"/>
                <w:color w:val="000000"/>
                <w:sz w:val="18"/>
                <w:szCs w:val="18"/>
              </w:rPr>
              <w:t>с округлением количества баллов до целого числа в меньшую сторону</w:t>
            </w:r>
            <w:r w:rsidRPr="0062014C">
              <w:rPr>
                <w:rFonts w:ascii="Tahoma" w:hAnsi="Tahoma" w:cs="Tahoma"/>
                <w:color w:val="000000"/>
                <w:sz w:val="18"/>
                <w:szCs w:val="18"/>
              </w:rPr>
              <w:t>. На остаток суммы транзакции (не кратный 100 рублям) Баллы не начисляются). Например: если  Клиентом совершена покупка (Транзакция) на сумму 1578 рублей, то Баллы будут начислены на сумму 1500 рублей.</w:t>
            </w:r>
          </w:p>
          <w:p w14:paraId="3F101ACF" w14:textId="77777777" w:rsidR="004D3A9A" w:rsidRPr="00CB0CE7" w:rsidRDefault="004D3A9A" w:rsidP="00B86BDE">
            <w:pPr>
              <w:rPr>
                <w:rFonts w:ascii="Tahoma" w:hAnsi="Tahoma" w:cs="Tahoma"/>
                <w:color w:val="000000"/>
                <w:sz w:val="18"/>
                <w:szCs w:val="18"/>
              </w:rPr>
            </w:pPr>
            <w:r w:rsidRPr="0062014C">
              <w:rPr>
                <w:rFonts w:ascii="Tahoma" w:hAnsi="Tahoma" w:cs="Tahoma"/>
                <w:color w:val="000000"/>
                <w:sz w:val="18"/>
                <w:szCs w:val="18"/>
                <w:vertAlign w:val="superscript"/>
              </w:rPr>
              <w:t>8</w:t>
            </w:r>
            <w:r>
              <w:rPr>
                <w:rFonts w:ascii="Tahoma" w:hAnsi="Tahoma" w:cs="Tahoma"/>
                <w:color w:val="000000"/>
                <w:sz w:val="18"/>
                <w:szCs w:val="18"/>
                <w:vertAlign w:val="superscript"/>
              </w:rPr>
              <w:t xml:space="preserve"> </w:t>
            </w:r>
            <w:r w:rsidRPr="00460E08">
              <w:rPr>
                <w:rFonts w:ascii="Tahoma" w:hAnsi="Tahoma" w:cs="Tahoma"/>
                <w:color w:val="000000"/>
                <w:sz w:val="18"/>
                <w:szCs w:val="18"/>
              </w:rPr>
              <w:t>Банк на ежемесячной основе не позднее 25 числа каждого календарного месяца определяет перечень категорий, доступных Клиенту для подключения в Личном кабинете для начисления Баллов за покупки в отдельных категориях на следующий календарный месяц.</w:t>
            </w:r>
            <w:r>
              <w:rPr>
                <w:rFonts w:ascii="Tahoma" w:hAnsi="Tahoma" w:cs="Tahoma"/>
                <w:color w:val="000000"/>
                <w:sz w:val="18"/>
                <w:szCs w:val="18"/>
              </w:rPr>
              <w:t xml:space="preserve"> </w:t>
            </w:r>
            <w:r w:rsidRPr="0062014C">
              <w:rPr>
                <w:rFonts w:ascii="Tahoma" w:hAnsi="Tahoma" w:cs="Tahoma"/>
                <w:color w:val="000000"/>
                <w:sz w:val="18"/>
                <w:szCs w:val="18"/>
              </w:rPr>
              <w:t>Клиентом может быть подключена только одна Категория повышенных Баллов в отчётном периоде (месяце).</w:t>
            </w:r>
          </w:p>
          <w:p w14:paraId="67E14C17" w14:textId="77777777" w:rsidR="004D3A9A" w:rsidRPr="00BC7920" w:rsidRDefault="004D3A9A" w:rsidP="00B86BDE">
            <w:pPr>
              <w:rPr>
                <w:rFonts w:ascii="Tahoma" w:hAnsi="Tahoma" w:cs="Tahoma"/>
                <w:sz w:val="18"/>
                <w:szCs w:val="18"/>
              </w:rPr>
            </w:pPr>
            <w:r w:rsidRPr="00BC7920">
              <w:rPr>
                <w:rFonts w:ascii="Tahoma" w:hAnsi="Tahoma" w:cs="Tahoma"/>
                <w:sz w:val="18"/>
                <w:szCs w:val="18"/>
                <w:vertAlign w:val="superscript"/>
              </w:rPr>
              <w:t>9</w:t>
            </w:r>
            <w:r>
              <w:rPr>
                <w:rFonts w:ascii="Tahoma" w:hAnsi="Tahoma" w:cs="Tahoma"/>
                <w:sz w:val="18"/>
                <w:szCs w:val="18"/>
                <w:vertAlign w:val="superscript"/>
              </w:rPr>
              <w:t xml:space="preserve"> </w:t>
            </w:r>
            <w:r w:rsidRPr="00BC7920">
              <w:rPr>
                <w:rFonts w:ascii="Tahoma" w:hAnsi="Tahoma" w:cs="Tahoma"/>
                <w:sz w:val="18"/>
                <w:szCs w:val="18"/>
              </w:rPr>
              <w:t>Клиент – физическое лицо, заключившее с Банком Договор Карты.</w:t>
            </w:r>
          </w:p>
          <w:p w14:paraId="493106D7" w14:textId="77777777" w:rsidR="004D3A9A" w:rsidRDefault="004D3A9A" w:rsidP="00B86BDE">
            <w:pPr>
              <w:rPr>
                <w:rFonts w:ascii="Tahoma" w:hAnsi="Tahoma" w:cs="Tahoma"/>
                <w:sz w:val="18"/>
                <w:szCs w:val="18"/>
              </w:rPr>
            </w:pPr>
            <w:r w:rsidRPr="00BC7920">
              <w:rPr>
                <w:rFonts w:ascii="Tahoma" w:hAnsi="Tahoma" w:cs="Tahoma"/>
                <w:sz w:val="18"/>
                <w:szCs w:val="18"/>
                <w:vertAlign w:val="superscript"/>
              </w:rPr>
              <w:t>11</w:t>
            </w:r>
            <w:r w:rsidRPr="00BC7920">
              <w:rPr>
                <w:rFonts w:ascii="Tahoma" w:hAnsi="Tahoma" w:cs="Tahoma"/>
                <w:sz w:val="18"/>
                <w:szCs w:val="18"/>
              </w:rPr>
              <w:t xml:space="preserve"> применяется в том числе при достижении максимальной суммы в рамках лимитов начисления </w:t>
            </w:r>
            <w:r>
              <w:rPr>
                <w:rFonts w:ascii="Tahoma" w:hAnsi="Tahoma" w:cs="Tahoma"/>
                <w:sz w:val="18"/>
                <w:szCs w:val="18"/>
              </w:rPr>
              <w:t>Б</w:t>
            </w:r>
            <w:r w:rsidRPr="00BC7920">
              <w:rPr>
                <w:rFonts w:ascii="Tahoma" w:hAnsi="Tahoma" w:cs="Tahoma"/>
                <w:sz w:val="18"/>
                <w:szCs w:val="18"/>
              </w:rPr>
              <w:t xml:space="preserve">аллов в </w:t>
            </w:r>
            <w:r>
              <w:rPr>
                <w:rFonts w:ascii="Tahoma" w:hAnsi="Tahoma" w:cs="Tahoma"/>
                <w:sz w:val="18"/>
                <w:szCs w:val="18"/>
              </w:rPr>
              <w:t xml:space="preserve">повышенных </w:t>
            </w:r>
            <w:r w:rsidRPr="00BC7920">
              <w:rPr>
                <w:rFonts w:ascii="Tahoma" w:hAnsi="Tahoma" w:cs="Tahoma"/>
                <w:sz w:val="18"/>
                <w:szCs w:val="18"/>
              </w:rPr>
              <w:t>категориях</w:t>
            </w:r>
            <w:r>
              <w:rPr>
                <w:rFonts w:ascii="Tahoma" w:hAnsi="Tahoma" w:cs="Tahoma"/>
                <w:sz w:val="18"/>
                <w:szCs w:val="18"/>
              </w:rPr>
              <w:t xml:space="preserve"> расчета Баллов</w:t>
            </w:r>
            <w:r w:rsidRPr="00BC7920">
              <w:rPr>
                <w:rFonts w:ascii="Tahoma" w:hAnsi="Tahoma" w:cs="Tahoma"/>
                <w:sz w:val="18"/>
                <w:szCs w:val="18"/>
              </w:rPr>
              <w:t>. Одна операция может частично рассчитаться по повышенной и стандартной категории</w:t>
            </w:r>
            <w:r>
              <w:rPr>
                <w:rFonts w:ascii="Tahoma" w:hAnsi="Tahoma" w:cs="Tahoma"/>
                <w:sz w:val="18"/>
                <w:szCs w:val="18"/>
              </w:rPr>
              <w:t xml:space="preserve"> расчета Баллов</w:t>
            </w:r>
            <w:r w:rsidRPr="00BC7920">
              <w:rPr>
                <w:rFonts w:ascii="Tahoma" w:hAnsi="Tahoma" w:cs="Tahoma"/>
                <w:sz w:val="18"/>
                <w:szCs w:val="18"/>
              </w:rPr>
              <w:t>.</w:t>
            </w:r>
          </w:p>
          <w:p w14:paraId="78E042F0" w14:textId="77777777" w:rsidR="004D3A9A" w:rsidRPr="00897ABC" w:rsidRDefault="004D3A9A" w:rsidP="00B86BDE">
            <w:pPr>
              <w:rPr>
                <w:rFonts w:ascii="Tahoma" w:hAnsi="Tahoma" w:cs="Tahoma"/>
                <w:sz w:val="18"/>
                <w:szCs w:val="18"/>
              </w:rPr>
            </w:pPr>
            <w:r w:rsidRPr="00DC25C6">
              <w:rPr>
                <w:rFonts w:ascii="Tahoma" w:hAnsi="Tahoma" w:cs="Tahoma"/>
                <w:sz w:val="18"/>
                <w:szCs w:val="18"/>
                <w:vertAlign w:val="superscript"/>
              </w:rPr>
              <w:t>12</w:t>
            </w:r>
            <w:r w:rsidRPr="00DC25C6">
              <w:rPr>
                <w:rFonts w:ascii="Tahoma" w:hAnsi="Tahoma" w:cs="Tahoma"/>
                <w:sz w:val="18"/>
                <w:szCs w:val="18"/>
              </w:rPr>
              <w:t>Под «Заработной платой» понимаются исключительно поступления денежных средств на счет Карты Клиента, которые можно отнести к таковым согласно действующему законодательству Российской Федерации.</w:t>
            </w:r>
          </w:p>
          <w:p w14:paraId="4E74F36A" w14:textId="77777777" w:rsidR="004D3A9A" w:rsidRPr="00A628E6" w:rsidRDefault="004D3A9A" w:rsidP="00B86BDE">
            <w:pPr>
              <w:ind w:left="-115"/>
              <w:rPr>
                <w:rFonts w:ascii="Tahoma" w:hAnsi="Tahoma" w:cs="Tahoma"/>
                <w:color w:val="000000"/>
                <w:sz w:val="18"/>
                <w:szCs w:val="18"/>
              </w:rPr>
            </w:pPr>
            <w:r w:rsidRPr="0062014C">
              <w:rPr>
                <w:rFonts w:ascii="Tahoma" w:hAnsi="Tahoma" w:cs="Tahoma"/>
                <w:color w:val="000000"/>
                <w:sz w:val="18"/>
                <w:szCs w:val="18"/>
              </w:rPr>
              <w:t xml:space="preserve"> Термины, значение которым не приведено  в настоящей Бонусной программе, используются в значении, указанном в Программе лояльности.</w:t>
            </w:r>
          </w:p>
        </w:tc>
      </w:tr>
    </w:tbl>
    <w:p w14:paraId="25B1E70F" w14:textId="3B2F3A7F" w:rsidR="001C3069" w:rsidRDefault="001C3069" w:rsidP="004E30AD">
      <w:pPr>
        <w:rPr>
          <w:rFonts w:ascii="Tahoma" w:hAnsi="Tahoma" w:cs="Tahoma"/>
          <w:b/>
          <w:noProof/>
          <w:sz w:val="22"/>
          <w:szCs w:val="22"/>
        </w:rPr>
      </w:pPr>
    </w:p>
    <w:p w14:paraId="06C9D3F6" w14:textId="77777777" w:rsidR="00931685" w:rsidRDefault="00931685" w:rsidP="004E30AD">
      <w:pPr>
        <w:rPr>
          <w:rFonts w:ascii="Tahoma" w:hAnsi="Tahoma" w:cs="Tahoma"/>
          <w:b/>
          <w:noProof/>
          <w:sz w:val="22"/>
          <w:szCs w:val="22"/>
        </w:rPr>
      </w:pPr>
    </w:p>
    <w:p w14:paraId="5BC0A2B7" w14:textId="37BA7290" w:rsidR="004E30AD" w:rsidRPr="00CE5927" w:rsidRDefault="009C3EB4" w:rsidP="004E30AD">
      <w:pPr>
        <w:rPr>
          <w:rFonts w:ascii="Tahoma" w:hAnsi="Tahoma" w:cs="Tahoma"/>
          <w:b/>
          <w:noProof/>
          <w:sz w:val="22"/>
          <w:szCs w:val="22"/>
        </w:rPr>
      </w:pPr>
      <w:r w:rsidRPr="00CE5927">
        <w:rPr>
          <w:rFonts w:ascii="Tahoma" w:hAnsi="Tahoma" w:cs="Tahoma"/>
          <w:b/>
          <w:noProof/>
          <w:sz w:val="22"/>
          <w:szCs w:val="22"/>
        </w:rPr>
        <mc:AlternateContent>
          <mc:Choice Requires="wps">
            <w:drawing>
              <wp:anchor distT="0" distB="0" distL="114300" distR="114300" simplePos="0" relativeHeight="251654656" behindDoc="0" locked="0" layoutInCell="1" allowOverlap="1" wp14:anchorId="7078DD4D" wp14:editId="79CC9D1A">
                <wp:simplePos x="0" y="0"/>
                <wp:positionH relativeFrom="column">
                  <wp:posOffset>20955</wp:posOffset>
                </wp:positionH>
                <wp:positionV relativeFrom="paragraph">
                  <wp:posOffset>29845</wp:posOffset>
                </wp:positionV>
                <wp:extent cx="6696075" cy="514350"/>
                <wp:effectExtent l="20955" t="27305" r="36195" b="48895"/>
                <wp:wrapNone/>
                <wp:docPr id="7" name="AutoShap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96075" cy="514350"/>
                        </a:xfrm>
                        <a:prstGeom prst="roundRect">
                          <a:avLst>
                            <a:gd name="adj" fmla="val 16667"/>
                          </a:avLst>
                        </a:prstGeom>
                        <a:solidFill>
                          <a:srgbClr val="F79646"/>
                        </a:solidFill>
                        <a:ln w="38100">
                          <a:solidFill>
                            <a:srgbClr val="F2F2F2"/>
                          </a:solidFill>
                          <a:round/>
                          <a:headEnd/>
                          <a:tailEnd/>
                        </a:ln>
                        <a:effectLst>
                          <a:outerShdw dist="28398" dir="3806097" algn="ctr" rotWithShape="0">
                            <a:srgbClr val="974706">
                              <a:alpha val="50000"/>
                            </a:srgbClr>
                          </a:outerShdw>
                        </a:effectLst>
                      </wps:spPr>
                      <wps:txbx>
                        <w:txbxContent>
                          <w:p w14:paraId="334477F0" w14:textId="77777777" w:rsidR="009D1253" w:rsidRPr="00176A55" w:rsidRDefault="009D1253" w:rsidP="004E30AD">
                            <w:pPr>
                              <w:rPr>
                                <w:rFonts w:ascii="Arial Narrow" w:hAnsi="Arial Narrow"/>
                                <w:sz w:val="56"/>
                                <w:szCs w:val="56"/>
                              </w:rPr>
                            </w:pPr>
                            <w:r>
                              <w:rPr>
                                <w:rFonts w:ascii="Arial Narrow" w:hAnsi="Arial Narrow"/>
                                <w:sz w:val="56"/>
                                <w:szCs w:val="56"/>
                              </w:rPr>
                              <w:t>5</w:t>
                            </w:r>
                            <w:r w:rsidRPr="00176A55">
                              <w:rPr>
                                <w:rFonts w:ascii="Arial Narrow" w:hAnsi="Arial Narrow"/>
                                <w:sz w:val="56"/>
                                <w:szCs w:val="56"/>
                              </w:rPr>
                              <w:t>. Дистанционные банковские сервисы.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078DD4D" id="AutoShape 283" o:spid="_x0000_s1027" style="position:absolute;margin-left:1.65pt;margin-top:2.35pt;width:527.25pt;height:40.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" fillcolor="#f79646" strokecolor="#f2f2f2" strokeweight="3pt">
                <v:shadow on="t" color="#974706" opacity=".5" offset="1pt"/>
                <v:textbox>
                  <w:txbxContent>
                    <w:p w14:paraId="334477F0" w14:textId="77777777" w:rsidR="009D1253" w:rsidRPr="00176A55" w:rsidRDefault="009D1253" w:rsidP="004E30AD">
                      <w:pPr>
                        <w:rPr>
                          <w:rFonts w:ascii="Arial Narrow" w:hAnsi="Arial Narrow"/>
                          <w:sz w:val="56"/>
                          <w:szCs w:val="56"/>
                        </w:rPr>
                      </w:pPr>
                      <w:r>
                        <w:rPr>
                          <w:rFonts w:ascii="Arial Narrow" w:hAnsi="Arial Narrow"/>
                          <w:sz w:val="56"/>
                          <w:szCs w:val="56"/>
                        </w:rPr>
                        <w:t>5</w:t>
                      </w:r>
                      <w:r w:rsidRPr="00176A55">
                        <w:rPr>
                          <w:rFonts w:ascii="Arial Narrow" w:hAnsi="Arial Narrow"/>
                          <w:sz w:val="56"/>
                          <w:szCs w:val="56"/>
                        </w:rPr>
                        <w:t>. Дистанционные банковские сервисы.</w:t>
                      </w:r>
                    </w:p>
                  </w:txbxContent>
                </v:textbox>
              </v:roundrect>
            </w:pict>
          </mc:Fallback>
        </mc:AlternateContent>
      </w:r>
    </w:p>
    <w:p w14:paraId="082F2FC2" w14:textId="797027D8" w:rsidR="004E30AD" w:rsidRDefault="004E30AD" w:rsidP="004E30AD">
      <w:pPr>
        <w:rPr>
          <w:rFonts w:ascii="Tahoma" w:hAnsi="Tahoma" w:cs="Tahoma"/>
          <w:b/>
          <w:noProof/>
          <w:sz w:val="22"/>
          <w:szCs w:val="22"/>
        </w:rPr>
      </w:pPr>
    </w:p>
    <w:p w14:paraId="5EB57716" w14:textId="77777777" w:rsidR="009C3EB4" w:rsidRPr="00CE5927" w:rsidRDefault="009C3EB4" w:rsidP="004E30AD">
      <w:pPr>
        <w:rPr>
          <w:rFonts w:ascii="Tahoma" w:hAnsi="Tahoma" w:cs="Tahoma"/>
          <w:b/>
          <w:noProof/>
          <w:sz w:val="22"/>
          <w:szCs w:val="22"/>
        </w:rPr>
      </w:pPr>
    </w:p>
    <w:p w14:paraId="1547E0D3" w14:textId="42269D67" w:rsidR="004E30AD" w:rsidRDefault="004E30AD" w:rsidP="004E30AD">
      <w:pPr>
        <w:rPr>
          <w:rFonts w:ascii="Tahoma" w:hAnsi="Tahoma" w:cs="Tahoma"/>
          <w:b/>
          <w:noProof/>
          <w:sz w:val="22"/>
          <w:szCs w:val="22"/>
        </w:rPr>
      </w:pPr>
    </w:p>
    <w:p w14:paraId="5E7146DE" w14:textId="6D63215C" w:rsidR="009C3EB4" w:rsidRPr="00CE5927" w:rsidRDefault="000B3718" w:rsidP="000B3718">
      <w:pPr>
        <w:pStyle w:val="a5"/>
        <w:rPr>
          <w:noProof/>
        </w:rPr>
      </w:pPr>
      <w:r>
        <w:rPr>
          <w:noProof/>
        </w:rPr>
        <w:t>5. Дистанционные банковские сервисы.</w:t>
      </w:r>
    </w:p>
    <w:p w14:paraId="4852BE84" w14:textId="77777777" w:rsidR="00B723BB" w:rsidRPr="009C3EB4" w:rsidRDefault="00B723BB" w:rsidP="000B3718">
      <w:pPr>
        <w:pStyle w:val="a5"/>
        <w:rPr>
          <w:rFonts w:eastAsia="Calibri"/>
        </w:rPr>
      </w:pPr>
      <w:r w:rsidRPr="009C3EB4">
        <w:rPr>
          <w:rFonts w:eastAsia="Calibri"/>
        </w:rPr>
        <w:t>5.1. Услуга СМС-информирование</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9072"/>
        <w:gridCol w:w="4111"/>
      </w:tblGrid>
      <w:tr w:rsidR="00B723BB" w:rsidRPr="009C3EB4" w14:paraId="7AC6F55D" w14:textId="77777777" w:rsidTr="005A7C26">
        <w:tc>
          <w:tcPr>
            <w:tcW w:w="1526" w:type="dxa"/>
            <w:shd w:val="clear" w:color="auto" w:fill="808080"/>
          </w:tcPr>
          <w:p w14:paraId="2963A5D9" w14:textId="77777777" w:rsidR="00B723BB" w:rsidRPr="009C3EB4" w:rsidRDefault="00B723BB" w:rsidP="005A7C26">
            <w:pPr>
              <w:spacing w:after="160" w:line="259" w:lineRule="auto"/>
              <w:jc w:val="center"/>
              <w:rPr>
                <w:rFonts w:ascii="Tahoma" w:eastAsia="Calibri" w:hAnsi="Tahoma" w:cs="Tahoma"/>
                <w:b/>
                <w:bCs/>
                <w:color w:val="FFFFFF"/>
                <w:sz w:val="22"/>
                <w:szCs w:val="22"/>
                <w:lang w:eastAsia="en-US"/>
              </w:rPr>
            </w:pPr>
          </w:p>
        </w:tc>
        <w:tc>
          <w:tcPr>
            <w:tcW w:w="9072" w:type="dxa"/>
            <w:shd w:val="clear" w:color="auto" w:fill="808080"/>
          </w:tcPr>
          <w:p w14:paraId="6EDE2BC7" w14:textId="77777777" w:rsidR="00B723BB" w:rsidRPr="009C3EB4" w:rsidRDefault="00B723BB" w:rsidP="005A7C26">
            <w:pPr>
              <w:spacing w:after="160" w:line="259" w:lineRule="auto"/>
              <w:jc w:val="center"/>
              <w:rPr>
                <w:rFonts w:ascii="Tahoma" w:eastAsia="Calibri" w:hAnsi="Tahoma" w:cs="Tahoma"/>
                <w:b/>
                <w:bCs/>
                <w:color w:val="FFFFFF"/>
                <w:sz w:val="22"/>
                <w:szCs w:val="22"/>
                <w:lang w:eastAsia="en-US"/>
              </w:rPr>
            </w:pPr>
            <w:r w:rsidRPr="009C3EB4">
              <w:rPr>
                <w:rFonts w:ascii="Tahoma" w:eastAsia="Calibri" w:hAnsi="Tahoma" w:cs="Tahoma"/>
                <w:b/>
                <w:bCs/>
                <w:color w:val="FFFFFF"/>
                <w:sz w:val="22"/>
                <w:szCs w:val="22"/>
                <w:lang w:eastAsia="en-US"/>
              </w:rPr>
              <w:t>Вид операции</w:t>
            </w:r>
          </w:p>
        </w:tc>
        <w:tc>
          <w:tcPr>
            <w:tcW w:w="4111" w:type="dxa"/>
            <w:shd w:val="clear" w:color="auto" w:fill="808080"/>
          </w:tcPr>
          <w:p w14:paraId="5C42691A" w14:textId="77777777" w:rsidR="00B723BB" w:rsidRPr="009C3EB4" w:rsidRDefault="00B723BB" w:rsidP="005A7C26">
            <w:pPr>
              <w:spacing w:after="160" w:line="259" w:lineRule="auto"/>
              <w:jc w:val="center"/>
              <w:rPr>
                <w:rFonts w:ascii="Tahoma" w:eastAsia="Calibri" w:hAnsi="Tahoma" w:cs="Tahoma"/>
                <w:b/>
                <w:bCs/>
                <w:color w:val="FFFFFF"/>
                <w:sz w:val="22"/>
                <w:szCs w:val="22"/>
                <w:lang w:eastAsia="en-US"/>
              </w:rPr>
            </w:pPr>
            <w:r w:rsidRPr="009C3EB4">
              <w:rPr>
                <w:rFonts w:ascii="Tahoma" w:eastAsia="Calibri" w:hAnsi="Tahoma" w:cs="Tahoma"/>
                <w:b/>
                <w:bCs/>
                <w:color w:val="FFFFFF"/>
                <w:sz w:val="22"/>
                <w:szCs w:val="22"/>
                <w:lang w:eastAsia="en-US"/>
              </w:rPr>
              <w:t>Комиссия</w:t>
            </w:r>
          </w:p>
        </w:tc>
      </w:tr>
      <w:tr w:rsidR="00B723BB" w:rsidRPr="009C3EB4" w14:paraId="2BFAB136" w14:textId="77777777" w:rsidTr="005A7C2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10"/>
        </w:trPr>
        <w:tc>
          <w:tcPr>
            <w:tcW w:w="1526" w:type="dxa"/>
            <w:vAlign w:val="center"/>
          </w:tcPr>
          <w:p w14:paraId="3DBFF8B5" w14:textId="77777777" w:rsidR="00B723BB" w:rsidRPr="009C3EB4" w:rsidRDefault="00B723BB" w:rsidP="005A7C26">
            <w:pPr>
              <w:spacing w:after="160" w:line="259" w:lineRule="auto"/>
              <w:contextualSpacing/>
              <w:jc w:val="both"/>
              <w:rPr>
                <w:rFonts w:ascii="Tahoma" w:eastAsia="Calibri" w:hAnsi="Tahoma" w:cs="Tahoma"/>
                <w:sz w:val="22"/>
                <w:szCs w:val="22"/>
                <w:lang w:eastAsia="en-US"/>
              </w:rPr>
            </w:pPr>
            <w:r w:rsidRPr="009C3EB4">
              <w:rPr>
                <w:rFonts w:ascii="Tahoma" w:eastAsia="Calibri" w:hAnsi="Tahoma" w:cs="Tahoma"/>
                <w:sz w:val="22"/>
                <w:szCs w:val="22"/>
                <w:lang w:eastAsia="en-US"/>
              </w:rPr>
              <w:t>1</w:t>
            </w:r>
          </w:p>
        </w:tc>
        <w:tc>
          <w:tcPr>
            <w:tcW w:w="9072" w:type="dxa"/>
            <w:vAlign w:val="center"/>
          </w:tcPr>
          <w:p w14:paraId="08B4FE6A" w14:textId="77777777" w:rsidR="00B723BB" w:rsidRPr="009C3EB4" w:rsidRDefault="00B723BB" w:rsidP="005A7C26">
            <w:pPr>
              <w:spacing w:after="160" w:line="259" w:lineRule="auto"/>
              <w:contextualSpacing/>
              <w:jc w:val="both"/>
              <w:rPr>
                <w:rFonts w:ascii="Tahoma" w:eastAsia="Calibri" w:hAnsi="Tahoma" w:cs="Tahoma"/>
                <w:sz w:val="22"/>
                <w:szCs w:val="22"/>
                <w:lang w:eastAsia="en-US"/>
              </w:rPr>
            </w:pPr>
            <w:r w:rsidRPr="009C3EB4">
              <w:rPr>
                <w:rFonts w:ascii="Tahoma" w:eastAsia="Calibri" w:hAnsi="Tahoma" w:cs="Tahoma"/>
                <w:sz w:val="22"/>
                <w:szCs w:val="22"/>
                <w:lang w:eastAsia="en-US"/>
              </w:rPr>
              <w:t>Подключение услуги СМС-информирования</w:t>
            </w:r>
          </w:p>
        </w:tc>
        <w:tc>
          <w:tcPr>
            <w:tcW w:w="4111" w:type="dxa"/>
            <w:vAlign w:val="center"/>
          </w:tcPr>
          <w:p w14:paraId="2290E700" w14:textId="77777777" w:rsidR="00B723BB" w:rsidRPr="009C3EB4" w:rsidRDefault="00B723BB" w:rsidP="005A7C26">
            <w:pPr>
              <w:spacing w:after="160" w:line="259" w:lineRule="auto"/>
              <w:contextualSpacing/>
              <w:jc w:val="center"/>
              <w:rPr>
                <w:rFonts w:ascii="Tahoma" w:eastAsia="Calibri" w:hAnsi="Tahoma" w:cs="Tahoma"/>
                <w:sz w:val="22"/>
                <w:szCs w:val="22"/>
                <w:lang w:eastAsia="en-US"/>
              </w:rPr>
            </w:pPr>
            <w:r w:rsidRPr="009C3EB4">
              <w:rPr>
                <w:rFonts w:ascii="Tahoma" w:eastAsia="Calibri" w:hAnsi="Tahoma" w:cs="Tahoma"/>
                <w:sz w:val="22"/>
                <w:szCs w:val="22"/>
                <w:lang w:eastAsia="en-US"/>
              </w:rPr>
              <w:t>0 руб.</w:t>
            </w:r>
          </w:p>
        </w:tc>
      </w:tr>
      <w:tr w:rsidR="00B723BB" w:rsidRPr="009C3EB4" w14:paraId="0CF5F6AE" w14:textId="77777777" w:rsidTr="005A7C2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10"/>
        </w:trPr>
        <w:tc>
          <w:tcPr>
            <w:tcW w:w="1526" w:type="dxa"/>
            <w:shd w:val="clear" w:color="auto" w:fill="808080"/>
            <w:vAlign w:val="center"/>
          </w:tcPr>
          <w:p w14:paraId="4B6D1FA9" w14:textId="77777777" w:rsidR="00B723BB" w:rsidRPr="009C3EB4" w:rsidRDefault="00B723BB" w:rsidP="005A7C26">
            <w:pPr>
              <w:spacing w:after="160" w:line="259" w:lineRule="auto"/>
              <w:rPr>
                <w:rFonts w:ascii="Tahoma" w:eastAsia="Calibri" w:hAnsi="Tahoma" w:cs="Tahoma"/>
                <w:b/>
                <w:bCs/>
                <w:color w:val="FFFFFF"/>
                <w:sz w:val="22"/>
                <w:szCs w:val="22"/>
                <w:lang w:eastAsia="en-US"/>
              </w:rPr>
            </w:pPr>
            <w:r w:rsidRPr="009C3EB4">
              <w:rPr>
                <w:rFonts w:ascii="Tahoma" w:eastAsia="Calibri" w:hAnsi="Tahoma" w:cs="Tahoma"/>
                <w:b/>
                <w:bCs/>
                <w:color w:val="FFFFFF"/>
                <w:sz w:val="22"/>
                <w:szCs w:val="22"/>
                <w:lang w:eastAsia="en-US"/>
              </w:rPr>
              <w:t>2</w:t>
            </w:r>
          </w:p>
        </w:tc>
        <w:tc>
          <w:tcPr>
            <w:tcW w:w="13183" w:type="dxa"/>
            <w:gridSpan w:val="2"/>
            <w:shd w:val="clear" w:color="auto" w:fill="808080"/>
            <w:vAlign w:val="center"/>
          </w:tcPr>
          <w:p w14:paraId="34647554" w14:textId="77777777" w:rsidR="00B723BB" w:rsidRPr="009C3EB4" w:rsidRDefault="00B723BB" w:rsidP="005A7C26">
            <w:pPr>
              <w:spacing w:after="160" w:line="259" w:lineRule="auto"/>
              <w:rPr>
                <w:rFonts w:ascii="Tahoma" w:eastAsia="Calibri" w:hAnsi="Tahoma" w:cs="Tahoma"/>
                <w:b/>
                <w:bCs/>
                <w:color w:val="FFFFFF"/>
                <w:sz w:val="22"/>
                <w:szCs w:val="22"/>
                <w:lang w:eastAsia="en-US"/>
              </w:rPr>
            </w:pPr>
            <w:r w:rsidRPr="009C3EB4">
              <w:rPr>
                <w:rFonts w:ascii="Tahoma" w:eastAsia="Calibri" w:hAnsi="Tahoma" w:cs="Tahoma"/>
                <w:b/>
                <w:bCs/>
                <w:color w:val="FFFFFF"/>
                <w:sz w:val="22"/>
                <w:szCs w:val="22"/>
                <w:lang w:eastAsia="en-US"/>
              </w:rPr>
              <w:t>Абонентская плата</w:t>
            </w:r>
          </w:p>
        </w:tc>
      </w:tr>
      <w:tr w:rsidR="00B723BB" w:rsidRPr="009C3EB4" w14:paraId="60B5B230" w14:textId="77777777" w:rsidTr="005A7C2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10"/>
        </w:trPr>
        <w:tc>
          <w:tcPr>
            <w:tcW w:w="1526" w:type="dxa"/>
            <w:vAlign w:val="center"/>
          </w:tcPr>
          <w:p w14:paraId="5305188C" w14:textId="77777777" w:rsidR="00B723BB" w:rsidRPr="009C3EB4" w:rsidRDefault="00B723BB" w:rsidP="005A7C26">
            <w:pPr>
              <w:spacing w:after="160" w:line="259" w:lineRule="auto"/>
              <w:contextualSpacing/>
              <w:jc w:val="both"/>
              <w:rPr>
                <w:rFonts w:ascii="Tahoma" w:eastAsia="Calibri" w:hAnsi="Tahoma" w:cs="Tahoma"/>
                <w:sz w:val="22"/>
                <w:szCs w:val="22"/>
                <w:lang w:eastAsia="en-US"/>
              </w:rPr>
            </w:pPr>
            <w:r w:rsidRPr="009C3EB4">
              <w:rPr>
                <w:rFonts w:ascii="Tahoma" w:eastAsia="Calibri" w:hAnsi="Tahoma" w:cs="Tahoma"/>
                <w:sz w:val="22"/>
                <w:szCs w:val="22"/>
                <w:lang w:eastAsia="en-US"/>
              </w:rPr>
              <w:t>2.1.</w:t>
            </w:r>
          </w:p>
        </w:tc>
        <w:tc>
          <w:tcPr>
            <w:tcW w:w="9072" w:type="dxa"/>
            <w:vAlign w:val="center"/>
          </w:tcPr>
          <w:p w14:paraId="058B9A90" w14:textId="77777777" w:rsidR="00B723BB" w:rsidRPr="009C3EB4" w:rsidRDefault="00B723BB" w:rsidP="005A7C26">
            <w:pPr>
              <w:spacing w:after="160" w:line="259" w:lineRule="auto"/>
              <w:contextualSpacing/>
              <w:jc w:val="both"/>
              <w:rPr>
                <w:rFonts w:ascii="Tahoma" w:eastAsia="Calibri" w:hAnsi="Tahoma" w:cs="Tahoma"/>
                <w:sz w:val="22"/>
                <w:szCs w:val="22"/>
                <w:lang w:eastAsia="en-US"/>
              </w:rPr>
            </w:pPr>
            <w:r w:rsidRPr="009C3EB4">
              <w:rPr>
                <w:rFonts w:ascii="Tahoma" w:eastAsia="Calibri" w:hAnsi="Tahoma" w:cs="Tahoma"/>
                <w:sz w:val="22"/>
                <w:szCs w:val="22"/>
                <w:lang w:eastAsia="en-US"/>
              </w:rPr>
              <w:t>СМС-информирование (полный пакет): Плата за получение уведомлений о приходных и расходных операциях с СКС на мобильный телефон (в формате СМС-сообщений), ежемесячно</w:t>
            </w:r>
          </w:p>
        </w:tc>
        <w:tc>
          <w:tcPr>
            <w:tcW w:w="4111" w:type="dxa"/>
            <w:vAlign w:val="center"/>
          </w:tcPr>
          <w:p w14:paraId="57B548C6" w14:textId="77777777" w:rsidR="00B723BB" w:rsidRPr="009C3EB4" w:rsidRDefault="00B723BB" w:rsidP="005A7C26">
            <w:pPr>
              <w:spacing w:after="160" w:line="259" w:lineRule="auto"/>
              <w:contextualSpacing/>
              <w:jc w:val="center"/>
              <w:rPr>
                <w:rFonts w:ascii="Tahoma" w:eastAsia="Calibri" w:hAnsi="Tahoma" w:cs="Tahoma"/>
                <w:sz w:val="22"/>
                <w:szCs w:val="22"/>
                <w:lang w:eastAsia="en-US"/>
              </w:rPr>
            </w:pPr>
            <w:r w:rsidRPr="009C3EB4">
              <w:rPr>
                <w:rFonts w:ascii="Tahoma" w:eastAsia="Calibri" w:hAnsi="Tahoma" w:cs="Tahoma"/>
                <w:sz w:val="22"/>
                <w:szCs w:val="22"/>
                <w:lang w:eastAsia="en-US"/>
              </w:rPr>
              <w:t xml:space="preserve">69 руб. в месяц/89 руб./1,5 </w:t>
            </w:r>
            <w:r w:rsidRPr="009C3EB4">
              <w:rPr>
                <w:rFonts w:ascii="Tahoma" w:eastAsia="Calibri" w:hAnsi="Tahoma" w:cs="Tahoma"/>
                <w:sz w:val="22"/>
                <w:szCs w:val="22"/>
                <w:lang w:val="en-US" w:eastAsia="en-US"/>
              </w:rPr>
              <w:t>USD</w:t>
            </w:r>
            <w:r w:rsidRPr="009C3EB4">
              <w:rPr>
                <w:rFonts w:ascii="Tahoma" w:eastAsia="Calibri" w:hAnsi="Tahoma" w:cs="Tahoma"/>
                <w:sz w:val="22"/>
                <w:szCs w:val="22"/>
                <w:lang w:eastAsia="en-US"/>
              </w:rPr>
              <w:t>/</w:t>
            </w:r>
            <w:r w:rsidRPr="009C3EB4">
              <w:rPr>
                <w:rFonts w:ascii="Tahoma" w:eastAsia="Calibri" w:hAnsi="Tahoma" w:cs="Tahoma"/>
                <w:sz w:val="22"/>
                <w:szCs w:val="22"/>
                <w:lang w:val="en-US" w:eastAsia="en-US"/>
              </w:rPr>
              <w:t>EUR</w:t>
            </w:r>
            <w:r w:rsidRPr="009C3EB4">
              <w:rPr>
                <w:rFonts w:ascii="Tahoma" w:eastAsia="Calibri" w:hAnsi="Tahoma" w:cs="Tahoma"/>
                <w:sz w:val="22"/>
                <w:szCs w:val="22"/>
                <w:lang w:eastAsia="en-US"/>
              </w:rPr>
              <w:t>*</w:t>
            </w:r>
          </w:p>
        </w:tc>
      </w:tr>
      <w:tr w:rsidR="00B723BB" w:rsidRPr="009C3EB4" w14:paraId="47C3124D" w14:textId="77777777" w:rsidTr="005A7C2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10"/>
        </w:trPr>
        <w:tc>
          <w:tcPr>
            <w:tcW w:w="1526" w:type="dxa"/>
            <w:vAlign w:val="center"/>
          </w:tcPr>
          <w:p w14:paraId="3581C89C" w14:textId="77777777" w:rsidR="00B723BB" w:rsidRPr="009C3EB4" w:rsidRDefault="00B723BB" w:rsidP="005A7C26">
            <w:pPr>
              <w:spacing w:after="160" w:line="259" w:lineRule="auto"/>
              <w:contextualSpacing/>
              <w:jc w:val="both"/>
              <w:rPr>
                <w:rFonts w:ascii="Tahoma" w:eastAsia="Calibri" w:hAnsi="Tahoma" w:cs="Tahoma"/>
                <w:sz w:val="22"/>
                <w:szCs w:val="22"/>
                <w:lang w:eastAsia="en-US"/>
              </w:rPr>
            </w:pPr>
            <w:r w:rsidRPr="009C3EB4">
              <w:rPr>
                <w:rFonts w:ascii="Tahoma" w:eastAsia="Calibri" w:hAnsi="Tahoma" w:cs="Tahoma"/>
                <w:sz w:val="22"/>
                <w:szCs w:val="22"/>
                <w:lang w:eastAsia="en-US"/>
              </w:rPr>
              <w:t>2.2.</w:t>
            </w:r>
          </w:p>
        </w:tc>
        <w:tc>
          <w:tcPr>
            <w:tcW w:w="9072" w:type="dxa"/>
            <w:vAlign w:val="center"/>
          </w:tcPr>
          <w:p w14:paraId="4EF9D519" w14:textId="77777777" w:rsidR="00B723BB" w:rsidRPr="009C3EB4" w:rsidRDefault="00B723BB" w:rsidP="005A7C26">
            <w:pPr>
              <w:spacing w:after="160" w:line="259" w:lineRule="auto"/>
              <w:contextualSpacing/>
              <w:jc w:val="both"/>
              <w:rPr>
                <w:rFonts w:ascii="Tahoma" w:eastAsia="Calibri" w:hAnsi="Tahoma" w:cs="Tahoma"/>
                <w:sz w:val="22"/>
                <w:szCs w:val="22"/>
                <w:lang w:eastAsia="en-US"/>
              </w:rPr>
            </w:pPr>
            <w:r w:rsidRPr="009C3EB4">
              <w:rPr>
                <w:rFonts w:ascii="Tahoma" w:eastAsia="Calibri" w:hAnsi="Tahoma" w:cs="Tahoma"/>
                <w:sz w:val="22"/>
                <w:szCs w:val="22"/>
                <w:lang w:eastAsia="en-US"/>
              </w:rPr>
              <w:t>СМС-информирование (обязательный пакет): Плата за получение уведомлений только о расходных операциях с СКС на мобильный телефон (в формате СМС-сообщений), ежемесячно</w:t>
            </w:r>
          </w:p>
        </w:tc>
        <w:tc>
          <w:tcPr>
            <w:tcW w:w="4111" w:type="dxa"/>
            <w:vAlign w:val="center"/>
          </w:tcPr>
          <w:p w14:paraId="61710469" w14:textId="77777777" w:rsidR="00B723BB" w:rsidRPr="009C3EB4" w:rsidRDefault="00B723BB" w:rsidP="005A7C26">
            <w:pPr>
              <w:spacing w:after="160" w:line="259" w:lineRule="auto"/>
              <w:contextualSpacing/>
              <w:jc w:val="center"/>
              <w:rPr>
                <w:rFonts w:ascii="Tahoma" w:eastAsia="Calibri" w:hAnsi="Tahoma" w:cs="Tahoma"/>
                <w:sz w:val="22"/>
                <w:szCs w:val="22"/>
                <w:lang w:eastAsia="en-US"/>
              </w:rPr>
            </w:pPr>
            <w:r w:rsidRPr="009C3EB4">
              <w:rPr>
                <w:rFonts w:ascii="Tahoma" w:eastAsia="Calibri" w:hAnsi="Tahoma" w:cs="Tahoma"/>
                <w:sz w:val="22"/>
                <w:szCs w:val="22"/>
                <w:lang w:eastAsia="en-US"/>
              </w:rPr>
              <w:t>0 руб.</w:t>
            </w:r>
          </w:p>
        </w:tc>
      </w:tr>
    </w:tbl>
    <w:p w14:paraId="21A1EBDE" w14:textId="77777777" w:rsidR="00B723BB" w:rsidRPr="009C3EB4" w:rsidRDefault="00B723BB" w:rsidP="00B723BB">
      <w:pPr>
        <w:spacing w:after="160" w:line="259" w:lineRule="auto"/>
        <w:rPr>
          <w:rFonts w:ascii="Tahoma" w:eastAsia="Calibri" w:hAnsi="Tahoma" w:cs="Tahoma"/>
          <w:b/>
          <w:sz w:val="22"/>
          <w:szCs w:val="22"/>
          <w:lang w:eastAsia="en-US"/>
        </w:rPr>
      </w:pPr>
      <w:r w:rsidRPr="009C3EB4">
        <w:rPr>
          <w:rFonts w:ascii="Tahoma" w:eastAsia="Calibri" w:hAnsi="Tahoma" w:cs="Tahoma"/>
          <w:b/>
          <w:bCs/>
          <w:sz w:val="22"/>
          <w:szCs w:val="22"/>
          <w:lang w:eastAsia="en-US"/>
        </w:rPr>
        <w:t>Примечания:</w:t>
      </w:r>
    </w:p>
    <w:p w14:paraId="5BE25998" w14:textId="77777777" w:rsidR="00B723BB" w:rsidRPr="009C3EB4" w:rsidRDefault="00B723BB" w:rsidP="00B723BB">
      <w:pPr>
        <w:widowControl w:val="0"/>
        <w:tabs>
          <w:tab w:val="left" w:pos="851"/>
        </w:tabs>
        <w:autoSpaceDE w:val="0"/>
        <w:autoSpaceDN w:val="0"/>
        <w:adjustRightInd w:val="0"/>
        <w:spacing w:after="160" w:line="220" w:lineRule="atLeast"/>
        <w:ind w:left="425"/>
        <w:contextualSpacing/>
        <w:jc w:val="both"/>
        <w:rPr>
          <w:rFonts w:ascii="Tahoma" w:eastAsia="Calibri" w:hAnsi="Tahoma" w:cs="Tahoma"/>
          <w:sz w:val="22"/>
          <w:szCs w:val="22"/>
          <w:lang w:eastAsia="en-US"/>
        </w:rPr>
      </w:pPr>
      <w:r w:rsidRPr="009C3EB4">
        <w:rPr>
          <w:rFonts w:ascii="Tahoma" w:eastAsia="Calibri" w:hAnsi="Tahoma" w:cs="Tahoma"/>
          <w:sz w:val="22"/>
          <w:szCs w:val="22"/>
          <w:lang w:eastAsia="en-US"/>
        </w:rPr>
        <w:t>*в зависимости от тарифного плана Карты</w:t>
      </w:r>
      <w:r w:rsidRPr="009C3EB4">
        <w:rPr>
          <w:rFonts w:ascii="Tahoma" w:eastAsia="Calibri" w:hAnsi="Tahoma" w:cs="Tahoma"/>
          <w:spacing w:val="-30"/>
          <w:sz w:val="22"/>
          <w:szCs w:val="22"/>
          <w:lang w:eastAsia="en-US"/>
        </w:rPr>
        <w:t>***</w:t>
      </w:r>
      <w:r w:rsidRPr="009C3EB4">
        <w:rPr>
          <w:rFonts w:ascii="Tahoma" w:eastAsia="Calibri" w:hAnsi="Tahoma" w:cs="Tahoma"/>
          <w:sz w:val="22"/>
          <w:szCs w:val="22"/>
          <w:lang w:eastAsia="en-US"/>
        </w:rPr>
        <w:t>.</w:t>
      </w:r>
    </w:p>
    <w:p w14:paraId="15941408" w14:textId="77777777" w:rsidR="00B723BB" w:rsidRPr="009C3EB4" w:rsidRDefault="00B723BB" w:rsidP="00B723BB">
      <w:pPr>
        <w:widowControl w:val="0"/>
        <w:tabs>
          <w:tab w:val="left" w:pos="851"/>
        </w:tabs>
        <w:autoSpaceDE w:val="0"/>
        <w:autoSpaceDN w:val="0"/>
        <w:adjustRightInd w:val="0"/>
        <w:spacing w:after="160" w:line="259" w:lineRule="auto"/>
        <w:ind w:left="426"/>
        <w:contextualSpacing/>
        <w:jc w:val="both"/>
        <w:rPr>
          <w:rFonts w:ascii="Tahoma" w:eastAsia="Calibri" w:hAnsi="Tahoma" w:cs="Tahoma"/>
          <w:sz w:val="22"/>
          <w:szCs w:val="22"/>
          <w:lang w:eastAsia="en-US"/>
        </w:rPr>
      </w:pPr>
    </w:p>
    <w:p w14:paraId="6CD13B63" w14:textId="77777777" w:rsidR="00B723BB" w:rsidRPr="009C3EB4" w:rsidRDefault="00B723BB" w:rsidP="000B3718">
      <w:pPr>
        <w:pStyle w:val="a5"/>
        <w:rPr>
          <w:rFonts w:eastAsia="Calibri"/>
        </w:rPr>
      </w:pPr>
      <w:r w:rsidRPr="009C3EB4">
        <w:rPr>
          <w:rFonts w:eastAsia="Calibri"/>
        </w:rPr>
        <w:t>5.2. Система дистанционного банковского обслуживания «АТБ-Онлайн»/</w:t>
      </w:r>
      <w:r w:rsidRPr="009C3EB4">
        <w:rPr>
          <w:rFonts w:eastAsia="Calibri"/>
          <w:color w:val="FF0000"/>
        </w:rPr>
        <w:t xml:space="preserve"> </w:t>
      </w:r>
      <w:r w:rsidRPr="009C3EB4">
        <w:rPr>
          <w:rFonts w:eastAsia="Calibri"/>
        </w:rPr>
        <w:t>«АТБ банк»</w:t>
      </w:r>
      <w:r w:rsidRPr="009C3EB4">
        <w:rPr>
          <w:rFonts w:eastAsia="Calibri"/>
          <w:vertAlign w:val="superscript"/>
        </w:rPr>
        <w:t>7</w:t>
      </w:r>
      <w:r w:rsidRPr="009C3EB4">
        <w:rPr>
          <w:rFonts w:eastAsia="Calibri"/>
        </w:rPr>
        <w:t>.</w:t>
      </w:r>
    </w:p>
    <w:tbl>
      <w:tblPr>
        <w:tblW w:w="5069" w:type="pct"/>
        <w:tblLook w:val="04A0" w:firstRow="1" w:lastRow="0" w:firstColumn="1" w:lastColumn="0" w:noHBand="0" w:noVBand="1"/>
      </w:tblPr>
      <w:tblGrid>
        <w:gridCol w:w="1132"/>
        <w:gridCol w:w="923"/>
        <w:gridCol w:w="8527"/>
        <w:gridCol w:w="9"/>
        <w:gridCol w:w="4736"/>
        <w:gridCol w:w="9"/>
      </w:tblGrid>
      <w:tr w:rsidR="00B723BB" w:rsidRPr="009C3EB4" w14:paraId="52D39D69" w14:textId="77777777" w:rsidTr="005A7C26">
        <w:trPr>
          <w:gridBefore w:val="1"/>
          <w:wBefore w:w="369" w:type="pct"/>
          <w:trHeight w:val="300"/>
        </w:trPr>
        <w:tc>
          <w:tcPr>
            <w:tcW w:w="3084" w:type="pct"/>
            <w:gridSpan w:val="3"/>
            <w:tcBorders>
              <w:top w:val="single" w:sz="4" w:space="0" w:color="auto"/>
              <w:left w:val="single" w:sz="4" w:space="0" w:color="auto"/>
              <w:bottom w:val="nil"/>
              <w:right w:val="nil"/>
            </w:tcBorders>
            <w:shd w:val="clear" w:color="000000" w:fill="808080"/>
            <w:vAlign w:val="center"/>
            <w:hideMark/>
          </w:tcPr>
          <w:p w14:paraId="31E045EB" w14:textId="77777777" w:rsidR="00B723BB" w:rsidRPr="009C3EB4" w:rsidRDefault="00B723BB" w:rsidP="005A7C26">
            <w:pPr>
              <w:spacing w:after="160" w:line="259" w:lineRule="auto"/>
              <w:jc w:val="center"/>
              <w:rPr>
                <w:rFonts w:ascii="Tahoma" w:eastAsia="Calibri" w:hAnsi="Tahoma" w:cs="Tahoma"/>
                <w:b/>
                <w:bCs/>
                <w:color w:val="FFFFFF"/>
                <w:sz w:val="22"/>
                <w:szCs w:val="22"/>
                <w:lang w:eastAsia="en-US"/>
              </w:rPr>
            </w:pPr>
            <w:r w:rsidRPr="009C3EB4">
              <w:rPr>
                <w:rFonts w:ascii="Tahoma" w:eastAsia="Calibri" w:hAnsi="Tahoma" w:cs="Tahoma"/>
                <w:b/>
                <w:bCs/>
                <w:color w:val="FFFFFF"/>
                <w:sz w:val="22"/>
                <w:szCs w:val="22"/>
                <w:lang w:eastAsia="en-US"/>
              </w:rPr>
              <w:t>Наименование услуги</w:t>
            </w:r>
          </w:p>
        </w:tc>
        <w:tc>
          <w:tcPr>
            <w:tcW w:w="1547" w:type="pct"/>
            <w:gridSpan w:val="2"/>
            <w:tcBorders>
              <w:top w:val="single" w:sz="4" w:space="0" w:color="auto"/>
              <w:left w:val="single" w:sz="4" w:space="0" w:color="auto"/>
              <w:bottom w:val="nil"/>
              <w:right w:val="single" w:sz="4" w:space="0" w:color="auto"/>
            </w:tcBorders>
            <w:shd w:val="clear" w:color="000000" w:fill="808080"/>
            <w:vAlign w:val="center"/>
            <w:hideMark/>
          </w:tcPr>
          <w:p w14:paraId="03E71314" w14:textId="77777777" w:rsidR="00B723BB" w:rsidRPr="009C3EB4" w:rsidRDefault="00B723BB" w:rsidP="005A7C26">
            <w:pPr>
              <w:spacing w:after="160" w:line="259" w:lineRule="auto"/>
              <w:jc w:val="center"/>
              <w:rPr>
                <w:rFonts w:ascii="Tahoma" w:eastAsia="Calibri" w:hAnsi="Tahoma" w:cs="Tahoma"/>
                <w:b/>
                <w:bCs/>
                <w:color w:val="FFFFFF"/>
                <w:sz w:val="22"/>
                <w:szCs w:val="22"/>
                <w:lang w:eastAsia="en-US"/>
              </w:rPr>
            </w:pPr>
            <w:r w:rsidRPr="009C3EB4">
              <w:rPr>
                <w:rFonts w:ascii="Tahoma" w:eastAsia="Calibri" w:hAnsi="Tahoma" w:cs="Tahoma"/>
                <w:b/>
                <w:bCs/>
                <w:color w:val="FFFFFF"/>
                <w:sz w:val="22"/>
                <w:szCs w:val="22"/>
                <w:lang w:eastAsia="en-US"/>
              </w:rPr>
              <w:t>Тариф</w:t>
            </w:r>
          </w:p>
        </w:tc>
      </w:tr>
      <w:tr w:rsidR="00B723BB" w:rsidRPr="009C3EB4" w14:paraId="1CB5CDB3" w14:textId="77777777" w:rsidTr="005A7C26">
        <w:trPr>
          <w:gridBefore w:val="1"/>
          <w:wBefore w:w="369" w:type="pct"/>
          <w:trHeight w:val="315"/>
        </w:trPr>
        <w:tc>
          <w:tcPr>
            <w:tcW w:w="4631" w:type="pct"/>
            <w:gridSpan w:val="5"/>
            <w:tcBorders>
              <w:top w:val="single" w:sz="4" w:space="0" w:color="auto"/>
              <w:left w:val="single" w:sz="4" w:space="0" w:color="auto"/>
              <w:bottom w:val="single" w:sz="4" w:space="0" w:color="auto"/>
              <w:right w:val="single" w:sz="4" w:space="0" w:color="auto"/>
            </w:tcBorders>
            <w:shd w:val="clear" w:color="000000" w:fill="808080"/>
            <w:vAlign w:val="center"/>
            <w:hideMark/>
          </w:tcPr>
          <w:p w14:paraId="1B4AB95C" w14:textId="77777777" w:rsidR="00B723BB" w:rsidRPr="009C3EB4" w:rsidRDefault="00B723BB" w:rsidP="005A7C26">
            <w:pPr>
              <w:spacing w:after="160" w:line="259" w:lineRule="auto"/>
              <w:rPr>
                <w:rFonts w:ascii="Tahoma" w:eastAsia="Calibri" w:hAnsi="Tahoma" w:cs="Tahoma"/>
                <w:b/>
                <w:bCs/>
                <w:color w:val="FFFFFF"/>
                <w:sz w:val="22"/>
                <w:szCs w:val="22"/>
                <w:lang w:eastAsia="en-US"/>
              </w:rPr>
            </w:pPr>
            <w:r w:rsidRPr="009C3EB4">
              <w:rPr>
                <w:rFonts w:ascii="Tahoma" w:eastAsia="Calibri" w:hAnsi="Tahoma" w:cs="Tahoma"/>
                <w:b/>
                <w:bCs/>
                <w:color w:val="FFFFFF"/>
                <w:sz w:val="22"/>
                <w:szCs w:val="22"/>
                <w:lang w:eastAsia="en-US"/>
              </w:rPr>
              <w:t>1. Подключение и обслуживание в системе «АТБ-Онлайн»/</w:t>
            </w:r>
            <w:r w:rsidRPr="009C3EB4">
              <w:rPr>
                <w:rFonts w:ascii="Tahoma" w:eastAsia="Calibri" w:hAnsi="Tahoma" w:cs="Tahoma"/>
                <w:b/>
                <w:bCs/>
                <w:iCs/>
                <w:color w:val="FFFFFF"/>
                <w:sz w:val="22"/>
                <w:szCs w:val="22"/>
                <w:lang w:eastAsia="en-US"/>
              </w:rPr>
              <w:t xml:space="preserve"> «АТБ банк»</w:t>
            </w:r>
          </w:p>
        </w:tc>
      </w:tr>
      <w:tr w:rsidR="00B723BB" w:rsidRPr="009C3EB4" w14:paraId="0616335F" w14:textId="77777777" w:rsidTr="005A7C26">
        <w:trPr>
          <w:gridBefore w:val="1"/>
          <w:gridAfter w:val="1"/>
          <w:wBefore w:w="369" w:type="pct"/>
          <w:wAfter w:w="3" w:type="pct"/>
          <w:trHeight w:val="300"/>
        </w:trPr>
        <w:tc>
          <w:tcPr>
            <w:tcW w:w="301" w:type="pct"/>
            <w:tcBorders>
              <w:top w:val="nil"/>
              <w:left w:val="single" w:sz="4" w:space="0" w:color="auto"/>
              <w:bottom w:val="single" w:sz="4" w:space="0" w:color="auto"/>
              <w:right w:val="single" w:sz="4" w:space="0" w:color="auto"/>
            </w:tcBorders>
            <w:shd w:val="clear" w:color="auto" w:fill="auto"/>
            <w:noWrap/>
            <w:vAlign w:val="center"/>
            <w:hideMark/>
          </w:tcPr>
          <w:p w14:paraId="05A10640" w14:textId="77777777" w:rsidR="00B723BB" w:rsidRPr="009C3EB4" w:rsidRDefault="00B723BB" w:rsidP="005A7C26">
            <w:pPr>
              <w:spacing w:after="160" w:line="259" w:lineRule="auto"/>
              <w:jc w:val="center"/>
              <w:rPr>
                <w:rFonts w:ascii="Tahoma" w:eastAsia="Calibri" w:hAnsi="Tahoma" w:cs="Tahoma"/>
                <w:sz w:val="22"/>
                <w:szCs w:val="22"/>
                <w:lang w:eastAsia="en-US"/>
              </w:rPr>
            </w:pPr>
            <w:r w:rsidRPr="009C3EB4">
              <w:rPr>
                <w:rFonts w:ascii="Tahoma" w:eastAsia="Calibri" w:hAnsi="Tahoma" w:cs="Tahoma"/>
                <w:sz w:val="22"/>
                <w:szCs w:val="22"/>
                <w:lang w:eastAsia="en-US"/>
              </w:rPr>
              <w:t>1.1.</w:t>
            </w:r>
          </w:p>
        </w:tc>
        <w:tc>
          <w:tcPr>
            <w:tcW w:w="2780" w:type="pct"/>
            <w:tcBorders>
              <w:top w:val="nil"/>
              <w:left w:val="nil"/>
              <w:bottom w:val="single" w:sz="4" w:space="0" w:color="auto"/>
              <w:right w:val="single" w:sz="4" w:space="0" w:color="auto"/>
            </w:tcBorders>
            <w:shd w:val="clear" w:color="auto" w:fill="auto"/>
            <w:vAlign w:val="center"/>
            <w:hideMark/>
          </w:tcPr>
          <w:p w14:paraId="0D797DE6" w14:textId="77777777" w:rsidR="00B723BB" w:rsidRPr="009C3EB4" w:rsidRDefault="00B723BB" w:rsidP="005A7C26">
            <w:pPr>
              <w:spacing w:after="160" w:line="259" w:lineRule="auto"/>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 xml:space="preserve">подключение к системе платежей </w:t>
            </w:r>
          </w:p>
        </w:tc>
        <w:tc>
          <w:tcPr>
            <w:tcW w:w="1547" w:type="pct"/>
            <w:gridSpan w:val="2"/>
            <w:tcBorders>
              <w:top w:val="nil"/>
              <w:left w:val="nil"/>
              <w:bottom w:val="single" w:sz="4" w:space="0" w:color="auto"/>
              <w:right w:val="single" w:sz="4" w:space="0" w:color="auto"/>
            </w:tcBorders>
            <w:shd w:val="clear" w:color="auto" w:fill="auto"/>
            <w:vAlign w:val="center"/>
            <w:hideMark/>
          </w:tcPr>
          <w:p w14:paraId="08DFA053" w14:textId="77777777" w:rsidR="00B723BB" w:rsidRPr="009C3EB4" w:rsidRDefault="00B723BB" w:rsidP="005A7C26">
            <w:pPr>
              <w:spacing w:after="160" w:line="259" w:lineRule="auto"/>
              <w:jc w:val="center"/>
              <w:rPr>
                <w:rFonts w:ascii="Tahoma" w:eastAsia="Calibri" w:hAnsi="Tahoma" w:cs="Tahoma"/>
                <w:b/>
                <w:bCs/>
                <w:sz w:val="22"/>
                <w:szCs w:val="22"/>
                <w:lang w:eastAsia="en-US"/>
              </w:rPr>
            </w:pPr>
            <w:r w:rsidRPr="009C3EB4">
              <w:rPr>
                <w:rFonts w:ascii="Tahoma" w:eastAsia="Calibri" w:hAnsi="Tahoma" w:cs="Tahoma"/>
                <w:b/>
                <w:bCs/>
                <w:sz w:val="22"/>
                <w:szCs w:val="22"/>
                <w:lang w:eastAsia="en-US"/>
              </w:rPr>
              <w:t>БЕСПЛАТНО</w:t>
            </w:r>
          </w:p>
        </w:tc>
      </w:tr>
      <w:tr w:rsidR="00B723BB" w:rsidRPr="009C3EB4" w14:paraId="4C00BD11" w14:textId="77777777" w:rsidTr="005A7C26">
        <w:trPr>
          <w:gridBefore w:val="1"/>
          <w:gridAfter w:val="1"/>
          <w:wBefore w:w="369" w:type="pct"/>
          <w:wAfter w:w="3" w:type="pct"/>
          <w:trHeight w:val="236"/>
        </w:trPr>
        <w:tc>
          <w:tcPr>
            <w:tcW w:w="301" w:type="pct"/>
            <w:tcBorders>
              <w:top w:val="nil"/>
              <w:left w:val="single" w:sz="4" w:space="0" w:color="auto"/>
              <w:bottom w:val="single" w:sz="4" w:space="0" w:color="auto"/>
              <w:right w:val="single" w:sz="4" w:space="0" w:color="auto"/>
            </w:tcBorders>
            <w:shd w:val="clear" w:color="auto" w:fill="auto"/>
            <w:noWrap/>
            <w:vAlign w:val="center"/>
            <w:hideMark/>
          </w:tcPr>
          <w:p w14:paraId="1CBD853A" w14:textId="77777777" w:rsidR="00B723BB" w:rsidRPr="009C3EB4" w:rsidRDefault="00B723BB" w:rsidP="005A7C26">
            <w:pPr>
              <w:spacing w:after="160" w:line="259" w:lineRule="auto"/>
              <w:jc w:val="center"/>
              <w:rPr>
                <w:rFonts w:ascii="Tahoma" w:eastAsia="Calibri" w:hAnsi="Tahoma" w:cs="Tahoma"/>
                <w:sz w:val="22"/>
                <w:szCs w:val="22"/>
                <w:lang w:eastAsia="en-US"/>
              </w:rPr>
            </w:pPr>
            <w:r w:rsidRPr="009C3EB4">
              <w:rPr>
                <w:rFonts w:ascii="Tahoma" w:eastAsia="Calibri" w:hAnsi="Tahoma" w:cs="Tahoma"/>
                <w:sz w:val="22"/>
                <w:szCs w:val="22"/>
                <w:lang w:eastAsia="en-US"/>
              </w:rPr>
              <w:t>1.2.</w:t>
            </w:r>
          </w:p>
        </w:tc>
        <w:tc>
          <w:tcPr>
            <w:tcW w:w="2780" w:type="pct"/>
            <w:tcBorders>
              <w:top w:val="nil"/>
              <w:left w:val="nil"/>
              <w:bottom w:val="single" w:sz="4" w:space="0" w:color="auto"/>
              <w:right w:val="single" w:sz="4" w:space="0" w:color="auto"/>
            </w:tcBorders>
            <w:shd w:val="clear" w:color="auto" w:fill="auto"/>
            <w:vAlign w:val="center"/>
            <w:hideMark/>
          </w:tcPr>
          <w:p w14:paraId="2DACC103" w14:textId="77777777" w:rsidR="00B723BB" w:rsidRPr="009C3EB4" w:rsidRDefault="00B723BB" w:rsidP="005A7C26">
            <w:pPr>
              <w:spacing w:after="160" w:line="259" w:lineRule="auto"/>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привязка банковских Карт к системе платежей</w:t>
            </w:r>
          </w:p>
        </w:tc>
        <w:tc>
          <w:tcPr>
            <w:tcW w:w="1547" w:type="pct"/>
            <w:gridSpan w:val="2"/>
            <w:tcBorders>
              <w:top w:val="nil"/>
              <w:left w:val="nil"/>
              <w:bottom w:val="single" w:sz="4" w:space="0" w:color="auto"/>
              <w:right w:val="single" w:sz="4" w:space="0" w:color="auto"/>
            </w:tcBorders>
            <w:shd w:val="clear" w:color="auto" w:fill="auto"/>
            <w:vAlign w:val="center"/>
            <w:hideMark/>
          </w:tcPr>
          <w:p w14:paraId="577559BE" w14:textId="77777777" w:rsidR="00B723BB" w:rsidRPr="009C3EB4" w:rsidRDefault="00B723BB" w:rsidP="005A7C26">
            <w:pPr>
              <w:spacing w:after="160" w:line="259" w:lineRule="auto"/>
              <w:jc w:val="center"/>
              <w:rPr>
                <w:rFonts w:ascii="Tahoma" w:eastAsia="Calibri" w:hAnsi="Tahoma" w:cs="Tahoma"/>
                <w:b/>
                <w:bCs/>
                <w:sz w:val="22"/>
                <w:szCs w:val="22"/>
                <w:lang w:eastAsia="en-US"/>
              </w:rPr>
            </w:pPr>
            <w:r w:rsidRPr="009C3EB4">
              <w:rPr>
                <w:rFonts w:ascii="Tahoma" w:eastAsia="Calibri" w:hAnsi="Tahoma" w:cs="Tahoma"/>
                <w:b/>
                <w:bCs/>
                <w:sz w:val="22"/>
                <w:szCs w:val="22"/>
                <w:lang w:eastAsia="en-US"/>
              </w:rPr>
              <w:t>БЕСПЛАТНО</w:t>
            </w:r>
          </w:p>
        </w:tc>
      </w:tr>
      <w:tr w:rsidR="00B723BB" w:rsidRPr="009C3EB4" w14:paraId="66555A9F" w14:textId="77777777" w:rsidTr="005A7C26">
        <w:trPr>
          <w:gridBefore w:val="1"/>
          <w:gridAfter w:val="1"/>
          <w:wBefore w:w="369" w:type="pct"/>
          <w:wAfter w:w="3" w:type="pct"/>
          <w:trHeight w:val="300"/>
        </w:trPr>
        <w:tc>
          <w:tcPr>
            <w:tcW w:w="301" w:type="pct"/>
            <w:tcBorders>
              <w:top w:val="nil"/>
              <w:left w:val="single" w:sz="4" w:space="0" w:color="auto"/>
              <w:bottom w:val="single" w:sz="4" w:space="0" w:color="auto"/>
              <w:right w:val="single" w:sz="4" w:space="0" w:color="auto"/>
            </w:tcBorders>
            <w:shd w:val="clear" w:color="auto" w:fill="auto"/>
            <w:noWrap/>
            <w:vAlign w:val="center"/>
            <w:hideMark/>
          </w:tcPr>
          <w:p w14:paraId="5362165B" w14:textId="77777777" w:rsidR="00B723BB" w:rsidRPr="009C3EB4" w:rsidRDefault="00B723BB" w:rsidP="005A7C26">
            <w:pPr>
              <w:spacing w:after="160" w:line="259" w:lineRule="auto"/>
              <w:jc w:val="center"/>
              <w:rPr>
                <w:rFonts w:ascii="Tahoma" w:eastAsia="Calibri" w:hAnsi="Tahoma" w:cs="Tahoma"/>
                <w:sz w:val="22"/>
                <w:szCs w:val="22"/>
                <w:lang w:eastAsia="en-US"/>
              </w:rPr>
            </w:pPr>
            <w:r w:rsidRPr="009C3EB4">
              <w:rPr>
                <w:rFonts w:ascii="Tahoma" w:eastAsia="Calibri" w:hAnsi="Tahoma" w:cs="Tahoma"/>
                <w:sz w:val="22"/>
                <w:szCs w:val="22"/>
                <w:lang w:eastAsia="en-US"/>
              </w:rPr>
              <w:t>1.3.</w:t>
            </w:r>
          </w:p>
        </w:tc>
        <w:tc>
          <w:tcPr>
            <w:tcW w:w="2780" w:type="pct"/>
            <w:tcBorders>
              <w:top w:val="nil"/>
              <w:left w:val="nil"/>
              <w:bottom w:val="single" w:sz="4" w:space="0" w:color="auto"/>
              <w:right w:val="single" w:sz="4" w:space="0" w:color="auto"/>
            </w:tcBorders>
            <w:shd w:val="clear" w:color="auto" w:fill="auto"/>
            <w:vAlign w:val="center"/>
            <w:hideMark/>
          </w:tcPr>
          <w:p w14:paraId="75009173" w14:textId="77777777" w:rsidR="00B723BB" w:rsidRPr="009C3EB4" w:rsidRDefault="00B723BB" w:rsidP="005A7C26">
            <w:pPr>
              <w:spacing w:after="160" w:line="259" w:lineRule="auto"/>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получение одноразовых паролей</w:t>
            </w:r>
          </w:p>
        </w:tc>
        <w:tc>
          <w:tcPr>
            <w:tcW w:w="1547" w:type="pct"/>
            <w:gridSpan w:val="2"/>
            <w:tcBorders>
              <w:top w:val="nil"/>
              <w:left w:val="nil"/>
              <w:bottom w:val="single" w:sz="4" w:space="0" w:color="auto"/>
              <w:right w:val="single" w:sz="4" w:space="0" w:color="auto"/>
            </w:tcBorders>
            <w:shd w:val="clear" w:color="auto" w:fill="auto"/>
            <w:vAlign w:val="center"/>
            <w:hideMark/>
          </w:tcPr>
          <w:p w14:paraId="31D8D44D" w14:textId="77777777" w:rsidR="00B723BB" w:rsidRPr="009C3EB4" w:rsidRDefault="00B723BB" w:rsidP="005A7C26">
            <w:pPr>
              <w:spacing w:after="160" w:line="259" w:lineRule="auto"/>
              <w:jc w:val="center"/>
              <w:rPr>
                <w:rFonts w:ascii="Tahoma" w:eastAsia="Calibri" w:hAnsi="Tahoma" w:cs="Tahoma"/>
                <w:b/>
                <w:bCs/>
                <w:sz w:val="22"/>
                <w:szCs w:val="22"/>
                <w:lang w:eastAsia="en-US"/>
              </w:rPr>
            </w:pPr>
            <w:r w:rsidRPr="009C3EB4">
              <w:rPr>
                <w:rFonts w:ascii="Tahoma" w:eastAsia="Calibri" w:hAnsi="Tahoma" w:cs="Tahoma"/>
                <w:b/>
                <w:bCs/>
                <w:sz w:val="22"/>
                <w:szCs w:val="22"/>
                <w:lang w:eastAsia="en-US"/>
              </w:rPr>
              <w:t>БЕСПЛАТНО</w:t>
            </w:r>
          </w:p>
        </w:tc>
      </w:tr>
      <w:tr w:rsidR="00B723BB" w:rsidRPr="009C3EB4" w14:paraId="5C418E83" w14:textId="77777777" w:rsidTr="005A7C26">
        <w:trPr>
          <w:gridBefore w:val="1"/>
          <w:gridAfter w:val="1"/>
          <w:wBefore w:w="369" w:type="pct"/>
          <w:wAfter w:w="3" w:type="pct"/>
          <w:trHeight w:val="300"/>
        </w:trPr>
        <w:tc>
          <w:tcPr>
            <w:tcW w:w="301" w:type="pct"/>
            <w:tcBorders>
              <w:top w:val="nil"/>
              <w:left w:val="single" w:sz="4" w:space="0" w:color="auto"/>
              <w:bottom w:val="single" w:sz="4" w:space="0" w:color="auto"/>
              <w:right w:val="single" w:sz="4" w:space="0" w:color="auto"/>
            </w:tcBorders>
            <w:shd w:val="clear" w:color="auto" w:fill="auto"/>
            <w:noWrap/>
            <w:vAlign w:val="center"/>
            <w:hideMark/>
          </w:tcPr>
          <w:p w14:paraId="73827EFE" w14:textId="77777777" w:rsidR="00B723BB" w:rsidRPr="009C3EB4" w:rsidRDefault="00B723BB" w:rsidP="005A7C26">
            <w:pPr>
              <w:spacing w:after="160" w:line="259" w:lineRule="auto"/>
              <w:jc w:val="center"/>
              <w:rPr>
                <w:rFonts w:ascii="Tahoma" w:eastAsia="Calibri" w:hAnsi="Tahoma" w:cs="Tahoma"/>
                <w:sz w:val="22"/>
                <w:szCs w:val="22"/>
                <w:lang w:eastAsia="en-US"/>
              </w:rPr>
            </w:pPr>
            <w:r w:rsidRPr="009C3EB4">
              <w:rPr>
                <w:rFonts w:ascii="Tahoma" w:eastAsia="Calibri" w:hAnsi="Tahoma" w:cs="Tahoma"/>
                <w:sz w:val="22"/>
                <w:szCs w:val="22"/>
                <w:lang w:eastAsia="en-US"/>
              </w:rPr>
              <w:t>1.4.</w:t>
            </w:r>
          </w:p>
        </w:tc>
        <w:tc>
          <w:tcPr>
            <w:tcW w:w="2780" w:type="pct"/>
            <w:tcBorders>
              <w:top w:val="nil"/>
              <w:left w:val="nil"/>
              <w:bottom w:val="single" w:sz="4" w:space="0" w:color="auto"/>
              <w:right w:val="single" w:sz="4" w:space="0" w:color="auto"/>
            </w:tcBorders>
            <w:shd w:val="clear" w:color="auto" w:fill="auto"/>
            <w:vAlign w:val="center"/>
            <w:hideMark/>
          </w:tcPr>
          <w:p w14:paraId="704ED26D" w14:textId="77777777" w:rsidR="00B723BB" w:rsidRPr="009C3EB4" w:rsidRDefault="00B723BB" w:rsidP="005A7C26">
            <w:pPr>
              <w:spacing w:after="160" w:line="259" w:lineRule="auto"/>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абонентская плата</w:t>
            </w:r>
          </w:p>
        </w:tc>
        <w:tc>
          <w:tcPr>
            <w:tcW w:w="1547" w:type="pct"/>
            <w:gridSpan w:val="2"/>
            <w:tcBorders>
              <w:top w:val="nil"/>
              <w:left w:val="nil"/>
              <w:bottom w:val="single" w:sz="4" w:space="0" w:color="auto"/>
              <w:right w:val="single" w:sz="4" w:space="0" w:color="auto"/>
            </w:tcBorders>
            <w:shd w:val="clear" w:color="auto" w:fill="auto"/>
            <w:vAlign w:val="center"/>
            <w:hideMark/>
          </w:tcPr>
          <w:p w14:paraId="1AEB9F0E" w14:textId="77777777" w:rsidR="00B723BB" w:rsidRPr="009C3EB4" w:rsidRDefault="00B723BB" w:rsidP="005A7C26">
            <w:pPr>
              <w:spacing w:after="160" w:line="259" w:lineRule="auto"/>
              <w:jc w:val="center"/>
              <w:rPr>
                <w:rFonts w:ascii="Tahoma" w:eastAsia="Calibri" w:hAnsi="Tahoma" w:cs="Tahoma"/>
                <w:b/>
                <w:bCs/>
                <w:sz w:val="22"/>
                <w:szCs w:val="22"/>
                <w:lang w:eastAsia="en-US"/>
              </w:rPr>
            </w:pPr>
            <w:r w:rsidRPr="009C3EB4">
              <w:rPr>
                <w:rFonts w:ascii="Tahoma" w:eastAsia="Calibri" w:hAnsi="Tahoma" w:cs="Tahoma"/>
                <w:b/>
                <w:bCs/>
                <w:sz w:val="22"/>
                <w:szCs w:val="22"/>
                <w:lang w:eastAsia="en-US"/>
              </w:rPr>
              <w:t>БЕСПЛАТНО</w:t>
            </w:r>
          </w:p>
        </w:tc>
      </w:tr>
      <w:tr w:rsidR="00B723BB" w:rsidRPr="009C3EB4" w14:paraId="2FD1AC18" w14:textId="77777777" w:rsidTr="005A7C26">
        <w:trPr>
          <w:gridBefore w:val="1"/>
          <w:gridAfter w:val="1"/>
          <w:wBefore w:w="369" w:type="pct"/>
          <w:wAfter w:w="3" w:type="pct"/>
          <w:trHeight w:val="489"/>
        </w:trPr>
        <w:tc>
          <w:tcPr>
            <w:tcW w:w="301" w:type="pct"/>
            <w:tcBorders>
              <w:top w:val="nil"/>
              <w:left w:val="single" w:sz="4" w:space="0" w:color="auto"/>
              <w:bottom w:val="single" w:sz="4" w:space="0" w:color="auto"/>
              <w:right w:val="single" w:sz="4" w:space="0" w:color="auto"/>
            </w:tcBorders>
            <w:shd w:val="clear" w:color="auto" w:fill="auto"/>
            <w:noWrap/>
            <w:vAlign w:val="center"/>
            <w:hideMark/>
          </w:tcPr>
          <w:p w14:paraId="5A051ACB" w14:textId="77777777" w:rsidR="00B723BB" w:rsidRPr="009C3EB4" w:rsidRDefault="00B723BB" w:rsidP="005A7C26">
            <w:pPr>
              <w:spacing w:after="160" w:line="259" w:lineRule="auto"/>
              <w:jc w:val="center"/>
              <w:rPr>
                <w:rFonts w:ascii="Tahoma" w:eastAsia="Calibri" w:hAnsi="Tahoma" w:cs="Tahoma"/>
                <w:sz w:val="22"/>
                <w:szCs w:val="22"/>
                <w:lang w:eastAsia="en-US"/>
              </w:rPr>
            </w:pPr>
            <w:r w:rsidRPr="009C3EB4">
              <w:rPr>
                <w:rFonts w:ascii="Tahoma" w:eastAsia="Calibri" w:hAnsi="Tahoma" w:cs="Tahoma"/>
                <w:sz w:val="22"/>
                <w:szCs w:val="22"/>
                <w:lang w:eastAsia="en-US"/>
              </w:rPr>
              <w:t>1.5.</w:t>
            </w:r>
          </w:p>
        </w:tc>
        <w:tc>
          <w:tcPr>
            <w:tcW w:w="2780" w:type="pct"/>
            <w:tcBorders>
              <w:top w:val="nil"/>
              <w:left w:val="nil"/>
              <w:bottom w:val="single" w:sz="4" w:space="0" w:color="auto"/>
              <w:right w:val="single" w:sz="4" w:space="0" w:color="auto"/>
            </w:tcBorders>
            <w:shd w:val="clear" w:color="auto" w:fill="auto"/>
            <w:vAlign w:val="center"/>
            <w:hideMark/>
          </w:tcPr>
          <w:p w14:paraId="10E1CA78" w14:textId="77777777" w:rsidR="00B723BB" w:rsidRPr="009C3EB4" w:rsidRDefault="00B723BB" w:rsidP="005A7C26">
            <w:pPr>
              <w:spacing w:after="160" w:line="259" w:lineRule="auto"/>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приостановление/возобновление операций с картой через «АТБ-Онлайн»/ «</w:t>
            </w:r>
            <w:r w:rsidRPr="009C3EB4">
              <w:rPr>
                <w:rFonts w:ascii="Tahoma" w:eastAsia="Calibri" w:hAnsi="Tahoma" w:cs="Tahoma"/>
                <w:sz w:val="22"/>
                <w:szCs w:val="22"/>
                <w:lang w:eastAsia="en-US"/>
              </w:rPr>
              <w:t xml:space="preserve">АТБ банк» </w:t>
            </w:r>
            <w:r w:rsidRPr="009C3EB4">
              <w:rPr>
                <w:rFonts w:ascii="Tahoma" w:eastAsia="Calibri" w:hAnsi="Tahoma" w:cs="Tahoma"/>
                <w:color w:val="000000"/>
                <w:sz w:val="22"/>
                <w:szCs w:val="22"/>
                <w:lang w:eastAsia="en-US"/>
              </w:rPr>
              <w:t>и IVR</w:t>
            </w:r>
          </w:p>
        </w:tc>
        <w:tc>
          <w:tcPr>
            <w:tcW w:w="1547" w:type="pct"/>
            <w:gridSpan w:val="2"/>
            <w:tcBorders>
              <w:top w:val="nil"/>
              <w:left w:val="nil"/>
              <w:bottom w:val="single" w:sz="4" w:space="0" w:color="auto"/>
              <w:right w:val="single" w:sz="4" w:space="0" w:color="auto"/>
            </w:tcBorders>
            <w:shd w:val="clear" w:color="auto" w:fill="auto"/>
            <w:vAlign w:val="center"/>
            <w:hideMark/>
          </w:tcPr>
          <w:p w14:paraId="41212693" w14:textId="77777777" w:rsidR="00B723BB" w:rsidRPr="009C3EB4" w:rsidRDefault="00B723BB" w:rsidP="005A7C26">
            <w:pPr>
              <w:spacing w:after="160" w:line="259" w:lineRule="auto"/>
              <w:jc w:val="center"/>
              <w:rPr>
                <w:rFonts w:ascii="Tahoma" w:eastAsia="Calibri" w:hAnsi="Tahoma" w:cs="Tahoma"/>
                <w:b/>
                <w:bCs/>
                <w:sz w:val="22"/>
                <w:szCs w:val="22"/>
                <w:lang w:eastAsia="en-US"/>
              </w:rPr>
            </w:pPr>
            <w:r w:rsidRPr="009C3EB4">
              <w:rPr>
                <w:rFonts w:ascii="Tahoma" w:eastAsia="Calibri" w:hAnsi="Tahoma" w:cs="Tahoma"/>
                <w:b/>
                <w:bCs/>
                <w:sz w:val="22"/>
                <w:szCs w:val="22"/>
                <w:lang w:eastAsia="en-US"/>
              </w:rPr>
              <w:t>БЕСПЛАТНО</w:t>
            </w:r>
          </w:p>
        </w:tc>
      </w:tr>
      <w:tr w:rsidR="00B723BB" w:rsidRPr="009C3EB4" w14:paraId="4862FCD1" w14:textId="77777777" w:rsidTr="005A7C26">
        <w:trPr>
          <w:gridBefore w:val="1"/>
          <w:gridAfter w:val="1"/>
          <w:wBefore w:w="369" w:type="pct"/>
          <w:wAfter w:w="3" w:type="pct"/>
          <w:trHeight w:val="489"/>
        </w:trPr>
        <w:tc>
          <w:tcPr>
            <w:tcW w:w="301" w:type="pct"/>
            <w:tcBorders>
              <w:top w:val="nil"/>
              <w:left w:val="single" w:sz="4" w:space="0" w:color="auto"/>
              <w:bottom w:val="single" w:sz="4" w:space="0" w:color="auto"/>
              <w:right w:val="single" w:sz="4" w:space="0" w:color="auto"/>
            </w:tcBorders>
            <w:shd w:val="clear" w:color="auto" w:fill="auto"/>
            <w:noWrap/>
            <w:vAlign w:val="center"/>
          </w:tcPr>
          <w:p w14:paraId="19C3F4A1" w14:textId="77777777" w:rsidR="00B723BB" w:rsidRPr="009C3EB4" w:rsidRDefault="00B723BB" w:rsidP="005A7C26">
            <w:pPr>
              <w:spacing w:after="160" w:line="259" w:lineRule="auto"/>
              <w:jc w:val="center"/>
              <w:rPr>
                <w:rFonts w:ascii="Tahoma" w:eastAsia="Calibri" w:hAnsi="Tahoma" w:cs="Tahoma"/>
                <w:sz w:val="22"/>
                <w:szCs w:val="22"/>
                <w:lang w:eastAsia="en-US"/>
              </w:rPr>
            </w:pPr>
            <w:r w:rsidRPr="009C3EB4">
              <w:rPr>
                <w:rFonts w:ascii="Tahoma" w:eastAsia="Calibri" w:hAnsi="Tahoma" w:cs="Tahoma"/>
                <w:sz w:val="22"/>
                <w:szCs w:val="22"/>
                <w:lang w:eastAsia="en-US"/>
              </w:rPr>
              <w:t>1.6.</w:t>
            </w:r>
          </w:p>
        </w:tc>
        <w:tc>
          <w:tcPr>
            <w:tcW w:w="2780" w:type="pct"/>
            <w:tcBorders>
              <w:top w:val="nil"/>
              <w:left w:val="nil"/>
              <w:bottom w:val="single" w:sz="4" w:space="0" w:color="auto"/>
              <w:right w:val="single" w:sz="4" w:space="0" w:color="auto"/>
            </w:tcBorders>
            <w:shd w:val="clear" w:color="auto" w:fill="auto"/>
            <w:vAlign w:val="center"/>
          </w:tcPr>
          <w:p w14:paraId="0D8C8B26" w14:textId="77777777" w:rsidR="00B723BB" w:rsidRPr="009C3EB4" w:rsidRDefault="00B723BB" w:rsidP="005A7C26">
            <w:pPr>
              <w:spacing w:after="160" w:line="259" w:lineRule="auto"/>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 xml:space="preserve">предоставление справок по запросу </w:t>
            </w:r>
          </w:p>
        </w:tc>
        <w:tc>
          <w:tcPr>
            <w:tcW w:w="1547" w:type="pct"/>
            <w:gridSpan w:val="2"/>
            <w:tcBorders>
              <w:top w:val="nil"/>
              <w:left w:val="nil"/>
              <w:bottom w:val="single" w:sz="4" w:space="0" w:color="auto"/>
              <w:right w:val="single" w:sz="4" w:space="0" w:color="auto"/>
            </w:tcBorders>
            <w:shd w:val="clear" w:color="auto" w:fill="auto"/>
            <w:vAlign w:val="center"/>
          </w:tcPr>
          <w:p w14:paraId="63C2EF4B" w14:textId="77777777" w:rsidR="00B723BB" w:rsidRPr="009C3EB4" w:rsidRDefault="00B723BB" w:rsidP="005A7C26">
            <w:pPr>
              <w:spacing w:after="160" w:line="259" w:lineRule="auto"/>
              <w:jc w:val="center"/>
              <w:rPr>
                <w:rFonts w:ascii="Tahoma" w:eastAsia="Calibri" w:hAnsi="Tahoma" w:cs="Tahoma"/>
                <w:color w:val="000000"/>
                <w:sz w:val="22"/>
                <w:szCs w:val="22"/>
                <w:lang w:eastAsia="en-US"/>
              </w:rPr>
            </w:pPr>
            <w:r w:rsidRPr="009C3EB4">
              <w:rPr>
                <w:rFonts w:ascii="Tahoma" w:eastAsia="Calibri" w:hAnsi="Tahoma" w:cs="Tahoma"/>
                <w:b/>
                <w:bCs/>
                <w:sz w:val="22"/>
                <w:szCs w:val="22"/>
                <w:lang w:eastAsia="en-US"/>
              </w:rPr>
              <w:t>БЕСПЛАТНО</w:t>
            </w:r>
          </w:p>
        </w:tc>
      </w:tr>
      <w:tr w:rsidR="00B723BB" w:rsidRPr="009C3EB4" w14:paraId="777DFECF" w14:textId="77777777" w:rsidTr="005A7C26">
        <w:trPr>
          <w:gridBefore w:val="1"/>
          <w:wBefore w:w="369" w:type="pct"/>
          <w:trHeight w:val="315"/>
        </w:trPr>
        <w:tc>
          <w:tcPr>
            <w:tcW w:w="4631" w:type="pct"/>
            <w:gridSpan w:val="5"/>
            <w:tcBorders>
              <w:top w:val="single" w:sz="4" w:space="0" w:color="auto"/>
              <w:left w:val="single" w:sz="4" w:space="0" w:color="auto"/>
              <w:bottom w:val="single" w:sz="4" w:space="0" w:color="auto"/>
              <w:right w:val="single" w:sz="4" w:space="0" w:color="auto"/>
            </w:tcBorders>
            <w:shd w:val="clear" w:color="000000" w:fill="808080"/>
            <w:vAlign w:val="center"/>
            <w:hideMark/>
          </w:tcPr>
          <w:p w14:paraId="1889BF56" w14:textId="77777777" w:rsidR="00B723BB" w:rsidRPr="009C3EB4" w:rsidRDefault="00B723BB" w:rsidP="005A7C26">
            <w:pPr>
              <w:spacing w:after="160" w:line="259" w:lineRule="auto"/>
              <w:rPr>
                <w:rFonts w:ascii="Tahoma" w:eastAsia="Calibri" w:hAnsi="Tahoma" w:cs="Tahoma"/>
                <w:b/>
                <w:bCs/>
                <w:color w:val="FFFFFF"/>
                <w:sz w:val="22"/>
                <w:szCs w:val="22"/>
                <w:lang w:eastAsia="en-US"/>
              </w:rPr>
            </w:pPr>
            <w:r w:rsidRPr="009C3EB4">
              <w:rPr>
                <w:rFonts w:ascii="Tahoma" w:eastAsia="Calibri" w:hAnsi="Tahoma" w:cs="Tahoma"/>
                <w:b/>
                <w:bCs/>
                <w:color w:val="FFFFFF"/>
                <w:sz w:val="22"/>
                <w:szCs w:val="22"/>
                <w:lang w:eastAsia="en-US"/>
              </w:rPr>
              <w:t>2. Операции, совершаемые в системе «АТБ-Онлайн»/</w:t>
            </w:r>
            <w:r w:rsidRPr="009C3EB4">
              <w:rPr>
                <w:rFonts w:ascii="Tahoma" w:eastAsia="Calibri" w:hAnsi="Tahoma" w:cs="Tahoma"/>
                <w:b/>
                <w:bCs/>
                <w:iCs/>
                <w:color w:val="FFFFFF"/>
                <w:sz w:val="22"/>
                <w:szCs w:val="22"/>
                <w:lang w:eastAsia="en-US"/>
              </w:rPr>
              <w:t>«АТБ банк»</w:t>
            </w:r>
            <w:r w:rsidRPr="009C3EB4">
              <w:rPr>
                <w:rFonts w:ascii="Tahoma" w:eastAsia="Calibri" w:hAnsi="Tahoma" w:cs="Tahoma"/>
                <w:b/>
                <w:bCs/>
                <w:color w:val="FFFFFF"/>
                <w:sz w:val="22"/>
                <w:szCs w:val="22"/>
                <w:vertAlign w:val="superscript"/>
                <w:lang w:eastAsia="en-US"/>
              </w:rPr>
              <w:t>1</w:t>
            </w:r>
          </w:p>
        </w:tc>
      </w:tr>
      <w:tr w:rsidR="00B723BB" w:rsidRPr="009C3EB4" w14:paraId="69ADE9B9" w14:textId="77777777" w:rsidTr="005A7C26">
        <w:trPr>
          <w:gridBefore w:val="1"/>
          <w:gridAfter w:val="1"/>
          <w:wBefore w:w="369" w:type="pct"/>
          <w:wAfter w:w="3" w:type="pct"/>
          <w:trHeight w:val="274"/>
        </w:trPr>
        <w:tc>
          <w:tcPr>
            <w:tcW w:w="301" w:type="pct"/>
            <w:tcBorders>
              <w:top w:val="nil"/>
              <w:left w:val="single" w:sz="4" w:space="0" w:color="auto"/>
              <w:bottom w:val="single" w:sz="4" w:space="0" w:color="auto"/>
              <w:right w:val="nil"/>
            </w:tcBorders>
            <w:shd w:val="clear" w:color="000000" w:fill="A6A6A6"/>
            <w:noWrap/>
            <w:vAlign w:val="center"/>
            <w:hideMark/>
          </w:tcPr>
          <w:p w14:paraId="37A550B9" w14:textId="77777777" w:rsidR="00B723BB" w:rsidRPr="009C3EB4" w:rsidRDefault="00B723BB" w:rsidP="005A7C26">
            <w:pPr>
              <w:spacing w:after="160" w:line="259" w:lineRule="auto"/>
              <w:rPr>
                <w:rFonts w:ascii="Tahoma" w:eastAsia="Calibri" w:hAnsi="Tahoma" w:cs="Tahoma"/>
                <w:b/>
                <w:bCs/>
                <w:color w:val="FFFFFF"/>
                <w:sz w:val="22"/>
                <w:szCs w:val="22"/>
                <w:lang w:eastAsia="en-US"/>
              </w:rPr>
            </w:pPr>
            <w:r w:rsidRPr="009C3EB4">
              <w:rPr>
                <w:rFonts w:ascii="Tahoma" w:eastAsia="Calibri" w:hAnsi="Tahoma" w:cs="Tahoma"/>
                <w:b/>
                <w:bCs/>
                <w:color w:val="FFFFFF"/>
                <w:sz w:val="22"/>
                <w:szCs w:val="22"/>
                <w:lang w:eastAsia="en-US"/>
              </w:rPr>
              <w:t>2.1.</w:t>
            </w:r>
          </w:p>
        </w:tc>
        <w:tc>
          <w:tcPr>
            <w:tcW w:w="4327" w:type="pct"/>
            <w:gridSpan w:val="3"/>
            <w:tcBorders>
              <w:top w:val="single" w:sz="4" w:space="0" w:color="auto"/>
              <w:left w:val="single" w:sz="4" w:space="0" w:color="auto"/>
              <w:bottom w:val="single" w:sz="4" w:space="0" w:color="auto"/>
              <w:right w:val="single" w:sz="4" w:space="0" w:color="auto"/>
            </w:tcBorders>
            <w:shd w:val="clear" w:color="000000" w:fill="A6A6A6"/>
            <w:vAlign w:val="center"/>
            <w:hideMark/>
          </w:tcPr>
          <w:p w14:paraId="5C16970E" w14:textId="77777777" w:rsidR="00B723BB" w:rsidRPr="009C3EB4" w:rsidRDefault="00B723BB" w:rsidP="005A7C26">
            <w:pPr>
              <w:spacing w:after="160" w:line="259" w:lineRule="auto"/>
              <w:rPr>
                <w:rFonts w:ascii="Tahoma" w:eastAsia="Calibri" w:hAnsi="Tahoma" w:cs="Tahoma"/>
                <w:b/>
                <w:bCs/>
                <w:color w:val="FFFFFF"/>
                <w:sz w:val="22"/>
                <w:szCs w:val="22"/>
                <w:lang w:eastAsia="en-US"/>
              </w:rPr>
            </w:pPr>
            <w:r w:rsidRPr="009C3EB4">
              <w:rPr>
                <w:rFonts w:ascii="Tahoma" w:eastAsia="Calibri" w:hAnsi="Tahoma" w:cs="Tahoma"/>
                <w:b/>
                <w:bCs/>
                <w:color w:val="FFFFFF"/>
                <w:sz w:val="22"/>
                <w:szCs w:val="22"/>
                <w:lang w:eastAsia="en-US"/>
              </w:rPr>
              <w:t>Платежи в адрес поставщиков услуг с Карт, выпущенных Банком или счетов, открытых в Банке</w:t>
            </w:r>
            <w:r w:rsidRPr="009C3EB4">
              <w:rPr>
                <w:rFonts w:ascii="Tahoma" w:eastAsia="Calibri" w:hAnsi="Tahoma" w:cs="Tahoma"/>
                <w:color w:val="FFFFFF"/>
                <w:spacing w:val="-30"/>
                <w:sz w:val="22"/>
                <w:szCs w:val="22"/>
                <w:lang w:eastAsia="en-US"/>
              </w:rPr>
              <w:t>****</w:t>
            </w:r>
            <w:r w:rsidRPr="009C3EB4">
              <w:rPr>
                <w:rFonts w:ascii="Tahoma" w:eastAsia="Calibri" w:hAnsi="Tahoma" w:cs="Tahoma"/>
                <w:b/>
                <w:bCs/>
                <w:color w:val="FFFFFF"/>
                <w:sz w:val="22"/>
                <w:szCs w:val="22"/>
                <w:lang w:eastAsia="en-US"/>
              </w:rPr>
              <w:t xml:space="preserve"> от суммы операции*</w:t>
            </w:r>
          </w:p>
        </w:tc>
      </w:tr>
      <w:tr w:rsidR="00B723BB" w:rsidRPr="009C3EB4" w14:paraId="5C4BE615" w14:textId="77777777" w:rsidTr="005A7C26">
        <w:trPr>
          <w:gridBefore w:val="1"/>
          <w:gridAfter w:val="1"/>
          <w:wBefore w:w="369" w:type="pct"/>
          <w:wAfter w:w="3" w:type="pct"/>
          <w:trHeight w:val="414"/>
        </w:trPr>
        <w:tc>
          <w:tcPr>
            <w:tcW w:w="301" w:type="pct"/>
            <w:tcBorders>
              <w:top w:val="nil"/>
              <w:left w:val="single" w:sz="4" w:space="0" w:color="auto"/>
              <w:bottom w:val="single" w:sz="4" w:space="0" w:color="auto"/>
              <w:right w:val="single" w:sz="4" w:space="0" w:color="auto"/>
            </w:tcBorders>
            <w:shd w:val="clear" w:color="auto" w:fill="auto"/>
            <w:noWrap/>
            <w:vAlign w:val="center"/>
            <w:hideMark/>
          </w:tcPr>
          <w:p w14:paraId="4FEC3ECA" w14:textId="77777777" w:rsidR="00B723BB" w:rsidRPr="009C3EB4" w:rsidRDefault="00B723BB" w:rsidP="005A7C26">
            <w:pPr>
              <w:spacing w:after="160" w:line="259" w:lineRule="auto"/>
              <w:jc w:val="center"/>
              <w:rPr>
                <w:rFonts w:ascii="Tahoma" w:eastAsia="Calibri" w:hAnsi="Tahoma" w:cs="Tahoma"/>
                <w:sz w:val="22"/>
                <w:szCs w:val="22"/>
                <w:lang w:eastAsia="en-US"/>
              </w:rPr>
            </w:pPr>
            <w:r w:rsidRPr="009C3EB4">
              <w:rPr>
                <w:rFonts w:ascii="Tahoma" w:eastAsia="Calibri" w:hAnsi="Tahoma" w:cs="Tahoma"/>
                <w:sz w:val="22"/>
                <w:szCs w:val="22"/>
                <w:lang w:eastAsia="en-US"/>
              </w:rPr>
              <w:t>2.1.1.</w:t>
            </w:r>
          </w:p>
        </w:tc>
        <w:tc>
          <w:tcPr>
            <w:tcW w:w="2780" w:type="pct"/>
            <w:tcBorders>
              <w:top w:val="nil"/>
              <w:left w:val="nil"/>
              <w:bottom w:val="single" w:sz="4" w:space="0" w:color="auto"/>
              <w:right w:val="single" w:sz="4" w:space="0" w:color="auto"/>
            </w:tcBorders>
            <w:shd w:val="clear" w:color="auto" w:fill="auto"/>
            <w:vAlign w:val="center"/>
            <w:hideMark/>
          </w:tcPr>
          <w:p w14:paraId="3531AA65" w14:textId="77777777" w:rsidR="00B723BB" w:rsidRPr="009C3EB4" w:rsidRDefault="00B723BB" w:rsidP="005A7C26">
            <w:pPr>
              <w:tabs>
                <w:tab w:val="left" w:pos="0"/>
                <w:tab w:val="left" w:pos="142"/>
              </w:tabs>
              <w:spacing w:after="160" w:line="259" w:lineRule="auto"/>
              <w:jc w:val="both"/>
              <w:rPr>
                <w:rFonts w:ascii="Tahoma" w:eastAsia="Calibri" w:hAnsi="Tahoma" w:cs="Tahoma"/>
                <w:bCs/>
                <w:sz w:val="22"/>
                <w:szCs w:val="22"/>
                <w:lang w:eastAsia="en-US"/>
              </w:rPr>
            </w:pPr>
            <w:r w:rsidRPr="009C3EB4">
              <w:rPr>
                <w:rFonts w:ascii="Tahoma" w:eastAsia="Calibri" w:hAnsi="Tahoma" w:cs="Tahoma"/>
                <w:bCs/>
                <w:sz w:val="22"/>
                <w:szCs w:val="22"/>
                <w:lang w:eastAsia="en-US"/>
              </w:rPr>
              <w:t>категория «Мобильная связь»</w:t>
            </w:r>
          </w:p>
        </w:tc>
        <w:tc>
          <w:tcPr>
            <w:tcW w:w="1547" w:type="pct"/>
            <w:gridSpan w:val="2"/>
            <w:tcBorders>
              <w:top w:val="nil"/>
              <w:left w:val="nil"/>
              <w:bottom w:val="single" w:sz="4" w:space="0" w:color="auto"/>
              <w:right w:val="single" w:sz="4" w:space="0" w:color="auto"/>
            </w:tcBorders>
            <w:shd w:val="clear" w:color="auto" w:fill="auto"/>
            <w:vAlign w:val="center"/>
            <w:hideMark/>
          </w:tcPr>
          <w:p w14:paraId="4D62A474" w14:textId="77777777" w:rsidR="00B723BB" w:rsidRPr="009C3EB4" w:rsidRDefault="00B723BB" w:rsidP="005A7C26">
            <w:pPr>
              <w:spacing w:after="160" w:line="259" w:lineRule="auto"/>
              <w:jc w:val="center"/>
              <w:rPr>
                <w:rFonts w:ascii="Tahoma" w:eastAsia="Calibri" w:hAnsi="Tahoma" w:cs="Tahoma"/>
                <w:b/>
                <w:bCs/>
                <w:sz w:val="22"/>
                <w:szCs w:val="22"/>
                <w:lang w:eastAsia="en-US"/>
              </w:rPr>
            </w:pPr>
            <w:r w:rsidRPr="009C3EB4">
              <w:rPr>
                <w:rFonts w:ascii="Tahoma" w:eastAsia="Calibri" w:hAnsi="Tahoma" w:cs="Tahoma"/>
                <w:b/>
                <w:bCs/>
                <w:sz w:val="22"/>
                <w:szCs w:val="22"/>
                <w:lang w:eastAsia="en-US"/>
              </w:rPr>
              <w:t>БЕСПЛАТНО</w:t>
            </w:r>
          </w:p>
        </w:tc>
      </w:tr>
      <w:tr w:rsidR="00B723BB" w:rsidRPr="009C3EB4" w14:paraId="231F458C" w14:textId="77777777" w:rsidTr="005A7C26">
        <w:trPr>
          <w:gridBefore w:val="1"/>
          <w:gridAfter w:val="1"/>
          <w:wBefore w:w="369" w:type="pct"/>
          <w:wAfter w:w="3" w:type="pct"/>
          <w:trHeight w:val="381"/>
        </w:trPr>
        <w:tc>
          <w:tcPr>
            <w:tcW w:w="301" w:type="pct"/>
            <w:tcBorders>
              <w:top w:val="nil"/>
              <w:left w:val="single" w:sz="4" w:space="0" w:color="auto"/>
              <w:bottom w:val="single" w:sz="4" w:space="0" w:color="auto"/>
              <w:right w:val="single" w:sz="4" w:space="0" w:color="auto"/>
            </w:tcBorders>
            <w:shd w:val="clear" w:color="auto" w:fill="auto"/>
            <w:noWrap/>
            <w:vAlign w:val="center"/>
            <w:hideMark/>
          </w:tcPr>
          <w:p w14:paraId="66C69BB4" w14:textId="77777777" w:rsidR="00B723BB" w:rsidRPr="009C3EB4" w:rsidRDefault="00B723BB" w:rsidP="005A7C26">
            <w:pPr>
              <w:spacing w:after="160" w:line="259" w:lineRule="auto"/>
              <w:jc w:val="center"/>
              <w:rPr>
                <w:rFonts w:ascii="Tahoma" w:eastAsia="Calibri" w:hAnsi="Tahoma" w:cs="Tahoma"/>
                <w:sz w:val="22"/>
                <w:szCs w:val="22"/>
                <w:lang w:eastAsia="en-US"/>
              </w:rPr>
            </w:pPr>
            <w:r w:rsidRPr="009C3EB4">
              <w:rPr>
                <w:rFonts w:ascii="Tahoma" w:eastAsia="Calibri" w:hAnsi="Tahoma" w:cs="Tahoma"/>
                <w:sz w:val="22"/>
                <w:szCs w:val="22"/>
                <w:lang w:eastAsia="en-US"/>
              </w:rPr>
              <w:t>2.1.2.</w:t>
            </w:r>
          </w:p>
        </w:tc>
        <w:tc>
          <w:tcPr>
            <w:tcW w:w="2780" w:type="pct"/>
            <w:tcBorders>
              <w:top w:val="nil"/>
              <w:left w:val="nil"/>
              <w:bottom w:val="single" w:sz="4" w:space="0" w:color="auto"/>
              <w:right w:val="single" w:sz="4" w:space="0" w:color="auto"/>
            </w:tcBorders>
            <w:shd w:val="clear" w:color="auto" w:fill="auto"/>
            <w:vAlign w:val="center"/>
            <w:hideMark/>
          </w:tcPr>
          <w:p w14:paraId="6C502DB1" w14:textId="77777777" w:rsidR="00B723BB" w:rsidRPr="009C3EB4" w:rsidRDefault="00B723BB" w:rsidP="005A7C26">
            <w:pPr>
              <w:tabs>
                <w:tab w:val="left" w:pos="0"/>
                <w:tab w:val="left" w:pos="142"/>
              </w:tabs>
              <w:spacing w:after="160" w:line="259" w:lineRule="auto"/>
              <w:jc w:val="both"/>
              <w:rPr>
                <w:rFonts w:ascii="Tahoma" w:eastAsia="Calibri" w:hAnsi="Tahoma" w:cs="Tahoma"/>
                <w:bCs/>
                <w:sz w:val="22"/>
                <w:szCs w:val="22"/>
                <w:lang w:eastAsia="en-US"/>
              </w:rPr>
            </w:pPr>
            <w:r w:rsidRPr="009C3EB4">
              <w:rPr>
                <w:rFonts w:ascii="Tahoma" w:eastAsia="Calibri" w:hAnsi="Tahoma" w:cs="Tahoma"/>
                <w:bCs/>
                <w:sz w:val="22"/>
                <w:szCs w:val="22"/>
                <w:lang w:eastAsia="en-US"/>
              </w:rPr>
              <w:t>категория «Интернет, телефония и ТВ»</w:t>
            </w:r>
          </w:p>
        </w:tc>
        <w:tc>
          <w:tcPr>
            <w:tcW w:w="1547" w:type="pct"/>
            <w:gridSpan w:val="2"/>
            <w:tcBorders>
              <w:top w:val="nil"/>
              <w:left w:val="nil"/>
              <w:bottom w:val="single" w:sz="4" w:space="0" w:color="auto"/>
              <w:right w:val="single" w:sz="4" w:space="0" w:color="auto"/>
            </w:tcBorders>
            <w:shd w:val="clear" w:color="auto" w:fill="auto"/>
            <w:vAlign w:val="center"/>
            <w:hideMark/>
          </w:tcPr>
          <w:p w14:paraId="5AF5CF51" w14:textId="77777777" w:rsidR="00B723BB" w:rsidRPr="009C3EB4" w:rsidRDefault="00B723BB" w:rsidP="005A7C26">
            <w:pPr>
              <w:spacing w:after="160" w:line="259" w:lineRule="auto"/>
              <w:jc w:val="center"/>
              <w:rPr>
                <w:rFonts w:ascii="Tahoma" w:eastAsia="Calibri" w:hAnsi="Tahoma" w:cs="Tahoma"/>
                <w:b/>
                <w:bCs/>
                <w:sz w:val="22"/>
                <w:szCs w:val="22"/>
                <w:lang w:eastAsia="en-US"/>
              </w:rPr>
            </w:pPr>
            <w:r w:rsidRPr="009C3EB4">
              <w:rPr>
                <w:rFonts w:ascii="Tahoma" w:eastAsia="Calibri" w:hAnsi="Tahoma" w:cs="Tahoma"/>
                <w:b/>
                <w:bCs/>
                <w:sz w:val="22"/>
                <w:szCs w:val="22"/>
                <w:lang w:eastAsia="en-US"/>
              </w:rPr>
              <w:t>От 0% до 3,5%</w:t>
            </w:r>
          </w:p>
        </w:tc>
      </w:tr>
      <w:tr w:rsidR="00B723BB" w:rsidRPr="009C3EB4" w14:paraId="3E251603" w14:textId="77777777" w:rsidTr="005A7C26">
        <w:trPr>
          <w:gridBefore w:val="1"/>
          <w:gridAfter w:val="1"/>
          <w:wBefore w:w="369" w:type="pct"/>
          <w:wAfter w:w="3" w:type="pct"/>
          <w:trHeight w:val="315"/>
        </w:trPr>
        <w:tc>
          <w:tcPr>
            <w:tcW w:w="301" w:type="pct"/>
            <w:tcBorders>
              <w:top w:val="nil"/>
              <w:left w:val="single" w:sz="4" w:space="0" w:color="auto"/>
              <w:bottom w:val="single" w:sz="4" w:space="0" w:color="auto"/>
              <w:right w:val="single" w:sz="4" w:space="0" w:color="auto"/>
            </w:tcBorders>
            <w:shd w:val="clear" w:color="auto" w:fill="auto"/>
            <w:noWrap/>
            <w:vAlign w:val="center"/>
            <w:hideMark/>
          </w:tcPr>
          <w:p w14:paraId="01BBCDA7" w14:textId="77777777" w:rsidR="00B723BB" w:rsidRPr="009C3EB4" w:rsidRDefault="00B723BB" w:rsidP="005A7C26">
            <w:pPr>
              <w:spacing w:after="160" w:line="259" w:lineRule="auto"/>
              <w:jc w:val="center"/>
              <w:rPr>
                <w:rFonts w:ascii="Tahoma" w:eastAsia="Calibri" w:hAnsi="Tahoma" w:cs="Tahoma"/>
                <w:sz w:val="22"/>
                <w:szCs w:val="22"/>
                <w:lang w:eastAsia="en-US"/>
              </w:rPr>
            </w:pPr>
            <w:r w:rsidRPr="009C3EB4">
              <w:rPr>
                <w:rFonts w:ascii="Tahoma" w:eastAsia="Calibri" w:hAnsi="Tahoma" w:cs="Tahoma"/>
                <w:sz w:val="22"/>
                <w:szCs w:val="22"/>
                <w:lang w:eastAsia="en-US"/>
              </w:rPr>
              <w:t>2.1.3.</w:t>
            </w:r>
          </w:p>
        </w:tc>
        <w:tc>
          <w:tcPr>
            <w:tcW w:w="2780" w:type="pct"/>
            <w:tcBorders>
              <w:top w:val="nil"/>
              <w:left w:val="nil"/>
              <w:bottom w:val="single" w:sz="4" w:space="0" w:color="auto"/>
              <w:right w:val="single" w:sz="4" w:space="0" w:color="auto"/>
            </w:tcBorders>
            <w:shd w:val="clear" w:color="auto" w:fill="auto"/>
            <w:vAlign w:val="center"/>
            <w:hideMark/>
          </w:tcPr>
          <w:p w14:paraId="1CCD1F37" w14:textId="77777777" w:rsidR="00B723BB" w:rsidRPr="009C3EB4" w:rsidRDefault="00B723BB" w:rsidP="005A7C26">
            <w:pPr>
              <w:tabs>
                <w:tab w:val="left" w:pos="0"/>
                <w:tab w:val="left" w:pos="142"/>
              </w:tabs>
              <w:spacing w:after="160" w:line="259" w:lineRule="auto"/>
              <w:jc w:val="both"/>
              <w:rPr>
                <w:rFonts w:ascii="Tahoma" w:eastAsia="Calibri" w:hAnsi="Tahoma" w:cs="Tahoma"/>
                <w:bCs/>
                <w:sz w:val="22"/>
                <w:szCs w:val="22"/>
                <w:lang w:eastAsia="en-US"/>
              </w:rPr>
            </w:pPr>
            <w:r w:rsidRPr="009C3EB4">
              <w:rPr>
                <w:rFonts w:ascii="Tahoma" w:eastAsia="Calibri" w:hAnsi="Tahoma" w:cs="Tahoma"/>
                <w:bCs/>
                <w:sz w:val="22"/>
                <w:szCs w:val="22"/>
                <w:lang w:eastAsia="en-US"/>
              </w:rPr>
              <w:t>категория «Международная и междугородняя связь»</w:t>
            </w:r>
          </w:p>
        </w:tc>
        <w:tc>
          <w:tcPr>
            <w:tcW w:w="1547" w:type="pct"/>
            <w:gridSpan w:val="2"/>
            <w:tcBorders>
              <w:top w:val="nil"/>
              <w:left w:val="nil"/>
              <w:bottom w:val="single" w:sz="4" w:space="0" w:color="auto"/>
              <w:right w:val="single" w:sz="4" w:space="0" w:color="auto"/>
            </w:tcBorders>
            <w:shd w:val="clear" w:color="auto" w:fill="auto"/>
            <w:vAlign w:val="center"/>
            <w:hideMark/>
          </w:tcPr>
          <w:p w14:paraId="04334685" w14:textId="77777777" w:rsidR="00B723BB" w:rsidRPr="009C3EB4" w:rsidRDefault="00B723BB" w:rsidP="005A7C26">
            <w:pPr>
              <w:spacing w:after="160" w:line="259" w:lineRule="auto"/>
              <w:jc w:val="center"/>
              <w:rPr>
                <w:rFonts w:ascii="Tahoma" w:eastAsia="Calibri" w:hAnsi="Tahoma" w:cs="Tahoma"/>
                <w:b/>
                <w:bCs/>
                <w:sz w:val="22"/>
                <w:szCs w:val="22"/>
                <w:lang w:eastAsia="en-US"/>
              </w:rPr>
            </w:pPr>
            <w:r w:rsidRPr="009C3EB4">
              <w:rPr>
                <w:rFonts w:ascii="Tahoma" w:eastAsia="Calibri" w:hAnsi="Tahoma" w:cs="Tahoma"/>
                <w:b/>
                <w:bCs/>
                <w:sz w:val="22"/>
                <w:szCs w:val="22"/>
                <w:lang w:eastAsia="en-US"/>
              </w:rPr>
              <w:t>От 0% до 3,5%</w:t>
            </w:r>
          </w:p>
        </w:tc>
      </w:tr>
      <w:tr w:rsidR="00B723BB" w:rsidRPr="009C3EB4" w14:paraId="52F6B421" w14:textId="77777777" w:rsidTr="005A7C26">
        <w:trPr>
          <w:gridBefore w:val="1"/>
          <w:gridAfter w:val="1"/>
          <w:wBefore w:w="369" w:type="pct"/>
          <w:wAfter w:w="3" w:type="pct"/>
          <w:trHeight w:val="300"/>
        </w:trPr>
        <w:tc>
          <w:tcPr>
            <w:tcW w:w="301" w:type="pct"/>
            <w:tcBorders>
              <w:top w:val="nil"/>
              <w:left w:val="single" w:sz="4" w:space="0" w:color="auto"/>
              <w:bottom w:val="single" w:sz="4" w:space="0" w:color="auto"/>
              <w:right w:val="single" w:sz="4" w:space="0" w:color="auto"/>
            </w:tcBorders>
            <w:shd w:val="clear" w:color="auto" w:fill="auto"/>
            <w:noWrap/>
            <w:vAlign w:val="center"/>
            <w:hideMark/>
          </w:tcPr>
          <w:p w14:paraId="2FCA45AF" w14:textId="77777777" w:rsidR="00B723BB" w:rsidRPr="009C3EB4" w:rsidRDefault="00B723BB" w:rsidP="005A7C26">
            <w:pPr>
              <w:spacing w:after="160" w:line="259" w:lineRule="auto"/>
              <w:jc w:val="center"/>
              <w:rPr>
                <w:rFonts w:ascii="Tahoma" w:eastAsia="Calibri" w:hAnsi="Tahoma" w:cs="Tahoma"/>
                <w:sz w:val="22"/>
                <w:szCs w:val="22"/>
                <w:lang w:eastAsia="en-US"/>
              </w:rPr>
            </w:pPr>
            <w:r w:rsidRPr="009C3EB4">
              <w:rPr>
                <w:rFonts w:ascii="Tahoma" w:eastAsia="Calibri" w:hAnsi="Tahoma" w:cs="Tahoma"/>
                <w:sz w:val="22"/>
                <w:szCs w:val="22"/>
                <w:lang w:eastAsia="en-US"/>
              </w:rPr>
              <w:t>2.1.4.</w:t>
            </w:r>
          </w:p>
        </w:tc>
        <w:tc>
          <w:tcPr>
            <w:tcW w:w="2780" w:type="pct"/>
            <w:tcBorders>
              <w:top w:val="nil"/>
              <w:left w:val="nil"/>
              <w:bottom w:val="single" w:sz="4" w:space="0" w:color="auto"/>
              <w:right w:val="single" w:sz="4" w:space="0" w:color="auto"/>
            </w:tcBorders>
            <w:shd w:val="clear" w:color="auto" w:fill="auto"/>
            <w:vAlign w:val="center"/>
            <w:hideMark/>
          </w:tcPr>
          <w:p w14:paraId="7DE0272F" w14:textId="77777777" w:rsidR="00B723BB" w:rsidRPr="009C3EB4" w:rsidRDefault="00B723BB" w:rsidP="005A7C26">
            <w:pPr>
              <w:tabs>
                <w:tab w:val="left" w:pos="0"/>
                <w:tab w:val="left" w:pos="142"/>
              </w:tabs>
              <w:spacing w:after="160" w:line="259" w:lineRule="auto"/>
              <w:jc w:val="both"/>
              <w:rPr>
                <w:rFonts w:ascii="Tahoma" w:eastAsia="Calibri" w:hAnsi="Tahoma" w:cs="Tahoma"/>
                <w:bCs/>
                <w:sz w:val="22"/>
                <w:szCs w:val="22"/>
                <w:lang w:eastAsia="en-US"/>
              </w:rPr>
            </w:pPr>
            <w:r w:rsidRPr="009C3EB4">
              <w:rPr>
                <w:rFonts w:ascii="Tahoma" w:eastAsia="Calibri" w:hAnsi="Tahoma" w:cs="Tahoma"/>
                <w:bCs/>
                <w:sz w:val="22"/>
                <w:szCs w:val="22"/>
                <w:lang w:eastAsia="en-US"/>
              </w:rPr>
              <w:t>категория «Образование и обучение»</w:t>
            </w:r>
          </w:p>
        </w:tc>
        <w:tc>
          <w:tcPr>
            <w:tcW w:w="1547" w:type="pct"/>
            <w:gridSpan w:val="2"/>
            <w:tcBorders>
              <w:top w:val="nil"/>
              <w:left w:val="nil"/>
              <w:bottom w:val="single" w:sz="4" w:space="0" w:color="auto"/>
              <w:right w:val="single" w:sz="4" w:space="0" w:color="auto"/>
            </w:tcBorders>
            <w:shd w:val="clear" w:color="auto" w:fill="auto"/>
            <w:vAlign w:val="center"/>
            <w:hideMark/>
          </w:tcPr>
          <w:p w14:paraId="1B4C2366" w14:textId="77777777" w:rsidR="00B723BB" w:rsidRPr="009C3EB4" w:rsidRDefault="00B723BB" w:rsidP="005A7C26">
            <w:pPr>
              <w:spacing w:after="160" w:line="259" w:lineRule="auto"/>
              <w:jc w:val="center"/>
              <w:rPr>
                <w:rFonts w:ascii="Tahoma" w:eastAsia="Calibri" w:hAnsi="Tahoma" w:cs="Tahoma"/>
                <w:b/>
                <w:bCs/>
                <w:sz w:val="22"/>
                <w:szCs w:val="22"/>
                <w:lang w:eastAsia="en-US"/>
              </w:rPr>
            </w:pPr>
            <w:r w:rsidRPr="009C3EB4">
              <w:rPr>
                <w:rFonts w:ascii="Tahoma" w:eastAsia="Calibri" w:hAnsi="Tahoma" w:cs="Tahoma"/>
                <w:b/>
                <w:bCs/>
                <w:sz w:val="22"/>
                <w:szCs w:val="22"/>
                <w:lang w:eastAsia="en-US"/>
              </w:rPr>
              <w:t>От 0% до 3,5%</w:t>
            </w:r>
          </w:p>
        </w:tc>
      </w:tr>
      <w:tr w:rsidR="00B723BB" w:rsidRPr="009C3EB4" w14:paraId="47FF53AE" w14:textId="77777777" w:rsidTr="005A7C26">
        <w:trPr>
          <w:gridBefore w:val="1"/>
          <w:gridAfter w:val="1"/>
          <w:wBefore w:w="369" w:type="pct"/>
          <w:wAfter w:w="3" w:type="pct"/>
          <w:trHeight w:val="300"/>
        </w:trPr>
        <w:tc>
          <w:tcPr>
            <w:tcW w:w="301" w:type="pct"/>
            <w:tcBorders>
              <w:top w:val="nil"/>
              <w:left w:val="single" w:sz="4" w:space="0" w:color="auto"/>
              <w:bottom w:val="single" w:sz="4" w:space="0" w:color="auto"/>
              <w:right w:val="single" w:sz="4" w:space="0" w:color="auto"/>
            </w:tcBorders>
            <w:shd w:val="clear" w:color="auto" w:fill="auto"/>
            <w:noWrap/>
            <w:vAlign w:val="center"/>
            <w:hideMark/>
          </w:tcPr>
          <w:p w14:paraId="5D69390B" w14:textId="77777777" w:rsidR="00B723BB" w:rsidRPr="009C3EB4" w:rsidRDefault="00B723BB" w:rsidP="005A7C26">
            <w:pPr>
              <w:spacing w:after="160" w:line="259" w:lineRule="auto"/>
              <w:jc w:val="center"/>
              <w:rPr>
                <w:rFonts w:ascii="Tahoma" w:eastAsia="Calibri" w:hAnsi="Tahoma" w:cs="Tahoma"/>
                <w:sz w:val="22"/>
                <w:szCs w:val="22"/>
                <w:lang w:eastAsia="en-US"/>
              </w:rPr>
            </w:pPr>
            <w:r w:rsidRPr="009C3EB4">
              <w:rPr>
                <w:rFonts w:ascii="Tahoma" w:eastAsia="Calibri" w:hAnsi="Tahoma" w:cs="Tahoma"/>
                <w:sz w:val="22"/>
                <w:szCs w:val="22"/>
                <w:lang w:eastAsia="en-US"/>
              </w:rPr>
              <w:t>2.1.5.</w:t>
            </w:r>
          </w:p>
        </w:tc>
        <w:tc>
          <w:tcPr>
            <w:tcW w:w="2780" w:type="pct"/>
            <w:tcBorders>
              <w:top w:val="nil"/>
              <w:left w:val="nil"/>
              <w:bottom w:val="single" w:sz="4" w:space="0" w:color="auto"/>
              <w:right w:val="single" w:sz="4" w:space="0" w:color="auto"/>
            </w:tcBorders>
            <w:shd w:val="clear" w:color="auto" w:fill="auto"/>
            <w:vAlign w:val="center"/>
            <w:hideMark/>
          </w:tcPr>
          <w:p w14:paraId="28BE39C8" w14:textId="77777777" w:rsidR="00B723BB" w:rsidRPr="009C3EB4" w:rsidRDefault="00B723BB" w:rsidP="005A7C26">
            <w:pPr>
              <w:tabs>
                <w:tab w:val="left" w:pos="0"/>
                <w:tab w:val="left" w:pos="142"/>
              </w:tabs>
              <w:spacing w:after="160" w:line="259" w:lineRule="auto"/>
              <w:jc w:val="both"/>
              <w:rPr>
                <w:rFonts w:ascii="Tahoma" w:eastAsia="Calibri" w:hAnsi="Tahoma" w:cs="Tahoma"/>
                <w:bCs/>
                <w:sz w:val="22"/>
                <w:szCs w:val="22"/>
                <w:lang w:eastAsia="en-US"/>
              </w:rPr>
            </w:pPr>
            <w:r w:rsidRPr="009C3EB4">
              <w:rPr>
                <w:rFonts w:ascii="Tahoma" w:eastAsia="Calibri" w:hAnsi="Tahoma" w:cs="Tahoma"/>
                <w:bCs/>
                <w:sz w:val="22"/>
                <w:szCs w:val="22"/>
                <w:lang w:eastAsia="en-US"/>
              </w:rPr>
              <w:t>категория «Коммунальные услуги»*****</w:t>
            </w:r>
          </w:p>
        </w:tc>
        <w:tc>
          <w:tcPr>
            <w:tcW w:w="1547" w:type="pct"/>
            <w:gridSpan w:val="2"/>
            <w:tcBorders>
              <w:top w:val="nil"/>
              <w:left w:val="nil"/>
              <w:bottom w:val="single" w:sz="4" w:space="0" w:color="auto"/>
              <w:right w:val="single" w:sz="4" w:space="0" w:color="auto"/>
            </w:tcBorders>
            <w:shd w:val="clear" w:color="auto" w:fill="auto"/>
            <w:vAlign w:val="center"/>
            <w:hideMark/>
          </w:tcPr>
          <w:p w14:paraId="24BB7EE1" w14:textId="77777777" w:rsidR="00B723BB" w:rsidRPr="009C3EB4" w:rsidRDefault="00B723BB" w:rsidP="005A7C26">
            <w:pPr>
              <w:spacing w:after="160" w:line="259" w:lineRule="auto"/>
              <w:jc w:val="center"/>
              <w:rPr>
                <w:rFonts w:ascii="Tahoma" w:eastAsia="Calibri" w:hAnsi="Tahoma" w:cs="Tahoma"/>
                <w:b/>
                <w:bCs/>
                <w:sz w:val="22"/>
                <w:szCs w:val="22"/>
                <w:lang w:eastAsia="en-US"/>
              </w:rPr>
            </w:pPr>
            <w:r w:rsidRPr="009C3EB4">
              <w:rPr>
                <w:rFonts w:ascii="Tahoma" w:eastAsia="Calibri" w:hAnsi="Tahoma" w:cs="Tahoma"/>
                <w:b/>
                <w:bCs/>
                <w:sz w:val="22"/>
                <w:szCs w:val="22"/>
                <w:lang w:eastAsia="en-US"/>
              </w:rPr>
              <w:t>От 0% до 3,5%</w:t>
            </w:r>
          </w:p>
        </w:tc>
      </w:tr>
      <w:tr w:rsidR="00B723BB" w:rsidRPr="009C3EB4" w14:paraId="67DB9B56" w14:textId="77777777" w:rsidTr="005A7C26">
        <w:trPr>
          <w:gridBefore w:val="1"/>
          <w:gridAfter w:val="1"/>
          <w:wBefore w:w="369" w:type="pct"/>
          <w:wAfter w:w="3" w:type="pct"/>
          <w:trHeight w:val="300"/>
        </w:trPr>
        <w:tc>
          <w:tcPr>
            <w:tcW w:w="301" w:type="pct"/>
            <w:tcBorders>
              <w:top w:val="nil"/>
              <w:left w:val="single" w:sz="4" w:space="0" w:color="auto"/>
              <w:bottom w:val="single" w:sz="4" w:space="0" w:color="auto"/>
              <w:right w:val="single" w:sz="4" w:space="0" w:color="auto"/>
            </w:tcBorders>
            <w:shd w:val="clear" w:color="auto" w:fill="auto"/>
            <w:noWrap/>
            <w:vAlign w:val="center"/>
            <w:hideMark/>
          </w:tcPr>
          <w:p w14:paraId="293A212A" w14:textId="77777777" w:rsidR="00B723BB" w:rsidRPr="009C3EB4" w:rsidRDefault="00B723BB" w:rsidP="005A7C26">
            <w:pPr>
              <w:spacing w:after="160" w:line="259" w:lineRule="auto"/>
              <w:jc w:val="center"/>
              <w:rPr>
                <w:rFonts w:ascii="Tahoma" w:eastAsia="Calibri" w:hAnsi="Tahoma" w:cs="Tahoma"/>
                <w:sz w:val="22"/>
                <w:szCs w:val="22"/>
                <w:lang w:eastAsia="en-US"/>
              </w:rPr>
            </w:pPr>
            <w:r w:rsidRPr="009C3EB4">
              <w:rPr>
                <w:rFonts w:ascii="Tahoma" w:eastAsia="Calibri" w:hAnsi="Tahoma" w:cs="Tahoma"/>
                <w:sz w:val="22"/>
                <w:szCs w:val="22"/>
                <w:lang w:eastAsia="en-US"/>
              </w:rPr>
              <w:t>2.1.6.</w:t>
            </w:r>
          </w:p>
        </w:tc>
        <w:tc>
          <w:tcPr>
            <w:tcW w:w="2780" w:type="pct"/>
            <w:tcBorders>
              <w:top w:val="nil"/>
              <w:left w:val="nil"/>
              <w:bottom w:val="single" w:sz="4" w:space="0" w:color="auto"/>
              <w:right w:val="single" w:sz="4" w:space="0" w:color="auto"/>
            </w:tcBorders>
            <w:shd w:val="clear" w:color="auto" w:fill="auto"/>
            <w:vAlign w:val="center"/>
            <w:hideMark/>
          </w:tcPr>
          <w:p w14:paraId="361711C3" w14:textId="77777777" w:rsidR="00B723BB" w:rsidRPr="009C3EB4" w:rsidRDefault="00B723BB" w:rsidP="005A7C26">
            <w:pPr>
              <w:tabs>
                <w:tab w:val="left" w:pos="0"/>
                <w:tab w:val="left" w:pos="142"/>
              </w:tabs>
              <w:spacing w:after="160" w:line="259" w:lineRule="auto"/>
              <w:jc w:val="both"/>
              <w:rPr>
                <w:rFonts w:ascii="Tahoma" w:eastAsia="Calibri" w:hAnsi="Tahoma" w:cs="Tahoma"/>
                <w:bCs/>
                <w:sz w:val="22"/>
                <w:szCs w:val="22"/>
                <w:lang w:eastAsia="en-US"/>
              </w:rPr>
            </w:pPr>
            <w:r w:rsidRPr="009C3EB4">
              <w:rPr>
                <w:rFonts w:ascii="Tahoma" w:eastAsia="Calibri" w:hAnsi="Tahoma" w:cs="Tahoma"/>
                <w:bCs/>
                <w:sz w:val="22"/>
                <w:szCs w:val="22"/>
                <w:lang w:eastAsia="en-US"/>
              </w:rPr>
              <w:t>категория «Интернет»</w:t>
            </w:r>
          </w:p>
        </w:tc>
        <w:tc>
          <w:tcPr>
            <w:tcW w:w="1547" w:type="pct"/>
            <w:gridSpan w:val="2"/>
            <w:tcBorders>
              <w:top w:val="nil"/>
              <w:left w:val="nil"/>
              <w:bottom w:val="single" w:sz="4" w:space="0" w:color="auto"/>
              <w:right w:val="single" w:sz="4" w:space="0" w:color="auto"/>
            </w:tcBorders>
            <w:shd w:val="clear" w:color="auto" w:fill="auto"/>
            <w:vAlign w:val="center"/>
            <w:hideMark/>
          </w:tcPr>
          <w:p w14:paraId="2E1146F3" w14:textId="77777777" w:rsidR="00B723BB" w:rsidRPr="009C3EB4" w:rsidRDefault="00B723BB" w:rsidP="005A7C26">
            <w:pPr>
              <w:spacing w:after="160" w:line="259" w:lineRule="auto"/>
              <w:jc w:val="center"/>
              <w:rPr>
                <w:rFonts w:ascii="Tahoma" w:eastAsia="Calibri" w:hAnsi="Tahoma" w:cs="Tahoma"/>
                <w:b/>
                <w:bCs/>
                <w:sz w:val="22"/>
                <w:szCs w:val="22"/>
                <w:lang w:eastAsia="en-US"/>
              </w:rPr>
            </w:pPr>
            <w:r w:rsidRPr="009C3EB4">
              <w:rPr>
                <w:rFonts w:ascii="Tahoma" w:eastAsia="Calibri" w:hAnsi="Tahoma" w:cs="Tahoma"/>
                <w:b/>
                <w:bCs/>
                <w:sz w:val="22"/>
                <w:szCs w:val="22"/>
                <w:lang w:eastAsia="en-US"/>
              </w:rPr>
              <w:t>От 0% до 3,5%</w:t>
            </w:r>
          </w:p>
        </w:tc>
      </w:tr>
      <w:tr w:rsidR="00B723BB" w:rsidRPr="009C3EB4" w14:paraId="131DEAE4" w14:textId="77777777" w:rsidTr="005A7C26">
        <w:trPr>
          <w:gridBefore w:val="1"/>
          <w:gridAfter w:val="1"/>
          <w:wBefore w:w="369" w:type="pct"/>
          <w:wAfter w:w="3" w:type="pct"/>
          <w:trHeight w:val="300"/>
        </w:trPr>
        <w:tc>
          <w:tcPr>
            <w:tcW w:w="301" w:type="pct"/>
            <w:tcBorders>
              <w:top w:val="nil"/>
              <w:left w:val="single" w:sz="4" w:space="0" w:color="auto"/>
              <w:bottom w:val="single" w:sz="4" w:space="0" w:color="auto"/>
              <w:right w:val="single" w:sz="4" w:space="0" w:color="auto"/>
            </w:tcBorders>
            <w:shd w:val="clear" w:color="auto" w:fill="auto"/>
            <w:noWrap/>
            <w:vAlign w:val="center"/>
            <w:hideMark/>
          </w:tcPr>
          <w:p w14:paraId="6EE321E2" w14:textId="77777777" w:rsidR="00B723BB" w:rsidRPr="009C3EB4" w:rsidRDefault="00B723BB" w:rsidP="005A7C26">
            <w:pPr>
              <w:spacing w:after="160" w:line="259" w:lineRule="auto"/>
              <w:jc w:val="center"/>
              <w:rPr>
                <w:rFonts w:ascii="Tahoma" w:eastAsia="Calibri" w:hAnsi="Tahoma" w:cs="Tahoma"/>
                <w:sz w:val="22"/>
                <w:szCs w:val="22"/>
                <w:lang w:eastAsia="en-US"/>
              </w:rPr>
            </w:pPr>
            <w:r w:rsidRPr="009C3EB4">
              <w:rPr>
                <w:rFonts w:ascii="Tahoma" w:eastAsia="Calibri" w:hAnsi="Tahoma" w:cs="Tahoma"/>
                <w:sz w:val="22"/>
                <w:szCs w:val="22"/>
                <w:lang w:eastAsia="en-US"/>
              </w:rPr>
              <w:t>2.1.7.</w:t>
            </w:r>
          </w:p>
        </w:tc>
        <w:tc>
          <w:tcPr>
            <w:tcW w:w="2780" w:type="pct"/>
            <w:tcBorders>
              <w:top w:val="nil"/>
              <w:left w:val="nil"/>
              <w:bottom w:val="single" w:sz="4" w:space="0" w:color="auto"/>
              <w:right w:val="single" w:sz="4" w:space="0" w:color="auto"/>
            </w:tcBorders>
            <w:shd w:val="clear" w:color="auto" w:fill="auto"/>
            <w:vAlign w:val="center"/>
            <w:hideMark/>
          </w:tcPr>
          <w:p w14:paraId="1A97CDAB" w14:textId="77777777" w:rsidR="00B723BB" w:rsidRPr="009C3EB4" w:rsidRDefault="00B723BB" w:rsidP="005A7C26">
            <w:pPr>
              <w:tabs>
                <w:tab w:val="left" w:pos="0"/>
                <w:tab w:val="left" w:pos="142"/>
              </w:tabs>
              <w:spacing w:after="160" w:line="259" w:lineRule="auto"/>
              <w:jc w:val="both"/>
              <w:rPr>
                <w:rFonts w:ascii="Tahoma" w:eastAsia="Calibri" w:hAnsi="Tahoma" w:cs="Tahoma"/>
                <w:bCs/>
                <w:sz w:val="22"/>
                <w:szCs w:val="22"/>
                <w:lang w:eastAsia="en-US"/>
              </w:rPr>
            </w:pPr>
            <w:r w:rsidRPr="009C3EB4">
              <w:rPr>
                <w:rFonts w:ascii="Tahoma" w:eastAsia="Calibri" w:hAnsi="Tahoma" w:cs="Tahoma"/>
                <w:bCs/>
                <w:sz w:val="22"/>
                <w:szCs w:val="22"/>
                <w:lang w:eastAsia="en-US"/>
              </w:rPr>
              <w:t>категория «Благотворительность»</w:t>
            </w:r>
          </w:p>
        </w:tc>
        <w:tc>
          <w:tcPr>
            <w:tcW w:w="1547" w:type="pct"/>
            <w:gridSpan w:val="2"/>
            <w:tcBorders>
              <w:top w:val="nil"/>
              <w:left w:val="nil"/>
              <w:bottom w:val="single" w:sz="4" w:space="0" w:color="auto"/>
              <w:right w:val="single" w:sz="4" w:space="0" w:color="auto"/>
            </w:tcBorders>
            <w:shd w:val="clear" w:color="auto" w:fill="auto"/>
            <w:vAlign w:val="center"/>
            <w:hideMark/>
          </w:tcPr>
          <w:p w14:paraId="4CB9E89F" w14:textId="77777777" w:rsidR="00B723BB" w:rsidRPr="009C3EB4" w:rsidRDefault="00B723BB" w:rsidP="005A7C26">
            <w:pPr>
              <w:spacing w:after="160" w:line="259" w:lineRule="auto"/>
              <w:jc w:val="center"/>
              <w:rPr>
                <w:rFonts w:ascii="Tahoma" w:eastAsia="Calibri" w:hAnsi="Tahoma" w:cs="Tahoma"/>
                <w:b/>
                <w:bCs/>
                <w:sz w:val="22"/>
                <w:szCs w:val="22"/>
                <w:lang w:eastAsia="en-US"/>
              </w:rPr>
            </w:pPr>
            <w:r w:rsidRPr="009C3EB4">
              <w:rPr>
                <w:rFonts w:ascii="Tahoma" w:eastAsia="Calibri" w:hAnsi="Tahoma" w:cs="Tahoma"/>
                <w:b/>
                <w:bCs/>
                <w:sz w:val="22"/>
                <w:szCs w:val="22"/>
                <w:lang w:eastAsia="en-US"/>
              </w:rPr>
              <w:t>БЕСПЛАТНО</w:t>
            </w:r>
          </w:p>
        </w:tc>
      </w:tr>
      <w:tr w:rsidR="00B723BB" w:rsidRPr="009C3EB4" w14:paraId="06083967" w14:textId="77777777" w:rsidTr="005A7C26">
        <w:trPr>
          <w:gridBefore w:val="1"/>
          <w:gridAfter w:val="1"/>
          <w:wBefore w:w="369" w:type="pct"/>
          <w:wAfter w:w="3" w:type="pct"/>
          <w:trHeight w:val="402"/>
        </w:trPr>
        <w:tc>
          <w:tcPr>
            <w:tcW w:w="301" w:type="pct"/>
            <w:tcBorders>
              <w:top w:val="nil"/>
              <w:left w:val="single" w:sz="4" w:space="0" w:color="auto"/>
              <w:bottom w:val="single" w:sz="4" w:space="0" w:color="auto"/>
              <w:right w:val="single" w:sz="4" w:space="0" w:color="auto"/>
            </w:tcBorders>
            <w:shd w:val="clear" w:color="auto" w:fill="auto"/>
            <w:noWrap/>
            <w:vAlign w:val="center"/>
            <w:hideMark/>
          </w:tcPr>
          <w:p w14:paraId="7DC8D91B" w14:textId="77777777" w:rsidR="00B723BB" w:rsidRPr="009C3EB4" w:rsidRDefault="00B723BB" w:rsidP="005A7C26">
            <w:pPr>
              <w:spacing w:after="160" w:line="259" w:lineRule="auto"/>
              <w:jc w:val="center"/>
              <w:rPr>
                <w:rFonts w:ascii="Tahoma" w:eastAsia="Calibri" w:hAnsi="Tahoma" w:cs="Tahoma"/>
                <w:sz w:val="22"/>
                <w:szCs w:val="22"/>
                <w:lang w:eastAsia="en-US"/>
              </w:rPr>
            </w:pPr>
            <w:r w:rsidRPr="009C3EB4">
              <w:rPr>
                <w:rFonts w:ascii="Tahoma" w:eastAsia="Calibri" w:hAnsi="Tahoma" w:cs="Tahoma"/>
                <w:sz w:val="22"/>
                <w:szCs w:val="22"/>
                <w:lang w:eastAsia="en-US"/>
              </w:rPr>
              <w:t>2.1.8.</w:t>
            </w:r>
          </w:p>
        </w:tc>
        <w:tc>
          <w:tcPr>
            <w:tcW w:w="2780" w:type="pct"/>
            <w:tcBorders>
              <w:top w:val="nil"/>
              <w:left w:val="nil"/>
              <w:bottom w:val="single" w:sz="4" w:space="0" w:color="auto"/>
              <w:right w:val="single" w:sz="4" w:space="0" w:color="auto"/>
            </w:tcBorders>
            <w:shd w:val="clear" w:color="auto" w:fill="auto"/>
            <w:vAlign w:val="center"/>
            <w:hideMark/>
          </w:tcPr>
          <w:p w14:paraId="1D3DEE6D" w14:textId="77777777" w:rsidR="00B723BB" w:rsidRPr="009C3EB4" w:rsidRDefault="00B723BB" w:rsidP="005A7C26">
            <w:pPr>
              <w:tabs>
                <w:tab w:val="left" w:pos="0"/>
                <w:tab w:val="left" w:pos="142"/>
              </w:tabs>
              <w:spacing w:after="160" w:line="259" w:lineRule="auto"/>
              <w:jc w:val="both"/>
              <w:rPr>
                <w:rFonts w:ascii="Tahoma" w:eastAsia="Calibri" w:hAnsi="Tahoma" w:cs="Tahoma"/>
                <w:bCs/>
                <w:sz w:val="22"/>
                <w:szCs w:val="22"/>
                <w:lang w:eastAsia="en-US"/>
              </w:rPr>
            </w:pPr>
            <w:r w:rsidRPr="009C3EB4">
              <w:rPr>
                <w:rFonts w:ascii="Tahoma" w:eastAsia="Calibri" w:hAnsi="Tahoma" w:cs="Tahoma"/>
                <w:bCs/>
                <w:sz w:val="22"/>
                <w:szCs w:val="22"/>
                <w:lang w:eastAsia="en-US"/>
              </w:rPr>
              <w:t>категория «Онлайн-игры/ Социальные сети»</w:t>
            </w:r>
          </w:p>
        </w:tc>
        <w:tc>
          <w:tcPr>
            <w:tcW w:w="1547" w:type="pct"/>
            <w:gridSpan w:val="2"/>
            <w:tcBorders>
              <w:top w:val="nil"/>
              <w:left w:val="nil"/>
              <w:bottom w:val="single" w:sz="4" w:space="0" w:color="auto"/>
              <w:right w:val="single" w:sz="4" w:space="0" w:color="auto"/>
            </w:tcBorders>
            <w:shd w:val="clear" w:color="auto" w:fill="auto"/>
            <w:vAlign w:val="center"/>
            <w:hideMark/>
          </w:tcPr>
          <w:p w14:paraId="6BF08AC3" w14:textId="77777777" w:rsidR="00B723BB" w:rsidRPr="009C3EB4" w:rsidRDefault="00B723BB" w:rsidP="005A7C26">
            <w:pPr>
              <w:spacing w:after="160" w:line="259" w:lineRule="auto"/>
              <w:jc w:val="center"/>
              <w:rPr>
                <w:rFonts w:ascii="Tahoma" w:eastAsia="Calibri" w:hAnsi="Tahoma" w:cs="Tahoma"/>
                <w:b/>
                <w:bCs/>
                <w:sz w:val="22"/>
                <w:szCs w:val="22"/>
                <w:lang w:eastAsia="en-US"/>
              </w:rPr>
            </w:pPr>
            <w:r w:rsidRPr="009C3EB4">
              <w:rPr>
                <w:rFonts w:ascii="Tahoma" w:eastAsia="Calibri" w:hAnsi="Tahoma" w:cs="Tahoma"/>
                <w:b/>
                <w:bCs/>
                <w:sz w:val="22"/>
                <w:szCs w:val="22"/>
                <w:lang w:eastAsia="en-US"/>
              </w:rPr>
              <w:t>От 0% до 3,5%</w:t>
            </w:r>
          </w:p>
        </w:tc>
      </w:tr>
      <w:tr w:rsidR="00B723BB" w:rsidRPr="009C3EB4" w14:paraId="3F26F37B" w14:textId="77777777" w:rsidTr="005A7C26">
        <w:trPr>
          <w:gridBefore w:val="1"/>
          <w:gridAfter w:val="1"/>
          <w:wBefore w:w="369" w:type="pct"/>
          <w:wAfter w:w="3" w:type="pct"/>
          <w:trHeight w:val="300"/>
        </w:trPr>
        <w:tc>
          <w:tcPr>
            <w:tcW w:w="301" w:type="pct"/>
            <w:tcBorders>
              <w:top w:val="nil"/>
              <w:left w:val="single" w:sz="4" w:space="0" w:color="auto"/>
              <w:bottom w:val="single" w:sz="4" w:space="0" w:color="auto"/>
              <w:right w:val="single" w:sz="4" w:space="0" w:color="auto"/>
            </w:tcBorders>
            <w:shd w:val="clear" w:color="auto" w:fill="auto"/>
            <w:noWrap/>
            <w:vAlign w:val="center"/>
            <w:hideMark/>
          </w:tcPr>
          <w:p w14:paraId="048EE0E4" w14:textId="77777777" w:rsidR="00B723BB" w:rsidRPr="009C3EB4" w:rsidRDefault="00B723BB" w:rsidP="005A7C26">
            <w:pPr>
              <w:spacing w:after="160" w:line="259" w:lineRule="auto"/>
              <w:jc w:val="center"/>
              <w:rPr>
                <w:rFonts w:ascii="Tahoma" w:eastAsia="Calibri" w:hAnsi="Tahoma" w:cs="Tahoma"/>
                <w:sz w:val="22"/>
                <w:szCs w:val="22"/>
                <w:lang w:eastAsia="en-US"/>
              </w:rPr>
            </w:pPr>
            <w:r w:rsidRPr="009C3EB4">
              <w:rPr>
                <w:rFonts w:ascii="Tahoma" w:eastAsia="Calibri" w:hAnsi="Tahoma" w:cs="Tahoma"/>
                <w:sz w:val="22"/>
                <w:szCs w:val="22"/>
                <w:lang w:eastAsia="en-US"/>
              </w:rPr>
              <w:t>2.1.9.</w:t>
            </w:r>
          </w:p>
        </w:tc>
        <w:tc>
          <w:tcPr>
            <w:tcW w:w="2780" w:type="pct"/>
            <w:tcBorders>
              <w:top w:val="nil"/>
              <w:left w:val="nil"/>
              <w:bottom w:val="single" w:sz="4" w:space="0" w:color="auto"/>
              <w:right w:val="single" w:sz="4" w:space="0" w:color="auto"/>
            </w:tcBorders>
            <w:shd w:val="clear" w:color="auto" w:fill="auto"/>
            <w:vAlign w:val="center"/>
            <w:hideMark/>
          </w:tcPr>
          <w:p w14:paraId="78562E57" w14:textId="77777777" w:rsidR="00B723BB" w:rsidRPr="009C3EB4" w:rsidRDefault="00B723BB" w:rsidP="005A7C26">
            <w:pPr>
              <w:tabs>
                <w:tab w:val="left" w:pos="0"/>
                <w:tab w:val="left" w:pos="142"/>
              </w:tabs>
              <w:spacing w:after="160" w:line="259" w:lineRule="auto"/>
              <w:jc w:val="both"/>
              <w:rPr>
                <w:rFonts w:ascii="Tahoma" w:eastAsia="Calibri" w:hAnsi="Tahoma" w:cs="Tahoma"/>
                <w:bCs/>
                <w:sz w:val="22"/>
                <w:szCs w:val="22"/>
                <w:lang w:eastAsia="en-US"/>
              </w:rPr>
            </w:pPr>
            <w:r w:rsidRPr="009C3EB4">
              <w:rPr>
                <w:rFonts w:ascii="Tahoma" w:eastAsia="Calibri" w:hAnsi="Tahoma" w:cs="Tahoma"/>
                <w:bCs/>
                <w:sz w:val="22"/>
                <w:szCs w:val="22"/>
                <w:lang w:eastAsia="en-US"/>
              </w:rPr>
              <w:t>Прочие платежи</w:t>
            </w:r>
          </w:p>
        </w:tc>
        <w:tc>
          <w:tcPr>
            <w:tcW w:w="1547" w:type="pct"/>
            <w:gridSpan w:val="2"/>
            <w:tcBorders>
              <w:top w:val="nil"/>
              <w:left w:val="nil"/>
              <w:bottom w:val="single" w:sz="4" w:space="0" w:color="auto"/>
              <w:right w:val="single" w:sz="4" w:space="0" w:color="auto"/>
            </w:tcBorders>
            <w:shd w:val="clear" w:color="auto" w:fill="auto"/>
            <w:vAlign w:val="center"/>
            <w:hideMark/>
          </w:tcPr>
          <w:p w14:paraId="1D3CC38F" w14:textId="77777777" w:rsidR="00B723BB" w:rsidRPr="009C3EB4" w:rsidRDefault="00B723BB" w:rsidP="005A7C26">
            <w:pPr>
              <w:spacing w:after="160" w:line="259" w:lineRule="auto"/>
              <w:jc w:val="center"/>
              <w:rPr>
                <w:rFonts w:ascii="Tahoma" w:eastAsia="Calibri" w:hAnsi="Tahoma" w:cs="Tahoma"/>
                <w:b/>
                <w:bCs/>
                <w:sz w:val="22"/>
                <w:szCs w:val="22"/>
                <w:lang w:eastAsia="en-US"/>
              </w:rPr>
            </w:pPr>
            <w:r w:rsidRPr="009C3EB4">
              <w:rPr>
                <w:rFonts w:ascii="Tahoma" w:eastAsia="Calibri" w:hAnsi="Tahoma" w:cs="Tahoma"/>
                <w:b/>
                <w:bCs/>
                <w:sz w:val="22"/>
                <w:szCs w:val="22"/>
                <w:lang w:eastAsia="en-US"/>
              </w:rPr>
              <w:t>От 0% до 3,5%</w:t>
            </w:r>
          </w:p>
        </w:tc>
      </w:tr>
      <w:tr w:rsidR="00B723BB" w:rsidRPr="009C3EB4" w14:paraId="3D01C6AC" w14:textId="77777777" w:rsidTr="005A7C26">
        <w:trPr>
          <w:gridBefore w:val="1"/>
          <w:wBefore w:w="369" w:type="pct"/>
          <w:trHeight w:val="300"/>
        </w:trPr>
        <w:tc>
          <w:tcPr>
            <w:tcW w:w="4631" w:type="pct"/>
            <w:gridSpan w:val="5"/>
            <w:tcBorders>
              <w:top w:val="nil"/>
              <w:left w:val="single" w:sz="4" w:space="0" w:color="auto"/>
              <w:bottom w:val="single" w:sz="4" w:space="0" w:color="auto"/>
              <w:right w:val="single" w:sz="4" w:space="0" w:color="auto"/>
            </w:tcBorders>
            <w:shd w:val="clear" w:color="auto" w:fill="auto"/>
            <w:noWrap/>
            <w:vAlign w:val="center"/>
          </w:tcPr>
          <w:p w14:paraId="545787CE" w14:textId="77777777" w:rsidR="00B723BB" w:rsidRPr="009C3EB4" w:rsidRDefault="00B723BB" w:rsidP="005A7C26">
            <w:pPr>
              <w:spacing w:after="160" w:line="259" w:lineRule="auto"/>
              <w:jc w:val="both"/>
              <w:rPr>
                <w:rFonts w:ascii="Tahoma" w:eastAsia="Calibri" w:hAnsi="Tahoma" w:cs="Tahoma"/>
                <w:sz w:val="22"/>
                <w:szCs w:val="22"/>
                <w:lang w:eastAsia="en-US"/>
              </w:rPr>
            </w:pPr>
            <w:r w:rsidRPr="009C3EB4">
              <w:rPr>
                <w:rFonts w:ascii="Tahoma" w:eastAsia="Calibri" w:hAnsi="Tahoma" w:cs="Tahoma"/>
                <w:sz w:val="22"/>
                <w:szCs w:val="22"/>
                <w:lang w:eastAsia="en-US"/>
              </w:rPr>
              <w:t>*Информация о размере взимаемой с пользователя комиссии предоставляется при проведении операции до ее подтверждения</w:t>
            </w:r>
          </w:p>
        </w:tc>
      </w:tr>
      <w:tr w:rsidR="00B723BB" w:rsidRPr="009C3EB4" w14:paraId="4F98BE17" w14:textId="77777777" w:rsidTr="005A7C26">
        <w:trPr>
          <w:gridBefore w:val="1"/>
          <w:gridAfter w:val="1"/>
          <w:wBefore w:w="369" w:type="pct"/>
          <w:wAfter w:w="3" w:type="pct"/>
          <w:trHeight w:val="274"/>
        </w:trPr>
        <w:tc>
          <w:tcPr>
            <w:tcW w:w="301" w:type="pct"/>
            <w:tcBorders>
              <w:top w:val="nil"/>
              <w:left w:val="single" w:sz="4" w:space="0" w:color="auto"/>
              <w:bottom w:val="single" w:sz="4" w:space="0" w:color="auto"/>
              <w:right w:val="nil"/>
            </w:tcBorders>
            <w:shd w:val="clear" w:color="000000" w:fill="A6A6A6"/>
            <w:noWrap/>
            <w:vAlign w:val="center"/>
            <w:hideMark/>
          </w:tcPr>
          <w:p w14:paraId="082F905A" w14:textId="77777777" w:rsidR="00B723BB" w:rsidRPr="009C3EB4" w:rsidRDefault="00B723BB" w:rsidP="005A7C26">
            <w:pPr>
              <w:spacing w:after="160" w:line="259" w:lineRule="auto"/>
              <w:rPr>
                <w:rFonts w:ascii="Tahoma" w:eastAsia="Calibri" w:hAnsi="Tahoma" w:cs="Tahoma"/>
                <w:b/>
                <w:bCs/>
                <w:color w:val="FFFFFF"/>
                <w:sz w:val="22"/>
                <w:szCs w:val="22"/>
                <w:lang w:eastAsia="en-US"/>
              </w:rPr>
            </w:pPr>
            <w:r w:rsidRPr="009C3EB4">
              <w:rPr>
                <w:rFonts w:ascii="Tahoma" w:eastAsia="Calibri" w:hAnsi="Tahoma" w:cs="Tahoma"/>
                <w:b/>
                <w:bCs/>
                <w:color w:val="FFFFFF"/>
                <w:sz w:val="22"/>
                <w:szCs w:val="22"/>
                <w:lang w:eastAsia="en-US"/>
              </w:rPr>
              <w:t>2.2.</w:t>
            </w:r>
          </w:p>
        </w:tc>
        <w:tc>
          <w:tcPr>
            <w:tcW w:w="4327" w:type="pct"/>
            <w:gridSpan w:val="3"/>
            <w:tcBorders>
              <w:top w:val="single" w:sz="4" w:space="0" w:color="auto"/>
              <w:left w:val="single" w:sz="4" w:space="0" w:color="auto"/>
              <w:bottom w:val="single" w:sz="4" w:space="0" w:color="auto"/>
              <w:right w:val="single" w:sz="4" w:space="0" w:color="auto"/>
            </w:tcBorders>
            <w:shd w:val="clear" w:color="000000" w:fill="A6A6A6"/>
            <w:vAlign w:val="center"/>
            <w:hideMark/>
          </w:tcPr>
          <w:p w14:paraId="23C17456" w14:textId="77777777" w:rsidR="00B723BB" w:rsidRPr="009C3EB4" w:rsidRDefault="00B723BB" w:rsidP="005A7C26">
            <w:pPr>
              <w:spacing w:after="160" w:line="259" w:lineRule="auto"/>
              <w:rPr>
                <w:rFonts w:ascii="Tahoma" w:eastAsia="Calibri" w:hAnsi="Tahoma" w:cs="Tahoma"/>
                <w:b/>
                <w:bCs/>
                <w:color w:val="FFFFFF"/>
                <w:sz w:val="22"/>
                <w:szCs w:val="22"/>
                <w:lang w:eastAsia="en-US"/>
              </w:rPr>
            </w:pPr>
            <w:r w:rsidRPr="009C3EB4">
              <w:rPr>
                <w:rFonts w:ascii="Tahoma" w:eastAsia="Calibri" w:hAnsi="Tahoma" w:cs="Tahoma"/>
                <w:b/>
                <w:bCs/>
                <w:color w:val="FFFFFF"/>
                <w:sz w:val="22"/>
                <w:szCs w:val="22"/>
                <w:lang w:eastAsia="en-US"/>
              </w:rPr>
              <w:t>Перевод денежных средств с Карты, выпущенной Банком на другую Карту (с использованием номера Карты)</w:t>
            </w:r>
            <w:r w:rsidRPr="009C3EB4">
              <w:rPr>
                <w:rFonts w:ascii="Tahoma" w:eastAsia="Calibri" w:hAnsi="Tahoma" w:cs="Tahoma"/>
                <w:b/>
                <w:bCs/>
                <w:color w:val="FFFFFF"/>
                <w:sz w:val="22"/>
                <w:szCs w:val="22"/>
                <w:vertAlign w:val="superscript"/>
                <w:lang w:eastAsia="en-US"/>
              </w:rPr>
              <w:t>2,4,6</w:t>
            </w:r>
          </w:p>
        </w:tc>
      </w:tr>
      <w:tr w:rsidR="00B723BB" w:rsidRPr="009C3EB4" w14:paraId="2C6AA286" w14:textId="77777777" w:rsidTr="005A7C26">
        <w:trPr>
          <w:gridBefore w:val="1"/>
          <w:gridAfter w:val="1"/>
          <w:wBefore w:w="369" w:type="pct"/>
          <w:wAfter w:w="3" w:type="pct"/>
          <w:trHeight w:val="489"/>
        </w:trPr>
        <w:tc>
          <w:tcPr>
            <w:tcW w:w="301" w:type="pct"/>
            <w:tcBorders>
              <w:top w:val="nil"/>
              <w:left w:val="single" w:sz="4" w:space="0" w:color="auto"/>
              <w:bottom w:val="single" w:sz="4" w:space="0" w:color="auto"/>
              <w:right w:val="single" w:sz="4" w:space="0" w:color="auto"/>
            </w:tcBorders>
            <w:shd w:val="clear" w:color="auto" w:fill="auto"/>
            <w:noWrap/>
            <w:vAlign w:val="center"/>
            <w:hideMark/>
          </w:tcPr>
          <w:p w14:paraId="31C150B2" w14:textId="77777777" w:rsidR="00B723BB" w:rsidRPr="009C3EB4" w:rsidRDefault="00B723BB" w:rsidP="005A7C26">
            <w:pPr>
              <w:spacing w:after="160" w:line="259" w:lineRule="auto"/>
              <w:jc w:val="center"/>
              <w:rPr>
                <w:rFonts w:ascii="Tahoma" w:eastAsia="Calibri" w:hAnsi="Tahoma" w:cs="Tahoma"/>
                <w:sz w:val="22"/>
                <w:szCs w:val="22"/>
                <w:lang w:eastAsia="en-US"/>
              </w:rPr>
            </w:pPr>
            <w:r w:rsidRPr="009C3EB4">
              <w:rPr>
                <w:rFonts w:ascii="Tahoma" w:eastAsia="Calibri" w:hAnsi="Tahoma" w:cs="Tahoma"/>
                <w:sz w:val="22"/>
                <w:szCs w:val="22"/>
                <w:lang w:eastAsia="en-US"/>
              </w:rPr>
              <w:t>2.2.1.</w:t>
            </w:r>
          </w:p>
        </w:tc>
        <w:tc>
          <w:tcPr>
            <w:tcW w:w="2780" w:type="pct"/>
            <w:tcBorders>
              <w:top w:val="nil"/>
              <w:left w:val="nil"/>
              <w:bottom w:val="single" w:sz="4" w:space="0" w:color="auto"/>
              <w:right w:val="single" w:sz="4" w:space="0" w:color="auto"/>
            </w:tcBorders>
            <w:shd w:val="clear" w:color="auto" w:fill="auto"/>
            <w:vAlign w:val="center"/>
            <w:hideMark/>
          </w:tcPr>
          <w:p w14:paraId="60419C6C" w14:textId="77777777" w:rsidR="00B723BB" w:rsidRPr="009C3EB4" w:rsidRDefault="00B723BB" w:rsidP="005A7C26">
            <w:pPr>
              <w:spacing w:after="160" w:line="259" w:lineRule="auto"/>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 xml:space="preserve">на Карту, выпущенную Банком </w:t>
            </w:r>
            <w:r w:rsidRPr="009C3EB4">
              <w:rPr>
                <w:rFonts w:ascii="Tahoma" w:eastAsia="Calibri" w:hAnsi="Tahoma" w:cs="Tahoma"/>
                <w:sz w:val="22"/>
                <w:szCs w:val="22"/>
                <w:lang w:eastAsia="en-US"/>
              </w:rPr>
              <w:t>(как на Карты Клиентов Банка, так и на Карты, открытые на имя самого Клиента в Банке)</w:t>
            </w:r>
            <w:r w:rsidRPr="009C3EB4">
              <w:rPr>
                <w:rFonts w:ascii="Tahoma" w:eastAsia="Calibri" w:hAnsi="Tahoma" w:cs="Tahoma"/>
                <w:color w:val="000000"/>
                <w:sz w:val="22"/>
                <w:szCs w:val="22"/>
                <w:lang w:eastAsia="en-US"/>
              </w:rPr>
              <w:t xml:space="preserve"> </w:t>
            </w:r>
          </w:p>
        </w:tc>
        <w:tc>
          <w:tcPr>
            <w:tcW w:w="1547" w:type="pct"/>
            <w:gridSpan w:val="2"/>
            <w:tcBorders>
              <w:top w:val="nil"/>
              <w:left w:val="nil"/>
              <w:bottom w:val="single" w:sz="4" w:space="0" w:color="auto"/>
              <w:right w:val="single" w:sz="4" w:space="0" w:color="auto"/>
            </w:tcBorders>
            <w:shd w:val="clear" w:color="auto" w:fill="auto"/>
            <w:vAlign w:val="center"/>
            <w:hideMark/>
          </w:tcPr>
          <w:p w14:paraId="501ABA51" w14:textId="77777777" w:rsidR="00B723BB" w:rsidRPr="009C3EB4" w:rsidRDefault="00B723BB" w:rsidP="005A7C26">
            <w:pPr>
              <w:spacing w:after="160" w:line="259" w:lineRule="auto"/>
              <w:jc w:val="center"/>
              <w:rPr>
                <w:rFonts w:ascii="Tahoma" w:eastAsia="Calibri" w:hAnsi="Tahoma" w:cs="Tahoma"/>
                <w:b/>
                <w:bCs/>
                <w:sz w:val="22"/>
                <w:szCs w:val="22"/>
                <w:lang w:eastAsia="en-US"/>
              </w:rPr>
            </w:pPr>
            <w:r w:rsidRPr="009C3EB4">
              <w:rPr>
                <w:rFonts w:ascii="Tahoma" w:eastAsia="Calibri" w:hAnsi="Tahoma" w:cs="Tahoma"/>
                <w:b/>
                <w:bCs/>
                <w:sz w:val="22"/>
                <w:szCs w:val="22"/>
                <w:lang w:eastAsia="en-US"/>
              </w:rPr>
              <w:t>БЕСПЛАТНО</w:t>
            </w:r>
          </w:p>
        </w:tc>
      </w:tr>
      <w:tr w:rsidR="00B723BB" w:rsidRPr="009C3EB4" w14:paraId="54EFD70B" w14:textId="77777777" w:rsidTr="005A7C26">
        <w:trPr>
          <w:gridBefore w:val="1"/>
          <w:gridAfter w:val="1"/>
          <w:wBefore w:w="369" w:type="pct"/>
          <w:wAfter w:w="3" w:type="pct"/>
          <w:trHeight w:val="397"/>
        </w:trPr>
        <w:tc>
          <w:tcPr>
            <w:tcW w:w="301" w:type="pct"/>
            <w:tcBorders>
              <w:top w:val="nil"/>
              <w:left w:val="single" w:sz="4" w:space="0" w:color="auto"/>
              <w:bottom w:val="single" w:sz="4" w:space="0" w:color="auto"/>
              <w:right w:val="single" w:sz="4" w:space="0" w:color="auto"/>
            </w:tcBorders>
            <w:shd w:val="clear" w:color="auto" w:fill="auto"/>
            <w:noWrap/>
            <w:vAlign w:val="center"/>
            <w:hideMark/>
          </w:tcPr>
          <w:p w14:paraId="11E9B424" w14:textId="77777777" w:rsidR="00B723BB" w:rsidRPr="009C3EB4" w:rsidRDefault="00B723BB" w:rsidP="005A7C26">
            <w:pPr>
              <w:spacing w:after="160" w:line="259" w:lineRule="auto"/>
              <w:jc w:val="center"/>
              <w:rPr>
                <w:rFonts w:ascii="Tahoma" w:eastAsia="Calibri" w:hAnsi="Tahoma" w:cs="Tahoma"/>
                <w:sz w:val="22"/>
                <w:szCs w:val="22"/>
                <w:lang w:eastAsia="en-US"/>
              </w:rPr>
            </w:pPr>
            <w:r w:rsidRPr="009C3EB4">
              <w:rPr>
                <w:rFonts w:ascii="Tahoma" w:eastAsia="Calibri" w:hAnsi="Tahoma" w:cs="Tahoma"/>
                <w:sz w:val="22"/>
                <w:szCs w:val="22"/>
                <w:lang w:eastAsia="en-US"/>
              </w:rPr>
              <w:t>2.2.2.</w:t>
            </w:r>
          </w:p>
        </w:tc>
        <w:tc>
          <w:tcPr>
            <w:tcW w:w="2780" w:type="pct"/>
            <w:tcBorders>
              <w:top w:val="nil"/>
              <w:left w:val="nil"/>
              <w:bottom w:val="single" w:sz="4" w:space="0" w:color="auto"/>
              <w:right w:val="single" w:sz="4" w:space="0" w:color="auto"/>
            </w:tcBorders>
            <w:shd w:val="clear" w:color="auto" w:fill="auto"/>
            <w:vAlign w:val="center"/>
            <w:hideMark/>
          </w:tcPr>
          <w:p w14:paraId="4DB08B2A" w14:textId="77777777" w:rsidR="00B723BB" w:rsidRPr="009C3EB4" w:rsidRDefault="00B723BB" w:rsidP="005A7C26">
            <w:pPr>
              <w:spacing w:after="160" w:line="259" w:lineRule="auto"/>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на Карту</w:t>
            </w:r>
            <w:r w:rsidRPr="009C3EB4">
              <w:rPr>
                <w:rFonts w:ascii="Tahoma" w:eastAsia="Calibri" w:hAnsi="Tahoma" w:cs="Tahoma"/>
                <w:sz w:val="22"/>
                <w:szCs w:val="22"/>
                <w:lang w:eastAsia="en-US"/>
              </w:rPr>
              <w:t>, выпущенную другим российским банком</w:t>
            </w:r>
          </w:p>
        </w:tc>
        <w:tc>
          <w:tcPr>
            <w:tcW w:w="1547" w:type="pct"/>
            <w:gridSpan w:val="2"/>
            <w:tcBorders>
              <w:top w:val="nil"/>
              <w:left w:val="nil"/>
              <w:bottom w:val="single" w:sz="4" w:space="0" w:color="auto"/>
              <w:right w:val="single" w:sz="4" w:space="0" w:color="auto"/>
            </w:tcBorders>
            <w:shd w:val="clear" w:color="auto" w:fill="auto"/>
            <w:vAlign w:val="center"/>
            <w:hideMark/>
          </w:tcPr>
          <w:p w14:paraId="08D7AC0B" w14:textId="77777777" w:rsidR="00B723BB" w:rsidRPr="009C3EB4" w:rsidRDefault="00B723BB" w:rsidP="005A7C26">
            <w:pPr>
              <w:spacing w:after="160" w:line="259" w:lineRule="auto"/>
              <w:jc w:val="center"/>
              <w:rPr>
                <w:rFonts w:ascii="Tahoma" w:eastAsia="Calibri" w:hAnsi="Tahoma" w:cs="Tahoma"/>
                <w:sz w:val="22"/>
                <w:szCs w:val="22"/>
                <w:lang w:eastAsia="en-US"/>
              </w:rPr>
            </w:pPr>
            <w:r w:rsidRPr="009C3EB4">
              <w:rPr>
                <w:rFonts w:ascii="Tahoma" w:eastAsia="Calibri" w:hAnsi="Tahoma" w:cs="Tahoma"/>
                <w:sz w:val="22"/>
                <w:szCs w:val="22"/>
                <w:lang w:eastAsia="en-US"/>
              </w:rPr>
              <w:t>1,3% +30 рублей</w:t>
            </w:r>
            <w:r w:rsidRPr="009C3EB4">
              <w:rPr>
                <w:rFonts w:ascii="Tahoma" w:eastAsia="Calibri" w:hAnsi="Tahoma" w:cs="Tahoma"/>
                <w:sz w:val="22"/>
                <w:szCs w:val="22"/>
                <w:vertAlign w:val="superscript"/>
                <w:lang w:eastAsia="en-US"/>
              </w:rPr>
              <w:t>3</w:t>
            </w:r>
          </w:p>
        </w:tc>
      </w:tr>
      <w:tr w:rsidR="00B723BB" w:rsidRPr="009C3EB4" w14:paraId="41A08339" w14:textId="77777777" w:rsidTr="005A7C26">
        <w:trPr>
          <w:gridBefore w:val="1"/>
          <w:gridAfter w:val="1"/>
          <w:wBefore w:w="369" w:type="pct"/>
          <w:wAfter w:w="3" w:type="pct"/>
          <w:trHeight w:val="274"/>
        </w:trPr>
        <w:tc>
          <w:tcPr>
            <w:tcW w:w="301" w:type="pct"/>
            <w:tcBorders>
              <w:top w:val="nil"/>
              <w:left w:val="single" w:sz="4" w:space="0" w:color="auto"/>
              <w:bottom w:val="single" w:sz="4" w:space="0" w:color="auto"/>
              <w:right w:val="nil"/>
            </w:tcBorders>
            <w:shd w:val="clear" w:color="000000" w:fill="A6A6A6"/>
            <w:noWrap/>
            <w:vAlign w:val="center"/>
            <w:hideMark/>
          </w:tcPr>
          <w:p w14:paraId="1019B1EB" w14:textId="77777777" w:rsidR="00B723BB" w:rsidRPr="009C3EB4" w:rsidRDefault="00B723BB" w:rsidP="005A7C26">
            <w:pPr>
              <w:spacing w:after="160" w:line="259" w:lineRule="auto"/>
              <w:rPr>
                <w:rFonts w:ascii="Tahoma" w:eastAsia="Calibri" w:hAnsi="Tahoma" w:cs="Tahoma"/>
                <w:b/>
                <w:bCs/>
                <w:color w:val="FFFFFF"/>
                <w:sz w:val="22"/>
                <w:szCs w:val="22"/>
                <w:lang w:eastAsia="en-US"/>
              </w:rPr>
            </w:pPr>
            <w:r w:rsidRPr="009C3EB4">
              <w:rPr>
                <w:rFonts w:ascii="Tahoma" w:eastAsia="Calibri" w:hAnsi="Tahoma" w:cs="Tahoma"/>
                <w:b/>
                <w:bCs/>
                <w:color w:val="FFFFFF"/>
                <w:sz w:val="22"/>
                <w:szCs w:val="22"/>
                <w:lang w:eastAsia="en-US"/>
              </w:rPr>
              <w:t>2.3.</w:t>
            </w:r>
          </w:p>
        </w:tc>
        <w:tc>
          <w:tcPr>
            <w:tcW w:w="4327" w:type="pct"/>
            <w:gridSpan w:val="3"/>
            <w:tcBorders>
              <w:top w:val="single" w:sz="4" w:space="0" w:color="auto"/>
              <w:left w:val="single" w:sz="4" w:space="0" w:color="auto"/>
              <w:bottom w:val="single" w:sz="4" w:space="0" w:color="auto"/>
              <w:right w:val="single" w:sz="4" w:space="0" w:color="auto"/>
            </w:tcBorders>
            <w:shd w:val="clear" w:color="000000" w:fill="A6A6A6"/>
            <w:vAlign w:val="center"/>
            <w:hideMark/>
          </w:tcPr>
          <w:p w14:paraId="44CB2D95" w14:textId="77777777" w:rsidR="00B723BB" w:rsidRPr="009C3EB4" w:rsidRDefault="00B723BB" w:rsidP="005A7C26">
            <w:pPr>
              <w:spacing w:after="160" w:line="259" w:lineRule="auto"/>
              <w:rPr>
                <w:rFonts w:ascii="Tahoma" w:eastAsia="Calibri" w:hAnsi="Tahoma" w:cs="Tahoma"/>
                <w:b/>
                <w:bCs/>
                <w:color w:val="FFFFFF"/>
                <w:sz w:val="22"/>
                <w:szCs w:val="22"/>
                <w:lang w:eastAsia="en-US"/>
              </w:rPr>
            </w:pPr>
            <w:r w:rsidRPr="009C3EB4">
              <w:rPr>
                <w:rFonts w:ascii="Tahoma" w:eastAsia="Calibri" w:hAnsi="Tahoma" w:cs="Tahoma"/>
                <w:b/>
                <w:bCs/>
                <w:color w:val="FFFFFF"/>
                <w:sz w:val="22"/>
                <w:szCs w:val="22"/>
                <w:lang w:eastAsia="en-US"/>
              </w:rPr>
              <w:t>Перевод денежных средств со счета физического лица (Текущий банковский счет, Вклад до востребования (в т.ч. Пенсионный), счет Карты)</w:t>
            </w:r>
            <w:r w:rsidRPr="009C3EB4">
              <w:rPr>
                <w:rFonts w:ascii="Tahoma" w:eastAsia="Calibri" w:hAnsi="Tahoma" w:cs="Tahoma"/>
                <w:b/>
                <w:bCs/>
                <w:color w:val="FFFFFF"/>
                <w:sz w:val="22"/>
                <w:szCs w:val="22"/>
                <w:vertAlign w:val="superscript"/>
                <w:lang w:eastAsia="en-US"/>
              </w:rPr>
              <w:t>2,4,5,6</w:t>
            </w:r>
          </w:p>
        </w:tc>
      </w:tr>
      <w:tr w:rsidR="00B723BB" w:rsidRPr="009C3EB4" w14:paraId="1A4636B8" w14:textId="77777777" w:rsidTr="005A7C26">
        <w:trPr>
          <w:gridBefore w:val="1"/>
          <w:gridAfter w:val="1"/>
          <w:wBefore w:w="369" w:type="pct"/>
          <w:wAfter w:w="3" w:type="pct"/>
          <w:trHeight w:val="397"/>
        </w:trPr>
        <w:tc>
          <w:tcPr>
            <w:tcW w:w="301" w:type="pct"/>
            <w:tcBorders>
              <w:top w:val="nil"/>
              <w:left w:val="single" w:sz="4" w:space="0" w:color="auto"/>
              <w:bottom w:val="single" w:sz="4" w:space="0" w:color="auto"/>
              <w:right w:val="single" w:sz="4" w:space="0" w:color="auto"/>
            </w:tcBorders>
            <w:shd w:val="clear" w:color="auto" w:fill="auto"/>
            <w:noWrap/>
            <w:vAlign w:val="center"/>
          </w:tcPr>
          <w:p w14:paraId="45D6F03B" w14:textId="77777777" w:rsidR="00B723BB" w:rsidRPr="009C3EB4" w:rsidRDefault="00B723BB" w:rsidP="005A7C26">
            <w:pPr>
              <w:spacing w:after="160" w:line="259" w:lineRule="auto"/>
              <w:jc w:val="center"/>
              <w:rPr>
                <w:rFonts w:ascii="Tahoma" w:eastAsia="Calibri" w:hAnsi="Tahoma" w:cs="Tahoma"/>
                <w:sz w:val="22"/>
                <w:szCs w:val="22"/>
                <w:lang w:eastAsia="en-US"/>
              </w:rPr>
            </w:pPr>
            <w:r w:rsidRPr="009C3EB4">
              <w:rPr>
                <w:rFonts w:ascii="Tahoma" w:eastAsia="Calibri" w:hAnsi="Tahoma" w:cs="Tahoma"/>
                <w:sz w:val="22"/>
                <w:szCs w:val="22"/>
                <w:lang w:eastAsia="en-US"/>
              </w:rPr>
              <w:t>2.3.1.</w:t>
            </w:r>
          </w:p>
        </w:tc>
        <w:tc>
          <w:tcPr>
            <w:tcW w:w="2780" w:type="pct"/>
            <w:tcBorders>
              <w:top w:val="nil"/>
              <w:left w:val="nil"/>
              <w:bottom w:val="single" w:sz="4" w:space="0" w:color="auto"/>
              <w:right w:val="single" w:sz="4" w:space="0" w:color="auto"/>
            </w:tcBorders>
            <w:shd w:val="clear" w:color="auto" w:fill="auto"/>
            <w:vAlign w:val="center"/>
          </w:tcPr>
          <w:p w14:paraId="61CAEF0F" w14:textId="77777777" w:rsidR="00B723BB" w:rsidRPr="009C3EB4" w:rsidRDefault="00B723BB" w:rsidP="005A7C26">
            <w:pPr>
              <w:spacing w:after="160" w:line="259" w:lineRule="auto"/>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переводы денежных средств на счета в «Азиатско-Тихоокеанского Банка» (АО), от суммы операции</w:t>
            </w:r>
          </w:p>
        </w:tc>
        <w:tc>
          <w:tcPr>
            <w:tcW w:w="1547" w:type="pct"/>
            <w:gridSpan w:val="2"/>
            <w:tcBorders>
              <w:top w:val="nil"/>
              <w:left w:val="nil"/>
              <w:bottom w:val="single" w:sz="4" w:space="0" w:color="auto"/>
              <w:right w:val="single" w:sz="4" w:space="0" w:color="auto"/>
            </w:tcBorders>
            <w:shd w:val="clear" w:color="auto" w:fill="auto"/>
            <w:vAlign w:val="center"/>
          </w:tcPr>
          <w:p w14:paraId="4141F44E" w14:textId="77777777" w:rsidR="00B723BB" w:rsidRPr="009C3EB4" w:rsidRDefault="00B723BB" w:rsidP="005A7C26">
            <w:pPr>
              <w:spacing w:after="160" w:line="259" w:lineRule="auto"/>
              <w:jc w:val="center"/>
              <w:rPr>
                <w:rFonts w:ascii="Tahoma" w:eastAsia="Calibri" w:hAnsi="Tahoma" w:cs="Tahoma"/>
                <w:sz w:val="22"/>
                <w:szCs w:val="22"/>
                <w:lang w:eastAsia="en-US"/>
              </w:rPr>
            </w:pPr>
            <w:r w:rsidRPr="009C3EB4">
              <w:rPr>
                <w:rFonts w:ascii="Tahoma" w:eastAsia="Calibri" w:hAnsi="Tahoma" w:cs="Tahoma"/>
                <w:b/>
                <w:bCs/>
                <w:sz w:val="22"/>
                <w:szCs w:val="22"/>
                <w:lang w:eastAsia="en-US"/>
              </w:rPr>
              <w:t>БЕСПЛАТНО</w:t>
            </w:r>
          </w:p>
        </w:tc>
      </w:tr>
      <w:tr w:rsidR="00B723BB" w:rsidRPr="009C3EB4" w14:paraId="475D8C00" w14:textId="77777777" w:rsidTr="005A7C26">
        <w:trPr>
          <w:gridBefore w:val="1"/>
          <w:gridAfter w:val="1"/>
          <w:wBefore w:w="369" w:type="pct"/>
          <w:wAfter w:w="3" w:type="pct"/>
          <w:trHeight w:val="397"/>
        </w:trPr>
        <w:tc>
          <w:tcPr>
            <w:tcW w:w="301" w:type="pct"/>
            <w:tcBorders>
              <w:top w:val="nil"/>
              <w:left w:val="single" w:sz="4" w:space="0" w:color="auto"/>
              <w:bottom w:val="single" w:sz="4" w:space="0" w:color="auto"/>
              <w:right w:val="single" w:sz="4" w:space="0" w:color="auto"/>
            </w:tcBorders>
            <w:shd w:val="clear" w:color="auto" w:fill="auto"/>
            <w:noWrap/>
            <w:vAlign w:val="center"/>
          </w:tcPr>
          <w:p w14:paraId="12ADF748" w14:textId="77777777" w:rsidR="00B723BB" w:rsidRPr="009C3EB4" w:rsidRDefault="00B723BB" w:rsidP="005A7C26">
            <w:pPr>
              <w:spacing w:after="160" w:line="259" w:lineRule="auto"/>
              <w:jc w:val="center"/>
              <w:rPr>
                <w:rFonts w:ascii="Tahoma" w:eastAsia="Calibri" w:hAnsi="Tahoma" w:cs="Tahoma"/>
                <w:sz w:val="22"/>
                <w:szCs w:val="22"/>
                <w:lang w:eastAsia="en-US"/>
              </w:rPr>
            </w:pPr>
            <w:r w:rsidRPr="009C3EB4">
              <w:rPr>
                <w:rFonts w:ascii="Tahoma" w:eastAsia="Calibri" w:hAnsi="Tahoma" w:cs="Tahoma"/>
                <w:sz w:val="22"/>
                <w:szCs w:val="22"/>
                <w:lang w:eastAsia="en-US"/>
              </w:rPr>
              <w:t>2.3.2.</w:t>
            </w:r>
          </w:p>
        </w:tc>
        <w:tc>
          <w:tcPr>
            <w:tcW w:w="2780" w:type="pct"/>
            <w:tcBorders>
              <w:top w:val="nil"/>
              <w:left w:val="nil"/>
              <w:bottom w:val="single" w:sz="4" w:space="0" w:color="auto"/>
              <w:right w:val="single" w:sz="4" w:space="0" w:color="auto"/>
            </w:tcBorders>
            <w:shd w:val="clear" w:color="auto" w:fill="auto"/>
            <w:vAlign w:val="center"/>
          </w:tcPr>
          <w:p w14:paraId="36F42EBE" w14:textId="77777777" w:rsidR="00B723BB" w:rsidRPr="009C3EB4" w:rsidRDefault="00B723BB" w:rsidP="005A7C26">
            <w:pPr>
              <w:spacing w:line="259" w:lineRule="auto"/>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переводы денежных средств на счета в других банках, от суммы операции</w:t>
            </w:r>
          </w:p>
          <w:p w14:paraId="50B20198" w14:textId="77777777" w:rsidR="00B723BB" w:rsidRPr="009C3EB4" w:rsidRDefault="00B723BB" w:rsidP="005A7C26">
            <w:pPr>
              <w:spacing w:after="160" w:line="259" w:lineRule="auto"/>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(за исключением п. 2.3.3.)</w:t>
            </w:r>
          </w:p>
        </w:tc>
        <w:tc>
          <w:tcPr>
            <w:tcW w:w="1547" w:type="pct"/>
            <w:gridSpan w:val="2"/>
            <w:tcBorders>
              <w:top w:val="nil"/>
              <w:left w:val="nil"/>
              <w:bottom w:val="single" w:sz="4" w:space="0" w:color="auto"/>
              <w:right w:val="single" w:sz="4" w:space="0" w:color="auto"/>
            </w:tcBorders>
            <w:shd w:val="clear" w:color="auto" w:fill="auto"/>
            <w:vAlign w:val="center"/>
          </w:tcPr>
          <w:p w14:paraId="57F40480" w14:textId="77777777" w:rsidR="00B723BB" w:rsidRPr="009C3EB4" w:rsidRDefault="00B723BB" w:rsidP="005A7C26">
            <w:pPr>
              <w:spacing w:after="160" w:line="259" w:lineRule="auto"/>
              <w:jc w:val="center"/>
              <w:rPr>
                <w:rFonts w:ascii="Tahoma" w:eastAsia="Calibri" w:hAnsi="Tahoma" w:cs="Tahoma"/>
                <w:sz w:val="22"/>
                <w:szCs w:val="22"/>
                <w:lang w:eastAsia="en-US"/>
              </w:rPr>
            </w:pPr>
            <w:r w:rsidRPr="009C3EB4">
              <w:rPr>
                <w:rFonts w:ascii="Tahoma" w:eastAsia="Calibri" w:hAnsi="Tahoma" w:cs="Tahoma"/>
                <w:sz w:val="22"/>
                <w:szCs w:val="22"/>
                <w:lang w:eastAsia="en-US"/>
              </w:rPr>
              <w:t>0,7% (мин. 20 руб., макс. 1000 руб.)</w:t>
            </w:r>
            <w:r w:rsidRPr="009C3EB4">
              <w:rPr>
                <w:rFonts w:ascii="Tahoma" w:eastAsia="Calibri" w:hAnsi="Tahoma" w:cs="Tahoma"/>
                <w:sz w:val="22"/>
                <w:szCs w:val="22"/>
                <w:vertAlign w:val="superscript"/>
                <w:lang w:eastAsia="en-US"/>
              </w:rPr>
              <w:t>3</w:t>
            </w:r>
          </w:p>
        </w:tc>
      </w:tr>
      <w:tr w:rsidR="00B723BB" w:rsidRPr="009C3EB4" w14:paraId="48636696" w14:textId="77777777" w:rsidTr="005A7C26">
        <w:trPr>
          <w:gridBefore w:val="1"/>
          <w:gridAfter w:val="1"/>
          <w:wBefore w:w="369" w:type="pct"/>
          <w:wAfter w:w="3" w:type="pct"/>
          <w:trHeight w:val="397"/>
        </w:trPr>
        <w:tc>
          <w:tcPr>
            <w:tcW w:w="301" w:type="pct"/>
            <w:tcBorders>
              <w:top w:val="nil"/>
              <w:left w:val="single" w:sz="4" w:space="0" w:color="auto"/>
              <w:bottom w:val="single" w:sz="4" w:space="0" w:color="auto"/>
              <w:right w:val="single" w:sz="4" w:space="0" w:color="auto"/>
            </w:tcBorders>
            <w:shd w:val="clear" w:color="auto" w:fill="auto"/>
            <w:noWrap/>
            <w:vAlign w:val="center"/>
          </w:tcPr>
          <w:p w14:paraId="6AD0AC3F" w14:textId="77777777" w:rsidR="00B723BB" w:rsidRPr="009C3EB4" w:rsidRDefault="00B723BB" w:rsidP="005A7C26">
            <w:pPr>
              <w:spacing w:after="160" w:line="259" w:lineRule="auto"/>
              <w:jc w:val="center"/>
              <w:rPr>
                <w:rFonts w:ascii="Tahoma" w:eastAsia="Calibri" w:hAnsi="Tahoma" w:cs="Tahoma"/>
                <w:sz w:val="22"/>
                <w:szCs w:val="22"/>
                <w:lang w:eastAsia="en-US"/>
              </w:rPr>
            </w:pPr>
            <w:r w:rsidRPr="009C3EB4">
              <w:rPr>
                <w:rFonts w:ascii="Tahoma" w:eastAsia="Calibri" w:hAnsi="Tahoma" w:cs="Tahoma"/>
                <w:sz w:val="22"/>
                <w:szCs w:val="22"/>
                <w:lang w:eastAsia="en-US"/>
              </w:rPr>
              <w:t>2.3.3.</w:t>
            </w:r>
          </w:p>
        </w:tc>
        <w:tc>
          <w:tcPr>
            <w:tcW w:w="2780" w:type="pct"/>
            <w:tcBorders>
              <w:top w:val="nil"/>
              <w:left w:val="nil"/>
              <w:bottom w:val="single" w:sz="4" w:space="0" w:color="auto"/>
              <w:right w:val="single" w:sz="4" w:space="0" w:color="auto"/>
            </w:tcBorders>
            <w:shd w:val="clear" w:color="auto" w:fill="auto"/>
            <w:vAlign w:val="center"/>
          </w:tcPr>
          <w:p w14:paraId="626CDB54" w14:textId="77777777" w:rsidR="00B723BB" w:rsidRPr="009C3EB4" w:rsidRDefault="00B723BB" w:rsidP="005A7C26">
            <w:pPr>
              <w:spacing w:after="160" w:line="259" w:lineRule="auto"/>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 xml:space="preserve">переводы денежных средств физическим лицом на свое имя на счета (вклады), открытые в других банках в совокупности ежемесячно в сумме до 30 000 000 (включительно) рублей </w:t>
            </w:r>
          </w:p>
        </w:tc>
        <w:tc>
          <w:tcPr>
            <w:tcW w:w="1547" w:type="pct"/>
            <w:gridSpan w:val="2"/>
            <w:tcBorders>
              <w:top w:val="nil"/>
              <w:left w:val="nil"/>
              <w:bottom w:val="single" w:sz="4" w:space="0" w:color="auto"/>
              <w:right w:val="single" w:sz="4" w:space="0" w:color="auto"/>
            </w:tcBorders>
            <w:shd w:val="clear" w:color="auto" w:fill="auto"/>
            <w:vAlign w:val="center"/>
          </w:tcPr>
          <w:p w14:paraId="05271BD5" w14:textId="77777777" w:rsidR="00B723BB" w:rsidRPr="009C3EB4" w:rsidRDefault="00B723BB" w:rsidP="005A7C26">
            <w:pPr>
              <w:spacing w:after="160" w:line="259" w:lineRule="auto"/>
              <w:jc w:val="center"/>
              <w:rPr>
                <w:rFonts w:ascii="Tahoma" w:eastAsia="Calibri" w:hAnsi="Tahoma" w:cs="Tahoma"/>
                <w:sz w:val="22"/>
                <w:szCs w:val="22"/>
                <w:lang w:eastAsia="en-US"/>
              </w:rPr>
            </w:pPr>
            <w:r w:rsidRPr="009C3EB4">
              <w:rPr>
                <w:rFonts w:ascii="Tahoma" w:eastAsia="Calibri" w:hAnsi="Tahoma" w:cs="Tahoma"/>
                <w:b/>
                <w:bCs/>
                <w:sz w:val="22"/>
                <w:szCs w:val="22"/>
                <w:lang w:eastAsia="en-US"/>
              </w:rPr>
              <w:t>БЕСПЛАТНО</w:t>
            </w:r>
          </w:p>
        </w:tc>
      </w:tr>
      <w:tr w:rsidR="00B723BB" w:rsidRPr="009C3EB4" w14:paraId="68A280B2" w14:textId="77777777" w:rsidTr="005A7C26">
        <w:trPr>
          <w:gridBefore w:val="1"/>
          <w:gridAfter w:val="1"/>
          <w:wBefore w:w="369" w:type="pct"/>
          <w:wAfter w:w="3" w:type="pct"/>
          <w:trHeight w:val="397"/>
        </w:trPr>
        <w:tc>
          <w:tcPr>
            <w:tcW w:w="301" w:type="pct"/>
            <w:tcBorders>
              <w:top w:val="nil"/>
              <w:left w:val="single" w:sz="4" w:space="0" w:color="auto"/>
              <w:bottom w:val="single" w:sz="4" w:space="0" w:color="auto"/>
              <w:right w:val="single" w:sz="4" w:space="0" w:color="auto"/>
            </w:tcBorders>
            <w:shd w:val="clear" w:color="auto" w:fill="auto"/>
            <w:noWrap/>
            <w:vAlign w:val="center"/>
          </w:tcPr>
          <w:p w14:paraId="286368C7" w14:textId="77777777" w:rsidR="00B723BB" w:rsidRPr="009C3EB4" w:rsidRDefault="00B723BB" w:rsidP="005A7C26">
            <w:pPr>
              <w:spacing w:after="160" w:line="259" w:lineRule="auto"/>
              <w:jc w:val="center"/>
              <w:rPr>
                <w:rFonts w:ascii="Tahoma" w:eastAsia="Calibri" w:hAnsi="Tahoma" w:cs="Tahoma"/>
                <w:sz w:val="22"/>
                <w:szCs w:val="22"/>
                <w:lang w:eastAsia="en-US"/>
              </w:rPr>
            </w:pPr>
            <w:r>
              <w:rPr>
                <w:rFonts w:ascii="Tahoma" w:eastAsia="Calibri" w:hAnsi="Tahoma" w:cs="Tahoma"/>
                <w:sz w:val="22"/>
                <w:szCs w:val="22"/>
                <w:lang w:eastAsia="en-US"/>
              </w:rPr>
              <w:t>2.3.4.</w:t>
            </w:r>
          </w:p>
        </w:tc>
        <w:tc>
          <w:tcPr>
            <w:tcW w:w="2780" w:type="pct"/>
            <w:tcBorders>
              <w:top w:val="nil"/>
              <w:left w:val="nil"/>
              <w:bottom w:val="single" w:sz="4" w:space="0" w:color="auto"/>
              <w:right w:val="single" w:sz="4" w:space="0" w:color="auto"/>
            </w:tcBorders>
            <w:shd w:val="clear" w:color="auto" w:fill="auto"/>
            <w:vAlign w:val="center"/>
          </w:tcPr>
          <w:p w14:paraId="08B75D6F" w14:textId="77777777" w:rsidR="00B723BB" w:rsidRPr="009C3EB4" w:rsidRDefault="00B723BB" w:rsidP="005A7C26">
            <w:pPr>
              <w:spacing w:after="160" w:line="259" w:lineRule="auto"/>
              <w:rPr>
                <w:rFonts w:ascii="Tahoma" w:eastAsia="Calibri" w:hAnsi="Tahoma" w:cs="Tahoma"/>
                <w:color w:val="000000"/>
                <w:sz w:val="22"/>
                <w:szCs w:val="22"/>
                <w:lang w:eastAsia="en-US"/>
              </w:rPr>
            </w:pPr>
            <w:r w:rsidRPr="00490D37">
              <w:rPr>
                <w:rFonts w:ascii="Tahoma" w:eastAsia="Calibri" w:hAnsi="Tahoma" w:cs="Tahoma"/>
                <w:color w:val="000000"/>
                <w:sz w:val="22"/>
                <w:szCs w:val="22"/>
                <w:lang w:eastAsia="en-US"/>
              </w:rPr>
              <w:t>На счета получателей, обслуживаемые иностранным Банком, через корреспондентский счет, открытый иностранным Банком в Банке/Филиалах «Азиатско-Тихоокеанский Банк» (АО) или в другой кредитной организации</w:t>
            </w:r>
          </w:p>
        </w:tc>
        <w:tc>
          <w:tcPr>
            <w:tcW w:w="1547" w:type="pct"/>
            <w:gridSpan w:val="2"/>
            <w:tcBorders>
              <w:top w:val="nil"/>
              <w:left w:val="nil"/>
              <w:bottom w:val="single" w:sz="4" w:space="0" w:color="auto"/>
              <w:right w:val="single" w:sz="4" w:space="0" w:color="auto"/>
            </w:tcBorders>
            <w:shd w:val="clear" w:color="auto" w:fill="auto"/>
            <w:vAlign w:val="center"/>
          </w:tcPr>
          <w:p w14:paraId="7D881535" w14:textId="77777777" w:rsidR="00B723BB" w:rsidRPr="009C3EB4" w:rsidRDefault="00B723BB" w:rsidP="005A7C26">
            <w:pPr>
              <w:spacing w:after="160" w:line="259" w:lineRule="auto"/>
              <w:jc w:val="center"/>
              <w:rPr>
                <w:rFonts w:ascii="Tahoma" w:eastAsia="Calibri" w:hAnsi="Tahoma" w:cs="Tahoma"/>
                <w:b/>
                <w:bCs/>
                <w:sz w:val="22"/>
                <w:szCs w:val="22"/>
                <w:lang w:eastAsia="en-US"/>
              </w:rPr>
            </w:pPr>
            <w:r w:rsidRPr="00490D37">
              <w:rPr>
                <w:rFonts w:ascii="Tahoma" w:eastAsia="Calibri" w:hAnsi="Tahoma" w:cs="Tahoma"/>
                <w:sz w:val="22"/>
                <w:szCs w:val="22"/>
                <w:lang w:eastAsia="en-US"/>
              </w:rPr>
              <w:t>0,5% от суммы перевода, минимум 3 000 руб.</w:t>
            </w:r>
          </w:p>
        </w:tc>
      </w:tr>
      <w:tr w:rsidR="00B723BB" w:rsidRPr="009C3EB4" w14:paraId="7ABAA363" w14:textId="77777777" w:rsidTr="005A7C26">
        <w:trPr>
          <w:gridBefore w:val="1"/>
          <w:wBefore w:w="369" w:type="pct"/>
          <w:trHeight w:val="300"/>
        </w:trPr>
        <w:tc>
          <w:tcPr>
            <w:tcW w:w="4631" w:type="pct"/>
            <w:gridSpan w:val="5"/>
            <w:tcBorders>
              <w:top w:val="single" w:sz="4" w:space="0" w:color="auto"/>
              <w:left w:val="single" w:sz="4" w:space="0" w:color="auto"/>
              <w:bottom w:val="single" w:sz="4" w:space="0" w:color="auto"/>
              <w:right w:val="single" w:sz="4" w:space="0" w:color="auto"/>
            </w:tcBorders>
            <w:shd w:val="clear" w:color="000000" w:fill="808080"/>
            <w:vAlign w:val="center"/>
            <w:hideMark/>
          </w:tcPr>
          <w:p w14:paraId="3D3022FA" w14:textId="77777777" w:rsidR="00B723BB" w:rsidRPr="009C3EB4" w:rsidRDefault="00B723BB" w:rsidP="005A7C26">
            <w:pPr>
              <w:spacing w:after="160" w:line="259" w:lineRule="auto"/>
              <w:rPr>
                <w:rFonts w:ascii="Tahoma" w:eastAsia="Calibri" w:hAnsi="Tahoma" w:cs="Tahoma"/>
                <w:b/>
                <w:bCs/>
                <w:color w:val="FFFFFF"/>
                <w:sz w:val="22"/>
                <w:szCs w:val="22"/>
                <w:lang w:eastAsia="en-US"/>
              </w:rPr>
            </w:pPr>
            <w:r w:rsidRPr="009C3EB4">
              <w:rPr>
                <w:rFonts w:ascii="Tahoma" w:eastAsia="Calibri" w:hAnsi="Tahoma" w:cs="Tahoma"/>
                <w:b/>
                <w:bCs/>
                <w:color w:val="FFFFFF"/>
                <w:sz w:val="22"/>
                <w:szCs w:val="22"/>
                <w:lang w:eastAsia="en-US"/>
              </w:rPr>
              <w:t>3. Информационные сервисы. Получение информации о денежных средствах в системе</w:t>
            </w:r>
          </w:p>
        </w:tc>
      </w:tr>
      <w:tr w:rsidR="00B723BB" w:rsidRPr="009C3EB4" w14:paraId="5A5870C4" w14:textId="77777777" w:rsidTr="005A7C26">
        <w:trPr>
          <w:gridBefore w:val="1"/>
          <w:gridAfter w:val="1"/>
          <w:wBefore w:w="369" w:type="pct"/>
          <w:wAfter w:w="3" w:type="pct"/>
          <w:trHeight w:val="164"/>
        </w:trPr>
        <w:tc>
          <w:tcPr>
            <w:tcW w:w="301" w:type="pct"/>
            <w:tcBorders>
              <w:top w:val="nil"/>
              <w:left w:val="single" w:sz="4" w:space="0" w:color="auto"/>
              <w:bottom w:val="single" w:sz="4" w:space="0" w:color="auto"/>
              <w:right w:val="single" w:sz="4" w:space="0" w:color="auto"/>
            </w:tcBorders>
            <w:shd w:val="clear" w:color="auto" w:fill="auto"/>
            <w:noWrap/>
            <w:vAlign w:val="center"/>
            <w:hideMark/>
          </w:tcPr>
          <w:p w14:paraId="651B139C" w14:textId="77777777" w:rsidR="00B723BB" w:rsidRPr="009C3EB4" w:rsidRDefault="00B723BB" w:rsidP="005A7C26">
            <w:pPr>
              <w:spacing w:after="160" w:line="259" w:lineRule="auto"/>
              <w:jc w:val="center"/>
              <w:rPr>
                <w:rFonts w:ascii="Tahoma" w:eastAsia="Calibri" w:hAnsi="Tahoma" w:cs="Tahoma"/>
                <w:sz w:val="22"/>
                <w:szCs w:val="22"/>
                <w:lang w:eastAsia="en-US"/>
              </w:rPr>
            </w:pPr>
            <w:r w:rsidRPr="009C3EB4">
              <w:rPr>
                <w:rFonts w:ascii="Tahoma" w:eastAsia="Calibri" w:hAnsi="Tahoma" w:cs="Tahoma"/>
                <w:sz w:val="22"/>
                <w:szCs w:val="22"/>
                <w:lang w:eastAsia="en-US"/>
              </w:rPr>
              <w:t>3.1.</w:t>
            </w:r>
          </w:p>
        </w:tc>
        <w:tc>
          <w:tcPr>
            <w:tcW w:w="2780" w:type="pct"/>
            <w:tcBorders>
              <w:top w:val="nil"/>
              <w:left w:val="nil"/>
              <w:bottom w:val="single" w:sz="4" w:space="0" w:color="auto"/>
              <w:right w:val="single" w:sz="4" w:space="0" w:color="auto"/>
            </w:tcBorders>
            <w:shd w:val="clear" w:color="auto" w:fill="auto"/>
            <w:vAlign w:val="center"/>
            <w:hideMark/>
          </w:tcPr>
          <w:p w14:paraId="5ACC313F" w14:textId="77777777" w:rsidR="00B723BB" w:rsidRPr="009C3EB4" w:rsidRDefault="00B723BB" w:rsidP="005A7C26">
            <w:pPr>
              <w:spacing w:after="160" w:line="259" w:lineRule="auto"/>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получение информации об остатке средств на счете</w:t>
            </w:r>
          </w:p>
        </w:tc>
        <w:tc>
          <w:tcPr>
            <w:tcW w:w="1547" w:type="pct"/>
            <w:gridSpan w:val="2"/>
            <w:tcBorders>
              <w:top w:val="nil"/>
              <w:left w:val="nil"/>
              <w:bottom w:val="single" w:sz="4" w:space="0" w:color="auto"/>
              <w:right w:val="single" w:sz="4" w:space="0" w:color="auto"/>
            </w:tcBorders>
            <w:shd w:val="clear" w:color="auto" w:fill="auto"/>
            <w:vAlign w:val="center"/>
            <w:hideMark/>
          </w:tcPr>
          <w:p w14:paraId="668A151A" w14:textId="77777777" w:rsidR="00B723BB" w:rsidRPr="009C3EB4" w:rsidRDefault="00B723BB" w:rsidP="005A7C26">
            <w:pPr>
              <w:spacing w:after="160" w:line="259" w:lineRule="auto"/>
              <w:jc w:val="center"/>
              <w:rPr>
                <w:rFonts w:ascii="Tahoma" w:eastAsia="Calibri" w:hAnsi="Tahoma" w:cs="Tahoma"/>
                <w:b/>
                <w:bCs/>
                <w:sz w:val="22"/>
                <w:szCs w:val="22"/>
                <w:lang w:eastAsia="en-US"/>
              </w:rPr>
            </w:pPr>
            <w:r w:rsidRPr="009C3EB4">
              <w:rPr>
                <w:rFonts w:ascii="Tahoma" w:eastAsia="Calibri" w:hAnsi="Tahoma" w:cs="Tahoma"/>
                <w:b/>
                <w:bCs/>
                <w:sz w:val="22"/>
                <w:szCs w:val="22"/>
                <w:lang w:eastAsia="en-US"/>
              </w:rPr>
              <w:t>БЕСПЛАТНО</w:t>
            </w:r>
          </w:p>
        </w:tc>
      </w:tr>
      <w:tr w:rsidR="00B723BB" w:rsidRPr="009C3EB4" w14:paraId="29115E7A" w14:textId="77777777" w:rsidTr="005A7C26">
        <w:trPr>
          <w:gridBefore w:val="1"/>
          <w:gridAfter w:val="1"/>
          <w:wBefore w:w="369" w:type="pct"/>
          <w:wAfter w:w="3" w:type="pct"/>
          <w:trHeight w:val="254"/>
        </w:trPr>
        <w:tc>
          <w:tcPr>
            <w:tcW w:w="30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EB05BE" w14:textId="77777777" w:rsidR="00B723BB" w:rsidRPr="009C3EB4" w:rsidRDefault="00B723BB" w:rsidP="005A7C26">
            <w:pPr>
              <w:spacing w:after="160" w:line="259" w:lineRule="auto"/>
              <w:jc w:val="center"/>
              <w:rPr>
                <w:rFonts w:ascii="Tahoma" w:eastAsia="Calibri" w:hAnsi="Tahoma" w:cs="Tahoma"/>
                <w:sz w:val="22"/>
                <w:szCs w:val="22"/>
                <w:lang w:eastAsia="en-US"/>
              </w:rPr>
            </w:pPr>
            <w:r w:rsidRPr="009C3EB4">
              <w:rPr>
                <w:rFonts w:ascii="Tahoma" w:eastAsia="Calibri" w:hAnsi="Tahoma" w:cs="Tahoma"/>
                <w:sz w:val="22"/>
                <w:szCs w:val="22"/>
                <w:lang w:eastAsia="en-US"/>
              </w:rPr>
              <w:t>3.2.</w:t>
            </w:r>
          </w:p>
        </w:tc>
        <w:tc>
          <w:tcPr>
            <w:tcW w:w="2780" w:type="pct"/>
            <w:tcBorders>
              <w:top w:val="single" w:sz="4" w:space="0" w:color="auto"/>
              <w:left w:val="nil"/>
              <w:bottom w:val="single" w:sz="4" w:space="0" w:color="auto"/>
              <w:right w:val="single" w:sz="4" w:space="0" w:color="auto"/>
            </w:tcBorders>
            <w:shd w:val="clear" w:color="auto" w:fill="auto"/>
            <w:vAlign w:val="center"/>
            <w:hideMark/>
          </w:tcPr>
          <w:p w14:paraId="0C480B24" w14:textId="77777777" w:rsidR="00B723BB" w:rsidRPr="009C3EB4" w:rsidRDefault="00B723BB" w:rsidP="005A7C26">
            <w:pPr>
              <w:spacing w:after="160" w:line="259" w:lineRule="auto"/>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получение выписки (мини-выписки) о совершённых операциях</w:t>
            </w:r>
          </w:p>
        </w:tc>
        <w:tc>
          <w:tcPr>
            <w:tcW w:w="1547" w:type="pct"/>
            <w:gridSpan w:val="2"/>
            <w:tcBorders>
              <w:top w:val="single" w:sz="4" w:space="0" w:color="auto"/>
              <w:left w:val="nil"/>
              <w:bottom w:val="single" w:sz="4" w:space="0" w:color="auto"/>
              <w:right w:val="single" w:sz="4" w:space="0" w:color="auto"/>
            </w:tcBorders>
            <w:shd w:val="clear" w:color="auto" w:fill="auto"/>
            <w:vAlign w:val="center"/>
            <w:hideMark/>
          </w:tcPr>
          <w:p w14:paraId="42E011A2" w14:textId="77777777" w:rsidR="00B723BB" w:rsidRPr="009C3EB4" w:rsidRDefault="00B723BB" w:rsidP="005A7C26">
            <w:pPr>
              <w:spacing w:after="160" w:line="259" w:lineRule="auto"/>
              <w:jc w:val="center"/>
              <w:rPr>
                <w:rFonts w:ascii="Tahoma" w:eastAsia="Calibri" w:hAnsi="Tahoma" w:cs="Tahoma"/>
                <w:b/>
                <w:bCs/>
                <w:sz w:val="22"/>
                <w:szCs w:val="22"/>
                <w:lang w:eastAsia="en-US"/>
              </w:rPr>
            </w:pPr>
            <w:r w:rsidRPr="009C3EB4">
              <w:rPr>
                <w:rFonts w:ascii="Tahoma" w:eastAsia="Calibri" w:hAnsi="Tahoma" w:cs="Tahoma"/>
                <w:b/>
                <w:bCs/>
                <w:sz w:val="22"/>
                <w:szCs w:val="22"/>
                <w:lang w:eastAsia="en-US"/>
              </w:rPr>
              <w:t>БЕСПЛАТНО</w:t>
            </w:r>
          </w:p>
        </w:tc>
      </w:tr>
      <w:tr w:rsidR="00B723BB" w:rsidRPr="009C3EB4" w14:paraId="303768E9" w14:textId="77777777" w:rsidTr="005A7C26">
        <w:trPr>
          <w:trHeight w:val="467"/>
        </w:trPr>
        <w:tc>
          <w:tcPr>
            <w:tcW w:w="5000" w:type="pct"/>
            <w:gridSpan w:val="6"/>
            <w:tcBorders>
              <w:top w:val="nil"/>
              <w:bottom w:val="nil"/>
            </w:tcBorders>
            <w:shd w:val="clear" w:color="auto" w:fill="auto"/>
            <w:vAlign w:val="center"/>
            <w:hideMark/>
          </w:tcPr>
          <w:p w14:paraId="1A623402" w14:textId="77777777" w:rsidR="00B723BB" w:rsidRPr="009C3EB4" w:rsidRDefault="00B723BB" w:rsidP="005A7C26">
            <w:pPr>
              <w:spacing w:after="160" w:line="259" w:lineRule="auto"/>
              <w:ind w:left="426"/>
              <w:jc w:val="both"/>
              <w:rPr>
                <w:rFonts w:ascii="Tahoma" w:eastAsia="Calibri" w:hAnsi="Tahoma" w:cs="Tahoma"/>
                <w:b/>
                <w:bCs/>
                <w:sz w:val="22"/>
                <w:szCs w:val="22"/>
                <w:lang w:eastAsia="en-US"/>
              </w:rPr>
            </w:pPr>
          </w:p>
          <w:p w14:paraId="4471E15B" w14:textId="77777777" w:rsidR="00B723BB" w:rsidRPr="009C3EB4" w:rsidRDefault="00B723BB" w:rsidP="005A7C26">
            <w:pPr>
              <w:spacing w:after="160" w:line="259" w:lineRule="auto"/>
              <w:ind w:left="426"/>
              <w:jc w:val="both"/>
              <w:rPr>
                <w:rFonts w:ascii="Tahoma" w:eastAsia="Calibri" w:hAnsi="Tahoma" w:cs="Tahoma"/>
                <w:color w:val="000000"/>
                <w:sz w:val="22"/>
                <w:szCs w:val="22"/>
                <w:vertAlign w:val="superscript"/>
                <w:lang w:eastAsia="en-US"/>
              </w:rPr>
            </w:pPr>
            <w:r w:rsidRPr="009C3EB4">
              <w:rPr>
                <w:rFonts w:ascii="Tahoma" w:eastAsia="Calibri" w:hAnsi="Tahoma" w:cs="Tahoma"/>
                <w:b/>
                <w:bCs/>
                <w:sz w:val="22"/>
                <w:szCs w:val="22"/>
                <w:lang w:eastAsia="en-US"/>
              </w:rPr>
              <w:t>Примечания:</w:t>
            </w:r>
          </w:p>
          <w:p w14:paraId="5FDF357A" w14:textId="77777777" w:rsidR="00B723BB" w:rsidRPr="009C3EB4" w:rsidRDefault="00B723BB" w:rsidP="005A7C26">
            <w:pPr>
              <w:spacing w:after="160" w:line="259" w:lineRule="auto"/>
              <w:ind w:left="426"/>
              <w:jc w:val="both"/>
              <w:rPr>
                <w:rFonts w:ascii="Tahoma" w:eastAsia="Calibri" w:hAnsi="Tahoma" w:cs="Tahoma"/>
                <w:color w:val="000000"/>
                <w:sz w:val="22"/>
                <w:szCs w:val="22"/>
                <w:vertAlign w:val="superscript"/>
                <w:lang w:eastAsia="en-US"/>
              </w:rPr>
            </w:pPr>
            <w:r w:rsidRPr="009C3EB4">
              <w:rPr>
                <w:rFonts w:ascii="Tahoma" w:eastAsia="Calibri" w:hAnsi="Tahoma" w:cs="Tahoma"/>
                <w:color w:val="000000"/>
                <w:sz w:val="22"/>
                <w:szCs w:val="22"/>
                <w:vertAlign w:val="superscript"/>
                <w:lang w:eastAsia="en-US"/>
              </w:rPr>
              <w:t>1</w:t>
            </w:r>
            <w:r w:rsidRPr="009C3EB4">
              <w:rPr>
                <w:rFonts w:ascii="Tahoma" w:eastAsia="Calibri" w:hAnsi="Tahoma" w:cs="Tahoma"/>
                <w:color w:val="000000"/>
                <w:sz w:val="22"/>
                <w:szCs w:val="22"/>
                <w:lang w:eastAsia="en-US"/>
              </w:rPr>
              <w:t>Лимиты на расходные операции в ДБО представлены в разделе 5.3 настоящих Тарифов.</w:t>
            </w:r>
          </w:p>
          <w:p w14:paraId="111365DC" w14:textId="77777777" w:rsidR="00B723BB" w:rsidRPr="009C3EB4" w:rsidRDefault="00B723BB" w:rsidP="005A7C26">
            <w:pPr>
              <w:spacing w:after="160" w:line="259" w:lineRule="auto"/>
              <w:ind w:left="426"/>
              <w:jc w:val="both"/>
              <w:rPr>
                <w:rFonts w:ascii="Tahoma" w:eastAsia="Calibri" w:hAnsi="Tahoma" w:cs="Tahoma"/>
                <w:color w:val="000000"/>
                <w:sz w:val="22"/>
                <w:szCs w:val="22"/>
                <w:lang w:eastAsia="en-US"/>
              </w:rPr>
            </w:pPr>
            <w:r w:rsidRPr="009C3EB4">
              <w:rPr>
                <w:rFonts w:ascii="Tahoma" w:eastAsia="Calibri" w:hAnsi="Tahoma" w:cs="Tahoma"/>
                <w:color w:val="000000"/>
                <w:sz w:val="22"/>
                <w:szCs w:val="22"/>
                <w:vertAlign w:val="superscript"/>
                <w:lang w:eastAsia="en-US"/>
              </w:rPr>
              <w:t>2</w:t>
            </w:r>
            <w:r w:rsidRPr="009C3EB4">
              <w:rPr>
                <w:rFonts w:ascii="Tahoma" w:eastAsia="Calibri" w:hAnsi="Tahoma" w:cs="Tahoma"/>
                <w:color w:val="000000"/>
                <w:sz w:val="22"/>
                <w:szCs w:val="22"/>
                <w:lang w:eastAsia="en-US"/>
              </w:rPr>
              <w:t>Перечисление средств на банковские счета по операциям «Погашение банковских кредитов» и  «Плачу куда хочу» осуществляется в срок до 3-х рабочих дней.</w:t>
            </w:r>
          </w:p>
        </w:tc>
      </w:tr>
      <w:tr w:rsidR="00B723BB" w:rsidRPr="009C3EB4" w14:paraId="6E8C7AB3" w14:textId="77777777" w:rsidTr="005A7C26">
        <w:trPr>
          <w:trHeight w:val="1240"/>
        </w:trPr>
        <w:tc>
          <w:tcPr>
            <w:tcW w:w="5000" w:type="pct"/>
            <w:gridSpan w:val="6"/>
            <w:tcBorders>
              <w:top w:val="nil"/>
            </w:tcBorders>
            <w:shd w:val="clear" w:color="auto" w:fill="auto"/>
            <w:vAlign w:val="center"/>
            <w:hideMark/>
          </w:tcPr>
          <w:p w14:paraId="58C09121" w14:textId="77777777" w:rsidR="00B723BB" w:rsidRPr="009C3EB4" w:rsidRDefault="00B723BB" w:rsidP="005A7C26">
            <w:pPr>
              <w:spacing w:after="160" w:line="259" w:lineRule="auto"/>
              <w:ind w:left="426"/>
              <w:jc w:val="both"/>
              <w:rPr>
                <w:rFonts w:ascii="Tahoma" w:eastAsia="Calibri" w:hAnsi="Tahoma" w:cs="Tahoma"/>
                <w:color w:val="000000"/>
                <w:sz w:val="22"/>
                <w:szCs w:val="22"/>
                <w:lang w:eastAsia="en-US"/>
              </w:rPr>
            </w:pPr>
            <w:r w:rsidRPr="009C3EB4">
              <w:rPr>
                <w:rFonts w:ascii="Tahoma" w:eastAsia="Calibri" w:hAnsi="Tahoma" w:cs="Tahoma"/>
                <w:color w:val="000000"/>
                <w:sz w:val="22"/>
                <w:szCs w:val="22"/>
                <w:vertAlign w:val="superscript"/>
                <w:lang w:eastAsia="en-US"/>
              </w:rPr>
              <w:t>3</w:t>
            </w:r>
            <w:r w:rsidRPr="009C3EB4">
              <w:rPr>
                <w:rFonts w:ascii="Tahoma" w:eastAsia="Calibri" w:hAnsi="Tahoma" w:cs="Tahoma"/>
                <w:color w:val="000000"/>
                <w:sz w:val="22"/>
                <w:szCs w:val="22"/>
                <w:lang w:eastAsia="en-US"/>
              </w:rPr>
              <w:t>Данная комиссия (далее -«основной тариф») взимается со всей суммы участвующих в операции денежных средств (в независимости переводятся только собственные средства Клиента либо собственные средства Клиента и кредитные средства (лимит кредитования или часть лимита кредитования) либо только кредитные средства (лимит кредитования или часть лимита кредитования). При использовании в переводе кредитных средств одновременно с комиссией по «основному тарифу» взимается с суммы кредитных средств комиссия, указанная в Примечании 4</w:t>
            </w:r>
            <w:r w:rsidRPr="009C3EB4">
              <w:rPr>
                <w:rFonts w:ascii="Tahoma" w:eastAsia="Calibri" w:hAnsi="Tahoma" w:cs="Tahoma"/>
                <w:sz w:val="22"/>
                <w:szCs w:val="22"/>
                <w:lang w:eastAsia="en-US"/>
              </w:rPr>
              <w:t>.</w:t>
            </w:r>
          </w:p>
        </w:tc>
      </w:tr>
      <w:tr w:rsidR="00B723BB" w:rsidRPr="009C3EB4" w14:paraId="49E96B69" w14:textId="77777777" w:rsidTr="005A7C26">
        <w:trPr>
          <w:trHeight w:val="1542"/>
        </w:trPr>
        <w:tc>
          <w:tcPr>
            <w:tcW w:w="5000" w:type="pct"/>
            <w:gridSpan w:val="6"/>
            <w:tcBorders>
              <w:top w:val="nil"/>
              <w:bottom w:val="nil"/>
            </w:tcBorders>
            <w:shd w:val="clear" w:color="auto" w:fill="FFFFFF"/>
            <w:vAlign w:val="center"/>
            <w:hideMark/>
          </w:tcPr>
          <w:p w14:paraId="1E4C0B75" w14:textId="77777777" w:rsidR="00B723BB" w:rsidRPr="009C3EB4" w:rsidRDefault="00B723BB" w:rsidP="005A7C26">
            <w:pPr>
              <w:spacing w:after="160" w:line="259" w:lineRule="auto"/>
              <w:ind w:left="426"/>
              <w:jc w:val="both"/>
              <w:rPr>
                <w:rFonts w:ascii="Tahoma" w:eastAsia="Calibri" w:hAnsi="Tahoma" w:cs="Tahoma"/>
                <w:sz w:val="22"/>
                <w:szCs w:val="22"/>
                <w:shd w:val="clear" w:color="auto" w:fill="FFFFFF"/>
                <w:lang w:eastAsia="en-US"/>
              </w:rPr>
            </w:pPr>
            <w:r w:rsidRPr="009C3EB4">
              <w:rPr>
                <w:rFonts w:ascii="Tahoma" w:eastAsia="Calibri" w:hAnsi="Tahoma" w:cs="Tahoma"/>
                <w:sz w:val="22"/>
                <w:szCs w:val="22"/>
                <w:vertAlign w:val="superscript"/>
                <w:lang w:eastAsia="en-US"/>
              </w:rPr>
              <w:t>4</w:t>
            </w:r>
            <w:r w:rsidRPr="009C3EB4">
              <w:rPr>
                <w:rFonts w:ascii="Tahoma" w:eastAsia="Calibri" w:hAnsi="Tahoma" w:cs="Tahoma"/>
                <w:sz w:val="22"/>
                <w:szCs w:val="22"/>
                <w:shd w:val="clear" w:color="auto" w:fill="FFFFFF"/>
                <w:lang w:eastAsia="en-US"/>
              </w:rPr>
              <w:t xml:space="preserve">Для Пакетов услуг </w:t>
            </w:r>
            <w:r w:rsidRPr="009C3EB4">
              <w:rPr>
                <w:rFonts w:ascii="Tahoma" w:eastAsia="Calibri" w:hAnsi="Tahoma" w:cs="Tahoma"/>
                <w:color w:val="000000"/>
                <w:sz w:val="22"/>
                <w:szCs w:val="22"/>
                <w:lang w:eastAsia="en-US"/>
              </w:rPr>
              <w:t>«</w:t>
            </w:r>
            <w:r w:rsidRPr="009C3EB4">
              <w:rPr>
                <w:rFonts w:ascii="Tahoma" w:eastAsia="Calibri" w:hAnsi="Tahoma" w:cs="Tahoma"/>
                <w:sz w:val="22"/>
                <w:szCs w:val="22"/>
                <w:shd w:val="clear" w:color="auto" w:fill="FFFFFF"/>
                <w:lang w:eastAsia="en-US"/>
              </w:rPr>
              <w:t>Зарплатный</w:t>
            </w:r>
            <w:r w:rsidRPr="009C3EB4">
              <w:rPr>
                <w:rFonts w:ascii="Tahoma" w:eastAsia="Calibri" w:hAnsi="Tahoma" w:cs="Tahoma"/>
                <w:color w:val="000000"/>
                <w:sz w:val="22"/>
                <w:szCs w:val="22"/>
                <w:lang w:eastAsia="en-US"/>
              </w:rPr>
              <w:t>»</w:t>
            </w:r>
            <w:r w:rsidRPr="009C3EB4">
              <w:rPr>
                <w:rFonts w:ascii="Tahoma" w:eastAsia="Calibri" w:hAnsi="Tahoma" w:cs="Tahoma"/>
                <w:sz w:val="22"/>
                <w:szCs w:val="22"/>
                <w:shd w:val="clear" w:color="auto" w:fill="FFFFFF"/>
                <w:lang w:eastAsia="en-US"/>
              </w:rPr>
              <w:t xml:space="preserve">/ </w:t>
            </w:r>
            <w:r w:rsidRPr="009C3EB4">
              <w:rPr>
                <w:rFonts w:ascii="Tahoma" w:eastAsia="Calibri" w:hAnsi="Tahoma" w:cs="Tahoma"/>
                <w:color w:val="000000"/>
                <w:sz w:val="22"/>
                <w:szCs w:val="22"/>
                <w:lang w:eastAsia="en-US"/>
              </w:rPr>
              <w:t>«</w:t>
            </w:r>
            <w:r w:rsidRPr="009C3EB4">
              <w:rPr>
                <w:rFonts w:ascii="Tahoma" w:eastAsia="Calibri" w:hAnsi="Tahoma" w:cs="Tahoma"/>
                <w:sz w:val="22"/>
                <w:szCs w:val="22"/>
                <w:shd w:val="clear" w:color="auto" w:fill="FFFFFF"/>
                <w:lang w:eastAsia="en-US"/>
              </w:rPr>
              <w:t>Ипотечный</w:t>
            </w:r>
            <w:r w:rsidRPr="009C3EB4">
              <w:rPr>
                <w:rFonts w:ascii="Tahoma" w:eastAsia="Calibri" w:hAnsi="Tahoma" w:cs="Tahoma"/>
                <w:color w:val="000000"/>
                <w:sz w:val="22"/>
                <w:szCs w:val="22"/>
                <w:lang w:eastAsia="en-US"/>
              </w:rPr>
              <w:t>»</w:t>
            </w:r>
            <w:r w:rsidRPr="009C3EB4">
              <w:rPr>
                <w:rFonts w:ascii="Tahoma" w:eastAsia="Calibri" w:hAnsi="Tahoma" w:cs="Tahoma"/>
                <w:sz w:val="22"/>
                <w:szCs w:val="22"/>
                <w:shd w:val="clear" w:color="auto" w:fill="FFFFFF"/>
                <w:lang w:eastAsia="en-US"/>
              </w:rPr>
              <w:t xml:space="preserve">/ </w:t>
            </w:r>
            <w:r w:rsidRPr="009C3EB4">
              <w:rPr>
                <w:rFonts w:ascii="Tahoma" w:eastAsia="Calibri" w:hAnsi="Tahoma" w:cs="Tahoma"/>
                <w:color w:val="000000"/>
                <w:sz w:val="22"/>
                <w:szCs w:val="22"/>
                <w:lang w:eastAsia="en-US"/>
              </w:rPr>
              <w:t>«</w:t>
            </w:r>
            <w:r w:rsidRPr="009C3EB4">
              <w:rPr>
                <w:rFonts w:ascii="Tahoma" w:eastAsia="Calibri" w:hAnsi="Tahoma" w:cs="Tahoma"/>
                <w:sz w:val="22"/>
                <w:szCs w:val="22"/>
                <w:shd w:val="clear" w:color="auto" w:fill="FFFFFF"/>
                <w:lang w:eastAsia="en-US"/>
              </w:rPr>
              <w:t>Кредитный</w:t>
            </w:r>
            <w:r w:rsidRPr="009C3EB4">
              <w:rPr>
                <w:rFonts w:ascii="Tahoma" w:eastAsia="Calibri" w:hAnsi="Tahoma" w:cs="Tahoma"/>
                <w:color w:val="000000"/>
                <w:sz w:val="22"/>
                <w:szCs w:val="22"/>
                <w:lang w:eastAsia="en-US"/>
              </w:rPr>
              <w:t>»</w:t>
            </w:r>
            <w:r w:rsidRPr="009C3EB4">
              <w:rPr>
                <w:rFonts w:ascii="Tahoma" w:eastAsia="Calibri" w:hAnsi="Tahoma" w:cs="Tahoma"/>
                <w:sz w:val="22"/>
                <w:szCs w:val="22"/>
                <w:shd w:val="clear" w:color="auto" w:fill="FFFFFF"/>
                <w:lang w:eastAsia="en-US"/>
              </w:rPr>
              <w:t xml:space="preserve"> - 3,9% + 249 рублей, для ТП </w:t>
            </w:r>
            <w:r w:rsidRPr="009C3EB4">
              <w:rPr>
                <w:rFonts w:ascii="Tahoma" w:eastAsia="Calibri" w:hAnsi="Tahoma" w:cs="Tahoma"/>
                <w:color w:val="000000"/>
                <w:sz w:val="22"/>
                <w:szCs w:val="22"/>
                <w:lang w:eastAsia="en-US"/>
              </w:rPr>
              <w:t>«</w:t>
            </w:r>
            <w:r w:rsidRPr="009C3EB4">
              <w:rPr>
                <w:rFonts w:ascii="Tahoma" w:eastAsia="Calibri" w:hAnsi="Tahoma" w:cs="Tahoma"/>
                <w:sz w:val="22"/>
                <w:szCs w:val="22"/>
                <w:shd w:val="clear" w:color="auto" w:fill="FFFFFF"/>
                <w:lang w:eastAsia="en-US"/>
              </w:rPr>
              <w:t>Доступный Плюс</w:t>
            </w:r>
            <w:r w:rsidRPr="009C3EB4">
              <w:rPr>
                <w:rFonts w:ascii="Tahoma" w:eastAsia="Calibri" w:hAnsi="Tahoma" w:cs="Tahoma"/>
                <w:color w:val="000000"/>
                <w:sz w:val="22"/>
                <w:szCs w:val="22"/>
                <w:lang w:eastAsia="en-US"/>
              </w:rPr>
              <w:t>»</w:t>
            </w:r>
            <w:r w:rsidRPr="009C3EB4">
              <w:rPr>
                <w:rFonts w:ascii="Tahoma" w:eastAsia="Calibri" w:hAnsi="Tahoma" w:cs="Tahoma"/>
                <w:sz w:val="22"/>
                <w:szCs w:val="22"/>
                <w:shd w:val="clear" w:color="auto" w:fill="FFFFFF"/>
                <w:lang w:eastAsia="en-US"/>
              </w:rPr>
              <w:t xml:space="preserve"> - 4,9% + 490 рублей.; для Пакета услуг </w:t>
            </w:r>
            <w:r w:rsidRPr="009C3EB4">
              <w:rPr>
                <w:rFonts w:ascii="Tahoma" w:eastAsia="Calibri" w:hAnsi="Tahoma" w:cs="Tahoma"/>
                <w:color w:val="000000"/>
                <w:sz w:val="22"/>
                <w:szCs w:val="22"/>
                <w:lang w:eastAsia="en-US"/>
              </w:rPr>
              <w:t>«</w:t>
            </w:r>
            <w:r w:rsidRPr="009C3EB4">
              <w:rPr>
                <w:rFonts w:ascii="Tahoma" w:eastAsia="Calibri" w:hAnsi="Tahoma" w:cs="Tahoma"/>
                <w:sz w:val="22"/>
                <w:szCs w:val="22"/>
                <w:shd w:val="clear" w:color="auto" w:fill="FFFFFF"/>
                <w:lang w:eastAsia="en-US"/>
              </w:rPr>
              <w:t>Вкладчик</w:t>
            </w:r>
            <w:r w:rsidRPr="009C3EB4">
              <w:rPr>
                <w:rFonts w:ascii="Tahoma" w:eastAsia="Calibri" w:hAnsi="Tahoma" w:cs="Tahoma"/>
                <w:color w:val="000000"/>
                <w:sz w:val="22"/>
                <w:szCs w:val="22"/>
                <w:lang w:eastAsia="en-US"/>
              </w:rPr>
              <w:t>»</w:t>
            </w:r>
            <w:r w:rsidRPr="009C3EB4">
              <w:rPr>
                <w:rFonts w:ascii="Tahoma" w:eastAsia="Calibri" w:hAnsi="Tahoma" w:cs="Tahoma"/>
                <w:sz w:val="22"/>
                <w:szCs w:val="22"/>
                <w:shd w:val="clear" w:color="auto" w:fill="FFFFFF"/>
                <w:lang w:eastAsia="en-US"/>
              </w:rPr>
              <w:t xml:space="preserve"> - 1,5%; для ТП </w:t>
            </w:r>
            <w:r w:rsidRPr="009C3EB4">
              <w:rPr>
                <w:rFonts w:ascii="Tahoma" w:eastAsia="Calibri" w:hAnsi="Tahoma" w:cs="Tahoma"/>
                <w:color w:val="000000"/>
                <w:sz w:val="22"/>
                <w:szCs w:val="22"/>
                <w:lang w:eastAsia="en-US"/>
              </w:rPr>
              <w:t>«</w:t>
            </w:r>
            <w:r w:rsidRPr="009C3EB4">
              <w:rPr>
                <w:rFonts w:ascii="Tahoma" w:eastAsia="Calibri" w:hAnsi="Tahoma" w:cs="Tahoma"/>
                <w:sz w:val="22"/>
                <w:szCs w:val="22"/>
                <w:shd w:val="clear" w:color="auto" w:fill="FFFFFF"/>
                <w:lang w:eastAsia="en-US"/>
              </w:rPr>
              <w:t>Ставка 19</w:t>
            </w:r>
            <w:r w:rsidRPr="009C3EB4">
              <w:rPr>
                <w:rFonts w:ascii="Tahoma" w:eastAsia="Calibri" w:hAnsi="Tahoma" w:cs="Tahoma"/>
                <w:color w:val="000000"/>
                <w:sz w:val="22"/>
                <w:szCs w:val="22"/>
                <w:lang w:eastAsia="en-US"/>
              </w:rPr>
              <w:t>»</w:t>
            </w:r>
            <w:r w:rsidRPr="009C3EB4">
              <w:rPr>
                <w:rFonts w:ascii="Tahoma" w:eastAsia="Calibri" w:hAnsi="Tahoma" w:cs="Tahoma"/>
                <w:sz w:val="22"/>
                <w:szCs w:val="22"/>
                <w:shd w:val="clear" w:color="auto" w:fill="FFFFFF"/>
                <w:lang w:eastAsia="en-US"/>
              </w:rPr>
              <w:t xml:space="preserve">, </w:t>
            </w:r>
            <w:r w:rsidRPr="009C3EB4">
              <w:rPr>
                <w:rFonts w:ascii="Tahoma" w:eastAsia="Calibri" w:hAnsi="Tahoma" w:cs="Tahoma"/>
                <w:color w:val="000000"/>
                <w:sz w:val="22"/>
                <w:szCs w:val="22"/>
                <w:lang w:eastAsia="en-US"/>
              </w:rPr>
              <w:t>«</w:t>
            </w:r>
            <w:r w:rsidRPr="009C3EB4">
              <w:rPr>
                <w:rFonts w:ascii="Tahoma" w:eastAsia="Calibri" w:hAnsi="Tahoma" w:cs="Tahoma"/>
                <w:sz w:val="22"/>
                <w:szCs w:val="22"/>
                <w:shd w:val="clear" w:color="auto" w:fill="FFFFFF"/>
                <w:lang w:eastAsia="en-US"/>
              </w:rPr>
              <w:t>Мои правила</w:t>
            </w:r>
            <w:r w:rsidRPr="009C3EB4">
              <w:rPr>
                <w:rFonts w:ascii="Tahoma" w:eastAsia="Calibri" w:hAnsi="Tahoma" w:cs="Tahoma"/>
                <w:color w:val="000000"/>
                <w:sz w:val="22"/>
                <w:szCs w:val="22"/>
                <w:lang w:eastAsia="en-US"/>
              </w:rPr>
              <w:t>»</w:t>
            </w:r>
            <w:r w:rsidRPr="009C3EB4">
              <w:rPr>
                <w:rFonts w:ascii="Tahoma" w:eastAsia="Calibri" w:hAnsi="Tahoma" w:cs="Tahoma"/>
                <w:sz w:val="22"/>
                <w:szCs w:val="22"/>
                <w:shd w:val="clear" w:color="auto" w:fill="FFFFFF"/>
                <w:lang w:eastAsia="en-US"/>
              </w:rPr>
              <w:t xml:space="preserve"> - 5,9%; </w:t>
            </w:r>
            <w:r w:rsidRPr="009C3EB4">
              <w:rPr>
                <w:rFonts w:ascii="Tahoma" w:eastAsia="Calibri" w:hAnsi="Tahoma" w:cs="Tahoma"/>
                <w:color w:val="000000"/>
                <w:sz w:val="22"/>
                <w:szCs w:val="22"/>
                <w:lang w:eastAsia="en-US"/>
              </w:rPr>
              <w:t>«</w:t>
            </w:r>
            <w:r w:rsidRPr="009C3EB4">
              <w:rPr>
                <w:rFonts w:ascii="Tahoma" w:eastAsia="Calibri" w:hAnsi="Tahoma" w:cs="Tahoma"/>
                <w:sz w:val="22"/>
                <w:szCs w:val="22"/>
                <w:shd w:val="clear" w:color="auto" w:fill="FFFFFF"/>
                <w:lang w:eastAsia="en-US"/>
              </w:rPr>
              <w:t>90 даром</w:t>
            </w:r>
            <w:r w:rsidRPr="009C3EB4">
              <w:rPr>
                <w:rFonts w:ascii="Tahoma" w:eastAsia="Calibri" w:hAnsi="Tahoma" w:cs="Tahoma"/>
                <w:color w:val="000000"/>
                <w:sz w:val="22"/>
                <w:szCs w:val="22"/>
                <w:lang w:eastAsia="en-US"/>
              </w:rPr>
              <w:t>»</w:t>
            </w:r>
            <w:r w:rsidRPr="009C3EB4">
              <w:rPr>
                <w:rFonts w:ascii="Tahoma" w:eastAsia="Calibri" w:hAnsi="Tahoma" w:cs="Tahoma"/>
                <w:sz w:val="22"/>
                <w:szCs w:val="22"/>
                <w:shd w:val="clear" w:color="auto" w:fill="FFFFFF"/>
                <w:lang w:eastAsia="en-US"/>
              </w:rPr>
              <w:t xml:space="preserve"> - 6,9%. Комиссия взимается только с суммы кредитных средств, переводимых Клиентом. Одновременно с данной комиссией взимается комиссия с полной суммы переводимых Клиентом кредитных средств по «основному тарифу», указанная в Примечании 3 (комиссионное вознаграждение Банка за перевод денежных средств, осуществляемый за счет лимита кредитования (полностью лимита кредитования или его части) состоит из следующих частей: одновременно взимаемых комиссий</w:t>
            </w:r>
            <w:r w:rsidRPr="009C3EB4">
              <w:rPr>
                <w:rFonts w:ascii="Tahoma" w:eastAsia="Calibri" w:hAnsi="Tahoma" w:cs="Tahoma"/>
                <w:sz w:val="22"/>
                <w:szCs w:val="22"/>
                <w:lang w:eastAsia="en-US"/>
              </w:rPr>
              <w:t>, указанных в Примечании 3 и Примечании 4).</w:t>
            </w:r>
          </w:p>
          <w:p w14:paraId="666046AB" w14:textId="77777777" w:rsidR="00B723BB" w:rsidRPr="009C3EB4" w:rsidRDefault="00B723BB" w:rsidP="005A7C26">
            <w:pPr>
              <w:spacing w:after="160" w:line="259" w:lineRule="auto"/>
              <w:ind w:left="426"/>
              <w:jc w:val="both"/>
              <w:rPr>
                <w:rFonts w:ascii="Tahoma" w:eastAsia="Calibri" w:hAnsi="Tahoma" w:cs="Tahoma"/>
                <w:sz w:val="22"/>
                <w:szCs w:val="22"/>
                <w:lang w:eastAsia="en-US"/>
              </w:rPr>
            </w:pPr>
            <w:r w:rsidRPr="009C3EB4">
              <w:rPr>
                <w:rFonts w:ascii="Tahoma" w:eastAsia="Calibri" w:hAnsi="Tahoma" w:cs="Tahoma"/>
                <w:sz w:val="22"/>
                <w:szCs w:val="22"/>
                <w:shd w:val="clear" w:color="auto" w:fill="FFFFFF"/>
                <w:vertAlign w:val="superscript"/>
                <w:lang w:eastAsia="en-US"/>
              </w:rPr>
              <w:t>5</w:t>
            </w:r>
            <w:r w:rsidRPr="009C3EB4">
              <w:rPr>
                <w:rFonts w:ascii="Tahoma" w:eastAsia="Calibri" w:hAnsi="Tahoma" w:cs="Tahoma"/>
                <w:sz w:val="22"/>
                <w:szCs w:val="22"/>
                <w:shd w:val="clear" w:color="auto" w:fill="FFFFFF"/>
                <w:lang w:eastAsia="en-US"/>
              </w:rPr>
              <w:t>Е</w:t>
            </w:r>
            <w:r w:rsidRPr="009C3EB4">
              <w:rPr>
                <w:rFonts w:ascii="Tahoma" w:eastAsia="Calibri" w:hAnsi="Tahoma" w:cs="Tahoma"/>
                <w:sz w:val="22"/>
                <w:szCs w:val="22"/>
                <w:lang w:eastAsia="en-US"/>
              </w:rPr>
              <w:t>сли иное не установлено конкретным Тарифным планом/Программой/Пакетом Банка.</w:t>
            </w:r>
          </w:p>
          <w:p w14:paraId="1683ECAF" w14:textId="77777777" w:rsidR="00B723BB" w:rsidRPr="009C3EB4" w:rsidRDefault="00B723BB" w:rsidP="005A7C26">
            <w:pPr>
              <w:spacing w:after="160" w:line="259" w:lineRule="auto"/>
              <w:ind w:left="425"/>
              <w:jc w:val="both"/>
              <w:rPr>
                <w:rFonts w:ascii="Tahoma" w:eastAsia="Calibri" w:hAnsi="Tahoma" w:cs="Tahoma"/>
                <w:sz w:val="22"/>
                <w:szCs w:val="22"/>
                <w:lang w:eastAsia="en-US"/>
              </w:rPr>
            </w:pPr>
            <w:r w:rsidRPr="009C3EB4">
              <w:rPr>
                <w:rFonts w:ascii="Tahoma" w:eastAsia="Calibri" w:hAnsi="Tahoma" w:cs="Tahoma"/>
                <w:sz w:val="22"/>
                <w:szCs w:val="22"/>
                <w:shd w:val="clear" w:color="auto" w:fill="FFFFFF"/>
                <w:vertAlign w:val="superscript"/>
                <w:lang w:eastAsia="en-US"/>
              </w:rPr>
              <w:t>6</w:t>
            </w:r>
            <w:r w:rsidRPr="009C3EB4">
              <w:rPr>
                <w:rFonts w:ascii="Tahoma" w:eastAsia="Calibri" w:hAnsi="Tahoma" w:cs="Tahoma"/>
                <w:sz w:val="22"/>
                <w:szCs w:val="22"/>
                <w:shd w:val="clear" w:color="auto" w:fill="FFFFFF"/>
                <w:lang w:eastAsia="en-US"/>
              </w:rPr>
              <w:t>С</w:t>
            </w:r>
            <w:r w:rsidRPr="009C3EB4">
              <w:rPr>
                <w:rFonts w:ascii="Tahoma" w:eastAsia="Calibri" w:hAnsi="Tahoma" w:cs="Tahoma"/>
                <w:sz w:val="22"/>
                <w:szCs w:val="22"/>
                <w:lang w:eastAsia="en-US"/>
              </w:rPr>
              <w:t xml:space="preserve"> 01.03.2023 комиссия не взимается при совершении перевода денежных средств со счета физического лица, открытому военнослужащему, на счет физического лица, открытому члену семьи военнослужащего. Под военнослужащими и членами их семей понимаются следующие категории Клиентов:</w:t>
            </w:r>
          </w:p>
          <w:p w14:paraId="5E1BB1E4" w14:textId="77777777" w:rsidR="00B723BB" w:rsidRPr="009C3EB4" w:rsidRDefault="00B723BB" w:rsidP="005A7C26">
            <w:pPr>
              <w:spacing w:after="160" w:line="259" w:lineRule="auto"/>
              <w:ind w:left="425"/>
              <w:jc w:val="both"/>
              <w:rPr>
                <w:rFonts w:ascii="Tahoma" w:eastAsia="Calibri" w:hAnsi="Tahoma" w:cs="Tahoma"/>
                <w:sz w:val="22"/>
                <w:szCs w:val="22"/>
                <w:lang w:eastAsia="en-US"/>
              </w:rPr>
            </w:pPr>
            <w:r w:rsidRPr="009C3EB4">
              <w:rPr>
                <w:rFonts w:ascii="Tahoma" w:eastAsia="Calibri" w:hAnsi="Tahoma" w:cs="Tahoma"/>
                <w:sz w:val="22"/>
                <w:szCs w:val="22"/>
                <w:lang w:eastAsia="en-US"/>
              </w:rPr>
              <w:t xml:space="preserve">1) лицо (в том числе индивидуальный предприниматель), призванное на военную службу по мобилизации в Вооруженные Силы Российской Федерации; </w:t>
            </w:r>
          </w:p>
          <w:p w14:paraId="67845A22" w14:textId="77777777" w:rsidR="00B723BB" w:rsidRPr="009C3EB4" w:rsidRDefault="00B723BB" w:rsidP="005A7C26">
            <w:pPr>
              <w:spacing w:after="160" w:line="259" w:lineRule="auto"/>
              <w:ind w:left="425"/>
              <w:jc w:val="both"/>
              <w:rPr>
                <w:rFonts w:ascii="Tahoma" w:eastAsia="Calibri" w:hAnsi="Tahoma" w:cs="Tahoma"/>
                <w:sz w:val="22"/>
                <w:szCs w:val="22"/>
                <w:lang w:eastAsia="en-US"/>
              </w:rPr>
            </w:pPr>
            <w:r w:rsidRPr="009C3EB4">
              <w:rPr>
                <w:rFonts w:ascii="Tahoma" w:eastAsia="Calibri" w:hAnsi="Tahoma" w:cs="Tahoma"/>
                <w:sz w:val="22"/>
                <w:szCs w:val="22"/>
                <w:lang w:eastAsia="en-US"/>
              </w:rPr>
              <w:t>2) лицо, проходящее военную службу в Вооруженных Силах Российской Федерации по контракту, или лицо, находящееся на военной службе в войсках национальной гвардии Российской Федерации, в воинских формированиях и органах, указанных в пункте 6 статьи 1 Федерального закона от 31 мая 1996 года № 61-ФЗ «Об обороне», при условии его участия в специальной военной операции;</w:t>
            </w:r>
          </w:p>
          <w:p w14:paraId="5B82B02E" w14:textId="77777777" w:rsidR="00B723BB" w:rsidRPr="009C3EB4" w:rsidRDefault="00B723BB" w:rsidP="005A7C26">
            <w:pPr>
              <w:spacing w:after="160" w:line="259" w:lineRule="auto"/>
              <w:ind w:left="425"/>
              <w:jc w:val="both"/>
              <w:rPr>
                <w:rFonts w:ascii="Tahoma" w:eastAsia="Calibri" w:hAnsi="Tahoma" w:cs="Tahoma"/>
                <w:sz w:val="22"/>
                <w:szCs w:val="22"/>
                <w:lang w:eastAsia="en-US"/>
              </w:rPr>
            </w:pPr>
            <w:r w:rsidRPr="009C3EB4">
              <w:rPr>
                <w:rFonts w:ascii="Tahoma" w:eastAsia="Calibri" w:hAnsi="Tahoma" w:cs="Tahoma"/>
                <w:sz w:val="22"/>
                <w:szCs w:val="22"/>
                <w:lang w:eastAsia="en-US"/>
              </w:rPr>
              <w:t xml:space="preserve">3) лицо (в том числе индивидуальный предприниматель), заключившее контракт о добровольном содействии в выполнении задач, возложенных на Вооруженные Силы Российской Федерации; </w:t>
            </w:r>
          </w:p>
          <w:p w14:paraId="3FADA8C8" w14:textId="77777777" w:rsidR="00B723BB" w:rsidRPr="009C3EB4" w:rsidRDefault="00B723BB" w:rsidP="005A7C26">
            <w:pPr>
              <w:spacing w:after="160" w:line="259" w:lineRule="auto"/>
              <w:ind w:left="425"/>
              <w:jc w:val="both"/>
              <w:rPr>
                <w:rFonts w:ascii="Tahoma" w:eastAsia="Calibri" w:hAnsi="Tahoma" w:cs="Tahoma"/>
                <w:sz w:val="22"/>
                <w:szCs w:val="22"/>
                <w:lang w:eastAsia="en-US"/>
              </w:rPr>
            </w:pPr>
            <w:r w:rsidRPr="009C3EB4">
              <w:rPr>
                <w:rFonts w:ascii="Tahoma" w:eastAsia="Calibri" w:hAnsi="Tahoma" w:cs="Tahoma"/>
                <w:sz w:val="22"/>
                <w:szCs w:val="22"/>
                <w:lang w:eastAsia="en-US"/>
              </w:rPr>
              <w:t xml:space="preserve">4) лицо, проходящее службу в управлениях (отделах, службах, отрядах) федерального органа исполнительной власти в области обеспечения безопасности по пограничной службе (в пограничных органах) на территории Российской Федерации, обеспечивающее проведение специальной военной операции; </w:t>
            </w:r>
          </w:p>
          <w:p w14:paraId="0430D2DB" w14:textId="77777777" w:rsidR="00B723BB" w:rsidRPr="009C3EB4" w:rsidRDefault="00B723BB" w:rsidP="005A7C26">
            <w:pPr>
              <w:spacing w:after="160" w:line="259" w:lineRule="auto"/>
              <w:ind w:left="426"/>
              <w:jc w:val="both"/>
              <w:rPr>
                <w:rFonts w:ascii="Tahoma" w:eastAsia="Calibri" w:hAnsi="Tahoma" w:cs="Tahoma"/>
                <w:sz w:val="22"/>
                <w:szCs w:val="22"/>
                <w:lang w:eastAsia="en-US"/>
              </w:rPr>
            </w:pPr>
            <w:r w:rsidRPr="009C3EB4">
              <w:rPr>
                <w:rFonts w:ascii="Tahoma" w:eastAsia="Calibri" w:hAnsi="Tahoma" w:cs="Tahoma"/>
                <w:sz w:val="22"/>
                <w:szCs w:val="22"/>
                <w:lang w:eastAsia="en-US"/>
              </w:rPr>
              <w:t>5) члены семьи лиц, указанных в подпунктах 1–4 настоящего пункта, определенные в соответствии с пунктом 5 статьи 2 Федерального закона от 27 мая 1998 года № 76-ФЗ «О статусе военнослужащих».</w:t>
            </w:r>
          </w:p>
          <w:p w14:paraId="6015D900" w14:textId="77777777" w:rsidR="00B723BB" w:rsidRPr="009C3EB4" w:rsidRDefault="00B723BB" w:rsidP="005A7C26">
            <w:pPr>
              <w:autoSpaceDE w:val="0"/>
              <w:autoSpaceDN w:val="0"/>
              <w:spacing w:after="160" w:line="259" w:lineRule="auto"/>
              <w:ind w:left="447"/>
              <w:jc w:val="both"/>
              <w:rPr>
                <w:rFonts w:ascii="Tahoma" w:eastAsia="Calibri" w:hAnsi="Tahoma" w:cs="Tahoma"/>
                <w:sz w:val="22"/>
                <w:szCs w:val="22"/>
                <w:lang w:eastAsia="en-US"/>
              </w:rPr>
            </w:pPr>
            <w:r w:rsidRPr="009C3EB4">
              <w:rPr>
                <w:rFonts w:ascii="Tahoma" w:eastAsia="Calibri" w:hAnsi="Tahoma" w:cs="Tahoma"/>
                <w:sz w:val="22"/>
                <w:szCs w:val="22"/>
                <w:vertAlign w:val="superscript"/>
                <w:lang w:eastAsia="en-US"/>
              </w:rPr>
              <w:t>7</w:t>
            </w:r>
            <w:r w:rsidRPr="009C3EB4">
              <w:rPr>
                <w:rFonts w:ascii="Tahoma" w:eastAsia="Calibri" w:hAnsi="Tahoma" w:cs="Tahoma"/>
                <w:sz w:val="22"/>
                <w:szCs w:val="22"/>
                <w:lang w:eastAsia="en-US"/>
              </w:rPr>
              <w:t>Банк не взимает комиссию за осуществление по поручению физического лица операций по переводу денежных средств в рублях в размере в совокупности ежемесячно не более 30 000 000 рублей с банковского счета/вклада физического лица, открытого в Банке, на банковский счет/вклад этого физического лица, открытый в другой кредитной организации, или специальный счет оператора финансовой платформы, бенефициаром по которому выступает это физическое лицо. Банк не устанавливает ограничения размера/количества таких операций в пределах указанного в настоящем пункте совокупного ежемесячного размера операций (вне зависимости от используемого при переводе денежных средств сервиса, в т.ч. при переводе в Сервисе быстрых платежей платежной системы Банка России, Каналах ДБО).</w:t>
            </w:r>
          </w:p>
          <w:p w14:paraId="4132ACBE" w14:textId="77777777" w:rsidR="00B723BB" w:rsidRPr="009C3EB4" w:rsidRDefault="00B723BB" w:rsidP="005A7C26">
            <w:pPr>
              <w:autoSpaceDE w:val="0"/>
              <w:autoSpaceDN w:val="0"/>
              <w:spacing w:after="160" w:line="259" w:lineRule="auto"/>
              <w:ind w:left="447"/>
              <w:jc w:val="both"/>
              <w:rPr>
                <w:rFonts w:ascii="Tahoma" w:eastAsia="Calibri" w:hAnsi="Tahoma" w:cs="Tahoma"/>
                <w:sz w:val="22"/>
                <w:szCs w:val="22"/>
                <w:lang w:eastAsia="en-US"/>
              </w:rPr>
            </w:pPr>
            <w:r w:rsidRPr="009C3EB4">
              <w:rPr>
                <w:rFonts w:ascii="Tahoma" w:eastAsia="Calibri" w:hAnsi="Tahoma" w:cs="Tahoma"/>
                <w:sz w:val="22"/>
                <w:szCs w:val="22"/>
                <w:lang w:eastAsia="en-US"/>
              </w:rPr>
              <w:t>Правила, определенные выше в настоящем пункте, не распространяются на: 1) операции по переводу денежных средств, осуществляемые при личном присутствии физического лица или его представителя в Банке; 2) операции по переводу денежных средств с использованием платежных карт, осуществляемые по правилам платежных систем, в рамках которых эмитируются платежные карты.</w:t>
            </w:r>
          </w:p>
          <w:p w14:paraId="5019C366" w14:textId="77777777" w:rsidR="00B723BB" w:rsidRPr="009C3EB4" w:rsidRDefault="00B723BB" w:rsidP="005A7C26">
            <w:pPr>
              <w:spacing w:after="160" w:line="259" w:lineRule="auto"/>
              <w:jc w:val="both"/>
              <w:rPr>
                <w:rFonts w:ascii="Tahoma" w:eastAsia="Calibri" w:hAnsi="Tahoma" w:cs="Tahoma"/>
                <w:sz w:val="22"/>
                <w:szCs w:val="22"/>
                <w:lang w:eastAsia="en-US"/>
              </w:rPr>
            </w:pPr>
          </w:p>
          <w:p w14:paraId="0769F9BF" w14:textId="77777777" w:rsidR="00B723BB" w:rsidRPr="009C3EB4" w:rsidRDefault="00B723BB" w:rsidP="000B3718">
            <w:pPr>
              <w:pStyle w:val="a5"/>
              <w:rPr>
                <w:rFonts w:eastAsia="Calibri"/>
              </w:rPr>
            </w:pPr>
            <w:r w:rsidRPr="009C3EB4">
              <w:rPr>
                <w:rFonts w:eastAsia="Calibri"/>
              </w:rPr>
              <w:t>5.3. Лимиты в ДБО</w:t>
            </w:r>
          </w:p>
          <w:tbl>
            <w:tblPr>
              <w:tblW w:w="14759" w:type="dxa"/>
              <w:tblLook w:val="04A0" w:firstRow="1" w:lastRow="0" w:firstColumn="1" w:lastColumn="0" w:noHBand="0" w:noVBand="1"/>
            </w:tblPr>
            <w:tblGrid>
              <w:gridCol w:w="4531"/>
              <w:gridCol w:w="3402"/>
              <w:gridCol w:w="2977"/>
              <w:gridCol w:w="3402"/>
              <w:gridCol w:w="447"/>
            </w:tblGrid>
            <w:tr w:rsidR="00B723BB" w:rsidRPr="009C3EB4" w14:paraId="6C44A28C" w14:textId="77777777" w:rsidTr="005A7C26">
              <w:trPr>
                <w:gridAfter w:val="1"/>
                <w:wAfter w:w="447" w:type="dxa"/>
                <w:trHeight w:val="1095"/>
              </w:trPr>
              <w:tc>
                <w:tcPr>
                  <w:tcW w:w="45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9ED820" w14:textId="77777777" w:rsidR="00B723BB" w:rsidRPr="009C3EB4" w:rsidRDefault="00B723BB" w:rsidP="005A7C26">
                  <w:pPr>
                    <w:spacing w:after="160" w:line="259" w:lineRule="auto"/>
                    <w:jc w:val="both"/>
                    <w:rPr>
                      <w:rFonts w:ascii="Tahoma" w:eastAsia="Calibri" w:hAnsi="Tahoma" w:cs="Tahoma"/>
                      <w:b/>
                      <w:bCs/>
                      <w:sz w:val="22"/>
                      <w:szCs w:val="22"/>
                      <w:lang w:eastAsia="en-US"/>
                    </w:rPr>
                  </w:pPr>
                  <w:r w:rsidRPr="009C3EB4">
                    <w:rPr>
                      <w:rFonts w:ascii="Tahoma" w:eastAsia="Calibri" w:hAnsi="Tahoma" w:cs="Tahoma"/>
                      <w:b/>
                      <w:bCs/>
                      <w:sz w:val="22"/>
                      <w:szCs w:val="22"/>
                      <w:lang w:eastAsia="en-US"/>
                    </w:rPr>
                    <w:t>Лимиты для Клиентов</w:t>
                  </w:r>
                  <w:r w:rsidRPr="009C3EB4">
                    <w:rPr>
                      <w:rFonts w:ascii="Tahoma" w:eastAsia="Calibri" w:hAnsi="Tahoma" w:cs="Tahoma"/>
                      <w:sz w:val="22"/>
                      <w:szCs w:val="22"/>
                      <w:lang w:eastAsia="en-US"/>
                    </w:rPr>
                    <w:t xml:space="preserve"> </w:t>
                  </w:r>
                  <w:r w:rsidRPr="009C3EB4">
                    <w:rPr>
                      <w:rFonts w:ascii="Tahoma" w:eastAsia="Calibri" w:hAnsi="Tahoma" w:cs="Tahoma"/>
                      <w:sz w:val="22"/>
                      <w:szCs w:val="22"/>
                      <w:lang w:eastAsia="en-US"/>
                    </w:rPr>
                    <w:br/>
                    <w:t>(не являющихся держателями Программы банковских услуг «Статус»)</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14:paraId="73D5FEE4" w14:textId="77777777" w:rsidR="00B723BB" w:rsidRPr="009C3EB4" w:rsidRDefault="00B723BB" w:rsidP="005A7C26">
                  <w:pPr>
                    <w:spacing w:line="259" w:lineRule="auto"/>
                    <w:jc w:val="both"/>
                    <w:rPr>
                      <w:rFonts w:ascii="Tahoma" w:eastAsia="Calibri" w:hAnsi="Tahoma" w:cs="Tahoma"/>
                      <w:sz w:val="22"/>
                      <w:szCs w:val="22"/>
                      <w:lang w:eastAsia="en-US"/>
                    </w:rPr>
                  </w:pPr>
                  <w:r w:rsidRPr="009C3EB4">
                    <w:rPr>
                      <w:rFonts w:ascii="Tahoma" w:eastAsia="Calibri" w:hAnsi="Tahoma" w:cs="Tahoma"/>
                      <w:b/>
                      <w:bCs/>
                      <w:sz w:val="22"/>
                      <w:szCs w:val="22"/>
                      <w:lang w:eastAsia="en-US"/>
                    </w:rPr>
                    <w:t xml:space="preserve">Максимальная сумма </w:t>
                  </w:r>
                  <w:r w:rsidRPr="009C3EB4">
                    <w:rPr>
                      <w:rFonts w:ascii="Tahoma" w:eastAsia="Calibri" w:hAnsi="Tahoma" w:cs="Tahoma"/>
                      <w:b/>
                      <w:bCs/>
                      <w:sz w:val="22"/>
                      <w:szCs w:val="22"/>
                      <w:lang w:eastAsia="en-US"/>
                    </w:rPr>
                    <w:br/>
                    <w:t>на одну операцию</w:t>
                  </w:r>
                  <w:r w:rsidRPr="009C3EB4">
                    <w:rPr>
                      <w:rFonts w:ascii="Tahoma" w:eastAsia="Calibri" w:hAnsi="Tahoma" w:cs="Tahoma"/>
                      <w:sz w:val="22"/>
                      <w:szCs w:val="22"/>
                      <w:vertAlign w:val="superscript"/>
                      <w:lang w:eastAsia="en-US"/>
                    </w:rPr>
                    <w:t>1,7</w:t>
                  </w:r>
                  <w:r w:rsidRPr="009C3EB4">
                    <w:rPr>
                      <w:rFonts w:ascii="Tahoma" w:eastAsia="Calibri" w:hAnsi="Tahoma" w:cs="Tahoma"/>
                      <w:b/>
                      <w:bCs/>
                      <w:sz w:val="22"/>
                      <w:szCs w:val="22"/>
                      <w:lang w:eastAsia="en-US"/>
                    </w:rPr>
                    <w:br/>
                  </w:r>
                  <w:r w:rsidRPr="009C3EB4">
                    <w:rPr>
                      <w:rFonts w:ascii="Tahoma" w:eastAsia="Calibri" w:hAnsi="Tahoma" w:cs="Tahoma"/>
                      <w:sz w:val="22"/>
                      <w:szCs w:val="22"/>
                      <w:lang w:eastAsia="en-US"/>
                    </w:rPr>
                    <w:t xml:space="preserve">(в </w:t>
                  </w:r>
                  <w:r w:rsidRPr="009C3EB4">
                    <w:rPr>
                      <w:rFonts w:ascii="Tahoma" w:eastAsia="Calibri" w:hAnsi="Tahoma" w:cs="Tahoma"/>
                      <w:bCs/>
                      <w:iCs/>
                      <w:sz w:val="22"/>
                      <w:szCs w:val="22"/>
                      <w:lang w:eastAsia="en-US"/>
                    </w:rPr>
                    <w:t>«АТБ банк»</w:t>
                  </w:r>
                  <w:r w:rsidRPr="009C3EB4">
                    <w:rPr>
                      <w:rFonts w:ascii="Tahoma" w:eastAsia="Calibri" w:hAnsi="Tahoma" w:cs="Tahoma"/>
                      <w:sz w:val="22"/>
                      <w:szCs w:val="22"/>
                      <w:lang w:eastAsia="en-US"/>
                    </w:rPr>
                    <w:t xml:space="preserve">/ </w:t>
                  </w:r>
                </w:p>
                <w:p w14:paraId="73A064AA" w14:textId="77777777" w:rsidR="00B723BB" w:rsidRPr="009C3EB4" w:rsidRDefault="00B723BB" w:rsidP="005A7C26">
                  <w:pPr>
                    <w:spacing w:after="160" w:line="259" w:lineRule="auto"/>
                    <w:jc w:val="both"/>
                    <w:rPr>
                      <w:rFonts w:ascii="Tahoma" w:eastAsia="Calibri" w:hAnsi="Tahoma" w:cs="Tahoma"/>
                      <w:b/>
                      <w:bCs/>
                      <w:sz w:val="22"/>
                      <w:szCs w:val="22"/>
                      <w:lang w:eastAsia="en-US"/>
                    </w:rPr>
                  </w:pPr>
                  <w:r w:rsidRPr="009C3EB4">
                    <w:rPr>
                      <w:rFonts w:ascii="Tahoma" w:eastAsia="Calibri" w:hAnsi="Tahoma" w:cs="Tahoma"/>
                      <w:sz w:val="22"/>
                      <w:szCs w:val="22"/>
                      <w:lang w:eastAsia="en-US"/>
                    </w:rPr>
                    <w:t>«АТБ-Онлайн»)</w:t>
                  </w:r>
                </w:p>
              </w:tc>
              <w:tc>
                <w:tcPr>
                  <w:tcW w:w="2977" w:type="dxa"/>
                  <w:tcBorders>
                    <w:top w:val="single" w:sz="4" w:space="0" w:color="auto"/>
                    <w:left w:val="nil"/>
                    <w:bottom w:val="single" w:sz="4" w:space="0" w:color="auto"/>
                    <w:right w:val="single" w:sz="4" w:space="0" w:color="auto"/>
                  </w:tcBorders>
                  <w:shd w:val="clear" w:color="auto" w:fill="auto"/>
                  <w:vAlign w:val="center"/>
                  <w:hideMark/>
                </w:tcPr>
                <w:p w14:paraId="6B42C710" w14:textId="77777777" w:rsidR="00B723BB" w:rsidRPr="009C3EB4" w:rsidRDefault="00B723BB" w:rsidP="005A7C26">
                  <w:pPr>
                    <w:spacing w:line="259" w:lineRule="auto"/>
                    <w:jc w:val="both"/>
                    <w:rPr>
                      <w:rFonts w:ascii="Tahoma" w:eastAsia="Calibri" w:hAnsi="Tahoma" w:cs="Tahoma"/>
                      <w:sz w:val="22"/>
                      <w:szCs w:val="22"/>
                      <w:lang w:eastAsia="en-US"/>
                    </w:rPr>
                  </w:pPr>
                  <w:r w:rsidRPr="009C3EB4">
                    <w:rPr>
                      <w:rFonts w:ascii="Tahoma" w:eastAsia="Calibri" w:hAnsi="Tahoma" w:cs="Tahoma"/>
                      <w:b/>
                      <w:bCs/>
                      <w:sz w:val="22"/>
                      <w:szCs w:val="22"/>
                      <w:lang w:eastAsia="en-US"/>
                    </w:rPr>
                    <w:t>Лимит в сутки</w:t>
                  </w:r>
                  <w:r w:rsidRPr="009C3EB4">
                    <w:rPr>
                      <w:rFonts w:ascii="Tahoma" w:eastAsia="Calibri" w:hAnsi="Tahoma" w:cs="Tahoma"/>
                      <w:sz w:val="22"/>
                      <w:szCs w:val="22"/>
                      <w:vertAlign w:val="superscript"/>
                      <w:lang w:eastAsia="en-US"/>
                    </w:rPr>
                    <w:t>1,2,7</w:t>
                  </w:r>
                  <w:r w:rsidRPr="009C3EB4">
                    <w:rPr>
                      <w:rFonts w:ascii="Tahoma" w:eastAsia="Calibri" w:hAnsi="Tahoma" w:cs="Tahoma"/>
                      <w:b/>
                      <w:bCs/>
                      <w:sz w:val="22"/>
                      <w:szCs w:val="22"/>
                      <w:lang w:eastAsia="en-US"/>
                    </w:rPr>
                    <w:br/>
                  </w:r>
                  <w:r w:rsidRPr="009C3EB4">
                    <w:rPr>
                      <w:rFonts w:ascii="Tahoma" w:eastAsia="Calibri" w:hAnsi="Tahoma" w:cs="Tahoma"/>
                      <w:sz w:val="22"/>
                      <w:szCs w:val="22"/>
                      <w:lang w:eastAsia="en-US"/>
                    </w:rPr>
                    <w:t xml:space="preserve">(в </w:t>
                  </w:r>
                  <w:r w:rsidRPr="009C3EB4">
                    <w:rPr>
                      <w:rFonts w:ascii="Tahoma" w:eastAsia="Calibri" w:hAnsi="Tahoma" w:cs="Tahoma"/>
                      <w:bCs/>
                      <w:iCs/>
                      <w:sz w:val="22"/>
                      <w:szCs w:val="22"/>
                      <w:lang w:eastAsia="en-US"/>
                    </w:rPr>
                    <w:t>«АТБ банк»</w:t>
                  </w:r>
                  <w:r w:rsidRPr="009C3EB4">
                    <w:rPr>
                      <w:rFonts w:ascii="Tahoma" w:eastAsia="Calibri" w:hAnsi="Tahoma" w:cs="Tahoma"/>
                      <w:sz w:val="22"/>
                      <w:szCs w:val="22"/>
                      <w:lang w:eastAsia="en-US"/>
                    </w:rPr>
                    <w:t>/</w:t>
                  </w:r>
                </w:p>
                <w:p w14:paraId="7BDBB402" w14:textId="77777777" w:rsidR="00B723BB" w:rsidRPr="009C3EB4" w:rsidRDefault="00B723BB" w:rsidP="005A7C26">
                  <w:pPr>
                    <w:spacing w:after="160" w:line="259" w:lineRule="auto"/>
                    <w:jc w:val="both"/>
                    <w:rPr>
                      <w:rFonts w:ascii="Tahoma" w:eastAsia="Calibri" w:hAnsi="Tahoma" w:cs="Tahoma"/>
                      <w:b/>
                      <w:bCs/>
                      <w:sz w:val="22"/>
                      <w:szCs w:val="22"/>
                      <w:lang w:eastAsia="en-US"/>
                    </w:rPr>
                  </w:pPr>
                  <w:r w:rsidRPr="009C3EB4">
                    <w:rPr>
                      <w:rFonts w:ascii="Tahoma" w:eastAsia="Calibri" w:hAnsi="Tahoma" w:cs="Tahoma"/>
                      <w:sz w:val="22"/>
                      <w:szCs w:val="22"/>
                      <w:lang w:eastAsia="en-US"/>
                    </w:rPr>
                    <w:t>«АТБ-Онлайн»)</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14:paraId="3695B307" w14:textId="77777777" w:rsidR="00B723BB" w:rsidRPr="009C3EB4" w:rsidRDefault="00B723BB" w:rsidP="005A7C26">
                  <w:pPr>
                    <w:spacing w:line="259" w:lineRule="auto"/>
                    <w:jc w:val="both"/>
                    <w:rPr>
                      <w:rFonts w:ascii="Tahoma" w:eastAsia="Calibri" w:hAnsi="Tahoma" w:cs="Tahoma"/>
                      <w:sz w:val="22"/>
                      <w:szCs w:val="22"/>
                      <w:lang w:eastAsia="en-US"/>
                    </w:rPr>
                  </w:pPr>
                  <w:r w:rsidRPr="009C3EB4">
                    <w:rPr>
                      <w:rFonts w:ascii="Tahoma" w:eastAsia="Calibri" w:hAnsi="Tahoma" w:cs="Tahoma"/>
                      <w:b/>
                      <w:bCs/>
                      <w:sz w:val="22"/>
                      <w:szCs w:val="22"/>
                      <w:lang w:eastAsia="en-US"/>
                    </w:rPr>
                    <w:t>Лимит в календарный месяц</w:t>
                  </w:r>
                  <w:r w:rsidRPr="009C3EB4">
                    <w:rPr>
                      <w:rFonts w:ascii="Tahoma" w:eastAsia="Calibri" w:hAnsi="Tahoma" w:cs="Tahoma"/>
                      <w:sz w:val="22"/>
                      <w:szCs w:val="22"/>
                      <w:vertAlign w:val="superscript"/>
                      <w:lang w:eastAsia="en-US"/>
                    </w:rPr>
                    <w:t>1,2,7</w:t>
                  </w:r>
                  <w:r w:rsidRPr="009C3EB4">
                    <w:rPr>
                      <w:rFonts w:ascii="Tahoma" w:eastAsia="Calibri" w:hAnsi="Tahoma" w:cs="Tahoma"/>
                      <w:b/>
                      <w:bCs/>
                      <w:sz w:val="22"/>
                      <w:szCs w:val="22"/>
                      <w:lang w:eastAsia="en-US"/>
                    </w:rPr>
                    <w:br/>
                  </w:r>
                  <w:r w:rsidRPr="009C3EB4">
                    <w:rPr>
                      <w:rFonts w:ascii="Tahoma" w:eastAsia="Calibri" w:hAnsi="Tahoma" w:cs="Tahoma"/>
                      <w:sz w:val="22"/>
                      <w:szCs w:val="22"/>
                      <w:lang w:eastAsia="en-US"/>
                    </w:rPr>
                    <w:t xml:space="preserve">(в </w:t>
                  </w:r>
                  <w:r w:rsidRPr="009C3EB4">
                    <w:rPr>
                      <w:rFonts w:ascii="Tahoma" w:eastAsia="Calibri" w:hAnsi="Tahoma" w:cs="Tahoma"/>
                      <w:bCs/>
                      <w:iCs/>
                      <w:sz w:val="22"/>
                      <w:szCs w:val="22"/>
                      <w:lang w:eastAsia="en-US"/>
                    </w:rPr>
                    <w:t>«АТБ банк»</w:t>
                  </w:r>
                  <w:r w:rsidRPr="009C3EB4">
                    <w:rPr>
                      <w:rFonts w:ascii="Tahoma" w:eastAsia="Calibri" w:hAnsi="Tahoma" w:cs="Tahoma"/>
                      <w:sz w:val="22"/>
                      <w:szCs w:val="22"/>
                      <w:lang w:eastAsia="en-US"/>
                    </w:rPr>
                    <w:t>/</w:t>
                  </w:r>
                </w:p>
                <w:p w14:paraId="2801E897" w14:textId="77777777" w:rsidR="00B723BB" w:rsidRPr="009C3EB4" w:rsidRDefault="00B723BB" w:rsidP="005A7C26">
                  <w:pPr>
                    <w:spacing w:after="160" w:line="259" w:lineRule="auto"/>
                    <w:jc w:val="both"/>
                    <w:rPr>
                      <w:rFonts w:ascii="Tahoma" w:eastAsia="Calibri" w:hAnsi="Tahoma" w:cs="Tahoma"/>
                      <w:b/>
                      <w:bCs/>
                      <w:sz w:val="22"/>
                      <w:szCs w:val="22"/>
                      <w:lang w:eastAsia="en-US"/>
                    </w:rPr>
                  </w:pPr>
                  <w:r w:rsidRPr="009C3EB4">
                    <w:rPr>
                      <w:rFonts w:ascii="Tahoma" w:eastAsia="Calibri" w:hAnsi="Tahoma" w:cs="Tahoma"/>
                      <w:sz w:val="22"/>
                      <w:szCs w:val="22"/>
                      <w:lang w:eastAsia="en-US"/>
                    </w:rPr>
                    <w:t>«АТБ-Онлайн»)</w:t>
                  </w:r>
                </w:p>
              </w:tc>
            </w:tr>
            <w:tr w:rsidR="00B723BB" w:rsidRPr="009C3EB4" w14:paraId="4EE91D35" w14:textId="77777777" w:rsidTr="005A7C26">
              <w:trPr>
                <w:gridAfter w:val="1"/>
                <w:wAfter w:w="447" w:type="dxa"/>
                <w:trHeight w:val="285"/>
              </w:trPr>
              <w:tc>
                <w:tcPr>
                  <w:tcW w:w="4531" w:type="dxa"/>
                  <w:tcBorders>
                    <w:top w:val="nil"/>
                    <w:left w:val="single" w:sz="4" w:space="0" w:color="auto"/>
                    <w:bottom w:val="single" w:sz="4" w:space="0" w:color="auto"/>
                    <w:right w:val="single" w:sz="4" w:space="0" w:color="auto"/>
                  </w:tcBorders>
                  <w:shd w:val="clear" w:color="000000" w:fill="FFFFFF"/>
                  <w:vAlign w:val="center"/>
                  <w:hideMark/>
                </w:tcPr>
                <w:p w14:paraId="201CCFD2" w14:textId="77777777" w:rsidR="00B723BB" w:rsidRPr="009C3EB4" w:rsidRDefault="00B723BB" w:rsidP="005A7C26">
                  <w:pPr>
                    <w:spacing w:after="160" w:line="259" w:lineRule="auto"/>
                    <w:jc w:val="both"/>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Перевод на свой счет в Банке</w:t>
                  </w:r>
                </w:p>
              </w:tc>
              <w:tc>
                <w:tcPr>
                  <w:tcW w:w="3402" w:type="dxa"/>
                  <w:tcBorders>
                    <w:top w:val="nil"/>
                    <w:left w:val="nil"/>
                    <w:bottom w:val="single" w:sz="4" w:space="0" w:color="auto"/>
                    <w:right w:val="single" w:sz="4" w:space="0" w:color="auto"/>
                  </w:tcBorders>
                  <w:shd w:val="clear" w:color="000000" w:fill="FFFFFF"/>
                  <w:vAlign w:val="center"/>
                  <w:hideMark/>
                </w:tcPr>
                <w:p w14:paraId="0C5D619E" w14:textId="77777777" w:rsidR="00B723BB" w:rsidRPr="009C3EB4" w:rsidRDefault="00B723BB" w:rsidP="005A7C26">
                  <w:pPr>
                    <w:spacing w:after="160" w:line="259" w:lineRule="auto"/>
                    <w:jc w:val="both"/>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Без ограничений</w:t>
                  </w:r>
                </w:p>
              </w:tc>
              <w:tc>
                <w:tcPr>
                  <w:tcW w:w="2977" w:type="dxa"/>
                  <w:tcBorders>
                    <w:top w:val="nil"/>
                    <w:left w:val="nil"/>
                    <w:bottom w:val="single" w:sz="4" w:space="0" w:color="auto"/>
                    <w:right w:val="single" w:sz="4" w:space="0" w:color="auto"/>
                  </w:tcBorders>
                  <w:shd w:val="clear" w:color="000000" w:fill="FFFFFF"/>
                  <w:vAlign w:val="center"/>
                  <w:hideMark/>
                </w:tcPr>
                <w:p w14:paraId="757691F5" w14:textId="77777777" w:rsidR="00B723BB" w:rsidRPr="009C3EB4" w:rsidRDefault="00B723BB" w:rsidP="005A7C26">
                  <w:pPr>
                    <w:spacing w:after="160" w:line="259" w:lineRule="auto"/>
                    <w:jc w:val="both"/>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Без ограничений</w:t>
                  </w:r>
                </w:p>
              </w:tc>
              <w:tc>
                <w:tcPr>
                  <w:tcW w:w="3402" w:type="dxa"/>
                  <w:tcBorders>
                    <w:top w:val="nil"/>
                    <w:left w:val="nil"/>
                    <w:bottom w:val="single" w:sz="4" w:space="0" w:color="auto"/>
                    <w:right w:val="single" w:sz="4" w:space="0" w:color="auto"/>
                  </w:tcBorders>
                  <w:shd w:val="clear" w:color="000000" w:fill="FFFFFF"/>
                  <w:vAlign w:val="center"/>
                  <w:hideMark/>
                </w:tcPr>
                <w:p w14:paraId="60CA609C" w14:textId="77777777" w:rsidR="00B723BB" w:rsidRPr="009C3EB4" w:rsidRDefault="00B723BB" w:rsidP="005A7C26">
                  <w:pPr>
                    <w:spacing w:after="160" w:line="259" w:lineRule="auto"/>
                    <w:jc w:val="both"/>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Без ограничений</w:t>
                  </w:r>
                </w:p>
              </w:tc>
            </w:tr>
            <w:tr w:rsidR="00B723BB" w:rsidRPr="009C3EB4" w14:paraId="110D1CFE" w14:textId="77777777" w:rsidTr="005A7C26">
              <w:trPr>
                <w:gridAfter w:val="1"/>
                <w:wAfter w:w="447" w:type="dxa"/>
                <w:trHeight w:val="447"/>
              </w:trPr>
              <w:tc>
                <w:tcPr>
                  <w:tcW w:w="4531"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6012609B" w14:textId="77777777" w:rsidR="00B723BB" w:rsidRPr="009C3EB4" w:rsidRDefault="00B723BB" w:rsidP="005A7C26">
                  <w:pPr>
                    <w:spacing w:after="160" w:line="259" w:lineRule="auto"/>
                    <w:jc w:val="both"/>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Перевод на счет другого Клиента Банка</w:t>
                  </w:r>
                  <w:r w:rsidRPr="009C3EB4">
                    <w:rPr>
                      <w:rFonts w:ascii="Tahoma" w:eastAsia="Calibri" w:hAnsi="Tahoma" w:cs="Tahoma"/>
                      <w:color w:val="000000"/>
                      <w:sz w:val="22"/>
                      <w:szCs w:val="22"/>
                      <w:lang w:eastAsia="en-US"/>
                    </w:rPr>
                    <w:br/>
                    <w:t>или на счет в другом банке</w:t>
                  </w:r>
                </w:p>
              </w:tc>
              <w:tc>
                <w:tcPr>
                  <w:tcW w:w="3402" w:type="dxa"/>
                  <w:vMerge w:val="restart"/>
                  <w:tcBorders>
                    <w:top w:val="nil"/>
                    <w:left w:val="single" w:sz="4" w:space="0" w:color="auto"/>
                    <w:bottom w:val="single" w:sz="4" w:space="0" w:color="auto"/>
                    <w:right w:val="single" w:sz="4" w:space="0" w:color="auto"/>
                  </w:tcBorders>
                  <w:shd w:val="clear" w:color="000000" w:fill="FFFFFF"/>
                  <w:vAlign w:val="center"/>
                  <w:hideMark/>
                </w:tcPr>
                <w:p w14:paraId="3C10F8CB" w14:textId="77777777" w:rsidR="00B723BB" w:rsidRPr="009C3EB4" w:rsidRDefault="00B723BB" w:rsidP="005A7C26">
                  <w:pPr>
                    <w:spacing w:after="160" w:line="259" w:lineRule="auto"/>
                    <w:jc w:val="both"/>
                    <w:rPr>
                      <w:rFonts w:ascii="Tahoma" w:eastAsia="Calibri" w:hAnsi="Tahoma" w:cs="Tahoma"/>
                      <w:sz w:val="22"/>
                      <w:szCs w:val="22"/>
                      <w:lang w:eastAsia="en-US"/>
                    </w:rPr>
                  </w:pPr>
                  <w:r w:rsidRPr="009C3EB4">
                    <w:rPr>
                      <w:rFonts w:ascii="Tahoma" w:eastAsia="Calibri" w:hAnsi="Tahoma" w:cs="Tahoma"/>
                      <w:sz w:val="22"/>
                      <w:szCs w:val="22"/>
                      <w:lang w:eastAsia="en-US"/>
                    </w:rPr>
                    <w:t>50 000/150 000</w:t>
                  </w:r>
                </w:p>
              </w:tc>
              <w:tc>
                <w:tcPr>
                  <w:tcW w:w="2977" w:type="dxa"/>
                  <w:vMerge w:val="restart"/>
                  <w:tcBorders>
                    <w:top w:val="nil"/>
                    <w:left w:val="single" w:sz="4" w:space="0" w:color="auto"/>
                    <w:bottom w:val="single" w:sz="4" w:space="0" w:color="auto"/>
                    <w:right w:val="single" w:sz="4" w:space="0" w:color="auto"/>
                  </w:tcBorders>
                  <w:shd w:val="clear" w:color="000000" w:fill="FFFFFF"/>
                  <w:vAlign w:val="center"/>
                  <w:hideMark/>
                </w:tcPr>
                <w:p w14:paraId="72255F75" w14:textId="77777777" w:rsidR="00B723BB" w:rsidRPr="009C3EB4" w:rsidRDefault="00B723BB" w:rsidP="005A7C26">
                  <w:pPr>
                    <w:spacing w:after="160" w:line="259" w:lineRule="auto"/>
                    <w:jc w:val="both"/>
                    <w:rPr>
                      <w:rFonts w:ascii="Tahoma" w:eastAsia="Calibri" w:hAnsi="Tahoma" w:cs="Tahoma"/>
                      <w:sz w:val="22"/>
                      <w:szCs w:val="22"/>
                      <w:lang w:eastAsia="en-US"/>
                    </w:rPr>
                  </w:pPr>
                  <w:r w:rsidRPr="009C3EB4">
                    <w:rPr>
                      <w:rFonts w:ascii="Tahoma" w:eastAsia="Calibri" w:hAnsi="Tahoma" w:cs="Tahoma"/>
                      <w:sz w:val="22"/>
                      <w:szCs w:val="22"/>
                      <w:lang w:eastAsia="en-US"/>
                    </w:rPr>
                    <w:t>100 000/150 000</w:t>
                  </w:r>
                </w:p>
              </w:tc>
              <w:tc>
                <w:tcPr>
                  <w:tcW w:w="3402" w:type="dxa"/>
                  <w:vMerge w:val="restart"/>
                  <w:tcBorders>
                    <w:top w:val="nil"/>
                    <w:left w:val="single" w:sz="4" w:space="0" w:color="auto"/>
                    <w:bottom w:val="single" w:sz="4" w:space="0" w:color="auto"/>
                    <w:right w:val="single" w:sz="4" w:space="0" w:color="auto"/>
                  </w:tcBorders>
                  <w:shd w:val="clear" w:color="000000" w:fill="FFFFFF"/>
                  <w:vAlign w:val="center"/>
                  <w:hideMark/>
                </w:tcPr>
                <w:p w14:paraId="1ECBF1EF" w14:textId="77777777" w:rsidR="00B723BB" w:rsidRPr="009C3EB4" w:rsidRDefault="00B723BB" w:rsidP="005A7C26">
                  <w:pPr>
                    <w:spacing w:after="160" w:line="259" w:lineRule="auto"/>
                    <w:jc w:val="both"/>
                    <w:rPr>
                      <w:rFonts w:ascii="Tahoma" w:eastAsia="Calibri" w:hAnsi="Tahoma" w:cs="Tahoma"/>
                      <w:sz w:val="22"/>
                      <w:szCs w:val="22"/>
                      <w:lang w:eastAsia="en-US"/>
                    </w:rPr>
                  </w:pPr>
                  <w:r w:rsidRPr="009C3EB4">
                    <w:rPr>
                      <w:rFonts w:ascii="Tahoma" w:eastAsia="Calibri" w:hAnsi="Tahoma" w:cs="Tahoma"/>
                      <w:sz w:val="22"/>
                      <w:szCs w:val="22"/>
                      <w:lang w:eastAsia="en-US"/>
                    </w:rPr>
                    <w:t>1 500 000</w:t>
                  </w:r>
                </w:p>
              </w:tc>
            </w:tr>
            <w:tr w:rsidR="00B723BB" w:rsidRPr="009C3EB4" w14:paraId="2CD04AB2" w14:textId="77777777" w:rsidTr="005A7C26">
              <w:trPr>
                <w:gridAfter w:val="1"/>
                <w:wAfter w:w="447" w:type="dxa"/>
                <w:trHeight w:val="450"/>
              </w:trPr>
              <w:tc>
                <w:tcPr>
                  <w:tcW w:w="4531" w:type="dxa"/>
                  <w:vMerge/>
                  <w:tcBorders>
                    <w:top w:val="nil"/>
                    <w:left w:val="single" w:sz="4" w:space="0" w:color="auto"/>
                    <w:bottom w:val="single" w:sz="4" w:space="0" w:color="000000"/>
                    <w:right w:val="single" w:sz="4" w:space="0" w:color="auto"/>
                  </w:tcBorders>
                  <w:vAlign w:val="center"/>
                  <w:hideMark/>
                </w:tcPr>
                <w:p w14:paraId="3F1DF478" w14:textId="77777777" w:rsidR="00B723BB" w:rsidRPr="009C3EB4" w:rsidRDefault="00B723BB" w:rsidP="005A7C26">
                  <w:pPr>
                    <w:spacing w:after="160" w:line="259" w:lineRule="auto"/>
                    <w:jc w:val="both"/>
                    <w:rPr>
                      <w:rFonts w:ascii="Tahoma" w:eastAsia="Calibri" w:hAnsi="Tahoma" w:cs="Tahoma"/>
                      <w:color w:val="000000"/>
                      <w:sz w:val="22"/>
                      <w:szCs w:val="22"/>
                      <w:lang w:eastAsia="en-US"/>
                    </w:rPr>
                  </w:pPr>
                </w:p>
              </w:tc>
              <w:tc>
                <w:tcPr>
                  <w:tcW w:w="3402" w:type="dxa"/>
                  <w:vMerge/>
                  <w:tcBorders>
                    <w:top w:val="nil"/>
                    <w:left w:val="single" w:sz="4" w:space="0" w:color="auto"/>
                    <w:bottom w:val="single" w:sz="4" w:space="0" w:color="auto"/>
                    <w:right w:val="single" w:sz="4" w:space="0" w:color="auto"/>
                  </w:tcBorders>
                  <w:vAlign w:val="center"/>
                  <w:hideMark/>
                </w:tcPr>
                <w:p w14:paraId="7B388245" w14:textId="77777777" w:rsidR="00B723BB" w:rsidRPr="009C3EB4" w:rsidRDefault="00B723BB" w:rsidP="005A7C26">
                  <w:pPr>
                    <w:spacing w:after="160" w:line="259" w:lineRule="auto"/>
                    <w:jc w:val="both"/>
                    <w:rPr>
                      <w:rFonts w:ascii="Tahoma" w:eastAsia="Calibri" w:hAnsi="Tahoma" w:cs="Tahoma"/>
                      <w:sz w:val="22"/>
                      <w:szCs w:val="22"/>
                      <w:lang w:eastAsia="en-US"/>
                    </w:rPr>
                  </w:pPr>
                </w:p>
              </w:tc>
              <w:tc>
                <w:tcPr>
                  <w:tcW w:w="2977" w:type="dxa"/>
                  <w:vMerge/>
                  <w:tcBorders>
                    <w:top w:val="nil"/>
                    <w:left w:val="single" w:sz="4" w:space="0" w:color="auto"/>
                    <w:bottom w:val="single" w:sz="4" w:space="0" w:color="auto"/>
                    <w:right w:val="single" w:sz="4" w:space="0" w:color="auto"/>
                  </w:tcBorders>
                  <w:vAlign w:val="center"/>
                  <w:hideMark/>
                </w:tcPr>
                <w:p w14:paraId="41EA99BC" w14:textId="77777777" w:rsidR="00B723BB" w:rsidRPr="009C3EB4" w:rsidRDefault="00B723BB" w:rsidP="005A7C26">
                  <w:pPr>
                    <w:spacing w:after="160" w:line="259" w:lineRule="auto"/>
                    <w:jc w:val="both"/>
                    <w:rPr>
                      <w:rFonts w:ascii="Tahoma" w:eastAsia="Calibri" w:hAnsi="Tahoma" w:cs="Tahoma"/>
                      <w:sz w:val="22"/>
                      <w:szCs w:val="22"/>
                      <w:lang w:eastAsia="en-US"/>
                    </w:rPr>
                  </w:pPr>
                </w:p>
              </w:tc>
              <w:tc>
                <w:tcPr>
                  <w:tcW w:w="3402" w:type="dxa"/>
                  <w:vMerge/>
                  <w:tcBorders>
                    <w:top w:val="nil"/>
                    <w:left w:val="single" w:sz="4" w:space="0" w:color="auto"/>
                    <w:bottom w:val="single" w:sz="4" w:space="0" w:color="auto"/>
                    <w:right w:val="single" w:sz="4" w:space="0" w:color="auto"/>
                  </w:tcBorders>
                  <w:vAlign w:val="center"/>
                  <w:hideMark/>
                </w:tcPr>
                <w:p w14:paraId="6018A71F" w14:textId="77777777" w:rsidR="00B723BB" w:rsidRPr="009C3EB4" w:rsidRDefault="00B723BB" w:rsidP="005A7C26">
                  <w:pPr>
                    <w:spacing w:after="160" w:line="259" w:lineRule="auto"/>
                    <w:jc w:val="both"/>
                    <w:rPr>
                      <w:rFonts w:ascii="Tahoma" w:eastAsia="Calibri" w:hAnsi="Tahoma" w:cs="Tahoma"/>
                      <w:sz w:val="22"/>
                      <w:szCs w:val="22"/>
                      <w:lang w:eastAsia="en-US"/>
                    </w:rPr>
                  </w:pPr>
                </w:p>
              </w:tc>
            </w:tr>
            <w:tr w:rsidR="00B723BB" w:rsidRPr="009C3EB4" w14:paraId="766DC2D6" w14:textId="77777777" w:rsidTr="005A7C26">
              <w:trPr>
                <w:gridAfter w:val="1"/>
                <w:wAfter w:w="447" w:type="dxa"/>
                <w:trHeight w:val="510"/>
              </w:trPr>
              <w:tc>
                <w:tcPr>
                  <w:tcW w:w="4531" w:type="dxa"/>
                  <w:tcBorders>
                    <w:top w:val="nil"/>
                    <w:left w:val="single" w:sz="4" w:space="0" w:color="auto"/>
                    <w:bottom w:val="single" w:sz="4" w:space="0" w:color="auto"/>
                    <w:right w:val="single" w:sz="4" w:space="0" w:color="auto"/>
                  </w:tcBorders>
                  <w:shd w:val="clear" w:color="000000" w:fill="FFFFFF"/>
                  <w:vAlign w:val="center"/>
                  <w:hideMark/>
                </w:tcPr>
                <w:p w14:paraId="4DCE60DC" w14:textId="77777777" w:rsidR="00B723BB" w:rsidRPr="009C3EB4" w:rsidRDefault="00B723BB" w:rsidP="005A7C26">
                  <w:pPr>
                    <w:spacing w:after="160" w:line="259" w:lineRule="auto"/>
                    <w:jc w:val="both"/>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Оплата поставщиков услуг через агрегаторов (Киберплат/ФСГ</w:t>
                  </w:r>
                  <w:r w:rsidRPr="009C3EB4">
                    <w:rPr>
                      <w:rFonts w:ascii="Tahoma" w:eastAsia="Calibri" w:hAnsi="Tahoma" w:cs="Tahoma"/>
                      <w:color w:val="000000"/>
                      <w:sz w:val="22"/>
                      <w:szCs w:val="22"/>
                      <w:vertAlign w:val="superscript"/>
                      <w:lang w:eastAsia="en-US"/>
                    </w:rPr>
                    <w:t>3</w:t>
                  </w:r>
                  <w:r w:rsidRPr="009C3EB4">
                    <w:rPr>
                      <w:rFonts w:ascii="Tahoma" w:eastAsia="Calibri" w:hAnsi="Tahoma" w:cs="Tahoma"/>
                      <w:color w:val="000000"/>
                      <w:sz w:val="22"/>
                      <w:szCs w:val="22"/>
                      <w:lang w:eastAsia="en-US"/>
                    </w:rPr>
                    <w:t>)</w:t>
                  </w:r>
                </w:p>
              </w:tc>
              <w:tc>
                <w:tcPr>
                  <w:tcW w:w="3402" w:type="dxa"/>
                  <w:tcBorders>
                    <w:top w:val="nil"/>
                    <w:left w:val="nil"/>
                    <w:bottom w:val="single" w:sz="4" w:space="0" w:color="auto"/>
                    <w:right w:val="single" w:sz="4" w:space="0" w:color="auto"/>
                  </w:tcBorders>
                  <w:shd w:val="clear" w:color="000000" w:fill="FFFFFF"/>
                  <w:vAlign w:val="center"/>
                  <w:hideMark/>
                </w:tcPr>
                <w:p w14:paraId="0166BBBB" w14:textId="77777777" w:rsidR="00B723BB" w:rsidRPr="009C3EB4" w:rsidRDefault="00B723BB" w:rsidP="005A7C26">
                  <w:pPr>
                    <w:spacing w:after="160" w:line="259" w:lineRule="auto"/>
                    <w:jc w:val="both"/>
                    <w:rPr>
                      <w:rFonts w:ascii="Tahoma" w:eastAsia="Calibri" w:hAnsi="Tahoma" w:cs="Tahoma"/>
                      <w:sz w:val="22"/>
                      <w:szCs w:val="22"/>
                      <w:lang w:eastAsia="en-US"/>
                    </w:rPr>
                  </w:pPr>
                  <w:r w:rsidRPr="009C3EB4">
                    <w:rPr>
                      <w:rFonts w:ascii="Tahoma" w:eastAsia="Calibri" w:hAnsi="Tahoma" w:cs="Tahoma"/>
                      <w:sz w:val="22"/>
                      <w:szCs w:val="22"/>
                      <w:lang w:eastAsia="en-US"/>
                    </w:rPr>
                    <w:t xml:space="preserve">15 000 </w:t>
                  </w:r>
                </w:p>
              </w:tc>
              <w:tc>
                <w:tcPr>
                  <w:tcW w:w="2977" w:type="dxa"/>
                  <w:vMerge/>
                  <w:tcBorders>
                    <w:top w:val="nil"/>
                    <w:left w:val="single" w:sz="4" w:space="0" w:color="auto"/>
                    <w:bottom w:val="single" w:sz="4" w:space="0" w:color="auto"/>
                    <w:right w:val="single" w:sz="4" w:space="0" w:color="auto"/>
                  </w:tcBorders>
                  <w:vAlign w:val="center"/>
                  <w:hideMark/>
                </w:tcPr>
                <w:p w14:paraId="5D3CA64F" w14:textId="77777777" w:rsidR="00B723BB" w:rsidRPr="009C3EB4" w:rsidRDefault="00B723BB" w:rsidP="005A7C26">
                  <w:pPr>
                    <w:spacing w:after="160" w:line="259" w:lineRule="auto"/>
                    <w:jc w:val="both"/>
                    <w:rPr>
                      <w:rFonts w:ascii="Tahoma" w:eastAsia="Calibri" w:hAnsi="Tahoma" w:cs="Tahoma"/>
                      <w:sz w:val="22"/>
                      <w:szCs w:val="22"/>
                      <w:lang w:eastAsia="en-US"/>
                    </w:rPr>
                  </w:pPr>
                </w:p>
              </w:tc>
              <w:tc>
                <w:tcPr>
                  <w:tcW w:w="3402" w:type="dxa"/>
                  <w:vMerge/>
                  <w:tcBorders>
                    <w:top w:val="nil"/>
                    <w:left w:val="single" w:sz="4" w:space="0" w:color="auto"/>
                    <w:bottom w:val="single" w:sz="4" w:space="0" w:color="auto"/>
                    <w:right w:val="single" w:sz="4" w:space="0" w:color="auto"/>
                  </w:tcBorders>
                  <w:vAlign w:val="center"/>
                  <w:hideMark/>
                </w:tcPr>
                <w:p w14:paraId="7AC5196F" w14:textId="77777777" w:rsidR="00B723BB" w:rsidRPr="009C3EB4" w:rsidRDefault="00B723BB" w:rsidP="005A7C26">
                  <w:pPr>
                    <w:spacing w:after="160" w:line="259" w:lineRule="auto"/>
                    <w:jc w:val="both"/>
                    <w:rPr>
                      <w:rFonts w:ascii="Tahoma" w:eastAsia="Calibri" w:hAnsi="Tahoma" w:cs="Tahoma"/>
                      <w:sz w:val="22"/>
                      <w:szCs w:val="22"/>
                      <w:lang w:eastAsia="en-US"/>
                    </w:rPr>
                  </w:pPr>
                </w:p>
              </w:tc>
            </w:tr>
            <w:tr w:rsidR="00B723BB" w:rsidRPr="009C3EB4" w14:paraId="4BA0C08F" w14:textId="77777777" w:rsidTr="005A7C26">
              <w:trPr>
                <w:gridAfter w:val="1"/>
                <w:wAfter w:w="447" w:type="dxa"/>
                <w:trHeight w:val="585"/>
              </w:trPr>
              <w:tc>
                <w:tcPr>
                  <w:tcW w:w="4531" w:type="dxa"/>
                  <w:tcBorders>
                    <w:top w:val="nil"/>
                    <w:left w:val="single" w:sz="4" w:space="0" w:color="auto"/>
                    <w:bottom w:val="single" w:sz="4" w:space="0" w:color="auto"/>
                    <w:right w:val="single" w:sz="4" w:space="0" w:color="auto"/>
                  </w:tcBorders>
                  <w:shd w:val="clear" w:color="000000" w:fill="FFFFFF"/>
                  <w:vAlign w:val="center"/>
                  <w:hideMark/>
                </w:tcPr>
                <w:p w14:paraId="6BD89456" w14:textId="77777777" w:rsidR="00B723BB" w:rsidRPr="009C3EB4" w:rsidRDefault="00B723BB" w:rsidP="005A7C26">
                  <w:pPr>
                    <w:spacing w:after="160" w:line="259" w:lineRule="auto"/>
                    <w:jc w:val="both"/>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 xml:space="preserve">Перевод по номеру Карты </w:t>
                  </w:r>
                  <w:r w:rsidRPr="009C3EB4">
                    <w:rPr>
                      <w:rFonts w:ascii="Tahoma" w:eastAsia="Calibri" w:hAnsi="Tahoma" w:cs="Tahoma"/>
                      <w:color w:val="000000"/>
                      <w:sz w:val="22"/>
                      <w:szCs w:val="22"/>
                      <w:lang w:eastAsia="en-US"/>
                    </w:rPr>
                    <w:br/>
                    <w:t>(на Карту, выпущенную Банком или на Карту выпущенную другим банком)</w:t>
                  </w:r>
                </w:p>
              </w:tc>
              <w:tc>
                <w:tcPr>
                  <w:tcW w:w="3402" w:type="dxa"/>
                  <w:tcBorders>
                    <w:top w:val="nil"/>
                    <w:left w:val="nil"/>
                    <w:bottom w:val="single" w:sz="4" w:space="0" w:color="auto"/>
                    <w:right w:val="single" w:sz="4" w:space="0" w:color="auto"/>
                  </w:tcBorders>
                  <w:shd w:val="clear" w:color="auto" w:fill="auto"/>
                  <w:vAlign w:val="center"/>
                  <w:hideMark/>
                </w:tcPr>
                <w:p w14:paraId="6EBF862C" w14:textId="77777777" w:rsidR="00B723BB" w:rsidRPr="009C3EB4" w:rsidRDefault="00B723BB" w:rsidP="005A7C26">
                  <w:pPr>
                    <w:spacing w:after="160" w:line="259" w:lineRule="auto"/>
                    <w:jc w:val="both"/>
                    <w:rPr>
                      <w:rFonts w:ascii="Tahoma" w:eastAsia="Calibri" w:hAnsi="Tahoma" w:cs="Tahoma"/>
                      <w:sz w:val="22"/>
                      <w:szCs w:val="22"/>
                      <w:lang w:eastAsia="en-US"/>
                    </w:rPr>
                  </w:pPr>
                  <w:r w:rsidRPr="009C3EB4">
                    <w:rPr>
                      <w:rFonts w:ascii="Tahoma" w:eastAsia="Calibri" w:hAnsi="Tahoma" w:cs="Tahoma"/>
                      <w:sz w:val="22"/>
                      <w:szCs w:val="22"/>
                      <w:lang w:eastAsia="en-US"/>
                    </w:rPr>
                    <w:t>50 000</w:t>
                  </w:r>
                </w:p>
              </w:tc>
              <w:tc>
                <w:tcPr>
                  <w:tcW w:w="2977" w:type="dxa"/>
                  <w:vMerge/>
                  <w:tcBorders>
                    <w:top w:val="nil"/>
                    <w:left w:val="single" w:sz="4" w:space="0" w:color="auto"/>
                    <w:bottom w:val="single" w:sz="4" w:space="0" w:color="auto"/>
                    <w:right w:val="single" w:sz="4" w:space="0" w:color="auto"/>
                  </w:tcBorders>
                  <w:vAlign w:val="center"/>
                  <w:hideMark/>
                </w:tcPr>
                <w:p w14:paraId="448B4B95" w14:textId="77777777" w:rsidR="00B723BB" w:rsidRPr="009C3EB4" w:rsidRDefault="00B723BB" w:rsidP="005A7C26">
                  <w:pPr>
                    <w:spacing w:after="160" w:line="259" w:lineRule="auto"/>
                    <w:jc w:val="both"/>
                    <w:rPr>
                      <w:rFonts w:ascii="Tahoma" w:eastAsia="Calibri" w:hAnsi="Tahoma" w:cs="Tahoma"/>
                      <w:sz w:val="22"/>
                      <w:szCs w:val="22"/>
                      <w:lang w:eastAsia="en-US"/>
                    </w:rPr>
                  </w:pPr>
                </w:p>
              </w:tc>
              <w:tc>
                <w:tcPr>
                  <w:tcW w:w="3402" w:type="dxa"/>
                  <w:tcBorders>
                    <w:top w:val="nil"/>
                    <w:left w:val="nil"/>
                    <w:bottom w:val="single" w:sz="4" w:space="0" w:color="auto"/>
                    <w:right w:val="single" w:sz="4" w:space="0" w:color="auto"/>
                  </w:tcBorders>
                  <w:shd w:val="clear" w:color="auto" w:fill="auto"/>
                  <w:vAlign w:val="center"/>
                  <w:hideMark/>
                </w:tcPr>
                <w:p w14:paraId="2EDF67E0" w14:textId="77777777" w:rsidR="00B723BB" w:rsidRPr="009C3EB4" w:rsidRDefault="00B723BB" w:rsidP="005A7C26">
                  <w:pPr>
                    <w:spacing w:after="160" w:line="259" w:lineRule="auto"/>
                    <w:rPr>
                      <w:rFonts w:ascii="Tahoma" w:eastAsia="Calibri" w:hAnsi="Tahoma" w:cs="Tahoma"/>
                      <w:sz w:val="22"/>
                      <w:szCs w:val="22"/>
                      <w:lang w:eastAsia="en-US"/>
                    </w:rPr>
                  </w:pPr>
                  <w:r w:rsidRPr="009C3EB4">
                    <w:rPr>
                      <w:rFonts w:ascii="Tahoma" w:eastAsia="Calibri" w:hAnsi="Tahoma" w:cs="Tahoma"/>
                      <w:sz w:val="22"/>
                      <w:szCs w:val="22"/>
                      <w:lang w:eastAsia="en-US"/>
                    </w:rPr>
                    <w:t xml:space="preserve">250 000/600 000 </w:t>
                  </w:r>
                  <w:r w:rsidRPr="009C3EB4">
                    <w:rPr>
                      <w:rFonts w:ascii="Tahoma" w:eastAsia="Calibri" w:hAnsi="Tahoma" w:cs="Tahoma"/>
                      <w:sz w:val="22"/>
                      <w:szCs w:val="22"/>
                      <w:lang w:eastAsia="en-US"/>
                    </w:rPr>
                    <w:br/>
                    <w:t>(в т.ч. в общем лимите в месяц)</w:t>
                  </w:r>
                </w:p>
              </w:tc>
            </w:tr>
            <w:tr w:rsidR="00B723BB" w:rsidRPr="009C3EB4" w14:paraId="538321F6" w14:textId="77777777" w:rsidTr="005A7C26">
              <w:trPr>
                <w:gridAfter w:val="1"/>
                <w:wAfter w:w="447" w:type="dxa"/>
                <w:trHeight w:val="585"/>
              </w:trPr>
              <w:tc>
                <w:tcPr>
                  <w:tcW w:w="4531" w:type="dxa"/>
                  <w:tcBorders>
                    <w:top w:val="nil"/>
                    <w:left w:val="single" w:sz="4" w:space="0" w:color="auto"/>
                    <w:bottom w:val="single" w:sz="4" w:space="0" w:color="auto"/>
                    <w:right w:val="single" w:sz="4" w:space="0" w:color="auto"/>
                  </w:tcBorders>
                  <w:shd w:val="clear" w:color="000000" w:fill="FFFFFF"/>
                  <w:vAlign w:val="center"/>
                </w:tcPr>
                <w:p w14:paraId="71081306" w14:textId="77777777" w:rsidR="00B723BB" w:rsidRPr="009C3EB4" w:rsidRDefault="00B723BB" w:rsidP="005A7C26">
                  <w:pPr>
                    <w:spacing w:after="160" w:line="259" w:lineRule="auto"/>
                    <w:jc w:val="both"/>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 xml:space="preserve">Переводы денежных средств на счета (вклады), открытые в других банках на свое имя </w:t>
                  </w:r>
                </w:p>
              </w:tc>
              <w:tc>
                <w:tcPr>
                  <w:tcW w:w="3402" w:type="dxa"/>
                  <w:tcBorders>
                    <w:top w:val="nil"/>
                    <w:left w:val="nil"/>
                    <w:bottom w:val="single" w:sz="4" w:space="0" w:color="auto"/>
                    <w:right w:val="single" w:sz="4" w:space="0" w:color="auto"/>
                  </w:tcBorders>
                  <w:shd w:val="clear" w:color="auto" w:fill="auto"/>
                  <w:vAlign w:val="center"/>
                </w:tcPr>
                <w:p w14:paraId="5DCECEA7" w14:textId="77777777" w:rsidR="00B723BB" w:rsidRPr="009C3EB4" w:rsidRDefault="00B723BB" w:rsidP="005A7C26">
                  <w:pPr>
                    <w:spacing w:after="160" w:line="259" w:lineRule="auto"/>
                    <w:jc w:val="both"/>
                    <w:rPr>
                      <w:rFonts w:ascii="Tahoma" w:eastAsia="Calibri" w:hAnsi="Tahoma" w:cs="Tahoma"/>
                      <w:sz w:val="22"/>
                      <w:szCs w:val="22"/>
                      <w:highlight w:val="yellow"/>
                      <w:lang w:eastAsia="en-US"/>
                    </w:rPr>
                  </w:pPr>
                  <w:r w:rsidRPr="009C3EB4">
                    <w:rPr>
                      <w:rFonts w:ascii="Tahoma" w:eastAsia="Calibri" w:hAnsi="Tahoma" w:cs="Tahoma"/>
                      <w:sz w:val="22"/>
                      <w:szCs w:val="22"/>
                      <w:lang w:eastAsia="en-US"/>
                    </w:rPr>
                    <w:t>30 000 000</w:t>
                  </w:r>
                </w:p>
              </w:tc>
              <w:tc>
                <w:tcPr>
                  <w:tcW w:w="2977" w:type="dxa"/>
                  <w:tcBorders>
                    <w:top w:val="nil"/>
                    <w:left w:val="single" w:sz="4" w:space="0" w:color="auto"/>
                    <w:bottom w:val="single" w:sz="4" w:space="0" w:color="auto"/>
                    <w:right w:val="single" w:sz="4" w:space="0" w:color="auto"/>
                  </w:tcBorders>
                  <w:vAlign w:val="center"/>
                </w:tcPr>
                <w:p w14:paraId="61DAD813" w14:textId="77777777" w:rsidR="00B723BB" w:rsidRPr="009C3EB4" w:rsidRDefault="00B723BB" w:rsidP="005A7C26">
                  <w:pPr>
                    <w:spacing w:after="160" w:line="259" w:lineRule="auto"/>
                    <w:jc w:val="both"/>
                    <w:rPr>
                      <w:rFonts w:ascii="Tahoma" w:eastAsia="Calibri" w:hAnsi="Tahoma" w:cs="Tahoma"/>
                      <w:sz w:val="22"/>
                      <w:szCs w:val="22"/>
                      <w:lang w:eastAsia="en-US"/>
                    </w:rPr>
                  </w:pPr>
                  <w:r w:rsidRPr="009C3EB4">
                    <w:rPr>
                      <w:rFonts w:ascii="Tahoma" w:eastAsia="Calibri" w:hAnsi="Tahoma" w:cs="Tahoma"/>
                      <w:sz w:val="22"/>
                      <w:szCs w:val="22"/>
                      <w:lang w:eastAsia="en-US"/>
                    </w:rPr>
                    <w:t>-</w:t>
                  </w:r>
                </w:p>
              </w:tc>
              <w:tc>
                <w:tcPr>
                  <w:tcW w:w="3402" w:type="dxa"/>
                  <w:tcBorders>
                    <w:top w:val="nil"/>
                    <w:left w:val="nil"/>
                    <w:bottom w:val="single" w:sz="4" w:space="0" w:color="auto"/>
                    <w:right w:val="single" w:sz="4" w:space="0" w:color="auto"/>
                  </w:tcBorders>
                  <w:shd w:val="clear" w:color="auto" w:fill="auto"/>
                  <w:vAlign w:val="center"/>
                </w:tcPr>
                <w:p w14:paraId="23A030F6" w14:textId="77777777" w:rsidR="00B723BB" w:rsidRPr="009C3EB4" w:rsidRDefault="00B723BB" w:rsidP="005A7C26">
                  <w:pPr>
                    <w:spacing w:after="160" w:line="259" w:lineRule="auto"/>
                    <w:jc w:val="both"/>
                    <w:rPr>
                      <w:rFonts w:ascii="Tahoma" w:eastAsia="Calibri" w:hAnsi="Tahoma" w:cs="Tahoma"/>
                      <w:sz w:val="22"/>
                      <w:szCs w:val="22"/>
                      <w:lang w:eastAsia="en-US"/>
                    </w:rPr>
                  </w:pPr>
                  <w:r w:rsidRPr="009C3EB4">
                    <w:rPr>
                      <w:rFonts w:ascii="Tahoma" w:eastAsia="Calibri" w:hAnsi="Tahoma" w:cs="Tahoma"/>
                      <w:sz w:val="22"/>
                      <w:szCs w:val="22"/>
                      <w:lang w:eastAsia="en-US"/>
                    </w:rPr>
                    <w:t>30 000 000</w:t>
                  </w:r>
                </w:p>
              </w:tc>
            </w:tr>
            <w:tr w:rsidR="00B723BB" w:rsidRPr="009C3EB4" w14:paraId="4DA1E19F" w14:textId="77777777" w:rsidTr="005A7C26">
              <w:trPr>
                <w:gridAfter w:val="1"/>
                <w:wAfter w:w="447" w:type="dxa"/>
                <w:trHeight w:val="285"/>
              </w:trPr>
              <w:tc>
                <w:tcPr>
                  <w:tcW w:w="4531" w:type="dxa"/>
                  <w:tcBorders>
                    <w:top w:val="nil"/>
                    <w:left w:val="nil"/>
                    <w:bottom w:val="nil"/>
                    <w:right w:val="nil"/>
                  </w:tcBorders>
                  <w:shd w:val="clear" w:color="auto" w:fill="auto"/>
                  <w:noWrap/>
                  <w:vAlign w:val="bottom"/>
                  <w:hideMark/>
                </w:tcPr>
                <w:p w14:paraId="68BAB6FA" w14:textId="77777777" w:rsidR="00B723BB" w:rsidRPr="009C3EB4" w:rsidRDefault="00B723BB" w:rsidP="005A7C26">
                  <w:pPr>
                    <w:spacing w:after="160" w:line="259" w:lineRule="auto"/>
                    <w:jc w:val="both"/>
                    <w:rPr>
                      <w:rFonts w:ascii="Tahoma" w:eastAsia="Calibri" w:hAnsi="Tahoma" w:cs="Tahoma"/>
                      <w:sz w:val="22"/>
                      <w:szCs w:val="22"/>
                      <w:lang w:eastAsia="en-US"/>
                    </w:rPr>
                  </w:pPr>
                </w:p>
              </w:tc>
              <w:tc>
                <w:tcPr>
                  <w:tcW w:w="3402" w:type="dxa"/>
                  <w:tcBorders>
                    <w:top w:val="nil"/>
                    <w:left w:val="nil"/>
                    <w:bottom w:val="nil"/>
                    <w:right w:val="nil"/>
                  </w:tcBorders>
                  <w:shd w:val="clear" w:color="auto" w:fill="auto"/>
                  <w:noWrap/>
                  <w:vAlign w:val="bottom"/>
                  <w:hideMark/>
                </w:tcPr>
                <w:p w14:paraId="5E0A8224" w14:textId="77777777" w:rsidR="00B723BB" w:rsidRPr="009C3EB4" w:rsidRDefault="00B723BB" w:rsidP="005A7C26">
                  <w:pPr>
                    <w:spacing w:after="160" w:line="259" w:lineRule="auto"/>
                    <w:jc w:val="both"/>
                    <w:rPr>
                      <w:rFonts w:ascii="Tahoma" w:eastAsia="Calibri" w:hAnsi="Tahoma" w:cs="Tahoma"/>
                      <w:sz w:val="22"/>
                      <w:szCs w:val="22"/>
                      <w:lang w:eastAsia="en-US"/>
                    </w:rPr>
                  </w:pPr>
                </w:p>
              </w:tc>
              <w:tc>
                <w:tcPr>
                  <w:tcW w:w="2977" w:type="dxa"/>
                  <w:tcBorders>
                    <w:top w:val="nil"/>
                    <w:left w:val="nil"/>
                    <w:bottom w:val="nil"/>
                    <w:right w:val="nil"/>
                  </w:tcBorders>
                  <w:shd w:val="clear" w:color="auto" w:fill="auto"/>
                  <w:noWrap/>
                  <w:vAlign w:val="bottom"/>
                  <w:hideMark/>
                </w:tcPr>
                <w:p w14:paraId="542F7971" w14:textId="77777777" w:rsidR="00B723BB" w:rsidRPr="009C3EB4" w:rsidRDefault="00B723BB" w:rsidP="005A7C26">
                  <w:pPr>
                    <w:spacing w:after="160" w:line="259" w:lineRule="auto"/>
                    <w:jc w:val="both"/>
                    <w:rPr>
                      <w:rFonts w:ascii="Tahoma" w:eastAsia="Calibri" w:hAnsi="Tahoma" w:cs="Tahoma"/>
                      <w:sz w:val="22"/>
                      <w:szCs w:val="22"/>
                      <w:lang w:eastAsia="en-US"/>
                    </w:rPr>
                  </w:pPr>
                </w:p>
              </w:tc>
              <w:tc>
                <w:tcPr>
                  <w:tcW w:w="3402" w:type="dxa"/>
                  <w:tcBorders>
                    <w:top w:val="nil"/>
                    <w:left w:val="nil"/>
                    <w:bottom w:val="nil"/>
                    <w:right w:val="nil"/>
                  </w:tcBorders>
                  <w:shd w:val="clear" w:color="auto" w:fill="auto"/>
                  <w:vAlign w:val="bottom"/>
                  <w:hideMark/>
                </w:tcPr>
                <w:p w14:paraId="3C52C023" w14:textId="77777777" w:rsidR="00B723BB" w:rsidRPr="009C3EB4" w:rsidRDefault="00B723BB" w:rsidP="005A7C26">
                  <w:pPr>
                    <w:spacing w:after="160" w:line="259" w:lineRule="auto"/>
                    <w:jc w:val="both"/>
                    <w:rPr>
                      <w:rFonts w:ascii="Tahoma" w:eastAsia="Calibri" w:hAnsi="Tahoma" w:cs="Tahoma"/>
                      <w:sz w:val="22"/>
                      <w:szCs w:val="22"/>
                      <w:lang w:eastAsia="en-US"/>
                    </w:rPr>
                  </w:pPr>
                </w:p>
              </w:tc>
            </w:tr>
            <w:tr w:rsidR="00B723BB" w:rsidRPr="009C3EB4" w14:paraId="0E135826" w14:textId="77777777" w:rsidTr="005A7C26">
              <w:trPr>
                <w:gridAfter w:val="1"/>
                <w:wAfter w:w="447" w:type="dxa"/>
                <w:trHeight w:val="285"/>
              </w:trPr>
              <w:tc>
                <w:tcPr>
                  <w:tcW w:w="4531" w:type="dxa"/>
                  <w:tcBorders>
                    <w:top w:val="nil"/>
                    <w:left w:val="nil"/>
                    <w:bottom w:val="nil"/>
                    <w:right w:val="nil"/>
                  </w:tcBorders>
                  <w:shd w:val="clear" w:color="auto" w:fill="auto"/>
                  <w:noWrap/>
                  <w:vAlign w:val="bottom"/>
                  <w:hideMark/>
                </w:tcPr>
                <w:p w14:paraId="5659619C" w14:textId="77777777" w:rsidR="00B723BB" w:rsidRPr="009C3EB4" w:rsidRDefault="00B723BB" w:rsidP="005A7C26">
                  <w:pPr>
                    <w:spacing w:after="160" w:line="259" w:lineRule="auto"/>
                    <w:jc w:val="both"/>
                    <w:rPr>
                      <w:rFonts w:ascii="Tahoma" w:eastAsia="Calibri" w:hAnsi="Tahoma" w:cs="Tahoma"/>
                      <w:sz w:val="22"/>
                      <w:szCs w:val="22"/>
                      <w:lang w:eastAsia="en-US"/>
                    </w:rPr>
                  </w:pPr>
                </w:p>
              </w:tc>
              <w:tc>
                <w:tcPr>
                  <w:tcW w:w="3402" w:type="dxa"/>
                  <w:tcBorders>
                    <w:top w:val="nil"/>
                    <w:left w:val="nil"/>
                    <w:bottom w:val="nil"/>
                    <w:right w:val="nil"/>
                  </w:tcBorders>
                  <w:shd w:val="clear" w:color="auto" w:fill="auto"/>
                  <w:noWrap/>
                  <w:vAlign w:val="bottom"/>
                  <w:hideMark/>
                </w:tcPr>
                <w:p w14:paraId="3E027723" w14:textId="77777777" w:rsidR="00B723BB" w:rsidRPr="009C3EB4" w:rsidRDefault="00B723BB" w:rsidP="005A7C26">
                  <w:pPr>
                    <w:spacing w:after="160" w:line="259" w:lineRule="auto"/>
                    <w:jc w:val="both"/>
                    <w:rPr>
                      <w:rFonts w:ascii="Tahoma" w:eastAsia="Calibri" w:hAnsi="Tahoma" w:cs="Tahoma"/>
                      <w:sz w:val="22"/>
                      <w:szCs w:val="22"/>
                      <w:lang w:eastAsia="en-US"/>
                    </w:rPr>
                  </w:pPr>
                </w:p>
              </w:tc>
              <w:tc>
                <w:tcPr>
                  <w:tcW w:w="2977" w:type="dxa"/>
                  <w:tcBorders>
                    <w:top w:val="nil"/>
                    <w:left w:val="nil"/>
                    <w:bottom w:val="nil"/>
                    <w:right w:val="nil"/>
                  </w:tcBorders>
                  <w:shd w:val="clear" w:color="auto" w:fill="auto"/>
                  <w:noWrap/>
                  <w:vAlign w:val="bottom"/>
                  <w:hideMark/>
                </w:tcPr>
                <w:p w14:paraId="7FA14EE8" w14:textId="77777777" w:rsidR="00B723BB" w:rsidRPr="009C3EB4" w:rsidRDefault="00B723BB" w:rsidP="005A7C26">
                  <w:pPr>
                    <w:spacing w:after="160" w:line="259" w:lineRule="auto"/>
                    <w:jc w:val="both"/>
                    <w:rPr>
                      <w:rFonts w:ascii="Tahoma" w:eastAsia="Calibri" w:hAnsi="Tahoma" w:cs="Tahoma"/>
                      <w:sz w:val="22"/>
                      <w:szCs w:val="22"/>
                      <w:lang w:eastAsia="en-US"/>
                    </w:rPr>
                  </w:pPr>
                </w:p>
              </w:tc>
              <w:tc>
                <w:tcPr>
                  <w:tcW w:w="3402" w:type="dxa"/>
                  <w:tcBorders>
                    <w:top w:val="nil"/>
                    <w:left w:val="nil"/>
                    <w:bottom w:val="nil"/>
                    <w:right w:val="nil"/>
                  </w:tcBorders>
                  <w:shd w:val="clear" w:color="auto" w:fill="auto"/>
                  <w:noWrap/>
                  <w:vAlign w:val="bottom"/>
                  <w:hideMark/>
                </w:tcPr>
                <w:p w14:paraId="6A5D0846" w14:textId="77777777" w:rsidR="00B723BB" w:rsidRPr="009C3EB4" w:rsidRDefault="00B723BB" w:rsidP="005A7C26">
                  <w:pPr>
                    <w:spacing w:after="160" w:line="259" w:lineRule="auto"/>
                    <w:jc w:val="both"/>
                    <w:rPr>
                      <w:rFonts w:ascii="Tahoma" w:eastAsia="Calibri" w:hAnsi="Tahoma" w:cs="Tahoma"/>
                      <w:sz w:val="22"/>
                      <w:szCs w:val="22"/>
                      <w:lang w:eastAsia="en-US"/>
                    </w:rPr>
                  </w:pPr>
                </w:p>
              </w:tc>
            </w:tr>
            <w:tr w:rsidR="00B723BB" w:rsidRPr="009C3EB4" w14:paraId="7228F8D2" w14:textId="77777777" w:rsidTr="005A7C26">
              <w:trPr>
                <w:gridAfter w:val="1"/>
                <w:wAfter w:w="447" w:type="dxa"/>
                <w:trHeight w:val="447"/>
              </w:trPr>
              <w:tc>
                <w:tcPr>
                  <w:tcW w:w="4531"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72960CE" w14:textId="77777777" w:rsidR="00B723BB" w:rsidRPr="009C3EB4" w:rsidRDefault="00B723BB" w:rsidP="005A7C26">
                  <w:pPr>
                    <w:spacing w:after="160" w:line="259" w:lineRule="auto"/>
                    <w:jc w:val="both"/>
                    <w:rPr>
                      <w:rFonts w:ascii="Tahoma" w:eastAsia="Calibri" w:hAnsi="Tahoma" w:cs="Tahoma"/>
                      <w:b/>
                      <w:bCs/>
                      <w:color w:val="000000"/>
                      <w:sz w:val="22"/>
                      <w:szCs w:val="22"/>
                      <w:lang w:eastAsia="en-US"/>
                    </w:rPr>
                  </w:pPr>
                  <w:r w:rsidRPr="009C3EB4">
                    <w:rPr>
                      <w:rFonts w:ascii="Tahoma" w:eastAsia="Calibri" w:hAnsi="Tahoma" w:cs="Tahoma"/>
                      <w:b/>
                      <w:bCs/>
                      <w:color w:val="000000"/>
                      <w:sz w:val="22"/>
                      <w:szCs w:val="22"/>
                      <w:lang w:eastAsia="en-US"/>
                    </w:rPr>
                    <w:t>Лимиты для Клиентов-держателей Программы банковских услуг «Статус»</w:t>
                  </w:r>
                </w:p>
              </w:tc>
              <w:tc>
                <w:tcPr>
                  <w:tcW w:w="34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9737EC0" w14:textId="77777777" w:rsidR="00B723BB" w:rsidRPr="009C3EB4" w:rsidRDefault="00B723BB" w:rsidP="005A7C26">
                  <w:pPr>
                    <w:spacing w:after="160" w:line="259" w:lineRule="auto"/>
                    <w:jc w:val="both"/>
                    <w:rPr>
                      <w:rFonts w:ascii="Tahoma" w:eastAsia="Calibri" w:hAnsi="Tahoma" w:cs="Tahoma"/>
                      <w:b/>
                      <w:bCs/>
                      <w:sz w:val="22"/>
                      <w:szCs w:val="22"/>
                      <w:lang w:eastAsia="en-US"/>
                    </w:rPr>
                  </w:pPr>
                  <w:r w:rsidRPr="009C3EB4">
                    <w:rPr>
                      <w:rFonts w:ascii="Tahoma" w:eastAsia="Calibri" w:hAnsi="Tahoma" w:cs="Tahoma"/>
                      <w:b/>
                      <w:bCs/>
                      <w:sz w:val="22"/>
                      <w:szCs w:val="22"/>
                      <w:lang w:eastAsia="en-US"/>
                    </w:rPr>
                    <w:t>Максимальная сумма на одну операцию</w:t>
                  </w:r>
                  <w:r w:rsidRPr="009C3EB4">
                    <w:rPr>
                      <w:rFonts w:ascii="Tahoma" w:eastAsia="Calibri" w:hAnsi="Tahoma" w:cs="Tahoma"/>
                      <w:sz w:val="22"/>
                      <w:szCs w:val="22"/>
                      <w:vertAlign w:val="superscript"/>
                      <w:lang w:eastAsia="en-US"/>
                    </w:rPr>
                    <w:t>1,7</w:t>
                  </w:r>
                </w:p>
              </w:tc>
              <w:tc>
                <w:tcPr>
                  <w:tcW w:w="297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ED26344" w14:textId="77777777" w:rsidR="00B723BB" w:rsidRPr="009C3EB4" w:rsidRDefault="00B723BB" w:rsidP="005A7C26">
                  <w:pPr>
                    <w:spacing w:after="160" w:line="259" w:lineRule="auto"/>
                    <w:jc w:val="both"/>
                    <w:rPr>
                      <w:rFonts w:ascii="Tahoma" w:eastAsia="Calibri" w:hAnsi="Tahoma" w:cs="Tahoma"/>
                      <w:b/>
                      <w:bCs/>
                      <w:color w:val="000000"/>
                      <w:sz w:val="22"/>
                      <w:szCs w:val="22"/>
                      <w:lang w:eastAsia="en-US"/>
                    </w:rPr>
                  </w:pPr>
                  <w:r w:rsidRPr="009C3EB4">
                    <w:rPr>
                      <w:rFonts w:ascii="Tahoma" w:eastAsia="Calibri" w:hAnsi="Tahoma" w:cs="Tahoma"/>
                      <w:b/>
                      <w:bCs/>
                      <w:color w:val="000000"/>
                      <w:sz w:val="22"/>
                      <w:szCs w:val="22"/>
                      <w:lang w:eastAsia="en-US"/>
                    </w:rPr>
                    <w:t>Лимит в сутки</w:t>
                  </w:r>
                  <w:r w:rsidRPr="009C3EB4">
                    <w:rPr>
                      <w:rFonts w:ascii="Tahoma" w:eastAsia="Calibri" w:hAnsi="Tahoma" w:cs="Tahoma"/>
                      <w:color w:val="000000"/>
                      <w:sz w:val="22"/>
                      <w:szCs w:val="22"/>
                      <w:vertAlign w:val="superscript"/>
                      <w:lang w:eastAsia="en-US"/>
                    </w:rPr>
                    <w:t>1,2,7</w:t>
                  </w:r>
                </w:p>
              </w:tc>
              <w:tc>
                <w:tcPr>
                  <w:tcW w:w="34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8370789" w14:textId="77777777" w:rsidR="00B723BB" w:rsidRPr="009C3EB4" w:rsidRDefault="00B723BB" w:rsidP="005A7C26">
                  <w:pPr>
                    <w:spacing w:after="160" w:line="259" w:lineRule="auto"/>
                    <w:jc w:val="both"/>
                    <w:rPr>
                      <w:rFonts w:ascii="Tahoma" w:eastAsia="Calibri" w:hAnsi="Tahoma" w:cs="Tahoma"/>
                      <w:b/>
                      <w:bCs/>
                      <w:color w:val="000000"/>
                      <w:sz w:val="22"/>
                      <w:szCs w:val="22"/>
                      <w:lang w:eastAsia="en-US"/>
                    </w:rPr>
                  </w:pPr>
                  <w:r w:rsidRPr="009C3EB4">
                    <w:rPr>
                      <w:rFonts w:ascii="Tahoma" w:eastAsia="Calibri" w:hAnsi="Tahoma" w:cs="Tahoma"/>
                      <w:b/>
                      <w:bCs/>
                      <w:color w:val="000000"/>
                      <w:sz w:val="22"/>
                      <w:szCs w:val="22"/>
                      <w:lang w:eastAsia="en-US"/>
                    </w:rPr>
                    <w:t>Лимит в календарный месяц</w:t>
                  </w:r>
                  <w:r w:rsidRPr="009C3EB4">
                    <w:rPr>
                      <w:rFonts w:ascii="Tahoma" w:eastAsia="Calibri" w:hAnsi="Tahoma" w:cs="Tahoma"/>
                      <w:color w:val="000000"/>
                      <w:sz w:val="22"/>
                      <w:szCs w:val="22"/>
                      <w:vertAlign w:val="superscript"/>
                      <w:lang w:eastAsia="en-US"/>
                    </w:rPr>
                    <w:t>1,2,7</w:t>
                  </w:r>
                </w:p>
              </w:tc>
            </w:tr>
            <w:tr w:rsidR="00B723BB" w:rsidRPr="009C3EB4" w14:paraId="32B9E9DC" w14:textId="77777777" w:rsidTr="005A7C26">
              <w:trPr>
                <w:gridAfter w:val="1"/>
                <w:wAfter w:w="447" w:type="dxa"/>
                <w:trHeight w:val="450"/>
              </w:trPr>
              <w:tc>
                <w:tcPr>
                  <w:tcW w:w="4531" w:type="dxa"/>
                  <w:vMerge/>
                  <w:tcBorders>
                    <w:top w:val="single" w:sz="4" w:space="0" w:color="auto"/>
                    <w:left w:val="single" w:sz="4" w:space="0" w:color="auto"/>
                    <w:bottom w:val="single" w:sz="4" w:space="0" w:color="000000"/>
                    <w:right w:val="single" w:sz="4" w:space="0" w:color="auto"/>
                  </w:tcBorders>
                  <w:vAlign w:val="center"/>
                  <w:hideMark/>
                </w:tcPr>
                <w:p w14:paraId="28DE796A" w14:textId="77777777" w:rsidR="00B723BB" w:rsidRPr="009C3EB4" w:rsidRDefault="00B723BB" w:rsidP="005A7C26">
                  <w:pPr>
                    <w:spacing w:after="160" w:line="259" w:lineRule="auto"/>
                    <w:jc w:val="both"/>
                    <w:rPr>
                      <w:rFonts w:ascii="Tahoma" w:eastAsia="Calibri" w:hAnsi="Tahoma" w:cs="Tahoma"/>
                      <w:b/>
                      <w:bCs/>
                      <w:color w:val="000000"/>
                      <w:sz w:val="22"/>
                      <w:szCs w:val="22"/>
                      <w:lang w:eastAsia="en-US"/>
                    </w:rPr>
                  </w:pPr>
                </w:p>
              </w:tc>
              <w:tc>
                <w:tcPr>
                  <w:tcW w:w="3402" w:type="dxa"/>
                  <w:vMerge/>
                  <w:tcBorders>
                    <w:top w:val="single" w:sz="4" w:space="0" w:color="auto"/>
                    <w:left w:val="single" w:sz="4" w:space="0" w:color="auto"/>
                    <w:bottom w:val="single" w:sz="4" w:space="0" w:color="auto"/>
                    <w:right w:val="single" w:sz="4" w:space="0" w:color="auto"/>
                  </w:tcBorders>
                  <w:vAlign w:val="center"/>
                  <w:hideMark/>
                </w:tcPr>
                <w:p w14:paraId="79E4AB59" w14:textId="77777777" w:rsidR="00B723BB" w:rsidRPr="009C3EB4" w:rsidRDefault="00B723BB" w:rsidP="005A7C26">
                  <w:pPr>
                    <w:spacing w:after="160" w:line="259" w:lineRule="auto"/>
                    <w:jc w:val="both"/>
                    <w:rPr>
                      <w:rFonts w:ascii="Tahoma" w:eastAsia="Calibri" w:hAnsi="Tahoma" w:cs="Tahoma"/>
                      <w:b/>
                      <w:bCs/>
                      <w:sz w:val="22"/>
                      <w:szCs w:val="22"/>
                      <w:lang w:eastAsia="en-US"/>
                    </w:rPr>
                  </w:pPr>
                </w:p>
              </w:tc>
              <w:tc>
                <w:tcPr>
                  <w:tcW w:w="2977" w:type="dxa"/>
                  <w:vMerge/>
                  <w:tcBorders>
                    <w:top w:val="single" w:sz="4" w:space="0" w:color="auto"/>
                    <w:left w:val="single" w:sz="4" w:space="0" w:color="auto"/>
                    <w:bottom w:val="single" w:sz="4" w:space="0" w:color="auto"/>
                    <w:right w:val="single" w:sz="4" w:space="0" w:color="auto"/>
                  </w:tcBorders>
                  <w:vAlign w:val="center"/>
                  <w:hideMark/>
                </w:tcPr>
                <w:p w14:paraId="548E7F59" w14:textId="77777777" w:rsidR="00B723BB" w:rsidRPr="009C3EB4" w:rsidRDefault="00B723BB" w:rsidP="005A7C26">
                  <w:pPr>
                    <w:spacing w:after="160" w:line="259" w:lineRule="auto"/>
                    <w:jc w:val="both"/>
                    <w:rPr>
                      <w:rFonts w:ascii="Tahoma" w:eastAsia="Calibri" w:hAnsi="Tahoma" w:cs="Tahoma"/>
                      <w:b/>
                      <w:bCs/>
                      <w:color w:val="000000"/>
                      <w:sz w:val="22"/>
                      <w:szCs w:val="22"/>
                      <w:lang w:eastAsia="en-US"/>
                    </w:rPr>
                  </w:pPr>
                </w:p>
              </w:tc>
              <w:tc>
                <w:tcPr>
                  <w:tcW w:w="3402" w:type="dxa"/>
                  <w:vMerge/>
                  <w:tcBorders>
                    <w:top w:val="single" w:sz="4" w:space="0" w:color="auto"/>
                    <w:left w:val="single" w:sz="4" w:space="0" w:color="auto"/>
                    <w:bottom w:val="single" w:sz="4" w:space="0" w:color="auto"/>
                    <w:right w:val="single" w:sz="4" w:space="0" w:color="auto"/>
                  </w:tcBorders>
                  <w:vAlign w:val="center"/>
                  <w:hideMark/>
                </w:tcPr>
                <w:p w14:paraId="79B869A5" w14:textId="77777777" w:rsidR="00B723BB" w:rsidRPr="009C3EB4" w:rsidRDefault="00B723BB" w:rsidP="005A7C26">
                  <w:pPr>
                    <w:spacing w:after="160" w:line="259" w:lineRule="auto"/>
                    <w:jc w:val="both"/>
                    <w:rPr>
                      <w:rFonts w:ascii="Tahoma" w:eastAsia="Calibri" w:hAnsi="Tahoma" w:cs="Tahoma"/>
                      <w:b/>
                      <w:bCs/>
                      <w:color w:val="000000"/>
                      <w:sz w:val="22"/>
                      <w:szCs w:val="22"/>
                      <w:lang w:eastAsia="en-US"/>
                    </w:rPr>
                  </w:pPr>
                </w:p>
              </w:tc>
            </w:tr>
            <w:tr w:rsidR="00B723BB" w:rsidRPr="009C3EB4" w14:paraId="61D5C49E" w14:textId="77777777" w:rsidTr="005A7C26">
              <w:trPr>
                <w:gridAfter w:val="1"/>
                <w:wAfter w:w="447" w:type="dxa"/>
                <w:trHeight w:val="285"/>
              </w:trPr>
              <w:tc>
                <w:tcPr>
                  <w:tcW w:w="4531" w:type="dxa"/>
                  <w:tcBorders>
                    <w:top w:val="nil"/>
                    <w:left w:val="single" w:sz="4" w:space="0" w:color="auto"/>
                    <w:bottom w:val="single" w:sz="4" w:space="0" w:color="auto"/>
                    <w:right w:val="single" w:sz="4" w:space="0" w:color="auto"/>
                  </w:tcBorders>
                  <w:shd w:val="clear" w:color="000000" w:fill="FFFFFF"/>
                  <w:vAlign w:val="center"/>
                  <w:hideMark/>
                </w:tcPr>
                <w:p w14:paraId="214D6DC6" w14:textId="77777777" w:rsidR="00B723BB" w:rsidRPr="009C3EB4" w:rsidRDefault="00B723BB" w:rsidP="005A7C26">
                  <w:pPr>
                    <w:spacing w:after="160" w:line="259" w:lineRule="auto"/>
                    <w:jc w:val="both"/>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Перевод на свой счет в Банке</w:t>
                  </w:r>
                </w:p>
              </w:tc>
              <w:tc>
                <w:tcPr>
                  <w:tcW w:w="3402" w:type="dxa"/>
                  <w:tcBorders>
                    <w:top w:val="nil"/>
                    <w:left w:val="nil"/>
                    <w:bottom w:val="single" w:sz="4" w:space="0" w:color="auto"/>
                    <w:right w:val="single" w:sz="4" w:space="0" w:color="auto"/>
                  </w:tcBorders>
                  <w:shd w:val="clear" w:color="auto" w:fill="auto"/>
                  <w:vAlign w:val="center"/>
                  <w:hideMark/>
                </w:tcPr>
                <w:p w14:paraId="3278F808" w14:textId="77777777" w:rsidR="00B723BB" w:rsidRPr="009C3EB4" w:rsidRDefault="00B723BB" w:rsidP="005A7C26">
                  <w:pPr>
                    <w:spacing w:after="160" w:line="259" w:lineRule="auto"/>
                    <w:jc w:val="both"/>
                    <w:rPr>
                      <w:rFonts w:ascii="Tahoma" w:eastAsia="Calibri" w:hAnsi="Tahoma" w:cs="Tahoma"/>
                      <w:sz w:val="22"/>
                      <w:szCs w:val="22"/>
                      <w:lang w:eastAsia="en-US"/>
                    </w:rPr>
                  </w:pPr>
                  <w:r w:rsidRPr="009C3EB4">
                    <w:rPr>
                      <w:rFonts w:ascii="Tahoma" w:eastAsia="Calibri" w:hAnsi="Tahoma" w:cs="Tahoma"/>
                      <w:sz w:val="22"/>
                      <w:szCs w:val="22"/>
                      <w:lang w:eastAsia="en-US"/>
                    </w:rPr>
                    <w:t>Без ограничений</w:t>
                  </w:r>
                </w:p>
              </w:tc>
              <w:tc>
                <w:tcPr>
                  <w:tcW w:w="2977" w:type="dxa"/>
                  <w:tcBorders>
                    <w:top w:val="nil"/>
                    <w:left w:val="nil"/>
                    <w:bottom w:val="single" w:sz="4" w:space="0" w:color="auto"/>
                    <w:right w:val="single" w:sz="4" w:space="0" w:color="auto"/>
                  </w:tcBorders>
                  <w:shd w:val="clear" w:color="auto" w:fill="auto"/>
                  <w:vAlign w:val="center"/>
                  <w:hideMark/>
                </w:tcPr>
                <w:p w14:paraId="65D02019" w14:textId="77777777" w:rsidR="00B723BB" w:rsidRPr="009C3EB4" w:rsidRDefault="00B723BB" w:rsidP="005A7C26">
                  <w:pPr>
                    <w:spacing w:after="160" w:line="259" w:lineRule="auto"/>
                    <w:jc w:val="both"/>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Без ограничений</w:t>
                  </w:r>
                </w:p>
              </w:tc>
              <w:tc>
                <w:tcPr>
                  <w:tcW w:w="3402" w:type="dxa"/>
                  <w:tcBorders>
                    <w:top w:val="nil"/>
                    <w:left w:val="nil"/>
                    <w:bottom w:val="single" w:sz="4" w:space="0" w:color="auto"/>
                    <w:right w:val="single" w:sz="4" w:space="0" w:color="auto"/>
                  </w:tcBorders>
                  <w:shd w:val="clear" w:color="auto" w:fill="auto"/>
                  <w:vAlign w:val="center"/>
                  <w:hideMark/>
                </w:tcPr>
                <w:p w14:paraId="7C6C4D13" w14:textId="77777777" w:rsidR="00B723BB" w:rsidRPr="009C3EB4" w:rsidRDefault="00B723BB" w:rsidP="005A7C26">
                  <w:pPr>
                    <w:spacing w:after="160" w:line="259" w:lineRule="auto"/>
                    <w:jc w:val="both"/>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Без ограничений</w:t>
                  </w:r>
                </w:p>
              </w:tc>
            </w:tr>
            <w:tr w:rsidR="00B723BB" w:rsidRPr="009C3EB4" w14:paraId="3EAF1836" w14:textId="77777777" w:rsidTr="005A7C26">
              <w:trPr>
                <w:gridAfter w:val="1"/>
                <w:wAfter w:w="447" w:type="dxa"/>
                <w:trHeight w:val="447"/>
              </w:trPr>
              <w:tc>
                <w:tcPr>
                  <w:tcW w:w="4531"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60E4BED5" w14:textId="77777777" w:rsidR="00B723BB" w:rsidRPr="009C3EB4" w:rsidRDefault="00B723BB" w:rsidP="005A7C26">
                  <w:pPr>
                    <w:spacing w:after="160" w:line="259" w:lineRule="auto"/>
                    <w:jc w:val="both"/>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Перевод на счет другого Клиента Банка</w:t>
                  </w:r>
                  <w:r w:rsidRPr="009C3EB4">
                    <w:rPr>
                      <w:rFonts w:ascii="Tahoma" w:eastAsia="Calibri" w:hAnsi="Tahoma" w:cs="Tahoma"/>
                      <w:color w:val="000000"/>
                      <w:sz w:val="22"/>
                      <w:szCs w:val="22"/>
                      <w:lang w:eastAsia="en-US"/>
                    </w:rPr>
                    <w:br/>
                    <w:t>или на счет в другом банке</w:t>
                  </w:r>
                </w:p>
              </w:tc>
              <w:tc>
                <w:tcPr>
                  <w:tcW w:w="3402" w:type="dxa"/>
                  <w:vMerge w:val="restart"/>
                  <w:tcBorders>
                    <w:top w:val="nil"/>
                    <w:left w:val="single" w:sz="4" w:space="0" w:color="auto"/>
                    <w:bottom w:val="single" w:sz="4" w:space="0" w:color="auto"/>
                    <w:right w:val="single" w:sz="4" w:space="0" w:color="auto"/>
                  </w:tcBorders>
                  <w:shd w:val="clear" w:color="000000" w:fill="FFFFFF"/>
                  <w:vAlign w:val="center"/>
                  <w:hideMark/>
                </w:tcPr>
                <w:p w14:paraId="4279DEA0" w14:textId="77777777" w:rsidR="00B723BB" w:rsidRPr="009C3EB4" w:rsidRDefault="00B723BB" w:rsidP="005A7C26">
                  <w:pPr>
                    <w:spacing w:after="160" w:line="259" w:lineRule="auto"/>
                    <w:jc w:val="both"/>
                    <w:rPr>
                      <w:rFonts w:ascii="Tahoma" w:eastAsia="Calibri" w:hAnsi="Tahoma" w:cs="Tahoma"/>
                      <w:sz w:val="22"/>
                      <w:szCs w:val="22"/>
                      <w:lang w:eastAsia="en-US"/>
                    </w:rPr>
                  </w:pPr>
                  <w:r w:rsidRPr="009C3EB4">
                    <w:rPr>
                      <w:rFonts w:ascii="Tahoma" w:eastAsia="Calibri" w:hAnsi="Tahoma" w:cs="Tahoma"/>
                      <w:sz w:val="22"/>
                      <w:szCs w:val="22"/>
                      <w:lang w:eastAsia="en-US"/>
                    </w:rPr>
                    <w:t>500 000</w:t>
                  </w:r>
                </w:p>
              </w:tc>
              <w:tc>
                <w:tcPr>
                  <w:tcW w:w="2977" w:type="dxa"/>
                  <w:vMerge w:val="restart"/>
                  <w:tcBorders>
                    <w:top w:val="nil"/>
                    <w:left w:val="single" w:sz="4" w:space="0" w:color="auto"/>
                    <w:bottom w:val="single" w:sz="4" w:space="0" w:color="auto"/>
                    <w:right w:val="single" w:sz="4" w:space="0" w:color="auto"/>
                  </w:tcBorders>
                  <w:shd w:val="clear" w:color="000000" w:fill="FFFFFF"/>
                  <w:vAlign w:val="center"/>
                  <w:hideMark/>
                </w:tcPr>
                <w:p w14:paraId="585E7385" w14:textId="77777777" w:rsidR="00B723BB" w:rsidRPr="009C3EB4" w:rsidRDefault="00B723BB" w:rsidP="005A7C26">
                  <w:pPr>
                    <w:spacing w:after="160" w:line="259" w:lineRule="auto"/>
                    <w:jc w:val="both"/>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500 000</w:t>
                  </w:r>
                </w:p>
              </w:tc>
              <w:tc>
                <w:tcPr>
                  <w:tcW w:w="3402" w:type="dxa"/>
                  <w:vMerge w:val="restart"/>
                  <w:tcBorders>
                    <w:top w:val="nil"/>
                    <w:left w:val="single" w:sz="4" w:space="0" w:color="auto"/>
                    <w:bottom w:val="single" w:sz="4" w:space="0" w:color="auto"/>
                    <w:right w:val="single" w:sz="4" w:space="0" w:color="auto"/>
                  </w:tcBorders>
                  <w:shd w:val="clear" w:color="000000" w:fill="FFFFFF"/>
                  <w:vAlign w:val="center"/>
                  <w:hideMark/>
                </w:tcPr>
                <w:p w14:paraId="3A829586" w14:textId="77777777" w:rsidR="00B723BB" w:rsidRPr="009C3EB4" w:rsidRDefault="00B723BB" w:rsidP="005A7C26">
                  <w:pPr>
                    <w:spacing w:after="160" w:line="259" w:lineRule="auto"/>
                    <w:jc w:val="both"/>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3 000 000</w:t>
                  </w:r>
                </w:p>
              </w:tc>
            </w:tr>
            <w:tr w:rsidR="00B723BB" w:rsidRPr="009C3EB4" w14:paraId="148F5049" w14:textId="77777777" w:rsidTr="005A7C26">
              <w:trPr>
                <w:gridAfter w:val="1"/>
                <w:wAfter w:w="447" w:type="dxa"/>
                <w:trHeight w:val="450"/>
              </w:trPr>
              <w:tc>
                <w:tcPr>
                  <w:tcW w:w="4531" w:type="dxa"/>
                  <w:vMerge/>
                  <w:tcBorders>
                    <w:top w:val="nil"/>
                    <w:left w:val="single" w:sz="4" w:space="0" w:color="auto"/>
                    <w:bottom w:val="single" w:sz="4" w:space="0" w:color="000000"/>
                    <w:right w:val="single" w:sz="4" w:space="0" w:color="auto"/>
                  </w:tcBorders>
                  <w:vAlign w:val="center"/>
                  <w:hideMark/>
                </w:tcPr>
                <w:p w14:paraId="5E40A3FC" w14:textId="77777777" w:rsidR="00B723BB" w:rsidRPr="009C3EB4" w:rsidRDefault="00B723BB" w:rsidP="005A7C26">
                  <w:pPr>
                    <w:spacing w:after="160" w:line="259" w:lineRule="auto"/>
                    <w:jc w:val="both"/>
                    <w:rPr>
                      <w:rFonts w:ascii="Tahoma" w:eastAsia="Calibri" w:hAnsi="Tahoma" w:cs="Tahoma"/>
                      <w:color w:val="000000"/>
                      <w:sz w:val="22"/>
                      <w:szCs w:val="22"/>
                      <w:lang w:eastAsia="en-US"/>
                    </w:rPr>
                  </w:pPr>
                </w:p>
              </w:tc>
              <w:tc>
                <w:tcPr>
                  <w:tcW w:w="3402" w:type="dxa"/>
                  <w:vMerge/>
                  <w:tcBorders>
                    <w:top w:val="nil"/>
                    <w:left w:val="single" w:sz="4" w:space="0" w:color="auto"/>
                    <w:bottom w:val="single" w:sz="4" w:space="0" w:color="auto"/>
                    <w:right w:val="single" w:sz="4" w:space="0" w:color="auto"/>
                  </w:tcBorders>
                  <w:vAlign w:val="center"/>
                  <w:hideMark/>
                </w:tcPr>
                <w:p w14:paraId="70DFE89D" w14:textId="77777777" w:rsidR="00B723BB" w:rsidRPr="009C3EB4" w:rsidRDefault="00B723BB" w:rsidP="005A7C26">
                  <w:pPr>
                    <w:spacing w:after="160" w:line="259" w:lineRule="auto"/>
                    <w:jc w:val="both"/>
                    <w:rPr>
                      <w:rFonts w:ascii="Tahoma" w:eastAsia="Calibri" w:hAnsi="Tahoma" w:cs="Tahoma"/>
                      <w:sz w:val="22"/>
                      <w:szCs w:val="22"/>
                      <w:lang w:eastAsia="en-US"/>
                    </w:rPr>
                  </w:pPr>
                </w:p>
              </w:tc>
              <w:tc>
                <w:tcPr>
                  <w:tcW w:w="2977" w:type="dxa"/>
                  <w:vMerge/>
                  <w:tcBorders>
                    <w:top w:val="nil"/>
                    <w:left w:val="single" w:sz="4" w:space="0" w:color="auto"/>
                    <w:bottom w:val="single" w:sz="4" w:space="0" w:color="auto"/>
                    <w:right w:val="single" w:sz="4" w:space="0" w:color="auto"/>
                  </w:tcBorders>
                  <w:vAlign w:val="center"/>
                  <w:hideMark/>
                </w:tcPr>
                <w:p w14:paraId="58EBC8B8" w14:textId="77777777" w:rsidR="00B723BB" w:rsidRPr="009C3EB4" w:rsidRDefault="00B723BB" w:rsidP="005A7C26">
                  <w:pPr>
                    <w:spacing w:after="160" w:line="259" w:lineRule="auto"/>
                    <w:jc w:val="both"/>
                    <w:rPr>
                      <w:rFonts w:ascii="Tahoma" w:eastAsia="Calibri" w:hAnsi="Tahoma" w:cs="Tahoma"/>
                      <w:color w:val="000000"/>
                      <w:sz w:val="22"/>
                      <w:szCs w:val="22"/>
                      <w:lang w:eastAsia="en-US"/>
                    </w:rPr>
                  </w:pPr>
                </w:p>
              </w:tc>
              <w:tc>
                <w:tcPr>
                  <w:tcW w:w="3402" w:type="dxa"/>
                  <w:vMerge/>
                  <w:tcBorders>
                    <w:top w:val="nil"/>
                    <w:left w:val="single" w:sz="4" w:space="0" w:color="auto"/>
                    <w:bottom w:val="single" w:sz="4" w:space="0" w:color="auto"/>
                    <w:right w:val="single" w:sz="4" w:space="0" w:color="auto"/>
                  </w:tcBorders>
                  <w:vAlign w:val="center"/>
                  <w:hideMark/>
                </w:tcPr>
                <w:p w14:paraId="68801415" w14:textId="77777777" w:rsidR="00B723BB" w:rsidRPr="009C3EB4" w:rsidRDefault="00B723BB" w:rsidP="005A7C26">
                  <w:pPr>
                    <w:spacing w:after="160" w:line="259" w:lineRule="auto"/>
                    <w:jc w:val="both"/>
                    <w:rPr>
                      <w:rFonts w:ascii="Tahoma" w:eastAsia="Calibri" w:hAnsi="Tahoma" w:cs="Tahoma"/>
                      <w:color w:val="000000"/>
                      <w:sz w:val="22"/>
                      <w:szCs w:val="22"/>
                      <w:lang w:eastAsia="en-US"/>
                    </w:rPr>
                  </w:pPr>
                </w:p>
              </w:tc>
            </w:tr>
            <w:tr w:rsidR="00B723BB" w:rsidRPr="009C3EB4" w14:paraId="4B683C19" w14:textId="77777777" w:rsidTr="005A7C26">
              <w:trPr>
                <w:gridAfter w:val="1"/>
                <w:wAfter w:w="447" w:type="dxa"/>
                <w:trHeight w:val="510"/>
              </w:trPr>
              <w:tc>
                <w:tcPr>
                  <w:tcW w:w="4531" w:type="dxa"/>
                  <w:tcBorders>
                    <w:top w:val="nil"/>
                    <w:left w:val="single" w:sz="4" w:space="0" w:color="auto"/>
                    <w:bottom w:val="single" w:sz="4" w:space="0" w:color="auto"/>
                    <w:right w:val="single" w:sz="4" w:space="0" w:color="auto"/>
                  </w:tcBorders>
                  <w:shd w:val="clear" w:color="000000" w:fill="FFFFFF"/>
                  <w:vAlign w:val="center"/>
                  <w:hideMark/>
                </w:tcPr>
                <w:p w14:paraId="5907AE26" w14:textId="77777777" w:rsidR="00B723BB" w:rsidRPr="009C3EB4" w:rsidRDefault="00B723BB" w:rsidP="005A7C26">
                  <w:pPr>
                    <w:spacing w:after="160" w:line="259" w:lineRule="auto"/>
                    <w:jc w:val="both"/>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Оплата поставщиков услуг через агрегаторов (Киберплат/ФСГ</w:t>
                  </w:r>
                  <w:r w:rsidRPr="009C3EB4">
                    <w:rPr>
                      <w:rFonts w:ascii="Tahoma" w:eastAsia="Calibri" w:hAnsi="Tahoma" w:cs="Tahoma"/>
                      <w:color w:val="000000"/>
                      <w:sz w:val="22"/>
                      <w:szCs w:val="22"/>
                      <w:vertAlign w:val="superscript"/>
                      <w:lang w:eastAsia="en-US"/>
                    </w:rPr>
                    <w:t>3</w:t>
                  </w:r>
                  <w:r w:rsidRPr="009C3EB4">
                    <w:rPr>
                      <w:rFonts w:ascii="Tahoma" w:eastAsia="Calibri" w:hAnsi="Tahoma" w:cs="Tahoma"/>
                      <w:color w:val="000000"/>
                      <w:sz w:val="22"/>
                      <w:szCs w:val="22"/>
                      <w:lang w:eastAsia="en-US"/>
                    </w:rPr>
                    <w:t>)</w:t>
                  </w:r>
                </w:p>
              </w:tc>
              <w:tc>
                <w:tcPr>
                  <w:tcW w:w="3402" w:type="dxa"/>
                  <w:tcBorders>
                    <w:top w:val="nil"/>
                    <w:left w:val="nil"/>
                    <w:bottom w:val="single" w:sz="4" w:space="0" w:color="auto"/>
                    <w:right w:val="single" w:sz="4" w:space="0" w:color="auto"/>
                  </w:tcBorders>
                  <w:shd w:val="clear" w:color="000000" w:fill="FFFFFF"/>
                  <w:vAlign w:val="center"/>
                  <w:hideMark/>
                </w:tcPr>
                <w:p w14:paraId="16B0D966" w14:textId="77777777" w:rsidR="00B723BB" w:rsidRPr="009C3EB4" w:rsidRDefault="00B723BB" w:rsidP="005A7C26">
                  <w:pPr>
                    <w:spacing w:after="160" w:line="259" w:lineRule="auto"/>
                    <w:jc w:val="both"/>
                    <w:rPr>
                      <w:rFonts w:ascii="Tahoma" w:eastAsia="Calibri" w:hAnsi="Tahoma" w:cs="Tahoma"/>
                      <w:sz w:val="22"/>
                      <w:szCs w:val="22"/>
                      <w:lang w:eastAsia="en-US"/>
                    </w:rPr>
                  </w:pPr>
                  <w:r w:rsidRPr="009C3EB4">
                    <w:rPr>
                      <w:rFonts w:ascii="Tahoma" w:eastAsia="Calibri" w:hAnsi="Tahoma" w:cs="Tahoma"/>
                      <w:sz w:val="22"/>
                      <w:szCs w:val="22"/>
                      <w:lang w:eastAsia="en-US"/>
                    </w:rPr>
                    <w:t xml:space="preserve">15 000 </w:t>
                  </w:r>
                </w:p>
              </w:tc>
              <w:tc>
                <w:tcPr>
                  <w:tcW w:w="2977" w:type="dxa"/>
                  <w:vMerge/>
                  <w:tcBorders>
                    <w:top w:val="nil"/>
                    <w:left w:val="single" w:sz="4" w:space="0" w:color="auto"/>
                    <w:bottom w:val="single" w:sz="4" w:space="0" w:color="auto"/>
                    <w:right w:val="single" w:sz="4" w:space="0" w:color="auto"/>
                  </w:tcBorders>
                  <w:vAlign w:val="center"/>
                  <w:hideMark/>
                </w:tcPr>
                <w:p w14:paraId="1990DF9F" w14:textId="77777777" w:rsidR="00B723BB" w:rsidRPr="009C3EB4" w:rsidRDefault="00B723BB" w:rsidP="005A7C26">
                  <w:pPr>
                    <w:spacing w:after="160" w:line="259" w:lineRule="auto"/>
                    <w:jc w:val="both"/>
                    <w:rPr>
                      <w:rFonts w:ascii="Tahoma" w:eastAsia="Calibri" w:hAnsi="Tahoma" w:cs="Tahoma"/>
                      <w:color w:val="000000"/>
                      <w:sz w:val="22"/>
                      <w:szCs w:val="22"/>
                      <w:lang w:eastAsia="en-US"/>
                    </w:rPr>
                  </w:pPr>
                </w:p>
              </w:tc>
              <w:tc>
                <w:tcPr>
                  <w:tcW w:w="3402" w:type="dxa"/>
                  <w:vMerge/>
                  <w:tcBorders>
                    <w:top w:val="nil"/>
                    <w:left w:val="single" w:sz="4" w:space="0" w:color="auto"/>
                    <w:bottom w:val="single" w:sz="4" w:space="0" w:color="auto"/>
                    <w:right w:val="single" w:sz="4" w:space="0" w:color="auto"/>
                  </w:tcBorders>
                  <w:vAlign w:val="center"/>
                  <w:hideMark/>
                </w:tcPr>
                <w:p w14:paraId="65DF87C3" w14:textId="77777777" w:rsidR="00B723BB" w:rsidRPr="009C3EB4" w:rsidRDefault="00B723BB" w:rsidP="005A7C26">
                  <w:pPr>
                    <w:spacing w:after="160" w:line="259" w:lineRule="auto"/>
                    <w:jc w:val="both"/>
                    <w:rPr>
                      <w:rFonts w:ascii="Tahoma" w:eastAsia="Calibri" w:hAnsi="Tahoma" w:cs="Tahoma"/>
                      <w:color w:val="000000"/>
                      <w:sz w:val="22"/>
                      <w:szCs w:val="22"/>
                      <w:lang w:eastAsia="en-US"/>
                    </w:rPr>
                  </w:pPr>
                </w:p>
              </w:tc>
            </w:tr>
            <w:tr w:rsidR="00B723BB" w:rsidRPr="009C3EB4" w14:paraId="3D43BD26" w14:textId="77777777" w:rsidTr="005A7C26">
              <w:trPr>
                <w:gridAfter w:val="1"/>
                <w:wAfter w:w="447" w:type="dxa"/>
                <w:trHeight w:val="600"/>
              </w:trPr>
              <w:tc>
                <w:tcPr>
                  <w:tcW w:w="4531" w:type="dxa"/>
                  <w:tcBorders>
                    <w:top w:val="nil"/>
                    <w:left w:val="single" w:sz="4" w:space="0" w:color="auto"/>
                    <w:bottom w:val="single" w:sz="4" w:space="0" w:color="auto"/>
                    <w:right w:val="single" w:sz="4" w:space="0" w:color="auto"/>
                  </w:tcBorders>
                  <w:shd w:val="clear" w:color="000000" w:fill="FFFFFF"/>
                  <w:vAlign w:val="center"/>
                  <w:hideMark/>
                </w:tcPr>
                <w:p w14:paraId="78D67960" w14:textId="77777777" w:rsidR="00B723BB" w:rsidRPr="009C3EB4" w:rsidRDefault="00B723BB" w:rsidP="005A7C26">
                  <w:pPr>
                    <w:spacing w:after="160" w:line="259" w:lineRule="auto"/>
                    <w:jc w:val="both"/>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 xml:space="preserve">Перевод по номеру Карты </w:t>
                  </w:r>
                  <w:r w:rsidRPr="009C3EB4">
                    <w:rPr>
                      <w:rFonts w:ascii="Tahoma" w:eastAsia="Calibri" w:hAnsi="Tahoma" w:cs="Tahoma"/>
                      <w:color w:val="000000"/>
                      <w:sz w:val="22"/>
                      <w:szCs w:val="22"/>
                      <w:lang w:eastAsia="en-US"/>
                    </w:rPr>
                    <w:br/>
                    <w:t>(на Карту, выпущенную Банком или на Карту выпущенную другим банком)</w:t>
                  </w:r>
                </w:p>
              </w:tc>
              <w:tc>
                <w:tcPr>
                  <w:tcW w:w="3402" w:type="dxa"/>
                  <w:tcBorders>
                    <w:top w:val="nil"/>
                    <w:left w:val="nil"/>
                    <w:bottom w:val="single" w:sz="4" w:space="0" w:color="auto"/>
                    <w:right w:val="single" w:sz="4" w:space="0" w:color="auto"/>
                  </w:tcBorders>
                  <w:shd w:val="clear" w:color="000000" w:fill="FFFFFF"/>
                  <w:vAlign w:val="center"/>
                  <w:hideMark/>
                </w:tcPr>
                <w:p w14:paraId="56FB4019" w14:textId="77777777" w:rsidR="00B723BB" w:rsidRPr="009C3EB4" w:rsidRDefault="00B723BB" w:rsidP="005A7C26">
                  <w:pPr>
                    <w:spacing w:after="160" w:line="259" w:lineRule="auto"/>
                    <w:jc w:val="both"/>
                    <w:rPr>
                      <w:rFonts w:ascii="Tahoma" w:eastAsia="Calibri" w:hAnsi="Tahoma" w:cs="Tahoma"/>
                      <w:sz w:val="22"/>
                      <w:szCs w:val="22"/>
                      <w:lang w:eastAsia="en-US"/>
                    </w:rPr>
                  </w:pPr>
                  <w:r w:rsidRPr="009C3EB4">
                    <w:rPr>
                      <w:rFonts w:ascii="Tahoma" w:eastAsia="Calibri" w:hAnsi="Tahoma" w:cs="Tahoma"/>
                      <w:sz w:val="22"/>
                      <w:szCs w:val="22"/>
                      <w:lang w:eastAsia="en-US"/>
                    </w:rPr>
                    <w:t xml:space="preserve">50 000 </w:t>
                  </w:r>
                </w:p>
              </w:tc>
              <w:tc>
                <w:tcPr>
                  <w:tcW w:w="2977" w:type="dxa"/>
                  <w:tcBorders>
                    <w:top w:val="nil"/>
                    <w:left w:val="nil"/>
                    <w:bottom w:val="single" w:sz="4" w:space="0" w:color="auto"/>
                    <w:right w:val="single" w:sz="4" w:space="0" w:color="auto"/>
                  </w:tcBorders>
                  <w:shd w:val="clear" w:color="auto" w:fill="auto"/>
                  <w:vAlign w:val="center"/>
                  <w:hideMark/>
                </w:tcPr>
                <w:p w14:paraId="7FD6F265" w14:textId="77777777" w:rsidR="00B723BB" w:rsidRPr="009C3EB4" w:rsidRDefault="00B723BB" w:rsidP="005A7C26">
                  <w:pPr>
                    <w:spacing w:after="160" w:line="259" w:lineRule="auto"/>
                    <w:jc w:val="both"/>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300 000</w:t>
                  </w:r>
                </w:p>
              </w:tc>
              <w:tc>
                <w:tcPr>
                  <w:tcW w:w="3402" w:type="dxa"/>
                  <w:tcBorders>
                    <w:top w:val="nil"/>
                    <w:left w:val="nil"/>
                    <w:bottom w:val="single" w:sz="4" w:space="0" w:color="auto"/>
                    <w:right w:val="single" w:sz="4" w:space="0" w:color="auto"/>
                  </w:tcBorders>
                  <w:shd w:val="clear" w:color="auto" w:fill="auto"/>
                  <w:vAlign w:val="center"/>
                  <w:hideMark/>
                </w:tcPr>
                <w:p w14:paraId="741DFB6F" w14:textId="77777777" w:rsidR="00B723BB" w:rsidRPr="009C3EB4" w:rsidRDefault="00B723BB" w:rsidP="005A7C26">
                  <w:pPr>
                    <w:spacing w:after="160" w:line="259" w:lineRule="auto"/>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500 000</w:t>
                  </w:r>
                  <w:r w:rsidRPr="009C3EB4">
                    <w:rPr>
                      <w:rFonts w:ascii="Tahoma" w:eastAsia="Calibri" w:hAnsi="Tahoma" w:cs="Tahoma"/>
                      <w:color w:val="000000"/>
                      <w:sz w:val="22"/>
                      <w:szCs w:val="22"/>
                      <w:lang w:eastAsia="en-US"/>
                    </w:rPr>
                    <w:br/>
                    <w:t>(в т.ч. в общем лимите в месяц)</w:t>
                  </w:r>
                </w:p>
              </w:tc>
            </w:tr>
            <w:tr w:rsidR="00B723BB" w:rsidRPr="009C3EB4" w14:paraId="2DBFD3CE" w14:textId="77777777" w:rsidTr="005A7C26">
              <w:trPr>
                <w:gridAfter w:val="1"/>
                <w:wAfter w:w="447" w:type="dxa"/>
                <w:trHeight w:val="600"/>
              </w:trPr>
              <w:tc>
                <w:tcPr>
                  <w:tcW w:w="4531" w:type="dxa"/>
                  <w:tcBorders>
                    <w:top w:val="nil"/>
                    <w:left w:val="single" w:sz="4" w:space="0" w:color="auto"/>
                    <w:bottom w:val="single" w:sz="4" w:space="0" w:color="auto"/>
                    <w:right w:val="single" w:sz="4" w:space="0" w:color="auto"/>
                  </w:tcBorders>
                  <w:shd w:val="clear" w:color="000000" w:fill="FFFFFF"/>
                  <w:vAlign w:val="center"/>
                </w:tcPr>
                <w:p w14:paraId="6ABC1CF7" w14:textId="77777777" w:rsidR="00B723BB" w:rsidRPr="009C3EB4" w:rsidRDefault="00B723BB" w:rsidP="005A7C26">
                  <w:pPr>
                    <w:spacing w:after="160" w:line="259" w:lineRule="auto"/>
                    <w:jc w:val="both"/>
                    <w:rPr>
                      <w:rFonts w:ascii="Tahoma" w:eastAsia="Calibri" w:hAnsi="Tahoma" w:cs="Tahoma"/>
                      <w:color w:val="000000"/>
                      <w:sz w:val="22"/>
                      <w:szCs w:val="22"/>
                      <w:lang w:eastAsia="en-US"/>
                    </w:rPr>
                  </w:pPr>
                  <w:r w:rsidRPr="009C3EB4">
                    <w:rPr>
                      <w:rFonts w:ascii="Tahoma" w:eastAsia="Calibri" w:hAnsi="Tahoma" w:cs="Tahoma"/>
                      <w:color w:val="000000"/>
                      <w:sz w:val="22"/>
                      <w:szCs w:val="22"/>
                      <w:lang w:eastAsia="en-US"/>
                    </w:rPr>
                    <w:t>Переводы денежных средств на счета (вклады), открытые в других банках на свое имя</w:t>
                  </w:r>
                </w:p>
              </w:tc>
              <w:tc>
                <w:tcPr>
                  <w:tcW w:w="3402" w:type="dxa"/>
                  <w:tcBorders>
                    <w:top w:val="nil"/>
                    <w:left w:val="nil"/>
                    <w:bottom w:val="single" w:sz="4" w:space="0" w:color="auto"/>
                    <w:right w:val="single" w:sz="4" w:space="0" w:color="auto"/>
                  </w:tcBorders>
                  <w:shd w:val="clear" w:color="000000" w:fill="FFFFFF"/>
                  <w:vAlign w:val="center"/>
                </w:tcPr>
                <w:p w14:paraId="4DB0187B" w14:textId="77777777" w:rsidR="00B723BB" w:rsidRPr="009C3EB4" w:rsidRDefault="00B723BB" w:rsidP="005A7C26">
                  <w:pPr>
                    <w:spacing w:after="160" w:line="259" w:lineRule="auto"/>
                    <w:jc w:val="both"/>
                    <w:rPr>
                      <w:rFonts w:ascii="Tahoma" w:eastAsia="Calibri" w:hAnsi="Tahoma" w:cs="Tahoma"/>
                      <w:sz w:val="22"/>
                      <w:szCs w:val="22"/>
                      <w:lang w:eastAsia="en-US"/>
                    </w:rPr>
                  </w:pPr>
                  <w:r w:rsidRPr="009C3EB4">
                    <w:rPr>
                      <w:rFonts w:ascii="Tahoma" w:eastAsia="Calibri" w:hAnsi="Tahoma" w:cs="Tahoma"/>
                      <w:sz w:val="22"/>
                      <w:szCs w:val="22"/>
                      <w:lang w:eastAsia="en-US"/>
                    </w:rPr>
                    <w:t>30 000 000</w:t>
                  </w:r>
                </w:p>
              </w:tc>
              <w:tc>
                <w:tcPr>
                  <w:tcW w:w="2977" w:type="dxa"/>
                  <w:tcBorders>
                    <w:top w:val="nil"/>
                    <w:left w:val="nil"/>
                    <w:bottom w:val="single" w:sz="4" w:space="0" w:color="auto"/>
                    <w:right w:val="single" w:sz="4" w:space="0" w:color="auto"/>
                  </w:tcBorders>
                  <w:shd w:val="clear" w:color="auto" w:fill="auto"/>
                  <w:vAlign w:val="center"/>
                </w:tcPr>
                <w:p w14:paraId="77A7FDF9" w14:textId="77777777" w:rsidR="00B723BB" w:rsidRPr="009C3EB4" w:rsidRDefault="00B723BB" w:rsidP="005A7C26">
                  <w:pPr>
                    <w:spacing w:after="160" w:line="259" w:lineRule="auto"/>
                    <w:jc w:val="both"/>
                    <w:rPr>
                      <w:rFonts w:ascii="Tahoma" w:eastAsia="Calibri" w:hAnsi="Tahoma" w:cs="Tahoma"/>
                      <w:sz w:val="22"/>
                      <w:szCs w:val="22"/>
                      <w:lang w:eastAsia="en-US"/>
                    </w:rPr>
                  </w:pPr>
                  <w:r w:rsidRPr="009C3EB4">
                    <w:rPr>
                      <w:rFonts w:ascii="Tahoma" w:eastAsia="Calibri" w:hAnsi="Tahoma" w:cs="Tahoma"/>
                      <w:sz w:val="22"/>
                      <w:szCs w:val="22"/>
                      <w:lang w:eastAsia="en-US"/>
                    </w:rPr>
                    <w:t>-</w:t>
                  </w:r>
                </w:p>
              </w:tc>
              <w:tc>
                <w:tcPr>
                  <w:tcW w:w="3402" w:type="dxa"/>
                  <w:tcBorders>
                    <w:top w:val="nil"/>
                    <w:left w:val="nil"/>
                    <w:bottom w:val="single" w:sz="4" w:space="0" w:color="auto"/>
                    <w:right w:val="single" w:sz="4" w:space="0" w:color="auto"/>
                  </w:tcBorders>
                  <w:shd w:val="clear" w:color="auto" w:fill="auto"/>
                  <w:vAlign w:val="center"/>
                </w:tcPr>
                <w:p w14:paraId="02C72AC1" w14:textId="77777777" w:rsidR="00B723BB" w:rsidRPr="009C3EB4" w:rsidRDefault="00B723BB" w:rsidP="005A7C26">
                  <w:pPr>
                    <w:spacing w:after="160" w:line="259" w:lineRule="auto"/>
                    <w:jc w:val="both"/>
                    <w:rPr>
                      <w:rFonts w:ascii="Tahoma" w:eastAsia="Calibri" w:hAnsi="Tahoma" w:cs="Tahoma"/>
                      <w:sz w:val="22"/>
                      <w:szCs w:val="22"/>
                      <w:lang w:eastAsia="en-US"/>
                    </w:rPr>
                  </w:pPr>
                  <w:r w:rsidRPr="009C3EB4">
                    <w:rPr>
                      <w:rFonts w:ascii="Tahoma" w:eastAsia="Calibri" w:hAnsi="Tahoma" w:cs="Tahoma"/>
                      <w:sz w:val="22"/>
                      <w:szCs w:val="22"/>
                      <w:lang w:eastAsia="en-US"/>
                    </w:rPr>
                    <w:t>30 000 000</w:t>
                  </w:r>
                </w:p>
              </w:tc>
            </w:tr>
            <w:tr w:rsidR="00B723BB" w:rsidRPr="009C3EB4" w14:paraId="3853A922" w14:textId="77777777" w:rsidTr="005A7C26">
              <w:trPr>
                <w:gridAfter w:val="1"/>
                <w:wAfter w:w="447" w:type="dxa"/>
                <w:trHeight w:val="285"/>
              </w:trPr>
              <w:tc>
                <w:tcPr>
                  <w:tcW w:w="4531" w:type="dxa"/>
                  <w:tcBorders>
                    <w:top w:val="nil"/>
                    <w:left w:val="nil"/>
                    <w:bottom w:val="nil"/>
                    <w:right w:val="nil"/>
                  </w:tcBorders>
                  <w:shd w:val="clear" w:color="auto" w:fill="auto"/>
                  <w:noWrap/>
                  <w:vAlign w:val="bottom"/>
                  <w:hideMark/>
                </w:tcPr>
                <w:p w14:paraId="332D4754" w14:textId="77777777" w:rsidR="00B723BB" w:rsidRPr="009C3EB4" w:rsidRDefault="00B723BB" w:rsidP="005A7C26">
                  <w:pPr>
                    <w:spacing w:after="160" w:line="259" w:lineRule="auto"/>
                    <w:jc w:val="both"/>
                    <w:rPr>
                      <w:rFonts w:ascii="Tahoma" w:eastAsia="Calibri" w:hAnsi="Tahoma" w:cs="Tahoma"/>
                      <w:color w:val="000000"/>
                      <w:sz w:val="22"/>
                      <w:szCs w:val="22"/>
                      <w:lang w:eastAsia="en-US"/>
                    </w:rPr>
                  </w:pPr>
                </w:p>
              </w:tc>
              <w:tc>
                <w:tcPr>
                  <w:tcW w:w="3402" w:type="dxa"/>
                  <w:tcBorders>
                    <w:top w:val="nil"/>
                    <w:left w:val="nil"/>
                    <w:bottom w:val="nil"/>
                    <w:right w:val="nil"/>
                  </w:tcBorders>
                  <w:shd w:val="clear" w:color="auto" w:fill="auto"/>
                  <w:noWrap/>
                  <w:vAlign w:val="bottom"/>
                  <w:hideMark/>
                </w:tcPr>
                <w:p w14:paraId="6B16228D" w14:textId="77777777" w:rsidR="00B723BB" w:rsidRPr="009C3EB4" w:rsidRDefault="00B723BB" w:rsidP="005A7C26">
                  <w:pPr>
                    <w:spacing w:after="160" w:line="259" w:lineRule="auto"/>
                    <w:jc w:val="both"/>
                    <w:rPr>
                      <w:rFonts w:ascii="Tahoma" w:eastAsia="Calibri" w:hAnsi="Tahoma" w:cs="Tahoma"/>
                      <w:sz w:val="22"/>
                      <w:szCs w:val="22"/>
                      <w:lang w:eastAsia="en-US"/>
                    </w:rPr>
                  </w:pPr>
                </w:p>
              </w:tc>
              <w:tc>
                <w:tcPr>
                  <w:tcW w:w="2977" w:type="dxa"/>
                  <w:tcBorders>
                    <w:top w:val="nil"/>
                    <w:left w:val="nil"/>
                    <w:bottom w:val="nil"/>
                    <w:right w:val="nil"/>
                  </w:tcBorders>
                  <w:shd w:val="clear" w:color="auto" w:fill="auto"/>
                  <w:noWrap/>
                  <w:vAlign w:val="bottom"/>
                  <w:hideMark/>
                </w:tcPr>
                <w:p w14:paraId="4B386E89" w14:textId="77777777" w:rsidR="00B723BB" w:rsidRPr="009C3EB4" w:rsidRDefault="00B723BB" w:rsidP="005A7C26">
                  <w:pPr>
                    <w:spacing w:after="160" w:line="259" w:lineRule="auto"/>
                    <w:jc w:val="both"/>
                    <w:rPr>
                      <w:rFonts w:ascii="Tahoma" w:eastAsia="Calibri" w:hAnsi="Tahoma" w:cs="Tahoma"/>
                      <w:sz w:val="22"/>
                      <w:szCs w:val="22"/>
                      <w:lang w:eastAsia="en-US"/>
                    </w:rPr>
                  </w:pPr>
                </w:p>
              </w:tc>
              <w:tc>
                <w:tcPr>
                  <w:tcW w:w="3402" w:type="dxa"/>
                  <w:tcBorders>
                    <w:top w:val="nil"/>
                    <w:left w:val="nil"/>
                    <w:bottom w:val="nil"/>
                    <w:right w:val="nil"/>
                  </w:tcBorders>
                  <w:shd w:val="clear" w:color="auto" w:fill="auto"/>
                  <w:noWrap/>
                  <w:vAlign w:val="bottom"/>
                  <w:hideMark/>
                </w:tcPr>
                <w:p w14:paraId="4EF56C96" w14:textId="77777777" w:rsidR="00B723BB" w:rsidRPr="009C3EB4" w:rsidRDefault="00B723BB" w:rsidP="005A7C26">
                  <w:pPr>
                    <w:spacing w:after="160" w:line="259" w:lineRule="auto"/>
                    <w:jc w:val="both"/>
                    <w:rPr>
                      <w:rFonts w:ascii="Tahoma" w:eastAsia="Calibri" w:hAnsi="Tahoma" w:cs="Tahoma"/>
                      <w:sz w:val="22"/>
                      <w:szCs w:val="22"/>
                      <w:lang w:eastAsia="en-US"/>
                    </w:rPr>
                  </w:pPr>
                </w:p>
              </w:tc>
            </w:tr>
            <w:tr w:rsidR="00B723BB" w:rsidRPr="009C3EB4" w14:paraId="2E758A6C" w14:textId="77777777" w:rsidTr="005A7C26">
              <w:trPr>
                <w:trHeight w:val="285"/>
              </w:trPr>
              <w:tc>
                <w:tcPr>
                  <w:tcW w:w="14759" w:type="dxa"/>
                  <w:gridSpan w:val="5"/>
                  <w:shd w:val="clear" w:color="000000" w:fill="FFFFFF"/>
                  <w:vAlign w:val="center"/>
                  <w:hideMark/>
                </w:tcPr>
                <w:p w14:paraId="7C8C53BE" w14:textId="77777777" w:rsidR="00B723BB" w:rsidRPr="009C3EB4" w:rsidRDefault="00B723BB" w:rsidP="005A7C26">
                  <w:pPr>
                    <w:spacing w:after="160" w:line="259" w:lineRule="auto"/>
                    <w:jc w:val="both"/>
                    <w:rPr>
                      <w:rFonts w:ascii="Tahoma" w:eastAsia="Calibri" w:hAnsi="Tahoma" w:cs="Tahoma"/>
                      <w:b/>
                      <w:bCs/>
                      <w:sz w:val="22"/>
                      <w:szCs w:val="22"/>
                      <w:lang w:eastAsia="en-US"/>
                    </w:rPr>
                  </w:pPr>
                  <w:r w:rsidRPr="009C3EB4">
                    <w:rPr>
                      <w:rFonts w:ascii="Tahoma" w:eastAsia="Calibri" w:hAnsi="Tahoma" w:cs="Tahoma"/>
                      <w:b/>
                      <w:bCs/>
                      <w:sz w:val="22"/>
                      <w:szCs w:val="22"/>
                      <w:lang w:eastAsia="en-US"/>
                    </w:rPr>
                    <w:t>Примечания:</w:t>
                  </w:r>
                </w:p>
              </w:tc>
            </w:tr>
            <w:tr w:rsidR="00B723BB" w:rsidRPr="009C3EB4" w14:paraId="6D44637C" w14:textId="77777777" w:rsidTr="005A7C26">
              <w:trPr>
                <w:trHeight w:val="1515"/>
              </w:trPr>
              <w:tc>
                <w:tcPr>
                  <w:tcW w:w="14759" w:type="dxa"/>
                  <w:gridSpan w:val="5"/>
                  <w:shd w:val="clear" w:color="000000" w:fill="FFFFFF"/>
                  <w:vAlign w:val="center"/>
                  <w:hideMark/>
                </w:tcPr>
                <w:p w14:paraId="6E4C2860" w14:textId="77777777" w:rsidR="00B723BB" w:rsidRPr="009C3EB4" w:rsidRDefault="00B723BB" w:rsidP="005A7C26">
                  <w:pPr>
                    <w:spacing w:after="160" w:line="259" w:lineRule="auto"/>
                    <w:jc w:val="both"/>
                    <w:rPr>
                      <w:rFonts w:ascii="Tahoma" w:eastAsia="Calibri" w:hAnsi="Tahoma" w:cs="Tahoma"/>
                      <w:color w:val="000000"/>
                      <w:sz w:val="22"/>
                      <w:szCs w:val="22"/>
                      <w:vertAlign w:val="superscript"/>
                      <w:lang w:eastAsia="en-US"/>
                    </w:rPr>
                  </w:pPr>
                  <w:r w:rsidRPr="009C3EB4">
                    <w:rPr>
                      <w:rFonts w:ascii="Tahoma" w:eastAsia="Calibri" w:hAnsi="Tahoma" w:cs="Tahoma"/>
                      <w:color w:val="000000"/>
                      <w:sz w:val="22"/>
                      <w:szCs w:val="22"/>
                      <w:vertAlign w:val="superscript"/>
                      <w:lang w:eastAsia="en-US"/>
                    </w:rPr>
                    <w:t>1</w:t>
                  </w:r>
                  <w:r w:rsidRPr="009C3EB4">
                    <w:rPr>
                      <w:rFonts w:ascii="Tahoma" w:eastAsia="Calibri" w:hAnsi="Tahoma" w:cs="Tahoma"/>
                      <w:sz w:val="22"/>
                      <w:szCs w:val="22"/>
                      <w:lang w:eastAsia="en-US"/>
                    </w:rPr>
                    <w:t>В рублях РФ и иностранной валюте. При совершении операции по счету в иностранной валюте пересчет суммы операции в рубли РФ осуществляется по курсу Банка на дату операции.</w:t>
                  </w:r>
                  <w:r w:rsidRPr="009C3EB4">
                    <w:rPr>
                      <w:rFonts w:ascii="Tahoma" w:eastAsia="Calibri" w:hAnsi="Tahoma" w:cs="Tahoma"/>
                      <w:color w:val="FF0000"/>
                      <w:sz w:val="22"/>
                      <w:szCs w:val="22"/>
                      <w:lang w:eastAsia="en-US"/>
                    </w:rPr>
                    <w:t xml:space="preserve"> </w:t>
                  </w:r>
                  <w:r w:rsidRPr="009C3EB4">
                    <w:rPr>
                      <w:rFonts w:ascii="Tahoma" w:eastAsia="Calibri" w:hAnsi="Tahoma" w:cs="Tahoma"/>
                      <w:sz w:val="22"/>
                      <w:szCs w:val="22"/>
                      <w:lang w:eastAsia="en-US"/>
                    </w:rPr>
                    <w:t>Лимиты не применяются к операциям, обозначенным в Примечании 7 раздела 5.2 настоящих Тарифов</w:t>
                  </w:r>
                  <w:r w:rsidRPr="009C3EB4">
                    <w:rPr>
                      <w:rFonts w:ascii="Tahoma" w:eastAsia="Calibri" w:hAnsi="Tahoma" w:cs="Tahoma"/>
                      <w:sz w:val="20"/>
                      <w:szCs w:val="22"/>
                      <w:lang w:eastAsia="en-US"/>
                    </w:rPr>
                    <w:t>.</w:t>
                  </w:r>
                  <w:r w:rsidRPr="009C3EB4">
                    <w:rPr>
                      <w:rFonts w:ascii="Tahoma" w:eastAsia="Calibri" w:hAnsi="Tahoma" w:cs="Tahoma"/>
                      <w:sz w:val="22"/>
                      <w:szCs w:val="22"/>
                      <w:lang w:eastAsia="en-US"/>
                    </w:rPr>
                    <w:br/>
                  </w:r>
                  <w:r w:rsidRPr="009C3EB4">
                    <w:rPr>
                      <w:rFonts w:ascii="Tahoma" w:eastAsia="Calibri" w:hAnsi="Tahoma" w:cs="Tahoma"/>
                      <w:color w:val="000000"/>
                      <w:sz w:val="22"/>
                      <w:szCs w:val="22"/>
                      <w:vertAlign w:val="superscript"/>
                      <w:lang w:eastAsia="en-US"/>
                    </w:rPr>
                    <w:t>2</w:t>
                  </w:r>
                  <w:r w:rsidRPr="009C3EB4">
                    <w:rPr>
                      <w:rFonts w:ascii="Tahoma" w:eastAsia="Calibri" w:hAnsi="Tahoma" w:cs="Tahoma"/>
                      <w:b/>
                      <w:bCs/>
                      <w:sz w:val="22"/>
                      <w:szCs w:val="22"/>
                      <w:lang w:eastAsia="en-US"/>
                    </w:rPr>
                    <w:t>Лимит в сутки/в месяц</w:t>
                  </w:r>
                  <w:r w:rsidRPr="009C3EB4">
                    <w:rPr>
                      <w:rFonts w:ascii="Tahoma" w:eastAsia="Calibri" w:hAnsi="Tahoma" w:cs="Tahoma"/>
                      <w:sz w:val="22"/>
                      <w:szCs w:val="22"/>
                      <w:lang w:eastAsia="en-US"/>
                    </w:rPr>
                    <w:t xml:space="preserve"> ограничивает общую сумму расходных операций, совершаемых в ДБО одним Клиентом, не зависимо от канала проведения Клиентом операции (</w:t>
                  </w:r>
                  <w:r w:rsidRPr="009C3EB4">
                    <w:rPr>
                      <w:rFonts w:ascii="Tahoma" w:eastAsia="Calibri" w:hAnsi="Tahoma" w:cs="Tahoma"/>
                      <w:color w:val="000000"/>
                      <w:sz w:val="22"/>
                      <w:szCs w:val="22"/>
                      <w:lang w:eastAsia="en-US"/>
                    </w:rPr>
                    <w:t xml:space="preserve">«АТБ-Онлайн»/ </w:t>
                  </w:r>
                  <w:r w:rsidRPr="009C3EB4">
                    <w:rPr>
                      <w:rFonts w:ascii="Tahoma" w:eastAsia="Calibri" w:hAnsi="Tahoma" w:cs="Tahoma"/>
                      <w:bCs/>
                      <w:iCs/>
                      <w:sz w:val="22"/>
                      <w:szCs w:val="22"/>
                      <w:lang w:eastAsia="en-US"/>
                    </w:rPr>
                    <w:t>«АТБ банк»</w:t>
                  </w:r>
                  <w:r w:rsidRPr="009C3EB4">
                    <w:rPr>
                      <w:rFonts w:ascii="Tahoma" w:eastAsia="Calibri" w:hAnsi="Tahoma" w:cs="Tahoma"/>
                      <w:sz w:val="22"/>
                      <w:szCs w:val="22"/>
                      <w:lang w:eastAsia="en-US"/>
                    </w:rPr>
                    <w:t>).</w:t>
                  </w:r>
                </w:p>
                <w:p w14:paraId="7AB5CE3A" w14:textId="77777777" w:rsidR="00B723BB" w:rsidRPr="009C3EB4" w:rsidRDefault="00B723BB" w:rsidP="005A7C26">
                  <w:pPr>
                    <w:spacing w:after="160" w:line="259" w:lineRule="auto"/>
                    <w:jc w:val="both"/>
                    <w:rPr>
                      <w:rFonts w:ascii="Tahoma" w:eastAsia="Calibri" w:hAnsi="Tahoma" w:cs="Tahoma"/>
                      <w:sz w:val="22"/>
                      <w:szCs w:val="22"/>
                      <w:lang w:eastAsia="en-US"/>
                    </w:rPr>
                  </w:pPr>
                  <w:r w:rsidRPr="009C3EB4">
                    <w:rPr>
                      <w:rFonts w:ascii="Tahoma" w:eastAsia="Calibri" w:hAnsi="Tahoma" w:cs="Tahoma"/>
                      <w:b/>
                      <w:bCs/>
                      <w:sz w:val="22"/>
                      <w:szCs w:val="22"/>
                      <w:lang w:eastAsia="en-US"/>
                    </w:rPr>
                    <w:t xml:space="preserve">Лимит в сутки </w:t>
                  </w:r>
                  <w:r w:rsidRPr="009C3EB4">
                    <w:rPr>
                      <w:rFonts w:ascii="Tahoma" w:eastAsia="Calibri" w:hAnsi="Tahoma" w:cs="Tahoma"/>
                      <w:sz w:val="22"/>
                      <w:szCs w:val="22"/>
                      <w:lang w:eastAsia="en-US"/>
                    </w:rPr>
                    <w:t xml:space="preserve">действует с 00.00-24.00 часов по московскому времени. </w:t>
                  </w:r>
                  <w:r w:rsidRPr="009C3EB4">
                    <w:rPr>
                      <w:rFonts w:ascii="Tahoma" w:eastAsia="Calibri" w:hAnsi="Tahoma" w:cs="Tahoma"/>
                      <w:b/>
                      <w:bCs/>
                      <w:sz w:val="22"/>
                      <w:szCs w:val="22"/>
                      <w:lang w:eastAsia="en-US"/>
                    </w:rPr>
                    <w:t>Лимит в календарный месяц</w:t>
                  </w:r>
                  <w:r w:rsidRPr="009C3EB4">
                    <w:rPr>
                      <w:rFonts w:ascii="Tahoma" w:eastAsia="Calibri" w:hAnsi="Tahoma" w:cs="Tahoma"/>
                      <w:sz w:val="22"/>
                      <w:szCs w:val="22"/>
                      <w:lang w:eastAsia="en-US"/>
                    </w:rPr>
                    <w:t xml:space="preserve"> действует с 00.00 часов первого дня месяца по 24.00 часа последнего дня текущего месяца по московскому времени.</w:t>
                  </w:r>
                </w:p>
                <w:p w14:paraId="2BB581E1" w14:textId="77777777" w:rsidR="00B723BB" w:rsidRPr="009C3EB4" w:rsidRDefault="00B723BB" w:rsidP="005A7C26">
                  <w:pPr>
                    <w:spacing w:after="160" w:line="259" w:lineRule="auto"/>
                    <w:jc w:val="both"/>
                    <w:rPr>
                      <w:rFonts w:ascii="Tahoma" w:eastAsia="Calibri" w:hAnsi="Tahoma" w:cs="Tahoma"/>
                      <w:sz w:val="22"/>
                      <w:szCs w:val="22"/>
                      <w:lang w:eastAsia="en-US"/>
                    </w:rPr>
                  </w:pPr>
                  <w:r w:rsidRPr="009C3EB4">
                    <w:rPr>
                      <w:rFonts w:ascii="Tahoma" w:eastAsia="Calibri" w:hAnsi="Tahoma" w:cs="Tahoma"/>
                      <w:color w:val="000000"/>
                      <w:sz w:val="22"/>
                      <w:szCs w:val="22"/>
                      <w:vertAlign w:val="superscript"/>
                      <w:lang w:eastAsia="en-US"/>
                    </w:rPr>
                    <w:t>3</w:t>
                  </w:r>
                  <w:r w:rsidRPr="009C3EB4">
                    <w:rPr>
                      <w:rFonts w:ascii="Tahoma" w:eastAsia="Calibri" w:hAnsi="Tahoma" w:cs="Tahoma"/>
                      <w:sz w:val="22"/>
                      <w:szCs w:val="22"/>
                      <w:lang w:eastAsia="en-US"/>
                    </w:rPr>
                    <w:t>ФСГ – Федеральная система «Город».</w:t>
                  </w:r>
                </w:p>
              </w:tc>
            </w:tr>
          </w:tbl>
          <w:p w14:paraId="73A98893" w14:textId="77777777" w:rsidR="00B723BB" w:rsidRPr="009C3EB4" w:rsidRDefault="00B723BB" w:rsidP="005A7C26">
            <w:pPr>
              <w:spacing w:after="160" w:line="259" w:lineRule="auto"/>
              <w:jc w:val="both"/>
              <w:rPr>
                <w:rFonts w:ascii="Tahoma" w:eastAsia="Calibri" w:hAnsi="Tahoma" w:cs="Tahoma"/>
                <w:sz w:val="22"/>
                <w:szCs w:val="22"/>
                <w:lang w:eastAsia="en-US"/>
              </w:rPr>
            </w:pPr>
          </w:p>
        </w:tc>
      </w:tr>
    </w:tbl>
    <w:p w14:paraId="1ACA664D" w14:textId="77777777" w:rsidR="00B723BB" w:rsidRPr="009C3EB4" w:rsidRDefault="00B723BB" w:rsidP="00B723BB">
      <w:pPr>
        <w:autoSpaceDE w:val="0"/>
        <w:autoSpaceDN w:val="0"/>
        <w:spacing w:before="40" w:after="40" w:line="259" w:lineRule="auto"/>
        <w:ind w:firstLine="284"/>
        <w:jc w:val="both"/>
        <w:rPr>
          <w:rFonts w:ascii="Tahoma" w:eastAsia="Calibri" w:hAnsi="Tahoma" w:cs="Tahoma"/>
          <w:sz w:val="22"/>
          <w:szCs w:val="22"/>
          <w:lang w:eastAsia="en-US"/>
        </w:rPr>
      </w:pPr>
      <w:r w:rsidRPr="009C3EB4">
        <w:rPr>
          <w:rFonts w:ascii="Tahoma" w:eastAsia="Calibri" w:hAnsi="Tahoma" w:cs="Tahoma"/>
          <w:sz w:val="22"/>
          <w:szCs w:val="22"/>
          <w:lang w:eastAsia="en-US"/>
        </w:rPr>
        <w:t>** Операции с денежными средствами на счетах и вкладах Клиентов осуществляются при соблюдении установленных законодательством РФ, в т.ч. актами Центрального банка РФ ограничений (условий). </w:t>
      </w:r>
    </w:p>
    <w:p w14:paraId="61C35291" w14:textId="77777777" w:rsidR="00B723BB" w:rsidRPr="009C3EB4" w:rsidRDefault="00B723BB" w:rsidP="00B723BB">
      <w:pPr>
        <w:autoSpaceDE w:val="0"/>
        <w:autoSpaceDN w:val="0"/>
        <w:spacing w:before="40" w:after="40" w:line="259" w:lineRule="auto"/>
        <w:ind w:firstLine="284"/>
        <w:jc w:val="both"/>
        <w:rPr>
          <w:rFonts w:ascii="Tahoma" w:eastAsia="Calibri" w:hAnsi="Tahoma" w:cs="Tahoma"/>
          <w:sz w:val="22"/>
          <w:szCs w:val="22"/>
          <w:lang w:eastAsia="en-US"/>
        </w:rPr>
      </w:pPr>
      <w:r w:rsidRPr="009C3EB4">
        <w:rPr>
          <w:rFonts w:ascii="Tahoma" w:eastAsia="Calibri" w:hAnsi="Tahoma" w:cs="Tahoma"/>
          <w:sz w:val="22"/>
          <w:szCs w:val="22"/>
          <w:lang w:eastAsia="en-US"/>
        </w:rPr>
        <w:t>*** Карта – банковская (платежная) карта, используемая для перевода денежных средств, осуществления расчетов, а также для осуществления иных операций, предусмотренных Федеральным законом от 27.06.2011 № 161-ФЗ «О национальной платежной системе». </w:t>
      </w:r>
    </w:p>
    <w:p w14:paraId="1D43602A" w14:textId="77777777" w:rsidR="00B723BB" w:rsidRPr="009C3EB4" w:rsidRDefault="00B723BB" w:rsidP="00B723BB">
      <w:pPr>
        <w:autoSpaceDE w:val="0"/>
        <w:autoSpaceDN w:val="0"/>
        <w:spacing w:line="259" w:lineRule="auto"/>
        <w:rPr>
          <w:rFonts w:ascii="Tahoma" w:eastAsia="Calibri" w:hAnsi="Tahoma" w:cs="Tahoma"/>
          <w:sz w:val="22"/>
          <w:szCs w:val="22"/>
          <w:lang w:eastAsia="en-US"/>
        </w:rPr>
      </w:pPr>
      <w:r w:rsidRPr="009C3EB4">
        <w:rPr>
          <w:rFonts w:ascii="Tahoma" w:eastAsia="Calibri" w:hAnsi="Tahoma" w:cs="Tahoma"/>
          <w:sz w:val="22"/>
          <w:szCs w:val="22"/>
          <w:lang w:eastAsia="en-US"/>
        </w:rPr>
        <w:t xml:space="preserve">    **** Банк – «Азиатско-Тихоокеанский Банк» (Акционерное общество).</w:t>
      </w:r>
    </w:p>
    <w:p w14:paraId="3CCCFCC8" w14:textId="77777777" w:rsidR="00B723BB" w:rsidRPr="009C3EB4" w:rsidRDefault="00B723BB" w:rsidP="00B723BB">
      <w:pPr>
        <w:autoSpaceDE w:val="0"/>
        <w:autoSpaceDN w:val="0"/>
        <w:adjustRightInd w:val="0"/>
        <w:ind w:firstLine="284"/>
        <w:jc w:val="both"/>
        <w:rPr>
          <w:rFonts w:ascii="Calibri" w:eastAsia="Calibri" w:hAnsi="Calibri" w:cs="Arial"/>
          <w:sz w:val="20"/>
          <w:szCs w:val="22"/>
          <w:lang w:eastAsia="en-US"/>
        </w:rPr>
      </w:pPr>
      <w:r w:rsidRPr="009C3EB4">
        <w:rPr>
          <w:rFonts w:ascii="Tahoma" w:eastAsia="Calibri" w:hAnsi="Tahoma" w:cs="Tahoma"/>
          <w:sz w:val="22"/>
          <w:szCs w:val="22"/>
          <w:lang w:eastAsia="en-US"/>
        </w:rPr>
        <w:t xml:space="preserve">***** Без комиссии </w:t>
      </w:r>
      <w:r w:rsidRPr="009C3EB4">
        <w:rPr>
          <w:rFonts w:ascii="Tahoma" w:eastAsia="Calibri" w:hAnsi="Tahoma" w:cs="Tahoma"/>
          <w:bCs/>
          <w:sz w:val="22"/>
          <w:szCs w:val="22"/>
        </w:rPr>
        <w:t>за перечисление платы</w:t>
      </w:r>
      <w:r w:rsidRPr="009C3EB4">
        <w:rPr>
          <w:rFonts w:ascii="Tahoma" w:eastAsia="Calibri" w:hAnsi="Tahoma" w:cs="Tahoma"/>
          <w:sz w:val="22"/>
          <w:szCs w:val="22"/>
        </w:rPr>
        <w:t xml:space="preserve"> за жилое помещение и коммунальные услуги, пеней за несвоевременное и (или) неполное внесение платы за жилое помещение и коммунальные услуги </w:t>
      </w:r>
      <w:r w:rsidRPr="009C3EB4">
        <w:rPr>
          <w:rFonts w:ascii="Tahoma" w:eastAsia="Calibri" w:hAnsi="Tahoma" w:cs="Tahoma"/>
          <w:sz w:val="22"/>
          <w:szCs w:val="22"/>
          <w:lang w:eastAsia="en-US"/>
        </w:rPr>
        <w:t xml:space="preserve">для категории клиентов, перечень которых установлен Распоряжением Правительства РФ №1059-р </w:t>
      </w:r>
      <w:r w:rsidRPr="009C3EB4">
        <w:rPr>
          <w:rFonts w:ascii="Tahoma" w:eastAsia="Calibri" w:hAnsi="Tahoma" w:cs="Tahoma"/>
          <w:sz w:val="22"/>
          <w:szCs w:val="22"/>
        </w:rPr>
        <w:t>от 27 апреля 2024 г.</w:t>
      </w:r>
      <w:r w:rsidRPr="009C3EB4">
        <w:rPr>
          <w:rFonts w:ascii="Tahoma" w:eastAsia="Calibri" w:hAnsi="Tahoma" w:cs="Tahoma"/>
          <w:sz w:val="22"/>
          <w:szCs w:val="22"/>
          <w:lang w:eastAsia="en-US"/>
        </w:rPr>
        <w:t xml:space="preserve"> в соответствии со </w:t>
      </w:r>
      <w:hyperlink r:id="rId123" w:history="1">
        <w:r w:rsidRPr="009C3EB4">
          <w:rPr>
            <w:rFonts w:ascii="Tahoma" w:eastAsia="Calibri" w:hAnsi="Tahoma" w:cs="Tahoma"/>
            <w:sz w:val="22"/>
            <w:szCs w:val="22"/>
            <w:lang w:eastAsia="en-US"/>
          </w:rPr>
          <w:t>статьей 155</w:t>
        </w:r>
      </w:hyperlink>
      <w:r w:rsidRPr="009C3EB4">
        <w:rPr>
          <w:rFonts w:ascii="Tahoma" w:eastAsia="Calibri" w:hAnsi="Tahoma" w:cs="Tahoma"/>
          <w:sz w:val="22"/>
          <w:szCs w:val="22"/>
          <w:lang w:eastAsia="en-US"/>
        </w:rPr>
        <w:t xml:space="preserve"> Жилищного кодекса РФ, </w:t>
      </w:r>
      <w:hyperlink r:id="rId124" w:history="1">
        <w:r w:rsidRPr="009C3EB4">
          <w:rPr>
            <w:rFonts w:ascii="Tahoma" w:eastAsia="Calibri" w:hAnsi="Tahoma" w:cs="Tahoma"/>
            <w:sz w:val="22"/>
            <w:szCs w:val="22"/>
            <w:lang w:eastAsia="en-US"/>
          </w:rPr>
          <w:t>статьей 29</w:t>
        </w:r>
      </w:hyperlink>
      <w:r w:rsidRPr="009C3EB4">
        <w:rPr>
          <w:rFonts w:ascii="Tahoma" w:eastAsia="Calibri" w:hAnsi="Tahoma" w:cs="Tahoma"/>
          <w:sz w:val="22"/>
          <w:szCs w:val="22"/>
          <w:lang w:eastAsia="en-US"/>
        </w:rPr>
        <w:t xml:space="preserve"> Федерального закона «О банках и банковской деятельности».</w:t>
      </w:r>
    </w:p>
    <w:p w14:paraId="1F0A501D" w14:textId="77777777" w:rsidR="00B723BB" w:rsidRPr="009C3EB4" w:rsidRDefault="00B723BB" w:rsidP="00B723BB">
      <w:pPr>
        <w:autoSpaceDE w:val="0"/>
        <w:autoSpaceDN w:val="0"/>
        <w:spacing w:after="160" w:line="259" w:lineRule="auto"/>
        <w:rPr>
          <w:rFonts w:ascii="Tahoma" w:eastAsia="Calibri" w:hAnsi="Tahoma" w:cs="Tahoma"/>
          <w:sz w:val="22"/>
          <w:szCs w:val="22"/>
          <w:lang w:eastAsia="en-US"/>
        </w:rPr>
      </w:pPr>
    </w:p>
    <w:p w14:paraId="69B018A3" w14:textId="77777777" w:rsidR="00B723BB" w:rsidRPr="009C3EB4" w:rsidRDefault="00B723BB" w:rsidP="00B723BB">
      <w:pPr>
        <w:spacing w:after="160" w:line="259" w:lineRule="auto"/>
        <w:ind w:firstLine="284"/>
        <w:jc w:val="both"/>
        <w:rPr>
          <w:rFonts w:ascii="Tahoma" w:eastAsia="Calibri" w:hAnsi="Tahoma" w:cs="Tahoma"/>
          <w:sz w:val="22"/>
          <w:szCs w:val="22"/>
          <w:lang w:eastAsia="en-US"/>
        </w:rPr>
      </w:pPr>
      <w:r w:rsidRPr="009C3EB4">
        <w:rPr>
          <w:rFonts w:ascii="Tahoma" w:eastAsia="Calibri" w:hAnsi="Tahoma" w:cs="Tahoma"/>
          <w:sz w:val="22"/>
          <w:szCs w:val="22"/>
          <w:lang w:eastAsia="en-US"/>
        </w:rPr>
        <w:t xml:space="preserve">Не указанные в настоящем документе термины, применяются в значении, определенном в Универсальном договоре банковского обслуживания физических лиц «Азиатско-Тихоокеанский Банк» (АО), размещенном на Сайте Банка: </w:t>
      </w:r>
      <w:hyperlink r:id="rId125" w:history="1">
        <w:r w:rsidRPr="009C3EB4">
          <w:rPr>
            <w:rFonts w:ascii="Tahoma" w:eastAsia="Calibri" w:hAnsi="Tahoma" w:cs="Tahoma"/>
            <w:color w:val="0563C1"/>
            <w:sz w:val="22"/>
            <w:szCs w:val="22"/>
            <w:u w:val="single"/>
            <w:lang w:eastAsia="en-US"/>
          </w:rPr>
          <w:t>www.atb.su</w:t>
        </w:r>
      </w:hyperlink>
      <w:r w:rsidRPr="009C3EB4">
        <w:rPr>
          <w:rFonts w:ascii="Tahoma" w:eastAsia="Calibri" w:hAnsi="Tahoma" w:cs="Tahoma"/>
          <w:sz w:val="22"/>
          <w:szCs w:val="22"/>
          <w:lang w:eastAsia="en-US"/>
        </w:rPr>
        <w:t xml:space="preserve"> и в Подразделениях Банка.</w:t>
      </w:r>
    </w:p>
    <w:p w14:paraId="0663AAF4" w14:textId="77777777" w:rsidR="00B335FF" w:rsidRDefault="00B335FF">
      <w:pPr>
        <w:rPr>
          <w:rFonts w:ascii="Tahoma" w:hAnsi="Tahoma" w:cs="Tahoma"/>
          <w:b/>
          <w:bCs/>
          <w:iCs/>
          <w:color w:val="E36C0A"/>
          <w:sz w:val="22"/>
          <w:szCs w:val="22"/>
        </w:rPr>
      </w:pPr>
      <w:r>
        <w:rPr>
          <w:rFonts w:ascii="Tahoma" w:hAnsi="Tahoma" w:cs="Tahoma"/>
          <w:b/>
          <w:bCs/>
          <w:iCs/>
          <w:color w:val="E36C0A"/>
          <w:sz w:val="22"/>
          <w:szCs w:val="22"/>
        </w:rPr>
        <w:br w:type="page"/>
      </w:r>
    </w:p>
    <w:p w14:paraId="1CE76DF0" w14:textId="215AC367" w:rsidR="00220166" w:rsidRDefault="00F647BB" w:rsidP="004531F1">
      <w:pPr>
        <w:rPr>
          <w:rFonts w:ascii="Tahoma" w:hAnsi="Tahoma" w:cs="Tahoma"/>
          <w:b/>
          <w:sz w:val="22"/>
          <w:szCs w:val="22"/>
        </w:rPr>
      </w:pPr>
      <w:r w:rsidRPr="00CE5927">
        <w:rPr>
          <w:rFonts w:ascii="Tahoma" w:hAnsi="Tahoma" w:cs="Tahoma"/>
          <w:b/>
          <w:noProof/>
          <w:sz w:val="22"/>
          <w:szCs w:val="22"/>
        </w:rPr>
        <mc:AlternateContent>
          <mc:Choice Requires="wps">
            <w:drawing>
              <wp:anchor distT="0" distB="0" distL="114300" distR="114300" simplePos="0" relativeHeight="251653632" behindDoc="0" locked="0" layoutInCell="1" allowOverlap="1" wp14:anchorId="0299CD58" wp14:editId="65FDD3B9">
                <wp:simplePos x="0" y="0"/>
                <wp:positionH relativeFrom="column">
                  <wp:posOffset>-55245</wp:posOffset>
                </wp:positionH>
                <wp:positionV relativeFrom="paragraph">
                  <wp:posOffset>12065</wp:posOffset>
                </wp:positionV>
                <wp:extent cx="6696075" cy="514350"/>
                <wp:effectExtent l="20955" t="24130" r="36195" b="52070"/>
                <wp:wrapNone/>
                <wp:docPr id="6" name="AutoShap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96075" cy="514350"/>
                        </a:xfrm>
                        <a:prstGeom prst="roundRect">
                          <a:avLst>
                            <a:gd name="adj" fmla="val 16667"/>
                          </a:avLst>
                        </a:prstGeom>
                        <a:solidFill>
                          <a:srgbClr val="F79646"/>
                        </a:solidFill>
                        <a:ln w="38100">
                          <a:solidFill>
                            <a:srgbClr val="F2F2F2"/>
                          </a:solidFill>
                          <a:round/>
                          <a:headEnd/>
                          <a:tailEnd/>
                        </a:ln>
                        <a:effectLst>
                          <a:outerShdw dist="28398" dir="3806097" algn="ctr" rotWithShape="0">
                            <a:srgbClr val="974706">
                              <a:alpha val="50000"/>
                            </a:srgbClr>
                          </a:outerShdw>
                        </a:effectLst>
                      </wps:spPr>
                      <wps:txbx>
                        <w:txbxContent>
                          <w:p w14:paraId="64B9FC37" w14:textId="77777777" w:rsidR="009D1253" w:rsidRPr="00176A55" w:rsidRDefault="009D1253" w:rsidP="004E30AD">
                            <w:pPr>
                              <w:rPr>
                                <w:rFonts w:ascii="Arial Narrow" w:hAnsi="Arial Narrow"/>
                                <w:sz w:val="56"/>
                                <w:szCs w:val="56"/>
                              </w:rPr>
                            </w:pPr>
                            <w:r>
                              <w:rPr>
                                <w:rFonts w:ascii="Arial Narrow" w:hAnsi="Arial Narrow"/>
                                <w:sz w:val="56"/>
                                <w:szCs w:val="56"/>
                              </w:rPr>
                              <w:t>6</w:t>
                            </w:r>
                            <w:r w:rsidRPr="00176A55">
                              <w:rPr>
                                <w:rFonts w:ascii="Arial Narrow" w:hAnsi="Arial Narrow"/>
                                <w:sz w:val="56"/>
                                <w:szCs w:val="56"/>
                              </w:rPr>
                              <w:t xml:space="preserve">. </w:t>
                            </w:r>
                            <w:r>
                              <w:rPr>
                                <w:rFonts w:ascii="Arial Narrow" w:hAnsi="Arial Narrow"/>
                                <w:sz w:val="56"/>
                                <w:szCs w:val="56"/>
                              </w:rPr>
                              <w:t>Терминалы самообслуживания</w:t>
                            </w:r>
                            <w:r w:rsidRPr="00176A55">
                              <w:rPr>
                                <w:rFonts w:ascii="Arial Narrow" w:hAnsi="Arial Narrow"/>
                                <w:sz w:val="56"/>
                                <w:szCs w:val="5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299CD58" id="AutoShape 281" o:spid="_x0000_s1028" style="position:absolute;margin-left:-4.35pt;margin-top:.95pt;width:527.25pt;height:4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" fillcolor="#f79646" strokecolor="#f2f2f2" strokeweight="3pt">
                <v:shadow on="t" color="#974706" opacity=".5" offset="1pt"/>
                <v:textbox>
                  <w:txbxContent>
                    <w:p w14:paraId="64B9FC37" w14:textId="77777777" w:rsidR="009D1253" w:rsidRPr="00176A55" w:rsidRDefault="009D1253" w:rsidP="004E30AD">
                      <w:pPr>
                        <w:rPr>
                          <w:rFonts w:ascii="Arial Narrow" w:hAnsi="Arial Narrow"/>
                          <w:sz w:val="56"/>
                          <w:szCs w:val="56"/>
                        </w:rPr>
                      </w:pPr>
                      <w:r>
                        <w:rPr>
                          <w:rFonts w:ascii="Arial Narrow" w:hAnsi="Arial Narrow"/>
                          <w:sz w:val="56"/>
                          <w:szCs w:val="56"/>
                        </w:rPr>
                        <w:t>6</w:t>
                      </w:r>
                      <w:r w:rsidRPr="00176A55">
                        <w:rPr>
                          <w:rFonts w:ascii="Arial Narrow" w:hAnsi="Arial Narrow"/>
                          <w:sz w:val="56"/>
                          <w:szCs w:val="56"/>
                        </w:rPr>
                        <w:t xml:space="preserve">. </w:t>
                      </w:r>
                      <w:r>
                        <w:rPr>
                          <w:rFonts w:ascii="Arial Narrow" w:hAnsi="Arial Narrow"/>
                          <w:sz w:val="56"/>
                          <w:szCs w:val="56"/>
                        </w:rPr>
                        <w:t>Терминалы самообслуживания</w:t>
                      </w:r>
                      <w:r w:rsidRPr="00176A55">
                        <w:rPr>
                          <w:rFonts w:ascii="Arial Narrow" w:hAnsi="Arial Narrow"/>
                          <w:sz w:val="56"/>
                          <w:szCs w:val="56"/>
                        </w:rPr>
                        <w:t>.</w:t>
                      </w:r>
                    </w:p>
                  </w:txbxContent>
                </v:textbox>
              </v:roundrect>
            </w:pict>
          </mc:Fallback>
        </mc:AlternateContent>
      </w:r>
    </w:p>
    <w:p w14:paraId="29FB447C" w14:textId="028F32D2" w:rsidR="004E30AD" w:rsidRPr="00CE5927" w:rsidRDefault="004E30AD" w:rsidP="00220166">
      <w:pPr>
        <w:rPr>
          <w:rFonts w:ascii="Tahoma" w:hAnsi="Tahoma" w:cs="Tahoma"/>
          <w:b/>
          <w:sz w:val="22"/>
          <w:szCs w:val="22"/>
        </w:rPr>
      </w:pPr>
    </w:p>
    <w:p w14:paraId="277F0C2F" w14:textId="77777777" w:rsidR="004E30AD" w:rsidRDefault="004E30AD" w:rsidP="004E30AD">
      <w:pPr>
        <w:pStyle w:val="ConsPlusNormal"/>
        <w:ind w:firstLine="0"/>
        <w:rPr>
          <w:rFonts w:ascii="Tahoma" w:hAnsi="Tahoma" w:cs="Tahoma"/>
          <w:b/>
          <w:sz w:val="22"/>
          <w:szCs w:val="22"/>
        </w:rPr>
      </w:pPr>
    </w:p>
    <w:p w14:paraId="7BCA1D85" w14:textId="77777777" w:rsidR="000B3718" w:rsidRDefault="000B3718" w:rsidP="004E30AD">
      <w:pPr>
        <w:pStyle w:val="ConsPlusNormal"/>
        <w:ind w:firstLine="0"/>
        <w:rPr>
          <w:rFonts w:ascii="Tahoma" w:hAnsi="Tahoma" w:cs="Tahoma"/>
          <w:b/>
          <w:sz w:val="22"/>
          <w:szCs w:val="22"/>
        </w:rPr>
      </w:pPr>
    </w:p>
    <w:p w14:paraId="63D00EB8" w14:textId="24CB231A" w:rsidR="000B3718" w:rsidRPr="00CE5927" w:rsidRDefault="000B3718" w:rsidP="000B3718">
      <w:pPr>
        <w:pStyle w:val="a5"/>
      </w:pPr>
      <w:r>
        <w:t>6. Терминалы самообслуживания</w:t>
      </w:r>
    </w:p>
    <w:p w14:paraId="50033752" w14:textId="77777777" w:rsidR="004E30AD" w:rsidRPr="00CE5927" w:rsidRDefault="004E30AD" w:rsidP="004E30AD">
      <w:pPr>
        <w:pStyle w:val="ConsPlusNormal"/>
        <w:ind w:firstLine="0"/>
        <w:rPr>
          <w:rFonts w:ascii="Tahoma" w:hAnsi="Tahoma" w:cs="Tahoma"/>
          <w:b/>
          <w:sz w:val="22"/>
          <w:szCs w:val="22"/>
        </w:rPr>
      </w:pPr>
    </w:p>
    <w:p w14:paraId="266E333C" w14:textId="77777777" w:rsidR="004E30AD" w:rsidRPr="00CE5927" w:rsidRDefault="004E30AD" w:rsidP="000B3718">
      <w:pPr>
        <w:pStyle w:val="a5"/>
      </w:pPr>
      <w:r w:rsidRPr="00CE5927">
        <w:t xml:space="preserve">6.1. Обслуживание клиентов в устройствах самообслуживания  (ТСО) </w:t>
      </w:r>
      <w:r w:rsidRPr="002D28F3">
        <w:t>«Азиатско-Тихоокеанский Банк» (АО)</w:t>
      </w:r>
    </w:p>
    <w:tbl>
      <w:tblPr>
        <w:tblW w:w="5000" w:type="pct"/>
        <w:tblLook w:val="04A0" w:firstRow="1" w:lastRow="0" w:firstColumn="1" w:lastColumn="0" w:noHBand="0" w:noVBand="1"/>
      </w:tblPr>
      <w:tblGrid>
        <w:gridCol w:w="91"/>
        <w:gridCol w:w="811"/>
        <w:gridCol w:w="9669"/>
        <w:gridCol w:w="4556"/>
      </w:tblGrid>
      <w:tr w:rsidR="004E30AD" w:rsidRPr="00CE5927" w14:paraId="48146B7A" w14:textId="77777777" w:rsidTr="0093383F">
        <w:trPr>
          <w:trHeight w:val="600"/>
        </w:trPr>
        <w:tc>
          <w:tcPr>
            <w:tcW w:w="298" w:type="pct"/>
            <w:gridSpan w:val="2"/>
            <w:tcBorders>
              <w:top w:val="single" w:sz="4" w:space="0" w:color="auto"/>
              <w:left w:val="single" w:sz="4" w:space="0" w:color="auto"/>
              <w:bottom w:val="nil"/>
              <w:right w:val="single" w:sz="4" w:space="0" w:color="auto"/>
            </w:tcBorders>
            <w:shd w:val="clear" w:color="000000" w:fill="808080"/>
            <w:vAlign w:val="center"/>
            <w:hideMark/>
          </w:tcPr>
          <w:p w14:paraId="6CB05498" w14:textId="77777777" w:rsidR="004E30AD" w:rsidRPr="00CE5927" w:rsidRDefault="004E30AD" w:rsidP="0093383F">
            <w:pPr>
              <w:rPr>
                <w:rFonts w:ascii="Tahoma" w:hAnsi="Tahoma" w:cs="Tahoma"/>
                <w:b/>
                <w:bCs/>
                <w:color w:val="FFFFFF"/>
                <w:sz w:val="22"/>
                <w:szCs w:val="22"/>
              </w:rPr>
            </w:pPr>
          </w:p>
          <w:p w14:paraId="43AA3637" w14:textId="77777777" w:rsidR="004E30AD" w:rsidRPr="00CE5927" w:rsidRDefault="004E30AD" w:rsidP="0093383F">
            <w:pPr>
              <w:rPr>
                <w:rFonts w:ascii="Tahoma" w:hAnsi="Tahoma" w:cs="Tahoma"/>
                <w:b/>
                <w:bCs/>
                <w:color w:val="FFFFFF"/>
                <w:sz w:val="22"/>
                <w:szCs w:val="22"/>
              </w:rPr>
            </w:pPr>
            <w:r w:rsidRPr="00CE5927">
              <w:rPr>
                <w:rFonts w:ascii="Tahoma" w:hAnsi="Tahoma" w:cs="Tahoma"/>
                <w:b/>
                <w:bCs/>
                <w:color w:val="FFFFFF"/>
                <w:sz w:val="22"/>
                <w:szCs w:val="22"/>
              </w:rPr>
              <w:t> </w:t>
            </w:r>
          </w:p>
        </w:tc>
        <w:tc>
          <w:tcPr>
            <w:tcW w:w="3196" w:type="pct"/>
            <w:tcBorders>
              <w:top w:val="single" w:sz="4" w:space="0" w:color="auto"/>
              <w:left w:val="nil"/>
              <w:bottom w:val="nil"/>
              <w:right w:val="single" w:sz="4" w:space="0" w:color="auto"/>
            </w:tcBorders>
            <w:shd w:val="clear" w:color="000000" w:fill="808080"/>
            <w:vAlign w:val="center"/>
            <w:hideMark/>
          </w:tcPr>
          <w:p w14:paraId="73EEC481" w14:textId="77777777" w:rsidR="004E30AD" w:rsidRPr="00CE5927" w:rsidRDefault="004E30AD" w:rsidP="0093383F">
            <w:pPr>
              <w:rPr>
                <w:rFonts w:ascii="Tahoma" w:hAnsi="Tahoma" w:cs="Tahoma"/>
                <w:b/>
                <w:bCs/>
                <w:color w:val="FFFFFF"/>
                <w:sz w:val="22"/>
                <w:szCs w:val="22"/>
              </w:rPr>
            </w:pPr>
            <w:r w:rsidRPr="00CE5927">
              <w:rPr>
                <w:rFonts w:ascii="Tahoma" w:hAnsi="Tahoma" w:cs="Tahoma"/>
                <w:b/>
                <w:bCs/>
                <w:color w:val="FFFFFF"/>
                <w:sz w:val="22"/>
                <w:szCs w:val="22"/>
              </w:rPr>
              <w:t>Вид операции</w:t>
            </w:r>
          </w:p>
        </w:tc>
        <w:tc>
          <w:tcPr>
            <w:tcW w:w="1506" w:type="pct"/>
            <w:tcBorders>
              <w:top w:val="single" w:sz="4" w:space="0" w:color="auto"/>
              <w:left w:val="nil"/>
              <w:bottom w:val="nil"/>
              <w:right w:val="single" w:sz="4" w:space="0" w:color="auto"/>
            </w:tcBorders>
            <w:shd w:val="clear" w:color="000000" w:fill="808080"/>
            <w:vAlign w:val="center"/>
            <w:hideMark/>
          </w:tcPr>
          <w:p w14:paraId="29F5719D" w14:textId="77777777" w:rsidR="004E30AD" w:rsidRPr="00CE5927" w:rsidRDefault="004E30AD" w:rsidP="0093383F">
            <w:pPr>
              <w:jc w:val="center"/>
              <w:rPr>
                <w:rFonts w:ascii="Tahoma" w:hAnsi="Tahoma" w:cs="Tahoma"/>
                <w:b/>
                <w:bCs/>
                <w:color w:val="FFFFFF"/>
                <w:sz w:val="22"/>
                <w:szCs w:val="22"/>
              </w:rPr>
            </w:pPr>
            <w:r w:rsidRPr="00CE5927">
              <w:rPr>
                <w:rFonts w:ascii="Tahoma" w:hAnsi="Tahoma" w:cs="Tahoma"/>
                <w:b/>
                <w:bCs/>
                <w:color w:val="FFFFFF"/>
                <w:sz w:val="22"/>
                <w:szCs w:val="22"/>
              </w:rPr>
              <w:t>Комиссионное вознаграждение</w:t>
            </w:r>
          </w:p>
        </w:tc>
      </w:tr>
      <w:tr w:rsidR="004E30AD" w:rsidRPr="00CE5927" w14:paraId="091C36C5" w14:textId="77777777" w:rsidTr="0093383F">
        <w:trPr>
          <w:trHeight w:val="327"/>
        </w:trPr>
        <w:tc>
          <w:tcPr>
            <w:tcW w:w="298"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26C002F" w14:textId="77777777" w:rsidR="004E30AD" w:rsidRPr="00CE5927" w:rsidRDefault="004E30AD" w:rsidP="0093383F">
            <w:pPr>
              <w:jc w:val="center"/>
              <w:rPr>
                <w:rFonts w:ascii="Tahoma" w:hAnsi="Tahoma" w:cs="Tahoma"/>
                <w:color w:val="000000"/>
                <w:sz w:val="22"/>
                <w:szCs w:val="22"/>
              </w:rPr>
            </w:pPr>
            <w:r w:rsidRPr="00CE5927">
              <w:rPr>
                <w:rFonts w:ascii="Tahoma" w:hAnsi="Tahoma" w:cs="Tahoma"/>
                <w:color w:val="000000"/>
                <w:sz w:val="22"/>
                <w:szCs w:val="22"/>
              </w:rPr>
              <w:t>1.</w:t>
            </w:r>
          </w:p>
        </w:tc>
        <w:tc>
          <w:tcPr>
            <w:tcW w:w="3196" w:type="pct"/>
            <w:tcBorders>
              <w:top w:val="single" w:sz="4" w:space="0" w:color="auto"/>
              <w:left w:val="nil"/>
              <w:bottom w:val="single" w:sz="4" w:space="0" w:color="auto"/>
              <w:right w:val="single" w:sz="4" w:space="0" w:color="auto"/>
            </w:tcBorders>
            <w:shd w:val="clear" w:color="auto" w:fill="auto"/>
            <w:vAlign w:val="center"/>
            <w:hideMark/>
          </w:tcPr>
          <w:p w14:paraId="144FF540" w14:textId="77777777" w:rsidR="004E30AD" w:rsidRPr="00CE5927" w:rsidRDefault="004E30AD" w:rsidP="0093383F">
            <w:pPr>
              <w:rPr>
                <w:rFonts w:ascii="Tahoma" w:hAnsi="Tahoma" w:cs="Tahoma"/>
                <w:color w:val="000000"/>
                <w:sz w:val="22"/>
                <w:szCs w:val="22"/>
              </w:rPr>
            </w:pPr>
            <w:r w:rsidRPr="00CE5927">
              <w:rPr>
                <w:rFonts w:ascii="Tahoma" w:hAnsi="Tahoma" w:cs="Tahoma"/>
                <w:color w:val="000000"/>
                <w:sz w:val="22"/>
                <w:szCs w:val="22"/>
              </w:rPr>
              <w:t>Внесение денежных средств на вкладной счет (депозит) </w:t>
            </w:r>
          </w:p>
        </w:tc>
        <w:tc>
          <w:tcPr>
            <w:tcW w:w="1506" w:type="pct"/>
            <w:tcBorders>
              <w:top w:val="single" w:sz="4" w:space="0" w:color="auto"/>
              <w:left w:val="nil"/>
              <w:bottom w:val="single" w:sz="4" w:space="0" w:color="auto"/>
              <w:right w:val="single" w:sz="4" w:space="0" w:color="auto"/>
            </w:tcBorders>
            <w:shd w:val="clear" w:color="auto" w:fill="auto"/>
            <w:vAlign w:val="center"/>
            <w:hideMark/>
          </w:tcPr>
          <w:p w14:paraId="5A805A7C" w14:textId="77777777" w:rsidR="004E30AD" w:rsidRPr="00CE5927" w:rsidRDefault="004E30AD" w:rsidP="0093383F">
            <w:pPr>
              <w:jc w:val="center"/>
              <w:rPr>
                <w:rFonts w:ascii="Tahoma" w:hAnsi="Tahoma" w:cs="Tahoma"/>
                <w:b/>
                <w:bCs/>
                <w:sz w:val="22"/>
                <w:szCs w:val="22"/>
              </w:rPr>
            </w:pPr>
            <w:r w:rsidRPr="00CE5927">
              <w:rPr>
                <w:rFonts w:ascii="Tahoma" w:hAnsi="Tahoma" w:cs="Tahoma"/>
                <w:b/>
                <w:bCs/>
                <w:sz w:val="22"/>
                <w:szCs w:val="22"/>
              </w:rPr>
              <w:t>БЕСПЛАТНО</w:t>
            </w:r>
          </w:p>
        </w:tc>
      </w:tr>
      <w:tr w:rsidR="004E30AD" w:rsidRPr="00CE5927" w14:paraId="46DC24C5" w14:textId="77777777" w:rsidTr="0093383F">
        <w:trPr>
          <w:trHeight w:val="475"/>
        </w:trPr>
        <w:tc>
          <w:tcPr>
            <w:tcW w:w="298" w:type="pct"/>
            <w:gridSpan w:val="2"/>
            <w:tcBorders>
              <w:top w:val="nil"/>
              <w:left w:val="single" w:sz="4" w:space="0" w:color="auto"/>
              <w:bottom w:val="single" w:sz="4" w:space="0" w:color="auto"/>
              <w:right w:val="single" w:sz="4" w:space="0" w:color="auto"/>
            </w:tcBorders>
            <w:shd w:val="clear" w:color="auto" w:fill="auto"/>
            <w:vAlign w:val="center"/>
            <w:hideMark/>
          </w:tcPr>
          <w:p w14:paraId="1A6DD060" w14:textId="77777777" w:rsidR="004E30AD" w:rsidRPr="00CE5927" w:rsidRDefault="004E30AD" w:rsidP="0093383F">
            <w:pPr>
              <w:jc w:val="center"/>
              <w:rPr>
                <w:rFonts w:ascii="Tahoma" w:hAnsi="Tahoma" w:cs="Tahoma"/>
                <w:color w:val="000000"/>
                <w:sz w:val="22"/>
                <w:szCs w:val="22"/>
              </w:rPr>
            </w:pPr>
            <w:r w:rsidRPr="00CE5927">
              <w:rPr>
                <w:rFonts w:ascii="Tahoma" w:hAnsi="Tahoma" w:cs="Tahoma"/>
                <w:color w:val="000000"/>
                <w:sz w:val="22"/>
                <w:szCs w:val="22"/>
              </w:rPr>
              <w:t>2.</w:t>
            </w:r>
          </w:p>
        </w:tc>
        <w:tc>
          <w:tcPr>
            <w:tcW w:w="3196" w:type="pct"/>
            <w:tcBorders>
              <w:top w:val="nil"/>
              <w:left w:val="nil"/>
              <w:bottom w:val="single" w:sz="4" w:space="0" w:color="auto"/>
              <w:right w:val="single" w:sz="4" w:space="0" w:color="auto"/>
            </w:tcBorders>
            <w:shd w:val="clear" w:color="auto" w:fill="auto"/>
            <w:vAlign w:val="center"/>
            <w:hideMark/>
          </w:tcPr>
          <w:p w14:paraId="01DFBE2F" w14:textId="77777777" w:rsidR="004E30AD" w:rsidRPr="00CE5927" w:rsidRDefault="004E30AD" w:rsidP="0093383F">
            <w:pPr>
              <w:rPr>
                <w:rFonts w:ascii="Tahoma" w:hAnsi="Tahoma" w:cs="Tahoma"/>
                <w:color w:val="000000"/>
                <w:sz w:val="22"/>
                <w:szCs w:val="22"/>
              </w:rPr>
            </w:pPr>
            <w:r w:rsidRPr="00CE5927">
              <w:rPr>
                <w:rFonts w:ascii="Tahoma" w:hAnsi="Tahoma" w:cs="Tahoma"/>
                <w:color w:val="000000"/>
                <w:sz w:val="22"/>
                <w:szCs w:val="22"/>
              </w:rPr>
              <w:t xml:space="preserve">Внесение денежных средств на текущий банковский счет (счет банковской карты) без кредитной задолженности </w:t>
            </w:r>
          </w:p>
        </w:tc>
        <w:tc>
          <w:tcPr>
            <w:tcW w:w="1506" w:type="pct"/>
            <w:tcBorders>
              <w:top w:val="nil"/>
              <w:left w:val="nil"/>
              <w:bottom w:val="single" w:sz="4" w:space="0" w:color="auto"/>
              <w:right w:val="single" w:sz="4" w:space="0" w:color="auto"/>
            </w:tcBorders>
            <w:shd w:val="clear" w:color="auto" w:fill="auto"/>
            <w:vAlign w:val="center"/>
            <w:hideMark/>
          </w:tcPr>
          <w:p w14:paraId="7F8FB33D" w14:textId="77777777" w:rsidR="004E30AD" w:rsidRPr="00CE5927" w:rsidRDefault="004E30AD" w:rsidP="0093383F">
            <w:pPr>
              <w:jc w:val="center"/>
              <w:rPr>
                <w:rFonts w:ascii="Tahoma" w:hAnsi="Tahoma" w:cs="Tahoma"/>
                <w:b/>
                <w:bCs/>
                <w:sz w:val="22"/>
                <w:szCs w:val="22"/>
              </w:rPr>
            </w:pPr>
            <w:r w:rsidRPr="00CE5927">
              <w:rPr>
                <w:rFonts w:ascii="Tahoma" w:hAnsi="Tahoma" w:cs="Tahoma"/>
                <w:b/>
                <w:bCs/>
                <w:sz w:val="22"/>
                <w:szCs w:val="22"/>
              </w:rPr>
              <w:t>БЕСПЛАТНО</w:t>
            </w:r>
          </w:p>
        </w:tc>
      </w:tr>
      <w:tr w:rsidR="004E30AD" w:rsidRPr="00CE5927" w14:paraId="0EE04668" w14:textId="77777777" w:rsidTr="0093383F">
        <w:trPr>
          <w:trHeight w:val="555"/>
        </w:trPr>
        <w:tc>
          <w:tcPr>
            <w:tcW w:w="298" w:type="pct"/>
            <w:gridSpan w:val="2"/>
            <w:tcBorders>
              <w:top w:val="nil"/>
              <w:left w:val="single" w:sz="4" w:space="0" w:color="auto"/>
              <w:bottom w:val="single" w:sz="4" w:space="0" w:color="auto"/>
              <w:right w:val="single" w:sz="4" w:space="0" w:color="auto"/>
            </w:tcBorders>
            <w:shd w:val="clear" w:color="auto" w:fill="auto"/>
            <w:vAlign w:val="center"/>
            <w:hideMark/>
          </w:tcPr>
          <w:p w14:paraId="067B82D8" w14:textId="77777777" w:rsidR="004E30AD" w:rsidRPr="00CE5927" w:rsidRDefault="004E30AD" w:rsidP="0093383F">
            <w:pPr>
              <w:jc w:val="center"/>
              <w:rPr>
                <w:rFonts w:ascii="Tahoma" w:hAnsi="Tahoma" w:cs="Tahoma"/>
                <w:color w:val="000000"/>
                <w:sz w:val="22"/>
                <w:szCs w:val="22"/>
              </w:rPr>
            </w:pPr>
            <w:r w:rsidRPr="00CE5927">
              <w:rPr>
                <w:rFonts w:ascii="Tahoma" w:hAnsi="Tahoma" w:cs="Tahoma"/>
                <w:color w:val="000000"/>
                <w:sz w:val="22"/>
                <w:szCs w:val="22"/>
              </w:rPr>
              <w:t>3.</w:t>
            </w:r>
          </w:p>
        </w:tc>
        <w:tc>
          <w:tcPr>
            <w:tcW w:w="3196" w:type="pct"/>
            <w:tcBorders>
              <w:top w:val="nil"/>
              <w:left w:val="nil"/>
              <w:bottom w:val="single" w:sz="4" w:space="0" w:color="auto"/>
              <w:right w:val="single" w:sz="4" w:space="0" w:color="auto"/>
            </w:tcBorders>
            <w:shd w:val="clear" w:color="auto" w:fill="auto"/>
            <w:vAlign w:val="center"/>
            <w:hideMark/>
          </w:tcPr>
          <w:p w14:paraId="4B5753D0" w14:textId="77777777" w:rsidR="004E30AD" w:rsidRPr="00CE5927" w:rsidRDefault="004E30AD" w:rsidP="0093383F">
            <w:pPr>
              <w:rPr>
                <w:rFonts w:ascii="Tahoma" w:hAnsi="Tahoma" w:cs="Tahoma"/>
                <w:color w:val="000000"/>
                <w:sz w:val="22"/>
                <w:szCs w:val="22"/>
              </w:rPr>
            </w:pPr>
            <w:r w:rsidRPr="00CE5927">
              <w:rPr>
                <w:rFonts w:ascii="Tahoma" w:hAnsi="Tahoma" w:cs="Tahoma"/>
                <w:color w:val="000000"/>
                <w:sz w:val="22"/>
                <w:szCs w:val="22"/>
              </w:rPr>
              <w:t>Внесение денежных средств на Текущий банковский счет (Счет банковской карты) с открытой кредитной задолженностью</w:t>
            </w:r>
          </w:p>
        </w:tc>
        <w:tc>
          <w:tcPr>
            <w:tcW w:w="1506" w:type="pct"/>
            <w:tcBorders>
              <w:top w:val="nil"/>
              <w:left w:val="nil"/>
              <w:bottom w:val="single" w:sz="4" w:space="0" w:color="auto"/>
              <w:right w:val="single" w:sz="4" w:space="0" w:color="auto"/>
            </w:tcBorders>
            <w:shd w:val="clear" w:color="auto" w:fill="auto"/>
            <w:vAlign w:val="center"/>
            <w:hideMark/>
          </w:tcPr>
          <w:p w14:paraId="70372701" w14:textId="77777777" w:rsidR="004E30AD" w:rsidRPr="00CE5927" w:rsidRDefault="004E30AD" w:rsidP="0093383F">
            <w:pPr>
              <w:jc w:val="center"/>
              <w:rPr>
                <w:rFonts w:ascii="Tahoma" w:hAnsi="Tahoma" w:cs="Tahoma"/>
                <w:sz w:val="22"/>
                <w:szCs w:val="22"/>
              </w:rPr>
            </w:pPr>
            <w:r w:rsidRPr="00CE5927">
              <w:rPr>
                <w:rFonts w:ascii="Tahoma" w:hAnsi="Tahoma" w:cs="Tahoma"/>
                <w:b/>
                <w:bCs/>
                <w:sz w:val="22"/>
                <w:szCs w:val="22"/>
              </w:rPr>
              <w:t>БЕСПЛАТНО</w:t>
            </w:r>
          </w:p>
        </w:tc>
      </w:tr>
      <w:tr w:rsidR="004E30AD" w:rsidRPr="00CE5927" w14:paraId="43E38381" w14:textId="77777777" w:rsidTr="0093383F">
        <w:trPr>
          <w:trHeight w:val="479"/>
        </w:trPr>
        <w:tc>
          <w:tcPr>
            <w:tcW w:w="298" w:type="pct"/>
            <w:gridSpan w:val="2"/>
            <w:tcBorders>
              <w:top w:val="nil"/>
              <w:left w:val="single" w:sz="4" w:space="0" w:color="auto"/>
              <w:bottom w:val="single" w:sz="4" w:space="0" w:color="auto"/>
              <w:right w:val="single" w:sz="4" w:space="0" w:color="auto"/>
            </w:tcBorders>
            <w:shd w:val="clear" w:color="auto" w:fill="auto"/>
            <w:vAlign w:val="center"/>
            <w:hideMark/>
          </w:tcPr>
          <w:p w14:paraId="4CF9ACC4" w14:textId="77777777" w:rsidR="004E30AD" w:rsidRPr="00CE5927" w:rsidRDefault="004E30AD" w:rsidP="0093383F">
            <w:pPr>
              <w:jc w:val="center"/>
              <w:rPr>
                <w:rFonts w:ascii="Tahoma" w:hAnsi="Tahoma" w:cs="Tahoma"/>
                <w:color w:val="000000"/>
                <w:sz w:val="22"/>
                <w:szCs w:val="22"/>
              </w:rPr>
            </w:pPr>
            <w:r w:rsidRPr="00CE5927">
              <w:rPr>
                <w:rFonts w:ascii="Tahoma" w:hAnsi="Tahoma" w:cs="Tahoma"/>
                <w:color w:val="000000"/>
                <w:sz w:val="22"/>
                <w:szCs w:val="22"/>
              </w:rPr>
              <w:t>4.</w:t>
            </w:r>
          </w:p>
        </w:tc>
        <w:tc>
          <w:tcPr>
            <w:tcW w:w="3196" w:type="pct"/>
            <w:tcBorders>
              <w:top w:val="nil"/>
              <w:left w:val="nil"/>
              <w:bottom w:val="single" w:sz="4" w:space="0" w:color="auto"/>
              <w:right w:val="single" w:sz="4" w:space="0" w:color="auto"/>
            </w:tcBorders>
            <w:shd w:val="clear" w:color="auto" w:fill="auto"/>
            <w:vAlign w:val="center"/>
            <w:hideMark/>
          </w:tcPr>
          <w:p w14:paraId="2165C2C2" w14:textId="77777777" w:rsidR="004E30AD" w:rsidRPr="00CE5927" w:rsidRDefault="004E30AD" w:rsidP="0093383F">
            <w:pPr>
              <w:rPr>
                <w:rFonts w:ascii="Tahoma" w:hAnsi="Tahoma" w:cs="Tahoma"/>
                <w:color w:val="000000"/>
                <w:sz w:val="22"/>
                <w:szCs w:val="22"/>
              </w:rPr>
            </w:pPr>
            <w:r w:rsidRPr="00CE5927">
              <w:rPr>
                <w:rFonts w:ascii="Tahoma" w:hAnsi="Tahoma" w:cs="Tahoma"/>
                <w:color w:val="000000"/>
                <w:sz w:val="22"/>
                <w:szCs w:val="22"/>
              </w:rPr>
              <w:t>Переводы по свободным реквизитам, в том числе погашение кредитов в сторонних банках</w:t>
            </w:r>
          </w:p>
        </w:tc>
        <w:tc>
          <w:tcPr>
            <w:tcW w:w="1506" w:type="pct"/>
            <w:tcBorders>
              <w:top w:val="nil"/>
              <w:left w:val="nil"/>
              <w:bottom w:val="single" w:sz="4" w:space="0" w:color="auto"/>
              <w:right w:val="single" w:sz="4" w:space="0" w:color="auto"/>
            </w:tcBorders>
            <w:shd w:val="clear" w:color="auto" w:fill="auto"/>
            <w:vAlign w:val="center"/>
            <w:hideMark/>
          </w:tcPr>
          <w:p w14:paraId="57ED4100" w14:textId="77777777" w:rsidR="004E30AD" w:rsidRPr="00CE5927" w:rsidRDefault="004E30AD" w:rsidP="0093383F">
            <w:pPr>
              <w:jc w:val="center"/>
              <w:rPr>
                <w:rFonts w:ascii="Tahoma" w:hAnsi="Tahoma" w:cs="Tahoma"/>
                <w:sz w:val="22"/>
                <w:szCs w:val="22"/>
              </w:rPr>
            </w:pPr>
            <w:r w:rsidRPr="00CE5927">
              <w:rPr>
                <w:rFonts w:ascii="Tahoma" w:hAnsi="Tahoma" w:cs="Tahoma"/>
                <w:sz w:val="22"/>
                <w:szCs w:val="22"/>
              </w:rPr>
              <w:t>1,3% мин. 50 рублей</w:t>
            </w:r>
          </w:p>
        </w:tc>
      </w:tr>
      <w:tr w:rsidR="004E30AD" w:rsidRPr="00CE5927" w14:paraId="60670295" w14:textId="77777777" w:rsidTr="0093383F">
        <w:trPr>
          <w:trHeight w:val="402"/>
        </w:trPr>
        <w:tc>
          <w:tcPr>
            <w:tcW w:w="298" w:type="pct"/>
            <w:gridSpan w:val="2"/>
            <w:tcBorders>
              <w:top w:val="nil"/>
              <w:left w:val="single" w:sz="4" w:space="0" w:color="auto"/>
              <w:bottom w:val="single" w:sz="4" w:space="0" w:color="auto"/>
              <w:right w:val="single" w:sz="4" w:space="0" w:color="auto"/>
            </w:tcBorders>
            <w:shd w:val="clear" w:color="auto" w:fill="auto"/>
            <w:vAlign w:val="center"/>
            <w:hideMark/>
          </w:tcPr>
          <w:p w14:paraId="0A38B1ED" w14:textId="77777777" w:rsidR="004E30AD" w:rsidRPr="00CE5927" w:rsidRDefault="004E30AD" w:rsidP="0093383F">
            <w:pPr>
              <w:jc w:val="center"/>
              <w:rPr>
                <w:rFonts w:ascii="Tahoma" w:hAnsi="Tahoma" w:cs="Tahoma"/>
                <w:color w:val="000000"/>
                <w:sz w:val="22"/>
                <w:szCs w:val="22"/>
              </w:rPr>
            </w:pPr>
            <w:r w:rsidRPr="00CE5927">
              <w:rPr>
                <w:rFonts w:ascii="Tahoma" w:hAnsi="Tahoma" w:cs="Tahoma"/>
                <w:color w:val="000000"/>
                <w:sz w:val="22"/>
                <w:szCs w:val="22"/>
              </w:rPr>
              <w:t>5.</w:t>
            </w:r>
          </w:p>
        </w:tc>
        <w:tc>
          <w:tcPr>
            <w:tcW w:w="3196" w:type="pct"/>
            <w:tcBorders>
              <w:top w:val="nil"/>
              <w:left w:val="nil"/>
              <w:bottom w:val="single" w:sz="4" w:space="0" w:color="auto"/>
              <w:right w:val="single" w:sz="4" w:space="0" w:color="auto"/>
            </w:tcBorders>
            <w:shd w:val="clear" w:color="auto" w:fill="auto"/>
            <w:vAlign w:val="center"/>
            <w:hideMark/>
          </w:tcPr>
          <w:p w14:paraId="3C0E7E34" w14:textId="77777777" w:rsidR="004E30AD" w:rsidRPr="00CE5927" w:rsidRDefault="004E30AD" w:rsidP="0093383F">
            <w:pPr>
              <w:rPr>
                <w:rFonts w:ascii="Tahoma" w:hAnsi="Tahoma" w:cs="Tahoma"/>
                <w:color w:val="000000"/>
                <w:sz w:val="22"/>
                <w:szCs w:val="22"/>
              </w:rPr>
            </w:pPr>
            <w:r w:rsidRPr="00CE5927">
              <w:rPr>
                <w:rFonts w:ascii="Tahoma" w:hAnsi="Tahoma" w:cs="Tahoma"/>
                <w:color w:val="000000"/>
                <w:sz w:val="22"/>
                <w:szCs w:val="22"/>
              </w:rPr>
              <w:t>Переводы в пользу государственных органов (оплата штрафов ГИБДД)</w:t>
            </w:r>
            <w:r w:rsidRPr="00CE5927">
              <w:rPr>
                <w:rFonts w:ascii="Tahoma" w:hAnsi="Tahoma" w:cs="Tahoma"/>
                <w:color w:val="000000"/>
                <w:sz w:val="22"/>
                <w:szCs w:val="22"/>
                <w:vertAlign w:val="superscript"/>
              </w:rPr>
              <w:t>2</w:t>
            </w:r>
          </w:p>
        </w:tc>
        <w:tc>
          <w:tcPr>
            <w:tcW w:w="1506" w:type="pct"/>
            <w:tcBorders>
              <w:top w:val="nil"/>
              <w:left w:val="nil"/>
              <w:bottom w:val="single" w:sz="4" w:space="0" w:color="auto"/>
              <w:right w:val="single" w:sz="4" w:space="0" w:color="auto"/>
            </w:tcBorders>
            <w:shd w:val="clear" w:color="auto" w:fill="auto"/>
            <w:vAlign w:val="center"/>
            <w:hideMark/>
          </w:tcPr>
          <w:p w14:paraId="130C7812" w14:textId="77777777" w:rsidR="004E30AD" w:rsidRPr="00CE5927" w:rsidRDefault="004E30AD" w:rsidP="0093383F">
            <w:pPr>
              <w:jc w:val="center"/>
              <w:rPr>
                <w:rFonts w:ascii="Tahoma" w:hAnsi="Tahoma" w:cs="Tahoma"/>
                <w:sz w:val="22"/>
                <w:szCs w:val="22"/>
              </w:rPr>
            </w:pPr>
            <w:r w:rsidRPr="00CE5927">
              <w:rPr>
                <w:rFonts w:ascii="Tahoma" w:hAnsi="Tahoma" w:cs="Tahoma"/>
                <w:sz w:val="22"/>
                <w:szCs w:val="22"/>
              </w:rPr>
              <w:t>50 руб.</w:t>
            </w:r>
          </w:p>
        </w:tc>
      </w:tr>
      <w:tr w:rsidR="004E30AD" w:rsidRPr="00CE5927" w14:paraId="7B765D49" w14:textId="77777777" w:rsidTr="0093383F">
        <w:trPr>
          <w:trHeight w:val="338"/>
        </w:trPr>
        <w:tc>
          <w:tcPr>
            <w:tcW w:w="298" w:type="pct"/>
            <w:gridSpan w:val="2"/>
            <w:tcBorders>
              <w:top w:val="nil"/>
              <w:left w:val="single" w:sz="4" w:space="0" w:color="auto"/>
              <w:bottom w:val="single" w:sz="4" w:space="0" w:color="auto"/>
              <w:right w:val="single" w:sz="4" w:space="0" w:color="auto"/>
            </w:tcBorders>
            <w:shd w:val="clear" w:color="auto" w:fill="auto"/>
            <w:vAlign w:val="center"/>
            <w:hideMark/>
          </w:tcPr>
          <w:p w14:paraId="6ADB093C" w14:textId="77777777" w:rsidR="004E30AD" w:rsidRPr="00CE5927" w:rsidRDefault="004E30AD" w:rsidP="0093383F">
            <w:pPr>
              <w:jc w:val="center"/>
              <w:rPr>
                <w:rFonts w:ascii="Tahoma" w:hAnsi="Tahoma" w:cs="Tahoma"/>
                <w:color w:val="000000"/>
                <w:sz w:val="22"/>
                <w:szCs w:val="22"/>
              </w:rPr>
            </w:pPr>
            <w:r w:rsidRPr="00CE5927">
              <w:rPr>
                <w:rFonts w:ascii="Tahoma" w:hAnsi="Tahoma" w:cs="Tahoma"/>
                <w:color w:val="000000"/>
                <w:sz w:val="22"/>
                <w:szCs w:val="22"/>
              </w:rPr>
              <w:t>6.</w:t>
            </w:r>
          </w:p>
        </w:tc>
        <w:tc>
          <w:tcPr>
            <w:tcW w:w="3196" w:type="pct"/>
            <w:tcBorders>
              <w:top w:val="nil"/>
              <w:left w:val="nil"/>
              <w:bottom w:val="single" w:sz="4" w:space="0" w:color="auto"/>
              <w:right w:val="single" w:sz="4" w:space="0" w:color="auto"/>
            </w:tcBorders>
            <w:shd w:val="clear" w:color="auto" w:fill="auto"/>
            <w:vAlign w:val="center"/>
            <w:hideMark/>
          </w:tcPr>
          <w:p w14:paraId="6FFE2D58" w14:textId="77777777" w:rsidR="004E30AD" w:rsidRPr="00CE5927" w:rsidRDefault="004E30AD" w:rsidP="0093383F">
            <w:pPr>
              <w:rPr>
                <w:rFonts w:ascii="Tahoma" w:hAnsi="Tahoma" w:cs="Tahoma"/>
                <w:color w:val="000000"/>
                <w:sz w:val="22"/>
                <w:szCs w:val="22"/>
              </w:rPr>
            </w:pPr>
            <w:r w:rsidRPr="00CE5927">
              <w:rPr>
                <w:rFonts w:ascii="Tahoma" w:hAnsi="Tahoma" w:cs="Tahoma"/>
                <w:color w:val="000000"/>
                <w:sz w:val="22"/>
                <w:szCs w:val="22"/>
              </w:rPr>
              <w:t>Переводы в пользу сотовых операторов (МТС, Билайн, Мегафон)</w:t>
            </w:r>
          </w:p>
        </w:tc>
        <w:tc>
          <w:tcPr>
            <w:tcW w:w="1506" w:type="pct"/>
            <w:tcBorders>
              <w:top w:val="nil"/>
              <w:left w:val="nil"/>
              <w:bottom w:val="single" w:sz="4" w:space="0" w:color="auto"/>
              <w:right w:val="single" w:sz="4" w:space="0" w:color="auto"/>
            </w:tcBorders>
            <w:shd w:val="clear" w:color="auto" w:fill="auto"/>
            <w:vAlign w:val="center"/>
            <w:hideMark/>
          </w:tcPr>
          <w:p w14:paraId="051E6E33" w14:textId="77777777" w:rsidR="004E30AD" w:rsidRPr="00CE5927" w:rsidRDefault="004E30AD" w:rsidP="0093383F">
            <w:pPr>
              <w:jc w:val="center"/>
              <w:rPr>
                <w:rFonts w:ascii="Tahoma" w:hAnsi="Tahoma" w:cs="Tahoma"/>
                <w:sz w:val="22"/>
                <w:szCs w:val="22"/>
              </w:rPr>
            </w:pPr>
            <w:r w:rsidRPr="00CE5927">
              <w:rPr>
                <w:rFonts w:ascii="Tahoma" w:hAnsi="Tahoma" w:cs="Tahoma"/>
                <w:sz w:val="22"/>
                <w:szCs w:val="22"/>
              </w:rPr>
              <w:t>9% мин. 10 рублей</w:t>
            </w:r>
          </w:p>
        </w:tc>
      </w:tr>
      <w:tr w:rsidR="004E30AD" w:rsidRPr="00CE5927" w14:paraId="02A4D793" w14:textId="77777777" w:rsidTr="0093383F">
        <w:trPr>
          <w:trHeight w:val="485"/>
        </w:trPr>
        <w:tc>
          <w:tcPr>
            <w:tcW w:w="298" w:type="pct"/>
            <w:gridSpan w:val="2"/>
            <w:tcBorders>
              <w:top w:val="nil"/>
              <w:left w:val="single" w:sz="4" w:space="0" w:color="auto"/>
              <w:bottom w:val="single" w:sz="4" w:space="0" w:color="auto"/>
              <w:right w:val="single" w:sz="4" w:space="0" w:color="auto"/>
            </w:tcBorders>
            <w:shd w:val="clear" w:color="auto" w:fill="auto"/>
            <w:vAlign w:val="center"/>
            <w:hideMark/>
          </w:tcPr>
          <w:p w14:paraId="06E5B3A8" w14:textId="77777777" w:rsidR="004E30AD" w:rsidRPr="00CE5927" w:rsidRDefault="004E30AD" w:rsidP="0093383F">
            <w:pPr>
              <w:jc w:val="center"/>
              <w:rPr>
                <w:rFonts w:ascii="Tahoma" w:hAnsi="Tahoma" w:cs="Tahoma"/>
                <w:color w:val="000000"/>
                <w:sz w:val="22"/>
                <w:szCs w:val="22"/>
              </w:rPr>
            </w:pPr>
            <w:r w:rsidRPr="00CE5927">
              <w:rPr>
                <w:rFonts w:ascii="Tahoma" w:hAnsi="Tahoma" w:cs="Tahoma"/>
                <w:color w:val="000000"/>
                <w:sz w:val="22"/>
                <w:szCs w:val="22"/>
              </w:rPr>
              <w:t>7.</w:t>
            </w:r>
          </w:p>
        </w:tc>
        <w:tc>
          <w:tcPr>
            <w:tcW w:w="3196" w:type="pct"/>
            <w:tcBorders>
              <w:top w:val="nil"/>
              <w:left w:val="nil"/>
              <w:bottom w:val="single" w:sz="4" w:space="0" w:color="auto"/>
              <w:right w:val="single" w:sz="4" w:space="0" w:color="auto"/>
            </w:tcBorders>
            <w:shd w:val="clear" w:color="auto" w:fill="auto"/>
            <w:vAlign w:val="center"/>
            <w:hideMark/>
          </w:tcPr>
          <w:p w14:paraId="3529EA81" w14:textId="77777777" w:rsidR="004E30AD" w:rsidRPr="00CE5927" w:rsidRDefault="004E30AD" w:rsidP="0093383F">
            <w:pPr>
              <w:rPr>
                <w:rFonts w:ascii="Tahoma" w:hAnsi="Tahoma" w:cs="Tahoma"/>
                <w:color w:val="000000"/>
                <w:sz w:val="22"/>
                <w:szCs w:val="22"/>
              </w:rPr>
            </w:pPr>
            <w:r w:rsidRPr="00CE5927">
              <w:rPr>
                <w:rFonts w:ascii="Tahoma" w:hAnsi="Tahoma" w:cs="Tahoma"/>
                <w:color w:val="000000"/>
                <w:sz w:val="22"/>
                <w:szCs w:val="22"/>
              </w:rPr>
              <w:t xml:space="preserve">Переводы в пользу сотовых операторов (Скайлинк </w:t>
            </w:r>
            <w:r w:rsidRPr="00CE5927">
              <w:rPr>
                <w:rFonts w:ascii="Tahoma" w:hAnsi="Tahoma" w:cs="Tahoma"/>
                <w:color w:val="000000"/>
                <w:szCs w:val="22"/>
                <w:vertAlign w:val="superscript"/>
              </w:rPr>
              <w:t>3</w:t>
            </w:r>
            <w:r w:rsidRPr="00CE5927">
              <w:rPr>
                <w:rFonts w:ascii="Tahoma" w:hAnsi="Tahoma" w:cs="Tahoma"/>
                <w:color w:val="000000"/>
                <w:sz w:val="22"/>
                <w:szCs w:val="22"/>
              </w:rPr>
              <w:t>, ТЕLЕ 2, Мотив, НСС, Смартс Астрахань)</w:t>
            </w:r>
          </w:p>
        </w:tc>
        <w:tc>
          <w:tcPr>
            <w:tcW w:w="1506" w:type="pct"/>
            <w:tcBorders>
              <w:top w:val="nil"/>
              <w:left w:val="nil"/>
              <w:bottom w:val="single" w:sz="4" w:space="0" w:color="auto"/>
              <w:right w:val="single" w:sz="4" w:space="0" w:color="auto"/>
            </w:tcBorders>
            <w:shd w:val="clear" w:color="auto" w:fill="auto"/>
            <w:vAlign w:val="center"/>
            <w:hideMark/>
          </w:tcPr>
          <w:p w14:paraId="241632BA" w14:textId="77777777" w:rsidR="004E30AD" w:rsidRPr="00CE5927" w:rsidRDefault="004E30AD" w:rsidP="0093383F">
            <w:pPr>
              <w:jc w:val="center"/>
              <w:rPr>
                <w:rFonts w:ascii="Tahoma" w:hAnsi="Tahoma" w:cs="Tahoma"/>
                <w:sz w:val="22"/>
                <w:szCs w:val="22"/>
              </w:rPr>
            </w:pPr>
            <w:r w:rsidRPr="00CE5927">
              <w:rPr>
                <w:rFonts w:ascii="Tahoma" w:hAnsi="Tahoma" w:cs="Tahoma"/>
                <w:sz w:val="22"/>
                <w:szCs w:val="22"/>
              </w:rPr>
              <w:t>1% мин. 10 рублей</w:t>
            </w:r>
          </w:p>
        </w:tc>
      </w:tr>
      <w:tr w:rsidR="004E30AD" w:rsidRPr="00CE5927" w14:paraId="063E6668" w14:textId="77777777" w:rsidTr="0093383F">
        <w:trPr>
          <w:trHeight w:val="210"/>
        </w:trPr>
        <w:tc>
          <w:tcPr>
            <w:tcW w:w="298" w:type="pct"/>
            <w:gridSpan w:val="2"/>
            <w:tcBorders>
              <w:top w:val="nil"/>
              <w:left w:val="single" w:sz="4" w:space="0" w:color="auto"/>
              <w:bottom w:val="single" w:sz="4" w:space="0" w:color="auto"/>
              <w:right w:val="single" w:sz="4" w:space="0" w:color="auto"/>
            </w:tcBorders>
            <w:shd w:val="clear" w:color="auto" w:fill="auto"/>
            <w:vAlign w:val="center"/>
            <w:hideMark/>
          </w:tcPr>
          <w:p w14:paraId="08EED941" w14:textId="77777777" w:rsidR="004E30AD" w:rsidRPr="00CE5927" w:rsidRDefault="004E30AD" w:rsidP="0093383F">
            <w:pPr>
              <w:jc w:val="center"/>
              <w:rPr>
                <w:rFonts w:ascii="Tahoma" w:hAnsi="Tahoma" w:cs="Tahoma"/>
                <w:color w:val="000000"/>
                <w:sz w:val="22"/>
                <w:szCs w:val="22"/>
              </w:rPr>
            </w:pPr>
            <w:r w:rsidRPr="00CE5927">
              <w:rPr>
                <w:rFonts w:ascii="Tahoma" w:hAnsi="Tahoma" w:cs="Tahoma"/>
                <w:color w:val="000000"/>
                <w:sz w:val="22"/>
                <w:szCs w:val="22"/>
              </w:rPr>
              <w:t>8.</w:t>
            </w:r>
          </w:p>
        </w:tc>
        <w:tc>
          <w:tcPr>
            <w:tcW w:w="3196" w:type="pct"/>
            <w:tcBorders>
              <w:top w:val="nil"/>
              <w:left w:val="nil"/>
              <w:bottom w:val="single" w:sz="4" w:space="0" w:color="auto"/>
              <w:right w:val="single" w:sz="4" w:space="0" w:color="auto"/>
            </w:tcBorders>
            <w:shd w:val="clear" w:color="auto" w:fill="auto"/>
            <w:vAlign w:val="center"/>
            <w:hideMark/>
          </w:tcPr>
          <w:p w14:paraId="4E114498" w14:textId="77777777" w:rsidR="004E30AD" w:rsidRPr="00CE5927" w:rsidRDefault="004E30AD" w:rsidP="0093383F">
            <w:pPr>
              <w:rPr>
                <w:rFonts w:ascii="Tahoma" w:hAnsi="Tahoma" w:cs="Tahoma"/>
                <w:color w:val="000000"/>
                <w:sz w:val="22"/>
                <w:szCs w:val="22"/>
              </w:rPr>
            </w:pPr>
            <w:r w:rsidRPr="00CE5927">
              <w:rPr>
                <w:rFonts w:ascii="Tahoma" w:hAnsi="Tahoma" w:cs="Tahoma"/>
                <w:color w:val="000000"/>
                <w:sz w:val="22"/>
                <w:szCs w:val="22"/>
              </w:rPr>
              <w:t>Переводы в пользу сотовых операторов (Смартс, НТК)</w:t>
            </w:r>
          </w:p>
        </w:tc>
        <w:tc>
          <w:tcPr>
            <w:tcW w:w="1506" w:type="pct"/>
            <w:tcBorders>
              <w:top w:val="nil"/>
              <w:left w:val="nil"/>
              <w:bottom w:val="single" w:sz="4" w:space="0" w:color="auto"/>
              <w:right w:val="single" w:sz="4" w:space="0" w:color="auto"/>
            </w:tcBorders>
            <w:shd w:val="clear" w:color="auto" w:fill="auto"/>
            <w:vAlign w:val="center"/>
            <w:hideMark/>
          </w:tcPr>
          <w:p w14:paraId="07814B9C" w14:textId="77777777" w:rsidR="004E30AD" w:rsidRPr="00CE5927" w:rsidRDefault="004E30AD" w:rsidP="0093383F">
            <w:pPr>
              <w:jc w:val="center"/>
              <w:rPr>
                <w:rFonts w:ascii="Tahoma" w:hAnsi="Tahoma" w:cs="Tahoma"/>
                <w:b/>
                <w:bCs/>
                <w:sz w:val="22"/>
                <w:szCs w:val="22"/>
              </w:rPr>
            </w:pPr>
            <w:r w:rsidRPr="00CE5927">
              <w:rPr>
                <w:rFonts w:ascii="Tahoma" w:hAnsi="Tahoma" w:cs="Tahoma"/>
                <w:b/>
                <w:bCs/>
                <w:sz w:val="22"/>
                <w:szCs w:val="22"/>
              </w:rPr>
              <w:t>БЕСПЛАТНО</w:t>
            </w:r>
          </w:p>
        </w:tc>
      </w:tr>
      <w:tr w:rsidR="004E30AD" w:rsidRPr="00CE5927" w14:paraId="7BE2B08D" w14:textId="77777777" w:rsidTr="0093383F">
        <w:trPr>
          <w:trHeight w:val="404"/>
        </w:trPr>
        <w:tc>
          <w:tcPr>
            <w:tcW w:w="298" w:type="pct"/>
            <w:gridSpan w:val="2"/>
            <w:tcBorders>
              <w:top w:val="nil"/>
              <w:left w:val="single" w:sz="4" w:space="0" w:color="auto"/>
              <w:bottom w:val="single" w:sz="4" w:space="0" w:color="auto"/>
              <w:right w:val="single" w:sz="4" w:space="0" w:color="auto"/>
            </w:tcBorders>
            <w:shd w:val="clear" w:color="auto" w:fill="auto"/>
            <w:vAlign w:val="center"/>
            <w:hideMark/>
          </w:tcPr>
          <w:p w14:paraId="22EB693E" w14:textId="77777777" w:rsidR="004E30AD" w:rsidRPr="00CE5927" w:rsidRDefault="004E30AD" w:rsidP="0093383F">
            <w:pPr>
              <w:jc w:val="center"/>
              <w:rPr>
                <w:rFonts w:ascii="Tahoma" w:hAnsi="Tahoma" w:cs="Tahoma"/>
                <w:color w:val="000000"/>
                <w:sz w:val="22"/>
                <w:szCs w:val="22"/>
              </w:rPr>
            </w:pPr>
            <w:r w:rsidRPr="00CE5927">
              <w:rPr>
                <w:rFonts w:ascii="Tahoma" w:hAnsi="Tahoma" w:cs="Tahoma"/>
                <w:color w:val="000000"/>
                <w:sz w:val="22"/>
                <w:szCs w:val="22"/>
              </w:rPr>
              <w:t>9.</w:t>
            </w:r>
          </w:p>
        </w:tc>
        <w:tc>
          <w:tcPr>
            <w:tcW w:w="3196" w:type="pct"/>
            <w:tcBorders>
              <w:top w:val="nil"/>
              <w:left w:val="nil"/>
              <w:bottom w:val="single" w:sz="4" w:space="0" w:color="auto"/>
              <w:right w:val="single" w:sz="4" w:space="0" w:color="auto"/>
            </w:tcBorders>
            <w:shd w:val="clear" w:color="auto" w:fill="auto"/>
            <w:vAlign w:val="center"/>
            <w:hideMark/>
          </w:tcPr>
          <w:p w14:paraId="3C31319C" w14:textId="77777777" w:rsidR="004E30AD" w:rsidRPr="00CE5927" w:rsidRDefault="004E30AD" w:rsidP="0093383F">
            <w:pPr>
              <w:rPr>
                <w:rFonts w:ascii="Tahoma" w:hAnsi="Tahoma" w:cs="Tahoma"/>
                <w:color w:val="000000"/>
                <w:sz w:val="22"/>
                <w:szCs w:val="22"/>
              </w:rPr>
            </w:pPr>
            <w:r w:rsidRPr="00CE5927">
              <w:rPr>
                <w:rFonts w:ascii="Tahoma" w:hAnsi="Tahoma" w:cs="Tahoma"/>
                <w:color w:val="000000"/>
                <w:sz w:val="22"/>
                <w:szCs w:val="22"/>
              </w:rPr>
              <w:t>Переводы в пользу телекоммуникационные услуги (Ростелеком, Сибирьтелеком, Сахателеком)</w:t>
            </w:r>
          </w:p>
        </w:tc>
        <w:tc>
          <w:tcPr>
            <w:tcW w:w="1506" w:type="pct"/>
            <w:tcBorders>
              <w:top w:val="nil"/>
              <w:left w:val="nil"/>
              <w:bottom w:val="single" w:sz="4" w:space="0" w:color="auto"/>
              <w:right w:val="single" w:sz="4" w:space="0" w:color="auto"/>
            </w:tcBorders>
            <w:shd w:val="clear" w:color="auto" w:fill="auto"/>
            <w:vAlign w:val="center"/>
            <w:hideMark/>
          </w:tcPr>
          <w:p w14:paraId="46490F74" w14:textId="77777777" w:rsidR="004E30AD" w:rsidRPr="00CE5927" w:rsidRDefault="004E30AD" w:rsidP="0093383F">
            <w:pPr>
              <w:jc w:val="center"/>
              <w:rPr>
                <w:rFonts w:ascii="Tahoma" w:hAnsi="Tahoma" w:cs="Tahoma"/>
                <w:b/>
                <w:bCs/>
                <w:sz w:val="22"/>
                <w:szCs w:val="22"/>
              </w:rPr>
            </w:pPr>
            <w:r w:rsidRPr="00CE5927">
              <w:rPr>
                <w:rFonts w:ascii="Tahoma" w:hAnsi="Tahoma" w:cs="Tahoma"/>
                <w:b/>
                <w:bCs/>
                <w:sz w:val="22"/>
                <w:szCs w:val="22"/>
              </w:rPr>
              <w:t>БЕСПЛАТНО</w:t>
            </w:r>
          </w:p>
        </w:tc>
      </w:tr>
      <w:tr w:rsidR="004E30AD" w:rsidRPr="00CE5927" w14:paraId="57243B67" w14:textId="77777777" w:rsidTr="0093383F">
        <w:trPr>
          <w:trHeight w:val="563"/>
        </w:trPr>
        <w:tc>
          <w:tcPr>
            <w:tcW w:w="298" w:type="pct"/>
            <w:gridSpan w:val="2"/>
            <w:tcBorders>
              <w:top w:val="nil"/>
              <w:left w:val="single" w:sz="4" w:space="0" w:color="auto"/>
              <w:bottom w:val="single" w:sz="4" w:space="0" w:color="auto"/>
              <w:right w:val="single" w:sz="4" w:space="0" w:color="auto"/>
            </w:tcBorders>
            <w:shd w:val="clear" w:color="auto" w:fill="auto"/>
            <w:vAlign w:val="center"/>
            <w:hideMark/>
          </w:tcPr>
          <w:p w14:paraId="429C0224" w14:textId="77777777" w:rsidR="004E30AD" w:rsidRPr="00CE5927" w:rsidRDefault="004E30AD" w:rsidP="0093383F">
            <w:pPr>
              <w:jc w:val="center"/>
              <w:rPr>
                <w:rFonts w:ascii="Tahoma" w:hAnsi="Tahoma" w:cs="Tahoma"/>
                <w:color w:val="000000"/>
                <w:sz w:val="22"/>
                <w:szCs w:val="22"/>
              </w:rPr>
            </w:pPr>
            <w:r w:rsidRPr="00CE5927">
              <w:rPr>
                <w:rFonts w:ascii="Tahoma" w:hAnsi="Tahoma" w:cs="Tahoma"/>
                <w:color w:val="000000"/>
                <w:sz w:val="22"/>
                <w:szCs w:val="22"/>
              </w:rPr>
              <w:t>10.</w:t>
            </w:r>
          </w:p>
        </w:tc>
        <w:tc>
          <w:tcPr>
            <w:tcW w:w="3196" w:type="pct"/>
            <w:tcBorders>
              <w:top w:val="nil"/>
              <w:left w:val="nil"/>
              <w:bottom w:val="single" w:sz="4" w:space="0" w:color="auto"/>
              <w:right w:val="single" w:sz="4" w:space="0" w:color="auto"/>
            </w:tcBorders>
            <w:shd w:val="clear" w:color="auto" w:fill="auto"/>
            <w:vAlign w:val="center"/>
            <w:hideMark/>
          </w:tcPr>
          <w:p w14:paraId="760AEEB9" w14:textId="77777777" w:rsidR="004E30AD" w:rsidRPr="00CE5927" w:rsidRDefault="004E30AD" w:rsidP="0093383F">
            <w:pPr>
              <w:rPr>
                <w:rFonts w:ascii="Tahoma" w:hAnsi="Tahoma" w:cs="Tahoma"/>
                <w:color w:val="000000"/>
                <w:sz w:val="22"/>
                <w:szCs w:val="22"/>
              </w:rPr>
            </w:pPr>
            <w:r w:rsidRPr="00CE5927">
              <w:rPr>
                <w:rFonts w:ascii="Tahoma" w:hAnsi="Tahoma" w:cs="Tahoma"/>
                <w:color w:val="000000"/>
                <w:sz w:val="22"/>
                <w:szCs w:val="22"/>
              </w:rPr>
              <w:t>Переводы в пользу телекоммуникационные услуги (Енисейтелеком, Байкалвестком, АКОС, Utel, НТВ+)</w:t>
            </w:r>
          </w:p>
        </w:tc>
        <w:tc>
          <w:tcPr>
            <w:tcW w:w="1506" w:type="pct"/>
            <w:tcBorders>
              <w:top w:val="nil"/>
              <w:left w:val="nil"/>
              <w:bottom w:val="single" w:sz="4" w:space="0" w:color="auto"/>
              <w:right w:val="single" w:sz="4" w:space="0" w:color="auto"/>
            </w:tcBorders>
            <w:shd w:val="clear" w:color="auto" w:fill="auto"/>
            <w:vAlign w:val="center"/>
            <w:hideMark/>
          </w:tcPr>
          <w:p w14:paraId="1C7532A2" w14:textId="77777777" w:rsidR="004E30AD" w:rsidRPr="00CE5927" w:rsidRDefault="004E30AD" w:rsidP="0093383F">
            <w:pPr>
              <w:jc w:val="center"/>
              <w:rPr>
                <w:rFonts w:ascii="Tahoma" w:hAnsi="Tahoma" w:cs="Tahoma"/>
                <w:sz w:val="22"/>
                <w:szCs w:val="22"/>
              </w:rPr>
            </w:pPr>
            <w:r w:rsidRPr="00CE5927">
              <w:rPr>
                <w:rFonts w:ascii="Tahoma" w:hAnsi="Tahoma" w:cs="Tahoma"/>
                <w:sz w:val="22"/>
                <w:szCs w:val="22"/>
              </w:rPr>
              <w:t>1%мин. 10 рублей</w:t>
            </w:r>
          </w:p>
        </w:tc>
      </w:tr>
      <w:tr w:rsidR="004E30AD" w:rsidRPr="00CE5927" w14:paraId="5D76E0ED" w14:textId="77777777" w:rsidTr="0093383F">
        <w:trPr>
          <w:trHeight w:val="301"/>
        </w:trPr>
        <w:tc>
          <w:tcPr>
            <w:tcW w:w="298" w:type="pct"/>
            <w:gridSpan w:val="2"/>
            <w:tcBorders>
              <w:top w:val="nil"/>
              <w:left w:val="single" w:sz="4" w:space="0" w:color="auto"/>
              <w:bottom w:val="single" w:sz="4" w:space="0" w:color="auto"/>
              <w:right w:val="single" w:sz="4" w:space="0" w:color="auto"/>
            </w:tcBorders>
            <w:shd w:val="clear" w:color="auto" w:fill="auto"/>
            <w:vAlign w:val="center"/>
            <w:hideMark/>
          </w:tcPr>
          <w:p w14:paraId="2407D45B" w14:textId="77777777" w:rsidR="004E30AD" w:rsidRPr="00CE5927" w:rsidRDefault="004E30AD" w:rsidP="0093383F">
            <w:pPr>
              <w:jc w:val="center"/>
              <w:rPr>
                <w:rFonts w:ascii="Tahoma" w:hAnsi="Tahoma" w:cs="Tahoma"/>
                <w:color w:val="000000"/>
                <w:sz w:val="22"/>
                <w:szCs w:val="22"/>
              </w:rPr>
            </w:pPr>
            <w:r w:rsidRPr="00CE5927">
              <w:rPr>
                <w:rFonts w:ascii="Tahoma" w:hAnsi="Tahoma" w:cs="Tahoma"/>
                <w:color w:val="000000"/>
                <w:sz w:val="22"/>
                <w:szCs w:val="22"/>
              </w:rPr>
              <w:t>11.</w:t>
            </w:r>
          </w:p>
        </w:tc>
        <w:tc>
          <w:tcPr>
            <w:tcW w:w="3196" w:type="pct"/>
            <w:tcBorders>
              <w:top w:val="nil"/>
              <w:left w:val="nil"/>
              <w:bottom w:val="single" w:sz="4" w:space="0" w:color="auto"/>
              <w:right w:val="single" w:sz="4" w:space="0" w:color="auto"/>
            </w:tcBorders>
            <w:shd w:val="clear" w:color="auto" w:fill="auto"/>
            <w:vAlign w:val="center"/>
            <w:hideMark/>
          </w:tcPr>
          <w:p w14:paraId="5B6A7D26" w14:textId="77777777" w:rsidR="004E30AD" w:rsidRPr="00CE5927" w:rsidRDefault="004E30AD" w:rsidP="0093383F">
            <w:pPr>
              <w:rPr>
                <w:rFonts w:ascii="Tahoma" w:hAnsi="Tahoma" w:cs="Tahoma"/>
                <w:color w:val="000000"/>
                <w:sz w:val="22"/>
                <w:szCs w:val="22"/>
              </w:rPr>
            </w:pPr>
            <w:r w:rsidRPr="00CE5927">
              <w:rPr>
                <w:rFonts w:ascii="Tahoma" w:hAnsi="Tahoma" w:cs="Tahoma"/>
                <w:color w:val="000000"/>
                <w:sz w:val="22"/>
                <w:szCs w:val="22"/>
              </w:rPr>
              <w:t>Переводы в пользу Avon</w:t>
            </w:r>
          </w:p>
        </w:tc>
        <w:tc>
          <w:tcPr>
            <w:tcW w:w="1506" w:type="pct"/>
            <w:tcBorders>
              <w:top w:val="nil"/>
              <w:left w:val="nil"/>
              <w:bottom w:val="single" w:sz="4" w:space="0" w:color="auto"/>
              <w:right w:val="single" w:sz="4" w:space="0" w:color="auto"/>
            </w:tcBorders>
            <w:shd w:val="clear" w:color="auto" w:fill="auto"/>
            <w:vAlign w:val="center"/>
            <w:hideMark/>
          </w:tcPr>
          <w:p w14:paraId="1F500FB2" w14:textId="77777777" w:rsidR="004E30AD" w:rsidRPr="00CE5927" w:rsidRDefault="004E30AD" w:rsidP="0093383F">
            <w:pPr>
              <w:jc w:val="center"/>
              <w:rPr>
                <w:rFonts w:ascii="Tahoma" w:hAnsi="Tahoma" w:cs="Tahoma"/>
                <w:sz w:val="22"/>
                <w:szCs w:val="22"/>
              </w:rPr>
            </w:pPr>
            <w:r w:rsidRPr="00CE5927">
              <w:rPr>
                <w:rFonts w:ascii="Tahoma" w:hAnsi="Tahoma" w:cs="Tahoma"/>
                <w:sz w:val="22"/>
                <w:szCs w:val="22"/>
              </w:rPr>
              <w:t>1,5%  мин. 10 рублей</w:t>
            </w:r>
          </w:p>
        </w:tc>
      </w:tr>
      <w:tr w:rsidR="004E30AD" w:rsidRPr="00CE5927" w14:paraId="5764F6FC" w14:textId="77777777" w:rsidTr="0093383F">
        <w:trPr>
          <w:trHeight w:val="436"/>
        </w:trPr>
        <w:tc>
          <w:tcPr>
            <w:tcW w:w="298" w:type="pct"/>
            <w:gridSpan w:val="2"/>
            <w:tcBorders>
              <w:top w:val="nil"/>
              <w:left w:val="single" w:sz="4" w:space="0" w:color="auto"/>
              <w:bottom w:val="single" w:sz="4" w:space="0" w:color="auto"/>
              <w:right w:val="single" w:sz="4" w:space="0" w:color="auto"/>
            </w:tcBorders>
            <w:shd w:val="clear" w:color="auto" w:fill="auto"/>
            <w:vAlign w:val="center"/>
            <w:hideMark/>
          </w:tcPr>
          <w:p w14:paraId="349FC5F4" w14:textId="77777777" w:rsidR="004E30AD" w:rsidRPr="00CE5927" w:rsidRDefault="004E30AD" w:rsidP="0093383F">
            <w:pPr>
              <w:jc w:val="center"/>
              <w:rPr>
                <w:rFonts w:ascii="Tahoma" w:hAnsi="Tahoma" w:cs="Tahoma"/>
                <w:color w:val="000000"/>
                <w:sz w:val="22"/>
                <w:szCs w:val="22"/>
              </w:rPr>
            </w:pPr>
            <w:r w:rsidRPr="00CE5927">
              <w:rPr>
                <w:rFonts w:ascii="Tahoma" w:hAnsi="Tahoma" w:cs="Tahoma"/>
                <w:color w:val="000000"/>
                <w:sz w:val="22"/>
                <w:szCs w:val="22"/>
              </w:rPr>
              <w:t>12.</w:t>
            </w:r>
          </w:p>
        </w:tc>
        <w:tc>
          <w:tcPr>
            <w:tcW w:w="3196" w:type="pct"/>
            <w:tcBorders>
              <w:top w:val="nil"/>
              <w:left w:val="nil"/>
              <w:bottom w:val="single" w:sz="4" w:space="0" w:color="auto"/>
              <w:right w:val="single" w:sz="4" w:space="0" w:color="auto"/>
            </w:tcBorders>
            <w:shd w:val="clear" w:color="auto" w:fill="auto"/>
            <w:vAlign w:val="center"/>
            <w:hideMark/>
          </w:tcPr>
          <w:p w14:paraId="707A0405" w14:textId="77777777" w:rsidR="004E30AD" w:rsidRPr="00CE5927" w:rsidRDefault="004E30AD" w:rsidP="0093383F">
            <w:pPr>
              <w:rPr>
                <w:rFonts w:ascii="Tahoma" w:hAnsi="Tahoma" w:cs="Tahoma"/>
                <w:color w:val="000000"/>
                <w:sz w:val="22"/>
                <w:szCs w:val="22"/>
              </w:rPr>
            </w:pPr>
            <w:r w:rsidRPr="00CE5927">
              <w:rPr>
                <w:rFonts w:ascii="Tahoma" w:hAnsi="Tahoma" w:cs="Tahoma"/>
                <w:color w:val="000000"/>
                <w:sz w:val="22"/>
                <w:szCs w:val="22"/>
              </w:rPr>
              <w:t>Переводы в пользу поставщиков услуг (Якутскэнерго, Сахалинэнерго, Читинская энергосбытовая компания)</w:t>
            </w:r>
          </w:p>
        </w:tc>
        <w:tc>
          <w:tcPr>
            <w:tcW w:w="1506" w:type="pct"/>
            <w:tcBorders>
              <w:top w:val="nil"/>
              <w:left w:val="nil"/>
              <w:bottom w:val="single" w:sz="4" w:space="0" w:color="auto"/>
              <w:right w:val="single" w:sz="4" w:space="0" w:color="auto"/>
            </w:tcBorders>
            <w:shd w:val="clear" w:color="auto" w:fill="auto"/>
            <w:vAlign w:val="center"/>
            <w:hideMark/>
          </w:tcPr>
          <w:p w14:paraId="13F9209E" w14:textId="77777777" w:rsidR="004E30AD" w:rsidRPr="00CE5927" w:rsidRDefault="004E30AD" w:rsidP="0093383F">
            <w:pPr>
              <w:jc w:val="center"/>
              <w:rPr>
                <w:rFonts w:ascii="Tahoma" w:hAnsi="Tahoma" w:cs="Tahoma"/>
                <w:b/>
                <w:bCs/>
                <w:sz w:val="22"/>
                <w:szCs w:val="22"/>
              </w:rPr>
            </w:pPr>
            <w:r w:rsidRPr="00CE5927">
              <w:rPr>
                <w:rFonts w:ascii="Tahoma" w:hAnsi="Tahoma" w:cs="Tahoma"/>
                <w:b/>
                <w:bCs/>
                <w:sz w:val="22"/>
                <w:szCs w:val="22"/>
              </w:rPr>
              <w:t>БЕСПЛАТНО</w:t>
            </w:r>
          </w:p>
        </w:tc>
      </w:tr>
      <w:tr w:rsidR="004E30AD" w:rsidRPr="00CE5927" w14:paraId="3099032F" w14:textId="77777777" w:rsidTr="0093383F">
        <w:trPr>
          <w:trHeight w:val="255"/>
        </w:trPr>
        <w:tc>
          <w:tcPr>
            <w:tcW w:w="5000" w:type="pct"/>
            <w:gridSpan w:val="4"/>
            <w:tcBorders>
              <w:top w:val="single" w:sz="4" w:space="0" w:color="auto"/>
              <w:left w:val="nil"/>
              <w:bottom w:val="nil"/>
              <w:right w:val="nil"/>
            </w:tcBorders>
            <w:shd w:val="clear" w:color="auto" w:fill="auto"/>
            <w:vAlign w:val="center"/>
            <w:hideMark/>
          </w:tcPr>
          <w:p w14:paraId="5763F41E" w14:textId="77777777" w:rsidR="004E30AD" w:rsidRPr="00CE5927" w:rsidRDefault="004E30AD" w:rsidP="0093383F">
            <w:pPr>
              <w:rPr>
                <w:rFonts w:ascii="Tahoma" w:hAnsi="Tahoma" w:cs="Tahoma"/>
                <w:b/>
                <w:bCs/>
                <w:sz w:val="22"/>
                <w:szCs w:val="22"/>
              </w:rPr>
            </w:pPr>
            <w:r w:rsidRPr="00CE5927">
              <w:rPr>
                <w:rFonts w:ascii="Tahoma" w:hAnsi="Tahoma" w:cs="Tahoma"/>
                <w:b/>
                <w:bCs/>
                <w:sz w:val="22"/>
                <w:szCs w:val="22"/>
              </w:rPr>
              <w:t>Примечания:</w:t>
            </w:r>
          </w:p>
        </w:tc>
      </w:tr>
      <w:tr w:rsidR="004E30AD" w:rsidRPr="00CE5927" w14:paraId="3E3518DE" w14:textId="77777777" w:rsidTr="0093383F">
        <w:tblPrEx>
          <w:tblCellMar>
            <w:left w:w="0" w:type="dxa"/>
            <w:right w:w="0" w:type="dxa"/>
          </w:tblCellMar>
        </w:tblPrEx>
        <w:trPr>
          <w:gridBefore w:val="1"/>
          <w:wBefore w:w="30" w:type="pct"/>
          <w:trHeight w:val="133"/>
        </w:trPr>
        <w:tc>
          <w:tcPr>
            <w:tcW w:w="4970" w:type="pct"/>
            <w:gridSpan w:val="3"/>
            <w:tcMar>
              <w:top w:w="0" w:type="dxa"/>
              <w:left w:w="108" w:type="dxa"/>
              <w:bottom w:w="0" w:type="dxa"/>
              <w:right w:w="108" w:type="dxa"/>
            </w:tcMar>
            <w:vAlign w:val="center"/>
            <w:hideMark/>
          </w:tcPr>
          <w:p w14:paraId="791BE535" w14:textId="77777777" w:rsidR="004E30AD" w:rsidRPr="00CE5927" w:rsidRDefault="004E30AD" w:rsidP="0093383F">
            <w:pPr>
              <w:rPr>
                <w:rFonts w:ascii="Tahoma" w:hAnsi="Tahoma" w:cs="Tahoma"/>
                <w:color w:val="000000"/>
                <w:sz w:val="22"/>
                <w:szCs w:val="22"/>
              </w:rPr>
            </w:pPr>
            <w:r w:rsidRPr="00CE5927">
              <w:rPr>
                <w:rFonts w:ascii="Tahoma" w:hAnsi="Tahoma" w:cs="Tahoma"/>
                <w:color w:val="000000"/>
                <w:sz w:val="22"/>
                <w:szCs w:val="22"/>
              </w:rPr>
              <w:t>«Райффайзенбанк» и кредитных договоров, право на получение исполнения по которым приобретено Банком на основании договора купли-продажи закладных у АО «Райффайзенбанк», операции по которым производятся Бесплатно</w:t>
            </w:r>
          </w:p>
        </w:tc>
      </w:tr>
      <w:tr w:rsidR="004E30AD" w:rsidRPr="00CE5927" w14:paraId="4315E99A" w14:textId="77777777" w:rsidTr="0093383F">
        <w:tblPrEx>
          <w:tblCellMar>
            <w:left w:w="0" w:type="dxa"/>
            <w:right w:w="0" w:type="dxa"/>
          </w:tblCellMar>
        </w:tblPrEx>
        <w:trPr>
          <w:gridBefore w:val="1"/>
          <w:wBefore w:w="30" w:type="pct"/>
          <w:trHeight w:val="92"/>
        </w:trPr>
        <w:tc>
          <w:tcPr>
            <w:tcW w:w="4970" w:type="pct"/>
            <w:gridSpan w:val="3"/>
            <w:tcMar>
              <w:top w:w="0" w:type="dxa"/>
              <w:left w:w="108" w:type="dxa"/>
              <w:bottom w:w="0" w:type="dxa"/>
              <w:right w:w="108" w:type="dxa"/>
            </w:tcMar>
            <w:vAlign w:val="center"/>
            <w:hideMark/>
          </w:tcPr>
          <w:p w14:paraId="1607C4CF" w14:textId="77777777" w:rsidR="004E30AD" w:rsidRPr="00CE5927" w:rsidRDefault="004E30AD" w:rsidP="0093383F">
            <w:pPr>
              <w:rPr>
                <w:rFonts w:ascii="Tahoma" w:hAnsi="Tahoma" w:cs="Tahoma"/>
                <w:color w:val="000000"/>
                <w:sz w:val="22"/>
                <w:szCs w:val="22"/>
              </w:rPr>
            </w:pPr>
            <w:r w:rsidRPr="00CE5927">
              <w:rPr>
                <w:rFonts w:ascii="Tahoma" w:hAnsi="Tahoma" w:cs="Tahoma"/>
                <w:color w:val="000000"/>
                <w:sz w:val="22"/>
                <w:szCs w:val="22"/>
                <w:vertAlign w:val="superscript"/>
              </w:rPr>
              <w:t>2</w:t>
            </w:r>
            <w:r w:rsidRPr="00CE5927">
              <w:rPr>
                <w:rFonts w:ascii="Tahoma" w:hAnsi="Tahoma" w:cs="Tahoma"/>
                <w:color w:val="000000"/>
                <w:sz w:val="22"/>
                <w:szCs w:val="22"/>
              </w:rPr>
              <w:t xml:space="preserve"> минимальная сумма платежа 60 рублей</w:t>
            </w:r>
          </w:p>
        </w:tc>
      </w:tr>
      <w:tr w:rsidR="004E30AD" w:rsidRPr="00CE5927" w14:paraId="44AF45F2" w14:textId="77777777" w:rsidTr="0093383F">
        <w:tblPrEx>
          <w:tblCellMar>
            <w:left w:w="0" w:type="dxa"/>
            <w:right w:w="0" w:type="dxa"/>
          </w:tblCellMar>
        </w:tblPrEx>
        <w:trPr>
          <w:gridBefore w:val="1"/>
          <w:wBefore w:w="30" w:type="pct"/>
          <w:trHeight w:val="66"/>
        </w:trPr>
        <w:tc>
          <w:tcPr>
            <w:tcW w:w="4970" w:type="pct"/>
            <w:gridSpan w:val="3"/>
            <w:tcMar>
              <w:top w:w="0" w:type="dxa"/>
              <w:left w:w="108" w:type="dxa"/>
              <w:bottom w:w="0" w:type="dxa"/>
              <w:right w:w="108" w:type="dxa"/>
            </w:tcMar>
            <w:vAlign w:val="center"/>
            <w:hideMark/>
          </w:tcPr>
          <w:p w14:paraId="3AAF9FD3" w14:textId="77777777" w:rsidR="004E30AD" w:rsidRDefault="004E30AD" w:rsidP="0093383F">
            <w:pPr>
              <w:rPr>
                <w:rFonts w:ascii="Tahoma" w:hAnsi="Tahoma" w:cs="Tahoma"/>
                <w:color w:val="000000"/>
                <w:sz w:val="22"/>
                <w:szCs w:val="22"/>
              </w:rPr>
            </w:pPr>
            <w:r w:rsidRPr="00CE5927">
              <w:rPr>
                <w:rFonts w:ascii="Tahoma" w:hAnsi="Tahoma" w:cs="Tahoma"/>
                <w:color w:val="000000"/>
                <w:sz w:val="22"/>
                <w:szCs w:val="22"/>
                <w:vertAlign w:val="superscript"/>
              </w:rPr>
              <w:t xml:space="preserve">3 </w:t>
            </w:r>
            <w:r w:rsidRPr="00CE5927">
              <w:rPr>
                <w:rFonts w:ascii="Tahoma" w:hAnsi="Tahoma" w:cs="Tahoma"/>
                <w:color w:val="000000"/>
                <w:sz w:val="22"/>
                <w:szCs w:val="22"/>
              </w:rPr>
              <w:t>кроме операторов Скайлинк Екатеринбург, Калуга, Новосибирск, Северо-Запад</w:t>
            </w:r>
          </w:p>
          <w:p w14:paraId="7E93242F" w14:textId="77777777" w:rsidR="004E30AD" w:rsidRDefault="004E30AD" w:rsidP="0093383F">
            <w:pPr>
              <w:rPr>
                <w:rFonts w:ascii="Tahoma" w:hAnsi="Tahoma" w:cs="Tahoma"/>
                <w:color w:val="000000"/>
                <w:sz w:val="22"/>
                <w:szCs w:val="22"/>
              </w:rPr>
            </w:pPr>
          </w:p>
          <w:p w14:paraId="4BD1A4E2" w14:textId="77777777" w:rsidR="004E30AD" w:rsidRPr="00CE5927" w:rsidRDefault="004E30AD" w:rsidP="0093383F">
            <w:pPr>
              <w:rPr>
                <w:rFonts w:ascii="Tahoma" w:hAnsi="Tahoma" w:cs="Tahoma"/>
                <w:color w:val="000000"/>
                <w:sz w:val="22"/>
                <w:szCs w:val="22"/>
              </w:rPr>
            </w:pPr>
          </w:p>
        </w:tc>
      </w:tr>
    </w:tbl>
    <w:p w14:paraId="131B3892" w14:textId="77777777" w:rsidR="004E30AD" w:rsidRDefault="004E30AD" w:rsidP="004E30AD">
      <w:pPr>
        <w:pStyle w:val="1"/>
        <w:numPr>
          <w:ilvl w:val="0"/>
          <w:numId w:val="0"/>
        </w:numPr>
        <w:rPr>
          <w:rFonts w:ascii="Tahoma" w:hAnsi="Tahoma" w:cs="Tahoma"/>
          <w:noProof/>
          <w:sz w:val="28"/>
          <w:szCs w:val="28"/>
          <w:lang w:val="ru-RU"/>
        </w:rPr>
      </w:pPr>
      <w:bookmarkStart w:id="143" w:name="_Toc346615366"/>
    </w:p>
    <w:p w14:paraId="165602D9" w14:textId="77777777" w:rsidR="004E30AD" w:rsidRPr="00CE5927" w:rsidRDefault="004E30AD" w:rsidP="000B3718">
      <w:pPr>
        <w:pStyle w:val="a5"/>
        <w:rPr>
          <w:noProof/>
        </w:rPr>
      </w:pPr>
      <w:r>
        <w:rPr>
          <w:noProof/>
          <w:lang w:val="ru-RU"/>
        </w:rPr>
        <w:t>7</w:t>
      </w:r>
      <w:r w:rsidRPr="00CE5927">
        <w:rPr>
          <w:noProof/>
        </w:rPr>
        <w:t>. Расчетно-кассовое обслуживание юридических лиц и индивидуальных предпринимателей в валюте РФ и иностранной валюте для Амурской области</w:t>
      </w:r>
      <w:bookmarkEnd w:id="143"/>
    </w:p>
    <w:p w14:paraId="7CB7EF15" w14:textId="77777777" w:rsidR="004E30AD" w:rsidRPr="00CE5927" w:rsidRDefault="004E30AD" w:rsidP="004E30AD">
      <w:pPr>
        <w:pStyle w:val="ConsPlusNormal"/>
        <w:ind w:firstLine="0"/>
        <w:rPr>
          <w:rFonts w:ascii="Tahoma" w:hAnsi="Tahoma" w:cs="Tahoma"/>
          <w:b/>
          <w:sz w:val="18"/>
          <w:szCs w:val="18"/>
        </w:rPr>
      </w:pPr>
    </w:p>
    <w:p w14:paraId="375BF7EF" w14:textId="77777777" w:rsidR="004E30AD" w:rsidRPr="00CE5927" w:rsidRDefault="004E30AD" w:rsidP="004E30AD">
      <w:pPr>
        <w:pStyle w:val="1"/>
        <w:numPr>
          <w:ilvl w:val="0"/>
          <w:numId w:val="0"/>
        </w:numPr>
        <w:rPr>
          <w:rFonts w:ascii="Tahoma" w:hAnsi="Tahoma" w:cs="Tahoma"/>
          <w:b w:val="0"/>
          <w:noProof/>
          <w:sz w:val="20"/>
          <w:szCs w:val="20"/>
          <w:lang w:val="ru-RU"/>
        </w:rPr>
      </w:pPr>
      <w:bookmarkStart w:id="144" w:name="_Toc191284569"/>
      <w:r w:rsidRPr="00CE5927">
        <w:rPr>
          <w:rFonts w:ascii="Tahoma" w:hAnsi="Tahoma" w:cs="Tahoma"/>
          <w:b w:val="0"/>
          <w:noProof/>
          <w:sz w:val="20"/>
          <w:szCs w:val="20"/>
          <w:lang w:val="ru-RU"/>
        </w:rPr>
        <w:t>см. Сборник тарифов на сайте Банка</w:t>
      </w:r>
      <w:bookmarkEnd w:id="144"/>
    </w:p>
    <w:p w14:paraId="5E4356AD" w14:textId="77777777" w:rsidR="004E30AD" w:rsidRPr="00CE5927" w:rsidRDefault="004E30AD" w:rsidP="004E30AD">
      <w:pPr>
        <w:rPr>
          <w:rFonts w:ascii="Tahoma" w:hAnsi="Tahoma" w:cs="Tahoma"/>
          <w:lang w:eastAsia="x-none"/>
        </w:rPr>
      </w:pPr>
    </w:p>
    <w:p w14:paraId="5861164B" w14:textId="77777777" w:rsidR="004E30AD" w:rsidRPr="00CE5927" w:rsidRDefault="004E30AD" w:rsidP="000B3718">
      <w:pPr>
        <w:pStyle w:val="a5"/>
        <w:rPr>
          <w:noProof/>
          <w:lang w:val="ru-RU"/>
        </w:rPr>
      </w:pPr>
      <w:bookmarkStart w:id="145" w:name="_Toc346615367"/>
      <w:r>
        <w:rPr>
          <w:noProof/>
          <w:lang w:val="ru-RU"/>
        </w:rPr>
        <w:t>8</w:t>
      </w:r>
      <w:r w:rsidRPr="00CE5927">
        <w:rPr>
          <w:noProof/>
        </w:rPr>
        <w:t xml:space="preserve">. Расчетно-кассовое обслуживание юридических лиц и индивидуальных предпринимателей в валюте РФ и иностранной валюте для </w:t>
      </w:r>
      <w:r w:rsidRPr="00CE5927">
        <w:rPr>
          <w:noProof/>
          <w:lang w:val="ru-RU"/>
        </w:rPr>
        <w:t>Филиалов/ ОО Банка</w:t>
      </w:r>
      <w:bookmarkEnd w:id="145"/>
    </w:p>
    <w:p w14:paraId="1FA12738" w14:textId="77777777" w:rsidR="004E30AD" w:rsidRPr="00CE5927" w:rsidRDefault="004E30AD" w:rsidP="004E30AD">
      <w:pPr>
        <w:pStyle w:val="1"/>
        <w:numPr>
          <w:ilvl w:val="0"/>
          <w:numId w:val="0"/>
        </w:numPr>
        <w:rPr>
          <w:rFonts w:ascii="Tahoma" w:hAnsi="Tahoma" w:cs="Tahoma"/>
          <w:i/>
          <w:noProof/>
          <w:sz w:val="24"/>
          <w:lang w:val="ru-RU"/>
        </w:rPr>
      </w:pPr>
    </w:p>
    <w:p w14:paraId="046A5F5F" w14:textId="77777777" w:rsidR="004E30AD" w:rsidRPr="00CE5927" w:rsidRDefault="004E30AD" w:rsidP="004E30AD">
      <w:pPr>
        <w:pStyle w:val="1"/>
        <w:numPr>
          <w:ilvl w:val="0"/>
          <w:numId w:val="0"/>
        </w:numPr>
        <w:rPr>
          <w:rFonts w:ascii="Tahoma" w:hAnsi="Tahoma" w:cs="Tahoma"/>
          <w:b w:val="0"/>
          <w:noProof/>
          <w:sz w:val="20"/>
          <w:szCs w:val="20"/>
          <w:lang w:val="ru-RU"/>
        </w:rPr>
      </w:pPr>
      <w:bookmarkStart w:id="146" w:name="_Toc191284570"/>
      <w:r w:rsidRPr="00CE5927">
        <w:rPr>
          <w:rFonts w:ascii="Tahoma" w:hAnsi="Tahoma" w:cs="Tahoma"/>
          <w:b w:val="0"/>
          <w:noProof/>
          <w:sz w:val="20"/>
          <w:szCs w:val="20"/>
          <w:lang w:val="ru-RU"/>
        </w:rPr>
        <w:t>см. Сборник тарифов на сайте Банка</w:t>
      </w:r>
      <w:bookmarkEnd w:id="146"/>
    </w:p>
    <w:p w14:paraId="7FD972AF" w14:textId="77777777" w:rsidR="004E30AD" w:rsidRPr="00CE5927" w:rsidRDefault="004E30AD" w:rsidP="000B3718">
      <w:pPr>
        <w:pStyle w:val="a5"/>
      </w:pPr>
    </w:p>
    <w:p w14:paraId="5411A619" w14:textId="77777777" w:rsidR="004E30AD" w:rsidRPr="00CE5927" w:rsidRDefault="004E30AD" w:rsidP="000B3718">
      <w:pPr>
        <w:pStyle w:val="a5"/>
        <w:rPr>
          <w:b/>
          <w:i/>
          <w:iCs/>
          <w:sz w:val="20"/>
          <w:szCs w:val="20"/>
        </w:rPr>
      </w:pPr>
      <w:r>
        <w:rPr>
          <w:b/>
          <w:noProof/>
          <w:szCs w:val="28"/>
        </w:rPr>
        <w:t>9</w:t>
      </w:r>
      <w:r w:rsidRPr="00CE5927">
        <w:rPr>
          <w:b/>
          <w:noProof/>
          <w:szCs w:val="28"/>
        </w:rPr>
        <w:t>. Тарифы по кредитованию юридических лиц и индивидуальных предпринимателей.</w:t>
      </w:r>
    </w:p>
    <w:p w14:paraId="441DF71B" w14:textId="77777777" w:rsidR="004E30AD" w:rsidRPr="00CE5927" w:rsidRDefault="004E30AD" w:rsidP="000B3718">
      <w:pPr>
        <w:pStyle w:val="a5"/>
        <w:rPr>
          <w:b/>
          <w:noProof/>
          <w:szCs w:val="28"/>
        </w:rPr>
      </w:pPr>
      <w:r w:rsidRPr="00CE5927">
        <w:rPr>
          <w:b/>
          <w:noProof/>
          <w:szCs w:val="28"/>
        </w:rPr>
        <w:t>Комиссия за изменение условий договора.</w:t>
      </w:r>
    </w:p>
    <w:p w14:paraId="4C9DA179" w14:textId="77777777" w:rsidR="004E30AD" w:rsidRDefault="004E30AD" w:rsidP="004E30AD">
      <w:pPr>
        <w:pStyle w:val="1"/>
        <w:numPr>
          <w:ilvl w:val="0"/>
          <w:numId w:val="0"/>
        </w:numPr>
        <w:rPr>
          <w:rFonts w:ascii="Tahoma" w:hAnsi="Tahoma" w:cs="Tahoma"/>
          <w:b w:val="0"/>
          <w:noProof/>
          <w:sz w:val="20"/>
          <w:szCs w:val="20"/>
          <w:lang w:val="ru-RU"/>
        </w:rPr>
      </w:pPr>
      <w:bookmarkStart w:id="147" w:name="_Toc191284571"/>
      <w:r w:rsidRPr="00CE5927">
        <w:rPr>
          <w:rFonts w:ascii="Tahoma" w:hAnsi="Tahoma" w:cs="Tahoma"/>
          <w:b w:val="0"/>
          <w:noProof/>
          <w:sz w:val="20"/>
          <w:szCs w:val="20"/>
          <w:lang w:val="ru-RU"/>
        </w:rPr>
        <w:t>см. тарифы на сайте Банка</w:t>
      </w:r>
      <w:bookmarkEnd w:id="147"/>
    </w:p>
    <w:p w14:paraId="5648708E" w14:textId="77777777" w:rsidR="004E30AD" w:rsidRDefault="004E30AD" w:rsidP="004E30AD">
      <w:pPr>
        <w:rPr>
          <w:lang w:eastAsia="x-none"/>
        </w:rPr>
      </w:pPr>
    </w:p>
    <w:p w14:paraId="3412CA02" w14:textId="77777777" w:rsidR="004E30AD" w:rsidRPr="00363142" w:rsidRDefault="004E30AD" w:rsidP="000B3718">
      <w:pPr>
        <w:pStyle w:val="a5"/>
        <w:rPr>
          <w:noProof/>
        </w:rPr>
      </w:pPr>
      <w:r>
        <w:rPr>
          <w:noProof/>
        </w:rPr>
        <w:t>10</w:t>
      </w:r>
      <w:r w:rsidRPr="00363142">
        <w:rPr>
          <w:noProof/>
        </w:rPr>
        <w:t>. Электронное взаимодействие</w:t>
      </w:r>
    </w:p>
    <w:p w14:paraId="4FDC8112" w14:textId="77777777" w:rsidR="004E30AD" w:rsidRPr="00363142" w:rsidRDefault="004E30AD" w:rsidP="004E30AD">
      <w:pPr>
        <w:widowControl w:val="0"/>
        <w:autoSpaceDE w:val="0"/>
        <w:autoSpaceDN w:val="0"/>
        <w:adjustRightInd w:val="0"/>
        <w:outlineLvl w:val="0"/>
        <w:rPr>
          <w:rFonts w:ascii="Tahoma" w:hAnsi="Tahoma" w:cs="Tahoma"/>
          <w:b/>
        </w:rPr>
      </w:pPr>
    </w:p>
    <w:p w14:paraId="576FFE3E" w14:textId="77777777" w:rsidR="00857CC3" w:rsidRPr="00363142" w:rsidRDefault="00857CC3" w:rsidP="00857CC3">
      <w:pPr>
        <w:widowControl w:val="0"/>
        <w:autoSpaceDE w:val="0"/>
        <w:autoSpaceDN w:val="0"/>
        <w:adjustRightInd w:val="0"/>
        <w:rPr>
          <w:rFonts w:ascii="Tahoma" w:hAnsi="Tahoma" w:cs="Tahoma"/>
          <w:vanish/>
          <w:color w:val="000000"/>
        </w:rPr>
      </w:pPr>
    </w:p>
    <w:tbl>
      <w:tblPr>
        <w:tblW w:w="1559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55"/>
        <w:gridCol w:w="7938"/>
      </w:tblGrid>
      <w:tr w:rsidR="00857CC3" w:rsidRPr="00363142" w14:paraId="6B38EE6C" w14:textId="77777777" w:rsidTr="00161841">
        <w:trPr>
          <w:trHeight w:val="150"/>
        </w:trPr>
        <w:tc>
          <w:tcPr>
            <w:tcW w:w="7655" w:type="dxa"/>
            <w:shd w:val="clear" w:color="auto" w:fill="BFBFBF" w:themeFill="background1" w:themeFillShade="BF"/>
          </w:tcPr>
          <w:p w14:paraId="7E79694F" w14:textId="77777777" w:rsidR="00857CC3" w:rsidRPr="00363142" w:rsidRDefault="00857CC3" w:rsidP="00161841">
            <w:pPr>
              <w:widowControl w:val="0"/>
              <w:autoSpaceDE w:val="0"/>
              <w:autoSpaceDN w:val="0"/>
              <w:adjustRightInd w:val="0"/>
              <w:rPr>
                <w:rFonts w:ascii="Tahoma" w:hAnsi="Tahoma" w:cs="Tahoma"/>
                <w:b/>
                <w:bCs/>
                <w:color w:val="000000"/>
                <w:sz w:val="20"/>
                <w:szCs w:val="22"/>
              </w:rPr>
            </w:pPr>
            <w:r w:rsidRPr="00363142">
              <w:rPr>
                <w:rFonts w:ascii="Tahoma" w:hAnsi="Tahoma" w:cs="Tahoma"/>
                <w:color w:val="000000"/>
                <w:sz w:val="20"/>
                <w:szCs w:val="22"/>
              </w:rPr>
              <w:br w:type="page"/>
            </w:r>
            <w:r w:rsidRPr="00363142">
              <w:rPr>
                <w:rFonts w:ascii="Tahoma" w:hAnsi="Tahoma" w:cs="Tahoma"/>
                <w:b/>
                <w:color w:val="000000"/>
                <w:sz w:val="20"/>
                <w:szCs w:val="22"/>
              </w:rPr>
              <w:t>Услуга</w:t>
            </w:r>
          </w:p>
        </w:tc>
        <w:tc>
          <w:tcPr>
            <w:tcW w:w="7938" w:type="dxa"/>
            <w:shd w:val="clear" w:color="auto" w:fill="BFBFBF" w:themeFill="background1" w:themeFillShade="BF"/>
          </w:tcPr>
          <w:p w14:paraId="12CA0545" w14:textId="77777777" w:rsidR="00857CC3" w:rsidRPr="00363142" w:rsidRDefault="00857CC3" w:rsidP="00161841">
            <w:pPr>
              <w:widowControl w:val="0"/>
              <w:autoSpaceDE w:val="0"/>
              <w:autoSpaceDN w:val="0"/>
              <w:adjustRightInd w:val="0"/>
              <w:rPr>
                <w:rFonts w:ascii="Tahoma" w:hAnsi="Tahoma" w:cs="Tahoma"/>
                <w:b/>
                <w:bCs/>
                <w:color w:val="000000"/>
                <w:sz w:val="20"/>
                <w:szCs w:val="22"/>
              </w:rPr>
            </w:pPr>
            <w:r w:rsidRPr="00363142">
              <w:rPr>
                <w:rFonts w:ascii="Tahoma" w:hAnsi="Tahoma" w:cs="Tahoma"/>
                <w:b/>
                <w:bCs/>
                <w:color w:val="000000"/>
                <w:sz w:val="20"/>
                <w:szCs w:val="22"/>
              </w:rPr>
              <w:t>Расчет платежа</w:t>
            </w:r>
          </w:p>
        </w:tc>
      </w:tr>
      <w:tr w:rsidR="00857CC3" w:rsidRPr="00363142" w14:paraId="678A33BC" w14:textId="77777777" w:rsidTr="00161841">
        <w:trPr>
          <w:trHeight w:val="169"/>
        </w:trPr>
        <w:tc>
          <w:tcPr>
            <w:tcW w:w="7655" w:type="dxa"/>
            <w:shd w:val="clear" w:color="auto" w:fill="auto"/>
          </w:tcPr>
          <w:p w14:paraId="021F9495" w14:textId="77777777" w:rsidR="00857CC3" w:rsidRPr="00363142" w:rsidRDefault="00857CC3" w:rsidP="00161841">
            <w:pPr>
              <w:keepNext/>
              <w:keepLines/>
              <w:widowControl w:val="0"/>
              <w:autoSpaceDE w:val="0"/>
              <w:autoSpaceDN w:val="0"/>
              <w:adjustRightInd w:val="0"/>
              <w:outlineLvl w:val="8"/>
              <w:rPr>
                <w:rFonts w:ascii="Tahoma" w:hAnsi="Tahoma" w:cs="Tahoma"/>
                <w:sz w:val="20"/>
                <w:szCs w:val="22"/>
              </w:rPr>
            </w:pPr>
            <w:r w:rsidRPr="00363142">
              <w:rPr>
                <w:rFonts w:ascii="Tahoma" w:hAnsi="Tahoma" w:cs="Tahoma"/>
                <w:sz w:val="20"/>
                <w:szCs w:val="22"/>
              </w:rPr>
              <w:t>Предлагаемый платеж для юридических лиц (ЮЛ), индивидуальных предпринимателей (ИП), физических лиц (ФЛ) за содействие  в электронной регистрации** обременения недвижимости/содействие в электронной регистрации** иных юридически значимых действий в Едином государственном реестре недвижиности (ЕГРН) (обеспечение Банком электронно-технического взаимодействия)*</w:t>
            </w:r>
          </w:p>
          <w:p w14:paraId="1093C89C" w14:textId="77777777" w:rsidR="00857CC3" w:rsidRPr="00363142" w:rsidRDefault="00857CC3" w:rsidP="00161841">
            <w:pPr>
              <w:keepNext/>
              <w:keepLines/>
              <w:widowControl w:val="0"/>
              <w:autoSpaceDE w:val="0"/>
              <w:autoSpaceDN w:val="0"/>
              <w:adjustRightInd w:val="0"/>
              <w:outlineLvl w:val="8"/>
              <w:rPr>
                <w:rFonts w:ascii="Tahoma" w:hAnsi="Tahoma" w:cs="Tahoma"/>
                <w:sz w:val="20"/>
                <w:szCs w:val="22"/>
              </w:rPr>
            </w:pPr>
          </w:p>
          <w:p w14:paraId="1083D029" w14:textId="77777777" w:rsidR="00857CC3" w:rsidRPr="00363142" w:rsidRDefault="00857CC3" w:rsidP="00161841">
            <w:pPr>
              <w:keepNext/>
              <w:keepLines/>
              <w:widowControl w:val="0"/>
              <w:autoSpaceDE w:val="0"/>
              <w:autoSpaceDN w:val="0"/>
              <w:adjustRightInd w:val="0"/>
              <w:outlineLvl w:val="8"/>
              <w:rPr>
                <w:rFonts w:ascii="Tahoma" w:hAnsi="Tahoma" w:cs="Tahoma"/>
                <w:b/>
                <w:bCs/>
                <w:color w:val="000000"/>
                <w:sz w:val="20"/>
                <w:szCs w:val="22"/>
              </w:rPr>
            </w:pPr>
            <w:r w:rsidRPr="00363142">
              <w:rPr>
                <w:rFonts w:ascii="Tahoma" w:hAnsi="Tahoma" w:cs="Tahoma"/>
                <w:sz w:val="20"/>
                <w:szCs w:val="22"/>
              </w:rPr>
              <w:t>* Уплачивается лицом (ЮЛ/ИП/ФЛ)  в случае выражения им волеизъявления на оказание данной услуги.</w:t>
            </w:r>
          </w:p>
        </w:tc>
        <w:tc>
          <w:tcPr>
            <w:tcW w:w="7938" w:type="dxa"/>
            <w:shd w:val="clear" w:color="auto" w:fill="auto"/>
          </w:tcPr>
          <w:p w14:paraId="2BD563F3" w14:textId="77777777" w:rsidR="00857CC3" w:rsidRPr="00363142" w:rsidRDefault="00857CC3" w:rsidP="00161841">
            <w:pPr>
              <w:widowControl w:val="0"/>
              <w:autoSpaceDE w:val="0"/>
              <w:autoSpaceDN w:val="0"/>
              <w:adjustRightInd w:val="0"/>
              <w:rPr>
                <w:rFonts w:ascii="Tahoma" w:hAnsi="Tahoma" w:cs="Tahoma"/>
                <w:sz w:val="20"/>
                <w:szCs w:val="22"/>
              </w:rPr>
            </w:pPr>
            <w:r w:rsidRPr="00363142">
              <w:rPr>
                <w:rFonts w:ascii="Tahoma" w:hAnsi="Tahoma" w:cs="Tahoma"/>
                <w:sz w:val="20"/>
                <w:szCs w:val="22"/>
              </w:rPr>
              <w:t>Рассчитывается исходя из следующих параметров:</w:t>
            </w:r>
          </w:p>
          <w:p w14:paraId="34683DD1" w14:textId="77777777" w:rsidR="00857CC3" w:rsidRPr="00363142" w:rsidRDefault="00857CC3" w:rsidP="00EB4F4C">
            <w:pPr>
              <w:widowControl w:val="0"/>
              <w:numPr>
                <w:ilvl w:val="0"/>
                <w:numId w:val="58"/>
              </w:numPr>
              <w:autoSpaceDE w:val="0"/>
              <w:autoSpaceDN w:val="0"/>
              <w:adjustRightInd w:val="0"/>
              <w:rPr>
                <w:rFonts w:ascii="Tahoma" w:hAnsi="Tahoma" w:cs="Tahoma"/>
                <w:color w:val="000000"/>
                <w:sz w:val="20"/>
                <w:szCs w:val="22"/>
              </w:rPr>
            </w:pPr>
            <w:r w:rsidRPr="00363142">
              <w:rPr>
                <w:rFonts w:ascii="Tahoma" w:hAnsi="Tahoma" w:cs="Tahoma"/>
                <w:color w:val="000000"/>
                <w:sz w:val="20"/>
                <w:szCs w:val="22"/>
              </w:rPr>
              <w:t>наличия/отсутствия волеизъявления лица(ЮЛ/ИП/ФЛ) на оформление усиленных квалифицированных электронных подписей (УКЭП);</w:t>
            </w:r>
          </w:p>
          <w:p w14:paraId="1E183AEB" w14:textId="77777777" w:rsidR="00857CC3" w:rsidRPr="00363142" w:rsidRDefault="00857CC3" w:rsidP="00EB4F4C">
            <w:pPr>
              <w:widowControl w:val="0"/>
              <w:numPr>
                <w:ilvl w:val="0"/>
                <w:numId w:val="58"/>
              </w:numPr>
              <w:autoSpaceDE w:val="0"/>
              <w:autoSpaceDN w:val="0"/>
              <w:adjustRightInd w:val="0"/>
              <w:rPr>
                <w:rFonts w:ascii="Tahoma" w:hAnsi="Tahoma" w:cs="Tahoma"/>
                <w:color w:val="000000"/>
                <w:sz w:val="20"/>
                <w:szCs w:val="22"/>
              </w:rPr>
            </w:pPr>
            <w:r w:rsidRPr="00363142">
              <w:rPr>
                <w:rFonts w:ascii="Tahoma" w:hAnsi="Tahoma" w:cs="Tahoma"/>
                <w:color w:val="000000"/>
                <w:sz w:val="20"/>
                <w:szCs w:val="22"/>
              </w:rPr>
              <w:t>выбранного лицом (ЮЛ/ИП/ФЛ) вида УКЭП при его волеизъявлении на оформление УКЭП (предлагается 2 вида, отражены в таблице ниже);</w:t>
            </w:r>
          </w:p>
          <w:p w14:paraId="2299017F" w14:textId="77777777" w:rsidR="00857CC3" w:rsidRPr="00363142" w:rsidRDefault="00857CC3" w:rsidP="00EB4F4C">
            <w:pPr>
              <w:widowControl w:val="0"/>
              <w:numPr>
                <w:ilvl w:val="0"/>
                <w:numId w:val="58"/>
              </w:numPr>
              <w:autoSpaceDE w:val="0"/>
              <w:autoSpaceDN w:val="0"/>
              <w:adjustRightInd w:val="0"/>
              <w:rPr>
                <w:rFonts w:ascii="Tahoma" w:hAnsi="Tahoma" w:cs="Tahoma"/>
                <w:b/>
                <w:bCs/>
                <w:color w:val="000000"/>
                <w:sz w:val="20"/>
                <w:szCs w:val="22"/>
              </w:rPr>
            </w:pPr>
            <w:r w:rsidRPr="00363142">
              <w:rPr>
                <w:rFonts w:ascii="Tahoma" w:hAnsi="Tahoma" w:cs="Tahoma"/>
                <w:color w:val="000000"/>
                <w:sz w:val="20"/>
                <w:szCs w:val="22"/>
              </w:rPr>
              <w:t>Вида требуемого регистрационного Росреестром действия (перечень регистрационных действий отражен в таблице ниже)</w:t>
            </w:r>
          </w:p>
          <w:p w14:paraId="62DB1A7C" w14:textId="77777777" w:rsidR="00857CC3" w:rsidRPr="00363142" w:rsidRDefault="00857CC3" w:rsidP="00161841">
            <w:pPr>
              <w:rPr>
                <w:rFonts w:ascii="Tahoma" w:hAnsi="Tahoma" w:cs="Tahoma"/>
                <w:sz w:val="20"/>
                <w:szCs w:val="22"/>
              </w:rPr>
            </w:pPr>
          </w:p>
          <w:p w14:paraId="0A93ED7A" w14:textId="77777777" w:rsidR="00857CC3" w:rsidRPr="00363142" w:rsidRDefault="00857CC3" w:rsidP="00161841">
            <w:pPr>
              <w:keepNext/>
              <w:keepLines/>
              <w:widowControl w:val="0"/>
              <w:autoSpaceDE w:val="0"/>
              <w:autoSpaceDN w:val="0"/>
              <w:adjustRightInd w:val="0"/>
              <w:outlineLvl w:val="8"/>
              <w:rPr>
                <w:rFonts w:ascii="Tahoma" w:hAnsi="Tahoma" w:cs="Tahoma"/>
                <w:sz w:val="20"/>
                <w:szCs w:val="22"/>
              </w:rPr>
            </w:pPr>
            <w:r w:rsidRPr="00363142">
              <w:rPr>
                <w:rFonts w:ascii="Tahoma" w:hAnsi="Tahoma" w:cs="Tahoma"/>
                <w:sz w:val="20"/>
                <w:szCs w:val="22"/>
              </w:rPr>
              <w:t>Срок уплаты платежа: в виде единовременного платежа Банку до начала оказания услуги.</w:t>
            </w:r>
          </w:p>
          <w:p w14:paraId="680A2068" w14:textId="77777777" w:rsidR="00857CC3" w:rsidRPr="00363142" w:rsidRDefault="00857CC3" w:rsidP="00161841">
            <w:pPr>
              <w:keepNext/>
              <w:keepLines/>
              <w:widowControl w:val="0"/>
              <w:autoSpaceDE w:val="0"/>
              <w:autoSpaceDN w:val="0"/>
              <w:adjustRightInd w:val="0"/>
              <w:outlineLvl w:val="8"/>
              <w:rPr>
                <w:rFonts w:ascii="Tahoma" w:hAnsi="Tahoma" w:cs="Tahoma"/>
                <w:b/>
                <w:bCs/>
                <w:sz w:val="20"/>
                <w:szCs w:val="22"/>
              </w:rPr>
            </w:pPr>
            <w:r w:rsidRPr="00363142">
              <w:rPr>
                <w:rFonts w:ascii="Tahoma" w:hAnsi="Tahoma" w:cs="Tahoma"/>
                <w:sz w:val="20"/>
                <w:szCs w:val="22"/>
              </w:rPr>
              <w:t>Каждое слагаемое рассчитывается исходя из данных, указанных в приведенной ниже таблице.</w:t>
            </w:r>
          </w:p>
        </w:tc>
      </w:tr>
    </w:tbl>
    <w:p w14:paraId="3BEF9A19" w14:textId="77777777" w:rsidR="00857CC3" w:rsidRPr="00363142" w:rsidRDefault="00857CC3" w:rsidP="00857CC3">
      <w:pPr>
        <w:shd w:val="clear" w:color="auto" w:fill="FFFFFF"/>
        <w:jc w:val="both"/>
        <w:rPr>
          <w:rFonts w:ascii="Arial" w:hAnsi="Arial" w:cs="Arial"/>
          <w:iCs/>
          <w:sz w:val="16"/>
          <w:szCs w:val="16"/>
        </w:rPr>
      </w:pPr>
      <w:r w:rsidRPr="00363142">
        <w:rPr>
          <w:rFonts w:ascii="Arial" w:hAnsi="Arial" w:cs="Arial"/>
          <w:iCs/>
          <w:sz w:val="16"/>
          <w:szCs w:val="16"/>
        </w:rPr>
        <w:t xml:space="preserve">** «Электронная регистрация» означает комплекс мероприятий, связанных с оформлением УКЭП для ЮЛ/ИП/ФЛ, а также указанных им лиц и направление пакета документов в электронном виде для  государственной регистрации через программу для ЭВМ «SmartDeal» в Управление Федеральной службы государственной регистрации, кадастра и картографии (Росреестр). </w:t>
      </w:r>
    </w:p>
    <w:p w14:paraId="71F79303" w14:textId="77777777" w:rsidR="00857CC3" w:rsidRPr="00363142" w:rsidRDefault="00857CC3" w:rsidP="00857CC3">
      <w:pPr>
        <w:shd w:val="clear" w:color="auto" w:fill="FFFFFF"/>
        <w:jc w:val="both"/>
        <w:rPr>
          <w:rFonts w:ascii="Arial" w:hAnsi="Arial" w:cs="Arial"/>
          <w:iCs/>
          <w:sz w:val="16"/>
          <w:szCs w:val="16"/>
        </w:rPr>
      </w:pPr>
      <w:r w:rsidRPr="00363142">
        <w:rPr>
          <w:rFonts w:ascii="Arial" w:hAnsi="Arial" w:cs="Arial"/>
          <w:iCs/>
          <w:sz w:val="16"/>
          <w:szCs w:val="16"/>
        </w:rPr>
        <w:t>Услуга позволяет ЮЛ/ИП/ФЛ произвести необходимые регистрационные действия в Росреестре без посещения Росреестра или Многофункционального центра предоставления государственных и муниципальных услуг (МФЦ).</w:t>
      </w:r>
    </w:p>
    <w:p w14:paraId="41CFC370" w14:textId="77777777" w:rsidR="00857CC3" w:rsidRPr="00363142" w:rsidRDefault="00857CC3" w:rsidP="00857CC3">
      <w:pPr>
        <w:widowControl w:val="0"/>
        <w:autoSpaceDE w:val="0"/>
        <w:autoSpaceDN w:val="0"/>
        <w:adjustRightInd w:val="0"/>
        <w:ind w:right="-1"/>
        <w:jc w:val="right"/>
        <w:rPr>
          <w:rFonts w:ascii="Tahoma" w:hAnsi="Tahoma" w:cs="Tahoma"/>
          <w:snapToGrid w:val="0"/>
          <w:color w:val="000000"/>
        </w:rPr>
      </w:pPr>
    </w:p>
    <w:p w14:paraId="5A898883" w14:textId="77777777" w:rsidR="00857CC3" w:rsidRPr="00363142" w:rsidRDefault="00857CC3" w:rsidP="00857CC3">
      <w:pPr>
        <w:framePr w:hSpace="180" w:wrap="around" w:vAnchor="text" w:hAnchor="text"/>
        <w:rPr>
          <w:rFonts w:ascii="Tahoma" w:hAnsi="Tahoma" w:cs="Tahoma"/>
          <w:snapToGrid w:val="0"/>
          <w:color w:val="000000"/>
          <w:sz w:val="22"/>
          <w:szCs w:val="22"/>
        </w:rPr>
      </w:pPr>
      <w:r w:rsidRPr="00363142">
        <w:rPr>
          <w:rFonts w:ascii="Tahoma" w:hAnsi="Tahoma" w:cs="Tahoma"/>
          <w:snapToGrid w:val="0"/>
          <w:color w:val="000000"/>
          <w:sz w:val="22"/>
          <w:szCs w:val="22"/>
        </w:rPr>
        <w:t>Предлагаемый платеж рассчитывается по следующей формуле:</w:t>
      </w:r>
    </w:p>
    <w:p w14:paraId="6946E7D9" w14:textId="77777777" w:rsidR="00857CC3" w:rsidRPr="00363142" w:rsidRDefault="00857CC3" w:rsidP="00857CC3">
      <w:pPr>
        <w:framePr w:hSpace="180" w:wrap="around" w:vAnchor="text" w:hAnchor="text"/>
        <w:jc w:val="center"/>
        <w:rPr>
          <w:rFonts w:ascii="Tahoma" w:hAnsi="Tahoma" w:cs="Tahoma"/>
          <w:b/>
          <w:bCs/>
          <w:color w:val="000000"/>
          <w:sz w:val="22"/>
          <w:szCs w:val="22"/>
        </w:rPr>
      </w:pPr>
      <w:r w:rsidRPr="00363142">
        <w:rPr>
          <w:rFonts w:ascii="Tahoma" w:hAnsi="Tahoma" w:cs="Tahoma"/>
          <w:b/>
          <w:snapToGrid w:val="0"/>
          <w:color w:val="000000"/>
          <w:sz w:val="22"/>
          <w:szCs w:val="22"/>
        </w:rPr>
        <w:t xml:space="preserve">Плата в зависимости от количества  УКЭП + Плата в </w:t>
      </w:r>
      <w:r w:rsidRPr="00363142">
        <w:rPr>
          <w:rFonts w:ascii="Tahoma" w:hAnsi="Tahoma" w:cs="Tahoma"/>
          <w:b/>
          <w:bCs/>
          <w:color w:val="000000"/>
          <w:sz w:val="22"/>
          <w:szCs w:val="22"/>
        </w:rPr>
        <w:t>зависимости от вида сделки (требуемого регистрационного Росреестром действия) + Оплата вознаграждения обществу ООО «Практика успеха» за электронно-техническое взаимодействие в целях электронной регистрации обременения недвижимости/электронной регистрации иных юридически значимых действий в ЕГРН  (зависит от вида регистрационного действия, кол-ва объектов недвижимости, вида Залогодателя/Собственника (ЮЛ, ИП или ФЛ)).</w:t>
      </w:r>
    </w:p>
    <w:p w14:paraId="60395D00" w14:textId="77777777" w:rsidR="00857CC3" w:rsidRPr="00363142" w:rsidRDefault="00857CC3" w:rsidP="00857CC3">
      <w:pPr>
        <w:framePr w:hSpace="180" w:wrap="around" w:vAnchor="text" w:hAnchor="text"/>
        <w:rPr>
          <w:rFonts w:ascii="Tahoma" w:hAnsi="Tahoma" w:cs="Tahoma"/>
          <w:snapToGrid w:val="0"/>
          <w:color w:val="000000"/>
          <w:sz w:val="22"/>
          <w:szCs w:val="22"/>
        </w:rPr>
      </w:pPr>
      <w:r w:rsidRPr="00363142">
        <w:rPr>
          <w:rFonts w:ascii="Tahoma" w:hAnsi="Tahoma" w:cs="Tahoma"/>
          <w:snapToGrid w:val="0"/>
          <w:color w:val="000000"/>
          <w:sz w:val="22"/>
          <w:szCs w:val="22"/>
        </w:rPr>
        <w:t>Каждое слагаемое рассчитывается исходя из данных, указанных в приведенной ниже таблице:</w:t>
      </w:r>
    </w:p>
    <w:p w14:paraId="13B1BBCB" w14:textId="77777777" w:rsidR="00857CC3" w:rsidRPr="00363142" w:rsidRDefault="00857CC3" w:rsidP="00857CC3">
      <w:pPr>
        <w:rPr>
          <w:rFonts w:ascii="Tahoma" w:hAnsi="Tahoma" w:cs="Tahoma"/>
          <w:sz w:val="22"/>
          <w:szCs w:val="22"/>
        </w:rPr>
      </w:pPr>
    </w:p>
    <w:tbl>
      <w:tblPr>
        <w:tblW w:w="5000" w:type="pct"/>
        <w:tblLayout w:type="fixed"/>
        <w:tblLook w:val="04A0" w:firstRow="1" w:lastRow="0" w:firstColumn="1" w:lastColumn="0" w:noHBand="0" w:noVBand="1"/>
      </w:tblPr>
      <w:tblGrid>
        <w:gridCol w:w="7649"/>
        <w:gridCol w:w="2423"/>
        <w:gridCol w:w="2529"/>
        <w:gridCol w:w="2526"/>
      </w:tblGrid>
      <w:tr w:rsidR="00857CC3" w:rsidRPr="00363142" w14:paraId="3A76E71A" w14:textId="77777777" w:rsidTr="00161841">
        <w:trPr>
          <w:trHeight w:val="1125"/>
        </w:trPr>
        <w:tc>
          <w:tcPr>
            <w:tcW w:w="3329" w:type="pct"/>
            <w:gridSpan w:val="2"/>
            <w:tcBorders>
              <w:top w:val="single" w:sz="4" w:space="0" w:color="auto"/>
              <w:left w:val="single" w:sz="4" w:space="0" w:color="auto"/>
              <w:bottom w:val="single" w:sz="4" w:space="0" w:color="auto"/>
              <w:right w:val="single" w:sz="4" w:space="0" w:color="000000"/>
            </w:tcBorders>
            <w:shd w:val="clear" w:color="auto" w:fill="BFBFBF" w:themeFill="background1" w:themeFillShade="BF"/>
            <w:vAlign w:val="center"/>
            <w:hideMark/>
          </w:tcPr>
          <w:p w14:paraId="247E18B7" w14:textId="77777777" w:rsidR="00857CC3" w:rsidRPr="00363142" w:rsidRDefault="00857CC3" w:rsidP="00161841">
            <w:pPr>
              <w:jc w:val="center"/>
              <w:rPr>
                <w:rFonts w:ascii="Tahoma" w:hAnsi="Tahoma" w:cs="Tahoma"/>
                <w:b/>
                <w:bCs/>
                <w:color w:val="000000"/>
                <w:sz w:val="20"/>
                <w:szCs w:val="20"/>
              </w:rPr>
            </w:pPr>
            <w:r w:rsidRPr="00363142">
              <w:rPr>
                <w:rFonts w:ascii="Tahoma" w:hAnsi="Tahoma" w:cs="Tahoma"/>
                <w:b/>
                <w:bCs/>
                <w:color w:val="000000"/>
                <w:sz w:val="20"/>
                <w:szCs w:val="20"/>
              </w:rPr>
              <w:t>Наименование услуги</w:t>
            </w:r>
          </w:p>
        </w:tc>
        <w:tc>
          <w:tcPr>
            <w:tcW w:w="83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486E047" w14:textId="77777777" w:rsidR="00857CC3" w:rsidRPr="00363142" w:rsidRDefault="00857CC3" w:rsidP="00161841">
            <w:pPr>
              <w:jc w:val="center"/>
              <w:rPr>
                <w:rFonts w:ascii="Tahoma" w:hAnsi="Tahoma" w:cs="Tahoma"/>
                <w:b/>
                <w:bCs/>
                <w:i/>
                <w:iCs/>
                <w:color w:val="000000"/>
                <w:sz w:val="20"/>
                <w:szCs w:val="20"/>
              </w:rPr>
            </w:pPr>
            <w:r w:rsidRPr="00363142">
              <w:rPr>
                <w:rFonts w:ascii="Tahoma" w:hAnsi="Tahoma" w:cs="Tahoma"/>
                <w:b/>
                <w:bCs/>
                <w:color w:val="000000"/>
                <w:sz w:val="20"/>
                <w:szCs w:val="20"/>
              </w:rPr>
              <w:t>РАЗМЕР ПЛАТЕЖА, руб.</w:t>
            </w:r>
          </w:p>
        </w:tc>
        <w:tc>
          <w:tcPr>
            <w:tcW w:w="835" w:type="pct"/>
            <w:tcBorders>
              <w:top w:val="single" w:sz="4" w:space="0" w:color="auto"/>
              <w:left w:val="nil"/>
              <w:bottom w:val="single" w:sz="4" w:space="0" w:color="auto"/>
              <w:right w:val="single" w:sz="4" w:space="0" w:color="auto"/>
            </w:tcBorders>
            <w:shd w:val="clear" w:color="auto" w:fill="BFBFBF" w:themeFill="background1" w:themeFillShade="BF"/>
            <w:vAlign w:val="center"/>
          </w:tcPr>
          <w:p w14:paraId="1556B553" w14:textId="77777777" w:rsidR="00857CC3" w:rsidRPr="00363142" w:rsidRDefault="00857CC3" w:rsidP="00161841">
            <w:pPr>
              <w:jc w:val="center"/>
              <w:rPr>
                <w:rFonts w:ascii="Tahoma" w:hAnsi="Tahoma" w:cs="Tahoma"/>
                <w:bCs/>
                <w:color w:val="000000"/>
                <w:sz w:val="20"/>
                <w:szCs w:val="20"/>
              </w:rPr>
            </w:pPr>
            <w:r w:rsidRPr="00363142">
              <w:rPr>
                <w:rFonts w:ascii="Tahoma" w:hAnsi="Tahoma" w:cs="Tahoma"/>
                <w:bCs/>
                <w:color w:val="000000"/>
                <w:sz w:val="20"/>
                <w:szCs w:val="20"/>
              </w:rPr>
              <w:t>В том числе НДС, руб.</w:t>
            </w:r>
          </w:p>
        </w:tc>
      </w:tr>
      <w:tr w:rsidR="00857CC3" w:rsidRPr="00363142" w14:paraId="46A6D196" w14:textId="77777777" w:rsidTr="00161841">
        <w:trPr>
          <w:trHeight w:val="285"/>
        </w:trPr>
        <w:tc>
          <w:tcPr>
            <w:tcW w:w="4165" w:type="pct"/>
            <w:gridSpan w:val="3"/>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E8CA1E4" w14:textId="77777777" w:rsidR="00857CC3" w:rsidRPr="00363142" w:rsidRDefault="00857CC3" w:rsidP="00161841">
            <w:pPr>
              <w:jc w:val="center"/>
              <w:rPr>
                <w:rFonts w:ascii="Tahoma" w:hAnsi="Tahoma" w:cs="Tahoma"/>
                <w:b/>
                <w:bCs/>
                <w:color w:val="000000"/>
                <w:sz w:val="20"/>
                <w:szCs w:val="20"/>
              </w:rPr>
            </w:pPr>
            <w:r w:rsidRPr="00363142">
              <w:rPr>
                <w:rFonts w:ascii="Tahoma" w:hAnsi="Tahoma" w:cs="Tahoma"/>
                <w:b/>
                <w:snapToGrid w:val="0"/>
                <w:color w:val="000000"/>
                <w:sz w:val="20"/>
                <w:szCs w:val="20"/>
              </w:rPr>
              <w:t>Плата в зависимости от количества  УКЭП</w:t>
            </w:r>
            <w:r w:rsidRPr="00363142">
              <w:rPr>
                <w:rFonts w:ascii="Tahoma" w:hAnsi="Tahoma" w:cs="Tahoma"/>
                <w:b/>
                <w:color w:val="000000"/>
                <w:sz w:val="20"/>
                <w:szCs w:val="20"/>
              </w:rPr>
              <w:t>, в том числе НДС</w:t>
            </w:r>
          </w:p>
        </w:tc>
        <w:tc>
          <w:tcPr>
            <w:tcW w:w="835" w:type="pct"/>
            <w:tcBorders>
              <w:top w:val="single" w:sz="4" w:space="0" w:color="auto"/>
              <w:left w:val="single" w:sz="4" w:space="0" w:color="auto"/>
              <w:bottom w:val="single" w:sz="4" w:space="0" w:color="auto"/>
              <w:right w:val="single" w:sz="4" w:space="0" w:color="auto"/>
            </w:tcBorders>
            <w:shd w:val="clear" w:color="000000" w:fill="FFFFFF"/>
          </w:tcPr>
          <w:p w14:paraId="742B92AC" w14:textId="77777777" w:rsidR="00857CC3" w:rsidRPr="00363142" w:rsidRDefault="00857CC3" w:rsidP="00161841">
            <w:pPr>
              <w:jc w:val="center"/>
              <w:rPr>
                <w:rFonts w:ascii="Tahoma" w:hAnsi="Tahoma" w:cs="Tahoma"/>
                <w:b/>
                <w:bCs/>
                <w:color w:val="000000"/>
                <w:sz w:val="20"/>
                <w:szCs w:val="20"/>
              </w:rPr>
            </w:pPr>
          </w:p>
        </w:tc>
      </w:tr>
      <w:tr w:rsidR="00857CC3" w:rsidRPr="00363142" w14:paraId="2D51E704" w14:textId="77777777" w:rsidTr="00161841">
        <w:trPr>
          <w:trHeight w:val="285"/>
        </w:trPr>
        <w:tc>
          <w:tcPr>
            <w:tcW w:w="3329" w:type="pct"/>
            <w:gridSpan w:val="2"/>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8C34023" w14:textId="77777777" w:rsidR="00857CC3" w:rsidRPr="00363142" w:rsidRDefault="00857CC3" w:rsidP="00161841">
            <w:pPr>
              <w:rPr>
                <w:rFonts w:ascii="Tahoma" w:hAnsi="Tahoma" w:cs="Tahoma"/>
                <w:color w:val="000000"/>
                <w:sz w:val="20"/>
                <w:szCs w:val="20"/>
              </w:rPr>
            </w:pPr>
            <w:r w:rsidRPr="00363142">
              <w:rPr>
                <w:rFonts w:ascii="Tahoma" w:hAnsi="Tahoma" w:cs="Tahoma"/>
                <w:color w:val="000000"/>
                <w:sz w:val="20"/>
                <w:szCs w:val="20"/>
              </w:rPr>
              <w:t xml:space="preserve">Выпуск УКЭП для </w:t>
            </w:r>
            <w:r w:rsidRPr="00363142">
              <w:rPr>
                <w:rFonts w:ascii="Tahoma" w:hAnsi="Tahoma" w:cs="Tahoma"/>
                <w:sz w:val="20"/>
                <w:szCs w:val="20"/>
              </w:rPr>
              <w:t xml:space="preserve">лица (ЮЛ/ИП/ФЛ) </w:t>
            </w:r>
            <w:r w:rsidRPr="00363142">
              <w:rPr>
                <w:rFonts w:ascii="Tahoma" w:hAnsi="Tahoma" w:cs="Tahoma"/>
                <w:color w:val="000000"/>
                <w:sz w:val="20"/>
                <w:szCs w:val="20"/>
              </w:rPr>
              <w:t xml:space="preserve"> (Выпуск сертификата ключа облачной УКЭП), выпуск производится удостоверяющим центром ООО «СМ», ОГРН 1117746908597, в том числе НДС</w:t>
            </w:r>
          </w:p>
        </w:tc>
        <w:tc>
          <w:tcPr>
            <w:tcW w:w="836" w:type="pct"/>
            <w:tcBorders>
              <w:top w:val="single" w:sz="4" w:space="0" w:color="auto"/>
              <w:left w:val="nil"/>
              <w:bottom w:val="single" w:sz="4" w:space="0" w:color="auto"/>
              <w:right w:val="single" w:sz="4" w:space="0" w:color="auto"/>
            </w:tcBorders>
            <w:shd w:val="clear" w:color="000000" w:fill="FFFFFF"/>
            <w:noWrap/>
            <w:vAlign w:val="center"/>
            <w:hideMark/>
          </w:tcPr>
          <w:p w14:paraId="45802D9F" w14:textId="77777777" w:rsidR="00857CC3" w:rsidRPr="00363142" w:rsidRDefault="00857CC3" w:rsidP="00161841">
            <w:pPr>
              <w:rPr>
                <w:rFonts w:ascii="Tahoma" w:hAnsi="Tahoma" w:cs="Tahoma"/>
                <w:b/>
                <w:bCs/>
                <w:color w:val="000000"/>
                <w:sz w:val="20"/>
                <w:szCs w:val="20"/>
              </w:rPr>
            </w:pPr>
            <w:r w:rsidRPr="00363142">
              <w:rPr>
                <w:rFonts w:ascii="Tahoma" w:hAnsi="Tahoma" w:cs="Tahoma"/>
                <w:b/>
                <w:bCs/>
                <w:color w:val="000000"/>
                <w:sz w:val="20"/>
                <w:szCs w:val="20"/>
              </w:rPr>
              <w:t xml:space="preserve">780,00   </w:t>
            </w:r>
          </w:p>
        </w:tc>
        <w:tc>
          <w:tcPr>
            <w:tcW w:w="835" w:type="pct"/>
            <w:tcBorders>
              <w:top w:val="single" w:sz="4" w:space="0" w:color="auto"/>
              <w:left w:val="nil"/>
              <w:bottom w:val="single" w:sz="4" w:space="0" w:color="auto"/>
              <w:right w:val="single" w:sz="4" w:space="0" w:color="auto"/>
            </w:tcBorders>
            <w:shd w:val="clear" w:color="000000" w:fill="FFFFFF"/>
            <w:vAlign w:val="center"/>
          </w:tcPr>
          <w:p w14:paraId="6162FB5C" w14:textId="77777777" w:rsidR="00857CC3" w:rsidRPr="00363142" w:rsidRDefault="00857CC3" w:rsidP="00161841">
            <w:pPr>
              <w:rPr>
                <w:rFonts w:ascii="Tahoma" w:hAnsi="Tahoma" w:cs="Tahoma"/>
                <w:b/>
                <w:bCs/>
                <w:color w:val="000000"/>
                <w:sz w:val="20"/>
                <w:szCs w:val="20"/>
              </w:rPr>
            </w:pPr>
            <w:r w:rsidRPr="00363142">
              <w:rPr>
                <w:rFonts w:ascii="Tahoma" w:hAnsi="Tahoma" w:cs="Tahoma"/>
                <w:color w:val="000000"/>
                <w:sz w:val="20"/>
                <w:szCs w:val="20"/>
              </w:rPr>
              <w:t xml:space="preserve">          130,00   </w:t>
            </w:r>
          </w:p>
        </w:tc>
      </w:tr>
      <w:tr w:rsidR="00857CC3" w:rsidRPr="00363142" w14:paraId="69A2F59B" w14:textId="77777777" w:rsidTr="00161841">
        <w:trPr>
          <w:trHeight w:val="630"/>
        </w:trPr>
        <w:tc>
          <w:tcPr>
            <w:tcW w:w="3329" w:type="pct"/>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3A186230" w14:textId="77777777" w:rsidR="00857CC3" w:rsidRPr="00363142" w:rsidRDefault="00857CC3" w:rsidP="00161841">
            <w:pPr>
              <w:rPr>
                <w:rFonts w:ascii="Tahoma" w:hAnsi="Tahoma" w:cs="Tahoma"/>
                <w:color w:val="000000"/>
                <w:sz w:val="20"/>
                <w:szCs w:val="20"/>
              </w:rPr>
            </w:pPr>
            <w:r w:rsidRPr="00363142">
              <w:rPr>
                <w:rFonts w:ascii="Tahoma" w:hAnsi="Tahoma" w:cs="Tahoma"/>
                <w:color w:val="000000"/>
                <w:sz w:val="20"/>
                <w:szCs w:val="20"/>
              </w:rPr>
              <w:t xml:space="preserve">Выпуск УКЭП для </w:t>
            </w:r>
            <w:r w:rsidRPr="00363142">
              <w:rPr>
                <w:rFonts w:ascii="Tahoma" w:hAnsi="Tahoma" w:cs="Tahoma"/>
                <w:sz w:val="20"/>
                <w:szCs w:val="20"/>
              </w:rPr>
              <w:t xml:space="preserve">лица (ЮЛ/ИП/ФЛ) </w:t>
            </w:r>
            <w:r w:rsidRPr="00363142">
              <w:rPr>
                <w:rFonts w:ascii="Tahoma" w:hAnsi="Tahoma" w:cs="Tahoma"/>
                <w:color w:val="000000"/>
                <w:sz w:val="20"/>
                <w:szCs w:val="20"/>
              </w:rPr>
              <w:t xml:space="preserve"> (Выпуск сертификата ключа облачной УКЭП на базе КриптоПро DSS, включая лицензию myDSS), выпуск производится удостоверяющим центром ООО «АйТи Мониторинг», ОГРН 1152311003305, в том числе НДС</w:t>
            </w:r>
          </w:p>
        </w:tc>
        <w:tc>
          <w:tcPr>
            <w:tcW w:w="836" w:type="pct"/>
            <w:tcBorders>
              <w:top w:val="single" w:sz="4" w:space="0" w:color="auto"/>
              <w:left w:val="nil"/>
              <w:bottom w:val="single" w:sz="4" w:space="0" w:color="auto"/>
              <w:right w:val="single" w:sz="4" w:space="0" w:color="auto"/>
            </w:tcBorders>
            <w:shd w:val="clear" w:color="000000" w:fill="FFFFFF"/>
            <w:noWrap/>
            <w:vAlign w:val="center"/>
            <w:hideMark/>
          </w:tcPr>
          <w:p w14:paraId="547BAE31" w14:textId="77777777" w:rsidR="00857CC3" w:rsidRPr="00363142" w:rsidRDefault="00857CC3" w:rsidP="00161841">
            <w:pPr>
              <w:rPr>
                <w:rFonts w:ascii="Tahoma" w:hAnsi="Tahoma" w:cs="Tahoma"/>
                <w:b/>
                <w:bCs/>
                <w:color w:val="000000"/>
                <w:sz w:val="20"/>
                <w:szCs w:val="20"/>
              </w:rPr>
            </w:pPr>
            <w:r w:rsidRPr="00363142">
              <w:rPr>
                <w:rFonts w:ascii="Tahoma" w:hAnsi="Tahoma" w:cs="Tahoma"/>
                <w:b/>
                <w:bCs/>
                <w:color w:val="000000"/>
                <w:sz w:val="20"/>
                <w:szCs w:val="20"/>
              </w:rPr>
              <w:t xml:space="preserve">1 200,00   </w:t>
            </w:r>
          </w:p>
        </w:tc>
        <w:tc>
          <w:tcPr>
            <w:tcW w:w="835" w:type="pct"/>
            <w:tcBorders>
              <w:top w:val="single" w:sz="4" w:space="0" w:color="auto"/>
              <w:left w:val="nil"/>
              <w:bottom w:val="single" w:sz="4" w:space="0" w:color="auto"/>
              <w:right w:val="single" w:sz="4" w:space="0" w:color="auto"/>
            </w:tcBorders>
            <w:shd w:val="clear" w:color="000000" w:fill="FFFFFF"/>
            <w:vAlign w:val="center"/>
          </w:tcPr>
          <w:p w14:paraId="27D67714" w14:textId="77777777" w:rsidR="00857CC3" w:rsidRPr="00363142" w:rsidRDefault="00857CC3" w:rsidP="00161841">
            <w:pPr>
              <w:rPr>
                <w:rFonts w:ascii="Tahoma" w:hAnsi="Tahoma" w:cs="Tahoma"/>
                <w:b/>
                <w:bCs/>
                <w:color w:val="000000"/>
                <w:sz w:val="20"/>
                <w:szCs w:val="20"/>
              </w:rPr>
            </w:pPr>
            <w:r w:rsidRPr="00363142">
              <w:rPr>
                <w:rFonts w:ascii="Tahoma" w:hAnsi="Tahoma" w:cs="Tahoma"/>
                <w:color w:val="000000"/>
                <w:sz w:val="20"/>
                <w:szCs w:val="20"/>
              </w:rPr>
              <w:t xml:space="preserve">          200,00   </w:t>
            </w:r>
          </w:p>
        </w:tc>
      </w:tr>
      <w:tr w:rsidR="00857CC3" w:rsidRPr="00363142" w14:paraId="65FF3599" w14:textId="77777777" w:rsidTr="00161841">
        <w:trPr>
          <w:trHeight w:val="285"/>
        </w:trPr>
        <w:tc>
          <w:tcPr>
            <w:tcW w:w="4165" w:type="pct"/>
            <w:gridSpan w:val="3"/>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BB5361E" w14:textId="77777777" w:rsidR="00857CC3" w:rsidRPr="00363142" w:rsidRDefault="00857CC3" w:rsidP="00161841">
            <w:pPr>
              <w:jc w:val="center"/>
              <w:rPr>
                <w:rFonts w:ascii="Tahoma" w:hAnsi="Tahoma" w:cs="Tahoma"/>
                <w:b/>
                <w:bCs/>
                <w:color w:val="000000"/>
                <w:sz w:val="20"/>
                <w:szCs w:val="20"/>
              </w:rPr>
            </w:pPr>
            <w:r w:rsidRPr="00363142">
              <w:rPr>
                <w:rFonts w:ascii="Tahoma" w:hAnsi="Tahoma" w:cs="Tahoma"/>
                <w:b/>
                <w:bCs/>
                <w:color w:val="000000"/>
                <w:sz w:val="20"/>
                <w:szCs w:val="20"/>
              </w:rPr>
              <w:t xml:space="preserve"> Плата в зависимости от вида сделки</w:t>
            </w:r>
            <w:r w:rsidRPr="00363142">
              <w:rPr>
                <w:rFonts w:ascii="Tahoma" w:hAnsi="Tahoma" w:cs="Tahoma"/>
                <w:b/>
                <w:color w:val="000000"/>
                <w:sz w:val="20"/>
                <w:szCs w:val="20"/>
              </w:rPr>
              <w:t>, в том числе НДС</w:t>
            </w:r>
          </w:p>
        </w:tc>
        <w:tc>
          <w:tcPr>
            <w:tcW w:w="835" w:type="pct"/>
            <w:tcBorders>
              <w:top w:val="single" w:sz="4" w:space="0" w:color="auto"/>
              <w:left w:val="single" w:sz="4" w:space="0" w:color="auto"/>
              <w:bottom w:val="single" w:sz="4" w:space="0" w:color="auto"/>
              <w:right w:val="single" w:sz="4" w:space="0" w:color="auto"/>
            </w:tcBorders>
            <w:shd w:val="clear" w:color="000000" w:fill="FFFFFF"/>
          </w:tcPr>
          <w:p w14:paraId="61E9EB92" w14:textId="77777777" w:rsidR="00857CC3" w:rsidRPr="00363142" w:rsidRDefault="00857CC3" w:rsidP="00161841">
            <w:pPr>
              <w:jc w:val="center"/>
              <w:rPr>
                <w:rFonts w:ascii="Tahoma" w:hAnsi="Tahoma" w:cs="Tahoma"/>
                <w:b/>
                <w:bCs/>
                <w:color w:val="000000"/>
                <w:sz w:val="20"/>
                <w:szCs w:val="20"/>
              </w:rPr>
            </w:pPr>
          </w:p>
        </w:tc>
      </w:tr>
      <w:tr w:rsidR="00857CC3" w:rsidRPr="00363142" w14:paraId="08A6185F" w14:textId="77777777" w:rsidTr="00161841">
        <w:trPr>
          <w:trHeight w:val="555"/>
        </w:trPr>
        <w:tc>
          <w:tcPr>
            <w:tcW w:w="2528" w:type="pct"/>
            <w:vMerge w:val="restart"/>
            <w:tcBorders>
              <w:top w:val="single" w:sz="4" w:space="0" w:color="auto"/>
              <w:left w:val="single" w:sz="4" w:space="0" w:color="auto"/>
              <w:right w:val="single" w:sz="4" w:space="0" w:color="auto"/>
            </w:tcBorders>
            <w:shd w:val="clear" w:color="000000" w:fill="FFFFFF"/>
            <w:vAlign w:val="center"/>
          </w:tcPr>
          <w:p w14:paraId="0AB82E90" w14:textId="77777777" w:rsidR="00857CC3" w:rsidRPr="00857CC3" w:rsidRDefault="00857CC3" w:rsidP="00161841">
            <w:pPr>
              <w:rPr>
                <w:rFonts w:ascii="Tahoma" w:hAnsi="Tahoma" w:cs="Tahoma"/>
                <w:color w:val="000000"/>
                <w:sz w:val="20"/>
                <w:szCs w:val="20"/>
              </w:rPr>
            </w:pPr>
            <w:r w:rsidRPr="00857CC3">
              <w:rPr>
                <w:rFonts w:ascii="Tahoma" w:hAnsi="Tahoma" w:cs="Tahoma"/>
                <w:color w:val="000000"/>
                <w:sz w:val="20"/>
                <w:szCs w:val="20"/>
              </w:rPr>
              <w:t>В случае проведения сделки центром ипотечного кредитования:</w:t>
            </w:r>
          </w:p>
          <w:p w14:paraId="56DF0714" w14:textId="77777777" w:rsidR="00857CC3" w:rsidRPr="00857CC3" w:rsidRDefault="00857CC3" w:rsidP="00161841">
            <w:pPr>
              <w:rPr>
                <w:rFonts w:ascii="Tahoma" w:hAnsi="Tahoma" w:cs="Tahoma"/>
                <w:color w:val="000000"/>
                <w:sz w:val="20"/>
                <w:szCs w:val="20"/>
              </w:rPr>
            </w:pPr>
            <w:r w:rsidRPr="00857CC3">
              <w:rPr>
                <w:rFonts w:ascii="Tahoma" w:hAnsi="Tahoma" w:cs="Tahoma"/>
                <w:color w:val="000000"/>
                <w:sz w:val="20"/>
                <w:szCs w:val="20"/>
              </w:rPr>
              <w:t>● сделки по договору долевого участия, в том числе НДС;</w:t>
            </w:r>
            <w:r w:rsidRPr="00857CC3">
              <w:rPr>
                <w:rFonts w:ascii="Tahoma" w:hAnsi="Tahoma" w:cs="Tahoma"/>
                <w:color w:val="000000"/>
                <w:sz w:val="20"/>
                <w:szCs w:val="20"/>
              </w:rPr>
              <w:br/>
              <w:t>● перехода права по договору купли-продажи, в том числе НДС;</w:t>
            </w:r>
            <w:r w:rsidRPr="00857CC3">
              <w:rPr>
                <w:rFonts w:ascii="Tahoma" w:hAnsi="Tahoma" w:cs="Tahoma"/>
                <w:color w:val="000000"/>
                <w:sz w:val="20"/>
                <w:szCs w:val="20"/>
              </w:rPr>
              <w:br/>
              <w:t>● ипотеки (в силу договора) , в том числе НДС;</w:t>
            </w:r>
            <w:r w:rsidRPr="00857CC3">
              <w:rPr>
                <w:rFonts w:ascii="Tahoma" w:hAnsi="Tahoma" w:cs="Tahoma"/>
                <w:color w:val="000000"/>
                <w:sz w:val="20"/>
                <w:szCs w:val="20"/>
              </w:rPr>
              <w:br/>
              <w:t>• прочие регистрационные действия, не выделенные отдельной строкой, в том числе НДС</w:t>
            </w:r>
          </w:p>
        </w:tc>
        <w:tc>
          <w:tcPr>
            <w:tcW w:w="801" w:type="pct"/>
            <w:tcBorders>
              <w:top w:val="single" w:sz="4" w:space="0" w:color="auto"/>
              <w:left w:val="single" w:sz="4" w:space="0" w:color="auto"/>
              <w:bottom w:val="single" w:sz="4" w:space="0" w:color="auto"/>
              <w:right w:val="single" w:sz="4" w:space="0" w:color="auto"/>
            </w:tcBorders>
            <w:shd w:val="clear" w:color="000000" w:fill="FFFFFF"/>
            <w:vAlign w:val="center"/>
          </w:tcPr>
          <w:p w14:paraId="451F7005" w14:textId="77777777" w:rsidR="00857CC3" w:rsidRPr="00857CC3" w:rsidRDefault="00857CC3" w:rsidP="00161841">
            <w:pPr>
              <w:rPr>
                <w:rFonts w:ascii="Tahoma" w:hAnsi="Tahoma" w:cs="Tahoma"/>
                <w:color w:val="000000"/>
                <w:sz w:val="20"/>
                <w:szCs w:val="20"/>
              </w:rPr>
            </w:pPr>
            <w:r w:rsidRPr="00857CC3">
              <w:rPr>
                <w:rFonts w:ascii="Tahoma" w:hAnsi="Tahoma" w:cs="Tahoma"/>
                <w:bCs/>
                <w:color w:val="000000"/>
                <w:sz w:val="20"/>
                <w:szCs w:val="20"/>
              </w:rPr>
              <w:t>Москва, Московская область, Санкт-Петербург, Ленинградская обл.</w:t>
            </w:r>
          </w:p>
        </w:tc>
        <w:tc>
          <w:tcPr>
            <w:tcW w:w="836" w:type="pct"/>
            <w:tcBorders>
              <w:top w:val="single" w:sz="4" w:space="0" w:color="auto"/>
              <w:left w:val="nil"/>
              <w:bottom w:val="single" w:sz="4" w:space="0" w:color="auto"/>
              <w:right w:val="single" w:sz="4" w:space="0" w:color="auto"/>
            </w:tcBorders>
            <w:shd w:val="clear" w:color="000000" w:fill="FFFFFF"/>
            <w:noWrap/>
            <w:vAlign w:val="center"/>
          </w:tcPr>
          <w:p w14:paraId="62193CEA" w14:textId="77777777" w:rsidR="00857CC3" w:rsidRPr="00857CC3" w:rsidRDefault="00857CC3" w:rsidP="00161841">
            <w:pPr>
              <w:rPr>
                <w:rFonts w:ascii="Tahoma" w:hAnsi="Tahoma" w:cs="Tahoma"/>
                <w:b/>
                <w:bCs/>
                <w:color w:val="000000"/>
                <w:sz w:val="20"/>
                <w:szCs w:val="20"/>
              </w:rPr>
            </w:pPr>
            <w:r w:rsidRPr="00857CC3">
              <w:rPr>
                <w:rFonts w:ascii="Tahoma" w:hAnsi="Tahoma" w:cs="Tahoma"/>
                <w:b/>
                <w:bCs/>
                <w:color w:val="000000"/>
                <w:sz w:val="20"/>
                <w:szCs w:val="20"/>
              </w:rPr>
              <w:t>4 040,00</w:t>
            </w:r>
          </w:p>
        </w:tc>
        <w:tc>
          <w:tcPr>
            <w:tcW w:w="835" w:type="pct"/>
            <w:tcBorders>
              <w:top w:val="single" w:sz="4" w:space="0" w:color="auto"/>
              <w:left w:val="nil"/>
              <w:bottom w:val="single" w:sz="4" w:space="0" w:color="auto"/>
              <w:right w:val="single" w:sz="4" w:space="0" w:color="auto"/>
            </w:tcBorders>
            <w:shd w:val="clear" w:color="000000" w:fill="FFFFFF"/>
            <w:vAlign w:val="center"/>
          </w:tcPr>
          <w:p w14:paraId="7D42D9AF" w14:textId="77777777" w:rsidR="00857CC3" w:rsidRPr="00857CC3" w:rsidRDefault="00857CC3" w:rsidP="00161841">
            <w:pPr>
              <w:rPr>
                <w:rFonts w:ascii="Tahoma" w:hAnsi="Tahoma" w:cs="Tahoma"/>
                <w:b/>
                <w:bCs/>
                <w:color w:val="000000"/>
                <w:sz w:val="20"/>
                <w:szCs w:val="20"/>
              </w:rPr>
            </w:pPr>
            <w:r w:rsidRPr="00857CC3">
              <w:rPr>
                <w:rFonts w:ascii="Tahoma" w:hAnsi="Tahoma" w:cs="Tahoma"/>
                <w:color w:val="000000"/>
                <w:sz w:val="20"/>
                <w:szCs w:val="20"/>
              </w:rPr>
              <w:t xml:space="preserve">          673,33   </w:t>
            </w:r>
          </w:p>
        </w:tc>
      </w:tr>
      <w:tr w:rsidR="00857CC3" w:rsidRPr="00363142" w14:paraId="1DF612A2" w14:textId="77777777" w:rsidTr="00161841">
        <w:trPr>
          <w:trHeight w:val="555"/>
        </w:trPr>
        <w:tc>
          <w:tcPr>
            <w:tcW w:w="2528" w:type="pct"/>
            <w:vMerge/>
            <w:tcBorders>
              <w:left w:val="single" w:sz="4" w:space="0" w:color="auto"/>
              <w:bottom w:val="single" w:sz="4" w:space="0" w:color="auto"/>
              <w:right w:val="single" w:sz="4" w:space="0" w:color="auto"/>
            </w:tcBorders>
            <w:shd w:val="clear" w:color="000000" w:fill="FFFFFF"/>
            <w:vAlign w:val="center"/>
          </w:tcPr>
          <w:p w14:paraId="6701A97C" w14:textId="77777777" w:rsidR="00857CC3" w:rsidRPr="00857CC3" w:rsidRDefault="00857CC3" w:rsidP="00161841">
            <w:pPr>
              <w:rPr>
                <w:rFonts w:ascii="Tahoma" w:hAnsi="Tahoma" w:cs="Tahoma"/>
                <w:color w:val="000000"/>
                <w:sz w:val="20"/>
                <w:szCs w:val="20"/>
              </w:rPr>
            </w:pPr>
          </w:p>
        </w:tc>
        <w:tc>
          <w:tcPr>
            <w:tcW w:w="801" w:type="pct"/>
            <w:tcBorders>
              <w:top w:val="single" w:sz="4" w:space="0" w:color="auto"/>
              <w:left w:val="single" w:sz="4" w:space="0" w:color="auto"/>
              <w:bottom w:val="single" w:sz="4" w:space="0" w:color="auto"/>
              <w:right w:val="single" w:sz="4" w:space="0" w:color="auto"/>
            </w:tcBorders>
            <w:shd w:val="clear" w:color="000000" w:fill="FFFFFF"/>
            <w:vAlign w:val="center"/>
          </w:tcPr>
          <w:p w14:paraId="45CFE3FF" w14:textId="77777777" w:rsidR="00857CC3" w:rsidRPr="00857CC3" w:rsidRDefault="00857CC3" w:rsidP="00161841">
            <w:pPr>
              <w:rPr>
                <w:rFonts w:ascii="Tahoma" w:hAnsi="Tahoma" w:cs="Tahoma"/>
                <w:color w:val="000000"/>
                <w:sz w:val="20"/>
                <w:szCs w:val="20"/>
              </w:rPr>
            </w:pPr>
            <w:r w:rsidRPr="00857CC3">
              <w:rPr>
                <w:rFonts w:ascii="Tahoma" w:hAnsi="Tahoma" w:cs="Tahoma"/>
                <w:bCs/>
                <w:color w:val="000000"/>
                <w:sz w:val="20"/>
                <w:szCs w:val="20"/>
              </w:rPr>
              <w:t>Другие регионы</w:t>
            </w:r>
          </w:p>
        </w:tc>
        <w:tc>
          <w:tcPr>
            <w:tcW w:w="836" w:type="pct"/>
            <w:tcBorders>
              <w:top w:val="single" w:sz="4" w:space="0" w:color="auto"/>
              <w:left w:val="nil"/>
              <w:bottom w:val="single" w:sz="4" w:space="0" w:color="auto"/>
              <w:right w:val="single" w:sz="4" w:space="0" w:color="auto"/>
            </w:tcBorders>
            <w:shd w:val="clear" w:color="000000" w:fill="FFFFFF"/>
            <w:noWrap/>
            <w:vAlign w:val="center"/>
          </w:tcPr>
          <w:p w14:paraId="536A8155" w14:textId="77777777" w:rsidR="00857CC3" w:rsidRPr="00857CC3" w:rsidRDefault="00857CC3" w:rsidP="00161841">
            <w:pPr>
              <w:rPr>
                <w:rFonts w:ascii="Tahoma" w:hAnsi="Tahoma" w:cs="Tahoma"/>
                <w:b/>
                <w:bCs/>
                <w:color w:val="000000"/>
                <w:sz w:val="20"/>
                <w:szCs w:val="20"/>
              </w:rPr>
            </w:pPr>
            <w:r w:rsidRPr="00857CC3">
              <w:rPr>
                <w:rFonts w:ascii="Tahoma" w:hAnsi="Tahoma" w:cs="Tahoma"/>
                <w:b/>
                <w:bCs/>
                <w:color w:val="000000"/>
                <w:sz w:val="20"/>
                <w:szCs w:val="20"/>
              </w:rPr>
              <w:t xml:space="preserve">3 040,00   </w:t>
            </w:r>
          </w:p>
        </w:tc>
        <w:tc>
          <w:tcPr>
            <w:tcW w:w="835" w:type="pct"/>
            <w:tcBorders>
              <w:top w:val="single" w:sz="4" w:space="0" w:color="auto"/>
              <w:left w:val="nil"/>
              <w:bottom w:val="single" w:sz="4" w:space="0" w:color="auto"/>
              <w:right w:val="single" w:sz="4" w:space="0" w:color="auto"/>
            </w:tcBorders>
            <w:shd w:val="clear" w:color="000000" w:fill="FFFFFF"/>
            <w:vAlign w:val="center"/>
          </w:tcPr>
          <w:p w14:paraId="37F06F99" w14:textId="77777777" w:rsidR="00857CC3" w:rsidRPr="00857CC3" w:rsidRDefault="00857CC3" w:rsidP="00161841">
            <w:pPr>
              <w:rPr>
                <w:rFonts w:ascii="Tahoma" w:hAnsi="Tahoma" w:cs="Tahoma"/>
                <w:b/>
                <w:bCs/>
                <w:color w:val="000000"/>
                <w:sz w:val="20"/>
                <w:szCs w:val="20"/>
              </w:rPr>
            </w:pPr>
            <w:r w:rsidRPr="00857CC3">
              <w:rPr>
                <w:rFonts w:ascii="Tahoma" w:hAnsi="Tahoma" w:cs="Tahoma"/>
                <w:color w:val="000000"/>
                <w:sz w:val="20"/>
                <w:szCs w:val="20"/>
              </w:rPr>
              <w:t xml:space="preserve">          506,67   </w:t>
            </w:r>
          </w:p>
        </w:tc>
      </w:tr>
      <w:tr w:rsidR="00857CC3" w:rsidRPr="00363142" w14:paraId="4D768CB8" w14:textId="77777777" w:rsidTr="00161841">
        <w:trPr>
          <w:trHeight w:val="1110"/>
        </w:trPr>
        <w:tc>
          <w:tcPr>
            <w:tcW w:w="3329" w:type="pct"/>
            <w:gridSpan w:val="2"/>
            <w:tcBorders>
              <w:top w:val="single" w:sz="4" w:space="0" w:color="auto"/>
              <w:left w:val="single" w:sz="4" w:space="0" w:color="auto"/>
              <w:bottom w:val="single" w:sz="4" w:space="0" w:color="auto"/>
              <w:right w:val="single" w:sz="4" w:space="0" w:color="auto"/>
            </w:tcBorders>
            <w:shd w:val="clear" w:color="000000" w:fill="FFFFFF"/>
            <w:vAlign w:val="center"/>
          </w:tcPr>
          <w:p w14:paraId="0435805C" w14:textId="77777777" w:rsidR="00857CC3" w:rsidRPr="00857CC3" w:rsidRDefault="00857CC3" w:rsidP="00161841">
            <w:pPr>
              <w:rPr>
                <w:rFonts w:ascii="Tahoma" w:hAnsi="Tahoma" w:cs="Tahoma"/>
                <w:color w:val="000000"/>
                <w:sz w:val="20"/>
                <w:szCs w:val="20"/>
              </w:rPr>
            </w:pPr>
            <w:r w:rsidRPr="00857CC3">
              <w:rPr>
                <w:rFonts w:ascii="Tahoma" w:hAnsi="Tahoma" w:cs="Tahoma"/>
                <w:color w:val="000000"/>
                <w:sz w:val="20"/>
                <w:szCs w:val="20"/>
              </w:rPr>
              <w:t>В прочих случаях:</w:t>
            </w:r>
          </w:p>
          <w:p w14:paraId="138A030B" w14:textId="77777777" w:rsidR="00857CC3" w:rsidRPr="00857CC3" w:rsidRDefault="00857CC3" w:rsidP="00161841">
            <w:pPr>
              <w:rPr>
                <w:rFonts w:ascii="Tahoma" w:hAnsi="Tahoma" w:cs="Tahoma"/>
                <w:color w:val="000000"/>
                <w:sz w:val="20"/>
                <w:szCs w:val="20"/>
              </w:rPr>
            </w:pPr>
            <w:r w:rsidRPr="00857CC3">
              <w:rPr>
                <w:rFonts w:ascii="Tahoma" w:hAnsi="Tahoma" w:cs="Tahoma"/>
                <w:color w:val="000000"/>
                <w:sz w:val="20"/>
                <w:szCs w:val="20"/>
              </w:rPr>
              <w:t>● сделки по договору долевого участия, в том числе НДС;</w:t>
            </w:r>
            <w:r w:rsidRPr="00857CC3">
              <w:rPr>
                <w:rFonts w:ascii="Tahoma" w:hAnsi="Tahoma" w:cs="Tahoma"/>
                <w:color w:val="000000"/>
                <w:sz w:val="20"/>
                <w:szCs w:val="20"/>
              </w:rPr>
              <w:br/>
              <w:t>● перехода права по договору купли-продажи, в том числе НДС;</w:t>
            </w:r>
            <w:r w:rsidRPr="00857CC3">
              <w:rPr>
                <w:rFonts w:ascii="Tahoma" w:hAnsi="Tahoma" w:cs="Tahoma"/>
                <w:color w:val="000000"/>
                <w:sz w:val="20"/>
                <w:szCs w:val="20"/>
              </w:rPr>
              <w:br/>
              <w:t>● ипотеки (в силу договора) , в том числе НДС;</w:t>
            </w:r>
            <w:r w:rsidRPr="00857CC3">
              <w:rPr>
                <w:rFonts w:ascii="Tahoma" w:hAnsi="Tahoma" w:cs="Tahoma"/>
                <w:color w:val="000000"/>
                <w:sz w:val="20"/>
                <w:szCs w:val="20"/>
              </w:rPr>
              <w:br/>
              <w:t>• прочие регистрационные действия, не выделенные отдельной строкой, в том числе НДС</w:t>
            </w:r>
          </w:p>
        </w:tc>
        <w:tc>
          <w:tcPr>
            <w:tcW w:w="836" w:type="pct"/>
            <w:tcBorders>
              <w:top w:val="single" w:sz="4" w:space="0" w:color="auto"/>
              <w:left w:val="nil"/>
              <w:bottom w:val="single" w:sz="4" w:space="0" w:color="auto"/>
              <w:right w:val="single" w:sz="4" w:space="0" w:color="auto"/>
            </w:tcBorders>
            <w:shd w:val="clear" w:color="000000" w:fill="FFFFFF"/>
            <w:noWrap/>
            <w:vAlign w:val="center"/>
          </w:tcPr>
          <w:p w14:paraId="30A38AA0" w14:textId="77777777" w:rsidR="00857CC3" w:rsidRPr="00857CC3" w:rsidRDefault="00857CC3" w:rsidP="00161841">
            <w:pPr>
              <w:rPr>
                <w:rFonts w:ascii="Tahoma" w:hAnsi="Tahoma" w:cs="Tahoma"/>
                <w:b/>
                <w:bCs/>
                <w:color w:val="000000"/>
                <w:sz w:val="20"/>
                <w:szCs w:val="20"/>
              </w:rPr>
            </w:pPr>
            <w:r w:rsidRPr="00857CC3">
              <w:rPr>
                <w:rFonts w:ascii="Tahoma" w:hAnsi="Tahoma" w:cs="Tahoma"/>
                <w:b/>
                <w:bCs/>
                <w:color w:val="000000"/>
                <w:sz w:val="20"/>
                <w:szCs w:val="20"/>
              </w:rPr>
              <w:t xml:space="preserve">2 040,00   </w:t>
            </w:r>
          </w:p>
        </w:tc>
        <w:tc>
          <w:tcPr>
            <w:tcW w:w="835" w:type="pct"/>
            <w:tcBorders>
              <w:top w:val="single" w:sz="4" w:space="0" w:color="auto"/>
              <w:left w:val="nil"/>
              <w:bottom w:val="single" w:sz="4" w:space="0" w:color="auto"/>
              <w:right w:val="single" w:sz="4" w:space="0" w:color="auto"/>
            </w:tcBorders>
            <w:shd w:val="clear" w:color="000000" w:fill="FFFFFF"/>
            <w:vAlign w:val="center"/>
          </w:tcPr>
          <w:p w14:paraId="0D09D67F" w14:textId="77777777" w:rsidR="00857CC3" w:rsidRPr="00857CC3" w:rsidRDefault="00857CC3" w:rsidP="00161841">
            <w:pPr>
              <w:rPr>
                <w:rFonts w:ascii="Tahoma" w:hAnsi="Tahoma" w:cs="Tahoma"/>
                <w:color w:val="000000"/>
                <w:sz w:val="20"/>
                <w:szCs w:val="20"/>
              </w:rPr>
            </w:pPr>
            <w:r w:rsidRPr="00857CC3">
              <w:rPr>
                <w:rFonts w:ascii="Tahoma" w:hAnsi="Tahoma" w:cs="Tahoma"/>
                <w:color w:val="000000"/>
                <w:sz w:val="20"/>
                <w:szCs w:val="20"/>
              </w:rPr>
              <w:t xml:space="preserve">          340,00   </w:t>
            </w:r>
          </w:p>
        </w:tc>
      </w:tr>
      <w:tr w:rsidR="00857CC3" w:rsidRPr="00363142" w14:paraId="5D5249F7" w14:textId="77777777" w:rsidTr="00161841">
        <w:trPr>
          <w:trHeight w:val="825"/>
        </w:trPr>
        <w:tc>
          <w:tcPr>
            <w:tcW w:w="3329" w:type="pct"/>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58014CBA" w14:textId="77777777" w:rsidR="00857CC3" w:rsidRPr="00363142" w:rsidRDefault="00857CC3" w:rsidP="00161841">
            <w:pPr>
              <w:rPr>
                <w:rFonts w:ascii="Tahoma" w:hAnsi="Tahoma" w:cs="Tahoma"/>
                <w:color w:val="000000"/>
                <w:sz w:val="20"/>
                <w:szCs w:val="20"/>
              </w:rPr>
            </w:pPr>
            <w:r w:rsidRPr="00363142">
              <w:rPr>
                <w:rFonts w:ascii="Tahoma" w:hAnsi="Tahoma" w:cs="Tahoma"/>
                <w:color w:val="000000"/>
                <w:sz w:val="20"/>
                <w:szCs w:val="20"/>
              </w:rPr>
              <w:t>Обращение за государственной регистрацией прав и обременений с одновременным выпуском закладной, в том числе НДС</w:t>
            </w:r>
          </w:p>
        </w:tc>
        <w:tc>
          <w:tcPr>
            <w:tcW w:w="836"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4E96C43" w14:textId="77777777" w:rsidR="00857CC3" w:rsidRPr="00363142" w:rsidRDefault="00857CC3" w:rsidP="00161841">
            <w:pPr>
              <w:rPr>
                <w:rFonts w:ascii="Tahoma" w:hAnsi="Tahoma" w:cs="Tahoma"/>
                <w:b/>
                <w:bCs/>
                <w:color w:val="000000"/>
                <w:sz w:val="20"/>
                <w:szCs w:val="20"/>
              </w:rPr>
            </w:pPr>
            <w:r w:rsidRPr="00363142">
              <w:rPr>
                <w:rFonts w:ascii="Tahoma" w:hAnsi="Tahoma" w:cs="Tahoma"/>
                <w:b/>
                <w:bCs/>
                <w:color w:val="000000"/>
                <w:sz w:val="20"/>
                <w:szCs w:val="20"/>
              </w:rPr>
              <w:t xml:space="preserve">3 000,00   </w:t>
            </w:r>
          </w:p>
        </w:tc>
        <w:tc>
          <w:tcPr>
            <w:tcW w:w="835" w:type="pct"/>
            <w:tcBorders>
              <w:top w:val="single" w:sz="4" w:space="0" w:color="auto"/>
              <w:left w:val="single" w:sz="4" w:space="0" w:color="auto"/>
              <w:bottom w:val="single" w:sz="4" w:space="0" w:color="auto"/>
              <w:right w:val="single" w:sz="4" w:space="0" w:color="auto"/>
            </w:tcBorders>
            <w:shd w:val="clear" w:color="000000" w:fill="FFFFFF"/>
            <w:vAlign w:val="center"/>
          </w:tcPr>
          <w:p w14:paraId="49EB275F" w14:textId="77777777" w:rsidR="00857CC3" w:rsidRPr="00363142" w:rsidRDefault="00857CC3" w:rsidP="00161841">
            <w:pPr>
              <w:rPr>
                <w:rFonts w:ascii="Tahoma" w:hAnsi="Tahoma" w:cs="Tahoma"/>
                <w:b/>
                <w:bCs/>
                <w:color w:val="000000"/>
                <w:sz w:val="20"/>
                <w:szCs w:val="20"/>
              </w:rPr>
            </w:pPr>
            <w:r w:rsidRPr="00363142">
              <w:rPr>
                <w:rFonts w:ascii="Tahoma" w:hAnsi="Tahoma" w:cs="Tahoma"/>
                <w:color w:val="000000"/>
                <w:sz w:val="20"/>
                <w:szCs w:val="20"/>
              </w:rPr>
              <w:t xml:space="preserve">          500,00   </w:t>
            </w:r>
          </w:p>
        </w:tc>
      </w:tr>
      <w:tr w:rsidR="00857CC3" w:rsidRPr="00363142" w14:paraId="2B479E9C" w14:textId="77777777" w:rsidTr="00161841">
        <w:trPr>
          <w:trHeight w:val="825"/>
        </w:trPr>
        <w:tc>
          <w:tcPr>
            <w:tcW w:w="3329" w:type="pct"/>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38EC7C7F" w14:textId="77777777" w:rsidR="00857CC3" w:rsidRPr="00363142" w:rsidRDefault="00857CC3" w:rsidP="00161841">
            <w:pPr>
              <w:rPr>
                <w:rFonts w:ascii="Tahoma" w:hAnsi="Tahoma" w:cs="Tahoma"/>
                <w:color w:val="000000"/>
                <w:sz w:val="20"/>
                <w:szCs w:val="20"/>
              </w:rPr>
            </w:pPr>
            <w:r w:rsidRPr="00363142">
              <w:rPr>
                <w:rFonts w:ascii="Tahoma" w:hAnsi="Tahoma" w:cs="Tahoma"/>
                <w:color w:val="000000"/>
                <w:sz w:val="20"/>
                <w:szCs w:val="20"/>
              </w:rPr>
              <w:t>Обращение на выпуск закладной без заявления о регистрации прав или обременений, в том числе НДС</w:t>
            </w:r>
          </w:p>
        </w:tc>
        <w:tc>
          <w:tcPr>
            <w:tcW w:w="836"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370DFF6" w14:textId="77777777" w:rsidR="00857CC3" w:rsidRPr="00363142" w:rsidRDefault="00857CC3" w:rsidP="00161841">
            <w:pPr>
              <w:rPr>
                <w:rFonts w:ascii="Tahoma" w:hAnsi="Tahoma" w:cs="Tahoma"/>
                <w:b/>
                <w:bCs/>
                <w:color w:val="000000"/>
                <w:sz w:val="20"/>
                <w:szCs w:val="20"/>
              </w:rPr>
            </w:pPr>
            <w:r w:rsidRPr="00363142">
              <w:rPr>
                <w:rFonts w:ascii="Tahoma" w:hAnsi="Tahoma" w:cs="Tahoma"/>
                <w:b/>
                <w:bCs/>
                <w:color w:val="000000"/>
                <w:sz w:val="20"/>
                <w:szCs w:val="20"/>
              </w:rPr>
              <w:t xml:space="preserve">2 040,00   </w:t>
            </w:r>
          </w:p>
        </w:tc>
        <w:tc>
          <w:tcPr>
            <w:tcW w:w="835" w:type="pct"/>
            <w:tcBorders>
              <w:top w:val="single" w:sz="4" w:space="0" w:color="auto"/>
              <w:left w:val="single" w:sz="4" w:space="0" w:color="auto"/>
              <w:bottom w:val="single" w:sz="4" w:space="0" w:color="auto"/>
              <w:right w:val="single" w:sz="4" w:space="0" w:color="auto"/>
            </w:tcBorders>
            <w:shd w:val="clear" w:color="000000" w:fill="FFFFFF"/>
            <w:vAlign w:val="center"/>
          </w:tcPr>
          <w:p w14:paraId="7C4CD9AC" w14:textId="77777777" w:rsidR="00857CC3" w:rsidRPr="00363142" w:rsidRDefault="00857CC3" w:rsidP="00161841">
            <w:pPr>
              <w:rPr>
                <w:rFonts w:ascii="Tahoma" w:hAnsi="Tahoma" w:cs="Tahoma"/>
                <w:b/>
                <w:bCs/>
                <w:color w:val="000000"/>
                <w:sz w:val="20"/>
                <w:szCs w:val="20"/>
              </w:rPr>
            </w:pPr>
            <w:r w:rsidRPr="00363142">
              <w:rPr>
                <w:rFonts w:ascii="Tahoma" w:hAnsi="Tahoma" w:cs="Tahoma"/>
                <w:color w:val="000000"/>
                <w:sz w:val="20"/>
                <w:szCs w:val="20"/>
              </w:rPr>
              <w:t xml:space="preserve">          340,00   </w:t>
            </w:r>
          </w:p>
        </w:tc>
      </w:tr>
      <w:tr w:rsidR="00857CC3" w:rsidRPr="00363142" w14:paraId="1C8D68ED" w14:textId="77777777" w:rsidTr="00161841">
        <w:trPr>
          <w:trHeight w:val="570"/>
        </w:trPr>
        <w:tc>
          <w:tcPr>
            <w:tcW w:w="3329" w:type="pct"/>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759C9BB6" w14:textId="77777777" w:rsidR="00857CC3" w:rsidRPr="00363142" w:rsidRDefault="00857CC3" w:rsidP="00161841">
            <w:pPr>
              <w:rPr>
                <w:rFonts w:ascii="Tahoma" w:hAnsi="Tahoma" w:cs="Tahoma"/>
                <w:color w:val="000000"/>
                <w:sz w:val="20"/>
                <w:szCs w:val="20"/>
              </w:rPr>
            </w:pPr>
            <w:r w:rsidRPr="00363142">
              <w:rPr>
                <w:rFonts w:ascii="Tahoma" w:hAnsi="Tahoma" w:cs="Tahoma"/>
                <w:color w:val="000000"/>
                <w:sz w:val="20"/>
                <w:szCs w:val="20"/>
              </w:rPr>
              <w:t>Обращение в целях регистрации обременений по одному договору ипотеки\ внесения изменений по дополнительному соглашению, в том числе НДС</w:t>
            </w:r>
          </w:p>
        </w:tc>
        <w:tc>
          <w:tcPr>
            <w:tcW w:w="836" w:type="pct"/>
            <w:tcBorders>
              <w:top w:val="single" w:sz="4" w:space="0" w:color="auto"/>
              <w:left w:val="nil"/>
              <w:bottom w:val="single" w:sz="4" w:space="0" w:color="auto"/>
              <w:right w:val="single" w:sz="4" w:space="0" w:color="auto"/>
            </w:tcBorders>
            <w:shd w:val="clear" w:color="000000" w:fill="FFFFFF"/>
            <w:noWrap/>
            <w:vAlign w:val="center"/>
            <w:hideMark/>
          </w:tcPr>
          <w:p w14:paraId="140E9B8B" w14:textId="77777777" w:rsidR="00857CC3" w:rsidRPr="00363142" w:rsidRDefault="00857CC3" w:rsidP="00161841">
            <w:pPr>
              <w:rPr>
                <w:rFonts w:ascii="Tahoma" w:hAnsi="Tahoma" w:cs="Tahoma"/>
                <w:b/>
                <w:bCs/>
                <w:color w:val="000000"/>
                <w:sz w:val="20"/>
                <w:szCs w:val="20"/>
              </w:rPr>
            </w:pPr>
            <w:r w:rsidRPr="00363142">
              <w:rPr>
                <w:rFonts w:ascii="Tahoma" w:hAnsi="Tahoma" w:cs="Tahoma"/>
                <w:b/>
                <w:bCs/>
                <w:color w:val="000000"/>
                <w:sz w:val="20"/>
                <w:szCs w:val="20"/>
              </w:rPr>
              <w:t xml:space="preserve">3 600,00   </w:t>
            </w:r>
          </w:p>
        </w:tc>
        <w:tc>
          <w:tcPr>
            <w:tcW w:w="835" w:type="pct"/>
            <w:tcBorders>
              <w:top w:val="single" w:sz="4" w:space="0" w:color="auto"/>
              <w:left w:val="nil"/>
              <w:bottom w:val="single" w:sz="4" w:space="0" w:color="auto"/>
              <w:right w:val="single" w:sz="4" w:space="0" w:color="auto"/>
            </w:tcBorders>
            <w:shd w:val="clear" w:color="000000" w:fill="FFFFFF"/>
            <w:vAlign w:val="center"/>
          </w:tcPr>
          <w:p w14:paraId="0F71D1E1" w14:textId="77777777" w:rsidR="00857CC3" w:rsidRPr="00363142" w:rsidRDefault="00857CC3" w:rsidP="00161841">
            <w:pPr>
              <w:rPr>
                <w:rFonts w:ascii="Tahoma" w:hAnsi="Tahoma" w:cs="Tahoma"/>
                <w:b/>
                <w:bCs/>
                <w:color w:val="000000"/>
                <w:sz w:val="20"/>
                <w:szCs w:val="20"/>
              </w:rPr>
            </w:pPr>
            <w:r w:rsidRPr="00363142">
              <w:rPr>
                <w:rFonts w:ascii="Tahoma" w:hAnsi="Tahoma" w:cs="Tahoma"/>
                <w:color w:val="000000"/>
                <w:sz w:val="20"/>
                <w:szCs w:val="20"/>
              </w:rPr>
              <w:t xml:space="preserve">          600,00   </w:t>
            </w:r>
          </w:p>
        </w:tc>
      </w:tr>
      <w:tr w:rsidR="00857CC3" w:rsidRPr="00363142" w14:paraId="5EB30FE2" w14:textId="77777777" w:rsidTr="00161841">
        <w:trPr>
          <w:trHeight w:val="645"/>
        </w:trPr>
        <w:tc>
          <w:tcPr>
            <w:tcW w:w="3329" w:type="pct"/>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77FF0ACF" w14:textId="77777777" w:rsidR="00857CC3" w:rsidRPr="00363142" w:rsidRDefault="00857CC3" w:rsidP="00161841">
            <w:pPr>
              <w:rPr>
                <w:rFonts w:ascii="Tahoma" w:hAnsi="Tahoma" w:cs="Tahoma"/>
                <w:color w:val="000000"/>
                <w:sz w:val="20"/>
                <w:szCs w:val="20"/>
              </w:rPr>
            </w:pPr>
            <w:r w:rsidRPr="00363142">
              <w:rPr>
                <w:rFonts w:ascii="Tahoma" w:hAnsi="Tahoma" w:cs="Tahoma"/>
                <w:color w:val="000000"/>
                <w:sz w:val="20"/>
                <w:szCs w:val="20"/>
              </w:rPr>
              <w:t>Обращение в целях погашения регистрационной записи об ипотеке, погашения регистрационной записи о прочих обременениях, в том числе НДС</w:t>
            </w:r>
          </w:p>
        </w:tc>
        <w:tc>
          <w:tcPr>
            <w:tcW w:w="836"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E4EA8AE" w14:textId="77777777" w:rsidR="00857CC3" w:rsidRPr="00363142" w:rsidRDefault="00857CC3" w:rsidP="00161841">
            <w:pPr>
              <w:rPr>
                <w:rFonts w:ascii="Tahoma" w:hAnsi="Tahoma" w:cs="Tahoma"/>
                <w:b/>
                <w:bCs/>
                <w:color w:val="000000"/>
                <w:sz w:val="20"/>
                <w:szCs w:val="20"/>
              </w:rPr>
            </w:pPr>
            <w:r w:rsidRPr="00363142">
              <w:rPr>
                <w:rFonts w:ascii="Tahoma" w:hAnsi="Tahoma" w:cs="Tahoma"/>
                <w:b/>
                <w:bCs/>
                <w:color w:val="000000"/>
                <w:sz w:val="20"/>
                <w:szCs w:val="20"/>
              </w:rPr>
              <w:t xml:space="preserve">840,00   </w:t>
            </w:r>
          </w:p>
        </w:tc>
        <w:tc>
          <w:tcPr>
            <w:tcW w:w="835" w:type="pct"/>
            <w:tcBorders>
              <w:top w:val="single" w:sz="4" w:space="0" w:color="auto"/>
              <w:left w:val="single" w:sz="4" w:space="0" w:color="auto"/>
              <w:bottom w:val="single" w:sz="4" w:space="0" w:color="auto"/>
              <w:right w:val="single" w:sz="4" w:space="0" w:color="auto"/>
            </w:tcBorders>
            <w:shd w:val="clear" w:color="000000" w:fill="FFFFFF"/>
            <w:vAlign w:val="center"/>
          </w:tcPr>
          <w:p w14:paraId="7AA9C9E3" w14:textId="77777777" w:rsidR="00857CC3" w:rsidRPr="00363142" w:rsidRDefault="00857CC3" w:rsidP="00161841">
            <w:pPr>
              <w:rPr>
                <w:rFonts w:ascii="Tahoma" w:hAnsi="Tahoma" w:cs="Tahoma"/>
                <w:b/>
                <w:bCs/>
                <w:color w:val="000000"/>
                <w:sz w:val="20"/>
                <w:szCs w:val="20"/>
              </w:rPr>
            </w:pPr>
            <w:r w:rsidRPr="00363142">
              <w:rPr>
                <w:rFonts w:ascii="Tahoma" w:hAnsi="Tahoma" w:cs="Tahoma"/>
                <w:color w:val="000000"/>
                <w:sz w:val="20"/>
                <w:szCs w:val="20"/>
              </w:rPr>
              <w:t xml:space="preserve">          140,00   </w:t>
            </w:r>
          </w:p>
        </w:tc>
      </w:tr>
      <w:tr w:rsidR="00857CC3" w:rsidRPr="00363142" w14:paraId="7975D88C" w14:textId="77777777" w:rsidTr="00161841">
        <w:trPr>
          <w:trHeight w:val="795"/>
        </w:trPr>
        <w:tc>
          <w:tcPr>
            <w:tcW w:w="4165" w:type="pct"/>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14:paraId="16754C36" w14:textId="77777777" w:rsidR="00857CC3" w:rsidRPr="00363142" w:rsidRDefault="00857CC3" w:rsidP="00161841">
            <w:pPr>
              <w:jc w:val="center"/>
              <w:rPr>
                <w:rFonts w:ascii="Tahoma" w:hAnsi="Tahoma" w:cs="Tahoma"/>
                <w:b/>
                <w:bCs/>
                <w:color w:val="000000"/>
                <w:sz w:val="20"/>
                <w:szCs w:val="20"/>
              </w:rPr>
            </w:pPr>
            <w:r w:rsidRPr="00363142">
              <w:rPr>
                <w:rFonts w:ascii="Tahoma" w:hAnsi="Tahoma" w:cs="Tahoma"/>
                <w:b/>
                <w:bCs/>
                <w:color w:val="000000"/>
                <w:sz w:val="20"/>
                <w:szCs w:val="20"/>
              </w:rPr>
              <w:t>Оплата вознаграждения обществу ООО «Практика успеха» (ОГРН: 1177746138734) за электронно-техническое взаимодействие в целях электронной регистрации (зависит от вида требуемого регистрационного действия, кол-ва объектов, вида Залогодателя/Собственника)</w:t>
            </w:r>
            <w:r w:rsidRPr="00363142">
              <w:rPr>
                <w:rFonts w:ascii="Tahoma" w:hAnsi="Tahoma" w:cs="Tahoma"/>
                <w:b/>
                <w:color w:val="000000"/>
                <w:sz w:val="20"/>
                <w:szCs w:val="20"/>
              </w:rPr>
              <w:t>, в том числе НДС</w:t>
            </w:r>
          </w:p>
        </w:tc>
        <w:tc>
          <w:tcPr>
            <w:tcW w:w="835" w:type="pct"/>
            <w:tcBorders>
              <w:top w:val="single" w:sz="4" w:space="0" w:color="auto"/>
              <w:left w:val="single" w:sz="4" w:space="0" w:color="auto"/>
              <w:bottom w:val="single" w:sz="4" w:space="0" w:color="auto"/>
              <w:right w:val="single" w:sz="4" w:space="0" w:color="auto"/>
            </w:tcBorders>
            <w:shd w:val="clear" w:color="000000" w:fill="FFFFFF"/>
          </w:tcPr>
          <w:p w14:paraId="2CF977CE" w14:textId="77777777" w:rsidR="00857CC3" w:rsidRPr="00363142" w:rsidRDefault="00857CC3" w:rsidP="00161841">
            <w:pPr>
              <w:jc w:val="center"/>
              <w:rPr>
                <w:rFonts w:ascii="Tahoma" w:hAnsi="Tahoma" w:cs="Tahoma"/>
                <w:b/>
                <w:bCs/>
                <w:color w:val="000000"/>
                <w:sz w:val="20"/>
                <w:szCs w:val="20"/>
              </w:rPr>
            </w:pPr>
          </w:p>
        </w:tc>
      </w:tr>
      <w:tr w:rsidR="00857CC3" w:rsidRPr="00363142" w14:paraId="2587BC94" w14:textId="77777777" w:rsidTr="00161841">
        <w:trPr>
          <w:trHeight w:val="285"/>
        </w:trPr>
        <w:tc>
          <w:tcPr>
            <w:tcW w:w="4165" w:type="pct"/>
            <w:gridSpan w:val="3"/>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9017456" w14:textId="77777777" w:rsidR="00857CC3" w:rsidRPr="00363142" w:rsidRDefault="00857CC3" w:rsidP="00161841">
            <w:pPr>
              <w:rPr>
                <w:rFonts w:ascii="Tahoma" w:hAnsi="Tahoma" w:cs="Tahoma"/>
                <w:color w:val="000000"/>
                <w:sz w:val="20"/>
                <w:szCs w:val="20"/>
              </w:rPr>
            </w:pPr>
            <w:r w:rsidRPr="00363142">
              <w:rPr>
                <w:rFonts w:ascii="Tahoma" w:hAnsi="Tahoma" w:cs="Tahoma"/>
                <w:color w:val="000000"/>
                <w:sz w:val="20"/>
                <w:szCs w:val="20"/>
              </w:rPr>
              <w:t>Обращение в целях регистрации обременения по договору ипотеки за 1 объект недвижимости, в том числе НДС:</w:t>
            </w:r>
          </w:p>
        </w:tc>
        <w:tc>
          <w:tcPr>
            <w:tcW w:w="835" w:type="pct"/>
            <w:tcBorders>
              <w:top w:val="single" w:sz="4" w:space="0" w:color="auto"/>
              <w:left w:val="single" w:sz="4" w:space="0" w:color="auto"/>
              <w:bottom w:val="single" w:sz="4" w:space="0" w:color="auto"/>
              <w:right w:val="single" w:sz="4" w:space="0" w:color="auto"/>
            </w:tcBorders>
            <w:shd w:val="clear" w:color="000000" w:fill="FFFFFF"/>
          </w:tcPr>
          <w:p w14:paraId="07D8DC4A" w14:textId="77777777" w:rsidR="00857CC3" w:rsidRPr="00363142" w:rsidRDefault="00857CC3" w:rsidP="00161841">
            <w:pPr>
              <w:rPr>
                <w:rFonts w:ascii="Tahoma" w:hAnsi="Tahoma" w:cs="Tahoma"/>
                <w:color w:val="000000"/>
                <w:sz w:val="20"/>
                <w:szCs w:val="20"/>
              </w:rPr>
            </w:pPr>
          </w:p>
        </w:tc>
      </w:tr>
      <w:tr w:rsidR="00857CC3" w:rsidRPr="00363142" w14:paraId="1E250770" w14:textId="77777777" w:rsidTr="00161841">
        <w:trPr>
          <w:trHeight w:val="285"/>
        </w:trPr>
        <w:tc>
          <w:tcPr>
            <w:tcW w:w="3329" w:type="pct"/>
            <w:gridSpan w:val="2"/>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35A4E5C" w14:textId="77777777" w:rsidR="00857CC3" w:rsidRPr="00363142" w:rsidRDefault="00857CC3" w:rsidP="00161841">
            <w:pPr>
              <w:rPr>
                <w:rFonts w:ascii="Tahoma" w:hAnsi="Tahoma" w:cs="Tahoma"/>
                <w:color w:val="000000"/>
                <w:sz w:val="20"/>
                <w:szCs w:val="20"/>
              </w:rPr>
            </w:pPr>
            <w:r w:rsidRPr="00363142">
              <w:rPr>
                <w:rFonts w:ascii="Tahoma" w:hAnsi="Tahoma" w:cs="Tahoma"/>
                <w:color w:val="000000"/>
                <w:sz w:val="20"/>
                <w:szCs w:val="20"/>
              </w:rPr>
              <w:t>Залогодатель - юридическое лицо</w:t>
            </w:r>
          </w:p>
        </w:tc>
        <w:tc>
          <w:tcPr>
            <w:tcW w:w="836" w:type="pct"/>
            <w:tcBorders>
              <w:top w:val="single" w:sz="4" w:space="0" w:color="auto"/>
              <w:left w:val="nil"/>
              <w:bottom w:val="single" w:sz="4" w:space="0" w:color="auto"/>
              <w:right w:val="single" w:sz="4" w:space="0" w:color="auto"/>
            </w:tcBorders>
            <w:shd w:val="clear" w:color="000000" w:fill="FFFFFF"/>
            <w:noWrap/>
            <w:vAlign w:val="center"/>
            <w:hideMark/>
          </w:tcPr>
          <w:p w14:paraId="1A7CFC09" w14:textId="77777777" w:rsidR="00857CC3" w:rsidRPr="00363142" w:rsidRDefault="00857CC3" w:rsidP="00161841">
            <w:pPr>
              <w:rPr>
                <w:rFonts w:ascii="Tahoma" w:hAnsi="Tahoma" w:cs="Tahoma"/>
                <w:b/>
                <w:bCs/>
                <w:color w:val="000000"/>
                <w:sz w:val="20"/>
                <w:szCs w:val="20"/>
              </w:rPr>
            </w:pPr>
            <w:r w:rsidRPr="00363142">
              <w:rPr>
                <w:rFonts w:ascii="Tahoma" w:hAnsi="Tahoma" w:cs="Tahoma"/>
                <w:b/>
                <w:bCs/>
                <w:color w:val="000000"/>
                <w:sz w:val="20"/>
                <w:szCs w:val="20"/>
              </w:rPr>
              <w:t xml:space="preserve"> 336,00   </w:t>
            </w:r>
          </w:p>
        </w:tc>
        <w:tc>
          <w:tcPr>
            <w:tcW w:w="835" w:type="pct"/>
            <w:tcBorders>
              <w:top w:val="single" w:sz="4" w:space="0" w:color="auto"/>
              <w:left w:val="nil"/>
              <w:bottom w:val="single" w:sz="4" w:space="0" w:color="auto"/>
              <w:right w:val="single" w:sz="4" w:space="0" w:color="auto"/>
            </w:tcBorders>
            <w:shd w:val="clear" w:color="000000" w:fill="FFFFFF"/>
            <w:vAlign w:val="center"/>
          </w:tcPr>
          <w:p w14:paraId="47DDAC3A" w14:textId="77777777" w:rsidR="00857CC3" w:rsidRPr="00363142" w:rsidRDefault="00857CC3" w:rsidP="00161841">
            <w:pPr>
              <w:rPr>
                <w:rFonts w:ascii="Tahoma" w:hAnsi="Tahoma" w:cs="Tahoma"/>
                <w:b/>
                <w:bCs/>
                <w:color w:val="000000"/>
                <w:sz w:val="20"/>
                <w:szCs w:val="20"/>
              </w:rPr>
            </w:pPr>
            <w:r w:rsidRPr="00363142">
              <w:rPr>
                <w:rFonts w:ascii="Tahoma" w:hAnsi="Tahoma" w:cs="Tahoma"/>
                <w:color w:val="000000"/>
                <w:sz w:val="20"/>
                <w:szCs w:val="20"/>
              </w:rPr>
              <w:t xml:space="preserve">            56,00   </w:t>
            </w:r>
          </w:p>
        </w:tc>
      </w:tr>
      <w:tr w:rsidR="00857CC3" w:rsidRPr="00363142" w14:paraId="7A5C9580" w14:textId="77777777" w:rsidTr="00161841">
        <w:trPr>
          <w:trHeight w:val="285"/>
        </w:trPr>
        <w:tc>
          <w:tcPr>
            <w:tcW w:w="3329" w:type="pct"/>
            <w:gridSpan w:val="2"/>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D9B096A" w14:textId="77777777" w:rsidR="00857CC3" w:rsidRPr="00363142" w:rsidRDefault="00857CC3" w:rsidP="00161841">
            <w:pPr>
              <w:rPr>
                <w:rFonts w:ascii="Tahoma" w:hAnsi="Tahoma" w:cs="Tahoma"/>
                <w:color w:val="000000"/>
                <w:sz w:val="20"/>
                <w:szCs w:val="20"/>
              </w:rPr>
            </w:pPr>
            <w:r w:rsidRPr="00363142">
              <w:rPr>
                <w:rFonts w:ascii="Tahoma" w:hAnsi="Tahoma" w:cs="Tahoma"/>
                <w:color w:val="000000"/>
                <w:sz w:val="20"/>
                <w:szCs w:val="20"/>
              </w:rPr>
              <w:t>Залогодатель - физическое лицо</w:t>
            </w:r>
          </w:p>
        </w:tc>
        <w:tc>
          <w:tcPr>
            <w:tcW w:w="836" w:type="pct"/>
            <w:tcBorders>
              <w:top w:val="single" w:sz="4" w:space="0" w:color="auto"/>
              <w:left w:val="nil"/>
              <w:bottom w:val="single" w:sz="4" w:space="0" w:color="auto"/>
              <w:right w:val="single" w:sz="4" w:space="0" w:color="auto"/>
            </w:tcBorders>
            <w:shd w:val="clear" w:color="000000" w:fill="FFFFFF"/>
            <w:noWrap/>
            <w:vAlign w:val="center"/>
            <w:hideMark/>
          </w:tcPr>
          <w:p w14:paraId="0FC4E40E" w14:textId="77777777" w:rsidR="00857CC3" w:rsidRPr="00363142" w:rsidRDefault="00857CC3" w:rsidP="00161841">
            <w:pPr>
              <w:rPr>
                <w:rFonts w:ascii="Tahoma" w:hAnsi="Tahoma" w:cs="Tahoma"/>
                <w:b/>
                <w:bCs/>
                <w:color w:val="000000"/>
                <w:sz w:val="20"/>
                <w:szCs w:val="20"/>
              </w:rPr>
            </w:pPr>
            <w:r w:rsidRPr="00363142">
              <w:rPr>
                <w:rFonts w:ascii="Tahoma" w:hAnsi="Tahoma" w:cs="Tahoma"/>
                <w:b/>
                <w:bCs/>
                <w:color w:val="000000"/>
                <w:sz w:val="20"/>
                <w:szCs w:val="20"/>
              </w:rPr>
              <w:t xml:space="preserve"> 71,40   </w:t>
            </w:r>
          </w:p>
        </w:tc>
        <w:tc>
          <w:tcPr>
            <w:tcW w:w="835" w:type="pct"/>
            <w:tcBorders>
              <w:top w:val="single" w:sz="4" w:space="0" w:color="auto"/>
              <w:left w:val="nil"/>
              <w:bottom w:val="single" w:sz="4" w:space="0" w:color="auto"/>
              <w:right w:val="single" w:sz="4" w:space="0" w:color="auto"/>
            </w:tcBorders>
            <w:shd w:val="clear" w:color="000000" w:fill="FFFFFF"/>
            <w:vAlign w:val="center"/>
          </w:tcPr>
          <w:p w14:paraId="0F6D9793" w14:textId="77777777" w:rsidR="00857CC3" w:rsidRPr="00363142" w:rsidRDefault="00857CC3" w:rsidP="00161841">
            <w:pPr>
              <w:rPr>
                <w:rFonts w:ascii="Tahoma" w:hAnsi="Tahoma" w:cs="Tahoma"/>
                <w:b/>
                <w:bCs/>
                <w:color w:val="000000"/>
                <w:sz w:val="20"/>
                <w:szCs w:val="20"/>
              </w:rPr>
            </w:pPr>
            <w:r w:rsidRPr="00363142">
              <w:rPr>
                <w:rFonts w:ascii="Tahoma" w:hAnsi="Tahoma" w:cs="Tahoma"/>
                <w:color w:val="000000"/>
                <w:sz w:val="20"/>
                <w:szCs w:val="20"/>
              </w:rPr>
              <w:t xml:space="preserve">            11,90   </w:t>
            </w:r>
          </w:p>
        </w:tc>
      </w:tr>
      <w:tr w:rsidR="00857CC3" w:rsidRPr="00363142" w14:paraId="130C3FDB" w14:textId="77777777" w:rsidTr="00161841">
        <w:trPr>
          <w:trHeight w:val="285"/>
        </w:trPr>
        <w:tc>
          <w:tcPr>
            <w:tcW w:w="4165" w:type="pct"/>
            <w:gridSpan w:val="3"/>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CE04B0E" w14:textId="77777777" w:rsidR="00857CC3" w:rsidRPr="00363142" w:rsidRDefault="00857CC3" w:rsidP="00161841">
            <w:pPr>
              <w:rPr>
                <w:rFonts w:ascii="Tahoma" w:hAnsi="Tahoma" w:cs="Tahoma"/>
                <w:color w:val="000000"/>
                <w:sz w:val="20"/>
                <w:szCs w:val="20"/>
              </w:rPr>
            </w:pPr>
            <w:r w:rsidRPr="00363142">
              <w:rPr>
                <w:rFonts w:ascii="Tahoma" w:hAnsi="Tahoma" w:cs="Tahoma"/>
                <w:color w:val="000000"/>
                <w:sz w:val="20"/>
                <w:szCs w:val="20"/>
              </w:rPr>
              <w:t>Обращение в целях внесения изменений в записи ЕГРН в связи с соглашением об изменении или расторжением договора об ипотеке, в том числе НДС:</w:t>
            </w:r>
          </w:p>
        </w:tc>
        <w:tc>
          <w:tcPr>
            <w:tcW w:w="835" w:type="pct"/>
            <w:tcBorders>
              <w:top w:val="single" w:sz="4" w:space="0" w:color="auto"/>
              <w:left w:val="single" w:sz="4" w:space="0" w:color="auto"/>
              <w:bottom w:val="single" w:sz="4" w:space="0" w:color="auto"/>
              <w:right w:val="single" w:sz="4" w:space="0" w:color="auto"/>
            </w:tcBorders>
            <w:shd w:val="clear" w:color="000000" w:fill="FFFFFF"/>
          </w:tcPr>
          <w:p w14:paraId="53AC4628" w14:textId="77777777" w:rsidR="00857CC3" w:rsidRPr="00363142" w:rsidRDefault="00857CC3" w:rsidP="00161841">
            <w:pPr>
              <w:rPr>
                <w:rFonts w:ascii="Tahoma" w:hAnsi="Tahoma" w:cs="Tahoma"/>
                <w:color w:val="000000"/>
                <w:sz w:val="20"/>
                <w:szCs w:val="20"/>
              </w:rPr>
            </w:pPr>
          </w:p>
        </w:tc>
      </w:tr>
      <w:tr w:rsidR="00857CC3" w:rsidRPr="00363142" w14:paraId="4060CA27" w14:textId="77777777" w:rsidTr="00161841">
        <w:trPr>
          <w:trHeight w:val="285"/>
        </w:trPr>
        <w:tc>
          <w:tcPr>
            <w:tcW w:w="3329" w:type="pct"/>
            <w:gridSpan w:val="2"/>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7FA676F" w14:textId="77777777" w:rsidR="00857CC3" w:rsidRPr="00363142" w:rsidRDefault="00857CC3" w:rsidP="00161841">
            <w:pPr>
              <w:rPr>
                <w:rFonts w:ascii="Tahoma" w:hAnsi="Tahoma" w:cs="Tahoma"/>
                <w:color w:val="000000"/>
                <w:sz w:val="20"/>
                <w:szCs w:val="20"/>
              </w:rPr>
            </w:pPr>
            <w:r w:rsidRPr="00363142">
              <w:rPr>
                <w:rFonts w:ascii="Tahoma" w:hAnsi="Tahoma" w:cs="Tahoma"/>
                <w:color w:val="000000"/>
                <w:sz w:val="20"/>
                <w:szCs w:val="20"/>
              </w:rPr>
              <w:t>Залогодатель - юридическое лицо</w:t>
            </w:r>
          </w:p>
        </w:tc>
        <w:tc>
          <w:tcPr>
            <w:tcW w:w="836" w:type="pct"/>
            <w:tcBorders>
              <w:top w:val="single" w:sz="4" w:space="0" w:color="auto"/>
              <w:left w:val="nil"/>
              <w:bottom w:val="single" w:sz="4" w:space="0" w:color="auto"/>
              <w:right w:val="single" w:sz="4" w:space="0" w:color="auto"/>
            </w:tcBorders>
            <w:shd w:val="clear" w:color="000000" w:fill="FFFFFF"/>
            <w:noWrap/>
            <w:vAlign w:val="center"/>
            <w:hideMark/>
          </w:tcPr>
          <w:p w14:paraId="3C5EF3FA" w14:textId="77777777" w:rsidR="00857CC3" w:rsidRPr="00363142" w:rsidRDefault="00857CC3" w:rsidP="00161841">
            <w:pPr>
              <w:rPr>
                <w:rFonts w:ascii="Tahoma" w:hAnsi="Tahoma" w:cs="Tahoma"/>
                <w:b/>
                <w:bCs/>
                <w:color w:val="000000"/>
                <w:sz w:val="20"/>
                <w:szCs w:val="20"/>
              </w:rPr>
            </w:pPr>
            <w:r w:rsidRPr="00363142">
              <w:rPr>
                <w:rFonts w:ascii="Tahoma" w:hAnsi="Tahoma" w:cs="Tahoma"/>
                <w:b/>
                <w:bCs/>
                <w:color w:val="000000"/>
                <w:sz w:val="20"/>
                <w:szCs w:val="20"/>
              </w:rPr>
              <w:t xml:space="preserve"> 50,40   </w:t>
            </w:r>
          </w:p>
        </w:tc>
        <w:tc>
          <w:tcPr>
            <w:tcW w:w="835" w:type="pct"/>
            <w:tcBorders>
              <w:top w:val="single" w:sz="4" w:space="0" w:color="auto"/>
              <w:left w:val="nil"/>
              <w:bottom w:val="single" w:sz="4" w:space="0" w:color="auto"/>
              <w:right w:val="single" w:sz="4" w:space="0" w:color="auto"/>
            </w:tcBorders>
            <w:shd w:val="clear" w:color="000000" w:fill="FFFFFF"/>
            <w:vAlign w:val="center"/>
          </w:tcPr>
          <w:p w14:paraId="21C291D1" w14:textId="77777777" w:rsidR="00857CC3" w:rsidRPr="00363142" w:rsidRDefault="00857CC3" w:rsidP="00161841">
            <w:pPr>
              <w:rPr>
                <w:rFonts w:ascii="Tahoma" w:hAnsi="Tahoma" w:cs="Tahoma"/>
                <w:b/>
                <w:bCs/>
                <w:color w:val="000000"/>
                <w:sz w:val="20"/>
                <w:szCs w:val="20"/>
              </w:rPr>
            </w:pPr>
            <w:r w:rsidRPr="00363142">
              <w:rPr>
                <w:rFonts w:ascii="Tahoma" w:hAnsi="Tahoma" w:cs="Tahoma"/>
                <w:color w:val="000000"/>
                <w:sz w:val="20"/>
                <w:szCs w:val="20"/>
              </w:rPr>
              <w:t xml:space="preserve">             8,40   </w:t>
            </w:r>
          </w:p>
        </w:tc>
      </w:tr>
      <w:tr w:rsidR="00857CC3" w:rsidRPr="00363142" w14:paraId="749815D5" w14:textId="77777777" w:rsidTr="00161841">
        <w:trPr>
          <w:trHeight w:val="285"/>
        </w:trPr>
        <w:tc>
          <w:tcPr>
            <w:tcW w:w="3329" w:type="pct"/>
            <w:gridSpan w:val="2"/>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C382218" w14:textId="77777777" w:rsidR="00857CC3" w:rsidRPr="00363142" w:rsidRDefault="00857CC3" w:rsidP="00161841">
            <w:pPr>
              <w:rPr>
                <w:rFonts w:ascii="Tahoma" w:hAnsi="Tahoma" w:cs="Tahoma"/>
                <w:color w:val="000000"/>
                <w:sz w:val="20"/>
                <w:szCs w:val="20"/>
              </w:rPr>
            </w:pPr>
            <w:r w:rsidRPr="00363142">
              <w:rPr>
                <w:rFonts w:ascii="Tahoma" w:hAnsi="Tahoma" w:cs="Tahoma"/>
                <w:color w:val="000000"/>
                <w:sz w:val="20"/>
                <w:szCs w:val="20"/>
              </w:rPr>
              <w:t>Залогодатель - физическое лицо</w:t>
            </w:r>
          </w:p>
        </w:tc>
        <w:tc>
          <w:tcPr>
            <w:tcW w:w="836" w:type="pct"/>
            <w:tcBorders>
              <w:top w:val="single" w:sz="4" w:space="0" w:color="auto"/>
              <w:left w:val="nil"/>
              <w:bottom w:val="single" w:sz="4" w:space="0" w:color="auto"/>
              <w:right w:val="single" w:sz="4" w:space="0" w:color="auto"/>
            </w:tcBorders>
            <w:shd w:val="clear" w:color="000000" w:fill="FFFFFF"/>
            <w:noWrap/>
            <w:vAlign w:val="center"/>
            <w:hideMark/>
          </w:tcPr>
          <w:p w14:paraId="7080CA15" w14:textId="77777777" w:rsidR="00857CC3" w:rsidRPr="00363142" w:rsidRDefault="00857CC3" w:rsidP="00161841">
            <w:pPr>
              <w:rPr>
                <w:rFonts w:ascii="Tahoma" w:hAnsi="Tahoma" w:cs="Tahoma"/>
                <w:b/>
                <w:bCs/>
                <w:color w:val="000000"/>
                <w:sz w:val="20"/>
                <w:szCs w:val="20"/>
              </w:rPr>
            </w:pPr>
            <w:r w:rsidRPr="00363142">
              <w:rPr>
                <w:rFonts w:ascii="Tahoma" w:hAnsi="Tahoma" w:cs="Tahoma"/>
                <w:b/>
                <w:bCs/>
                <w:color w:val="000000"/>
                <w:sz w:val="20"/>
                <w:szCs w:val="20"/>
              </w:rPr>
              <w:t xml:space="preserve"> 11,76   </w:t>
            </w:r>
          </w:p>
        </w:tc>
        <w:tc>
          <w:tcPr>
            <w:tcW w:w="835" w:type="pct"/>
            <w:tcBorders>
              <w:top w:val="single" w:sz="4" w:space="0" w:color="auto"/>
              <w:left w:val="nil"/>
              <w:bottom w:val="single" w:sz="4" w:space="0" w:color="auto"/>
              <w:right w:val="single" w:sz="4" w:space="0" w:color="auto"/>
            </w:tcBorders>
            <w:shd w:val="clear" w:color="000000" w:fill="FFFFFF"/>
            <w:vAlign w:val="center"/>
          </w:tcPr>
          <w:p w14:paraId="17D57FE4" w14:textId="77777777" w:rsidR="00857CC3" w:rsidRPr="00363142" w:rsidRDefault="00857CC3" w:rsidP="00161841">
            <w:pPr>
              <w:rPr>
                <w:rFonts w:ascii="Tahoma" w:hAnsi="Tahoma" w:cs="Tahoma"/>
                <w:b/>
                <w:bCs/>
                <w:color w:val="000000"/>
                <w:sz w:val="20"/>
                <w:szCs w:val="20"/>
              </w:rPr>
            </w:pPr>
            <w:r w:rsidRPr="00363142">
              <w:rPr>
                <w:rFonts w:ascii="Tahoma" w:hAnsi="Tahoma" w:cs="Tahoma"/>
                <w:color w:val="000000"/>
                <w:sz w:val="20"/>
                <w:szCs w:val="20"/>
              </w:rPr>
              <w:t xml:space="preserve">             1,96   </w:t>
            </w:r>
          </w:p>
        </w:tc>
      </w:tr>
      <w:tr w:rsidR="00857CC3" w:rsidRPr="00363142" w14:paraId="212209AF" w14:textId="77777777" w:rsidTr="00161841">
        <w:trPr>
          <w:trHeight w:val="360"/>
        </w:trPr>
        <w:tc>
          <w:tcPr>
            <w:tcW w:w="4165" w:type="pct"/>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14:paraId="098A7B93" w14:textId="77777777" w:rsidR="00857CC3" w:rsidRPr="00363142" w:rsidRDefault="00857CC3" w:rsidP="00161841">
            <w:pPr>
              <w:rPr>
                <w:rFonts w:ascii="Tahoma" w:hAnsi="Tahoma" w:cs="Tahoma"/>
                <w:color w:val="000000"/>
                <w:sz w:val="20"/>
                <w:szCs w:val="20"/>
              </w:rPr>
            </w:pPr>
            <w:r w:rsidRPr="00363142">
              <w:rPr>
                <w:rFonts w:ascii="Tahoma" w:hAnsi="Tahoma" w:cs="Tahoma"/>
                <w:color w:val="000000"/>
                <w:sz w:val="20"/>
                <w:szCs w:val="20"/>
              </w:rPr>
              <w:t>Обращение в целях  регистрации права собственности (с или без ипотеки в силу закона), в том числе НДС:</w:t>
            </w:r>
          </w:p>
        </w:tc>
        <w:tc>
          <w:tcPr>
            <w:tcW w:w="835" w:type="pct"/>
            <w:tcBorders>
              <w:top w:val="single" w:sz="4" w:space="0" w:color="auto"/>
              <w:left w:val="single" w:sz="4" w:space="0" w:color="auto"/>
              <w:bottom w:val="single" w:sz="4" w:space="0" w:color="auto"/>
              <w:right w:val="single" w:sz="4" w:space="0" w:color="auto"/>
            </w:tcBorders>
            <w:shd w:val="clear" w:color="000000" w:fill="FFFFFF"/>
          </w:tcPr>
          <w:p w14:paraId="20B37F29" w14:textId="77777777" w:rsidR="00857CC3" w:rsidRPr="00363142" w:rsidRDefault="00857CC3" w:rsidP="00161841">
            <w:pPr>
              <w:rPr>
                <w:rFonts w:ascii="Tahoma" w:hAnsi="Tahoma" w:cs="Tahoma"/>
                <w:color w:val="000000"/>
                <w:sz w:val="20"/>
                <w:szCs w:val="20"/>
              </w:rPr>
            </w:pPr>
          </w:p>
        </w:tc>
      </w:tr>
      <w:tr w:rsidR="00857CC3" w:rsidRPr="00363142" w14:paraId="4E966FBC" w14:textId="77777777" w:rsidTr="00161841">
        <w:trPr>
          <w:trHeight w:val="285"/>
        </w:trPr>
        <w:tc>
          <w:tcPr>
            <w:tcW w:w="3329" w:type="pct"/>
            <w:gridSpan w:val="2"/>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1DA447C" w14:textId="77777777" w:rsidR="00857CC3" w:rsidRPr="00363142" w:rsidRDefault="00857CC3" w:rsidP="00161841">
            <w:pPr>
              <w:rPr>
                <w:rFonts w:ascii="Tahoma" w:hAnsi="Tahoma" w:cs="Tahoma"/>
                <w:color w:val="000000"/>
                <w:sz w:val="20"/>
                <w:szCs w:val="20"/>
              </w:rPr>
            </w:pPr>
            <w:r w:rsidRPr="00363142">
              <w:rPr>
                <w:rFonts w:ascii="Tahoma" w:hAnsi="Tahoma" w:cs="Tahoma"/>
                <w:color w:val="000000"/>
                <w:sz w:val="20"/>
                <w:szCs w:val="20"/>
              </w:rPr>
              <w:t>Покупатель - юридическое лицо (вид права - собственность)</w:t>
            </w:r>
          </w:p>
        </w:tc>
        <w:tc>
          <w:tcPr>
            <w:tcW w:w="836" w:type="pct"/>
            <w:tcBorders>
              <w:top w:val="single" w:sz="4" w:space="0" w:color="auto"/>
              <w:left w:val="nil"/>
              <w:bottom w:val="single" w:sz="4" w:space="0" w:color="auto"/>
              <w:right w:val="single" w:sz="4" w:space="0" w:color="auto"/>
            </w:tcBorders>
            <w:shd w:val="clear" w:color="000000" w:fill="FFFFFF"/>
            <w:noWrap/>
            <w:vAlign w:val="center"/>
            <w:hideMark/>
          </w:tcPr>
          <w:p w14:paraId="1D820E95" w14:textId="77777777" w:rsidR="00857CC3" w:rsidRPr="00363142" w:rsidRDefault="00857CC3" w:rsidP="00161841">
            <w:pPr>
              <w:rPr>
                <w:rFonts w:ascii="Tahoma" w:hAnsi="Tahoma" w:cs="Tahoma"/>
                <w:b/>
                <w:bCs/>
                <w:color w:val="000000"/>
                <w:sz w:val="20"/>
                <w:szCs w:val="20"/>
              </w:rPr>
            </w:pPr>
            <w:r w:rsidRPr="00363142">
              <w:rPr>
                <w:rFonts w:ascii="Tahoma" w:hAnsi="Tahoma" w:cs="Tahoma"/>
                <w:b/>
                <w:bCs/>
                <w:color w:val="000000"/>
                <w:sz w:val="20"/>
                <w:szCs w:val="20"/>
              </w:rPr>
              <w:t xml:space="preserve">1 848,00   </w:t>
            </w:r>
          </w:p>
        </w:tc>
        <w:tc>
          <w:tcPr>
            <w:tcW w:w="835" w:type="pct"/>
            <w:tcBorders>
              <w:top w:val="single" w:sz="4" w:space="0" w:color="auto"/>
              <w:left w:val="nil"/>
              <w:bottom w:val="single" w:sz="4" w:space="0" w:color="auto"/>
              <w:right w:val="single" w:sz="4" w:space="0" w:color="auto"/>
            </w:tcBorders>
            <w:shd w:val="clear" w:color="000000" w:fill="FFFFFF"/>
            <w:vAlign w:val="center"/>
          </w:tcPr>
          <w:p w14:paraId="21763330" w14:textId="77777777" w:rsidR="00857CC3" w:rsidRPr="00363142" w:rsidRDefault="00857CC3" w:rsidP="00161841">
            <w:pPr>
              <w:rPr>
                <w:rFonts w:ascii="Tahoma" w:hAnsi="Tahoma" w:cs="Tahoma"/>
                <w:b/>
                <w:bCs/>
                <w:color w:val="000000"/>
                <w:sz w:val="20"/>
                <w:szCs w:val="20"/>
              </w:rPr>
            </w:pPr>
            <w:r w:rsidRPr="00363142">
              <w:rPr>
                <w:rFonts w:ascii="Tahoma" w:hAnsi="Tahoma" w:cs="Tahoma"/>
                <w:color w:val="000000"/>
                <w:sz w:val="20"/>
                <w:szCs w:val="20"/>
              </w:rPr>
              <w:t xml:space="preserve">          308,00   </w:t>
            </w:r>
          </w:p>
        </w:tc>
      </w:tr>
      <w:tr w:rsidR="00857CC3" w:rsidRPr="00363142" w14:paraId="02D8768F" w14:textId="77777777" w:rsidTr="00161841">
        <w:trPr>
          <w:trHeight w:val="360"/>
        </w:trPr>
        <w:tc>
          <w:tcPr>
            <w:tcW w:w="3329" w:type="pct"/>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7C495B15" w14:textId="77777777" w:rsidR="00857CC3" w:rsidRPr="00363142" w:rsidRDefault="00857CC3" w:rsidP="00161841">
            <w:pPr>
              <w:rPr>
                <w:rFonts w:ascii="Tahoma" w:hAnsi="Tahoma" w:cs="Tahoma"/>
                <w:color w:val="000000"/>
                <w:sz w:val="20"/>
                <w:szCs w:val="20"/>
              </w:rPr>
            </w:pPr>
            <w:r w:rsidRPr="00363142">
              <w:rPr>
                <w:rFonts w:ascii="Tahoma" w:hAnsi="Tahoma" w:cs="Tahoma"/>
                <w:color w:val="000000"/>
                <w:sz w:val="20"/>
                <w:szCs w:val="20"/>
              </w:rPr>
              <w:t>Покупатель - физическое лицо (вид права - собственность)</w:t>
            </w:r>
          </w:p>
        </w:tc>
        <w:tc>
          <w:tcPr>
            <w:tcW w:w="836"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5382207" w14:textId="77777777" w:rsidR="00857CC3" w:rsidRPr="00363142" w:rsidRDefault="00857CC3" w:rsidP="00161841">
            <w:pPr>
              <w:rPr>
                <w:rFonts w:ascii="Tahoma" w:hAnsi="Tahoma" w:cs="Tahoma"/>
                <w:b/>
                <w:bCs/>
                <w:color w:val="000000"/>
                <w:sz w:val="20"/>
                <w:szCs w:val="20"/>
              </w:rPr>
            </w:pPr>
            <w:r w:rsidRPr="00363142">
              <w:rPr>
                <w:rFonts w:ascii="Tahoma" w:hAnsi="Tahoma" w:cs="Tahoma"/>
                <w:b/>
                <w:bCs/>
                <w:color w:val="000000"/>
                <w:sz w:val="20"/>
                <w:szCs w:val="20"/>
              </w:rPr>
              <w:t xml:space="preserve">117,60   </w:t>
            </w:r>
          </w:p>
        </w:tc>
        <w:tc>
          <w:tcPr>
            <w:tcW w:w="835" w:type="pct"/>
            <w:tcBorders>
              <w:top w:val="single" w:sz="4" w:space="0" w:color="auto"/>
              <w:left w:val="single" w:sz="4" w:space="0" w:color="auto"/>
              <w:bottom w:val="single" w:sz="4" w:space="0" w:color="auto"/>
              <w:right w:val="single" w:sz="4" w:space="0" w:color="auto"/>
            </w:tcBorders>
            <w:shd w:val="clear" w:color="000000" w:fill="FFFFFF"/>
            <w:vAlign w:val="center"/>
          </w:tcPr>
          <w:p w14:paraId="757E2182" w14:textId="77777777" w:rsidR="00857CC3" w:rsidRPr="00363142" w:rsidRDefault="00857CC3" w:rsidP="00161841">
            <w:pPr>
              <w:rPr>
                <w:rFonts w:ascii="Tahoma" w:hAnsi="Tahoma" w:cs="Tahoma"/>
                <w:b/>
                <w:bCs/>
                <w:color w:val="000000"/>
                <w:sz w:val="20"/>
                <w:szCs w:val="20"/>
              </w:rPr>
            </w:pPr>
            <w:r w:rsidRPr="00363142">
              <w:rPr>
                <w:rFonts w:ascii="Tahoma" w:hAnsi="Tahoma" w:cs="Tahoma"/>
                <w:color w:val="000000"/>
                <w:sz w:val="20"/>
                <w:szCs w:val="20"/>
              </w:rPr>
              <w:t xml:space="preserve">            19,60   </w:t>
            </w:r>
          </w:p>
        </w:tc>
      </w:tr>
      <w:tr w:rsidR="00857CC3" w:rsidRPr="00363142" w14:paraId="0498F2FC" w14:textId="77777777" w:rsidTr="00161841">
        <w:trPr>
          <w:trHeight w:val="900"/>
        </w:trPr>
        <w:tc>
          <w:tcPr>
            <w:tcW w:w="3329" w:type="pct"/>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45490904" w14:textId="77777777" w:rsidR="00857CC3" w:rsidRPr="00363142" w:rsidRDefault="00857CC3" w:rsidP="00161841">
            <w:pPr>
              <w:rPr>
                <w:rFonts w:ascii="Tahoma" w:hAnsi="Tahoma" w:cs="Tahoma"/>
                <w:color w:val="000000"/>
                <w:sz w:val="20"/>
                <w:szCs w:val="20"/>
              </w:rPr>
            </w:pPr>
            <w:r w:rsidRPr="00363142">
              <w:rPr>
                <w:rFonts w:ascii="Tahoma" w:hAnsi="Tahoma" w:cs="Tahoma"/>
                <w:color w:val="000000"/>
                <w:sz w:val="20"/>
                <w:szCs w:val="20"/>
              </w:rPr>
              <w:t xml:space="preserve">Покупатели - физические лица (вид права - общая совместная собственность (без выделения доли)) - </w:t>
            </w:r>
            <w:r w:rsidRPr="00363142">
              <w:rPr>
                <w:rFonts w:ascii="Tahoma" w:hAnsi="Tahoma" w:cs="Tahoma"/>
                <w:i/>
                <w:iCs/>
                <w:color w:val="000000"/>
                <w:sz w:val="20"/>
                <w:szCs w:val="20"/>
              </w:rPr>
              <w:t>вне зависимости от количества участников общей совместной собственности</w:t>
            </w:r>
          </w:p>
        </w:tc>
        <w:tc>
          <w:tcPr>
            <w:tcW w:w="836"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DEBB9B8" w14:textId="77777777" w:rsidR="00857CC3" w:rsidRPr="00363142" w:rsidRDefault="00857CC3" w:rsidP="00161841">
            <w:pPr>
              <w:rPr>
                <w:rFonts w:ascii="Tahoma" w:hAnsi="Tahoma" w:cs="Tahoma"/>
                <w:b/>
                <w:bCs/>
                <w:color w:val="000000"/>
                <w:sz w:val="20"/>
                <w:szCs w:val="20"/>
              </w:rPr>
            </w:pPr>
            <w:r w:rsidRPr="00363142">
              <w:rPr>
                <w:rFonts w:ascii="Tahoma" w:hAnsi="Tahoma" w:cs="Tahoma"/>
                <w:b/>
                <w:bCs/>
                <w:color w:val="000000"/>
                <w:sz w:val="20"/>
                <w:szCs w:val="20"/>
              </w:rPr>
              <w:t xml:space="preserve"> 117,60   </w:t>
            </w:r>
          </w:p>
        </w:tc>
        <w:tc>
          <w:tcPr>
            <w:tcW w:w="835" w:type="pct"/>
            <w:tcBorders>
              <w:top w:val="single" w:sz="4" w:space="0" w:color="auto"/>
              <w:left w:val="single" w:sz="4" w:space="0" w:color="auto"/>
              <w:bottom w:val="single" w:sz="4" w:space="0" w:color="auto"/>
              <w:right w:val="single" w:sz="4" w:space="0" w:color="auto"/>
            </w:tcBorders>
            <w:shd w:val="clear" w:color="000000" w:fill="FFFFFF"/>
            <w:vAlign w:val="center"/>
          </w:tcPr>
          <w:p w14:paraId="77409B76" w14:textId="77777777" w:rsidR="00857CC3" w:rsidRPr="00363142" w:rsidRDefault="00857CC3" w:rsidP="00161841">
            <w:pPr>
              <w:rPr>
                <w:rFonts w:ascii="Tahoma" w:hAnsi="Tahoma" w:cs="Tahoma"/>
                <w:b/>
                <w:bCs/>
                <w:color w:val="000000"/>
                <w:sz w:val="20"/>
                <w:szCs w:val="20"/>
              </w:rPr>
            </w:pPr>
            <w:r w:rsidRPr="00363142">
              <w:rPr>
                <w:rFonts w:ascii="Tahoma" w:hAnsi="Tahoma" w:cs="Tahoma"/>
                <w:color w:val="000000"/>
                <w:sz w:val="20"/>
                <w:szCs w:val="20"/>
              </w:rPr>
              <w:t xml:space="preserve">            19,60   </w:t>
            </w:r>
          </w:p>
        </w:tc>
      </w:tr>
      <w:tr w:rsidR="00857CC3" w:rsidRPr="00363142" w14:paraId="190A86BB" w14:textId="77777777" w:rsidTr="00161841">
        <w:trPr>
          <w:trHeight w:val="810"/>
        </w:trPr>
        <w:tc>
          <w:tcPr>
            <w:tcW w:w="3329" w:type="pct"/>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7AAE5D6C" w14:textId="77777777" w:rsidR="00857CC3" w:rsidRPr="00363142" w:rsidRDefault="00857CC3" w:rsidP="00161841">
            <w:pPr>
              <w:rPr>
                <w:rFonts w:ascii="Tahoma" w:hAnsi="Tahoma" w:cs="Tahoma"/>
                <w:color w:val="000000"/>
                <w:sz w:val="20"/>
                <w:szCs w:val="20"/>
              </w:rPr>
            </w:pPr>
            <w:r w:rsidRPr="00363142">
              <w:rPr>
                <w:rFonts w:ascii="Tahoma" w:hAnsi="Tahoma" w:cs="Tahoma"/>
                <w:color w:val="000000"/>
                <w:sz w:val="20"/>
                <w:szCs w:val="20"/>
              </w:rPr>
              <w:t>Покупатели - физические лица (вид права - доля в праве общей собственности) -</w:t>
            </w:r>
            <w:r w:rsidRPr="00363142">
              <w:rPr>
                <w:rFonts w:ascii="Tahoma" w:hAnsi="Tahoma" w:cs="Tahoma"/>
                <w:i/>
                <w:iCs/>
                <w:color w:val="000000"/>
                <w:sz w:val="20"/>
                <w:szCs w:val="20"/>
              </w:rPr>
              <w:t xml:space="preserve"> необходимо размер гос.пошлины умножить на размер доли в праве собственности</w:t>
            </w:r>
          </w:p>
        </w:tc>
        <w:tc>
          <w:tcPr>
            <w:tcW w:w="836"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E42FB10" w14:textId="77777777" w:rsidR="00857CC3" w:rsidRPr="00363142" w:rsidRDefault="00857CC3" w:rsidP="00161841">
            <w:pPr>
              <w:rPr>
                <w:rFonts w:ascii="Tahoma" w:hAnsi="Tahoma" w:cs="Tahoma"/>
                <w:b/>
                <w:bCs/>
                <w:color w:val="000000"/>
                <w:sz w:val="20"/>
                <w:szCs w:val="20"/>
              </w:rPr>
            </w:pPr>
            <w:r w:rsidRPr="00363142">
              <w:rPr>
                <w:rFonts w:ascii="Tahoma" w:hAnsi="Tahoma" w:cs="Tahoma"/>
                <w:b/>
                <w:bCs/>
                <w:color w:val="000000"/>
                <w:sz w:val="20"/>
                <w:szCs w:val="20"/>
              </w:rPr>
              <w:t xml:space="preserve"> 117,60   </w:t>
            </w:r>
          </w:p>
        </w:tc>
        <w:tc>
          <w:tcPr>
            <w:tcW w:w="835" w:type="pct"/>
            <w:tcBorders>
              <w:top w:val="single" w:sz="4" w:space="0" w:color="auto"/>
              <w:left w:val="single" w:sz="4" w:space="0" w:color="auto"/>
              <w:bottom w:val="single" w:sz="4" w:space="0" w:color="auto"/>
              <w:right w:val="single" w:sz="4" w:space="0" w:color="auto"/>
            </w:tcBorders>
            <w:shd w:val="clear" w:color="000000" w:fill="FFFFFF"/>
            <w:vAlign w:val="center"/>
          </w:tcPr>
          <w:p w14:paraId="3AA64DFC" w14:textId="77777777" w:rsidR="00857CC3" w:rsidRPr="00363142" w:rsidRDefault="00857CC3" w:rsidP="00161841">
            <w:pPr>
              <w:rPr>
                <w:rFonts w:ascii="Tahoma" w:hAnsi="Tahoma" w:cs="Tahoma"/>
                <w:b/>
                <w:bCs/>
                <w:color w:val="000000"/>
                <w:sz w:val="20"/>
                <w:szCs w:val="20"/>
              </w:rPr>
            </w:pPr>
            <w:r w:rsidRPr="00363142">
              <w:rPr>
                <w:rFonts w:ascii="Tahoma" w:hAnsi="Tahoma" w:cs="Tahoma"/>
                <w:color w:val="000000"/>
                <w:sz w:val="20"/>
                <w:szCs w:val="20"/>
              </w:rPr>
              <w:t xml:space="preserve">            19,60   </w:t>
            </w:r>
          </w:p>
        </w:tc>
      </w:tr>
      <w:tr w:rsidR="00857CC3" w:rsidRPr="00363142" w14:paraId="310B167A" w14:textId="77777777" w:rsidTr="00161841">
        <w:trPr>
          <w:trHeight w:val="810"/>
        </w:trPr>
        <w:tc>
          <w:tcPr>
            <w:tcW w:w="3329" w:type="pct"/>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43DF60AA" w14:textId="77777777" w:rsidR="00857CC3" w:rsidRPr="00363142" w:rsidRDefault="00857CC3" w:rsidP="00161841">
            <w:pPr>
              <w:rPr>
                <w:rFonts w:ascii="Tahoma" w:hAnsi="Tahoma" w:cs="Tahoma"/>
                <w:color w:val="000000"/>
                <w:sz w:val="20"/>
                <w:szCs w:val="20"/>
              </w:rPr>
            </w:pPr>
            <w:r w:rsidRPr="00363142">
              <w:rPr>
                <w:rFonts w:ascii="Tahoma" w:hAnsi="Tahoma" w:cs="Tahoma"/>
                <w:color w:val="000000"/>
                <w:sz w:val="20"/>
                <w:szCs w:val="20"/>
              </w:rPr>
              <w:t xml:space="preserve">Покупатель - юридическое лицо (вид права - доля в праве общей собственности) - </w:t>
            </w:r>
            <w:r w:rsidRPr="00363142">
              <w:rPr>
                <w:rFonts w:ascii="Tahoma" w:hAnsi="Tahoma" w:cs="Tahoma"/>
                <w:i/>
                <w:iCs/>
                <w:color w:val="000000"/>
                <w:sz w:val="20"/>
                <w:szCs w:val="20"/>
              </w:rPr>
              <w:t>необходимо размер гос.пошлины умножить на размер доли в праве собственности</w:t>
            </w:r>
          </w:p>
        </w:tc>
        <w:tc>
          <w:tcPr>
            <w:tcW w:w="836"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B8C4474" w14:textId="77777777" w:rsidR="00857CC3" w:rsidRPr="00363142" w:rsidRDefault="00857CC3" w:rsidP="00161841">
            <w:pPr>
              <w:rPr>
                <w:rFonts w:ascii="Tahoma" w:hAnsi="Tahoma" w:cs="Tahoma"/>
                <w:b/>
                <w:bCs/>
                <w:color w:val="000000"/>
                <w:sz w:val="20"/>
                <w:szCs w:val="20"/>
              </w:rPr>
            </w:pPr>
            <w:r w:rsidRPr="00363142">
              <w:rPr>
                <w:rFonts w:ascii="Tahoma" w:hAnsi="Tahoma" w:cs="Tahoma"/>
                <w:b/>
                <w:bCs/>
                <w:color w:val="000000"/>
                <w:sz w:val="20"/>
                <w:szCs w:val="20"/>
              </w:rPr>
              <w:t xml:space="preserve">1 848,00   </w:t>
            </w:r>
          </w:p>
        </w:tc>
        <w:tc>
          <w:tcPr>
            <w:tcW w:w="835" w:type="pct"/>
            <w:tcBorders>
              <w:top w:val="single" w:sz="4" w:space="0" w:color="auto"/>
              <w:left w:val="single" w:sz="4" w:space="0" w:color="auto"/>
              <w:bottom w:val="single" w:sz="4" w:space="0" w:color="auto"/>
              <w:right w:val="single" w:sz="4" w:space="0" w:color="auto"/>
            </w:tcBorders>
            <w:shd w:val="clear" w:color="000000" w:fill="FFFFFF"/>
            <w:vAlign w:val="center"/>
          </w:tcPr>
          <w:p w14:paraId="7F2B0927" w14:textId="77777777" w:rsidR="00857CC3" w:rsidRPr="00363142" w:rsidRDefault="00857CC3" w:rsidP="00161841">
            <w:pPr>
              <w:rPr>
                <w:rFonts w:ascii="Tahoma" w:hAnsi="Tahoma" w:cs="Tahoma"/>
                <w:b/>
                <w:bCs/>
                <w:color w:val="000000"/>
                <w:sz w:val="20"/>
                <w:szCs w:val="20"/>
              </w:rPr>
            </w:pPr>
            <w:r w:rsidRPr="00363142">
              <w:rPr>
                <w:rFonts w:ascii="Tahoma" w:hAnsi="Tahoma" w:cs="Tahoma"/>
                <w:color w:val="000000"/>
                <w:sz w:val="20"/>
                <w:szCs w:val="20"/>
              </w:rPr>
              <w:t xml:space="preserve">          308,00   </w:t>
            </w:r>
          </w:p>
        </w:tc>
      </w:tr>
      <w:tr w:rsidR="00857CC3" w:rsidRPr="00363142" w14:paraId="627D9DB1" w14:textId="77777777" w:rsidTr="00161841">
        <w:trPr>
          <w:trHeight w:val="360"/>
        </w:trPr>
        <w:tc>
          <w:tcPr>
            <w:tcW w:w="4165" w:type="pct"/>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14:paraId="116A2329" w14:textId="77777777" w:rsidR="00857CC3" w:rsidRPr="00363142" w:rsidRDefault="00857CC3" w:rsidP="00161841">
            <w:pPr>
              <w:rPr>
                <w:rFonts w:ascii="Tahoma" w:hAnsi="Tahoma" w:cs="Tahoma"/>
                <w:color w:val="000000"/>
                <w:sz w:val="20"/>
                <w:szCs w:val="20"/>
              </w:rPr>
            </w:pPr>
            <w:r w:rsidRPr="00363142">
              <w:rPr>
                <w:rFonts w:ascii="Tahoma" w:hAnsi="Tahoma" w:cs="Tahoma"/>
                <w:color w:val="000000"/>
                <w:sz w:val="20"/>
                <w:szCs w:val="20"/>
              </w:rPr>
              <w:t>Обращение в целях  смены залогодержателя, в том числе НДС:</w:t>
            </w:r>
          </w:p>
        </w:tc>
        <w:tc>
          <w:tcPr>
            <w:tcW w:w="835" w:type="pct"/>
            <w:tcBorders>
              <w:top w:val="single" w:sz="4" w:space="0" w:color="auto"/>
              <w:left w:val="single" w:sz="4" w:space="0" w:color="auto"/>
              <w:bottom w:val="single" w:sz="4" w:space="0" w:color="auto"/>
              <w:right w:val="single" w:sz="4" w:space="0" w:color="auto"/>
            </w:tcBorders>
            <w:shd w:val="clear" w:color="000000" w:fill="FFFFFF"/>
          </w:tcPr>
          <w:p w14:paraId="2FD39165" w14:textId="77777777" w:rsidR="00857CC3" w:rsidRPr="00363142" w:rsidRDefault="00857CC3" w:rsidP="00161841">
            <w:pPr>
              <w:rPr>
                <w:rFonts w:ascii="Tahoma" w:hAnsi="Tahoma" w:cs="Tahoma"/>
                <w:color w:val="000000"/>
                <w:sz w:val="20"/>
                <w:szCs w:val="20"/>
              </w:rPr>
            </w:pPr>
          </w:p>
        </w:tc>
      </w:tr>
      <w:tr w:rsidR="00857CC3" w:rsidRPr="00363142" w14:paraId="67847CB1" w14:textId="77777777" w:rsidTr="00161841">
        <w:trPr>
          <w:trHeight w:val="1485"/>
        </w:trPr>
        <w:tc>
          <w:tcPr>
            <w:tcW w:w="3329" w:type="pct"/>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08176C84" w14:textId="77777777" w:rsidR="00857CC3" w:rsidRPr="00363142" w:rsidRDefault="00857CC3" w:rsidP="00161841">
            <w:pPr>
              <w:rPr>
                <w:rFonts w:ascii="Tahoma" w:hAnsi="Tahoma" w:cs="Tahoma"/>
                <w:color w:val="000000"/>
                <w:sz w:val="20"/>
                <w:szCs w:val="20"/>
              </w:rPr>
            </w:pPr>
            <w:r w:rsidRPr="00363142">
              <w:rPr>
                <w:rFonts w:ascii="Tahoma" w:hAnsi="Tahoma" w:cs="Tahoma"/>
                <w:color w:val="000000"/>
                <w:sz w:val="20"/>
                <w:szCs w:val="20"/>
              </w:rPr>
              <w:t>Государственная регистрация смены залогодержателя вследствие уступки прав по основному обязательству, обеспеченному ипотекой, либо по договору об ипотеки, в том числе сделки по уступке прав требования. включая внесение в ЕГРН записи об ипотеке, осуществляемой при смене залогодержателя</w:t>
            </w:r>
          </w:p>
        </w:tc>
        <w:tc>
          <w:tcPr>
            <w:tcW w:w="836"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5AAB5EF" w14:textId="77777777" w:rsidR="00857CC3" w:rsidRPr="00363142" w:rsidRDefault="00857CC3" w:rsidP="00161841">
            <w:pPr>
              <w:rPr>
                <w:rFonts w:ascii="Tahoma" w:hAnsi="Tahoma" w:cs="Tahoma"/>
                <w:b/>
                <w:bCs/>
                <w:color w:val="000000"/>
                <w:sz w:val="20"/>
                <w:szCs w:val="20"/>
              </w:rPr>
            </w:pPr>
            <w:r w:rsidRPr="00363142">
              <w:rPr>
                <w:rFonts w:ascii="Tahoma" w:hAnsi="Tahoma" w:cs="Tahoma"/>
                <w:b/>
                <w:bCs/>
                <w:color w:val="000000"/>
                <w:sz w:val="20"/>
                <w:szCs w:val="20"/>
              </w:rPr>
              <w:t xml:space="preserve">               </w:t>
            </w:r>
          </w:p>
          <w:p w14:paraId="01124B39" w14:textId="77777777" w:rsidR="00857CC3" w:rsidRPr="00363142" w:rsidRDefault="00857CC3" w:rsidP="00161841">
            <w:pPr>
              <w:rPr>
                <w:rFonts w:ascii="Tahoma" w:hAnsi="Tahoma" w:cs="Tahoma"/>
                <w:b/>
                <w:bCs/>
                <w:color w:val="000000"/>
                <w:sz w:val="20"/>
                <w:szCs w:val="20"/>
              </w:rPr>
            </w:pPr>
            <w:r w:rsidRPr="00363142">
              <w:rPr>
                <w:rFonts w:ascii="Tahoma" w:hAnsi="Tahoma" w:cs="Tahoma"/>
                <w:b/>
                <w:bCs/>
                <w:color w:val="000000"/>
                <w:sz w:val="20"/>
                <w:szCs w:val="20"/>
              </w:rPr>
              <w:t xml:space="preserve"> 134,40   </w:t>
            </w:r>
          </w:p>
        </w:tc>
        <w:tc>
          <w:tcPr>
            <w:tcW w:w="835" w:type="pct"/>
            <w:tcBorders>
              <w:top w:val="single" w:sz="4" w:space="0" w:color="auto"/>
              <w:left w:val="single" w:sz="4" w:space="0" w:color="auto"/>
              <w:bottom w:val="single" w:sz="4" w:space="0" w:color="auto"/>
              <w:right w:val="single" w:sz="4" w:space="0" w:color="auto"/>
            </w:tcBorders>
            <w:shd w:val="clear" w:color="000000" w:fill="FFFFFF"/>
            <w:vAlign w:val="center"/>
          </w:tcPr>
          <w:p w14:paraId="35DC826E" w14:textId="77777777" w:rsidR="00857CC3" w:rsidRPr="00363142" w:rsidRDefault="00857CC3" w:rsidP="00161841">
            <w:pPr>
              <w:rPr>
                <w:rFonts w:ascii="Tahoma" w:hAnsi="Tahoma" w:cs="Tahoma"/>
                <w:color w:val="000000"/>
                <w:sz w:val="20"/>
                <w:szCs w:val="20"/>
              </w:rPr>
            </w:pPr>
            <w:r w:rsidRPr="00363142">
              <w:rPr>
                <w:rFonts w:ascii="Tahoma" w:hAnsi="Tahoma" w:cs="Tahoma"/>
                <w:color w:val="000000"/>
                <w:sz w:val="20"/>
                <w:szCs w:val="20"/>
              </w:rPr>
              <w:t xml:space="preserve">            22,40   </w:t>
            </w:r>
          </w:p>
        </w:tc>
      </w:tr>
      <w:tr w:rsidR="00857CC3" w:rsidRPr="00363142" w14:paraId="2D24982C" w14:textId="77777777" w:rsidTr="00161841">
        <w:trPr>
          <w:trHeight w:val="285"/>
        </w:trPr>
        <w:tc>
          <w:tcPr>
            <w:tcW w:w="4165" w:type="pct"/>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14:paraId="60B08996" w14:textId="77777777" w:rsidR="00857CC3" w:rsidRPr="00363142" w:rsidRDefault="00857CC3" w:rsidP="00161841">
            <w:pPr>
              <w:rPr>
                <w:rFonts w:ascii="Tahoma" w:hAnsi="Tahoma" w:cs="Tahoma"/>
                <w:color w:val="000000"/>
                <w:sz w:val="20"/>
                <w:szCs w:val="20"/>
              </w:rPr>
            </w:pPr>
            <w:r w:rsidRPr="00363142">
              <w:rPr>
                <w:rFonts w:ascii="Tahoma" w:hAnsi="Tahoma" w:cs="Tahoma"/>
                <w:color w:val="000000"/>
                <w:sz w:val="20"/>
                <w:szCs w:val="20"/>
              </w:rPr>
              <w:t>Обращение в целях  смены владельца закладной, в том числе НДС:</w:t>
            </w:r>
          </w:p>
        </w:tc>
        <w:tc>
          <w:tcPr>
            <w:tcW w:w="835" w:type="pct"/>
            <w:tcBorders>
              <w:top w:val="single" w:sz="4" w:space="0" w:color="auto"/>
              <w:left w:val="single" w:sz="4" w:space="0" w:color="auto"/>
              <w:bottom w:val="single" w:sz="4" w:space="0" w:color="auto"/>
              <w:right w:val="single" w:sz="4" w:space="0" w:color="auto"/>
            </w:tcBorders>
            <w:shd w:val="clear" w:color="000000" w:fill="FFFFFF"/>
          </w:tcPr>
          <w:p w14:paraId="6F9B1FEC" w14:textId="77777777" w:rsidR="00857CC3" w:rsidRPr="00363142" w:rsidRDefault="00857CC3" w:rsidP="00161841">
            <w:pPr>
              <w:rPr>
                <w:rFonts w:ascii="Tahoma" w:hAnsi="Tahoma" w:cs="Tahoma"/>
                <w:color w:val="000000"/>
                <w:sz w:val="20"/>
                <w:szCs w:val="20"/>
              </w:rPr>
            </w:pPr>
          </w:p>
        </w:tc>
      </w:tr>
      <w:tr w:rsidR="00857CC3" w:rsidRPr="00363142" w14:paraId="4D18349C" w14:textId="77777777" w:rsidTr="00161841">
        <w:trPr>
          <w:trHeight w:val="975"/>
        </w:trPr>
        <w:tc>
          <w:tcPr>
            <w:tcW w:w="3329" w:type="pct"/>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6FEE9823" w14:textId="77777777" w:rsidR="00857CC3" w:rsidRPr="00363142" w:rsidRDefault="00857CC3" w:rsidP="00161841">
            <w:pPr>
              <w:rPr>
                <w:rFonts w:ascii="Tahoma" w:hAnsi="Tahoma" w:cs="Tahoma"/>
                <w:color w:val="000000"/>
                <w:sz w:val="20"/>
                <w:szCs w:val="20"/>
              </w:rPr>
            </w:pPr>
            <w:r w:rsidRPr="00363142">
              <w:rPr>
                <w:rFonts w:ascii="Tahoma" w:hAnsi="Tahoma" w:cs="Tahoma"/>
                <w:color w:val="000000"/>
                <w:sz w:val="20"/>
                <w:szCs w:val="20"/>
              </w:rPr>
              <w:t>Государственная регистрация смены владельца закладной, в том числе сделки по уступке прав требования, включая внесение в ЕГРН записи об ипотеке, осуществляемой при смене владельца закладной</w:t>
            </w:r>
          </w:p>
        </w:tc>
        <w:tc>
          <w:tcPr>
            <w:tcW w:w="836"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F4F73D9" w14:textId="77777777" w:rsidR="00857CC3" w:rsidRPr="00363142" w:rsidRDefault="00857CC3" w:rsidP="00161841">
            <w:pPr>
              <w:rPr>
                <w:rFonts w:ascii="Tahoma" w:hAnsi="Tahoma" w:cs="Tahoma"/>
                <w:b/>
                <w:bCs/>
                <w:color w:val="000000"/>
                <w:sz w:val="20"/>
                <w:szCs w:val="20"/>
              </w:rPr>
            </w:pPr>
            <w:r w:rsidRPr="00363142">
              <w:rPr>
                <w:rFonts w:ascii="Tahoma" w:hAnsi="Tahoma" w:cs="Tahoma"/>
                <w:b/>
                <w:bCs/>
                <w:color w:val="000000"/>
                <w:sz w:val="20"/>
                <w:szCs w:val="20"/>
              </w:rPr>
              <w:t xml:space="preserve">29,40  </w:t>
            </w:r>
          </w:p>
        </w:tc>
        <w:tc>
          <w:tcPr>
            <w:tcW w:w="835" w:type="pct"/>
            <w:tcBorders>
              <w:top w:val="single" w:sz="4" w:space="0" w:color="auto"/>
              <w:left w:val="single" w:sz="4" w:space="0" w:color="auto"/>
              <w:bottom w:val="single" w:sz="4" w:space="0" w:color="auto"/>
              <w:right w:val="single" w:sz="4" w:space="0" w:color="auto"/>
            </w:tcBorders>
            <w:shd w:val="clear" w:color="000000" w:fill="FFFFFF"/>
            <w:vAlign w:val="center"/>
          </w:tcPr>
          <w:p w14:paraId="161C0C7F" w14:textId="77777777" w:rsidR="00857CC3" w:rsidRPr="00363142" w:rsidRDefault="00857CC3" w:rsidP="00161841">
            <w:pPr>
              <w:jc w:val="right"/>
              <w:rPr>
                <w:rFonts w:ascii="Tahoma" w:hAnsi="Tahoma" w:cs="Tahoma"/>
                <w:color w:val="000000"/>
                <w:sz w:val="20"/>
                <w:szCs w:val="20"/>
              </w:rPr>
            </w:pPr>
            <w:r w:rsidRPr="00363142">
              <w:rPr>
                <w:rFonts w:ascii="Tahoma" w:hAnsi="Tahoma" w:cs="Tahoma"/>
                <w:color w:val="000000"/>
                <w:sz w:val="20"/>
                <w:szCs w:val="20"/>
              </w:rPr>
              <w:t xml:space="preserve">             4,90   </w:t>
            </w:r>
          </w:p>
        </w:tc>
      </w:tr>
      <w:tr w:rsidR="00857CC3" w:rsidRPr="00363142" w14:paraId="78DC9822" w14:textId="77777777" w:rsidTr="00161841">
        <w:trPr>
          <w:trHeight w:val="675"/>
        </w:trPr>
        <w:tc>
          <w:tcPr>
            <w:tcW w:w="4165" w:type="pct"/>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14:paraId="34A721A9" w14:textId="77777777" w:rsidR="00857CC3" w:rsidRPr="00363142" w:rsidRDefault="00857CC3" w:rsidP="00161841">
            <w:pPr>
              <w:rPr>
                <w:rFonts w:ascii="Tahoma" w:hAnsi="Tahoma" w:cs="Tahoma"/>
                <w:color w:val="000000"/>
                <w:sz w:val="20"/>
                <w:szCs w:val="20"/>
              </w:rPr>
            </w:pPr>
            <w:r w:rsidRPr="00363142">
              <w:rPr>
                <w:rFonts w:ascii="Tahoma" w:hAnsi="Tahoma" w:cs="Tahoma"/>
                <w:color w:val="000000"/>
                <w:sz w:val="20"/>
                <w:szCs w:val="20"/>
              </w:rPr>
              <w:t>Обращение в целях  государственной регистрации договора аренды, договора безвозмездного срочного пользования земельным участком, договора субаренды, договора (соглашения) о присоединении к договору аренды, в том числе НДС:</w:t>
            </w:r>
          </w:p>
        </w:tc>
        <w:tc>
          <w:tcPr>
            <w:tcW w:w="835" w:type="pct"/>
            <w:tcBorders>
              <w:top w:val="single" w:sz="4" w:space="0" w:color="auto"/>
              <w:left w:val="single" w:sz="4" w:space="0" w:color="auto"/>
              <w:bottom w:val="single" w:sz="4" w:space="0" w:color="auto"/>
              <w:right w:val="single" w:sz="4" w:space="0" w:color="auto"/>
            </w:tcBorders>
            <w:shd w:val="clear" w:color="000000" w:fill="FFFFFF"/>
          </w:tcPr>
          <w:p w14:paraId="0AC313D5" w14:textId="77777777" w:rsidR="00857CC3" w:rsidRPr="00363142" w:rsidRDefault="00857CC3" w:rsidP="00161841">
            <w:pPr>
              <w:rPr>
                <w:rFonts w:ascii="Tahoma" w:hAnsi="Tahoma" w:cs="Tahoma"/>
                <w:color w:val="000000"/>
                <w:sz w:val="20"/>
                <w:szCs w:val="20"/>
              </w:rPr>
            </w:pPr>
          </w:p>
        </w:tc>
      </w:tr>
      <w:tr w:rsidR="00857CC3" w:rsidRPr="00363142" w14:paraId="64F2CD4E" w14:textId="77777777" w:rsidTr="00161841">
        <w:trPr>
          <w:trHeight w:val="720"/>
        </w:trPr>
        <w:tc>
          <w:tcPr>
            <w:tcW w:w="3329" w:type="pct"/>
            <w:gridSpan w:val="2"/>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1C554AD" w14:textId="77777777" w:rsidR="00857CC3" w:rsidRPr="00363142" w:rsidRDefault="00857CC3" w:rsidP="00161841">
            <w:pPr>
              <w:rPr>
                <w:rFonts w:ascii="Tahoma" w:hAnsi="Tahoma" w:cs="Tahoma"/>
                <w:color w:val="000000"/>
                <w:sz w:val="20"/>
                <w:szCs w:val="20"/>
              </w:rPr>
            </w:pPr>
            <w:r w:rsidRPr="00363142">
              <w:rPr>
                <w:rFonts w:ascii="Tahoma" w:hAnsi="Tahoma" w:cs="Tahoma"/>
                <w:color w:val="000000"/>
                <w:sz w:val="20"/>
                <w:szCs w:val="20"/>
              </w:rPr>
              <w:t>Если договор заключен между физическими лицами</w:t>
            </w:r>
          </w:p>
        </w:tc>
        <w:tc>
          <w:tcPr>
            <w:tcW w:w="836" w:type="pct"/>
            <w:tcBorders>
              <w:top w:val="single" w:sz="4" w:space="0" w:color="auto"/>
              <w:left w:val="nil"/>
              <w:bottom w:val="single" w:sz="4" w:space="0" w:color="auto"/>
              <w:right w:val="single" w:sz="4" w:space="0" w:color="auto"/>
            </w:tcBorders>
            <w:shd w:val="clear" w:color="000000" w:fill="FFFFFF"/>
            <w:noWrap/>
            <w:vAlign w:val="center"/>
            <w:hideMark/>
          </w:tcPr>
          <w:p w14:paraId="4A4E424B" w14:textId="77777777" w:rsidR="00857CC3" w:rsidRPr="00363142" w:rsidRDefault="00857CC3" w:rsidP="00161841">
            <w:pPr>
              <w:rPr>
                <w:rFonts w:ascii="Tahoma" w:hAnsi="Tahoma" w:cs="Tahoma"/>
                <w:b/>
                <w:bCs/>
                <w:color w:val="000000"/>
                <w:sz w:val="20"/>
                <w:szCs w:val="20"/>
              </w:rPr>
            </w:pPr>
            <w:r w:rsidRPr="00363142">
              <w:rPr>
                <w:rFonts w:ascii="Tahoma" w:hAnsi="Tahoma" w:cs="Tahoma"/>
                <w:b/>
                <w:bCs/>
                <w:color w:val="000000"/>
                <w:sz w:val="20"/>
                <w:szCs w:val="20"/>
              </w:rPr>
              <w:t xml:space="preserve"> 117,60   </w:t>
            </w:r>
          </w:p>
        </w:tc>
        <w:tc>
          <w:tcPr>
            <w:tcW w:w="835" w:type="pct"/>
            <w:tcBorders>
              <w:top w:val="single" w:sz="4" w:space="0" w:color="auto"/>
              <w:left w:val="nil"/>
              <w:bottom w:val="single" w:sz="4" w:space="0" w:color="auto"/>
              <w:right w:val="single" w:sz="4" w:space="0" w:color="auto"/>
            </w:tcBorders>
            <w:shd w:val="clear" w:color="000000" w:fill="FFFFFF"/>
            <w:vAlign w:val="center"/>
          </w:tcPr>
          <w:p w14:paraId="37522218" w14:textId="77777777" w:rsidR="00857CC3" w:rsidRPr="00363142" w:rsidRDefault="00857CC3" w:rsidP="00161841">
            <w:pPr>
              <w:rPr>
                <w:rFonts w:ascii="Tahoma" w:hAnsi="Tahoma" w:cs="Tahoma"/>
                <w:b/>
                <w:bCs/>
                <w:color w:val="000000"/>
                <w:sz w:val="20"/>
                <w:szCs w:val="20"/>
              </w:rPr>
            </w:pPr>
            <w:r w:rsidRPr="00363142">
              <w:rPr>
                <w:rFonts w:ascii="Tahoma" w:hAnsi="Tahoma" w:cs="Tahoma"/>
                <w:color w:val="000000"/>
                <w:sz w:val="20"/>
                <w:szCs w:val="20"/>
              </w:rPr>
              <w:t xml:space="preserve">            19,60   </w:t>
            </w:r>
          </w:p>
        </w:tc>
      </w:tr>
      <w:tr w:rsidR="00857CC3" w:rsidRPr="00363142" w14:paraId="3E834222" w14:textId="77777777" w:rsidTr="00161841">
        <w:trPr>
          <w:trHeight w:val="660"/>
        </w:trPr>
        <w:tc>
          <w:tcPr>
            <w:tcW w:w="3329" w:type="pct"/>
            <w:gridSpan w:val="2"/>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1BB1A54" w14:textId="77777777" w:rsidR="00857CC3" w:rsidRPr="00363142" w:rsidRDefault="00857CC3" w:rsidP="00161841">
            <w:pPr>
              <w:rPr>
                <w:rFonts w:ascii="Tahoma" w:hAnsi="Tahoma" w:cs="Tahoma"/>
                <w:color w:val="000000"/>
                <w:sz w:val="20"/>
                <w:szCs w:val="20"/>
              </w:rPr>
            </w:pPr>
            <w:r w:rsidRPr="00363142">
              <w:rPr>
                <w:rFonts w:ascii="Tahoma" w:hAnsi="Tahoma" w:cs="Tahoma"/>
                <w:color w:val="000000"/>
                <w:sz w:val="20"/>
                <w:szCs w:val="20"/>
              </w:rPr>
              <w:t>Если договор заключен между юридическими лицами</w:t>
            </w:r>
          </w:p>
        </w:tc>
        <w:tc>
          <w:tcPr>
            <w:tcW w:w="836" w:type="pct"/>
            <w:tcBorders>
              <w:top w:val="single" w:sz="4" w:space="0" w:color="auto"/>
              <w:left w:val="nil"/>
              <w:bottom w:val="single" w:sz="4" w:space="0" w:color="auto"/>
              <w:right w:val="single" w:sz="4" w:space="0" w:color="auto"/>
            </w:tcBorders>
            <w:shd w:val="clear" w:color="000000" w:fill="FFFFFF"/>
            <w:noWrap/>
            <w:vAlign w:val="center"/>
            <w:hideMark/>
          </w:tcPr>
          <w:p w14:paraId="11EDDF10" w14:textId="77777777" w:rsidR="00857CC3" w:rsidRPr="00363142" w:rsidRDefault="00857CC3" w:rsidP="00161841">
            <w:pPr>
              <w:rPr>
                <w:rFonts w:ascii="Tahoma" w:hAnsi="Tahoma" w:cs="Tahoma"/>
                <w:b/>
                <w:bCs/>
                <w:color w:val="000000"/>
                <w:sz w:val="20"/>
                <w:szCs w:val="20"/>
              </w:rPr>
            </w:pPr>
            <w:r w:rsidRPr="00363142">
              <w:rPr>
                <w:rFonts w:ascii="Tahoma" w:hAnsi="Tahoma" w:cs="Tahoma"/>
                <w:b/>
                <w:bCs/>
                <w:color w:val="000000"/>
                <w:sz w:val="20"/>
                <w:szCs w:val="20"/>
              </w:rPr>
              <w:t xml:space="preserve">1 848,00   </w:t>
            </w:r>
          </w:p>
        </w:tc>
        <w:tc>
          <w:tcPr>
            <w:tcW w:w="835" w:type="pct"/>
            <w:tcBorders>
              <w:top w:val="single" w:sz="4" w:space="0" w:color="auto"/>
              <w:left w:val="nil"/>
              <w:bottom w:val="single" w:sz="4" w:space="0" w:color="auto"/>
              <w:right w:val="single" w:sz="4" w:space="0" w:color="auto"/>
            </w:tcBorders>
            <w:shd w:val="clear" w:color="000000" w:fill="FFFFFF"/>
            <w:vAlign w:val="center"/>
          </w:tcPr>
          <w:p w14:paraId="6D93146B" w14:textId="77777777" w:rsidR="00857CC3" w:rsidRPr="00363142" w:rsidRDefault="00857CC3" w:rsidP="00161841">
            <w:pPr>
              <w:rPr>
                <w:rFonts w:ascii="Tahoma" w:hAnsi="Tahoma" w:cs="Tahoma"/>
                <w:b/>
                <w:bCs/>
                <w:color w:val="000000"/>
                <w:sz w:val="20"/>
                <w:szCs w:val="20"/>
              </w:rPr>
            </w:pPr>
            <w:r w:rsidRPr="00363142">
              <w:rPr>
                <w:rFonts w:ascii="Tahoma" w:hAnsi="Tahoma" w:cs="Tahoma"/>
                <w:color w:val="000000"/>
                <w:sz w:val="20"/>
                <w:szCs w:val="20"/>
              </w:rPr>
              <w:t xml:space="preserve">          308,00   </w:t>
            </w:r>
          </w:p>
        </w:tc>
      </w:tr>
      <w:tr w:rsidR="00857CC3" w:rsidRPr="00363142" w14:paraId="2CFA5C8A" w14:textId="77777777" w:rsidTr="00161841">
        <w:trPr>
          <w:trHeight w:val="285"/>
        </w:trPr>
        <w:tc>
          <w:tcPr>
            <w:tcW w:w="3329" w:type="pct"/>
            <w:gridSpan w:val="2"/>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C8CF688" w14:textId="77777777" w:rsidR="00857CC3" w:rsidRPr="00363142" w:rsidRDefault="00857CC3" w:rsidP="00161841">
            <w:pPr>
              <w:rPr>
                <w:rFonts w:ascii="Tahoma" w:hAnsi="Tahoma" w:cs="Tahoma"/>
                <w:color w:val="000000"/>
                <w:sz w:val="20"/>
                <w:szCs w:val="20"/>
              </w:rPr>
            </w:pPr>
            <w:r w:rsidRPr="00363142">
              <w:rPr>
                <w:rFonts w:ascii="Tahoma" w:hAnsi="Tahoma" w:cs="Tahoma"/>
                <w:color w:val="000000"/>
                <w:sz w:val="20"/>
                <w:szCs w:val="20"/>
              </w:rPr>
              <w:t>Если договор заключен между юридическим лицом и физическим лицом</w:t>
            </w:r>
          </w:p>
        </w:tc>
        <w:tc>
          <w:tcPr>
            <w:tcW w:w="836" w:type="pct"/>
            <w:tcBorders>
              <w:top w:val="single" w:sz="4" w:space="0" w:color="auto"/>
              <w:left w:val="nil"/>
              <w:bottom w:val="single" w:sz="4" w:space="0" w:color="auto"/>
              <w:right w:val="single" w:sz="4" w:space="0" w:color="auto"/>
            </w:tcBorders>
            <w:shd w:val="clear" w:color="000000" w:fill="FFFFFF"/>
            <w:noWrap/>
            <w:vAlign w:val="center"/>
            <w:hideMark/>
          </w:tcPr>
          <w:p w14:paraId="56DA93A0" w14:textId="77777777" w:rsidR="00857CC3" w:rsidRPr="00363142" w:rsidRDefault="00857CC3" w:rsidP="00161841">
            <w:pPr>
              <w:rPr>
                <w:rFonts w:ascii="Tahoma" w:hAnsi="Tahoma" w:cs="Tahoma"/>
                <w:b/>
                <w:bCs/>
                <w:color w:val="000000"/>
                <w:sz w:val="20"/>
                <w:szCs w:val="20"/>
              </w:rPr>
            </w:pPr>
            <w:r w:rsidRPr="00363142">
              <w:rPr>
                <w:rFonts w:ascii="Tahoma" w:hAnsi="Tahoma" w:cs="Tahoma"/>
                <w:b/>
                <w:bCs/>
                <w:color w:val="000000"/>
                <w:sz w:val="20"/>
                <w:szCs w:val="20"/>
              </w:rPr>
              <w:t xml:space="preserve"> 982,80   </w:t>
            </w:r>
          </w:p>
        </w:tc>
        <w:tc>
          <w:tcPr>
            <w:tcW w:w="835" w:type="pct"/>
            <w:tcBorders>
              <w:top w:val="single" w:sz="4" w:space="0" w:color="auto"/>
              <w:left w:val="nil"/>
              <w:bottom w:val="single" w:sz="4" w:space="0" w:color="auto"/>
              <w:right w:val="single" w:sz="4" w:space="0" w:color="auto"/>
            </w:tcBorders>
            <w:shd w:val="clear" w:color="000000" w:fill="FFFFFF"/>
            <w:vAlign w:val="center"/>
          </w:tcPr>
          <w:p w14:paraId="1A5E4143" w14:textId="77777777" w:rsidR="00857CC3" w:rsidRPr="00363142" w:rsidRDefault="00857CC3" w:rsidP="00161841">
            <w:pPr>
              <w:rPr>
                <w:rFonts w:ascii="Tahoma" w:hAnsi="Tahoma" w:cs="Tahoma"/>
                <w:b/>
                <w:bCs/>
                <w:color w:val="000000"/>
                <w:sz w:val="20"/>
                <w:szCs w:val="20"/>
              </w:rPr>
            </w:pPr>
            <w:r w:rsidRPr="00363142">
              <w:rPr>
                <w:rFonts w:ascii="Tahoma" w:hAnsi="Tahoma" w:cs="Tahoma"/>
                <w:color w:val="000000"/>
                <w:sz w:val="20"/>
                <w:szCs w:val="20"/>
              </w:rPr>
              <w:t xml:space="preserve">          163,80   </w:t>
            </w:r>
          </w:p>
        </w:tc>
      </w:tr>
      <w:tr w:rsidR="00857CC3" w:rsidRPr="008942A1" w14:paraId="28118758" w14:textId="77777777" w:rsidTr="00161841">
        <w:trPr>
          <w:trHeight w:val="1410"/>
        </w:trPr>
        <w:tc>
          <w:tcPr>
            <w:tcW w:w="3329" w:type="pct"/>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1BBCF2A0" w14:textId="77777777" w:rsidR="00857CC3" w:rsidRPr="00363142" w:rsidRDefault="00857CC3" w:rsidP="00161841">
            <w:pPr>
              <w:rPr>
                <w:rFonts w:ascii="Tahoma" w:hAnsi="Tahoma" w:cs="Tahoma"/>
                <w:color w:val="000000"/>
                <w:sz w:val="20"/>
                <w:szCs w:val="20"/>
              </w:rPr>
            </w:pPr>
            <w:r w:rsidRPr="00363142">
              <w:rPr>
                <w:rFonts w:ascii="Tahoma" w:hAnsi="Tahoma" w:cs="Tahoma"/>
                <w:color w:val="000000"/>
                <w:sz w:val="20"/>
                <w:szCs w:val="20"/>
              </w:rPr>
              <w:t xml:space="preserve">Обращение в целях совершения Росреестром иных юридически значимых действий, государственные пошлины за которые предусмотрены главой 25.3. Налогового кодекса РФ. </w:t>
            </w:r>
          </w:p>
          <w:p w14:paraId="3AB4AB75" w14:textId="77777777" w:rsidR="00857CC3" w:rsidRPr="00363142" w:rsidRDefault="00857CC3" w:rsidP="00161841">
            <w:pPr>
              <w:rPr>
                <w:rFonts w:ascii="Tahoma" w:hAnsi="Tahoma" w:cs="Tahoma"/>
                <w:color w:val="000000"/>
                <w:sz w:val="20"/>
                <w:szCs w:val="20"/>
              </w:rPr>
            </w:pPr>
            <w:r w:rsidRPr="00363142">
              <w:rPr>
                <w:rFonts w:ascii="Tahoma" w:hAnsi="Tahoma" w:cs="Tahoma"/>
                <w:color w:val="000000"/>
                <w:sz w:val="20"/>
                <w:szCs w:val="20"/>
              </w:rPr>
              <w:t>В таком случае размер платежа Банку (в том числе НДС) на оплату вознаграждения обществу ООО «Практика успеха» за электронно-техническое взаимодействие в целях электронной регистрации будет рассчитываться по следующей формуле: размер государственной пошлины согласно главе 25.3. Налогового кодекса РФ (в руб.), умноженный на 0,07,а затем умноженный на 1,2.</w:t>
            </w:r>
          </w:p>
        </w:tc>
        <w:tc>
          <w:tcPr>
            <w:tcW w:w="836"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0227E59" w14:textId="77777777" w:rsidR="00857CC3" w:rsidRPr="00363142" w:rsidRDefault="00857CC3" w:rsidP="00161841">
            <w:pPr>
              <w:rPr>
                <w:rFonts w:ascii="Tahoma" w:hAnsi="Tahoma" w:cs="Tahoma"/>
                <w:color w:val="000000"/>
                <w:sz w:val="20"/>
                <w:szCs w:val="20"/>
              </w:rPr>
            </w:pPr>
            <w:r w:rsidRPr="00363142">
              <w:rPr>
                <w:rFonts w:ascii="Tahoma" w:hAnsi="Tahoma" w:cs="Tahoma"/>
                <w:color w:val="000000"/>
                <w:sz w:val="20"/>
                <w:szCs w:val="20"/>
              </w:rPr>
              <w:t xml:space="preserve">                    -     </w:t>
            </w:r>
          </w:p>
        </w:tc>
        <w:tc>
          <w:tcPr>
            <w:tcW w:w="835" w:type="pct"/>
            <w:tcBorders>
              <w:top w:val="single" w:sz="4" w:space="0" w:color="auto"/>
              <w:left w:val="single" w:sz="4" w:space="0" w:color="auto"/>
              <w:bottom w:val="single" w:sz="4" w:space="0" w:color="auto"/>
              <w:right w:val="single" w:sz="4" w:space="0" w:color="auto"/>
            </w:tcBorders>
            <w:shd w:val="clear" w:color="000000" w:fill="FFFFFF"/>
          </w:tcPr>
          <w:p w14:paraId="0655E3D1" w14:textId="77777777" w:rsidR="00857CC3" w:rsidRPr="00363142" w:rsidRDefault="00857CC3" w:rsidP="00161841">
            <w:pPr>
              <w:rPr>
                <w:rFonts w:ascii="Tahoma" w:hAnsi="Tahoma" w:cs="Tahoma"/>
                <w:color w:val="000000"/>
                <w:sz w:val="20"/>
                <w:szCs w:val="20"/>
              </w:rPr>
            </w:pPr>
          </w:p>
        </w:tc>
      </w:tr>
    </w:tbl>
    <w:p w14:paraId="4381FA35" w14:textId="77777777" w:rsidR="00857CC3" w:rsidRPr="00363142" w:rsidRDefault="00857CC3" w:rsidP="00857CC3">
      <w:pPr>
        <w:rPr>
          <w:lang w:eastAsia="x-none"/>
        </w:rPr>
      </w:pPr>
    </w:p>
    <w:p w14:paraId="36D3E3F8" w14:textId="77777777" w:rsidR="004E30AD" w:rsidRPr="00470B5F" w:rsidRDefault="004E30AD" w:rsidP="004E30AD"/>
    <w:p w14:paraId="58AE9F54" w14:textId="77777777" w:rsidR="00470B5F" w:rsidRPr="00CE5927" w:rsidRDefault="00470B5F" w:rsidP="00470B5F">
      <w:pPr>
        <w:rPr>
          <w:rFonts w:ascii="Tahoma" w:hAnsi="Tahoma" w:cs="Tahoma"/>
          <w:sz w:val="22"/>
          <w:szCs w:val="22"/>
        </w:rPr>
      </w:pPr>
    </w:p>
    <w:sectPr w:rsidR="00470B5F" w:rsidRPr="00CE5927" w:rsidSect="004E30AD">
      <w:footerReference w:type="even" r:id="rId126"/>
      <w:footerReference w:type="default" r:id="rId127"/>
      <w:endnotePr>
        <w:numFmt w:val="decimal"/>
      </w:endnotePr>
      <w:pgSz w:w="16838" w:h="11906" w:orient="landscape"/>
      <w:pgMar w:top="567" w:right="567" w:bottom="0" w:left="1134" w:header="709" w:footer="10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2A2488" w14:textId="77777777" w:rsidR="00CD1C59" w:rsidRDefault="00CD1C59">
      <w:r>
        <w:separator/>
      </w:r>
    </w:p>
  </w:endnote>
  <w:endnote w:type="continuationSeparator" w:id="0">
    <w:p w14:paraId="63C16FB2" w14:textId="77777777" w:rsidR="00CD1C59" w:rsidRDefault="00CD1C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 New Roman CYR">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choolBook">
    <w:altName w:val="Times New Roman"/>
    <w:panose1 w:val="00000000000000000000"/>
    <w:charset w:val="00"/>
    <w:family w:val="auto"/>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ET">
    <w:altName w:val="Times New Roman"/>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NTHarmonica">
    <w:altName w:val="Corbel"/>
    <w:charset w:val="CC"/>
    <w:family w:val="auto"/>
    <w:pitch w:val="variable"/>
    <w:sig w:usb0="80000203" w:usb1="00000000" w:usb2="00000000" w:usb3="00000000" w:csb0="00000005" w:csb1="00000000"/>
  </w:font>
  <w:font w:name="Helvetica">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pitch w:val="fixed"/>
    <w:sig w:usb0="00000000"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3722F6" w14:textId="48604696" w:rsidR="009D1253" w:rsidRDefault="009D1253">
    <w:pPr>
      <w:pStyle w:val="ac"/>
      <w:jc w:val="center"/>
    </w:pPr>
    <w:r>
      <w:fldChar w:fldCharType="begin"/>
    </w:r>
    <w:r>
      <w:instrText>PAGE   \* MERGEFORMAT</w:instrText>
    </w:r>
    <w:r>
      <w:fldChar w:fldCharType="separate"/>
    </w:r>
    <w:r w:rsidR="00F343F0">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88310" w14:textId="37573A97" w:rsidR="009D1253" w:rsidRDefault="009D1253">
    <w:pPr>
      <w:pStyle w:val="ac"/>
      <w:jc w:val="center"/>
    </w:pPr>
    <w:r>
      <w:fldChar w:fldCharType="begin"/>
    </w:r>
    <w:r>
      <w:instrText>PAGE   \* MERGEFORMAT</w:instrText>
    </w:r>
    <w:r>
      <w:fldChar w:fldCharType="separate"/>
    </w:r>
    <w:r w:rsidR="00440295">
      <w:rPr>
        <w:noProof/>
      </w:rPr>
      <w:t>48</w:t>
    </w:r>
    <w:r>
      <w:fldChar w:fldCharType="end"/>
    </w:r>
  </w:p>
  <w:p w14:paraId="6E98F8AB" w14:textId="77777777" w:rsidR="009D1253" w:rsidRDefault="009D1253">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8C4DD4" w14:textId="77777777" w:rsidR="00382481" w:rsidRDefault="00382481">
    <w:pPr>
      <w:pStyle w:val="ac"/>
      <w:framePr w:wrap="around" w:vAnchor="text" w:hAnchor="margin" w:xAlign="right" w:y="1"/>
      <w:rPr>
        <w:rStyle w:val="af8"/>
      </w:rPr>
    </w:pPr>
    <w:r>
      <w:rPr>
        <w:rStyle w:val="af8"/>
      </w:rPr>
      <w:fldChar w:fldCharType="begin"/>
    </w:r>
    <w:r>
      <w:rPr>
        <w:rStyle w:val="af8"/>
      </w:rPr>
      <w:instrText xml:space="preserve">PAGE  </w:instrText>
    </w:r>
    <w:r>
      <w:rPr>
        <w:rStyle w:val="af8"/>
      </w:rPr>
      <w:fldChar w:fldCharType="separate"/>
    </w:r>
    <w:r>
      <w:rPr>
        <w:rStyle w:val="af8"/>
        <w:noProof/>
      </w:rPr>
      <w:t>1</w:t>
    </w:r>
    <w:r>
      <w:rPr>
        <w:rStyle w:val="af8"/>
      </w:rPr>
      <w:fldChar w:fldCharType="end"/>
    </w:r>
  </w:p>
  <w:p w14:paraId="339287BF" w14:textId="77777777" w:rsidR="00382481" w:rsidRDefault="00382481">
    <w:pPr>
      <w:pStyle w:val="ac"/>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C8856" w14:textId="40CDA339" w:rsidR="00382481" w:rsidRDefault="00382481">
    <w:pPr>
      <w:pStyle w:val="ac"/>
      <w:framePr w:wrap="around" w:vAnchor="text" w:hAnchor="margin" w:xAlign="right" w:y="1"/>
      <w:rPr>
        <w:rStyle w:val="af8"/>
      </w:rPr>
    </w:pPr>
    <w:r>
      <w:rPr>
        <w:rStyle w:val="af8"/>
      </w:rPr>
      <w:fldChar w:fldCharType="begin"/>
    </w:r>
    <w:r>
      <w:rPr>
        <w:rStyle w:val="af8"/>
      </w:rPr>
      <w:instrText xml:space="preserve">PAGE  </w:instrText>
    </w:r>
    <w:r>
      <w:rPr>
        <w:rStyle w:val="af8"/>
      </w:rPr>
      <w:fldChar w:fldCharType="separate"/>
    </w:r>
    <w:r w:rsidR="00440295">
      <w:rPr>
        <w:rStyle w:val="af8"/>
        <w:noProof/>
      </w:rPr>
      <w:t>61</w:t>
    </w:r>
    <w:r>
      <w:rPr>
        <w:rStyle w:val="af8"/>
      </w:rPr>
      <w:fldChar w:fldCharType="end"/>
    </w:r>
  </w:p>
  <w:p w14:paraId="0716EF49" w14:textId="77777777" w:rsidR="00382481" w:rsidRDefault="00382481">
    <w:pPr>
      <w:pStyle w:val="ac"/>
      <w:ind w:right="360"/>
      <w:jc w:val="right"/>
      <w:rPr>
        <w:b/>
        <w:sz w:val="16"/>
      </w:rPr>
    </w:pPr>
    <w:r>
      <w:rPr>
        <w:b/>
        <w:sz w:val="16"/>
      </w:rPr>
      <w:t>-</w:t>
    </w:r>
    <w:r>
      <w:rPr>
        <w:rStyle w:val="af8"/>
        <w:b/>
        <w:sz w:val="16"/>
      </w:rP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CA0B4C" w14:textId="47124FC1" w:rsidR="009D1253" w:rsidRDefault="009D1253">
    <w:pPr>
      <w:pStyle w:val="ac"/>
      <w:jc w:val="center"/>
    </w:pPr>
    <w:r>
      <w:fldChar w:fldCharType="begin"/>
    </w:r>
    <w:r>
      <w:instrText>PAGE   \* MERGEFORMAT</w:instrText>
    </w:r>
    <w:r>
      <w:fldChar w:fldCharType="separate"/>
    </w:r>
    <w:r w:rsidR="00440295">
      <w:rPr>
        <w:noProof/>
      </w:rPr>
      <w:t>298</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722CC7" w14:textId="42187BC6" w:rsidR="009D1253" w:rsidRPr="005379F0" w:rsidRDefault="009D1253" w:rsidP="005B68FD">
    <w:r w:rsidRPr="005379F0">
      <w:fldChar w:fldCharType="begin"/>
    </w:r>
    <w:r w:rsidRPr="005379F0">
      <w:instrText>PAGE   \* MERGEFORMAT</w:instrText>
    </w:r>
    <w:r w:rsidRPr="005379F0">
      <w:fldChar w:fldCharType="separate"/>
    </w:r>
    <w:r w:rsidR="00440295">
      <w:rPr>
        <w:noProof/>
      </w:rPr>
      <w:t>365</w:t>
    </w:r>
    <w:r w:rsidRPr="005379F0">
      <w:fldChar w:fldCharType="end"/>
    </w:r>
  </w:p>
  <w:p w14:paraId="722CCF2B" w14:textId="77777777" w:rsidR="009D1253" w:rsidRPr="005379F0" w:rsidRDefault="009D1253" w:rsidP="005B68FD"/>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9A819D" w14:textId="77777777" w:rsidR="009D1253" w:rsidRDefault="009D1253">
    <w:pPr>
      <w:pStyle w:val="ac"/>
      <w:framePr w:wrap="around" w:vAnchor="text" w:hAnchor="margin" w:xAlign="right" w:y="1"/>
      <w:rPr>
        <w:rStyle w:val="af8"/>
      </w:rPr>
    </w:pPr>
    <w:r>
      <w:rPr>
        <w:rStyle w:val="af8"/>
      </w:rPr>
      <w:fldChar w:fldCharType="begin"/>
    </w:r>
    <w:r>
      <w:rPr>
        <w:rStyle w:val="af8"/>
      </w:rPr>
      <w:instrText xml:space="preserve">PAGE  </w:instrText>
    </w:r>
    <w:r>
      <w:rPr>
        <w:rStyle w:val="af8"/>
      </w:rPr>
      <w:fldChar w:fldCharType="separate"/>
    </w:r>
    <w:r>
      <w:rPr>
        <w:rStyle w:val="af8"/>
        <w:noProof/>
      </w:rPr>
      <w:t>1</w:t>
    </w:r>
    <w:r>
      <w:rPr>
        <w:rStyle w:val="af8"/>
      </w:rPr>
      <w:fldChar w:fldCharType="end"/>
    </w:r>
  </w:p>
  <w:p w14:paraId="4F6B5853" w14:textId="77777777" w:rsidR="009D1253" w:rsidRDefault="009D1253">
    <w:pPr>
      <w:pStyle w:val="ac"/>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E8526" w14:textId="473A8224" w:rsidR="009D1253" w:rsidRDefault="009D1253">
    <w:pPr>
      <w:pStyle w:val="ac"/>
      <w:framePr w:wrap="around" w:vAnchor="text" w:hAnchor="margin" w:xAlign="right" w:y="1"/>
      <w:rPr>
        <w:rStyle w:val="af8"/>
      </w:rPr>
    </w:pPr>
    <w:r>
      <w:rPr>
        <w:rStyle w:val="af8"/>
      </w:rPr>
      <w:fldChar w:fldCharType="begin"/>
    </w:r>
    <w:r>
      <w:rPr>
        <w:rStyle w:val="af8"/>
      </w:rPr>
      <w:instrText xml:space="preserve">PAGE  </w:instrText>
    </w:r>
    <w:r>
      <w:rPr>
        <w:rStyle w:val="af8"/>
      </w:rPr>
      <w:fldChar w:fldCharType="separate"/>
    </w:r>
    <w:r w:rsidR="00440295">
      <w:rPr>
        <w:rStyle w:val="af8"/>
        <w:noProof/>
      </w:rPr>
      <w:t>394</w:t>
    </w:r>
    <w:r>
      <w:rPr>
        <w:rStyle w:val="af8"/>
      </w:rPr>
      <w:fldChar w:fldCharType="end"/>
    </w:r>
  </w:p>
  <w:p w14:paraId="3777088D" w14:textId="77777777" w:rsidR="009D1253" w:rsidRDefault="009D1253">
    <w:pPr>
      <w:pStyle w:val="ac"/>
      <w:ind w:right="360"/>
      <w:jc w:val="right"/>
      <w:rPr>
        <w:b/>
        <w:sz w:val="16"/>
      </w:rPr>
    </w:pPr>
    <w:r>
      <w:rPr>
        <w:b/>
        <w:sz w:val="16"/>
      </w:rPr>
      <w:t>-</w:t>
    </w:r>
    <w:r>
      <w:rPr>
        <w:rStyle w:val="af8"/>
        <w:b/>
        <w:sz w:val="16"/>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120194" w14:textId="77777777" w:rsidR="00CD1C59" w:rsidRDefault="00CD1C59">
      <w:r>
        <w:separator/>
      </w:r>
    </w:p>
  </w:footnote>
  <w:footnote w:type="continuationSeparator" w:id="0">
    <w:p w14:paraId="238E0E14" w14:textId="77777777" w:rsidR="00CD1C59" w:rsidRDefault="00CD1C59">
      <w:r>
        <w:continuationSeparator/>
      </w:r>
    </w:p>
  </w:footnote>
  <w:footnote w:id="1">
    <w:p w14:paraId="2D0CAEC2" w14:textId="77777777" w:rsidR="009D1253" w:rsidRDefault="009D1253" w:rsidP="00DF74D7">
      <w:pPr>
        <w:pStyle w:val="aff1"/>
        <w:jc w:val="both"/>
      </w:pPr>
      <w:r>
        <w:rPr>
          <w:rStyle w:val="aff3"/>
        </w:rPr>
        <w:footnoteRef/>
      </w:r>
      <w:r>
        <w:t xml:space="preserve"> Курс</w:t>
      </w:r>
      <w:r>
        <w:rPr>
          <w:rFonts w:ascii="Tahoma" w:hAnsi="Tahoma" w:cs="Tahoma"/>
          <w:sz w:val="16"/>
          <w:szCs w:val="16"/>
        </w:rPr>
        <w:t xml:space="preserve"> Банка размещается в сети Интернет на официальном сайте Банка, а также в отделениях Банка, осуществляющих продажу мерных слитков из драгоценных металлов физическим лицам.</w:t>
      </w:r>
    </w:p>
  </w:footnote>
  <w:footnote w:id="2">
    <w:p w14:paraId="5A990FBB" w14:textId="77777777" w:rsidR="009D1253" w:rsidRDefault="009D1253" w:rsidP="00DF74D7">
      <w:pPr>
        <w:pStyle w:val="aff1"/>
        <w:jc w:val="both"/>
      </w:pPr>
      <w:r>
        <w:rPr>
          <w:rStyle w:val="aff3"/>
        </w:rPr>
        <w:footnoteRef/>
      </w:r>
      <w:r>
        <w:t xml:space="preserve"> Курс</w:t>
      </w:r>
      <w:r>
        <w:rPr>
          <w:rFonts w:ascii="Tahoma" w:hAnsi="Tahoma" w:cs="Tahoma"/>
          <w:sz w:val="16"/>
          <w:szCs w:val="16"/>
        </w:rPr>
        <w:t xml:space="preserve"> Банка размещается в сети Интернет на официальном сайте Банка, а также в отделении Банка, осуществляющем покупку мерных слитков из драгоценных металлов у физических лиц.</w:t>
      </w:r>
    </w:p>
  </w:footnote>
  <w:footnote w:id="3">
    <w:p w14:paraId="66B62B06" w14:textId="77777777" w:rsidR="00382481" w:rsidRPr="008033EB" w:rsidRDefault="00382481" w:rsidP="00382481">
      <w:pPr>
        <w:pStyle w:val="aff1"/>
        <w:jc w:val="both"/>
        <w:rPr>
          <w:rFonts w:ascii="Tahoma" w:hAnsi="Tahoma" w:cs="Tahoma"/>
          <w:sz w:val="18"/>
          <w:szCs w:val="18"/>
        </w:rPr>
      </w:pPr>
      <w:r w:rsidRPr="008033EB">
        <w:rPr>
          <w:rStyle w:val="aff3"/>
          <w:rFonts w:ascii="Tahoma" w:hAnsi="Tahoma" w:cs="Tahoma"/>
          <w:b/>
          <w:sz w:val="18"/>
          <w:szCs w:val="18"/>
        </w:rPr>
        <w:footnoteRef/>
      </w:r>
      <w:r w:rsidRPr="008033EB">
        <w:rPr>
          <w:rFonts w:ascii="Tahoma" w:hAnsi="Tahoma" w:cs="Tahoma"/>
          <w:b/>
          <w:sz w:val="18"/>
          <w:szCs w:val="18"/>
        </w:rPr>
        <w:t xml:space="preserve"> </w:t>
      </w:r>
      <w:r w:rsidRPr="008033EB">
        <w:rPr>
          <w:rFonts w:ascii="Tahoma" w:hAnsi="Tahoma" w:cs="Tahoma"/>
          <w:sz w:val="18"/>
          <w:szCs w:val="18"/>
        </w:rPr>
        <w:t>Расчет минимального значения ПСК при сумме кредита до 100 000 рублей (вкл.) произведен по состоянию на 08.11.2024 г. с использованием параметров: минимальная сумма Кредита (30 000,00 рублей), минимальный срок возврата Кредита (13 мес.), минимальная ставка (22,9% годовых), без учета оформления договора страхования в случае обращения в Банк физического лица с инвалидностью (при предоставлении справки, подтверждающей факт установления инвалидности с указанием группы инвалидности). В случае применения в расчетах ПСК иных параметров Кредита, а также в случае если Заемщик, у которого не установлена инвалидность, выбирает потребительский кредит с заключением им договора личного страхования, то полная стоимость кредита может отличаться от расчетной. Расчет минимального значения ПСК при сумме кредита свыше 100 000 рублей произведен по состоянию на 08.11.2024 г. с использованием параметров: минимальная сумма Кредита (100 000,01 рублей), минимальный срок возврата Кредита (13 мес.), минимальная ставка (22,9% годовых), без учета оформления договора страхования в случае обращения в Банк физического лица с инвалидностью (при предоставлении справки, подтверждающей факт установления инвалидности с указанием группы инвалидности). В случае применения в расчетах ПСК иных параметров Кредита, а также в случае если Заемщик, у которого не установлена инвалидность, выбирает потребительский кредит с заключением им договора личного страхования, то полная стоимость кредита может отличаться от расчетной.</w:t>
      </w:r>
    </w:p>
    <w:p w14:paraId="759D62C4" w14:textId="77777777" w:rsidR="00382481" w:rsidRPr="008033EB" w:rsidRDefault="00382481" w:rsidP="00382481">
      <w:pPr>
        <w:pStyle w:val="aff1"/>
        <w:jc w:val="both"/>
        <w:rPr>
          <w:rFonts w:ascii="Tahoma" w:hAnsi="Tahoma" w:cs="Tahoma"/>
          <w:sz w:val="18"/>
          <w:szCs w:val="18"/>
        </w:rPr>
      </w:pPr>
    </w:p>
  </w:footnote>
  <w:footnote w:id="4">
    <w:p w14:paraId="31E2E507" w14:textId="77777777" w:rsidR="00382481" w:rsidRPr="008033EB" w:rsidRDefault="00382481" w:rsidP="00382481">
      <w:pPr>
        <w:pStyle w:val="aff1"/>
        <w:jc w:val="both"/>
        <w:rPr>
          <w:rFonts w:ascii="Tahoma" w:hAnsi="Tahoma" w:cs="Tahoma"/>
          <w:sz w:val="18"/>
          <w:szCs w:val="18"/>
        </w:rPr>
      </w:pPr>
      <w:r w:rsidRPr="008033EB">
        <w:rPr>
          <w:rStyle w:val="aff3"/>
          <w:rFonts w:ascii="Tahoma" w:hAnsi="Tahoma" w:cs="Tahoma"/>
          <w:b/>
          <w:sz w:val="18"/>
          <w:szCs w:val="18"/>
        </w:rPr>
        <w:footnoteRef/>
      </w:r>
      <w:r w:rsidRPr="008033EB">
        <w:rPr>
          <w:rFonts w:ascii="Tahoma" w:hAnsi="Tahoma" w:cs="Tahoma"/>
          <w:sz w:val="18"/>
          <w:szCs w:val="18"/>
        </w:rPr>
        <w:t xml:space="preserve"> Расчет максимального значения ПСК при сумме кредита до 100 000 рублей (вкл.) произведен по состоянию на 08.11.2024 г. с использованием параметров: максимальная сумма Кредита (100 000 рублей), максимальный срок возврата Кредита (84 мес.), максимальная ставка (ставка 37,9% годовых), без учета выбора Заемщиком потребительского кредита с заключением им договора личного страхования. В случае применения в расчетах ПСК иных параметров Кредита, полная стоимость кредита может отличаться от расчетной.</w:t>
      </w:r>
    </w:p>
    <w:p w14:paraId="6878FFB4" w14:textId="77777777" w:rsidR="00382481" w:rsidRPr="001640F9" w:rsidRDefault="00382481" w:rsidP="00382481">
      <w:pPr>
        <w:pStyle w:val="aff1"/>
        <w:jc w:val="both"/>
      </w:pPr>
      <w:r w:rsidRPr="008033EB">
        <w:rPr>
          <w:rFonts w:ascii="Tahoma" w:hAnsi="Tahoma" w:cs="Tahoma"/>
          <w:sz w:val="18"/>
          <w:szCs w:val="18"/>
          <w:vertAlign w:val="superscript"/>
        </w:rPr>
        <w:t>3</w:t>
      </w:r>
      <w:r w:rsidRPr="008033EB">
        <w:rPr>
          <w:rFonts w:ascii="Tahoma" w:hAnsi="Tahoma" w:cs="Tahoma"/>
          <w:sz w:val="18"/>
          <w:szCs w:val="18"/>
        </w:rPr>
        <w:t>Расчет максимального значения ПСК при сумме кредита свыше 100 000 руб. произведен по состоянию на 08.11.2024 г. с использованием параметров: максимальная сумма Кредита (5 000 000 рублей), максимальный срок возврата Кредита (84 мес.), максимальная ставка (ставка 34,9% годовых), без учета выбора Заемщиком потребительского кредита с заключением им договора личного страхования. В случае применения в расчетах ПСК иных параметров Кредита, полная стоимость кредита может отличаться от расчетной.</w:t>
      </w:r>
    </w:p>
  </w:footnote>
  <w:footnote w:id="5">
    <w:p w14:paraId="04F68525" w14:textId="77777777" w:rsidR="00382481" w:rsidRPr="00AA27D5" w:rsidRDefault="00382481" w:rsidP="00382481">
      <w:pPr>
        <w:pStyle w:val="aff1"/>
        <w:jc w:val="both"/>
        <w:rPr>
          <w:rFonts w:ascii="Tahoma" w:hAnsi="Tahoma" w:cs="Tahoma"/>
          <w:sz w:val="18"/>
          <w:szCs w:val="18"/>
        </w:rPr>
      </w:pPr>
      <w:r w:rsidRPr="00F63AD8">
        <w:rPr>
          <w:rStyle w:val="aff3"/>
          <w:rFonts w:ascii="Tahoma" w:hAnsi="Tahoma" w:cs="Tahoma"/>
          <w:sz w:val="18"/>
          <w:szCs w:val="18"/>
        </w:rPr>
        <w:footnoteRef/>
      </w:r>
      <w:r w:rsidRPr="00F63AD8">
        <w:rPr>
          <w:rFonts w:ascii="Tahoma" w:hAnsi="Tahoma" w:cs="Tahoma"/>
          <w:sz w:val="18"/>
          <w:szCs w:val="18"/>
        </w:rPr>
        <w:t xml:space="preserve">  Расчет минимального значения ПСК произведен по </w:t>
      </w:r>
      <w:r w:rsidRPr="00AA27D5">
        <w:rPr>
          <w:rFonts w:ascii="Tahoma" w:hAnsi="Tahoma" w:cs="Tahoma"/>
          <w:sz w:val="18"/>
          <w:szCs w:val="18"/>
        </w:rPr>
        <w:t>состоянию на 07.11.2024 год с использованием параметров: минимальная сумма Кредита (5 000 000,01 рублей), минимальный срок возврата Кредита (12 мес.), минимальная ставка (22,4% годовых), без учета оформления договора личного страхования в случае обращения в Банк физического лица с инвалидностью (при предоставлении справки, подтверждающей факт установления инвалидности с указанием группы инвалидности). В случае применения в расчетах ПСК иных параметров Кредита, а также в случае если Заемщик, у которого не установлена инвалидность, выбирает потребительский кредит с заключением им договора личного страхования, то полная стоимость кредита может отличаться от расчетной.</w:t>
      </w:r>
    </w:p>
    <w:p w14:paraId="005E8D60" w14:textId="77777777" w:rsidR="00382481" w:rsidRPr="00F63AD8" w:rsidRDefault="00382481" w:rsidP="00382481">
      <w:pPr>
        <w:pStyle w:val="aff1"/>
        <w:jc w:val="both"/>
        <w:rPr>
          <w:rFonts w:ascii="Tahoma" w:hAnsi="Tahoma" w:cs="Tahoma"/>
          <w:sz w:val="18"/>
          <w:szCs w:val="18"/>
        </w:rPr>
      </w:pPr>
      <w:r w:rsidRPr="00AA27D5">
        <w:rPr>
          <w:rStyle w:val="aff3"/>
          <w:rFonts w:ascii="Tahoma" w:hAnsi="Tahoma" w:cs="Tahoma"/>
          <w:sz w:val="18"/>
          <w:szCs w:val="18"/>
        </w:rPr>
        <w:t>2</w:t>
      </w:r>
      <w:r w:rsidRPr="00AA27D5">
        <w:rPr>
          <w:rFonts w:ascii="Tahoma" w:hAnsi="Tahoma" w:cs="Tahoma"/>
          <w:sz w:val="18"/>
          <w:szCs w:val="18"/>
        </w:rPr>
        <w:t xml:space="preserve"> Расчет максимального значения ПСК произведен по состоянию на 07.11.2024 год с использованием параметров: максимальная сумма Кредита (50 000 000 рублей), максимальный срок возврата Кредита (84 мес.), максимальная ставка (ставка 30,0% годовых), без учета выбора Заемщиком потребительского кредита с заключением им договора личного страхования. В случае применения в расчетах ПСК иных параметров Кредита (выбора иных страховых компаний), полная стоимость кредита может отличаться от расчетной.</w:t>
      </w:r>
    </w:p>
    <w:p w14:paraId="46624071" w14:textId="77777777" w:rsidR="00382481" w:rsidRDefault="00382481" w:rsidP="00382481">
      <w:pPr>
        <w:pStyle w:val="aff1"/>
        <w:jc w:val="both"/>
      </w:pPr>
    </w:p>
  </w:footnote>
  <w:footnote w:id="6">
    <w:p w14:paraId="424EFB1B" w14:textId="77777777" w:rsidR="00382481" w:rsidRDefault="00382481" w:rsidP="00382481">
      <w:pPr>
        <w:pStyle w:val="aff1"/>
      </w:pPr>
    </w:p>
  </w:footnote>
  <w:footnote w:id="7">
    <w:p w14:paraId="6B040AAE" w14:textId="77777777" w:rsidR="00382481" w:rsidRPr="00AA27D5" w:rsidRDefault="00382481" w:rsidP="00382481">
      <w:pPr>
        <w:pStyle w:val="aff1"/>
        <w:jc w:val="both"/>
        <w:rPr>
          <w:rFonts w:ascii="Tahoma" w:hAnsi="Tahoma" w:cs="Tahoma"/>
          <w:sz w:val="18"/>
          <w:szCs w:val="18"/>
        </w:rPr>
      </w:pPr>
      <w:r w:rsidRPr="00EB7A2A">
        <w:rPr>
          <w:rStyle w:val="aff3"/>
          <w:rFonts w:ascii="Tahoma" w:hAnsi="Tahoma" w:cs="Tahoma"/>
          <w:sz w:val="18"/>
          <w:szCs w:val="18"/>
        </w:rPr>
        <w:footnoteRef/>
      </w:r>
      <w:r w:rsidRPr="00EB7A2A">
        <w:rPr>
          <w:rFonts w:ascii="Tahoma" w:hAnsi="Tahoma" w:cs="Tahoma"/>
          <w:sz w:val="18"/>
          <w:szCs w:val="18"/>
        </w:rPr>
        <w:t xml:space="preserve"> Расчет минимального значения ПСК произведен по </w:t>
      </w:r>
      <w:r w:rsidRPr="00AA27D5">
        <w:rPr>
          <w:rFonts w:ascii="Tahoma" w:hAnsi="Tahoma" w:cs="Tahoma"/>
          <w:sz w:val="18"/>
          <w:szCs w:val="18"/>
        </w:rPr>
        <w:t>состоянию на 08.11.2024 г. с использованием параметров: минимальная сумма Кредита (30 000,00 рублей), минимальный срок возврата Кредита (13 мес.), процентная ставка 22,9% годовых, без учета оформления договора страхования в случае обращения в Банк физического лица с инвалидностью (при предоставлении справки, подтверждающей факт установления инвалидности с указанием группы инвалидности). В случае применения в расчетах ПСК иных параметров Кредита, а также в случае если Заемщик, у которого не установлена инвалидность, выбирает потребительский кредит с заключением им договора личного страхования, то полная стоимость кредита может отличаться от расчетной.</w:t>
      </w:r>
    </w:p>
  </w:footnote>
  <w:footnote w:id="8">
    <w:p w14:paraId="151AA72E" w14:textId="77777777" w:rsidR="00382481" w:rsidRDefault="00382481" w:rsidP="00382481">
      <w:pPr>
        <w:pStyle w:val="aff1"/>
        <w:jc w:val="both"/>
      </w:pPr>
      <w:r w:rsidRPr="00AA27D5">
        <w:rPr>
          <w:rStyle w:val="aff3"/>
          <w:rFonts w:ascii="Tahoma" w:hAnsi="Tahoma" w:cs="Tahoma"/>
          <w:sz w:val="18"/>
          <w:szCs w:val="18"/>
        </w:rPr>
        <w:footnoteRef/>
      </w:r>
      <w:r w:rsidRPr="00AA27D5">
        <w:rPr>
          <w:rFonts w:ascii="Tahoma" w:hAnsi="Tahoma" w:cs="Tahoma"/>
          <w:sz w:val="18"/>
          <w:szCs w:val="18"/>
        </w:rPr>
        <w:t xml:space="preserve"> Расчет максимального значения ПСК произведен по состоянию на 08.11.2024 г. с использованием параметров: максимальная сумма Кредита (5 000 000 рублей), максимальный срок возврата Кредита (84 мес.), процентная ставка 30,9% годовых, без учета выбора Заемщиком потребительского</w:t>
      </w:r>
      <w:r w:rsidRPr="00EB7A2A">
        <w:rPr>
          <w:rFonts w:ascii="Tahoma" w:hAnsi="Tahoma" w:cs="Tahoma"/>
          <w:sz w:val="18"/>
          <w:szCs w:val="18"/>
        </w:rPr>
        <w:t xml:space="preserve"> кредита с заключением им договора личного страхования. В случае применения в расчетах ПСК иных параметров Кредита, полная стоимость кредита может отличаться от расчетной.</w:t>
      </w:r>
    </w:p>
  </w:footnote>
  <w:footnote w:id="9">
    <w:p w14:paraId="2091BE46" w14:textId="77777777" w:rsidR="00951A61" w:rsidRPr="001F1A46" w:rsidRDefault="00951A61" w:rsidP="00951A61">
      <w:pPr>
        <w:pStyle w:val="aff1"/>
        <w:rPr>
          <w:rFonts w:ascii="Tahoma" w:hAnsi="Tahoma" w:cs="Tahoma"/>
          <w:sz w:val="16"/>
          <w:szCs w:val="16"/>
        </w:rPr>
      </w:pPr>
      <w:r w:rsidRPr="001F1A46">
        <w:rPr>
          <w:rStyle w:val="aff3"/>
          <w:rFonts w:ascii="Tahoma" w:hAnsi="Tahoma" w:cs="Tahoma"/>
          <w:sz w:val="16"/>
          <w:szCs w:val="16"/>
        </w:rPr>
        <w:footnoteRef/>
      </w:r>
      <w:r w:rsidRPr="001F1A46">
        <w:rPr>
          <w:rFonts w:ascii="Tahoma" w:hAnsi="Tahoma" w:cs="Tahoma"/>
          <w:sz w:val="16"/>
          <w:szCs w:val="16"/>
        </w:rPr>
        <w:t xml:space="preserve"> Для Опции «Залоговый».</w:t>
      </w:r>
    </w:p>
  </w:footnote>
  <w:footnote w:id="10">
    <w:p w14:paraId="123D3902" w14:textId="77777777" w:rsidR="00951A61" w:rsidRPr="001F1A46" w:rsidRDefault="00951A61" w:rsidP="00951A61">
      <w:pPr>
        <w:pStyle w:val="aff1"/>
        <w:rPr>
          <w:rFonts w:ascii="Tahoma" w:hAnsi="Tahoma" w:cs="Tahoma"/>
          <w:sz w:val="16"/>
          <w:szCs w:val="16"/>
        </w:rPr>
      </w:pPr>
      <w:r w:rsidRPr="001F1A46">
        <w:rPr>
          <w:rStyle w:val="aff3"/>
          <w:rFonts w:ascii="Tahoma" w:hAnsi="Tahoma" w:cs="Tahoma"/>
          <w:sz w:val="16"/>
          <w:szCs w:val="16"/>
        </w:rPr>
        <w:footnoteRef/>
      </w:r>
      <w:r w:rsidRPr="001F1A46">
        <w:rPr>
          <w:rFonts w:ascii="Tahoma" w:hAnsi="Tahoma" w:cs="Tahoma"/>
          <w:sz w:val="16"/>
          <w:szCs w:val="16"/>
        </w:rPr>
        <w:t xml:space="preserve"> Данное требование не является обязательным в случае, если Предметом ипотеки является объект, находящийся в залоге у Банка. </w:t>
      </w:r>
    </w:p>
  </w:footnote>
  <w:footnote w:id="11">
    <w:p w14:paraId="51C0B055" w14:textId="77777777" w:rsidR="00951A61" w:rsidRPr="001F1A46" w:rsidRDefault="00951A61" w:rsidP="00951A61">
      <w:pPr>
        <w:pStyle w:val="aff1"/>
        <w:rPr>
          <w:rFonts w:ascii="Tahoma" w:hAnsi="Tahoma" w:cs="Tahoma"/>
          <w:sz w:val="16"/>
          <w:szCs w:val="16"/>
        </w:rPr>
      </w:pPr>
      <w:r w:rsidRPr="001F1A46">
        <w:rPr>
          <w:rStyle w:val="aff3"/>
          <w:rFonts w:ascii="Tahoma" w:hAnsi="Tahoma" w:cs="Tahoma"/>
          <w:sz w:val="16"/>
          <w:szCs w:val="16"/>
        </w:rPr>
        <w:footnoteRef/>
      </w:r>
      <w:r w:rsidRPr="001F1A46">
        <w:rPr>
          <w:rFonts w:ascii="Tahoma" w:hAnsi="Tahoma" w:cs="Tahoma"/>
          <w:sz w:val="16"/>
          <w:szCs w:val="16"/>
        </w:rPr>
        <w:t xml:space="preserve"> Данное требование не является обязательным в случае приобретения недвижимого имущества, находящегося в залоге (ипотеке) у Банка.</w:t>
      </w:r>
    </w:p>
  </w:footnote>
  <w:footnote w:id="12">
    <w:p w14:paraId="683985F7" w14:textId="77777777" w:rsidR="00951A61" w:rsidRPr="001F1A46" w:rsidRDefault="00951A61" w:rsidP="00951A61">
      <w:pPr>
        <w:pStyle w:val="aff1"/>
        <w:rPr>
          <w:rFonts w:ascii="Tahoma" w:hAnsi="Tahoma" w:cs="Tahoma"/>
          <w:sz w:val="16"/>
          <w:szCs w:val="16"/>
        </w:rPr>
      </w:pPr>
      <w:r w:rsidRPr="001F1A46">
        <w:rPr>
          <w:rStyle w:val="aff3"/>
          <w:rFonts w:ascii="Tahoma" w:hAnsi="Tahoma" w:cs="Tahoma"/>
          <w:sz w:val="16"/>
          <w:szCs w:val="16"/>
        </w:rPr>
        <w:footnoteRef/>
      </w:r>
      <w:r w:rsidRPr="001F1A46">
        <w:rPr>
          <w:rFonts w:ascii="Tahoma" w:hAnsi="Tahoma" w:cs="Tahoma"/>
          <w:sz w:val="16"/>
          <w:szCs w:val="16"/>
        </w:rPr>
        <w:t xml:space="preserve"> Данное требование не является обязательным в случае приобретения недвижимого имущества, находящегося в залоге (ипотеке) у Банка.</w:t>
      </w:r>
    </w:p>
  </w:footnote>
  <w:footnote w:id="13">
    <w:p w14:paraId="01D553D0" w14:textId="77777777" w:rsidR="00951A61" w:rsidRPr="001F1A46" w:rsidRDefault="00951A61" w:rsidP="00951A61">
      <w:pPr>
        <w:pStyle w:val="aff1"/>
        <w:rPr>
          <w:rFonts w:ascii="Tahoma" w:hAnsi="Tahoma" w:cs="Tahoma"/>
          <w:sz w:val="16"/>
          <w:szCs w:val="16"/>
        </w:rPr>
      </w:pPr>
      <w:r w:rsidRPr="001F1A46">
        <w:rPr>
          <w:rStyle w:val="aff3"/>
          <w:rFonts w:ascii="Tahoma" w:hAnsi="Tahoma" w:cs="Tahoma"/>
          <w:sz w:val="16"/>
          <w:szCs w:val="16"/>
        </w:rPr>
        <w:footnoteRef/>
      </w:r>
      <w:r w:rsidRPr="001F1A46">
        <w:rPr>
          <w:rFonts w:ascii="Tahoma" w:hAnsi="Tahoma" w:cs="Tahoma"/>
          <w:sz w:val="16"/>
          <w:szCs w:val="16"/>
        </w:rPr>
        <w:t xml:space="preserve"> В случае, если средства материнского капитала были использованы в счет погашения задолженности по погашаемому кредиту продавца Предмета ипотеки, в результате чего в Предмете ипотеки выделены доли всем членам семьи в соответствии с условиями законодательства РФ об использовании сертификата на материнский капитал, справка не предоставляется. </w:t>
      </w:r>
    </w:p>
  </w:footnote>
  <w:footnote w:id="14">
    <w:p w14:paraId="6FFD086F" w14:textId="77777777" w:rsidR="00951A61" w:rsidRPr="001F1A46" w:rsidRDefault="00951A61" w:rsidP="00951A61">
      <w:pPr>
        <w:pStyle w:val="aff1"/>
        <w:rPr>
          <w:rFonts w:ascii="Tahoma" w:hAnsi="Tahoma" w:cs="Tahoma"/>
          <w:sz w:val="16"/>
          <w:szCs w:val="16"/>
        </w:rPr>
      </w:pPr>
      <w:r w:rsidRPr="001F1A46">
        <w:rPr>
          <w:rStyle w:val="aff3"/>
          <w:rFonts w:ascii="Tahoma" w:hAnsi="Tahoma" w:cs="Tahoma"/>
          <w:sz w:val="16"/>
          <w:szCs w:val="16"/>
        </w:rPr>
        <w:footnoteRef/>
      </w:r>
      <w:r w:rsidRPr="001F1A46">
        <w:rPr>
          <w:rFonts w:ascii="Tahoma" w:hAnsi="Tahoma" w:cs="Tahoma"/>
          <w:sz w:val="16"/>
          <w:szCs w:val="16"/>
        </w:rPr>
        <w:t xml:space="preserve"> Возможна передача части собственных средств заемщика (в сумме не более 100 000,00 руб.) продавцу в счет оплаты стоимости приобретаемого Предмета ипотеки с предоставлением в Банк финансового документа (расписка, платежное поручение, выписку по счету, иные документы, оформленные в соответствии с утвержденным нормативными документами), подтверждающего передачу заемщиком продавцу Предмета ипотеки части первоначального взноса.</w:t>
      </w:r>
    </w:p>
  </w:footnote>
  <w:footnote w:id="15">
    <w:p w14:paraId="59397B2B" w14:textId="77777777" w:rsidR="00951A61" w:rsidRPr="00951A61" w:rsidRDefault="00951A61" w:rsidP="00951A61">
      <w:pPr>
        <w:pStyle w:val="aff1"/>
      </w:pPr>
      <w:r w:rsidRPr="001F1A46">
        <w:rPr>
          <w:rStyle w:val="aff3"/>
          <w:rFonts w:ascii="Tahoma" w:hAnsi="Tahoma" w:cs="Tahoma"/>
        </w:rPr>
        <w:footnoteRef/>
      </w:r>
      <w:r w:rsidRPr="001F1A46">
        <w:rPr>
          <w:rFonts w:ascii="Tahoma" w:hAnsi="Tahoma" w:cs="Tahoma"/>
        </w:rPr>
        <w:t xml:space="preserve"> Расчет минимального значения </w:t>
      </w:r>
      <w:r w:rsidRPr="002C6858">
        <w:rPr>
          <w:rFonts w:ascii="Tahoma" w:hAnsi="Tahoma" w:cs="Tahoma"/>
        </w:rPr>
        <w:t xml:space="preserve">ПСК произведен по состоянию </w:t>
      </w:r>
      <w:r w:rsidRPr="00951A61">
        <w:rPr>
          <w:rFonts w:ascii="Tahoma" w:hAnsi="Tahoma" w:cs="Tahoma"/>
        </w:rPr>
        <w:t>на 29.10.2024 г. с использованием параметров: минимальная сумма Кредита (500 000 рублей), минимальный срок (36 мес.), минимальная ставка (23,50% годовых), тариф за оказание услуг по подготовке отчета об оценке ООО «Мобильный оценщик» (ИНН 7842358640), действующий в 2024г. (1 800,00 рублей), средний тариф AO «АльфаСтрахование» (ИНН 7713056834), действующий в 2024 г. по имущественному и титульному страхованию (0,23% от остатка задолженности, увеличенной на 10%), 3 000,00 руб. - за перевод денежных средств без открытия счета и со счета физического лица (ТБС) в пользу физических и юридических лиц в другие банки в соответствии с тарифами Банка. В случае применения в расчетах ПСК иных параметров Кредита, а также в случае выбора Заемщиком иной страховой компании или применения AO «АльфаСтрахование» в расчетах иного страхового тарифа, иных платежей Заемщика, указанных в частях 3 и 4 статьи 6 Федерального закона от 21.12.2013 № 353-ФЗ «О потребительском кредите (займе)», полная стоимость кредита может отличаться от расчетной.</w:t>
      </w:r>
    </w:p>
  </w:footnote>
  <w:footnote w:id="16">
    <w:p w14:paraId="0D37004F" w14:textId="77777777" w:rsidR="00951A61" w:rsidRPr="001F1A46" w:rsidRDefault="00951A61" w:rsidP="00951A61">
      <w:pPr>
        <w:pStyle w:val="aff1"/>
      </w:pPr>
      <w:r w:rsidRPr="00951A61">
        <w:rPr>
          <w:rStyle w:val="aff3"/>
          <w:rFonts w:ascii="Tahoma" w:hAnsi="Tahoma" w:cs="Tahoma"/>
        </w:rPr>
        <w:footnoteRef/>
      </w:r>
      <w:r w:rsidRPr="00951A61">
        <w:rPr>
          <w:rFonts w:ascii="Tahoma" w:hAnsi="Tahoma" w:cs="Tahoma"/>
        </w:rPr>
        <w:t xml:space="preserve"> Расчет максимального значения ПСК произведен по состоянию на 29.10.2024 г. с использованием параметров: максимальная сумма Кредита (30 000 000 рублей), максимальный срок (360 мес.), максимальная ставка (ставка 27,90% годовых складывается из базовой ставки и надбавок, указанных в пп. 3.1. - 3.7. Порядка формирования процентных ставок по ипотечному кредиту по тарифному плану «Готовое жильё» Приложения 1 к основным условиям предоставления, использования и возврата ипотечного кредита по тарифному плану «Готовое жилье»), средний тариф AO «АльфаСтрахование» (ИНН 7713056834), действующий в 2024 г. по личному страхованию (0,57% от остатка задолженности, увеличенной на 10%), 10 000,00 руб. - за открытие и исполнение аккредитива в Банке в соответствии с тарифами Банка. В случае применения в расчетах ПСК иных параметров Кредита, а также в случае выбора Заемщиком</w:t>
      </w:r>
      <w:r w:rsidRPr="002C6858">
        <w:rPr>
          <w:rFonts w:ascii="Tahoma" w:hAnsi="Tahoma" w:cs="Tahoma"/>
        </w:rPr>
        <w:t xml:space="preserve"> иной страховой компании или применения AO «АльфаСтрахование» в расчетах иного страхового тарифа, иных платежей Заемщика, указанных в частях 3 и 4 статьи 6 Федерального закона от 21.12.2013 № 353-ФЗ «О потребительском кредите (займе)», полная стоимость кредита может отличаться от расчетной.</w:t>
      </w:r>
    </w:p>
  </w:footnote>
  <w:footnote w:id="17">
    <w:p w14:paraId="12138874" w14:textId="77777777" w:rsidR="00951A61" w:rsidRPr="00CD2C26" w:rsidRDefault="00951A61" w:rsidP="00951A61">
      <w:pPr>
        <w:pStyle w:val="aff1"/>
        <w:rPr>
          <w:rFonts w:ascii="Tahoma" w:hAnsi="Tahoma" w:cs="Tahoma"/>
          <w:sz w:val="16"/>
          <w:szCs w:val="16"/>
        </w:rPr>
      </w:pPr>
      <w:r w:rsidRPr="001F1A46">
        <w:rPr>
          <w:rStyle w:val="aff3"/>
          <w:rFonts w:ascii="Tahoma" w:hAnsi="Tahoma" w:cs="Tahoma"/>
          <w:sz w:val="16"/>
          <w:szCs w:val="16"/>
        </w:rPr>
        <w:footnoteRef/>
      </w:r>
      <w:r w:rsidRPr="001F1A46">
        <w:rPr>
          <w:rFonts w:ascii="Tahoma" w:hAnsi="Tahoma" w:cs="Tahoma"/>
          <w:sz w:val="16"/>
          <w:szCs w:val="16"/>
        </w:rPr>
        <w:t xml:space="preserve"> Выгодоприобретателем в размере задолженности Заемщика по Кредитному договору выступает Банк, за исключением случаев, когда Банк является страховым агентом при заключении договора </w:t>
      </w:r>
      <w:r w:rsidRPr="00CD2C26">
        <w:rPr>
          <w:rFonts w:ascii="Tahoma" w:hAnsi="Tahoma" w:cs="Tahoma"/>
          <w:sz w:val="16"/>
          <w:szCs w:val="16"/>
        </w:rPr>
        <w:t>Личного страхования.</w:t>
      </w:r>
    </w:p>
  </w:footnote>
  <w:footnote w:id="18">
    <w:p w14:paraId="126694FF" w14:textId="77777777" w:rsidR="00951A61" w:rsidRPr="00CD2C26" w:rsidRDefault="00951A61" w:rsidP="00951A61">
      <w:pPr>
        <w:pStyle w:val="aff1"/>
        <w:rPr>
          <w:rFonts w:ascii="Tahoma" w:hAnsi="Tahoma" w:cs="Tahoma"/>
          <w:sz w:val="16"/>
          <w:szCs w:val="16"/>
        </w:rPr>
      </w:pPr>
      <w:r w:rsidRPr="001F1A46">
        <w:rPr>
          <w:rStyle w:val="aff3"/>
          <w:rFonts w:ascii="Tahoma" w:hAnsi="Tahoma" w:cs="Tahoma"/>
          <w:sz w:val="16"/>
          <w:szCs w:val="16"/>
        </w:rPr>
        <w:footnoteRef/>
      </w:r>
      <w:r w:rsidRPr="001F1A46">
        <w:rPr>
          <w:rFonts w:ascii="Tahoma" w:hAnsi="Tahoma" w:cs="Tahoma"/>
          <w:sz w:val="16"/>
          <w:szCs w:val="16"/>
        </w:rPr>
        <w:t xml:space="preserve"> Оформление указанного вида страхования не применимо для лиц с инвалидностью (при условии предоставления справки, подтверждающей факт установления инвалидности с указанием группы инвалидности), столкнувшихся с затруднениями в получении соответствующих страховых услуг (рекомендуется предоставить Банку подтверждающие данный факт документы (ответы) от страховых компаний).</w:t>
      </w:r>
    </w:p>
  </w:footnote>
  <w:footnote w:id="19">
    <w:p w14:paraId="046EBFB9" w14:textId="77777777" w:rsidR="00951A61" w:rsidRPr="00CD2C26" w:rsidRDefault="00951A61" w:rsidP="00951A61">
      <w:pPr>
        <w:pStyle w:val="aff1"/>
        <w:rPr>
          <w:rFonts w:ascii="Tahoma" w:hAnsi="Tahoma" w:cs="Tahoma"/>
          <w:sz w:val="16"/>
          <w:szCs w:val="16"/>
        </w:rPr>
      </w:pPr>
      <w:r w:rsidRPr="001F1A46">
        <w:rPr>
          <w:rStyle w:val="aff3"/>
          <w:rFonts w:ascii="Tahoma" w:hAnsi="Tahoma" w:cs="Tahoma"/>
          <w:sz w:val="16"/>
          <w:szCs w:val="16"/>
        </w:rPr>
        <w:footnoteRef/>
      </w:r>
      <w:r w:rsidRPr="001F1A46">
        <w:rPr>
          <w:rFonts w:ascii="Tahoma" w:hAnsi="Tahoma" w:cs="Tahoma"/>
          <w:sz w:val="16"/>
          <w:szCs w:val="16"/>
        </w:rPr>
        <w:t xml:space="preserve"> </w:t>
      </w:r>
      <w:r>
        <w:rPr>
          <w:rFonts w:ascii="Tahoma" w:hAnsi="Tahoma" w:cs="Tahoma"/>
          <w:sz w:val="16"/>
          <w:szCs w:val="16"/>
        </w:rPr>
        <w:t>Может быть применена</w:t>
      </w:r>
      <w:r w:rsidRPr="001F1A46">
        <w:rPr>
          <w:rFonts w:ascii="Tahoma" w:hAnsi="Tahoma" w:cs="Tahoma"/>
          <w:sz w:val="16"/>
          <w:szCs w:val="16"/>
        </w:rPr>
        <w:t xml:space="preserve"> надбавка, указанная в п. </w:t>
      </w:r>
      <w:r w:rsidRPr="00CD2C26">
        <w:rPr>
          <w:rFonts w:ascii="Tahoma" w:hAnsi="Tahoma" w:cs="Tahoma"/>
          <w:sz w:val="16"/>
          <w:szCs w:val="16"/>
        </w:rPr>
        <w:t>3.</w:t>
      </w:r>
      <w:r>
        <w:rPr>
          <w:rFonts w:ascii="Tahoma" w:hAnsi="Tahoma" w:cs="Tahoma"/>
          <w:sz w:val="16"/>
          <w:szCs w:val="16"/>
        </w:rPr>
        <w:t>5</w:t>
      </w:r>
      <w:r w:rsidRPr="00CD2C26">
        <w:rPr>
          <w:rFonts w:ascii="Tahoma" w:hAnsi="Tahoma" w:cs="Tahoma"/>
          <w:sz w:val="16"/>
          <w:szCs w:val="16"/>
        </w:rPr>
        <w:t>. при невыполнении условия направления средств МСК в счет гашения кредита в срок 2 месяца с даты выдачи кредита.</w:t>
      </w:r>
    </w:p>
  </w:footnote>
  <w:footnote w:id="20">
    <w:p w14:paraId="27BDE1D1" w14:textId="77777777" w:rsidR="00951A61" w:rsidRPr="001F1A46" w:rsidRDefault="00951A61" w:rsidP="00951A61">
      <w:pPr>
        <w:pStyle w:val="aff1"/>
        <w:rPr>
          <w:rFonts w:ascii="Tahoma" w:hAnsi="Tahoma" w:cs="Tahoma"/>
          <w:sz w:val="16"/>
          <w:szCs w:val="16"/>
        </w:rPr>
      </w:pPr>
      <w:r w:rsidRPr="001F1A46">
        <w:rPr>
          <w:rStyle w:val="aff3"/>
          <w:rFonts w:ascii="Tahoma" w:hAnsi="Tahoma" w:cs="Tahoma"/>
          <w:sz w:val="16"/>
          <w:szCs w:val="16"/>
        </w:rPr>
        <w:footnoteRef/>
      </w:r>
      <w:r w:rsidRPr="001F1A46">
        <w:rPr>
          <w:rFonts w:ascii="Tahoma" w:hAnsi="Tahoma" w:cs="Tahoma"/>
          <w:sz w:val="16"/>
          <w:szCs w:val="16"/>
        </w:rPr>
        <w:t xml:space="preserve"> Для Заемщика, являющегося работником Банка, требование к размеру первоначального взноса не применяется (возможна выдача Кредита в размере 100% от действительной стоимости объекта).</w:t>
      </w:r>
    </w:p>
  </w:footnote>
  <w:footnote w:id="21">
    <w:p w14:paraId="3A8CDEF3" w14:textId="77777777" w:rsidR="00951A61" w:rsidRPr="002C6858" w:rsidRDefault="00951A61" w:rsidP="00951A61">
      <w:pPr>
        <w:pStyle w:val="aff1"/>
        <w:rPr>
          <w:rFonts w:ascii="Tahoma" w:hAnsi="Tahoma" w:cs="Tahoma"/>
          <w:sz w:val="16"/>
          <w:szCs w:val="16"/>
        </w:rPr>
      </w:pPr>
      <w:r w:rsidRPr="00C57EE1">
        <w:rPr>
          <w:rStyle w:val="aff3"/>
          <w:sz w:val="16"/>
          <w:szCs w:val="16"/>
        </w:rPr>
        <w:footnoteRef/>
      </w:r>
      <w:r w:rsidRPr="001F1A46">
        <w:t xml:space="preserve"> </w:t>
      </w:r>
      <w:r w:rsidRPr="001F1A46">
        <w:rPr>
          <w:rFonts w:ascii="Tahoma" w:hAnsi="Tahoma" w:cs="Tahoma"/>
          <w:sz w:val="16"/>
          <w:szCs w:val="16"/>
        </w:rPr>
        <w:t xml:space="preserve">В случае </w:t>
      </w:r>
      <w:r w:rsidRPr="002C6858">
        <w:rPr>
          <w:rFonts w:ascii="Tahoma" w:hAnsi="Tahoma" w:cs="Tahoma"/>
          <w:sz w:val="16"/>
          <w:szCs w:val="16"/>
        </w:rPr>
        <w:t>проведения сделки между взаимозависимыми лицами и, если владельцем (собственником) компании-работодателя Заемщика является Член семьи Заемщика и при этом у Заемщика отсутствует кредитная история, размер первоначального взноса должен составлять не менее 25%.</w:t>
      </w:r>
    </w:p>
  </w:footnote>
  <w:footnote w:id="22">
    <w:p w14:paraId="4951E9D1" w14:textId="77777777" w:rsidR="00951A61" w:rsidRPr="002C6858" w:rsidRDefault="00951A61" w:rsidP="00951A61">
      <w:pPr>
        <w:pStyle w:val="aff1"/>
        <w:rPr>
          <w:rFonts w:ascii="Tahoma" w:hAnsi="Tahoma" w:cs="Tahoma"/>
          <w:sz w:val="16"/>
          <w:szCs w:val="16"/>
        </w:rPr>
      </w:pPr>
      <w:r w:rsidRPr="002C6858">
        <w:rPr>
          <w:rStyle w:val="aff3"/>
          <w:rFonts w:ascii="Tahoma" w:hAnsi="Tahoma" w:cs="Tahoma"/>
          <w:sz w:val="16"/>
          <w:szCs w:val="16"/>
        </w:rPr>
        <w:footnoteRef/>
      </w:r>
      <w:r w:rsidRPr="002C6858">
        <w:rPr>
          <w:rFonts w:ascii="Tahoma" w:hAnsi="Tahoma" w:cs="Tahoma"/>
          <w:sz w:val="16"/>
          <w:szCs w:val="16"/>
        </w:rPr>
        <w:t xml:space="preserve"> Первоначальный взнос от </w:t>
      </w:r>
      <w:r w:rsidRPr="006306F2">
        <w:rPr>
          <w:rFonts w:ascii="Tahoma" w:hAnsi="Tahoma" w:cs="Tahoma"/>
          <w:sz w:val="16"/>
          <w:szCs w:val="16"/>
        </w:rPr>
        <w:t>25</w:t>
      </w:r>
      <w:r w:rsidRPr="002C6858">
        <w:rPr>
          <w:rFonts w:ascii="Tahoma" w:hAnsi="Tahoma" w:cs="Tahoma"/>
          <w:sz w:val="16"/>
          <w:szCs w:val="16"/>
        </w:rPr>
        <w:t xml:space="preserve">% допустим для </w:t>
      </w:r>
      <w:r>
        <w:rPr>
          <w:rFonts w:ascii="Tahoma" w:hAnsi="Tahoma" w:cs="Tahoma"/>
          <w:sz w:val="16"/>
          <w:szCs w:val="16"/>
        </w:rPr>
        <w:t>Заемщика с официально подтвержденным доходом, а также для Заемщика, являющегося Зарплатным клиентом Банка</w:t>
      </w:r>
      <w:r w:rsidRPr="002C6858">
        <w:rPr>
          <w:rFonts w:ascii="Tahoma" w:hAnsi="Tahoma" w:cs="Tahoma"/>
          <w:sz w:val="16"/>
          <w:szCs w:val="16"/>
        </w:rPr>
        <w:t>:</w:t>
      </w:r>
    </w:p>
    <w:p w14:paraId="6683D316" w14:textId="77777777" w:rsidR="00951A61" w:rsidRPr="002C6858" w:rsidRDefault="00951A61" w:rsidP="00951A61">
      <w:pPr>
        <w:pStyle w:val="aff1"/>
        <w:rPr>
          <w:rFonts w:ascii="Tahoma" w:hAnsi="Tahoma" w:cs="Tahoma"/>
          <w:sz w:val="16"/>
          <w:szCs w:val="16"/>
        </w:rPr>
      </w:pPr>
      <w:r w:rsidRPr="002C6858">
        <w:rPr>
          <w:rFonts w:ascii="Tahoma" w:hAnsi="Tahoma" w:cs="Tahoma"/>
          <w:sz w:val="16"/>
          <w:szCs w:val="16"/>
        </w:rPr>
        <w:t xml:space="preserve">- в случае нахождения Предмета ипотеки на территории обслуживания Банком в городе-столице региона/ районном центре, удаленность не более 30 км от населенного пункта, где располагается внутреннее структурное подразделение (по тексту – Подразделение) Банка (для Москвы расстояние считается от МКАД); </w:t>
      </w:r>
    </w:p>
    <w:p w14:paraId="6A45DCDD" w14:textId="77777777" w:rsidR="00951A61" w:rsidRPr="002C6858" w:rsidRDefault="00951A61" w:rsidP="00951A61">
      <w:pPr>
        <w:pStyle w:val="aff1"/>
        <w:rPr>
          <w:rFonts w:ascii="Tahoma" w:hAnsi="Tahoma" w:cs="Tahoma"/>
          <w:sz w:val="16"/>
          <w:szCs w:val="16"/>
        </w:rPr>
      </w:pPr>
      <w:r w:rsidRPr="002C6858">
        <w:rPr>
          <w:rFonts w:ascii="Tahoma" w:hAnsi="Tahoma" w:cs="Tahoma"/>
          <w:sz w:val="16"/>
          <w:szCs w:val="16"/>
        </w:rPr>
        <w:t xml:space="preserve">- в случае нахождения Предмета ипотеки на территории обслуживания Банком, в ином населенном пункте, не относящимся к городу-столице региона/ районному центру, удаленность не более 15 км от населенного пункта, где располагается Подразделение Банка.  </w:t>
      </w:r>
    </w:p>
  </w:footnote>
  <w:footnote w:id="23">
    <w:p w14:paraId="1536FD61" w14:textId="77777777" w:rsidR="00951A61" w:rsidRPr="002C6858" w:rsidRDefault="00951A61" w:rsidP="00951A61">
      <w:pPr>
        <w:pStyle w:val="aff1"/>
        <w:rPr>
          <w:rFonts w:ascii="Tahoma" w:hAnsi="Tahoma" w:cs="Tahoma"/>
          <w:sz w:val="16"/>
          <w:szCs w:val="16"/>
        </w:rPr>
      </w:pPr>
      <w:r w:rsidRPr="002C6858">
        <w:rPr>
          <w:rStyle w:val="aff3"/>
          <w:rFonts w:ascii="Tahoma" w:hAnsi="Tahoma" w:cs="Tahoma"/>
          <w:sz w:val="16"/>
          <w:szCs w:val="16"/>
        </w:rPr>
        <w:footnoteRef/>
      </w:r>
      <w:r w:rsidRPr="002C6858">
        <w:rPr>
          <w:rFonts w:ascii="Tahoma" w:hAnsi="Tahoma" w:cs="Tahoma"/>
          <w:sz w:val="16"/>
          <w:szCs w:val="16"/>
        </w:rPr>
        <w:t xml:space="preserve"> Первоначальный взнос от </w:t>
      </w:r>
      <w:r w:rsidRPr="006306F2">
        <w:rPr>
          <w:rFonts w:ascii="Tahoma" w:hAnsi="Tahoma" w:cs="Tahoma"/>
          <w:sz w:val="16"/>
          <w:szCs w:val="16"/>
        </w:rPr>
        <w:t>25</w:t>
      </w:r>
      <w:r w:rsidRPr="002C6858">
        <w:rPr>
          <w:rFonts w:ascii="Tahoma" w:hAnsi="Tahoma" w:cs="Tahoma"/>
          <w:sz w:val="16"/>
          <w:szCs w:val="16"/>
        </w:rPr>
        <w:t xml:space="preserve">% допустим </w:t>
      </w:r>
      <w:r>
        <w:rPr>
          <w:rFonts w:ascii="Tahoma" w:hAnsi="Tahoma" w:cs="Tahoma"/>
          <w:sz w:val="16"/>
          <w:szCs w:val="16"/>
        </w:rPr>
        <w:t>для Заемщика с официально подтвержденным доходом, а также для Заемщика, являющегося Зарплатным клиентом Банка</w:t>
      </w:r>
      <w:r w:rsidRPr="002C6858">
        <w:rPr>
          <w:rFonts w:ascii="Tahoma" w:hAnsi="Tahoma" w:cs="Tahoma"/>
          <w:sz w:val="16"/>
          <w:szCs w:val="16"/>
        </w:rPr>
        <w:t>:</w:t>
      </w:r>
    </w:p>
    <w:p w14:paraId="79A325B6" w14:textId="77777777" w:rsidR="00951A61" w:rsidRPr="00CD2C26" w:rsidRDefault="00951A61" w:rsidP="00951A61">
      <w:pPr>
        <w:pStyle w:val="aff1"/>
        <w:rPr>
          <w:rFonts w:ascii="Tahoma" w:hAnsi="Tahoma" w:cs="Tahoma"/>
          <w:sz w:val="16"/>
          <w:szCs w:val="16"/>
        </w:rPr>
      </w:pPr>
      <w:r w:rsidRPr="002C6858">
        <w:rPr>
          <w:rFonts w:ascii="Tahoma" w:hAnsi="Tahoma" w:cs="Tahoma"/>
          <w:sz w:val="16"/>
          <w:szCs w:val="16"/>
        </w:rPr>
        <w:t>- в случае нахождения Предмета ипотеки на территории обслуживания Банком в городе-столице региона/ районном центре, удаленность не более 30 км от населенного пункта, где располагается Подразделение Банка (для Москвы расстояние считается</w:t>
      </w:r>
      <w:r w:rsidRPr="00CD2C26">
        <w:rPr>
          <w:rFonts w:ascii="Tahoma" w:hAnsi="Tahoma" w:cs="Tahoma"/>
          <w:sz w:val="16"/>
          <w:szCs w:val="16"/>
        </w:rPr>
        <w:t xml:space="preserve"> от МКАД); </w:t>
      </w:r>
    </w:p>
    <w:p w14:paraId="02EAAF28" w14:textId="77777777" w:rsidR="00951A61" w:rsidRPr="00CD2C26" w:rsidRDefault="00951A61" w:rsidP="00951A61">
      <w:pPr>
        <w:pStyle w:val="aff1"/>
        <w:rPr>
          <w:rFonts w:ascii="Tahoma" w:hAnsi="Tahoma" w:cs="Tahoma"/>
          <w:sz w:val="16"/>
          <w:szCs w:val="16"/>
        </w:rPr>
      </w:pPr>
      <w:r w:rsidRPr="00CD2C26">
        <w:rPr>
          <w:rFonts w:ascii="Tahoma" w:hAnsi="Tahoma" w:cs="Tahoma"/>
          <w:sz w:val="16"/>
          <w:szCs w:val="16"/>
        </w:rPr>
        <w:t>- в случае нахождения Предмета ипотеки на территории обслуживания Банком, в ином населенном пункте, не относящимся к городу-столице региона/ районному центру, удаленность не более 15 км от населенного пункта, где располагается Подразделение Банка.</w:t>
      </w:r>
    </w:p>
  </w:footnote>
  <w:footnote w:id="24">
    <w:p w14:paraId="004E44B6" w14:textId="77777777" w:rsidR="00951A61" w:rsidRPr="002C6858" w:rsidRDefault="00951A61" w:rsidP="00951A61">
      <w:pPr>
        <w:pStyle w:val="aff1"/>
        <w:rPr>
          <w:rFonts w:ascii="Tahoma" w:hAnsi="Tahoma" w:cs="Tahoma"/>
          <w:sz w:val="16"/>
          <w:szCs w:val="16"/>
        </w:rPr>
      </w:pPr>
      <w:r w:rsidRPr="001F1A46">
        <w:rPr>
          <w:rStyle w:val="aff3"/>
          <w:rFonts w:ascii="Tahoma" w:hAnsi="Tahoma" w:cs="Tahoma"/>
          <w:sz w:val="16"/>
          <w:szCs w:val="16"/>
        </w:rPr>
        <w:footnoteRef/>
      </w:r>
      <w:r w:rsidRPr="001F1A46">
        <w:rPr>
          <w:rFonts w:ascii="Tahoma" w:hAnsi="Tahoma" w:cs="Tahoma"/>
          <w:sz w:val="16"/>
          <w:szCs w:val="16"/>
        </w:rPr>
        <w:t xml:space="preserve"> Для Заемщика, </w:t>
      </w:r>
      <w:r w:rsidRPr="002C6858">
        <w:rPr>
          <w:rFonts w:ascii="Tahoma" w:hAnsi="Tahoma" w:cs="Tahoma"/>
          <w:sz w:val="16"/>
          <w:szCs w:val="16"/>
        </w:rPr>
        <w:t>являющегося работником Банка, требование к размеру Коэффициента К/З не применяется (Коэффициент К/З может составлять 100% от действительной стоимости объекта).</w:t>
      </w:r>
    </w:p>
  </w:footnote>
  <w:footnote w:id="25">
    <w:p w14:paraId="55AEAFEB" w14:textId="77777777" w:rsidR="00951A61" w:rsidRPr="002C6858" w:rsidRDefault="00951A61" w:rsidP="00951A61">
      <w:pPr>
        <w:pStyle w:val="aff1"/>
        <w:rPr>
          <w:rFonts w:ascii="Tahoma" w:hAnsi="Tahoma" w:cs="Tahoma"/>
          <w:sz w:val="16"/>
          <w:szCs w:val="16"/>
        </w:rPr>
      </w:pPr>
      <w:r w:rsidRPr="002C6858">
        <w:rPr>
          <w:rStyle w:val="aff3"/>
          <w:rFonts w:ascii="Tahoma" w:hAnsi="Tahoma" w:cs="Tahoma"/>
          <w:sz w:val="16"/>
          <w:szCs w:val="16"/>
        </w:rPr>
        <w:footnoteRef/>
      </w:r>
      <w:r w:rsidRPr="002C6858">
        <w:t xml:space="preserve"> </w:t>
      </w:r>
      <w:r w:rsidRPr="002C6858">
        <w:rPr>
          <w:rFonts w:ascii="Tahoma" w:hAnsi="Tahoma" w:cs="Tahoma"/>
          <w:sz w:val="16"/>
          <w:szCs w:val="16"/>
        </w:rPr>
        <w:t>В случае проведения сделки между взаимозависимыми лицами и, если владельцем (собственником) компании-работодателя Заемщика является Член семьи Заемщика и при этом у Заемщика отсутствует кредитная история, размер Коэффициента К/З может составлять не более 70%.</w:t>
      </w:r>
    </w:p>
  </w:footnote>
  <w:footnote w:id="26">
    <w:p w14:paraId="299FA4E1" w14:textId="77777777" w:rsidR="00951A61" w:rsidRPr="002C6858" w:rsidRDefault="00951A61" w:rsidP="00951A61">
      <w:pPr>
        <w:pStyle w:val="aff1"/>
        <w:rPr>
          <w:rFonts w:ascii="Tahoma" w:hAnsi="Tahoma" w:cs="Tahoma"/>
          <w:sz w:val="16"/>
          <w:szCs w:val="16"/>
        </w:rPr>
      </w:pPr>
      <w:r w:rsidRPr="002C6858">
        <w:rPr>
          <w:rStyle w:val="aff3"/>
          <w:rFonts w:ascii="Tahoma" w:hAnsi="Tahoma" w:cs="Tahoma"/>
          <w:sz w:val="16"/>
          <w:szCs w:val="16"/>
        </w:rPr>
        <w:footnoteRef/>
      </w:r>
      <w:r w:rsidRPr="002C6858">
        <w:rPr>
          <w:rFonts w:ascii="Tahoma" w:hAnsi="Tahoma" w:cs="Tahoma"/>
          <w:sz w:val="16"/>
          <w:szCs w:val="16"/>
        </w:rPr>
        <w:t xml:space="preserve"> Коэффициент К/З не более </w:t>
      </w:r>
      <w:r w:rsidRPr="006306F2">
        <w:rPr>
          <w:rFonts w:ascii="Tahoma" w:hAnsi="Tahoma" w:cs="Tahoma"/>
          <w:sz w:val="16"/>
          <w:szCs w:val="16"/>
        </w:rPr>
        <w:t>75</w:t>
      </w:r>
      <w:r w:rsidRPr="002C6858">
        <w:rPr>
          <w:rFonts w:ascii="Tahoma" w:hAnsi="Tahoma" w:cs="Tahoma"/>
          <w:sz w:val="16"/>
          <w:szCs w:val="16"/>
        </w:rPr>
        <w:t xml:space="preserve">% допустим для </w:t>
      </w:r>
      <w:r>
        <w:rPr>
          <w:rFonts w:ascii="Tahoma" w:hAnsi="Tahoma" w:cs="Tahoma"/>
          <w:sz w:val="16"/>
          <w:szCs w:val="16"/>
        </w:rPr>
        <w:t>Заемщика с официально подтвержденным доходом, а также для Заемщика, являющегося Зарплатным клиентом Банка</w:t>
      </w:r>
      <w:r w:rsidRPr="002C6858">
        <w:rPr>
          <w:rFonts w:ascii="Tahoma" w:hAnsi="Tahoma" w:cs="Tahoma"/>
          <w:sz w:val="16"/>
          <w:szCs w:val="16"/>
        </w:rPr>
        <w:t>:</w:t>
      </w:r>
    </w:p>
    <w:p w14:paraId="6C852580" w14:textId="77777777" w:rsidR="00951A61" w:rsidRPr="002C6858" w:rsidRDefault="00951A61" w:rsidP="00951A61">
      <w:pPr>
        <w:pStyle w:val="aff1"/>
        <w:rPr>
          <w:rFonts w:ascii="Tahoma" w:hAnsi="Tahoma" w:cs="Tahoma"/>
          <w:sz w:val="16"/>
          <w:szCs w:val="16"/>
        </w:rPr>
      </w:pPr>
      <w:r w:rsidRPr="002C6858">
        <w:rPr>
          <w:rFonts w:ascii="Tahoma" w:hAnsi="Tahoma" w:cs="Tahoma"/>
          <w:sz w:val="16"/>
          <w:szCs w:val="16"/>
        </w:rPr>
        <w:t xml:space="preserve">- в случае нахождения Предмета ипотеки на территории обслуживания Банком в городе-столице региона/ районном центре, удаленность не более 30 км от населенного пункта, где располагается Подразделение Банка (для Москвы расстояние считается от МКАД); </w:t>
      </w:r>
    </w:p>
    <w:p w14:paraId="4AFC9091" w14:textId="77777777" w:rsidR="00951A61" w:rsidRPr="002C6858" w:rsidRDefault="00951A61" w:rsidP="00951A61">
      <w:pPr>
        <w:pStyle w:val="aff1"/>
        <w:rPr>
          <w:rFonts w:ascii="Tahoma" w:hAnsi="Tahoma" w:cs="Tahoma"/>
          <w:sz w:val="16"/>
          <w:szCs w:val="16"/>
        </w:rPr>
      </w:pPr>
      <w:r w:rsidRPr="002C6858">
        <w:rPr>
          <w:rFonts w:ascii="Tahoma" w:hAnsi="Tahoma" w:cs="Tahoma"/>
          <w:sz w:val="16"/>
          <w:szCs w:val="16"/>
        </w:rPr>
        <w:t>- в случае нахождения Предмета ипотеки на территории обслуживания Банком, в ином населенном пункте, не относящимся к городу-столице региона/ районному центру, удаленность не более 15 км от населенного пункта, где располагается Подразделение Банка.</w:t>
      </w:r>
    </w:p>
  </w:footnote>
  <w:footnote w:id="27">
    <w:p w14:paraId="5642E843" w14:textId="77777777" w:rsidR="00951A61" w:rsidRPr="002C6858" w:rsidRDefault="00951A61" w:rsidP="00951A61">
      <w:pPr>
        <w:pStyle w:val="aff1"/>
        <w:rPr>
          <w:rFonts w:ascii="Tahoma" w:hAnsi="Tahoma" w:cs="Tahoma"/>
          <w:sz w:val="16"/>
          <w:szCs w:val="16"/>
        </w:rPr>
      </w:pPr>
      <w:r w:rsidRPr="002C6858">
        <w:rPr>
          <w:rStyle w:val="aff3"/>
          <w:rFonts w:ascii="Tahoma" w:hAnsi="Tahoma" w:cs="Tahoma"/>
          <w:sz w:val="16"/>
          <w:szCs w:val="16"/>
        </w:rPr>
        <w:footnoteRef/>
      </w:r>
      <w:r w:rsidRPr="002C6858">
        <w:rPr>
          <w:rFonts w:ascii="Tahoma" w:hAnsi="Tahoma" w:cs="Tahoma"/>
          <w:sz w:val="16"/>
          <w:szCs w:val="16"/>
        </w:rPr>
        <w:t xml:space="preserve"> Коэффициент К/З не более </w:t>
      </w:r>
      <w:r w:rsidRPr="006306F2">
        <w:rPr>
          <w:rFonts w:ascii="Tahoma" w:hAnsi="Tahoma" w:cs="Tahoma"/>
          <w:sz w:val="16"/>
          <w:szCs w:val="16"/>
        </w:rPr>
        <w:t>75</w:t>
      </w:r>
      <w:r w:rsidRPr="002C6858">
        <w:rPr>
          <w:rFonts w:ascii="Tahoma" w:hAnsi="Tahoma" w:cs="Tahoma"/>
          <w:sz w:val="16"/>
          <w:szCs w:val="16"/>
        </w:rPr>
        <w:t xml:space="preserve">% допустим для </w:t>
      </w:r>
      <w:r>
        <w:rPr>
          <w:rFonts w:ascii="Tahoma" w:hAnsi="Tahoma" w:cs="Tahoma"/>
          <w:sz w:val="16"/>
          <w:szCs w:val="16"/>
        </w:rPr>
        <w:t>Заемщика с официально подтвержденным доходом, а также для Заемщика, являющегося Зарплатным клиентом Банка</w:t>
      </w:r>
      <w:r w:rsidRPr="002C6858">
        <w:rPr>
          <w:rFonts w:ascii="Tahoma" w:hAnsi="Tahoma" w:cs="Tahoma"/>
          <w:sz w:val="16"/>
          <w:szCs w:val="16"/>
        </w:rPr>
        <w:t>:</w:t>
      </w:r>
    </w:p>
    <w:p w14:paraId="5FD52728" w14:textId="77777777" w:rsidR="00951A61" w:rsidRPr="002C6858" w:rsidRDefault="00951A61" w:rsidP="00951A61">
      <w:pPr>
        <w:pStyle w:val="aff1"/>
        <w:rPr>
          <w:rFonts w:ascii="Tahoma" w:hAnsi="Tahoma" w:cs="Tahoma"/>
          <w:sz w:val="16"/>
          <w:szCs w:val="16"/>
        </w:rPr>
      </w:pPr>
      <w:r w:rsidRPr="002C6858">
        <w:rPr>
          <w:rFonts w:ascii="Tahoma" w:hAnsi="Tahoma" w:cs="Tahoma"/>
          <w:sz w:val="16"/>
          <w:szCs w:val="16"/>
        </w:rPr>
        <w:t xml:space="preserve">- в случае нахождения Предмета ипотеки на территории обслуживания Банком в городе-столице региона/ районном центре, удаленность не более 30 км от населенного пункта, где располагается Подразделение Банка (для Москвы расстояние считается от МКАД); </w:t>
      </w:r>
    </w:p>
    <w:p w14:paraId="0F4C1B0D" w14:textId="77777777" w:rsidR="00951A61" w:rsidRPr="00CD2C26" w:rsidRDefault="00951A61" w:rsidP="00951A61">
      <w:pPr>
        <w:pStyle w:val="aff1"/>
        <w:rPr>
          <w:rFonts w:ascii="Tahoma" w:hAnsi="Tahoma" w:cs="Tahoma"/>
          <w:sz w:val="16"/>
          <w:szCs w:val="16"/>
        </w:rPr>
      </w:pPr>
      <w:r w:rsidRPr="002C6858">
        <w:rPr>
          <w:rFonts w:ascii="Tahoma" w:hAnsi="Tahoma" w:cs="Tahoma"/>
          <w:sz w:val="16"/>
          <w:szCs w:val="16"/>
        </w:rPr>
        <w:t>- в случае нахождения Предмета ипотеки</w:t>
      </w:r>
      <w:r w:rsidRPr="00CD2C26">
        <w:rPr>
          <w:rFonts w:ascii="Tahoma" w:hAnsi="Tahoma" w:cs="Tahoma"/>
          <w:sz w:val="16"/>
          <w:szCs w:val="16"/>
        </w:rPr>
        <w:t xml:space="preserve"> на территории обслуживания Банком, в ином населенном пункте, не относящимся к городу-столице региона/ районному центру, удаленность не более 15 км от населенного пункта, где располагается Подразделение Банка.</w:t>
      </w:r>
    </w:p>
  </w:footnote>
  <w:footnote w:id="28">
    <w:p w14:paraId="75B67C50" w14:textId="77777777" w:rsidR="00951A61" w:rsidRPr="001F1A46" w:rsidRDefault="00951A61" w:rsidP="00951A61">
      <w:pPr>
        <w:pStyle w:val="aff1"/>
        <w:rPr>
          <w:rFonts w:ascii="Tahoma" w:hAnsi="Tahoma" w:cs="Tahoma"/>
        </w:rPr>
      </w:pPr>
      <w:r w:rsidRPr="001F1A46">
        <w:rPr>
          <w:rStyle w:val="aff3"/>
          <w:rFonts w:ascii="Tahoma" w:hAnsi="Tahoma" w:cs="Tahoma"/>
        </w:rPr>
        <w:footnoteRef/>
      </w:r>
      <w:r w:rsidRPr="001F1A46">
        <w:rPr>
          <w:rFonts w:ascii="Tahoma" w:hAnsi="Tahoma" w:cs="Tahoma"/>
        </w:rPr>
        <w:t xml:space="preserve"> Расчет ПСК произведен с использованием тарифов ООО «Мобильный оценщик» (ИНН 7842358640), действующих на 2024г. При обращении Заёмщика к иному оценщику полная стоимость кредита может отличаться от расчетной.</w:t>
      </w:r>
    </w:p>
  </w:footnote>
  <w:footnote w:id="29">
    <w:p w14:paraId="74CC0AE9" w14:textId="77777777" w:rsidR="00951A61" w:rsidRPr="001F1A46" w:rsidRDefault="00951A61" w:rsidP="00951A61">
      <w:pPr>
        <w:pStyle w:val="aff1"/>
        <w:rPr>
          <w:rFonts w:ascii="Tahoma" w:hAnsi="Tahoma" w:cs="Tahoma"/>
        </w:rPr>
      </w:pPr>
      <w:r w:rsidRPr="001F1A46">
        <w:rPr>
          <w:rStyle w:val="aff3"/>
          <w:rFonts w:ascii="Tahoma" w:hAnsi="Tahoma" w:cs="Tahoma"/>
        </w:rPr>
        <w:footnoteRef/>
      </w:r>
      <w:r w:rsidRPr="001F1A46">
        <w:rPr>
          <w:rFonts w:ascii="Tahoma" w:hAnsi="Tahoma" w:cs="Tahoma"/>
        </w:rPr>
        <w:t xml:space="preserve"> Расчет ПСК произведен с использованием минимального тарифа AO «АльфаСтрахование» (ИНН 7713056834), действующего в 20</w:t>
      </w:r>
      <w:r>
        <w:rPr>
          <w:rFonts w:ascii="Tahoma" w:hAnsi="Tahoma" w:cs="Tahoma"/>
        </w:rPr>
        <w:t>24</w:t>
      </w:r>
      <w:r w:rsidRPr="001F1A46">
        <w:rPr>
          <w:rFonts w:ascii="Tahoma" w:hAnsi="Tahoma" w:cs="Tahoma"/>
        </w:rPr>
        <w:t xml:space="preserve"> г. В случае выбора Заемщиком иной страховой компании или применения AO «АльфаСтрахование» в расчетах иного страхового тарифа, полная стоимость кредита может отличаться от расчетной.</w:t>
      </w:r>
    </w:p>
  </w:footnote>
  <w:footnote w:id="30">
    <w:p w14:paraId="52CB849B" w14:textId="77777777" w:rsidR="00951A61" w:rsidRPr="001F1A46" w:rsidRDefault="00951A61" w:rsidP="00951A61">
      <w:pPr>
        <w:pStyle w:val="aff1"/>
        <w:rPr>
          <w:rFonts w:ascii="Tahoma" w:hAnsi="Tahoma" w:cs="Tahoma"/>
          <w:sz w:val="16"/>
          <w:szCs w:val="16"/>
        </w:rPr>
      </w:pPr>
      <w:r w:rsidRPr="001F1A46">
        <w:rPr>
          <w:rStyle w:val="aff3"/>
          <w:rFonts w:ascii="Tahoma" w:hAnsi="Tahoma" w:cs="Tahoma"/>
          <w:sz w:val="16"/>
          <w:szCs w:val="16"/>
        </w:rPr>
        <w:footnoteRef/>
      </w:r>
      <w:r w:rsidRPr="001F1A46">
        <w:rPr>
          <w:rFonts w:ascii="Tahoma" w:hAnsi="Tahoma" w:cs="Tahoma"/>
          <w:sz w:val="16"/>
          <w:szCs w:val="16"/>
        </w:rPr>
        <w:t xml:space="preserve"> Сезонный вид деятельности – вид деятельности, который претерпевает сезонные колебания, оказывающие существенное влияние на стабильность деятельности (сезонные колебания в деятельности выражаются в повышении или понижении уровня экономической активности, масштабов экономической деятельности вследствие сезонности спроса на вид деятельности).</w:t>
      </w:r>
    </w:p>
  </w:footnote>
  <w:footnote w:id="31">
    <w:p w14:paraId="64AB00CD" w14:textId="77777777" w:rsidR="00951A61" w:rsidRPr="00493B21" w:rsidRDefault="00951A61" w:rsidP="00951A61">
      <w:pPr>
        <w:pStyle w:val="aff1"/>
        <w:rPr>
          <w:rFonts w:ascii="Tahoma" w:hAnsi="Tahoma" w:cs="Tahoma"/>
          <w:sz w:val="16"/>
          <w:szCs w:val="16"/>
        </w:rPr>
      </w:pPr>
      <w:r w:rsidRPr="00C57EE1">
        <w:rPr>
          <w:rStyle w:val="aff3"/>
          <w:rFonts w:ascii="Tahoma" w:hAnsi="Tahoma" w:cs="Tahoma"/>
          <w:sz w:val="16"/>
          <w:szCs w:val="16"/>
        </w:rPr>
        <w:footnoteRef/>
      </w:r>
      <w:r w:rsidRPr="00C57EE1">
        <w:rPr>
          <w:rFonts w:ascii="Tahoma" w:hAnsi="Tahoma" w:cs="Tahoma"/>
          <w:sz w:val="16"/>
          <w:szCs w:val="16"/>
        </w:rPr>
        <w:t xml:space="preserve"> Такие объекты требуют дополнительного анализа со стороны Банка.</w:t>
      </w:r>
    </w:p>
  </w:footnote>
  <w:footnote w:id="32">
    <w:p w14:paraId="0F4AB827" w14:textId="77777777" w:rsidR="00951A61" w:rsidRPr="001F1A46" w:rsidRDefault="00951A61" w:rsidP="00951A61">
      <w:pPr>
        <w:pStyle w:val="aff1"/>
        <w:rPr>
          <w:rFonts w:ascii="Tahoma" w:hAnsi="Tahoma" w:cs="Tahoma"/>
          <w:sz w:val="16"/>
          <w:szCs w:val="16"/>
        </w:rPr>
      </w:pPr>
      <w:r w:rsidRPr="001F1A46">
        <w:rPr>
          <w:rStyle w:val="aff3"/>
          <w:rFonts w:ascii="Tahoma" w:hAnsi="Tahoma" w:cs="Tahoma"/>
          <w:sz w:val="16"/>
          <w:szCs w:val="16"/>
        </w:rPr>
        <w:footnoteRef/>
      </w:r>
      <w:r w:rsidRPr="001F1A46">
        <w:rPr>
          <w:rFonts w:ascii="Tahoma" w:hAnsi="Tahoma" w:cs="Tahoma"/>
          <w:sz w:val="16"/>
          <w:szCs w:val="16"/>
        </w:rPr>
        <w:t xml:space="preserve"> </w:t>
      </w:r>
      <w:r w:rsidRPr="00CD2C26">
        <w:rPr>
          <w:rFonts w:ascii="Tahoma" w:hAnsi="Tahoma" w:cs="Tahoma"/>
          <w:sz w:val="16"/>
          <w:szCs w:val="16"/>
        </w:rPr>
        <w:t>Выписка из СФР может быть принята только для подтверждения одновременно и трудоустройства, и дохода Заемщика, если в ней отсутствует не более чем текущий и предыдущий квартал. Допустимо подтверждение трудоустройства выпиской СФР, при наличии выписки по зарплатному счету Клиента, если за период, который не отражается в выписке СФР, у Клиента изменился доход в большую сторону в соответствии с выпиской по зарплатному счету Заемщика.</w:t>
      </w:r>
    </w:p>
  </w:footnote>
  <w:footnote w:id="33">
    <w:p w14:paraId="4087776D" w14:textId="77777777" w:rsidR="00951A61" w:rsidRPr="0023145E" w:rsidRDefault="00951A61" w:rsidP="00951A61">
      <w:pPr>
        <w:pStyle w:val="aff1"/>
        <w:rPr>
          <w:rFonts w:ascii="Tahoma" w:hAnsi="Tahoma" w:cs="Tahoma"/>
          <w:sz w:val="16"/>
          <w:szCs w:val="16"/>
        </w:rPr>
      </w:pPr>
      <w:r w:rsidRPr="0023145E">
        <w:rPr>
          <w:rStyle w:val="aff3"/>
          <w:rFonts w:ascii="Tahoma" w:hAnsi="Tahoma" w:cs="Tahoma"/>
          <w:sz w:val="16"/>
          <w:szCs w:val="16"/>
        </w:rPr>
        <w:footnoteRef/>
      </w:r>
      <w:r w:rsidRPr="0023145E">
        <w:rPr>
          <w:rFonts w:ascii="Tahoma" w:hAnsi="Tahoma" w:cs="Tahoma"/>
          <w:sz w:val="16"/>
          <w:szCs w:val="16"/>
        </w:rPr>
        <w:t xml:space="preserve"> Необходимость предоставления документа уточняется работником Банка на этапе консультации.</w:t>
      </w:r>
    </w:p>
  </w:footnote>
  <w:footnote w:id="34">
    <w:p w14:paraId="27FD6079" w14:textId="77777777" w:rsidR="00951A61" w:rsidRPr="00CD2C26" w:rsidRDefault="00951A61" w:rsidP="00951A61">
      <w:pPr>
        <w:pStyle w:val="aff1"/>
        <w:rPr>
          <w:rFonts w:ascii="Tahoma" w:hAnsi="Tahoma" w:cs="Tahoma"/>
          <w:sz w:val="16"/>
          <w:szCs w:val="16"/>
        </w:rPr>
      </w:pPr>
      <w:r w:rsidRPr="0023145E">
        <w:rPr>
          <w:rStyle w:val="aff3"/>
          <w:rFonts w:ascii="Tahoma" w:hAnsi="Tahoma" w:cs="Tahoma"/>
          <w:sz w:val="16"/>
          <w:szCs w:val="16"/>
        </w:rPr>
        <w:footnoteRef/>
      </w:r>
      <w:r w:rsidRPr="0023145E">
        <w:rPr>
          <w:rFonts w:ascii="Tahoma" w:hAnsi="Tahoma" w:cs="Tahoma"/>
          <w:sz w:val="16"/>
          <w:szCs w:val="16"/>
        </w:rPr>
        <w:t xml:space="preserve"> Оценка стоимости Предмета ипотека должна быть произведена и</w:t>
      </w:r>
      <w:r w:rsidRPr="001F1A46">
        <w:rPr>
          <w:rFonts w:ascii="Tahoma" w:hAnsi="Tahoma" w:cs="Tahoma"/>
          <w:sz w:val="16"/>
          <w:szCs w:val="16"/>
        </w:rPr>
        <w:t xml:space="preserve"> отчет об оценке должны быть заказаны Заемщиком (Залогодателем) у любого аккредитованного Банком оценщика, удовлетворяющего критериям отбора оценочных организаций, размещенным на сайте Банка в разделе «Уведомления»: https://www.atb.su/general-information/prochee/</w:t>
      </w:r>
    </w:p>
  </w:footnote>
  <w:footnote w:id="35">
    <w:p w14:paraId="3E6ACD8F" w14:textId="77777777" w:rsidR="00951A61" w:rsidRPr="001F1A46" w:rsidRDefault="00951A61" w:rsidP="00951A61">
      <w:pPr>
        <w:pStyle w:val="aff1"/>
        <w:rPr>
          <w:rFonts w:ascii="Tahoma" w:hAnsi="Tahoma" w:cs="Tahoma"/>
          <w:sz w:val="16"/>
          <w:szCs w:val="16"/>
        </w:rPr>
      </w:pPr>
      <w:r w:rsidRPr="001F1A46">
        <w:rPr>
          <w:rStyle w:val="aff3"/>
          <w:rFonts w:ascii="Tahoma" w:hAnsi="Tahoma" w:cs="Tahoma"/>
          <w:sz w:val="16"/>
          <w:szCs w:val="16"/>
        </w:rPr>
        <w:footnoteRef/>
      </w:r>
      <w:r w:rsidRPr="001F1A46">
        <w:rPr>
          <w:rFonts w:ascii="Tahoma" w:hAnsi="Tahoma" w:cs="Tahoma"/>
          <w:sz w:val="16"/>
          <w:szCs w:val="16"/>
        </w:rPr>
        <w:t xml:space="preserve"> За исключением случаев, предусмотренных законодательством РФ.</w:t>
      </w:r>
    </w:p>
  </w:footnote>
  <w:footnote w:id="36">
    <w:p w14:paraId="225CCB5B" w14:textId="77777777" w:rsidR="00951A61" w:rsidRPr="00095120" w:rsidRDefault="00951A61" w:rsidP="00951A61">
      <w:pPr>
        <w:pStyle w:val="aff1"/>
        <w:rPr>
          <w:rFonts w:ascii="Tahoma" w:hAnsi="Tahoma" w:cs="Tahoma"/>
        </w:rPr>
      </w:pPr>
      <w:r w:rsidRPr="001F1A46">
        <w:rPr>
          <w:rStyle w:val="aff3"/>
          <w:rFonts w:ascii="Tahoma" w:hAnsi="Tahoma" w:cs="Tahoma"/>
        </w:rPr>
        <w:footnoteRef/>
      </w:r>
      <w:r w:rsidRPr="001F1A46">
        <w:rPr>
          <w:rFonts w:ascii="Tahoma" w:hAnsi="Tahoma" w:cs="Tahoma"/>
        </w:rPr>
        <w:t xml:space="preserve"> Ставка устанавливается Заемщикам с официально подтвержденным </w:t>
      </w:r>
      <w:r w:rsidRPr="00095120">
        <w:rPr>
          <w:rFonts w:ascii="Tahoma" w:hAnsi="Tahoma" w:cs="Tahoma"/>
        </w:rPr>
        <w:t>доходом и Зарплатны</w:t>
      </w:r>
      <w:r>
        <w:rPr>
          <w:rFonts w:ascii="Tahoma" w:hAnsi="Tahoma" w:cs="Tahoma"/>
        </w:rPr>
        <w:t>м</w:t>
      </w:r>
      <w:r w:rsidRPr="00095120">
        <w:rPr>
          <w:rFonts w:ascii="Tahoma" w:hAnsi="Tahoma" w:cs="Tahoma"/>
        </w:rPr>
        <w:t xml:space="preserve"> клиент</w:t>
      </w:r>
      <w:r>
        <w:rPr>
          <w:rFonts w:ascii="Tahoma" w:hAnsi="Tahoma" w:cs="Tahoma"/>
        </w:rPr>
        <w:t>ам</w:t>
      </w:r>
      <w:r w:rsidRPr="00095120">
        <w:rPr>
          <w:rFonts w:ascii="Tahoma" w:hAnsi="Tahoma" w:cs="Tahoma"/>
        </w:rPr>
        <w:t xml:space="preserve"> Банка.</w:t>
      </w:r>
    </w:p>
  </w:footnote>
  <w:footnote w:id="37">
    <w:p w14:paraId="5CF224D1" w14:textId="77777777" w:rsidR="00951A61" w:rsidRPr="00095120" w:rsidRDefault="00951A61" w:rsidP="00951A61">
      <w:pPr>
        <w:pStyle w:val="aff1"/>
        <w:rPr>
          <w:rFonts w:ascii="Tahoma" w:hAnsi="Tahoma" w:cs="Tahoma"/>
        </w:rPr>
      </w:pPr>
      <w:r w:rsidRPr="00095120">
        <w:rPr>
          <w:rStyle w:val="aff3"/>
          <w:rFonts w:ascii="Tahoma" w:hAnsi="Tahoma" w:cs="Tahoma"/>
        </w:rPr>
        <w:footnoteRef/>
      </w:r>
      <w:r w:rsidRPr="00095120">
        <w:rPr>
          <w:rStyle w:val="aff3"/>
          <w:rFonts w:ascii="Tahoma" w:hAnsi="Tahoma" w:cs="Tahoma"/>
        </w:rPr>
        <w:t xml:space="preserve"> </w:t>
      </w:r>
      <w:r w:rsidRPr="00095120">
        <w:rPr>
          <w:rFonts w:ascii="Tahoma" w:hAnsi="Tahoma" w:cs="Tahoma"/>
        </w:rPr>
        <w:t>В целях определения итоговой процентной ставки по конкретному ипотечному кредиту дисконты к базовой ставке не суммируются и применяются при соответствии с указанными в таблице параметрам на этапе заключения Кредитного договора.</w:t>
      </w:r>
    </w:p>
  </w:footnote>
  <w:footnote w:id="38">
    <w:p w14:paraId="507B600F" w14:textId="77777777" w:rsidR="00951A61" w:rsidRPr="00C713F4" w:rsidRDefault="00951A61" w:rsidP="00951A61">
      <w:pPr>
        <w:pStyle w:val="aff1"/>
        <w:rPr>
          <w:rFonts w:ascii="Tahoma" w:hAnsi="Tahoma" w:cs="Tahoma"/>
        </w:rPr>
      </w:pPr>
      <w:r w:rsidRPr="00095120">
        <w:rPr>
          <w:rStyle w:val="aff3"/>
          <w:rFonts w:ascii="Tahoma" w:hAnsi="Tahoma" w:cs="Tahoma"/>
        </w:rPr>
        <w:footnoteRef/>
      </w:r>
      <w:r w:rsidRPr="00095120">
        <w:rPr>
          <w:rFonts w:ascii="Tahoma" w:hAnsi="Tahoma" w:cs="Tahoma"/>
        </w:rPr>
        <w:t xml:space="preserve"> В случае расторжения трудового </w:t>
      </w:r>
      <w:r w:rsidRPr="00C713F4">
        <w:rPr>
          <w:rFonts w:ascii="Tahoma" w:hAnsi="Tahoma" w:cs="Tahoma"/>
        </w:rPr>
        <w:t>договора процентная ставка увеличивается до размера Базовой ставки, действующей на дату принятия окончательного решения по заявке (если иное условие не согласовано сторонами при заключении соглашения о расторжении трудового договора).</w:t>
      </w:r>
    </w:p>
  </w:footnote>
  <w:footnote w:id="39">
    <w:p w14:paraId="2820FC23" w14:textId="77777777" w:rsidR="00951A61" w:rsidRPr="00C713F4" w:rsidRDefault="00951A61" w:rsidP="00951A61">
      <w:pPr>
        <w:pStyle w:val="aff1"/>
        <w:rPr>
          <w:rFonts w:ascii="Tahoma" w:hAnsi="Tahoma" w:cs="Tahoma"/>
        </w:rPr>
      </w:pPr>
      <w:r w:rsidRPr="00C713F4">
        <w:rPr>
          <w:rStyle w:val="aff3"/>
          <w:rFonts w:ascii="Tahoma" w:hAnsi="Tahoma" w:cs="Tahoma"/>
        </w:rPr>
        <w:footnoteRef/>
      </w:r>
      <w:r w:rsidRPr="00C713F4">
        <w:rPr>
          <w:rFonts w:ascii="Tahoma" w:hAnsi="Tahoma" w:cs="Tahoma"/>
        </w:rPr>
        <w:t xml:space="preserve"> Дисконт применяется в случае применения надбавок</w:t>
      </w:r>
      <w:r w:rsidRPr="00224293">
        <w:rPr>
          <w:rFonts w:ascii="Tahoma" w:hAnsi="Tahoma" w:cs="Tahoma"/>
        </w:rPr>
        <w:t>, за исключением надбавки, указанной в п. 3.</w:t>
      </w:r>
      <w:r>
        <w:rPr>
          <w:rFonts w:ascii="Tahoma" w:hAnsi="Tahoma" w:cs="Tahoma"/>
        </w:rPr>
        <w:t>7</w:t>
      </w:r>
      <w:r w:rsidRPr="00224293">
        <w:rPr>
          <w:rFonts w:ascii="Tahoma" w:hAnsi="Tahoma" w:cs="Tahoma"/>
        </w:rPr>
        <w:t>. (в случае применения надбавки, указанной в п. 3.</w:t>
      </w:r>
      <w:r>
        <w:rPr>
          <w:rFonts w:ascii="Tahoma" w:hAnsi="Tahoma" w:cs="Tahoma"/>
        </w:rPr>
        <w:t>7</w:t>
      </w:r>
      <w:r w:rsidRPr="00224293">
        <w:rPr>
          <w:rFonts w:ascii="Tahoma" w:hAnsi="Tahoma" w:cs="Tahoma"/>
        </w:rPr>
        <w:t>., данный дисконт не может применяться), и</w:t>
      </w:r>
      <w:r w:rsidRPr="00C713F4">
        <w:rPr>
          <w:rFonts w:ascii="Tahoma" w:hAnsi="Tahoma" w:cs="Tahoma"/>
        </w:rPr>
        <w:t xml:space="preserve"> не применим для категории клиентов, указанных в пп. 2.1., итоговая ставка при этом не может быть менее базовой ставки. Перечень партнеров Банка размещается в сети Интернет на официальном сайте Банка в разделе «Документы для скачивания»: https://www.atb.su/kredit/ipoteka/#/. </w:t>
      </w:r>
    </w:p>
  </w:footnote>
  <w:footnote w:id="40">
    <w:p w14:paraId="147598A5" w14:textId="77777777" w:rsidR="00951A61" w:rsidRPr="00095120" w:rsidRDefault="00951A61" w:rsidP="00951A61">
      <w:pPr>
        <w:pStyle w:val="aff1"/>
        <w:rPr>
          <w:rFonts w:ascii="Tahoma" w:hAnsi="Tahoma" w:cs="Tahoma"/>
        </w:rPr>
      </w:pPr>
      <w:r w:rsidRPr="00C713F4">
        <w:rPr>
          <w:rStyle w:val="aff3"/>
          <w:rFonts w:ascii="Tahoma" w:hAnsi="Tahoma" w:cs="Tahoma"/>
        </w:rPr>
        <w:footnoteRef/>
      </w:r>
      <w:r w:rsidRPr="00C713F4">
        <w:rPr>
          <w:rFonts w:ascii="Tahoma" w:hAnsi="Tahoma" w:cs="Tahoma"/>
        </w:rPr>
        <w:t xml:space="preserve"> Дисконт применяется в случае применения надбавок, но не применим для категории клиентов, указанных в пп. 2.1., итоговая ставка при этом не может быть менее</w:t>
      </w:r>
      <w:r w:rsidRPr="00095120">
        <w:rPr>
          <w:rFonts w:ascii="Tahoma" w:hAnsi="Tahoma" w:cs="Tahoma"/>
        </w:rPr>
        <w:t xml:space="preserve"> базовой ставки.</w:t>
      </w:r>
    </w:p>
  </w:footnote>
  <w:footnote w:id="41">
    <w:p w14:paraId="7E6DA1D1" w14:textId="77777777" w:rsidR="00951A61" w:rsidRPr="00095120" w:rsidRDefault="00951A61" w:rsidP="00951A61">
      <w:pPr>
        <w:pStyle w:val="aff1"/>
        <w:rPr>
          <w:rFonts w:ascii="Tahoma" w:hAnsi="Tahoma" w:cs="Tahoma"/>
        </w:rPr>
      </w:pPr>
      <w:r w:rsidRPr="00095120">
        <w:rPr>
          <w:rStyle w:val="aff3"/>
          <w:rFonts w:ascii="Tahoma" w:hAnsi="Tahoma" w:cs="Tahoma"/>
        </w:rPr>
        <w:footnoteRef/>
      </w:r>
      <w:r w:rsidRPr="00095120">
        <w:rPr>
          <w:rFonts w:ascii="Tahoma" w:hAnsi="Tahoma" w:cs="Tahoma"/>
        </w:rPr>
        <w:t xml:space="preserve"> Надбавки применяются единовременно при соответствии указанным в таблице параметрам при заключении Кредитного договора. </w:t>
      </w:r>
    </w:p>
  </w:footnote>
  <w:footnote w:id="42">
    <w:p w14:paraId="4EE5D1C0" w14:textId="77777777" w:rsidR="00951A61" w:rsidRPr="001F1A46" w:rsidRDefault="00951A61" w:rsidP="00951A61">
      <w:pPr>
        <w:pStyle w:val="aff1"/>
        <w:rPr>
          <w:rFonts w:ascii="Tahoma" w:hAnsi="Tahoma" w:cs="Tahoma"/>
        </w:rPr>
      </w:pPr>
      <w:r w:rsidRPr="00095120">
        <w:rPr>
          <w:rStyle w:val="aff3"/>
          <w:rFonts w:ascii="Tahoma" w:hAnsi="Tahoma" w:cs="Tahoma"/>
        </w:rPr>
        <w:footnoteRef/>
      </w:r>
      <w:r w:rsidRPr="00095120">
        <w:rPr>
          <w:rFonts w:ascii="Tahoma" w:hAnsi="Tahoma" w:cs="Tahoma"/>
        </w:rPr>
        <w:t xml:space="preserve"> Надбавка не применима для категории клиентов, указанных</w:t>
      </w:r>
      <w:r w:rsidRPr="00095120" w:rsidDel="00391F7E">
        <w:rPr>
          <w:rFonts w:ascii="Tahoma" w:hAnsi="Tahoma" w:cs="Tahoma"/>
        </w:rPr>
        <w:t xml:space="preserve"> </w:t>
      </w:r>
      <w:r w:rsidRPr="00095120">
        <w:rPr>
          <w:rFonts w:ascii="Tahoma" w:hAnsi="Tahoma" w:cs="Tahoma"/>
        </w:rPr>
        <w:t>в пп. 2.1. и для Зарплатных клиентов Банка.</w:t>
      </w:r>
    </w:p>
  </w:footnote>
  <w:footnote w:id="43">
    <w:p w14:paraId="61AC9248" w14:textId="77777777" w:rsidR="00951A61" w:rsidRPr="001F1A46" w:rsidRDefault="00951A61" w:rsidP="00951A61">
      <w:pPr>
        <w:pStyle w:val="aff1"/>
      </w:pPr>
      <w:r w:rsidRPr="001F1A46">
        <w:rPr>
          <w:rStyle w:val="aff3"/>
          <w:rFonts w:ascii="Tahoma" w:hAnsi="Tahoma" w:cs="Tahoma"/>
        </w:rPr>
        <w:footnoteRef/>
      </w:r>
      <w:r w:rsidRPr="001F1A46">
        <w:rPr>
          <w:rFonts w:ascii="Tahoma" w:hAnsi="Tahoma" w:cs="Tahoma"/>
        </w:rPr>
        <w:t xml:space="preserve"> Если иное не предусмотрено Кредитным договором, надбавка применяется в случае отказа Заемщика от </w:t>
      </w:r>
      <w:r w:rsidRPr="00CD2C26">
        <w:rPr>
          <w:rFonts w:ascii="Tahoma" w:hAnsi="Tahoma" w:cs="Tahoma"/>
        </w:rPr>
        <w:t>личного и/или титульного</w:t>
      </w:r>
      <w:r w:rsidRPr="001F1A46">
        <w:rPr>
          <w:rFonts w:ascii="Tahoma" w:hAnsi="Tahoma" w:cs="Tahoma"/>
        </w:rPr>
        <w:t xml:space="preserve"> страхования либо ненадлежащего исполнения Заемщиком условий </w:t>
      </w:r>
      <w:r w:rsidRPr="00CD2C26">
        <w:rPr>
          <w:rFonts w:ascii="Tahoma" w:hAnsi="Tahoma" w:cs="Tahoma"/>
        </w:rPr>
        <w:t>личного и/или титульного</w:t>
      </w:r>
      <w:r w:rsidRPr="001F1A46">
        <w:rPr>
          <w:rFonts w:ascii="Tahoma" w:hAnsi="Tahoma" w:cs="Tahoma"/>
        </w:rPr>
        <w:t xml:space="preserve"> страхования в течение срока действия Кредитного договора.  Внеплановый пересчет процентной ставки (применение надбавки), связанный с исполнением Заемщиком условия </w:t>
      </w:r>
      <w:r w:rsidRPr="00CD2C26">
        <w:rPr>
          <w:rFonts w:ascii="Tahoma" w:hAnsi="Tahoma" w:cs="Tahoma"/>
        </w:rPr>
        <w:t>личного и/или титульного</w:t>
      </w:r>
      <w:r w:rsidRPr="001F1A46">
        <w:rPr>
          <w:rFonts w:ascii="Tahoma" w:hAnsi="Tahoma" w:cs="Tahoma"/>
        </w:rPr>
        <w:t xml:space="preserve"> страхования, осуществляется в случае отсутствия у Банка информации об оплаченной страховой премии по договору (полису) добровольного страхования / о заключении нового договора (полиса) добровольного страхования и уплате страховой премии по нему по истечении месяца, следующего за месяцем, в котором состоялось уведомление Заемщика Банком о Внеплановом пересчете процентной ставки. Для категории клиентов, указанных в п. 2.1. размер надбавки составляет 0,5%.</w:t>
      </w:r>
    </w:p>
  </w:footnote>
  <w:footnote w:id="44">
    <w:p w14:paraId="3474C4B3" w14:textId="77777777" w:rsidR="00951A61" w:rsidRPr="00C713F4" w:rsidRDefault="00951A61" w:rsidP="00951A61">
      <w:pPr>
        <w:pStyle w:val="aff1"/>
        <w:rPr>
          <w:rFonts w:ascii="Tahoma" w:hAnsi="Tahoma" w:cs="Tahoma"/>
        </w:rPr>
      </w:pPr>
      <w:r w:rsidRPr="001F1A46">
        <w:rPr>
          <w:rStyle w:val="aff3"/>
          <w:rFonts w:ascii="Tahoma" w:hAnsi="Tahoma" w:cs="Tahoma"/>
        </w:rPr>
        <w:footnoteRef/>
      </w:r>
      <w:r w:rsidRPr="001F1A46">
        <w:rPr>
          <w:rFonts w:ascii="Tahoma" w:hAnsi="Tahoma" w:cs="Tahoma"/>
        </w:rPr>
        <w:t xml:space="preserve"> Если иное не предусмотрено Кредитным договором, надбавка применяется в случае отказа Заемщика от имущественного страхования либо ненадлежащего исполнения Заемщиком условий по </w:t>
      </w:r>
      <w:r w:rsidRPr="00CD2C26">
        <w:rPr>
          <w:rFonts w:ascii="Tahoma" w:hAnsi="Tahoma" w:cs="Tahoma"/>
        </w:rPr>
        <w:t xml:space="preserve">имущественному страхованию в течение срока действия Кредитного договора.  Внеплановый пересчет процентной ставки (применение надбавки), связанный с неисполнением Заемщиком условия по имущественному страхованию, осуществляется в случае отсутствия у Банка информации об оплаченной страховой премии по договору (полису) имущественного страхования / о заключении нового договора (полиса) имущественного страхования и уплате страховой </w:t>
      </w:r>
      <w:r w:rsidRPr="00C713F4">
        <w:rPr>
          <w:rFonts w:ascii="Tahoma" w:hAnsi="Tahoma" w:cs="Tahoma"/>
        </w:rPr>
        <w:t>премии по нему по истечении месяца, следующего за месяцем, в котором состоялось уведомление Заемщика Банком о Внеплановом пересчете процентной ставки. Для категории клиентов, указанных в п. 2.1. размер надбавки составляет 0,5%.</w:t>
      </w:r>
    </w:p>
  </w:footnote>
  <w:footnote w:id="45">
    <w:p w14:paraId="7EAADA1F" w14:textId="77777777" w:rsidR="00951A61" w:rsidRPr="00C713F4" w:rsidRDefault="00951A61" w:rsidP="00951A61">
      <w:pPr>
        <w:pStyle w:val="aff1"/>
        <w:rPr>
          <w:rFonts w:ascii="Tahoma" w:hAnsi="Tahoma" w:cs="Tahoma"/>
        </w:rPr>
      </w:pPr>
      <w:r w:rsidRPr="00C713F4">
        <w:rPr>
          <w:rStyle w:val="aff3"/>
          <w:rFonts w:ascii="Tahoma" w:hAnsi="Tahoma" w:cs="Tahoma"/>
        </w:rPr>
        <w:footnoteRef/>
      </w:r>
      <w:r w:rsidRPr="00C713F4">
        <w:rPr>
          <w:rFonts w:ascii="Tahoma" w:hAnsi="Tahoma" w:cs="Tahoma"/>
        </w:rPr>
        <w:t xml:space="preserve"> Надбавка не применима для категории клиентов, указанных в п. 2.1.</w:t>
      </w:r>
    </w:p>
  </w:footnote>
  <w:footnote w:id="46">
    <w:p w14:paraId="7B7EC1F5" w14:textId="77777777" w:rsidR="00951A61" w:rsidRPr="00C713F4" w:rsidRDefault="00951A61" w:rsidP="00951A61">
      <w:pPr>
        <w:pStyle w:val="aff1"/>
        <w:rPr>
          <w:rFonts w:ascii="Tahoma" w:hAnsi="Tahoma" w:cs="Tahoma"/>
        </w:rPr>
      </w:pPr>
      <w:r w:rsidRPr="00C713F4">
        <w:rPr>
          <w:rStyle w:val="aff3"/>
          <w:rFonts w:ascii="Tahoma" w:hAnsi="Tahoma" w:cs="Tahoma"/>
        </w:rPr>
        <w:footnoteRef/>
      </w:r>
      <w:r w:rsidRPr="00C713F4">
        <w:rPr>
          <w:rFonts w:ascii="Tahoma" w:hAnsi="Tahoma" w:cs="Tahoma"/>
        </w:rPr>
        <w:t xml:space="preserve"> Надбавка не применима для категории клиентов, указанных в п. 2.1</w:t>
      </w:r>
      <w:r>
        <w:rPr>
          <w:rFonts w:ascii="Tahoma" w:hAnsi="Tahoma" w:cs="Tahoma"/>
        </w:rPr>
        <w:t>.</w:t>
      </w:r>
    </w:p>
  </w:footnote>
  <w:footnote w:id="47">
    <w:p w14:paraId="48E3C705" w14:textId="77777777" w:rsidR="00951A61" w:rsidRPr="00C713F4" w:rsidRDefault="00951A61" w:rsidP="00951A61">
      <w:pPr>
        <w:pStyle w:val="aff1"/>
        <w:rPr>
          <w:rFonts w:ascii="Tahoma" w:hAnsi="Tahoma" w:cs="Tahoma"/>
        </w:rPr>
      </w:pPr>
      <w:r w:rsidRPr="00C713F4">
        <w:rPr>
          <w:rStyle w:val="aff3"/>
          <w:rFonts w:ascii="Tahoma" w:hAnsi="Tahoma" w:cs="Tahoma"/>
        </w:rPr>
        <w:footnoteRef/>
      </w:r>
      <w:r w:rsidRPr="00C713F4">
        <w:rPr>
          <w:rFonts w:ascii="Tahoma" w:hAnsi="Tahoma" w:cs="Tahoma"/>
        </w:rPr>
        <w:t xml:space="preserve"> Надбавка не применима для категории клиентов, указанных в п. 2.1.</w:t>
      </w:r>
    </w:p>
  </w:footnote>
  <w:footnote w:id="48">
    <w:p w14:paraId="6556DDC3" w14:textId="77777777" w:rsidR="00951A61" w:rsidRPr="00C713F4" w:rsidRDefault="00951A61" w:rsidP="00951A61">
      <w:pPr>
        <w:pStyle w:val="aff1"/>
        <w:rPr>
          <w:rFonts w:ascii="Tahoma" w:hAnsi="Tahoma" w:cs="Tahoma"/>
        </w:rPr>
      </w:pPr>
      <w:r w:rsidRPr="00224293">
        <w:rPr>
          <w:rStyle w:val="aff3"/>
          <w:rFonts w:ascii="Tahoma" w:hAnsi="Tahoma" w:cs="Tahoma"/>
        </w:rPr>
        <w:footnoteRef/>
      </w:r>
      <w:r w:rsidRPr="00224293">
        <w:rPr>
          <w:rFonts w:ascii="Tahoma" w:hAnsi="Tahoma" w:cs="Tahoma"/>
        </w:rPr>
        <w:t xml:space="preserve"> В случае применения данной надбавки, дисконт, указанный в п. 2.2. не может быть применен.</w:t>
      </w:r>
    </w:p>
  </w:footnote>
  <w:footnote w:id="49">
    <w:p w14:paraId="50865E9A" w14:textId="77777777" w:rsidR="00951A61" w:rsidRPr="0045718B" w:rsidRDefault="00951A61" w:rsidP="00951A61">
      <w:pPr>
        <w:pStyle w:val="aff1"/>
        <w:ind w:right="-326"/>
        <w:rPr>
          <w:rFonts w:ascii="Tahoma" w:hAnsi="Tahoma" w:cs="Tahoma"/>
          <w:sz w:val="16"/>
          <w:szCs w:val="16"/>
        </w:rPr>
      </w:pPr>
      <w:r w:rsidRPr="0045718B">
        <w:rPr>
          <w:rStyle w:val="aff3"/>
          <w:rFonts w:ascii="Tahoma" w:hAnsi="Tahoma" w:cs="Tahoma"/>
          <w:sz w:val="16"/>
          <w:szCs w:val="16"/>
        </w:rPr>
        <w:footnoteRef/>
      </w:r>
      <w:r w:rsidRPr="0045718B">
        <w:rPr>
          <w:rFonts w:ascii="Tahoma" w:hAnsi="Tahoma" w:cs="Tahoma"/>
          <w:sz w:val="16"/>
          <w:szCs w:val="16"/>
        </w:rPr>
        <w:t xml:space="preserve"> Многоквартирный дом на этапе строительства должен быть аккредитован в соответствии с требованиями Банка, которые утверждаются отдельным организационно-распорядительным документом.</w:t>
      </w:r>
    </w:p>
  </w:footnote>
  <w:footnote w:id="50">
    <w:p w14:paraId="4DE80ED7" w14:textId="77777777" w:rsidR="00951A61" w:rsidRPr="008656B8" w:rsidRDefault="00951A61" w:rsidP="00951A61">
      <w:pPr>
        <w:pStyle w:val="aff1"/>
        <w:rPr>
          <w:rFonts w:ascii="Tahoma" w:hAnsi="Tahoma" w:cs="Tahoma"/>
          <w:sz w:val="16"/>
          <w:szCs w:val="16"/>
        </w:rPr>
      </w:pPr>
      <w:r w:rsidRPr="008656B8">
        <w:rPr>
          <w:rStyle w:val="aff3"/>
          <w:rFonts w:ascii="Tahoma" w:hAnsi="Tahoma" w:cs="Tahoma"/>
          <w:sz w:val="16"/>
          <w:szCs w:val="16"/>
        </w:rPr>
        <w:footnoteRef/>
      </w:r>
      <w:r w:rsidRPr="008656B8">
        <w:rPr>
          <w:rFonts w:ascii="Tahoma" w:hAnsi="Tahoma" w:cs="Tahoma"/>
          <w:sz w:val="16"/>
          <w:szCs w:val="16"/>
        </w:rPr>
        <w:t xml:space="preserve"> В случае нахождения предмета ипотеки в городе-столице региона с населением от 400 тысяч человек.</w:t>
      </w:r>
    </w:p>
  </w:footnote>
  <w:footnote w:id="51">
    <w:p w14:paraId="5A8E203A" w14:textId="77777777" w:rsidR="00951A61" w:rsidRPr="00DA45E9" w:rsidRDefault="00951A61" w:rsidP="00951A61">
      <w:pPr>
        <w:pStyle w:val="aff1"/>
        <w:rPr>
          <w:rFonts w:ascii="Tahoma" w:hAnsi="Tahoma" w:cs="Tahoma"/>
          <w:sz w:val="16"/>
          <w:szCs w:val="16"/>
        </w:rPr>
      </w:pPr>
      <w:r w:rsidRPr="00117D2C">
        <w:rPr>
          <w:rStyle w:val="aff3"/>
          <w:rFonts w:ascii="Tahoma" w:hAnsi="Tahoma" w:cs="Tahoma"/>
          <w:sz w:val="16"/>
          <w:szCs w:val="16"/>
        </w:rPr>
        <w:footnoteRef/>
      </w:r>
      <w:r w:rsidRPr="00117D2C">
        <w:rPr>
          <w:rFonts w:ascii="Tahoma" w:hAnsi="Tahoma" w:cs="Tahoma"/>
          <w:sz w:val="16"/>
          <w:szCs w:val="16"/>
        </w:rPr>
        <w:t xml:space="preserve"> Выписка из ПФР может быть принята для подтверждения трудоустройства, если в ней отсутствует не более чем текущий и предыдущий квартал и заявленный доход подтвержден выпиской СКС по которой однозначно можно идентифицировать работодателя и назначение начисления - заработная плата или справкой 2-НДФЛ, в этом случае предоставление трудовой книжки/трудового договора не требуется.</w:t>
      </w:r>
    </w:p>
  </w:footnote>
  <w:footnote w:id="52">
    <w:p w14:paraId="19772DE9" w14:textId="77777777" w:rsidR="00951A61" w:rsidRPr="007108E6" w:rsidRDefault="00951A61" w:rsidP="00951A61">
      <w:pPr>
        <w:pStyle w:val="aff1"/>
      </w:pPr>
      <w:r w:rsidRPr="007108E6">
        <w:rPr>
          <w:rStyle w:val="aff3"/>
          <w:rFonts w:ascii="Tahoma" w:hAnsi="Tahoma" w:cs="Tahoma"/>
          <w:sz w:val="16"/>
          <w:szCs w:val="16"/>
        </w:rPr>
        <w:footnoteRef/>
      </w:r>
      <w:r w:rsidRPr="007108E6">
        <w:t xml:space="preserve"> </w:t>
      </w:r>
      <w:r w:rsidRPr="007108E6">
        <w:rPr>
          <w:rFonts w:ascii="Tahoma" w:hAnsi="Tahoma" w:cs="Tahoma"/>
          <w:sz w:val="16"/>
          <w:szCs w:val="16"/>
        </w:rPr>
        <w:t>В том числе лица, в отношении которых страховые взносы в ПФР не уплачиваются в силу законодательства Российской Федерации (сотрудники «силовых» ведомств), и подтвердившие свой доход выпиской СКС, по которой однозначно можно идентифицировать работодателя и назначение начисления - «заработная плата».</w:t>
      </w:r>
    </w:p>
  </w:footnote>
  <w:footnote w:id="53">
    <w:p w14:paraId="0C28F926" w14:textId="77777777" w:rsidR="00951A61" w:rsidRPr="007108E6" w:rsidRDefault="00951A61" w:rsidP="00951A61">
      <w:pPr>
        <w:pStyle w:val="aff1"/>
        <w:rPr>
          <w:rFonts w:ascii="Tahoma" w:hAnsi="Tahoma" w:cs="Tahoma"/>
          <w:sz w:val="16"/>
          <w:szCs w:val="16"/>
        </w:rPr>
      </w:pPr>
      <w:r w:rsidRPr="007108E6">
        <w:rPr>
          <w:rStyle w:val="aff3"/>
          <w:rFonts w:ascii="Tahoma" w:hAnsi="Tahoma" w:cs="Tahoma"/>
          <w:sz w:val="16"/>
          <w:szCs w:val="16"/>
        </w:rPr>
        <w:footnoteRef/>
      </w:r>
      <w:r w:rsidRPr="007108E6">
        <w:rPr>
          <w:rStyle w:val="aff3"/>
          <w:rFonts w:ascii="Tahoma" w:hAnsi="Tahoma" w:cs="Tahoma"/>
          <w:sz w:val="16"/>
          <w:szCs w:val="16"/>
        </w:rPr>
        <w:t xml:space="preserve"> </w:t>
      </w:r>
      <w:r w:rsidRPr="007108E6">
        <w:rPr>
          <w:rFonts w:ascii="Tahoma" w:hAnsi="Tahoma" w:cs="Tahoma"/>
          <w:sz w:val="16"/>
          <w:szCs w:val="16"/>
        </w:rPr>
        <w:t>В целях определения итоговой процентной ставки по конкретному ипотечному кредиту дисконты, указанные в п. 2.1.1. - 2.1.5. суммируются между собой, при этом максимальный размер дисконта по итогам суммирования не может превышать – минус 0,4%. Дисконты применяются единовременно при соответствии с указанными в таблице параметрам при заключении кредитного договора.</w:t>
      </w:r>
    </w:p>
  </w:footnote>
  <w:footnote w:id="54">
    <w:p w14:paraId="1AEACE72" w14:textId="77777777" w:rsidR="00951A61" w:rsidRPr="007108E6" w:rsidRDefault="00951A61" w:rsidP="00951A61">
      <w:pPr>
        <w:pStyle w:val="aff1"/>
        <w:rPr>
          <w:rFonts w:ascii="Tahoma" w:hAnsi="Tahoma" w:cs="Tahoma"/>
          <w:sz w:val="16"/>
          <w:szCs w:val="16"/>
        </w:rPr>
      </w:pPr>
      <w:r w:rsidRPr="007108E6">
        <w:rPr>
          <w:rStyle w:val="aff3"/>
          <w:rFonts w:ascii="Tahoma" w:hAnsi="Tahoma" w:cs="Tahoma"/>
          <w:sz w:val="16"/>
          <w:szCs w:val="16"/>
        </w:rPr>
        <w:footnoteRef/>
      </w:r>
      <w:r w:rsidRPr="007108E6">
        <w:rPr>
          <w:rFonts w:ascii="Tahoma" w:hAnsi="Tahoma" w:cs="Tahoma"/>
          <w:sz w:val="16"/>
          <w:szCs w:val="16"/>
        </w:rPr>
        <w:t xml:space="preserve"> Не применимо для категории Предмета ипотеки: Таунхаус.</w:t>
      </w:r>
    </w:p>
  </w:footnote>
  <w:footnote w:id="55">
    <w:p w14:paraId="3CFEA243" w14:textId="77777777" w:rsidR="00951A61" w:rsidRPr="003919DF" w:rsidRDefault="00951A61" w:rsidP="00951A61">
      <w:pPr>
        <w:pStyle w:val="aff1"/>
        <w:rPr>
          <w:rFonts w:ascii="Tahoma" w:hAnsi="Tahoma" w:cs="Tahoma"/>
          <w:sz w:val="16"/>
          <w:szCs w:val="16"/>
        </w:rPr>
      </w:pPr>
      <w:r w:rsidRPr="007108E6">
        <w:rPr>
          <w:rStyle w:val="aff3"/>
          <w:rFonts w:ascii="Tahoma" w:hAnsi="Tahoma" w:cs="Tahoma"/>
          <w:sz w:val="16"/>
          <w:szCs w:val="16"/>
        </w:rPr>
        <w:footnoteRef/>
      </w:r>
      <w:r w:rsidRPr="007108E6">
        <w:rPr>
          <w:rFonts w:ascii="Tahoma" w:hAnsi="Tahoma" w:cs="Tahoma"/>
          <w:sz w:val="16"/>
          <w:szCs w:val="16"/>
        </w:rPr>
        <w:t xml:space="preserve"> Перечень партнеров Банка размещается на официальном сайте Банка в сети Интернет</w:t>
      </w:r>
      <w:r w:rsidRPr="00820475">
        <w:rPr>
          <w:rFonts w:ascii="Tahoma" w:hAnsi="Tahoma" w:cs="Tahoma"/>
          <w:sz w:val="16"/>
          <w:szCs w:val="16"/>
        </w:rPr>
        <w:t>.</w:t>
      </w:r>
    </w:p>
  </w:footnote>
  <w:footnote w:id="56">
    <w:p w14:paraId="0FA3BCAF" w14:textId="77777777" w:rsidR="00951A61" w:rsidRPr="00776938" w:rsidRDefault="00951A61" w:rsidP="00951A61">
      <w:pPr>
        <w:pStyle w:val="aff1"/>
        <w:rPr>
          <w:rFonts w:ascii="Tahoma" w:hAnsi="Tahoma" w:cs="Tahoma"/>
          <w:sz w:val="16"/>
          <w:szCs w:val="16"/>
        </w:rPr>
      </w:pPr>
      <w:r w:rsidRPr="00776938">
        <w:rPr>
          <w:rStyle w:val="aff3"/>
          <w:rFonts w:ascii="Tahoma" w:hAnsi="Tahoma" w:cs="Tahoma"/>
          <w:sz w:val="16"/>
          <w:szCs w:val="16"/>
        </w:rPr>
        <w:footnoteRef/>
      </w:r>
      <w:r w:rsidRPr="00776938">
        <w:rPr>
          <w:rFonts w:ascii="Tahoma" w:hAnsi="Tahoma" w:cs="Tahoma"/>
          <w:sz w:val="16"/>
          <w:szCs w:val="16"/>
        </w:rPr>
        <w:t xml:space="preserve"> Не применимо для категории Предмета ипотеки: Таунхаус.</w:t>
      </w:r>
    </w:p>
  </w:footnote>
  <w:footnote w:id="57">
    <w:p w14:paraId="178A3EF9" w14:textId="77777777" w:rsidR="00951A61" w:rsidRPr="00776938" w:rsidRDefault="00951A61" w:rsidP="00951A61">
      <w:pPr>
        <w:pStyle w:val="aff1"/>
        <w:rPr>
          <w:rFonts w:ascii="Tahoma" w:hAnsi="Tahoma" w:cs="Tahoma"/>
          <w:sz w:val="16"/>
          <w:szCs w:val="16"/>
        </w:rPr>
      </w:pPr>
      <w:r w:rsidRPr="00776938">
        <w:rPr>
          <w:rStyle w:val="aff3"/>
          <w:rFonts w:ascii="Tahoma" w:hAnsi="Tahoma" w:cs="Tahoma"/>
          <w:sz w:val="16"/>
          <w:szCs w:val="16"/>
        </w:rPr>
        <w:footnoteRef/>
      </w:r>
      <w:r w:rsidRPr="00776938">
        <w:rPr>
          <w:rFonts w:ascii="Tahoma" w:hAnsi="Tahoma" w:cs="Tahoma"/>
          <w:sz w:val="16"/>
          <w:szCs w:val="16"/>
        </w:rPr>
        <w:t xml:space="preserve"> Надбавки применяются единовременно при соответствии указанным в таблице параметрам при заключении кредитного договора.</w:t>
      </w:r>
    </w:p>
  </w:footnote>
  <w:footnote w:id="58">
    <w:p w14:paraId="2D9E8F2E" w14:textId="77777777" w:rsidR="00951A61" w:rsidRDefault="00951A61" w:rsidP="00951A61">
      <w:pPr>
        <w:pStyle w:val="aff1"/>
      </w:pPr>
      <w:r w:rsidRPr="00776938">
        <w:rPr>
          <w:rStyle w:val="aff3"/>
          <w:rFonts w:ascii="Tahoma" w:hAnsi="Tahoma" w:cs="Tahoma"/>
          <w:sz w:val="16"/>
          <w:szCs w:val="16"/>
        </w:rPr>
        <w:footnoteRef/>
      </w:r>
      <w:r w:rsidRPr="00776938">
        <w:rPr>
          <w:rFonts w:ascii="Tahoma" w:hAnsi="Tahoma" w:cs="Tahoma"/>
          <w:sz w:val="16"/>
          <w:szCs w:val="16"/>
        </w:rPr>
        <w:t xml:space="preserve"> Если иное не предусмотрено Кредитным договором, надбавка применяется в случае отказа Заемщика от дополнительных видов страхования либо ненадлежащего исполнения Заемщиком условий по дополнительным видам страхования в течение срока действия Кредитного договора.  Внеплановый пересчет процентной ставки (применение надбавки), связанный с исполнением Заемщиком условия по дополнительным видам страхования, осуществляется в случае отсутствия у Банка информации об оплаченной </w:t>
      </w:r>
      <w:r>
        <w:rPr>
          <w:rFonts w:ascii="Tahoma" w:hAnsi="Tahoma" w:cs="Tahoma"/>
          <w:sz w:val="16"/>
          <w:szCs w:val="16"/>
        </w:rPr>
        <w:t xml:space="preserve">страховой </w:t>
      </w:r>
      <w:r w:rsidRPr="00776938">
        <w:rPr>
          <w:rFonts w:ascii="Tahoma" w:hAnsi="Tahoma" w:cs="Tahoma"/>
          <w:sz w:val="16"/>
          <w:szCs w:val="16"/>
        </w:rPr>
        <w:t>премии по договору (полису) добровольного страхования / о заключении нового договора (полиса) добровольного страхования и уплате страховой премии по нему по истечении месяца, следующего за месяцем, в котором состоялось уведомление Заемщика Банком о Внеплановом пересчете процентной ставки.</w:t>
      </w:r>
    </w:p>
  </w:footnote>
  <w:footnote w:id="59">
    <w:p w14:paraId="36E79E72" w14:textId="77777777" w:rsidR="00951A61" w:rsidRPr="00AC7083" w:rsidRDefault="00951A61" w:rsidP="00951A61">
      <w:pPr>
        <w:pStyle w:val="aff1"/>
        <w:rPr>
          <w:rFonts w:ascii="Tahoma" w:hAnsi="Tahoma" w:cs="Tahoma"/>
          <w:sz w:val="16"/>
          <w:szCs w:val="16"/>
        </w:rPr>
      </w:pPr>
      <w:r w:rsidRPr="00AC7083">
        <w:rPr>
          <w:rStyle w:val="aff3"/>
          <w:rFonts w:ascii="Tahoma" w:hAnsi="Tahoma" w:cs="Tahoma"/>
          <w:sz w:val="16"/>
          <w:szCs w:val="16"/>
        </w:rPr>
        <w:footnoteRef/>
      </w:r>
      <w:r w:rsidRPr="00AC7083">
        <w:rPr>
          <w:rFonts w:ascii="Tahoma" w:hAnsi="Tahoma" w:cs="Tahoma"/>
          <w:sz w:val="16"/>
          <w:szCs w:val="16"/>
        </w:rPr>
        <w:t xml:space="preserve"> Рефинансированием является полное досрочное исполнение обязательств Заемщиком по кредиту/займу, выданному в другом банке/иной некредитной организации. </w:t>
      </w:r>
    </w:p>
  </w:footnote>
  <w:footnote w:id="60">
    <w:p w14:paraId="6EB640DF" w14:textId="77777777" w:rsidR="00951A61" w:rsidRPr="00AC7083" w:rsidRDefault="00951A61" w:rsidP="00951A61">
      <w:pPr>
        <w:pStyle w:val="aff1"/>
        <w:rPr>
          <w:rFonts w:ascii="Tahoma" w:hAnsi="Tahoma" w:cs="Tahoma"/>
          <w:sz w:val="16"/>
          <w:szCs w:val="16"/>
        </w:rPr>
      </w:pPr>
      <w:r w:rsidRPr="00EF029B">
        <w:rPr>
          <w:rStyle w:val="aff3"/>
          <w:rFonts w:ascii="Tahoma" w:hAnsi="Tahoma" w:cs="Tahoma"/>
          <w:sz w:val="16"/>
          <w:szCs w:val="16"/>
        </w:rPr>
        <w:footnoteRef/>
      </w:r>
      <w:r w:rsidRPr="00EF029B">
        <w:rPr>
          <w:rFonts w:ascii="Tahoma" w:hAnsi="Tahoma" w:cs="Tahoma"/>
          <w:sz w:val="16"/>
          <w:szCs w:val="16"/>
        </w:rPr>
        <w:t xml:space="preserve"> Сумма не должна превышать 50% заложенности по рефинансируемому ипотечному кредиту.</w:t>
      </w:r>
    </w:p>
  </w:footnote>
  <w:footnote w:id="61">
    <w:p w14:paraId="60E39376" w14:textId="77777777" w:rsidR="00951A61" w:rsidRPr="00AC7083" w:rsidRDefault="00951A61" w:rsidP="00951A61">
      <w:pPr>
        <w:pStyle w:val="aff1"/>
        <w:rPr>
          <w:rFonts w:ascii="Tahoma" w:hAnsi="Tahoma" w:cs="Tahoma"/>
          <w:sz w:val="16"/>
          <w:szCs w:val="16"/>
        </w:rPr>
      </w:pPr>
      <w:r w:rsidRPr="00AC7083">
        <w:rPr>
          <w:rStyle w:val="aff3"/>
          <w:rFonts w:ascii="Tahoma" w:hAnsi="Tahoma" w:cs="Tahoma"/>
          <w:sz w:val="16"/>
          <w:szCs w:val="16"/>
        </w:rPr>
        <w:footnoteRef/>
      </w:r>
      <w:r w:rsidRPr="00AC7083">
        <w:rPr>
          <w:rFonts w:ascii="Tahoma" w:hAnsi="Tahoma" w:cs="Tahoma"/>
          <w:sz w:val="16"/>
          <w:szCs w:val="16"/>
        </w:rPr>
        <w:t xml:space="preserve"> Под рефинансированием потребительского кредита подразумевается полное досрочное исполнение обязательств Заемщиком по потребительскому/авто кредиту/займу либо кредитной карте, выданному в другом банке/иной некредитной организации. Рефинансируемый кредит не должен быть предоставлен на предпринимательские цели. </w:t>
      </w:r>
    </w:p>
  </w:footnote>
  <w:footnote w:id="62">
    <w:p w14:paraId="159CF7CD" w14:textId="77777777" w:rsidR="00951A61" w:rsidRPr="00AC7083" w:rsidRDefault="00951A61" w:rsidP="00951A61">
      <w:pPr>
        <w:pStyle w:val="aff1"/>
        <w:rPr>
          <w:rFonts w:ascii="Tahoma" w:hAnsi="Tahoma" w:cs="Tahoma"/>
          <w:sz w:val="16"/>
          <w:szCs w:val="16"/>
        </w:rPr>
      </w:pPr>
      <w:r w:rsidRPr="00EF029B">
        <w:rPr>
          <w:rStyle w:val="aff3"/>
          <w:rFonts w:ascii="Tahoma" w:hAnsi="Tahoma" w:cs="Tahoma"/>
          <w:sz w:val="16"/>
          <w:szCs w:val="16"/>
        </w:rPr>
        <w:footnoteRef/>
      </w:r>
      <w:r w:rsidRPr="00EF029B">
        <w:rPr>
          <w:rFonts w:ascii="Tahoma" w:hAnsi="Tahoma" w:cs="Tahoma"/>
          <w:sz w:val="16"/>
          <w:szCs w:val="16"/>
        </w:rPr>
        <w:t xml:space="preserve"> Сумма не должна превышать 50% заложенности по рефинансируемому ипотечному кредиту.</w:t>
      </w:r>
    </w:p>
  </w:footnote>
  <w:footnote w:id="63">
    <w:p w14:paraId="41DB3675" w14:textId="77777777" w:rsidR="00951A61" w:rsidRPr="000107B6" w:rsidRDefault="00951A61" w:rsidP="00951A61">
      <w:pPr>
        <w:pStyle w:val="aff1"/>
        <w:ind w:right="-326"/>
        <w:jc w:val="both"/>
        <w:rPr>
          <w:rFonts w:ascii="Tahoma" w:hAnsi="Tahoma" w:cs="Tahoma"/>
          <w:sz w:val="16"/>
          <w:szCs w:val="16"/>
        </w:rPr>
      </w:pPr>
      <w:r w:rsidRPr="00AC7083">
        <w:rPr>
          <w:rStyle w:val="aff3"/>
          <w:rFonts w:ascii="Tahoma" w:hAnsi="Tahoma" w:cs="Tahoma"/>
          <w:sz w:val="16"/>
          <w:szCs w:val="16"/>
        </w:rPr>
        <w:footnoteRef/>
      </w:r>
      <w:r w:rsidRPr="00AC7083">
        <w:rPr>
          <w:rFonts w:ascii="Tahoma" w:hAnsi="Tahoma" w:cs="Tahoma"/>
          <w:sz w:val="16"/>
          <w:szCs w:val="16"/>
        </w:rPr>
        <w:t xml:space="preserve"> Многоквартирный дом на этапе строительства должен быть аккредитован.</w:t>
      </w:r>
    </w:p>
  </w:footnote>
  <w:footnote w:id="64">
    <w:p w14:paraId="11C50F2F" w14:textId="77777777" w:rsidR="00951A61" w:rsidRPr="000107B6" w:rsidRDefault="00951A61" w:rsidP="00951A61">
      <w:pPr>
        <w:pStyle w:val="aff1"/>
        <w:jc w:val="both"/>
        <w:rPr>
          <w:rFonts w:ascii="Tahoma" w:hAnsi="Tahoma" w:cs="Tahoma"/>
          <w:sz w:val="16"/>
          <w:szCs w:val="16"/>
        </w:rPr>
      </w:pPr>
      <w:r w:rsidRPr="000107B6">
        <w:rPr>
          <w:rStyle w:val="aff3"/>
          <w:rFonts w:ascii="Tahoma" w:hAnsi="Tahoma" w:cs="Tahoma"/>
          <w:sz w:val="16"/>
          <w:szCs w:val="16"/>
        </w:rPr>
        <w:footnoteRef/>
      </w:r>
      <w:r w:rsidRPr="000107B6">
        <w:rPr>
          <w:rFonts w:ascii="Tahoma" w:hAnsi="Tahoma" w:cs="Tahoma"/>
          <w:sz w:val="16"/>
          <w:szCs w:val="16"/>
        </w:rPr>
        <w:t xml:space="preserve"> Процентная ставка по рефинансируемому ипотечному кредиту, оформленному в Банке, должна быть меньше новой процентной ставки, рассчитанной в соответствии с Порядком формирования процентных ставок по ипотечному кредиту по тарифному плану «Рефинансирование», являющимся Приложением 1 к настоящему документу, не менее чем на 0,5 процентных пункта.</w:t>
      </w:r>
    </w:p>
  </w:footnote>
  <w:footnote w:id="65">
    <w:p w14:paraId="4FE42809" w14:textId="77777777" w:rsidR="00951A61" w:rsidRPr="00494348" w:rsidRDefault="00951A61" w:rsidP="00951A61">
      <w:pPr>
        <w:pStyle w:val="aff1"/>
        <w:rPr>
          <w:rFonts w:ascii="Tahoma" w:hAnsi="Tahoma" w:cs="Tahoma"/>
          <w:sz w:val="16"/>
          <w:szCs w:val="16"/>
        </w:rPr>
      </w:pPr>
      <w:r w:rsidRPr="00494348">
        <w:rPr>
          <w:rStyle w:val="aff3"/>
          <w:rFonts w:ascii="Tahoma" w:hAnsi="Tahoma" w:cs="Tahoma"/>
          <w:sz w:val="16"/>
          <w:szCs w:val="16"/>
        </w:rPr>
        <w:footnoteRef/>
      </w:r>
      <w:r w:rsidRPr="00494348">
        <w:rPr>
          <w:rFonts w:ascii="Tahoma" w:hAnsi="Tahoma" w:cs="Tahoma"/>
          <w:sz w:val="16"/>
          <w:szCs w:val="16"/>
        </w:rPr>
        <w:t xml:space="preserve"> </w:t>
      </w:r>
      <w:r w:rsidRPr="00850F66">
        <w:rPr>
          <w:rFonts w:ascii="Tahoma" w:hAnsi="Tahoma" w:cs="Tahoma"/>
          <w:sz w:val="16"/>
          <w:szCs w:val="16"/>
        </w:rPr>
        <w:t>Не менее 3 (трех) ежемесячных платежей для Заемщика, являющегося работником Банка.</w:t>
      </w:r>
    </w:p>
  </w:footnote>
  <w:footnote w:id="66">
    <w:p w14:paraId="7EE0B051" w14:textId="77777777" w:rsidR="00951A61" w:rsidRPr="0023145E" w:rsidRDefault="00951A61" w:rsidP="00951A61">
      <w:pPr>
        <w:pStyle w:val="aff1"/>
        <w:jc w:val="both"/>
      </w:pPr>
      <w:r w:rsidRPr="002628F6">
        <w:rPr>
          <w:rStyle w:val="aff3"/>
          <w:rFonts w:ascii="Tahoma" w:hAnsi="Tahoma" w:cs="Tahoma"/>
        </w:rPr>
        <w:footnoteRef/>
      </w:r>
      <w:r w:rsidRPr="002628F6">
        <w:rPr>
          <w:rFonts w:ascii="Tahoma" w:hAnsi="Tahoma" w:cs="Tahoma"/>
        </w:rPr>
        <w:t xml:space="preserve"> </w:t>
      </w:r>
      <w:r w:rsidRPr="005F46F4">
        <w:rPr>
          <w:rFonts w:ascii="Tahoma" w:hAnsi="Tahoma" w:cs="Tahoma"/>
        </w:rPr>
        <w:t>Расчет минимального значения ПСК произведен</w:t>
      </w:r>
      <w:r>
        <w:rPr>
          <w:rFonts w:ascii="Tahoma" w:hAnsi="Tahoma" w:cs="Tahoma"/>
        </w:rPr>
        <w:t xml:space="preserve"> по </w:t>
      </w:r>
      <w:r w:rsidRPr="0023145E">
        <w:rPr>
          <w:rFonts w:ascii="Tahoma" w:hAnsi="Tahoma" w:cs="Tahoma"/>
        </w:rPr>
        <w:t>состоянию на 29.10.2024 г. с использованием параметров: минимальная сумма Кредита (500 000,00 рублей), минимальный срок (36 мес.), минимальная ставка (23,50% годовых), тариф за оказание услуг по подготовке отчета об оценке ООО «Мобильный оценщик» (ИНН 7842358640), действующий в 2024г. (1 800,00 рублей), средний тариф AO «АльфаСтрахование» (ИНН 7713056834), действующий в 2024 г. по имущественному и титульному страхованию (0,23% от остатка задолженности, увеличенной на 10%), 3 000,00 руб. - за перевод денежных средств без открытия счета и со счета физического лица (ТБС) в пользу физических и юридических лиц в другие банки в соответствии с тарифами Банка. В случае применения в расчетах ПСК иных параметров Кредита, а также в случае выбора Заемщиком иной страховой компании или применения AO «АльфаСтрахование» в расчетах иного страхового тарифа, иных платежей Заемщика, указанных в частях 3 и 4 статьи 6 Федерального закона от 21.12.2013 № 353-ФЗ «О потребительском кредите (займе)», полная стоимость кредита может отличаться от расчетной.</w:t>
      </w:r>
    </w:p>
  </w:footnote>
  <w:footnote w:id="67">
    <w:p w14:paraId="0CD90578" w14:textId="77777777" w:rsidR="00951A61" w:rsidRPr="005F46F4" w:rsidRDefault="00951A61" w:rsidP="00951A61">
      <w:pPr>
        <w:pStyle w:val="aff1"/>
        <w:jc w:val="both"/>
      </w:pPr>
      <w:r w:rsidRPr="0023145E">
        <w:rPr>
          <w:rStyle w:val="aff3"/>
          <w:rFonts w:ascii="Tahoma" w:hAnsi="Tahoma" w:cs="Tahoma"/>
        </w:rPr>
        <w:footnoteRef/>
      </w:r>
      <w:r w:rsidRPr="0023145E">
        <w:rPr>
          <w:rFonts w:ascii="Tahoma" w:hAnsi="Tahoma" w:cs="Tahoma"/>
        </w:rPr>
        <w:t xml:space="preserve"> Расчет максимального значения ПСК произведен по состоянию на 29.10.2024 г. с использованием параметров: максимальная сумма Кредита (30 000 000,00 рублей), максимальный срок (360 мес.), максимальная ставка (ставка 27,90% годовых складывается из базовой ставки и надбавок, указанных в пп. 3.1. – 3.7. Порядка формирования процентных ставок по ипотечному кредиту по тарифному плану «Рефинансирование» Приложения 1 к основным условиям предоставления, использования и возврата ипотечного кредита по тарифному плану «Рефинансирование»), средний тариф AO «АльфаСтрахование» (ИНН 7713056834), действующий в 2024 г. по личному страхованию (0,57% от остатка задолженности, увеличенной на 10%), 3 000,00 руб. - за перевод денежных средств без открытия счета и со счета физического лица (ТБС) в пользу физических и юридических лиц в другие банки в соответствии с тарифами Банка, 10 000,00 руб. - за открытие и исполнение аккредитива в Банке перевод денежных средств без открытия счета и со счета физического лица (ТБС) в пользу физических и юридических</w:t>
      </w:r>
      <w:r w:rsidRPr="00BE387A">
        <w:rPr>
          <w:rFonts w:ascii="Tahoma" w:hAnsi="Tahoma" w:cs="Tahoma"/>
        </w:rPr>
        <w:t xml:space="preserve"> лиц в другие банки в соответствии с тарифами Банка. В случае применения в расчетах ПСК иных п</w:t>
      </w:r>
      <w:r w:rsidRPr="005F46F4">
        <w:rPr>
          <w:rFonts w:ascii="Tahoma" w:hAnsi="Tahoma" w:cs="Tahoma"/>
        </w:rPr>
        <w:t>араметров Кредита, а также в случае выбора Заемщиком иной страховой компании или применения AO «АльфаСтрахование» в расчетах иного страхового тарифа, иных платежей Заемщика, указанных в частях 3 и 4 статьи 6 Федерального закона от 21.12.2013 № 353-ФЗ «О потребительском кредите (займе)», полная стоимость кредита может отличаться от расчетной.</w:t>
      </w:r>
    </w:p>
  </w:footnote>
  <w:footnote w:id="68">
    <w:p w14:paraId="7CB391C0" w14:textId="77777777" w:rsidR="00951A61" w:rsidRPr="005F46F4" w:rsidRDefault="00951A61" w:rsidP="00951A61">
      <w:pPr>
        <w:pStyle w:val="aff1"/>
        <w:jc w:val="both"/>
        <w:rPr>
          <w:rFonts w:ascii="Tahoma" w:hAnsi="Tahoma" w:cs="Tahoma"/>
          <w:sz w:val="16"/>
          <w:szCs w:val="16"/>
        </w:rPr>
      </w:pPr>
      <w:r w:rsidRPr="005F46F4">
        <w:rPr>
          <w:rStyle w:val="aff3"/>
          <w:rFonts w:ascii="Tahoma" w:hAnsi="Tahoma" w:cs="Tahoma"/>
          <w:sz w:val="16"/>
          <w:szCs w:val="16"/>
        </w:rPr>
        <w:footnoteRef/>
      </w:r>
      <w:r w:rsidRPr="005F46F4">
        <w:rPr>
          <w:rFonts w:ascii="Tahoma" w:hAnsi="Tahoma" w:cs="Tahoma"/>
          <w:sz w:val="16"/>
          <w:szCs w:val="16"/>
        </w:rPr>
        <w:t xml:space="preserve"> Выгодоприобретателем в размере задолженности Заемщика по Кредитному договору выступает Банк, за исключением случаев, когда Банк является страховым агентом при заключении договора Личного страхования.</w:t>
      </w:r>
    </w:p>
  </w:footnote>
  <w:footnote w:id="69">
    <w:p w14:paraId="0FEB65B1" w14:textId="77777777" w:rsidR="00951A61" w:rsidRPr="00443A6A" w:rsidRDefault="00951A61" w:rsidP="00951A61">
      <w:pPr>
        <w:pStyle w:val="aff1"/>
        <w:jc w:val="both"/>
        <w:rPr>
          <w:rFonts w:ascii="Tahoma" w:hAnsi="Tahoma" w:cs="Tahoma"/>
          <w:sz w:val="16"/>
          <w:szCs w:val="16"/>
        </w:rPr>
      </w:pPr>
      <w:r w:rsidRPr="00443A6A">
        <w:rPr>
          <w:rStyle w:val="aff3"/>
          <w:rFonts w:ascii="Tahoma" w:hAnsi="Tahoma" w:cs="Tahoma"/>
          <w:sz w:val="16"/>
          <w:szCs w:val="16"/>
        </w:rPr>
        <w:footnoteRef/>
      </w:r>
      <w:r w:rsidRPr="00443A6A">
        <w:rPr>
          <w:rFonts w:ascii="Tahoma" w:hAnsi="Tahoma" w:cs="Tahoma"/>
          <w:sz w:val="16"/>
          <w:szCs w:val="16"/>
        </w:rPr>
        <w:t xml:space="preserve"> Оформление указанного вида страхования не применимо для лиц с инвалидностью (при условии предоставления справки, подтверждающей факт установления инвалидности с указанием группы инвалидности), столкнувшихся с затруднениями в получении соответствующих страховых услуг (рекомендуется предоставить Банку подтверждающие данный факт документы (ответы) от страховых компаний).</w:t>
      </w:r>
    </w:p>
  </w:footnote>
  <w:footnote w:id="70">
    <w:p w14:paraId="54A9035A" w14:textId="77777777" w:rsidR="00951A61" w:rsidRPr="000107B6" w:rsidRDefault="00951A61" w:rsidP="00951A61">
      <w:pPr>
        <w:pStyle w:val="aff1"/>
        <w:jc w:val="both"/>
        <w:rPr>
          <w:rFonts w:ascii="Tahoma" w:hAnsi="Tahoma" w:cs="Tahoma"/>
          <w:sz w:val="16"/>
          <w:szCs w:val="16"/>
        </w:rPr>
      </w:pPr>
      <w:r w:rsidRPr="000107B6">
        <w:rPr>
          <w:rStyle w:val="aff3"/>
          <w:rFonts w:ascii="Tahoma" w:hAnsi="Tahoma" w:cs="Tahoma"/>
          <w:sz w:val="16"/>
          <w:szCs w:val="16"/>
        </w:rPr>
        <w:footnoteRef/>
      </w:r>
      <w:r w:rsidRPr="000107B6">
        <w:rPr>
          <w:rFonts w:ascii="Tahoma" w:hAnsi="Tahoma" w:cs="Tahoma"/>
          <w:sz w:val="16"/>
          <w:szCs w:val="16"/>
        </w:rPr>
        <w:t xml:space="preserve"> </w:t>
      </w:r>
      <w:r>
        <w:rPr>
          <w:rFonts w:ascii="Tahoma" w:hAnsi="Tahoma" w:cs="Tahoma"/>
          <w:sz w:val="16"/>
          <w:szCs w:val="16"/>
        </w:rPr>
        <w:t>Может быть применена</w:t>
      </w:r>
      <w:r w:rsidRPr="001F1A46">
        <w:rPr>
          <w:rFonts w:ascii="Tahoma" w:hAnsi="Tahoma" w:cs="Tahoma"/>
          <w:sz w:val="16"/>
          <w:szCs w:val="16"/>
        </w:rPr>
        <w:t xml:space="preserve"> надбавка, указанная в п. </w:t>
      </w:r>
      <w:r w:rsidRPr="00CD2C26">
        <w:rPr>
          <w:rFonts w:ascii="Tahoma" w:hAnsi="Tahoma" w:cs="Tahoma"/>
          <w:sz w:val="16"/>
          <w:szCs w:val="16"/>
        </w:rPr>
        <w:t>3.</w:t>
      </w:r>
      <w:r>
        <w:rPr>
          <w:rFonts w:ascii="Tahoma" w:hAnsi="Tahoma" w:cs="Tahoma"/>
          <w:sz w:val="16"/>
          <w:szCs w:val="16"/>
        </w:rPr>
        <w:t>5</w:t>
      </w:r>
      <w:r w:rsidRPr="00CD2C26">
        <w:rPr>
          <w:rFonts w:ascii="Tahoma" w:hAnsi="Tahoma" w:cs="Tahoma"/>
          <w:sz w:val="16"/>
          <w:szCs w:val="16"/>
        </w:rPr>
        <w:t>. при невыполнении условия направления средств МСК в счет гашения кредита в срок 2 месяца с даты выдачи кредита</w:t>
      </w:r>
      <w:r w:rsidRPr="000107B6">
        <w:rPr>
          <w:rFonts w:ascii="Tahoma" w:hAnsi="Tahoma" w:cs="Tahoma"/>
          <w:sz w:val="16"/>
          <w:szCs w:val="16"/>
        </w:rPr>
        <w:t>.</w:t>
      </w:r>
    </w:p>
  </w:footnote>
  <w:footnote w:id="71">
    <w:p w14:paraId="72F27B8B" w14:textId="77777777" w:rsidR="00951A61" w:rsidRPr="006950D3" w:rsidRDefault="00951A61" w:rsidP="00951A61">
      <w:pPr>
        <w:pStyle w:val="aff1"/>
        <w:rPr>
          <w:rFonts w:ascii="Tahoma" w:hAnsi="Tahoma" w:cs="Tahoma"/>
          <w:sz w:val="16"/>
          <w:szCs w:val="16"/>
        </w:rPr>
      </w:pPr>
      <w:r w:rsidRPr="00850F66">
        <w:rPr>
          <w:rStyle w:val="aff3"/>
          <w:rFonts w:ascii="Tahoma" w:hAnsi="Tahoma" w:cs="Tahoma"/>
          <w:sz w:val="16"/>
          <w:szCs w:val="16"/>
        </w:rPr>
        <w:footnoteRef/>
      </w:r>
      <w:r w:rsidRPr="00850F66">
        <w:rPr>
          <w:rFonts w:ascii="Tahoma" w:hAnsi="Tahoma" w:cs="Tahoma"/>
          <w:sz w:val="16"/>
          <w:szCs w:val="16"/>
        </w:rPr>
        <w:t xml:space="preserve"> Для Заемщика, являющегося работником Банка, размер Коэффициента К/З должен составлять не более 90% от Действительной стоимости Предмета ипотеки.</w:t>
      </w:r>
    </w:p>
  </w:footnote>
  <w:footnote w:id="72">
    <w:p w14:paraId="5B7A7A42" w14:textId="77777777" w:rsidR="00951A61" w:rsidRPr="00353BB5" w:rsidRDefault="00951A61" w:rsidP="00951A61">
      <w:pPr>
        <w:pStyle w:val="aff1"/>
        <w:jc w:val="both"/>
        <w:rPr>
          <w:rFonts w:ascii="Tahoma" w:hAnsi="Tahoma" w:cs="Tahoma"/>
        </w:rPr>
      </w:pPr>
      <w:r w:rsidRPr="00353BB5">
        <w:rPr>
          <w:rStyle w:val="aff3"/>
          <w:rFonts w:ascii="Tahoma" w:hAnsi="Tahoma" w:cs="Tahoma"/>
        </w:rPr>
        <w:footnoteRef/>
      </w:r>
      <w:r w:rsidRPr="00353BB5">
        <w:rPr>
          <w:rFonts w:ascii="Tahoma" w:hAnsi="Tahoma" w:cs="Tahoma"/>
        </w:rPr>
        <w:t xml:space="preserve"> Расчет ПСК произведен с использованием тарифов ООО «Мобильный оценщик» (ИНН 7842358640), действующих на 202</w:t>
      </w:r>
      <w:r>
        <w:rPr>
          <w:rFonts w:ascii="Tahoma" w:hAnsi="Tahoma" w:cs="Tahoma"/>
        </w:rPr>
        <w:t>4</w:t>
      </w:r>
      <w:r w:rsidRPr="00353BB5">
        <w:rPr>
          <w:rFonts w:ascii="Tahoma" w:hAnsi="Tahoma" w:cs="Tahoma"/>
        </w:rPr>
        <w:t>г. При обращении Заёмщика к иному оценщику полная стоимость кредита может отличаться от расчетной.</w:t>
      </w:r>
    </w:p>
  </w:footnote>
  <w:footnote w:id="73">
    <w:p w14:paraId="04B10C13" w14:textId="77777777" w:rsidR="00951A61" w:rsidRPr="00353BB5" w:rsidRDefault="00951A61" w:rsidP="00951A61">
      <w:pPr>
        <w:pStyle w:val="aff1"/>
        <w:jc w:val="both"/>
        <w:rPr>
          <w:rFonts w:ascii="Tahoma" w:hAnsi="Tahoma" w:cs="Tahoma"/>
        </w:rPr>
      </w:pPr>
      <w:r w:rsidRPr="00353BB5">
        <w:rPr>
          <w:rStyle w:val="aff3"/>
          <w:rFonts w:ascii="Tahoma" w:hAnsi="Tahoma" w:cs="Tahoma"/>
        </w:rPr>
        <w:footnoteRef/>
      </w:r>
      <w:r w:rsidRPr="00353BB5">
        <w:rPr>
          <w:rFonts w:ascii="Tahoma" w:hAnsi="Tahoma" w:cs="Tahoma"/>
        </w:rPr>
        <w:t xml:space="preserve"> </w:t>
      </w:r>
      <w:r w:rsidRPr="001F1A46">
        <w:rPr>
          <w:rFonts w:ascii="Tahoma" w:hAnsi="Tahoma" w:cs="Tahoma"/>
        </w:rPr>
        <w:t>Расчет ПСК произведен с использованием минимального тарифа AO «АльфаСтрахование» (ИНН 7713056834), действующего в 20</w:t>
      </w:r>
      <w:r>
        <w:rPr>
          <w:rFonts w:ascii="Tahoma" w:hAnsi="Tahoma" w:cs="Tahoma"/>
        </w:rPr>
        <w:t>24</w:t>
      </w:r>
      <w:r w:rsidRPr="001F1A46">
        <w:rPr>
          <w:rFonts w:ascii="Tahoma" w:hAnsi="Tahoma" w:cs="Tahoma"/>
        </w:rPr>
        <w:t xml:space="preserve"> г. В случае выбора Заемщиком иной страховой компании или применения AO «АльфаСтрахование» в расчетах иного страхового тарифа, полная стоимость кредита может отличаться от расчетной</w:t>
      </w:r>
      <w:r w:rsidRPr="00353BB5">
        <w:rPr>
          <w:rFonts w:ascii="Tahoma" w:hAnsi="Tahoma" w:cs="Tahoma"/>
        </w:rPr>
        <w:t>.</w:t>
      </w:r>
    </w:p>
  </w:footnote>
  <w:footnote w:id="74">
    <w:p w14:paraId="1728DD11" w14:textId="77777777" w:rsidR="00951A61" w:rsidRPr="000107B6" w:rsidRDefault="00951A61" w:rsidP="00951A61">
      <w:pPr>
        <w:pStyle w:val="aff1"/>
        <w:jc w:val="both"/>
        <w:rPr>
          <w:rFonts w:ascii="Tahoma" w:hAnsi="Tahoma" w:cs="Tahoma"/>
          <w:sz w:val="16"/>
          <w:szCs w:val="16"/>
        </w:rPr>
      </w:pPr>
      <w:r w:rsidRPr="000107B6">
        <w:rPr>
          <w:rStyle w:val="aff3"/>
          <w:rFonts w:ascii="Tahoma" w:hAnsi="Tahoma" w:cs="Tahoma"/>
          <w:sz w:val="16"/>
          <w:szCs w:val="16"/>
        </w:rPr>
        <w:footnoteRef/>
      </w:r>
      <w:r w:rsidRPr="000107B6">
        <w:rPr>
          <w:rFonts w:ascii="Tahoma" w:hAnsi="Tahoma" w:cs="Tahoma"/>
          <w:sz w:val="16"/>
          <w:szCs w:val="16"/>
        </w:rPr>
        <w:t xml:space="preserve"> Сезонный вид деятельности – вид деятельности, который претерпевает сезонные колебания, оказывающие существенное влияние на стабильность деятельности (сезонные колебания в деятельности выражаются в повышении или понижении уровня экономической активности, масштабов экономической деятельности вследствие сезонности спроса на вид деятельности).</w:t>
      </w:r>
    </w:p>
  </w:footnote>
  <w:footnote w:id="75">
    <w:p w14:paraId="15B59671" w14:textId="77777777" w:rsidR="00951A61" w:rsidRDefault="00951A61" w:rsidP="00951A61">
      <w:pPr>
        <w:pStyle w:val="aff1"/>
      </w:pPr>
      <w:r w:rsidRPr="002C714E">
        <w:rPr>
          <w:rStyle w:val="aff3"/>
          <w:rFonts w:ascii="Tahoma" w:hAnsi="Tahoma" w:cs="Tahoma"/>
          <w:sz w:val="16"/>
          <w:szCs w:val="16"/>
        </w:rPr>
        <w:footnoteRef/>
      </w:r>
      <w:r w:rsidRPr="002C714E">
        <w:rPr>
          <w:rFonts w:ascii="Tahoma" w:hAnsi="Tahoma" w:cs="Tahoma"/>
          <w:sz w:val="16"/>
          <w:szCs w:val="16"/>
        </w:rPr>
        <w:t xml:space="preserve"> Такие объекты требуют дополнительного анализа со стороны Банка.</w:t>
      </w:r>
    </w:p>
  </w:footnote>
  <w:footnote w:id="76">
    <w:p w14:paraId="7259288B" w14:textId="77777777" w:rsidR="00951A61" w:rsidRPr="0089418D" w:rsidRDefault="00951A61" w:rsidP="00951A61">
      <w:pPr>
        <w:pStyle w:val="aff1"/>
        <w:jc w:val="both"/>
        <w:rPr>
          <w:rFonts w:ascii="Tahoma" w:hAnsi="Tahoma" w:cs="Tahoma"/>
          <w:sz w:val="16"/>
          <w:szCs w:val="16"/>
        </w:rPr>
      </w:pPr>
      <w:r w:rsidRPr="0089418D">
        <w:rPr>
          <w:rStyle w:val="aff3"/>
          <w:rFonts w:ascii="Tahoma" w:hAnsi="Tahoma" w:cs="Tahoma"/>
          <w:sz w:val="16"/>
          <w:szCs w:val="16"/>
        </w:rPr>
        <w:footnoteRef/>
      </w:r>
      <w:r w:rsidRPr="0089418D">
        <w:rPr>
          <w:rFonts w:ascii="Tahoma" w:hAnsi="Tahoma" w:cs="Tahoma"/>
          <w:sz w:val="16"/>
          <w:szCs w:val="16"/>
        </w:rPr>
        <w:t xml:space="preserve"> </w:t>
      </w:r>
      <w:r w:rsidRPr="005F46F4">
        <w:rPr>
          <w:rFonts w:ascii="Tahoma" w:hAnsi="Tahoma" w:cs="Tahoma"/>
          <w:sz w:val="16"/>
          <w:szCs w:val="16"/>
        </w:rPr>
        <w:t>Выписка из СФР может быть принята только для подтверждения одновременно и трудоустройства, и дохода Заемщика, если в ней отсутствует не более чем текущий и предыдущий квартал. Допустимо подтверждение трудоустройства выпиской СФР, при наличии выписки по зарплатному счету Клиента, если за период, который не отражается в выписке СФР, у Клиента изменился доход в большую сторону в соответствии с выпиской по зарплатному счету Заемщика.</w:t>
      </w:r>
    </w:p>
  </w:footnote>
  <w:footnote w:id="77">
    <w:p w14:paraId="61753EE0" w14:textId="77777777" w:rsidR="00951A61" w:rsidRPr="00FD795E" w:rsidRDefault="00951A61" w:rsidP="00951A61">
      <w:pPr>
        <w:pStyle w:val="aff1"/>
        <w:jc w:val="both"/>
        <w:rPr>
          <w:rFonts w:ascii="Tahoma" w:hAnsi="Tahoma" w:cs="Tahoma"/>
          <w:sz w:val="16"/>
          <w:szCs w:val="16"/>
        </w:rPr>
      </w:pPr>
      <w:r w:rsidRPr="0023145E">
        <w:rPr>
          <w:rStyle w:val="aff3"/>
          <w:rFonts w:ascii="Tahoma" w:hAnsi="Tahoma" w:cs="Tahoma"/>
          <w:sz w:val="16"/>
          <w:szCs w:val="16"/>
        </w:rPr>
        <w:footnoteRef/>
      </w:r>
      <w:r w:rsidRPr="0023145E">
        <w:rPr>
          <w:rFonts w:ascii="Tahoma" w:hAnsi="Tahoma" w:cs="Tahoma"/>
          <w:sz w:val="16"/>
          <w:szCs w:val="16"/>
        </w:rPr>
        <w:t xml:space="preserve"> Необходимость предоставления документа уточняется работником Банка на этапе консультации Заемщика.</w:t>
      </w:r>
    </w:p>
  </w:footnote>
  <w:footnote w:id="78">
    <w:p w14:paraId="69FA043E" w14:textId="77777777" w:rsidR="00951A61" w:rsidRPr="000107B6" w:rsidRDefault="00951A61" w:rsidP="00951A61">
      <w:pPr>
        <w:pStyle w:val="aff1"/>
        <w:rPr>
          <w:rFonts w:ascii="Tahoma" w:hAnsi="Tahoma" w:cs="Tahoma"/>
          <w:sz w:val="16"/>
          <w:szCs w:val="16"/>
        </w:rPr>
      </w:pPr>
      <w:r w:rsidRPr="000107B6">
        <w:rPr>
          <w:rStyle w:val="aff3"/>
          <w:rFonts w:ascii="Tahoma" w:hAnsi="Tahoma" w:cs="Tahoma"/>
          <w:sz w:val="16"/>
          <w:szCs w:val="16"/>
        </w:rPr>
        <w:footnoteRef/>
      </w:r>
      <w:r w:rsidRPr="000107B6">
        <w:rPr>
          <w:rFonts w:ascii="Tahoma" w:hAnsi="Tahoma" w:cs="Tahoma"/>
          <w:sz w:val="16"/>
          <w:szCs w:val="16"/>
        </w:rPr>
        <w:t xml:space="preserve"> Оценка стоимости предмета ипотека должна быть произведена и отчет об оценке должны быть заказаны Заемщиком (Залогодателем) у любого аккредитованного Банком оценщика, удовлетворяющего критериям отбора оценочных организаций, размещенным на сайте Банка в разделе «Уведомления»: </w:t>
      </w:r>
      <w:r w:rsidRPr="00B80890">
        <w:rPr>
          <w:rFonts w:ascii="Tahoma" w:hAnsi="Tahoma" w:cs="Tahoma"/>
          <w:sz w:val="16"/>
          <w:szCs w:val="16"/>
        </w:rPr>
        <w:t>https://www.atb.su/general-information/prochee/</w:t>
      </w:r>
      <w:r w:rsidRPr="000107B6">
        <w:rPr>
          <w:rFonts w:ascii="Tahoma" w:hAnsi="Tahoma" w:cs="Tahoma"/>
          <w:sz w:val="16"/>
          <w:szCs w:val="16"/>
        </w:rPr>
        <w:t>.</w:t>
      </w:r>
    </w:p>
  </w:footnote>
  <w:footnote w:id="79">
    <w:p w14:paraId="3781BBCE" w14:textId="77777777" w:rsidR="00951A61" w:rsidRPr="000107B6" w:rsidRDefault="00951A61" w:rsidP="00951A61">
      <w:pPr>
        <w:pStyle w:val="aff1"/>
      </w:pPr>
      <w:r w:rsidRPr="000107B6">
        <w:rPr>
          <w:rStyle w:val="aff3"/>
          <w:rFonts w:ascii="Tahoma" w:hAnsi="Tahoma" w:cs="Tahoma"/>
          <w:sz w:val="16"/>
          <w:szCs w:val="16"/>
        </w:rPr>
        <w:footnoteRef/>
      </w:r>
      <w:r w:rsidRPr="000107B6">
        <w:rPr>
          <w:rFonts w:ascii="Tahoma" w:hAnsi="Tahoma" w:cs="Tahoma"/>
          <w:sz w:val="16"/>
          <w:szCs w:val="16"/>
        </w:rPr>
        <w:t xml:space="preserve"> Данное требование не является обязательным в случае рефинансирования ипотечного кредита, оформленного в Банке.</w:t>
      </w:r>
    </w:p>
  </w:footnote>
  <w:footnote w:id="80">
    <w:p w14:paraId="070E9C4A" w14:textId="77777777" w:rsidR="00951A61" w:rsidRPr="00EE5B00" w:rsidRDefault="00951A61" w:rsidP="00951A61">
      <w:pPr>
        <w:pStyle w:val="aff1"/>
        <w:rPr>
          <w:rFonts w:ascii="Tahoma" w:hAnsi="Tahoma" w:cs="Tahoma"/>
          <w:sz w:val="16"/>
          <w:szCs w:val="16"/>
        </w:rPr>
      </w:pPr>
      <w:r w:rsidRPr="00EE5B00">
        <w:rPr>
          <w:rStyle w:val="aff3"/>
          <w:rFonts w:ascii="Tahoma" w:hAnsi="Tahoma" w:cs="Tahoma"/>
          <w:sz w:val="16"/>
          <w:szCs w:val="16"/>
        </w:rPr>
        <w:footnoteRef/>
      </w:r>
      <w:r w:rsidRPr="00EE5B00">
        <w:rPr>
          <w:rFonts w:ascii="Tahoma" w:hAnsi="Tahoma" w:cs="Tahoma"/>
          <w:sz w:val="16"/>
          <w:szCs w:val="16"/>
        </w:rPr>
        <w:t xml:space="preserve"> За исключением случаев, предусмотренных законодательством РФ.</w:t>
      </w:r>
    </w:p>
  </w:footnote>
  <w:footnote w:id="81">
    <w:p w14:paraId="568E7D2D" w14:textId="77777777" w:rsidR="00951A61" w:rsidRPr="00A17F8B" w:rsidRDefault="00951A61" w:rsidP="00951A61">
      <w:pPr>
        <w:pStyle w:val="aff1"/>
        <w:jc w:val="both"/>
        <w:rPr>
          <w:rFonts w:ascii="Tahoma" w:hAnsi="Tahoma" w:cs="Tahoma"/>
        </w:rPr>
      </w:pPr>
      <w:r w:rsidRPr="00353BB5">
        <w:rPr>
          <w:rStyle w:val="aff3"/>
          <w:rFonts w:ascii="Tahoma" w:hAnsi="Tahoma" w:cs="Tahoma"/>
        </w:rPr>
        <w:footnoteRef/>
      </w:r>
      <w:r w:rsidRPr="00353BB5">
        <w:rPr>
          <w:rFonts w:ascii="Tahoma" w:hAnsi="Tahoma" w:cs="Tahoma"/>
        </w:rPr>
        <w:t xml:space="preserve"> Ставка устанавливается Заемщикам с официально подтвержденным </w:t>
      </w:r>
      <w:r w:rsidRPr="00A17F8B">
        <w:rPr>
          <w:rFonts w:ascii="Tahoma" w:hAnsi="Tahoma" w:cs="Tahoma"/>
        </w:rPr>
        <w:t xml:space="preserve">доходом </w:t>
      </w:r>
      <w:r w:rsidRPr="00BD5E28">
        <w:rPr>
          <w:rFonts w:ascii="Tahoma" w:hAnsi="Tahoma" w:cs="Tahoma"/>
        </w:rPr>
        <w:t>и Зарплатных клиентов Банка</w:t>
      </w:r>
      <w:r w:rsidRPr="00A17F8B">
        <w:rPr>
          <w:rFonts w:ascii="Tahoma" w:hAnsi="Tahoma" w:cs="Tahoma"/>
        </w:rPr>
        <w:t>.</w:t>
      </w:r>
    </w:p>
  </w:footnote>
  <w:footnote w:id="82">
    <w:p w14:paraId="33650D53" w14:textId="77777777" w:rsidR="00951A61" w:rsidRPr="00A17F8B" w:rsidRDefault="00951A61" w:rsidP="00951A61">
      <w:pPr>
        <w:pStyle w:val="aff1"/>
        <w:jc w:val="both"/>
        <w:rPr>
          <w:rFonts w:ascii="Tahoma" w:hAnsi="Tahoma" w:cs="Tahoma"/>
        </w:rPr>
      </w:pPr>
      <w:r w:rsidRPr="00A17F8B">
        <w:rPr>
          <w:rStyle w:val="aff3"/>
          <w:rFonts w:ascii="Tahoma" w:hAnsi="Tahoma" w:cs="Tahoma"/>
        </w:rPr>
        <w:footnoteRef/>
      </w:r>
      <w:r w:rsidRPr="00A17F8B">
        <w:rPr>
          <w:rStyle w:val="aff3"/>
          <w:rFonts w:ascii="Tahoma" w:hAnsi="Tahoma" w:cs="Tahoma"/>
        </w:rPr>
        <w:t xml:space="preserve"> </w:t>
      </w:r>
      <w:r w:rsidRPr="00A17F8B">
        <w:rPr>
          <w:rFonts w:ascii="Tahoma" w:hAnsi="Tahoma" w:cs="Tahoma"/>
        </w:rPr>
        <w:t>В целях определения итоговой процентной ставки по конкретному ипотечному кредиту дисконты к базовой ставке не суммируются и применяются при соответствии с указанными в таблице параметрам на этапе заключения Кредитного договора.</w:t>
      </w:r>
    </w:p>
  </w:footnote>
  <w:footnote w:id="83">
    <w:p w14:paraId="46BD0B29" w14:textId="77777777" w:rsidR="00951A61" w:rsidRPr="00A17F8B" w:rsidRDefault="00951A61" w:rsidP="00951A61">
      <w:pPr>
        <w:pStyle w:val="aff1"/>
        <w:jc w:val="both"/>
        <w:rPr>
          <w:rFonts w:ascii="Tahoma" w:hAnsi="Tahoma" w:cs="Tahoma"/>
        </w:rPr>
      </w:pPr>
      <w:r w:rsidRPr="00A17F8B">
        <w:rPr>
          <w:rStyle w:val="aff3"/>
          <w:rFonts w:ascii="Tahoma" w:hAnsi="Tahoma" w:cs="Tahoma"/>
        </w:rPr>
        <w:footnoteRef/>
      </w:r>
      <w:r w:rsidRPr="00A17F8B">
        <w:rPr>
          <w:rFonts w:ascii="Tahoma" w:hAnsi="Tahoma" w:cs="Tahoma"/>
        </w:rPr>
        <w:t xml:space="preserve"> В случае расторжения трудового договора процентная ставка увеличивается до размера Базовой ставки, действующей на дату принятия окончательного решения по заявке (если иное условие не согласовано сторонами при заключении соглашения о расторжении трудового договора).</w:t>
      </w:r>
    </w:p>
  </w:footnote>
  <w:footnote w:id="84">
    <w:p w14:paraId="5D61EDD9" w14:textId="77777777" w:rsidR="00951A61" w:rsidRPr="00A17F8B" w:rsidRDefault="00951A61" w:rsidP="00951A61">
      <w:pPr>
        <w:pStyle w:val="aff1"/>
        <w:jc w:val="both"/>
        <w:rPr>
          <w:rFonts w:ascii="Tahoma" w:hAnsi="Tahoma" w:cs="Tahoma"/>
        </w:rPr>
      </w:pPr>
      <w:r w:rsidRPr="00A17F8B">
        <w:rPr>
          <w:rStyle w:val="aff3"/>
          <w:rFonts w:ascii="Tahoma" w:hAnsi="Tahoma" w:cs="Tahoma"/>
        </w:rPr>
        <w:footnoteRef/>
      </w:r>
      <w:r w:rsidRPr="00A17F8B">
        <w:rPr>
          <w:rFonts w:ascii="Tahoma" w:hAnsi="Tahoma" w:cs="Tahoma"/>
        </w:rPr>
        <w:t xml:space="preserve"> Дисконт применяется в случае применения надбавок</w:t>
      </w:r>
      <w:r w:rsidRPr="00BD5E28">
        <w:rPr>
          <w:rFonts w:ascii="Tahoma" w:hAnsi="Tahoma" w:cs="Tahoma"/>
        </w:rPr>
        <w:t>, за исключением надбавки, указанной в п. 3.</w:t>
      </w:r>
      <w:r>
        <w:rPr>
          <w:rFonts w:ascii="Tahoma" w:hAnsi="Tahoma" w:cs="Tahoma"/>
        </w:rPr>
        <w:t>7</w:t>
      </w:r>
      <w:r w:rsidRPr="00BD5E28">
        <w:rPr>
          <w:rFonts w:ascii="Tahoma" w:hAnsi="Tahoma" w:cs="Tahoma"/>
        </w:rPr>
        <w:t>. (в случае применения надбавки, указанной в п. 3.</w:t>
      </w:r>
      <w:r>
        <w:rPr>
          <w:rFonts w:ascii="Tahoma" w:hAnsi="Tahoma" w:cs="Tahoma"/>
        </w:rPr>
        <w:t>7</w:t>
      </w:r>
      <w:r w:rsidRPr="00BD5E28">
        <w:rPr>
          <w:rFonts w:ascii="Tahoma" w:hAnsi="Tahoma" w:cs="Tahoma"/>
        </w:rPr>
        <w:t>., данный дисконт не может применяться), и</w:t>
      </w:r>
      <w:r w:rsidRPr="00A17F8B">
        <w:rPr>
          <w:rFonts w:ascii="Tahoma" w:hAnsi="Tahoma" w:cs="Tahoma"/>
        </w:rPr>
        <w:t xml:space="preserve"> не применим для категории клиентов, указанных в пп. 2.1., итоговая ставка при этом не может быть менее базовой ставки. Перечень партнеров Банка размещается в сети Интернет на официальном сайте Банка в разделе «Документы для скачивания»: https://www.atb.su/kredit/ipoteka/#/. </w:t>
      </w:r>
    </w:p>
  </w:footnote>
  <w:footnote w:id="85">
    <w:p w14:paraId="10EE8264" w14:textId="77777777" w:rsidR="00951A61" w:rsidRPr="00A17F8B" w:rsidRDefault="00951A61" w:rsidP="00951A61">
      <w:pPr>
        <w:pStyle w:val="aff1"/>
        <w:rPr>
          <w:rFonts w:ascii="Tahoma" w:hAnsi="Tahoma" w:cs="Tahoma"/>
        </w:rPr>
      </w:pPr>
      <w:r w:rsidRPr="00A17F8B">
        <w:rPr>
          <w:rStyle w:val="aff3"/>
          <w:rFonts w:ascii="Tahoma" w:hAnsi="Tahoma" w:cs="Tahoma"/>
        </w:rPr>
        <w:footnoteRef/>
      </w:r>
      <w:r w:rsidRPr="00A17F8B">
        <w:rPr>
          <w:rFonts w:ascii="Tahoma" w:hAnsi="Tahoma" w:cs="Tahoma"/>
        </w:rPr>
        <w:t xml:space="preserve"> Дисконт применяется в случае применения надбавок, но не применим для категории клиентов, указанных в пп. 2.1., итоговая ставка при этом не может быть менее базовой ставки.</w:t>
      </w:r>
    </w:p>
  </w:footnote>
  <w:footnote w:id="86">
    <w:p w14:paraId="290CE0AA" w14:textId="77777777" w:rsidR="00951A61" w:rsidRPr="00A17F8B" w:rsidRDefault="00951A61" w:rsidP="00951A61">
      <w:pPr>
        <w:pStyle w:val="aff1"/>
        <w:jc w:val="both"/>
        <w:rPr>
          <w:rFonts w:ascii="Tahoma" w:hAnsi="Tahoma" w:cs="Tahoma"/>
        </w:rPr>
      </w:pPr>
      <w:r w:rsidRPr="00A17F8B">
        <w:rPr>
          <w:rStyle w:val="aff3"/>
          <w:rFonts w:ascii="Tahoma" w:hAnsi="Tahoma" w:cs="Tahoma"/>
        </w:rPr>
        <w:footnoteRef/>
      </w:r>
      <w:r w:rsidRPr="00A17F8B">
        <w:rPr>
          <w:rFonts w:ascii="Tahoma" w:hAnsi="Tahoma" w:cs="Tahoma"/>
        </w:rPr>
        <w:t xml:space="preserve"> Надбавки применяются единовременно при соответствии указанным в таблице параметрам при заключении Кредитного договора.</w:t>
      </w:r>
    </w:p>
  </w:footnote>
  <w:footnote w:id="87">
    <w:p w14:paraId="6E13A548" w14:textId="77777777" w:rsidR="00951A61" w:rsidRPr="000D2E39" w:rsidRDefault="00951A61" w:rsidP="00951A61">
      <w:pPr>
        <w:pStyle w:val="aff1"/>
        <w:rPr>
          <w:rFonts w:ascii="Tahoma" w:hAnsi="Tahoma" w:cs="Tahoma"/>
        </w:rPr>
      </w:pPr>
      <w:r w:rsidRPr="00A17F8B">
        <w:rPr>
          <w:rStyle w:val="aff3"/>
          <w:rFonts w:ascii="Tahoma" w:hAnsi="Tahoma" w:cs="Tahoma"/>
        </w:rPr>
        <w:footnoteRef/>
      </w:r>
      <w:r w:rsidRPr="00A17F8B">
        <w:rPr>
          <w:rFonts w:ascii="Tahoma" w:hAnsi="Tahoma" w:cs="Tahoma"/>
        </w:rPr>
        <w:t xml:space="preserve"> Надбавка не применима для категории клиентов, указанных в пп. 2.1. </w:t>
      </w:r>
      <w:r w:rsidRPr="00BD5E28">
        <w:rPr>
          <w:rFonts w:ascii="Tahoma" w:hAnsi="Tahoma" w:cs="Tahoma"/>
        </w:rPr>
        <w:t>и для Зарплатных клиентов Банка</w:t>
      </w:r>
      <w:r w:rsidRPr="00A17F8B">
        <w:rPr>
          <w:rFonts w:ascii="Tahoma" w:hAnsi="Tahoma" w:cs="Tahoma"/>
        </w:rPr>
        <w:t>.</w:t>
      </w:r>
    </w:p>
  </w:footnote>
  <w:footnote w:id="88">
    <w:p w14:paraId="02B8BEF6" w14:textId="77777777" w:rsidR="00951A61" w:rsidRPr="005F46F4" w:rsidRDefault="00951A61" w:rsidP="00951A61">
      <w:pPr>
        <w:pStyle w:val="aff1"/>
        <w:jc w:val="both"/>
        <w:rPr>
          <w:rFonts w:ascii="Tahoma" w:hAnsi="Tahoma" w:cs="Tahoma"/>
        </w:rPr>
      </w:pPr>
      <w:r w:rsidRPr="00353BB5">
        <w:rPr>
          <w:rStyle w:val="aff3"/>
          <w:rFonts w:ascii="Tahoma" w:hAnsi="Tahoma" w:cs="Tahoma"/>
        </w:rPr>
        <w:footnoteRef/>
      </w:r>
      <w:r w:rsidRPr="00353BB5">
        <w:rPr>
          <w:rFonts w:ascii="Tahoma" w:hAnsi="Tahoma" w:cs="Tahoma"/>
        </w:rPr>
        <w:t xml:space="preserve"> </w:t>
      </w:r>
      <w:r w:rsidRPr="005F46F4">
        <w:rPr>
          <w:rFonts w:ascii="Tahoma" w:hAnsi="Tahoma" w:cs="Tahoma"/>
        </w:rPr>
        <w:t>Если иное не предусмотрено Кредитным договором, надбавка применяется в случае отказа Заемщика от личного и/или титульного страхования либо ненадлежащего исполнения Заемщиком условий личного и/или титульного страхования в течение срока действия Кредитного договора.  Внеплановый пересчет процентной ставки (применение надбавки), связанный с неисполнением Заемщиком условия личного и/или титульного страхования, осуществляется в случае отсутствия у Банка информации об оплаченной страховой премии по договору (полису) добровольного страхования / о заключении нового договора (полиса) добровольного страхования и уплате страховой премии по нему по истечении месяца, следующего за месяцем, в котором состоялось уведомление Заемщика Банком о Внеплановом пересчете процентной ставки. Для категории клиентов, указанных в п. 2.1. размер надбавки составляет 0,5%.</w:t>
      </w:r>
    </w:p>
  </w:footnote>
  <w:footnote w:id="89">
    <w:p w14:paraId="048283F7" w14:textId="77777777" w:rsidR="00951A61" w:rsidRPr="00353BB5" w:rsidRDefault="00951A61" w:rsidP="00951A61">
      <w:pPr>
        <w:pStyle w:val="aff1"/>
        <w:jc w:val="both"/>
        <w:rPr>
          <w:rFonts w:ascii="Tahoma" w:hAnsi="Tahoma" w:cs="Tahoma"/>
        </w:rPr>
      </w:pPr>
      <w:r w:rsidRPr="005F46F4">
        <w:rPr>
          <w:rStyle w:val="aff3"/>
          <w:rFonts w:ascii="Tahoma" w:hAnsi="Tahoma" w:cs="Tahoma"/>
        </w:rPr>
        <w:footnoteRef/>
      </w:r>
      <w:r w:rsidRPr="005F46F4">
        <w:rPr>
          <w:rFonts w:ascii="Tahoma" w:hAnsi="Tahoma" w:cs="Tahoma"/>
        </w:rPr>
        <w:t xml:space="preserve"> </w:t>
      </w:r>
      <w:r w:rsidRPr="001F1A46">
        <w:rPr>
          <w:rFonts w:ascii="Tahoma" w:hAnsi="Tahoma" w:cs="Tahoma"/>
        </w:rPr>
        <w:t xml:space="preserve">Если иное не предусмотрено Кредитным договором, надбавка применяется в случае отказа Заемщика от имущественного страхования либо ненадлежащего исполнения Заемщиком условий по </w:t>
      </w:r>
      <w:r w:rsidRPr="00CD2C26">
        <w:rPr>
          <w:rFonts w:ascii="Tahoma" w:hAnsi="Tahoma" w:cs="Tahoma"/>
        </w:rPr>
        <w:t>имущественному страхованию в течение срока действия Кредитного договора.  Внеплановый пересчет процентной ставки (применение надбавки), связанный с неисполнением Заемщиком условия по имущественному страхованию, осуществляется в случае отсутствия у Банка информации об оплаченной страховой премии по договору (полису) имущественного страхования / о заключении нового договора (полиса) имущественного страхования и уплате страховой премии по нему по истечении месяца, следующего за месяцем, в котором состоялось уведомление Заемщика Банком о Внеплановом пересчете процентной ставки</w:t>
      </w:r>
      <w:r w:rsidRPr="00353BB5">
        <w:rPr>
          <w:rFonts w:ascii="Tahoma" w:hAnsi="Tahoma" w:cs="Tahoma"/>
        </w:rPr>
        <w:t>. Для категории клиентов, указанных в п. 2.1. размер надбавки составляет 0,5%.</w:t>
      </w:r>
    </w:p>
  </w:footnote>
  <w:footnote w:id="90">
    <w:p w14:paraId="1E0D4EBC" w14:textId="77777777" w:rsidR="00951A61" w:rsidRPr="00A17F8B" w:rsidRDefault="00951A61" w:rsidP="00951A61">
      <w:pPr>
        <w:pStyle w:val="aff1"/>
        <w:rPr>
          <w:rFonts w:ascii="Tahoma" w:hAnsi="Tahoma" w:cs="Tahoma"/>
        </w:rPr>
      </w:pPr>
      <w:r w:rsidRPr="00353BB5">
        <w:rPr>
          <w:rStyle w:val="aff3"/>
          <w:rFonts w:ascii="Tahoma" w:hAnsi="Tahoma" w:cs="Tahoma"/>
        </w:rPr>
        <w:footnoteRef/>
      </w:r>
      <w:r w:rsidRPr="00353BB5">
        <w:rPr>
          <w:rFonts w:ascii="Tahoma" w:hAnsi="Tahoma" w:cs="Tahoma"/>
        </w:rPr>
        <w:t xml:space="preserve"> Надбавка </w:t>
      </w:r>
      <w:r w:rsidRPr="00A17F8B">
        <w:rPr>
          <w:rFonts w:ascii="Tahoma" w:hAnsi="Tahoma" w:cs="Tahoma"/>
        </w:rPr>
        <w:t>не применима для категории клиентов, указанных в п. 2.1.</w:t>
      </w:r>
    </w:p>
  </w:footnote>
  <w:footnote w:id="91">
    <w:p w14:paraId="7F924F03" w14:textId="77777777" w:rsidR="00951A61" w:rsidRPr="00A17F8B" w:rsidRDefault="00951A61" w:rsidP="00951A61">
      <w:pPr>
        <w:pStyle w:val="aff1"/>
        <w:rPr>
          <w:rFonts w:ascii="Tahoma" w:hAnsi="Tahoma" w:cs="Tahoma"/>
        </w:rPr>
      </w:pPr>
      <w:r w:rsidRPr="00A17F8B">
        <w:rPr>
          <w:rStyle w:val="aff3"/>
          <w:rFonts w:ascii="Tahoma" w:hAnsi="Tahoma" w:cs="Tahoma"/>
        </w:rPr>
        <w:footnoteRef/>
      </w:r>
      <w:r w:rsidRPr="00A17F8B">
        <w:rPr>
          <w:rFonts w:ascii="Tahoma" w:hAnsi="Tahoma" w:cs="Tahoma"/>
        </w:rPr>
        <w:t xml:space="preserve"> Надбавка не применима для категории клиентов, указанных в п. 2.1.</w:t>
      </w:r>
    </w:p>
  </w:footnote>
  <w:footnote w:id="92">
    <w:p w14:paraId="2AEE170C" w14:textId="77777777" w:rsidR="00951A61" w:rsidRPr="00A17F8B" w:rsidRDefault="00951A61" w:rsidP="00951A61">
      <w:pPr>
        <w:pStyle w:val="aff1"/>
        <w:rPr>
          <w:rFonts w:ascii="Tahoma" w:hAnsi="Tahoma" w:cs="Tahoma"/>
        </w:rPr>
      </w:pPr>
      <w:r w:rsidRPr="00A17F8B">
        <w:rPr>
          <w:rStyle w:val="aff3"/>
          <w:rFonts w:ascii="Tahoma" w:hAnsi="Tahoma" w:cs="Tahoma"/>
        </w:rPr>
        <w:footnoteRef/>
      </w:r>
      <w:r w:rsidRPr="00A17F8B">
        <w:rPr>
          <w:rFonts w:ascii="Tahoma" w:hAnsi="Tahoma" w:cs="Tahoma"/>
        </w:rPr>
        <w:t xml:space="preserve"> Надбавка не применима для категории клиентов, указанных в п. 2.1.</w:t>
      </w:r>
    </w:p>
  </w:footnote>
  <w:footnote w:id="93">
    <w:p w14:paraId="0AF6E747" w14:textId="77777777" w:rsidR="00951A61" w:rsidRPr="000B5906" w:rsidRDefault="00951A61" w:rsidP="00951A61">
      <w:pPr>
        <w:pStyle w:val="aff1"/>
        <w:rPr>
          <w:rFonts w:ascii="Tahoma" w:hAnsi="Tahoma" w:cs="Tahoma"/>
        </w:rPr>
      </w:pPr>
      <w:r w:rsidRPr="00BD5E28">
        <w:rPr>
          <w:rStyle w:val="aff3"/>
          <w:rFonts w:ascii="Tahoma" w:hAnsi="Tahoma" w:cs="Tahoma"/>
        </w:rPr>
        <w:footnoteRef/>
      </w:r>
      <w:r w:rsidRPr="00BD5E28">
        <w:rPr>
          <w:rFonts w:ascii="Tahoma" w:hAnsi="Tahoma" w:cs="Tahoma"/>
        </w:rPr>
        <w:t xml:space="preserve"> В случае применения данной надбавки, дисконт, указанный в п. 2.2. не может быть применен.</w:t>
      </w:r>
    </w:p>
  </w:footnote>
  <w:footnote w:id="94">
    <w:p w14:paraId="3D133FF2" w14:textId="77777777" w:rsidR="00951A61" w:rsidRPr="002258E1" w:rsidRDefault="00951A61" w:rsidP="00951A61">
      <w:pPr>
        <w:pStyle w:val="aff1"/>
        <w:rPr>
          <w:rFonts w:ascii="Tahoma" w:hAnsi="Tahoma" w:cs="Tahoma"/>
          <w:sz w:val="16"/>
          <w:szCs w:val="16"/>
        </w:rPr>
      </w:pPr>
      <w:r w:rsidRPr="002258E1">
        <w:rPr>
          <w:rStyle w:val="aff3"/>
          <w:rFonts w:ascii="Tahoma" w:hAnsi="Tahoma" w:cs="Tahoma"/>
          <w:sz w:val="16"/>
          <w:szCs w:val="16"/>
        </w:rPr>
        <w:footnoteRef/>
      </w:r>
      <w:r w:rsidRPr="002258E1">
        <w:rPr>
          <w:rFonts w:ascii="Tahoma" w:hAnsi="Tahoma" w:cs="Tahoma"/>
          <w:sz w:val="16"/>
          <w:szCs w:val="16"/>
        </w:rPr>
        <w:t xml:space="preserve"> Иное маркетинговое название «Ипотека ДФО»</w:t>
      </w:r>
    </w:p>
  </w:footnote>
  <w:footnote w:id="95">
    <w:p w14:paraId="268906C0" w14:textId="77777777" w:rsidR="00951A61" w:rsidRPr="008B7EAD" w:rsidRDefault="00951A61" w:rsidP="00951A61">
      <w:pPr>
        <w:pStyle w:val="aff1"/>
        <w:jc w:val="both"/>
      </w:pPr>
      <w:r w:rsidRPr="008B7EAD">
        <w:rPr>
          <w:rStyle w:val="aff3"/>
          <w:rFonts w:ascii="Tahoma" w:hAnsi="Tahoma" w:cs="Tahoma"/>
          <w:sz w:val="16"/>
          <w:szCs w:val="16"/>
        </w:rPr>
        <w:footnoteRef/>
      </w:r>
      <w:r w:rsidRPr="008B7EAD">
        <w:rPr>
          <w:rFonts w:ascii="Tahoma" w:hAnsi="Tahoma" w:cs="Tahoma"/>
          <w:sz w:val="16"/>
          <w:szCs w:val="16"/>
        </w:rPr>
        <w:t xml:space="preserve"> Для определения возможности отнесения населенного пункта к категории сельского поселения возможно использовать данные в соответствии с общероссийским классификатором территории муниципальных образований «ОК 03-2013» (Том 8. Дальневосточный федеральный округ) (утв. Приказом Росстандарта от 14.06.2013 № 159-ст) (с учетом Изменений 1/2013 - 418/2020) (ОКТМО), признак сельского населенного пункта указывается во втором разделе кода, 9-11 знаки (ХХ ХХХ ХХХ ХХХ) и имеет значения от 101 до 999. К сельским населенным пунктам относятся: поселки, села, станицы, деревни, хутора, кишлаки, аулы и др.</w:t>
      </w:r>
    </w:p>
  </w:footnote>
  <w:footnote w:id="96">
    <w:p w14:paraId="71D4B370" w14:textId="77777777" w:rsidR="00951A61" w:rsidRPr="008B7EAD" w:rsidRDefault="00951A61" w:rsidP="00951A61">
      <w:pPr>
        <w:pStyle w:val="aff1"/>
        <w:jc w:val="both"/>
        <w:rPr>
          <w:rFonts w:ascii="Tahoma" w:hAnsi="Tahoma" w:cs="Tahoma"/>
          <w:sz w:val="16"/>
          <w:szCs w:val="16"/>
        </w:rPr>
      </w:pPr>
      <w:r w:rsidRPr="008B7EAD">
        <w:rPr>
          <w:rStyle w:val="aff3"/>
          <w:rFonts w:ascii="Tahoma" w:hAnsi="Tahoma" w:cs="Tahoma"/>
          <w:sz w:val="16"/>
          <w:szCs w:val="16"/>
        </w:rPr>
        <w:footnoteRef/>
      </w:r>
      <w:r w:rsidRPr="008B7EAD">
        <w:t xml:space="preserve"> </w:t>
      </w:r>
      <w:r w:rsidRPr="008B7EAD">
        <w:rPr>
          <w:rFonts w:ascii="Tahoma" w:hAnsi="Tahoma" w:cs="Tahoma"/>
          <w:sz w:val="16"/>
          <w:szCs w:val="16"/>
        </w:rPr>
        <w:t xml:space="preserve">Перечень моногородов, </w:t>
      </w:r>
      <w:r w:rsidRPr="00E00EFD">
        <w:rPr>
          <w:rFonts w:ascii="Tahoma" w:hAnsi="Tahoma" w:cs="Tahoma"/>
          <w:sz w:val="16"/>
          <w:szCs w:val="16"/>
        </w:rPr>
        <w:t>кредитование в которых возможно: город Краснокаменск (Забайкальский край), город Дальнегорск (Приморский край), город Арсеньев (Приморский край), город Нерюнгри (Республика Саха (Якутия)), город Мирный (Республика Саха (Якутия)), поселок Айхал (Республика Саха (Якутия)), город Свободный (Амурская область), город Тында (Амурская область), город Северобайкальск (Республика Бурятия), город Норильск (Красноярский край).</w:t>
      </w:r>
      <w:r w:rsidRPr="008B7EAD">
        <w:rPr>
          <w:rFonts w:ascii="Tahoma" w:hAnsi="Tahoma" w:cs="Tahoma"/>
          <w:sz w:val="16"/>
          <w:szCs w:val="16"/>
        </w:rPr>
        <w:t xml:space="preserve"> </w:t>
      </w:r>
    </w:p>
  </w:footnote>
  <w:footnote w:id="97">
    <w:p w14:paraId="07F4B8AA" w14:textId="77777777" w:rsidR="00951A61" w:rsidRPr="008B7EAD" w:rsidRDefault="00951A61" w:rsidP="00951A61">
      <w:pPr>
        <w:pStyle w:val="aff1"/>
        <w:jc w:val="both"/>
        <w:rPr>
          <w:rFonts w:ascii="Tahoma" w:hAnsi="Tahoma" w:cs="Tahoma"/>
          <w:sz w:val="16"/>
          <w:szCs w:val="16"/>
        </w:rPr>
      </w:pPr>
      <w:r w:rsidRPr="008B7EAD">
        <w:rPr>
          <w:rStyle w:val="aff3"/>
          <w:rFonts w:ascii="Tahoma" w:hAnsi="Tahoma" w:cs="Tahoma"/>
          <w:sz w:val="16"/>
          <w:szCs w:val="16"/>
        </w:rPr>
        <w:footnoteRef/>
      </w:r>
      <w:r w:rsidRPr="008B7EAD">
        <w:rPr>
          <w:rFonts w:ascii="Tahoma" w:hAnsi="Tahoma" w:cs="Tahoma"/>
          <w:sz w:val="16"/>
          <w:szCs w:val="16"/>
        </w:rPr>
        <w:t xml:space="preserve"> </w:t>
      </w:r>
      <w:r w:rsidRPr="00074A60">
        <w:rPr>
          <w:rFonts w:ascii="Tahoma" w:hAnsi="Tahoma" w:cs="Tahoma"/>
          <w:sz w:val="16"/>
          <w:szCs w:val="16"/>
        </w:rPr>
        <w:t>Земельный участок может находится во владении Заемщика на праве аренды в соответствии с Федеральным законом от 01.05.2016 N 119-ФЗ (ред. от 29.12.2022) "Об особенностях предоставления гражданам земельных участков, находящихся в государственной или муниципальной собственности и расположенных в Арктической зоне Российской Федерации и на других территориях Севера, Сибири и Дальнего Востока Российской Федерации, и о внесении изменений в отдельные законодательные акты Российской Федерации" (с изм. и доп., вступ. в силу с 01.07.2023). Вид разрешенного использования зем. участка должен предусматривать индивидуальное жилищное строительство или ведение личного подсобного хозяйства.</w:t>
      </w:r>
    </w:p>
  </w:footnote>
  <w:footnote w:id="98">
    <w:p w14:paraId="525D17AA" w14:textId="77777777" w:rsidR="00951A61" w:rsidRPr="008B7EAD" w:rsidRDefault="00951A61" w:rsidP="00951A61">
      <w:pPr>
        <w:pStyle w:val="aff1"/>
        <w:jc w:val="both"/>
        <w:rPr>
          <w:rFonts w:ascii="Tahoma" w:hAnsi="Tahoma" w:cs="Tahoma"/>
          <w:sz w:val="16"/>
          <w:szCs w:val="16"/>
        </w:rPr>
      </w:pPr>
      <w:r w:rsidRPr="00074A60">
        <w:rPr>
          <w:rStyle w:val="aff3"/>
          <w:rFonts w:ascii="Tahoma" w:hAnsi="Tahoma" w:cs="Tahoma"/>
          <w:sz w:val="16"/>
          <w:szCs w:val="16"/>
        </w:rPr>
        <w:footnoteRef/>
      </w:r>
      <w:r w:rsidRPr="00074A60">
        <w:rPr>
          <w:rFonts w:ascii="Tahoma" w:hAnsi="Tahoma" w:cs="Tahoma"/>
          <w:sz w:val="16"/>
          <w:szCs w:val="16"/>
        </w:rPr>
        <w:t xml:space="preserve"> Требование о дополнительном залоге, а также соотношения Кредит/Залог может быть скорректировано для ряда подрядных организаций, утвержденных внутренним нормативным документом Банка.</w:t>
      </w:r>
    </w:p>
  </w:footnote>
  <w:footnote w:id="99">
    <w:p w14:paraId="5861C0A7" w14:textId="77777777" w:rsidR="00951A61" w:rsidRPr="008B7EAD" w:rsidRDefault="00951A61" w:rsidP="00951A61">
      <w:pPr>
        <w:pStyle w:val="aff1"/>
      </w:pPr>
      <w:r w:rsidRPr="008B7EAD">
        <w:rPr>
          <w:rStyle w:val="aff3"/>
          <w:rFonts w:ascii="Tahoma" w:hAnsi="Tahoma" w:cs="Tahoma"/>
          <w:sz w:val="16"/>
          <w:szCs w:val="16"/>
        </w:rPr>
        <w:footnoteRef/>
      </w:r>
      <w:r w:rsidRPr="008B7EAD">
        <w:rPr>
          <w:rFonts w:ascii="Tahoma" w:hAnsi="Tahoma" w:cs="Tahoma"/>
          <w:sz w:val="16"/>
          <w:szCs w:val="16"/>
        </w:rPr>
        <w:t xml:space="preserve"> На цели строительства индивидуального жилого дома на этом земельном участке.</w:t>
      </w:r>
    </w:p>
  </w:footnote>
  <w:footnote w:id="100">
    <w:p w14:paraId="3928B616" w14:textId="77777777" w:rsidR="00951A61" w:rsidRPr="00CE1BDB" w:rsidRDefault="00951A61" w:rsidP="00951A61">
      <w:pPr>
        <w:pStyle w:val="aff1"/>
        <w:jc w:val="both"/>
        <w:rPr>
          <w:rFonts w:ascii="Tahoma" w:hAnsi="Tahoma" w:cs="Tahoma"/>
          <w:sz w:val="16"/>
          <w:szCs w:val="16"/>
        </w:rPr>
      </w:pPr>
      <w:r w:rsidRPr="008B7EAD">
        <w:rPr>
          <w:rStyle w:val="aff3"/>
          <w:rFonts w:ascii="Tahoma" w:hAnsi="Tahoma" w:cs="Tahoma"/>
          <w:sz w:val="16"/>
          <w:szCs w:val="16"/>
        </w:rPr>
        <w:footnoteRef/>
      </w:r>
      <w:r w:rsidRPr="008B7EAD">
        <w:rPr>
          <w:rFonts w:ascii="Tahoma" w:hAnsi="Tahoma" w:cs="Tahoma"/>
          <w:sz w:val="16"/>
          <w:szCs w:val="16"/>
        </w:rPr>
        <w:t xml:space="preserve"> Сезонный вид деятельности – вид деятельности, который претерпевает сезонные колебания, оказывающие существенное влияние на стабильность деятельности (сезонные колебания в деяте</w:t>
      </w:r>
      <w:r w:rsidRPr="00CE1BDB">
        <w:rPr>
          <w:rFonts w:ascii="Tahoma" w:hAnsi="Tahoma" w:cs="Tahoma"/>
          <w:sz w:val="16"/>
          <w:szCs w:val="16"/>
        </w:rPr>
        <w:t>льности выражаются в повышении или понижении уровня экономической активности, масштабов экономической деятельности вследствие сезонности спроса на вид деятельности).</w:t>
      </w:r>
    </w:p>
  </w:footnote>
  <w:footnote w:id="101">
    <w:p w14:paraId="69DE47A6" w14:textId="77777777" w:rsidR="00951A61" w:rsidRPr="00AA705E" w:rsidRDefault="00951A61" w:rsidP="00951A61">
      <w:pPr>
        <w:pStyle w:val="aff1"/>
        <w:jc w:val="both"/>
      </w:pPr>
      <w:r>
        <w:rPr>
          <w:rStyle w:val="aff3"/>
        </w:rPr>
        <w:footnoteRef/>
      </w:r>
      <w:r>
        <w:t xml:space="preserve"> </w:t>
      </w:r>
      <w:r w:rsidRPr="00E00EFD">
        <w:rPr>
          <w:rFonts w:ascii="Tahoma" w:hAnsi="Tahoma" w:cs="Tahoma"/>
        </w:rPr>
        <w:t>Расчет минимального значения ПСК произведен</w:t>
      </w:r>
      <w:r>
        <w:rPr>
          <w:rFonts w:ascii="Tahoma" w:hAnsi="Tahoma" w:cs="Tahoma"/>
        </w:rPr>
        <w:t xml:space="preserve"> по </w:t>
      </w:r>
      <w:r w:rsidRPr="00AA705E">
        <w:rPr>
          <w:rFonts w:ascii="Tahoma" w:hAnsi="Tahoma" w:cs="Tahoma"/>
        </w:rPr>
        <w:t>состоянию на 29.10.2024 г. с использованием параметров: минимальная сумма Кредита (500 000,00 рублей), минимальный срок (36 мес.), минимальная ставка (2,00% годовых), тариф за оказание услуг по подготовке отчета об оценке ООО «Мобильный оценщик» (ИНН 7842358640), действующий в 2024г. (1 800,00 рублей), средний тариф AO «АльфаСтрахование» (ИНН 7713056834), действующий в 2024 г. по имущественному страхованию (0,10% от остатка задолженности, увеличенной на 10%), 3 000,00 руб. - за перевод денежных средств без открытия счета и со счета физического лица (ТБС) в пользу физических и юридических лиц в другие банки в соответствии с тарифами Банка. В случае применения в расчетах ПСК иных параметров Кредита, а также в случае выбора Заемщиком иной оценочной компании и/или страховой компании или применения ООО «Мобильный оценщик» и/или AO «АльфаСтрахование» в расчетах иного тарифа, иных платежей Заемщика, указанных в частях 3 и 4 статьи 6 Федерального закона от 21.12.2013 № 353-ФЗ «О потребительском кредите (займе)», полная стоимость кредита может отличаться от расчетной.</w:t>
      </w:r>
    </w:p>
  </w:footnote>
  <w:footnote w:id="102">
    <w:p w14:paraId="0F6FAD75" w14:textId="77777777" w:rsidR="00951A61" w:rsidRPr="00017E7D" w:rsidRDefault="00951A61" w:rsidP="00951A61">
      <w:pPr>
        <w:pStyle w:val="aff1"/>
        <w:jc w:val="both"/>
      </w:pPr>
      <w:r w:rsidRPr="00AA705E">
        <w:rPr>
          <w:rStyle w:val="aff3"/>
          <w:rFonts w:ascii="Tahoma" w:hAnsi="Tahoma" w:cs="Tahoma"/>
        </w:rPr>
        <w:footnoteRef/>
      </w:r>
      <w:r w:rsidRPr="00AA705E">
        <w:rPr>
          <w:rFonts w:ascii="Tahoma" w:hAnsi="Tahoma" w:cs="Tahoma"/>
        </w:rPr>
        <w:t xml:space="preserve"> Расчет максимального значения ПСК произведен по состоянию на 29.10.2024 г. с использованием параметров: максимальная сумма Кредита (9 000 000,00 рублей), максимальный срок (240 мес.), максимальная ставка, предусмотренная Решением (ставка 22,50% годовых складывается из размера ключевой ставки ЦБ РФ, увеличенной на 1,50 процентных пункта), тариф за оказание услуг по подготовке отчета об оценке ООО «Мобильный оценщик» (ИНН 7842358640), действующий в 2024г. (1 800,00 рублей), средний тариф AO «АльфаСтрахование» (ИНН 7713056834), действующий в 2024 г. по личному и имущественному страхованию (0,72% от остатка задолженности, увеличенной на 10%), 10 000,00 руб. - за открытие и исполнение аккредитива в Банке в соответствии с тарифами Банка. В случае применения в расчетах ПСК иных параметров Кредита, а также в случае выбора Заемщиком иной оценочной компании и/или страховой</w:t>
      </w:r>
      <w:r w:rsidRPr="00E00EFD">
        <w:rPr>
          <w:rFonts w:ascii="Tahoma" w:hAnsi="Tahoma" w:cs="Tahoma"/>
        </w:rPr>
        <w:t xml:space="preserve"> компании или применения ООО «Мобильный оценщик» и/или AO «АльфаСтрахование» в расчетах иного тарифа, иных платежей Заемщика, указанных в частях 3 и 4 статьи 6 Федерального закона от 21.12.2013 № 353-ФЗ «О потребительском кредите (займе)», полная стоимость кредита может отличаться от расчетной.</w:t>
      </w:r>
    </w:p>
  </w:footnote>
  <w:footnote w:id="103">
    <w:p w14:paraId="4A5E2889" w14:textId="77777777" w:rsidR="00951A61" w:rsidRPr="00CE1BDB" w:rsidRDefault="00951A61" w:rsidP="00951A61">
      <w:pPr>
        <w:pStyle w:val="aff1"/>
        <w:jc w:val="both"/>
      </w:pPr>
      <w:r w:rsidRPr="008B7EAD">
        <w:rPr>
          <w:rStyle w:val="aff3"/>
          <w:rFonts w:ascii="Tahoma" w:hAnsi="Tahoma" w:cs="Tahoma"/>
          <w:sz w:val="16"/>
          <w:szCs w:val="16"/>
        </w:rPr>
        <w:footnoteRef/>
      </w:r>
      <w:r w:rsidRPr="008B7EAD">
        <w:rPr>
          <w:rFonts w:ascii="Tahoma" w:hAnsi="Tahoma" w:cs="Tahoma"/>
          <w:sz w:val="16"/>
          <w:szCs w:val="16"/>
        </w:rPr>
        <w:t xml:space="preserve"> </w:t>
      </w:r>
      <w:r w:rsidRPr="00CE1BDB">
        <w:rPr>
          <w:rFonts w:ascii="Tahoma" w:hAnsi="Tahoma" w:cs="Tahoma"/>
          <w:sz w:val="16"/>
          <w:szCs w:val="16"/>
        </w:rPr>
        <w:t>В случае, если земельный участок находится во владении Заемщика на праве аренды в соответствии с Федеральным законом от 01.05.2016 г. N 119-ФЗ, то такой земельный участок не передается в залог Банку. Вид разрешенного использования зем. участка должен предусматривать индивидуальное жилищное строительство или ведение личного подсобного хозяйства.</w:t>
      </w:r>
    </w:p>
  </w:footnote>
  <w:footnote w:id="104">
    <w:p w14:paraId="1945F11B" w14:textId="77777777" w:rsidR="00951A61" w:rsidRPr="00CE1BDB" w:rsidRDefault="00951A61" w:rsidP="00951A61">
      <w:pPr>
        <w:pStyle w:val="aff1"/>
        <w:jc w:val="both"/>
        <w:rPr>
          <w:rFonts w:ascii="Tahoma" w:hAnsi="Tahoma" w:cs="Tahoma"/>
          <w:sz w:val="16"/>
          <w:szCs w:val="16"/>
        </w:rPr>
      </w:pPr>
      <w:r w:rsidRPr="008B7EAD">
        <w:rPr>
          <w:rStyle w:val="aff3"/>
          <w:rFonts w:ascii="Tahoma" w:hAnsi="Tahoma" w:cs="Tahoma"/>
          <w:sz w:val="16"/>
          <w:szCs w:val="16"/>
        </w:rPr>
        <w:footnoteRef/>
      </w:r>
      <w:r w:rsidRPr="008B7EAD">
        <w:rPr>
          <w:rFonts w:ascii="Tahoma" w:hAnsi="Tahoma" w:cs="Tahoma"/>
          <w:sz w:val="16"/>
          <w:szCs w:val="16"/>
        </w:rPr>
        <w:t xml:space="preserve"> </w:t>
      </w:r>
      <w:r w:rsidRPr="00CE1BDB">
        <w:rPr>
          <w:rFonts w:ascii="Tahoma" w:hAnsi="Tahoma" w:cs="Tahoma"/>
          <w:sz w:val="16"/>
          <w:szCs w:val="16"/>
        </w:rPr>
        <w:t>Оформление указанного вида страхования не применимо для лиц с инвалидностью (при условии предоставления справки, подтверждающей факт установления инвалидности с указанием группы инвалидности), столкнувшихся с затруднениями в получении соответствующих страховых услуг (рекомендуется предоставить Банку подтверждающие данный факт документы (ответы) от страховых компаний).</w:t>
      </w:r>
    </w:p>
  </w:footnote>
  <w:footnote w:id="105">
    <w:p w14:paraId="2B3F4A6A" w14:textId="77777777" w:rsidR="00951A61" w:rsidRPr="00121BAA" w:rsidRDefault="00951A61" w:rsidP="00951A61">
      <w:pPr>
        <w:pStyle w:val="aff1"/>
        <w:jc w:val="both"/>
        <w:rPr>
          <w:rFonts w:ascii="Tahoma" w:hAnsi="Tahoma" w:cs="Tahoma"/>
          <w:sz w:val="16"/>
          <w:szCs w:val="16"/>
        </w:rPr>
      </w:pPr>
      <w:r w:rsidRPr="008B7EAD">
        <w:rPr>
          <w:rStyle w:val="aff3"/>
          <w:rFonts w:ascii="Tahoma" w:hAnsi="Tahoma" w:cs="Tahoma"/>
          <w:sz w:val="16"/>
          <w:szCs w:val="16"/>
        </w:rPr>
        <w:footnoteRef/>
      </w:r>
      <w:r w:rsidRPr="008B7EAD">
        <w:rPr>
          <w:rFonts w:ascii="Tahoma" w:hAnsi="Tahoma" w:cs="Tahoma"/>
          <w:sz w:val="16"/>
          <w:szCs w:val="16"/>
        </w:rPr>
        <w:t xml:space="preserve"> Размер доли</w:t>
      </w:r>
      <w:r w:rsidRPr="00CE1BDB">
        <w:rPr>
          <w:rFonts w:ascii="Tahoma" w:hAnsi="Tahoma" w:cs="Tahoma"/>
          <w:sz w:val="16"/>
          <w:szCs w:val="16"/>
        </w:rPr>
        <w:t xml:space="preserve"> кредитных </w:t>
      </w:r>
      <w:r w:rsidRPr="00121BAA">
        <w:rPr>
          <w:rFonts w:ascii="Tahoma" w:hAnsi="Tahoma" w:cs="Tahoma"/>
          <w:sz w:val="16"/>
          <w:szCs w:val="16"/>
        </w:rPr>
        <w:t>средств, составляющих более 79,99%, округлению не подлежит.</w:t>
      </w:r>
    </w:p>
  </w:footnote>
  <w:footnote w:id="106">
    <w:p w14:paraId="3616816D" w14:textId="77777777" w:rsidR="00951A61" w:rsidRPr="00121BAA" w:rsidRDefault="00951A61" w:rsidP="00951A61">
      <w:pPr>
        <w:pStyle w:val="aff1"/>
        <w:jc w:val="both"/>
        <w:rPr>
          <w:rFonts w:ascii="Tahoma" w:hAnsi="Tahoma" w:cs="Tahoma"/>
          <w:sz w:val="16"/>
          <w:szCs w:val="16"/>
        </w:rPr>
      </w:pPr>
      <w:r w:rsidRPr="00121BAA">
        <w:rPr>
          <w:rStyle w:val="aff3"/>
          <w:rFonts w:ascii="Tahoma" w:hAnsi="Tahoma" w:cs="Tahoma"/>
          <w:sz w:val="16"/>
          <w:szCs w:val="16"/>
        </w:rPr>
        <w:footnoteRef/>
      </w:r>
      <w:r w:rsidRPr="00121BAA">
        <w:rPr>
          <w:rFonts w:ascii="Tahoma" w:hAnsi="Tahoma" w:cs="Tahoma"/>
          <w:sz w:val="16"/>
          <w:szCs w:val="16"/>
        </w:rPr>
        <w:t xml:space="preserve"> Коэффициент К/З не более 79,99% допустим для Заемщика с официально подтвержденным доходом или для Заемщика, являющегося Зарплатным клиентом Банка (за исключением Кредитов, предоставляемых на цели приобретения у юридического лица или физического лица, в том числе индивидуального предпринимателя жилого дома с земельным участком, расположенного на территории монопрофильного муниципального образования (моногорода) в субъекте Российской Федерации, входящем в состав Дальневосточного федерального округа, или на сухопутных территориях Арктической зоны Российской Федерации):</w:t>
      </w:r>
    </w:p>
    <w:p w14:paraId="186FFFED" w14:textId="77777777" w:rsidR="00951A61" w:rsidRPr="00121BAA" w:rsidRDefault="00951A61" w:rsidP="00951A61">
      <w:pPr>
        <w:pStyle w:val="aff1"/>
        <w:jc w:val="both"/>
        <w:rPr>
          <w:rFonts w:ascii="Tahoma" w:hAnsi="Tahoma" w:cs="Tahoma"/>
          <w:sz w:val="16"/>
          <w:szCs w:val="16"/>
        </w:rPr>
      </w:pPr>
      <w:r w:rsidRPr="00121BAA">
        <w:rPr>
          <w:rFonts w:ascii="Tahoma" w:hAnsi="Tahoma" w:cs="Tahoma"/>
          <w:sz w:val="16"/>
          <w:szCs w:val="16"/>
        </w:rPr>
        <w:t xml:space="preserve">- в случае нахождения Предмета ипотеки на территории обслуживания Банком в городе-столице региона/ районном центре, удаленность не более 30 км от населенного пункта, где располагается Подразделение Банка; </w:t>
      </w:r>
    </w:p>
    <w:p w14:paraId="1BB9EBF6" w14:textId="77777777" w:rsidR="00951A61" w:rsidRPr="00121BAA" w:rsidRDefault="00951A61" w:rsidP="00951A61">
      <w:pPr>
        <w:pStyle w:val="aff1"/>
        <w:jc w:val="both"/>
        <w:rPr>
          <w:rFonts w:ascii="Tahoma" w:hAnsi="Tahoma" w:cs="Tahoma"/>
          <w:sz w:val="16"/>
          <w:szCs w:val="16"/>
        </w:rPr>
      </w:pPr>
      <w:r w:rsidRPr="00121BAA">
        <w:rPr>
          <w:rFonts w:ascii="Tahoma" w:hAnsi="Tahoma" w:cs="Tahoma"/>
          <w:sz w:val="16"/>
          <w:szCs w:val="16"/>
        </w:rPr>
        <w:t>- в случае нахождения Предмета ипотеки на территории обслуживания Банком, в ином населенном пункте, не относящимся к городу-столице региона/ районному центру, удаленность не более 15 км от населенного пункта, где располагается Подразделение Банка.</w:t>
      </w:r>
    </w:p>
  </w:footnote>
  <w:footnote w:id="107">
    <w:p w14:paraId="469DED12" w14:textId="77777777" w:rsidR="00951A61" w:rsidRPr="00121BAA" w:rsidRDefault="00951A61" w:rsidP="00951A61">
      <w:pPr>
        <w:pStyle w:val="aff1"/>
        <w:jc w:val="both"/>
        <w:rPr>
          <w:rFonts w:ascii="Tahoma" w:hAnsi="Tahoma" w:cs="Tahoma"/>
          <w:sz w:val="16"/>
          <w:szCs w:val="16"/>
        </w:rPr>
      </w:pPr>
      <w:r w:rsidRPr="00121BAA">
        <w:rPr>
          <w:rStyle w:val="aff3"/>
          <w:rFonts w:ascii="Tahoma" w:hAnsi="Tahoma" w:cs="Tahoma"/>
          <w:sz w:val="16"/>
          <w:szCs w:val="16"/>
        </w:rPr>
        <w:footnoteRef/>
      </w:r>
      <w:r w:rsidRPr="00121BAA">
        <w:rPr>
          <w:rFonts w:ascii="Tahoma" w:hAnsi="Tahoma" w:cs="Tahoma"/>
          <w:sz w:val="16"/>
          <w:szCs w:val="16"/>
        </w:rPr>
        <w:t xml:space="preserve"> Коэффициент К/З не более 79,99% допустим для Заемщика с официально подтвержденным доходом или для Заемщика, являющегося Зарплатным клиентом Банка:</w:t>
      </w:r>
    </w:p>
    <w:p w14:paraId="339CA7ED" w14:textId="77777777" w:rsidR="00951A61" w:rsidRPr="00121BAA" w:rsidRDefault="00951A61" w:rsidP="00951A61">
      <w:pPr>
        <w:pStyle w:val="aff1"/>
        <w:jc w:val="both"/>
        <w:rPr>
          <w:rFonts w:ascii="Tahoma" w:hAnsi="Tahoma" w:cs="Tahoma"/>
          <w:sz w:val="16"/>
          <w:szCs w:val="16"/>
        </w:rPr>
      </w:pPr>
      <w:r w:rsidRPr="00121BAA">
        <w:rPr>
          <w:rFonts w:ascii="Tahoma" w:hAnsi="Tahoma" w:cs="Tahoma"/>
          <w:sz w:val="16"/>
          <w:szCs w:val="16"/>
        </w:rPr>
        <w:t xml:space="preserve">- в случае нахождения Предмета ипотеки на территории обслуживания Банком в городе-столице региона/ районном центре, удаленность не более 30 км от населенного пункта, где располагается Подразделение; </w:t>
      </w:r>
    </w:p>
    <w:p w14:paraId="1BE30784" w14:textId="77777777" w:rsidR="00951A61" w:rsidRPr="00074A60" w:rsidRDefault="00951A61" w:rsidP="00951A61">
      <w:pPr>
        <w:pStyle w:val="aff1"/>
        <w:jc w:val="both"/>
        <w:rPr>
          <w:rFonts w:ascii="Tahoma" w:hAnsi="Tahoma" w:cs="Tahoma"/>
          <w:sz w:val="16"/>
          <w:szCs w:val="16"/>
        </w:rPr>
      </w:pPr>
      <w:r w:rsidRPr="00121BAA">
        <w:rPr>
          <w:rFonts w:ascii="Tahoma" w:hAnsi="Tahoma" w:cs="Tahoma"/>
          <w:sz w:val="16"/>
          <w:szCs w:val="16"/>
        </w:rPr>
        <w:t>- в случае нахождения Предмета ипотеки на территории обслуживания Банком, в</w:t>
      </w:r>
      <w:r w:rsidRPr="00074A60">
        <w:rPr>
          <w:rFonts w:ascii="Tahoma" w:hAnsi="Tahoma" w:cs="Tahoma"/>
          <w:sz w:val="16"/>
          <w:szCs w:val="16"/>
        </w:rPr>
        <w:t xml:space="preserve"> ином населенном пункте, не относящимся к городу-столице региона/ районному центру, удаленность не более 15 км от населенного пункта, где располагается Подразделение Банка.</w:t>
      </w:r>
    </w:p>
  </w:footnote>
  <w:footnote w:id="108">
    <w:p w14:paraId="6FA41350" w14:textId="77777777" w:rsidR="00951A61" w:rsidRPr="00121BAA" w:rsidRDefault="00951A61" w:rsidP="00951A61">
      <w:pPr>
        <w:pStyle w:val="aff1"/>
        <w:jc w:val="both"/>
        <w:rPr>
          <w:rFonts w:ascii="Tahoma" w:hAnsi="Tahoma" w:cs="Tahoma"/>
          <w:sz w:val="16"/>
          <w:szCs w:val="16"/>
        </w:rPr>
      </w:pPr>
      <w:r w:rsidRPr="00074A60">
        <w:rPr>
          <w:rStyle w:val="aff3"/>
          <w:rFonts w:ascii="Tahoma" w:hAnsi="Tahoma" w:cs="Tahoma"/>
          <w:sz w:val="16"/>
          <w:szCs w:val="16"/>
        </w:rPr>
        <w:footnoteRef/>
      </w:r>
      <w:r w:rsidRPr="00074A60">
        <w:rPr>
          <w:rFonts w:ascii="Tahoma" w:hAnsi="Tahoma" w:cs="Tahoma"/>
          <w:sz w:val="16"/>
          <w:szCs w:val="16"/>
        </w:rPr>
        <w:t xml:space="preserve"> Первоначальный </w:t>
      </w:r>
      <w:r w:rsidRPr="00121BAA">
        <w:rPr>
          <w:rFonts w:ascii="Tahoma" w:hAnsi="Tahoma" w:cs="Tahoma"/>
          <w:sz w:val="16"/>
          <w:szCs w:val="16"/>
        </w:rPr>
        <w:t>взнос от 20,01% допустим для Заемщика с официально подтвержденным доходом</w:t>
      </w:r>
      <w:r>
        <w:rPr>
          <w:rFonts w:ascii="Tahoma" w:hAnsi="Tahoma" w:cs="Tahoma"/>
          <w:sz w:val="16"/>
          <w:szCs w:val="16"/>
        </w:rPr>
        <w:t xml:space="preserve">, а также для </w:t>
      </w:r>
      <w:r w:rsidRPr="00121BAA">
        <w:rPr>
          <w:rFonts w:ascii="Tahoma" w:hAnsi="Tahoma" w:cs="Tahoma"/>
          <w:sz w:val="16"/>
          <w:szCs w:val="16"/>
        </w:rPr>
        <w:t>Заемщика, являющегося Зарплатным клиентом Банка (за исключением Кредитов, предоставляемых на цели приобретения у юридического лица или физического лица, в том числе индивидуального предпринимателя жилого дома с земельным участком, расположенного на территории монопрофильного муниципального образования (моногорода) в субъекте Российской Федерации, входящем в состав Дальневосточного федерального округа, или на сухопутных территориях Арктической зоны Российской Федерации):</w:t>
      </w:r>
    </w:p>
    <w:p w14:paraId="0485E565" w14:textId="77777777" w:rsidR="00951A61" w:rsidRPr="00121BAA" w:rsidRDefault="00951A61" w:rsidP="00951A61">
      <w:pPr>
        <w:pStyle w:val="aff1"/>
        <w:jc w:val="both"/>
        <w:rPr>
          <w:rFonts w:ascii="Tahoma" w:hAnsi="Tahoma" w:cs="Tahoma"/>
          <w:sz w:val="16"/>
          <w:szCs w:val="16"/>
        </w:rPr>
      </w:pPr>
      <w:r w:rsidRPr="00121BAA">
        <w:rPr>
          <w:rFonts w:ascii="Tahoma" w:hAnsi="Tahoma" w:cs="Tahoma"/>
          <w:sz w:val="16"/>
          <w:szCs w:val="16"/>
        </w:rPr>
        <w:t xml:space="preserve">- в случае нахождения Предмета ипотеки на территории обслуживания Банком в городе-столице региона/ районном центре, удаленность не более 30 км от населенного пункта, где располагается Подразделение Банка; </w:t>
      </w:r>
    </w:p>
    <w:p w14:paraId="1FBDF496" w14:textId="77777777" w:rsidR="00951A61" w:rsidRPr="00121BAA" w:rsidRDefault="00951A61" w:rsidP="00951A61">
      <w:pPr>
        <w:pStyle w:val="aff1"/>
        <w:jc w:val="both"/>
        <w:rPr>
          <w:rFonts w:ascii="Tahoma" w:hAnsi="Tahoma" w:cs="Tahoma"/>
          <w:sz w:val="16"/>
          <w:szCs w:val="16"/>
        </w:rPr>
      </w:pPr>
      <w:r w:rsidRPr="00121BAA">
        <w:rPr>
          <w:rFonts w:ascii="Tahoma" w:hAnsi="Tahoma" w:cs="Tahoma"/>
          <w:sz w:val="16"/>
          <w:szCs w:val="16"/>
        </w:rPr>
        <w:t xml:space="preserve">- в случае нахождения Предмета ипотеки на территории обслуживания Банком, в ином населенном пункте, не относящимся к городу-столице региона/ районному центру, удаленность не более 15 км от населенного пункта, где располагается Подразделение Банка.  </w:t>
      </w:r>
    </w:p>
  </w:footnote>
  <w:footnote w:id="109">
    <w:p w14:paraId="555CEE5D" w14:textId="77777777" w:rsidR="00951A61" w:rsidRPr="00121BAA" w:rsidRDefault="00951A61" w:rsidP="00951A61">
      <w:pPr>
        <w:pStyle w:val="aff1"/>
        <w:jc w:val="both"/>
        <w:rPr>
          <w:rFonts w:ascii="Tahoma" w:hAnsi="Tahoma" w:cs="Tahoma"/>
          <w:sz w:val="16"/>
          <w:szCs w:val="16"/>
        </w:rPr>
      </w:pPr>
      <w:r w:rsidRPr="00121BAA">
        <w:rPr>
          <w:rStyle w:val="aff3"/>
          <w:rFonts w:ascii="Tahoma" w:hAnsi="Tahoma" w:cs="Tahoma"/>
          <w:sz w:val="16"/>
          <w:szCs w:val="16"/>
        </w:rPr>
        <w:footnoteRef/>
      </w:r>
      <w:r w:rsidRPr="00121BAA">
        <w:rPr>
          <w:rFonts w:ascii="Tahoma" w:hAnsi="Tahoma" w:cs="Tahoma"/>
          <w:sz w:val="16"/>
          <w:szCs w:val="16"/>
        </w:rPr>
        <w:t xml:space="preserve"> Первоначальный взнос от 20,01% допустим для Заемщика с официально подтвержденным доходом</w:t>
      </w:r>
      <w:r>
        <w:rPr>
          <w:rFonts w:ascii="Tahoma" w:hAnsi="Tahoma" w:cs="Tahoma"/>
          <w:sz w:val="16"/>
          <w:szCs w:val="16"/>
        </w:rPr>
        <w:t>, а также для</w:t>
      </w:r>
      <w:r w:rsidRPr="00121BAA">
        <w:rPr>
          <w:rFonts w:ascii="Tahoma" w:hAnsi="Tahoma" w:cs="Tahoma"/>
          <w:sz w:val="16"/>
          <w:szCs w:val="16"/>
        </w:rPr>
        <w:t xml:space="preserve"> Заемщика, являющегося Зарплатным клиентом Банка:</w:t>
      </w:r>
    </w:p>
    <w:p w14:paraId="693157C0" w14:textId="77777777" w:rsidR="00951A61" w:rsidRPr="00121BAA" w:rsidRDefault="00951A61" w:rsidP="00951A61">
      <w:pPr>
        <w:pStyle w:val="aff1"/>
        <w:jc w:val="both"/>
        <w:rPr>
          <w:rFonts w:ascii="Tahoma" w:hAnsi="Tahoma" w:cs="Tahoma"/>
          <w:sz w:val="16"/>
          <w:szCs w:val="16"/>
        </w:rPr>
      </w:pPr>
      <w:r w:rsidRPr="00121BAA">
        <w:rPr>
          <w:rFonts w:ascii="Tahoma" w:hAnsi="Tahoma" w:cs="Tahoma"/>
          <w:sz w:val="16"/>
          <w:szCs w:val="16"/>
        </w:rPr>
        <w:t xml:space="preserve">- в случае нахождения Предмета ипотеки на территории обслуживания Банком в городе-столице региона/ районном центре, удаленность не более 30 км от населенного пункта, где располагается Подразделение Банка; </w:t>
      </w:r>
    </w:p>
    <w:p w14:paraId="25004528" w14:textId="77777777" w:rsidR="00951A61" w:rsidRPr="008B7EAD" w:rsidRDefault="00951A61" w:rsidP="00951A61">
      <w:pPr>
        <w:pStyle w:val="aff1"/>
        <w:jc w:val="both"/>
        <w:rPr>
          <w:rFonts w:ascii="Tahoma" w:hAnsi="Tahoma" w:cs="Tahoma"/>
          <w:sz w:val="16"/>
          <w:szCs w:val="16"/>
        </w:rPr>
      </w:pPr>
      <w:r w:rsidRPr="00121BAA">
        <w:rPr>
          <w:rFonts w:ascii="Tahoma" w:hAnsi="Tahoma" w:cs="Tahoma"/>
          <w:sz w:val="16"/>
          <w:szCs w:val="16"/>
        </w:rPr>
        <w:t>- в случае нахождения Предмета ипотеки на территории обслуживания Банком, в ином населенном пункте, не относящимся к городу-столице региона/ районному центру, удаленность не более 15 км от населенного пункта, где располагается Подразделение</w:t>
      </w:r>
      <w:r w:rsidRPr="00074A60">
        <w:rPr>
          <w:rFonts w:ascii="Tahoma" w:hAnsi="Tahoma" w:cs="Tahoma"/>
          <w:sz w:val="16"/>
          <w:szCs w:val="16"/>
        </w:rPr>
        <w:t xml:space="preserve"> Банка.</w:t>
      </w:r>
    </w:p>
  </w:footnote>
  <w:footnote w:id="110">
    <w:p w14:paraId="1669D24C" w14:textId="77777777" w:rsidR="00951A61" w:rsidRPr="00CE1BDB" w:rsidRDefault="00951A61" w:rsidP="00951A61">
      <w:pPr>
        <w:pStyle w:val="aff1"/>
        <w:jc w:val="both"/>
        <w:rPr>
          <w:rFonts w:ascii="Tahoma" w:hAnsi="Tahoma" w:cs="Tahoma"/>
        </w:rPr>
      </w:pPr>
      <w:r w:rsidRPr="008B7EAD">
        <w:rPr>
          <w:rStyle w:val="aff3"/>
          <w:rFonts w:ascii="Tahoma" w:hAnsi="Tahoma" w:cs="Tahoma"/>
        </w:rPr>
        <w:footnoteRef/>
      </w:r>
      <w:r w:rsidRPr="008B7EAD">
        <w:rPr>
          <w:rFonts w:ascii="Tahoma" w:hAnsi="Tahoma" w:cs="Tahoma"/>
        </w:rPr>
        <w:t xml:space="preserve"> Расчет ПСК произведен с использованием тарифов ООО «Мобильный оценщик» (ИНН 7842358640), действующих на 202</w:t>
      </w:r>
      <w:r w:rsidRPr="00CE1BDB">
        <w:rPr>
          <w:rFonts w:ascii="Tahoma" w:hAnsi="Tahoma" w:cs="Tahoma"/>
        </w:rPr>
        <w:t>4г. При обращении Заёмщика к иному оценщику полная стоимость кредита может отличаться от расчетной.</w:t>
      </w:r>
    </w:p>
  </w:footnote>
  <w:footnote w:id="111">
    <w:p w14:paraId="74B55B03" w14:textId="77777777" w:rsidR="00951A61" w:rsidRPr="00A86CBE" w:rsidRDefault="00951A61" w:rsidP="00951A61">
      <w:pPr>
        <w:pStyle w:val="aff1"/>
        <w:jc w:val="both"/>
        <w:rPr>
          <w:rFonts w:ascii="Tahoma" w:hAnsi="Tahoma" w:cs="Tahoma"/>
        </w:rPr>
      </w:pPr>
      <w:r w:rsidRPr="008B7EAD">
        <w:rPr>
          <w:rStyle w:val="aff3"/>
          <w:rFonts w:ascii="Tahoma" w:hAnsi="Tahoma" w:cs="Tahoma"/>
        </w:rPr>
        <w:footnoteRef/>
      </w:r>
      <w:r w:rsidRPr="008B7EAD">
        <w:rPr>
          <w:rFonts w:ascii="Tahoma" w:hAnsi="Tahoma" w:cs="Tahoma"/>
        </w:rPr>
        <w:t xml:space="preserve"> </w:t>
      </w:r>
      <w:r w:rsidRPr="00A86CBE">
        <w:rPr>
          <w:rFonts w:ascii="Tahoma" w:hAnsi="Tahoma" w:cs="Tahoma"/>
        </w:rPr>
        <w:t>Расчет ПСК произведен с использованием минимального тарифа AO «АльфаСтрахование» (ИНН 7713056834), действующего в 2024 г. В случае выбора Заемщиком иной страховой компании или применения AO «АльфаСтрахование» в расчетах иного страхового тарифа, полная стоимость кредита может отличаться от расчетной.</w:t>
      </w:r>
    </w:p>
  </w:footnote>
  <w:footnote w:id="112">
    <w:p w14:paraId="6C718523" w14:textId="77777777" w:rsidR="00951A61" w:rsidRDefault="00951A61" w:rsidP="00951A61">
      <w:pPr>
        <w:pStyle w:val="aff1"/>
      </w:pPr>
      <w:r w:rsidRPr="006D6406">
        <w:rPr>
          <w:rStyle w:val="aff3"/>
          <w:rFonts w:ascii="Tahoma" w:hAnsi="Tahoma" w:cs="Tahoma"/>
          <w:sz w:val="16"/>
          <w:szCs w:val="16"/>
        </w:rPr>
        <w:footnoteRef/>
      </w:r>
      <w:r w:rsidRPr="006D6406">
        <w:rPr>
          <w:rFonts w:ascii="Tahoma" w:hAnsi="Tahoma" w:cs="Tahoma"/>
          <w:sz w:val="16"/>
          <w:szCs w:val="16"/>
        </w:rPr>
        <w:t xml:space="preserve"> Такие объекты требуют дополнительного анализа со стороны Банка.</w:t>
      </w:r>
    </w:p>
  </w:footnote>
  <w:footnote w:id="113">
    <w:p w14:paraId="5A0D8414" w14:textId="77777777" w:rsidR="00951A61" w:rsidRPr="00CE1BDB" w:rsidRDefault="00951A61" w:rsidP="00951A61">
      <w:pPr>
        <w:pStyle w:val="aff1"/>
        <w:jc w:val="both"/>
      </w:pPr>
      <w:r w:rsidRPr="008B7EAD">
        <w:rPr>
          <w:rStyle w:val="aff3"/>
        </w:rPr>
        <w:footnoteRef/>
      </w:r>
      <w:r w:rsidRPr="008B7EAD">
        <w:t xml:space="preserve"> </w:t>
      </w:r>
      <w:r w:rsidRPr="00CE1BDB">
        <w:rPr>
          <w:rFonts w:ascii="Tahoma" w:hAnsi="Tahoma" w:cs="Tahoma"/>
          <w:sz w:val="16"/>
          <w:szCs w:val="16"/>
        </w:rPr>
        <w:t xml:space="preserve">Земельный участок может находится во владении Заемщика на праве аренды в соответствии с </w:t>
      </w:r>
      <w:r w:rsidRPr="00074A60">
        <w:rPr>
          <w:rFonts w:ascii="Tahoma" w:hAnsi="Tahoma" w:cs="Tahoma"/>
          <w:sz w:val="16"/>
          <w:szCs w:val="16"/>
        </w:rPr>
        <w:t>Федеральным законом от 01.05.2016 г. N 119-ФЗ</w:t>
      </w:r>
      <w:r w:rsidRPr="008B7EAD">
        <w:rPr>
          <w:rFonts w:ascii="Tahoma" w:hAnsi="Tahoma" w:cs="Tahoma"/>
          <w:sz w:val="16"/>
          <w:szCs w:val="16"/>
        </w:rPr>
        <w:t>.</w:t>
      </w:r>
    </w:p>
  </w:footnote>
  <w:footnote w:id="114">
    <w:p w14:paraId="5390D08D" w14:textId="77777777" w:rsidR="00951A61" w:rsidRPr="0089418D" w:rsidRDefault="00951A61" w:rsidP="00951A61">
      <w:pPr>
        <w:pStyle w:val="aff1"/>
        <w:jc w:val="both"/>
        <w:rPr>
          <w:rFonts w:ascii="Tahoma" w:hAnsi="Tahoma" w:cs="Tahoma"/>
          <w:sz w:val="16"/>
          <w:szCs w:val="16"/>
        </w:rPr>
      </w:pPr>
      <w:r w:rsidRPr="0089418D">
        <w:rPr>
          <w:rStyle w:val="aff3"/>
          <w:rFonts w:ascii="Tahoma" w:hAnsi="Tahoma" w:cs="Tahoma"/>
          <w:sz w:val="16"/>
          <w:szCs w:val="16"/>
        </w:rPr>
        <w:footnoteRef/>
      </w:r>
      <w:r w:rsidRPr="0089418D">
        <w:rPr>
          <w:rFonts w:ascii="Tahoma" w:hAnsi="Tahoma" w:cs="Tahoma"/>
          <w:sz w:val="16"/>
          <w:szCs w:val="16"/>
        </w:rPr>
        <w:t xml:space="preserve"> </w:t>
      </w:r>
      <w:r w:rsidRPr="00121BAA">
        <w:rPr>
          <w:rFonts w:ascii="Tahoma" w:hAnsi="Tahoma" w:cs="Tahoma"/>
          <w:sz w:val="16"/>
          <w:szCs w:val="16"/>
        </w:rPr>
        <w:t>Выписка из СФР может быть принята только для подтверждения одновременно и трудоустройства, и дохода Заемщика, если в ней отсутствует не более чем текущий и предыдущий квартал. Допустимо подтверждение трудоустройства выпиской СФР, при наличии выписки по зарплатному счету Клиента, если за период, который не отражается в выписке СФР, у Клиента изменился доход в большую сторону в соответствии с выпиской по зарплатному счету Заемщика.</w:t>
      </w:r>
    </w:p>
  </w:footnote>
  <w:footnote w:id="115">
    <w:p w14:paraId="759D9087" w14:textId="77777777" w:rsidR="00951A61" w:rsidRPr="00FD795E" w:rsidRDefault="00951A61" w:rsidP="00951A61">
      <w:pPr>
        <w:pStyle w:val="aff1"/>
        <w:jc w:val="both"/>
        <w:rPr>
          <w:rFonts w:ascii="Tahoma" w:hAnsi="Tahoma" w:cs="Tahoma"/>
          <w:sz w:val="16"/>
          <w:szCs w:val="16"/>
        </w:rPr>
      </w:pPr>
      <w:r w:rsidRPr="00FD795E">
        <w:rPr>
          <w:rStyle w:val="aff3"/>
          <w:rFonts w:ascii="Tahoma" w:hAnsi="Tahoma" w:cs="Tahoma"/>
          <w:sz w:val="16"/>
          <w:szCs w:val="16"/>
          <w:highlight w:val="lightGray"/>
        </w:rPr>
        <w:footnoteRef/>
      </w:r>
      <w:r w:rsidRPr="00FD795E">
        <w:rPr>
          <w:rFonts w:ascii="Tahoma" w:hAnsi="Tahoma" w:cs="Tahoma"/>
          <w:sz w:val="16"/>
          <w:szCs w:val="16"/>
          <w:highlight w:val="lightGray"/>
        </w:rPr>
        <w:t xml:space="preserve"> Необходимость предоставления документа уточняется работником Банка на этапе консультации</w:t>
      </w:r>
      <w:r>
        <w:rPr>
          <w:rFonts w:ascii="Tahoma" w:hAnsi="Tahoma" w:cs="Tahoma"/>
          <w:sz w:val="16"/>
          <w:szCs w:val="16"/>
          <w:highlight w:val="lightGray"/>
        </w:rPr>
        <w:t xml:space="preserve"> </w:t>
      </w:r>
      <w:r w:rsidRPr="00FD795E">
        <w:rPr>
          <w:rFonts w:ascii="Tahoma" w:hAnsi="Tahoma" w:cs="Tahoma"/>
          <w:sz w:val="16"/>
          <w:szCs w:val="16"/>
          <w:highlight w:val="lightGray"/>
        </w:rPr>
        <w:t>Заемщика.</w:t>
      </w:r>
    </w:p>
  </w:footnote>
  <w:footnote w:id="116">
    <w:p w14:paraId="38BE8D0B" w14:textId="77777777" w:rsidR="00951A61" w:rsidRPr="00CE1BDB" w:rsidRDefault="00951A61" w:rsidP="00951A61">
      <w:pPr>
        <w:pStyle w:val="aff1"/>
        <w:jc w:val="both"/>
        <w:rPr>
          <w:rFonts w:ascii="Tahoma" w:hAnsi="Tahoma" w:cs="Tahoma"/>
          <w:sz w:val="16"/>
          <w:szCs w:val="16"/>
        </w:rPr>
      </w:pPr>
      <w:r w:rsidRPr="008B7EAD">
        <w:rPr>
          <w:rStyle w:val="aff3"/>
          <w:rFonts w:ascii="Tahoma" w:hAnsi="Tahoma" w:cs="Tahoma"/>
          <w:sz w:val="16"/>
          <w:szCs w:val="16"/>
        </w:rPr>
        <w:footnoteRef/>
      </w:r>
      <w:r w:rsidRPr="008B7EAD">
        <w:rPr>
          <w:rFonts w:ascii="Tahoma" w:hAnsi="Tahoma" w:cs="Tahoma"/>
          <w:sz w:val="16"/>
          <w:szCs w:val="16"/>
        </w:rPr>
        <w:t xml:space="preserve"> Оценка стоимости предмета ипотека должна быть произведена и отчет об оценке должны быть заказаны Заемщиком (Залогодателем) у любого аккредитованного Банком оценщика, удовлетворяющего критериям отбора оценочных организаций, размещенным на сайте Банка в разделе «Уведомления»:</w:t>
      </w:r>
      <w:r w:rsidRPr="00CE1BDB">
        <w:t xml:space="preserve"> </w:t>
      </w:r>
      <w:r w:rsidRPr="00CE1BDB">
        <w:rPr>
          <w:rFonts w:ascii="Tahoma" w:hAnsi="Tahoma" w:cs="Tahoma"/>
          <w:sz w:val="16"/>
          <w:szCs w:val="16"/>
        </w:rPr>
        <w:t>https://www.atb.su/general-information/prochee/.</w:t>
      </w:r>
    </w:p>
  </w:footnote>
  <w:footnote w:id="117">
    <w:p w14:paraId="0135BE89" w14:textId="77777777" w:rsidR="00951A61" w:rsidRPr="00852B29" w:rsidRDefault="00951A61" w:rsidP="00951A61">
      <w:pPr>
        <w:pStyle w:val="aff1"/>
        <w:rPr>
          <w:rFonts w:ascii="Tahoma" w:hAnsi="Tahoma" w:cs="Tahoma"/>
          <w:sz w:val="16"/>
          <w:szCs w:val="16"/>
        </w:rPr>
      </w:pPr>
      <w:r w:rsidRPr="008B7EAD">
        <w:rPr>
          <w:rStyle w:val="aff3"/>
          <w:rFonts w:ascii="Tahoma" w:hAnsi="Tahoma" w:cs="Tahoma"/>
          <w:sz w:val="16"/>
          <w:szCs w:val="16"/>
        </w:rPr>
        <w:footnoteRef/>
      </w:r>
      <w:r w:rsidRPr="008B7EAD">
        <w:rPr>
          <w:rFonts w:ascii="Tahoma" w:hAnsi="Tahoma" w:cs="Tahoma"/>
          <w:sz w:val="16"/>
          <w:szCs w:val="16"/>
        </w:rPr>
        <w:t xml:space="preserve"> За исключением случаев, предусмотренных законодательством РФ.</w:t>
      </w:r>
    </w:p>
  </w:footnote>
  <w:footnote w:id="118">
    <w:p w14:paraId="05DB3197" w14:textId="77777777" w:rsidR="00951A61" w:rsidRPr="009C4568" w:rsidRDefault="00951A61" w:rsidP="00951A61">
      <w:pPr>
        <w:pStyle w:val="aff1"/>
        <w:jc w:val="both"/>
        <w:rPr>
          <w:rFonts w:ascii="Tahoma" w:hAnsi="Tahoma" w:cs="Tahoma"/>
          <w:sz w:val="16"/>
          <w:szCs w:val="16"/>
        </w:rPr>
      </w:pPr>
      <w:r w:rsidRPr="009C4568">
        <w:rPr>
          <w:rStyle w:val="aff3"/>
          <w:rFonts w:ascii="Tahoma" w:hAnsi="Tahoma" w:cs="Tahoma"/>
          <w:sz w:val="16"/>
          <w:szCs w:val="16"/>
        </w:rPr>
        <w:footnoteRef/>
      </w:r>
      <w:r w:rsidRPr="009C4568">
        <w:rPr>
          <w:rFonts w:ascii="Tahoma" w:hAnsi="Tahoma" w:cs="Tahoma"/>
          <w:sz w:val="16"/>
          <w:szCs w:val="16"/>
        </w:rPr>
        <w:t xml:space="preserve"> ВАЖНО! На момент подачи заявления в Банк с целью рефинансирования кредита в рамках продукта «Семейная ипотека» право собственности на кредитуемый Объект недвижимости должно быть зарегистрировано.</w:t>
      </w:r>
    </w:p>
  </w:footnote>
  <w:footnote w:id="119">
    <w:p w14:paraId="450A1A97" w14:textId="77777777" w:rsidR="00951A61" w:rsidRPr="000F1506" w:rsidRDefault="00951A61" w:rsidP="00951A61">
      <w:pPr>
        <w:pStyle w:val="aff1"/>
        <w:jc w:val="both"/>
        <w:rPr>
          <w:rFonts w:ascii="Tahoma" w:hAnsi="Tahoma" w:cs="Tahoma"/>
          <w:sz w:val="16"/>
          <w:szCs w:val="16"/>
        </w:rPr>
      </w:pPr>
      <w:r w:rsidRPr="009C4568">
        <w:rPr>
          <w:rStyle w:val="aff3"/>
          <w:rFonts w:ascii="Tahoma" w:hAnsi="Tahoma" w:cs="Tahoma"/>
          <w:sz w:val="16"/>
          <w:szCs w:val="16"/>
        </w:rPr>
        <w:footnoteRef/>
      </w:r>
      <w:r w:rsidRPr="009C4568">
        <w:rPr>
          <w:rFonts w:ascii="Tahoma" w:hAnsi="Tahoma" w:cs="Tahoma"/>
          <w:sz w:val="16"/>
          <w:szCs w:val="16"/>
        </w:rPr>
        <w:t xml:space="preserve"> ВАЖНО! На момент подачи заявления в Банк с целью рефинансирования кредита в рамках продукта «Семейная ипотека» право собственности на кредитуемый Объект недвижимости должно быть зарегистрировано.</w:t>
      </w:r>
    </w:p>
  </w:footnote>
  <w:footnote w:id="120">
    <w:p w14:paraId="2FAAE2B0" w14:textId="77777777" w:rsidR="00951A61" w:rsidRPr="00DE52F1" w:rsidRDefault="00951A61" w:rsidP="00951A61">
      <w:pPr>
        <w:pStyle w:val="aff1"/>
        <w:jc w:val="both"/>
        <w:rPr>
          <w:rFonts w:ascii="Tahoma" w:hAnsi="Tahoma" w:cs="Tahoma"/>
          <w:sz w:val="16"/>
          <w:szCs w:val="16"/>
        </w:rPr>
      </w:pPr>
      <w:r w:rsidRPr="009C4568">
        <w:rPr>
          <w:rStyle w:val="aff3"/>
          <w:rFonts w:ascii="Tahoma" w:hAnsi="Tahoma" w:cs="Tahoma"/>
          <w:sz w:val="16"/>
          <w:szCs w:val="16"/>
        </w:rPr>
        <w:footnoteRef/>
      </w:r>
      <w:r w:rsidRPr="009C4568">
        <w:rPr>
          <w:rFonts w:ascii="Tahoma" w:hAnsi="Tahoma" w:cs="Tahoma"/>
          <w:sz w:val="16"/>
          <w:szCs w:val="16"/>
        </w:rPr>
        <w:t xml:space="preserve"> ВАЖНО! На момент подачи заявления в Банк с целью рефинансирования кредита в рамках продукта «Семейная ипотека» право собственности на кредитуемый Объект недвижимости должно быть зарегистрировано.</w:t>
      </w:r>
    </w:p>
  </w:footnote>
  <w:footnote w:id="121">
    <w:p w14:paraId="49C74DA2" w14:textId="77777777" w:rsidR="00951A61" w:rsidRPr="0068696D" w:rsidRDefault="00951A61" w:rsidP="00951A61">
      <w:pPr>
        <w:pStyle w:val="aff1"/>
        <w:jc w:val="both"/>
        <w:rPr>
          <w:rFonts w:ascii="Tahoma" w:hAnsi="Tahoma" w:cs="Tahoma"/>
          <w:sz w:val="16"/>
          <w:szCs w:val="16"/>
        </w:rPr>
      </w:pPr>
      <w:r w:rsidRPr="0068696D">
        <w:rPr>
          <w:rStyle w:val="aff3"/>
          <w:rFonts w:ascii="Tahoma" w:hAnsi="Tahoma" w:cs="Tahoma"/>
          <w:sz w:val="16"/>
          <w:szCs w:val="16"/>
        </w:rPr>
        <w:footnoteRef/>
      </w:r>
      <w:r w:rsidRPr="0068696D">
        <w:rPr>
          <w:rFonts w:ascii="Tahoma" w:hAnsi="Tahoma" w:cs="Tahoma"/>
          <w:sz w:val="16"/>
          <w:szCs w:val="16"/>
        </w:rPr>
        <w:t xml:space="preserve"> Сезонный вид деятельности – вид деятельности, который претерпевает сезонные колебания, оказывающие существенное влияние на стабильность деятельности (сезонные колебания в деятельности выражаются в повышении или понижении уровня экономической активности, масштабов экономической деятельности вследствие сезонности спроса на вид деятельности).</w:t>
      </w:r>
    </w:p>
  </w:footnote>
  <w:footnote w:id="122">
    <w:p w14:paraId="7DFA1591" w14:textId="77777777" w:rsidR="00951A61" w:rsidRPr="005350B3" w:rsidRDefault="00951A61" w:rsidP="00951A61">
      <w:pPr>
        <w:pStyle w:val="aff1"/>
        <w:jc w:val="both"/>
      </w:pPr>
      <w:r w:rsidRPr="0068696D">
        <w:rPr>
          <w:rStyle w:val="aff3"/>
          <w:rFonts w:ascii="Tahoma" w:hAnsi="Tahoma" w:cs="Tahoma"/>
        </w:rPr>
        <w:footnoteRef/>
      </w:r>
      <w:r w:rsidRPr="0068696D">
        <w:rPr>
          <w:rFonts w:ascii="Tahoma" w:hAnsi="Tahoma" w:cs="Tahoma"/>
        </w:rPr>
        <w:t xml:space="preserve"> Расчет минимального значения ПСК произведен</w:t>
      </w:r>
      <w:r>
        <w:rPr>
          <w:rFonts w:ascii="Tahoma" w:hAnsi="Tahoma" w:cs="Tahoma"/>
        </w:rPr>
        <w:t xml:space="preserve"> по </w:t>
      </w:r>
      <w:r w:rsidRPr="005350B3">
        <w:rPr>
          <w:rFonts w:ascii="Tahoma" w:hAnsi="Tahoma" w:cs="Tahoma"/>
        </w:rPr>
        <w:t>состоянию на 29.10.2024 г. с использованием параметров: минимальная сумма Кредита (500 000,00 рублей), минимальный срок (36 мес.), минимальная ставка (6,00% годовых), тариф за оказание услуг по подготовке отчета об оценке ООО «Мобильный оценщик» (ИНН 7842358640), действующий на 2024г. (1 800,00 рублей), средний тариф AO «АльфаСтрахование» (ИНН 7713056834), действующий в 2024 г. по имущественному страхованию (0,10% от остатка задолженности, увеличенной на 10%), 3 000,00 руб. - за перевод денежных средств без открытия счета и со счета физического лица (ТБС) в пользу физических и юридических лиц в другие банки в соответствии с тарифами Банка. В случае применения в расчетах ПСК иных параметров Кредита, а также в случае выбора Заемщиком иной страховой компании или применения AO «АльфаСтрахование» в расчетах иного страхового тарифа, иных платежей Заемщика, указанных в частях 3 и 4 статьи 6 Федерального закона от 21.12.2013 № 353-ФЗ «О потребительском кредите (займе)», полная стоимость кредита может отличаться от расчетной.</w:t>
      </w:r>
    </w:p>
  </w:footnote>
  <w:footnote w:id="123">
    <w:p w14:paraId="7E1A5415" w14:textId="77777777" w:rsidR="00951A61" w:rsidRPr="0068696D" w:rsidRDefault="00951A61" w:rsidP="00951A61">
      <w:pPr>
        <w:pStyle w:val="aff1"/>
        <w:jc w:val="both"/>
      </w:pPr>
      <w:r w:rsidRPr="005350B3">
        <w:rPr>
          <w:rStyle w:val="aff3"/>
          <w:rFonts w:ascii="Tahoma" w:hAnsi="Tahoma" w:cs="Tahoma"/>
        </w:rPr>
        <w:footnoteRef/>
      </w:r>
      <w:r w:rsidRPr="005350B3">
        <w:rPr>
          <w:rFonts w:ascii="Tahoma" w:hAnsi="Tahoma" w:cs="Tahoma"/>
        </w:rPr>
        <w:t xml:space="preserve"> Расчет максимального значения ПСК произведен по состоянию на 29.10.2024 г. с использованием параметров: максимальная сумма Кредита (12 000 000,00 рублей), максимальный срок (360 мес.), максимальная ставка (ставка 23,00% годовых складывается из размера ключевой ставки ЦБ РФ, увеличенной на 2,00 процентных пункта), тариф за оказание услуг по подготовке отчета об оценке ООО «Мобильный оценщик» (ИНН 7842358640), действующий на 2024г. (1 800,00 рублей), средний тариф AO «АльфаСтрахование» (ИНН 7713056834), действующий в 2024 г. по личному и имущественному страхованию (0,72% от остатка задолженности, увеличенной на 10%), 10 000,00 руб. - за открытие и исполнение аккредитива в Банке в соответствии с тарифами Банка. В случае применения в расчетах ПСК иных параметров Кредита, а также в случае выбора Заемщиком иной страховой компании или применения</w:t>
      </w:r>
      <w:r w:rsidRPr="00C208F3">
        <w:rPr>
          <w:rFonts w:ascii="Tahoma" w:hAnsi="Tahoma" w:cs="Tahoma"/>
        </w:rPr>
        <w:t xml:space="preserve"> AO «АльфаСтрахование» в расчетах иного страхового тарифа, иных платежей Заемщика, указанных в частях 3 и 4 статьи 6 Федерального закона от 21.12.2013 № 353-ФЗ «О потребительском кредите (займе)», полная стоимость кредита может отличаться от расчетной.</w:t>
      </w:r>
    </w:p>
  </w:footnote>
  <w:footnote w:id="124">
    <w:p w14:paraId="5318A5EF" w14:textId="77777777" w:rsidR="00951A61" w:rsidRPr="0068696D" w:rsidRDefault="00951A61" w:rsidP="00951A61">
      <w:pPr>
        <w:pStyle w:val="aff1"/>
        <w:jc w:val="both"/>
        <w:rPr>
          <w:rFonts w:ascii="Tahoma" w:hAnsi="Tahoma" w:cs="Tahoma"/>
          <w:sz w:val="16"/>
          <w:szCs w:val="16"/>
        </w:rPr>
      </w:pPr>
      <w:r w:rsidRPr="0068696D">
        <w:rPr>
          <w:rStyle w:val="aff3"/>
          <w:rFonts w:ascii="Tahoma" w:hAnsi="Tahoma" w:cs="Tahoma"/>
          <w:sz w:val="16"/>
          <w:szCs w:val="16"/>
        </w:rPr>
        <w:footnoteRef/>
      </w:r>
      <w:r w:rsidRPr="0068696D">
        <w:rPr>
          <w:rFonts w:ascii="Tahoma" w:hAnsi="Tahoma" w:cs="Tahoma"/>
          <w:sz w:val="16"/>
          <w:szCs w:val="16"/>
        </w:rPr>
        <w:t xml:space="preserve"> Выгодоприобретателем в размере задолженности Заемщика по Кредитному договору выступает Банк, за исключением случаев, когда Банк является страховым агентом при заключении договора Личного страхования.</w:t>
      </w:r>
    </w:p>
  </w:footnote>
  <w:footnote w:id="125">
    <w:p w14:paraId="73A2A8D9" w14:textId="77777777" w:rsidR="00951A61" w:rsidRPr="0068696D" w:rsidRDefault="00951A61" w:rsidP="00951A61">
      <w:pPr>
        <w:pStyle w:val="aff1"/>
        <w:jc w:val="both"/>
        <w:rPr>
          <w:rFonts w:ascii="Tahoma" w:hAnsi="Tahoma" w:cs="Tahoma"/>
          <w:sz w:val="16"/>
          <w:szCs w:val="16"/>
        </w:rPr>
      </w:pPr>
      <w:r w:rsidRPr="0068696D">
        <w:rPr>
          <w:rStyle w:val="aff3"/>
          <w:rFonts w:ascii="Tahoma" w:hAnsi="Tahoma" w:cs="Tahoma"/>
          <w:sz w:val="16"/>
          <w:szCs w:val="16"/>
        </w:rPr>
        <w:footnoteRef/>
      </w:r>
      <w:r w:rsidRPr="0068696D">
        <w:rPr>
          <w:rFonts w:ascii="Tahoma" w:hAnsi="Tahoma" w:cs="Tahoma"/>
          <w:sz w:val="16"/>
          <w:szCs w:val="16"/>
        </w:rPr>
        <w:t xml:space="preserve"> Оформление указанного вида страхования не применимо для лиц с инвалидностью (при условии предоставления справки, подтверждающей факт установления инвалидности с указанием группы инвалидности), столкнувшихся с затруднениями в получении соответствующих страховых услуг (рекомендуется предоставить Банку подтверждающие данный факт документы (ответы) от страховых компаний). </w:t>
      </w:r>
    </w:p>
  </w:footnote>
  <w:footnote w:id="126">
    <w:p w14:paraId="423483AB" w14:textId="77777777" w:rsidR="00951A61" w:rsidRPr="00F71473" w:rsidRDefault="00951A61" w:rsidP="00951A61">
      <w:pPr>
        <w:pStyle w:val="aff1"/>
        <w:jc w:val="both"/>
        <w:rPr>
          <w:rFonts w:ascii="Tahoma" w:hAnsi="Tahoma" w:cs="Tahoma"/>
          <w:sz w:val="16"/>
          <w:szCs w:val="16"/>
        </w:rPr>
      </w:pPr>
      <w:r w:rsidRPr="00F71473">
        <w:rPr>
          <w:rStyle w:val="aff3"/>
          <w:rFonts w:ascii="Tahoma" w:hAnsi="Tahoma" w:cs="Tahoma"/>
          <w:sz w:val="16"/>
          <w:szCs w:val="16"/>
        </w:rPr>
        <w:footnoteRef/>
      </w:r>
      <w:r w:rsidRPr="00F71473">
        <w:rPr>
          <w:rFonts w:ascii="Tahoma" w:hAnsi="Tahoma" w:cs="Tahoma"/>
          <w:sz w:val="16"/>
          <w:szCs w:val="16"/>
        </w:rPr>
        <w:t xml:space="preserve"> Не относится, если цель кредита – рефинансирование ипотечного кредита.</w:t>
      </w:r>
    </w:p>
  </w:footnote>
  <w:footnote w:id="127">
    <w:p w14:paraId="73AC1441" w14:textId="77777777" w:rsidR="00951A61" w:rsidRPr="0068696D" w:rsidRDefault="00951A61" w:rsidP="00951A61">
      <w:pPr>
        <w:pStyle w:val="aff1"/>
        <w:jc w:val="both"/>
        <w:rPr>
          <w:rFonts w:ascii="Tahoma" w:hAnsi="Tahoma" w:cs="Tahoma"/>
        </w:rPr>
      </w:pPr>
      <w:r w:rsidRPr="0068696D">
        <w:rPr>
          <w:rStyle w:val="aff3"/>
          <w:rFonts w:ascii="Tahoma" w:hAnsi="Tahoma" w:cs="Tahoma"/>
        </w:rPr>
        <w:footnoteRef/>
      </w:r>
      <w:r w:rsidRPr="0068696D">
        <w:rPr>
          <w:rFonts w:ascii="Tahoma" w:hAnsi="Tahoma" w:cs="Tahoma"/>
        </w:rPr>
        <w:t xml:space="preserve"> Расчет ПСК произведен с использованием тарифов ООО «Мобильный оценщик» (ИНН 7842358640), действующих на 202</w:t>
      </w:r>
      <w:r>
        <w:rPr>
          <w:rFonts w:ascii="Tahoma" w:hAnsi="Tahoma" w:cs="Tahoma"/>
        </w:rPr>
        <w:t>4</w:t>
      </w:r>
      <w:r w:rsidRPr="0068696D">
        <w:rPr>
          <w:rFonts w:ascii="Tahoma" w:hAnsi="Tahoma" w:cs="Tahoma"/>
        </w:rPr>
        <w:t>г. При обращении Заёмщика к иному оценщику полная стоимость кредита может отличаться от расчетной.</w:t>
      </w:r>
    </w:p>
  </w:footnote>
  <w:footnote w:id="128">
    <w:p w14:paraId="2B91F95A" w14:textId="77777777" w:rsidR="00951A61" w:rsidRPr="0068696D" w:rsidRDefault="00951A61" w:rsidP="00951A61">
      <w:pPr>
        <w:pStyle w:val="aff1"/>
        <w:jc w:val="both"/>
        <w:rPr>
          <w:rFonts w:ascii="Tahoma" w:hAnsi="Tahoma" w:cs="Tahoma"/>
        </w:rPr>
      </w:pPr>
      <w:r w:rsidRPr="0068696D">
        <w:rPr>
          <w:rStyle w:val="aff3"/>
          <w:rFonts w:ascii="Tahoma" w:hAnsi="Tahoma" w:cs="Tahoma"/>
        </w:rPr>
        <w:footnoteRef/>
      </w:r>
      <w:r w:rsidRPr="0068696D">
        <w:rPr>
          <w:rFonts w:ascii="Tahoma" w:hAnsi="Tahoma" w:cs="Tahoma"/>
        </w:rPr>
        <w:t xml:space="preserve"> Расчет ПСК произведен с использованием минимального тарифа AO «АльфаСтрахование» (ИНН 7713056834), действующего в 202</w:t>
      </w:r>
      <w:r>
        <w:rPr>
          <w:rFonts w:ascii="Tahoma" w:hAnsi="Tahoma" w:cs="Tahoma"/>
        </w:rPr>
        <w:t>4</w:t>
      </w:r>
      <w:r w:rsidRPr="0068696D">
        <w:rPr>
          <w:rFonts w:ascii="Tahoma" w:hAnsi="Tahoma" w:cs="Tahoma"/>
        </w:rPr>
        <w:t xml:space="preserve"> г. В случае выбора Заемщиком иной страховой компании или применения AO «АльфаСтрахование» в расчетах иного страхового тарифа, полная стоимость кредита может отличаться от расчетной.</w:t>
      </w:r>
    </w:p>
  </w:footnote>
  <w:footnote w:id="129">
    <w:p w14:paraId="1A17AF5D" w14:textId="77777777" w:rsidR="00951A61" w:rsidRDefault="00951A61" w:rsidP="00951A61">
      <w:pPr>
        <w:pStyle w:val="aff1"/>
      </w:pPr>
      <w:r w:rsidRPr="005D5BA6">
        <w:rPr>
          <w:rStyle w:val="aff3"/>
          <w:rFonts w:ascii="Tahoma" w:hAnsi="Tahoma" w:cs="Tahoma"/>
          <w:sz w:val="16"/>
          <w:szCs w:val="16"/>
        </w:rPr>
        <w:footnoteRef/>
      </w:r>
      <w:r w:rsidRPr="005D5BA6">
        <w:rPr>
          <w:rFonts w:ascii="Tahoma" w:hAnsi="Tahoma" w:cs="Tahoma"/>
          <w:sz w:val="16"/>
          <w:szCs w:val="16"/>
        </w:rPr>
        <w:t xml:space="preserve"> Такие объекты требуют дополнительного анализа со стороны Банка.</w:t>
      </w:r>
    </w:p>
  </w:footnote>
  <w:footnote w:id="130">
    <w:p w14:paraId="19AF4912" w14:textId="77777777" w:rsidR="00951A61" w:rsidRPr="0068696D" w:rsidRDefault="00951A61" w:rsidP="00951A61">
      <w:pPr>
        <w:pStyle w:val="aff1"/>
        <w:jc w:val="both"/>
        <w:rPr>
          <w:rFonts w:ascii="Tahoma" w:hAnsi="Tahoma" w:cs="Tahoma"/>
          <w:sz w:val="16"/>
          <w:szCs w:val="16"/>
        </w:rPr>
      </w:pPr>
      <w:r w:rsidRPr="0068696D">
        <w:rPr>
          <w:rStyle w:val="aff3"/>
          <w:rFonts w:ascii="Tahoma" w:hAnsi="Tahoma" w:cs="Tahoma"/>
          <w:sz w:val="16"/>
          <w:szCs w:val="16"/>
        </w:rPr>
        <w:footnoteRef/>
      </w:r>
      <w:r w:rsidRPr="0068696D">
        <w:rPr>
          <w:rFonts w:ascii="Tahoma" w:hAnsi="Tahoma" w:cs="Tahoma"/>
          <w:sz w:val="16"/>
          <w:szCs w:val="16"/>
        </w:rPr>
        <w:t xml:space="preserve"> При этом в качестве автономных систем жизнеобеспечения </w:t>
      </w:r>
      <w:r w:rsidRPr="0068696D">
        <w:rPr>
          <w:rFonts w:ascii="Tahoma" w:hAnsi="Tahoma" w:cs="Tahoma"/>
          <w:sz w:val="16"/>
          <w:szCs w:val="16"/>
          <w:u w:val="single"/>
        </w:rPr>
        <w:t>не допускаются</w:t>
      </w:r>
      <w:r w:rsidRPr="0068696D">
        <w:rPr>
          <w:rFonts w:ascii="Tahoma" w:hAnsi="Tahoma" w:cs="Tahoma"/>
          <w:sz w:val="16"/>
          <w:szCs w:val="16"/>
        </w:rPr>
        <w:t xml:space="preserve"> печное отопление, обеспечение водой с использованием коллективных или индивидуальных скважин, не оборудованных автоматизированной системой подачи воды.</w:t>
      </w:r>
    </w:p>
  </w:footnote>
  <w:footnote w:id="131">
    <w:p w14:paraId="7492F98C" w14:textId="77777777" w:rsidR="00951A61" w:rsidRPr="00F71473" w:rsidRDefault="00951A61" w:rsidP="00951A61">
      <w:pPr>
        <w:pStyle w:val="aff1"/>
      </w:pPr>
      <w:r w:rsidRPr="0068696D">
        <w:rPr>
          <w:rStyle w:val="aff3"/>
        </w:rPr>
        <w:footnoteRef/>
      </w:r>
      <w:r w:rsidRPr="0068696D">
        <w:t xml:space="preserve"> </w:t>
      </w:r>
      <w:r w:rsidRPr="00F71473">
        <w:rPr>
          <w:rFonts w:ascii="Tahoma" w:hAnsi="Tahoma" w:cs="Tahoma"/>
          <w:sz w:val="16"/>
          <w:szCs w:val="16"/>
        </w:rPr>
        <w:t>Для категорий заемщиков, указанных в пп. 1.3.</w:t>
      </w:r>
      <w:r>
        <w:rPr>
          <w:rFonts w:ascii="Tahoma" w:hAnsi="Tahoma" w:cs="Tahoma"/>
          <w:sz w:val="16"/>
          <w:szCs w:val="16"/>
        </w:rPr>
        <w:t xml:space="preserve"> </w:t>
      </w:r>
      <w:r w:rsidRPr="00F71473">
        <w:rPr>
          <w:rFonts w:ascii="Tahoma" w:hAnsi="Tahoma" w:cs="Tahoma"/>
          <w:sz w:val="16"/>
          <w:szCs w:val="16"/>
        </w:rPr>
        <w:t>раздела «Категория Заемщика/Требования к Заемщику, либо к солидарным Заемщикам (к одному из солидарных Заемщиков)».</w:t>
      </w:r>
    </w:p>
  </w:footnote>
  <w:footnote w:id="132">
    <w:p w14:paraId="457C7109" w14:textId="77777777" w:rsidR="00951A61" w:rsidRPr="0089418D" w:rsidRDefault="00951A61" w:rsidP="00951A61">
      <w:pPr>
        <w:pStyle w:val="aff1"/>
        <w:jc w:val="both"/>
        <w:rPr>
          <w:rFonts w:ascii="Tahoma" w:hAnsi="Tahoma" w:cs="Tahoma"/>
          <w:sz w:val="16"/>
          <w:szCs w:val="16"/>
        </w:rPr>
      </w:pPr>
      <w:r w:rsidRPr="00F71473">
        <w:rPr>
          <w:rStyle w:val="aff3"/>
          <w:rFonts w:ascii="Tahoma" w:hAnsi="Tahoma" w:cs="Tahoma"/>
          <w:sz w:val="16"/>
          <w:szCs w:val="16"/>
        </w:rPr>
        <w:footnoteRef/>
      </w:r>
      <w:r w:rsidRPr="00F71473">
        <w:rPr>
          <w:rFonts w:ascii="Tahoma" w:hAnsi="Tahoma" w:cs="Tahoma"/>
          <w:sz w:val="16"/>
          <w:szCs w:val="16"/>
        </w:rPr>
        <w:t xml:space="preserve"> Выписка из СФР может быть принята только для подтверждения одновременно и трудоустройства, и дохода Заемщика, если в ней отсутствует не более чем текущий и предыдущий квартал. Допустимо подтверждение трудоустройства выпиской СФР, при наличии выписки по зарплатному счету Клиента, если за период, который не отражается в выписке СФР, у Клиента изменился доход в большую сторону в соответствии с выпиской по зарплатному счету Заемщика.</w:t>
      </w:r>
    </w:p>
  </w:footnote>
  <w:footnote w:id="133">
    <w:p w14:paraId="520945CD" w14:textId="77777777" w:rsidR="00951A61" w:rsidRPr="00FD795E" w:rsidRDefault="00951A61" w:rsidP="00951A61">
      <w:pPr>
        <w:pStyle w:val="aff1"/>
        <w:jc w:val="both"/>
        <w:rPr>
          <w:rFonts w:ascii="Tahoma" w:hAnsi="Tahoma" w:cs="Tahoma"/>
          <w:sz w:val="16"/>
          <w:szCs w:val="16"/>
        </w:rPr>
      </w:pPr>
      <w:r w:rsidRPr="00FD795E">
        <w:rPr>
          <w:rStyle w:val="aff3"/>
          <w:rFonts w:ascii="Tahoma" w:hAnsi="Tahoma" w:cs="Tahoma"/>
          <w:sz w:val="16"/>
          <w:szCs w:val="16"/>
          <w:highlight w:val="lightGray"/>
        </w:rPr>
        <w:footnoteRef/>
      </w:r>
      <w:r w:rsidRPr="00FD795E">
        <w:rPr>
          <w:rFonts w:ascii="Tahoma" w:hAnsi="Tahoma" w:cs="Tahoma"/>
          <w:sz w:val="16"/>
          <w:szCs w:val="16"/>
          <w:highlight w:val="lightGray"/>
        </w:rPr>
        <w:t xml:space="preserve"> Необходимость предоставления документа уточняется работником Банка на этапе консультации</w:t>
      </w:r>
      <w:r>
        <w:rPr>
          <w:rFonts w:ascii="Tahoma" w:hAnsi="Tahoma" w:cs="Tahoma"/>
          <w:sz w:val="16"/>
          <w:szCs w:val="16"/>
          <w:highlight w:val="lightGray"/>
        </w:rPr>
        <w:t xml:space="preserve"> </w:t>
      </w:r>
      <w:r w:rsidRPr="00FD795E">
        <w:rPr>
          <w:rFonts w:ascii="Tahoma" w:hAnsi="Tahoma" w:cs="Tahoma"/>
          <w:sz w:val="16"/>
          <w:szCs w:val="16"/>
          <w:highlight w:val="lightGray"/>
        </w:rPr>
        <w:t>Заемщика.</w:t>
      </w:r>
    </w:p>
  </w:footnote>
  <w:footnote w:id="134">
    <w:p w14:paraId="48C7BA04" w14:textId="77777777" w:rsidR="00951A61" w:rsidRPr="0068696D" w:rsidRDefault="00951A61" w:rsidP="00951A61">
      <w:pPr>
        <w:pStyle w:val="aff1"/>
        <w:jc w:val="both"/>
        <w:rPr>
          <w:rFonts w:ascii="Tahoma" w:hAnsi="Tahoma" w:cs="Tahoma"/>
          <w:sz w:val="16"/>
          <w:szCs w:val="16"/>
        </w:rPr>
      </w:pPr>
      <w:r w:rsidRPr="0068696D">
        <w:rPr>
          <w:rStyle w:val="aff3"/>
          <w:rFonts w:ascii="Tahoma" w:hAnsi="Tahoma" w:cs="Tahoma"/>
          <w:sz w:val="16"/>
          <w:szCs w:val="16"/>
        </w:rPr>
        <w:footnoteRef/>
      </w:r>
      <w:r w:rsidRPr="0068696D">
        <w:rPr>
          <w:rFonts w:ascii="Tahoma" w:hAnsi="Tahoma" w:cs="Tahoma"/>
          <w:sz w:val="16"/>
          <w:szCs w:val="16"/>
        </w:rPr>
        <w:t xml:space="preserve"> Оценка стоимости предмета ипотека должна быть произведена и отчет об оценке должны быть заказаны Заемщиком (Залогодателем) у любого аккредитованного Банком оценщика, удовлетворяющего критериям отбора оценочных организаций, размещенным на сайте Банка в разделе «Уведомления»: https://www.atb.su/general-information/prochee/.</w:t>
      </w:r>
    </w:p>
  </w:footnote>
  <w:footnote w:id="135">
    <w:p w14:paraId="3137FE8D" w14:textId="77777777" w:rsidR="00951A61" w:rsidRPr="0068696D" w:rsidRDefault="00951A61" w:rsidP="00951A61">
      <w:pPr>
        <w:pStyle w:val="aff1"/>
        <w:rPr>
          <w:rFonts w:ascii="Tahoma" w:hAnsi="Tahoma" w:cs="Tahoma"/>
          <w:sz w:val="16"/>
          <w:szCs w:val="16"/>
        </w:rPr>
      </w:pPr>
      <w:r w:rsidRPr="0068696D">
        <w:rPr>
          <w:rStyle w:val="aff3"/>
          <w:rFonts w:ascii="Tahoma" w:hAnsi="Tahoma" w:cs="Tahoma"/>
          <w:sz w:val="16"/>
          <w:szCs w:val="16"/>
        </w:rPr>
        <w:footnoteRef/>
      </w:r>
      <w:r w:rsidRPr="0068696D">
        <w:rPr>
          <w:rFonts w:ascii="Tahoma" w:hAnsi="Tahoma" w:cs="Tahoma"/>
          <w:sz w:val="16"/>
          <w:szCs w:val="16"/>
        </w:rPr>
        <w:t xml:space="preserve"> Не менее 3 (трех) ежемесячных платежей для Заемщика, являющегося работником Банка.</w:t>
      </w:r>
    </w:p>
  </w:footnote>
  <w:footnote w:id="136">
    <w:p w14:paraId="4C2D2B8F" w14:textId="77777777" w:rsidR="00951A61" w:rsidRPr="0068696D" w:rsidRDefault="00951A61" w:rsidP="00951A61">
      <w:pPr>
        <w:pStyle w:val="aff1"/>
      </w:pPr>
      <w:r w:rsidRPr="0068696D">
        <w:rPr>
          <w:rStyle w:val="aff3"/>
          <w:rFonts w:ascii="Tahoma" w:hAnsi="Tahoma" w:cs="Tahoma"/>
          <w:sz w:val="16"/>
          <w:szCs w:val="16"/>
        </w:rPr>
        <w:footnoteRef/>
      </w:r>
      <w:r w:rsidRPr="0068696D">
        <w:rPr>
          <w:rFonts w:ascii="Tahoma" w:hAnsi="Tahoma" w:cs="Tahoma"/>
          <w:sz w:val="16"/>
          <w:szCs w:val="16"/>
        </w:rPr>
        <w:t xml:space="preserve"> Данное требование не является обязательным в случае рефинансирования ипотечного кредита, оформленного в Банке.</w:t>
      </w:r>
    </w:p>
  </w:footnote>
  <w:footnote w:id="137">
    <w:p w14:paraId="7BECD999" w14:textId="77777777" w:rsidR="00951A61" w:rsidRDefault="00951A61" w:rsidP="00951A61">
      <w:pPr>
        <w:pStyle w:val="aff1"/>
      </w:pPr>
      <w:r w:rsidRPr="0068696D">
        <w:rPr>
          <w:rStyle w:val="aff3"/>
          <w:rFonts w:ascii="Tahoma" w:hAnsi="Tahoma" w:cs="Tahoma"/>
          <w:sz w:val="16"/>
          <w:szCs w:val="16"/>
        </w:rPr>
        <w:footnoteRef/>
      </w:r>
      <w:r w:rsidRPr="0068696D">
        <w:rPr>
          <w:rFonts w:ascii="Tahoma" w:hAnsi="Tahoma" w:cs="Tahoma"/>
          <w:sz w:val="16"/>
          <w:szCs w:val="16"/>
        </w:rPr>
        <w:t xml:space="preserve"> За исключением случаев, предусмотренных законодательством РФ.</w:t>
      </w:r>
    </w:p>
  </w:footnote>
  <w:footnote w:id="138">
    <w:p w14:paraId="4864BBD1" w14:textId="77777777" w:rsidR="00951A61" w:rsidRPr="003F1D47" w:rsidRDefault="00951A61" w:rsidP="00951A61">
      <w:pPr>
        <w:pStyle w:val="aff1"/>
        <w:rPr>
          <w:rFonts w:ascii="Tahoma" w:hAnsi="Tahoma" w:cs="Tahoma"/>
          <w:sz w:val="16"/>
          <w:szCs w:val="16"/>
        </w:rPr>
      </w:pPr>
      <w:r w:rsidRPr="003F1D47">
        <w:rPr>
          <w:rStyle w:val="aff3"/>
          <w:rFonts w:ascii="Tahoma" w:hAnsi="Tahoma" w:cs="Tahoma"/>
          <w:sz w:val="16"/>
          <w:szCs w:val="16"/>
        </w:rPr>
        <w:footnoteRef/>
      </w:r>
      <w:r w:rsidRPr="003F1D47">
        <w:rPr>
          <w:rFonts w:ascii="Tahoma" w:hAnsi="Tahoma" w:cs="Tahoma"/>
          <w:sz w:val="16"/>
          <w:szCs w:val="16"/>
        </w:rPr>
        <w:t xml:space="preserve"> Маркетинговое название клиентского предложения может быть изменено</w:t>
      </w:r>
      <w:r>
        <w:rPr>
          <w:rFonts w:ascii="Tahoma" w:hAnsi="Tahoma" w:cs="Tahoma"/>
          <w:sz w:val="16"/>
          <w:szCs w:val="16"/>
        </w:rPr>
        <w:t>.</w:t>
      </w:r>
    </w:p>
  </w:footnote>
  <w:footnote w:id="139">
    <w:p w14:paraId="5B8616DE" w14:textId="77777777" w:rsidR="00951A61" w:rsidRPr="00627A47" w:rsidRDefault="00951A61" w:rsidP="00951A61">
      <w:pPr>
        <w:pStyle w:val="aff1"/>
        <w:rPr>
          <w:rFonts w:ascii="Tahoma" w:hAnsi="Tahoma" w:cs="Tahoma"/>
          <w:sz w:val="16"/>
          <w:szCs w:val="16"/>
        </w:rPr>
      </w:pPr>
      <w:r w:rsidRPr="00627A47">
        <w:rPr>
          <w:rStyle w:val="aff3"/>
          <w:rFonts w:ascii="Tahoma" w:hAnsi="Tahoma" w:cs="Tahoma"/>
          <w:sz w:val="16"/>
          <w:szCs w:val="16"/>
        </w:rPr>
        <w:footnoteRef/>
      </w:r>
      <w:r w:rsidRPr="00627A47">
        <w:rPr>
          <w:rFonts w:ascii="Tahoma" w:hAnsi="Tahoma" w:cs="Tahoma"/>
          <w:sz w:val="16"/>
          <w:szCs w:val="16"/>
        </w:rPr>
        <w:t xml:space="preserve"> Итоговая сумма задолженности погашаемых кредитов не должна превышать 60% от суммы Кредита.</w:t>
      </w:r>
    </w:p>
  </w:footnote>
  <w:footnote w:id="140">
    <w:p w14:paraId="4228299A" w14:textId="77777777" w:rsidR="00951A61" w:rsidRDefault="00951A61" w:rsidP="00951A61">
      <w:pPr>
        <w:pStyle w:val="aff1"/>
        <w:jc w:val="both"/>
      </w:pPr>
      <w:r w:rsidRPr="00627A47">
        <w:rPr>
          <w:rStyle w:val="aff3"/>
          <w:rFonts w:ascii="Tahoma" w:hAnsi="Tahoma" w:cs="Tahoma"/>
          <w:sz w:val="16"/>
          <w:szCs w:val="16"/>
        </w:rPr>
        <w:footnoteRef/>
      </w:r>
      <w:r w:rsidRPr="00627A47">
        <w:rPr>
          <w:rFonts w:ascii="Tahoma" w:hAnsi="Tahoma" w:cs="Tahoma"/>
          <w:sz w:val="16"/>
          <w:szCs w:val="16"/>
        </w:rPr>
        <w:t xml:space="preserve"> Под рефинансированием потребительского кредита подразумевается полное досрочное исполнение обязательств Заемщиком по потребительскому/авто кредиту/займу либо кредитной карте, выданному в другом банке/иной некредитной организации. Рефинансируемый Потребительский кредит не должен быть предоставлен на предпринимательские цели.</w:t>
      </w:r>
      <w:r>
        <w:rPr>
          <w:rFonts w:ascii="Tahoma" w:hAnsi="Tahoma" w:cs="Tahoma"/>
          <w:sz w:val="16"/>
          <w:szCs w:val="16"/>
        </w:rPr>
        <w:t xml:space="preserve">  </w:t>
      </w:r>
    </w:p>
  </w:footnote>
  <w:footnote w:id="141">
    <w:p w14:paraId="19D0C274" w14:textId="77777777" w:rsidR="00951A61" w:rsidRPr="0052567F" w:rsidRDefault="00951A61" w:rsidP="00951A61">
      <w:pPr>
        <w:pStyle w:val="aff1"/>
        <w:jc w:val="both"/>
      </w:pPr>
      <w:r w:rsidRPr="00227218">
        <w:rPr>
          <w:rStyle w:val="aff3"/>
          <w:rFonts w:ascii="Tahoma" w:hAnsi="Tahoma" w:cs="Tahoma"/>
        </w:rPr>
        <w:footnoteRef/>
      </w:r>
      <w:r w:rsidRPr="00227218">
        <w:rPr>
          <w:rFonts w:ascii="Tahoma" w:hAnsi="Tahoma" w:cs="Tahoma"/>
        </w:rPr>
        <w:t xml:space="preserve"> Расчет </w:t>
      </w:r>
      <w:r w:rsidRPr="005C2077">
        <w:rPr>
          <w:rFonts w:ascii="Tahoma" w:hAnsi="Tahoma" w:cs="Tahoma"/>
        </w:rPr>
        <w:t>минимального значения ПСК произведен</w:t>
      </w:r>
      <w:r>
        <w:rPr>
          <w:rFonts w:ascii="Tahoma" w:hAnsi="Tahoma" w:cs="Tahoma"/>
        </w:rPr>
        <w:t xml:space="preserve"> по </w:t>
      </w:r>
      <w:r w:rsidRPr="0052567F">
        <w:rPr>
          <w:rFonts w:ascii="Tahoma" w:hAnsi="Tahoma" w:cs="Tahoma"/>
        </w:rPr>
        <w:t>состоянию на 29.10.2024 г. с учетом условия выдачи Кредита после государственной регистрации права собственности Заемщика и ипотеки в пользу Банка в качестве единственного обременения наличными через кассу Банка, а также с использованием параметров: минимальная сумма Кредита (500 000 рублей), минимальный срок (36 мес.), минимальная ставка (23,50% годовых), тариф за оказание услуг по подготовке отчета об оценке ООО «Мобильный оценщик» (ИНН 7842358640), действующий в 2024г. (1 800,00 рублей), средний тариф AO «АльфаСтрахование» (ИНН 7713056834), действующий в 2024 г. по имущественному и титульному страхованию (0,23% от остатка задолженности, увеличенной на 10%). В случае применения в расчетах ПСК иных параметров Кредита, а также в случае выбора Заемщиком иной страховой компании или применения AO «АльфаСтрахование» в расчетах иного страхового тарифа, иных платежей Заемщика, указанных в частях 3 и 4 статьи 6 Федерального закона от 21.12.2013 № 353-ФЗ «О потребительском кредите (займе)», полная стоимость кредита может отличаться от расчетной.</w:t>
      </w:r>
    </w:p>
  </w:footnote>
  <w:footnote w:id="142">
    <w:p w14:paraId="78C096E2" w14:textId="77777777" w:rsidR="00951A61" w:rsidRPr="00102DF3" w:rsidRDefault="00951A61" w:rsidP="00951A61">
      <w:pPr>
        <w:pStyle w:val="aff1"/>
        <w:jc w:val="both"/>
      </w:pPr>
      <w:r w:rsidRPr="0052567F">
        <w:rPr>
          <w:rStyle w:val="aff3"/>
          <w:rFonts w:ascii="Tahoma" w:hAnsi="Tahoma" w:cs="Tahoma"/>
        </w:rPr>
        <w:footnoteRef/>
      </w:r>
      <w:r w:rsidRPr="0052567F">
        <w:rPr>
          <w:rFonts w:ascii="Tahoma" w:hAnsi="Tahoma" w:cs="Tahoma"/>
        </w:rPr>
        <w:t xml:space="preserve"> Расчет максимального значения ПСК произведен по состоянию на 29.10.2024 г. с использованием параметров: максимальная сумма Кредита (15 000 000 рублей), максимальный срок (240 мес.), максимальная ставка (ставка 27,60% годовых складывается из базовой ставки и надбавок, указанных в пп. 3.1. – 3.6. Порядка формирования процентных ставок по ипотечному кредиту по тарифному плану «Нецелевой» Приложения 1 к основным условиям предоставления, использования и возврата ипотечного кредита по тарифному плану «Нецелевой»), средний тариф AO «АльфаСтрахование» (ИНН 7713056834), действующий в 2024 г. по личному страхованию (0,57% от остатка задолженности, увеличенной на 10%), 10 000,00 руб. - за открытие и исполнение аккредитива</w:t>
      </w:r>
      <w:r w:rsidRPr="00472DEE">
        <w:rPr>
          <w:rFonts w:ascii="Tahoma" w:hAnsi="Tahoma" w:cs="Tahoma"/>
        </w:rPr>
        <w:t xml:space="preserve"> в Банке </w:t>
      </w:r>
      <w:r w:rsidRPr="00CD2C26">
        <w:rPr>
          <w:rFonts w:ascii="Tahoma" w:hAnsi="Tahoma" w:cs="Tahoma"/>
        </w:rPr>
        <w:t>в соответствии с тарифами Банка</w:t>
      </w:r>
      <w:r w:rsidRPr="00102DF3">
        <w:rPr>
          <w:rFonts w:ascii="Tahoma" w:hAnsi="Tahoma" w:cs="Tahoma"/>
        </w:rPr>
        <w:t>. В случае применения в расчетах ПСК иных параметров Кредита, а также в случае выбора Заемщиком иной страховой компании или применения AO «АльфаСтрахование» в расчетах иного страхового тарифа, иных платежей Заемщика, указанных в частях 3 и 4 статьи 6 Федерального закона от 21.12.2013 № 353-ФЗ «О потребительском кредите (займе)», полная стоимость кредита может отличаться от расчетной.</w:t>
      </w:r>
    </w:p>
  </w:footnote>
  <w:footnote w:id="143">
    <w:p w14:paraId="0F694587" w14:textId="77777777" w:rsidR="00951A61" w:rsidRPr="00102DF3" w:rsidRDefault="00951A61" w:rsidP="00951A61">
      <w:pPr>
        <w:pStyle w:val="aff1"/>
        <w:jc w:val="both"/>
        <w:rPr>
          <w:rFonts w:ascii="Tahoma" w:hAnsi="Tahoma" w:cs="Tahoma"/>
          <w:sz w:val="16"/>
          <w:szCs w:val="16"/>
        </w:rPr>
      </w:pPr>
      <w:r w:rsidRPr="00102DF3">
        <w:rPr>
          <w:rStyle w:val="aff3"/>
          <w:rFonts w:ascii="Tahoma" w:hAnsi="Tahoma" w:cs="Tahoma"/>
          <w:sz w:val="16"/>
          <w:szCs w:val="16"/>
        </w:rPr>
        <w:footnoteRef/>
      </w:r>
      <w:r w:rsidRPr="00102DF3">
        <w:rPr>
          <w:rFonts w:ascii="Tahoma" w:hAnsi="Tahoma" w:cs="Tahoma"/>
          <w:sz w:val="16"/>
          <w:szCs w:val="16"/>
        </w:rPr>
        <w:t xml:space="preserve"> Выгодоприобретателем в размере задолженности Заемщика по Кредитному договору выступает Банк, за исключением случаев, когда Банк является страховым агентом при заключении договора Личного страхования.</w:t>
      </w:r>
    </w:p>
  </w:footnote>
  <w:footnote w:id="144">
    <w:p w14:paraId="549D1566" w14:textId="77777777" w:rsidR="00951A61" w:rsidRPr="005C2077" w:rsidRDefault="00951A61" w:rsidP="00951A61">
      <w:pPr>
        <w:pStyle w:val="aff1"/>
        <w:jc w:val="both"/>
        <w:rPr>
          <w:rFonts w:ascii="Tahoma" w:hAnsi="Tahoma" w:cs="Tahoma"/>
          <w:sz w:val="16"/>
          <w:szCs w:val="16"/>
        </w:rPr>
      </w:pPr>
      <w:r w:rsidRPr="005C2077">
        <w:rPr>
          <w:rStyle w:val="aff3"/>
          <w:rFonts w:ascii="Tahoma" w:hAnsi="Tahoma" w:cs="Tahoma"/>
          <w:sz w:val="16"/>
          <w:szCs w:val="16"/>
        </w:rPr>
        <w:footnoteRef/>
      </w:r>
      <w:r w:rsidRPr="005C2077">
        <w:rPr>
          <w:rFonts w:ascii="Tahoma" w:hAnsi="Tahoma" w:cs="Tahoma"/>
          <w:sz w:val="16"/>
          <w:szCs w:val="16"/>
        </w:rPr>
        <w:t xml:space="preserve"> Оформление указанного вида страхования не применимо для лиц с инвалидностью (при условии предоставления справки, подтверждающей факт установления инвалидности с указанием группы инвалидности), и столкнувшихся с затруднениями в получении соответствующих страховых услуг (рекомендуется предоставить Банку подтверждающие данный факт документы (ответы) от страховых компаний).</w:t>
      </w:r>
    </w:p>
  </w:footnote>
  <w:footnote w:id="145">
    <w:p w14:paraId="294ABD3A" w14:textId="77777777" w:rsidR="00951A61" w:rsidRPr="006950D3" w:rsidRDefault="00951A61" w:rsidP="00951A61">
      <w:pPr>
        <w:pStyle w:val="aff1"/>
        <w:rPr>
          <w:rFonts w:ascii="Tahoma" w:hAnsi="Tahoma" w:cs="Tahoma"/>
          <w:sz w:val="16"/>
          <w:szCs w:val="16"/>
        </w:rPr>
      </w:pPr>
      <w:r w:rsidRPr="005C2077">
        <w:rPr>
          <w:rStyle w:val="aff3"/>
          <w:rFonts w:ascii="Tahoma" w:hAnsi="Tahoma" w:cs="Tahoma"/>
          <w:sz w:val="16"/>
          <w:szCs w:val="16"/>
        </w:rPr>
        <w:footnoteRef/>
      </w:r>
      <w:r w:rsidRPr="005C2077">
        <w:rPr>
          <w:rFonts w:ascii="Tahoma" w:hAnsi="Tahoma" w:cs="Tahoma"/>
          <w:sz w:val="16"/>
          <w:szCs w:val="16"/>
        </w:rPr>
        <w:t xml:space="preserve"> Для Заемщика, являющегося работником Ба</w:t>
      </w:r>
      <w:r w:rsidRPr="004A4396">
        <w:rPr>
          <w:rFonts w:ascii="Tahoma" w:hAnsi="Tahoma" w:cs="Tahoma"/>
          <w:sz w:val="16"/>
          <w:szCs w:val="16"/>
        </w:rPr>
        <w:t>нка, размер Коэффициента К/З должен составлять не более 80% от Действительной стоимости Предмета ипотеки.</w:t>
      </w:r>
    </w:p>
  </w:footnote>
  <w:footnote w:id="146">
    <w:p w14:paraId="334A2560" w14:textId="77777777" w:rsidR="00951A61" w:rsidRPr="00F32FFD" w:rsidRDefault="00951A61" w:rsidP="00951A61">
      <w:pPr>
        <w:pStyle w:val="aff1"/>
        <w:jc w:val="both"/>
        <w:rPr>
          <w:rFonts w:ascii="Tahoma" w:hAnsi="Tahoma" w:cs="Tahoma"/>
          <w:sz w:val="16"/>
          <w:szCs w:val="16"/>
        </w:rPr>
      </w:pPr>
      <w:r w:rsidRPr="00627A47">
        <w:rPr>
          <w:rStyle w:val="aff3"/>
          <w:rFonts w:ascii="Tahoma" w:hAnsi="Tahoma" w:cs="Tahoma"/>
          <w:sz w:val="16"/>
          <w:szCs w:val="16"/>
        </w:rPr>
        <w:footnoteRef/>
      </w:r>
      <w:r w:rsidRPr="00627A47">
        <w:t xml:space="preserve"> З</w:t>
      </w:r>
      <w:r w:rsidRPr="00627A47">
        <w:rPr>
          <w:rFonts w:ascii="Tahoma" w:hAnsi="Tahoma" w:cs="Tahoma"/>
          <w:sz w:val="16"/>
          <w:szCs w:val="16"/>
        </w:rPr>
        <w:t xml:space="preserve">аказ осмотра и оценки </w:t>
      </w:r>
      <w:r w:rsidRPr="00F32FFD">
        <w:rPr>
          <w:rFonts w:ascii="Tahoma" w:hAnsi="Tahoma" w:cs="Tahoma"/>
          <w:sz w:val="16"/>
          <w:szCs w:val="16"/>
        </w:rPr>
        <w:t>Предмета ипотеки осуществляется работником Банка в ООО «Мобильный оценщик» (отчеты иных оценочных компаний не принимаются);</w:t>
      </w:r>
    </w:p>
  </w:footnote>
  <w:footnote w:id="147">
    <w:p w14:paraId="3E889C68" w14:textId="77777777" w:rsidR="00951A61" w:rsidRPr="00695F11" w:rsidRDefault="00951A61" w:rsidP="00951A61">
      <w:pPr>
        <w:pStyle w:val="aff1"/>
        <w:jc w:val="both"/>
        <w:rPr>
          <w:rFonts w:ascii="Tahoma" w:hAnsi="Tahoma" w:cs="Tahoma"/>
          <w:sz w:val="16"/>
          <w:szCs w:val="16"/>
        </w:rPr>
      </w:pPr>
      <w:r w:rsidRPr="00F32FFD">
        <w:rPr>
          <w:rStyle w:val="aff3"/>
          <w:rFonts w:ascii="Tahoma" w:hAnsi="Tahoma" w:cs="Tahoma"/>
          <w:sz w:val="16"/>
          <w:szCs w:val="16"/>
        </w:rPr>
        <w:footnoteRef/>
      </w:r>
      <w:r w:rsidRPr="00F32FFD">
        <w:rPr>
          <w:rFonts w:ascii="Tahoma" w:hAnsi="Tahoma" w:cs="Tahoma"/>
          <w:sz w:val="16"/>
          <w:szCs w:val="16"/>
        </w:rPr>
        <w:t xml:space="preserve"> Коэффициент К/</w:t>
      </w:r>
      <w:r w:rsidRPr="00695F11">
        <w:rPr>
          <w:rFonts w:ascii="Tahoma" w:hAnsi="Tahoma" w:cs="Tahoma"/>
          <w:sz w:val="16"/>
          <w:szCs w:val="16"/>
        </w:rPr>
        <w:t xml:space="preserve">З не более </w:t>
      </w:r>
      <w:r w:rsidRPr="00054740">
        <w:rPr>
          <w:rFonts w:ascii="Tahoma" w:hAnsi="Tahoma" w:cs="Tahoma"/>
          <w:sz w:val="16"/>
          <w:szCs w:val="16"/>
        </w:rPr>
        <w:t>70</w:t>
      </w:r>
      <w:r w:rsidRPr="00695F11">
        <w:rPr>
          <w:rFonts w:ascii="Tahoma" w:hAnsi="Tahoma" w:cs="Tahoma"/>
          <w:sz w:val="16"/>
          <w:szCs w:val="16"/>
        </w:rPr>
        <w:t>% допустим для Заемщика с официально подтвержденным доходом, а также для Заемщика, являющегося Зарплатным клиентом Банка:</w:t>
      </w:r>
    </w:p>
    <w:p w14:paraId="19E51507" w14:textId="77777777" w:rsidR="00951A61" w:rsidRPr="00695F11" w:rsidRDefault="00951A61" w:rsidP="00951A61">
      <w:pPr>
        <w:pStyle w:val="aff1"/>
        <w:jc w:val="both"/>
        <w:rPr>
          <w:rFonts w:ascii="Tahoma" w:hAnsi="Tahoma" w:cs="Tahoma"/>
          <w:sz w:val="16"/>
          <w:szCs w:val="16"/>
        </w:rPr>
      </w:pPr>
      <w:r w:rsidRPr="00695F11">
        <w:rPr>
          <w:rFonts w:ascii="Tahoma" w:hAnsi="Tahoma" w:cs="Tahoma"/>
          <w:sz w:val="16"/>
          <w:szCs w:val="16"/>
        </w:rPr>
        <w:t xml:space="preserve">- в случае нахождения Предмета ипотеки на территории обслуживания Банком в городе-столице региона/ районном центре, удаленность не более 30 км от населенного пункта, где располагается Подразделение Банка (для Москвы расстояние считается от МКАД); </w:t>
      </w:r>
    </w:p>
    <w:p w14:paraId="04647FD1" w14:textId="77777777" w:rsidR="00951A61" w:rsidRPr="00695F11" w:rsidRDefault="00951A61" w:rsidP="00951A61">
      <w:pPr>
        <w:pStyle w:val="aff1"/>
        <w:jc w:val="both"/>
        <w:rPr>
          <w:rFonts w:ascii="Tahoma" w:hAnsi="Tahoma" w:cs="Tahoma"/>
          <w:sz w:val="16"/>
          <w:szCs w:val="16"/>
        </w:rPr>
      </w:pPr>
      <w:r w:rsidRPr="00695F11">
        <w:rPr>
          <w:rFonts w:ascii="Tahoma" w:hAnsi="Tahoma" w:cs="Tahoma"/>
          <w:sz w:val="16"/>
          <w:szCs w:val="16"/>
        </w:rPr>
        <w:t>- в случае нахождения Предмета ипотеки на территории обслуживания Банком, в ином населенном пункте, не относящимся к городу-столице региона/ районному центру, удаленность не более 15 км от населенного пункта, где располагается Подразделение Банка.</w:t>
      </w:r>
    </w:p>
  </w:footnote>
  <w:footnote w:id="148">
    <w:p w14:paraId="1E883956" w14:textId="77777777" w:rsidR="00951A61" w:rsidRPr="00695F11" w:rsidRDefault="00951A61" w:rsidP="00951A61">
      <w:pPr>
        <w:pStyle w:val="aff1"/>
        <w:jc w:val="both"/>
        <w:rPr>
          <w:rFonts w:ascii="Tahoma" w:hAnsi="Tahoma" w:cs="Tahoma"/>
          <w:sz w:val="16"/>
          <w:szCs w:val="16"/>
        </w:rPr>
      </w:pPr>
      <w:r w:rsidRPr="00695F11">
        <w:rPr>
          <w:rStyle w:val="aff3"/>
          <w:rFonts w:ascii="Tahoma" w:hAnsi="Tahoma" w:cs="Tahoma"/>
          <w:sz w:val="16"/>
          <w:szCs w:val="16"/>
        </w:rPr>
        <w:footnoteRef/>
      </w:r>
      <w:r w:rsidRPr="00695F11">
        <w:rPr>
          <w:rFonts w:ascii="Tahoma" w:hAnsi="Tahoma" w:cs="Tahoma"/>
          <w:sz w:val="16"/>
          <w:szCs w:val="16"/>
        </w:rPr>
        <w:t xml:space="preserve"> Коэффициент К/З не более </w:t>
      </w:r>
      <w:r w:rsidRPr="00054740">
        <w:rPr>
          <w:rFonts w:ascii="Tahoma" w:hAnsi="Tahoma" w:cs="Tahoma"/>
          <w:sz w:val="16"/>
          <w:szCs w:val="16"/>
        </w:rPr>
        <w:t>70</w:t>
      </w:r>
      <w:r w:rsidRPr="00695F11">
        <w:rPr>
          <w:rFonts w:ascii="Tahoma" w:hAnsi="Tahoma" w:cs="Tahoma"/>
          <w:sz w:val="16"/>
          <w:szCs w:val="16"/>
        </w:rPr>
        <w:t>% допустим для Заемщика с официально подтвержденным доходом, а также для Заемщика, являющегося Зарплатным клиентом Банка:</w:t>
      </w:r>
    </w:p>
    <w:p w14:paraId="6B0C6BDC" w14:textId="77777777" w:rsidR="00951A61" w:rsidRPr="00695F11" w:rsidRDefault="00951A61" w:rsidP="00951A61">
      <w:pPr>
        <w:pStyle w:val="aff1"/>
        <w:jc w:val="both"/>
        <w:rPr>
          <w:rFonts w:ascii="Tahoma" w:hAnsi="Tahoma" w:cs="Tahoma"/>
          <w:sz w:val="16"/>
          <w:szCs w:val="16"/>
        </w:rPr>
      </w:pPr>
      <w:r w:rsidRPr="00695F11">
        <w:rPr>
          <w:rFonts w:ascii="Tahoma" w:hAnsi="Tahoma" w:cs="Tahoma"/>
          <w:sz w:val="16"/>
          <w:szCs w:val="16"/>
        </w:rPr>
        <w:t xml:space="preserve">- в случае нахождения Предмета ипотеки на территории обслуживания Банком в городе-столице региона/ районном центре, удаленность не более 30 км от населенного пункта, где располагается Подразделение Банка (для Москвы расстояние считается от МКАД); </w:t>
      </w:r>
    </w:p>
    <w:p w14:paraId="5692CC09" w14:textId="77777777" w:rsidR="00951A61" w:rsidRPr="00B42CA5" w:rsidRDefault="00951A61" w:rsidP="00951A61">
      <w:pPr>
        <w:pStyle w:val="aff1"/>
        <w:jc w:val="both"/>
        <w:rPr>
          <w:rFonts w:ascii="Tahoma" w:hAnsi="Tahoma" w:cs="Tahoma"/>
          <w:sz w:val="16"/>
          <w:szCs w:val="16"/>
        </w:rPr>
      </w:pPr>
      <w:r w:rsidRPr="00695F11">
        <w:rPr>
          <w:rFonts w:ascii="Tahoma" w:hAnsi="Tahoma" w:cs="Tahoma"/>
          <w:sz w:val="16"/>
          <w:szCs w:val="16"/>
        </w:rPr>
        <w:t>- в случае нахождения Предмета ипотеки</w:t>
      </w:r>
      <w:r w:rsidRPr="00627A47">
        <w:rPr>
          <w:rFonts w:ascii="Tahoma" w:hAnsi="Tahoma" w:cs="Tahoma"/>
          <w:sz w:val="16"/>
          <w:szCs w:val="16"/>
        </w:rPr>
        <w:t xml:space="preserve"> на территории обслуживания Банком, в ином населенном пункте, не относящимся к городу-столице региона/ районному центру, удаленность не более 15 км от населенного пункта, где располагается </w:t>
      </w:r>
      <w:r>
        <w:rPr>
          <w:rFonts w:ascii="Tahoma" w:hAnsi="Tahoma" w:cs="Tahoma"/>
          <w:sz w:val="16"/>
          <w:szCs w:val="16"/>
        </w:rPr>
        <w:t>Подразделение</w:t>
      </w:r>
      <w:r w:rsidRPr="00627A47">
        <w:rPr>
          <w:rFonts w:ascii="Tahoma" w:hAnsi="Tahoma" w:cs="Tahoma"/>
          <w:sz w:val="16"/>
          <w:szCs w:val="16"/>
        </w:rPr>
        <w:t xml:space="preserve"> Банка.</w:t>
      </w:r>
    </w:p>
  </w:footnote>
  <w:footnote w:id="149">
    <w:p w14:paraId="58AA4B83" w14:textId="77777777" w:rsidR="00951A61" w:rsidRPr="00227218" w:rsidRDefault="00951A61" w:rsidP="00951A61">
      <w:pPr>
        <w:pStyle w:val="aff1"/>
        <w:jc w:val="both"/>
        <w:rPr>
          <w:rFonts w:ascii="Tahoma" w:hAnsi="Tahoma" w:cs="Tahoma"/>
        </w:rPr>
      </w:pPr>
      <w:r w:rsidRPr="00227218">
        <w:rPr>
          <w:rStyle w:val="aff3"/>
          <w:rFonts w:ascii="Tahoma" w:hAnsi="Tahoma" w:cs="Tahoma"/>
        </w:rPr>
        <w:footnoteRef/>
      </w:r>
      <w:r w:rsidRPr="00227218">
        <w:rPr>
          <w:rFonts w:ascii="Tahoma" w:hAnsi="Tahoma" w:cs="Tahoma"/>
        </w:rPr>
        <w:t xml:space="preserve"> Расчет ПСК произведен с использованием тарифов ООО «Мобильный оценщик» (ИНН 7842358640), действующих на 202</w:t>
      </w:r>
      <w:r>
        <w:rPr>
          <w:rFonts w:ascii="Tahoma" w:hAnsi="Tahoma" w:cs="Tahoma"/>
        </w:rPr>
        <w:t>4</w:t>
      </w:r>
      <w:r w:rsidRPr="00227218">
        <w:rPr>
          <w:rFonts w:ascii="Tahoma" w:hAnsi="Tahoma" w:cs="Tahoma"/>
        </w:rPr>
        <w:t>г. При обращении Заёмщика к иному оценщику полная стоимость кредита может отличаться от расчетной.</w:t>
      </w:r>
    </w:p>
  </w:footnote>
  <w:footnote w:id="150">
    <w:p w14:paraId="181FBD0E" w14:textId="77777777" w:rsidR="00951A61" w:rsidRPr="00227218" w:rsidRDefault="00951A61" w:rsidP="00951A61">
      <w:pPr>
        <w:pStyle w:val="aff1"/>
        <w:jc w:val="both"/>
        <w:rPr>
          <w:rFonts w:ascii="Tahoma" w:hAnsi="Tahoma" w:cs="Tahoma"/>
        </w:rPr>
      </w:pPr>
      <w:r w:rsidRPr="00227218">
        <w:rPr>
          <w:rStyle w:val="aff3"/>
          <w:rFonts w:ascii="Tahoma" w:hAnsi="Tahoma" w:cs="Tahoma"/>
        </w:rPr>
        <w:footnoteRef/>
      </w:r>
      <w:r w:rsidRPr="00227218">
        <w:rPr>
          <w:rFonts w:ascii="Tahoma" w:hAnsi="Tahoma" w:cs="Tahoma"/>
        </w:rPr>
        <w:t xml:space="preserve"> </w:t>
      </w:r>
      <w:r w:rsidRPr="006D5E87">
        <w:rPr>
          <w:rFonts w:ascii="Tahoma" w:hAnsi="Tahoma" w:cs="Tahoma"/>
        </w:rPr>
        <w:t xml:space="preserve">  Расчет ПСК произведен с использованием минимального тарифа AO «АльфаСтрахование» (ИНН 7713056834), действующего в 2024 г. В случае выбора Заемщиком иной страховой компании или применения AO «АльфаСтрахование» в расчетах иного страхового тарифа, полная стоимость кредита может отличаться от расчетной</w:t>
      </w:r>
      <w:r w:rsidRPr="00227218">
        <w:rPr>
          <w:rFonts w:ascii="Tahoma" w:hAnsi="Tahoma" w:cs="Tahoma"/>
        </w:rPr>
        <w:t>.</w:t>
      </w:r>
    </w:p>
  </w:footnote>
  <w:footnote w:id="151">
    <w:p w14:paraId="14A47B1C" w14:textId="77777777" w:rsidR="00951A61" w:rsidRPr="008148A9" w:rsidRDefault="00951A61" w:rsidP="00951A61">
      <w:pPr>
        <w:pStyle w:val="aff1"/>
        <w:jc w:val="both"/>
        <w:rPr>
          <w:rFonts w:ascii="Tahoma" w:hAnsi="Tahoma" w:cs="Tahoma"/>
          <w:sz w:val="16"/>
          <w:szCs w:val="16"/>
        </w:rPr>
      </w:pPr>
      <w:r w:rsidRPr="00627A47">
        <w:rPr>
          <w:rStyle w:val="aff3"/>
          <w:rFonts w:ascii="Tahoma" w:hAnsi="Tahoma" w:cs="Tahoma"/>
          <w:sz w:val="16"/>
          <w:szCs w:val="16"/>
        </w:rPr>
        <w:footnoteRef/>
      </w:r>
      <w:r w:rsidRPr="00627A47">
        <w:rPr>
          <w:rFonts w:ascii="Tahoma" w:hAnsi="Tahoma" w:cs="Tahoma"/>
          <w:sz w:val="16"/>
          <w:szCs w:val="16"/>
        </w:rPr>
        <w:t xml:space="preserve"> Сезонный вид деятельности – вид деятельности, который претерпевает сезонные колебания, оказывающие существенное влияние на стабильность деятельности (сезонные колебания в деятельности </w:t>
      </w:r>
      <w:r w:rsidRPr="008148A9">
        <w:rPr>
          <w:rFonts w:ascii="Tahoma" w:hAnsi="Tahoma" w:cs="Tahoma"/>
          <w:sz w:val="16"/>
          <w:szCs w:val="16"/>
        </w:rPr>
        <w:t>выражаются в повышении или понижении уровня экономической активности, масштабов экономической деятельности вследствие сезонности спроса на вид деятельности).</w:t>
      </w:r>
    </w:p>
  </w:footnote>
  <w:footnote w:id="152">
    <w:p w14:paraId="05139D6B" w14:textId="77777777" w:rsidR="00951A61" w:rsidRDefault="00951A61" w:rsidP="00951A61">
      <w:pPr>
        <w:pStyle w:val="aff1"/>
      </w:pPr>
      <w:r w:rsidRPr="00287C21">
        <w:rPr>
          <w:rStyle w:val="aff3"/>
          <w:rFonts w:ascii="Tahoma" w:hAnsi="Tahoma" w:cs="Tahoma"/>
          <w:sz w:val="16"/>
          <w:szCs w:val="16"/>
        </w:rPr>
        <w:footnoteRef/>
      </w:r>
      <w:r w:rsidRPr="00287C21">
        <w:rPr>
          <w:rFonts w:ascii="Tahoma" w:hAnsi="Tahoma" w:cs="Tahoma"/>
          <w:sz w:val="16"/>
          <w:szCs w:val="16"/>
        </w:rPr>
        <w:t xml:space="preserve"> Такие объекты требуют дополнительного анализа со стороны Банка.</w:t>
      </w:r>
    </w:p>
  </w:footnote>
  <w:footnote w:id="153">
    <w:p w14:paraId="5C8AC6D8" w14:textId="77777777" w:rsidR="00951A61" w:rsidRPr="003D6C0E" w:rsidRDefault="00951A61" w:rsidP="00951A61">
      <w:pPr>
        <w:pStyle w:val="aff1"/>
        <w:jc w:val="both"/>
        <w:rPr>
          <w:rFonts w:ascii="Tahoma" w:hAnsi="Tahoma" w:cs="Tahoma"/>
          <w:sz w:val="16"/>
          <w:szCs w:val="16"/>
        </w:rPr>
      </w:pPr>
      <w:r w:rsidRPr="003D6C0E">
        <w:rPr>
          <w:rStyle w:val="aff3"/>
          <w:rFonts w:ascii="Tahoma" w:hAnsi="Tahoma" w:cs="Tahoma"/>
          <w:sz w:val="16"/>
          <w:szCs w:val="16"/>
        </w:rPr>
        <w:footnoteRef/>
      </w:r>
      <w:r w:rsidRPr="003D6C0E">
        <w:rPr>
          <w:rFonts w:ascii="Tahoma" w:hAnsi="Tahoma" w:cs="Tahoma"/>
          <w:sz w:val="16"/>
          <w:szCs w:val="16"/>
        </w:rPr>
        <w:t xml:space="preserve"> </w:t>
      </w:r>
      <w:r w:rsidRPr="00A52CCA">
        <w:rPr>
          <w:rFonts w:ascii="Tahoma" w:hAnsi="Tahoma" w:cs="Tahoma"/>
          <w:sz w:val="16"/>
          <w:szCs w:val="16"/>
        </w:rPr>
        <w:t>В проект решения включается дополнительное условие «до выдачи», в соответствии с которым Клиент обязуется до выдачи кредита заключить с арендатором Дополнительное соглашение к договору аренды недвижимого имущества с включением пунктов о применении права досрочного расторжения договора долгосрочной аренды и предоставления расписки о сдаче Дополнительного соглашения на государственную регистрацию в регистрирующий орган до выдачи кредита.</w:t>
      </w:r>
    </w:p>
  </w:footnote>
  <w:footnote w:id="154">
    <w:p w14:paraId="52FB366B" w14:textId="77777777" w:rsidR="00951A61" w:rsidRPr="0089418D" w:rsidRDefault="00951A61" w:rsidP="00951A61">
      <w:pPr>
        <w:pStyle w:val="aff1"/>
        <w:jc w:val="both"/>
        <w:rPr>
          <w:rFonts w:ascii="Tahoma" w:hAnsi="Tahoma" w:cs="Tahoma"/>
          <w:sz w:val="16"/>
          <w:szCs w:val="16"/>
        </w:rPr>
      </w:pPr>
      <w:r w:rsidRPr="00102DF3">
        <w:rPr>
          <w:rStyle w:val="aff3"/>
          <w:rFonts w:ascii="Tahoma" w:hAnsi="Tahoma" w:cs="Tahoma"/>
          <w:sz w:val="16"/>
          <w:szCs w:val="16"/>
        </w:rPr>
        <w:footnoteRef/>
      </w:r>
      <w:r w:rsidRPr="00102DF3">
        <w:rPr>
          <w:rFonts w:ascii="Tahoma" w:hAnsi="Tahoma" w:cs="Tahoma"/>
          <w:sz w:val="16"/>
          <w:szCs w:val="16"/>
        </w:rPr>
        <w:t xml:space="preserve"> Выписка из СФР может быть принята только для подтверждения одновременно и трудоустройства, и дохода Заемщика, если в ней отсутствует не более чем текущий и предыдущий квартал. Допустимо подтверждение трудоустройства выпиской СФР, при наличии выписки по зарплатному счету Клиента, если за период, который не отражается в выписке СФР, у Клиента изменился доход в большую сторону в соответствии с выпиской по зарплатному счету Заемщика.</w:t>
      </w:r>
    </w:p>
  </w:footnote>
  <w:footnote w:id="155">
    <w:p w14:paraId="0A637A92" w14:textId="77777777" w:rsidR="00951A61" w:rsidRPr="003C6510" w:rsidRDefault="00951A61" w:rsidP="00951A61">
      <w:pPr>
        <w:pStyle w:val="aff1"/>
        <w:jc w:val="both"/>
        <w:rPr>
          <w:rFonts w:ascii="Tahoma" w:hAnsi="Tahoma" w:cs="Tahoma"/>
          <w:sz w:val="16"/>
          <w:szCs w:val="16"/>
        </w:rPr>
      </w:pPr>
      <w:r w:rsidRPr="003C6510">
        <w:rPr>
          <w:rStyle w:val="aff3"/>
          <w:rFonts w:ascii="Tahoma" w:hAnsi="Tahoma" w:cs="Tahoma"/>
          <w:sz w:val="16"/>
          <w:szCs w:val="16"/>
        </w:rPr>
        <w:footnoteRef/>
      </w:r>
      <w:r w:rsidRPr="003C6510">
        <w:rPr>
          <w:rFonts w:ascii="Tahoma" w:hAnsi="Tahoma" w:cs="Tahoma"/>
          <w:sz w:val="16"/>
          <w:szCs w:val="16"/>
        </w:rPr>
        <w:t xml:space="preserve"> Необходимость предоставления документа уточняется работником Банка на этапе консультации Заемщика.</w:t>
      </w:r>
    </w:p>
  </w:footnote>
  <w:footnote w:id="156">
    <w:p w14:paraId="2561E265" w14:textId="77777777" w:rsidR="00951A61" w:rsidRPr="00786DE5" w:rsidRDefault="00951A61" w:rsidP="00951A61">
      <w:pPr>
        <w:pStyle w:val="aff1"/>
        <w:rPr>
          <w:rFonts w:ascii="Tahoma" w:hAnsi="Tahoma" w:cs="Tahoma"/>
          <w:sz w:val="16"/>
          <w:szCs w:val="16"/>
        </w:rPr>
      </w:pPr>
      <w:r w:rsidRPr="003C6510">
        <w:rPr>
          <w:rStyle w:val="aff3"/>
          <w:rFonts w:ascii="Tahoma" w:hAnsi="Tahoma" w:cs="Tahoma"/>
          <w:sz w:val="16"/>
          <w:szCs w:val="16"/>
        </w:rPr>
        <w:footnoteRef/>
      </w:r>
      <w:r w:rsidRPr="003C6510">
        <w:rPr>
          <w:rFonts w:ascii="Tahoma" w:hAnsi="Tahoma" w:cs="Tahoma"/>
          <w:sz w:val="16"/>
          <w:szCs w:val="16"/>
        </w:rPr>
        <w:t xml:space="preserve"> Оценка стоимости предмета ипотека должна быть произведена и отчет об оценке должны быть заказаны Заемщиком (Залогодателем) у любого аккредитованного Банком оценщика, удовлетворяющего критериям отбора оценочных организаций, размещенным на</w:t>
      </w:r>
      <w:r w:rsidRPr="00CC155A">
        <w:rPr>
          <w:rFonts w:ascii="Tahoma" w:hAnsi="Tahoma" w:cs="Tahoma"/>
          <w:sz w:val="16"/>
          <w:szCs w:val="16"/>
        </w:rPr>
        <w:t xml:space="preserve"> сайте Банка в разделе «Уведомления</w:t>
      </w:r>
      <w:r w:rsidRPr="0009352D">
        <w:rPr>
          <w:rFonts w:ascii="Tahoma" w:hAnsi="Tahoma" w:cs="Tahoma"/>
          <w:sz w:val="16"/>
          <w:szCs w:val="16"/>
        </w:rPr>
        <w:t xml:space="preserve"> </w:t>
      </w:r>
      <w:r w:rsidRPr="00B80890">
        <w:rPr>
          <w:rFonts w:ascii="Tahoma" w:hAnsi="Tahoma" w:cs="Tahoma"/>
          <w:sz w:val="16"/>
          <w:szCs w:val="16"/>
        </w:rPr>
        <w:t>https://www.atb.su/general-information/prochee/</w:t>
      </w:r>
      <w:r w:rsidRPr="00CC155A">
        <w:rPr>
          <w:rFonts w:ascii="Tahoma" w:hAnsi="Tahoma" w:cs="Tahoma"/>
          <w:sz w:val="16"/>
          <w:szCs w:val="16"/>
        </w:rPr>
        <w:t>.</w:t>
      </w:r>
    </w:p>
  </w:footnote>
  <w:footnote w:id="157">
    <w:p w14:paraId="37370EBD" w14:textId="77777777" w:rsidR="00951A61" w:rsidRDefault="00951A61" w:rsidP="00951A61">
      <w:pPr>
        <w:pStyle w:val="aff1"/>
      </w:pPr>
      <w:r w:rsidRPr="00CC155A">
        <w:rPr>
          <w:rStyle w:val="aff3"/>
          <w:rFonts w:ascii="Tahoma" w:hAnsi="Tahoma" w:cs="Tahoma"/>
          <w:sz w:val="16"/>
          <w:szCs w:val="16"/>
        </w:rPr>
        <w:footnoteRef/>
      </w:r>
      <w:r w:rsidRPr="00CC155A">
        <w:rPr>
          <w:rFonts w:ascii="Tahoma" w:hAnsi="Tahoma" w:cs="Tahoma"/>
          <w:sz w:val="16"/>
          <w:szCs w:val="16"/>
        </w:rPr>
        <w:t xml:space="preserve"> Данное требование не является обязательным в случае полного досрочного погашения ипотечного кредита и/или рефинансирования потребительских кредитов, оформленных в Банке.</w:t>
      </w:r>
    </w:p>
  </w:footnote>
  <w:footnote w:id="158">
    <w:p w14:paraId="563D3E87" w14:textId="77777777" w:rsidR="00951A61" w:rsidRPr="00EA0247" w:rsidRDefault="00951A61" w:rsidP="00951A61">
      <w:pPr>
        <w:pStyle w:val="aff1"/>
        <w:rPr>
          <w:rFonts w:ascii="Tahoma" w:hAnsi="Tahoma" w:cs="Tahoma"/>
          <w:sz w:val="16"/>
          <w:szCs w:val="16"/>
        </w:rPr>
      </w:pPr>
      <w:r w:rsidRPr="00EA0247">
        <w:rPr>
          <w:rStyle w:val="aff3"/>
          <w:rFonts w:ascii="Tahoma" w:hAnsi="Tahoma" w:cs="Tahoma"/>
          <w:sz w:val="16"/>
          <w:szCs w:val="16"/>
        </w:rPr>
        <w:footnoteRef/>
      </w:r>
      <w:r w:rsidRPr="00EA0247">
        <w:rPr>
          <w:rFonts w:ascii="Tahoma" w:hAnsi="Tahoma" w:cs="Tahoma"/>
          <w:sz w:val="16"/>
          <w:szCs w:val="16"/>
        </w:rPr>
        <w:t xml:space="preserve"> За исключением случаев, предусмотренных законодательством РФ.</w:t>
      </w:r>
    </w:p>
  </w:footnote>
  <w:footnote w:id="159">
    <w:p w14:paraId="0694A108" w14:textId="77777777" w:rsidR="00951A61" w:rsidRPr="007D5098" w:rsidRDefault="00951A61" w:rsidP="00951A61">
      <w:pPr>
        <w:pStyle w:val="aff1"/>
        <w:jc w:val="both"/>
        <w:rPr>
          <w:rFonts w:ascii="Tahoma" w:hAnsi="Tahoma" w:cs="Tahoma"/>
        </w:rPr>
      </w:pPr>
      <w:r w:rsidRPr="00227218">
        <w:rPr>
          <w:rStyle w:val="aff3"/>
          <w:rFonts w:ascii="Tahoma" w:hAnsi="Tahoma" w:cs="Tahoma"/>
        </w:rPr>
        <w:footnoteRef/>
      </w:r>
      <w:r w:rsidRPr="00227218">
        <w:rPr>
          <w:rFonts w:ascii="Tahoma" w:hAnsi="Tahoma" w:cs="Tahoma"/>
        </w:rPr>
        <w:t xml:space="preserve"> Ставка устанавливается: Заемщикам с официально подтвержденным </w:t>
      </w:r>
      <w:r w:rsidRPr="007D5098">
        <w:rPr>
          <w:rFonts w:ascii="Tahoma" w:hAnsi="Tahoma" w:cs="Tahoma"/>
        </w:rPr>
        <w:t>доходом и Зарплатных клиентов Банка.</w:t>
      </w:r>
    </w:p>
  </w:footnote>
  <w:footnote w:id="160">
    <w:p w14:paraId="0EF2572C" w14:textId="77777777" w:rsidR="00951A61" w:rsidRPr="0025009B" w:rsidRDefault="00951A61" w:rsidP="00951A61">
      <w:pPr>
        <w:pStyle w:val="aff1"/>
        <w:jc w:val="both"/>
        <w:rPr>
          <w:rFonts w:ascii="Tahoma" w:hAnsi="Tahoma" w:cs="Tahoma"/>
        </w:rPr>
      </w:pPr>
      <w:r w:rsidRPr="007D5098">
        <w:rPr>
          <w:rStyle w:val="aff3"/>
          <w:rFonts w:ascii="Tahoma" w:hAnsi="Tahoma" w:cs="Tahoma"/>
        </w:rPr>
        <w:footnoteRef/>
      </w:r>
      <w:r w:rsidRPr="007D5098">
        <w:rPr>
          <w:rStyle w:val="aff3"/>
          <w:rFonts w:ascii="Tahoma" w:hAnsi="Tahoma" w:cs="Tahoma"/>
        </w:rPr>
        <w:t xml:space="preserve"> </w:t>
      </w:r>
      <w:r w:rsidRPr="007D5098">
        <w:rPr>
          <w:rFonts w:ascii="Tahoma" w:hAnsi="Tahoma" w:cs="Tahoma"/>
        </w:rPr>
        <w:t xml:space="preserve">В целях определения итоговой процентной ставки </w:t>
      </w:r>
      <w:r w:rsidRPr="0025009B">
        <w:rPr>
          <w:rFonts w:ascii="Tahoma" w:hAnsi="Tahoma" w:cs="Tahoma"/>
        </w:rPr>
        <w:t>по конкретному ипотечному кредиту дисконты к базовой ставке не суммируются и применяются при соответствии с указанными в таблице параметрам на этапе заключения Кредитного договора.</w:t>
      </w:r>
    </w:p>
  </w:footnote>
  <w:footnote w:id="161">
    <w:p w14:paraId="0206ED5C" w14:textId="77777777" w:rsidR="00951A61" w:rsidRPr="0025009B" w:rsidRDefault="00951A61" w:rsidP="00951A61">
      <w:pPr>
        <w:pStyle w:val="aff1"/>
        <w:jc w:val="both"/>
        <w:rPr>
          <w:rFonts w:ascii="Tahoma" w:hAnsi="Tahoma" w:cs="Tahoma"/>
        </w:rPr>
      </w:pPr>
      <w:r w:rsidRPr="0025009B">
        <w:rPr>
          <w:rStyle w:val="aff3"/>
          <w:rFonts w:ascii="Tahoma" w:hAnsi="Tahoma" w:cs="Tahoma"/>
        </w:rPr>
        <w:footnoteRef/>
      </w:r>
      <w:r w:rsidRPr="0025009B">
        <w:rPr>
          <w:rFonts w:ascii="Tahoma" w:hAnsi="Tahoma" w:cs="Tahoma"/>
        </w:rPr>
        <w:t xml:space="preserve"> В случае расторжения трудового договора процентная ставка увеличивается до размера Базовой ставки, действующей на дату принятия окончательного решения по заявке (если иное условие не согласовано сторонами при заключении соглашения о расторжении трудового договора).</w:t>
      </w:r>
    </w:p>
  </w:footnote>
  <w:footnote w:id="162">
    <w:p w14:paraId="5ECC82A4" w14:textId="77777777" w:rsidR="00951A61" w:rsidRPr="0004632F" w:rsidRDefault="00951A61" w:rsidP="00951A61">
      <w:pPr>
        <w:pStyle w:val="aff1"/>
        <w:jc w:val="both"/>
        <w:rPr>
          <w:rFonts w:ascii="Tahoma" w:hAnsi="Tahoma" w:cs="Tahoma"/>
        </w:rPr>
      </w:pPr>
      <w:r w:rsidRPr="0025009B">
        <w:rPr>
          <w:rStyle w:val="aff3"/>
          <w:rFonts w:ascii="Tahoma" w:hAnsi="Tahoma" w:cs="Tahoma"/>
        </w:rPr>
        <w:footnoteRef/>
      </w:r>
      <w:r w:rsidRPr="0025009B">
        <w:rPr>
          <w:rFonts w:ascii="Tahoma" w:hAnsi="Tahoma" w:cs="Tahoma"/>
        </w:rPr>
        <w:t xml:space="preserve"> Дисконт применяется в случае применения надбавок,</w:t>
      </w:r>
      <w:r w:rsidRPr="00160BFD">
        <w:rPr>
          <w:rFonts w:ascii="Tahoma" w:hAnsi="Tahoma" w:cs="Tahoma"/>
        </w:rPr>
        <w:t xml:space="preserve"> за исключением надбавки, указанной в п. 3.</w:t>
      </w:r>
      <w:r>
        <w:rPr>
          <w:rFonts w:ascii="Tahoma" w:hAnsi="Tahoma" w:cs="Tahoma"/>
        </w:rPr>
        <w:t>6</w:t>
      </w:r>
      <w:r w:rsidRPr="00160BFD">
        <w:rPr>
          <w:rFonts w:ascii="Tahoma" w:hAnsi="Tahoma" w:cs="Tahoma"/>
        </w:rPr>
        <w:t>. (в случае применения надбавки, указанной в п. 3.</w:t>
      </w:r>
      <w:r>
        <w:rPr>
          <w:rFonts w:ascii="Tahoma" w:hAnsi="Tahoma" w:cs="Tahoma"/>
        </w:rPr>
        <w:t>6</w:t>
      </w:r>
      <w:r w:rsidRPr="00160BFD">
        <w:rPr>
          <w:rFonts w:ascii="Tahoma" w:hAnsi="Tahoma" w:cs="Tahoma"/>
        </w:rPr>
        <w:t>., данный дисконт не может применяться)</w:t>
      </w:r>
      <w:r w:rsidRPr="0025009B">
        <w:rPr>
          <w:rFonts w:ascii="Tahoma" w:hAnsi="Tahoma" w:cs="Tahoma"/>
        </w:rPr>
        <w:t xml:space="preserve"> и не применим для категории клиентов, указанных в пп. 2.1. итоговая ставка при этом не может быть менее базовой ставки. Перечень партнеров Банка размещается в сети Интернет на официальном сайте Банка в разделе «Документы для скачивания»: https://www.atb.su/kredit/ipoteka/#/. </w:t>
      </w:r>
    </w:p>
  </w:footnote>
  <w:footnote w:id="163">
    <w:p w14:paraId="66BCAB77" w14:textId="77777777" w:rsidR="00951A61" w:rsidRPr="0025009B" w:rsidRDefault="00951A61" w:rsidP="00951A61">
      <w:pPr>
        <w:pStyle w:val="aff1"/>
        <w:jc w:val="both"/>
        <w:rPr>
          <w:rFonts w:ascii="Tahoma" w:hAnsi="Tahoma" w:cs="Tahoma"/>
        </w:rPr>
      </w:pPr>
      <w:r w:rsidRPr="0025009B">
        <w:rPr>
          <w:rStyle w:val="aff3"/>
          <w:rFonts w:ascii="Tahoma" w:hAnsi="Tahoma" w:cs="Tahoma"/>
        </w:rPr>
        <w:footnoteRef/>
      </w:r>
      <w:r w:rsidRPr="0025009B">
        <w:rPr>
          <w:rFonts w:ascii="Tahoma" w:hAnsi="Tahoma" w:cs="Tahoma"/>
        </w:rPr>
        <w:t xml:space="preserve"> Дисконт применяется в случае применения надбавок, но не применим для категории клиентов, указанных в пп. 2.1.</w:t>
      </w:r>
    </w:p>
  </w:footnote>
  <w:footnote w:id="164">
    <w:p w14:paraId="6F0AD58F" w14:textId="77777777" w:rsidR="00951A61" w:rsidRPr="007D5098" w:rsidRDefault="00951A61" w:rsidP="00951A61">
      <w:pPr>
        <w:pStyle w:val="aff1"/>
        <w:jc w:val="both"/>
        <w:rPr>
          <w:rFonts w:ascii="Tahoma" w:hAnsi="Tahoma" w:cs="Tahoma"/>
        </w:rPr>
      </w:pPr>
      <w:r w:rsidRPr="0025009B">
        <w:rPr>
          <w:rStyle w:val="aff3"/>
          <w:rFonts w:ascii="Tahoma" w:hAnsi="Tahoma" w:cs="Tahoma"/>
        </w:rPr>
        <w:footnoteRef/>
      </w:r>
      <w:r w:rsidRPr="0025009B">
        <w:rPr>
          <w:rFonts w:ascii="Tahoma" w:hAnsi="Tahoma" w:cs="Tahoma"/>
        </w:rPr>
        <w:t xml:space="preserve"> Надбавки применяются единовременно при соответствии указанным в таблице параметрам при заключении Кредитного договора.</w:t>
      </w:r>
    </w:p>
  </w:footnote>
  <w:footnote w:id="165">
    <w:p w14:paraId="0DAFCD48" w14:textId="77777777" w:rsidR="00951A61" w:rsidRPr="00227218" w:rsidRDefault="00951A61" w:rsidP="00951A61">
      <w:pPr>
        <w:pStyle w:val="aff1"/>
        <w:jc w:val="both"/>
        <w:rPr>
          <w:rFonts w:ascii="Tahoma" w:hAnsi="Tahoma" w:cs="Tahoma"/>
        </w:rPr>
      </w:pPr>
      <w:r w:rsidRPr="007D5098">
        <w:rPr>
          <w:rStyle w:val="aff3"/>
          <w:rFonts w:ascii="Tahoma" w:hAnsi="Tahoma" w:cs="Tahoma"/>
        </w:rPr>
        <w:footnoteRef/>
      </w:r>
      <w:r w:rsidRPr="007D5098">
        <w:rPr>
          <w:rFonts w:ascii="Tahoma" w:hAnsi="Tahoma" w:cs="Tahoma"/>
        </w:rPr>
        <w:t xml:space="preserve"> Надбавка не применима для категории клиентов, указанных в</w:t>
      </w:r>
      <w:r w:rsidRPr="007D5098" w:rsidDel="00803E8D">
        <w:rPr>
          <w:rFonts w:ascii="Tahoma" w:hAnsi="Tahoma" w:cs="Tahoma"/>
        </w:rPr>
        <w:t xml:space="preserve"> </w:t>
      </w:r>
      <w:r w:rsidRPr="007D5098">
        <w:rPr>
          <w:rFonts w:ascii="Tahoma" w:hAnsi="Tahoma" w:cs="Tahoma"/>
        </w:rPr>
        <w:t>пп. 2.1. и для Зарплатных клиентов Банка</w:t>
      </w:r>
      <w:r w:rsidRPr="00227218">
        <w:rPr>
          <w:rFonts w:ascii="Tahoma" w:hAnsi="Tahoma" w:cs="Tahoma"/>
        </w:rPr>
        <w:t>.</w:t>
      </w:r>
    </w:p>
  </w:footnote>
  <w:footnote w:id="166">
    <w:p w14:paraId="2C630039" w14:textId="77777777" w:rsidR="00951A61" w:rsidRPr="00102DF3" w:rsidRDefault="00951A61" w:rsidP="00951A61">
      <w:pPr>
        <w:pStyle w:val="aff1"/>
        <w:jc w:val="both"/>
        <w:rPr>
          <w:rFonts w:ascii="Tahoma" w:hAnsi="Tahoma" w:cs="Tahoma"/>
        </w:rPr>
      </w:pPr>
      <w:r w:rsidRPr="00227218">
        <w:rPr>
          <w:rStyle w:val="aff3"/>
          <w:rFonts w:ascii="Tahoma" w:hAnsi="Tahoma" w:cs="Tahoma"/>
        </w:rPr>
        <w:footnoteRef/>
      </w:r>
      <w:r w:rsidRPr="00227218">
        <w:rPr>
          <w:rFonts w:ascii="Tahoma" w:hAnsi="Tahoma" w:cs="Tahoma"/>
        </w:rPr>
        <w:t xml:space="preserve"> Если иное не </w:t>
      </w:r>
      <w:r w:rsidRPr="00102DF3">
        <w:rPr>
          <w:rFonts w:ascii="Tahoma" w:hAnsi="Tahoma" w:cs="Tahoma"/>
        </w:rPr>
        <w:t>предусмотрено Кредитным договором, надбавка применяется в случае отказа Заемщика от личного и/или титульного страхования либо ненадлежащего исполнения Заемщиком условий личного и/или титульного страхования в течение срока действия Кредитного договора.  Внеплановый пересчет процентной ставки (применение надбавки), связанный с неисполнением Заемщиком условия личного и/или титульного страхования, осуществляется в случае отсутствия у Банка информации об оплаченной страховой премии по договору (полису) добровольного страхования / о заключении нового договора (полиса) добровольного страхования и уплате страховой премии по нему по истечении месяца, следующего за месяцем, в котором состоялось уведомление Заемщика Банком о Внеплановом пересчете процентной ставки. Для категории клиентов, указанных в п. 2.1. размер надбавки составляет 0,5%.</w:t>
      </w:r>
    </w:p>
  </w:footnote>
  <w:footnote w:id="167">
    <w:p w14:paraId="6D0C65F8" w14:textId="77777777" w:rsidR="00951A61" w:rsidRPr="0025009B" w:rsidRDefault="00951A61" w:rsidP="00951A61">
      <w:pPr>
        <w:pStyle w:val="aff1"/>
        <w:jc w:val="both"/>
        <w:rPr>
          <w:rFonts w:ascii="Tahoma" w:hAnsi="Tahoma" w:cs="Tahoma"/>
        </w:rPr>
      </w:pPr>
      <w:r w:rsidRPr="00102DF3">
        <w:rPr>
          <w:rStyle w:val="aff3"/>
          <w:rFonts w:ascii="Tahoma" w:hAnsi="Tahoma" w:cs="Tahoma"/>
        </w:rPr>
        <w:footnoteRef/>
      </w:r>
      <w:r w:rsidRPr="00102DF3">
        <w:rPr>
          <w:rFonts w:ascii="Tahoma" w:hAnsi="Tahoma" w:cs="Tahoma"/>
        </w:rPr>
        <w:t xml:space="preserve"> </w:t>
      </w:r>
      <w:r w:rsidRPr="001F1A46">
        <w:rPr>
          <w:rFonts w:ascii="Tahoma" w:hAnsi="Tahoma" w:cs="Tahoma"/>
        </w:rPr>
        <w:t xml:space="preserve">Если иное не предусмотрено Кредитным договором, надбавка применяется в случае отказа Заемщика от имущественного страхования либо ненадлежащего исполнения Заемщиком условий по </w:t>
      </w:r>
      <w:r w:rsidRPr="00CD2C26">
        <w:rPr>
          <w:rFonts w:ascii="Tahoma" w:hAnsi="Tahoma" w:cs="Tahoma"/>
        </w:rPr>
        <w:t>имущественному страхованию в течение срока действия Кредитного договора.  Внеплановый пересчет процентной ставки (применение надбавки), связанный с неисполнением Заемщиком условия по имущественному страхованию, осуществляется в случае отсутствия у Банка информации об оплаченной страховой премии по договору (полису) имущественного страхования / о заключении нового договора (полиса) имущественного страхования и уплате страховой премии по нему по истечении месяца, следующего за месяцем, в котором состоялось уведомление Заемщика Банком о Внеплановом пересчете процентной ставки</w:t>
      </w:r>
      <w:r w:rsidRPr="00102DF3">
        <w:rPr>
          <w:rFonts w:ascii="Tahoma" w:hAnsi="Tahoma" w:cs="Tahoma"/>
        </w:rPr>
        <w:t xml:space="preserve">. Для </w:t>
      </w:r>
      <w:r w:rsidRPr="0025009B">
        <w:rPr>
          <w:rFonts w:ascii="Tahoma" w:hAnsi="Tahoma" w:cs="Tahoma"/>
        </w:rPr>
        <w:t>категории клиентов, указанных в п. 2.1. размер надбавки составляет 0,5%.</w:t>
      </w:r>
    </w:p>
  </w:footnote>
  <w:footnote w:id="168">
    <w:p w14:paraId="0FB0BE14" w14:textId="77777777" w:rsidR="00951A61" w:rsidRPr="0025009B" w:rsidRDefault="00951A61" w:rsidP="00951A61">
      <w:pPr>
        <w:pStyle w:val="aff1"/>
        <w:jc w:val="both"/>
        <w:rPr>
          <w:rFonts w:ascii="Tahoma" w:hAnsi="Tahoma" w:cs="Tahoma"/>
        </w:rPr>
      </w:pPr>
      <w:r w:rsidRPr="0025009B">
        <w:rPr>
          <w:rStyle w:val="aff3"/>
          <w:rFonts w:ascii="Tahoma" w:hAnsi="Tahoma" w:cs="Tahoma"/>
        </w:rPr>
        <w:footnoteRef/>
      </w:r>
      <w:r w:rsidRPr="0025009B">
        <w:rPr>
          <w:rFonts w:ascii="Tahoma" w:hAnsi="Tahoma" w:cs="Tahoma"/>
        </w:rPr>
        <w:t xml:space="preserve"> Надбавка не применима для категории клиентов, указанных в п. 2.1.</w:t>
      </w:r>
    </w:p>
  </w:footnote>
  <w:footnote w:id="169">
    <w:p w14:paraId="0A78B6CC" w14:textId="77777777" w:rsidR="00951A61" w:rsidRPr="0025009B" w:rsidRDefault="00951A61" w:rsidP="00951A61">
      <w:pPr>
        <w:pStyle w:val="aff1"/>
        <w:jc w:val="both"/>
        <w:rPr>
          <w:rFonts w:ascii="Tahoma" w:hAnsi="Tahoma" w:cs="Tahoma"/>
          <w:sz w:val="16"/>
          <w:szCs w:val="16"/>
        </w:rPr>
      </w:pPr>
      <w:r w:rsidRPr="0025009B">
        <w:rPr>
          <w:rStyle w:val="aff3"/>
          <w:rFonts w:ascii="Tahoma" w:hAnsi="Tahoma" w:cs="Tahoma"/>
        </w:rPr>
        <w:footnoteRef/>
      </w:r>
      <w:r w:rsidRPr="0025009B">
        <w:rPr>
          <w:rFonts w:ascii="Tahoma" w:hAnsi="Tahoma" w:cs="Tahoma"/>
        </w:rPr>
        <w:t xml:space="preserve"> Надбавка не применима для категории клиентов, указанных в п. 2.1.</w:t>
      </w:r>
    </w:p>
  </w:footnote>
  <w:footnote w:id="170">
    <w:p w14:paraId="5409660F" w14:textId="77777777" w:rsidR="00951A61" w:rsidRPr="0025009B" w:rsidRDefault="00951A61" w:rsidP="00951A61">
      <w:pPr>
        <w:pStyle w:val="aff1"/>
        <w:rPr>
          <w:rFonts w:ascii="Tahoma" w:hAnsi="Tahoma" w:cs="Tahoma"/>
        </w:rPr>
      </w:pPr>
      <w:r w:rsidRPr="00160BFD">
        <w:rPr>
          <w:rStyle w:val="aff3"/>
          <w:rFonts w:ascii="Tahoma" w:hAnsi="Tahoma" w:cs="Tahoma"/>
        </w:rPr>
        <w:footnoteRef/>
      </w:r>
      <w:r w:rsidRPr="00160BFD">
        <w:rPr>
          <w:rFonts w:ascii="Tahoma" w:hAnsi="Tahoma" w:cs="Tahoma"/>
        </w:rPr>
        <w:t xml:space="preserve"> В случае применения данной надбавки, дисконт, указанный в п. 2.2. не может быть применен.</w:t>
      </w:r>
    </w:p>
  </w:footnote>
  <w:footnote w:id="171">
    <w:p w14:paraId="6897AD20" w14:textId="77777777" w:rsidR="009D1253" w:rsidRDefault="009D1253" w:rsidP="001004BC">
      <w:pPr>
        <w:pStyle w:val="aff1"/>
        <w:rPr>
          <w:rFonts w:ascii="Tahoma" w:hAnsi="Tahoma" w:cs="Tahoma"/>
          <w:sz w:val="18"/>
          <w:szCs w:val="18"/>
          <w:lang w:eastAsia="en-US"/>
        </w:rPr>
      </w:pPr>
      <w:r w:rsidRPr="0048121D">
        <w:rPr>
          <w:sz w:val="16"/>
          <w:szCs w:val="16"/>
        </w:rPr>
        <w:footnoteRef/>
      </w:r>
      <w:r w:rsidRPr="0048121D">
        <w:rPr>
          <w:sz w:val="16"/>
          <w:szCs w:val="16"/>
        </w:rPr>
        <w:t xml:space="preserve"> Не применяется в случае приобретения квартиры в строящемся многоквартирном доме</w:t>
      </w:r>
    </w:p>
  </w:footnote>
  <w:footnote w:id="172">
    <w:p w14:paraId="2F05D22C" w14:textId="77777777" w:rsidR="009D1253" w:rsidRPr="00401CF1" w:rsidRDefault="009D1253" w:rsidP="00AE7485">
      <w:pPr>
        <w:pStyle w:val="Default"/>
        <w:jc w:val="both"/>
        <w:rPr>
          <w:rFonts w:ascii="Tahoma" w:eastAsia="Times New Roman" w:hAnsi="Tahoma" w:cs="Tahoma"/>
          <w:bCs/>
          <w:iCs/>
          <w:color w:val="auto"/>
          <w:sz w:val="18"/>
          <w:szCs w:val="18"/>
          <w:lang w:eastAsia="ru-RU"/>
        </w:rPr>
      </w:pPr>
      <w:r w:rsidRPr="00F6504C">
        <w:rPr>
          <w:rStyle w:val="aff3"/>
          <w:rFonts w:ascii="Tahoma" w:hAnsi="Tahoma" w:cs="Tahoma"/>
          <w:sz w:val="20"/>
        </w:rPr>
        <w:footnoteRef/>
      </w:r>
      <w:r w:rsidRPr="009C4847">
        <w:rPr>
          <w:rFonts w:ascii="Tahoma" w:hAnsi="Tahoma" w:cs="Tahoma"/>
          <w:sz w:val="18"/>
          <w:szCs w:val="18"/>
        </w:rPr>
        <w:t xml:space="preserve">Все предусмотренные Программой </w:t>
      </w:r>
      <w:r>
        <w:rPr>
          <w:rFonts w:ascii="Tahoma" w:hAnsi="Tahoma" w:cs="Tahoma"/>
          <w:sz w:val="18"/>
          <w:szCs w:val="18"/>
        </w:rPr>
        <w:t>Тарифы (</w:t>
      </w:r>
      <w:r w:rsidRPr="009C4847">
        <w:rPr>
          <w:rFonts w:ascii="Tahoma" w:hAnsi="Tahoma" w:cs="Tahoma"/>
          <w:sz w:val="18"/>
          <w:szCs w:val="18"/>
        </w:rPr>
        <w:t>комиссионные платежи</w:t>
      </w:r>
      <w:r>
        <w:rPr>
          <w:rFonts w:ascii="Tahoma" w:hAnsi="Tahoma" w:cs="Tahoma"/>
          <w:sz w:val="18"/>
          <w:szCs w:val="18"/>
        </w:rPr>
        <w:t>)</w:t>
      </w:r>
      <w:r w:rsidRPr="009C4847">
        <w:rPr>
          <w:rFonts w:ascii="Tahoma" w:hAnsi="Tahoma" w:cs="Tahoma"/>
          <w:sz w:val="18"/>
          <w:szCs w:val="18"/>
        </w:rPr>
        <w:t xml:space="preserve"> взимаются (списываются</w:t>
      </w:r>
      <w:r>
        <w:rPr>
          <w:rFonts w:ascii="Tahoma" w:hAnsi="Tahoma" w:cs="Tahoma"/>
          <w:sz w:val="18"/>
          <w:szCs w:val="18"/>
        </w:rPr>
        <w:t>)</w:t>
      </w:r>
      <w:r w:rsidRPr="009C4847">
        <w:rPr>
          <w:rFonts w:ascii="Tahoma" w:hAnsi="Tahoma" w:cs="Tahoma"/>
          <w:sz w:val="18"/>
          <w:szCs w:val="18"/>
        </w:rPr>
        <w:t xml:space="preserve"> в порядке прямого дебетовани</w:t>
      </w:r>
      <w:r>
        <w:rPr>
          <w:rFonts w:ascii="Tahoma" w:hAnsi="Tahoma" w:cs="Tahoma"/>
          <w:sz w:val="18"/>
          <w:szCs w:val="18"/>
        </w:rPr>
        <w:t>я</w:t>
      </w:r>
      <w:r w:rsidRPr="009C4847">
        <w:rPr>
          <w:rFonts w:ascii="Tahoma" w:hAnsi="Tahoma" w:cs="Tahoma"/>
          <w:sz w:val="18"/>
          <w:szCs w:val="18"/>
        </w:rPr>
        <w:t xml:space="preserve"> на основании заранее данного Клиентом Банку акцепта и (или) инкассовыми поручениями с любого Счета Карты, Накопительного счета Клиента в Банке,</w:t>
      </w:r>
      <w:r>
        <w:rPr>
          <w:rFonts w:ascii="Tahoma" w:hAnsi="Tahoma" w:cs="Tahoma"/>
          <w:sz w:val="18"/>
          <w:szCs w:val="18"/>
        </w:rPr>
        <w:t xml:space="preserve"> </w:t>
      </w:r>
      <w:r w:rsidRPr="009C4847">
        <w:rPr>
          <w:rFonts w:ascii="Tahoma" w:hAnsi="Tahoma" w:cs="Tahoma"/>
          <w:sz w:val="18"/>
          <w:szCs w:val="18"/>
        </w:rPr>
        <w:t xml:space="preserve">в момент совершения соответствующей операции, если иное не установлено </w:t>
      </w:r>
      <w:r>
        <w:rPr>
          <w:rFonts w:ascii="Tahoma" w:hAnsi="Tahoma" w:cs="Tahoma"/>
          <w:sz w:val="18"/>
          <w:szCs w:val="18"/>
        </w:rPr>
        <w:t>Программой</w:t>
      </w:r>
      <w:r w:rsidRPr="009C4847">
        <w:rPr>
          <w:rFonts w:ascii="Tahoma" w:hAnsi="Tahoma" w:cs="Tahoma"/>
          <w:sz w:val="18"/>
          <w:szCs w:val="18"/>
        </w:rPr>
        <w:t>/договором с Клиентом. Списание комиссий в валюте, отличной от валюты счета списани</w:t>
      </w:r>
      <w:r>
        <w:rPr>
          <w:rFonts w:ascii="Tahoma" w:hAnsi="Tahoma" w:cs="Tahoma"/>
          <w:sz w:val="18"/>
          <w:szCs w:val="18"/>
        </w:rPr>
        <w:t>я, производится Банком по курсу</w:t>
      </w:r>
      <w:r w:rsidRPr="009C4847">
        <w:rPr>
          <w:rFonts w:ascii="Tahoma" w:hAnsi="Tahoma" w:cs="Tahoma"/>
          <w:sz w:val="18"/>
          <w:szCs w:val="18"/>
        </w:rPr>
        <w:t xml:space="preserve"> Банка России на день </w:t>
      </w:r>
      <w:r>
        <w:rPr>
          <w:rFonts w:ascii="Tahoma" w:hAnsi="Tahoma" w:cs="Tahoma"/>
          <w:sz w:val="18"/>
          <w:szCs w:val="18"/>
        </w:rPr>
        <w:t>проведения операции</w:t>
      </w:r>
      <w:r w:rsidRPr="009C4847">
        <w:rPr>
          <w:rFonts w:ascii="Tahoma" w:hAnsi="Tahoma" w:cs="Tahoma"/>
          <w:sz w:val="18"/>
          <w:szCs w:val="18"/>
        </w:rPr>
        <w:t>. Комиссии, указанные в процентах, исчисляются от суммы тарифицируемой операции.</w:t>
      </w:r>
      <w:r>
        <w:rPr>
          <w:rFonts w:ascii="Tahoma" w:hAnsi="Tahoma" w:cs="Tahoma"/>
          <w:sz w:val="18"/>
          <w:szCs w:val="18"/>
        </w:rPr>
        <w:t xml:space="preserve"> </w:t>
      </w:r>
      <w:r w:rsidRPr="004F779F">
        <w:rPr>
          <w:rFonts w:ascii="Tahoma" w:hAnsi="Tahoma" w:cs="Tahoma"/>
          <w:sz w:val="18"/>
          <w:szCs w:val="18"/>
        </w:rPr>
        <w:t>Условия, опреде</w:t>
      </w:r>
      <w:r>
        <w:rPr>
          <w:rFonts w:ascii="Tahoma" w:hAnsi="Tahoma" w:cs="Tahoma"/>
          <w:sz w:val="18"/>
          <w:szCs w:val="18"/>
        </w:rPr>
        <w:t>ле</w:t>
      </w:r>
      <w:r w:rsidRPr="004F779F">
        <w:rPr>
          <w:rFonts w:ascii="Tahoma" w:hAnsi="Tahoma" w:cs="Tahoma"/>
          <w:sz w:val="18"/>
          <w:szCs w:val="18"/>
        </w:rPr>
        <w:t xml:space="preserve">нные </w:t>
      </w:r>
      <w:r>
        <w:rPr>
          <w:rFonts w:ascii="Tahoma" w:hAnsi="Tahoma" w:cs="Tahoma"/>
          <w:sz w:val="18"/>
          <w:szCs w:val="18"/>
        </w:rPr>
        <w:t>Программой</w:t>
      </w:r>
      <w:r w:rsidRPr="004F779F">
        <w:rPr>
          <w:rFonts w:ascii="Tahoma" w:hAnsi="Tahoma" w:cs="Tahoma"/>
          <w:sz w:val="18"/>
          <w:szCs w:val="18"/>
        </w:rPr>
        <w:t xml:space="preserve">, имеют приоритетную силу над </w:t>
      </w:r>
      <w:r>
        <w:rPr>
          <w:rFonts w:ascii="Tahoma" w:hAnsi="Tahoma" w:cs="Tahoma"/>
          <w:sz w:val="18"/>
          <w:szCs w:val="18"/>
        </w:rPr>
        <w:t>условиями</w:t>
      </w:r>
      <w:r w:rsidRPr="004F779F">
        <w:rPr>
          <w:rFonts w:ascii="Tahoma" w:hAnsi="Tahoma" w:cs="Tahoma"/>
          <w:sz w:val="18"/>
          <w:szCs w:val="18"/>
        </w:rPr>
        <w:t xml:space="preserve"> </w:t>
      </w:r>
      <w:r>
        <w:rPr>
          <w:rFonts w:ascii="Tahoma" w:hAnsi="Tahoma" w:cs="Tahoma"/>
          <w:sz w:val="18"/>
          <w:szCs w:val="18"/>
        </w:rPr>
        <w:t xml:space="preserve">Универсального договора банковского обслуживания (по тексту – </w:t>
      </w:r>
      <w:r w:rsidRPr="004F779F">
        <w:rPr>
          <w:rFonts w:ascii="Tahoma" w:hAnsi="Tahoma" w:cs="Tahoma"/>
          <w:sz w:val="18"/>
          <w:szCs w:val="18"/>
        </w:rPr>
        <w:t>УДБО</w:t>
      </w:r>
      <w:r>
        <w:rPr>
          <w:rFonts w:ascii="Tahoma" w:hAnsi="Tahoma" w:cs="Tahoma"/>
          <w:sz w:val="18"/>
          <w:szCs w:val="18"/>
        </w:rPr>
        <w:t xml:space="preserve">). </w:t>
      </w:r>
      <w:r w:rsidRPr="007472AF">
        <w:rPr>
          <w:rFonts w:ascii="Tahoma" w:hAnsi="Tahoma" w:cs="Tahoma"/>
          <w:sz w:val="18"/>
          <w:szCs w:val="18"/>
        </w:rPr>
        <w:t>Термины, значение которых не приведено в Программе, применяются в значении, определ</w:t>
      </w:r>
      <w:r>
        <w:rPr>
          <w:rFonts w:ascii="Tahoma" w:hAnsi="Tahoma" w:cs="Tahoma"/>
          <w:sz w:val="18"/>
          <w:szCs w:val="18"/>
        </w:rPr>
        <w:t>е</w:t>
      </w:r>
      <w:r w:rsidRPr="007472AF">
        <w:rPr>
          <w:rFonts w:ascii="Tahoma" w:hAnsi="Tahoma" w:cs="Tahoma"/>
          <w:sz w:val="18"/>
          <w:szCs w:val="18"/>
        </w:rPr>
        <w:t>нном в УДБО, размещ</w:t>
      </w:r>
      <w:r>
        <w:rPr>
          <w:rFonts w:ascii="Tahoma" w:hAnsi="Tahoma" w:cs="Tahoma"/>
          <w:sz w:val="18"/>
          <w:szCs w:val="18"/>
        </w:rPr>
        <w:t>е</w:t>
      </w:r>
      <w:r w:rsidRPr="007472AF">
        <w:rPr>
          <w:rFonts w:ascii="Tahoma" w:hAnsi="Tahoma" w:cs="Tahoma"/>
          <w:sz w:val="18"/>
          <w:szCs w:val="18"/>
        </w:rPr>
        <w:t>нном на Сайте Банка www.atb.su, в Подразделениях Банка, Интернет-Банке и Мобильном Банке.</w:t>
      </w:r>
      <w:r>
        <w:rPr>
          <w:rFonts w:ascii="Tahoma" w:hAnsi="Tahoma" w:cs="Tahoma"/>
          <w:sz w:val="18"/>
          <w:szCs w:val="18"/>
        </w:rPr>
        <w:t xml:space="preserve"> </w:t>
      </w:r>
      <w:r w:rsidRPr="00CF70AE">
        <w:rPr>
          <w:rFonts w:ascii="Tahoma" w:eastAsia="Times New Roman" w:hAnsi="Tahoma" w:cs="Tahoma"/>
          <w:bCs/>
          <w:iCs/>
          <w:color w:val="auto"/>
          <w:sz w:val="18"/>
          <w:szCs w:val="18"/>
          <w:lang w:eastAsia="ru-RU"/>
        </w:rPr>
        <w:t xml:space="preserve">При образовании комиссионной задолженности Клиента перед Банком, Банк имеет право в одностороннем порядке приостановить действие Карт Клиента, </w:t>
      </w:r>
      <w:r>
        <w:rPr>
          <w:rFonts w:ascii="Tahoma" w:eastAsia="Times New Roman" w:hAnsi="Tahoma" w:cs="Tahoma"/>
          <w:bCs/>
          <w:iCs/>
          <w:color w:val="auto"/>
          <w:sz w:val="18"/>
          <w:szCs w:val="18"/>
          <w:lang w:eastAsia="ru-RU"/>
        </w:rPr>
        <w:t>выпущенных в рамках Программы,</w:t>
      </w:r>
      <w:r w:rsidRPr="00CF70AE">
        <w:rPr>
          <w:rFonts w:ascii="Tahoma" w:eastAsia="Times New Roman" w:hAnsi="Tahoma" w:cs="Tahoma"/>
          <w:bCs/>
          <w:iCs/>
          <w:color w:val="auto"/>
          <w:sz w:val="18"/>
          <w:szCs w:val="18"/>
          <w:lang w:eastAsia="ru-RU"/>
        </w:rPr>
        <w:t xml:space="preserve"> Программы лояльности</w:t>
      </w:r>
      <w:r>
        <w:rPr>
          <w:rFonts w:ascii="Tahoma" w:eastAsia="Times New Roman" w:hAnsi="Tahoma" w:cs="Tahoma"/>
          <w:bCs/>
          <w:iCs/>
          <w:color w:val="auto"/>
          <w:sz w:val="18"/>
          <w:szCs w:val="18"/>
          <w:lang w:eastAsia="ru-RU"/>
        </w:rPr>
        <w:t xml:space="preserve"> и иных сервисов</w:t>
      </w:r>
      <w:r w:rsidRPr="00CF70AE">
        <w:rPr>
          <w:rFonts w:ascii="Tahoma" w:eastAsia="Times New Roman" w:hAnsi="Tahoma" w:cs="Tahoma"/>
          <w:bCs/>
          <w:iCs/>
          <w:color w:val="auto"/>
          <w:sz w:val="18"/>
          <w:szCs w:val="18"/>
          <w:lang w:eastAsia="ru-RU"/>
        </w:rPr>
        <w:t>, действующ</w:t>
      </w:r>
      <w:r>
        <w:rPr>
          <w:rFonts w:ascii="Tahoma" w:eastAsia="Times New Roman" w:hAnsi="Tahoma" w:cs="Tahoma"/>
          <w:bCs/>
          <w:iCs/>
          <w:color w:val="auto"/>
          <w:sz w:val="18"/>
          <w:szCs w:val="18"/>
          <w:lang w:eastAsia="ru-RU"/>
        </w:rPr>
        <w:t>их</w:t>
      </w:r>
      <w:r w:rsidRPr="00CF70AE">
        <w:rPr>
          <w:rFonts w:ascii="Tahoma" w:eastAsia="Times New Roman" w:hAnsi="Tahoma" w:cs="Tahoma"/>
          <w:bCs/>
          <w:iCs/>
          <w:color w:val="auto"/>
          <w:sz w:val="18"/>
          <w:szCs w:val="18"/>
          <w:lang w:eastAsia="ru-RU"/>
        </w:rPr>
        <w:t xml:space="preserve"> в рамках Программы (операции по Счетам без использования Карт/рекви</w:t>
      </w:r>
      <w:r>
        <w:rPr>
          <w:rFonts w:ascii="Tahoma" w:eastAsia="Times New Roman" w:hAnsi="Tahoma" w:cs="Tahoma"/>
          <w:bCs/>
          <w:iCs/>
          <w:color w:val="auto"/>
          <w:sz w:val="18"/>
          <w:szCs w:val="18"/>
          <w:lang w:eastAsia="ru-RU"/>
        </w:rPr>
        <w:t>зитов Карт остаются доступными</w:t>
      </w:r>
      <w:r w:rsidRPr="00AC51CE">
        <w:rPr>
          <w:rFonts w:ascii="Tahoma" w:eastAsia="Times New Roman" w:hAnsi="Tahoma" w:cs="Tahoma"/>
          <w:bCs/>
          <w:iCs/>
          <w:color w:val="auto"/>
          <w:sz w:val="18"/>
          <w:szCs w:val="18"/>
          <w:lang w:eastAsia="ru-RU"/>
        </w:rPr>
        <w:t>), до даты погашения этой комиссионной задолженности, за исключением случаев, предусмотренных законодательством РФ.</w:t>
      </w:r>
    </w:p>
  </w:footnote>
  <w:footnote w:id="173">
    <w:p w14:paraId="0D5CBC6D" w14:textId="77777777" w:rsidR="009D1253" w:rsidRPr="008062F7" w:rsidRDefault="009D1253" w:rsidP="00AE7485">
      <w:pPr>
        <w:tabs>
          <w:tab w:val="left" w:pos="284"/>
        </w:tabs>
        <w:jc w:val="both"/>
        <w:rPr>
          <w:rFonts w:ascii="Tahoma" w:hAnsi="Tahoma" w:cs="Tahoma"/>
          <w:sz w:val="18"/>
          <w:szCs w:val="18"/>
        </w:rPr>
      </w:pPr>
      <w:r w:rsidRPr="00401CF1">
        <w:rPr>
          <w:rFonts w:ascii="Tahoma" w:hAnsi="Tahoma" w:cs="Tahoma"/>
          <w:sz w:val="18"/>
          <w:szCs w:val="18"/>
          <w:vertAlign w:val="superscript"/>
        </w:rPr>
        <w:footnoteRef/>
      </w:r>
      <w:r w:rsidRPr="008062F7">
        <w:rPr>
          <w:rFonts w:ascii="Tahoma" w:hAnsi="Tahoma" w:cs="Tahoma"/>
          <w:sz w:val="18"/>
          <w:szCs w:val="18"/>
        </w:rPr>
        <w:t>Операции с денежными средствами на валютных счетах, вкладах Клиентов</w:t>
      </w:r>
      <w:r>
        <w:rPr>
          <w:rFonts w:ascii="Tahoma" w:hAnsi="Tahoma" w:cs="Tahoma"/>
          <w:sz w:val="18"/>
          <w:szCs w:val="18"/>
        </w:rPr>
        <w:t xml:space="preserve"> и использование платежных карт</w:t>
      </w:r>
      <w:r w:rsidRPr="008062F7">
        <w:rPr>
          <w:rFonts w:ascii="Tahoma" w:hAnsi="Tahoma" w:cs="Tahoma"/>
          <w:sz w:val="18"/>
          <w:szCs w:val="18"/>
        </w:rPr>
        <w:t xml:space="preserve"> осуществляются при соблюдении установленных законодательством Российской Федерации (в том числе актами Центрального банка РФ, иных уполномоченных лиц/органов, действующих на территории Российской Федерации), ограничений/условий.</w:t>
      </w:r>
    </w:p>
  </w:footnote>
  <w:footnote w:id="174">
    <w:p w14:paraId="39B55E4A" w14:textId="77777777" w:rsidR="009D1253" w:rsidRPr="008062F7" w:rsidRDefault="009D1253" w:rsidP="00AE7485">
      <w:pPr>
        <w:pStyle w:val="aff1"/>
        <w:jc w:val="both"/>
        <w:rPr>
          <w:rFonts w:ascii="Tahoma" w:hAnsi="Tahoma" w:cs="Tahoma"/>
          <w:sz w:val="18"/>
          <w:szCs w:val="18"/>
        </w:rPr>
      </w:pPr>
      <w:r w:rsidRPr="00401CF1">
        <w:rPr>
          <w:rFonts w:ascii="Tahoma" w:hAnsi="Tahoma" w:cs="Tahoma"/>
          <w:sz w:val="18"/>
          <w:szCs w:val="18"/>
          <w:vertAlign w:val="superscript"/>
        </w:rPr>
        <w:footnoteRef/>
      </w:r>
      <w:r w:rsidRPr="008062F7">
        <w:rPr>
          <w:rFonts w:ascii="Tahoma" w:hAnsi="Tahoma" w:cs="Tahoma"/>
          <w:sz w:val="18"/>
          <w:szCs w:val="18"/>
        </w:rPr>
        <w:t>Программа – настоящий документ.</w:t>
      </w:r>
    </w:p>
  </w:footnote>
  <w:footnote w:id="175">
    <w:p w14:paraId="7DEF1BAA" w14:textId="77777777" w:rsidR="009D1253" w:rsidRPr="008062F7" w:rsidRDefault="009D1253" w:rsidP="00AE7485">
      <w:pPr>
        <w:pStyle w:val="aff1"/>
        <w:jc w:val="both"/>
        <w:rPr>
          <w:rFonts w:ascii="Tahoma" w:hAnsi="Tahoma" w:cs="Tahoma"/>
          <w:sz w:val="18"/>
          <w:szCs w:val="18"/>
        </w:rPr>
      </w:pPr>
      <w:r w:rsidRPr="00401CF1">
        <w:rPr>
          <w:rFonts w:ascii="Tahoma" w:hAnsi="Tahoma" w:cs="Tahoma"/>
          <w:sz w:val="18"/>
          <w:szCs w:val="18"/>
          <w:vertAlign w:val="superscript"/>
        </w:rPr>
        <w:footnoteRef/>
      </w:r>
      <w:r w:rsidRPr="008062F7">
        <w:rPr>
          <w:rFonts w:ascii="Tahoma" w:hAnsi="Tahoma" w:cs="Tahoma"/>
          <w:sz w:val="18"/>
          <w:szCs w:val="18"/>
        </w:rPr>
        <w:t xml:space="preserve">Отчетный период – календарный месяц, начинающийся с 1 (первого) </w:t>
      </w:r>
      <w:r>
        <w:rPr>
          <w:rFonts w:ascii="Tahoma" w:hAnsi="Tahoma" w:cs="Tahoma"/>
          <w:sz w:val="18"/>
          <w:szCs w:val="18"/>
        </w:rPr>
        <w:t xml:space="preserve">по последнее </w:t>
      </w:r>
      <w:r w:rsidRPr="008062F7">
        <w:rPr>
          <w:rFonts w:ascii="Tahoma" w:hAnsi="Tahoma" w:cs="Tahoma"/>
          <w:sz w:val="18"/>
          <w:szCs w:val="18"/>
        </w:rPr>
        <w:t>числ</w:t>
      </w:r>
      <w:r>
        <w:rPr>
          <w:rFonts w:ascii="Tahoma" w:hAnsi="Tahoma" w:cs="Tahoma"/>
          <w:sz w:val="18"/>
          <w:szCs w:val="18"/>
        </w:rPr>
        <w:t>о</w:t>
      </w:r>
      <w:r w:rsidRPr="008062F7">
        <w:rPr>
          <w:rFonts w:ascii="Tahoma" w:hAnsi="Tahoma" w:cs="Tahoma"/>
          <w:sz w:val="18"/>
          <w:szCs w:val="18"/>
        </w:rPr>
        <w:t xml:space="preserve"> месяца.</w:t>
      </w:r>
    </w:p>
  </w:footnote>
  <w:footnote w:id="176">
    <w:p w14:paraId="59054058" w14:textId="77777777" w:rsidR="009D1253" w:rsidRPr="00AE7485" w:rsidRDefault="009D1253" w:rsidP="00AE7485">
      <w:pPr>
        <w:pStyle w:val="23"/>
        <w:tabs>
          <w:tab w:val="left" w:pos="709"/>
        </w:tabs>
        <w:rPr>
          <w:rFonts w:ascii="Tahoma" w:eastAsia="Calibri" w:hAnsi="Tahoma" w:cs="Tahoma"/>
          <w:sz w:val="18"/>
          <w:szCs w:val="18"/>
          <w:lang w:eastAsia="en-US"/>
        </w:rPr>
      </w:pPr>
      <w:r w:rsidRPr="00AE7485">
        <w:rPr>
          <w:rFonts w:ascii="Tahoma" w:eastAsia="Calibri" w:hAnsi="Tahoma" w:cs="Tahoma"/>
          <w:sz w:val="18"/>
          <w:szCs w:val="18"/>
          <w:vertAlign w:val="superscript"/>
          <w:lang w:eastAsia="en-US"/>
        </w:rPr>
        <w:footnoteRef/>
      </w:r>
      <w:r w:rsidRPr="00AE7485">
        <w:rPr>
          <w:rFonts w:ascii="Tahoma" w:eastAsia="Calibri" w:hAnsi="Tahoma" w:cs="Tahoma"/>
          <w:sz w:val="18"/>
          <w:szCs w:val="18"/>
          <w:lang w:eastAsia="en-US"/>
        </w:rPr>
        <w:t>Порядок начисления и взимания Банком комиссионного вознаграждения (комиссия), установленного Программой, для Клиентов-держателей Программы (взимается Банком не позднее четвертого рабочего дня месяца, следующего за месяцем предоставления услуги в соответствии с Программой):</w:t>
      </w:r>
    </w:p>
    <w:p w14:paraId="398245EA" w14:textId="77777777" w:rsidR="009D1253" w:rsidRPr="008062F7" w:rsidRDefault="009D1253" w:rsidP="00AE7485">
      <w:pPr>
        <w:pStyle w:val="Default"/>
        <w:numPr>
          <w:ilvl w:val="1"/>
          <w:numId w:val="22"/>
        </w:numPr>
        <w:ind w:left="567" w:hanging="414"/>
        <w:jc w:val="both"/>
        <w:rPr>
          <w:rFonts w:ascii="Tahoma" w:hAnsi="Tahoma" w:cs="Tahoma"/>
          <w:color w:val="auto"/>
          <w:sz w:val="18"/>
          <w:szCs w:val="18"/>
        </w:rPr>
      </w:pPr>
      <w:r w:rsidRPr="008062F7">
        <w:rPr>
          <w:rFonts w:ascii="Tahoma" w:hAnsi="Tahoma" w:cs="Tahoma"/>
          <w:color w:val="auto"/>
          <w:sz w:val="18"/>
          <w:szCs w:val="18"/>
        </w:rPr>
        <w:t>В Льготный период – комиссия не начисляется.</w:t>
      </w:r>
    </w:p>
    <w:p w14:paraId="55C0E298" w14:textId="77777777" w:rsidR="009D1253" w:rsidRPr="008062F7" w:rsidRDefault="009D1253" w:rsidP="00AE7485">
      <w:pPr>
        <w:pStyle w:val="Default"/>
        <w:numPr>
          <w:ilvl w:val="1"/>
          <w:numId w:val="22"/>
        </w:numPr>
        <w:ind w:left="567" w:hanging="414"/>
        <w:jc w:val="both"/>
        <w:rPr>
          <w:rFonts w:ascii="Tahoma" w:hAnsi="Tahoma" w:cs="Tahoma"/>
          <w:color w:val="auto"/>
          <w:sz w:val="18"/>
          <w:szCs w:val="18"/>
        </w:rPr>
      </w:pPr>
      <w:r w:rsidRPr="008062F7">
        <w:rPr>
          <w:rFonts w:ascii="Tahoma" w:hAnsi="Tahoma" w:cs="Tahoma"/>
          <w:color w:val="auto"/>
          <w:sz w:val="18"/>
          <w:szCs w:val="18"/>
        </w:rPr>
        <w:t xml:space="preserve">С первого Отчетного периода, следующего за месяцем оформления Программы Клиентом и в последующие Отчетные периоды, комиссия начисляется исходя из условий, указанных п.2 Программы. При несоблюдении условий, указанных в п.2  Программы, комиссия рассчитывается и взимается в третьем и последующих Отчетных периодах за предшествующий не позднее четвертого рабочего дня месяца. </w:t>
      </w:r>
    </w:p>
    <w:p w14:paraId="63C1D116" w14:textId="77777777" w:rsidR="009D1253" w:rsidRPr="009C4847" w:rsidRDefault="009D1253" w:rsidP="00AE7485">
      <w:pPr>
        <w:pStyle w:val="Default"/>
        <w:numPr>
          <w:ilvl w:val="1"/>
          <w:numId w:val="22"/>
        </w:numPr>
        <w:ind w:left="142" w:firstLine="0"/>
        <w:jc w:val="both"/>
        <w:rPr>
          <w:rFonts w:ascii="Tahoma" w:eastAsia="Times New Roman" w:hAnsi="Tahoma" w:cs="Tahoma"/>
          <w:bCs/>
          <w:iCs/>
          <w:color w:val="auto"/>
          <w:sz w:val="18"/>
          <w:szCs w:val="18"/>
          <w:lang w:eastAsia="ru-RU"/>
        </w:rPr>
      </w:pPr>
      <w:r w:rsidRPr="008062F7">
        <w:rPr>
          <w:rFonts w:ascii="Tahoma" w:hAnsi="Tahoma" w:cs="Tahoma"/>
          <w:color w:val="auto"/>
          <w:sz w:val="18"/>
          <w:szCs w:val="18"/>
        </w:rPr>
        <w:t>При расторжении Программы (по любой из причин) комиссия начисляется и взимается в день принятия Банком Заявления о расторжении Программы банковских услуг «Статус». За неполный месяц при подаче такого Заявления комиссия</w:t>
      </w:r>
      <w:r w:rsidRPr="009C4847">
        <w:rPr>
          <w:rFonts w:ascii="Tahoma" w:eastAsia="Times New Roman" w:hAnsi="Tahoma" w:cs="Tahoma"/>
          <w:bCs/>
          <w:iCs/>
          <w:color w:val="auto"/>
          <w:sz w:val="18"/>
          <w:szCs w:val="18"/>
          <w:lang w:eastAsia="ru-RU"/>
        </w:rPr>
        <w:t xml:space="preserve"> не начисляется</w:t>
      </w:r>
      <w:r>
        <w:rPr>
          <w:rFonts w:ascii="Tahoma" w:eastAsia="Times New Roman" w:hAnsi="Tahoma" w:cs="Tahoma"/>
          <w:bCs/>
          <w:iCs/>
          <w:color w:val="auto"/>
          <w:sz w:val="18"/>
          <w:szCs w:val="18"/>
          <w:lang w:eastAsia="ru-RU"/>
        </w:rPr>
        <w:t xml:space="preserve"> и не взимается</w:t>
      </w:r>
      <w:r w:rsidRPr="009C4847">
        <w:rPr>
          <w:rFonts w:ascii="Tahoma" w:eastAsia="Times New Roman" w:hAnsi="Tahoma" w:cs="Tahoma"/>
          <w:bCs/>
          <w:iCs/>
          <w:color w:val="auto"/>
          <w:sz w:val="18"/>
          <w:szCs w:val="18"/>
          <w:lang w:eastAsia="ru-RU"/>
        </w:rPr>
        <w:t xml:space="preserve"> (за исключением случаев расторжения Программы в Льготном периоде (</w:t>
      </w:r>
      <w:r w:rsidRPr="00486BCA">
        <w:rPr>
          <w:rFonts w:ascii="Tahoma" w:eastAsia="Times New Roman" w:hAnsi="Tahoma" w:cs="Tahoma"/>
          <w:bCs/>
          <w:iCs/>
          <w:color w:val="auto"/>
          <w:sz w:val="18"/>
          <w:szCs w:val="18"/>
          <w:lang w:eastAsia="ru-RU"/>
        </w:rPr>
        <w:t>п.</w:t>
      </w:r>
      <w:r w:rsidRPr="00055AB5">
        <w:rPr>
          <w:rFonts w:ascii="Tahoma" w:eastAsia="Times New Roman" w:hAnsi="Tahoma" w:cs="Tahoma"/>
          <w:bCs/>
          <w:iCs/>
          <w:color w:val="auto"/>
          <w:sz w:val="18"/>
          <w:szCs w:val="18"/>
          <w:lang w:eastAsia="ru-RU"/>
        </w:rPr>
        <w:t>5</w:t>
      </w:r>
      <w:r w:rsidRPr="00486BCA">
        <w:rPr>
          <w:rFonts w:ascii="Tahoma" w:eastAsia="Times New Roman" w:hAnsi="Tahoma" w:cs="Tahoma"/>
          <w:bCs/>
          <w:iCs/>
          <w:color w:val="auto"/>
          <w:sz w:val="18"/>
          <w:szCs w:val="18"/>
          <w:lang w:val="en-US" w:eastAsia="ru-RU"/>
        </w:rPr>
        <w:t>d</w:t>
      </w:r>
      <w:r w:rsidRPr="009C4847">
        <w:rPr>
          <w:rFonts w:ascii="Tahoma" w:eastAsia="Times New Roman" w:hAnsi="Tahoma" w:cs="Tahoma"/>
          <w:bCs/>
          <w:iCs/>
          <w:color w:val="auto"/>
          <w:sz w:val="18"/>
          <w:szCs w:val="18"/>
          <w:lang w:eastAsia="ru-RU"/>
        </w:rPr>
        <w:t xml:space="preserve"> </w:t>
      </w:r>
      <w:r w:rsidRPr="009C4847">
        <w:rPr>
          <w:rFonts w:ascii="Tahoma" w:hAnsi="Tahoma" w:cs="Tahoma"/>
          <w:bCs/>
          <w:iCs/>
          <w:sz w:val="18"/>
          <w:szCs w:val="18"/>
        </w:rPr>
        <w:t>настоящих Примечаний</w:t>
      </w:r>
      <w:r w:rsidRPr="009C4847">
        <w:rPr>
          <w:rFonts w:ascii="Tahoma" w:eastAsia="Times New Roman" w:hAnsi="Tahoma" w:cs="Tahoma"/>
          <w:bCs/>
          <w:iCs/>
          <w:color w:val="auto"/>
          <w:sz w:val="18"/>
          <w:szCs w:val="18"/>
          <w:lang w:eastAsia="ru-RU"/>
        </w:rPr>
        <w:t>).</w:t>
      </w:r>
    </w:p>
    <w:p w14:paraId="1D7F1A1A" w14:textId="77777777" w:rsidR="009D1253" w:rsidRPr="009C4847" w:rsidRDefault="009D1253" w:rsidP="00AE7485">
      <w:pPr>
        <w:pStyle w:val="Default"/>
        <w:numPr>
          <w:ilvl w:val="1"/>
          <w:numId w:val="22"/>
        </w:numPr>
        <w:ind w:left="567" w:hanging="425"/>
        <w:jc w:val="both"/>
        <w:rPr>
          <w:rFonts w:ascii="Tahoma" w:eastAsia="Times New Roman" w:hAnsi="Tahoma" w:cs="Tahoma"/>
          <w:bCs/>
          <w:iCs/>
          <w:color w:val="auto"/>
          <w:sz w:val="18"/>
          <w:szCs w:val="18"/>
          <w:lang w:eastAsia="ru-RU"/>
        </w:rPr>
      </w:pPr>
      <w:r>
        <w:rPr>
          <w:rFonts w:ascii="Tahoma" w:eastAsia="Times New Roman" w:hAnsi="Tahoma" w:cs="Tahoma"/>
          <w:bCs/>
          <w:iCs/>
          <w:color w:val="auto"/>
          <w:sz w:val="18"/>
          <w:szCs w:val="18"/>
          <w:lang w:eastAsia="ru-RU"/>
        </w:rPr>
        <w:t>В случае расторжения</w:t>
      </w:r>
      <w:r w:rsidRPr="00796B27">
        <w:rPr>
          <w:rFonts w:ascii="Tahoma" w:eastAsia="Times New Roman" w:hAnsi="Tahoma" w:cs="Tahoma"/>
          <w:bCs/>
          <w:iCs/>
          <w:color w:val="auto"/>
          <w:sz w:val="18"/>
          <w:szCs w:val="18"/>
          <w:lang w:eastAsia="ru-RU"/>
        </w:rPr>
        <w:t xml:space="preserve"> Программы </w:t>
      </w:r>
      <w:r w:rsidRPr="009C4847">
        <w:rPr>
          <w:rFonts w:ascii="Tahoma" w:eastAsia="Times New Roman" w:hAnsi="Tahoma" w:cs="Tahoma"/>
          <w:bCs/>
          <w:iCs/>
          <w:color w:val="auto"/>
          <w:sz w:val="18"/>
          <w:szCs w:val="18"/>
          <w:lang w:eastAsia="ru-RU"/>
        </w:rPr>
        <w:t xml:space="preserve">в Льготном периоде </w:t>
      </w:r>
      <w:r w:rsidRPr="00796B27">
        <w:rPr>
          <w:rFonts w:ascii="Tahoma" w:eastAsia="Times New Roman" w:hAnsi="Tahoma" w:cs="Tahoma"/>
          <w:bCs/>
          <w:iCs/>
          <w:color w:val="auto"/>
          <w:sz w:val="18"/>
          <w:szCs w:val="18"/>
          <w:lang w:eastAsia="ru-RU"/>
        </w:rPr>
        <w:t xml:space="preserve">по </w:t>
      </w:r>
      <w:r>
        <w:rPr>
          <w:rFonts w:ascii="Tahoma" w:eastAsia="Times New Roman" w:hAnsi="Tahoma" w:cs="Tahoma"/>
          <w:bCs/>
          <w:iCs/>
          <w:color w:val="auto"/>
          <w:sz w:val="18"/>
          <w:szCs w:val="18"/>
          <w:lang w:eastAsia="ru-RU"/>
        </w:rPr>
        <w:t>любой из причин</w:t>
      </w:r>
      <w:r w:rsidRPr="00796B27">
        <w:rPr>
          <w:rFonts w:ascii="Tahoma" w:eastAsia="Times New Roman" w:hAnsi="Tahoma" w:cs="Tahoma"/>
          <w:bCs/>
          <w:iCs/>
          <w:color w:val="auto"/>
          <w:sz w:val="18"/>
          <w:szCs w:val="18"/>
          <w:lang w:eastAsia="ru-RU"/>
        </w:rPr>
        <w:t>, предусмотренных законодательством РФ и Договором</w:t>
      </w:r>
      <w:r>
        <w:rPr>
          <w:rFonts w:ascii="Tahoma" w:eastAsia="Times New Roman" w:hAnsi="Tahoma" w:cs="Tahoma"/>
          <w:bCs/>
          <w:iCs/>
          <w:color w:val="auto"/>
          <w:sz w:val="18"/>
          <w:szCs w:val="18"/>
          <w:lang w:eastAsia="ru-RU"/>
        </w:rPr>
        <w:t>, заключенным</w:t>
      </w:r>
      <w:r w:rsidRPr="00796B27">
        <w:rPr>
          <w:rFonts w:ascii="Tahoma" w:eastAsia="Times New Roman" w:hAnsi="Tahoma" w:cs="Tahoma"/>
          <w:bCs/>
          <w:iCs/>
          <w:color w:val="auto"/>
          <w:sz w:val="18"/>
          <w:szCs w:val="18"/>
          <w:lang w:eastAsia="ru-RU"/>
        </w:rPr>
        <w:t xml:space="preserve"> с Клиентом</w:t>
      </w:r>
      <w:r>
        <w:rPr>
          <w:rFonts w:ascii="Tahoma" w:eastAsia="Times New Roman" w:hAnsi="Tahoma" w:cs="Tahoma"/>
          <w:bCs/>
          <w:iCs/>
          <w:color w:val="auto"/>
          <w:sz w:val="18"/>
          <w:szCs w:val="18"/>
          <w:lang w:eastAsia="ru-RU"/>
        </w:rPr>
        <w:t>,</w:t>
      </w:r>
      <w:r w:rsidRPr="00B51EDB" w:rsidDel="00B51EDB">
        <w:rPr>
          <w:rFonts w:ascii="Tahoma" w:eastAsia="Times New Roman" w:hAnsi="Tahoma" w:cs="Tahoma"/>
          <w:bCs/>
          <w:iCs/>
          <w:color w:val="auto"/>
          <w:sz w:val="18"/>
          <w:szCs w:val="18"/>
          <w:lang w:eastAsia="ru-RU"/>
        </w:rPr>
        <w:t xml:space="preserve"> </w:t>
      </w:r>
      <w:r w:rsidRPr="00796B27">
        <w:rPr>
          <w:rFonts w:ascii="Tahoma" w:eastAsia="Times New Roman" w:hAnsi="Tahoma" w:cs="Tahoma"/>
          <w:b/>
          <w:bCs/>
          <w:iCs/>
          <w:color w:val="auto"/>
          <w:sz w:val="18"/>
          <w:szCs w:val="18"/>
          <w:lang w:eastAsia="ru-RU"/>
        </w:rPr>
        <w:t xml:space="preserve">Банк </w:t>
      </w:r>
      <w:r>
        <w:rPr>
          <w:rFonts w:ascii="Tahoma" w:eastAsia="Times New Roman" w:hAnsi="Tahoma" w:cs="Tahoma"/>
          <w:b/>
          <w:bCs/>
          <w:iCs/>
          <w:color w:val="auto"/>
          <w:sz w:val="18"/>
          <w:szCs w:val="18"/>
          <w:lang w:eastAsia="ru-RU"/>
        </w:rPr>
        <w:t xml:space="preserve">рассчитывает и взимает комиссию за обслуживание Программы </w:t>
      </w:r>
      <w:r w:rsidRPr="00796B27">
        <w:rPr>
          <w:rFonts w:ascii="Tahoma" w:eastAsia="Times New Roman" w:hAnsi="Tahoma" w:cs="Tahoma"/>
          <w:b/>
          <w:bCs/>
          <w:iCs/>
          <w:color w:val="auto"/>
          <w:sz w:val="18"/>
          <w:szCs w:val="18"/>
          <w:lang w:eastAsia="ru-RU"/>
        </w:rPr>
        <w:t>в размере суммы ежемесячного обслу</w:t>
      </w:r>
      <w:r w:rsidRPr="00B51EDB">
        <w:rPr>
          <w:rFonts w:ascii="Tahoma" w:eastAsia="Times New Roman" w:hAnsi="Tahoma" w:cs="Tahoma"/>
          <w:b/>
          <w:bCs/>
          <w:iCs/>
          <w:color w:val="auto"/>
          <w:sz w:val="18"/>
          <w:szCs w:val="18"/>
          <w:lang w:eastAsia="ru-RU"/>
        </w:rPr>
        <w:t>ж</w:t>
      </w:r>
      <w:r>
        <w:rPr>
          <w:rFonts w:ascii="Tahoma" w:eastAsia="Times New Roman" w:hAnsi="Tahoma" w:cs="Tahoma"/>
          <w:b/>
          <w:bCs/>
          <w:iCs/>
          <w:color w:val="auto"/>
          <w:sz w:val="18"/>
          <w:szCs w:val="18"/>
          <w:lang w:eastAsia="ru-RU"/>
        </w:rPr>
        <w:t>ивания согласно п.2 Программы.</w:t>
      </w:r>
    </w:p>
    <w:p w14:paraId="30191A82" w14:textId="77777777" w:rsidR="009D1253" w:rsidRPr="009C4847" w:rsidRDefault="009D1253" w:rsidP="00AE7485">
      <w:pPr>
        <w:pStyle w:val="Default"/>
        <w:jc w:val="both"/>
        <w:rPr>
          <w:rFonts w:ascii="Tahoma" w:eastAsia="Times New Roman" w:hAnsi="Tahoma" w:cs="Tahoma"/>
          <w:bCs/>
          <w:iCs/>
          <w:color w:val="auto"/>
          <w:sz w:val="18"/>
          <w:szCs w:val="18"/>
          <w:lang w:eastAsia="ru-RU"/>
        </w:rPr>
      </w:pPr>
      <w:r>
        <w:rPr>
          <w:rFonts w:ascii="Tahoma" w:eastAsia="Times New Roman" w:hAnsi="Tahoma" w:cs="Tahoma"/>
          <w:bCs/>
          <w:iCs/>
          <w:color w:val="auto"/>
          <w:sz w:val="18"/>
          <w:szCs w:val="18"/>
          <w:lang w:val="en-US" w:eastAsia="ru-RU"/>
        </w:rPr>
        <w:t>C</w:t>
      </w:r>
      <w:r w:rsidRPr="009C4847">
        <w:rPr>
          <w:rFonts w:ascii="Tahoma" w:eastAsia="Times New Roman" w:hAnsi="Tahoma" w:cs="Tahoma"/>
          <w:bCs/>
          <w:iCs/>
          <w:color w:val="auto"/>
          <w:sz w:val="18"/>
          <w:szCs w:val="18"/>
          <w:lang w:eastAsia="ru-RU"/>
        </w:rPr>
        <w:t>писание комиссии за обслуживание Программы осуществляется единовременно с любых Счетов Клиента, открытых в рамках Программы, в следующей очередности</w:t>
      </w:r>
      <w:r w:rsidRPr="00A35D34">
        <w:rPr>
          <w:rFonts w:ascii="Tahoma" w:eastAsia="Times New Roman" w:hAnsi="Tahoma" w:cs="Tahoma"/>
          <w:bCs/>
          <w:iCs/>
          <w:color w:val="auto"/>
          <w:sz w:val="18"/>
          <w:szCs w:val="18"/>
          <w:lang w:eastAsia="ru-RU"/>
        </w:rPr>
        <w:t xml:space="preserve"> (</w:t>
      </w:r>
      <w:r w:rsidRPr="009C4847">
        <w:rPr>
          <w:rFonts w:ascii="Tahoma" w:hAnsi="Tahoma" w:cs="Tahoma"/>
          <w:bCs/>
          <w:iCs/>
          <w:sz w:val="18"/>
          <w:szCs w:val="18"/>
        </w:rPr>
        <w:t>с учетом п.1 настоящих Примечаний, если иное не установлено настоящим пунктом</w:t>
      </w:r>
      <w:r w:rsidRPr="00A35D34">
        <w:rPr>
          <w:rFonts w:ascii="Tahoma" w:hAnsi="Tahoma" w:cs="Tahoma"/>
          <w:bCs/>
          <w:iCs/>
          <w:sz w:val="18"/>
          <w:szCs w:val="18"/>
        </w:rPr>
        <w:t>)</w:t>
      </w:r>
      <w:r w:rsidRPr="009C4847">
        <w:rPr>
          <w:rFonts w:ascii="Tahoma" w:eastAsia="Times New Roman" w:hAnsi="Tahoma" w:cs="Tahoma"/>
          <w:bCs/>
          <w:iCs/>
          <w:color w:val="auto"/>
          <w:sz w:val="18"/>
          <w:szCs w:val="18"/>
          <w:lang w:eastAsia="ru-RU"/>
        </w:rPr>
        <w:t>:</w:t>
      </w:r>
      <w:r w:rsidRPr="00615551">
        <w:rPr>
          <w:rFonts w:ascii="Tahoma" w:eastAsia="Times New Roman" w:hAnsi="Tahoma" w:cs="Tahoma"/>
          <w:b/>
          <w:bCs/>
          <w:iCs/>
          <w:color w:val="auto"/>
          <w:sz w:val="18"/>
          <w:szCs w:val="18"/>
          <w:lang w:eastAsia="ru-RU"/>
        </w:rPr>
        <w:t xml:space="preserve"> </w:t>
      </w:r>
      <w:r>
        <w:rPr>
          <w:rFonts w:ascii="Tahoma" w:eastAsia="Times New Roman" w:hAnsi="Tahoma" w:cs="Tahoma"/>
          <w:b/>
          <w:bCs/>
          <w:iCs/>
          <w:color w:val="auto"/>
          <w:sz w:val="18"/>
          <w:szCs w:val="18"/>
          <w:lang w:eastAsia="ru-RU"/>
        </w:rPr>
        <w:t>(1</w:t>
      </w:r>
      <w:r w:rsidRPr="00261F20">
        <w:rPr>
          <w:rFonts w:ascii="Tahoma" w:eastAsia="Times New Roman" w:hAnsi="Tahoma" w:cs="Tahoma"/>
          <w:b/>
          <w:bCs/>
          <w:iCs/>
          <w:color w:val="auto"/>
          <w:sz w:val="18"/>
          <w:szCs w:val="18"/>
          <w:lang w:eastAsia="ru-RU"/>
        </w:rPr>
        <w:t>)</w:t>
      </w:r>
      <w:r w:rsidRPr="009C4847">
        <w:rPr>
          <w:rFonts w:ascii="Tahoma" w:eastAsia="Times New Roman" w:hAnsi="Tahoma" w:cs="Tahoma"/>
          <w:bCs/>
          <w:iCs/>
          <w:color w:val="auto"/>
          <w:sz w:val="18"/>
          <w:szCs w:val="18"/>
          <w:lang w:eastAsia="ru-RU"/>
        </w:rPr>
        <w:t xml:space="preserve"> Накопительные счета в рублях РФ; </w:t>
      </w:r>
      <w:r>
        <w:rPr>
          <w:rFonts w:ascii="Tahoma" w:eastAsia="Times New Roman" w:hAnsi="Tahoma" w:cs="Tahoma"/>
          <w:b/>
          <w:bCs/>
          <w:iCs/>
          <w:color w:val="auto"/>
          <w:sz w:val="18"/>
          <w:szCs w:val="18"/>
          <w:lang w:eastAsia="ru-RU"/>
        </w:rPr>
        <w:t>(2</w:t>
      </w:r>
      <w:r w:rsidRPr="00261F20">
        <w:rPr>
          <w:rFonts w:ascii="Tahoma" w:eastAsia="Times New Roman" w:hAnsi="Tahoma" w:cs="Tahoma"/>
          <w:b/>
          <w:bCs/>
          <w:iCs/>
          <w:color w:val="auto"/>
          <w:sz w:val="18"/>
          <w:szCs w:val="18"/>
          <w:lang w:eastAsia="ru-RU"/>
        </w:rPr>
        <w:t>)</w:t>
      </w:r>
      <w:r w:rsidRPr="009C4847">
        <w:rPr>
          <w:rFonts w:ascii="Tahoma" w:eastAsia="Times New Roman" w:hAnsi="Tahoma" w:cs="Tahoma"/>
          <w:bCs/>
          <w:iCs/>
          <w:color w:val="auto"/>
          <w:sz w:val="18"/>
          <w:szCs w:val="18"/>
          <w:lang w:eastAsia="ru-RU"/>
        </w:rPr>
        <w:t xml:space="preserve"> Счета Карты в рублях РФ;</w:t>
      </w:r>
      <w:r>
        <w:rPr>
          <w:rFonts w:ascii="Tahoma" w:eastAsia="Times New Roman" w:hAnsi="Tahoma" w:cs="Tahoma"/>
          <w:bCs/>
          <w:iCs/>
          <w:color w:val="auto"/>
          <w:sz w:val="18"/>
          <w:szCs w:val="18"/>
          <w:lang w:eastAsia="ru-RU"/>
        </w:rPr>
        <w:t xml:space="preserve"> </w:t>
      </w:r>
      <w:r w:rsidRPr="00261F20">
        <w:rPr>
          <w:rFonts w:ascii="Tahoma" w:eastAsia="Times New Roman" w:hAnsi="Tahoma" w:cs="Tahoma"/>
          <w:b/>
          <w:bCs/>
          <w:iCs/>
          <w:color w:val="auto"/>
          <w:sz w:val="18"/>
          <w:szCs w:val="18"/>
          <w:lang w:eastAsia="ru-RU"/>
        </w:rPr>
        <w:t>(3)</w:t>
      </w:r>
      <w:r w:rsidRPr="009C4847">
        <w:rPr>
          <w:rFonts w:ascii="Tahoma" w:eastAsia="Times New Roman" w:hAnsi="Tahoma" w:cs="Tahoma"/>
          <w:bCs/>
          <w:iCs/>
          <w:color w:val="auto"/>
          <w:sz w:val="18"/>
          <w:szCs w:val="18"/>
          <w:lang w:eastAsia="ru-RU"/>
        </w:rPr>
        <w:t xml:space="preserve"> Накопительные счета в долларах США, далее в </w:t>
      </w:r>
      <w:r>
        <w:rPr>
          <w:rFonts w:ascii="Tahoma" w:eastAsia="Times New Roman" w:hAnsi="Tahoma" w:cs="Tahoma"/>
          <w:bCs/>
          <w:iCs/>
          <w:color w:val="auto"/>
          <w:sz w:val="18"/>
          <w:szCs w:val="18"/>
          <w:lang w:eastAsia="ru-RU"/>
        </w:rPr>
        <w:t>Е</w:t>
      </w:r>
      <w:r w:rsidRPr="009C4847">
        <w:rPr>
          <w:rFonts w:ascii="Tahoma" w:eastAsia="Times New Roman" w:hAnsi="Tahoma" w:cs="Tahoma"/>
          <w:bCs/>
          <w:iCs/>
          <w:color w:val="auto"/>
          <w:sz w:val="18"/>
          <w:szCs w:val="18"/>
          <w:lang w:eastAsia="ru-RU"/>
        </w:rPr>
        <w:t xml:space="preserve">вро, далее в иных валютах; </w:t>
      </w:r>
      <w:r w:rsidRPr="00261F20">
        <w:rPr>
          <w:rFonts w:ascii="Tahoma" w:eastAsia="Times New Roman" w:hAnsi="Tahoma" w:cs="Tahoma"/>
          <w:b/>
          <w:bCs/>
          <w:iCs/>
          <w:color w:val="auto"/>
          <w:sz w:val="18"/>
          <w:szCs w:val="18"/>
          <w:lang w:eastAsia="ru-RU"/>
        </w:rPr>
        <w:t>(4)</w:t>
      </w:r>
      <w:r w:rsidRPr="009C4847">
        <w:rPr>
          <w:rFonts w:ascii="Tahoma" w:eastAsia="Times New Roman" w:hAnsi="Tahoma" w:cs="Tahoma"/>
          <w:bCs/>
          <w:iCs/>
          <w:color w:val="auto"/>
          <w:sz w:val="18"/>
          <w:szCs w:val="18"/>
          <w:lang w:eastAsia="ru-RU"/>
        </w:rPr>
        <w:t xml:space="preserve"> Счета Карт в </w:t>
      </w:r>
      <w:r>
        <w:rPr>
          <w:rFonts w:ascii="Tahoma" w:eastAsia="Times New Roman" w:hAnsi="Tahoma" w:cs="Tahoma"/>
          <w:bCs/>
          <w:iCs/>
          <w:color w:val="auto"/>
          <w:sz w:val="18"/>
          <w:szCs w:val="18"/>
          <w:lang w:eastAsia="ru-RU"/>
        </w:rPr>
        <w:t>юанях</w:t>
      </w:r>
      <w:r w:rsidRPr="009C4847">
        <w:rPr>
          <w:rFonts w:ascii="Tahoma" w:eastAsia="Times New Roman" w:hAnsi="Tahoma" w:cs="Tahoma"/>
          <w:bCs/>
          <w:iCs/>
          <w:color w:val="auto"/>
          <w:sz w:val="18"/>
          <w:szCs w:val="18"/>
          <w:lang w:eastAsia="ru-RU"/>
        </w:rPr>
        <w:t xml:space="preserve">; </w:t>
      </w:r>
      <w:r w:rsidRPr="00261F20">
        <w:rPr>
          <w:rFonts w:ascii="Tahoma" w:eastAsia="Times New Roman" w:hAnsi="Tahoma" w:cs="Tahoma"/>
          <w:b/>
          <w:bCs/>
          <w:iCs/>
          <w:color w:val="auto"/>
          <w:sz w:val="18"/>
          <w:szCs w:val="18"/>
          <w:lang w:eastAsia="ru-RU"/>
        </w:rPr>
        <w:t>(6)</w:t>
      </w:r>
      <w:r w:rsidRPr="009C4847">
        <w:rPr>
          <w:rFonts w:ascii="Tahoma" w:eastAsia="Times New Roman" w:hAnsi="Tahoma" w:cs="Tahoma"/>
          <w:bCs/>
          <w:iCs/>
          <w:color w:val="auto"/>
          <w:sz w:val="18"/>
          <w:szCs w:val="18"/>
          <w:lang w:eastAsia="ru-RU"/>
        </w:rPr>
        <w:t xml:space="preserve"> п</w:t>
      </w:r>
      <w:r w:rsidRPr="009C4847">
        <w:rPr>
          <w:rFonts w:ascii="Tahoma" w:hAnsi="Tahoma" w:cs="Tahoma"/>
          <w:sz w:val="18"/>
          <w:szCs w:val="18"/>
        </w:rPr>
        <w:t>ри отсутствии или недостаточности денежных средств для списания комиссионных платежей с банковских Счетов, открытых в рамках Программы, Банк вправе производить списание с иных банковских Счетов</w:t>
      </w:r>
      <w:r>
        <w:rPr>
          <w:rFonts w:ascii="Tahoma" w:hAnsi="Tahoma" w:cs="Tahoma"/>
          <w:sz w:val="18"/>
          <w:szCs w:val="18"/>
        </w:rPr>
        <w:t>, открытых на имя</w:t>
      </w:r>
      <w:r w:rsidRPr="009C4847">
        <w:rPr>
          <w:rFonts w:ascii="Tahoma" w:hAnsi="Tahoma" w:cs="Tahoma"/>
          <w:sz w:val="18"/>
          <w:szCs w:val="18"/>
        </w:rPr>
        <w:t xml:space="preserve"> Клиента</w:t>
      </w:r>
      <w:r>
        <w:rPr>
          <w:rFonts w:ascii="Tahoma" w:hAnsi="Tahoma" w:cs="Tahoma"/>
          <w:sz w:val="18"/>
          <w:szCs w:val="18"/>
        </w:rPr>
        <w:t>-физического лица</w:t>
      </w:r>
      <w:r w:rsidRPr="009C4847">
        <w:rPr>
          <w:rFonts w:ascii="Tahoma" w:hAnsi="Tahoma" w:cs="Tahoma"/>
          <w:sz w:val="18"/>
          <w:szCs w:val="18"/>
        </w:rPr>
        <w:t xml:space="preserve"> в Банке</w:t>
      </w:r>
      <w:r w:rsidRPr="009C4847">
        <w:rPr>
          <w:rFonts w:ascii="Tahoma" w:eastAsia="Times New Roman" w:hAnsi="Tahoma" w:cs="Tahoma"/>
          <w:bCs/>
          <w:iCs/>
          <w:color w:val="auto"/>
          <w:sz w:val="18"/>
          <w:szCs w:val="18"/>
          <w:lang w:eastAsia="ru-RU"/>
        </w:rPr>
        <w:t xml:space="preserve">. </w:t>
      </w:r>
    </w:p>
    <w:p w14:paraId="4E1AB682" w14:textId="77777777" w:rsidR="009D1253" w:rsidRDefault="009D1253" w:rsidP="00AE7485">
      <w:pPr>
        <w:pStyle w:val="Default"/>
        <w:jc w:val="both"/>
        <w:rPr>
          <w:lang w:eastAsia="ru-RU"/>
        </w:rPr>
      </w:pPr>
      <w:r w:rsidRPr="009C4847">
        <w:rPr>
          <w:rFonts w:ascii="Tahoma" w:eastAsia="Times New Roman" w:hAnsi="Tahoma" w:cs="Tahoma"/>
          <w:bCs/>
          <w:iCs/>
          <w:color w:val="auto"/>
          <w:sz w:val="18"/>
          <w:szCs w:val="22"/>
          <w:lang w:eastAsia="ru-RU"/>
        </w:rPr>
        <w:t>При недостаточности средств для списания комиссии в полном объеме на первом Счете по списку очередности, допускается частичное списание средств с каждого из последующих Счетов до взимания комиссии в полном объеме</w:t>
      </w:r>
      <w:r w:rsidRPr="009C4847">
        <w:rPr>
          <w:rFonts w:ascii="Tahoma" w:eastAsia="Times New Roman" w:hAnsi="Tahoma" w:cs="Tahoma"/>
          <w:bCs/>
          <w:iCs/>
          <w:sz w:val="18"/>
          <w:lang w:eastAsia="ru-RU"/>
        </w:rPr>
        <w:t>.</w:t>
      </w:r>
    </w:p>
  </w:footnote>
  <w:footnote w:id="177">
    <w:p w14:paraId="71D8656D" w14:textId="77777777" w:rsidR="009D1253" w:rsidRPr="00F756E1" w:rsidRDefault="009D1253" w:rsidP="00AE7485">
      <w:pPr>
        <w:pStyle w:val="aff1"/>
        <w:rPr>
          <w:rFonts w:ascii="Tahoma" w:hAnsi="Tahoma" w:cs="Tahoma"/>
          <w:bCs/>
          <w:iCs/>
          <w:color w:val="000000"/>
          <w:sz w:val="18"/>
          <w:szCs w:val="18"/>
        </w:rPr>
      </w:pPr>
      <w:r w:rsidRPr="00F756E1">
        <w:rPr>
          <w:rFonts w:ascii="Tahoma" w:hAnsi="Tahoma" w:cs="Tahoma"/>
          <w:bCs/>
          <w:iCs/>
          <w:color w:val="000000"/>
          <w:sz w:val="18"/>
          <w:szCs w:val="18"/>
          <w:vertAlign w:val="superscript"/>
        </w:rPr>
        <w:footnoteRef/>
      </w:r>
      <w:r>
        <w:rPr>
          <w:rFonts w:ascii="Tahoma" w:hAnsi="Tahoma" w:cs="Tahoma"/>
          <w:bCs/>
          <w:iCs/>
          <w:color w:val="000000"/>
          <w:sz w:val="18"/>
          <w:szCs w:val="18"/>
        </w:rPr>
        <w:t xml:space="preserve">Сумма покупок </w:t>
      </w:r>
      <w:r w:rsidRPr="00F756E1">
        <w:rPr>
          <w:rFonts w:ascii="Tahoma" w:hAnsi="Tahoma" w:cs="Tahoma"/>
          <w:bCs/>
          <w:iCs/>
          <w:color w:val="000000"/>
          <w:sz w:val="18"/>
          <w:szCs w:val="18"/>
        </w:rPr>
        <w:t xml:space="preserve">– это сумма </w:t>
      </w:r>
      <w:r>
        <w:rPr>
          <w:rFonts w:ascii="Tahoma" w:hAnsi="Tahoma" w:cs="Tahoma"/>
          <w:bCs/>
          <w:iCs/>
          <w:color w:val="000000"/>
          <w:sz w:val="18"/>
          <w:szCs w:val="18"/>
        </w:rPr>
        <w:t>транзакций</w:t>
      </w:r>
      <w:r w:rsidRPr="00F756E1">
        <w:rPr>
          <w:rFonts w:ascii="Tahoma" w:hAnsi="Tahoma" w:cs="Tahoma"/>
          <w:bCs/>
          <w:iCs/>
          <w:color w:val="000000"/>
          <w:sz w:val="18"/>
          <w:szCs w:val="18"/>
        </w:rPr>
        <w:t xml:space="preserve">, совершенных Клиентом (за Отчетный период) при </w:t>
      </w:r>
      <w:r>
        <w:rPr>
          <w:rFonts w:ascii="Tahoma" w:hAnsi="Tahoma" w:cs="Tahoma"/>
          <w:bCs/>
          <w:iCs/>
          <w:color w:val="000000"/>
          <w:sz w:val="18"/>
          <w:szCs w:val="18"/>
        </w:rPr>
        <w:t xml:space="preserve">оплате товаров (услуг, </w:t>
      </w:r>
      <w:r w:rsidRPr="00F756E1">
        <w:rPr>
          <w:rFonts w:ascii="Tahoma" w:hAnsi="Tahoma" w:cs="Tahoma"/>
          <w:bCs/>
          <w:iCs/>
          <w:color w:val="000000"/>
          <w:sz w:val="18"/>
          <w:szCs w:val="18"/>
        </w:rPr>
        <w:t>работ, результатов интеллектуальной</w:t>
      </w:r>
      <w:r>
        <w:rPr>
          <w:rFonts w:ascii="Tahoma" w:hAnsi="Tahoma" w:cs="Tahoma"/>
          <w:bCs/>
          <w:iCs/>
          <w:color w:val="000000"/>
          <w:sz w:val="18"/>
          <w:szCs w:val="18"/>
        </w:rPr>
        <w:t xml:space="preserve"> деятельности) </w:t>
      </w:r>
      <w:r w:rsidRPr="00F756E1">
        <w:rPr>
          <w:rFonts w:ascii="Tahoma" w:hAnsi="Tahoma" w:cs="Tahoma"/>
          <w:bCs/>
          <w:iCs/>
          <w:color w:val="000000"/>
          <w:sz w:val="18"/>
          <w:szCs w:val="18"/>
        </w:rPr>
        <w:t>в ТСП по всем Картам, эмитированным Банком в рамках Программы. В расчет Суммы покупок принимаются операции, отраженные по балансу Банка. Операции в иностранной валюте принимаются в расчет по курсу Банка на момент их совершения. Денежные переводы со Сч</w:t>
      </w:r>
      <w:r>
        <w:rPr>
          <w:rFonts w:ascii="Tahoma" w:hAnsi="Tahoma" w:cs="Tahoma"/>
          <w:bCs/>
          <w:iCs/>
          <w:color w:val="000000"/>
          <w:sz w:val="18"/>
          <w:szCs w:val="18"/>
        </w:rPr>
        <w:t>е</w:t>
      </w:r>
      <w:r w:rsidRPr="00F756E1">
        <w:rPr>
          <w:rFonts w:ascii="Tahoma" w:hAnsi="Tahoma" w:cs="Tahoma"/>
          <w:bCs/>
          <w:iCs/>
          <w:color w:val="000000"/>
          <w:sz w:val="18"/>
          <w:szCs w:val="18"/>
        </w:rPr>
        <w:t>та Карты Клиента между своими счетами или на счета третьих лиц (открытые как в Банке, так и в других кредитных организациях), переводы с карты на карту и квази-кэш, оплата товаров (услуг, работ, результатов интеллектуальной деятельности) в разделе «Платежи» Интернет-Банка и/или Мобильного Банка; платежи и переводы с целью пополнения любых виртуальных и/или электронных кошельков, или иных электронных денежных средств; операции с МСС-кодами: 4829, 6012, 6050, 6529, 6530, 6531, 6532, 6533, 6534, 6536, 6537, 6538, 6051, 6540, 7372, 7399, 7995, 8999</w:t>
      </w:r>
      <w:r>
        <w:rPr>
          <w:rFonts w:ascii="Tahoma" w:hAnsi="Tahoma" w:cs="Tahoma"/>
          <w:bCs/>
          <w:iCs/>
          <w:color w:val="000000"/>
          <w:sz w:val="18"/>
          <w:szCs w:val="18"/>
        </w:rPr>
        <w:t>;</w:t>
      </w:r>
      <w:r w:rsidRPr="00F756E1">
        <w:rPr>
          <w:rFonts w:ascii="Tahoma" w:hAnsi="Tahoma" w:cs="Tahoma"/>
          <w:bCs/>
          <w:iCs/>
          <w:color w:val="000000"/>
          <w:sz w:val="18"/>
          <w:szCs w:val="18"/>
        </w:rPr>
        <w:t xml:space="preserve"> операции с использованием Сист</w:t>
      </w:r>
      <w:r>
        <w:rPr>
          <w:rFonts w:ascii="Tahoma" w:hAnsi="Tahoma" w:cs="Tahoma"/>
          <w:bCs/>
          <w:iCs/>
          <w:color w:val="000000"/>
          <w:sz w:val="18"/>
          <w:szCs w:val="18"/>
        </w:rPr>
        <w:t xml:space="preserve">емы быстрых платежей и СБПэй, в </w:t>
      </w:r>
      <w:r w:rsidRPr="00F756E1">
        <w:rPr>
          <w:rFonts w:ascii="Tahoma" w:hAnsi="Tahoma" w:cs="Tahoma"/>
          <w:bCs/>
          <w:iCs/>
          <w:color w:val="000000"/>
          <w:sz w:val="18"/>
          <w:szCs w:val="18"/>
        </w:rPr>
        <w:t>т.ч. с использованием QR-кодов</w:t>
      </w:r>
      <w:r>
        <w:rPr>
          <w:rFonts w:ascii="Tahoma" w:hAnsi="Tahoma" w:cs="Tahoma"/>
          <w:bCs/>
          <w:iCs/>
          <w:color w:val="000000"/>
          <w:sz w:val="18"/>
          <w:szCs w:val="18"/>
        </w:rPr>
        <w:t>,</w:t>
      </w:r>
      <w:r w:rsidRPr="00F756E1">
        <w:rPr>
          <w:rFonts w:ascii="Tahoma" w:hAnsi="Tahoma" w:cs="Tahoma"/>
          <w:bCs/>
          <w:iCs/>
          <w:color w:val="000000"/>
          <w:sz w:val="18"/>
          <w:szCs w:val="18"/>
        </w:rPr>
        <w:t xml:space="preserve"> в расчет суммы покупок не включаются.</w:t>
      </w:r>
    </w:p>
    <w:p w14:paraId="15B7FC63" w14:textId="77777777" w:rsidR="009D1253" w:rsidRDefault="009D1253" w:rsidP="00AE7485">
      <w:pPr>
        <w:pStyle w:val="aff1"/>
      </w:pPr>
      <w:r w:rsidRPr="00F756E1">
        <w:rPr>
          <w:rFonts w:ascii="Tahoma" w:hAnsi="Tahoma" w:cs="Tahoma"/>
          <w:bCs/>
          <w:iCs/>
          <w:color w:val="000000"/>
          <w:sz w:val="18"/>
          <w:szCs w:val="18"/>
        </w:rPr>
        <w:t xml:space="preserve">Для Карт в </w:t>
      </w:r>
      <w:r>
        <w:rPr>
          <w:rFonts w:ascii="Tahoma" w:hAnsi="Tahoma" w:cs="Tahoma"/>
          <w:bCs/>
          <w:iCs/>
          <w:color w:val="000000"/>
          <w:sz w:val="18"/>
          <w:szCs w:val="18"/>
        </w:rPr>
        <w:t>юанях</w:t>
      </w:r>
      <w:r w:rsidRPr="00F756E1">
        <w:rPr>
          <w:rFonts w:ascii="Tahoma" w:hAnsi="Tahoma" w:cs="Tahoma"/>
          <w:bCs/>
          <w:iCs/>
          <w:color w:val="000000"/>
          <w:sz w:val="18"/>
          <w:szCs w:val="18"/>
        </w:rPr>
        <w:t xml:space="preserve"> в расчет Суммы покупок принимаются эквиваленты значений, указанные в п</w:t>
      </w:r>
      <w:r>
        <w:rPr>
          <w:rFonts w:ascii="Tahoma" w:hAnsi="Tahoma" w:cs="Tahoma"/>
          <w:bCs/>
          <w:iCs/>
          <w:color w:val="000000"/>
          <w:sz w:val="18"/>
          <w:szCs w:val="18"/>
        </w:rPr>
        <w:t>.7 Программы,</w:t>
      </w:r>
      <w:r w:rsidRPr="00F756E1">
        <w:rPr>
          <w:rFonts w:ascii="Tahoma" w:hAnsi="Tahoma" w:cs="Tahoma"/>
          <w:bCs/>
          <w:iCs/>
          <w:color w:val="000000"/>
          <w:sz w:val="18"/>
          <w:szCs w:val="18"/>
        </w:rPr>
        <w:t xml:space="preserve"> по курсу Банка на дату совершения Операций.</w:t>
      </w:r>
    </w:p>
  </w:footnote>
  <w:footnote w:id="178">
    <w:p w14:paraId="4E5A2A1F" w14:textId="77777777" w:rsidR="009D1253" w:rsidRDefault="009D1253" w:rsidP="00AE7485">
      <w:pPr>
        <w:pStyle w:val="aff1"/>
      </w:pPr>
      <w:r w:rsidRPr="00A56CFF">
        <w:rPr>
          <w:rFonts w:ascii="Tahoma" w:hAnsi="Tahoma" w:cs="Tahoma"/>
          <w:bCs/>
          <w:iCs/>
          <w:color w:val="000000"/>
          <w:sz w:val="18"/>
          <w:szCs w:val="18"/>
          <w:vertAlign w:val="superscript"/>
        </w:rPr>
        <w:footnoteRef/>
      </w:r>
      <w:r w:rsidRPr="00A56CFF">
        <w:rPr>
          <w:rFonts w:ascii="Tahoma" w:hAnsi="Tahoma" w:cs="Tahoma"/>
          <w:bCs/>
          <w:iCs/>
          <w:color w:val="000000"/>
          <w:sz w:val="18"/>
          <w:szCs w:val="18"/>
        </w:rPr>
        <w:t xml:space="preserve">Средние остатки – </w:t>
      </w:r>
      <w:r>
        <w:rPr>
          <w:rFonts w:ascii="Tahoma" w:hAnsi="Tahoma" w:cs="Tahoma"/>
          <w:bCs/>
          <w:iCs/>
          <w:color w:val="000000"/>
          <w:sz w:val="18"/>
          <w:szCs w:val="18"/>
        </w:rPr>
        <w:t>это совокупный баланс размещенных</w:t>
      </w:r>
      <w:r w:rsidRPr="00A56CFF">
        <w:rPr>
          <w:rFonts w:ascii="Tahoma" w:hAnsi="Tahoma" w:cs="Tahoma"/>
          <w:bCs/>
          <w:iCs/>
          <w:color w:val="000000"/>
          <w:sz w:val="18"/>
          <w:szCs w:val="18"/>
        </w:rPr>
        <w:t xml:space="preserve"> денежных средств на Счетах Клиента в Банке, рассчитанный путем сложения ежедневных входящих остатков денежных средств на следующих счетах Клиента в Банке: Накопительных счетах, Счетах вклада, Текущих банковских счетах; остатки на банковских Счетах в драгоценных металлах (Счета ДМ), брокерских и Счетах Карт Клиента, в течение </w:t>
      </w:r>
      <w:r>
        <w:rPr>
          <w:rFonts w:ascii="Tahoma" w:hAnsi="Tahoma" w:cs="Tahoma"/>
          <w:bCs/>
          <w:iCs/>
          <w:color w:val="000000"/>
          <w:sz w:val="18"/>
          <w:szCs w:val="18"/>
        </w:rPr>
        <w:t>Отчетного периода</w:t>
      </w:r>
      <w:r w:rsidRPr="00A56CFF">
        <w:rPr>
          <w:rFonts w:ascii="Tahoma" w:hAnsi="Tahoma" w:cs="Tahoma"/>
          <w:bCs/>
          <w:iCs/>
          <w:color w:val="000000"/>
          <w:sz w:val="18"/>
          <w:szCs w:val="18"/>
        </w:rPr>
        <w:t xml:space="preserve"> и деления этой суммы на количество дней в этом </w:t>
      </w:r>
      <w:r>
        <w:rPr>
          <w:rFonts w:ascii="Tahoma" w:hAnsi="Tahoma" w:cs="Tahoma"/>
          <w:bCs/>
          <w:iCs/>
          <w:color w:val="000000"/>
          <w:sz w:val="18"/>
          <w:szCs w:val="18"/>
        </w:rPr>
        <w:t>Отчетном периоде</w:t>
      </w:r>
      <w:r w:rsidRPr="00A56CFF">
        <w:rPr>
          <w:rFonts w:ascii="Tahoma" w:hAnsi="Tahoma" w:cs="Tahoma"/>
          <w:bCs/>
          <w:iCs/>
          <w:color w:val="000000"/>
          <w:sz w:val="18"/>
          <w:szCs w:val="18"/>
        </w:rPr>
        <w:t xml:space="preserve">. При расчете Средних остатков за месяц </w:t>
      </w:r>
      <w:r>
        <w:rPr>
          <w:rFonts w:ascii="Tahoma" w:hAnsi="Tahoma" w:cs="Tahoma"/>
          <w:bCs/>
          <w:iCs/>
          <w:color w:val="000000"/>
          <w:sz w:val="18"/>
          <w:szCs w:val="18"/>
        </w:rPr>
        <w:t>оформления</w:t>
      </w:r>
      <w:r w:rsidRPr="00A56CFF">
        <w:rPr>
          <w:rFonts w:ascii="Tahoma" w:hAnsi="Tahoma" w:cs="Tahoma"/>
          <w:bCs/>
          <w:iCs/>
          <w:color w:val="000000"/>
          <w:sz w:val="18"/>
          <w:szCs w:val="18"/>
        </w:rPr>
        <w:t xml:space="preserve"> Программы деление производится на фактическое количество дней обслуживания (действия Программы) в этом месяце. Ежедневные входящие остатки в иностранной валюте принимаются в расчет по курсу ЦБ РФ на каждый день.</w:t>
      </w:r>
    </w:p>
  </w:footnote>
  <w:footnote w:id="179">
    <w:p w14:paraId="740EBE07" w14:textId="77777777" w:rsidR="009D1253" w:rsidRPr="00F60C07" w:rsidRDefault="009D1253" w:rsidP="00AE7485">
      <w:pPr>
        <w:pStyle w:val="aff1"/>
        <w:jc w:val="both"/>
        <w:rPr>
          <w:rFonts w:ascii="Tahoma" w:hAnsi="Tahoma" w:cs="Tahoma"/>
          <w:bCs/>
          <w:iCs/>
          <w:color w:val="000000"/>
          <w:sz w:val="18"/>
          <w:szCs w:val="18"/>
        </w:rPr>
      </w:pPr>
      <w:r w:rsidRPr="00F60C07">
        <w:rPr>
          <w:rFonts w:ascii="Tahoma" w:hAnsi="Tahoma" w:cs="Tahoma"/>
          <w:bCs/>
          <w:iCs/>
          <w:color w:val="000000"/>
          <w:sz w:val="18"/>
          <w:szCs w:val="18"/>
          <w:vertAlign w:val="superscript"/>
        </w:rPr>
        <w:footnoteRef/>
      </w:r>
      <w:r w:rsidRPr="00F60C07">
        <w:rPr>
          <w:rFonts w:ascii="Tahoma" w:hAnsi="Tahoma" w:cs="Tahoma"/>
          <w:bCs/>
          <w:iCs/>
          <w:color w:val="000000"/>
          <w:sz w:val="18"/>
          <w:szCs w:val="18"/>
        </w:rPr>
        <w:t>Под «Заработной платой» понимаются исключительно поступления денежных средств на счет Карты Клиента, которые можно отнести к таковым согласно действующему</w:t>
      </w:r>
    </w:p>
    <w:p w14:paraId="749CF96B" w14:textId="77777777" w:rsidR="009D1253" w:rsidRPr="00F60C07" w:rsidRDefault="009D1253" w:rsidP="00AE7485">
      <w:pPr>
        <w:pStyle w:val="aff1"/>
        <w:jc w:val="both"/>
        <w:rPr>
          <w:rFonts w:ascii="Tahoma" w:hAnsi="Tahoma" w:cs="Tahoma"/>
          <w:bCs/>
          <w:iCs/>
          <w:color w:val="000000"/>
          <w:sz w:val="18"/>
          <w:szCs w:val="18"/>
        </w:rPr>
      </w:pPr>
      <w:r w:rsidRPr="00F60C07">
        <w:rPr>
          <w:rFonts w:ascii="Tahoma" w:hAnsi="Tahoma" w:cs="Tahoma"/>
          <w:bCs/>
          <w:iCs/>
          <w:color w:val="000000"/>
          <w:sz w:val="18"/>
          <w:szCs w:val="18"/>
        </w:rPr>
        <w:t>законодательству РФ. В случае смещения дат поступления денежных средств (учитываемых в качестве Заработной платы, от Работодателя Клиента на счет Карты Клиента) в</w:t>
      </w:r>
      <w:r>
        <w:rPr>
          <w:rFonts w:ascii="Tahoma" w:hAnsi="Tahoma" w:cs="Tahoma"/>
          <w:bCs/>
          <w:iCs/>
          <w:color w:val="000000"/>
          <w:sz w:val="18"/>
          <w:szCs w:val="18"/>
        </w:rPr>
        <w:t xml:space="preserve"> Отчетном периоде</w:t>
      </w:r>
      <w:r w:rsidRPr="00F60C07">
        <w:rPr>
          <w:rFonts w:ascii="Tahoma" w:hAnsi="Tahoma" w:cs="Tahoma"/>
          <w:bCs/>
          <w:iCs/>
          <w:color w:val="000000"/>
          <w:sz w:val="18"/>
          <w:szCs w:val="18"/>
        </w:rPr>
        <w:t xml:space="preserve"> в связи с праздничными нерабочими днями в соответствии с действующим законодательством Российской Федерации и/или выходными днями (под выходными днями понимаются суббота и воскресенье, за исключением случаев переноса в соответствии с законодательством Российской Федерации выходных дней на другие дни), Банк учитывает среднюю сумму поступлений денежных средств (учитываемых в качестве Заработной платы, от Работодателя Клиента на счет Карты Клиента) за два </w:t>
      </w:r>
      <w:r>
        <w:rPr>
          <w:rFonts w:ascii="Tahoma" w:hAnsi="Tahoma" w:cs="Tahoma"/>
          <w:bCs/>
          <w:iCs/>
          <w:color w:val="000000"/>
          <w:sz w:val="18"/>
          <w:szCs w:val="18"/>
        </w:rPr>
        <w:t>Отчетных периода</w:t>
      </w:r>
      <w:r w:rsidRPr="00F60C07">
        <w:rPr>
          <w:rFonts w:ascii="Tahoma" w:hAnsi="Tahoma" w:cs="Tahoma"/>
          <w:bCs/>
          <w:iCs/>
          <w:color w:val="000000"/>
          <w:sz w:val="18"/>
          <w:szCs w:val="18"/>
        </w:rPr>
        <w:t xml:space="preserve">, предшествующих месяцу начисления комиссии за обслуживание Программы. </w:t>
      </w:r>
      <w:r w:rsidRPr="00F60C07">
        <w:rPr>
          <w:rFonts w:ascii="Tahoma" w:hAnsi="Tahoma" w:cs="Tahoma"/>
          <w:b/>
          <w:bCs/>
          <w:iCs/>
          <w:color w:val="000000"/>
          <w:sz w:val="18"/>
          <w:szCs w:val="18"/>
        </w:rPr>
        <w:t>Банк не несет ответственности за расходы, понесенные Клиентом</w:t>
      </w:r>
      <w:r w:rsidRPr="00F60C07">
        <w:rPr>
          <w:rFonts w:ascii="Tahoma" w:hAnsi="Tahoma" w:cs="Tahoma"/>
          <w:bCs/>
          <w:iCs/>
          <w:color w:val="000000"/>
          <w:sz w:val="18"/>
          <w:szCs w:val="18"/>
        </w:rPr>
        <w:t xml:space="preserve"> (взимание комиссии за обслуживание Программы), </w:t>
      </w:r>
      <w:r w:rsidRPr="00F60C07">
        <w:rPr>
          <w:rFonts w:ascii="Tahoma" w:hAnsi="Tahoma" w:cs="Tahoma"/>
          <w:b/>
          <w:bCs/>
          <w:iCs/>
          <w:color w:val="000000"/>
          <w:sz w:val="18"/>
          <w:szCs w:val="18"/>
        </w:rPr>
        <w:t>вследствие поступления денежных средств</w:t>
      </w:r>
      <w:r w:rsidRPr="00F60C07">
        <w:rPr>
          <w:rFonts w:ascii="Tahoma" w:hAnsi="Tahoma" w:cs="Tahoma"/>
          <w:bCs/>
          <w:iCs/>
          <w:color w:val="000000"/>
          <w:sz w:val="18"/>
          <w:szCs w:val="18"/>
        </w:rPr>
        <w:t xml:space="preserve"> (учитываемых в качестве Заработной платы, от Работодателя Клиента на счет Карты Клиента) в </w:t>
      </w:r>
      <w:r>
        <w:rPr>
          <w:rFonts w:ascii="Tahoma" w:hAnsi="Tahoma" w:cs="Tahoma"/>
          <w:bCs/>
          <w:iCs/>
          <w:color w:val="000000"/>
          <w:sz w:val="18"/>
          <w:szCs w:val="18"/>
        </w:rPr>
        <w:t>Отчетном периоде</w:t>
      </w:r>
      <w:r w:rsidRPr="00F60C07">
        <w:rPr>
          <w:rFonts w:ascii="Tahoma" w:hAnsi="Tahoma" w:cs="Tahoma"/>
          <w:bCs/>
          <w:iCs/>
          <w:color w:val="000000"/>
          <w:sz w:val="18"/>
          <w:szCs w:val="18"/>
        </w:rPr>
        <w:t xml:space="preserve"> и/или в течение двух </w:t>
      </w:r>
      <w:r>
        <w:rPr>
          <w:rFonts w:ascii="Tahoma" w:hAnsi="Tahoma" w:cs="Tahoma"/>
          <w:bCs/>
          <w:iCs/>
          <w:color w:val="000000"/>
          <w:sz w:val="18"/>
          <w:szCs w:val="18"/>
        </w:rPr>
        <w:t>Отчетных периодов</w:t>
      </w:r>
      <w:r w:rsidRPr="00F60C07">
        <w:rPr>
          <w:rFonts w:ascii="Tahoma" w:hAnsi="Tahoma" w:cs="Tahoma"/>
          <w:bCs/>
          <w:iCs/>
          <w:color w:val="000000"/>
          <w:sz w:val="18"/>
          <w:szCs w:val="18"/>
        </w:rPr>
        <w:t xml:space="preserve"> (в случаях смещения дат поступления денежных средств в связи с праздничными и/или выходными днями), предшествующих месяцу начисления комиссии за обслуживание Программы, </w:t>
      </w:r>
      <w:r w:rsidRPr="00F60C07">
        <w:rPr>
          <w:rFonts w:ascii="Tahoma" w:hAnsi="Tahoma" w:cs="Tahoma"/>
          <w:b/>
          <w:bCs/>
          <w:iCs/>
          <w:color w:val="000000"/>
          <w:sz w:val="18"/>
          <w:szCs w:val="18"/>
        </w:rPr>
        <w:t>в сумме, недостаточной для выполнения условий бесплатного обслуживания Программы</w:t>
      </w:r>
      <w:r w:rsidRPr="00F60C07">
        <w:rPr>
          <w:rFonts w:ascii="Tahoma" w:hAnsi="Tahoma" w:cs="Tahoma"/>
          <w:bCs/>
          <w:iCs/>
          <w:color w:val="000000"/>
          <w:sz w:val="18"/>
          <w:szCs w:val="18"/>
        </w:rPr>
        <w:t>.</w:t>
      </w:r>
    </w:p>
  </w:footnote>
  <w:footnote w:id="180">
    <w:p w14:paraId="451966D8" w14:textId="77777777" w:rsidR="009D1253" w:rsidRPr="003D5743" w:rsidRDefault="009D1253" w:rsidP="00AE7485">
      <w:pPr>
        <w:pStyle w:val="aff1"/>
        <w:jc w:val="both"/>
      </w:pPr>
      <w:r w:rsidRPr="00F60C07">
        <w:rPr>
          <w:rFonts w:ascii="Tahoma" w:hAnsi="Tahoma" w:cs="Tahoma"/>
          <w:bCs/>
          <w:iCs/>
          <w:color w:val="000000"/>
          <w:sz w:val="18"/>
          <w:szCs w:val="18"/>
          <w:vertAlign w:val="superscript"/>
        </w:rPr>
        <w:footnoteRef/>
      </w:r>
      <w:r w:rsidRPr="00F60C07">
        <w:rPr>
          <w:rFonts w:ascii="Tahoma" w:hAnsi="Tahoma" w:cs="Tahoma"/>
          <w:bCs/>
          <w:iCs/>
          <w:color w:val="000000"/>
          <w:sz w:val="18"/>
          <w:szCs w:val="18"/>
        </w:rPr>
        <w:t>Счет Карты – текущий банковский счет, открываемый в соответствии с Программой Банком Клиенту в рамках заключения Договора Карты между Банком и Клиентом.</w:t>
      </w:r>
    </w:p>
  </w:footnote>
  <w:footnote w:id="181">
    <w:p w14:paraId="7A8B58BD" w14:textId="77777777" w:rsidR="009D1253" w:rsidRPr="007134E5" w:rsidRDefault="009D1253" w:rsidP="00AE7485">
      <w:pPr>
        <w:pStyle w:val="aff1"/>
      </w:pPr>
      <w:r w:rsidRPr="00B91F33">
        <w:rPr>
          <w:rFonts w:ascii="Tahoma" w:hAnsi="Tahoma" w:cs="Tahoma"/>
          <w:bCs/>
          <w:iCs/>
          <w:color w:val="000000"/>
          <w:sz w:val="18"/>
          <w:szCs w:val="18"/>
          <w:vertAlign w:val="superscript"/>
        </w:rPr>
        <w:footnoteRef/>
      </w:r>
      <w:r w:rsidRPr="00B91F33">
        <w:rPr>
          <w:rFonts w:ascii="Tahoma" w:hAnsi="Tahoma" w:cs="Tahoma"/>
          <w:bCs/>
          <w:iCs/>
          <w:color w:val="000000"/>
          <w:sz w:val="18"/>
          <w:szCs w:val="18"/>
        </w:rPr>
        <w:t xml:space="preserve">Выпуск Дополнительной Карты типа Мир Supreme </w:t>
      </w:r>
      <w:r>
        <w:rPr>
          <w:rFonts w:ascii="Tahoma" w:hAnsi="Tahoma" w:cs="Tahoma"/>
          <w:bCs/>
          <w:iCs/>
          <w:color w:val="000000"/>
          <w:sz w:val="18"/>
          <w:szCs w:val="18"/>
        </w:rPr>
        <w:t>возможен исключительно для Счетов Карт в валюте российский рубль.</w:t>
      </w:r>
    </w:p>
  </w:footnote>
  <w:footnote w:id="182">
    <w:p w14:paraId="4ED8368E" w14:textId="77777777" w:rsidR="009D1253" w:rsidRDefault="009D1253" w:rsidP="00AE7485">
      <w:pPr>
        <w:pStyle w:val="aff1"/>
      </w:pPr>
      <w:r w:rsidRPr="00055AB5">
        <w:rPr>
          <w:rStyle w:val="aff3"/>
          <w:rFonts w:ascii="Tahoma" w:hAnsi="Tahoma" w:cs="Tahoma"/>
        </w:rPr>
        <w:footnoteRef/>
      </w:r>
      <w:r w:rsidRPr="006F26B9">
        <w:rPr>
          <w:rFonts w:ascii="Tahoma" w:hAnsi="Tahoma" w:cs="Tahoma"/>
          <w:bCs/>
          <w:iCs/>
          <w:color w:val="000000"/>
          <w:sz w:val="18"/>
          <w:szCs w:val="18"/>
        </w:rPr>
        <w:t>Другой</w:t>
      </w:r>
      <w:r w:rsidRPr="005D7318">
        <w:rPr>
          <w:rFonts w:ascii="Tahoma" w:hAnsi="Tahoma" w:cs="Tahoma"/>
          <w:bCs/>
          <w:iCs/>
          <w:color w:val="000000"/>
          <w:sz w:val="18"/>
          <w:szCs w:val="18"/>
        </w:rPr>
        <w:t xml:space="preserve"> банк может взимать комиссию согласно своим тарифам.</w:t>
      </w:r>
    </w:p>
  </w:footnote>
  <w:footnote w:id="183">
    <w:p w14:paraId="57B1D501" w14:textId="77777777" w:rsidR="009D1253" w:rsidRDefault="009D1253" w:rsidP="00AE7485">
      <w:pPr>
        <w:pStyle w:val="aff1"/>
        <w:jc w:val="both"/>
      </w:pPr>
      <w:r w:rsidRPr="00486BCA">
        <w:rPr>
          <w:rFonts w:ascii="Tahoma" w:hAnsi="Tahoma" w:cs="Tahoma"/>
          <w:bCs/>
          <w:iCs/>
          <w:color w:val="000000"/>
          <w:sz w:val="18"/>
          <w:szCs w:val="18"/>
          <w:vertAlign w:val="superscript"/>
        </w:rPr>
        <w:footnoteRef/>
      </w:r>
      <w:r w:rsidRPr="00486BCA">
        <w:rPr>
          <w:rFonts w:ascii="Tahoma" w:hAnsi="Tahoma" w:cs="Tahoma"/>
          <w:bCs/>
          <w:iCs/>
          <w:color w:val="000000"/>
          <w:sz w:val="18"/>
          <w:szCs w:val="18"/>
        </w:rPr>
        <w:t>Еж</w:t>
      </w:r>
      <w:r w:rsidRPr="00055AB5">
        <w:rPr>
          <w:rFonts w:ascii="Tahoma" w:hAnsi="Tahoma" w:cs="Tahoma"/>
          <w:bCs/>
          <w:iCs/>
          <w:color w:val="000000"/>
          <w:sz w:val="18"/>
          <w:szCs w:val="18"/>
        </w:rPr>
        <w:t>е</w:t>
      </w:r>
      <w:r w:rsidRPr="00486BCA">
        <w:rPr>
          <w:rFonts w:ascii="Tahoma" w:hAnsi="Tahoma" w:cs="Tahoma"/>
          <w:bCs/>
          <w:iCs/>
          <w:color w:val="000000"/>
          <w:sz w:val="18"/>
          <w:szCs w:val="18"/>
        </w:rPr>
        <w:t>дневные</w:t>
      </w:r>
      <w:r w:rsidRPr="00464DC7">
        <w:rPr>
          <w:rFonts w:ascii="Tahoma" w:hAnsi="Tahoma" w:cs="Tahoma"/>
          <w:bCs/>
          <w:iCs/>
          <w:color w:val="000000"/>
          <w:sz w:val="18"/>
          <w:szCs w:val="18"/>
        </w:rPr>
        <w:t xml:space="preserve"> лимиты действуют с 00 часов до 24 часов московского времени (включительно), ежемесячные лимиты – с 00 часов первого числа до 24 часов последнего числа месяца (включительно), по </w:t>
      </w:r>
      <w:r w:rsidRPr="00505CD5">
        <w:rPr>
          <w:rFonts w:ascii="Tahoma" w:hAnsi="Tahoma" w:cs="Tahoma"/>
          <w:bCs/>
          <w:iCs/>
          <w:color w:val="000000"/>
          <w:sz w:val="18"/>
          <w:szCs w:val="18"/>
        </w:rPr>
        <w:t>московскому</w:t>
      </w:r>
      <w:r w:rsidRPr="00464DC7">
        <w:rPr>
          <w:rFonts w:ascii="Tahoma" w:hAnsi="Tahoma" w:cs="Tahoma"/>
          <w:bCs/>
          <w:iCs/>
          <w:color w:val="000000"/>
          <w:sz w:val="18"/>
          <w:szCs w:val="18"/>
        </w:rPr>
        <w:t xml:space="preserve"> времени. Выдача наличных денежных средств в устройствах в сумме, превышающей лимиты, не производится. Выдача сумм в пунктах выдачи наличных Банка производится с предъявлением документа, удостоверяющего личность. Лимиты выдачи денежных средств в иностранной валюте применимы исключительно для выдачи денежных средств в банкоматах и пунктах выдачи наличных за пределами Российской Федерации.</w:t>
      </w:r>
    </w:p>
  </w:footnote>
  <w:footnote w:id="184">
    <w:p w14:paraId="5C456506" w14:textId="77777777" w:rsidR="009D1253" w:rsidRPr="005D7318" w:rsidRDefault="009D1253" w:rsidP="00AE7485">
      <w:pPr>
        <w:pStyle w:val="aff1"/>
        <w:jc w:val="both"/>
        <w:rPr>
          <w:rFonts w:ascii="Tahoma" w:hAnsi="Tahoma" w:cs="Tahoma"/>
          <w:bCs/>
          <w:iCs/>
          <w:color w:val="000000"/>
          <w:sz w:val="18"/>
          <w:szCs w:val="18"/>
        </w:rPr>
      </w:pPr>
      <w:r w:rsidRPr="005D7318">
        <w:rPr>
          <w:rFonts w:ascii="Tahoma" w:hAnsi="Tahoma" w:cs="Tahoma"/>
          <w:bCs/>
          <w:iCs/>
          <w:color w:val="000000"/>
          <w:sz w:val="18"/>
          <w:szCs w:val="18"/>
          <w:vertAlign w:val="superscript"/>
        </w:rPr>
        <w:footnoteRef/>
      </w:r>
      <w:r w:rsidRPr="005D7318">
        <w:rPr>
          <w:rFonts w:ascii="Tahoma" w:hAnsi="Tahoma" w:cs="Tahoma"/>
          <w:bCs/>
          <w:iCs/>
          <w:color w:val="000000"/>
          <w:sz w:val="18"/>
          <w:szCs w:val="18"/>
        </w:rPr>
        <w:t>ТСП (торгово-сервисные предприятия) – юридическое или физическое лицо-индивидуальный предприниматель, самозанятый (за исключением кредитных организаций), осуществляющее реализацию товаров (услуг, работ, результатов интеллектуальной деятельности), оплата которых производится Клиентами Банка с использованием Карты/реквизитов Карты через электронные средства платежа (POS-терминалы, платежные терминалы), а также через сеть Интернет.</w:t>
      </w:r>
    </w:p>
  </w:footnote>
  <w:footnote w:id="185">
    <w:p w14:paraId="6D4172F7" w14:textId="77777777" w:rsidR="009D1253" w:rsidRPr="005D7318" w:rsidRDefault="009D1253" w:rsidP="00AE7485">
      <w:pPr>
        <w:pStyle w:val="aff1"/>
        <w:jc w:val="both"/>
        <w:rPr>
          <w:rFonts w:ascii="Tahoma" w:hAnsi="Tahoma" w:cs="Tahoma"/>
          <w:bCs/>
          <w:iCs/>
          <w:color w:val="000000"/>
          <w:sz w:val="18"/>
          <w:szCs w:val="18"/>
        </w:rPr>
      </w:pPr>
      <w:r w:rsidRPr="005D7318">
        <w:rPr>
          <w:rFonts w:ascii="Tahoma" w:hAnsi="Tahoma" w:cs="Tahoma"/>
          <w:bCs/>
          <w:iCs/>
          <w:color w:val="000000"/>
          <w:sz w:val="18"/>
          <w:szCs w:val="18"/>
          <w:vertAlign w:val="superscript"/>
        </w:rPr>
        <w:footnoteRef/>
      </w:r>
      <w:r w:rsidRPr="005D7318">
        <w:rPr>
          <w:rFonts w:ascii="Tahoma" w:hAnsi="Tahoma" w:cs="Tahoma"/>
          <w:bCs/>
          <w:iCs/>
          <w:color w:val="000000"/>
          <w:sz w:val="18"/>
          <w:szCs w:val="18"/>
        </w:rPr>
        <w:t>Для Карт в юанях выдача наличных денежных средств происходит в рублях. Расчет конверсии в рубли происходит по курсу Банка на дату совершения Операции.</w:t>
      </w:r>
    </w:p>
  </w:footnote>
  <w:footnote w:id="186">
    <w:p w14:paraId="02E45B21" w14:textId="77777777" w:rsidR="009D1253" w:rsidRPr="005D7318" w:rsidRDefault="009D1253" w:rsidP="00AE7485">
      <w:pPr>
        <w:pStyle w:val="aff1"/>
        <w:jc w:val="both"/>
        <w:rPr>
          <w:rFonts w:ascii="Tahoma" w:hAnsi="Tahoma" w:cs="Tahoma"/>
          <w:bCs/>
          <w:iCs/>
          <w:color w:val="000000"/>
          <w:sz w:val="18"/>
          <w:szCs w:val="18"/>
        </w:rPr>
      </w:pPr>
      <w:r w:rsidRPr="005D7318">
        <w:rPr>
          <w:rFonts w:ascii="Tahoma" w:hAnsi="Tahoma" w:cs="Tahoma"/>
          <w:bCs/>
          <w:iCs/>
          <w:color w:val="000000"/>
          <w:sz w:val="18"/>
          <w:szCs w:val="18"/>
          <w:vertAlign w:val="superscript"/>
        </w:rPr>
        <w:footnoteRef/>
      </w:r>
      <w:r w:rsidRPr="005D7318">
        <w:rPr>
          <w:rFonts w:ascii="Tahoma" w:hAnsi="Tahoma" w:cs="Tahoma"/>
          <w:bCs/>
          <w:iCs/>
          <w:color w:val="000000"/>
          <w:sz w:val="18"/>
          <w:szCs w:val="18"/>
        </w:rPr>
        <w:t>Для Карт в юанях расчет конверсии в иные валюты происходит по курсу Банка на дату совершения Операции.</w:t>
      </w:r>
    </w:p>
  </w:footnote>
  <w:footnote w:id="187">
    <w:p w14:paraId="0D88BBF6" w14:textId="77777777" w:rsidR="009D1253" w:rsidRPr="005D7318" w:rsidRDefault="009D1253" w:rsidP="00AE7485">
      <w:pPr>
        <w:pStyle w:val="aff1"/>
        <w:jc w:val="both"/>
        <w:rPr>
          <w:rFonts w:ascii="Tahoma" w:hAnsi="Tahoma" w:cs="Tahoma"/>
          <w:bCs/>
          <w:iCs/>
          <w:color w:val="000000"/>
          <w:sz w:val="18"/>
          <w:szCs w:val="18"/>
        </w:rPr>
      </w:pPr>
      <w:r w:rsidRPr="005D7318">
        <w:rPr>
          <w:rFonts w:ascii="Tahoma" w:hAnsi="Tahoma" w:cs="Tahoma"/>
          <w:bCs/>
          <w:iCs/>
          <w:color w:val="000000"/>
          <w:sz w:val="18"/>
          <w:szCs w:val="18"/>
          <w:vertAlign w:val="superscript"/>
        </w:rPr>
        <w:footnoteRef/>
      </w:r>
      <w:r w:rsidRPr="005D7318">
        <w:rPr>
          <w:rFonts w:ascii="Tahoma" w:hAnsi="Tahoma" w:cs="Tahoma"/>
          <w:bCs/>
          <w:iCs/>
          <w:color w:val="000000"/>
          <w:sz w:val="18"/>
          <w:szCs w:val="18"/>
        </w:rPr>
        <w:t>Выдача денежных средств в пунктах выдачи наличных за рубежом для Карт UnionPay не предусмотрена.</w:t>
      </w:r>
    </w:p>
  </w:footnote>
  <w:footnote w:id="188">
    <w:p w14:paraId="519F7DF9" w14:textId="77777777" w:rsidR="009D1253" w:rsidRPr="005D7318" w:rsidRDefault="009D1253" w:rsidP="00AE7485">
      <w:pPr>
        <w:pStyle w:val="aff1"/>
        <w:jc w:val="both"/>
        <w:rPr>
          <w:rFonts w:ascii="Tahoma" w:hAnsi="Tahoma" w:cs="Tahoma"/>
          <w:bCs/>
          <w:iCs/>
          <w:color w:val="000000"/>
          <w:sz w:val="18"/>
          <w:szCs w:val="18"/>
        </w:rPr>
      </w:pPr>
      <w:r w:rsidRPr="005D7318">
        <w:rPr>
          <w:rFonts w:ascii="Tahoma" w:hAnsi="Tahoma" w:cs="Tahoma"/>
          <w:bCs/>
          <w:iCs/>
          <w:color w:val="000000"/>
          <w:sz w:val="18"/>
          <w:szCs w:val="18"/>
          <w:vertAlign w:val="superscript"/>
        </w:rPr>
        <w:footnoteRef/>
      </w:r>
      <w:r w:rsidRPr="005D7318">
        <w:rPr>
          <w:rFonts w:ascii="Tahoma" w:hAnsi="Tahoma" w:cs="Tahoma"/>
          <w:bCs/>
          <w:iCs/>
          <w:color w:val="000000"/>
          <w:sz w:val="18"/>
          <w:szCs w:val="18"/>
        </w:rPr>
        <w:t>Другой банк может взимать комиссию согласно своим тарифам.</w:t>
      </w:r>
    </w:p>
  </w:footnote>
  <w:footnote w:id="189">
    <w:p w14:paraId="6EB08D60" w14:textId="77777777" w:rsidR="009D1253" w:rsidRDefault="009D1253" w:rsidP="00AE7485">
      <w:pPr>
        <w:pStyle w:val="aff1"/>
        <w:jc w:val="both"/>
      </w:pPr>
      <w:r w:rsidRPr="00464DC7">
        <w:rPr>
          <w:rFonts w:ascii="Tahoma" w:hAnsi="Tahoma" w:cs="Tahoma"/>
          <w:bCs/>
          <w:iCs/>
          <w:color w:val="000000"/>
          <w:sz w:val="18"/>
          <w:szCs w:val="18"/>
          <w:vertAlign w:val="superscript"/>
        </w:rPr>
        <w:footnoteRef/>
      </w:r>
      <w:r w:rsidRPr="00464DC7">
        <w:rPr>
          <w:rFonts w:ascii="Tahoma" w:hAnsi="Tahoma" w:cs="Tahoma"/>
          <w:bCs/>
          <w:iCs/>
          <w:color w:val="000000"/>
          <w:sz w:val="18"/>
          <w:szCs w:val="18"/>
        </w:rPr>
        <w:t>Платежными системами и ТСП могут быть установлены собственные ограничения по предоставлению данной услуги. О наличии услуги и ограничениях по ней необходимо уточнять в ТСП.</w:t>
      </w:r>
    </w:p>
  </w:footnote>
  <w:footnote w:id="190">
    <w:p w14:paraId="062C8680" w14:textId="77777777" w:rsidR="009D1253" w:rsidRDefault="009D1253" w:rsidP="00AE7485">
      <w:pPr>
        <w:pStyle w:val="aff1"/>
        <w:jc w:val="both"/>
      </w:pPr>
      <w:r w:rsidRPr="005D7318">
        <w:rPr>
          <w:rFonts w:ascii="Tahoma" w:hAnsi="Tahoma" w:cs="Tahoma"/>
          <w:bCs/>
          <w:iCs/>
          <w:color w:val="000000"/>
          <w:sz w:val="18"/>
          <w:szCs w:val="18"/>
          <w:vertAlign w:val="superscript"/>
        </w:rPr>
        <w:footnoteRef/>
      </w:r>
      <w:r w:rsidRPr="005D7318">
        <w:rPr>
          <w:rFonts w:ascii="Tahoma" w:hAnsi="Tahoma" w:cs="Tahoma"/>
          <w:bCs/>
          <w:iCs/>
          <w:color w:val="000000"/>
          <w:sz w:val="18"/>
          <w:szCs w:val="18"/>
        </w:rPr>
        <w:t>Другой банк может взимать комиссию согласно своим тарифам.</w:t>
      </w:r>
    </w:p>
  </w:footnote>
  <w:footnote w:id="191">
    <w:p w14:paraId="7530A241" w14:textId="77777777" w:rsidR="009D1253" w:rsidRDefault="009D1253" w:rsidP="00AE7485">
      <w:pPr>
        <w:pStyle w:val="aff1"/>
        <w:jc w:val="both"/>
      </w:pPr>
      <w:r w:rsidRPr="005D7318">
        <w:rPr>
          <w:rFonts w:ascii="Tahoma" w:hAnsi="Tahoma" w:cs="Tahoma"/>
          <w:bCs/>
          <w:iCs/>
          <w:color w:val="000000"/>
          <w:sz w:val="18"/>
          <w:szCs w:val="18"/>
          <w:vertAlign w:val="superscript"/>
        </w:rPr>
        <w:footnoteRef/>
      </w:r>
      <w:r>
        <w:rPr>
          <w:rFonts w:ascii="Tahoma" w:hAnsi="Tahoma" w:cs="Tahoma"/>
          <w:bCs/>
          <w:iCs/>
          <w:color w:val="000000"/>
          <w:sz w:val="18"/>
          <w:szCs w:val="18"/>
        </w:rPr>
        <w:t>Выдача денежных средств</w:t>
      </w:r>
      <w:r w:rsidRPr="005D7318">
        <w:rPr>
          <w:rFonts w:ascii="Tahoma" w:hAnsi="Tahoma" w:cs="Tahoma"/>
          <w:bCs/>
          <w:iCs/>
          <w:color w:val="000000"/>
          <w:sz w:val="18"/>
          <w:szCs w:val="18"/>
        </w:rPr>
        <w:t xml:space="preserve"> </w:t>
      </w:r>
      <w:r>
        <w:rPr>
          <w:rFonts w:ascii="Tahoma" w:hAnsi="Tahoma" w:cs="Tahoma"/>
          <w:bCs/>
          <w:iCs/>
          <w:color w:val="000000"/>
          <w:sz w:val="18"/>
          <w:szCs w:val="18"/>
        </w:rPr>
        <w:t>в случаях, установленных законодательством Российской Федерации, а также</w:t>
      </w:r>
      <w:r w:rsidRPr="005D7318">
        <w:rPr>
          <w:rFonts w:ascii="Tahoma" w:hAnsi="Tahoma" w:cs="Tahoma"/>
          <w:bCs/>
          <w:iCs/>
          <w:color w:val="000000"/>
          <w:sz w:val="18"/>
          <w:szCs w:val="18"/>
        </w:rPr>
        <w:t xml:space="preserve"> поступивших</w:t>
      </w:r>
      <w:r>
        <w:rPr>
          <w:rFonts w:ascii="Tahoma" w:hAnsi="Tahoma" w:cs="Tahoma"/>
          <w:bCs/>
          <w:iCs/>
          <w:color w:val="000000"/>
          <w:sz w:val="18"/>
          <w:szCs w:val="18"/>
        </w:rPr>
        <w:t xml:space="preserve"> напрямую на Счет Карты</w:t>
      </w:r>
      <w:r w:rsidRPr="005D7318">
        <w:rPr>
          <w:rFonts w:ascii="Tahoma" w:hAnsi="Tahoma" w:cs="Tahoma"/>
          <w:bCs/>
          <w:iCs/>
          <w:color w:val="000000"/>
          <w:sz w:val="18"/>
          <w:szCs w:val="18"/>
        </w:rPr>
        <w:t>: в качестве заработной платы Клиента и/или по кредитным договорам Клиента с Банком</w:t>
      </w:r>
      <w:r>
        <w:rPr>
          <w:rFonts w:ascii="Tahoma" w:hAnsi="Tahoma" w:cs="Tahoma"/>
          <w:bCs/>
          <w:iCs/>
          <w:color w:val="000000"/>
          <w:sz w:val="18"/>
          <w:szCs w:val="18"/>
        </w:rPr>
        <w:t>, и/или</w:t>
      </w:r>
      <w:r w:rsidRPr="005D7318">
        <w:rPr>
          <w:rFonts w:ascii="Tahoma" w:hAnsi="Tahoma" w:cs="Tahoma"/>
          <w:bCs/>
          <w:iCs/>
          <w:color w:val="000000"/>
          <w:sz w:val="18"/>
          <w:szCs w:val="18"/>
        </w:rPr>
        <w:t xml:space="preserve"> в результате конверсии валют</w:t>
      </w:r>
      <w:r>
        <w:rPr>
          <w:rFonts w:ascii="Tahoma" w:hAnsi="Tahoma" w:cs="Tahoma"/>
          <w:bCs/>
          <w:iCs/>
          <w:color w:val="000000"/>
          <w:sz w:val="18"/>
          <w:szCs w:val="18"/>
        </w:rPr>
        <w:t xml:space="preserve"> </w:t>
      </w:r>
      <w:r w:rsidRPr="005D7318">
        <w:rPr>
          <w:rFonts w:ascii="Tahoma" w:hAnsi="Tahoma" w:cs="Tahoma"/>
          <w:bCs/>
          <w:iCs/>
          <w:color w:val="000000"/>
          <w:sz w:val="18"/>
          <w:szCs w:val="18"/>
        </w:rPr>
        <w:t>– осуществляется без комиссии.</w:t>
      </w:r>
    </w:p>
  </w:footnote>
  <w:footnote w:id="192">
    <w:p w14:paraId="65CD9BEF" w14:textId="77777777" w:rsidR="009D1253" w:rsidRPr="004D7252" w:rsidRDefault="009D1253" w:rsidP="00AE7485">
      <w:pPr>
        <w:pStyle w:val="aff1"/>
        <w:jc w:val="both"/>
      </w:pPr>
      <w:r w:rsidRPr="00464DC7">
        <w:rPr>
          <w:rFonts w:ascii="Tahoma" w:hAnsi="Tahoma" w:cs="Tahoma"/>
          <w:bCs/>
          <w:iCs/>
          <w:color w:val="000000"/>
          <w:sz w:val="18"/>
          <w:szCs w:val="18"/>
          <w:vertAlign w:val="superscript"/>
        </w:rPr>
        <w:footnoteRef/>
      </w:r>
      <w:r w:rsidRPr="00464DC7">
        <w:rPr>
          <w:rFonts w:ascii="Tahoma" w:hAnsi="Tahoma" w:cs="Tahoma"/>
          <w:bCs/>
          <w:iCs/>
          <w:color w:val="000000"/>
          <w:sz w:val="18"/>
          <w:szCs w:val="18"/>
        </w:rPr>
        <w:t>По безналичным операциям с МСС-кодами: 4829 «Денежные переводы», 6012 «Финансовые институты – торговля и услуги», 6538 «Денежные переводы с Карты на Карту», 6534 «Платежная операция», 6051 «Квази-Кэш в нефинансовые учреждения» – комиссия не взимается.</w:t>
      </w:r>
    </w:p>
  </w:footnote>
  <w:footnote w:id="193">
    <w:p w14:paraId="1BE417A3" w14:textId="77777777" w:rsidR="009D1253" w:rsidRDefault="009D1253" w:rsidP="00AE7485">
      <w:pPr>
        <w:pStyle w:val="aff1"/>
        <w:jc w:val="both"/>
      </w:pPr>
      <w:r w:rsidRPr="004602E5">
        <w:rPr>
          <w:rFonts w:ascii="Tahoma" w:hAnsi="Tahoma" w:cs="Tahoma"/>
          <w:bCs/>
          <w:iCs/>
          <w:color w:val="000000"/>
          <w:sz w:val="18"/>
          <w:szCs w:val="18"/>
          <w:vertAlign w:val="superscript"/>
        </w:rPr>
        <w:footnoteRef/>
      </w:r>
      <w:r w:rsidRPr="004602E5">
        <w:rPr>
          <w:rFonts w:ascii="Tahoma" w:hAnsi="Tahoma" w:cs="Tahoma"/>
          <w:bCs/>
          <w:iCs/>
          <w:color w:val="000000"/>
          <w:sz w:val="18"/>
          <w:szCs w:val="18"/>
        </w:rPr>
        <w:t xml:space="preserve">Подключение Программы лояльности Акционерного общества «Национальная система платежных карт» (по тексту – Программа лояльности АО «НСПК») происходит по волеизъявлению Клиента автоматически при выдаче Клиенту Карты платежной системы «Мир». Клиент имеет право выразить отказ в подключении к Программе лояльности АО «НСПК», а также подключать/отключать ее самостоятельно посредством личного кабинета Программы лояльности АО «НСПК». Подключение Программы лояльности АО «НСПК» происходит исключительно на условиях действующих Правил программы лояльности </w:t>
      </w:r>
      <w:r>
        <w:rPr>
          <w:rFonts w:ascii="Tahoma" w:hAnsi="Tahoma" w:cs="Tahoma"/>
          <w:bCs/>
          <w:iCs/>
          <w:color w:val="000000"/>
          <w:sz w:val="18"/>
          <w:szCs w:val="18"/>
        </w:rPr>
        <w:t xml:space="preserve">АО </w:t>
      </w:r>
      <w:r w:rsidRPr="004602E5">
        <w:rPr>
          <w:rFonts w:ascii="Tahoma" w:hAnsi="Tahoma" w:cs="Tahoma"/>
          <w:bCs/>
          <w:iCs/>
          <w:color w:val="000000"/>
          <w:sz w:val="18"/>
          <w:szCs w:val="18"/>
        </w:rPr>
        <w:t>«</w:t>
      </w:r>
      <w:r>
        <w:rPr>
          <w:rFonts w:ascii="Tahoma" w:hAnsi="Tahoma" w:cs="Tahoma"/>
          <w:bCs/>
          <w:iCs/>
          <w:color w:val="000000"/>
          <w:sz w:val="18"/>
          <w:szCs w:val="18"/>
        </w:rPr>
        <w:t>НСПК</w:t>
      </w:r>
      <w:r w:rsidRPr="004602E5">
        <w:rPr>
          <w:rFonts w:ascii="Tahoma" w:hAnsi="Tahoma" w:cs="Tahoma"/>
          <w:bCs/>
          <w:iCs/>
          <w:color w:val="000000"/>
          <w:sz w:val="18"/>
          <w:szCs w:val="18"/>
        </w:rPr>
        <w:t xml:space="preserve">»», размещенных на его Официальном сайте </w:t>
      </w:r>
      <w:r w:rsidRPr="00414F11">
        <w:rPr>
          <w:rFonts w:ascii="Tahoma" w:hAnsi="Tahoma" w:cs="Tahoma"/>
          <w:bCs/>
          <w:iCs/>
          <w:color w:val="000000"/>
          <w:sz w:val="18"/>
          <w:szCs w:val="18"/>
        </w:rPr>
        <w:t>vamprivet.ru/rules/</w:t>
      </w:r>
      <w:r w:rsidRPr="004602E5">
        <w:rPr>
          <w:rFonts w:ascii="Tahoma" w:hAnsi="Tahoma" w:cs="Tahoma"/>
          <w:bCs/>
          <w:iCs/>
          <w:color w:val="000000"/>
          <w:sz w:val="18"/>
          <w:szCs w:val="18"/>
        </w:rPr>
        <w:t>, и исключительно к Картам платежной системы «Мир».</w:t>
      </w:r>
    </w:p>
  </w:footnote>
  <w:footnote w:id="194">
    <w:p w14:paraId="186B8CB4" w14:textId="77777777" w:rsidR="009D1253" w:rsidRPr="00E354D0" w:rsidRDefault="009D1253" w:rsidP="00AE7485">
      <w:pPr>
        <w:pStyle w:val="aff1"/>
      </w:pPr>
      <w:r w:rsidRPr="00055AB5">
        <w:rPr>
          <w:rFonts w:ascii="Tahoma" w:hAnsi="Tahoma" w:cs="Tahoma"/>
          <w:bCs/>
          <w:iCs/>
          <w:color w:val="000000"/>
          <w:sz w:val="18"/>
          <w:szCs w:val="18"/>
          <w:vertAlign w:val="superscript"/>
        </w:rPr>
        <w:footnoteRef/>
      </w:r>
      <w:r w:rsidRPr="00055AB5">
        <w:rPr>
          <w:rFonts w:ascii="Tahoma" w:hAnsi="Tahoma" w:cs="Tahoma"/>
          <w:bCs/>
          <w:iCs/>
          <w:color w:val="000000"/>
          <w:sz w:val="18"/>
          <w:szCs w:val="18"/>
        </w:rPr>
        <w:t xml:space="preserve">Сервис предоставляется </w:t>
      </w:r>
      <w:r>
        <w:rPr>
          <w:rFonts w:ascii="Tahoma" w:hAnsi="Tahoma" w:cs="Tahoma"/>
          <w:bCs/>
          <w:iCs/>
          <w:color w:val="000000"/>
          <w:sz w:val="18"/>
          <w:szCs w:val="18"/>
        </w:rPr>
        <w:t xml:space="preserve">по волеизъявлению Клиента и </w:t>
      </w:r>
      <w:r w:rsidRPr="00055AB5">
        <w:rPr>
          <w:rFonts w:ascii="Tahoma" w:hAnsi="Tahoma" w:cs="Tahoma"/>
          <w:bCs/>
          <w:iCs/>
          <w:color w:val="000000"/>
          <w:sz w:val="18"/>
          <w:szCs w:val="18"/>
        </w:rPr>
        <w:t>исключительно при оформлении Клиентом Карты типа Мир Supreme в рамках Программы.</w:t>
      </w:r>
    </w:p>
  </w:footnote>
  <w:footnote w:id="195">
    <w:p w14:paraId="7101899D" w14:textId="77777777" w:rsidR="009D1253" w:rsidRPr="00401CF1" w:rsidRDefault="009D1253" w:rsidP="00AE7485">
      <w:pPr>
        <w:pStyle w:val="Default"/>
        <w:jc w:val="both"/>
        <w:rPr>
          <w:rFonts w:ascii="Tahoma" w:eastAsia="Times New Roman" w:hAnsi="Tahoma" w:cs="Tahoma"/>
          <w:bCs/>
          <w:iCs/>
          <w:color w:val="auto"/>
          <w:sz w:val="18"/>
          <w:szCs w:val="18"/>
          <w:lang w:eastAsia="ru-RU"/>
        </w:rPr>
      </w:pPr>
      <w:r w:rsidRPr="00F6504C">
        <w:rPr>
          <w:rStyle w:val="aff3"/>
          <w:rFonts w:ascii="Tahoma" w:hAnsi="Tahoma" w:cs="Tahoma"/>
          <w:sz w:val="20"/>
        </w:rPr>
        <w:footnoteRef/>
      </w:r>
      <w:r w:rsidRPr="009C4847">
        <w:rPr>
          <w:rFonts w:ascii="Tahoma" w:hAnsi="Tahoma" w:cs="Tahoma"/>
          <w:sz w:val="18"/>
          <w:szCs w:val="18"/>
        </w:rPr>
        <w:t xml:space="preserve">Все предусмотренные Программой </w:t>
      </w:r>
      <w:r>
        <w:rPr>
          <w:rFonts w:ascii="Tahoma" w:hAnsi="Tahoma" w:cs="Tahoma"/>
          <w:sz w:val="18"/>
          <w:szCs w:val="18"/>
        </w:rPr>
        <w:t>Тарифы (</w:t>
      </w:r>
      <w:r w:rsidRPr="009C4847">
        <w:rPr>
          <w:rFonts w:ascii="Tahoma" w:hAnsi="Tahoma" w:cs="Tahoma"/>
          <w:sz w:val="18"/>
          <w:szCs w:val="18"/>
        </w:rPr>
        <w:t>комиссионные платежи</w:t>
      </w:r>
      <w:r>
        <w:rPr>
          <w:rFonts w:ascii="Tahoma" w:hAnsi="Tahoma" w:cs="Tahoma"/>
          <w:sz w:val="18"/>
          <w:szCs w:val="18"/>
        </w:rPr>
        <w:t>)</w:t>
      </w:r>
      <w:r w:rsidRPr="009C4847">
        <w:rPr>
          <w:rFonts w:ascii="Tahoma" w:hAnsi="Tahoma" w:cs="Tahoma"/>
          <w:sz w:val="18"/>
          <w:szCs w:val="18"/>
        </w:rPr>
        <w:t xml:space="preserve"> взимаются (списываются</w:t>
      </w:r>
      <w:r>
        <w:rPr>
          <w:rFonts w:ascii="Tahoma" w:hAnsi="Tahoma" w:cs="Tahoma"/>
          <w:sz w:val="18"/>
          <w:szCs w:val="18"/>
        </w:rPr>
        <w:t>)</w:t>
      </w:r>
      <w:r w:rsidRPr="009C4847">
        <w:rPr>
          <w:rFonts w:ascii="Tahoma" w:hAnsi="Tahoma" w:cs="Tahoma"/>
          <w:sz w:val="18"/>
          <w:szCs w:val="18"/>
        </w:rPr>
        <w:t xml:space="preserve"> в порядке прямого дебетовани</w:t>
      </w:r>
      <w:r>
        <w:rPr>
          <w:rFonts w:ascii="Tahoma" w:hAnsi="Tahoma" w:cs="Tahoma"/>
          <w:sz w:val="18"/>
          <w:szCs w:val="18"/>
        </w:rPr>
        <w:t>я</w:t>
      </w:r>
      <w:r w:rsidRPr="009C4847">
        <w:rPr>
          <w:rFonts w:ascii="Tahoma" w:hAnsi="Tahoma" w:cs="Tahoma"/>
          <w:sz w:val="18"/>
          <w:szCs w:val="18"/>
        </w:rPr>
        <w:t xml:space="preserve"> на основании заранее данного Клиентом Банку акцепта и (или) инкассовыми поручениями с любого Счета Карты, Накопительного счета Клиента в Банке,</w:t>
      </w:r>
      <w:r>
        <w:rPr>
          <w:rFonts w:ascii="Tahoma" w:hAnsi="Tahoma" w:cs="Tahoma"/>
          <w:sz w:val="18"/>
          <w:szCs w:val="18"/>
        </w:rPr>
        <w:t xml:space="preserve"> </w:t>
      </w:r>
      <w:r w:rsidRPr="009C4847">
        <w:rPr>
          <w:rFonts w:ascii="Tahoma" w:hAnsi="Tahoma" w:cs="Tahoma"/>
          <w:sz w:val="18"/>
          <w:szCs w:val="18"/>
        </w:rPr>
        <w:t xml:space="preserve">в момент совершения соответствующей операции, если иное не установлено </w:t>
      </w:r>
      <w:r>
        <w:rPr>
          <w:rFonts w:ascii="Tahoma" w:hAnsi="Tahoma" w:cs="Tahoma"/>
          <w:sz w:val="18"/>
          <w:szCs w:val="18"/>
        </w:rPr>
        <w:t>Программой</w:t>
      </w:r>
      <w:r w:rsidRPr="009C4847">
        <w:rPr>
          <w:rFonts w:ascii="Tahoma" w:hAnsi="Tahoma" w:cs="Tahoma"/>
          <w:sz w:val="18"/>
          <w:szCs w:val="18"/>
        </w:rPr>
        <w:t>/договором с Клиентом. Списание комиссий в валюте, отличной от валюты счета списани</w:t>
      </w:r>
      <w:r>
        <w:rPr>
          <w:rFonts w:ascii="Tahoma" w:hAnsi="Tahoma" w:cs="Tahoma"/>
          <w:sz w:val="18"/>
          <w:szCs w:val="18"/>
        </w:rPr>
        <w:t>я, производится Банком по курсу</w:t>
      </w:r>
      <w:r w:rsidRPr="009C4847">
        <w:rPr>
          <w:rFonts w:ascii="Tahoma" w:hAnsi="Tahoma" w:cs="Tahoma"/>
          <w:sz w:val="18"/>
          <w:szCs w:val="18"/>
        </w:rPr>
        <w:t xml:space="preserve"> Банка России на день </w:t>
      </w:r>
      <w:r>
        <w:rPr>
          <w:rFonts w:ascii="Tahoma" w:hAnsi="Tahoma" w:cs="Tahoma"/>
          <w:sz w:val="18"/>
          <w:szCs w:val="18"/>
        </w:rPr>
        <w:t>проведения операции</w:t>
      </w:r>
      <w:r w:rsidRPr="009C4847">
        <w:rPr>
          <w:rFonts w:ascii="Tahoma" w:hAnsi="Tahoma" w:cs="Tahoma"/>
          <w:sz w:val="18"/>
          <w:szCs w:val="18"/>
        </w:rPr>
        <w:t>. Комиссии, указанные в процентах, исчисляются от суммы тарифицируемой операции.</w:t>
      </w:r>
      <w:r>
        <w:rPr>
          <w:rFonts w:ascii="Tahoma" w:hAnsi="Tahoma" w:cs="Tahoma"/>
          <w:sz w:val="18"/>
          <w:szCs w:val="18"/>
        </w:rPr>
        <w:t xml:space="preserve"> </w:t>
      </w:r>
      <w:r w:rsidRPr="004F779F">
        <w:rPr>
          <w:rFonts w:ascii="Tahoma" w:hAnsi="Tahoma" w:cs="Tahoma"/>
          <w:sz w:val="18"/>
          <w:szCs w:val="18"/>
        </w:rPr>
        <w:t>Условия, опреде</w:t>
      </w:r>
      <w:r>
        <w:rPr>
          <w:rFonts w:ascii="Tahoma" w:hAnsi="Tahoma" w:cs="Tahoma"/>
          <w:sz w:val="18"/>
          <w:szCs w:val="18"/>
        </w:rPr>
        <w:t>ле</w:t>
      </w:r>
      <w:r w:rsidRPr="004F779F">
        <w:rPr>
          <w:rFonts w:ascii="Tahoma" w:hAnsi="Tahoma" w:cs="Tahoma"/>
          <w:sz w:val="18"/>
          <w:szCs w:val="18"/>
        </w:rPr>
        <w:t xml:space="preserve">нные </w:t>
      </w:r>
      <w:r>
        <w:rPr>
          <w:rFonts w:ascii="Tahoma" w:hAnsi="Tahoma" w:cs="Tahoma"/>
          <w:sz w:val="18"/>
          <w:szCs w:val="18"/>
        </w:rPr>
        <w:t>Программой</w:t>
      </w:r>
      <w:r w:rsidRPr="004F779F">
        <w:rPr>
          <w:rFonts w:ascii="Tahoma" w:hAnsi="Tahoma" w:cs="Tahoma"/>
          <w:sz w:val="18"/>
          <w:szCs w:val="18"/>
        </w:rPr>
        <w:t xml:space="preserve">, имеют приоритетную силу над </w:t>
      </w:r>
      <w:r>
        <w:rPr>
          <w:rFonts w:ascii="Tahoma" w:hAnsi="Tahoma" w:cs="Tahoma"/>
          <w:sz w:val="18"/>
          <w:szCs w:val="18"/>
        </w:rPr>
        <w:t>условиями</w:t>
      </w:r>
      <w:r w:rsidRPr="004F779F">
        <w:rPr>
          <w:rFonts w:ascii="Tahoma" w:hAnsi="Tahoma" w:cs="Tahoma"/>
          <w:sz w:val="18"/>
          <w:szCs w:val="18"/>
        </w:rPr>
        <w:t xml:space="preserve"> </w:t>
      </w:r>
      <w:r>
        <w:rPr>
          <w:rFonts w:ascii="Tahoma" w:hAnsi="Tahoma" w:cs="Tahoma"/>
          <w:sz w:val="18"/>
          <w:szCs w:val="18"/>
        </w:rPr>
        <w:t xml:space="preserve">Универсального договора банковского обслуживания (по тексту – </w:t>
      </w:r>
      <w:r w:rsidRPr="004F779F">
        <w:rPr>
          <w:rFonts w:ascii="Tahoma" w:hAnsi="Tahoma" w:cs="Tahoma"/>
          <w:sz w:val="18"/>
          <w:szCs w:val="18"/>
        </w:rPr>
        <w:t>УДБО</w:t>
      </w:r>
      <w:r>
        <w:rPr>
          <w:rFonts w:ascii="Tahoma" w:hAnsi="Tahoma" w:cs="Tahoma"/>
          <w:sz w:val="18"/>
          <w:szCs w:val="18"/>
        </w:rPr>
        <w:t xml:space="preserve">). </w:t>
      </w:r>
      <w:r w:rsidRPr="00CC08E2">
        <w:rPr>
          <w:rFonts w:ascii="Tahoma" w:hAnsi="Tahoma" w:cs="Tahoma"/>
          <w:sz w:val="18"/>
          <w:szCs w:val="18"/>
        </w:rPr>
        <w:t>Термины, значение которых не приведено в Программе, применяются в значении, определ</w:t>
      </w:r>
      <w:r>
        <w:rPr>
          <w:rFonts w:ascii="Tahoma" w:hAnsi="Tahoma" w:cs="Tahoma"/>
          <w:sz w:val="18"/>
          <w:szCs w:val="18"/>
        </w:rPr>
        <w:t>е</w:t>
      </w:r>
      <w:r w:rsidRPr="00CC08E2">
        <w:rPr>
          <w:rFonts w:ascii="Tahoma" w:hAnsi="Tahoma" w:cs="Tahoma"/>
          <w:sz w:val="18"/>
          <w:szCs w:val="18"/>
        </w:rPr>
        <w:t>нном в УДБО</w:t>
      </w:r>
      <w:r>
        <w:rPr>
          <w:rFonts w:ascii="Tahoma" w:hAnsi="Tahoma" w:cs="Tahoma"/>
          <w:sz w:val="18"/>
          <w:szCs w:val="18"/>
        </w:rPr>
        <w:t>, размеще</w:t>
      </w:r>
      <w:r w:rsidRPr="00CC08E2">
        <w:rPr>
          <w:rFonts w:ascii="Tahoma" w:hAnsi="Tahoma" w:cs="Tahoma"/>
          <w:sz w:val="18"/>
          <w:szCs w:val="18"/>
        </w:rPr>
        <w:t>нном на Сайте Банка www.atb.su, в Подразделениях Банка, Интернет-Банке и Мобильном Банке.</w:t>
      </w:r>
      <w:r>
        <w:rPr>
          <w:rFonts w:ascii="Tahoma" w:hAnsi="Tahoma" w:cs="Tahoma"/>
          <w:sz w:val="18"/>
          <w:szCs w:val="18"/>
        </w:rPr>
        <w:t xml:space="preserve"> </w:t>
      </w:r>
      <w:r w:rsidRPr="00CF70AE">
        <w:rPr>
          <w:rFonts w:ascii="Tahoma" w:eastAsia="Times New Roman" w:hAnsi="Tahoma" w:cs="Tahoma"/>
          <w:bCs/>
          <w:iCs/>
          <w:color w:val="auto"/>
          <w:sz w:val="18"/>
          <w:szCs w:val="18"/>
          <w:lang w:eastAsia="ru-RU"/>
        </w:rPr>
        <w:t xml:space="preserve">При образовании комиссионной задолженности Клиента перед Банком, Банк имеет право в одностороннем порядке приостановить действие Карт Клиента, </w:t>
      </w:r>
      <w:r>
        <w:rPr>
          <w:rFonts w:ascii="Tahoma" w:eastAsia="Times New Roman" w:hAnsi="Tahoma" w:cs="Tahoma"/>
          <w:bCs/>
          <w:iCs/>
          <w:color w:val="auto"/>
          <w:sz w:val="18"/>
          <w:szCs w:val="18"/>
          <w:lang w:eastAsia="ru-RU"/>
        </w:rPr>
        <w:t>выпущенных в рамках Программы,</w:t>
      </w:r>
      <w:r w:rsidRPr="00CF70AE">
        <w:rPr>
          <w:rFonts w:ascii="Tahoma" w:eastAsia="Times New Roman" w:hAnsi="Tahoma" w:cs="Tahoma"/>
          <w:bCs/>
          <w:iCs/>
          <w:color w:val="auto"/>
          <w:sz w:val="18"/>
          <w:szCs w:val="18"/>
          <w:lang w:eastAsia="ru-RU"/>
        </w:rPr>
        <w:t xml:space="preserve"> Программы лояльности</w:t>
      </w:r>
      <w:r>
        <w:rPr>
          <w:rFonts w:ascii="Tahoma" w:eastAsia="Times New Roman" w:hAnsi="Tahoma" w:cs="Tahoma"/>
          <w:bCs/>
          <w:iCs/>
          <w:color w:val="auto"/>
          <w:sz w:val="18"/>
          <w:szCs w:val="18"/>
          <w:lang w:eastAsia="ru-RU"/>
        </w:rPr>
        <w:t xml:space="preserve"> и иных сервисов</w:t>
      </w:r>
      <w:r w:rsidRPr="00CF70AE">
        <w:rPr>
          <w:rFonts w:ascii="Tahoma" w:eastAsia="Times New Roman" w:hAnsi="Tahoma" w:cs="Tahoma"/>
          <w:bCs/>
          <w:iCs/>
          <w:color w:val="auto"/>
          <w:sz w:val="18"/>
          <w:szCs w:val="18"/>
          <w:lang w:eastAsia="ru-RU"/>
        </w:rPr>
        <w:t>, действующ</w:t>
      </w:r>
      <w:r>
        <w:rPr>
          <w:rFonts w:ascii="Tahoma" w:eastAsia="Times New Roman" w:hAnsi="Tahoma" w:cs="Tahoma"/>
          <w:bCs/>
          <w:iCs/>
          <w:color w:val="auto"/>
          <w:sz w:val="18"/>
          <w:szCs w:val="18"/>
          <w:lang w:eastAsia="ru-RU"/>
        </w:rPr>
        <w:t>их</w:t>
      </w:r>
      <w:r w:rsidRPr="00CF70AE">
        <w:rPr>
          <w:rFonts w:ascii="Tahoma" w:eastAsia="Times New Roman" w:hAnsi="Tahoma" w:cs="Tahoma"/>
          <w:bCs/>
          <w:iCs/>
          <w:color w:val="auto"/>
          <w:sz w:val="18"/>
          <w:szCs w:val="18"/>
          <w:lang w:eastAsia="ru-RU"/>
        </w:rPr>
        <w:t xml:space="preserve"> в рамках Программы (операции по Счетам без использования Карт/рекви</w:t>
      </w:r>
      <w:r>
        <w:rPr>
          <w:rFonts w:ascii="Tahoma" w:eastAsia="Times New Roman" w:hAnsi="Tahoma" w:cs="Tahoma"/>
          <w:bCs/>
          <w:iCs/>
          <w:color w:val="auto"/>
          <w:sz w:val="18"/>
          <w:szCs w:val="18"/>
          <w:lang w:eastAsia="ru-RU"/>
        </w:rPr>
        <w:t>зитов Карт остаются доступными</w:t>
      </w:r>
      <w:r w:rsidRPr="00AC51CE">
        <w:rPr>
          <w:rFonts w:ascii="Tahoma" w:eastAsia="Times New Roman" w:hAnsi="Tahoma" w:cs="Tahoma"/>
          <w:bCs/>
          <w:iCs/>
          <w:color w:val="auto"/>
          <w:sz w:val="18"/>
          <w:szCs w:val="18"/>
          <w:lang w:eastAsia="ru-RU"/>
        </w:rPr>
        <w:t>), до даты погашения этой комиссионной задолженности, за исключением случаев, предусмотренных законодательством РФ.</w:t>
      </w:r>
    </w:p>
  </w:footnote>
  <w:footnote w:id="196">
    <w:p w14:paraId="63093D06" w14:textId="77777777" w:rsidR="009D1253" w:rsidRPr="008062F7" w:rsidRDefault="009D1253" w:rsidP="00AE7485">
      <w:pPr>
        <w:tabs>
          <w:tab w:val="left" w:pos="284"/>
        </w:tabs>
        <w:jc w:val="both"/>
        <w:rPr>
          <w:rFonts w:ascii="Tahoma" w:hAnsi="Tahoma" w:cs="Tahoma"/>
          <w:sz w:val="18"/>
          <w:szCs w:val="18"/>
        </w:rPr>
      </w:pPr>
      <w:r w:rsidRPr="00401CF1">
        <w:rPr>
          <w:rFonts w:ascii="Tahoma" w:hAnsi="Tahoma" w:cs="Tahoma"/>
          <w:sz w:val="18"/>
          <w:szCs w:val="18"/>
          <w:vertAlign w:val="superscript"/>
        </w:rPr>
        <w:footnoteRef/>
      </w:r>
      <w:r w:rsidRPr="008062F7">
        <w:rPr>
          <w:rFonts w:ascii="Tahoma" w:hAnsi="Tahoma" w:cs="Tahoma"/>
          <w:sz w:val="18"/>
          <w:szCs w:val="18"/>
        </w:rPr>
        <w:t>Операции с денежными средствами на валютных счетах, вкладах Клиентов</w:t>
      </w:r>
      <w:r>
        <w:rPr>
          <w:rFonts w:ascii="Tahoma" w:hAnsi="Tahoma" w:cs="Tahoma"/>
          <w:sz w:val="18"/>
          <w:szCs w:val="18"/>
        </w:rPr>
        <w:t xml:space="preserve"> и использование платежных карт</w:t>
      </w:r>
      <w:r w:rsidRPr="008062F7">
        <w:rPr>
          <w:rFonts w:ascii="Tahoma" w:hAnsi="Tahoma" w:cs="Tahoma"/>
          <w:sz w:val="18"/>
          <w:szCs w:val="18"/>
        </w:rPr>
        <w:t xml:space="preserve"> осуществляются при соблюдении установленных законодательством Российской Федерации (в том числе актами Центрального банка РФ, иных уполномоченных лиц/органов, действующих на территории Российской Федерации), ограничений/условий.</w:t>
      </w:r>
    </w:p>
  </w:footnote>
  <w:footnote w:id="197">
    <w:p w14:paraId="74770C15" w14:textId="77777777" w:rsidR="009D1253" w:rsidRPr="008062F7" w:rsidRDefault="009D1253" w:rsidP="00AE7485">
      <w:pPr>
        <w:pStyle w:val="aff1"/>
        <w:jc w:val="both"/>
        <w:rPr>
          <w:rFonts w:ascii="Tahoma" w:hAnsi="Tahoma" w:cs="Tahoma"/>
          <w:sz w:val="18"/>
          <w:szCs w:val="18"/>
        </w:rPr>
      </w:pPr>
      <w:r w:rsidRPr="00401CF1">
        <w:rPr>
          <w:rFonts w:ascii="Tahoma" w:hAnsi="Tahoma" w:cs="Tahoma"/>
          <w:sz w:val="18"/>
          <w:szCs w:val="18"/>
          <w:vertAlign w:val="superscript"/>
        </w:rPr>
        <w:footnoteRef/>
      </w:r>
      <w:r w:rsidRPr="008062F7">
        <w:rPr>
          <w:rFonts w:ascii="Tahoma" w:hAnsi="Tahoma" w:cs="Tahoma"/>
          <w:sz w:val="18"/>
          <w:szCs w:val="18"/>
        </w:rPr>
        <w:t>Программа – настоящий документ.</w:t>
      </w:r>
    </w:p>
  </w:footnote>
  <w:footnote w:id="198">
    <w:p w14:paraId="161779F7" w14:textId="77777777" w:rsidR="009D1253" w:rsidRPr="008062F7" w:rsidRDefault="009D1253" w:rsidP="00AE7485">
      <w:pPr>
        <w:pStyle w:val="aff1"/>
        <w:jc w:val="both"/>
        <w:rPr>
          <w:rFonts w:ascii="Tahoma" w:hAnsi="Tahoma" w:cs="Tahoma"/>
          <w:sz w:val="18"/>
          <w:szCs w:val="18"/>
        </w:rPr>
      </w:pPr>
      <w:r w:rsidRPr="00401CF1">
        <w:rPr>
          <w:rFonts w:ascii="Tahoma" w:hAnsi="Tahoma" w:cs="Tahoma"/>
          <w:sz w:val="18"/>
          <w:szCs w:val="18"/>
          <w:vertAlign w:val="superscript"/>
        </w:rPr>
        <w:footnoteRef/>
      </w:r>
      <w:r w:rsidRPr="008062F7">
        <w:rPr>
          <w:rFonts w:ascii="Tahoma" w:hAnsi="Tahoma" w:cs="Tahoma"/>
          <w:sz w:val="18"/>
          <w:szCs w:val="18"/>
        </w:rPr>
        <w:t xml:space="preserve">Отчетный период – календарный месяц, начинающийся с 1 (первого) </w:t>
      </w:r>
      <w:r>
        <w:rPr>
          <w:rFonts w:ascii="Tahoma" w:hAnsi="Tahoma" w:cs="Tahoma"/>
          <w:sz w:val="18"/>
          <w:szCs w:val="18"/>
        </w:rPr>
        <w:t xml:space="preserve">по последнее </w:t>
      </w:r>
      <w:r w:rsidRPr="008062F7">
        <w:rPr>
          <w:rFonts w:ascii="Tahoma" w:hAnsi="Tahoma" w:cs="Tahoma"/>
          <w:sz w:val="18"/>
          <w:szCs w:val="18"/>
        </w:rPr>
        <w:t>числ</w:t>
      </w:r>
      <w:r>
        <w:rPr>
          <w:rFonts w:ascii="Tahoma" w:hAnsi="Tahoma" w:cs="Tahoma"/>
          <w:sz w:val="18"/>
          <w:szCs w:val="18"/>
        </w:rPr>
        <w:t>о</w:t>
      </w:r>
      <w:r w:rsidRPr="008062F7">
        <w:rPr>
          <w:rFonts w:ascii="Tahoma" w:hAnsi="Tahoma" w:cs="Tahoma"/>
          <w:sz w:val="18"/>
          <w:szCs w:val="18"/>
        </w:rPr>
        <w:t xml:space="preserve"> месяца.</w:t>
      </w:r>
    </w:p>
  </w:footnote>
  <w:footnote w:id="199">
    <w:p w14:paraId="1DAEC7C8" w14:textId="77777777" w:rsidR="009D1253" w:rsidRPr="00AE7485" w:rsidRDefault="009D1253" w:rsidP="00AE7485">
      <w:pPr>
        <w:pStyle w:val="23"/>
        <w:tabs>
          <w:tab w:val="left" w:pos="709"/>
        </w:tabs>
        <w:rPr>
          <w:rFonts w:ascii="Tahoma" w:eastAsia="Calibri" w:hAnsi="Tahoma" w:cs="Tahoma"/>
          <w:sz w:val="18"/>
          <w:szCs w:val="18"/>
          <w:lang w:eastAsia="en-US"/>
        </w:rPr>
      </w:pPr>
      <w:r w:rsidRPr="00AE7485">
        <w:rPr>
          <w:rFonts w:ascii="Tahoma" w:eastAsia="Calibri" w:hAnsi="Tahoma" w:cs="Tahoma"/>
          <w:sz w:val="18"/>
          <w:szCs w:val="18"/>
          <w:vertAlign w:val="superscript"/>
          <w:lang w:eastAsia="en-US"/>
        </w:rPr>
        <w:footnoteRef/>
      </w:r>
      <w:r w:rsidRPr="00AE7485">
        <w:rPr>
          <w:rFonts w:ascii="Tahoma" w:eastAsia="Calibri" w:hAnsi="Tahoma" w:cs="Tahoma"/>
          <w:sz w:val="18"/>
          <w:szCs w:val="18"/>
          <w:lang w:eastAsia="en-US"/>
        </w:rPr>
        <w:t>Порядок начисления и взимания Банком комиссионного вознаграждения (комиссия), установленного Программой, для Клиентов-держателей Программы (взимается Банком не позднее четвертого рабочего дня месяца, следующего за месяцем предоставления услуги в соответствии с Программой):</w:t>
      </w:r>
    </w:p>
    <w:p w14:paraId="55330F55" w14:textId="77777777" w:rsidR="009D1253" w:rsidRPr="008062F7" w:rsidRDefault="009D1253" w:rsidP="00AE7485">
      <w:pPr>
        <w:pStyle w:val="Default"/>
        <w:numPr>
          <w:ilvl w:val="1"/>
          <w:numId w:val="22"/>
        </w:numPr>
        <w:ind w:left="567" w:hanging="414"/>
        <w:jc w:val="both"/>
        <w:rPr>
          <w:rFonts w:ascii="Tahoma" w:hAnsi="Tahoma" w:cs="Tahoma"/>
          <w:color w:val="auto"/>
          <w:sz w:val="18"/>
          <w:szCs w:val="18"/>
        </w:rPr>
      </w:pPr>
      <w:r w:rsidRPr="008062F7">
        <w:rPr>
          <w:rFonts w:ascii="Tahoma" w:hAnsi="Tahoma" w:cs="Tahoma"/>
          <w:color w:val="auto"/>
          <w:sz w:val="18"/>
          <w:szCs w:val="18"/>
        </w:rPr>
        <w:t>В Льготный период – комиссия не начисляется.</w:t>
      </w:r>
    </w:p>
    <w:p w14:paraId="22E01B41" w14:textId="77777777" w:rsidR="009D1253" w:rsidRPr="008062F7" w:rsidRDefault="009D1253" w:rsidP="00AE7485">
      <w:pPr>
        <w:pStyle w:val="Default"/>
        <w:numPr>
          <w:ilvl w:val="1"/>
          <w:numId w:val="22"/>
        </w:numPr>
        <w:ind w:left="567" w:hanging="414"/>
        <w:jc w:val="both"/>
        <w:rPr>
          <w:rFonts w:ascii="Tahoma" w:hAnsi="Tahoma" w:cs="Tahoma"/>
          <w:color w:val="auto"/>
          <w:sz w:val="18"/>
          <w:szCs w:val="18"/>
        </w:rPr>
      </w:pPr>
      <w:r w:rsidRPr="008062F7">
        <w:rPr>
          <w:rFonts w:ascii="Tahoma" w:hAnsi="Tahoma" w:cs="Tahoma"/>
          <w:color w:val="auto"/>
          <w:sz w:val="18"/>
          <w:szCs w:val="18"/>
        </w:rPr>
        <w:t xml:space="preserve">С первого Отчетного периода, следующего за месяцем оформления Программы Клиентом и в последующие Отчетные периоды, комиссия начисляется исходя из условий, указанных п.2 Программы. При несоблюдении условий, указанных в п.2  Программы, комиссия рассчитывается и взимается в третьем и последующих Отчетных периодах за предшествующий не позднее четвертого рабочего дня месяца. </w:t>
      </w:r>
    </w:p>
    <w:p w14:paraId="0A824B42" w14:textId="77777777" w:rsidR="009D1253" w:rsidRPr="009C4847" w:rsidRDefault="009D1253" w:rsidP="00AE7485">
      <w:pPr>
        <w:pStyle w:val="Default"/>
        <w:numPr>
          <w:ilvl w:val="1"/>
          <w:numId w:val="22"/>
        </w:numPr>
        <w:ind w:left="142" w:firstLine="0"/>
        <w:jc w:val="both"/>
        <w:rPr>
          <w:rFonts w:ascii="Tahoma" w:eastAsia="Times New Roman" w:hAnsi="Tahoma" w:cs="Tahoma"/>
          <w:bCs/>
          <w:iCs/>
          <w:color w:val="auto"/>
          <w:sz w:val="18"/>
          <w:szCs w:val="18"/>
          <w:lang w:eastAsia="ru-RU"/>
        </w:rPr>
      </w:pPr>
      <w:r w:rsidRPr="008062F7">
        <w:rPr>
          <w:rFonts w:ascii="Tahoma" w:hAnsi="Tahoma" w:cs="Tahoma"/>
          <w:color w:val="auto"/>
          <w:sz w:val="18"/>
          <w:szCs w:val="18"/>
        </w:rPr>
        <w:t>При расторжении Программы (по любой из причин) комиссия начисляется и взимается в день принятия Банком Заявления о расторжении Программы банковских услуг «Статус». За неполный месяц при подаче такого Заявления комиссия</w:t>
      </w:r>
      <w:r w:rsidRPr="009C4847">
        <w:rPr>
          <w:rFonts w:ascii="Tahoma" w:eastAsia="Times New Roman" w:hAnsi="Tahoma" w:cs="Tahoma"/>
          <w:bCs/>
          <w:iCs/>
          <w:color w:val="auto"/>
          <w:sz w:val="18"/>
          <w:szCs w:val="18"/>
          <w:lang w:eastAsia="ru-RU"/>
        </w:rPr>
        <w:t xml:space="preserve"> не начисляется</w:t>
      </w:r>
      <w:r>
        <w:rPr>
          <w:rFonts w:ascii="Tahoma" w:eastAsia="Times New Roman" w:hAnsi="Tahoma" w:cs="Tahoma"/>
          <w:bCs/>
          <w:iCs/>
          <w:color w:val="auto"/>
          <w:sz w:val="18"/>
          <w:szCs w:val="18"/>
          <w:lang w:eastAsia="ru-RU"/>
        </w:rPr>
        <w:t xml:space="preserve"> и не взимается</w:t>
      </w:r>
      <w:r w:rsidRPr="009C4847">
        <w:rPr>
          <w:rFonts w:ascii="Tahoma" w:eastAsia="Times New Roman" w:hAnsi="Tahoma" w:cs="Tahoma"/>
          <w:bCs/>
          <w:iCs/>
          <w:color w:val="auto"/>
          <w:sz w:val="18"/>
          <w:szCs w:val="18"/>
          <w:lang w:eastAsia="ru-RU"/>
        </w:rPr>
        <w:t xml:space="preserve"> (за исключением случаев расторжения Программы в Льготном периоде (</w:t>
      </w:r>
      <w:r w:rsidRPr="00486BCA">
        <w:rPr>
          <w:rFonts w:ascii="Tahoma" w:eastAsia="Times New Roman" w:hAnsi="Tahoma" w:cs="Tahoma"/>
          <w:bCs/>
          <w:iCs/>
          <w:color w:val="auto"/>
          <w:sz w:val="18"/>
          <w:szCs w:val="18"/>
          <w:lang w:eastAsia="ru-RU"/>
        </w:rPr>
        <w:t>п.</w:t>
      </w:r>
      <w:r w:rsidRPr="00055AB5">
        <w:rPr>
          <w:rFonts w:ascii="Tahoma" w:eastAsia="Times New Roman" w:hAnsi="Tahoma" w:cs="Tahoma"/>
          <w:bCs/>
          <w:iCs/>
          <w:color w:val="auto"/>
          <w:sz w:val="18"/>
          <w:szCs w:val="18"/>
          <w:lang w:eastAsia="ru-RU"/>
        </w:rPr>
        <w:t>5</w:t>
      </w:r>
      <w:r w:rsidRPr="00486BCA">
        <w:rPr>
          <w:rFonts w:ascii="Tahoma" w:eastAsia="Times New Roman" w:hAnsi="Tahoma" w:cs="Tahoma"/>
          <w:bCs/>
          <w:iCs/>
          <w:color w:val="auto"/>
          <w:sz w:val="18"/>
          <w:szCs w:val="18"/>
          <w:lang w:val="en-US" w:eastAsia="ru-RU"/>
        </w:rPr>
        <w:t>d</w:t>
      </w:r>
      <w:r w:rsidRPr="009C4847">
        <w:rPr>
          <w:rFonts w:ascii="Tahoma" w:eastAsia="Times New Roman" w:hAnsi="Tahoma" w:cs="Tahoma"/>
          <w:bCs/>
          <w:iCs/>
          <w:color w:val="auto"/>
          <w:sz w:val="18"/>
          <w:szCs w:val="18"/>
          <w:lang w:eastAsia="ru-RU"/>
        </w:rPr>
        <w:t xml:space="preserve"> </w:t>
      </w:r>
      <w:r w:rsidRPr="009C4847">
        <w:rPr>
          <w:rFonts w:ascii="Tahoma" w:hAnsi="Tahoma" w:cs="Tahoma"/>
          <w:bCs/>
          <w:iCs/>
          <w:sz w:val="18"/>
          <w:szCs w:val="18"/>
        </w:rPr>
        <w:t>настоящих Примечаний</w:t>
      </w:r>
      <w:r w:rsidRPr="009C4847">
        <w:rPr>
          <w:rFonts w:ascii="Tahoma" w:eastAsia="Times New Roman" w:hAnsi="Tahoma" w:cs="Tahoma"/>
          <w:bCs/>
          <w:iCs/>
          <w:color w:val="auto"/>
          <w:sz w:val="18"/>
          <w:szCs w:val="18"/>
          <w:lang w:eastAsia="ru-RU"/>
        </w:rPr>
        <w:t>).</w:t>
      </w:r>
    </w:p>
    <w:p w14:paraId="438DD0C2" w14:textId="77777777" w:rsidR="009D1253" w:rsidRPr="009C4847" w:rsidRDefault="009D1253" w:rsidP="00AE7485">
      <w:pPr>
        <w:pStyle w:val="Default"/>
        <w:numPr>
          <w:ilvl w:val="1"/>
          <w:numId w:val="22"/>
        </w:numPr>
        <w:ind w:left="567" w:hanging="425"/>
        <w:jc w:val="both"/>
        <w:rPr>
          <w:rFonts w:ascii="Tahoma" w:eastAsia="Times New Roman" w:hAnsi="Tahoma" w:cs="Tahoma"/>
          <w:bCs/>
          <w:iCs/>
          <w:color w:val="auto"/>
          <w:sz w:val="18"/>
          <w:szCs w:val="18"/>
          <w:lang w:eastAsia="ru-RU"/>
        </w:rPr>
      </w:pPr>
      <w:r>
        <w:rPr>
          <w:rFonts w:ascii="Tahoma" w:eastAsia="Times New Roman" w:hAnsi="Tahoma" w:cs="Tahoma"/>
          <w:bCs/>
          <w:iCs/>
          <w:color w:val="auto"/>
          <w:sz w:val="18"/>
          <w:szCs w:val="18"/>
          <w:lang w:eastAsia="ru-RU"/>
        </w:rPr>
        <w:t>В случае расторжения</w:t>
      </w:r>
      <w:r w:rsidRPr="00796B27">
        <w:rPr>
          <w:rFonts w:ascii="Tahoma" w:eastAsia="Times New Roman" w:hAnsi="Tahoma" w:cs="Tahoma"/>
          <w:bCs/>
          <w:iCs/>
          <w:color w:val="auto"/>
          <w:sz w:val="18"/>
          <w:szCs w:val="18"/>
          <w:lang w:eastAsia="ru-RU"/>
        </w:rPr>
        <w:t xml:space="preserve"> Программы </w:t>
      </w:r>
      <w:r w:rsidRPr="009C4847">
        <w:rPr>
          <w:rFonts w:ascii="Tahoma" w:eastAsia="Times New Roman" w:hAnsi="Tahoma" w:cs="Tahoma"/>
          <w:bCs/>
          <w:iCs/>
          <w:color w:val="auto"/>
          <w:sz w:val="18"/>
          <w:szCs w:val="18"/>
          <w:lang w:eastAsia="ru-RU"/>
        </w:rPr>
        <w:t xml:space="preserve">в Льготном периоде </w:t>
      </w:r>
      <w:r w:rsidRPr="00796B27">
        <w:rPr>
          <w:rFonts w:ascii="Tahoma" w:eastAsia="Times New Roman" w:hAnsi="Tahoma" w:cs="Tahoma"/>
          <w:bCs/>
          <w:iCs/>
          <w:color w:val="auto"/>
          <w:sz w:val="18"/>
          <w:szCs w:val="18"/>
          <w:lang w:eastAsia="ru-RU"/>
        </w:rPr>
        <w:t xml:space="preserve">по </w:t>
      </w:r>
      <w:r>
        <w:rPr>
          <w:rFonts w:ascii="Tahoma" w:eastAsia="Times New Roman" w:hAnsi="Tahoma" w:cs="Tahoma"/>
          <w:bCs/>
          <w:iCs/>
          <w:color w:val="auto"/>
          <w:sz w:val="18"/>
          <w:szCs w:val="18"/>
          <w:lang w:eastAsia="ru-RU"/>
        </w:rPr>
        <w:t>любой из причин</w:t>
      </w:r>
      <w:r w:rsidRPr="00796B27">
        <w:rPr>
          <w:rFonts w:ascii="Tahoma" w:eastAsia="Times New Roman" w:hAnsi="Tahoma" w:cs="Tahoma"/>
          <w:bCs/>
          <w:iCs/>
          <w:color w:val="auto"/>
          <w:sz w:val="18"/>
          <w:szCs w:val="18"/>
          <w:lang w:eastAsia="ru-RU"/>
        </w:rPr>
        <w:t>, предусмотренных законодательством РФ и Договором</w:t>
      </w:r>
      <w:r>
        <w:rPr>
          <w:rFonts w:ascii="Tahoma" w:eastAsia="Times New Roman" w:hAnsi="Tahoma" w:cs="Tahoma"/>
          <w:bCs/>
          <w:iCs/>
          <w:color w:val="auto"/>
          <w:sz w:val="18"/>
          <w:szCs w:val="18"/>
          <w:lang w:eastAsia="ru-RU"/>
        </w:rPr>
        <w:t>, заключенным</w:t>
      </w:r>
      <w:r w:rsidRPr="00796B27">
        <w:rPr>
          <w:rFonts w:ascii="Tahoma" w:eastAsia="Times New Roman" w:hAnsi="Tahoma" w:cs="Tahoma"/>
          <w:bCs/>
          <w:iCs/>
          <w:color w:val="auto"/>
          <w:sz w:val="18"/>
          <w:szCs w:val="18"/>
          <w:lang w:eastAsia="ru-RU"/>
        </w:rPr>
        <w:t xml:space="preserve"> с Клиентом</w:t>
      </w:r>
      <w:r>
        <w:rPr>
          <w:rFonts w:ascii="Tahoma" w:eastAsia="Times New Roman" w:hAnsi="Tahoma" w:cs="Tahoma"/>
          <w:bCs/>
          <w:iCs/>
          <w:color w:val="auto"/>
          <w:sz w:val="18"/>
          <w:szCs w:val="18"/>
          <w:lang w:eastAsia="ru-RU"/>
        </w:rPr>
        <w:t>,</w:t>
      </w:r>
      <w:r w:rsidRPr="00B51EDB" w:rsidDel="00B51EDB">
        <w:rPr>
          <w:rFonts w:ascii="Tahoma" w:eastAsia="Times New Roman" w:hAnsi="Tahoma" w:cs="Tahoma"/>
          <w:bCs/>
          <w:iCs/>
          <w:color w:val="auto"/>
          <w:sz w:val="18"/>
          <w:szCs w:val="18"/>
          <w:lang w:eastAsia="ru-RU"/>
        </w:rPr>
        <w:t xml:space="preserve"> </w:t>
      </w:r>
      <w:r w:rsidRPr="00796B27">
        <w:rPr>
          <w:rFonts w:ascii="Tahoma" w:eastAsia="Times New Roman" w:hAnsi="Tahoma" w:cs="Tahoma"/>
          <w:b/>
          <w:bCs/>
          <w:iCs/>
          <w:color w:val="auto"/>
          <w:sz w:val="18"/>
          <w:szCs w:val="18"/>
          <w:lang w:eastAsia="ru-RU"/>
        </w:rPr>
        <w:t xml:space="preserve">Банк </w:t>
      </w:r>
      <w:r>
        <w:rPr>
          <w:rFonts w:ascii="Tahoma" w:eastAsia="Times New Roman" w:hAnsi="Tahoma" w:cs="Tahoma"/>
          <w:b/>
          <w:bCs/>
          <w:iCs/>
          <w:color w:val="auto"/>
          <w:sz w:val="18"/>
          <w:szCs w:val="18"/>
          <w:lang w:eastAsia="ru-RU"/>
        </w:rPr>
        <w:t xml:space="preserve">рассчитывает и взимает комиссию за обслуживание Программы </w:t>
      </w:r>
      <w:r w:rsidRPr="00796B27">
        <w:rPr>
          <w:rFonts w:ascii="Tahoma" w:eastAsia="Times New Roman" w:hAnsi="Tahoma" w:cs="Tahoma"/>
          <w:b/>
          <w:bCs/>
          <w:iCs/>
          <w:color w:val="auto"/>
          <w:sz w:val="18"/>
          <w:szCs w:val="18"/>
          <w:lang w:eastAsia="ru-RU"/>
        </w:rPr>
        <w:t>в размере суммы ежемесячного обслу</w:t>
      </w:r>
      <w:r w:rsidRPr="00B51EDB">
        <w:rPr>
          <w:rFonts w:ascii="Tahoma" w:eastAsia="Times New Roman" w:hAnsi="Tahoma" w:cs="Tahoma"/>
          <w:b/>
          <w:bCs/>
          <w:iCs/>
          <w:color w:val="auto"/>
          <w:sz w:val="18"/>
          <w:szCs w:val="18"/>
          <w:lang w:eastAsia="ru-RU"/>
        </w:rPr>
        <w:t>ж</w:t>
      </w:r>
      <w:r>
        <w:rPr>
          <w:rFonts w:ascii="Tahoma" w:eastAsia="Times New Roman" w:hAnsi="Tahoma" w:cs="Tahoma"/>
          <w:b/>
          <w:bCs/>
          <w:iCs/>
          <w:color w:val="auto"/>
          <w:sz w:val="18"/>
          <w:szCs w:val="18"/>
          <w:lang w:eastAsia="ru-RU"/>
        </w:rPr>
        <w:t>ивания согласно п.2 Программы.</w:t>
      </w:r>
    </w:p>
    <w:p w14:paraId="328E7BA4" w14:textId="77777777" w:rsidR="009D1253" w:rsidRPr="009C4847" w:rsidRDefault="009D1253" w:rsidP="00AE7485">
      <w:pPr>
        <w:pStyle w:val="Default"/>
        <w:jc w:val="both"/>
        <w:rPr>
          <w:rFonts w:ascii="Tahoma" w:eastAsia="Times New Roman" w:hAnsi="Tahoma" w:cs="Tahoma"/>
          <w:bCs/>
          <w:iCs/>
          <w:color w:val="auto"/>
          <w:sz w:val="18"/>
          <w:szCs w:val="18"/>
          <w:lang w:eastAsia="ru-RU"/>
        </w:rPr>
      </w:pPr>
      <w:r>
        <w:rPr>
          <w:rFonts w:ascii="Tahoma" w:eastAsia="Times New Roman" w:hAnsi="Tahoma" w:cs="Tahoma"/>
          <w:bCs/>
          <w:iCs/>
          <w:color w:val="auto"/>
          <w:sz w:val="18"/>
          <w:szCs w:val="18"/>
          <w:lang w:val="en-US" w:eastAsia="ru-RU"/>
        </w:rPr>
        <w:t>C</w:t>
      </w:r>
      <w:r w:rsidRPr="009C4847">
        <w:rPr>
          <w:rFonts w:ascii="Tahoma" w:eastAsia="Times New Roman" w:hAnsi="Tahoma" w:cs="Tahoma"/>
          <w:bCs/>
          <w:iCs/>
          <w:color w:val="auto"/>
          <w:sz w:val="18"/>
          <w:szCs w:val="18"/>
          <w:lang w:eastAsia="ru-RU"/>
        </w:rPr>
        <w:t>писание комиссии за обслуживание Программы осуществляется единовременно с любых Счетов Клиента, открытых в рамках Программы, в следующей очередности</w:t>
      </w:r>
      <w:r w:rsidRPr="00A35D34">
        <w:rPr>
          <w:rFonts w:ascii="Tahoma" w:eastAsia="Times New Roman" w:hAnsi="Tahoma" w:cs="Tahoma"/>
          <w:bCs/>
          <w:iCs/>
          <w:color w:val="auto"/>
          <w:sz w:val="18"/>
          <w:szCs w:val="18"/>
          <w:lang w:eastAsia="ru-RU"/>
        </w:rPr>
        <w:t xml:space="preserve"> (</w:t>
      </w:r>
      <w:r w:rsidRPr="009C4847">
        <w:rPr>
          <w:rFonts w:ascii="Tahoma" w:hAnsi="Tahoma" w:cs="Tahoma"/>
          <w:bCs/>
          <w:iCs/>
          <w:sz w:val="18"/>
          <w:szCs w:val="18"/>
        </w:rPr>
        <w:t>с учетом п.1 настоящих Примечаний, если иное не установлено настоящим пунктом</w:t>
      </w:r>
      <w:r w:rsidRPr="00A35D34">
        <w:rPr>
          <w:rFonts w:ascii="Tahoma" w:hAnsi="Tahoma" w:cs="Tahoma"/>
          <w:bCs/>
          <w:iCs/>
          <w:sz w:val="18"/>
          <w:szCs w:val="18"/>
        </w:rPr>
        <w:t>)</w:t>
      </w:r>
      <w:r w:rsidRPr="009C4847">
        <w:rPr>
          <w:rFonts w:ascii="Tahoma" w:eastAsia="Times New Roman" w:hAnsi="Tahoma" w:cs="Tahoma"/>
          <w:bCs/>
          <w:iCs/>
          <w:color w:val="auto"/>
          <w:sz w:val="18"/>
          <w:szCs w:val="18"/>
          <w:lang w:eastAsia="ru-RU"/>
        </w:rPr>
        <w:t>:</w:t>
      </w:r>
      <w:r w:rsidRPr="00615551">
        <w:rPr>
          <w:rFonts w:ascii="Tahoma" w:eastAsia="Times New Roman" w:hAnsi="Tahoma" w:cs="Tahoma"/>
          <w:b/>
          <w:bCs/>
          <w:iCs/>
          <w:color w:val="auto"/>
          <w:sz w:val="18"/>
          <w:szCs w:val="18"/>
          <w:lang w:eastAsia="ru-RU"/>
        </w:rPr>
        <w:t xml:space="preserve"> </w:t>
      </w:r>
      <w:r>
        <w:rPr>
          <w:rFonts w:ascii="Tahoma" w:eastAsia="Times New Roman" w:hAnsi="Tahoma" w:cs="Tahoma"/>
          <w:b/>
          <w:bCs/>
          <w:iCs/>
          <w:color w:val="auto"/>
          <w:sz w:val="18"/>
          <w:szCs w:val="18"/>
          <w:lang w:eastAsia="ru-RU"/>
        </w:rPr>
        <w:t>(1</w:t>
      </w:r>
      <w:r w:rsidRPr="00261F20">
        <w:rPr>
          <w:rFonts w:ascii="Tahoma" w:eastAsia="Times New Roman" w:hAnsi="Tahoma" w:cs="Tahoma"/>
          <w:b/>
          <w:bCs/>
          <w:iCs/>
          <w:color w:val="auto"/>
          <w:sz w:val="18"/>
          <w:szCs w:val="18"/>
          <w:lang w:eastAsia="ru-RU"/>
        </w:rPr>
        <w:t>)</w:t>
      </w:r>
      <w:r w:rsidRPr="009C4847">
        <w:rPr>
          <w:rFonts w:ascii="Tahoma" w:eastAsia="Times New Roman" w:hAnsi="Tahoma" w:cs="Tahoma"/>
          <w:bCs/>
          <w:iCs/>
          <w:color w:val="auto"/>
          <w:sz w:val="18"/>
          <w:szCs w:val="18"/>
          <w:lang w:eastAsia="ru-RU"/>
        </w:rPr>
        <w:t xml:space="preserve"> Накопительные счета в рублях РФ; </w:t>
      </w:r>
      <w:r>
        <w:rPr>
          <w:rFonts w:ascii="Tahoma" w:eastAsia="Times New Roman" w:hAnsi="Tahoma" w:cs="Tahoma"/>
          <w:b/>
          <w:bCs/>
          <w:iCs/>
          <w:color w:val="auto"/>
          <w:sz w:val="18"/>
          <w:szCs w:val="18"/>
          <w:lang w:eastAsia="ru-RU"/>
        </w:rPr>
        <w:t>(2</w:t>
      </w:r>
      <w:r w:rsidRPr="00261F20">
        <w:rPr>
          <w:rFonts w:ascii="Tahoma" w:eastAsia="Times New Roman" w:hAnsi="Tahoma" w:cs="Tahoma"/>
          <w:b/>
          <w:bCs/>
          <w:iCs/>
          <w:color w:val="auto"/>
          <w:sz w:val="18"/>
          <w:szCs w:val="18"/>
          <w:lang w:eastAsia="ru-RU"/>
        </w:rPr>
        <w:t>)</w:t>
      </w:r>
      <w:r w:rsidRPr="009C4847">
        <w:rPr>
          <w:rFonts w:ascii="Tahoma" w:eastAsia="Times New Roman" w:hAnsi="Tahoma" w:cs="Tahoma"/>
          <w:bCs/>
          <w:iCs/>
          <w:color w:val="auto"/>
          <w:sz w:val="18"/>
          <w:szCs w:val="18"/>
          <w:lang w:eastAsia="ru-RU"/>
        </w:rPr>
        <w:t xml:space="preserve"> Счета Карты в рублях РФ;</w:t>
      </w:r>
      <w:r>
        <w:rPr>
          <w:rFonts w:ascii="Tahoma" w:eastAsia="Times New Roman" w:hAnsi="Tahoma" w:cs="Tahoma"/>
          <w:bCs/>
          <w:iCs/>
          <w:color w:val="auto"/>
          <w:sz w:val="18"/>
          <w:szCs w:val="18"/>
          <w:lang w:eastAsia="ru-RU"/>
        </w:rPr>
        <w:t xml:space="preserve"> </w:t>
      </w:r>
      <w:r w:rsidRPr="00261F20">
        <w:rPr>
          <w:rFonts w:ascii="Tahoma" w:eastAsia="Times New Roman" w:hAnsi="Tahoma" w:cs="Tahoma"/>
          <w:b/>
          <w:bCs/>
          <w:iCs/>
          <w:color w:val="auto"/>
          <w:sz w:val="18"/>
          <w:szCs w:val="18"/>
          <w:lang w:eastAsia="ru-RU"/>
        </w:rPr>
        <w:t>(3)</w:t>
      </w:r>
      <w:r w:rsidRPr="009C4847">
        <w:rPr>
          <w:rFonts w:ascii="Tahoma" w:eastAsia="Times New Roman" w:hAnsi="Tahoma" w:cs="Tahoma"/>
          <w:bCs/>
          <w:iCs/>
          <w:color w:val="auto"/>
          <w:sz w:val="18"/>
          <w:szCs w:val="18"/>
          <w:lang w:eastAsia="ru-RU"/>
        </w:rPr>
        <w:t xml:space="preserve"> Накопительные счета в долларах США, далее в </w:t>
      </w:r>
      <w:r>
        <w:rPr>
          <w:rFonts w:ascii="Tahoma" w:eastAsia="Times New Roman" w:hAnsi="Tahoma" w:cs="Tahoma"/>
          <w:bCs/>
          <w:iCs/>
          <w:color w:val="auto"/>
          <w:sz w:val="18"/>
          <w:szCs w:val="18"/>
          <w:lang w:eastAsia="ru-RU"/>
        </w:rPr>
        <w:t>Е</w:t>
      </w:r>
      <w:r w:rsidRPr="009C4847">
        <w:rPr>
          <w:rFonts w:ascii="Tahoma" w:eastAsia="Times New Roman" w:hAnsi="Tahoma" w:cs="Tahoma"/>
          <w:bCs/>
          <w:iCs/>
          <w:color w:val="auto"/>
          <w:sz w:val="18"/>
          <w:szCs w:val="18"/>
          <w:lang w:eastAsia="ru-RU"/>
        </w:rPr>
        <w:t xml:space="preserve">вро, далее в иных валютах; </w:t>
      </w:r>
      <w:r w:rsidRPr="00261F20">
        <w:rPr>
          <w:rFonts w:ascii="Tahoma" w:eastAsia="Times New Roman" w:hAnsi="Tahoma" w:cs="Tahoma"/>
          <w:b/>
          <w:bCs/>
          <w:iCs/>
          <w:color w:val="auto"/>
          <w:sz w:val="18"/>
          <w:szCs w:val="18"/>
          <w:lang w:eastAsia="ru-RU"/>
        </w:rPr>
        <w:t>(4)</w:t>
      </w:r>
      <w:r w:rsidRPr="009C4847">
        <w:rPr>
          <w:rFonts w:ascii="Tahoma" w:eastAsia="Times New Roman" w:hAnsi="Tahoma" w:cs="Tahoma"/>
          <w:bCs/>
          <w:iCs/>
          <w:color w:val="auto"/>
          <w:sz w:val="18"/>
          <w:szCs w:val="18"/>
          <w:lang w:eastAsia="ru-RU"/>
        </w:rPr>
        <w:t xml:space="preserve"> Счета Карт в </w:t>
      </w:r>
      <w:r>
        <w:rPr>
          <w:rFonts w:ascii="Tahoma" w:eastAsia="Times New Roman" w:hAnsi="Tahoma" w:cs="Tahoma"/>
          <w:bCs/>
          <w:iCs/>
          <w:color w:val="auto"/>
          <w:sz w:val="18"/>
          <w:szCs w:val="18"/>
          <w:lang w:eastAsia="ru-RU"/>
        </w:rPr>
        <w:t>юанях</w:t>
      </w:r>
      <w:r w:rsidRPr="009C4847">
        <w:rPr>
          <w:rFonts w:ascii="Tahoma" w:eastAsia="Times New Roman" w:hAnsi="Tahoma" w:cs="Tahoma"/>
          <w:bCs/>
          <w:iCs/>
          <w:color w:val="auto"/>
          <w:sz w:val="18"/>
          <w:szCs w:val="18"/>
          <w:lang w:eastAsia="ru-RU"/>
        </w:rPr>
        <w:t xml:space="preserve">; </w:t>
      </w:r>
      <w:r w:rsidRPr="00261F20">
        <w:rPr>
          <w:rFonts w:ascii="Tahoma" w:eastAsia="Times New Roman" w:hAnsi="Tahoma" w:cs="Tahoma"/>
          <w:b/>
          <w:bCs/>
          <w:iCs/>
          <w:color w:val="auto"/>
          <w:sz w:val="18"/>
          <w:szCs w:val="18"/>
          <w:lang w:eastAsia="ru-RU"/>
        </w:rPr>
        <w:t>(6)</w:t>
      </w:r>
      <w:r w:rsidRPr="009C4847">
        <w:rPr>
          <w:rFonts w:ascii="Tahoma" w:eastAsia="Times New Roman" w:hAnsi="Tahoma" w:cs="Tahoma"/>
          <w:bCs/>
          <w:iCs/>
          <w:color w:val="auto"/>
          <w:sz w:val="18"/>
          <w:szCs w:val="18"/>
          <w:lang w:eastAsia="ru-RU"/>
        </w:rPr>
        <w:t xml:space="preserve"> п</w:t>
      </w:r>
      <w:r w:rsidRPr="009C4847">
        <w:rPr>
          <w:rFonts w:ascii="Tahoma" w:hAnsi="Tahoma" w:cs="Tahoma"/>
          <w:sz w:val="18"/>
          <w:szCs w:val="18"/>
        </w:rPr>
        <w:t>ри отсутствии или недостаточности денежных средств для списания комиссионных платежей с банковских Счетов, открытых в рамках Программы, Банк вправе производить списание с иных банковских Счетов</w:t>
      </w:r>
      <w:r>
        <w:rPr>
          <w:rFonts w:ascii="Tahoma" w:hAnsi="Tahoma" w:cs="Tahoma"/>
          <w:sz w:val="18"/>
          <w:szCs w:val="18"/>
        </w:rPr>
        <w:t>, открытых на имя</w:t>
      </w:r>
      <w:r w:rsidRPr="009C4847">
        <w:rPr>
          <w:rFonts w:ascii="Tahoma" w:hAnsi="Tahoma" w:cs="Tahoma"/>
          <w:sz w:val="18"/>
          <w:szCs w:val="18"/>
        </w:rPr>
        <w:t xml:space="preserve"> Клиента</w:t>
      </w:r>
      <w:r>
        <w:rPr>
          <w:rFonts w:ascii="Tahoma" w:hAnsi="Tahoma" w:cs="Tahoma"/>
          <w:sz w:val="18"/>
          <w:szCs w:val="18"/>
        </w:rPr>
        <w:t>-физического лица</w:t>
      </w:r>
      <w:r w:rsidRPr="009C4847">
        <w:rPr>
          <w:rFonts w:ascii="Tahoma" w:hAnsi="Tahoma" w:cs="Tahoma"/>
          <w:sz w:val="18"/>
          <w:szCs w:val="18"/>
        </w:rPr>
        <w:t xml:space="preserve"> в Банке</w:t>
      </w:r>
      <w:r w:rsidRPr="009C4847">
        <w:rPr>
          <w:rFonts w:ascii="Tahoma" w:eastAsia="Times New Roman" w:hAnsi="Tahoma" w:cs="Tahoma"/>
          <w:bCs/>
          <w:iCs/>
          <w:color w:val="auto"/>
          <w:sz w:val="18"/>
          <w:szCs w:val="18"/>
          <w:lang w:eastAsia="ru-RU"/>
        </w:rPr>
        <w:t xml:space="preserve">. </w:t>
      </w:r>
    </w:p>
    <w:p w14:paraId="1F2A2244" w14:textId="77777777" w:rsidR="009D1253" w:rsidRDefault="009D1253" w:rsidP="00AE7485">
      <w:pPr>
        <w:pStyle w:val="Default"/>
        <w:jc w:val="both"/>
        <w:rPr>
          <w:lang w:eastAsia="ru-RU"/>
        </w:rPr>
      </w:pPr>
      <w:r w:rsidRPr="009C4847">
        <w:rPr>
          <w:rFonts w:ascii="Tahoma" w:eastAsia="Times New Roman" w:hAnsi="Tahoma" w:cs="Tahoma"/>
          <w:bCs/>
          <w:iCs/>
          <w:color w:val="auto"/>
          <w:sz w:val="18"/>
          <w:szCs w:val="22"/>
          <w:lang w:eastAsia="ru-RU"/>
        </w:rPr>
        <w:t>При недостаточности средств для списания комиссии в полном объеме на первом Счете по списку очередности, допускается частичное списание средств с каждого из последующих Счетов до взимания комиссии в полном объеме</w:t>
      </w:r>
      <w:r w:rsidRPr="009C4847">
        <w:rPr>
          <w:rFonts w:ascii="Tahoma" w:eastAsia="Times New Roman" w:hAnsi="Tahoma" w:cs="Tahoma"/>
          <w:bCs/>
          <w:iCs/>
          <w:sz w:val="18"/>
          <w:lang w:eastAsia="ru-RU"/>
        </w:rPr>
        <w:t>.</w:t>
      </w:r>
    </w:p>
  </w:footnote>
  <w:footnote w:id="200">
    <w:p w14:paraId="2E713C75" w14:textId="77777777" w:rsidR="009D1253" w:rsidRPr="00F756E1" w:rsidRDefault="009D1253" w:rsidP="00AE7485">
      <w:pPr>
        <w:pStyle w:val="aff1"/>
        <w:rPr>
          <w:rFonts w:ascii="Tahoma" w:hAnsi="Tahoma" w:cs="Tahoma"/>
          <w:bCs/>
          <w:iCs/>
          <w:color w:val="000000"/>
          <w:sz w:val="18"/>
          <w:szCs w:val="18"/>
        </w:rPr>
      </w:pPr>
      <w:r w:rsidRPr="00F756E1">
        <w:rPr>
          <w:rFonts w:ascii="Tahoma" w:hAnsi="Tahoma" w:cs="Tahoma"/>
          <w:bCs/>
          <w:iCs/>
          <w:color w:val="000000"/>
          <w:sz w:val="18"/>
          <w:szCs w:val="18"/>
          <w:vertAlign w:val="superscript"/>
        </w:rPr>
        <w:footnoteRef/>
      </w:r>
      <w:r>
        <w:rPr>
          <w:rFonts w:ascii="Tahoma" w:hAnsi="Tahoma" w:cs="Tahoma"/>
          <w:bCs/>
          <w:iCs/>
          <w:color w:val="000000"/>
          <w:sz w:val="18"/>
          <w:szCs w:val="18"/>
        </w:rPr>
        <w:t xml:space="preserve">Сумма покупок </w:t>
      </w:r>
      <w:r w:rsidRPr="00F756E1">
        <w:rPr>
          <w:rFonts w:ascii="Tahoma" w:hAnsi="Tahoma" w:cs="Tahoma"/>
          <w:bCs/>
          <w:iCs/>
          <w:color w:val="000000"/>
          <w:sz w:val="18"/>
          <w:szCs w:val="18"/>
        </w:rPr>
        <w:t xml:space="preserve">– это сумма </w:t>
      </w:r>
      <w:r>
        <w:rPr>
          <w:rFonts w:ascii="Tahoma" w:hAnsi="Tahoma" w:cs="Tahoma"/>
          <w:bCs/>
          <w:iCs/>
          <w:color w:val="000000"/>
          <w:sz w:val="18"/>
          <w:szCs w:val="18"/>
        </w:rPr>
        <w:t>транзакций</w:t>
      </w:r>
      <w:r w:rsidRPr="00F756E1">
        <w:rPr>
          <w:rFonts w:ascii="Tahoma" w:hAnsi="Tahoma" w:cs="Tahoma"/>
          <w:bCs/>
          <w:iCs/>
          <w:color w:val="000000"/>
          <w:sz w:val="18"/>
          <w:szCs w:val="18"/>
        </w:rPr>
        <w:t xml:space="preserve">, совершенных Клиентом (за Отчетный период) при </w:t>
      </w:r>
      <w:r>
        <w:rPr>
          <w:rFonts w:ascii="Tahoma" w:hAnsi="Tahoma" w:cs="Tahoma"/>
          <w:bCs/>
          <w:iCs/>
          <w:color w:val="000000"/>
          <w:sz w:val="18"/>
          <w:szCs w:val="18"/>
        </w:rPr>
        <w:t xml:space="preserve">оплате товаров (услуг, </w:t>
      </w:r>
      <w:r w:rsidRPr="00F756E1">
        <w:rPr>
          <w:rFonts w:ascii="Tahoma" w:hAnsi="Tahoma" w:cs="Tahoma"/>
          <w:bCs/>
          <w:iCs/>
          <w:color w:val="000000"/>
          <w:sz w:val="18"/>
          <w:szCs w:val="18"/>
        </w:rPr>
        <w:t>работ, результатов интеллектуальной</w:t>
      </w:r>
      <w:r>
        <w:rPr>
          <w:rFonts w:ascii="Tahoma" w:hAnsi="Tahoma" w:cs="Tahoma"/>
          <w:bCs/>
          <w:iCs/>
          <w:color w:val="000000"/>
          <w:sz w:val="18"/>
          <w:szCs w:val="18"/>
        </w:rPr>
        <w:t xml:space="preserve"> деятельности) </w:t>
      </w:r>
      <w:r w:rsidRPr="00F756E1">
        <w:rPr>
          <w:rFonts w:ascii="Tahoma" w:hAnsi="Tahoma" w:cs="Tahoma"/>
          <w:bCs/>
          <w:iCs/>
          <w:color w:val="000000"/>
          <w:sz w:val="18"/>
          <w:szCs w:val="18"/>
        </w:rPr>
        <w:t>в ТСП по всем Картам, эмитированным Банком в рамках Программы. В расчет Суммы покупок принимаются операции, отраженные по балансу Банка. Операции в иностранной валюте принимаются в расчет по курсу Банка на момент их совершения. Денежные переводы со Сч</w:t>
      </w:r>
      <w:r>
        <w:rPr>
          <w:rFonts w:ascii="Tahoma" w:hAnsi="Tahoma" w:cs="Tahoma"/>
          <w:bCs/>
          <w:iCs/>
          <w:color w:val="000000"/>
          <w:sz w:val="18"/>
          <w:szCs w:val="18"/>
        </w:rPr>
        <w:t>е</w:t>
      </w:r>
      <w:r w:rsidRPr="00F756E1">
        <w:rPr>
          <w:rFonts w:ascii="Tahoma" w:hAnsi="Tahoma" w:cs="Tahoma"/>
          <w:bCs/>
          <w:iCs/>
          <w:color w:val="000000"/>
          <w:sz w:val="18"/>
          <w:szCs w:val="18"/>
        </w:rPr>
        <w:t>та Карты Клиента между своими счетами или на счета третьих лиц (открытые как в Банке, так и в других кредитных организациях), переводы с карты на карту и квази-кэш, оплата товаров (услуг, работ, результатов интеллектуальной деятельности) в разделе «Платежи» Интернет-Банка и/или Мобильного Банка; платежи и переводы с целью пополнения любых виртуальных и/или электронных кошельков, или иных электронных денежных средств; операции с МСС-кодами: 4829, 6012, 6050, 6529, 6530, 6531, 6532, 6533, 6534, 6536, 6537, 6538, 6051, 6540, 7372, 7399, 7995, 8999</w:t>
      </w:r>
      <w:r>
        <w:rPr>
          <w:rFonts w:ascii="Tahoma" w:hAnsi="Tahoma" w:cs="Tahoma"/>
          <w:bCs/>
          <w:iCs/>
          <w:color w:val="000000"/>
          <w:sz w:val="18"/>
          <w:szCs w:val="18"/>
        </w:rPr>
        <w:t>;</w:t>
      </w:r>
      <w:r w:rsidRPr="00F756E1">
        <w:rPr>
          <w:rFonts w:ascii="Tahoma" w:hAnsi="Tahoma" w:cs="Tahoma"/>
          <w:bCs/>
          <w:iCs/>
          <w:color w:val="000000"/>
          <w:sz w:val="18"/>
          <w:szCs w:val="18"/>
        </w:rPr>
        <w:t xml:space="preserve"> операции с использованием Сист</w:t>
      </w:r>
      <w:r>
        <w:rPr>
          <w:rFonts w:ascii="Tahoma" w:hAnsi="Tahoma" w:cs="Tahoma"/>
          <w:bCs/>
          <w:iCs/>
          <w:color w:val="000000"/>
          <w:sz w:val="18"/>
          <w:szCs w:val="18"/>
        </w:rPr>
        <w:t xml:space="preserve">емы быстрых платежей и СБПэй, в </w:t>
      </w:r>
      <w:r w:rsidRPr="00F756E1">
        <w:rPr>
          <w:rFonts w:ascii="Tahoma" w:hAnsi="Tahoma" w:cs="Tahoma"/>
          <w:bCs/>
          <w:iCs/>
          <w:color w:val="000000"/>
          <w:sz w:val="18"/>
          <w:szCs w:val="18"/>
        </w:rPr>
        <w:t>т.ч. с использованием QR-кодов</w:t>
      </w:r>
      <w:r>
        <w:rPr>
          <w:rFonts w:ascii="Tahoma" w:hAnsi="Tahoma" w:cs="Tahoma"/>
          <w:bCs/>
          <w:iCs/>
          <w:color w:val="000000"/>
          <w:sz w:val="18"/>
          <w:szCs w:val="18"/>
        </w:rPr>
        <w:t>,</w:t>
      </w:r>
      <w:r w:rsidRPr="00F756E1">
        <w:rPr>
          <w:rFonts w:ascii="Tahoma" w:hAnsi="Tahoma" w:cs="Tahoma"/>
          <w:bCs/>
          <w:iCs/>
          <w:color w:val="000000"/>
          <w:sz w:val="18"/>
          <w:szCs w:val="18"/>
        </w:rPr>
        <w:t xml:space="preserve"> в расчет суммы покупок не включаются.</w:t>
      </w:r>
    </w:p>
    <w:p w14:paraId="49291F5B" w14:textId="77777777" w:rsidR="009D1253" w:rsidRDefault="009D1253" w:rsidP="00AE7485">
      <w:pPr>
        <w:pStyle w:val="aff1"/>
      </w:pPr>
      <w:r w:rsidRPr="00F756E1">
        <w:rPr>
          <w:rFonts w:ascii="Tahoma" w:hAnsi="Tahoma" w:cs="Tahoma"/>
          <w:bCs/>
          <w:iCs/>
          <w:color w:val="000000"/>
          <w:sz w:val="18"/>
          <w:szCs w:val="18"/>
        </w:rPr>
        <w:t xml:space="preserve">Для Карт в </w:t>
      </w:r>
      <w:r>
        <w:rPr>
          <w:rFonts w:ascii="Tahoma" w:hAnsi="Tahoma" w:cs="Tahoma"/>
          <w:bCs/>
          <w:iCs/>
          <w:color w:val="000000"/>
          <w:sz w:val="18"/>
          <w:szCs w:val="18"/>
        </w:rPr>
        <w:t>юанях</w:t>
      </w:r>
      <w:r w:rsidRPr="00F756E1">
        <w:rPr>
          <w:rFonts w:ascii="Tahoma" w:hAnsi="Tahoma" w:cs="Tahoma"/>
          <w:bCs/>
          <w:iCs/>
          <w:color w:val="000000"/>
          <w:sz w:val="18"/>
          <w:szCs w:val="18"/>
        </w:rPr>
        <w:t xml:space="preserve"> в расчет Суммы покупок принимаются эквиваленты значений, указанные в п</w:t>
      </w:r>
      <w:r>
        <w:rPr>
          <w:rFonts w:ascii="Tahoma" w:hAnsi="Tahoma" w:cs="Tahoma"/>
          <w:bCs/>
          <w:iCs/>
          <w:color w:val="000000"/>
          <w:sz w:val="18"/>
          <w:szCs w:val="18"/>
        </w:rPr>
        <w:t>.7 Программы,</w:t>
      </w:r>
      <w:r w:rsidRPr="00F756E1">
        <w:rPr>
          <w:rFonts w:ascii="Tahoma" w:hAnsi="Tahoma" w:cs="Tahoma"/>
          <w:bCs/>
          <w:iCs/>
          <w:color w:val="000000"/>
          <w:sz w:val="18"/>
          <w:szCs w:val="18"/>
        </w:rPr>
        <w:t xml:space="preserve"> по курсу Банка на дату совершения Операций.</w:t>
      </w:r>
    </w:p>
  </w:footnote>
  <w:footnote w:id="201">
    <w:p w14:paraId="49A4D181" w14:textId="77777777" w:rsidR="009D1253" w:rsidRDefault="009D1253" w:rsidP="00AE7485">
      <w:pPr>
        <w:pStyle w:val="aff1"/>
      </w:pPr>
      <w:r w:rsidRPr="00A56CFF">
        <w:rPr>
          <w:rFonts w:ascii="Tahoma" w:hAnsi="Tahoma" w:cs="Tahoma"/>
          <w:bCs/>
          <w:iCs/>
          <w:color w:val="000000"/>
          <w:sz w:val="18"/>
          <w:szCs w:val="18"/>
          <w:vertAlign w:val="superscript"/>
        </w:rPr>
        <w:footnoteRef/>
      </w:r>
      <w:r w:rsidRPr="00A56CFF">
        <w:rPr>
          <w:rFonts w:ascii="Tahoma" w:hAnsi="Tahoma" w:cs="Tahoma"/>
          <w:bCs/>
          <w:iCs/>
          <w:color w:val="000000"/>
          <w:sz w:val="18"/>
          <w:szCs w:val="18"/>
        </w:rPr>
        <w:t xml:space="preserve">Средние остатки – </w:t>
      </w:r>
      <w:r>
        <w:rPr>
          <w:rFonts w:ascii="Tahoma" w:hAnsi="Tahoma" w:cs="Tahoma"/>
          <w:bCs/>
          <w:iCs/>
          <w:color w:val="000000"/>
          <w:sz w:val="18"/>
          <w:szCs w:val="18"/>
        </w:rPr>
        <w:t>это совокупный баланс размещенных</w:t>
      </w:r>
      <w:r w:rsidRPr="00A56CFF">
        <w:rPr>
          <w:rFonts w:ascii="Tahoma" w:hAnsi="Tahoma" w:cs="Tahoma"/>
          <w:bCs/>
          <w:iCs/>
          <w:color w:val="000000"/>
          <w:sz w:val="18"/>
          <w:szCs w:val="18"/>
        </w:rPr>
        <w:t xml:space="preserve"> денежных средств на Счетах Клиента в Банке, рассчитанный путем сложения ежедневных входящих остатков денежных средств на следующих счетах Клиента в Банке: Накопительных счетах, Счетах вклада, Текущих банковских счетах; остатки на банковских Счетах в драгоценных металлах (Счета ДМ), брокерских и Счетах Карт Клиента, в течение </w:t>
      </w:r>
      <w:r>
        <w:rPr>
          <w:rFonts w:ascii="Tahoma" w:hAnsi="Tahoma" w:cs="Tahoma"/>
          <w:bCs/>
          <w:iCs/>
          <w:color w:val="000000"/>
          <w:sz w:val="18"/>
          <w:szCs w:val="18"/>
        </w:rPr>
        <w:t>Отчетного периода</w:t>
      </w:r>
      <w:r w:rsidRPr="00A56CFF">
        <w:rPr>
          <w:rFonts w:ascii="Tahoma" w:hAnsi="Tahoma" w:cs="Tahoma"/>
          <w:bCs/>
          <w:iCs/>
          <w:color w:val="000000"/>
          <w:sz w:val="18"/>
          <w:szCs w:val="18"/>
        </w:rPr>
        <w:t xml:space="preserve"> и деления этой суммы на количество дней в этом </w:t>
      </w:r>
      <w:r>
        <w:rPr>
          <w:rFonts w:ascii="Tahoma" w:hAnsi="Tahoma" w:cs="Tahoma"/>
          <w:bCs/>
          <w:iCs/>
          <w:color w:val="000000"/>
          <w:sz w:val="18"/>
          <w:szCs w:val="18"/>
        </w:rPr>
        <w:t>Отчетном периоде</w:t>
      </w:r>
      <w:r w:rsidRPr="00A56CFF">
        <w:rPr>
          <w:rFonts w:ascii="Tahoma" w:hAnsi="Tahoma" w:cs="Tahoma"/>
          <w:bCs/>
          <w:iCs/>
          <w:color w:val="000000"/>
          <w:sz w:val="18"/>
          <w:szCs w:val="18"/>
        </w:rPr>
        <w:t xml:space="preserve">. При расчете Средних остатков за месяц </w:t>
      </w:r>
      <w:r>
        <w:rPr>
          <w:rFonts w:ascii="Tahoma" w:hAnsi="Tahoma" w:cs="Tahoma"/>
          <w:bCs/>
          <w:iCs/>
          <w:color w:val="000000"/>
          <w:sz w:val="18"/>
          <w:szCs w:val="18"/>
        </w:rPr>
        <w:t>оформления</w:t>
      </w:r>
      <w:r w:rsidRPr="00A56CFF">
        <w:rPr>
          <w:rFonts w:ascii="Tahoma" w:hAnsi="Tahoma" w:cs="Tahoma"/>
          <w:bCs/>
          <w:iCs/>
          <w:color w:val="000000"/>
          <w:sz w:val="18"/>
          <w:szCs w:val="18"/>
        </w:rPr>
        <w:t xml:space="preserve"> Программы деление производится на фактическое количество дней обслуживания (действия Программы) в этом месяце. Ежедневные входящие остатки в иностранной валюте принимаются в расчет по курсу ЦБ РФ на каждый день.</w:t>
      </w:r>
    </w:p>
  </w:footnote>
  <w:footnote w:id="202">
    <w:p w14:paraId="53062DD6" w14:textId="77777777" w:rsidR="009D1253" w:rsidRPr="00F60C07" w:rsidRDefault="009D1253" w:rsidP="00AE7485">
      <w:pPr>
        <w:pStyle w:val="aff1"/>
        <w:jc w:val="both"/>
        <w:rPr>
          <w:rFonts w:ascii="Tahoma" w:hAnsi="Tahoma" w:cs="Tahoma"/>
          <w:bCs/>
          <w:iCs/>
          <w:color w:val="000000"/>
          <w:sz w:val="18"/>
          <w:szCs w:val="18"/>
        </w:rPr>
      </w:pPr>
      <w:r w:rsidRPr="00F60C07">
        <w:rPr>
          <w:rFonts w:ascii="Tahoma" w:hAnsi="Tahoma" w:cs="Tahoma"/>
          <w:bCs/>
          <w:iCs/>
          <w:color w:val="000000"/>
          <w:sz w:val="18"/>
          <w:szCs w:val="18"/>
          <w:vertAlign w:val="superscript"/>
        </w:rPr>
        <w:footnoteRef/>
      </w:r>
      <w:r w:rsidRPr="00F60C07">
        <w:rPr>
          <w:rFonts w:ascii="Tahoma" w:hAnsi="Tahoma" w:cs="Tahoma"/>
          <w:bCs/>
          <w:iCs/>
          <w:color w:val="000000"/>
          <w:sz w:val="18"/>
          <w:szCs w:val="18"/>
        </w:rPr>
        <w:t>Под «Заработной платой» понимаются исключительно поступления денежных средств на счет Карты Клиента, которые можно отнести к таковым согласно действующему</w:t>
      </w:r>
    </w:p>
    <w:p w14:paraId="2F193AC4" w14:textId="77777777" w:rsidR="009D1253" w:rsidRPr="00F60C07" w:rsidRDefault="009D1253" w:rsidP="00AE7485">
      <w:pPr>
        <w:pStyle w:val="aff1"/>
        <w:jc w:val="both"/>
        <w:rPr>
          <w:rFonts w:ascii="Tahoma" w:hAnsi="Tahoma" w:cs="Tahoma"/>
          <w:bCs/>
          <w:iCs/>
          <w:color w:val="000000"/>
          <w:sz w:val="18"/>
          <w:szCs w:val="18"/>
        </w:rPr>
      </w:pPr>
      <w:r w:rsidRPr="00F60C07">
        <w:rPr>
          <w:rFonts w:ascii="Tahoma" w:hAnsi="Tahoma" w:cs="Tahoma"/>
          <w:bCs/>
          <w:iCs/>
          <w:color w:val="000000"/>
          <w:sz w:val="18"/>
          <w:szCs w:val="18"/>
        </w:rPr>
        <w:t>законодательству РФ. В случае смещения дат поступления денежных средств (учитываемых в качестве Заработной платы, от Работодателя Клиента на счет Карты Клиента) в</w:t>
      </w:r>
      <w:r>
        <w:rPr>
          <w:rFonts w:ascii="Tahoma" w:hAnsi="Tahoma" w:cs="Tahoma"/>
          <w:bCs/>
          <w:iCs/>
          <w:color w:val="000000"/>
          <w:sz w:val="18"/>
          <w:szCs w:val="18"/>
        </w:rPr>
        <w:t xml:space="preserve"> Отчетном периоде</w:t>
      </w:r>
      <w:r w:rsidRPr="00F60C07">
        <w:rPr>
          <w:rFonts w:ascii="Tahoma" w:hAnsi="Tahoma" w:cs="Tahoma"/>
          <w:bCs/>
          <w:iCs/>
          <w:color w:val="000000"/>
          <w:sz w:val="18"/>
          <w:szCs w:val="18"/>
        </w:rPr>
        <w:t xml:space="preserve"> в связи с праздничными нерабочими днями в соответствии с действующим законодательством Российской Федерации и/или выходными днями (под выходными днями понимаются суббота и воскресенье, за исключением случаев переноса в соответствии с законодательством Российской Федерации выходных дней на другие дни), Банк учитывает среднюю сумму поступлений денежных средств (учитываемых в качестве Заработной платы, от Работодателя Клиента на счет Карты Клиента) за два </w:t>
      </w:r>
      <w:r>
        <w:rPr>
          <w:rFonts w:ascii="Tahoma" w:hAnsi="Tahoma" w:cs="Tahoma"/>
          <w:bCs/>
          <w:iCs/>
          <w:color w:val="000000"/>
          <w:sz w:val="18"/>
          <w:szCs w:val="18"/>
        </w:rPr>
        <w:t>Отчетных периода</w:t>
      </w:r>
      <w:r w:rsidRPr="00F60C07">
        <w:rPr>
          <w:rFonts w:ascii="Tahoma" w:hAnsi="Tahoma" w:cs="Tahoma"/>
          <w:bCs/>
          <w:iCs/>
          <w:color w:val="000000"/>
          <w:sz w:val="18"/>
          <w:szCs w:val="18"/>
        </w:rPr>
        <w:t xml:space="preserve">, предшествующих месяцу начисления комиссии за обслуживание Программы. </w:t>
      </w:r>
      <w:r w:rsidRPr="00F60C07">
        <w:rPr>
          <w:rFonts w:ascii="Tahoma" w:hAnsi="Tahoma" w:cs="Tahoma"/>
          <w:b/>
          <w:bCs/>
          <w:iCs/>
          <w:color w:val="000000"/>
          <w:sz w:val="18"/>
          <w:szCs w:val="18"/>
        </w:rPr>
        <w:t>Банк не несет ответственности за расходы, понесенные Клиентом</w:t>
      </w:r>
      <w:r w:rsidRPr="00F60C07">
        <w:rPr>
          <w:rFonts w:ascii="Tahoma" w:hAnsi="Tahoma" w:cs="Tahoma"/>
          <w:bCs/>
          <w:iCs/>
          <w:color w:val="000000"/>
          <w:sz w:val="18"/>
          <w:szCs w:val="18"/>
        </w:rPr>
        <w:t xml:space="preserve"> (взимание комиссии за обслуживание Программы), </w:t>
      </w:r>
      <w:r w:rsidRPr="00F60C07">
        <w:rPr>
          <w:rFonts w:ascii="Tahoma" w:hAnsi="Tahoma" w:cs="Tahoma"/>
          <w:b/>
          <w:bCs/>
          <w:iCs/>
          <w:color w:val="000000"/>
          <w:sz w:val="18"/>
          <w:szCs w:val="18"/>
        </w:rPr>
        <w:t>вследствие поступления денежных средств</w:t>
      </w:r>
      <w:r w:rsidRPr="00F60C07">
        <w:rPr>
          <w:rFonts w:ascii="Tahoma" w:hAnsi="Tahoma" w:cs="Tahoma"/>
          <w:bCs/>
          <w:iCs/>
          <w:color w:val="000000"/>
          <w:sz w:val="18"/>
          <w:szCs w:val="18"/>
        </w:rPr>
        <w:t xml:space="preserve"> (учитываемых в качестве Заработной платы, от Работодателя Клиента на счет Карты Клиента) в </w:t>
      </w:r>
      <w:r>
        <w:rPr>
          <w:rFonts w:ascii="Tahoma" w:hAnsi="Tahoma" w:cs="Tahoma"/>
          <w:bCs/>
          <w:iCs/>
          <w:color w:val="000000"/>
          <w:sz w:val="18"/>
          <w:szCs w:val="18"/>
        </w:rPr>
        <w:t>Отчетном периоде</w:t>
      </w:r>
      <w:r w:rsidRPr="00F60C07">
        <w:rPr>
          <w:rFonts w:ascii="Tahoma" w:hAnsi="Tahoma" w:cs="Tahoma"/>
          <w:bCs/>
          <w:iCs/>
          <w:color w:val="000000"/>
          <w:sz w:val="18"/>
          <w:szCs w:val="18"/>
        </w:rPr>
        <w:t xml:space="preserve"> и/или в течение двух </w:t>
      </w:r>
      <w:r>
        <w:rPr>
          <w:rFonts w:ascii="Tahoma" w:hAnsi="Tahoma" w:cs="Tahoma"/>
          <w:bCs/>
          <w:iCs/>
          <w:color w:val="000000"/>
          <w:sz w:val="18"/>
          <w:szCs w:val="18"/>
        </w:rPr>
        <w:t>Отчетных периодов</w:t>
      </w:r>
      <w:r w:rsidRPr="00F60C07">
        <w:rPr>
          <w:rFonts w:ascii="Tahoma" w:hAnsi="Tahoma" w:cs="Tahoma"/>
          <w:bCs/>
          <w:iCs/>
          <w:color w:val="000000"/>
          <w:sz w:val="18"/>
          <w:szCs w:val="18"/>
        </w:rPr>
        <w:t xml:space="preserve"> (в случаях смещения дат поступления денежных средств в связи с праздничными и/или выходными днями), предшествующих месяцу начисления комиссии за обслуживание Программы, </w:t>
      </w:r>
      <w:r w:rsidRPr="00F60C07">
        <w:rPr>
          <w:rFonts w:ascii="Tahoma" w:hAnsi="Tahoma" w:cs="Tahoma"/>
          <w:b/>
          <w:bCs/>
          <w:iCs/>
          <w:color w:val="000000"/>
          <w:sz w:val="18"/>
          <w:szCs w:val="18"/>
        </w:rPr>
        <w:t>в сумме, недостаточной для выполнения условий бесплатного обслуживания Программы</w:t>
      </w:r>
      <w:r w:rsidRPr="00F60C07">
        <w:rPr>
          <w:rFonts w:ascii="Tahoma" w:hAnsi="Tahoma" w:cs="Tahoma"/>
          <w:bCs/>
          <w:iCs/>
          <w:color w:val="000000"/>
          <w:sz w:val="18"/>
          <w:szCs w:val="18"/>
        </w:rPr>
        <w:t>.</w:t>
      </w:r>
    </w:p>
  </w:footnote>
  <w:footnote w:id="203">
    <w:p w14:paraId="75F04ABD" w14:textId="77777777" w:rsidR="009D1253" w:rsidRPr="003D5743" w:rsidRDefault="009D1253" w:rsidP="00AE7485">
      <w:pPr>
        <w:pStyle w:val="aff1"/>
        <w:jc w:val="both"/>
      </w:pPr>
      <w:r w:rsidRPr="00F60C07">
        <w:rPr>
          <w:rFonts w:ascii="Tahoma" w:hAnsi="Tahoma" w:cs="Tahoma"/>
          <w:bCs/>
          <w:iCs/>
          <w:color w:val="000000"/>
          <w:sz w:val="18"/>
          <w:szCs w:val="18"/>
          <w:vertAlign w:val="superscript"/>
        </w:rPr>
        <w:footnoteRef/>
      </w:r>
      <w:r w:rsidRPr="00F60C07">
        <w:rPr>
          <w:rFonts w:ascii="Tahoma" w:hAnsi="Tahoma" w:cs="Tahoma"/>
          <w:bCs/>
          <w:iCs/>
          <w:color w:val="000000"/>
          <w:sz w:val="18"/>
          <w:szCs w:val="18"/>
        </w:rPr>
        <w:t>Счет Карты – текущий банковский счет, открываемый в соответствии с Программой Банком Клиенту в рамках заключения Договора Карты между Банком и Клиентом.</w:t>
      </w:r>
    </w:p>
  </w:footnote>
  <w:footnote w:id="204">
    <w:p w14:paraId="1E703730" w14:textId="77777777" w:rsidR="009D1253" w:rsidRPr="00B91F33" w:rsidRDefault="009D1253" w:rsidP="00AE7485">
      <w:pPr>
        <w:pStyle w:val="aff1"/>
        <w:jc w:val="both"/>
      </w:pPr>
      <w:r w:rsidRPr="00B91F33">
        <w:rPr>
          <w:rFonts w:ascii="Tahoma" w:hAnsi="Tahoma" w:cs="Tahoma"/>
          <w:bCs/>
          <w:iCs/>
          <w:color w:val="000000"/>
          <w:sz w:val="18"/>
          <w:szCs w:val="18"/>
          <w:vertAlign w:val="superscript"/>
        </w:rPr>
        <w:footnoteRef/>
      </w:r>
      <w:r w:rsidRPr="00B91F33">
        <w:rPr>
          <w:rFonts w:ascii="Tahoma" w:hAnsi="Tahoma" w:cs="Tahoma"/>
          <w:bCs/>
          <w:iCs/>
          <w:color w:val="000000"/>
          <w:sz w:val="18"/>
          <w:szCs w:val="18"/>
        </w:rPr>
        <w:t xml:space="preserve">Выпуск Дополнительной Карты типа Мир Supreme </w:t>
      </w:r>
      <w:r>
        <w:rPr>
          <w:rFonts w:ascii="Tahoma" w:hAnsi="Tahoma" w:cs="Tahoma"/>
          <w:bCs/>
          <w:iCs/>
          <w:color w:val="000000"/>
          <w:sz w:val="18"/>
          <w:szCs w:val="18"/>
        </w:rPr>
        <w:t>возможен исключительно для Счетов Карт в валюте российский рубль.</w:t>
      </w:r>
    </w:p>
  </w:footnote>
  <w:footnote w:id="205">
    <w:p w14:paraId="5201F019" w14:textId="77777777" w:rsidR="009D1253" w:rsidRDefault="009D1253" w:rsidP="00AE7485">
      <w:pPr>
        <w:pStyle w:val="aff1"/>
      </w:pPr>
      <w:r w:rsidRPr="00055AB5">
        <w:rPr>
          <w:rStyle w:val="aff3"/>
          <w:rFonts w:ascii="Tahoma" w:hAnsi="Tahoma" w:cs="Tahoma"/>
        </w:rPr>
        <w:footnoteRef/>
      </w:r>
      <w:r w:rsidRPr="006F26B9">
        <w:rPr>
          <w:rFonts w:ascii="Tahoma" w:hAnsi="Tahoma" w:cs="Tahoma"/>
          <w:bCs/>
          <w:iCs/>
          <w:color w:val="000000"/>
          <w:sz w:val="18"/>
          <w:szCs w:val="18"/>
        </w:rPr>
        <w:t>Другой</w:t>
      </w:r>
      <w:r w:rsidRPr="005D7318">
        <w:rPr>
          <w:rFonts w:ascii="Tahoma" w:hAnsi="Tahoma" w:cs="Tahoma"/>
          <w:bCs/>
          <w:iCs/>
          <w:color w:val="000000"/>
          <w:sz w:val="18"/>
          <w:szCs w:val="18"/>
        </w:rPr>
        <w:t xml:space="preserve"> банк может взимать комиссию согласно своим тарифам.</w:t>
      </w:r>
    </w:p>
  </w:footnote>
  <w:footnote w:id="206">
    <w:p w14:paraId="2F64C9BF" w14:textId="77777777" w:rsidR="009D1253" w:rsidRDefault="009D1253" w:rsidP="00AE7485">
      <w:pPr>
        <w:pStyle w:val="aff1"/>
        <w:jc w:val="both"/>
      </w:pPr>
      <w:r w:rsidRPr="00486BCA">
        <w:rPr>
          <w:rFonts w:ascii="Tahoma" w:hAnsi="Tahoma" w:cs="Tahoma"/>
          <w:bCs/>
          <w:iCs/>
          <w:color w:val="000000"/>
          <w:sz w:val="18"/>
          <w:szCs w:val="18"/>
          <w:vertAlign w:val="superscript"/>
        </w:rPr>
        <w:footnoteRef/>
      </w:r>
      <w:r w:rsidRPr="00486BCA">
        <w:rPr>
          <w:rFonts w:ascii="Tahoma" w:hAnsi="Tahoma" w:cs="Tahoma"/>
          <w:bCs/>
          <w:iCs/>
          <w:color w:val="000000"/>
          <w:sz w:val="18"/>
          <w:szCs w:val="18"/>
        </w:rPr>
        <w:t>Еж</w:t>
      </w:r>
      <w:r w:rsidRPr="00055AB5">
        <w:rPr>
          <w:rFonts w:ascii="Tahoma" w:hAnsi="Tahoma" w:cs="Tahoma"/>
          <w:bCs/>
          <w:iCs/>
          <w:color w:val="000000"/>
          <w:sz w:val="18"/>
          <w:szCs w:val="18"/>
        </w:rPr>
        <w:t>е</w:t>
      </w:r>
      <w:r w:rsidRPr="00486BCA">
        <w:rPr>
          <w:rFonts w:ascii="Tahoma" w:hAnsi="Tahoma" w:cs="Tahoma"/>
          <w:bCs/>
          <w:iCs/>
          <w:color w:val="000000"/>
          <w:sz w:val="18"/>
          <w:szCs w:val="18"/>
        </w:rPr>
        <w:t>дневные</w:t>
      </w:r>
      <w:r w:rsidRPr="00464DC7">
        <w:rPr>
          <w:rFonts w:ascii="Tahoma" w:hAnsi="Tahoma" w:cs="Tahoma"/>
          <w:bCs/>
          <w:iCs/>
          <w:color w:val="000000"/>
          <w:sz w:val="18"/>
          <w:szCs w:val="18"/>
        </w:rPr>
        <w:t xml:space="preserve"> лимиты действуют с 00 часов до 24 часов московского времени (включительно), ежемесячные лимиты – с 00 часов первого числа до 24 часов последнего числа месяца (включительно), по </w:t>
      </w:r>
      <w:r w:rsidRPr="00505CD5">
        <w:rPr>
          <w:rFonts w:ascii="Tahoma" w:hAnsi="Tahoma" w:cs="Tahoma"/>
          <w:bCs/>
          <w:iCs/>
          <w:color w:val="000000"/>
          <w:sz w:val="18"/>
          <w:szCs w:val="18"/>
        </w:rPr>
        <w:t>московскому</w:t>
      </w:r>
      <w:r w:rsidRPr="00464DC7">
        <w:rPr>
          <w:rFonts w:ascii="Tahoma" w:hAnsi="Tahoma" w:cs="Tahoma"/>
          <w:bCs/>
          <w:iCs/>
          <w:color w:val="000000"/>
          <w:sz w:val="18"/>
          <w:szCs w:val="18"/>
        </w:rPr>
        <w:t xml:space="preserve"> времени. Выдача наличных денежных средств в устройствах в сумме, превышающей лимиты, не производится. Выдача сумм в пунктах выдачи наличных Банка производится с предъявлением документа, удостоверяющего личность. Лимиты выдачи денежных средств в иностранной валюте применимы исключительно для выдачи денежных средств в банкоматах и пунктах выдачи наличных за пределами Российской Федерации.</w:t>
      </w:r>
    </w:p>
  </w:footnote>
  <w:footnote w:id="207">
    <w:p w14:paraId="489C75FC" w14:textId="77777777" w:rsidR="009D1253" w:rsidRPr="005D7318" w:rsidRDefault="009D1253" w:rsidP="00AE7485">
      <w:pPr>
        <w:pStyle w:val="aff1"/>
        <w:jc w:val="both"/>
        <w:rPr>
          <w:rFonts w:ascii="Tahoma" w:hAnsi="Tahoma" w:cs="Tahoma"/>
          <w:bCs/>
          <w:iCs/>
          <w:color w:val="000000"/>
          <w:sz w:val="18"/>
          <w:szCs w:val="18"/>
        </w:rPr>
      </w:pPr>
      <w:r w:rsidRPr="005D7318">
        <w:rPr>
          <w:rFonts w:ascii="Tahoma" w:hAnsi="Tahoma" w:cs="Tahoma"/>
          <w:bCs/>
          <w:iCs/>
          <w:color w:val="000000"/>
          <w:sz w:val="18"/>
          <w:szCs w:val="18"/>
          <w:vertAlign w:val="superscript"/>
        </w:rPr>
        <w:footnoteRef/>
      </w:r>
      <w:r w:rsidRPr="005D7318">
        <w:rPr>
          <w:rFonts w:ascii="Tahoma" w:hAnsi="Tahoma" w:cs="Tahoma"/>
          <w:bCs/>
          <w:iCs/>
          <w:color w:val="000000"/>
          <w:sz w:val="18"/>
          <w:szCs w:val="18"/>
        </w:rPr>
        <w:t>ТСП (торгово-сервисные предприятия) – юридическое или физическое лицо-индивидуальный предприниматель, самозанятый (за исключением кредитных организаций), осуществляющее реализацию товаров (услуг, работ, результатов интеллектуальной деятельности), оплата которых производится Клиентами Банка с использованием Карты/реквизитов Карты через электронные средства платежа (POS-терминалы, платежные терминалы), а также через сеть Интернет.</w:t>
      </w:r>
    </w:p>
  </w:footnote>
  <w:footnote w:id="208">
    <w:p w14:paraId="356716F8" w14:textId="77777777" w:rsidR="009D1253" w:rsidRPr="005D7318" w:rsidRDefault="009D1253" w:rsidP="00AE7485">
      <w:pPr>
        <w:pStyle w:val="aff1"/>
        <w:jc w:val="both"/>
        <w:rPr>
          <w:rFonts w:ascii="Tahoma" w:hAnsi="Tahoma" w:cs="Tahoma"/>
          <w:bCs/>
          <w:iCs/>
          <w:color w:val="000000"/>
          <w:sz w:val="18"/>
          <w:szCs w:val="18"/>
        </w:rPr>
      </w:pPr>
      <w:r w:rsidRPr="005D7318">
        <w:rPr>
          <w:rFonts w:ascii="Tahoma" w:hAnsi="Tahoma" w:cs="Tahoma"/>
          <w:bCs/>
          <w:iCs/>
          <w:color w:val="000000"/>
          <w:sz w:val="18"/>
          <w:szCs w:val="18"/>
          <w:vertAlign w:val="superscript"/>
        </w:rPr>
        <w:footnoteRef/>
      </w:r>
      <w:r w:rsidRPr="005D7318">
        <w:rPr>
          <w:rFonts w:ascii="Tahoma" w:hAnsi="Tahoma" w:cs="Tahoma"/>
          <w:bCs/>
          <w:iCs/>
          <w:color w:val="000000"/>
          <w:sz w:val="18"/>
          <w:szCs w:val="18"/>
        </w:rPr>
        <w:t>Для Карт в юанях выдача наличных денежных средств происходит в рублях. Расчет конверсии в рубли происходит по курсу Банка на дату совершения Операции.</w:t>
      </w:r>
    </w:p>
  </w:footnote>
  <w:footnote w:id="209">
    <w:p w14:paraId="4EE8FA70" w14:textId="77777777" w:rsidR="009D1253" w:rsidRPr="005D7318" w:rsidRDefault="009D1253" w:rsidP="00AE7485">
      <w:pPr>
        <w:pStyle w:val="aff1"/>
        <w:jc w:val="both"/>
        <w:rPr>
          <w:rFonts w:ascii="Tahoma" w:hAnsi="Tahoma" w:cs="Tahoma"/>
          <w:bCs/>
          <w:iCs/>
          <w:color w:val="000000"/>
          <w:sz w:val="18"/>
          <w:szCs w:val="18"/>
        </w:rPr>
      </w:pPr>
      <w:r w:rsidRPr="005D7318">
        <w:rPr>
          <w:rFonts w:ascii="Tahoma" w:hAnsi="Tahoma" w:cs="Tahoma"/>
          <w:bCs/>
          <w:iCs/>
          <w:color w:val="000000"/>
          <w:sz w:val="18"/>
          <w:szCs w:val="18"/>
          <w:vertAlign w:val="superscript"/>
        </w:rPr>
        <w:footnoteRef/>
      </w:r>
      <w:r w:rsidRPr="005D7318">
        <w:rPr>
          <w:rFonts w:ascii="Tahoma" w:hAnsi="Tahoma" w:cs="Tahoma"/>
          <w:bCs/>
          <w:iCs/>
          <w:color w:val="000000"/>
          <w:sz w:val="18"/>
          <w:szCs w:val="18"/>
        </w:rPr>
        <w:t>Для Карт в юанях расчет конверсии в иные валюты происходит по курсу Банка на дату совершения Операции.</w:t>
      </w:r>
    </w:p>
  </w:footnote>
  <w:footnote w:id="210">
    <w:p w14:paraId="5ADC8C6D" w14:textId="77777777" w:rsidR="009D1253" w:rsidRPr="005D7318" w:rsidRDefault="009D1253" w:rsidP="00AE7485">
      <w:pPr>
        <w:pStyle w:val="aff1"/>
        <w:jc w:val="both"/>
        <w:rPr>
          <w:rFonts w:ascii="Tahoma" w:hAnsi="Tahoma" w:cs="Tahoma"/>
          <w:bCs/>
          <w:iCs/>
          <w:color w:val="000000"/>
          <w:sz w:val="18"/>
          <w:szCs w:val="18"/>
        </w:rPr>
      </w:pPr>
      <w:r w:rsidRPr="005D7318">
        <w:rPr>
          <w:rFonts w:ascii="Tahoma" w:hAnsi="Tahoma" w:cs="Tahoma"/>
          <w:bCs/>
          <w:iCs/>
          <w:color w:val="000000"/>
          <w:sz w:val="18"/>
          <w:szCs w:val="18"/>
          <w:vertAlign w:val="superscript"/>
        </w:rPr>
        <w:footnoteRef/>
      </w:r>
      <w:r w:rsidRPr="005D7318">
        <w:rPr>
          <w:rFonts w:ascii="Tahoma" w:hAnsi="Tahoma" w:cs="Tahoma"/>
          <w:bCs/>
          <w:iCs/>
          <w:color w:val="000000"/>
          <w:sz w:val="18"/>
          <w:szCs w:val="18"/>
        </w:rPr>
        <w:t>Выдача денежных средств в пунктах выдачи наличных за рубежом для Карт UnionPay не предусмотрена.</w:t>
      </w:r>
    </w:p>
  </w:footnote>
  <w:footnote w:id="211">
    <w:p w14:paraId="5A042775" w14:textId="77777777" w:rsidR="009D1253" w:rsidRPr="005D7318" w:rsidRDefault="009D1253" w:rsidP="00AE7485">
      <w:pPr>
        <w:pStyle w:val="aff1"/>
        <w:jc w:val="both"/>
        <w:rPr>
          <w:rFonts w:ascii="Tahoma" w:hAnsi="Tahoma" w:cs="Tahoma"/>
          <w:bCs/>
          <w:iCs/>
          <w:color w:val="000000"/>
          <w:sz w:val="18"/>
          <w:szCs w:val="18"/>
        </w:rPr>
      </w:pPr>
      <w:r w:rsidRPr="005D7318">
        <w:rPr>
          <w:rFonts w:ascii="Tahoma" w:hAnsi="Tahoma" w:cs="Tahoma"/>
          <w:bCs/>
          <w:iCs/>
          <w:color w:val="000000"/>
          <w:sz w:val="18"/>
          <w:szCs w:val="18"/>
          <w:vertAlign w:val="superscript"/>
        </w:rPr>
        <w:footnoteRef/>
      </w:r>
      <w:r w:rsidRPr="005D7318">
        <w:rPr>
          <w:rFonts w:ascii="Tahoma" w:hAnsi="Tahoma" w:cs="Tahoma"/>
          <w:bCs/>
          <w:iCs/>
          <w:color w:val="000000"/>
          <w:sz w:val="18"/>
          <w:szCs w:val="18"/>
        </w:rPr>
        <w:t>Другой банк может взимать комиссию согласно своим тарифам.</w:t>
      </w:r>
    </w:p>
  </w:footnote>
  <w:footnote w:id="212">
    <w:p w14:paraId="6C6AA8FD" w14:textId="77777777" w:rsidR="009D1253" w:rsidRDefault="009D1253" w:rsidP="00AE7485">
      <w:pPr>
        <w:pStyle w:val="aff1"/>
        <w:jc w:val="both"/>
      </w:pPr>
      <w:r w:rsidRPr="00464DC7">
        <w:rPr>
          <w:rFonts w:ascii="Tahoma" w:hAnsi="Tahoma" w:cs="Tahoma"/>
          <w:bCs/>
          <w:iCs/>
          <w:color w:val="000000"/>
          <w:sz w:val="18"/>
          <w:szCs w:val="18"/>
          <w:vertAlign w:val="superscript"/>
        </w:rPr>
        <w:footnoteRef/>
      </w:r>
      <w:r w:rsidRPr="00464DC7">
        <w:rPr>
          <w:rFonts w:ascii="Tahoma" w:hAnsi="Tahoma" w:cs="Tahoma"/>
          <w:bCs/>
          <w:iCs/>
          <w:color w:val="000000"/>
          <w:sz w:val="18"/>
          <w:szCs w:val="18"/>
        </w:rPr>
        <w:t>Платежными системами и ТСП могут быть установлены собственные ограничения по предоставлению данной услуги. О наличии услуги и ограничениях по ней необходимо уточнять в ТСП.</w:t>
      </w:r>
    </w:p>
  </w:footnote>
  <w:footnote w:id="213">
    <w:p w14:paraId="52E1EAEB" w14:textId="77777777" w:rsidR="009D1253" w:rsidRDefault="009D1253" w:rsidP="00AE7485">
      <w:pPr>
        <w:pStyle w:val="aff1"/>
        <w:jc w:val="both"/>
      </w:pPr>
      <w:r w:rsidRPr="005D7318">
        <w:rPr>
          <w:rFonts w:ascii="Tahoma" w:hAnsi="Tahoma" w:cs="Tahoma"/>
          <w:bCs/>
          <w:iCs/>
          <w:color w:val="000000"/>
          <w:sz w:val="18"/>
          <w:szCs w:val="18"/>
          <w:vertAlign w:val="superscript"/>
        </w:rPr>
        <w:footnoteRef/>
      </w:r>
      <w:r w:rsidRPr="005D7318">
        <w:rPr>
          <w:rFonts w:ascii="Tahoma" w:hAnsi="Tahoma" w:cs="Tahoma"/>
          <w:bCs/>
          <w:iCs/>
          <w:color w:val="000000"/>
          <w:sz w:val="18"/>
          <w:szCs w:val="18"/>
        </w:rPr>
        <w:t>Другой банк может взимать комиссию согласно своим тарифам.</w:t>
      </w:r>
    </w:p>
  </w:footnote>
  <w:footnote w:id="214">
    <w:p w14:paraId="3FFE20B3" w14:textId="77777777" w:rsidR="009D1253" w:rsidRDefault="009D1253" w:rsidP="00AE7485">
      <w:pPr>
        <w:pStyle w:val="aff1"/>
        <w:jc w:val="both"/>
      </w:pPr>
      <w:r w:rsidRPr="005D7318">
        <w:rPr>
          <w:rFonts w:ascii="Tahoma" w:hAnsi="Tahoma" w:cs="Tahoma"/>
          <w:bCs/>
          <w:iCs/>
          <w:color w:val="000000"/>
          <w:sz w:val="18"/>
          <w:szCs w:val="18"/>
          <w:vertAlign w:val="superscript"/>
        </w:rPr>
        <w:footnoteRef/>
      </w:r>
      <w:r>
        <w:rPr>
          <w:rFonts w:ascii="Tahoma" w:hAnsi="Tahoma" w:cs="Tahoma"/>
          <w:bCs/>
          <w:iCs/>
          <w:color w:val="000000"/>
          <w:sz w:val="18"/>
          <w:szCs w:val="18"/>
        </w:rPr>
        <w:t>Выдача денежных средств</w:t>
      </w:r>
      <w:r w:rsidRPr="005D7318">
        <w:rPr>
          <w:rFonts w:ascii="Tahoma" w:hAnsi="Tahoma" w:cs="Tahoma"/>
          <w:bCs/>
          <w:iCs/>
          <w:color w:val="000000"/>
          <w:sz w:val="18"/>
          <w:szCs w:val="18"/>
        </w:rPr>
        <w:t xml:space="preserve"> </w:t>
      </w:r>
      <w:r>
        <w:rPr>
          <w:rFonts w:ascii="Tahoma" w:hAnsi="Tahoma" w:cs="Tahoma"/>
          <w:bCs/>
          <w:iCs/>
          <w:color w:val="000000"/>
          <w:sz w:val="18"/>
          <w:szCs w:val="18"/>
        </w:rPr>
        <w:t>в случаях, установленных законодательством Российской Федерации, а также</w:t>
      </w:r>
      <w:r w:rsidRPr="005D7318">
        <w:rPr>
          <w:rFonts w:ascii="Tahoma" w:hAnsi="Tahoma" w:cs="Tahoma"/>
          <w:bCs/>
          <w:iCs/>
          <w:color w:val="000000"/>
          <w:sz w:val="18"/>
          <w:szCs w:val="18"/>
        </w:rPr>
        <w:t xml:space="preserve"> поступивших</w:t>
      </w:r>
      <w:r>
        <w:rPr>
          <w:rFonts w:ascii="Tahoma" w:hAnsi="Tahoma" w:cs="Tahoma"/>
          <w:bCs/>
          <w:iCs/>
          <w:color w:val="000000"/>
          <w:sz w:val="18"/>
          <w:szCs w:val="18"/>
        </w:rPr>
        <w:t xml:space="preserve"> напрямую на Счет Карты</w:t>
      </w:r>
      <w:r w:rsidRPr="005D7318">
        <w:rPr>
          <w:rFonts w:ascii="Tahoma" w:hAnsi="Tahoma" w:cs="Tahoma"/>
          <w:bCs/>
          <w:iCs/>
          <w:color w:val="000000"/>
          <w:sz w:val="18"/>
          <w:szCs w:val="18"/>
        </w:rPr>
        <w:t>: в качестве заработной платы Клиента и/или по кредитным договорам Клиента с Банком</w:t>
      </w:r>
      <w:r>
        <w:rPr>
          <w:rFonts w:ascii="Tahoma" w:hAnsi="Tahoma" w:cs="Tahoma"/>
          <w:bCs/>
          <w:iCs/>
          <w:color w:val="000000"/>
          <w:sz w:val="18"/>
          <w:szCs w:val="18"/>
        </w:rPr>
        <w:t>, и/или</w:t>
      </w:r>
      <w:r w:rsidRPr="005D7318">
        <w:rPr>
          <w:rFonts w:ascii="Tahoma" w:hAnsi="Tahoma" w:cs="Tahoma"/>
          <w:bCs/>
          <w:iCs/>
          <w:color w:val="000000"/>
          <w:sz w:val="18"/>
          <w:szCs w:val="18"/>
        </w:rPr>
        <w:t xml:space="preserve"> в результате конверсии валют</w:t>
      </w:r>
      <w:r>
        <w:rPr>
          <w:rFonts w:ascii="Tahoma" w:hAnsi="Tahoma" w:cs="Tahoma"/>
          <w:bCs/>
          <w:iCs/>
          <w:color w:val="000000"/>
          <w:sz w:val="18"/>
          <w:szCs w:val="18"/>
        </w:rPr>
        <w:t xml:space="preserve"> </w:t>
      </w:r>
      <w:r w:rsidRPr="005D7318">
        <w:rPr>
          <w:rFonts w:ascii="Tahoma" w:hAnsi="Tahoma" w:cs="Tahoma"/>
          <w:bCs/>
          <w:iCs/>
          <w:color w:val="000000"/>
          <w:sz w:val="18"/>
          <w:szCs w:val="18"/>
        </w:rPr>
        <w:t>– осуществляется без комиссии.</w:t>
      </w:r>
    </w:p>
  </w:footnote>
  <w:footnote w:id="215">
    <w:p w14:paraId="13393903" w14:textId="77777777" w:rsidR="009D1253" w:rsidRPr="004D7252" w:rsidRDefault="009D1253" w:rsidP="00AE7485">
      <w:pPr>
        <w:pStyle w:val="aff1"/>
        <w:jc w:val="both"/>
      </w:pPr>
      <w:r w:rsidRPr="00464DC7">
        <w:rPr>
          <w:rFonts w:ascii="Tahoma" w:hAnsi="Tahoma" w:cs="Tahoma"/>
          <w:bCs/>
          <w:iCs/>
          <w:color w:val="000000"/>
          <w:sz w:val="18"/>
          <w:szCs w:val="18"/>
          <w:vertAlign w:val="superscript"/>
        </w:rPr>
        <w:footnoteRef/>
      </w:r>
      <w:r w:rsidRPr="00464DC7">
        <w:rPr>
          <w:rFonts w:ascii="Tahoma" w:hAnsi="Tahoma" w:cs="Tahoma"/>
          <w:bCs/>
          <w:iCs/>
          <w:color w:val="000000"/>
          <w:sz w:val="18"/>
          <w:szCs w:val="18"/>
        </w:rPr>
        <w:t>По безналичным операциям с МСС-кодами: 4829 «Денежные переводы», 6012 «Финансовые институты – торговля и услуги», 6538 «Денежные переводы с Карты на Карту», 6534 «Платежная операция», 6051 «Квази-Кэш в нефинансовые учреждения» – комиссия не взимается.</w:t>
      </w:r>
    </w:p>
  </w:footnote>
  <w:footnote w:id="216">
    <w:p w14:paraId="154CF498" w14:textId="77777777" w:rsidR="009D1253" w:rsidRDefault="009D1253" w:rsidP="00AE7485">
      <w:pPr>
        <w:pStyle w:val="aff1"/>
        <w:jc w:val="both"/>
      </w:pPr>
      <w:r w:rsidRPr="004602E5">
        <w:rPr>
          <w:rFonts w:ascii="Tahoma" w:hAnsi="Tahoma" w:cs="Tahoma"/>
          <w:bCs/>
          <w:iCs/>
          <w:color w:val="000000"/>
          <w:sz w:val="18"/>
          <w:szCs w:val="18"/>
          <w:vertAlign w:val="superscript"/>
        </w:rPr>
        <w:footnoteRef/>
      </w:r>
      <w:r w:rsidRPr="004602E5">
        <w:rPr>
          <w:rFonts w:ascii="Tahoma" w:hAnsi="Tahoma" w:cs="Tahoma"/>
          <w:bCs/>
          <w:iCs/>
          <w:color w:val="000000"/>
          <w:sz w:val="18"/>
          <w:szCs w:val="18"/>
        </w:rPr>
        <w:t xml:space="preserve">Подключение Программы лояльности Акционерного общества «Национальная система платежных карт» (по тексту – Программа лояльности АО «НСПК») происходит по волеизъявлению Клиента автоматически при выдаче Клиенту Карты платежной системы «Мир». Клиент имеет право выразить отказ в подключении к Программе лояльности АО «НСПК», а также подключать/отключать ее самостоятельно посредством личного кабинета Программы лояльности АО «НСПК». Подключение Программы лояльности АО «НСПК» происходит исключительно на условиях действующих Правил программы лояльности </w:t>
      </w:r>
      <w:r>
        <w:rPr>
          <w:rFonts w:ascii="Tahoma" w:hAnsi="Tahoma" w:cs="Tahoma"/>
          <w:bCs/>
          <w:iCs/>
          <w:color w:val="000000"/>
          <w:sz w:val="18"/>
          <w:szCs w:val="18"/>
        </w:rPr>
        <w:t xml:space="preserve">АО </w:t>
      </w:r>
      <w:r w:rsidRPr="004602E5">
        <w:rPr>
          <w:rFonts w:ascii="Tahoma" w:hAnsi="Tahoma" w:cs="Tahoma"/>
          <w:bCs/>
          <w:iCs/>
          <w:color w:val="000000"/>
          <w:sz w:val="18"/>
          <w:szCs w:val="18"/>
        </w:rPr>
        <w:t>«</w:t>
      </w:r>
      <w:r>
        <w:rPr>
          <w:rFonts w:ascii="Tahoma" w:hAnsi="Tahoma" w:cs="Tahoma"/>
          <w:bCs/>
          <w:iCs/>
          <w:color w:val="000000"/>
          <w:sz w:val="18"/>
          <w:szCs w:val="18"/>
        </w:rPr>
        <w:t>НСПК</w:t>
      </w:r>
      <w:r w:rsidRPr="004602E5">
        <w:rPr>
          <w:rFonts w:ascii="Tahoma" w:hAnsi="Tahoma" w:cs="Tahoma"/>
          <w:bCs/>
          <w:iCs/>
          <w:color w:val="000000"/>
          <w:sz w:val="18"/>
          <w:szCs w:val="18"/>
        </w:rPr>
        <w:t xml:space="preserve">»», размещенных на его Официальном сайте </w:t>
      </w:r>
      <w:r w:rsidRPr="00414F11">
        <w:rPr>
          <w:rFonts w:ascii="Tahoma" w:hAnsi="Tahoma" w:cs="Tahoma"/>
          <w:bCs/>
          <w:iCs/>
          <w:color w:val="000000"/>
          <w:sz w:val="18"/>
          <w:szCs w:val="18"/>
        </w:rPr>
        <w:t>vamprivet.ru/rules/</w:t>
      </w:r>
      <w:r w:rsidRPr="004602E5">
        <w:rPr>
          <w:rFonts w:ascii="Tahoma" w:hAnsi="Tahoma" w:cs="Tahoma"/>
          <w:bCs/>
          <w:iCs/>
          <w:color w:val="000000"/>
          <w:sz w:val="18"/>
          <w:szCs w:val="18"/>
        </w:rPr>
        <w:t>, и исключительно к Картам платежной системы «Мир».</w:t>
      </w:r>
    </w:p>
  </w:footnote>
  <w:footnote w:id="217">
    <w:p w14:paraId="44503027" w14:textId="77777777" w:rsidR="009D1253" w:rsidRPr="00E354D0" w:rsidRDefault="009D1253" w:rsidP="00AE7485">
      <w:pPr>
        <w:pStyle w:val="aff1"/>
      </w:pPr>
      <w:r w:rsidRPr="00055AB5">
        <w:rPr>
          <w:rFonts w:ascii="Tahoma" w:hAnsi="Tahoma" w:cs="Tahoma"/>
          <w:bCs/>
          <w:iCs/>
          <w:color w:val="000000"/>
          <w:sz w:val="18"/>
          <w:szCs w:val="18"/>
          <w:vertAlign w:val="superscript"/>
        </w:rPr>
        <w:footnoteRef/>
      </w:r>
      <w:r w:rsidRPr="00055AB5">
        <w:rPr>
          <w:rFonts w:ascii="Tahoma" w:hAnsi="Tahoma" w:cs="Tahoma"/>
          <w:bCs/>
          <w:iCs/>
          <w:color w:val="000000"/>
          <w:sz w:val="18"/>
          <w:szCs w:val="18"/>
        </w:rPr>
        <w:t xml:space="preserve">Сервис предоставляется </w:t>
      </w:r>
      <w:r>
        <w:rPr>
          <w:rFonts w:ascii="Tahoma" w:hAnsi="Tahoma" w:cs="Tahoma"/>
          <w:bCs/>
          <w:iCs/>
          <w:color w:val="000000"/>
          <w:sz w:val="18"/>
          <w:szCs w:val="18"/>
        </w:rPr>
        <w:t xml:space="preserve">по волеизъявлению Клиента и </w:t>
      </w:r>
      <w:r w:rsidRPr="00055AB5">
        <w:rPr>
          <w:rFonts w:ascii="Tahoma" w:hAnsi="Tahoma" w:cs="Tahoma"/>
          <w:bCs/>
          <w:iCs/>
          <w:color w:val="000000"/>
          <w:sz w:val="18"/>
          <w:szCs w:val="18"/>
        </w:rPr>
        <w:t>исключительно при оформлении Клиентом Карты типа Мир Supreme в рамках Программы.</w:t>
      </w:r>
    </w:p>
  </w:footnote>
  <w:footnote w:id="218">
    <w:p w14:paraId="0F2C2E2F" w14:textId="77777777" w:rsidR="00F46A82" w:rsidRPr="00401CF1" w:rsidRDefault="00F46A82" w:rsidP="00F46A82">
      <w:pPr>
        <w:pStyle w:val="Default"/>
        <w:jc w:val="both"/>
        <w:rPr>
          <w:rFonts w:ascii="Tahoma" w:eastAsia="Times New Roman" w:hAnsi="Tahoma" w:cs="Tahoma"/>
          <w:bCs/>
          <w:iCs/>
          <w:color w:val="auto"/>
          <w:sz w:val="18"/>
          <w:szCs w:val="18"/>
          <w:lang w:eastAsia="ru-RU"/>
        </w:rPr>
      </w:pPr>
      <w:r w:rsidRPr="00F6504C">
        <w:rPr>
          <w:rStyle w:val="aff3"/>
          <w:rFonts w:ascii="Tahoma" w:hAnsi="Tahoma" w:cs="Tahoma"/>
          <w:sz w:val="20"/>
        </w:rPr>
        <w:footnoteRef/>
      </w:r>
      <w:r w:rsidRPr="00FE12BD">
        <w:rPr>
          <w:rFonts w:ascii="Tahoma" w:hAnsi="Tahoma" w:cs="Tahoma"/>
          <w:sz w:val="18"/>
          <w:szCs w:val="18"/>
        </w:rPr>
        <w:t>Термины, значение которых не приведено в Программе, применяются в значении, определ</w:t>
      </w:r>
      <w:r>
        <w:rPr>
          <w:rFonts w:ascii="Tahoma" w:hAnsi="Tahoma" w:cs="Tahoma"/>
          <w:sz w:val="18"/>
          <w:szCs w:val="18"/>
        </w:rPr>
        <w:t>е</w:t>
      </w:r>
      <w:r w:rsidRPr="00FE12BD">
        <w:rPr>
          <w:rFonts w:ascii="Tahoma" w:hAnsi="Tahoma" w:cs="Tahoma"/>
          <w:sz w:val="18"/>
          <w:szCs w:val="18"/>
        </w:rPr>
        <w:t>нном в Универсальном договоре банковского обслуживания (по тексту – УДБО), размещ</w:t>
      </w:r>
      <w:r>
        <w:rPr>
          <w:rFonts w:ascii="Tahoma" w:hAnsi="Tahoma" w:cs="Tahoma"/>
          <w:sz w:val="18"/>
          <w:szCs w:val="18"/>
        </w:rPr>
        <w:t>е</w:t>
      </w:r>
      <w:r w:rsidRPr="00FE12BD">
        <w:rPr>
          <w:rFonts w:ascii="Tahoma" w:hAnsi="Tahoma" w:cs="Tahoma"/>
          <w:sz w:val="18"/>
          <w:szCs w:val="18"/>
        </w:rPr>
        <w:t xml:space="preserve">нном на Сайте Банка www.atb.su, в Подразделениях Банка, </w:t>
      </w:r>
      <w:r w:rsidRPr="002E118D">
        <w:rPr>
          <w:rFonts w:ascii="Tahoma" w:hAnsi="Tahoma" w:cs="Tahoma"/>
          <w:sz w:val="18"/>
          <w:szCs w:val="18"/>
        </w:rPr>
        <w:t>Интернет-банке и Мобильном банке.</w:t>
      </w:r>
    </w:p>
  </w:footnote>
  <w:footnote w:id="219">
    <w:p w14:paraId="2CF47081" w14:textId="77777777" w:rsidR="00F46A82" w:rsidRPr="008062F7" w:rsidRDefault="00F46A82" w:rsidP="00F46A82">
      <w:pPr>
        <w:tabs>
          <w:tab w:val="left" w:pos="284"/>
        </w:tabs>
        <w:jc w:val="both"/>
        <w:rPr>
          <w:rFonts w:ascii="Tahoma" w:hAnsi="Tahoma" w:cs="Tahoma"/>
          <w:sz w:val="18"/>
          <w:szCs w:val="18"/>
        </w:rPr>
      </w:pPr>
      <w:r w:rsidRPr="00401CF1">
        <w:rPr>
          <w:rFonts w:ascii="Tahoma" w:hAnsi="Tahoma" w:cs="Tahoma"/>
          <w:sz w:val="18"/>
          <w:szCs w:val="18"/>
          <w:vertAlign w:val="superscript"/>
        </w:rPr>
        <w:footnoteRef/>
      </w:r>
      <w:r w:rsidRPr="008062F7">
        <w:rPr>
          <w:rFonts w:ascii="Tahoma" w:hAnsi="Tahoma" w:cs="Tahoma"/>
          <w:sz w:val="18"/>
          <w:szCs w:val="18"/>
        </w:rPr>
        <w:t>Операции с денежными средствами на валютных счетах</w:t>
      </w:r>
      <w:r>
        <w:rPr>
          <w:rFonts w:ascii="Tahoma" w:hAnsi="Tahoma" w:cs="Tahoma"/>
          <w:sz w:val="18"/>
          <w:szCs w:val="18"/>
        </w:rPr>
        <w:t xml:space="preserve"> и</w:t>
      </w:r>
      <w:r w:rsidRPr="008062F7">
        <w:rPr>
          <w:rFonts w:ascii="Tahoma" w:hAnsi="Tahoma" w:cs="Tahoma"/>
          <w:sz w:val="18"/>
          <w:szCs w:val="18"/>
        </w:rPr>
        <w:t xml:space="preserve"> вкладах Клиентов</w:t>
      </w:r>
      <w:r>
        <w:rPr>
          <w:rFonts w:ascii="Tahoma" w:hAnsi="Tahoma" w:cs="Tahoma"/>
          <w:sz w:val="18"/>
          <w:szCs w:val="18"/>
        </w:rPr>
        <w:t xml:space="preserve"> </w:t>
      </w:r>
      <w:r w:rsidRPr="008062F7">
        <w:rPr>
          <w:rFonts w:ascii="Tahoma" w:hAnsi="Tahoma" w:cs="Tahoma"/>
          <w:sz w:val="18"/>
          <w:szCs w:val="18"/>
        </w:rPr>
        <w:t>осуществляются при соблюдении установленных законодательством Российской Федерации (в том числе актами Центрального банка РФ, иных уполномоченных лиц/органов, действующих на территории Российской Федерации), ограничений/условий.</w:t>
      </w:r>
    </w:p>
  </w:footnote>
  <w:footnote w:id="220">
    <w:p w14:paraId="388CDDE1" w14:textId="77777777" w:rsidR="00F46A82" w:rsidRPr="008062F7" w:rsidRDefault="00F46A82" w:rsidP="00F46A82">
      <w:pPr>
        <w:pStyle w:val="aff1"/>
        <w:jc w:val="both"/>
        <w:rPr>
          <w:rFonts w:ascii="Tahoma" w:hAnsi="Tahoma" w:cs="Tahoma"/>
          <w:sz w:val="18"/>
          <w:szCs w:val="18"/>
        </w:rPr>
      </w:pPr>
      <w:r w:rsidRPr="00401CF1">
        <w:rPr>
          <w:rFonts w:ascii="Tahoma" w:hAnsi="Tahoma" w:cs="Tahoma"/>
          <w:sz w:val="18"/>
          <w:szCs w:val="18"/>
          <w:vertAlign w:val="superscript"/>
        </w:rPr>
        <w:footnoteRef/>
      </w:r>
      <w:r>
        <w:rPr>
          <w:rFonts w:ascii="Tahoma" w:hAnsi="Tahoma" w:cs="Tahoma"/>
          <w:sz w:val="18"/>
          <w:szCs w:val="18"/>
        </w:rPr>
        <w:t>Накопительный счет</w:t>
      </w:r>
      <w:r w:rsidRPr="008062F7">
        <w:rPr>
          <w:rFonts w:ascii="Tahoma" w:hAnsi="Tahoma" w:cs="Tahoma"/>
          <w:sz w:val="18"/>
          <w:szCs w:val="18"/>
        </w:rPr>
        <w:t xml:space="preserve"> – </w:t>
      </w:r>
      <w:r>
        <w:rPr>
          <w:rFonts w:ascii="Tahoma" w:hAnsi="Tahoma" w:cs="Tahoma"/>
          <w:sz w:val="18"/>
          <w:szCs w:val="18"/>
        </w:rPr>
        <w:t>Текущий банковский счет для совершения операций, не связанных с предпринимательской деятельностью или частной практикой, условия которого предусматривают начисление процентов на Ежедневный остаток денежных средств, размещенных на Накопительном счете.</w:t>
      </w:r>
    </w:p>
  </w:footnote>
  <w:footnote w:id="221">
    <w:p w14:paraId="0F28D27D" w14:textId="77777777" w:rsidR="00F46A82" w:rsidRPr="00860D0C" w:rsidRDefault="00F46A82" w:rsidP="00F46A82">
      <w:pPr>
        <w:pStyle w:val="aff1"/>
        <w:jc w:val="both"/>
        <w:rPr>
          <w:rFonts w:ascii="Tahoma" w:hAnsi="Tahoma" w:cs="Tahoma"/>
          <w:bCs/>
          <w:iCs/>
          <w:color w:val="000000"/>
          <w:sz w:val="18"/>
          <w:szCs w:val="18"/>
        </w:rPr>
      </w:pPr>
      <w:r>
        <w:rPr>
          <w:rStyle w:val="aff3"/>
        </w:rPr>
        <w:footnoteRef/>
      </w:r>
      <w:r>
        <w:rPr>
          <w:rFonts w:ascii="Tahoma" w:hAnsi="Tahoma" w:cs="Tahoma"/>
          <w:bCs/>
          <w:iCs/>
          <w:color w:val="000000"/>
          <w:sz w:val="18"/>
          <w:szCs w:val="18"/>
        </w:rPr>
        <w:t>Ежедневный остаток –</w:t>
      </w:r>
      <w:r w:rsidRPr="00F32484">
        <w:rPr>
          <w:rFonts w:ascii="Tahoma" w:hAnsi="Tahoma" w:cs="Tahoma"/>
          <w:bCs/>
          <w:iCs/>
          <w:color w:val="000000"/>
          <w:sz w:val="18"/>
          <w:szCs w:val="18"/>
        </w:rPr>
        <w:t xml:space="preserve"> это совокупный баланс денежных средств на Накопительном счете, рассчитанный путем сложен</w:t>
      </w:r>
      <w:r>
        <w:rPr>
          <w:rFonts w:ascii="Tahoma" w:hAnsi="Tahoma" w:cs="Tahoma"/>
          <w:bCs/>
          <w:iCs/>
          <w:color w:val="000000"/>
          <w:sz w:val="18"/>
          <w:szCs w:val="18"/>
        </w:rPr>
        <w:t xml:space="preserve">ия ежедневных входящих остатков </w:t>
      </w:r>
      <w:r w:rsidRPr="00F32484">
        <w:rPr>
          <w:rFonts w:ascii="Tahoma" w:hAnsi="Tahoma" w:cs="Tahoma"/>
          <w:bCs/>
          <w:iCs/>
          <w:color w:val="000000"/>
          <w:sz w:val="18"/>
          <w:szCs w:val="18"/>
        </w:rPr>
        <w:t>денежных средств на Накопительном счете Клиента в течени</w:t>
      </w:r>
      <w:r>
        <w:rPr>
          <w:rFonts w:ascii="Tahoma" w:hAnsi="Tahoma" w:cs="Tahoma"/>
          <w:bCs/>
          <w:iCs/>
          <w:color w:val="000000"/>
          <w:sz w:val="18"/>
          <w:szCs w:val="18"/>
        </w:rPr>
        <w:t>е Отчетного периода</w:t>
      </w:r>
      <w:r w:rsidRPr="00F32484">
        <w:rPr>
          <w:rFonts w:ascii="Tahoma" w:hAnsi="Tahoma" w:cs="Tahoma"/>
          <w:bCs/>
          <w:iCs/>
          <w:color w:val="000000"/>
          <w:sz w:val="18"/>
          <w:szCs w:val="18"/>
        </w:rPr>
        <w:t xml:space="preserve"> и деления этой суммы на количество дней </w:t>
      </w:r>
      <w:r>
        <w:rPr>
          <w:rFonts w:ascii="Tahoma" w:hAnsi="Tahoma" w:cs="Tahoma"/>
          <w:bCs/>
          <w:iCs/>
          <w:color w:val="000000"/>
          <w:sz w:val="18"/>
          <w:szCs w:val="18"/>
        </w:rPr>
        <w:t xml:space="preserve">в этом месяце. Первый Отчетный период </w:t>
      </w:r>
      <w:r w:rsidRPr="00F32484">
        <w:rPr>
          <w:rFonts w:ascii="Tahoma" w:hAnsi="Tahoma" w:cs="Tahoma"/>
          <w:bCs/>
          <w:iCs/>
          <w:color w:val="000000"/>
          <w:sz w:val="18"/>
          <w:szCs w:val="18"/>
        </w:rPr>
        <w:t xml:space="preserve">исчисляется со дня, следующего за днем поступления денежных средств на указанный в настоящем пункте Накопительный счет по последний </w:t>
      </w:r>
      <w:r>
        <w:rPr>
          <w:rFonts w:ascii="Tahoma" w:hAnsi="Tahoma" w:cs="Tahoma"/>
          <w:bCs/>
          <w:iCs/>
          <w:color w:val="000000"/>
          <w:sz w:val="18"/>
          <w:szCs w:val="18"/>
        </w:rPr>
        <w:t xml:space="preserve">день </w:t>
      </w:r>
      <w:r w:rsidRPr="00F32484">
        <w:rPr>
          <w:rFonts w:ascii="Tahoma" w:hAnsi="Tahoma" w:cs="Tahoma"/>
          <w:bCs/>
          <w:iCs/>
          <w:color w:val="000000"/>
          <w:sz w:val="18"/>
          <w:szCs w:val="18"/>
        </w:rPr>
        <w:t>ка</w:t>
      </w:r>
      <w:r>
        <w:rPr>
          <w:rFonts w:ascii="Tahoma" w:hAnsi="Tahoma" w:cs="Tahoma"/>
          <w:bCs/>
          <w:iCs/>
          <w:color w:val="000000"/>
          <w:sz w:val="18"/>
          <w:szCs w:val="18"/>
        </w:rPr>
        <w:t>лендарного месяца (включительно). Последующие Отчетные п</w:t>
      </w:r>
      <w:r w:rsidRPr="00F32484">
        <w:rPr>
          <w:rFonts w:ascii="Tahoma" w:hAnsi="Tahoma" w:cs="Tahoma"/>
          <w:bCs/>
          <w:iCs/>
          <w:color w:val="000000"/>
          <w:sz w:val="18"/>
          <w:szCs w:val="18"/>
        </w:rPr>
        <w:t>ериоды исчисляются ежемесячно с 1-го числа каждого календарного месяца по последн</w:t>
      </w:r>
      <w:r>
        <w:rPr>
          <w:rFonts w:ascii="Tahoma" w:hAnsi="Tahoma" w:cs="Tahoma"/>
          <w:bCs/>
          <w:iCs/>
          <w:color w:val="000000"/>
          <w:sz w:val="18"/>
          <w:szCs w:val="18"/>
        </w:rPr>
        <w:t>ее число</w:t>
      </w:r>
      <w:r w:rsidRPr="00F32484">
        <w:rPr>
          <w:rFonts w:ascii="Tahoma" w:hAnsi="Tahoma" w:cs="Tahoma"/>
          <w:bCs/>
          <w:iCs/>
          <w:color w:val="000000"/>
          <w:sz w:val="18"/>
          <w:szCs w:val="18"/>
        </w:rPr>
        <w:t xml:space="preserve"> календарн</w:t>
      </w:r>
      <w:r>
        <w:rPr>
          <w:rFonts w:ascii="Tahoma" w:hAnsi="Tahoma" w:cs="Tahoma"/>
          <w:bCs/>
          <w:iCs/>
          <w:color w:val="000000"/>
          <w:sz w:val="18"/>
          <w:szCs w:val="18"/>
        </w:rPr>
        <w:t>ого</w:t>
      </w:r>
      <w:r w:rsidRPr="00F32484">
        <w:rPr>
          <w:rFonts w:ascii="Tahoma" w:hAnsi="Tahoma" w:cs="Tahoma"/>
          <w:bCs/>
          <w:iCs/>
          <w:color w:val="000000"/>
          <w:sz w:val="18"/>
          <w:szCs w:val="18"/>
        </w:rPr>
        <w:t xml:space="preserve"> месяц</w:t>
      </w:r>
      <w:r>
        <w:rPr>
          <w:rFonts w:ascii="Tahoma" w:hAnsi="Tahoma" w:cs="Tahoma"/>
          <w:bCs/>
          <w:iCs/>
          <w:color w:val="000000"/>
          <w:sz w:val="18"/>
          <w:szCs w:val="18"/>
        </w:rPr>
        <w:t>а</w:t>
      </w:r>
      <w:r w:rsidRPr="00F32484">
        <w:rPr>
          <w:rFonts w:ascii="Tahoma" w:hAnsi="Tahoma" w:cs="Tahoma"/>
          <w:bCs/>
          <w:iCs/>
          <w:color w:val="000000"/>
          <w:sz w:val="18"/>
          <w:szCs w:val="18"/>
        </w:rPr>
        <w:t xml:space="preserve"> (включительно). Вып</w:t>
      </w:r>
      <w:r>
        <w:rPr>
          <w:rFonts w:ascii="Tahoma" w:hAnsi="Tahoma" w:cs="Tahoma"/>
          <w:bCs/>
          <w:iCs/>
          <w:color w:val="000000"/>
          <w:sz w:val="18"/>
          <w:szCs w:val="18"/>
        </w:rPr>
        <w:t xml:space="preserve">лата Банком Клиенту начисленных </w:t>
      </w:r>
      <w:r w:rsidRPr="00F32484">
        <w:rPr>
          <w:rFonts w:ascii="Tahoma" w:hAnsi="Tahoma" w:cs="Tahoma"/>
          <w:bCs/>
          <w:iCs/>
          <w:color w:val="000000"/>
          <w:sz w:val="18"/>
          <w:szCs w:val="18"/>
        </w:rPr>
        <w:t xml:space="preserve">процентов производится на Накопительный счет в последний день </w:t>
      </w:r>
      <w:r>
        <w:rPr>
          <w:rFonts w:ascii="Tahoma" w:hAnsi="Tahoma" w:cs="Tahoma"/>
          <w:bCs/>
          <w:iCs/>
          <w:color w:val="000000"/>
          <w:sz w:val="18"/>
          <w:szCs w:val="18"/>
        </w:rPr>
        <w:t xml:space="preserve">календарного </w:t>
      </w:r>
      <w:r w:rsidRPr="00F32484">
        <w:rPr>
          <w:rFonts w:ascii="Tahoma" w:hAnsi="Tahoma" w:cs="Tahoma"/>
          <w:bCs/>
          <w:iCs/>
          <w:color w:val="000000"/>
          <w:sz w:val="18"/>
          <w:szCs w:val="18"/>
        </w:rPr>
        <w:t>месяца.</w:t>
      </w:r>
    </w:p>
  </w:footnote>
  <w:footnote w:id="222">
    <w:p w14:paraId="2C1FBF68" w14:textId="77777777" w:rsidR="00F46A82" w:rsidRDefault="00F46A82" w:rsidP="00F46A82">
      <w:pPr>
        <w:pStyle w:val="aff1"/>
        <w:jc w:val="both"/>
      </w:pPr>
      <w:r>
        <w:rPr>
          <w:rStyle w:val="aff3"/>
        </w:rPr>
        <w:footnoteRef/>
      </w:r>
      <w:r w:rsidRPr="008062F7">
        <w:rPr>
          <w:rFonts w:ascii="Tahoma" w:hAnsi="Tahoma" w:cs="Tahoma"/>
          <w:sz w:val="18"/>
          <w:szCs w:val="18"/>
        </w:rPr>
        <w:t xml:space="preserve">Отчетный период – календарный месяц, начинающийся с 1 (первого) </w:t>
      </w:r>
      <w:r>
        <w:rPr>
          <w:rFonts w:ascii="Tahoma" w:hAnsi="Tahoma" w:cs="Tahoma"/>
          <w:sz w:val="18"/>
          <w:szCs w:val="18"/>
        </w:rPr>
        <w:t xml:space="preserve">по последнее </w:t>
      </w:r>
      <w:r w:rsidRPr="008062F7">
        <w:rPr>
          <w:rFonts w:ascii="Tahoma" w:hAnsi="Tahoma" w:cs="Tahoma"/>
          <w:sz w:val="18"/>
          <w:szCs w:val="18"/>
        </w:rPr>
        <w:t>числ</w:t>
      </w:r>
      <w:r>
        <w:rPr>
          <w:rFonts w:ascii="Tahoma" w:hAnsi="Tahoma" w:cs="Tahoma"/>
          <w:sz w:val="18"/>
          <w:szCs w:val="18"/>
        </w:rPr>
        <w:t>о</w:t>
      </w:r>
      <w:r w:rsidRPr="008062F7">
        <w:rPr>
          <w:rFonts w:ascii="Tahoma" w:hAnsi="Tahoma" w:cs="Tahoma"/>
          <w:sz w:val="18"/>
          <w:szCs w:val="18"/>
        </w:rPr>
        <w:t xml:space="preserve"> месяца.</w:t>
      </w:r>
    </w:p>
  </w:footnote>
  <w:footnote w:id="223">
    <w:p w14:paraId="58FEC2E2" w14:textId="77777777" w:rsidR="00F46A82" w:rsidRPr="00D8054F" w:rsidRDefault="00F46A82" w:rsidP="00F46A82">
      <w:pPr>
        <w:pStyle w:val="aff1"/>
        <w:jc w:val="both"/>
        <w:rPr>
          <w:rFonts w:ascii="Tahoma" w:hAnsi="Tahoma" w:cs="Tahoma"/>
          <w:bCs/>
          <w:iCs/>
          <w:color w:val="000000"/>
          <w:sz w:val="18"/>
          <w:szCs w:val="18"/>
        </w:rPr>
      </w:pPr>
      <w:r w:rsidRPr="00D8054F">
        <w:rPr>
          <w:rStyle w:val="aff3"/>
          <w:rFonts w:ascii="Tahoma" w:hAnsi="Tahoma" w:cs="Tahoma"/>
          <w:sz w:val="18"/>
        </w:rPr>
        <w:footnoteRef/>
      </w:r>
      <w:r>
        <w:rPr>
          <w:rFonts w:ascii="Tahoma" w:hAnsi="Tahoma" w:cs="Tahoma"/>
          <w:bCs/>
          <w:iCs/>
          <w:color w:val="000000"/>
          <w:sz w:val="18"/>
          <w:szCs w:val="18"/>
        </w:rPr>
        <w:t xml:space="preserve">Сумма покупок по Карте </w:t>
      </w:r>
      <w:r w:rsidRPr="00F756E1">
        <w:rPr>
          <w:rFonts w:ascii="Tahoma" w:hAnsi="Tahoma" w:cs="Tahoma"/>
          <w:bCs/>
          <w:iCs/>
          <w:color w:val="000000"/>
          <w:sz w:val="18"/>
          <w:szCs w:val="18"/>
        </w:rPr>
        <w:t xml:space="preserve">– это сумма </w:t>
      </w:r>
      <w:r>
        <w:rPr>
          <w:rFonts w:ascii="Tahoma" w:hAnsi="Tahoma" w:cs="Tahoma"/>
          <w:bCs/>
          <w:iCs/>
          <w:color w:val="000000"/>
          <w:sz w:val="18"/>
          <w:szCs w:val="18"/>
        </w:rPr>
        <w:t>транзакций</w:t>
      </w:r>
      <w:r w:rsidRPr="00F756E1">
        <w:rPr>
          <w:rFonts w:ascii="Tahoma" w:hAnsi="Tahoma" w:cs="Tahoma"/>
          <w:bCs/>
          <w:iCs/>
          <w:color w:val="000000"/>
          <w:sz w:val="18"/>
          <w:szCs w:val="18"/>
        </w:rPr>
        <w:t xml:space="preserve">, совершенных Клиентом (за </w:t>
      </w:r>
      <w:r>
        <w:rPr>
          <w:rFonts w:ascii="Tahoma" w:hAnsi="Tahoma" w:cs="Tahoma"/>
          <w:bCs/>
          <w:iCs/>
          <w:color w:val="000000"/>
          <w:sz w:val="18"/>
          <w:szCs w:val="18"/>
        </w:rPr>
        <w:t>П</w:t>
      </w:r>
      <w:r w:rsidRPr="00F756E1">
        <w:rPr>
          <w:rFonts w:ascii="Tahoma" w:hAnsi="Tahoma" w:cs="Tahoma"/>
          <w:bCs/>
          <w:iCs/>
          <w:color w:val="000000"/>
          <w:sz w:val="18"/>
          <w:szCs w:val="18"/>
        </w:rPr>
        <w:t xml:space="preserve">ериод) при </w:t>
      </w:r>
      <w:r>
        <w:rPr>
          <w:rFonts w:ascii="Tahoma" w:hAnsi="Tahoma" w:cs="Tahoma"/>
          <w:bCs/>
          <w:iCs/>
          <w:color w:val="000000"/>
          <w:sz w:val="18"/>
          <w:szCs w:val="18"/>
        </w:rPr>
        <w:t xml:space="preserve">оплате товаров (услуг, </w:t>
      </w:r>
      <w:r w:rsidRPr="00F756E1">
        <w:rPr>
          <w:rFonts w:ascii="Tahoma" w:hAnsi="Tahoma" w:cs="Tahoma"/>
          <w:bCs/>
          <w:iCs/>
          <w:color w:val="000000"/>
          <w:sz w:val="18"/>
          <w:szCs w:val="18"/>
        </w:rPr>
        <w:t>работ, результатов интеллектуальной</w:t>
      </w:r>
      <w:r>
        <w:rPr>
          <w:rFonts w:ascii="Tahoma" w:hAnsi="Tahoma" w:cs="Tahoma"/>
          <w:bCs/>
          <w:iCs/>
          <w:color w:val="000000"/>
          <w:sz w:val="18"/>
          <w:szCs w:val="18"/>
        </w:rPr>
        <w:t xml:space="preserve"> деятельности) </w:t>
      </w:r>
      <w:r w:rsidRPr="00F756E1">
        <w:rPr>
          <w:rFonts w:ascii="Tahoma" w:hAnsi="Tahoma" w:cs="Tahoma"/>
          <w:bCs/>
          <w:iCs/>
          <w:color w:val="000000"/>
          <w:sz w:val="18"/>
          <w:szCs w:val="18"/>
        </w:rPr>
        <w:t xml:space="preserve">в </w:t>
      </w:r>
      <w:r>
        <w:rPr>
          <w:rFonts w:ascii="Tahoma" w:hAnsi="Tahoma" w:cs="Tahoma"/>
          <w:bCs/>
          <w:iCs/>
          <w:color w:val="000000"/>
          <w:sz w:val="18"/>
          <w:szCs w:val="18"/>
        </w:rPr>
        <w:t xml:space="preserve">торгово-сервисных предприятиях (далее – </w:t>
      </w:r>
      <w:r w:rsidRPr="00F756E1">
        <w:rPr>
          <w:rFonts w:ascii="Tahoma" w:hAnsi="Tahoma" w:cs="Tahoma"/>
          <w:bCs/>
          <w:iCs/>
          <w:color w:val="000000"/>
          <w:sz w:val="18"/>
          <w:szCs w:val="18"/>
        </w:rPr>
        <w:t>ТСП</w:t>
      </w:r>
      <w:r>
        <w:rPr>
          <w:rFonts w:ascii="Tahoma" w:hAnsi="Tahoma" w:cs="Tahoma"/>
          <w:bCs/>
          <w:iCs/>
          <w:color w:val="000000"/>
          <w:sz w:val="18"/>
          <w:szCs w:val="18"/>
        </w:rPr>
        <w:t>)</w:t>
      </w:r>
      <w:r w:rsidRPr="00F756E1">
        <w:rPr>
          <w:rFonts w:ascii="Tahoma" w:hAnsi="Tahoma" w:cs="Tahoma"/>
          <w:bCs/>
          <w:iCs/>
          <w:color w:val="000000"/>
          <w:sz w:val="18"/>
          <w:szCs w:val="18"/>
        </w:rPr>
        <w:t xml:space="preserve"> по </w:t>
      </w:r>
      <w:r>
        <w:rPr>
          <w:rFonts w:ascii="Tahoma" w:hAnsi="Tahoma" w:cs="Tahoma"/>
          <w:bCs/>
          <w:iCs/>
          <w:color w:val="000000"/>
          <w:sz w:val="18"/>
          <w:szCs w:val="18"/>
        </w:rPr>
        <w:t>Карте (основной и/или дополнительной)</w:t>
      </w:r>
      <w:r w:rsidRPr="00F756E1">
        <w:rPr>
          <w:rFonts w:ascii="Tahoma" w:hAnsi="Tahoma" w:cs="Tahoma"/>
          <w:bCs/>
          <w:iCs/>
          <w:color w:val="000000"/>
          <w:sz w:val="18"/>
          <w:szCs w:val="18"/>
        </w:rPr>
        <w:t>, эмитированн</w:t>
      </w:r>
      <w:r>
        <w:rPr>
          <w:rFonts w:ascii="Tahoma" w:hAnsi="Tahoma" w:cs="Tahoma"/>
          <w:bCs/>
          <w:iCs/>
          <w:color w:val="000000"/>
          <w:sz w:val="18"/>
          <w:szCs w:val="18"/>
        </w:rPr>
        <w:t xml:space="preserve">ой </w:t>
      </w:r>
      <w:r w:rsidRPr="00F756E1">
        <w:rPr>
          <w:rFonts w:ascii="Tahoma" w:hAnsi="Tahoma" w:cs="Tahoma"/>
          <w:bCs/>
          <w:iCs/>
          <w:color w:val="000000"/>
          <w:sz w:val="18"/>
          <w:szCs w:val="18"/>
        </w:rPr>
        <w:t>Банком в рамках Программы. В расчет Суммы покупок</w:t>
      </w:r>
      <w:r>
        <w:rPr>
          <w:rFonts w:ascii="Tahoma" w:hAnsi="Tahoma" w:cs="Tahoma"/>
          <w:bCs/>
          <w:iCs/>
          <w:color w:val="000000"/>
          <w:sz w:val="18"/>
          <w:szCs w:val="18"/>
        </w:rPr>
        <w:t xml:space="preserve"> по Карте</w:t>
      </w:r>
      <w:r w:rsidRPr="00F756E1">
        <w:rPr>
          <w:rFonts w:ascii="Tahoma" w:hAnsi="Tahoma" w:cs="Tahoma"/>
          <w:bCs/>
          <w:iCs/>
          <w:color w:val="000000"/>
          <w:sz w:val="18"/>
          <w:szCs w:val="18"/>
        </w:rPr>
        <w:t xml:space="preserve"> принимаются операции, отраженные по балансу Банка. Операции в иностранной валюте принимаются в расчет по курсу Банка на момент их совершения. Денежные переводы со Сч</w:t>
      </w:r>
      <w:r>
        <w:rPr>
          <w:rFonts w:ascii="Tahoma" w:hAnsi="Tahoma" w:cs="Tahoma"/>
          <w:bCs/>
          <w:iCs/>
          <w:color w:val="000000"/>
          <w:sz w:val="18"/>
          <w:szCs w:val="18"/>
        </w:rPr>
        <w:t>е</w:t>
      </w:r>
      <w:r w:rsidRPr="00F756E1">
        <w:rPr>
          <w:rFonts w:ascii="Tahoma" w:hAnsi="Tahoma" w:cs="Tahoma"/>
          <w:bCs/>
          <w:iCs/>
          <w:color w:val="000000"/>
          <w:sz w:val="18"/>
          <w:szCs w:val="18"/>
        </w:rPr>
        <w:t>та Карты Клиента между своими счетами или на счета третьих лиц (открытые как в Банке, так и в других кредитных организациях), переводы с карты на карту и квази-кэш, оплата товаров (услуг, работ, результатов интеллектуальной деятельности) в разделе «Платежи» Интернет-</w:t>
      </w:r>
      <w:r>
        <w:rPr>
          <w:rFonts w:ascii="Tahoma" w:hAnsi="Tahoma" w:cs="Tahoma"/>
          <w:bCs/>
          <w:iCs/>
          <w:color w:val="000000"/>
          <w:sz w:val="18"/>
          <w:szCs w:val="18"/>
        </w:rPr>
        <w:t>б</w:t>
      </w:r>
      <w:r w:rsidRPr="00F756E1">
        <w:rPr>
          <w:rFonts w:ascii="Tahoma" w:hAnsi="Tahoma" w:cs="Tahoma"/>
          <w:bCs/>
          <w:iCs/>
          <w:color w:val="000000"/>
          <w:sz w:val="18"/>
          <w:szCs w:val="18"/>
        </w:rPr>
        <w:t xml:space="preserve">анка и/или Мобильного </w:t>
      </w:r>
      <w:r>
        <w:rPr>
          <w:rFonts w:ascii="Tahoma" w:hAnsi="Tahoma" w:cs="Tahoma"/>
          <w:bCs/>
          <w:iCs/>
          <w:color w:val="000000"/>
          <w:sz w:val="18"/>
          <w:szCs w:val="18"/>
        </w:rPr>
        <w:t>б</w:t>
      </w:r>
      <w:r w:rsidRPr="00F756E1">
        <w:rPr>
          <w:rFonts w:ascii="Tahoma" w:hAnsi="Tahoma" w:cs="Tahoma"/>
          <w:bCs/>
          <w:iCs/>
          <w:color w:val="000000"/>
          <w:sz w:val="18"/>
          <w:szCs w:val="18"/>
        </w:rPr>
        <w:t>анка; платежи и переводы с целью пополнения любых виртуальных и/или электронных кошельков, или иных электронных денежных средств; операции с МСС-кодами: 4829, 6012, 6050, 6529, 6530, 6531, 6532, 6533, 6534, 6536, 6537, 6538, 6051, 6540, 7372, 7399, 7995, 8999</w:t>
      </w:r>
      <w:r>
        <w:rPr>
          <w:rFonts w:ascii="Tahoma" w:hAnsi="Tahoma" w:cs="Tahoma"/>
          <w:bCs/>
          <w:iCs/>
          <w:color w:val="000000"/>
          <w:sz w:val="18"/>
          <w:szCs w:val="18"/>
        </w:rPr>
        <w:t>;</w:t>
      </w:r>
      <w:r w:rsidRPr="00F756E1">
        <w:rPr>
          <w:rFonts w:ascii="Tahoma" w:hAnsi="Tahoma" w:cs="Tahoma"/>
          <w:bCs/>
          <w:iCs/>
          <w:color w:val="000000"/>
          <w:sz w:val="18"/>
          <w:szCs w:val="18"/>
        </w:rPr>
        <w:t xml:space="preserve"> операции с использованием Сист</w:t>
      </w:r>
      <w:r>
        <w:rPr>
          <w:rFonts w:ascii="Tahoma" w:hAnsi="Tahoma" w:cs="Tahoma"/>
          <w:bCs/>
          <w:iCs/>
          <w:color w:val="000000"/>
          <w:sz w:val="18"/>
          <w:szCs w:val="18"/>
        </w:rPr>
        <w:t xml:space="preserve">емы быстрых платежей и СБПэй, в </w:t>
      </w:r>
      <w:r w:rsidRPr="00F756E1">
        <w:rPr>
          <w:rFonts w:ascii="Tahoma" w:hAnsi="Tahoma" w:cs="Tahoma"/>
          <w:bCs/>
          <w:iCs/>
          <w:color w:val="000000"/>
          <w:sz w:val="18"/>
          <w:szCs w:val="18"/>
        </w:rPr>
        <w:t>т.ч. с использованием QR-кодов</w:t>
      </w:r>
      <w:r>
        <w:rPr>
          <w:rFonts w:ascii="Tahoma" w:hAnsi="Tahoma" w:cs="Tahoma"/>
          <w:bCs/>
          <w:iCs/>
          <w:color w:val="000000"/>
          <w:sz w:val="18"/>
          <w:szCs w:val="18"/>
        </w:rPr>
        <w:t>,</w:t>
      </w:r>
      <w:r w:rsidRPr="00F756E1">
        <w:rPr>
          <w:rFonts w:ascii="Tahoma" w:hAnsi="Tahoma" w:cs="Tahoma"/>
          <w:bCs/>
          <w:iCs/>
          <w:color w:val="000000"/>
          <w:sz w:val="18"/>
          <w:szCs w:val="18"/>
        </w:rPr>
        <w:t xml:space="preserve"> в расчет суммы покупок не включаются.</w:t>
      </w:r>
    </w:p>
  </w:footnote>
  <w:footnote w:id="224">
    <w:p w14:paraId="40874A98" w14:textId="77777777" w:rsidR="00F46A82" w:rsidRDefault="00F46A82" w:rsidP="00F46A82">
      <w:pPr>
        <w:pStyle w:val="aff1"/>
      </w:pPr>
      <w:r w:rsidRPr="00D8054F">
        <w:rPr>
          <w:rStyle w:val="aff3"/>
          <w:rFonts w:ascii="Tahoma" w:hAnsi="Tahoma" w:cs="Tahoma"/>
          <w:sz w:val="18"/>
        </w:rPr>
        <w:footnoteRef/>
      </w:r>
      <w:r w:rsidRPr="00D8054F">
        <w:rPr>
          <w:rFonts w:ascii="Tahoma" w:hAnsi="Tahoma" w:cs="Tahoma"/>
          <w:bCs/>
          <w:iCs/>
          <w:color w:val="000000"/>
          <w:sz w:val="18"/>
          <w:szCs w:val="18"/>
        </w:rPr>
        <w:t xml:space="preserve">Период для учета </w:t>
      </w:r>
      <w:r>
        <w:rPr>
          <w:rFonts w:ascii="Tahoma" w:hAnsi="Tahoma" w:cs="Tahoma"/>
          <w:bCs/>
          <w:iCs/>
          <w:color w:val="000000"/>
          <w:sz w:val="18"/>
          <w:szCs w:val="18"/>
        </w:rPr>
        <w:t>Суммы покупок</w:t>
      </w:r>
      <w:r w:rsidRPr="00D8054F">
        <w:rPr>
          <w:rFonts w:ascii="Tahoma" w:hAnsi="Tahoma" w:cs="Tahoma"/>
          <w:bCs/>
          <w:iCs/>
          <w:color w:val="000000"/>
          <w:sz w:val="18"/>
          <w:szCs w:val="18"/>
        </w:rPr>
        <w:t xml:space="preserve"> по Счету Карты – постоянно повторяющийся в течение всего срока действия </w:t>
      </w:r>
      <w:r>
        <w:rPr>
          <w:rFonts w:ascii="Tahoma" w:hAnsi="Tahoma" w:cs="Tahoma"/>
          <w:bCs/>
          <w:iCs/>
          <w:color w:val="000000"/>
          <w:sz w:val="18"/>
          <w:szCs w:val="18"/>
        </w:rPr>
        <w:t>Договора</w:t>
      </w:r>
      <w:r w:rsidRPr="00D8054F">
        <w:rPr>
          <w:rFonts w:ascii="Tahoma" w:hAnsi="Tahoma" w:cs="Tahoma"/>
          <w:bCs/>
          <w:iCs/>
          <w:color w:val="000000"/>
          <w:sz w:val="18"/>
          <w:szCs w:val="18"/>
        </w:rPr>
        <w:t xml:space="preserve"> период, постоянно равный 31 </w:t>
      </w:r>
      <w:r>
        <w:rPr>
          <w:rFonts w:ascii="Tahoma" w:hAnsi="Tahoma" w:cs="Tahoma"/>
          <w:bCs/>
          <w:iCs/>
          <w:color w:val="000000"/>
          <w:sz w:val="18"/>
          <w:szCs w:val="18"/>
        </w:rPr>
        <w:t xml:space="preserve">(тридцати одному) </w:t>
      </w:r>
      <w:r w:rsidRPr="00D8054F">
        <w:rPr>
          <w:rFonts w:ascii="Tahoma" w:hAnsi="Tahoma" w:cs="Tahoma"/>
          <w:bCs/>
          <w:iCs/>
          <w:color w:val="000000"/>
          <w:sz w:val="18"/>
          <w:szCs w:val="18"/>
        </w:rPr>
        <w:t xml:space="preserve">календарному дню и постоянно оканчивающийся в день, предшествующий предпоследнему дню каждого календарного месяца. Первый период также состоит из 31 </w:t>
      </w:r>
      <w:r>
        <w:rPr>
          <w:rFonts w:ascii="Tahoma" w:hAnsi="Tahoma" w:cs="Tahoma"/>
          <w:bCs/>
          <w:iCs/>
          <w:color w:val="000000"/>
          <w:sz w:val="18"/>
          <w:szCs w:val="18"/>
        </w:rPr>
        <w:t xml:space="preserve">(тридцати одного) </w:t>
      </w:r>
      <w:r w:rsidRPr="00D8054F">
        <w:rPr>
          <w:rFonts w:ascii="Tahoma" w:hAnsi="Tahoma" w:cs="Tahoma"/>
          <w:bCs/>
          <w:iCs/>
          <w:color w:val="000000"/>
          <w:sz w:val="18"/>
          <w:szCs w:val="18"/>
        </w:rPr>
        <w:t>календарного дня и оканчивается в день, предшествующий предпоследнему дню месяца, в котором заключен Договор.</w:t>
      </w:r>
    </w:p>
  </w:footnote>
  <w:footnote w:id="225">
    <w:p w14:paraId="214571AD" w14:textId="77777777" w:rsidR="00F46A82" w:rsidRDefault="00F46A82" w:rsidP="00F46A82">
      <w:pPr>
        <w:pStyle w:val="aff1"/>
      </w:pPr>
      <w:r w:rsidRPr="000508A6">
        <w:rPr>
          <w:rFonts w:ascii="Tahoma" w:hAnsi="Tahoma" w:cs="Tahoma"/>
          <w:bCs/>
          <w:iCs/>
          <w:color w:val="000000"/>
          <w:sz w:val="18"/>
          <w:szCs w:val="18"/>
          <w:vertAlign w:val="superscript"/>
        </w:rPr>
        <w:footnoteRef/>
      </w:r>
      <w:r w:rsidRPr="000508A6">
        <w:rPr>
          <w:rFonts w:ascii="Tahoma" w:hAnsi="Tahoma" w:cs="Tahoma"/>
          <w:bCs/>
          <w:iCs/>
          <w:color w:val="000000"/>
          <w:sz w:val="18"/>
          <w:szCs w:val="18"/>
        </w:rPr>
        <w:t>Размеры процентных ставок определяются Тарифами Банка. В случае внесения изменений в Тарифы Банка Банк информирует Клиента в порядке</w:t>
      </w:r>
      <w:r>
        <w:rPr>
          <w:rFonts w:ascii="Tahoma" w:hAnsi="Tahoma" w:cs="Tahoma"/>
          <w:bCs/>
          <w:iCs/>
          <w:color w:val="000000"/>
          <w:sz w:val="18"/>
          <w:szCs w:val="18"/>
        </w:rPr>
        <w:t>, предусмотренном Договором</w:t>
      </w:r>
      <w:r w:rsidRPr="000508A6">
        <w:rPr>
          <w:rFonts w:ascii="Tahoma" w:hAnsi="Tahoma" w:cs="Tahoma"/>
          <w:bCs/>
          <w:iCs/>
          <w:color w:val="000000"/>
          <w:sz w:val="18"/>
          <w:szCs w:val="18"/>
        </w:rPr>
        <w:t>.</w:t>
      </w:r>
    </w:p>
  </w:footnote>
  <w:footnote w:id="226">
    <w:p w14:paraId="0026C621" w14:textId="77777777" w:rsidR="00F46A82" w:rsidRDefault="00F46A82" w:rsidP="00F46A82">
      <w:pPr>
        <w:pStyle w:val="aff1"/>
        <w:jc w:val="both"/>
      </w:pPr>
      <w:r w:rsidRPr="005D7318">
        <w:rPr>
          <w:rFonts w:ascii="Tahoma" w:hAnsi="Tahoma" w:cs="Tahoma"/>
          <w:bCs/>
          <w:iCs/>
          <w:color w:val="000000"/>
          <w:sz w:val="18"/>
          <w:szCs w:val="18"/>
          <w:vertAlign w:val="superscript"/>
        </w:rPr>
        <w:footnoteRef/>
      </w:r>
      <w:r>
        <w:rPr>
          <w:rFonts w:ascii="Tahoma" w:hAnsi="Tahoma" w:cs="Tahoma"/>
          <w:bCs/>
          <w:iCs/>
          <w:color w:val="000000"/>
          <w:sz w:val="18"/>
          <w:szCs w:val="18"/>
        </w:rPr>
        <w:t>Выдача денежных средств</w:t>
      </w:r>
      <w:r w:rsidRPr="005D7318">
        <w:rPr>
          <w:rFonts w:ascii="Tahoma" w:hAnsi="Tahoma" w:cs="Tahoma"/>
          <w:bCs/>
          <w:iCs/>
          <w:color w:val="000000"/>
          <w:sz w:val="18"/>
          <w:szCs w:val="18"/>
        </w:rPr>
        <w:t xml:space="preserve"> </w:t>
      </w:r>
      <w:r>
        <w:rPr>
          <w:rFonts w:ascii="Tahoma" w:hAnsi="Tahoma" w:cs="Tahoma"/>
          <w:bCs/>
          <w:iCs/>
          <w:color w:val="000000"/>
          <w:sz w:val="18"/>
          <w:szCs w:val="18"/>
        </w:rPr>
        <w:t>в случаях, установленных законодательством Российской Федерации, а также</w:t>
      </w:r>
      <w:r w:rsidRPr="005D7318">
        <w:rPr>
          <w:rFonts w:ascii="Tahoma" w:hAnsi="Tahoma" w:cs="Tahoma"/>
          <w:bCs/>
          <w:iCs/>
          <w:color w:val="000000"/>
          <w:sz w:val="18"/>
          <w:szCs w:val="18"/>
        </w:rPr>
        <w:t xml:space="preserve"> поступивших: в качестве заработной платы Клиента и/или по кредитным договорам Клиента с Банком</w:t>
      </w:r>
      <w:r>
        <w:rPr>
          <w:rFonts w:ascii="Tahoma" w:hAnsi="Tahoma" w:cs="Tahoma"/>
          <w:bCs/>
          <w:iCs/>
          <w:color w:val="000000"/>
          <w:sz w:val="18"/>
          <w:szCs w:val="18"/>
        </w:rPr>
        <w:t>, и/или</w:t>
      </w:r>
      <w:r w:rsidRPr="005D7318">
        <w:rPr>
          <w:rFonts w:ascii="Tahoma" w:hAnsi="Tahoma" w:cs="Tahoma"/>
          <w:bCs/>
          <w:iCs/>
          <w:color w:val="000000"/>
          <w:sz w:val="18"/>
          <w:szCs w:val="18"/>
        </w:rPr>
        <w:t xml:space="preserve"> в результате конверсии валют</w:t>
      </w:r>
      <w:r>
        <w:rPr>
          <w:rFonts w:ascii="Tahoma" w:hAnsi="Tahoma" w:cs="Tahoma"/>
          <w:bCs/>
          <w:iCs/>
          <w:color w:val="000000"/>
          <w:sz w:val="18"/>
          <w:szCs w:val="18"/>
        </w:rPr>
        <w:t xml:space="preserve"> </w:t>
      </w:r>
      <w:r w:rsidRPr="005D7318">
        <w:rPr>
          <w:rFonts w:ascii="Tahoma" w:hAnsi="Tahoma" w:cs="Tahoma"/>
          <w:bCs/>
          <w:iCs/>
          <w:color w:val="000000"/>
          <w:sz w:val="18"/>
          <w:szCs w:val="18"/>
        </w:rPr>
        <w:t>– осуществляется без комиссии.</w:t>
      </w:r>
    </w:p>
  </w:footnote>
  <w:footnote w:id="227">
    <w:p w14:paraId="6A8B9004" w14:textId="77777777" w:rsidR="00F46A82" w:rsidRPr="00401CF1" w:rsidRDefault="00F46A82" w:rsidP="00F46A82">
      <w:pPr>
        <w:pStyle w:val="Default"/>
        <w:jc w:val="both"/>
        <w:rPr>
          <w:rFonts w:ascii="Tahoma" w:eastAsia="Times New Roman" w:hAnsi="Tahoma" w:cs="Tahoma"/>
          <w:bCs/>
          <w:iCs/>
          <w:color w:val="auto"/>
          <w:sz w:val="18"/>
          <w:szCs w:val="18"/>
          <w:lang w:eastAsia="ru-RU"/>
        </w:rPr>
      </w:pPr>
      <w:r w:rsidRPr="00F6504C">
        <w:rPr>
          <w:rStyle w:val="aff3"/>
          <w:rFonts w:ascii="Tahoma" w:hAnsi="Tahoma" w:cs="Tahoma"/>
          <w:sz w:val="20"/>
        </w:rPr>
        <w:footnoteRef/>
      </w:r>
      <w:r w:rsidRPr="00F1296D">
        <w:rPr>
          <w:rFonts w:ascii="Tahoma" w:hAnsi="Tahoma" w:cs="Tahoma"/>
          <w:sz w:val="18"/>
          <w:szCs w:val="18"/>
        </w:rPr>
        <w:t>Термины, значение которых не приведено в Программе, применяются в значении, определенном в Универсальном договоре банковского обслуживания (по тексту – УДБО), размещенном на Сайте Банка www.atb.su, в Подразделениях Банка, Интернет-Банке и Мобильном Банке</w:t>
      </w:r>
      <w:r>
        <w:rPr>
          <w:rFonts w:ascii="Tahoma" w:hAnsi="Tahoma" w:cs="Tahoma"/>
          <w:sz w:val="18"/>
          <w:szCs w:val="18"/>
        </w:rPr>
        <w:t>.</w:t>
      </w:r>
    </w:p>
  </w:footnote>
  <w:footnote w:id="228">
    <w:p w14:paraId="0720D3DB" w14:textId="77777777" w:rsidR="00F46A82" w:rsidRPr="008062F7" w:rsidRDefault="00F46A82" w:rsidP="00F46A82">
      <w:pPr>
        <w:tabs>
          <w:tab w:val="left" w:pos="284"/>
        </w:tabs>
        <w:jc w:val="both"/>
        <w:rPr>
          <w:rFonts w:ascii="Tahoma" w:hAnsi="Tahoma" w:cs="Tahoma"/>
          <w:sz w:val="18"/>
          <w:szCs w:val="18"/>
        </w:rPr>
      </w:pPr>
      <w:r w:rsidRPr="00401CF1">
        <w:rPr>
          <w:rFonts w:ascii="Tahoma" w:hAnsi="Tahoma" w:cs="Tahoma"/>
          <w:sz w:val="18"/>
          <w:szCs w:val="18"/>
          <w:vertAlign w:val="superscript"/>
        </w:rPr>
        <w:footnoteRef/>
      </w:r>
      <w:r w:rsidRPr="008062F7">
        <w:rPr>
          <w:rFonts w:ascii="Tahoma" w:hAnsi="Tahoma" w:cs="Tahoma"/>
          <w:sz w:val="18"/>
          <w:szCs w:val="18"/>
        </w:rPr>
        <w:t>Операции с денежными средствами на валютных счетах</w:t>
      </w:r>
      <w:r>
        <w:rPr>
          <w:rFonts w:ascii="Tahoma" w:hAnsi="Tahoma" w:cs="Tahoma"/>
          <w:sz w:val="18"/>
          <w:szCs w:val="18"/>
        </w:rPr>
        <w:t xml:space="preserve"> и</w:t>
      </w:r>
      <w:r w:rsidRPr="008062F7">
        <w:rPr>
          <w:rFonts w:ascii="Tahoma" w:hAnsi="Tahoma" w:cs="Tahoma"/>
          <w:sz w:val="18"/>
          <w:szCs w:val="18"/>
        </w:rPr>
        <w:t xml:space="preserve"> вкладах Клиентов</w:t>
      </w:r>
      <w:r>
        <w:rPr>
          <w:rFonts w:ascii="Tahoma" w:hAnsi="Tahoma" w:cs="Tahoma"/>
          <w:sz w:val="18"/>
          <w:szCs w:val="18"/>
        </w:rPr>
        <w:t xml:space="preserve"> </w:t>
      </w:r>
      <w:r w:rsidRPr="008062F7">
        <w:rPr>
          <w:rFonts w:ascii="Tahoma" w:hAnsi="Tahoma" w:cs="Tahoma"/>
          <w:sz w:val="18"/>
          <w:szCs w:val="18"/>
        </w:rPr>
        <w:t>осуществляются при соблюдении установленных законодательством Российской Федерации (в том числе актами Центрального банка РФ, иных уполномоченных лиц/органов, действующих на территории Российской Федерации), ограничений/условий.</w:t>
      </w:r>
    </w:p>
  </w:footnote>
  <w:footnote w:id="229">
    <w:p w14:paraId="116C37BA" w14:textId="77777777" w:rsidR="00F46A82" w:rsidRPr="008062F7" w:rsidRDefault="00F46A82" w:rsidP="00F46A82">
      <w:pPr>
        <w:pStyle w:val="aff1"/>
        <w:jc w:val="both"/>
        <w:rPr>
          <w:rFonts w:ascii="Tahoma" w:hAnsi="Tahoma" w:cs="Tahoma"/>
          <w:sz w:val="18"/>
          <w:szCs w:val="18"/>
        </w:rPr>
      </w:pPr>
      <w:r w:rsidRPr="00401CF1">
        <w:rPr>
          <w:rFonts w:ascii="Tahoma" w:hAnsi="Tahoma" w:cs="Tahoma"/>
          <w:sz w:val="18"/>
          <w:szCs w:val="18"/>
          <w:vertAlign w:val="superscript"/>
        </w:rPr>
        <w:footnoteRef/>
      </w:r>
      <w:r>
        <w:rPr>
          <w:rFonts w:ascii="Tahoma" w:hAnsi="Tahoma" w:cs="Tahoma"/>
          <w:sz w:val="18"/>
          <w:szCs w:val="18"/>
        </w:rPr>
        <w:t>Накопительный счет</w:t>
      </w:r>
      <w:r w:rsidRPr="008062F7">
        <w:rPr>
          <w:rFonts w:ascii="Tahoma" w:hAnsi="Tahoma" w:cs="Tahoma"/>
          <w:sz w:val="18"/>
          <w:szCs w:val="18"/>
        </w:rPr>
        <w:t xml:space="preserve"> – </w:t>
      </w:r>
      <w:r>
        <w:rPr>
          <w:rFonts w:ascii="Tahoma" w:hAnsi="Tahoma" w:cs="Tahoma"/>
          <w:sz w:val="18"/>
          <w:szCs w:val="18"/>
        </w:rPr>
        <w:t xml:space="preserve">Текущий банковский счет для совершения операций, не связанных с предпринимательской деятельностью или частной практикой, условия которого предусматривают начисление процентов на Ежедневный остаток денежных средств, размещенных на Накопительном счете. </w:t>
      </w:r>
    </w:p>
  </w:footnote>
  <w:footnote w:id="230">
    <w:p w14:paraId="7FA292C3" w14:textId="77777777" w:rsidR="00F46A82" w:rsidRPr="00860D0C" w:rsidRDefault="00F46A82" w:rsidP="00F46A82">
      <w:pPr>
        <w:pStyle w:val="aff1"/>
        <w:rPr>
          <w:rFonts w:ascii="Tahoma" w:hAnsi="Tahoma" w:cs="Tahoma"/>
          <w:bCs/>
          <w:iCs/>
          <w:color w:val="000000"/>
          <w:sz w:val="18"/>
          <w:szCs w:val="18"/>
        </w:rPr>
      </w:pPr>
      <w:r>
        <w:rPr>
          <w:rStyle w:val="aff3"/>
        </w:rPr>
        <w:footnoteRef/>
      </w:r>
      <w:r>
        <w:rPr>
          <w:rFonts w:ascii="Tahoma" w:hAnsi="Tahoma" w:cs="Tahoma"/>
          <w:bCs/>
          <w:iCs/>
          <w:color w:val="000000"/>
          <w:sz w:val="18"/>
          <w:szCs w:val="18"/>
        </w:rPr>
        <w:t>Ежедневный остаток –</w:t>
      </w:r>
      <w:r w:rsidRPr="00F32484">
        <w:rPr>
          <w:rFonts w:ascii="Tahoma" w:hAnsi="Tahoma" w:cs="Tahoma"/>
          <w:bCs/>
          <w:iCs/>
          <w:color w:val="000000"/>
          <w:sz w:val="18"/>
          <w:szCs w:val="18"/>
        </w:rPr>
        <w:t xml:space="preserve"> это совокупный баланс денежных средств на Накопительном счете, рассчитанный путем сложен</w:t>
      </w:r>
      <w:r>
        <w:rPr>
          <w:rFonts w:ascii="Tahoma" w:hAnsi="Tahoma" w:cs="Tahoma"/>
          <w:bCs/>
          <w:iCs/>
          <w:color w:val="000000"/>
          <w:sz w:val="18"/>
          <w:szCs w:val="18"/>
        </w:rPr>
        <w:t xml:space="preserve">ия ежедневных входящих остатков </w:t>
      </w:r>
      <w:r w:rsidRPr="00F32484">
        <w:rPr>
          <w:rFonts w:ascii="Tahoma" w:hAnsi="Tahoma" w:cs="Tahoma"/>
          <w:bCs/>
          <w:iCs/>
          <w:color w:val="000000"/>
          <w:sz w:val="18"/>
          <w:szCs w:val="18"/>
        </w:rPr>
        <w:t>денежных средств на Накопительном счете Клиента в течени</w:t>
      </w:r>
      <w:r>
        <w:rPr>
          <w:rFonts w:ascii="Tahoma" w:hAnsi="Tahoma" w:cs="Tahoma"/>
          <w:bCs/>
          <w:iCs/>
          <w:color w:val="000000"/>
          <w:sz w:val="18"/>
          <w:szCs w:val="18"/>
        </w:rPr>
        <w:t>е Отчетного периода</w:t>
      </w:r>
      <w:r w:rsidRPr="00F32484">
        <w:rPr>
          <w:rFonts w:ascii="Tahoma" w:hAnsi="Tahoma" w:cs="Tahoma"/>
          <w:bCs/>
          <w:iCs/>
          <w:color w:val="000000"/>
          <w:sz w:val="18"/>
          <w:szCs w:val="18"/>
        </w:rPr>
        <w:t xml:space="preserve"> и деления этой суммы на количество дней </w:t>
      </w:r>
      <w:r>
        <w:rPr>
          <w:rFonts w:ascii="Tahoma" w:hAnsi="Tahoma" w:cs="Tahoma"/>
          <w:bCs/>
          <w:iCs/>
          <w:color w:val="000000"/>
          <w:sz w:val="18"/>
          <w:szCs w:val="18"/>
        </w:rPr>
        <w:t xml:space="preserve">в этом месяце. Первый Отчетный период </w:t>
      </w:r>
      <w:r w:rsidRPr="00F32484">
        <w:rPr>
          <w:rFonts w:ascii="Tahoma" w:hAnsi="Tahoma" w:cs="Tahoma"/>
          <w:bCs/>
          <w:iCs/>
          <w:color w:val="000000"/>
          <w:sz w:val="18"/>
          <w:szCs w:val="18"/>
        </w:rPr>
        <w:t xml:space="preserve">исчисляется со дня, следующего за днем поступления денежных средств на указанный в настоящем пункте Накопительный счет по последний </w:t>
      </w:r>
      <w:r>
        <w:rPr>
          <w:rFonts w:ascii="Tahoma" w:hAnsi="Tahoma" w:cs="Tahoma"/>
          <w:bCs/>
          <w:iCs/>
          <w:color w:val="000000"/>
          <w:sz w:val="18"/>
          <w:szCs w:val="18"/>
        </w:rPr>
        <w:t xml:space="preserve">день </w:t>
      </w:r>
      <w:r w:rsidRPr="00F32484">
        <w:rPr>
          <w:rFonts w:ascii="Tahoma" w:hAnsi="Tahoma" w:cs="Tahoma"/>
          <w:bCs/>
          <w:iCs/>
          <w:color w:val="000000"/>
          <w:sz w:val="18"/>
          <w:szCs w:val="18"/>
        </w:rPr>
        <w:t>ка</w:t>
      </w:r>
      <w:r>
        <w:rPr>
          <w:rFonts w:ascii="Tahoma" w:hAnsi="Tahoma" w:cs="Tahoma"/>
          <w:bCs/>
          <w:iCs/>
          <w:color w:val="000000"/>
          <w:sz w:val="18"/>
          <w:szCs w:val="18"/>
        </w:rPr>
        <w:t>лендарного месяца (включительно). Последующие Отчетные п</w:t>
      </w:r>
      <w:r w:rsidRPr="00F32484">
        <w:rPr>
          <w:rFonts w:ascii="Tahoma" w:hAnsi="Tahoma" w:cs="Tahoma"/>
          <w:bCs/>
          <w:iCs/>
          <w:color w:val="000000"/>
          <w:sz w:val="18"/>
          <w:szCs w:val="18"/>
        </w:rPr>
        <w:t>ериоды исчисляются ежемесячно с 1-го числа каждого календарного месяца по последн</w:t>
      </w:r>
      <w:r>
        <w:rPr>
          <w:rFonts w:ascii="Tahoma" w:hAnsi="Tahoma" w:cs="Tahoma"/>
          <w:bCs/>
          <w:iCs/>
          <w:color w:val="000000"/>
          <w:sz w:val="18"/>
          <w:szCs w:val="18"/>
        </w:rPr>
        <w:t>ее число</w:t>
      </w:r>
      <w:r w:rsidRPr="00F32484">
        <w:rPr>
          <w:rFonts w:ascii="Tahoma" w:hAnsi="Tahoma" w:cs="Tahoma"/>
          <w:bCs/>
          <w:iCs/>
          <w:color w:val="000000"/>
          <w:sz w:val="18"/>
          <w:szCs w:val="18"/>
        </w:rPr>
        <w:t xml:space="preserve"> календарн</w:t>
      </w:r>
      <w:r>
        <w:rPr>
          <w:rFonts w:ascii="Tahoma" w:hAnsi="Tahoma" w:cs="Tahoma"/>
          <w:bCs/>
          <w:iCs/>
          <w:color w:val="000000"/>
          <w:sz w:val="18"/>
          <w:szCs w:val="18"/>
        </w:rPr>
        <w:t>ого</w:t>
      </w:r>
      <w:r w:rsidRPr="00F32484">
        <w:rPr>
          <w:rFonts w:ascii="Tahoma" w:hAnsi="Tahoma" w:cs="Tahoma"/>
          <w:bCs/>
          <w:iCs/>
          <w:color w:val="000000"/>
          <w:sz w:val="18"/>
          <w:szCs w:val="18"/>
        </w:rPr>
        <w:t xml:space="preserve"> месяц</w:t>
      </w:r>
      <w:r>
        <w:rPr>
          <w:rFonts w:ascii="Tahoma" w:hAnsi="Tahoma" w:cs="Tahoma"/>
          <w:bCs/>
          <w:iCs/>
          <w:color w:val="000000"/>
          <w:sz w:val="18"/>
          <w:szCs w:val="18"/>
        </w:rPr>
        <w:t>а</w:t>
      </w:r>
      <w:r w:rsidRPr="00F32484">
        <w:rPr>
          <w:rFonts w:ascii="Tahoma" w:hAnsi="Tahoma" w:cs="Tahoma"/>
          <w:bCs/>
          <w:iCs/>
          <w:color w:val="000000"/>
          <w:sz w:val="18"/>
          <w:szCs w:val="18"/>
        </w:rPr>
        <w:t xml:space="preserve"> (включительно). Вып</w:t>
      </w:r>
      <w:r>
        <w:rPr>
          <w:rFonts w:ascii="Tahoma" w:hAnsi="Tahoma" w:cs="Tahoma"/>
          <w:bCs/>
          <w:iCs/>
          <w:color w:val="000000"/>
          <w:sz w:val="18"/>
          <w:szCs w:val="18"/>
        </w:rPr>
        <w:t xml:space="preserve">лата Банком Клиенту начисленных </w:t>
      </w:r>
      <w:r w:rsidRPr="00F32484">
        <w:rPr>
          <w:rFonts w:ascii="Tahoma" w:hAnsi="Tahoma" w:cs="Tahoma"/>
          <w:bCs/>
          <w:iCs/>
          <w:color w:val="000000"/>
          <w:sz w:val="18"/>
          <w:szCs w:val="18"/>
        </w:rPr>
        <w:t xml:space="preserve">процентов производится на Накопительный счет в последний день </w:t>
      </w:r>
      <w:r>
        <w:rPr>
          <w:rFonts w:ascii="Tahoma" w:hAnsi="Tahoma" w:cs="Tahoma"/>
          <w:bCs/>
          <w:iCs/>
          <w:color w:val="000000"/>
          <w:sz w:val="18"/>
          <w:szCs w:val="18"/>
        </w:rPr>
        <w:t xml:space="preserve">календарного </w:t>
      </w:r>
      <w:r w:rsidRPr="00F32484">
        <w:rPr>
          <w:rFonts w:ascii="Tahoma" w:hAnsi="Tahoma" w:cs="Tahoma"/>
          <w:bCs/>
          <w:iCs/>
          <w:color w:val="000000"/>
          <w:sz w:val="18"/>
          <w:szCs w:val="18"/>
        </w:rPr>
        <w:t>месяца.</w:t>
      </w:r>
    </w:p>
  </w:footnote>
  <w:footnote w:id="231">
    <w:p w14:paraId="1AE54BE3" w14:textId="77777777" w:rsidR="00F46A82" w:rsidRDefault="00F46A82" w:rsidP="00F46A82">
      <w:pPr>
        <w:pStyle w:val="aff1"/>
      </w:pPr>
      <w:r>
        <w:rPr>
          <w:rStyle w:val="aff3"/>
        </w:rPr>
        <w:footnoteRef/>
      </w:r>
      <w:r w:rsidRPr="008062F7">
        <w:rPr>
          <w:rFonts w:ascii="Tahoma" w:hAnsi="Tahoma" w:cs="Tahoma"/>
          <w:sz w:val="18"/>
          <w:szCs w:val="18"/>
        </w:rPr>
        <w:t xml:space="preserve">Отчетный период – календарный месяц, начинающийся с 1 (первого) </w:t>
      </w:r>
      <w:r>
        <w:rPr>
          <w:rFonts w:ascii="Tahoma" w:hAnsi="Tahoma" w:cs="Tahoma"/>
          <w:sz w:val="18"/>
          <w:szCs w:val="18"/>
        </w:rPr>
        <w:t xml:space="preserve">по последнее </w:t>
      </w:r>
      <w:r w:rsidRPr="008062F7">
        <w:rPr>
          <w:rFonts w:ascii="Tahoma" w:hAnsi="Tahoma" w:cs="Tahoma"/>
          <w:sz w:val="18"/>
          <w:szCs w:val="18"/>
        </w:rPr>
        <w:t>числ</w:t>
      </w:r>
      <w:r>
        <w:rPr>
          <w:rFonts w:ascii="Tahoma" w:hAnsi="Tahoma" w:cs="Tahoma"/>
          <w:sz w:val="18"/>
          <w:szCs w:val="18"/>
        </w:rPr>
        <w:t>о</w:t>
      </w:r>
      <w:r w:rsidRPr="008062F7">
        <w:rPr>
          <w:rFonts w:ascii="Tahoma" w:hAnsi="Tahoma" w:cs="Tahoma"/>
          <w:sz w:val="18"/>
          <w:szCs w:val="18"/>
        </w:rPr>
        <w:t xml:space="preserve"> месяца.</w:t>
      </w:r>
    </w:p>
  </w:footnote>
  <w:footnote w:id="232">
    <w:p w14:paraId="699CFF7B" w14:textId="77777777" w:rsidR="00F46A82" w:rsidRPr="00211186" w:rsidRDefault="00F46A82" w:rsidP="00F46A82">
      <w:pPr>
        <w:pStyle w:val="aff1"/>
        <w:jc w:val="both"/>
        <w:rPr>
          <w:rFonts w:ascii="Tahoma" w:hAnsi="Tahoma" w:cs="Tahoma"/>
          <w:bCs/>
          <w:iCs/>
          <w:color w:val="000000"/>
          <w:sz w:val="18"/>
          <w:szCs w:val="18"/>
        </w:rPr>
      </w:pPr>
      <w:r w:rsidRPr="00211186">
        <w:rPr>
          <w:rStyle w:val="aff3"/>
          <w:rFonts w:ascii="Tahoma" w:hAnsi="Tahoma" w:cs="Tahoma"/>
          <w:sz w:val="18"/>
        </w:rPr>
        <w:footnoteRef/>
      </w:r>
      <w:r>
        <w:rPr>
          <w:rFonts w:ascii="Tahoma" w:hAnsi="Tahoma" w:cs="Tahoma"/>
          <w:bCs/>
          <w:iCs/>
          <w:color w:val="000000"/>
          <w:sz w:val="18"/>
          <w:szCs w:val="18"/>
        </w:rPr>
        <w:t xml:space="preserve">Сумма покупок по Карте </w:t>
      </w:r>
      <w:r w:rsidRPr="00F756E1">
        <w:rPr>
          <w:rFonts w:ascii="Tahoma" w:hAnsi="Tahoma" w:cs="Tahoma"/>
          <w:bCs/>
          <w:iCs/>
          <w:color w:val="000000"/>
          <w:sz w:val="18"/>
          <w:szCs w:val="18"/>
        </w:rPr>
        <w:t xml:space="preserve">– это сумма </w:t>
      </w:r>
      <w:r>
        <w:rPr>
          <w:rFonts w:ascii="Tahoma" w:hAnsi="Tahoma" w:cs="Tahoma"/>
          <w:bCs/>
          <w:iCs/>
          <w:color w:val="000000"/>
          <w:sz w:val="18"/>
          <w:szCs w:val="18"/>
        </w:rPr>
        <w:t>транзакций</w:t>
      </w:r>
      <w:r w:rsidRPr="00F756E1">
        <w:rPr>
          <w:rFonts w:ascii="Tahoma" w:hAnsi="Tahoma" w:cs="Tahoma"/>
          <w:bCs/>
          <w:iCs/>
          <w:color w:val="000000"/>
          <w:sz w:val="18"/>
          <w:szCs w:val="18"/>
        </w:rPr>
        <w:t xml:space="preserve">, совершенных Клиентом (за </w:t>
      </w:r>
      <w:r>
        <w:rPr>
          <w:rFonts w:ascii="Tahoma" w:hAnsi="Tahoma" w:cs="Tahoma"/>
          <w:bCs/>
          <w:iCs/>
          <w:color w:val="000000"/>
          <w:sz w:val="18"/>
          <w:szCs w:val="18"/>
        </w:rPr>
        <w:t>П</w:t>
      </w:r>
      <w:r w:rsidRPr="00F756E1">
        <w:rPr>
          <w:rFonts w:ascii="Tahoma" w:hAnsi="Tahoma" w:cs="Tahoma"/>
          <w:bCs/>
          <w:iCs/>
          <w:color w:val="000000"/>
          <w:sz w:val="18"/>
          <w:szCs w:val="18"/>
        </w:rPr>
        <w:t xml:space="preserve">ериод) при </w:t>
      </w:r>
      <w:r>
        <w:rPr>
          <w:rFonts w:ascii="Tahoma" w:hAnsi="Tahoma" w:cs="Tahoma"/>
          <w:bCs/>
          <w:iCs/>
          <w:color w:val="000000"/>
          <w:sz w:val="18"/>
          <w:szCs w:val="18"/>
        </w:rPr>
        <w:t xml:space="preserve">оплате товаров (услуг, </w:t>
      </w:r>
      <w:r w:rsidRPr="00F756E1">
        <w:rPr>
          <w:rFonts w:ascii="Tahoma" w:hAnsi="Tahoma" w:cs="Tahoma"/>
          <w:bCs/>
          <w:iCs/>
          <w:color w:val="000000"/>
          <w:sz w:val="18"/>
          <w:szCs w:val="18"/>
        </w:rPr>
        <w:t>работ, результатов интеллектуальной</w:t>
      </w:r>
      <w:r>
        <w:rPr>
          <w:rFonts w:ascii="Tahoma" w:hAnsi="Tahoma" w:cs="Tahoma"/>
          <w:bCs/>
          <w:iCs/>
          <w:color w:val="000000"/>
          <w:sz w:val="18"/>
          <w:szCs w:val="18"/>
        </w:rPr>
        <w:t xml:space="preserve"> деятельности) </w:t>
      </w:r>
      <w:r w:rsidRPr="00F756E1">
        <w:rPr>
          <w:rFonts w:ascii="Tahoma" w:hAnsi="Tahoma" w:cs="Tahoma"/>
          <w:bCs/>
          <w:iCs/>
          <w:color w:val="000000"/>
          <w:sz w:val="18"/>
          <w:szCs w:val="18"/>
        </w:rPr>
        <w:t xml:space="preserve">в </w:t>
      </w:r>
      <w:r>
        <w:rPr>
          <w:rFonts w:ascii="Tahoma" w:hAnsi="Tahoma" w:cs="Tahoma"/>
          <w:bCs/>
          <w:iCs/>
          <w:color w:val="000000"/>
          <w:sz w:val="18"/>
          <w:szCs w:val="18"/>
        </w:rPr>
        <w:t xml:space="preserve">торгово-сервисных предприятиях (далее – </w:t>
      </w:r>
      <w:r w:rsidRPr="00F756E1">
        <w:rPr>
          <w:rFonts w:ascii="Tahoma" w:hAnsi="Tahoma" w:cs="Tahoma"/>
          <w:bCs/>
          <w:iCs/>
          <w:color w:val="000000"/>
          <w:sz w:val="18"/>
          <w:szCs w:val="18"/>
        </w:rPr>
        <w:t>ТСП</w:t>
      </w:r>
      <w:r>
        <w:rPr>
          <w:rFonts w:ascii="Tahoma" w:hAnsi="Tahoma" w:cs="Tahoma"/>
          <w:bCs/>
          <w:iCs/>
          <w:color w:val="000000"/>
          <w:sz w:val="18"/>
          <w:szCs w:val="18"/>
        </w:rPr>
        <w:t>)</w:t>
      </w:r>
      <w:r w:rsidRPr="00F756E1">
        <w:rPr>
          <w:rFonts w:ascii="Tahoma" w:hAnsi="Tahoma" w:cs="Tahoma"/>
          <w:bCs/>
          <w:iCs/>
          <w:color w:val="000000"/>
          <w:sz w:val="18"/>
          <w:szCs w:val="18"/>
        </w:rPr>
        <w:t xml:space="preserve"> по </w:t>
      </w:r>
      <w:r>
        <w:rPr>
          <w:rFonts w:ascii="Tahoma" w:hAnsi="Tahoma" w:cs="Tahoma"/>
          <w:bCs/>
          <w:iCs/>
          <w:color w:val="000000"/>
          <w:sz w:val="18"/>
          <w:szCs w:val="18"/>
        </w:rPr>
        <w:t>Карте (основной и/или дополнительной)</w:t>
      </w:r>
      <w:r w:rsidRPr="00F756E1">
        <w:rPr>
          <w:rFonts w:ascii="Tahoma" w:hAnsi="Tahoma" w:cs="Tahoma"/>
          <w:bCs/>
          <w:iCs/>
          <w:color w:val="000000"/>
          <w:sz w:val="18"/>
          <w:szCs w:val="18"/>
        </w:rPr>
        <w:t>, эмитированн</w:t>
      </w:r>
      <w:r>
        <w:rPr>
          <w:rFonts w:ascii="Tahoma" w:hAnsi="Tahoma" w:cs="Tahoma"/>
          <w:bCs/>
          <w:iCs/>
          <w:color w:val="000000"/>
          <w:sz w:val="18"/>
          <w:szCs w:val="18"/>
        </w:rPr>
        <w:t xml:space="preserve">ой </w:t>
      </w:r>
      <w:r w:rsidRPr="00F756E1">
        <w:rPr>
          <w:rFonts w:ascii="Tahoma" w:hAnsi="Tahoma" w:cs="Tahoma"/>
          <w:bCs/>
          <w:iCs/>
          <w:color w:val="000000"/>
          <w:sz w:val="18"/>
          <w:szCs w:val="18"/>
        </w:rPr>
        <w:t>Банком в рамках Программы. В расчет Суммы покупок</w:t>
      </w:r>
      <w:r>
        <w:rPr>
          <w:rFonts w:ascii="Tahoma" w:hAnsi="Tahoma" w:cs="Tahoma"/>
          <w:bCs/>
          <w:iCs/>
          <w:color w:val="000000"/>
          <w:sz w:val="18"/>
          <w:szCs w:val="18"/>
        </w:rPr>
        <w:t xml:space="preserve"> по Карте</w:t>
      </w:r>
      <w:r w:rsidRPr="00F756E1">
        <w:rPr>
          <w:rFonts w:ascii="Tahoma" w:hAnsi="Tahoma" w:cs="Tahoma"/>
          <w:bCs/>
          <w:iCs/>
          <w:color w:val="000000"/>
          <w:sz w:val="18"/>
          <w:szCs w:val="18"/>
        </w:rPr>
        <w:t xml:space="preserve"> принимаются операции, отраженные по балансу Банка. Операции в иностранной валюте принимаются в расчет по курсу Банка на момент их совершения. Денежные переводы со Сч</w:t>
      </w:r>
      <w:r>
        <w:rPr>
          <w:rFonts w:ascii="Tahoma" w:hAnsi="Tahoma" w:cs="Tahoma"/>
          <w:bCs/>
          <w:iCs/>
          <w:color w:val="000000"/>
          <w:sz w:val="18"/>
          <w:szCs w:val="18"/>
        </w:rPr>
        <w:t>е</w:t>
      </w:r>
      <w:r w:rsidRPr="00F756E1">
        <w:rPr>
          <w:rFonts w:ascii="Tahoma" w:hAnsi="Tahoma" w:cs="Tahoma"/>
          <w:bCs/>
          <w:iCs/>
          <w:color w:val="000000"/>
          <w:sz w:val="18"/>
          <w:szCs w:val="18"/>
        </w:rPr>
        <w:t>та Карты Клиента между своими счетами или на счета третьих лиц (открытые как в Банке, так и в других кредитных организациях), переводы с карты на карту и квази-кэш, оплата товаров (услуг, работ, результатов интеллектуальной деятельности) в разделе «Платежи» Интернет-Банка и/или Мобильного Банка; платежи и переводы с целью пополнения любых виртуальных и/или электронных кошельков, или иных электронных денежных средств; операции с МСС-кодами: 4829, 6012, 6050, 6529, 6530, 6531, 6532, 6533, 6534, 6536, 6537, 6538, 6051, 6540, 7372, 7399, 7995, 8999</w:t>
      </w:r>
      <w:r>
        <w:rPr>
          <w:rFonts w:ascii="Tahoma" w:hAnsi="Tahoma" w:cs="Tahoma"/>
          <w:bCs/>
          <w:iCs/>
          <w:color w:val="000000"/>
          <w:sz w:val="18"/>
          <w:szCs w:val="18"/>
        </w:rPr>
        <w:t>;</w:t>
      </w:r>
      <w:r w:rsidRPr="00F756E1">
        <w:rPr>
          <w:rFonts w:ascii="Tahoma" w:hAnsi="Tahoma" w:cs="Tahoma"/>
          <w:bCs/>
          <w:iCs/>
          <w:color w:val="000000"/>
          <w:sz w:val="18"/>
          <w:szCs w:val="18"/>
        </w:rPr>
        <w:t xml:space="preserve"> операции с использованием Сист</w:t>
      </w:r>
      <w:r>
        <w:rPr>
          <w:rFonts w:ascii="Tahoma" w:hAnsi="Tahoma" w:cs="Tahoma"/>
          <w:bCs/>
          <w:iCs/>
          <w:color w:val="000000"/>
          <w:sz w:val="18"/>
          <w:szCs w:val="18"/>
        </w:rPr>
        <w:t xml:space="preserve">емы быстрых платежей и СБПэй, в </w:t>
      </w:r>
      <w:r w:rsidRPr="00F756E1">
        <w:rPr>
          <w:rFonts w:ascii="Tahoma" w:hAnsi="Tahoma" w:cs="Tahoma"/>
          <w:bCs/>
          <w:iCs/>
          <w:color w:val="000000"/>
          <w:sz w:val="18"/>
          <w:szCs w:val="18"/>
        </w:rPr>
        <w:t>т.ч. с использованием QR-кодов</w:t>
      </w:r>
      <w:r>
        <w:rPr>
          <w:rFonts w:ascii="Tahoma" w:hAnsi="Tahoma" w:cs="Tahoma"/>
          <w:bCs/>
          <w:iCs/>
          <w:color w:val="000000"/>
          <w:sz w:val="18"/>
          <w:szCs w:val="18"/>
        </w:rPr>
        <w:t>,</w:t>
      </w:r>
      <w:r w:rsidRPr="00F756E1">
        <w:rPr>
          <w:rFonts w:ascii="Tahoma" w:hAnsi="Tahoma" w:cs="Tahoma"/>
          <w:bCs/>
          <w:iCs/>
          <w:color w:val="000000"/>
          <w:sz w:val="18"/>
          <w:szCs w:val="18"/>
        </w:rPr>
        <w:t xml:space="preserve"> в расчет суммы покупок не включаются.</w:t>
      </w:r>
    </w:p>
  </w:footnote>
  <w:footnote w:id="233">
    <w:p w14:paraId="4701FE7B" w14:textId="77777777" w:rsidR="00F46A82" w:rsidRDefault="00F46A82" w:rsidP="00F46A82">
      <w:pPr>
        <w:pStyle w:val="aff1"/>
      </w:pPr>
      <w:r w:rsidRPr="00211186">
        <w:rPr>
          <w:rStyle w:val="aff3"/>
          <w:rFonts w:ascii="Tahoma" w:hAnsi="Tahoma" w:cs="Tahoma"/>
          <w:sz w:val="18"/>
        </w:rPr>
        <w:footnoteRef/>
      </w:r>
      <w:r w:rsidRPr="00211186">
        <w:rPr>
          <w:rFonts w:ascii="Tahoma" w:hAnsi="Tahoma" w:cs="Tahoma"/>
          <w:bCs/>
          <w:iCs/>
          <w:color w:val="000000"/>
          <w:sz w:val="18"/>
          <w:szCs w:val="18"/>
        </w:rPr>
        <w:t xml:space="preserve">Период для учета </w:t>
      </w:r>
      <w:r>
        <w:rPr>
          <w:rFonts w:ascii="Tahoma" w:hAnsi="Tahoma" w:cs="Tahoma"/>
          <w:bCs/>
          <w:iCs/>
          <w:color w:val="000000"/>
          <w:sz w:val="18"/>
          <w:szCs w:val="18"/>
        </w:rPr>
        <w:t>Суммы покупок</w:t>
      </w:r>
      <w:r w:rsidRPr="00211186">
        <w:rPr>
          <w:rFonts w:ascii="Tahoma" w:hAnsi="Tahoma" w:cs="Tahoma"/>
          <w:bCs/>
          <w:iCs/>
          <w:color w:val="000000"/>
          <w:sz w:val="18"/>
          <w:szCs w:val="18"/>
        </w:rPr>
        <w:t xml:space="preserve"> по Счету Карты – постоянно повторяющийся в течение всего срока действия </w:t>
      </w:r>
      <w:r>
        <w:rPr>
          <w:rFonts w:ascii="Tahoma" w:hAnsi="Tahoma" w:cs="Tahoma"/>
          <w:bCs/>
          <w:iCs/>
          <w:color w:val="000000"/>
          <w:sz w:val="18"/>
          <w:szCs w:val="18"/>
        </w:rPr>
        <w:t>Договора</w:t>
      </w:r>
      <w:r w:rsidRPr="00211186">
        <w:rPr>
          <w:rFonts w:ascii="Tahoma" w:hAnsi="Tahoma" w:cs="Tahoma"/>
          <w:bCs/>
          <w:iCs/>
          <w:color w:val="000000"/>
          <w:sz w:val="18"/>
          <w:szCs w:val="18"/>
        </w:rPr>
        <w:t xml:space="preserve"> период, постоянно равный 31 </w:t>
      </w:r>
      <w:r>
        <w:rPr>
          <w:rFonts w:ascii="Tahoma" w:hAnsi="Tahoma" w:cs="Tahoma"/>
          <w:bCs/>
          <w:iCs/>
          <w:color w:val="000000"/>
          <w:sz w:val="18"/>
          <w:szCs w:val="18"/>
        </w:rPr>
        <w:t xml:space="preserve">(тридцати одному) </w:t>
      </w:r>
      <w:r w:rsidRPr="00211186">
        <w:rPr>
          <w:rFonts w:ascii="Tahoma" w:hAnsi="Tahoma" w:cs="Tahoma"/>
          <w:bCs/>
          <w:iCs/>
          <w:color w:val="000000"/>
          <w:sz w:val="18"/>
          <w:szCs w:val="18"/>
        </w:rPr>
        <w:t xml:space="preserve">календарному дню и постоянно оканчивающийся в день, предшествующий предпоследнему дню каждого календарного месяца. Первый период также состоит из 31 </w:t>
      </w:r>
      <w:r>
        <w:rPr>
          <w:rFonts w:ascii="Tahoma" w:hAnsi="Tahoma" w:cs="Tahoma"/>
          <w:bCs/>
          <w:iCs/>
          <w:color w:val="000000"/>
          <w:sz w:val="18"/>
          <w:szCs w:val="18"/>
        </w:rPr>
        <w:t xml:space="preserve">(тридцати одного) </w:t>
      </w:r>
      <w:r w:rsidRPr="00211186">
        <w:rPr>
          <w:rFonts w:ascii="Tahoma" w:hAnsi="Tahoma" w:cs="Tahoma"/>
          <w:bCs/>
          <w:iCs/>
          <w:color w:val="000000"/>
          <w:sz w:val="18"/>
          <w:szCs w:val="18"/>
        </w:rPr>
        <w:t>календарного дня и оканчивается в день, предшествующий предпоследнему дню месяца, в котором заключен Договор.</w:t>
      </w:r>
    </w:p>
  </w:footnote>
  <w:footnote w:id="234">
    <w:p w14:paraId="328C84A2" w14:textId="77777777" w:rsidR="00F46A82" w:rsidRDefault="00F46A82" w:rsidP="00F46A82">
      <w:pPr>
        <w:pStyle w:val="aff1"/>
      </w:pPr>
      <w:r w:rsidRPr="000508A6">
        <w:rPr>
          <w:rFonts w:ascii="Tahoma" w:hAnsi="Tahoma" w:cs="Tahoma"/>
          <w:bCs/>
          <w:iCs/>
          <w:color w:val="000000"/>
          <w:sz w:val="18"/>
          <w:szCs w:val="18"/>
          <w:vertAlign w:val="superscript"/>
        </w:rPr>
        <w:footnoteRef/>
      </w:r>
      <w:r w:rsidRPr="000508A6">
        <w:rPr>
          <w:rFonts w:ascii="Tahoma" w:hAnsi="Tahoma" w:cs="Tahoma"/>
          <w:bCs/>
          <w:iCs/>
          <w:color w:val="000000"/>
          <w:sz w:val="18"/>
          <w:szCs w:val="18"/>
        </w:rPr>
        <w:t>Размеры процентных ставок определяются Тарифами Банка. В случае внесения изменений в Тарифы Банка Банк информирует Клиента в порядке</w:t>
      </w:r>
      <w:r>
        <w:rPr>
          <w:rFonts w:ascii="Tahoma" w:hAnsi="Tahoma" w:cs="Tahoma"/>
          <w:bCs/>
          <w:iCs/>
          <w:color w:val="000000"/>
          <w:sz w:val="18"/>
          <w:szCs w:val="18"/>
        </w:rPr>
        <w:t>, предусмотренном Договором</w:t>
      </w:r>
      <w:r w:rsidRPr="000508A6">
        <w:rPr>
          <w:rFonts w:ascii="Tahoma" w:hAnsi="Tahoma" w:cs="Tahoma"/>
          <w:bCs/>
          <w:iCs/>
          <w:color w:val="000000"/>
          <w:sz w:val="18"/>
          <w:szCs w:val="18"/>
        </w:rPr>
        <w:t>.</w:t>
      </w:r>
    </w:p>
  </w:footnote>
  <w:footnote w:id="235">
    <w:p w14:paraId="53C90D6C" w14:textId="77777777" w:rsidR="00F46A82" w:rsidRDefault="00F46A82" w:rsidP="00F46A82">
      <w:pPr>
        <w:pStyle w:val="aff1"/>
        <w:jc w:val="both"/>
      </w:pPr>
      <w:r w:rsidRPr="005D7318">
        <w:rPr>
          <w:rFonts w:ascii="Tahoma" w:hAnsi="Tahoma" w:cs="Tahoma"/>
          <w:bCs/>
          <w:iCs/>
          <w:color w:val="000000"/>
          <w:sz w:val="18"/>
          <w:szCs w:val="18"/>
          <w:vertAlign w:val="superscript"/>
        </w:rPr>
        <w:footnoteRef/>
      </w:r>
      <w:r>
        <w:rPr>
          <w:rFonts w:ascii="Tahoma" w:hAnsi="Tahoma" w:cs="Tahoma"/>
          <w:bCs/>
          <w:iCs/>
          <w:color w:val="000000"/>
          <w:sz w:val="18"/>
          <w:szCs w:val="18"/>
        </w:rPr>
        <w:t>Выдача денежных средств</w:t>
      </w:r>
      <w:r w:rsidRPr="005D7318">
        <w:rPr>
          <w:rFonts w:ascii="Tahoma" w:hAnsi="Tahoma" w:cs="Tahoma"/>
          <w:bCs/>
          <w:iCs/>
          <w:color w:val="000000"/>
          <w:sz w:val="18"/>
          <w:szCs w:val="18"/>
        </w:rPr>
        <w:t xml:space="preserve"> </w:t>
      </w:r>
      <w:r>
        <w:rPr>
          <w:rFonts w:ascii="Tahoma" w:hAnsi="Tahoma" w:cs="Tahoma"/>
          <w:bCs/>
          <w:iCs/>
          <w:color w:val="000000"/>
          <w:sz w:val="18"/>
          <w:szCs w:val="18"/>
        </w:rPr>
        <w:t>в случаях, установленных законодательством Российской Федерации, а также</w:t>
      </w:r>
      <w:r w:rsidRPr="005D7318">
        <w:rPr>
          <w:rFonts w:ascii="Tahoma" w:hAnsi="Tahoma" w:cs="Tahoma"/>
          <w:bCs/>
          <w:iCs/>
          <w:color w:val="000000"/>
          <w:sz w:val="18"/>
          <w:szCs w:val="18"/>
        </w:rPr>
        <w:t xml:space="preserve"> поступивших: в качестве заработной платы Клиента и/или по кредитным договорам Клиента с Банком</w:t>
      </w:r>
      <w:r>
        <w:rPr>
          <w:rFonts w:ascii="Tahoma" w:hAnsi="Tahoma" w:cs="Tahoma"/>
          <w:bCs/>
          <w:iCs/>
          <w:color w:val="000000"/>
          <w:sz w:val="18"/>
          <w:szCs w:val="18"/>
        </w:rPr>
        <w:t>, и/или</w:t>
      </w:r>
      <w:r w:rsidRPr="005D7318">
        <w:rPr>
          <w:rFonts w:ascii="Tahoma" w:hAnsi="Tahoma" w:cs="Tahoma"/>
          <w:bCs/>
          <w:iCs/>
          <w:color w:val="000000"/>
          <w:sz w:val="18"/>
          <w:szCs w:val="18"/>
        </w:rPr>
        <w:t xml:space="preserve"> в результате конверсии валют</w:t>
      </w:r>
      <w:r>
        <w:rPr>
          <w:rFonts w:ascii="Tahoma" w:hAnsi="Tahoma" w:cs="Tahoma"/>
          <w:bCs/>
          <w:iCs/>
          <w:color w:val="000000"/>
          <w:sz w:val="18"/>
          <w:szCs w:val="18"/>
        </w:rPr>
        <w:t xml:space="preserve"> </w:t>
      </w:r>
      <w:r w:rsidRPr="005D7318">
        <w:rPr>
          <w:rFonts w:ascii="Tahoma" w:hAnsi="Tahoma" w:cs="Tahoma"/>
          <w:bCs/>
          <w:iCs/>
          <w:color w:val="000000"/>
          <w:sz w:val="18"/>
          <w:szCs w:val="18"/>
        </w:rPr>
        <w:t>– осуществляется без комиссии.</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354EB"/>
    <w:multiLevelType w:val="multilevel"/>
    <w:tmpl w:val="0460361A"/>
    <w:lvl w:ilvl="0">
      <w:start w:val="4"/>
      <w:numFmt w:val="decimal"/>
      <w:lvlText w:val="%1."/>
      <w:lvlJc w:val="left"/>
      <w:pPr>
        <w:ind w:left="435" w:hanging="435"/>
      </w:pPr>
      <w:rPr>
        <w:rFonts w:hint="default"/>
      </w:rPr>
    </w:lvl>
    <w:lvl w:ilvl="1">
      <w:start w:val="6"/>
      <w:numFmt w:val="decimal"/>
      <w:lvlText w:val="%1.%2."/>
      <w:lvlJc w:val="left"/>
      <w:pPr>
        <w:ind w:left="1145" w:hanging="720"/>
      </w:pPr>
      <w:rPr>
        <w:rFonts w:hint="default"/>
      </w:rPr>
    </w:lvl>
    <w:lvl w:ilvl="2">
      <w:start w:val="1"/>
      <w:numFmt w:val="decimal"/>
      <w:lvlText w:val="%1.%2.%3."/>
      <w:lvlJc w:val="left"/>
      <w:pPr>
        <w:ind w:left="1930" w:hanging="108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 w15:restartNumberingAfterBreak="0">
    <w:nsid w:val="01293F98"/>
    <w:multiLevelType w:val="hybridMultilevel"/>
    <w:tmpl w:val="FBEC5B04"/>
    <w:lvl w:ilvl="0" w:tplc="0419000B">
      <w:start w:val="1"/>
      <w:numFmt w:val="bullet"/>
      <w:lvlText w:val=""/>
      <w:lvlJc w:val="left"/>
      <w:pPr>
        <w:ind w:left="1145" w:hanging="360"/>
      </w:pPr>
      <w:rPr>
        <w:rFonts w:ascii="Wingdings" w:hAnsi="Wingdings"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2" w15:restartNumberingAfterBreak="0">
    <w:nsid w:val="0161022D"/>
    <w:multiLevelType w:val="hybridMultilevel"/>
    <w:tmpl w:val="37F03F68"/>
    <w:lvl w:ilvl="0" w:tplc="0419000B">
      <w:start w:val="1"/>
      <w:numFmt w:val="bullet"/>
      <w:lvlText w:val=""/>
      <w:lvlJc w:val="left"/>
      <w:pPr>
        <w:ind w:left="1200" w:hanging="360"/>
      </w:pPr>
      <w:rPr>
        <w:rFonts w:ascii="Wingdings" w:hAnsi="Wingdings" w:hint="default"/>
      </w:rPr>
    </w:lvl>
    <w:lvl w:ilvl="1" w:tplc="04190003" w:tentative="1">
      <w:start w:val="1"/>
      <w:numFmt w:val="bullet"/>
      <w:lvlText w:val="o"/>
      <w:lvlJc w:val="left"/>
      <w:pPr>
        <w:ind w:left="1920" w:hanging="360"/>
      </w:pPr>
      <w:rPr>
        <w:rFonts w:ascii="Courier New" w:hAnsi="Courier New" w:cs="Courier New" w:hint="default"/>
      </w:rPr>
    </w:lvl>
    <w:lvl w:ilvl="2" w:tplc="04190005" w:tentative="1">
      <w:start w:val="1"/>
      <w:numFmt w:val="bullet"/>
      <w:lvlText w:val=""/>
      <w:lvlJc w:val="left"/>
      <w:pPr>
        <w:ind w:left="2640" w:hanging="360"/>
      </w:pPr>
      <w:rPr>
        <w:rFonts w:ascii="Wingdings" w:hAnsi="Wingdings" w:hint="default"/>
      </w:rPr>
    </w:lvl>
    <w:lvl w:ilvl="3" w:tplc="04190001" w:tentative="1">
      <w:start w:val="1"/>
      <w:numFmt w:val="bullet"/>
      <w:lvlText w:val=""/>
      <w:lvlJc w:val="left"/>
      <w:pPr>
        <w:ind w:left="3360" w:hanging="360"/>
      </w:pPr>
      <w:rPr>
        <w:rFonts w:ascii="Symbol" w:hAnsi="Symbol" w:hint="default"/>
      </w:rPr>
    </w:lvl>
    <w:lvl w:ilvl="4" w:tplc="04190003" w:tentative="1">
      <w:start w:val="1"/>
      <w:numFmt w:val="bullet"/>
      <w:lvlText w:val="o"/>
      <w:lvlJc w:val="left"/>
      <w:pPr>
        <w:ind w:left="4080" w:hanging="360"/>
      </w:pPr>
      <w:rPr>
        <w:rFonts w:ascii="Courier New" w:hAnsi="Courier New" w:cs="Courier New" w:hint="default"/>
      </w:rPr>
    </w:lvl>
    <w:lvl w:ilvl="5" w:tplc="04190005" w:tentative="1">
      <w:start w:val="1"/>
      <w:numFmt w:val="bullet"/>
      <w:lvlText w:val=""/>
      <w:lvlJc w:val="left"/>
      <w:pPr>
        <w:ind w:left="4800" w:hanging="360"/>
      </w:pPr>
      <w:rPr>
        <w:rFonts w:ascii="Wingdings" w:hAnsi="Wingdings" w:hint="default"/>
      </w:rPr>
    </w:lvl>
    <w:lvl w:ilvl="6" w:tplc="04190001" w:tentative="1">
      <w:start w:val="1"/>
      <w:numFmt w:val="bullet"/>
      <w:lvlText w:val=""/>
      <w:lvlJc w:val="left"/>
      <w:pPr>
        <w:ind w:left="5520" w:hanging="360"/>
      </w:pPr>
      <w:rPr>
        <w:rFonts w:ascii="Symbol" w:hAnsi="Symbol" w:hint="default"/>
      </w:rPr>
    </w:lvl>
    <w:lvl w:ilvl="7" w:tplc="04190003" w:tentative="1">
      <w:start w:val="1"/>
      <w:numFmt w:val="bullet"/>
      <w:lvlText w:val="o"/>
      <w:lvlJc w:val="left"/>
      <w:pPr>
        <w:ind w:left="6240" w:hanging="360"/>
      </w:pPr>
      <w:rPr>
        <w:rFonts w:ascii="Courier New" w:hAnsi="Courier New" w:cs="Courier New" w:hint="default"/>
      </w:rPr>
    </w:lvl>
    <w:lvl w:ilvl="8" w:tplc="04190005" w:tentative="1">
      <w:start w:val="1"/>
      <w:numFmt w:val="bullet"/>
      <w:lvlText w:val=""/>
      <w:lvlJc w:val="left"/>
      <w:pPr>
        <w:ind w:left="6960" w:hanging="360"/>
      </w:pPr>
      <w:rPr>
        <w:rFonts w:ascii="Wingdings" w:hAnsi="Wingdings" w:hint="default"/>
      </w:rPr>
    </w:lvl>
  </w:abstractNum>
  <w:abstractNum w:abstractNumId="3" w15:restartNumberingAfterBreak="0">
    <w:nsid w:val="016F3D58"/>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18E4B14"/>
    <w:multiLevelType w:val="hybridMultilevel"/>
    <w:tmpl w:val="83F4A830"/>
    <w:lvl w:ilvl="0" w:tplc="35463B18">
      <w:start w:val="1"/>
      <w:numFmt w:val="decimal"/>
      <w:lvlText w:val="%1."/>
      <w:lvlJc w:val="left"/>
      <w:pPr>
        <w:ind w:left="153" w:hanging="360"/>
      </w:pPr>
      <w:rPr>
        <w:rFonts w:hint="default"/>
      </w:rPr>
    </w:lvl>
    <w:lvl w:ilvl="1" w:tplc="04190019" w:tentative="1">
      <w:start w:val="1"/>
      <w:numFmt w:val="lowerLetter"/>
      <w:lvlText w:val="%2."/>
      <w:lvlJc w:val="left"/>
      <w:pPr>
        <w:ind w:left="873" w:hanging="360"/>
      </w:pPr>
    </w:lvl>
    <w:lvl w:ilvl="2" w:tplc="0419001B" w:tentative="1">
      <w:start w:val="1"/>
      <w:numFmt w:val="lowerRoman"/>
      <w:lvlText w:val="%3."/>
      <w:lvlJc w:val="right"/>
      <w:pPr>
        <w:ind w:left="1593" w:hanging="180"/>
      </w:pPr>
    </w:lvl>
    <w:lvl w:ilvl="3" w:tplc="0419000F" w:tentative="1">
      <w:start w:val="1"/>
      <w:numFmt w:val="decimal"/>
      <w:lvlText w:val="%4."/>
      <w:lvlJc w:val="left"/>
      <w:pPr>
        <w:ind w:left="2313" w:hanging="360"/>
      </w:pPr>
    </w:lvl>
    <w:lvl w:ilvl="4" w:tplc="04190019" w:tentative="1">
      <w:start w:val="1"/>
      <w:numFmt w:val="lowerLetter"/>
      <w:lvlText w:val="%5."/>
      <w:lvlJc w:val="left"/>
      <w:pPr>
        <w:ind w:left="3033" w:hanging="360"/>
      </w:pPr>
    </w:lvl>
    <w:lvl w:ilvl="5" w:tplc="0419001B" w:tentative="1">
      <w:start w:val="1"/>
      <w:numFmt w:val="lowerRoman"/>
      <w:lvlText w:val="%6."/>
      <w:lvlJc w:val="right"/>
      <w:pPr>
        <w:ind w:left="3753" w:hanging="180"/>
      </w:pPr>
    </w:lvl>
    <w:lvl w:ilvl="6" w:tplc="0419000F" w:tentative="1">
      <w:start w:val="1"/>
      <w:numFmt w:val="decimal"/>
      <w:lvlText w:val="%7."/>
      <w:lvlJc w:val="left"/>
      <w:pPr>
        <w:ind w:left="4473" w:hanging="360"/>
      </w:pPr>
    </w:lvl>
    <w:lvl w:ilvl="7" w:tplc="04190019" w:tentative="1">
      <w:start w:val="1"/>
      <w:numFmt w:val="lowerLetter"/>
      <w:lvlText w:val="%8."/>
      <w:lvlJc w:val="left"/>
      <w:pPr>
        <w:ind w:left="5193" w:hanging="360"/>
      </w:pPr>
    </w:lvl>
    <w:lvl w:ilvl="8" w:tplc="0419001B" w:tentative="1">
      <w:start w:val="1"/>
      <w:numFmt w:val="lowerRoman"/>
      <w:lvlText w:val="%9."/>
      <w:lvlJc w:val="right"/>
      <w:pPr>
        <w:ind w:left="5913" w:hanging="180"/>
      </w:pPr>
    </w:lvl>
  </w:abstractNum>
  <w:abstractNum w:abstractNumId="5" w15:restartNumberingAfterBreak="0">
    <w:nsid w:val="01AF5065"/>
    <w:multiLevelType w:val="hybridMultilevel"/>
    <w:tmpl w:val="E4D0994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2B51474"/>
    <w:multiLevelType w:val="hybridMultilevel"/>
    <w:tmpl w:val="337EF52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2F118D1"/>
    <w:multiLevelType w:val="hybridMultilevel"/>
    <w:tmpl w:val="A816D9A6"/>
    <w:lvl w:ilvl="0" w:tplc="184095FE">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3E33C1A"/>
    <w:multiLevelType w:val="hybridMultilevel"/>
    <w:tmpl w:val="C0A61394"/>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9" w15:restartNumberingAfterBreak="0">
    <w:nsid w:val="040F5BA3"/>
    <w:multiLevelType w:val="multilevel"/>
    <w:tmpl w:val="51CEAC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4EB4A15"/>
    <w:multiLevelType w:val="hybridMultilevel"/>
    <w:tmpl w:val="920669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05A9645A"/>
    <w:multiLevelType w:val="hybridMultilevel"/>
    <w:tmpl w:val="9126FDB4"/>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082C3EC0"/>
    <w:multiLevelType w:val="hybridMultilevel"/>
    <w:tmpl w:val="17BE3D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08F12CC7"/>
    <w:multiLevelType w:val="multilevel"/>
    <w:tmpl w:val="D8A60498"/>
    <w:lvl w:ilvl="0">
      <w:start w:val="1"/>
      <w:numFmt w:val="decimal"/>
      <w:lvlText w:val="%1."/>
      <w:lvlJc w:val="left"/>
      <w:pPr>
        <w:ind w:left="720" w:hanging="360"/>
      </w:pPr>
      <w:rPr>
        <w:rFonts w:hint="default"/>
      </w:rPr>
    </w:lvl>
    <w:lvl w:ilvl="1">
      <w:start w:val="2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09EF570B"/>
    <w:multiLevelType w:val="hybridMultilevel"/>
    <w:tmpl w:val="72CEE72A"/>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0A45343E"/>
    <w:multiLevelType w:val="hybridMultilevel"/>
    <w:tmpl w:val="10ECA3B2"/>
    <w:lvl w:ilvl="0" w:tplc="50E61108">
      <w:start w:val="1"/>
      <w:numFmt w:val="decimal"/>
      <w:lvlText w:val="%1."/>
      <w:lvlJc w:val="left"/>
      <w:pPr>
        <w:ind w:left="643" w:hanging="360"/>
      </w:pPr>
      <w:rPr>
        <w:rFonts w:ascii="Tahoma" w:eastAsia="Times New Roman" w:hAnsi="Tahoma" w:cs="Tahoma"/>
      </w:rPr>
    </w:lvl>
    <w:lvl w:ilvl="1" w:tplc="04190019" w:tentative="1">
      <w:start w:val="1"/>
      <w:numFmt w:val="lowerLetter"/>
      <w:lvlText w:val="%2."/>
      <w:lvlJc w:val="left"/>
      <w:pPr>
        <w:ind w:left="1363" w:hanging="360"/>
      </w:pPr>
    </w:lvl>
    <w:lvl w:ilvl="2" w:tplc="0419001B" w:tentative="1">
      <w:start w:val="1"/>
      <w:numFmt w:val="lowerRoman"/>
      <w:lvlText w:val="%3."/>
      <w:lvlJc w:val="right"/>
      <w:pPr>
        <w:ind w:left="2083" w:hanging="180"/>
      </w:pPr>
    </w:lvl>
    <w:lvl w:ilvl="3" w:tplc="0419000F" w:tentative="1">
      <w:start w:val="1"/>
      <w:numFmt w:val="decimal"/>
      <w:lvlText w:val="%4."/>
      <w:lvlJc w:val="left"/>
      <w:pPr>
        <w:ind w:left="2803" w:hanging="360"/>
      </w:pPr>
    </w:lvl>
    <w:lvl w:ilvl="4" w:tplc="04190019" w:tentative="1">
      <w:start w:val="1"/>
      <w:numFmt w:val="lowerLetter"/>
      <w:lvlText w:val="%5."/>
      <w:lvlJc w:val="left"/>
      <w:pPr>
        <w:ind w:left="3523" w:hanging="360"/>
      </w:pPr>
    </w:lvl>
    <w:lvl w:ilvl="5" w:tplc="0419001B" w:tentative="1">
      <w:start w:val="1"/>
      <w:numFmt w:val="lowerRoman"/>
      <w:lvlText w:val="%6."/>
      <w:lvlJc w:val="right"/>
      <w:pPr>
        <w:ind w:left="4243" w:hanging="180"/>
      </w:pPr>
    </w:lvl>
    <w:lvl w:ilvl="6" w:tplc="0419000F" w:tentative="1">
      <w:start w:val="1"/>
      <w:numFmt w:val="decimal"/>
      <w:lvlText w:val="%7."/>
      <w:lvlJc w:val="left"/>
      <w:pPr>
        <w:ind w:left="4963" w:hanging="360"/>
      </w:pPr>
    </w:lvl>
    <w:lvl w:ilvl="7" w:tplc="04190019" w:tentative="1">
      <w:start w:val="1"/>
      <w:numFmt w:val="lowerLetter"/>
      <w:lvlText w:val="%8."/>
      <w:lvlJc w:val="left"/>
      <w:pPr>
        <w:ind w:left="5683" w:hanging="360"/>
      </w:pPr>
    </w:lvl>
    <w:lvl w:ilvl="8" w:tplc="0419001B" w:tentative="1">
      <w:start w:val="1"/>
      <w:numFmt w:val="lowerRoman"/>
      <w:lvlText w:val="%9."/>
      <w:lvlJc w:val="right"/>
      <w:pPr>
        <w:ind w:left="6403" w:hanging="180"/>
      </w:pPr>
    </w:lvl>
  </w:abstractNum>
  <w:abstractNum w:abstractNumId="16" w15:restartNumberingAfterBreak="0">
    <w:nsid w:val="0A854268"/>
    <w:multiLevelType w:val="hybridMultilevel"/>
    <w:tmpl w:val="A0BA79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0B3930E0"/>
    <w:multiLevelType w:val="hybridMultilevel"/>
    <w:tmpl w:val="965811E2"/>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0B834286"/>
    <w:multiLevelType w:val="hybridMultilevel"/>
    <w:tmpl w:val="B87CE72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0C3A3219"/>
    <w:multiLevelType w:val="multilevel"/>
    <w:tmpl w:val="381E6046"/>
    <w:lvl w:ilvl="0">
      <w:start w:val="1"/>
      <w:numFmt w:val="decimal"/>
      <w:lvlText w:val="%1."/>
      <w:lvlJc w:val="left"/>
      <w:pPr>
        <w:ind w:left="720" w:hanging="360"/>
      </w:pPr>
      <w:rPr>
        <w:rFonts w:ascii="Tahoma" w:eastAsia="Times New Roman" w:hAnsi="Tahoma" w:cs="Tahoma" w:hint="default"/>
      </w:rPr>
    </w:lvl>
    <w:lvl w:ilvl="1">
      <w:start w:val="13"/>
      <w:numFmt w:val="decimal"/>
      <w:isLgl/>
      <w:lvlText w:val="%1.%2."/>
      <w:lvlJc w:val="left"/>
      <w:pPr>
        <w:ind w:left="1146" w:hanging="720"/>
      </w:pPr>
      <w:rPr>
        <w:rFonts w:hint="default"/>
      </w:rPr>
    </w:lvl>
    <w:lvl w:ilvl="2">
      <w:start w:val="1"/>
      <w:numFmt w:val="decimal"/>
      <w:isLgl/>
      <w:lvlText w:val="%1.%2.%3."/>
      <w:lvlJc w:val="left"/>
      <w:pPr>
        <w:ind w:left="1572" w:hanging="108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2064" w:hanging="1440"/>
      </w:pPr>
      <w:rPr>
        <w:rFonts w:hint="default"/>
      </w:rPr>
    </w:lvl>
    <w:lvl w:ilvl="5">
      <w:start w:val="1"/>
      <w:numFmt w:val="decimal"/>
      <w:isLgl/>
      <w:lvlText w:val="%1.%2.%3.%4.%5.%6."/>
      <w:lvlJc w:val="left"/>
      <w:pPr>
        <w:ind w:left="2490" w:hanging="180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982" w:hanging="2160"/>
      </w:pPr>
      <w:rPr>
        <w:rFonts w:hint="default"/>
      </w:rPr>
    </w:lvl>
    <w:lvl w:ilvl="8">
      <w:start w:val="1"/>
      <w:numFmt w:val="decimal"/>
      <w:isLgl/>
      <w:lvlText w:val="%1.%2.%3.%4.%5.%6.%7.%8.%9."/>
      <w:lvlJc w:val="left"/>
      <w:pPr>
        <w:ind w:left="3408" w:hanging="2520"/>
      </w:pPr>
      <w:rPr>
        <w:rFonts w:hint="default"/>
      </w:rPr>
    </w:lvl>
  </w:abstractNum>
  <w:abstractNum w:abstractNumId="20" w15:restartNumberingAfterBreak="0">
    <w:nsid w:val="0C455A23"/>
    <w:multiLevelType w:val="hybridMultilevel"/>
    <w:tmpl w:val="709EF12E"/>
    <w:lvl w:ilvl="0" w:tplc="0419000B">
      <w:start w:val="1"/>
      <w:numFmt w:val="bullet"/>
      <w:lvlText w:val=""/>
      <w:lvlJc w:val="left"/>
      <w:pPr>
        <w:ind w:left="753" w:hanging="360"/>
      </w:pPr>
      <w:rPr>
        <w:rFonts w:ascii="Wingdings" w:hAnsi="Wingdings" w:hint="default"/>
      </w:rPr>
    </w:lvl>
    <w:lvl w:ilvl="1" w:tplc="04190003" w:tentative="1">
      <w:start w:val="1"/>
      <w:numFmt w:val="bullet"/>
      <w:lvlText w:val="o"/>
      <w:lvlJc w:val="left"/>
      <w:pPr>
        <w:ind w:left="1473" w:hanging="360"/>
      </w:pPr>
      <w:rPr>
        <w:rFonts w:ascii="Courier New" w:hAnsi="Courier New" w:cs="Courier New" w:hint="default"/>
      </w:rPr>
    </w:lvl>
    <w:lvl w:ilvl="2" w:tplc="04190005" w:tentative="1">
      <w:start w:val="1"/>
      <w:numFmt w:val="bullet"/>
      <w:lvlText w:val=""/>
      <w:lvlJc w:val="left"/>
      <w:pPr>
        <w:ind w:left="2193" w:hanging="360"/>
      </w:pPr>
      <w:rPr>
        <w:rFonts w:ascii="Wingdings" w:hAnsi="Wingdings" w:hint="default"/>
      </w:rPr>
    </w:lvl>
    <w:lvl w:ilvl="3" w:tplc="04190001" w:tentative="1">
      <w:start w:val="1"/>
      <w:numFmt w:val="bullet"/>
      <w:lvlText w:val=""/>
      <w:lvlJc w:val="left"/>
      <w:pPr>
        <w:ind w:left="2913" w:hanging="360"/>
      </w:pPr>
      <w:rPr>
        <w:rFonts w:ascii="Symbol" w:hAnsi="Symbol" w:hint="default"/>
      </w:rPr>
    </w:lvl>
    <w:lvl w:ilvl="4" w:tplc="04190003" w:tentative="1">
      <w:start w:val="1"/>
      <w:numFmt w:val="bullet"/>
      <w:lvlText w:val="o"/>
      <w:lvlJc w:val="left"/>
      <w:pPr>
        <w:ind w:left="3633" w:hanging="360"/>
      </w:pPr>
      <w:rPr>
        <w:rFonts w:ascii="Courier New" w:hAnsi="Courier New" w:cs="Courier New" w:hint="default"/>
      </w:rPr>
    </w:lvl>
    <w:lvl w:ilvl="5" w:tplc="04190005" w:tentative="1">
      <w:start w:val="1"/>
      <w:numFmt w:val="bullet"/>
      <w:lvlText w:val=""/>
      <w:lvlJc w:val="left"/>
      <w:pPr>
        <w:ind w:left="4353" w:hanging="360"/>
      </w:pPr>
      <w:rPr>
        <w:rFonts w:ascii="Wingdings" w:hAnsi="Wingdings" w:hint="default"/>
      </w:rPr>
    </w:lvl>
    <w:lvl w:ilvl="6" w:tplc="04190001" w:tentative="1">
      <w:start w:val="1"/>
      <w:numFmt w:val="bullet"/>
      <w:lvlText w:val=""/>
      <w:lvlJc w:val="left"/>
      <w:pPr>
        <w:ind w:left="5073" w:hanging="360"/>
      </w:pPr>
      <w:rPr>
        <w:rFonts w:ascii="Symbol" w:hAnsi="Symbol" w:hint="default"/>
      </w:rPr>
    </w:lvl>
    <w:lvl w:ilvl="7" w:tplc="04190003" w:tentative="1">
      <w:start w:val="1"/>
      <w:numFmt w:val="bullet"/>
      <w:lvlText w:val="o"/>
      <w:lvlJc w:val="left"/>
      <w:pPr>
        <w:ind w:left="5793" w:hanging="360"/>
      </w:pPr>
      <w:rPr>
        <w:rFonts w:ascii="Courier New" w:hAnsi="Courier New" w:cs="Courier New" w:hint="default"/>
      </w:rPr>
    </w:lvl>
    <w:lvl w:ilvl="8" w:tplc="04190005" w:tentative="1">
      <w:start w:val="1"/>
      <w:numFmt w:val="bullet"/>
      <w:lvlText w:val=""/>
      <w:lvlJc w:val="left"/>
      <w:pPr>
        <w:ind w:left="6513" w:hanging="360"/>
      </w:pPr>
      <w:rPr>
        <w:rFonts w:ascii="Wingdings" w:hAnsi="Wingdings" w:hint="default"/>
      </w:rPr>
    </w:lvl>
  </w:abstractNum>
  <w:abstractNum w:abstractNumId="21" w15:restartNumberingAfterBreak="0">
    <w:nsid w:val="0D71629D"/>
    <w:multiLevelType w:val="hybridMultilevel"/>
    <w:tmpl w:val="FEFCB0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0E4D5241"/>
    <w:multiLevelType w:val="hybridMultilevel"/>
    <w:tmpl w:val="B2725866"/>
    <w:lvl w:ilvl="0" w:tplc="0419000B">
      <w:start w:val="1"/>
      <w:numFmt w:val="bullet"/>
      <w:lvlText w:val=""/>
      <w:lvlJc w:val="left"/>
      <w:pPr>
        <w:ind w:left="754" w:hanging="360"/>
      </w:pPr>
      <w:rPr>
        <w:rFonts w:ascii="Wingdings" w:hAnsi="Wingdings" w:hint="default"/>
      </w:rPr>
    </w:lvl>
    <w:lvl w:ilvl="1" w:tplc="04190003" w:tentative="1">
      <w:start w:val="1"/>
      <w:numFmt w:val="bullet"/>
      <w:lvlText w:val="o"/>
      <w:lvlJc w:val="left"/>
      <w:pPr>
        <w:ind w:left="1474" w:hanging="360"/>
      </w:pPr>
      <w:rPr>
        <w:rFonts w:ascii="Courier New" w:hAnsi="Courier New" w:cs="Courier New" w:hint="default"/>
      </w:rPr>
    </w:lvl>
    <w:lvl w:ilvl="2" w:tplc="04190005" w:tentative="1">
      <w:start w:val="1"/>
      <w:numFmt w:val="bullet"/>
      <w:lvlText w:val=""/>
      <w:lvlJc w:val="left"/>
      <w:pPr>
        <w:ind w:left="2194" w:hanging="360"/>
      </w:pPr>
      <w:rPr>
        <w:rFonts w:ascii="Wingdings" w:hAnsi="Wingdings" w:hint="default"/>
      </w:rPr>
    </w:lvl>
    <w:lvl w:ilvl="3" w:tplc="04190001" w:tentative="1">
      <w:start w:val="1"/>
      <w:numFmt w:val="bullet"/>
      <w:lvlText w:val=""/>
      <w:lvlJc w:val="left"/>
      <w:pPr>
        <w:ind w:left="2914" w:hanging="360"/>
      </w:pPr>
      <w:rPr>
        <w:rFonts w:ascii="Symbol" w:hAnsi="Symbol" w:hint="default"/>
      </w:rPr>
    </w:lvl>
    <w:lvl w:ilvl="4" w:tplc="04190003" w:tentative="1">
      <w:start w:val="1"/>
      <w:numFmt w:val="bullet"/>
      <w:lvlText w:val="o"/>
      <w:lvlJc w:val="left"/>
      <w:pPr>
        <w:ind w:left="3634" w:hanging="360"/>
      </w:pPr>
      <w:rPr>
        <w:rFonts w:ascii="Courier New" w:hAnsi="Courier New" w:cs="Courier New" w:hint="default"/>
      </w:rPr>
    </w:lvl>
    <w:lvl w:ilvl="5" w:tplc="04190005" w:tentative="1">
      <w:start w:val="1"/>
      <w:numFmt w:val="bullet"/>
      <w:lvlText w:val=""/>
      <w:lvlJc w:val="left"/>
      <w:pPr>
        <w:ind w:left="4354" w:hanging="360"/>
      </w:pPr>
      <w:rPr>
        <w:rFonts w:ascii="Wingdings" w:hAnsi="Wingdings" w:hint="default"/>
      </w:rPr>
    </w:lvl>
    <w:lvl w:ilvl="6" w:tplc="04190001" w:tentative="1">
      <w:start w:val="1"/>
      <w:numFmt w:val="bullet"/>
      <w:lvlText w:val=""/>
      <w:lvlJc w:val="left"/>
      <w:pPr>
        <w:ind w:left="5074" w:hanging="360"/>
      </w:pPr>
      <w:rPr>
        <w:rFonts w:ascii="Symbol" w:hAnsi="Symbol" w:hint="default"/>
      </w:rPr>
    </w:lvl>
    <w:lvl w:ilvl="7" w:tplc="04190003" w:tentative="1">
      <w:start w:val="1"/>
      <w:numFmt w:val="bullet"/>
      <w:lvlText w:val="o"/>
      <w:lvlJc w:val="left"/>
      <w:pPr>
        <w:ind w:left="5794" w:hanging="360"/>
      </w:pPr>
      <w:rPr>
        <w:rFonts w:ascii="Courier New" w:hAnsi="Courier New" w:cs="Courier New" w:hint="default"/>
      </w:rPr>
    </w:lvl>
    <w:lvl w:ilvl="8" w:tplc="04190005" w:tentative="1">
      <w:start w:val="1"/>
      <w:numFmt w:val="bullet"/>
      <w:lvlText w:val=""/>
      <w:lvlJc w:val="left"/>
      <w:pPr>
        <w:ind w:left="6514" w:hanging="360"/>
      </w:pPr>
      <w:rPr>
        <w:rFonts w:ascii="Wingdings" w:hAnsi="Wingdings" w:hint="default"/>
      </w:rPr>
    </w:lvl>
  </w:abstractNum>
  <w:abstractNum w:abstractNumId="23" w15:restartNumberingAfterBreak="0">
    <w:nsid w:val="0EAC7E61"/>
    <w:multiLevelType w:val="hybridMultilevel"/>
    <w:tmpl w:val="F2E249EC"/>
    <w:lvl w:ilvl="0" w:tplc="0419000F">
      <w:start w:val="1"/>
      <w:numFmt w:val="decimal"/>
      <w:lvlText w:val="%1."/>
      <w:lvlJc w:val="left"/>
      <w:pPr>
        <w:ind w:left="720" w:hanging="360"/>
      </w:pPr>
      <w:rPr>
        <w:rFonts w:eastAsia="Times New Roman" w:hint="default"/>
      </w:rPr>
    </w:lvl>
    <w:lvl w:ilvl="1" w:tplc="79427672">
      <w:start w:val="1"/>
      <w:numFmt w:val="lowerLetter"/>
      <w:lvlText w:val="%2."/>
      <w:lvlJc w:val="left"/>
      <w:pPr>
        <w:ind w:left="2779" w:hanging="360"/>
      </w:pPr>
      <w:rPr>
        <w:rFonts w:hint="default"/>
        <w:sz w:val="18"/>
        <w:szCs w:val="18"/>
      </w:rPr>
    </w:lvl>
    <w:lvl w:ilvl="2" w:tplc="04190001">
      <w:start w:val="1"/>
      <w:numFmt w:val="bullet"/>
      <w:lvlText w:val=""/>
      <w:lvlJc w:val="left"/>
      <w:pPr>
        <w:ind w:left="2160" w:hanging="180"/>
      </w:pPr>
      <w:rPr>
        <w:rFonts w:ascii="Symbol" w:hAnsi="Symbol" w:hint="default"/>
      </w:rPr>
    </w:lvl>
    <w:lvl w:ilvl="3" w:tplc="0419000F" w:tentative="1">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0F28143B"/>
    <w:multiLevelType w:val="multilevel"/>
    <w:tmpl w:val="D8A83B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10902358"/>
    <w:multiLevelType w:val="hybridMultilevel"/>
    <w:tmpl w:val="4BC2BFB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6" w15:restartNumberingAfterBreak="0">
    <w:nsid w:val="10FC5303"/>
    <w:multiLevelType w:val="hybridMultilevel"/>
    <w:tmpl w:val="CFE4182A"/>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12E212A3"/>
    <w:multiLevelType w:val="hybridMultilevel"/>
    <w:tmpl w:val="93B890F0"/>
    <w:lvl w:ilvl="0" w:tplc="0419000F">
      <w:start w:val="1"/>
      <w:numFmt w:val="decimal"/>
      <w:lvlText w:val="%1."/>
      <w:lvlJc w:val="left"/>
      <w:pPr>
        <w:ind w:left="720" w:hanging="360"/>
      </w:pPr>
      <w:rPr>
        <w:rFonts w:hint="default"/>
        <w:sz w:val="2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138A3AF6"/>
    <w:multiLevelType w:val="hybridMultilevel"/>
    <w:tmpl w:val="6A42F9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138E6F6C"/>
    <w:multiLevelType w:val="multilevel"/>
    <w:tmpl w:val="B9D6EF92"/>
    <w:lvl w:ilvl="0">
      <w:start w:val="1"/>
      <w:numFmt w:val="decimal"/>
      <w:lvlText w:val="%1."/>
      <w:lvlJc w:val="left"/>
      <w:pPr>
        <w:ind w:left="676" w:hanging="360"/>
      </w:pPr>
      <w:rPr>
        <w:rFonts w:hint="default"/>
      </w:rPr>
    </w:lvl>
    <w:lvl w:ilvl="1">
      <w:start w:val="12"/>
      <w:numFmt w:val="decimal"/>
      <w:isLgl/>
      <w:lvlText w:val="%1.%2"/>
      <w:lvlJc w:val="left"/>
      <w:pPr>
        <w:ind w:left="1334" w:hanging="750"/>
      </w:pPr>
      <w:rPr>
        <w:rFonts w:hint="default"/>
      </w:rPr>
    </w:lvl>
    <w:lvl w:ilvl="2">
      <w:start w:val="1"/>
      <w:numFmt w:val="decimal"/>
      <w:isLgl/>
      <w:lvlText w:val="%1.%2.%3"/>
      <w:lvlJc w:val="left"/>
      <w:pPr>
        <w:ind w:left="1602" w:hanging="750"/>
      </w:pPr>
      <w:rPr>
        <w:rFonts w:hint="default"/>
      </w:rPr>
    </w:lvl>
    <w:lvl w:ilvl="3">
      <w:start w:val="1"/>
      <w:numFmt w:val="decimal"/>
      <w:isLgl/>
      <w:lvlText w:val="%1.%2.%3.%4"/>
      <w:lvlJc w:val="left"/>
      <w:pPr>
        <w:ind w:left="2200" w:hanging="1080"/>
      </w:pPr>
      <w:rPr>
        <w:rFonts w:hint="default"/>
      </w:rPr>
    </w:lvl>
    <w:lvl w:ilvl="4">
      <w:start w:val="1"/>
      <w:numFmt w:val="decimal"/>
      <w:isLgl/>
      <w:lvlText w:val="%1.%2.%3.%4.%5"/>
      <w:lvlJc w:val="left"/>
      <w:pPr>
        <w:ind w:left="2828" w:hanging="1440"/>
      </w:pPr>
      <w:rPr>
        <w:rFonts w:hint="default"/>
      </w:rPr>
    </w:lvl>
    <w:lvl w:ilvl="5">
      <w:start w:val="1"/>
      <w:numFmt w:val="decimal"/>
      <w:isLgl/>
      <w:lvlText w:val="%1.%2.%3.%4.%5.%6"/>
      <w:lvlJc w:val="left"/>
      <w:pPr>
        <w:ind w:left="3096" w:hanging="1440"/>
      </w:pPr>
      <w:rPr>
        <w:rFonts w:hint="default"/>
      </w:rPr>
    </w:lvl>
    <w:lvl w:ilvl="6">
      <w:start w:val="1"/>
      <w:numFmt w:val="decimal"/>
      <w:isLgl/>
      <w:lvlText w:val="%1.%2.%3.%4.%5.%6.%7"/>
      <w:lvlJc w:val="left"/>
      <w:pPr>
        <w:ind w:left="3724" w:hanging="1800"/>
      </w:pPr>
      <w:rPr>
        <w:rFonts w:hint="default"/>
      </w:rPr>
    </w:lvl>
    <w:lvl w:ilvl="7">
      <w:start w:val="1"/>
      <w:numFmt w:val="decimal"/>
      <w:isLgl/>
      <w:lvlText w:val="%1.%2.%3.%4.%5.%6.%7.%8"/>
      <w:lvlJc w:val="left"/>
      <w:pPr>
        <w:ind w:left="4352" w:hanging="2160"/>
      </w:pPr>
      <w:rPr>
        <w:rFonts w:hint="default"/>
      </w:rPr>
    </w:lvl>
    <w:lvl w:ilvl="8">
      <w:start w:val="1"/>
      <w:numFmt w:val="decimal"/>
      <w:isLgl/>
      <w:lvlText w:val="%1.%2.%3.%4.%5.%6.%7.%8.%9"/>
      <w:lvlJc w:val="left"/>
      <w:pPr>
        <w:ind w:left="4980" w:hanging="2520"/>
      </w:pPr>
      <w:rPr>
        <w:rFonts w:hint="default"/>
      </w:rPr>
    </w:lvl>
  </w:abstractNum>
  <w:abstractNum w:abstractNumId="30" w15:restartNumberingAfterBreak="0">
    <w:nsid w:val="14F06B65"/>
    <w:multiLevelType w:val="hybridMultilevel"/>
    <w:tmpl w:val="87C8A74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1" w15:restartNumberingAfterBreak="0">
    <w:nsid w:val="15214507"/>
    <w:multiLevelType w:val="hybridMultilevel"/>
    <w:tmpl w:val="826CCC6C"/>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15504B77"/>
    <w:multiLevelType w:val="hybridMultilevel"/>
    <w:tmpl w:val="414A01E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1608711E"/>
    <w:multiLevelType w:val="hybridMultilevel"/>
    <w:tmpl w:val="B1F237B0"/>
    <w:lvl w:ilvl="0" w:tplc="04190001">
      <w:start w:val="1"/>
      <w:numFmt w:val="bullet"/>
      <w:lvlText w:val=""/>
      <w:lvlJc w:val="left"/>
      <w:pPr>
        <w:ind w:left="704" w:hanging="360"/>
      </w:pPr>
      <w:rPr>
        <w:rFonts w:ascii="Symbol" w:hAnsi="Symbol" w:hint="default"/>
      </w:rPr>
    </w:lvl>
    <w:lvl w:ilvl="1" w:tplc="04190003" w:tentative="1">
      <w:start w:val="1"/>
      <w:numFmt w:val="bullet"/>
      <w:lvlText w:val="o"/>
      <w:lvlJc w:val="left"/>
      <w:pPr>
        <w:ind w:left="1424" w:hanging="360"/>
      </w:pPr>
      <w:rPr>
        <w:rFonts w:ascii="Courier New" w:hAnsi="Courier New" w:cs="Courier New" w:hint="default"/>
      </w:rPr>
    </w:lvl>
    <w:lvl w:ilvl="2" w:tplc="04190005" w:tentative="1">
      <w:start w:val="1"/>
      <w:numFmt w:val="bullet"/>
      <w:lvlText w:val=""/>
      <w:lvlJc w:val="left"/>
      <w:pPr>
        <w:ind w:left="2144" w:hanging="360"/>
      </w:pPr>
      <w:rPr>
        <w:rFonts w:ascii="Wingdings" w:hAnsi="Wingdings" w:hint="default"/>
      </w:rPr>
    </w:lvl>
    <w:lvl w:ilvl="3" w:tplc="04190001" w:tentative="1">
      <w:start w:val="1"/>
      <w:numFmt w:val="bullet"/>
      <w:lvlText w:val=""/>
      <w:lvlJc w:val="left"/>
      <w:pPr>
        <w:ind w:left="2864" w:hanging="360"/>
      </w:pPr>
      <w:rPr>
        <w:rFonts w:ascii="Symbol" w:hAnsi="Symbol" w:hint="default"/>
      </w:rPr>
    </w:lvl>
    <w:lvl w:ilvl="4" w:tplc="04190003" w:tentative="1">
      <w:start w:val="1"/>
      <w:numFmt w:val="bullet"/>
      <w:lvlText w:val="o"/>
      <w:lvlJc w:val="left"/>
      <w:pPr>
        <w:ind w:left="3584" w:hanging="360"/>
      </w:pPr>
      <w:rPr>
        <w:rFonts w:ascii="Courier New" w:hAnsi="Courier New" w:cs="Courier New" w:hint="default"/>
      </w:rPr>
    </w:lvl>
    <w:lvl w:ilvl="5" w:tplc="04190005" w:tentative="1">
      <w:start w:val="1"/>
      <w:numFmt w:val="bullet"/>
      <w:lvlText w:val=""/>
      <w:lvlJc w:val="left"/>
      <w:pPr>
        <w:ind w:left="4304" w:hanging="360"/>
      </w:pPr>
      <w:rPr>
        <w:rFonts w:ascii="Wingdings" w:hAnsi="Wingdings" w:hint="default"/>
      </w:rPr>
    </w:lvl>
    <w:lvl w:ilvl="6" w:tplc="04190001" w:tentative="1">
      <w:start w:val="1"/>
      <w:numFmt w:val="bullet"/>
      <w:lvlText w:val=""/>
      <w:lvlJc w:val="left"/>
      <w:pPr>
        <w:ind w:left="5024" w:hanging="360"/>
      </w:pPr>
      <w:rPr>
        <w:rFonts w:ascii="Symbol" w:hAnsi="Symbol" w:hint="default"/>
      </w:rPr>
    </w:lvl>
    <w:lvl w:ilvl="7" w:tplc="04190003" w:tentative="1">
      <w:start w:val="1"/>
      <w:numFmt w:val="bullet"/>
      <w:lvlText w:val="o"/>
      <w:lvlJc w:val="left"/>
      <w:pPr>
        <w:ind w:left="5744" w:hanging="360"/>
      </w:pPr>
      <w:rPr>
        <w:rFonts w:ascii="Courier New" w:hAnsi="Courier New" w:cs="Courier New" w:hint="default"/>
      </w:rPr>
    </w:lvl>
    <w:lvl w:ilvl="8" w:tplc="04190005" w:tentative="1">
      <w:start w:val="1"/>
      <w:numFmt w:val="bullet"/>
      <w:lvlText w:val=""/>
      <w:lvlJc w:val="left"/>
      <w:pPr>
        <w:ind w:left="6464" w:hanging="360"/>
      </w:pPr>
      <w:rPr>
        <w:rFonts w:ascii="Wingdings" w:hAnsi="Wingdings" w:hint="default"/>
      </w:rPr>
    </w:lvl>
  </w:abstractNum>
  <w:abstractNum w:abstractNumId="34" w15:restartNumberingAfterBreak="0">
    <w:nsid w:val="16CA7031"/>
    <w:multiLevelType w:val="multilevel"/>
    <w:tmpl w:val="9ADC7196"/>
    <w:lvl w:ilvl="0">
      <w:start w:val="1"/>
      <w:numFmt w:val="decimal"/>
      <w:lvlText w:val="%1."/>
      <w:lvlJc w:val="left"/>
      <w:pPr>
        <w:ind w:left="720" w:hanging="360"/>
      </w:pPr>
      <w:rPr>
        <w:rFonts w:hint="default"/>
      </w:rPr>
    </w:lvl>
    <w:lvl w:ilvl="1">
      <w:start w:val="19"/>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 w15:restartNumberingAfterBreak="0">
    <w:nsid w:val="17514020"/>
    <w:multiLevelType w:val="multilevel"/>
    <w:tmpl w:val="014ABF14"/>
    <w:lvl w:ilvl="0">
      <w:start w:val="1"/>
      <w:numFmt w:val="decimal"/>
      <w:lvlText w:val="%1."/>
      <w:lvlJc w:val="left"/>
      <w:pPr>
        <w:ind w:left="720" w:hanging="360"/>
      </w:pPr>
      <w:rPr>
        <w:rFonts w:ascii="Tahoma" w:eastAsia="Times New Roman" w:hAnsi="Tahoma" w:cs="Tahoma" w:hint="default"/>
      </w:rPr>
    </w:lvl>
    <w:lvl w:ilvl="1">
      <w:start w:val="19"/>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 w15:restartNumberingAfterBreak="0">
    <w:nsid w:val="18FE7AFD"/>
    <w:multiLevelType w:val="hybridMultilevel"/>
    <w:tmpl w:val="31889A0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19AC0AE9"/>
    <w:multiLevelType w:val="hybridMultilevel"/>
    <w:tmpl w:val="7C64994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19C71B0F"/>
    <w:multiLevelType w:val="hybridMultilevel"/>
    <w:tmpl w:val="27648C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1A310630"/>
    <w:multiLevelType w:val="hybridMultilevel"/>
    <w:tmpl w:val="3A461F2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1AC5219F"/>
    <w:multiLevelType w:val="hybridMultilevel"/>
    <w:tmpl w:val="63DA19AA"/>
    <w:lvl w:ilvl="0" w:tplc="0F348078">
      <w:start w:val="1"/>
      <w:numFmt w:val="lowerLetter"/>
      <w:lvlText w:val="%1."/>
      <w:lvlJc w:val="left"/>
      <w:pPr>
        <w:ind w:left="720" w:hanging="360"/>
      </w:pPr>
      <w:rPr>
        <w:rFonts w:ascii="Tahoma" w:eastAsia="Times New Roman" w:hAnsi="Tahoma" w:cs="Tahoma"/>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1B107460"/>
    <w:multiLevelType w:val="multilevel"/>
    <w:tmpl w:val="E3B2E53C"/>
    <w:lvl w:ilvl="0">
      <w:start w:val="1"/>
      <w:numFmt w:val="decimal"/>
      <w:lvlText w:val="%1."/>
      <w:lvlJc w:val="left"/>
      <w:pPr>
        <w:ind w:left="720" w:hanging="360"/>
      </w:pPr>
      <w:rPr>
        <w:rFonts w:hint="default"/>
      </w:rPr>
    </w:lvl>
    <w:lvl w:ilvl="1">
      <w:start w:val="1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2" w15:restartNumberingAfterBreak="0">
    <w:nsid w:val="1BDB671F"/>
    <w:multiLevelType w:val="hybridMultilevel"/>
    <w:tmpl w:val="74041A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1BE85740"/>
    <w:multiLevelType w:val="hybridMultilevel"/>
    <w:tmpl w:val="1936864A"/>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1C3C5959"/>
    <w:multiLevelType w:val="hybridMultilevel"/>
    <w:tmpl w:val="D5CA251C"/>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1C7E3BAA"/>
    <w:multiLevelType w:val="hybridMultilevel"/>
    <w:tmpl w:val="5660F30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1CFE0153"/>
    <w:multiLevelType w:val="hybridMultilevel"/>
    <w:tmpl w:val="DE0034BC"/>
    <w:lvl w:ilvl="0" w:tplc="BF769C9A">
      <w:start w:val="1"/>
      <w:numFmt w:val="decimal"/>
      <w:lvlText w:val="%1."/>
      <w:lvlJc w:val="left"/>
      <w:pPr>
        <w:ind w:left="720" w:hanging="360"/>
      </w:pPr>
      <w:rPr>
        <w:rFonts w:ascii="Tahoma" w:eastAsia="Times New Roman" w:hAnsi="Tahoma" w:cs="Tahoma"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1D296C1D"/>
    <w:multiLevelType w:val="multilevel"/>
    <w:tmpl w:val="7E32BBDE"/>
    <w:lvl w:ilvl="0">
      <w:start w:val="1"/>
      <w:numFmt w:val="decimal"/>
      <w:lvlText w:val="%1."/>
      <w:lvlJc w:val="left"/>
      <w:pPr>
        <w:ind w:left="720" w:hanging="360"/>
      </w:pPr>
      <w:rPr>
        <w:rFonts w:hint="default"/>
      </w:rPr>
    </w:lvl>
    <w:lvl w:ilvl="1">
      <w:start w:val="19"/>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8" w15:restartNumberingAfterBreak="0">
    <w:nsid w:val="1D3404EC"/>
    <w:multiLevelType w:val="multilevel"/>
    <w:tmpl w:val="E73CA3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1DC65DD0"/>
    <w:multiLevelType w:val="hybridMultilevel"/>
    <w:tmpl w:val="E8F21B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1DD35E9E"/>
    <w:multiLevelType w:val="hybridMultilevel"/>
    <w:tmpl w:val="47CCF2C2"/>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1E597AF8"/>
    <w:multiLevelType w:val="hybridMultilevel"/>
    <w:tmpl w:val="51F0B974"/>
    <w:lvl w:ilvl="0" w:tplc="AB9ADF34">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1ED04DF3"/>
    <w:multiLevelType w:val="hybridMultilevel"/>
    <w:tmpl w:val="42B447A6"/>
    <w:lvl w:ilvl="0" w:tplc="04190005">
      <w:start w:val="1"/>
      <w:numFmt w:val="bullet"/>
      <w:lvlText w:val=""/>
      <w:lvlJc w:val="left"/>
      <w:pPr>
        <w:ind w:left="816" w:hanging="360"/>
      </w:pPr>
      <w:rPr>
        <w:rFonts w:ascii="Wingdings" w:hAnsi="Wingdings" w:hint="default"/>
      </w:rPr>
    </w:lvl>
    <w:lvl w:ilvl="1" w:tplc="04190003" w:tentative="1">
      <w:start w:val="1"/>
      <w:numFmt w:val="bullet"/>
      <w:lvlText w:val="o"/>
      <w:lvlJc w:val="left"/>
      <w:pPr>
        <w:ind w:left="1536" w:hanging="360"/>
      </w:pPr>
      <w:rPr>
        <w:rFonts w:ascii="Courier New" w:hAnsi="Courier New" w:cs="Courier New" w:hint="default"/>
      </w:rPr>
    </w:lvl>
    <w:lvl w:ilvl="2" w:tplc="04190005" w:tentative="1">
      <w:start w:val="1"/>
      <w:numFmt w:val="bullet"/>
      <w:lvlText w:val=""/>
      <w:lvlJc w:val="left"/>
      <w:pPr>
        <w:ind w:left="2256" w:hanging="360"/>
      </w:pPr>
      <w:rPr>
        <w:rFonts w:ascii="Wingdings" w:hAnsi="Wingdings" w:hint="default"/>
      </w:rPr>
    </w:lvl>
    <w:lvl w:ilvl="3" w:tplc="04190001" w:tentative="1">
      <w:start w:val="1"/>
      <w:numFmt w:val="bullet"/>
      <w:lvlText w:val=""/>
      <w:lvlJc w:val="left"/>
      <w:pPr>
        <w:ind w:left="2976" w:hanging="360"/>
      </w:pPr>
      <w:rPr>
        <w:rFonts w:ascii="Symbol" w:hAnsi="Symbol" w:hint="default"/>
      </w:rPr>
    </w:lvl>
    <w:lvl w:ilvl="4" w:tplc="04190003" w:tentative="1">
      <w:start w:val="1"/>
      <w:numFmt w:val="bullet"/>
      <w:lvlText w:val="o"/>
      <w:lvlJc w:val="left"/>
      <w:pPr>
        <w:ind w:left="3696" w:hanging="360"/>
      </w:pPr>
      <w:rPr>
        <w:rFonts w:ascii="Courier New" w:hAnsi="Courier New" w:cs="Courier New" w:hint="default"/>
      </w:rPr>
    </w:lvl>
    <w:lvl w:ilvl="5" w:tplc="04190005" w:tentative="1">
      <w:start w:val="1"/>
      <w:numFmt w:val="bullet"/>
      <w:lvlText w:val=""/>
      <w:lvlJc w:val="left"/>
      <w:pPr>
        <w:ind w:left="4416" w:hanging="360"/>
      </w:pPr>
      <w:rPr>
        <w:rFonts w:ascii="Wingdings" w:hAnsi="Wingdings" w:hint="default"/>
      </w:rPr>
    </w:lvl>
    <w:lvl w:ilvl="6" w:tplc="04190001" w:tentative="1">
      <w:start w:val="1"/>
      <w:numFmt w:val="bullet"/>
      <w:lvlText w:val=""/>
      <w:lvlJc w:val="left"/>
      <w:pPr>
        <w:ind w:left="5136" w:hanging="360"/>
      </w:pPr>
      <w:rPr>
        <w:rFonts w:ascii="Symbol" w:hAnsi="Symbol" w:hint="default"/>
      </w:rPr>
    </w:lvl>
    <w:lvl w:ilvl="7" w:tplc="04190003" w:tentative="1">
      <w:start w:val="1"/>
      <w:numFmt w:val="bullet"/>
      <w:lvlText w:val="o"/>
      <w:lvlJc w:val="left"/>
      <w:pPr>
        <w:ind w:left="5856" w:hanging="360"/>
      </w:pPr>
      <w:rPr>
        <w:rFonts w:ascii="Courier New" w:hAnsi="Courier New" w:cs="Courier New" w:hint="default"/>
      </w:rPr>
    </w:lvl>
    <w:lvl w:ilvl="8" w:tplc="04190005" w:tentative="1">
      <w:start w:val="1"/>
      <w:numFmt w:val="bullet"/>
      <w:lvlText w:val=""/>
      <w:lvlJc w:val="left"/>
      <w:pPr>
        <w:ind w:left="6576" w:hanging="360"/>
      </w:pPr>
      <w:rPr>
        <w:rFonts w:ascii="Wingdings" w:hAnsi="Wingdings" w:hint="default"/>
      </w:rPr>
    </w:lvl>
  </w:abstractNum>
  <w:abstractNum w:abstractNumId="53" w15:restartNumberingAfterBreak="0">
    <w:nsid w:val="1EE20D6C"/>
    <w:multiLevelType w:val="hybridMultilevel"/>
    <w:tmpl w:val="C64CDE98"/>
    <w:lvl w:ilvl="0" w:tplc="6E260644">
      <w:start w:val="30"/>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1F972063"/>
    <w:multiLevelType w:val="multilevel"/>
    <w:tmpl w:val="D70C5E54"/>
    <w:lvl w:ilvl="0">
      <w:start w:val="1"/>
      <w:numFmt w:val="decimal"/>
      <w:lvlText w:val="%1."/>
      <w:lvlJc w:val="left"/>
      <w:pPr>
        <w:ind w:left="643" w:hanging="360"/>
      </w:pPr>
      <w:rPr>
        <w:rFonts w:hint="default"/>
      </w:rPr>
    </w:lvl>
    <w:lvl w:ilvl="1">
      <w:start w:val="13"/>
      <w:numFmt w:val="decimal"/>
      <w:isLgl/>
      <w:lvlText w:val="%1.%2."/>
      <w:lvlJc w:val="left"/>
      <w:pPr>
        <w:ind w:left="1080" w:hanging="720"/>
      </w:pPr>
      <w:rPr>
        <w:rFonts w:hint="default"/>
      </w:rPr>
    </w:lvl>
    <w:lvl w:ilvl="2">
      <w:start w:val="1"/>
      <w:numFmt w:val="decimal"/>
      <w:isLgl/>
      <w:lvlText w:val="%1.%2.%3."/>
      <w:lvlJc w:val="left"/>
      <w:pPr>
        <w:ind w:left="1517" w:hanging="1080"/>
      </w:pPr>
      <w:rPr>
        <w:rFonts w:hint="default"/>
      </w:rPr>
    </w:lvl>
    <w:lvl w:ilvl="3">
      <w:start w:val="1"/>
      <w:numFmt w:val="decimal"/>
      <w:isLgl/>
      <w:lvlText w:val="%1.%2.%3.%4."/>
      <w:lvlJc w:val="left"/>
      <w:pPr>
        <w:ind w:left="1594" w:hanging="1080"/>
      </w:pPr>
      <w:rPr>
        <w:rFonts w:hint="default"/>
      </w:rPr>
    </w:lvl>
    <w:lvl w:ilvl="4">
      <w:start w:val="1"/>
      <w:numFmt w:val="decimal"/>
      <w:isLgl/>
      <w:lvlText w:val="%1.%2.%3.%4.%5."/>
      <w:lvlJc w:val="left"/>
      <w:pPr>
        <w:ind w:left="2031" w:hanging="1440"/>
      </w:pPr>
      <w:rPr>
        <w:rFonts w:hint="default"/>
      </w:rPr>
    </w:lvl>
    <w:lvl w:ilvl="5">
      <w:start w:val="1"/>
      <w:numFmt w:val="decimal"/>
      <w:isLgl/>
      <w:lvlText w:val="%1.%2.%3.%4.%5.%6."/>
      <w:lvlJc w:val="left"/>
      <w:pPr>
        <w:ind w:left="2468" w:hanging="1800"/>
      </w:pPr>
      <w:rPr>
        <w:rFonts w:hint="default"/>
      </w:rPr>
    </w:lvl>
    <w:lvl w:ilvl="6">
      <w:start w:val="1"/>
      <w:numFmt w:val="decimal"/>
      <w:isLgl/>
      <w:lvlText w:val="%1.%2.%3.%4.%5.%6.%7."/>
      <w:lvlJc w:val="left"/>
      <w:pPr>
        <w:ind w:left="2545" w:hanging="1800"/>
      </w:pPr>
      <w:rPr>
        <w:rFonts w:hint="default"/>
      </w:rPr>
    </w:lvl>
    <w:lvl w:ilvl="7">
      <w:start w:val="1"/>
      <w:numFmt w:val="decimal"/>
      <w:isLgl/>
      <w:lvlText w:val="%1.%2.%3.%4.%5.%6.%7.%8."/>
      <w:lvlJc w:val="left"/>
      <w:pPr>
        <w:ind w:left="2982" w:hanging="2160"/>
      </w:pPr>
      <w:rPr>
        <w:rFonts w:hint="default"/>
      </w:rPr>
    </w:lvl>
    <w:lvl w:ilvl="8">
      <w:start w:val="1"/>
      <w:numFmt w:val="decimal"/>
      <w:isLgl/>
      <w:lvlText w:val="%1.%2.%3.%4.%5.%6.%7.%8.%9."/>
      <w:lvlJc w:val="left"/>
      <w:pPr>
        <w:ind w:left="3419" w:hanging="2520"/>
      </w:pPr>
      <w:rPr>
        <w:rFonts w:hint="default"/>
      </w:rPr>
    </w:lvl>
  </w:abstractNum>
  <w:abstractNum w:abstractNumId="55" w15:restartNumberingAfterBreak="0">
    <w:nsid w:val="20AE7433"/>
    <w:multiLevelType w:val="hybridMultilevel"/>
    <w:tmpl w:val="3D100A6C"/>
    <w:lvl w:ilvl="0" w:tplc="0419000D">
      <w:start w:val="1"/>
      <w:numFmt w:val="bullet"/>
      <w:lvlText w:val=""/>
      <w:lvlJc w:val="left"/>
      <w:pPr>
        <w:ind w:left="1215" w:hanging="360"/>
      </w:pPr>
      <w:rPr>
        <w:rFonts w:ascii="Wingdings" w:hAnsi="Wingdings" w:hint="default"/>
      </w:rPr>
    </w:lvl>
    <w:lvl w:ilvl="1" w:tplc="04190003" w:tentative="1">
      <w:start w:val="1"/>
      <w:numFmt w:val="bullet"/>
      <w:lvlText w:val="o"/>
      <w:lvlJc w:val="left"/>
      <w:pPr>
        <w:ind w:left="1935" w:hanging="360"/>
      </w:pPr>
      <w:rPr>
        <w:rFonts w:ascii="Courier New" w:hAnsi="Courier New" w:cs="Courier New" w:hint="default"/>
      </w:rPr>
    </w:lvl>
    <w:lvl w:ilvl="2" w:tplc="04190005" w:tentative="1">
      <w:start w:val="1"/>
      <w:numFmt w:val="bullet"/>
      <w:lvlText w:val=""/>
      <w:lvlJc w:val="left"/>
      <w:pPr>
        <w:ind w:left="2655" w:hanging="360"/>
      </w:pPr>
      <w:rPr>
        <w:rFonts w:ascii="Wingdings" w:hAnsi="Wingdings" w:hint="default"/>
      </w:rPr>
    </w:lvl>
    <w:lvl w:ilvl="3" w:tplc="04190001" w:tentative="1">
      <w:start w:val="1"/>
      <w:numFmt w:val="bullet"/>
      <w:lvlText w:val=""/>
      <w:lvlJc w:val="left"/>
      <w:pPr>
        <w:ind w:left="3375" w:hanging="360"/>
      </w:pPr>
      <w:rPr>
        <w:rFonts w:ascii="Symbol" w:hAnsi="Symbol" w:hint="default"/>
      </w:rPr>
    </w:lvl>
    <w:lvl w:ilvl="4" w:tplc="04190003" w:tentative="1">
      <w:start w:val="1"/>
      <w:numFmt w:val="bullet"/>
      <w:lvlText w:val="o"/>
      <w:lvlJc w:val="left"/>
      <w:pPr>
        <w:ind w:left="4095" w:hanging="360"/>
      </w:pPr>
      <w:rPr>
        <w:rFonts w:ascii="Courier New" w:hAnsi="Courier New" w:cs="Courier New" w:hint="default"/>
      </w:rPr>
    </w:lvl>
    <w:lvl w:ilvl="5" w:tplc="04190005" w:tentative="1">
      <w:start w:val="1"/>
      <w:numFmt w:val="bullet"/>
      <w:lvlText w:val=""/>
      <w:lvlJc w:val="left"/>
      <w:pPr>
        <w:ind w:left="4815" w:hanging="360"/>
      </w:pPr>
      <w:rPr>
        <w:rFonts w:ascii="Wingdings" w:hAnsi="Wingdings" w:hint="default"/>
      </w:rPr>
    </w:lvl>
    <w:lvl w:ilvl="6" w:tplc="04190001" w:tentative="1">
      <w:start w:val="1"/>
      <w:numFmt w:val="bullet"/>
      <w:lvlText w:val=""/>
      <w:lvlJc w:val="left"/>
      <w:pPr>
        <w:ind w:left="5535" w:hanging="360"/>
      </w:pPr>
      <w:rPr>
        <w:rFonts w:ascii="Symbol" w:hAnsi="Symbol" w:hint="default"/>
      </w:rPr>
    </w:lvl>
    <w:lvl w:ilvl="7" w:tplc="04190003" w:tentative="1">
      <w:start w:val="1"/>
      <w:numFmt w:val="bullet"/>
      <w:lvlText w:val="o"/>
      <w:lvlJc w:val="left"/>
      <w:pPr>
        <w:ind w:left="6255" w:hanging="360"/>
      </w:pPr>
      <w:rPr>
        <w:rFonts w:ascii="Courier New" w:hAnsi="Courier New" w:cs="Courier New" w:hint="default"/>
      </w:rPr>
    </w:lvl>
    <w:lvl w:ilvl="8" w:tplc="04190005" w:tentative="1">
      <w:start w:val="1"/>
      <w:numFmt w:val="bullet"/>
      <w:lvlText w:val=""/>
      <w:lvlJc w:val="left"/>
      <w:pPr>
        <w:ind w:left="6975" w:hanging="360"/>
      </w:pPr>
      <w:rPr>
        <w:rFonts w:ascii="Wingdings" w:hAnsi="Wingdings" w:hint="default"/>
      </w:rPr>
    </w:lvl>
  </w:abstractNum>
  <w:abstractNum w:abstractNumId="56" w15:restartNumberingAfterBreak="0">
    <w:nsid w:val="236B0551"/>
    <w:multiLevelType w:val="hybridMultilevel"/>
    <w:tmpl w:val="3B106178"/>
    <w:lvl w:ilvl="0" w:tplc="04190001">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7" w15:restartNumberingAfterBreak="0">
    <w:nsid w:val="24F20059"/>
    <w:multiLevelType w:val="multilevel"/>
    <w:tmpl w:val="BFBC2B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2713461C"/>
    <w:multiLevelType w:val="multilevel"/>
    <w:tmpl w:val="BFBC2B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28132B65"/>
    <w:multiLevelType w:val="hybridMultilevel"/>
    <w:tmpl w:val="EA20717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28F026DF"/>
    <w:multiLevelType w:val="hybridMultilevel"/>
    <w:tmpl w:val="D8221628"/>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1" w15:restartNumberingAfterBreak="0">
    <w:nsid w:val="293B05D6"/>
    <w:multiLevelType w:val="multilevel"/>
    <w:tmpl w:val="157E01F6"/>
    <w:lvl w:ilvl="0">
      <w:start w:val="1"/>
      <w:numFmt w:val="decimal"/>
      <w:lvlText w:val="%1."/>
      <w:lvlJc w:val="left"/>
      <w:pPr>
        <w:ind w:left="720" w:hanging="360"/>
      </w:pPr>
      <w:rPr>
        <w:rFonts w:hint="default"/>
      </w:rPr>
    </w:lvl>
    <w:lvl w:ilvl="1">
      <w:start w:val="14"/>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640" w:hanging="2520"/>
      </w:pPr>
      <w:rPr>
        <w:rFonts w:hint="default"/>
      </w:rPr>
    </w:lvl>
  </w:abstractNum>
  <w:abstractNum w:abstractNumId="62" w15:restartNumberingAfterBreak="0">
    <w:nsid w:val="29ED2320"/>
    <w:multiLevelType w:val="hybridMultilevel"/>
    <w:tmpl w:val="C1EE7C48"/>
    <w:lvl w:ilvl="0" w:tplc="C0B8EA36">
      <w:start w:val="1"/>
      <w:numFmt w:val="decimal"/>
      <w:lvlText w:val="%1."/>
      <w:lvlJc w:val="left"/>
      <w:pPr>
        <w:ind w:left="-207" w:hanging="360"/>
      </w:pPr>
      <w:rPr>
        <w:rFonts w:hint="default"/>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abstractNum w:abstractNumId="63" w15:restartNumberingAfterBreak="0">
    <w:nsid w:val="2AEE39F5"/>
    <w:multiLevelType w:val="hybridMultilevel"/>
    <w:tmpl w:val="0666D620"/>
    <w:lvl w:ilvl="0" w:tplc="847E5624">
      <w:start w:val="1"/>
      <w:numFmt w:val="decimal"/>
      <w:lvlText w:val="%1.1."/>
      <w:lvlJc w:val="left"/>
      <w:pPr>
        <w:ind w:left="1087" w:hanging="360"/>
      </w:pPr>
      <w:rPr>
        <w:rFonts w:hint="default"/>
      </w:rPr>
    </w:lvl>
    <w:lvl w:ilvl="1" w:tplc="04190019" w:tentative="1">
      <w:start w:val="1"/>
      <w:numFmt w:val="lowerLetter"/>
      <w:lvlText w:val="%2."/>
      <w:lvlJc w:val="left"/>
      <w:pPr>
        <w:ind w:left="1807" w:hanging="360"/>
      </w:pPr>
    </w:lvl>
    <w:lvl w:ilvl="2" w:tplc="0419001B" w:tentative="1">
      <w:start w:val="1"/>
      <w:numFmt w:val="lowerRoman"/>
      <w:lvlText w:val="%3."/>
      <w:lvlJc w:val="right"/>
      <w:pPr>
        <w:ind w:left="2527" w:hanging="180"/>
      </w:pPr>
    </w:lvl>
    <w:lvl w:ilvl="3" w:tplc="0419000F" w:tentative="1">
      <w:start w:val="1"/>
      <w:numFmt w:val="decimal"/>
      <w:lvlText w:val="%4."/>
      <w:lvlJc w:val="left"/>
      <w:pPr>
        <w:ind w:left="3247" w:hanging="360"/>
      </w:pPr>
    </w:lvl>
    <w:lvl w:ilvl="4" w:tplc="04190019" w:tentative="1">
      <w:start w:val="1"/>
      <w:numFmt w:val="lowerLetter"/>
      <w:lvlText w:val="%5."/>
      <w:lvlJc w:val="left"/>
      <w:pPr>
        <w:ind w:left="3967" w:hanging="360"/>
      </w:pPr>
    </w:lvl>
    <w:lvl w:ilvl="5" w:tplc="0419001B" w:tentative="1">
      <w:start w:val="1"/>
      <w:numFmt w:val="lowerRoman"/>
      <w:lvlText w:val="%6."/>
      <w:lvlJc w:val="right"/>
      <w:pPr>
        <w:ind w:left="4687" w:hanging="180"/>
      </w:pPr>
    </w:lvl>
    <w:lvl w:ilvl="6" w:tplc="0419000F" w:tentative="1">
      <w:start w:val="1"/>
      <w:numFmt w:val="decimal"/>
      <w:lvlText w:val="%7."/>
      <w:lvlJc w:val="left"/>
      <w:pPr>
        <w:ind w:left="5407" w:hanging="360"/>
      </w:pPr>
    </w:lvl>
    <w:lvl w:ilvl="7" w:tplc="04190019" w:tentative="1">
      <w:start w:val="1"/>
      <w:numFmt w:val="lowerLetter"/>
      <w:lvlText w:val="%8."/>
      <w:lvlJc w:val="left"/>
      <w:pPr>
        <w:ind w:left="6127" w:hanging="360"/>
      </w:pPr>
    </w:lvl>
    <w:lvl w:ilvl="8" w:tplc="0419001B" w:tentative="1">
      <w:start w:val="1"/>
      <w:numFmt w:val="lowerRoman"/>
      <w:lvlText w:val="%9."/>
      <w:lvlJc w:val="right"/>
      <w:pPr>
        <w:ind w:left="6847" w:hanging="180"/>
      </w:pPr>
    </w:lvl>
  </w:abstractNum>
  <w:abstractNum w:abstractNumId="64" w15:restartNumberingAfterBreak="0">
    <w:nsid w:val="2B0C3507"/>
    <w:multiLevelType w:val="hybridMultilevel"/>
    <w:tmpl w:val="3BACC6D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5" w15:restartNumberingAfterBreak="0">
    <w:nsid w:val="2B6A3236"/>
    <w:multiLevelType w:val="multilevel"/>
    <w:tmpl w:val="04D4B0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6" w15:restartNumberingAfterBreak="0">
    <w:nsid w:val="2B8F3C08"/>
    <w:multiLevelType w:val="hybridMultilevel"/>
    <w:tmpl w:val="8FB6C6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2BA76C2F"/>
    <w:multiLevelType w:val="hybridMultilevel"/>
    <w:tmpl w:val="49500C2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2E8B4B12"/>
    <w:multiLevelType w:val="hybridMultilevel"/>
    <w:tmpl w:val="C3C6F6C6"/>
    <w:lvl w:ilvl="0" w:tplc="0419000F">
      <w:start w:val="1"/>
      <w:numFmt w:val="decimal"/>
      <w:lvlText w:val="%1."/>
      <w:lvlJc w:val="left"/>
      <w:pPr>
        <w:ind w:left="720" w:hanging="360"/>
      </w:pPr>
    </w:lvl>
    <w:lvl w:ilvl="1" w:tplc="0419000F">
      <w:start w:val="1"/>
      <w:numFmt w:val="decimal"/>
      <w:lvlText w:val="%2."/>
      <w:lvlJc w:val="left"/>
      <w:pPr>
        <w:ind w:left="1440" w:hanging="360"/>
      </w:pPr>
    </w:lvl>
    <w:lvl w:ilvl="2" w:tplc="B27A73A4">
      <w:start w:val="1"/>
      <w:numFmt w:val="lowerRoman"/>
      <w:lvlText w:val="%3)"/>
      <w:lvlJc w:val="left"/>
      <w:pPr>
        <w:ind w:left="2940" w:hanging="96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2F643F0D"/>
    <w:multiLevelType w:val="hybridMultilevel"/>
    <w:tmpl w:val="4B32117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30474273"/>
    <w:multiLevelType w:val="multilevel"/>
    <w:tmpl w:val="B85E8ACC"/>
    <w:lvl w:ilvl="0">
      <w:start w:val="1"/>
      <w:numFmt w:val="decimal"/>
      <w:lvlText w:val="%1."/>
      <w:lvlJc w:val="left"/>
      <w:pPr>
        <w:ind w:left="720" w:hanging="360"/>
      </w:pPr>
      <w:rPr>
        <w:rFonts w:cs="Arial" w:hint="default"/>
        <w:b/>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640" w:hanging="2520"/>
      </w:pPr>
      <w:rPr>
        <w:rFonts w:hint="default"/>
      </w:rPr>
    </w:lvl>
  </w:abstractNum>
  <w:abstractNum w:abstractNumId="71" w15:restartNumberingAfterBreak="0">
    <w:nsid w:val="307D762E"/>
    <w:multiLevelType w:val="hybridMultilevel"/>
    <w:tmpl w:val="29C24A4A"/>
    <w:lvl w:ilvl="0" w:tplc="04190001">
      <w:start w:val="1"/>
      <w:numFmt w:val="bullet"/>
      <w:lvlText w:val=""/>
      <w:lvlJc w:val="left"/>
      <w:pPr>
        <w:ind w:left="294" w:hanging="360"/>
      </w:pPr>
      <w:rPr>
        <w:rFonts w:ascii="Symbol" w:hAnsi="Symbol" w:hint="default"/>
      </w:rPr>
    </w:lvl>
    <w:lvl w:ilvl="1" w:tplc="04190003" w:tentative="1">
      <w:start w:val="1"/>
      <w:numFmt w:val="bullet"/>
      <w:lvlText w:val="o"/>
      <w:lvlJc w:val="left"/>
      <w:pPr>
        <w:ind w:left="1014" w:hanging="360"/>
      </w:pPr>
      <w:rPr>
        <w:rFonts w:ascii="Courier New" w:hAnsi="Courier New" w:cs="Courier New" w:hint="default"/>
      </w:rPr>
    </w:lvl>
    <w:lvl w:ilvl="2" w:tplc="04190005" w:tentative="1">
      <w:start w:val="1"/>
      <w:numFmt w:val="bullet"/>
      <w:lvlText w:val=""/>
      <w:lvlJc w:val="left"/>
      <w:pPr>
        <w:ind w:left="1734" w:hanging="360"/>
      </w:pPr>
      <w:rPr>
        <w:rFonts w:ascii="Wingdings" w:hAnsi="Wingdings" w:hint="default"/>
      </w:rPr>
    </w:lvl>
    <w:lvl w:ilvl="3" w:tplc="04190001" w:tentative="1">
      <w:start w:val="1"/>
      <w:numFmt w:val="bullet"/>
      <w:lvlText w:val=""/>
      <w:lvlJc w:val="left"/>
      <w:pPr>
        <w:ind w:left="2454" w:hanging="360"/>
      </w:pPr>
      <w:rPr>
        <w:rFonts w:ascii="Symbol" w:hAnsi="Symbol" w:hint="default"/>
      </w:rPr>
    </w:lvl>
    <w:lvl w:ilvl="4" w:tplc="04190003" w:tentative="1">
      <w:start w:val="1"/>
      <w:numFmt w:val="bullet"/>
      <w:lvlText w:val="o"/>
      <w:lvlJc w:val="left"/>
      <w:pPr>
        <w:ind w:left="3174" w:hanging="360"/>
      </w:pPr>
      <w:rPr>
        <w:rFonts w:ascii="Courier New" w:hAnsi="Courier New" w:cs="Courier New" w:hint="default"/>
      </w:rPr>
    </w:lvl>
    <w:lvl w:ilvl="5" w:tplc="04190005" w:tentative="1">
      <w:start w:val="1"/>
      <w:numFmt w:val="bullet"/>
      <w:lvlText w:val=""/>
      <w:lvlJc w:val="left"/>
      <w:pPr>
        <w:ind w:left="3894" w:hanging="360"/>
      </w:pPr>
      <w:rPr>
        <w:rFonts w:ascii="Wingdings" w:hAnsi="Wingdings" w:hint="default"/>
      </w:rPr>
    </w:lvl>
    <w:lvl w:ilvl="6" w:tplc="04190001" w:tentative="1">
      <w:start w:val="1"/>
      <w:numFmt w:val="bullet"/>
      <w:lvlText w:val=""/>
      <w:lvlJc w:val="left"/>
      <w:pPr>
        <w:ind w:left="4614" w:hanging="360"/>
      </w:pPr>
      <w:rPr>
        <w:rFonts w:ascii="Symbol" w:hAnsi="Symbol" w:hint="default"/>
      </w:rPr>
    </w:lvl>
    <w:lvl w:ilvl="7" w:tplc="04190003" w:tentative="1">
      <w:start w:val="1"/>
      <w:numFmt w:val="bullet"/>
      <w:lvlText w:val="o"/>
      <w:lvlJc w:val="left"/>
      <w:pPr>
        <w:ind w:left="5334" w:hanging="360"/>
      </w:pPr>
      <w:rPr>
        <w:rFonts w:ascii="Courier New" w:hAnsi="Courier New" w:cs="Courier New" w:hint="default"/>
      </w:rPr>
    </w:lvl>
    <w:lvl w:ilvl="8" w:tplc="04190005" w:tentative="1">
      <w:start w:val="1"/>
      <w:numFmt w:val="bullet"/>
      <w:lvlText w:val=""/>
      <w:lvlJc w:val="left"/>
      <w:pPr>
        <w:ind w:left="6054" w:hanging="360"/>
      </w:pPr>
      <w:rPr>
        <w:rFonts w:ascii="Wingdings" w:hAnsi="Wingdings" w:hint="default"/>
      </w:rPr>
    </w:lvl>
  </w:abstractNum>
  <w:abstractNum w:abstractNumId="72" w15:restartNumberingAfterBreak="0">
    <w:nsid w:val="3115294A"/>
    <w:multiLevelType w:val="hybridMultilevel"/>
    <w:tmpl w:val="6FC8B9B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3" w15:restartNumberingAfterBreak="0">
    <w:nsid w:val="31997F65"/>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33296DA7"/>
    <w:multiLevelType w:val="multilevel"/>
    <w:tmpl w:val="D8A83B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5" w15:restartNumberingAfterBreak="0">
    <w:nsid w:val="339B722C"/>
    <w:multiLevelType w:val="hybridMultilevel"/>
    <w:tmpl w:val="910CEEA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15:restartNumberingAfterBreak="0">
    <w:nsid w:val="342C3B01"/>
    <w:multiLevelType w:val="multilevel"/>
    <w:tmpl w:val="928694A4"/>
    <w:lvl w:ilvl="0">
      <w:start w:val="1"/>
      <w:numFmt w:val="decimal"/>
      <w:lvlText w:val="%1"/>
      <w:lvlJc w:val="left"/>
      <w:pPr>
        <w:ind w:left="-66" w:hanging="360"/>
      </w:pPr>
      <w:rPr>
        <w:rFonts w:hint="default"/>
        <w:color w:val="000000" w:themeColor="text1"/>
      </w:rPr>
    </w:lvl>
    <w:lvl w:ilvl="1">
      <w:start w:val="12"/>
      <w:numFmt w:val="decimal"/>
      <w:isLgl/>
      <w:lvlText w:val="%1.%2."/>
      <w:lvlJc w:val="left"/>
      <w:pPr>
        <w:ind w:left="1146" w:hanging="720"/>
      </w:pPr>
      <w:rPr>
        <w:rFonts w:hint="default"/>
      </w:rPr>
    </w:lvl>
    <w:lvl w:ilvl="2">
      <w:start w:val="1"/>
      <w:numFmt w:val="decimal"/>
      <w:isLgl/>
      <w:lvlText w:val="%1.%2.%3."/>
      <w:lvlJc w:val="left"/>
      <w:pPr>
        <w:ind w:left="2358" w:hanging="1080"/>
      </w:pPr>
      <w:rPr>
        <w:rFonts w:hint="default"/>
      </w:rPr>
    </w:lvl>
    <w:lvl w:ilvl="3">
      <w:start w:val="1"/>
      <w:numFmt w:val="decimal"/>
      <w:isLgl/>
      <w:lvlText w:val="%1.%2.%3.%4."/>
      <w:lvlJc w:val="left"/>
      <w:pPr>
        <w:ind w:left="3210" w:hanging="1080"/>
      </w:pPr>
      <w:rPr>
        <w:rFonts w:hint="default"/>
      </w:rPr>
    </w:lvl>
    <w:lvl w:ilvl="4">
      <w:start w:val="1"/>
      <w:numFmt w:val="decimal"/>
      <w:isLgl/>
      <w:lvlText w:val="%1.%2.%3.%4.%5."/>
      <w:lvlJc w:val="left"/>
      <w:pPr>
        <w:ind w:left="4422" w:hanging="1440"/>
      </w:pPr>
      <w:rPr>
        <w:rFonts w:hint="default"/>
      </w:rPr>
    </w:lvl>
    <w:lvl w:ilvl="5">
      <w:start w:val="1"/>
      <w:numFmt w:val="decimal"/>
      <w:isLgl/>
      <w:lvlText w:val="%1.%2.%3.%4.%5.%6."/>
      <w:lvlJc w:val="left"/>
      <w:pPr>
        <w:ind w:left="5634" w:hanging="1800"/>
      </w:pPr>
      <w:rPr>
        <w:rFonts w:hint="default"/>
      </w:rPr>
    </w:lvl>
    <w:lvl w:ilvl="6">
      <w:start w:val="1"/>
      <w:numFmt w:val="decimal"/>
      <w:isLgl/>
      <w:lvlText w:val="%1.%2.%3.%4.%5.%6.%7."/>
      <w:lvlJc w:val="left"/>
      <w:pPr>
        <w:ind w:left="6486" w:hanging="1800"/>
      </w:pPr>
      <w:rPr>
        <w:rFonts w:hint="default"/>
      </w:rPr>
    </w:lvl>
    <w:lvl w:ilvl="7">
      <w:start w:val="1"/>
      <w:numFmt w:val="decimal"/>
      <w:isLgl/>
      <w:lvlText w:val="%1.%2.%3.%4.%5.%6.%7.%8."/>
      <w:lvlJc w:val="left"/>
      <w:pPr>
        <w:ind w:left="7698" w:hanging="2160"/>
      </w:pPr>
      <w:rPr>
        <w:rFonts w:hint="default"/>
      </w:rPr>
    </w:lvl>
    <w:lvl w:ilvl="8">
      <w:start w:val="1"/>
      <w:numFmt w:val="decimal"/>
      <w:isLgl/>
      <w:lvlText w:val="%1.%2.%3.%4.%5.%6.%7.%8.%9."/>
      <w:lvlJc w:val="left"/>
      <w:pPr>
        <w:ind w:left="8910" w:hanging="2520"/>
      </w:pPr>
      <w:rPr>
        <w:rFonts w:hint="default"/>
      </w:rPr>
    </w:lvl>
  </w:abstractNum>
  <w:abstractNum w:abstractNumId="77" w15:restartNumberingAfterBreak="0">
    <w:nsid w:val="352C08F4"/>
    <w:multiLevelType w:val="hybridMultilevel"/>
    <w:tmpl w:val="78D2A28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15:restartNumberingAfterBreak="0">
    <w:nsid w:val="35CD3383"/>
    <w:multiLevelType w:val="hybridMultilevel"/>
    <w:tmpl w:val="D2C6931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15:restartNumberingAfterBreak="0">
    <w:nsid w:val="390E7BEB"/>
    <w:multiLevelType w:val="hybridMultilevel"/>
    <w:tmpl w:val="636A5A38"/>
    <w:lvl w:ilvl="0" w:tplc="BC0E1A3A">
      <w:start w:val="1"/>
      <w:numFmt w:val="decimal"/>
      <w:lvlText w:val="%1."/>
      <w:lvlJc w:val="left"/>
      <w:pPr>
        <w:ind w:left="643" w:hanging="360"/>
      </w:pPr>
      <w:rPr>
        <w:rFonts w:hint="default"/>
      </w:rPr>
    </w:lvl>
    <w:lvl w:ilvl="1" w:tplc="04190019" w:tentative="1">
      <w:start w:val="1"/>
      <w:numFmt w:val="lowerLetter"/>
      <w:lvlText w:val="%2."/>
      <w:lvlJc w:val="left"/>
      <w:pPr>
        <w:ind w:left="1363" w:hanging="360"/>
      </w:pPr>
    </w:lvl>
    <w:lvl w:ilvl="2" w:tplc="0419001B" w:tentative="1">
      <w:start w:val="1"/>
      <w:numFmt w:val="lowerRoman"/>
      <w:lvlText w:val="%3."/>
      <w:lvlJc w:val="right"/>
      <w:pPr>
        <w:ind w:left="2083" w:hanging="180"/>
      </w:pPr>
    </w:lvl>
    <w:lvl w:ilvl="3" w:tplc="0419000F" w:tentative="1">
      <w:start w:val="1"/>
      <w:numFmt w:val="decimal"/>
      <w:lvlText w:val="%4."/>
      <w:lvlJc w:val="left"/>
      <w:pPr>
        <w:ind w:left="2803" w:hanging="360"/>
      </w:pPr>
    </w:lvl>
    <w:lvl w:ilvl="4" w:tplc="04190019" w:tentative="1">
      <w:start w:val="1"/>
      <w:numFmt w:val="lowerLetter"/>
      <w:lvlText w:val="%5."/>
      <w:lvlJc w:val="left"/>
      <w:pPr>
        <w:ind w:left="3523" w:hanging="360"/>
      </w:pPr>
    </w:lvl>
    <w:lvl w:ilvl="5" w:tplc="0419001B" w:tentative="1">
      <w:start w:val="1"/>
      <w:numFmt w:val="lowerRoman"/>
      <w:lvlText w:val="%6."/>
      <w:lvlJc w:val="right"/>
      <w:pPr>
        <w:ind w:left="4243" w:hanging="180"/>
      </w:pPr>
    </w:lvl>
    <w:lvl w:ilvl="6" w:tplc="0419000F" w:tentative="1">
      <w:start w:val="1"/>
      <w:numFmt w:val="decimal"/>
      <w:lvlText w:val="%7."/>
      <w:lvlJc w:val="left"/>
      <w:pPr>
        <w:ind w:left="4963" w:hanging="360"/>
      </w:pPr>
    </w:lvl>
    <w:lvl w:ilvl="7" w:tplc="04190019" w:tentative="1">
      <w:start w:val="1"/>
      <w:numFmt w:val="lowerLetter"/>
      <w:lvlText w:val="%8."/>
      <w:lvlJc w:val="left"/>
      <w:pPr>
        <w:ind w:left="5683" w:hanging="360"/>
      </w:pPr>
    </w:lvl>
    <w:lvl w:ilvl="8" w:tplc="0419001B" w:tentative="1">
      <w:start w:val="1"/>
      <w:numFmt w:val="lowerRoman"/>
      <w:lvlText w:val="%9."/>
      <w:lvlJc w:val="right"/>
      <w:pPr>
        <w:ind w:left="6403" w:hanging="180"/>
      </w:pPr>
    </w:lvl>
  </w:abstractNum>
  <w:abstractNum w:abstractNumId="80" w15:restartNumberingAfterBreak="0">
    <w:nsid w:val="39F23817"/>
    <w:multiLevelType w:val="multilevel"/>
    <w:tmpl w:val="EEFCFE48"/>
    <w:lvl w:ilvl="0">
      <w:start w:val="1"/>
      <w:numFmt w:val="decimal"/>
      <w:lvlText w:val="%1."/>
      <w:lvlJc w:val="left"/>
      <w:pPr>
        <w:ind w:left="457" w:hanging="360"/>
      </w:pPr>
      <w:rPr>
        <w:rFonts w:hint="default"/>
      </w:rPr>
    </w:lvl>
    <w:lvl w:ilvl="1">
      <w:start w:val="1"/>
      <w:numFmt w:val="decimal"/>
      <w:isLgl/>
      <w:lvlText w:val="%1.%2."/>
      <w:lvlJc w:val="left"/>
      <w:pPr>
        <w:ind w:left="2574" w:hanging="720"/>
      </w:pPr>
      <w:rPr>
        <w:rFonts w:hint="default"/>
        <w:b/>
      </w:rPr>
    </w:lvl>
    <w:lvl w:ilvl="2">
      <w:start w:val="1"/>
      <w:numFmt w:val="decimal"/>
      <w:isLgl/>
      <w:lvlText w:val="%1.%2.%3."/>
      <w:lvlJc w:val="left"/>
      <w:pPr>
        <w:ind w:left="4331" w:hanging="720"/>
      </w:pPr>
      <w:rPr>
        <w:rFonts w:hint="default"/>
      </w:rPr>
    </w:lvl>
    <w:lvl w:ilvl="3">
      <w:start w:val="1"/>
      <w:numFmt w:val="decimal"/>
      <w:isLgl/>
      <w:lvlText w:val="%1.%2.%3.%4."/>
      <w:lvlJc w:val="left"/>
      <w:pPr>
        <w:ind w:left="6448" w:hanging="1080"/>
      </w:pPr>
      <w:rPr>
        <w:rFonts w:hint="default"/>
      </w:rPr>
    </w:lvl>
    <w:lvl w:ilvl="4">
      <w:start w:val="1"/>
      <w:numFmt w:val="decimal"/>
      <w:isLgl/>
      <w:lvlText w:val="%1.%2.%3.%4.%5."/>
      <w:lvlJc w:val="left"/>
      <w:pPr>
        <w:ind w:left="8205" w:hanging="1080"/>
      </w:pPr>
      <w:rPr>
        <w:rFonts w:hint="default"/>
      </w:rPr>
    </w:lvl>
    <w:lvl w:ilvl="5">
      <w:start w:val="1"/>
      <w:numFmt w:val="decimal"/>
      <w:isLgl/>
      <w:lvlText w:val="%1.%2.%3.%4.%5.%6."/>
      <w:lvlJc w:val="left"/>
      <w:pPr>
        <w:ind w:left="10322" w:hanging="1440"/>
      </w:pPr>
      <w:rPr>
        <w:rFonts w:hint="default"/>
      </w:rPr>
    </w:lvl>
    <w:lvl w:ilvl="6">
      <w:start w:val="1"/>
      <w:numFmt w:val="decimal"/>
      <w:isLgl/>
      <w:lvlText w:val="%1.%2.%3.%4.%5.%6.%7."/>
      <w:lvlJc w:val="left"/>
      <w:pPr>
        <w:ind w:left="12439" w:hanging="1800"/>
      </w:pPr>
      <w:rPr>
        <w:rFonts w:hint="default"/>
      </w:rPr>
    </w:lvl>
    <w:lvl w:ilvl="7">
      <w:start w:val="1"/>
      <w:numFmt w:val="decimal"/>
      <w:isLgl/>
      <w:lvlText w:val="%1.%2.%3.%4.%5.%6.%7.%8."/>
      <w:lvlJc w:val="left"/>
      <w:pPr>
        <w:ind w:left="14196" w:hanging="1800"/>
      </w:pPr>
      <w:rPr>
        <w:rFonts w:hint="default"/>
      </w:rPr>
    </w:lvl>
    <w:lvl w:ilvl="8">
      <w:start w:val="1"/>
      <w:numFmt w:val="decimal"/>
      <w:isLgl/>
      <w:lvlText w:val="%1.%2.%3.%4.%5.%6.%7.%8.%9."/>
      <w:lvlJc w:val="left"/>
      <w:pPr>
        <w:ind w:left="16313" w:hanging="2160"/>
      </w:pPr>
      <w:rPr>
        <w:rFonts w:hint="default"/>
      </w:rPr>
    </w:lvl>
  </w:abstractNum>
  <w:abstractNum w:abstractNumId="81" w15:restartNumberingAfterBreak="0">
    <w:nsid w:val="3ADF3723"/>
    <w:multiLevelType w:val="hybridMultilevel"/>
    <w:tmpl w:val="868E5D14"/>
    <w:lvl w:ilvl="0" w:tplc="0419000B">
      <w:start w:val="1"/>
      <w:numFmt w:val="bullet"/>
      <w:lvlText w:val=""/>
      <w:lvlJc w:val="left"/>
      <w:pPr>
        <w:ind w:left="1145" w:hanging="360"/>
      </w:pPr>
      <w:rPr>
        <w:rFonts w:ascii="Wingdings" w:hAnsi="Wingdings"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82" w15:restartNumberingAfterBreak="0">
    <w:nsid w:val="3AE21E20"/>
    <w:multiLevelType w:val="hybridMultilevel"/>
    <w:tmpl w:val="D4DEDAB8"/>
    <w:lvl w:ilvl="0" w:tplc="CE60AE9A">
      <w:start w:val="1"/>
      <w:numFmt w:val="decimal"/>
      <w:lvlText w:val="%1)"/>
      <w:lvlJc w:val="left"/>
      <w:pPr>
        <w:ind w:left="643" w:hanging="360"/>
      </w:pPr>
      <w:rPr>
        <w:rFonts w:hint="default"/>
      </w:rPr>
    </w:lvl>
    <w:lvl w:ilvl="1" w:tplc="04190019" w:tentative="1">
      <w:start w:val="1"/>
      <w:numFmt w:val="lowerLetter"/>
      <w:lvlText w:val="%2."/>
      <w:lvlJc w:val="left"/>
      <w:pPr>
        <w:ind w:left="1363" w:hanging="360"/>
      </w:pPr>
    </w:lvl>
    <w:lvl w:ilvl="2" w:tplc="0419001B" w:tentative="1">
      <w:start w:val="1"/>
      <w:numFmt w:val="lowerRoman"/>
      <w:lvlText w:val="%3."/>
      <w:lvlJc w:val="right"/>
      <w:pPr>
        <w:ind w:left="2083" w:hanging="180"/>
      </w:pPr>
    </w:lvl>
    <w:lvl w:ilvl="3" w:tplc="0419000F" w:tentative="1">
      <w:start w:val="1"/>
      <w:numFmt w:val="decimal"/>
      <w:lvlText w:val="%4."/>
      <w:lvlJc w:val="left"/>
      <w:pPr>
        <w:ind w:left="2803" w:hanging="360"/>
      </w:pPr>
    </w:lvl>
    <w:lvl w:ilvl="4" w:tplc="04190019" w:tentative="1">
      <w:start w:val="1"/>
      <w:numFmt w:val="lowerLetter"/>
      <w:lvlText w:val="%5."/>
      <w:lvlJc w:val="left"/>
      <w:pPr>
        <w:ind w:left="3523" w:hanging="360"/>
      </w:pPr>
    </w:lvl>
    <w:lvl w:ilvl="5" w:tplc="0419001B" w:tentative="1">
      <w:start w:val="1"/>
      <w:numFmt w:val="lowerRoman"/>
      <w:lvlText w:val="%6."/>
      <w:lvlJc w:val="right"/>
      <w:pPr>
        <w:ind w:left="4243" w:hanging="180"/>
      </w:pPr>
    </w:lvl>
    <w:lvl w:ilvl="6" w:tplc="0419000F" w:tentative="1">
      <w:start w:val="1"/>
      <w:numFmt w:val="decimal"/>
      <w:lvlText w:val="%7."/>
      <w:lvlJc w:val="left"/>
      <w:pPr>
        <w:ind w:left="4963" w:hanging="360"/>
      </w:pPr>
    </w:lvl>
    <w:lvl w:ilvl="7" w:tplc="04190019" w:tentative="1">
      <w:start w:val="1"/>
      <w:numFmt w:val="lowerLetter"/>
      <w:lvlText w:val="%8."/>
      <w:lvlJc w:val="left"/>
      <w:pPr>
        <w:ind w:left="5683" w:hanging="360"/>
      </w:pPr>
    </w:lvl>
    <w:lvl w:ilvl="8" w:tplc="0419001B" w:tentative="1">
      <w:start w:val="1"/>
      <w:numFmt w:val="lowerRoman"/>
      <w:lvlText w:val="%9."/>
      <w:lvlJc w:val="right"/>
      <w:pPr>
        <w:ind w:left="6403" w:hanging="180"/>
      </w:pPr>
    </w:lvl>
  </w:abstractNum>
  <w:abstractNum w:abstractNumId="83" w15:restartNumberingAfterBreak="0">
    <w:nsid w:val="3C793299"/>
    <w:multiLevelType w:val="hybridMultilevel"/>
    <w:tmpl w:val="BBBC9D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4" w15:restartNumberingAfterBreak="0">
    <w:nsid w:val="3CD904E9"/>
    <w:multiLevelType w:val="multilevel"/>
    <w:tmpl w:val="28128FE4"/>
    <w:lvl w:ilvl="0">
      <w:start w:val="1"/>
      <w:numFmt w:val="decimal"/>
      <w:lvlText w:val="%1."/>
      <w:lvlJc w:val="left"/>
      <w:pPr>
        <w:ind w:left="720" w:hanging="360"/>
      </w:pPr>
      <w:rPr>
        <w:rFonts w:hint="default"/>
      </w:rPr>
    </w:lvl>
    <w:lvl w:ilvl="1">
      <w:start w:val="1"/>
      <w:numFmt w:val="decimal"/>
      <w:isLgl/>
      <w:lvlText w:val="%1.%2."/>
      <w:lvlJc w:val="left"/>
      <w:pPr>
        <w:ind w:left="1087" w:hanging="720"/>
      </w:pPr>
      <w:rPr>
        <w:rFonts w:hint="default"/>
      </w:rPr>
    </w:lvl>
    <w:lvl w:ilvl="2">
      <w:start w:val="1"/>
      <w:numFmt w:val="decimal"/>
      <w:isLgl/>
      <w:lvlText w:val="%1.%2.%3."/>
      <w:lvlJc w:val="left"/>
      <w:pPr>
        <w:ind w:left="1094" w:hanging="720"/>
      </w:pPr>
      <w:rPr>
        <w:rFonts w:hint="default"/>
      </w:rPr>
    </w:lvl>
    <w:lvl w:ilvl="3">
      <w:start w:val="1"/>
      <w:numFmt w:val="decimal"/>
      <w:isLgl/>
      <w:lvlText w:val="%1.%2.%3.%4."/>
      <w:lvlJc w:val="left"/>
      <w:pPr>
        <w:ind w:left="1461" w:hanging="1080"/>
      </w:pPr>
      <w:rPr>
        <w:rFonts w:hint="default"/>
      </w:rPr>
    </w:lvl>
    <w:lvl w:ilvl="4">
      <w:start w:val="1"/>
      <w:numFmt w:val="decimal"/>
      <w:isLgl/>
      <w:lvlText w:val="%1.%2.%3.%4.%5."/>
      <w:lvlJc w:val="left"/>
      <w:pPr>
        <w:ind w:left="1468" w:hanging="1080"/>
      </w:pPr>
      <w:rPr>
        <w:rFonts w:hint="default"/>
      </w:rPr>
    </w:lvl>
    <w:lvl w:ilvl="5">
      <w:start w:val="1"/>
      <w:numFmt w:val="decimal"/>
      <w:isLgl/>
      <w:lvlText w:val="%1.%2.%3.%4.%5.%6."/>
      <w:lvlJc w:val="left"/>
      <w:pPr>
        <w:ind w:left="1835" w:hanging="1440"/>
      </w:pPr>
      <w:rPr>
        <w:rFonts w:hint="default"/>
      </w:rPr>
    </w:lvl>
    <w:lvl w:ilvl="6">
      <w:start w:val="1"/>
      <w:numFmt w:val="decimal"/>
      <w:isLgl/>
      <w:lvlText w:val="%1.%2.%3.%4.%5.%6.%7."/>
      <w:lvlJc w:val="left"/>
      <w:pPr>
        <w:ind w:left="2202" w:hanging="1800"/>
      </w:pPr>
      <w:rPr>
        <w:rFonts w:hint="default"/>
      </w:rPr>
    </w:lvl>
    <w:lvl w:ilvl="7">
      <w:start w:val="1"/>
      <w:numFmt w:val="decimal"/>
      <w:isLgl/>
      <w:lvlText w:val="%1.%2.%3.%4.%5.%6.%7.%8."/>
      <w:lvlJc w:val="left"/>
      <w:pPr>
        <w:ind w:left="2209" w:hanging="1800"/>
      </w:pPr>
      <w:rPr>
        <w:rFonts w:hint="default"/>
      </w:rPr>
    </w:lvl>
    <w:lvl w:ilvl="8">
      <w:start w:val="1"/>
      <w:numFmt w:val="decimal"/>
      <w:isLgl/>
      <w:lvlText w:val="%1.%2.%3.%4.%5.%6.%7.%8.%9."/>
      <w:lvlJc w:val="left"/>
      <w:pPr>
        <w:ind w:left="2576" w:hanging="2160"/>
      </w:pPr>
      <w:rPr>
        <w:rFonts w:hint="default"/>
      </w:rPr>
    </w:lvl>
  </w:abstractNum>
  <w:abstractNum w:abstractNumId="85" w15:restartNumberingAfterBreak="0">
    <w:nsid w:val="3D022955"/>
    <w:multiLevelType w:val="hybridMultilevel"/>
    <w:tmpl w:val="0E147B58"/>
    <w:lvl w:ilvl="0" w:tplc="74D8132A">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6" w15:restartNumberingAfterBreak="0">
    <w:nsid w:val="3EAF0BA2"/>
    <w:multiLevelType w:val="hybridMultilevel"/>
    <w:tmpl w:val="D930A5FC"/>
    <w:lvl w:ilvl="0" w:tplc="04190001">
      <w:start w:val="1"/>
      <w:numFmt w:val="bullet"/>
      <w:lvlText w:val=""/>
      <w:lvlJc w:val="left"/>
      <w:pPr>
        <w:ind w:left="1084" w:hanging="360"/>
      </w:pPr>
      <w:rPr>
        <w:rFonts w:ascii="Symbol" w:hAnsi="Symbol" w:hint="default"/>
      </w:rPr>
    </w:lvl>
    <w:lvl w:ilvl="1" w:tplc="04190003" w:tentative="1">
      <w:start w:val="1"/>
      <w:numFmt w:val="bullet"/>
      <w:lvlText w:val="o"/>
      <w:lvlJc w:val="left"/>
      <w:pPr>
        <w:ind w:left="1804" w:hanging="360"/>
      </w:pPr>
      <w:rPr>
        <w:rFonts w:ascii="Courier New" w:hAnsi="Courier New" w:cs="Courier New" w:hint="default"/>
      </w:rPr>
    </w:lvl>
    <w:lvl w:ilvl="2" w:tplc="04190005" w:tentative="1">
      <w:start w:val="1"/>
      <w:numFmt w:val="bullet"/>
      <w:lvlText w:val=""/>
      <w:lvlJc w:val="left"/>
      <w:pPr>
        <w:ind w:left="2524" w:hanging="360"/>
      </w:pPr>
      <w:rPr>
        <w:rFonts w:ascii="Wingdings" w:hAnsi="Wingdings" w:hint="default"/>
      </w:rPr>
    </w:lvl>
    <w:lvl w:ilvl="3" w:tplc="04190001" w:tentative="1">
      <w:start w:val="1"/>
      <w:numFmt w:val="bullet"/>
      <w:lvlText w:val=""/>
      <w:lvlJc w:val="left"/>
      <w:pPr>
        <w:ind w:left="3244" w:hanging="360"/>
      </w:pPr>
      <w:rPr>
        <w:rFonts w:ascii="Symbol" w:hAnsi="Symbol" w:hint="default"/>
      </w:rPr>
    </w:lvl>
    <w:lvl w:ilvl="4" w:tplc="04190003" w:tentative="1">
      <w:start w:val="1"/>
      <w:numFmt w:val="bullet"/>
      <w:lvlText w:val="o"/>
      <w:lvlJc w:val="left"/>
      <w:pPr>
        <w:ind w:left="3964" w:hanging="360"/>
      </w:pPr>
      <w:rPr>
        <w:rFonts w:ascii="Courier New" w:hAnsi="Courier New" w:cs="Courier New" w:hint="default"/>
      </w:rPr>
    </w:lvl>
    <w:lvl w:ilvl="5" w:tplc="04190005" w:tentative="1">
      <w:start w:val="1"/>
      <w:numFmt w:val="bullet"/>
      <w:lvlText w:val=""/>
      <w:lvlJc w:val="left"/>
      <w:pPr>
        <w:ind w:left="4684" w:hanging="360"/>
      </w:pPr>
      <w:rPr>
        <w:rFonts w:ascii="Wingdings" w:hAnsi="Wingdings" w:hint="default"/>
      </w:rPr>
    </w:lvl>
    <w:lvl w:ilvl="6" w:tplc="04190001" w:tentative="1">
      <w:start w:val="1"/>
      <w:numFmt w:val="bullet"/>
      <w:lvlText w:val=""/>
      <w:lvlJc w:val="left"/>
      <w:pPr>
        <w:ind w:left="5404" w:hanging="360"/>
      </w:pPr>
      <w:rPr>
        <w:rFonts w:ascii="Symbol" w:hAnsi="Symbol" w:hint="default"/>
      </w:rPr>
    </w:lvl>
    <w:lvl w:ilvl="7" w:tplc="04190003" w:tentative="1">
      <w:start w:val="1"/>
      <w:numFmt w:val="bullet"/>
      <w:lvlText w:val="o"/>
      <w:lvlJc w:val="left"/>
      <w:pPr>
        <w:ind w:left="6124" w:hanging="360"/>
      </w:pPr>
      <w:rPr>
        <w:rFonts w:ascii="Courier New" w:hAnsi="Courier New" w:cs="Courier New" w:hint="default"/>
      </w:rPr>
    </w:lvl>
    <w:lvl w:ilvl="8" w:tplc="04190005" w:tentative="1">
      <w:start w:val="1"/>
      <w:numFmt w:val="bullet"/>
      <w:lvlText w:val=""/>
      <w:lvlJc w:val="left"/>
      <w:pPr>
        <w:ind w:left="6844" w:hanging="360"/>
      </w:pPr>
      <w:rPr>
        <w:rFonts w:ascii="Wingdings" w:hAnsi="Wingdings" w:hint="default"/>
      </w:rPr>
    </w:lvl>
  </w:abstractNum>
  <w:abstractNum w:abstractNumId="87" w15:restartNumberingAfterBreak="0">
    <w:nsid w:val="41650BA6"/>
    <w:multiLevelType w:val="hybridMultilevel"/>
    <w:tmpl w:val="3A541EB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8" w15:restartNumberingAfterBreak="0">
    <w:nsid w:val="41B32B62"/>
    <w:multiLevelType w:val="hybridMultilevel"/>
    <w:tmpl w:val="3894D6F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9" w15:restartNumberingAfterBreak="0">
    <w:nsid w:val="41FF2435"/>
    <w:multiLevelType w:val="hybridMultilevel"/>
    <w:tmpl w:val="34CAB8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0" w15:restartNumberingAfterBreak="0">
    <w:nsid w:val="428F1B34"/>
    <w:multiLevelType w:val="hybridMultilevel"/>
    <w:tmpl w:val="891C84FC"/>
    <w:lvl w:ilvl="0" w:tplc="8C762078">
      <w:start w:val="1"/>
      <w:numFmt w:val="bullet"/>
      <w:lvlText w:val="­"/>
      <w:lvlJc w:val="left"/>
      <w:pPr>
        <w:ind w:left="1040" w:hanging="360"/>
      </w:pPr>
      <w:rPr>
        <w:rFonts w:ascii="Courier New" w:hAnsi="Courier New" w:hint="default"/>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91" w15:restartNumberingAfterBreak="0">
    <w:nsid w:val="442037E9"/>
    <w:multiLevelType w:val="hybridMultilevel"/>
    <w:tmpl w:val="76F2A8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2" w15:restartNumberingAfterBreak="0">
    <w:nsid w:val="442F07E8"/>
    <w:multiLevelType w:val="hybridMultilevel"/>
    <w:tmpl w:val="05CA5D2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3" w15:restartNumberingAfterBreak="0">
    <w:nsid w:val="44C17120"/>
    <w:multiLevelType w:val="hybridMultilevel"/>
    <w:tmpl w:val="3B0231A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4" w15:restartNumberingAfterBreak="0">
    <w:nsid w:val="450B69EC"/>
    <w:multiLevelType w:val="multilevel"/>
    <w:tmpl w:val="B3B00208"/>
    <w:lvl w:ilvl="0">
      <w:start w:val="1"/>
      <w:numFmt w:val="decimal"/>
      <w:lvlText w:val="%1."/>
      <w:lvlJc w:val="left"/>
      <w:pPr>
        <w:ind w:left="720" w:hanging="360"/>
      </w:pPr>
      <w:rPr>
        <w:rFonts w:hint="default"/>
      </w:rPr>
    </w:lvl>
    <w:lvl w:ilvl="1">
      <w:start w:val="17"/>
      <w:numFmt w:val="decimal"/>
      <w:isLgl/>
      <w:lvlText w:val="%1.%2."/>
      <w:lvlJc w:val="left"/>
      <w:pPr>
        <w:ind w:left="1146" w:hanging="720"/>
      </w:pPr>
      <w:rPr>
        <w:rFonts w:hint="default"/>
      </w:rPr>
    </w:lvl>
    <w:lvl w:ilvl="2">
      <w:start w:val="1"/>
      <w:numFmt w:val="decimal"/>
      <w:isLgl/>
      <w:lvlText w:val="%1.%2.%3."/>
      <w:lvlJc w:val="left"/>
      <w:pPr>
        <w:ind w:left="1572" w:hanging="108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2064" w:hanging="1440"/>
      </w:pPr>
      <w:rPr>
        <w:rFonts w:hint="default"/>
      </w:rPr>
    </w:lvl>
    <w:lvl w:ilvl="5">
      <w:start w:val="1"/>
      <w:numFmt w:val="decimal"/>
      <w:isLgl/>
      <w:lvlText w:val="%1.%2.%3.%4.%5.%6."/>
      <w:lvlJc w:val="left"/>
      <w:pPr>
        <w:ind w:left="2490" w:hanging="180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982" w:hanging="2160"/>
      </w:pPr>
      <w:rPr>
        <w:rFonts w:hint="default"/>
      </w:rPr>
    </w:lvl>
    <w:lvl w:ilvl="8">
      <w:start w:val="1"/>
      <w:numFmt w:val="decimal"/>
      <w:isLgl/>
      <w:lvlText w:val="%1.%2.%3.%4.%5.%6.%7.%8.%9."/>
      <w:lvlJc w:val="left"/>
      <w:pPr>
        <w:ind w:left="3408" w:hanging="2520"/>
      </w:pPr>
      <w:rPr>
        <w:rFonts w:hint="default"/>
      </w:rPr>
    </w:lvl>
  </w:abstractNum>
  <w:abstractNum w:abstractNumId="95" w15:restartNumberingAfterBreak="0">
    <w:nsid w:val="462B33B3"/>
    <w:multiLevelType w:val="multilevel"/>
    <w:tmpl w:val="0BD436F0"/>
    <w:lvl w:ilvl="0">
      <w:start w:val="3"/>
      <w:numFmt w:val="decimal"/>
      <w:lvlText w:val="%1."/>
      <w:lvlJc w:val="left"/>
      <w:pPr>
        <w:ind w:left="720" w:hanging="360"/>
      </w:pPr>
      <w:rPr>
        <w:rFonts w:hint="default"/>
        <w:b/>
      </w:rPr>
    </w:lvl>
    <w:lvl w:ilvl="1">
      <w:start w:val="19"/>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6" w15:restartNumberingAfterBreak="0">
    <w:nsid w:val="467403EF"/>
    <w:multiLevelType w:val="hybridMultilevel"/>
    <w:tmpl w:val="1408B656"/>
    <w:lvl w:ilvl="0" w:tplc="0419000D">
      <w:start w:val="1"/>
      <w:numFmt w:val="bullet"/>
      <w:lvlText w:val=""/>
      <w:lvlJc w:val="left"/>
      <w:pPr>
        <w:ind w:left="1505" w:hanging="360"/>
      </w:pPr>
      <w:rPr>
        <w:rFonts w:ascii="Wingdings" w:hAnsi="Wingdings"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97" w15:restartNumberingAfterBreak="0">
    <w:nsid w:val="468D3FCF"/>
    <w:multiLevelType w:val="hybridMultilevel"/>
    <w:tmpl w:val="72548ED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8" w15:restartNumberingAfterBreak="0">
    <w:nsid w:val="46EA41E9"/>
    <w:multiLevelType w:val="multilevel"/>
    <w:tmpl w:val="B84A9BCE"/>
    <w:lvl w:ilvl="0">
      <w:start w:val="2"/>
      <w:numFmt w:val="decimal"/>
      <w:lvlText w:val="%1"/>
      <w:lvlJc w:val="left"/>
      <w:pPr>
        <w:ind w:left="600" w:hanging="600"/>
      </w:pPr>
      <w:rPr>
        <w:rFonts w:hint="default"/>
      </w:rPr>
    </w:lvl>
    <w:lvl w:ilvl="1">
      <w:start w:val="2"/>
      <w:numFmt w:val="decimal"/>
      <w:lvlText w:val="%1.%2"/>
      <w:lvlJc w:val="left"/>
      <w:pPr>
        <w:ind w:left="900" w:hanging="720"/>
      </w:pPr>
      <w:rPr>
        <w:rFonts w:hint="default"/>
      </w:rPr>
    </w:lvl>
    <w:lvl w:ilvl="2">
      <w:start w:val="3"/>
      <w:numFmt w:val="decimal"/>
      <w:lvlText w:val="%1.%2.%3"/>
      <w:lvlJc w:val="left"/>
      <w:pPr>
        <w:ind w:left="1004"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99" w15:restartNumberingAfterBreak="0">
    <w:nsid w:val="475D7712"/>
    <w:multiLevelType w:val="hybridMultilevel"/>
    <w:tmpl w:val="B5C8581A"/>
    <w:lvl w:ilvl="0" w:tplc="A3BE538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0" w15:restartNumberingAfterBreak="0">
    <w:nsid w:val="47DD358F"/>
    <w:multiLevelType w:val="multilevel"/>
    <w:tmpl w:val="F3D4B77C"/>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1" w15:restartNumberingAfterBreak="0">
    <w:nsid w:val="49075A34"/>
    <w:multiLevelType w:val="hybridMultilevel"/>
    <w:tmpl w:val="A96E9632"/>
    <w:lvl w:ilvl="0" w:tplc="4FA85D72">
      <w:start w:val="1"/>
      <w:numFmt w:val="bullet"/>
      <w:lvlText w:val=""/>
      <w:lvlJc w:val="left"/>
      <w:pPr>
        <w:ind w:left="785" w:hanging="360"/>
      </w:pPr>
      <w:rPr>
        <w:rFonts w:ascii="Symbol" w:hAnsi="Symbol" w:hint="default"/>
      </w:rPr>
    </w:lvl>
    <w:lvl w:ilvl="1" w:tplc="32B6BD1A" w:tentative="1">
      <w:start w:val="1"/>
      <w:numFmt w:val="bullet"/>
      <w:lvlText w:val="o"/>
      <w:lvlJc w:val="left"/>
      <w:pPr>
        <w:ind w:left="1440" w:hanging="360"/>
      </w:pPr>
      <w:rPr>
        <w:rFonts w:ascii="Courier New" w:hAnsi="Courier New" w:cs="Courier New" w:hint="default"/>
      </w:rPr>
    </w:lvl>
    <w:lvl w:ilvl="2" w:tplc="115A01EC" w:tentative="1">
      <w:start w:val="1"/>
      <w:numFmt w:val="bullet"/>
      <w:lvlText w:val=""/>
      <w:lvlJc w:val="left"/>
      <w:pPr>
        <w:ind w:left="2160" w:hanging="360"/>
      </w:pPr>
      <w:rPr>
        <w:rFonts w:ascii="Wingdings" w:hAnsi="Wingdings" w:hint="default"/>
      </w:rPr>
    </w:lvl>
    <w:lvl w:ilvl="3" w:tplc="00F654DE" w:tentative="1">
      <w:start w:val="1"/>
      <w:numFmt w:val="bullet"/>
      <w:lvlText w:val=""/>
      <w:lvlJc w:val="left"/>
      <w:pPr>
        <w:ind w:left="2880" w:hanging="360"/>
      </w:pPr>
      <w:rPr>
        <w:rFonts w:ascii="Symbol" w:hAnsi="Symbol" w:hint="default"/>
      </w:rPr>
    </w:lvl>
    <w:lvl w:ilvl="4" w:tplc="503EDEB2" w:tentative="1">
      <w:start w:val="1"/>
      <w:numFmt w:val="bullet"/>
      <w:lvlText w:val="o"/>
      <w:lvlJc w:val="left"/>
      <w:pPr>
        <w:ind w:left="3600" w:hanging="360"/>
      </w:pPr>
      <w:rPr>
        <w:rFonts w:ascii="Courier New" w:hAnsi="Courier New" w:cs="Courier New" w:hint="default"/>
      </w:rPr>
    </w:lvl>
    <w:lvl w:ilvl="5" w:tplc="F01AA046" w:tentative="1">
      <w:start w:val="1"/>
      <w:numFmt w:val="bullet"/>
      <w:lvlText w:val=""/>
      <w:lvlJc w:val="left"/>
      <w:pPr>
        <w:ind w:left="4320" w:hanging="360"/>
      </w:pPr>
      <w:rPr>
        <w:rFonts w:ascii="Wingdings" w:hAnsi="Wingdings" w:hint="default"/>
      </w:rPr>
    </w:lvl>
    <w:lvl w:ilvl="6" w:tplc="48E279E2" w:tentative="1">
      <w:start w:val="1"/>
      <w:numFmt w:val="bullet"/>
      <w:lvlText w:val=""/>
      <w:lvlJc w:val="left"/>
      <w:pPr>
        <w:ind w:left="5040" w:hanging="360"/>
      </w:pPr>
      <w:rPr>
        <w:rFonts w:ascii="Symbol" w:hAnsi="Symbol" w:hint="default"/>
      </w:rPr>
    </w:lvl>
    <w:lvl w:ilvl="7" w:tplc="468CE212" w:tentative="1">
      <w:start w:val="1"/>
      <w:numFmt w:val="bullet"/>
      <w:lvlText w:val="o"/>
      <w:lvlJc w:val="left"/>
      <w:pPr>
        <w:ind w:left="5760" w:hanging="360"/>
      </w:pPr>
      <w:rPr>
        <w:rFonts w:ascii="Courier New" w:hAnsi="Courier New" w:cs="Courier New" w:hint="default"/>
      </w:rPr>
    </w:lvl>
    <w:lvl w:ilvl="8" w:tplc="561A848C" w:tentative="1">
      <w:start w:val="1"/>
      <w:numFmt w:val="bullet"/>
      <w:lvlText w:val=""/>
      <w:lvlJc w:val="left"/>
      <w:pPr>
        <w:ind w:left="6480" w:hanging="360"/>
      </w:pPr>
      <w:rPr>
        <w:rFonts w:ascii="Wingdings" w:hAnsi="Wingdings" w:hint="default"/>
      </w:rPr>
    </w:lvl>
  </w:abstractNum>
  <w:abstractNum w:abstractNumId="102" w15:restartNumberingAfterBreak="0">
    <w:nsid w:val="49AA3147"/>
    <w:multiLevelType w:val="hybridMultilevel"/>
    <w:tmpl w:val="5694DEB6"/>
    <w:lvl w:ilvl="0" w:tplc="04190001">
      <w:start w:val="1"/>
      <w:numFmt w:val="bullet"/>
      <w:lvlText w:val=""/>
      <w:lvlJc w:val="left"/>
      <w:pPr>
        <w:ind w:left="643"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3" w15:restartNumberingAfterBreak="0">
    <w:nsid w:val="4ABE26CC"/>
    <w:multiLevelType w:val="hybridMultilevel"/>
    <w:tmpl w:val="1C30DA38"/>
    <w:lvl w:ilvl="0" w:tplc="BF769C9A">
      <w:start w:val="1"/>
      <w:numFmt w:val="decimal"/>
      <w:lvlText w:val="%1."/>
      <w:lvlJc w:val="left"/>
      <w:pPr>
        <w:ind w:left="720" w:hanging="360"/>
      </w:pPr>
      <w:rPr>
        <w:rFonts w:ascii="Tahoma" w:eastAsia="Times New Roman" w:hAnsi="Tahoma" w:cs="Tahom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4" w15:restartNumberingAfterBreak="0">
    <w:nsid w:val="4AD169B0"/>
    <w:multiLevelType w:val="hybridMultilevel"/>
    <w:tmpl w:val="91921FAA"/>
    <w:lvl w:ilvl="0" w:tplc="BEB0E6E6">
      <w:start w:val="1"/>
      <w:numFmt w:val="decimal"/>
      <w:lvlText w:val="%1."/>
      <w:lvlJc w:val="left"/>
      <w:pPr>
        <w:ind w:left="785" w:hanging="36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05" w15:restartNumberingAfterBreak="0">
    <w:nsid w:val="4AD76534"/>
    <w:multiLevelType w:val="hybridMultilevel"/>
    <w:tmpl w:val="9F2849E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6" w15:restartNumberingAfterBreak="0">
    <w:nsid w:val="4AF96523"/>
    <w:multiLevelType w:val="hybridMultilevel"/>
    <w:tmpl w:val="B9AA46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7" w15:restartNumberingAfterBreak="0">
    <w:nsid w:val="4BC34F25"/>
    <w:multiLevelType w:val="hybridMultilevel"/>
    <w:tmpl w:val="15140A6A"/>
    <w:lvl w:ilvl="0" w:tplc="0B0AE298">
      <w:start w:val="1"/>
      <w:numFmt w:val="bullet"/>
      <w:lvlText w:val="-"/>
      <w:lvlJc w:val="left"/>
      <w:pPr>
        <w:tabs>
          <w:tab w:val="num" w:pos="960"/>
        </w:tabs>
        <w:ind w:left="960" w:hanging="360"/>
      </w:pPr>
      <w:rPr>
        <w:rFonts w:ascii="Arial Narrow" w:hAnsi="Arial Narrow" w:hint="default"/>
      </w:rPr>
    </w:lvl>
    <w:lvl w:ilvl="1" w:tplc="04190003">
      <w:start w:val="1"/>
      <w:numFmt w:val="bullet"/>
      <w:lvlText w:val="o"/>
      <w:lvlJc w:val="left"/>
      <w:pPr>
        <w:tabs>
          <w:tab w:val="num" w:pos="1680"/>
        </w:tabs>
        <w:ind w:left="1680" w:hanging="360"/>
      </w:pPr>
      <w:rPr>
        <w:rFonts w:ascii="Courier New" w:hAnsi="Courier New" w:cs="Courier New" w:hint="default"/>
      </w:rPr>
    </w:lvl>
    <w:lvl w:ilvl="2" w:tplc="04190005">
      <w:start w:val="1"/>
      <w:numFmt w:val="bullet"/>
      <w:lvlText w:val=""/>
      <w:lvlJc w:val="left"/>
      <w:pPr>
        <w:tabs>
          <w:tab w:val="num" w:pos="2400"/>
        </w:tabs>
        <w:ind w:left="2400" w:hanging="360"/>
      </w:pPr>
      <w:rPr>
        <w:rFonts w:ascii="Wingdings" w:hAnsi="Wingdings" w:hint="default"/>
      </w:rPr>
    </w:lvl>
    <w:lvl w:ilvl="3" w:tplc="04190001">
      <w:start w:val="1"/>
      <w:numFmt w:val="bullet"/>
      <w:lvlText w:val=""/>
      <w:lvlJc w:val="left"/>
      <w:pPr>
        <w:tabs>
          <w:tab w:val="num" w:pos="3120"/>
        </w:tabs>
        <w:ind w:left="3120" w:hanging="360"/>
      </w:pPr>
      <w:rPr>
        <w:rFonts w:ascii="Symbol" w:hAnsi="Symbol" w:hint="default"/>
      </w:rPr>
    </w:lvl>
    <w:lvl w:ilvl="4" w:tplc="04190003">
      <w:start w:val="1"/>
      <w:numFmt w:val="bullet"/>
      <w:lvlText w:val="o"/>
      <w:lvlJc w:val="left"/>
      <w:pPr>
        <w:tabs>
          <w:tab w:val="num" w:pos="3840"/>
        </w:tabs>
        <w:ind w:left="3840" w:hanging="360"/>
      </w:pPr>
      <w:rPr>
        <w:rFonts w:ascii="Courier New" w:hAnsi="Courier New" w:cs="Courier New" w:hint="default"/>
      </w:rPr>
    </w:lvl>
    <w:lvl w:ilvl="5" w:tplc="04190005">
      <w:start w:val="1"/>
      <w:numFmt w:val="bullet"/>
      <w:lvlText w:val=""/>
      <w:lvlJc w:val="left"/>
      <w:pPr>
        <w:tabs>
          <w:tab w:val="num" w:pos="4560"/>
        </w:tabs>
        <w:ind w:left="4560" w:hanging="360"/>
      </w:pPr>
      <w:rPr>
        <w:rFonts w:ascii="Wingdings" w:hAnsi="Wingdings" w:hint="default"/>
      </w:rPr>
    </w:lvl>
    <w:lvl w:ilvl="6" w:tplc="04190001">
      <w:start w:val="1"/>
      <w:numFmt w:val="bullet"/>
      <w:lvlText w:val=""/>
      <w:lvlJc w:val="left"/>
      <w:pPr>
        <w:tabs>
          <w:tab w:val="num" w:pos="5280"/>
        </w:tabs>
        <w:ind w:left="5280" w:hanging="360"/>
      </w:pPr>
      <w:rPr>
        <w:rFonts w:ascii="Symbol" w:hAnsi="Symbol" w:hint="default"/>
      </w:rPr>
    </w:lvl>
    <w:lvl w:ilvl="7" w:tplc="04190003">
      <w:start w:val="1"/>
      <w:numFmt w:val="bullet"/>
      <w:lvlText w:val="o"/>
      <w:lvlJc w:val="left"/>
      <w:pPr>
        <w:tabs>
          <w:tab w:val="num" w:pos="6000"/>
        </w:tabs>
        <w:ind w:left="6000" w:hanging="360"/>
      </w:pPr>
      <w:rPr>
        <w:rFonts w:ascii="Courier New" w:hAnsi="Courier New" w:cs="Courier New" w:hint="default"/>
      </w:rPr>
    </w:lvl>
    <w:lvl w:ilvl="8" w:tplc="04190005">
      <w:start w:val="1"/>
      <w:numFmt w:val="bullet"/>
      <w:lvlText w:val=""/>
      <w:lvlJc w:val="left"/>
      <w:pPr>
        <w:tabs>
          <w:tab w:val="num" w:pos="6720"/>
        </w:tabs>
        <w:ind w:left="6720" w:hanging="360"/>
      </w:pPr>
      <w:rPr>
        <w:rFonts w:ascii="Wingdings" w:hAnsi="Wingdings" w:hint="default"/>
      </w:rPr>
    </w:lvl>
  </w:abstractNum>
  <w:abstractNum w:abstractNumId="108" w15:restartNumberingAfterBreak="0">
    <w:nsid w:val="4CA10E23"/>
    <w:multiLevelType w:val="multilevel"/>
    <w:tmpl w:val="BFBC2B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9" w15:restartNumberingAfterBreak="0">
    <w:nsid w:val="4DC25296"/>
    <w:multiLevelType w:val="hybridMultilevel"/>
    <w:tmpl w:val="0FC6A55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0" w15:restartNumberingAfterBreak="0">
    <w:nsid w:val="4E67037B"/>
    <w:multiLevelType w:val="hybridMultilevel"/>
    <w:tmpl w:val="5F70B8D6"/>
    <w:lvl w:ilvl="0" w:tplc="79427672">
      <w:start w:val="1"/>
      <w:numFmt w:val="lowerLetter"/>
      <w:lvlText w:val="%1."/>
      <w:lvlJc w:val="left"/>
      <w:pPr>
        <w:ind w:left="2779" w:hanging="360"/>
      </w:pPr>
      <w:rPr>
        <w:rFonts w:hint="default"/>
        <w:sz w:val="18"/>
        <w:szCs w:val="1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1" w15:restartNumberingAfterBreak="0">
    <w:nsid w:val="4E7B104D"/>
    <w:multiLevelType w:val="hybridMultilevel"/>
    <w:tmpl w:val="4134F6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2" w15:restartNumberingAfterBreak="0">
    <w:nsid w:val="4E8A3DC3"/>
    <w:multiLevelType w:val="hybridMultilevel"/>
    <w:tmpl w:val="20D6F2CE"/>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3" w15:restartNumberingAfterBreak="0">
    <w:nsid w:val="4F0E18D0"/>
    <w:multiLevelType w:val="hybridMultilevel"/>
    <w:tmpl w:val="22B4BC4C"/>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4" w15:restartNumberingAfterBreak="0">
    <w:nsid w:val="508824D9"/>
    <w:multiLevelType w:val="hybridMultilevel"/>
    <w:tmpl w:val="5BDC71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5" w15:restartNumberingAfterBreak="0">
    <w:nsid w:val="50940EDB"/>
    <w:multiLevelType w:val="hybridMultilevel"/>
    <w:tmpl w:val="23B2E7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6" w15:restartNumberingAfterBreak="0">
    <w:nsid w:val="51027C48"/>
    <w:multiLevelType w:val="hybridMultilevel"/>
    <w:tmpl w:val="2354AE90"/>
    <w:lvl w:ilvl="0" w:tplc="6C9E6332">
      <w:start w:val="1"/>
      <w:numFmt w:val="decimal"/>
      <w:lvlText w:val="%1."/>
      <w:lvlJc w:val="left"/>
      <w:pPr>
        <w:ind w:left="720" w:hanging="360"/>
      </w:pPr>
      <w:rPr>
        <w:rFonts w:hint="default"/>
        <w:b/>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7" w15:restartNumberingAfterBreak="0">
    <w:nsid w:val="519A3805"/>
    <w:multiLevelType w:val="hybridMultilevel"/>
    <w:tmpl w:val="AD8676FA"/>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8" w15:restartNumberingAfterBreak="0">
    <w:nsid w:val="53C57FB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9" w15:restartNumberingAfterBreak="0">
    <w:nsid w:val="53E7003D"/>
    <w:multiLevelType w:val="hybridMultilevel"/>
    <w:tmpl w:val="27648C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0" w15:restartNumberingAfterBreak="0">
    <w:nsid w:val="54562823"/>
    <w:multiLevelType w:val="hybridMultilevel"/>
    <w:tmpl w:val="23FE1A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1" w15:restartNumberingAfterBreak="0">
    <w:nsid w:val="545D2CBD"/>
    <w:multiLevelType w:val="hybridMultilevel"/>
    <w:tmpl w:val="103630FE"/>
    <w:lvl w:ilvl="0" w:tplc="04190001">
      <w:start w:val="1"/>
      <w:numFmt w:val="bullet"/>
      <w:lvlText w:val=""/>
      <w:lvlJc w:val="left"/>
      <w:pPr>
        <w:ind w:left="1854" w:hanging="360"/>
      </w:pPr>
      <w:rPr>
        <w:rFonts w:ascii="Symbol" w:hAnsi="Symbol" w:hint="default"/>
      </w:rPr>
    </w:lvl>
    <w:lvl w:ilvl="1" w:tplc="8A5667CE" w:tentative="1">
      <w:start w:val="1"/>
      <w:numFmt w:val="bullet"/>
      <w:lvlText w:val="o"/>
      <w:lvlJc w:val="left"/>
      <w:pPr>
        <w:ind w:left="2574" w:hanging="360"/>
      </w:pPr>
      <w:rPr>
        <w:rFonts w:ascii="Courier New" w:hAnsi="Courier New" w:cs="Courier New" w:hint="default"/>
      </w:rPr>
    </w:lvl>
    <w:lvl w:ilvl="2" w:tplc="CFA0EDC2" w:tentative="1">
      <w:start w:val="1"/>
      <w:numFmt w:val="bullet"/>
      <w:lvlText w:val=""/>
      <w:lvlJc w:val="left"/>
      <w:pPr>
        <w:ind w:left="3294" w:hanging="360"/>
      </w:pPr>
      <w:rPr>
        <w:rFonts w:ascii="Wingdings" w:hAnsi="Wingdings" w:hint="default"/>
      </w:rPr>
    </w:lvl>
    <w:lvl w:ilvl="3" w:tplc="B586455A" w:tentative="1">
      <w:start w:val="1"/>
      <w:numFmt w:val="bullet"/>
      <w:lvlText w:val=""/>
      <w:lvlJc w:val="left"/>
      <w:pPr>
        <w:ind w:left="4014" w:hanging="360"/>
      </w:pPr>
      <w:rPr>
        <w:rFonts w:ascii="Symbol" w:hAnsi="Symbol" w:hint="default"/>
      </w:rPr>
    </w:lvl>
    <w:lvl w:ilvl="4" w:tplc="106204C2" w:tentative="1">
      <w:start w:val="1"/>
      <w:numFmt w:val="bullet"/>
      <w:lvlText w:val="o"/>
      <w:lvlJc w:val="left"/>
      <w:pPr>
        <w:ind w:left="4734" w:hanging="360"/>
      </w:pPr>
      <w:rPr>
        <w:rFonts w:ascii="Courier New" w:hAnsi="Courier New" w:cs="Courier New" w:hint="default"/>
      </w:rPr>
    </w:lvl>
    <w:lvl w:ilvl="5" w:tplc="E508EEDC" w:tentative="1">
      <w:start w:val="1"/>
      <w:numFmt w:val="bullet"/>
      <w:lvlText w:val=""/>
      <w:lvlJc w:val="left"/>
      <w:pPr>
        <w:ind w:left="5454" w:hanging="360"/>
      </w:pPr>
      <w:rPr>
        <w:rFonts w:ascii="Wingdings" w:hAnsi="Wingdings" w:hint="default"/>
      </w:rPr>
    </w:lvl>
    <w:lvl w:ilvl="6" w:tplc="33E2E2A6" w:tentative="1">
      <w:start w:val="1"/>
      <w:numFmt w:val="bullet"/>
      <w:lvlText w:val=""/>
      <w:lvlJc w:val="left"/>
      <w:pPr>
        <w:ind w:left="6174" w:hanging="360"/>
      </w:pPr>
      <w:rPr>
        <w:rFonts w:ascii="Symbol" w:hAnsi="Symbol" w:hint="default"/>
      </w:rPr>
    </w:lvl>
    <w:lvl w:ilvl="7" w:tplc="92740FF2" w:tentative="1">
      <w:start w:val="1"/>
      <w:numFmt w:val="bullet"/>
      <w:lvlText w:val="o"/>
      <w:lvlJc w:val="left"/>
      <w:pPr>
        <w:ind w:left="6894" w:hanging="360"/>
      </w:pPr>
      <w:rPr>
        <w:rFonts w:ascii="Courier New" w:hAnsi="Courier New" w:cs="Courier New" w:hint="default"/>
      </w:rPr>
    </w:lvl>
    <w:lvl w:ilvl="8" w:tplc="28C2113A" w:tentative="1">
      <w:start w:val="1"/>
      <w:numFmt w:val="bullet"/>
      <w:lvlText w:val=""/>
      <w:lvlJc w:val="left"/>
      <w:pPr>
        <w:ind w:left="7614" w:hanging="360"/>
      </w:pPr>
      <w:rPr>
        <w:rFonts w:ascii="Wingdings" w:hAnsi="Wingdings" w:hint="default"/>
      </w:rPr>
    </w:lvl>
  </w:abstractNum>
  <w:abstractNum w:abstractNumId="122" w15:restartNumberingAfterBreak="0">
    <w:nsid w:val="55E878F2"/>
    <w:multiLevelType w:val="multilevel"/>
    <w:tmpl w:val="F31E8E40"/>
    <w:lvl w:ilvl="0">
      <w:start w:val="1"/>
      <w:numFmt w:val="decimal"/>
      <w:lvlText w:val="%1."/>
      <w:lvlJc w:val="left"/>
      <w:pPr>
        <w:ind w:left="720" w:hanging="360"/>
      </w:pPr>
      <w:rPr>
        <w:rFonts w:cs="Arial" w:hint="default"/>
        <w:b/>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640" w:hanging="2520"/>
      </w:pPr>
      <w:rPr>
        <w:rFonts w:hint="default"/>
      </w:rPr>
    </w:lvl>
  </w:abstractNum>
  <w:abstractNum w:abstractNumId="123" w15:restartNumberingAfterBreak="0">
    <w:nsid w:val="56040F64"/>
    <w:multiLevelType w:val="multilevel"/>
    <w:tmpl w:val="9DA404EC"/>
    <w:lvl w:ilvl="0">
      <w:start w:val="1"/>
      <w:numFmt w:val="decimal"/>
      <w:lvlText w:val="%1."/>
      <w:lvlJc w:val="left"/>
      <w:pPr>
        <w:ind w:left="720" w:hanging="360"/>
      </w:pPr>
      <w:rPr>
        <w:rFonts w:hint="default"/>
      </w:rPr>
    </w:lvl>
    <w:lvl w:ilvl="1">
      <w:start w:val="1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4" w15:restartNumberingAfterBreak="0">
    <w:nsid w:val="56D43EA4"/>
    <w:multiLevelType w:val="multilevel"/>
    <w:tmpl w:val="340072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5" w15:restartNumberingAfterBreak="0">
    <w:nsid w:val="57BC1170"/>
    <w:multiLevelType w:val="hybridMultilevel"/>
    <w:tmpl w:val="3CC4A474"/>
    <w:lvl w:ilvl="0" w:tplc="04190001">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126" w15:restartNumberingAfterBreak="0">
    <w:nsid w:val="57FB049E"/>
    <w:multiLevelType w:val="hybridMultilevel"/>
    <w:tmpl w:val="9CEA37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7" w15:restartNumberingAfterBreak="0">
    <w:nsid w:val="58DB19EB"/>
    <w:multiLevelType w:val="multilevel"/>
    <w:tmpl w:val="0298FD8E"/>
    <w:lvl w:ilvl="0">
      <w:start w:val="4"/>
      <w:numFmt w:val="decimal"/>
      <w:lvlText w:val="%1."/>
      <w:lvlJc w:val="left"/>
      <w:pPr>
        <w:ind w:left="675" w:hanging="675"/>
      </w:pPr>
      <w:rPr>
        <w:rFonts w:hint="default"/>
      </w:rPr>
    </w:lvl>
    <w:lvl w:ilvl="1">
      <w:start w:val="7"/>
      <w:numFmt w:val="decimal"/>
      <w:lvlText w:val="%1.%2."/>
      <w:lvlJc w:val="left"/>
      <w:pPr>
        <w:ind w:left="1685" w:hanging="720"/>
      </w:pPr>
      <w:rPr>
        <w:rFonts w:hint="default"/>
      </w:rPr>
    </w:lvl>
    <w:lvl w:ilvl="2">
      <w:start w:val="3"/>
      <w:numFmt w:val="decimal"/>
      <w:lvlText w:val="%1.%2.%3."/>
      <w:lvlJc w:val="left"/>
      <w:pPr>
        <w:ind w:left="3010" w:hanging="1080"/>
      </w:pPr>
      <w:rPr>
        <w:rFonts w:hint="default"/>
      </w:rPr>
    </w:lvl>
    <w:lvl w:ilvl="3">
      <w:start w:val="1"/>
      <w:numFmt w:val="decimal"/>
      <w:lvlText w:val="%1.%2.%3.%4."/>
      <w:lvlJc w:val="left"/>
      <w:pPr>
        <w:ind w:left="3975" w:hanging="1080"/>
      </w:pPr>
      <w:rPr>
        <w:rFonts w:hint="default"/>
      </w:rPr>
    </w:lvl>
    <w:lvl w:ilvl="4">
      <w:start w:val="1"/>
      <w:numFmt w:val="decimal"/>
      <w:lvlText w:val="%1.%2.%3.%4.%5."/>
      <w:lvlJc w:val="left"/>
      <w:pPr>
        <w:ind w:left="5300" w:hanging="1440"/>
      </w:pPr>
      <w:rPr>
        <w:rFonts w:hint="default"/>
      </w:rPr>
    </w:lvl>
    <w:lvl w:ilvl="5">
      <w:start w:val="1"/>
      <w:numFmt w:val="decimal"/>
      <w:lvlText w:val="%1.%2.%3.%4.%5.%6."/>
      <w:lvlJc w:val="left"/>
      <w:pPr>
        <w:ind w:left="6625" w:hanging="1800"/>
      </w:pPr>
      <w:rPr>
        <w:rFonts w:hint="default"/>
      </w:rPr>
    </w:lvl>
    <w:lvl w:ilvl="6">
      <w:start w:val="1"/>
      <w:numFmt w:val="decimal"/>
      <w:lvlText w:val="%1.%2.%3.%4.%5.%6.%7."/>
      <w:lvlJc w:val="left"/>
      <w:pPr>
        <w:ind w:left="7590" w:hanging="1800"/>
      </w:pPr>
      <w:rPr>
        <w:rFonts w:hint="default"/>
      </w:rPr>
    </w:lvl>
    <w:lvl w:ilvl="7">
      <w:start w:val="1"/>
      <w:numFmt w:val="decimal"/>
      <w:lvlText w:val="%1.%2.%3.%4.%5.%6.%7.%8."/>
      <w:lvlJc w:val="left"/>
      <w:pPr>
        <w:ind w:left="8915" w:hanging="2160"/>
      </w:pPr>
      <w:rPr>
        <w:rFonts w:hint="default"/>
      </w:rPr>
    </w:lvl>
    <w:lvl w:ilvl="8">
      <w:start w:val="1"/>
      <w:numFmt w:val="decimal"/>
      <w:lvlText w:val="%1.%2.%3.%4.%5.%6.%7.%8.%9."/>
      <w:lvlJc w:val="left"/>
      <w:pPr>
        <w:ind w:left="10240" w:hanging="2520"/>
      </w:pPr>
      <w:rPr>
        <w:rFonts w:hint="default"/>
      </w:rPr>
    </w:lvl>
  </w:abstractNum>
  <w:abstractNum w:abstractNumId="128" w15:restartNumberingAfterBreak="0">
    <w:nsid w:val="59125F91"/>
    <w:multiLevelType w:val="multilevel"/>
    <w:tmpl w:val="28128FE4"/>
    <w:lvl w:ilvl="0">
      <w:start w:val="1"/>
      <w:numFmt w:val="decimal"/>
      <w:lvlText w:val="%1."/>
      <w:lvlJc w:val="left"/>
      <w:pPr>
        <w:ind w:left="720" w:hanging="360"/>
      </w:pPr>
      <w:rPr>
        <w:rFonts w:hint="default"/>
      </w:rPr>
    </w:lvl>
    <w:lvl w:ilvl="1">
      <w:start w:val="1"/>
      <w:numFmt w:val="decimal"/>
      <w:isLgl/>
      <w:lvlText w:val="%1.%2."/>
      <w:lvlJc w:val="left"/>
      <w:pPr>
        <w:ind w:left="1087" w:hanging="720"/>
      </w:pPr>
      <w:rPr>
        <w:rFonts w:hint="default"/>
      </w:rPr>
    </w:lvl>
    <w:lvl w:ilvl="2">
      <w:start w:val="1"/>
      <w:numFmt w:val="decimal"/>
      <w:isLgl/>
      <w:lvlText w:val="%1.%2.%3."/>
      <w:lvlJc w:val="left"/>
      <w:pPr>
        <w:ind w:left="1094" w:hanging="720"/>
      </w:pPr>
      <w:rPr>
        <w:rFonts w:hint="default"/>
      </w:rPr>
    </w:lvl>
    <w:lvl w:ilvl="3">
      <w:start w:val="1"/>
      <w:numFmt w:val="decimal"/>
      <w:isLgl/>
      <w:lvlText w:val="%1.%2.%3.%4."/>
      <w:lvlJc w:val="left"/>
      <w:pPr>
        <w:ind w:left="1461" w:hanging="1080"/>
      </w:pPr>
      <w:rPr>
        <w:rFonts w:hint="default"/>
      </w:rPr>
    </w:lvl>
    <w:lvl w:ilvl="4">
      <w:start w:val="1"/>
      <w:numFmt w:val="decimal"/>
      <w:isLgl/>
      <w:lvlText w:val="%1.%2.%3.%4.%5."/>
      <w:lvlJc w:val="left"/>
      <w:pPr>
        <w:ind w:left="1468" w:hanging="1080"/>
      </w:pPr>
      <w:rPr>
        <w:rFonts w:hint="default"/>
      </w:rPr>
    </w:lvl>
    <w:lvl w:ilvl="5">
      <w:start w:val="1"/>
      <w:numFmt w:val="decimal"/>
      <w:isLgl/>
      <w:lvlText w:val="%1.%2.%3.%4.%5.%6."/>
      <w:lvlJc w:val="left"/>
      <w:pPr>
        <w:ind w:left="1835" w:hanging="1440"/>
      </w:pPr>
      <w:rPr>
        <w:rFonts w:hint="default"/>
      </w:rPr>
    </w:lvl>
    <w:lvl w:ilvl="6">
      <w:start w:val="1"/>
      <w:numFmt w:val="decimal"/>
      <w:isLgl/>
      <w:lvlText w:val="%1.%2.%3.%4.%5.%6.%7."/>
      <w:lvlJc w:val="left"/>
      <w:pPr>
        <w:ind w:left="2202" w:hanging="1800"/>
      </w:pPr>
      <w:rPr>
        <w:rFonts w:hint="default"/>
      </w:rPr>
    </w:lvl>
    <w:lvl w:ilvl="7">
      <w:start w:val="1"/>
      <w:numFmt w:val="decimal"/>
      <w:isLgl/>
      <w:lvlText w:val="%1.%2.%3.%4.%5.%6.%7.%8."/>
      <w:lvlJc w:val="left"/>
      <w:pPr>
        <w:ind w:left="2209" w:hanging="1800"/>
      </w:pPr>
      <w:rPr>
        <w:rFonts w:hint="default"/>
      </w:rPr>
    </w:lvl>
    <w:lvl w:ilvl="8">
      <w:start w:val="1"/>
      <w:numFmt w:val="decimal"/>
      <w:isLgl/>
      <w:lvlText w:val="%1.%2.%3.%4.%5.%6.%7.%8.%9."/>
      <w:lvlJc w:val="left"/>
      <w:pPr>
        <w:ind w:left="2576" w:hanging="2160"/>
      </w:pPr>
      <w:rPr>
        <w:rFonts w:hint="default"/>
      </w:rPr>
    </w:lvl>
  </w:abstractNum>
  <w:abstractNum w:abstractNumId="129" w15:restartNumberingAfterBreak="0">
    <w:nsid w:val="594F06D5"/>
    <w:multiLevelType w:val="multilevel"/>
    <w:tmpl w:val="F3D4B77C"/>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0" w15:restartNumberingAfterBreak="0">
    <w:nsid w:val="59CC2CF6"/>
    <w:multiLevelType w:val="hybridMultilevel"/>
    <w:tmpl w:val="F7F4EC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1" w15:restartNumberingAfterBreak="0">
    <w:nsid w:val="59FB30E3"/>
    <w:multiLevelType w:val="hybridMultilevel"/>
    <w:tmpl w:val="BFFCDD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2" w15:restartNumberingAfterBreak="0">
    <w:nsid w:val="5B546B1D"/>
    <w:multiLevelType w:val="multilevel"/>
    <w:tmpl w:val="E6443B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3" w15:restartNumberingAfterBreak="0">
    <w:nsid w:val="5CA86D77"/>
    <w:multiLevelType w:val="hybridMultilevel"/>
    <w:tmpl w:val="7FC08B0C"/>
    <w:lvl w:ilvl="0" w:tplc="0419000B">
      <w:start w:val="1"/>
      <w:numFmt w:val="bullet"/>
      <w:lvlText w:val=""/>
      <w:lvlJc w:val="left"/>
      <w:pPr>
        <w:ind w:left="754" w:hanging="360"/>
      </w:pPr>
      <w:rPr>
        <w:rFonts w:ascii="Wingdings" w:hAnsi="Wingdings" w:hint="default"/>
      </w:rPr>
    </w:lvl>
    <w:lvl w:ilvl="1" w:tplc="04190003">
      <w:start w:val="1"/>
      <w:numFmt w:val="bullet"/>
      <w:lvlText w:val="o"/>
      <w:lvlJc w:val="left"/>
      <w:pPr>
        <w:ind w:left="1474" w:hanging="360"/>
      </w:pPr>
      <w:rPr>
        <w:rFonts w:ascii="Courier New" w:hAnsi="Courier New" w:cs="Courier New" w:hint="default"/>
      </w:rPr>
    </w:lvl>
    <w:lvl w:ilvl="2" w:tplc="04190005">
      <w:start w:val="1"/>
      <w:numFmt w:val="bullet"/>
      <w:lvlText w:val=""/>
      <w:lvlJc w:val="left"/>
      <w:pPr>
        <w:ind w:left="2194" w:hanging="360"/>
      </w:pPr>
      <w:rPr>
        <w:rFonts w:ascii="Wingdings" w:hAnsi="Wingdings" w:hint="default"/>
      </w:rPr>
    </w:lvl>
    <w:lvl w:ilvl="3" w:tplc="04190001">
      <w:start w:val="1"/>
      <w:numFmt w:val="bullet"/>
      <w:lvlText w:val=""/>
      <w:lvlJc w:val="left"/>
      <w:pPr>
        <w:ind w:left="2914" w:hanging="360"/>
      </w:pPr>
      <w:rPr>
        <w:rFonts w:ascii="Symbol" w:hAnsi="Symbol" w:hint="default"/>
      </w:rPr>
    </w:lvl>
    <w:lvl w:ilvl="4" w:tplc="04190003">
      <w:start w:val="1"/>
      <w:numFmt w:val="bullet"/>
      <w:lvlText w:val="o"/>
      <w:lvlJc w:val="left"/>
      <w:pPr>
        <w:ind w:left="3634" w:hanging="360"/>
      </w:pPr>
      <w:rPr>
        <w:rFonts w:ascii="Courier New" w:hAnsi="Courier New" w:cs="Courier New" w:hint="default"/>
      </w:rPr>
    </w:lvl>
    <w:lvl w:ilvl="5" w:tplc="04190005">
      <w:start w:val="1"/>
      <w:numFmt w:val="bullet"/>
      <w:lvlText w:val=""/>
      <w:lvlJc w:val="left"/>
      <w:pPr>
        <w:ind w:left="4354" w:hanging="360"/>
      </w:pPr>
      <w:rPr>
        <w:rFonts w:ascii="Wingdings" w:hAnsi="Wingdings" w:hint="default"/>
      </w:rPr>
    </w:lvl>
    <w:lvl w:ilvl="6" w:tplc="04190001">
      <w:start w:val="1"/>
      <w:numFmt w:val="bullet"/>
      <w:lvlText w:val=""/>
      <w:lvlJc w:val="left"/>
      <w:pPr>
        <w:ind w:left="5074" w:hanging="360"/>
      </w:pPr>
      <w:rPr>
        <w:rFonts w:ascii="Symbol" w:hAnsi="Symbol" w:hint="default"/>
      </w:rPr>
    </w:lvl>
    <w:lvl w:ilvl="7" w:tplc="04190003">
      <w:start w:val="1"/>
      <w:numFmt w:val="bullet"/>
      <w:lvlText w:val="o"/>
      <w:lvlJc w:val="left"/>
      <w:pPr>
        <w:ind w:left="5794" w:hanging="360"/>
      </w:pPr>
      <w:rPr>
        <w:rFonts w:ascii="Courier New" w:hAnsi="Courier New" w:cs="Courier New" w:hint="default"/>
      </w:rPr>
    </w:lvl>
    <w:lvl w:ilvl="8" w:tplc="04190005">
      <w:start w:val="1"/>
      <w:numFmt w:val="bullet"/>
      <w:lvlText w:val=""/>
      <w:lvlJc w:val="left"/>
      <w:pPr>
        <w:ind w:left="6514" w:hanging="360"/>
      </w:pPr>
      <w:rPr>
        <w:rFonts w:ascii="Wingdings" w:hAnsi="Wingdings" w:hint="default"/>
      </w:rPr>
    </w:lvl>
  </w:abstractNum>
  <w:abstractNum w:abstractNumId="134" w15:restartNumberingAfterBreak="0">
    <w:nsid w:val="5CC4115E"/>
    <w:multiLevelType w:val="multilevel"/>
    <w:tmpl w:val="3C10A3FE"/>
    <w:lvl w:ilvl="0">
      <w:start w:val="1"/>
      <w:numFmt w:val="decimal"/>
      <w:lvlText w:val="%1."/>
      <w:lvlJc w:val="left"/>
      <w:pPr>
        <w:ind w:left="360" w:hanging="360"/>
      </w:pPr>
      <w:rPr>
        <w:rFonts w:ascii="Tahoma" w:eastAsia="Times New Roman" w:hAnsi="Tahoma" w:cs="Tahoma"/>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5" w15:restartNumberingAfterBreak="0">
    <w:nsid w:val="5CD06D7C"/>
    <w:multiLevelType w:val="hybridMultilevel"/>
    <w:tmpl w:val="DFD0E294"/>
    <w:lvl w:ilvl="0" w:tplc="0419000F">
      <w:start w:val="1"/>
      <w:numFmt w:val="decimal"/>
      <w:lvlText w:val="%1."/>
      <w:lvlJc w:val="left"/>
      <w:pPr>
        <w:ind w:left="10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6" w15:restartNumberingAfterBreak="0">
    <w:nsid w:val="5D4F7926"/>
    <w:multiLevelType w:val="multilevel"/>
    <w:tmpl w:val="314EF22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7" w15:restartNumberingAfterBreak="0">
    <w:nsid w:val="5DD1785D"/>
    <w:multiLevelType w:val="hybridMultilevel"/>
    <w:tmpl w:val="BDB0B1EC"/>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8" w15:restartNumberingAfterBreak="0">
    <w:nsid w:val="5EC620FD"/>
    <w:multiLevelType w:val="hybridMultilevel"/>
    <w:tmpl w:val="8C704F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9" w15:restartNumberingAfterBreak="0">
    <w:nsid w:val="5ED97E5D"/>
    <w:multiLevelType w:val="hybridMultilevel"/>
    <w:tmpl w:val="2D568022"/>
    <w:lvl w:ilvl="0" w:tplc="5B0E8B0C">
      <w:start w:val="1"/>
      <w:numFmt w:val="bullet"/>
      <w:lvlText w:val="-"/>
      <w:lvlJc w:val="left"/>
      <w:pPr>
        <w:ind w:left="862" w:hanging="360"/>
      </w:pPr>
      <w:rPr>
        <w:rFonts w:ascii="Courier New" w:hAnsi="Courier New"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40" w15:restartNumberingAfterBreak="0">
    <w:nsid w:val="5F550DC2"/>
    <w:multiLevelType w:val="hybridMultilevel"/>
    <w:tmpl w:val="8A36B584"/>
    <w:lvl w:ilvl="0" w:tplc="EBD25EAC">
      <w:start w:val="1"/>
      <w:numFmt w:val="bullet"/>
      <w:lvlText w:val=""/>
      <w:lvlJc w:val="left"/>
      <w:pPr>
        <w:ind w:left="720" w:hanging="360"/>
      </w:pPr>
      <w:rPr>
        <w:rFonts w:ascii="Symbol" w:hAnsi="Symbol" w:hint="default"/>
        <w:color w:val="000000" w:themeColor="text1"/>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1" w15:restartNumberingAfterBreak="0">
    <w:nsid w:val="5FDF4635"/>
    <w:multiLevelType w:val="hybridMultilevel"/>
    <w:tmpl w:val="51DAA5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2" w15:restartNumberingAfterBreak="0">
    <w:nsid w:val="5FEE76E6"/>
    <w:multiLevelType w:val="hybridMultilevel"/>
    <w:tmpl w:val="5968614A"/>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3" w15:restartNumberingAfterBreak="0">
    <w:nsid w:val="60333CAC"/>
    <w:multiLevelType w:val="hybridMultilevel"/>
    <w:tmpl w:val="BAF00B7A"/>
    <w:lvl w:ilvl="0" w:tplc="0419000D">
      <w:start w:val="1"/>
      <w:numFmt w:val="bullet"/>
      <w:lvlText w:val=""/>
      <w:lvlJc w:val="left"/>
      <w:pPr>
        <w:ind w:left="1057" w:hanging="360"/>
      </w:pPr>
      <w:rPr>
        <w:rFonts w:ascii="Wingdings" w:hAnsi="Wingdings" w:hint="default"/>
      </w:rPr>
    </w:lvl>
    <w:lvl w:ilvl="1" w:tplc="04190003" w:tentative="1">
      <w:start w:val="1"/>
      <w:numFmt w:val="bullet"/>
      <w:lvlText w:val="o"/>
      <w:lvlJc w:val="left"/>
      <w:pPr>
        <w:ind w:left="1777" w:hanging="360"/>
      </w:pPr>
      <w:rPr>
        <w:rFonts w:ascii="Courier New" w:hAnsi="Courier New" w:cs="Courier New" w:hint="default"/>
      </w:rPr>
    </w:lvl>
    <w:lvl w:ilvl="2" w:tplc="04190005" w:tentative="1">
      <w:start w:val="1"/>
      <w:numFmt w:val="bullet"/>
      <w:lvlText w:val=""/>
      <w:lvlJc w:val="left"/>
      <w:pPr>
        <w:ind w:left="2497" w:hanging="360"/>
      </w:pPr>
      <w:rPr>
        <w:rFonts w:ascii="Wingdings" w:hAnsi="Wingdings" w:hint="default"/>
      </w:rPr>
    </w:lvl>
    <w:lvl w:ilvl="3" w:tplc="04190001" w:tentative="1">
      <w:start w:val="1"/>
      <w:numFmt w:val="bullet"/>
      <w:lvlText w:val=""/>
      <w:lvlJc w:val="left"/>
      <w:pPr>
        <w:ind w:left="3217" w:hanging="360"/>
      </w:pPr>
      <w:rPr>
        <w:rFonts w:ascii="Symbol" w:hAnsi="Symbol" w:hint="default"/>
      </w:rPr>
    </w:lvl>
    <w:lvl w:ilvl="4" w:tplc="04190003" w:tentative="1">
      <w:start w:val="1"/>
      <w:numFmt w:val="bullet"/>
      <w:lvlText w:val="o"/>
      <w:lvlJc w:val="left"/>
      <w:pPr>
        <w:ind w:left="3937" w:hanging="360"/>
      </w:pPr>
      <w:rPr>
        <w:rFonts w:ascii="Courier New" w:hAnsi="Courier New" w:cs="Courier New" w:hint="default"/>
      </w:rPr>
    </w:lvl>
    <w:lvl w:ilvl="5" w:tplc="04190005" w:tentative="1">
      <w:start w:val="1"/>
      <w:numFmt w:val="bullet"/>
      <w:lvlText w:val=""/>
      <w:lvlJc w:val="left"/>
      <w:pPr>
        <w:ind w:left="4657" w:hanging="360"/>
      </w:pPr>
      <w:rPr>
        <w:rFonts w:ascii="Wingdings" w:hAnsi="Wingdings" w:hint="default"/>
      </w:rPr>
    </w:lvl>
    <w:lvl w:ilvl="6" w:tplc="04190001" w:tentative="1">
      <w:start w:val="1"/>
      <w:numFmt w:val="bullet"/>
      <w:lvlText w:val=""/>
      <w:lvlJc w:val="left"/>
      <w:pPr>
        <w:ind w:left="5377" w:hanging="360"/>
      </w:pPr>
      <w:rPr>
        <w:rFonts w:ascii="Symbol" w:hAnsi="Symbol" w:hint="default"/>
      </w:rPr>
    </w:lvl>
    <w:lvl w:ilvl="7" w:tplc="04190003" w:tentative="1">
      <w:start w:val="1"/>
      <w:numFmt w:val="bullet"/>
      <w:lvlText w:val="o"/>
      <w:lvlJc w:val="left"/>
      <w:pPr>
        <w:ind w:left="6097" w:hanging="360"/>
      </w:pPr>
      <w:rPr>
        <w:rFonts w:ascii="Courier New" w:hAnsi="Courier New" w:cs="Courier New" w:hint="default"/>
      </w:rPr>
    </w:lvl>
    <w:lvl w:ilvl="8" w:tplc="04190005" w:tentative="1">
      <w:start w:val="1"/>
      <w:numFmt w:val="bullet"/>
      <w:lvlText w:val=""/>
      <w:lvlJc w:val="left"/>
      <w:pPr>
        <w:ind w:left="6817" w:hanging="360"/>
      </w:pPr>
      <w:rPr>
        <w:rFonts w:ascii="Wingdings" w:hAnsi="Wingdings" w:hint="default"/>
      </w:rPr>
    </w:lvl>
  </w:abstractNum>
  <w:abstractNum w:abstractNumId="144" w15:restartNumberingAfterBreak="0">
    <w:nsid w:val="604F074F"/>
    <w:multiLevelType w:val="hybridMultilevel"/>
    <w:tmpl w:val="3A461F2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5" w15:restartNumberingAfterBreak="0">
    <w:nsid w:val="60A143C0"/>
    <w:multiLevelType w:val="multilevel"/>
    <w:tmpl w:val="E73EE0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6" w15:restartNumberingAfterBreak="0">
    <w:nsid w:val="60D5172C"/>
    <w:multiLevelType w:val="hybridMultilevel"/>
    <w:tmpl w:val="320A1B1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7" w15:restartNumberingAfterBreak="0">
    <w:nsid w:val="61596D6D"/>
    <w:multiLevelType w:val="multilevel"/>
    <w:tmpl w:val="FFDAF660"/>
    <w:lvl w:ilvl="0">
      <w:start w:val="1"/>
      <w:numFmt w:val="decimal"/>
      <w:lvlText w:val="%1."/>
      <w:lvlJc w:val="left"/>
      <w:pPr>
        <w:ind w:left="457" w:hanging="360"/>
      </w:pPr>
      <w:rPr>
        <w:rFonts w:hint="default"/>
      </w:rPr>
    </w:lvl>
    <w:lvl w:ilvl="1">
      <w:start w:val="1"/>
      <w:numFmt w:val="decimal"/>
      <w:isLgl/>
      <w:lvlText w:val="%1.%2."/>
      <w:lvlJc w:val="left"/>
      <w:pPr>
        <w:ind w:left="2574" w:hanging="720"/>
      </w:pPr>
      <w:rPr>
        <w:rFonts w:hint="default"/>
      </w:rPr>
    </w:lvl>
    <w:lvl w:ilvl="2">
      <w:start w:val="1"/>
      <w:numFmt w:val="decimal"/>
      <w:isLgl/>
      <w:lvlText w:val="%1.%2.%3."/>
      <w:lvlJc w:val="left"/>
      <w:pPr>
        <w:ind w:left="4331" w:hanging="720"/>
      </w:pPr>
      <w:rPr>
        <w:rFonts w:hint="default"/>
      </w:rPr>
    </w:lvl>
    <w:lvl w:ilvl="3">
      <w:start w:val="1"/>
      <w:numFmt w:val="decimal"/>
      <w:isLgl/>
      <w:lvlText w:val="%1.%2.%3.%4."/>
      <w:lvlJc w:val="left"/>
      <w:pPr>
        <w:ind w:left="6448" w:hanging="1080"/>
      </w:pPr>
      <w:rPr>
        <w:rFonts w:hint="default"/>
      </w:rPr>
    </w:lvl>
    <w:lvl w:ilvl="4">
      <w:start w:val="1"/>
      <w:numFmt w:val="decimal"/>
      <w:isLgl/>
      <w:lvlText w:val="%1.%2.%3.%4.%5."/>
      <w:lvlJc w:val="left"/>
      <w:pPr>
        <w:ind w:left="8205" w:hanging="1080"/>
      </w:pPr>
      <w:rPr>
        <w:rFonts w:hint="default"/>
      </w:rPr>
    </w:lvl>
    <w:lvl w:ilvl="5">
      <w:start w:val="1"/>
      <w:numFmt w:val="decimal"/>
      <w:isLgl/>
      <w:lvlText w:val="%1.%2.%3.%4.%5.%6."/>
      <w:lvlJc w:val="left"/>
      <w:pPr>
        <w:ind w:left="10322" w:hanging="1440"/>
      </w:pPr>
      <w:rPr>
        <w:rFonts w:hint="default"/>
      </w:rPr>
    </w:lvl>
    <w:lvl w:ilvl="6">
      <w:start w:val="1"/>
      <w:numFmt w:val="decimal"/>
      <w:isLgl/>
      <w:lvlText w:val="%1.%2.%3.%4.%5.%6.%7."/>
      <w:lvlJc w:val="left"/>
      <w:pPr>
        <w:ind w:left="12439" w:hanging="1800"/>
      </w:pPr>
      <w:rPr>
        <w:rFonts w:hint="default"/>
      </w:rPr>
    </w:lvl>
    <w:lvl w:ilvl="7">
      <w:start w:val="1"/>
      <w:numFmt w:val="decimal"/>
      <w:isLgl/>
      <w:lvlText w:val="%1.%2.%3.%4.%5.%6.%7.%8."/>
      <w:lvlJc w:val="left"/>
      <w:pPr>
        <w:ind w:left="14196" w:hanging="1800"/>
      </w:pPr>
      <w:rPr>
        <w:rFonts w:hint="default"/>
      </w:rPr>
    </w:lvl>
    <w:lvl w:ilvl="8">
      <w:start w:val="1"/>
      <w:numFmt w:val="decimal"/>
      <w:isLgl/>
      <w:lvlText w:val="%1.%2.%3.%4.%5.%6.%7.%8.%9."/>
      <w:lvlJc w:val="left"/>
      <w:pPr>
        <w:ind w:left="16313" w:hanging="2160"/>
      </w:pPr>
      <w:rPr>
        <w:rFonts w:hint="default"/>
      </w:rPr>
    </w:lvl>
  </w:abstractNum>
  <w:abstractNum w:abstractNumId="148" w15:restartNumberingAfterBreak="0">
    <w:nsid w:val="62AD43D1"/>
    <w:multiLevelType w:val="multilevel"/>
    <w:tmpl w:val="04190023"/>
    <w:lvl w:ilvl="0">
      <w:start w:val="1"/>
      <w:numFmt w:val="upperRoman"/>
      <w:pStyle w:val="1"/>
      <w:lvlText w:val="Статья %1."/>
      <w:lvlJc w:val="left"/>
      <w:pPr>
        <w:tabs>
          <w:tab w:val="num" w:pos="1440"/>
        </w:tabs>
        <w:ind w:left="0" w:firstLine="0"/>
      </w:pPr>
    </w:lvl>
    <w:lvl w:ilvl="1">
      <w:start w:val="1"/>
      <w:numFmt w:val="decimalZero"/>
      <w:pStyle w:val="2"/>
      <w:isLgl/>
      <w:lvlText w:val="Раздел %1.%2"/>
      <w:lvlJc w:val="left"/>
      <w:pPr>
        <w:tabs>
          <w:tab w:val="num" w:pos="3060"/>
        </w:tabs>
        <w:ind w:left="1980" w:firstLine="0"/>
      </w:pPr>
    </w:lvl>
    <w:lvl w:ilvl="2">
      <w:start w:val="1"/>
      <w:numFmt w:val="lowerLetter"/>
      <w:pStyle w:val="3"/>
      <w:lvlText w:val="(%3)"/>
      <w:lvlJc w:val="left"/>
      <w:pPr>
        <w:tabs>
          <w:tab w:val="num" w:pos="-1548"/>
        </w:tabs>
        <w:ind w:left="-1548" w:hanging="432"/>
      </w:pPr>
    </w:lvl>
    <w:lvl w:ilvl="3">
      <w:start w:val="1"/>
      <w:numFmt w:val="lowerRoman"/>
      <w:pStyle w:val="4"/>
      <w:lvlText w:val="(%4)"/>
      <w:lvlJc w:val="right"/>
      <w:pPr>
        <w:tabs>
          <w:tab w:val="num" w:pos="-1476"/>
        </w:tabs>
        <w:ind w:left="-1476" w:hanging="144"/>
      </w:pPr>
    </w:lvl>
    <w:lvl w:ilvl="4">
      <w:start w:val="1"/>
      <w:numFmt w:val="decimal"/>
      <w:pStyle w:val="5"/>
      <w:lvlText w:val="%5)"/>
      <w:lvlJc w:val="left"/>
      <w:pPr>
        <w:tabs>
          <w:tab w:val="num" w:pos="-1332"/>
        </w:tabs>
        <w:ind w:left="-1332" w:hanging="432"/>
      </w:pPr>
    </w:lvl>
    <w:lvl w:ilvl="5">
      <w:start w:val="1"/>
      <w:numFmt w:val="lowerLetter"/>
      <w:pStyle w:val="6"/>
      <w:lvlText w:val="%6)"/>
      <w:lvlJc w:val="left"/>
      <w:pPr>
        <w:tabs>
          <w:tab w:val="num" w:pos="-1188"/>
        </w:tabs>
        <w:ind w:left="-1188" w:hanging="432"/>
      </w:pPr>
    </w:lvl>
    <w:lvl w:ilvl="6">
      <w:start w:val="1"/>
      <w:numFmt w:val="lowerRoman"/>
      <w:pStyle w:val="7"/>
      <w:lvlText w:val="%7)"/>
      <w:lvlJc w:val="right"/>
      <w:pPr>
        <w:tabs>
          <w:tab w:val="num" w:pos="-1044"/>
        </w:tabs>
        <w:ind w:left="-1044" w:hanging="288"/>
      </w:pPr>
    </w:lvl>
    <w:lvl w:ilvl="7">
      <w:start w:val="1"/>
      <w:numFmt w:val="lowerLetter"/>
      <w:pStyle w:val="8"/>
      <w:lvlText w:val="%8."/>
      <w:lvlJc w:val="left"/>
      <w:pPr>
        <w:tabs>
          <w:tab w:val="num" w:pos="-900"/>
        </w:tabs>
        <w:ind w:left="-900" w:hanging="432"/>
      </w:pPr>
    </w:lvl>
    <w:lvl w:ilvl="8">
      <w:start w:val="1"/>
      <w:numFmt w:val="lowerRoman"/>
      <w:pStyle w:val="9"/>
      <w:lvlText w:val="%9."/>
      <w:lvlJc w:val="right"/>
      <w:pPr>
        <w:tabs>
          <w:tab w:val="num" w:pos="-756"/>
        </w:tabs>
        <w:ind w:left="-756" w:hanging="144"/>
      </w:pPr>
    </w:lvl>
  </w:abstractNum>
  <w:abstractNum w:abstractNumId="149" w15:restartNumberingAfterBreak="0">
    <w:nsid w:val="63127542"/>
    <w:multiLevelType w:val="hybridMultilevel"/>
    <w:tmpl w:val="3BC8D682"/>
    <w:lvl w:ilvl="0" w:tplc="DD4EA330">
      <w:start w:val="1"/>
      <w:numFmt w:val="decimal"/>
      <w:lvlText w:val="%1."/>
      <w:lvlJc w:val="left"/>
      <w:pPr>
        <w:ind w:left="643" w:hanging="360"/>
      </w:pPr>
      <w:rPr>
        <w:rFonts w:ascii="Tahoma" w:eastAsia="Times New Roman" w:hAnsi="Tahoma" w:cs="Tahoma"/>
      </w:rPr>
    </w:lvl>
    <w:lvl w:ilvl="1" w:tplc="04190019">
      <w:start w:val="1"/>
      <w:numFmt w:val="lowerLetter"/>
      <w:lvlText w:val="%2."/>
      <w:lvlJc w:val="left"/>
      <w:pPr>
        <w:ind w:left="1363" w:hanging="360"/>
      </w:pPr>
    </w:lvl>
    <w:lvl w:ilvl="2" w:tplc="0419001B" w:tentative="1">
      <w:start w:val="1"/>
      <w:numFmt w:val="lowerRoman"/>
      <w:lvlText w:val="%3."/>
      <w:lvlJc w:val="right"/>
      <w:pPr>
        <w:ind w:left="2083" w:hanging="180"/>
      </w:pPr>
    </w:lvl>
    <w:lvl w:ilvl="3" w:tplc="0419000F" w:tentative="1">
      <w:start w:val="1"/>
      <w:numFmt w:val="decimal"/>
      <w:lvlText w:val="%4."/>
      <w:lvlJc w:val="left"/>
      <w:pPr>
        <w:ind w:left="2803" w:hanging="360"/>
      </w:pPr>
    </w:lvl>
    <w:lvl w:ilvl="4" w:tplc="04190019" w:tentative="1">
      <w:start w:val="1"/>
      <w:numFmt w:val="lowerLetter"/>
      <w:lvlText w:val="%5."/>
      <w:lvlJc w:val="left"/>
      <w:pPr>
        <w:ind w:left="3523" w:hanging="360"/>
      </w:pPr>
    </w:lvl>
    <w:lvl w:ilvl="5" w:tplc="0419001B" w:tentative="1">
      <w:start w:val="1"/>
      <w:numFmt w:val="lowerRoman"/>
      <w:lvlText w:val="%6."/>
      <w:lvlJc w:val="right"/>
      <w:pPr>
        <w:ind w:left="4243" w:hanging="180"/>
      </w:pPr>
    </w:lvl>
    <w:lvl w:ilvl="6" w:tplc="0419000F" w:tentative="1">
      <w:start w:val="1"/>
      <w:numFmt w:val="decimal"/>
      <w:lvlText w:val="%7."/>
      <w:lvlJc w:val="left"/>
      <w:pPr>
        <w:ind w:left="4963" w:hanging="360"/>
      </w:pPr>
    </w:lvl>
    <w:lvl w:ilvl="7" w:tplc="04190019" w:tentative="1">
      <w:start w:val="1"/>
      <w:numFmt w:val="lowerLetter"/>
      <w:lvlText w:val="%8."/>
      <w:lvlJc w:val="left"/>
      <w:pPr>
        <w:ind w:left="5683" w:hanging="360"/>
      </w:pPr>
    </w:lvl>
    <w:lvl w:ilvl="8" w:tplc="0419001B" w:tentative="1">
      <w:start w:val="1"/>
      <w:numFmt w:val="lowerRoman"/>
      <w:lvlText w:val="%9."/>
      <w:lvlJc w:val="right"/>
      <w:pPr>
        <w:ind w:left="6403" w:hanging="180"/>
      </w:pPr>
    </w:lvl>
  </w:abstractNum>
  <w:abstractNum w:abstractNumId="150" w15:restartNumberingAfterBreak="0">
    <w:nsid w:val="637C61E1"/>
    <w:multiLevelType w:val="multilevel"/>
    <w:tmpl w:val="E73CA3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1" w15:restartNumberingAfterBreak="0">
    <w:nsid w:val="63DD6755"/>
    <w:multiLevelType w:val="hybridMultilevel"/>
    <w:tmpl w:val="0B02CB0C"/>
    <w:lvl w:ilvl="0" w:tplc="5B0E8B0C">
      <w:start w:val="1"/>
      <w:numFmt w:val="bullet"/>
      <w:lvlText w:val="-"/>
      <w:lvlJc w:val="left"/>
      <w:pPr>
        <w:ind w:left="720" w:hanging="360"/>
      </w:pPr>
      <w:rPr>
        <w:rFonts w:ascii="Courier New" w:hAnsi="Courier New" w:hint="default"/>
      </w:rPr>
    </w:lvl>
    <w:lvl w:ilvl="1" w:tplc="04190019">
      <w:start w:val="1"/>
      <w:numFmt w:val="bullet"/>
      <w:lvlText w:val="o"/>
      <w:lvlJc w:val="left"/>
      <w:pPr>
        <w:ind w:left="1440" w:hanging="360"/>
      </w:pPr>
      <w:rPr>
        <w:rFonts w:ascii="Courier New" w:hAnsi="Courier New" w:cs="Courier New" w:hint="default"/>
      </w:rPr>
    </w:lvl>
    <w:lvl w:ilvl="2" w:tplc="0419001B" w:tentative="1">
      <w:start w:val="1"/>
      <w:numFmt w:val="bullet"/>
      <w:lvlText w:val=""/>
      <w:lvlJc w:val="left"/>
      <w:pPr>
        <w:ind w:left="2160" w:hanging="360"/>
      </w:pPr>
      <w:rPr>
        <w:rFonts w:ascii="Wingdings" w:hAnsi="Wingdings" w:hint="default"/>
      </w:rPr>
    </w:lvl>
    <w:lvl w:ilvl="3" w:tplc="0419000F" w:tentative="1">
      <w:start w:val="1"/>
      <w:numFmt w:val="bullet"/>
      <w:lvlText w:val=""/>
      <w:lvlJc w:val="left"/>
      <w:pPr>
        <w:ind w:left="2880" w:hanging="360"/>
      </w:pPr>
      <w:rPr>
        <w:rFonts w:ascii="Symbol" w:hAnsi="Symbol" w:hint="default"/>
      </w:rPr>
    </w:lvl>
    <w:lvl w:ilvl="4" w:tplc="04190019" w:tentative="1">
      <w:start w:val="1"/>
      <w:numFmt w:val="bullet"/>
      <w:lvlText w:val="o"/>
      <w:lvlJc w:val="left"/>
      <w:pPr>
        <w:ind w:left="3600" w:hanging="360"/>
      </w:pPr>
      <w:rPr>
        <w:rFonts w:ascii="Courier New" w:hAnsi="Courier New" w:cs="Courier New" w:hint="default"/>
      </w:rPr>
    </w:lvl>
    <w:lvl w:ilvl="5" w:tplc="0419001B" w:tentative="1">
      <w:start w:val="1"/>
      <w:numFmt w:val="bullet"/>
      <w:lvlText w:val=""/>
      <w:lvlJc w:val="left"/>
      <w:pPr>
        <w:ind w:left="4320" w:hanging="360"/>
      </w:pPr>
      <w:rPr>
        <w:rFonts w:ascii="Wingdings" w:hAnsi="Wingdings" w:hint="default"/>
      </w:rPr>
    </w:lvl>
    <w:lvl w:ilvl="6" w:tplc="0419000F" w:tentative="1">
      <w:start w:val="1"/>
      <w:numFmt w:val="bullet"/>
      <w:lvlText w:val=""/>
      <w:lvlJc w:val="left"/>
      <w:pPr>
        <w:ind w:left="5040" w:hanging="360"/>
      </w:pPr>
      <w:rPr>
        <w:rFonts w:ascii="Symbol" w:hAnsi="Symbol" w:hint="default"/>
      </w:rPr>
    </w:lvl>
    <w:lvl w:ilvl="7" w:tplc="04190019" w:tentative="1">
      <w:start w:val="1"/>
      <w:numFmt w:val="bullet"/>
      <w:lvlText w:val="o"/>
      <w:lvlJc w:val="left"/>
      <w:pPr>
        <w:ind w:left="5760" w:hanging="360"/>
      </w:pPr>
      <w:rPr>
        <w:rFonts w:ascii="Courier New" w:hAnsi="Courier New" w:cs="Courier New" w:hint="default"/>
      </w:rPr>
    </w:lvl>
    <w:lvl w:ilvl="8" w:tplc="0419001B" w:tentative="1">
      <w:start w:val="1"/>
      <w:numFmt w:val="bullet"/>
      <w:lvlText w:val=""/>
      <w:lvlJc w:val="left"/>
      <w:pPr>
        <w:ind w:left="6480" w:hanging="360"/>
      </w:pPr>
      <w:rPr>
        <w:rFonts w:ascii="Wingdings" w:hAnsi="Wingdings" w:hint="default"/>
      </w:rPr>
    </w:lvl>
  </w:abstractNum>
  <w:abstractNum w:abstractNumId="152" w15:restartNumberingAfterBreak="0">
    <w:nsid w:val="65676C48"/>
    <w:multiLevelType w:val="multilevel"/>
    <w:tmpl w:val="A552D87A"/>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7"/>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3" w15:restartNumberingAfterBreak="0">
    <w:nsid w:val="66E82381"/>
    <w:multiLevelType w:val="hybridMultilevel"/>
    <w:tmpl w:val="8DCE79B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4" w15:restartNumberingAfterBreak="0">
    <w:nsid w:val="6726598A"/>
    <w:multiLevelType w:val="hybridMultilevel"/>
    <w:tmpl w:val="A3D0044E"/>
    <w:lvl w:ilvl="0" w:tplc="0419000D">
      <w:start w:val="1"/>
      <w:numFmt w:val="bullet"/>
      <w:lvlText w:val=""/>
      <w:lvlJc w:val="left"/>
      <w:pPr>
        <w:ind w:left="1526" w:hanging="360"/>
      </w:pPr>
      <w:rPr>
        <w:rFonts w:ascii="Wingdings" w:hAnsi="Wingdings" w:hint="default"/>
      </w:rPr>
    </w:lvl>
    <w:lvl w:ilvl="1" w:tplc="04190003" w:tentative="1">
      <w:start w:val="1"/>
      <w:numFmt w:val="bullet"/>
      <w:lvlText w:val="o"/>
      <w:lvlJc w:val="left"/>
      <w:pPr>
        <w:ind w:left="2246" w:hanging="360"/>
      </w:pPr>
      <w:rPr>
        <w:rFonts w:ascii="Courier New" w:hAnsi="Courier New" w:cs="Courier New" w:hint="default"/>
      </w:rPr>
    </w:lvl>
    <w:lvl w:ilvl="2" w:tplc="04190005" w:tentative="1">
      <w:start w:val="1"/>
      <w:numFmt w:val="bullet"/>
      <w:lvlText w:val=""/>
      <w:lvlJc w:val="left"/>
      <w:pPr>
        <w:ind w:left="2966" w:hanging="360"/>
      </w:pPr>
      <w:rPr>
        <w:rFonts w:ascii="Wingdings" w:hAnsi="Wingdings" w:hint="default"/>
      </w:rPr>
    </w:lvl>
    <w:lvl w:ilvl="3" w:tplc="04190001" w:tentative="1">
      <w:start w:val="1"/>
      <w:numFmt w:val="bullet"/>
      <w:lvlText w:val=""/>
      <w:lvlJc w:val="left"/>
      <w:pPr>
        <w:ind w:left="3686" w:hanging="360"/>
      </w:pPr>
      <w:rPr>
        <w:rFonts w:ascii="Symbol" w:hAnsi="Symbol" w:hint="default"/>
      </w:rPr>
    </w:lvl>
    <w:lvl w:ilvl="4" w:tplc="04190003" w:tentative="1">
      <w:start w:val="1"/>
      <w:numFmt w:val="bullet"/>
      <w:lvlText w:val="o"/>
      <w:lvlJc w:val="left"/>
      <w:pPr>
        <w:ind w:left="4406" w:hanging="360"/>
      </w:pPr>
      <w:rPr>
        <w:rFonts w:ascii="Courier New" w:hAnsi="Courier New" w:cs="Courier New" w:hint="default"/>
      </w:rPr>
    </w:lvl>
    <w:lvl w:ilvl="5" w:tplc="04190005" w:tentative="1">
      <w:start w:val="1"/>
      <w:numFmt w:val="bullet"/>
      <w:lvlText w:val=""/>
      <w:lvlJc w:val="left"/>
      <w:pPr>
        <w:ind w:left="5126" w:hanging="360"/>
      </w:pPr>
      <w:rPr>
        <w:rFonts w:ascii="Wingdings" w:hAnsi="Wingdings" w:hint="default"/>
      </w:rPr>
    </w:lvl>
    <w:lvl w:ilvl="6" w:tplc="04190001" w:tentative="1">
      <w:start w:val="1"/>
      <w:numFmt w:val="bullet"/>
      <w:lvlText w:val=""/>
      <w:lvlJc w:val="left"/>
      <w:pPr>
        <w:ind w:left="5846" w:hanging="360"/>
      </w:pPr>
      <w:rPr>
        <w:rFonts w:ascii="Symbol" w:hAnsi="Symbol" w:hint="default"/>
      </w:rPr>
    </w:lvl>
    <w:lvl w:ilvl="7" w:tplc="04190003" w:tentative="1">
      <w:start w:val="1"/>
      <w:numFmt w:val="bullet"/>
      <w:lvlText w:val="o"/>
      <w:lvlJc w:val="left"/>
      <w:pPr>
        <w:ind w:left="6566" w:hanging="360"/>
      </w:pPr>
      <w:rPr>
        <w:rFonts w:ascii="Courier New" w:hAnsi="Courier New" w:cs="Courier New" w:hint="default"/>
      </w:rPr>
    </w:lvl>
    <w:lvl w:ilvl="8" w:tplc="04190005" w:tentative="1">
      <w:start w:val="1"/>
      <w:numFmt w:val="bullet"/>
      <w:lvlText w:val=""/>
      <w:lvlJc w:val="left"/>
      <w:pPr>
        <w:ind w:left="7286" w:hanging="360"/>
      </w:pPr>
      <w:rPr>
        <w:rFonts w:ascii="Wingdings" w:hAnsi="Wingdings" w:hint="default"/>
      </w:rPr>
    </w:lvl>
  </w:abstractNum>
  <w:abstractNum w:abstractNumId="155" w15:restartNumberingAfterBreak="0">
    <w:nsid w:val="679E572F"/>
    <w:multiLevelType w:val="hybridMultilevel"/>
    <w:tmpl w:val="01EE60E2"/>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6" w15:restartNumberingAfterBreak="0">
    <w:nsid w:val="68914A1A"/>
    <w:multiLevelType w:val="hybridMultilevel"/>
    <w:tmpl w:val="FE26AC1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57" w15:restartNumberingAfterBreak="0">
    <w:nsid w:val="69536012"/>
    <w:multiLevelType w:val="multilevel"/>
    <w:tmpl w:val="C98C8ED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8" w15:restartNumberingAfterBreak="0">
    <w:nsid w:val="6A267DA9"/>
    <w:multiLevelType w:val="hybridMultilevel"/>
    <w:tmpl w:val="E5CEC8A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9" w15:restartNumberingAfterBreak="0">
    <w:nsid w:val="6A7E394D"/>
    <w:multiLevelType w:val="hybridMultilevel"/>
    <w:tmpl w:val="E60CDE2E"/>
    <w:lvl w:ilvl="0" w:tplc="4E06BDDA">
      <w:start w:val="2"/>
      <w:numFmt w:val="decimal"/>
      <w:lvlText w:val="%1."/>
      <w:lvlJc w:val="left"/>
      <w:pPr>
        <w:ind w:left="1146" w:hanging="360"/>
      </w:pPr>
      <w:rPr>
        <w:rFonts w:hint="default"/>
        <w:b/>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60" w15:restartNumberingAfterBreak="0">
    <w:nsid w:val="6A910460"/>
    <w:multiLevelType w:val="hybridMultilevel"/>
    <w:tmpl w:val="21E47812"/>
    <w:lvl w:ilvl="0" w:tplc="EDFA23B6">
      <w:start w:val="1"/>
      <w:numFmt w:val="bullet"/>
      <w:lvlText w:val=""/>
      <w:lvlJc w:val="left"/>
      <w:pPr>
        <w:ind w:left="1854" w:hanging="360"/>
      </w:pPr>
      <w:rPr>
        <w:rFonts w:ascii="Symbol" w:hAnsi="Symbol" w:hint="default"/>
      </w:rPr>
    </w:lvl>
    <w:lvl w:ilvl="1" w:tplc="8A5667CE" w:tentative="1">
      <w:start w:val="1"/>
      <w:numFmt w:val="bullet"/>
      <w:lvlText w:val="o"/>
      <w:lvlJc w:val="left"/>
      <w:pPr>
        <w:ind w:left="2574" w:hanging="360"/>
      </w:pPr>
      <w:rPr>
        <w:rFonts w:ascii="Courier New" w:hAnsi="Courier New" w:cs="Courier New" w:hint="default"/>
      </w:rPr>
    </w:lvl>
    <w:lvl w:ilvl="2" w:tplc="CFA0EDC2" w:tentative="1">
      <w:start w:val="1"/>
      <w:numFmt w:val="bullet"/>
      <w:lvlText w:val=""/>
      <w:lvlJc w:val="left"/>
      <w:pPr>
        <w:ind w:left="3294" w:hanging="360"/>
      </w:pPr>
      <w:rPr>
        <w:rFonts w:ascii="Wingdings" w:hAnsi="Wingdings" w:hint="default"/>
      </w:rPr>
    </w:lvl>
    <w:lvl w:ilvl="3" w:tplc="B586455A" w:tentative="1">
      <w:start w:val="1"/>
      <w:numFmt w:val="bullet"/>
      <w:lvlText w:val=""/>
      <w:lvlJc w:val="left"/>
      <w:pPr>
        <w:ind w:left="4014" w:hanging="360"/>
      </w:pPr>
      <w:rPr>
        <w:rFonts w:ascii="Symbol" w:hAnsi="Symbol" w:hint="default"/>
      </w:rPr>
    </w:lvl>
    <w:lvl w:ilvl="4" w:tplc="106204C2" w:tentative="1">
      <w:start w:val="1"/>
      <w:numFmt w:val="bullet"/>
      <w:lvlText w:val="o"/>
      <w:lvlJc w:val="left"/>
      <w:pPr>
        <w:ind w:left="4734" w:hanging="360"/>
      </w:pPr>
      <w:rPr>
        <w:rFonts w:ascii="Courier New" w:hAnsi="Courier New" w:cs="Courier New" w:hint="default"/>
      </w:rPr>
    </w:lvl>
    <w:lvl w:ilvl="5" w:tplc="E508EEDC" w:tentative="1">
      <w:start w:val="1"/>
      <w:numFmt w:val="bullet"/>
      <w:lvlText w:val=""/>
      <w:lvlJc w:val="left"/>
      <w:pPr>
        <w:ind w:left="5454" w:hanging="360"/>
      </w:pPr>
      <w:rPr>
        <w:rFonts w:ascii="Wingdings" w:hAnsi="Wingdings" w:hint="default"/>
      </w:rPr>
    </w:lvl>
    <w:lvl w:ilvl="6" w:tplc="33E2E2A6" w:tentative="1">
      <w:start w:val="1"/>
      <w:numFmt w:val="bullet"/>
      <w:lvlText w:val=""/>
      <w:lvlJc w:val="left"/>
      <w:pPr>
        <w:ind w:left="6174" w:hanging="360"/>
      </w:pPr>
      <w:rPr>
        <w:rFonts w:ascii="Symbol" w:hAnsi="Symbol" w:hint="default"/>
      </w:rPr>
    </w:lvl>
    <w:lvl w:ilvl="7" w:tplc="92740FF2" w:tentative="1">
      <w:start w:val="1"/>
      <w:numFmt w:val="bullet"/>
      <w:lvlText w:val="o"/>
      <w:lvlJc w:val="left"/>
      <w:pPr>
        <w:ind w:left="6894" w:hanging="360"/>
      </w:pPr>
      <w:rPr>
        <w:rFonts w:ascii="Courier New" w:hAnsi="Courier New" w:cs="Courier New" w:hint="default"/>
      </w:rPr>
    </w:lvl>
    <w:lvl w:ilvl="8" w:tplc="28C2113A" w:tentative="1">
      <w:start w:val="1"/>
      <w:numFmt w:val="bullet"/>
      <w:lvlText w:val=""/>
      <w:lvlJc w:val="left"/>
      <w:pPr>
        <w:ind w:left="7614" w:hanging="360"/>
      </w:pPr>
      <w:rPr>
        <w:rFonts w:ascii="Wingdings" w:hAnsi="Wingdings" w:hint="default"/>
      </w:rPr>
    </w:lvl>
  </w:abstractNum>
  <w:abstractNum w:abstractNumId="161" w15:restartNumberingAfterBreak="0">
    <w:nsid w:val="6B155041"/>
    <w:multiLevelType w:val="hybridMultilevel"/>
    <w:tmpl w:val="981032BA"/>
    <w:lvl w:ilvl="0" w:tplc="BF8879CA">
      <w:start w:val="1"/>
      <w:numFmt w:val="decimal"/>
      <w:lvlText w:val="%1."/>
      <w:lvlJc w:val="left"/>
      <w:pPr>
        <w:ind w:left="394" w:hanging="360"/>
      </w:pPr>
      <w:rPr>
        <w:rFonts w:hint="default"/>
      </w:rPr>
    </w:lvl>
    <w:lvl w:ilvl="1" w:tplc="04190019">
      <w:start w:val="1"/>
      <w:numFmt w:val="lowerLetter"/>
      <w:lvlText w:val="%2."/>
      <w:lvlJc w:val="left"/>
      <w:pPr>
        <w:ind w:left="1114" w:hanging="360"/>
      </w:pPr>
    </w:lvl>
    <w:lvl w:ilvl="2" w:tplc="0419001B" w:tentative="1">
      <w:start w:val="1"/>
      <w:numFmt w:val="lowerRoman"/>
      <w:lvlText w:val="%3."/>
      <w:lvlJc w:val="right"/>
      <w:pPr>
        <w:ind w:left="1834" w:hanging="180"/>
      </w:pPr>
    </w:lvl>
    <w:lvl w:ilvl="3" w:tplc="0419000F" w:tentative="1">
      <w:start w:val="1"/>
      <w:numFmt w:val="decimal"/>
      <w:lvlText w:val="%4."/>
      <w:lvlJc w:val="left"/>
      <w:pPr>
        <w:ind w:left="2554" w:hanging="360"/>
      </w:pPr>
    </w:lvl>
    <w:lvl w:ilvl="4" w:tplc="04190019" w:tentative="1">
      <w:start w:val="1"/>
      <w:numFmt w:val="lowerLetter"/>
      <w:lvlText w:val="%5."/>
      <w:lvlJc w:val="left"/>
      <w:pPr>
        <w:ind w:left="3274" w:hanging="360"/>
      </w:pPr>
    </w:lvl>
    <w:lvl w:ilvl="5" w:tplc="0419001B" w:tentative="1">
      <w:start w:val="1"/>
      <w:numFmt w:val="lowerRoman"/>
      <w:lvlText w:val="%6."/>
      <w:lvlJc w:val="right"/>
      <w:pPr>
        <w:ind w:left="3994" w:hanging="180"/>
      </w:pPr>
    </w:lvl>
    <w:lvl w:ilvl="6" w:tplc="0419000F" w:tentative="1">
      <w:start w:val="1"/>
      <w:numFmt w:val="decimal"/>
      <w:lvlText w:val="%7."/>
      <w:lvlJc w:val="left"/>
      <w:pPr>
        <w:ind w:left="4714" w:hanging="360"/>
      </w:pPr>
    </w:lvl>
    <w:lvl w:ilvl="7" w:tplc="04190019" w:tentative="1">
      <w:start w:val="1"/>
      <w:numFmt w:val="lowerLetter"/>
      <w:lvlText w:val="%8."/>
      <w:lvlJc w:val="left"/>
      <w:pPr>
        <w:ind w:left="5434" w:hanging="360"/>
      </w:pPr>
    </w:lvl>
    <w:lvl w:ilvl="8" w:tplc="0419001B" w:tentative="1">
      <w:start w:val="1"/>
      <w:numFmt w:val="lowerRoman"/>
      <w:lvlText w:val="%9."/>
      <w:lvlJc w:val="right"/>
      <w:pPr>
        <w:ind w:left="6154" w:hanging="180"/>
      </w:pPr>
    </w:lvl>
  </w:abstractNum>
  <w:abstractNum w:abstractNumId="162" w15:restartNumberingAfterBreak="0">
    <w:nsid w:val="6B404382"/>
    <w:multiLevelType w:val="hybridMultilevel"/>
    <w:tmpl w:val="25520A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3" w15:restartNumberingAfterBreak="0">
    <w:nsid w:val="6CBB183A"/>
    <w:multiLevelType w:val="hybridMultilevel"/>
    <w:tmpl w:val="174E548C"/>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4" w15:restartNumberingAfterBreak="0">
    <w:nsid w:val="6E0503C0"/>
    <w:multiLevelType w:val="multilevel"/>
    <w:tmpl w:val="63AE70BA"/>
    <w:lvl w:ilvl="0">
      <w:start w:val="1"/>
      <w:numFmt w:val="decimal"/>
      <w:lvlText w:val="%1."/>
      <w:lvlJc w:val="left"/>
      <w:pPr>
        <w:ind w:left="1080" w:hanging="360"/>
      </w:pPr>
    </w:lvl>
    <w:lvl w:ilvl="1">
      <w:start w:val="20"/>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65" w15:restartNumberingAfterBreak="0">
    <w:nsid w:val="6EAD227D"/>
    <w:multiLevelType w:val="hybridMultilevel"/>
    <w:tmpl w:val="5EBA9184"/>
    <w:lvl w:ilvl="0" w:tplc="A42CC794">
      <w:start w:val="1"/>
      <w:numFmt w:val="decimal"/>
      <w:lvlText w:val="%1.2."/>
      <w:lvlJc w:val="left"/>
      <w:pPr>
        <w:ind w:left="10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6" w15:restartNumberingAfterBreak="0">
    <w:nsid w:val="6F5030B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7" w15:restartNumberingAfterBreak="0">
    <w:nsid w:val="6F79403E"/>
    <w:multiLevelType w:val="hybridMultilevel"/>
    <w:tmpl w:val="73723832"/>
    <w:lvl w:ilvl="0" w:tplc="79427672">
      <w:start w:val="1"/>
      <w:numFmt w:val="lowerLetter"/>
      <w:lvlText w:val="%1."/>
      <w:lvlJc w:val="left"/>
      <w:pPr>
        <w:ind w:left="2779" w:hanging="360"/>
      </w:pPr>
      <w:rPr>
        <w:rFonts w:hint="default"/>
        <w:sz w:val="18"/>
        <w:szCs w:val="1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8" w15:restartNumberingAfterBreak="0">
    <w:nsid w:val="71082163"/>
    <w:multiLevelType w:val="hybridMultilevel"/>
    <w:tmpl w:val="1D141076"/>
    <w:lvl w:ilvl="0" w:tplc="C2D85E80">
      <w:start w:val="1"/>
      <w:numFmt w:val="decimal"/>
      <w:lvlText w:val="%1)"/>
      <w:lvlJc w:val="left"/>
      <w:pPr>
        <w:ind w:left="643" w:hanging="360"/>
      </w:pPr>
      <w:rPr>
        <w:rFonts w:ascii="Tahoma" w:eastAsia="Times New Roman" w:hAnsi="Tahoma" w:cs="Tahoma"/>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9" w15:restartNumberingAfterBreak="0">
    <w:nsid w:val="71257199"/>
    <w:multiLevelType w:val="multilevel"/>
    <w:tmpl w:val="BFBC2B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0" w15:restartNumberingAfterBreak="0">
    <w:nsid w:val="7161709D"/>
    <w:multiLevelType w:val="hybridMultilevel"/>
    <w:tmpl w:val="A322DBBA"/>
    <w:lvl w:ilvl="0" w:tplc="FD52E1E4">
      <w:start w:val="1"/>
      <w:numFmt w:val="decimal"/>
      <w:lvlText w:val="%1."/>
      <w:lvlJc w:val="left"/>
      <w:pPr>
        <w:ind w:left="720" w:hanging="360"/>
      </w:pPr>
      <w:rPr>
        <w:color w:val="FFFFFF"/>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1" w15:restartNumberingAfterBreak="0">
    <w:nsid w:val="72074897"/>
    <w:multiLevelType w:val="hybridMultilevel"/>
    <w:tmpl w:val="220C997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2" w15:restartNumberingAfterBreak="0">
    <w:nsid w:val="724817BC"/>
    <w:multiLevelType w:val="hybridMultilevel"/>
    <w:tmpl w:val="65D6372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73" w15:restartNumberingAfterBreak="0">
    <w:nsid w:val="72667FF8"/>
    <w:multiLevelType w:val="hybridMultilevel"/>
    <w:tmpl w:val="3774E6A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4" w15:restartNumberingAfterBreak="0">
    <w:nsid w:val="73A54BFB"/>
    <w:multiLevelType w:val="multilevel"/>
    <w:tmpl w:val="BFBC2B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5" w15:restartNumberingAfterBreak="0">
    <w:nsid w:val="73CD5BD3"/>
    <w:multiLevelType w:val="multilevel"/>
    <w:tmpl w:val="E6443B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6" w15:restartNumberingAfterBreak="0">
    <w:nsid w:val="75074F80"/>
    <w:multiLevelType w:val="hybridMultilevel"/>
    <w:tmpl w:val="31724C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7" w15:restartNumberingAfterBreak="0">
    <w:nsid w:val="754E712A"/>
    <w:multiLevelType w:val="hybridMultilevel"/>
    <w:tmpl w:val="09DEFD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8" w15:restartNumberingAfterBreak="0">
    <w:nsid w:val="760A2B18"/>
    <w:multiLevelType w:val="multilevel"/>
    <w:tmpl w:val="86F63322"/>
    <w:lvl w:ilvl="0">
      <w:start w:val="3"/>
      <w:numFmt w:val="decimal"/>
      <w:lvlText w:val="%1."/>
      <w:lvlJc w:val="left"/>
      <w:pPr>
        <w:ind w:left="457" w:hanging="360"/>
      </w:pPr>
      <w:rPr>
        <w:rFonts w:hint="default"/>
        <w:b/>
      </w:rPr>
    </w:lvl>
    <w:lvl w:ilvl="1">
      <w:start w:val="1"/>
      <w:numFmt w:val="decimal"/>
      <w:isLgl/>
      <w:lvlText w:val="%1.%2."/>
      <w:lvlJc w:val="left"/>
      <w:pPr>
        <w:ind w:left="2574" w:hanging="720"/>
      </w:pPr>
      <w:rPr>
        <w:rFonts w:hint="default"/>
        <w:b/>
      </w:rPr>
    </w:lvl>
    <w:lvl w:ilvl="2">
      <w:start w:val="1"/>
      <w:numFmt w:val="decimal"/>
      <w:isLgl/>
      <w:lvlText w:val="%1.%2.%3."/>
      <w:lvlJc w:val="left"/>
      <w:pPr>
        <w:ind w:left="4331" w:hanging="720"/>
      </w:pPr>
      <w:rPr>
        <w:rFonts w:hint="default"/>
      </w:rPr>
    </w:lvl>
    <w:lvl w:ilvl="3">
      <w:start w:val="1"/>
      <w:numFmt w:val="decimal"/>
      <w:isLgl/>
      <w:lvlText w:val="%1.%2.%3.%4."/>
      <w:lvlJc w:val="left"/>
      <w:pPr>
        <w:ind w:left="6448" w:hanging="1080"/>
      </w:pPr>
      <w:rPr>
        <w:rFonts w:hint="default"/>
      </w:rPr>
    </w:lvl>
    <w:lvl w:ilvl="4">
      <w:start w:val="1"/>
      <w:numFmt w:val="decimal"/>
      <w:isLgl/>
      <w:lvlText w:val="%1.%2.%3.%4.%5."/>
      <w:lvlJc w:val="left"/>
      <w:pPr>
        <w:ind w:left="8205" w:hanging="1080"/>
      </w:pPr>
      <w:rPr>
        <w:rFonts w:hint="default"/>
      </w:rPr>
    </w:lvl>
    <w:lvl w:ilvl="5">
      <w:start w:val="1"/>
      <w:numFmt w:val="decimal"/>
      <w:isLgl/>
      <w:lvlText w:val="%1.%2.%3.%4.%5.%6."/>
      <w:lvlJc w:val="left"/>
      <w:pPr>
        <w:ind w:left="10322" w:hanging="1440"/>
      </w:pPr>
      <w:rPr>
        <w:rFonts w:hint="default"/>
      </w:rPr>
    </w:lvl>
    <w:lvl w:ilvl="6">
      <w:start w:val="1"/>
      <w:numFmt w:val="decimal"/>
      <w:isLgl/>
      <w:lvlText w:val="%1.%2.%3.%4.%5.%6.%7."/>
      <w:lvlJc w:val="left"/>
      <w:pPr>
        <w:ind w:left="12439" w:hanging="1800"/>
      </w:pPr>
      <w:rPr>
        <w:rFonts w:hint="default"/>
      </w:rPr>
    </w:lvl>
    <w:lvl w:ilvl="7">
      <w:start w:val="1"/>
      <w:numFmt w:val="decimal"/>
      <w:isLgl/>
      <w:lvlText w:val="%1.%2.%3.%4.%5.%6.%7.%8."/>
      <w:lvlJc w:val="left"/>
      <w:pPr>
        <w:ind w:left="14196" w:hanging="1800"/>
      </w:pPr>
      <w:rPr>
        <w:rFonts w:hint="default"/>
      </w:rPr>
    </w:lvl>
    <w:lvl w:ilvl="8">
      <w:start w:val="1"/>
      <w:numFmt w:val="decimal"/>
      <w:isLgl/>
      <w:lvlText w:val="%1.%2.%3.%4.%5.%6.%7.%8.%9."/>
      <w:lvlJc w:val="left"/>
      <w:pPr>
        <w:ind w:left="16313" w:hanging="2160"/>
      </w:pPr>
      <w:rPr>
        <w:rFonts w:hint="default"/>
      </w:rPr>
    </w:lvl>
  </w:abstractNum>
  <w:abstractNum w:abstractNumId="179" w15:restartNumberingAfterBreak="0">
    <w:nsid w:val="796E3FF3"/>
    <w:multiLevelType w:val="multilevel"/>
    <w:tmpl w:val="0E1A7E68"/>
    <w:lvl w:ilvl="0">
      <w:start w:val="1"/>
      <w:numFmt w:val="decimal"/>
      <w:lvlText w:val="%1."/>
      <w:lvlJc w:val="left"/>
      <w:pPr>
        <w:ind w:left="720" w:hanging="360"/>
      </w:pPr>
      <w:rPr>
        <w:rFonts w:hint="default"/>
      </w:rPr>
    </w:lvl>
    <w:lvl w:ilvl="1">
      <w:start w:val="12"/>
      <w:numFmt w:val="decimal"/>
      <w:isLgl/>
      <w:lvlText w:val="%1.%2."/>
      <w:lvlJc w:val="left"/>
      <w:pPr>
        <w:ind w:left="1146" w:hanging="720"/>
      </w:pPr>
      <w:rPr>
        <w:rFonts w:hint="default"/>
      </w:rPr>
    </w:lvl>
    <w:lvl w:ilvl="2">
      <w:start w:val="1"/>
      <w:numFmt w:val="decimal"/>
      <w:isLgl/>
      <w:lvlText w:val="%1.%2.%3."/>
      <w:lvlJc w:val="left"/>
      <w:pPr>
        <w:ind w:left="1572" w:hanging="108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2064" w:hanging="1440"/>
      </w:pPr>
      <w:rPr>
        <w:rFonts w:hint="default"/>
      </w:rPr>
    </w:lvl>
    <w:lvl w:ilvl="5">
      <w:start w:val="1"/>
      <w:numFmt w:val="decimal"/>
      <w:isLgl/>
      <w:lvlText w:val="%1.%2.%3.%4.%5.%6."/>
      <w:lvlJc w:val="left"/>
      <w:pPr>
        <w:ind w:left="2490" w:hanging="180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982" w:hanging="2160"/>
      </w:pPr>
      <w:rPr>
        <w:rFonts w:hint="default"/>
      </w:rPr>
    </w:lvl>
    <w:lvl w:ilvl="8">
      <w:start w:val="1"/>
      <w:numFmt w:val="decimal"/>
      <w:isLgl/>
      <w:lvlText w:val="%1.%2.%3.%4.%5.%6.%7.%8.%9."/>
      <w:lvlJc w:val="left"/>
      <w:pPr>
        <w:ind w:left="3408" w:hanging="2520"/>
      </w:pPr>
      <w:rPr>
        <w:rFonts w:hint="default"/>
      </w:rPr>
    </w:lvl>
  </w:abstractNum>
  <w:abstractNum w:abstractNumId="180" w15:restartNumberingAfterBreak="0">
    <w:nsid w:val="79F169A7"/>
    <w:multiLevelType w:val="hybridMultilevel"/>
    <w:tmpl w:val="F31E52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1" w15:restartNumberingAfterBreak="0">
    <w:nsid w:val="7A211257"/>
    <w:multiLevelType w:val="hybridMultilevel"/>
    <w:tmpl w:val="A948C7A2"/>
    <w:lvl w:ilvl="0" w:tplc="0419000B">
      <w:start w:val="1"/>
      <w:numFmt w:val="bullet"/>
      <w:lvlText w:val=""/>
      <w:lvlJc w:val="left"/>
      <w:pPr>
        <w:ind w:left="817" w:hanging="360"/>
      </w:pPr>
      <w:rPr>
        <w:rFonts w:ascii="Wingdings" w:hAnsi="Wingdings" w:hint="default"/>
      </w:rPr>
    </w:lvl>
    <w:lvl w:ilvl="1" w:tplc="04190003" w:tentative="1">
      <w:start w:val="1"/>
      <w:numFmt w:val="bullet"/>
      <w:lvlText w:val="o"/>
      <w:lvlJc w:val="left"/>
      <w:pPr>
        <w:ind w:left="1537" w:hanging="360"/>
      </w:pPr>
      <w:rPr>
        <w:rFonts w:ascii="Courier New" w:hAnsi="Courier New" w:cs="Courier New" w:hint="default"/>
      </w:rPr>
    </w:lvl>
    <w:lvl w:ilvl="2" w:tplc="04190005" w:tentative="1">
      <w:start w:val="1"/>
      <w:numFmt w:val="bullet"/>
      <w:lvlText w:val=""/>
      <w:lvlJc w:val="left"/>
      <w:pPr>
        <w:ind w:left="2257" w:hanging="360"/>
      </w:pPr>
      <w:rPr>
        <w:rFonts w:ascii="Wingdings" w:hAnsi="Wingdings" w:hint="default"/>
      </w:rPr>
    </w:lvl>
    <w:lvl w:ilvl="3" w:tplc="04190001" w:tentative="1">
      <w:start w:val="1"/>
      <w:numFmt w:val="bullet"/>
      <w:lvlText w:val=""/>
      <w:lvlJc w:val="left"/>
      <w:pPr>
        <w:ind w:left="2977" w:hanging="360"/>
      </w:pPr>
      <w:rPr>
        <w:rFonts w:ascii="Symbol" w:hAnsi="Symbol" w:hint="default"/>
      </w:rPr>
    </w:lvl>
    <w:lvl w:ilvl="4" w:tplc="04190003" w:tentative="1">
      <w:start w:val="1"/>
      <w:numFmt w:val="bullet"/>
      <w:lvlText w:val="o"/>
      <w:lvlJc w:val="left"/>
      <w:pPr>
        <w:ind w:left="3697" w:hanging="360"/>
      </w:pPr>
      <w:rPr>
        <w:rFonts w:ascii="Courier New" w:hAnsi="Courier New" w:cs="Courier New" w:hint="default"/>
      </w:rPr>
    </w:lvl>
    <w:lvl w:ilvl="5" w:tplc="04190005" w:tentative="1">
      <w:start w:val="1"/>
      <w:numFmt w:val="bullet"/>
      <w:lvlText w:val=""/>
      <w:lvlJc w:val="left"/>
      <w:pPr>
        <w:ind w:left="4417" w:hanging="360"/>
      </w:pPr>
      <w:rPr>
        <w:rFonts w:ascii="Wingdings" w:hAnsi="Wingdings" w:hint="default"/>
      </w:rPr>
    </w:lvl>
    <w:lvl w:ilvl="6" w:tplc="04190001" w:tentative="1">
      <w:start w:val="1"/>
      <w:numFmt w:val="bullet"/>
      <w:lvlText w:val=""/>
      <w:lvlJc w:val="left"/>
      <w:pPr>
        <w:ind w:left="5137" w:hanging="360"/>
      </w:pPr>
      <w:rPr>
        <w:rFonts w:ascii="Symbol" w:hAnsi="Symbol" w:hint="default"/>
      </w:rPr>
    </w:lvl>
    <w:lvl w:ilvl="7" w:tplc="04190003" w:tentative="1">
      <w:start w:val="1"/>
      <w:numFmt w:val="bullet"/>
      <w:lvlText w:val="o"/>
      <w:lvlJc w:val="left"/>
      <w:pPr>
        <w:ind w:left="5857" w:hanging="360"/>
      </w:pPr>
      <w:rPr>
        <w:rFonts w:ascii="Courier New" w:hAnsi="Courier New" w:cs="Courier New" w:hint="default"/>
      </w:rPr>
    </w:lvl>
    <w:lvl w:ilvl="8" w:tplc="04190005" w:tentative="1">
      <w:start w:val="1"/>
      <w:numFmt w:val="bullet"/>
      <w:lvlText w:val=""/>
      <w:lvlJc w:val="left"/>
      <w:pPr>
        <w:ind w:left="6577" w:hanging="360"/>
      </w:pPr>
      <w:rPr>
        <w:rFonts w:ascii="Wingdings" w:hAnsi="Wingdings" w:hint="default"/>
      </w:rPr>
    </w:lvl>
  </w:abstractNum>
  <w:abstractNum w:abstractNumId="182" w15:restartNumberingAfterBreak="0">
    <w:nsid w:val="7A474F50"/>
    <w:multiLevelType w:val="hybridMultilevel"/>
    <w:tmpl w:val="D8303CEC"/>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83" w15:restartNumberingAfterBreak="0">
    <w:nsid w:val="7A542BC6"/>
    <w:multiLevelType w:val="hybridMultilevel"/>
    <w:tmpl w:val="06DED8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4" w15:restartNumberingAfterBreak="0">
    <w:nsid w:val="7E5608B4"/>
    <w:multiLevelType w:val="hybridMultilevel"/>
    <w:tmpl w:val="446C4EAC"/>
    <w:lvl w:ilvl="0" w:tplc="2F4E39FE">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5" w15:restartNumberingAfterBreak="0">
    <w:nsid w:val="7F22068C"/>
    <w:multiLevelType w:val="hybridMultilevel"/>
    <w:tmpl w:val="BA028EF2"/>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6" w15:restartNumberingAfterBreak="0">
    <w:nsid w:val="7FFB05C1"/>
    <w:multiLevelType w:val="hybridMultilevel"/>
    <w:tmpl w:val="54465E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409495203">
    <w:abstractNumId w:val="148"/>
  </w:num>
  <w:num w:numId="2" w16cid:durableId="1405755577">
    <w:abstractNumId w:val="171"/>
  </w:num>
  <w:num w:numId="3" w16cid:durableId="1185904763">
    <w:abstractNumId w:val="11"/>
  </w:num>
  <w:num w:numId="4" w16cid:durableId="1123422290">
    <w:abstractNumId w:val="1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81109468">
    <w:abstractNumId w:val="30"/>
  </w:num>
  <w:num w:numId="6" w16cid:durableId="168444158">
    <w:abstractNumId w:val="172"/>
  </w:num>
  <w:num w:numId="7" w16cid:durableId="730886147">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02976048">
    <w:abstractNumId w:val="176"/>
  </w:num>
  <w:num w:numId="9" w16cid:durableId="1939167611">
    <w:abstractNumId w:val="120"/>
  </w:num>
  <w:num w:numId="10" w16cid:durableId="406998861">
    <w:abstractNumId w:val="183"/>
  </w:num>
  <w:num w:numId="11" w16cid:durableId="1345671649">
    <w:abstractNumId w:val="59"/>
  </w:num>
  <w:num w:numId="12" w16cid:durableId="1944067368">
    <w:abstractNumId w:val="70"/>
  </w:num>
  <w:num w:numId="13" w16cid:durableId="2102558406">
    <w:abstractNumId w:val="102"/>
  </w:num>
  <w:num w:numId="14" w16cid:durableId="2067995845">
    <w:abstractNumId w:val="180"/>
  </w:num>
  <w:num w:numId="15" w16cid:durableId="718355463">
    <w:abstractNumId w:val="71"/>
  </w:num>
  <w:num w:numId="16" w16cid:durableId="1576013805">
    <w:abstractNumId w:val="16"/>
  </w:num>
  <w:num w:numId="17" w16cid:durableId="807552370">
    <w:abstractNumId w:val="85"/>
  </w:num>
  <w:num w:numId="18" w16cid:durableId="873808926">
    <w:abstractNumId w:val="160"/>
  </w:num>
  <w:num w:numId="19" w16cid:durableId="1462962190">
    <w:abstractNumId w:val="101"/>
  </w:num>
  <w:num w:numId="20" w16cid:durableId="183173162">
    <w:abstractNumId w:val="89"/>
  </w:num>
  <w:num w:numId="21" w16cid:durableId="801733554">
    <w:abstractNumId w:val="40"/>
  </w:num>
  <w:num w:numId="22" w16cid:durableId="1932883881">
    <w:abstractNumId w:val="23"/>
  </w:num>
  <w:num w:numId="23" w16cid:durableId="1250846226">
    <w:abstractNumId w:val="141"/>
  </w:num>
  <w:num w:numId="24" w16cid:durableId="83649300">
    <w:abstractNumId w:val="86"/>
  </w:num>
  <w:num w:numId="25" w16cid:durableId="1304116139">
    <w:abstractNumId w:val="121"/>
  </w:num>
  <w:num w:numId="26" w16cid:durableId="2144153576">
    <w:abstractNumId w:val="147"/>
  </w:num>
  <w:num w:numId="27" w16cid:durableId="2121758012">
    <w:abstractNumId w:val="114"/>
  </w:num>
  <w:num w:numId="28" w16cid:durableId="38868297">
    <w:abstractNumId w:val="136"/>
  </w:num>
  <w:num w:numId="29" w16cid:durableId="2143691633">
    <w:abstractNumId w:val="93"/>
  </w:num>
  <w:num w:numId="30" w16cid:durableId="474953749">
    <w:abstractNumId w:val="88"/>
  </w:num>
  <w:num w:numId="31" w16cid:durableId="1569462156">
    <w:abstractNumId w:val="155"/>
  </w:num>
  <w:num w:numId="32" w16cid:durableId="328405056">
    <w:abstractNumId w:val="20"/>
  </w:num>
  <w:num w:numId="33" w16cid:durableId="1869760702">
    <w:abstractNumId w:val="50"/>
  </w:num>
  <w:num w:numId="34" w16cid:durableId="1354069503">
    <w:abstractNumId w:val="78"/>
  </w:num>
  <w:num w:numId="35" w16cid:durableId="155731080">
    <w:abstractNumId w:val="18"/>
  </w:num>
  <w:num w:numId="36" w16cid:durableId="1815758454">
    <w:abstractNumId w:val="173"/>
  </w:num>
  <w:num w:numId="37" w16cid:durableId="993992576">
    <w:abstractNumId w:val="87"/>
  </w:num>
  <w:num w:numId="38" w16cid:durableId="1442991247">
    <w:abstractNumId w:val="36"/>
  </w:num>
  <w:num w:numId="39" w16cid:durableId="1982344505">
    <w:abstractNumId w:val="5"/>
  </w:num>
  <w:num w:numId="40" w16cid:durableId="535582602">
    <w:abstractNumId w:val="22"/>
  </w:num>
  <w:num w:numId="41" w16cid:durableId="943461791">
    <w:abstractNumId w:val="185"/>
  </w:num>
  <w:num w:numId="42" w16cid:durableId="656618335">
    <w:abstractNumId w:val="163"/>
  </w:num>
  <w:num w:numId="43" w16cid:durableId="2001738329">
    <w:abstractNumId w:val="154"/>
  </w:num>
  <w:num w:numId="44" w16cid:durableId="977613608">
    <w:abstractNumId w:val="67"/>
  </w:num>
  <w:num w:numId="45" w16cid:durableId="1770732413">
    <w:abstractNumId w:val="77"/>
  </w:num>
  <w:num w:numId="46" w16cid:durableId="216867602">
    <w:abstractNumId w:val="97"/>
  </w:num>
  <w:num w:numId="47" w16cid:durableId="988635725">
    <w:abstractNumId w:val="109"/>
  </w:num>
  <w:num w:numId="48" w16cid:durableId="688070131">
    <w:abstractNumId w:val="142"/>
  </w:num>
  <w:num w:numId="49" w16cid:durableId="1108816513">
    <w:abstractNumId w:val="137"/>
  </w:num>
  <w:num w:numId="50" w16cid:durableId="1472364000">
    <w:abstractNumId w:val="17"/>
  </w:num>
  <w:num w:numId="51" w16cid:durableId="2099330837">
    <w:abstractNumId w:val="69"/>
  </w:num>
  <w:num w:numId="52" w16cid:durableId="418253347">
    <w:abstractNumId w:val="153"/>
  </w:num>
  <w:num w:numId="53" w16cid:durableId="1108354761">
    <w:abstractNumId w:val="80"/>
  </w:num>
  <w:num w:numId="54" w16cid:durableId="1915502922">
    <w:abstractNumId w:val="181"/>
  </w:num>
  <w:num w:numId="55" w16cid:durableId="401759874">
    <w:abstractNumId w:val="105"/>
  </w:num>
  <w:num w:numId="56" w16cid:durableId="1070662667">
    <w:abstractNumId w:val="44"/>
  </w:num>
  <w:num w:numId="57" w16cid:durableId="1411931281">
    <w:abstractNumId w:val="146"/>
  </w:num>
  <w:num w:numId="58" w16cid:durableId="1048183922">
    <w:abstractNumId w:val="64"/>
  </w:num>
  <w:num w:numId="59" w16cid:durableId="799811712">
    <w:abstractNumId w:val="113"/>
  </w:num>
  <w:num w:numId="60" w16cid:durableId="926960417">
    <w:abstractNumId w:val="151"/>
  </w:num>
  <w:num w:numId="61" w16cid:durableId="1522892462">
    <w:abstractNumId w:val="107"/>
  </w:num>
  <w:num w:numId="62" w16cid:durableId="1425032535">
    <w:abstractNumId w:val="139"/>
  </w:num>
  <w:num w:numId="63" w16cid:durableId="502940957">
    <w:abstractNumId w:val="126"/>
  </w:num>
  <w:num w:numId="64" w16cid:durableId="204293260">
    <w:abstractNumId w:val="117"/>
  </w:num>
  <w:num w:numId="65" w16cid:durableId="758064181">
    <w:abstractNumId w:val="32"/>
  </w:num>
  <w:num w:numId="66" w16cid:durableId="238563197">
    <w:abstractNumId w:val="178"/>
  </w:num>
  <w:num w:numId="67" w16cid:durableId="69036991">
    <w:abstractNumId w:val="133"/>
  </w:num>
  <w:num w:numId="68" w16cid:durableId="617953655">
    <w:abstractNumId w:val="99"/>
  </w:num>
  <w:num w:numId="69" w16cid:durableId="938294253">
    <w:abstractNumId w:val="116"/>
  </w:num>
  <w:num w:numId="70" w16cid:durableId="1501776592">
    <w:abstractNumId w:val="161"/>
  </w:num>
  <w:num w:numId="71" w16cid:durableId="445346723">
    <w:abstractNumId w:val="52"/>
  </w:num>
  <w:num w:numId="72" w16cid:durableId="1918589840">
    <w:abstractNumId w:val="26"/>
  </w:num>
  <w:num w:numId="73" w16cid:durableId="179441801">
    <w:abstractNumId w:val="34"/>
  </w:num>
  <w:num w:numId="74" w16cid:durableId="1736390573">
    <w:abstractNumId w:val="13"/>
  </w:num>
  <w:num w:numId="75" w16cid:durableId="1416441403">
    <w:abstractNumId w:val="156"/>
  </w:num>
  <w:num w:numId="76" w16cid:durableId="1360426316">
    <w:abstractNumId w:val="76"/>
  </w:num>
  <w:num w:numId="77" w16cid:durableId="1220286741">
    <w:abstractNumId w:val="140"/>
  </w:num>
  <w:num w:numId="78" w16cid:durableId="748624587">
    <w:abstractNumId w:val="90"/>
  </w:num>
  <w:num w:numId="79" w16cid:durableId="519858527">
    <w:abstractNumId w:val="162"/>
  </w:num>
  <w:num w:numId="80" w16cid:durableId="1165706944">
    <w:abstractNumId w:val="10"/>
  </w:num>
  <w:num w:numId="81" w16cid:durableId="1118570370">
    <w:abstractNumId w:val="33"/>
  </w:num>
  <w:num w:numId="82" w16cid:durableId="1314136195">
    <w:abstractNumId w:val="95"/>
  </w:num>
  <w:num w:numId="83" w16cid:durableId="1858618037">
    <w:abstractNumId w:val="143"/>
  </w:num>
  <w:num w:numId="84" w16cid:durableId="1847623591">
    <w:abstractNumId w:val="53"/>
  </w:num>
  <w:num w:numId="85" w16cid:durableId="820122800">
    <w:abstractNumId w:val="182"/>
  </w:num>
  <w:num w:numId="86" w16cid:durableId="419369727">
    <w:abstractNumId w:val="75"/>
  </w:num>
  <w:num w:numId="87" w16cid:durableId="99224655">
    <w:abstractNumId w:val="92"/>
  </w:num>
  <w:num w:numId="88" w16cid:durableId="1639263260">
    <w:abstractNumId w:val="45"/>
  </w:num>
  <w:num w:numId="89" w16cid:durableId="1258556159">
    <w:abstractNumId w:val="68"/>
  </w:num>
  <w:num w:numId="90" w16cid:durableId="358430132">
    <w:abstractNumId w:val="159"/>
  </w:num>
  <w:num w:numId="91" w16cid:durableId="1045178245">
    <w:abstractNumId w:val="8"/>
  </w:num>
  <w:num w:numId="92" w16cid:durableId="1430813279">
    <w:abstractNumId w:val="25"/>
  </w:num>
  <w:num w:numId="93" w16cid:durableId="164514469">
    <w:abstractNumId w:val="60"/>
  </w:num>
  <w:num w:numId="94" w16cid:durableId="1622683185">
    <w:abstractNumId w:val="49"/>
  </w:num>
  <w:num w:numId="95" w16cid:durableId="159388592">
    <w:abstractNumId w:val="186"/>
  </w:num>
  <w:num w:numId="96" w16cid:durableId="1533615443">
    <w:abstractNumId w:val="158"/>
  </w:num>
  <w:num w:numId="97" w16cid:durableId="1238709675">
    <w:abstractNumId w:val="131"/>
  </w:num>
  <w:num w:numId="98" w16cid:durableId="943924176">
    <w:abstractNumId w:val="94"/>
  </w:num>
  <w:num w:numId="99" w16cid:durableId="1914000778">
    <w:abstractNumId w:val="3"/>
  </w:num>
  <w:num w:numId="100" w16cid:durableId="1357079281">
    <w:abstractNumId w:val="47"/>
  </w:num>
  <w:num w:numId="101" w16cid:durableId="422457191">
    <w:abstractNumId w:val="118"/>
  </w:num>
  <w:num w:numId="102" w16cid:durableId="887490536">
    <w:abstractNumId w:val="41"/>
  </w:num>
  <w:num w:numId="103" w16cid:durableId="807624943">
    <w:abstractNumId w:val="27"/>
  </w:num>
  <w:num w:numId="104" w16cid:durableId="785581541">
    <w:abstractNumId w:val="104"/>
  </w:num>
  <w:num w:numId="105" w16cid:durableId="2060472517">
    <w:abstractNumId w:val="96"/>
  </w:num>
  <w:num w:numId="106" w16cid:durableId="620693983">
    <w:abstractNumId w:val="2"/>
  </w:num>
  <w:num w:numId="107" w16cid:durableId="749086026">
    <w:abstractNumId w:val="31"/>
  </w:num>
  <w:num w:numId="108" w16cid:durableId="308556497">
    <w:abstractNumId w:val="112"/>
  </w:num>
  <w:num w:numId="109" w16cid:durableId="504830320">
    <w:abstractNumId w:val="125"/>
  </w:num>
  <w:num w:numId="110" w16cid:durableId="2137603291">
    <w:abstractNumId w:val="138"/>
  </w:num>
  <w:num w:numId="111" w16cid:durableId="9842907">
    <w:abstractNumId w:val="82"/>
  </w:num>
  <w:num w:numId="112" w16cid:durableId="1429619627">
    <w:abstractNumId w:val="79"/>
  </w:num>
  <w:num w:numId="113" w16cid:durableId="589003436">
    <w:abstractNumId w:val="91"/>
  </w:num>
  <w:num w:numId="114" w16cid:durableId="273486554">
    <w:abstractNumId w:val="21"/>
  </w:num>
  <w:num w:numId="115" w16cid:durableId="1480809307">
    <w:abstractNumId w:val="83"/>
  </w:num>
  <w:num w:numId="116" w16cid:durableId="663702495">
    <w:abstractNumId w:val="115"/>
  </w:num>
  <w:num w:numId="117" w16cid:durableId="313920730">
    <w:abstractNumId w:val="12"/>
  </w:num>
  <w:num w:numId="118" w16cid:durableId="993796982">
    <w:abstractNumId w:val="63"/>
  </w:num>
  <w:num w:numId="119" w16cid:durableId="1603105504">
    <w:abstractNumId w:val="165"/>
  </w:num>
  <w:num w:numId="120" w16cid:durableId="1818839393">
    <w:abstractNumId w:val="135"/>
  </w:num>
  <w:num w:numId="121" w16cid:durableId="1170176326">
    <w:abstractNumId w:val="57"/>
  </w:num>
  <w:num w:numId="122" w16cid:durableId="319308399">
    <w:abstractNumId w:val="174"/>
  </w:num>
  <w:num w:numId="123" w16cid:durableId="973367201">
    <w:abstractNumId w:val="169"/>
  </w:num>
  <w:num w:numId="124" w16cid:durableId="704911806">
    <w:abstractNumId w:val="58"/>
  </w:num>
  <w:num w:numId="125" w16cid:durableId="819226630">
    <w:abstractNumId w:val="108"/>
  </w:num>
  <w:num w:numId="126" w16cid:durableId="1887060422">
    <w:abstractNumId w:val="150"/>
  </w:num>
  <w:num w:numId="127" w16cid:durableId="1127625889">
    <w:abstractNumId w:val="48"/>
  </w:num>
  <w:num w:numId="128" w16cid:durableId="1862665523">
    <w:abstractNumId w:val="145"/>
  </w:num>
  <w:num w:numId="129" w16cid:durableId="21325025">
    <w:abstractNumId w:val="35"/>
  </w:num>
  <w:num w:numId="130" w16cid:durableId="97599859">
    <w:abstractNumId w:val="103"/>
  </w:num>
  <w:num w:numId="131" w16cid:durableId="947812903">
    <w:abstractNumId w:val="46"/>
  </w:num>
  <w:num w:numId="132" w16cid:durableId="1402022636">
    <w:abstractNumId w:val="19"/>
  </w:num>
  <w:num w:numId="133" w16cid:durableId="530344678">
    <w:abstractNumId w:val="74"/>
  </w:num>
  <w:num w:numId="134" w16cid:durableId="607543426">
    <w:abstractNumId w:val="24"/>
  </w:num>
  <w:num w:numId="135" w16cid:durableId="123817665">
    <w:abstractNumId w:val="132"/>
  </w:num>
  <w:num w:numId="136" w16cid:durableId="808519765">
    <w:abstractNumId w:val="175"/>
  </w:num>
  <w:num w:numId="137" w16cid:durableId="1294826745">
    <w:abstractNumId w:val="100"/>
  </w:num>
  <w:num w:numId="138" w16cid:durableId="259529587">
    <w:abstractNumId w:val="129"/>
  </w:num>
  <w:num w:numId="139" w16cid:durableId="1288779173">
    <w:abstractNumId w:val="9"/>
  </w:num>
  <w:num w:numId="140" w16cid:durableId="1492717666">
    <w:abstractNumId w:val="164"/>
  </w:num>
  <w:num w:numId="141" w16cid:durableId="148787223">
    <w:abstractNumId w:val="124"/>
  </w:num>
  <w:num w:numId="142" w16cid:durableId="1055742689">
    <w:abstractNumId w:val="157"/>
  </w:num>
  <w:num w:numId="143" w16cid:durableId="1638754903">
    <w:abstractNumId w:val="81"/>
  </w:num>
  <w:num w:numId="144" w16cid:durableId="1452630914">
    <w:abstractNumId w:val="1"/>
  </w:num>
  <w:num w:numId="145" w16cid:durableId="1181898700">
    <w:abstractNumId w:val="37"/>
  </w:num>
  <w:num w:numId="146" w16cid:durableId="1669672375">
    <w:abstractNumId w:val="29"/>
  </w:num>
  <w:num w:numId="147" w16cid:durableId="1790734222">
    <w:abstractNumId w:val="14"/>
  </w:num>
  <w:num w:numId="148" w16cid:durableId="1710035296">
    <w:abstractNumId w:val="166"/>
  </w:num>
  <w:num w:numId="149" w16cid:durableId="72047016">
    <w:abstractNumId w:val="179"/>
  </w:num>
  <w:num w:numId="150" w16cid:durableId="243997156">
    <w:abstractNumId w:val="119"/>
  </w:num>
  <w:num w:numId="151" w16cid:durableId="1108507965">
    <w:abstractNumId w:val="128"/>
  </w:num>
  <w:num w:numId="152" w16cid:durableId="278342931">
    <w:abstractNumId w:val="123"/>
  </w:num>
  <w:num w:numId="153" w16cid:durableId="107939633">
    <w:abstractNumId w:val="54"/>
  </w:num>
  <w:num w:numId="154" w16cid:durableId="695620564">
    <w:abstractNumId w:val="28"/>
  </w:num>
  <w:num w:numId="155" w16cid:durableId="1783110733">
    <w:abstractNumId w:val="111"/>
  </w:num>
  <w:num w:numId="156" w16cid:durableId="1956672322">
    <w:abstractNumId w:val="6"/>
  </w:num>
  <w:num w:numId="157" w16cid:durableId="736435092">
    <w:abstractNumId w:val="72"/>
  </w:num>
  <w:num w:numId="158" w16cid:durableId="133063871">
    <w:abstractNumId w:val="51"/>
  </w:num>
  <w:num w:numId="159" w16cid:durableId="1937252374">
    <w:abstractNumId w:val="110"/>
  </w:num>
  <w:num w:numId="160" w16cid:durableId="949050963">
    <w:abstractNumId w:val="39"/>
  </w:num>
  <w:num w:numId="161" w16cid:durableId="12195214">
    <w:abstractNumId w:val="144"/>
  </w:num>
  <w:num w:numId="162" w16cid:durableId="1868759461">
    <w:abstractNumId w:val="149"/>
  </w:num>
  <w:num w:numId="163" w16cid:durableId="1213737043">
    <w:abstractNumId w:val="61"/>
  </w:num>
  <w:num w:numId="164" w16cid:durableId="1314020266">
    <w:abstractNumId w:val="130"/>
  </w:num>
  <w:num w:numId="165" w16cid:durableId="1879511500">
    <w:abstractNumId w:val="0"/>
  </w:num>
  <w:num w:numId="166" w16cid:durableId="1835758999">
    <w:abstractNumId w:val="66"/>
  </w:num>
  <w:num w:numId="167" w16cid:durableId="364865795">
    <w:abstractNumId w:val="127"/>
  </w:num>
  <w:num w:numId="168" w16cid:durableId="1740857075">
    <w:abstractNumId w:val="43"/>
  </w:num>
  <w:num w:numId="169" w16cid:durableId="2139831163">
    <w:abstractNumId w:val="152"/>
  </w:num>
  <w:num w:numId="170" w16cid:durableId="381682272">
    <w:abstractNumId w:val="167"/>
  </w:num>
  <w:num w:numId="171" w16cid:durableId="1078092503">
    <w:abstractNumId w:val="98"/>
  </w:num>
  <w:num w:numId="172" w16cid:durableId="1631204346">
    <w:abstractNumId w:val="55"/>
  </w:num>
  <w:num w:numId="173" w16cid:durableId="825048073">
    <w:abstractNumId w:val="15"/>
  </w:num>
  <w:num w:numId="174" w16cid:durableId="712115787">
    <w:abstractNumId w:val="134"/>
  </w:num>
  <w:num w:numId="175" w16cid:durableId="894632238">
    <w:abstractNumId w:val="65"/>
  </w:num>
  <w:num w:numId="176" w16cid:durableId="1982346396">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170409013">
    <w:abstractNumId w:val="168"/>
  </w:num>
  <w:num w:numId="178" w16cid:durableId="1780295646">
    <w:abstractNumId w:val="42"/>
  </w:num>
  <w:num w:numId="179" w16cid:durableId="1077093726">
    <w:abstractNumId w:val="38"/>
  </w:num>
  <w:num w:numId="180" w16cid:durableId="1040012623">
    <w:abstractNumId w:val="84"/>
  </w:num>
  <w:num w:numId="181" w16cid:durableId="1660498602">
    <w:abstractNumId w:val="177"/>
  </w:num>
  <w:num w:numId="182" w16cid:durableId="1656301713">
    <w:abstractNumId w:val="73"/>
  </w:num>
  <w:num w:numId="183" w16cid:durableId="2014409210">
    <w:abstractNumId w:val="106"/>
  </w:num>
  <w:num w:numId="184" w16cid:durableId="167718528">
    <w:abstractNumId w:val="122"/>
  </w:num>
  <w:num w:numId="185" w16cid:durableId="2047218041">
    <w:abstractNumId w:val="184"/>
  </w:num>
  <w:num w:numId="186" w16cid:durableId="865823996">
    <w:abstractNumId w:val="7"/>
  </w:num>
  <w:num w:numId="187" w16cid:durableId="1748190064">
    <w:abstractNumId w:val="62"/>
  </w:num>
  <w:num w:numId="188" w16cid:durableId="2073774712">
    <w:abstractNumId w:val="4"/>
  </w:num>
  <w:numIdMacAtCleanup w:val="1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084"/>
    <w:rsid w:val="00000711"/>
    <w:rsid w:val="000009FA"/>
    <w:rsid w:val="00000C9D"/>
    <w:rsid w:val="000011EE"/>
    <w:rsid w:val="000012FA"/>
    <w:rsid w:val="00001BD8"/>
    <w:rsid w:val="0000209D"/>
    <w:rsid w:val="0000229B"/>
    <w:rsid w:val="00002DCE"/>
    <w:rsid w:val="0000323E"/>
    <w:rsid w:val="00005329"/>
    <w:rsid w:val="000056DD"/>
    <w:rsid w:val="00005830"/>
    <w:rsid w:val="00005AD6"/>
    <w:rsid w:val="00005BDD"/>
    <w:rsid w:val="00005E82"/>
    <w:rsid w:val="00006098"/>
    <w:rsid w:val="000062DE"/>
    <w:rsid w:val="00006502"/>
    <w:rsid w:val="00006878"/>
    <w:rsid w:val="00007349"/>
    <w:rsid w:val="000073DA"/>
    <w:rsid w:val="0001043D"/>
    <w:rsid w:val="00010C7E"/>
    <w:rsid w:val="0001154D"/>
    <w:rsid w:val="00011725"/>
    <w:rsid w:val="00011F52"/>
    <w:rsid w:val="000121B4"/>
    <w:rsid w:val="00012CEA"/>
    <w:rsid w:val="00012E04"/>
    <w:rsid w:val="00012FC0"/>
    <w:rsid w:val="0001514B"/>
    <w:rsid w:val="00015A4A"/>
    <w:rsid w:val="00015D6C"/>
    <w:rsid w:val="00016586"/>
    <w:rsid w:val="00017270"/>
    <w:rsid w:val="0001732C"/>
    <w:rsid w:val="00017393"/>
    <w:rsid w:val="0001796D"/>
    <w:rsid w:val="00017DCC"/>
    <w:rsid w:val="00021117"/>
    <w:rsid w:val="000211B0"/>
    <w:rsid w:val="000215D3"/>
    <w:rsid w:val="00021DDC"/>
    <w:rsid w:val="0002201F"/>
    <w:rsid w:val="00022371"/>
    <w:rsid w:val="000223ED"/>
    <w:rsid w:val="00022753"/>
    <w:rsid w:val="00022BB1"/>
    <w:rsid w:val="00022E77"/>
    <w:rsid w:val="00023490"/>
    <w:rsid w:val="00023516"/>
    <w:rsid w:val="00023885"/>
    <w:rsid w:val="00023F00"/>
    <w:rsid w:val="0002465C"/>
    <w:rsid w:val="00024820"/>
    <w:rsid w:val="00025077"/>
    <w:rsid w:val="00025679"/>
    <w:rsid w:val="00025D79"/>
    <w:rsid w:val="00025F11"/>
    <w:rsid w:val="000262F4"/>
    <w:rsid w:val="00026835"/>
    <w:rsid w:val="00026ABD"/>
    <w:rsid w:val="00026AC6"/>
    <w:rsid w:val="00027EA7"/>
    <w:rsid w:val="00031230"/>
    <w:rsid w:val="000314D6"/>
    <w:rsid w:val="0003168D"/>
    <w:rsid w:val="00031B9B"/>
    <w:rsid w:val="00031BFC"/>
    <w:rsid w:val="00031E21"/>
    <w:rsid w:val="00032081"/>
    <w:rsid w:val="000322B4"/>
    <w:rsid w:val="000326A4"/>
    <w:rsid w:val="00032E7F"/>
    <w:rsid w:val="00032EB5"/>
    <w:rsid w:val="000332C6"/>
    <w:rsid w:val="000337CA"/>
    <w:rsid w:val="000338E7"/>
    <w:rsid w:val="00034208"/>
    <w:rsid w:val="00034842"/>
    <w:rsid w:val="00034ECF"/>
    <w:rsid w:val="00035760"/>
    <w:rsid w:val="00035903"/>
    <w:rsid w:val="00035B95"/>
    <w:rsid w:val="0003633A"/>
    <w:rsid w:val="0003657B"/>
    <w:rsid w:val="00036964"/>
    <w:rsid w:val="00036E83"/>
    <w:rsid w:val="000372AC"/>
    <w:rsid w:val="000372B6"/>
    <w:rsid w:val="0004006E"/>
    <w:rsid w:val="00040817"/>
    <w:rsid w:val="00041460"/>
    <w:rsid w:val="000415A3"/>
    <w:rsid w:val="00041928"/>
    <w:rsid w:val="000419CC"/>
    <w:rsid w:val="00041CE8"/>
    <w:rsid w:val="00042CD3"/>
    <w:rsid w:val="00042CD5"/>
    <w:rsid w:val="000430C9"/>
    <w:rsid w:val="00043156"/>
    <w:rsid w:val="00043558"/>
    <w:rsid w:val="000438D2"/>
    <w:rsid w:val="000440EA"/>
    <w:rsid w:val="0004464B"/>
    <w:rsid w:val="00044811"/>
    <w:rsid w:val="00044916"/>
    <w:rsid w:val="00044D11"/>
    <w:rsid w:val="000451DF"/>
    <w:rsid w:val="000451F3"/>
    <w:rsid w:val="00045471"/>
    <w:rsid w:val="000457EB"/>
    <w:rsid w:val="00045A32"/>
    <w:rsid w:val="00045A73"/>
    <w:rsid w:val="00045C13"/>
    <w:rsid w:val="00045C7B"/>
    <w:rsid w:val="00046692"/>
    <w:rsid w:val="00046B45"/>
    <w:rsid w:val="00046C6C"/>
    <w:rsid w:val="00047229"/>
    <w:rsid w:val="0004753F"/>
    <w:rsid w:val="00050156"/>
    <w:rsid w:val="00050221"/>
    <w:rsid w:val="00050B4B"/>
    <w:rsid w:val="00051650"/>
    <w:rsid w:val="00051804"/>
    <w:rsid w:val="00051D8E"/>
    <w:rsid w:val="00051E1B"/>
    <w:rsid w:val="000520C0"/>
    <w:rsid w:val="000522AA"/>
    <w:rsid w:val="00052F10"/>
    <w:rsid w:val="00052F72"/>
    <w:rsid w:val="000532D1"/>
    <w:rsid w:val="00053A15"/>
    <w:rsid w:val="00053EC3"/>
    <w:rsid w:val="00054144"/>
    <w:rsid w:val="0005461B"/>
    <w:rsid w:val="000547C4"/>
    <w:rsid w:val="00054DBE"/>
    <w:rsid w:val="000550D6"/>
    <w:rsid w:val="000553CC"/>
    <w:rsid w:val="000556A9"/>
    <w:rsid w:val="000556BA"/>
    <w:rsid w:val="0005581E"/>
    <w:rsid w:val="00055E04"/>
    <w:rsid w:val="00055FD3"/>
    <w:rsid w:val="0005605E"/>
    <w:rsid w:val="000563FD"/>
    <w:rsid w:val="00056412"/>
    <w:rsid w:val="0005657E"/>
    <w:rsid w:val="000569E5"/>
    <w:rsid w:val="00057F8D"/>
    <w:rsid w:val="00060497"/>
    <w:rsid w:val="00061414"/>
    <w:rsid w:val="00061827"/>
    <w:rsid w:val="0006183E"/>
    <w:rsid w:val="00061A39"/>
    <w:rsid w:val="00062A95"/>
    <w:rsid w:val="00062B3C"/>
    <w:rsid w:val="0006312C"/>
    <w:rsid w:val="00063B02"/>
    <w:rsid w:val="000642A7"/>
    <w:rsid w:val="00064A59"/>
    <w:rsid w:val="00064F90"/>
    <w:rsid w:val="0006504B"/>
    <w:rsid w:val="000653B3"/>
    <w:rsid w:val="00065476"/>
    <w:rsid w:val="0006596A"/>
    <w:rsid w:val="00065A7E"/>
    <w:rsid w:val="00065EF5"/>
    <w:rsid w:val="00065FB8"/>
    <w:rsid w:val="000669DD"/>
    <w:rsid w:val="00066B68"/>
    <w:rsid w:val="00066BF9"/>
    <w:rsid w:val="000674CD"/>
    <w:rsid w:val="0006761C"/>
    <w:rsid w:val="00067EF3"/>
    <w:rsid w:val="000701ED"/>
    <w:rsid w:val="00070D0F"/>
    <w:rsid w:val="0007107E"/>
    <w:rsid w:val="00071407"/>
    <w:rsid w:val="000714CA"/>
    <w:rsid w:val="0007160F"/>
    <w:rsid w:val="00071719"/>
    <w:rsid w:val="0007194B"/>
    <w:rsid w:val="00071A7E"/>
    <w:rsid w:val="0007279F"/>
    <w:rsid w:val="00072C7C"/>
    <w:rsid w:val="00073458"/>
    <w:rsid w:val="0007358C"/>
    <w:rsid w:val="000740F3"/>
    <w:rsid w:val="00074315"/>
    <w:rsid w:val="00074965"/>
    <w:rsid w:val="00075439"/>
    <w:rsid w:val="00075745"/>
    <w:rsid w:val="00076297"/>
    <w:rsid w:val="00076C0B"/>
    <w:rsid w:val="0007750A"/>
    <w:rsid w:val="00077575"/>
    <w:rsid w:val="00080517"/>
    <w:rsid w:val="00081E26"/>
    <w:rsid w:val="00082082"/>
    <w:rsid w:val="00082383"/>
    <w:rsid w:val="00082771"/>
    <w:rsid w:val="00083A24"/>
    <w:rsid w:val="000841F3"/>
    <w:rsid w:val="00084357"/>
    <w:rsid w:val="000844B9"/>
    <w:rsid w:val="00084FD5"/>
    <w:rsid w:val="0008559F"/>
    <w:rsid w:val="00086264"/>
    <w:rsid w:val="00086C82"/>
    <w:rsid w:val="0008763E"/>
    <w:rsid w:val="00087ABB"/>
    <w:rsid w:val="00087C71"/>
    <w:rsid w:val="00090437"/>
    <w:rsid w:val="00090A10"/>
    <w:rsid w:val="00090F70"/>
    <w:rsid w:val="00091281"/>
    <w:rsid w:val="00091328"/>
    <w:rsid w:val="00091A75"/>
    <w:rsid w:val="0009213D"/>
    <w:rsid w:val="00092620"/>
    <w:rsid w:val="000927D3"/>
    <w:rsid w:val="000928E8"/>
    <w:rsid w:val="0009292C"/>
    <w:rsid w:val="00092B22"/>
    <w:rsid w:val="00092CFD"/>
    <w:rsid w:val="0009310F"/>
    <w:rsid w:val="00093E26"/>
    <w:rsid w:val="00094853"/>
    <w:rsid w:val="000950DF"/>
    <w:rsid w:val="00095E60"/>
    <w:rsid w:val="00096E85"/>
    <w:rsid w:val="0009764A"/>
    <w:rsid w:val="000A0354"/>
    <w:rsid w:val="000A08B9"/>
    <w:rsid w:val="000A0969"/>
    <w:rsid w:val="000A0BE8"/>
    <w:rsid w:val="000A0BFC"/>
    <w:rsid w:val="000A1072"/>
    <w:rsid w:val="000A267A"/>
    <w:rsid w:val="000A28CD"/>
    <w:rsid w:val="000A2A13"/>
    <w:rsid w:val="000A2A96"/>
    <w:rsid w:val="000A2C31"/>
    <w:rsid w:val="000A3390"/>
    <w:rsid w:val="000A37D8"/>
    <w:rsid w:val="000A3AAE"/>
    <w:rsid w:val="000A414C"/>
    <w:rsid w:val="000A4BB2"/>
    <w:rsid w:val="000A55DD"/>
    <w:rsid w:val="000A5A7E"/>
    <w:rsid w:val="000B0BA1"/>
    <w:rsid w:val="000B0C2A"/>
    <w:rsid w:val="000B1609"/>
    <w:rsid w:val="000B1781"/>
    <w:rsid w:val="000B1B26"/>
    <w:rsid w:val="000B1C53"/>
    <w:rsid w:val="000B1D07"/>
    <w:rsid w:val="000B29BA"/>
    <w:rsid w:val="000B2F81"/>
    <w:rsid w:val="000B340B"/>
    <w:rsid w:val="000B3718"/>
    <w:rsid w:val="000B4045"/>
    <w:rsid w:val="000B4CEA"/>
    <w:rsid w:val="000B50D3"/>
    <w:rsid w:val="000B52FD"/>
    <w:rsid w:val="000B678D"/>
    <w:rsid w:val="000B73FB"/>
    <w:rsid w:val="000B7491"/>
    <w:rsid w:val="000B78FE"/>
    <w:rsid w:val="000B7AA0"/>
    <w:rsid w:val="000B7B57"/>
    <w:rsid w:val="000C05DA"/>
    <w:rsid w:val="000C05E0"/>
    <w:rsid w:val="000C0A81"/>
    <w:rsid w:val="000C11E6"/>
    <w:rsid w:val="000C155E"/>
    <w:rsid w:val="000C17AE"/>
    <w:rsid w:val="000C20FB"/>
    <w:rsid w:val="000C2725"/>
    <w:rsid w:val="000C2C13"/>
    <w:rsid w:val="000C2E8A"/>
    <w:rsid w:val="000C3AFA"/>
    <w:rsid w:val="000C526C"/>
    <w:rsid w:val="000C6793"/>
    <w:rsid w:val="000C7B61"/>
    <w:rsid w:val="000D0334"/>
    <w:rsid w:val="000D0529"/>
    <w:rsid w:val="000D0F4B"/>
    <w:rsid w:val="000D0F78"/>
    <w:rsid w:val="000D10EC"/>
    <w:rsid w:val="000D131C"/>
    <w:rsid w:val="000D177C"/>
    <w:rsid w:val="000D1795"/>
    <w:rsid w:val="000D1A11"/>
    <w:rsid w:val="000D1C0E"/>
    <w:rsid w:val="000D24DF"/>
    <w:rsid w:val="000D26C4"/>
    <w:rsid w:val="000D2BE1"/>
    <w:rsid w:val="000D2F5D"/>
    <w:rsid w:val="000D2F67"/>
    <w:rsid w:val="000D31FC"/>
    <w:rsid w:val="000D3295"/>
    <w:rsid w:val="000D32D7"/>
    <w:rsid w:val="000D3442"/>
    <w:rsid w:val="000D38AA"/>
    <w:rsid w:val="000D3A10"/>
    <w:rsid w:val="000D3C24"/>
    <w:rsid w:val="000D3EF8"/>
    <w:rsid w:val="000D4883"/>
    <w:rsid w:val="000D4A52"/>
    <w:rsid w:val="000D4E6E"/>
    <w:rsid w:val="000D5027"/>
    <w:rsid w:val="000D5157"/>
    <w:rsid w:val="000D55A7"/>
    <w:rsid w:val="000D58D4"/>
    <w:rsid w:val="000D644E"/>
    <w:rsid w:val="000D66CE"/>
    <w:rsid w:val="000D6E5B"/>
    <w:rsid w:val="000D70B7"/>
    <w:rsid w:val="000D730E"/>
    <w:rsid w:val="000D78D6"/>
    <w:rsid w:val="000D7EF9"/>
    <w:rsid w:val="000E0207"/>
    <w:rsid w:val="000E0318"/>
    <w:rsid w:val="000E037B"/>
    <w:rsid w:val="000E102F"/>
    <w:rsid w:val="000E170E"/>
    <w:rsid w:val="000E1CF7"/>
    <w:rsid w:val="000E1E58"/>
    <w:rsid w:val="000E1E7C"/>
    <w:rsid w:val="000E2AC5"/>
    <w:rsid w:val="000E37E4"/>
    <w:rsid w:val="000E4822"/>
    <w:rsid w:val="000E4B63"/>
    <w:rsid w:val="000E5137"/>
    <w:rsid w:val="000E5217"/>
    <w:rsid w:val="000E54B3"/>
    <w:rsid w:val="000E59E1"/>
    <w:rsid w:val="000E5C30"/>
    <w:rsid w:val="000E601D"/>
    <w:rsid w:val="000E6316"/>
    <w:rsid w:val="000E6930"/>
    <w:rsid w:val="000E6C04"/>
    <w:rsid w:val="000F0395"/>
    <w:rsid w:val="000F0E20"/>
    <w:rsid w:val="000F108E"/>
    <w:rsid w:val="000F170B"/>
    <w:rsid w:val="000F1BDE"/>
    <w:rsid w:val="000F1E8A"/>
    <w:rsid w:val="000F2391"/>
    <w:rsid w:val="000F2604"/>
    <w:rsid w:val="000F30D9"/>
    <w:rsid w:val="000F400C"/>
    <w:rsid w:val="000F535F"/>
    <w:rsid w:val="000F5D3D"/>
    <w:rsid w:val="000F632F"/>
    <w:rsid w:val="000F6743"/>
    <w:rsid w:val="000F69A4"/>
    <w:rsid w:val="000F6CC4"/>
    <w:rsid w:val="000F7003"/>
    <w:rsid w:val="000F78E1"/>
    <w:rsid w:val="000F7E10"/>
    <w:rsid w:val="00100127"/>
    <w:rsid w:val="00100163"/>
    <w:rsid w:val="001001CE"/>
    <w:rsid w:val="0010048C"/>
    <w:rsid w:val="001004BC"/>
    <w:rsid w:val="00100C0A"/>
    <w:rsid w:val="00100D06"/>
    <w:rsid w:val="00100D4A"/>
    <w:rsid w:val="001011A7"/>
    <w:rsid w:val="00101628"/>
    <w:rsid w:val="0010202A"/>
    <w:rsid w:val="001021BE"/>
    <w:rsid w:val="00102717"/>
    <w:rsid w:val="00102867"/>
    <w:rsid w:val="00102C06"/>
    <w:rsid w:val="00103D94"/>
    <w:rsid w:val="00104003"/>
    <w:rsid w:val="0010402D"/>
    <w:rsid w:val="0010465E"/>
    <w:rsid w:val="001047CE"/>
    <w:rsid w:val="00104995"/>
    <w:rsid w:val="00105111"/>
    <w:rsid w:val="0010519F"/>
    <w:rsid w:val="0010572D"/>
    <w:rsid w:val="00106034"/>
    <w:rsid w:val="001063F7"/>
    <w:rsid w:val="00106764"/>
    <w:rsid w:val="00106B3E"/>
    <w:rsid w:val="00107174"/>
    <w:rsid w:val="001100D0"/>
    <w:rsid w:val="00110539"/>
    <w:rsid w:val="001105E4"/>
    <w:rsid w:val="0011111F"/>
    <w:rsid w:val="00111843"/>
    <w:rsid w:val="0011184E"/>
    <w:rsid w:val="00111970"/>
    <w:rsid w:val="00111CB6"/>
    <w:rsid w:val="00112183"/>
    <w:rsid w:val="001121AB"/>
    <w:rsid w:val="001125BF"/>
    <w:rsid w:val="00112637"/>
    <w:rsid w:val="00112A47"/>
    <w:rsid w:val="00112D72"/>
    <w:rsid w:val="00112F84"/>
    <w:rsid w:val="0011348A"/>
    <w:rsid w:val="00113AAF"/>
    <w:rsid w:val="0011451F"/>
    <w:rsid w:val="001147D4"/>
    <w:rsid w:val="00114B1B"/>
    <w:rsid w:val="00114C79"/>
    <w:rsid w:val="00114DB2"/>
    <w:rsid w:val="00115B71"/>
    <w:rsid w:val="00115D64"/>
    <w:rsid w:val="00115E1A"/>
    <w:rsid w:val="001161B8"/>
    <w:rsid w:val="001166A9"/>
    <w:rsid w:val="001167ED"/>
    <w:rsid w:val="0011691D"/>
    <w:rsid w:val="00116A53"/>
    <w:rsid w:val="00116AE2"/>
    <w:rsid w:val="00116F93"/>
    <w:rsid w:val="00117361"/>
    <w:rsid w:val="00117383"/>
    <w:rsid w:val="00117397"/>
    <w:rsid w:val="00117EEC"/>
    <w:rsid w:val="00117FC5"/>
    <w:rsid w:val="001209BD"/>
    <w:rsid w:val="00120A31"/>
    <w:rsid w:val="0012116F"/>
    <w:rsid w:val="0012149B"/>
    <w:rsid w:val="001216F4"/>
    <w:rsid w:val="00121747"/>
    <w:rsid w:val="00121AD5"/>
    <w:rsid w:val="00121DB0"/>
    <w:rsid w:val="001220D3"/>
    <w:rsid w:val="00122DF5"/>
    <w:rsid w:val="00123109"/>
    <w:rsid w:val="001234FD"/>
    <w:rsid w:val="001236B7"/>
    <w:rsid w:val="001238B2"/>
    <w:rsid w:val="00123A43"/>
    <w:rsid w:val="00123CCF"/>
    <w:rsid w:val="00124B54"/>
    <w:rsid w:val="00124FF4"/>
    <w:rsid w:val="001259A5"/>
    <w:rsid w:val="00125BC0"/>
    <w:rsid w:val="00125C12"/>
    <w:rsid w:val="0012603A"/>
    <w:rsid w:val="00126055"/>
    <w:rsid w:val="00126CF9"/>
    <w:rsid w:val="00127070"/>
    <w:rsid w:val="00127135"/>
    <w:rsid w:val="001276BF"/>
    <w:rsid w:val="00127BFD"/>
    <w:rsid w:val="00127FD1"/>
    <w:rsid w:val="00130627"/>
    <w:rsid w:val="00130BDF"/>
    <w:rsid w:val="0013119E"/>
    <w:rsid w:val="001312B8"/>
    <w:rsid w:val="00131A36"/>
    <w:rsid w:val="00131FC0"/>
    <w:rsid w:val="001327D2"/>
    <w:rsid w:val="001328D1"/>
    <w:rsid w:val="00132988"/>
    <w:rsid w:val="00132FE8"/>
    <w:rsid w:val="001333C3"/>
    <w:rsid w:val="001333FC"/>
    <w:rsid w:val="00133E58"/>
    <w:rsid w:val="001342D9"/>
    <w:rsid w:val="00134AFD"/>
    <w:rsid w:val="00134B1F"/>
    <w:rsid w:val="00134C97"/>
    <w:rsid w:val="00134CC5"/>
    <w:rsid w:val="001359B2"/>
    <w:rsid w:val="00135A0D"/>
    <w:rsid w:val="001360A1"/>
    <w:rsid w:val="00136F4F"/>
    <w:rsid w:val="00136FAF"/>
    <w:rsid w:val="00137140"/>
    <w:rsid w:val="001375CF"/>
    <w:rsid w:val="00137FFC"/>
    <w:rsid w:val="0014034C"/>
    <w:rsid w:val="00141591"/>
    <w:rsid w:val="001419DB"/>
    <w:rsid w:val="001420FB"/>
    <w:rsid w:val="001424D6"/>
    <w:rsid w:val="00142A3A"/>
    <w:rsid w:val="00142DFA"/>
    <w:rsid w:val="001432DF"/>
    <w:rsid w:val="00144645"/>
    <w:rsid w:val="0014498E"/>
    <w:rsid w:val="00144B53"/>
    <w:rsid w:val="00144BA5"/>
    <w:rsid w:val="00145047"/>
    <w:rsid w:val="0014507E"/>
    <w:rsid w:val="001452F1"/>
    <w:rsid w:val="001460DB"/>
    <w:rsid w:val="00146271"/>
    <w:rsid w:val="00147079"/>
    <w:rsid w:val="001472BA"/>
    <w:rsid w:val="00147B2D"/>
    <w:rsid w:val="00147CAA"/>
    <w:rsid w:val="00147E47"/>
    <w:rsid w:val="00150378"/>
    <w:rsid w:val="00150800"/>
    <w:rsid w:val="00151131"/>
    <w:rsid w:val="0015114E"/>
    <w:rsid w:val="00151DC7"/>
    <w:rsid w:val="00151E76"/>
    <w:rsid w:val="00152243"/>
    <w:rsid w:val="00152332"/>
    <w:rsid w:val="00152897"/>
    <w:rsid w:val="00152DC6"/>
    <w:rsid w:val="00152E14"/>
    <w:rsid w:val="00152E90"/>
    <w:rsid w:val="001538AF"/>
    <w:rsid w:val="0015405D"/>
    <w:rsid w:val="00154BBC"/>
    <w:rsid w:val="00154BC6"/>
    <w:rsid w:val="00154D44"/>
    <w:rsid w:val="00154F1C"/>
    <w:rsid w:val="00155727"/>
    <w:rsid w:val="00155919"/>
    <w:rsid w:val="00155DFE"/>
    <w:rsid w:val="001564B4"/>
    <w:rsid w:val="00156BCD"/>
    <w:rsid w:val="00156E9A"/>
    <w:rsid w:val="001574DE"/>
    <w:rsid w:val="0015763C"/>
    <w:rsid w:val="00157C64"/>
    <w:rsid w:val="001608F7"/>
    <w:rsid w:val="00160909"/>
    <w:rsid w:val="00160E58"/>
    <w:rsid w:val="001616F5"/>
    <w:rsid w:val="00161841"/>
    <w:rsid w:val="001618C7"/>
    <w:rsid w:val="00161D7F"/>
    <w:rsid w:val="00162B20"/>
    <w:rsid w:val="00162BAB"/>
    <w:rsid w:val="00163222"/>
    <w:rsid w:val="001639C9"/>
    <w:rsid w:val="0016413C"/>
    <w:rsid w:val="00164317"/>
    <w:rsid w:val="0016460B"/>
    <w:rsid w:val="00165451"/>
    <w:rsid w:val="00166025"/>
    <w:rsid w:val="00166894"/>
    <w:rsid w:val="001668C6"/>
    <w:rsid w:val="00166FB1"/>
    <w:rsid w:val="00167523"/>
    <w:rsid w:val="00167836"/>
    <w:rsid w:val="00170463"/>
    <w:rsid w:val="001705E0"/>
    <w:rsid w:val="0017061F"/>
    <w:rsid w:val="00171351"/>
    <w:rsid w:val="00171804"/>
    <w:rsid w:val="00171A3B"/>
    <w:rsid w:val="00171C44"/>
    <w:rsid w:val="00171DC2"/>
    <w:rsid w:val="00172830"/>
    <w:rsid w:val="00172BF4"/>
    <w:rsid w:val="00172F54"/>
    <w:rsid w:val="00173273"/>
    <w:rsid w:val="00173528"/>
    <w:rsid w:val="001739ED"/>
    <w:rsid w:val="00173A56"/>
    <w:rsid w:val="001743AB"/>
    <w:rsid w:val="0017448F"/>
    <w:rsid w:val="00174B9B"/>
    <w:rsid w:val="00174DD1"/>
    <w:rsid w:val="00174DE3"/>
    <w:rsid w:val="0017519C"/>
    <w:rsid w:val="0017567D"/>
    <w:rsid w:val="00175B47"/>
    <w:rsid w:val="0017608E"/>
    <w:rsid w:val="001766EA"/>
    <w:rsid w:val="00176AB9"/>
    <w:rsid w:val="0017765E"/>
    <w:rsid w:val="00177BC7"/>
    <w:rsid w:val="00180968"/>
    <w:rsid w:val="00180A90"/>
    <w:rsid w:val="0018122A"/>
    <w:rsid w:val="001813BD"/>
    <w:rsid w:val="001816CD"/>
    <w:rsid w:val="001817A0"/>
    <w:rsid w:val="00182064"/>
    <w:rsid w:val="001823D5"/>
    <w:rsid w:val="001825CC"/>
    <w:rsid w:val="00182770"/>
    <w:rsid w:val="00182A1F"/>
    <w:rsid w:val="00182DD5"/>
    <w:rsid w:val="0018312D"/>
    <w:rsid w:val="00183768"/>
    <w:rsid w:val="00183F8C"/>
    <w:rsid w:val="00184A99"/>
    <w:rsid w:val="0018503C"/>
    <w:rsid w:val="00185329"/>
    <w:rsid w:val="001856E5"/>
    <w:rsid w:val="00185C43"/>
    <w:rsid w:val="0018682A"/>
    <w:rsid w:val="00186DFF"/>
    <w:rsid w:val="00187190"/>
    <w:rsid w:val="00187AD1"/>
    <w:rsid w:val="00187CC1"/>
    <w:rsid w:val="00190089"/>
    <w:rsid w:val="001912B8"/>
    <w:rsid w:val="0019189D"/>
    <w:rsid w:val="00191F65"/>
    <w:rsid w:val="0019238F"/>
    <w:rsid w:val="00192BA8"/>
    <w:rsid w:val="00192C6B"/>
    <w:rsid w:val="001937C9"/>
    <w:rsid w:val="0019406E"/>
    <w:rsid w:val="001940C1"/>
    <w:rsid w:val="00194943"/>
    <w:rsid w:val="00194B06"/>
    <w:rsid w:val="00194DBF"/>
    <w:rsid w:val="00194EE9"/>
    <w:rsid w:val="00194F42"/>
    <w:rsid w:val="001963DB"/>
    <w:rsid w:val="0019643A"/>
    <w:rsid w:val="00196B87"/>
    <w:rsid w:val="00196BF8"/>
    <w:rsid w:val="00196DC9"/>
    <w:rsid w:val="00197715"/>
    <w:rsid w:val="00197919"/>
    <w:rsid w:val="00197B5C"/>
    <w:rsid w:val="00197B92"/>
    <w:rsid w:val="00197FE4"/>
    <w:rsid w:val="001A00DF"/>
    <w:rsid w:val="001A0409"/>
    <w:rsid w:val="001A0EEB"/>
    <w:rsid w:val="001A0FAB"/>
    <w:rsid w:val="001A1458"/>
    <w:rsid w:val="001A1914"/>
    <w:rsid w:val="001A2335"/>
    <w:rsid w:val="001A3359"/>
    <w:rsid w:val="001A3B6C"/>
    <w:rsid w:val="001A3F9A"/>
    <w:rsid w:val="001A444B"/>
    <w:rsid w:val="001A4741"/>
    <w:rsid w:val="001A489C"/>
    <w:rsid w:val="001A48CE"/>
    <w:rsid w:val="001A57D5"/>
    <w:rsid w:val="001A586F"/>
    <w:rsid w:val="001A7AFA"/>
    <w:rsid w:val="001A7C08"/>
    <w:rsid w:val="001B0D94"/>
    <w:rsid w:val="001B0DEA"/>
    <w:rsid w:val="001B1072"/>
    <w:rsid w:val="001B1415"/>
    <w:rsid w:val="001B160F"/>
    <w:rsid w:val="001B1B3E"/>
    <w:rsid w:val="001B1CAC"/>
    <w:rsid w:val="001B1DE9"/>
    <w:rsid w:val="001B2020"/>
    <w:rsid w:val="001B22C9"/>
    <w:rsid w:val="001B26B8"/>
    <w:rsid w:val="001B2C3B"/>
    <w:rsid w:val="001B3169"/>
    <w:rsid w:val="001B3527"/>
    <w:rsid w:val="001B3A01"/>
    <w:rsid w:val="001B4766"/>
    <w:rsid w:val="001B47BC"/>
    <w:rsid w:val="001B57D5"/>
    <w:rsid w:val="001B5A4C"/>
    <w:rsid w:val="001B631E"/>
    <w:rsid w:val="001B6364"/>
    <w:rsid w:val="001B6865"/>
    <w:rsid w:val="001B696C"/>
    <w:rsid w:val="001B6A52"/>
    <w:rsid w:val="001B75D9"/>
    <w:rsid w:val="001B7818"/>
    <w:rsid w:val="001B786F"/>
    <w:rsid w:val="001B78DB"/>
    <w:rsid w:val="001B7C6F"/>
    <w:rsid w:val="001B7DCC"/>
    <w:rsid w:val="001C0040"/>
    <w:rsid w:val="001C08FD"/>
    <w:rsid w:val="001C09FD"/>
    <w:rsid w:val="001C0AAA"/>
    <w:rsid w:val="001C145F"/>
    <w:rsid w:val="001C14DE"/>
    <w:rsid w:val="001C198B"/>
    <w:rsid w:val="001C1C78"/>
    <w:rsid w:val="001C20FC"/>
    <w:rsid w:val="001C2413"/>
    <w:rsid w:val="001C2457"/>
    <w:rsid w:val="001C2CB3"/>
    <w:rsid w:val="001C2D4F"/>
    <w:rsid w:val="001C3069"/>
    <w:rsid w:val="001C3543"/>
    <w:rsid w:val="001C3C02"/>
    <w:rsid w:val="001C4127"/>
    <w:rsid w:val="001C41DE"/>
    <w:rsid w:val="001C45FF"/>
    <w:rsid w:val="001C4895"/>
    <w:rsid w:val="001C5D85"/>
    <w:rsid w:val="001C6129"/>
    <w:rsid w:val="001C6725"/>
    <w:rsid w:val="001C6783"/>
    <w:rsid w:val="001C689F"/>
    <w:rsid w:val="001C71CE"/>
    <w:rsid w:val="001C735C"/>
    <w:rsid w:val="001C7A42"/>
    <w:rsid w:val="001D020C"/>
    <w:rsid w:val="001D05D0"/>
    <w:rsid w:val="001D088F"/>
    <w:rsid w:val="001D1E51"/>
    <w:rsid w:val="001D1EBF"/>
    <w:rsid w:val="001D3283"/>
    <w:rsid w:val="001D32F2"/>
    <w:rsid w:val="001D3932"/>
    <w:rsid w:val="001D40EA"/>
    <w:rsid w:val="001D4D43"/>
    <w:rsid w:val="001D5860"/>
    <w:rsid w:val="001D5B8A"/>
    <w:rsid w:val="001D5BBB"/>
    <w:rsid w:val="001D5D7B"/>
    <w:rsid w:val="001D6967"/>
    <w:rsid w:val="001D6A2D"/>
    <w:rsid w:val="001D6BF8"/>
    <w:rsid w:val="001D7AA1"/>
    <w:rsid w:val="001D7AC1"/>
    <w:rsid w:val="001E0DC8"/>
    <w:rsid w:val="001E0F80"/>
    <w:rsid w:val="001E13DB"/>
    <w:rsid w:val="001E1548"/>
    <w:rsid w:val="001E2361"/>
    <w:rsid w:val="001E24B2"/>
    <w:rsid w:val="001E335B"/>
    <w:rsid w:val="001E35B4"/>
    <w:rsid w:val="001E360F"/>
    <w:rsid w:val="001E3EF3"/>
    <w:rsid w:val="001E4750"/>
    <w:rsid w:val="001E4FBF"/>
    <w:rsid w:val="001E5054"/>
    <w:rsid w:val="001E518E"/>
    <w:rsid w:val="001E5493"/>
    <w:rsid w:val="001E5B8A"/>
    <w:rsid w:val="001E5C18"/>
    <w:rsid w:val="001E5F25"/>
    <w:rsid w:val="001E6184"/>
    <w:rsid w:val="001E61BC"/>
    <w:rsid w:val="001E61DD"/>
    <w:rsid w:val="001E644E"/>
    <w:rsid w:val="001E6D90"/>
    <w:rsid w:val="001E6F61"/>
    <w:rsid w:val="001E7312"/>
    <w:rsid w:val="001E771E"/>
    <w:rsid w:val="001E78D8"/>
    <w:rsid w:val="001E790C"/>
    <w:rsid w:val="001E7B9C"/>
    <w:rsid w:val="001F007D"/>
    <w:rsid w:val="001F04E4"/>
    <w:rsid w:val="001F0580"/>
    <w:rsid w:val="001F07C4"/>
    <w:rsid w:val="001F0A8F"/>
    <w:rsid w:val="001F0B5C"/>
    <w:rsid w:val="001F0D15"/>
    <w:rsid w:val="001F0D68"/>
    <w:rsid w:val="001F0F3D"/>
    <w:rsid w:val="001F0F61"/>
    <w:rsid w:val="001F1042"/>
    <w:rsid w:val="001F11D4"/>
    <w:rsid w:val="001F16F8"/>
    <w:rsid w:val="001F1CFA"/>
    <w:rsid w:val="001F266B"/>
    <w:rsid w:val="001F26BE"/>
    <w:rsid w:val="001F2767"/>
    <w:rsid w:val="001F2CA9"/>
    <w:rsid w:val="001F376E"/>
    <w:rsid w:val="001F3B22"/>
    <w:rsid w:val="001F3EC4"/>
    <w:rsid w:val="001F4D41"/>
    <w:rsid w:val="001F5EEA"/>
    <w:rsid w:val="001F5EF9"/>
    <w:rsid w:val="001F5F38"/>
    <w:rsid w:val="001F66FD"/>
    <w:rsid w:val="001F704E"/>
    <w:rsid w:val="001F7285"/>
    <w:rsid w:val="001F7B55"/>
    <w:rsid w:val="00200033"/>
    <w:rsid w:val="00200F51"/>
    <w:rsid w:val="00202090"/>
    <w:rsid w:val="002025E3"/>
    <w:rsid w:val="002026D7"/>
    <w:rsid w:val="00202947"/>
    <w:rsid w:val="00202C3C"/>
    <w:rsid w:val="00202C6C"/>
    <w:rsid w:val="00203569"/>
    <w:rsid w:val="00203A70"/>
    <w:rsid w:val="00203E30"/>
    <w:rsid w:val="0020490E"/>
    <w:rsid w:val="0020510A"/>
    <w:rsid w:val="002051F2"/>
    <w:rsid w:val="0020543B"/>
    <w:rsid w:val="00206B45"/>
    <w:rsid w:val="002075EA"/>
    <w:rsid w:val="002076C5"/>
    <w:rsid w:val="00207747"/>
    <w:rsid w:val="00207926"/>
    <w:rsid w:val="002107C7"/>
    <w:rsid w:val="00210942"/>
    <w:rsid w:val="00210C99"/>
    <w:rsid w:val="0021133B"/>
    <w:rsid w:val="0021182B"/>
    <w:rsid w:val="00211ACA"/>
    <w:rsid w:val="00211DB0"/>
    <w:rsid w:val="0021200D"/>
    <w:rsid w:val="0021221A"/>
    <w:rsid w:val="00212B30"/>
    <w:rsid w:val="00212EB0"/>
    <w:rsid w:val="00212F06"/>
    <w:rsid w:val="00212F33"/>
    <w:rsid w:val="002156EC"/>
    <w:rsid w:val="00215B46"/>
    <w:rsid w:val="002163A1"/>
    <w:rsid w:val="0021674B"/>
    <w:rsid w:val="002168C1"/>
    <w:rsid w:val="0021739E"/>
    <w:rsid w:val="0021751C"/>
    <w:rsid w:val="00220101"/>
    <w:rsid w:val="00220166"/>
    <w:rsid w:val="002207CB"/>
    <w:rsid w:val="002223E0"/>
    <w:rsid w:val="002227BD"/>
    <w:rsid w:val="002228AB"/>
    <w:rsid w:val="00222B60"/>
    <w:rsid w:val="00222BDB"/>
    <w:rsid w:val="00222EA0"/>
    <w:rsid w:val="00223930"/>
    <w:rsid w:val="00223D8D"/>
    <w:rsid w:val="00224443"/>
    <w:rsid w:val="00224B22"/>
    <w:rsid w:val="00224CF4"/>
    <w:rsid w:val="00225376"/>
    <w:rsid w:val="002256C7"/>
    <w:rsid w:val="00226484"/>
    <w:rsid w:val="002264AC"/>
    <w:rsid w:val="00226501"/>
    <w:rsid w:val="002265F7"/>
    <w:rsid w:val="00226DF0"/>
    <w:rsid w:val="00227178"/>
    <w:rsid w:val="002272D4"/>
    <w:rsid w:val="002278BD"/>
    <w:rsid w:val="00227D82"/>
    <w:rsid w:val="002306F5"/>
    <w:rsid w:val="00230AF2"/>
    <w:rsid w:val="0023145E"/>
    <w:rsid w:val="00231B22"/>
    <w:rsid w:val="00231C04"/>
    <w:rsid w:val="002321FD"/>
    <w:rsid w:val="00232740"/>
    <w:rsid w:val="0023283F"/>
    <w:rsid w:val="002332C8"/>
    <w:rsid w:val="0023422C"/>
    <w:rsid w:val="0023427F"/>
    <w:rsid w:val="002345D8"/>
    <w:rsid w:val="00234981"/>
    <w:rsid w:val="0023640B"/>
    <w:rsid w:val="00236F80"/>
    <w:rsid w:val="00237140"/>
    <w:rsid w:val="00237141"/>
    <w:rsid w:val="00237150"/>
    <w:rsid w:val="002373CF"/>
    <w:rsid w:val="00237729"/>
    <w:rsid w:val="00237A99"/>
    <w:rsid w:val="00237CBF"/>
    <w:rsid w:val="00237F6E"/>
    <w:rsid w:val="00240110"/>
    <w:rsid w:val="00240379"/>
    <w:rsid w:val="0024072E"/>
    <w:rsid w:val="00240813"/>
    <w:rsid w:val="0024089E"/>
    <w:rsid w:val="00240B06"/>
    <w:rsid w:val="00240C8A"/>
    <w:rsid w:val="00240F90"/>
    <w:rsid w:val="002415C3"/>
    <w:rsid w:val="00241EC4"/>
    <w:rsid w:val="002426DE"/>
    <w:rsid w:val="00243049"/>
    <w:rsid w:val="00243646"/>
    <w:rsid w:val="002438AF"/>
    <w:rsid w:val="002438B6"/>
    <w:rsid w:val="00243EF4"/>
    <w:rsid w:val="002440AC"/>
    <w:rsid w:val="0024453E"/>
    <w:rsid w:val="002447C6"/>
    <w:rsid w:val="00244BDB"/>
    <w:rsid w:val="00244F9A"/>
    <w:rsid w:val="0024506F"/>
    <w:rsid w:val="00245C91"/>
    <w:rsid w:val="00245D2B"/>
    <w:rsid w:val="00246044"/>
    <w:rsid w:val="00246D34"/>
    <w:rsid w:val="00246FC9"/>
    <w:rsid w:val="002474DF"/>
    <w:rsid w:val="002478F6"/>
    <w:rsid w:val="00247E30"/>
    <w:rsid w:val="00250713"/>
    <w:rsid w:val="00250D26"/>
    <w:rsid w:val="0025102D"/>
    <w:rsid w:val="0025159B"/>
    <w:rsid w:val="00251F99"/>
    <w:rsid w:val="002531DC"/>
    <w:rsid w:val="00253449"/>
    <w:rsid w:val="00253647"/>
    <w:rsid w:val="00254006"/>
    <w:rsid w:val="0025421B"/>
    <w:rsid w:val="0025435B"/>
    <w:rsid w:val="0025465C"/>
    <w:rsid w:val="00254845"/>
    <w:rsid w:val="00254B8B"/>
    <w:rsid w:val="00255379"/>
    <w:rsid w:val="00255678"/>
    <w:rsid w:val="00255995"/>
    <w:rsid w:val="00255F7D"/>
    <w:rsid w:val="00256224"/>
    <w:rsid w:val="002567E6"/>
    <w:rsid w:val="0025680E"/>
    <w:rsid w:val="0025704D"/>
    <w:rsid w:val="00257170"/>
    <w:rsid w:val="00257286"/>
    <w:rsid w:val="002575A6"/>
    <w:rsid w:val="00257ED1"/>
    <w:rsid w:val="002601F0"/>
    <w:rsid w:val="002606BF"/>
    <w:rsid w:val="00260A1E"/>
    <w:rsid w:val="00260D35"/>
    <w:rsid w:val="00261796"/>
    <w:rsid w:val="00261CDE"/>
    <w:rsid w:val="00261DA6"/>
    <w:rsid w:val="00261DBF"/>
    <w:rsid w:val="00262269"/>
    <w:rsid w:val="002626B0"/>
    <w:rsid w:val="002632DF"/>
    <w:rsid w:val="0026362F"/>
    <w:rsid w:val="00263C73"/>
    <w:rsid w:val="00263DA4"/>
    <w:rsid w:val="00264731"/>
    <w:rsid w:val="00264A08"/>
    <w:rsid w:val="00264C1F"/>
    <w:rsid w:val="00264CF5"/>
    <w:rsid w:val="00265D6E"/>
    <w:rsid w:val="0026660D"/>
    <w:rsid w:val="0026666F"/>
    <w:rsid w:val="002667C4"/>
    <w:rsid w:val="002669E0"/>
    <w:rsid w:val="00266D7F"/>
    <w:rsid w:val="00267009"/>
    <w:rsid w:val="002670CE"/>
    <w:rsid w:val="002670D8"/>
    <w:rsid w:val="00267AB0"/>
    <w:rsid w:val="00267C38"/>
    <w:rsid w:val="00270A7C"/>
    <w:rsid w:val="00270C57"/>
    <w:rsid w:val="00270F00"/>
    <w:rsid w:val="0027173B"/>
    <w:rsid w:val="00271ED2"/>
    <w:rsid w:val="00272904"/>
    <w:rsid w:val="00272B91"/>
    <w:rsid w:val="00272D62"/>
    <w:rsid w:val="00272D9C"/>
    <w:rsid w:val="00272D9E"/>
    <w:rsid w:val="00273334"/>
    <w:rsid w:val="002736D9"/>
    <w:rsid w:val="0027392F"/>
    <w:rsid w:val="00273C88"/>
    <w:rsid w:val="00274AFD"/>
    <w:rsid w:val="00274C4C"/>
    <w:rsid w:val="00274D28"/>
    <w:rsid w:val="00274E6C"/>
    <w:rsid w:val="002750C4"/>
    <w:rsid w:val="002753C6"/>
    <w:rsid w:val="00275B85"/>
    <w:rsid w:val="00275BA8"/>
    <w:rsid w:val="00275FA9"/>
    <w:rsid w:val="00276207"/>
    <w:rsid w:val="002765DE"/>
    <w:rsid w:val="00276978"/>
    <w:rsid w:val="00276E11"/>
    <w:rsid w:val="00276E72"/>
    <w:rsid w:val="00276EA9"/>
    <w:rsid w:val="00277221"/>
    <w:rsid w:val="00277DAA"/>
    <w:rsid w:val="00277F62"/>
    <w:rsid w:val="00280053"/>
    <w:rsid w:val="0028015F"/>
    <w:rsid w:val="00280172"/>
    <w:rsid w:val="00280190"/>
    <w:rsid w:val="00280990"/>
    <w:rsid w:val="0028111E"/>
    <w:rsid w:val="00281378"/>
    <w:rsid w:val="00281B17"/>
    <w:rsid w:val="00282157"/>
    <w:rsid w:val="0028264D"/>
    <w:rsid w:val="00282D4D"/>
    <w:rsid w:val="0028376A"/>
    <w:rsid w:val="0028387B"/>
    <w:rsid w:val="00284368"/>
    <w:rsid w:val="00284CB5"/>
    <w:rsid w:val="002853D8"/>
    <w:rsid w:val="00285B8E"/>
    <w:rsid w:val="00286768"/>
    <w:rsid w:val="00286BF2"/>
    <w:rsid w:val="00286D96"/>
    <w:rsid w:val="002878E1"/>
    <w:rsid w:val="00290029"/>
    <w:rsid w:val="002904DF"/>
    <w:rsid w:val="00290C0F"/>
    <w:rsid w:val="00291149"/>
    <w:rsid w:val="0029132B"/>
    <w:rsid w:val="00291523"/>
    <w:rsid w:val="00291527"/>
    <w:rsid w:val="00291A35"/>
    <w:rsid w:val="0029227F"/>
    <w:rsid w:val="0029249F"/>
    <w:rsid w:val="00292727"/>
    <w:rsid w:val="00293CA2"/>
    <w:rsid w:val="00293E2B"/>
    <w:rsid w:val="00293E57"/>
    <w:rsid w:val="0029438A"/>
    <w:rsid w:val="00294BB0"/>
    <w:rsid w:val="00294FE8"/>
    <w:rsid w:val="00295447"/>
    <w:rsid w:val="00295BAB"/>
    <w:rsid w:val="00295C26"/>
    <w:rsid w:val="0029600E"/>
    <w:rsid w:val="00296118"/>
    <w:rsid w:val="00296475"/>
    <w:rsid w:val="002964DA"/>
    <w:rsid w:val="002967AF"/>
    <w:rsid w:val="002968C6"/>
    <w:rsid w:val="00296E7A"/>
    <w:rsid w:val="00297128"/>
    <w:rsid w:val="002A0846"/>
    <w:rsid w:val="002A090D"/>
    <w:rsid w:val="002A19D9"/>
    <w:rsid w:val="002A2189"/>
    <w:rsid w:val="002A283C"/>
    <w:rsid w:val="002A2CCE"/>
    <w:rsid w:val="002A3384"/>
    <w:rsid w:val="002A3655"/>
    <w:rsid w:val="002A4063"/>
    <w:rsid w:val="002A41C9"/>
    <w:rsid w:val="002A43BD"/>
    <w:rsid w:val="002A45C6"/>
    <w:rsid w:val="002A4C43"/>
    <w:rsid w:val="002A4E68"/>
    <w:rsid w:val="002A6633"/>
    <w:rsid w:val="002A66A9"/>
    <w:rsid w:val="002A769A"/>
    <w:rsid w:val="002A77F3"/>
    <w:rsid w:val="002A7BFC"/>
    <w:rsid w:val="002A7CE1"/>
    <w:rsid w:val="002A7D3B"/>
    <w:rsid w:val="002A7D8E"/>
    <w:rsid w:val="002B041E"/>
    <w:rsid w:val="002B1702"/>
    <w:rsid w:val="002B1911"/>
    <w:rsid w:val="002B1916"/>
    <w:rsid w:val="002B20A9"/>
    <w:rsid w:val="002B20FC"/>
    <w:rsid w:val="002B2F7D"/>
    <w:rsid w:val="002B30E7"/>
    <w:rsid w:val="002B3516"/>
    <w:rsid w:val="002B4060"/>
    <w:rsid w:val="002B4726"/>
    <w:rsid w:val="002B5FDD"/>
    <w:rsid w:val="002B5FF8"/>
    <w:rsid w:val="002B68C1"/>
    <w:rsid w:val="002B69F4"/>
    <w:rsid w:val="002B6A7F"/>
    <w:rsid w:val="002B6EF4"/>
    <w:rsid w:val="002B74BF"/>
    <w:rsid w:val="002B798E"/>
    <w:rsid w:val="002B7B5A"/>
    <w:rsid w:val="002B7E85"/>
    <w:rsid w:val="002C03A3"/>
    <w:rsid w:val="002C06A9"/>
    <w:rsid w:val="002C06FF"/>
    <w:rsid w:val="002C0935"/>
    <w:rsid w:val="002C0944"/>
    <w:rsid w:val="002C179E"/>
    <w:rsid w:val="002C18B6"/>
    <w:rsid w:val="002C23FC"/>
    <w:rsid w:val="002C2466"/>
    <w:rsid w:val="002C2D10"/>
    <w:rsid w:val="002C3A38"/>
    <w:rsid w:val="002C3CB8"/>
    <w:rsid w:val="002C41A3"/>
    <w:rsid w:val="002C4331"/>
    <w:rsid w:val="002C4709"/>
    <w:rsid w:val="002C47CA"/>
    <w:rsid w:val="002C4A6F"/>
    <w:rsid w:val="002C503D"/>
    <w:rsid w:val="002C58DE"/>
    <w:rsid w:val="002C5A3C"/>
    <w:rsid w:val="002C5ACA"/>
    <w:rsid w:val="002C5AE4"/>
    <w:rsid w:val="002C5BD9"/>
    <w:rsid w:val="002C5E61"/>
    <w:rsid w:val="002C60D2"/>
    <w:rsid w:val="002C6545"/>
    <w:rsid w:val="002C7E10"/>
    <w:rsid w:val="002D0240"/>
    <w:rsid w:val="002D0874"/>
    <w:rsid w:val="002D0EE7"/>
    <w:rsid w:val="002D0FE9"/>
    <w:rsid w:val="002D10BF"/>
    <w:rsid w:val="002D28F3"/>
    <w:rsid w:val="002D2BD5"/>
    <w:rsid w:val="002D32D0"/>
    <w:rsid w:val="002D339C"/>
    <w:rsid w:val="002D36FD"/>
    <w:rsid w:val="002D3A53"/>
    <w:rsid w:val="002D435A"/>
    <w:rsid w:val="002D4613"/>
    <w:rsid w:val="002D4ACF"/>
    <w:rsid w:val="002D4B6A"/>
    <w:rsid w:val="002D4F57"/>
    <w:rsid w:val="002D581A"/>
    <w:rsid w:val="002D5909"/>
    <w:rsid w:val="002D5E00"/>
    <w:rsid w:val="002D6B0F"/>
    <w:rsid w:val="002D6EE5"/>
    <w:rsid w:val="002D75C3"/>
    <w:rsid w:val="002D7675"/>
    <w:rsid w:val="002D7B36"/>
    <w:rsid w:val="002D7C6E"/>
    <w:rsid w:val="002D7E1A"/>
    <w:rsid w:val="002D7EBE"/>
    <w:rsid w:val="002E0772"/>
    <w:rsid w:val="002E098D"/>
    <w:rsid w:val="002E0A62"/>
    <w:rsid w:val="002E11AE"/>
    <w:rsid w:val="002E183A"/>
    <w:rsid w:val="002E2101"/>
    <w:rsid w:val="002E2263"/>
    <w:rsid w:val="002E25A7"/>
    <w:rsid w:val="002E2799"/>
    <w:rsid w:val="002E3200"/>
    <w:rsid w:val="002E33AD"/>
    <w:rsid w:val="002E45C7"/>
    <w:rsid w:val="002E46DA"/>
    <w:rsid w:val="002E48F7"/>
    <w:rsid w:val="002E4B11"/>
    <w:rsid w:val="002E55F6"/>
    <w:rsid w:val="002E6236"/>
    <w:rsid w:val="002E6256"/>
    <w:rsid w:val="002E6B78"/>
    <w:rsid w:val="002E6D09"/>
    <w:rsid w:val="002E7509"/>
    <w:rsid w:val="002E76BC"/>
    <w:rsid w:val="002E77D2"/>
    <w:rsid w:val="002E783D"/>
    <w:rsid w:val="002E7EF9"/>
    <w:rsid w:val="002F05CE"/>
    <w:rsid w:val="002F08B6"/>
    <w:rsid w:val="002F0955"/>
    <w:rsid w:val="002F0B3B"/>
    <w:rsid w:val="002F20D8"/>
    <w:rsid w:val="002F2C32"/>
    <w:rsid w:val="002F3394"/>
    <w:rsid w:val="002F35F8"/>
    <w:rsid w:val="002F3D18"/>
    <w:rsid w:val="002F3E7C"/>
    <w:rsid w:val="002F4288"/>
    <w:rsid w:val="002F42D6"/>
    <w:rsid w:val="002F5ACD"/>
    <w:rsid w:val="002F639F"/>
    <w:rsid w:val="002F6A9F"/>
    <w:rsid w:val="002F766C"/>
    <w:rsid w:val="002F7DAE"/>
    <w:rsid w:val="0030041C"/>
    <w:rsid w:val="003013AD"/>
    <w:rsid w:val="00301699"/>
    <w:rsid w:val="003016F8"/>
    <w:rsid w:val="003017F2"/>
    <w:rsid w:val="00301933"/>
    <w:rsid w:val="003022BA"/>
    <w:rsid w:val="00302451"/>
    <w:rsid w:val="003025F8"/>
    <w:rsid w:val="0030283B"/>
    <w:rsid w:val="00303462"/>
    <w:rsid w:val="00303875"/>
    <w:rsid w:val="00304076"/>
    <w:rsid w:val="00304462"/>
    <w:rsid w:val="003045F6"/>
    <w:rsid w:val="00304A02"/>
    <w:rsid w:val="00304E9F"/>
    <w:rsid w:val="00304FDA"/>
    <w:rsid w:val="0030505A"/>
    <w:rsid w:val="0030538F"/>
    <w:rsid w:val="00305614"/>
    <w:rsid w:val="00305A09"/>
    <w:rsid w:val="00305D01"/>
    <w:rsid w:val="00305F7F"/>
    <w:rsid w:val="00306137"/>
    <w:rsid w:val="00306ACC"/>
    <w:rsid w:val="00306D20"/>
    <w:rsid w:val="00306FA5"/>
    <w:rsid w:val="003070F6"/>
    <w:rsid w:val="0030716B"/>
    <w:rsid w:val="003071EA"/>
    <w:rsid w:val="0030736A"/>
    <w:rsid w:val="00307433"/>
    <w:rsid w:val="00307760"/>
    <w:rsid w:val="00307C6D"/>
    <w:rsid w:val="00310103"/>
    <w:rsid w:val="00310495"/>
    <w:rsid w:val="00310CD9"/>
    <w:rsid w:val="003110B8"/>
    <w:rsid w:val="00311482"/>
    <w:rsid w:val="00311726"/>
    <w:rsid w:val="00311D72"/>
    <w:rsid w:val="00313251"/>
    <w:rsid w:val="003155F8"/>
    <w:rsid w:val="003156DB"/>
    <w:rsid w:val="003160C0"/>
    <w:rsid w:val="0031610A"/>
    <w:rsid w:val="0031615E"/>
    <w:rsid w:val="003163E0"/>
    <w:rsid w:val="003165A0"/>
    <w:rsid w:val="00316F3E"/>
    <w:rsid w:val="0031763E"/>
    <w:rsid w:val="00317834"/>
    <w:rsid w:val="00317C9C"/>
    <w:rsid w:val="00320EF7"/>
    <w:rsid w:val="003212AC"/>
    <w:rsid w:val="003212C5"/>
    <w:rsid w:val="00321BDA"/>
    <w:rsid w:val="00321E38"/>
    <w:rsid w:val="0032229A"/>
    <w:rsid w:val="0032236D"/>
    <w:rsid w:val="0032269E"/>
    <w:rsid w:val="00322B74"/>
    <w:rsid w:val="00323870"/>
    <w:rsid w:val="00323CDC"/>
    <w:rsid w:val="003240B0"/>
    <w:rsid w:val="00324823"/>
    <w:rsid w:val="00324C59"/>
    <w:rsid w:val="00325295"/>
    <w:rsid w:val="00325B0A"/>
    <w:rsid w:val="00325D76"/>
    <w:rsid w:val="00325DC0"/>
    <w:rsid w:val="00326451"/>
    <w:rsid w:val="003267DD"/>
    <w:rsid w:val="00326EA8"/>
    <w:rsid w:val="00327109"/>
    <w:rsid w:val="00327BF8"/>
    <w:rsid w:val="0033049B"/>
    <w:rsid w:val="0033066F"/>
    <w:rsid w:val="00330698"/>
    <w:rsid w:val="003306F3"/>
    <w:rsid w:val="00330803"/>
    <w:rsid w:val="003310E6"/>
    <w:rsid w:val="00331602"/>
    <w:rsid w:val="003317FE"/>
    <w:rsid w:val="00331884"/>
    <w:rsid w:val="00331D95"/>
    <w:rsid w:val="003322FC"/>
    <w:rsid w:val="00332767"/>
    <w:rsid w:val="00333079"/>
    <w:rsid w:val="00333711"/>
    <w:rsid w:val="00333730"/>
    <w:rsid w:val="0033387E"/>
    <w:rsid w:val="003338EA"/>
    <w:rsid w:val="00333D4B"/>
    <w:rsid w:val="00334143"/>
    <w:rsid w:val="003347C9"/>
    <w:rsid w:val="0033485A"/>
    <w:rsid w:val="003349C5"/>
    <w:rsid w:val="00334E4A"/>
    <w:rsid w:val="00334E56"/>
    <w:rsid w:val="00334EE8"/>
    <w:rsid w:val="003351A9"/>
    <w:rsid w:val="003352C8"/>
    <w:rsid w:val="00337429"/>
    <w:rsid w:val="00337546"/>
    <w:rsid w:val="0033796B"/>
    <w:rsid w:val="00340803"/>
    <w:rsid w:val="00340C8D"/>
    <w:rsid w:val="00341101"/>
    <w:rsid w:val="00341ED7"/>
    <w:rsid w:val="003427C1"/>
    <w:rsid w:val="003427FC"/>
    <w:rsid w:val="00342FC7"/>
    <w:rsid w:val="0034310B"/>
    <w:rsid w:val="0034355C"/>
    <w:rsid w:val="00343AF2"/>
    <w:rsid w:val="003440E0"/>
    <w:rsid w:val="003447D0"/>
    <w:rsid w:val="00344926"/>
    <w:rsid w:val="00345363"/>
    <w:rsid w:val="0034582A"/>
    <w:rsid w:val="00345CB6"/>
    <w:rsid w:val="00345F2B"/>
    <w:rsid w:val="003460CE"/>
    <w:rsid w:val="003466EF"/>
    <w:rsid w:val="00346868"/>
    <w:rsid w:val="003468CF"/>
    <w:rsid w:val="003474D5"/>
    <w:rsid w:val="00347A7F"/>
    <w:rsid w:val="00350236"/>
    <w:rsid w:val="003508F5"/>
    <w:rsid w:val="00350BFC"/>
    <w:rsid w:val="00351672"/>
    <w:rsid w:val="003516C8"/>
    <w:rsid w:val="003524C7"/>
    <w:rsid w:val="003524E3"/>
    <w:rsid w:val="0035272A"/>
    <w:rsid w:val="00352855"/>
    <w:rsid w:val="00353066"/>
    <w:rsid w:val="00353C7B"/>
    <w:rsid w:val="00354C0F"/>
    <w:rsid w:val="00355258"/>
    <w:rsid w:val="00355AFA"/>
    <w:rsid w:val="00355EB1"/>
    <w:rsid w:val="0035618D"/>
    <w:rsid w:val="003561C0"/>
    <w:rsid w:val="0035687C"/>
    <w:rsid w:val="00356ED0"/>
    <w:rsid w:val="0035747E"/>
    <w:rsid w:val="00357B6A"/>
    <w:rsid w:val="00357C9D"/>
    <w:rsid w:val="00360419"/>
    <w:rsid w:val="00360D34"/>
    <w:rsid w:val="00360E5B"/>
    <w:rsid w:val="00361511"/>
    <w:rsid w:val="00361697"/>
    <w:rsid w:val="00361753"/>
    <w:rsid w:val="003617BE"/>
    <w:rsid w:val="00361A0A"/>
    <w:rsid w:val="00362106"/>
    <w:rsid w:val="003626B3"/>
    <w:rsid w:val="00362B94"/>
    <w:rsid w:val="00363142"/>
    <w:rsid w:val="00363FEA"/>
    <w:rsid w:val="003641A2"/>
    <w:rsid w:val="00364365"/>
    <w:rsid w:val="003648AB"/>
    <w:rsid w:val="00364C41"/>
    <w:rsid w:val="003650AB"/>
    <w:rsid w:val="003650F0"/>
    <w:rsid w:val="0036559F"/>
    <w:rsid w:val="0036588F"/>
    <w:rsid w:val="00365C50"/>
    <w:rsid w:val="00365E32"/>
    <w:rsid w:val="0036646C"/>
    <w:rsid w:val="00366A49"/>
    <w:rsid w:val="00366B23"/>
    <w:rsid w:val="00366FAA"/>
    <w:rsid w:val="0036706A"/>
    <w:rsid w:val="003670C8"/>
    <w:rsid w:val="003670FE"/>
    <w:rsid w:val="00367179"/>
    <w:rsid w:val="003671C1"/>
    <w:rsid w:val="0036762A"/>
    <w:rsid w:val="003678D8"/>
    <w:rsid w:val="00367D14"/>
    <w:rsid w:val="003704A9"/>
    <w:rsid w:val="00370E76"/>
    <w:rsid w:val="00370FB1"/>
    <w:rsid w:val="00371033"/>
    <w:rsid w:val="003715F8"/>
    <w:rsid w:val="00371CDF"/>
    <w:rsid w:val="00371DAF"/>
    <w:rsid w:val="003722A1"/>
    <w:rsid w:val="00372E9B"/>
    <w:rsid w:val="00373C8D"/>
    <w:rsid w:val="00374102"/>
    <w:rsid w:val="003749AB"/>
    <w:rsid w:val="00374B31"/>
    <w:rsid w:val="0037547E"/>
    <w:rsid w:val="00375ACD"/>
    <w:rsid w:val="00375C2D"/>
    <w:rsid w:val="00375DA0"/>
    <w:rsid w:val="003765D6"/>
    <w:rsid w:val="00376D6E"/>
    <w:rsid w:val="00376F4E"/>
    <w:rsid w:val="00377712"/>
    <w:rsid w:val="0038043C"/>
    <w:rsid w:val="0038060D"/>
    <w:rsid w:val="003807DD"/>
    <w:rsid w:val="00380C0B"/>
    <w:rsid w:val="00380CB0"/>
    <w:rsid w:val="00380FAB"/>
    <w:rsid w:val="00381474"/>
    <w:rsid w:val="00381644"/>
    <w:rsid w:val="00381AFA"/>
    <w:rsid w:val="00381B2B"/>
    <w:rsid w:val="00381BB5"/>
    <w:rsid w:val="00382481"/>
    <w:rsid w:val="00382496"/>
    <w:rsid w:val="00382945"/>
    <w:rsid w:val="00382D02"/>
    <w:rsid w:val="00382EED"/>
    <w:rsid w:val="0038337B"/>
    <w:rsid w:val="00383B4B"/>
    <w:rsid w:val="00383D73"/>
    <w:rsid w:val="00383DFB"/>
    <w:rsid w:val="003842A9"/>
    <w:rsid w:val="00384304"/>
    <w:rsid w:val="003852AD"/>
    <w:rsid w:val="00385D92"/>
    <w:rsid w:val="0038667A"/>
    <w:rsid w:val="00386841"/>
    <w:rsid w:val="00386D5A"/>
    <w:rsid w:val="00386D5B"/>
    <w:rsid w:val="003900E5"/>
    <w:rsid w:val="00391611"/>
    <w:rsid w:val="00391CF1"/>
    <w:rsid w:val="00391F46"/>
    <w:rsid w:val="00393173"/>
    <w:rsid w:val="00393771"/>
    <w:rsid w:val="00393C0E"/>
    <w:rsid w:val="00393E0B"/>
    <w:rsid w:val="00394223"/>
    <w:rsid w:val="003943C8"/>
    <w:rsid w:val="003944BB"/>
    <w:rsid w:val="00394D37"/>
    <w:rsid w:val="00394E86"/>
    <w:rsid w:val="00395A0A"/>
    <w:rsid w:val="00395A62"/>
    <w:rsid w:val="00395D4B"/>
    <w:rsid w:val="00396079"/>
    <w:rsid w:val="0039644E"/>
    <w:rsid w:val="00396479"/>
    <w:rsid w:val="00396518"/>
    <w:rsid w:val="00396D04"/>
    <w:rsid w:val="00396D88"/>
    <w:rsid w:val="00396DC6"/>
    <w:rsid w:val="003970DA"/>
    <w:rsid w:val="0039729E"/>
    <w:rsid w:val="003978E9"/>
    <w:rsid w:val="00397ACC"/>
    <w:rsid w:val="00397E92"/>
    <w:rsid w:val="003A065E"/>
    <w:rsid w:val="003A0D8F"/>
    <w:rsid w:val="003A10B9"/>
    <w:rsid w:val="003A1481"/>
    <w:rsid w:val="003A2138"/>
    <w:rsid w:val="003A22F8"/>
    <w:rsid w:val="003A24F5"/>
    <w:rsid w:val="003A2D39"/>
    <w:rsid w:val="003A3107"/>
    <w:rsid w:val="003A3111"/>
    <w:rsid w:val="003A3FB3"/>
    <w:rsid w:val="003A43F8"/>
    <w:rsid w:val="003A486F"/>
    <w:rsid w:val="003A5D0D"/>
    <w:rsid w:val="003A6114"/>
    <w:rsid w:val="003A62B9"/>
    <w:rsid w:val="003A655D"/>
    <w:rsid w:val="003A6A6C"/>
    <w:rsid w:val="003A76BC"/>
    <w:rsid w:val="003B030F"/>
    <w:rsid w:val="003B0801"/>
    <w:rsid w:val="003B0A46"/>
    <w:rsid w:val="003B0A55"/>
    <w:rsid w:val="003B0BBE"/>
    <w:rsid w:val="003B0DF6"/>
    <w:rsid w:val="003B13D7"/>
    <w:rsid w:val="003B158D"/>
    <w:rsid w:val="003B1C5E"/>
    <w:rsid w:val="003B208B"/>
    <w:rsid w:val="003B26B1"/>
    <w:rsid w:val="003B2811"/>
    <w:rsid w:val="003B2971"/>
    <w:rsid w:val="003B2C89"/>
    <w:rsid w:val="003B2D80"/>
    <w:rsid w:val="003B3563"/>
    <w:rsid w:val="003B356C"/>
    <w:rsid w:val="003B3FB3"/>
    <w:rsid w:val="003B47F6"/>
    <w:rsid w:val="003B494C"/>
    <w:rsid w:val="003B494F"/>
    <w:rsid w:val="003B4E57"/>
    <w:rsid w:val="003B4ECB"/>
    <w:rsid w:val="003B4FF3"/>
    <w:rsid w:val="003B5646"/>
    <w:rsid w:val="003B5CE1"/>
    <w:rsid w:val="003B66DC"/>
    <w:rsid w:val="003B6B66"/>
    <w:rsid w:val="003B6F53"/>
    <w:rsid w:val="003B702E"/>
    <w:rsid w:val="003B7578"/>
    <w:rsid w:val="003B7973"/>
    <w:rsid w:val="003B7F5C"/>
    <w:rsid w:val="003C04DA"/>
    <w:rsid w:val="003C13F4"/>
    <w:rsid w:val="003C14F0"/>
    <w:rsid w:val="003C28B8"/>
    <w:rsid w:val="003C31C8"/>
    <w:rsid w:val="003C3295"/>
    <w:rsid w:val="003C3B14"/>
    <w:rsid w:val="003C43A9"/>
    <w:rsid w:val="003C4530"/>
    <w:rsid w:val="003C489F"/>
    <w:rsid w:val="003C4C94"/>
    <w:rsid w:val="003C4EB6"/>
    <w:rsid w:val="003C57D6"/>
    <w:rsid w:val="003C6037"/>
    <w:rsid w:val="003C625C"/>
    <w:rsid w:val="003C6451"/>
    <w:rsid w:val="003C6510"/>
    <w:rsid w:val="003C671A"/>
    <w:rsid w:val="003C6C19"/>
    <w:rsid w:val="003C7256"/>
    <w:rsid w:val="003C72A0"/>
    <w:rsid w:val="003C7AA3"/>
    <w:rsid w:val="003D166B"/>
    <w:rsid w:val="003D1921"/>
    <w:rsid w:val="003D1A12"/>
    <w:rsid w:val="003D211F"/>
    <w:rsid w:val="003D247D"/>
    <w:rsid w:val="003D24F4"/>
    <w:rsid w:val="003D2D40"/>
    <w:rsid w:val="003D3731"/>
    <w:rsid w:val="003D3854"/>
    <w:rsid w:val="003D3FC7"/>
    <w:rsid w:val="003D471D"/>
    <w:rsid w:val="003D5073"/>
    <w:rsid w:val="003D51DF"/>
    <w:rsid w:val="003D547D"/>
    <w:rsid w:val="003D5914"/>
    <w:rsid w:val="003D5A7F"/>
    <w:rsid w:val="003D5AD8"/>
    <w:rsid w:val="003D5D68"/>
    <w:rsid w:val="003D5F9E"/>
    <w:rsid w:val="003D6191"/>
    <w:rsid w:val="003D61E5"/>
    <w:rsid w:val="003D62D4"/>
    <w:rsid w:val="003D6FF2"/>
    <w:rsid w:val="003D76AD"/>
    <w:rsid w:val="003D793F"/>
    <w:rsid w:val="003D7947"/>
    <w:rsid w:val="003D7A13"/>
    <w:rsid w:val="003D7A30"/>
    <w:rsid w:val="003D7DDB"/>
    <w:rsid w:val="003E0C65"/>
    <w:rsid w:val="003E14B1"/>
    <w:rsid w:val="003E1855"/>
    <w:rsid w:val="003E1ABA"/>
    <w:rsid w:val="003E2801"/>
    <w:rsid w:val="003E2FCA"/>
    <w:rsid w:val="003E34CF"/>
    <w:rsid w:val="003E36D2"/>
    <w:rsid w:val="003E389B"/>
    <w:rsid w:val="003E3FD3"/>
    <w:rsid w:val="003E4B82"/>
    <w:rsid w:val="003E4C60"/>
    <w:rsid w:val="003E4E3A"/>
    <w:rsid w:val="003E578D"/>
    <w:rsid w:val="003E5B95"/>
    <w:rsid w:val="003E6061"/>
    <w:rsid w:val="003E6309"/>
    <w:rsid w:val="003E67FF"/>
    <w:rsid w:val="003E719A"/>
    <w:rsid w:val="003F0926"/>
    <w:rsid w:val="003F0CA8"/>
    <w:rsid w:val="003F117B"/>
    <w:rsid w:val="003F118E"/>
    <w:rsid w:val="003F2129"/>
    <w:rsid w:val="003F236D"/>
    <w:rsid w:val="003F23DA"/>
    <w:rsid w:val="003F3204"/>
    <w:rsid w:val="003F3385"/>
    <w:rsid w:val="003F38E7"/>
    <w:rsid w:val="003F3CDF"/>
    <w:rsid w:val="003F4004"/>
    <w:rsid w:val="003F4771"/>
    <w:rsid w:val="003F5BDE"/>
    <w:rsid w:val="003F5F84"/>
    <w:rsid w:val="003F6C2C"/>
    <w:rsid w:val="003F6E87"/>
    <w:rsid w:val="003F6F5A"/>
    <w:rsid w:val="003F7A16"/>
    <w:rsid w:val="003F7CEE"/>
    <w:rsid w:val="004003E4"/>
    <w:rsid w:val="00400695"/>
    <w:rsid w:val="004010B5"/>
    <w:rsid w:val="004011E3"/>
    <w:rsid w:val="004012E5"/>
    <w:rsid w:val="00401A08"/>
    <w:rsid w:val="00401AA1"/>
    <w:rsid w:val="00402391"/>
    <w:rsid w:val="00402C93"/>
    <w:rsid w:val="00402ECE"/>
    <w:rsid w:val="00402F43"/>
    <w:rsid w:val="0040338F"/>
    <w:rsid w:val="004035D7"/>
    <w:rsid w:val="004036A1"/>
    <w:rsid w:val="00403877"/>
    <w:rsid w:val="00404479"/>
    <w:rsid w:val="00404877"/>
    <w:rsid w:val="00404910"/>
    <w:rsid w:val="00404C1F"/>
    <w:rsid w:val="00405C4A"/>
    <w:rsid w:val="00405DA7"/>
    <w:rsid w:val="00406143"/>
    <w:rsid w:val="00406D05"/>
    <w:rsid w:val="0040701F"/>
    <w:rsid w:val="00407230"/>
    <w:rsid w:val="00407514"/>
    <w:rsid w:val="0041011C"/>
    <w:rsid w:val="004101CA"/>
    <w:rsid w:val="004107DB"/>
    <w:rsid w:val="00410820"/>
    <w:rsid w:val="004115B4"/>
    <w:rsid w:val="00411A71"/>
    <w:rsid w:val="00412520"/>
    <w:rsid w:val="0041259C"/>
    <w:rsid w:val="00412694"/>
    <w:rsid w:val="00412EC3"/>
    <w:rsid w:val="00413580"/>
    <w:rsid w:val="00413CB5"/>
    <w:rsid w:val="00414320"/>
    <w:rsid w:val="004147C6"/>
    <w:rsid w:val="00414DB3"/>
    <w:rsid w:val="00415165"/>
    <w:rsid w:val="0041581D"/>
    <w:rsid w:val="0041596B"/>
    <w:rsid w:val="00415ACD"/>
    <w:rsid w:val="00415D70"/>
    <w:rsid w:val="00415EEA"/>
    <w:rsid w:val="0041711A"/>
    <w:rsid w:val="004174E9"/>
    <w:rsid w:val="00417A98"/>
    <w:rsid w:val="00417D18"/>
    <w:rsid w:val="00417DE5"/>
    <w:rsid w:val="00420C1E"/>
    <w:rsid w:val="004224CA"/>
    <w:rsid w:val="0042280F"/>
    <w:rsid w:val="0042299A"/>
    <w:rsid w:val="00423C6F"/>
    <w:rsid w:val="00423DE7"/>
    <w:rsid w:val="00424447"/>
    <w:rsid w:val="0042484F"/>
    <w:rsid w:val="00424A7C"/>
    <w:rsid w:val="00425878"/>
    <w:rsid w:val="0042599A"/>
    <w:rsid w:val="004268F7"/>
    <w:rsid w:val="00426DB9"/>
    <w:rsid w:val="00426ED2"/>
    <w:rsid w:val="004272AE"/>
    <w:rsid w:val="00427864"/>
    <w:rsid w:val="00430F18"/>
    <w:rsid w:val="004311F9"/>
    <w:rsid w:val="00431642"/>
    <w:rsid w:val="004324E1"/>
    <w:rsid w:val="004325D3"/>
    <w:rsid w:val="00432AC6"/>
    <w:rsid w:val="00433507"/>
    <w:rsid w:val="00433D33"/>
    <w:rsid w:val="004348A4"/>
    <w:rsid w:val="004349BB"/>
    <w:rsid w:val="00435280"/>
    <w:rsid w:val="004363A0"/>
    <w:rsid w:val="00437158"/>
    <w:rsid w:val="0044012A"/>
    <w:rsid w:val="00440295"/>
    <w:rsid w:val="004407D1"/>
    <w:rsid w:val="00440E9F"/>
    <w:rsid w:val="00440EFE"/>
    <w:rsid w:val="00441689"/>
    <w:rsid w:val="004416D1"/>
    <w:rsid w:val="004424C8"/>
    <w:rsid w:val="0044261C"/>
    <w:rsid w:val="004427EC"/>
    <w:rsid w:val="0044284D"/>
    <w:rsid w:val="00442DF6"/>
    <w:rsid w:val="00443867"/>
    <w:rsid w:val="00443B59"/>
    <w:rsid w:val="0044405A"/>
    <w:rsid w:val="004449B6"/>
    <w:rsid w:val="00444D22"/>
    <w:rsid w:val="00444DF3"/>
    <w:rsid w:val="00445041"/>
    <w:rsid w:val="00445139"/>
    <w:rsid w:val="00445537"/>
    <w:rsid w:val="004457B7"/>
    <w:rsid w:val="0044593B"/>
    <w:rsid w:val="00445F6F"/>
    <w:rsid w:val="00446809"/>
    <w:rsid w:val="00446D5E"/>
    <w:rsid w:val="00446F5B"/>
    <w:rsid w:val="0044759E"/>
    <w:rsid w:val="0044761E"/>
    <w:rsid w:val="00447B2B"/>
    <w:rsid w:val="0045026B"/>
    <w:rsid w:val="0045030E"/>
    <w:rsid w:val="00451501"/>
    <w:rsid w:val="00451737"/>
    <w:rsid w:val="00451774"/>
    <w:rsid w:val="004520B9"/>
    <w:rsid w:val="004525E6"/>
    <w:rsid w:val="004526F8"/>
    <w:rsid w:val="0045274A"/>
    <w:rsid w:val="004531F1"/>
    <w:rsid w:val="0045379E"/>
    <w:rsid w:val="00453E30"/>
    <w:rsid w:val="004540FB"/>
    <w:rsid w:val="0045434D"/>
    <w:rsid w:val="004547F2"/>
    <w:rsid w:val="00454F72"/>
    <w:rsid w:val="004563B2"/>
    <w:rsid w:val="004574E3"/>
    <w:rsid w:val="004575DA"/>
    <w:rsid w:val="004606AE"/>
    <w:rsid w:val="0046077A"/>
    <w:rsid w:val="0046156C"/>
    <w:rsid w:val="004619DE"/>
    <w:rsid w:val="00462084"/>
    <w:rsid w:val="00462223"/>
    <w:rsid w:val="00462561"/>
    <w:rsid w:val="004629C8"/>
    <w:rsid w:val="00462F52"/>
    <w:rsid w:val="004632EC"/>
    <w:rsid w:val="004634BF"/>
    <w:rsid w:val="00463523"/>
    <w:rsid w:val="004639F3"/>
    <w:rsid w:val="00463B5C"/>
    <w:rsid w:val="00464526"/>
    <w:rsid w:val="00464AD8"/>
    <w:rsid w:val="004652F8"/>
    <w:rsid w:val="00465A23"/>
    <w:rsid w:val="00465D61"/>
    <w:rsid w:val="00466078"/>
    <w:rsid w:val="00466125"/>
    <w:rsid w:val="00467FD8"/>
    <w:rsid w:val="00470568"/>
    <w:rsid w:val="00470665"/>
    <w:rsid w:val="004707CC"/>
    <w:rsid w:val="00470B5F"/>
    <w:rsid w:val="00470E18"/>
    <w:rsid w:val="00470FD1"/>
    <w:rsid w:val="00471FF0"/>
    <w:rsid w:val="004721A7"/>
    <w:rsid w:val="00472AE5"/>
    <w:rsid w:val="00472E91"/>
    <w:rsid w:val="0047302B"/>
    <w:rsid w:val="00473A38"/>
    <w:rsid w:val="0047401D"/>
    <w:rsid w:val="00474547"/>
    <w:rsid w:val="00474F9F"/>
    <w:rsid w:val="00475842"/>
    <w:rsid w:val="00475C96"/>
    <w:rsid w:val="00475D00"/>
    <w:rsid w:val="00476BD5"/>
    <w:rsid w:val="00476F22"/>
    <w:rsid w:val="004770C8"/>
    <w:rsid w:val="00477E19"/>
    <w:rsid w:val="004802A4"/>
    <w:rsid w:val="00480325"/>
    <w:rsid w:val="0048037F"/>
    <w:rsid w:val="00480A2A"/>
    <w:rsid w:val="00480D84"/>
    <w:rsid w:val="004816C1"/>
    <w:rsid w:val="00481F1B"/>
    <w:rsid w:val="00481F84"/>
    <w:rsid w:val="00482849"/>
    <w:rsid w:val="0048291A"/>
    <w:rsid w:val="00482B51"/>
    <w:rsid w:val="00482FC9"/>
    <w:rsid w:val="004831B7"/>
    <w:rsid w:val="0048373C"/>
    <w:rsid w:val="00483A08"/>
    <w:rsid w:val="00483AB9"/>
    <w:rsid w:val="00483EB4"/>
    <w:rsid w:val="004859C3"/>
    <w:rsid w:val="00485AAC"/>
    <w:rsid w:val="00485B79"/>
    <w:rsid w:val="00485CC2"/>
    <w:rsid w:val="00485ED2"/>
    <w:rsid w:val="004860D6"/>
    <w:rsid w:val="004861CB"/>
    <w:rsid w:val="00486345"/>
    <w:rsid w:val="0048668A"/>
    <w:rsid w:val="00486703"/>
    <w:rsid w:val="00486D78"/>
    <w:rsid w:val="00486F11"/>
    <w:rsid w:val="0048755E"/>
    <w:rsid w:val="00490150"/>
    <w:rsid w:val="004906DF"/>
    <w:rsid w:val="00490743"/>
    <w:rsid w:val="00490D10"/>
    <w:rsid w:val="00490F58"/>
    <w:rsid w:val="00491AD7"/>
    <w:rsid w:val="00491DE7"/>
    <w:rsid w:val="0049269F"/>
    <w:rsid w:val="00493331"/>
    <w:rsid w:val="0049340F"/>
    <w:rsid w:val="00493709"/>
    <w:rsid w:val="00494D3F"/>
    <w:rsid w:val="00495030"/>
    <w:rsid w:val="00495133"/>
    <w:rsid w:val="0049617C"/>
    <w:rsid w:val="00496385"/>
    <w:rsid w:val="0049656B"/>
    <w:rsid w:val="00497229"/>
    <w:rsid w:val="00497364"/>
    <w:rsid w:val="00497C23"/>
    <w:rsid w:val="00497FFB"/>
    <w:rsid w:val="004A0508"/>
    <w:rsid w:val="004A0565"/>
    <w:rsid w:val="004A05B7"/>
    <w:rsid w:val="004A0858"/>
    <w:rsid w:val="004A0DAC"/>
    <w:rsid w:val="004A0FA9"/>
    <w:rsid w:val="004A1253"/>
    <w:rsid w:val="004A12C2"/>
    <w:rsid w:val="004A143F"/>
    <w:rsid w:val="004A16F1"/>
    <w:rsid w:val="004A1A2C"/>
    <w:rsid w:val="004A20EC"/>
    <w:rsid w:val="004A3605"/>
    <w:rsid w:val="004A3657"/>
    <w:rsid w:val="004A3C77"/>
    <w:rsid w:val="004A3EB6"/>
    <w:rsid w:val="004A404D"/>
    <w:rsid w:val="004A4442"/>
    <w:rsid w:val="004A4873"/>
    <w:rsid w:val="004A4BC8"/>
    <w:rsid w:val="004A4F88"/>
    <w:rsid w:val="004A52E0"/>
    <w:rsid w:val="004A6ED6"/>
    <w:rsid w:val="004A6F04"/>
    <w:rsid w:val="004A74DF"/>
    <w:rsid w:val="004A7502"/>
    <w:rsid w:val="004A7658"/>
    <w:rsid w:val="004A770E"/>
    <w:rsid w:val="004A7E59"/>
    <w:rsid w:val="004A7F0F"/>
    <w:rsid w:val="004B0509"/>
    <w:rsid w:val="004B0DED"/>
    <w:rsid w:val="004B0F77"/>
    <w:rsid w:val="004B1396"/>
    <w:rsid w:val="004B1DA4"/>
    <w:rsid w:val="004B2B70"/>
    <w:rsid w:val="004B2C24"/>
    <w:rsid w:val="004B34F1"/>
    <w:rsid w:val="004B37EC"/>
    <w:rsid w:val="004B42EC"/>
    <w:rsid w:val="004B46F3"/>
    <w:rsid w:val="004B4C79"/>
    <w:rsid w:val="004B51D8"/>
    <w:rsid w:val="004B6376"/>
    <w:rsid w:val="004B6821"/>
    <w:rsid w:val="004B68BB"/>
    <w:rsid w:val="004B69F5"/>
    <w:rsid w:val="004B7307"/>
    <w:rsid w:val="004B74EB"/>
    <w:rsid w:val="004C01D1"/>
    <w:rsid w:val="004C027E"/>
    <w:rsid w:val="004C09F2"/>
    <w:rsid w:val="004C0DB3"/>
    <w:rsid w:val="004C10EA"/>
    <w:rsid w:val="004C169B"/>
    <w:rsid w:val="004C1CD9"/>
    <w:rsid w:val="004C2475"/>
    <w:rsid w:val="004C3228"/>
    <w:rsid w:val="004C3802"/>
    <w:rsid w:val="004C3979"/>
    <w:rsid w:val="004C3E3E"/>
    <w:rsid w:val="004C472B"/>
    <w:rsid w:val="004C4AAC"/>
    <w:rsid w:val="004C4C26"/>
    <w:rsid w:val="004C511B"/>
    <w:rsid w:val="004C5535"/>
    <w:rsid w:val="004C57B6"/>
    <w:rsid w:val="004C5962"/>
    <w:rsid w:val="004C59BD"/>
    <w:rsid w:val="004C61FF"/>
    <w:rsid w:val="004C701F"/>
    <w:rsid w:val="004D0457"/>
    <w:rsid w:val="004D08B9"/>
    <w:rsid w:val="004D0D35"/>
    <w:rsid w:val="004D170F"/>
    <w:rsid w:val="004D1784"/>
    <w:rsid w:val="004D17C4"/>
    <w:rsid w:val="004D1A48"/>
    <w:rsid w:val="004D1D15"/>
    <w:rsid w:val="004D1E77"/>
    <w:rsid w:val="004D2022"/>
    <w:rsid w:val="004D25CD"/>
    <w:rsid w:val="004D27F0"/>
    <w:rsid w:val="004D3398"/>
    <w:rsid w:val="004D342A"/>
    <w:rsid w:val="004D349C"/>
    <w:rsid w:val="004D39EC"/>
    <w:rsid w:val="004D3A9A"/>
    <w:rsid w:val="004D4439"/>
    <w:rsid w:val="004D47AD"/>
    <w:rsid w:val="004D4A4F"/>
    <w:rsid w:val="004D4BBA"/>
    <w:rsid w:val="004D4EE8"/>
    <w:rsid w:val="004D5A3C"/>
    <w:rsid w:val="004D6A12"/>
    <w:rsid w:val="004D6B64"/>
    <w:rsid w:val="004D732D"/>
    <w:rsid w:val="004D76C1"/>
    <w:rsid w:val="004E0241"/>
    <w:rsid w:val="004E0897"/>
    <w:rsid w:val="004E0C3B"/>
    <w:rsid w:val="004E2FF9"/>
    <w:rsid w:val="004E30AD"/>
    <w:rsid w:val="004E3AD5"/>
    <w:rsid w:val="004E4984"/>
    <w:rsid w:val="004E4D84"/>
    <w:rsid w:val="004E4ED9"/>
    <w:rsid w:val="004E5359"/>
    <w:rsid w:val="004E5A79"/>
    <w:rsid w:val="004E5CFC"/>
    <w:rsid w:val="004E5F5B"/>
    <w:rsid w:val="004E63A3"/>
    <w:rsid w:val="004E69E5"/>
    <w:rsid w:val="004E6AE4"/>
    <w:rsid w:val="004E6BC0"/>
    <w:rsid w:val="004E7794"/>
    <w:rsid w:val="004E7952"/>
    <w:rsid w:val="004E7D62"/>
    <w:rsid w:val="004F0256"/>
    <w:rsid w:val="004F04D0"/>
    <w:rsid w:val="004F0847"/>
    <w:rsid w:val="004F172F"/>
    <w:rsid w:val="004F1942"/>
    <w:rsid w:val="004F239A"/>
    <w:rsid w:val="004F2B5F"/>
    <w:rsid w:val="004F2B71"/>
    <w:rsid w:val="004F38B3"/>
    <w:rsid w:val="004F3941"/>
    <w:rsid w:val="004F4BBC"/>
    <w:rsid w:val="004F4E54"/>
    <w:rsid w:val="004F5A12"/>
    <w:rsid w:val="004F6424"/>
    <w:rsid w:val="004F650F"/>
    <w:rsid w:val="004F66C2"/>
    <w:rsid w:val="004F68B7"/>
    <w:rsid w:val="004F6C31"/>
    <w:rsid w:val="004F71DD"/>
    <w:rsid w:val="004F7536"/>
    <w:rsid w:val="004F7771"/>
    <w:rsid w:val="00500343"/>
    <w:rsid w:val="00500417"/>
    <w:rsid w:val="0050049F"/>
    <w:rsid w:val="00500AE1"/>
    <w:rsid w:val="00501658"/>
    <w:rsid w:val="005016AD"/>
    <w:rsid w:val="00501D04"/>
    <w:rsid w:val="00502567"/>
    <w:rsid w:val="00502597"/>
    <w:rsid w:val="005032DA"/>
    <w:rsid w:val="00503400"/>
    <w:rsid w:val="0050369B"/>
    <w:rsid w:val="00503995"/>
    <w:rsid w:val="00503A3F"/>
    <w:rsid w:val="00503BF2"/>
    <w:rsid w:val="0050468D"/>
    <w:rsid w:val="00504858"/>
    <w:rsid w:val="0050489D"/>
    <w:rsid w:val="00504C4C"/>
    <w:rsid w:val="0050563B"/>
    <w:rsid w:val="005057E7"/>
    <w:rsid w:val="00505A26"/>
    <w:rsid w:val="005061E9"/>
    <w:rsid w:val="00506AB4"/>
    <w:rsid w:val="00506C39"/>
    <w:rsid w:val="00506E6B"/>
    <w:rsid w:val="005073F2"/>
    <w:rsid w:val="00511F85"/>
    <w:rsid w:val="00512035"/>
    <w:rsid w:val="0051249A"/>
    <w:rsid w:val="00512DA6"/>
    <w:rsid w:val="00512E80"/>
    <w:rsid w:val="00512EC3"/>
    <w:rsid w:val="00513B17"/>
    <w:rsid w:val="00513D20"/>
    <w:rsid w:val="00514B38"/>
    <w:rsid w:val="005151E4"/>
    <w:rsid w:val="00515267"/>
    <w:rsid w:val="005157C3"/>
    <w:rsid w:val="00515883"/>
    <w:rsid w:val="005158B7"/>
    <w:rsid w:val="00515994"/>
    <w:rsid w:val="0051629D"/>
    <w:rsid w:val="005167B4"/>
    <w:rsid w:val="00516A29"/>
    <w:rsid w:val="00517D11"/>
    <w:rsid w:val="0052007B"/>
    <w:rsid w:val="00520622"/>
    <w:rsid w:val="00520904"/>
    <w:rsid w:val="005209FE"/>
    <w:rsid w:val="00520EF1"/>
    <w:rsid w:val="00520F35"/>
    <w:rsid w:val="0052131A"/>
    <w:rsid w:val="00521476"/>
    <w:rsid w:val="00521900"/>
    <w:rsid w:val="005220E2"/>
    <w:rsid w:val="00522457"/>
    <w:rsid w:val="00523CE4"/>
    <w:rsid w:val="00523DA3"/>
    <w:rsid w:val="00523E8A"/>
    <w:rsid w:val="00523F44"/>
    <w:rsid w:val="005247E5"/>
    <w:rsid w:val="00524D0A"/>
    <w:rsid w:val="00524DD9"/>
    <w:rsid w:val="00524E2D"/>
    <w:rsid w:val="005251B2"/>
    <w:rsid w:val="0052541E"/>
    <w:rsid w:val="0052567F"/>
    <w:rsid w:val="005258A1"/>
    <w:rsid w:val="00525B88"/>
    <w:rsid w:val="00525C85"/>
    <w:rsid w:val="00525CB4"/>
    <w:rsid w:val="005264D8"/>
    <w:rsid w:val="00526FBD"/>
    <w:rsid w:val="005274D8"/>
    <w:rsid w:val="0052791D"/>
    <w:rsid w:val="00530087"/>
    <w:rsid w:val="0053019E"/>
    <w:rsid w:val="00530286"/>
    <w:rsid w:val="005303B0"/>
    <w:rsid w:val="0053050A"/>
    <w:rsid w:val="00530EE3"/>
    <w:rsid w:val="00531984"/>
    <w:rsid w:val="00531FD8"/>
    <w:rsid w:val="005328F3"/>
    <w:rsid w:val="00532BF0"/>
    <w:rsid w:val="00533035"/>
    <w:rsid w:val="0053342C"/>
    <w:rsid w:val="00533B4D"/>
    <w:rsid w:val="00534316"/>
    <w:rsid w:val="005343D4"/>
    <w:rsid w:val="00534AD1"/>
    <w:rsid w:val="00534CF2"/>
    <w:rsid w:val="005350B3"/>
    <w:rsid w:val="005352BB"/>
    <w:rsid w:val="00536375"/>
    <w:rsid w:val="00536B40"/>
    <w:rsid w:val="00536DE9"/>
    <w:rsid w:val="005375E6"/>
    <w:rsid w:val="005379DE"/>
    <w:rsid w:val="00537B4A"/>
    <w:rsid w:val="00540513"/>
    <w:rsid w:val="005413F2"/>
    <w:rsid w:val="00541904"/>
    <w:rsid w:val="00541938"/>
    <w:rsid w:val="00542081"/>
    <w:rsid w:val="005426D1"/>
    <w:rsid w:val="0054293C"/>
    <w:rsid w:val="00542C1A"/>
    <w:rsid w:val="00543ACE"/>
    <w:rsid w:val="00544296"/>
    <w:rsid w:val="005446A8"/>
    <w:rsid w:val="00544A56"/>
    <w:rsid w:val="00544F01"/>
    <w:rsid w:val="00544F8A"/>
    <w:rsid w:val="00544FD7"/>
    <w:rsid w:val="00545422"/>
    <w:rsid w:val="00545438"/>
    <w:rsid w:val="00545648"/>
    <w:rsid w:val="005457B5"/>
    <w:rsid w:val="0054598B"/>
    <w:rsid w:val="00545D42"/>
    <w:rsid w:val="0054673C"/>
    <w:rsid w:val="0054712C"/>
    <w:rsid w:val="00547773"/>
    <w:rsid w:val="005477D3"/>
    <w:rsid w:val="00547D04"/>
    <w:rsid w:val="00547F1E"/>
    <w:rsid w:val="0055000C"/>
    <w:rsid w:val="0055022E"/>
    <w:rsid w:val="00550271"/>
    <w:rsid w:val="00550479"/>
    <w:rsid w:val="00550910"/>
    <w:rsid w:val="00550D8A"/>
    <w:rsid w:val="0055117C"/>
    <w:rsid w:val="00551437"/>
    <w:rsid w:val="00552CE7"/>
    <w:rsid w:val="00553C04"/>
    <w:rsid w:val="00553C34"/>
    <w:rsid w:val="0055602B"/>
    <w:rsid w:val="0055621A"/>
    <w:rsid w:val="005562CF"/>
    <w:rsid w:val="005569C6"/>
    <w:rsid w:val="00556D28"/>
    <w:rsid w:val="00556D53"/>
    <w:rsid w:val="005570F6"/>
    <w:rsid w:val="005574A5"/>
    <w:rsid w:val="00557EEE"/>
    <w:rsid w:val="005601CE"/>
    <w:rsid w:val="00560F70"/>
    <w:rsid w:val="00561AF2"/>
    <w:rsid w:val="00561B9B"/>
    <w:rsid w:val="005623C7"/>
    <w:rsid w:val="0056251A"/>
    <w:rsid w:val="00562B82"/>
    <w:rsid w:val="005632FF"/>
    <w:rsid w:val="005633D2"/>
    <w:rsid w:val="005635D0"/>
    <w:rsid w:val="00563F22"/>
    <w:rsid w:val="00564856"/>
    <w:rsid w:val="00564D6F"/>
    <w:rsid w:val="0056541F"/>
    <w:rsid w:val="0056542E"/>
    <w:rsid w:val="005655BA"/>
    <w:rsid w:val="00565A90"/>
    <w:rsid w:val="00566110"/>
    <w:rsid w:val="005663D6"/>
    <w:rsid w:val="005669C4"/>
    <w:rsid w:val="00566B91"/>
    <w:rsid w:val="00566E19"/>
    <w:rsid w:val="00567578"/>
    <w:rsid w:val="00567806"/>
    <w:rsid w:val="0056781F"/>
    <w:rsid w:val="00567D86"/>
    <w:rsid w:val="0057015D"/>
    <w:rsid w:val="00570340"/>
    <w:rsid w:val="00570C25"/>
    <w:rsid w:val="0057119A"/>
    <w:rsid w:val="005719E7"/>
    <w:rsid w:val="0057217A"/>
    <w:rsid w:val="0057233C"/>
    <w:rsid w:val="00572B3E"/>
    <w:rsid w:val="00572DED"/>
    <w:rsid w:val="00572FAE"/>
    <w:rsid w:val="005732B8"/>
    <w:rsid w:val="00573AAE"/>
    <w:rsid w:val="00573FF2"/>
    <w:rsid w:val="0057473F"/>
    <w:rsid w:val="005749FC"/>
    <w:rsid w:val="00574A40"/>
    <w:rsid w:val="00574E62"/>
    <w:rsid w:val="00575064"/>
    <w:rsid w:val="005765F7"/>
    <w:rsid w:val="00576AE4"/>
    <w:rsid w:val="00576C51"/>
    <w:rsid w:val="00576E98"/>
    <w:rsid w:val="00577511"/>
    <w:rsid w:val="00577D4F"/>
    <w:rsid w:val="005803A9"/>
    <w:rsid w:val="0058055C"/>
    <w:rsid w:val="00580638"/>
    <w:rsid w:val="00580984"/>
    <w:rsid w:val="00581696"/>
    <w:rsid w:val="00581F1F"/>
    <w:rsid w:val="00582E15"/>
    <w:rsid w:val="0058306F"/>
    <w:rsid w:val="0058315B"/>
    <w:rsid w:val="005831DE"/>
    <w:rsid w:val="005832AD"/>
    <w:rsid w:val="005836D8"/>
    <w:rsid w:val="005840B3"/>
    <w:rsid w:val="0058417B"/>
    <w:rsid w:val="00584711"/>
    <w:rsid w:val="005848EF"/>
    <w:rsid w:val="00584D71"/>
    <w:rsid w:val="00584FEB"/>
    <w:rsid w:val="0058510A"/>
    <w:rsid w:val="00585415"/>
    <w:rsid w:val="00585781"/>
    <w:rsid w:val="00585EC5"/>
    <w:rsid w:val="00585F49"/>
    <w:rsid w:val="00586901"/>
    <w:rsid w:val="005874C4"/>
    <w:rsid w:val="0058796B"/>
    <w:rsid w:val="00587E4D"/>
    <w:rsid w:val="0059011B"/>
    <w:rsid w:val="00590341"/>
    <w:rsid w:val="005904D7"/>
    <w:rsid w:val="00594F7F"/>
    <w:rsid w:val="005954BD"/>
    <w:rsid w:val="00595CCE"/>
    <w:rsid w:val="00596708"/>
    <w:rsid w:val="005967FB"/>
    <w:rsid w:val="0059725B"/>
    <w:rsid w:val="005972D9"/>
    <w:rsid w:val="00597687"/>
    <w:rsid w:val="00597B3F"/>
    <w:rsid w:val="005A0375"/>
    <w:rsid w:val="005A0420"/>
    <w:rsid w:val="005A09A3"/>
    <w:rsid w:val="005A1452"/>
    <w:rsid w:val="005A29F0"/>
    <w:rsid w:val="005A3145"/>
    <w:rsid w:val="005A3BAD"/>
    <w:rsid w:val="005A46A7"/>
    <w:rsid w:val="005A4B33"/>
    <w:rsid w:val="005A4C54"/>
    <w:rsid w:val="005A4C76"/>
    <w:rsid w:val="005A5062"/>
    <w:rsid w:val="005A5432"/>
    <w:rsid w:val="005A54B7"/>
    <w:rsid w:val="005A6381"/>
    <w:rsid w:val="005A65BE"/>
    <w:rsid w:val="005A68E3"/>
    <w:rsid w:val="005A6A09"/>
    <w:rsid w:val="005A6A94"/>
    <w:rsid w:val="005A74C6"/>
    <w:rsid w:val="005A7893"/>
    <w:rsid w:val="005A7C26"/>
    <w:rsid w:val="005B04A6"/>
    <w:rsid w:val="005B0CDA"/>
    <w:rsid w:val="005B0DF8"/>
    <w:rsid w:val="005B17C0"/>
    <w:rsid w:val="005B243C"/>
    <w:rsid w:val="005B3198"/>
    <w:rsid w:val="005B3E58"/>
    <w:rsid w:val="005B4222"/>
    <w:rsid w:val="005B492B"/>
    <w:rsid w:val="005B4989"/>
    <w:rsid w:val="005B56AB"/>
    <w:rsid w:val="005B5DB0"/>
    <w:rsid w:val="005B5EDB"/>
    <w:rsid w:val="005B6008"/>
    <w:rsid w:val="005B659F"/>
    <w:rsid w:val="005B68FD"/>
    <w:rsid w:val="005B72DB"/>
    <w:rsid w:val="005B74B3"/>
    <w:rsid w:val="005B7B4C"/>
    <w:rsid w:val="005B7F8F"/>
    <w:rsid w:val="005C05DC"/>
    <w:rsid w:val="005C1492"/>
    <w:rsid w:val="005C1606"/>
    <w:rsid w:val="005C1679"/>
    <w:rsid w:val="005C17EA"/>
    <w:rsid w:val="005C221D"/>
    <w:rsid w:val="005C2860"/>
    <w:rsid w:val="005C2A6A"/>
    <w:rsid w:val="005C2C7F"/>
    <w:rsid w:val="005C32AC"/>
    <w:rsid w:val="005C334F"/>
    <w:rsid w:val="005C3F19"/>
    <w:rsid w:val="005C4342"/>
    <w:rsid w:val="005C48E7"/>
    <w:rsid w:val="005C4C56"/>
    <w:rsid w:val="005C50EF"/>
    <w:rsid w:val="005C5355"/>
    <w:rsid w:val="005C58E4"/>
    <w:rsid w:val="005C6D3A"/>
    <w:rsid w:val="005C7605"/>
    <w:rsid w:val="005C78BD"/>
    <w:rsid w:val="005C7E2A"/>
    <w:rsid w:val="005D05E2"/>
    <w:rsid w:val="005D0CFE"/>
    <w:rsid w:val="005D10AB"/>
    <w:rsid w:val="005D1E86"/>
    <w:rsid w:val="005D24C5"/>
    <w:rsid w:val="005D2841"/>
    <w:rsid w:val="005D29E9"/>
    <w:rsid w:val="005D2D31"/>
    <w:rsid w:val="005D3C28"/>
    <w:rsid w:val="005D3C39"/>
    <w:rsid w:val="005D4148"/>
    <w:rsid w:val="005D4AF3"/>
    <w:rsid w:val="005D4C2C"/>
    <w:rsid w:val="005D5762"/>
    <w:rsid w:val="005D59F2"/>
    <w:rsid w:val="005D5C06"/>
    <w:rsid w:val="005D5C0F"/>
    <w:rsid w:val="005D5D01"/>
    <w:rsid w:val="005D6001"/>
    <w:rsid w:val="005D6009"/>
    <w:rsid w:val="005D60FE"/>
    <w:rsid w:val="005D633F"/>
    <w:rsid w:val="005D645B"/>
    <w:rsid w:val="005D68BA"/>
    <w:rsid w:val="005D68E9"/>
    <w:rsid w:val="005D6E3C"/>
    <w:rsid w:val="005D7F2F"/>
    <w:rsid w:val="005E1643"/>
    <w:rsid w:val="005E1836"/>
    <w:rsid w:val="005E18A1"/>
    <w:rsid w:val="005E1D55"/>
    <w:rsid w:val="005E2623"/>
    <w:rsid w:val="005E328A"/>
    <w:rsid w:val="005E373A"/>
    <w:rsid w:val="005E398E"/>
    <w:rsid w:val="005E4340"/>
    <w:rsid w:val="005E4750"/>
    <w:rsid w:val="005E48DF"/>
    <w:rsid w:val="005E49C8"/>
    <w:rsid w:val="005E4AF4"/>
    <w:rsid w:val="005E527B"/>
    <w:rsid w:val="005E57F2"/>
    <w:rsid w:val="005E60EA"/>
    <w:rsid w:val="005E61CE"/>
    <w:rsid w:val="005E6251"/>
    <w:rsid w:val="005E66B5"/>
    <w:rsid w:val="005E6E20"/>
    <w:rsid w:val="005E7162"/>
    <w:rsid w:val="005E7635"/>
    <w:rsid w:val="005E7777"/>
    <w:rsid w:val="005E78A1"/>
    <w:rsid w:val="005F0196"/>
    <w:rsid w:val="005F07D6"/>
    <w:rsid w:val="005F0869"/>
    <w:rsid w:val="005F09E8"/>
    <w:rsid w:val="005F0BB9"/>
    <w:rsid w:val="005F1192"/>
    <w:rsid w:val="005F21AE"/>
    <w:rsid w:val="005F2A4A"/>
    <w:rsid w:val="005F2A64"/>
    <w:rsid w:val="005F2D90"/>
    <w:rsid w:val="005F3E36"/>
    <w:rsid w:val="005F417C"/>
    <w:rsid w:val="005F4C2C"/>
    <w:rsid w:val="005F537F"/>
    <w:rsid w:val="005F5552"/>
    <w:rsid w:val="005F5C37"/>
    <w:rsid w:val="005F5EE2"/>
    <w:rsid w:val="005F62A9"/>
    <w:rsid w:val="005F744C"/>
    <w:rsid w:val="005F749D"/>
    <w:rsid w:val="006001C4"/>
    <w:rsid w:val="00600CC9"/>
    <w:rsid w:val="00601632"/>
    <w:rsid w:val="006018CE"/>
    <w:rsid w:val="006019CB"/>
    <w:rsid w:val="00601E02"/>
    <w:rsid w:val="006026DF"/>
    <w:rsid w:val="00602DA9"/>
    <w:rsid w:val="00603A35"/>
    <w:rsid w:val="00603C59"/>
    <w:rsid w:val="00604750"/>
    <w:rsid w:val="00604CA7"/>
    <w:rsid w:val="0060565A"/>
    <w:rsid w:val="00605C41"/>
    <w:rsid w:val="00605C53"/>
    <w:rsid w:val="0060674E"/>
    <w:rsid w:val="00606B01"/>
    <w:rsid w:val="00606FB1"/>
    <w:rsid w:val="006073C4"/>
    <w:rsid w:val="00607525"/>
    <w:rsid w:val="00607DD4"/>
    <w:rsid w:val="00610967"/>
    <w:rsid w:val="00610C4B"/>
    <w:rsid w:val="00610FD8"/>
    <w:rsid w:val="0061104A"/>
    <w:rsid w:val="00611243"/>
    <w:rsid w:val="006112DE"/>
    <w:rsid w:val="00611D43"/>
    <w:rsid w:val="006124B0"/>
    <w:rsid w:val="00612B7C"/>
    <w:rsid w:val="00613001"/>
    <w:rsid w:val="006130B9"/>
    <w:rsid w:val="00613692"/>
    <w:rsid w:val="0061392E"/>
    <w:rsid w:val="00613C9F"/>
    <w:rsid w:val="00613D1C"/>
    <w:rsid w:val="00613EB1"/>
    <w:rsid w:val="006148CE"/>
    <w:rsid w:val="00614B84"/>
    <w:rsid w:val="0061517E"/>
    <w:rsid w:val="006151F7"/>
    <w:rsid w:val="006155D1"/>
    <w:rsid w:val="0061589A"/>
    <w:rsid w:val="00615F05"/>
    <w:rsid w:val="00616338"/>
    <w:rsid w:val="006174E6"/>
    <w:rsid w:val="00617EAF"/>
    <w:rsid w:val="006202CF"/>
    <w:rsid w:val="006205E2"/>
    <w:rsid w:val="00621D3D"/>
    <w:rsid w:val="0062263F"/>
    <w:rsid w:val="0062302C"/>
    <w:rsid w:val="006238F4"/>
    <w:rsid w:val="00623C97"/>
    <w:rsid w:val="00623CC1"/>
    <w:rsid w:val="0062437A"/>
    <w:rsid w:val="00624DFD"/>
    <w:rsid w:val="0062570F"/>
    <w:rsid w:val="00625D67"/>
    <w:rsid w:val="00625DC5"/>
    <w:rsid w:val="00625E83"/>
    <w:rsid w:val="00625E8C"/>
    <w:rsid w:val="006261DB"/>
    <w:rsid w:val="006263FD"/>
    <w:rsid w:val="006264DF"/>
    <w:rsid w:val="006267DF"/>
    <w:rsid w:val="00626865"/>
    <w:rsid w:val="00626B9E"/>
    <w:rsid w:val="00626C9D"/>
    <w:rsid w:val="006271E0"/>
    <w:rsid w:val="00627675"/>
    <w:rsid w:val="00627827"/>
    <w:rsid w:val="00627CB7"/>
    <w:rsid w:val="00630557"/>
    <w:rsid w:val="00630830"/>
    <w:rsid w:val="00630993"/>
    <w:rsid w:val="00630E3D"/>
    <w:rsid w:val="0063156D"/>
    <w:rsid w:val="00631F1A"/>
    <w:rsid w:val="0063274C"/>
    <w:rsid w:val="00632B1D"/>
    <w:rsid w:val="00632BF7"/>
    <w:rsid w:val="00632F7C"/>
    <w:rsid w:val="00632FBC"/>
    <w:rsid w:val="00633CEF"/>
    <w:rsid w:val="00634543"/>
    <w:rsid w:val="006347D5"/>
    <w:rsid w:val="00634AB9"/>
    <w:rsid w:val="0063529B"/>
    <w:rsid w:val="006358C0"/>
    <w:rsid w:val="00635B56"/>
    <w:rsid w:val="00635DD7"/>
    <w:rsid w:val="00636288"/>
    <w:rsid w:val="006363C1"/>
    <w:rsid w:val="006366C1"/>
    <w:rsid w:val="006369A9"/>
    <w:rsid w:val="00636D21"/>
    <w:rsid w:val="00636EE0"/>
    <w:rsid w:val="00636F91"/>
    <w:rsid w:val="00637286"/>
    <w:rsid w:val="0063736D"/>
    <w:rsid w:val="00637619"/>
    <w:rsid w:val="00637DC3"/>
    <w:rsid w:val="00640298"/>
    <w:rsid w:val="00640ACD"/>
    <w:rsid w:val="00640B83"/>
    <w:rsid w:val="00641B14"/>
    <w:rsid w:val="00641C5F"/>
    <w:rsid w:val="00641E68"/>
    <w:rsid w:val="0064216B"/>
    <w:rsid w:val="00642503"/>
    <w:rsid w:val="0064270F"/>
    <w:rsid w:val="00643610"/>
    <w:rsid w:val="00643635"/>
    <w:rsid w:val="0064377E"/>
    <w:rsid w:val="0064399D"/>
    <w:rsid w:val="00643BB6"/>
    <w:rsid w:val="00643BD2"/>
    <w:rsid w:val="00643FAC"/>
    <w:rsid w:val="00644457"/>
    <w:rsid w:val="00644AA6"/>
    <w:rsid w:val="00645358"/>
    <w:rsid w:val="00645501"/>
    <w:rsid w:val="00646079"/>
    <w:rsid w:val="006460F1"/>
    <w:rsid w:val="0064723C"/>
    <w:rsid w:val="0064744B"/>
    <w:rsid w:val="006501FF"/>
    <w:rsid w:val="00651175"/>
    <w:rsid w:val="0065142F"/>
    <w:rsid w:val="00651445"/>
    <w:rsid w:val="0065182B"/>
    <w:rsid w:val="00651861"/>
    <w:rsid w:val="00651F83"/>
    <w:rsid w:val="00653159"/>
    <w:rsid w:val="00653682"/>
    <w:rsid w:val="00653DC2"/>
    <w:rsid w:val="006544E3"/>
    <w:rsid w:val="006545CF"/>
    <w:rsid w:val="006546BB"/>
    <w:rsid w:val="00654BC5"/>
    <w:rsid w:val="00654F15"/>
    <w:rsid w:val="00655043"/>
    <w:rsid w:val="006552F7"/>
    <w:rsid w:val="006557A3"/>
    <w:rsid w:val="006558AD"/>
    <w:rsid w:val="006559DA"/>
    <w:rsid w:val="00655B76"/>
    <w:rsid w:val="00655F71"/>
    <w:rsid w:val="006560FA"/>
    <w:rsid w:val="0065650D"/>
    <w:rsid w:val="006565C3"/>
    <w:rsid w:val="00656730"/>
    <w:rsid w:val="00656868"/>
    <w:rsid w:val="00657607"/>
    <w:rsid w:val="00660234"/>
    <w:rsid w:val="00660296"/>
    <w:rsid w:val="0066097A"/>
    <w:rsid w:val="00660C74"/>
    <w:rsid w:val="00660CB9"/>
    <w:rsid w:val="00660E81"/>
    <w:rsid w:val="00660FAC"/>
    <w:rsid w:val="0066132C"/>
    <w:rsid w:val="00661651"/>
    <w:rsid w:val="006618F4"/>
    <w:rsid w:val="00662395"/>
    <w:rsid w:val="00662D93"/>
    <w:rsid w:val="00663971"/>
    <w:rsid w:val="00663DA4"/>
    <w:rsid w:val="00663E07"/>
    <w:rsid w:val="00663EC3"/>
    <w:rsid w:val="006640A9"/>
    <w:rsid w:val="0066464D"/>
    <w:rsid w:val="00665083"/>
    <w:rsid w:val="006657A6"/>
    <w:rsid w:val="00666492"/>
    <w:rsid w:val="00666E83"/>
    <w:rsid w:val="00666E88"/>
    <w:rsid w:val="00666E93"/>
    <w:rsid w:val="00667297"/>
    <w:rsid w:val="00667881"/>
    <w:rsid w:val="00667FF7"/>
    <w:rsid w:val="00670109"/>
    <w:rsid w:val="006709AC"/>
    <w:rsid w:val="00670A0B"/>
    <w:rsid w:val="0067117E"/>
    <w:rsid w:val="0067132B"/>
    <w:rsid w:val="006717C5"/>
    <w:rsid w:val="00671A36"/>
    <w:rsid w:val="00672426"/>
    <w:rsid w:val="00672EC0"/>
    <w:rsid w:val="00673770"/>
    <w:rsid w:val="0067378F"/>
    <w:rsid w:val="0067389D"/>
    <w:rsid w:val="00673A69"/>
    <w:rsid w:val="00673B2D"/>
    <w:rsid w:val="00674FC6"/>
    <w:rsid w:val="006754DD"/>
    <w:rsid w:val="00675784"/>
    <w:rsid w:val="00675C24"/>
    <w:rsid w:val="00675DF8"/>
    <w:rsid w:val="00675FD2"/>
    <w:rsid w:val="0067656C"/>
    <w:rsid w:val="00677417"/>
    <w:rsid w:val="00677613"/>
    <w:rsid w:val="00677A95"/>
    <w:rsid w:val="006807BA"/>
    <w:rsid w:val="00680DF9"/>
    <w:rsid w:val="00680E9F"/>
    <w:rsid w:val="0068140B"/>
    <w:rsid w:val="00682328"/>
    <w:rsid w:val="006826C4"/>
    <w:rsid w:val="0068312F"/>
    <w:rsid w:val="00683A0F"/>
    <w:rsid w:val="00683ADE"/>
    <w:rsid w:val="00683D20"/>
    <w:rsid w:val="00684C27"/>
    <w:rsid w:val="00684FD1"/>
    <w:rsid w:val="00685092"/>
    <w:rsid w:val="0068559E"/>
    <w:rsid w:val="0068589F"/>
    <w:rsid w:val="006867BA"/>
    <w:rsid w:val="00686848"/>
    <w:rsid w:val="00686DA8"/>
    <w:rsid w:val="00686EBF"/>
    <w:rsid w:val="0068733D"/>
    <w:rsid w:val="00687E39"/>
    <w:rsid w:val="0069133E"/>
    <w:rsid w:val="006915CF"/>
    <w:rsid w:val="0069264C"/>
    <w:rsid w:val="00692954"/>
    <w:rsid w:val="00692C45"/>
    <w:rsid w:val="00693F26"/>
    <w:rsid w:val="00693F60"/>
    <w:rsid w:val="0069475D"/>
    <w:rsid w:val="0069483A"/>
    <w:rsid w:val="00695023"/>
    <w:rsid w:val="006953E7"/>
    <w:rsid w:val="00695D57"/>
    <w:rsid w:val="00695E6A"/>
    <w:rsid w:val="00696366"/>
    <w:rsid w:val="00697005"/>
    <w:rsid w:val="00697046"/>
    <w:rsid w:val="006971E7"/>
    <w:rsid w:val="00697398"/>
    <w:rsid w:val="00697949"/>
    <w:rsid w:val="00697987"/>
    <w:rsid w:val="00697EC0"/>
    <w:rsid w:val="006A0822"/>
    <w:rsid w:val="006A0EE3"/>
    <w:rsid w:val="006A10B4"/>
    <w:rsid w:val="006A11F8"/>
    <w:rsid w:val="006A1383"/>
    <w:rsid w:val="006A1922"/>
    <w:rsid w:val="006A1D8E"/>
    <w:rsid w:val="006A20E8"/>
    <w:rsid w:val="006A225B"/>
    <w:rsid w:val="006A23B8"/>
    <w:rsid w:val="006A2781"/>
    <w:rsid w:val="006A2BE1"/>
    <w:rsid w:val="006A2ED6"/>
    <w:rsid w:val="006A2F2C"/>
    <w:rsid w:val="006A32B0"/>
    <w:rsid w:val="006A3923"/>
    <w:rsid w:val="006A421D"/>
    <w:rsid w:val="006A4EF9"/>
    <w:rsid w:val="006A5296"/>
    <w:rsid w:val="006A5AD1"/>
    <w:rsid w:val="006A5C9B"/>
    <w:rsid w:val="006A5FAA"/>
    <w:rsid w:val="006A6162"/>
    <w:rsid w:val="006A62FD"/>
    <w:rsid w:val="006A7190"/>
    <w:rsid w:val="006A7F78"/>
    <w:rsid w:val="006B00D3"/>
    <w:rsid w:val="006B05B0"/>
    <w:rsid w:val="006B07E1"/>
    <w:rsid w:val="006B0CE4"/>
    <w:rsid w:val="006B0E6E"/>
    <w:rsid w:val="006B1BF4"/>
    <w:rsid w:val="006B207E"/>
    <w:rsid w:val="006B240C"/>
    <w:rsid w:val="006B249F"/>
    <w:rsid w:val="006B34D6"/>
    <w:rsid w:val="006B380F"/>
    <w:rsid w:val="006B3C5E"/>
    <w:rsid w:val="006B43BB"/>
    <w:rsid w:val="006B4948"/>
    <w:rsid w:val="006B4B0D"/>
    <w:rsid w:val="006B503C"/>
    <w:rsid w:val="006B68AE"/>
    <w:rsid w:val="006B6F5B"/>
    <w:rsid w:val="006B71AE"/>
    <w:rsid w:val="006B7F26"/>
    <w:rsid w:val="006C0799"/>
    <w:rsid w:val="006C0B80"/>
    <w:rsid w:val="006C1387"/>
    <w:rsid w:val="006C170F"/>
    <w:rsid w:val="006C1E6C"/>
    <w:rsid w:val="006C1F60"/>
    <w:rsid w:val="006C2244"/>
    <w:rsid w:val="006C23FE"/>
    <w:rsid w:val="006C250A"/>
    <w:rsid w:val="006C38A6"/>
    <w:rsid w:val="006C398F"/>
    <w:rsid w:val="006C3C36"/>
    <w:rsid w:val="006C45BE"/>
    <w:rsid w:val="006C4CC6"/>
    <w:rsid w:val="006C4FD0"/>
    <w:rsid w:val="006C567F"/>
    <w:rsid w:val="006C58DD"/>
    <w:rsid w:val="006C698E"/>
    <w:rsid w:val="006C74FA"/>
    <w:rsid w:val="006C7C34"/>
    <w:rsid w:val="006D0446"/>
    <w:rsid w:val="006D0544"/>
    <w:rsid w:val="006D21AE"/>
    <w:rsid w:val="006D25E9"/>
    <w:rsid w:val="006D260A"/>
    <w:rsid w:val="006D2670"/>
    <w:rsid w:val="006D27BD"/>
    <w:rsid w:val="006D2FA8"/>
    <w:rsid w:val="006D3026"/>
    <w:rsid w:val="006D3948"/>
    <w:rsid w:val="006D3ED5"/>
    <w:rsid w:val="006D3F11"/>
    <w:rsid w:val="006D46C8"/>
    <w:rsid w:val="006D4CAA"/>
    <w:rsid w:val="006D4D64"/>
    <w:rsid w:val="006D4E38"/>
    <w:rsid w:val="006D5185"/>
    <w:rsid w:val="006D5B73"/>
    <w:rsid w:val="006D5DA5"/>
    <w:rsid w:val="006D69DA"/>
    <w:rsid w:val="006D725A"/>
    <w:rsid w:val="006D742C"/>
    <w:rsid w:val="006D7C47"/>
    <w:rsid w:val="006D7D38"/>
    <w:rsid w:val="006E0160"/>
    <w:rsid w:val="006E01E8"/>
    <w:rsid w:val="006E042B"/>
    <w:rsid w:val="006E04A9"/>
    <w:rsid w:val="006E0515"/>
    <w:rsid w:val="006E08CC"/>
    <w:rsid w:val="006E0A09"/>
    <w:rsid w:val="006E0BAC"/>
    <w:rsid w:val="006E0D26"/>
    <w:rsid w:val="006E0E24"/>
    <w:rsid w:val="006E0F06"/>
    <w:rsid w:val="006E1476"/>
    <w:rsid w:val="006E2620"/>
    <w:rsid w:val="006E2B8C"/>
    <w:rsid w:val="006E343D"/>
    <w:rsid w:val="006E34A2"/>
    <w:rsid w:val="006E363F"/>
    <w:rsid w:val="006E390B"/>
    <w:rsid w:val="006E413B"/>
    <w:rsid w:val="006E467A"/>
    <w:rsid w:val="006E4C5C"/>
    <w:rsid w:val="006E4CCC"/>
    <w:rsid w:val="006E51DD"/>
    <w:rsid w:val="006E554D"/>
    <w:rsid w:val="006E5931"/>
    <w:rsid w:val="006E5B63"/>
    <w:rsid w:val="006E5CD7"/>
    <w:rsid w:val="006E602B"/>
    <w:rsid w:val="006E6DE6"/>
    <w:rsid w:val="006E77B6"/>
    <w:rsid w:val="006E78C5"/>
    <w:rsid w:val="006E7B97"/>
    <w:rsid w:val="006F06D6"/>
    <w:rsid w:val="006F0C98"/>
    <w:rsid w:val="006F0E07"/>
    <w:rsid w:val="006F1478"/>
    <w:rsid w:val="006F1530"/>
    <w:rsid w:val="006F28BE"/>
    <w:rsid w:val="006F2F4A"/>
    <w:rsid w:val="006F3233"/>
    <w:rsid w:val="006F3D6A"/>
    <w:rsid w:val="006F42A3"/>
    <w:rsid w:val="006F4608"/>
    <w:rsid w:val="006F47A1"/>
    <w:rsid w:val="006F4E26"/>
    <w:rsid w:val="006F4EE8"/>
    <w:rsid w:val="006F5A98"/>
    <w:rsid w:val="006F5AB0"/>
    <w:rsid w:val="006F60BE"/>
    <w:rsid w:val="006F6C01"/>
    <w:rsid w:val="006F7265"/>
    <w:rsid w:val="006F72F2"/>
    <w:rsid w:val="006F748C"/>
    <w:rsid w:val="006F7E87"/>
    <w:rsid w:val="006F7ED6"/>
    <w:rsid w:val="00700408"/>
    <w:rsid w:val="007006CC"/>
    <w:rsid w:val="00700B6E"/>
    <w:rsid w:val="0070162A"/>
    <w:rsid w:val="00702143"/>
    <w:rsid w:val="0070255D"/>
    <w:rsid w:val="00702B47"/>
    <w:rsid w:val="00702BF1"/>
    <w:rsid w:val="00703337"/>
    <w:rsid w:val="00704157"/>
    <w:rsid w:val="0070444D"/>
    <w:rsid w:val="0070448C"/>
    <w:rsid w:val="007052B1"/>
    <w:rsid w:val="0070556C"/>
    <w:rsid w:val="007060C8"/>
    <w:rsid w:val="007061BF"/>
    <w:rsid w:val="007065A3"/>
    <w:rsid w:val="00706772"/>
    <w:rsid w:val="007069AA"/>
    <w:rsid w:val="00707837"/>
    <w:rsid w:val="00707F4F"/>
    <w:rsid w:val="00710346"/>
    <w:rsid w:val="007105F3"/>
    <w:rsid w:val="00711185"/>
    <w:rsid w:val="0071182B"/>
    <w:rsid w:val="007119A9"/>
    <w:rsid w:val="00711E7C"/>
    <w:rsid w:val="0071264C"/>
    <w:rsid w:val="007128A5"/>
    <w:rsid w:val="00712BA2"/>
    <w:rsid w:val="00712F07"/>
    <w:rsid w:val="00713497"/>
    <w:rsid w:val="00713CE1"/>
    <w:rsid w:val="0071413A"/>
    <w:rsid w:val="00714ED8"/>
    <w:rsid w:val="007151D6"/>
    <w:rsid w:val="0071535D"/>
    <w:rsid w:val="00716363"/>
    <w:rsid w:val="00716690"/>
    <w:rsid w:val="00717261"/>
    <w:rsid w:val="0071762B"/>
    <w:rsid w:val="007178D9"/>
    <w:rsid w:val="00717A6D"/>
    <w:rsid w:val="00720006"/>
    <w:rsid w:val="007203FB"/>
    <w:rsid w:val="00720D36"/>
    <w:rsid w:val="0072122E"/>
    <w:rsid w:val="00721DD7"/>
    <w:rsid w:val="0072218D"/>
    <w:rsid w:val="007225FB"/>
    <w:rsid w:val="0072280F"/>
    <w:rsid w:val="00722D2B"/>
    <w:rsid w:val="00722D63"/>
    <w:rsid w:val="00723C47"/>
    <w:rsid w:val="00724B75"/>
    <w:rsid w:val="00724DAC"/>
    <w:rsid w:val="00725103"/>
    <w:rsid w:val="00725125"/>
    <w:rsid w:val="00725633"/>
    <w:rsid w:val="00726083"/>
    <w:rsid w:val="00726515"/>
    <w:rsid w:val="0072685F"/>
    <w:rsid w:val="0072739C"/>
    <w:rsid w:val="00727C1D"/>
    <w:rsid w:val="00727D35"/>
    <w:rsid w:val="007304A1"/>
    <w:rsid w:val="007309DE"/>
    <w:rsid w:val="00730D55"/>
    <w:rsid w:val="00731693"/>
    <w:rsid w:val="00731BDA"/>
    <w:rsid w:val="0073218D"/>
    <w:rsid w:val="00732D40"/>
    <w:rsid w:val="00733883"/>
    <w:rsid w:val="00733E35"/>
    <w:rsid w:val="00733EA1"/>
    <w:rsid w:val="0073401C"/>
    <w:rsid w:val="00734226"/>
    <w:rsid w:val="00734646"/>
    <w:rsid w:val="007348E3"/>
    <w:rsid w:val="00734D36"/>
    <w:rsid w:val="00734E28"/>
    <w:rsid w:val="00735096"/>
    <w:rsid w:val="00735676"/>
    <w:rsid w:val="007356C1"/>
    <w:rsid w:val="00736204"/>
    <w:rsid w:val="00736ADF"/>
    <w:rsid w:val="00736BE6"/>
    <w:rsid w:val="00736F22"/>
    <w:rsid w:val="007376EE"/>
    <w:rsid w:val="00737B93"/>
    <w:rsid w:val="00740E7D"/>
    <w:rsid w:val="00740EAF"/>
    <w:rsid w:val="00740FC5"/>
    <w:rsid w:val="007416D0"/>
    <w:rsid w:val="007418DC"/>
    <w:rsid w:val="00741A9A"/>
    <w:rsid w:val="00741E1F"/>
    <w:rsid w:val="00741EE0"/>
    <w:rsid w:val="00741FCE"/>
    <w:rsid w:val="007427FA"/>
    <w:rsid w:val="00742942"/>
    <w:rsid w:val="007431A1"/>
    <w:rsid w:val="0074339D"/>
    <w:rsid w:val="0074398E"/>
    <w:rsid w:val="00744117"/>
    <w:rsid w:val="007447FA"/>
    <w:rsid w:val="0074482B"/>
    <w:rsid w:val="007450A9"/>
    <w:rsid w:val="007451EB"/>
    <w:rsid w:val="007459CA"/>
    <w:rsid w:val="00745C2D"/>
    <w:rsid w:val="00745C86"/>
    <w:rsid w:val="007468EA"/>
    <w:rsid w:val="00747885"/>
    <w:rsid w:val="007509AE"/>
    <w:rsid w:val="00750B6F"/>
    <w:rsid w:val="00751D4C"/>
    <w:rsid w:val="007520BE"/>
    <w:rsid w:val="00752128"/>
    <w:rsid w:val="00752473"/>
    <w:rsid w:val="00752F1C"/>
    <w:rsid w:val="007532E1"/>
    <w:rsid w:val="007533A6"/>
    <w:rsid w:val="00753E5D"/>
    <w:rsid w:val="00755B57"/>
    <w:rsid w:val="00756D33"/>
    <w:rsid w:val="00756DC5"/>
    <w:rsid w:val="00756E96"/>
    <w:rsid w:val="00756FC7"/>
    <w:rsid w:val="0075719F"/>
    <w:rsid w:val="007571D8"/>
    <w:rsid w:val="00757A08"/>
    <w:rsid w:val="00760010"/>
    <w:rsid w:val="00760680"/>
    <w:rsid w:val="0076089F"/>
    <w:rsid w:val="0076109A"/>
    <w:rsid w:val="00761F69"/>
    <w:rsid w:val="007620B7"/>
    <w:rsid w:val="00763735"/>
    <w:rsid w:val="0076387D"/>
    <w:rsid w:val="00763E5D"/>
    <w:rsid w:val="007643F0"/>
    <w:rsid w:val="007649A3"/>
    <w:rsid w:val="00765661"/>
    <w:rsid w:val="00766DD1"/>
    <w:rsid w:val="00767323"/>
    <w:rsid w:val="0076761C"/>
    <w:rsid w:val="007677B7"/>
    <w:rsid w:val="00770175"/>
    <w:rsid w:val="00770B58"/>
    <w:rsid w:val="00770D4C"/>
    <w:rsid w:val="00770F07"/>
    <w:rsid w:val="007717B8"/>
    <w:rsid w:val="00772041"/>
    <w:rsid w:val="007721B1"/>
    <w:rsid w:val="00772263"/>
    <w:rsid w:val="007722B4"/>
    <w:rsid w:val="00772492"/>
    <w:rsid w:val="007730C2"/>
    <w:rsid w:val="00773359"/>
    <w:rsid w:val="0077389F"/>
    <w:rsid w:val="00773A26"/>
    <w:rsid w:val="00774474"/>
    <w:rsid w:val="007744FF"/>
    <w:rsid w:val="0077461B"/>
    <w:rsid w:val="0077474E"/>
    <w:rsid w:val="007747E1"/>
    <w:rsid w:val="007748B4"/>
    <w:rsid w:val="00774BD1"/>
    <w:rsid w:val="00775272"/>
    <w:rsid w:val="007752C4"/>
    <w:rsid w:val="00775E0B"/>
    <w:rsid w:val="00776649"/>
    <w:rsid w:val="00776A4F"/>
    <w:rsid w:val="00776EA3"/>
    <w:rsid w:val="00776EB3"/>
    <w:rsid w:val="00776FD5"/>
    <w:rsid w:val="007773E7"/>
    <w:rsid w:val="0078024D"/>
    <w:rsid w:val="00780EB4"/>
    <w:rsid w:val="00781F66"/>
    <w:rsid w:val="00782436"/>
    <w:rsid w:val="0078310B"/>
    <w:rsid w:val="007835FE"/>
    <w:rsid w:val="00783781"/>
    <w:rsid w:val="00784A77"/>
    <w:rsid w:val="00784CA5"/>
    <w:rsid w:val="00784F8F"/>
    <w:rsid w:val="0078506C"/>
    <w:rsid w:val="00785109"/>
    <w:rsid w:val="00785977"/>
    <w:rsid w:val="00786032"/>
    <w:rsid w:val="0078619D"/>
    <w:rsid w:val="007863E0"/>
    <w:rsid w:val="00787150"/>
    <w:rsid w:val="00787293"/>
    <w:rsid w:val="007873E1"/>
    <w:rsid w:val="00787AEB"/>
    <w:rsid w:val="00787EDC"/>
    <w:rsid w:val="007902A5"/>
    <w:rsid w:val="00790B04"/>
    <w:rsid w:val="00790D40"/>
    <w:rsid w:val="0079167A"/>
    <w:rsid w:val="007919EB"/>
    <w:rsid w:val="00791B5C"/>
    <w:rsid w:val="00791CD7"/>
    <w:rsid w:val="00791EF6"/>
    <w:rsid w:val="00792CD0"/>
    <w:rsid w:val="00792FCF"/>
    <w:rsid w:val="00793152"/>
    <w:rsid w:val="007938CE"/>
    <w:rsid w:val="007938DF"/>
    <w:rsid w:val="00794375"/>
    <w:rsid w:val="00794746"/>
    <w:rsid w:val="00794BF6"/>
    <w:rsid w:val="00795157"/>
    <w:rsid w:val="00795C02"/>
    <w:rsid w:val="00795F27"/>
    <w:rsid w:val="007961A8"/>
    <w:rsid w:val="0079634F"/>
    <w:rsid w:val="007964E2"/>
    <w:rsid w:val="00796559"/>
    <w:rsid w:val="00796899"/>
    <w:rsid w:val="00797160"/>
    <w:rsid w:val="007979FE"/>
    <w:rsid w:val="007A07C8"/>
    <w:rsid w:val="007A0900"/>
    <w:rsid w:val="007A1094"/>
    <w:rsid w:val="007A145D"/>
    <w:rsid w:val="007A22FA"/>
    <w:rsid w:val="007A2340"/>
    <w:rsid w:val="007A27D2"/>
    <w:rsid w:val="007A28AE"/>
    <w:rsid w:val="007A2EA9"/>
    <w:rsid w:val="007A3119"/>
    <w:rsid w:val="007A3171"/>
    <w:rsid w:val="007A3520"/>
    <w:rsid w:val="007A35E1"/>
    <w:rsid w:val="007A3A98"/>
    <w:rsid w:val="007A3C37"/>
    <w:rsid w:val="007A42AD"/>
    <w:rsid w:val="007A43DE"/>
    <w:rsid w:val="007A45CB"/>
    <w:rsid w:val="007A4676"/>
    <w:rsid w:val="007A480C"/>
    <w:rsid w:val="007A49BE"/>
    <w:rsid w:val="007A4D01"/>
    <w:rsid w:val="007A5600"/>
    <w:rsid w:val="007A58BE"/>
    <w:rsid w:val="007A5BC1"/>
    <w:rsid w:val="007A5E54"/>
    <w:rsid w:val="007A6963"/>
    <w:rsid w:val="007A7097"/>
    <w:rsid w:val="007A740C"/>
    <w:rsid w:val="007A7CA6"/>
    <w:rsid w:val="007B0630"/>
    <w:rsid w:val="007B08B9"/>
    <w:rsid w:val="007B090D"/>
    <w:rsid w:val="007B0DD6"/>
    <w:rsid w:val="007B1183"/>
    <w:rsid w:val="007B15F5"/>
    <w:rsid w:val="007B23DE"/>
    <w:rsid w:val="007B25D9"/>
    <w:rsid w:val="007B3DCE"/>
    <w:rsid w:val="007B471D"/>
    <w:rsid w:val="007B51C0"/>
    <w:rsid w:val="007B54F5"/>
    <w:rsid w:val="007B5E13"/>
    <w:rsid w:val="007B62BB"/>
    <w:rsid w:val="007B6742"/>
    <w:rsid w:val="007B6E29"/>
    <w:rsid w:val="007B718C"/>
    <w:rsid w:val="007B7192"/>
    <w:rsid w:val="007B7C5F"/>
    <w:rsid w:val="007B7CE2"/>
    <w:rsid w:val="007B7E0B"/>
    <w:rsid w:val="007B7F47"/>
    <w:rsid w:val="007C02BC"/>
    <w:rsid w:val="007C07C4"/>
    <w:rsid w:val="007C08B3"/>
    <w:rsid w:val="007C0E2D"/>
    <w:rsid w:val="007C1582"/>
    <w:rsid w:val="007C1739"/>
    <w:rsid w:val="007C264F"/>
    <w:rsid w:val="007C267F"/>
    <w:rsid w:val="007C2D42"/>
    <w:rsid w:val="007C3980"/>
    <w:rsid w:val="007C47AC"/>
    <w:rsid w:val="007C4BCC"/>
    <w:rsid w:val="007C4DB9"/>
    <w:rsid w:val="007C5748"/>
    <w:rsid w:val="007C5944"/>
    <w:rsid w:val="007C7A3E"/>
    <w:rsid w:val="007D0ECD"/>
    <w:rsid w:val="007D0F09"/>
    <w:rsid w:val="007D0F62"/>
    <w:rsid w:val="007D0FF0"/>
    <w:rsid w:val="007D2F5C"/>
    <w:rsid w:val="007D38FB"/>
    <w:rsid w:val="007D3A6A"/>
    <w:rsid w:val="007D401B"/>
    <w:rsid w:val="007D4437"/>
    <w:rsid w:val="007D4A84"/>
    <w:rsid w:val="007D5038"/>
    <w:rsid w:val="007D5482"/>
    <w:rsid w:val="007D591D"/>
    <w:rsid w:val="007D5E11"/>
    <w:rsid w:val="007D5F22"/>
    <w:rsid w:val="007D60A3"/>
    <w:rsid w:val="007D6559"/>
    <w:rsid w:val="007D6CED"/>
    <w:rsid w:val="007D71A1"/>
    <w:rsid w:val="007D7ADC"/>
    <w:rsid w:val="007E0B61"/>
    <w:rsid w:val="007E1753"/>
    <w:rsid w:val="007E1765"/>
    <w:rsid w:val="007E1ADB"/>
    <w:rsid w:val="007E236C"/>
    <w:rsid w:val="007E24DB"/>
    <w:rsid w:val="007E265C"/>
    <w:rsid w:val="007E2884"/>
    <w:rsid w:val="007E3507"/>
    <w:rsid w:val="007E35CC"/>
    <w:rsid w:val="007E363C"/>
    <w:rsid w:val="007E3903"/>
    <w:rsid w:val="007E4337"/>
    <w:rsid w:val="007E4531"/>
    <w:rsid w:val="007E465E"/>
    <w:rsid w:val="007E4B19"/>
    <w:rsid w:val="007E5496"/>
    <w:rsid w:val="007E59EF"/>
    <w:rsid w:val="007E5D51"/>
    <w:rsid w:val="007E5DF2"/>
    <w:rsid w:val="007E676C"/>
    <w:rsid w:val="007E7014"/>
    <w:rsid w:val="007E72A8"/>
    <w:rsid w:val="007E73DD"/>
    <w:rsid w:val="007E7ADC"/>
    <w:rsid w:val="007E7CF3"/>
    <w:rsid w:val="007E7D7F"/>
    <w:rsid w:val="007F0593"/>
    <w:rsid w:val="007F062E"/>
    <w:rsid w:val="007F06CA"/>
    <w:rsid w:val="007F0D73"/>
    <w:rsid w:val="007F18CC"/>
    <w:rsid w:val="007F1EE1"/>
    <w:rsid w:val="007F23F2"/>
    <w:rsid w:val="007F268E"/>
    <w:rsid w:val="007F28E4"/>
    <w:rsid w:val="007F2CF7"/>
    <w:rsid w:val="007F3266"/>
    <w:rsid w:val="007F3308"/>
    <w:rsid w:val="007F340E"/>
    <w:rsid w:val="007F3747"/>
    <w:rsid w:val="007F38C4"/>
    <w:rsid w:val="007F3B19"/>
    <w:rsid w:val="007F4CC2"/>
    <w:rsid w:val="007F4CF9"/>
    <w:rsid w:val="007F4F80"/>
    <w:rsid w:val="007F52A1"/>
    <w:rsid w:val="007F5E2E"/>
    <w:rsid w:val="007F60BF"/>
    <w:rsid w:val="007F61A0"/>
    <w:rsid w:val="007F700D"/>
    <w:rsid w:val="007F75B2"/>
    <w:rsid w:val="007F7618"/>
    <w:rsid w:val="007F7B26"/>
    <w:rsid w:val="008003AC"/>
    <w:rsid w:val="008007E9"/>
    <w:rsid w:val="008019A2"/>
    <w:rsid w:val="00801E22"/>
    <w:rsid w:val="00801E5A"/>
    <w:rsid w:val="008022A9"/>
    <w:rsid w:val="008022D5"/>
    <w:rsid w:val="00802F55"/>
    <w:rsid w:val="00803256"/>
    <w:rsid w:val="00803767"/>
    <w:rsid w:val="00803D65"/>
    <w:rsid w:val="00803DA0"/>
    <w:rsid w:val="0080412A"/>
    <w:rsid w:val="008045E7"/>
    <w:rsid w:val="00804726"/>
    <w:rsid w:val="00804F42"/>
    <w:rsid w:val="00804F86"/>
    <w:rsid w:val="008050AA"/>
    <w:rsid w:val="00805597"/>
    <w:rsid w:val="00805F82"/>
    <w:rsid w:val="0080614A"/>
    <w:rsid w:val="00806779"/>
    <w:rsid w:val="00806AC2"/>
    <w:rsid w:val="00806C24"/>
    <w:rsid w:val="0080725E"/>
    <w:rsid w:val="008073DB"/>
    <w:rsid w:val="00807C0C"/>
    <w:rsid w:val="00807C4C"/>
    <w:rsid w:val="00807D2D"/>
    <w:rsid w:val="0081004A"/>
    <w:rsid w:val="008103F4"/>
    <w:rsid w:val="00810895"/>
    <w:rsid w:val="00810B3C"/>
    <w:rsid w:val="00810BA7"/>
    <w:rsid w:val="00811172"/>
    <w:rsid w:val="0081159E"/>
    <w:rsid w:val="0081218C"/>
    <w:rsid w:val="0081238D"/>
    <w:rsid w:val="008125BA"/>
    <w:rsid w:val="00812E9E"/>
    <w:rsid w:val="00812F12"/>
    <w:rsid w:val="00813259"/>
    <w:rsid w:val="008133E1"/>
    <w:rsid w:val="00813E69"/>
    <w:rsid w:val="008142B9"/>
    <w:rsid w:val="00814419"/>
    <w:rsid w:val="00814CF0"/>
    <w:rsid w:val="00814EDD"/>
    <w:rsid w:val="00815364"/>
    <w:rsid w:val="008158FA"/>
    <w:rsid w:val="00816C49"/>
    <w:rsid w:val="00816D96"/>
    <w:rsid w:val="00816E9F"/>
    <w:rsid w:val="00817072"/>
    <w:rsid w:val="0081745D"/>
    <w:rsid w:val="008174B0"/>
    <w:rsid w:val="00817820"/>
    <w:rsid w:val="00817D2C"/>
    <w:rsid w:val="00817F1C"/>
    <w:rsid w:val="008200EF"/>
    <w:rsid w:val="0082026C"/>
    <w:rsid w:val="0082079A"/>
    <w:rsid w:val="00820C6E"/>
    <w:rsid w:val="00820D14"/>
    <w:rsid w:val="0082182B"/>
    <w:rsid w:val="00821E60"/>
    <w:rsid w:val="00822085"/>
    <w:rsid w:val="008228F2"/>
    <w:rsid w:val="00822CFE"/>
    <w:rsid w:val="00822E32"/>
    <w:rsid w:val="00823141"/>
    <w:rsid w:val="0082359D"/>
    <w:rsid w:val="00824D09"/>
    <w:rsid w:val="00824D0B"/>
    <w:rsid w:val="00824D3F"/>
    <w:rsid w:val="008256C9"/>
    <w:rsid w:val="0082599D"/>
    <w:rsid w:val="00825A85"/>
    <w:rsid w:val="00826226"/>
    <w:rsid w:val="008275E6"/>
    <w:rsid w:val="00827863"/>
    <w:rsid w:val="0082796B"/>
    <w:rsid w:val="00827FD2"/>
    <w:rsid w:val="00830B1B"/>
    <w:rsid w:val="00831852"/>
    <w:rsid w:val="00831A63"/>
    <w:rsid w:val="00831A6A"/>
    <w:rsid w:val="00831F0F"/>
    <w:rsid w:val="008322DE"/>
    <w:rsid w:val="00832461"/>
    <w:rsid w:val="008326DA"/>
    <w:rsid w:val="008328A4"/>
    <w:rsid w:val="00832CED"/>
    <w:rsid w:val="00832F6C"/>
    <w:rsid w:val="0083316E"/>
    <w:rsid w:val="008338F5"/>
    <w:rsid w:val="00833F03"/>
    <w:rsid w:val="0083462A"/>
    <w:rsid w:val="00834EF6"/>
    <w:rsid w:val="008350D3"/>
    <w:rsid w:val="00835124"/>
    <w:rsid w:val="0083575D"/>
    <w:rsid w:val="00835D2A"/>
    <w:rsid w:val="008362AB"/>
    <w:rsid w:val="00836CA0"/>
    <w:rsid w:val="00837492"/>
    <w:rsid w:val="0083755D"/>
    <w:rsid w:val="00840638"/>
    <w:rsid w:val="00840A40"/>
    <w:rsid w:val="0084180B"/>
    <w:rsid w:val="008418FF"/>
    <w:rsid w:val="00841FD8"/>
    <w:rsid w:val="00842B66"/>
    <w:rsid w:val="00842E78"/>
    <w:rsid w:val="008432C2"/>
    <w:rsid w:val="008438D5"/>
    <w:rsid w:val="00843D75"/>
    <w:rsid w:val="00843E39"/>
    <w:rsid w:val="00844193"/>
    <w:rsid w:val="0084433E"/>
    <w:rsid w:val="00844681"/>
    <w:rsid w:val="00844AFA"/>
    <w:rsid w:val="00845A25"/>
    <w:rsid w:val="00845DEA"/>
    <w:rsid w:val="008462A0"/>
    <w:rsid w:val="008469E4"/>
    <w:rsid w:val="00846FC9"/>
    <w:rsid w:val="008475F1"/>
    <w:rsid w:val="008477B8"/>
    <w:rsid w:val="00847B5D"/>
    <w:rsid w:val="00847CC3"/>
    <w:rsid w:val="00847F0A"/>
    <w:rsid w:val="008509FE"/>
    <w:rsid w:val="008512A7"/>
    <w:rsid w:val="0085255A"/>
    <w:rsid w:val="00852780"/>
    <w:rsid w:val="00852F85"/>
    <w:rsid w:val="008536EF"/>
    <w:rsid w:val="00853755"/>
    <w:rsid w:val="00853A86"/>
    <w:rsid w:val="00853A8A"/>
    <w:rsid w:val="00853AD1"/>
    <w:rsid w:val="0085414C"/>
    <w:rsid w:val="0085420E"/>
    <w:rsid w:val="008545D5"/>
    <w:rsid w:val="00854937"/>
    <w:rsid w:val="00854F5B"/>
    <w:rsid w:val="00855DA4"/>
    <w:rsid w:val="008565F4"/>
    <w:rsid w:val="00856C85"/>
    <w:rsid w:val="00856CE5"/>
    <w:rsid w:val="008572C5"/>
    <w:rsid w:val="0085753B"/>
    <w:rsid w:val="00857CC3"/>
    <w:rsid w:val="00860F91"/>
    <w:rsid w:val="008612BC"/>
    <w:rsid w:val="008612FD"/>
    <w:rsid w:val="00861557"/>
    <w:rsid w:val="00861C12"/>
    <w:rsid w:val="008629EE"/>
    <w:rsid w:val="00862B81"/>
    <w:rsid w:val="00862E74"/>
    <w:rsid w:val="008638F7"/>
    <w:rsid w:val="00863B4F"/>
    <w:rsid w:val="00863E15"/>
    <w:rsid w:val="00863FDD"/>
    <w:rsid w:val="00864112"/>
    <w:rsid w:val="008641B5"/>
    <w:rsid w:val="00864A6F"/>
    <w:rsid w:val="00864DCB"/>
    <w:rsid w:val="00865160"/>
    <w:rsid w:val="00865946"/>
    <w:rsid w:val="00865A2D"/>
    <w:rsid w:val="00865A3F"/>
    <w:rsid w:val="00865CAC"/>
    <w:rsid w:val="00865F17"/>
    <w:rsid w:val="0086682D"/>
    <w:rsid w:val="00866D32"/>
    <w:rsid w:val="00866EB0"/>
    <w:rsid w:val="00866EF3"/>
    <w:rsid w:val="00867100"/>
    <w:rsid w:val="00867486"/>
    <w:rsid w:val="00867785"/>
    <w:rsid w:val="00867EF4"/>
    <w:rsid w:val="008707E5"/>
    <w:rsid w:val="008728BD"/>
    <w:rsid w:val="008734CB"/>
    <w:rsid w:val="0087377E"/>
    <w:rsid w:val="00873920"/>
    <w:rsid w:val="0087430C"/>
    <w:rsid w:val="008745E7"/>
    <w:rsid w:val="00874A6F"/>
    <w:rsid w:val="00874BBC"/>
    <w:rsid w:val="00874C89"/>
    <w:rsid w:val="00874D96"/>
    <w:rsid w:val="00874DE1"/>
    <w:rsid w:val="008750AC"/>
    <w:rsid w:val="008750BB"/>
    <w:rsid w:val="0087550C"/>
    <w:rsid w:val="0087592B"/>
    <w:rsid w:val="00877179"/>
    <w:rsid w:val="00877566"/>
    <w:rsid w:val="008779E4"/>
    <w:rsid w:val="008802F0"/>
    <w:rsid w:val="00880543"/>
    <w:rsid w:val="00880926"/>
    <w:rsid w:val="00880D63"/>
    <w:rsid w:val="00880F79"/>
    <w:rsid w:val="0088135D"/>
    <w:rsid w:val="00881492"/>
    <w:rsid w:val="0088286B"/>
    <w:rsid w:val="00882CCD"/>
    <w:rsid w:val="00883835"/>
    <w:rsid w:val="00883D9A"/>
    <w:rsid w:val="00883E08"/>
    <w:rsid w:val="00884A15"/>
    <w:rsid w:val="00885316"/>
    <w:rsid w:val="00885FDC"/>
    <w:rsid w:val="00886AAB"/>
    <w:rsid w:val="00886FD3"/>
    <w:rsid w:val="00887055"/>
    <w:rsid w:val="00887955"/>
    <w:rsid w:val="00887FCF"/>
    <w:rsid w:val="00890052"/>
    <w:rsid w:val="00890221"/>
    <w:rsid w:val="00890ED1"/>
    <w:rsid w:val="00890EE8"/>
    <w:rsid w:val="00890F5A"/>
    <w:rsid w:val="00891EC3"/>
    <w:rsid w:val="00891FB8"/>
    <w:rsid w:val="00892235"/>
    <w:rsid w:val="008927A8"/>
    <w:rsid w:val="00892F58"/>
    <w:rsid w:val="0089328B"/>
    <w:rsid w:val="00894491"/>
    <w:rsid w:val="00894814"/>
    <w:rsid w:val="00895089"/>
    <w:rsid w:val="0089515D"/>
    <w:rsid w:val="0089561E"/>
    <w:rsid w:val="0089611E"/>
    <w:rsid w:val="008961C8"/>
    <w:rsid w:val="0089634F"/>
    <w:rsid w:val="008966E5"/>
    <w:rsid w:val="0089672E"/>
    <w:rsid w:val="0089754F"/>
    <w:rsid w:val="008A0019"/>
    <w:rsid w:val="008A0DDE"/>
    <w:rsid w:val="008A0F6A"/>
    <w:rsid w:val="008A1483"/>
    <w:rsid w:val="008A150B"/>
    <w:rsid w:val="008A26D9"/>
    <w:rsid w:val="008A2989"/>
    <w:rsid w:val="008A2FFF"/>
    <w:rsid w:val="008A35D5"/>
    <w:rsid w:val="008A3628"/>
    <w:rsid w:val="008A38A0"/>
    <w:rsid w:val="008A4B7D"/>
    <w:rsid w:val="008A4B84"/>
    <w:rsid w:val="008A4EA0"/>
    <w:rsid w:val="008A5C50"/>
    <w:rsid w:val="008A5D68"/>
    <w:rsid w:val="008A5E66"/>
    <w:rsid w:val="008A5F2C"/>
    <w:rsid w:val="008A74CE"/>
    <w:rsid w:val="008B08DE"/>
    <w:rsid w:val="008B0DB3"/>
    <w:rsid w:val="008B2C43"/>
    <w:rsid w:val="008B3256"/>
    <w:rsid w:val="008B3856"/>
    <w:rsid w:val="008B41EC"/>
    <w:rsid w:val="008B41F6"/>
    <w:rsid w:val="008B4209"/>
    <w:rsid w:val="008B429A"/>
    <w:rsid w:val="008B4520"/>
    <w:rsid w:val="008B4CB0"/>
    <w:rsid w:val="008B4DAF"/>
    <w:rsid w:val="008B52BB"/>
    <w:rsid w:val="008B5DD3"/>
    <w:rsid w:val="008B62A0"/>
    <w:rsid w:val="008B6893"/>
    <w:rsid w:val="008B6E8C"/>
    <w:rsid w:val="008B6EDA"/>
    <w:rsid w:val="008B7B27"/>
    <w:rsid w:val="008B7C72"/>
    <w:rsid w:val="008C0381"/>
    <w:rsid w:val="008C0987"/>
    <w:rsid w:val="008C1136"/>
    <w:rsid w:val="008C1291"/>
    <w:rsid w:val="008C1419"/>
    <w:rsid w:val="008C1596"/>
    <w:rsid w:val="008C1842"/>
    <w:rsid w:val="008C1A41"/>
    <w:rsid w:val="008C207D"/>
    <w:rsid w:val="008C258F"/>
    <w:rsid w:val="008C272B"/>
    <w:rsid w:val="008C3E4C"/>
    <w:rsid w:val="008C3E52"/>
    <w:rsid w:val="008C43B6"/>
    <w:rsid w:val="008C45C7"/>
    <w:rsid w:val="008C4B0E"/>
    <w:rsid w:val="008C4B47"/>
    <w:rsid w:val="008C5218"/>
    <w:rsid w:val="008C537B"/>
    <w:rsid w:val="008C5FF5"/>
    <w:rsid w:val="008C6178"/>
    <w:rsid w:val="008C716A"/>
    <w:rsid w:val="008C7427"/>
    <w:rsid w:val="008C79F1"/>
    <w:rsid w:val="008C7A32"/>
    <w:rsid w:val="008D0299"/>
    <w:rsid w:val="008D040F"/>
    <w:rsid w:val="008D06BF"/>
    <w:rsid w:val="008D0BAF"/>
    <w:rsid w:val="008D0C49"/>
    <w:rsid w:val="008D0F72"/>
    <w:rsid w:val="008D2187"/>
    <w:rsid w:val="008D2751"/>
    <w:rsid w:val="008D2E72"/>
    <w:rsid w:val="008D33FF"/>
    <w:rsid w:val="008D377D"/>
    <w:rsid w:val="008D3971"/>
    <w:rsid w:val="008D3DF3"/>
    <w:rsid w:val="008D3EEB"/>
    <w:rsid w:val="008D42E3"/>
    <w:rsid w:val="008D43D7"/>
    <w:rsid w:val="008D47BC"/>
    <w:rsid w:val="008D4910"/>
    <w:rsid w:val="008D50FE"/>
    <w:rsid w:val="008D5276"/>
    <w:rsid w:val="008D53A8"/>
    <w:rsid w:val="008D5554"/>
    <w:rsid w:val="008D5BC0"/>
    <w:rsid w:val="008D5CD2"/>
    <w:rsid w:val="008D5F54"/>
    <w:rsid w:val="008D6112"/>
    <w:rsid w:val="008D66EC"/>
    <w:rsid w:val="008D6B7C"/>
    <w:rsid w:val="008D74F7"/>
    <w:rsid w:val="008D753C"/>
    <w:rsid w:val="008D7F76"/>
    <w:rsid w:val="008E03EC"/>
    <w:rsid w:val="008E053B"/>
    <w:rsid w:val="008E05A6"/>
    <w:rsid w:val="008E0614"/>
    <w:rsid w:val="008E0B42"/>
    <w:rsid w:val="008E0BFB"/>
    <w:rsid w:val="008E0D47"/>
    <w:rsid w:val="008E1E1B"/>
    <w:rsid w:val="008E2212"/>
    <w:rsid w:val="008E2299"/>
    <w:rsid w:val="008E2304"/>
    <w:rsid w:val="008E27BF"/>
    <w:rsid w:val="008E2D63"/>
    <w:rsid w:val="008E33C1"/>
    <w:rsid w:val="008E367E"/>
    <w:rsid w:val="008E3B6E"/>
    <w:rsid w:val="008E3C4E"/>
    <w:rsid w:val="008E3EF4"/>
    <w:rsid w:val="008E4847"/>
    <w:rsid w:val="008E4ACB"/>
    <w:rsid w:val="008E5958"/>
    <w:rsid w:val="008E5E66"/>
    <w:rsid w:val="008E62CE"/>
    <w:rsid w:val="008E640D"/>
    <w:rsid w:val="008E65BC"/>
    <w:rsid w:val="008E6DC4"/>
    <w:rsid w:val="008E6EFF"/>
    <w:rsid w:val="008E6F0C"/>
    <w:rsid w:val="008E7044"/>
    <w:rsid w:val="008F0418"/>
    <w:rsid w:val="008F0CD9"/>
    <w:rsid w:val="008F2CDF"/>
    <w:rsid w:val="008F34FC"/>
    <w:rsid w:val="008F3750"/>
    <w:rsid w:val="008F3A93"/>
    <w:rsid w:val="008F4136"/>
    <w:rsid w:val="008F5E11"/>
    <w:rsid w:val="008F6013"/>
    <w:rsid w:val="008F64A1"/>
    <w:rsid w:val="008F65F2"/>
    <w:rsid w:val="008F7459"/>
    <w:rsid w:val="008F74AF"/>
    <w:rsid w:val="008F76EE"/>
    <w:rsid w:val="008F7F6E"/>
    <w:rsid w:val="00900190"/>
    <w:rsid w:val="009002AD"/>
    <w:rsid w:val="0090085C"/>
    <w:rsid w:val="009008D3"/>
    <w:rsid w:val="009009C2"/>
    <w:rsid w:val="0090151E"/>
    <w:rsid w:val="00902153"/>
    <w:rsid w:val="009027D4"/>
    <w:rsid w:val="00902823"/>
    <w:rsid w:val="0090283A"/>
    <w:rsid w:val="00902C03"/>
    <w:rsid w:val="0090308E"/>
    <w:rsid w:val="009039E6"/>
    <w:rsid w:val="00903D9D"/>
    <w:rsid w:val="00904134"/>
    <w:rsid w:val="0090419D"/>
    <w:rsid w:val="009044C0"/>
    <w:rsid w:val="009051F1"/>
    <w:rsid w:val="009054E9"/>
    <w:rsid w:val="00905BB7"/>
    <w:rsid w:val="00905E18"/>
    <w:rsid w:val="00906665"/>
    <w:rsid w:val="0090772B"/>
    <w:rsid w:val="00907CE3"/>
    <w:rsid w:val="009102E4"/>
    <w:rsid w:val="00911147"/>
    <w:rsid w:val="00911AC2"/>
    <w:rsid w:val="00912480"/>
    <w:rsid w:val="00912719"/>
    <w:rsid w:val="00912A4E"/>
    <w:rsid w:val="0091314B"/>
    <w:rsid w:val="009133F1"/>
    <w:rsid w:val="00913695"/>
    <w:rsid w:val="00914127"/>
    <w:rsid w:val="009141C1"/>
    <w:rsid w:val="009143B4"/>
    <w:rsid w:val="009146D8"/>
    <w:rsid w:val="0091492C"/>
    <w:rsid w:val="00914F38"/>
    <w:rsid w:val="00915142"/>
    <w:rsid w:val="009152A5"/>
    <w:rsid w:val="00915353"/>
    <w:rsid w:val="0091535D"/>
    <w:rsid w:val="00915715"/>
    <w:rsid w:val="00915AE6"/>
    <w:rsid w:val="0091664C"/>
    <w:rsid w:val="00916E6B"/>
    <w:rsid w:val="0091792B"/>
    <w:rsid w:val="00920347"/>
    <w:rsid w:val="009204D4"/>
    <w:rsid w:val="00920516"/>
    <w:rsid w:val="009208DB"/>
    <w:rsid w:val="00920F2D"/>
    <w:rsid w:val="009219C6"/>
    <w:rsid w:val="00921B19"/>
    <w:rsid w:val="00921B87"/>
    <w:rsid w:val="00921E2D"/>
    <w:rsid w:val="00921F18"/>
    <w:rsid w:val="00921FC1"/>
    <w:rsid w:val="00922808"/>
    <w:rsid w:val="00922E9C"/>
    <w:rsid w:val="0092329C"/>
    <w:rsid w:val="00923552"/>
    <w:rsid w:val="00924821"/>
    <w:rsid w:val="00924837"/>
    <w:rsid w:val="009249DC"/>
    <w:rsid w:val="009251EF"/>
    <w:rsid w:val="0092521F"/>
    <w:rsid w:val="009259C6"/>
    <w:rsid w:val="00925D99"/>
    <w:rsid w:val="009263CE"/>
    <w:rsid w:val="00926851"/>
    <w:rsid w:val="009269C7"/>
    <w:rsid w:val="00926C99"/>
    <w:rsid w:val="00927016"/>
    <w:rsid w:val="00927028"/>
    <w:rsid w:val="009271A7"/>
    <w:rsid w:val="009276D3"/>
    <w:rsid w:val="0093006E"/>
    <w:rsid w:val="00930B69"/>
    <w:rsid w:val="00930C9D"/>
    <w:rsid w:val="0093160F"/>
    <w:rsid w:val="00931685"/>
    <w:rsid w:val="00931748"/>
    <w:rsid w:val="00931C42"/>
    <w:rsid w:val="00931DF1"/>
    <w:rsid w:val="009333EC"/>
    <w:rsid w:val="009333FC"/>
    <w:rsid w:val="009334E1"/>
    <w:rsid w:val="0093383F"/>
    <w:rsid w:val="009338C3"/>
    <w:rsid w:val="00933CB1"/>
    <w:rsid w:val="00933ED3"/>
    <w:rsid w:val="0093435F"/>
    <w:rsid w:val="00934465"/>
    <w:rsid w:val="0093465D"/>
    <w:rsid w:val="00935280"/>
    <w:rsid w:val="00935428"/>
    <w:rsid w:val="00936006"/>
    <w:rsid w:val="00936441"/>
    <w:rsid w:val="00936748"/>
    <w:rsid w:val="0093711B"/>
    <w:rsid w:val="009377D1"/>
    <w:rsid w:val="00937BB5"/>
    <w:rsid w:val="00940D5F"/>
    <w:rsid w:val="00941504"/>
    <w:rsid w:val="0094160E"/>
    <w:rsid w:val="00941F56"/>
    <w:rsid w:val="009428AD"/>
    <w:rsid w:val="00942E71"/>
    <w:rsid w:val="00942E7A"/>
    <w:rsid w:val="00942FF9"/>
    <w:rsid w:val="00944673"/>
    <w:rsid w:val="009446EE"/>
    <w:rsid w:val="0094528C"/>
    <w:rsid w:val="009453BE"/>
    <w:rsid w:val="00945B48"/>
    <w:rsid w:val="00945D82"/>
    <w:rsid w:val="0094605E"/>
    <w:rsid w:val="009465B8"/>
    <w:rsid w:val="0094722F"/>
    <w:rsid w:val="009473B1"/>
    <w:rsid w:val="009474D4"/>
    <w:rsid w:val="00947778"/>
    <w:rsid w:val="0095015C"/>
    <w:rsid w:val="00950B90"/>
    <w:rsid w:val="00950D57"/>
    <w:rsid w:val="00951A61"/>
    <w:rsid w:val="009523C0"/>
    <w:rsid w:val="009526A1"/>
    <w:rsid w:val="00953078"/>
    <w:rsid w:val="0095349B"/>
    <w:rsid w:val="009537C4"/>
    <w:rsid w:val="00953FEA"/>
    <w:rsid w:val="0095407B"/>
    <w:rsid w:val="009543C3"/>
    <w:rsid w:val="009545C8"/>
    <w:rsid w:val="009550D2"/>
    <w:rsid w:val="00955573"/>
    <w:rsid w:val="0095582A"/>
    <w:rsid w:val="00956A39"/>
    <w:rsid w:val="00956B00"/>
    <w:rsid w:val="00956C73"/>
    <w:rsid w:val="00957508"/>
    <w:rsid w:val="009575AB"/>
    <w:rsid w:val="009575B4"/>
    <w:rsid w:val="00957DBF"/>
    <w:rsid w:val="00957FFC"/>
    <w:rsid w:val="00960693"/>
    <w:rsid w:val="00960A10"/>
    <w:rsid w:val="009618BC"/>
    <w:rsid w:val="00961AD4"/>
    <w:rsid w:val="00961C7C"/>
    <w:rsid w:val="00961DF6"/>
    <w:rsid w:val="00961EF8"/>
    <w:rsid w:val="00961F9B"/>
    <w:rsid w:val="00961FF7"/>
    <w:rsid w:val="00962506"/>
    <w:rsid w:val="00962772"/>
    <w:rsid w:val="0096296C"/>
    <w:rsid w:val="009638AD"/>
    <w:rsid w:val="00963BCA"/>
    <w:rsid w:val="00963DC8"/>
    <w:rsid w:val="00964BD1"/>
    <w:rsid w:val="0096584A"/>
    <w:rsid w:val="00965B30"/>
    <w:rsid w:val="00966B8B"/>
    <w:rsid w:val="00966C88"/>
    <w:rsid w:val="00967B70"/>
    <w:rsid w:val="00967C7D"/>
    <w:rsid w:val="00967DDC"/>
    <w:rsid w:val="0097050C"/>
    <w:rsid w:val="009706D8"/>
    <w:rsid w:val="009708C7"/>
    <w:rsid w:val="00970CE3"/>
    <w:rsid w:val="00970DE7"/>
    <w:rsid w:val="009724DF"/>
    <w:rsid w:val="009728F0"/>
    <w:rsid w:val="00973CA9"/>
    <w:rsid w:val="00973CD2"/>
    <w:rsid w:val="0097477B"/>
    <w:rsid w:val="00974CF3"/>
    <w:rsid w:val="00975774"/>
    <w:rsid w:val="00976BCE"/>
    <w:rsid w:val="009774D1"/>
    <w:rsid w:val="00977713"/>
    <w:rsid w:val="00977754"/>
    <w:rsid w:val="009777D6"/>
    <w:rsid w:val="00980515"/>
    <w:rsid w:val="009805C2"/>
    <w:rsid w:val="00980829"/>
    <w:rsid w:val="00980E0A"/>
    <w:rsid w:val="00980ECD"/>
    <w:rsid w:val="0098139B"/>
    <w:rsid w:val="009814A0"/>
    <w:rsid w:val="0098188B"/>
    <w:rsid w:val="00981D5E"/>
    <w:rsid w:val="009823DC"/>
    <w:rsid w:val="00983747"/>
    <w:rsid w:val="00983C6E"/>
    <w:rsid w:val="00984D5B"/>
    <w:rsid w:val="009852C8"/>
    <w:rsid w:val="009853EF"/>
    <w:rsid w:val="009856F6"/>
    <w:rsid w:val="0098586C"/>
    <w:rsid w:val="00985901"/>
    <w:rsid w:val="00985F53"/>
    <w:rsid w:val="009860EF"/>
    <w:rsid w:val="00986635"/>
    <w:rsid w:val="00986697"/>
    <w:rsid w:val="00986AD7"/>
    <w:rsid w:val="00986DA8"/>
    <w:rsid w:val="00986E08"/>
    <w:rsid w:val="0098752C"/>
    <w:rsid w:val="00987E61"/>
    <w:rsid w:val="00987E8C"/>
    <w:rsid w:val="00987ECF"/>
    <w:rsid w:val="009909B1"/>
    <w:rsid w:val="00991D2C"/>
    <w:rsid w:val="00991DAE"/>
    <w:rsid w:val="00991DDD"/>
    <w:rsid w:val="009927A5"/>
    <w:rsid w:val="00992FF1"/>
    <w:rsid w:val="00993768"/>
    <w:rsid w:val="00993E07"/>
    <w:rsid w:val="00993E68"/>
    <w:rsid w:val="00994844"/>
    <w:rsid w:val="00994B7B"/>
    <w:rsid w:val="00994BC5"/>
    <w:rsid w:val="009951DE"/>
    <w:rsid w:val="009952F9"/>
    <w:rsid w:val="00995575"/>
    <w:rsid w:val="00995C87"/>
    <w:rsid w:val="00995E35"/>
    <w:rsid w:val="00995E4A"/>
    <w:rsid w:val="009960E7"/>
    <w:rsid w:val="00996434"/>
    <w:rsid w:val="009968F2"/>
    <w:rsid w:val="0099737E"/>
    <w:rsid w:val="00997BB4"/>
    <w:rsid w:val="009A0ADA"/>
    <w:rsid w:val="009A0E9F"/>
    <w:rsid w:val="009A0F7E"/>
    <w:rsid w:val="009A15C5"/>
    <w:rsid w:val="009A1C16"/>
    <w:rsid w:val="009A1EC0"/>
    <w:rsid w:val="009A21C6"/>
    <w:rsid w:val="009A2C0F"/>
    <w:rsid w:val="009A3247"/>
    <w:rsid w:val="009A3268"/>
    <w:rsid w:val="009A379E"/>
    <w:rsid w:val="009A37E2"/>
    <w:rsid w:val="009A4DCD"/>
    <w:rsid w:val="009A4F4B"/>
    <w:rsid w:val="009A556A"/>
    <w:rsid w:val="009A5811"/>
    <w:rsid w:val="009A5B69"/>
    <w:rsid w:val="009A5F2C"/>
    <w:rsid w:val="009A6BD7"/>
    <w:rsid w:val="009A795D"/>
    <w:rsid w:val="009A7B56"/>
    <w:rsid w:val="009A7D04"/>
    <w:rsid w:val="009B03C2"/>
    <w:rsid w:val="009B042D"/>
    <w:rsid w:val="009B08B5"/>
    <w:rsid w:val="009B195E"/>
    <w:rsid w:val="009B2318"/>
    <w:rsid w:val="009B24A5"/>
    <w:rsid w:val="009B27B4"/>
    <w:rsid w:val="009B2867"/>
    <w:rsid w:val="009B2F21"/>
    <w:rsid w:val="009B2F30"/>
    <w:rsid w:val="009B319A"/>
    <w:rsid w:val="009B32EA"/>
    <w:rsid w:val="009B36A8"/>
    <w:rsid w:val="009B3786"/>
    <w:rsid w:val="009B3941"/>
    <w:rsid w:val="009B396C"/>
    <w:rsid w:val="009B3CD3"/>
    <w:rsid w:val="009B4112"/>
    <w:rsid w:val="009B4208"/>
    <w:rsid w:val="009B4F94"/>
    <w:rsid w:val="009B5752"/>
    <w:rsid w:val="009B5941"/>
    <w:rsid w:val="009B59B5"/>
    <w:rsid w:val="009B5AAD"/>
    <w:rsid w:val="009B5AFF"/>
    <w:rsid w:val="009B71B9"/>
    <w:rsid w:val="009B750F"/>
    <w:rsid w:val="009B7963"/>
    <w:rsid w:val="009B7EBC"/>
    <w:rsid w:val="009B7EFA"/>
    <w:rsid w:val="009B7F16"/>
    <w:rsid w:val="009C0017"/>
    <w:rsid w:val="009C030B"/>
    <w:rsid w:val="009C0726"/>
    <w:rsid w:val="009C19A5"/>
    <w:rsid w:val="009C1C44"/>
    <w:rsid w:val="009C2CCD"/>
    <w:rsid w:val="009C31B2"/>
    <w:rsid w:val="009C343D"/>
    <w:rsid w:val="009C39CE"/>
    <w:rsid w:val="009C3AE9"/>
    <w:rsid w:val="009C3EB4"/>
    <w:rsid w:val="009C4D0C"/>
    <w:rsid w:val="009C523E"/>
    <w:rsid w:val="009C5428"/>
    <w:rsid w:val="009C54DB"/>
    <w:rsid w:val="009C5CE7"/>
    <w:rsid w:val="009C5DA2"/>
    <w:rsid w:val="009C600A"/>
    <w:rsid w:val="009C7870"/>
    <w:rsid w:val="009C7E33"/>
    <w:rsid w:val="009D01CB"/>
    <w:rsid w:val="009D0FE5"/>
    <w:rsid w:val="009D1253"/>
    <w:rsid w:val="009D1735"/>
    <w:rsid w:val="009D1993"/>
    <w:rsid w:val="009D1CFF"/>
    <w:rsid w:val="009D25BD"/>
    <w:rsid w:val="009D25FF"/>
    <w:rsid w:val="009D2CF2"/>
    <w:rsid w:val="009D34A6"/>
    <w:rsid w:val="009D3CEA"/>
    <w:rsid w:val="009D41F3"/>
    <w:rsid w:val="009D4411"/>
    <w:rsid w:val="009D47BA"/>
    <w:rsid w:val="009D50B5"/>
    <w:rsid w:val="009D52D1"/>
    <w:rsid w:val="009D56D1"/>
    <w:rsid w:val="009D5AF2"/>
    <w:rsid w:val="009D5C49"/>
    <w:rsid w:val="009D5C6A"/>
    <w:rsid w:val="009D6018"/>
    <w:rsid w:val="009D60F7"/>
    <w:rsid w:val="009D75F3"/>
    <w:rsid w:val="009D76DE"/>
    <w:rsid w:val="009D7977"/>
    <w:rsid w:val="009E043E"/>
    <w:rsid w:val="009E0F39"/>
    <w:rsid w:val="009E1519"/>
    <w:rsid w:val="009E1A2B"/>
    <w:rsid w:val="009E2358"/>
    <w:rsid w:val="009E28FA"/>
    <w:rsid w:val="009E2A48"/>
    <w:rsid w:val="009E3433"/>
    <w:rsid w:val="009E394F"/>
    <w:rsid w:val="009E3B16"/>
    <w:rsid w:val="009E3E08"/>
    <w:rsid w:val="009E5534"/>
    <w:rsid w:val="009E5878"/>
    <w:rsid w:val="009E5D10"/>
    <w:rsid w:val="009E5E63"/>
    <w:rsid w:val="009E605E"/>
    <w:rsid w:val="009E610D"/>
    <w:rsid w:val="009E673C"/>
    <w:rsid w:val="009E7A86"/>
    <w:rsid w:val="009E7B7C"/>
    <w:rsid w:val="009F095C"/>
    <w:rsid w:val="009F10DF"/>
    <w:rsid w:val="009F11EC"/>
    <w:rsid w:val="009F1AE1"/>
    <w:rsid w:val="009F1F4C"/>
    <w:rsid w:val="009F21A9"/>
    <w:rsid w:val="009F2251"/>
    <w:rsid w:val="009F2337"/>
    <w:rsid w:val="009F2636"/>
    <w:rsid w:val="009F2AD0"/>
    <w:rsid w:val="009F2B7E"/>
    <w:rsid w:val="009F3200"/>
    <w:rsid w:val="009F333E"/>
    <w:rsid w:val="009F338D"/>
    <w:rsid w:val="009F3BDB"/>
    <w:rsid w:val="009F4884"/>
    <w:rsid w:val="009F4D55"/>
    <w:rsid w:val="009F4D9F"/>
    <w:rsid w:val="009F4DB8"/>
    <w:rsid w:val="009F4ED0"/>
    <w:rsid w:val="009F5950"/>
    <w:rsid w:val="009F5FE6"/>
    <w:rsid w:val="009F607E"/>
    <w:rsid w:val="009F6DFD"/>
    <w:rsid w:val="009F6EFE"/>
    <w:rsid w:val="009F6F89"/>
    <w:rsid w:val="009F741E"/>
    <w:rsid w:val="009F7766"/>
    <w:rsid w:val="009F7D26"/>
    <w:rsid w:val="00A00294"/>
    <w:rsid w:val="00A007E4"/>
    <w:rsid w:val="00A01035"/>
    <w:rsid w:val="00A0147A"/>
    <w:rsid w:val="00A016B8"/>
    <w:rsid w:val="00A01D80"/>
    <w:rsid w:val="00A02068"/>
    <w:rsid w:val="00A0217E"/>
    <w:rsid w:val="00A039BA"/>
    <w:rsid w:val="00A041CB"/>
    <w:rsid w:val="00A04806"/>
    <w:rsid w:val="00A0481F"/>
    <w:rsid w:val="00A05037"/>
    <w:rsid w:val="00A0505E"/>
    <w:rsid w:val="00A06BB6"/>
    <w:rsid w:val="00A07FF6"/>
    <w:rsid w:val="00A10F5A"/>
    <w:rsid w:val="00A11246"/>
    <w:rsid w:val="00A112A0"/>
    <w:rsid w:val="00A112FA"/>
    <w:rsid w:val="00A117F9"/>
    <w:rsid w:val="00A11D68"/>
    <w:rsid w:val="00A12AE9"/>
    <w:rsid w:val="00A1391B"/>
    <w:rsid w:val="00A13BB3"/>
    <w:rsid w:val="00A145A3"/>
    <w:rsid w:val="00A151C8"/>
    <w:rsid w:val="00A15690"/>
    <w:rsid w:val="00A1593D"/>
    <w:rsid w:val="00A15989"/>
    <w:rsid w:val="00A15E51"/>
    <w:rsid w:val="00A167A1"/>
    <w:rsid w:val="00A16CBB"/>
    <w:rsid w:val="00A17043"/>
    <w:rsid w:val="00A17140"/>
    <w:rsid w:val="00A1731B"/>
    <w:rsid w:val="00A20399"/>
    <w:rsid w:val="00A20478"/>
    <w:rsid w:val="00A204EE"/>
    <w:rsid w:val="00A20F7C"/>
    <w:rsid w:val="00A22268"/>
    <w:rsid w:val="00A2230D"/>
    <w:rsid w:val="00A22691"/>
    <w:rsid w:val="00A22CE4"/>
    <w:rsid w:val="00A2371B"/>
    <w:rsid w:val="00A23D6F"/>
    <w:rsid w:val="00A2442A"/>
    <w:rsid w:val="00A24710"/>
    <w:rsid w:val="00A24985"/>
    <w:rsid w:val="00A24EC3"/>
    <w:rsid w:val="00A251D6"/>
    <w:rsid w:val="00A25848"/>
    <w:rsid w:val="00A25A31"/>
    <w:rsid w:val="00A25AEF"/>
    <w:rsid w:val="00A262B7"/>
    <w:rsid w:val="00A26C9A"/>
    <w:rsid w:val="00A2737E"/>
    <w:rsid w:val="00A27A37"/>
    <w:rsid w:val="00A300C2"/>
    <w:rsid w:val="00A30B31"/>
    <w:rsid w:val="00A30E84"/>
    <w:rsid w:val="00A30E8D"/>
    <w:rsid w:val="00A30FDF"/>
    <w:rsid w:val="00A32B50"/>
    <w:rsid w:val="00A32C9D"/>
    <w:rsid w:val="00A32F4A"/>
    <w:rsid w:val="00A33BF4"/>
    <w:rsid w:val="00A33CE1"/>
    <w:rsid w:val="00A3475B"/>
    <w:rsid w:val="00A3480F"/>
    <w:rsid w:val="00A34827"/>
    <w:rsid w:val="00A34A0C"/>
    <w:rsid w:val="00A34F9D"/>
    <w:rsid w:val="00A352A6"/>
    <w:rsid w:val="00A35EBA"/>
    <w:rsid w:val="00A3643B"/>
    <w:rsid w:val="00A36E9E"/>
    <w:rsid w:val="00A37289"/>
    <w:rsid w:val="00A3755A"/>
    <w:rsid w:val="00A37C61"/>
    <w:rsid w:val="00A37DEB"/>
    <w:rsid w:val="00A406C6"/>
    <w:rsid w:val="00A40937"/>
    <w:rsid w:val="00A40B61"/>
    <w:rsid w:val="00A4212B"/>
    <w:rsid w:val="00A4247C"/>
    <w:rsid w:val="00A426E3"/>
    <w:rsid w:val="00A42CB0"/>
    <w:rsid w:val="00A42CD3"/>
    <w:rsid w:val="00A439AC"/>
    <w:rsid w:val="00A43A67"/>
    <w:rsid w:val="00A446D3"/>
    <w:rsid w:val="00A44C0F"/>
    <w:rsid w:val="00A44EB4"/>
    <w:rsid w:val="00A44F5B"/>
    <w:rsid w:val="00A45124"/>
    <w:rsid w:val="00A45333"/>
    <w:rsid w:val="00A45876"/>
    <w:rsid w:val="00A45D47"/>
    <w:rsid w:val="00A45DDC"/>
    <w:rsid w:val="00A462FE"/>
    <w:rsid w:val="00A46C0A"/>
    <w:rsid w:val="00A46E8D"/>
    <w:rsid w:val="00A476CA"/>
    <w:rsid w:val="00A47B16"/>
    <w:rsid w:val="00A47BEE"/>
    <w:rsid w:val="00A47FAA"/>
    <w:rsid w:val="00A50398"/>
    <w:rsid w:val="00A503FD"/>
    <w:rsid w:val="00A50F1D"/>
    <w:rsid w:val="00A5131E"/>
    <w:rsid w:val="00A51669"/>
    <w:rsid w:val="00A51682"/>
    <w:rsid w:val="00A51766"/>
    <w:rsid w:val="00A52166"/>
    <w:rsid w:val="00A522B3"/>
    <w:rsid w:val="00A53029"/>
    <w:rsid w:val="00A53599"/>
    <w:rsid w:val="00A53E37"/>
    <w:rsid w:val="00A541F0"/>
    <w:rsid w:val="00A54327"/>
    <w:rsid w:val="00A5473B"/>
    <w:rsid w:val="00A54A18"/>
    <w:rsid w:val="00A55923"/>
    <w:rsid w:val="00A55972"/>
    <w:rsid w:val="00A55986"/>
    <w:rsid w:val="00A55A28"/>
    <w:rsid w:val="00A55C3A"/>
    <w:rsid w:val="00A55D16"/>
    <w:rsid w:val="00A564D9"/>
    <w:rsid w:val="00A56C50"/>
    <w:rsid w:val="00A57699"/>
    <w:rsid w:val="00A577EA"/>
    <w:rsid w:val="00A57DD4"/>
    <w:rsid w:val="00A57E68"/>
    <w:rsid w:val="00A57F1C"/>
    <w:rsid w:val="00A57F27"/>
    <w:rsid w:val="00A6072D"/>
    <w:rsid w:val="00A60947"/>
    <w:rsid w:val="00A60D96"/>
    <w:rsid w:val="00A611DB"/>
    <w:rsid w:val="00A613FC"/>
    <w:rsid w:val="00A61558"/>
    <w:rsid w:val="00A616A7"/>
    <w:rsid w:val="00A61F0A"/>
    <w:rsid w:val="00A624E7"/>
    <w:rsid w:val="00A62A78"/>
    <w:rsid w:val="00A6336A"/>
    <w:rsid w:val="00A63640"/>
    <w:rsid w:val="00A63A7F"/>
    <w:rsid w:val="00A64079"/>
    <w:rsid w:val="00A65008"/>
    <w:rsid w:val="00A6505B"/>
    <w:rsid w:val="00A654C6"/>
    <w:rsid w:val="00A65562"/>
    <w:rsid w:val="00A655C2"/>
    <w:rsid w:val="00A66191"/>
    <w:rsid w:val="00A664BE"/>
    <w:rsid w:val="00A66D13"/>
    <w:rsid w:val="00A66E68"/>
    <w:rsid w:val="00A67EA7"/>
    <w:rsid w:val="00A7029F"/>
    <w:rsid w:val="00A7032D"/>
    <w:rsid w:val="00A7036F"/>
    <w:rsid w:val="00A7075A"/>
    <w:rsid w:val="00A7075E"/>
    <w:rsid w:val="00A70847"/>
    <w:rsid w:val="00A70F1F"/>
    <w:rsid w:val="00A70FA6"/>
    <w:rsid w:val="00A71966"/>
    <w:rsid w:val="00A71C66"/>
    <w:rsid w:val="00A71E48"/>
    <w:rsid w:val="00A72711"/>
    <w:rsid w:val="00A72A8D"/>
    <w:rsid w:val="00A72F94"/>
    <w:rsid w:val="00A739AB"/>
    <w:rsid w:val="00A73D61"/>
    <w:rsid w:val="00A745D4"/>
    <w:rsid w:val="00A7470A"/>
    <w:rsid w:val="00A74823"/>
    <w:rsid w:val="00A74CCC"/>
    <w:rsid w:val="00A75DF6"/>
    <w:rsid w:val="00A762BF"/>
    <w:rsid w:val="00A76551"/>
    <w:rsid w:val="00A76CC8"/>
    <w:rsid w:val="00A76E78"/>
    <w:rsid w:val="00A774D3"/>
    <w:rsid w:val="00A7753C"/>
    <w:rsid w:val="00A77831"/>
    <w:rsid w:val="00A77ABB"/>
    <w:rsid w:val="00A801B5"/>
    <w:rsid w:val="00A80420"/>
    <w:rsid w:val="00A80456"/>
    <w:rsid w:val="00A805ED"/>
    <w:rsid w:val="00A80A85"/>
    <w:rsid w:val="00A8142D"/>
    <w:rsid w:val="00A8160C"/>
    <w:rsid w:val="00A8189D"/>
    <w:rsid w:val="00A81C3E"/>
    <w:rsid w:val="00A81D36"/>
    <w:rsid w:val="00A8228B"/>
    <w:rsid w:val="00A82831"/>
    <w:rsid w:val="00A82AF4"/>
    <w:rsid w:val="00A82D1F"/>
    <w:rsid w:val="00A8318C"/>
    <w:rsid w:val="00A831DF"/>
    <w:rsid w:val="00A83C02"/>
    <w:rsid w:val="00A83FBF"/>
    <w:rsid w:val="00A84117"/>
    <w:rsid w:val="00A8414C"/>
    <w:rsid w:val="00A842C7"/>
    <w:rsid w:val="00A843E8"/>
    <w:rsid w:val="00A8467C"/>
    <w:rsid w:val="00A84930"/>
    <w:rsid w:val="00A849EB"/>
    <w:rsid w:val="00A8531D"/>
    <w:rsid w:val="00A85A7D"/>
    <w:rsid w:val="00A85F46"/>
    <w:rsid w:val="00A86A6C"/>
    <w:rsid w:val="00A86E49"/>
    <w:rsid w:val="00A86EC7"/>
    <w:rsid w:val="00A86F7D"/>
    <w:rsid w:val="00A9011A"/>
    <w:rsid w:val="00A901C2"/>
    <w:rsid w:val="00A90918"/>
    <w:rsid w:val="00A90FCE"/>
    <w:rsid w:val="00A9145D"/>
    <w:rsid w:val="00A914E0"/>
    <w:rsid w:val="00A91844"/>
    <w:rsid w:val="00A91F08"/>
    <w:rsid w:val="00A92934"/>
    <w:rsid w:val="00A929E3"/>
    <w:rsid w:val="00A92BB1"/>
    <w:rsid w:val="00A9396A"/>
    <w:rsid w:val="00A9421D"/>
    <w:rsid w:val="00A944F2"/>
    <w:rsid w:val="00A9501C"/>
    <w:rsid w:val="00A9541F"/>
    <w:rsid w:val="00A955D5"/>
    <w:rsid w:val="00A956FE"/>
    <w:rsid w:val="00A95F97"/>
    <w:rsid w:val="00A96720"/>
    <w:rsid w:val="00AA004E"/>
    <w:rsid w:val="00AA0566"/>
    <w:rsid w:val="00AA0A81"/>
    <w:rsid w:val="00AA1F58"/>
    <w:rsid w:val="00AA27D5"/>
    <w:rsid w:val="00AA2B23"/>
    <w:rsid w:val="00AA2E3B"/>
    <w:rsid w:val="00AA3076"/>
    <w:rsid w:val="00AA3E97"/>
    <w:rsid w:val="00AA41D4"/>
    <w:rsid w:val="00AA41E1"/>
    <w:rsid w:val="00AA4409"/>
    <w:rsid w:val="00AA44CD"/>
    <w:rsid w:val="00AA4D41"/>
    <w:rsid w:val="00AA4E19"/>
    <w:rsid w:val="00AA553F"/>
    <w:rsid w:val="00AA584F"/>
    <w:rsid w:val="00AA5C75"/>
    <w:rsid w:val="00AA5EB4"/>
    <w:rsid w:val="00AA61F8"/>
    <w:rsid w:val="00AA62C3"/>
    <w:rsid w:val="00AA652E"/>
    <w:rsid w:val="00AA653D"/>
    <w:rsid w:val="00AA6C30"/>
    <w:rsid w:val="00AA705E"/>
    <w:rsid w:val="00AA7E34"/>
    <w:rsid w:val="00AB028F"/>
    <w:rsid w:val="00AB0405"/>
    <w:rsid w:val="00AB09B0"/>
    <w:rsid w:val="00AB0C33"/>
    <w:rsid w:val="00AB0FB8"/>
    <w:rsid w:val="00AB1093"/>
    <w:rsid w:val="00AB10E4"/>
    <w:rsid w:val="00AB110A"/>
    <w:rsid w:val="00AB1792"/>
    <w:rsid w:val="00AB1A98"/>
    <w:rsid w:val="00AB1EFF"/>
    <w:rsid w:val="00AB3464"/>
    <w:rsid w:val="00AB3647"/>
    <w:rsid w:val="00AB39E1"/>
    <w:rsid w:val="00AB3AD9"/>
    <w:rsid w:val="00AB3D9C"/>
    <w:rsid w:val="00AB439D"/>
    <w:rsid w:val="00AB4803"/>
    <w:rsid w:val="00AB4899"/>
    <w:rsid w:val="00AB4EC0"/>
    <w:rsid w:val="00AB5035"/>
    <w:rsid w:val="00AB5628"/>
    <w:rsid w:val="00AB5891"/>
    <w:rsid w:val="00AB5A33"/>
    <w:rsid w:val="00AB5A98"/>
    <w:rsid w:val="00AB66DA"/>
    <w:rsid w:val="00AB6C23"/>
    <w:rsid w:val="00AB6E99"/>
    <w:rsid w:val="00AB7300"/>
    <w:rsid w:val="00AB7502"/>
    <w:rsid w:val="00AB77CF"/>
    <w:rsid w:val="00AC0364"/>
    <w:rsid w:val="00AC0BAC"/>
    <w:rsid w:val="00AC0D14"/>
    <w:rsid w:val="00AC2DCE"/>
    <w:rsid w:val="00AC3093"/>
    <w:rsid w:val="00AC33FB"/>
    <w:rsid w:val="00AC36A0"/>
    <w:rsid w:val="00AC3EE3"/>
    <w:rsid w:val="00AC452F"/>
    <w:rsid w:val="00AC458F"/>
    <w:rsid w:val="00AC4C28"/>
    <w:rsid w:val="00AC4C4A"/>
    <w:rsid w:val="00AC4EE8"/>
    <w:rsid w:val="00AC4F26"/>
    <w:rsid w:val="00AC53DD"/>
    <w:rsid w:val="00AC586A"/>
    <w:rsid w:val="00AC5E9D"/>
    <w:rsid w:val="00AC628E"/>
    <w:rsid w:val="00AC69DF"/>
    <w:rsid w:val="00AC6D48"/>
    <w:rsid w:val="00AC6FE9"/>
    <w:rsid w:val="00AC720A"/>
    <w:rsid w:val="00AC7307"/>
    <w:rsid w:val="00AC797B"/>
    <w:rsid w:val="00AD0F42"/>
    <w:rsid w:val="00AD11BA"/>
    <w:rsid w:val="00AD154D"/>
    <w:rsid w:val="00AD2129"/>
    <w:rsid w:val="00AD22E0"/>
    <w:rsid w:val="00AD2D73"/>
    <w:rsid w:val="00AD43F9"/>
    <w:rsid w:val="00AD5411"/>
    <w:rsid w:val="00AD5D8A"/>
    <w:rsid w:val="00AD6675"/>
    <w:rsid w:val="00AD6724"/>
    <w:rsid w:val="00AD74E0"/>
    <w:rsid w:val="00AD7716"/>
    <w:rsid w:val="00AD7785"/>
    <w:rsid w:val="00AE0822"/>
    <w:rsid w:val="00AE08E5"/>
    <w:rsid w:val="00AE150B"/>
    <w:rsid w:val="00AE1D0A"/>
    <w:rsid w:val="00AE1DB8"/>
    <w:rsid w:val="00AE26E5"/>
    <w:rsid w:val="00AE366C"/>
    <w:rsid w:val="00AE41DA"/>
    <w:rsid w:val="00AE461F"/>
    <w:rsid w:val="00AE5530"/>
    <w:rsid w:val="00AE56A6"/>
    <w:rsid w:val="00AE59D8"/>
    <w:rsid w:val="00AE5D4E"/>
    <w:rsid w:val="00AE5DE6"/>
    <w:rsid w:val="00AE7085"/>
    <w:rsid w:val="00AE7153"/>
    <w:rsid w:val="00AE720C"/>
    <w:rsid w:val="00AE7485"/>
    <w:rsid w:val="00AE7778"/>
    <w:rsid w:val="00AE7A4D"/>
    <w:rsid w:val="00AE7B31"/>
    <w:rsid w:val="00AF0045"/>
    <w:rsid w:val="00AF00C5"/>
    <w:rsid w:val="00AF0167"/>
    <w:rsid w:val="00AF0C51"/>
    <w:rsid w:val="00AF1489"/>
    <w:rsid w:val="00AF1AFB"/>
    <w:rsid w:val="00AF1C74"/>
    <w:rsid w:val="00AF1ECA"/>
    <w:rsid w:val="00AF33E0"/>
    <w:rsid w:val="00AF385B"/>
    <w:rsid w:val="00AF396F"/>
    <w:rsid w:val="00AF41BB"/>
    <w:rsid w:val="00AF46AF"/>
    <w:rsid w:val="00AF4750"/>
    <w:rsid w:val="00AF4814"/>
    <w:rsid w:val="00AF4BC1"/>
    <w:rsid w:val="00AF51CC"/>
    <w:rsid w:val="00AF5219"/>
    <w:rsid w:val="00AF5D05"/>
    <w:rsid w:val="00AF67D1"/>
    <w:rsid w:val="00AF76F3"/>
    <w:rsid w:val="00AF7D2B"/>
    <w:rsid w:val="00B001F8"/>
    <w:rsid w:val="00B0056A"/>
    <w:rsid w:val="00B0068B"/>
    <w:rsid w:val="00B014EB"/>
    <w:rsid w:val="00B01519"/>
    <w:rsid w:val="00B01862"/>
    <w:rsid w:val="00B01C15"/>
    <w:rsid w:val="00B01D75"/>
    <w:rsid w:val="00B02599"/>
    <w:rsid w:val="00B02DCE"/>
    <w:rsid w:val="00B0366B"/>
    <w:rsid w:val="00B03968"/>
    <w:rsid w:val="00B03E80"/>
    <w:rsid w:val="00B041C4"/>
    <w:rsid w:val="00B045B2"/>
    <w:rsid w:val="00B0498D"/>
    <w:rsid w:val="00B04D82"/>
    <w:rsid w:val="00B04F4D"/>
    <w:rsid w:val="00B05C0E"/>
    <w:rsid w:val="00B06449"/>
    <w:rsid w:val="00B06512"/>
    <w:rsid w:val="00B06775"/>
    <w:rsid w:val="00B068C6"/>
    <w:rsid w:val="00B0692F"/>
    <w:rsid w:val="00B0745E"/>
    <w:rsid w:val="00B07CB2"/>
    <w:rsid w:val="00B10177"/>
    <w:rsid w:val="00B104F5"/>
    <w:rsid w:val="00B11175"/>
    <w:rsid w:val="00B113D6"/>
    <w:rsid w:val="00B1140B"/>
    <w:rsid w:val="00B11D47"/>
    <w:rsid w:val="00B128AE"/>
    <w:rsid w:val="00B12987"/>
    <w:rsid w:val="00B12EAA"/>
    <w:rsid w:val="00B13083"/>
    <w:rsid w:val="00B133A6"/>
    <w:rsid w:val="00B13E1E"/>
    <w:rsid w:val="00B13E82"/>
    <w:rsid w:val="00B13F08"/>
    <w:rsid w:val="00B146AC"/>
    <w:rsid w:val="00B14828"/>
    <w:rsid w:val="00B15E93"/>
    <w:rsid w:val="00B15F4F"/>
    <w:rsid w:val="00B1631E"/>
    <w:rsid w:val="00B16879"/>
    <w:rsid w:val="00B16A6E"/>
    <w:rsid w:val="00B16EE3"/>
    <w:rsid w:val="00B17F0F"/>
    <w:rsid w:val="00B201F6"/>
    <w:rsid w:val="00B2088D"/>
    <w:rsid w:val="00B20A6D"/>
    <w:rsid w:val="00B20A85"/>
    <w:rsid w:val="00B20AFD"/>
    <w:rsid w:val="00B20C9D"/>
    <w:rsid w:val="00B210E1"/>
    <w:rsid w:val="00B2168F"/>
    <w:rsid w:val="00B218F2"/>
    <w:rsid w:val="00B21909"/>
    <w:rsid w:val="00B224E4"/>
    <w:rsid w:val="00B2357E"/>
    <w:rsid w:val="00B235D4"/>
    <w:rsid w:val="00B23A67"/>
    <w:rsid w:val="00B240D6"/>
    <w:rsid w:val="00B24913"/>
    <w:rsid w:val="00B24CFE"/>
    <w:rsid w:val="00B25518"/>
    <w:rsid w:val="00B25BB5"/>
    <w:rsid w:val="00B2616E"/>
    <w:rsid w:val="00B272FA"/>
    <w:rsid w:val="00B27441"/>
    <w:rsid w:val="00B300EE"/>
    <w:rsid w:val="00B302BD"/>
    <w:rsid w:val="00B30A69"/>
    <w:rsid w:val="00B30C36"/>
    <w:rsid w:val="00B31093"/>
    <w:rsid w:val="00B313AE"/>
    <w:rsid w:val="00B31ED6"/>
    <w:rsid w:val="00B323B9"/>
    <w:rsid w:val="00B32442"/>
    <w:rsid w:val="00B324D6"/>
    <w:rsid w:val="00B32FCE"/>
    <w:rsid w:val="00B335FF"/>
    <w:rsid w:val="00B33925"/>
    <w:rsid w:val="00B34428"/>
    <w:rsid w:val="00B34970"/>
    <w:rsid w:val="00B34D2D"/>
    <w:rsid w:val="00B34E4C"/>
    <w:rsid w:val="00B3511B"/>
    <w:rsid w:val="00B353C4"/>
    <w:rsid w:val="00B35F9D"/>
    <w:rsid w:val="00B35FCB"/>
    <w:rsid w:val="00B36777"/>
    <w:rsid w:val="00B3679F"/>
    <w:rsid w:val="00B36F17"/>
    <w:rsid w:val="00B37F3B"/>
    <w:rsid w:val="00B40D6E"/>
    <w:rsid w:val="00B41001"/>
    <w:rsid w:val="00B41610"/>
    <w:rsid w:val="00B41985"/>
    <w:rsid w:val="00B429FA"/>
    <w:rsid w:val="00B43055"/>
    <w:rsid w:val="00B437FF"/>
    <w:rsid w:val="00B44041"/>
    <w:rsid w:val="00B44557"/>
    <w:rsid w:val="00B4457C"/>
    <w:rsid w:val="00B44BAA"/>
    <w:rsid w:val="00B44E4B"/>
    <w:rsid w:val="00B44FFE"/>
    <w:rsid w:val="00B453E7"/>
    <w:rsid w:val="00B46096"/>
    <w:rsid w:val="00B460F9"/>
    <w:rsid w:val="00B46BC4"/>
    <w:rsid w:val="00B47D69"/>
    <w:rsid w:val="00B50020"/>
    <w:rsid w:val="00B504D3"/>
    <w:rsid w:val="00B51EED"/>
    <w:rsid w:val="00B52156"/>
    <w:rsid w:val="00B52A68"/>
    <w:rsid w:val="00B5305E"/>
    <w:rsid w:val="00B534A7"/>
    <w:rsid w:val="00B5351A"/>
    <w:rsid w:val="00B538EA"/>
    <w:rsid w:val="00B53940"/>
    <w:rsid w:val="00B53C82"/>
    <w:rsid w:val="00B53DF7"/>
    <w:rsid w:val="00B5418A"/>
    <w:rsid w:val="00B547BD"/>
    <w:rsid w:val="00B547E0"/>
    <w:rsid w:val="00B54D42"/>
    <w:rsid w:val="00B55244"/>
    <w:rsid w:val="00B55250"/>
    <w:rsid w:val="00B55543"/>
    <w:rsid w:val="00B55799"/>
    <w:rsid w:val="00B5589B"/>
    <w:rsid w:val="00B56847"/>
    <w:rsid w:val="00B569C3"/>
    <w:rsid w:val="00B56A84"/>
    <w:rsid w:val="00B56BB8"/>
    <w:rsid w:val="00B56EA8"/>
    <w:rsid w:val="00B5734D"/>
    <w:rsid w:val="00B57619"/>
    <w:rsid w:val="00B57918"/>
    <w:rsid w:val="00B6022D"/>
    <w:rsid w:val="00B608E4"/>
    <w:rsid w:val="00B60EE8"/>
    <w:rsid w:val="00B60FBC"/>
    <w:rsid w:val="00B60FD0"/>
    <w:rsid w:val="00B61074"/>
    <w:rsid w:val="00B614A8"/>
    <w:rsid w:val="00B61557"/>
    <w:rsid w:val="00B61951"/>
    <w:rsid w:val="00B619A2"/>
    <w:rsid w:val="00B622F2"/>
    <w:rsid w:val="00B6259C"/>
    <w:rsid w:val="00B6290A"/>
    <w:rsid w:val="00B62A81"/>
    <w:rsid w:val="00B62B04"/>
    <w:rsid w:val="00B62D47"/>
    <w:rsid w:val="00B62D49"/>
    <w:rsid w:val="00B62FA8"/>
    <w:rsid w:val="00B62FF4"/>
    <w:rsid w:val="00B6354E"/>
    <w:rsid w:val="00B651BD"/>
    <w:rsid w:val="00B65848"/>
    <w:rsid w:val="00B65B29"/>
    <w:rsid w:val="00B665AA"/>
    <w:rsid w:val="00B66830"/>
    <w:rsid w:val="00B66888"/>
    <w:rsid w:val="00B6694A"/>
    <w:rsid w:val="00B66C7E"/>
    <w:rsid w:val="00B6701A"/>
    <w:rsid w:val="00B67364"/>
    <w:rsid w:val="00B67E69"/>
    <w:rsid w:val="00B704C6"/>
    <w:rsid w:val="00B723BB"/>
    <w:rsid w:val="00B7297D"/>
    <w:rsid w:val="00B72E15"/>
    <w:rsid w:val="00B72E89"/>
    <w:rsid w:val="00B7392F"/>
    <w:rsid w:val="00B73FFD"/>
    <w:rsid w:val="00B74349"/>
    <w:rsid w:val="00B74365"/>
    <w:rsid w:val="00B74540"/>
    <w:rsid w:val="00B74D00"/>
    <w:rsid w:val="00B74E77"/>
    <w:rsid w:val="00B75BCD"/>
    <w:rsid w:val="00B760EA"/>
    <w:rsid w:val="00B7630B"/>
    <w:rsid w:val="00B763D7"/>
    <w:rsid w:val="00B7647F"/>
    <w:rsid w:val="00B76708"/>
    <w:rsid w:val="00B77835"/>
    <w:rsid w:val="00B77999"/>
    <w:rsid w:val="00B77BFF"/>
    <w:rsid w:val="00B8096E"/>
    <w:rsid w:val="00B81E00"/>
    <w:rsid w:val="00B81E7B"/>
    <w:rsid w:val="00B81F5A"/>
    <w:rsid w:val="00B820DA"/>
    <w:rsid w:val="00B821B2"/>
    <w:rsid w:val="00B82577"/>
    <w:rsid w:val="00B82B64"/>
    <w:rsid w:val="00B83BF9"/>
    <w:rsid w:val="00B84250"/>
    <w:rsid w:val="00B842E4"/>
    <w:rsid w:val="00B84509"/>
    <w:rsid w:val="00B84741"/>
    <w:rsid w:val="00B851B9"/>
    <w:rsid w:val="00B85CB1"/>
    <w:rsid w:val="00B86756"/>
    <w:rsid w:val="00B86A92"/>
    <w:rsid w:val="00B86B82"/>
    <w:rsid w:val="00B86BDE"/>
    <w:rsid w:val="00B86F7F"/>
    <w:rsid w:val="00B870E7"/>
    <w:rsid w:val="00B871C0"/>
    <w:rsid w:val="00B9081C"/>
    <w:rsid w:val="00B90A82"/>
    <w:rsid w:val="00B90C59"/>
    <w:rsid w:val="00B910FA"/>
    <w:rsid w:val="00B91465"/>
    <w:rsid w:val="00B92E38"/>
    <w:rsid w:val="00B92F98"/>
    <w:rsid w:val="00B932F8"/>
    <w:rsid w:val="00B932F9"/>
    <w:rsid w:val="00B936C6"/>
    <w:rsid w:val="00B942C7"/>
    <w:rsid w:val="00B9523E"/>
    <w:rsid w:val="00B9552D"/>
    <w:rsid w:val="00B97085"/>
    <w:rsid w:val="00B97696"/>
    <w:rsid w:val="00BA01A4"/>
    <w:rsid w:val="00BA1149"/>
    <w:rsid w:val="00BA14D1"/>
    <w:rsid w:val="00BA1D7D"/>
    <w:rsid w:val="00BA27C1"/>
    <w:rsid w:val="00BA2C92"/>
    <w:rsid w:val="00BA2CBF"/>
    <w:rsid w:val="00BA319C"/>
    <w:rsid w:val="00BA36DE"/>
    <w:rsid w:val="00BA3ACB"/>
    <w:rsid w:val="00BA3D1A"/>
    <w:rsid w:val="00BA4396"/>
    <w:rsid w:val="00BA492E"/>
    <w:rsid w:val="00BA4C48"/>
    <w:rsid w:val="00BA4DBF"/>
    <w:rsid w:val="00BA5859"/>
    <w:rsid w:val="00BA59A3"/>
    <w:rsid w:val="00BA5A78"/>
    <w:rsid w:val="00BA5B6B"/>
    <w:rsid w:val="00BA6D06"/>
    <w:rsid w:val="00BA7664"/>
    <w:rsid w:val="00BA7CCD"/>
    <w:rsid w:val="00BB0410"/>
    <w:rsid w:val="00BB0616"/>
    <w:rsid w:val="00BB0BEB"/>
    <w:rsid w:val="00BB17D4"/>
    <w:rsid w:val="00BB1977"/>
    <w:rsid w:val="00BB2812"/>
    <w:rsid w:val="00BB292F"/>
    <w:rsid w:val="00BB2B9D"/>
    <w:rsid w:val="00BB2BE4"/>
    <w:rsid w:val="00BB2FF5"/>
    <w:rsid w:val="00BB306C"/>
    <w:rsid w:val="00BB3272"/>
    <w:rsid w:val="00BB3895"/>
    <w:rsid w:val="00BB3DF6"/>
    <w:rsid w:val="00BB3E21"/>
    <w:rsid w:val="00BB3F1D"/>
    <w:rsid w:val="00BB413F"/>
    <w:rsid w:val="00BB41AA"/>
    <w:rsid w:val="00BB4C96"/>
    <w:rsid w:val="00BB4DE4"/>
    <w:rsid w:val="00BB53C9"/>
    <w:rsid w:val="00BB6A7C"/>
    <w:rsid w:val="00BB6ABC"/>
    <w:rsid w:val="00BB6B82"/>
    <w:rsid w:val="00BB734A"/>
    <w:rsid w:val="00BB7429"/>
    <w:rsid w:val="00BB79B6"/>
    <w:rsid w:val="00BB7D02"/>
    <w:rsid w:val="00BC018F"/>
    <w:rsid w:val="00BC0A20"/>
    <w:rsid w:val="00BC0BD7"/>
    <w:rsid w:val="00BC179E"/>
    <w:rsid w:val="00BC17CE"/>
    <w:rsid w:val="00BC1D8D"/>
    <w:rsid w:val="00BC2A8F"/>
    <w:rsid w:val="00BC2BF8"/>
    <w:rsid w:val="00BC3204"/>
    <w:rsid w:val="00BC3957"/>
    <w:rsid w:val="00BC3CB9"/>
    <w:rsid w:val="00BC4544"/>
    <w:rsid w:val="00BC54E8"/>
    <w:rsid w:val="00BC5DCC"/>
    <w:rsid w:val="00BC5E01"/>
    <w:rsid w:val="00BC6D06"/>
    <w:rsid w:val="00BC7055"/>
    <w:rsid w:val="00BC78F7"/>
    <w:rsid w:val="00BC7BBA"/>
    <w:rsid w:val="00BC7CA3"/>
    <w:rsid w:val="00BD0196"/>
    <w:rsid w:val="00BD01BA"/>
    <w:rsid w:val="00BD0689"/>
    <w:rsid w:val="00BD07C6"/>
    <w:rsid w:val="00BD0810"/>
    <w:rsid w:val="00BD108E"/>
    <w:rsid w:val="00BD13D6"/>
    <w:rsid w:val="00BD1CE6"/>
    <w:rsid w:val="00BD24D4"/>
    <w:rsid w:val="00BD284C"/>
    <w:rsid w:val="00BD29E4"/>
    <w:rsid w:val="00BD307B"/>
    <w:rsid w:val="00BD3D27"/>
    <w:rsid w:val="00BD3E8A"/>
    <w:rsid w:val="00BD4A55"/>
    <w:rsid w:val="00BD4FF3"/>
    <w:rsid w:val="00BD57D4"/>
    <w:rsid w:val="00BD590B"/>
    <w:rsid w:val="00BD637B"/>
    <w:rsid w:val="00BD6A74"/>
    <w:rsid w:val="00BD6CBE"/>
    <w:rsid w:val="00BD7525"/>
    <w:rsid w:val="00BD7655"/>
    <w:rsid w:val="00BD77BC"/>
    <w:rsid w:val="00BD7AA4"/>
    <w:rsid w:val="00BD7FB1"/>
    <w:rsid w:val="00BE002F"/>
    <w:rsid w:val="00BE01AD"/>
    <w:rsid w:val="00BE05D4"/>
    <w:rsid w:val="00BE0A19"/>
    <w:rsid w:val="00BE0C33"/>
    <w:rsid w:val="00BE0F70"/>
    <w:rsid w:val="00BE0FB7"/>
    <w:rsid w:val="00BE17B7"/>
    <w:rsid w:val="00BE1A67"/>
    <w:rsid w:val="00BE1EC6"/>
    <w:rsid w:val="00BE1F2F"/>
    <w:rsid w:val="00BE2630"/>
    <w:rsid w:val="00BE3461"/>
    <w:rsid w:val="00BE3773"/>
    <w:rsid w:val="00BE3A76"/>
    <w:rsid w:val="00BE3BD9"/>
    <w:rsid w:val="00BE40F6"/>
    <w:rsid w:val="00BE4E28"/>
    <w:rsid w:val="00BE5316"/>
    <w:rsid w:val="00BE6003"/>
    <w:rsid w:val="00BE62B9"/>
    <w:rsid w:val="00BE62FE"/>
    <w:rsid w:val="00BE6AB8"/>
    <w:rsid w:val="00BE6DD3"/>
    <w:rsid w:val="00BE76EF"/>
    <w:rsid w:val="00BE7703"/>
    <w:rsid w:val="00BF0D8C"/>
    <w:rsid w:val="00BF13D7"/>
    <w:rsid w:val="00BF15D7"/>
    <w:rsid w:val="00BF31E3"/>
    <w:rsid w:val="00BF37DC"/>
    <w:rsid w:val="00BF3CDB"/>
    <w:rsid w:val="00BF45BC"/>
    <w:rsid w:val="00BF46F6"/>
    <w:rsid w:val="00BF5441"/>
    <w:rsid w:val="00BF5805"/>
    <w:rsid w:val="00C00900"/>
    <w:rsid w:val="00C00BDF"/>
    <w:rsid w:val="00C0131C"/>
    <w:rsid w:val="00C017A8"/>
    <w:rsid w:val="00C01CD1"/>
    <w:rsid w:val="00C02A8E"/>
    <w:rsid w:val="00C04047"/>
    <w:rsid w:val="00C0429E"/>
    <w:rsid w:val="00C048C6"/>
    <w:rsid w:val="00C04C64"/>
    <w:rsid w:val="00C04C90"/>
    <w:rsid w:val="00C05823"/>
    <w:rsid w:val="00C058FA"/>
    <w:rsid w:val="00C06049"/>
    <w:rsid w:val="00C0668A"/>
    <w:rsid w:val="00C07131"/>
    <w:rsid w:val="00C07340"/>
    <w:rsid w:val="00C07E41"/>
    <w:rsid w:val="00C1080E"/>
    <w:rsid w:val="00C1101C"/>
    <w:rsid w:val="00C118F3"/>
    <w:rsid w:val="00C11C8F"/>
    <w:rsid w:val="00C11E7A"/>
    <w:rsid w:val="00C11ED8"/>
    <w:rsid w:val="00C12300"/>
    <w:rsid w:val="00C12591"/>
    <w:rsid w:val="00C12676"/>
    <w:rsid w:val="00C12855"/>
    <w:rsid w:val="00C13906"/>
    <w:rsid w:val="00C14748"/>
    <w:rsid w:val="00C1512A"/>
    <w:rsid w:val="00C1603A"/>
    <w:rsid w:val="00C160C6"/>
    <w:rsid w:val="00C16121"/>
    <w:rsid w:val="00C16795"/>
    <w:rsid w:val="00C174B2"/>
    <w:rsid w:val="00C17525"/>
    <w:rsid w:val="00C17718"/>
    <w:rsid w:val="00C1784A"/>
    <w:rsid w:val="00C17F16"/>
    <w:rsid w:val="00C201F7"/>
    <w:rsid w:val="00C20955"/>
    <w:rsid w:val="00C209E7"/>
    <w:rsid w:val="00C2141E"/>
    <w:rsid w:val="00C216AF"/>
    <w:rsid w:val="00C216EF"/>
    <w:rsid w:val="00C2215B"/>
    <w:rsid w:val="00C22344"/>
    <w:rsid w:val="00C22B06"/>
    <w:rsid w:val="00C232F0"/>
    <w:rsid w:val="00C23D6B"/>
    <w:rsid w:val="00C24447"/>
    <w:rsid w:val="00C24565"/>
    <w:rsid w:val="00C24B6D"/>
    <w:rsid w:val="00C253C6"/>
    <w:rsid w:val="00C2595F"/>
    <w:rsid w:val="00C25B34"/>
    <w:rsid w:val="00C25FAD"/>
    <w:rsid w:val="00C260EB"/>
    <w:rsid w:val="00C263B4"/>
    <w:rsid w:val="00C263FA"/>
    <w:rsid w:val="00C27735"/>
    <w:rsid w:val="00C27E61"/>
    <w:rsid w:val="00C30325"/>
    <w:rsid w:val="00C30467"/>
    <w:rsid w:val="00C304AB"/>
    <w:rsid w:val="00C3061C"/>
    <w:rsid w:val="00C311D7"/>
    <w:rsid w:val="00C3155A"/>
    <w:rsid w:val="00C31E60"/>
    <w:rsid w:val="00C322F1"/>
    <w:rsid w:val="00C3341A"/>
    <w:rsid w:val="00C33857"/>
    <w:rsid w:val="00C33B15"/>
    <w:rsid w:val="00C33F76"/>
    <w:rsid w:val="00C34151"/>
    <w:rsid w:val="00C344E6"/>
    <w:rsid w:val="00C3476F"/>
    <w:rsid w:val="00C34A52"/>
    <w:rsid w:val="00C3519C"/>
    <w:rsid w:val="00C35345"/>
    <w:rsid w:val="00C3582C"/>
    <w:rsid w:val="00C35A77"/>
    <w:rsid w:val="00C35B41"/>
    <w:rsid w:val="00C35C76"/>
    <w:rsid w:val="00C364DC"/>
    <w:rsid w:val="00C3652C"/>
    <w:rsid w:val="00C36AFB"/>
    <w:rsid w:val="00C37400"/>
    <w:rsid w:val="00C3768E"/>
    <w:rsid w:val="00C40444"/>
    <w:rsid w:val="00C40AC2"/>
    <w:rsid w:val="00C41428"/>
    <w:rsid w:val="00C43C14"/>
    <w:rsid w:val="00C43C5D"/>
    <w:rsid w:val="00C43F02"/>
    <w:rsid w:val="00C4405E"/>
    <w:rsid w:val="00C44648"/>
    <w:rsid w:val="00C45650"/>
    <w:rsid w:val="00C45A98"/>
    <w:rsid w:val="00C45F16"/>
    <w:rsid w:val="00C463BC"/>
    <w:rsid w:val="00C465C5"/>
    <w:rsid w:val="00C46C04"/>
    <w:rsid w:val="00C46D74"/>
    <w:rsid w:val="00C474CB"/>
    <w:rsid w:val="00C477ED"/>
    <w:rsid w:val="00C47E68"/>
    <w:rsid w:val="00C47F38"/>
    <w:rsid w:val="00C50167"/>
    <w:rsid w:val="00C506C0"/>
    <w:rsid w:val="00C51123"/>
    <w:rsid w:val="00C513BC"/>
    <w:rsid w:val="00C51C5A"/>
    <w:rsid w:val="00C52920"/>
    <w:rsid w:val="00C53852"/>
    <w:rsid w:val="00C53F61"/>
    <w:rsid w:val="00C53FBA"/>
    <w:rsid w:val="00C54427"/>
    <w:rsid w:val="00C5456C"/>
    <w:rsid w:val="00C545BE"/>
    <w:rsid w:val="00C54BF2"/>
    <w:rsid w:val="00C54EED"/>
    <w:rsid w:val="00C550FE"/>
    <w:rsid w:val="00C556E9"/>
    <w:rsid w:val="00C55BCF"/>
    <w:rsid w:val="00C55FC7"/>
    <w:rsid w:val="00C563BC"/>
    <w:rsid w:val="00C5654E"/>
    <w:rsid w:val="00C56967"/>
    <w:rsid w:val="00C57015"/>
    <w:rsid w:val="00C57145"/>
    <w:rsid w:val="00C57150"/>
    <w:rsid w:val="00C5757F"/>
    <w:rsid w:val="00C60B05"/>
    <w:rsid w:val="00C60CE7"/>
    <w:rsid w:val="00C6369A"/>
    <w:rsid w:val="00C63965"/>
    <w:rsid w:val="00C63FDB"/>
    <w:rsid w:val="00C64304"/>
    <w:rsid w:val="00C6497B"/>
    <w:rsid w:val="00C64F35"/>
    <w:rsid w:val="00C65174"/>
    <w:rsid w:val="00C6598F"/>
    <w:rsid w:val="00C65DBB"/>
    <w:rsid w:val="00C662F8"/>
    <w:rsid w:val="00C666EA"/>
    <w:rsid w:val="00C66F02"/>
    <w:rsid w:val="00C67589"/>
    <w:rsid w:val="00C7016B"/>
    <w:rsid w:val="00C70564"/>
    <w:rsid w:val="00C70763"/>
    <w:rsid w:val="00C70DCD"/>
    <w:rsid w:val="00C71740"/>
    <w:rsid w:val="00C71823"/>
    <w:rsid w:val="00C719C3"/>
    <w:rsid w:val="00C71B88"/>
    <w:rsid w:val="00C720A8"/>
    <w:rsid w:val="00C725A7"/>
    <w:rsid w:val="00C72EEE"/>
    <w:rsid w:val="00C73868"/>
    <w:rsid w:val="00C7399D"/>
    <w:rsid w:val="00C73A69"/>
    <w:rsid w:val="00C73A75"/>
    <w:rsid w:val="00C73E8F"/>
    <w:rsid w:val="00C74AAD"/>
    <w:rsid w:val="00C74F1D"/>
    <w:rsid w:val="00C75256"/>
    <w:rsid w:val="00C757CE"/>
    <w:rsid w:val="00C758D4"/>
    <w:rsid w:val="00C7685D"/>
    <w:rsid w:val="00C7727B"/>
    <w:rsid w:val="00C7734C"/>
    <w:rsid w:val="00C774A0"/>
    <w:rsid w:val="00C776EA"/>
    <w:rsid w:val="00C77CB2"/>
    <w:rsid w:val="00C77F02"/>
    <w:rsid w:val="00C80986"/>
    <w:rsid w:val="00C816D8"/>
    <w:rsid w:val="00C819A5"/>
    <w:rsid w:val="00C81B0A"/>
    <w:rsid w:val="00C81B9C"/>
    <w:rsid w:val="00C81E7A"/>
    <w:rsid w:val="00C81E7D"/>
    <w:rsid w:val="00C81F6D"/>
    <w:rsid w:val="00C822F3"/>
    <w:rsid w:val="00C827F2"/>
    <w:rsid w:val="00C8302A"/>
    <w:rsid w:val="00C8309C"/>
    <w:rsid w:val="00C83796"/>
    <w:rsid w:val="00C83BAA"/>
    <w:rsid w:val="00C83D02"/>
    <w:rsid w:val="00C84389"/>
    <w:rsid w:val="00C8459C"/>
    <w:rsid w:val="00C84994"/>
    <w:rsid w:val="00C849B4"/>
    <w:rsid w:val="00C84B38"/>
    <w:rsid w:val="00C84B93"/>
    <w:rsid w:val="00C8547C"/>
    <w:rsid w:val="00C86124"/>
    <w:rsid w:val="00C862B4"/>
    <w:rsid w:val="00C865A9"/>
    <w:rsid w:val="00C865C8"/>
    <w:rsid w:val="00C872C1"/>
    <w:rsid w:val="00C87BE3"/>
    <w:rsid w:val="00C87FEC"/>
    <w:rsid w:val="00C90439"/>
    <w:rsid w:val="00C90769"/>
    <w:rsid w:val="00C908CB"/>
    <w:rsid w:val="00C90B90"/>
    <w:rsid w:val="00C90FBE"/>
    <w:rsid w:val="00C91847"/>
    <w:rsid w:val="00C919FC"/>
    <w:rsid w:val="00C91A34"/>
    <w:rsid w:val="00C920CC"/>
    <w:rsid w:val="00C92159"/>
    <w:rsid w:val="00C9235D"/>
    <w:rsid w:val="00C9255F"/>
    <w:rsid w:val="00C9265A"/>
    <w:rsid w:val="00C926BD"/>
    <w:rsid w:val="00C929A8"/>
    <w:rsid w:val="00C929BC"/>
    <w:rsid w:val="00C929C1"/>
    <w:rsid w:val="00C92F01"/>
    <w:rsid w:val="00C9427D"/>
    <w:rsid w:val="00C951F8"/>
    <w:rsid w:val="00C956E2"/>
    <w:rsid w:val="00C95986"/>
    <w:rsid w:val="00C95C3E"/>
    <w:rsid w:val="00C9626F"/>
    <w:rsid w:val="00C96DA7"/>
    <w:rsid w:val="00C96DE4"/>
    <w:rsid w:val="00C96F2B"/>
    <w:rsid w:val="00C97417"/>
    <w:rsid w:val="00C977E4"/>
    <w:rsid w:val="00C97A46"/>
    <w:rsid w:val="00C97B05"/>
    <w:rsid w:val="00CA030D"/>
    <w:rsid w:val="00CA0510"/>
    <w:rsid w:val="00CA0BA6"/>
    <w:rsid w:val="00CA0D75"/>
    <w:rsid w:val="00CA119C"/>
    <w:rsid w:val="00CA1379"/>
    <w:rsid w:val="00CA1936"/>
    <w:rsid w:val="00CA2C42"/>
    <w:rsid w:val="00CA3396"/>
    <w:rsid w:val="00CA3613"/>
    <w:rsid w:val="00CA3A23"/>
    <w:rsid w:val="00CA3D27"/>
    <w:rsid w:val="00CA40B4"/>
    <w:rsid w:val="00CA42A5"/>
    <w:rsid w:val="00CA483D"/>
    <w:rsid w:val="00CA4FDC"/>
    <w:rsid w:val="00CA52CC"/>
    <w:rsid w:val="00CA53A0"/>
    <w:rsid w:val="00CA5E20"/>
    <w:rsid w:val="00CA5E89"/>
    <w:rsid w:val="00CA5ED1"/>
    <w:rsid w:val="00CA63FF"/>
    <w:rsid w:val="00CA65F2"/>
    <w:rsid w:val="00CA6CFE"/>
    <w:rsid w:val="00CA6DB0"/>
    <w:rsid w:val="00CA7E02"/>
    <w:rsid w:val="00CB0244"/>
    <w:rsid w:val="00CB0A7D"/>
    <w:rsid w:val="00CB0DCA"/>
    <w:rsid w:val="00CB118B"/>
    <w:rsid w:val="00CB1A87"/>
    <w:rsid w:val="00CB1E1D"/>
    <w:rsid w:val="00CB300B"/>
    <w:rsid w:val="00CB301C"/>
    <w:rsid w:val="00CB30B6"/>
    <w:rsid w:val="00CB3EF9"/>
    <w:rsid w:val="00CB4041"/>
    <w:rsid w:val="00CB4CC3"/>
    <w:rsid w:val="00CB5622"/>
    <w:rsid w:val="00CB699A"/>
    <w:rsid w:val="00CB6A2C"/>
    <w:rsid w:val="00CB747B"/>
    <w:rsid w:val="00CB7B0E"/>
    <w:rsid w:val="00CB7F25"/>
    <w:rsid w:val="00CC02D9"/>
    <w:rsid w:val="00CC052E"/>
    <w:rsid w:val="00CC056F"/>
    <w:rsid w:val="00CC07F9"/>
    <w:rsid w:val="00CC0905"/>
    <w:rsid w:val="00CC0D78"/>
    <w:rsid w:val="00CC0FB4"/>
    <w:rsid w:val="00CC11C6"/>
    <w:rsid w:val="00CC19F8"/>
    <w:rsid w:val="00CC1E87"/>
    <w:rsid w:val="00CC1F79"/>
    <w:rsid w:val="00CC25D4"/>
    <w:rsid w:val="00CC33C1"/>
    <w:rsid w:val="00CC4403"/>
    <w:rsid w:val="00CC441A"/>
    <w:rsid w:val="00CC4B54"/>
    <w:rsid w:val="00CC4D6A"/>
    <w:rsid w:val="00CC5296"/>
    <w:rsid w:val="00CC5468"/>
    <w:rsid w:val="00CC54F2"/>
    <w:rsid w:val="00CC54FC"/>
    <w:rsid w:val="00CC59D2"/>
    <w:rsid w:val="00CC5B4F"/>
    <w:rsid w:val="00CC5FC8"/>
    <w:rsid w:val="00CC68DE"/>
    <w:rsid w:val="00CC6F63"/>
    <w:rsid w:val="00CC7396"/>
    <w:rsid w:val="00CC74DE"/>
    <w:rsid w:val="00CC78EE"/>
    <w:rsid w:val="00CC7E1B"/>
    <w:rsid w:val="00CD007C"/>
    <w:rsid w:val="00CD07C9"/>
    <w:rsid w:val="00CD0D67"/>
    <w:rsid w:val="00CD0D98"/>
    <w:rsid w:val="00CD129A"/>
    <w:rsid w:val="00CD1881"/>
    <w:rsid w:val="00CD1C59"/>
    <w:rsid w:val="00CD1D20"/>
    <w:rsid w:val="00CD1F93"/>
    <w:rsid w:val="00CD276C"/>
    <w:rsid w:val="00CD2AF2"/>
    <w:rsid w:val="00CD3109"/>
    <w:rsid w:val="00CD31D4"/>
    <w:rsid w:val="00CD380F"/>
    <w:rsid w:val="00CD3B67"/>
    <w:rsid w:val="00CD3D01"/>
    <w:rsid w:val="00CD3E0A"/>
    <w:rsid w:val="00CD4B95"/>
    <w:rsid w:val="00CD4FD4"/>
    <w:rsid w:val="00CD5117"/>
    <w:rsid w:val="00CD57AE"/>
    <w:rsid w:val="00CD59B9"/>
    <w:rsid w:val="00CD6557"/>
    <w:rsid w:val="00CD6C51"/>
    <w:rsid w:val="00CD7089"/>
    <w:rsid w:val="00CD7586"/>
    <w:rsid w:val="00CD7945"/>
    <w:rsid w:val="00CD7AF7"/>
    <w:rsid w:val="00CE02AE"/>
    <w:rsid w:val="00CE0388"/>
    <w:rsid w:val="00CE039A"/>
    <w:rsid w:val="00CE046C"/>
    <w:rsid w:val="00CE0A15"/>
    <w:rsid w:val="00CE0C09"/>
    <w:rsid w:val="00CE0FA6"/>
    <w:rsid w:val="00CE0FAC"/>
    <w:rsid w:val="00CE1138"/>
    <w:rsid w:val="00CE11AB"/>
    <w:rsid w:val="00CE127C"/>
    <w:rsid w:val="00CE13D9"/>
    <w:rsid w:val="00CE1D1C"/>
    <w:rsid w:val="00CE1E8A"/>
    <w:rsid w:val="00CE266B"/>
    <w:rsid w:val="00CE29C0"/>
    <w:rsid w:val="00CE2D1C"/>
    <w:rsid w:val="00CE33D9"/>
    <w:rsid w:val="00CE354B"/>
    <w:rsid w:val="00CE37E4"/>
    <w:rsid w:val="00CE3D24"/>
    <w:rsid w:val="00CE4757"/>
    <w:rsid w:val="00CE4E78"/>
    <w:rsid w:val="00CE5927"/>
    <w:rsid w:val="00CE5FA3"/>
    <w:rsid w:val="00CE6188"/>
    <w:rsid w:val="00CE6555"/>
    <w:rsid w:val="00CE65B8"/>
    <w:rsid w:val="00CE723A"/>
    <w:rsid w:val="00CE74FC"/>
    <w:rsid w:val="00CE766C"/>
    <w:rsid w:val="00CE7853"/>
    <w:rsid w:val="00CF054D"/>
    <w:rsid w:val="00CF094A"/>
    <w:rsid w:val="00CF0B8B"/>
    <w:rsid w:val="00CF121B"/>
    <w:rsid w:val="00CF186B"/>
    <w:rsid w:val="00CF245B"/>
    <w:rsid w:val="00CF2573"/>
    <w:rsid w:val="00CF2A57"/>
    <w:rsid w:val="00CF2B0D"/>
    <w:rsid w:val="00CF344B"/>
    <w:rsid w:val="00CF36E1"/>
    <w:rsid w:val="00CF3DAF"/>
    <w:rsid w:val="00CF4401"/>
    <w:rsid w:val="00CF47BE"/>
    <w:rsid w:val="00CF4C8C"/>
    <w:rsid w:val="00CF4ED7"/>
    <w:rsid w:val="00CF5287"/>
    <w:rsid w:val="00CF5563"/>
    <w:rsid w:val="00CF5567"/>
    <w:rsid w:val="00CF55EC"/>
    <w:rsid w:val="00CF60FE"/>
    <w:rsid w:val="00CF6556"/>
    <w:rsid w:val="00CF66C1"/>
    <w:rsid w:val="00CF6987"/>
    <w:rsid w:val="00CF69FC"/>
    <w:rsid w:val="00CF6A6E"/>
    <w:rsid w:val="00CF6BD6"/>
    <w:rsid w:val="00CF72B1"/>
    <w:rsid w:val="00CF7329"/>
    <w:rsid w:val="00CF78DA"/>
    <w:rsid w:val="00CF7B22"/>
    <w:rsid w:val="00D00040"/>
    <w:rsid w:val="00D00170"/>
    <w:rsid w:val="00D0017B"/>
    <w:rsid w:val="00D004E8"/>
    <w:rsid w:val="00D0122F"/>
    <w:rsid w:val="00D01B83"/>
    <w:rsid w:val="00D01D9C"/>
    <w:rsid w:val="00D01F1B"/>
    <w:rsid w:val="00D0217A"/>
    <w:rsid w:val="00D02674"/>
    <w:rsid w:val="00D02BF7"/>
    <w:rsid w:val="00D0365E"/>
    <w:rsid w:val="00D046A3"/>
    <w:rsid w:val="00D04895"/>
    <w:rsid w:val="00D04A20"/>
    <w:rsid w:val="00D04F67"/>
    <w:rsid w:val="00D050B1"/>
    <w:rsid w:val="00D059C9"/>
    <w:rsid w:val="00D05C69"/>
    <w:rsid w:val="00D060BD"/>
    <w:rsid w:val="00D067A4"/>
    <w:rsid w:val="00D06A70"/>
    <w:rsid w:val="00D06B50"/>
    <w:rsid w:val="00D06ECE"/>
    <w:rsid w:val="00D07CE3"/>
    <w:rsid w:val="00D07F39"/>
    <w:rsid w:val="00D07F9D"/>
    <w:rsid w:val="00D100F5"/>
    <w:rsid w:val="00D1062E"/>
    <w:rsid w:val="00D10A48"/>
    <w:rsid w:val="00D10CAF"/>
    <w:rsid w:val="00D117FA"/>
    <w:rsid w:val="00D11D4F"/>
    <w:rsid w:val="00D11D70"/>
    <w:rsid w:val="00D11D77"/>
    <w:rsid w:val="00D12242"/>
    <w:rsid w:val="00D128C5"/>
    <w:rsid w:val="00D13508"/>
    <w:rsid w:val="00D13DA7"/>
    <w:rsid w:val="00D13F10"/>
    <w:rsid w:val="00D14310"/>
    <w:rsid w:val="00D14350"/>
    <w:rsid w:val="00D14460"/>
    <w:rsid w:val="00D14791"/>
    <w:rsid w:val="00D149A7"/>
    <w:rsid w:val="00D14E27"/>
    <w:rsid w:val="00D1511C"/>
    <w:rsid w:val="00D15ECE"/>
    <w:rsid w:val="00D160C5"/>
    <w:rsid w:val="00D160F1"/>
    <w:rsid w:val="00D16861"/>
    <w:rsid w:val="00D16A8E"/>
    <w:rsid w:val="00D17505"/>
    <w:rsid w:val="00D176F9"/>
    <w:rsid w:val="00D17B61"/>
    <w:rsid w:val="00D17FD0"/>
    <w:rsid w:val="00D2025A"/>
    <w:rsid w:val="00D20905"/>
    <w:rsid w:val="00D20991"/>
    <w:rsid w:val="00D21478"/>
    <w:rsid w:val="00D21648"/>
    <w:rsid w:val="00D21A90"/>
    <w:rsid w:val="00D221D4"/>
    <w:rsid w:val="00D22562"/>
    <w:rsid w:val="00D231A2"/>
    <w:rsid w:val="00D232FC"/>
    <w:rsid w:val="00D23370"/>
    <w:rsid w:val="00D2342E"/>
    <w:rsid w:val="00D25259"/>
    <w:rsid w:val="00D25C1A"/>
    <w:rsid w:val="00D25C82"/>
    <w:rsid w:val="00D261CE"/>
    <w:rsid w:val="00D2641D"/>
    <w:rsid w:val="00D2671D"/>
    <w:rsid w:val="00D269C4"/>
    <w:rsid w:val="00D26A5D"/>
    <w:rsid w:val="00D27A36"/>
    <w:rsid w:val="00D304B1"/>
    <w:rsid w:val="00D30626"/>
    <w:rsid w:val="00D30984"/>
    <w:rsid w:val="00D30BD5"/>
    <w:rsid w:val="00D3131D"/>
    <w:rsid w:val="00D31866"/>
    <w:rsid w:val="00D31F6F"/>
    <w:rsid w:val="00D32049"/>
    <w:rsid w:val="00D320D3"/>
    <w:rsid w:val="00D331AE"/>
    <w:rsid w:val="00D33241"/>
    <w:rsid w:val="00D33364"/>
    <w:rsid w:val="00D340E8"/>
    <w:rsid w:val="00D3421E"/>
    <w:rsid w:val="00D346A3"/>
    <w:rsid w:val="00D350F8"/>
    <w:rsid w:val="00D35353"/>
    <w:rsid w:val="00D35779"/>
    <w:rsid w:val="00D35E13"/>
    <w:rsid w:val="00D35E39"/>
    <w:rsid w:val="00D360CA"/>
    <w:rsid w:val="00D36A93"/>
    <w:rsid w:val="00D36BA7"/>
    <w:rsid w:val="00D372BF"/>
    <w:rsid w:val="00D3744A"/>
    <w:rsid w:val="00D37593"/>
    <w:rsid w:val="00D37953"/>
    <w:rsid w:val="00D37BA8"/>
    <w:rsid w:val="00D40220"/>
    <w:rsid w:val="00D40904"/>
    <w:rsid w:val="00D40DB7"/>
    <w:rsid w:val="00D413EB"/>
    <w:rsid w:val="00D4147F"/>
    <w:rsid w:val="00D41E03"/>
    <w:rsid w:val="00D42F0D"/>
    <w:rsid w:val="00D4302B"/>
    <w:rsid w:val="00D43ADB"/>
    <w:rsid w:val="00D43E4F"/>
    <w:rsid w:val="00D440C9"/>
    <w:rsid w:val="00D452AD"/>
    <w:rsid w:val="00D45345"/>
    <w:rsid w:val="00D45761"/>
    <w:rsid w:val="00D45DB4"/>
    <w:rsid w:val="00D465E1"/>
    <w:rsid w:val="00D46E9B"/>
    <w:rsid w:val="00D47136"/>
    <w:rsid w:val="00D47771"/>
    <w:rsid w:val="00D47E2E"/>
    <w:rsid w:val="00D5048C"/>
    <w:rsid w:val="00D50869"/>
    <w:rsid w:val="00D50BAB"/>
    <w:rsid w:val="00D50E38"/>
    <w:rsid w:val="00D5103D"/>
    <w:rsid w:val="00D51607"/>
    <w:rsid w:val="00D51E31"/>
    <w:rsid w:val="00D52968"/>
    <w:rsid w:val="00D53161"/>
    <w:rsid w:val="00D5343C"/>
    <w:rsid w:val="00D53529"/>
    <w:rsid w:val="00D53D20"/>
    <w:rsid w:val="00D55544"/>
    <w:rsid w:val="00D561A5"/>
    <w:rsid w:val="00D56ADB"/>
    <w:rsid w:val="00D56BBA"/>
    <w:rsid w:val="00D56BF7"/>
    <w:rsid w:val="00D56BFC"/>
    <w:rsid w:val="00D56D87"/>
    <w:rsid w:val="00D574A6"/>
    <w:rsid w:val="00D57B92"/>
    <w:rsid w:val="00D600CC"/>
    <w:rsid w:val="00D602EB"/>
    <w:rsid w:val="00D61341"/>
    <w:rsid w:val="00D614C6"/>
    <w:rsid w:val="00D6150B"/>
    <w:rsid w:val="00D61546"/>
    <w:rsid w:val="00D6185F"/>
    <w:rsid w:val="00D61886"/>
    <w:rsid w:val="00D61907"/>
    <w:rsid w:val="00D62219"/>
    <w:rsid w:val="00D625CE"/>
    <w:rsid w:val="00D63503"/>
    <w:rsid w:val="00D63634"/>
    <w:rsid w:val="00D636AC"/>
    <w:rsid w:val="00D63AB4"/>
    <w:rsid w:val="00D63B28"/>
    <w:rsid w:val="00D64130"/>
    <w:rsid w:val="00D64251"/>
    <w:rsid w:val="00D64963"/>
    <w:rsid w:val="00D659D9"/>
    <w:rsid w:val="00D65E02"/>
    <w:rsid w:val="00D65F67"/>
    <w:rsid w:val="00D661BE"/>
    <w:rsid w:val="00D663E3"/>
    <w:rsid w:val="00D6651C"/>
    <w:rsid w:val="00D666E0"/>
    <w:rsid w:val="00D66D7A"/>
    <w:rsid w:val="00D67F50"/>
    <w:rsid w:val="00D7018B"/>
    <w:rsid w:val="00D70700"/>
    <w:rsid w:val="00D7078C"/>
    <w:rsid w:val="00D707BE"/>
    <w:rsid w:val="00D7096D"/>
    <w:rsid w:val="00D70A7A"/>
    <w:rsid w:val="00D70BDA"/>
    <w:rsid w:val="00D71F6D"/>
    <w:rsid w:val="00D72686"/>
    <w:rsid w:val="00D726AA"/>
    <w:rsid w:val="00D72B7B"/>
    <w:rsid w:val="00D72D56"/>
    <w:rsid w:val="00D73131"/>
    <w:rsid w:val="00D73192"/>
    <w:rsid w:val="00D7335A"/>
    <w:rsid w:val="00D7367C"/>
    <w:rsid w:val="00D74033"/>
    <w:rsid w:val="00D743D2"/>
    <w:rsid w:val="00D756C7"/>
    <w:rsid w:val="00D757E5"/>
    <w:rsid w:val="00D762CE"/>
    <w:rsid w:val="00D76F03"/>
    <w:rsid w:val="00D773D3"/>
    <w:rsid w:val="00D774CB"/>
    <w:rsid w:val="00D776BE"/>
    <w:rsid w:val="00D80769"/>
    <w:rsid w:val="00D8093A"/>
    <w:rsid w:val="00D80DC4"/>
    <w:rsid w:val="00D8184B"/>
    <w:rsid w:val="00D8190A"/>
    <w:rsid w:val="00D81B69"/>
    <w:rsid w:val="00D82333"/>
    <w:rsid w:val="00D82CFE"/>
    <w:rsid w:val="00D83AF6"/>
    <w:rsid w:val="00D84054"/>
    <w:rsid w:val="00D841C2"/>
    <w:rsid w:val="00D85B92"/>
    <w:rsid w:val="00D86140"/>
    <w:rsid w:val="00D863DA"/>
    <w:rsid w:val="00D8734F"/>
    <w:rsid w:val="00D8740C"/>
    <w:rsid w:val="00D904BB"/>
    <w:rsid w:val="00D906B1"/>
    <w:rsid w:val="00D91FBE"/>
    <w:rsid w:val="00D92066"/>
    <w:rsid w:val="00D9226E"/>
    <w:rsid w:val="00D92B96"/>
    <w:rsid w:val="00D92F19"/>
    <w:rsid w:val="00D936B2"/>
    <w:rsid w:val="00D949C6"/>
    <w:rsid w:val="00D949E1"/>
    <w:rsid w:val="00D94D0A"/>
    <w:rsid w:val="00D9526B"/>
    <w:rsid w:val="00D95584"/>
    <w:rsid w:val="00D95C84"/>
    <w:rsid w:val="00D95D45"/>
    <w:rsid w:val="00D96338"/>
    <w:rsid w:val="00D9694B"/>
    <w:rsid w:val="00D96DBD"/>
    <w:rsid w:val="00D9716E"/>
    <w:rsid w:val="00D97F3B"/>
    <w:rsid w:val="00DA07A4"/>
    <w:rsid w:val="00DA1600"/>
    <w:rsid w:val="00DA1A77"/>
    <w:rsid w:val="00DA260C"/>
    <w:rsid w:val="00DA2B5B"/>
    <w:rsid w:val="00DA2D9E"/>
    <w:rsid w:val="00DA3091"/>
    <w:rsid w:val="00DA386D"/>
    <w:rsid w:val="00DA3C5A"/>
    <w:rsid w:val="00DA4079"/>
    <w:rsid w:val="00DA44F3"/>
    <w:rsid w:val="00DA5BCF"/>
    <w:rsid w:val="00DA5F69"/>
    <w:rsid w:val="00DA6E3C"/>
    <w:rsid w:val="00DA6EDF"/>
    <w:rsid w:val="00DA6F8A"/>
    <w:rsid w:val="00DA70AF"/>
    <w:rsid w:val="00DA790F"/>
    <w:rsid w:val="00DA7A4B"/>
    <w:rsid w:val="00DA7DB8"/>
    <w:rsid w:val="00DB006C"/>
    <w:rsid w:val="00DB04E4"/>
    <w:rsid w:val="00DB0FF9"/>
    <w:rsid w:val="00DB1109"/>
    <w:rsid w:val="00DB1228"/>
    <w:rsid w:val="00DB139B"/>
    <w:rsid w:val="00DB140D"/>
    <w:rsid w:val="00DB1A7B"/>
    <w:rsid w:val="00DB235F"/>
    <w:rsid w:val="00DB23D7"/>
    <w:rsid w:val="00DB2497"/>
    <w:rsid w:val="00DB27FA"/>
    <w:rsid w:val="00DB29FA"/>
    <w:rsid w:val="00DB31CA"/>
    <w:rsid w:val="00DB38B1"/>
    <w:rsid w:val="00DB3B00"/>
    <w:rsid w:val="00DB4171"/>
    <w:rsid w:val="00DB447D"/>
    <w:rsid w:val="00DB44AF"/>
    <w:rsid w:val="00DB4A4D"/>
    <w:rsid w:val="00DB50DC"/>
    <w:rsid w:val="00DB5EDD"/>
    <w:rsid w:val="00DB6B82"/>
    <w:rsid w:val="00DB7B57"/>
    <w:rsid w:val="00DC069B"/>
    <w:rsid w:val="00DC0780"/>
    <w:rsid w:val="00DC0872"/>
    <w:rsid w:val="00DC0CD1"/>
    <w:rsid w:val="00DC1276"/>
    <w:rsid w:val="00DC13F1"/>
    <w:rsid w:val="00DC175D"/>
    <w:rsid w:val="00DC1BD7"/>
    <w:rsid w:val="00DC1E0C"/>
    <w:rsid w:val="00DC2526"/>
    <w:rsid w:val="00DC29A0"/>
    <w:rsid w:val="00DC3451"/>
    <w:rsid w:val="00DC3DB8"/>
    <w:rsid w:val="00DC46F5"/>
    <w:rsid w:val="00DC5342"/>
    <w:rsid w:val="00DC5489"/>
    <w:rsid w:val="00DC5627"/>
    <w:rsid w:val="00DC5ECE"/>
    <w:rsid w:val="00DC63C2"/>
    <w:rsid w:val="00DC686D"/>
    <w:rsid w:val="00DC6C19"/>
    <w:rsid w:val="00DC7689"/>
    <w:rsid w:val="00DC7B83"/>
    <w:rsid w:val="00DC7E8F"/>
    <w:rsid w:val="00DC7E9C"/>
    <w:rsid w:val="00DD0E97"/>
    <w:rsid w:val="00DD1183"/>
    <w:rsid w:val="00DD1513"/>
    <w:rsid w:val="00DD1530"/>
    <w:rsid w:val="00DD1735"/>
    <w:rsid w:val="00DD197C"/>
    <w:rsid w:val="00DD1C98"/>
    <w:rsid w:val="00DD1D90"/>
    <w:rsid w:val="00DD2371"/>
    <w:rsid w:val="00DD27AE"/>
    <w:rsid w:val="00DD28DB"/>
    <w:rsid w:val="00DD2A54"/>
    <w:rsid w:val="00DD2A6B"/>
    <w:rsid w:val="00DD2D90"/>
    <w:rsid w:val="00DD3306"/>
    <w:rsid w:val="00DD338B"/>
    <w:rsid w:val="00DD3579"/>
    <w:rsid w:val="00DD39DF"/>
    <w:rsid w:val="00DD3AAB"/>
    <w:rsid w:val="00DD3E1E"/>
    <w:rsid w:val="00DD43C2"/>
    <w:rsid w:val="00DD43F4"/>
    <w:rsid w:val="00DD449F"/>
    <w:rsid w:val="00DD4723"/>
    <w:rsid w:val="00DD47B7"/>
    <w:rsid w:val="00DD4A10"/>
    <w:rsid w:val="00DD4ADE"/>
    <w:rsid w:val="00DD4C30"/>
    <w:rsid w:val="00DD4CCB"/>
    <w:rsid w:val="00DD4F91"/>
    <w:rsid w:val="00DD5320"/>
    <w:rsid w:val="00DD57AA"/>
    <w:rsid w:val="00DD5AE9"/>
    <w:rsid w:val="00DD62E2"/>
    <w:rsid w:val="00DD6500"/>
    <w:rsid w:val="00DD686D"/>
    <w:rsid w:val="00DD6AA3"/>
    <w:rsid w:val="00DD6F13"/>
    <w:rsid w:val="00DD7534"/>
    <w:rsid w:val="00DD7587"/>
    <w:rsid w:val="00DD781D"/>
    <w:rsid w:val="00DD7D80"/>
    <w:rsid w:val="00DD7F27"/>
    <w:rsid w:val="00DE0142"/>
    <w:rsid w:val="00DE035F"/>
    <w:rsid w:val="00DE0790"/>
    <w:rsid w:val="00DE18EE"/>
    <w:rsid w:val="00DE1961"/>
    <w:rsid w:val="00DE1EEE"/>
    <w:rsid w:val="00DE2BCA"/>
    <w:rsid w:val="00DE2C60"/>
    <w:rsid w:val="00DE2D15"/>
    <w:rsid w:val="00DE2FF1"/>
    <w:rsid w:val="00DE337C"/>
    <w:rsid w:val="00DE3847"/>
    <w:rsid w:val="00DE3AAD"/>
    <w:rsid w:val="00DE3CF7"/>
    <w:rsid w:val="00DE4017"/>
    <w:rsid w:val="00DE43EE"/>
    <w:rsid w:val="00DE50F7"/>
    <w:rsid w:val="00DE5791"/>
    <w:rsid w:val="00DE60C3"/>
    <w:rsid w:val="00DE6159"/>
    <w:rsid w:val="00DE637B"/>
    <w:rsid w:val="00DE63BE"/>
    <w:rsid w:val="00DE660E"/>
    <w:rsid w:val="00DE6E1E"/>
    <w:rsid w:val="00DE748E"/>
    <w:rsid w:val="00DE7A1D"/>
    <w:rsid w:val="00DE7CC6"/>
    <w:rsid w:val="00DF1546"/>
    <w:rsid w:val="00DF1BD0"/>
    <w:rsid w:val="00DF1F64"/>
    <w:rsid w:val="00DF23FA"/>
    <w:rsid w:val="00DF24ED"/>
    <w:rsid w:val="00DF2B63"/>
    <w:rsid w:val="00DF3137"/>
    <w:rsid w:val="00DF32CA"/>
    <w:rsid w:val="00DF3516"/>
    <w:rsid w:val="00DF35E2"/>
    <w:rsid w:val="00DF3BBB"/>
    <w:rsid w:val="00DF3C2E"/>
    <w:rsid w:val="00DF491A"/>
    <w:rsid w:val="00DF5824"/>
    <w:rsid w:val="00DF5DE8"/>
    <w:rsid w:val="00DF6339"/>
    <w:rsid w:val="00DF66A9"/>
    <w:rsid w:val="00DF716E"/>
    <w:rsid w:val="00DF74D7"/>
    <w:rsid w:val="00DF758D"/>
    <w:rsid w:val="00E01331"/>
    <w:rsid w:val="00E01585"/>
    <w:rsid w:val="00E01C27"/>
    <w:rsid w:val="00E0249C"/>
    <w:rsid w:val="00E02880"/>
    <w:rsid w:val="00E02B00"/>
    <w:rsid w:val="00E02D67"/>
    <w:rsid w:val="00E03A00"/>
    <w:rsid w:val="00E042BA"/>
    <w:rsid w:val="00E0451E"/>
    <w:rsid w:val="00E04A0A"/>
    <w:rsid w:val="00E04BDF"/>
    <w:rsid w:val="00E05496"/>
    <w:rsid w:val="00E05EF7"/>
    <w:rsid w:val="00E05FCC"/>
    <w:rsid w:val="00E07135"/>
    <w:rsid w:val="00E07168"/>
    <w:rsid w:val="00E07353"/>
    <w:rsid w:val="00E077B1"/>
    <w:rsid w:val="00E07907"/>
    <w:rsid w:val="00E10191"/>
    <w:rsid w:val="00E1275D"/>
    <w:rsid w:val="00E12BD0"/>
    <w:rsid w:val="00E12CCD"/>
    <w:rsid w:val="00E132B8"/>
    <w:rsid w:val="00E13442"/>
    <w:rsid w:val="00E138C3"/>
    <w:rsid w:val="00E13AB3"/>
    <w:rsid w:val="00E13B7B"/>
    <w:rsid w:val="00E13C3D"/>
    <w:rsid w:val="00E13C75"/>
    <w:rsid w:val="00E13D45"/>
    <w:rsid w:val="00E13D81"/>
    <w:rsid w:val="00E13DC3"/>
    <w:rsid w:val="00E14050"/>
    <w:rsid w:val="00E140BC"/>
    <w:rsid w:val="00E14199"/>
    <w:rsid w:val="00E14442"/>
    <w:rsid w:val="00E14EC5"/>
    <w:rsid w:val="00E1530A"/>
    <w:rsid w:val="00E154AD"/>
    <w:rsid w:val="00E15644"/>
    <w:rsid w:val="00E15E1C"/>
    <w:rsid w:val="00E15E93"/>
    <w:rsid w:val="00E16326"/>
    <w:rsid w:val="00E164F7"/>
    <w:rsid w:val="00E1771F"/>
    <w:rsid w:val="00E177A3"/>
    <w:rsid w:val="00E21569"/>
    <w:rsid w:val="00E22457"/>
    <w:rsid w:val="00E22EC6"/>
    <w:rsid w:val="00E22F28"/>
    <w:rsid w:val="00E23183"/>
    <w:rsid w:val="00E23EE6"/>
    <w:rsid w:val="00E24F73"/>
    <w:rsid w:val="00E250A6"/>
    <w:rsid w:val="00E25504"/>
    <w:rsid w:val="00E26DA1"/>
    <w:rsid w:val="00E26E7F"/>
    <w:rsid w:val="00E27ED8"/>
    <w:rsid w:val="00E30402"/>
    <w:rsid w:val="00E305A7"/>
    <w:rsid w:val="00E30773"/>
    <w:rsid w:val="00E30A8F"/>
    <w:rsid w:val="00E30F07"/>
    <w:rsid w:val="00E313D9"/>
    <w:rsid w:val="00E31D7C"/>
    <w:rsid w:val="00E32941"/>
    <w:rsid w:val="00E32961"/>
    <w:rsid w:val="00E32CC7"/>
    <w:rsid w:val="00E32D06"/>
    <w:rsid w:val="00E32FA4"/>
    <w:rsid w:val="00E32FB9"/>
    <w:rsid w:val="00E3332E"/>
    <w:rsid w:val="00E33ADC"/>
    <w:rsid w:val="00E33B05"/>
    <w:rsid w:val="00E340B9"/>
    <w:rsid w:val="00E345E2"/>
    <w:rsid w:val="00E34836"/>
    <w:rsid w:val="00E3512C"/>
    <w:rsid w:val="00E355A5"/>
    <w:rsid w:val="00E3565A"/>
    <w:rsid w:val="00E35C3A"/>
    <w:rsid w:val="00E35CC6"/>
    <w:rsid w:val="00E3639A"/>
    <w:rsid w:val="00E368DC"/>
    <w:rsid w:val="00E36F9D"/>
    <w:rsid w:val="00E376BC"/>
    <w:rsid w:val="00E37879"/>
    <w:rsid w:val="00E402CA"/>
    <w:rsid w:val="00E403BF"/>
    <w:rsid w:val="00E406DE"/>
    <w:rsid w:val="00E4072A"/>
    <w:rsid w:val="00E408DE"/>
    <w:rsid w:val="00E40ED7"/>
    <w:rsid w:val="00E412A9"/>
    <w:rsid w:val="00E413A5"/>
    <w:rsid w:val="00E41E6D"/>
    <w:rsid w:val="00E423DD"/>
    <w:rsid w:val="00E427BE"/>
    <w:rsid w:val="00E43B8F"/>
    <w:rsid w:val="00E43BB6"/>
    <w:rsid w:val="00E43F6B"/>
    <w:rsid w:val="00E4428A"/>
    <w:rsid w:val="00E44777"/>
    <w:rsid w:val="00E44846"/>
    <w:rsid w:val="00E45632"/>
    <w:rsid w:val="00E459E1"/>
    <w:rsid w:val="00E45DD9"/>
    <w:rsid w:val="00E4620A"/>
    <w:rsid w:val="00E463FD"/>
    <w:rsid w:val="00E4746D"/>
    <w:rsid w:val="00E4797B"/>
    <w:rsid w:val="00E47C94"/>
    <w:rsid w:val="00E47FE0"/>
    <w:rsid w:val="00E50177"/>
    <w:rsid w:val="00E50421"/>
    <w:rsid w:val="00E50E26"/>
    <w:rsid w:val="00E51BDA"/>
    <w:rsid w:val="00E5300B"/>
    <w:rsid w:val="00E537D1"/>
    <w:rsid w:val="00E54268"/>
    <w:rsid w:val="00E54608"/>
    <w:rsid w:val="00E54926"/>
    <w:rsid w:val="00E55334"/>
    <w:rsid w:val="00E555BA"/>
    <w:rsid w:val="00E55CE8"/>
    <w:rsid w:val="00E56000"/>
    <w:rsid w:val="00E560B7"/>
    <w:rsid w:val="00E56209"/>
    <w:rsid w:val="00E56238"/>
    <w:rsid w:val="00E56663"/>
    <w:rsid w:val="00E569AD"/>
    <w:rsid w:val="00E5709B"/>
    <w:rsid w:val="00E57409"/>
    <w:rsid w:val="00E57503"/>
    <w:rsid w:val="00E57AB2"/>
    <w:rsid w:val="00E57E90"/>
    <w:rsid w:val="00E601DA"/>
    <w:rsid w:val="00E615A9"/>
    <w:rsid w:val="00E61AAE"/>
    <w:rsid w:val="00E61CEF"/>
    <w:rsid w:val="00E61D74"/>
    <w:rsid w:val="00E61E9D"/>
    <w:rsid w:val="00E62ACC"/>
    <w:rsid w:val="00E6323A"/>
    <w:rsid w:val="00E63645"/>
    <w:rsid w:val="00E63ACC"/>
    <w:rsid w:val="00E63B1C"/>
    <w:rsid w:val="00E63B89"/>
    <w:rsid w:val="00E63CDD"/>
    <w:rsid w:val="00E63E0F"/>
    <w:rsid w:val="00E649A0"/>
    <w:rsid w:val="00E64B67"/>
    <w:rsid w:val="00E64E58"/>
    <w:rsid w:val="00E6501D"/>
    <w:rsid w:val="00E6583E"/>
    <w:rsid w:val="00E6585C"/>
    <w:rsid w:val="00E658D9"/>
    <w:rsid w:val="00E658FC"/>
    <w:rsid w:val="00E659CF"/>
    <w:rsid w:val="00E65C47"/>
    <w:rsid w:val="00E6682B"/>
    <w:rsid w:val="00E66CCD"/>
    <w:rsid w:val="00E66E87"/>
    <w:rsid w:val="00E67168"/>
    <w:rsid w:val="00E672CE"/>
    <w:rsid w:val="00E67449"/>
    <w:rsid w:val="00E676CE"/>
    <w:rsid w:val="00E67A09"/>
    <w:rsid w:val="00E67E78"/>
    <w:rsid w:val="00E702F4"/>
    <w:rsid w:val="00E709D0"/>
    <w:rsid w:val="00E70EB8"/>
    <w:rsid w:val="00E70F00"/>
    <w:rsid w:val="00E71052"/>
    <w:rsid w:val="00E712C8"/>
    <w:rsid w:val="00E717BA"/>
    <w:rsid w:val="00E71C56"/>
    <w:rsid w:val="00E71FEB"/>
    <w:rsid w:val="00E724C0"/>
    <w:rsid w:val="00E72CE3"/>
    <w:rsid w:val="00E72DAA"/>
    <w:rsid w:val="00E73BEF"/>
    <w:rsid w:val="00E7432C"/>
    <w:rsid w:val="00E74434"/>
    <w:rsid w:val="00E747CB"/>
    <w:rsid w:val="00E7483E"/>
    <w:rsid w:val="00E74B24"/>
    <w:rsid w:val="00E754C6"/>
    <w:rsid w:val="00E75563"/>
    <w:rsid w:val="00E75953"/>
    <w:rsid w:val="00E75A96"/>
    <w:rsid w:val="00E75B0B"/>
    <w:rsid w:val="00E75C1E"/>
    <w:rsid w:val="00E7619B"/>
    <w:rsid w:val="00E762B2"/>
    <w:rsid w:val="00E7661C"/>
    <w:rsid w:val="00E76667"/>
    <w:rsid w:val="00E769D5"/>
    <w:rsid w:val="00E76A7D"/>
    <w:rsid w:val="00E76C88"/>
    <w:rsid w:val="00E80310"/>
    <w:rsid w:val="00E8108E"/>
    <w:rsid w:val="00E81C0F"/>
    <w:rsid w:val="00E81FA1"/>
    <w:rsid w:val="00E823AD"/>
    <w:rsid w:val="00E824F9"/>
    <w:rsid w:val="00E8255D"/>
    <w:rsid w:val="00E82694"/>
    <w:rsid w:val="00E83192"/>
    <w:rsid w:val="00E83647"/>
    <w:rsid w:val="00E83985"/>
    <w:rsid w:val="00E83DF0"/>
    <w:rsid w:val="00E8468C"/>
    <w:rsid w:val="00E850A8"/>
    <w:rsid w:val="00E851C1"/>
    <w:rsid w:val="00E85EA4"/>
    <w:rsid w:val="00E86227"/>
    <w:rsid w:val="00E90168"/>
    <w:rsid w:val="00E9078E"/>
    <w:rsid w:val="00E908DD"/>
    <w:rsid w:val="00E90DD9"/>
    <w:rsid w:val="00E91184"/>
    <w:rsid w:val="00E913EC"/>
    <w:rsid w:val="00E91D8B"/>
    <w:rsid w:val="00E92C0B"/>
    <w:rsid w:val="00E92E59"/>
    <w:rsid w:val="00E93458"/>
    <w:rsid w:val="00E93DA8"/>
    <w:rsid w:val="00E94C1C"/>
    <w:rsid w:val="00E94F97"/>
    <w:rsid w:val="00E95507"/>
    <w:rsid w:val="00E9553B"/>
    <w:rsid w:val="00E963E1"/>
    <w:rsid w:val="00E964C3"/>
    <w:rsid w:val="00E965DE"/>
    <w:rsid w:val="00E969BE"/>
    <w:rsid w:val="00E96AE4"/>
    <w:rsid w:val="00E96B81"/>
    <w:rsid w:val="00E96E58"/>
    <w:rsid w:val="00E96E74"/>
    <w:rsid w:val="00E97149"/>
    <w:rsid w:val="00E97302"/>
    <w:rsid w:val="00E97421"/>
    <w:rsid w:val="00E976E8"/>
    <w:rsid w:val="00E979B7"/>
    <w:rsid w:val="00EA020C"/>
    <w:rsid w:val="00EA022D"/>
    <w:rsid w:val="00EA0494"/>
    <w:rsid w:val="00EA0811"/>
    <w:rsid w:val="00EA1A95"/>
    <w:rsid w:val="00EA1ABB"/>
    <w:rsid w:val="00EA1C23"/>
    <w:rsid w:val="00EA2598"/>
    <w:rsid w:val="00EA2CBD"/>
    <w:rsid w:val="00EA2CE1"/>
    <w:rsid w:val="00EA304D"/>
    <w:rsid w:val="00EA3129"/>
    <w:rsid w:val="00EA348B"/>
    <w:rsid w:val="00EA35E8"/>
    <w:rsid w:val="00EA4946"/>
    <w:rsid w:val="00EA49B3"/>
    <w:rsid w:val="00EA536D"/>
    <w:rsid w:val="00EA54C5"/>
    <w:rsid w:val="00EA5706"/>
    <w:rsid w:val="00EA5807"/>
    <w:rsid w:val="00EA585E"/>
    <w:rsid w:val="00EA5A12"/>
    <w:rsid w:val="00EA5C0B"/>
    <w:rsid w:val="00EA5C70"/>
    <w:rsid w:val="00EA5D47"/>
    <w:rsid w:val="00EA6682"/>
    <w:rsid w:val="00EA6BEF"/>
    <w:rsid w:val="00EA6E65"/>
    <w:rsid w:val="00EA76C1"/>
    <w:rsid w:val="00EA770A"/>
    <w:rsid w:val="00EA7FE8"/>
    <w:rsid w:val="00EB0E53"/>
    <w:rsid w:val="00EB0E72"/>
    <w:rsid w:val="00EB1A03"/>
    <w:rsid w:val="00EB1F62"/>
    <w:rsid w:val="00EB215C"/>
    <w:rsid w:val="00EB260D"/>
    <w:rsid w:val="00EB2DE2"/>
    <w:rsid w:val="00EB3034"/>
    <w:rsid w:val="00EB30C5"/>
    <w:rsid w:val="00EB357D"/>
    <w:rsid w:val="00EB3829"/>
    <w:rsid w:val="00EB3BD7"/>
    <w:rsid w:val="00EB3FEB"/>
    <w:rsid w:val="00EB46DB"/>
    <w:rsid w:val="00EB4866"/>
    <w:rsid w:val="00EB4986"/>
    <w:rsid w:val="00EB49E7"/>
    <w:rsid w:val="00EB4B5F"/>
    <w:rsid w:val="00EB4F4C"/>
    <w:rsid w:val="00EB52FB"/>
    <w:rsid w:val="00EB58AB"/>
    <w:rsid w:val="00EB5BAD"/>
    <w:rsid w:val="00EB5C25"/>
    <w:rsid w:val="00EB684A"/>
    <w:rsid w:val="00EC003A"/>
    <w:rsid w:val="00EC041B"/>
    <w:rsid w:val="00EC04EF"/>
    <w:rsid w:val="00EC0A11"/>
    <w:rsid w:val="00EC0BD1"/>
    <w:rsid w:val="00EC1CEE"/>
    <w:rsid w:val="00EC1D50"/>
    <w:rsid w:val="00EC275C"/>
    <w:rsid w:val="00EC38E2"/>
    <w:rsid w:val="00EC433C"/>
    <w:rsid w:val="00EC4813"/>
    <w:rsid w:val="00EC4F78"/>
    <w:rsid w:val="00EC5693"/>
    <w:rsid w:val="00EC5863"/>
    <w:rsid w:val="00EC6544"/>
    <w:rsid w:val="00EC679F"/>
    <w:rsid w:val="00EC76DC"/>
    <w:rsid w:val="00EC7962"/>
    <w:rsid w:val="00EC7BE1"/>
    <w:rsid w:val="00ED02A9"/>
    <w:rsid w:val="00ED042D"/>
    <w:rsid w:val="00ED048C"/>
    <w:rsid w:val="00ED0E4B"/>
    <w:rsid w:val="00ED129E"/>
    <w:rsid w:val="00ED147F"/>
    <w:rsid w:val="00ED149C"/>
    <w:rsid w:val="00ED1586"/>
    <w:rsid w:val="00ED1DCA"/>
    <w:rsid w:val="00ED2726"/>
    <w:rsid w:val="00ED29BF"/>
    <w:rsid w:val="00ED2B72"/>
    <w:rsid w:val="00ED2C32"/>
    <w:rsid w:val="00ED2EF4"/>
    <w:rsid w:val="00ED31F0"/>
    <w:rsid w:val="00ED37CB"/>
    <w:rsid w:val="00ED383C"/>
    <w:rsid w:val="00ED3AA8"/>
    <w:rsid w:val="00ED3B0E"/>
    <w:rsid w:val="00ED40D7"/>
    <w:rsid w:val="00ED5351"/>
    <w:rsid w:val="00ED5828"/>
    <w:rsid w:val="00ED5AA4"/>
    <w:rsid w:val="00ED5ACB"/>
    <w:rsid w:val="00ED636B"/>
    <w:rsid w:val="00ED66FC"/>
    <w:rsid w:val="00ED676E"/>
    <w:rsid w:val="00ED6A1F"/>
    <w:rsid w:val="00ED6B3A"/>
    <w:rsid w:val="00ED7781"/>
    <w:rsid w:val="00EE0056"/>
    <w:rsid w:val="00EE0DEB"/>
    <w:rsid w:val="00EE1650"/>
    <w:rsid w:val="00EE22C2"/>
    <w:rsid w:val="00EE261F"/>
    <w:rsid w:val="00EE2DD3"/>
    <w:rsid w:val="00EE3171"/>
    <w:rsid w:val="00EE3182"/>
    <w:rsid w:val="00EE3477"/>
    <w:rsid w:val="00EE354F"/>
    <w:rsid w:val="00EE3DA6"/>
    <w:rsid w:val="00EE3DF4"/>
    <w:rsid w:val="00EE4289"/>
    <w:rsid w:val="00EE45CD"/>
    <w:rsid w:val="00EE4AE3"/>
    <w:rsid w:val="00EE4C61"/>
    <w:rsid w:val="00EE5A21"/>
    <w:rsid w:val="00EE5C2E"/>
    <w:rsid w:val="00EE5E2E"/>
    <w:rsid w:val="00EE601A"/>
    <w:rsid w:val="00EE6037"/>
    <w:rsid w:val="00EE6602"/>
    <w:rsid w:val="00EE6E0E"/>
    <w:rsid w:val="00EE72A9"/>
    <w:rsid w:val="00EF01EC"/>
    <w:rsid w:val="00EF01FA"/>
    <w:rsid w:val="00EF0275"/>
    <w:rsid w:val="00EF0D5D"/>
    <w:rsid w:val="00EF1294"/>
    <w:rsid w:val="00EF1764"/>
    <w:rsid w:val="00EF18C3"/>
    <w:rsid w:val="00EF19B3"/>
    <w:rsid w:val="00EF1CE6"/>
    <w:rsid w:val="00EF284F"/>
    <w:rsid w:val="00EF29FE"/>
    <w:rsid w:val="00EF3225"/>
    <w:rsid w:val="00EF39BA"/>
    <w:rsid w:val="00EF3DC1"/>
    <w:rsid w:val="00EF3DC2"/>
    <w:rsid w:val="00EF4105"/>
    <w:rsid w:val="00EF4D8A"/>
    <w:rsid w:val="00EF5160"/>
    <w:rsid w:val="00EF6D69"/>
    <w:rsid w:val="00EF7656"/>
    <w:rsid w:val="00EF7684"/>
    <w:rsid w:val="00EF7AE5"/>
    <w:rsid w:val="00F002C6"/>
    <w:rsid w:val="00F0038B"/>
    <w:rsid w:val="00F007D3"/>
    <w:rsid w:val="00F008A1"/>
    <w:rsid w:val="00F00C46"/>
    <w:rsid w:val="00F00F68"/>
    <w:rsid w:val="00F012E4"/>
    <w:rsid w:val="00F01339"/>
    <w:rsid w:val="00F01685"/>
    <w:rsid w:val="00F019F1"/>
    <w:rsid w:val="00F01A9A"/>
    <w:rsid w:val="00F01B7B"/>
    <w:rsid w:val="00F01E41"/>
    <w:rsid w:val="00F03D26"/>
    <w:rsid w:val="00F04350"/>
    <w:rsid w:val="00F044CF"/>
    <w:rsid w:val="00F04C0C"/>
    <w:rsid w:val="00F05077"/>
    <w:rsid w:val="00F0536F"/>
    <w:rsid w:val="00F0543A"/>
    <w:rsid w:val="00F061CB"/>
    <w:rsid w:val="00F061D7"/>
    <w:rsid w:val="00F064EE"/>
    <w:rsid w:val="00F06977"/>
    <w:rsid w:val="00F06AA3"/>
    <w:rsid w:val="00F079D6"/>
    <w:rsid w:val="00F07A31"/>
    <w:rsid w:val="00F07B65"/>
    <w:rsid w:val="00F07D9B"/>
    <w:rsid w:val="00F07EA4"/>
    <w:rsid w:val="00F10179"/>
    <w:rsid w:val="00F10AF9"/>
    <w:rsid w:val="00F10E4A"/>
    <w:rsid w:val="00F10E9E"/>
    <w:rsid w:val="00F117E7"/>
    <w:rsid w:val="00F11CBA"/>
    <w:rsid w:val="00F11DE2"/>
    <w:rsid w:val="00F120FD"/>
    <w:rsid w:val="00F126A3"/>
    <w:rsid w:val="00F128FE"/>
    <w:rsid w:val="00F132C2"/>
    <w:rsid w:val="00F13F9F"/>
    <w:rsid w:val="00F14016"/>
    <w:rsid w:val="00F14401"/>
    <w:rsid w:val="00F14599"/>
    <w:rsid w:val="00F14B2A"/>
    <w:rsid w:val="00F14C49"/>
    <w:rsid w:val="00F152EA"/>
    <w:rsid w:val="00F15466"/>
    <w:rsid w:val="00F1546D"/>
    <w:rsid w:val="00F155BC"/>
    <w:rsid w:val="00F158DF"/>
    <w:rsid w:val="00F15DB3"/>
    <w:rsid w:val="00F15EBF"/>
    <w:rsid w:val="00F170DF"/>
    <w:rsid w:val="00F17858"/>
    <w:rsid w:val="00F17B8F"/>
    <w:rsid w:val="00F203A3"/>
    <w:rsid w:val="00F20770"/>
    <w:rsid w:val="00F208E1"/>
    <w:rsid w:val="00F214BE"/>
    <w:rsid w:val="00F2169D"/>
    <w:rsid w:val="00F216AC"/>
    <w:rsid w:val="00F21799"/>
    <w:rsid w:val="00F236A2"/>
    <w:rsid w:val="00F23AC9"/>
    <w:rsid w:val="00F23CD2"/>
    <w:rsid w:val="00F23CD8"/>
    <w:rsid w:val="00F23DDC"/>
    <w:rsid w:val="00F247E1"/>
    <w:rsid w:val="00F24844"/>
    <w:rsid w:val="00F24AF7"/>
    <w:rsid w:val="00F263FE"/>
    <w:rsid w:val="00F276D5"/>
    <w:rsid w:val="00F300F3"/>
    <w:rsid w:val="00F30ED6"/>
    <w:rsid w:val="00F30FAD"/>
    <w:rsid w:val="00F311B6"/>
    <w:rsid w:val="00F31A24"/>
    <w:rsid w:val="00F31A73"/>
    <w:rsid w:val="00F3215C"/>
    <w:rsid w:val="00F32191"/>
    <w:rsid w:val="00F32EA6"/>
    <w:rsid w:val="00F33937"/>
    <w:rsid w:val="00F33C1C"/>
    <w:rsid w:val="00F33C37"/>
    <w:rsid w:val="00F34248"/>
    <w:rsid w:val="00F34316"/>
    <w:rsid w:val="00F343F0"/>
    <w:rsid w:val="00F34CB2"/>
    <w:rsid w:val="00F34D4D"/>
    <w:rsid w:val="00F3515A"/>
    <w:rsid w:val="00F3549B"/>
    <w:rsid w:val="00F357C7"/>
    <w:rsid w:val="00F36ED8"/>
    <w:rsid w:val="00F36F0E"/>
    <w:rsid w:val="00F36F2A"/>
    <w:rsid w:val="00F373A9"/>
    <w:rsid w:val="00F37A81"/>
    <w:rsid w:val="00F40414"/>
    <w:rsid w:val="00F40A90"/>
    <w:rsid w:val="00F4168F"/>
    <w:rsid w:val="00F41C17"/>
    <w:rsid w:val="00F41C52"/>
    <w:rsid w:val="00F41DD3"/>
    <w:rsid w:val="00F42004"/>
    <w:rsid w:val="00F42A0C"/>
    <w:rsid w:val="00F42A43"/>
    <w:rsid w:val="00F42C4D"/>
    <w:rsid w:val="00F42EE3"/>
    <w:rsid w:val="00F4304E"/>
    <w:rsid w:val="00F43740"/>
    <w:rsid w:val="00F43BD7"/>
    <w:rsid w:val="00F44A67"/>
    <w:rsid w:val="00F45058"/>
    <w:rsid w:val="00F450E7"/>
    <w:rsid w:val="00F454D0"/>
    <w:rsid w:val="00F457CD"/>
    <w:rsid w:val="00F45AD9"/>
    <w:rsid w:val="00F4644E"/>
    <w:rsid w:val="00F46999"/>
    <w:rsid w:val="00F46A82"/>
    <w:rsid w:val="00F4745A"/>
    <w:rsid w:val="00F50054"/>
    <w:rsid w:val="00F50484"/>
    <w:rsid w:val="00F507E0"/>
    <w:rsid w:val="00F50D7A"/>
    <w:rsid w:val="00F52084"/>
    <w:rsid w:val="00F52340"/>
    <w:rsid w:val="00F53918"/>
    <w:rsid w:val="00F53E23"/>
    <w:rsid w:val="00F54077"/>
    <w:rsid w:val="00F54B58"/>
    <w:rsid w:val="00F54BB9"/>
    <w:rsid w:val="00F55534"/>
    <w:rsid w:val="00F558A1"/>
    <w:rsid w:val="00F558DB"/>
    <w:rsid w:val="00F5617B"/>
    <w:rsid w:val="00F56B99"/>
    <w:rsid w:val="00F57AF0"/>
    <w:rsid w:val="00F57BD7"/>
    <w:rsid w:val="00F57F38"/>
    <w:rsid w:val="00F62169"/>
    <w:rsid w:val="00F623E8"/>
    <w:rsid w:val="00F623ED"/>
    <w:rsid w:val="00F6317D"/>
    <w:rsid w:val="00F63904"/>
    <w:rsid w:val="00F63C9C"/>
    <w:rsid w:val="00F642AB"/>
    <w:rsid w:val="00F647A8"/>
    <w:rsid w:val="00F647BB"/>
    <w:rsid w:val="00F65627"/>
    <w:rsid w:val="00F65B8B"/>
    <w:rsid w:val="00F65C3A"/>
    <w:rsid w:val="00F65D17"/>
    <w:rsid w:val="00F65D19"/>
    <w:rsid w:val="00F66086"/>
    <w:rsid w:val="00F665A0"/>
    <w:rsid w:val="00F669AA"/>
    <w:rsid w:val="00F66C5D"/>
    <w:rsid w:val="00F6707B"/>
    <w:rsid w:val="00F672BB"/>
    <w:rsid w:val="00F67A5A"/>
    <w:rsid w:val="00F67B99"/>
    <w:rsid w:val="00F701EB"/>
    <w:rsid w:val="00F70638"/>
    <w:rsid w:val="00F7085D"/>
    <w:rsid w:val="00F70DAD"/>
    <w:rsid w:val="00F712A1"/>
    <w:rsid w:val="00F717A4"/>
    <w:rsid w:val="00F71CC9"/>
    <w:rsid w:val="00F71CD3"/>
    <w:rsid w:val="00F71FE2"/>
    <w:rsid w:val="00F7214D"/>
    <w:rsid w:val="00F72D0B"/>
    <w:rsid w:val="00F72E27"/>
    <w:rsid w:val="00F7383A"/>
    <w:rsid w:val="00F73B26"/>
    <w:rsid w:val="00F73BF7"/>
    <w:rsid w:val="00F73F90"/>
    <w:rsid w:val="00F74020"/>
    <w:rsid w:val="00F740E9"/>
    <w:rsid w:val="00F74D19"/>
    <w:rsid w:val="00F74E64"/>
    <w:rsid w:val="00F74EA1"/>
    <w:rsid w:val="00F74F31"/>
    <w:rsid w:val="00F758B4"/>
    <w:rsid w:val="00F75B17"/>
    <w:rsid w:val="00F7634F"/>
    <w:rsid w:val="00F76552"/>
    <w:rsid w:val="00F765B6"/>
    <w:rsid w:val="00F775CB"/>
    <w:rsid w:val="00F80A86"/>
    <w:rsid w:val="00F80B44"/>
    <w:rsid w:val="00F8106C"/>
    <w:rsid w:val="00F81892"/>
    <w:rsid w:val="00F8224B"/>
    <w:rsid w:val="00F82506"/>
    <w:rsid w:val="00F8277F"/>
    <w:rsid w:val="00F82DC5"/>
    <w:rsid w:val="00F830AD"/>
    <w:rsid w:val="00F83175"/>
    <w:rsid w:val="00F8331B"/>
    <w:rsid w:val="00F840B4"/>
    <w:rsid w:val="00F84304"/>
    <w:rsid w:val="00F85CD1"/>
    <w:rsid w:val="00F85E73"/>
    <w:rsid w:val="00F8623F"/>
    <w:rsid w:val="00F864BB"/>
    <w:rsid w:val="00F86C3E"/>
    <w:rsid w:val="00F86E4B"/>
    <w:rsid w:val="00F86ECF"/>
    <w:rsid w:val="00F87C86"/>
    <w:rsid w:val="00F90216"/>
    <w:rsid w:val="00F906D4"/>
    <w:rsid w:val="00F90706"/>
    <w:rsid w:val="00F90C0F"/>
    <w:rsid w:val="00F91912"/>
    <w:rsid w:val="00F928D9"/>
    <w:rsid w:val="00F928E5"/>
    <w:rsid w:val="00F92958"/>
    <w:rsid w:val="00F93045"/>
    <w:rsid w:val="00F94655"/>
    <w:rsid w:val="00F94680"/>
    <w:rsid w:val="00F948F8"/>
    <w:rsid w:val="00F94AB8"/>
    <w:rsid w:val="00F94C77"/>
    <w:rsid w:val="00F94E14"/>
    <w:rsid w:val="00F9539E"/>
    <w:rsid w:val="00F95677"/>
    <w:rsid w:val="00F95A5B"/>
    <w:rsid w:val="00F960A1"/>
    <w:rsid w:val="00F96187"/>
    <w:rsid w:val="00F96D06"/>
    <w:rsid w:val="00F96E3F"/>
    <w:rsid w:val="00F96F09"/>
    <w:rsid w:val="00F9758F"/>
    <w:rsid w:val="00F97920"/>
    <w:rsid w:val="00FA019F"/>
    <w:rsid w:val="00FA0467"/>
    <w:rsid w:val="00FA06F5"/>
    <w:rsid w:val="00FA0DE2"/>
    <w:rsid w:val="00FA1224"/>
    <w:rsid w:val="00FA1A3D"/>
    <w:rsid w:val="00FA1AD9"/>
    <w:rsid w:val="00FA1BD8"/>
    <w:rsid w:val="00FA2581"/>
    <w:rsid w:val="00FA2732"/>
    <w:rsid w:val="00FA2B71"/>
    <w:rsid w:val="00FA37C8"/>
    <w:rsid w:val="00FA38B7"/>
    <w:rsid w:val="00FA422F"/>
    <w:rsid w:val="00FA4389"/>
    <w:rsid w:val="00FA58D9"/>
    <w:rsid w:val="00FA6B03"/>
    <w:rsid w:val="00FA760C"/>
    <w:rsid w:val="00FA7B8F"/>
    <w:rsid w:val="00FA7E1F"/>
    <w:rsid w:val="00FB1136"/>
    <w:rsid w:val="00FB12B9"/>
    <w:rsid w:val="00FB1695"/>
    <w:rsid w:val="00FB1717"/>
    <w:rsid w:val="00FB1763"/>
    <w:rsid w:val="00FB1B95"/>
    <w:rsid w:val="00FB2119"/>
    <w:rsid w:val="00FB2180"/>
    <w:rsid w:val="00FB2314"/>
    <w:rsid w:val="00FB2F25"/>
    <w:rsid w:val="00FB30A5"/>
    <w:rsid w:val="00FB31D3"/>
    <w:rsid w:val="00FB3405"/>
    <w:rsid w:val="00FB453F"/>
    <w:rsid w:val="00FB4E51"/>
    <w:rsid w:val="00FB5347"/>
    <w:rsid w:val="00FB53B6"/>
    <w:rsid w:val="00FB622A"/>
    <w:rsid w:val="00FB64DB"/>
    <w:rsid w:val="00FB6F90"/>
    <w:rsid w:val="00FB750C"/>
    <w:rsid w:val="00FB7B96"/>
    <w:rsid w:val="00FB7C44"/>
    <w:rsid w:val="00FC0A8B"/>
    <w:rsid w:val="00FC0CA5"/>
    <w:rsid w:val="00FC0CE7"/>
    <w:rsid w:val="00FC13A5"/>
    <w:rsid w:val="00FC15F1"/>
    <w:rsid w:val="00FC1677"/>
    <w:rsid w:val="00FC19F4"/>
    <w:rsid w:val="00FC2242"/>
    <w:rsid w:val="00FC2440"/>
    <w:rsid w:val="00FC271E"/>
    <w:rsid w:val="00FC3DBE"/>
    <w:rsid w:val="00FC3F9A"/>
    <w:rsid w:val="00FC40D7"/>
    <w:rsid w:val="00FC44B9"/>
    <w:rsid w:val="00FC450D"/>
    <w:rsid w:val="00FC5319"/>
    <w:rsid w:val="00FC53DA"/>
    <w:rsid w:val="00FC58E7"/>
    <w:rsid w:val="00FC5AC0"/>
    <w:rsid w:val="00FC5AF5"/>
    <w:rsid w:val="00FC655D"/>
    <w:rsid w:val="00FC68C6"/>
    <w:rsid w:val="00FC68F8"/>
    <w:rsid w:val="00FC6A88"/>
    <w:rsid w:val="00FC6CD0"/>
    <w:rsid w:val="00FC6CF7"/>
    <w:rsid w:val="00FC6EDE"/>
    <w:rsid w:val="00FC6FAA"/>
    <w:rsid w:val="00FC7510"/>
    <w:rsid w:val="00FC7FDA"/>
    <w:rsid w:val="00FD07A8"/>
    <w:rsid w:val="00FD0A95"/>
    <w:rsid w:val="00FD1723"/>
    <w:rsid w:val="00FD18C7"/>
    <w:rsid w:val="00FD198F"/>
    <w:rsid w:val="00FD1B49"/>
    <w:rsid w:val="00FD2182"/>
    <w:rsid w:val="00FD21AF"/>
    <w:rsid w:val="00FD2922"/>
    <w:rsid w:val="00FD2D1E"/>
    <w:rsid w:val="00FD32C9"/>
    <w:rsid w:val="00FD34FD"/>
    <w:rsid w:val="00FD35B7"/>
    <w:rsid w:val="00FD35D5"/>
    <w:rsid w:val="00FD36BF"/>
    <w:rsid w:val="00FD5B39"/>
    <w:rsid w:val="00FD633C"/>
    <w:rsid w:val="00FD6A72"/>
    <w:rsid w:val="00FD7AFA"/>
    <w:rsid w:val="00FD7ED1"/>
    <w:rsid w:val="00FE0046"/>
    <w:rsid w:val="00FE03CF"/>
    <w:rsid w:val="00FE05FA"/>
    <w:rsid w:val="00FE0C73"/>
    <w:rsid w:val="00FE11DD"/>
    <w:rsid w:val="00FE16AC"/>
    <w:rsid w:val="00FE19C8"/>
    <w:rsid w:val="00FE1B55"/>
    <w:rsid w:val="00FE1B85"/>
    <w:rsid w:val="00FE2A27"/>
    <w:rsid w:val="00FE3EBE"/>
    <w:rsid w:val="00FE4DB5"/>
    <w:rsid w:val="00FE4DF8"/>
    <w:rsid w:val="00FE52EE"/>
    <w:rsid w:val="00FE536B"/>
    <w:rsid w:val="00FE537C"/>
    <w:rsid w:val="00FE5613"/>
    <w:rsid w:val="00FE57D6"/>
    <w:rsid w:val="00FE596A"/>
    <w:rsid w:val="00FE5A93"/>
    <w:rsid w:val="00FE6859"/>
    <w:rsid w:val="00FE6923"/>
    <w:rsid w:val="00FE7351"/>
    <w:rsid w:val="00FE7A08"/>
    <w:rsid w:val="00FE7A83"/>
    <w:rsid w:val="00FF076D"/>
    <w:rsid w:val="00FF0BB9"/>
    <w:rsid w:val="00FF0E27"/>
    <w:rsid w:val="00FF107A"/>
    <w:rsid w:val="00FF1532"/>
    <w:rsid w:val="00FF18EA"/>
    <w:rsid w:val="00FF1C2E"/>
    <w:rsid w:val="00FF1F44"/>
    <w:rsid w:val="00FF2CCF"/>
    <w:rsid w:val="00FF3A79"/>
    <w:rsid w:val="00FF44CA"/>
    <w:rsid w:val="00FF4629"/>
    <w:rsid w:val="00FF4B3A"/>
    <w:rsid w:val="00FF4B7E"/>
    <w:rsid w:val="00FF4E2A"/>
    <w:rsid w:val="00FF4EF4"/>
    <w:rsid w:val="00FF511C"/>
    <w:rsid w:val="00FF53FD"/>
    <w:rsid w:val="00FF5520"/>
    <w:rsid w:val="00FF59A8"/>
    <w:rsid w:val="00FF5B1F"/>
    <w:rsid w:val="00FF5B36"/>
    <w:rsid w:val="00FF5DCB"/>
    <w:rsid w:val="00FF5E98"/>
    <w:rsid w:val="00FF614C"/>
    <w:rsid w:val="00FF68DA"/>
    <w:rsid w:val="00FF727B"/>
    <w:rsid w:val="00FF75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91CA5A"/>
  <w15:docId w15:val="{3AB1268F-2D85-4C9E-AAD9-54216287E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iPriority="99"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D5E11"/>
    <w:rPr>
      <w:sz w:val="24"/>
      <w:szCs w:val="24"/>
    </w:rPr>
  </w:style>
  <w:style w:type="paragraph" w:styleId="1">
    <w:name w:val="heading 1"/>
    <w:basedOn w:val="a"/>
    <w:next w:val="a"/>
    <w:link w:val="10"/>
    <w:uiPriority w:val="9"/>
    <w:qFormat/>
    <w:rsid w:val="00F52084"/>
    <w:pPr>
      <w:keepNext/>
      <w:numPr>
        <w:numId w:val="1"/>
      </w:numPr>
      <w:tabs>
        <w:tab w:val="left" w:pos="3240"/>
      </w:tabs>
      <w:jc w:val="center"/>
      <w:outlineLvl w:val="0"/>
    </w:pPr>
    <w:rPr>
      <w:b/>
      <w:bCs/>
      <w:sz w:val="36"/>
      <w:lang w:val="x-none" w:eastAsia="x-none"/>
    </w:rPr>
  </w:style>
  <w:style w:type="paragraph" w:styleId="2">
    <w:name w:val="heading 2"/>
    <w:basedOn w:val="a"/>
    <w:next w:val="a"/>
    <w:link w:val="20"/>
    <w:qFormat/>
    <w:rsid w:val="00F52084"/>
    <w:pPr>
      <w:keepNext/>
      <w:numPr>
        <w:ilvl w:val="1"/>
        <w:numId w:val="1"/>
      </w:numPr>
      <w:jc w:val="center"/>
      <w:outlineLvl w:val="1"/>
    </w:pPr>
    <w:rPr>
      <w:sz w:val="28"/>
      <w:lang w:val="x-none" w:eastAsia="x-none"/>
    </w:rPr>
  </w:style>
  <w:style w:type="paragraph" w:styleId="3">
    <w:name w:val="heading 3"/>
    <w:basedOn w:val="a"/>
    <w:next w:val="a"/>
    <w:link w:val="30"/>
    <w:qFormat/>
    <w:rsid w:val="00F52084"/>
    <w:pPr>
      <w:keepNext/>
      <w:numPr>
        <w:ilvl w:val="2"/>
        <w:numId w:val="1"/>
      </w:numPr>
      <w:jc w:val="center"/>
      <w:outlineLvl w:val="2"/>
    </w:pPr>
    <w:rPr>
      <w:b/>
      <w:bCs/>
      <w:lang w:val="x-none" w:eastAsia="x-none"/>
    </w:rPr>
  </w:style>
  <w:style w:type="paragraph" w:styleId="4">
    <w:name w:val="heading 4"/>
    <w:basedOn w:val="a"/>
    <w:next w:val="a"/>
    <w:link w:val="40"/>
    <w:qFormat/>
    <w:rsid w:val="00F52084"/>
    <w:pPr>
      <w:keepNext/>
      <w:numPr>
        <w:ilvl w:val="3"/>
        <w:numId w:val="1"/>
      </w:numPr>
      <w:outlineLvl w:val="3"/>
    </w:pPr>
    <w:rPr>
      <w:sz w:val="28"/>
      <w:lang w:val="x-none" w:eastAsia="x-none"/>
    </w:rPr>
  </w:style>
  <w:style w:type="paragraph" w:styleId="5">
    <w:name w:val="heading 5"/>
    <w:basedOn w:val="a"/>
    <w:next w:val="a"/>
    <w:link w:val="50"/>
    <w:qFormat/>
    <w:rsid w:val="00F52084"/>
    <w:pPr>
      <w:numPr>
        <w:ilvl w:val="4"/>
        <w:numId w:val="1"/>
      </w:numPr>
      <w:autoSpaceDE w:val="0"/>
      <w:autoSpaceDN w:val="0"/>
      <w:spacing w:before="240" w:after="60"/>
      <w:outlineLvl w:val="4"/>
    </w:pPr>
    <w:rPr>
      <w:rFonts w:ascii="Arial" w:hAnsi="Arial"/>
      <w:sz w:val="22"/>
      <w:szCs w:val="22"/>
      <w:lang w:val="x-none" w:eastAsia="x-none"/>
    </w:rPr>
  </w:style>
  <w:style w:type="paragraph" w:styleId="6">
    <w:name w:val="heading 6"/>
    <w:basedOn w:val="a"/>
    <w:next w:val="a"/>
    <w:link w:val="60"/>
    <w:qFormat/>
    <w:rsid w:val="00F52084"/>
    <w:pPr>
      <w:numPr>
        <w:ilvl w:val="5"/>
        <w:numId w:val="1"/>
      </w:numPr>
      <w:autoSpaceDE w:val="0"/>
      <w:autoSpaceDN w:val="0"/>
      <w:spacing w:before="240" w:after="60"/>
      <w:outlineLvl w:val="5"/>
    </w:pPr>
    <w:rPr>
      <w:i/>
      <w:iCs/>
      <w:sz w:val="22"/>
      <w:szCs w:val="22"/>
      <w:lang w:val="x-none" w:eastAsia="x-none"/>
    </w:rPr>
  </w:style>
  <w:style w:type="paragraph" w:styleId="7">
    <w:name w:val="heading 7"/>
    <w:basedOn w:val="a"/>
    <w:next w:val="a"/>
    <w:link w:val="70"/>
    <w:uiPriority w:val="99"/>
    <w:qFormat/>
    <w:rsid w:val="00F52084"/>
    <w:pPr>
      <w:numPr>
        <w:ilvl w:val="6"/>
        <w:numId w:val="1"/>
      </w:numPr>
      <w:autoSpaceDE w:val="0"/>
      <w:autoSpaceDN w:val="0"/>
      <w:spacing w:before="240" w:after="60"/>
      <w:outlineLvl w:val="6"/>
    </w:pPr>
    <w:rPr>
      <w:rFonts w:ascii="Arial" w:hAnsi="Arial"/>
      <w:sz w:val="20"/>
      <w:szCs w:val="20"/>
      <w:lang w:val="x-none" w:eastAsia="x-none"/>
    </w:rPr>
  </w:style>
  <w:style w:type="paragraph" w:styleId="8">
    <w:name w:val="heading 8"/>
    <w:basedOn w:val="a"/>
    <w:next w:val="a"/>
    <w:link w:val="80"/>
    <w:uiPriority w:val="99"/>
    <w:qFormat/>
    <w:rsid w:val="00F52084"/>
    <w:pPr>
      <w:numPr>
        <w:ilvl w:val="7"/>
        <w:numId w:val="1"/>
      </w:numPr>
      <w:autoSpaceDE w:val="0"/>
      <w:autoSpaceDN w:val="0"/>
      <w:spacing w:before="240" w:after="60"/>
      <w:outlineLvl w:val="7"/>
    </w:pPr>
    <w:rPr>
      <w:rFonts w:ascii="Arial" w:hAnsi="Arial"/>
      <w:i/>
      <w:iCs/>
      <w:sz w:val="20"/>
      <w:szCs w:val="20"/>
      <w:lang w:val="x-none" w:eastAsia="x-none"/>
    </w:rPr>
  </w:style>
  <w:style w:type="paragraph" w:styleId="9">
    <w:name w:val="heading 9"/>
    <w:basedOn w:val="a"/>
    <w:next w:val="a"/>
    <w:link w:val="90"/>
    <w:uiPriority w:val="99"/>
    <w:qFormat/>
    <w:rsid w:val="00F52084"/>
    <w:pPr>
      <w:numPr>
        <w:ilvl w:val="8"/>
        <w:numId w:val="1"/>
      </w:numPr>
      <w:autoSpaceDE w:val="0"/>
      <w:autoSpaceDN w:val="0"/>
      <w:spacing w:before="240" w:after="60"/>
      <w:outlineLvl w:val="8"/>
    </w:pPr>
    <w:rPr>
      <w:rFonts w:ascii="Arial" w:hAnsi="Arial"/>
      <w:b/>
      <w:bCs/>
      <w:i/>
      <w:iCs/>
      <w:sz w:val="18"/>
      <w:szCs w:val="1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locked/>
    <w:rsid w:val="004525E6"/>
    <w:rPr>
      <w:b/>
      <w:bCs/>
      <w:sz w:val="36"/>
      <w:szCs w:val="24"/>
      <w:lang w:val="x-none" w:eastAsia="x-none"/>
    </w:rPr>
  </w:style>
  <w:style w:type="character" w:customStyle="1" w:styleId="20">
    <w:name w:val="Заголовок 2 Знак"/>
    <w:link w:val="2"/>
    <w:rsid w:val="00F52084"/>
    <w:rPr>
      <w:sz w:val="28"/>
      <w:szCs w:val="24"/>
      <w:lang w:val="x-none" w:eastAsia="x-none"/>
    </w:rPr>
  </w:style>
  <w:style w:type="character" w:customStyle="1" w:styleId="30">
    <w:name w:val="Заголовок 3 Знак"/>
    <w:link w:val="3"/>
    <w:rsid w:val="00C662F8"/>
    <w:rPr>
      <w:b/>
      <w:bCs/>
      <w:sz w:val="24"/>
      <w:szCs w:val="24"/>
      <w:lang w:val="x-none" w:eastAsia="x-none"/>
    </w:rPr>
  </w:style>
  <w:style w:type="character" w:customStyle="1" w:styleId="40">
    <w:name w:val="Заголовок 4 Знак"/>
    <w:link w:val="4"/>
    <w:rsid w:val="00C662F8"/>
    <w:rPr>
      <w:sz w:val="28"/>
      <w:szCs w:val="24"/>
      <w:lang w:val="x-none" w:eastAsia="x-none"/>
    </w:rPr>
  </w:style>
  <w:style w:type="character" w:customStyle="1" w:styleId="50">
    <w:name w:val="Заголовок 5 Знак"/>
    <w:link w:val="5"/>
    <w:rsid w:val="00C662F8"/>
    <w:rPr>
      <w:rFonts w:ascii="Arial" w:hAnsi="Arial"/>
      <w:sz w:val="22"/>
      <w:szCs w:val="22"/>
      <w:lang w:val="x-none" w:eastAsia="x-none"/>
    </w:rPr>
  </w:style>
  <w:style w:type="character" w:customStyle="1" w:styleId="60">
    <w:name w:val="Заголовок 6 Знак"/>
    <w:link w:val="6"/>
    <w:rsid w:val="00C662F8"/>
    <w:rPr>
      <w:i/>
      <w:iCs/>
      <w:sz w:val="22"/>
      <w:szCs w:val="22"/>
      <w:lang w:val="x-none" w:eastAsia="x-none"/>
    </w:rPr>
  </w:style>
  <w:style w:type="character" w:customStyle="1" w:styleId="70">
    <w:name w:val="Заголовок 7 Знак"/>
    <w:link w:val="7"/>
    <w:uiPriority w:val="99"/>
    <w:rsid w:val="00C662F8"/>
    <w:rPr>
      <w:rFonts w:ascii="Arial" w:hAnsi="Arial"/>
      <w:lang w:val="x-none" w:eastAsia="x-none"/>
    </w:rPr>
  </w:style>
  <w:style w:type="character" w:customStyle="1" w:styleId="80">
    <w:name w:val="Заголовок 8 Знак"/>
    <w:link w:val="8"/>
    <w:uiPriority w:val="99"/>
    <w:rsid w:val="00C662F8"/>
    <w:rPr>
      <w:rFonts w:ascii="Arial" w:hAnsi="Arial"/>
      <w:i/>
      <w:iCs/>
      <w:lang w:val="x-none" w:eastAsia="x-none"/>
    </w:rPr>
  </w:style>
  <w:style w:type="character" w:customStyle="1" w:styleId="90">
    <w:name w:val="Заголовок 9 Знак"/>
    <w:link w:val="9"/>
    <w:uiPriority w:val="99"/>
    <w:rsid w:val="00C662F8"/>
    <w:rPr>
      <w:rFonts w:ascii="Arial" w:hAnsi="Arial"/>
      <w:b/>
      <w:bCs/>
      <w:i/>
      <w:iCs/>
      <w:sz w:val="18"/>
      <w:szCs w:val="18"/>
      <w:lang w:val="x-none" w:eastAsia="x-none"/>
    </w:rPr>
  </w:style>
  <w:style w:type="paragraph" w:styleId="a3">
    <w:name w:val="Body Text"/>
    <w:basedOn w:val="a"/>
    <w:link w:val="a4"/>
    <w:rsid w:val="00F52084"/>
    <w:rPr>
      <w:sz w:val="28"/>
      <w:lang w:val="x-none" w:eastAsia="x-none"/>
    </w:rPr>
  </w:style>
  <w:style w:type="character" w:customStyle="1" w:styleId="a4">
    <w:name w:val="Основной текст Знак"/>
    <w:link w:val="a3"/>
    <w:locked/>
    <w:rsid w:val="004525E6"/>
    <w:rPr>
      <w:sz w:val="28"/>
      <w:szCs w:val="24"/>
    </w:rPr>
  </w:style>
  <w:style w:type="paragraph" w:styleId="a5">
    <w:name w:val="Title"/>
    <w:basedOn w:val="a"/>
    <w:link w:val="a6"/>
    <w:uiPriority w:val="99"/>
    <w:qFormat/>
    <w:rsid w:val="00F52084"/>
    <w:pPr>
      <w:tabs>
        <w:tab w:val="left" w:pos="7920"/>
      </w:tabs>
      <w:spacing w:line="360" w:lineRule="auto"/>
      <w:jc w:val="center"/>
    </w:pPr>
    <w:rPr>
      <w:bCs/>
      <w:sz w:val="28"/>
      <w:lang w:val="x-none" w:eastAsia="x-none"/>
    </w:rPr>
  </w:style>
  <w:style w:type="character" w:customStyle="1" w:styleId="a6">
    <w:name w:val="Заголовок Знак"/>
    <w:link w:val="a5"/>
    <w:uiPriority w:val="99"/>
    <w:rsid w:val="00F66C5D"/>
    <w:rPr>
      <w:bCs/>
      <w:sz w:val="28"/>
      <w:szCs w:val="24"/>
    </w:rPr>
  </w:style>
  <w:style w:type="paragraph" w:styleId="a7">
    <w:name w:val="Body Text Indent"/>
    <w:basedOn w:val="a"/>
    <w:link w:val="a8"/>
    <w:uiPriority w:val="99"/>
    <w:rsid w:val="00F52084"/>
    <w:pPr>
      <w:spacing w:line="360" w:lineRule="auto"/>
      <w:ind w:firstLine="720"/>
      <w:jc w:val="both"/>
    </w:pPr>
    <w:rPr>
      <w:sz w:val="28"/>
      <w:lang w:val="x-none" w:eastAsia="x-none"/>
    </w:rPr>
  </w:style>
  <w:style w:type="character" w:customStyle="1" w:styleId="a8">
    <w:name w:val="Основной текст с отступом Знак"/>
    <w:link w:val="a7"/>
    <w:uiPriority w:val="99"/>
    <w:rsid w:val="00C662F8"/>
    <w:rPr>
      <w:sz w:val="28"/>
      <w:szCs w:val="24"/>
    </w:rPr>
  </w:style>
  <w:style w:type="paragraph" w:styleId="21">
    <w:name w:val="Body Text Indent 2"/>
    <w:basedOn w:val="a"/>
    <w:link w:val="22"/>
    <w:uiPriority w:val="99"/>
    <w:rsid w:val="00F52084"/>
    <w:pPr>
      <w:tabs>
        <w:tab w:val="left" w:pos="3240"/>
      </w:tabs>
      <w:ind w:firstLine="900"/>
      <w:jc w:val="both"/>
    </w:pPr>
    <w:rPr>
      <w:sz w:val="28"/>
      <w:lang w:val="x-none" w:eastAsia="x-none"/>
    </w:rPr>
  </w:style>
  <w:style w:type="character" w:customStyle="1" w:styleId="22">
    <w:name w:val="Основной текст с отступом 2 Знак"/>
    <w:link w:val="21"/>
    <w:uiPriority w:val="99"/>
    <w:rsid w:val="00C662F8"/>
    <w:rPr>
      <w:sz w:val="28"/>
      <w:szCs w:val="24"/>
    </w:rPr>
  </w:style>
  <w:style w:type="paragraph" w:customStyle="1" w:styleId="a9">
    <w:name w:val="ТекстИнструкции"/>
    <w:basedOn w:val="a"/>
    <w:rsid w:val="00F52084"/>
    <w:pPr>
      <w:autoSpaceDE w:val="0"/>
      <w:autoSpaceDN w:val="0"/>
      <w:spacing w:before="120" w:after="60"/>
      <w:jc w:val="both"/>
    </w:pPr>
    <w:rPr>
      <w:rFonts w:ascii="Arial" w:hAnsi="Arial" w:cs="Arial"/>
      <w:sz w:val="20"/>
      <w:szCs w:val="20"/>
    </w:rPr>
  </w:style>
  <w:style w:type="paragraph" w:customStyle="1" w:styleId="aa">
    <w:name w:val="ПримИнструкции"/>
    <w:basedOn w:val="a"/>
    <w:rsid w:val="00F52084"/>
    <w:pPr>
      <w:autoSpaceDE w:val="0"/>
      <w:autoSpaceDN w:val="0"/>
      <w:ind w:left="284"/>
      <w:jc w:val="both"/>
    </w:pPr>
    <w:rPr>
      <w:rFonts w:ascii="Arial" w:hAnsi="Arial" w:cs="Arial"/>
      <w:sz w:val="18"/>
      <w:szCs w:val="18"/>
    </w:rPr>
  </w:style>
  <w:style w:type="paragraph" w:styleId="23">
    <w:name w:val="Body Text 2"/>
    <w:basedOn w:val="a"/>
    <w:link w:val="24"/>
    <w:uiPriority w:val="99"/>
    <w:rsid w:val="00F52084"/>
    <w:pPr>
      <w:tabs>
        <w:tab w:val="left" w:pos="9781"/>
      </w:tabs>
      <w:jc w:val="both"/>
    </w:pPr>
    <w:rPr>
      <w:sz w:val="28"/>
      <w:lang w:val="x-none" w:eastAsia="x-none"/>
    </w:rPr>
  </w:style>
  <w:style w:type="character" w:customStyle="1" w:styleId="24">
    <w:name w:val="Основной текст 2 Знак"/>
    <w:link w:val="23"/>
    <w:uiPriority w:val="99"/>
    <w:rsid w:val="00C662F8"/>
    <w:rPr>
      <w:sz w:val="28"/>
      <w:szCs w:val="24"/>
    </w:rPr>
  </w:style>
  <w:style w:type="paragraph" w:styleId="31">
    <w:name w:val="Body Text Indent 3"/>
    <w:basedOn w:val="a"/>
    <w:link w:val="32"/>
    <w:uiPriority w:val="99"/>
    <w:rsid w:val="00F52084"/>
    <w:pPr>
      <w:ind w:left="1080"/>
      <w:jc w:val="both"/>
    </w:pPr>
    <w:rPr>
      <w:sz w:val="28"/>
      <w:lang w:val="x-none" w:eastAsia="x-none"/>
    </w:rPr>
  </w:style>
  <w:style w:type="character" w:customStyle="1" w:styleId="32">
    <w:name w:val="Основной текст с отступом 3 Знак"/>
    <w:link w:val="31"/>
    <w:uiPriority w:val="99"/>
    <w:rsid w:val="00C662F8"/>
    <w:rPr>
      <w:sz w:val="28"/>
      <w:szCs w:val="24"/>
    </w:rPr>
  </w:style>
  <w:style w:type="paragraph" w:customStyle="1" w:styleId="11">
    <w:name w:val="Стиль1"/>
    <w:basedOn w:val="a"/>
    <w:uiPriority w:val="99"/>
    <w:rsid w:val="00F52084"/>
    <w:pPr>
      <w:jc w:val="both"/>
    </w:pPr>
    <w:rPr>
      <w:sz w:val="20"/>
      <w:szCs w:val="20"/>
    </w:rPr>
  </w:style>
  <w:style w:type="paragraph" w:customStyle="1" w:styleId="ab">
    <w:name w:val="Нормальный"/>
    <w:uiPriority w:val="99"/>
    <w:rsid w:val="00F52084"/>
    <w:pPr>
      <w:autoSpaceDE w:val="0"/>
      <w:autoSpaceDN w:val="0"/>
    </w:pPr>
  </w:style>
  <w:style w:type="paragraph" w:styleId="ac">
    <w:name w:val="footer"/>
    <w:basedOn w:val="a"/>
    <w:link w:val="ad"/>
    <w:rsid w:val="00F52084"/>
    <w:pPr>
      <w:tabs>
        <w:tab w:val="center" w:pos="4153"/>
        <w:tab w:val="right" w:pos="8306"/>
      </w:tabs>
      <w:autoSpaceDE w:val="0"/>
      <w:autoSpaceDN w:val="0"/>
    </w:pPr>
    <w:rPr>
      <w:sz w:val="20"/>
      <w:szCs w:val="20"/>
    </w:rPr>
  </w:style>
  <w:style w:type="character" w:customStyle="1" w:styleId="ad">
    <w:name w:val="Нижний колонтитул Знак"/>
    <w:basedOn w:val="a0"/>
    <w:link w:val="ac"/>
    <w:rsid w:val="00F66C5D"/>
  </w:style>
  <w:style w:type="paragraph" w:styleId="ae">
    <w:name w:val="Block Text"/>
    <w:basedOn w:val="a"/>
    <w:uiPriority w:val="99"/>
    <w:rsid w:val="00F52084"/>
    <w:pPr>
      <w:autoSpaceDE w:val="0"/>
      <w:autoSpaceDN w:val="0"/>
      <w:spacing w:before="20" w:after="20"/>
      <w:ind w:left="142" w:right="-142" w:firstLine="567"/>
      <w:jc w:val="both"/>
    </w:pPr>
    <w:rPr>
      <w:rFonts w:ascii="Times New Roman CYR" w:hAnsi="Times New Roman CYR"/>
    </w:rPr>
  </w:style>
  <w:style w:type="paragraph" w:styleId="af">
    <w:name w:val="Normal (Web)"/>
    <w:basedOn w:val="a"/>
    <w:link w:val="af0"/>
    <w:uiPriority w:val="99"/>
    <w:rsid w:val="00F52084"/>
    <w:pPr>
      <w:spacing w:before="100" w:beforeAutospacing="1" w:after="100" w:afterAutospacing="1"/>
    </w:pPr>
    <w:rPr>
      <w:color w:val="000000"/>
      <w:lang w:val="x-none" w:eastAsia="x-none"/>
    </w:rPr>
  </w:style>
  <w:style w:type="character" w:customStyle="1" w:styleId="af0">
    <w:name w:val="Обычный (Интернет) Знак"/>
    <w:link w:val="af"/>
    <w:uiPriority w:val="99"/>
    <w:locked/>
    <w:rsid w:val="00255995"/>
    <w:rPr>
      <w:color w:val="000000"/>
      <w:sz w:val="24"/>
      <w:szCs w:val="24"/>
    </w:rPr>
  </w:style>
  <w:style w:type="paragraph" w:customStyle="1" w:styleId="af1">
    <w:name w:val="подпункт"/>
    <w:basedOn w:val="af2"/>
    <w:autoRedefine/>
    <w:uiPriority w:val="99"/>
    <w:rsid w:val="00F52084"/>
    <w:pPr>
      <w:spacing w:before="0"/>
      <w:jc w:val="center"/>
    </w:pPr>
    <w:rPr>
      <w:b/>
      <w:bCs/>
    </w:rPr>
  </w:style>
  <w:style w:type="paragraph" w:customStyle="1" w:styleId="af2">
    <w:name w:val="Пункт"/>
    <w:basedOn w:val="a"/>
    <w:autoRedefine/>
    <w:uiPriority w:val="99"/>
    <w:rsid w:val="00F52084"/>
    <w:pPr>
      <w:spacing w:before="120" w:line="360" w:lineRule="auto"/>
      <w:ind w:left="720"/>
      <w:jc w:val="both"/>
    </w:pPr>
    <w:rPr>
      <w:sz w:val="28"/>
    </w:rPr>
  </w:style>
  <w:style w:type="paragraph" w:customStyle="1" w:styleId="12">
    <w:name w:val="Обычный1"/>
    <w:rsid w:val="00F52084"/>
  </w:style>
  <w:style w:type="paragraph" w:customStyle="1" w:styleId="ConsTitle">
    <w:name w:val="ConsTitle"/>
    <w:uiPriority w:val="99"/>
    <w:rsid w:val="00F52084"/>
    <w:pPr>
      <w:autoSpaceDE w:val="0"/>
      <w:autoSpaceDN w:val="0"/>
      <w:adjustRightInd w:val="0"/>
    </w:pPr>
    <w:rPr>
      <w:rFonts w:ascii="Arial" w:hAnsi="Arial" w:cs="Arial"/>
      <w:b/>
      <w:bCs/>
      <w:sz w:val="16"/>
      <w:szCs w:val="16"/>
    </w:rPr>
  </w:style>
  <w:style w:type="paragraph" w:styleId="af3">
    <w:name w:val="Plain Text"/>
    <w:basedOn w:val="a"/>
    <w:link w:val="af4"/>
    <w:uiPriority w:val="99"/>
    <w:rsid w:val="00F52084"/>
    <w:rPr>
      <w:rFonts w:ascii="Courier New" w:hAnsi="Courier New"/>
      <w:sz w:val="20"/>
      <w:szCs w:val="20"/>
      <w:lang w:val="x-none" w:eastAsia="x-none"/>
    </w:rPr>
  </w:style>
  <w:style w:type="character" w:customStyle="1" w:styleId="af4">
    <w:name w:val="Текст Знак"/>
    <w:link w:val="af3"/>
    <w:uiPriority w:val="99"/>
    <w:rsid w:val="00C662F8"/>
    <w:rPr>
      <w:rFonts w:ascii="Courier New" w:hAnsi="Courier New" w:cs="Courier New"/>
    </w:rPr>
  </w:style>
  <w:style w:type="paragraph" w:customStyle="1" w:styleId="font5">
    <w:name w:val="font5"/>
    <w:basedOn w:val="a"/>
    <w:uiPriority w:val="99"/>
    <w:rsid w:val="00F52084"/>
    <w:pPr>
      <w:spacing w:before="100" w:beforeAutospacing="1" w:after="100" w:afterAutospacing="1"/>
    </w:pPr>
    <w:rPr>
      <w:rFonts w:eastAsia="Arial Unicode MS"/>
      <w:sz w:val="16"/>
      <w:szCs w:val="16"/>
    </w:rPr>
  </w:style>
  <w:style w:type="paragraph" w:customStyle="1" w:styleId="font6">
    <w:name w:val="font6"/>
    <w:basedOn w:val="a"/>
    <w:uiPriority w:val="99"/>
    <w:rsid w:val="00F52084"/>
    <w:pPr>
      <w:spacing w:before="100" w:beforeAutospacing="1" w:after="100" w:afterAutospacing="1"/>
    </w:pPr>
    <w:rPr>
      <w:rFonts w:eastAsia="Arial Unicode MS"/>
      <w:sz w:val="14"/>
      <w:szCs w:val="14"/>
    </w:rPr>
  </w:style>
  <w:style w:type="paragraph" w:customStyle="1" w:styleId="font7">
    <w:name w:val="font7"/>
    <w:basedOn w:val="a"/>
    <w:uiPriority w:val="99"/>
    <w:rsid w:val="00F52084"/>
    <w:pPr>
      <w:spacing w:before="100" w:beforeAutospacing="1" w:after="100" w:afterAutospacing="1"/>
    </w:pPr>
    <w:rPr>
      <w:rFonts w:eastAsia="Arial Unicode MS"/>
      <w:color w:val="FFFFFF"/>
      <w:sz w:val="16"/>
      <w:szCs w:val="16"/>
    </w:rPr>
  </w:style>
  <w:style w:type="paragraph" w:customStyle="1" w:styleId="xl24">
    <w:name w:val="xl24"/>
    <w:basedOn w:val="a"/>
    <w:uiPriority w:val="99"/>
    <w:rsid w:val="00F52084"/>
    <w:pPr>
      <w:pBdr>
        <w:bottom w:val="single" w:sz="4" w:space="0" w:color="auto"/>
        <w:right w:val="single" w:sz="4" w:space="0" w:color="auto"/>
      </w:pBdr>
      <w:spacing w:before="100" w:beforeAutospacing="1" w:after="100" w:afterAutospacing="1"/>
      <w:jc w:val="center"/>
      <w:textAlignment w:val="top"/>
    </w:pPr>
    <w:rPr>
      <w:rFonts w:eastAsia="Arial Unicode MS"/>
      <w:sz w:val="16"/>
      <w:szCs w:val="16"/>
    </w:rPr>
  </w:style>
  <w:style w:type="paragraph" w:customStyle="1" w:styleId="xl25">
    <w:name w:val="xl25"/>
    <w:basedOn w:val="a"/>
    <w:uiPriority w:val="99"/>
    <w:rsid w:val="00F52084"/>
    <w:pPr>
      <w:pBdr>
        <w:right w:val="single" w:sz="4" w:space="0" w:color="auto"/>
      </w:pBdr>
      <w:spacing w:before="100" w:beforeAutospacing="1" w:after="100" w:afterAutospacing="1"/>
      <w:jc w:val="center"/>
      <w:textAlignment w:val="top"/>
    </w:pPr>
    <w:rPr>
      <w:rFonts w:eastAsia="Arial Unicode MS"/>
      <w:sz w:val="16"/>
      <w:szCs w:val="16"/>
    </w:rPr>
  </w:style>
  <w:style w:type="paragraph" w:customStyle="1" w:styleId="xl26">
    <w:name w:val="xl26"/>
    <w:basedOn w:val="a"/>
    <w:uiPriority w:val="99"/>
    <w:rsid w:val="00F52084"/>
    <w:pPr>
      <w:pBdr>
        <w:top w:val="single" w:sz="4" w:space="0" w:color="auto"/>
        <w:right w:val="single" w:sz="4" w:space="0" w:color="auto"/>
      </w:pBdr>
      <w:spacing w:before="100" w:beforeAutospacing="1" w:after="100" w:afterAutospacing="1"/>
      <w:jc w:val="center"/>
      <w:textAlignment w:val="top"/>
    </w:pPr>
    <w:rPr>
      <w:rFonts w:eastAsia="Arial Unicode MS"/>
    </w:rPr>
  </w:style>
  <w:style w:type="paragraph" w:customStyle="1" w:styleId="xl27">
    <w:name w:val="xl27"/>
    <w:basedOn w:val="a"/>
    <w:uiPriority w:val="99"/>
    <w:rsid w:val="00F52084"/>
    <w:pPr>
      <w:pBdr>
        <w:right w:val="single" w:sz="4" w:space="0" w:color="auto"/>
      </w:pBdr>
      <w:spacing w:before="100" w:beforeAutospacing="1" w:after="100" w:afterAutospacing="1"/>
      <w:jc w:val="center"/>
      <w:textAlignment w:val="top"/>
    </w:pPr>
    <w:rPr>
      <w:rFonts w:eastAsia="Arial Unicode MS"/>
    </w:rPr>
  </w:style>
  <w:style w:type="paragraph" w:customStyle="1" w:styleId="xl28">
    <w:name w:val="xl28"/>
    <w:basedOn w:val="a"/>
    <w:uiPriority w:val="99"/>
    <w:rsid w:val="00F52084"/>
    <w:pPr>
      <w:pBdr>
        <w:right w:val="single" w:sz="4" w:space="0" w:color="auto"/>
      </w:pBdr>
      <w:spacing w:before="100" w:beforeAutospacing="1" w:after="100" w:afterAutospacing="1"/>
      <w:jc w:val="center"/>
      <w:textAlignment w:val="top"/>
    </w:pPr>
    <w:rPr>
      <w:rFonts w:eastAsia="Arial Unicode MS"/>
      <w:sz w:val="16"/>
      <w:szCs w:val="16"/>
    </w:rPr>
  </w:style>
  <w:style w:type="paragraph" w:customStyle="1" w:styleId="xl29">
    <w:name w:val="xl29"/>
    <w:basedOn w:val="a"/>
    <w:uiPriority w:val="99"/>
    <w:rsid w:val="00F52084"/>
    <w:pPr>
      <w:pBdr>
        <w:top w:val="single" w:sz="4" w:space="0" w:color="auto"/>
        <w:right w:val="single" w:sz="4" w:space="0" w:color="auto"/>
      </w:pBdr>
      <w:spacing w:before="100" w:beforeAutospacing="1" w:after="100" w:afterAutospacing="1"/>
      <w:jc w:val="center"/>
      <w:textAlignment w:val="top"/>
    </w:pPr>
    <w:rPr>
      <w:rFonts w:eastAsia="Arial Unicode MS"/>
      <w:sz w:val="16"/>
      <w:szCs w:val="16"/>
    </w:rPr>
  </w:style>
  <w:style w:type="paragraph" w:customStyle="1" w:styleId="xl30">
    <w:name w:val="xl30"/>
    <w:basedOn w:val="a"/>
    <w:uiPriority w:val="99"/>
    <w:rsid w:val="00F52084"/>
    <w:pPr>
      <w:pBdr>
        <w:top w:val="single" w:sz="4" w:space="0" w:color="auto"/>
        <w:bottom w:val="single" w:sz="4" w:space="0" w:color="auto"/>
        <w:right w:val="single" w:sz="4" w:space="0" w:color="auto"/>
      </w:pBdr>
      <w:shd w:val="clear" w:color="auto" w:fill="FFFF99"/>
      <w:spacing w:before="100" w:beforeAutospacing="1" w:after="100" w:afterAutospacing="1"/>
      <w:jc w:val="center"/>
      <w:textAlignment w:val="top"/>
    </w:pPr>
    <w:rPr>
      <w:rFonts w:eastAsia="Arial Unicode MS"/>
      <w:sz w:val="16"/>
      <w:szCs w:val="16"/>
    </w:rPr>
  </w:style>
  <w:style w:type="paragraph" w:customStyle="1" w:styleId="xl31">
    <w:name w:val="xl31"/>
    <w:basedOn w:val="a"/>
    <w:uiPriority w:val="99"/>
    <w:rsid w:val="00F52084"/>
    <w:pPr>
      <w:pBdr>
        <w:bottom w:val="single" w:sz="4" w:space="0" w:color="auto"/>
        <w:right w:val="single" w:sz="4" w:space="0" w:color="auto"/>
      </w:pBdr>
      <w:shd w:val="clear" w:color="auto" w:fill="FFFF99"/>
      <w:spacing w:before="100" w:beforeAutospacing="1" w:after="100" w:afterAutospacing="1"/>
      <w:jc w:val="center"/>
      <w:textAlignment w:val="top"/>
    </w:pPr>
    <w:rPr>
      <w:rFonts w:eastAsia="Arial Unicode MS"/>
      <w:sz w:val="16"/>
      <w:szCs w:val="16"/>
    </w:rPr>
  </w:style>
  <w:style w:type="paragraph" w:customStyle="1" w:styleId="xl32">
    <w:name w:val="xl32"/>
    <w:basedOn w:val="a"/>
    <w:uiPriority w:val="99"/>
    <w:rsid w:val="00F52084"/>
    <w:pPr>
      <w:pBdr>
        <w:right w:val="single" w:sz="4" w:space="0" w:color="auto"/>
      </w:pBdr>
      <w:shd w:val="clear" w:color="auto" w:fill="FFFF99"/>
      <w:spacing w:before="100" w:beforeAutospacing="1" w:after="100" w:afterAutospacing="1"/>
      <w:jc w:val="center"/>
      <w:textAlignment w:val="top"/>
    </w:pPr>
    <w:rPr>
      <w:rFonts w:eastAsia="Arial Unicode MS"/>
      <w:sz w:val="16"/>
      <w:szCs w:val="16"/>
    </w:rPr>
  </w:style>
  <w:style w:type="paragraph" w:customStyle="1" w:styleId="xl33">
    <w:name w:val="xl33"/>
    <w:basedOn w:val="a"/>
    <w:uiPriority w:val="99"/>
    <w:rsid w:val="00F52084"/>
    <w:pPr>
      <w:pBdr>
        <w:top w:val="single" w:sz="4" w:space="0" w:color="auto"/>
        <w:right w:val="single" w:sz="4" w:space="0" w:color="auto"/>
      </w:pBdr>
      <w:shd w:val="clear" w:color="auto" w:fill="FFFF99"/>
      <w:spacing w:before="100" w:beforeAutospacing="1" w:after="100" w:afterAutospacing="1"/>
      <w:jc w:val="center"/>
      <w:textAlignment w:val="top"/>
    </w:pPr>
    <w:rPr>
      <w:rFonts w:eastAsia="Arial Unicode MS"/>
    </w:rPr>
  </w:style>
  <w:style w:type="paragraph" w:customStyle="1" w:styleId="xl34">
    <w:name w:val="xl34"/>
    <w:basedOn w:val="a"/>
    <w:uiPriority w:val="99"/>
    <w:rsid w:val="00F52084"/>
    <w:pPr>
      <w:pBdr>
        <w:right w:val="single" w:sz="4" w:space="0" w:color="auto"/>
      </w:pBdr>
      <w:shd w:val="clear" w:color="auto" w:fill="FFFF99"/>
      <w:spacing w:before="100" w:beforeAutospacing="1" w:after="100" w:afterAutospacing="1"/>
      <w:jc w:val="center"/>
      <w:textAlignment w:val="top"/>
    </w:pPr>
    <w:rPr>
      <w:rFonts w:eastAsia="Arial Unicode MS"/>
    </w:rPr>
  </w:style>
  <w:style w:type="paragraph" w:customStyle="1" w:styleId="xl35">
    <w:name w:val="xl35"/>
    <w:basedOn w:val="a"/>
    <w:uiPriority w:val="99"/>
    <w:rsid w:val="00F52084"/>
    <w:pPr>
      <w:pBdr>
        <w:right w:val="single" w:sz="4" w:space="0" w:color="auto"/>
      </w:pBdr>
      <w:shd w:val="clear" w:color="auto" w:fill="FFFF99"/>
      <w:spacing w:before="100" w:beforeAutospacing="1" w:after="100" w:afterAutospacing="1"/>
      <w:jc w:val="center"/>
      <w:textAlignment w:val="top"/>
    </w:pPr>
    <w:rPr>
      <w:rFonts w:eastAsia="Arial Unicode MS"/>
      <w:sz w:val="16"/>
      <w:szCs w:val="16"/>
    </w:rPr>
  </w:style>
  <w:style w:type="paragraph" w:customStyle="1" w:styleId="xl36">
    <w:name w:val="xl36"/>
    <w:basedOn w:val="a"/>
    <w:uiPriority w:val="99"/>
    <w:rsid w:val="00F52084"/>
    <w:pPr>
      <w:pBdr>
        <w:top w:val="single" w:sz="4" w:space="0" w:color="auto"/>
        <w:right w:val="single" w:sz="4" w:space="0" w:color="auto"/>
      </w:pBdr>
      <w:shd w:val="clear" w:color="auto" w:fill="FFFF99"/>
      <w:spacing w:before="100" w:beforeAutospacing="1" w:after="100" w:afterAutospacing="1"/>
      <w:jc w:val="center"/>
      <w:textAlignment w:val="top"/>
    </w:pPr>
    <w:rPr>
      <w:rFonts w:eastAsia="Arial Unicode MS"/>
      <w:sz w:val="16"/>
      <w:szCs w:val="16"/>
    </w:rPr>
  </w:style>
  <w:style w:type="paragraph" w:customStyle="1" w:styleId="xl37">
    <w:name w:val="xl37"/>
    <w:basedOn w:val="a"/>
    <w:uiPriority w:val="99"/>
    <w:rsid w:val="00F52084"/>
    <w:pPr>
      <w:pBdr>
        <w:top w:val="single" w:sz="4" w:space="0" w:color="auto"/>
        <w:bottom w:val="single" w:sz="4" w:space="0" w:color="auto"/>
        <w:right w:val="single" w:sz="4" w:space="0" w:color="auto"/>
      </w:pBdr>
      <w:shd w:val="clear" w:color="auto" w:fill="CCFFCC"/>
      <w:spacing w:before="100" w:beforeAutospacing="1" w:after="100" w:afterAutospacing="1"/>
      <w:jc w:val="center"/>
      <w:textAlignment w:val="top"/>
    </w:pPr>
    <w:rPr>
      <w:rFonts w:eastAsia="Arial Unicode MS"/>
      <w:sz w:val="16"/>
      <w:szCs w:val="16"/>
    </w:rPr>
  </w:style>
  <w:style w:type="paragraph" w:customStyle="1" w:styleId="xl38">
    <w:name w:val="xl38"/>
    <w:basedOn w:val="a"/>
    <w:uiPriority w:val="99"/>
    <w:rsid w:val="00F52084"/>
    <w:pPr>
      <w:pBdr>
        <w:bottom w:val="single" w:sz="4" w:space="0" w:color="auto"/>
        <w:right w:val="single" w:sz="4" w:space="0" w:color="auto"/>
      </w:pBdr>
      <w:shd w:val="clear" w:color="auto" w:fill="CCFFCC"/>
      <w:spacing w:before="100" w:beforeAutospacing="1" w:after="100" w:afterAutospacing="1"/>
      <w:jc w:val="center"/>
      <w:textAlignment w:val="top"/>
    </w:pPr>
    <w:rPr>
      <w:rFonts w:eastAsia="Arial Unicode MS"/>
      <w:sz w:val="16"/>
      <w:szCs w:val="16"/>
    </w:rPr>
  </w:style>
  <w:style w:type="paragraph" w:customStyle="1" w:styleId="xl39">
    <w:name w:val="xl39"/>
    <w:basedOn w:val="a"/>
    <w:uiPriority w:val="99"/>
    <w:rsid w:val="00F52084"/>
    <w:pPr>
      <w:pBdr>
        <w:right w:val="single" w:sz="4" w:space="0" w:color="auto"/>
      </w:pBdr>
      <w:shd w:val="clear" w:color="auto" w:fill="CCFFCC"/>
      <w:spacing w:before="100" w:beforeAutospacing="1" w:after="100" w:afterAutospacing="1"/>
      <w:jc w:val="center"/>
      <w:textAlignment w:val="top"/>
    </w:pPr>
    <w:rPr>
      <w:rFonts w:eastAsia="Arial Unicode MS"/>
      <w:sz w:val="16"/>
      <w:szCs w:val="16"/>
    </w:rPr>
  </w:style>
  <w:style w:type="paragraph" w:customStyle="1" w:styleId="xl40">
    <w:name w:val="xl40"/>
    <w:basedOn w:val="a"/>
    <w:uiPriority w:val="99"/>
    <w:rsid w:val="00F52084"/>
    <w:pPr>
      <w:pBdr>
        <w:top w:val="single" w:sz="4" w:space="0" w:color="auto"/>
        <w:right w:val="single" w:sz="4" w:space="0" w:color="auto"/>
      </w:pBdr>
      <w:shd w:val="clear" w:color="auto" w:fill="CCFFCC"/>
      <w:spacing w:before="100" w:beforeAutospacing="1" w:after="100" w:afterAutospacing="1"/>
      <w:jc w:val="center"/>
      <w:textAlignment w:val="top"/>
    </w:pPr>
    <w:rPr>
      <w:rFonts w:eastAsia="Arial Unicode MS"/>
    </w:rPr>
  </w:style>
  <w:style w:type="paragraph" w:customStyle="1" w:styleId="xl41">
    <w:name w:val="xl41"/>
    <w:basedOn w:val="a"/>
    <w:uiPriority w:val="99"/>
    <w:rsid w:val="00F52084"/>
    <w:pPr>
      <w:pBdr>
        <w:right w:val="single" w:sz="4" w:space="0" w:color="auto"/>
      </w:pBdr>
      <w:shd w:val="clear" w:color="auto" w:fill="CCFFCC"/>
      <w:spacing w:before="100" w:beforeAutospacing="1" w:after="100" w:afterAutospacing="1"/>
      <w:jc w:val="center"/>
      <w:textAlignment w:val="top"/>
    </w:pPr>
    <w:rPr>
      <w:rFonts w:eastAsia="Arial Unicode MS"/>
    </w:rPr>
  </w:style>
  <w:style w:type="paragraph" w:customStyle="1" w:styleId="xl42">
    <w:name w:val="xl42"/>
    <w:basedOn w:val="a"/>
    <w:uiPriority w:val="99"/>
    <w:rsid w:val="00F52084"/>
    <w:pPr>
      <w:pBdr>
        <w:right w:val="single" w:sz="4" w:space="0" w:color="auto"/>
      </w:pBdr>
      <w:shd w:val="clear" w:color="auto" w:fill="CCFFCC"/>
      <w:spacing w:before="100" w:beforeAutospacing="1" w:after="100" w:afterAutospacing="1"/>
      <w:jc w:val="center"/>
      <w:textAlignment w:val="top"/>
    </w:pPr>
    <w:rPr>
      <w:rFonts w:eastAsia="Arial Unicode MS"/>
      <w:sz w:val="16"/>
      <w:szCs w:val="16"/>
    </w:rPr>
  </w:style>
  <w:style w:type="paragraph" w:customStyle="1" w:styleId="xl43">
    <w:name w:val="xl43"/>
    <w:basedOn w:val="a"/>
    <w:uiPriority w:val="99"/>
    <w:rsid w:val="00F52084"/>
    <w:pPr>
      <w:pBdr>
        <w:top w:val="single" w:sz="4" w:space="0" w:color="auto"/>
        <w:right w:val="single" w:sz="4" w:space="0" w:color="auto"/>
      </w:pBdr>
      <w:shd w:val="clear" w:color="auto" w:fill="CCFFCC"/>
      <w:spacing w:before="100" w:beforeAutospacing="1" w:after="100" w:afterAutospacing="1"/>
      <w:jc w:val="center"/>
      <w:textAlignment w:val="top"/>
    </w:pPr>
    <w:rPr>
      <w:rFonts w:eastAsia="Arial Unicode MS"/>
      <w:sz w:val="16"/>
      <w:szCs w:val="16"/>
    </w:rPr>
  </w:style>
  <w:style w:type="paragraph" w:customStyle="1" w:styleId="xl44">
    <w:name w:val="xl44"/>
    <w:basedOn w:val="a"/>
    <w:uiPriority w:val="99"/>
    <w:rsid w:val="00F52084"/>
    <w:pPr>
      <w:pBdr>
        <w:top w:val="single" w:sz="4" w:space="0" w:color="auto"/>
        <w:bottom w:val="single" w:sz="4" w:space="0" w:color="auto"/>
        <w:right w:val="single" w:sz="4"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45">
    <w:name w:val="xl45"/>
    <w:basedOn w:val="a"/>
    <w:uiPriority w:val="99"/>
    <w:rsid w:val="00F52084"/>
    <w:pPr>
      <w:pBdr>
        <w:bottom w:val="single" w:sz="4" w:space="0" w:color="auto"/>
        <w:right w:val="single" w:sz="4"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46">
    <w:name w:val="xl46"/>
    <w:basedOn w:val="a"/>
    <w:uiPriority w:val="99"/>
    <w:rsid w:val="00F52084"/>
    <w:pPr>
      <w:pBdr>
        <w:right w:val="single" w:sz="4"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47">
    <w:name w:val="xl47"/>
    <w:basedOn w:val="a"/>
    <w:uiPriority w:val="99"/>
    <w:rsid w:val="00F52084"/>
    <w:pPr>
      <w:pBdr>
        <w:top w:val="single" w:sz="4" w:space="0" w:color="auto"/>
        <w:right w:val="single" w:sz="4" w:space="0" w:color="auto"/>
      </w:pBdr>
      <w:shd w:val="clear" w:color="auto" w:fill="CCFFFF"/>
      <w:spacing w:before="100" w:beforeAutospacing="1" w:after="100" w:afterAutospacing="1"/>
      <w:jc w:val="center"/>
      <w:textAlignment w:val="top"/>
    </w:pPr>
    <w:rPr>
      <w:rFonts w:eastAsia="Arial Unicode MS"/>
    </w:rPr>
  </w:style>
  <w:style w:type="paragraph" w:customStyle="1" w:styleId="xl48">
    <w:name w:val="xl48"/>
    <w:basedOn w:val="a"/>
    <w:uiPriority w:val="99"/>
    <w:rsid w:val="00F52084"/>
    <w:pPr>
      <w:pBdr>
        <w:right w:val="single" w:sz="4" w:space="0" w:color="auto"/>
      </w:pBdr>
      <w:shd w:val="clear" w:color="auto" w:fill="CCFFFF"/>
      <w:spacing w:before="100" w:beforeAutospacing="1" w:after="100" w:afterAutospacing="1"/>
      <w:jc w:val="center"/>
      <w:textAlignment w:val="top"/>
    </w:pPr>
    <w:rPr>
      <w:rFonts w:eastAsia="Arial Unicode MS"/>
    </w:rPr>
  </w:style>
  <w:style w:type="paragraph" w:customStyle="1" w:styleId="xl49">
    <w:name w:val="xl49"/>
    <w:basedOn w:val="a"/>
    <w:uiPriority w:val="99"/>
    <w:rsid w:val="00F52084"/>
    <w:pPr>
      <w:pBdr>
        <w:right w:val="single" w:sz="4"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50">
    <w:name w:val="xl50"/>
    <w:basedOn w:val="a"/>
    <w:uiPriority w:val="99"/>
    <w:rsid w:val="00F52084"/>
    <w:pPr>
      <w:pBdr>
        <w:right w:val="single" w:sz="4"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51">
    <w:name w:val="xl51"/>
    <w:basedOn w:val="a"/>
    <w:uiPriority w:val="99"/>
    <w:rsid w:val="00F52084"/>
    <w:pPr>
      <w:pBdr>
        <w:top w:val="single" w:sz="4" w:space="0" w:color="auto"/>
        <w:right w:val="single" w:sz="4"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52">
    <w:name w:val="xl52"/>
    <w:basedOn w:val="a"/>
    <w:uiPriority w:val="99"/>
    <w:rsid w:val="00F52084"/>
    <w:pPr>
      <w:pBdr>
        <w:top w:val="single" w:sz="4" w:space="0" w:color="auto"/>
        <w:bottom w:val="single" w:sz="4" w:space="0" w:color="auto"/>
        <w:right w:val="single" w:sz="8" w:space="0" w:color="auto"/>
      </w:pBdr>
      <w:shd w:val="clear" w:color="auto" w:fill="CCFFCC"/>
      <w:spacing w:before="100" w:beforeAutospacing="1" w:after="100" w:afterAutospacing="1"/>
      <w:jc w:val="center"/>
      <w:textAlignment w:val="top"/>
    </w:pPr>
    <w:rPr>
      <w:rFonts w:eastAsia="Arial Unicode MS"/>
      <w:sz w:val="16"/>
      <w:szCs w:val="16"/>
    </w:rPr>
  </w:style>
  <w:style w:type="paragraph" w:customStyle="1" w:styleId="xl53">
    <w:name w:val="xl53"/>
    <w:basedOn w:val="a"/>
    <w:uiPriority w:val="99"/>
    <w:rsid w:val="00F52084"/>
    <w:pPr>
      <w:pBdr>
        <w:bottom w:val="single" w:sz="4" w:space="0" w:color="auto"/>
        <w:right w:val="single" w:sz="8" w:space="0" w:color="auto"/>
      </w:pBdr>
      <w:shd w:val="clear" w:color="auto" w:fill="CCFFCC"/>
      <w:spacing w:before="100" w:beforeAutospacing="1" w:after="100" w:afterAutospacing="1"/>
      <w:jc w:val="center"/>
      <w:textAlignment w:val="top"/>
    </w:pPr>
    <w:rPr>
      <w:rFonts w:eastAsia="Arial Unicode MS"/>
      <w:sz w:val="16"/>
      <w:szCs w:val="16"/>
    </w:rPr>
  </w:style>
  <w:style w:type="paragraph" w:customStyle="1" w:styleId="xl54">
    <w:name w:val="xl54"/>
    <w:basedOn w:val="a"/>
    <w:uiPriority w:val="99"/>
    <w:rsid w:val="00F52084"/>
    <w:pPr>
      <w:pBdr>
        <w:right w:val="single" w:sz="8" w:space="0" w:color="auto"/>
      </w:pBdr>
      <w:shd w:val="clear" w:color="auto" w:fill="CCFFCC"/>
      <w:spacing w:before="100" w:beforeAutospacing="1" w:after="100" w:afterAutospacing="1"/>
      <w:jc w:val="center"/>
      <w:textAlignment w:val="top"/>
    </w:pPr>
    <w:rPr>
      <w:rFonts w:eastAsia="Arial Unicode MS"/>
      <w:sz w:val="16"/>
      <w:szCs w:val="16"/>
    </w:rPr>
  </w:style>
  <w:style w:type="paragraph" w:customStyle="1" w:styleId="xl55">
    <w:name w:val="xl55"/>
    <w:basedOn w:val="a"/>
    <w:uiPriority w:val="99"/>
    <w:rsid w:val="00F52084"/>
    <w:pPr>
      <w:pBdr>
        <w:top w:val="single" w:sz="4" w:space="0" w:color="auto"/>
        <w:right w:val="single" w:sz="8" w:space="0" w:color="auto"/>
      </w:pBdr>
      <w:shd w:val="clear" w:color="auto" w:fill="CCFFCC"/>
      <w:spacing w:before="100" w:beforeAutospacing="1" w:after="100" w:afterAutospacing="1"/>
      <w:jc w:val="center"/>
      <w:textAlignment w:val="top"/>
    </w:pPr>
    <w:rPr>
      <w:rFonts w:eastAsia="Arial Unicode MS"/>
    </w:rPr>
  </w:style>
  <w:style w:type="paragraph" w:customStyle="1" w:styleId="xl56">
    <w:name w:val="xl56"/>
    <w:basedOn w:val="a"/>
    <w:uiPriority w:val="99"/>
    <w:rsid w:val="00F52084"/>
    <w:pPr>
      <w:pBdr>
        <w:right w:val="single" w:sz="8" w:space="0" w:color="auto"/>
      </w:pBdr>
      <w:shd w:val="clear" w:color="auto" w:fill="CCFFCC"/>
      <w:spacing w:before="100" w:beforeAutospacing="1" w:after="100" w:afterAutospacing="1"/>
      <w:jc w:val="center"/>
      <w:textAlignment w:val="top"/>
    </w:pPr>
    <w:rPr>
      <w:rFonts w:eastAsia="Arial Unicode MS"/>
    </w:rPr>
  </w:style>
  <w:style w:type="paragraph" w:customStyle="1" w:styleId="xl57">
    <w:name w:val="xl57"/>
    <w:basedOn w:val="a"/>
    <w:uiPriority w:val="99"/>
    <w:rsid w:val="00F52084"/>
    <w:pPr>
      <w:pBdr>
        <w:right w:val="single" w:sz="8" w:space="0" w:color="auto"/>
      </w:pBdr>
      <w:shd w:val="clear" w:color="auto" w:fill="CCFFCC"/>
      <w:spacing w:before="100" w:beforeAutospacing="1" w:after="100" w:afterAutospacing="1"/>
      <w:jc w:val="center"/>
      <w:textAlignment w:val="top"/>
    </w:pPr>
    <w:rPr>
      <w:rFonts w:eastAsia="Arial Unicode MS"/>
      <w:sz w:val="16"/>
      <w:szCs w:val="16"/>
    </w:rPr>
  </w:style>
  <w:style w:type="paragraph" w:customStyle="1" w:styleId="xl58">
    <w:name w:val="xl58"/>
    <w:basedOn w:val="a"/>
    <w:uiPriority w:val="99"/>
    <w:rsid w:val="00F52084"/>
    <w:pPr>
      <w:pBdr>
        <w:top w:val="single" w:sz="4" w:space="0" w:color="auto"/>
        <w:right w:val="single" w:sz="8" w:space="0" w:color="auto"/>
      </w:pBdr>
      <w:shd w:val="clear" w:color="auto" w:fill="CCFFCC"/>
      <w:spacing w:before="100" w:beforeAutospacing="1" w:after="100" w:afterAutospacing="1"/>
      <w:jc w:val="center"/>
      <w:textAlignment w:val="top"/>
    </w:pPr>
    <w:rPr>
      <w:rFonts w:eastAsia="Arial Unicode MS"/>
      <w:sz w:val="16"/>
      <w:szCs w:val="16"/>
    </w:rPr>
  </w:style>
  <w:style w:type="paragraph" w:customStyle="1" w:styleId="xl59">
    <w:name w:val="xl59"/>
    <w:basedOn w:val="a"/>
    <w:uiPriority w:val="99"/>
    <w:rsid w:val="00F52084"/>
    <w:pPr>
      <w:pBdr>
        <w:top w:val="single" w:sz="4" w:space="0" w:color="auto"/>
        <w:bottom w:val="single" w:sz="8" w:space="0" w:color="auto"/>
        <w:right w:val="single" w:sz="4" w:space="0" w:color="auto"/>
      </w:pBdr>
      <w:shd w:val="clear" w:color="auto" w:fill="CCFFCC"/>
      <w:spacing w:before="100" w:beforeAutospacing="1" w:after="100" w:afterAutospacing="1"/>
      <w:jc w:val="center"/>
      <w:textAlignment w:val="top"/>
    </w:pPr>
    <w:rPr>
      <w:rFonts w:eastAsia="Arial Unicode MS"/>
      <w:sz w:val="16"/>
      <w:szCs w:val="16"/>
    </w:rPr>
  </w:style>
  <w:style w:type="paragraph" w:customStyle="1" w:styleId="xl60">
    <w:name w:val="xl60"/>
    <w:basedOn w:val="a"/>
    <w:uiPriority w:val="99"/>
    <w:rsid w:val="00F52084"/>
    <w:pPr>
      <w:pBdr>
        <w:top w:val="single" w:sz="4" w:space="0" w:color="auto"/>
        <w:bottom w:val="single" w:sz="8" w:space="0" w:color="auto"/>
        <w:right w:val="single" w:sz="8" w:space="0" w:color="auto"/>
      </w:pBdr>
      <w:shd w:val="clear" w:color="auto" w:fill="CCFFCC"/>
      <w:spacing w:before="100" w:beforeAutospacing="1" w:after="100" w:afterAutospacing="1"/>
      <w:jc w:val="center"/>
      <w:textAlignment w:val="top"/>
    </w:pPr>
    <w:rPr>
      <w:rFonts w:eastAsia="Arial Unicode MS"/>
      <w:sz w:val="16"/>
      <w:szCs w:val="16"/>
    </w:rPr>
  </w:style>
  <w:style w:type="paragraph" w:customStyle="1" w:styleId="xl61">
    <w:name w:val="xl61"/>
    <w:basedOn w:val="a"/>
    <w:uiPriority w:val="99"/>
    <w:rsid w:val="00F52084"/>
    <w:pPr>
      <w:pBdr>
        <w:top w:val="single" w:sz="8" w:space="0" w:color="auto"/>
        <w:left w:val="single" w:sz="8" w:space="0" w:color="auto"/>
        <w:bottom w:val="single" w:sz="4" w:space="0" w:color="auto"/>
        <w:right w:val="single" w:sz="8" w:space="0" w:color="auto"/>
      </w:pBdr>
      <w:shd w:val="clear" w:color="auto" w:fill="C0C0C0"/>
      <w:spacing w:before="100" w:beforeAutospacing="1" w:after="100" w:afterAutospacing="1"/>
      <w:jc w:val="center"/>
      <w:textAlignment w:val="center"/>
    </w:pPr>
    <w:rPr>
      <w:rFonts w:eastAsia="Arial Unicode MS"/>
      <w:sz w:val="16"/>
      <w:szCs w:val="16"/>
    </w:rPr>
  </w:style>
  <w:style w:type="paragraph" w:customStyle="1" w:styleId="xl62">
    <w:name w:val="xl62"/>
    <w:basedOn w:val="a"/>
    <w:uiPriority w:val="99"/>
    <w:rsid w:val="00F52084"/>
    <w:pPr>
      <w:pBdr>
        <w:top w:val="single" w:sz="4" w:space="0" w:color="auto"/>
        <w:left w:val="single" w:sz="8" w:space="0" w:color="auto"/>
        <w:bottom w:val="single" w:sz="4" w:space="0" w:color="auto"/>
        <w:right w:val="single" w:sz="8" w:space="0" w:color="auto"/>
      </w:pBdr>
      <w:shd w:val="clear" w:color="auto" w:fill="C0C0C0"/>
      <w:spacing w:before="100" w:beforeAutospacing="1" w:after="100" w:afterAutospacing="1"/>
      <w:jc w:val="center"/>
      <w:textAlignment w:val="top"/>
    </w:pPr>
    <w:rPr>
      <w:rFonts w:eastAsia="Arial Unicode MS"/>
      <w:sz w:val="16"/>
      <w:szCs w:val="16"/>
    </w:rPr>
  </w:style>
  <w:style w:type="paragraph" w:customStyle="1" w:styleId="xl63">
    <w:name w:val="xl63"/>
    <w:basedOn w:val="a"/>
    <w:uiPriority w:val="99"/>
    <w:rsid w:val="00F52084"/>
    <w:pPr>
      <w:pBdr>
        <w:left w:val="single" w:sz="8" w:space="0" w:color="auto"/>
        <w:bottom w:val="single" w:sz="4" w:space="0" w:color="auto"/>
        <w:right w:val="single" w:sz="8" w:space="0" w:color="auto"/>
      </w:pBdr>
      <w:shd w:val="clear" w:color="auto" w:fill="C0C0C0"/>
      <w:spacing w:before="100" w:beforeAutospacing="1" w:after="100" w:afterAutospacing="1"/>
      <w:jc w:val="center"/>
      <w:textAlignment w:val="top"/>
    </w:pPr>
    <w:rPr>
      <w:rFonts w:eastAsia="Arial Unicode MS"/>
      <w:sz w:val="16"/>
      <w:szCs w:val="16"/>
    </w:rPr>
  </w:style>
  <w:style w:type="paragraph" w:customStyle="1" w:styleId="xl64">
    <w:name w:val="xl64"/>
    <w:basedOn w:val="a"/>
    <w:uiPriority w:val="99"/>
    <w:rsid w:val="00F52084"/>
    <w:pPr>
      <w:pBdr>
        <w:left w:val="single" w:sz="8" w:space="0" w:color="auto"/>
        <w:right w:val="single" w:sz="8" w:space="0" w:color="auto"/>
      </w:pBdr>
      <w:shd w:val="clear" w:color="auto" w:fill="C0C0C0"/>
      <w:spacing w:before="100" w:beforeAutospacing="1" w:after="100" w:afterAutospacing="1"/>
      <w:jc w:val="center"/>
      <w:textAlignment w:val="top"/>
    </w:pPr>
    <w:rPr>
      <w:rFonts w:eastAsia="Arial Unicode MS"/>
      <w:sz w:val="16"/>
      <w:szCs w:val="16"/>
    </w:rPr>
  </w:style>
  <w:style w:type="paragraph" w:customStyle="1" w:styleId="xl65">
    <w:name w:val="xl65"/>
    <w:basedOn w:val="a"/>
    <w:uiPriority w:val="99"/>
    <w:rsid w:val="00F52084"/>
    <w:pPr>
      <w:pBdr>
        <w:top w:val="single" w:sz="4" w:space="0" w:color="auto"/>
        <w:left w:val="single" w:sz="8" w:space="0" w:color="auto"/>
        <w:right w:val="single" w:sz="8" w:space="0" w:color="auto"/>
      </w:pBdr>
      <w:shd w:val="clear" w:color="auto" w:fill="C0C0C0"/>
      <w:spacing w:before="100" w:beforeAutospacing="1" w:after="100" w:afterAutospacing="1"/>
      <w:jc w:val="center"/>
      <w:textAlignment w:val="top"/>
    </w:pPr>
    <w:rPr>
      <w:rFonts w:eastAsia="Arial Unicode MS"/>
    </w:rPr>
  </w:style>
  <w:style w:type="paragraph" w:customStyle="1" w:styleId="xl66">
    <w:name w:val="xl66"/>
    <w:basedOn w:val="a"/>
    <w:uiPriority w:val="99"/>
    <w:rsid w:val="00F52084"/>
    <w:pPr>
      <w:pBdr>
        <w:left w:val="single" w:sz="8" w:space="0" w:color="auto"/>
        <w:right w:val="single" w:sz="8" w:space="0" w:color="auto"/>
      </w:pBdr>
      <w:shd w:val="clear" w:color="auto" w:fill="C0C0C0"/>
      <w:spacing w:before="100" w:beforeAutospacing="1" w:after="100" w:afterAutospacing="1"/>
      <w:jc w:val="center"/>
      <w:textAlignment w:val="top"/>
    </w:pPr>
    <w:rPr>
      <w:rFonts w:eastAsia="Arial Unicode MS"/>
    </w:rPr>
  </w:style>
  <w:style w:type="paragraph" w:customStyle="1" w:styleId="xl67">
    <w:name w:val="xl67"/>
    <w:basedOn w:val="a"/>
    <w:uiPriority w:val="99"/>
    <w:rsid w:val="00F52084"/>
    <w:pPr>
      <w:pBdr>
        <w:left w:val="single" w:sz="8" w:space="0" w:color="auto"/>
        <w:right w:val="single" w:sz="8" w:space="0" w:color="auto"/>
      </w:pBdr>
      <w:shd w:val="clear" w:color="auto" w:fill="C0C0C0"/>
      <w:spacing w:before="100" w:beforeAutospacing="1" w:after="100" w:afterAutospacing="1"/>
      <w:jc w:val="center"/>
      <w:textAlignment w:val="top"/>
    </w:pPr>
    <w:rPr>
      <w:rFonts w:eastAsia="Arial Unicode MS"/>
      <w:sz w:val="16"/>
      <w:szCs w:val="16"/>
    </w:rPr>
  </w:style>
  <w:style w:type="paragraph" w:customStyle="1" w:styleId="xl68">
    <w:name w:val="xl68"/>
    <w:basedOn w:val="a"/>
    <w:uiPriority w:val="99"/>
    <w:rsid w:val="00F52084"/>
    <w:pPr>
      <w:pBdr>
        <w:top w:val="single" w:sz="4" w:space="0" w:color="auto"/>
        <w:left w:val="single" w:sz="8" w:space="0" w:color="auto"/>
        <w:right w:val="single" w:sz="8" w:space="0" w:color="auto"/>
      </w:pBdr>
      <w:shd w:val="clear" w:color="auto" w:fill="C0C0C0"/>
      <w:spacing w:before="100" w:beforeAutospacing="1" w:after="100" w:afterAutospacing="1"/>
      <w:jc w:val="center"/>
      <w:textAlignment w:val="top"/>
    </w:pPr>
    <w:rPr>
      <w:rFonts w:eastAsia="Arial Unicode MS"/>
      <w:sz w:val="16"/>
      <w:szCs w:val="16"/>
    </w:rPr>
  </w:style>
  <w:style w:type="paragraph" w:customStyle="1" w:styleId="xl69">
    <w:name w:val="xl69"/>
    <w:basedOn w:val="a"/>
    <w:uiPriority w:val="99"/>
    <w:rsid w:val="00F52084"/>
    <w:pPr>
      <w:pBdr>
        <w:top w:val="single" w:sz="4" w:space="0" w:color="auto"/>
        <w:left w:val="single" w:sz="8" w:space="0" w:color="auto"/>
        <w:bottom w:val="single" w:sz="8" w:space="0" w:color="auto"/>
        <w:right w:val="single" w:sz="8" w:space="0" w:color="auto"/>
      </w:pBdr>
      <w:shd w:val="clear" w:color="auto" w:fill="C0C0C0"/>
      <w:spacing w:before="100" w:beforeAutospacing="1" w:after="100" w:afterAutospacing="1"/>
      <w:jc w:val="center"/>
      <w:textAlignment w:val="top"/>
    </w:pPr>
    <w:rPr>
      <w:rFonts w:eastAsia="Arial Unicode MS"/>
      <w:sz w:val="16"/>
      <w:szCs w:val="16"/>
    </w:rPr>
  </w:style>
  <w:style w:type="paragraph" w:customStyle="1" w:styleId="xl70">
    <w:name w:val="xl70"/>
    <w:basedOn w:val="a"/>
    <w:uiPriority w:val="99"/>
    <w:rsid w:val="00F52084"/>
    <w:pPr>
      <w:pBdr>
        <w:top w:val="single" w:sz="4" w:space="0" w:color="auto"/>
        <w:left w:val="single" w:sz="8" w:space="0" w:color="auto"/>
        <w:bottom w:val="single" w:sz="4" w:space="0" w:color="auto"/>
        <w:right w:val="single" w:sz="4"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71">
    <w:name w:val="xl71"/>
    <w:basedOn w:val="a"/>
    <w:uiPriority w:val="99"/>
    <w:rsid w:val="00F52084"/>
    <w:pPr>
      <w:pBdr>
        <w:left w:val="single" w:sz="8" w:space="0" w:color="auto"/>
        <w:bottom w:val="single" w:sz="4" w:space="0" w:color="auto"/>
        <w:right w:val="single" w:sz="4"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72">
    <w:name w:val="xl72"/>
    <w:basedOn w:val="a"/>
    <w:uiPriority w:val="99"/>
    <w:rsid w:val="00F52084"/>
    <w:pPr>
      <w:pBdr>
        <w:left w:val="single" w:sz="8" w:space="0" w:color="auto"/>
        <w:right w:val="single" w:sz="4"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73">
    <w:name w:val="xl73"/>
    <w:basedOn w:val="a"/>
    <w:uiPriority w:val="99"/>
    <w:rsid w:val="00F52084"/>
    <w:pPr>
      <w:pBdr>
        <w:top w:val="single" w:sz="4" w:space="0" w:color="auto"/>
        <w:left w:val="single" w:sz="8" w:space="0" w:color="auto"/>
        <w:right w:val="single" w:sz="4" w:space="0" w:color="auto"/>
      </w:pBdr>
      <w:shd w:val="clear" w:color="auto" w:fill="CCFFFF"/>
      <w:spacing w:before="100" w:beforeAutospacing="1" w:after="100" w:afterAutospacing="1"/>
      <w:jc w:val="center"/>
      <w:textAlignment w:val="top"/>
    </w:pPr>
    <w:rPr>
      <w:rFonts w:eastAsia="Arial Unicode MS"/>
    </w:rPr>
  </w:style>
  <w:style w:type="paragraph" w:customStyle="1" w:styleId="xl74">
    <w:name w:val="xl74"/>
    <w:basedOn w:val="a"/>
    <w:uiPriority w:val="99"/>
    <w:rsid w:val="00F52084"/>
    <w:pPr>
      <w:pBdr>
        <w:left w:val="single" w:sz="8" w:space="0" w:color="auto"/>
        <w:right w:val="single" w:sz="4" w:space="0" w:color="auto"/>
      </w:pBdr>
      <w:shd w:val="clear" w:color="auto" w:fill="CCFFFF"/>
      <w:spacing w:before="100" w:beforeAutospacing="1" w:after="100" w:afterAutospacing="1"/>
      <w:jc w:val="center"/>
      <w:textAlignment w:val="top"/>
    </w:pPr>
    <w:rPr>
      <w:rFonts w:eastAsia="Arial Unicode MS"/>
    </w:rPr>
  </w:style>
  <w:style w:type="paragraph" w:customStyle="1" w:styleId="xl75">
    <w:name w:val="xl75"/>
    <w:basedOn w:val="a"/>
    <w:uiPriority w:val="99"/>
    <w:rsid w:val="00F52084"/>
    <w:pPr>
      <w:pBdr>
        <w:left w:val="single" w:sz="8" w:space="0" w:color="auto"/>
        <w:right w:val="single" w:sz="4"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76">
    <w:name w:val="xl76"/>
    <w:basedOn w:val="a"/>
    <w:uiPriority w:val="99"/>
    <w:rsid w:val="00F52084"/>
    <w:pPr>
      <w:pBdr>
        <w:left w:val="single" w:sz="8" w:space="0" w:color="auto"/>
        <w:right w:val="single" w:sz="4"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77">
    <w:name w:val="xl77"/>
    <w:basedOn w:val="a"/>
    <w:uiPriority w:val="99"/>
    <w:rsid w:val="00F52084"/>
    <w:pPr>
      <w:pBdr>
        <w:left w:val="single" w:sz="8" w:space="0" w:color="auto"/>
        <w:bottom w:val="single" w:sz="8" w:space="0" w:color="auto"/>
        <w:right w:val="single" w:sz="4"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78">
    <w:name w:val="xl78"/>
    <w:basedOn w:val="a"/>
    <w:uiPriority w:val="99"/>
    <w:rsid w:val="00F52084"/>
    <w:pPr>
      <w:pBdr>
        <w:top w:val="single" w:sz="4" w:space="0" w:color="auto"/>
        <w:bottom w:val="single" w:sz="8" w:space="0" w:color="auto"/>
        <w:right w:val="single" w:sz="4"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79">
    <w:name w:val="xl79"/>
    <w:basedOn w:val="a"/>
    <w:uiPriority w:val="99"/>
    <w:rsid w:val="00F52084"/>
    <w:pPr>
      <w:pBdr>
        <w:top w:val="single" w:sz="4" w:space="0" w:color="auto"/>
        <w:bottom w:val="single" w:sz="4" w:space="0" w:color="auto"/>
        <w:right w:val="single" w:sz="8" w:space="0" w:color="auto"/>
      </w:pBdr>
      <w:shd w:val="clear" w:color="auto" w:fill="FFFF99"/>
      <w:spacing w:before="100" w:beforeAutospacing="1" w:after="100" w:afterAutospacing="1"/>
      <w:jc w:val="center"/>
      <w:textAlignment w:val="top"/>
    </w:pPr>
    <w:rPr>
      <w:rFonts w:eastAsia="Arial Unicode MS"/>
      <w:sz w:val="16"/>
      <w:szCs w:val="16"/>
    </w:rPr>
  </w:style>
  <w:style w:type="paragraph" w:customStyle="1" w:styleId="xl80">
    <w:name w:val="xl80"/>
    <w:basedOn w:val="a"/>
    <w:uiPriority w:val="99"/>
    <w:rsid w:val="00F52084"/>
    <w:pPr>
      <w:pBdr>
        <w:bottom w:val="single" w:sz="4" w:space="0" w:color="auto"/>
        <w:right w:val="single" w:sz="8" w:space="0" w:color="auto"/>
      </w:pBdr>
      <w:shd w:val="clear" w:color="auto" w:fill="FFFF99"/>
      <w:spacing w:before="100" w:beforeAutospacing="1" w:after="100" w:afterAutospacing="1"/>
      <w:jc w:val="center"/>
      <w:textAlignment w:val="top"/>
    </w:pPr>
    <w:rPr>
      <w:rFonts w:eastAsia="Arial Unicode MS"/>
      <w:sz w:val="16"/>
      <w:szCs w:val="16"/>
    </w:rPr>
  </w:style>
  <w:style w:type="paragraph" w:customStyle="1" w:styleId="xl81">
    <w:name w:val="xl81"/>
    <w:basedOn w:val="a"/>
    <w:uiPriority w:val="99"/>
    <w:rsid w:val="00F52084"/>
    <w:pPr>
      <w:pBdr>
        <w:right w:val="single" w:sz="8" w:space="0" w:color="auto"/>
      </w:pBdr>
      <w:shd w:val="clear" w:color="auto" w:fill="FFFF99"/>
      <w:spacing w:before="100" w:beforeAutospacing="1" w:after="100" w:afterAutospacing="1"/>
      <w:jc w:val="center"/>
      <w:textAlignment w:val="top"/>
    </w:pPr>
    <w:rPr>
      <w:rFonts w:eastAsia="Arial Unicode MS"/>
      <w:sz w:val="16"/>
      <w:szCs w:val="16"/>
    </w:rPr>
  </w:style>
  <w:style w:type="paragraph" w:customStyle="1" w:styleId="xl82">
    <w:name w:val="xl82"/>
    <w:basedOn w:val="a"/>
    <w:uiPriority w:val="99"/>
    <w:rsid w:val="00F52084"/>
    <w:pPr>
      <w:pBdr>
        <w:top w:val="single" w:sz="4" w:space="0" w:color="auto"/>
        <w:right w:val="single" w:sz="8" w:space="0" w:color="auto"/>
      </w:pBdr>
      <w:shd w:val="clear" w:color="auto" w:fill="FFFF99"/>
      <w:spacing w:before="100" w:beforeAutospacing="1" w:after="100" w:afterAutospacing="1"/>
      <w:jc w:val="center"/>
      <w:textAlignment w:val="top"/>
    </w:pPr>
    <w:rPr>
      <w:rFonts w:eastAsia="Arial Unicode MS"/>
    </w:rPr>
  </w:style>
  <w:style w:type="paragraph" w:customStyle="1" w:styleId="xl83">
    <w:name w:val="xl83"/>
    <w:basedOn w:val="a"/>
    <w:uiPriority w:val="99"/>
    <w:rsid w:val="00F52084"/>
    <w:pPr>
      <w:pBdr>
        <w:right w:val="single" w:sz="8" w:space="0" w:color="auto"/>
      </w:pBdr>
      <w:shd w:val="clear" w:color="auto" w:fill="FFFF99"/>
      <w:spacing w:before="100" w:beforeAutospacing="1" w:after="100" w:afterAutospacing="1"/>
      <w:jc w:val="center"/>
      <w:textAlignment w:val="top"/>
    </w:pPr>
    <w:rPr>
      <w:rFonts w:eastAsia="Arial Unicode MS"/>
    </w:rPr>
  </w:style>
  <w:style w:type="paragraph" w:customStyle="1" w:styleId="xl84">
    <w:name w:val="xl84"/>
    <w:basedOn w:val="a"/>
    <w:uiPriority w:val="99"/>
    <w:rsid w:val="00F52084"/>
    <w:pPr>
      <w:pBdr>
        <w:right w:val="single" w:sz="8" w:space="0" w:color="auto"/>
      </w:pBdr>
      <w:shd w:val="clear" w:color="auto" w:fill="FFFF99"/>
      <w:spacing w:before="100" w:beforeAutospacing="1" w:after="100" w:afterAutospacing="1"/>
      <w:jc w:val="center"/>
      <w:textAlignment w:val="top"/>
    </w:pPr>
    <w:rPr>
      <w:rFonts w:eastAsia="Arial Unicode MS"/>
      <w:sz w:val="16"/>
      <w:szCs w:val="16"/>
    </w:rPr>
  </w:style>
  <w:style w:type="paragraph" w:customStyle="1" w:styleId="xl85">
    <w:name w:val="xl85"/>
    <w:basedOn w:val="a"/>
    <w:uiPriority w:val="99"/>
    <w:rsid w:val="00F52084"/>
    <w:pPr>
      <w:pBdr>
        <w:top w:val="single" w:sz="4" w:space="0" w:color="auto"/>
        <w:right w:val="single" w:sz="8" w:space="0" w:color="auto"/>
      </w:pBdr>
      <w:shd w:val="clear" w:color="auto" w:fill="FFFF99"/>
      <w:spacing w:before="100" w:beforeAutospacing="1" w:after="100" w:afterAutospacing="1"/>
      <w:jc w:val="center"/>
      <w:textAlignment w:val="top"/>
    </w:pPr>
    <w:rPr>
      <w:rFonts w:eastAsia="Arial Unicode MS"/>
      <w:sz w:val="16"/>
      <w:szCs w:val="16"/>
    </w:rPr>
  </w:style>
  <w:style w:type="paragraph" w:customStyle="1" w:styleId="xl86">
    <w:name w:val="xl86"/>
    <w:basedOn w:val="a"/>
    <w:uiPriority w:val="99"/>
    <w:rsid w:val="00F52084"/>
    <w:pPr>
      <w:pBdr>
        <w:top w:val="single" w:sz="4" w:space="0" w:color="auto"/>
        <w:bottom w:val="single" w:sz="8" w:space="0" w:color="auto"/>
        <w:right w:val="single" w:sz="4" w:space="0" w:color="auto"/>
      </w:pBdr>
      <w:shd w:val="clear" w:color="auto" w:fill="FFFF99"/>
      <w:spacing w:before="100" w:beforeAutospacing="1" w:after="100" w:afterAutospacing="1"/>
      <w:jc w:val="center"/>
      <w:textAlignment w:val="top"/>
    </w:pPr>
    <w:rPr>
      <w:rFonts w:eastAsia="Arial Unicode MS"/>
      <w:sz w:val="16"/>
      <w:szCs w:val="16"/>
    </w:rPr>
  </w:style>
  <w:style w:type="paragraph" w:customStyle="1" w:styleId="xl87">
    <w:name w:val="xl87"/>
    <w:basedOn w:val="a"/>
    <w:uiPriority w:val="99"/>
    <w:rsid w:val="00F52084"/>
    <w:pPr>
      <w:pBdr>
        <w:top w:val="single" w:sz="4" w:space="0" w:color="auto"/>
        <w:bottom w:val="single" w:sz="8" w:space="0" w:color="auto"/>
        <w:right w:val="single" w:sz="8" w:space="0" w:color="auto"/>
      </w:pBdr>
      <w:shd w:val="clear" w:color="auto" w:fill="FFFF99"/>
      <w:spacing w:before="100" w:beforeAutospacing="1" w:after="100" w:afterAutospacing="1"/>
      <w:jc w:val="center"/>
      <w:textAlignment w:val="top"/>
    </w:pPr>
    <w:rPr>
      <w:rFonts w:eastAsia="Arial Unicode MS"/>
      <w:sz w:val="16"/>
      <w:szCs w:val="16"/>
    </w:rPr>
  </w:style>
  <w:style w:type="paragraph" w:customStyle="1" w:styleId="xl88">
    <w:name w:val="xl88"/>
    <w:basedOn w:val="a"/>
    <w:uiPriority w:val="99"/>
    <w:rsid w:val="00F52084"/>
    <w:pPr>
      <w:pBdr>
        <w:top w:val="single" w:sz="4" w:space="0" w:color="auto"/>
        <w:left w:val="single" w:sz="4" w:space="0" w:color="auto"/>
        <w:bottom w:val="single" w:sz="4" w:space="0" w:color="auto"/>
      </w:pBdr>
      <w:spacing w:before="100" w:beforeAutospacing="1" w:after="100" w:afterAutospacing="1"/>
      <w:jc w:val="center"/>
      <w:textAlignment w:val="center"/>
    </w:pPr>
    <w:rPr>
      <w:rFonts w:eastAsia="Arial Unicode MS"/>
      <w:sz w:val="16"/>
      <w:szCs w:val="16"/>
    </w:rPr>
  </w:style>
  <w:style w:type="paragraph" w:customStyle="1" w:styleId="xl89">
    <w:name w:val="xl89"/>
    <w:basedOn w:val="a"/>
    <w:uiPriority w:val="99"/>
    <w:rsid w:val="00F52084"/>
    <w:pPr>
      <w:pBdr>
        <w:top w:val="single" w:sz="4" w:space="0" w:color="auto"/>
        <w:left w:val="single" w:sz="4" w:space="0" w:color="auto"/>
        <w:bottom w:val="single" w:sz="4" w:space="0" w:color="auto"/>
      </w:pBdr>
      <w:spacing w:before="100" w:beforeAutospacing="1" w:after="100" w:afterAutospacing="1"/>
      <w:textAlignment w:val="top"/>
    </w:pPr>
    <w:rPr>
      <w:rFonts w:eastAsia="Arial Unicode MS"/>
      <w:sz w:val="16"/>
      <w:szCs w:val="16"/>
    </w:rPr>
  </w:style>
  <w:style w:type="paragraph" w:customStyle="1" w:styleId="xl90">
    <w:name w:val="xl90"/>
    <w:basedOn w:val="a"/>
    <w:uiPriority w:val="99"/>
    <w:rsid w:val="00F52084"/>
    <w:pPr>
      <w:pBdr>
        <w:top w:val="single" w:sz="4" w:space="0" w:color="auto"/>
        <w:left w:val="single" w:sz="4" w:space="0" w:color="auto"/>
      </w:pBdr>
      <w:spacing w:before="100" w:beforeAutospacing="1" w:after="100" w:afterAutospacing="1"/>
      <w:textAlignment w:val="top"/>
    </w:pPr>
    <w:rPr>
      <w:rFonts w:eastAsia="Arial Unicode MS"/>
      <w:sz w:val="16"/>
      <w:szCs w:val="16"/>
    </w:rPr>
  </w:style>
  <w:style w:type="paragraph" w:customStyle="1" w:styleId="xl91">
    <w:name w:val="xl91"/>
    <w:basedOn w:val="a"/>
    <w:uiPriority w:val="99"/>
    <w:rsid w:val="00F52084"/>
    <w:pPr>
      <w:spacing w:before="100" w:beforeAutospacing="1" w:after="100" w:afterAutospacing="1"/>
    </w:pPr>
    <w:rPr>
      <w:rFonts w:ascii="Arial Unicode MS" w:eastAsia="Arial Unicode MS" w:hAnsi="Arial Unicode MS" w:cs="Arial Unicode MS"/>
    </w:rPr>
  </w:style>
  <w:style w:type="paragraph" w:customStyle="1" w:styleId="xl92">
    <w:name w:val="xl92"/>
    <w:basedOn w:val="a"/>
    <w:uiPriority w:val="99"/>
    <w:rsid w:val="00F52084"/>
    <w:pPr>
      <w:pBdr>
        <w:left w:val="single" w:sz="4" w:space="0" w:color="auto"/>
        <w:bottom w:val="single" w:sz="4" w:space="0" w:color="auto"/>
      </w:pBdr>
      <w:spacing w:before="100" w:beforeAutospacing="1" w:after="100" w:afterAutospacing="1"/>
      <w:textAlignment w:val="top"/>
    </w:pPr>
    <w:rPr>
      <w:rFonts w:eastAsia="Arial Unicode MS"/>
      <w:sz w:val="16"/>
      <w:szCs w:val="16"/>
    </w:rPr>
  </w:style>
  <w:style w:type="paragraph" w:customStyle="1" w:styleId="xl93">
    <w:name w:val="xl93"/>
    <w:basedOn w:val="a"/>
    <w:uiPriority w:val="99"/>
    <w:rsid w:val="00F52084"/>
    <w:pPr>
      <w:pBdr>
        <w:left w:val="single" w:sz="4" w:space="0" w:color="auto"/>
      </w:pBdr>
      <w:spacing w:before="100" w:beforeAutospacing="1" w:after="100" w:afterAutospacing="1"/>
      <w:textAlignment w:val="top"/>
    </w:pPr>
    <w:rPr>
      <w:rFonts w:eastAsia="Arial Unicode MS"/>
      <w:sz w:val="16"/>
      <w:szCs w:val="16"/>
    </w:rPr>
  </w:style>
  <w:style w:type="paragraph" w:customStyle="1" w:styleId="xl94">
    <w:name w:val="xl94"/>
    <w:basedOn w:val="a"/>
    <w:uiPriority w:val="99"/>
    <w:rsid w:val="00F52084"/>
    <w:pPr>
      <w:pBdr>
        <w:left w:val="single" w:sz="4" w:space="0" w:color="auto"/>
      </w:pBdr>
      <w:spacing w:before="100" w:beforeAutospacing="1" w:after="100" w:afterAutospacing="1"/>
      <w:textAlignment w:val="top"/>
    </w:pPr>
    <w:rPr>
      <w:rFonts w:ascii="Symbol" w:eastAsia="Arial Unicode MS" w:hAnsi="Symbol" w:cs="Arial Unicode MS"/>
      <w:sz w:val="16"/>
      <w:szCs w:val="16"/>
    </w:rPr>
  </w:style>
  <w:style w:type="paragraph" w:customStyle="1" w:styleId="xl95">
    <w:name w:val="xl95"/>
    <w:basedOn w:val="a"/>
    <w:uiPriority w:val="99"/>
    <w:rsid w:val="00F52084"/>
    <w:pPr>
      <w:pBdr>
        <w:left w:val="single" w:sz="4" w:space="0" w:color="auto"/>
        <w:bottom w:val="single" w:sz="4" w:space="0" w:color="auto"/>
      </w:pBdr>
      <w:spacing w:before="100" w:beforeAutospacing="1" w:after="100" w:afterAutospacing="1"/>
      <w:textAlignment w:val="top"/>
    </w:pPr>
    <w:rPr>
      <w:rFonts w:ascii="Symbol" w:eastAsia="Arial Unicode MS" w:hAnsi="Symbol" w:cs="Arial Unicode MS"/>
      <w:sz w:val="16"/>
      <w:szCs w:val="16"/>
    </w:rPr>
  </w:style>
  <w:style w:type="paragraph" w:customStyle="1" w:styleId="xl96">
    <w:name w:val="xl96"/>
    <w:basedOn w:val="a"/>
    <w:uiPriority w:val="99"/>
    <w:rsid w:val="00F52084"/>
    <w:pPr>
      <w:pBdr>
        <w:left w:val="single" w:sz="8" w:space="0" w:color="auto"/>
        <w:bottom w:val="single" w:sz="4" w:space="0" w:color="auto"/>
        <w:right w:val="single" w:sz="4" w:space="0" w:color="auto"/>
      </w:pBdr>
      <w:spacing w:before="100" w:beforeAutospacing="1" w:after="100" w:afterAutospacing="1"/>
      <w:jc w:val="center"/>
      <w:textAlignment w:val="top"/>
    </w:pPr>
    <w:rPr>
      <w:rFonts w:eastAsia="Arial Unicode MS"/>
      <w:sz w:val="16"/>
      <w:szCs w:val="16"/>
    </w:rPr>
  </w:style>
  <w:style w:type="paragraph" w:customStyle="1" w:styleId="xl97">
    <w:name w:val="xl97"/>
    <w:basedOn w:val="a"/>
    <w:uiPriority w:val="99"/>
    <w:rsid w:val="00F52084"/>
    <w:pPr>
      <w:pBdr>
        <w:left w:val="single" w:sz="8" w:space="0" w:color="auto"/>
        <w:right w:val="single" w:sz="4" w:space="0" w:color="auto"/>
      </w:pBdr>
      <w:spacing w:before="100" w:beforeAutospacing="1" w:after="100" w:afterAutospacing="1"/>
      <w:jc w:val="center"/>
      <w:textAlignment w:val="top"/>
    </w:pPr>
    <w:rPr>
      <w:rFonts w:eastAsia="Arial Unicode MS"/>
      <w:sz w:val="16"/>
      <w:szCs w:val="16"/>
    </w:rPr>
  </w:style>
  <w:style w:type="paragraph" w:customStyle="1" w:styleId="xl98">
    <w:name w:val="xl98"/>
    <w:basedOn w:val="a"/>
    <w:uiPriority w:val="99"/>
    <w:rsid w:val="00F52084"/>
    <w:pPr>
      <w:pBdr>
        <w:top w:val="single" w:sz="4" w:space="0" w:color="auto"/>
        <w:left w:val="single" w:sz="8" w:space="0" w:color="auto"/>
        <w:right w:val="single" w:sz="4" w:space="0" w:color="auto"/>
      </w:pBdr>
      <w:spacing w:before="100" w:beforeAutospacing="1" w:after="100" w:afterAutospacing="1"/>
      <w:jc w:val="center"/>
      <w:textAlignment w:val="top"/>
    </w:pPr>
    <w:rPr>
      <w:rFonts w:eastAsia="Arial Unicode MS"/>
    </w:rPr>
  </w:style>
  <w:style w:type="paragraph" w:customStyle="1" w:styleId="xl99">
    <w:name w:val="xl99"/>
    <w:basedOn w:val="a"/>
    <w:uiPriority w:val="99"/>
    <w:rsid w:val="00F52084"/>
    <w:pPr>
      <w:pBdr>
        <w:left w:val="single" w:sz="8" w:space="0" w:color="auto"/>
        <w:right w:val="single" w:sz="4" w:space="0" w:color="auto"/>
      </w:pBdr>
      <w:spacing w:before="100" w:beforeAutospacing="1" w:after="100" w:afterAutospacing="1"/>
      <w:jc w:val="center"/>
      <w:textAlignment w:val="top"/>
    </w:pPr>
    <w:rPr>
      <w:rFonts w:eastAsia="Arial Unicode MS"/>
    </w:rPr>
  </w:style>
  <w:style w:type="paragraph" w:customStyle="1" w:styleId="xl100">
    <w:name w:val="xl100"/>
    <w:basedOn w:val="a"/>
    <w:uiPriority w:val="99"/>
    <w:rsid w:val="00F52084"/>
    <w:pPr>
      <w:pBdr>
        <w:left w:val="single" w:sz="8" w:space="0" w:color="auto"/>
        <w:right w:val="single" w:sz="4" w:space="0" w:color="auto"/>
      </w:pBdr>
      <w:spacing w:before="100" w:beforeAutospacing="1" w:after="100" w:afterAutospacing="1"/>
      <w:jc w:val="center"/>
      <w:textAlignment w:val="top"/>
    </w:pPr>
    <w:rPr>
      <w:rFonts w:eastAsia="Arial Unicode MS"/>
      <w:sz w:val="16"/>
      <w:szCs w:val="16"/>
    </w:rPr>
  </w:style>
  <w:style w:type="paragraph" w:customStyle="1" w:styleId="xl101">
    <w:name w:val="xl101"/>
    <w:basedOn w:val="a"/>
    <w:uiPriority w:val="99"/>
    <w:rsid w:val="00F52084"/>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top"/>
    </w:pPr>
    <w:rPr>
      <w:rFonts w:eastAsia="Arial Unicode MS"/>
      <w:sz w:val="16"/>
      <w:szCs w:val="16"/>
    </w:rPr>
  </w:style>
  <w:style w:type="paragraph" w:customStyle="1" w:styleId="xl102">
    <w:name w:val="xl102"/>
    <w:basedOn w:val="a"/>
    <w:uiPriority w:val="99"/>
    <w:rsid w:val="00F52084"/>
    <w:pPr>
      <w:pBdr>
        <w:left w:val="single" w:sz="8" w:space="0" w:color="auto"/>
        <w:bottom w:val="single" w:sz="8" w:space="0" w:color="auto"/>
        <w:right w:val="single" w:sz="4" w:space="0" w:color="auto"/>
      </w:pBdr>
      <w:spacing w:before="100" w:beforeAutospacing="1" w:after="100" w:afterAutospacing="1"/>
      <w:jc w:val="center"/>
      <w:textAlignment w:val="top"/>
    </w:pPr>
    <w:rPr>
      <w:rFonts w:eastAsia="Arial Unicode MS"/>
      <w:sz w:val="16"/>
      <w:szCs w:val="16"/>
    </w:rPr>
  </w:style>
  <w:style w:type="paragraph" w:customStyle="1" w:styleId="xl103">
    <w:name w:val="xl103"/>
    <w:basedOn w:val="a"/>
    <w:uiPriority w:val="99"/>
    <w:rsid w:val="00F52084"/>
    <w:pPr>
      <w:pBdr>
        <w:top w:val="single" w:sz="4" w:space="0" w:color="auto"/>
        <w:bottom w:val="single" w:sz="8" w:space="0" w:color="auto"/>
        <w:right w:val="single" w:sz="4" w:space="0" w:color="auto"/>
      </w:pBdr>
      <w:spacing w:before="100" w:beforeAutospacing="1" w:after="100" w:afterAutospacing="1"/>
      <w:jc w:val="center"/>
      <w:textAlignment w:val="top"/>
    </w:pPr>
    <w:rPr>
      <w:rFonts w:eastAsia="Arial Unicode MS"/>
      <w:sz w:val="16"/>
      <w:szCs w:val="16"/>
    </w:rPr>
  </w:style>
  <w:style w:type="paragraph" w:customStyle="1" w:styleId="xl104">
    <w:name w:val="xl104"/>
    <w:basedOn w:val="a"/>
    <w:uiPriority w:val="99"/>
    <w:rsid w:val="00F52084"/>
    <w:pPr>
      <w:pBdr>
        <w:left w:val="single" w:sz="4" w:space="0" w:color="auto"/>
      </w:pBdr>
      <w:spacing w:before="100" w:beforeAutospacing="1" w:after="100" w:afterAutospacing="1"/>
      <w:jc w:val="right"/>
      <w:textAlignment w:val="top"/>
    </w:pPr>
    <w:rPr>
      <w:rFonts w:eastAsia="Arial Unicode MS"/>
      <w:sz w:val="16"/>
      <w:szCs w:val="16"/>
    </w:rPr>
  </w:style>
  <w:style w:type="paragraph" w:customStyle="1" w:styleId="xl105">
    <w:name w:val="xl105"/>
    <w:basedOn w:val="a"/>
    <w:uiPriority w:val="99"/>
    <w:rsid w:val="00F52084"/>
    <w:pPr>
      <w:pBdr>
        <w:left w:val="single" w:sz="8" w:space="0" w:color="auto"/>
        <w:right w:val="single" w:sz="4" w:space="0" w:color="auto"/>
      </w:pBdr>
      <w:spacing w:before="100" w:beforeAutospacing="1" w:after="100" w:afterAutospacing="1"/>
      <w:jc w:val="center"/>
      <w:textAlignment w:val="top"/>
    </w:pPr>
    <w:rPr>
      <w:rFonts w:eastAsia="Arial Unicode MS"/>
      <w:sz w:val="16"/>
      <w:szCs w:val="16"/>
    </w:rPr>
  </w:style>
  <w:style w:type="paragraph" w:customStyle="1" w:styleId="xl106">
    <w:name w:val="xl106"/>
    <w:basedOn w:val="a"/>
    <w:uiPriority w:val="99"/>
    <w:rsid w:val="00F52084"/>
    <w:pPr>
      <w:pBdr>
        <w:right w:val="single" w:sz="4" w:space="0" w:color="auto"/>
      </w:pBdr>
      <w:spacing w:before="100" w:beforeAutospacing="1" w:after="100" w:afterAutospacing="1"/>
      <w:jc w:val="center"/>
      <w:textAlignment w:val="top"/>
    </w:pPr>
    <w:rPr>
      <w:rFonts w:eastAsia="Arial Unicode MS"/>
      <w:sz w:val="16"/>
      <w:szCs w:val="16"/>
    </w:rPr>
  </w:style>
  <w:style w:type="paragraph" w:customStyle="1" w:styleId="xl107">
    <w:name w:val="xl107"/>
    <w:basedOn w:val="a"/>
    <w:uiPriority w:val="99"/>
    <w:rsid w:val="00F52084"/>
    <w:pPr>
      <w:pBdr>
        <w:right w:val="single" w:sz="4" w:space="0" w:color="auto"/>
      </w:pBdr>
      <w:shd w:val="clear" w:color="auto" w:fill="FFFF99"/>
      <w:spacing w:before="100" w:beforeAutospacing="1" w:after="100" w:afterAutospacing="1"/>
      <w:jc w:val="center"/>
      <w:textAlignment w:val="top"/>
    </w:pPr>
    <w:rPr>
      <w:rFonts w:eastAsia="Arial Unicode MS"/>
      <w:sz w:val="16"/>
      <w:szCs w:val="16"/>
    </w:rPr>
  </w:style>
  <w:style w:type="paragraph" w:customStyle="1" w:styleId="xl108">
    <w:name w:val="xl108"/>
    <w:basedOn w:val="a"/>
    <w:uiPriority w:val="99"/>
    <w:rsid w:val="00F52084"/>
    <w:pPr>
      <w:pBdr>
        <w:right w:val="single" w:sz="8" w:space="0" w:color="auto"/>
      </w:pBdr>
      <w:shd w:val="clear" w:color="auto" w:fill="FFFF99"/>
      <w:spacing w:before="100" w:beforeAutospacing="1" w:after="100" w:afterAutospacing="1"/>
      <w:jc w:val="center"/>
      <w:textAlignment w:val="top"/>
    </w:pPr>
    <w:rPr>
      <w:rFonts w:eastAsia="Arial Unicode MS"/>
      <w:sz w:val="16"/>
      <w:szCs w:val="16"/>
    </w:rPr>
  </w:style>
  <w:style w:type="paragraph" w:customStyle="1" w:styleId="xl109">
    <w:name w:val="xl109"/>
    <w:basedOn w:val="a"/>
    <w:uiPriority w:val="99"/>
    <w:rsid w:val="00F52084"/>
    <w:pPr>
      <w:pBdr>
        <w:right w:val="single" w:sz="4" w:space="0" w:color="auto"/>
      </w:pBdr>
      <w:shd w:val="clear" w:color="auto" w:fill="CCFFCC"/>
      <w:spacing w:before="100" w:beforeAutospacing="1" w:after="100" w:afterAutospacing="1"/>
      <w:jc w:val="center"/>
      <w:textAlignment w:val="top"/>
    </w:pPr>
    <w:rPr>
      <w:rFonts w:eastAsia="Arial Unicode MS"/>
      <w:sz w:val="16"/>
      <w:szCs w:val="16"/>
    </w:rPr>
  </w:style>
  <w:style w:type="paragraph" w:customStyle="1" w:styleId="xl110">
    <w:name w:val="xl110"/>
    <w:basedOn w:val="a"/>
    <w:uiPriority w:val="99"/>
    <w:rsid w:val="00F52084"/>
    <w:pPr>
      <w:pBdr>
        <w:right w:val="single" w:sz="8" w:space="0" w:color="auto"/>
      </w:pBdr>
      <w:shd w:val="clear" w:color="auto" w:fill="CCFFCC"/>
      <w:spacing w:before="100" w:beforeAutospacing="1" w:after="100" w:afterAutospacing="1"/>
      <w:jc w:val="center"/>
      <w:textAlignment w:val="top"/>
    </w:pPr>
    <w:rPr>
      <w:rFonts w:eastAsia="Arial Unicode MS"/>
      <w:sz w:val="16"/>
      <w:szCs w:val="16"/>
    </w:rPr>
  </w:style>
  <w:style w:type="paragraph" w:customStyle="1" w:styleId="xl111">
    <w:name w:val="xl111"/>
    <w:basedOn w:val="a"/>
    <w:uiPriority w:val="99"/>
    <w:rsid w:val="00F52084"/>
    <w:pPr>
      <w:pBdr>
        <w:left w:val="single" w:sz="8" w:space="0" w:color="auto"/>
        <w:right w:val="single" w:sz="8" w:space="0" w:color="auto"/>
      </w:pBdr>
      <w:shd w:val="clear" w:color="auto" w:fill="C0C0C0"/>
      <w:spacing w:before="100" w:beforeAutospacing="1" w:after="100" w:afterAutospacing="1"/>
      <w:jc w:val="center"/>
      <w:textAlignment w:val="top"/>
    </w:pPr>
    <w:rPr>
      <w:rFonts w:eastAsia="Arial Unicode MS"/>
      <w:sz w:val="16"/>
      <w:szCs w:val="16"/>
    </w:rPr>
  </w:style>
  <w:style w:type="paragraph" w:customStyle="1" w:styleId="xl112">
    <w:name w:val="xl112"/>
    <w:basedOn w:val="a"/>
    <w:uiPriority w:val="99"/>
    <w:rsid w:val="00F52084"/>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top"/>
    </w:pPr>
    <w:rPr>
      <w:rFonts w:eastAsia="Arial Unicode MS"/>
      <w:sz w:val="16"/>
      <w:szCs w:val="16"/>
    </w:rPr>
  </w:style>
  <w:style w:type="paragraph" w:customStyle="1" w:styleId="xl113">
    <w:name w:val="xl113"/>
    <w:basedOn w:val="a"/>
    <w:uiPriority w:val="99"/>
    <w:rsid w:val="00F52084"/>
    <w:pPr>
      <w:pBdr>
        <w:top w:val="single" w:sz="4" w:space="0" w:color="auto"/>
        <w:bottom w:val="single" w:sz="4" w:space="0" w:color="auto"/>
        <w:right w:val="single" w:sz="4" w:space="0" w:color="auto"/>
      </w:pBdr>
      <w:spacing w:before="100" w:beforeAutospacing="1" w:after="100" w:afterAutospacing="1"/>
      <w:jc w:val="center"/>
      <w:textAlignment w:val="top"/>
    </w:pPr>
    <w:rPr>
      <w:rFonts w:eastAsia="Arial Unicode MS"/>
      <w:sz w:val="16"/>
      <w:szCs w:val="16"/>
    </w:rPr>
  </w:style>
  <w:style w:type="paragraph" w:customStyle="1" w:styleId="xl114">
    <w:name w:val="xl114"/>
    <w:basedOn w:val="a"/>
    <w:uiPriority w:val="99"/>
    <w:rsid w:val="00F52084"/>
    <w:pPr>
      <w:pBdr>
        <w:top w:val="single" w:sz="4" w:space="0" w:color="auto"/>
        <w:left w:val="single" w:sz="8" w:space="0" w:color="auto"/>
        <w:bottom w:val="single" w:sz="4" w:space="0" w:color="auto"/>
        <w:right w:val="single" w:sz="4"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115">
    <w:name w:val="xl115"/>
    <w:basedOn w:val="a"/>
    <w:uiPriority w:val="99"/>
    <w:rsid w:val="00F52084"/>
    <w:pPr>
      <w:pBdr>
        <w:top w:val="single" w:sz="4" w:space="0" w:color="auto"/>
        <w:bottom w:val="single" w:sz="4" w:space="0" w:color="auto"/>
        <w:right w:val="single" w:sz="4"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116">
    <w:name w:val="xl116"/>
    <w:basedOn w:val="a"/>
    <w:uiPriority w:val="99"/>
    <w:rsid w:val="00F52084"/>
    <w:pPr>
      <w:pBdr>
        <w:top w:val="single" w:sz="4" w:space="0" w:color="auto"/>
        <w:bottom w:val="single" w:sz="4" w:space="0" w:color="auto"/>
        <w:right w:val="single" w:sz="4" w:space="0" w:color="auto"/>
      </w:pBdr>
      <w:shd w:val="clear" w:color="auto" w:fill="FFFF99"/>
      <w:spacing w:before="100" w:beforeAutospacing="1" w:after="100" w:afterAutospacing="1"/>
      <w:jc w:val="center"/>
      <w:textAlignment w:val="top"/>
    </w:pPr>
    <w:rPr>
      <w:rFonts w:eastAsia="Arial Unicode MS"/>
      <w:sz w:val="16"/>
      <w:szCs w:val="16"/>
    </w:rPr>
  </w:style>
  <w:style w:type="paragraph" w:customStyle="1" w:styleId="xl117">
    <w:name w:val="xl117"/>
    <w:basedOn w:val="a"/>
    <w:uiPriority w:val="99"/>
    <w:rsid w:val="00F52084"/>
    <w:pPr>
      <w:pBdr>
        <w:top w:val="single" w:sz="4" w:space="0" w:color="auto"/>
        <w:bottom w:val="single" w:sz="4" w:space="0" w:color="auto"/>
        <w:right w:val="single" w:sz="8" w:space="0" w:color="auto"/>
      </w:pBdr>
      <w:shd w:val="clear" w:color="auto" w:fill="FFFF99"/>
      <w:spacing w:before="100" w:beforeAutospacing="1" w:after="100" w:afterAutospacing="1"/>
      <w:jc w:val="center"/>
      <w:textAlignment w:val="top"/>
    </w:pPr>
    <w:rPr>
      <w:rFonts w:eastAsia="Arial Unicode MS"/>
      <w:sz w:val="16"/>
      <w:szCs w:val="16"/>
    </w:rPr>
  </w:style>
  <w:style w:type="paragraph" w:customStyle="1" w:styleId="xl118">
    <w:name w:val="xl118"/>
    <w:basedOn w:val="a"/>
    <w:uiPriority w:val="99"/>
    <w:rsid w:val="00F52084"/>
    <w:pPr>
      <w:pBdr>
        <w:top w:val="single" w:sz="4" w:space="0" w:color="auto"/>
        <w:bottom w:val="single" w:sz="4" w:space="0" w:color="auto"/>
        <w:right w:val="single" w:sz="4" w:space="0" w:color="auto"/>
      </w:pBdr>
      <w:shd w:val="clear" w:color="auto" w:fill="CCFFCC"/>
      <w:spacing w:before="100" w:beforeAutospacing="1" w:after="100" w:afterAutospacing="1"/>
      <w:jc w:val="center"/>
      <w:textAlignment w:val="top"/>
    </w:pPr>
    <w:rPr>
      <w:rFonts w:eastAsia="Arial Unicode MS"/>
      <w:sz w:val="16"/>
      <w:szCs w:val="16"/>
    </w:rPr>
  </w:style>
  <w:style w:type="paragraph" w:customStyle="1" w:styleId="xl119">
    <w:name w:val="xl119"/>
    <w:basedOn w:val="a"/>
    <w:uiPriority w:val="99"/>
    <w:rsid w:val="00F52084"/>
    <w:pPr>
      <w:pBdr>
        <w:top w:val="single" w:sz="4" w:space="0" w:color="auto"/>
        <w:bottom w:val="single" w:sz="4" w:space="0" w:color="auto"/>
        <w:right w:val="single" w:sz="8" w:space="0" w:color="auto"/>
      </w:pBdr>
      <w:shd w:val="clear" w:color="auto" w:fill="CCFFCC"/>
      <w:spacing w:before="100" w:beforeAutospacing="1" w:after="100" w:afterAutospacing="1"/>
      <w:jc w:val="center"/>
      <w:textAlignment w:val="top"/>
    </w:pPr>
    <w:rPr>
      <w:rFonts w:eastAsia="Arial Unicode MS"/>
      <w:sz w:val="16"/>
      <w:szCs w:val="16"/>
    </w:rPr>
  </w:style>
  <w:style w:type="paragraph" w:customStyle="1" w:styleId="xl120">
    <w:name w:val="xl120"/>
    <w:basedOn w:val="a"/>
    <w:uiPriority w:val="99"/>
    <w:rsid w:val="00F52084"/>
    <w:pPr>
      <w:pBdr>
        <w:top w:val="single" w:sz="4" w:space="0" w:color="auto"/>
        <w:left w:val="single" w:sz="8" w:space="0" w:color="auto"/>
        <w:bottom w:val="single" w:sz="4" w:space="0" w:color="auto"/>
        <w:right w:val="single" w:sz="8" w:space="0" w:color="auto"/>
      </w:pBdr>
      <w:shd w:val="clear" w:color="auto" w:fill="C0C0C0"/>
      <w:spacing w:before="100" w:beforeAutospacing="1" w:after="100" w:afterAutospacing="1"/>
      <w:jc w:val="center"/>
      <w:textAlignment w:val="top"/>
    </w:pPr>
    <w:rPr>
      <w:rFonts w:eastAsia="Arial Unicode MS"/>
      <w:sz w:val="16"/>
      <w:szCs w:val="16"/>
    </w:rPr>
  </w:style>
  <w:style w:type="paragraph" w:customStyle="1" w:styleId="xl121">
    <w:name w:val="xl121"/>
    <w:basedOn w:val="a"/>
    <w:uiPriority w:val="99"/>
    <w:rsid w:val="00F52084"/>
    <w:pPr>
      <w:pBdr>
        <w:bottom w:val="single" w:sz="8" w:space="0" w:color="auto"/>
        <w:right w:val="single" w:sz="4" w:space="0" w:color="auto"/>
      </w:pBdr>
      <w:shd w:val="clear" w:color="auto" w:fill="CCFFCC"/>
      <w:spacing w:before="100" w:beforeAutospacing="1" w:after="100" w:afterAutospacing="1"/>
      <w:jc w:val="center"/>
      <w:textAlignment w:val="top"/>
    </w:pPr>
    <w:rPr>
      <w:rFonts w:eastAsia="Arial Unicode MS"/>
      <w:sz w:val="16"/>
      <w:szCs w:val="16"/>
    </w:rPr>
  </w:style>
  <w:style w:type="paragraph" w:customStyle="1" w:styleId="xl122">
    <w:name w:val="xl122"/>
    <w:basedOn w:val="a"/>
    <w:uiPriority w:val="99"/>
    <w:rsid w:val="00F52084"/>
    <w:pPr>
      <w:spacing w:before="100" w:beforeAutospacing="1" w:after="100" w:afterAutospacing="1"/>
      <w:textAlignment w:val="top"/>
    </w:pPr>
    <w:rPr>
      <w:rFonts w:eastAsia="Arial Unicode MS"/>
      <w:sz w:val="16"/>
      <w:szCs w:val="16"/>
    </w:rPr>
  </w:style>
  <w:style w:type="paragraph" w:customStyle="1" w:styleId="xl123">
    <w:name w:val="xl123"/>
    <w:basedOn w:val="a"/>
    <w:uiPriority w:val="99"/>
    <w:rsid w:val="00F52084"/>
    <w:pPr>
      <w:pBdr>
        <w:top w:val="single" w:sz="4" w:space="0" w:color="auto"/>
        <w:left w:val="single" w:sz="4" w:space="0" w:color="auto"/>
        <w:bottom w:val="single" w:sz="4" w:space="0" w:color="auto"/>
        <w:right w:val="single" w:sz="8" w:space="0" w:color="auto"/>
      </w:pBdr>
      <w:spacing w:before="100" w:beforeAutospacing="1" w:after="100" w:afterAutospacing="1"/>
      <w:textAlignment w:val="top"/>
    </w:pPr>
    <w:rPr>
      <w:rFonts w:eastAsia="Arial Unicode MS"/>
      <w:sz w:val="16"/>
      <w:szCs w:val="16"/>
    </w:rPr>
  </w:style>
  <w:style w:type="paragraph" w:customStyle="1" w:styleId="xl124">
    <w:name w:val="xl124"/>
    <w:basedOn w:val="a"/>
    <w:uiPriority w:val="99"/>
    <w:rsid w:val="00F5208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eastAsia="Arial Unicode MS"/>
      <w:sz w:val="16"/>
      <w:szCs w:val="16"/>
    </w:rPr>
  </w:style>
  <w:style w:type="paragraph" w:customStyle="1" w:styleId="xl125">
    <w:name w:val="xl125"/>
    <w:basedOn w:val="a"/>
    <w:uiPriority w:val="99"/>
    <w:rsid w:val="00F52084"/>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126">
    <w:name w:val="xl126"/>
    <w:basedOn w:val="a"/>
    <w:uiPriority w:val="99"/>
    <w:rsid w:val="00F52084"/>
    <w:pPr>
      <w:pBdr>
        <w:top w:val="single" w:sz="4" w:space="0" w:color="auto"/>
        <w:bottom w:val="single" w:sz="4" w:space="0" w:color="auto"/>
        <w:right w:val="single" w:sz="8"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127">
    <w:name w:val="xl127"/>
    <w:basedOn w:val="a"/>
    <w:uiPriority w:val="99"/>
    <w:rsid w:val="00F52084"/>
    <w:pPr>
      <w:pBdr>
        <w:left w:val="single" w:sz="8" w:space="0" w:color="auto"/>
        <w:right w:val="single" w:sz="4"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128">
    <w:name w:val="xl128"/>
    <w:basedOn w:val="a"/>
    <w:uiPriority w:val="99"/>
    <w:rsid w:val="00F52084"/>
    <w:pPr>
      <w:pBdr>
        <w:right w:val="single" w:sz="4"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129">
    <w:name w:val="xl129"/>
    <w:basedOn w:val="a"/>
    <w:uiPriority w:val="99"/>
    <w:rsid w:val="00F52084"/>
    <w:pPr>
      <w:pBdr>
        <w:top w:val="single" w:sz="8" w:space="0" w:color="auto"/>
        <w:bottom w:val="single" w:sz="4" w:space="0" w:color="auto"/>
      </w:pBdr>
      <w:shd w:val="clear" w:color="auto" w:fill="FFFF99"/>
      <w:spacing w:before="100" w:beforeAutospacing="1" w:after="100" w:afterAutospacing="1"/>
      <w:jc w:val="center"/>
      <w:textAlignment w:val="center"/>
    </w:pPr>
    <w:rPr>
      <w:rFonts w:eastAsia="Arial Unicode MS"/>
      <w:sz w:val="16"/>
      <w:szCs w:val="16"/>
    </w:rPr>
  </w:style>
  <w:style w:type="paragraph" w:customStyle="1" w:styleId="xl130">
    <w:name w:val="xl130"/>
    <w:basedOn w:val="a"/>
    <w:uiPriority w:val="99"/>
    <w:rsid w:val="00F52084"/>
    <w:pPr>
      <w:pBdr>
        <w:top w:val="single" w:sz="8" w:space="0" w:color="auto"/>
        <w:bottom w:val="single" w:sz="4" w:space="0" w:color="auto"/>
        <w:right w:val="single" w:sz="8" w:space="0" w:color="auto"/>
      </w:pBdr>
      <w:shd w:val="clear" w:color="auto" w:fill="FFFF99"/>
      <w:spacing w:before="100" w:beforeAutospacing="1" w:after="100" w:afterAutospacing="1"/>
      <w:jc w:val="center"/>
      <w:textAlignment w:val="center"/>
    </w:pPr>
    <w:rPr>
      <w:rFonts w:eastAsia="Arial Unicode MS"/>
      <w:sz w:val="16"/>
      <w:szCs w:val="16"/>
    </w:rPr>
  </w:style>
  <w:style w:type="paragraph" w:customStyle="1" w:styleId="xl131">
    <w:name w:val="xl131"/>
    <w:basedOn w:val="a"/>
    <w:uiPriority w:val="99"/>
    <w:rsid w:val="00F52084"/>
    <w:pPr>
      <w:spacing w:before="100" w:beforeAutospacing="1" w:after="100" w:afterAutospacing="1"/>
      <w:jc w:val="center"/>
      <w:textAlignment w:val="center"/>
    </w:pPr>
    <w:rPr>
      <w:rFonts w:eastAsia="Arial Unicode MS"/>
      <w:b/>
      <w:bCs/>
      <w:sz w:val="22"/>
      <w:szCs w:val="22"/>
    </w:rPr>
  </w:style>
  <w:style w:type="paragraph" w:customStyle="1" w:styleId="xl132">
    <w:name w:val="xl132"/>
    <w:basedOn w:val="a"/>
    <w:uiPriority w:val="99"/>
    <w:rsid w:val="00F52084"/>
    <w:pPr>
      <w:pBdr>
        <w:bottom w:val="single" w:sz="4" w:space="0" w:color="auto"/>
      </w:pBdr>
      <w:spacing w:before="100" w:beforeAutospacing="1" w:after="100" w:afterAutospacing="1"/>
      <w:jc w:val="center"/>
      <w:textAlignment w:val="top"/>
    </w:pPr>
    <w:rPr>
      <w:rFonts w:eastAsia="Arial Unicode MS"/>
      <w:sz w:val="16"/>
      <w:szCs w:val="16"/>
    </w:rPr>
  </w:style>
  <w:style w:type="paragraph" w:customStyle="1" w:styleId="xl133">
    <w:name w:val="xl133"/>
    <w:basedOn w:val="a"/>
    <w:uiPriority w:val="99"/>
    <w:rsid w:val="00F52084"/>
    <w:pPr>
      <w:pBdr>
        <w:top w:val="single" w:sz="4" w:space="0" w:color="auto"/>
        <w:left w:val="single" w:sz="4" w:space="0" w:color="auto"/>
        <w:bottom w:val="single" w:sz="4" w:space="0" w:color="auto"/>
      </w:pBdr>
      <w:spacing w:before="100" w:beforeAutospacing="1" w:after="100" w:afterAutospacing="1"/>
      <w:jc w:val="center"/>
      <w:textAlignment w:val="top"/>
    </w:pPr>
    <w:rPr>
      <w:rFonts w:eastAsia="Arial Unicode MS"/>
      <w:sz w:val="16"/>
      <w:szCs w:val="16"/>
    </w:rPr>
  </w:style>
  <w:style w:type="paragraph" w:customStyle="1" w:styleId="xl134">
    <w:name w:val="xl134"/>
    <w:basedOn w:val="a"/>
    <w:uiPriority w:val="99"/>
    <w:rsid w:val="00F52084"/>
    <w:pPr>
      <w:spacing w:before="100" w:beforeAutospacing="1" w:after="100" w:afterAutospacing="1"/>
      <w:jc w:val="center"/>
      <w:textAlignment w:val="top"/>
    </w:pPr>
    <w:rPr>
      <w:rFonts w:eastAsia="Arial Unicode MS"/>
      <w:sz w:val="16"/>
      <w:szCs w:val="16"/>
    </w:rPr>
  </w:style>
  <w:style w:type="paragraph" w:customStyle="1" w:styleId="xl135">
    <w:name w:val="xl135"/>
    <w:basedOn w:val="a"/>
    <w:uiPriority w:val="99"/>
    <w:rsid w:val="00F52084"/>
    <w:pPr>
      <w:pBdr>
        <w:top w:val="single" w:sz="4" w:space="0" w:color="auto"/>
      </w:pBdr>
      <w:spacing w:before="100" w:beforeAutospacing="1" w:after="100" w:afterAutospacing="1"/>
      <w:jc w:val="center"/>
      <w:textAlignment w:val="top"/>
    </w:pPr>
    <w:rPr>
      <w:rFonts w:eastAsia="Arial Unicode MS"/>
    </w:rPr>
  </w:style>
  <w:style w:type="paragraph" w:customStyle="1" w:styleId="xl136">
    <w:name w:val="xl136"/>
    <w:basedOn w:val="a"/>
    <w:uiPriority w:val="99"/>
    <w:rsid w:val="00F52084"/>
    <w:pPr>
      <w:spacing w:before="100" w:beforeAutospacing="1" w:after="100" w:afterAutospacing="1"/>
      <w:jc w:val="center"/>
      <w:textAlignment w:val="top"/>
    </w:pPr>
    <w:rPr>
      <w:rFonts w:eastAsia="Arial Unicode MS"/>
    </w:rPr>
  </w:style>
  <w:style w:type="paragraph" w:customStyle="1" w:styleId="xl137">
    <w:name w:val="xl137"/>
    <w:basedOn w:val="a"/>
    <w:uiPriority w:val="99"/>
    <w:rsid w:val="00F52084"/>
    <w:pPr>
      <w:spacing w:before="100" w:beforeAutospacing="1" w:after="100" w:afterAutospacing="1"/>
      <w:jc w:val="center"/>
      <w:textAlignment w:val="top"/>
    </w:pPr>
    <w:rPr>
      <w:rFonts w:eastAsia="Arial Unicode MS"/>
      <w:sz w:val="16"/>
      <w:szCs w:val="16"/>
    </w:rPr>
  </w:style>
  <w:style w:type="paragraph" w:customStyle="1" w:styleId="xl138">
    <w:name w:val="xl138"/>
    <w:basedOn w:val="a"/>
    <w:uiPriority w:val="99"/>
    <w:rsid w:val="00F52084"/>
    <w:pPr>
      <w:spacing w:before="100" w:beforeAutospacing="1" w:after="100" w:afterAutospacing="1"/>
      <w:jc w:val="center"/>
      <w:textAlignment w:val="top"/>
    </w:pPr>
    <w:rPr>
      <w:rFonts w:eastAsia="Arial Unicode MS"/>
      <w:sz w:val="16"/>
      <w:szCs w:val="16"/>
    </w:rPr>
  </w:style>
  <w:style w:type="paragraph" w:customStyle="1" w:styleId="xl139">
    <w:name w:val="xl139"/>
    <w:basedOn w:val="a"/>
    <w:uiPriority w:val="99"/>
    <w:rsid w:val="00F52084"/>
    <w:pPr>
      <w:pBdr>
        <w:top w:val="single" w:sz="4" w:space="0" w:color="auto"/>
        <w:bottom w:val="single" w:sz="4" w:space="0" w:color="auto"/>
      </w:pBdr>
      <w:spacing w:before="100" w:beforeAutospacing="1" w:after="100" w:afterAutospacing="1"/>
      <w:jc w:val="center"/>
      <w:textAlignment w:val="top"/>
    </w:pPr>
    <w:rPr>
      <w:rFonts w:eastAsia="Arial Unicode MS"/>
      <w:sz w:val="16"/>
      <w:szCs w:val="16"/>
    </w:rPr>
  </w:style>
  <w:style w:type="paragraph" w:customStyle="1" w:styleId="xl140">
    <w:name w:val="xl140"/>
    <w:basedOn w:val="a"/>
    <w:uiPriority w:val="99"/>
    <w:rsid w:val="00F52084"/>
    <w:pPr>
      <w:pBdr>
        <w:top w:val="single" w:sz="4" w:space="0" w:color="auto"/>
      </w:pBdr>
      <w:spacing w:before="100" w:beforeAutospacing="1" w:after="100" w:afterAutospacing="1"/>
      <w:jc w:val="center"/>
      <w:textAlignment w:val="top"/>
    </w:pPr>
    <w:rPr>
      <w:rFonts w:eastAsia="Arial Unicode MS"/>
      <w:sz w:val="16"/>
      <w:szCs w:val="16"/>
    </w:rPr>
  </w:style>
  <w:style w:type="paragraph" w:customStyle="1" w:styleId="xl141">
    <w:name w:val="xl141"/>
    <w:basedOn w:val="a"/>
    <w:uiPriority w:val="99"/>
    <w:rsid w:val="00F52084"/>
    <w:pPr>
      <w:pBdr>
        <w:top w:val="single" w:sz="4" w:space="0" w:color="auto"/>
        <w:bottom w:val="single" w:sz="8" w:space="0" w:color="auto"/>
      </w:pBdr>
      <w:spacing w:before="100" w:beforeAutospacing="1" w:after="100" w:afterAutospacing="1"/>
      <w:jc w:val="center"/>
      <w:textAlignment w:val="top"/>
    </w:pPr>
    <w:rPr>
      <w:rFonts w:eastAsia="Arial Unicode MS"/>
      <w:sz w:val="16"/>
      <w:szCs w:val="16"/>
    </w:rPr>
  </w:style>
  <w:style w:type="paragraph" w:customStyle="1" w:styleId="xl142">
    <w:name w:val="xl142"/>
    <w:basedOn w:val="a"/>
    <w:uiPriority w:val="99"/>
    <w:rsid w:val="00F52084"/>
    <w:pPr>
      <w:pBdr>
        <w:bottom w:val="single" w:sz="8" w:space="0" w:color="auto"/>
        <w:right w:val="single" w:sz="4" w:space="0" w:color="auto"/>
      </w:pBdr>
      <w:shd w:val="clear" w:color="auto" w:fill="FFFF99"/>
      <w:spacing w:before="100" w:beforeAutospacing="1" w:after="100" w:afterAutospacing="1"/>
      <w:jc w:val="center"/>
      <w:textAlignment w:val="top"/>
    </w:pPr>
    <w:rPr>
      <w:rFonts w:eastAsia="Arial Unicode MS"/>
      <w:sz w:val="16"/>
      <w:szCs w:val="16"/>
    </w:rPr>
  </w:style>
  <w:style w:type="paragraph" w:customStyle="1" w:styleId="xl143">
    <w:name w:val="xl143"/>
    <w:basedOn w:val="a"/>
    <w:uiPriority w:val="99"/>
    <w:rsid w:val="00F52084"/>
    <w:pPr>
      <w:pBdr>
        <w:bottom w:val="single" w:sz="4" w:space="0" w:color="auto"/>
        <w:right w:val="single" w:sz="8"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144">
    <w:name w:val="xl144"/>
    <w:basedOn w:val="a"/>
    <w:uiPriority w:val="99"/>
    <w:rsid w:val="00F52084"/>
    <w:pPr>
      <w:pBdr>
        <w:top w:val="single" w:sz="4" w:space="0" w:color="auto"/>
        <w:left w:val="single" w:sz="4" w:space="0" w:color="auto"/>
        <w:bottom w:val="single" w:sz="4" w:space="0" w:color="auto"/>
        <w:right w:val="single" w:sz="8"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145">
    <w:name w:val="xl145"/>
    <w:basedOn w:val="a"/>
    <w:uiPriority w:val="99"/>
    <w:rsid w:val="00F52084"/>
    <w:pPr>
      <w:pBdr>
        <w:top w:val="single" w:sz="4" w:space="0" w:color="auto"/>
        <w:right w:val="single" w:sz="8" w:space="0" w:color="auto"/>
      </w:pBdr>
      <w:shd w:val="clear" w:color="auto" w:fill="CCFFFF"/>
      <w:spacing w:before="100" w:beforeAutospacing="1" w:after="100" w:afterAutospacing="1"/>
      <w:jc w:val="center"/>
      <w:textAlignment w:val="top"/>
    </w:pPr>
    <w:rPr>
      <w:rFonts w:eastAsia="Arial Unicode MS"/>
    </w:rPr>
  </w:style>
  <w:style w:type="paragraph" w:customStyle="1" w:styleId="xl146">
    <w:name w:val="xl146"/>
    <w:basedOn w:val="a"/>
    <w:uiPriority w:val="99"/>
    <w:rsid w:val="00F52084"/>
    <w:pPr>
      <w:pBdr>
        <w:right w:val="single" w:sz="8"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147">
    <w:name w:val="xl147"/>
    <w:basedOn w:val="a"/>
    <w:uiPriority w:val="99"/>
    <w:rsid w:val="00F52084"/>
    <w:pPr>
      <w:pBdr>
        <w:right w:val="single" w:sz="8"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148">
    <w:name w:val="xl148"/>
    <w:basedOn w:val="a"/>
    <w:uiPriority w:val="99"/>
    <w:rsid w:val="00F52084"/>
    <w:pPr>
      <w:pBdr>
        <w:right w:val="single" w:sz="8"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149">
    <w:name w:val="xl149"/>
    <w:basedOn w:val="a"/>
    <w:uiPriority w:val="99"/>
    <w:rsid w:val="00F52084"/>
    <w:pPr>
      <w:pBdr>
        <w:right w:val="single" w:sz="8"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150">
    <w:name w:val="xl150"/>
    <w:basedOn w:val="a"/>
    <w:uiPriority w:val="99"/>
    <w:rsid w:val="00F52084"/>
    <w:pPr>
      <w:pBdr>
        <w:top w:val="single" w:sz="4" w:space="0" w:color="auto"/>
        <w:bottom w:val="single" w:sz="4" w:space="0" w:color="auto"/>
        <w:right w:val="single" w:sz="8"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151">
    <w:name w:val="xl151"/>
    <w:basedOn w:val="a"/>
    <w:uiPriority w:val="99"/>
    <w:rsid w:val="00F52084"/>
    <w:pPr>
      <w:pBdr>
        <w:top w:val="single" w:sz="8" w:space="0" w:color="auto"/>
        <w:left w:val="single" w:sz="8" w:space="0" w:color="auto"/>
        <w:bottom w:val="single" w:sz="4" w:space="0" w:color="auto"/>
      </w:pBdr>
      <w:shd w:val="clear" w:color="auto" w:fill="CCFFFF"/>
      <w:spacing w:before="100" w:beforeAutospacing="1" w:after="100" w:afterAutospacing="1"/>
      <w:jc w:val="center"/>
      <w:textAlignment w:val="center"/>
    </w:pPr>
    <w:rPr>
      <w:rFonts w:eastAsia="Arial Unicode MS"/>
      <w:sz w:val="16"/>
      <w:szCs w:val="16"/>
    </w:rPr>
  </w:style>
  <w:style w:type="paragraph" w:customStyle="1" w:styleId="xl152">
    <w:name w:val="xl152"/>
    <w:basedOn w:val="a"/>
    <w:uiPriority w:val="99"/>
    <w:rsid w:val="00F52084"/>
    <w:pPr>
      <w:pBdr>
        <w:top w:val="single" w:sz="8" w:space="0" w:color="auto"/>
        <w:bottom w:val="single" w:sz="4" w:space="0" w:color="auto"/>
      </w:pBdr>
      <w:shd w:val="clear" w:color="auto" w:fill="CCFFFF"/>
      <w:spacing w:before="100" w:beforeAutospacing="1" w:after="100" w:afterAutospacing="1"/>
      <w:jc w:val="center"/>
      <w:textAlignment w:val="center"/>
    </w:pPr>
    <w:rPr>
      <w:rFonts w:eastAsia="Arial Unicode MS"/>
      <w:sz w:val="16"/>
      <w:szCs w:val="16"/>
    </w:rPr>
  </w:style>
  <w:style w:type="paragraph" w:customStyle="1" w:styleId="xl153">
    <w:name w:val="xl153"/>
    <w:basedOn w:val="a"/>
    <w:uiPriority w:val="99"/>
    <w:rsid w:val="00F52084"/>
    <w:pPr>
      <w:pBdr>
        <w:top w:val="single" w:sz="8" w:space="0" w:color="auto"/>
        <w:bottom w:val="single" w:sz="4" w:space="0" w:color="auto"/>
        <w:right w:val="single" w:sz="8" w:space="0" w:color="auto"/>
      </w:pBdr>
      <w:shd w:val="clear" w:color="auto" w:fill="CCFFFF"/>
      <w:spacing w:before="100" w:beforeAutospacing="1" w:after="100" w:afterAutospacing="1"/>
      <w:jc w:val="center"/>
      <w:textAlignment w:val="center"/>
    </w:pPr>
    <w:rPr>
      <w:rFonts w:eastAsia="Arial Unicode MS"/>
      <w:sz w:val="16"/>
      <w:szCs w:val="16"/>
    </w:rPr>
  </w:style>
  <w:style w:type="paragraph" w:customStyle="1" w:styleId="xl154">
    <w:name w:val="xl154"/>
    <w:basedOn w:val="a"/>
    <w:uiPriority w:val="99"/>
    <w:rsid w:val="00F52084"/>
    <w:pPr>
      <w:pBdr>
        <w:top w:val="single" w:sz="4" w:space="0" w:color="auto"/>
        <w:right w:val="single" w:sz="8"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155">
    <w:name w:val="xl155"/>
    <w:basedOn w:val="a"/>
    <w:uiPriority w:val="99"/>
    <w:rsid w:val="00F52084"/>
    <w:pPr>
      <w:pBdr>
        <w:top w:val="single" w:sz="4" w:space="0" w:color="auto"/>
        <w:bottom w:val="single" w:sz="8" w:space="0" w:color="auto"/>
        <w:right w:val="single" w:sz="8"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156">
    <w:name w:val="xl156"/>
    <w:basedOn w:val="a"/>
    <w:uiPriority w:val="99"/>
    <w:rsid w:val="00F52084"/>
    <w:pPr>
      <w:pBdr>
        <w:left w:val="single" w:sz="8"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157">
    <w:name w:val="xl157"/>
    <w:basedOn w:val="a"/>
    <w:uiPriority w:val="99"/>
    <w:rsid w:val="00F52084"/>
    <w:pPr>
      <w:shd w:val="clear" w:color="auto" w:fill="CCFFFF"/>
      <w:spacing w:before="100" w:beforeAutospacing="1" w:after="100" w:afterAutospacing="1"/>
      <w:jc w:val="center"/>
      <w:textAlignment w:val="top"/>
    </w:pPr>
    <w:rPr>
      <w:rFonts w:eastAsia="Arial Unicode MS"/>
      <w:sz w:val="16"/>
      <w:szCs w:val="16"/>
    </w:rPr>
  </w:style>
  <w:style w:type="paragraph" w:customStyle="1" w:styleId="xl158">
    <w:name w:val="xl158"/>
    <w:basedOn w:val="a"/>
    <w:uiPriority w:val="99"/>
    <w:rsid w:val="00F52084"/>
    <w:pPr>
      <w:shd w:val="clear" w:color="auto" w:fill="FFFF99"/>
      <w:spacing w:before="100" w:beforeAutospacing="1" w:after="100" w:afterAutospacing="1"/>
      <w:jc w:val="center"/>
      <w:textAlignment w:val="top"/>
    </w:pPr>
    <w:rPr>
      <w:rFonts w:eastAsia="Arial Unicode MS"/>
      <w:sz w:val="16"/>
      <w:szCs w:val="16"/>
    </w:rPr>
  </w:style>
  <w:style w:type="paragraph" w:customStyle="1" w:styleId="xl159">
    <w:name w:val="xl159"/>
    <w:basedOn w:val="a"/>
    <w:uiPriority w:val="99"/>
    <w:rsid w:val="00F52084"/>
    <w:pPr>
      <w:shd w:val="clear" w:color="auto" w:fill="CCFFCC"/>
      <w:spacing w:before="100" w:beforeAutospacing="1" w:after="100" w:afterAutospacing="1"/>
      <w:jc w:val="center"/>
      <w:textAlignment w:val="top"/>
    </w:pPr>
    <w:rPr>
      <w:rFonts w:eastAsia="Arial Unicode MS"/>
      <w:sz w:val="16"/>
      <w:szCs w:val="16"/>
    </w:rPr>
  </w:style>
  <w:style w:type="paragraph" w:customStyle="1" w:styleId="xl160">
    <w:name w:val="xl160"/>
    <w:basedOn w:val="a"/>
    <w:uiPriority w:val="99"/>
    <w:rsid w:val="00F52084"/>
    <w:pPr>
      <w:pBdr>
        <w:top w:val="single" w:sz="4" w:space="0" w:color="auto"/>
      </w:pBdr>
      <w:shd w:val="clear" w:color="auto" w:fill="CCFFCC"/>
      <w:spacing w:before="100" w:beforeAutospacing="1" w:after="100" w:afterAutospacing="1"/>
      <w:jc w:val="center"/>
      <w:textAlignment w:val="top"/>
    </w:pPr>
    <w:rPr>
      <w:rFonts w:eastAsia="Arial Unicode MS"/>
      <w:sz w:val="16"/>
      <w:szCs w:val="16"/>
    </w:rPr>
  </w:style>
  <w:style w:type="paragraph" w:customStyle="1" w:styleId="xl161">
    <w:name w:val="xl161"/>
    <w:basedOn w:val="a"/>
    <w:uiPriority w:val="99"/>
    <w:rsid w:val="00F52084"/>
    <w:pPr>
      <w:pBdr>
        <w:top w:val="single" w:sz="4" w:space="0" w:color="auto"/>
        <w:right w:val="single" w:sz="8" w:space="0" w:color="auto"/>
      </w:pBdr>
      <w:shd w:val="clear" w:color="auto" w:fill="CCFFCC"/>
      <w:spacing w:before="100" w:beforeAutospacing="1" w:after="100" w:afterAutospacing="1"/>
      <w:jc w:val="center"/>
      <w:textAlignment w:val="top"/>
    </w:pPr>
    <w:rPr>
      <w:rFonts w:eastAsia="Arial Unicode MS"/>
      <w:sz w:val="16"/>
      <w:szCs w:val="16"/>
    </w:rPr>
  </w:style>
  <w:style w:type="paragraph" w:customStyle="1" w:styleId="xl162">
    <w:name w:val="xl162"/>
    <w:basedOn w:val="a"/>
    <w:uiPriority w:val="99"/>
    <w:rsid w:val="00F52084"/>
    <w:pPr>
      <w:pBdr>
        <w:top w:val="single" w:sz="4" w:space="0" w:color="auto"/>
        <w:left w:val="single" w:sz="8"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163">
    <w:name w:val="xl163"/>
    <w:basedOn w:val="a"/>
    <w:uiPriority w:val="99"/>
    <w:rsid w:val="00F52084"/>
    <w:pPr>
      <w:pBdr>
        <w:top w:val="single" w:sz="4"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164">
    <w:name w:val="xl164"/>
    <w:basedOn w:val="a"/>
    <w:uiPriority w:val="99"/>
    <w:rsid w:val="00F52084"/>
    <w:pPr>
      <w:pBdr>
        <w:top w:val="single" w:sz="4" w:space="0" w:color="auto"/>
        <w:right w:val="single" w:sz="8"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165">
    <w:name w:val="xl165"/>
    <w:basedOn w:val="a"/>
    <w:uiPriority w:val="99"/>
    <w:rsid w:val="00F52084"/>
    <w:pPr>
      <w:pBdr>
        <w:top w:val="single" w:sz="4" w:space="0" w:color="auto"/>
      </w:pBdr>
      <w:shd w:val="clear" w:color="auto" w:fill="FFFF99"/>
      <w:spacing w:before="100" w:beforeAutospacing="1" w:after="100" w:afterAutospacing="1"/>
      <w:jc w:val="center"/>
      <w:textAlignment w:val="top"/>
    </w:pPr>
    <w:rPr>
      <w:rFonts w:eastAsia="Arial Unicode MS"/>
      <w:sz w:val="16"/>
      <w:szCs w:val="16"/>
    </w:rPr>
  </w:style>
  <w:style w:type="paragraph" w:customStyle="1" w:styleId="xl166">
    <w:name w:val="xl166"/>
    <w:basedOn w:val="a"/>
    <w:uiPriority w:val="99"/>
    <w:rsid w:val="00F52084"/>
    <w:pPr>
      <w:pBdr>
        <w:top w:val="single" w:sz="4" w:space="0" w:color="auto"/>
        <w:right w:val="single" w:sz="8" w:space="0" w:color="auto"/>
      </w:pBdr>
      <w:shd w:val="clear" w:color="auto" w:fill="FFFF99"/>
      <w:spacing w:before="100" w:beforeAutospacing="1" w:after="100" w:afterAutospacing="1"/>
      <w:jc w:val="center"/>
      <w:textAlignment w:val="top"/>
    </w:pPr>
    <w:rPr>
      <w:rFonts w:eastAsia="Arial Unicode MS"/>
      <w:sz w:val="16"/>
      <w:szCs w:val="16"/>
    </w:rPr>
  </w:style>
  <w:style w:type="paragraph" w:customStyle="1" w:styleId="xl167">
    <w:name w:val="xl167"/>
    <w:basedOn w:val="a"/>
    <w:uiPriority w:val="99"/>
    <w:rsid w:val="00F52084"/>
    <w:pPr>
      <w:pBdr>
        <w:top w:val="single" w:sz="4" w:space="0" w:color="auto"/>
        <w:left w:val="single" w:sz="8" w:space="0" w:color="auto"/>
        <w:bottom w:val="single" w:sz="4"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168">
    <w:name w:val="xl168"/>
    <w:basedOn w:val="a"/>
    <w:uiPriority w:val="99"/>
    <w:rsid w:val="00F52084"/>
    <w:pPr>
      <w:pBdr>
        <w:top w:val="single" w:sz="4" w:space="0" w:color="auto"/>
        <w:bottom w:val="single" w:sz="4" w:space="0" w:color="auto"/>
      </w:pBdr>
      <w:shd w:val="clear" w:color="auto" w:fill="CCFFFF"/>
      <w:spacing w:before="100" w:beforeAutospacing="1" w:after="100" w:afterAutospacing="1"/>
      <w:jc w:val="center"/>
      <w:textAlignment w:val="top"/>
    </w:pPr>
    <w:rPr>
      <w:rFonts w:eastAsia="Arial Unicode MS"/>
      <w:sz w:val="16"/>
      <w:szCs w:val="16"/>
    </w:rPr>
  </w:style>
  <w:style w:type="paragraph" w:customStyle="1" w:styleId="xl169">
    <w:name w:val="xl169"/>
    <w:basedOn w:val="a"/>
    <w:uiPriority w:val="99"/>
    <w:rsid w:val="00F52084"/>
    <w:pPr>
      <w:pBdr>
        <w:top w:val="single" w:sz="4" w:space="0" w:color="auto"/>
        <w:bottom w:val="single" w:sz="4" w:space="0" w:color="auto"/>
      </w:pBdr>
      <w:shd w:val="clear" w:color="auto" w:fill="FFFF99"/>
      <w:spacing w:before="100" w:beforeAutospacing="1" w:after="100" w:afterAutospacing="1"/>
      <w:jc w:val="center"/>
      <w:textAlignment w:val="top"/>
    </w:pPr>
    <w:rPr>
      <w:rFonts w:eastAsia="Arial Unicode MS"/>
      <w:sz w:val="16"/>
      <w:szCs w:val="16"/>
    </w:rPr>
  </w:style>
  <w:style w:type="paragraph" w:customStyle="1" w:styleId="xl170">
    <w:name w:val="xl170"/>
    <w:basedOn w:val="a"/>
    <w:uiPriority w:val="99"/>
    <w:rsid w:val="00F52084"/>
    <w:pPr>
      <w:pBdr>
        <w:top w:val="single" w:sz="4" w:space="0" w:color="auto"/>
        <w:bottom w:val="single" w:sz="4" w:space="0" w:color="auto"/>
      </w:pBdr>
      <w:shd w:val="clear" w:color="auto" w:fill="CCFFCC"/>
      <w:spacing w:before="100" w:beforeAutospacing="1" w:after="100" w:afterAutospacing="1"/>
      <w:jc w:val="center"/>
      <w:textAlignment w:val="top"/>
    </w:pPr>
    <w:rPr>
      <w:rFonts w:eastAsia="Arial Unicode MS"/>
      <w:sz w:val="16"/>
      <w:szCs w:val="16"/>
    </w:rPr>
  </w:style>
  <w:style w:type="paragraph" w:customStyle="1" w:styleId="xl171">
    <w:name w:val="xl171"/>
    <w:basedOn w:val="a"/>
    <w:uiPriority w:val="99"/>
    <w:rsid w:val="00F52084"/>
    <w:pPr>
      <w:pBdr>
        <w:bottom w:val="single" w:sz="4" w:space="0" w:color="auto"/>
      </w:pBdr>
      <w:shd w:val="clear" w:color="auto" w:fill="FFFF99"/>
      <w:spacing w:before="100" w:beforeAutospacing="1" w:after="100" w:afterAutospacing="1"/>
      <w:jc w:val="center"/>
      <w:textAlignment w:val="top"/>
    </w:pPr>
    <w:rPr>
      <w:rFonts w:eastAsia="Arial Unicode MS"/>
      <w:sz w:val="16"/>
      <w:szCs w:val="16"/>
    </w:rPr>
  </w:style>
  <w:style w:type="paragraph" w:customStyle="1" w:styleId="xl172">
    <w:name w:val="xl172"/>
    <w:basedOn w:val="a"/>
    <w:uiPriority w:val="99"/>
    <w:rsid w:val="00F52084"/>
    <w:pPr>
      <w:pBdr>
        <w:bottom w:val="single" w:sz="4" w:space="0" w:color="auto"/>
      </w:pBdr>
      <w:shd w:val="clear" w:color="auto" w:fill="CCFFCC"/>
      <w:spacing w:before="100" w:beforeAutospacing="1" w:after="100" w:afterAutospacing="1"/>
      <w:jc w:val="center"/>
      <w:textAlignment w:val="top"/>
    </w:pPr>
    <w:rPr>
      <w:rFonts w:eastAsia="Arial Unicode MS"/>
      <w:sz w:val="16"/>
      <w:szCs w:val="16"/>
    </w:rPr>
  </w:style>
  <w:style w:type="paragraph" w:customStyle="1" w:styleId="xl173">
    <w:name w:val="xl173"/>
    <w:basedOn w:val="a"/>
    <w:uiPriority w:val="99"/>
    <w:rsid w:val="00F52084"/>
    <w:pPr>
      <w:pBdr>
        <w:top w:val="single" w:sz="8" w:space="0" w:color="auto"/>
        <w:left w:val="single" w:sz="8" w:space="0" w:color="auto"/>
      </w:pBdr>
      <w:spacing w:before="100" w:beforeAutospacing="1" w:after="100" w:afterAutospacing="1"/>
      <w:jc w:val="center"/>
      <w:textAlignment w:val="center"/>
    </w:pPr>
    <w:rPr>
      <w:rFonts w:eastAsia="Arial Unicode MS"/>
      <w:sz w:val="16"/>
      <w:szCs w:val="16"/>
    </w:rPr>
  </w:style>
  <w:style w:type="paragraph" w:customStyle="1" w:styleId="xl174">
    <w:name w:val="xl174"/>
    <w:basedOn w:val="a"/>
    <w:uiPriority w:val="99"/>
    <w:rsid w:val="00F52084"/>
    <w:pPr>
      <w:pBdr>
        <w:top w:val="single" w:sz="8" w:space="0" w:color="auto"/>
      </w:pBdr>
      <w:spacing w:before="100" w:beforeAutospacing="1" w:after="100" w:afterAutospacing="1"/>
      <w:jc w:val="center"/>
      <w:textAlignment w:val="center"/>
    </w:pPr>
    <w:rPr>
      <w:rFonts w:eastAsia="Arial Unicode MS"/>
      <w:sz w:val="16"/>
      <w:szCs w:val="16"/>
    </w:rPr>
  </w:style>
  <w:style w:type="paragraph" w:customStyle="1" w:styleId="xl175">
    <w:name w:val="xl175"/>
    <w:basedOn w:val="a"/>
    <w:uiPriority w:val="99"/>
    <w:rsid w:val="00F52084"/>
    <w:pPr>
      <w:pBdr>
        <w:top w:val="single" w:sz="8" w:space="0" w:color="auto"/>
        <w:right w:val="single" w:sz="8" w:space="0" w:color="auto"/>
      </w:pBdr>
      <w:spacing w:before="100" w:beforeAutospacing="1" w:after="100" w:afterAutospacing="1"/>
      <w:jc w:val="center"/>
      <w:textAlignment w:val="center"/>
    </w:pPr>
    <w:rPr>
      <w:rFonts w:eastAsia="Arial Unicode MS"/>
      <w:sz w:val="16"/>
      <w:szCs w:val="16"/>
    </w:rPr>
  </w:style>
  <w:style w:type="paragraph" w:customStyle="1" w:styleId="xl176">
    <w:name w:val="xl176"/>
    <w:basedOn w:val="a"/>
    <w:uiPriority w:val="99"/>
    <w:rsid w:val="00F52084"/>
    <w:pPr>
      <w:pBdr>
        <w:left w:val="single" w:sz="8" w:space="0" w:color="auto"/>
        <w:bottom w:val="single" w:sz="4" w:space="0" w:color="auto"/>
      </w:pBdr>
      <w:spacing w:before="100" w:beforeAutospacing="1" w:after="100" w:afterAutospacing="1"/>
      <w:jc w:val="center"/>
      <w:textAlignment w:val="center"/>
    </w:pPr>
    <w:rPr>
      <w:rFonts w:eastAsia="Arial Unicode MS"/>
      <w:sz w:val="16"/>
      <w:szCs w:val="16"/>
    </w:rPr>
  </w:style>
  <w:style w:type="paragraph" w:customStyle="1" w:styleId="xl177">
    <w:name w:val="xl177"/>
    <w:basedOn w:val="a"/>
    <w:uiPriority w:val="99"/>
    <w:rsid w:val="00F52084"/>
    <w:pPr>
      <w:pBdr>
        <w:bottom w:val="single" w:sz="4" w:space="0" w:color="auto"/>
      </w:pBdr>
      <w:spacing w:before="100" w:beforeAutospacing="1" w:after="100" w:afterAutospacing="1"/>
      <w:jc w:val="center"/>
      <w:textAlignment w:val="center"/>
    </w:pPr>
    <w:rPr>
      <w:rFonts w:eastAsia="Arial Unicode MS"/>
      <w:sz w:val="16"/>
      <w:szCs w:val="16"/>
    </w:rPr>
  </w:style>
  <w:style w:type="paragraph" w:customStyle="1" w:styleId="xl178">
    <w:name w:val="xl178"/>
    <w:basedOn w:val="a"/>
    <w:uiPriority w:val="99"/>
    <w:rsid w:val="00F52084"/>
    <w:pPr>
      <w:pBdr>
        <w:bottom w:val="single" w:sz="4" w:space="0" w:color="auto"/>
      </w:pBdr>
      <w:spacing w:before="100" w:beforeAutospacing="1" w:after="100" w:afterAutospacing="1"/>
      <w:jc w:val="center"/>
      <w:textAlignment w:val="center"/>
    </w:pPr>
    <w:rPr>
      <w:rFonts w:eastAsia="Arial Unicode MS"/>
      <w:b/>
      <w:bCs/>
      <w:sz w:val="22"/>
      <w:szCs w:val="22"/>
    </w:rPr>
  </w:style>
  <w:style w:type="paragraph" w:customStyle="1" w:styleId="xl179">
    <w:name w:val="xl179"/>
    <w:basedOn w:val="a"/>
    <w:uiPriority w:val="99"/>
    <w:rsid w:val="00F52084"/>
    <w:pPr>
      <w:pBdr>
        <w:top w:val="single" w:sz="8" w:space="0" w:color="auto"/>
        <w:bottom w:val="single" w:sz="4" w:space="0" w:color="auto"/>
      </w:pBdr>
      <w:shd w:val="clear" w:color="auto" w:fill="CCFFCC"/>
      <w:spacing w:before="100" w:beforeAutospacing="1" w:after="100" w:afterAutospacing="1"/>
      <w:jc w:val="center"/>
      <w:textAlignment w:val="center"/>
    </w:pPr>
    <w:rPr>
      <w:rFonts w:eastAsia="Arial Unicode MS"/>
      <w:sz w:val="16"/>
      <w:szCs w:val="16"/>
    </w:rPr>
  </w:style>
  <w:style w:type="paragraph" w:customStyle="1" w:styleId="xl180">
    <w:name w:val="xl180"/>
    <w:basedOn w:val="a"/>
    <w:uiPriority w:val="99"/>
    <w:rsid w:val="00F52084"/>
    <w:pPr>
      <w:pBdr>
        <w:top w:val="single" w:sz="8" w:space="0" w:color="auto"/>
        <w:bottom w:val="single" w:sz="4" w:space="0" w:color="auto"/>
        <w:right w:val="single" w:sz="8" w:space="0" w:color="auto"/>
      </w:pBdr>
      <w:shd w:val="clear" w:color="auto" w:fill="CCFFCC"/>
      <w:spacing w:before="100" w:beforeAutospacing="1" w:after="100" w:afterAutospacing="1"/>
      <w:jc w:val="center"/>
      <w:textAlignment w:val="center"/>
    </w:pPr>
    <w:rPr>
      <w:rFonts w:eastAsia="Arial Unicode MS"/>
      <w:sz w:val="16"/>
      <w:szCs w:val="16"/>
    </w:rPr>
  </w:style>
  <w:style w:type="paragraph" w:customStyle="1" w:styleId="xl181">
    <w:name w:val="xl181"/>
    <w:basedOn w:val="a"/>
    <w:uiPriority w:val="99"/>
    <w:rsid w:val="00F52084"/>
    <w:pPr>
      <w:pBdr>
        <w:top w:val="single" w:sz="8" w:space="0" w:color="auto"/>
        <w:left w:val="single" w:sz="8" w:space="0" w:color="auto"/>
        <w:bottom w:val="single" w:sz="8" w:space="0" w:color="auto"/>
      </w:pBdr>
      <w:spacing w:before="100" w:beforeAutospacing="1" w:after="100" w:afterAutospacing="1"/>
      <w:jc w:val="center"/>
      <w:textAlignment w:val="center"/>
    </w:pPr>
    <w:rPr>
      <w:rFonts w:eastAsia="Arial Unicode MS"/>
      <w:sz w:val="42"/>
      <w:szCs w:val="42"/>
    </w:rPr>
  </w:style>
  <w:style w:type="paragraph" w:customStyle="1" w:styleId="xl182">
    <w:name w:val="xl182"/>
    <w:basedOn w:val="a"/>
    <w:uiPriority w:val="99"/>
    <w:rsid w:val="00F52084"/>
    <w:pPr>
      <w:pBdr>
        <w:top w:val="single" w:sz="8" w:space="0" w:color="auto"/>
        <w:bottom w:val="single" w:sz="8" w:space="0" w:color="auto"/>
      </w:pBdr>
      <w:spacing w:before="100" w:beforeAutospacing="1" w:after="100" w:afterAutospacing="1"/>
      <w:jc w:val="center"/>
      <w:textAlignment w:val="center"/>
    </w:pPr>
    <w:rPr>
      <w:rFonts w:eastAsia="Arial Unicode MS"/>
      <w:sz w:val="42"/>
      <w:szCs w:val="42"/>
    </w:rPr>
  </w:style>
  <w:style w:type="paragraph" w:customStyle="1" w:styleId="xl183">
    <w:name w:val="xl183"/>
    <w:basedOn w:val="a"/>
    <w:uiPriority w:val="99"/>
    <w:rsid w:val="00F52084"/>
    <w:pPr>
      <w:pBdr>
        <w:top w:val="single" w:sz="8" w:space="0" w:color="auto"/>
        <w:bottom w:val="single" w:sz="8" w:space="0" w:color="auto"/>
        <w:right w:val="single" w:sz="8" w:space="0" w:color="auto"/>
      </w:pBdr>
      <w:spacing w:before="100" w:beforeAutospacing="1" w:after="100" w:afterAutospacing="1"/>
      <w:jc w:val="center"/>
      <w:textAlignment w:val="center"/>
    </w:pPr>
    <w:rPr>
      <w:rFonts w:eastAsia="Arial Unicode MS"/>
      <w:sz w:val="42"/>
      <w:szCs w:val="42"/>
    </w:rPr>
  </w:style>
  <w:style w:type="paragraph" w:customStyle="1" w:styleId="af5">
    <w:name w:val="Îáû÷íûé"/>
    <w:uiPriority w:val="99"/>
    <w:rsid w:val="00F52084"/>
    <w:rPr>
      <w:rFonts w:ascii="SchoolBook" w:hAnsi="SchoolBook"/>
      <w:sz w:val="24"/>
      <w:szCs w:val="24"/>
    </w:rPr>
  </w:style>
  <w:style w:type="paragraph" w:styleId="af6">
    <w:name w:val="header"/>
    <w:basedOn w:val="a"/>
    <w:link w:val="af7"/>
    <w:uiPriority w:val="99"/>
    <w:rsid w:val="00F52084"/>
    <w:pPr>
      <w:tabs>
        <w:tab w:val="center" w:pos="4677"/>
        <w:tab w:val="right" w:pos="9355"/>
      </w:tabs>
    </w:pPr>
    <w:rPr>
      <w:lang w:val="x-none" w:eastAsia="x-none"/>
    </w:rPr>
  </w:style>
  <w:style w:type="character" w:customStyle="1" w:styleId="af7">
    <w:name w:val="Верхний колонтитул Знак"/>
    <w:link w:val="af6"/>
    <w:uiPriority w:val="99"/>
    <w:rsid w:val="00C662F8"/>
    <w:rPr>
      <w:sz w:val="24"/>
      <w:szCs w:val="24"/>
    </w:rPr>
  </w:style>
  <w:style w:type="character" w:styleId="af8">
    <w:name w:val="page number"/>
    <w:basedOn w:val="a0"/>
    <w:rsid w:val="00F52084"/>
  </w:style>
  <w:style w:type="paragraph" w:customStyle="1" w:styleId="FR1">
    <w:name w:val="FR1"/>
    <w:uiPriority w:val="99"/>
    <w:rsid w:val="00F52084"/>
    <w:pPr>
      <w:widowControl w:val="0"/>
      <w:spacing w:line="260" w:lineRule="auto"/>
      <w:ind w:firstLine="680"/>
      <w:jc w:val="both"/>
    </w:pPr>
    <w:rPr>
      <w:snapToGrid w:val="0"/>
      <w:sz w:val="28"/>
    </w:rPr>
  </w:style>
  <w:style w:type="paragraph" w:styleId="33">
    <w:name w:val="Body Text 3"/>
    <w:basedOn w:val="a"/>
    <w:link w:val="34"/>
    <w:uiPriority w:val="99"/>
    <w:rsid w:val="00F52084"/>
    <w:pPr>
      <w:jc w:val="center"/>
    </w:pPr>
    <w:rPr>
      <w:b/>
      <w:bCs/>
      <w:sz w:val="28"/>
      <w:lang w:val="x-none" w:eastAsia="x-none"/>
    </w:rPr>
  </w:style>
  <w:style w:type="character" w:customStyle="1" w:styleId="34">
    <w:name w:val="Основной текст 3 Знак"/>
    <w:link w:val="33"/>
    <w:uiPriority w:val="99"/>
    <w:rsid w:val="00C662F8"/>
    <w:rPr>
      <w:b/>
      <w:bCs/>
      <w:sz w:val="28"/>
      <w:szCs w:val="24"/>
    </w:rPr>
  </w:style>
  <w:style w:type="paragraph" w:customStyle="1" w:styleId="25">
    <w:name w:val="заголовок 2"/>
    <w:basedOn w:val="a"/>
    <w:next w:val="a9"/>
    <w:uiPriority w:val="99"/>
    <w:rsid w:val="00F52084"/>
    <w:pPr>
      <w:keepNext/>
      <w:keepLines/>
      <w:autoSpaceDE w:val="0"/>
      <w:autoSpaceDN w:val="0"/>
      <w:spacing w:before="120" w:after="60"/>
    </w:pPr>
    <w:rPr>
      <w:rFonts w:ascii="Arial" w:hAnsi="Arial" w:cs="Arial"/>
      <w:b/>
      <w:bCs/>
      <w:smallCaps/>
      <w:sz w:val="20"/>
      <w:szCs w:val="20"/>
    </w:rPr>
  </w:style>
  <w:style w:type="paragraph" w:customStyle="1" w:styleId="51">
    <w:name w:val="заголовок 5"/>
    <w:basedOn w:val="a"/>
    <w:next w:val="a"/>
    <w:uiPriority w:val="99"/>
    <w:rsid w:val="00F52084"/>
    <w:pPr>
      <w:autoSpaceDE w:val="0"/>
      <w:autoSpaceDN w:val="0"/>
      <w:spacing w:after="60"/>
    </w:pPr>
    <w:rPr>
      <w:rFonts w:ascii="Arial" w:hAnsi="Arial" w:cs="Arial"/>
      <w:sz w:val="20"/>
      <w:szCs w:val="20"/>
    </w:rPr>
  </w:style>
  <w:style w:type="paragraph" w:customStyle="1" w:styleId="61">
    <w:name w:val="заголовок 6"/>
    <w:basedOn w:val="a"/>
    <w:next w:val="a"/>
    <w:uiPriority w:val="99"/>
    <w:rsid w:val="00F52084"/>
    <w:pPr>
      <w:autoSpaceDE w:val="0"/>
      <w:autoSpaceDN w:val="0"/>
      <w:spacing w:before="240" w:after="60"/>
    </w:pPr>
    <w:rPr>
      <w:rFonts w:ascii="Arial" w:hAnsi="Arial" w:cs="Arial"/>
      <w:sz w:val="22"/>
      <w:szCs w:val="22"/>
    </w:rPr>
  </w:style>
  <w:style w:type="paragraph" w:customStyle="1" w:styleId="71">
    <w:name w:val="заголовок 7"/>
    <w:basedOn w:val="a"/>
    <w:next w:val="a"/>
    <w:uiPriority w:val="99"/>
    <w:rsid w:val="00F52084"/>
    <w:pPr>
      <w:autoSpaceDE w:val="0"/>
      <w:autoSpaceDN w:val="0"/>
      <w:spacing w:before="240" w:after="60"/>
    </w:pPr>
    <w:rPr>
      <w:rFonts w:ascii="Arial" w:hAnsi="Arial" w:cs="Arial"/>
      <w:sz w:val="20"/>
      <w:szCs w:val="20"/>
    </w:rPr>
  </w:style>
  <w:style w:type="paragraph" w:customStyle="1" w:styleId="81">
    <w:name w:val="заголовок 8"/>
    <w:basedOn w:val="a"/>
    <w:next w:val="a"/>
    <w:uiPriority w:val="99"/>
    <w:rsid w:val="00F52084"/>
    <w:pPr>
      <w:keepNext/>
      <w:autoSpaceDE w:val="0"/>
      <w:autoSpaceDN w:val="0"/>
      <w:spacing w:before="120" w:after="60"/>
    </w:pPr>
    <w:rPr>
      <w:rFonts w:ascii="Arial" w:hAnsi="Arial" w:cs="Arial"/>
      <w:b/>
      <w:bCs/>
      <w:smallCaps/>
      <w:sz w:val="20"/>
      <w:szCs w:val="20"/>
    </w:rPr>
  </w:style>
  <w:style w:type="paragraph" w:customStyle="1" w:styleId="91">
    <w:name w:val="заголовок 9"/>
    <w:basedOn w:val="a"/>
    <w:uiPriority w:val="99"/>
    <w:rsid w:val="00F52084"/>
    <w:pPr>
      <w:autoSpaceDE w:val="0"/>
      <w:autoSpaceDN w:val="0"/>
      <w:spacing w:before="120" w:after="60"/>
    </w:pPr>
    <w:rPr>
      <w:rFonts w:ascii="Arial" w:hAnsi="Arial" w:cs="Arial"/>
      <w:sz w:val="20"/>
      <w:szCs w:val="20"/>
    </w:rPr>
  </w:style>
  <w:style w:type="paragraph" w:styleId="13">
    <w:name w:val="toc 1"/>
    <w:basedOn w:val="a"/>
    <w:next w:val="a"/>
    <w:autoRedefine/>
    <w:uiPriority w:val="39"/>
    <w:rsid w:val="00F52084"/>
    <w:pPr>
      <w:autoSpaceDE w:val="0"/>
      <w:autoSpaceDN w:val="0"/>
      <w:spacing w:before="360"/>
    </w:pPr>
    <w:rPr>
      <w:rFonts w:ascii="Arial" w:hAnsi="Arial" w:cs="Arial"/>
      <w:b/>
      <w:bCs/>
      <w:caps/>
      <w:sz w:val="20"/>
      <w:szCs w:val="20"/>
    </w:rPr>
  </w:style>
  <w:style w:type="paragraph" w:customStyle="1" w:styleId="41">
    <w:name w:val="заголовок 4"/>
    <w:basedOn w:val="a"/>
    <w:next w:val="a"/>
    <w:uiPriority w:val="99"/>
    <w:rsid w:val="00F52084"/>
    <w:pPr>
      <w:keepNext/>
      <w:tabs>
        <w:tab w:val="num" w:pos="3240"/>
      </w:tabs>
      <w:autoSpaceDE w:val="0"/>
      <w:autoSpaceDN w:val="0"/>
      <w:spacing w:before="120" w:after="60"/>
      <w:ind w:left="3240" w:hanging="1080"/>
    </w:pPr>
    <w:rPr>
      <w:rFonts w:ascii="Arial" w:hAnsi="Arial" w:cs="Arial"/>
      <w:b/>
      <w:bCs/>
      <w:sz w:val="20"/>
      <w:szCs w:val="20"/>
    </w:rPr>
  </w:style>
  <w:style w:type="character" w:customStyle="1" w:styleId="af9">
    <w:name w:val="Основной шрифт"/>
    <w:rsid w:val="00F52084"/>
  </w:style>
  <w:style w:type="paragraph" w:customStyle="1" w:styleId="ConsPlusTitle">
    <w:name w:val="ConsPlusTitle"/>
    <w:uiPriority w:val="99"/>
    <w:rsid w:val="00F52084"/>
    <w:pPr>
      <w:autoSpaceDE w:val="0"/>
      <w:autoSpaceDN w:val="0"/>
      <w:adjustRightInd w:val="0"/>
    </w:pPr>
    <w:rPr>
      <w:rFonts w:ascii="Arial" w:hAnsi="Arial" w:cs="Arial"/>
      <w:b/>
      <w:bCs/>
    </w:rPr>
  </w:style>
  <w:style w:type="paragraph" w:customStyle="1" w:styleId="ConsPlusNormal">
    <w:name w:val="ConsPlusNormal"/>
    <w:rsid w:val="00F52084"/>
    <w:pPr>
      <w:autoSpaceDE w:val="0"/>
      <w:autoSpaceDN w:val="0"/>
      <w:adjustRightInd w:val="0"/>
      <w:ind w:firstLine="720"/>
    </w:pPr>
    <w:rPr>
      <w:rFonts w:ascii="Arial" w:hAnsi="Arial" w:cs="Arial"/>
    </w:rPr>
  </w:style>
  <w:style w:type="paragraph" w:customStyle="1" w:styleId="ConsPlusNonformat">
    <w:name w:val="ConsPlusNonformat"/>
    <w:uiPriority w:val="99"/>
    <w:rsid w:val="00F52084"/>
    <w:pPr>
      <w:autoSpaceDE w:val="0"/>
      <w:autoSpaceDN w:val="0"/>
      <w:adjustRightInd w:val="0"/>
    </w:pPr>
    <w:rPr>
      <w:rFonts w:ascii="Courier New" w:hAnsi="Courier New" w:cs="Courier New"/>
    </w:rPr>
  </w:style>
  <w:style w:type="paragraph" w:styleId="afa">
    <w:name w:val="Subtitle"/>
    <w:basedOn w:val="a"/>
    <w:link w:val="afb"/>
    <w:uiPriority w:val="99"/>
    <w:qFormat/>
    <w:rsid w:val="00F52084"/>
    <w:rPr>
      <w:b/>
      <w:bCs/>
      <w:lang w:val="x-none" w:eastAsia="x-none"/>
    </w:rPr>
  </w:style>
  <w:style w:type="character" w:customStyle="1" w:styleId="afb">
    <w:name w:val="Подзаголовок Знак"/>
    <w:link w:val="afa"/>
    <w:uiPriority w:val="99"/>
    <w:rsid w:val="00C662F8"/>
    <w:rPr>
      <w:b/>
      <w:bCs/>
      <w:sz w:val="24"/>
      <w:szCs w:val="24"/>
    </w:rPr>
  </w:style>
  <w:style w:type="paragraph" w:styleId="afc">
    <w:name w:val="Balloon Text"/>
    <w:basedOn w:val="a"/>
    <w:link w:val="afd"/>
    <w:uiPriority w:val="99"/>
    <w:rsid w:val="00F52084"/>
    <w:rPr>
      <w:rFonts w:ascii="Tahoma" w:hAnsi="Tahoma"/>
      <w:sz w:val="16"/>
      <w:szCs w:val="16"/>
      <w:lang w:val="x-none" w:eastAsia="x-none"/>
    </w:rPr>
  </w:style>
  <w:style w:type="character" w:customStyle="1" w:styleId="afd">
    <w:name w:val="Текст выноски Знак"/>
    <w:link w:val="afc"/>
    <w:uiPriority w:val="99"/>
    <w:rsid w:val="001856E5"/>
    <w:rPr>
      <w:rFonts w:ascii="Tahoma" w:hAnsi="Tahoma" w:cs="Tahoma"/>
      <w:sz w:val="16"/>
      <w:szCs w:val="16"/>
    </w:rPr>
  </w:style>
  <w:style w:type="paragraph" w:customStyle="1" w:styleId="xl22">
    <w:name w:val="xl22"/>
    <w:basedOn w:val="a"/>
    <w:uiPriority w:val="99"/>
    <w:rsid w:val="00F52084"/>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pPr>
    <w:rPr>
      <w:rFonts w:ascii="Arial Unicode MS" w:eastAsia="Arial Unicode MS" w:hAnsi="Arial Unicode MS" w:cs="Arial Unicode MS"/>
      <w:b/>
      <w:bCs/>
      <w:i/>
      <w:iCs/>
      <w:sz w:val="16"/>
      <w:szCs w:val="16"/>
    </w:rPr>
  </w:style>
  <w:style w:type="paragraph" w:customStyle="1" w:styleId="xl23">
    <w:name w:val="xl23"/>
    <w:basedOn w:val="a"/>
    <w:uiPriority w:val="99"/>
    <w:rsid w:val="00F52084"/>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Arial Unicode MS" w:eastAsia="Arial Unicode MS" w:hAnsi="Arial Unicode MS" w:cs="Arial Unicode MS"/>
      <w:sz w:val="16"/>
      <w:szCs w:val="16"/>
    </w:rPr>
  </w:style>
  <w:style w:type="paragraph" w:customStyle="1" w:styleId="14">
    <w:name w:val="заголовок 1"/>
    <w:basedOn w:val="a"/>
    <w:next w:val="a"/>
    <w:uiPriority w:val="99"/>
    <w:rsid w:val="00F52084"/>
    <w:pPr>
      <w:keepNext/>
      <w:autoSpaceDE w:val="0"/>
      <w:autoSpaceDN w:val="0"/>
      <w:jc w:val="center"/>
    </w:pPr>
    <w:rPr>
      <w:b/>
      <w:bCs/>
      <w:sz w:val="28"/>
      <w:szCs w:val="28"/>
    </w:rPr>
  </w:style>
  <w:style w:type="paragraph" w:customStyle="1" w:styleId="IauiueIiiaeuiue">
    <w:name w:val="Iau?iue.Ii?iaeuiue"/>
    <w:uiPriority w:val="99"/>
    <w:rsid w:val="00F52084"/>
    <w:pPr>
      <w:widowControl w:val="0"/>
      <w:autoSpaceDE w:val="0"/>
      <w:autoSpaceDN w:val="0"/>
      <w:spacing w:before="60" w:after="60"/>
    </w:pPr>
    <w:rPr>
      <w:sz w:val="24"/>
      <w:szCs w:val="24"/>
    </w:rPr>
  </w:style>
  <w:style w:type="paragraph" w:customStyle="1" w:styleId="BodyText21">
    <w:name w:val="Body Text 21"/>
    <w:basedOn w:val="a"/>
    <w:uiPriority w:val="99"/>
    <w:rsid w:val="00F52084"/>
    <w:pPr>
      <w:suppressAutoHyphens/>
      <w:autoSpaceDE w:val="0"/>
      <w:autoSpaceDN w:val="0"/>
    </w:pPr>
  </w:style>
  <w:style w:type="paragraph" w:styleId="afe">
    <w:name w:val="caption"/>
    <w:basedOn w:val="a"/>
    <w:next w:val="a"/>
    <w:uiPriority w:val="99"/>
    <w:qFormat/>
    <w:rsid w:val="00F52084"/>
    <w:pPr>
      <w:tabs>
        <w:tab w:val="num" w:pos="0"/>
      </w:tabs>
      <w:spacing w:before="120"/>
      <w:ind w:left="180"/>
      <w:jc w:val="right"/>
    </w:pPr>
    <w:rPr>
      <w:rFonts w:ascii="Book Antiqua" w:hAnsi="Book Antiqua"/>
      <w:b/>
      <w:bCs/>
      <w:sz w:val="20"/>
      <w:szCs w:val="20"/>
    </w:rPr>
  </w:style>
  <w:style w:type="character" w:styleId="aff">
    <w:name w:val="Hyperlink"/>
    <w:uiPriority w:val="99"/>
    <w:rsid w:val="00F52084"/>
    <w:rPr>
      <w:color w:val="0000FF"/>
      <w:u w:val="single"/>
    </w:rPr>
  </w:style>
  <w:style w:type="table" w:styleId="aff0">
    <w:name w:val="Table Grid"/>
    <w:basedOn w:val="a1"/>
    <w:uiPriority w:val="59"/>
    <w:rsid w:val="00F520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00">
    <w:name w:val="Стиль Основной текст с отступом 3 + Слева:  0 см"/>
    <w:basedOn w:val="31"/>
    <w:uiPriority w:val="99"/>
    <w:rsid w:val="00F52084"/>
    <w:pPr>
      <w:spacing w:after="120"/>
      <w:ind w:left="0"/>
      <w:jc w:val="left"/>
    </w:pPr>
    <w:rPr>
      <w:sz w:val="24"/>
      <w:szCs w:val="20"/>
    </w:rPr>
  </w:style>
  <w:style w:type="paragraph" w:styleId="aff1">
    <w:name w:val="footnote text"/>
    <w:aliases w:val="Текст сноски Знак1 Знак,Текст сноски Знак Знак Знак,Footnote Text Char Знак Знак,Footnote Text Char Знак,F1,Текст сноски-FN,Oaeno niinee-FN,Oaeno niinee Ciae,Table_Footnote_last,single space,F,footnote text,Текст сноски Знак Знак1 Знак,З"/>
    <w:basedOn w:val="a"/>
    <w:link w:val="aff2"/>
    <w:uiPriority w:val="99"/>
    <w:qFormat/>
    <w:rsid w:val="00F52084"/>
    <w:rPr>
      <w:sz w:val="20"/>
      <w:szCs w:val="20"/>
    </w:rPr>
  </w:style>
  <w:style w:type="character" w:customStyle="1" w:styleId="aff2">
    <w:name w:val="Текст сноски Знак"/>
    <w:aliases w:val="Текст сноски Знак1 Знак Знак,Текст сноски Знак Знак Знак Знак,Footnote Text Char Знак Знак Знак,Footnote Text Char Знак Знак1,F1 Знак,Текст сноски-FN Знак,Oaeno niinee-FN Знак,Oaeno niinee Ciae Знак,Table_Footnote_last Знак,F Знак"/>
    <w:basedOn w:val="a0"/>
    <w:link w:val="aff1"/>
    <w:uiPriority w:val="99"/>
    <w:rsid w:val="00443B59"/>
  </w:style>
  <w:style w:type="character" w:styleId="aff3">
    <w:name w:val="footnote reference"/>
    <w:aliases w:val="Знак сноски 1,Знак сноски-FN,Ciae niinee-FN,Ciae niinee 1"/>
    <w:uiPriority w:val="99"/>
    <w:qFormat/>
    <w:rsid w:val="00F52084"/>
    <w:rPr>
      <w:vertAlign w:val="superscript"/>
    </w:rPr>
  </w:style>
  <w:style w:type="paragraph" w:styleId="aff4">
    <w:name w:val="List Bullet"/>
    <w:basedOn w:val="a"/>
    <w:uiPriority w:val="99"/>
    <w:rsid w:val="00F52084"/>
    <w:pPr>
      <w:tabs>
        <w:tab w:val="num" w:pos="360"/>
      </w:tabs>
      <w:ind w:left="360" w:hanging="360"/>
    </w:pPr>
  </w:style>
  <w:style w:type="paragraph" w:styleId="aff5">
    <w:name w:val="Document Map"/>
    <w:basedOn w:val="a"/>
    <w:link w:val="aff6"/>
    <w:uiPriority w:val="99"/>
    <w:semiHidden/>
    <w:rsid w:val="009F607E"/>
    <w:pPr>
      <w:shd w:val="clear" w:color="auto" w:fill="000080"/>
    </w:pPr>
    <w:rPr>
      <w:rFonts w:ascii="Tahoma" w:hAnsi="Tahoma"/>
      <w:sz w:val="20"/>
      <w:szCs w:val="20"/>
      <w:lang w:val="x-none" w:eastAsia="x-none"/>
    </w:rPr>
  </w:style>
  <w:style w:type="character" w:customStyle="1" w:styleId="aff6">
    <w:name w:val="Схема документа Знак"/>
    <w:link w:val="aff5"/>
    <w:uiPriority w:val="99"/>
    <w:semiHidden/>
    <w:rsid w:val="00C662F8"/>
    <w:rPr>
      <w:rFonts w:ascii="Tahoma" w:hAnsi="Tahoma" w:cs="Tahoma"/>
      <w:shd w:val="clear" w:color="auto" w:fill="000080"/>
    </w:rPr>
  </w:style>
  <w:style w:type="character" w:styleId="aff7">
    <w:name w:val="Strong"/>
    <w:qFormat/>
    <w:rsid w:val="00FD6A72"/>
    <w:rPr>
      <w:b/>
      <w:bCs/>
    </w:rPr>
  </w:style>
  <w:style w:type="paragraph" w:customStyle="1" w:styleId="Aacao">
    <w:name w:val="Aacao"/>
    <w:basedOn w:val="a"/>
    <w:uiPriority w:val="99"/>
    <w:rsid w:val="00C64304"/>
    <w:pPr>
      <w:spacing w:before="60"/>
      <w:ind w:firstLine="426"/>
      <w:jc w:val="both"/>
    </w:pPr>
    <w:rPr>
      <w:rFonts w:ascii="Arial" w:hAnsi="Arial"/>
      <w:b/>
      <w:snapToGrid w:val="0"/>
      <w:sz w:val="20"/>
      <w:szCs w:val="20"/>
    </w:rPr>
  </w:style>
  <w:style w:type="paragraph" w:customStyle="1" w:styleId="ArialNarrow">
    <w:name w:val="Обычный + Arial Narrow"/>
    <w:aliases w:val="10 пт,По ширине,Слева:  0,63 см"/>
    <w:basedOn w:val="a9"/>
    <w:uiPriority w:val="99"/>
    <w:rsid w:val="00A32F4A"/>
    <w:pPr>
      <w:tabs>
        <w:tab w:val="num" w:pos="960"/>
      </w:tabs>
      <w:spacing w:before="0" w:after="0"/>
      <w:ind w:left="960" w:hanging="360"/>
    </w:pPr>
    <w:rPr>
      <w:rFonts w:ascii="Arial Narrow" w:hAnsi="Arial Narrow"/>
      <w:color w:val="000000"/>
    </w:rPr>
  </w:style>
  <w:style w:type="paragraph" w:customStyle="1" w:styleId="FR3">
    <w:name w:val="FR3"/>
    <w:rsid w:val="00CC7E1B"/>
    <w:pPr>
      <w:widowControl w:val="0"/>
      <w:autoSpaceDE w:val="0"/>
      <w:autoSpaceDN w:val="0"/>
      <w:ind w:left="720"/>
      <w:jc w:val="both"/>
    </w:pPr>
    <w:rPr>
      <w:rFonts w:ascii="Arial" w:hAnsi="Arial"/>
      <w:sz w:val="24"/>
      <w:szCs w:val="24"/>
      <w:lang w:eastAsia="en-US"/>
    </w:rPr>
  </w:style>
  <w:style w:type="character" w:customStyle="1" w:styleId="aff8">
    <w:name w:val="Знак Знак"/>
    <w:rsid w:val="00162BAB"/>
    <w:rPr>
      <w:rFonts w:ascii="Arial" w:hAnsi="Arial" w:cs="Arial"/>
      <w:b/>
      <w:bCs/>
      <w:i/>
      <w:iCs/>
      <w:sz w:val="28"/>
      <w:szCs w:val="28"/>
      <w:lang w:val="ru-RU" w:eastAsia="ru-RU" w:bidi="ar-SA"/>
    </w:rPr>
  </w:style>
  <w:style w:type="paragraph" w:customStyle="1" w:styleId="Neaaa1">
    <w:name w:val="Neaaa1"/>
    <w:basedOn w:val="a"/>
    <w:uiPriority w:val="99"/>
    <w:rsid w:val="00162BAB"/>
    <w:pPr>
      <w:widowControl w:val="0"/>
      <w:tabs>
        <w:tab w:val="left" w:pos="-720"/>
        <w:tab w:val="left" w:pos="0"/>
        <w:tab w:val="left" w:pos="720"/>
      </w:tabs>
      <w:suppressAutoHyphens/>
      <w:jc w:val="both"/>
    </w:pPr>
    <w:rPr>
      <w:rFonts w:ascii="TimesET" w:hAnsi="TimesET"/>
      <w:color w:val="000000"/>
      <w:szCs w:val="20"/>
    </w:rPr>
  </w:style>
  <w:style w:type="paragraph" w:customStyle="1" w:styleId="15">
    <w:name w:val="Основной текст1"/>
    <w:basedOn w:val="a"/>
    <w:uiPriority w:val="99"/>
    <w:rsid w:val="00162BAB"/>
    <w:rPr>
      <w:szCs w:val="20"/>
    </w:rPr>
  </w:style>
  <w:style w:type="paragraph" w:customStyle="1" w:styleId="Normal1">
    <w:name w:val="Normal1"/>
    <w:uiPriority w:val="99"/>
    <w:rsid w:val="00162BAB"/>
  </w:style>
  <w:style w:type="character" w:styleId="aff9">
    <w:name w:val="annotation reference"/>
    <w:uiPriority w:val="99"/>
    <w:rsid w:val="00E355A5"/>
    <w:rPr>
      <w:sz w:val="16"/>
      <w:szCs w:val="16"/>
    </w:rPr>
  </w:style>
  <w:style w:type="paragraph" w:styleId="affa">
    <w:name w:val="annotation text"/>
    <w:basedOn w:val="a"/>
    <w:link w:val="affb"/>
    <w:uiPriority w:val="99"/>
    <w:rsid w:val="00E355A5"/>
    <w:rPr>
      <w:sz w:val="20"/>
      <w:szCs w:val="20"/>
    </w:rPr>
  </w:style>
  <w:style w:type="character" w:customStyle="1" w:styleId="affb">
    <w:name w:val="Текст примечания Знак"/>
    <w:basedOn w:val="a0"/>
    <w:link w:val="affa"/>
    <w:uiPriority w:val="99"/>
    <w:rsid w:val="00E355A5"/>
  </w:style>
  <w:style w:type="paragraph" w:styleId="affc">
    <w:name w:val="annotation subject"/>
    <w:basedOn w:val="affa"/>
    <w:next w:val="affa"/>
    <w:link w:val="affd"/>
    <w:uiPriority w:val="99"/>
    <w:rsid w:val="00E355A5"/>
    <w:rPr>
      <w:b/>
      <w:bCs/>
      <w:lang w:val="x-none" w:eastAsia="x-none"/>
    </w:rPr>
  </w:style>
  <w:style w:type="character" w:customStyle="1" w:styleId="affd">
    <w:name w:val="Тема примечания Знак"/>
    <w:link w:val="affc"/>
    <w:uiPriority w:val="99"/>
    <w:rsid w:val="00E355A5"/>
    <w:rPr>
      <w:b/>
      <w:bCs/>
    </w:rPr>
  </w:style>
  <w:style w:type="paragraph" w:styleId="affe">
    <w:name w:val="List Paragraph"/>
    <w:aliases w:val="Нумерованый список,List Paragraph1,ARIAL,ПАРАГРАФ,Абзац списка11,Абзац списка для документа,List_Paragraph,Multilevel para_II,List Paragraph,А,Список Нумерованный,Bullet List,FooterText,numbered,Table-Normal,RSHB_Table-Normal,Абзац списка1"/>
    <w:basedOn w:val="a"/>
    <w:link w:val="afff"/>
    <w:uiPriority w:val="34"/>
    <w:qFormat/>
    <w:rsid w:val="00AD5411"/>
    <w:pPr>
      <w:ind w:left="708"/>
    </w:pPr>
  </w:style>
  <w:style w:type="paragraph" w:styleId="afff0">
    <w:name w:val="No Spacing"/>
    <w:link w:val="afff1"/>
    <w:uiPriority w:val="1"/>
    <w:qFormat/>
    <w:rsid w:val="00617EAF"/>
    <w:rPr>
      <w:rFonts w:ascii="Calibri" w:eastAsia="Calibri" w:hAnsi="Calibri"/>
      <w:sz w:val="22"/>
      <w:szCs w:val="22"/>
      <w:lang w:eastAsia="en-US"/>
    </w:rPr>
  </w:style>
  <w:style w:type="character" w:styleId="afff2">
    <w:name w:val="FollowedHyperlink"/>
    <w:uiPriority w:val="99"/>
    <w:unhideWhenUsed/>
    <w:rsid w:val="00C662F8"/>
    <w:rPr>
      <w:color w:val="800080"/>
      <w:u w:val="single"/>
    </w:rPr>
  </w:style>
  <w:style w:type="character" w:customStyle="1" w:styleId="26">
    <w:name w:val="Знак Знак2"/>
    <w:rsid w:val="00C662F8"/>
    <w:rPr>
      <w:rFonts w:ascii="Arial" w:hAnsi="Arial" w:cs="Arial" w:hint="default"/>
      <w:b/>
      <w:bCs/>
      <w:i/>
      <w:iCs/>
      <w:sz w:val="28"/>
      <w:szCs w:val="28"/>
      <w:lang w:val="ru-RU" w:eastAsia="ru-RU" w:bidi="ar-SA"/>
    </w:rPr>
  </w:style>
  <w:style w:type="paragraph" w:customStyle="1" w:styleId="110">
    <w:name w:val="Обычный11"/>
    <w:uiPriority w:val="99"/>
    <w:rsid w:val="001161B8"/>
  </w:style>
  <w:style w:type="paragraph" w:customStyle="1" w:styleId="111">
    <w:name w:val="Основной текст11"/>
    <w:basedOn w:val="a"/>
    <w:uiPriority w:val="99"/>
    <w:rsid w:val="001161B8"/>
    <w:rPr>
      <w:szCs w:val="20"/>
    </w:rPr>
  </w:style>
  <w:style w:type="paragraph" w:customStyle="1" w:styleId="afff3">
    <w:name w:val="a"/>
    <w:basedOn w:val="a"/>
    <w:uiPriority w:val="99"/>
    <w:rsid w:val="005E4750"/>
    <w:pPr>
      <w:autoSpaceDE w:val="0"/>
      <w:autoSpaceDN w:val="0"/>
      <w:spacing w:before="120" w:after="60"/>
      <w:jc w:val="both"/>
    </w:pPr>
    <w:rPr>
      <w:rFonts w:ascii="Arial" w:eastAsia="Calibri" w:hAnsi="Arial" w:cs="Arial"/>
      <w:sz w:val="20"/>
      <w:szCs w:val="20"/>
    </w:rPr>
  </w:style>
  <w:style w:type="paragraph" w:styleId="afff4">
    <w:name w:val="Revision"/>
    <w:hidden/>
    <w:uiPriority w:val="99"/>
    <w:semiHidden/>
    <w:rsid w:val="001C198B"/>
    <w:rPr>
      <w:rFonts w:ascii="Calibri" w:hAnsi="Calibri"/>
      <w:sz w:val="22"/>
      <w:szCs w:val="22"/>
    </w:rPr>
  </w:style>
  <w:style w:type="paragraph" w:customStyle="1" w:styleId="27">
    <w:name w:val="Обычный2"/>
    <w:uiPriority w:val="99"/>
    <w:rsid w:val="00601632"/>
  </w:style>
  <w:style w:type="paragraph" w:customStyle="1" w:styleId="35">
    <w:name w:val="Обычный3"/>
    <w:uiPriority w:val="99"/>
    <w:rsid w:val="00887955"/>
  </w:style>
  <w:style w:type="character" w:customStyle="1" w:styleId="16">
    <w:name w:val="Знак Знак1"/>
    <w:rsid w:val="00887955"/>
    <w:rPr>
      <w:rFonts w:ascii="Arial" w:hAnsi="Arial" w:cs="Arial"/>
      <w:b/>
      <w:bCs/>
      <w:i/>
      <w:iCs/>
      <w:sz w:val="28"/>
      <w:szCs w:val="28"/>
      <w:lang w:val="ru-RU" w:eastAsia="ru-RU" w:bidi="ar-SA"/>
    </w:rPr>
  </w:style>
  <w:style w:type="paragraph" w:customStyle="1" w:styleId="28">
    <w:name w:val="Основной текст2"/>
    <w:basedOn w:val="a"/>
    <w:uiPriority w:val="99"/>
    <w:rsid w:val="00887955"/>
    <w:rPr>
      <w:szCs w:val="20"/>
    </w:rPr>
  </w:style>
  <w:style w:type="paragraph" w:customStyle="1" w:styleId="ConsNormal">
    <w:name w:val="ConsNormal"/>
    <w:uiPriority w:val="99"/>
    <w:rsid w:val="00A37C61"/>
    <w:pPr>
      <w:widowControl w:val="0"/>
      <w:ind w:firstLine="720"/>
    </w:pPr>
    <w:rPr>
      <w:rFonts w:ascii="Courier New" w:hAnsi="Courier New"/>
      <w:snapToGrid w:val="0"/>
      <w:sz w:val="24"/>
    </w:rPr>
  </w:style>
  <w:style w:type="paragraph" w:customStyle="1" w:styleId="ConsNonformat">
    <w:name w:val="ConsNonformat"/>
    <w:uiPriority w:val="99"/>
    <w:rsid w:val="00A37C61"/>
    <w:pPr>
      <w:widowControl w:val="0"/>
    </w:pPr>
    <w:rPr>
      <w:rFonts w:ascii="Courier New" w:hAnsi="Courier New"/>
      <w:snapToGrid w:val="0"/>
    </w:rPr>
  </w:style>
  <w:style w:type="character" w:styleId="afff5">
    <w:name w:val="endnote reference"/>
    <w:uiPriority w:val="99"/>
    <w:rsid w:val="006B1BF4"/>
    <w:rPr>
      <w:vertAlign w:val="superscript"/>
    </w:rPr>
  </w:style>
  <w:style w:type="character" w:styleId="afff6">
    <w:name w:val="Emphasis"/>
    <w:uiPriority w:val="20"/>
    <w:qFormat/>
    <w:rsid w:val="00564D6F"/>
    <w:rPr>
      <w:i/>
      <w:iCs/>
    </w:rPr>
  </w:style>
  <w:style w:type="paragraph" w:customStyle="1" w:styleId="a00">
    <w:name w:val="a0"/>
    <w:basedOn w:val="a"/>
    <w:uiPriority w:val="99"/>
    <w:rsid w:val="00564D6F"/>
    <w:pPr>
      <w:autoSpaceDE w:val="0"/>
      <w:autoSpaceDN w:val="0"/>
      <w:spacing w:before="60" w:after="60"/>
      <w:ind w:left="284"/>
      <w:jc w:val="both"/>
    </w:pPr>
    <w:rPr>
      <w:rFonts w:ascii="Arial" w:eastAsia="Calibri" w:hAnsi="Arial" w:cs="Arial"/>
      <w:sz w:val="18"/>
      <w:szCs w:val="18"/>
    </w:rPr>
  </w:style>
  <w:style w:type="character" w:customStyle="1" w:styleId="apple-converted-space">
    <w:name w:val="apple-converted-space"/>
    <w:basedOn w:val="a0"/>
    <w:rsid w:val="00255995"/>
  </w:style>
  <w:style w:type="paragraph" w:styleId="afff7">
    <w:name w:val="endnote text"/>
    <w:basedOn w:val="a"/>
    <w:link w:val="afff8"/>
    <w:uiPriority w:val="99"/>
    <w:unhideWhenUsed/>
    <w:rsid w:val="0019189D"/>
    <w:pPr>
      <w:spacing w:after="200" w:line="276" w:lineRule="auto"/>
    </w:pPr>
    <w:rPr>
      <w:rFonts w:ascii="Calibri" w:hAnsi="Calibri"/>
      <w:sz w:val="20"/>
      <w:szCs w:val="20"/>
      <w:lang w:val="x-none" w:eastAsia="en-US"/>
    </w:rPr>
  </w:style>
  <w:style w:type="character" w:customStyle="1" w:styleId="afff8">
    <w:name w:val="Текст концевой сноски Знак"/>
    <w:link w:val="afff7"/>
    <w:uiPriority w:val="99"/>
    <w:rsid w:val="0019189D"/>
    <w:rPr>
      <w:rFonts w:ascii="Calibri" w:hAnsi="Calibri"/>
      <w:lang w:eastAsia="en-US"/>
    </w:rPr>
  </w:style>
  <w:style w:type="paragraph" w:customStyle="1" w:styleId="font8">
    <w:name w:val="font8"/>
    <w:basedOn w:val="a"/>
    <w:uiPriority w:val="99"/>
    <w:rsid w:val="004D47AD"/>
    <w:pPr>
      <w:spacing w:before="100" w:beforeAutospacing="1" w:after="100" w:afterAutospacing="1"/>
    </w:pPr>
    <w:rPr>
      <w:rFonts w:ascii="Tahoma" w:hAnsi="Tahoma" w:cs="Tahoma"/>
      <w:color w:val="000000"/>
      <w:sz w:val="16"/>
      <w:szCs w:val="16"/>
    </w:rPr>
  </w:style>
  <w:style w:type="character" w:customStyle="1" w:styleId="17">
    <w:name w:val="Текст Знак1"/>
    <w:uiPriority w:val="99"/>
    <w:locked/>
    <w:rsid w:val="006D0446"/>
    <w:rPr>
      <w:rFonts w:ascii="Consolas" w:eastAsia="Calibri" w:hAnsi="Consolas"/>
    </w:rPr>
  </w:style>
  <w:style w:type="paragraph" w:customStyle="1" w:styleId="font9">
    <w:name w:val="font9"/>
    <w:basedOn w:val="a"/>
    <w:uiPriority w:val="99"/>
    <w:rsid w:val="00212F33"/>
    <w:pPr>
      <w:spacing w:before="100" w:beforeAutospacing="1" w:after="100" w:afterAutospacing="1"/>
    </w:pPr>
    <w:rPr>
      <w:rFonts w:ascii="Tahoma" w:hAnsi="Tahoma" w:cs="Tahoma"/>
      <w:color w:val="000000"/>
      <w:sz w:val="16"/>
      <w:szCs w:val="16"/>
    </w:rPr>
  </w:style>
  <w:style w:type="paragraph" w:customStyle="1" w:styleId="font10">
    <w:name w:val="font10"/>
    <w:basedOn w:val="a"/>
    <w:uiPriority w:val="99"/>
    <w:rsid w:val="00212F33"/>
    <w:pPr>
      <w:spacing w:before="100" w:beforeAutospacing="1" w:after="100" w:afterAutospacing="1"/>
    </w:pPr>
    <w:rPr>
      <w:rFonts w:ascii="Tahoma" w:hAnsi="Tahoma" w:cs="Tahoma"/>
      <w:b/>
      <w:bCs/>
      <w:color w:val="000000"/>
      <w:sz w:val="16"/>
      <w:szCs w:val="16"/>
    </w:rPr>
  </w:style>
  <w:style w:type="paragraph" w:customStyle="1" w:styleId="xl184">
    <w:name w:val="xl184"/>
    <w:basedOn w:val="a"/>
    <w:uiPriority w:val="99"/>
    <w:rsid w:val="008C43B6"/>
    <w:pPr>
      <w:pBdr>
        <w:top w:val="single" w:sz="4" w:space="0" w:color="auto"/>
        <w:bottom w:val="single" w:sz="4" w:space="0" w:color="auto"/>
        <w:right w:val="single" w:sz="4" w:space="0" w:color="auto"/>
      </w:pBdr>
      <w:spacing w:before="100" w:beforeAutospacing="1" w:after="100" w:afterAutospacing="1"/>
      <w:textAlignment w:val="center"/>
    </w:pPr>
    <w:rPr>
      <w:rFonts w:ascii="Arial Narrow" w:hAnsi="Arial Narrow"/>
    </w:rPr>
  </w:style>
  <w:style w:type="paragraph" w:customStyle="1" w:styleId="xl185">
    <w:name w:val="xl185"/>
    <w:basedOn w:val="a"/>
    <w:uiPriority w:val="99"/>
    <w:rsid w:val="008C43B6"/>
    <w:pPr>
      <w:pBdr>
        <w:top w:val="single" w:sz="4" w:space="0" w:color="auto"/>
        <w:bottom w:val="single" w:sz="4" w:space="0" w:color="auto"/>
        <w:right w:val="single" w:sz="4" w:space="0" w:color="auto"/>
      </w:pBdr>
      <w:spacing w:before="100" w:beforeAutospacing="1" w:after="100" w:afterAutospacing="1"/>
      <w:textAlignment w:val="center"/>
    </w:pPr>
    <w:rPr>
      <w:rFonts w:ascii="Arial Narrow" w:hAnsi="Arial Narrow"/>
    </w:rPr>
  </w:style>
  <w:style w:type="paragraph" w:customStyle="1" w:styleId="xl186">
    <w:name w:val="xl186"/>
    <w:basedOn w:val="a"/>
    <w:uiPriority w:val="99"/>
    <w:rsid w:val="008C43B6"/>
    <w:pPr>
      <w:pBdr>
        <w:bottom w:val="single" w:sz="4" w:space="0" w:color="auto"/>
        <w:right w:val="single" w:sz="4" w:space="0" w:color="auto"/>
      </w:pBdr>
      <w:spacing w:before="100" w:beforeAutospacing="1" w:after="100" w:afterAutospacing="1"/>
      <w:textAlignment w:val="center"/>
    </w:pPr>
    <w:rPr>
      <w:rFonts w:ascii="Arial Narrow" w:hAnsi="Arial Narrow"/>
    </w:rPr>
  </w:style>
  <w:style w:type="paragraph" w:customStyle="1" w:styleId="xl187">
    <w:name w:val="xl187"/>
    <w:basedOn w:val="a"/>
    <w:uiPriority w:val="99"/>
    <w:rsid w:val="008C43B6"/>
    <w:pPr>
      <w:pBdr>
        <w:top w:val="single" w:sz="4" w:space="0" w:color="auto"/>
        <w:bottom w:val="single" w:sz="4" w:space="0" w:color="auto"/>
      </w:pBdr>
      <w:shd w:val="clear" w:color="000000" w:fill="99CC00"/>
      <w:spacing w:before="100" w:beforeAutospacing="1" w:after="100" w:afterAutospacing="1"/>
      <w:textAlignment w:val="center"/>
    </w:pPr>
    <w:rPr>
      <w:rFonts w:ascii="Arial Narrow" w:hAnsi="Arial Narrow"/>
      <w:b/>
      <w:bCs/>
    </w:rPr>
  </w:style>
  <w:style w:type="paragraph" w:customStyle="1" w:styleId="xl188">
    <w:name w:val="xl188"/>
    <w:basedOn w:val="a"/>
    <w:uiPriority w:val="99"/>
    <w:rsid w:val="008C43B6"/>
    <w:pPr>
      <w:pBdr>
        <w:top w:val="single" w:sz="4" w:space="0" w:color="auto"/>
        <w:bottom w:val="single" w:sz="4" w:space="0" w:color="auto"/>
        <w:right w:val="single" w:sz="4" w:space="0" w:color="auto"/>
      </w:pBdr>
      <w:spacing w:before="100" w:beforeAutospacing="1" w:after="100" w:afterAutospacing="1"/>
      <w:textAlignment w:val="top"/>
    </w:pPr>
    <w:rPr>
      <w:rFonts w:ascii="Arial Narrow" w:hAnsi="Arial Narrow"/>
    </w:rPr>
  </w:style>
  <w:style w:type="paragraph" w:customStyle="1" w:styleId="xl189">
    <w:name w:val="xl189"/>
    <w:basedOn w:val="a"/>
    <w:uiPriority w:val="99"/>
    <w:rsid w:val="008C43B6"/>
    <w:pPr>
      <w:pBdr>
        <w:top w:val="single" w:sz="4" w:space="0" w:color="auto"/>
        <w:bottom w:val="single" w:sz="4" w:space="0" w:color="auto"/>
        <w:right w:val="single" w:sz="4" w:space="0" w:color="auto"/>
      </w:pBdr>
      <w:spacing w:before="100" w:beforeAutospacing="1" w:after="100" w:afterAutospacing="1"/>
      <w:jc w:val="right"/>
      <w:textAlignment w:val="top"/>
    </w:pPr>
    <w:rPr>
      <w:rFonts w:ascii="Arial Narrow" w:hAnsi="Arial Narrow"/>
    </w:rPr>
  </w:style>
  <w:style w:type="paragraph" w:customStyle="1" w:styleId="xl190">
    <w:name w:val="xl190"/>
    <w:basedOn w:val="a"/>
    <w:uiPriority w:val="99"/>
    <w:rsid w:val="008C43B6"/>
    <w:pPr>
      <w:pBdr>
        <w:top w:val="single" w:sz="4" w:space="0" w:color="auto"/>
        <w:left w:val="single" w:sz="4" w:space="0" w:color="auto"/>
        <w:bottom w:val="single" w:sz="4" w:space="0" w:color="auto"/>
      </w:pBdr>
      <w:shd w:val="clear" w:color="000000" w:fill="FFFFFF"/>
      <w:spacing w:before="100" w:beforeAutospacing="1" w:after="100" w:afterAutospacing="1"/>
      <w:jc w:val="center"/>
      <w:textAlignment w:val="center"/>
    </w:pPr>
    <w:rPr>
      <w:rFonts w:ascii="Arial Narrow" w:hAnsi="Arial Narrow"/>
      <w:b/>
      <w:bCs/>
    </w:rPr>
  </w:style>
  <w:style w:type="paragraph" w:customStyle="1" w:styleId="xl191">
    <w:name w:val="xl191"/>
    <w:basedOn w:val="a"/>
    <w:uiPriority w:val="99"/>
    <w:rsid w:val="008C43B6"/>
    <w:pPr>
      <w:pBdr>
        <w:top w:val="single" w:sz="4" w:space="0" w:color="auto"/>
        <w:bottom w:val="single" w:sz="4" w:space="0" w:color="auto"/>
      </w:pBdr>
      <w:shd w:val="clear" w:color="000000" w:fill="FFFFFF"/>
      <w:spacing w:before="100" w:beforeAutospacing="1" w:after="100" w:afterAutospacing="1"/>
      <w:jc w:val="center"/>
      <w:textAlignment w:val="center"/>
    </w:pPr>
    <w:rPr>
      <w:rFonts w:ascii="Arial Narrow" w:hAnsi="Arial Narrow"/>
      <w:b/>
      <w:bCs/>
    </w:rPr>
  </w:style>
  <w:style w:type="paragraph" w:customStyle="1" w:styleId="xl192">
    <w:name w:val="xl192"/>
    <w:basedOn w:val="a"/>
    <w:uiPriority w:val="99"/>
    <w:rsid w:val="008C43B6"/>
    <w:pPr>
      <w:pBdr>
        <w:top w:val="single" w:sz="4" w:space="0" w:color="auto"/>
        <w:bottom w:val="single" w:sz="4" w:space="0" w:color="auto"/>
      </w:pBdr>
      <w:spacing w:before="100" w:beforeAutospacing="1" w:after="100" w:afterAutospacing="1"/>
      <w:jc w:val="center"/>
      <w:textAlignment w:val="center"/>
    </w:pPr>
    <w:rPr>
      <w:rFonts w:ascii="Arial Narrow" w:hAnsi="Arial Narrow"/>
    </w:rPr>
  </w:style>
  <w:style w:type="paragraph" w:customStyle="1" w:styleId="xl193">
    <w:name w:val="xl193"/>
    <w:basedOn w:val="a"/>
    <w:uiPriority w:val="99"/>
    <w:rsid w:val="008C43B6"/>
    <w:pPr>
      <w:pBdr>
        <w:top w:val="single" w:sz="4" w:space="0" w:color="auto"/>
        <w:bottom w:val="single" w:sz="4" w:space="0" w:color="auto"/>
      </w:pBdr>
      <w:spacing w:before="100" w:beforeAutospacing="1" w:after="100" w:afterAutospacing="1"/>
      <w:jc w:val="center"/>
      <w:textAlignment w:val="center"/>
    </w:pPr>
    <w:rPr>
      <w:rFonts w:ascii="Arial Narrow" w:hAnsi="Arial Narrow"/>
    </w:rPr>
  </w:style>
  <w:style w:type="paragraph" w:customStyle="1" w:styleId="xl194">
    <w:name w:val="xl194"/>
    <w:basedOn w:val="a"/>
    <w:uiPriority w:val="99"/>
    <w:rsid w:val="008C43B6"/>
    <w:pPr>
      <w:pBdr>
        <w:top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rPr>
  </w:style>
  <w:style w:type="paragraph" w:customStyle="1" w:styleId="xl195">
    <w:name w:val="xl195"/>
    <w:basedOn w:val="a"/>
    <w:uiPriority w:val="99"/>
    <w:rsid w:val="008C43B6"/>
    <w:pPr>
      <w:spacing w:before="100" w:beforeAutospacing="1" w:after="100" w:afterAutospacing="1"/>
      <w:jc w:val="center"/>
    </w:pPr>
    <w:rPr>
      <w:rFonts w:ascii="Arial Narrow" w:hAnsi="Arial Narrow"/>
    </w:rPr>
  </w:style>
  <w:style w:type="paragraph" w:customStyle="1" w:styleId="xl196">
    <w:name w:val="xl196"/>
    <w:basedOn w:val="a"/>
    <w:uiPriority w:val="99"/>
    <w:rsid w:val="008C43B6"/>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b/>
      <w:bCs/>
    </w:rPr>
  </w:style>
  <w:style w:type="paragraph" w:customStyle="1" w:styleId="xl197">
    <w:name w:val="xl197"/>
    <w:basedOn w:val="a"/>
    <w:uiPriority w:val="99"/>
    <w:rsid w:val="008C43B6"/>
    <w:pPr>
      <w:pBdr>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b/>
      <w:bCs/>
    </w:rPr>
  </w:style>
  <w:style w:type="paragraph" w:customStyle="1" w:styleId="xl198">
    <w:name w:val="xl198"/>
    <w:basedOn w:val="a"/>
    <w:uiPriority w:val="99"/>
    <w:rsid w:val="008C43B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Narrow" w:hAnsi="Arial Narrow"/>
    </w:rPr>
  </w:style>
  <w:style w:type="paragraph" w:styleId="afff9">
    <w:name w:val="TOC Heading"/>
    <w:basedOn w:val="1"/>
    <w:next w:val="a"/>
    <w:uiPriority w:val="39"/>
    <w:unhideWhenUsed/>
    <w:qFormat/>
    <w:rsid w:val="00C50167"/>
    <w:pPr>
      <w:numPr>
        <w:numId w:val="0"/>
      </w:numPr>
      <w:tabs>
        <w:tab w:val="clear" w:pos="3240"/>
      </w:tabs>
      <w:spacing w:before="240" w:after="60"/>
      <w:jc w:val="left"/>
      <w:outlineLvl w:val="9"/>
    </w:pPr>
    <w:rPr>
      <w:rFonts w:ascii="Cambria" w:hAnsi="Cambria"/>
      <w:kern w:val="32"/>
      <w:sz w:val="32"/>
      <w:szCs w:val="32"/>
      <w:lang w:val="ru-RU" w:eastAsia="ru-RU"/>
    </w:rPr>
  </w:style>
  <w:style w:type="table" w:styleId="afffa">
    <w:name w:val="Table Elegant"/>
    <w:basedOn w:val="a1"/>
    <w:rsid w:val="00C5016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Annex">
    <w:name w:val="Annex"/>
    <w:basedOn w:val="a"/>
    <w:uiPriority w:val="99"/>
    <w:rsid w:val="00A8318C"/>
    <w:pPr>
      <w:jc w:val="right"/>
    </w:pPr>
    <w:rPr>
      <w:szCs w:val="20"/>
      <w:u w:val="single"/>
      <w:lang w:val="en-US" w:eastAsia="en-US"/>
    </w:rPr>
  </w:style>
  <w:style w:type="numbering" w:customStyle="1" w:styleId="18">
    <w:name w:val="Нет списка1"/>
    <w:next w:val="a2"/>
    <w:uiPriority w:val="99"/>
    <w:semiHidden/>
    <w:unhideWhenUsed/>
    <w:rsid w:val="007E265C"/>
  </w:style>
  <w:style w:type="character" w:customStyle="1" w:styleId="19">
    <w:name w:val="Текст выноски Знак1"/>
    <w:uiPriority w:val="99"/>
    <w:rsid w:val="00EE3182"/>
    <w:rPr>
      <w:rFonts w:ascii="Tahoma" w:hAnsi="Tahoma" w:cs="Tahoma"/>
      <w:sz w:val="16"/>
      <w:szCs w:val="16"/>
    </w:rPr>
  </w:style>
  <w:style w:type="character" w:customStyle="1" w:styleId="1a">
    <w:name w:val="Текст примечания Знак1"/>
    <w:uiPriority w:val="99"/>
    <w:rsid w:val="00EE3182"/>
  </w:style>
  <w:style w:type="character" w:customStyle="1" w:styleId="1b">
    <w:name w:val="Тема примечания Знак1"/>
    <w:uiPriority w:val="99"/>
    <w:rsid w:val="00EE3182"/>
    <w:rPr>
      <w:b/>
      <w:bCs/>
    </w:rPr>
  </w:style>
  <w:style w:type="character" w:customStyle="1" w:styleId="doclink1">
    <w:name w:val="doc_link1"/>
    <w:rsid w:val="00C67589"/>
    <w:rPr>
      <w:vanish w:val="0"/>
      <w:webHidden w:val="0"/>
      <w:specVanish w:val="0"/>
    </w:rPr>
  </w:style>
  <w:style w:type="table" w:customStyle="1" w:styleId="1c">
    <w:name w:val="Сетка таблицы1"/>
    <w:basedOn w:val="a1"/>
    <w:next w:val="aff0"/>
    <w:uiPriority w:val="39"/>
    <w:rsid w:val="00C67589"/>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onsPlusCell">
    <w:name w:val="ConsPlusCell"/>
    <w:uiPriority w:val="99"/>
    <w:rsid w:val="007203FB"/>
    <w:pPr>
      <w:widowControl w:val="0"/>
      <w:autoSpaceDE w:val="0"/>
      <w:autoSpaceDN w:val="0"/>
      <w:adjustRightInd w:val="0"/>
    </w:pPr>
    <w:rPr>
      <w:sz w:val="28"/>
      <w:szCs w:val="28"/>
    </w:rPr>
  </w:style>
  <w:style w:type="numbering" w:customStyle="1" w:styleId="29">
    <w:name w:val="Нет списка2"/>
    <w:next w:val="a2"/>
    <w:uiPriority w:val="99"/>
    <w:semiHidden/>
    <w:unhideWhenUsed/>
    <w:rsid w:val="00BA7664"/>
  </w:style>
  <w:style w:type="paragraph" w:customStyle="1" w:styleId="Default">
    <w:name w:val="Default"/>
    <w:rsid w:val="00BA7664"/>
    <w:pPr>
      <w:autoSpaceDE w:val="0"/>
      <w:autoSpaceDN w:val="0"/>
      <w:adjustRightInd w:val="0"/>
    </w:pPr>
    <w:rPr>
      <w:rFonts w:ascii="Arial" w:eastAsia="Calibri" w:hAnsi="Arial" w:cs="Arial"/>
      <w:color w:val="000000"/>
      <w:sz w:val="24"/>
      <w:szCs w:val="24"/>
      <w:lang w:eastAsia="en-US"/>
    </w:rPr>
  </w:style>
  <w:style w:type="table" w:customStyle="1" w:styleId="2a">
    <w:name w:val="Сетка таблицы2"/>
    <w:basedOn w:val="a1"/>
    <w:next w:val="aff0"/>
    <w:uiPriority w:val="59"/>
    <w:rsid w:val="00BA76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d">
    <w:name w:val="Изысканная таблица1"/>
    <w:basedOn w:val="a1"/>
    <w:next w:val="afffa"/>
    <w:rsid w:val="00BA7664"/>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
    <w:name w:val="Нет списка11"/>
    <w:next w:val="a2"/>
    <w:uiPriority w:val="99"/>
    <w:semiHidden/>
    <w:unhideWhenUsed/>
    <w:rsid w:val="00BA7664"/>
  </w:style>
  <w:style w:type="table" w:customStyle="1" w:styleId="113">
    <w:name w:val="Сетка таблицы11"/>
    <w:basedOn w:val="a1"/>
    <w:next w:val="aff0"/>
    <w:uiPriority w:val="59"/>
    <w:rsid w:val="00BA7664"/>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0">
    <w:name w:val="Нет списка21"/>
    <w:next w:val="a2"/>
    <w:uiPriority w:val="99"/>
    <w:semiHidden/>
    <w:unhideWhenUsed/>
    <w:rsid w:val="00BA7664"/>
  </w:style>
  <w:style w:type="numbering" w:customStyle="1" w:styleId="1110">
    <w:name w:val="Нет списка111"/>
    <w:next w:val="a2"/>
    <w:uiPriority w:val="99"/>
    <w:semiHidden/>
    <w:unhideWhenUsed/>
    <w:rsid w:val="00BA7664"/>
  </w:style>
  <w:style w:type="numbering" w:customStyle="1" w:styleId="36">
    <w:name w:val="Нет списка3"/>
    <w:next w:val="a2"/>
    <w:uiPriority w:val="99"/>
    <w:semiHidden/>
    <w:unhideWhenUsed/>
    <w:rsid w:val="00BA7664"/>
  </w:style>
  <w:style w:type="table" w:customStyle="1" w:styleId="2b">
    <w:name w:val="Изысканная таблица2"/>
    <w:basedOn w:val="a1"/>
    <w:next w:val="afffa"/>
    <w:rsid w:val="00BA7664"/>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0">
    <w:name w:val="Нет списка12"/>
    <w:next w:val="a2"/>
    <w:uiPriority w:val="99"/>
    <w:semiHidden/>
    <w:unhideWhenUsed/>
    <w:rsid w:val="00BA7664"/>
  </w:style>
  <w:style w:type="numbering" w:customStyle="1" w:styleId="42">
    <w:name w:val="Нет списка4"/>
    <w:next w:val="a2"/>
    <w:uiPriority w:val="99"/>
    <w:semiHidden/>
    <w:unhideWhenUsed/>
    <w:rsid w:val="00BA7664"/>
  </w:style>
  <w:style w:type="table" w:customStyle="1" w:styleId="37">
    <w:name w:val="Изысканная таблица3"/>
    <w:basedOn w:val="a1"/>
    <w:next w:val="afffa"/>
    <w:rsid w:val="00BA7664"/>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0">
    <w:name w:val="Нет списка13"/>
    <w:next w:val="a2"/>
    <w:uiPriority w:val="99"/>
    <w:semiHidden/>
    <w:unhideWhenUsed/>
    <w:rsid w:val="00BA7664"/>
  </w:style>
  <w:style w:type="numbering" w:customStyle="1" w:styleId="52">
    <w:name w:val="Нет списка5"/>
    <w:next w:val="a2"/>
    <w:uiPriority w:val="99"/>
    <w:semiHidden/>
    <w:unhideWhenUsed/>
    <w:rsid w:val="00BA7664"/>
  </w:style>
  <w:style w:type="table" w:customStyle="1" w:styleId="43">
    <w:name w:val="Изысканная таблица4"/>
    <w:basedOn w:val="a1"/>
    <w:next w:val="afffa"/>
    <w:rsid w:val="00BA7664"/>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0">
    <w:name w:val="Нет списка14"/>
    <w:next w:val="a2"/>
    <w:uiPriority w:val="99"/>
    <w:semiHidden/>
    <w:unhideWhenUsed/>
    <w:rsid w:val="00BA7664"/>
  </w:style>
  <w:style w:type="numbering" w:customStyle="1" w:styleId="62">
    <w:name w:val="Нет списка6"/>
    <w:next w:val="a2"/>
    <w:uiPriority w:val="99"/>
    <w:semiHidden/>
    <w:unhideWhenUsed/>
    <w:rsid w:val="00BA7664"/>
  </w:style>
  <w:style w:type="table" w:customStyle="1" w:styleId="53">
    <w:name w:val="Изысканная таблица5"/>
    <w:basedOn w:val="a1"/>
    <w:next w:val="afffa"/>
    <w:rsid w:val="00BA7664"/>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0">
    <w:name w:val="Нет списка15"/>
    <w:next w:val="a2"/>
    <w:uiPriority w:val="99"/>
    <w:semiHidden/>
    <w:unhideWhenUsed/>
    <w:rsid w:val="00BA7664"/>
  </w:style>
  <w:style w:type="numbering" w:customStyle="1" w:styleId="72">
    <w:name w:val="Нет списка7"/>
    <w:next w:val="a2"/>
    <w:uiPriority w:val="99"/>
    <w:semiHidden/>
    <w:unhideWhenUsed/>
    <w:rsid w:val="00BA7664"/>
  </w:style>
  <w:style w:type="table" w:customStyle="1" w:styleId="63">
    <w:name w:val="Изысканная таблица6"/>
    <w:basedOn w:val="a1"/>
    <w:next w:val="afffa"/>
    <w:rsid w:val="00BA7664"/>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0">
    <w:name w:val="Нет списка16"/>
    <w:next w:val="a2"/>
    <w:uiPriority w:val="99"/>
    <w:semiHidden/>
    <w:unhideWhenUsed/>
    <w:rsid w:val="00BA7664"/>
  </w:style>
  <w:style w:type="table" w:customStyle="1" w:styleId="211">
    <w:name w:val="Сетка таблицы21"/>
    <w:basedOn w:val="a1"/>
    <w:next w:val="aff0"/>
    <w:uiPriority w:val="59"/>
    <w:rsid w:val="00483EB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
    <w:name w:val="Сетка таблицы3"/>
    <w:basedOn w:val="a1"/>
    <w:next w:val="aff0"/>
    <w:uiPriority w:val="59"/>
    <w:rsid w:val="00483EB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Сетка таблицы22"/>
    <w:basedOn w:val="a1"/>
    <w:next w:val="aff0"/>
    <w:uiPriority w:val="59"/>
    <w:rsid w:val="008D029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Сетка таблицы4"/>
    <w:basedOn w:val="a1"/>
    <w:next w:val="aff0"/>
    <w:uiPriority w:val="59"/>
    <w:rsid w:val="008D029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
    <w:name w:val="Абзац списка Знак"/>
    <w:aliases w:val="Нумерованый список Знак,List Paragraph1 Знак,ARIAL Знак,ПАРАГРАФ Знак,Абзац списка11 Знак,Абзац списка для документа Знак,List_Paragraph Знак,Multilevel para_II Знак,List Paragraph Знак,А Знак,Список Нумерованный Знак,Bullet List Знак"/>
    <w:link w:val="affe"/>
    <w:uiPriority w:val="34"/>
    <w:qFormat/>
    <w:locked/>
    <w:rsid w:val="003D7DDB"/>
    <w:rPr>
      <w:sz w:val="24"/>
      <w:szCs w:val="24"/>
    </w:rPr>
  </w:style>
  <w:style w:type="character" w:customStyle="1" w:styleId="note">
    <w:name w:val="note"/>
    <w:basedOn w:val="a0"/>
    <w:rsid w:val="00BA5A78"/>
  </w:style>
  <w:style w:type="character" w:customStyle="1" w:styleId="afff1">
    <w:name w:val="Без интервала Знак"/>
    <w:basedOn w:val="a0"/>
    <w:link w:val="afff0"/>
    <w:uiPriority w:val="1"/>
    <w:locked/>
    <w:rsid w:val="00C9626F"/>
    <w:rPr>
      <w:rFonts w:ascii="Calibri" w:eastAsia="Calibri" w:hAnsi="Calibri"/>
      <w:sz w:val="22"/>
      <w:szCs w:val="22"/>
      <w:lang w:eastAsia="en-US"/>
    </w:rPr>
  </w:style>
  <w:style w:type="paragraph" w:customStyle="1" w:styleId="afffb">
    <w:name w:val="Текст договора"/>
    <w:basedOn w:val="a"/>
    <w:rsid w:val="00552CE7"/>
    <w:pPr>
      <w:tabs>
        <w:tab w:val="num" w:pos="945"/>
      </w:tabs>
      <w:ind w:left="945" w:hanging="390"/>
      <w:jc w:val="both"/>
    </w:pPr>
    <w:rPr>
      <w:szCs w:val="20"/>
    </w:rPr>
  </w:style>
  <w:style w:type="paragraph" w:customStyle="1" w:styleId="Noeeu1">
    <w:name w:val="Noeeu1"/>
    <w:uiPriority w:val="99"/>
    <w:rsid w:val="00552CE7"/>
    <w:pPr>
      <w:widowControl w:val="0"/>
      <w:overflowPunct w:val="0"/>
      <w:autoSpaceDE w:val="0"/>
      <w:autoSpaceDN w:val="0"/>
      <w:adjustRightInd w:val="0"/>
      <w:textAlignment w:val="baseline"/>
    </w:pPr>
    <w:rPr>
      <w:spacing w:val="-1"/>
      <w:kern w:val="65535"/>
      <w:position w:val="-1"/>
      <w:sz w:val="24"/>
      <w:vertAlign w:val="superscript"/>
      <w:lang w:val="en-US"/>
    </w:rPr>
  </w:style>
  <w:style w:type="paragraph" w:customStyle="1" w:styleId="TableParagraph">
    <w:name w:val="Table Paragraph"/>
    <w:basedOn w:val="a"/>
    <w:uiPriority w:val="1"/>
    <w:qFormat/>
    <w:rsid w:val="00B128AE"/>
    <w:pPr>
      <w:widowControl w:val="0"/>
      <w:autoSpaceDE w:val="0"/>
      <w:autoSpaceDN w:val="0"/>
    </w:pPr>
    <w:rPr>
      <w:rFonts w:ascii="Tahoma" w:eastAsia="Tahoma" w:hAnsi="Tahoma" w:cs="Tahoma"/>
      <w:sz w:val="22"/>
      <w:szCs w:val="22"/>
      <w:lang w:val="en-US" w:eastAsia="en-US"/>
    </w:rPr>
  </w:style>
  <w:style w:type="table" w:customStyle="1" w:styleId="54">
    <w:name w:val="Сетка таблицы5"/>
    <w:basedOn w:val="a1"/>
    <w:next w:val="aff0"/>
    <w:uiPriority w:val="39"/>
    <w:rsid w:val="0028436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Even">
    <w:name w:val="Footer Even"/>
    <w:basedOn w:val="ac"/>
    <w:uiPriority w:val="99"/>
    <w:rsid w:val="00B13E82"/>
    <w:pPr>
      <w:tabs>
        <w:tab w:val="clear" w:pos="4153"/>
        <w:tab w:val="clear" w:pos="8306"/>
        <w:tab w:val="center" w:pos="4320"/>
        <w:tab w:val="right" w:pos="8640"/>
      </w:tabs>
      <w:suppressAutoHyphens/>
      <w:autoSpaceDE/>
      <w:autoSpaceDN/>
      <w:jc w:val="center"/>
    </w:pPr>
    <w:rPr>
      <w:rFonts w:ascii="NTHarmonica" w:eastAsia="Calibri" w:hAnsi="NTHarmonica" w:cs="Calibri"/>
      <w:b/>
      <w:sz w:val="24"/>
      <w:lang w:eastAsia="ar-SA"/>
    </w:rPr>
  </w:style>
  <w:style w:type="table" w:customStyle="1" w:styleId="64">
    <w:name w:val="Сетка таблицы6"/>
    <w:basedOn w:val="a1"/>
    <w:next w:val="aff0"/>
    <w:uiPriority w:val="39"/>
    <w:rsid w:val="00E658F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ХДВ 1-й отступ"/>
    <w:basedOn w:val="a"/>
    <w:link w:val="1-0"/>
    <w:qFormat/>
    <w:rsid w:val="005E328A"/>
    <w:pPr>
      <w:widowControl w:val="0"/>
      <w:spacing w:before="60"/>
      <w:ind w:left="284" w:firstLine="709"/>
      <w:jc w:val="both"/>
    </w:pPr>
    <w:rPr>
      <w:rFonts w:cs="Arial"/>
      <w:spacing w:val="-4"/>
    </w:rPr>
  </w:style>
  <w:style w:type="character" w:customStyle="1" w:styleId="1-0">
    <w:name w:val="ХДВ 1-й отступ Знак Знак"/>
    <w:link w:val="1-"/>
    <w:rsid w:val="005E328A"/>
    <w:rPr>
      <w:rFonts w:cs="Arial"/>
      <w:spacing w:val="-4"/>
      <w:sz w:val="24"/>
      <w:szCs w:val="24"/>
    </w:rPr>
  </w:style>
  <w:style w:type="table" w:customStyle="1" w:styleId="73">
    <w:name w:val="Сетка таблицы7"/>
    <w:basedOn w:val="a1"/>
    <w:next w:val="aff0"/>
    <w:uiPriority w:val="59"/>
    <w:rsid w:val="00FB64D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rsid w:val="00AC0D14"/>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2">
    <w:name w:val="Сетка таблицы8"/>
    <w:basedOn w:val="a1"/>
    <w:next w:val="aff0"/>
    <w:uiPriority w:val="39"/>
    <w:rsid w:val="000A267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Сетка таблицы9"/>
    <w:basedOn w:val="a1"/>
    <w:next w:val="aff0"/>
    <w:uiPriority w:val="39"/>
    <w:rsid w:val="005457B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2">
    <w:name w:val="Основной текст 2 Знак1"/>
    <w:basedOn w:val="a0"/>
    <w:uiPriority w:val="99"/>
    <w:semiHidden/>
    <w:rsid w:val="007E1ADB"/>
  </w:style>
  <w:style w:type="table" w:customStyle="1" w:styleId="121">
    <w:name w:val="Сетка таблицы12"/>
    <w:basedOn w:val="a1"/>
    <w:next w:val="aff0"/>
    <w:uiPriority w:val="59"/>
    <w:rsid w:val="002D28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
    <w:name w:val="Нет списка8"/>
    <w:next w:val="a2"/>
    <w:uiPriority w:val="99"/>
    <w:semiHidden/>
    <w:unhideWhenUsed/>
    <w:rsid w:val="00CE6555"/>
  </w:style>
  <w:style w:type="table" w:customStyle="1" w:styleId="100">
    <w:name w:val="Сетка таблицы10"/>
    <w:basedOn w:val="a1"/>
    <w:next w:val="aff0"/>
    <w:uiPriority w:val="39"/>
    <w:rsid w:val="00CE65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
    <w:name w:val="Изысканная таблица7"/>
    <w:basedOn w:val="a1"/>
    <w:next w:val="afffa"/>
    <w:rsid w:val="00CE6555"/>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0">
    <w:name w:val="Нет списка17"/>
    <w:next w:val="a2"/>
    <w:uiPriority w:val="99"/>
    <w:semiHidden/>
    <w:unhideWhenUsed/>
    <w:rsid w:val="00CE6555"/>
  </w:style>
  <w:style w:type="table" w:customStyle="1" w:styleId="131">
    <w:name w:val="Сетка таблицы13"/>
    <w:basedOn w:val="a1"/>
    <w:next w:val="aff0"/>
    <w:uiPriority w:val="39"/>
    <w:rsid w:val="00CE6555"/>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1">
    <w:name w:val="Нет списка22"/>
    <w:next w:val="a2"/>
    <w:uiPriority w:val="99"/>
    <w:semiHidden/>
    <w:unhideWhenUsed/>
    <w:rsid w:val="00CE6555"/>
  </w:style>
  <w:style w:type="table" w:customStyle="1" w:styleId="230">
    <w:name w:val="Сетка таблицы23"/>
    <w:basedOn w:val="a1"/>
    <w:next w:val="aff0"/>
    <w:uiPriority w:val="59"/>
    <w:rsid w:val="00CE65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Изысканная таблица11"/>
    <w:basedOn w:val="a1"/>
    <w:next w:val="afffa"/>
    <w:rsid w:val="00CE6555"/>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0">
    <w:name w:val="Нет списка112"/>
    <w:next w:val="a2"/>
    <w:uiPriority w:val="99"/>
    <w:semiHidden/>
    <w:unhideWhenUsed/>
    <w:rsid w:val="00CE6555"/>
  </w:style>
  <w:style w:type="table" w:customStyle="1" w:styleId="1111">
    <w:name w:val="Сетка таблицы111"/>
    <w:basedOn w:val="a1"/>
    <w:next w:val="aff0"/>
    <w:uiPriority w:val="59"/>
    <w:rsid w:val="00CE6555"/>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0">
    <w:name w:val="Нет списка211"/>
    <w:next w:val="a2"/>
    <w:uiPriority w:val="99"/>
    <w:semiHidden/>
    <w:unhideWhenUsed/>
    <w:rsid w:val="00CE6555"/>
  </w:style>
  <w:style w:type="numbering" w:customStyle="1" w:styleId="11110">
    <w:name w:val="Нет списка1111"/>
    <w:next w:val="a2"/>
    <w:uiPriority w:val="99"/>
    <w:semiHidden/>
    <w:unhideWhenUsed/>
    <w:rsid w:val="00CE6555"/>
  </w:style>
  <w:style w:type="numbering" w:customStyle="1" w:styleId="310">
    <w:name w:val="Нет списка31"/>
    <w:next w:val="a2"/>
    <w:uiPriority w:val="99"/>
    <w:semiHidden/>
    <w:unhideWhenUsed/>
    <w:rsid w:val="00CE6555"/>
  </w:style>
  <w:style w:type="table" w:customStyle="1" w:styleId="213">
    <w:name w:val="Изысканная таблица21"/>
    <w:basedOn w:val="a1"/>
    <w:next w:val="afffa"/>
    <w:rsid w:val="00CE6555"/>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0">
    <w:name w:val="Нет списка121"/>
    <w:next w:val="a2"/>
    <w:uiPriority w:val="99"/>
    <w:semiHidden/>
    <w:unhideWhenUsed/>
    <w:rsid w:val="00CE6555"/>
  </w:style>
  <w:style w:type="numbering" w:customStyle="1" w:styleId="410">
    <w:name w:val="Нет списка41"/>
    <w:next w:val="a2"/>
    <w:uiPriority w:val="99"/>
    <w:semiHidden/>
    <w:unhideWhenUsed/>
    <w:rsid w:val="00CE6555"/>
  </w:style>
  <w:style w:type="table" w:customStyle="1" w:styleId="311">
    <w:name w:val="Изысканная таблица31"/>
    <w:basedOn w:val="a1"/>
    <w:next w:val="afffa"/>
    <w:rsid w:val="00CE6555"/>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0">
    <w:name w:val="Нет списка131"/>
    <w:next w:val="a2"/>
    <w:uiPriority w:val="99"/>
    <w:semiHidden/>
    <w:unhideWhenUsed/>
    <w:rsid w:val="00CE6555"/>
  </w:style>
  <w:style w:type="numbering" w:customStyle="1" w:styleId="510">
    <w:name w:val="Нет списка51"/>
    <w:next w:val="a2"/>
    <w:uiPriority w:val="99"/>
    <w:semiHidden/>
    <w:unhideWhenUsed/>
    <w:rsid w:val="00CE6555"/>
  </w:style>
  <w:style w:type="table" w:customStyle="1" w:styleId="411">
    <w:name w:val="Изысканная таблица41"/>
    <w:basedOn w:val="a1"/>
    <w:next w:val="afffa"/>
    <w:rsid w:val="00CE6555"/>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
    <w:name w:val="Нет списка141"/>
    <w:next w:val="a2"/>
    <w:uiPriority w:val="99"/>
    <w:semiHidden/>
    <w:unhideWhenUsed/>
    <w:rsid w:val="00CE6555"/>
  </w:style>
  <w:style w:type="numbering" w:customStyle="1" w:styleId="610">
    <w:name w:val="Нет списка61"/>
    <w:next w:val="a2"/>
    <w:uiPriority w:val="99"/>
    <w:semiHidden/>
    <w:unhideWhenUsed/>
    <w:rsid w:val="00CE6555"/>
  </w:style>
  <w:style w:type="table" w:customStyle="1" w:styleId="511">
    <w:name w:val="Изысканная таблица51"/>
    <w:basedOn w:val="a1"/>
    <w:next w:val="afffa"/>
    <w:rsid w:val="00CE6555"/>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
    <w:name w:val="Нет списка151"/>
    <w:next w:val="a2"/>
    <w:uiPriority w:val="99"/>
    <w:semiHidden/>
    <w:unhideWhenUsed/>
    <w:rsid w:val="00CE6555"/>
  </w:style>
  <w:style w:type="numbering" w:customStyle="1" w:styleId="710">
    <w:name w:val="Нет списка71"/>
    <w:next w:val="a2"/>
    <w:uiPriority w:val="99"/>
    <w:semiHidden/>
    <w:unhideWhenUsed/>
    <w:rsid w:val="00CE6555"/>
  </w:style>
  <w:style w:type="table" w:customStyle="1" w:styleId="611">
    <w:name w:val="Изысканная таблица61"/>
    <w:basedOn w:val="a1"/>
    <w:next w:val="afffa"/>
    <w:rsid w:val="00CE6555"/>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
    <w:name w:val="Нет списка161"/>
    <w:next w:val="a2"/>
    <w:uiPriority w:val="99"/>
    <w:semiHidden/>
    <w:unhideWhenUsed/>
    <w:rsid w:val="00CE6555"/>
  </w:style>
  <w:style w:type="table" w:customStyle="1" w:styleId="2111">
    <w:name w:val="Сетка таблицы211"/>
    <w:basedOn w:val="a1"/>
    <w:next w:val="aff0"/>
    <w:uiPriority w:val="59"/>
    <w:rsid w:val="00CE6555"/>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
    <w:name w:val="Сетка таблицы31"/>
    <w:basedOn w:val="a1"/>
    <w:next w:val="aff0"/>
    <w:uiPriority w:val="59"/>
    <w:rsid w:val="00CE6555"/>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0">
    <w:name w:val="Сетка таблицы221"/>
    <w:basedOn w:val="a1"/>
    <w:next w:val="aff0"/>
    <w:uiPriority w:val="59"/>
    <w:rsid w:val="00CE6555"/>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
    <w:name w:val="Сетка таблицы41"/>
    <w:basedOn w:val="a1"/>
    <w:next w:val="aff0"/>
    <w:uiPriority w:val="59"/>
    <w:rsid w:val="00CE6555"/>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
    <w:name w:val="Сетка таблицы51"/>
    <w:basedOn w:val="a1"/>
    <w:next w:val="aff0"/>
    <w:uiPriority w:val="39"/>
    <w:rsid w:val="00CE655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Сетка таблицы61"/>
    <w:basedOn w:val="a1"/>
    <w:next w:val="aff0"/>
    <w:uiPriority w:val="39"/>
    <w:rsid w:val="00CE6555"/>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
    <w:name w:val="Сетка таблицы71"/>
    <w:basedOn w:val="a1"/>
    <w:next w:val="aff0"/>
    <w:uiPriority w:val="59"/>
    <w:rsid w:val="00CE655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ветлая заливка - Акцент 11"/>
    <w:basedOn w:val="a1"/>
    <w:next w:val="-1"/>
    <w:uiPriority w:val="60"/>
    <w:rsid w:val="00CE6555"/>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0">
    <w:name w:val="Сетка таблицы81"/>
    <w:basedOn w:val="a1"/>
    <w:next w:val="aff0"/>
    <w:uiPriority w:val="39"/>
    <w:rsid w:val="00CE655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Сетка таблицы91"/>
    <w:basedOn w:val="a1"/>
    <w:next w:val="aff0"/>
    <w:uiPriority w:val="39"/>
    <w:rsid w:val="00CE655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
    <w:name w:val="Нет списка9"/>
    <w:next w:val="a2"/>
    <w:uiPriority w:val="99"/>
    <w:semiHidden/>
    <w:unhideWhenUsed/>
    <w:rsid w:val="00AC3EE3"/>
  </w:style>
  <w:style w:type="table" w:customStyle="1" w:styleId="142">
    <w:name w:val="Сетка таблицы14"/>
    <w:basedOn w:val="a1"/>
    <w:next w:val="aff0"/>
    <w:uiPriority w:val="59"/>
    <w:rsid w:val="00AC3E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
    <w:name w:val="Изысканная таблица8"/>
    <w:basedOn w:val="a1"/>
    <w:next w:val="afffa"/>
    <w:rsid w:val="00AC3EE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80">
    <w:name w:val="Нет списка18"/>
    <w:next w:val="a2"/>
    <w:uiPriority w:val="99"/>
    <w:semiHidden/>
    <w:unhideWhenUsed/>
    <w:rsid w:val="00AC3EE3"/>
  </w:style>
  <w:style w:type="table" w:customStyle="1" w:styleId="152">
    <w:name w:val="Сетка таблицы15"/>
    <w:basedOn w:val="a1"/>
    <w:next w:val="aff0"/>
    <w:uiPriority w:val="39"/>
    <w:rsid w:val="00AC3EE3"/>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31">
    <w:name w:val="Нет списка23"/>
    <w:next w:val="a2"/>
    <w:uiPriority w:val="99"/>
    <w:semiHidden/>
    <w:unhideWhenUsed/>
    <w:rsid w:val="00AC3EE3"/>
  </w:style>
  <w:style w:type="table" w:customStyle="1" w:styleId="240">
    <w:name w:val="Сетка таблицы24"/>
    <w:basedOn w:val="a1"/>
    <w:next w:val="aff0"/>
    <w:uiPriority w:val="59"/>
    <w:rsid w:val="00AC3E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Изысканная таблица12"/>
    <w:basedOn w:val="a1"/>
    <w:next w:val="afffa"/>
    <w:rsid w:val="00AC3EE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30">
    <w:name w:val="Нет списка113"/>
    <w:next w:val="a2"/>
    <w:uiPriority w:val="99"/>
    <w:semiHidden/>
    <w:unhideWhenUsed/>
    <w:rsid w:val="00AC3EE3"/>
  </w:style>
  <w:style w:type="table" w:customStyle="1" w:styleId="1121">
    <w:name w:val="Сетка таблицы112"/>
    <w:basedOn w:val="a1"/>
    <w:next w:val="aff0"/>
    <w:uiPriority w:val="59"/>
    <w:rsid w:val="00AC3EE3"/>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20">
    <w:name w:val="Нет списка212"/>
    <w:next w:val="a2"/>
    <w:uiPriority w:val="99"/>
    <w:semiHidden/>
    <w:unhideWhenUsed/>
    <w:rsid w:val="00AC3EE3"/>
  </w:style>
  <w:style w:type="numbering" w:customStyle="1" w:styleId="1112">
    <w:name w:val="Нет списка1112"/>
    <w:next w:val="a2"/>
    <w:uiPriority w:val="99"/>
    <w:semiHidden/>
    <w:unhideWhenUsed/>
    <w:rsid w:val="00AC3EE3"/>
  </w:style>
  <w:style w:type="numbering" w:customStyle="1" w:styleId="320">
    <w:name w:val="Нет списка32"/>
    <w:next w:val="a2"/>
    <w:uiPriority w:val="99"/>
    <w:semiHidden/>
    <w:unhideWhenUsed/>
    <w:rsid w:val="00AC3EE3"/>
  </w:style>
  <w:style w:type="table" w:customStyle="1" w:styleId="222">
    <w:name w:val="Изысканная таблица22"/>
    <w:basedOn w:val="a1"/>
    <w:next w:val="afffa"/>
    <w:rsid w:val="00AC3EE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20">
    <w:name w:val="Нет списка122"/>
    <w:next w:val="a2"/>
    <w:uiPriority w:val="99"/>
    <w:semiHidden/>
    <w:unhideWhenUsed/>
    <w:rsid w:val="00AC3EE3"/>
  </w:style>
  <w:style w:type="numbering" w:customStyle="1" w:styleId="420">
    <w:name w:val="Нет списка42"/>
    <w:next w:val="a2"/>
    <w:uiPriority w:val="99"/>
    <w:semiHidden/>
    <w:unhideWhenUsed/>
    <w:rsid w:val="00AC3EE3"/>
  </w:style>
  <w:style w:type="table" w:customStyle="1" w:styleId="321">
    <w:name w:val="Изысканная таблица32"/>
    <w:basedOn w:val="a1"/>
    <w:next w:val="afffa"/>
    <w:rsid w:val="00AC3EE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2">
    <w:name w:val="Нет списка132"/>
    <w:next w:val="a2"/>
    <w:uiPriority w:val="99"/>
    <w:semiHidden/>
    <w:unhideWhenUsed/>
    <w:rsid w:val="00AC3EE3"/>
  </w:style>
  <w:style w:type="numbering" w:customStyle="1" w:styleId="520">
    <w:name w:val="Нет списка52"/>
    <w:next w:val="a2"/>
    <w:uiPriority w:val="99"/>
    <w:semiHidden/>
    <w:unhideWhenUsed/>
    <w:rsid w:val="00AC3EE3"/>
  </w:style>
  <w:style w:type="table" w:customStyle="1" w:styleId="421">
    <w:name w:val="Изысканная таблица42"/>
    <w:basedOn w:val="a1"/>
    <w:next w:val="afffa"/>
    <w:rsid w:val="00AC3EE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20">
    <w:name w:val="Нет списка142"/>
    <w:next w:val="a2"/>
    <w:uiPriority w:val="99"/>
    <w:semiHidden/>
    <w:unhideWhenUsed/>
    <w:rsid w:val="00AC3EE3"/>
  </w:style>
  <w:style w:type="numbering" w:customStyle="1" w:styleId="620">
    <w:name w:val="Нет списка62"/>
    <w:next w:val="a2"/>
    <w:uiPriority w:val="99"/>
    <w:semiHidden/>
    <w:unhideWhenUsed/>
    <w:rsid w:val="00AC3EE3"/>
  </w:style>
  <w:style w:type="table" w:customStyle="1" w:styleId="521">
    <w:name w:val="Изысканная таблица52"/>
    <w:basedOn w:val="a1"/>
    <w:next w:val="afffa"/>
    <w:rsid w:val="00AC3EE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20">
    <w:name w:val="Нет списка152"/>
    <w:next w:val="a2"/>
    <w:uiPriority w:val="99"/>
    <w:semiHidden/>
    <w:unhideWhenUsed/>
    <w:rsid w:val="00AC3EE3"/>
  </w:style>
  <w:style w:type="numbering" w:customStyle="1" w:styleId="720">
    <w:name w:val="Нет списка72"/>
    <w:next w:val="a2"/>
    <w:uiPriority w:val="99"/>
    <w:semiHidden/>
    <w:unhideWhenUsed/>
    <w:rsid w:val="00AC3EE3"/>
  </w:style>
  <w:style w:type="table" w:customStyle="1" w:styleId="621">
    <w:name w:val="Изысканная таблица62"/>
    <w:basedOn w:val="a1"/>
    <w:next w:val="afffa"/>
    <w:rsid w:val="00AC3EE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2">
    <w:name w:val="Нет списка162"/>
    <w:next w:val="a2"/>
    <w:uiPriority w:val="99"/>
    <w:semiHidden/>
    <w:unhideWhenUsed/>
    <w:rsid w:val="00AC3EE3"/>
  </w:style>
  <w:style w:type="table" w:customStyle="1" w:styleId="2121">
    <w:name w:val="Сетка таблицы212"/>
    <w:basedOn w:val="a1"/>
    <w:next w:val="aff0"/>
    <w:uiPriority w:val="59"/>
    <w:rsid w:val="00AC3EE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Сетка таблицы32"/>
    <w:basedOn w:val="a1"/>
    <w:next w:val="aff0"/>
    <w:uiPriority w:val="59"/>
    <w:rsid w:val="00AC3EE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0">
    <w:name w:val="Сетка таблицы222"/>
    <w:basedOn w:val="a1"/>
    <w:next w:val="aff0"/>
    <w:uiPriority w:val="59"/>
    <w:rsid w:val="00AC3EE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
    <w:name w:val="Сетка таблицы42"/>
    <w:basedOn w:val="a1"/>
    <w:next w:val="aff0"/>
    <w:uiPriority w:val="59"/>
    <w:rsid w:val="00AC3EE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
    <w:name w:val="Сетка таблицы52"/>
    <w:basedOn w:val="a1"/>
    <w:next w:val="aff0"/>
    <w:uiPriority w:val="39"/>
    <w:rsid w:val="00AC3EE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Сетка таблицы62"/>
    <w:basedOn w:val="a1"/>
    <w:next w:val="aff0"/>
    <w:uiPriority w:val="39"/>
    <w:rsid w:val="00AC3EE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Сетка таблицы72"/>
    <w:basedOn w:val="a1"/>
    <w:next w:val="aff0"/>
    <w:uiPriority w:val="59"/>
    <w:rsid w:val="00AC3EE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ветлая заливка - Акцент 12"/>
    <w:basedOn w:val="a1"/>
    <w:next w:val="-1"/>
    <w:uiPriority w:val="60"/>
    <w:rsid w:val="00AC3EE3"/>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20">
    <w:name w:val="Сетка таблицы82"/>
    <w:basedOn w:val="a1"/>
    <w:next w:val="aff0"/>
    <w:uiPriority w:val="39"/>
    <w:rsid w:val="00AC3EE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0">
    <w:name w:val="Сетка таблицы92"/>
    <w:basedOn w:val="a1"/>
    <w:next w:val="aff0"/>
    <w:uiPriority w:val="39"/>
    <w:rsid w:val="00AC3EE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
    <w:name w:val="Сетка таблицы121"/>
    <w:basedOn w:val="a1"/>
    <w:next w:val="aff0"/>
    <w:uiPriority w:val="59"/>
    <w:rsid w:val="00AC3E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
    <w:name w:val="Нет списка81"/>
    <w:next w:val="a2"/>
    <w:uiPriority w:val="99"/>
    <w:semiHidden/>
    <w:unhideWhenUsed/>
    <w:rsid w:val="00AC3EE3"/>
  </w:style>
  <w:style w:type="table" w:customStyle="1" w:styleId="101">
    <w:name w:val="Сетка таблицы101"/>
    <w:basedOn w:val="a1"/>
    <w:next w:val="aff0"/>
    <w:uiPriority w:val="39"/>
    <w:rsid w:val="00AC3E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Изысканная таблица71"/>
    <w:basedOn w:val="a1"/>
    <w:next w:val="afffa"/>
    <w:rsid w:val="00AC3EE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1">
    <w:name w:val="Нет списка171"/>
    <w:next w:val="a2"/>
    <w:uiPriority w:val="99"/>
    <w:semiHidden/>
    <w:unhideWhenUsed/>
    <w:rsid w:val="00AC3EE3"/>
  </w:style>
  <w:style w:type="table" w:customStyle="1" w:styleId="1311">
    <w:name w:val="Сетка таблицы131"/>
    <w:basedOn w:val="a1"/>
    <w:next w:val="aff0"/>
    <w:uiPriority w:val="39"/>
    <w:rsid w:val="00AC3EE3"/>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11">
    <w:name w:val="Нет списка221"/>
    <w:next w:val="a2"/>
    <w:uiPriority w:val="99"/>
    <w:semiHidden/>
    <w:unhideWhenUsed/>
    <w:rsid w:val="00AC3EE3"/>
  </w:style>
  <w:style w:type="table" w:customStyle="1" w:styleId="2310">
    <w:name w:val="Сетка таблицы231"/>
    <w:basedOn w:val="a1"/>
    <w:next w:val="aff0"/>
    <w:uiPriority w:val="59"/>
    <w:rsid w:val="00AC3E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
    <w:name w:val="Изысканная таблица111"/>
    <w:basedOn w:val="a1"/>
    <w:next w:val="afffa"/>
    <w:rsid w:val="00AC3EE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10">
    <w:name w:val="Нет списка1121"/>
    <w:next w:val="a2"/>
    <w:uiPriority w:val="99"/>
    <w:semiHidden/>
    <w:unhideWhenUsed/>
    <w:rsid w:val="00AC3EE3"/>
  </w:style>
  <w:style w:type="table" w:customStyle="1" w:styleId="11111">
    <w:name w:val="Сетка таблицы1111"/>
    <w:basedOn w:val="a1"/>
    <w:next w:val="aff0"/>
    <w:uiPriority w:val="59"/>
    <w:rsid w:val="00AC3EE3"/>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10">
    <w:name w:val="Нет списка2111"/>
    <w:next w:val="a2"/>
    <w:uiPriority w:val="99"/>
    <w:semiHidden/>
    <w:unhideWhenUsed/>
    <w:rsid w:val="00AC3EE3"/>
  </w:style>
  <w:style w:type="numbering" w:customStyle="1" w:styleId="111110">
    <w:name w:val="Нет списка11111"/>
    <w:next w:val="a2"/>
    <w:uiPriority w:val="99"/>
    <w:semiHidden/>
    <w:unhideWhenUsed/>
    <w:rsid w:val="00AC3EE3"/>
  </w:style>
  <w:style w:type="numbering" w:customStyle="1" w:styleId="3110">
    <w:name w:val="Нет списка311"/>
    <w:next w:val="a2"/>
    <w:uiPriority w:val="99"/>
    <w:semiHidden/>
    <w:unhideWhenUsed/>
    <w:rsid w:val="00AC3EE3"/>
  </w:style>
  <w:style w:type="table" w:customStyle="1" w:styleId="2112">
    <w:name w:val="Изысканная таблица211"/>
    <w:basedOn w:val="a1"/>
    <w:next w:val="afffa"/>
    <w:rsid w:val="00AC3EE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10">
    <w:name w:val="Нет списка1211"/>
    <w:next w:val="a2"/>
    <w:uiPriority w:val="99"/>
    <w:semiHidden/>
    <w:unhideWhenUsed/>
    <w:rsid w:val="00AC3EE3"/>
  </w:style>
  <w:style w:type="numbering" w:customStyle="1" w:styleId="4110">
    <w:name w:val="Нет списка411"/>
    <w:next w:val="a2"/>
    <w:uiPriority w:val="99"/>
    <w:semiHidden/>
    <w:unhideWhenUsed/>
    <w:rsid w:val="00AC3EE3"/>
  </w:style>
  <w:style w:type="table" w:customStyle="1" w:styleId="3111">
    <w:name w:val="Изысканная таблица311"/>
    <w:basedOn w:val="a1"/>
    <w:next w:val="afffa"/>
    <w:rsid w:val="00AC3EE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10">
    <w:name w:val="Нет списка1311"/>
    <w:next w:val="a2"/>
    <w:uiPriority w:val="99"/>
    <w:semiHidden/>
    <w:unhideWhenUsed/>
    <w:rsid w:val="00AC3EE3"/>
  </w:style>
  <w:style w:type="numbering" w:customStyle="1" w:styleId="5110">
    <w:name w:val="Нет списка511"/>
    <w:next w:val="a2"/>
    <w:uiPriority w:val="99"/>
    <w:semiHidden/>
    <w:unhideWhenUsed/>
    <w:rsid w:val="00AC3EE3"/>
  </w:style>
  <w:style w:type="table" w:customStyle="1" w:styleId="4111">
    <w:name w:val="Изысканная таблица411"/>
    <w:basedOn w:val="a1"/>
    <w:next w:val="afffa"/>
    <w:rsid w:val="00AC3EE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1">
    <w:name w:val="Нет списка1411"/>
    <w:next w:val="a2"/>
    <w:uiPriority w:val="99"/>
    <w:semiHidden/>
    <w:unhideWhenUsed/>
    <w:rsid w:val="00AC3EE3"/>
  </w:style>
  <w:style w:type="numbering" w:customStyle="1" w:styleId="6110">
    <w:name w:val="Нет списка611"/>
    <w:next w:val="a2"/>
    <w:uiPriority w:val="99"/>
    <w:semiHidden/>
    <w:unhideWhenUsed/>
    <w:rsid w:val="00AC3EE3"/>
  </w:style>
  <w:style w:type="table" w:customStyle="1" w:styleId="5111">
    <w:name w:val="Изысканная таблица511"/>
    <w:basedOn w:val="a1"/>
    <w:next w:val="afffa"/>
    <w:rsid w:val="00AC3EE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1">
    <w:name w:val="Нет списка1511"/>
    <w:next w:val="a2"/>
    <w:uiPriority w:val="99"/>
    <w:semiHidden/>
    <w:unhideWhenUsed/>
    <w:rsid w:val="00AC3EE3"/>
  </w:style>
  <w:style w:type="numbering" w:customStyle="1" w:styleId="7110">
    <w:name w:val="Нет списка711"/>
    <w:next w:val="a2"/>
    <w:uiPriority w:val="99"/>
    <w:semiHidden/>
    <w:unhideWhenUsed/>
    <w:rsid w:val="00AC3EE3"/>
  </w:style>
  <w:style w:type="table" w:customStyle="1" w:styleId="6111">
    <w:name w:val="Изысканная таблица611"/>
    <w:basedOn w:val="a1"/>
    <w:next w:val="afffa"/>
    <w:rsid w:val="00AC3EE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1">
    <w:name w:val="Нет списка1611"/>
    <w:next w:val="a2"/>
    <w:uiPriority w:val="99"/>
    <w:semiHidden/>
    <w:unhideWhenUsed/>
    <w:rsid w:val="00AC3EE3"/>
  </w:style>
  <w:style w:type="table" w:customStyle="1" w:styleId="21111">
    <w:name w:val="Сетка таблицы2111"/>
    <w:basedOn w:val="a1"/>
    <w:next w:val="aff0"/>
    <w:uiPriority w:val="59"/>
    <w:rsid w:val="00AC3EE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
    <w:name w:val="Сетка таблицы311"/>
    <w:basedOn w:val="a1"/>
    <w:next w:val="aff0"/>
    <w:uiPriority w:val="59"/>
    <w:rsid w:val="00AC3EE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0">
    <w:name w:val="Сетка таблицы2211"/>
    <w:basedOn w:val="a1"/>
    <w:next w:val="aff0"/>
    <w:uiPriority w:val="59"/>
    <w:rsid w:val="00AC3EE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
    <w:name w:val="Сетка таблицы411"/>
    <w:basedOn w:val="a1"/>
    <w:next w:val="aff0"/>
    <w:uiPriority w:val="59"/>
    <w:rsid w:val="00AC3EE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
    <w:name w:val="Сетка таблицы511"/>
    <w:basedOn w:val="a1"/>
    <w:next w:val="aff0"/>
    <w:uiPriority w:val="39"/>
    <w:rsid w:val="00AC3EE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
    <w:name w:val="Сетка таблицы611"/>
    <w:basedOn w:val="a1"/>
    <w:next w:val="aff0"/>
    <w:uiPriority w:val="39"/>
    <w:rsid w:val="00AC3EE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
    <w:name w:val="Сетка таблицы711"/>
    <w:basedOn w:val="a1"/>
    <w:next w:val="aff0"/>
    <w:uiPriority w:val="59"/>
    <w:rsid w:val="00AC3EE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Светлая заливка - Акцент 111"/>
    <w:basedOn w:val="a1"/>
    <w:next w:val="-1"/>
    <w:uiPriority w:val="60"/>
    <w:rsid w:val="00AC3EE3"/>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10">
    <w:name w:val="Сетка таблицы811"/>
    <w:basedOn w:val="a1"/>
    <w:next w:val="aff0"/>
    <w:uiPriority w:val="39"/>
    <w:rsid w:val="00AC3EE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
    <w:name w:val="Сетка таблицы911"/>
    <w:basedOn w:val="a1"/>
    <w:next w:val="aff0"/>
    <w:uiPriority w:val="39"/>
    <w:rsid w:val="00AC3EE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ull-left">
    <w:name w:val="pull-left"/>
    <w:basedOn w:val="a0"/>
    <w:rsid w:val="0085420E"/>
  </w:style>
  <w:style w:type="numbering" w:customStyle="1" w:styleId="102">
    <w:name w:val="Нет списка10"/>
    <w:next w:val="a2"/>
    <w:uiPriority w:val="99"/>
    <w:semiHidden/>
    <w:unhideWhenUsed/>
    <w:rsid w:val="00655B76"/>
  </w:style>
  <w:style w:type="table" w:customStyle="1" w:styleId="163">
    <w:name w:val="Сетка таблицы16"/>
    <w:basedOn w:val="a1"/>
    <w:next w:val="aff0"/>
    <w:uiPriority w:val="59"/>
    <w:rsid w:val="00655B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
    <w:name w:val="Изысканная таблица9"/>
    <w:basedOn w:val="a1"/>
    <w:next w:val="afffa"/>
    <w:rsid w:val="00655B7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90">
    <w:name w:val="Нет списка19"/>
    <w:next w:val="a2"/>
    <w:uiPriority w:val="99"/>
    <w:semiHidden/>
    <w:unhideWhenUsed/>
    <w:rsid w:val="00655B76"/>
  </w:style>
  <w:style w:type="table" w:customStyle="1" w:styleId="172">
    <w:name w:val="Сетка таблицы17"/>
    <w:basedOn w:val="a1"/>
    <w:next w:val="aff0"/>
    <w:uiPriority w:val="39"/>
    <w:rsid w:val="00655B76"/>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41">
    <w:name w:val="Нет списка24"/>
    <w:next w:val="a2"/>
    <w:uiPriority w:val="99"/>
    <w:semiHidden/>
    <w:unhideWhenUsed/>
    <w:rsid w:val="00655B76"/>
  </w:style>
  <w:style w:type="table" w:customStyle="1" w:styleId="250">
    <w:name w:val="Сетка таблицы25"/>
    <w:basedOn w:val="a1"/>
    <w:next w:val="aff0"/>
    <w:uiPriority w:val="59"/>
    <w:rsid w:val="00655B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Изысканная таблица13"/>
    <w:basedOn w:val="a1"/>
    <w:next w:val="afffa"/>
    <w:rsid w:val="00655B7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40">
    <w:name w:val="Нет списка114"/>
    <w:next w:val="a2"/>
    <w:uiPriority w:val="99"/>
    <w:semiHidden/>
    <w:unhideWhenUsed/>
    <w:rsid w:val="00655B76"/>
  </w:style>
  <w:style w:type="table" w:customStyle="1" w:styleId="1131">
    <w:name w:val="Сетка таблицы113"/>
    <w:basedOn w:val="a1"/>
    <w:next w:val="aff0"/>
    <w:uiPriority w:val="59"/>
    <w:rsid w:val="00655B76"/>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30">
    <w:name w:val="Нет списка213"/>
    <w:next w:val="a2"/>
    <w:uiPriority w:val="99"/>
    <w:semiHidden/>
    <w:unhideWhenUsed/>
    <w:rsid w:val="00655B76"/>
  </w:style>
  <w:style w:type="numbering" w:customStyle="1" w:styleId="11130">
    <w:name w:val="Нет списка1113"/>
    <w:next w:val="a2"/>
    <w:uiPriority w:val="99"/>
    <w:semiHidden/>
    <w:unhideWhenUsed/>
    <w:rsid w:val="00655B76"/>
  </w:style>
  <w:style w:type="numbering" w:customStyle="1" w:styleId="330">
    <w:name w:val="Нет списка33"/>
    <w:next w:val="a2"/>
    <w:uiPriority w:val="99"/>
    <w:semiHidden/>
    <w:unhideWhenUsed/>
    <w:rsid w:val="00655B76"/>
  </w:style>
  <w:style w:type="table" w:customStyle="1" w:styleId="232">
    <w:name w:val="Изысканная таблица23"/>
    <w:basedOn w:val="a1"/>
    <w:next w:val="afffa"/>
    <w:rsid w:val="00655B7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3">
    <w:name w:val="Нет списка123"/>
    <w:next w:val="a2"/>
    <w:uiPriority w:val="99"/>
    <w:semiHidden/>
    <w:unhideWhenUsed/>
    <w:rsid w:val="00655B76"/>
  </w:style>
  <w:style w:type="numbering" w:customStyle="1" w:styleId="430">
    <w:name w:val="Нет списка43"/>
    <w:next w:val="a2"/>
    <w:uiPriority w:val="99"/>
    <w:semiHidden/>
    <w:unhideWhenUsed/>
    <w:rsid w:val="00655B76"/>
  </w:style>
  <w:style w:type="table" w:customStyle="1" w:styleId="331">
    <w:name w:val="Изысканная таблица33"/>
    <w:basedOn w:val="a1"/>
    <w:next w:val="afffa"/>
    <w:rsid w:val="00655B7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30">
    <w:name w:val="Нет списка133"/>
    <w:next w:val="a2"/>
    <w:uiPriority w:val="99"/>
    <w:semiHidden/>
    <w:unhideWhenUsed/>
    <w:rsid w:val="00655B76"/>
  </w:style>
  <w:style w:type="numbering" w:customStyle="1" w:styleId="530">
    <w:name w:val="Нет списка53"/>
    <w:next w:val="a2"/>
    <w:uiPriority w:val="99"/>
    <w:semiHidden/>
    <w:unhideWhenUsed/>
    <w:rsid w:val="00655B76"/>
  </w:style>
  <w:style w:type="table" w:customStyle="1" w:styleId="431">
    <w:name w:val="Изысканная таблица43"/>
    <w:basedOn w:val="a1"/>
    <w:next w:val="afffa"/>
    <w:rsid w:val="00655B7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3">
    <w:name w:val="Нет списка143"/>
    <w:next w:val="a2"/>
    <w:uiPriority w:val="99"/>
    <w:semiHidden/>
    <w:unhideWhenUsed/>
    <w:rsid w:val="00655B76"/>
  </w:style>
  <w:style w:type="numbering" w:customStyle="1" w:styleId="630">
    <w:name w:val="Нет списка63"/>
    <w:next w:val="a2"/>
    <w:uiPriority w:val="99"/>
    <w:semiHidden/>
    <w:unhideWhenUsed/>
    <w:rsid w:val="00655B76"/>
  </w:style>
  <w:style w:type="table" w:customStyle="1" w:styleId="531">
    <w:name w:val="Изысканная таблица53"/>
    <w:basedOn w:val="a1"/>
    <w:next w:val="afffa"/>
    <w:rsid w:val="00655B7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3">
    <w:name w:val="Нет списка153"/>
    <w:next w:val="a2"/>
    <w:uiPriority w:val="99"/>
    <w:semiHidden/>
    <w:unhideWhenUsed/>
    <w:rsid w:val="00655B76"/>
  </w:style>
  <w:style w:type="numbering" w:customStyle="1" w:styleId="730">
    <w:name w:val="Нет списка73"/>
    <w:next w:val="a2"/>
    <w:uiPriority w:val="99"/>
    <w:semiHidden/>
    <w:unhideWhenUsed/>
    <w:rsid w:val="00655B76"/>
  </w:style>
  <w:style w:type="table" w:customStyle="1" w:styleId="631">
    <w:name w:val="Изысканная таблица63"/>
    <w:basedOn w:val="a1"/>
    <w:next w:val="afffa"/>
    <w:rsid w:val="00655B7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30">
    <w:name w:val="Нет списка163"/>
    <w:next w:val="a2"/>
    <w:uiPriority w:val="99"/>
    <w:semiHidden/>
    <w:unhideWhenUsed/>
    <w:rsid w:val="00655B76"/>
  </w:style>
  <w:style w:type="table" w:customStyle="1" w:styleId="2131">
    <w:name w:val="Сетка таблицы213"/>
    <w:basedOn w:val="a1"/>
    <w:next w:val="aff0"/>
    <w:uiPriority w:val="59"/>
    <w:rsid w:val="00655B7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Сетка таблицы33"/>
    <w:basedOn w:val="a1"/>
    <w:next w:val="aff0"/>
    <w:uiPriority w:val="59"/>
    <w:rsid w:val="00655B7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Сетка таблицы223"/>
    <w:basedOn w:val="a1"/>
    <w:next w:val="aff0"/>
    <w:uiPriority w:val="59"/>
    <w:rsid w:val="00655B7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
    <w:name w:val="Сетка таблицы43"/>
    <w:basedOn w:val="a1"/>
    <w:next w:val="aff0"/>
    <w:uiPriority w:val="59"/>
    <w:rsid w:val="00655B7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
    <w:name w:val="Сетка таблицы53"/>
    <w:basedOn w:val="a1"/>
    <w:next w:val="aff0"/>
    <w:uiPriority w:val="39"/>
    <w:rsid w:val="00655B76"/>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Сетка таблицы63"/>
    <w:basedOn w:val="a1"/>
    <w:next w:val="aff0"/>
    <w:uiPriority w:val="39"/>
    <w:rsid w:val="00655B7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Сетка таблицы73"/>
    <w:basedOn w:val="a1"/>
    <w:next w:val="aff0"/>
    <w:uiPriority w:val="59"/>
    <w:rsid w:val="00655B76"/>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ветлая заливка - Акцент 13"/>
    <w:basedOn w:val="a1"/>
    <w:next w:val="-1"/>
    <w:uiPriority w:val="60"/>
    <w:rsid w:val="00655B76"/>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30">
    <w:name w:val="Сетка таблицы83"/>
    <w:basedOn w:val="a1"/>
    <w:next w:val="aff0"/>
    <w:uiPriority w:val="39"/>
    <w:rsid w:val="00655B76"/>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0">
    <w:name w:val="Сетка таблицы93"/>
    <w:basedOn w:val="a1"/>
    <w:next w:val="aff0"/>
    <w:uiPriority w:val="39"/>
    <w:rsid w:val="00655B76"/>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
    <w:name w:val="Сетка таблицы122"/>
    <w:basedOn w:val="a1"/>
    <w:next w:val="aff0"/>
    <w:uiPriority w:val="59"/>
    <w:rsid w:val="00655B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1">
    <w:name w:val="Нет списка82"/>
    <w:next w:val="a2"/>
    <w:uiPriority w:val="99"/>
    <w:semiHidden/>
    <w:unhideWhenUsed/>
    <w:rsid w:val="00655B76"/>
  </w:style>
  <w:style w:type="table" w:customStyle="1" w:styleId="1020">
    <w:name w:val="Сетка таблицы102"/>
    <w:basedOn w:val="a1"/>
    <w:next w:val="aff0"/>
    <w:uiPriority w:val="39"/>
    <w:rsid w:val="00655B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
    <w:name w:val="Изысканная таблица72"/>
    <w:basedOn w:val="a1"/>
    <w:next w:val="afffa"/>
    <w:rsid w:val="00655B7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20">
    <w:name w:val="Нет списка172"/>
    <w:next w:val="a2"/>
    <w:uiPriority w:val="99"/>
    <w:semiHidden/>
    <w:unhideWhenUsed/>
    <w:rsid w:val="00655B76"/>
  </w:style>
  <w:style w:type="table" w:customStyle="1" w:styleId="1320">
    <w:name w:val="Сетка таблицы132"/>
    <w:basedOn w:val="a1"/>
    <w:next w:val="aff0"/>
    <w:uiPriority w:val="39"/>
    <w:rsid w:val="00655B76"/>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21">
    <w:name w:val="Нет списка222"/>
    <w:next w:val="a2"/>
    <w:uiPriority w:val="99"/>
    <w:semiHidden/>
    <w:unhideWhenUsed/>
    <w:rsid w:val="00655B76"/>
  </w:style>
  <w:style w:type="table" w:customStyle="1" w:styleId="2320">
    <w:name w:val="Сетка таблицы232"/>
    <w:basedOn w:val="a1"/>
    <w:next w:val="aff0"/>
    <w:uiPriority w:val="59"/>
    <w:rsid w:val="00655B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
    <w:name w:val="Изысканная таблица112"/>
    <w:basedOn w:val="a1"/>
    <w:next w:val="afffa"/>
    <w:rsid w:val="00655B7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20">
    <w:name w:val="Нет списка1122"/>
    <w:next w:val="a2"/>
    <w:uiPriority w:val="99"/>
    <w:semiHidden/>
    <w:unhideWhenUsed/>
    <w:rsid w:val="00655B76"/>
  </w:style>
  <w:style w:type="table" w:customStyle="1" w:styleId="11120">
    <w:name w:val="Сетка таблицы1112"/>
    <w:basedOn w:val="a1"/>
    <w:next w:val="aff0"/>
    <w:uiPriority w:val="59"/>
    <w:rsid w:val="00655B76"/>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20">
    <w:name w:val="Нет списка2112"/>
    <w:next w:val="a2"/>
    <w:uiPriority w:val="99"/>
    <w:semiHidden/>
    <w:unhideWhenUsed/>
    <w:rsid w:val="00655B76"/>
  </w:style>
  <w:style w:type="numbering" w:customStyle="1" w:styleId="11112">
    <w:name w:val="Нет списка11112"/>
    <w:next w:val="a2"/>
    <w:uiPriority w:val="99"/>
    <w:semiHidden/>
    <w:unhideWhenUsed/>
    <w:rsid w:val="00655B76"/>
  </w:style>
  <w:style w:type="numbering" w:customStyle="1" w:styleId="3120">
    <w:name w:val="Нет списка312"/>
    <w:next w:val="a2"/>
    <w:uiPriority w:val="99"/>
    <w:semiHidden/>
    <w:unhideWhenUsed/>
    <w:rsid w:val="00655B76"/>
  </w:style>
  <w:style w:type="table" w:customStyle="1" w:styleId="2122">
    <w:name w:val="Изысканная таблица212"/>
    <w:basedOn w:val="a1"/>
    <w:next w:val="afffa"/>
    <w:rsid w:val="00655B7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2">
    <w:name w:val="Нет списка1212"/>
    <w:next w:val="a2"/>
    <w:uiPriority w:val="99"/>
    <w:semiHidden/>
    <w:unhideWhenUsed/>
    <w:rsid w:val="00655B76"/>
  </w:style>
  <w:style w:type="numbering" w:customStyle="1" w:styleId="4120">
    <w:name w:val="Нет списка412"/>
    <w:next w:val="a2"/>
    <w:uiPriority w:val="99"/>
    <w:semiHidden/>
    <w:unhideWhenUsed/>
    <w:rsid w:val="00655B76"/>
  </w:style>
  <w:style w:type="table" w:customStyle="1" w:styleId="3121">
    <w:name w:val="Изысканная таблица312"/>
    <w:basedOn w:val="a1"/>
    <w:next w:val="afffa"/>
    <w:rsid w:val="00655B7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2">
    <w:name w:val="Нет списка1312"/>
    <w:next w:val="a2"/>
    <w:uiPriority w:val="99"/>
    <w:semiHidden/>
    <w:unhideWhenUsed/>
    <w:rsid w:val="00655B76"/>
  </w:style>
  <w:style w:type="numbering" w:customStyle="1" w:styleId="5120">
    <w:name w:val="Нет списка512"/>
    <w:next w:val="a2"/>
    <w:uiPriority w:val="99"/>
    <w:semiHidden/>
    <w:unhideWhenUsed/>
    <w:rsid w:val="00655B76"/>
  </w:style>
  <w:style w:type="table" w:customStyle="1" w:styleId="4121">
    <w:name w:val="Изысканная таблица412"/>
    <w:basedOn w:val="a1"/>
    <w:next w:val="afffa"/>
    <w:rsid w:val="00655B7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2">
    <w:name w:val="Нет списка1412"/>
    <w:next w:val="a2"/>
    <w:uiPriority w:val="99"/>
    <w:semiHidden/>
    <w:unhideWhenUsed/>
    <w:rsid w:val="00655B76"/>
  </w:style>
  <w:style w:type="numbering" w:customStyle="1" w:styleId="6120">
    <w:name w:val="Нет списка612"/>
    <w:next w:val="a2"/>
    <w:uiPriority w:val="99"/>
    <w:semiHidden/>
    <w:unhideWhenUsed/>
    <w:rsid w:val="00655B76"/>
  </w:style>
  <w:style w:type="table" w:customStyle="1" w:styleId="5121">
    <w:name w:val="Изысканная таблица512"/>
    <w:basedOn w:val="a1"/>
    <w:next w:val="afffa"/>
    <w:rsid w:val="00655B7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2">
    <w:name w:val="Нет списка1512"/>
    <w:next w:val="a2"/>
    <w:uiPriority w:val="99"/>
    <w:semiHidden/>
    <w:unhideWhenUsed/>
    <w:rsid w:val="00655B76"/>
  </w:style>
  <w:style w:type="numbering" w:customStyle="1" w:styleId="7120">
    <w:name w:val="Нет списка712"/>
    <w:next w:val="a2"/>
    <w:uiPriority w:val="99"/>
    <w:semiHidden/>
    <w:unhideWhenUsed/>
    <w:rsid w:val="00655B76"/>
  </w:style>
  <w:style w:type="table" w:customStyle="1" w:styleId="6121">
    <w:name w:val="Изысканная таблица612"/>
    <w:basedOn w:val="a1"/>
    <w:next w:val="afffa"/>
    <w:rsid w:val="00655B7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2">
    <w:name w:val="Нет списка1612"/>
    <w:next w:val="a2"/>
    <w:uiPriority w:val="99"/>
    <w:semiHidden/>
    <w:unhideWhenUsed/>
    <w:rsid w:val="00655B76"/>
  </w:style>
  <w:style w:type="table" w:customStyle="1" w:styleId="21121">
    <w:name w:val="Сетка таблицы2112"/>
    <w:basedOn w:val="a1"/>
    <w:next w:val="aff0"/>
    <w:uiPriority w:val="59"/>
    <w:rsid w:val="00655B7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
    <w:name w:val="Сетка таблицы312"/>
    <w:basedOn w:val="a1"/>
    <w:next w:val="aff0"/>
    <w:uiPriority w:val="59"/>
    <w:rsid w:val="00655B7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
    <w:name w:val="Сетка таблицы2212"/>
    <w:basedOn w:val="a1"/>
    <w:next w:val="aff0"/>
    <w:uiPriority w:val="59"/>
    <w:rsid w:val="00655B7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
    <w:name w:val="Сетка таблицы412"/>
    <w:basedOn w:val="a1"/>
    <w:next w:val="aff0"/>
    <w:uiPriority w:val="59"/>
    <w:rsid w:val="00655B7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2">
    <w:name w:val="Сетка таблицы512"/>
    <w:basedOn w:val="a1"/>
    <w:next w:val="aff0"/>
    <w:uiPriority w:val="39"/>
    <w:rsid w:val="00655B76"/>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2">
    <w:name w:val="Сетка таблицы612"/>
    <w:basedOn w:val="a1"/>
    <w:next w:val="aff0"/>
    <w:uiPriority w:val="39"/>
    <w:rsid w:val="00655B7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1">
    <w:name w:val="Сетка таблицы712"/>
    <w:basedOn w:val="a1"/>
    <w:next w:val="aff0"/>
    <w:uiPriority w:val="59"/>
    <w:rsid w:val="00655B76"/>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Светлая заливка - Акцент 112"/>
    <w:basedOn w:val="a1"/>
    <w:next w:val="-1"/>
    <w:uiPriority w:val="60"/>
    <w:rsid w:val="00655B76"/>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2">
    <w:name w:val="Сетка таблицы812"/>
    <w:basedOn w:val="a1"/>
    <w:next w:val="aff0"/>
    <w:uiPriority w:val="39"/>
    <w:rsid w:val="00655B76"/>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
    <w:name w:val="Сетка таблицы912"/>
    <w:basedOn w:val="a1"/>
    <w:next w:val="aff0"/>
    <w:uiPriority w:val="39"/>
    <w:rsid w:val="00655B76"/>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Нет списка91"/>
    <w:next w:val="a2"/>
    <w:uiPriority w:val="99"/>
    <w:semiHidden/>
    <w:unhideWhenUsed/>
    <w:rsid w:val="00655B76"/>
  </w:style>
  <w:style w:type="table" w:customStyle="1" w:styleId="1410">
    <w:name w:val="Сетка таблицы141"/>
    <w:basedOn w:val="a1"/>
    <w:next w:val="aff0"/>
    <w:uiPriority w:val="59"/>
    <w:rsid w:val="00655B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3">
    <w:name w:val="Изысканная таблица81"/>
    <w:basedOn w:val="a1"/>
    <w:next w:val="afffa"/>
    <w:rsid w:val="00655B7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81">
    <w:name w:val="Нет списка181"/>
    <w:next w:val="a2"/>
    <w:uiPriority w:val="99"/>
    <w:semiHidden/>
    <w:unhideWhenUsed/>
    <w:rsid w:val="00655B76"/>
  </w:style>
  <w:style w:type="table" w:customStyle="1" w:styleId="1510">
    <w:name w:val="Сетка таблицы151"/>
    <w:basedOn w:val="a1"/>
    <w:next w:val="aff0"/>
    <w:uiPriority w:val="39"/>
    <w:rsid w:val="00655B76"/>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311">
    <w:name w:val="Нет списка231"/>
    <w:next w:val="a2"/>
    <w:uiPriority w:val="99"/>
    <w:semiHidden/>
    <w:unhideWhenUsed/>
    <w:rsid w:val="00655B76"/>
  </w:style>
  <w:style w:type="table" w:customStyle="1" w:styleId="2410">
    <w:name w:val="Сетка таблицы241"/>
    <w:basedOn w:val="a1"/>
    <w:next w:val="aff0"/>
    <w:uiPriority w:val="59"/>
    <w:rsid w:val="00655B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
    <w:name w:val="Изысканная таблица121"/>
    <w:basedOn w:val="a1"/>
    <w:next w:val="afffa"/>
    <w:rsid w:val="00655B7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310">
    <w:name w:val="Нет списка1131"/>
    <w:next w:val="a2"/>
    <w:uiPriority w:val="99"/>
    <w:semiHidden/>
    <w:unhideWhenUsed/>
    <w:rsid w:val="00655B76"/>
  </w:style>
  <w:style w:type="table" w:customStyle="1" w:styleId="11211">
    <w:name w:val="Сетка таблицы1121"/>
    <w:basedOn w:val="a1"/>
    <w:next w:val="aff0"/>
    <w:uiPriority w:val="59"/>
    <w:rsid w:val="00655B76"/>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210">
    <w:name w:val="Нет списка2121"/>
    <w:next w:val="a2"/>
    <w:uiPriority w:val="99"/>
    <w:semiHidden/>
    <w:unhideWhenUsed/>
    <w:rsid w:val="00655B76"/>
  </w:style>
  <w:style w:type="numbering" w:customStyle="1" w:styleId="11121">
    <w:name w:val="Нет списка11121"/>
    <w:next w:val="a2"/>
    <w:uiPriority w:val="99"/>
    <w:semiHidden/>
    <w:unhideWhenUsed/>
    <w:rsid w:val="00655B76"/>
  </w:style>
  <w:style w:type="numbering" w:customStyle="1" w:styleId="3210">
    <w:name w:val="Нет списка321"/>
    <w:next w:val="a2"/>
    <w:uiPriority w:val="99"/>
    <w:semiHidden/>
    <w:unhideWhenUsed/>
    <w:rsid w:val="00655B76"/>
  </w:style>
  <w:style w:type="table" w:customStyle="1" w:styleId="2213">
    <w:name w:val="Изысканная таблица221"/>
    <w:basedOn w:val="a1"/>
    <w:next w:val="afffa"/>
    <w:rsid w:val="00655B7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210">
    <w:name w:val="Нет списка1221"/>
    <w:next w:val="a2"/>
    <w:uiPriority w:val="99"/>
    <w:semiHidden/>
    <w:unhideWhenUsed/>
    <w:rsid w:val="00655B76"/>
  </w:style>
  <w:style w:type="numbering" w:customStyle="1" w:styleId="4210">
    <w:name w:val="Нет списка421"/>
    <w:next w:val="a2"/>
    <w:uiPriority w:val="99"/>
    <w:semiHidden/>
    <w:unhideWhenUsed/>
    <w:rsid w:val="00655B76"/>
  </w:style>
  <w:style w:type="table" w:customStyle="1" w:styleId="3211">
    <w:name w:val="Изысканная таблица321"/>
    <w:basedOn w:val="a1"/>
    <w:next w:val="afffa"/>
    <w:rsid w:val="00655B7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21">
    <w:name w:val="Нет списка1321"/>
    <w:next w:val="a2"/>
    <w:uiPriority w:val="99"/>
    <w:semiHidden/>
    <w:unhideWhenUsed/>
    <w:rsid w:val="00655B76"/>
  </w:style>
  <w:style w:type="numbering" w:customStyle="1" w:styleId="5210">
    <w:name w:val="Нет списка521"/>
    <w:next w:val="a2"/>
    <w:uiPriority w:val="99"/>
    <w:semiHidden/>
    <w:unhideWhenUsed/>
    <w:rsid w:val="00655B76"/>
  </w:style>
  <w:style w:type="table" w:customStyle="1" w:styleId="4211">
    <w:name w:val="Изысканная таблица421"/>
    <w:basedOn w:val="a1"/>
    <w:next w:val="afffa"/>
    <w:rsid w:val="00655B7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21">
    <w:name w:val="Нет списка1421"/>
    <w:next w:val="a2"/>
    <w:uiPriority w:val="99"/>
    <w:semiHidden/>
    <w:unhideWhenUsed/>
    <w:rsid w:val="00655B76"/>
  </w:style>
  <w:style w:type="numbering" w:customStyle="1" w:styleId="6210">
    <w:name w:val="Нет списка621"/>
    <w:next w:val="a2"/>
    <w:uiPriority w:val="99"/>
    <w:semiHidden/>
    <w:unhideWhenUsed/>
    <w:rsid w:val="00655B76"/>
  </w:style>
  <w:style w:type="table" w:customStyle="1" w:styleId="5211">
    <w:name w:val="Изысканная таблица521"/>
    <w:basedOn w:val="a1"/>
    <w:next w:val="afffa"/>
    <w:rsid w:val="00655B7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21">
    <w:name w:val="Нет списка1521"/>
    <w:next w:val="a2"/>
    <w:uiPriority w:val="99"/>
    <w:semiHidden/>
    <w:unhideWhenUsed/>
    <w:rsid w:val="00655B76"/>
  </w:style>
  <w:style w:type="numbering" w:customStyle="1" w:styleId="7210">
    <w:name w:val="Нет списка721"/>
    <w:next w:val="a2"/>
    <w:uiPriority w:val="99"/>
    <w:semiHidden/>
    <w:unhideWhenUsed/>
    <w:rsid w:val="00655B76"/>
  </w:style>
  <w:style w:type="table" w:customStyle="1" w:styleId="6211">
    <w:name w:val="Изысканная таблица621"/>
    <w:basedOn w:val="a1"/>
    <w:next w:val="afffa"/>
    <w:rsid w:val="00655B7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21">
    <w:name w:val="Нет списка1621"/>
    <w:next w:val="a2"/>
    <w:uiPriority w:val="99"/>
    <w:semiHidden/>
    <w:unhideWhenUsed/>
    <w:rsid w:val="00655B76"/>
  </w:style>
  <w:style w:type="table" w:customStyle="1" w:styleId="21211">
    <w:name w:val="Сетка таблицы2121"/>
    <w:basedOn w:val="a1"/>
    <w:next w:val="aff0"/>
    <w:uiPriority w:val="59"/>
    <w:rsid w:val="00655B7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
    <w:name w:val="Сетка таблицы321"/>
    <w:basedOn w:val="a1"/>
    <w:next w:val="aff0"/>
    <w:uiPriority w:val="59"/>
    <w:rsid w:val="00655B7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10">
    <w:name w:val="Сетка таблицы2221"/>
    <w:basedOn w:val="a1"/>
    <w:next w:val="aff0"/>
    <w:uiPriority w:val="59"/>
    <w:rsid w:val="00655B7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
    <w:name w:val="Сетка таблицы421"/>
    <w:basedOn w:val="a1"/>
    <w:next w:val="aff0"/>
    <w:uiPriority w:val="59"/>
    <w:rsid w:val="00655B7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Сетка таблицы521"/>
    <w:basedOn w:val="a1"/>
    <w:next w:val="aff0"/>
    <w:uiPriority w:val="39"/>
    <w:rsid w:val="00655B76"/>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Сетка таблицы621"/>
    <w:basedOn w:val="a1"/>
    <w:next w:val="aff0"/>
    <w:uiPriority w:val="39"/>
    <w:rsid w:val="00655B7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Сетка таблицы721"/>
    <w:basedOn w:val="a1"/>
    <w:next w:val="aff0"/>
    <w:uiPriority w:val="59"/>
    <w:rsid w:val="00655B76"/>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Светлая заливка - Акцент 121"/>
    <w:basedOn w:val="a1"/>
    <w:next w:val="-1"/>
    <w:uiPriority w:val="60"/>
    <w:rsid w:val="00655B76"/>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210">
    <w:name w:val="Сетка таблицы821"/>
    <w:basedOn w:val="a1"/>
    <w:next w:val="aff0"/>
    <w:uiPriority w:val="39"/>
    <w:rsid w:val="00655B76"/>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1">
    <w:name w:val="Сетка таблицы921"/>
    <w:basedOn w:val="a1"/>
    <w:next w:val="aff0"/>
    <w:uiPriority w:val="39"/>
    <w:rsid w:val="00655B76"/>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
    <w:name w:val="Сетка таблицы1211"/>
    <w:basedOn w:val="a1"/>
    <w:next w:val="aff0"/>
    <w:uiPriority w:val="59"/>
    <w:rsid w:val="00655B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1">
    <w:name w:val="Нет списка811"/>
    <w:next w:val="a2"/>
    <w:uiPriority w:val="99"/>
    <w:semiHidden/>
    <w:unhideWhenUsed/>
    <w:rsid w:val="00655B76"/>
  </w:style>
  <w:style w:type="table" w:customStyle="1" w:styleId="1011">
    <w:name w:val="Сетка таблицы1011"/>
    <w:basedOn w:val="a1"/>
    <w:next w:val="aff0"/>
    <w:uiPriority w:val="39"/>
    <w:rsid w:val="00655B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
    <w:name w:val="Изысканная таблица711"/>
    <w:basedOn w:val="a1"/>
    <w:next w:val="afffa"/>
    <w:rsid w:val="00655B7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11">
    <w:name w:val="Нет списка1711"/>
    <w:next w:val="a2"/>
    <w:uiPriority w:val="99"/>
    <w:semiHidden/>
    <w:unhideWhenUsed/>
    <w:rsid w:val="00655B76"/>
  </w:style>
  <w:style w:type="table" w:customStyle="1" w:styleId="13111">
    <w:name w:val="Сетка таблицы1311"/>
    <w:basedOn w:val="a1"/>
    <w:next w:val="aff0"/>
    <w:uiPriority w:val="39"/>
    <w:rsid w:val="00655B76"/>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111">
    <w:name w:val="Нет списка2211"/>
    <w:next w:val="a2"/>
    <w:uiPriority w:val="99"/>
    <w:semiHidden/>
    <w:unhideWhenUsed/>
    <w:rsid w:val="00655B76"/>
  </w:style>
  <w:style w:type="table" w:customStyle="1" w:styleId="23110">
    <w:name w:val="Сетка таблицы2311"/>
    <w:basedOn w:val="a1"/>
    <w:next w:val="aff0"/>
    <w:uiPriority w:val="59"/>
    <w:rsid w:val="00655B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
    <w:name w:val="Изысканная таблица1111"/>
    <w:basedOn w:val="a1"/>
    <w:next w:val="afffa"/>
    <w:rsid w:val="00655B7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110">
    <w:name w:val="Нет списка11211"/>
    <w:next w:val="a2"/>
    <w:uiPriority w:val="99"/>
    <w:semiHidden/>
    <w:unhideWhenUsed/>
    <w:rsid w:val="00655B76"/>
  </w:style>
  <w:style w:type="table" w:customStyle="1" w:styleId="111111">
    <w:name w:val="Сетка таблицы11111"/>
    <w:basedOn w:val="a1"/>
    <w:next w:val="aff0"/>
    <w:uiPriority w:val="59"/>
    <w:rsid w:val="00655B76"/>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110">
    <w:name w:val="Нет списка21111"/>
    <w:next w:val="a2"/>
    <w:uiPriority w:val="99"/>
    <w:semiHidden/>
    <w:unhideWhenUsed/>
    <w:rsid w:val="00655B76"/>
  </w:style>
  <w:style w:type="numbering" w:customStyle="1" w:styleId="1111110">
    <w:name w:val="Нет списка111111"/>
    <w:next w:val="a2"/>
    <w:uiPriority w:val="99"/>
    <w:semiHidden/>
    <w:unhideWhenUsed/>
    <w:rsid w:val="00655B76"/>
  </w:style>
  <w:style w:type="numbering" w:customStyle="1" w:styleId="31110">
    <w:name w:val="Нет списка3111"/>
    <w:next w:val="a2"/>
    <w:uiPriority w:val="99"/>
    <w:semiHidden/>
    <w:unhideWhenUsed/>
    <w:rsid w:val="00655B76"/>
  </w:style>
  <w:style w:type="table" w:customStyle="1" w:styleId="21112">
    <w:name w:val="Изысканная таблица2111"/>
    <w:basedOn w:val="a1"/>
    <w:next w:val="afffa"/>
    <w:rsid w:val="00655B7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110">
    <w:name w:val="Нет списка12111"/>
    <w:next w:val="a2"/>
    <w:uiPriority w:val="99"/>
    <w:semiHidden/>
    <w:unhideWhenUsed/>
    <w:rsid w:val="00655B76"/>
  </w:style>
  <w:style w:type="numbering" w:customStyle="1" w:styleId="41110">
    <w:name w:val="Нет списка4111"/>
    <w:next w:val="a2"/>
    <w:uiPriority w:val="99"/>
    <w:semiHidden/>
    <w:unhideWhenUsed/>
    <w:rsid w:val="00655B76"/>
  </w:style>
  <w:style w:type="table" w:customStyle="1" w:styleId="31111">
    <w:name w:val="Изысканная таблица3111"/>
    <w:basedOn w:val="a1"/>
    <w:next w:val="afffa"/>
    <w:rsid w:val="00655B7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110">
    <w:name w:val="Нет списка13111"/>
    <w:next w:val="a2"/>
    <w:uiPriority w:val="99"/>
    <w:semiHidden/>
    <w:unhideWhenUsed/>
    <w:rsid w:val="00655B76"/>
  </w:style>
  <w:style w:type="numbering" w:customStyle="1" w:styleId="51110">
    <w:name w:val="Нет списка5111"/>
    <w:next w:val="a2"/>
    <w:uiPriority w:val="99"/>
    <w:semiHidden/>
    <w:unhideWhenUsed/>
    <w:rsid w:val="00655B76"/>
  </w:style>
  <w:style w:type="table" w:customStyle="1" w:styleId="41111">
    <w:name w:val="Изысканная таблица4111"/>
    <w:basedOn w:val="a1"/>
    <w:next w:val="afffa"/>
    <w:rsid w:val="00655B7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11">
    <w:name w:val="Нет списка14111"/>
    <w:next w:val="a2"/>
    <w:uiPriority w:val="99"/>
    <w:semiHidden/>
    <w:unhideWhenUsed/>
    <w:rsid w:val="00655B76"/>
  </w:style>
  <w:style w:type="numbering" w:customStyle="1" w:styleId="61110">
    <w:name w:val="Нет списка6111"/>
    <w:next w:val="a2"/>
    <w:uiPriority w:val="99"/>
    <w:semiHidden/>
    <w:unhideWhenUsed/>
    <w:rsid w:val="00655B76"/>
  </w:style>
  <w:style w:type="table" w:customStyle="1" w:styleId="51111">
    <w:name w:val="Изысканная таблица5111"/>
    <w:basedOn w:val="a1"/>
    <w:next w:val="afffa"/>
    <w:rsid w:val="00655B7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11">
    <w:name w:val="Нет списка15111"/>
    <w:next w:val="a2"/>
    <w:uiPriority w:val="99"/>
    <w:semiHidden/>
    <w:unhideWhenUsed/>
    <w:rsid w:val="00655B76"/>
  </w:style>
  <w:style w:type="numbering" w:customStyle="1" w:styleId="71110">
    <w:name w:val="Нет списка7111"/>
    <w:next w:val="a2"/>
    <w:uiPriority w:val="99"/>
    <w:semiHidden/>
    <w:unhideWhenUsed/>
    <w:rsid w:val="00655B76"/>
  </w:style>
  <w:style w:type="table" w:customStyle="1" w:styleId="61111">
    <w:name w:val="Изысканная таблица6111"/>
    <w:basedOn w:val="a1"/>
    <w:next w:val="afffa"/>
    <w:rsid w:val="00655B7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11">
    <w:name w:val="Нет списка16111"/>
    <w:next w:val="a2"/>
    <w:uiPriority w:val="99"/>
    <w:semiHidden/>
    <w:unhideWhenUsed/>
    <w:rsid w:val="00655B76"/>
  </w:style>
  <w:style w:type="table" w:customStyle="1" w:styleId="211111">
    <w:name w:val="Сетка таблицы21111"/>
    <w:basedOn w:val="a1"/>
    <w:next w:val="aff0"/>
    <w:uiPriority w:val="59"/>
    <w:rsid w:val="00655B7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
    <w:name w:val="Сетка таблицы3111"/>
    <w:basedOn w:val="a1"/>
    <w:next w:val="aff0"/>
    <w:uiPriority w:val="59"/>
    <w:rsid w:val="00655B7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0">
    <w:name w:val="Сетка таблицы22111"/>
    <w:basedOn w:val="a1"/>
    <w:next w:val="aff0"/>
    <w:uiPriority w:val="59"/>
    <w:rsid w:val="00655B7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
    <w:name w:val="Сетка таблицы4111"/>
    <w:basedOn w:val="a1"/>
    <w:next w:val="aff0"/>
    <w:uiPriority w:val="59"/>
    <w:rsid w:val="00655B7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2">
    <w:name w:val="Сетка таблицы5111"/>
    <w:basedOn w:val="a1"/>
    <w:next w:val="aff0"/>
    <w:uiPriority w:val="39"/>
    <w:rsid w:val="00655B76"/>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2">
    <w:name w:val="Сетка таблицы6111"/>
    <w:basedOn w:val="a1"/>
    <w:next w:val="aff0"/>
    <w:uiPriority w:val="39"/>
    <w:rsid w:val="00655B7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1">
    <w:name w:val="Сетка таблицы7111"/>
    <w:basedOn w:val="a1"/>
    <w:next w:val="aff0"/>
    <w:uiPriority w:val="59"/>
    <w:rsid w:val="00655B76"/>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Светлая заливка - Акцент 1111"/>
    <w:basedOn w:val="a1"/>
    <w:next w:val="-1"/>
    <w:uiPriority w:val="60"/>
    <w:rsid w:val="00655B76"/>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110">
    <w:name w:val="Сетка таблицы8111"/>
    <w:basedOn w:val="a1"/>
    <w:next w:val="aff0"/>
    <w:uiPriority w:val="39"/>
    <w:rsid w:val="00655B76"/>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1">
    <w:name w:val="Сетка таблицы9111"/>
    <w:basedOn w:val="a1"/>
    <w:next w:val="aff0"/>
    <w:uiPriority w:val="39"/>
    <w:rsid w:val="00655B76"/>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0">
    <w:name w:val="Нет списка20"/>
    <w:next w:val="a2"/>
    <w:uiPriority w:val="99"/>
    <w:semiHidden/>
    <w:unhideWhenUsed/>
    <w:rsid w:val="009B7EBC"/>
  </w:style>
  <w:style w:type="table" w:customStyle="1" w:styleId="182">
    <w:name w:val="Сетка таблицы18"/>
    <w:basedOn w:val="a1"/>
    <w:next w:val="aff0"/>
    <w:uiPriority w:val="59"/>
    <w:rsid w:val="009B7E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
    <w:name w:val="Изысканная таблица10"/>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00">
    <w:name w:val="Нет списка110"/>
    <w:next w:val="a2"/>
    <w:uiPriority w:val="99"/>
    <w:semiHidden/>
    <w:unhideWhenUsed/>
    <w:rsid w:val="009B7EBC"/>
  </w:style>
  <w:style w:type="table" w:customStyle="1" w:styleId="191">
    <w:name w:val="Сетка таблицы19"/>
    <w:basedOn w:val="a1"/>
    <w:next w:val="aff0"/>
    <w:uiPriority w:val="39"/>
    <w:rsid w:val="009B7EBC"/>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51">
    <w:name w:val="Нет списка25"/>
    <w:next w:val="a2"/>
    <w:uiPriority w:val="99"/>
    <w:semiHidden/>
    <w:unhideWhenUsed/>
    <w:rsid w:val="009B7EBC"/>
  </w:style>
  <w:style w:type="table" w:customStyle="1" w:styleId="260">
    <w:name w:val="Сетка таблицы26"/>
    <w:basedOn w:val="a1"/>
    <w:next w:val="aff0"/>
    <w:uiPriority w:val="59"/>
    <w:rsid w:val="009B7E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Изысканная таблица14"/>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5">
    <w:name w:val="Нет списка115"/>
    <w:next w:val="a2"/>
    <w:uiPriority w:val="99"/>
    <w:semiHidden/>
    <w:unhideWhenUsed/>
    <w:rsid w:val="009B7EBC"/>
  </w:style>
  <w:style w:type="table" w:customStyle="1" w:styleId="1141">
    <w:name w:val="Сетка таблицы114"/>
    <w:basedOn w:val="a1"/>
    <w:next w:val="aff0"/>
    <w:uiPriority w:val="59"/>
    <w:rsid w:val="009B7EBC"/>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4">
    <w:name w:val="Нет списка214"/>
    <w:next w:val="a2"/>
    <w:uiPriority w:val="99"/>
    <w:semiHidden/>
    <w:unhideWhenUsed/>
    <w:rsid w:val="009B7EBC"/>
  </w:style>
  <w:style w:type="numbering" w:customStyle="1" w:styleId="1114">
    <w:name w:val="Нет списка1114"/>
    <w:next w:val="a2"/>
    <w:uiPriority w:val="99"/>
    <w:semiHidden/>
    <w:unhideWhenUsed/>
    <w:rsid w:val="009B7EBC"/>
  </w:style>
  <w:style w:type="numbering" w:customStyle="1" w:styleId="340">
    <w:name w:val="Нет списка34"/>
    <w:next w:val="a2"/>
    <w:uiPriority w:val="99"/>
    <w:semiHidden/>
    <w:unhideWhenUsed/>
    <w:rsid w:val="009B7EBC"/>
  </w:style>
  <w:style w:type="table" w:customStyle="1" w:styleId="242">
    <w:name w:val="Изысканная таблица24"/>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4">
    <w:name w:val="Нет списка124"/>
    <w:next w:val="a2"/>
    <w:uiPriority w:val="99"/>
    <w:semiHidden/>
    <w:unhideWhenUsed/>
    <w:rsid w:val="009B7EBC"/>
  </w:style>
  <w:style w:type="numbering" w:customStyle="1" w:styleId="440">
    <w:name w:val="Нет списка44"/>
    <w:next w:val="a2"/>
    <w:uiPriority w:val="99"/>
    <w:semiHidden/>
    <w:unhideWhenUsed/>
    <w:rsid w:val="009B7EBC"/>
  </w:style>
  <w:style w:type="table" w:customStyle="1" w:styleId="341">
    <w:name w:val="Изысканная таблица34"/>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4">
    <w:name w:val="Нет списка134"/>
    <w:next w:val="a2"/>
    <w:uiPriority w:val="99"/>
    <w:semiHidden/>
    <w:unhideWhenUsed/>
    <w:rsid w:val="009B7EBC"/>
  </w:style>
  <w:style w:type="numbering" w:customStyle="1" w:styleId="540">
    <w:name w:val="Нет списка54"/>
    <w:next w:val="a2"/>
    <w:uiPriority w:val="99"/>
    <w:semiHidden/>
    <w:unhideWhenUsed/>
    <w:rsid w:val="009B7EBC"/>
  </w:style>
  <w:style w:type="table" w:customStyle="1" w:styleId="441">
    <w:name w:val="Изысканная таблица44"/>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40">
    <w:name w:val="Нет списка144"/>
    <w:next w:val="a2"/>
    <w:uiPriority w:val="99"/>
    <w:semiHidden/>
    <w:unhideWhenUsed/>
    <w:rsid w:val="009B7EBC"/>
  </w:style>
  <w:style w:type="numbering" w:customStyle="1" w:styleId="640">
    <w:name w:val="Нет списка64"/>
    <w:next w:val="a2"/>
    <w:uiPriority w:val="99"/>
    <w:semiHidden/>
    <w:unhideWhenUsed/>
    <w:rsid w:val="009B7EBC"/>
  </w:style>
  <w:style w:type="table" w:customStyle="1" w:styleId="541">
    <w:name w:val="Изысканная таблица54"/>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4">
    <w:name w:val="Нет списка154"/>
    <w:next w:val="a2"/>
    <w:uiPriority w:val="99"/>
    <w:semiHidden/>
    <w:unhideWhenUsed/>
    <w:rsid w:val="009B7EBC"/>
  </w:style>
  <w:style w:type="numbering" w:customStyle="1" w:styleId="740">
    <w:name w:val="Нет списка74"/>
    <w:next w:val="a2"/>
    <w:uiPriority w:val="99"/>
    <w:semiHidden/>
    <w:unhideWhenUsed/>
    <w:rsid w:val="009B7EBC"/>
  </w:style>
  <w:style w:type="table" w:customStyle="1" w:styleId="641">
    <w:name w:val="Изысканная таблица64"/>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4">
    <w:name w:val="Нет списка164"/>
    <w:next w:val="a2"/>
    <w:uiPriority w:val="99"/>
    <w:semiHidden/>
    <w:unhideWhenUsed/>
    <w:rsid w:val="009B7EBC"/>
  </w:style>
  <w:style w:type="table" w:customStyle="1" w:styleId="2140">
    <w:name w:val="Сетка таблицы214"/>
    <w:basedOn w:val="a1"/>
    <w:next w:val="aff0"/>
    <w:uiPriority w:val="5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
    <w:name w:val="Сетка таблицы34"/>
    <w:basedOn w:val="a1"/>
    <w:next w:val="aff0"/>
    <w:uiPriority w:val="5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
    <w:name w:val="Сетка таблицы224"/>
    <w:basedOn w:val="a1"/>
    <w:next w:val="aff0"/>
    <w:uiPriority w:val="5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2">
    <w:name w:val="Сетка таблицы44"/>
    <w:basedOn w:val="a1"/>
    <w:next w:val="aff0"/>
    <w:uiPriority w:val="5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2">
    <w:name w:val="Сетка таблицы54"/>
    <w:basedOn w:val="a1"/>
    <w:next w:val="aff0"/>
    <w:uiPriority w:val="39"/>
    <w:rsid w:val="009B7EB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2">
    <w:name w:val="Сетка таблицы64"/>
    <w:basedOn w:val="a1"/>
    <w:next w:val="aff0"/>
    <w:uiPriority w:val="3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1">
    <w:name w:val="Сетка таблицы74"/>
    <w:basedOn w:val="a1"/>
    <w:next w:val="aff0"/>
    <w:uiPriority w:val="59"/>
    <w:rsid w:val="009B7EB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ветлая заливка - Акцент 14"/>
    <w:basedOn w:val="a1"/>
    <w:next w:val="-1"/>
    <w:uiPriority w:val="60"/>
    <w:rsid w:val="009B7EBC"/>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40">
    <w:name w:val="Сетка таблицы84"/>
    <w:basedOn w:val="a1"/>
    <w:next w:val="aff0"/>
    <w:uiPriority w:val="39"/>
    <w:rsid w:val="009B7EB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0">
    <w:name w:val="Сетка таблицы94"/>
    <w:basedOn w:val="a1"/>
    <w:next w:val="aff0"/>
    <w:uiPriority w:val="39"/>
    <w:rsid w:val="009B7EB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0">
    <w:name w:val="Сетка таблицы123"/>
    <w:basedOn w:val="a1"/>
    <w:next w:val="aff0"/>
    <w:uiPriority w:val="59"/>
    <w:rsid w:val="009B7E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1">
    <w:name w:val="Нет списка83"/>
    <w:next w:val="a2"/>
    <w:uiPriority w:val="99"/>
    <w:semiHidden/>
    <w:unhideWhenUsed/>
    <w:rsid w:val="009B7EBC"/>
  </w:style>
  <w:style w:type="table" w:customStyle="1" w:styleId="1030">
    <w:name w:val="Сетка таблицы103"/>
    <w:basedOn w:val="a1"/>
    <w:next w:val="aff0"/>
    <w:uiPriority w:val="39"/>
    <w:rsid w:val="009B7E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
    <w:name w:val="Изысканная таблица73"/>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3">
    <w:name w:val="Нет списка173"/>
    <w:next w:val="a2"/>
    <w:uiPriority w:val="99"/>
    <w:semiHidden/>
    <w:unhideWhenUsed/>
    <w:rsid w:val="009B7EBC"/>
  </w:style>
  <w:style w:type="table" w:customStyle="1" w:styleId="1331">
    <w:name w:val="Сетка таблицы133"/>
    <w:basedOn w:val="a1"/>
    <w:next w:val="aff0"/>
    <w:uiPriority w:val="39"/>
    <w:rsid w:val="009B7EBC"/>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30">
    <w:name w:val="Нет списка223"/>
    <w:next w:val="a2"/>
    <w:uiPriority w:val="99"/>
    <w:semiHidden/>
    <w:unhideWhenUsed/>
    <w:rsid w:val="009B7EBC"/>
  </w:style>
  <w:style w:type="table" w:customStyle="1" w:styleId="233">
    <w:name w:val="Сетка таблицы233"/>
    <w:basedOn w:val="a1"/>
    <w:next w:val="aff0"/>
    <w:uiPriority w:val="59"/>
    <w:rsid w:val="009B7E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
    <w:name w:val="Изысканная таблица113"/>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3">
    <w:name w:val="Нет списка1123"/>
    <w:next w:val="a2"/>
    <w:uiPriority w:val="99"/>
    <w:semiHidden/>
    <w:unhideWhenUsed/>
    <w:rsid w:val="009B7EBC"/>
  </w:style>
  <w:style w:type="table" w:customStyle="1" w:styleId="11131">
    <w:name w:val="Сетка таблицы1113"/>
    <w:basedOn w:val="a1"/>
    <w:next w:val="aff0"/>
    <w:uiPriority w:val="59"/>
    <w:rsid w:val="009B7EBC"/>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3">
    <w:name w:val="Нет списка2113"/>
    <w:next w:val="a2"/>
    <w:uiPriority w:val="99"/>
    <w:semiHidden/>
    <w:unhideWhenUsed/>
    <w:rsid w:val="009B7EBC"/>
  </w:style>
  <w:style w:type="numbering" w:customStyle="1" w:styleId="111130">
    <w:name w:val="Нет списка11113"/>
    <w:next w:val="a2"/>
    <w:uiPriority w:val="99"/>
    <w:semiHidden/>
    <w:unhideWhenUsed/>
    <w:rsid w:val="009B7EBC"/>
  </w:style>
  <w:style w:type="numbering" w:customStyle="1" w:styleId="313">
    <w:name w:val="Нет списка313"/>
    <w:next w:val="a2"/>
    <w:uiPriority w:val="99"/>
    <w:semiHidden/>
    <w:unhideWhenUsed/>
    <w:rsid w:val="009B7EBC"/>
  </w:style>
  <w:style w:type="table" w:customStyle="1" w:styleId="2132">
    <w:name w:val="Изысканная таблица213"/>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30">
    <w:name w:val="Нет списка1213"/>
    <w:next w:val="a2"/>
    <w:uiPriority w:val="99"/>
    <w:semiHidden/>
    <w:unhideWhenUsed/>
    <w:rsid w:val="009B7EBC"/>
  </w:style>
  <w:style w:type="numbering" w:customStyle="1" w:styleId="413">
    <w:name w:val="Нет списка413"/>
    <w:next w:val="a2"/>
    <w:uiPriority w:val="99"/>
    <w:semiHidden/>
    <w:unhideWhenUsed/>
    <w:rsid w:val="009B7EBC"/>
  </w:style>
  <w:style w:type="table" w:customStyle="1" w:styleId="3130">
    <w:name w:val="Изысканная таблица313"/>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3">
    <w:name w:val="Нет списка1313"/>
    <w:next w:val="a2"/>
    <w:uiPriority w:val="99"/>
    <w:semiHidden/>
    <w:unhideWhenUsed/>
    <w:rsid w:val="009B7EBC"/>
  </w:style>
  <w:style w:type="numbering" w:customStyle="1" w:styleId="513">
    <w:name w:val="Нет списка513"/>
    <w:next w:val="a2"/>
    <w:uiPriority w:val="99"/>
    <w:semiHidden/>
    <w:unhideWhenUsed/>
    <w:rsid w:val="009B7EBC"/>
  </w:style>
  <w:style w:type="table" w:customStyle="1" w:styleId="4130">
    <w:name w:val="Изысканная таблица413"/>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3">
    <w:name w:val="Нет списка1413"/>
    <w:next w:val="a2"/>
    <w:uiPriority w:val="99"/>
    <w:semiHidden/>
    <w:unhideWhenUsed/>
    <w:rsid w:val="009B7EBC"/>
  </w:style>
  <w:style w:type="numbering" w:customStyle="1" w:styleId="613">
    <w:name w:val="Нет списка613"/>
    <w:next w:val="a2"/>
    <w:uiPriority w:val="99"/>
    <w:semiHidden/>
    <w:unhideWhenUsed/>
    <w:rsid w:val="009B7EBC"/>
  </w:style>
  <w:style w:type="table" w:customStyle="1" w:styleId="5130">
    <w:name w:val="Изысканная таблица513"/>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3">
    <w:name w:val="Нет списка1513"/>
    <w:next w:val="a2"/>
    <w:uiPriority w:val="99"/>
    <w:semiHidden/>
    <w:unhideWhenUsed/>
    <w:rsid w:val="009B7EBC"/>
  </w:style>
  <w:style w:type="numbering" w:customStyle="1" w:styleId="713">
    <w:name w:val="Нет списка713"/>
    <w:next w:val="a2"/>
    <w:uiPriority w:val="99"/>
    <w:semiHidden/>
    <w:unhideWhenUsed/>
    <w:rsid w:val="009B7EBC"/>
  </w:style>
  <w:style w:type="table" w:customStyle="1" w:styleId="6130">
    <w:name w:val="Изысканная таблица613"/>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3">
    <w:name w:val="Нет списка1613"/>
    <w:next w:val="a2"/>
    <w:uiPriority w:val="99"/>
    <w:semiHidden/>
    <w:unhideWhenUsed/>
    <w:rsid w:val="009B7EBC"/>
  </w:style>
  <w:style w:type="table" w:customStyle="1" w:styleId="21130">
    <w:name w:val="Сетка таблицы2113"/>
    <w:basedOn w:val="a1"/>
    <w:next w:val="aff0"/>
    <w:uiPriority w:val="5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Сетка таблицы313"/>
    <w:basedOn w:val="a1"/>
    <w:next w:val="aff0"/>
    <w:uiPriority w:val="5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0">
    <w:name w:val="Сетка таблицы2213"/>
    <w:basedOn w:val="a1"/>
    <w:next w:val="aff0"/>
    <w:uiPriority w:val="5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
    <w:name w:val="Сетка таблицы413"/>
    <w:basedOn w:val="a1"/>
    <w:next w:val="aff0"/>
    <w:uiPriority w:val="5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1">
    <w:name w:val="Сетка таблицы513"/>
    <w:basedOn w:val="a1"/>
    <w:next w:val="aff0"/>
    <w:uiPriority w:val="39"/>
    <w:rsid w:val="009B7EB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1">
    <w:name w:val="Сетка таблицы613"/>
    <w:basedOn w:val="a1"/>
    <w:next w:val="aff0"/>
    <w:uiPriority w:val="3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Сетка таблицы713"/>
    <w:basedOn w:val="a1"/>
    <w:next w:val="aff0"/>
    <w:uiPriority w:val="59"/>
    <w:rsid w:val="009B7EB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Светлая заливка - Акцент 113"/>
    <w:basedOn w:val="a1"/>
    <w:next w:val="-1"/>
    <w:uiPriority w:val="60"/>
    <w:rsid w:val="009B7EBC"/>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30">
    <w:name w:val="Сетка таблицы813"/>
    <w:basedOn w:val="a1"/>
    <w:next w:val="aff0"/>
    <w:uiPriority w:val="39"/>
    <w:rsid w:val="009B7EB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30">
    <w:name w:val="Сетка таблицы913"/>
    <w:basedOn w:val="a1"/>
    <w:next w:val="aff0"/>
    <w:uiPriority w:val="39"/>
    <w:rsid w:val="009B7EB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Нет списка92"/>
    <w:next w:val="a2"/>
    <w:uiPriority w:val="99"/>
    <w:semiHidden/>
    <w:unhideWhenUsed/>
    <w:rsid w:val="009B7EBC"/>
  </w:style>
  <w:style w:type="table" w:customStyle="1" w:styleId="1422">
    <w:name w:val="Сетка таблицы142"/>
    <w:basedOn w:val="a1"/>
    <w:next w:val="aff0"/>
    <w:uiPriority w:val="59"/>
    <w:rsid w:val="009B7E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2">
    <w:name w:val="Изысканная таблица82"/>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820">
    <w:name w:val="Нет списка182"/>
    <w:next w:val="a2"/>
    <w:uiPriority w:val="99"/>
    <w:semiHidden/>
    <w:unhideWhenUsed/>
    <w:rsid w:val="009B7EBC"/>
  </w:style>
  <w:style w:type="table" w:customStyle="1" w:styleId="1522">
    <w:name w:val="Сетка таблицы152"/>
    <w:basedOn w:val="a1"/>
    <w:next w:val="aff0"/>
    <w:uiPriority w:val="39"/>
    <w:rsid w:val="009B7EBC"/>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321">
    <w:name w:val="Нет списка232"/>
    <w:next w:val="a2"/>
    <w:uiPriority w:val="99"/>
    <w:semiHidden/>
    <w:unhideWhenUsed/>
    <w:rsid w:val="009B7EBC"/>
  </w:style>
  <w:style w:type="table" w:customStyle="1" w:styleId="2420">
    <w:name w:val="Сетка таблицы242"/>
    <w:basedOn w:val="a1"/>
    <w:next w:val="aff0"/>
    <w:uiPriority w:val="59"/>
    <w:rsid w:val="009B7E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
    <w:name w:val="Изысканная таблица122"/>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320">
    <w:name w:val="Нет списка1132"/>
    <w:next w:val="a2"/>
    <w:uiPriority w:val="99"/>
    <w:semiHidden/>
    <w:unhideWhenUsed/>
    <w:rsid w:val="009B7EBC"/>
  </w:style>
  <w:style w:type="table" w:customStyle="1" w:styleId="11221">
    <w:name w:val="Сетка таблицы1122"/>
    <w:basedOn w:val="a1"/>
    <w:next w:val="aff0"/>
    <w:uiPriority w:val="59"/>
    <w:rsid w:val="009B7EBC"/>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220">
    <w:name w:val="Нет списка2122"/>
    <w:next w:val="a2"/>
    <w:uiPriority w:val="99"/>
    <w:semiHidden/>
    <w:unhideWhenUsed/>
    <w:rsid w:val="009B7EBC"/>
  </w:style>
  <w:style w:type="numbering" w:customStyle="1" w:styleId="11122">
    <w:name w:val="Нет списка11122"/>
    <w:next w:val="a2"/>
    <w:uiPriority w:val="99"/>
    <w:semiHidden/>
    <w:unhideWhenUsed/>
    <w:rsid w:val="009B7EBC"/>
  </w:style>
  <w:style w:type="numbering" w:customStyle="1" w:styleId="3220">
    <w:name w:val="Нет списка322"/>
    <w:next w:val="a2"/>
    <w:uiPriority w:val="99"/>
    <w:semiHidden/>
    <w:unhideWhenUsed/>
    <w:rsid w:val="009B7EBC"/>
  </w:style>
  <w:style w:type="table" w:customStyle="1" w:styleId="2222">
    <w:name w:val="Изысканная таблица222"/>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220">
    <w:name w:val="Нет списка1222"/>
    <w:next w:val="a2"/>
    <w:uiPriority w:val="99"/>
    <w:semiHidden/>
    <w:unhideWhenUsed/>
    <w:rsid w:val="009B7EBC"/>
  </w:style>
  <w:style w:type="numbering" w:customStyle="1" w:styleId="4220">
    <w:name w:val="Нет списка422"/>
    <w:next w:val="a2"/>
    <w:uiPriority w:val="99"/>
    <w:semiHidden/>
    <w:unhideWhenUsed/>
    <w:rsid w:val="009B7EBC"/>
  </w:style>
  <w:style w:type="table" w:customStyle="1" w:styleId="3221">
    <w:name w:val="Изысканная таблица322"/>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22">
    <w:name w:val="Нет списка1322"/>
    <w:next w:val="a2"/>
    <w:uiPriority w:val="99"/>
    <w:semiHidden/>
    <w:unhideWhenUsed/>
    <w:rsid w:val="009B7EBC"/>
  </w:style>
  <w:style w:type="numbering" w:customStyle="1" w:styleId="5220">
    <w:name w:val="Нет списка522"/>
    <w:next w:val="a2"/>
    <w:uiPriority w:val="99"/>
    <w:semiHidden/>
    <w:unhideWhenUsed/>
    <w:rsid w:val="009B7EBC"/>
  </w:style>
  <w:style w:type="table" w:customStyle="1" w:styleId="4221">
    <w:name w:val="Изысканная таблица422"/>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220">
    <w:name w:val="Нет списка1422"/>
    <w:next w:val="a2"/>
    <w:uiPriority w:val="99"/>
    <w:semiHidden/>
    <w:unhideWhenUsed/>
    <w:rsid w:val="009B7EBC"/>
  </w:style>
  <w:style w:type="numbering" w:customStyle="1" w:styleId="6220">
    <w:name w:val="Нет списка622"/>
    <w:next w:val="a2"/>
    <w:uiPriority w:val="99"/>
    <w:semiHidden/>
    <w:unhideWhenUsed/>
    <w:rsid w:val="009B7EBC"/>
  </w:style>
  <w:style w:type="table" w:customStyle="1" w:styleId="5221">
    <w:name w:val="Изысканная таблица522"/>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220">
    <w:name w:val="Нет списка1522"/>
    <w:next w:val="a2"/>
    <w:uiPriority w:val="99"/>
    <w:semiHidden/>
    <w:unhideWhenUsed/>
    <w:rsid w:val="009B7EBC"/>
  </w:style>
  <w:style w:type="numbering" w:customStyle="1" w:styleId="7220">
    <w:name w:val="Нет списка722"/>
    <w:next w:val="a2"/>
    <w:uiPriority w:val="99"/>
    <w:semiHidden/>
    <w:unhideWhenUsed/>
    <w:rsid w:val="009B7EBC"/>
  </w:style>
  <w:style w:type="table" w:customStyle="1" w:styleId="6221">
    <w:name w:val="Изысканная таблица622"/>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22">
    <w:name w:val="Нет списка1622"/>
    <w:next w:val="a2"/>
    <w:uiPriority w:val="99"/>
    <w:semiHidden/>
    <w:unhideWhenUsed/>
    <w:rsid w:val="009B7EBC"/>
  </w:style>
  <w:style w:type="table" w:customStyle="1" w:styleId="21221">
    <w:name w:val="Сетка таблицы2122"/>
    <w:basedOn w:val="a1"/>
    <w:next w:val="aff0"/>
    <w:uiPriority w:val="5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
    <w:name w:val="Сетка таблицы322"/>
    <w:basedOn w:val="a1"/>
    <w:next w:val="aff0"/>
    <w:uiPriority w:val="5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0">
    <w:name w:val="Сетка таблицы2222"/>
    <w:basedOn w:val="a1"/>
    <w:next w:val="aff0"/>
    <w:uiPriority w:val="5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2">
    <w:name w:val="Сетка таблицы422"/>
    <w:basedOn w:val="a1"/>
    <w:next w:val="aff0"/>
    <w:uiPriority w:val="5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2">
    <w:name w:val="Сетка таблицы522"/>
    <w:basedOn w:val="a1"/>
    <w:next w:val="aff0"/>
    <w:uiPriority w:val="39"/>
    <w:rsid w:val="009B7EB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2">
    <w:name w:val="Сетка таблицы622"/>
    <w:basedOn w:val="a1"/>
    <w:next w:val="aff0"/>
    <w:uiPriority w:val="3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1">
    <w:name w:val="Сетка таблицы722"/>
    <w:basedOn w:val="a1"/>
    <w:next w:val="aff0"/>
    <w:uiPriority w:val="59"/>
    <w:rsid w:val="009B7EB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Светлая заливка - Акцент 122"/>
    <w:basedOn w:val="a1"/>
    <w:next w:val="-1"/>
    <w:uiPriority w:val="60"/>
    <w:rsid w:val="009B7EBC"/>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220">
    <w:name w:val="Сетка таблицы822"/>
    <w:basedOn w:val="a1"/>
    <w:next w:val="aff0"/>
    <w:uiPriority w:val="39"/>
    <w:rsid w:val="009B7EB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20">
    <w:name w:val="Сетка таблицы922"/>
    <w:basedOn w:val="a1"/>
    <w:next w:val="aff0"/>
    <w:uiPriority w:val="39"/>
    <w:rsid w:val="009B7EB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0">
    <w:name w:val="Сетка таблицы1212"/>
    <w:basedOn w:val="a1"/>
    <w:next w:val="aff0"/>
    <w:uiPriority w:val="59"/>
    <w:rsid w:val="009B7E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0">
    <w:name w:val="Нет списка812"/>
    <w:next w:val="a2"/>
    <w:uiPriority w:val="99"/>
    <w:semiHidden/>
    <w:unhideWhenUsed/>
    <w:rsid w:val="009B7EBC"/>
  </w:style>
  <w:style w:type="table" w:customStyle="1" w:styleId="1012">
    <w:name w:val="Сетка таблицы1012"/>
    <w:basedOn w:val="a1"/>
    <w:next w:val="aff0"/>
    <w:uiPriority w:val="39"/>
    <w:rsid w:val="009B7E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2">
    <w:name w:val="Изысканная таблица712"/>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12">
    <w:name w:val="Нет списка1712"/>
    <w:next w:val="a2"/>
    <w:uiPriority w:val="99"/>
    <w:semiHidden/>
    <w:unhideWhenUsed/>
    <w:rsid w:val="009B7EBC"/>
  </w:style>
  <w:style w:type="table" w:customStyle="1" w:styleId="13120">
    <w:name w:val="Сетка таблицы1312"/>
    <w:basedOn w:val="a1"/>
    <w:next w:val="aff0"/>
    <w:uiPriority w:val="39"/>
    <w:rsid w:val="009B7EBC"/>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120">
    <w:name w:val="Нет списка2212"/>
    <w:next w:val="a2"/>
    <w:uiPriority w:val="99"/>
    <w:semiHidden/>
    <w:unhideWhenUsed/>
    <w:rsid w:val="009B7EBC"/>
  </w:style>
  <w:style w:type="table" w:customStyle="1" w:styleId="2312">
    <w:name w:val="Сетка таблицы2312"/>
    <w:basedOn w:val="a1"/>
    <w:next w:val="aff0"/>
    <w:uiPriority w:val="59"/>
    <w:rsid w:val="009B7E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3">
    <w:name w:val="Изысканная таблица1112"/>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12">
    <w:name w:val="Нет списка11212"/>
    <w:next w:val="a2"/>
    <w:uiPriority w:val="99"/>
    <w:semiHidden/>
    <w:unhideWhenUsed/>
    <w:rsid w:val="009B7EBC"/>
  </w:style>
  <w:style w:type="table" w:customStyle="1" w:styleId="111120">
    <w:name w:val="Сетка таблицы11112"/>
    <w:basedOn w:val="a1"/>
    <w:next w:val="aff0"/>
    <w:uiPriority w:val="59"/>
    <w:rsid w:val="009B7EBC"/>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120">
    <w:name w:val="Нет списка21112"/>
    <w:next w:val="a2"/>
    <w:uiPriority w:val="99"/>
    <w:semiHidden/>
    <w:unhideWhenUsed/>
    <w:rsid w:val="009B7EBC"/>
  </w:style>
  <w:style w:type="numbering" w:customStyle="1" w:styleId="111112">
    <w:name w:val="Нет списка111112"/>
    <w:next w:val="a2"/>
    <w:uiPriority w:val="99"/>
    <w:semiHidden/>
    <w:unhideWhenUsed/>
    <w:rsid w:val="009B7EBC"/>
  </w:style>
  <w:style w:type="numbering" w:customStyle="1" w:styleId="31120">
    <w:name w:val="Нет списка3112"/>
    <w:next w:val="a2"/>
    <w:uiPriority w:val="99"/>
    <w:semiHidden/>
    <w:unhideWhenUsed/>
    <w:rsid w:val="009B7EBC"/>
  </w:style>
  <w:style w:type="table" w:customStyle="1" w:styleId="21122">
    <w:name w:val="Изысканная таблица2112"/>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12">
    <w:name w:val="Нет списка12112"/>
    <w:next w:val="a2"/>
    <w:uiPriority w:val="99"/>
    <w:semiHidden/>
    <w:unhideWhenUsed/>
    <w:rsid w:val="009B7EBC"/>
  </w:style>
  <w:style w:type="numbering" w:customStyle="1" w:styleId="41120">
    <w:name w:val="Нет списка4112"/>
    <w:next w:val="a2"/>
    <w:uiPriority w:val="99"/>
    <w:semiHidden/>
    <w:unhideWhenUsed/>
    <w:rsid w:val="009B7EBC"/>
  </w:style>
  <w:style w:type="table" w:customStyle="1" w:styleId="31121">
    <w:name w:val="Изысканная таблица3112"/>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12">
    <w:name w:val="Нет списка13112"/>
    <w:next w:val="a2"/>
    <w:uiPriority w:val="99"/>
    <w:semiHidden/>
    <w:unhideWhenUsed/>
    <w:rsid w:val="009B7EBC"/>
  </w:style>
  <w:style w:type="numbering" w:customStyle="1" w:styleId="51120">
    <w:name w:val="Нет списка5112"/>
    <w:next w:val="a2"/>
    <w:uiPriority w:val="99"/>
    <w:semiHidden/>
    <w:unhideWhenUsed/>
    <w:rsid w:val="009B7EBC"/>
  </w:style>
  <w:style w:type="table" w:customStyle="1" w:styleId="41121">
    <w:name w:val="Изысканная таблица4112"/>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12">
    <w:name w:val="Нет списка14112"/>
    <w:next w:val="a2"/>
    <w:uiPriority w:val="99"/>
    <w:semiHidden/>
    <w:unhideWhenUsed/>
    <w:rsid w:val="009B7EBC"/>
  </w:style>
  <w:style w:type="numbering" w:customStyle="1" w:styleId="61120">
    <w:name w:val="Нет списка6112"/>
    <w:next w:val="a2"/>
    <w:uiPriority w:val="99"/>
    <w:semiHidden/>
    <w:unhideWhenUsed/>
    <w:rsid w:val="009B7EBC"/>
  </w:style>
  <w:style w:type="table" w:customStyle="1" w:styleId="51121">
    <w:name w:val="Изысканная таблица5112"/>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12">
    <w:name w:val="Нет списка15112"/>
    <w:next w:val="a2"/>
    <w:uiPriority w:val="99"/>
    <w:semiHidden/>
    <w:unhideWhenUsed/>
    <w:rsid w:val="009B7EBC"/>
  </w:style>
  <w:style w:type="numbering" w:customStyle="1" w:styleId="71120">
    <w:name w:val="Нет списка7112"/>
    <w:next w:val="a2"/>
    <w:uiPriority w:val="99"/>
    <w:semiHidden/>
    <w:unhideWhenUsed/>
    <w:rsid w:val="009B7EBC"/>
  </w:style>
  <w:style w:type="table" w:customStyle="1" w:styleId="61121">
    <w:name w:val="Изысканная таблица6112"/>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12">
    <w:name w:val="Нет списка16112"/>
    <w:next w:val="a2"/>
    <w:uiPriority w:val="99"/>
    <w:semiHidden/>
    <w:unhideWhenUsed/>
    <w:rsid w:val="009B7EBC"/>
  </w:style>
  <w:style w:type="table" w:customStyle="1" w:styleId="211121">
    <w:name w:val="Сетка таблицы21112"/>
    <w:basedOn w:val="a1"/>
    <w:next w:val="aff0"/>
    <w:uiPriority w:val="5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2">
    <w:name w:val="Сетка таблицы3112"/>
    <w:basedOn w:val="a1"/>
    <w:next w:val="aff0"/>
    <w:uiPriority w:val="5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2">
    <w:name w:val="Сетка таблицы22112"/>
    <w:basedOn w:val="a1"/>
    <w:next w:val="aff0"/>
    <w:uiPriority w:val="5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2">
    <w:name w:val="Сетка таблицы4112"/>
    <w:basedOn w:val="a1"/>
    <w:next w:val="aff0"/>
    <w:uiPriority w:val="5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2">
    <w:name w:val="Сетка таблицы5112"/>
    <w:basedOn w:val="a1"/>
    <w:next w:val="aff0"/>
    <w:uiPriority w:val="39"/>
    <w:rsid w:val="009B7EB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2">
    <w:name w:val="Сетка таблицы6112"/>
    <w:basedOn w:val="a1"/>
    <w:next w:val="aff0"/>
    <w:uiPriority w:val="3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1">
    <w:name w:val="Сетка таблицы7112"/>
    <w:basedOn w:val="a1"/>
    <w:next w:val="aff0"/>
    <w:uiPriority w:val="59"/>
    <w:rsid w:val="009B7EB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Светлая заливка - Акцент 1112"/>
    <w:basedOn w:val="a1"/>
    <w:next w:val="-1"/>
    <w:uiPriority w:val="60"/>
    <w:rsid w:val="009B7EBC"/>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12">
    <w:name w:val="Сетка таблицы8112"/>
    <w:basedOn w:val="a1"/>
    <w:next w:val="aff0"/>
    <w:uiPriority w:val="39"/>
    <w:rsid w:val="009B7EB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2">
    <w:name w:val="Сетка таблицы9112"/>
    <w:basedOn w:val="a1"/>
    <w:next w:val="aff0"/>
    <w:uiPriority w:val="39"/>
    <w:rsid w:val="009B7EB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0">
    <w:name w:val="Нет списка101"/>
    <w:next w:val="a2"/>
    <w:uiPriority w:val="99"/>
    <w:semiHidden/>
    <w:unhideWhenUsed/>
    <w:rsid w:val="009B7EBC"/>
  </w:style>
  <w:style w:type="table" w:customStyle="1" w:styleId="1610">
    <w:name w:val="Сетка таблицы161"/>
    <w:basedOn w:val="a1"/>
    <w:next w:val="aff0"/>
    <w:uiPriority w:val="59"/>
    <w:rsid w:val="009B7E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4">
    <w:name w:val="Изысканная таблица91"/>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910">
    <w:name w:val="Нет списка191"/>
    <w:next w:val="a2"/>
    <w:uiPriority w:val="99"/>
    <w:semiHidden/>
    <w:unhideWhenUsed/>
    <w:rsid w:val="009B7EBC"/>
  </w:style>
  <w:style w:type="table" w:customStyle="1" w:styleId="1710">
    <w:name w:val="Сетка таблицы171"/>
    <w:basedOn w:val="a1"/>
    <w:next w:val="aff0"/>
    <w:uiPriority w:val="39"/>
    <w:rsid w:val="009B7EBC"/>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411">
    <w:name w:val="Нет списка241"/>
    <w:next w:val="a2"/>
    <w:uiPriority w:val="99"/>
    <w:semiHidden/>
    <w:unhideWhenUsed/>
    <w:rsid w:val="009B7EBC"/>
  </w:style>
  <w:style w:type="table" w:customStyle="1" w:styleId="2510">
    <w:name w:val="Сетка таблицы251"/>
    <w:basedOn w:val="a1"/>
    <w:next w:val="aff0"/>
    <w:uiPriority w:val="59"/>
    <w:rsid w:val="009B7E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4">
    <w:name w:val="Изысканная таблица131"/>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410">
    <w:name w:val="Нет списка1141"/>
    <w:next w:val="a2"/>
    <w:uiPriority w:val="99"/>
    <w:semiHidden/>
    <w:unhideWhenUsed/>
    <w:rsid w:val="009B7EBC"/>
  </w:style>
  <w:style w:type="table" w:customStyle="1" w:styleId="11311">
    <w:name w:val="Сетка таблицы1131"/>
    <w:basedOn w:val="a1"/>
    <w:next w:val="aff0"/>
    <w:uiPriority w:val="59"/>
    <w:rsid w:val="009B7EBC"/>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310">
    <w:name w:val="Нет списка2131"/>
    <w:next w:val="a2"/>
    <w:uiPriority w:val="99"/>
    <w:semiHidden/>
    <w:unhideWhenUsed/>
    <w:rsid w:val="009B7EBC"/>
  </w:style>
  <w:style w:type="numbering" w:customStyle="1" w:styleId="111310">
    <w:name w:val="Нет списка11131"/>
    <w:next w:val="a2"/>
    <w:uiPriority w:val="99"/>
    <w:semiHidden/>
    <w:unhideWhenUsed/>
    <w:rsid w:val="009B7EBC"/>
  </w:style>
  <w:style w:type="numbering" w:customStyle="1" w:styleId="3310">
    <w:name w:val="Нет списка331"/>
    <w:next w:val="a2"/>
    <w:uiPriority w:val="99"/>
    <w:semiHidden/>
    <w:unhideWhenUsed/>
    <w:rsid w:val="009B7EBC"/>
  </w:style>
  <w:style w:type="table" w:customStyle="1" w:styleId="2313">
    <w:name w:val="Изысканная таблица231"/>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31">
    <w:name w:val="Нет списка1231"/>
    <w:next w:val="a2"/>
    <w:uiPriority w:val="99"/>
    <w:semiHidden/>
    <w:unhideWhenUsed/>
    <w:rsid w:val="009B7EBC"/>
  </w:style>
  <w:style w:type="numbering" w:customStyle="1" w:styleId="4310">
    <w:name w:val="Нет списка431"/>
    <w:next w:val="a2"/>
    <w:uiPriority w:val="99"/>
    <w:semiHidden/>
    <w:unhideWhenUsed/>
    <w:rsid w:val="009B7EBC"/>
  </w:style>
  <w:style w:type="table" w:customStyle="1" w:styleId="3311">
    <w:name w:val="Изысканная таблица331"/>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310">
    <w:name w:val="Нет списка1331"/>
    <w:next w:val="a2"/>
    <w:uiPriority w:val="99"/>
    <w:semiHidden/>
    <w:unhideWhenUsed/>
    <w:rsid w:val="009B7EBC"/>
  </w:style>
  <w:style w:type="numbering" w:customStyle="1" w:styleId="5310">
    <w:name w:val="Нет списка531"/>
    <w:next w:val="a2"/>
    <w:uiPriority w:val="99"/>
    <w:semiHidden/>
    <w:unhideWhenUsed/>
    <w:rsid w:val="009B7EBC"/>
  </w:style>
  <w:style w:type="table" w:customStyle="1" w:styleId="4311">
    <w:name w:val="Изысканная таблица431"/>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31">
    <w:name w:val="Нет списка1431"/>
    <w:next w:val="a2"/>
    <w:uiPriority w:val="99"/>
    <w:semiHidden/>
    <w:unhideWhenUsed/>
    <w:rsid w:val="009B7EBC"/>
  </w:style>
  <w:style w:type="numbering" w:customStyle="1" w:styleId="6310">
    <w:name w:val="Нет списка631"/>
    <w:next w:val="a2"/>
    <w:uiPriority w:val="99"/>
    <w:semiHidden/>
    <w:unhideWhenUsed/>
    <w:rsid w:val="009B7EBC"/>
  </w:style>
  <w:style w:type="table" w:customStyle="1" w:styleId="5311">
    <w:name w:val="Изысканная таблица531"/>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31">
    <w:name w:val="Нет списка1531"/>
    <w:next w:val="a2"/>
    <w:uiPriority w:val="99"/>
    <w:semiHidden/>
    <w:unhideWhenUsed/>
    <w:rsid w:val="009B7EBC"/>
  </w:style>
  <w:style w:type="numbering" w:customStyle="1" w:styleId="7310">
    <w:name w:val="Нет списка731"/>
    <w:next w:val="a2"/>
    <w:uiPriority w:val="99"/>
    <w:semiHidden/>
    <w:unhideWhenUsed/>
    <w:rsid w:val="009B7EBC"/>
  </w:style>
  <w:style w:type="table" w:customStyle="1" w:styleId="6311">
    <w:name w:val="Изысканная таблица631"/>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31">
    <w:name w:val="Нет списка1631"/>
    <w:next w:val="a2"/>
    <w:uiPriority w:val="99"/>
    <w:semiHidden/>
    <w:unhideWhenUsed/>
    <w:rsid w:val="009B7EBC"/>
  </w:style>
  <w:style w:type="table" w:customStyle="1" w:styleId="21311">
    <w:name w:val="Сетка таблицы2131"/>
    <w:basedOn w:val="a1"/>
    <w:next w:val="aff0"/>
    <w:uiPriority w:val="5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Сетка таблицы331"/>
    <w:basedOn w:val="a1"/>
    <w:next w:val="aff0"/>
    <w:uiPriority w:val="5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1">
    <w:name w:val="Сетка таблицы2231"/>
    <w:basedOn w:val="a1"/>
    <w:next w:val="aff0"/>
    <w:uiPriority w:val="5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2">
    <w:name w:val="Сетка таблицы431"/>
    <w:basedOn w:val="a1"/>
    <w:next w:val="aff0"/>
    <w:uiPriority w:val="5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2">
    <w:name w:val="Сетка таблицы531"/>
    <w:basedOn w:val="a1"/>
    <w:next w:val="aff0"/>
    <w:uiPriority w:val="39"/>
    <w:rsid w:val="009B7EB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2">
    <w:name w:val="Сетка таблицы631"/>
    <w:basedOn w:val="a1"/>
    <w:next w:val="aff0"/>
    <w:uiPriority w:val="3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1">
    <w:name w:val="Сетка таблицы731"/>
    <w:basedOn w:val="a1"/>
    <w:next w:val="aff0"/>
    <w:uiPriority w:val="59"/>
    <w:rsid w:val="009B7EB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Светлая заливка - Акцент 131"/>
    <w:basedOn w:val="a1"/>
    <w:next w:val="-1"/>
    <w:uiPriority w:val="60"/>
    <w:rsid w:val="009B7EBC"/>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310">
    <w:name w:val="Сетка таблицы831"/>
    <w:basedOn w:val="a1"/>
    <w:next w:val="aff0"/>
    <w:uiPriority w:val="39"/>
    <w:rsid w:val="009B7EB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1">
    <w:name w:val="Сетка таблицы931"/>
    <w:basedOn w:val="a1"/>
    <w:next w:val="aff0"/>
    <w:uiPriority w:val="39"/>
    <w:rsid w:val="009B7EB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1">
    <w:name w:val="Сетка таблицы1221"/>
    <w:basedOn w:val="a1"/>
    <w:next w:val="aff0"/>
    <w:uiPriority w:val="59"/>
    <w:rsid w:val="009B7E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11">
    <w:name w:val="Нет списка821"/>
    <w:next w:val="a2"/>
    <w:uiPriority w:val="99"/>
    <w:semiHidden/>
    <w:unhideWhenUsed/>
    <w:rsid w:val="009B7EBC"/>
  </w:style>
  <w:style w:type="table" w:customStyle="1" w:styleId="1021">
    <w:name w:val="Сетка таблицы1021"/>
    <w:basedOn w:val="a1"/>
    <w:next w:val="aff0"/>
    <w:uiPriority w:val="39"/>
    <w:rsid w:val="009B7E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Изысканная таблица721"/>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21">
    <w:name w:val="Нет списка1721"/>
    <w:next w:val="a2"/>
    <w:uiPriority w:val="99"/>
    <w:semiHidden/>
    <w:unhideWhenUsed/>
    <w:rsid w:val="009B7EBC"/>
  </w:style>
  <w:style w:type="table" w:customStyle="1" w:styleId="13210">
    <w:name w:val="Сетка таблицы1321"/>
    <w:basedOn w:val="a1"/>
    <w:next w:val="aff0"/>
    <w:uiPriority w:val="39"/>
    <w:rsid w:val="009B7EBC"/>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211">
    <w:name w:val="Нет списка2221"/>
    <w:next w:val="a2"/>
    <w:uiPriority w:val="99"/>
    <w:semiHidden/>
    <w:unhideWhenUsed/>
    <w:rsid w:val="009B7EBC"/>
  </w:style>
  <w:style w:type="table" w:customStyle="1" w:styleId="23210">
    <w:name w:val="Сетка таблицы2321"/>
    <w:basedOn w:val="a1"/>
    <w:next w:val="aff0"/>
    <w:uiPriority w:val="59"/>
    <w:rsid w:val="009B7E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3">
    <w:name w:val="Изысканная таблица1121"/>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210">
    <w:name w:val="Нет списка11221"/>
    <w:next w:val="a2"/>
    <w:uiPriority w:val="99"/>
    <w:semiHidden/>
    <w:unhideWhenUsed/>
    <w:rsid w:val="009B7EBC"/>
  </w:style>
  <w:style w:type="table" w:customStyle="1" w:styleId="111210">
    <w:name w:val="Сетка таблицы11121"/>
    <w:basedOn w:val="a1"/>
    <w:next w:val="aff0"/>
    <w:uiPriority w:val="59"/>
    <w:rsid w:val="009B7EBC"/>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210">
    <w:name w:val="Нет списка21121"/>
    <w:next w:val="a2"/>
    <w:uiPriority w:val="99"/>
    <w:semiHidden/>
    <w:unhideWhenUsed/>
    <w:rsid w:val="009B7EBC"/>
  </w:style>
  <w:style w:type="numbering" w:customStyle="1" w:styleId="111121">
    <w:name w:val="Нет списка111121"/>
    <w:next w:val="a2"/>
    <w:uiPriority w:val="99"/>
    <w:semiHidden/>
    <w:unhideWhenUsed/>
    <w:rsid w:val="009B7EBC"/>
  </w:style>
  <w:style w:type="numbering" w:customStyle="1" w:styleId="31210">
    <w:name w:val="Нет списка3121"/>
    <w:next w:val="a2"/>
    <w:uiPriority w:val="99"/>
    <w:semiHidden/>
    <w:unhideWhenUsed/>
    <w:rsid w:val="009B7EBC"/>
  </w:style>
  <w:style w:type="table" w:customStyle="1" w:styleId="21212">
    <w:name w:val="Изысканная таблица2121"/>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21">
    <w:name w:val="Нет списка12121"/>
    <w:next w:val="a2"/>
    <w:uiPriority w:val="99"/>
    <w:semiHidden/>
    <w:unhideWhenUsed/>
    <w:rsid w:val="009B7EBC"/>
  </w:style>
  <w:style w:type="numbering" w:customStyle="1" w:styleId="41210">
    <w:name w:val="Нет списка4121"/>
    <w:next w:val="a2"/>
    <w:uiPriority w:val="99"/>
    <w:semiHidden/>
    <w:unhideWhenUsed/>
    <w:rsid w:val="009B7EBC"/>
  </w:style>
  <w:style w:type="table" w:customStyle="1" w:styleId="31211">
    <w:name w:val="Изысканная таблица3121"/>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21">
    <w:name w:val="Нет списка13121"/>
    <w:next w:val="a2"/>
    <w:uiPriority w:val="99"/>
    <w:semiHidden/>
    <w:unhideWhenUsed/>
    <w:rsid w:val="009B7EBC"/>
  </w:style>
  <w:style w:type="numbering" w:customStyle="1" w:styleId="51210">
    <w:name w:val="Нет списка5121"/>
    <w:next w:val="a2"/>
    <w:uiPriority w:val="99"/>
    <w:semiHidden/>
    <w:unhideWhenUsed/>
    <w:rsid w:val="009B7EBC"/>
  </w:style>
  <w:style w:type="table" w:customStyle="1" w:styleId="41211">
    <w:name w:val="Изысканная таблица4121"/>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21">
    <w:name w:val="Нет списка14121"/>
    <w:next w:val="a2"/>
    <w:uiPriority w:val="99"/>
    <w:semiHidden/>
    <w:unhideWhenUsed/>
    <w:rsid w:val="009B7EBC"/>
  </w:style>
  <w:style w:type="numbering" w:customStyle="1" w:styleId="61210">
    <w:name w:val="Нет списка6121"/>
    <w:next w:val="a2"/>
    <w:uiPriority w:val="99"/>
    <w:semiHidden/>
    <w:unhideWhenUsed/>
    <w:rsid w:val="009B7EBC"/>
  </w:style>
  <w:style w:type="table" w:customStyle="1" w:styleId="51211">
    <w:name w:val="Изысканная таблица5121"/>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21">
    <w:name w:val="Нет списка15121"/>
    <w:next w:val="a2"/>
    <w:uiPriority w:val="99"/>
    <w:semiHidden/>
    <w:unhideWhenUsed/>
    <w:rsid w:val="009B7EBC"/>
  </w:style>
  <w:style w:type="numbering" w:customStyle="1" w:styleId="71210">
    <w:name w:val="Нет списка7121"/>
    <w:next w:val="a2"/>
    <w:uiPriority w:val="99"/>
    <w:semiHidden/>
    <w:unhideWhenUsed/>
    <w:rsid w:val="009B7EBC"/>
  </w:style>
  <w:style w:type="table" w:customStyle="1" w:styleId="61211">
    <w:name w:val="Изысканная таблица6121"/>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21">
    <w:name w:val="Нет списка16121"/>
    <w:next w:val="a2"/>
    <w:uiPriority w:val="99"/>
    <w:semiHidden/>
    <w:unhideWhenUsed/>
    <w:rsid w:val="009B7EBC"/>
  </w:style>
  <w:style w:type="table" w:customStyle="1" w:styleId="211211">
    <w:name w:val="Сетка таблицы21121"/>
    <w:basedOn w:val="a1"/>
    <w:next w:val="aff0"/>
    <w:uiPriority w:val="5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Сетка таблицы3121"/>
    <w:basedOn w:val="a1"/>
    <w:next w:val="aff0"/>
    <w:uiPriority w:val="5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1">
    <w:name w:val="Сетка таблицы22121"/>
    <w:basedOn w:val="a1"/>
    <w:next w:val="aff0"/>
    <w:uiPriority w:val="5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2">
    <w:name w:val="Сетка таблицы4121"/>
    <w:basedOn w:val="a1"/>
    <w:next w:val="aff0"/>
    <w:uiPriority w:val="5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12">
    <w:name w:val="Сетка таблицы5121"/>
    <w:basedOn w:val="a1"/>
    <w:next w:val="aff0"/>
    <w:uiPriority w:val="39"/>
    <w:rsid w:val="009B7EB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12">
    <w:name w:val="Сетка таблицы6121"/>
    <w:basedOn w:val="a1"/>
    <w:next w:val="aff0"/>
    <w:uiPriority w:val="3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11">
    <w:name w:val="Сетка таблицы7121"/>
    <w:basedOn w:val="a1"/>
    <w:next w:val="aff0"/>
    <w:uiPriority w:val="59"/>
    <w:rsid w:val="009B7EB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
    <w:name w:val="Светлая заливка - Акцент 1121"/>
    <w:basedOn w:val="a1"/>
    <w:next w:val="-1"/>
    <w:uiPriority w:val="60"/>
    <w:rsid w:val="009B7EBC"/>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21">
    <w:name w:val="Сетка таблицы8121"/>
    <w:basedOn w:val="a1"/>
    <w:next w:val="aff0"/>
    <w:uiPriority w:val="39"/>
    <w:rsid w:val="009B7EB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1">
    <w:name w:val="Сетка таблицы9121"/>
    <w:basedOn w:val="a1"/>
    <w:next w:val="aff0"/>
    <w:uiPriority w:val="39"/>
    <w:rsid w:val="009B7EB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0">
    <w:name w:val="Нет списка911"/>
    <w:next w:val="a2"/>
    <w:uiPriority w:val="99"/>
    <w:semiHidden/>
    <w:unhideWhenUsed/>
    <w:rsid w:val="009B7EBC"/>
  </w:style>
  <w:style w:type="table" w:customStyle="1" w:styleId="14110">
    <w:name w:val="Сетка таблицы1411"/>
    <w:basedOn w:val="a1"/>
    <w:next w:val="aff0"/>
    <w:uiPriority w:val="59"/>
    <w:rsid w:val="009B7E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13">
    <w:name w:val="Изысканная таблица811"/>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811">
    <w:name w:val="Нет списка1811"/>
    <w:next w:val="a2"/>
    <w:uiPriority w:val="99"/>
    <w:semiHidden/>
    <w:unhideWhenUsed/>
    <w:rsid w:val="009B7EBC"/>
  </w:style>
  <w:style w:type="table" w:customStyle="1" w:styleId="15110">
    <w:name w:val="Сетка таблицы1511"/>
    <w:basedOn w:val="a1"/>
    <w:next w:val="aff0"/>
    <w:uiPriority w:val="39"/>
    <w:rsid w:val="009B7EBC"/>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3111">
    <w:name w:val="Нет списка2311"/>
    <w:next w:val="a2"/>
    <w:uiPriority w:val="99"/>
    <w:semiHidden/>
    <w:unhideWhenUsed/>
    <w:rsid w:val="009B7EBC"/>
  </w:style>
  <w:style w:type="table" w:customStyle="1" w:styleId="24110">
    <w:name w:val="Сетка таблицы2411"/>
    <w:basedOn w:val="a1"/>
    <w:next w:val="aff0"/>
    <w:uiPriority w:val="59"/>
    <w:rsid w:val="009B7E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3">
    <w:name w:val="Изысканная таблица1211"/>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3110">
    <w:name w:val="Нет списка11311"/>
    <w:next w:val="a2"/>
    <w:uiPriority w:val="99"/>
    <w:semiHidden/>
    <w:unhideWhenUsed/>
    <w:rsid w:val="009B7EBC"/>
  </w:style>
  <w:style w:type="table" w:customStyle="1" w:styleId="112111">
    <w:name w:val="Сетка таблицы11211"/>
    <w:basedOn w:val="a1"/>
    <w:next w:val="aff0"/>
    <w:uiPriority w:val="59"/>
    <w:rsid w:val="009B7EBC"/>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2110">
    <w:name w:val="Нет списка21211"/>
    <w:next w:val="a2"/>
    <w:uiPriority w:val="99"/>
    <w:semiHidden/>
    <w:unhideWhenUsed/>
    <w:rsid w:val="009B7EBC"/>
  </w:style>
  <w:style w:type="numbering" w:customStyle="1" w:styleId="111211">
    <w:name w:val="Нет списка111211"/>
    <w:next w:val="a2"/>
    <w:uiPriority w:val="99"/>
    <w:semiHidden/>
    <w:unhideWhenUsed/>
    <w:rsid w:val="009B7EBC"/>
  </w:style>
  <w:style w:type="numbering" w:customStyle="1" w:styleId="32110">
    <w:name w:val="Нет списка3211"/>
    <w:next w:val="a2"/>
    <w:uiPriority w:val="99"/>
    <w:semiHidden/>
    <w:unhideWhenUsed/>
    <w:rsid w:val="009B7EBC"/>
  </w:style>
  <w:style w:type="table" w:customStyle="1" w:styleId="22113">
    <w:name w:val="Изысканная таблица2211"/>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2110">
    <w:name w:val="Нет списка12211"/>
    <w:next w:val="a2"/>
    <w:uiPriority w:val="99"/>
    <w:semiHidden/>
    <w:unhideWhenUsed/>
    <w:rsid w:val="009B7EBC"/>
  </w:style>
  <w:style w:type="numbering" w:customStyle="1" w:styleId="42110">
    <w:name w:val="Нет списка4211"/>
    <w:next w:val="a2"/>
    <w:uiPriority w:val="99"/>
    <w:semiHidden/>
    <w:unhideWhenUsed/>
    <w:rsid w:val="009B7EBC"/>
  </w:style>
  <w:style w:type="table" w:customStyle="1" w:styleId="32111">
    <w:name w:val="Изысканная таблица3211"/>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211">
    <w:name w:val="Нет списка13211"/>
    <w:next w:val="a2"/>
    <w:uiPriority w:val="99"/>
    <w:semiHidden/>
    <w:unhideWhenUsed/>
    <w:rsid w:val="009B7EBC"/>
  </w:style>
  <w:style w:type="numbering" w:customStyle="1" w:styleId="52110">
    <w:name w:val="Нет списка5211"/>
    <w:next w:val="a2"/>
    <w:uiPriority w:val="99"/>
    <w:semiHidden/>
    <w:unhideWhenUsed/>
    <w:rsid w:val="009B7EBC"/>
  </w:style>
  <w:style w:type="table" w:customStyle="1" w:styleId="42111">
    <w:name w:val="Изысканная таблица4211"/>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211">
    <w:name w:val="Нет списка14211"/>
    <w:next w:val="a2"/>
    <w:uiPriority w:val="99"/>
    <w:semiHidden/>
    <w:unhideWhenUsed/>
    <w:rsid w:val="009B7EBC"/>
  </w:style>
  <w:style w:type="numbering" w:customStyle="1" w:styleId="62110">
    <w:name w:val="Нет списка6211"/>
    <w:next w:val="a2"/>
    <w:uiPriority w:val="99"/>
    <w:semiHidden/>
    <w:unhideWhenUsed/>
    <w:rsid w:val="009B7EBC"/>
  </w:style>
  <w:style w:type="table" w:customStyle="1" w:styleId="52111">
    <w:name w:val="Изысканная таблица5211"/>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211">
    <w:name w:val="Нет списка15211"/>
    <w:next w:val="a2"/>
    <w:uiPriority w:val="99"/>
    <w:semiHidden/>
    <w:unhideWhenUsed/>
    <w:rsid w:val="009B7EBC"/>
  </w:style>
  <w:style w:type="numbering" w:customStyle="1" w:styleId="72110">
    <w:name w:val="Нет списка7211"/>
    <w:next w:val="a2"/>
    <w:uiPriority w:val="99"/>
    <w:semiHidden/>
    <w:unhideWhenUsed/>
    <w:rsid w:val="009B7EBC"/>
  </w:style>
  <w:style w:type="table" w:customStyle="1" w:styleId="62111">
    <w:name w:val="Изысканная таблица6211"/>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211">
    <w:name w:val="Нет списка16211"/>
    <w:next w:val="a2"/>
    <w:uiPriority w:val="99"/>
    <w:semiHidden/>
    <w:unhideWhenUsed/>
    <w:rsid w:val="009B7EBC"/>
  </w:style>
  <w:style w:type="table" w:customStyle="1" w:styleId="212111">
    <w:name w:val="Сетка таблицы21211"/>
    <w:basedOn w:val="a1"/>
    <w:next w:val="aff0"/>
    <w:uiPriority w:val="5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Сетка таблицы3211"/>
    <w:basedOn w:val="a1"/>
    <w:next w:val="aff0"/>
    <w:uiPriority w:val="5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110">
    <w:name w:val="Сетка таблицы22211"/>
    <w:basedOn w:val="a1"/>
    <w:next w:val="aff0"/>
    <w:uiPriority w:val="5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2">
    <w:name w:val="Сетка таблицы4211"/>
    <w:basedOn w:val="a1"/>
    <w:next w:val="aff0"/>
    <w:uiPriority w:val="5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2">
    <w:name w:val="Сетка таблицы5211"/>
    <w:basedOn w:val="a1"/>
    <w:next w:val="aff0"/>
    <w:uiPriority w:val="39"/>
    <w:rsid w:val="009B7EB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2">
    <w:name w:val="Сетка таблицы6211"/>
    <w:basedOn w:val="a1"/>
    <w:next w:val="aff0"/>
    <w:uiPriority w:val="3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1">
    <w:name w:val="Сетка таблицы7211"/>
    <w:basedOn w:val="a1"/>
    <w:next w:val="aff0"/>
    <w:uiPriority w:val="59"/>
    <w:rsid w:val="009B7EB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
    <w:name w:val="Светлая заливка - Акцент 1211"/>
    <w:basedOn w:val="a1"/>
    <w:next w:val="-1"/>
    <w:uiPriority w:val="60"/>
    <w:rsid w:val="009B7EBC"/>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2110">
    <w:name w:val="Сетка таблицы8211"/>
    <w:basedOn w:val="a1"/>
    <w:next w:val="aff0"/>
    <w:uiPriority w:val="39"/>
    <w:rsid w:val="009B7EB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11">
    <w:name w:val="Сетка таблицы9211"/>
    <w:basedOn w:val="a1"/>
    <w:next w:val="aff0"/>
    <w:uiPriority w:val="39"/>
    <w:rsid w:val="009B7EB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1">
    <w:name w:val="Сетка таблицы12111"/>
    <w:basedOn w:val="a1"/>
    <w:next w:val="aff0"/>
    <w:uiPriority w:val="59"/>
    <w:rsid w:val="009B7E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11">
    <w:name w:val="Нет списка8111"/>
    <w:next w:val="a2"/>
    <w:uiPriority w:val="99"/>
    <w:semiHidden/>
    <w:unhideWhenUsed/>
    <w:rsid w:val="009B7EBC"/>
  </w:style>
  <w:style w:type="table" w:customStyle="1" w:styleId="10111">
    <w:name w:val="Сетка таблицы10111"/>
    <w:basedOn w:val="a1"/>
    <w:next w:val="aff0"/>
    <w:uiPriority w:val="39"/>
    <w:rsid w:val="009B7E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2">
    <w:name w:val="Изысканная таблица7111"/>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111">
    <w:name w:val="Нет списка17111"/>
    <w:next w:val="a2"/>
    <w:uiPriority w:val="99"/>
    <w:semiHidden/>
    <w:unhideWhenUsed/>
    <w:rsid w:val="009B7EBC"/>
  </w:style>
  <w:style w:type="table" w:customStyle="1" w:styleId="131111">
    <w:name w:val="Сетка таблицы13111"/>
    <w:basedOn w:val="a1"/>
    <w:next w:val="aff0"/>
    <w:uiPriority w:val="39"/>
    <w:rsid w:val="009B7EBC"/>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1111">
    <w:name w:val="Нет списка22111"/>
    <w:next w:val="a2"/>
    <w:uiPriority w:val="99"/>
    <w:semiHidden/>
    <w:unhideWhenUsed/>
    <w:rsid w:val="009B7EBC"/>
  </w:style>
  <w:style w:type="table" w:customStyle="1" w:styleId="231110">
    <w:name w:val="Сетка таблицы23111"/>
    <w:basedOn w:val="a1"/>
    <w:next w:val="aff0"/>
    <w:uiPriority w:val="59"/>
    <w:rsid w:val="009B7E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3">
    <w:name w:val="Изысканная таблица11111"/>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1110">
    <w:name w:val="Нет списка112111"/>
    <w:next w:val="a2"/>
    <w:uiPriority w:val="99"/>
    <w:semiHidden/>
    <w:unhideWhenUsed/>
    <w:rsid w:val="009B7EBC"/>
  </w:style>
  <w:style w:type="table" w:customStyle="1" w:styleId="1111111">
    <w:name w:val="Сетка таблицы111111"/>
    <w:basedOn w:val="a1"/>
    <w:next w:val="aff0"/>
    <w:uiPriority w:val="59"/>
    <w:rsid w:val="009B7EBC"/>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1110">
    <w:name w:val="Нет списка211111"/>
    <w:next w:val="a2"/>
    <w:uiPriority w:val="99"/>
    <w:semiHidden/>
    <w:unhideWhenUsed/>
    <w:rsid w:val="009B7EBC"/>
  </w:style>
  <w:style w:type="numbering" w:customStyle="1" w:styleId="11111110">
    <w:name w:val="Нет списка1111111"/>
    <w:next w:val="a2"/>
    <w:uiPriority w:val="99"/>
    <w:semiHidden/>
    <w:unhideWhenUsed/>
    <w:rsid w:val="009B7EBC"/>
  </w:style>
  <w:style w:type="numbering" w:customStyle="1" w:styleId="311110">
    <w:name w:val="Нет списка31111"/>
    <w:next w:val="a2"/>
    <w:uiPriority w:val="99"/>
    <w:semiHidden/>
    <w:unhideWhenUsed/>
    <w:rsid w:val="009B7EBC"/>
  </w:style>
  <w:style w:type="table" w:customStyle="1" w:styleId="211112">
    <w:name w:val="Изысканная таблица21111"/>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1110">
    <w:name w:val="Нет списка121111"/>
    <w:next w:val="a2"/>
    <w:uiPriority w:val="99"/>
    <w:semiHidden/>
    <w:unhideWhenUsed/>
    <w:rsid w:val="009B7EBC"/>
  </w:style>
  <w:style w:type="numbering" w:customStyle="1" w:styleId="411110">
    <w:name w:val="Нет списка41111"/>
    <w:next w:val="a2"/>
    <w:uiPriority w:val="99"/>
    <w:semiHidden/>
    <w:unhideWhenUsed/>
    <w:rsid w:val="009B7EBC"/>
  </w:style>
  <w:style w:type="table" w:customStyle="1" w:styleId="311111">
    <w:name w:val="Изысканная таблица31111"/>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1110">
    <w:name w:val="Нет списка131111"/>
    <w:next w:val="a2"/>
    <w:uiPriority w:val="99"/>
    <w:semiHidden/>
    <w:unhideWhenUsed/>
    <w:rsid w:val="009B7EBC"/>
  </w:style>
  <w:style w:type="numbering" w:customStyle="1" w:styleId="511110">
    <w:name w:val="Нет списка51111"/>
    <w:next w:val="a2"/>
    <w:uiPriority w:val="99"/>
    <w:semiHidden/>
    <w:unhideWhenUsed/>
    <w:rsid w:val="009B7EBC"/>
  </w:style>
  <w:style w:type="table" w:customStyle="1" w:styleId="411111">
    <w:name w:val="Изысканная таблица41111"/>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111">
    <w:name w:val="Нет списка141111"/>
    <w:next w:val="a2"/>
    <w:uiPriority w:val="99"/>
    <w:semiHidden/>
    <w:unhideWhenUsed/>
    <w:rsid w:val="009B7EBC"/>
  </w:style>
  <w:style w:type="numbering" w:customStyle="1" w:styleId="611110">
    <w:name w:val="Нет списка61111"/>
    <w:next w:val="a2"/>
    <w:uiPriority w:val="99"/>
    <w:semiHidden/>
    <w:unhideWhenUsed/>
    <w:rsid w:val="009B7EBC"/>
  </w:style>
  <w:style w:type="table" w:customStyle="1" w:styleId="511111">
    <w:name w:val="Изысканная таблица51111"/>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111">
    <w:name w:val="Нет списка151111"/>
    <w:next w:val="a2"/>
    <w:uiPriority w:val="99"/>
    <w:semiHidden/>
    <w:unhideWhenUsed/>
    <w:rsid w:val="009B7EBC"/>
  </w:style>
  <w:style w:type="numbering" w:customStyle="1" w:styleId="711110">
    <w:name w:val="Нет списка71111"/>
    <w:next w:val="a2"/>
    <w:uiPriority w:val="99"/>
    <w:semiHidden/>
    <w:unhideWhenUsed/>
    <w:rsid w:val="009B7EBC"/>
  </w:style>
  <w:style w:type="table" w:customStyle="1" w:styleId="611111">
    <w:name w:val="Изысканная таблица61111"/>
    <w:basedOn w:val="a1"/>
    <w:next w:val="afffa"/>
    <w:rsid w:val="009B7EB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111">
    <w:name w:val="Нет списка161111"/>
    <w:next w:val="a2"/>
    <w:uiPriority w:val="99"/>
    <w:semiHidden/>
    <w:unhideWhenUsed/>
    <w:rsid w:val="009B7EBC"/>
  </w:style>
  <w:style w:type="table" w:customStyle="1" w:styleId="2111111">
    <w:name w:val="Сетка таблицы211111"/>
    <w:basedOn w:val="a1"/>
    <w:next w:val="aff0"/>
    <w:uiPriority w:val="5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2">
    <w:name w:val="Сетка таблицы31111"/>
    <w:basedOn w:val="a1"/>
    <w:next w:val="aff0"/>
    <w:uiPriority w:val="5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10">
    <w:name w:val="Сетка таблицы221111"/>
    <w:basedOn w:val="a1"/>
    <w:next w:val="aff0"/>
    <w:uiPriority w:val="5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2">
    <w:name w:val="Сетка таблицы41111"/>
    <w:basedOn w:val="a1"/>
    <w:next w:val="aff0"/>
    <w:uiPriority w:val="5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12">
    <w:name w:val="Сетка таблицы51111"/>
    <w:basedOn w:val="a1"/>
    <w:next w:val="aff0"/>
    <w:uiPriority w:val="39"/>
    <w:rsid w:val="009B7EB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12">
    <w:name w:val="Сетка таблицы61111"/>
    <w:basedOn w:val="a1"/>
    <w:next w:val="aff0"/>
    <w:uiPriority w:val="39"/>
    <w:rsid w:val="009B7EB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11">
    <w:name w:val="Сетка таблицы71111"/>
    <w:basedOn w:val="a1"/>
    <w:next w:val="aff0"/>
    <w:uiPriority w:val="59"/>
    <w:rsid w:val="009B7EB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
    <w:name w:val="Светлая заливка - Акцент 11111"/>
    <w:basedOn w:val="a1"/>
    <w:next w:val="-1"/>
    <w:uiPriority w:val="60"/>
    <w:rsid w:val="009B7EBC"/>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1110">
    <w:name w:val="Сетка таблицы81111"/>
    <w:basedOn w:val="a1"/>
    <w:next w:val="aff0"/>
    <w:uiPriority w:val="39"/>
    <w:rsid w:val="009B7EB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11">
    <w:name w:val="Сетка таблицы91111"/>
    <w:basedOn w:val="a1"/>
    <w:next w:val="aff0"/>
    <w:uiPriority w:val="39"/>
    <w:rsid w:val="009B7EB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
    <w:name w:val="Нет списка26"/>
    <w:next w:val="a2"/>
    <w:uiPriority w:val="99"/>
    <w:semiHidden/>
    <w:unhideWhenUsed/>
    <w:rsid w:val="00A8189D"/>
  </w:style>
  <w:style w:type="table" w:customStyle="1" w:styleId="201">
    <w:name w:val="Сетка таблицы20"/>
    <w:basedOn w:val="a1"/>
    <w:next w:val="aff0"/>
    <w:uiPriority w:val="5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
    <w:name w:val="Изысканная таблица15"/>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6">
    <w:name w:val="Нет списка116"/>
    <w:next w:val="a2"/>
    <w:uiPriority w:val="99"/>
    <w:semiHidden/>
    <w:unhideWhenUsed/>
    <w:rsid w:val="00A8189D"/>
  </w:style>
  <w:style w:type="table" w:customStyle="1" w:styleId="1101">
    <w:name w:val="Сетка таблицы110"/>
    <w:basedOn w:val="a1"/>
    <w:next w:val="aff0"/>
    <w:uiPriority w:val="39"/>
    <w:rsid w:val="00A8189D"/>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70">
    <w:name w:val="Нет списка27"/>
    <w:next w:val="a2"/>
    <w:uiPriority w:val="99"/>
    <w:semiHidden/>
    <w:unhideWhenUsed/>
    <w:rsid w:val="00A8189D"/>
  </w:style>
  <w:style w:type="table" w:customStyle="1" w:styleId="271">
    <w:name w:val="Сетка таблицы27"/>
    <w:basedOn w:val="a1"/>
    <w:next w:val="aff0"/>
    <w:uiPriority w:val="5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5">
    <w:name w:val="Изысканная таблица16"/>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7">
    <w:name w:val="Нет списка117"/>
    <w:next w:val="a2"/>
    <w:uiPriority w:val="99"/>
    <w:semiHidden/>
    <w:unhideWhenUsed/>
    <w:rsid w:val="00A8189D"/>
  </w:style>
  <w:style w:type="table" w:customStyle="1" w:styleId="1150">
    <w:name w:val="Сетка таблицы115"/>
    <w:basedOn w:val="a1"/>
    <w:next w:val="aff0"/>
    <w:uiPriority w:val="59"/>
    <w:rsid w:val="00A8189D"/>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5">
    <w:name w:val="Нет списка215"/>
    <w:next w:val="a2"/>
    <w:uiPriority w:val="99"/>
    <w:semiHidden/>
    <w:unhideWhenUsed/>
    <w:rsid w:val="00A8189D"/>
  </w:style>
  <w:style w:type="numbering" w:customStyle="1" w:styleId="1115">
    <w:name w:val="Нет списка1115"/>
    <w:next w:val="a2"/>
    <w:uiPriority w:val="99"/>
    <w:semiHidden/>
    <w:unhideWhenUsed/>
    <w:rsid w:val="00A8189D"/>
  </w:style>
  <w:style w:type="numbering" w:customStyle="1" w:styleId="350">
    <w:name w:val="Нет списка35"/>
    <w:next w:val="a2"/>
    <w:uiPriority w:val="99"/>
    <w:semiHidden/>
    <w:unhideWhenUsed/>
    <w:rsid w:val="00A8189D"/>
  </w:style>
  <w:style w:type="table" w:customStyle="1" w:styleId="252">
    <w:name w:val="Изысканная таблица25"/>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5">
    <w:name w:val="Нет списка125"/>
    <w:next w:val="a2"/>
    <w:uiPriority w:val="99"/>
    <w:semiHidden/>
    <w:unhideWhenUsed/>
    <w:rsid w:val="00A8189D"/>
  </w:style>
  <w:style w:type="numbering" w:customStyle="1" w:styleId="45">
    <w:name w:val="Нет списка45"/>
    <w:next w:val="a2"/>
    <w:uiPriority w:val="99"/>
    <w:semiHidden/>
    <w:unhideWhenUsed/>
    <w:rsid w:val="00A8189D"/>
  </w:style>
  <w:style w:type="table" w:customStyle="1" w:styleId="351">
    <w:name w:val="Изысканная таблица35"/>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5">
    <w:name w:val="Нет списка135"/>
    <w:next w:val="a2"/>
    <w:uiPriority w:val="99"/>
    <w:semiHidden/>
    <w:unhideWhenUsed/>
    <w:rsid w:val="00A8189D"/>
  </w:style>
  <w:style w:type="numbering" w:customStyle="1" w:styleId="55">
    <w:name w:val="Нет списка55"/>
    <w:next w:val="a2"/>
    <w:uiPriority w:val="99"/>
    <w:semiHidden/>
    <w:unhideWhenUsed/>
    <w:rsid w:val="00A8189D"/>
  </w:style>
  <w:style w:type="table" w:customStyle="1" w:styleId="450">
    <w:name w:val="Изысканная таблица45"/>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5">
    <w:name w:val="Нет списка145"/>
    <w:next w:val="a2"/>
    <w:uiPriority w:val="99"/>
    <w:semiHidden/>
    <w:unhideWhenUsed/>
    <w:rsid w:val="00A8189D"/>
  </w:style>
  <w:style w:type="numbering" w:customStyle="1" w:styleId="65">
    <w:name w:val="Нет списка65"/>
    <w:next w:val="a2"/>
    <w:uiPriority w:val="99"/>
    <w:semiHidden/>
    <w:unhideWhenUsed/>
    <w:rsid w:val="00A8189D"/>
  </w:style>
  <w:style w:type="table" w:customStyle="1" w:styleId="550">
    <w:name w:val="Изысканная таблица55"/>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50">
    <w:name w:val="Нет списка155"/>
    <w:next w:val="a2"/>
    <w:uiPriority w:val="99"/>
    <w:semiHidden/>
    <w:unhideWhenUsed/>
    <w:rsid w:val="00A8189D"/>
  </w:style>
  <w:style w:type="numbering" w:customStyle="1" w:styleId="75">
    <w:name w:val="Нет списка75"/>
    <w:next w:val="a2"/>
    <w:uiPriority w:val="99"/>
    <w:semiHidden/>
    <w:unhideWhenUsed/>
    <w:rsid w:val="00A8189D"/>
  </w:style>
  <w:style w:type="table" w:customStyle="1" w:styleId="650">
    <w:name w:val="Изысканная таблица65"/>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50">
    <w:name w:val="Нет списка165"/>
    <w:next w:val="a2"/>
    <w:uiPriority w:val="99"/>
    <w:semiHidden/>
    <w:unhideWhenUsed/>
    <w:rsid w:val="00A8189D"/>
  </w:style>
  <w:style w:type="table" w:customStyle="1" w:styleId="2150">
    <w:name w:val="Сетка таблицы215"/>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Сетка таблицы35"/>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5">
    <w:name w:val="Сетка таблицы225"/>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
    <w:name w:val="Сетка таблицы45"/>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Сетка таблицы55"/>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1">
    <w:name w:val="Сетка таблицы65"/>
    <w:basedOn w:val="a1"/>
    <w:next w:val="aff0"/>
    <w:uiPriority w:val="3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Сетка таблицы75"/>
    <w:basedOn w:val="a1"/>
    <w:next w:val="aff0"/>
    <w:uiPriority w:val="5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ветлая заливка - Акцент 15"/>
    <w:basedOn w:val="a1"/>
    <w:next w:val="-1"/>
    <w:uiPriority w:val="60"/>
    <w:rsid w:val="00A8189D"/>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5">
    <w:name w:val="Сетка таблицы85"/>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5">
    <w:name w:val="Сетка таблицы95"/>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0">
    <w:name w:val="Сетка таблицы124"/>
    <w:basedOn w:val="a1"/>
    <w:next w:val="aff0"/>
    <w:uiPriority w:val="5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41">
    <w:name w:val="Нет списка84"/>
    <w:next w:val="a2"/>
    <w:uiPriority w:val="99"/>
    <w:semiHidden/>
    <w:unhideWhenUsed/>
    <w:rsid w:val="00A8189D"/>
  </w:style>
  <w:style w:type="table" w:customStyle="1" w:styleId="104">
    <w:name w:val="Сетка таблицы104"/>
    <w:basedOn w:val="a1"/>
    <w:next w:val="aff0"/>
    <w:uiPriority w:val="3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2">
    <w:name w:val="Изысканная таблица74"/>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4">
    <w:name w:val="Нет списка174"/>
    <w:next w:val="a2"/>
    <w:uiPriority w:val="99"/>
    <w:semiHidden/>
    <w:unhideWhenUsed/>
    <w:rsid w:val="00A8189D"/>
  </w:style>
  <w:style w:type="table" w:customStyle="1" w:styleId="1340">
    <w:name w:val="Сетка таблицы134"/>
    <w:basedOn w:val="a1"/>
    <w:next w:val="aff0"/>
    <w:uiPriority w:val="39"/>
    <w:rsid w:val="00A8189D"/>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40">
    <w:name w:val="Нет списка224"/>
    <w:next w:val="a2"/>
    <w:uiPriority w:val="99"/>
    <w:semiHidden/>
    <w:unhideWhenUsed/>
    <w:rsid w:val="00A8189D"/>
  </w:style>
  <w:style w:type="table" w:customStyle="1" w:styleId="234">
    <w:name w:val="Сетка таблицы234"/>
    <w:basedOn w:val="a1"/>
    <w:next w:val="aff0"/>
    <w:uiPriority w:val="5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2">
    <w:name w:val="Изысканная таблица114"/>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4">
    <w:name w:val="Нет списка1124"/>
    <w:next w:val="a2"/>
    <w:uiPriority w:val="99"/>
    <w:semiHidden/>
    <w:unhideWhenUsed/>
    <w:rsid w:val="00A8189D"/>
  </w:style>
  <w:style w:type="table" w:customStyle="1" w:styleId="11140">
    <w:name w:val="Сетка таблицы1114"/>
    <w:basedOn w:val="a1"/>
    <w:next w:val="aff0"/>
    <w:uiPriority w:val="59"/>
    <w:rsid w:val="00A8189D"/>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4">
    <w:name w:val="Нет списка2114"/>
    <w:next w:val="a2"/>
    <w:uiPriority w:val="99"/>
    <w:semiHidden/>
    <w:unhideWhenUsed/>
    <w:rsid w:val="00A8189D"/>
  </w:style>
  <w:style w:type="numbering" w:customStyle="1" w:styleId="11114">
    <w:name w:val="Нет списка11114"/>
    <w:next w:val="a2"/>
    <w:uiPriority w:val="99"/>
    <w:semiHidden/>
    <w:unhideWhenUsed/>
    <w:rsid w:val="00A8189D"/>
  </w:style>
  <w:style w:type="numbering" w:customStyle="1" w:styleId="314">
    <w:name w:val="Нет списка314"/>
    <w:next w:val="a2"/>
    <w:uiPriority w:val="99"/>
    <w:semiHidden/>
    <w:unhideWhenUsed/>
    <w:rsid w:val="00A8189D"/>
  </w:style>
  <w:style w:type="table" w:customStyle="1" w:styleId="2141">
    <w:name w:val="Изысканная таблица214"/>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4">
    <w:name w:val="Нет списка1214"/>
    <w:next w:val="a2"/>
    <w:uiPriority w:val="99"/>
    <w:semiHidden/>
    <w:unhideWhenUsed/>
    <w:rsid w:val="00A8189D"/>
  </w:style>
  <w:style w:type="numbering" w:customStyle="1" w:styleId="414">
    <w:name w:val="Нет списка414"/>
    <w:next w:val="a2"/>
    <w:uiPriority w:val="99"/>
    <w:semiHidden/>
    <w:unhideWhenUsed/>
    <w:rsid w:val="00A8189D"/>
  </w:style>
  <w:style w:type="table" w:customStyle="1" w:styleId="3140">
    <w:name w:val="Изысканная таблица314"/>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40">
    <w:name w:val="Нет списка1314"/>
    <w:next w:val="a2"/>
    <w:uiPriority w:val="99"/>
    <w:semiHidden/>
    <w:unhideWhenUsed/>
    <w:rsid w:val="00A8189D"/>
  </w:style>
  <w:style w:type="numbering" w:customStyle="1" w:styleId="514">
    <w:name w:val="Нет списка514"/>
    <w:next w:val="a2"/>
    <w:uiPriority w:val="99"/>
    <w:semiHidden/>
    <w:unhideWhenUsed/>
    <w:rsid w:val="00A8189D"/>
  </w:style>
  <w:style w:type="table" w:customStyle="1" w:styleId="4140">
    <w:name w:val="Изысканная таблица414"/>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4">
    <w:name w:val="Нет списка1414"/>
    <w:next w:val="a2"/>
    <w:uiPriority w:val="99"/>
    <w:semiHidden/>
    <w:unhideWhenUsed/>
    <w:rsid w:val="00A8189D"/>
  </w:style>
  <w:style w:type="numbering" w:customStyle="1" w:styleId="614">
    <w:name w:val="Нет списка614"/>
    <w:next w:val="a2"/>
    <w:uiPriority w:val="99"/>
    <w:semiHidden/>
    <w:unhideWhenUsed/>
    <w:rsid w:val="00A8189D"/>
  </w:style>
  <w:style w:type="table" w:customStyle="1" w:styleId="5140">
    <w:name w:val="Изысканная таблица514"/>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4">
    <w:name w:val="Нет списка1514"/>
    <w:next w:val="a2"/>
    <w:uiPriority w:val="99"/>
    <w:semiHidden/>
    <w:unhideWhenUsed/>
    <w:rsid w:val="00A8189D"/>
  </w:style>
  <w:style w:type="numbering" w:customStyle="1" w:styleId="714">
    <w:name w:val="Нет списка714"/>
    <w:next w:val="a2"/>
    <w:uiPriority w:val="99"/>
    <w:semiHidden/>
    <w:unhideWhenUsed/>
    <w:rsid w:val="00A8189D"/>
  </w:style>
  <w:style w:type="table" w:customStyle="1" w:styleId="6140">
    <w:name w:val="Изысканная таблица614"/>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4">
    <w:name w:val="Нет списка1614"/>
    <w:next w:val="a2"/>
    <w:uiPriority w:val="99"/>
    <w:semiHidden/>
    <w:unhideWhenUsed/>
    <w:rsid w:val="00A8189D"/>
  </w:style>
  <w:style w:type="table" w:customStyle="1" w:styleId="21140">
    <w:name w:val="Сетка таблицы2114"/>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Сетка таблицы314"/>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4">
    <w:name w:val="Сетка таблицы2214"/>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1">
    <w:name w:val="Сетка таблицы414"/>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41">
    <w:name w:val="Сетка таблицы514"/>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41">
    <w:name w:val="Сетка таблицы614"/>
    <w:basedOn w:val="a1"/>
    <w:next w:val="aff0"/>
    <w:uiPriority w:val="3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40">
    <w:name w:val="Сетка таблицы714"/>
    <w:basedOn w:val="a1"/>
    <w:next w:val="aff0"/>
    <w:uiPriority w:val="5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Светлая заливка - Акцент 114"/>
    <w:basedOn w:val="a1"/>
    <w:next w:val="-1"/>
    <w:uiPriority w:val="60"/>
    <w:rsid w:val="00A8189D"/>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4">
    <w:name w:val="Сетка таблицы814"/>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40">
    <w:name w:val="Сетка таблицы914"/>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Нет списка93"/>
    <w:next w:val="a2"/>
    <w:uiPriority w:val="99"/>
    <w:semiHidden/>
    <w:unhideWhenUsed/>
    <w:rsid w:val="00A8189D"/>
  </w:style>
  <w:style w:type="table" w:customStyle="1" w:styleId="1430">
    <w:name w:val="Сетка таблицы143"/>
    <w:basedOn w:val="a1"/>
    <w:next w:val="aff0"/>
    <w:uiPriority w:val="5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2">
    <w:name w:val="Изысканная таблица83"/>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83">
    <w:name w:val="Нет списка183"/>
    <w:next w:val="a2"/>
    <w:uiPriority w:val="99"/>
    <w:semiHidden/>
    <w:unhideWhenUsed/>
    <w:rsid w:val="00A8189D"/>
  </w:style>
  <w:style w:type="table" w:customStyle="1" w:styleId="1530">
    <w:name w:val="Сетка таблицы153"/>
    <w:basedOn w:val="a1"/>
    <w:next w:val="aff0"/>
    <w:uiPriority w:val="39"/>
    <w:rsid w:val="00A8189D"/>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330">
    <w:name w:val="Нет списка233"/>
    <w:next w:val="a2"/>
    <w:uiPriority w:val="99"/>
    <w:semiHidden/>
    <w:unhideWhenUsed/>
    <w:rsid w:val="00A8189D"/>
  </w:style>
  <w:style w:type="table" w:customStyle="1" w:styleId="243">
    <w:name w:val="Сетка таблицы243"/>
    <w:basedOn w:val="a1"/>
    <w:next w:val="aff0"/>
    <w:uiPriority w:val="5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
    <w:name w:val="Изысканная таблица123"/>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33">
    <w:name w:val="Нет списка1133"/>
    <w:next w:val="a2"/>
    <w:uiPriority w:val="99"/>
    <w:semiHidden/>
    <w:unhideWhenUsed/>
    <w:rsid w:val="00A8189D"/>
  </w:style>
  <w:style w:type="table" w:customStyle="1" w:styleId="11230">
    <w:name w:val="Сетка таблицы1123"/>
    <w:basedOn w:val="a1"/>
    <w:next w:val="aff0"/>
    <w:uiPriority w:val="59"/>
    <w:rsid w:val="00A8189D"/>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23">
    <w:name w:val="Нет списка2123"/>
    <w:next w:val="a2"/>
    <w:uiPriority w:val="99"/>
    <w:semiHidden/>
    <w:unhideWhenUsed/>
    <w:rsid w:val="00A8189D"/>
  </w:style>
  <w:style w:type="numbering" w:customStyle="1" w:styleId="111230">
    <w:name w:val="Нет списка11123"/>
    <w:next w:val="a2"/>
    <w:uiPriority w:val="99"/>
    <w:semiHidden/>
    <w:unhideWhenUsed/>
    <w:rsid w:val="00A8189D"/>
  </w:style>
  <w:style w:type="numbering" w:customStyle="1" w:styleId="323">
    <w:name w:val="Нет списка323"/>
    <w:next w:val="a2"/>
    <w:uiPriority w:val="99"/>
    <w:semiHidden/>
    <w:unhideWhenUsed/>
    <w:rsid w:val="00A8189D"/>
  </w:style>
  <w:style w:type="table" w:customStyle="1" w:styleId="2232">
    <w:name w:val="Изысканная таблица223"/>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23">
    <w:name w:val="Нет списка1223"/>
    <w:next w:val="a2"/>
    <w:uiPriority w:val="99"/>
    <w:semiHidden/>
    <w:unhideWhenUsed/>
    <w:rsid w:val="00A8189D"/>
  </w:style>
  <w:style w:type="numbering" w:customStyle="1" w:styleId="423">
    <w:name w:val="Нет списка423"/>
    <w:next w:val="a2"/>
    <w:uiPriority w:val="99"/>
    <w:semiHidden/>
    <w:unhideWhenUsed/>
    <w:rsid w:val="00A8189D"/>
  </w:style>
  <w:style w:type="table" w:customStyle="1" w:styleId="3230">
    <w:name w:val="Изысканная таблица323"/>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23">
    <w:name w:val="Нет списка1323"/>
    <w:next w:val="a2"/>
    <w:uiPriority w:val="99"/>
    <w:semiHidden/>
    <w:unhideWhenUsed/>
    <w:rsid w:val="00A8189D"/>
  </w:style>
  <w:style w:type="numbering" w:customStyle="1" w:styleId="523">
    <w:name w:val="Нет списка523"/>
    <w:next w:val="a2"/>
    <w:uiPriority w:val="99"/>
    <w:semiHidden/>
    <w:unhideWhenUsed/>
    <w:rsid w:val="00A8189D"/>
  </w:style>
  <w:style w:type="table" w:customStyle="1" w:styleId="4230">
    <w:name w:val="Изысканная таблица423"/>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23">
    <w:name w:val="Нет списка1423"/>
    <w:next w:val="a2"/>
    <w:uiPriority w:val="99"/>
    <w:semiHidden/>
    <w:unhideWhenUsed/>
    <w:rsid w:val="00A8189D"/>
  </w:style>
  <w:style w:type="numbering" w:customStyle="1" w:styleId="623">
    <w:name w:val="Нет списка623"/>
    <w:next w:val="a2"/>
    <w:uiPriority w:val="99"/>
    <w:semiHidden/>
    <w:unhideWhenUsed/>
    <w:rsid w:val="00A8189D"/>
  </w:style>
  <w:style w:type="table" w:customStyle="1" w:styleId="5230">
    <w:name w:val="Изысканная таблица523"/>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23">
    <w:name w:val="Нет списка1523"/>
    <w:next w:val="a2"/>
    <w:uiPriority w:val="99"/>
    <w:semiHidden/>
    <w:unhideWhenUsed/>
    <w:rsid w:val="00A8189D"/>
  </w:style>
  <w:style w:type="numbering" w:customStyle="1" w:styleId="723">
    <w:name w:val="Нет списка723"/>
    <w:next w:val="a2"/>
    <w:uiPriority w:val="99"/>
    <w:semiHidden/>
    <w:unhideWhenUsed/>
    <w:rsid w:val="00A8189D"/>
  </w:style>
  <w:style w:type="table" w:customStyle="1" w:styleId="6230">
    <w:name w:val="Изысканная таблица623"/>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23">
    <w:name w:val="Нет списка1623"/>
    <w:next w:val="a2"/>
    <w:uiPriority w:val="99"/>
    <w:semiHidden/>
    <w:unhideWhenUsed/>
    <w:rsid w:val="00A8189D"/>
  </w:style>
  <w:style w:type="table" w:customStyle="1" w:styleId="21230">
    <w:name w:val="Сетка таблицы2123"/>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Сетка таблицы323"/>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3">
    <w:name w:val="Сетка таблицы2223"/>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1">
    <w:name w:val="Сетка таблицы423"/>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1">
    <w:name w:val="Сетка таблицы523"/>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1">
    <w:name w:val="Сетка таблицы623"/>
    <w:basedOn w:val="a1"/>
    <w:next w:val="aff0"/>
    <w:uiPriority w:val="3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0">
    <w:name w:val="Сетка таблицы723"/>
    <w:basedOn w:val="a1"/>
    <w:next w:val="aff0"/>
    <w:uiPriority w:val="5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Светлая заливка - Акцент 123"/>
    <w:basedOn w:val="a1"/>
    <w:next w:val="-1"/>
    <w:uiPriority w:val="60"/>
    <w:rsid w:val="00A8189D"/>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23">
    <w:name w:val="Сетка таблицы823"/>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3">
    <w:name w:val="Сетка таблицы923"/>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1">
    <w:name w:val="Сетка таблицы1213"/>
    <w:basedOn w:val="a1"/>
    <w:next w:val="aff0"/>
    <w:uiPriority w:val="5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1">
    <w:name w:val="Нет списка813"/>
    <w:next w:val="a2"/>
    <w:uiPriority w:val="99"/>
    <w:semiHidden/>
    <w:unhideWhenUsed/>
    <w:rsid w:val="00A8189D"/>
  </w:style>
  <w:style w:type="table" w:customStyle="1" w:styleId="1013">
    <w:name w:val="Сетка таблицы1013"/>
    <w:basedOn w:val="a1"/>
    <w:next w:val="aff0"/>
    <w:uiPriority w:val="3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1">
    <w:name w:val="Изысканная таблица713"/>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13">
    <w:name w:val="Нет списка1713"/>
    <w:next w:val="a2"/>
    <w:uiPriority w:val="99"/>
    <w:semiHidden/>
    <w:unhideWhenUsed/>
    <w:rsid w:val="00A8189D"/>
  </w:style>
  <w:style w:type="table" w:customStyle="1" w:styleId="13130">
    <w:name w:val="Сетка таблицы1313"/>
    <w:basedOn w:val="a1"/>
    <w:next w:val="aff0"/>
    <w:uiPriority w:val="39"/>
    <w:rsid w:val="00A8189D"/>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131">
    <w:name w:val="Нет списка2213"/>
    <w:next w:val="a2"/>
    <w:uiPriority w:val="99"/>
    <w:semiHidden/>
    <w:unhideWhenUsed/>
    <w:rsid w:val="00A8189D"/>
  </w:style>
  <w:style w:type="table" w:customStyle="1" w:styleId="23130">
    <w:name w:val="Сетка таблицы2313"/>
    <w:basedOn w:val="a1"/>
    <w:next w:val="aff0"/>
    <w:uiPriority w:val="5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2">
    <w:name w:val="Изысканная таблица1113"/>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130">
    <w:name w:val="Нет списка11213"/>
    <w:next w:val="a2"/>
    <w:uiPriority w:val="99"/>
    <w:semiHidden/>
    <w:unhideWhenUsed/>
    <w:rsid w:val="00A8189D"/>
  </w:style>
  <w:style w:type="table" w:customStyle="1" w:styleId="111131">
    <w:name w:val="Сетка таблицы11113"/>
    <w:basedOn w:val="a1"/>
    <w:next w:val="aff0"/>
    <w:uiPriority w:val="59"/>
    <w:rsid w:val="00A8189D"/>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13">
    <w:name w:val="Нет списка21113"/>
    <w:next w:val="a2"/>
    <w:uiPriority w:val="99"/>
    <w:semiHidden/>
    <w:unhideWhenUsed/>
    <w:rsid w:val="00A8189D"/>
  </w:style>
  <w:style w:type="numbering" w:customStyle="1" w:styleId="1111130">
    <w:name w:val="Нет списка111113"/>
    <w:next w:val="a2"/>
    <w:uiPriority w:val="99"/>
    <w:semiHidden/>
    <w:unhideWhenUsed/>
    <w:rsid w:val="00A8189D"/>
  </w:style>
  <w:style w:type="numbering" w:customStyle="1" w:styleId="3113">
    <w:name w:val="Нет списка3113"/>
    <w:next w:val="a2"/>
    <w:uiPriority w:val="99"/>
    <w:semiHidden/>
    <w:unhideWhenUsed/>
    <w:rsid w:val="00A8189D"/>
  </w:style>
  <w:style w:type="table" w:customStyle="1" w:styleId="21131">
    <w:name w:val="Изысканная таблица2113"/>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130">
    <w:name w:val="Нет списка12113"/>
    <w:next w:val="a2"/>
    <w:uiPriority w:val="99"/>
    <w:semiHidden/>
    <w:unhideWhenUsed/>
    <w:rsid w:val="00A8189D"/>
  </w:style>
  <w:style w:type="numbering" w:customStyle="1" w:styleId="4113">
    <w:name w:val="Нет списка4113"/>
    <w:next w:val="a2"/>
    <w:uiPriority w:val="99"/>
    <w:semiHidden/>
    <w:unhideWhenUsed/>
    <w:rsid w:val="00A8189D"/>
  </w:style>
  <w:style w:type="table" w:customStyle="1" w:styleId="31130">
    <w:name w:val="Изысканная таблица3113"/>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13">
    <w:name w:val="Нет списка13113"/>
    <w:next w:val="a2"/>
    <w:uiPriority w:val="99"/>
    <w:semiHidden/>
    <w:unhideWhenUsed/>
    <w:rsid w:val="00A8189D"/>
  </w:style>
  <w:style w:type="numbering" w:customStyle="1" w:styleId="5113">
    <w:name w:val="Нет списка5113"/>
    <w:next w:val="a2"/>
    <w:uiPriority w:val="99"/>
    <w:semiHidden/>
    <w:unhideWhenUsed/>
    <w:rsid w:val="00A8189D"/>
  </w:style>
  <w:style w:type="table" w:customStyle="1" w:styleId="41130">
    <w:name w:val="Изысканная таблица4113"/>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13">
    <w:name w:val="Нет списка14113"/>
    <w:next w:val="a2"/>
    <w:uiPriority w:val="99"/>
    <w:semiHidden/>
    <w:unhideWhenUsed/>
    <w:rsid w:val="00A8189D"/>
  </w:style>
  <w:style w:type="numbering" w:customStyle="1" w:styleId="6113">
    <w:name w:val="Нет списка6113"/>
    <w:next w:val="a2"/>
    <w:uiPriority w:val="99"/>
    <w:semiHidden/>
    <w:unhideWhenUsed/>
    <w:rsid w:val="00A8189D"/>
  </w:style>
  <w:style w:type="table" w:customStyle="1" w:styleId="51130">
    <w:name w:val="Изысканная таблица5113"/>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13">
    <w:name w:val="Нет списка15113"/>
    <w:next w:val="a2"/>
    <w:uiPriority w:val="99"/>
    <w:semiHidden/>
    <w:unhideWhenUsed/>
    <w:rsid w:val="00A8189D"/>
  </w:style>
  <w:style w:type="numbering" w:customStyle="1" w:styleId="7113">
    <w:name w:val="Нет списка7113"/>
    <w:next w:val="a2"/>
    <w:uiPriority w:val="99"/>
    <w:semiHidden/>
    <w:unhideWhenUsed/>
    <w:rsid w:val="00A8189D"/>
  </w:style>
  <w:style w:type="table" w:customStyle="1" w:styleId="61130">
    <w:name w:val="Изысканная таблица6113"/>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13">
    <w:name w:val="Нет списка16113"/>
    <w:next w:val="a2"/>
    <w:uiPriority w:val="99"/>
    <w:semiHidden/>
    <w:unhideWhenUsed/>
    <w:rsid w:val="00A8189D"/>
  </w:style>
  <w:style w:type="table" w:customStyle="1" w:styleId="211130">
    <w:name w:val="Сетка таблицы21113"/>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1">
    <w:name w:val="Сетка таблицы3113"/>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30">
    <w:name w:val="Сетка таблицы22113"/>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1">
    <w:name w:val="Сетка таблицы4113"/>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31">
    <w:name w:val="Сетка таблицы5113"/>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31">
    <w:name w:val="Сетка таблицы6113"/>
    <w:basedOn w:val="a1"/>
    <w:next w:val="aff0"/>
    <w:uiPriority w:val="3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30">
    <w:name w:val="Сетка таблицы7113"/>
    <w:basedOn w:val="a1"/>
    <w:next w:val="aff0"/>
    <w:uiPriority w:val="5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
    <w:name w:val="Светлая заливка - Акцент 1113"/>
    <w:basedOn w:val="a1"/>
    <w:next w:val="-1"/>
    <w:uiPriority w:val="60"/>
    <w:rsid w:val="00A8189D"/>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130">
    <w:name w:val="Сетка таблицы8113"/>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3">
    <w:name w:val="Сетка таблицы9113"/>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2">
    <w:name w:val="Нет списка102"/>
    <w:next w:val="a2"/>
    <w:uiPriority w:val="99"/>
    <w:semiHidden/>
    <w:unhideWhenUsed/>
    <w:rsid w:val="00A8189D"/>
  </w:style>
  <w:style w:type="table" w:customStyle="1" w:styleId="1620">
    <w:name w:val="Сетка таблицы162"/>
    <w:basedOn w:val="a1"/>
    <w:next w:val="aff0"/>
    <w:uiPriority w:val="5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4">
    <w:name w:val="Изысканная таблица92"/>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92">
    <w:name w:val="Нет списка192"/>
    <w:next w:val="a2"/>
    <w:uiPriority w:val="99"/>
    <w:semiHidden/>
    <w:unhideWhenUsed/>
    <w:rsid w:val="00A8189D"/>
  </w:style>
  <w:style w:type="table" w:customStyle="1" w:styleId="1722">
    <w:name w:val="Сетка таблицы172"/>
    <w:basedOn w:val="a1"/>
    <w:next w:val="aff0"/>
    <w:uiPriority w:val="39"/>
    <w:rsid w:val="00A8189D"/>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421">
    <w:name w:val="Нет списка242"/>
    <w:next w:val="a2"/>
    <w:uiPriority w:val="99"/>
    <w:semiHidden/>
    <w:unhideWhenUsed/>
    <w:rsid w:val="00A8189D"/>
  </w:style>
  <w:style w:type="table" w:customStyle="1" w:styleId="2520">
    <w:name w:val="Сетка таблицы252"/>
    <w:basedOn w:val="a1"/>
    <w:next w:val="aff0"/>
    <w:uiPriority w:val="5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4">
    <w:name w:val="Изысканная таблица132"/>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420">
    <w:name w:val="Нет списка1142"/>
    <w:next w:val="a2"/>
    <w:uiPriority w:val="99"/>
    <w:semiHidden/>
    <w:unhideWhenUsed/>
    <w:rsid w:val="00A8189D"/>
  </w:style>
  <w:style w:type="table" w:customStyle="1" w:styleId="11321">
    <w:name w:val="Сетка таблицы1132"/>
    <w:basedOn w:val="a1"/>
    <w:next w:val="aff0"/>
    <w:uiPriority w:val="59"/>
    <w:rsid w:val="00A8189D"/>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320">
    <w:name w:val="Нет списка2132"/>
    <w:next w:val="a2"/>
    <w:uiPriority w:val="99"/>
    <w:semiHidden/>
    <w:unhideWhenUsed/>
    <w:rsid w:val="00A8189D"/>
  </w:style>
  <w:style w:type="numbering" w:customStyle="1" w:styleId="111320">
    <w:name w:val="Нет списка11132"/>
    <w:next w:val="a2"/>
    <w:uiPriority w:val="99"/>
    <w:semiHidden/>
    <w:unhideWhenUsed/>
    <w:rsid w:val="00A8189D"/>
  </w:style>
  <w:style w:type="numbering" w:customStyle="1" w:styleId="3320">
    <w:name w:val="Нет списка332"/>
    <w:next w:val="a2"/>
    <w:uiPriority w:val="99"/>
    <w:semiHidden/>
    <w:unhideWhenUsed/>
    <w:rsid w:val="00A8189D"/>
  </w:style>
  <w:style w:type="table" w:customStyle="1" w:styleId="2322">
    <w:name w:val="Изысканная таблица232"/>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320">
    <w:name w:val="Нет списка1232"/>
    <w:next w:val="a2"/>
    <w:uiPriority w:val="99"/>
    <w:semiHidden/>
    <w:unhideWhenUsed/>
    <w:rsid w:val="00A8189D"/>
  </w:style>
  <w:style w:type="numbering" w:customStyle="1" w:styleId="4320">
    <w:name w:val="Нет списка432"/>
    <w:next w:val="a2"/>
    <w:uiPriority w:val="99"/>
    <w:semiHidden/>
    <w:unhideWhenUsed/>
    <w:rsid w:val="00A8189D"/>
  </w:style>
  <w:style w:type="table" w:customStyle="1" w:styleId="3321">
    <w:name w:val="Изысканная таблица332"/>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32">
    <w:name w:val="Нет списка1332"/>
    <w:next w:val="a2"/>
    <w:uiPriority w:val="99"/>
    <w:semiHidden/>
    <w:unhideWhenUsed/>
    <w:rsid w:val="00A8189D"/>
  </w:style>
  <w:style w:type="numbering" w:customStyle="1" w:styleId="5320">
    <w:name w:val="Нет списка532"/>
    <w:next w:val="a2"/>
    <w:uiPriority w:val="99"/>
    <w:semiHidden/>
    <w:unhideWhenUsed/>
    <w:rsid w:val="00A8189D"/>
  </w:style>
  <w:style w:type="table" w:customStyle="1" w:styleId="4321">
    <w:name w:val="Изысканная таблица432"/>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32">
    <w:name w:val="Нет списка1432"/>
    <w:next w:val="a2"/>
    <w:uiPriority w:val="99"/>
    <w:semiHidden/>
    <w:unhideWhenUsed/>
    <w:rsid w:val="00A8189D"/>
  </w:style>
  <w:style w:type="numbering" w:customStyle="1" w:styleId="6320">
    <w:name w:val="Нет списка632"/>
    <w:next w:val="a2"/>
    <w:uiPriority w:val="99"/>
    <w:semiHidden/>
    <w:unhideWhenUsed/>
    <w:rsid w:val="00A8189D"/>
  </w:style>
  <w:style w:type="table" w:customStyle="1" w:styleId="5321">
    <w:name w:val="Изысканная таблица532"/>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32">
    <w:name w:val="Нет списка1532"/>
    <w:next w:val="a2"/>
    <w:uiPriority w:val="99"/>
    <w:semiHidden/>
    <w:unhideWhenUsed/>
    <w:rsid w:val="00A8189D"/>
  </w:style>
  <w:style w:type="numbering" w:customStyle="1" w:styleId="7320">
    <w:name w:val="Нет списка732"/>
    <w:next w:val="a2"/>
    <w:uiPriority w:val="99"/>
    <w:semiHidden/>
    <w:unhideWhenUsed/>
    <w:rsid w:val="00A8189D"/>
  </w:style>
  <w:style w:type="table" w:customStyle="1" w:styleId="6321">
    <w:name w:val="Изысканная таблица632"/>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32">
    <w:name w:val="Нет списка1632"/>
    <w:next w:val="a2"/>
    <w:uiPriority w:val="99"/>
    <w:semiHidden/>
    <w:unhideWhenUsed/>
    <w:rsid w:val="00A8189D"/>
  </w:style>
  <w:style w:type="table" w:customStyle="1" w:styleId="21321">
    <w:name w:val="Сетка таблицы2132"/>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2">
    <w:name w:val="Сетка таблицы332"/>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20">
    <w:name w:val="Сетка таблицы2232"/>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2">
    <w:name w:val="Сетка таблицы432"/>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2">
    <w:name w:val="Сетка таблицы532"/>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2">
    <w:name w:val="Сетка таблицы632"/>
    <w:basedOn w:val="a1"/>
    <w:next w:val="aff0"/>
    <w:uiPriority w:val="3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1">
    <w:name w:val="Сетка таблицы732"/>
    <w:basedOn w:val="a1"/>
    <w:next w:val="aff0"/>
    <w:uiPriority w:val="5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Светлая заливка - Акцент 132"/>
    <w:basedOn w:val="a1"/>
    <w:next w:val="-1"/>
    <w:uiPriority w:val="60"/>
    <w:rsid w:val="00A8189D"/>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320">
    <w:name w:val="Сетка таблицы832"/>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20">
    <w:name w:val="Сетка таблицы932"/>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1">
    <w:name w:val="Сетка таблицы1222"/>
    <w:basedOn w:val="a1"/>
    <w:next w:val="aff0"/>
    <w:uiPriority w:val="5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1">
    <w:name w:val="Нет списка822"/>
    <w:next w:val="a2"/>
    <w:uiPriority w:val="99"/>
    <w:semiHidden/>
    <w:unhideWhenUsed/>
    <w:rsid w:val="00A8189D"/>
  </w:style>
  <w:style w:type="table" w:customStyle="1" w:styleId="10220">
    <w:name w:val="Сетка таблицы1022"/>
    <w:basedOn w:val="a1"/>
    <w:next w:val="aff0"/>
    <w:uiPriority w:val="3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2">
    <w:name w:val="Изысканная таблица722"/>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220">
    <w:name w:val="Нет списка1722"/>
    <w:next w:val="a2"/>
    <w:uiPriority w:val="99"/>
    <w:semiHidden/>
    <w:unhideWhenUsed/>
    <w:rsid w:val="00A8189D"/>
  </w:style>
  <w:style w:type="table" w:customStyle="1" w:styleId="13220">
    <w:name w:val="Сетка таблицы1322"/>
    <w:basedOn w:val="a1"/>
    <w:next w:val="aff0"/>
    <w:uiPriority w:val="39"/>
    <w:rsid w:val="00A8189D"/>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221">
    <w:name w:val="Нет списка2222"/>
    <w:next w:val="a2"/>
    <w:uiPriority w:val="99"/>
    <w:semiHidden/>
    <w:unhideWhenUsed/>
    <w:rsid w:val="00A8189D"/>
  </w:style>
  <w:style w:type="table" w:customStyle="1" w:styleId="23220">
    <w:name w:val="Сетка таблицы2322"/>
    <w:basedOn w:val="a1"/>
    <w:next w:val="aff0"/>
    <w:uiPriority w:val="5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2">
    <w:name w:val="Изысканная таблица1122"/>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220">
    <w:name w:val="Нет списка11222"/>
    <w:next w:val="a2"/>
    <w:uiPriority w:val="99"/>
    <w:semiHidden/>
    <w:unhideWhenUsed/>
    <w:rsid w:val="00A8189D"/>
  </w:style>
  <w:style w:type="table" w:customStyle="1" w:styleId="111220">
    <w:name w:val="Сетка таблицы11122"/>
    <w:basedOn w:val="a1"/>
    <w:next w:val="aff0"/>
    <w:uiPriority w:val="59"/>
    <w:rsid w:val="00A8189D"/>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220">
    <w:name w:val="Нет списка21122"/>
    <w:next w:val="a2"/>
    <w:uiPriority w:val="99"/>
    <w:semiHidden/>
    <w:unhideWhenUsed/>
    <w:rsid w:val="00A8189D"/>
  </w:style>
  <w:style w:type="numbering" w:customStyle="1" w:styleId="111122">
    <w:name w:val="Нет списка111122"/>
    <w:next w:val="a2"/>
    <w:uiPriority w:val="99"/>
    <w:semiHidden/>
    <w:unhideWhenUsed/>
    <w:rsid w:val="00A8189D"/>
  </w:style>
  <w:style w:type="numbering" w:customStyle="1" w:styleId="31220">
    <w:name w:val="Нет списка3122"/>
    <w:next w:val="a2"/>
    <w:uiPriority w:val="99"/>
    <w:semiHidden/>
    <w:unhideWhenUsed/>
    <w:rsid w:val="00A8189D"/>
  </w:style>
  <w:style w:type="table" w:customStyle="1" w:styleId="21222">
    <w:name w:val="Изысканная таблица2122"/>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22">
    <w:name w:val="Нет списка12122"/>
    <w:next w:val="a2"/>
    <w:uiPriority w:val="99"/>
    <w:semiHidden/>
    <w:unhideWhenUsed/>
    <w:rsid w:val="00A8189D"/>
  </w:style>
  <w:style w:type="numbering" w:customStyle="1" w:styleId="41220">
    <w:name w:val="Нет списка4122"/>
    <w:next w:val="a2"/>
    <w:uiPriority w:val="99"/>
    <w:semiHidden/>
    <w:unhideWhenUsed/>
    <w:rsid w:val="00A8189D"/>
  </w:style>
  <w:style w:type="table" w:customStyle="1" w:styleId="31221">
    <w:name w:val="Изысканная таблица3122"/>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22">
    <w:name w:val="Нет списка13122"/>
    <w:next w:val="a2"/>
    <w:uiPriority w:val="99"/>
    <w:semiHidden/>
    <w:unhideWhenUsed/>
    <w:rsid w:val="00A8189D"/>
  </w:style>
  <w:style w:type="numbering" w:customStyle="1" w:styleId="51220">
    <w:name w:val="Нет списка5122"/>
    <w:next w:val="a2"/>
    <w:uiPriority w:val="99"/>
    <w:semiHidden/>
    <w:unhideWhenUsed/>
    <w:rsid w:val="00A8189D"/>
  </w:style>
  <w:style w:type="table" w:customStyle="1" w:styleId="41221">
    <w:name w:val="Изысканная таблица4122"/>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22">
    <w:name w:val="Нет списка14122"/>
    <w:next w:val="a2"/>
    <w:uiPriority w:val="99"/>
    <w:semiHidden/>
    <w:unhideWhenUsed/>
    <w:rsid w:val="00A8189D"/>
  </w:style>
  <w:style w:type="numbering" w:customStyle="1" w:styleId="61220">
    <w:name w:val="Нет списка6122"/>
    <w:next w:val="a2"/>
    <w:uiPriority w:val="99"/>
    <w:semiHidden/>
    <w:unhideWhenUsed/>
    <w:rsid w:val="00A8189D"/>
  </w:style>
  <w:style w:type="table" w:customStyle="1" w:styleId="51221">
    <w:name w:val="Изысканная таблица5122"/>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22">
    <w:name w:val="Нет списка15122"/>
    <w:next w:val="a2"/>
    <w:uiPriority w:val="99"/>
    <w:semiHidden/>
    <w:unhideWhenUsed/>
    <w:rsid w:val="00A8189D"/>
  </w:style>
  <w:style w:type="numbering" w:customStyle="1" w:styleId="71220">
    <w:name w:val="Нет списка7122"/>
    <w:next w:val="a2"/>
    <w:uiPriority w:val="99"/>
    <w:semiHidden/>
    <w:unhideWhenUsed/>
    <w:rsid w:val="00A8189D"/>
  </w:style>
  <w:style w:type="table" w:customStyle="1" w:styleId="61221">
    <w:name w:val="Изысканная таблица6122"/>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22">
    <w:name w:val="Нет списка16122"/>
    <w:next w:val="a2"/>
    <w:uiPriority w:val="99"/>
    <w:semiHidden/>
    <w:unhideWhenUsed/>
    <w:rsid w:val="00A8189D"/>
  </w:style>
  <w:style w:type="table" w:customStyle="1" w:styleId="211221">
    <w:name w:val="Сетка таблицы21122"/>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2">
    <w:name w:val="Сетка таблицы3122"/>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Сетка таблицы22122"/>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2">
    <w:name w:val="Сетка таблицы4122"/>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22">
    <w:name w:val="Сетка таблицы5122"/>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22">
    <w:name w:val="Сетка таблицы6122"/>
    <w:basedOn w:val="a1"/>
    <w:next w:val="aff0"/>
    <w:uiPriority w:val="3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21">
    <w:name w:val="Сетка таблицы7122"/>
    <w:basedOn w:val="a1"/>
    <w:next w:val="aff0"/>
    <w:uiPriority w:val="5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
    <w:name w:val="Светлая заливка - Акцент 1122"/>
    <w:basedOn w:val="a1"/>
    <w:next w:val="-1"/>
    <w:uiPriority w:val="60"/>
    <w:rsid w:val="00A8189D"/>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22">
    <w:name w:val="Сетка таблицы8122"/>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2">
    <w:name w:val="Сетка таблицы9122"/>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0">
    <w:name w:val="Нет списка912"/>
    <w:next w:val="a2"/>
    <w:uiPriority w:val="99"/>
    <w:semiHidden/>
    <w:unhideWhenUsed/>
    <w:rsid w:val="00A8189D"/>
  </w:style>
  <w:style w:type="table" w:customStyle="1" w:styleId="14120">
    <w:name w:val="Сетка таблицы1412"/>
    <w:basedOn w:val="a1"/>
    <w:next w:val="aff0"/>
    <w:uiPriority w:val="5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23">
    <w:name w:val="Изысканная таблица812"/>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812">
    <w:name w:val="Нет списка1812"/>
    <w:next w:val="a2"/>
    <w:uiPriority w:val="99"/>
    <w:semiHidden/>
    <w:unhideWhenUsed/>
    <w:rsid w:val="00A8189D"/>
  </w:style>
  <w:style w:type="table" w:customStyle="1" w:styleId="15120">
    <w:name w:val="Сетка таблицы1512"/>
    <w:basedOn w:val="a1"/>
    <w:next w:val="aff0"/>
    <w:uiPriority w:val="39"/>
    <w:rsid w:val="00A8189D"/>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3120">
    <w:name w:val="Нет списка2312"/>
    <w:next w:val="a2"/>
    <w:uiPriority w:val="99"/>
    <w:semiHidden/>
    <w:unhideWhenUsed/>
    <w:rsid w:val="00A8189D"/>
  </w:style>
  <w:style w:type="table" w:customStyle="1" w:styleId="2412">
    <w:name w:val="Сетка таблицы2412"/>
    <w:basedOn w:val="a1"/>
    <w:next w:val="aff0"/>
    <w:uiPriority w:val="5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3">
    <w:name w:val="Изысканная таблица1212"/>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312">
    <w:name w:val="Нет списка11312"/>
    <w:next w:val="a2"/>
    <w:uiPriority w:val="99"/>
    <w:semiHidden/>
    <w:unhideWhenUsed/>
    <w:rsid w:val="00A8189D"/>
  </w:style>
  <w:style w:type="table" w:customStyle="1" w:styleId="112120">
    <w:name w:val="Сетка таблицы11212"/>
    <w:basedOn w:val="a1"/>
    <w:next w:val="aff0"/>
    <w:uiPriority w:val="59"/>
    <w:rsid w:val="00A8189D"/>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2120">
    <w:name w:val="Нет списка21212"/>
    <w:next w:val="a2"/>
    <w:uiPriority w:val="99"/>
    <w:semiHidden/>
    <w:unhideWhenUsed/>
    <w:rsid w:val="00A8189D"/>
  </w:style>
  <w:style w:type="numbering" w:customStyle="1" w:styleId="111212">
    <w:name w:val="Нет списка111212"/>
    <w:next w:val="a2"/>
    <w:uiPriority w:val="99"/>
    <w:semiHidden/>
    <w:unhideWhenUsed/>
    <w:rsid w:val="00A8189D"/>
  </w:style>
  <w:style w:type="numbering" w:customStyle="1" w:styleId="32120">
    <w:name w:val="Нет списка3212"/>
    <w:next w:val="a2"/>
    <w:uiPriority w:val="99"/>
    <w:semiHidden/>
    <w:unhideWhenUsed/>
    <w:rsid w:val="00A8189D"/>
  </w:style>
  <w:style w:type="table" w:customStyle="1" w:styleId="22123">
    <w:name w:val="Изысканная таблица2212"/>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212">
    <w:name w:val="Нет списка12212"/>
    <w:next w:val="a2"/>
    <w:uiPriority w:val="99"/>
    <w:semiHidden/>
    <w:unhideWhenUsed/>
    <w:rsid w:val="00A8189D"/>
  </w:style>
  <w:style w:type="numbering" w:customStyle="1" w:styleId="42120">
    <w:name w:val="Нет списка4212"/>
    <w:next w:val="a2"/>
    <w:uiPriority w:val="99"/>
    <w:semiHidden/>
    <w:unhideWhenUsed/>
    <w:rsid w:val="00A8189D"/>
  </w:style>
  <w:style w:type="table" w:customStyle="1" w:styleId="32121">
    <w:name w:val="Изысканная таблица3212"/>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212">
    <w:name w:val="Нет списка13212"/>
    <w:next w:val="a2"/>
    <w:uiPriority w:val="99"/>
    <w:semiHidden/>
    <w:unhideWhenUsed/>
    <w:rsid w:val="00A8189D"/>
  </w:style>
  <w:style w:type="numbering" w:customStyle="1" w:styleId="52120">
    <w:name w:val="Нет списка5212"/>
    <w:next w:val="a2"/>
    <w:uiPriority w:val="99"/>
    <w:semiHidden/>
    <w:unhideWhenUsed/>
    <w:rsid w:val="00A8189D"/>
  </w:style>
  <w:style w:type="table" w:customStyle="1" w:styleId="42121">
    <w:name w:val="Изысканная таблица4212"/>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212">
    <w:name w:val="Нет списка14212"/>
    <w:next w:val="a2"/>
    <w:uiPriority w:val="99"/>
    <w:semiHidden/>
    <w:unhideWhenUsed/>
    <w:rsid w:val="00A8189D"/>
  </w:style>
  <w:style w:type="numbering" w:customStyle="1" w:styleId="62120">
    <w:name w:val="Нет списка6212"/>
    <w:next w:val="a2"/>
    <w:uiPriority w:val="99"/>
    <w:semiHidden/>
    <w:unhideWhenUsed/>
    <w:rsid w:val="00A8189D"/>
  </w:style>
  <w:style w:type="table" w:customStyle="1" w:styleId="52121">
    <w:name w:val="Изысканная таблица5212"/>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212">
    <w:name w:val="Нет списка15212"/>
    <w:next w:val="a2"/>
    <w:uiPriority w:val="99"/>
    <w:semiHidden/>
    <w:unhideWhenUsed/>
    <w:rsid w:val="00A8189D"/>
  </w:style>
  <w:style w:type="numbering" w:customStyle="1" w:styleId="72120">
    <w:name w:val="Нет списка7212"/>
    <w:next w:val="a2"/>
    <w:uiPriority w:val="99"/>
    <w:semiHidden/>
    <w:unhideWhenUsed/>
    <w:rsid w:val="00A8189D"/>
  </w:style>
  <w:style w:type="table" w:customStyle="1" w:styleId="62121">
    <w:name w:val="Изысканная таблица6212"/>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212">
    <w:name w:val="Нет списка16212"/>
    <w:next w:val="a2"/>
    <w:uiPriority w:val="99"/>
    <w:semiHidden/>
    <w:unhideWhenUsed/>
    <w:rsid w:val="00A8189D"/>
  </w:style>
  <w:style w:type="table" w:customStyle="1" w:styleId="212121">
    <w:name w:val="Сетка таблицы21212"/>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2">
    <w:name w:val="Сетка таблицы3212"/>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12">
    <w:name w:val="Сетка таблицы22212"/>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2">
    <w:name w:val="Сетка таблицы4212"/>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2">
    <w:name w:val="Сетка таблицы5212"/>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2">
    <w:name w:val="Сетка таблицы6212"/>
    <w:basedOn w:val="a1"/>
    <w:next w:val="aff0"/>
    <w:uiPriority w:val="3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1">
    <w:name w:val="Сетка таблицы7212"/>
    <w:basedOn w:val="a1"/>
    <w:next w:val="aff0"/>
    <w:uiPriority w:val="5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
    <w:name w:val="Светлая заливка - Акцент 1212"/>
    <w:basedOn w:val="a1"/>
    <w:next w:val="-1"/>
    <w:uiPriority w:val="60"/>
    <w:rsid w:val="00A8189D"/>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212">
    <w:name w:val="Сетка таблицы8212"/>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12">
    <w:name w:val="Сетка таблицы9212"/>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20">
    <w:name w:val="Сетка таблицы12112"/>
    <w:basedOn w:val="a1"/>
    <w:next w:val="aff0"/>
    <w:uiPriority w:val="5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0">
    <w:name w:val="Нет списка8112"/>
    <w:next w:val="a2"/>
    <w:uiPriority w:val="99"/>
    <w:semiHidden/>
    <w:unhideWhenUsed/>
    <w:rsid w:val="00A8189D"/>
  </w:style>
  <w:style w:type="table" w:customStyle="1" w:styleId="10112">
    <w:name w:val="Сетка таблицы10112"/>
    <w:basedOn w:val="a1"/>
    <w:next w:val="aff0"/>
    <w:uiPriority w:val="3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2">
    <w:name w:val="Изысканная таблица7112"/>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112">
    <w:name w:val="Нет списка17112"/>
    <w:next w:val="a2"/>
    <w:uiPriority w:val="99"/>
    <w:semiHidden/>
    <w:unhideWhenUsed/>
    <w:rsid w:val="00A8189D"/>
  </w:style>
  <w:style w:type="table" w:customStyle="1" w:styleId="131120">
    <w:name w:val="Сетка таблицы13112"/>
    <w:basedOn w:val="a1"/>
    <w:next w:val="aff0"/>
    <w:uiPriority w:val="39"/>
    <w:rsid w:val="00A8189D"/>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1120">
    <w:name w:val="Нет списка22112"/>
    <w:next w:val="a2"/>
    <w:uiPriority w:val="99"/>
    <w:semiHidden/>
    <w:unhideWhenUsed/>
    <w:rsid w:val="00A8189D"/>
  </w:style>
  <w:style w:type="table" w:customStyle="1" w:styleId="23112">
    <w:name w:val="Сетка таблицы23112"/>
    <w:basedOn w:val="a1"/>
    <w:next w:val="aff0"/>
    <w:uiPriority w:val="5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3">
    <w:name w:val="Изысканная таблица11112"/>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112">
    <w:name w:val="Нет списка112112"/>
    <w:next w:val="a2"/>
    <w:uiPriority w:val="99"/>
    <w:semiHidden/>
    <w:unhideWhenUsed/>
    <w:rsid w:val="00A8189D"/>
  </w:style>
  <w:style w:type="table" w:customStyle="1" w:styleId="1111120">
    <w:name w:val="Сетка таблицы111112"/>
    <w:basedOn w:val="a1"/>
    <w:next w:val="aff0"/>
    <w:uiPriority w:val="59"/>
    <w:rsid w:val="00A8189D"/>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1120">
    <w:name w:val="Нет списка211112"/>
    <w:next w:val="a2"/>
    <w:uiPriority w:val="99"/>
    <w:semiHidden/>
    <w:unhideWhenUsed/>
    <w:rsid w:val="00A8189D"/>
  </w:style>
  <w:style w:type="numbering" w:customStyle="1" w:styleId="1111112">
    <w:name w:val="Нет списка1111112"/>
    <w:next w:val="a2"/>
    <w:uiPriority w:val="99"/>
    <w:semiHidden/>
    <w:unhideWhenUsed/>
    <w:rsid w:val="00A8189D"/>
  </w:style>
  <w:style w:type="numbering" w:customStyle="1" w:styleId="311120">
    <w:name w:val="Нет списка31112"/>
    <w:next w:val="a2"/>
    <w:uiPriority w:val="99"/>
    <w:semiHidden/>
    <w:unhideWhenUsed/>
    <w:rsid w:val="00A8189D"/>
  </w:style>
  <w:style w:type="table" w:customStyle="1" w:styleId="211122">
    <w:name w:val="Изысканная таблица21112"/>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112">
    <w:name w:val="Нет списка121112"/>
    <w:next w:val="a2"/>
    <w:uiPriority w:val="99"/>
    <w:semiHidden/>
    <w:unhideWhenUsed/>
    <w:rsid w:val="00A8189D"/>
  </w:style>
  <w:style w:type="numbering" w:customStyle="1" w:styleId="411120">
    <w:name w:val="Нет списка41112"/>
    <w:next w:val="a2"/>
    <w:uiPriority w:val="99"/>
    <w:semiHidden/>
    <w:unhideWhenUsed/>
    <w:rsid w:val="00A8189D"/>
  </w:style>
  <w:style w:type="table" w:customStyle="1" w:styleId="311121">
    <w:name w:val="Изысканная таблица31112"/>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112">
    <w:name w:val="Нет списка131112"/>
    <w:next w:val="a2"/>
    <w:uiPriority w:val="99"/>
    <w:semiHidden/>
    <w:unhideWhenUsed/>
    <w:rsid w:val="00A8189D"/>
  </w:style>
  <w:style w:type="numbering" w:customStyle="1" w:styleId="511120">
    <w:name w:val="Нет списка51112"/>
    <w:next w:val="a2"/>
    <w:uiPriority w:val="99"/>
    <w:semiHidden/>
    <w:unhideWhenUsed/>
    <w:rsid w:val="00A8189D"/>
  </w:style>
  <w:style w:type="table" w:customStyle="1" w:styleId="411121">
    <w:name w:val="Изысканная таблица41112"/>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112">
    <w:name w:val="Нет списка141112"/>
    <w:next w:val="a2"/>
    <w:uiPriority w:val="99"/>
    <w:semiHidden/>
    <w:unhideWhenUsed/>
    <w:rsid w:val="00A8189D"/>
  </w:style>
  <w:style w:type="numbering" w:customStyle="1" w:styleId="611120">
    <w:name w:val="Нет списка61112"/>
    <w:next w:val="a2"/>
    <w:uiPriority w:val="99"/>
    <w:semiHidden/>
    <w:unhideWhenUsed/>
    <w:rsid w:val="00A8189D"/>
  </w:style>
  <w:style w:type="table" w:customStyle="1" w:styleId="511121">
    <w:name w:val="Изысканная таблица51112"/>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112">
    <w:name w:val="Нет списка151112"/>
    <w:next w:val="a2"/>
    <w:uiPriority w:val="99"/>
    <w:semiHidden/>
    <w:unhideWhenUsed/>
    <w:rsid w:val="00A8189D"/>
  </w:style>
  <w:style w:type="numbering" w:customStyle="1" w:styleId="711120">
    <w:name w:val="Нет списка71112"/>
    <w:next w:val="a2"/>
    <w:uiPriority w:val="99"/>
    <w:semiHidden/>
    <w:unhideWhenUsed/>
    <w:rsid w:val="00A8189D"/>
  </w:style>
  <w:style w:type="table" w:customStyle="1" w:styleId="611121">
    <w:name w:val="Изысканная таблица61112"/>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112">
    <w:name w:val="Нет списка161112"/>
    <w:next w:val="a2"/>
    <w:uiPriority w:val="99"/>
    <w:semiHidden/>
    <w:unhideWhenUsed/>
    <w:rsid w:val="00A8189D"/>
  </w:style>
  <w:style w:type="table" w:customStyle="1" w:styleId="2111121">
    <w:name w:val="Сетка таблицы211112"/>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2">
    <w:name w:val="Сетка таблицы31112"/>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2">
    <w:name w:val="Сетка таблицы221112"/>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2">
    <w:name w:val="Сетка таблицы41112"/>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22">
    <w:name w:val="Сетка таблицы51112"/>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22">
    <w:name w:val="Сетка таблицы61112"/>
    <w:basedOn w:val="a1"/>
    <w:next w:val="aff0"/>
    <w:uiPriority w:val="3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21">
    <w:name w:val="Сетка таблицы71112"/>
    <w:basedOn w:val="a1"/>
    <w:next w:val="aff0"/>
    <w:uiPriority w:val="5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
    <w:name w:val="Светлая заливка - Акцент 11112"/>
    <w:basedOn w:val="a1"/>
    <w:next w:val="-1"/>
    <w:uiPriority w:val="60"/>
    <w:rsid w:val="00A8189D"/>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112">
    <w:name w:val="Сетка таблицы81112"/>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12">
    <w:name w:val="Сетка таблицы91112"/>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10">
    <w:name w:val="Нет списка201"/>
    <w:next w:val="a2"/>
    <w:uiPriority w:val="99"/>
    <w:semiHidden/>
    <w:unhideWhenUsed/>
    <w:rsid w:val="00A8189D"/>
  </w:style>
  <w:style w:type="table" w:customStyle="1" w:styleId="1810">
    <w:name w:val="Сетка таблицы181"/>
    <w:basedOn w:val="a1"/>
    <w:next w:val="aff0"/>
    <w:uiPriority w:val="5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4">
    <w:name w:val="Изысканная таблица10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010">
    <w:name w:val="Нет списка1101"/>
    <w:next w:val="a2"/>
    <w:uiPriority w:val="99"/>
    <w:semiHidden/>
    <w:unhideWhenUsed/>
    <w:rsid w:val="00A8189D"/>
  </w:style>
  <w:style w:type="table" w:customStyle="1" w:styleId="1911">
    <w:name w:val="Сетка таблицы191"/>
    <w:basedOn w:val="a1"/>
    <w:next w:val="aff0"/>
    <w:uiPriority w:val="39"/>
    <w:rsid w:val="00A8189D"/>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511">
    <w:name w:val="Нет списка251"/>
    <w:next w:val="a2"/>
    <w:uiPriority w:val="99"/>
    <w:semiHidden/>
    <w:unhideWhenUsed/>
    <w:rsid w:val="00A8189D"/>
  </w:style>
  <w:style w:type="table" w:customStyle="1" w:styleId="2610">
    <w:name w:val="Сетка таблицы261"/>
    <w:basedOn w:val="a1"/>
    <w:next w:val="aff0"/>
    <w:uiPriority w:val="5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5">
    <w:name w:val="Изысканная таблица14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51">
    <w:name w:val="Нет списка1151"/>
    <w:next w:val="a2"/>
    <w:uiPriority w:val="99"/>
    <w:semiHidden/>
    <w:unhideWhenUsed/>
    <w:rsid w:val="00A8189D"/>
  </w:style>
  <w:style w:type="table" w:customStyle="1" w:styleId="11411">
    <w:name w:val="Сетка таблицы1141"/>
    <w:basedOn w:val="a1"/>
    <w:next w:val="aff0"/>
    <w:uiPriority w:val="59"/>
    <w:rsid w:val="00A8189D"/>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410">
    <w:name w:val="Нет списка2141"/>
    <w:next w:val="a2"/>
    <w:uiPriority w:val="99"/>
    <w:semiHidden/>
    <w:unhideWhenUsed/>
    <w:rsid w:val="00A8189D"/>
  </w:style>
  <w:style w:type="numbering" w:customStyle="1" w:styleId="11141">
    <w:name w:val="Нет списка11141"/>
    <w:next w:val="a2"/>
    <w:uiPriority w:val="99"/>
    <w:semiHidden/>
    <w:unhideWhenUsed/>
    <w:rsid w:val="00A8189D"/>
  </w:style>
  <w:style w:type="numbering" w:customStyle="1" w:styleId="3410">
    <w:name w:val="Нет списка341"/>
    <w:next w:val="a2"/>
    <w:uiPriority w:val="99"/>
    <w:semiHidden/>
    <w:unhideWhenUsed/>
    <w:rsid w:val="00A8189D"/>
  </w:style>
  <w:style w:type="table" w:customStyle="1" w:styleId="2413">
    <w:name w:val="Изысканная таблица24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41">
    <w:name w:val="Нет списка1241"/>
    <w:next w:val="a2"/>
    <w:uiPriority w:val="99"/>
    <w:semiHidden/>
    <w:unhideWhenUsed/>
    <w:rsid w:val="00A8189D"/>
  </w:style>
  <w:style w:type="numbering" w:customStyle="1" w:styleId="4410">
    <w:name w:val="Нет списка441"/>
    <w:next w:val="a2"/>
    <w:uiPriority w:val="99"/>
    <w:semiHidden/>
    <w:unhideWhenUsed/>
    <w:rsid w:val="00A8189D"/>
  </w:style>
  <w:style w:type="table" w:customStyle="1" w:styleId="3411">
    <w:name w:val="Изысканная таблица34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41">
    <w:name w:val="Нет списка1341"/>
    <w:next w:val="a2"/>
    <w:uiPriority w:val="99"/>
    <w:semiHidden/>
    <w:unhideWhenUsed/>
    <w:rsid w:val="00A8189D"/>
  </w:style>
  <w:style w:type="numbering" w:customStyle="1" w:styleId="5410">
    <w:name w:val="Нет списка541"/>
    <w:next w:val="a2"/>
    <w:uiPriority w:val="99"/>
    <w:semiHidden/>
    <w:unhideWhenUsed/>
    <w:rsid w:val="00A8189D"/>
  </w:style>
  <w:style w:type="table" w:customStyle="1" w:styleId="4411">
    <w:name w:val="Изысканная таблица44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41">
    <w:name w:val="Нет списка1441"/>
    <w:next w:val="a2"/>
    <w:uiPriority w:val="99"/>
    <w:semiHidden/>
    <w:unhideWhenUsed/>
    <w:rsid w:val="00A8189D"/>
  </w:style>
  <w:style w:type="numbering" w:customStyle="1" w:styleId="6410">
    <w:name w:val="Нет списка641"/>
    <w:next w:val="a2"/>
    <w:uiPriority w:val="99"/>
    <w:semiHidden/>
    <w:unhideWhenUsed/>
    <w:rsid w:val="00A8189D"/>
  </w:style>
  <w:style w:type="table" w:customStyle="1" w:styleId="5411">
    <w:name w:val="Изысканная таблица54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41">
    <w:name w:val="Нет списка1541"/>
    <w:next w:val="a2"/>
    <w:uiPriority w:val="99"/>
    <w:semiHidden/>
    <w:unhideWhenUsed/>
    <w:rsid w:val="00A8189D"/>
  </w:style>
  <w:style w:type="numbering" w:customStyle="1" w:styleId="7410">
    <w:name w:val="Нет списка741"/>
    <w:next w:val="a2"/>
    <w:uiPriority w:val="99"/>
    <w:semiHidden/>
    <w:unhideWhenUsed/>
    <w:rsid w:val="00A8189D"/>
  </w:style>
  <w:style w:type="table" w:customStyle="1" w:styleId="6411">
    <w:name w:val="Изысканная таблица64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41">
    <w:name w:val="Нет списка1641"/>
    <w:next w:val="a2"/>
    <w:uiPriority w:val="99"/>
    <w:semiHidden/>
    <w:unhideWhenUsed/>
    <w:rsid w:val="00A8189D"/>
  </w:style>
  <w:style w:type="table" w:customStyle="1" w:styleId="21411">
    <w:name w:val="Сетка таблицы2141"/>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
    <w:name w:val="Сетка таблицы341"/>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1">
    <w:name w:val="Сетка таблицы2241"/>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2">
    <w:name w:val="Сетка таблицы441"/>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12">
    <w:name w:val="Сетка таблицы541"/>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12">
    <w:name w:val="Сетка таблицы641"/>
    <w:basedOn w:val="a1"/>
    <w:next w:val="aff0"/>
    <w:uiPriority w:val="3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11">
    <w:name w:val="Сетка таблицы741"/>
    <w:basedOn w:val="a1"/>
    <w:next w:val="aff0"/>
    <w:uiPriority w:val="5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Светлая заливка - Акцент 141"/>
    <w:basedOn w:val="a1"/>
    <w:next w:val="-1"/>
    <w:uiPriority w:val="60"/>
    <w:rsid w:val="00A8189D"/>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410">
    <w:name w:val="Сетка таблицы841"/>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1">
    <w:name w:val="Сетка таблицы941"/>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0">
    <w:name w:val="Сетка таблицы1231"/>
    <w:basedOn w:val="a1"/>
    <w:next w:val="aff0"/>
    <w:uiPriority w:val="5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11">
    <w:name w:val="Нет списка831"/>
    <w:next w:val="a2"/>
    <w:uiPriority w:val="99"/>
    <w:semiHidden/>
    <w:unhideWhenUsed/>
    <w:rsid w:val="00A8189D"/>
  </w:style>
  <w:style w:type="table" w:customStyle="1" w:styleId="1031">
    <w:name w:val="Сетка таблицы1031"/>
    <w:basedOn w:val="a1"/>
    <w:next w:val="aff0"/>
    <w:uiPriority w:val="3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2">
    <w:name w:val="Изысканная таблица73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31">
    <w:name w:val="Нет списка1731"/>
    <w:next w:val="a2"/>
    <w:uiPriority w:val="99"/>
    <w:semiHidden/>
    <w:unhideWhenUsed/>
    <w:rsid w:val="00A8189D"/>
  </w:style>
  <w:style w:type="table" w:customStyle="1" w:styleId="13311">
    <w:name w:val="Сетка таблицы1331"/>
    <w:basedOn w:val="a1"/>
    <w:next w:val="aff0"/>
    <w:uiPriority w:val="39"/>
    <w:rsid w:val="00A8189D"/>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310">
    <w:name w:val="Нет списка2231"/>
    <w:next w:val="a2"/>
    <w:uiPriority w:val="99"/>
    <w:semiHidden/>
    <w:unhideWhenUsed/>
    <w:rsid w:val="00A8189D"/>
  </w:style>
  <w:style w:type="table" w:customStyle="1" w:styleId="2331">
    <w:name w:val="Сетка таблицы2331"/>
    <w:basedOn w:val="a1"/>
    <w:next w:val="aff0"/>
    <w:uiPriority w:val="5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3">
    <w:name w:val="Изысканная таблица113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31">
    <w:name w:val="Нет списка11231"/>
    <w:next w:val="a2"/>
    <w:uiPriority w:val="99"/>
    <w:semiHidden/>
    <w:unhideWhenUsed/>
    <w:rsid w:val="00A8189D"/>
  </w:style>
  <w:style w:type="table" w:customStyle="1" w:styleId="111311">
    <w:name w:val="Сетка таблицы11131"/>
    <w:basedOn w:val="a1"/>
    <w:next w:val="aff0"/>
    <w:uiPriority w:val="59"/>
    <w:rsid w:val="00A8189D"/>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310">
    <w:name w:val="Нет списка21131"/>
    <w:next w:val="a2"/>
    <w:uiPriority w:val="99"/>
    <w:semiHidden/>
    <w:unhideWhenUsed/>
    <w:rsid w:val="00A8189D"/>
  </w:style>
  <w:style w:type="numbering" w:customStyle="1" w:styleId="1111310">
    <w:name w:val="Нет списка111131"/>
    <w:next w:val="a2"/>
    <w:uiPriority w:val="99"/>
    <w:semiHidden/>
    <w:unhideWhenUsed/>
    <w:rsid w:val="00A8189D"/>
  </w:style>
  <w:style w:type="numbering" w:customStyle="1" w:styleId="31310">
    <w:name w:val="Нет списка3131"/>
    <w:next w:val="a2"/>
    <w:uiPriority w:val="99"/>
    <w:semiHidden/>
    <w:unhideWhenUsed/>
    <w:rsid w:val="00A8189D"/>
  </w:style>
  <w:style w:type="table" w:customStyle="1" w:styleId="21312">
    <w:name w:val="Изысканная таблица213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310">
    <w:name w:val="Нет списка12131"/>
    <w:next w:val="a2"/>
    <w:uiPriority w:val="99"/>
    <w:semiHidden/>
    <w:unhideWhenUsed/>
    <w:rsid w:val="00A8189D"/>
  </w:style>
  <w:style w:type="numbering" w:customStyle="1" w:styleId="41310">
    <w:name w:val="Нет списка4131"/>
    <w:next w:val="a2"/>
    <w:uiPriority w:val="99"/>
    <w:semiHidden/>
    <w:unhideWhenUsed/>
    <w:rsid w:val="00A8189D"/>
  </w:style>
  <w:style w:type="table" w:customStyle="1" w:styleId="31311">
    <w:name w:val="Изысканная таблица313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31">
    <w:name w:val="Нет списка13131"/>
    <w:next w:val="a2"/>
    <w:uiPriority w:val="99"/>
    <w:semiHidden/>
    <w:unhideWhenUsed/>
    <w:rsid w:val="00A8189D"/>
  </w:style>
  <w:style w:type="numbering" w:customStyle="1" w:styleId="51310">
    <w:name w:val="Нет списка5131"/>
    <w:next w:val="a2"/>
    <w:uiPriority w:val="99"/>
    <w:semiHidden/>
    <w:unhideWhenUsed/>
    <w:rsid w:val="00A8189D"/>
  </w:style>
  <w:style w:type="table" w:customStyle="1" w:styleId="41311">
    <w:name w:val="Изысканная таблица413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31">
    <w:name w:val="Нет списка14131"/>
    <w:next w:val="a2"/>
    <w:uiPriority w:val="99"/>
    <w:semiHidden/>
    <w:unhideWhenUsed/>
    <w:rsid w:val="00A8189D"/>
  </w:style>
  <w:style w:type="numbering" w:customStyle="1" w:styleId="61310">
    <w:name w:val="Нет списка6131"/>
    <w:next w:val="a2"/>
    <w:uiPriority w:val="99"/>
    <w:semiHidden/>
    <w:unhideWhenUsed/>
    <w:rsid w:val="00A8189D"/>
  </w:style>
  <w:style w:type="table" w:customStyle="1" w:styleId="51311">
    <w:name w:val="Изысканная таблица513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31">
    <w:name w:val="Нет списка15131"/>
    <w:next w:val="a2"/>
    <w:uiPriority w:val="99"/>
    <w:semiHidden/>
    <w:unhideWhenUsed/>
    <w:rsid w:val="00A8189D"/>
  </w:style>
  <w:style w:type="numbering" w:customStyle="1" w:styleId="71310">
    <w:name w:val="Нет списка7131"/>
    <w:next w:val="a2"/>
    <w:uiPriority w:val="99"/>
    <w:semiHidden/>
    <w:unhideWhenUsed/>
    <w:rsid w:val="00A8189D"/>
  </w:style>
  <w:style w:type="table" w:customStyle="1" w:styleId="61311">
    <w:name w:val="Изысканная таблица613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31">
    <w:name w:val="Нет списка16131"/>
    <w:next w:val="a2"/>
    <w:uiPriority w:val="99"/>
    <w:semiHidden/>
    <w:unhideWhenUsed/>
    <w:rsid w:val="00A8189D"/>
  </w:style>
  <w:style w:type="table" w:customStyle="1" w:styleId="211311">
    <w:name w:val="Сетка таблицы21131"/>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2">
    <w:name w:val="Сетка таблицы3131"/>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10">
    <w:name w:val="Сетка таблицы22131"/>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2">
    <w:name w:val="Сетка таблицы4131"/>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12">
    <w:name w:val="Сетка таблицы5131"/>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12">
    <w:name w:val="Сетка таблицы6131"/>
    <w:basedOn w:val="a1"/>
    <w:next w:val="aff0"/>
    <w:uiPriority w:val="3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11">
    <w:name w:val="Сетка таблицы7131"/>
    <w:basedOn w:val="a1"/>
    <w:next w:val="aff0"/>
    <w:uiPriority w:val="5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Светлая заливка - Акцент 1131"/>
    <w:basedOn w:val="a1"/>
    <w:next w:val="-1"/>
    <w:uiPriority w:val="60"/>
    <w:rsid w:val="00A8189D"/>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310">
    <w:name w:val="Сетка таблицы8131"/>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31">
    <w:name w:val="Сетка таблицы9131"/>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10">
    <w:name w:val="Нет списка921"/>
    <w:next w:val="a2"/>
    <w:uiPriority w:val="99"/>
    <w:semiHidden/>
    <w:unhideWhenUsed/>
    <w:rsid w:val="00A8189D"/>
  </w:style>
  <w:style w:type="table" w:customStyle="1" w:styleId="14210">
    <w:name w:val="Сетка таблицы1421"/>
    <w:basedOn w:val="a1"/>
    <w:next w:val="aff0"/>
    <w:uiPriority w:val="5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13">
    <w:name w:val="Изысканная таблица82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821">
    <w:name w:val="Нет списка1821"/>
    <w:next w:val="a2"/>
    <w:uiPriority w:val="99"/>
    <w:semiHidden/>
    <w:unhideWhenUsed/>
    <w:rsid w:val="00A8189D"/>
  </w:style>
  <w:style w:type="table" w:customStyle="1" w:styleId="15210">
    <w:name w:val="Сетка таблицы1521"/>
    <w:basedOn w:val="a1"/>
    <w:next w:val="aff0"/>
    <w:uiPriority w:val="39"/>
    <w:rsid w:val="00A8189D"/>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3211">
    <w:name w:val="Нет списка2321"/>
    <w:next w:val="a2"/>
    <w:uiPriority w:val="99"/>
    <w:semiHidden/>
    <w:unhideWhenUsed/>
    <w:rsid w:val="00A8189D"/>
  </w:style>
  <w:style w:type="table" w:customStyle="1" w:styleId="24210">
    <w:name w:val="Сетка таблицы2421"/>
    <w:basedOn w:val="a1"/>
    <w:next w:val="aff0"/>
    <w:uiPriority w:val="5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3">
    <w:name w:val="Изысканная таблица122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3210">
    <w:name w:val="Нет списка11321"/>
    <w:next w:val="a2"/>
    <w:uiPriority w:val="99"/>
    <w:semiHidden/>
    <w:unhideWhenUsed/>
    <w:rsid w:val="00A8189D"/>
  </w:style>
  <w:style w:type="table" w:customStyle="1" w:styleId="112211">
    <w:name w:val="Сетка таблицы11221"/>
    <w:basedOn w:val="a1"/>
    <w:next w:val="aff0"/>
    <w:uiPriority w:val="59"/>
    <w:rsid w:val="00A8189D"/>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2210">
    <w:name w:val="Нет списка21221"/>
    <w:next w:val="a2"/>
    <w:uiPriority w:val="99"/>
    <w:semiHidden/>
    <w:unhideWhenUsed/>
    <w:rsid w:val="00A8189D"/>
  </w:style>
  <w:style w:type="numbering" w:customStyle="1" w:styleId="111221">
    <w:name w:val="Нет списка111221"/>
    <w:next w:val="a2"/>
    <w:uiPriority w:val="99"/>
    <w:semiHidden/>
    <w:unhideWhenUsed/>
    <w:rsid w:val="00A8189D"/>
  </w:style>
  <w:style w:type="numbering" w:customStyle="1" w:styleId="32210">
    <w:name w:val="Нет списка3221"/>
    <w:next w:val="a2"/>
    <w:uiPriority w:val="99"/>
    <w:semiHidden/>
    <w:unhideWhenUsed/>
    <w:rsid w:val="00A8189D"/>
  </w:style>
  <w:style w:type="table" w:customStyle="1" w:styleId="22213">
    <w:name w:val="Изысканная таблица222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2210">
    <w:name w:val="Нет списка12221"/>
    <w:next w:val="a2"/>
    <w:uiPriority w:val="99"/>
    <w:semiHidden/>
    <w:unhideWhenUsed/>
    <w:rsid w:val="00A8189D"/>
  </w:style>
  <w:style w:type="numbering" w:customStyle="1" w:styleId="42210">
    <w:name w:val="Нет списка4221"/>
    <w:next w:val="a2"/>
    <w:uiPriority w:val="99"/>
    <w:semiHidden/>
    <w:unhideWhenUsed/>
    <w:rsid w:val="00A8189D"/>
  </w:style>
  <w:style w:type="table" w:customStyle="1" w:styleId="32211">
    <w:name w:val="Изысканная таблица322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221">
    <w:name w:val="Нет списка13221"/>
    <w:next w:val="a2"/>
    <w:uiPriority w:val="99"/>
    <w:semiHidden/>
    <w:unhideWhenUsed/>
    <w:rsid w:val="00A8189D"/>
  </w:style>
  <w:style w:type="numbering" w:customStyle="1" w:styleId="52210">
    <w:name w:val="Нет списка5221"/>
    <w:next w:val="a2"/>
    <w:uiPriority w:val="99"/>
    <w:semiHidden/>
    <w:unhideWhenUsed/>
    <w:rsid w:val="00A8189D"/>
  </w:style>
  <w:style w:type="table" w:customStyle="1" w:styleId="42211">
    <w:name w:val="Изысканная таблица422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221">
    <w:name w:val="Нет списка14221"/>
    <w:next w:val="a2"/>
    <w:uiPriority w:val="99"/>
    <w:semiHidden/>
    <w:unhideWhenUsed/>
    <w:rsid w:val="00A8189D"/>
  </w:style>
  <w:style w:type="numbering" w:customStyle="1" w:styleId="62210">
    <w:name w:val="Нет списка6221"/>
    <w:next w:val="a2"/>
    <w:uiPriority w:val="99"/>
    <w:semiHidden/>
    <w:unhideWhenUsed/>
    <w:rsid w:val="00A8189D"/>
  </w:style>
  <w:style w:type="table" w:customStyle="1" w:styleId="52211">
    <w:name w:val="Изысканная таблица522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221">
    <w:name w:val="Нет списка15221"/>
    <w:next w:val="a2"/>
    <w:uiPriority w:val="99"/>
    <w:semiHidden/>
    <w:unhideWhenUsed/>
    <w:rsid w:val="00A8189D"/>
  </w:style>
  <w:style w:type="numbering" w:customStyle="1" w:styleId="72210">
    <w:name w:val="Нет списка7221"/>
    <w:next w:val="a2"/>
    <w:uiPriority w:val="99"/>
    <w:semiHidden/>
    <w:unhideWhenUsed/>
    <w:rsid w:val="00A8189D"/>
  </w:style>
  <w:style w:type="table" w:customStyle="1" w:styleId="62211">
    <w:name w:val="Изысканная таблица622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221">
    <w:name w:val="Нет списка16221"/>
    <w:next w:val="a2"/>
    <w:uiPriority w:val="99"/>
    <w:semiHidden/>
    <w:unhideWhenUsed/>
    <w:rsid w:val="00A8189D"/>
  </w:style>
  <w:style w:type="table" w:customStyle="1" w:styleId="212211">
    <w:name w:val="Сетка таблицы21221"/>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Сетка таблицы3221"/>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10">
    <w:name w:val="Сетка таблицы22221"/>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2">
    <w:name w:val="Сетка таблицы4221"/>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12">
    <w:name w:val="Сетка таблицы5221"/>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12">
    <w:name w:val="Сетка таблицы6221"/>
    <w:basedOn w:val="a1"/>
    <w:next w:val="aff0"/>
    <w:uiPriority w:val="3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11">
    <w:name w:val="Сетка таблицы7221"/>
    <w:basedOn w:val="a1"/>
    <w:next w:val="aff0"/>
    <w:uiPriority w:val="5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
    <w:name w:val="Светлая заливка - Акцент 1221"/>
    <w:basedOn w:val="a1"/>
    <w:next w:val="-1"/>
    <w:uiPriority w:val="60"/>
    <w:rsid w:val="00A8189D"/>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2210">
    <w:name w:val="Сетка таблицы8221"/>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21">
    <w:name w:val="Сетка таблицы9221"/>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10">
    <w:name w:val="Сетка таблицы12121"/>
    <w:basedOn w:val="a1"/>
    <w:next w:val="aff0"/>
    <w:uiPriority w:val="5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0">
    <w:name w:val="Нет списка8121"/>
    <w:next w:val="a2"/>
    <w:uiPriority w:val="99"/>
    <w:semiHidden/>
    <w:unhideWhenUsed/>
    <w:rsid w:val="00A8189D"/>
  </w:style>
  <w:style w:type="table" w:customStyle="1" w:styleId="10121">
    <w:name w:val="Сетка таблицы10121"/>
    <w:basedOn w:val="a1"/>
    <w:next w:val="aff0"/>
    <w:uiPriority w:val="3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12">
    <w:name w:val="Изысканная таблица712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121">
    <w:name w:val="Нет списка17121"/>
    <w:next w:val="a2"/>
    <w:uiPriority w:val="99"/>
    <w:semiHidden/>
    <w:unhideWhenUsed/>
    <w:rsid w:val="00A8189D"/>
  </w:style>
  <w:style w:type="table" w:customStyle="1" w:styleId="131210">
    <w:name w:val="Сетка таблицы13121"/>
    <w:basedOn w:val="a1"/>
    <w:next w:val="aff0"/>
    <w:uiPriority w:val="39"/>
    <w:rsid w:val="00A8189D"/>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1210">
    <w:name w:val="Нет списка22121"/>
    <w:next w:val="a2"/>
    <w:uiPriority w:val="99"/>
    <w:semiHidden/>
    <w:unhideWhenUsed/>
    <w:rsid w:val="00A8189D"/>
  </w:style>
  <w:style w:type="table" w:customStyle="1" w:styleId="23121">
    <w:name w:val="Сетка таблицы23121"/>
    <w:basedOn w:val="a1"/>
    <w:next w:val="aff0"/>
    <w:uiPriority w:val="5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3">
    <w:name w:val="Изысканная таблица1112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121">
    <w:name w:val="Нет списка112121"/>
    <w:next w:val="a2"/>
    <w:uiPriority w:val="99"/>
    <w:semiHidden/>
    <w:unhideWhenUsed/>
    <w:rsid w:val="00A8189D"/>
  </w:style>
  <w:style w:type="table" w:customStyle="1" w:styleId="1111210">
    <w:name w:val="Сетка таблицы111121"/>
    <w:basedOn w:val="a1"/>
    <w:next w:val="aff0"/>
    <w:uiPriority w:val="59"/>
    <w:rsid w:val="00A8189D"/>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1210">
    <w:name w:val="Нет списка211121"/>
    <w:next w:val="a2"/>
    <w:uiPriority w:val="99"/>
    <w:semiHidden/>
    <w:unhideWhenUsed/>
    <w:rsid w:val="00A8189D"/>
  </w:style>
  <w:style w:type="numbering" w:customStyle="1" w:styleId="1111121">
    <w:name w:val="Нет списка1111121"/>
    <w:next w:val="a2"/>
    <w:uiPriority w:val="99"/>
    <w:semiHidden/>
    <w:unhideWhenUsed/>
    <w:rsid w:val="00A8189D"/>
  </w:style>
  <w:style w:type="numbering" w:customStyle="1" w:styleId="311210">
    <w:name w:val="Нет списка31121"/>
    <w:next w:val="a2"/>
    <w:uiPriority w:val="99"/>
    <w:semiHidden/>
    <w:unhideWhenUsed/>
    <w:rsid w:val="00A8189D"/>
  </w:style>
  <w:style w:type="table" w:customStyle="1" w:styleId="211212">
    <w:name w:val="Изысканная таблица2112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121">
    <w:name w:val="Нет списка121121"/>
    <w:next w:val="a2"/>
    <w:uiPriority w:val="99"/>
    <w:semiHidden/>
    <w:unhideWhenUsed/>
    <w:rsid w:val="00A8189D"/>
  </w:style>
  <w:style w:type="numbering" w:customStyle="1" w:styleId="411210">
    <w:name w:val="Нет списка41121"/>
    <w:next w:val="a2"/>
    <w:uiPriority w:val="99"/>
    <w:semiHidden/>
    <w:unhideWhenUsed/>
    <w:rsid w:val="00A8189D"/>
  </w:style>
  <w:style w:type="table" w:customStyle="1" w:styleId="311211">
    <w:name w:val="Изысканная таблица3112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121">
    <w:name w:val="Нет списка131121"/>
    <w:next w:val="a2"/>
    <w:uiPriority w:val="99"/>
    <w:semiHidden/>
    <w:unhideWhenUsed/>
    <w:rsid w:val="00A8189D"/>
  </w:style>
  <w:style w:type="numbering" w:customStyle="1" w:styleId="511210">
    <w:name w:val="Нет списка51121"/>
    <w:next w:val="a2"/>
    <w:uiPriority w:val="99"/>
    <w:semiHidden/>
    <w:unhideWhenUsed/>
    <w:rsid w:val="00A8189D"/>
  </w:style>
  <w:style w:type="table" w:customStyle="1" w:styleId="411211">
    <w:name w:val="Изысканная таблица4112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121">
    <w:name w:val="Нет списка141121"/>
    <w:next w:val="a2"/>
    <w:uiPriority w:val="99"/>
    <w:semiHidden/>
    <w:unhideWhenUsed/>
    <w:rsid w:val="00A8189D"/>
  </w:style>
  <w:style w:type="numbering" w:customStyle="1" w:styleId="611210">
    <w:name w:val="Нет списка61121"/>
    <w:next w:val="a2"/>
    <w:uiPriority w:val="99"/>
    <w:semiHidden/>
    <w:unhideWhenUsed/>
    <w:rsid w:val="00A8189D"/>
  </w:style>
  <w:style w:type="table" w:customStyle="1" w:styleId="511211">
    <w:name w:val="Изысканная таблица5112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121">
    <w:name w:val="Нет списка151121"/>
    <w:next w:val="a2"/>
    <w:uiPriority w:val="99"/>
    <w:semiHidden/>
    <w:unhideWhenUsed/>
    <w:rsid w:val="00A8189D"/>
  </w:style>
  <w:style w:type="numbering" w:customStyle="1" w:styleId="711210">
    <w:name w:val="Нет списка71121"/>
    <w:next w:val="a2"/>
    <w:uiPriority w:val="99"/>
    <w:semiHidden/>
    <w:unhideWhenUsed/>
    <w:rsid w:val="00A8189D"/>
  </w:style>
  <w:style w:type="table" w:customStyle="1" w:styleId="611211">
    <w:name w:val="Изысканная таблица6112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121">
    <w:name w:val="Нет списка161121"/>
    <w:next w:val="a2"/>
    <w:uiPriority w:val="99"/>
    <w:semiHidden/>
    <w:unhideWhenUsed/>
    <w:rsid w:val="00A8189D"/>
  </w:style>
  <w:style w:type="table" w:customStyle="1" w:styleId="2111211">
    <w:name w:val="Сетка таблицы211121"/>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12">
    <w:name w:val="Сетка таблицы31121"/>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21">
    <w:name w:val="Сетка таблицы221121"/>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12">
    <w:name w:val="Сетка таблицы41121"/>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12">
    <w:name w:val="Сетка таблицы51121"/>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12">
    <w:name w:val="Сетка таблицы61121"/>
    <w:basedOn w:val="a1"/>
    <w:next w:val="aff0"/>
    <w:uiPriority w:val="3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11">
    <w:name w:val="Сетка таблицы71121"/>
    <w:basedOn w:val="a1"/>
    <w:next w:val="aff0"/>
    <w:uiPriority w:val="5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
    <w:name w:val="Светлая заливка - Акцент 11121"/>
    <w:basedOn w:val="a1"/>
    <w:next w:val="-1"/>
    <w:uiPriority w:val="60"/>
    <w:rsid w:val="00A8189D"/>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121">
    <w:name w:val="Сетка таблицы81121"/>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21">
    <w:name w:val="Сетка таблицы91121"/>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Нет списка1011"/>
    <w:next w:val="a2"/>
    <w:uiPriority w:val="99"/>
    <w:semiHidden/>
    <w:unhideWhenUsed/>
    <w:rsid w:val="00A8189D"/>
  </w:style>
  <w:style w:type="table" w:customStyle="1" w:styleId="16110">
    <w:name w:val="Сетка таблицы1611"/>
    <w:basedOn w:val="a1"/>
    <w:next w:val="aff0"/>
    <w:uiPriority w:val="5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4">
    <w:name w:val="Изысканная таблица91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9110">
    <w:name w:val="Нет списка1911"/>
    <w:next w:val="a2"/>
    <w:uiPriority w:val="99"/>
    <w:semiHidden/>
    <w:unhideWhenUsed/>
    <w:rsid w:val="00A8189D"/>
  </w:style>
  <w:style w:type="table" w:customStyle="1" w:styleId="17110">
    <w:name w:val="Сетка таблицы1711"/>
    <w:basedOn w:val="a1"/>
    <w:next w:val="aff0"/>
    <w:uiPriority w:val="39"/>
    <w:rsid w:val="00A8189D"/>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4111">
    <w:name w:val="Нет списка2411"/>
    <w:next w:val="a2"/>
    <w:uiPriority w:val="99"/>
    <w:semiHidden/>
    <w:unhideWhenUsed/>
    <w:rsid w:val="00A8189D"/>
  </w:style>
  <w:style w:type="table" w:customStyle="1" w:styleId="25110">
    <w:name w:val="Сетка таблицы2511"/>
    <w:basedOn w:val="a1"/>
    <w:next w:val="aff0"/>
    <w:uiPriority w:val="5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4">
    <w:name w:val="Изысканная таблица131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4110">
    <w:name w:val="Нет списка11411"/>
    <w:next w:val="a2"/>
    <w:uiPriority w:val="99"/>
    <w:semiHidden/>
    <w:unhideWhenUsed/>
    <w:rsid w:val="00A8189D"/>
  </w:style>
  <w:style w:type="table" w:customStyle="1" w:styleId="113111">
    <w:name w:val="Сетка таблицы11311"/>
    <w:basedOn w:val="a1"/>
    <w:next w:val="aff0"/>
    <w:uiPriority w:val="59"/>
    <w:rsid w:val="00A8189D"/>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3110">
    <w:name w:val="Нет списка21311"/>
    <w:next w:val="a2"/>
    <w:uiPriority w:val="99"/>
    <w:semiHidden/>
    <w:unhideWhenUsed/>
    <w:rsid w:val="00A8189D"/>
  </w:style>
  <w:style w:type="numbering" w:customStyle="1" w:styleId="1113110">
    <w:name w:val="Нет списка111311"/>
    <w:next w:val="a2"/>
    <w:uiPriority w:val="99"/>
    <w:semiHidden/>
    <w:unhideWhenUsed/>
    <w:rsid w:val="00A8189D"/>
  </w:style>
  <w:style w:type="numbering" w:customStyle="1" w:styleId="33110">
    <w:name w:val="Нет списка3311"/>
    <w:next w:val="a2"/>
    <w:uiPriority w:val="99"/>
    <w:semiHidden/>
    <w:unhideWhenUsed/>
    <w:rsid w:val="00A8189D"/>
  </w:style>
  <w:style w:type="table" w:customStyle="1" w:styleId="23113">
    <w:name w:val="Изысканная таблица231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311">
    <w:name w:val="Нет списка12311"/>
    <w:next w:val="a2"/>
    <w:uiPriority w:val="99"/>
    <w:semiHidden/>
    <w:unhideWhenUsed/>
    <w:rsid w:val="00A8189D"/>
  </w:style>
  <w:style w:type="numbering" w:customStyle="1" w:styleId="43110">
    <w:name w:val="Нет списка4311"/>
    <w:next w:val="a2"/>
    <w:uiPriority w:val="99"/>
    <w:semiHidden/>
    <w:unhideWhenUsed/>
    <w:rsid w:val="00A8189D"/>
  </w:style>
  <w:style w:type="table" w:customStyle="1" w:styleId="33111">
    <w:name w:val="Изысканная таблица331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3110">
    <w:name w:val="Нет списка13311"/>
    <w:next w:val="a2"/>
    <w:uiPriority w:val="99"/>
    <w:semiHidden/>
    <w:unhideWhenUsed/>
    <w:rsid w:val="00A8189D"/>
  </w:style>
  <w:style w:type="numbering" w:customStyle="1" w:styleId="53110">
    <w:name w:val="Нет списка5311"/>
    <w:next w:val="a2"/>
    <w:uiPriority w:val="99"/>
    <w:semiHidden/>
    <w:unhideWhenUsed/>
    <w:rsid w:val="00A8189D"/>
  </w:style>
  <w:style w:type="table" w:customStyle="1" w:styleId="43111">
    <w:name w:val="Изысканная таблица431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311">
    <w:name w:val="Нет списка14311"/>
    <w:next w:val="a2"/>
    <w:uiPriority w:val="99"/>
    <w:semiHidden/>
    <w:unhideWhenUsed/>
    <w:rsid w:val="00A8189D"/>
  </w:style>
  <w:style w:type="numbering" w:customStyle="1" w:styleId="63110">
    <w:name w:val="Нет списка6311"/>
    <w:next w:val="a2"/>
    <w:uiPriority w:val="99"/>
    <w:semiHidden/>
    <w:unhideWhenUsed/>
    <w:rsid w:val="00A8189D"/>
  </w:style>
  <w:style w:type="table" w:customStyle="1" w:styleId="53111">
    <w:name w:val="Изысканная таблица531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311">
    <w:name w:val="Нет списка15311"/>
    <w:next w:val="a2"/>
    <w:uiPriority w:val="99"/>
    <w:semiHidden/>
    <w:unhideWhenUsed/>
    <w:rsid w:val="00A8189D"/>
  </w:style>
  <w:style w:type="numbering" w:customStyle="1" w:styleId="73110">
    <w:name w:val="Нет списка7311"/>
    <w:next w:val="a2"/>
    <w:uiPriority w:val="99"/>
    <w:semiHidden/>
    <w:unhideWhenUsed/>
    <w:rsid w:val="00A8189D"/>
  </w:style>
  <w:style w:type="table" w:customStyle="1" w:styleId="63111">
    <w:name w:val="Изысканная таблица631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311">
    <w:name w:val="Нет списка16311"/>
    <w:next w:val="a2"/>
    <w:uiPriority w:val="99"/>
    <w:semiHidden/>
    <w:unhideWhenUsed/>
    <w:rsid w:val="00A8189D"/>
  </w:style>
  <w:style w:type="table" w:customStyle="1" w:styleId="213111">
    <w:name w:val="Сетка таблицы21311"/>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2">
    <w:name w:val="Сетка таблицы3311"/>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11">
    <w:name w:val="Сетка таблицы22311"/>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2">
    <w:name w:val="Сетка таблицы4311"/>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12">
    <w:name w:val="Сетка таблицы5311"/>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12">
    <w:name w:val="Сетка таблицы6311"/>
    <w:basedOn w:val="a1"/>
    <w:next w:val="aff0"/>
    <w:uiPriority w:val="3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11">
    <w:name w:val="Сетка таблицы7311"/>
    <w:basedOn w:val="a1"/>
    <w:next w:val="aff0"/>
    <w:uiPriority w:val="5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
    <w:name w:val="Светлая заливка - Акцент 1311"/>
    <w:basedOn w:val="a1"/>
    <w:next w:val="-1"/>
    <w:uiPriority w:val="60"/>
    <w:rsid w:val="00A8189D"/>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3110">
    <w:name w:val="Сетка таблицы8311"/>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11">
    <w:name w:val="Сетка таблицы9311"/>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11">
    <w:name w:val="Сетка таблицы12211"/>
    <w:basedOn w:val="a1"/>
    <w:next w:val="aff0"/>
    <w:uiPriority w:val="5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111">
    <w:name w:val="Нет списка8211"/>
    <w:next w:val="a2"/>
    <w:uiPriority w:val="99"/>
    <w:semiHidden/>
    <w:unhideWhenUsed/>
    <w:rsid w:val="00A8189D"/>
  </w:style>
  <w:style w:type="table" w:customStyle="1" w:styleId="10211">
    <w:name w:val="Сетка таблицы10211"/>
    <w:basedOn w:val="a1"/>
    <w:next w:val="aff0"/>
    <w:uiPriority w:val="3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2">
    <w:name w:val="Изысканная таблица721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211">
    <w:name w:val="Нет списка17211"/>
    <w:next w:val="a2"/>
    <w:uiPriority w:val="99"/>
    <w:semiHidden/>
    <w:unhideWhenUsed/>
    <w:rsid w:val="00A8189D"/>
  </w:style>
  <w:style w:type="table" w:customStyle="1" w:styleId="132110">
    <w:name w:val="Сетка таблицы13211"/>
    <w:basedOn w:val="a1"/>
    <w:next w:val="aff0"/>
    <w:uiPriority w:val="39"/>
    <w:rsid w:val="00A8189D"/>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2111">
    <w:name w:val="Нет списка22211"/>
    <w:next w:val="a2"/>
    <w:uiPriority w:val="99"/>
    <w:semiHidden/>
    <w:unhideWhenUsed/>
    <w:rsid w:val="00A8189D"/>
  </w:style>
  <w:style w:type="table" w:customStyle="1" w:styleId="232110">
    <w:name w:val="Сетка таблицы23211"/>
    <w:basedOn w:val="a1"/>
    <w:next w:val="aff0"/>
    <w:uiPriority w:val="5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3">
    <w:name w:val="Изысканная таблица1121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2110">
    <w:name w:val="Нет списка112211"/>
    <w:next w:val="a2"/>
    <w:uiPriority w:val="99"/>
    <w:semiHidden/>
    <w:unhideWhenUsed/>
    <w:rsid w:val="00A8189D"/>
  </w:style>
  <w:style w:type="table" w:customStyle="1" w:styleId="1112110">
    <w:name w:val="Сетка таблицы111211"/>
    <w:basedOn w:val="a1"/>
    <w:next w:val="aff0"/>
    <w:uiPriority w:val="59"/>
    <w:rsid w:val="00A8189D"/>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2110">
    <w:name w:val="Нет списка211211"/>
    <w:next w:val="a2"/>
    <w:uiPriority w:val="99"/>
    <w:semiHidden/>
    <w:unhideWhenUsed/>
    <w:rsid w:val="00A8189D"/>
  </w:style>
  <w:style w:type="numbering" w:customStyle="1" w:styleId="1111211">
    <w:name w:val="Нет списка1111211"/>
    <w:next w:val="a2"/>
    <w:uiPriority w:val="99"/>
    <w:semiHidden/>
    <w:unhideWhenUsed/>
    <w:rsid w:val="00A8189D"/>
  </w:style>
  <w:style w:type="numbering" w:customStyle="1" w:styleId="312110">
    <w:name w:val="Нет списка31211"/>
    <w:next w:val="a2"/>
    <w:uiPriority w:val="99"/>
    <w:semiHidden/>
    <w:unhideWhenUsed/>
    <w:rsid w:val="00A8189D"/>
  </w:style>
  <w:style w:type="table" w:customStyle="1" w:styleId="212112">
    <w:name w:val="Изысканная таблица2121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211">
    <w:name w:val="Нет списка121211"/>
    <w:next w:val="a2"/>
    <w:uiPriority w:val="99"/>
    <w:semiHidden/>
    <w:unhideWhenUsed/>
    <w:rsid w:val="00A8189D"/>
  </w:style>
  <w:style w:type="numbering" w:customStyle="1" w:styleId="412110">
    <w:name w:val="Нет списка41211"/>
    <w:next w:val="a2"/>
    <w:uiPriority w:val="99"/>
    <w:semiHidden/>
    <w:unhideWhenUsed/>
    <w:rsid w:val="00A8189D"/>
  </w:style>
  <w:style w:type="table" w:customStyle="1" w:styleId="312111">
    <w:name w:val="Изысканная таблица3121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211">
    <w:name w:val="Нет списка131211"/>
    <w:next w:val="a2"/>
    <w:uiPriority w:val="99"/>
    <w:semiHidden/>
    <w:unhideWhenUsed/>
    <w:rsid w:val="00A8189D"/>
  </w:style>
  <w:style w:type="numbering" w:customStyle="1" w:styleId="512110">
    <w:name w:val="Нет списка51211"/>
    <w:next w:val="a2"/>
    <w:uiPriority w:val="99"/>
    <w:semiHidden/>
    <w:unhideWhenUsed/>
    <w:rsid w:val="00A8189D"/>
  </w:style>
  <w:style w:type="table" w:customStyle="1" w:styleId="412111">
    <w:name w:val="Изысканная таблица4121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211">
    <w:name w:val="Нет списка141211"/>
    <w:next w:val="a2"/>
    <w:uiPriority w:val="99"/>
    <w:semiHidden/>
    <w:unhideWhenUsed/>
    <w:rsid w:val="00A8189D"/>
  </w:style>
  <w:style w:type="numbering" w:customStyle="1" w:styleId="612110">
    <w:name w:val="Нет списка61211"/>
    <w:next w:val="a2"/>
    <w:uiPriority w:val="99"/>
    <w:semiHidden/>
    <w:unhideWhenUsed/>
    <w:rsid w:val="00A8189D"/>
  </w:style>
  <w:style w:type="table" w:customStyle="1" w:styleId="512111">
    <w:name w:val="Изысканная таблица5121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211">
    <w:name w:val="Нет списка151211"/>
    <w:next w:val="a2"/>
    <w:uiPriority w:val="99"/>
    <w:semiHidden/>
    <w:unhideWhenUsed/>
    <w:rsid w:val="00A8189D"/>
  </w:style>
  <w:style w:type="numbering" w:customStyle="1" w:styleId="712110">
    <w:name w:val="Нет списка71211"/>
    <w:next w:val="a2"/>
    <w:uiPriority w:val="99"/>
    <w:semiHidden/>
    <w:unhideWhenUsed/>
    <w:rsid w:val="00A8189D"/>
  </w:style>
  <w:style w:type="table" w:customStyle="1" w:styleId="612111">
    <w:name w:val="Изысканная таблица6121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211">
    <w:name w:val="Нет списка161211"/>
    <w:next w:val="a2"/>
    <w:uiPriority w:val="99"/>
    <w:semiHidden/>
    <w:unhideWhenUsed/>
    <w:rsid w:val="00A8189D"/>
  </w:style>
  <w:style w:type="table" w:customStyle="1" w:styleId="2112111">
    <w:name w:val="Сетка таблицы211211"/>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2">
    <w:name w:val="Сетка таблицы31211"/>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11">
    <w:name w:val="Сетка таблицы221211"/>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12">
    <w:name w:val="Сетка таблицы41211"/>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112">
    <w:name w:val="Сетка таблицы51211"/>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112">
    <w:name w:val="Сетка таблицы61211"/>
    <w:basedOn w:val="a1"/>
    <w:next w:val="aff0"/>
    <w:uiPriority w:val="3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111">
    <w:name w:val="Сетка таблицы71211"/>
    <w:basedOn w:val="a1"/>
    <w:next w:val="aff0"/>
    <w:uiPriority w:val="5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
    <w:name w:val="Светлая заливка - Акцент 11211"/>
    <w:basedOn w:val="a1"/>
    <w:next w:val="-1"/>
    <w:uiPriority w:val="60"/>
    <w:rsid w:val="00A8189D"/>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211">
    <w:name w:val="Сетка таблицы81211"/>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11">
    <w:name w:val="Сетка таблицы91211"/>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10">
    <w:name w:val="Нет списка9111"/>
    <w:next w:val="a2"/>
    <w:uiPriority w:val="99"/>
    <w:semiHidden/>
    <w:unhideWhenUsed/>
    <w:rsid w:val="00A8189D"/>
  </w:style>
  <w:style w:type="table" w:customStyle="1" w:styleId="141110">
    <w:name w:val="Сетка таблицы14111"/>
    <w:basedOn w:val="a1"/>
    <w:next w:val="aff0"/>
    <w:uiPriority w:val="5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113">
    <w:name w:val="Изысканная таблица811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8111">
    <w:name w:val="Нет списка18111"/>
    <w:next w:val="a2"/>
    <w:uiPriority w:val="99"/>
    <w:semiHidden/>
    <w:unhideWhenUsed/>
    <w:rsid w:val="00A8189D"/>
  </w:style>
  <w:style w:type="table" w:customStyle="1" w:styleId="151110">
    <w:name w:val="Сетка таблицы15111"/>
    <w:basedOn w:val="a1"/>
    <w:next w:val="aff0"/>
    <w:uiPriority w:val="39"/>
    <w:rsid w:val="00A8189D"/>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31111">
    <w:name w:val="Нет списка23111"/>
    <w:next w:val="a2"/>
    <w:uiPriority w:val="99"/>
    <w:semiHidden/>
    <w:unhideWhenUsed/>
    <w:rsid w:val="00A8189D"/>
  </w:style>
  <w:style w:type="table" w:customStyle="1" w:styleId="241110">
    <w:name w:val="Сетка таблицы24111"/>
    <w:basedOn w:val="a1"/>
    <w:next w:val="aff0"/>
    <w:uiPriority w:val="5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3">
    <w:name w:val="Изысканная таблица1211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31110">
    <w:name w:val="Нет списка113111"/>
    <w:next w:val="a2"/>
    <w:uiPriority w:val="99"/>
    <w:semiHidden/>
    <w:unhideWhenUsed/>
    <w:rsid w:val="00A8189D"/>
  </w:style>
  <w:style w:type="table" w:customStyle="1" w:styleId="1121111">
    <w:name w:val="Сетка таблицы112111"/>
    <w:basedOn w:val="a1"/>
    <w:next w:val="aff0"/>
    <w:uiPriority w:val="59"/>
    <w:rsid w:val="00A8189D"/>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21110">
    <w:name w:val="Нет списка212111"/>
    <w:next w:val="a2"/>
    <w:uiPriority w:val="99"/>
    <w:semiHidden/>
    <w:unhideWhenUsed/>
    <w:rsid w:val="00A8189D"/>
  </w:style>
  <w:style w:type="numbering" w:customStyle="1" w:styleId="1112111">
    <w:name w:val="Нет списка1112111"/>
    <w:next w:val="a2"/>
    <w:uiPriority w:val="99"/>
    <w:semiHidden/>
    <w:unhideWhenUsed/>
    <w:rsid w:val="00A8189D"/>
  </w:style>
  <w:style w:type="numbering" w:customStyle="1" w:styleId="321110">
    <w:name w:val="Нет списка32111"/>
    <w:next w:val="a2"/>
    <w:uiPriority w:val="99"/>
    <w:semiHidden/>
    <w:unhideWhenUsed/>
    <w:rsid w:val="00A8189D"/>
  </w:style>
  <w:style w:type="table" w:customStyle="1" w:styleId="221113">
    <w:name w:val="Изысканная таблица2211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21110">
    <w:name w:val="Нет списка122111"/>
    <w:next w:val="a2"/>
    <w:uiPriority w:val="99"/>
    <w:semiHidden/>
    <w:unhideWhenUsed/>
    <w:rsid w:val="00A8189D"/>
  </w:style>
  <w:style w:type="numbering" w:customStyle="1" w:styleId="421110">
    <w:name w:val="Нет списка42111"/>
    <w:next w:val="a2"/>
    <w:uiPriority w:val="99"/>
    <w:semiHidden/>
    <w:unhideWhenUsed/>
    <w:rsid w:val="00A8189D"/>
  </w:style>
  <w:style w:type="table" w:customStyle="1" w:styleId="321111">
    <w:name w:val="Изысканная таблица3211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2111">
    <w:name w:val="Нет списка132111"/>
    <w:next w:val="a2"/>
    <w:uiPriority w:val="99"/>
    <w:semiHidden/>
    <w:unhideWhenUsed/>
    <w:rsid w:val="00A8189D"/>
  </w:style>
  <w:style w:type="numbering" w:customStyle="1" w:styleId="521110">
    <w:name w:val="Нет списка52111"/>
    <w:next w:val="a2"/>
    <w:uiPriority w:val="99"/>
    <w:semiHidden/>
    <w:unhideWhenUsed/>
    <w:rsid w:val="00A8189D"/>
  </w:style>
  <w:style w:type="table" w:customStyle="1" w:styleId="421111">
    <w:name w:val="Изысканная таблица4211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2111">
    <w:name w:val="Нет списка142111"/>
    <w:next w:val="a2"/>
    <w:uiPriority w:val="99"/>
    <w:semiHidden/>
    <w:unhideWhenUsed/>
    <w:rsid w:val="00A8189D"/>
  </w:style>
  <w:style w:type="numbering" w:customStyle="1" w:styleId="621110">
    <w:name w:val="Нет списка62111"/>
    <w:next w:val="a2"/>
    <w:uiPriority w:val="99"/>
    <w:semiHidden/>
    <w:unhideWhenUsed/>
    <w:rsid w:val="00A8189D"/>
  </w:style>
  <w:style w:type="table" w:customStyle="1" w:styleId="521111">
    <w:name w:val="Изысканная таблица5211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2111">
    <w:name w:val="Нет списка152111"/>
    <w:next w:val="a2"/>
    <w:uiPriority w:val="99"/>
    <w:semiHidden/>
    <w:unhideWhenUsed/>
    <w:rsid w:val="00A8189D"/>
  </w:style>
  <w:style w:type="numbering" w:customStyle="1" w:styleId="721110">
    <w:name w:val="Нет списка72111"/>
    <w:next w:val="a2"/>
    <w:uiPriority w:val="99"/>
    <w:semiHidden/>
    <w:unhideWhenUsed/>
    <w:rsid w:val="00A8189D"/>
  </w:style>
  <w:style w:type="table" w:customStyle="1" w:styleId="621111">
    <w:name w:val="Изысканная таблица6211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2111">
    <w:name w:val="Нет списка162111"/>
    <w:next w:val="a2"/>
    <w:uiPriority w:val="99"/>
    <w:semiHidden/>
    <w:unhideWhenUsed/>
    <w:rsid w:val="00A8189D"/>
  </w:style>
  <w:style w:type="table" w:customStyle="1" w:styleId="2121111">
    <w:name w:val="Сетка таблицы212111"/>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2">
    <w:name w:val="Сетка таблицы32111"/>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1110">
    <w:name w:val="Сетка таблицы222111"/>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12">
    <w:name w:val="Сетка таблицы42111"/>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12">
    <w:name w:val="Сетка таблицы52111"/>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12">
    <w:name w:val="Сетка таблицы62111"/>
    <w:basedOn w:val="a1"/>
    <w:next w:val="aff0"/>
    <w:uiPriority w:val="3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11">
    <w:name w:val="Сетка таблицы72111"/>
    <w:basedOn w:val="a1"/>
    <w:next w:val="aff0"/>
    <w:uiPriority w:val="5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
    <w:name w:val="Светлая заливка - Акцент 12111"/>
    <w:basedOn w:val="a1"/>
    <w:next w:val="-1"/>
    <w:uiPriority w:val="60"/>
    <w:rsid w:val="00A8189D"/>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21110">
    <w:name w:val="Сетка таблицы82111"/>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111">
    <w:name w:val="Сетка таблицы92111"/>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11">
    <w:name w:val="Сетка таблицы121111"/>
    <w:basedOn w:val="a1"/>
    <w:next w:val="aff0"/>
    <w:uiPriority w:val="5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111">
    <w:name w:val="Нет списка81111"/>
    <w:next w:val="a2"/>
    <w:uiPriority w:val="99"/>
    <w:semiHidden/>
    <w:unhideWhenUsed/>
    <w:rsid w:val="00A8189D"/>
  </w:style>
  <w:style w:type="table" w:customStyle="1" w:styleId="101111">
    <w:name w:val="Сетка таблицы101111"/>
    <w:basedOn w:val="a1"/>
    <w:next w:val="aff0"/>
    <w:uiPriority w:val="3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12">
    <w:name w:val="Изысканная таблица7111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1111">
    <w:name w:val="Нет списка171111"/>
    <w:next w:val="a2"/>
    <w:uiPriority w:val="99"/>
    <w:semiHidden/>
    <w:unhideWhenUsed/>
    <w:rsid w:val="00A8189D"/>
  </w:style>
  <w:style w:type="table" w:customStyle="1" w:styleId="1311111">
    <w:name w:val="Сетка таблицы131111"/>
    <w:basedOn w:val="a1"/>
    <w:next w:val="aff0"/>
    <w:uiPriority w:val="39"/>
    <w:rsid w:val="00A8189D"/>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11111">
    <w:name w:val="Нет списка221111"/>
    <w:next w:val="a2"/>
    <w:uiPriority w:val="99"/>
    <w:semiHidden/>
    <w:unhideWhenUsed/>
    <w:rsid w:val="00A8189D"/>
  </w:style>
  <w:style w:type="table" w:customStyle="1" w:styleId="2311110">
    <w:name w:val="Сетка таблицы231111"/>
    <w:basedOn w:val="a1"/>
    <w:next w:val="aff0"/>
    <w:uiPriority w:val="59"/>
    <w:rsid w:val="00A81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13">
    <w:name w:val="Изысканная таблица11111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11110">
    <w:name w:val="Нет списка1121111"/>
    <w:next w:val="a2"/>
    <w:uiPriority w:val="99"/>
    <w:semiHidden/>
    <w:unhideWhenUsed/>
    <w:rsid w:val="00A8189D"/>
  </w:style>
  <w:style w:type="table" w:customStyle="1" w:styleId="11111111">
    <w:name w:val="Сетка таблицы1111111"/>
    <w:basedOn w:val="a1"/>
    <w:next w:val="aff0"/>
    <w:uiPriority w:val="59"/>
    <w:rsid w:val="00A8189D"/>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11110">
    <w:name w:val="Нет списка2111111"/>
    <w:next w:val="a2"/>
    <w:uiPriority w:val="99"/>
    <w:semiHidden/>
    <w:unhideWhenUsed/>
    <w:rsid w:val="00A8189D"/>
  </w:style>
  <w:style w:type="numbering" w:customStyle="1" w:styleId="111111110">
    <w:name w:val="Нет списка11111111"/>
    <w:next w:val="a2"/>
    <w:uiPriority w:val="99"/>
    <w:semiHidden/>
    <w:unhideWhenUsed/>
    <w:rsid w:val="00A8189D"/>
  </w:style>
  <w:style w:type="numbering" w:customStyle="1" w:styleId="3111110">
    <w:name w:val="Нет списка311111"/>
    <w:next w:val="a2"/>
    <w:uiPriority w:val="99"/>
    <w:semiHidden/>
    <w:unhideWhenUsed/>
    <w:rsid w:val="00A8189D"/>
  </w:style>
  <w:style w:type="table" w:customStyle="1" w:styleId="2111112">
    <w:name w:val="Изысканная таблица21111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11110">
    <w:name w:val="Нет списка1211111"/>
    <w:next w:val="a2"/>
    <w:uiPriority w:val="99"/>
    <w:semiHidden/>
    <w:unhideWhenUsed/>
    <w:rsid w:val="00A8189D"/>
  </w:style>
  <w:style w:type="numbering" w:customStyle="1" w:styleId="4111110">
    <w:name w:val="Нет списка411111"/>
    <w:next w:val="a2"/>
    <w:uiPriority w:val="99"/>
    <w:semiHidden/>
    <w:unhideWhenUsed/>
    <w:rsid w:val="00A8189D"/>
  </w:style>
  <w:style w:type="table" w:customStyle="1" w:styleId="3111111">
    <w:name w:val="Изысканная таблица31111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11110">
    <w:name w:val="Нет списка1311111"/>
    <w:next w:val="a2"/>
    <w:uiPriority w:val="99"/>
    <w:semiHidden/>
    <w:unhideWhenUsed/>
    <w:rsid w:val="00A8189D"/>
  </w:style>
  <w:style w:type="numbering" w:customStyle="1" w:styleId="5111110">
    <w:name w:val="Нет списка511111"/>
    <w:next w:val="a2"/>
    <w:uiPriority w:val="99"/>
    <w:semiHidden/>
    <w:unhideWhenUsed/>
    <w:rsid w:val="00A8189D"/>
  </w:style>
  <w:style w:type="table" w:customStyle="1" w:styleId="4111111">
    <w:name w:val="Изысканная таблица41111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1111">
    <w:name w:val="Нет списка1411111"/>
    <w:next w:val="a2"/>
    <w:uiPriority w:val="99"/>
    <w:semiHidden/>
    <w:unhideWhenUsed/>
    <w:rsid w:val="00A8189D"/>
  </w:style>
  <w:style w:type="numbering" w:customStyle="1" w:styleId="6111110">
    <w:name w:val="Нет списка611111"/>
    <w:next w:val="a2"/>
    <w:uiPriority w:val="99"/>
    <w:semiHidden/>
    <w:unhideWhenUsed/>
    <w:rsid w:val="00A8189D"/>
  </w:style>
  <w:style w:type="table" w:customStyle="1" w:styleId="5111111">
    <w:name w:val="Изысканная таблица51111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1111">
    <w:name w:val="Нет списка1511111"/>
    <w:next w:val="a2"/>
    <w:uiPriority w:val="99"/>
    <w:semiHidden/>
    <w:unhideWhenUsed/>
    <w:rsid w:val="00A8189D"/>
  </w:style>
  <w:style w:type="numbering" w:customStyle="1" w:styleId="7111110">
    <w:name w:val="Нет списка711111"/>
    <w:next w:val="a2"/>
    <w:uiPriority w:val="99"/>
    <w:semiHidden/>
    <w:unhideWhenUsed/>
    <w:rsid w:val="00A8189D"/>
  </w:style>
  <w:style w:type="table" w:customStyle="1" w:styleId="6111111">
    <w:name w:val="Изысканная таблица611111"/>
    <w:basedOn w:val="a1"/>
    <w:next w:val="afffa"/>
    <w:rsid w:val="00A818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1111">
    <w:name w:val="Нет списка1611111"/>
    <w:next w:val="a2"/>
    <w:uiPriority w:val="99"/>
    <w:semiHidden/>
    <w:unhideWhenUsed/>
    <w:rsid w:val="00A8189D"/>
  </w:style>
  <w:style w:type="table" w:customStyle="1" w:styleId="21111111">
    <w:name w:val="Сетка таблицы2111111"/>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12">
    <w:name w:val="Сетка таблицы311111"/>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110">
    <w:name w:val="Сетка таблицы2211111"/>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12">
    <w:name w:val="Сетка таблицы411111"/>
    <w:basedOn w:val="a1"/>
    <w:next w:val="aff0"/>
    <w:uiPriority w:val="5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112">
    <w:name w:val="Сетка таблицы511111"/>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112">
    <w:name w:val="Сетка таблицы611111"/>
    <w:basedOn w:val="a1"/>
    <w:next w:val="aff0"/>
    <w:uiPriority w:val="39"/>
    <w:rsid w:val="00A8189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111">
    <w:name w:val="Сетка таблицы711111"/>
    <w:basedOn w:val="a1"/>
    <w:next w:val="aff0"/>
    <w:uiPriority w:val="5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1">
    <w:name w:val="Светлая заливка - Акцент 111111"/>
    <w:basedOn w:val="a1"/>
    <w:next w:val="-1"/>
    <w:uiPriority w:val="60"/>
    <w:rsid w:val="00A8189D"/>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11110">
    <w:name w:val="Сетка таблицы811111"/>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111">
    <w:name w:val="Сетка таблицы911111"/>
    <w:basedOn w:val="a1"/>
    <w:next w:val="aff0"/>
    <w:uiPriority w:val="39"/>
    <w:rsid w:val="00A8189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
    <w:name w:val="Сетка таблицы66"/>
    <w:basedOn w:val="a1"/>
    <w:next w:val="aff0"/>
    <w:uiPriority w:val="59"/>
    <w:rsid w:val="00DC63C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Нет списка28"/>
    <w:next w:val="a2"/>
    <w:uiPriority w:val="99"/>
    <w:semiHidden/>
    <w:unhideWhenUsed/>
    <w:rsid w:val="003E719A"/>
  </w:style>
  <w:style w:type="table" w:customStyle="1" w:styleId="281">
    <w:name w:val="Сетка таблицы28"/>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
    <w:name w:val="Изысканная таблица17"/>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8">
    <w:name w:val="Нет списка118"/>
    <w:next w:val="a2"/>
    <w:uiPriority w:val="99"/>
    <w:semiHidden/>
    <w:unhideWhenUsed/>
    <w:rsid w:val="003E719A"/>
  </w:style>
  <w:style w:type="table" w:customStyle="1" w:styleId="1160">
    <w:name w:val="Сетка таблицы116"/>
    <w:basedOn w:val="a1"/>
    <w:next w:val="aff0"/>
    <w:uiPriority w:val="3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90">
    <w:name w:val="Нет списка29"/>
    <w:next w:val="a2"/>
    <w:uiPriority w:val="99"/>
    <w:semiHidden/>
    <w:unhideWhenUsed/>
    <w:rsid w:val="003E719A"/>
  </w:style>
  <w:style w:type="table" w:customStyle="1" w:styleId="291">
    <w:name w:val="Сетка таблицы29"/>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
    <w:name w:val="Изысканная таблица18"/>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9">
    <w:name w:val="Нет списка119"/>
    <w:next w:val="a2"/>
    <w:uiPriority w:val="99"/>
    <w:semiHidden/>
    <w:unhideWhenUsed/>
    <w:rsid w:val="003E719A"/>
  </w:style>
  <w:style w:type="table" w:customStyle="1" w:styleId="1170">
    <w:name w:val="Сетка таблицы117"/>
    <w:basedOn w:val="a1"/>
    <w:next w:val="aff0"/>
    <w:uiPriority w:val="5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6">
    <w:name w:val="Нет списка216"/>
    <w:next w:val="a2"/>
    <w:uiPriority w:val="99"/>
    <w:semiHidden/>
    <w:unhideWhenUsed/>
    <w:rsid w:val="003E719A"/>
  </w:style>
  <w:style w:type="numbering" w:customStyle="1" w:styleId="1116">
    <w:name w:val="Нет списка1116"/>
    <w:next w:val="a2"/>
    <w:uiPriority w:val="99"/>
    <w:semiHidden/>
    <w:unhideWhenUsed/>
    <w:rsid w:val="003E719A"/>
  </w:style>
  <w:style w:type="numbering" w:customStyle="1" w:styleId="360">
    <w:name w:val="Нет списка36"/>
    <w:next w:val="a2"/>
    <w:uiPriority w:val="99"/>
    <w:semiHidden/>
    <w:unhideWhenUsed/>
    <w:rsid w:val="003E719A"/>
  </w:style>
  <w:style w:type="table" w:customStyle="1" w:styleId="262">
    <w:name w:val="Изысканная таблица26"/>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6">
    <w:name w:val="Нет списка126"/>
    <w:next w:val="a2"/>
    <w:uiPriority w:val="99"/>
    <w:semiHidden/>
    <w:unhideWhenUsed/>
    <w:rsid w:val="003E719A"/>
  </w:style>
  <w:style w:type="numbering" w:customStyle="1" w:styleId="46">
    <w:name w:val="Нет списка46"/>
    <w:next w:val="a2"/>
    <w:uiPriority w:val="99"/>
    <w:semiHidden/>
    <w:unhideWhenUsed/>
    <w:rsid w:val="003E719A"/>
  </w:style>
  <w:style w:type="table" w:customStyle="1" w:styleId="361">
    <w:name w:val="Изысканная таблица36"/>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6">
    <w:name w:val="Нет списка136"/>
    <w:next w:val="a2"/>
    <w:uiPriority w:val="99"/>
    <w:semiHidden/>
    <w:unhideWhenUsed/>
    <w:rsid w:val="003E719A"/>
  </w:style>
  <w:style w:type="numbering" w:customStyle="1" w:styleId="56">
    <w:name w:val="Нет списка56"/>
    <w:next w:val="a2"/>
    <w:uiPriority w:val="99"/>
    <w:semiHidden/>
    <w:unhideWhenUsed/>
    <w:rsid w:val="003E719A"/>
  </w:style>
  <w:style w:type="table" w:customStyle="1" w:styleId="460">
    <w:name w:val="Изысканная таблица46"/>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6">
    <w:name w:val="Нет списка146"/>
    <w:next w:val="a2"/>
    <w:uiPriority w:val="99"/>
    <w:semiHidden/>
    <w:unhideWhenUsed/>
    <w:rsid w:val="003E719A"/>
  </w:style>
  <w:style w:type="numbering" w:customStyle="1" w:styleId="660">
    <w:name w:val="Нет списка66"/>
    <w:next w:val="a2"/>
    <w:uiPriority w:val="99"/>
    <w:semiHidden/>
    <w:unhideWhenUsed/>
    <w:rsid w:val="003E719A"/>
  </w:style>
  <w:style w:type="table" w:customStyle="1" w:styleId="560">
    <w:name w:val="Изысканная таблица56"/>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6">
    <w:name w:val="Нет списка156"/>
    <w:next w:val="a2"/>
    <w:uiPriority w:val="99"/>
    <w:semiHidden/>
    <w:unhideWhenUsed/>
    <w:rsid w:val="003E719A"/>
  </w:style>
  <w:style w:type="numbering" w:customStyle="1" w:styleId="76">
    <w:name w:val="Нет списка76"/>
    <w:next w:val="a2"/>
    <w:uiPriority w:val="99"/>
    <w:semiHidden/>
    <w:unhideWhenUsed/>
    <w:rsid w:val="003E719A"/>
  </w:style>
  <w:style w:type="table" w:customStyle="1" w:styleId="661">
    <w:name w:val="Изысканная таблица66"/>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6">
    <w:name w:val="Нет списка166"/>
    <w:next w:val="a2"/>
    <w:uiPriority w:val="99"/>
    <w:semiHidden/>
    <w:unhideWhenUsed/>
    <w:rsid w:val="003E719A"/>
  </w:style>
  <w:style w:type="table" w:customStyle="1" w:styleId="2160">
    <w:name w:val="Сетка таблицы216"/>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
    <w:name w:val="Сетка таблицы36"/>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6">
    <w:name w:val="Сетка таблицы226"/>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1">
    <w:name w:val="Сетка таблицы46"/>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1">
    <w:name w:val="Сетка таблицы56"/>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7">
    <w:name w:val="Сетка таблицы67"/>
    <w:basedOn w:val="a1"/>
    <w:next w:val="aff0"/>
    <w:uiPriority w:val="3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0">
    <w:name w:val="Сетка таблицы76"/>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Светлая заливка - Акцент 16"/>
    <w:basedOn w:val="a1"/>
    <w:next w:val="-1"/>
    <w:uiPriority w:val="60"/>
    <w:rsid w:val="003E719A"/>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6">
    <w:name w:val="Сетка таблицы86"/>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6">
    <w:name w:val="Сетка таблицы96"/>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0">
    <w:name w:val="Сетка таблицы125"/>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50">
    <w:name w:val="Нет списка85"/>
    <w:next w:val="a2"/>
    <w:uiPriority w:val="99"/>
    <w:semiHidden/>
    <w:unhideWhenUsed/>
    <w:rsid w:val="003E719A"/>
  </w:style>
  <w:style w:type="table" w:customStyle="1" w:styleId="105">
    <w:name w:val="Сетка таблицы105"/>
    <w:basedOn w:val="a1"/>
    <w:next w:val="aff0"/>
    <w:uiPriority w:val="3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1">
    <w:name w:val="Изысканная таблица75"/>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50">
    <w:name w:val="Нет списка175"/>
    <w:next w:val="a2"/>
    <w:uiPriority w:val="99"/>
    <w:semiHidden/>
    <w:unhideWhenUsed/>
    <w:rsid w:val="003E719A"/>
  </w:style>
  <w:style w:type="table" w:customStyle="1" w:styleId="1350">
    <w:name w:val="Сетка таблицы135"/>
    <w:basedOn w:val="a1"/>
    <w:next w:val="aff0"/>
    <w:uiPriority w:val="3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50">
    <w:name w:val="Нет списка225"/>
    <w:next w:val="a2"/>
    <w:uiPriority w:val="99"/>
    <w:semiHidden/>
    <w:unhideWhenUsed/>
    <w:rsid w:val="003E719A"/>
  </w:style>
  <w:style w:type="table" w:customStyle="1" w:styleId="235">
    <w:name w:val="Сетка таблицы235"/>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2">
    <w:name w:val="Изысканная таблица115"/>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5">
    <w:name w:val="Нет списка1125"/>
    <w:next w:val="a2"/>
    <w:uiPriority w:val="99"/>
    <w:semiHidden/>
    <w:unhideWhenUsed/>
    <w:rsid w:val="003E719A"/>
  </w:style>
  <w:style w:type="table" w:customStyle="1" w:styleId="11150">
    <w:name w:val="Сетка таблицы1115"/>
    <w:basedOn w:val="a1"/>
    <w:next w:val="aff0"/>
    <w:uiPriority w:val="5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5">
    <w:name w:val="Нет списка2115"/>
    <w:next w:val="a2"/>
    <w:uiPriority w:val="99"/>
    <w:semiHidden/>
    <w:unhideWhenUsed/>
    <w:rsid w:val="003E719A"/>
  </w:style>
  <w:style w:type="numbering" w:customStyle="1" w:styleId="11115">
    <w:name w:val="Нет списка11115"/>
    <w:next w:val="a2"/>
    <w:uiPriority w:val="99"/>
    <w:semiHidden/>
    <w:unhideWhenUsed/>
    <w:rsid w:val="003E719A"/>
  </w:style>
  <w:style w:type="numbering" w:customStyle="1" w:styleId="315">
    <w:name w:val="Нет списка315"/>
    <w:next w:val="a2"/>
    <w:uiPriority w:val="99"/>
    <w:semiHidden/>
    <w:unhideWhenUsed/>
    <w:rsid w:val="003E719A"/>
  </w:style>
  <w:style w:type="table" w:customStyle="1" w:styleId="2151">
    <w:name w:val="Изысканная таблица215"/>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5">
    <w:name w:val="Нет списка1215"/>
    <w:next w:val="a2"/>
    <w:uiPriority w:val="99"/>
    <w:semiHidden/>
    <w:unhideWhenUsed/>
    <w:rsid w:val="003E719A"/>
  </w:style>
  <w:style w:type="numbering" w:customStyle="1" w:styleId="415">
    <w:name w:val="Нет списка415"/>
    <w:next w:val="a2"/>
    <w:uiPriority w:val="99"/>
    <w:semiHidden/>
    <w:unhideWhenUsed/>
    <w:rsid w:val="003E719A"/>
  </w:style>
  <w:style w:type="table" w:customStyle="1" w:styleId="3150">
    <w:name w:val="Изысканная таблица315"/>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5">
    <w:name w:val="Нет списка1315"/>
    <w:next w:val="a2"/>
    <w:uiPriority w:val="99"/>
    <w:semiHidden/>
    <w:unhideWhenUsed/>
    <w:rsid w:val="003E719A"/>
  </w:style>
  <w:style w:type="numbering" w:customStyle="1" w:styleId="515">
    <w:name w:val="Нет списка515"/>
    <w:next w:val="a2"/>
    <w:uiPriority w:val="99"/>
    <w:semiHidden/>
    <w:unhideWhenUsed/>
    <w:rsid w:val="003E719A"/>
  </w:style>
  <w:style w:type="table" w:customStyle="1" w:styleId="4150">
    <w:name w:val="Изысканная таблица415"/>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50">
    <w:name w:val="Нет списка1415"/>
    <w:next w:val="a2"/>
    <w:uiPriority w:val="99"/>
    <w:semiHidden/>
    <w:unhideWhenUsed/>
    <w:rsid w:val="003E719A"/>
  </w:style>
  <w:style w:type="numbering" w:customStyle="1" w:styleId="615">
    <w:name w:val="Нет списка615"/>
    <w:next w:val="a2"/>
    <w:uiPriority w:val="99"/>
    <w:semiHidden/>
    <w:unhideWhenUsed/>
    <w:rsid w:val="003E719A"/>
  </w:style>
  <w:style w:type="table" w:customStyle="1" w:styleId="5150">
    <w:name w:val="Изысканная таблица515"/>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5">
    <w:name w:val="Нет списка1515"/>
    <w:next w:val="a2"/>
    <w:uiPriority w:val="99"/>
    <w:semiHidden/>
    <w:unhideWhenUsed/>
    <w:rsid w:val="003E719A"/>
  </w:style>
  <w:style w:type="numbering" w:customStyle="1" w:styleId="715">
    <w:name w:val="Нет списка715"/>
    <w:next w:val="a2"/>
    <w:uiPriority w:val="99"/>
    <w:semiHidden/>
    <w:unhideWhenUsed/>
    <w:rsid w:val="003E719A"/>
  </w:style>
  <w:style w:type="table" w:customStyle="1" w:styleId="6150">
    <w:name w:val="Изысканная таблица615"/>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5">
    <w:name w:val="Нет списка1615"/>
    <w:next w:val="a2"/>
    <w:uiPriority w:val="99"/>
    <w:semiHidden/>
    <w:unhideWhenUsed/>
    <w:rsid w:val="003E719A"/>
  </w:style>
  <w:style w:type="table" w:customStyle="1" w:styleId="21150">
    <w:name w:val="Сетка таблицы2115"/>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1">
    <w:name w:val="Сетка таблицы315"/>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5">
    <w:name w:val="Сетка таблицы2215"/>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1">
    <w:name w:val="Сетка таблицы415"/>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51">
    <w:name w:val="Сетка таблицы515"/>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51">
    <w:name w:val="Сетка таблицы615"/>
    <w:basedOn w:val="a1"/>
    <w:next w:val="aff0"/>
    <w:uiPriority w:val="3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50">
    <w:name w:val="Сетка таблицы715"/>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
    <w:name w:val="Светлая заливка - Акцент 115"/>
    <w:basedOn w:val="a1"/>
    <w:next w:val="-1"/>
    <w:uiPriority w:val="60"/>
    <w:rsid w:val="003E719A"/>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5">
    <w:name w:val="Сетка таблицы815"/>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5">
    <w:name w:val="Сетка таблицы915"/>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42">
    <w:name w:val="Нет списка94"/>
    <w:next w:val="a2"/>
    <w:uiPriority w:val="99"/>
    <w:semiHidden/>
    <w:unhideWhenUsed/>
    <w:rsid w:val="003E719A"/>
  </w:style>
  <w:style w:type="table" w:customStyle="1" w:styleId="1442">
    <w:name w:val="Сетка таблицы144"/>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2">
    <w:name w:val="Изысканная таблица84"/>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840">
    <w:name w:val="Нет списка184"/>
    <w:next w:val="a2"/>
    <w:uiPriority w:val="99"/>
    <w:semiHidden/>
    <w:unhideWhenUsed/>
    <w:rsid w:val="003E719A"/>
  </w:style>
  <w:style w:type="table" w:customStyle="1" w:styleId="1540">
    <w:name w:val="Сетка таблицы154"/>
    <w:basedOn w:val="a1"/>
    <w:next w:val="aff0"/>
    <w:uiPriority w:val="3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340">
    <w:name w:val="Нет списка234"/>
    <w:next w:val="a2"/>
    <w:uiPriority w:val="99"/>
    <w:semiHidden/>
    <w:unhideWhenUsed/>
    <w:rsid w:val="003E719A"/>
  </w:style>
  <w:style w:type="table" w:customStyle="1" w:styleId="244">
    <w:name w:val="Сетка таблицы244"/>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2">
    <w:name w:val="Изысканная таблица124"/>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34">
    <w:name w:val="Нет списка1134"/>
    <w:next w:val="a2"/>
    <w:uiPriority w:val="99"/>
    <w:semiHidden/>
    <w:unhideWhenUsed/>
    <w:rsid w:val="003E719A"/>
  </w:style>
  <w:style w:type="table" w:customStyle="1" w:styleId="11240">
    <w:name w:val="Сетка таблицы1124"/>
    <w:basedOn w:val="a1"/>
    <w:next w:val="aff0"/>
    <w:uiPriority w:val="5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24">
    <w:name w:val="Нет списка2124"/>
    <w:next w:val="a2"/>
    <w:uiPriority w:val="99"/>
    <w:semiHidden/>
    <w:unhideWhenUsed/>
    <w:rsid w:val="003E719A"/>
  </w:style>
  <w:style w:type="numbering" w:customStyle="1" w:styleId="11124">
    <w:name w:val="Нет списка11124"/>
    <w:next w:val="a2"/>
    <w:uiPriority w:val="99"/>
    <w:semiHidden/>
    <w:unhideWhenUsed/>
    <w:rsid w:val="003E719A"/>
  </w:style>
  <w:style w:type="numbering" w:customStyle="1" w:styleId="324">
    <w:name w:val="Нет списка324"/>
    <w:next w:val="a2"/>
    <w:uiPriority w:val="99"/>
    <w:semiHidden/>
    <w:unhideWhenUsed/>
    <w:rsid w:val="003E719A"/>
  </w:style>
  <w:style w:type="table" w:customStyle="1" w:styleId="2242">
    <w:name w:val="Изысканная таблица224"/>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24">
    <w:name w:val="Нет списка1224"/>
    <w:next w:val="a2"/>
    <w:uiPriority w:val="99"/>
    <w:semiHidden/>
    <w:unhideWhenUsed/>
    <w:rsid w:val="003E719A"/>
  </w:style>
  <w:style w:type="numbering" w:customStyle="1" w:styleId="424">
    <w:name w:val="Нет списка424"/>
    <w:next w:val="a2"/>
    <w:uiPriority w:val="99"/>
    <w:semiHidden/>
    <w:unhideWhenUsed/>
    <w:rsid w:val="003E719A"/>
  </w:style>
  <w:style w:type="table" w:customStyle="1" w:styleId="3240">
    <w:name w:val="Изысканная таблица324"/>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240">
    <w:name w:val="Нет списка1324"/>
    <w:next w:val="a2"/>
    <w:uiPriority w:val="99"/>
    <w:semiHidden/>
    <w:unhideWhenUsed/>
    <w:rsid w:val="003E719A"/>
  </w:style>
  <w:style w:type="numbering" w:customStyle="1" w:styleId="524">
    <w:name w:val="Нет списка524"/>
    <w:next w:val="a2"/>
    <w:uiPriority w:val="99"/>
    <w:semiHidden/>
    <w:unhideWhenUsed/>
    <w:rsid w:val="003E719A"/>
  </w:style>
  <w:style w:type="table" w:customStyle="1" w:styleId="4240">
    <w:name w:val="Изысканная таблица424"/>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24">
    <w:name w:val="Нет списка1424"/>
    <w:next w:val="a2"/>
    <w:uiPriority w:val="99"/>
    <w:semiHidden/>
    <w:unhideWhenUsed/>
    <w:rsid w:val="003E719A"/>
  </w:style>
  <w:style w:type="numbering" w:customStyle="1" w:styleId="624">
    <w:name w:val="Нет списка624"/>
    <w:next w:val="a2"/>
    <w:uiPriority w:val="99"/>
    <w:semiHidden/>
    <w:unhideWhenUsed/>
    <w:rsid w:val="003E719A"/>
  </w:style>
  <w:style w:type="table" w:customStyle="1" w:styleId="5240">
    <w:name w:val="Изысканная таблица524"/>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24">
    <w:name w:val="Нет списка1524"/>
    <w:next w:val="a2"/>
    <w:uiPriority w:val="99"/>
    <w:semiHidden/>
    <w:unhideWhenUsed/>
    <w:rsid w:val="003E719A"/>
  </w:style>
  <w:style w:type="numbering" w:customStyle="1" w:styleId="724">
    <w:name w:val="Нет списка724"/>
    <w:next w:val="a2"/>
    <w:uiPriority w:val="99"/>
    <w:semiHidden/>
    <w:unhideWhenUsed/>
    <w:rsid w:val="003E719A"/>
  </w:style>
  <w:style w:type="table" w:customStyle="1" w:styleId="6240">
    <w:name w:val="Изысканная таблица624"/>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24">
    <w:name w:val="Нет списка1624"/>
    <w:next w:val="a2"/>
    <w:uiPriority w:val="99"/>
    <w:semiHidden/>
    <w:unhideWhenUsed/>
    <w:rsid w:val="003E719A"/>
  </w:style>
  <w:style w:type="table" w:customStyle="1" w:styleId="21240">
    <w:name w:val="Сетка таблицы2124"/>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1">
    <w:name w:val="Сетка таблицы324"/>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4">
    <w:name w:val="Сетка таблицы2224"/>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41">
    <w:name w:val="Сетка таблицы424"/>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41">
    <w:name w:val="Сетка таблицы524"/>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41">
    <w:name w:val="Сетка таблицы624"/>
    <w:basedOn w:val="a1"/>
    <w:next w:val="aff0"/>
    <w:uiPriority w:val="3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40">
    <w:name w:val="Сетка таблицы724"/>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Светлая заливка - Акцент 124"/>
    <w:basedOn w:val="a1"/>
    <w:next w:val="-1"/>
    <w:uiPriority w:val="60"/>
    <w:rsid w:val="003E719A"/>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24">
    <w:name w:val="Сетка таблицы824"/>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40">
    <w:name w:val="Сетка таблицы924"/>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0">
    <w:name w:val="Сетка таблицы1214"/>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40">
    <w:name w:val="Нет списка814"/>
    <w:next w:val="a2"/>
    <w:uiPriority w:val="99"/>
    <w:semiHidden/>
    <w:unhideWhenUsed/>
    <w:rsid w:val="003E719A"/>
  </w:style>
  <w:style w:type="table" w:customStyle="1" w:styleId="10140">
    <w:name w:val="Сетка таблицы1014"/>
    <w:basedOn w:val="a1"/>
    <w:next w:val="aff0"/>
    <w:uiPriority w:val="3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41">
    <w:name w:val="Изысканная таблица714"/>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14">
    <w:name w:val="Нет списка1714"/>
    <w:next w:val="a2"/>
    <w:uiPriority w:val="99"/>
    <w:semiHidden/>
    <w:unhideWhenUsed/>
    <w:rsid w:val="003E719A"/>
  </w:style>
  <w:style w:type="table" w:customStyle="1" w:styleId="13141">
    <w:name w:val="Сетка таблицы1314"/>
    <w:basedOn w:val="a1"/>
    <w:next w:val="aff0"/>
    <w:uiPriority w:val="3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140">
    <w:name w:val="Нет списка2214"/>
    <w:next w:val="a2"/>
    <w:uiPriority w:val="99"/>
    <w:semiHidden/>
    <w:unhideWhenUsed/>
    <w:rsid w:val="003E719A"/>
  </w:style>
  <w:style w:type="table" w:customStyle="1" w:styleId="2314">
    <w:name w:val="Сетка таблицы2314"/>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2">
    <w:name w:val="Изысканная таблица1114"/>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14">
    <w:name w:val="Нет списка11214"/>
    <w:next w:val="a2"/>
    <w:uiPriority w:val="99"/>
    <w:semiHidden/>
    <w:unhideWhenUsed/>
    <w:rsid w:val="003E719A"/>
  </w:style>
  <w:style w:type="table" w:customStyle="1" w:styleId="111140">
    <w:name w:val="Сетка таблицы11114"/>
    <w:basedOn w:val="a1"/>
    <w:next w:val="aff0"/>
    <w:uiPriority w:val="5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14">
    <w:name w:val="Нет списка21114"/>
    <w:next w:val="a2"/>
    <w:uiPriority w:val="99"/>
    <w:semiHidden/>
    <w:unhideWhenUsed/>
    <w:rsid w:val="003E719A"/>
  </w:style>
  <w:style w:type="numbering" w:customStyle="1" w:styleId="111114">
    <w:name w:val="Нет списка111114"/>
    <w:next w:val="a2"/>
    <w:uiPriority w:val="99"/>
    <w:semiHidden/>
    <w:unhideWhenUsed/>
    <w:rsid w:val="003E719A"/>
  </w:style>
  <w:style w:type="numbering" w:customStyle="1" w:styleId="3114">
    <w:name w:val="Нет списка3114"/>
    <w:next w:val="a2"/>
    <w:uiPriority w:val="99"/>
    <w:semiHidden/>
    <w:unhideWhenUsed/>
    <w:rsid w:val="003E719A"/>
  </w:style>
  <w:style w:type="table" w:customStyle="1" w:styleId="21141">
    <w:name w:val="Изысканная таблица2114"/>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14">
    <w:name w:val="Нет списка12114"/>
    <w:next w:val="a2"/>
    <w:uiPriority w:val="99"/>
    <w:semiHidden/>
    <w:unhideWhenUsed/>
    <w:rsid w:val="003E719A"/>
  </w:style>
  <w:style w:type="numbering" w:customStyle="1" w:styleId="4114">
    <w:name w:val="Нет списка4114"/>
    <w:next w:val="a2"/>
    <w:uiPriority w:val="99"/>
    <w:semiHidden/>
    <w:unhideWhenUsed/>
    <w:rsid w:val="003E719A"/>
  </w:style>
  <w:style w:type="table" w:customStyle="1" w:styleId="31140">
    <w:name w:val="Изысканная таблица3114"/>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140">
    <w:name w:val="Нет списка13114"/>
    <w:next w:val="a2"/>
    <w:uiPriority w:val="99"/>
    <w:semiHidden/>
    <w:unhideWhenUsed/>
    <w:rsid w:val="003E719A"/>
  </w:style>
  <w:style w:type="numbering" w:customStyle="1" w:styleId="5114">
    <w:name w:val="Нет списка5114"/>
    <w:next w:val="a2"/>
    <w:uiPriority w:val="99"/>
    <w:semiHidden/>
    <w:unhideWhenUsed/>
    <w:rsid w:val="003E719A"/>
  </w:style>
  <w:style w:type="table" w:customStyle="1" w:styleId="41140">
    <w:name w:val="Изысканная таблица4114"/>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14">
    <w:name w:val="Нет списка14114"/>
    <w:next w:val="a2"/>
    <w:uiPriority w:val="99"/>
    <w:semiHidden/>
    <w:unhideWhenUsed/>
    <w:rsid w:val="003E719A"/>
  </w:style>
  <w:style w:type="numbering" w:customStyle="1" w:styleId="6114">
    <w:name w:val="Нет списка6114"/>
    <w:next w:val="a2"/>
    <w:uiPriority w:val="99"/>
    <w:semiHidden/>
    <w:unhideWhenUsed/>
    <w:rsid w:val="003E719A"/>
  </w:style>
  <w:style w:type="table" w:customStyle="1" w:styleId="51140">
    <w:name w:val="Изысканная таблица5114"/>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14">
    <w:name w:val="Нет списка15114"/>
    <w:next w:val="a2"/>
    <w:uiPriority w:val="99"/>
    <w:semiHidden/>
    <w:unhideWhenUsed/>
    <w:rsid w:val="003E719A"/>
  </w:style>
  <w:style w:type="numbering" w:customStyle="1" w:styleId="7114">
    <w:name w:val="Нет списка7114"/>
    <w:next w:val="a2"/>
    <w:uiPriority w:val="99"/>
    <w:semiHidden/>
    <w:unhideWhenUsed/>
    <w:rsid w:val="003E719A"/>
  </w:style>
  <w:style w:type="table" w:customStyle="1" w:styleId="61140">
    <w:name w:val="Изысканная таблица6114"/>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14">
    <w:name w:val="Нет списка16114"/>
    <w:next w:val="a2"/>
    <w:uiPriority w:val="99"/>
    <w:semiHidden/>
    <w:unhideWhenUsed/>
    <w:rsid w:val="003E719A"/>
  </w:style>
  <w:style w:type="table" w:customStyle="1" w:styleId="211140">
    <w:name w:val="Сетка таблицы21114"/>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1">
    <w:name w:val="Сетка таблицы3114"/>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4">
    <w:name w:val="Сетка таблицы22114"/>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41">
    <w:name w:val="Сетка таблицы4114"/>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41">
    <w:name w:val="Сетка таблицы5114"/>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41">
    <w:name w:val="Сетка таблицы6114"/>
    <w:basedOn w:val="a1"/>
    <w:next w:val="aff0"/>
    <w:uiPriority w:val="3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40">
    <w:name w:val="Сетка таблицы7114"/>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Светлая заливка - Акцент 1114"/>
    <w:basedOn w:val="a1"/>
    <w:next w:val="-1"/>
    <w:uiPriority w:val="60"/>
    <w:rsid w:val="003E719A"/>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14">
    <w:name w:val="Сетка таблицы8114"/>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40">
    <w:name w:val="Сетка таблицы9114"/>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Нет списка103"/>
    <w:next w:val="a2"/>
    <w:uiPriority w:val="99"/>
    <w:semiHidden/>
    <w:unhideWhenUsed/>
    <w:rsid w:val="003E719A"/>
  </w:style>
  <w:style w:type="table" w:customStyle="1" w:styleId="1633">
    <w:name w:val="Сетка таблицы163"/>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3">
    <w:name w:val="Изысканная таблица93"/>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93">
    <w:name w:val="Нет списка193"/>
    <w:next w:val="a2"/>
    <w:uiPriority w:val="99"/>
    <w:semiHidden/>
    <w:unhideWhenUsed/>
    <w:rsid w:val="003E719A"/>
  </w:style>
  <w:style w:type="table" w:customStyle="1" w:styleId="1730">
    <w:name w:val="Сетка таблицы173"/>
    <w:basedOn w:val="a1"/>
    <w:next w:val="aff0"/>
    <w:uiPriority w:val="3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430">
    <w:name w:val="Нет списка243"/>
    <w:next w:val="a2"/>
    <w:uiPriority w:val="99"/>
    <w:semiHidden/>
    <w:unhideWhenUsed/>
    <w:rsid w:val="003E719A"/>
  </w:style>
  <w:style w:type="table" w:customStyle="1" w:styleId="253">
    <w:name w:val="Сетка таблицы253"/>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3">
    <w:name w:val="Изысканная таблица133"/>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43">
    <w:name w:val="Нет списка1143"/>
    <w:next w:val="a2"/>
    <w:uiPriority w:val="99"/>
    <w:semiHidden/>
    <w:unhideWhenUsed/>
    <w:rsid w:val="003E719A"/>
  </w:style>
  <w:style w:type="table" w:customStyle="1" w:styleId="11330">
    <w:name w:val="Сетка таблицы1133"/>
    <w:basedOn w:val="a1"/>
    <w:next w:val="aff0"/>
    <w:uiPriority w:val="5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33">
    <w:name w:val="Нет списка2133"/>
    <w:next w:val="a2"/>
    <w:uiPriority w:val="99"/>
    <w:semiHidden/>
    <w:unhideWhenUsed/>
    <w:rsid w:val="003E719A"/>
  </w:style>
  <w:style w:type="numbering" w:customStyle="1" w:styleId="11133">
    <w:name w:val="Нет списка11133"/>
    <w:next w:val="a2"/>
    <w:uiPriority w:val="99"/>
    <w:semiHidden/>
    <w:unhideWhenUsed/>
    <w:rsid w:val="003E719A"/>
  </w:style>
  <w:style w:type="numbering" w:customStyle="1" w:styleId="333">
    <w:name w:val="Нет списка333"/>
    <w:next w:val="a2"/>
    <w:uiPriority w:val="99"/>
    <w:semiHidden/>
    <w:unhideWhenUsed/>
    <w:rsid w:val="003E719A"/>
  </w:style>
  <w:style w:type="table" w:customStyle="1" w:styleId="2332">
    <w:name w:val="Изысканная таблица233"/>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33">
    <w:name w:val="Нет списка1233"/>
    <w:next w:val="a2"/>
    <w:uiPriority w:val="99"/>
    <w:semiHidden/>
    <w:unhideWhenUsed/>
    <w:rsid w:val="003E719A"/>
  </w:style>
  <w:style w:type="numbering" w:customStyle="1" w:styleId="433">
    <w:name w:val="Нет списка433"/>
    <w:next w:val="a2"/>
    <w:uiPriority w:val="99"/>
    <w:semiHidden/>
    <w:unhideWhenUsed/>
    <w:rsid w:val="003E719A"/>
  </w:style>
  <w:style w:type="table" w:customStyle="1" w:styleId="3330">
    <w:name w:val="Изысканная таблица333"/>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330">
    <w:name w:val="Нет списка1333"/>
    <w:next w:val="a2"/>
    <w:uiPriority w:val="99"/>
    <w:semiHidden/>
    <w:unhideWhenUsed/>
    <w:rsid w:val="003E719A"/>
  </w:style>
  <w:style w:type="numbering" w:customStyle="1" w:styleId="533">
    <w:name w:val="Нет списка533"/>
    <w:next w:val="a2"/>
    <w:uiPriority w:val="99"/>
    <w:semiHidden/>
    <w:unhideWhenUsed/>
    <w:rsid w:val="003E719A"/>
  </w:style>
  <w:style w:type="table" w:customStyle="1" w:styleId="4330">
    <w:name w:val="Изысканная таблица433"/>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33">
    <w:name w:val="Нет списка1433"/>
    <w:next w:val="a2"/>
    <w:uiPriority w:val="99"/>
    <w:semiHidden/>
    <w:unhideWhenUsed/>
    <w:rsid w:val="003E719A"/>
  </w:style>
  <w:style w:type="numbering" w:customStyle="1" w:styleId="633">
    <w:name w:val="Нет списка633"/>
    <w:next w:val="a2"/>
    <w:uiPriority w:val="99"/>
    <w:semiHidden/>
    <w:unhideWhenUsed/>
    <w:rsid w:val="003E719A"/>
  </w:style>
  <w:style w:type="table" w:customStyle="1" w:styleId="5330">
    <w:name w:val="Изысканная таблица533"/>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33">
    <w:name w:val="Нет списка1533"/>
    <w:next w:val="a2"/>
    <w:uiPriority w:val="99"/>
    <w:semiHidden/>
    <w:unhideWhenUsed/>
    <w:rsid w:val="003E719A"/>
  </w:style>
  <w:style w:type="numbering" w:customStyle="1" w:styleId="733">
    <w:name w:val="Нет списка733"/>
    <w:next w:val="a2"/>
    <w:uiPriority w:val="99"/>
    <w:semiHidden/>
    <w:unhideWhenUsed/>
    <w:rsid w:val="003E719A"/>
  </w:style>
  <w:style w:type="table" w:customStyle="1" w:styleId="6330">
    <w:name w:val="Изысканная таблица633"/>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330">
    <w:name w:val="Нет списка1633"/>
    <w:next w:val="a2"/>
    <w:uiPriority w:val="99"/>
    <w:semiHidden/>
    <w:unhideWhenUsed/>
    <w:rsid w:val="003E719A"/>
  </w:style>
  <w:style w:type="table" w:customStyle="1" w:styleId="21330">
    <w:name w:val="Сетка таблицы2133"/>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1">
    <w:name w:val="Сетка таблицы333"/>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3">
    <w:name w:val="Сетка таблицы2233"/>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31">
    <w:name w:val="Сетка таблицы433"/>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31">
    <w:name w:val="Сетка таблицы533"/>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31">
    <w:name w:val="Сетка таблицы633"/>
    <w:basedOn w:val="a1"/>
    <w:next w:val="aff0"/>
    <w:uiPriority w:val="3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30">
    <w:name w:val="Сетка таблицы733"/>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Светлая заливка - Акцент 133"/>
    <w:basedOn w:val="a1"/>
    <w:next w:val="-1"/>
    <w:uiPriority w:val="60"/>
    <w:rsid w:val="003E719A"/>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33">
    <w:name w:val="Сетка таблицы833"/>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30">
    <w:name w:val="Сетка таблицы933"/>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30">
    <w:name w:val="Сетка таблицы1223"/>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30">
    <w:name w:val="Нет списка823"/>
    <w:next w:val="a2"/>
    <w:uiPriority w:val="99"/>
    <w:semiHidden/>
    <w:unhideWhenUsed/>
    <w:rsid w:val="003E719A"/>
  </w:style>
  <w:style w:type="table" w:customStyle="1" w:styleId="1023">
    <w:name w:val="Сетка таблицы1023"/>
    <w:basedOn w:val="a1"/>
    <w:next w:val="aff0"/>
    <w:uiPriority w:val="3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1">
    <w:name w:val="Изысканная таблица723"/>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23">
    <w:name w:val="Нет списка1723"/>
    <w:next w:val="a2"/>
    <w:uiPriority w:val="99"/>
    <w:semiHidden/>
    <w:unhideWhenUsed/>
    <w:rsid w:val="003E719A"/>
  </w:style>
  <w:style w:type="table" w:customStyle="1" w:styleId="13230">
    <w:name w:val="Сетка таблицы1323"/>
    <w:basedOn w:val="a1"/>
    <w:next w:val="aff0"/>
    <w:uiPriority w:val="3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230">
    <w:name w:val="Нет списка2223"/>
    <w:next w:val="a2"/>
    <w:uiPriority w:val="99"/>
    <w:semiHidden/>
    <w:unhideWhenUsed/>
    <w:rsid w:val="003E719A"/>
  </w:style>
  <w:style w:type="table" w:customStyle="1" w:styleId="2323">
    <w:name w:val="Сетка таблицы2323"/>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2">
    <w:name w:val="Изысканная таблица1123"/>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23">
    <w:name w:val="Нет списка11223"/>
    <w:next w:val="a2"/>
    <w:uiPriority w:val="99"/>
    <w:semiHidden/>
    <w:unhideWhenUsed/>
    <w:rsid w:val="003E719A"/>
  </w:style>
  <w:style w:type="table" w:customStyle="1" w:styleId="111231">
    <w:name w:val="Сетка таблицы11123"/>
    <w:basedOn w:val="a1"/>
    <w:next w:val="aff0"/>
    <w:uiPriority w:val="5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23">
    <w:name w:val="Нет списка21123"/>
    <w:next w:val="a2"/>
    <w:uiPriority w:val="99"/>
    <w:semiHidden/>
    <w:unhideWhenUsed/>
    <w:rsid w:val="003E719A"/>
  </w:style>
  <w:style w:type="numbering" w:customStyle="1" w:styleId="1111230">
    <w:name w:val="Нет списка111123"/>
    <w:next w:val="a2"/>
    <w:uiPriority w:val="99"/>
    <w:semiHidden/>
    <w:unhideWhenUsed/>
    <w:rsid w:val="003E719A"/>
  </w:style>
  <w:style w:type="numbering" w:customStyle="1" w:styleId="3123">
    <w:name w:val="Нет списка3123"/>
    <w:next w:val="a2"/>
    <w:uiPriority w:val="99"/>
    <w:semiHidden/>
    <w:unhideWhenUsed/>
    <w:rsid w:val="003E719A"/>
  </w:style>
  <w:style w:type="table" w:customStyle="1" w:styleId="21231">
    <w:name w:val="Изысканная таблица2123"/>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230">
    <w:name w:val="Нет списка12123"/>
    <w:next w:val="a2"/>
    <w:uiPriority w:val="99"/>
    <w:semiHidden/>
    <w:unhideWhenUsed/>
    <w:rsid w:val="003E719A"/>
  </w:style>
  <w:style w:type="numbering" w:customStyle="1" w:styleId="4123">
    <w:name w:val="Нет списка4123"/>
    <w:next w:val="a2"/>
    <w:uiPriority w:val="99"/>
    <w:semiHidden/>
    <w:unhideWhenUsed/>
    <w:rsid w:val="003E719A"/>
  </w:style>
  <w:style w:type="table" w:customStyle="1" w:styleId="31230">
    <w:name w:val="Изысканная таблица3123"/>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23">
    <w:name w:val="Нет списка13123"/>
    <w:next w:val="a2"/>
    <w:uiPriority w:val="99"/>
    <w:semiHidden/>
    <w:unhideWhenUsed/>
    <w:rsid w:val="003E719A"/>
  </w:style>
  <w:style w:type="numbering" w:customStyle="1" w:styleId="5123">
    <w:name w:val="Нет списка5123"/>
    <w:next w:val="a2"/>
    <w:uiPriority w:val="99"/>
    <w:semiHidden/>
    <w:unhideWhenUsed/>
    <w:rsid w:val="003E719A"/>
  </w:style>
  <w:style w:type="table" w:customStyle="1" w:styleId="41230">
    <w:name w:val="Изысканная таблица4123"/>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23">
    <w:name w:val="Нет списка14123"/>
    <w:next w:val="a2"/>
    <w:uiPriority w:val="99"/>
    <w:semiHidden/>
    <w:unhideWhenUsed/>
    <w:rsid w:val="003E719A"/>
  </w:style>
  <w:style w:type="numbering" w:customStyle="1" w:styleId="6123">
    <w:name w:val="Нет списка6123"/>
    <w:next w:val="a2"/>
    <w:uiPriority w:val="99"/>
    <w:semiHidden/>
    <w:unhideWhenUsed/>
    <w:rsid w:val="003E719A"/>
  </w:style>
  <w:style w:type="table" w:customStyle="1" w:styleId="51230">
    <w:name w:val="Изысканная таблица5123"/>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23">
    <w:name w:val="Нет списка15123"/>
    <w:next w:val="a2"/>
    <w:uiPriority w:val="99"/>
    <w:semiHidden/>
    <w:unhideWhenUsed/>
    <w:rsid w:val="003E719A"/>
  </w:style>
  <w:style w:type="numbering" w:customStyle="1" w:styleId="7123">
    <w:name w:val="Нет списка7123"/>
    <w:next w:val="a2"/>
    <w:uiPriority w:val="99"/>
    <w:semiHidden/>
    <w:unhideWhenUsed/>
    <w:rsid w:val="003E719A"/>
  </w:style>
  <w:style w:type="table" w:customStyle="1" w:styleId="61230">
    <w:name w:val="Изысканная таблица6123"/>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23">
    <w:name w:val="Нет списка16123"/>
    <w:next w:val="a2"/>
    <w:uiPriority w:val="99"/>
    <w:semiHidden/>
    <w:unhideWhenUsed/>
    <w:rsid w:val="003E719A"/>
  </w:style>
  <w:style w:type="table" w:customStyle="1" w:styleId="211230">
    <w:name w:val="Сетка таблицы21123"/>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1">
    <w:name w:val="Сетка таблицы3123"/>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30">
    <w:name w:val="Сетка таблицы22123"/>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31">
    <w:name w:val="Сетка таблицы4123"/>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31">
    <w:name w:val="Сетка таблицы5123"/>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31">
    <w:name w:val="Сетка таблицы6123"/>
    <w:basedOn w:val="a1"/>
    <w:next w:val="aff0"/>
    <w:uiPriority w:val="3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30">
    <w:name w:val="Сетка таблицы7123"/>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
    <w:name w:val="Светлая заливка - Акцент 1123"/>
    <w:basedOn w:val="a1"/>
    <w:next w:val="-1"/>
    <w:uiPriority w:val="60"/>
    <w:rsid w:val="003E719A"/>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230">
    <w:name w:val="Сетка таблицы8123"/>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3">
    <w:name w:val="Сетка таблицы9123"/>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2">
    <w:name w:val="Нет списка913"/>
    <w:next w:val="a2"/>
    <w:uiPriority w:val="99"/>
    <w:semiHidden/>
    <w:unhideWhenUsed/>
    <w:rsid w:val="003E719A"/>
  </w:style>
  <w:style w:type="table" w:customStyle="1" w:styleId="14130">
    <w:name w:val="Сетка таблицы1413"/>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32">
    <w:name w:val="Изысканная таблица813"/>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813">
    <w:name w:val="Нет списка1813"/>
    <w:next w:val="a2"/>
    <w:uiPriority w:val="99"/>
    <w:semiHidden/>
    <w:unhideWhenUsed/>
    <w:rsid w:val="003E719A"/>
  </w:style>
  <w:style w:type="table" w:customStyle="1" w:styleId="15130">
    <w:name w:val="Сетка таблицы1513"/>
    <w:basedOn w:val="a1"/>
    <w:next w:val="aff0"/>
    <w:uiPriority w:val="3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3131">
    <w:name w:val="Нет списка2313"/>
    <w:next w:val="a2"/>
    <w:uiPriority w:val="99"/>
    <w:semiHidden/>
    <w:unhideWhenUsed/>
    <w:rsid w:val="003E719A"/>
  </w:style>
  <w:style w:type="table" w:customStyle="1" w:styleId="24130">
    <w:name w:val="Сетка таблицы2413"/>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2">
    <w:name w:val="Изысканная таблица1213"/>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3130">
    <w:name w:val="Нет списка11313"/>
    <w:next w:val="a2"/>
    <w:uiPriority w:val="99"/>
    <w:semiHidden/>
    <w:unhideWhenUsed/>
    <w:rsid w:val="003E719A"/>
  </w:style>
  <w:style w:type="table" w:customStyle="1" w:styleId="112131">
    <w:name w:val="Сетка таблицы11213"/>
    <w:basedOn w:val="a1"/>
    <w:next w:val="aff0"/>
    <w:uiPriority w:val="5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213">
    <w:name w:val="Нет списка21213"/>
    <w:next w:val="a2"/>
    <w:uiPriority w:val="99"/>
    <w:semiHidden/>
    <w:unhideWhenUsed/>
    <w:rsid w:val="003E719A"/>
  </w:style>
  <w:style w:type="numbering" w:customStyle="1" w:styleId="1112130">
    <w:name w:val="Нет списка111213"/>
    <w:next w:val="a2"/>
    <w:uiPriority w:val="99"/>
    <w:semiHidden/>
    <w:unhideWhenUsed/>
    <w:rsid w:val="003E719A"/>
  </w:style>
  <w:style w:type="numbering" w:customStyle="1" w:styleId="3213">
    <w:name w:val="Нет списка3213"/>
    <w:next w:val="a2"/>
    <w:uiPriority w:val="99"/>
    <w:semiHidden/>
    <w:unhideWhenUsed/>
    <w:rsid w:val="003E719A"/>
  </w:style>
  <w:style w:type="table" w:customStyle="1" w:styleId="22132">
    <w:name w:val="Изысканная таблица2213"/>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2130">
    <w:name w:val="Нет списка12213"/>
    <w:next w:val="a2"/>
    <w:uiPriority w:val="99"/>
    <w:semiHidden/>
    <w:unhideWhenUsed/>
    <w:rsid w:val="003E719A"/>
  </w:style>
  <w:style w:type="numbering" w:customStyle="1" w:styleId="4213">
    <w:name w:val="Нет списка4213"/>
    <w:next w:val="a2"/>
    <w:uiPriority w:val="99"/>
    <w:semiHidden/>
    <w:unhideWhenUsed/>
    <w:rsid w:val="003E719A"/>
  </w:style>
  <w:style w:type="table" w:customStyle="1" w:styleId="32130">
    <w:name w:val="Изысканная таблица3213"/>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213">
    <w:name w:val="Нет списка13213"/>
    <w:next w:val="a2"/>
    <w:uiPriority w:val="99"/>
    <w:semiHidden/>
    <w:unhideWhenUsed/>
    <w:rsid w:val="003E719A"/>
  </w:style>
  <w:style w:type="numbering" w:customStyle="1" w:styleId="5213">
    <w:name w:val="Нет списка5213"/>
    <w:next w:val="a2"/>
    <w:uiPriority w:val="99"/>
    <w:semiHidden/>
    <w:unhideWhenUsed/>
    <w:rsid w:val="003E719A"/>
  </w:style>
  <w:style w:type="table" w:customStyle="1" w:styleId="42130">
    <w:name w:val="Изысканная таблица4213"/>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213">
    <w:name w:val="Нет списка14213"/>
    <w:next w:val="a2"/>
    <w:uiPriority w:val="99"/>
    <w:semiHidden/>
    <w:unhideWhenUsed/>
    <w:rsid w:val="003E719A"/>
  </w:style>
  <w:style w:type="numbering" w:customStyle="1" w:styleId="6213">
    <w:name w:val="Нет списка6213"/>
    <w:next w:val="a2"/>
    <w:uiPriority w:val="99"/>
    <w:semiHidden/>
    <w:unhideWhenUsed/>
    <w:rsid w:val="003E719A"/>
  </w:style>
  <w:style w:type="table" w:customStyle="1" w:styleId="52130">
    <w:name w:val="Изысканная таблица5213"/>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213">
    <w:name w:val="Нет списка15213"/>
    <w:next w:val="a2"/>
    <w:uiPriority w:val="99"/>
    <w:semiHidden/>
    <w:unhideWhenUsed/>
    <w:rsid w:val="003E719A"/>
  </w:style>
  <w:style w:type="numbering" w:customStyle="1" w:styleId="7213">
    <w:name w:val="Нет списка7213"/>
    <w:next w:val="a2"/>
    <w:uiPriority w:val="99"/>
    <w:semiHidden/>
    <w:unhideWhenUsed/>
    <w:rsid w:val="003E719A"/>
  </w:style>
  <w:style w:type="table" w:customStyle="1" w:styleId="62130">
    <w:name w:val="Изысканная таблица6213"/>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213">
    <w:name w:val="Нет списка16213"/>
    <w:next w:val="a2"/>
    <w:uiPriority w:val="99"/>
    <w:semiHidden/>
    <w:unhideWhenUsed/>
    <w:rsid w:val="003E719A"/>
  </w:style>
  <w:style w:type="table" w:customStyle="1" w:styleId="212130">
    <w:name w:val="Сетка таблицы21213"/>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1">
    <w:name w:val="Сетка таблицы3213"/>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130">
    <w:name w:val="Сетка таблицы22213"/>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31">
    <w:name w:val="Сетка таблицы4213"/>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31">
    <w:name w:val="Сетка таблицы5213"/>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31">
    <w:name w:val="Сетка таблицы6213"/>
    <w:basedOn w:val="a1"/>
    <w:next w:val="aff0"/>
    <w:uiPriority w:val="3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30">
    <w:name w:val="Сетка таблицы7213"/>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
    <w:name w:val="Светлая заливка - Акцент 1213"/>
    <w:basedOn w:val="a1"/>
    <w:next w:val="-1"/>
    <w:uiPriority w:val="60"/>
    <w:rsid w:val="003E719A"/>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2130">
    <w:name w:val="Сетка таблицы8213"/>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13">
    <w:name w:val="Сетка таблицы9213"/>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31">
    <w:name w:val="Сетка таблицы12113"/>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31">
    <w:name w:val="Нет списка8113"/>
    <w:next w:val="a2"/>
    <w:uiPriority w:val="99"/>
    <w:semiHidden/>
    <w:unhideWhenUsed/>
    <w:rsid w:val="003E719A"/>
  </w:style>
  <w:style w:type="table" w:customStyle="1" w:styleId="10113">
    <w:name w:val="Сетка таблицы10113"/>
    <w:basedOn w:val="a1"/>
    <w:next w:val="aff0"/>
    <w:uiPriority w:val="3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31">
    <w:name w:val="Изысканная таблица7113"/>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113">
    <w:name w:val="Нет списка17113"/>
    <w:next w:val="a2"/>
    <w:uiPriority w:val="99"/>
    <w:semiHidden/>
    <w:unhideWhenUsed/>
    <w:rsid w:val="003E719A"/>
  </w:style>
  <w:style w:type="table" w:customStyle="1" w:styleId="131130">
    <w:name w:val="Сетка таблицы13113"/>
    <w:basedOn w:val="a1"/>
    <w:next w:val="aff0"/>
    <w:uiPriority w:val="3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1131">
    <w:name w:val="Нет списка22113"/>
    <w:next w:val="a2"/>
    <w:uiPriority w:val="99"/>
    <w:semiHidden/>
    <w:unhideWhenUsed/>
    <w:rsid w:val="003E719A"/>
  </w:style>
  <w:style w:type="table" w:customStyle="1" w:styleId="231130">
    <w:name w:val="Сетка таблицы23113"/>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2">
    <w:name w:val="Изысканная таблица11113"/>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1130">
    <w:name w:val="Нет списка112113"/>
    <w:next w:val="a2"/>
    <w:uiPriority w:val="99"/>
    <w:semiHidden/>
    <w:unhideWhenUsed/>
    <w:rsid w:val="003E719A"/>
  </w:style>
  <w:style w:type="table" w:customStyle="1" w:styleId="1111131">
    <w:name w:val="Сетка таблицы111113"/>
    <w:basedOn w:val="a1"/>
    <w:next w:val="aff0"/>
    <w:uiPriority w:val="5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113">
    <w:name w:val="Нет списка211113"/>
    <w:next w:val="a2"/>
    <w:uiPriority w:val="99"/>
    <w:semiHidden/>
    <w:unhideWhenUsed/>
    <w:rsid w:val="003E719A"/>
  </w:style>
  <w:style w:type="numbering" w:customStyle="1" w:styleId="11111130">
    <w:name w:val="Нет списка1111113"/>
    <w:next w:val="a2"/>
    <w:uiPriority w:val="99"/>
    <w:semiHidden/>
    <w:unhideWhenUsed/>
    <w:rsid w:val="003E719A"/>
  </w:style>
  <w:style w:type="numbering" w:customStyle="1" w:styleId="31113">
    <w:name w:val="Нет списка31113"/>
    <w:next w:val="a2"/>
    <w:uiPriority w:val="99"/>
    <w:semiHidden/>
    <w:unhideWhenUsed/>
    <w:rsid w:val="003E719A"/>
  </w:style>
  <w:style w:type="table" w:customStyle="1" w:styleId="211131">
    <w:name w:val="Изысканная таблица21113"/>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1130">
    <w:name w:val="Нет списка121113"/>
    <w:next w:val="a2"/>
    <w:uiPriority w:val="99"/>
    <w:semiHidden/>
    <w:unhideWhenUsed/>
    <w:rsid w:val="003E719A"/>
  </w:style>
  <w:style w:type="numbering" w:customStyle="1" w:styleId="41113">
    <w:name w:val="Нет списка41113"/>
    <w:next w:val="a2"/>
    <w:uiPriority w:val="99"/>
    <w:semiHidden/>
    <w:unhideWhenUsed/>
    <w:rsid w:val="003E719A"/>
  </w:style>
  <w:style w:type="table" w:customStyle="1" w:styleId="311130">
    <w:name w:val="Изысканная таблица31113"/>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113">
    <w:name w:val="Нет списка131113"/>
    <w:next w:val="a2"/>
    <w:uiPriority w:val="99"/>
    <w:semiHidden/>
    <w:unhideWhenUsed/>
    <w:rsid w:val="003E719A"/>
  </w:style>
  <w:style w:type="numbering" w:customStyle="1" w:styleId="51113">
    <w:name w:val="Нет списка51113"/>
    <w:next w:val="a2"/>
    <w:uiPriority w:val="99"/>
    <w:semiHidden/>
    <w:unhideWhenUsed/>
    <w:rsid w:val="003E719A"/>
  </w:style>
  <w:style w:type="table" w:customStyle="1" w:styleId="411130">
    <w:name w:val="Изысканная таблица41113"/>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113">
    <w:name w:val="Нет списка141113"/>
    <w:next w:val="a2"/>
    <w:uiPriority w:val="99"/>
    <w:semiHidden/>
    <w:unhideWhenUsed/>
    <w:rsid w:val="003E719A"/>
  </w:style>
  <w:style w:type="numbering" w:customStyle="1" w:styleId="61113">
    <w:name w:val="Нет списка61113"/>
    <w:next w:val="a2"/>
    <w:uiPriority w:val="99"/>
    <w:semiHidden/>
    <w:unhideWhenUsed/>
    <w:rsid w:val="003E719A"/>
  </w:style>
  <w:style w:type="table" w:customStyle="1" w:styleId="511130">
    <w:name w:val="Изысканная таблица51113"/>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113">
    <w:name w:val="Нет списка151113"/>
    <w:next w:val="a2"/>
    <w:uiPriority w:val="99"/>
    <w:semiHidden/>
    <w:unhideWhenUsed/>
    <w:rsid w:val="003E719A"/>
  </w:style>
  <w:style w:type="numbering" w:customStyle="1" w:styleId="71113">
    <w:name w:val="Нет списка71113"/>
    <w:next w:val="a2"/>
    <w:uiPriority w:val="99"/>
    <w:semiHidden/>
    <w:unhideWhenUsed/>
    <w:rsid w:val="003E719A"/>
  </w:style>
  <w:style w:type="table" w:customStyle="1" w:styleId="611130">
    <w:name w:val="Изысканная таблица61113"/>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113">
    <w:name w:val="Нет списка161113"/>
    <w:next w:val="a2"/>
    <w:uiPriority w:val="99"/>
    <w:semiHidden/>
    <w:unhideWhenUsed/>
    <w:rsid w:val="003E719A"/>
  </w:style>
  <w:style w:type="table" w:customStyle="1" w:styleId="2111130">
    <w:name w:val="Сетка таблицы211113"/>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1">
    <w:name w:val="Сетка таблицы31113"/>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30">
    <w:name w:val="Сетка таблицы221113"/>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31">
    <w:name w:val="Сетка таблицы41113"/>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31">
    <w:name w:val="Сетка таблицы51113"/>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31">
    <w:name w:val="Сетка таблицы61113"/>
    <w:basedOn w:val="a1"/>
    <w:next w:val="aff0"/>
    <w:uiPriority w:val="3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30">
    <w:name w:val="Сетка таблицы71113"/>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
    <w:name w:val="Светлая заливка - Акцент 11113"/>
    <w:basedOn w:val="a1"/>
    <w:next w:val="-1"/>
    <w:uiPriority w:val="60"/>
    <w:rsid w:val="003E719A"/>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1130">
    <w:name w:val="Сетка таблицы81113"/>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13">
    <w:name w:val="Сетка таблицы91113"/>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Нет списка202"/>
    <w:next w:val="a2"/>
    <w:uiPriority w:val="99"/>
    <w:semiHidden/>
    <w:unhideWhenUsed/>
    <w:rsid w:val="003E719A"/>
  </w:style>
  <w:style w:type="table" w:customStyle="1" w:styleId="1822">
    <w:name w:val="Сетка таблицы182"/>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4">
    <w:name w:val="Изысканная таблица10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02">
    <w:name w:val="Нет списка1102"/>
    <w:next w:val="a2"/>
    <w:uiPriority w:val="99"/>
    <w:semiHidden/>
    <w:unhideWhenUsed/>
    <w:rsid w:val="003E719A"/>
  </w:style>
  <w:style w:type="table" w:customStyle="1" w:styleId="1920">
    <w:name w:val="Сетка таблицы192"/>
    <w:basedOn w:val="a1"/>
    <w:next w:val="aff0"/>
    <w:uiPriority w:val="3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521">
    <w:name w:val="Нет списка252"/>
    <w:next w:val="a2"/>
    <w:uiPriority w:val="99"/>
    <w:semiHidden/>
    <w:unhideWhenUsed/>
    <w:rsid w:val="003E719A"/>
  </w:style>
  <w:style w:type="table" w:customStyle="1" w:styleId="2620">
    <w:name w:val="Сетка таблицы262"/>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5">
    <w:name w:val="Изысканная таблица14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520">
    <w:name w:val="Нет списка1152"/>
    <w:next w:val="a2"/>
    <w:uiPriority w:val="99"/>
    <w:semiHidden/>
    <w:unhideWhenUsed/>
    <w:rsid w:val="003E719A"/>
  </w:style>
  <w:style w:type="table" w:customStyle="1" w:styleId="11421">
    <w:name w:val="Сетка таблицы1142"/>
    <w:basedOn w:val="a1"/>
    <w:next w:val="aff0"/>
    <w:uiPriority w:val="5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42">
    <w:name w:val="Нет списка2142"/>
    <w:next w:val="a2"/>
    <w:uiPriority w:val="99"/>
    <w:semiHidden/>
    <w:unhideWhenUsed/>
    <w:rsid w:val="003E719A"/>
  </w:style>
  <w:style w:type="numbering" w:customStyle="1" w:styleId="111420">
    <w:name w:val="Нет списка11142"/>
    <w:next w:val="a2"/>
    <w:uiPriority w:val="99"/>
    <w:semiHidden/>
    <w:unhideWhenUsed/>
    <w:rsid w:val="003E719A"/>
  </w:style>
  <w:style w:type="numbering" w:customStyle="1" w:styleId="3420">
    <w:name w:val="Нет списка342"/>
    <w:next w:val="a2"/>
    <w:uiPriority w:val="99"/>
    <w:semiHidden/>
    <w:unhideWhenUsed/>
    <w:rsid w:val="003E719A"/>
  </w:style>
  <w:style w:type="table" w:customStyle="1" w:styleId="2422">
    <w:name w:val="Изысканная таблица24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420">
    <w:name w:val="Нет списка1242"/>
    <w:next w:val="a2"/>
    <w:uiPriority w:val="99"/>
    <w:semiHidden/>
    <w:unhideWhenUsed/>
    <w:rsid w:val="003E719A"/>
  </w:style>
  <w:style w:type="numbering" w:customStyle="1" w:styleId="4420">
    <w:name w:val="Нет списка442"/>
    <w:next w:val="a2"/>
    <w:uiPriority w:val="99"/>
    <w:semiHidden/>
    <w:unhideWhenUsed/>
    <w:rsid w:val="003E719A"/>
  </w:style>
  <w:style w:type="table" w:customStyle="1" w:styleId="3421">
    <w:name w:val="Изысканная таблица34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42">
    <w:name w:val="Нет списка1342"/>
    <w:next w:val="a2"/>
    <w:uiPriority w:val="99"/>
    <w:semiHidden/>
    <w:unhideWhenUsed/>
    <w:rsid w:val="003E719A"/>
  </w:style>
  <w:style w:type="numbering" w:customStyle="1" w:styleId="5420">
    <w:name w:val="Нет списка542"/>
    <w:next w:val="a2"/>
    <w:uiPriority w:val="99"/>
    <w:semiHidden/>
    <w:unhideWhenUsed/>
    <w:rsid w:val="003E719A"/>
  </w:style>
  <w:style w:type="table" w:customStyle="1" w:styleId="4421">
    <w:name w:val="Изысканная таблица44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420">
    <w:name w:val="Нет списка1442"/>
    <w:next w:val="a2"/>
    <w:uiPriority w:val="99"/>
    <w:semiHidden/>
    <w:unhideWhenUsed/>
    <w:rsid w:val="003E719A"/>
  </w:style>
  <w:style w:type="numbering" w:customStyle="1" w:styleId="6420">
    <w:name w:val="Нет списка642"/>
    <w:next w:val="a2"/>
    <w:uiPriority w:val="99"/>
    <w:semiHidden/>
    <w:unhideWhenUsed/>
    <w:rsid w:val="003E719A"/>
  </w:style>
  <w:style w:type="table" w:customStyle="1" w:styleId="5421">
    <w:name w:val="Изысканная таблица54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42">
    <w:name w:val="Нет списка1542"/>
    <w:next w:val="a2"/>
    <w:uiPriority w:val="99"/>
    <w:semiHidden/>
    <w:unhideWhenUsed/>
    <w:rsid w:val="003E719A"/>
  </w:style>
  <w:style w:type="numbering" w:customStyle="1" w:styleId="7420">
    <w:name w:val="Нет списка742"/>
    <w:next w:val="a2"/>
    <w:uiPriority w:val="99"/>
    <w:semiHidden/>
    <w:unhideWhenUsed/>
    <w:rsid w:val="003E719A"/>
  </w:style>
  <w:style w:type="table" w:customStyle="1" w:styleId="6421">
    <w:name w:val="Изысканная таблица64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42">
    <w:name w:val="Нет списка1642"/>
    <w:next w:val="a2"/>
    <w:uiPriority w:val="99"/>
    <w:semiHidden/>
    <w:unhideWhenUsed/>
    <w:rsid w:val="003E719A"/>
  </w:style>
  <w:style w:type="table" w:customStyle="1" w:styleId="21420">
    <w:name w:val="Сетка таблицы2142"/>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2">
    <w:name w:val="Сетка таблицы342"/>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0">
    <w:name w:val="Сетка таблицы2242"/>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22">
    <w:name w:val="Сетка таблицы442"/>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22">
    <w:name w:val="Сетка таблицы542"/>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22">
    <w:name w:val="Сетка таблицы642"/>
    <w:basedOn w:val="a1"/>
    <w:next w:val="aff0"/>
    <w:uiPriority w:val="3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21">
    <w:name w:val="Сетка таблицы742"/>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Светлая заливка - Акцент 142"/>
    <w:basedOn w:val="a1"/>
    <w:next w:val="-1"/>
    <w:uiPriority w:val="60"/>
    <w:rsid w:val="003E719A"/>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420">
    <w:name w:val="Сетка таблицы842"/>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20">
    <w:name w:val="Сетка таблицы942"/>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1">
    <w:name w:val="Сетка таблицы1232"/>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1">
    <w:name w:val="Нет списка832"/>
    <w:next w:val="a2"/>
    <w:uiPriority w:val="99"/>
    <w:semiHidden/>
    <w:unhideWhenUsed/>
    <w:rsid w:val="003E719A"/>
  </w:style>
  <w:style w:type="table" w:customStyle="1" w:styleId="10320">
    <w:name w:val="Сетка таблицы1032"/>
    <w:basedOn w:val="a1"/>
    <w:next w:val="aff0"/>
    <w:uiPriority w:val="3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2">
    <w:name w:val="Изысканная таблица73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32">
    <w:name w:val="Нет списка1732"/>
    <w:next w:val="a2"/>
    <w:uiPriority w:val="99"/>
    <w:semiHidden/>
    <w:unhideWhenUsed/>
    <w:rsid w:val="003E719A"/>
  </w:style>
  <w:style w:type="table" w:customStyle="1" w:styleId="13320">
    <w:name w:val="Сетка таблицы1332"/>
    <w:basedOn w:val="a1"/>
    <w:next w:val="aff0"/>
    <w:uiPriority w:val="3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321">
    <w:name w:val="Нет списка2232"/>
    <w:next w:val="a2"/>
    <w:uiPriority w:val="99"/>
    <w:semiHidden/>
    <w:unhideWhenUsed/>
    <w:rsid w:val="003E719A"/>
  </w:style>
  <w:style w:type="table" w:customStyle="1" w:styleId="23320">
    <w:name w:val="Сетка таблицы2332"/>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2">
    <w:name w:val="Изысканная таблица113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320">
    <w:name w:val="Нет списка11232"/>
    <w:next w:val="a2"/>
    <w:uiPriority w:val="99"/>
    <w:semiHidden/>
    <w:unhideWhenUsed/>
    <w:rsid w:val="003E719A"/>
  </w:style>
  <w:style w:type="table" w:customStyle="1" w:styleId="111321">
    <w:name w:val="Сетка таблицы11132"/>
    <w:basedOn w:val="a1"/>
    <w:next w:val="aff0"/>
    <w:uiPriority w:val="5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32">
    <w:name w:val="Нет списка21132"/>
    <w:next w:val="a2"/>
    <w:uiPriority w:val="99"/>
    <w:semiHidden/>
    <w:unhideWhenUsed/>
    <w:rsid w:val="003E719A"/>
  </w:style>
  <w:style w:type="numbering" w:customStyle="1" w:styleId="1111320">
    <w:name w:val="Нет списка111132"/>
    <w:next w:val="a2"/>
    <w:uiPriority w:val="99"/>
    <w:semiHidden/>
    <w:unhideWhenUsed/>
    <w:rsid w:val="003E719A"/>
  </w:style>
  <w:style w:type="numbering" w:customStyle="1" w:styleId="3132">
    <w:name w:val="Нет списка3132"/>
    <w:next w:val="a2"/>
    <w:uiPriority w:val="99"/>
    <w:semiHidden/>
    <w:unhideWhenUsed/>
    <w:rsid w:val="003E719A"/>
  </w:style>
  <w:style w:type="table" w:customStyle="1" w:styleId="21322">
    <w:name w:val="Изысканная таблица213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320">
    <w:name w:val="Нет списка12132"/>
    <w:next w:val="a2"/>
    <w:uiPriority w:val="99"/>
    <w:semiHidden/>
    <w:unhideWhenUsed/>
    <w:rsid w:val="003E719A"/>
  </w:style>
  <w:style w:type="numbering" w:customStyle="1" w:styleId="4132">
    <w:name w:val="Нет списка4132"/>
    <w:next w:val="a2"/>
    <w:uiPriority w:val="99"/>
    <w:semiHidden/>
    <w:unhideWhenUsed/>
    <w:rsid w:val="003E719A"/>
  </w:style>
  <w:style w:type="table" w:customStyle="1" w:styleId="31320">
    <w:name w:val="Изысканная таблица313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32">
    <w:name w:val="Нет списка13132"/>
    <w:next w:val="a2"/>
    <w:uiPriority w:val="99"/>
    <w:semiHidden/>
    <w:unhideWhenUsed/>
    <w:rsid w:val="003E719A"/>
  </w:style>
  <w:style w:type="numbering" w:customStyle="1" w:styleId="5132">
    <w:name w:val="Нет списка5132"/>
    <w:next w:val="a2"/>
    <w:uiPriority w:val="99"/>
    <w:semiHidden/>
    <w:unhideWhenUsed/>
    <w:rsid w:val="003E719A"/>
  </w:style>
  <w:style w:type="table" w:customStyle="1" w:styleId="41320">
    <w:name w:val="Изысканная таблица413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32">
    <w:name w:val="Нет списка14132"/>
    <w:next w:val="a2"/>
    <w:uiPriority w:val="99"/>
    <w:semiHidden/>
    <w:unhideWhenUsed/>
    <w:rsid w:val="003E719A"/>
  </w:style>
  <w:style w:type="numbering" w:customStyle="1" w:styleId="6132">
    <w:name w:val="Нет списка6132"/>
    <w:next w:val="a2"/>
    <w:uiPriority w:val="99"/>
    <w:semiHidden/>
    <w:unhideWhenUsed/>
    <w:rsid w:val="003E719A"/>
  </w:style>
  <w:style w:type="table" w:customStyle="1" w:styleId="51320">
    <w:name w:val="Изысканная таблица513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32">
    <w:name w:val="Нет списка15132"/>
    <w:next w:val="a2"/>
    <w:uiPriority w:val="99"/>
    <w:semiHidden/>
    <w:unhideWhenUsed/>
    <w:rsid w:val="003E719A"/>
  </w:style>
  <w:style w:type="numbering" w:customStyle="1" w:styleId="7132">
    <w:name w:val="Нет списка7132"/>
    <w:next w:val="a2"/>
    <w:uiPriority w:val="99"/>
    <w:semiHidden/>
    <w:unhideWhenUsed/>
    <w:rsid w:val="003E719A"/>
  </w:style>
  <w:style w:type="table" w:customStyle="1" w:styleId="61320">
    <w:name w:val="Изысканная таблица613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32">
    <w:name w:val="Нет списка16132"/>
    <w:next w:val="a2"/>
    <w:uiPriority w:val="99"/>
    <w:semiHidden/>
    <w:unhideWhenUsed/>
    <w:rsid w:val="003E719A"/>
  </w:style>
  <w:style w:type="table" w:customStyle="1" w:styleId="211320">
    <w:name w:val="Сетка таблицы21132"/>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1">
    <w:name w:val="Сетка таблицы3132"/>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20">
    <w:name w:val="Сетка таблицы22132"/>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21">
    <w:name w:val="Сетка таблицы4132"/>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21">
    <w:name w:val="Сетка таблицы5132"/>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21">
    <w:name w:val="Сетка таблицы6132"/>
    <w:basedOn w:val="a1"/>
    <w:next w:val="aff0"/>
    <w:uiPriority w:val="3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20">
    <w:name w:val="Сетка таблицы7132"/>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
    <w:name w:val="Светлая заливка - Акцент 1132"/>
    <w:basedOn w:val="a1"/>
    <w:next w:val="-1"/>
    <w:uiPriority w:val="60"/>
    <w:rsid w:val="003E719A"/>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320">
    <w:name w:val="Сетка таблицы8132"/>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320">
    <w:name w:val="Сетка таблицы9132"/>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2">
    <w:name w:val="Нет списка922"/>
    <w:next w:val="a2"/>
    <w:uiPriority w:val="99"/>
    <w:semiHidden/>
    <w:unhideWhenUsed/>
    <w:rsid w:val="003E719A"/>
  </w:style>
  <w:style w:type="table" w:customStyle="1" w:styleId="14222">
    <w:name w:val="Сетка таблицы1422"/>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22">
    <w:name w:val="Изысканная таблица82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8220">
    <w:name w:val="Нет списка1822"/>
    <w:next w:val="a2"/>
    <w:uiPriority w:val="99"/>
    <w:semiHidden/>
    <w:unhideWhenUsed/>
    <w:rsid w:val="003E719A"/>
  </w:style>
  <w:style w:type="table" w:customStyle="1" w:styleId="15222">
    <w:name w:val="Сетка таблицы1522"/>
    <w:basedOn w:val="a1"/>
    <w:next w:val="aff0"/>
    <w:uiPriority w:val="3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3221">
    <w:name w:val="Нет списка2322"/>
    <w:next w:val="a2"/>
    <w:uiPriority w:val="99"/>
    <w:semiHidden/>
    <w:unhideWhenUsed/>
    <w:rsid w:val="003E719A"/>
  </w:style>
  <w:style w:type="table" w:customStyle="1" w:styleId="24220">
    <w:name w:val="Сетка таблицы2422"/>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2">
    <w:name w:val="Изысканная таблица122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3220">
    <w:name w:val="Нет списка11322"/>
    <w:next w:val="a2"/>
    <w:uiPriority w:val="99"/>
    <w:semiHidden/>
    <w:unhideWhenUsed/>
    <w:rsid w:val="003E719A"/>
  </w:style>
  <w:style w:type="table" w:customStyle="1" w:styleId="112221">
    <w:name w:val="Сетка таблицы11222"/>
    <w:basedOn w:val="a1"/>
    <w:next w:val="aff0"/>
    <w:uiPriority w:val="5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2220">
    <w:name w:val="Нет списка21222"/>
    <w:next w:val="a2"/>
    <w:uiPriority w:val="99"/>
    <w:semiHidden/>
    <w:unhideWhenUsed/>
    <w:rsid w:val="003E719A"/>
  </w:style>
  <w:style w:type="numbering" w:customStyle="1" w:styleId="111222">
    <w:name w:val="Нет списка111222"/>
    <w:next w:val="a2"/>
    <w:uiPriority w:val="99"/>
    <w:semiHidden/>
    <w:unhideWhenUsed/>
    <w:rsid w:val="003E719A"/>
  </w:style>
  <w:style w:type="numbering" w:customStyle="1" w:styleId="32220">
    <w:name w:val="Нет списка3222"/>
    <w:next w:val="a2"/>
    <w:uiPriority w:val="99"/>
    <w:semiHidden/>
    <w:unhideWhenUsed/>
    <w:rsid w:val="003E719A"/>
  </w:style>
  <w:style w:type="table" w:customStyle="1" w:styleId="22222">
    <w:name w:val="Изысканная таблица222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2220">
    <w:name w:val="Нет списка12222"/>
    <w:next w:val="a2"/>
    <w:uiPriority w:val="99"/>
    <w:semiHidden/>
    <w:unhideWhenUsed/>
    <w:rsid w:val="003E719A"/>
  </w:style>
  <w:style w:type="numbering" w:customStyle="1" w:styleId="42220">
    <w:name w:val="Нет списка4222"/>
    <w:next w:val="a2"/>
    <w:uiPriority w:val="99"/>
    <w:semiHidden/>
    <w:unhideWhenUsed/>
    <w:rsid w:val="003E719A"/>
  </w:style>
  <w:style w:type="table" w:customStyle="1" w:styleId="32221">
    <w:name w:val="Изысканная таблица322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222">
    <w:name w:val="Нет списка13222"/>
    <w:next w:val="a2"/>
    <w:uiPriority w:val="99"/>
    <w:semiHidden/>
    <w:unhideWhenUsed/>
    <w:rsid w:val="003E719A"/>
  </w:style>
  <w:style w:type="numbering" w:customStyle="1" w:styleId="52220">
    <w:name w:val="Нет списка5222"/>
    <w:next w:val="a2"/>
    <w:uiPriority w:val="99"/>
    <w:semiHidden/>
    <w:unhideWhenUsed/>
    <w:rsid w:val="003E719A"/>
  </w:style>
  <w:style w:type="table" w:customStyle="1" w:styleId="42221">
    <w:name w:val="Изысканная таблица422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2220">
    <w:name w:val="Нет списка14222"/>
    <w:next w:val="a2"/>
    <w:uiPriority w:val="99"/>
    <w:semiHidden/>
    <w:unhideWhenUsed/>
    <w:rsid w:val="003E719A"/>
  </w:style>
  <w:style w:type="numbering" w:customStyle="1" w:styleId="62220">
    <w:name w:val="Нет списка6222"/>
    <w:next w:val="a2"/>
    <w:uiPriority w:val="99"/>
    <w:semiHidden/>
    <w:unhideWhenUsed/>
    <w:rsid w:val="003E719A"/>
  </w:style>
  <w:style w:type="table" w:customStyle="1" w:styleId="52221">
    <w:name w:val="Изысканная таблица522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2220">
    <w:name w:val="Нет списка15222"/>
    <w:next w:val="a2"/>
    <w:uiPriority w:val="99"/>
    <w:semiHidden/>
    <w:unhideWhenUsed/>
    <w:rsid w:val="003E719A"/>
  </w:style>
  <w:style w:type="numbering" w:customStyle="1" w:styleId="72220">
    <w:name w:val="Нет списка7222"/>
    <w:next w:val="a2"/>
    <w:uiPriority w:val="99"/>
    <w:semiHidden/>
    <w:unhideWhenUsed/>
    <w:rsid w:val="003E719A"/>
  </w:style>
  <w:style w:type="table" w:customStyle="1" w:styleId="62221">
    <w:name w:val="Изысканная таблица622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222">
    <w:name w:val="Нет списка16222"/>
    <w:next w:val="a2"/>
    <w:uiPriority w:val="99"/>
    <w:semiHidden/>
    <w:unhideWhenUsed/>
    <w:rsid w:val="003E719A"/>
  </w:style>
  <w:style w:type="table" w:customStyle="1" w:styleId="212221">
    <w:name w:val="Сетка таблицы21222"/>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2">
    <w:name w:val="Сетка таблицы3222"/>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20">
    <w:name w:val="Сетка таблицы22222"/>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22">
    <w:name w:val="Сетка таблицы4222"/>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22">
    <w:name w:val="Сетка таблицы5222"/>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22">
    <w:name w:val="Сетка таблицы6222"/>
    <w:basedOn w:val="a1"/>
    <w:next w:val="aff0"/>
    <w:uiPriority w:val="3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21">
    <w:name w:val="Сетка таблицы7222"/>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
    <w:name w:val="Светлая заливка - Акцент 1222"/>
    <w:basedOn w:val="a1"/>
    <w:next w:val="-1"/>
    <w:uiPriority w:val="60"/>
    <w:rsid w:val="003E719A"/>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2220">
    <w:name w:val="Сетка таблицы8222"/>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220">
    <w:name w:val="Сетка таблицы9222"/>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20">
    <w:name w:val="Сетка таблицы12122"/>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20">
    <w:name w:val="Нет списка8122"/>
    <w:next w:val="a2"/>
    <w:uiPriority w:val="99"/>
    <w:semiHidden/>
    <w:unhideWhenUsed/>
    <w:rsid w:val="003E719A"/>
  </w:style>
  <w:style w:type="table" w:customStyle="1" w:styleId="10122">
    <w:name w:val="Сетка таблицы10122"/>
    <w:basedOn w:val="a1"/>
    <w:next w:val="aff0"/>
    <w:uiPriority w:val="3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22">
    <w:name w:val="Изысканная таблица712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122">
    <w:name w:val="Нет списка17122"/>
    <w:next w:val="a2"/>
    <w:uiPriority w:val="99"/>
    <w:semiHidden/>
    <w:unhideWhenUsed/>
    <w:rsid w:val="003E719A"/>
  </w:style>
  <w:style w:type="table" w:customStyle="1" w:styleId="131220">
    <w:name w:val="Сетка таблицы13122"/>
    <w:basedOn w:val="a1"/>
    <w:next w:val="aff0"/>
    <w:uiPriority w:val="3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1220">
    <w:name w:val="Нет списка22122"/>
    <w:next w:val="a2"/>
    <w:uiPriority w:val="99"/>
    <w:semiHidden/>
    <w:unhideWhenUsed/>
    <w:rsid w:val="003E719A"/>
  </w:style>
  <w:style w:type="table" w:customStyle="1" w:styleId="23122">
    <w:name w:val="Сетка таблицы23122"/>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23">
    <w:name w:val="Изысканная таблица1112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122">
    <w:name w:val="Нет списка112122"/>
    <w:next w:val="a2"/>
    <w:uiPriority w:val="99"/>
    <w:semiHidden/>
    <w:unhideWhenUsed/>
    <w:rsid w:val="003E719A"/>
  </w:style>
  <w:style w:type="table" w:customStyle="1" w:styleId="1111220">
    <w:name w:val="Сетка таблицы111122"/>
    <w:basedOn w:val="a1"/>
    <w:next w:val="aff0"/>
    <w:uiPriority w:val="5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1220">
    <w:name w:val="Нет списка211122"/>
    <w:next w:val="a2"/>
    <w:uiPriority w:val="99"/>
    <w:semiHidden/>
    <w:unhideWhenUsed/>
    <w:rsid w:val="003E719A"/>
  </w:style>
  <w:style w:type="numbering" w:customStyle="1" w:styleId="1111122">
    <w:name w:val="Нет списка1111122"/>
    <w:next w:val="a2"/>
    <w:uiPriority w:val="99"/>
    <w:semiHidden/>
    <w:unhideWhenUsed/>
    <w:rsid w:val="003E719A"/>
  </w:style>
  <w:style w:type="numbering" w:customStyle="1" w:styleId="311220">
    <w:name w:val="Нет списка31122"/>
    <w:next w:val="a2"/>
    <w:uiPriority w:val="99"/>
    <w:semiHidden/>
    <w:unhideWhenUsed/>
    <w:rsid w:val="003E719A"/>
  </w:style>
  <w:style w:type="table" w:customStyle="1" w:styleId="211222">
    <w:name w:val="Изысканная таблица2112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122">
    <w:name w:val="Нет списка121122"/>
    <w:next w:val="a2"/>
    <w:uiPriority w:val="99"/>
    <w:semiHidden/>
    <w:unhideWhenUsed/>
    <w:rsid w:val="003E719A"/>
  </w:style>
  <w:style w:type="numbering" w:customStyle="1" w:styleId="411220">
    <w:name w:val="Нет списка41122"/>
    <w:next w:val="a2"/>
    <w:uiPriority w:val="99"/>
    <w:semiHidden/>
    <w:unhideWhenUsed/>
    <w:rsid w:val="003E719A"/>
  </w:style>
  <w:style w:type="table" w:customStyle="1" w:styleId="311221">
    <w:name w:val="Изысканная таблица3112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122">
    <w:name w:val="Нет списка131122"/>
    <w:next w:val="a2"/>
    <w:uiPriority w:val="99"/>
    <w:semiHidden/>
    <w:unhideWhenUsed/>
    <w:rsid w:val="003E719A"/>
  </w:style>
  <w:style w:type="numbering" w:customStyle="1" w:styleId="511220">
    <w:name w:val="Нет списка51122"/>
    <w:next w:val="a2"/>
    <w:uiPriority w:val="99"/>
    <w:semiHidden/>
    <w:unhideWhenUsed/>
    <w:rsid w:val="003E719A"/>
  </w:style>
  <w:style w:type="table" w:customStyle="1" w:styleId="411221">
    <w:name w:val="Изысканная таблица4112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122">
    <w:name w:val="Нет списка141122"/>
    <w:next w:val="a2"/>
    <w:uiPriority w:val="99"/>
    <w:semiHidden/>
    <w:unhideWhenUsed/>
    <w:rsid w:val="003E719A"/>
  </w:style>
  <w:style w:type="numbering" w:customStyle="1" w:styleId="611220">
    <w:name w:val="Нет списка61122"/>
    <w:next w:val="a2"/>
    <w:uiPriority w:val="99"/>
    <w:semiHidden/>
    <w:unhideWhenUsed/>
    <w:rsid w:val="003E719A"/>
  </w:style>
  <w:style w:type="table" w:customStyle="1" w:styleId="511221">
    <w:name w:val="Изысканная таблица5112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122">
    <w:name w:val="Нет списка151122"/>
    <w:next w:val="a2"/>
    <w:uiPriority w:val="99"/>
    <w:semiHidden/>
    <w:unhideWhenUsed/>
    <w:rsid w:val="003E719A"/>
  </w:style>
  <w:style w:type="numbering" w:customStyle="1" w:styleId="711220">
    <w:name w:val="Нет списка71122"/>
    <w:next w:val="a2"/>
    <w:uiPriority w:val="99"/>
    <w:semiHidden/>
    <w:unhideWhenUsed/>
    <w:rsid w:val="003E719A"/>
  </w:style>
  <w:style w:type="table" w:customStyle="1" w:styleId="611221">
    <w:name w:val="Изысканная таблица6112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122">
    <w:name w:val="Нет списка161122"/>
    <w:next w:val="a2"/>
    <w:uiPriority w:val="99"/>
    <w:semiHidden/>
    <w:unhideWhenUsed/>
    <w:rsid w:val="003E719A"/>
  </w:style>
  <w:style w:type="table" w:customStyle="1" w:styleId="2111221">
    <w:name w:val="Сетка таблицы211122"/>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22">
    <w:name w:val="Сетка таблицы31122"/>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22">
    <w:name w:val="Сетка таблицы221122"/>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22">
    <w:name w:val="Сетка таблицы41122"/>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22">
    <w:name w:val="Сетка таблицы51122"/>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22">
    <w:name w:val="Сетка таблицы61122"/>
    <w:basedOn w:val="a1"/>
    <w:next w:val="aff0"/>
    <w:uiPriority w:val="3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21">
    <w:name w:val="Сетка таблицы71122"/>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2">
    <w:name w:val="Светлая заливка - Акцент 11122"/>
    <w:basedOn w:val="a1"/>
    <w:next w:val="-1"/>
    <w:uiPriority w:val="60"/>
    <w:rsid w:val="003E719A"/>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122">
    <w:name w:val="Сетка таблицы81122"/>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22">
    <w:name w:val="Сетка таблицы91122"/>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0">
    <w:name w:val="Нет списка1012"/>
    <w:next w:val="a2"/>
    <w:uiPriority w:val="99"/>
    <w:semiHidden/>
    <w:unhideWhenUsed/>
    <w:rsid w:val="003E719A"/>
  </w:style>
  <w:style w:type="table" w:customStyle="1" w:styleId="16120">
    <w:name w:val="Сетка таблицы1612"/>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4">
    <w:name w:val="Изысканная таблица91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912">
    <w:name w:val="Нет списка1912"/>
    <w:next w:val="a2"/>
    <w:uiPriority w:val="99"/>
    <w:semiHidden/>
    <w:unhideWhenUsed/>
    <w:rsid w:val="003E719A"/>
  </w:style>
  <w:style w:type="table" w:customStyle="1" w:styleId="17120">
    <w:name w:val="Сетка таблицы1712"/>
    <w:basedOn w:val="a1"/>
    <w:next w:val="aff0"/>
    <w:uiPriority w:val="3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4120">
    <w:name w:val="Нет списка2412"/>
    <w:next w:val="a2"/>
    <w:uiPriority w:val="99"/>
    <w:semiHidden/>
    <w:unhideWhenUsed/>
    <w:rsid w:val="003E719A"/>
  </w:style>
  <w:style w:type="table" w:customStyle="1" w:styleId="2512">
    <w:name w:val="Сетка таблицы2512"/>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4">
    <w:name w:val="Изысканная таблица131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412">
    <w:name w:val="Нет списка11412"/>
    <w:next w:val="a2"/>
    <w:uiPriority w:val="99"/>
    <w:semiHidden/>
    <w:unhideWhenUsed/>
    <w:rsid w:val="003E719A"/>
  </w:style>
  <w:style w:type="table" w:customStyle="1" w:styleId="113120">
    <w:name w:val="Сетка таблицы11312"/>
    <w:basedOn w:val="a1"/>
    <w:next w:val="aff0"/>
    <w:uiPriority w:val="5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3120">
    <w:name w:val="Нет списка21312"/>
    <w:next w:val="a2"/>
    <w:uiPriority w:val="99"/>
    <w:semiHidden/>
    <w:unhideWhenUsed/>
    <w:rsid w:val="003E719A"/>
  </w:style>
  <w:style w:type="numbering" w:customStyle="1" w:styleId="111312">
    <w:name w:val="Нет списка111312"/>
    <w:next w:val="a2"/>
    <w:uiPriority w:val="99"/>
    <w:semiHidden/>
    <w:unhideWhenUsed/>
    <w:rsid w:val="003E719A"/>
  </w:style>
  <w:style w:type="numbering" w:customStyle="1" w:styleId="33120">
    <w:name w:val="Нет списка3312"/>
    <w:next w:val="a2"/>
    <w:uiPriority w:val="99"/>
    <w:semiHidden/>
    <w:unhideWhenUsed/>
    <w:rsid w:val="003E719A"/>
  </w:style>
  <w:style w:type="table" w:customStyle="1" w:styleId="23123">
    <w:name w:val="Изысканная таблица231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312">
    <w:name w:val="Нет списка12312"/>
    <w:next w:val="a2"/>
    <w:uiPriority w:val="99"/>
    <w:semiHidden/>
    <w:unhideWhenUsed/>
    <w:rsid w:val="003E719A"/>
  </w:style>
  <w:style w:type="numbering" w:customStyle="1" w:styleId="43120">
    <w:name w:val="Нет списка4312"/>
    <w:next w:val="a2"/>
    <w:uiPriority w:val="99"/>
    <w:semiHidden/>
    <w:unhideWhenUsed/>
    <w:rsid w:val="003E719A"/>
  </w:style>
  <w:style w:type="table" w:customStyle="1" w:styleId="33121">
    <w:name w:val="Изысканная таблица331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312">
    <w:name w:val="Нет списка13312"/>
    <w:next w:val="a2"/>
    <w:uiPriority w:val="99"/>
    <w:semiHidden/>
    <w:unhideWhenUsed/>
    <w:rsid w:val="003E719A"/>
  </w:style>
  <w:style w:type="numbering" w:customStyle="1" w:styleId="53120">
    <w:name w:val="Нет списка5312"/>
    <w:next w:val="a2"/>
    <w:uiPriority w:val="99"/>
    <w:semiHidden/>
    <w:unhideWhenUsed/>
    <w:rsid w:val="003E719A"/>
  </w:style>
  <w:style w:type="table" w:customStyle="1" w:styleId="43121">
    <w:name w:val="Изысканная таблица431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312">
    <w:name w:val="Нет списка14312"/>
    <w:next w:val="a2"/>
    <w:uiPriority w:val="99"/>
    <w:semiHidden/>
    <w:unhideWhenUsed/>
    <w:rsid w:val="003E719A"/>
  </w:style>
  <w:style w:type="numbering" w:customStyle="1" w:styleId="63120">
    <w:name w:val="Нет списка6312"/>
    <w:next w:val="a2"/>
    <w:uiPriority w:val="99"/>
    <w:semiHidden/>
    <w:unhideWhenUsed/>
    <w:rsid w:val="003E719A"/>
  </w:style>
  <w:style w:type="table" w:customStyle="1" w:styleId="53121">
    <w:name w:val="Изысканная таблица531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312">
    <w:name w:val="Нет списка15312"/>
    <w:next w:val="a2"/>
    <w:uiPriority w:val="99"/>
    <w:semiHidden/>
    <w:unhideWhenUsed/>
    <w:rsid w:val="003E719A"/>
  </w:style>
  <w:style w:type="numbering" w:customStyle="1" w:styleId="73120">
    <w:name w:val="Нет списка7312"/>
    <w:next w:val="a2"/>
    <w:uiPriority w:val="99"/>
    <w:semiHidden/>
    <w:unhideWhenUsed/>
    <w:rsid w:val="003E719A"/>
  </w:style>
  <w:style w:type="table" w:customStyle="1" w:styleId="63121">
    <w:name w:val="Изысканная таблица631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312">
    <w:name w:val="Нет списка16312"/>
    <w:next w:val="a2"/>
    <w:uiPriority w:val="99"/>
    <w:semiHidden/>
    <w:unhideWhenUsed/>
    <w:rsid w:val="003E719A"/>
  </w:style>
  <w:style w:type="table" w:customStyle="1" w:styleId="213121">
    <w:name w:val="Сетка таблицы21312"/>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2">
    <w:name w:val="Сетка таблицы3312"/>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12">
    <w:name w:val="Сетка таблицы22312"/>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22">
    <w:name w:val="Сетка таблицы4312"/>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22">
    <w:name w:val="Сетка таблицы5312"/>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22">
    <w:name w:val="Сетка таблицы6312"/>
    <w:basedOn w:val="a1"/>
    <w:next w:val="aff0"/>
    <w:uiPriority w:val="3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21">
    <w:name w:val="Сетка таблицы7312"/>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
    <w:name w:val="Светлая заливка - Акцент 1312"/>
    <w:basedOn w:val="a1"/>
    <w:next w:val="-1"/>
    <w:uiPriority w:val="60"/>
    <w:rsid w:val="003E719A"/>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312">
    <w:name w:val="Сетка таблицы8312"/>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12">
    <w:name w:val="Сетка таблицы9312"/>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20">
    <w:name w:val="Сетка таблицы12212"/>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120">
    <w:name w:val="Нет списка8212"/>
    <w:next w:val="a2"/>
    <w:uiPriority w:val="99"/>
    <w:semiHidden/>
    <w:unhideWhenUsed/>
    <w:rsid w:val="003E719A"/>
  </w:style>
  <w:style w:type="table" w:customStyle="1" w:styleId="10212">
    <w:name w:val="Сетка таблицы10212"/>
    <w:basedOn w:val="a1"/>
    <w:next w:val="aff0"/>
    <w:uiPriority w:val="3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2">
    <w:name w:val="Изысканная таблица721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212">
    <w:name w:val="Нет списка17212"/>
    <w:next w:val="a2"/>
    <w:uiPriority w:val="99"/>
    <w:semiHidden/>
    <w:unhideWhenUsed/>
    <w:rsid w:val="003E719A"/>
  </w:style>
  <w:style w:type="table" w:customStyle="1" w:styleId="132120">
    <w:name w:val="Сетка таблицы13212"/>
    <w:basedOn w:val="a1"/>
    <w:next w:val="aff0"/>
    <w:uiPriority w:val="3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2120">
    <w:name w:val="Нет списка22212"/>
    <w:next w:val="a2"/>
    <w:uiPriority w:val="99"/>
    <w:semiHidden/>
    <w:unhideWhenUsed/>
    <w:rsid w:val="003E719A"/>
  </w:style>
  <w:style w:type="table" w:customStyle="1" w:styleId="23212">
    <w:name w:val="Сетка таблицы23212"/>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3">
    <w:name w:val="Изысканная таблица1121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212">
    <w:name w:val="Нет списка112212"/>
    <w:next w:val="a2"/>
    <w:uiPriority w:val="99"/>
    <w:semiHidden/>
    <w:unhideWhenUsed/>
    <w:rsid w:val="003E719A"/>
  </w:style>
  <w:style w:type="table" w:customStyle="1" w:styleId="1112120">
    <w:name w:val="Сетка таблицы111212"/>
    <w:basedOn w:val="a1"/>
    <w:next w:val="aff0"/>
    <w:uiPriority w:val="5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2120">
    <w:name w:val="Нет списка211212"/>
    <w:next w:val="a2"/>
    <w:uiPriority w:val="99"/>
    <w:semiHidden/>
    <w:unhideWhenUsed/>
    <w:rsid w:val="003E719A"/>
  </w:style>
  <w:style w:type="numbering" w:customStyle="1" w:styleId="1111212">
    <w:name w:val="Нет списка1111212"/>
    <w:next w:val="a2"/>
    <w:uiPriority w:val="99"/>
    <w:semiHidden/>
    <w:unhideWhenUsed/>
    <w:rsid w:val="003E719A"/>
  </w:style>
  <w:style w:type="numbering" w:customStyle="1" w:styleId="312120">
    <w:name w:val="Нет списка31212"/>
    <w:next w:val="a2"/>
    <w:uiPriority w:val="99"/>
    <w:semiHidden/>
    <w:unhideWhenUsed/>
    <w:rsid w:val="003E719A"/>
  </w:style>
  <w:style w:type="table" w:customStyle="1" w:styleId="212122">
    <w:name w:val="Изысканная таблица2121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212">
    <w:name w:val="Нет списка121212"/>
    <w:next w:val="a2"/>
    <w:uiPriority w:val="99"/>
    <w:semiHidden/>
    <w:unhideWhenUsed/>
    <w:rsid w:val="003E719A"/>
  </w:style>
  <w:style w:type="numbering" w:customStyle="1" w:styleId="412120">
    <w:name w:val="Нет списка41212"/>
    <w:next w:val="a2"/>
    <w:uiPriority w:val="99"/>
    <w:semiHidden/>
    <w:unhideWhenUsed/>
    <w:rsid w:val="003E719A"/>
  </w:style>
  <w:style w:type="table" w:customStyle="1" w:styleId="312121">
    <w:name w:val="Изысканная таблица3121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212">
    <w:name w:val="Нет списка131212"/>
    <w:next w:val="a2"/>
    <w:uiPriority w:val="99"/>
    <w:semiHidden/>
    <w:unhideWhenUsed/>
    <w:rsid w:val="003E719A"/>
  </w:style>
  <w:style w:type="numbering" w:customStyle="1" w:styleId="512120">
    <w:name w:val="Нет списка51212"/>
    <w:next w:val="a2"/>
    <w:uiPriority w:val="99"/>
    <w:semiHidden/>
    <w:unhideWhenUsed/>
    <w:rsid w:val="003E719A"/>
  </w:style>
  <w:style w:type="table" w:customStyle="1" w:styleId="412121">
    <w:name w:val="Изысканная таблица4121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212">
    <w:name w:val="Нет списка141212"/>
    <w:next w:val="a2"/>
    <w:uiPriority w:val="99"/>
    <w:semiHidden/>
    <w:unhideWhenUsed/>
    <w:rsid w:val="003E719A"/>
  </w:style>
  <w:style w:type="numbering" w:customStyle="1" w:styleId="612120">
    <w:name w:val="Нет списка61212"/>
    <w:next w:val="a2"/>
    <w:uiPriority w:val="99"/>
    <w:semiHidden/>
    <w:unhideWhenUsed/>
    <w:rsid w:val="003E719A"/>
  </w:style>
  <w:style w:type="table" w:customStyle="1" w:styleId="512121">
    <w:name w:val="Изысканная таблица5121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212">
    <w:name w:val="Нет списка151212"/>
    <w:next w:val="a2"/>
    <w:uiPriority w:val="99"/>
    <w:semiHidden/>
    <w:unhideWhenUsed/>
    <w:rsid w:val="003E719A"/>
  </w:style>
  <w:style w:type="numbering" w:customStyle="1" w:styleId="712120">
    <w:name w:val="Нет списка71212"/>
    <w:next w:val="a2"/>
    <w:uiPriority w:val="99"/>
    <w:semiHidden/>
    <w:unhideWhenUsed/>
    <w:rsid w:val="003E719A"/>
  </w:style>
  <w:style w:type="table" w:customStyle="1" w:styleId="612121">
    <w:name w:val="Изысканная таблица6121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212">
    <w:name w:val="Нет списка161212"/>
    <w:next w:val="a2"/>
    <w:uiPriority w:val="99"/>
    <w:semiHidden/>
    <w:unhideWhenUsed/>
    <w:rsid w:val="003E719A"/>
  </w:style>
  <w:style w:type="table" w:customStyle="1" w:styleId="2112121">
    <w:name w:val="Сетка таблицы211212"/>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2">
    <w:name w:val="Сетка таблицы31212"/>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12">
    <w:name w:val="Сетка таблицы221212"/>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22">
    <w:name w:val="Сетка таблицы41212"/>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122">
    <w:name w:val="Сетка таблицы51212"/>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122">
    <w:name w:val="Сетка таблицы61212"/>
    <w:basedOn w:val="a1"/>
    <w:next w:val="aff0"/>
    <w:uiPriority w:val="3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121">
    <w:name w:val="Сетка таблицы71212"/>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Светлая заливка - Акцент 11212"/>
    <w:basedOn w:val="a1"/>
    <w:next w:val="-1"/>
    <w:uiPriority w:val="60"/>
    <w:rsid w:val="003E719A"/>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212">
    <w:name w:val="Сетка таблицы81212"/>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12">
    <w:name w:val="Сетка таблицы91212"/>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0">
    <w:name w:val="Нет списка9112"/>
    <w:next w:val="a2"/>
    <w:uiPriority w:val="99"/>
    <w:semiHidden/>
    <w:unhideWhenUsed/>
    <w:rsid w:val="003E719A"/>
  </w:style>
  <w:style w:type="table" w:customStyle="1" w:styleId="141120">
    <w:name w:val="Сетка таблицы14112"/>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123">
    <w:name w:val="Изысканная таблица811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8112">
    <w:name w:val="Нет списка18112"/>
    <w:next w:val="a2"/>
    <w:uiPriority w:val="99"/>
    <w:semiHidden/>
    <w:unhideWhenUsed/>
    <w:rsid w:val="003E719A"/>
  </w:style>
  <w:style w:type="table" w:customStyle="1" w:styleId="151120">
    <w:name w:val="Сетка таблицы15112"/>
    <w:basedOn w:val="a1"/>
    <w:next w:val="aff0"/>
    <w:uiPriority w:val="3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31120">
    <w:name w:val="Нет списка23112"/>
    <w:next w:val="a2"/>
    <w:uiPriority w:val="99"/>
    <w:semiHidden/>
    <w:unhideWhenUsed/>
    <w:rsid w:val="003E719A"/>
  </w:style>
  <w:style w:type="table" w:customStyle="1" w:styleId="24112">
    <w:name w:val="Сетка таблицы24112"/>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23">
    <w:name w:val="Изысканная таблица1211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3112">
    <w:name w:val="Нет списка113112"/>
    <w:next w:val="a2"/>
    <w:uiPriority w:val="99"/>
    <w:semiHidden/>
    <w:unhideWhenUsed/>
    <w:rsid w:val="003E719A"/>
  </w:style>
  <w:style w:type="table" w:customStyle="1" w:styleId="1121120">
    <w:name w:val="Сетка таблицы112112"/>
    <w:basedOn w:val="a1"/>
    <w:next w:val="aff0"/>
    <w:uiPriority w:val="5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21120">
    <w:name w:val="Нет списка212112"/>
    <w:next w:val="a2"/>
    <w:uiPriority w:val="99"/>
    <w:semiHidden/>
    <w:unhideWhenUsed/>
    <w:rsid w:val="003E719A"/>
  </w:style>
  <w:style w:type="numbering" w:customStyle="1" w:styleId="1112112">
    <w:name w:val="Нет списка1112112"/>
    <w:next w:val="a2"/>
    <w:uiPriority w:val="99"/>
    <w:semiHidden/>
    <w:unhideWhenUsed/>
    <w:rsid w:val="003E719A"/>
  </w:style>
  <w:style w:type="numbering" w:customStyle="1" w:styleId="321120">
    <w:name w:val="Нет списка32112"/>
    <w:next w:val="a2"/>
    <w:uiPriority w:val="99"/>
    <w:semiHidden/>
    <w:unhideWhenUsed/>
    <w:rsid w:val="003E719A"/>
  </w:style>
  <w:style w:type="table" w:customStyle="1" w:styleId="221123">
    <w:name w:val="Изысканная таблица2211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2112">
    <w:name w:val="Нет списка122112"/>
    <w:next w:val="a2"/>
    <w:uiPriority w:val="99"/>
    <w:semiHidden/>
    <w:unhideWhenUsed/>
    <w:rsid w:val="003E719A"/>
  </w:style>
  <w:style w:type="numbering" w:customStyle="1" w:styleId="421120">
    <w:name w:val="Нет списка42112"/>
    <w:next w:val="a2"/>
    <w:uiPriority w:val="99"/>
    <w:semiHidden/>
    <w:unhideWhenUsed/>
    <w:rsid w:val="003E719A"/>
  </w:style>
  <w:style w:type="table" w:customStyle="1" w:styleId="321121">
    <w:name w:val="Изысканная таблица3211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2112">
    <w:name w:val="Нет списка132112"/>
    <w:next w:val="a2"/>
    <w:uiPriority w:val="99"/>
    <w:semiHidden/>
    <w:unhideWhenUsed/>
    <w:rsid w:val="003E719A"/>
  </w:style>
  <w:style w:type="numbering" w:customStyle="1" w:styleId="521120">
    <w:name w:val="Нет списка52112"/>
    <w:next w:val="a2"/>
    <w:uiPriority w:val="99"/>
    <w:semiHidden/>
    <w:unhideWhenUsed/>
    <w:rsid w:val="003E719A"/>
  </w:style>
  <w:style w:type="table" w:customStyle="1" w:styleId="421121">
    <w:name w:val="Изысканная таблица4211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2112">
    <w:name w:val="Нет списка142112"/>
    <w:next w:val="a2"/>
    <w:uiPriority w:val="99"/>
    <w:semiHidden/>
    <w:unhideWhenUsed/>
    <w:rsid w:val="003E719A"/>
  </w:style>
  <w:style w:type="numbering" w:customStyle="1" w:styleId="621120">
    <w:name w:val="Нет списка62112"/>
    <w:next w:val="a2"/>
    <w:uiPriority w:val="99"/>
    <w:semiHidden/>
    <w:unhideWhenUsed/>
    <w:rsid w:val="003E719A"/>
  </w:style>
  <w:style w:type="table" w:customStyle="1" w:styleId="521121">
    <w:name w:val="Изысканная таблица5211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2112">
    <w:name w:val="Нет списка152112"/>
    <w:next w:val="a2"/>
    <w:uiPriority w:val="99"/>
    <w:semiHidden/>
    <w:unhideWhenUsed/>
    <w:rsid w:val="003E719A"/>
  </w:style>
  <w:style w:type="numbering" w:customStyle="1" w:styleId="721120">
    <w:name w:val="Нет списка72112"/>
    <w:next w:val="a2"/>
    <w:uiPriority w:val="99"/>
    <w:semiHidden/>
    <w:unhideWhenUsed/>
    <w:rsid w:val="003E719A"/>
  </w:style>
  <w:style w:type="table" w:customStyle="1" w:styleId="621121">
    <w:name w:val="Изысканная таблица6211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2112">
    <w:name w:val="Нет списка162112"/>
    <w:next w:val="a2"/>
    <w:uiPriority w:val="99"/>
    <w:semiHidden/>
    <w:unhideWhenUsed/>
    <w:rsid w:val="003E719A"/>
  </w:style>
  <w:style w:type="table" w:customStyle="1" w:styleId="2121121">
    <w:name w:val="Сетка таблицы212112"/>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2">
    <w:name w:val="Сетка таблицы32112"/>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112">
    <w:name w:val="Сетка таблицы222112"/>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22">
    <w:name w:val="Сетка таблицы42112"/>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22">
    <w:name w:val="Сетка таблицы52112"/>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22">
    <w:name w:val="Сетка таблицы62112"/>
    <w:basedOn w:val="a1"/>
    <w:next w:val="aff0"/>
    <w:uiPriority w:val="3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21">
    <w:name w:val="Сетка таблицы72112"/>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2">
    <w:name w:val="Светлая заливка - Акцент 12112"/>
    <w:basedOn w:val="a1"/>
    <w:next w:val="-1"/>
    <w:uiPriority w:val="60"/>
    <w:rsid w:val="003E719A"/>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2112">
    <w:name w:val="Сетка таблицы82112"/>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112">
    <w:name w:val="Сетка таблицы92112"/>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20">
    <w:name w:val="Сетка таблицы121112"/>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120">
    <w:name w:val="Нет списка81112"/>
    <w:next w:val="a2"/>
    <w:uiPriority w:val="99"/>
    <w:semiHidden/>
    <w:unhideWhenUsed/>
    <w:rsid w:val="003E719A"/>
  </w:style>
  <w:style w:type="table" w:customStyle="1" w:styleId="101112">
    <w:name w:val="Сетка таблицы101112"/>
    <w:basedOn w:val="a1"/>
    <w:next w:val="aff0"/>
    <w:uiPriority w:val="3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22">
    <w:name w:val="Изысканная таблица7111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1112">
    <w:name w:val="Нет списка171112"/>
    <w:next w:val="a2"/>
    <w:uiPriority w:val="99"/>
    <w:semiHidden/>
    <w:unhideWhenUsed/>
    <w:rsid w:val="003E719A"/>
  </w:style>
  <w:style w:type="table" w:customStyle="1" w:styleId="1311120">
    <w:name w:val="Сетка таблицы131112"/>
    <w:basedOn w:val="a1"/>
    <w:next w:val="aff0"/>
    <w:uiPriority w:val="3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11120">
    <w:name w:val="Нет списка221112"/>
    <w:next w:val="a2"/>
    <w:uiPriority w:val="99"/>
    <w:semiHidden/>
    <w:unhideWhenUsed/>
    <w:rsid w:val="003E719A"/>
  </w:style>
  <w:style w:type="table" w:customStyle="1" w:styleId="231112">
    <w:name w:val="Сетка таблицы231112"/>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23">
    <w:name w:val="Изысканная таблица11111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1112">
    <w:name w:val="Нет списка1121112"/>
    <w:next w:val="a2"/>
    <w:uiPriority w:val="99"/>
    <w:semiHidden/>
    <w:unhideWhenUsed/>
    <w:rsid w:val="003E719A"/>
  </w:style>
  <w:style w:type="table" w:customStyle="1" w:styleId="11111120">
    <w:name w:val="Сетка таблицы1111112"/>
    <w:basedOn w:val="a1"/>
    <w:next w:val="aff0"/>
    <w:uiPriority w:val="5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11120">
    <w:name w:val="Нет списка2111112"/>
    <w:next w:val="a2"/>
    <w:uiPriority w:val="99"/>
    <w:semiHidden/>
    <w:unhideWhenUsed/>
    <w:rsid w:val="003E719A"/>
  </w:style>
  <w:style w:type="numbering" w:customStyle="1" w:styleId="11111112">
    <w:name w:val="Нет списка11111112"/>
    <w:next w:val="a2"/>
    <w:uiPriority w:val="99"/>
    <w:semiHidden/>
    <w:unhideWhenUsed/>
    <w:rsid w:val="003E719A"/>
  </w:style>
  <w:style w:type="numbering" w:customStyle="1" w:styleId="3111120">
    <w:name w:val="Нет списка311112"/>
    <w:next w:val="a2"/>
    <w:uiPriority w:val="99"/>
    <w:semiHidden/>
    <w:unhideWhenUsed/>
    <w:rsid w:val="003E719A"/>
  </w:style>
  <w:style w:type="table" w:customStyle="1" w:styleId="2111122">
    <w:name w:val="Изысканная таблица21111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1112">
    <w:name w:val="Нет списка1211112"/>
    <w:next w:val="a2"/>
    <w:uiPriority w:val="99"/>
    <w:semiHidden/>
    <w:unhideWhenUsed/>
    <w:rsid w:val="003E719A"/>
  </w:style>
  <w:style w:type="numbering" w:customStyle="1" w:styleId="4111120">
    <w:name w:val="Нет списка411112"/>
    <w:next w:val="a2"/>
    <w:uiPriority w:val="99"/>
    <w:semiHidden/>
    <w:unhideWhenUsed/>
    <w:rsid w:val="003E719A"/>
  </w:style>
  <w:style w:type="table" w:customStyle="1" w:styleId="3111121">
    <w:name w:val="Изысканная таблица31111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1112">
    <w:name w:val="Нет списка1311112"/>
    <w:next w:val="a2"/>
    <w:uiPriority w:val="99"/>
    <w:semiHidden/>
    <w:unhideWhenUsed/>
    <w:rsid w:val="003E719A"/>
  </w:style>
  <w:style w:type="numbering" w:customStyle="1" w:styleId="5111120">
    <w:name w:val="Нет списка511112"/>
    <w:next w:val="a2"/>
    <w:uiPriority w:val="99"/>
    <w:semiHidden/>
    <w:unhideWhenUsed/>
    <w:rsid w:val="003E719A"/>
  </w:style>
  <w:style w:type="table" w:customStyle="1" w:styleId="4111121">
    <w:name w:val="Изысканная таблица41111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1112">
    <w:name w:val="Нет списка1411112"/>
    <w:next w:val="a2"/>
    <w:uiPriority w:val="99"/>
    <w:semiHidden/>
    <w:unhideWhenUsed/>
    <w:rsid w:val="003E719A"/>
  </w:style>
  <w:style w:type="numbering" w:customStyle="1" w:styleId="6111120">
    <w:name w:val="Нет списка611112"/>
    <w:next w:val="a2"/>
    <w:uiPriority w:val="99"/>
    <w:semiHidden/>
    <w:unhideWhenUsed/>
    <w:rsid w:val="003E719A"/>
  </w:style>
  <w:style w:type="table" w:customStyle="1" w:styleId="5111121">
    <w:name w:val="Изысканная таблица51111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1112">
    <w:name w:val="Нет списка1511112"/>
    <w:next w:val="a2"/>
    <w:uiPriority w:val="99"/>
    <w:semiHidden/>
    <w:unhideWhenUsed/>
    <w:rsid w:val="003E719A"/>
  </w:style>
  <w:style w:type="numbering" w:customStyle="1" w:styleId="7111120">
    <w:name w:val="Нет списка711112"/>
    <w:next w:val="a2"/>
    <w:uiPriority w:val="99"/>
    <w:semiHidden/>
    <w:unhideWhenUsed/>
    <w:rsid w:val="003E719A"/>
  </w:style>
  <w:style w:type="table" w:customStyle="1" w:styleId="6111121">
    <w:name w:val="Изысканная таблица611112"/>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1112">
    <w:name w:val="Нет списка1611112"/>
    <w:next w:val="a2"/>
    <w:uiPriority w:val="99"/>
    <w:semiHidden/>
    <w:unhideWhenUsed/>
    <w:rsid w:val="003E719A"/>
  </w:style>
  <w:style w:type="table" w:customStyle="1" w:styleId="21111121">
    <w:name w:val="Сетка таблицы2111112"/>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22">
    <w:name w:val="Сетка таблицы311112"/>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12">
    <w:name w:val="Сетка таблицы2211112"/>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22">
    <w:name w:val="Сетка таблицы411112"/>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122">
    <w:name w:val="Сетка таблицы511112"/>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122">
    <w:name w:val="Сетка таблицы611112"/>
    <w:basedOn w:val="a1"/>
    <w:next w:val="aff0"/>
    <w:uiPriority w:val="3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121">
    <w:name w:val="Сетка таблицы711112"/>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2">
    <w:name w:val="Светлая заливка - Акцент 111112"/>
    <w:basedOn w:val="a1"/>
    <w:next w:val="-1"/>
    <w:uiPriority w:val="60"/>
    <w:rsid w:val="003E719A"/>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1112">
    <w:name w:val="Сетка таблицы811112"/>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112">
    <w:name w:val="Сетка таблицы911112"/>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1">
    <w:name w:val="Нет списка261"/>
    <w:next w:val="a2"/>
    <w:uiPriority w:val="99"/>
    <w:semiHidden/>
    <w:unhideWhenUsed/>
    <w:rsid w:val="003E719A"/>
  </w:style>
  <w:style w:type="table" w:customStyle="1" w:styleId="2011">
    <w:name w:val="Сетка таблицы201"/>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6">
    <w:name w:val="Изысканная таблица15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61">
    <w:name w:val="Нет списка1161"/>
    <w:next w:val="a2"/>
    <w:uiPriority w:val="99"/>
    <w:semiHidden/>
    <w:unhideWhenUsed/>
    <w:rsid w:val="003E719A"/>
  </w:style>
  <w:style w:type="table" w:customStyle="1" w:styleId="11011">
    <w:name w:val="Сетка таблицы1101"/>
    <w:basedOn w:val="a1"/>
    <w:next w:val="aff0"/>
    <w:uiPriority w:val="3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710">
    <w:name w:val="Нет списка271"/>
    <w:next w:val="a2"/>
    <w:uiPriority w:val="99"/>
    <w:semiHidden/>
    <w:unhideWhenUsed/>
    <w:rsid w:val="003E719A"/>
  </w:style>
  <w:style w:type="table" w:customStyle="1" w:styleId="2711">
    <w:name w:val="Сетка таблицы271"/>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6">
    <w:name w:val="Изысканная таблица16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71">
    <w:name w:val="Нет списка1171"/>
    <w:next w:val="a2"/>
    <w:uiPriority w:val="99"/>
    <w:semiHidden/>
    <w:unhideWhenUsed/>
    <w:rsid w:val="003E719A"/>
  </w:style>
  <w:style w:type="table" w:customStyle="1" w:styleId="11510">
    <w:name w:val="Сетка таблицы1151"/>
    <w:basedOn w:val="a1"/>
    <w:next w:val="aff0"/>
    <w:uiPriority w:val="5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510">
    <w:name w:val="Нет списка2151"/>
    <w:next w:val="a2"/>
    <w:uiPriority w:val="99"/>
    <w:semiHidden/>
    <w:unhideWhenUsed/>
    <w:rsid w:val="003E719A"/>
  </w:style>
  <w:style w:type="numbering" w:customStyle="1" w:styleId="11151">
    <w:name w:val="Нет списка11151"/>
    <w:next w:val="a2"/>
    <w:uiPriority w:val="99"/>
    <w:semiHidden/>
    <w:unhideWhenUsed/>
    <w:rsid w:val="003E719A"/>
  </w:style>
  <w:style w:type="numbering" w:customStyle="1" w:styleId="3510">
    <w:name w:val="Нет списка351"/>
    <w:next w:val="a2"/>
    <w:uiPriority w:val="99"/>
    <w:semiHidden/>
    <w:unhideWhenUsed/>
    <w:rsid w:val="003E719A"/>
  </w:style>
  <w:style w:type="table" w:customStyle="1" w:styleId="2513">
    <w:name w:val="Изысканная таблица25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51">
    <w:name w:val="Нет списка1251"/>
    <w:next w:val="a2"/>
    <w:uiPriority w:val="99"/>
    <w:semiHidden/>
    <w:unhideWhenUsed/>
    <w:rsid w:val="003E719A"/>
  </w:style>
  <w:style w:type="numbering" w:customStyle="1" w:styleId="4510">
    <w:name w:val="Нет списка451"/>
    <w:next w:val="a2"/>
    <w:uiPriority w:val="99"/>
    <w:semiHidden/>
    <w:unhideWhenUsed/>
    <w:rsid w:val="003E719A"/>
  </w:style>
  <w:style w:type="table" w:customStyle="1" w:styleId="3511">
    <w:name w:val="Изысканная таблица35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51">
    <w:name w:val="Нет списка1351"/>
    <w:next w:val="a2"/>
    <w:uiPriority w:val="99"/>
    <w:semiHidden/>
    <w:unhideWhenUsed/>
    <w:rsid w:val="003E719A"/>
  </w:style>
  <w:style w:type="numbering" w:customStyle="1" w:styleId="5510">
    <w:name w:val="Нет списка551"/>
    <w:next w:val="a2"/>
    <w:uiPriority w:val="99"/>
    <w:semiHidden/>
    <w:unhideWhenUsed/>
    <w:rsid w:val="003E719A"/>
  </w:style>
  <w:style w:type="table" w:customStyle="1" w:styleId="4511">
    <w:name w:val="Изысканная таблица45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51">
    <w:name w:val="Нет списка1451"/>
    <w:next w:val="a2"/>
    <w:uiPriority w:val="99"/>
    <w:semiHidden/>
    <w:unhideWhenUsed/>
    <w:rsid w:val="003E719A"/>
  </w:style>
  <w:style w:type="numbering" w:customStyle="1" w:styleId="6510">
    <w:name w:val="Нет списка651"/>
    <w:next w:val="a2"/>
    <w:uiPriority w:val="99"/>
    <w:semiHidden/>
    <w:unhideWhenUsed/>
    <w:rsid w:val="003E719A"/>
  </w:style>
  <w:style w:type="table" w:customStyle="1" w:styleId="5511">
    <w:name w:val="Изысканная таблица55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51">
    <w:name w:val="Нет списка1551"/>
    <w:next w:val="a2"/>
    <w:uiPriority w:val="99"/>
    <w:semiHidden/>
    <w:unhideWhenUsed/>
    <w:rsid w:val="003E719A"/>
  </w:style>
  <w:style w:type="numbering" w:customStyle="1" w:styleId="7510">
    <w:name w:val="Нет списка751"/>
    <w:next w:val="a2"/>
    <w:uiPriority w:val="99"/>
    <w:semiHidden/>
    <w:unhideWhenUsed/>
    <w:rsid w:val="003E719A"/>
  </w:style>
  <w:style w:type="table" w:customStyle="1" w:styleId="6511">
    <w:name w:val="Изысканная таблица65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51">
    <w:name w:val="Нет списка1651"/>
    <w:next w:val="a2"/>
    <w:uiPriority w:val="99"/>
    <w:semiHidden/>
    <w:unhideWhenUsed/>
    <w:rsid w:val="003E719A"/>
  </w:style>
  <w:style w:type="table" w:customStyle="1" w:styleId="21511">
    <w:name w:val="Сетка таблицы215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Сетка таблицы35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51">
    <w:name w:val="Сетка таблицы225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2">
    <w:name w:val="Сетка таблицы45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2">
    <w:name w:val="Сетка таблицы55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12">
    <w:name w:val="Сетка таблицы651"/>
    <w:basedOn w:val="a1"/>
    <w:next w:val="aff0"/>
    <w:uiPriority w:val="3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11">
    <w:name w:val="Сетка таблицы751"/>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Светлая заливка - Акцент 151"/>
    <w:basedOn w:val="a1"/>
    <w:next w:val="-1"/>
    <w:uiPriority w:val="60"/>
    <w:rsid w:val="003E719A"/>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51">
    <w:name w:val="Сетка таблицы85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51">
    <w:name w:val="Сетка таблицы95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10">
    <w:name w:val="Сетка таблицы1241"/>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411">
    <w:name w:val="Нет списка841"/>
    <w:next w:val="a2"/>
    <w:uiPriority w:val="99"/>
    <w:semiHidden/>
    <w:unhideWhenUsed/>
    <w:rsid w:val="003E719A"/>
  </w:style>
  <w:style w:type="table" w:customStyle="1" w:styleId="1041">
    <w:name w:val="Сетка таблицы1041"/>
    <w:basedOn w:val="a1"/>
    <w:next w:val="aff0"/>
    <w:uiPriority w:val="3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12">
    <w:name w:val="Изысканная таблица74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41">
    <w:name w:val="Нет списка1741"/>
    <w:next w:val="a2"/>
    <w:uiPriority w:val="99"/>
    <w:semiHidden/>
    <w:unhideWhenUsed/>
    <w:rsid w:val="003E719A"/>
  </w:style>
  <w:style w:type="table" w:customStyle="1" w:styleId="13410">
    <w:name w:val="Сетка таблицы1341"/>
    <w:basedOn w:val="a1"/>
    <w:next w:val="aff0"/>
    <w:uiPriority w:val="3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410">
    <w:name w:val="Нет списка2241"/>
    <w:next w:val="a2"/>
    <w:uiPriority w:val="99"/>
    <w:semiHidden/>
    <w:unhideWhenUsed/>
    <w:rsid w:val="003E719A"/>
  </w:style>
  <w:style w:type="table" w:customStyle="1" w:styleId="2341">
    <w:name w:val="Сетка таблицы2341"/>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3">
    <w:name w:val="Изысканная таблица114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41">
    <w:name w:val="Нет списка11241"/>
    <w:next w:val="a2"/>
    <w:uiPriority w:val="99"/>
    <w:semiHidden/>
    <w:unhideWhenUsed/>
    <w:rsid w:val="003E719A"/>
  </w:style>
  <w:style w:type="table" w:customStyle="1" w:styleId="111410">
    <w:name w:val="Сетка таблицы11141"/>
    <w:basedOn w:val="a1"/>
    <w:next w:val="aff0"/>
    <w:uiPriority w:val="5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410">
    <w:name w:val="Нет списка21141"/>
    <w:next w:val="a2"/>
    <w:uiPriority w:val="99"/>
    <w:semiHidden/>
    <w:unhideWhenUsed/>
    <w:rsid w:val="003E719A"/>
  </w:style>
  <w:style w:type="numbering" w:customStyle="1" w:styleId="111141">
    <w:name w:val="Нет списка111141"/>
    <w:next w:val="a2"/>
    <w:uiPriority w:val="99"/>
    <w:semiHidden/>
    <w:unhideWhenUsed/>
    <w:rsid w:val="003E719A"/>
  </w:style>
  <w:style w:type="numbering" w:customStyle="1" w:styleId="31410">
    <w:name w:val="Нет списка3141"/>
    <w:next w:val="a2"/>
    <w:uiPriority w:val="99"/>
    <w:semiHidden/>
    <w:unhideWhenUsed/>
    <w:rsid w:val="003E719A"/>
  </w:style>
  <w:style w:type="table" w:customStyle="1" w:styleId="21412">
    <w:name w:val="Изысканная таблица214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41">
    <w:name w:val="Нет списка12141"/>
    <w:next w:val="a2"/>
    <w:uiPriority w:val="99"/>
    <w:semiHidden/>
    <w:unhideWhenUsed/>
    <w:rsid w:val="003E719A"/>
  </w:style>
  <w:style w:type="numbering" w:customStyle="1" w:styleId="41410">
    <w:name w:val="Нет списка4141"/>
    <w:next w:val="a2"/>
    <w:uiPriority w:val="99"/>
    <w:semiHidden/>
    <w:unhideWhenUsed/>
    <w:rsid w:val="003E719A"/>
  </w:style>
  <w:style w:type="table" w:customStyle="1" w:styleId="31411">
    <w:name w:val="Изысканная таблица314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410">
    <w:name w:val="Нет списка13141"/>
    <w:next w:val="a2"/>
    <w:uiPriority w:val="99"/>
    <w:semiHidden/>
    <w:unhideWhenUsed/>
    <w:rsid w:val="003E719A"/>
  </w:style>
  <w:style w:type="numbering" w:customStyle="1" w:styleId="51410">
    <w:name w:val="Нет списка5141"/>
    <w:next w:val="a2"/>
    <w:uiPriority w:val="99"/>
    <w:semiHidden/>
    <w:unhideWhenUsed/>
    <w:rsid w:val="003E719A"/>
  </w:style>
  <w:style w:type="table" w:customStyle="1" w:styleId="41411">
    <w:name w:val="Изысканная таблица414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41">
    <w:name w:val="Нет списка14141"/>
    <w:next w:val="a2"/>
    <w:uiPriority w:val="99"/>
    <w:semiHidden/>
    <w:unhideWhenUsed/>
    <w:rsid w:val="003E719A"/>
  </w:style>
  <w:style w:type="numbering" w:customStyle="1" w:styleId="61410">
    <w:name w:val="Нет списка6141"/>
    <w:next w:val="a2"/>
    <w:uiPriority w:val="99"/>
    <w:semiHidden/>
    <w:unhideWhenUsed/>
    <w:rsid w:val="003E719A"/>
  </w:style>
  <w:style w:type="table" w:customStyle="1" w:styleId="51411">
    <w:name w:val="Изысканная таблица514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41">
    <w:name w:val="Нет списка15141"/>
    <w:next w:val="a2"/>
    <w:uiPriority w:val="99"/>
    <w:semiHidden/>
    <w:unhideWhenUsed/>
    <w:rsid w:val="003E719A"/>
  </w:style>
  <w:style w:type="numbering" w:customStyle="1" w:styleId="71410">
    <w:name w:val="Нет списка7141"/>
    <w:next w:val="a2"/>
    <w:uiPriority w:val="99"/>
    <w:semiHidden/>
    <w:unhideWhenUsed/>
    <w:rsid w:val="003E719A"/>
  </w:style>
  <w:style w:type="table" w:customStyle="1" w:styleId="61411">
    <w:name w:val="Изысканная таблица614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41">
    <w:name w:val="Нет списка16141"/>
    <w:next w:val="a2"/>
    <w:uiPriority w:val="99"/>
    <w:semiHidden/>
    <w:unhideWhenUsed/>
    <w:rsid w:val="003E719A"/>
  </w:style>
  <w:style w:type="table" w:customStyle="1" w:styleId="211411">
    <w:name w:val="Сетка таблицы2114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2">
    <w:name w:val="Сетка таблицы314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41">
    <w:name w:val="Сетка таблицы2214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12">
    <w:name w:val="Сетка таблицы414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412">
    <w:name w:val="Сетка таблицы514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412">
    <w:name w:val="Сетка таблицы6141"/>
    <w:basedOn w:val="a1"/>
    <w:next w:val="aff0"/>
    <w:uiPriority w:val="3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411">
    <w:name w:val="Сетка таблицы7141"/>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
    <w:name w:val="Светлая заливка - Акцент 1141"/>
    <w:basedOn w:val="a1"/>
    <w:next w:val="-1"/>
    <w:uiPriority w:val="60"/>
    <w:rsid w:val="003E719A"/>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41">
    <w:name w:val="Сетка таблицы814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41">
    <w:name w:val="Сетка таблицы914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10">
    <w:name w:val="Нет списка931"/>
    <w:next w:val="a2"/>
    <w:uiPriority w:val="99"/>
    <w:semiHidden/>
    <w:unhideWhenUsed/>
    <w:rsid w:val="003E719A"/>
  </w:style>
  <w:style w:type="table" w:customStyle="1" w:styleId="14310">
    <w:name w:val="Сетка таблицы1431"/>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13">
    <w:name w:val="Изысканная таблица83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831">
    <w:name w:val="Нет списка1831"/>
    <w:next w:val="a2"/>
    <w:uiPriority w:val="99"/>
    <w:semiHidden/>
    <w:unhideWhenUsed/>
    <w:rsid w:val="003E719A"/>
  </w:style>
  <w:style w:type="table" w:customStyle="1" w:styleId="15310">
    <w:name w:val="Сетка таблицы1531"/>
    <w:basedOn w:val="a1"/>
    <w:next w:val="aff0"/>
    <w:uiPriority w:val="3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3310">
    <w:name w:val="Нет списка2331"/>
    <w:next w:val="a2"/>
    <w:uiPriority w:val="99"/>
    <w:semiHidden/>
    <w:unhideWhenUsed/>
    <w:rsid w:val="003E719A"/>
  </w:style>
  <w:style w:type="table" w:customStyle="1" w:styleId="2431">
    <w:name w:val="Сетка таблицы2431"/>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3">
    <w:name w:val="Изысканная таблица123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331">
    <w:name w:val="Нет списка11331"/>
    <w:next w:val="a2"/>
    <w:uiPriority w:val="99"/>
    <w:semiHidden/>
    <w:unhideWhenUsed/>
    <w:rsid w:val="003E719A"/>
  </w:style>
  <w:style w:type="table" w:customStyle="1" w:styleId="112310">
    <w:name w:val="Сетка таблицы11231"/>
    <w:basedOn w:val="a1"/>
    <w:next w:val="aff0"/>
    <w:uiPriority w:val="5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2310">
    <w:name w:val="Нет списка21231"/>
    <w:next w:val="a2"/>
    <w:uiPriority w:val="99"/>
    <w:semiHidden/>
    <w:unhideWhenUsed/>
    <w:rsid w:val="003E719A"/>
  </w:style>
  <w:style w:type="numbering" w:customStyle="1" w:styleId="1112310">
    <w:name w:val="Нет списка111231"/>
    <w:next w:val="a2"/>
    <w:uiPriority w:val="99"/>
    <w:semiHidden/>
    <w:unhideWhenUsed/>
    <w:rsid w:val="003E719A"/>
  </w:style>
  <w:style w:type="numbering" w:customStyle="1" w:styleId="32310">
    <w:name w:val="Нет списка3231"/>
    <w:next w:val="a2"/>
    <w:uiPriority w:val="99"/>
    <w:semiHidden/>
    <w:unhideWhenUsed/>
    <w:rsid w:val="003E719A"/>
  </w:style>
  <w:style w:type="table" w:customStyle="1" w:styleId="22313">
    <w:name w:val="Изысканная таблица223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231">
    <w:name w:val="Нет списка12231"/>
    <w:next w:val="a2"/>
    <w:uiPriority w:val="99"/>
    <w:semiHidden/>
    <w:unhideWhenUsed/>
    <w:rsid w:val="003E719A"/>
  </w:style>
  <w:style w:type="numbering" w:customStyle="1" w:styleId="42310">
    <w:name w:val="Нет списка4231"/>
    <w:next w:val="a2"/>
    <w:uiPriority w:val="99"/>
    <w:semiHidden/>
    <w:unhideWhenUsed/>
    <w:rsid w:val="003E719A"/>
  </w:style>
  <w:style w:type="table" w:customStyle="1" w:styleId="32311">
    <w:name w:val="Изысканная таблица323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231">
    <w:name w:val="Нет списка13231"/>
    <w:next w:val="a2"/>
    <w:uiPriority w:val="99"/>
    <w:semiHidden/>
    <w:unhideWhenUsed/>
    <w:rsid w:val="003E719A"/>
  </w:style>
  <w:style w:type="numbering" w:customStyle="1" w:styleId="52310">
    <w:name w:val="Нет списка5231"/>
    <w:next w:val="a2"/>
    <w:uiPriority w:val="99"/>
    <w:semiHidden/>
    <w:unhideWhenUsed/>
    <w:rsid w:val="003E719A"/>
  </w:style>
  <w:style w:type="table" w:customStyle="1" w:styleId="42311">
    <w:name w:val="Изысканная таблица423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231">
    <w:name w:val="Нет списка14231"/>
    <w:next w:val="a2"/>
    <w:uiPriority w:val="99"/>
    <w:semiHidden/>
    <w:unhideWhenUsed/>
    <w:rsid w:val="003E719A"/>
  </w:style>
  <w:style w:type="numbering" w:customStyle="1" w:styleId="62310">
    <w:name w:val="Нет списка6231"/>
    <w:next w:val="a2"/>
    <w:uiPriority w:val="99"/>
    <w:semiHidden/>
    <w:unhideWhenUsed/>
    <w:rsid w:val="003E719A"/>
  </w:style>
  <w:style w:type="table" w:customStyle="1" w:styleId="52311">
    <w:name w:val="Изысканная таблица523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231">
    <w:name w:val="Нет списка15231"/>
    <w:next w:val="a2"/>
    <w:uiPriority w:val="99"/>
    <w:semiHidden/>
    <w:unhideWhenUsed/>
    <w:rsid w:val="003E719A"/>
  </w:style>
  <w:style w:type="numbering" w:customStyle="1" w:styleId="72310">
    <w:name w:val="Нет списка7231"/>
    <w:next w:val="a2"/>
    <w:uiPriority w:val="99"/>
    <w:semiHidden/>
    <w:unhideWhenUsed/>
    <w:rsid w:val="003E719A"/>
  </w:style>
  <w:style w:type="table" w:customStyle="1" w:styleId="62311">
    <w:name w:val="Изысканная таблица623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231">
    <w:name w:val="Нет списка16231"/>
    <w:next w:val="a2"/>
    <w:uiPriority w:val="99"/>
    <w:semiHidden/>
    <w:unhideWhenUsed/>
    <w:rsid w:val="003E719A"/>
  </w:style>
  <w:style w:type="table" w:customStyle="1" w:styleId="212311">
    <w:name w:val="Сетка таблицы2123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2">
    <w:name w:val="Сетка таблицы323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31">
    <w:name w:val="Сетка таблицы2223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12">
    <w:name w:val="Сетка таблицы423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12">
    <w:name w:val="Сетка таблицы523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12">
    <w:name w:val="Сетка таблицы6231"/>
    <w:basedOn w:val="a1"/>
    <w:next w:val="aff0"/>
    <w:uiPriority w:val="3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11">
    <w:name w:val="Сетка таблицы7231"/>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
    <w:name w:val="Светлая заливка - Акцент 1231"/>
    <w:basedOn w:val="a1"/>
    <w:next w:val="-1"/>
    <w:uiPriority w:val="60"/>
    <w:rsid w:val="003E719A"/>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231">
    <w:name w:val="Сетка таблицы823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31">
    <w:name w:val="Сетка таблицы923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11">
    <w:name w:val="Сетка таблицы12131"/>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11">
    <w:name w:val="Нет списка8131"/>
    <w:next w:val="a2"/>
    <w:uiPriority w:val="99"/>
    <w:semiHidden/>
    <w:unhideWhenUsed/>
    <w:rsid w:val="003E719A"/>
  </w:style>
  <w:style w:type="table" w:customStyle="1" w:styleId="10131">
    <w:name w:val="Сетка таблицы10131"/>
    <w:basedOn w:val="a1"/>
    <w:next w:val="aff0"/>
    <w:uiPriority w:val="3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12">
    <w:name w:val="Изысканная таблица713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131">
    <w:name w:val="Нет списка17131"/>
    <w:next w:val="a2"/>
    <w:uiPriority w:val="99"/>
    <w:semiHidden/>
    <w:unhideWhenUsed/>
    <w:rsid w:val="003E719A"/>
  </w:style>
  <w:style w:type="table" w:customStyle="1" w:styleId="131310">
    <w:name w:val="Сетка таблицы13131"/>
    <w:basedOn w:val="a1"/>
    <w:next w:val="aff0"/>
    <w:uiPriority w:val="3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1311">
    <w:name w:val="Нет списка22131"/>
    <w:next w:val="a2"/>
    <w:uiPriority w:val="99"/>
    <w:semiHidden/>
    <w:unhideWhenUsed/>
    <w:rsid w:val="003E719A"/>
  </w:style>
  <w:style w:type="table" w:customStyle="1" w:styleId="231310">
    <w:name w:val="Сетка таблицы23131"/>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13">
    <w:name w:val="Изысканная таблица1113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1310">
    <w:name w:val="Нет списка112131"/>
    <w:next w:val="a2"/>
    <w:uiPriority w:val="99"/>
    <w:semiHidden/>
    <w:unhideWhenUsed/>
    <w:rsid w:val="003E719A"/>
  </w:style>
  <w:style w:type="table" w:customStyle="1" w:styleId="1111311">
    <w:name w:val="Сетка таблицы111131"/>
    <w:basedOn w:val="a1"/>
    <w:next w:val="aff0"/>
    <w:uiPriority w:val="5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1310">
    <w:name w:val="Нет списка211131"/>
    <w:next w:val="a2"/>
    <w:uiPriority w:val="99"/>
    <w:semiHidden/>
    <w:unhideWhenUsed/>
    <w:rsid w:val="003E719A"/>
  </w:style>
  <w:style w:type="numbering" w:customStyle="1" w:styleId="11111310">
    <w:name w:val="Нет списка1111131"/>
    <w:next w:val="a2"/>
    <w:uiPriority w:val="99"/>
    <w:semiHidden/>
    <w:unhideWhenUsed/>
    <w:rsid w:val="003E719A"/>
  </w:style>
  <w:style w:type="numbering" w:customStyle="1" w:styleId="311310">
    <w:name w:val="Нет списка31131"/>
    <w:next w:val="a2"/>
    <w:uiPriority w:val="99"/>
    <w:semiHidden/>
    <w:unhideWhenUsed/>
    <w:rsid w:val="003E719A"/>
  </w:style>
  <w:style w:type="table" w:customStyle="1" w:styleId="211312">
    <w:name w:val="Изысканная таблица2113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1310">
    <w:name w:val="Нет списка121131"/>
    <w:next w:val="a2"/>
    <w:uiPriority w:val="99"/>
    <w:semiHidden/>
    <w:unhideWhenUsed/>
    <w:rsid w:val="003E719A"/>
  </w:style>
  <w:style w:type="numbering" w:customStyle="1" w:styleId="411310">
    <w:name w:val="Нет списка41131"/>
    <w:next w:val="a2"/>
    <w:uiPriority w:val="99"/>
    <w:semiHidden/>
    <w:unhideWhenUsed/>
    <w:rsid w:val="003E719A"/>
  </w:style>
  <w:style w:type="table" w:customStyle="1" w:styleId="311311">
    <w:name w:val="Изысканная таблица3113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131">
    <w:name w:val="Нет списка131131"/>
    <w:next w:val="a2"/>
    <w:uiPriority w:val="99"/>
    <w:semiHidden/>
    <w:unhideWhenUsed/>
    <w:rsid w:val="003E719A"/>
  </w:style>
  <w:style w:type="numbering" w:customStyle="1" w:styleId="511310">
    <w:name w:val="Нет списка51131"/>
    <w:next w:val="a2"/>
    <w:uiPriority w:val="99"/>
    <w:semiHidden/>
    <w:unhideWhenUsed/>
    <w:rsid w:val="003E719A"/>
  </w:style>
  <w:style w:type="table" w:customStyle="1" w:styleId="411311">
    <w:name w:val="Изысканная таблица4113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131">
    <w:name w:val="Нет списка141131"/>
    <w:next w:val="a2"/>
    <w:uiPriority w:val="99"/>
    <w:semiHidden/>
    <w:unhideWhenUsed/>
    <w:rsid w:val="003E719A"/>
  </w:style>
  <w:style w:type="numbering" w:customStyle="1" w:styleId="611310">
    <w:name w:val="Нет списка61131"/>
    <w:next w:val="a2"/>
    <w:uiPriority w:val="99"/>
    <w:semiHidden/>
    <w:unhideWhenUsed/>
    <w:rsid w:val="003E719A"/>
  </w:style>
  <w:style w:type="table" w:customStyle="1" w:styleId="511311">
    <w:name w:val="Изысканная таблица5113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131">
    <w:name w:val="Нет списка151131"/>
    <w:next w:val="a2"/>
    <w:uiPriority w:val="99"/>
    <w:semiHidden/>
    <w:unhideWhenUsed/>
    <w:rsid w:val="003E719A"/>
  </w:style>
  <w:style w:type="numbering" w:customStyle="1" w:styleId="711310">
    <w:name w:val="Нет списка71131"/>
    <w:next w:val="a2"/>
    <w:uiPriority w:val="99"/>
    <w:semiHidden/>
    <w:unhideWhenUsed/>
    <w:rsid w:val="003E719A"/>
  </w:style>
  <w:style w:type="table" w:customStyle="1" w:styleId="611311">
    <w:name w:val="Изысканная таблица6113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131">
    <w:name w:val="Нет списка161131"/>
    <w:next w:val="a2"/>
    <w:uiPriority w:val="99"/>
    <w:semiHidden/>
    <w:unhideWhenUsed/>
    <w:rsid w:val="003E719A"/>
  </w:style>
  <w:style w:type="table" w:customStyle="1" w:styleId="2111311">
    <w:name w:val="Сетка таблицы21113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12">
    <w:name w:val="Сетка таблицы3113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310">
    <w:name w:val="Сетка таблицы22113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12">
    <w:name w:val="Сетка таблицы4113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312">
    <w:name w:val="Сетка таблицы5113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312">
    <w:name w:val="Сетка таблицы61131"/>
    <w:basedOn w:val="a1"/>
    <w:next w:val="aff0"/>
    <w:uiPriority w:val="3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311">
    <w:name w:val="Сетка таблицы71131"/>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1">
    <w:name w:val="Светлая заливка - Акцент 11131"/>
    <w:basedOn w:val="a1"/>
    <w:next w:val="-1"/>
    <w:uiPriority w:val="60"/>
    <w:rsid w:val="003E719A"/>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1310">
    <w:name w:val="Сетка таблицы8113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31">
    <w:name w:val="Сетка таблицы9113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10">
    <w:name w:val="Нет списка1021"/>
    <w:next w:val="a2"/>
    <w:uiPriority w:val="99"/>
    <w:semiHidden/>
    <w:unhideWhenUsed/>
    <w:rsid w:val="003E719A"/>
  </w:style>
  <w:style w:type="table" w:customStyle="1" w:styleId="16210">
    <w:name w:val="Сетка таблицы1621"/>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14">
    <w:name w:val="Изысканная таблица92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921">
    <w:name w:val="Нет списка1921"/>
    <w:next w:val="a2"/>
    <w:uiPriority w:val="99"/>
    <w:semiHidden/>
    <w:unhideWhenUsed/>
    <w:rsid w:val="003E719A"/>
  </w:style>
  <w:style w:type="table" w:customStyle="1" w:styleId="17210">
    <w:name w:val="Сетка таблицы1721"/>
    <w:basedOn w:val="a1"/>
    <w:next w:val="aff0"/>
    <w:uiPriority w:val="3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4211">
    <w:name w:val="Нет списка2421"/>
    <w:next w:val="a2"/>
    <w:uiPriority w:val="99"/>
    <w:semiHidden/>
    <w:unhideWhenUsed/>
    <w:rsid w:val="003E719A"/>
  </w:style>
  <w:style w:type="table" w:customStyle="1" w:styleId="25210">
    <w:name w:val="Сетка таблицы2521"/>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4">
    <w:name w:val="Изысканная таблица132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4210">
    <w:name w:val="Нет списка11421"/>
    <w:next w:val="a2"/>
    <w:uiPriority w:val="99"/>
    <w:semiHidden/>
    <w:unhideWhenUsed/>
    <w:rsid w:val="003E719A"/>
  </w:style>
  <w:style w:type="table" w:customStyle="1" w:styleId="113211">
    <w:name w:val="Сетка таблицы11321"/>
    <w:basedOn w:val="a1"/>
    <w:next w:val="aff0"/>
    <w:uiPriority w:val="5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3210">
    <w:name w:val="Нет списка21321"/>
    <w:next w:val="a2"/>
    <w:uiPriority w:val="99"/>
    <w:semiHidden/>
    <w:unhideWhenUsed/>
    <w:rsid w:val="003E719A"/>
  </w:style>
  <w:style w:type="numbering" w:customStyle="1" w:styleId="1113210">
    <w:name w:val="Нет списка111321"/>
    <w:next w:val="a2"/>
    <w:uiPriority w:val="99"/>
    <w:semiHidden/>
    <w:unhideWhenUsed/>
    <w:rsid w:val="003E719A"/>
  </w:style>
  <w:style w:type="numbering" w:customStyle="1" w:styleId="33210">
    <w:name w:val="Нет списка3321"/>
    <w:next w:val="a2"/>
    <w:uiPriority w:val="99"/>
    <w:semiHidden/>
    <w:unhideWhenUsed/>
    <w:rsid w:val="003E719A"/>
  </w:style>
  <w:style w:type="table" w:customStyle="1" w:styleId="23213">
    <w:name w:val="Изысканная таблица232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3210">
    <w:name w:val="Нет списка12321"/>
    <w:next w:val="a2"/>
    <w:uiPriority w:val="99"/>
    <w:semiHidden/>
    <w:unhideWhenUsed/>
    <w:rsid w:val="003E719A"/>
  </w:style>
  <w:style w:type="numbering" w:customStyle="1" w:styleId="43210">
    <w:name w:val="Нет списка4321"/>
    <w:next w:val="a2"/>
    <w:uiPriority w:val="99"/>
    <w:semiHidden/>
    <w:unhideWhenUsed/>
    <w:rsid w:val="003E719A"/>
  </w:style>
  <w:style w:type="table" w:customStyle="1" w:styleId="33211">
    <w:name w:val="Изысканная таблица332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321">
    <w:name w:val="Нет списка13321"/>
    <w:next w:val="a2"/>
    <w:uiPriority w:val="99"/>
    <w:semiHidden/>
    <w:unhideWhenUsed/>
    <w:rsid w:val="003E719A"/>
  </w:style>
  <w:style w:type="numbering" w:customStyle="1" w:styleId="53210">
    <w:name w:val="Нет списка5321"/>
    <w:next w:val="a2"/>
    <w:uiPriority w:val="99"/>
    <w:semiHidden/>
    <w:unhideWhenUsed/>
    <w:rsid w:val="003E719A"/>
  </w:style>
  <w:style w:type="table" w:customStyle="1" w:styleId="43211">
    <w:name w:val="Изысканная таблица432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321">
    <w:name w:val="Нет списка14321"/>
    <w:next w:val="a2"/>
    <w:uiPriority w:val="99"/>
    <w:semiHidden/>
    <w:unhideWhenUsed/>
    <w:rsid w:val="003E719A"/>
  </w:style>
  <w:style w:type="numbering" w:customStyle="1" w:styleId="63210">
    <w:name w:val="Нет списка6321"/>
    <w:next w:val="a2"/>
    <w:uiPriority w:val="99"/>
    <w:semiHidden/>
    <w:unhideWhenUsed/>
    <w:rsid w:val="003E719A"/>
  </w:style>
  <w:style w:type="table" w:customStyle="1" w:styleId="53211">
    <w:name w:val="Изысканная таблица532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321">
    <w:name w:val="Нет списка15321"/>
    <w:next w:val="a2"/>
    <w:uiPriority w:val="99"/>
    <w:semiHidden/>
    <w:unhideWhenUsed/>
    <w:rsid w:val="003E719A"/>
  </w:style>
  <w:style w:type="numbering" w:customStyle="1" w:styleId="73210">
    <w:name w:val="Нет списка7321"/>
    <w:next w:val="a2"/>
    <w:uiPriority w:val="99"/>
    <w:semiHidden/>
    <w:unhideWhenUsed/>
    <w:rsid w:val="003E719A"/>
  </w:style>
  <w:style w:type="table" w:customStyle="1" w:styleId="63211">
    <w:name w:val="Изысканная таблица632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321">
    <w:name w:val="Нет списка16321"/>
    <w:next w:val="a2"/>
    <w:uiPriority w:val="99"/>
    <w:semiHidden/>
    <w:unhideWhenUsed/>
    <w:rsid w:val="003E719A"/>
  </w:style>
  <w:style w:type="table" w:customStyle="1" w:styleId="213211">
    <w:name w:val="Сетка таблицы2132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12">
    <w:name w:val="Сетка таблицы332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210">
    <w:name w:val="Сетка таблицы2232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12">
    <w:name w:val="Сетка таблицы432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12">
    <w:name w:val="Сетка таблицы532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12">
    <w:name w:val="Сетка таблицы6321"/>
    <w:basedOn w:val="a1"/>
    <w:next w:val="aff0"/>
    <w:uiPriority w:val="3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11">
    <w:name w:val="Сетка таблицы7321"/>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
    <w:name w:val="Светлая заливка - Акцент 1321"/>
    <w:basedOn w:val="a1"/>
    <w:next w:val="-1"/>
    <w:uiPriority w:val="60"/>
    <w:rsid w:val="003E719A"/>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3210">
    <w:name w:val="Сетка таблицы832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21">
    <w:name w:val="Сетка таблицы932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11">
    <w:name w:val="Сетка таблицы12221"/>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11">
    <w:name w:val="Нет списка8221"/>
    <w:next w:val="a2"/>
    <w:uiPriority w:val="99"/>
    <w:semiHidden/>
    <w:unhideWhenUsed/>
    <w:rsid w:val="003E719A"/>
  </w:style>
  <w:style w:type="table" w:customStyle="1" w:styleId="10221">
    <w:name w:val="Сетка таблицы10221"/>
    <w:basedOn w:val="a1"/>
    <w:next w:val="aff0"/>
    <w:uiPriority w:val="3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12">
    <w:name w:val="Изысканная таблица722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221">
    <w:name w:val="Нет списка17221"/>
    <w:next w:val="a2"/>
    <w:uiPriority w:val="99"/>
    <w:semiHidden/>
    <w:unhideWhenUsed/>
    <w:rsid w:val="003E719A"/>
  </w:style>
  <w:style w:type="table" w:customStyle="1" w:styleId="132210">
    <w:name w:val="Сетка таблицы13221"/>
    <w:basedOn w:val="a1"/>
    <w:next w:val="aff0"/>
    <w:uiPriority w:val="3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2211">
    <w:name w:val="Нет списка22221"/>
    <w:next w:val="a2"/>
    <w:uiPriority w:val="99"/>
    <w:semiHidden/>
    <w:unhideWhenUsed/>
    <w:rsid w:val="003E719A"/>
  </w:style>
  <w:style w:type="table" w:customStyle="1" w:styleId="232210">
    <w:name w:val="Сетка таблицы23221"/>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13">
    <w:name w:val="Изысканная таблица1122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2210">
    <w:name w:val="Нет списка112221"/>
    <w:next w:val="a2"/>
    <w:uiPriority w:val="99"/>
    <w:semiHidden/>
    <w:unhideWhenUsed/>
    <w:rsid w:val="003E719A"/>
  </w:style>
  <w:style w:type="table" w:customStyle="1" w:styleId="1112210">
    <w:name w:val="Сетка таблицы111221"/>
    <w:basedOn w:val="a1"/>
    <w:next w:val="aff0"/>
    <w:uiPriority w:val="5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2210">
    <w:name w:val="Нет списка211221"/>
    <w:next w:val="a2"/>
    <w:uiPriority w:val="99"/>
    <w:semiHidden/>
    <w:unhideWhenUsed/>
    <w:rsid w:val="003E719A"/>
  </w:style>
  <w:style w:type="numbering" w:customStyle="1" w:styleId="1111221">
    <w:name w:val="Нет списка1111221"/>
    <w:next w:val="a2"/>
    <w:uiPriority w:val="99"/>
    <w:semiHidden/>
    <w:unhideWhenUsed/>
    <w:rsid w:val="003E719A"/>
  </w:style>
  <w:style w:type="numbering" w:customStyle="1" w:styleId="312210">
    <w:name w:val="Нет списка31221"/>
    <w:next w:val="a2"/>
    <w:uiPriority w:val="99"/>
    <w:semiHidden/>
    <w:unhideWhenUsed/>
    <w:rsid w:val="003E719A"/>
  </w:style>
  <w:style w:type="table" w:customStyle="1" w:styleId="212212">
    <w:name w:val="Изысканная таблица2122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221">
    <w:name w:val="Нет списка121221"/>
    <w:next w:val="a2"/>
    <w:uiPriority w:val="99"/>
    <w:semiHidden/>
    <w:unhideWhenUsed/>
    <w:rsid w:val="003E719A"/>
  </w:style>
  <w:style w:type="numbering" w:customStyle="1" w:styleId="412210">
    <w:name w:val="Нет списка41221"/>
    <w:next w:val="a2"/>
    <w:uiPriority w:val="99"/>
    <w:semiHidden/>
    <w:unhideWhenUsed/>
    <w:rsid w:val="003E719A"/>
  </w:style>
  <w:style w:type="table" w:customStyle="1" w:styleId="312211">
    <w:name w:val="Изысканная таблица3122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221">
    <w:name w:val="Нет списка131221"/>
    <w:next w:val="a2"/>
    <w:uiPriority w:val="99"/>
    <w:semiHidden/>
    <w:unhideWhenUsed/>
    <w:rsid w:val="003E719A"/>
  </w:style>
  <w:style w:type="numbering" w:customStyle="1" w:styleId="512210">
    <w:name w:val="Нет списка51221"/>
    <w:next w:val="a2"/>
    <w:uiPriority w:val="99"/>
    <w:semiHidden/>
    <w:unhideWhenUsed/>
    <w:rsid w:val="003E719A"/>
  </w:style>
  <w:style w:type="table" w:customStyle="1" w:styleId="412211">
    <w:name w:val="Изысканная таблица4122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221">
    <w:name w:val="Нет списка141221"/>
    <w:next w:val="a2"/>
    <w:uiPriority w:val="99"/>
    <w:semiHidden/>
    <w:unhideWhenUsed/>
    <w:rsid w:val="003E719A"/>
  </w:style>
  <w:style w:type="numbering" w:customStyle="1" w:styleId="612210">
    <w:name w:val="Нет списка61221"/>
    <w:next w:val="a2"/>
    <w:uiPriority w:val="99"/>
    <w:semiHidden/>
    <w:unhideWhenUsed/>
    <w:rsid w:val="003E719A"/>
  </w:style>
  <w:style w:type="table" w:customStyle="1" w:styleId="512211">
    <w:name w:val="Изысканная таблица5122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221">
    <w:name w:val="Нет списка151221"/>
    <w:next w:val="a2"/>
    <w:uiPriority w:val="99"/>
    <w:semiHidden/>
    <w:unhideWhenUsed/>
    <w:rsid w:val="003E719A"/>
  </w:style>
  <w:style w:type="numbering" w:customStyle="1" w:styleId="712210">
    <w:name w:val="Нет списка71221"/>
    <w:next w:val="a2"/>
    <w:uiPriority w:val="99"/>
    <w:semiHidden/>
    <w:unhideWhenUsed/>
    <w:rsid w:val="003E719A"/>
  </w:style>
  <w:style w:type="table" w:customStyle="1" w:styleId="612211">
    <w:name w:val="Изысканная таблица6122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221">
    <w:name w:val="Нет списка161221"/>
    <w:next w:val="a2"/>
    <w:uiPriority w:val="99"/>
    <w:semiHidden/>
    <w:unhideWhenUsed/>
    <w:rsid w:val="003E719A"/>
  </w:style>
  <w:style w:type="table" w:customStyle="1" w:styleId="2112211">
    <w:name w:val="Сетка таблицы21122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12">
    <w:name w:val="Сетка таблицы3122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1">
    <w:name w:val="Сетка таблицы22122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12">
    <w:name w:val="Сетка таблицы4122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212">
    <w:name w:val="Сетка таблицы5122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212">
    <w:name w:val="Сетка таблицы61221"/>
    <w:basedOn w:val="a1"/>
    <w:next w:val="aff0"/>
    <w:uiPriority w:val="3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211">
    <w:name w:val="Сетка таблицы71221"/>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1">
    <w:name w:val="Светлая заливка - Акцент 11221"/>
    <w:basedOn w:val="a1"/>
    <w:next w:val="-1"/>
    <w:uiPriority w:val="60"/>
    <w:rsid w:val="003E719A"/>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221">
    <w:name w:val="Сетка таблицы8122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21">
    <w:name w:val="Сетка таблицы9122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0">
    <w:name w:val="Нет списка9121"/>
    <w:next w:val="a2"/>
    <w:uiPriority w:val="99"/>
    <w:semiHidden/>
    <w:unhideWhenUsed/>
    <w:rsid w:val="003E719A"/>
  </w:style>
  <w:style w:type="table" w:customStyle="1" w:styleId="141210">
    <w:name w:val="Сетка таблицы14121"/>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213">
    <w:name w:val="Изысканная таблица812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8121">
    <w:name w:val="Нет списка18121"/>
    <w:next w:val="a2"/>
    <w:uiPriority w:val="99"/>
    <w:semiHidden/>
    <w:unhideWhenUsed/>
    <w:rsid w:val="003E719A"/>
  </w:style>
  <w:style w:type="table" w:customStyle="1" w:styleId="151210">
    <w:name w:val="Сетка таблицы15121"/>
    <w:basedOn w:val="a1"/>
    <w:next w:val="aff0"/>
    <w:uiPriority w:val="3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31210">
    <w:name w:val="Нет списка23121"/>
    <w:next w:val="a2"/>
    <w:uiPriority w:val="99"/>
    <w:semiHidden/>
    <w:unhideWhenUsed/>
    <w:rsid w:val="003E719A"/>
  </w:style>
  <w:style w:type="table" w:customStyle="1" w:styleId="24121">
    <w:name w:val="Сетка таблицы24121"/>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13">
    <w:name w:val="Изысканная таблица1212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3121">
    <w:name w:val="Нет списка113121"/>
    <w:next w:val="a2"/>
    <w:uiPriority w:val="99"/>
    <w:semiHidden/>
    <w:unhideWhenUsed/>
    <w:rsid w:val="003E719A"/>
  </w:style>
  <w:style w:type="table" w:customStyle="1" w:styleId="1121210">
    <w:name w:val="Сетка таблицы112121"/>
    <w:basedOn w:val="a1"/>
    <w:next w:val="aff0"/>
    <w:uiPriority w:val="5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21210">
    <w:name w:val="Нет списка212121"/>
    <w:next w:val="a2"/>
    <w:uiPriority w:val="99"/>
    <w:semiHidden/>
    <w:unhideWhenUsed/>
    <w:rsid w:val="003E719A"/>
  </w:style>
  <w:style w:type="numbering" w:customStyle="1" w:styleId="1112121">
    <w:name w:val="Нет списка1112121"/>
    <w:next w:val="a2"/>
    <w:uiPriority w:val="99"/>
    <w:semiHidden/>
    <w:unhideWhenUsed/>
    <w:rsid w:val="003E719A"/>
  </w:style>
  <w:style w:type="numbering" w:customStyle="1" w:styleId="321210">
    <w:name w:val="Нет списка32121"/>
    <w:next w:val="a2"/>
    <w:uiPriority w:val="99"/>
    <w:semiHidden/>
    <w:unhideWhenUsed/>
    <w:rsid w:val="003E719A"/>
  </w:style>
  <w:style w:type="table" w:customStyle="1" w:styleId="221213">
    <w:name w:val="Изысканная таблица2212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2121">
    <w:name w:val="Нет списка122121"/>
    <w:next w:val="a2"/>
    <w:uiPriority w:val="99"/>
    <w:semiHidden/>
    <w:unhideWhenUsed/>
    <w:rsid w:val="003E719A"/>
  </w:style>
  <w:style w:type="numbering" w:customStyle="1" w:styleId="421210">
    <w:name w:val="Нет списка42121"/>
    <w:next w:val="a2"/>
    <w:uiPriority w:val="99"/>
    <w:semiHidden/>
    <w:unhideWhenUsed/>
    <w:rsid w:val="003E719A"/>
  </w:style>
  <w:style w:type="table" w:customStyle="1" w:styleId="321211">
    <w:name w:val="Изысканная таблица3212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2121">
    <w:name w:val="Нет списка132121"/>
    <w:next w:val="a2"/>
    <w:uiPriority w:val="99"/>
    <w:semiHidden/>
    <w:unhideWhenUsed/>
    <w:rsid w:val="003E719A"/>
  </w:style>
  <w:style w:type="numbering" w:customStyle="1" w:styleId="521210">
    <w:name w:val="Нет списка52121"/>
    <w:next w:val="a2"/>
    <w:uiPriority w:val="99"/>
    <w:semiHidden/>
    <w:unhideWhenUsed/>
    <w:rsid w:val="003E719A"/>
  </w:style>
  <w:style w:type="table" w:customStyle="1" w:styleId="421211">
    <w:name w:val="Изысканная таблица4212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2121">
    <w:name w:val="Нет списка142121"/>
    <w:next w:val="a2"/>
    <w:uiPriority w:val="99"/>
    <w:semiHidden/>
    <w:unhideWhenUsed/>
    <w:rsid w:val="003E719A"/>
  </w:style>
  <w:style w:type="numbering" w:customStyle="1" w:styleId="621210">
    <w:name w:val="Нет списка62121"/>
    <w:next w:val="a2"/>
    <w:uiPriority w:val="99"/>
    <w:semiHidden/>
    <w:unhideWhenUsed/>
    <w:rsid w:val="003E719A"/>
  </w:style>
  <w:style w:type="table" w:customStyle="1" w:styleId="521211">
    <w:name w:val="Изысканная таблица5212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2121">
    <w:name w:val="Нет списка152121"/>
    <w:next w:val="a2"/>
    <w:uiPriority w:val="99"/>
    <w:semiHidden/>
    <w:unhideWhenUsed/>
    <w:rsid w:val="003E719A"/>
  </w:style>
  <w:style w:type="numbering" w:customStyle="1" w:styleId="721210">
    <w:name w:val="Нет списка72121"/>
    <w:next w:val="a2"/>
    <w:uiPriority w:val="99"/>
    <w:semiHidden/>
    <w:unhideWhenUsed/>
    <w:rsid w:val="003E719A"/>
  </w:style>
  <w:style w:type="table" w:customStyle="1" w:styleId="621211">
    <w:name w:val="Изысканная таблица6212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2121">
    <w:name w:val="Нет списка162121"/>
    <w:next w:val="a2"/>
    <w:uiPriority w:val="99"/>
    <w:semiHidden/>
    <w:unhideWhenUsed/>
    <w:rsid w:val="003E719A"/>
  </w:style>
  <w:style w:type="table" w:customStyle="1" w:styleId="2121211">
    <w:name w:val="Сетка таблицы21212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12">
    <w:name w:val="Сетка таблицы3212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121">
    <w:name w:val="Сетка таблицы22212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12">
    <w:name w:val="Сетка таблицы4212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12">
    <w:name w:val="Сетка таблицы5212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12">
    <w:name w:val="Сетка таблицы62121"/>
    <w:basedOn w:val="a1"/>
    <w:next w:val="aff0"/>
    <w:uiPriority w:val="3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11">
    <w:name w:val="Сетка таблицы72121"/>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1">
    <w:name w:val="Светлая заливка - Акцент 12121"/>
    <w:basedOn w:val="a1"/>
    <w:next w:val="-1"/>
    <w:uiPriority w:val="60"/>
    <w:rsid w:val="003E719A"/>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2121">
    <w:name w:val="Сетка таблицы8212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121">
    <w:name w:val="Сетка таблицы9212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210">
    <w:name w:val="Сетка таблицы121121"/>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10">
    <w:name w:val="Нет списка81121"/>
    <w:next w:val="a2"/>
    <w:uiPriority w:val="99"/>
    <w:semiHidden/>
    <w:unhideWhenUsed/>
    <w:rsid w:val="003E719A"/>
  </w:style>
  <w:style w:type="table" w:customStyle="1" w:styleId="101121">
    <w:name w:val="Сетка таблицы101121"/>
    <w:basedOn w:val="a1"/>
    <w:next w:val="aff0"/>
    <w:uiPriority w:val="3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12">
    <w:name w:val="Изысканная таблица7112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1121">
    <w:name w:val="Нет списка171121"/>
    <w:next w:val="a2"/>
    <w:uiPriority w:val="99"/>
    <w:semiHidden/>
    <w:unhideWhenUsed/>
    <w:rsid w:val="003E719A"/>
  </w:style>
  <w:style w:type="table" w:customStyle="1" w:styleId="1311210">
    <w:name w:val="Сетка таблицы131121"/>
    <w:basedOn w:val="a1"/>
    <w:next w:val="aff0"/>
    <w:uiPriority w:val="3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11210">
    <w:name w:val="Нет списка221121"/>
    <w:next w:val="a2"/>
    <w:uiPriority w:val="99"/>
    <w:semiHidden/>
    <w:unhideWhenUsed/>
    <w:rsid w:val="003E719A"/>
  </w:style>
  <w:style w:type="table" w:customStyle="1" w:styleId="231121">
    <w:name w:val="Сетка таблицы231121"/>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13">
    <w:name w:val="Изысканная таблица11112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1121">
    <w:name w:val="Нет списка1121121"/>
    <w:next w:val="a2"/>
    <w:uiPriority w:val="99"/>
    <w:semiHidden/>
    <w:unhideWhenUsed/>
    <w:rsid w:val="003E719A"/>
  </w:style>
  <w:style w:type="table" w:customStyle="1" w:styleId="11111210">
    <w:name w:val="Сетка таблицы1111121"/>
    <w:basedOn w:val="a1"/>
    <w:next w:val="aff0"/>
    <w:uiPriority w:val="5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11210">
    <w:name w:val="Нет списка2111121"/>
    <w:next w:val="a2"/>
    <w:uiPriority w:val="99"/>
    <w:semiHidden/>
    <w:unhideWhenUsed/>
    <w:rsid w:val="003E719A"/>
  </w:style>
  <w:style w:type="numbering" w:customStyle="1" w:styleId="11111121">
    <w:name w:val="Нет списка11111121"/>
    <w:next w:val="a2"/>
    <w:uiPriority w:val="99"/>
    <w:semiHidden/>
    <w:unhideWhenUsed/>
    <w:rsid w:val="003E719A"/>
  </w:style>
  <w:style w:type="numbering" w:customStyle="1" w:styleId="3111210">
    <w:name w:val="Нет списка311121"/>
    <w:next w:val="a2"/>
    <w:uiPriority w:val="99"/>
    <w:semiHidden/>
    <w:unhideWhenUsed/>
    <w:rsid w:val="003E719A"/>
  </w:style>
  <w:style w:type="table" w:customStyle="1" w:styleId="2111212">
    <w:name w:val="Изысканная таблица21112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1121">
    <w:name w:val="Нет списка1211121"/>
    <w:next w:val="a2"/>
    <w:uiPriority w:val="99"/>
    <w:semiHidden/>
    <w:unhideWhenUsed/>
    <w:rsid w:val="003E719A"/>
  </w:style>
  <w:style w:type="numbering" w:customStyle="1" w:styleId="4111210">
    <w:name w:val="Нет списка411121"/>
    <w:next w:val="a2"/>
    <w:uiPriority w:val="99"/>
    <w:semiHidden/>
    <w:unhideWhenUsed/>
    <w:rsid w:val="003E719A"/>
  </w:style>
  <w:style w:type="table" w:customStyle="1" w:styleId="3111211">
    <w:name w:val="Изысканная таблица31112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1121">
    <w:name w:val="Нет списка1311121"/>
    <w:next w:val="a2"/>
    <w:uiPriority w:val="99"/>
    <w:semiHidden/>
    <w:unhideWhenUsed/>
    <w:rsid w:val="003E719A"/>
  </w:style>
  <w:style w:type="numbering" w:customStyle="1" w:styleId="5111210">
    <w:name w:val="Нет списка511121"/>
    <w:next w:val="a2"/>
    <w:uiPriority w:val="99"/>
    <w:semiHidden/>
    <w:unhideWhenUsed/>
    <w:rsid w:val="003E719A"/>
  </w:style>
  <w:style w:type="table" w:customStyle="1" w:styleId="4111211">
    <w:name w:val="Изысканная таблица41112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1121">
    <w:name w:val="Нет списка1411121"/>
    <w:next w:val="a2"/>
    <w:uiPriority w:val="99"/>
    <w:semiHidden/>
    <w:unhideWhenUsed/>
    <w:rsid w:val="003E719A"/>
  </w:style>
  <w:style w:type="numbering" w:customStyle="1" w:styleId="6111210">
    <w:name w:val="Нет списка611121"/>
    <w:next w:val="a2"/>
    <w:uiPriority w:val="99"/>
    <w:semiHidden/>
    <w:unhideWhenUsed/>
    <w:rsid w:val="003E719A"/>
  </w:style>
  <w:style w:type="table" w:customStyle="1" w:styleId="5111211">
    <w:name w:val="Изысканная таблица51112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1121">
    <w:name w:val="Нет списка1511121"/>
    <w:next w:val="a2"/>
    <w:uiPriority w:val="99"/>
    <w:semiHidden/>
    <w:unhideWhenUsed/>
    <w:rsid w:val="003E719A"/>
  </w:style>
  <w:style w:type="numbering" w:customStyle="1" w:styleId="7111210">
    <w:name w:val="Нет списка711121"/>
    <w:next w:val="a2"/>
    <w:uiPriority w:val="99"/>
    <w:semiHidden/>
    <w:unhideWhenUsed/>
    <w:rsid w:val="003E719A"/>
  </w:style>
  <w:style w:type="table" w:customStyle="1" w:styleId="6111211">
    <w:name w:val="Изысканная таблица61112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1121">
    <w:name w:val="Нет списка1611121"/>
    <w:next w:val="a2"/>
    <w:uiPriority w:val="99"/>
    <w:semiHidden/>
    <w:unhideWhenUsed/>
    <w:rsid w:val="003E719A"/>
  </w:style>
  <w:style w:type="table" w:customStyle="1" w:styleId="21111211">
    <w:name w:val="Сетка таблицы211112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12">
    <w:name w:val="Сетка таблицы31112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21">
    <w:name w:val="Сетка таблицы221112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12">
    <w:name w:val="Сетка таблицы41112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212">
    <w:name w:val="Сетка таблицы51112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212">
    <w:name w:val="Сетка таблицы611121"/>
    <w:basedOn w:val="a1"/>
    <w:next w:val="aff0"/>
    <w:uiPriority w:val="3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211">
    <w:name w:val="Сетка таблицы711121"/>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1">
    <w:name w:val="Светлая заливка - Акцент 111121"/>
    <w:basedOn w:val="a1"/>
    <w:next w:val="-1"/>
    <w:uiPriority w:val="60"/>
    <w:rsid w:val="003E719A"/>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1121">
    <w:name w:val="Сетка таблицы81112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121">
    <w:name w:val="Сетка таблицы91112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110">
    <w:name w:val="Нет списка2011"/>
    <w:next w:val="a2"/>
    <w:uiPriority w:val="99"/>
    <w:semiHidden/>
    <w:unhideWhenUsed/>
    <w:rsid w:val="003E719A"/>
  </w:style>
  <w:style w:type="table" w:customStyle="1" w:styleId="18110">
    <w:name w:val="Сетка таблицы1811"/>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4">
    <w:name w:val="Изысканная таблица10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0110">
    <w:name w:val="Нет списка11011"/>
    <w:next w:val="a2"/>
    <w:uiPriority w:val="99"/>
    <w:semiHidden/>
    <w:unhideWhenUsed/>
    <w:rsid w:val="003E719A"/>
  </w:style>
  <w:style w:type="table" w:customStyle="1" w:styleId="19111">
    <w:name w:val="Сетка таблицы1911"/>
    <w:basedOn w:val="a1"/>
    <w:next w:val="aff0"/>
    <w:uiPriority w:val="3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5111">
    <w:name w:val="Нет списка2511"/>
    <w:next w:val="a2"/>
    <w:uiPriority w:val="99"/>
    <w:semiHidden/>
    <w:unhideWhenUsed/>
    <w:rsid w:val="003E719A"/>
  </w:style>
  <w:style w:type="table" w:customStyle="1" w:styleId="26110">
    <w:name w:val="Сетка таблицы2611"/>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15">
    <w:name w:val="Изысканная таблица14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511">
    <w:name w:val="Нет списка11511"/>
    <w:next w:val="a2"/>
    <w:uiPriority w:val="99"/>
    <w:semiHidden/>
    <w:unhideWhenUsed/>
    <w:rsid w:val="003E719A"/>
  </w:style>
  <w:style w:type="table" w:customStyle="1" w:styleId="114111">
    <w:name w:val="Сетка таблицы11411"/>
    <w:basedOn w:val="a1"/>
    <w:next w:val="aff0"/>
    <w:uiPriority w:val="5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4110">
    <w:name w:val="Нет списка21411"/>
    <w:next w:val="a2"/>
    <w:uiPriority w:val="99"/>
    <w:semiHidden/>
    <w:unhideWhenUsed/>
    <w:rsid w:val="003E719A"/>
  </w:style>
  <w:style w:type="numbering" w:customStyle="1" w:styleId="111411">
    <w:name w:val="Нет списка111411"/>
    <w:next w:val="a2"/>
    <w:uiPriority w:val="99"/>
    <w:semiHidden/>
    <w:unhideWhenUsed/>
    <w:rsid w:val="003E719A"/>
  </w:style>
  <w:style w:type="numbering" w:customStyle="1" w:styleId="34110">
    <w:name w:val="Нет списка3411"/>
    <w:next w:val="a2"/>
    <w:uiPriority w:val="99"/>
    <w:semiHidden/>
    <w:unhideWhenUsed/>
    <w:rsid w:val="003E719A"/>
  </w:style>
  <w:style w:type="table" w:customStyle="1" w:styleId="24113">
    <w:name w:val="Изысканная таблица24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411">
    <w:name w:val="Нет списка12411"/>
    <w:next w:val="a2"/>
    <w:uiPriority w:val="99"/>
    <w:semiHidden/>
    <w:unhideWhenUsed/>
    <w:rsid w:val="003E719A"/>
  </w:style>
  <w:style w:type="numbering" w:customStyle="1" w:styleId="44110">
    <w:name w:val="Нет списка4411"/>
    <w:next w:val="a2"/>
    <w:uiPriority w:val="99"/>
    <w:semiHidden/>
    <w:unhideWhenUsed/>
    <w:rsid w:val="003E719A"/>
  </w:style>
  <w:style w:type="table" w:customStyle="1" w:styleId="34111">
    <w:name w:val="Изысканная таблица34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411">
    <w:name w:val="Нет списка13411"/>
    <w:next w:val="a2"/>
    <w:uiPriority w:val="99"/>
    <w:semiHidden/>
    <w:unhideWhenUsed/>
    <w:rsid w:val="003E719A"/>
  </w:style>
  <w:style w:type="numbering" w:customStyle="1" w:styleId="54110">
    <w:name w:val="Нет списка5411"/>
    <w:next w:val="a2"/>
    <w:uiPriority w:val="99"/>
    <w:semiHidden/>
    <w:unhideWhenUsed/>
    <w:rsid w:val="003E719A"/>
  </w:style>
  <w:style w:type="table" w:customStyle="1" w:styleId="44111">
    <w:name w:val="Изысканная таблица44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411">
    <w:name w:val="Нет списка14411"/>
    <w:next w:val="a2"/>
    <w:uiPriority w:val="99"/>
    <w:semiHidden/>
    <w:unhideWhenUsed/>
    <w:rsid w:val="003E719A"/>
  </w:style>
  <w:style w:type="numbering" w:customStyle="1" w:styleId="64110">
    <w:name w:val="Нет списка6411"/>
    <w:next w:val="a2"/>
    <w:uiPriority w:val="99"/>
    <w:semiHidden/>
    <w:unhideWhenUsed/>
    <w:rsid w:val="003E719A"/>
  </w:style>
  <w:style w:type="table" w:customStyle="1" w:styleId="54111">
    <w:name w:val="Изысканная таблица54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411">
    <w:name w:val="Нет списка15411"/>
    <w:next w:val="a2"/>
    <w:uiPriority w:val="99"/>
    <w:semiHidden/>
    <w:unhideWhenUsed/>
    <w:rsid w:val="003E719A"/>
  </w:style>
  <w:style w:type="numbering" w:customStyle="1" w:styleId="74110">
    <w:name w:val="Нет списка7411"/>
    <w:next w:val="a2"/>
    <w:uiPriority w:val="99"/>
    <w:semiHidden/>
    <w:unhideWhenUsed/>
    <w:rsid w:val="003E719A"/>
  </w:style>
  <w:style w:type="table" w:customStyle="1" w:styleId="64111">
    <w:name w:val="Изысканная таблица64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411">
    <w:name w:val="Нет списка16411"/>
    <w:next w:val="a2"/>
    <w:uiPriority w:val="99"/>
    <w:semiHidden/>
    <w:unhideWhenUsed/>
    <w:rsid w:val="003E719A"/>
  </w:style>
  <w:style w:type="table" w:customStyle="1" w:styleId="214111">
    <w:name w:val="Сетка таблицы2141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2">
    <w:name w:val="Сетка таблицы341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11">
    <w:name w:val="Сетка таблицы2241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12">
    <w:name w:val="Сетка таблицы441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112">
    <w:name w:val="Сетка таблицы541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112">
    <w:name w:val="Сетка таблицы6411"/>
    <w:basedOn w:val="a1"/>
    <w:next w:val="aff0"/>
    <w:uiPriority w:val="3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111">
    <w:name w:val="Сетка таблицы7411"/>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1">
    <w:name w:val="Светлая заливка - Акцент 1411"/>
    <w:basedOn w:val="a1"/>
    <w:next w:val="-1"/>
    <w:uiPriority w:val="60"/>
    <w:rsid w:val="003E719A"/>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4110">
    <w:name w:val="Сетка таблицы841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11">
    <w:name w:val="Сетка таблицы941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10">
    <w:name w:val="Сетка таблицы12311"/>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111">
    <w:name w:val="Нет списка8311"/>
    <w:next w:val="a2"/>
    <w:uiPriority w:val="99"/>
    <w:semiHidden/>
    <w:unhideWhenUsed/>
    <w:rsid w:val="003E719A"/>
  </w:style>
  <w:style w:type="table" w:customStyle="1" w:styleId="10311">
    <w:name w:val="Сетка таблицы10311"/>
    <w:basedOn w:val="a1"/>
    <w:next w:val="aff0"/>
    <w:uiPriority w:val="3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12">
    <w:name w:val="Изысканная таблица73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311">
    <w:name w:val="Нет списка17311"/>
    <w:next w:val="a2"/>
    <w:uiPriority w:val="99"/>
    <w:semiHidden/>
    <w:unhideWhenUsed/>
    <w:rsid w:val="003E719A"/>
  </w:style>
  <w:style w:type="table" w:customStyle="1" w:styleId="133111">
    <w:name w:val="Сетка таблицы13311"/>
    <w:basedOn w:val="a1"/>
    <w:next w:val="aff0"/>
    <w:uiPriority w:val="3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3110">
    <w:name w:val="Нет списка22311"/>
    <w:next w:val="a2"/>
    <w:uiPriority w:val="99"/>
    <w:semiHidden/>
    <w:unhideWhenUsed/>
    <w:rsid w:val="003E719A"/>
  </w:style>
  <w:style w:type="table" w:customStyle="1" w:styleId="23311">
    <w:name w:val="Сетка таблицы23311"/>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13">
    <w:name w:val="Изысканная таблица113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311">
    <w:name w:val="Нет списка112311"/>
    <w:next w:val="a2"/>
    <w:uiPriority w:val="99"/>
    <w:semiHidden/>
    <w:unhideWhenUsed/>
    <w:rsid w:val="003E719A"/>
  </w:style>
  <w:style w:type="table" w:customStyle="1" w:styleId="1113111">
    <w:name w:val="Сетка таблицы111311"/>
    <w:basedOn w:val="a1"/>
    <w:next w:val="aff0"/>
    <w:uiPriority w:val="5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3110">
    <w:name w:val="Нет списка211311"/>
    <w:next w:val="a2"/>
    <w:uiPriority w:val="99"/>
    <w:semiHidden/>
    <w:unhideWhenUsed/>
    <w:rsid w:val="003E719A"/>
  </w:style>
  <w:style w:type="numbering" w:customStyle="1" w:styleId="11113110">
    <w:name w:val="Нет списка1111311"/>
    <w:next w:val="a2"/>
    <w:uiPriority w:val="99"/>
    <w:semiHidden/>
    <w:unhideWhenUsed/>
    <w:rsid w:val="003E719A"/>
  </w:style>
  <w:style w:type="numbering" w:customStyle="1" w:styleId="313110">
    <w:name w:val="Нет списка31311"/>
    <w:next w:val="a2"/>
    <w:uiPriority w:val="99"/>
    <w:semiHidden/>
    <w:unhideWhenUsed/>
    <w:rsid w:val="003E719A"/>
  </w:style>
  <w:style w:type="table" w:customStyle="1" w:styleId="213112">
    <w:name w:val="Изысканная таблица213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3110">
    <w:name w:val="Нет списка121311"/>
    <w:next w:val="a2"/>
    <w:uiPriority w:val="99"/>
    <w:semiHidden/>
    <w:unhideWhenUsed/>
    <w:rsid w:val="003E719A"/>
  </w:style>
  <w:style w:type="numbering" w:customStyle="1" w:styleId="413110">
    <w:name w:val="Нет списка41311"/>
    <w:next w:val="a2"/>
    <w:uiPriority w:val="99"/>
    <w:semiHidden/>
    <w:unhideWhenUsed/>
    <w:rsid w:val="003E719A"/>
  </w:style>
  <w:style w:type="table" w:customStyle="1" w:styleId="313111">
    <w:name w:val="Изысканная таблица313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311">
    <w:name w:val="Нет списка131311"/>
    <w:next w:val="a2"/>
    <w:uiPriority w:val="99"/>
    <w:semiHidden/>
    <w:unhideWhenUsed/>
    <w:rsid w:val="003E719A"/>
  </w:style>
  <w:style w:type="numbering" w:customStyle="1" w:styleId="513110">
    <w:name w:val="Нет списка51311"/>
    <w:next w:val="a2"/>
    <w:uiPriority w:val="99"/>
    <w:semiHidden/>
    <w:unhideWhenUsed/>
    <w:rsid w:val="003E719A"/>
  </w:style>
  <w:style w:type="table" w:customStyle="1" w:styleId="413111">
    <w:name w:val="Изысканная таблица413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311">
    <w:name w:val="Нет списка141311"/>
    <w:next w:val="a2"/>
    <w:uiPriority w:val="99"/>
    <w:semiHidden/>
    <w:unhideWhenUsed/>
    <w:rsid w:val="003E719A"/>
  </w:style>
  <w:style w:type="numbering" w:customStyle="1" w:styleId="613110">
    <w:name w:val="Нет списка61311"/>
    <w:next w:val="a2"/>
    <w:uiPriority w:val="99"/>
    <w:semiHidden/>
    <w:unhideWhenUsed/>
    <w:rsid w:val="003E719A"/>
  </w:style>
  <w:style w:type="table" w:customStyle="1" w:styleId="513111">
    <w:name w:val="Изысканная таблица513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311">
    <w:name w:val="Нет списка151311"/>
    <w:next w:val="a2"/>
    <w:uiPriority w:val="99"/>
    <w:semiHidden/>
    <w:unhideWhenUsed/>
    <w:rsid w:val="003E719A"/>
  </w:style>
  <w:style w:type="numbering" w:customStyle="1" w:styleId="713110">
    <w:name w:val="Нет списка71311"/>
    <w:next w:val="a2"/>
    <w:uiPriority w:val="99"/>
    <w:semiHidden/>
    <w:unhideWhenUsed/>
    <w:rsid w:val="003E719A"/>
  </w:style>
  <w:style w:type="table" w:customStyle="1" w:styleId="613111">
    <w:name w:val="Изысканная таблица613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311">
    <w:name w:val="Нет списка161311"/>
    <w:next w:val="a2"/>
    <w:uiPriority w:val="99"/>
    <w:semiHidden/>
    <w:unhideWhenUsed/>
    <w:rsid w:val="003E719A"/>
  </w:style>
  <w:style w:type="table" w:customStyle="1" w:styleId="2113111">
    <w:name w:val="Сетка таблицы21131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12">
    <w:name w:val="Сетка таблицы3131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110">
    <w:name w:val="Сетка таблицы22131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12">
    <w:name w:val="Сетка таблицы4131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112">
    <w:name w:val="Сетка таблицы5131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112">
    <w:name w:val="Сетка таблицы61311"/>
    <w:basedOn w:val="a1"/>
    <w:next w:val="aff0"/>
    <w:uiPriority w:val="3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111">
    <w:name w:val="Сетка таблицы71311"/>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1">
    <w:name w:val="Светлая заливка - Акцент 11311"/>
    <w:basedOn w:val="a1"/>
    <w:next w:val="-1"/>
    <w:uiPriority w:val="60"/>
    <w:rsid w:val="003E719A"/>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3110">
    <w:name w:val="Сетка таблицы8131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311">
    <w:name w:val="Сетка таблицы9131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110">
    <w:name w:val="Нет списка9211"/>
    <w:next w:val="a2"/>
    <w:uiPriority w:val="99"/>
    <w:semiHidden/>
    <w:unhideWhenUsed/>
    <w:rsid w:val="003E719A"/>
  </w:style>
  <w:style w:type="table" w:customStyle="1" w:styleId="142110">
    <w:name w:val="Сетка таблицы14211"/>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113">
    <w:name w:val="Изысканная таблица82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8211">
    <w:name w:val="Нет списка18211"/>
    <w:next w:val="a2"/>
    <w:uiPriority w:val="99"/>
    <w:semiHidden/>
    <w:unhideWhenUsed/>
    <w:rsid w:val="003E719A"/>
  </w:style>
  <w:style w:type="table" w:customStyle="1" w:styleId="152110">
    <w:name w:val="Сетка таблицы15211"/>
    <w:basedOn w:val="a1"/>
    <w:next w:val="aff0"/>
    <w:uiPriority w:val="3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32111">
    <w:name w:val="Нет списка23211"/>
    <w:next w:val="a2"/>
    <w:uiPriority w:val="99"/>
    <w:semiHidden/>
    <w:unhideWhenUsed/>
    <w:rsid w:val="003E719A"/>
  </w:style>
  <w:style w:type="table" w:customStyle="1" w:styleId="242110">
    <w:name w:val="Сетка таблицы24211"/>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13">
    <w:name w:val="Изысканная таблица122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32110">
    <w:name w:val="Нет списка113211"/>
    <w:next w:val="a2"/>
    <w:uiPriority w:val="99"/>
    <w:semiHidden/>
    <w:unhideWhenUsed/>
    <w:rsid w:val="003E719A"/>
  </w:style>
  <w:style w:type="table" w:customStyle="1" w:styleId="1122111">
    <w:name w:val="Сетка таблицы112211"/>
    <w:basedOn w:val="a1"/>
    <w:next w:val="aff0"/>
    <w:uiPriority w:val="5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22110">
    <w:name w:val="Нет списка212211"/>
    <w:next w:val="a2"/>
    <w:uiPriority w:val="99"/>
    <w:semiHidden/>
    <w:unhideWhenUsed/>
    <w:rsid w:val="003E719A"/>
  </w:style>
  <w:style w:type="numbering" w:customStyle="1" w:styleId="1112211">
    <w:name w:val="Нет списка1112211"/>
    <w:next w:val="a2"/>
    <w:uiPriority w:val="99"/>
    <w:semiHidden/>
    <w:unhideWhenUsed/>
    <w:rsid w:val="003E719A"/>
  </w:style>
  <w:style w:type="numbering" w:customStyle="1" w:styleId="322110">
    <w:name w:val="Нет списка32211"/>
    <w:next w:val="a2"/>
    <w:uiPriority w:val="99"/>
    <w:semiHidden/>
    <w:unhideWhenUsed/>
    <w:rsid w:val="003E719A"/>
  </w:style>
  <w:style w:type="table" w:customStyle="1" w:styleId="222113">
    <w:name w:val="Изысканная таблица222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22110">
    <w:name w:val="Нет списка122211"/>
    <w:next w:val="a2"/>
    <w:uiPriority w:val="99"/>
    <w:semiHidden/>
    <w:unhideWhenUsed/>
    <w:rsid w:val="003E719A"/>
  </w:style>
  <w:style w:type="numbering" w:customStyle="1" w:styleId="422110">
    <w:name w:val="Нет списка42211"/>
    <w:next w:val="a2"/>
    <w:uiPriority w:val="99"/>
    <w:semiHidden/>
    <w:unhideWhenUsed/>
    <w:rsid w:val="003E719A"/>
  </w:style>
  <w:style w:type="table" w:customStyle="1" w:styleId="322111">
    <w:name w:val="Изысканная таблица322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2211">
    <w:name w:val="Нет списка132211"/>
    <w:next w:val="a2"/>
    <w:uiPriority w:val="99"/>
    <w:semiHidden/>
    <w:unhideWhenUsed/>
    <w:rsid w:val="003E719A"/>
  </w:style>
  <w:style w:type="numbering" w:customStyle="1" w:styleId="522110">
    <w:name w:val="Нет списка52211"/>
    <w:next w:val="a2"/>
    <w:uiPriority w:val="99"/>
    <w:semiHidden/>
    <w:unhideWhenUsed/>
    <w:rsid w:val="003E719A"/>
  </w:style>
  <w:style w:type="table" w:customStyle="1" w:styleId="422111">
    <w:name w:val="Изысканная таблица422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2211">
    <w:name w:val="Нет списка142211"/>
    <w:next w:val="a2"/>
    <w:uiPriority w:val="99"/>
    <w:semiHidden/>
    <w:unhideWhenUsed/>
    <w:rsid w:val="003E719A"/>
  </w:style>
  <w:style w:type="numbering" w:customStyle="1" w:styleId="622110">
    <w:name w:val="Нет списка62211"/>
    <w:next w:val="a2"/>
    <w:uiPriority w:val="99"/>
    <w:semiHidden/>
    <w:unhideWhenUsed/>
    <w:rsid w:val="003E719A"/>
  </w:style>
  <w:style w:type="table" w:customStyle="1" w:styleId="522111">
    <w:name w:val="Изысканная таблица522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2211">
    <w:name w:val="Нет списка152211"/>
    <w:next w:val="a2"/>
    <w:uiPriority w:val="99"/>
    <w:semiHidden/>
    <w:unhideWhenUsed/>
    <w:rsid w:val="003E719A"/>
  </w:style>
  <w:style w:type="numbering" w:customStyle="1" w:styleId="722110">
    <w:name w:val="Нет списка72211"/>
    <w:next w:val="a2"/>
    <w:uiPriority w:val="99"/>
    <w:semiHidden/>
    <w:unhideWhenUsed/>
    <w:rsid w:val="003E719A"/>
  </w:style>
  <w:style w:type="table" w:customStyle="1" w:styleId="622111">
    <w:name w:val="Изысканная таблица622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2211">
    <w:name w:val="Нет списка162211"/>
    <w:next w:val="a2"/>
    <w:uiPriority w:val="99"/>
    <w:semiHidden/>
    <w:unhideWhenUsed/>
    <w:rsid w:val="003E719A"/>
  </w:style>
  <w:style w:type="table" w:customStyle="1" w:styleId="2122111">
    <w:name w:val="Сетка таблицы21221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2">
    <w:name w:val="Сетка таблицы3221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110">
    <w:name w:val="Сетка таблицы22221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12">
    <w:name w:val="Сетка таблицы4221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112">
    <w:name w:val="Сетка таблицы5221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112">
    <w:name w:val="Сетка таблицы62211"/>
    <w:basedOn w:val="a1"/>
    <w:next w:val="aff0"/>
    <w:uiPriority w:val="3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111">
    <w:name w:val="Сетка таблицы72211"/>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1">
    <w:name w:val="Светлая заливка - Акцент 12211"/>
    <w:basedOn w:val="a1"/>
    <w:next w:val="-1"/>
    <w:uiPriority w:val="60"/>
    <w:rsid w:val="003E719A"/>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22110">
    <w:name w:val="Сетка таблицы8221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211">
    <w:name w:val="Сетка таблицы9221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110">
    <w:name w:val="Сетка таблицы121211"/>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10">
    <w:name w:val="Нет списка81211"/>
    <w:next w:val="a2"/>
    <w:uiPriority w:val="99"/>
    <w:semiHidden/>
    <w:unhideWhenUsed/>
    <w:rsid w:val="003E719A"/>
  </w:style>
  <w:style w:type="table" w:customStyle="1" w:styleId="101211">
    <w:name w:val="Сетка таблицы101211"/>
    <w:basedOn w:val="a1"/>
    <w:next w:val="aff0"/>
    <w:uiPriority w:val="3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112">
    <w:name w:val="Изысканная таблица712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1211">
    <w:name w:val="Нет списка171211"/>
    <w:next w:val="a2"/>
    <w:uiPriority w:val="99"/>
    <w:semiHidden/>
    <w:unhideWhenUsed/>
    <w:rsid w:val="003E719A"/>
  </w:style>
  <w:style w:type="table" w:customStyle="1" w:styleId="1312110">
    <w:name w:val="Сетка таблицы131211"/>
    <w:basedOn w:val="a1"/>
    <w:next w:val="aff0"/>
    <w:uiPriority w:val="3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12110">
    <w:name w:val="Нет списка221211"/>
    <w:next w:val="a2"/>
    <w:uiPriority w:val="99"/>
    <w:semiHidden/>
    <w:unhideWhenUsed/>
    <w:rsid w:val="003E719A"/>
  </w:style>
  <w:style w:type="table" w:customStyle="1" w:styleId="231211">
    <w:name w:val="Сетка таблицы231211"/>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13">
    <w:name w:val="Изысканная таблица1112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1211">
    <w:name w:val="Нет списка1121211"/>
    <w:next w:val="a2"/>
    <w:uiPriority w:val="99"/>
    <w:semiHidden/>
    <w:unhideWhenUsed/>
    <w:rsid w:val="003E719A"/>
  </w:style>
  <w:style w:type="table" w:customStyle="1" w:styleId="11112110">
    <w:name w:val="Сетка таблицы1111211"/>
    <w:basedOn w:val="a1"/>
    <w:next w:val="aff0"/>
    <w:uiPriority w:val="5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12110">
    <w:name w:val="Нет списка2111211"/>
    <w:next w:val="a2"/>
    <w:uiPriority w:val="99"/>
    <w:semiHidden/>
    <w:unhideWhenUsed/>
    <w:rsid w:val="003E719A"/>
  </w:style>
  <w:style w:type="numbering" w:customStyle="1" w:styleId="11111211">
    <w:name w:val="Нет списка11111211"/>
    <w:next w:val="a2"/>
    <w:uiPriority w:val="99"/>
    <w:semiHidden/>
    <w:unhideWhenUsed/>
    <w:rsid w:val="003E719A"/>
  </w:style>
  <w:style w:type="numbering" w:customStyle="1" w:styleId="3112110">
    <w:name w:val="Нет списка311211"/>
    <w:next w:val="a2"/>
    <w:uiPriority w:val="99"/>
    <w:semiHidden/>
    <w:unhideWhenUsed/>
    <w:rsid w:val="003E719A"/>
  </w:style>
  <w:style w:type="table" w:customStyle="1" w:styleId="2112112">
    <w:name w:val="Изысканная таблица2112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1211">
    <w:name w:val="Нет списка1211211"/>
    <w:next w:val="a2"/>
    <w:uiPriority w:val="99"/>
    <w:semiHidden/>
    <w:unhideWhenUsed/>
    <w:rsid w:val="003E719A"/>
  </w:style>
  <w:style w:type="numbering" w:customStyle="1" w:styleId="4112110">
    <w:name w:val="Нет списка411211"/>
    <w:next w:val="a2"/>
    <w:uiPriority w:val="99"/>
    <w:semiHidden/>
    <w:unhideWhenUsed/>
    <w:rsid w:val="003E719A"/>
  </w:style>
  <w:style w:type="table" w:customStyle="1" w:styleId="3112111">
    <w:name w:val="Изысканная таблица3112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1211">
    <w:name w:val="Нет списка1311211"/>
    <w:next w:val="a2"/>
    <w:uiPriority w:val="99"/>
    <w:semiHidden/>
    <w:unhideWhenUsed/>
    <w:rsid w:val="003E719A"/>
  </w:style>
  <w:style w:type="numbering" w:customStyle="1" w:styleId="5112110">
    <w:name w:val="Нет списка511211"/>
    <w:next w:val="a2"/>
    <w:uiPriority w:val="99"/>
    <w:semiHidden/>
    <w:unhideWhenUsed/>
    <w:rsid w:val="003E719A"/>
  </w:style>
  <w:style w:type="table" w:customStyle="1" w:styleId="4112111">
    <w:name w:val="Изысканная таблица4112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1211">
    <w:name w:val="Нет списка1411211"/>
    <w:next w:val="a2"/>
    <w:uiPriority w:val="99"/>
    <w:semiHidden/>
    <w:unhideWhenUsed/>
    <w:rsid w:val="003E719A"/>
  </w:style>
  <w:style w:type="numbering" w:customStyle="1" w:styleId="6112110">
    <w:name w:val="Нет списка611211"/>
    <w:next w:val="a2"/>
    <w:uiPriority w:val="99"/>
    <w:semiHidden/>
    <w:unhideWhenUsed/>
    <w:rsid w:val="003E719A"/>
  </w:style>
  <w:style w:type="table" w:customStyle="1" w:styleId="5112111">
    <w:name w:val="Изысканная таблица5112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1211">
    <w:name w:val="Нет списка1511211"/>
    <w:next w:val="a2"/>
    <w:uiPriority w:val="99"/>
    <w:semiHidden/>
    <w:unhideWhenUsed/>
    <w:rsid w:val="003E719A"/>
  </w:style>
  <w:style w:type="numbering" w:customStyle="1" w:styleId="7112110">
    <w:name w:val="Нет списка711211"/>
    <w:next w:val="a2"/>
    <w:uiPriority w:val="99"/>
    <w:semiHidden/>
    <w:unhideWhenUsed/>
    <w:rsid w:val="003E719A"/>
  </w:style>
  <w:style w:type="table" w:customStyle="1" w:styleId="6112111">
    <w:name w:val="Изысканная таблица6112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1211">
    <w:name w:val="Нет списка1611211"/>
    <w:next w:val="a2"/>
    <w:uiPriority w:val="99"/>
    <w:semiHidden/>
    <w:unhideWhenUsed/>
    <w:rsid w:val="003E719A"/>
  </w:style>
  <w:style w:type="table" w:customStyle="1" w:styleId="21112111">
    <w:name w:val="Сетка таблицы211121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112">
    <w:name w:val="Сетка таблицы31121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211">
    <w:name w:val="Сетка таблицы221121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112">
    <w:name w:val="Сетка таблицы41121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112">
    <w:name w:val="Сетка таблицы51121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112">
    <w:name w:val="Сетка таблицы611211"/>
    <w:basedOn w:val="a1"/>
    <w:next w:val="aff0"/>
    <w:uiPriority w:val="3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111">
    <w:name w:val="Сетка таблицы711211"/>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1">
    <w:name w:val="Светлая заливка - Акцент 111211"/>
    <w:basedOn w:val="a1"/>
    <w:next w:val="-1"/>
    <w:uiPriority w:val="60"/>
    <w:rsid w:val="003E719A"/>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1211">
    <w:name w:val="Сетка таблицы81121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211">
    <w:name w:val="Сетка таблицы91121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10">
    <w:name w:val="Нет списка10111"/>
    <w:next w:val="a2"/>
    <w:uiPriority w:val="99"/>
    <w:semiHidden/>
    <w:unhideWhenUsed/>
    <w:rsid w:val="003E719A"/>
  </w:style>
  <w:style w:type="table" w:customStyle="1" w:styleId="161110">
    <w:name w:val="Сетка таблицы16111"/>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14">
    <w:name w:val="Изысканная таблица91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91110">
    <w:name w:val="Нет списка19111"/>
    <w:next w:val="a2"/>
    <w:uiPriority w:val="99"/>
    <w:semiHidden/>
    <w:unhideWhenUsed/>
    <w:rsid w:val="003E719A"/>
  </w:style>
  <w:style w:type="table" w:customStyle="1" w:styleId="171110">
    <w:name w:val="Сетка таблицы17111"/>
    <w:basedOn w:val="a1"/>
    <w:next w:val="aff0"/>
    <w:uiPriority w:val="3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41111">
    <w:name w:val="Нет списка24111"/>
    <w:next w:val="a2"/>
    <w:uiPriority w:val="99"/>
    <w:semiHidden/>
    <w:unhideWhenUsed/>
    <w:rsid w:val="003E719A"/>
  </w:style>
  <w:style w:type="table" w:customStyle="1" w:styleId="251110">
    <w:name w:val="Сетка таблицы25111"/>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14">
    <w:name w:val="Изысканная таблица131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41110">
    <w:name w:val="Нет списка114111"/>
    <w:next w:val="a2"/>
    <w:uiPriority w:val="99"/>
    <w:semiHidden/>
    <w:unhideWhenUsed/>
    <w:rsid w:val="003E719A"/>
  </w:style>
  <w:style w:type="table" w:customStyle="1" w:styleId="1131111">
    <w:name w:val="Сетка таблицы113111"/>
    <w:basedOn w:val="a1"/>
    <w:next w:val="aff0"/>
    <w:uiPriority w:val="5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31110">
    <w:name w:val="Нет списка213111"/>
    <w:next w:val="a2"/>
    <w:uiPriority w:val="99"/>
    <w:semiHidden/>
    <w:unhideWhenUsed/>
    <w:rsid w:val="003E719A"/>
  </w:style>
  <w:style w:type="numbering" w:customStyle="1" w:styleId="11131110">
    <w:name w:val="Нет списка1113111"/>
    <w:next w:val="a2"/>
    <w:uiPriority w:val="99"/>
    <w:semiHidden/>
    <w:unhideWhenUsed/>
    <w:rsid w:val="003E719A"/>
  </w:style>
  <w:style w:type="numbering" w:customStyle="1" w:styleId="331110">
    <w:name w:val="Нет списка33111"/>
    <w:next w:val="a2"/>
    <w:uiPriority w:val="99"/>
    <w:semiHidden/>
    <w:unhideWhenUsed/>
    <w:rsid w:val="003E719A"/>
  </w:style>
  <w:style w:type="table" w:customStyle="1" w:styleId="231113">
    <w:name w:val="Изысканная таблица231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3111">
    <w:name w:val="Нет списка123111"/>
    <w:next w:val="a2"/>
    <w:uiPriority w:val="99"/>
    <w:semiHidden/>
    <w:unhideWhenUsed/>
    <w:rsid w:val="003E719A"/>
  </w:style>
  <w:style w:type="numbering" w:customStyle="1" w:styleId="431110">
    <w:name w:val="Нет списка43111"/>
    <w:next w:val="a2"/>
    <w:uiPriority w:val="99"/>
    <w:semiHidden/>
    <w:unhideWhenUsed/>
    <w:rsid w:val="003E719A"/>
  </w:style>
  <w:style w:type="table" w:customStyle="1" w:styleId="331111">
    <w:name w:val="Изысканная таблица331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31110">
    <w:name w:val="Нет списка133111"/>
    <w:next w:val="a2"/>
    <w:uiPriority w:val="99"/>
    <w:semiHidden/>
    <w:unhideWhenUsed/>
    <w:rsid w:val="003E719A"/>
  </w:style>
  <w:style w:type="numbering" w:customStyle="1" w:styleId="531110">
    <w:name w:val="Нет списка53111"/>
    <w:next w:val="a2"/>
    <w:uiPriority w:val="99"/>
    <w:semiHidden/>
    <w:unhideWhenUsed/>
    <w:rsid w:val="003E719A"/>
  </w:style>
  <w:style w:type="table" w:customStyle="1" w:styleId="431111">
    <w:name w:val="Изысканная таблица431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3111">
    <w:name w:val="Нет списка143111"/>
    <w:next w:val="a2"/>
    <w:uiPriority w:val="99"/>
    <w:semiHidden/>
    <w:unhideWhenUsed/>
    <w:rsid w:val="003E719A"/>
  </w:style>
  <w:style w:type="numbering" w:customStyle="1" w:styleId="631110">
    <w:name w:val="Нет списка63111"/>
    <w:next w:val="a2"/>
    <w:uiPriority w:val="99"/>
    <w:semiHidden/>
    <w:unhideWhenUsed/>
    <w:rsid w:val="003E719A"/>
  </w:style>
  <w:style w:type="table" w:customStyle="1" w:styleId="531111">
    <w:name w:val="Изысканная таблица531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3111">
    <w:name w:val="Нет списка153111"/>
    <w:next w:val="a2"/>
    <w:uiPriority w:val="99"/>
    <w:semiHidden/>
    <w:unhideWhenUsed/>
    <w:rsid w:val="003E719A"/>
  </w:style>
  <w:style w:type="numbering" w:customStyle="1" w:styleId="731110">
    <w:name w:val="Нет списка73111"/>
    <w:next w:val="a2"/>
    <w:uiPriority w:val="99"/>
    <w:semiHidden/>
    <w:unhideWhenUsed/>
    <w:rsid w:val="003E719A"/>
  </w:style>
  <w:style w:type="table" w:customStyle="1" w:styleId="631111">
    <w:name w:val="Изысканная таблица631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3111">
    <w:name w:val="Нет списка163111"/>
    <w:next w:val="a2"/>
    <w:uiPriority w:val="99"/>
    <w:semiHidden/>
    <w:unhideWhenUsed/>
    <w:rsid w:val="003E719A"/>
  </w:style>
  <w:style w:type="table" w:customStyle="1" w:styleId="2131111">
    <w:name w:val="Сетка таблицы21311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12">
    <w:name w:val="Сетка таблицы3311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111">
    <w:name w:val="Сетка таблицы22311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12">
    <w:name w:val="Сетка таблицы4311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112">
    <w:name w:val="Сетка таблицы5311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112">
    <w:name w:val="Сетка таблицы63111"/>
    <w:basedOn w:val="a1"/>
    <w:next w:val="aff0"/>
    <w:uiPriority w:val="3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111">
    <w:name w:val="Сетка таблицы73111"/>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1">
    <w:name w:val="Светлая заливка - Акцент 13111"/>
    <w:basedOn w:val="a1"/>
    <w:next w:val="-1"/>
    <w:uiPriority w:val="60"/>
    <w:rsid w:val="003E719A"/>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31110">
    <w:name w:val="Сетка таблицы8311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111">
    <w:name w:val="Сетка таблицы9311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111">
    <w:name w:val="Сетка таблицы122111"/>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1111">
    <w:name w:val="Нет списка82111"/>
    <w:next w:val="a2"/>
    <w:uiPriority w:val="99"/>
    <w:semiHidden/>
    <w:unhideWhenUsed/>
    <w:rsid w:val="003E719A"/>
  </w:style>
  <w:style w:type="table" w:customStyle="1" w:styleId="102111">
    <w:name w:val="Сетка таблицы102111"/>
    <w:basedOn w:val="a1"/>
    <w:next w:val="aff0"/>
    <w:uiPriority w:val="3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12">
    <w:name w:val="Изысканная таблица721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2111">
    <w:name w:val="Нет списка172111"/>
    <w:next w:val="a2"/>
    <w:uiPriority w:val="99"/>
    <w:semiHidden/>
    <w:unhideWhenUsed/>
    <w:rsid w:val="003E719A"/>
  </w:style>
  <w:style w:type="table" w:customStyle="1" w:styleId="1321110">
    <w:name w:val="Сетка таблицы132111"/>
    <w:basedOn w:val="a1"/>
    <w:next w:val="aff0"/>
    <w:uiPriority w:val="3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21111">
    <w:name w:val="Нет списка222111"/>
    <w:next w:val="a2"/>
    <w:uiPriority w:val="99"/>
    <w:semiHidden/>
    <w:unhideWhenUsed/>
    <w:rsid w:val="003E719A"/>
  </w:style>
  <w:style w:type="table" w:customStyle="1" w:styleId="2321110">
    <w:name w:val="Сетка таблицы232111"/>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13">
    <w:name w:val="Изысканная таблица1121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21110">
    <w:name w:val="Нет списка1122111"/>
    <w:next w:val="a2"/>
    <w:uiPriority w:val="99"/>
    <w:semiHidden/>
    <w:unhideWhenUsed/>
    <w:rsid w:val="003E719A"/>
  </w:style>
  <w:style w:type="table" w:customStyle="1" w:styleId="11121110">
    <w:name w:val="Сетка таблицы1112111"/>
    <w:basedOn w:val="a1"/>
    <w:next w:val="aff0"/>
    <w:uiPriority w:val="5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21110">
    <w:name w:val="Нет списка2112111"/>
    <w:next w:val="a2"/>
    <w:uiPriority w:val="99"/>
    <w:semiHidden/>
    <w:unhideWhenUsed/>
    <w:rsid w:val="003E719A"/>
  </w:style>
  <w:style w:type="numbering" w:customStyle="1" w:styleId="11112111">
    <w:name w:val="Нет списка11112111"/>
    <w:next w:val="a2"/>
    <w:uiPriority w:val="99"/>
    <w:semiHidden/>
    <w:unhideWhenUsed/>
    <w:rsid w:val="003E719A"/>
  </w:style>
  <w:style w:type="numbering" w:customStyle="1" w:styleId="3121110">
    <w:name w:val="Нет списка312111"/>
    <w:next w:val="a2"/>
    <w:uiPriority w:val="99"/>
    <w:semiHidden/>
    <w:unhideWhenUsed/>
    <w:rsid w:val="003E719A"/>
  </w:style>
  <w:style w:type="table" w:customStyle="1" w:styleId="2121112">
    <w:name w:val="Изысканная таблица2121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2111">
    <w:name w:val="Нет списка1212111"/>
    <w:next w:val="a2"/>
    <w:uiPriority w:val="99"/>
    <w:semiHidden/>
    <w:unhideWhenUsed/>
    <w:rsid w:val="003E719A"/>
  </w:style>
  <w:style w:type="numbering" w:customStyle="1" w:styleId="4121110">
    <w:name w:val="Нет списка412111"/>
    <w:next w:val="a2"/>
    <w:uiPriority w:val="99"/>
    <w:semiHidden/>
    <w:unhideWhenUsed/>
    <w:rsid w:val="003E719A"/>
  </w:style>
  <w:style w:type="table" w:customStyle="1" w:styleId="3121111">
    <w:name w:val="Изысканная таблица3121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2111">
    <w:name w:val="Нет списка1312111"/>
    <w:next w:val="a2"/>
    <w:uiPriority w:val="99"/>
    <w:semiHidden/>
    <w:unhideWhenUsed/>
    <w:rsid w:val="003E719A"/>
  </w:style>
  <w:style w:type="numbering" w:customStyle="1" w:styleId="5121110">
    <w:name w:val="Нет списка512111"/>
    <w:next w:val="a2"/>
    <w:uiPriority w:val="99"/>
    <w:semiHidden/>
    <w:unhideWhenUsed/>
    <w:rsid w:val="003E719A"/>
  </w:style>
  <w:style w:type="table" w:customStyle="1" w:styleId="4121111">
    <w:name w:val="Изысканная таблица4121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2111">
    <w:name w:val="Нет списка1412111"/>
    <w:next w:val="a2"/>
    <w:uiPriority w:val="99"/>
    <w:semiHidden/>
    <w:unhideWhenUsed/>
    <w:rsid w:val="003E719A"/>
  </w:style>
  <w:style w:type="numbering" w:customStyle="1" w:styleId="6121110">
    <w:name w:val="Нет списка612111"/>
    <w:next w:val="a2"/>
    <w:uiPriority w:val="99"/>
    <w:semiHidden/>
    <w:unhideWhenUsed/>
    <w:rsid w:val="003E719A"/>
  </w:style>
  <w:style w:type="table" w:customStyle="1" w:styleId="5121111">
    <w:name w:val="Изысканная таблица5121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2111">
    <w:name w:val="Нет списка1512111"/>
    <w:next w:val="a2"/>
    <w:uiPriority w:val="99"/>
    <w:semiHidden/>
    <w:unhideWhenUsed/>
    <w:rsid w:val="003E719A"/>
  </w:style>
  <w:style w:type="numbering" w:customStyle="1" w:styleId="7121110">
    <w:name w:val="Нет списка712111"/>
    <w:next w:val="a2"/>
    <w:uiPriority w:val="99"/>
    <w:semiHidden/>
    <w:unhideWhenUsed/>
    <w:rsid w:val="003E719A"/>
  </w:style>
  <w:style w:type="table" w:customStyle="1" w:styleId="6121111">
    <w:name w:val="Изысканная таблица6121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2111">
    <w:name w:val="Нет списка1612111"/>
    <w:next w:val="a2"/>
    <w:uiPriority w:val="99"/>
    <w:semiHidden/>
    <w:unhideWhenUsed/>
    <w:rsid w:val="003E719A"/>
  </w:style>
  <w:style w:type="table" w:customStyle="1" w:styleId="21121111">
    <w:name w:val="Сетка таблицы211211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12">
    <w:name w:val="Сетка таблицы31211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111">
    <w:name w:val="Сетка таблицы221211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112">
    <w:name w:val="Сетка таблицы41211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1112">
    <w:name w:val="Сетка таблицы51211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1112">
    <w:name w:val="Сетка таблицы612111"/>
    <w:basedOn w:val="a1"/>
    <w:next w:val="aff0"/>
    <w:uiPriority w:val="3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1111">
    <w:name w:val="Сетка таблицы712111"/>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1">
    <w:name w:val="Светлая заливка - Акцент 112111"/>
    <w:basedOn w:val="a1"/>
    <w:next w:val="-1"/>
    <w:uiPriority w:val="60"/>
    <w:rsid w:val="003E719A"/>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2111">
    <w:name w:val="Сетка таблицы81211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111">
    <w:name w:val="Сетка таблицы91211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110">
    <w:name w:val="Нет списка91111"/>
    <w:next w:val="a2"/>
    <w:uiPriority w:val="99"/>
    <w:semiHidden/>
    <w:unhideWhenUsed/>
    <w:rsid w:val="003E719A"/>
  </w:style>
  <w:style w:type="table" w:customStyle="1" w:styleId="1411110">
    <w:name w:val="Сетка таблицы141111"/>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1113">
    <w:name w:val="Изысканная таблица811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81111">
    <w:name w:val="Нет списка181111"/>
    <w:next w:val="a2"/>
    <w:uiPriority w:val="99"/>
    <w:semiHidden/>
    <w:unhideWhenUsed/>
    <w:rsid w:val="003E719A"/>
  </w:style>
  <w:style w:type="table" w:customStyle="1" w:styleId="1511110">
    <w:name w:val="Сетка таблицы151111"/>
    <w:basedOn w:val="a1"/>
    <w:next w:val="aff0"/>
    <w:uiPriority w:val="3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311111">
    <w:name w:val="Нет списка231111"/>
    <w:next w:val="a2"/>
    <w:uiPriority w:val="99"/>
    <w:semiHidden/>
    <w:unhideWhenUsed/>
    <w:rsid w:val="003E719A"/>
  </w:style>
  <w:style w:type="table" w:customStyle="1" w:styleId="2411110">
    <w:name w:val="Сетка таблицы241111"/>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13">
    <w:name w:val="Изысканная таблица1211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311110">
    <w:name w:val="Нет списка1131111"/>
    <w:next w:val="a2"/>
    <w:uiPriority w:val="99"/>
    <w:semiHidden/>
    <w:unhideWhenUsed/>
    <w:rsid w:val="003E719A"/>
  </w:style>
  <w:style w:type="table" w:customStyle="1" w:styleId="11211111">
    <w:name w:val="Сетка таблицы1121111"/>
    <w:basedOn w:val="a1"/>
    <w:next w:val="aff0"/>
    <w:uiPriority w:val="5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211110">
    <w:name w:val="Нет списка2121111"/>
    <w:next w:val="a2"/>
    <w:uiPriority w:val="99"/>
    <w:semiHidden/>
    <w:unhideWhenUsed/>
    <w:rsid w:val="003E719A"/>
  </w:style>
  <w:style w:type="numbering" w:customStyle="1" w:styleId="11121111">
    <w:name w:val="Нет списка11121111"/>
    <w:next w:val="a2"/>
    <w:uiPriority w:val="99"/>
    <w:semiHidden/>
    <w:unhideWhenUsed/>
    <w:rsid w:val="003E719A"/>
  </w:style>
  <w:style w:type="numbering" w:customStyle="1" w:styleId="3211110">
    <w:name w:val="Нет списка321111"/>
    <w:next w:val="a2"/>
    <w:uiPriority w:val="99"/>
    <w:semiHidden/>
    <w:unhideWhenUsed/>
    <w:rsid w:val="003E719A"/>
  </w:style>
  <w:style w:type="table" w:customStyle="1" w:styleId="2211113">
    <w:name w:val="Изысканная таблица2211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211110">
    <w:name w:val="Нет списка1221111"/>
    <w:next w:val="a2"/>
    <w:uiPriority w:val="99"/>
    <w:semiHidden/>
    <w:unhideWhenUsed/>
    <w:rsid w:val="003E719A"/>
  </w:style>
  <w:style w:type="numbering" w:customStyle="1" w:styleId="4211110">
    <w:name w:val="Нет списка421111"/>
    <w:next w:val="a2"/>
    <w:uiPriority w:val="99"/>
    <w:semiHidden/>
    <w:unhideWhenUsed/>
    <w:rsid w:val="003E719A"/>
  </w:style>
  <w:style w:type="table" w:customStyle="1" w:styleId="3211111">
    <w:name w:val="Изысканная таблица3211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21111">
    <w:name w:val="Нет списка1321111"/>
    <w:next w:val="a2"/>
    <w:uiPriority w:val="99"/>
    <w:semiHidden/>
    <w:unhideWhenUsed/>
    <w:rsid w:val="003E719A"/>
  </w:style>
  <w:style w:type="numbering" w:customStyle="1" w:styleId="5211110">
    <w:name w:val="Нет списка521111"/>
    <w:next w:val="a2"/>
    <w:uiPriority w:val="99"/>
    <w:semiHidden/>
    <w:unhideWhenUsed/>
    <w:rsid w:val="003E719A"/>
  </w:style>
  <w:style w:type="table" w:customStyle="1" w:styleId="4211111">
    <w:name w:val="Изысканная таблица4211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21111">
    <w:name w:val="Нет списка1421111"/>
    <w:next w:val="a2"/>
    <w:uiPriority w:val="99"/>
    <w:semiHidden/>
    <w:unhideWhenUsed/>
    <w:rsid w:val="003E719A"/>
  </w:style>
  <w:style w:type="numbering" w:customStyle="1" w:styleId="6211110">
    <w:name w:val="Нет списка621111"/>
    <w:next w:val="a2"/>
    <w:uiPriority w:val="99"/>
    <w:semiHidden/>
    <w:unhideWhenUsed/>
    <w:rsid w:val="003E719A"/>
  </w:style>
  <w:style w:type="table" w:customStyle="1" w:styleId="5211111">
    <w:name w:val="Изысканная таблица5211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21111">
    <w:name w:val="Нет списка1521111"/>
    <w:next w:val="a2"/>
    <w:uiPriority w:val="99"/>
    <w:semiHidden/>
    <w:unhideWhenUsed/>
    <w:rsid w:val="003E719A"/>
  </w:style>
  <w:style w:type="numbering" w:customStyle="1" w:styleId="7211110">
    <w:name w:val="Нет списка721111"/>
    <w:next w:val="a2"/>
    <w:uiPriority w:val="99"/>
    <w:semiHidden/>
    <w:unhideWhenUsed/>
    <w:rsid w:val="003E719A"/>
  </w:style>
  <w:style w:type="table" w:customStyle="1" w:styleId="6211111">
    <w:name w:val="Изысканная таблица6211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21111">
    <w:name w:val="Нет списка1621111"/>
    <w:next w:val="a2"/>
    <w:uiPriority w:val="99"/>
    <w:semiHidden/>
    <w:unhideWhenUsed/>
    <w:rsid w:val="003E719A"/>
  </w:style>
  <w:style w:type="table" w:customStyle="1" w:styleId="21211111">
    <w:name w:val="Сетка таблицы212111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12">
    <w:name w:val="Сетка таблицы32111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11110">
    <w:name w:val="Сетка таблицы222111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112">
    <w:name w:val="Сетка таблицы42111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112">
    <w:name w:val="Сетка таблицы52111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112">
    <w:name w:val="Сетка таблицы621111"/>
    <w:basedOn w:val="a1"/>
    <w:next w:val="aff0"/>
    <w:uiPriority w:val="3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111">
    <w:name w:val="Сетка таблицы721111"/>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1">
    <w:name w:val="Светлая заливка - Акцент 121111"/>
    <w:basedOn w:val="a1"/>
    <w:next w:val="-1"/>
    <w:uiPriority w:val="60"/>
    <w:rsid w:val="003E719A"/>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211110">
    <w:name w:val="Сетка таблицы82111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1111">
    <w:name w:val="Сетка таблицы92111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111">
    <w:name w:val="Сетка таблицы1211111"/>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1111">
    <w:name w:val="Нет списка811111"/>
    <w:next w:val="a2"/>
    <w:uiPriority w:val="99"/>
    <w:semiHidden/>
    <w:unhideWhenUsed/>
    <w:rsid w:val="003E719A"/>
  </w:style>
  <w:style w:type="table" w:customStyle="1" w:styleId="1011111">
    <w:name w:val="Сетка таблицы1011111"/>
    <w:basedOn w:val="a1"/>
    <w:next w:val="aff0"/>
    <w:uiPriority w:val="3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112">
    <w:name w:val="Изысканная таблица7111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11111">
    <w:name w:val="Нет списка1711111"/>
    <w:next w:val="a2"/>
    <w:uiPriority w:val="99"/>
    <w:semiHidden/>
    <w:unhideWhenUsed/>
    <w:rsid w:val="003E719A"/>
  </w:style>
  <w:style w:type="table" w:customStyle="1" w:styleId="13111111">
    <w:name w:val="Сетка таблицы1311111"/>
    <w:basedOn w:val="a1"/>
    <w:next w:val="aff0"/>
    <w:uiPriority w:val="3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111111">
    <w:name w:val="Нет списка2211111"/>
    <w:next w:val="a2"/>
    <w:uiPriority w:val="99"/>
    <w:semiHidden/>
    <w:unhideWhenUsed/>
    <w:rsid w:val="003E719A"/>
  </w:style>
  <w:style w:type="table" w:customStyle="1" w:styleId="23111110">
    <w:name w:val="Сетка таблицы2311111"/>
    <w:basedOn w:val="a1"/>
    <w:next w:val="aff0"/>
    <w:uiPriority w:val="59"/>
    <w:rsid w:val="003E7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113">
    <w:name w:val="Изысканная таблица11111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111110">
    <w:name w:val="Нет списка11211111"/>
    <w:next w:val="a2"/>
    <w:uiPriority w:val="99"/>
    <w:semiHidden/>
    <w:unhideWhenUsed/>
    <w:rsid w:val="003E719A"/>
  </w:style>
  <w:style w:type="table" w:customStyle="1" w:styleId="111111111">
    <w:name w:val="Сетка таблицы11111111"/>
    <w:basedOn w:val="a1"/>
    <w:next w:val="aff0"/>
    <w:uiPriority w:val="59"/>
    <w:rsid w:val="003E719A"/>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111110">
    <w:name w:val="Нет списка21111111"/>
    <w:next w:val="a2"/>
    <w:uiPriority w:val="99"/>
    <w:semiHidden/>
    <w:unhideWhenUsed/>
    <w:rsid w:val="003E719A"/>
  </w:style>
  <w:style w:type="numbering" w:customStyle="1" w:styleId="1111111110">
    <w:name w:val="Нет списка111111111"/>
    <w:next w:val="a2"/>
    <w:uiPriority w:val="99"/>
    <w:semiHidden/>
    <w:unhideWhenUsed/>
    <w:rsid w:val="003E719A"/>
  </w:style>
  <w:style w:type="numbering" w:customStyle="1" w:styleId="31111110">
    <w:name w:val="Нет списка3111111"/>
    <w:next w:val="a2"/>
    <w:uiPriority w:val="99"/>
    <w:semiHidden/>
    <w:unhideWhenUsed/>
    <w:rsid w:val="003E719A"/>
  </w:style>
  <w:style w:type="table" w:customStyle="1" w:styleId="21111112">
    <w:name w:val="Изысканная таблица21111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111110">
    <w:name w:val="Нет списка12111111"/>
    <w:next w:val="a2"/>
    <w:uiPriority w:val="99"/>
    <w:semiHidden/>
    <w:unhideWhenUsed/>
    <w:rsid w:val="003E719A"/>
  </w:style>
  <w:style w:type="numbering" w:customStyle="1" w:styleId="41111110">
    <w:name w:val="Нет списка4111111"/>
    <w:next w:val="a2"/>
    <w:uiPriority w:val="99"/>
    <w:semiHidden/>
    <w:unhideWhenUsed/>
    <w:rsid w:val="003E719A"/>
  </w:style>
  <w:style w:type="table" w:customStyle="1" w:styleId="31111111">
    <w:name w:val="Изысканная таблица31111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111110">
    <w:name w:val="Нет списка13111111"/>
    <w:next w:val="a2"/>
    <w:uiPriority w:val="99"/>
    <w:semiHidden/>
    <w:unhideWhenUsed/>
    <w:rsid w:val="003E719A"/>
  </w:style>
  <w:style w:type="numbering" w:customStyle="1" w:styleId="51111110">
    <w:name w:val="Нет списка5111111"/>
    <w:next w:val="a2"/>
    <w:uiPriority w:val="99"/>
    <w:semiHidden/>
    <w:unhideWhenUsed/>
    <w:rsid w:val="003E719A"/>
  </w:style>
  <w:style w:type="table" w:customStyle="1" w:styleId="41111111">
    <w:name w:val="Изысканная таблица41111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11111">
    <w:name w:val="Нет списка14111111"/>
    <w:next w:val="a2"/>
    <w:uiPriority w:val="99"/>
    <w:semiHidden/>
    <w:unhideWhenUsed/>
    <w:rsid w:val="003E719A"/>
  </w:style>
  <w:style w:type="numbering" w:customStyle="1" w:styleId="61111110">
    <w:name w:val="Нет списка6111111"/>
    <w:next w:val="a2"/>
    <w:uiPriority w:val="99"/>
    <w:semiHidden/>
    <w:unhideWhenUsed/>
    <w:rsid w:val="003E719A"/>
  </w:style>
  <w:style w:type="table" w:customStyle="1" w:styleId="51111111">
    <w:name w:val="Изысканная таблица51111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11111">
    <w:name w:val="Нет списка15111111"/>
    <w:next w:val="a2"/>
    <w:uiPriority w:val="99"/>
    <w:semiHidden/>
    <w:unhideWhenUsed/>
    <w:rsid w:val="003E719A"/>
  </w:style>
  <w:style w:type="numbering" w:customStyle="1" w:styleId="71111110">
    <w:name w:val="Нет списка7111111"/>
    <w:next w:val="a2"/>
    <w:uiPriority w:val="99"/>
    <w:semiHidden/>
    <w:unhideWhenUsed/>
    <w:rsid w:val="003E719A"/>
  </w:style>
  <w:style w:type="table" w:customStyle="1" w:styleId="61111111">
    <w:name w:val="Изысканная таблица6111111"/>
    <w:basedOn w:val="a1"/>
    <w:next w:val="afffa"/>
    <w:rsid w:val="003E719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11111">
    <w:name w:val="Нет списка16111111"/>
    <w:next w:val="a2"/>
    <w:uiPriority w:val="99"/>
    <w:semiHidden/>
    <w:unhideWhenUsed/>
    <w:rsid w:val="003E719A"/>
  </w:style>
  <w:style w:type="table" w:customStyle="1" w:styleId="211111111">
    <w:name w:val="Сетка таблицы2111111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112">
    <w:name w:val="Сетка таблицы311111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1110">
    <w:name w:val="Сетка таблицы2211111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112">
    <w:name w:val="Сетка таблицы4111111"/>
    <w:basedOn w:val="a1"/>
    <w:next w:val="aff0"/>
    <w:uiPriority w:val="5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1112">
    <w:name w:val="Сетка таблицы511111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1112">
    <w:name w:val="Сетка таблицы6111111"/>
    <w:basedOn w:val="a1"/>
    <w:next w:val="aff0"/>
    <w:uiPriority w:val="39"/>
    <w:rsid w:val="003E719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1111">
    <w:name w:val="Сетка таблицы7111111"/>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11">
    <w:name w:val="Светлая заливка - Акцент 1111111"/>
    <w:basedOn w:val="a1"/>
    <w:next w:val="-1"/>
    <w:uiPriority w:val="60"/>
    <w:rsid w:val="003E719A"/>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111110">
    <w:name w:val="Сетка таблицы811111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1111">
    <w:name w:val="Сетка таблицы9111111"/>
    <w:basedOn w:val="a1"/>
    <w:next w:val="aff0"/>
    <w:uiPriority w:val="3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10">
    <w:name w:val="Сетка таблицы661"/>
    <w:basedOn w:val="a1"/>
    <w:next w:val="aff0"/>
    <w:uiPriority w:val="59"/>
    <w:rsid w:val="003E71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8">
    <w:name w:val="Сетка таблицы68"/>
    <w:basedOn w:val="a1"/>
    <w:next w:val="aff0"/>
    <w:uiPriority w:val="59"/>
    <w:rsid w:val="00CD1881"/>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01">
    <w:name w:val="Нет списка30"/>
    <w:next w:val="a2"/>
    <w:uiPriority w:val="99"/>
    <w:semiHidden/>
    <w:unhideWhenUsed/>
    <w:rsid w:val="00D46E9B"/>
  </w:style>
  <w:style w:type="table" w:customStyle="1" w:styleId="302">
    <w:name w:val="Сетка таблицы30"/>
    <w:basedOn w:val="a1"/>
    <w:next w:val="aff0"/>
    <w:uiPriority w:val="3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4">
    <w:name w:val="Изысканная таблица19"/>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00">
    <w:name w:val="Нет списка120"/>
    <w:next w:val="a2"/>
    <w:uiPriority w:val="99"/>
    <w:semiHidden/>
    <w:unhideWhenUsed/>
    <w:rsid w:val="00D46E9B"/>
  </w:style>
  <w:style w:type="table" w:customStyle="1" w:styleId="1180">
    <w:name w:val="Сетка таблицы118"/>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00">
    <w:name w:val="Нет списка210"/>
    <w:next w:val="a2"/>
    <w:uiPriority w:val="99"/>
    <w:semiHidden/>
    <w:unhideWhenUsed/>
    <w:rsid w:val="00D46E9B"/>
  </w:style>
  <w:style w:type="table" w:customStyle="1" w:styleId="2101">
    <w:name w:val="Сетка таблицы210"/>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3">
    <w:name w:val="Изысканная таблица110"/>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100">
    <w:name w:val="Нет списка1110"/>
    <w:next w:val="a2"/>
    <w:uiPriority w:val="99"/>
    <w:semiHidden/>
    <w:unhideWhenUsed/>
    <w:rsid w:val="00D46E9B"/>
  </w:style>
  <w:style w:type="table" w:customStyle="1" w:styleId="1190">
    <w:name w:val="Сетка таблицы119"/>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7">
    <w:name w:val="Нет списка217"/>
    <w:next w:val="a2"/>
    <w:uiPriority w:val="99"/>
    <w:semiHidden/>
    <w:unhideWhenUsed/>
    <w:rsid w:val="00D46E9B"/>
  </w:style>
  <w:style w:type="numbering" w:customStyle="1" w:styleId="1117">
    <w:name w:val="Нет списка1117"/>
    <w:next w:val="a2"/>
    <w:uiPriority w:val="99"/>
    <w:semiHidden/>
    <w:unhideWhenUsed/>
    <w:rsid w:val="00D46E9B"/>
  </w:style>
  <w:style w:type="numbering" w:customStyle="1" w:styleId="370">
    <w:name w:val="Нет списка37"/>
    <w:next w:val="a2"/>
    <w:uiPriority w:val="99"/>
    <w:semiHidden/>
    <w:unhideWhenUsed/>
    <w:rsid w:val="00D46E9B"/>
  </w:style>
  <w:style w:type="table" w:customStyle="1" w:styleId="272">
    <w:name w:val="Изысканная таблица27"/>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7">
    <w:name w:val="Нет списка127"/>
    <w:next w:val="a2"/>
    <w:uiPriority w:val="99"/>
    <w:semiHidden/>
    <w:unhideWhenUsed/>
    <w:rsid w:val="00D46E9B"/>
  </w:style>
  <w:style w:type="numbering" w:customStyle="1" w:styleId="47">
    <w:name w:val="Нет списка47"/>
    <w:next w:val="a2"/>
    <w:uiPriority w:val="99"/>
    <w:semiHidden/>
    <w:unhideWhenUsed/>
    <w:rsid w:val="00D46E9B"/>
  </w:style>
  <w:style w:type="table" w:customStyle="1" w:styleId="371">
    <w:name w:val="Изысканная таблица37"/>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7">
    <w:name w:val="Нет списка137"/>
    <w:next w:val="a2"/>
    <w:uiPriority w:val="99"/>
    <w:semiHidden/>
    <w:unhideWhenUsed/>
    <w:rsid w:val="00D46E9B"/>
  </w:style>
  <w:style w:type="numbering" w:customStyle="1" w:styleId="57">
    <w:name w:val="Нет списка57"/>
    <w:next w:val="a2"/>
    <w:uiPriority w:val="99"/>
    <w:semiHidden/>
    <w:unhideWhenUsed/>
    <w:rsid w:val="00D46E9B"/>
  </w:style>
  <w:style w:type="table" w:customStyle="1" w:styleId="470">
    <w:name w:val="Изысканная таблица47"/>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7">
    <w:name w:val="Нет списка147"/>
    <w:next w:val="a2"/>
    <w:uiPriority w:val="99"/>
    <w:semiHidden/>
    <w:unhideWhenUsed/>
    <w:rsid w:val="00D46E9B"/>
  </w:style>
  <w:style w:type="numbering" w:customStyle="1" w:styleId="670">
    <w:name w:val="Нет списка67"/>
    <w:next w:val="a2"/>
    <w:uiPriority w:val="99"/>
    <w:semiHidden/>
    <w:unhideWhenUsed/>
    <w:rsid w:val="00D46E9B"/>
  </w:style>
  <w:style w:type="table" w:customStyle="1" w:styleId="570">
    <w:name w:val="Изысканная таблица57"/>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7">
    <w:name w:val="Нет списка157"/>
    <w:next w:val="a2"/>
    <w:uiPriority w:val="99"/>
    <w:semiHidden/>
    <w:unhideWhenUsed/>
    <w:rsid w:val="00D46E9B"/>
  </w:style>
  <w:style w:type="numbering" w:customStyle="1" w:styleId="77">
    <w:name w:val="Нет списка77"/>
    <w:next w:val="a2"/>
    <w:uiPriority w:val="99"/>
    <w:semiHidden/>
    <w:unhideWhenUsed/>
    <w:rsid w:val="00D46E9B"/>
  </w:style>
  <w:style w:type="table" w:customStyle="1" w:styleId="671">
    <w:name w:val="Изысканная таблица67"/>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7">
    <w:name w:val="Нет списка167"/>
    <w:next w:val="a2"/>
    <w:uiPriority w:val="99"/>
    <w:semiHidden/>
    <w:unhideWhenUsed/>
    <w:rsid w:val="00D46E9B"/>
  </w:style>
  <w:style w:type="table" w:customStyle="1" w:styleId="2170">
    <w:name w:val="Сетка таблицы217"/>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2">
    <w:name w:val="Сетка таблицы37"/>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7">
    <w:name w:val="Сетка таблицы227"/>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1">
    <w:name w:val="Сетка таблицы47"/>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1">
    <w:name w:val="Сетка таблицы57"/>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9">
    <w:name w:val="Сетка таблицы69"/>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70">
    <w:name w:val="Сетка таблицы77"/>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Светлая заливка - Акцент 17"/>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7">
    <w:name w:val="Сетка таблицы87"/>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7">
    <w:name w:val="Сетка таблицы97"/>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0">
    <w:name w:val="Сетка таблицы126"/>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60">
    <w:name w:val="Нет списка86"/>
    <w:next w:val="a2"/>
    <w:uiPriority w:val="99"/>
    <w:semiHidden/>
    <w:unhideWhenUsed/>
    <w:rsid w:val="00D46E9B"/>
  </w:style>
  <w:style w:type="table" w:customStyle="1" w:styleId="106">
    <w:name w:val="Сетка таблицы106"/>
    <w:basedOn w:val="a1"/>
    <w:next w:val="aff0"/>
    <w:uiPriority w:val="3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1">
    <w:name w:val="Изысканная таблица76"/>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6">
    <w:name w:val="Нет списка176"/>
    <w:next w:val="a2"/>
    <w:uiPriority w:val="99"/>
    <w:semiHidden/>
    <w:unhideWhenUsed/>
    <w:rsid w:val="00D46E9B"/>
  </w:style>
  <w:style w:type="table" w:customStyle="1" w:styleId="1360">
    <w:name w:val="Сетка таблицы136"/>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60">
    <w:name w:val="Нет списка226"/>
    <w:next w:val="a2"/>
    <w:uiPriority w:val="99"/>
    <w:semiHidden/>
    <w:unhideWhenUsed/>
    <w:rsid w:val="00D46E9B"/>
  </w:style>
  <w:style w:type="table" w:customStyle="1" w:styleId="236">
    <w:name w:val="Сетка таблицы236"/>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2">
    <w:name w:val="Изысканная таблица116"/>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6">
    <w:name w:val="Нет списка1126"/>
    <w:next w:val="a2"/>
    <w:uiPriority w:val="99"/>
    <w:semiHidden/>
    <w:unhideWhenUsed/>
    <w:rsid w:val="00D46E9B"/>
  </w:style>
  <w:style w:type="table" w:customStyle="1" w:styleId="11160">
    <w:name w:val="Сетка таблицы1116"/>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6">
    <w:name w:val="Нет списка2116"/>
    <w:next w:val="a2"/>
    <w:uiPriority w:val="99"/>
    <w:semiHidden/>
    <w:unhideWhenUsed/>
    <w:rsid w:val="00D46E9B"/>
  </w:style>
  <w:style w:type="numbering" w:customStyle="1" w:styleId="11116">
    <w:name w:val="Нет списка11116"/>
    <w:next w:val="a2"/>
    <w:uiPriority w:val="99"/>
    <w:semiHidden/>
    <w:unhideWhenUsed/>
    <w:rsid w:val="00D46E9B"/>
  </w:style>
  <w:style w:type="numbering" w:customStyle="1" w:styleId="316">
    <w:name w:val="Нет списка316"/>
    <w:next w:val="a2"/>
    <w:uiPriority w:val="99"/>
    <w:semiHidden/>
    <w:unhideWhenUsed/>
    <w:rsid w:val="00D46E9B"/>
  </w:style>
  <w:style w:type="table" w:customStyle="1" w:styleId="2161">
    <w:name w:val="Изысканная таблица216"/>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6">
    <w:name w:val="Нет списка1216"/>
    <w:next w:val="a2"/>
    <w:uiPriority w:val="99"/>
    <w:semiHidden/>
    <w:unhideWhenUsed/>
    <w:rsid w:val="00D46E9B"/>
  </w:style>
  <w:style w:type="numbering" w:customStyle="1" w:styleId="416">
    <w:name w:val="Нет списка416"/>
    <w:next w:val="a2"/>
    <w:uiPriority w:val="99"/>
    <w:semiHidden/>
    <w:unhideWhenUsed/>
    <w:rsid w:val="00D46E9B"/>
  </w:style>
  <w:style w:type="table" w:customStyle="1" w:styleId="3160">
    <w:name w:val="Изысканная таблица316"/>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6">
    <w:name w:val="Нет списка1316"/>
    <w:next w:val="a2"/>
    <w:uiPriority w:val="99"/>
    <w:semiHidden/>
    <w:unhideWhenUsed/>
    <w:rsid w:val="00D46E9B"/>
  </w:style>
  <w:style w:type="numbering" w:customStyle="1" w:styleId="516">
    <w:name w:val="Нет списка516"/>
    <w:next w:val="a2"/>
    <w:uiPriority w:val="99"/>
    <w:semiHidden/>
    <w:unhideWhenUsed/>
    <w:rsid w:val="00D46E9B"/>
  </w:style>
  <w:style w:type="table" w:customStyle="1" w:styleId="4160">
    <w:name w:val="Изысканная таблица416"/>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6">
    <w:name w:val="Нет списка1416"/>
    <w:next w:val="a2"/>
    <w:uiPriority w:val="99"/>
    <w:semiHidden/>
    <w:unhideWhenUsed/>
    <w:rsid w:val="00D46E9B"/>
  </w:style>
  <w:style w:type="numbering" w:customStyle="1" w:styleId="616">
    <w:name w:val="Нет списка616"/>
    <w:next w:val="a2"/>
    <w:uiPriority w:val="99"/>
    <w:semiHidden/>
    <w:unhideWhenUsed/>
    <w:rsid w:val="00D46E9B"/>
  </w:style>
  <w:style w:type="table" w:customStyle="1" w:styleId="5160">
    <w:name w:val="Изысканная таблица516"/>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60">
    <w:name w:val="Нет списка1516"/>
    <w:next w:val="a2"/>
    <w:uiPriority w:val="99"/>
    <w:semiHidden/>
    <w:unhideWhenUsed/>
    <w:rsid w:val="00D46E9B"/>
  </w:style>
  <w:style w:type="numbering" w:customStyle="1" w:styleId="716">
    <w:name w:val="Нет списка716"/>
    <w:next w:val="a2"/>
    <w:uiPriority w:val="99"/>
    <w:semiHidden/>
    <w:unhideWhenUsed/>
    <w:rsid w:val="00D46E9B"/>
  </w:style>
  <w:style w:type="table" w:customStyle="1" w:styleId="6160">
    <w:name w:val="Изысканная таблица616"/>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60">
    <w:name w:val="Нет списка1616"/>
    <w:next w:val="a2"/>
    <w:uiPriority w:val="99"/>
    <w:semiHidden/>
    <w:unhideWhenUsed/>
    <w:rsid w:val="00D46E9B"/>
  </w:style>
  <w:style w:type="table" w:customStyle="1" w:styleId="21160">
    <w:name w:val="Сетка таблицы2116"/>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1">
    <w:name w:val="Сетка таблицы316"/>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6">
    <w:name w:val="Сетка таблицы2216"/>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1">
    <w:name w:val="Сетка таблицы416"/>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61">
    <w:name w:val="Сетка таблицы516"/>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61">
    <w:name w:val="Сетка таблицы616"/>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60">
    <w:name w:val="Сетка таблицы716"/>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Светлая заливка - Акцент 116"/>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6">
    <w:name w:val="Сетка таблицы816"/>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6">
    <w:name w:val="Сетка таблицы916"/>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50">
    <w:name w:val="Нет списка95"/>
    <w:next w:val="a2"/>
    <w:uiPriority w:val="99"/>
    <w:semiHidden/>
    <w:unhideWhenUsed/>
    <w:rsid w:val="00D46E9B"/>
  </w:style>
  <w:style w:type="table" w:customStyle="1" w:styleId="1450">
    <w:name w:val="Сетка таблицы145"/>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52">
    <w:name w:val="Изысканная таблица85"/>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85">
    <w:name w:val="Нет списка185"/>
    <w:next w:val="a2"/>
    <w:uiPriority w:val="99"/>
    <w:semiHidden/>
    <w:unhideWhenUsed/>
    <w:rsid w:val="00D46E9B"/>
  </w:style>
  <w:style w:type="table" w:customStyle="1" w:styleId="1552">
    <w:name w:val="Сетка таблицы155"/>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350">
    <w:name w:val="Нет списка235"/>
    <w:next w:val="a2"/>
    <w:uiPriority w:val="99"/>
    <w:semiHidden/>
    <w:unhideWhenUsed/>
    <w:rsid w:val="00D46E9B"/>
  </w:style>
  <w:style w:type="table" w:customStyle="1" w:styleId="245">
    <w:name w:val="Сетка таблицы245"/>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2">
    <w:name w:val="Изысканная таблица125"/>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35">
    <w:name w:val="Нет списка1135"/>
    <w:next w:val="a2"/>
    <w:uiPriority w:val="99"/>
    <w:semiHidden/>
    <w:unhideWhenUsed/>
    <w:rsid w:val="00D46E9B"/>
  </w:style>
  <w:style w:type="table" w:customStyle="1" w:styleId="11250">
    <w:name w:val="Сетка таблицы1125"/>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25">
    <w:name w:val="Нет списка2125"/>
    <w:next w:val="a2"/>
    <w:uiPriority w:val="99"/>
    <w:semiHidden/>
    <w:unhideWhenUsed/>
    <w:rsid w:val="00D46E9B"/>
  </w:style>
  <w:style w:type="numbering" w:customStyle="1" w:styleId="11125">
    <w:name w:val="Нет списка11125"/>
    <w:next w:val="a2"/>
    <w:uiPriority w:val="99"/>
    <w:semiHidden/>
    <w:unhideWhenUsed/>
    <w:rsid w:val="00D46E9B"/>
  </w:style>
  <w:style w:type="numbering" w:customStyle="1" w:styleId="325">
    <w:name w:val="Нет списка325"/>
    <w:next w:val="a2"/>
    <w:uiPriority w:val="99"/>
    <w:semiHidden/>
    <w:unhideWhenUsed/>
    <w:rsid w:val="00D46E9B"/>
  </w:style>
  <w:style w:type="table" w:customStyle="1" w:styleId="2252">
    <w:name w:val="Изысканная таблица225"/>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25">
    <w:name w:val="Нет списка1225"/>
    <w:next w:val="a2"/>
    <w:uiPriority w:val="99"/>
    <w:semiHidden/>
    <w:unhideWhenUsed/>
    <w:rsid w:val="00D46E9B"/>
  </w:style>
  <w:style w:type="numbering" w:customStyle="1" w:styleId="425">
    <w:name w:val="Нет списка425"/>
    <w:next w:val="a2"/>
    <w:uiPriority w:val="99"/>
    <w:semiHidden/>
    <w:unhideWhenUsed/>
    <w:rsid w:val="00D46E9B"/>
  </w:style>
  <w:style w:type="table" w:customStyle="1" w:styleId="3250">
    <w:name w:val="Изысканная таблица325"/>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25">
    <w:name w:val="Нет списка1325"/>
    <w:next w:val="a2"/>
    <w:uiPriority w:val="99"/>
    <w:semiHidden/>
    <w:unhideWhenUsed/>
    <w:rsid w:val="00D46E9B"/>
  </w:style>
  <w:style w:type="numbering" w:customStyle="1" w:styleId="525">
    <w:name w:val="Нет списка525"/>
    <w:next w:val="a2"/>
    <w:uiPriority w:val="99"/>
    <w:semiHidden/>
    <w:unhideWhenUsed/>
    <w:rsid w:val="00D46E9B"/>
  </w:style>
  <w:style w:type="table" w:customStyle="1" w:styleId="4250">
    <w:name w:val="Изысканная таблица425"/>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250">
    <w:name w:val="Нет списка1425"/>
    <w:next w:val="a2"/>
    <w:uiPriority w:val="99"/>
    <w:semiHidden/>
    <w:unhideWhenUsed/>
    <w:rsid w:val="00D46E9B"/>
  </w:style>
  <w:style w:type="numbering" w:customStyle="1" w:styleId="625">
    <w:name w:val="Нет списка625"/>
    <w:next w:val="a2"/>
    <w:uiPriority w:val="99"/>
    <w:semiHidden/>
    <w:unhideWhenUsed/>
    <w:rsid w:val="00D46E9B"/>
  </w:style>
  <w:style w:type="table" w:customStyle="1" w:styleId="5250">
    <w:name w:val="Изысканная таблица525"/>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25">
    <w:name w:val="Нет списка1525"/>
    <w:next w:val="a2"/>
    <w:uiPriority w:val="99"/>
    <w:semiHidden/>
    <w:unhideWhenUsed/>
    <w:rsid w:val="00D46E9B"/>
  </w:style>
  <w:style w:type="numbering" w:customStyle="1" w:styleId="725">
    <w:name w:val="Нет списка725"/>
    <w:next w:val="a2"/>
    <w:uiPriority w:val="99"/>
    <w:semiHidden/>
    <w:unhideWhenUsed/>
    <w:rsid w:val="00D46E9B"/>
  </w:style>
  <w:style w:type="table" w:customStyle="1" w:styleId="6250">
    <w:name w:val="Изысканная таблица625"/>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25">
    <w:name w:val="Нет списка1625"/>
    <w:next w:val="a2"/>
    <w:uiPriority w:val="99"/>
    <w:semiHidden/>
    <w:unhideWhenUsed/>
    <w:rsid w:val="00D46E9B"/>
  </w:style>
  <w:style w:type="table" w:customStyle="1" w:styleId="21250">
    <w:name w:val="Сетка таблицы2125"/>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1">
    <w:name w:val="Сетка таблицы325"/>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5">
    <w:name w:val="Сетка таблицы2225"/>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51">
    <w:name w:val="Сетка таблицы425"/>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51">
    <w:name w:val="Сетка таблицы525"/>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51">
    <w:name w:val="Сетка таблицы625"/>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50">
    <w:name w:val="Сетка таблицы725"/>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
    <w:name w:val="Светлая заливка - Акцент 125"/>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25">
    <w:name w:val="Сетка таблицы825"/>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5">
    <w:name w:val="Сетка таблицы925"/>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0">
    <w:name w:val="Сетка таблицы1215"/>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50">
    <w:name w:val="Нет списка815"/>
    <w:next w:val="a2"/>
    <w:uiPriority w:val="99"/>
    <w:semiHidden/>
    <w:unhideWhenUsed/>
    <w:rsid w:val="00D46E9B"/>
  </w:style>
  <w:style w:type="table" w:customStyle="1" w:styleId="1015">
    <w:name w:val="Сетка таблицы1015"/>
    <w:basedOn w:val="a1"/>
    <w:next w:val="aff0"/>
    <w:uiPriority w:val="3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51">
    <w:name w:val="Изысканная таблица715"/>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15">
    <w:name w:val="Нет списка1715"/>
    <w:next w:val="a2"/>
    <w:uiPriority w:val="99"/>
    <w:semiHidden/>
    <w:unhideWhenUsed/>
    <w:rsid w:val="00D46E9B"/>
  </w:style>
  <w:style w:type="table" w:customStyle="1" w:styleId="13150">
    <w:name w:val="Сетка таблицы1315"/>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150">
    <w:name w:val="Нет списка2215"/>
    <w:next w:val="a2"/>
    <w:uiPriority w:val="99"/>
    <w:semiHidden/>
    <w:unhideWhenUsed/>
    <w:rsid w:val="00D46E9B"/>
  </w:style>
  <w:style w:type="table" w:customStyle="1" w:styleId="2315">
    <w:name w:val="Сетка таблицы2315"/>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2">
    <w:name w:val="Изысканная таблица1115"/>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15">
    <w:name w:val="Нет списка11215"/>
    <w:next w:val="a2"/>
    <w:uiPriority w:val="99"/>
    <w:semiHidden/>
    <w:unhideWhenUsed/>
    <w:rsid w:val="00D46E9B"/>
  </w:style>
  <w:style w:type="table" w:customStyle="1" w:styleId="111150">
    <w:name w:val="Сетка таблицы11115"/>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15">
    <w:name w:val="Нет списка21115"/>
    <w:next w:val="a2"/>
    <w:uiPriority w:val="99"/>
    <w:semiHidden/>
    <w:unhideWhenUsed/>
    <w:rsid w:val="00D46E9B"/>
  </w:style>
  <w:style w:type="numbering" w:customStyle="1" w:styleId="111115">
    <w:name w:val="Нет списка111115"/>
    <w:next w:val="a2"/>
    <w:uiPriority w:val="99"/>
    <w:semiHidden/>
    <w:unhideWhenUsed/>
    <w:rsid w:val="00D46E9B"/>
  </w:style>
  <w:style w:type="numbering" w:customStyle="1" w:styleId="3115">
    <w:name w:val="Нет списка3115"/>
    <w:next w:val="a2"/>
    <w:uiPriority w:val="99"/>
    <w:semiHidden/>
    <w:unhideWhenUsed/>
    <w:rsid w:val="00D46E9B"/>
  </w:style>
  <w:style w:type="table" w:customStyle="1" w:styleId="21151">
    <w:name w:val="Изысканная таблица2115"/>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15">
    <w:name w:val="Нет списка12115"/>
    <w:next w:val="a2"/>
    <w:uiPriority w:val="99"/>
    <w:semiHidden/>
    <w:unhideWhenUsed/>
    <w:rsid w:val="00D46E9B"/>
  </w:style>
  <w:style w:type="numbering" w:customStyle="1" w:styleId="4115">
    <w:name w:val="Нет списка4115"/>
    <w:next w:val="a2"/>
    <w:uiPriority w:val="99"/>
    <w:semiHidden/>
    <w:unhideWhenUsed/>
    <w:rsid w:val="00D46E9B"/>
  </w:style>
  <w:style w:type="table" w:customStyle="1" w:styleId="31150">
    <w:name w:val="Изысканная таблица3115"/>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15">
    <w:name w:val="Нет списка13115"/>
    <w:next w:val="a2"/>
    <w:uiPriority w:val="99"/>
    <w:semiHidden/>
    <w:unhideWhenUsed/>
    <w:rsid w:val="00D46E9B"/>
  </w:style>
  <w:style w:type="numbering" w:customStyle="1" w:styleId="5115">
    <w:name w:val="Нет списка5115"/>
    <w:next w:val="a2"/>
    <w:uiPriority w:val="99"/>
    <w:semiHidden/>
    <w:unhideWhenUsed/>
    <w:rsid w:val="00D46E9B"/>
  </w:style>
  <w:style w:type="table" w:customStyle="1" w:styleId="41150">
    <w:name w:val="Изысканная таблица4115"/>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150">
    <w:name w:val="Нет списка14115"/>
    <w:next w:val="a2"/>
    <w:uiPriority w:val="99"/>
    <w:semiHidden/>
    <w:unhideWhenUsed/>
    <w:rsid w:val="00D46E9B"/>
  </w:style>
  <w:style w:type="numbering" w:customStyle="1" w:styleId="6115">
    <w:name w:val="Нет списка6115"/>
    <w:next w:val="a2"/>
    <w:uiPriority w:val="99"/>
    <w:semiHidden/>
    <w:unhideWhenUsed/>
    <w:rsid w:val="00D46E9B"/>
  </w:style>
  <w:style w:type="table" w:customStyle="1" w:styleId="51150">
    <w:name w:val="Изысканная таблица5115"/>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15">
    <w:name w:val="Нет списка15115"/>
    <w:next w:val="a2"/>
    <w:uiPriority w:val="99"/>
    <w:semiHidden/>
    <w:unhideWhenUsed/>
    <w:rsid w:val="00D46E9B"/>
  </w:style>
  <w:style w:type="numbering" w:customStyle="1" w:styleId="7115">
    <w:name w:val="Нет списка7115"/>
    <w:next w:val="a2"/>
    <w:uiPriority w:val="99"/>
    <w:semiHidden/>
    <w:unhideWhenUsed/>
    <w:rsid w:val="00D46E9B"/>
  </w:style>
  <w:style w:type="table" w:customStyle="1" w:styleId="61150">
    <w:name w:val="Изысканная таблица6115"/>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15">
    <w:name w:val="Нет списка16115"/>
    <w:next w:val="a2"/>
    <w:uiPriority w:val="99"/>
    <w:semiHidden/>
    <w:unhideWhenUsed/>
    <w:rsid w:val="00D46E9B"/>
  </w:style>
  <w:style w:type="table" w:customStyle="1" w:styleId="211150">
    <w:name w:val="Сетка таблицы21115"/>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51">
    <w:name w:val="Сетка таблицы3115"/>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5">
    <w:name w:val="Сетка таблицы22115"/>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51">
    <w:name w:val="Сетка таблицы4115"/>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51">
    <w:name w:val="Сетка таблицы5115"/>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51">
    <w:name w:val="Сетка таблицы6115"/>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50">
    <w:name w:val="Сетка таблицы7115"/>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
    <w:name w:val="Светлая заливка - Акцент 1115"/>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15">
    <w:name w:val="Сетка таблицы8115"/>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5">
    <w:name w:val="Сетка таблицы9115"/>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40">
    <w:name w:val="Нет списка104"/>
    <w:next w:val="a2"/>
    <w:uiPriority w:val="99"/>
    <w:semiHidden/>
    <w:unhideWhenUsed/>
    <w:rsid w:val="00D46E9B"/>
  </w:style>
  <w:style w:type="table" w:customStyle="1" w:styleId="1640">
    <w:name w:val="Сетка таблицы164"/>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3">
    <w:name w:val="Изысканная таблица94"/>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940">
    <w:name w:val="Нет списка194"/>
    <w:next w:val="a2"/>
    <w:uiPriority w:val="99"/>
    <w:semiHidden/>
    <w:unhideWhenUsed/>
    <w:rsid w:val="00D46E9B"/>
  </w:style>
  <w:style w:type="table" w:customStyle="1" w:styleId="1740">
    <w:name w:val="Сетка таблицы174"/>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440">
    <w:name w:val="Нет списка244"/>
    <w:next w:val="a2"/>
    <w:uiPriority w:val="99"/>
    <w:semiHidden/>
    <w:unhideWhenUsed/>
    <w:rsid w:val="00D46E9B"/>
  </w:style>
  <w:style w:type="table" w:customStyle="1" w:styleId="254">
    <w:name w:val="Сетка таблицы254"/>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3">
    <w:name w:val="Изысканная таблица134"/>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44">
    <w:name w:val="Нет списка1144"/>
    <w:next w:val="a2"/>
    <w:uiPriority w:val="99"/>
    <w:semiHidden/>
    <w:unhideWhenUsed/>
    <w:rsid w:val="00D46E9B"/>
  </w:style>
  <w:style w:type="table" w:customStyle="1" w:styleId="11340">
    <w:name w:val="Сетка таблицы1134"/>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34">
    <w:name w:val="Нет списка2134"/>
    <w:next w:val="a2"/>
    <w:uiPriority w:val="99"/>
    <w:semiHidden/>
    <w:unhideWhenUsed/>
    <w:rsid w:val="00D46E9B"/>
  </w:style>
  <w:style w:type="numbering" w:customStyle="1" w:styleId="11134">
    <w:name w:val="Нет списка11134"/>
    <w:next w:val="a2"/>
    <w:uiPriority w:val="99"/>
    <w:semiHidden/>
    <w:unhideWhenUsed/>
    <w:rsid w:val="00D46E9B"/>
  </w:style>
  <w:style w:type="numbering" w:customStyle="1" w:styleId="334">
    <w:name w:val="Нет списка334"/>
    <w:next w:val="a2"/>
    <w:uiPriority w:val="99"/>
    <w:semiHidden/>
    <w:unhideWhenUsed/>
    <w:rsid w:val="00D46E9B"/>
  </w:style>
  <w:style w:type="table" w:customStyle="1" w:styleId="2342">
    <w:name w:val="Изысканная таблица234"/>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34">
    <w:name w:val="Нет списка1234"/>
    <w:next w:val="a2"/>
    <w:uiPriority w:val="99"/>
    <w:semiHidden/>
    <w:unhideWhenUsed/>
    <w:rsid w:val="00D46E9B"/>
  </w:style>
  <w:style w:type="numbering" w:customStyle="1" w:styleId="434">
    <w:name w:val="Нет списка434"/>
    <w:next w:val="a2"/>
    <w:uiPriority w:val="99"/>
    <w:semiHidden/>
    <w:unhideWhenUsed/>
    <w:rsid w:val="00D46E9B"/>
  </w:style>
  <w:style w:type="table" w:customStyle="1" w:styleId="3340">
    <w:name w:val="Изысканная таблица334"/>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34">
    <w:name w:val="Нет списка1334"/>
    <w:next w:val="a2"/>
    <w:uiPriority w:val="99"/>
    <w:semiHidden/>
    <w:unhideWhenUsed/>
    <w:rsid w:val="00D46E9B"/>
  </w:style>
  <w:style w:type="numbering" w:customStyle="1" w:styleId="534">
    <w:name w:val="Нет списка534"/>
    <w:next w:val="a2"/>
    <w:uiPriority w:val="99"/>
    <w:semiHidden/>
    <w:unhideWhenUsed/>
    <w:rsid w:val="00D46E9B"/>
  </w:style>
  <w:style w:type="table" w:customStyle="1" w:styleId="4340">
    <w:name w:val="Изысканная таблица434"/>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34">
    <w:name w:val="Нет списка1434"/>
    <w:next w:val="a2"/>
    <w:uiPriority w:val="99"/>
    <w:semiHidden/>
    <w:unhideWhenUsed/>
    <w:rsid w:val="00D46E9B"/>
  </w:style>
  <w:style w:type="numbering" w:customStyle="1" w:styleId="634">
    <w:name w:val="Нет списка634"/>
    <w:next w:val="a2"/>
    <w:uiPriority w:val="99"/>
    <w:semiHidden/>
    <w:unhideWhenUsed/>
    <w:rsid w:val="00D46E9B"/>
  </w:style>
  <w:style w:type="table" w:customStyle="1" w:styleId="5340">
    <w:name w:val="Изысканная таблица534"/>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34">
    <w:name w:val="Нет списка1534"/>
    <w:next w:val="a2"/>
    <w:uiPriority w:val="99"/>
    <w:semiHidden/>
    <w:unhideWhenUsed/>
    <w:rsid w:val="00D46E9B"/>
  </w:style>
  <w:style w:type="numbering" w:customStyle="1" w:styleId="734">
    <w:name w:val="Нет списка734"/>
    <w:next w:val="a2"/>
    <w:uiPriority w:val="99"/>
    <w:semiHidden/>
    <w:unhideWhenUsed/>
    <w:rsid w:val="00D46E9B"/>
  </w:style>
  <w:style w:type="table" w:customStyle="1" w:styleId="6340">
    <w:name w:val="Изысканная таблица634"/>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34">
    <w:name w:val="Нет списка1634"/>
    <w:next w:val="a2"/>
    <w:uiPriority w:val="99"/>
    <w:semiHidden/>
    <w:unhideWhenUsed/>
    <w:rsid w:val="00D46E9B"/>
  </w:style>
  <w:style w:type="table" w:customStyle="1" w:styleId="21340">
    <w:name w:val="Сетка таблицы2134"/>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41">
    <w:name w:val="Сетка таблицы334"/>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4">
    <w:name w:val="Сетка таблицы2234"/>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41">
    <w:name w:val="Сетка таблицы434"/>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41">
    <w:name w:val="Сетка таблицы534"/>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41">
    <w:name w:val="Сетка таблицы634"/>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40">
    <w:name w:val="Сетка таблицы734"/>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Светлая заливка - Акцент 134"/>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34">
    <w:name w:val="Сетка таблицы834"/>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4">
    <w:name w:val="Сетка таблицы934"/>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40">
    <w:name w:val="Сетка таблицы1224"/>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40">
    <w:name w:val="Нет списка824"/>
    <w:next w:val="a2"/>
    <w:uiPriority w:val="99"/>
    <w:semiHidden/>
    <w:unhideWhenUsed/>
    <w:rsid w:val="00D46E9B"/>
  </w:style>
  <w:style w:type="table" w:customStyle="1" w:styleId="10240">
    <w:name w:val="Сетка таблицы1024"/>
    <w:basedOn w:val="a1"/>
    <w:next w:val="aff0"/>
    <w:uiPriority w:val="3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41">
    <w:name w:val="Изысканная таблица724"/>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24">
    <w:name w:val="Нет списка1724"/>
    <w:next w:val="a2"/>
    <w:uiPriority w:val="99"/>
    <w:semiHidden/>
    <w:unhideWhenUsed/>
    <w:rsid w:val="00D46E9B"/>
  </w:style>
  <w:style w:type="table" w:customStyle="1" w:styleId="13241">
    <w:name w:val="Сетка таблицы1324"/>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240">
    <w:name w:val="Нет списка2224"/>
    <w:next w:val="a2"/>
    <w:uiPriority w:val="99"/>
    <w:semiHidden/>
    <w:unhideWhenUsed/>
    <w:rsid w:val="00D46E9B"/>
  </w:style>
  <w:style w:type="table" w:customStyle="1" w:styleId="2324">
    <w:name w:val="Сетка таблицы2324"/>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42">
    <w:name w:val="Изысканная таблица1124"/>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24">
    <w:name w:val="Нет списка11224"/>
    <w:next w:val="a2"/>
    <w:uiPriority w:val="99"/>
    <w:semiHidden/>
    <w:unhideWhenUsed/>
    <w:rsid w:val="00D46E9B"/>
  </w:style>
  <w:style w:type="table" w:customStyle="1" w:styleId="111240">
    <w:name w:val="Сетка таблицы11124"/>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24">
    <w:name w:val="Нет списка21124"/>
    <w:next w:val="a2"/>
    <w:uiPriority w:val="99"/>
    <w:semiHidden/>
    <w:unhideWhenUsed/>
    <w:rsid w:val="00D46E9B"/>
  </w:style>
  <w:style w:type="numbering" w:customStyle="1" w:styleId="111124">
    <w:name w:val="Нет списка111124"/>
    <w:next w:val="a2"/>
    <w:uiPriority w:val="99"/>
    <w:semiHidden/>
    <w:unhideWhenUsed/>
    <w:rsid w:val="00D46E9B"/>
  </w:style>
  <w:style w:type="numbering" w:customStyle="1" w:styleId="3124">
    <w:name w:val="Нет списка3124"/>
    <w:next w:val="a2"/>
    <w:uiPriority w:val="99"/>
    <w:semiHidden/>
    <w:unhideWhenUsed/>
    <w:rsid w:val="00D46E9B"/>
  </w:style>
  <w:style w:type="table" w:customStyle="1" w:styleId="21241">
    <w:name w:val="Изысканная таблица2124"/>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24">
    <w:name w:val="Нет списка12124"/>
    <w:next w:val="a2"/>
    <w:uiPriority w:val="99"/>
    <w:semiHidden/>
    <w:unhideWhenUsed/>
    <w:rsid w:val="00D46E9B"/>
  </w:style>
  <w:style w:type="numbering" w:customStyle="1" w:styleId="4124">
    <w:name w:val="Нет списка4124"/>
    <w:next w:val="a2"/>
    <w:uiPriority w:val="99"/>
    <w:semiHidden/>
    <w:unhideWhenUsed/>
    <w:rsid w:val="00D46E9B"/>
  </w:style>
  <w:style w:type="table" w:customStyle="1" w:styleId="31240">
    <w:name w:val="Изысканная таблица3124"/>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240">
    <w:name w:val="Нет списка13124"/>
    <w:next w:val="a2"/>
    <w:uiPriority w:val="99"/>
    <w:semiHidden/>
    <w:unhideWhenUsed/>
    <w:rsid w:val="00D46E9B"/>
  </w:style>
  <w:style w:type="numbering" w:customStyle="1" w:styleId="5124">
    <w:name w:val="Нет списка5124"/>
    <w:next w:val="a2"/>
    <w:uiPriority w:val="99"/>
    <w:semiHidden/>
    <w:unhideWhenUsed/>
    <w:rsid w:val="00D46E9B"/>
  </w:style>
  <w:style w:type="table" w:customStyle="1" w:styleId="41240">
    <w:name w:val="Изысканная таблица4124"/>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24">
    <w:name w:val="Нет списка14124"/>
    <w:next w:val="a2"/>
    <w:uiPriority w:val="99"/>
    <w:semiHidden/>
    <w:unhideWhenUsed/>
    <w:rsid w:val="00D46E9B"/>
  </w:style>
  <w:style w:type="numbering" w:customStyle="1" w:styleId="6124">
    <w:name w:val="Нет списка6124"/>
    <w:next w:val="a2"/>
    <w:uiPriority w:val="99"/>
    <w:semiHidden/>
    <w:unhideWhenUsed/>
    <w:rsid w:val="00D46E9B"/>
  </w:style>
  <w:style w:type="table" w:customStyle="1" w:styleId="51240">
    <w:name w:val="Изысканная таблица5124"/>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24">
    <w:name w:val="Нет списка15124"/>
    <w:next w:val="a2"/>
    <w:uiPriority w:val="99"/>
    <w:semiHidden/>
    <w:unhideWhenUsed/>
    <w:rsid w:val="00D46E9B"/>
  </w:style>
  <w:style w:type="numbering" w:customStyle="1" w:styleId="7124">
    <w:name w:val="Нет списка7124"/>
    <w:next w:val="a2"/>
    <w:uiPriority w:val="99"/>
    <w:semiHidden/>
    <w:unhideWhenUsed/>
    <w:rsid w:val="00D46E9B"/>
  </w:style>
  <w:style w:type="table" w:customStyle="1" w:styleId="61240">
    <w:name w:val="Изысканная таблица6124"/>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24">
    <w:name w:val="Нет списка16124"/>
    <w:next w:val="a2"/>
    <w:uiPriority w:val="99"/>
    <w:semiHidden/>
    <w:unhideWhenUsed/>
    <w:rsid w:val="00D46E9B"/>
  </w:style>
  <w:style w:type="table" w:customStyle="1" w:styleId="211240">
    <w:name w:val="Сетка таблицы21124"/>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41">
    <w:name w:val="Сетка таблицы3124"/>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4">
    <w:name w:val="Сетка таблицы22124"/>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41">
    <w:name w:val="Сетка таблицы4124"/>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41">
    <w:name w:val="Сетка таблицы5124"/>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41">
    <w:name w:val="Сетка таблицы6124"/>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40">
    <w:name w:val="Сетка таблицы7124"/>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4">
    <w:name w:val="Светлая заливка - Акцент 1124"/>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24">
    <w:name w:val="Сетка таблицы8124"/>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40">
    <w:name w:val="Сетка таблицы9124"/>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42">
    <w:name w:val="Нет списка914"/>
    <w:next w:val="a2"/>
    <w:uiPriority w:val="99"/>
    <w:semiHidden/>
    <w:unhideWhenUsed/>
    <w:rsid w:val="00D46E9B"/>
  </w:style>
  <w:style w:type="table" w:customStyle="1" w:styleId="14140">
    <w:name w:val="Сетка таблицы1414"/>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42">
    <w:name w:val="Изысканная таблица814"/>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814">
    <w:name w:val="Нет списка1814"/>
    <w:next w:val="a2"/>
    <w:uiPriority w:val="99"/>
    <w:semiHidden/>
    <w:unhideWhenUsed/>
    <w:rsid w:val="00D46E9B"/>
  </w:style>
  <w:style w:type="table" w:customStyle="1" w:styleId="15140">
    <w:name w:val="Сетка таблицы1514"/>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3140">
    <w:name w:val="Нет списка2314"/>
    <w:next w:val="a2"/>
    <w:uiPriority w:val="99"/>
    <w:semiHidden/>
    <w:unhideWhenUsed/>
    <w:rsid w:val="00D46E9B"/>
  </w:style>
  <w:style w:type="table" w:customStyle="1" w:styleId="2414">
    <w:name w:val="Сетка таблицы2414"/>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2">
    <w:name w:val="Изысканная таблица1214"/>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314">
    <w:name w:val="Нет списка11314"/>
    <w:next w:val="a2"/>
    <w:uiPriority w:val="99"/>
    <w:semiHidden/>
    <w:unhideWhenUsed/>
    <w:rsid w:val="00D46E9B"/>
  </w:style>
  <w:style w:type="table" w:customStyle="1" w:styleId="112140">
    <w:name w:val="Сетка таблицы11214"/>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214">
    <w:name w:val="Нет списка21214"/>
    <w:next w:val="a2"/>
    <w:uiPriority w:val="99"/>
    <w:semiHidden/>
    <w:unhideWhenUsed/>
    <w:rsid w:val="00D46E9B"/>
  </w:style>
  <w:style w:type="numbering" w:customStyle="1" w:styleId="111214">
    <w:name w:val="Нет списка111214"/>
    <w:next w:val="a2"/>
    <w:uiPriority w:val="99"/>
    <w:semiHidden/>
    <w:unhideWhenUsed/>
    <w:rsid w:val="00D46E9B"/>
  </w:style>
  <w:style w:type="numbering" w:customStyle="1" w:styleId="3214">
    <w:name w:val="Нет списка3214"/>
    <w:next w:val="a2"/>
    <w:uiPriority w:val="99"/>
    <w:semiHidden/>
    <w:unhideWhenUsed/>
    <w:rsid w:val="00D46E9B"/>
  </w:style>
  <w:style w:type="table" w:customStyle="1" w:styleId="22142">
    <w:name w:val="Изысканная таблица2214"/>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214">
    <w:name w:val="Нет списка12214"/>
    <w:next w:val="a2"/>
    <w:uiPriority w:val="99"/>
    <w:semiHidden/>
    <w:unhideWhenUsed/>
    <w:rsid w:val="00D46E9B"/>
  </w:style>
  <w:style w:type="numbering" w:customStyle="1" w:styleId="4214">
    <w:name w:val="Нет списка4214"/>
    <w:next w:val="a2"/>
    <w:uiPriority w:val="99"/>
    <w:semiHidden/>
    <w:unhideWhenUsed/>
    <w:rsid w:val="00D46E9B"/>
  </w:style>
  <w:style w:type="table" w:customStyle="1" w:styleId="32140">
    <w:name w:val="Изысканная таблица3214"/>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2140">
    <w:name w:val="Нет списка13214"/>
    <w:next w:val="a2"/>
    <w:uiPriority w:val="99"/>
    <w:semiHidden/>
    <w:unhideWhenUsed/>
    <w:rsid w:val="00D46E9B"/>
  </w:style>
  <w:style w:type="numbering" w:customStyle="1" w:styleId="5214">
    <w:name w:val="Нет списка5214"/>
    <w:next w:val="a2"/>
    <w:uiPriority w:val="99"/>
    <w:semiHidden/>
    <w:unhideWhenUsed/>
    <w:rsid w:val="00D46E9B"/>
  </w:style>
  <w:style w:type="table" w:customStyle="1" w:styleId="42140">
    <w:name w:val="Изысканная таблица4214"/>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214">
    <w:name w:val="Нет списка14214"/>
    <w:next w:val="a2"/>
    <w:uiPriority w:val="99"/>
    <w:semiHidden/>
    <w:unhideWhenUsed/>
    <w:rsid w:val="00D46E9B"/>
  </w:style>
  <w:style w:type="numbering" w:customStyle="1" w:styleId="6214">
    <w:name w:val="Нет списка6214"/>
    <w:next w:val="a2"/>
    <w:uiPriority w:val="99"/>
    <w:semiHidden/>
    <w:unhideWhenUsed/>
    <w:rsid w:val="00D46E9B"/>
  </w:style>
  <w:style w:type="table" w:customStyle="1" w:styleId="52140">
    <w:name w:val="Изысканная таблица5214"/>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214">
    <w:name w:val="Нет списка15214"/>
    <w:next w:val="a2"/>
    <w:uiPriority w:val="99"/>
    <w:semiHidden/>
    <w:unhideWhenUsed/>
    <w:rsid w:val="00D46E9B"/>
  </w:style>
  <w:style w:type="numbering" w:customStyle="1" w:styleId="7214">
    <w:name w:val="Нет списка7214"/>
    <w:next w:val="a2"/>
    <w:uiPriority w:val="99"/>
    <w:semiHidden/>
    <w:unhideWhenUsed/>
    <w:rsid w:val="00D46E9B"/>
  </w:style>
  <w:style w:type="table" w:customStyle="1" w:styleId="62140">
    <w:name w:val="Изысканная таблица6214"/>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214">
    <w:name w:val="Нет списка16214"/>
    <w:next w:val="a2"/>
    <w:uiPriority w:val="99"/>
    <w:semiHidden/>
    <w:unhideWhenUsed/>
    <w:rsid w:val="00D46E9B"/>
  </w:style>
  <w:style w:type="table" w:customStyle="1" w:styleId="212140">
    <w:name w:val="Сетка таблицы21214"/>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41">
    <w:name w:val="Сетка таблицы3214"/>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14">
    <w:name w:val="Сетка таблицы22214"/>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41">
    <w:name w:val="Сетка таблицы4214"/>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41">
    <w:name w:val="Сетка таблицы5214"/>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41">
    <w:name w:val="Сетка таблицы6214"/>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40">
    <w:name w:val="Сетка таблицы7214"/>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
    <w:name w:val="Светлая заливка - Акцент 1214"/>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214">
    <w:name w:val="Сетка таблицы8214"/>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140">
    <w:name w:val="Сетка таблицы9214"/>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40">
    <w:name w:val="Сетка таблицы12114"/>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40">
    <w:name w:val="Нет списка8114"/>
    <w:next w:val="a2"/>
    <w:uiPriority w:val="99"/>
    <w:semiHidden/>
    <w:unhideWhenUsed/>
    <w:rsid w:val="00D46E9B"/>
  </w:style>
  <w:style w:type="table" w:customStyle="1" w:styleId="101140">
    <w:name w:val="Сетка таблицы10114"/>
    <w:basedOn w:val="a1"/>
    <w:next w:val="aff0"/>
    <w:uiPriority w:val="3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41">
    <w:name w:val="Изысканная таблица7114"/>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114">
    <w:name w:val="Нет списка17114"/>
    <w:next w:val="a2"/>
    <w:uiPriority w:val="99"/>
    <w:semiHidden/>
    <w:unhideWhenUsed/>
    <w:rsid w:val="00D46E9B"/>
  </w:style>
  <w:style w:type="table" w:customStyle="1" w:styleId="131141">
    <w:name w:val="Сетка таблицы13114"/>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1140">
    <w:name w:val="Нет списка22114"/>
    <w:next w:val="a2"/>
    <w:uiPriority w:val="99"/>
    <w:semiHidden/>
    <w:unhideWhenUsed/>
    <w:rsid w:val="00D46E9B"/>
  </w:style>
  <w:style w:type="table" w:customStyle="1" w:styleId="23114">
    <w:name w:val="Сетка таблицы23114"/>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42">
    <w:name w:val="Изысканная таблица11114"/>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114">
    <w:name w:val="Нет списка112114"/>
    <w:next w:val="a2"/>
    <w:uiPriority w:val="99"/>
    <w:semiHidden/>
    <w:unhideWhenUsed/>
    <w:rsid w:val="00D46E9B"/>
  </w:style>
  <w:style w:type="table" w:customStyle="1" w:styleId="1111140">
    <w:name w:val="Сетка таблицы111114"/>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114">
    <w:name w:val="Нет списка211114"/>
    <w:next w:val="a2"/>
    <w:uiPriority w:val="99"/>
    <w:semiHidden/>
    <w:unhideWhenUsed/>
    <w:rsid w:val="00D46E9B"/>
  </w:style>
  <w:style w:type="numbering" w:customStyle="1" w:styleId="1111114">
    <w:name w:val="Нет списка1111114"/>
    <w:next w:val="a2"/>
    <w:uiPriority w:val="99"/>
    <w:semiHidden/>
    <w:unhideWhenUsed/>
    <w:rsid w:val="00D46E9B"/>
  </w:style>
  <w:style w:type="numbering" w:customStyle="1" w:styleId="31114">
    <w:name w:val="Нет списка31114"/>
    <w:next w:val="a2"/>
    <w:uiPriority w:val="99"/>
    <w:semiHidden/>
    <w:unhideWhenUsed/>
    <w:rsid w:val="00D46E9B"/>
  </w:style>
  <w:style w:type="table" w:customStyle="1" w:styleId="211141">
    <w:name w:val="Изысканная таблица21114"/>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114">
    <w:name w:val="Нет списка121114"/>
    <w:next w:val="a2"/>
    <w:uiPriority w:val="99"/>
    <w:semiHidden/>
    <w:unhideWhenUsed/>
    <w:rsid w:val="00D46E9B"/>
  </w:style>
  <w:style w:type="numbering" w:customStyle="1" w:styleId="41114">
    <w:name w:val="Нет списка41114"/>
    <w:next w:val="a2"/>
    <w:uiPriority w:val="99"/>
    <w:semiHidden/>
    <w:unhideWhenUsed/>
    <w:rsid w:val="00D46E9B"/>
  </w:style>
  <w:style w:type="table" w:customStyle="1" w:styleId="311140">
    <w:name w:val="Изысканная таблица31114"/>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1140">
    <w:name w:val="Нет списка131114"/>
    <w:next w:val="a2"/>
    <w:uiPriority w:val="99"/>
    <w:semiHidden/>
    <w:unhideWhenUsed/>
    <w:rsid w:val="00D46E9B"/>
  </w:style>
  <w:style w:type="numbering" w:customStyle="1" w:styleId="51114">
    <w:name w:val="Нет списка51114"/>
    <w:next w:val="a2"/>
    <w:uiPriority w:val="99"/>
    <w:semiHidden/>
    <w:unhideWhenUsed/>
    <w:rsid w:val="00D46E9B"/>
  </w:style>
  <w:style w:type="table" w:customStyle="1" w:styleId="411140">
    <w:name w:val="Изысканная таблица41114"/>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114">
    <w:name w:val="Нет списка141114"/>
    <w:next w:val="a2"/>
    <w:uiPriority w:val="99"/>
    <w:semiHidden/>
    <w:unhideWhenUsed/>
    <w:rsid w:val="00D46E9B"/>
  </w:style>
  <w:style w:type="numbering" w:customStyle="1" w:styleId="61114">
    <w:name w:val="Нет списка61114"/>
    <w:next w:val="a2"/>
    <w:uiPriority w:val="99"/>
    <w:semiHidden/>
    <w:unhideWhenUsed/>
    <w:rsid w:val="00D46E9B"/>
  </w:style>
  <w:style w:type="table" w:customStyle="1" w:styleId="511140">
    <w:name w:val="Изысканная таблица51114"/>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114">
    <w:name w:val="Нет списка151114"/>
    <w:next w:val="a2"/>
    <w:uiPriority w:val="99"/>
    <w:semiHidden/>
    <w:unhideWhenUsed/>
    <w:rsid w:val="00D46E9B"/>
  </w:style>
  <w:style w:type="numbering" w:customStyle="1" w:styleId="71114">
    <w:name w:val="Нет списка71114"/>
    <w:next w:val="a2"/>
    <w:uiPriority w:val="99"/>
    <w:semiHidden/>
    <w:unhideWhenUsed/>
    <w:rsid w:val="00D46E9B"/>
  </w:style>
  <w:style w:type="table" w:customStyle="1" w:styleId="611140">
    <w:name w:val="Изысканная таблица61114"/>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114">
    <w:name w:val="Нет списка161114"/>
    <w:next w:val="a2"/>
    <w:uiPriority w:val="99"/>
    <w:semiHidden/>
    <w:unhideWhenUsed/>
    <w:rsid w:val="00D46E9B"/>
  </w:style>
  <w:style w:type="table" w:customStyle="1" w:styleId="2111140">
    <w:name w:val="Сетка таблицы211114"/>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41">
    <w:name w:val="Сетка таблицы31114"/>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4">
    <w:name w:val="Сетка таблицы221114"/>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41">
    <w:name w:val="Сетка таблицы41114"/>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41">
    <w:name w:val="Сетка таблицы51114"/>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41">
    <w:name w:val="Сетка таблицы61114"/>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40">
    <w:name w:val="Сетка таблицы71114"/>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4">
    <w:name w:val="Светлая заливка - Акцент 11114"/>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114">
    <w:name w:val="Сетка таблицы81114"/>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140">
    <w:name w:val="Сетка таблицы91114"/>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3">
    <w:name w:val="Нет списка203"/>
    <w:next w:val="a2"/>
    <w:uiPriority w:val="99"/>
    <w:semiHidden/>
    <w:unhideWhenUsed/>
    <w:rsid w:val="00D46E9B"/>
  </w:style>
  <w:style w:type="table" w:customStyle="1" w:styleId="1830">
    <w:name w:val="Сетка таблицы183"/>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3">
    <w:name w:val="Изысканная таблица10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030">
    <w:name w:val="Нет списка1103"/>
    <w:next w:val="a2"/>
    <w:uiPriority w:val="99"/>
    <w:semiHidden/>
    <w:unhideWhenUsed/>
    <w:rsid w:val="00D46E9B"/>
  </w:style>
  <w:style w:type="table" w:customStyle="1" w:styleId="1930">
    <w:name w:val="Сетка таблицы193"/>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530">
    <w:name w:val="Нет списка253"/>
    <w:next w:val="a2"/>
    <w:uiPriority w:val="99"/>
    <w:semiHidden/>
    <w:unhideWhenUsed/>
    <w:rsid w:val="00D46E9B"/>
  </w:style>
  <w:style w:type="table" w:customStyle="1" w:styleId="263">
    <w:name w:val="Сетка таблицы263"/>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5">
    <w:name w:val="Изысканная таблица14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53">
    <w:name w:val="Нет списка1153"/>
    <w:next w:val="a2"/>
    <w:uiPriority w:val="99"/>
    <w:semiHidden/>
    <w:unhideWhenUsed/>
    <w:rsid w:val="00D46E9B"/>
  </w:style>
  <w:style w:type="table" w:customStyle="1" w:styleId="11430">
    <w:name w:val="Сетка таблицы1143"/>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43">
    <w:name w:val="Нет списка2143"/>
    <w:next w:val="a2"/>
    <w:uiPriority w:val="99"/>
    <w:semiHidden/>
    <w:unhideWhenUsed/>
    <w:rsid w:val="00D46E9B"/>
  </w:style>
  <w:style w:type="numbering" w:customStyle="1" w:styleId="11143">
    <w:name w:val="Нет списка11143"/>
    <w:next w:val="a2"/>
    <w:uiPriority w:val="99"/>
    <w:semiHidden/>
    <w:unhideWhenUsed/>
    <w:rsid w:val="00D46E9B"/>
  </w:style>
  <w:style w:type="numbering" w:customStyle="1" w:styleId="343">
    <w:name w:val="Нет списка343"/>
    <w:next w:val="a2"/>
    <w:uiPriority w:val="99"/>
    <w:semiHidden/>
    <w:unhideWhenUsed/>
    <w:rsid w:val="00D46E9B"/>
  </w:style>
  <w:style w:type="table" w:customStyle="1" w:styleId="2432">
    <w:name w:val="Изысканная таблица24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43">
    <w:name w:val="Нет списка1243"/>
    <w:next w:val="a2"/>
    <w:uiPriority w:val="99"/>
    <w:semiHidden/>
    <w:unhideWhenUsed/>
    <w:rsid w:val="00D46E9B"/>
  </w:style>
  <w:style w:type="numbering" w:customStyle="1" w:styleId="443">
    <w:name w:val="Нет списка443"/>
    <w:next w:val="a2"/>
    <w:uiPriority w:val="99"/>
    <w:semiHidden/>
    <w:unhideWhenUsed/>
    <w:rsid w:val="00D46E9B"/>
  </w:style>
  <w:style w:type="table" w:customStyle="1" w:styleId="3430">
    <w:name w:val="Изысканная таблица34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430">
    <w:name w:val="Нет списка1343"/>
    <w:next w:val="a2"/>
    <w:uiPriority w:val="99"/>
    <w:semiHidden/>
    <w:unhideWhenUsed/>
    <w:rsid w:val="00D46E9B"/>
  </w:style>
  <w:style w:type="numbering" w:customStyle="1" w:styleId="543">
    <w:name w:val="Нет списка543"/>
    <w:next w:val="a2"/>
    <w:uiPriority w:val="99"/>
    <w:semiHidden/>
    <w:unhideWhenUsed/>
    <w:rsid w:val="00D46E9B"/>
  </w:style>
  <w:style w:type="table" w:customStyle="1" w:styleId="4430">
    <w:name w:val="Изысканная таблица44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43">
    <w:name w:val="Нет списка1443"/>
    <w:next w:val="a2"/>
    <w:uiPriority w:val="99"/>
    <w:semiHidden/>
    <w:unhideWhenUsed/>
    <w:rsid w:val="00D46E9B"/>
  </w:style>
  <w:style w:type="numbering" w:customStyle="1" w:styleId="643">
    <w:name w:val="Нет списка643"/>
    <w:next w:val="a2"/>
    <w:uiPriority w:val="99"/>
    <w:semiHidden/>
    <w:unhideWhenUsed/>
    <w:rsid w:val="00D46E9B"/>
  </w:style>
  <w:style w:type="table" w:customStyle="1" w:styleId="5430">
    <w:name w:val="Изысканная таблица54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43">
    <w:name w:val="Нет списка1543"/>
    <w:next w:val="a2"/>
    <w:uiPriority w:val="99"/>
    <w:semiHidden/>
    <w:unhideWhenUsed/>
    <w:rsid w:val="00D46E9B"/>
  </w:style>
  <w:style w:type="numbering" w:customStyle="1" w:styleId="743">
    <w:name w:val="Нет списка743"/>
    <w:next w:val="a2"/>
    <w:uiPriority w:val="99"/>
    <w:semiHidden/>
    <w:unhideWhenUsed/>
    <w:rsid w:val="00D46E9B"/>
  </w:style>
  <w:style w:type="table" w:customStyle="1" w:styleId="6430">
    <w:name w:val="Изысканная таблица64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43">
    <w:name w:val="Нет списка1643"/>
    <w:next w:val="a2"/>
    <w:uiPriority w:val="99"/>
    <w:semiHidden/>
    <w:unhideWhenUsed/>
    <w:rsid w:val="00D46E9B"/>
  </w:style>
  <w:style w:type="table" w:customStyle="1" w:styleId="21430">
    <w:name w:val="Сетка таблицы2143"/>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1">
    <w:name w:val="Сетка таблицы343"/>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3">
    <w:name w:val="Сетка таблицы2243"/>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31">
    <w:name w:val="Сетка таблицы443"/>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31">
    <w:name w:val="Сетка таблицы543"/>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31">
    <w:name w:val="Сетка таблицы643"/>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30">
    <w:name w:val="Сетка таблицы743"/>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Светлая заливка - Акцент 143"/>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43">
    <w:name w:val="Сетка таблицы843"/>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30">
    <w:name w:val="Сетка таблицы943"/>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30">
    <w:name w:val="Сетка таблицы1233"/>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30">
    <w:name w:val="Нет списка833"/>
    <w:next w:val="a2"/>
    <w:uiPriority w:val="99"/>
    <w:semiHidden/>
    <w:unhideWhenUsed/>
    <w:rsid w:val="00D46E9B"/>
  </w:style>
  <w:style w:type="table" w:customStyle="1" w:styleId="10330">
    <w:name w:val="Сетка таблицы1033"/>
    <w:basedOn w:val="a1"/>
    <w:next w:val="aff0"/>
    <w:uiPriority w:val="3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31">
    <w:name w:val="Изысканная таблица73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33">
    <w:name w:val="Нет списка1733"/>
    <w:next w:val="a2"/>
    <w:uiPriority w:val="99"/>
    <w:semiHidden/>
    <w:unhideWhenUsed/>
    <w:rsid w:val="00D46E9B"/>
  </w:style>
  <w:style w:type="table" w:customStyle="1" w:styleId="13331">
    <w:name w:val="Сетка таблицы1333"/>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330">
    <w:name w:val="Нет списка2233"/>
    <w:next w:val="a2"/>
    <w:uiPriority w:val="99"/>
    <w:semiHidden/>
    <w:unhideWhenUsed/>
    <w:rsid w:val="00D46E9B"/>
  </w:style>
  <w:style w:type="table" w:customStyle="1" w:styleId="2333">
    <w:name w:val="Сетка таблицы2333"/>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2">
    <w:name w:val="Изысканная таблица113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33">
    <w:name w:val="Нет списка11233"/>
    <w:next w:val="a2"/>
    <w:uiPriority w:val="99"/>
    <w:semiHidden/>
    <w:unhideWhenUsed/>
    <w:rsid w:val="00D46E9B"/>
  </w:style>
  <w:style w:type="table" w:customStyle="1" w:styleId="111330">
    <w:name w:val="Сетка таблицы11133"/>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33">
    <w:name w:val="Нет списка21133"/>
    <w:next w:val="a2"/>
    <w:uiPriority w:val="99"/>
    <w:semiHidden/>
    <w:unhideWhenUsed/>
    <w:rsid w:val="00D46E9B"/>
  </w:style>
  <w:style w:type="numbering" w:customStyle="1" w:styleId="111133">
    <w:name w:val="Нет списка111133"/>
    <w:next w:val="a2"/>
    <w:uiPriority w:val="99"/>
    <w:semiHidden/>
    <w:unhideWhenUsed/>
    <w:rsid w:val="00D46E9B"/>
  </w:style>
  <w:style w:type="numbering" w:customStyle="1" w:styleId="3133">
    <w:name w:val="Нет списка3133"/>
    <w:next w:val="a2"/>
    <w:uiPriority w:val="99"/>
    <w:semiHidden/>
    <w:unhideWhenUsed/>
    <w:rsid w:val="00D46E9B"/>
  </w:style>
  <w:style w:type="table" w:customStyle="1" w:styleId="21331">
    <w:name w:val="Изысканная таблица213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33">
    <w:name w:val="Нет списка12133"/>
    <w:next w:val="a2"/>
    <w:uiPriority w:val="99"/>
    <w:semiHidden/>
    <w:unhideWhenUsed/>
    <w:rsid w:val="00D46E9B"/>
  </w:style>
  <w:style w:type="numbering" w:customStyle="1" w:styleId="4133">
    <w:name w:val="Нет списка4133"/>
    <w:next w:val="a2"/>
    <w:uiPriority w:val="99"/>
    <w:semiHidden/>
    <w:unhideWhenUsed/>
    <w:rsid w:val="00D46E9B"/>
  </w:style>
  <w:style w:type="table" w:customStyle="1" w:styleId="31330">
    <w:name w:val="Изысканная таблица313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33">
    <w:name w:val="Нет списка13133"/>
    <w:next w:val="a2"/>
    <w:uiPriority w:val="99"/>
    <w:semiHidden/>
    <w:unhideWhenUsed/>
    <w:rsid w:val="00D46E9B"/>
  </w:style>
  <w:style w:type="numbering" w:customStyle="1" w:styleId="5133">
    <w:name w:val="Нет списка5133"/>
    <w:next w:val="a2"/>
    <w:uiPriority w:val="99"/>
    <w:semiHidden/>
    <w:unhideWhenUsed/>
    <w:rsid w:val="00D46E9B"/>
  </w:style>
  <w:style w:type="table" w:customStyle="1" w:styleId="41330">
    <w:name w:val="Изысканная таблица413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33">
    <w:name w:val="Нет списка14133"/>
    <w:next w:val="a2"/>
    <w:uiPriority w:val="99"/>
    <w:semiHidden/>
    <w:unhideWhenUsed/>
    <w:rsid w:val="00D46E9B"/>
  </w:style>
  <w:style w:type="numbering" w:customStyle="1" w:styleId="6133">
    <w:name w:val="Нет списка6133"/>
    <w:next w:val="a2"/>
    <w:uiPriority w:val="99"/>
    <w:semiHidden/>
    <w:unhideWhenUsed/>
    <w:rsid w:val="00D46E9B"/>
  </w:style>
  <w:style w:type="table" w:customStyle="1" w:styleId="51330">
    <w:name w:val="Изысканная таблица513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33">
    <w:name w:val="Нет списка15133"/>
    <w:next w:val="a2"/>
    <w:uiPriority w:val="99"/>
    <w:semiHidden/>
    <w:unhideWhenUsed/>
    <w:rsid w:val="00D46E9B"/>
  </w:style>
  <w:style w:type="numbering" w:customStyle="1" w:styleId="7133">
    <w:name w:val="Нет списка7133"/>
    <w:next w:val="a2"/>
    <w:uiPriority w:val="99"/>
    <w:semiHidden/>
    <w:unhideWhenUsed/>
    <w:rsid w:val="00D46E9B"/>
  </w:style>
  <w:style w:type="table" w:customStyle="1" w:styleId="61330">
    <w:name w:val="Изысканная таблица613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33">
    <w:name w:val="Нет списка16133"/>
    <w:next w:val="a2"/>
    <w:uiPriority w:val="99"/>
    <w:semiHidden/>
    <w:unhideWhenUsed/>
    <w:rsid w:val="00D46E9B"/>
  </w:style>
  <w:style w:type="table" w:customStyle="1" w:styleId="211330">
    <w:name w:val="Сетка таблицы21133"/>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31">
    <w:name w:val="Сетка таблицы3133"/>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3">
    <w:name w:val="Сетка таблицы22133"/>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31">
    <w:name w:val="Сетка таблицы4133"/>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31">
    <w:name w:val="Сетка таблицы5133"/>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31">
    <w:name w:val="Сетка таблицы6133"/>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30">
    <w:name w:val="Сетка таблицы7133"/>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
    <w:name w:val="Светлая заливка - Акцент 1133"/>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33">
    <w:name w:val="Сетка таблицы8133"/>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33">
    <w:name w:val="Сетка таблицы9133"/>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30">
    <w:name w:val="Нет списка923"/>
    <w:next w:val="a2"/>
    <w:uiPriority w:val="99"/>
    <w:semiHidden/>
    <w:unhideWhenUsed/>
    <w:rsid w:val="00D46E9B"/>
  </w:style>
  <w:style w:type="table" w:customStyle="1" w:styleId="14230">
    <w:name w:val="Сетка таблицы1423"/>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32">
    <w:name w:val="Изысканная таблица82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823">
    <w:name w:val="Нет списка1823"/>
    <w:next w:val="a2"/>
    <w:uiPriority w:val="99"/>
    <w:semiHidden/>
    <w:unhideWhenUsed/>
    <w:rsid w:val="00D46E9B"/>
  </w:style>
  <w:style w:type="table" w:customStyle="1" w:styleId="15230">
    <w:name w:val="Сетка таблицы1523"/>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3230">
    <w:name w:val="Нет списка2323"/>
    <w:next w:val="a2"/>
    <w:uiPriority w:val="99"/>
    <w:semiHidden/>
    <w:unhideWhenUsed/>
    <w:rsid w:val="00D46E9B"/>
  </w:style>
  <w:style w:type="table" w:customStyle="1" w:styleId="2423">
    <w:name w:val="Сетка таблицы2423"/>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32">
    <w:name w:val="Изысканная таблица122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323">
    <w:name w:val="Нет списка11323"/>
    <w:next w:val="a2"/>
    <w:uiPriority w:val="99"/>
    <w:semiHidden/>
    <w:unhideWhenUsed/>
    <w:rsid w:val="00D46E9B"/>
  </w:style>
  <w:style w:type="table" w:customStyle="1" w:styleId="112230">
    <w:name w:val="Сетка таблицы11223"/>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223">
    <w:name w:val="Нет списка21223"/>
    <w:next w:val="a2"/>
    <w:uiPriority w:val="99"/>
    <w:semiHidden/>
    <w:unhideWhenUsed/>
    <w:rsid w:val="00D46E9B"/>
  </w:style>
  <w:style w:type="numbering" w:customStyle="1" w:styleId="1112230">
    <w:name w:val="Нет списка111223"/>
    <w:next w:val="a2"/>
    <w:uiPriority w:val="99"/>
    <w:semiHidden/>
    <w:unhideWhenUsed/>
    <w:rsid w:val="00D46E9B"/>
  </w:style>
  <w:style w:type="numbering" w:customStyle="1" w:styleId="3223">
    <w:name w:val="Нет списка3223"/>
    <w:next w:val="a2"/>
    <w:uiPriority w:val="99"/>
    <w:semiHidden/>
    <w:unhideWhenUsed/>
    <w:rsid w:val="00D46E9B"/>
  </w:style>
  <w:style w:type="table" w:customStyle="1" w:styleId="22232">
    <w:name w:val="Изысканная таблица222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223">
    <w:name w:val="Нет списка12223"/>
    <w:next w:val="a2"/>
    <w:uiPriority w:val="99"/>
    <w:semiHidden/>
    <w:unhideWhenUsed/>
    <w:rsid w:val="00D46E9B"/>
  </w:style>
  <w:style w:type="numbering" w:customStyle="1" w:styleId="4223">
    <w:name w:val="Нет списка4223"/>
    <w:next w:val="a2"/>
    <w:uiPriority w:val="99"/>
    <w:semiHidden/>
    <w:unhideWhenUsed/>
    <w:rsid w:val="00D46E9B"/>
  </w:style>
  <w:style w:type="table" w:customStyle="1" w:styleId="32230">
    <w:name w:val="Изысканная таблица322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223">
    <w:name w:val="Нет списка13223"/>
    <w:next w:val="a2"/>
    <w:uiPriority w:val="99"/>
    <w:semiHidden/>
    <w:unhideWhenUsed/>
    <w:rsid w:val="00D46E9B"/>
  </w:style>
  <w:style w:type="numbering" w:customStyle="1" w:styleId="5223">
    <w:name w:val="Нет списка5223"/>
    <w:next w:val="a2"/>
    <w:uiPriority w:val="99"/>
    <w:semiHidden/>
    <w:unhideWhenUsed/>
    <w:rsid w:val="00D46E9B"/>
  </w:style>
  <w:style w:type="table" w:customStyle="1" w:styleId="42230">
    <w:name w:val="Изысканная таблица422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223">
    <w:name w:val="Нет списка14223"/>
    <w:next w:val="a2"/>
    <w:uiPriority w:val="99"/>
    <w:semiHidden/>
    <w:unhideWhenUsed/>
    <w:rsid w:val="00D46E9B"/>
  </w:style>
  <w:style w:type="numbering" w:customStyle="1" w:styleId="6223">
    <w:name w:val="Нет списка6223"/>
    <w:next w:val="a2"/>
    <w:uiPriority w:val="99"/>
    <w:semiHidden/>
    <w:unhideWhenUsed/>
    <w:rsid w:val="00D46E9B"/>
  </w:style>
  <w:style w:type="table" w:customStyle="1" w:styleId="52230">
    <w:name w:val="Изысканная таблица522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223">
    <w:name w:val="Нет списка15223"/>
    <w:next w:val="a2"/>
    <w:uiPriority w:val="99"/>
    <w:semiHidden/>
    <w:unhideWhenUsed/>
    <w:rsid w:val="00D46E9B"/>
  </w:style>
  <w:style w:type="numbering" w:customStyle="1" w:styleId="7223">
    <w:name w:val="Нет списка7223"/>
    <w:next w:val="a2"/>
    <w:uiPriority w:val="99"/>
    <w:semiHidden/>
    <w:unhideWhenUsed/>
    <w:rsid w:val="00D46E9B"/>
  </w:style>
  <w:style w:type="table" w:customStyle="1" w:styleId="62230">
    <w:name w:val="Изысканная таблица622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223">
    <w:name w:val="Нет списка16223"/>
    <w:next w:val="a2"/>
    <w:uiPriority w:val="99"/>
    <w:semiHidden/>
    <w:unhideWhenUsed/>
    <w:rsid w:val="00D46E9B"/>
  </w:style>
  <w:style w:type="table" w:customStyle="1" w:styleId="212230">
    <w:name w:val="Сетка таблицы21223"/>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1">
    <w:name w:val="Сетка таблицы3223"/>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3">
    <w:name w:val="Сетка таблицы22223"/>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31">
    <w:name w:val="Сетка таблицы4223"/>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31">
    <w:name w:val="Сетка таблицы5223"/>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31">
    <w:name w:val="Сетка таблицы6223"/>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30">
    <w:name w:val="Сетка таблицы7223"/>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3">
    <w:name w:val="Светлая заливка - Акцент 1223"/>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223">
    <w:name w:val="Сетка таблицы8223"/>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23">
    <w:name w:val="Сетка таблицы9223"/>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31">
    <w:name w:val="Сетка таблицы12123"/>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31">
    <w:name w:val="Нет списка8123"/>
    <w:next w:val="a2"/>
    <w:uiPriority w:val="99"/>
    <w:semiHidden/>
    <w:unhideWhenUsed/>
    <w:rsid w:val="00D46E9B"/>
  </w:style>
  <w:style w:type="table" w:customStyle="1" w:styleId="10123">
    <w:name w:val="Сетка таблицы10123"/>
    <w:basedOn w:val="a1"/>
    <w:next w:val="aff0"/>
    <w:uiPriority w:val="3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31">
    <w:name w:val="Изысканная таблица712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123">
    <w:name w:val="Нет списка17123"/>
    <w:next w:val="a2"/>
    <w:uiPriority w:val="99"/>
    <w:semiHidden/>
    <w:unhideWhenUsed/>
    <w:rsid w:val="00D46E9B"/>
  </w:style>
  <w:style w:type="table" w:customStyle="1" w:styleId="131230">
    <w:name w:val="Сетка таблицы13123"/>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1231">
    <w:name w:val="Нет списка22123"/>
    <w:next w:val="a2"/>
    <w:uiPriority w:val="99"/>
    <w:semiHidden/>
    <w:unhideWhenUsed/>
    <w:rsid w:val="00D46E9B"/>
  </w:style>
  <w:style w:type="table" w:customStyle="1" w:styleId="231230">
    <w:name w:val="Сетка таблицы23123"/>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32">
    <w:name w:val="Изысканная таблица1112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1230">
    <w:name w:val="Нет списка112123"/>
    <w:next w:val="a2"/>
    <w:uiPriority w:val="99"/>
    <w:semiHidden/>
    <w:unhideWhenUsed/>
    <w:rsid w:val="00D46E9B"/>
  </w:style>
  <w:style w:type="table" w:customStyle="1" w:styleId="1111231">
    <w:name w:val="Сетка таблицы111123"/>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123">
    <w:name w:val="Нет списка211123"/>
    <w:next w:val="a2"/>
    <w:uiPriority w:val="99"/>
    <w:semiHidden/>
    <w:unhideWhenUsed/>
    <w:rsid w:val="00D46E9B"/>
  </w:style>
  <w:style w:type="numbering" w:customStyle="1" w:styleId="11111230">
    <w:name w:val="Нет списка1111123"/>
    <w:next w:val="a2"/>
    <w:uiPriority w:val="99"/>
    <w:semiHidden/>
    <w:unhideWhenUsed/>
    <w:rsid w:val="00D46E9B"/>
  </w:style>
  <w:style w:type="numbering" w:customStyle="1" w:styleId="31123">
    <w:name w:val="Нет списка31123"/>
    <w:next w:val="a2"/>
    <w:uiPriority w:val="99"/>
    <w:semiHidden/>
    <w:unhideWhenUsed/>
    <w:rsid w:val="00D46E9B"/>
  </w:style>
  <w:style w:type="table" w:customStyle="1" w:styleId="211231">
    <w:name w:val="Изысканная таблица2112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1230">
    <w:name w:val="Нет списка121123"/>
    <w:next w:val="a2"/>
    <w:uiPriority w:val="99"/>
    <w:semiHidden/>
    <w:unhideWhenUsed/>
    <w:rsid w:val="00D46E9B"/>
  </w:style>
  <w:style w:type="numbering" w:customStyle="1" w:styleId="41123">
    <w:name w:val="Нет списка41123"/>
    <w:next w:val="a2"/>
    <w:uiPriority w:val="99"/>
    <w:semiHidden/>
    <w:unhideWhenUsed/>
    <w:rsid w:val="00D46E9B"/>
  </w:style>
  <w:style w:type="table" w:customStyle="1" w:styleId="311230">
    <w:name w:val="Изысканная таблица3112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123">
    <w:name w:val="Нет списка131123"/>
    <w:next w:val="a2"/>
    <w:uiPriority w:val="99"/>
    <w:semiHidden/>
    <w:unhideWhenUsed/>
    <w:rsid w:val="00D46E9B"/>
  </w:style>
  <w:style w:type="numbering" w:customStyle="1" w:styleId="51123">
    <w:name w:val="Нет списка51123"/>
    <w:next w:val="a2"/>
    <w:uiPriority w:val="99"/>
    <w:semiHidden/>
    <w:unhideWhenUsed/>
    <w:rsid w:val="00D46E9B"/>
  </w:style>
  <w:style w:type="table" w:customStyle="1" w:styleId="411230">
    <w:name w:val="Изысканная таблица4112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123">
    <w:name w:val="Нет списка141123"/>
    <w:next w:val="a2"/>
    <w:uiPriority w:val="99"/>
    <w:semiHidden/>
    <w:unhideWhenUsed/>
    <w:rsid w:val="00D46E9B"/>
  </w:style>
  <w:style w:type="numbering" w:customStyle="1" w:styleId="61123">
    <w:name w:val="Нет списка61123"/>
    <w:next w:val="a2"/>
    <w:uiPriority w:val="99"/>
    <w:semiHidden/>
    <w:unhideWhenUsed/>
    <w:rsid w:val="00D46E9B"/>
  </w:style>
  <w:style w:type="table" w:customStyle="1" w:styleId="511230">
    <w:name w:val="Изысканная таблица5112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123">
    <w:name w:val="Нет списка151123"/>
    <w:next w:val="a2"/>
    <w:uiPriority w:val="99"/>
    <w:semiHidden/>
    <w:unhideWhenUsed/>
    <w:rsid w:val="00D46E9B"/>
  </w:style>
  <w:style w:type="numbering" w:customStyle="1" w:styleId="71123">
    <w:name w:val="Нет списка71123"/>
    <w:next w:val="a2"/>
    <w:uiPriority w:val="99"/>
    <w:semiHidden/>
    <w:unhideWhenUsed/>
    <w:rsid w:val="00D46E9B"/>
  </w:style>
  <w:style w:type="table" w:customStyle="1" w:styleId="611230">
    <w:name w:val="Изысканная таблица6112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123">
    <w:name w:val="Нет списка161123"/>
    <w:next w:val="a2"/>
    <w:uiPriority w:val="99"/>
    <w:semiHidden/>
    <w:unhideWhenUsed/>
    <w:rsid w:val="00D46E9B"/>
  </w:style>
  <w:style w:type="table" w:customStyle="1" w:styleId="2111230">
    <w:name w:val="Сетка таблицы211123"/>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31">
    <w:name w:val="Сетка таблицы31123"/>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230">
    <w:name w:val="Сетка таблицы221123"/>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31">
    <w:name w:val="Сетка таблицы41123"/>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31">
    <w:name w:val="Сетка таблицы51123"/>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31">
    <w:name w:val="Сетка таблицы61123"/>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30">
    <w:name w:val="Сетка таблицы71123"/>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3">
    <w:name w:val="Светлая заливка - Акцент 11123"/>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1230">
    <w:name w:val="Сетка таблицы81123"/>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23">
    <w:name w:val="Сетка таблицы91123"/>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30">
    <w:name w:val="Нет списка1013"/>
    <w:next w:val="a2"/>
    <w:uiPriority w:val="99"/>
    <w:semiHidden/>
    <w:unhideWhenUsed/>
    <w:rsid w:val="00D46E9B"/>
  </w:style>
  <w:style w:type="table" w:customStyle="1" w:styleId="16130">
    <w:name w:val="Сетка таблицы1613"/>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34">
    <w:name w:val="Изысканная таблица91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913">
    <w:name w:val="Нет списка1913"/>
    <w:next w:val="a2"/>
    <w:uiPriority w:val="99"/>
    <w:semiHidden/>
    <w:unhideWhenUsed/>
    <w:rsid w:val="00D46E9B"/>
  </w:style>
  <w:style w:type="table" w:customStyle="1" w:styleId="17130">
    <w:name w:val="Сетка таблицы1713"/>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4131">
    <w:name w:val="Нет списка2413"/>
    <w:next w:val="a2"/>
    <w:uiPriority w:val="99"/>
    <w:semiHidden/>
    <w:unhideWhenUsed/>
    <w:rsid w:val="00D46E9B"/>
  </w:style>
  <w:style w:type="table" w:customStyle="1" w:styleId="25130">
    <w:name w:val="Сетка таблицы2513"/>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34">
    <w:name w:val="Изысканная таблица131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4130">
    <w:name w:val="Нет списка11413"/>
    <w:next w:val="a2"/>
    <w:uiPriority w:val="99"/>
    <w:semiHidden/>
    <w:unhideWhenUsed/>
    <w:rsid w:val="00D46E9B"/>
  </w:style>
  <w:style w:type="table" w:customStyle="1" w:styleId="113131">
    <w:name w:val="Сетка таблицы11313"/>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313">
    <w:name w:val="Нет списка21313"/>
    <w:next w:val="a2"/>
    <w:uiPriority w:val="99"/>
    <w:semiHidden/>
    <w:unhideWhenUsed/>
    <w:rsid w:val="00D46E9B"/>
  </w:style>
  <w:style w:type="numbering" w:customStyle="1" w:styleId="1113130">
    <w:name w:val="Нет списка111313"/>
    <w:next w:val="a2"/>
    <w:uiPriority w:val="99"/>
    <w:semiHidden/>
    <w:unhideWhenUsed/>
    <w:rsid w:val="00D46E9B"/>
  </w:style>
  <w:style w:type="numbering" w:customStyle="1" w:styleId="3313">
    <w:name w:val="Нет списка3313"/>
    <w:next w:val="a2"/>
    <w:uiPriority w:val="99"/>
    <w:semiHidden/>
    <w:unhideWhenUsed/>
    <w:rsid w:val="00D46E9B"/>
  </w:style>
  <w:style w:type="table" w:customStyle="1" w:styleId="23132">
    <w:name w:val="Изысканная таблица231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3130">
    <w:name w:val="Нет списка12313"/>
    <w:next w:val="a2"/>
    <w:uiPriority w:val="99"/>
    <w:semiHidden/>
    <w:unhideWhenUsed/>
    <w:rsid w:val="00D46E9B"/>
  </w:style>
  <w:style w:type="numbering" w:customStyle="1" w:styleId="4313">
    <w:name w:val="Нет списка4313"/>
    <w:next w:val="a2"/>
    <w:uiPriority w:val="99"/>
    <w:semiHidden/>
    <w:unhideWhenUsed/>
    <w:rsid w:val="00D46E9B"/>
  </w:style>
  <w:style w:type="table" w:customStyle="1" w:styleId="33130">
    <w:name w:val="Изысканная таблица331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313">
    <w:name w:val="Нет списка13313"/>
    <w:next w:val="a2"/>
    <w:uiPriority w:val="99"/>
    <w:semiHidden/>
    <w:unhideWhenUsed/>
    <w:rsid w:val="00D46E9B"/>
  </w:style>
  <w:style w:type="numbering" w:customStyle="1" w:styleId="5313">
    <w:name w:val="Нет списка5313"/>
    <w:next w:val="a2"/>
    <w:uiPriority w:val="99"/>
    <w:semiHidden/>
    <w:unhideWhenUsed/>
    <w:rsid w:val="00D46E9B"/>
  </w:style>
  <w:style w:type="table" w:customStyle="1" w:styleId="43130">
    <w:name w:val="Изысканная таблица431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313">
    <w:name w:val="Нет списка14313"/>
    <w:next w:val="a2"/>
    <w:uiPriority w:val="99"/>
    <w:semiHidden/>
    <w:unhideWhenUsed/>
    <w:rsid w:val="00D46E9B"/>
  </w:style>
  <w:style w:type="numbering" w:customStyle="1" w:styleId="6313">
    <w:name w:val="Нет списка6313"/>
    <w:next w:val="a2"/>
    <w:uiPriority w:val="99"/>
    <w:semiHidden/>
    <w:unhideWhenUsed/>
    <w:rsid w:val="00D46E9B"/>
  </w:style>
  <w:style w:type="table" w:customStyle="1" w:styleId="53130">
    <w:name w:val="Изысканная таблица531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313">
    <w:name w:val="Нет списка15313"/>
    <w:next w:val="a2"/>
    <w:uiPriority w:val="99"/>
    <w:semiHidden/>
    <w:unhideWhenUsed/>
    <w:rsid w:val="00D46E9B"/>
  </w:style>
  <w:style w:type="numbering" w:customStyle="1" w:styleId="7313">
    <w:name w:val="Нет списка7313"/>
    <w:next w:val="a2"/>
    <w:uiPriority w:val="99"/>
    <w:semiHidden/>
    <w:unhideWhenUsed/>
    <w:rsid w:val="00D46E9B"/>
  </w:style>
  <w:style w:type="table" w:customStyle="1" w:styleId="63130">
    <w:name w:val="Изысканная таблица631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313">
    <w:name w:val="Нет списка16313"/>
    <w:next w:val="a2"/>
    <w:uiPriority w:val="99"/>
    <w:semiHidden/>
    <w:unhideWhenUsed/>
    <w:rsid w:val="00D46E9B"/>
  </w:style>
  <w:style w:type="table" w:customStyle="1" w:styleId="213130">
    <w:name w:val="Сетка таблицы21313"/>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31">
    <w:name w:val="Сетка таблицы3313"/>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130">
    <w:name w:val="Сетка таблицы22313"/>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31">
    <w:name w:val="Сетка таблицы4313"/>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31">
    <w:name w:val="Сетка таблицы5313"/>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31">
    <w:name w:val="Сетка таблицы6313"/>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30">
    <w:name w:val="Сетка таблицы7313"/>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3">
    <w:name w:val="Светлая заливка - Акцент 1313"/>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3130">
    <w:name w:val="Сетка таблицы8313"/>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13">
    <w:name w:val="Сетка таблицы9313"/>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31">
    <w:name w:val="Сетка таблицы12213"/>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131">
    <w:name w:val="Нет списка8213"/>
    <w:next w:val="a2"/>
    <w:uiPriority w:val="99"/>
    <w:semiHidden/>
    <w:unhideWhenUsed/>
    <w:rsid w:val="00D46E9B"/>
  </w:style>
  <w:style w:type="table" w:customStyle="1" w:styleId="10213">
    <w:name w:val="Сетка таблицы10213"/>
    <w:basedOn w:val="a1"/>
    <w:next w:val="aff0"/>
    <w:uiPriority w:val="3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31">
    <w:name w:val="Изысканная таблица721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213">
    <w:name w:val="Нет списка17213"/>
    <w:next w:val="a2"/>
    <w:uiPriority w:val="99"/>
    <w:semiHidden/>
    <w:unhideWhenUsed/>
    <w:rsid w:val="00D46E9B"/>
  </w:style>
  <w:style w:type="table" w:customStyle="1" w:styleId="132130">
    <w:name w:val="Сетка таблицы13213"/>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2131">
    <w:name w:val="Нет списка22213"/>
    <w:next w:val="a2"/>
    <w:uiPriority w:val="99"/>
    <w:semiHidden/>
    <w:unhideWhenUsed/>
    <w:rsid w:val="00D46E9B"/>
  </w:style>
  <w:style w:type="table" w:customStyle="1" w:styleId="232130">
    <w:name w:val="Сетка таблицы23213"/>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32">
    <w:name w:val="Изысканная таблица1121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2130">
    <w:name w:val="Нет списка112213"/>
    <w:next w:val="a2"/>
    <w:uiPriority w:val="99"/>
    <w:semiHidden/>
    <w:unhideWhenUsed/>
    <w:rsid w:val="00D46E9B"/>
  </w:style>
  <w:style w:type="table" w:customStyle="1" w:styleId="1112131">
    <w:name w:val="Сетка таблицы111213"/>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213">
    <w:name w:val="Нет списка211213"/>
    <w:next w:val="a2"/>
    <w:uiPriority w:val="99"/>
    <w:semiHidden/>
    <w:unhideWhenUsed/>
    <w:rsid w:val="00D46E9B"/>
  </w:style>
  <w:style w:type="numbering" w:customStyle="1" w:styleId="11112130">
    <w:name w:val="Нет списка1111213"/>
    <w:next w:val="a2"/>
    <w:uiPriority w:val="99"/>
    <w:semiHidden/>
    <w:unhideWhenUsed/>
    <w:rsid w:val="00D46E9B"/>
  </w:style>
  <w:style w:type="numbering" w:customStyle="1" w:styleId="31213">
    <w:name w:val="Нет списка31213"/>
    <w:next w:val="a2"/>
    <w:uiPriority w:val="99"/>
    <w:semiHidden/>
    <w:unhideWhenUsed/>
    <w:rsid w:val="00D46E9B"/>
  </w:style>
  <w:style w:type="table" w:customStyle="1" w:styleId="212131">
    <w:name w:val="Изысканная таблица2121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2130">
    <w:name w:val="Нет списка121213"/>
    <w:next w:val="a2"/>
    <w:uiPriority w:val="99"/>
    <w:semiHidden/>
    <w:unhideWhenUsed/>
    <w:rsid w:val="00D46E9B"/>
  </w:style>
  <w:style w:type="numbering" w:customStyle="1" w:styleId="41213">
    <w:name w:val="Нет списка41213"/>
    <w:next w:val="a2"/>
    <w:uiPriority w:val="99"/>
    <w:semiHidden/>
    <w:unhideWhenUsed/>
    <w:rsid w:val="00D46E9B"/>
  </w:style>
  <w:style w:type="table" w:customStyle="1" w:styleId="312130">
    <w:name w:val="Изысканная таблица3121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213">
    <w:name w:val="Нет списка131213"/>
    <w:next w:val="a2"/>
    <w:uiPriority w:val="99"/>
    <w:semiHidden/>
    <w:unhideWhenUsed/>
    <w:rsid w:val="00D46E9B"/>
  </w:style>
  <w:style w:type="numbering" w:customStyle="1" w:styleId="51213">
    <w:name w:val="Нет списка51213"/>
    <w:next w:val="a2"/>
    <w:uiPriority w:val="99"/>
    <w:semiHidden/>
    <w:unhideWhenUsed/>
    <w:rsid w:val="00D46E9B"/>
  </w:style>
  <w:style w:type="table" w:customStyle="1" w:styleId="412130">
    <w:name w:val="Изысканная таблица4121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213">
    <w:name w:val="Нет списка141213"/>
    <w:next w:val="a2"/>
    <w:uiPriority w:val="99"/>
    <w:semiHidden/>
    <w:unhideWhenUsed/>
    <w:rsid w:val="00D46E9B"/>
  </w:style>
  <w:style w:type="numbering" w:customStyle="1" w:styleId="61213">
    <w:name w:val="Нет списка61213"/>
    <w:next w:val="a2"/>
    <w:uiPriority w:val="99"/>
    <w:semiHidden/>
    <w:unhideWhenUsed/>
    <w:rsid w:val="00D46E9B"/>
  </w:style>
  <w:style w:type="table" w:customStyle="1" w:styleId="512130">
    <w:name w:val="Изысканная таблица5121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213">
    <w:name w:val="Нет списка151213"/>
    <w:next w:val="a2"/>
    <w:uiPriority w:val="99"/>
    <w:semiHidden/>
    <w:unhideWhenUsed/>
    <w:rsid w:val="00D46E9B"/>
  </w:style>
  <w:style w:type="numbering" w:customStyle="1" w:styleId="71213">
    <w:name w:val="Нет списка71213"/>
    <w:next w:val="a2"/>
    <w:uiPriority w:val="99"/>
    <w:semiHidden/>
    <w:unhideWhenUsed/>
    <w:rsid w:val="00D46E9B"/>
  </w:style>
  <w:style w:type="table" w:customStyle="1" w:styleId="612130">
    <w:name w:val="Изысканная таблица6121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213">
    <w:name w:val="Нет списка161213"/>
    <w:next w:val="a2"/>
    <w:uiPriority w:val="99"/>
    <w:semiHidden/>
    <w:unhideWhenUsed/>
    <w:rsid w:val="00D46E9B"/>
  </w:style>
  <w:style w:type="table" w:customStyle="1" w:styleId="2112130">
    <w:name w:val="Сетка таблицы211213"/>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31">
    <w:name w:val="Сетка таблицы31213"/>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130">
    <w:name w:val="Сетка таблицы221213"/>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31">
    <w:name w:val="Сетка таблицы41213"/>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131">
    <w:name w:val="Сетка таблицы51213"/>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131">
    <w:name w:val="Сетка таблицы61213"/>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130">
    <w:name w:val="Сетка таблицы71213"/>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3">
    <w:name w:val="Светлая заливка - Акцент 11213"/>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2130">
    <w:name w:val="Сетка таблицы81213"/>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13">
    <w:name w:val="Сетка таблицы91213"/>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30">
    <w:name w:val="Нет списка9113"/>
    <w:next w:val="a2"/>
    <w:uiPriority w:val="99"/>
    <w:semiHidden/>
    <w:unhideWhenUsed/>
    <w:rsid w:val="00D46E9B"/>
  </w:style>
  <w:style w:type="table" w:customStyle="1" w:styleId="141130">
    <w:name w:val="Сетка таблицы14113"/>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132">
    <w:name w:val="Изысканная таблица811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8113">
    <w:name w:val="Нет списка18113"/>
    <w:next w:val="a2"/>
    <w:uiPriority w:val="99"/>
    <w:semiHidden/>
    <w:unhideWhenUsed/>
    <w:rsid w:val="00D46E9B"/>
  </w:style>
  <w:style w:type="table" w:customStyle="1" w:styleId="151130">
    <w:name w:val="Сетка таблицы15113"/>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31131">
    <w:name w:val="Нет списка23113"/>
    <w:next w:val="a2"/>
    <w:uiPriority w:val="99"/>
    <w:semiHidden/>
    <w:unhideWhenUsed/>
    <w:rsid w:val="00D46E9B"/>
  </w:style>
  <w:style w:type="table" w:customStyle="1" w:styleId="241130">
    <w:name w:val="Сетка таблицы24113"/>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32">
    <w:name w:val="Изысканная таблица1211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31130">
    <w:name w:val="Нет списка113113"/>
    <w:next w:val="a2"/>
    <w:uiPriority w:val="99"/>
    <w:semiHidden/>
    <w:unhideWhenUsed/>
    <w:rsid w:val="00D46E9B"/>
  </w:style>
  <w:style w:type="table" w:customStyle="1" w:styleId="1121131">
    <w:name w:val="Сетка таблицы112113"/>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2113">
    <w:name w:val="Нет списка212113"/>
    <w:next w:val="a2"/>
    <w:uiPriority w:val="99"/>
    <w:semiHidden/>
    <w:unhideWhenUsed/>
    <w:rsid w:val="00D46E9B"/>
  </w:style>
  <w:style w:type="numbering" w:customStyle="1" w:styleId="11121130">
    <w:name w:val="Нет списка1112113"/>
    <w:next w:val="a2"/>
    <w:uiPriority w:val="99"/>
    <w:semiHidden/>
    <w:unhideWhenUsed/>
    <w:rsid w:val="00D46E9B"/>
  </w:style>
  <w:style w:type="numbering" w:customStyle="1" w:styleId="32113">
    <w:name w:val="Нет списка32113"/>
    <w:next w:val="a2"/>
    <w:uiPriority w:val="99"/>
    <w:semiHidden/>
    <w:unhideWhenUsed/>
    <w:rsid w:val="00D46E9B"/>
  </w:style>
  <w:style w:type="table" w:customStyle="1" w:styleId="221132">
    <w:name w:val="Изысканная таблица2211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21130">
    <w:name w:val="Нет списка122113"/>
    <w:next w:val="a2"/>
    <w:uiPriority w:val="99"/>
    <w:semiHidden/>
    <w:unhideWhenUsed/>
    <w:rsid w:val="00D46E9B"/>
  </w:style>
  <w:style w:type="numbering" w:customStyle="1" w:styleId="42113">
    <w:name w:val="Нет списка42113"/>
    <w:next w:val="a2"/>
    <w:uiPriority w:val="99"/>
    <w:semiHidden/>
    <w:unhideWhenUsed/>
    <w:rsid w:val="00D46E9B"/>
  </w:style>
  <w:style w:type="table" w:customStyle="1" w:styleId="321130">
    <w:name w:val="Изысканная таблица3211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2113">
    <w:name w:val="Нет списка132113"/>
    <w:next w:val="a2"/>
    <w:uiPriority w:val="99"/>
    <w:semiHidden/>
    <w:unhideWhenUsed/>
    <w:rsid w:val="00D46E9B"/>
  </w:style>
  <w:style w:type="numbering" w:customStyle="1" w:styleId="52113">
    <w:name w:val="Нет списка52113"/>
    <w:next w:val="a2"/>
    <w:uiPriority w:val="99"/>
    <w:semiHidden/>
    <w:unhideWhenUsed/>
    <w:rsid w:val="00D46E9B"/>
  </w:style>
  <w:style w:type="table" w:customStyle="1" w:styleId="421130">
    <w:name w:val="Изысканная таблица4211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2113">
    <w:name w:val="Нет списка142113"/>
    <w:next w:val="a2"/>
    <w:uiPriority w:val="99"/>
    <w:semiHidden/>
    <w:unhideWhenUsed/>
    <w:rsid w:val="00D46E9B"/>
  </w:style>
  <w:style w:type="numbering" w:customStyle="1" w:styleId="62113">
    <w:name w:val="Нет списка62113"/>
    <w:next w:val="a2"/>
    <w:uiPriority w:val="99"/>
    <w:semiHidden/>
    <w:unhideWhenUsed/>
    <w:rsid w:val="00D46E9B"/>
  </w:style>
  <w:style w:type="table" w:customStyle="1" w:styleId="521130">
    <w:name w:val="Изысканная таблица5211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2113">
    <w:name w:val="Нет списка152113"/>
    <w:next w:val="a2"/>
    <w:uiPriority w:val="99"/>
    <w:semiHidden/>
    <w:unhideWhenUsed/>
    <w:rsid w:val="00D46E9B"/>
  </w:style>
  <w:style w:type="numbering" w:customStyle="1" w:styleId="72113">
    <w:name w:val="Нет списка72113"/>
    <w:next w:val="a2"/>
    <w:uiPriority w:val="99"/>
    <w:semiHidden/>
    <w:unhideWhenUsed/>
    <w:rsid w:val="00D46E9B"/>
  </w:style>
  <w:style w:type="table" w:customStyle="1" w:styleId="621130">
    <w:name w:val="Изысканная таблица6211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2113">
    <w:name w:val="Нет списка162113"/>
    <w:next w:val="a2"/>
    <w:uiPriority w:val="99"/>
    <w:semiHidden/>
    <w:unhideWhenUsed/>
    <w:rsid w:val="00D46E9B"/>
  </w:style>
  <w:style w:type="table" w:customStyle="1" w:styleId="2121130">
    <w:name w:val="Сетка таблицы212113"/>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31">
    <w:name w:val="Сетка таблицы32113"/>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1130">
    <w:name w:val="Сетка таблицы222113"/>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31">
    <w:name w:val="Сетка таблицы42113"/>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31">
    <w:name w:val="Сетка таблицы52113"/>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31">
    <w:name w:val="Сетка таблицы62113"/>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30">
    <w:name w:val="Сетка таблицы72113"/>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3">
    <w:name w:val="Светлая заливка - Акцент 12113"/>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21130">
    <w:name w:val="Сетка таблицы82113"/>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113">
    <w:name w:val="Сетка таблицы92113"/>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31">
    <w:name w:val="Сетка таблицы121113"/>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131">
    <w:name w:val="Нет списка81113"/>
    <w:next w:val="a2"/>
    <w:uiPriority w:val="99"/>
    <w:semiHidden/>
    <w:unhideWhenUsed/>
    <w:rsid w:val="00D46E9B"/>
  </w:style>
  <w:style w:type="table" w:customStyle="1" w:styleId="101113">
    <w:name w:val="Сетка таблицы101113"/>
    <w:basedOn w:val="a1"/>
    <w:next w:val="aff0"/>
    <w:uiPriority w:val="3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31">
    <w:name w:val="Изысканная таблица7111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1113">
    <w:name w:val="Нет списка171113"/>
    <w:next w:val="a2"/>
    <w:uiPriority w:val="99"/>
    <w:semiHidden/>
    <w:unhideWhenUsed/>
    <w:rsid w:val="00D46E9B"/>
  </w:style>
  <w:style w:type="table" w:customStyle="1" w:styleId="1311130">
    <w:name w:val="Сетка таблицы131113"/>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11131">
    <w:name w:val="Нет списка221113"/>
    <w:next w:val="a2"/>
    <w:uiPriority w:val="99"/>
    <w:semiHidden/>
    <w:unhideWhenUsed/>
    <w:rsid w:val="00D46E9B"/>
  </w:style>
  <w:style w:type="table" w:customStyle="1" w:styleId="2311130">
    <w:name w:val="Сетка таблицы231113"/>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32">
    <w:name w:val="Изысканная таблица11111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11130">
    <w:name w:val="Нет списка1121113"/>
    <w:next w:val="a2"/>
    <w:uiPriority w:val="99"/>
    <w:semiHidden/>
    <w:unhideWhenUsed/>
    <w:rsid w:val="00D46E9B"/>
  </w:style>
  <w:style w:type="table" w:customStyle="1" w:styleId="11111131">
    <w:name w:val="Сетка таблицы1111113"/>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1113">
    <w:name w:val="Нет списка2111113"/>
    <w:next w:val="a2"/>
    <w:uiPriority w:val="99"/>
    <w:semiHidden/>
    <w:unhideWhenUsed/>
    <w:rsid w:val="00D46E9B"/>
  </w:style>
  <w:style w:type="numbering" w:customStyle="1" w:styleId="111111130">
    <w:name w:val="Нет списка11111113"/>
    <w:next w:val="a2"/>
    <w:uiPriority w:val="99"/>
    <w:semiHidden/>
    <w:unhideWhenUsed/>
    <w:rsid w:val="00D46E9B"/>
  </w:style>
  <w:style w:type="numbering" w:customStyle="1" w:styleId="311113">
    <w:name w:val="Нет списка311113"/>
    <w:next w:val="a2"/>
    <w:uiPriority w:val="99"/>
    <w:semiHidden/>
    <w:unhideWhenUsed/>
    <w:rsid w:val="00D46E9B"/>
  </w:style>
  <w:style w:type="table" w:customStyle="1" w:styleId="2111131">
    <w:name w:val="Изысканная таблица21111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11130">
    <w:name w:val="Нет списка1211113"/>
    <w:next w:val="a2"/>
    <w:uiPriority w:val="99"/>
    <w:semiHidden/>
    <w:unhideWhenUsed/>
    <w:rsid w:val="00D46E9B"/>
  </w:style>
  <w:style w:type="numbering" w:customStyle="1" w:styleId="411113">
    <w:name w:val="Нет списка411113"/>
    <w:next w:val="a2"/>
    <w:uiPriority w:val="99"/>
    <w:semiHidden/>
    <w:unhideWhenUsed/>
    <w:rsid w:val="00D46E9B"/>
  </w:style>
  <w:style w:type="table" w:customStyle="1" w:styleId="3111130">
    <w:name w:val="Изысканная таблица31111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1113">
    <w:name w:val="Нет списка1311113"/>
    <w:next w:val="a2"/>
    <w:uiPriority w:val="99"/>
    <w:semiHidden/>
    <w:unhideWhenUsed/>
    <w:rsid w:val="00D46E9B"/>
  </w:style>
  <w:style w:type="numbering" w:customStyle="1" w:styleId="511113">
    <w:name w:val="Нет списка511113"/>
    <w:next w:val="a2"/>
    <w:uiPriority w:val="99"/>
    <w:semiHidden/>
    <w:unhideWhenUsed/>
    <w:rsid w:val="00D46E9B"/>
  </w:style>
  <w:style w:type="table" w:customStyle="1" w:styleId="4111130">
    <w:name w:val="Изысканная таблица41111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1113">
    <w:name w:val="Нет списка1411113"/>
    <w:next w:val="a2"/>
    <w:uiPriority w:val="99"/>
    <w:semiHidden/>
    <w:unhideWhenUsed/>
    <w:rsid w:val="00D46E9B"/>
  </w:style>
  <w:style w:type="numbering" w:customStyle="1" w:styleId="611113">
    <w:name w:val="Нет списка611113"/>
    <w:next w:val="a2"/>
    <w:uiPriority w:val="99"/>
    <w:semiHidden/>
    <w:unhideWhenUsed/>
    <w:rsid w:val="00D46E9B"/>
  </w:style>
  <w:style w:type="table" w:customStyle="1" w:styleId="5111130">
    <w:name w:val="Изысканная таблица51111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1113">
    <w:name w:val="Нет списка1511113"/>
    <w:next w:val="a2"/>
    <w:uiPriority w:val="99"/>
    <w:semiHidden/>
    <w:unhideWhenUsed/>
    <w:rsid w:val="00D46E9B"/>
  </w:style>
  <w:style w:type="numbering" w:customStyle="1" w:styleId="711113">
    <w:name w:val="Нет списка711113"/>
    <w:next w:val="a2"/>
    <w:uiPriority w:val="99"/>
    <w:semiHidden/>
    <w:unhideWhenUsed/>
    <w:rsid w:val="00D46E9B"/>
  </w:style>
  <w:style w:type="table" w:customStyle="1" w:styleId="6111130">
    <w:name w:val="Изысканная таблица611113"/>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1113">
    <w:name w:val="Нет списка1611113"/>
    <w:next w:val="a2"/>
    <w:uiPriority w:val="99"/>
    <w:semiHidden/>
    <w:unhideWhenUsed/>
    <w:rsid w:val="00D46E9B"/>
  </w:style>
  <w:style w:type="table" w:customStyle="1" w:styleId="21111130">
    <w:name w:val="Сетка таблицы2111113"/>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31">
    <w:name w:val="Сетка таблицы311113"/>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130">
    <w:name w:val="Сетка таблицы2211113"/>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31">
    <w:name w:val="Сетка таблицы411113"/>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131">
    <w:name w:val="Сетка таблицы511113"/>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131">
    <w:name w:val="Сетка таблицы611113"/>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130">
    <w:name w:val="Сетка таблицы711113"/>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3">
    <w:name w:val="Светлая заливка - Акцент 111113"/>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11130">
    <w:name w:val="Сетка таблицы811113"/>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113">
    <w:name w:val="Сетка таблицы911113"/>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1">
    <w:name w:val="Нет списка262"/>
    <w:next w:val="a2"/>
    <w:uiPriority w:val="99"/>
    <w:semiHidden/>
    <w:unhideWhenUsed/>
    <w:rsid w:val="00D46E9B"/>
  </w:style>
  <w:style w:type="table" w:customStyle="1" w:styleId="2020">
    <w:name w:val="Сетка таблицы202"/>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6">
    <w:name w:val="Изысканная таблица15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620">
    <w:name w:val="Нет списка1162"/>
    <w:next w:val="a2"/>
    <w:uiPriority w:val="99"/>
    <w:semiHidden/>
    <w:unhideWhenUsed/>
    <w:rsid w:val="00D46E9B"/>
  </w:style>
  <w:style w:type="table" w:customStyle="1" w:styleId="11020">
    <w:name w:val="Сетка таблицы1102"/>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720">
    <w:name w:val="Нет списка272"/>
    <w:next w:val="a2"/>
    <w:uiPriority w:val="99"/>
    <w:semiHidden/>
    <w:unhideWhenUsed/>
    <w:rsid w:val="00D46E9B"/>
  </w:style>
  <w:style w:type="table" w:customStyle="1" w:styleId="2721">
    <w:name w:val="Сетка таблицы272"/>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6">
    <w:name w:val="Изысканная таблица16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72">
    <w:name w:val="Нет списка1172"/>
    <w:next w:val="a2"/>
    <w:uiPriority w:val="99"/>
    <w:semiHidden/>
    <w:unhideWhenUsed/>
    <w:rsid w:val="00D46E9B"/>
  </w:style>
  <w:style w:type="table" w:customStyle="1" w:styleId="11521">
    <w:name w:val="Сетка таблицы1152"/>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52">
    <w:name w:val="Нет списка2152"/>
    <w:next w:val="a2"/>
    <w:uiPriority w:val="99"/>
    <w:semiHidden/>
    <w:unhideWhenUsed/>
    <w:rsid w:val="00D46E9B"/>
  </w:style>
  <w:style w:type="numbering" w:customStyle="1" w:styleId="111520">
    <w:name w:val="Нет списка11152"/>
    <w:next w:val="a2"/>
    <w:uiPriority w:val="99"/>
    <w:semiHidden/>
    <w:unhideWhenUsed/>
    <w:rsid w:val="00D46E9B"/>
  </w:style>
  <w:style w:type="numbering" w:customStyle="1" w:styleId="3520">
    <w:name w:val="Нет списка352"/>
    <w:next w:val="a2"/>
    <w:uiPriority w:val="99"/>
    <w:semiHidden/>
    <w:unhideWhenUsed/>
    <w:rsid w:val="00D46E9B"/>
  </w:style>
  <w:style w:type="table" w:customStyle="1" w:styleId="2522">
    <w:name w:val="Изысканная таблица25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520">
    <w:name w:val="Нет списка1252"/>
    <w:next w:val="a2"/>
    <w:uiPriority w:val="99"/>
    <w:semiHidden/>
    <w:unhideWhenUsed/>
    <w:rsid w:val="00D46E9B"/>
  </w:style>
  <w:style w:type="numbering" w:customStyle="1" w:styleId="452">
    <w:name w:val="Нет списка452"/>
    <w:next w:val="a2"/>
    <w:uiPriority w:val="99"/>
    <w:semiHidden/>
    <w:unhideWhenUsed/>
    <w:rsid w:val="00D46E9B"/>
  </w:style>
  <w:style w:type="table" w:customStyle="1" w:styleId="3521">
    <w:name w:val="Изысканная таблица35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52">
    <w:name w:val="Нет списка1352"/>
    <w:next w:val="a2"/>
    <w:uiPriority w:val="99"/>
    <w:semiHidden/>
    <w:unhideWhenUsed/>
    <w:rsid w:val="00D46E9B"/>
  </w:style>
  <w:style w:type="numbering" w:customStyle="1" w:styleId="552">
    <w:name w:val="Нет списка552"/>
    <w:next w:val="a2"/>
    <w:uiPriority w:val="99"/>
    <w:semiHidden/>
    <w:unhideWhenUsed/>
    <w:rsid w:val="00D46E9B"/>
  </w:style>
  <w:style w:type="table" w:customStyle="1" w:styleId="4520">
    <w:name w:val="Изысканная таблица45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52">
    <w:name w:val="Нет списка1452"/>
    <w:next w:val="a2"/>
    <w:uiPriority w:val="99"/>
    <w:semiHidden/>
    <w:unhideWhenUsed/>
    <w:rsid w:val="00D46E9B"/>
  </w:style>
  <w:style w:type="numbering" w:customStyle="1" w:styleId="652">
    <w:name w:val="Нет списка652"/>
    <w:next w:val="a2"/>
    <w:uiPriority w:val="99"/>
    <w:semiHidden/>
    <w:unhideWhenUsed/>
    <w:rsid w:val="00D46E9B"/>
  </w:style>
  <w:style w:type="table" w:customStyle="1" w:styleId="5520">
    <w:name w:val="Изысканная таблица55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520">
    <w:name w:val="Нет списка1552"/>
    <w:next w:val="a2"/>
    <w:uiPriority w:val="99"/>
    <w:semiHidden/>
    <w:unhideWhenUsed/>
    <w:rsid w:val="00D46E9B"/>
  </w:style>
  <w:style w:type="numbering" w:customStyle="1" w:styleId="752">
    <w:name w:val="Нет списка752"/>
    <w:next w:val="a2"/>
    <w:uiPriority w:val="99"/>
    <w:semiHidden/>
    <w:unhideWhenUsed/>
    <w:rsid w:val="00D46E9B"/>
  </w:style>
  <w:style w:type="table" w:customStyle="1" w:styleId="6520">
    <w:name w:val="Изысканная таблица65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52">
    <w:name w:val="Нет списка1652"/>
    <w:next w:val="a2"/>
    <w:uiPriority w:val="99"/>
    <w:semiHidden/>
    <w:unhideWhenUsed/>
    <w:rsid w:val="00D46E9B"/>
  </w:style>
  <w:style w:type="table" w:customStyle="1" w:styleId="21520">
    <w:name w:val="Сетка таблицы215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2">
    <w:name w:val="Сетка таблицы35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520">
    <w:name w:val="Сетка таблицы225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21">
    <w:name w:val="Сетка таблицы45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21">
    <w:name w:val="Сетка таблицы55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21">
    <w:name w:val="Сетка таблицы652"/>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20">
    <w:name w:val="Сетка таблицы752"/>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Светлая заливка - Акцент 152"/>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520">
    <w:name w:val="Сетка таблицы85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52">
    <w:name w:val="Сетка таблицы95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21">
    <w:name w:val="Сетка таблицы1242"/>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421">
    <w:name w:val="Нет списка842"/>
    <w:next w:val="a2"/>
    <w:uiPriority w:val="99"/>
    <w:semiHidden/>
    <w:unhideWhenUsed/>
    <w:rsid w:val="00D46E9B"/>
  </w:style>
  <w:style w:type="table" w:customStyle="1" w:styleId="1042">
    <w:name w:val="Сетка таблицы1042"/>
    <w:basedOn w:val="a1"/>
    <w:next w:val="aff0"/>
    <w:uiPriority w:val="3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22">
    <w:name w:val="Изысканная таблица74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42">
    <w:name w:val="Нет списка1742"/>
    <w:next w:val="a2"/>
    <w:uiPriority w:val="99"/>
    <w:semiHidden/>
    <w:unhideWhenUsed/>
    <w:rsid w:val="00D46E9B"/>
  </w:style>
  <w:style w:type="table" w:customStyle="1" w:styleId="13420">
    <w:name w:val="Сетка таблицы1342"/>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421">
    <w:name w:val="Нет списка2242"/>
    <w:next w:val="a2"/>
    <w:uiPriority w:val="99"/>
    <w:semiHidden/>
    <w:unhideWhenUsed/>
    <w:rsid w:val="00D46E9B"/>
  </w:style>
  <w:style w:type="table" w:customStyle="1" w:styleId="23420">
    <w:name w:val="Сетка таблицы2342"/>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22">
    <w:name w:val="Изысканная таблица114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420">
    <w:name w:val="Нет списка11242"/>
    <w:next w:val="a2"/>
    <w:uiPriority w:val="99"/>
    <w:semiHidden/>
    <w:unhideWhenUsed/>
    <w:rsid w:val="00D46E9B"/>
  </w:style>
  <w:style w:type="table" w:customStyle="1" w:styleId="111421">
    <w:name w:val="Сетка таблицы11142"/>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42">
    <w:name w:val="Нет списка21142"/>
    <w:next w:val="a2"/>
    <w:uiPriority w:val="99"/>
    <w:semiHidden/>
    <w:unhideWhenUsed/>
    <w:rsid w:val="00D46E9B"/>
  </w:style>
  <w:style w:type="numbering" w:customStyle="1" w:styleId="1111420">
    <w:name w:val="Нет списка111142"/>
    <w:next w:val="a2"/>
    <w:uiPriority w:val="99"/>
    <w:semiHidden/>
    <w:unhideWhenUsed/>
    <w:rsid w:val="00D46E9B"/>
  </w:style>
  <w:style w:type="numbering" w:customStyle="1" w:styleId="3142">
    <w:name w:val="Нет списка3142"/>
    <w:next w:val="a2"/>
    <w:uiPriority w:val="99"/>
    <w:semiHidden/>
    <w:unhideWhenUsed/>
    <w:rsid w:val="00D46E9B"/>
  </w:style>
  <w:style w:type="table" w:customStyle="1" w:styleId="21421">
    <w:name w:val="Изысканная таблица214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420">
    <w:name w:val="Нет списка12142"/>
    <w:next w:val="a2"/>
    <w:uiPriority w:val="99"/>
    <w:semiHidden/>
    <w:unhideWhenUsed/>
    <w:rsid w:val="00D46E9B"/>
  </w:style>
  <w:style w:type="numbering" w:customStyle="1" w:styleId="4142">
    <w:name w:val="Нет списка4142"/>
    <w:next w:val="a2"/>
    <w:uiPriority w:val="99"/>
    <w:semiHidden/>
    <w:unhideWhenUsed/>
    <w:rsid w:val="00D46E9B"/>
  </w:style>
  <w:style w:type="table" w:customStyle="1" w:styleId="31420">
    <w:name w:val="Изысканная таблица314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42">
    <w:name w:val="Нет списка13142"/>
    <w:next w:val="a2"/>
    <w:uiPriority w:val="99"/>
    <w:semiHidden/>
    <w:unhideWhenUsed/>
    <w:rsid w:val="00D46E9B"/>
  </w:style>
  <w:style w:type="numbering" w:customStyle="1" w:styleId="5142">
    <w:name w:val="Нет списка5142"/>
    <w:next w:val="a2"/>
    <w:uiPriority w:val="99"/>
    <w:semiHidden/>
    <w:unhideWhenUsed/>
    <w:rsid w:val="00D46E9B"/>
  </w:style>
  <w:style w:type="table" w:customStyle="1" w:styleId="41420">
    <w:name w:val="Изысканная таблица414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42">
    <w:name w:val="Нет списка14142"/>
    <w:next w:val="a2"/>
    <w:uiPriority w:val="99"/>
    <w:semiHidden/>
    <w:unhideWhenUsed/>
    <w:rsid w:val="00D46E9B"/>
  </w:style>
  <w:style w:type="numbering" w:customStyle="1" w:styleId="6142">
    <w:name w:val="Нет списка6142"/>
    <w:next w:val="a2"/>
    <w:uiPriority w:val="99"/>
    <w:semiHidden/>
    <w:unhideWhenUsed/>
    <w:rsid w:val="00D46E9B"/>
  </w:style>
  <w:style w:type="table" w:customStyle="1" w:styleId="51420">
    <w:name w:val="Изысканная таблица514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42">
    <w:name w:val="Нет списка15142"/>
    <w:next w:val="a2"/>
    <w:uiPriority w:val="99"/>
    <w:semiHidden/>
    <w:unhideWhenUsed/>
    <w:rsid w:val="00D46E9B"/>
  </w:style>
  <w:style w:type="numbering" w:customStyle="1" w:styleId="7142">
    <w:name w:val="Нет списка7142"/>
    <w:next w:val="a2"/>
    <w:uiPriority w:val="99"/>
    <w:semiHidden/>
    <w:unhideWhenUsed/>
    <w:rsid w:val="00D46E9B"/>
  </w:style>
  <w:style w:type="table" w:customStyle="1" w:styleId="61420">
    <w:name w:val="Изысканная таблица614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42">
    <w:name w:val="Нет списка16142"/>
    <w:next w:val="a2"/>
    <w:uiPriority w:val="99"/>
    <w:semiHidden/>
    <w:unhideWhenUsed/>
    <w:rsid w:val="00D46E9B"/>
  </w:style>
  <w:style w:type="table" w:customStyle="1" w:styleId="211420">
    <w:name w:val="Сетка таблицы2114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21">
    <w:name w:val="Сетка таблицы314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420">
    <w:name w:val="Сетка таблицы2214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21">
    <w:name w:val="Сетка таблицы414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421">
    <w:name w:val="Сетка таблицы514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421">
    <w:name w:val="Сетка таблицы6142"/>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420">
    <w:name w:val="Сетка таблицы7142"/>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2">
    <w:name w:val="Светлая заливка - Акцент 1142"/>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420">
    <w:name w:val="Сетка таблицы814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420">
    <w:name w:val="Сетка таблицы914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2">
    <w:name w:val="Нет списка932"/>
    <w:next w:val="a2"/>
    <w:uiPriority w:val="99"/>
    <w:semiHidden/>
    <w:unhideWhenUsed/>
    <w:rsid w:val="00D46E9B"/>
  </w:style>
  <w:style w:type="table" w:customStyle="1" w:styleId="14320">
    <w:name w:val="Сетка таблицы1432"/>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22">
    <w:name w:val="Изысканная таблица83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832">
    <w:name w:val="Нет списка1832"/>
    <w:next w:val="a2"/>
    <w:uiPriority w:val="99"/>
    <w:semiHidden/>
    <w:unhideWhenUsed/>
    <w:rsid w:val="00D46E9B"/>
  </w:style>
  <w:style w:type="table" w:customStyle="1" w:styleId="15320">
    <w:name w:val="Сетка таблицы1532"/>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3321">
    <w:name w:val="Нет списка2332"/>
    <w:next w:val="a2"/>
    <w:uiPriority w:val="99"/>
    <w:semiHidden/>
    <w:unhideWhenUsed/>
    <w:rsid w:val="00D46E9B"/>
  </w:style>
  <w:style w:type="table" w:customStyle="1" w:styleId="24320">
    <w:name w:val="Сетка таблицы2432"/>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2">
    <w:name w:val="Изысканная таблица123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3320">
    <w:name w:val="Нет списка11332"/>
    <w:next w:val="a2"/>
    <w:uiPriority w:val="99"/>
    <w:semiHidden/>
    <w:unhideWhenUsed/>
    <w:rsid w:val="00D46E9B"/>
  </w:style>
  <w:style w:type="table" w:customStyle="1" w:styleId="112321">
    <w:name w:val="Сетка таблицы11232"/>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232">
    <w:name w:val="Нет списка21232"/>
    <w:next w:val="a2"/>
    <w:uiPriority w:val="99"/>
    <w:semiHidden/>
    <w:unhideWhenUsed/>
    <w:rsid w:val="00D46E9B"/>
  </w:style>
  <w:style w:type="numbering" w:customStyle="1" w:styleId="1112320">
    <w:name w:val="Нет списка111232"/>
    <w:next w:val="a2"/>
    <w:uiPriority w:val="99"/>
    <w:semiHidden/>
    <w:unhideWhenUsed/>
    <w:rsid w:val="00D46E9B"/>
  </w:style>
  <w:style w:type="numbering" w:customStyle="1" w:styleId="3232">
    <w:name w:val="Нет списка3232"/>
    <w:next w:val="a2"/>
    <w:uiPriority w:val="99"/>
    <w:semiHidden/>
    <w:unhideWhenUsed/>
    <w:rsid w:val="00D46E9B"/>
  </w:style>
  <w:style w:type="table" w:customStyle="1" w:styleId="22322">
    <w:name w:val="Изысканная таблица223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2320">
    <w:name w:val="Нет списка12232"/>
    <w:next w:val="a2"/>
    <w:uiPriority w:val="99"/>
    <w:semiHidden/>
    <w:unhideWhenUsed/>
    <w:rsid w:val="00D46E9B"/>
  </w:style>
  <w:style w:type="numbering" w:customStyle="1" w:styleId="4232">
    <w:name w:val="Нет списка4232"/>
    <w:next w:val="a2"/>
    <w:uiPriority w:val="99"/>
    <w:semiHidden/>
    <w:unhideWhenUsed/>
    <w:rsid w:val="00D46E9B"/>
  </w:style>
  <w:style w:type="table" w:customStyle="1" w:styleId="32320">
    <w:name w:val="Изысканная таблица323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232">
    <w:name w:val="Нет списка13232"/>
    <w:next w:val="a2"/>
    <w:uiPriority w:val="99"/>
    <w:semiHidden/>
    <w:unhideWhenUsed/>
    <w:rsid w:val="00D46E9B"/>
  </w:style>
  <w:style w:type="numbering" w:customStyle="1" w:styleId="5232">
    <w:name w:val="Нет списка5232"/>
    <w:next w:val="a2"/>
    <w:uiPriority w:val="99"/>
    <w:semiHidden/>
    <w:unhideWhenUsed/>
    <w:rsid w:val="00D46E9B"/>
  </w:style>
  <w:style w:type="table" w:customStyle="1" w:styleId="42320">
    <w:name w:val="Изысканная таблица423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232">
    <w:name w:val="Нет списка14232"/>
    <w:next w:val="a2"/>
    <w:uiPriority w:val="99"/>
    <w:semiHidden/>
    <w:unhideWhenUsed/>
    <w:rsid w:val="00D46E9B"/>
  </w:style>
  <w:style w:type="numbering" w:customStyle="1" w:styleId="6232">
    <w:name w:val="Нет списка6232"/>
    <w:next w:val="a2"/>
    <w:uiPriority w:val="99"/>
    <w:semiHidden/>
    <w:unhideWhenUsed/>
    <w:rsid w:val="00D46E9B"/>
  </w:style>
  <w:style w:type="table" w:customStyle="1" w:styleId="52320">
    <w:name w:val="Изысканная таблица523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232">
    <w:name w:val="Нет списка15232"/>
    <w:next w:val="a2"/>
    <w:uiPriority w:val="99"/>
    <w:semiHidden/>
    <w:unhideWhenUsed/>
    <w:rsid w:val="00D46E9B"/>
  </w:style>
  <w:style w:type="numbering" w:customStyle="1" w:styleId="7232">
    <w:name w:val="Нет списка7232"/>
    <w:next w:val="a2"/>
    <w:uiPriority w:val="99"/>
    <w:semiHidden/>
    <w:unhideWhenUsed/>
    <w:rsid w:val="00D46E9B"/>
  </w:style>
  <w:style w:type="table" w:customStyle="1" w:styleId="62320">
    <w:name w:val="Изысканная таблица623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232">
    <w:name w:val="Нет списка16232"/>
    <w:next w:val="a2"/>
    <w:uiPriority w:val="99"/>
    <w:semiHidden/>
    <w:unhideWhenUsed/>
    <w:rsid w:val="00D46E9B"/>
  </w:style>
  <w:style w:type="table" w:customStyle="1" w:styleId="212320">
    <w:name w:val="Сетка таблицы2123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1">
    <w:name w:val="Сетка таблицы323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320">
    <w:name w:val="Сетка таблицы2223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21">
    <w:name w:val="Сетка таблицы423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21">
    <w:name w:val="Сетка таблицы523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21">
    <w:name w:val="Сетка таблицы6232"/>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20">
    <w:name w:val="Сетка таблицы7232"/>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
    <w:name w:val="Светлая заливка - Акцент 1232"/>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2320">
    <w:name w:val="Сетка таблицы823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32">
    <w:name w:val="Сетка таблицы923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21">
    <w:name w:val="Сетка таблицы12132"/>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21">
    <w:name w:val="Нет списка8132"/>
    <w:next w:val="a2"/>
    <w:uiPriority w:val="99"/>
    <w:semiHidden/>
    <w:unhideWhenUsed/>
    <w:rsid w:val="00D46E9B"/>
  </w:style>
  <w:style w:type="table" w:customStyle="1" w:styleId="10132">
    <w:name w:val="Сетка таблицы10132"/>
    <w:basedOn w:val="a1"/>
    <w:next w:val="aff0"/>
    <w:uiPriority w:val="3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21">
    <w:name w:val="Изысканная таблица713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132">
    <w:name w:val="Нет списка17132"/>
    <w:next w:val="a2"/>
    <w:uiPriority w:val="99"/>
    <w:semiHidden/>
    <w:unhideWhenUsed/>
    <w:rsid w:val="00D46E9B"/>
  </w:style>
  <w:style w:type="table" w:customStyle="1" w:styleId="131320">
    <w:name w:val="Сетка таблицы13132"/>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1321">
    <w:name w:val="Нет списка22132"/>
    <w:next w:val="a2"/>
    <w:uiPriority w:val="99"/>
    <w:semiHidden/>
    <w:unhideWhenUsed/>
    <w:rsid w:val="00D46E9B"/>
  </w:style>
  <w:style w:type="table" w:customStyle="1" w:styleId="231320">
    <w:name w:val="Сетка таблицы23132"/>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22">
    <w:name w:val="Изысканная таблица1113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1320">
    <w:name w:val="Нет списка112132"/>
    <w:next w:val="a2"/>
    <w:uiPriority w:val="99"/>
    <w:semiHidden/>
    <w:unhideWhenUsed/>
    <w:rsid w:val="00D46E9B"/>
  </w:style>
  <w:style w:type="table" w:customStyle="1" w:styleId="1111321">
    <w:name w:val="Сетка таблицы111132"/>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132">
    <w:name w:val="Нет списка211132"/>
    <w:next w:val="a2"/>
    <w:uiPriority w:val="99"/>
    <w:semiHidden/>
    <w:unhideWhenUsed/>
    <w:rsid w:val="00D46E9B"/>
  </w:style>
  <w:style w:type="numbering" w:customStyle="1" w:styleId="11111320">
    <w:name w:val="Нет списка1111132"/>
    <w:next w:val="a2"/>
    <w:uiPriority w:val="99"/>
    <w:semiHidden/>
    <w:unhideWhenUsed/>
    <w:rsid w:val="00D46E9B"/>
  </w:style>
  <w:style w:type="numbering" w:customStyle="1" w:styleId="31132">
    <w:name w:val="Нет списка31132"/>
    <w:next w:val="a2"/>
    <w:uiPriority w:val="99"/>
    <w:semiHidden/>
    <w:unhideWhenUsed/>
    <w:rsid w:val="00D46E9B"/>
  </w:style>
  <w:style w:type="table" w:customStyle="1" w:styleId="211321">
    <w:name w:val="Изысканная таблица2113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1320">
    <w:name w:val="Нет списка121132"/>
    <w:next w:val="a2"/>
    <w:uiPriority w:val="99"/>
    <w:semiHidden/>
    <w:unhideWhenUsed/>
    <w:rsid w:val="00D46E9B"/>
  </w:style>
  <w:style w:type="numbering" w:customStyle="1" w:styleId="41132">
    <w:name w:val="Нет списка41132"/>
    <w:next w:val="a2"/>
    <w:uiPriority w:val="99"/>
    <w:semiHidden/>
    <w:unhideWhenUsed/>
    <w:rsid w:val="00D46E9B"/>
  </w:style>
  <w:style w:type="table" w:customStyle="1" w:styleId="311320">
    <w:name w:val="Изысканная таблица3113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132">
    <w:name w:val="Нет списка131132"/>
    <w:next w:val="a2"/>
    <w:uiPriority w:val="99"/>
    <w:semiHidden/>
    <w:unhideWhenUsed/>
    <w:rsid w:val="00D46E9B"/>
  </w:style>
  <w:style w:type="numbering" w:customStyle="1" w:styleId="51132">
    <w:name w:val="Нет списка51132"/>
    <w:next w:val="a2"/>
    <w:uiPriority w:val="99"/>
    <w:semiHidden/>
    <w:unhideWhenUsed/>
    <w:rsid w:val="00D46E9B"/>
  </w:style>
  <w:style w:type="table" w:customStyle="1" w:styleId="411320">
    <w:name w:val="Изысканная таблица4113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132">
    <w:name w:val="Нет списка141132"/>
    <w:next w:val="a2"/>
    <w:uiPriority w:val="99"/>
    <w:semiHidden/>
    <w:unhideWhenUsed/>
    <w:rsid w:val="00D46E9B"/>
  </w:style>
  <w:style w:type="numbering" w:customStyle="1" w:styleId="61132">
    <w:name w:val="Нет списка61132"/>
    <w:next w:val="a2"/>
    <w:uiPriority w:val="99"/>
    <w:semiHidden/>
    <w:unhideWhenUsed/>
    <w:rsid w:val="00D46E9B"/>
  </w:style>
  <w:style w:type="table" w:customStyle="1" w:styleId="511320">
    <w:name w:val="Изысканная таблица5113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132">
    <w:name w:val="Нет списка151132"/>
    <w:next w:val="a2"/>
    <w:uiPriority w:val="99"/>
    <w:semiHidden/>
    <w:unhideWhenUsed/>
    <w:rsid w:val="00D46E9B"/>
  </w:style>
  <w:style w:type="numbering" w:customStyle="1" w:styleId="71132">
    <w:name w:val="Нет списка71132"/>
    <w:next w:val="a2"/>
    <w:uiPriority w:val="99"/>
    <w:semiHidden/>
    <w:unhideWhenUsed/>
    <w:rsid w:val="00D46E9B"/>
  </w:style>
  <w:style w:type="table" w:customStyle="1" w:styleId="611320">
    <w:name w:val="Изысканная таблица6113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132">
    <w:name w:val="Нет списка161132"/>
    <w:next w:val="a2"/>
    <w:uiPriority w:val="99"/>
    <w:semiHidden/>
    <w:unhideWhenUsed/>
    <w:rsid w:val="00D46E9B"/>
  </w:style>
  <w:style w:type="table" w:customStyle="1" w:styleId="2111320">
    <w:name w:val="Сетка таблицы21113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21">
    <w:name w:val="Сетка таблицы3113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320">
    <w:name w:val="Сетка таблицы22113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21">
    <w:name w:val="Сетка таблицы4113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321">
    <w:name w:val="Сетка таблицы5113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321">
    <w:name w:val="Сетка таблицы61132"/>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320">
    <w:name w:val="Сетка таблицы71132"/>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2">
    <w:name w:val="Светлая заливка - Акцент 11132"/>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1320">
    <w:name w:val="Сетка таблицы8113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32">
    <w:name w:val="Сетка таблицы9113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22">
    <w:name w:val="Нет списка1022"/>
    <w:next w:val="a2"/>
    <w:uiPriority w:val="99"/>
    <w:semiHidden/>
    <w:unhideWhenUsed/>
    <w:rsid w:val="00D46E9B"/>
  </w:style>
  <w:style w:type="table" w:customStyle="1" w:styleId="16220">
    <w:name w:val="Сетка таблицы1622"/>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24">
    <w:name w:val="Изысканная таблица92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922">
    <w:name w:val="Нет списка1922"/>
    <w:next w:val="a2"/>
    <w:uiPriority w:val="99"/>
    <w:semiHidden/>
    <w:unhideWhenUsed/>
    <w:rsid w:val="00D46E9B"/>
  </w:style>
  <w:style w:type="table" w:customStyle="1" w:styleId="17222">
    <w:name w:val="Сетка таблицы1722"/>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4221">
    <w:name w:val="Нет списка2422"/>
    <w:next w:val="a2"/>
    <w:uiPriority w:val="99"/>
    <w:semiHidden/>
    <w:unhideWhenUsed/>
    <w:rsid w:val="00D46E9B"/>
  </w:style>
  <w:style w:type="table" w:customStyle="1" w:styleId="25220">
    <w:name w:val="Сетка таблицы2522"/>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24">
    <w:name w:val="Изысканная таблица132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4220">
    <w:name w:val="Нет списка11422"/>
    <w:next w:val="a2"/>
    <w:uiPriority w:val="99"/>
    <w:semiHidden/>
    <w:unhideWhenUsed/>
    <w:rsid w:val="00D46E9B"/>
  </w:style>
  <w:style w:type="table" w:customStyle="1" w:styleId="113221">
    <w:name w:val="Сетка таблицы11322"/>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3220">
    <w:name w:val="Нет списка21322"/>
    <w:next w:val="a2"/>
    <w:uiPriority w:val="99"/>
    <w:semiHidden/>
    <w:unhideWhenUsed/>
    <w:rsid w:val="00D46E9B"/>
  </w:style>
  <w:style w:type="numbering" w:customStyle="1" w:styleId="1113220">
    <w:name w:val="Нет списка111322"/>
    <w:next w:val="a2"/>
    <w:uiPriority w:val="99"/>
    <w:semiHidden/>
    <w:unhideWhenUsed/>
    <w:rsid w:val="00D46E9B"/>
  </w:style>
  <w:style w:type="numbering" w:customStyle="1" w:styleId="33220">
    <w:name w:val="Нет списка3322"/>
    <w:next w:val="a2"/>
    <w:uiPriority w:val="99"/>
    <w:semiHidden/>
    <w:unhideWhenUsed/>
    <w:rsid w:val="00D46E9B"/>
  </w:style>
  <w:style w:type="table" w:customStyle="1" w:styleId="23222">
    <w:name w:val="Изысканная таблица232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3220">
    <w:name w:val="Нет списка12322"/>
    <w:next w:val="a2"/>
    <w:uiPriority w:val="99"/>
    <w:semiHidden/>
    <w:unhideWhenUsed/>
    <w:rsid w:val="00D46E9B"/>
  </w:style>
  <w:style w:type="numbering" w:customStyle="1" w:styleId="43220">
    <w:name w:val="Нет списка4322"/>
    <w:next w:val="a2"/>
    <w:uiPriority w:val="99"/>
    <w:semiHidden/>
    <w:unhideWhenUsed/>
    <w:rsid w:val="00D46E9B"/>
  </w:style>
  <w:style w:type="table" w:customStyle="1" w:styleId="33221">
    <w:name w:val="Изысканная таблица332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322">
    <w:name w:val="Нет списка13322"/>
    <w:next w:val="a2"/>
    <w:uiPriority w:val="99"/>
    <w:semiHidden/>
    <w:unhideWhenUsed/>
    <w:rsid w:val="00D46E9B"/>
  </w:style>
  <w:style w:type="numbering" w:customStyle="1" w:styleId="53220">
    <w:name w:val="Нет списка5322"/>
    <w:next w:val="a2"/>
    <w:uiPriority w:val="99"/>
    <w:semiHidden/>
    <w:unhideWhenUsed/>
    <w:rsid w:val="00D46E9B"/>
  </w:style>
  <w:style w:type="table" w:customStyle="1" w:styleId="43221">
    <w:name w:val="Изысканная таблица432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322">
    <w:name w:val="Нет списка14322"/>
    <w:next w:val="a2"/>
    <w:uiPriority w:val="99"/>
    <w:semiHidden/>
    <w:unhideWhenUsed/>
    <w:rsid w:val="00D46E9B"/>
  </w:style>
  <w:style w:type="numbering" w:customStyle="1" w:styleId="63220">
    <w:name w:val="Нет списка6322"/>
    <w:next w:val="a2"/>
    <w:uiPriority w:val="99"/>
    <w:semiHidden/>
    <w:unhideWhenUsed/>
    <w:rsid w:val="00D46E9B"/>
  </w:style>
  <w:style w:type="table" w:customStyle="1" w:styleId="53221">
    <w:name w:val="Изысканная таблица532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322">
    <w:name w:val="Нет списка15322"/>
    <w:next w:val="a2"/>
    <w:uiPriority w:val="99"/>
    <w:semiHidden/>
    <w:unhideWhenUsed/>
    <w:rsid w:val="00D46E9B"/>
  </w:style>
  <w:style w:type="numbering" w:customStyle="1" w:styleId="73220">
    <w:name w:val="Нет списка7322"/>
    <w:next w:val="a2"/>
    <w:uiPriority w:val="99"/>
    <w:semiHidden/>
    <w:unhideWhenUsed/>
    <w:rsid w:val="00D46E9B"/>
  </w:style>
  <w:style w:type="table" w:customStyle="1" w:styleId="63221">
    <w:name w:val="Изысканная таблица632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322">
    <w:name w:val="Нет списка16322"/>
    <w:next w:val="a2"/>
    <w:uiPriority w:val="99"/>
    <w:semiHidden/>
    <w:unhideWhenUsed/>
    <w:rsid w:val="00D46E9B"/>
  </w:style>
  <w:style w:type="table" w:customStyle="1" w:styleId="213221">
    <w:name w:val="Сетка таблицы2132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22">
    <w:name w:val="Сетка таблицы332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220">
    <w:name w:val="Сетка таблицы2232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22">
    <w:name w:val="Сетка таблицы432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22">
    <w:name w:val="Сетка таблицы532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22">
    <w:name w:val="Сетка таблицы6322"/>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21">
    <w:name w:val="Сетка таблицы7322"/>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2">
    <w:name w:val="Светлая заливка - Акцент 1322"/>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3220">
    <w:name w:val="Сетка таблицы832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220">
    <w:name w:val="Сетка таблицы932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21">
    <w:name w:val="Сетка таблицы12222"/>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21">
    <w:name w:val="Нет списка8222"/>
    <w:next w:val="a2"/>
    <w:uiPriority w:val="99"/>
    <w:semiHidden/>
    <w:unhideWhenUsed/>
    <w:rsid w:val="00D46E9B"/>
  </w:style>
  <w:style w:type="table" w:customStyle="1" w:styleId="102220">
    <w:name w:val="Сетка таблицы10222"/>
    <w:basedOn w:val="a1"/>
    <w:next w:val="aff0"/>
    <w:uiPriority w:val="3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22">
    <w:name w:val="Изысканная таблица722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2220">
    <w:name w:val="Нет списка17222"/>
    <w:next w:val="a2"/>
    <w:uiPriority w:val="99"/>
    <w:semiHidden/>
    <w:unhideWhenUsed/>
    <w:rsid w:val="00D46E9B"/>
  </w:style>
  <w:style w:type="table" w:customStyle="1" w:styleId="132220">
    <w:name w:val="Сетка таблицы13222"/>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2221">
    <w:name w:val="Нет списка22222"/>
    <w:next w:val="a2"/>
    <w:uiPriority w:val="99"/>
    <w:semiHidden/>
    <w:unhideWhenUsed/>
    <w:rsid w:val="00D46E9B"/>
  </w:style>
  <w:style w:type="table" w:customStyle="1" w:styleId="232220">
    <w:name w:val="Сетка таблицы23222"/>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22">
    <w:name w:val="Изысканная таблица1122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2220">
    <w:name w:val="Нет списка112222"/>
    <w:next w:val="a2"/>
    <w:uiPriority w:val="99"/>
    <w:semiHidden/>
    <w:unhideWhenUsed/>
    <w:rsid w:val="00D46E9B"/>
  </w:style>
  <w:style w:type="table" w:customStyle="1" w:styleId="1112220">
    <w:name w:val="Сетка таблицы111222"/>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2220">
    <w:name w:val="Нет списка211222"/>
    <w:next w:val="a2"/>
    <w:uiPriority w:val="99"/>
    <w:semiHidden/>
    <w:unhideWhenUsed/>
    <w:rsid w:val="00D46E9B"/>
  </w:style>
  <w:style w:type="numbering" w:customStyle="1" w:styleId="1111222">
    <w:name w:val="Нет списка1111222"/>
    <w:next w:val="a2"/>
    <w:uiPriority w:val="99"/>
    <w:semiHidden/>
    <w:unhideWhenUsed/>
    <w:rsid w:val="00D46E9B"/>
  </w:style>
  <w:style w:type="numbering" w:customStyle="1" w:styleId="312220">
    <w:name w:val="Нет списка31222"/>
    <w:next w:val="a2"/>
    <w:uiPriority w:val="99"/>
    <w:semiHidden/>
    <w:unhideWhenUsed/>
    <w:rsid w:val="00D46E9B"/>
  </w:style>
  <w:style w:type="table" w:customStyle="1" w:styleId="212222">
    <w:name w:val="Изысканная таблица2122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222">
    <w:name w:val="Нет списка121222"/>
    <w:next w:val="a2"/>
    <w:uiPriority w:val="99"/>
    <w:semiHidden/>
    <w:unhideWhenUsed/>
    <w:rsid w:val="00D46E9B"/>
  </w:style>
  <w:style w:type="numbering" w:customStyle="1" w:styleId="412220">
    <w:name w:val="Нет списка41222"/>
    <w:next w:val="a2"/>
    <w:uiPriority w:val="99"/>
    <w:semiHidden/>
    <w:unhideWhenUsed/>
    <w:rsid w:val="00D46E9B"/>
  </w:style>
  <w:style w:type="table" w:customStyle="1" w:styleId="312221">
    <w:name w:val="Изысканная таблица3122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222">
    <w:name w:val="Нет списка131222"/>
    <w:next w:val="a2"/>
    <w:uiPriority w:val="99"/>
    <w:semiHidden/>
    <w:unhideWhenUsed/>
    <w:rsid w:val="00D46E9B"/>
  </w:style>
  <w:style w:type="numbering" w:customStyle="1" w:styleId="512220">
    <w:name w:val="Нет списка51222"/>
    <w:next w:val="a2"/>
    <w:uiPriority w:val="99"/>
    <w:semiHidden/>
    <w:unhideWhenUsed/>
    <w:rsid w:val="00D46E9B"/>
  </w:style>
  <w:style w:type="table" w:customStyle="1" w:styleId="412221">
    <w:name w:val="Изысканная таблица4122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222">
    <w:name w:val="Нет списка141222"/>
    <w:next w:val="a2"/>
    <w:uiPriority w:val="99"/>
    <w:semiHidden/>
    <w:unhideWhenUsed/>
    <w:rsid w:val="00D46E9B"/>
  </w:style>
  <w:style w:type="numbering" w:customStyle="1" w:styleId="612220">
    <w:name w:val="Нет списка61222"/>
    <w:next w:val="a2"/>
    <w:uiPriority w:val="99"/>
    <w:semiHidden/>
    <w:unhideWhenUsed/>
    <w:rsid w:val="00D46E9B"/>
  </w:style>
  <w:style w:type="table" w:customStyle="1" w:styleId="512221">
    <w:name w:val="Изысканная таблица5122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222">
    <w:name w:val="Нет списка151222"/>
    <w:next w:val="a2"/>
    <w:uiPriority w:val="99"/>
    <w:semiHidden/>
    <w:unhideWhenUsed/>
    <w:rsid w:val="00D46E9B"/>
  </w:style>
  <w:style w:type="numbering" w:customStyle="1" w:styleId="712220">
    <w:name w:val="Нет списка71222"/>
    <w:next w:val="a2"/>
    <w:uiPriority w:val="99"/>
    <w:semiHidden/>
    <w:unhideWhenUsed/>
    <w:rsid w:val="00D46E9B"/>
  </w:style>
  <w:style w:type="table" w:customStyle="1" w:styleId="612221">
    <w:name w:val="Изысканная таблица6122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222">
    <w:name w:val="Нет списка161222"/>
    <w:next w:val="a2"/>
    <w:uiPriority w:val="99"/>
    <w:semiHidden/>
    <w:unhideWhenUsed/>
    <w:rsid w:val="00D46E9B"/>
  </w:style>
  <w:style w:type="table" w:customStyle="1" w:styleId="2112221">
    <w:name w:val="Сетка таблицы21122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22">
    <w:name w:val="Сетка таблицы3122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2">
    <w:name w:val="Сетка таблицы22122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22">
    <w:name w:val="Сетка таблицы4122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222">
    <w:name w:val="Сетка таблицы5122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222">
    <w:name w:val="Сетка таблицы61222"/>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221">
    <w:name w:val="Сетка таблицы71222"/>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2">
    <w:name w:val="Светлая заливка - Акцент 11222"/>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222">
    <w:name w:val="Сетка таблицы8122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22">
    <w:name w:val="Сетка таблицы9122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20">
    <w:name w:val="Нет списка9122"/>
    <w:next w:val="a2"/>
    <w:uiPriority w:val="99"/>
    <w:semiHidden/>
    <w:unhideWhenUsed/>
    <w:rsid w:val="00D46E9B"/>
  </w:style>
  <w:style w:type="table" w:customStyle="1" w:styleId="141220">
    <w:name w:val="Сетка таблицы14122"/>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223">
    <w:name w:val="Изысканная таблица812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8122">
    <w:name w:val="Нет списка18122"/>
    <w:next w:val="a2"/>
    <w:uiPriority w:val="99"/>
    <w:semiHidden/>
    <w:unhideWhenUsed/>
    <w:rsid w:val="00D46E9B"/>
  </w:style>
  <w:style w:type="table" w:customStyle="1" w:styleId="151220">
    <w:name w:val="Сетка таблицы15122"/>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31220">
    <w:name w:val="Нет списка23122"/>
    <w:next w:val="a2"/>
    <w:uiPriority w:val="99"/>
    <w:semiHidden/>
    <w:unhideWhenUsed/>
    <w:rsid w:val="00D46E9B"/>
  </w:style>
  <w:style w:type="table" w:customStyle="1" w:styleId="24122">
    <w:name w:val="Сетка таблицы24122"/>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23">
    <w:name w:val="Изысканная таблица1212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3122">
    <w:name w:val="Нет списка113122"/>
    <w:next w:val="a2"/>
    <w:uiPriority w:val="99"/>
    <w:semiHidden/>
    <w:unhideWhenUsed/>
    <w:rsid w:val="00D46E9B"/>
  </w:style>
  <w:style w:type="table" w:customStyle="1" w:styleId="1121220">
    <w:name w:val="Сетка таблицы112122"/>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21220">
    <w:name w:val="Нет списка212122"/>
    <w:next w:val="a2"/>
    <w:uiPriority w:val="99"/>
    <w:semiHidden/>
    <w:unhideWhenUsed/>
    <w:rsid w:val="00D46E9B"/>
  </w:style>
  <w:style w:type="numbering" w:customStyle="1" w:styleId="1112122">
    <w:name w:val="Нет списка1112122"/>
    <w:next w:val="a2"/>
    <w:uiPriority w:val="99"/>
    <w:semiHidden/>
    <w:unhideWhenUsed/>
    <w:rsid w:val="00D46E9B"/>
  </w:style>
  <w:style w:type="numbering" w:customStyle="1" w:styleId="321220">
    <w:name w:val="Нет списка32122"/>
    <w:next w:val="a2"/>
    <w:uiPriority w:val="99"/>
    <w:semiHidden/>
    <w:unhideWhenUsed/>
    <w:rsid w:val="00D46E9B"/>
  </w:style>
  <w:style w:type="table" w:customStyle="1" w:styleId="221223">
    <w:name w:val="Изысканная таблица2212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2122">
    <w:name w:val="Нет списка122122"/>
    <w:next w:val="a2"/>
    <w:uiPriority w:val="99"/>
    <w:semiHidden/>
    <w:unhideWhenUsed/>
    <w:rsid w:val="00D46E9B"/>
  </w:style>
  <w:style w:type="numbering" w:customStyle="1" w:styleId="421220">
    <w:name w:val="Нет списка42122"/>
    <w:next w:val="a2"/>
    <w:uiPriority w:val="99"/>
    <w:semiHidden/>
    <w:unhideWhenUsed/>
    <w:rsid w:val="00D46E9B"/>
  </w:style>
  <w:style w:type="table" w:customStyle="1" w:styleId="321221">
    <w:name w:val="Изысканная таблица3212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2122">
    <w:name w:val="Нет списка132122"/>
    <w:next w:val="a2"/>
    <w:uiPriority w:val="99"/>
    <w:semiHidden/>
    <w:unhideWhenUsed/>
    <w:rsid w:val="00D46E9B"/>
  </w:style>
  <w:style w:type="numbering" w:customStyle="1" w:styleId="521220">
    <w:name w:val="Нет списка52122"/>
    <w:next w:val="a2"/>
    <w:uiPriority w:val="99"/>
    <w:semiHidden/>
    <w:unhideWhenUsed/>
    <w:rsid w:val="00D46E9B"/>
  </w:style>
  <w:style w:type="table" w:customStyle="1" w:styleId="421221">
    <w:name w:val="Изысканная таблица4212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2122">
    <w:name w:val="Нет списка142122"/>
    <w:next w:val="a2"/>
    <w:uiPriority w:val="99"/>
    <w:semiHidden/>
    <w:unhideWhenUsed/>
    <w:rsid w:val="00D46E9B"/>
  </w:style>
  <w:style w:type="numbering" w:customStyle="1" w:styleId="621220">
    <w:name w:val="Нет списка62122"/>
    <w:next w:val="a2"/>
    <w:uiPriority w:val="99"/>
    <w:semiHidden/>
    <w:unhideWhenUsed/>
    <w:rsid w:val="00D46E9B"/>
  </w:style>
  <w:style w:type="table" w:customStyle="1" w:styleId="521221">
    <w:name w:val="Изысканная таблица5212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2122">
    <w:name w:val="Нет списка152122"/>
    <w:next w:val="a2"/>
    <w:uiPriority w:val="99"/>
    <w:semiHidden/>
    <w:unhideWhenUsed/>
    <w:rsid w:val="00D46E9B"/>
  </w:style>
  <w:style w:type="numbering" w:customStyle="1" w:styleId="721220">
    <w:name w:val="Нет списка72122"/>
    <w:next w:val="a2"/>
    <w:uiPriority w:val="99"/>
    <w:semiHidden/>
    <w:unhideWhenUsed/>
    <w:rsid w:val="00D46E9B"/>
  </w:style>
  <w:style w:type="table" w:customStyle="1" w:styleId="621221">
    <w:name w:val="Изысканная таблица6212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2122">
    <w:name w:val="Нет списка162122"/>
    <w:next w:val="a2"/>
    <w:uiPriority w:val="99"/>
    <w:semiHidden/>
    <w:unhideWhenUsed/>
    <w:rsid w:val="00D46E9B"/>
  </w:style>
  <w:style w:type="table" w:customStyle="1" w:styleId="2121221">
    <w:name w:val="Сетка таблицы21212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22">
    <w:name w:val="Сетка таблицы3212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122">
    <w:name w:val="Сетка таблицы22212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22">
    <w:name w:val="Сетка таблицы4212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22">
    <w:name w:val="Сетка таблицы5212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22">
    <w:name w:val="Сетка таблицы62122"/>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21">
    <w:name w:val="Сетка таблицы72122"/>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2">
    <w:name w:val="Светлая заливка - Акцент 12122"/>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2122">
    <w:name w:val="Сетка таблицы8212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122">
    <w:name w:val="Сетка таблицы9212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220">
    <w:name w:val="Сетка таблицы121122"/>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20">
    <w:name w:val="Нет списка81122"/>
    <w:next w:val="a2"/>
    <w:uiPriority w:val="99"/>
    <w:semiHidden/>
    <w:unhideWhenUsed/>
    <w:rsid w:val="00D46E9B"/>
  </w:style>
  <w:style w:type="table" w:customStyle="1" w:styleId="101122">
    <w:name w:val="Сетка таблицы101122"/>
    <w:basedOn w:val="a1"/>
    <w:next w:val="aff0"/>
    <w:uiPriority w:val="3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22">
    <w:name w:val="Изысканная таблица7112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1122">
    <w:name w:val="Нет списка171122"/>
    <w:next w:val="a2"/>
    <w:uiPriority w:val="99"/>
    <w:semiHidden/>
    <w:unhideWhenUsed/>
    <w:rsid w:val="00D46E9B"/>
  </w:style>
  <w:style w:type="table" w:customStyle="1" w:styleId="1311220">
    <w:name w:val="Сетка таблицы131122"/>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11220">
    <w:name w:val="Нет списка221122"/>
    <w:next w:val="a2"/>
    <w:uiPriority w:val="99"/>
    <w:semiHidden/>
    <w:unhideWhenUsed/>
    <w:rsid w:val="00D46E9B"/>
  </w:style>
  <w:style w:type="table" w:customStyle="1" w:styleId="231122">
    <w:name w:val="Сетка таблицы231122"/>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23">
    <w:name w:val="Изысканная таблица11112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1122">
    <w:name w:val="Нет списка1121122"/>
    <w:next w:val="a2"/>
    <w:uiPriority w:val="99"/>
    <w:semiHidden/>
    <w:unhideWhenUsed/>
    <w:rsid w:val="00D46E9B"/>
  </w:style>
  <w:style w:type="table" w:customStyle="1" w:styleId="11111220">
    <w:name w:val="Сетка таблицы1111122"/>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11220">
    <w:name w:val="Нет списка2111122"/>
    <w:next w:val="a2"/>
    <w:uiPriority w:val="99"/>
    <w:semiHidden/>
    <w:unhideWhenUsed/>
    <w:rsid w:val="00D46E9B"/>
  </w:style>
  <w:style w:type="numbering" w:customStyle="1" w:styleId="11111122">
    <w:name w:val="Нет списка11111122"/>
    <w:next w:val="a2"/>
    <w:uiPriority w:val="99"/>
    <w:semiHidden/>
    <w:unhideWhenUsed/>
    <w:rsid w:val="00D46E9B"/>
  </w:style>
  <w:style w:type="numbering" w:customStyle="1" w:styleId="3111220">
    <w:name w:val="Нет списка311122"/>
    <w:next w:val="a2"/>
    <w:uiPriority w:val="99"/>
    <w:semiHidden/>
    <w:unhideWhenUsed/>
    <w:rsid w:val="00D46E9B"/>
  </w:style>
  <w:style w:type="table" w:customStyle="1" w:styleId="2111222">
    <w:name w:val="Изысканная таблица21112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1122">
    <w:name w:val="Нет списка1211122"/>
    <w:next w:val="a2"/>
    <w:uiPriority w:val="99"/>
    <w:semiHidden/>
    <w:unhideWhenUsed/>
    <w:rsid w:val="00D46E9B"/>
  </w:style>
  <w:style w:type="numbering" w:customStyle="1" w:styleId="4111220">
    <w:name w:val="Нет списка411122"/>
    <w:next w:val="a2"/>
    <w:uiPriority w:val="99"/>
    <w:semiHidden/>
    <w:unhideWhenUsed/>
    <w:rsid w:val="00D46E9B"/>
  </w:style>
  <w:style w:type="table" w:customStyle="1" w:styleId="3111221">
    <w:name w:val="Изысканная таблица31112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1122">
    <w:name w:val="Нет списка1311122"/>
    <w:next w:val="a2"/>
    <w:uiPriority w:val="99"/>
    <w:semiHidden/>
    <w:unhideWhenUsed/>
    <w:rsid w:val="00D46E9B"/>
  </w:style>
  <w:style w:type="numbering" w:customStyle="1" w:styleId="5111220">
    <w:name w:val="Нет списка511122"/>
    <w:next w:val="a2"/>
    <w:uiPriority w:val="99"/>
    <w:semiHidden/>
    <w:unhideWhenUsed/>
    <w:rsid w:val="00D46E9B"/>
  </w:style>
  <w:style w:type="table" w:customStyle="1" w:styleId="4111221">
    <w:name w:val="Изысканная таблица41112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1122">
    <w:name w:val="Нет списка1411122"/>
    <w:next w:val="a2"/>
    <w:uiPriority w:val="99"/>
    <w:semiHidden/>
    <w:unhideWhenUsed/>
    <w:rsid w:val="00D46E9B"/>
  </w:style>
  <w:style w:type="numbering" w:customStyle="1" w:styleId="6111220">
    <w:name w:val="Нет списка611122"/>
    <w:next w:val="a2"/>
    <w:uiPriority w:val="99"/>
    <w:semiHidden/>
    <w:unhideWhenUsed/>
    <w:rsid w:val="00D46E9B"/>
  </w:style>
  <w:style w:type="table" w:customStyle="1" w:styleId="5111221">
    <w:name w:val="Изысканная таблица51112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1122">
    <w:name w:val="Нет списка1511122"/>
    <w:next w:val="a2"/>
    <w:uiPriority w:val="99"/>
    <w:semiHidden/>
    <w:unhideWhenUsed/>
    <w:rsid w:val="00D46E9B"/>
  </w:style>
  <w:style w:type="numbering" w:customStyle="1" w:styleId="7111220">
    <w:name w:val="Нет списка711122"/>
    <w:next w:val="a2"/>
    <w:uiPriority w:val="99"/>
    <w:semiHidden/>
    <w:unhideWhenUsed/>
    <w:rsid w:val="00D46E9B"/>
  </w:style>
  <w:style w:type="table" w:customStyle="1" w:styleId="6111221">
    <w:name w:val="Изысканная таблица61112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1122">
    <w:name w:val="Нет списка1611122"/>
    <w:next w:val="a2"/>
    <w:uiPriority w:val="99"/>
    <w:semiHidden/>
    <w:unhideWhenUsed/>
    <w:rsid w:val="00D46E9B"/>
  </w:style>
  <w:style w:type="table" w:customStyle="1" w:styleId="21111221">
    <w:name w:val="Сетка таблицы211112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22">
    <w:name w:val="Сетка таблицы31112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22">
    <w:name w:val="Сетка таблицы221112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22">
    <w:name w:val="Сетка таблицы41112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222">
    <w:name w:val="Сетка таблицы51112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222">
    <w:name w:val="Сетка таблицы611122"/>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221">
    <w:name w:val="Сетка таблицы711122"/>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2">
    <w:name w:val="Светлая заливка - Акцент 111122"/>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1122">
    <w:name w:val="Сетка таблицы81112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122">
    <w:name w:val="Сетка таблицы91112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12">
    <w:name w:val="Нет списка2012"/>
    <w:next w:val="a2"/>
    <w:uiPriority w:val="99"/>
    <w:semiHidden/>
    <w:unhideWhenUsed/>
    <w:rsid w:val="00D46E9B"/>
  </w:style>
  <w:style w:type="table" w:customStyle="1" w:styleId="18120">
    <w:name w:val="Сетка таблицы1812"/>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4">
    <w:name w:val="Изысканная таблица10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012">
    <w:name w:val="Нет списка11012"/>
    <w:next w:val="a2"/>
    <w:uiPriority w:val="99"/>
    <w:semiHidden/>
    <w:unhideWhenUsed/>
    <w:rsid w:val="00D46E9B"/>
  </w:style>
  <w:style w:type="table" w:customStyle="1" w:styleId="19120">
    <w:name w:val="Сетка таблицы1912"/>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5120">
    <w:name w:val="Нет списка2512"/>
    <w:next w:val="a2"/>
    <w:uiPriority w:val="99"/>
    <w:semiHidden/>
    <w:unhideWhenUsed/>
    <w:rsid w:val="00D46E9B"/>
  </w:style>
  <w:style w:type="table" w:customStyle="1" w:styleId="2612">
    <w:name w:val="Сетка таблицы2612"/>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25">
    <w:name w:val="Изысканная таблица14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512">
    <w:name w:val="Нет списка11512"/>
    <w:next w:val="a2"/>
    <w:uiPriority w:val="99"/>
    <w:semiHidden/>
    <w:unhideWhenUsed/>
    <w:rsid w:val="00D46E9B"/>
  </w:style>
  <w:style w:type="table" w:customStyle="1" w:styleId="114120">
    <w:name w:val="Сетка таблицы11412"/>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4120">
    <w:name w:val="Нет списка21412"/>
    <w:next w:val="a2"/>
    <w:uiPriority w:val="99"/>
    <w:semiHidden/>
    <w:unhideWhenUsed/>
    <w:rsid w:val="00D46E9B"/>
  </w:style>
  <w:style w:type="numbering" w:customStyle="1" w:styleId="111412">
    <w:name w:val="Нет списка111412"/>
    <w:next w:val="a2"/>
    <w:uiPriority w:val="99"/>
    <w:semiHidden/>
    <w:unhideWhenUsed/>
    <w:rsid w:val="00D46E9B"/>
  </w:style>
  <w:style w:type="numbering" w:customStyle="1" w:styleId="34120">
    <w:name w:val="Нет списка3412"/>
    <w:next w:val="a2"/>
    <w:uiPriority w:val="99"/>
    <w:semiHidden/>
    <w:unhideWhenUsed/>
    <w:rsid w:val="00D46E9B"/>
  </w:style>
  <w:style w:type="table" w:customStyle="1" w:styleId="24123">
    <w:name w:val="Изысканная таблица24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412">
    <w:name w:val="Нет списка12412"/>
    <w:next w:val="a2"/>
    <w:uiPriority w:val="99"/>
    <w:semiHidden/>
    <w:unhideWhenUsed/>
    <w:rsid w:val="00D46E9B"/>
  </w:style>
  <w:style w:type="numbering" w:customStyle="1" w:styleId="44120">
    <w:name w:val="Нет списка4412"/>
    <w:next w:val="a2"/>
    <w:uiPriority w:val="99"/>
    <w:semiHidden/>
    <w:unhideWhenUsed/>
    <w:rsid w:val="00D46E9B"/>
  </w:style>
  <w:style w:type="table" w:customStyle="1" w:styleId="34121">
    <w:name w:val="Изысканная таблица34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412">
    <w:name w:val="Нет списка13412"/>
    <w:next w:val="a2"/>
    <w:uiPriority w:val="99"/>
    <w:semiHidden/>
    <w:unhideWhenUsed/>
    <w:rsid w:val="00D46E9B"/>
  </w:style>
  <w:style w:type="numbering" w:customStyle="1" w:styleId="54120">
    <w:name w:val="Нет списка5412"/>
    <w:next w:val="a2"/>
    <w:uiPriority w:val="99"/>
    <w:semiHidden/>
    <w:unhideWhenUsed/>
    <w:rsid w:val="00D46E9B"/>
  </w:style>
  <w:style w:type="table" w:customStyle="1" w:styleId="44121">
    <w:name w:val="Изысканная таблица44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412">
    <w:name w:val="Нет списка14412"/>
    <w:next w:val="a2"/>
    <w:uiPriority w:val="99"/>
    <w:semiHidden/>
    <w:unhideWhenUsed/>
    <w:rsid w:val="00D46E9B"/>
  </w:style>
  <w:style w:type="numbering" w:customStyle="1" w:styleId="64120">
    <w:name w:val="Нет списка6412"/>
    <w:next w:val="a2"/>
    <w:uiPriority w:val="99"/>
    <w:semiHidden/>
    <w:unhideWhenUsed/>
    <w:rsid w:val="00D46E9B"/>
  </w:style>
  <w:style w:type="table" w:customStyle="1" w:styleId="54121">
    <w:name w:val="Изысканная таблица54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412">
    <w:name w:val="Нет списка15412"/>
    <w:next w:val="a2"/>
    <w:uiPriority w:val="99"/>
    <w:semiHidden/>
    <w:unhideWhenUsed/>
    <w:rsid w:val="00D46E9B"/>
  </w:style>
  <w:style w:type="numbering" w:customStyle="1" w:styleId="74120">
    <w:name w:val="Нет списка7412"/>
    <w:next w:val="a2"/>
    <w:uiPriority w:val="99"/>
    <w:semiHidden/>
    <w:unhideWhenUsed/>
    <w:rsid w:val="00D46E9B"/>
  </w:style>
  <w:style w:type="table" w:customStyle="1" w:styleId="64121">
    <w:name w:val="Изысканная таблица64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412">
    <w:name w:val="Нет списка16412"/>
    <w:next w:val="a2"/>
    <w:uiPriority w:val="99"/>
    <w:semiHidden/>
    <w:unhideWhenUsed/>
    <w:rsid w:val="00D46E9B"/>
  </w:style>
  <w:style w:type="table" w:customStyle="1" w:styleId="214121">
    <w:name w:val="Сетка таблицы2141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2">
    <w:name w:val="Сетка таблицы341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12">
    <w:name w:val="Сетка таблицы2241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22">
    <w:name w:val="Сетка таблицы441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122">
    <w:name w:val="Сетка таблицы541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122">
    <w:name w:val="Сетка таблицы6412"/>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121">
    <w:name w:val="Сетка таблицы7412"/>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2">
    <w:name w:val="Светлая заливка - Акцент 1412"/>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412">
    <w:name w:val="Сетка таблицы841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12">
    <w:name w:val="Сетка таблицы941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20">
    <w:name w:val="Сетка таблицы12312"/>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120">
    <w:name w:val="Нет списка8312"/>
    <w:next w:val="a2"/>
    <w:uiPriority w:val="99"/>
    <w:semiHidden/>
    <w:unhideWhenUsed/>
    <w:rsid w:val="00D46E9B"/>
  </w:style>
  <w:style w:type="table" w:customStyle="1" w:styleId="10312">
    <w:name w:val="Сетка таблицы10312"/>
    <w:basedOn w:val="a1"/>
    <w:next w:val="aff0"/>
    <w:uiPriority w:val="3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22">
    <w:name w:val="Изысканная таблица73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312">
    <w:name w:val="Нет списка17312"/>
    <w:next w:val="a2"/>
    <w:uiPriority w:val="99"/>
    <w:semiHidden/>
    <w:unhideWhenUsed/>
    <w:rsid w:val="00D46E9B"/>
  </w:style>
  <w:style w:type="table" w:customStyle="1" w:styleId="133120">
    <w:name w:val="Сетка таблицы13312"/>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3120">
    <w:name w:val="Нет списка22312"/>
    <w:next w:val="a2"/>
    <w:uiPriority w:val="99"/>
    <w:semiHidden/>
    <w:unhideWhenUsed/>
    <w:rsid w:val="00D46E9B"/>
  </w:style>
  <w:style w:type="table" w:customStyle="1" w:styleId="23312">
    <w:name w:val="Сетка таблицы23312"/>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23">
    <w:name w:val="Изысканная таблица113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312">
    <w:name w:val="Нет списка112312"/>
    <w:next w:val="a2"/>
    <w:uiPriority w:val="99"/>
    <w:semiHidden/>
    <w:unhideWhenUsed/>
    <w:rsid w:val="00D46E9B"/>
  </w:style>
  <w:style w:type="table" w:customStyle="1" w:styleId="1113120">
    <w:name w:val="Сетка таблицы111312"/>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3120">
    <w:name w:val="Нет списка211312"/>
    <w:next w:val="a2"/>
    <w:uiPriority w:val="99"/>
    <w:semiHidden/>
    <w:unhideWhenUsed/>
    <w:rsid w:val="00D46E9B"/>
  </w:style>
  <w:style w:type="numbering" w:customStyle="1" w:styleId="1111312">
    <w:name w:val="Нет списка1111312"/>
    <w:next w:val="a2"/>
    <w:uiPriority w:val="99"/>
    <w:semiHidden/>
    <w:unhideWhenUsed/>
    <w:rsid w:val="00D46E9B"/>
  </w:style>
  <w:style w:type="numbering" w:customStyle="1" w:styleId="313120">
    <w:name w:val="Нет списка31312"/>
    <w:next w:val="a2"/>
    <w:uiPriority w:val="99"/>
    <w:semiHidden/>
    <w:unhideWhenUsed/>
    <w:rsid w:val="00D46E9B"/>
  </w:style>
  <w:style w:type="table" w:customStyle="1" w:styleId="213122">
    <w:name w:val="Изысканная таблица213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312">
    <w:name w:val="Нет списка121312"/>
    <w:next w:val="a2"/>
    <w:uiPriority w:val="99"/>
    <w:semiHidden/>
    <w:unhideWhenUsed/>
    <w:rsid w:val="00D46E9B"/>
  </w:style>
  <w:style w:type="numbering" w:customStyle="1" w:styleId="413120">
    <w:name w:val="Нет списка41312"/>
    <w:next w:val="a2"/>
    <w:uiPriority w:val="99"/>
    <w:semiHidden/>
    <w:unhideWhenUsed/>
    <w:rsid w:val="00D46E9B"/>
  </w:style>
  <w:style w:type="table" w:customStyle="1" w:styleId="313121">
    <w:name w:val="Изысканная таблица313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312">
    <w:name w:val="Нет списка131312"/>
    <w:next w:val="a2"/>
    <w:uiPriority w:val="99"/>
    <w:semiHidden/>
    <w:unhideWhenUsed/>
    <w:rsid w:val="00D46E9B"/>
  </w:style>
  <w:style w:type="numbering" w:customStyle="1" w:styleId="513120">
    <w:name w:val="Нет списка51312"/>
    <w:next w:val="a2"/>
    <w:uiPriority w:val="99"/>
    <w:semiHidden/>
    <w:unhideWhenUsed/>
    <w:rsid w:val="00D46E9B"/>
  </w:style>
  <w:style w:type="table" w:customStyle="1" w:styleId="413121">
    <w:name w:val="Изысканная таблица413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312">
    <w:name w:val="Нет списка141312"/>
    <w:next w:val="a2"/>
    <w:uiPriority w:val="99"/>
    <w:semiHidden/>
    <w:unhideWhenUsed/>
    <w:rsid w:val="00D46E9B"/>
  </w:style>
  <w:style w:type="numbering" w:customStyle="1" w:styleId="613120">
    <w:name w:val="Нет списка61312"/>
    <w:next w:val="a2"/>
    <w:uiPriority w:val="99"/>
    <w:semiHidden/>
    <w:unhideWhenUsed/>
    <w:rsid w:val="00D46E9B"/>
  </w:style>
  <w:style w:type="table" w:customStyle="1" w:styleId="513121">
    <w:name w:val="Изысканная таблица513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312">
    <w:name w:val="Нет списка151312"/>
    <w:next w:val="a2"/>
    <w:uiPriority w:val="99"/>
    <w:semiHidden/>
    <w:unhideWhenUsed/>
    <w:rsid w:val="00D46E9B"/>
  </w:style>
  <w:style w:type="numbering" w:customStyle="1" w:styleId="713120">
    <w:name w:val="Нет списка71312"/>
    <w:next w:val="a2"/>
    <w:uiPriority w:val="99"/>
    <w:semiHidden/>
    <w:unhideWhenUsed/>
    <w:rsid w:val="00D46E9B"/>
  </w:style>
  <w:style w:type="table" w:customStyle="1" w:styleId="613121">
    <w:name w:val="Изысканная таблица613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312">
    <w:name w:val="Нет списка161312"/>
    <w:next w:val="a2"/>
    <w:uiPriority w:val="99"/>
    <w:semiHidden/>
    <w:unhideWhenUsed/>
    <w:rsid w:val="00D46E9B"/>
  </w:style>
  <w:style w:type="table" w:customStyle="1" w:styleId="2113121">
    <w:name w:val="Сетка таблицы21131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22">
    <w:name w:val="Сетка таблицы3131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12">
    <w:name w:val="Сетка таблицы22131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22">
    <w:name w:val="Сетка таблицы4131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122">
    <w:name w:val="Сетка таблицы5131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122">
    <w:name w:val="Сетка таблицы61312"/>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121">
    <w:name w:val="Сетка таблицы71312"/>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2">
    <w:name w:val="Светлая заливка - Акцент 11312"/>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312">
    <w:name w:val="Сетка таблицы8131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312">
    <w:name w:val="Сетка таблицы9131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120">
    <w:name w:val="Нет списка9212"/>
    <w:next w:val="a2"/>
    <w:uiPriority w:val="99"/>
    <w:semiHidden/>
    <w:unhideWhenUsed/>
    <w:rsid w:val="00D46E9B"/>
  </w:style>
  <w:style w:type="table" w:customStyle="1" w:styleId="142120">
    <w:name w:val="Сетка таблицы14212"/>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123">
    <w:name w:val="Изысканная таблица82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8212">
    <w:name w:val="Нет списка18212"/>
    <w:next w:val="a2"/>
    <w:uiPriority w:val="99"/>
    <w:semiHidden/>
    <w:unhideWhenUsed/>
    <w:rsid w:val="00D46E9B"/>
  </w:style>
  <w:style w:type="table" w:customStyle="1" w:styleId="152120">
    <w:name w:val="Сетка таблицы15212"/>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32120">
    <w:name w:val="Нет списка23212"/>
    <w:next w:val="a2"/>
    <w:uiPriority w:val="99"/>
    <w:semiHidden/>
    <w:unhideWhenUsed/>
    <w:rsid w:val="00D46E9B"/>
  </w:style>
  <w:style w:type="table" w:customStyle="1" w:styleId="24212">
    <w:name w:val="Сетка таблицы24212"/>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23">
    <w:name w:val="Изысканная таблица122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3212">
    <w:name w:val="Нет списка113212"/>
    <w:next w:val="a2"/>
    <w:uiPriority w:val="99"/>
    <w:semiHidden/>
    <w:unhideWhenUsed/>
    <w:rsid w:val="00D46E9B"/>
  </w:style>
  <w:style w:type="table" w:customStyle="1" w:styleId="1122120">
    <w:name w:val="Сетка таблицы112212"/>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22120">
    <w:name w:val="Нет списка212212"/>
    <w:next w:val="a2"/>
    <w:uiPriority w:val="99"/>
    <w:semiHidden/>
    <w:unhideWhenUsed/>
    <w:rsid w:val="00D46E9B"/>
  </w:style>
  <w:style w:type="numbering" w:customStyle="1" w:styleId="1112212">
    <w:name w:val="Нет списка1112212"/>
    <w:next w:val="a2"/>
    <w:uiPriority w:val="99"/>
    <w:semiHidden/>
    <w:unhideWhenUsed/>
    <w:rsid w:val="00D46E9B"/>
  </w:style>
  <w:style w:type="numbering" w:customStyle="1" w:styleId="322120">
    <w:name w:val="Нет списка32212"/>
    <w:next w:val="a2"/>
    <w:uiPriority w:val="99"/>
    <w:semiHidden/>
    <w:unhideWhenUsed/>
    <w:rsid w:val="00D46E9B"/>
  </w:style>
  <w:style w:type="table" w:customStyle="1" w:styleId="222123">
    <w:name w:val="Изысканная таблица222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2212">
    <w:name w:val="Нет списка122212"/>
    <w:next w:val="a2"/>
    <w:uiPriority w:val="99"/>
    <w:semiHidden/>
    <w:unhideWhenUsed/>
    <w:rsid w:val="00D46E9B"/>
  </w:style>
  <w:style w:type="numbering" w:customStyle="1" w:styleId="422120">
    <w:name w:val="Нет списка42212"/>
    <w:next w:val="a2"/>
    <w:uiPriority w:val="99"/>
    <w:semiHidden/>
    <w:unhideWhenUsed/>
    <w:rsid w:val="00D46E9B"/>
  </w:style>
  <w:style w:type="table" w:customStyle="1" w:styleId="322121">
    <w:name w:val="Изысканная таблица322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2212">
    <w:name w:val="Нет списка132212"/>
    <w:next w:val="a2"/>
    <w:uiPriority w:val="99"/>
    <w:semiHidden/>
    <w:unhideWhenUsed/>
    <w:rsid w:val="00D46E9B"/>
  </w:style>
  <w:style w:type="numbering" w:customStyle="1" w:styleId="522120">
    <w:name w:val="Нет списка52212"/>
    <w:next w:val="a2"/>
    <w:uiPriority w:val="99"/>
    <w:semiHidden/>
    <w:unhideWhenUsed/>
    <w:rsid w:val="00D46E9B"/>
  </w:style>
  <w:style w:type="table" w:customStyle="1" w:styleId="422121">
    <w:name w:val="Изысканная таблица422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2212">
    <w:name w:val="Нет списка142212"/>
    <w:next w:val="a2"/>
    <w:uiPriority w:val="99"/>
    <w:semiHidden/>
    <w:unhideWhenUsed/>
    <w:rsid w:val="00D46E9B"/>
  </w:style>
  <w:style w:type="numbering" w:customStyle="1" w:styleId="622120">
    <w:name w:val="Нет списка62212"/>
    <w:next w:val="a2"/>
    <w:uiPriority w:val="99"/>
    <w:semiHidden/>
    <w:unhideWhenUsed/>
    <w:rsid w:val="00D46E9B"/>
  </w:style>
  <w:style w:type="table" w:customStyle="1" w:styleId="522121">
    <w:name w:val="Изысканная таблица522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2212">
    <w:name w:val="Нет списка152212"/>
    <w:next w:val="a2"/>
    <w:uiPriority w:val="99"/>
    <w:semiHidden/>
    <w:unhideWhenUsed/>
    <w:rsid w:val="00D46E9B"/>
  </w:style>
  <w:style w:type="numbering" w:customStyle="1" w:styleId="722120">
    <w:name w:val="Нет списка72212"/>
    <w:next w:val="a2"/>
    <w:uiPriority w:val="99"/>
    <w:semiHidden/>
    <w:unhideWhenUsed/>
    <w:rsid w:val="00D46E9B"/>
  </w:style>
  <w:style w:type="table" w:customStyle="1" w:styleId="622121">
    <w:name w:val="Изысканная таблица622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2212">
    <w:name w:val="Нет списка162212"/>
    <w:next w:val="a2"/>
    <w:uiPriority w:val="99"/>
    <w:semiHidden/>
    <w:unhideWhenUsed/>
    <w:rsid w:val="00D46E9B"/>
  </w:style>
  <w:style w:type="table" w:customStyle="1" w:styleId="2122121">
    <w:name w:val="Сетка таблицы21221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2">
    <w:name w:val="Сетка таблицы3221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12">
    <w:name w:val="Сетка таблицы22221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22">
    <w:name w:val="Сетка таблицы4221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122">
    <w:name w:val="Сетка таблицы5221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122">
    <w:name w:val="Сетка таблицы62212"/>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121">
    <w:name w:val="Сетка таблицы72212"/>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2">
    <w:name w:val="Светлая заливка - Акцент 12212"/>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2212">
    <w:name w:val="Сетка таблицы8221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212">
    <w:name w:val="Сетка таблицы9221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120">
    <w:name w:val="Сетка таблицы121212"/>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20">
    <w:name w:val="Нет списка81212"/>
    <w:next w:val="a2"/>
    <w:uiPriority w:val="99"/>
    <w:semiHidden/>
    <w:unhideWhenUsed/>
    <w:rsid w:val="00D46E9B"/>
  </w:style>
  <w:style w:type="table" w:customStyle="1" w:styleId="101212">
    <w:name w:val="Сетка таблицы101212"/>
    <w:basedOn w:val="a1"/>
    <w:next w:val="aff0"/>
    <w:uiPriority w:val="3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122">
    <w:name w:val="Изысканная таблица712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1212">
    <w:name w:val="Нет списка171212"/>
    <w:next w:val="a2"/>
    <w:uiPriority w:val="99"/>
    <w:semiHidden/>
    <w:unhideWhenUsed/>
    <w:rsid w:val="00D46E9B"/>
  </w:style>
  <w:style w:type="table" w:customStyle="1" w:styleId="1312120">
    <w:name w:val="Сетка таблицы131212"/>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12120">
    <w:name w:val="Нет списка221212"/>
    <w:next w:val="a2"/>
    <w:uiPriority w:val="99"/>
    <w:semiHidden/>
    <w:unhideWhenUsed/>
    <w:rsid w:val="00D46E9B"/>
  </w:style>
  <w:style w:type="table" w:customStyle="1" w:styleId="231212">
    <w:name w:val="Сетка таблицы231212"/>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23">
    <w:name w:val="Изысканная таблица1112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1212">
    <w:name w:val="Нет списка1121212"/>
    <w:next w:val="a2"/>
    <w:uiPriority w:val="99"/>
    <w:semiHidden/>
    <w:unhideWhenUsed/>
    <w:rsid w:val="00D46E9B"/>
  </w:style>
  <w:style w:type="table" w:customStyle="1" w:styleId="11112120">
    <w:name w:val="Сетка таблицы1111212"/>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12120">
    <w:name w:val="Нет списка2111212"/>
    <w:next w:val="a2"/>
    <w:uiPriority w:val="99"/>
    <w:semiHidden/>
    <w:unhideWhenUsed/>
    <w:rsid w:val="00D46E9B"/>
  </w:style>
  <w:style w:type="numbering" w:customStyle="1" w:styleId="11111212">
    <w:name w:val="Нет списка11111212"/>
    <w:next w:val="a2"/>
    <w:uiPriority w:val="99"/>
    <w:semiHidden/>
    <w:unhideWhenUsed/>
    <w:rsid w:val="00D46E9B"/>
  </w:style>
  <w:style w:type="numbering" w:customStyle="1" w:styleId="3112120">
    <w:name w:val="Нет списка311212"/>
    <w:next w:val="a2"/>
    <w:uiPriority w:val="99"/>
    <w:semiHidden/>
    <w:unhideWhenUsed/>
    <w:rsid w:val="00D46E9B"/>
  </w:style>
  <w:style w:type="table" w:customStyle="1" w:styleId="2112122">
    <w:name w:val="Изысканная таблица2112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1212">
    <w:name w:val="Нет списка1211212"/>
    <w:next w:val="a2"/>
    <w:uiPriority w:val="99"/>
    <w:semiHidden/>
    <w:unhideWhenUsed/>
    <w:rsid w:val="00D46E9B"/>
  </w:style>
  <w:style w:type="numbering" w:customStyle="1" w:styleId="4112120">
    <w:name w:val="Нет списка411212"/>
    <w:next w:val="a2"/>
    <w:uiPriority w:val="99"/>
    <w:semiHidden/>
    <w:unhideWhenUsed/>
    <w:rsid w:val="00D46E9B"/>
  </w:style>
  <w:style w:type="table" w:customStyle="1" w:styleId="3112121">
    <w:name w:val="Изысканная таблица3112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1212">
    <w:name w:val="Нет списка1311212"/>
    <w:next w:val="a2"/>
    <w:uiPriority w:val="99"/>
    <w:semiHidden/>
    <w:unhideWhenUsed/>
    <w:rsid w:val="00D46E9B"/>
  </w:style>
  <w:style w:type="numbering" w:customStyle="1" w:styleId="5112120">
    <w:name w:val="Нет списка511212"/>
    <w:next w:val="a2"/>
    <w:uiPriority w:val="99"/>
    <w:semiHidden/>
    <w:unhideWhenUsed/>
    <w:rsid w:val="00D46E9B"/>
  </w:style>
  <w:style w:type="table" w:customStyle="1" w:styleId="4112121">
    <w:name w:val="Изысканная таблица4112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1212">
    <w:name w:val="Нет списка1411212"/>
    <w:next w:val="a2"/>
    <w:uiPriority w:val="99"/>
    <w:semiHidden/>
    <w:unhideWhenUsed/>
    <w:rsid w:val="00D46E9B"/>
  </w:style>
  <w:style w:type="numbering" w:customStyle="1" w:styleId="6112120">
    <w:name w:val="Нет списка611212"/>
    <w:next w:val="a2"/>
    <w:uiPriority w:val="99"/>
    <w:semiHidden/>
    <w:unhideWhenUsed/>
    <w:rsid w:val="00D46E9B"/>
  </w:style>
  <w:style w:type="table" w:customStyle="1" w:styleId="5112121">
    <w:name w:val="Изысканная таблица5112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1212">
    <w:name w:val="Нет списка1511212"/>
    <w:next w:val="a2"/>
    <w:uiPriority w:val="99"/>
    <w:semiHidden/>
    <w:unhideWhenUsed/>
    <w:rsid w:val="00D46E9B"/>
  </w:style>
  <w:style w:type="numbering" w:customStyle="1" w:styleId="7112120">
    <w:name w:val="Нет списка711212"/>
    <w:next w:val="a2"/>
    <w:uiPriority w:val="99"/>
    <w:semiHidden/>
    <w:unhideWhenUsed/>
    <w:rsid w:val="00D46E9B"/>
  </w:style>
  <w:style w:type="table" w:customStyle="1" w:styleId="6112121">
    <w:name w:val="Изысканная таблица6112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1212">
    <w:name w:val="Нет списка1611212"/>
    <w:next w:val="a2"/>
    <w:uiPriority w:val="99"/>
    <w:semiHidden/>
    <w:unhideWhenUsed/>
    <w:rsid w:val="00D46E9B"/>
  </w:style>
  <w:style w:type="table" w:customStyle="1" w:styleId="21112121">
    <w:name w:val="Сетка таблицы211121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122">
    <w:name w:val="Сетка таблицы31121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212">
    <w:name w:val="Сетка таблицы221121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122">
    <w:name w:val="Сетка таблицы41121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122">
    <w:name w:val="Сетка таблицы51121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122">
    <w:name w:val="Сетка таблицы611212"/>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121">
    <w:name w:val="Сетка таблицы711212"/>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2">
    <w:name w:val="Светлая заливка - Акцент 111212"/>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1212">
    <w:name w:val="Сетка таблицы81121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212">
    <w:name w:val="Сетка таблицы91121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20">
    <w:name w:val="Нет списка10112"/>
    <w:next w:val="a2"/>
    <w:uiPriority w:val="99"/>
    <w:semiHidden/>
    <w:unhideWhenUsed/>
    <w:rsid w:val="00D46E9B"/>
  </w:style>
  <w:style w:type="table" w:customStyle="1" w:styleId="161120">
    <w:name w:val="Сетка таблицы16112"/>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24">
    <w:name w:val="Изысканная таблица91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9112">
    <w:name w:val="Нет списка19112"/>
    <w:next w:val="a2"/>
    <w:uiPriority w:val="99"/>
    <w:semiHidden/>
    <w:unhideWhenUsed/>
    <w:rsid w:val="00D46E9B"/>
  </w:style>
  <w:style w:type="table" w:customStyle="1" w:styleId="171120">
    <w:name w:val="Сетка таблицы17112"/>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41120">
    <w:name w:val="Нет списка24112"/>
    <w:next w:val="a2"/>
    <w:uiPriority w:val="99"/>
    <w:semiHidden/>
    <w:unhideWhenUsed/>
    <w:rsid w:val="00D46E9B"/>
  </w:style>
  <w:style w:type="table" w:customStyle="1" w:styleId="25112">
    <w:name w:val="Сетка таблицы25112"/>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24">
    <w:name w:val="Изысканная таблица131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4112">
    <w:name w:val="Нет списка114112"/>
    <w:next w:val="a2"/>
    <w:uiPriority w:val="99"/>
    <w:semiHidden/>
    <w:unhideWhenUsed/>
    <w:rsid w:val="00D46E9B"/>
  </w:style>
  <w:style w:type="table" w:customStyle="1" w:styleId="1131120">
    <w:name w:val="Сетка таблицы113112"/>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31120">
    <w:name w:val="Нет списка213112"/>
    <w:next w:val="a2"/>
    <w:uiPriority w:val="99"/>
    <w:semiHidden/>
    <w:unhideWhenUsed/>
    <w:rsid w:val="00D46E9B"/>
  </w:style>
  <w:style w:type="numbering" w:customStyle="1" w:styleId="1113112">
    <w:name w:val="Нет списка1113112"/>
    <w:next w:val="a2"/>
    <w:uiPriority w:val="99"/>
    <w:semiHidden/>
    <w:unhideWhenUsed/>
    <w:rsid w:val="00D46E9B"/>
  </w:style>
  <w:style w:type="numbering" w:customStyle="1" w:styleId="331120">
    <w:name w:val="Нет списка33112"/>
    <w:next w:val="a2"/>
    <w:uiPriority w:val="99"/>
    <w:semiHidden/>
    <w:unhideWhenUsed/>
    <w:rsid w:val="00D46E9B"/>
  </w:style>
  <w:style w:type="table" w:customStyle="1" w:styleId="231123">
    <w:name w:val="Изысканная таблица231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3112">
    <w:name w:val="Нет списка123112"/>
    <w:next w:val="a2"/>
    <w:uiPriority w:val="99"/>
    <w:semiHidden/>
    <w:unhideWhenUsed/>
    <w:rsid w:val="00D46E9B"/>
  </w:style>
  <w:style w:type="numbering" w:customStyle="1" w:styleId="431120">
    <w:name w:val="Нет списка43112"/>
    <w:next w:val="a2"/>
    <w:uiPriority w:val="99"/>
    <w:semiHidden/>
    <w:unhideWhenUsed/>
    <w:rsid w:val="00D46E9B"/>
  </w:style>
  <w:style w:type="table" w:customStyle="1" w:styleId="331121">
    <w:name w:val="Изысканная таблица331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3112">
    <w:name w:val="Нет списка133112"/>
    <w:next w:val="a2"/>
    <w:uiPriority w:val="99"/>
    <w:semiHidden/>
    <w:unhideWhenUsed/>
    <w:rsid w:val="00D46E9B"/>
  </w:style>
  <w:style w:type="numbering" w:customStyle="1" w:styleId="531120">
    <w:name w:val="Нет списка53112"/>
    <w:next w:val="a2"/>
    <w:uiPriority w:val="99"/>
    <w:semiHidden/>
    <w:unhideWhenUsed/>
    <w:rsid w:val="00D46E9B"/>
  </w:style>
  <w:style w:type="table" w:customStyle="1" w:styleId="431121">
    <w:name w:val="Изысканная таблица431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3112">
    <w:name w:val="Нет списка143112"/>
    <w:next w:val="a2"/>
    <w:uiPriority w:val="99"/>
    <w:semiHidden/>
    <w:unhideWhenUsed/>
    <w:rsid w:val="00D46E9B"/>
  </w:style>
  <w:style w:type="numbering" w:customStyle="1" w:styleId="631120">
    <w:name w:val="Нет списка63112"/>
    <w:next w:val="a2"/>
    <w:uiPriority w:val="99"/>
    <w:semiHidden/>
    <w:unhideWhenUsed/>
    <w:rsid w:val="00D46E9B"/>
  </w:style>
  <w:style w:type="table" w:customStyle="1" w:styleId="531121">
    <w:name w:val="Изысканная таблица531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3112">
    <w:name w:val="Нет списка153112"/>
    <w:next w:val="a2"/>
    <w:uiPriority w:val="99"/>
    <w:semiHidden/>
    <w:unhideWhenUsed/>
    <w:rsid w:val="00D46E9B"/>
  </w:style>
  <w:style w:type="numbering" w:customStyle="1" w:styleId="731120">
    <w:name w:val="Нет списка73112"/>
    <w:next w:val="a2"/>
    <w:uiPriority w:val="99"/>
    <w:semiHidden/>
    <w:unhideWhenUsed/>
    <w:rsid w:val="00D46E9B"/>
  </w:style>
  <w:style w:type="table" w:customStyle="1" w:styleId="631121">
    <w:name w:val="Изысканная таблица631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3112">
    <w:name w:val="Нет списка163112"/>
    <w:next w:val="a2"/>
    <w:uiPriority w:val="99"/>
    <w:semiHidden/>
    <w:unhideWhenUsed/>
    <w:rsid w:val="00D46E9B"/>
  </w:style>
  <w:style w:type="table" w:customStyle="1" w:styleId="2131121">
    <w:name w:val="Сетка таблицы21311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22">
    <w:name w:val="Сетка таблицы3311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112">
    <w:name w:val="Сетка таблицы22311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22">
    <w:name w:val="Сетка таблицы4311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122">
    <w:name w:val="Сетка таблицы5311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122">
    <w:name w:val="Сетка таблицы63112"/>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121">
    <w:name w:val="Сетка таблицы73112"/>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2">
    <w:name w:val="Светлая заливка - Акцент 13112"/>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3112">
    <w:name w:val="Сетка таблицы8311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112">
    <w:name w:val="Сетка таблицы9311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120">
    <w:name w:val="Сетка таблицы122112"/>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1120">
    <w:name w:val="Нет списка82112"/>
    <w:next w:val="a2"/>
    <w:uiPriority w:val="99"/>
    <w:semiHidden/>
    <w:unhideWhenUsed/>
    <w:rsid w:val="00D46E9B"/>
  </w:style>
  <w:style w:type="table" w:customStyle="1" w:styleId="102112">
    <w:name w:val="Сетка таблицы102112"/>
    <w:basedOn w:val="a1"/>
    <w:next w:val="aff0"/>
    <w:uiPriority w:val="3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22">
    <w:name w:val="Изысканная таблица721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2112">
    <w:name w:val="Нет списка172112"/>
    <w:next w:val="a2"/>
    <w:uiPriority w:val="99"/>
    <w:semiHidden/>
    <w:unhideWhenUsed/>
    <w:rsid w:val="00D46E9B"/>
  </w:style>
  <w:style w:type="table" w:customStyle="1" w:styleId="1321120">
    <w:name w:val="Сетка таблицы132112"/>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21120">
    <w:name w:val="Нет списка222112"/>
    <w:next w:val="a2"/>
    <w:uiPriority w:val="99"/>
    <w:semiHidden/>
    <w:unhideWhenUsed/>
    <w:rsid w:val="00D46E9B"/>
  </w:style>
  <w:style w:type="table" w:customStyle="1" w:styleId="232112">
    <w:name w:val="Сетка таблицы232112"/>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23">
    <w:name w:val="Изысканная таблица1121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2112">
    <w:name w:val="Нет списка1122112"/>
    <w:next w:val="a2"/>
    <w:uiPriority w:val="99"/>
    <w:semiHidden/>
    <w:unhideWhenUsed/>
    <w:rsid w:val="00D46E9B"/>
  </w:style>
  <w:style w:type="table" w:customStyle="1" w:styleId="11121120">
    <w:name w:val="Сетка таблицы1112112"/>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21120">
    <w:name w:val="Нет списка2112112"/>
    <w:next w:val="a2"/>
    <w:uiPriority w:val="99"/>
    <w:semiHidden/>
    <w:unhideWhenUsed/>
    <w:rsid w:val="00D46E9B"/>
  </w:style>
  <w:style w:type="numbering" w:customStyle="1" w:styleId="11112112">
    <w:name w:val="Нет списка11112112"/>
    <w:next w:val="a2"/>
    <w:uiPriority w:val="99"/>
    <w:semiHidden/>
    <w:unhideWhenUsed/>
    <w:rsid w:val="00D46E9B"/>
  </w:style>
  <w:style w:type="numbering" w:customStyle="1" w:styleId="3121120">
    <w:name w:val="Нет списка312112"/>
    <w:next w:val="a2"/>
    <w:uiPriority w:val="99"/>
    <w:semiHidden/>
    <w:unhideWhenUsed/>
    <w:rsid w:val="00D46E9B"/>
  </w:style>
  <w:style w:type="table" w:customStyle="1" w:styleId="2121122">
    <w:name w:val="Изысканная таблица2121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2112">
    <w:name w:val="Нет списка1212112"/>
    <w:next w:val="a2"/>
    <w:uiPriority w:val="99"/>
    <w:semiHidden/>
    <w:unhideWhenUsed/>
    <w:rsid w:val="00D46E9B"/>
  </w:style>
  <w:style w:type="numbering" w:customStyle="1" w:styleId="4121120">
    <w:name w:val="Нет списка412112"/>
    <w:next w:val="a2"/>
    <w:uiPriority w:val="99"/>
    <w:semiHidden/>
    <w:unhideWhenUsed/>
    <w:rsid w:val="00D46E9B"/>
  </w:style>
  <w:style w:type="table" w:customStyle="1" w:styleId="3121121">
    <w:name w:val="Изысканная таблица3121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2112">
    <w:name w:val="Нет списка1312112"/>
    <w:next w:val="a2"/>
    <w:uiPriority w:val="99"/>
    <w:semiHidden/>
    <w:unhideWhenUsed/>
    <w:rsid w:val="00D46E9B"/>
  </w:style>
  <w:style w:type="numbering" w:customStyle="1" w:styleId="5121120">
    <w:name w:val="Нет списка512112"/>
    <w:next w:val="a2"/>
    <w:uiPriority w:val="99"/>
    <w:semiHidden/>
    <w:unhideWhenUsed/>
    <w:rsid w:val="00D46E9B"/>
  </w:style>
  <w:style w:type="table" w:customStyle="1" w:styleId="4121121">
    <w:name w:val="Изысканная таблица4121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2112">
    <w:name w:val="Нет списка1412112"/>
    <w:next w:val="a2"/>
    <w:uiPriority w:val="99"/>
    <w:semiHidden/>
    <w:unhideWhenUsed/>
    <w:rsid w:val="00D46E9B"/>
  </w:style>
  <w:style w:type="numbering" w:customStyle="1" w:styleId="6121120">
    <w:name w:val="Нет списка612112"/>
    <w:next w:val="a2"/>
    <w:uiPriority w:val="99"/>
    <w:semiHidden/>
    <w:unhideWhenUsed/>
    <w:rsid w:val="00D46E9B"/>
  </w:style>
  <w:style w:type="table" w:customStyle="1" w:styleId="5121121">
    <w:name w:val="Изысканная таблица5121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2112">
    <w:name w:val="Нет списка1512112"/>
    <w:next w:val="a2"/>
    <w:uiPriority w:val="99"/>
    <w:semiHidden/>
    <w:unhideWhenUsed/>
    <w:rsid w:val="00D46E9B"/>
  </w:style>
  <w:style w:type="numbering" w:customStyle="1" w:styleId="7121120">
    <w:name w:val="Нет списка712112"/>
    <w:next w:val="a2"/>
    <w:uiPriority w:val="99"/>
    <w:semiHidden/>
    <w:unhideWhenUsed/>
    <w:rsid w:val="00D46E9B"/>
  </w:style>
  <w:style w:type="table" w:customStyle="1" w:styleId="6121121">
    <w:name w:val="Изысканная таблица6121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2112">
    <w:name w:val="Нет списка1612112"/>
    <w:next w:val="a2"/>
    <w:uiPriority w:val="99"/>
    <w:semiHidden/>
    <w:unhideWhenUsed/>
    <w:rsid w:val="00D46E9B"/>
  </w:style>
  <w:style w:type="table" w:customStyle="1" w:styleId="21121121">
    <w:name w:val="Сетка таблицы211211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22">
    <w:name w:val="Сетка таблицы31211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112">
    <w:name w:val="Сетка таблицы221211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122">
    <w:name w:val="Сетка таблицы41211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1122">
    <w:name w:val="Сетка таблицы51211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1122">
    <w:name w:val="Сетка таблицы612112"/>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1121">
    <w:name w:val="Сетка таблицы712112"/>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2">
    <w:name w:val="Светлая заливка - Акцент 112112"/>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2112">
    <w:name w:val="Сетка таблицы81211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112">
    <w:name w:val="Сетка таблицы91211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120">
    <w:name w:val="Нет списка91112"/>
    <w:next w:val="a2"/>
    <w:uiPriority w:val="99"/>
    <w:semiHidden/>
    <w:unhideWhenUsed/>
    <w:rsid w:val="00D46E9B"/>
  </w:style>
  <w:style w:type="table" w:customStyle="1" w:styleId="1411120">
    <w:name w:val="Сетка таблицы141112"/>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1123">
    <w:name w:val="Изысканная таблица811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81112">
    <w:name w:val="Нет списка181112"/>
    <w:next w:val="a2"/>
    <w:uiPriority w:val="99"/>
    <w:semiHidden/>
    <w:unhideWhenUsed/>
    <w:rsid w:val="00D46E9B"/>
  </w:style>
  <w:style w:type="table" w:customStyle="1" w:styleId="1511120">
    <w:name w:val="Сетка таблицы151112"/>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311120">
    <w:name w:val="Нет списка231112"/>
    <w:next w:val="a2"/>
    <w:uiPriority w:val="99"/>
    <w:semiHidden/>
    <w:unhideWhenUsed/>
    <w:rsid w:val="00D46E9B"/>
  </w:style>
  <w:style w:type="table" w:customStyle="1" w:styleId="241112">
    <w:name w:val="Сетка таблицы241112"/>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23">
    <w:name w:val="Изысканная таблица1211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31112">
    <w:name w:val="Нет списка1131112"/>
    <w:next w:val="a2"/>
    <w:uiPriority w:val="99"/>
    <w:semiHidden/>
    <w:unhideWhenUsed/>
    <w:rsid w:val="00D46E9B"/>
  </w:style>
  <w:style w:type="table" w:customStyle="1" w:styleId="11211120">
    <w:name w:val="Сетка таблицы1121112"/>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211120">
    <w:name w:val="Нет списка2121112"/>
    <w:next w:val="a2"/>
    <w:uiPriority w:val="99"/>
    <w:semiHidden/>
    <w:unhideWhenUsed/>
    <w:rsid w:val="00D46E9B"/>
  </w:style>
  <w:style w:type="numbering" w:customStyle="1" w:styleId="11121112">
    <w:name w:val="Нет списка11121112"/>
    <w:next w:val="a2"/>
    <w:uiPriority w:val="99"/>
    <w:semiHidden/>
    <w:unhideWhenUsed/>
    <w:rsid w:val="00D46E9B"/>
  </w:style>
  <w:style w:type="numbering" w:customStyle="1" w:styleId="3211120">
    <w:name w:val="Нет списка321112"/>
    <w:next w:val="a2"/>
    <w:uiPriority w:val="99"/>
    <w:semiHidden/>
    <w:unhideWhenUsed/>
    <w:rsid w:val="00D46E9B"/>
  </w:style>
  <w:style w:type="table" w:customStyle="1" w:styleId="2211123">
    <w:name w:val="Изысканная таблица2211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21112">
    <w:name w:val="Нет списка1221112"/>
    <w:next w:val="a2"/>
    <w:uiPriority w:val="99"/>
    <w:semiHidden/>
    <w:unhideWhenUsed/>
    <w:rsid w:val="00D46E9B"/>
  </w:style>
  <w:style w:type="numbering" w:customStyle="1" w:styleId="4211120">
    <w:name w:val="Нет списка421112"/>
    <w:next w:val="a2"/>
    <w:uiPriority w:val="99"/>
    <w:semiHidden/>
    <w:unhideWhenUsed/>
    <w:rsid w:val="00D46E9B"/>
  </w:style>
  <w:style w:type="table" w:customStyle="1" w:styleId="3211121">
    <w:name w:val="Изысканная таблица3211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21112">
    <w:name w:val="Нет списка1321112"/>
    <w:next w:val="a2"/>
    <w:uiPriority w:val="99"/>
    <w:semiHidden/>
    <w:unhideWhenUsed/>
    <w:rsid w:val="00D46E9B"/>
  </w:style>
  <w:style w:type="numbering" w:customStyle="1" w:styleId="5211120">
    <w:name w:val="Нет списка521112"/>
    <w:next w:val="a2"/>
    <w:uiPriority w:val="99"/>
    <w:semiHidden/>
    <w:unhideWhenUsed/>
    <w:rsid w:val="00D46E9B"/>
  </w:style>
  <w:style w:type="table" w:customStyle="1" w:styleId="4211121">
    <w:name w:val="Изысканная таблица4211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21112">
    <w:name w:val="Нет списка1421112"/>
    <w:next w:val="a2"/>
    <w:uiPriority w:val="99"/>
    <w:semiHidden/>
    <w:unhideWhenUsed/>
    <w:rsid w:val="00D46E9B"/>
  </w:style>
  <w:style w:type="numbering" w:customStyle="1" w:styleId="6211120">
    <w:name w:val="Нет списка621112"/>
    <w:next w:val="a2"/>
    <w:uiPriority w:val="99"/>
    <w:semiHidden/>
    <w:unhideWhenUsed/>
    <w:rsid w:val="00D46E9B"/>
  </w:style>
  <w:style w:type="table" w:customStyle="1" w:styleId="5211121">
    <w:name w:val="Изысканная таблица5211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21112">
    <w:name w:val="Нет списка1521112"/>
    <w:next w:val="a2"/>
    <w:uiPriority w:val="99"/>
    <w:semiHidden/>
    <w:unhideWhenUsed/>
    <w:rsid w:val="00D46E9B"/>
  </w:style>
  <w:style w:type="numbering" w:customStyle="1" w:styleId="7211120">
    <w:name w:val="Нет списка721112"/>
    <w:next w:val="a2"/>
    <w:uiPriority w:val="99"/>
    <w:semiHidden/>
    <w:unhideWhenUsed/>
    <w:rsid w:val="00D46E9B"/>
  </w:style>
  <w:style w:type="table" w:customStyle="1" w:styleId="6211121">
    <w:name w:val="Изысканная таблица6211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21112">
    <w:name w:val="Нет списка1621112"/>
    <w:next w:val="a2"/>
    <w:uiPriority w:val="99"/>
    <w:semiHidden/>
    <w:unhideWhenUsed/>
    <w:rsid w:val="00D46E9B"/>
  </w:style>
  <w:style w:type="table" w:customStyle="1" w:styleId="21211121">
    <w:name w:val="Сетка таблицы212111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22">
    <w:name w:val="Сетка таблицы32111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1112">
    <w:name w:val="Сетка таблицы222111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122">
    <w:name w:val="Сетка таблицы42111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122">
    <w:name w:val="Сетка таблицы52111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122">
    <w:name w:val="Сетка таблицы621112"/>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121">
    <w:name w:val="Сетка таблицы721112"/>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2">
    <w:name w:val="Светлая заливка - Акцент 121112"/>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21112">
    <w:name w:val="Сетка таблицы82111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1112">
    <w:name w:val="Сетка таблицы92111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120">
    <w:name w:val="Сетка таблицы1211112"/>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1120">
    <w:name w:val="Нет списка811112"/>
    <w:next w:val="a2"/>
    <w:uiPriority w:val="99"/>
    <w:semiHidden/>
    <w:unhideWhenUsed/>
    <w:rsid w:val="00D46E9B"/>
  </w:style>
  <w:style w:type="table" w:customStyle="1" w:styleId="1011112">
    <w:name w:val="Сетка таблицы1011112"/>
    <w:basedOn w:val="a1"/>
    <w:next w:val="aff0"/>
    <w:uiPriority w:val="3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122">
    <w:name w:val="Изысканная таблица7111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11112">
    <w:name w:val="Нет списка1711112"/>
    <w:next w:val="a2"/>
    <w:uiPriority w:val="99"/>
    <w:semiHidden/>
    <w:unhideWhenUsed/>
    <w:rsid w:val="00D46E9B"/>
  </w:style>
  <w:style w:type="table" w:customStyle="1" w:styleId="13111120">
    <w:name w:val="Сетка таблицы1311112"/>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111120">
    <w:name w:val="Нет списка2211112"/>
    <w:next w:val="a2"/>
    <w:uiPriority w:val="99"/>
    <w:semiHidden/>
    <w:unhideWhenUsed/>
    <w:rsid w:val="00D46E9B"/>
  </w:style>
  <w:style w:type="table" w:customStyle="1" w:styleId="2311112">
    <w:name w:val="Сетка таблицы2311112"/>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123">
    <w:name w:val="Изысканная таблица11111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11112">
    <w:name w:val="Нет списка11211112"/>
    <w:next w:val="a2"/>
    <w:uiPriority w:val="99"/>
    <w:semiHidden/>
    <w:unhideWhenUsed/>
    <w:rsid w:val="00D46E9B"/>
  </w:style>
  <w:style w:type="table" w:customStyle="1" w:styleId="111111120">
    <w:name w:val="Сетка таблицы11111112"/>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111120">
    <w:name w:val="Нет списка21111112"/>
    <w:next w:val="a2"/>
    <w:uiPriority w:val="99"/>
    <w:semiHidden/>
    <w:unhideWhenUsed/>
    <w:rsid w:val="00D46E9B"/>
  </w:style>
  <w:style w:type="numbering" w:customStyle="1" w:styleId="111111112">
    <w:name w:val="Нет списка111111112"/>
    <w:next w:val="a2"/>
    <w:uiPriority w:val="99"/>
    <w:semiHidden/>
    <w:unhideWhenUsed/>
    <w:rsid w:val="00D46E9B"/>
  </w:style>
  <w:style w:type="numbering" w:customStyle="1" w:styleId="31111120">
    <w:name w:val="Нет списка3111112"/>
    <w:next w:val="a2"/>
    <w:uiPriority w:val="99"/>
    <w:semiHidden/>
    <w:unhideWhenUsed/>
    <w:rsid w:val="00D46E9B"/>
  </w:style>
  <w:style w:type="table" w:customStyle="1" w:styleId="21111122">
    <w:name w:val="Изысканная таблица21111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11112">
    <w:name w:val="Нет списка12111112"/>
    <w:next w:val="a2"/>
    <w:uiPriority w:val="99"/>
    <w:semiHidden/>
    <w:unhideWhenUsed/>
    <w:rsid w:val="00D46E9B"/>
  </w:style>
  <w:style w:type="numbering" w:customStyle="1" w:styleId="41111120">
    <w:name w:val="Нет списка4111112"/>
    <w:next w:val="a2"/>
    <w:uiPriority w:val="99"/>
    <w:semiHidden/>
    <w:unhideWhenUsed/>
    <w:rsid w:val="00D46E9B"/>
  </w:style>
  <w:style w:type="table" w:customStyle="1" w:styleId="31111121">
    <w:name w:val="Изысканная таблица31111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11112">
    <w:name w:val="Нет списка13111112"/>
    <w:next w:val="a2"/>
    <w:uiPriority w:val="99"/>
    <w:semiHidden/>
    <w:unhideWhenUsed/>
    <w:rsid w:val="00D46E9B"/>
  </w:style>
  <w:style w:type="numbering" w:customStyle="1" w:styleId="51111120">
    <w:name w:val="Нет списка5111112"/>
    <w:next w:val="a2"/>
    <w:uiPriority w:val="99"/>
    <w:semiHidden/>
    <w:unhideWhenUsed/>
    <w:rsid w:val="00D46E9B"/>
  </w:style>
  <w:style w:type="table" w:customStyle="1" w:styleId="41111121">
    <w:name w:val="Изысканная таблица41111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11112">
    <w:name w:val="Нет списка14111112"/>
    <w:next w:val="a2"/>
    <w:uiPriority w:val="99"/>
    <w:semiHidden/>
    <w:unhideWhenUsed/>
    <w:rsid w:val="00D46E9B"/>
  </w:style>
  <w:style w:type="numbering" w:customStyle="1" w:styleId="61111120">
    <w:name w:val="Нет списка6111112"/>
    <w:next w:val="a2"/>
    <w:uiPriority w:val="99"/>
    <w:semiHidden/>
    <w:unhideWhenUsed/>
    <w:rsid w:val="00D46E9B"/>
  </w:style>
  <w:style w:type="table" w:customStyle="1" w:styleId="51111121">
    <w:name w:val="Изысканная таблица51111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11112">
    <w:name w:val="Нет списка15111112"/>
    <w:next w:val="a2"/>
    <w:uiPriority w:val="99"/>
    <w:semiHidden/>
    <w:unhideWhenUsed/>
    <w:rsid w:val="00D46E9B"/>
  </w:style>
  <w:style w:type="numbering" w:customStyle="1" w:styleId="71111120">
    <w:name w:val="Нет списка7111112"/>
    <w:next w:val="a2"/>
    <w:uiPriority w:val="99"/>
    <w:semiHidden/>
    <w:unhideWhenUsed/>
    <w:rsid w:val="00D46E9B"/>
  </w:style>
  <w:style w:type="table" w:customStyle="1" w:styleId="61111121">
    <w:name w:val="Изысканная таблица6111112"/>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11112">
    <w:name w:val="Нет списка16111112"/>
    <w:next w:val="a2"/>
    <w:uiPriority w:val="99"/>
    <w:semiHidden/>
    <w:unhideWhenUsed/>
    <w:rsid w:val="00D46E9B"/>
  </w:style>
  <w:style w:type="table" w:customStyle="1" w:styleId="211111121">
    <w:name w:val="Сетка таблицы2111111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122">
    <w:name w:val="Сетка таблицы311111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112">
    <w:name w:val="Сетка таблицы2211111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122">
    <w:name w:val="Сетка таблицы4111112"/>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1122">
    <w:name w:val="Сетка таблицы511111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1122">
    <w:name w:val="Сетка таблицы6111112"/>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1121">
    <w:name w:val="Сетка таблицы7111112"/>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12">
    <w:name w:val="Светлая заливка - Акцент 1111112"/>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11112">
    <w:name w:val="Сетка таблицы811111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1112">
    <w:name w:val="Сетка таблицы9111112"/>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2">
    <w:name w:val="Сетка таблицы662"/>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10">
    <w:name w:val="Нет списка281"/>
    <w:next w:val="a2"/>
    <w:uiPriority w:val="99"/>
    <w:semiHidden/>
    <w:unhideWhenUsed/>
    <w:rsid w:val="00D46E9B"/>
  </w:style>
  <w:style w:type="table" w:customStyle="1" w:styleId="2811">
    <w:name w:val="Сетка таблицы281"/>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6">
    <w:name w:val="Изысканная таблица171"/>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81">
    <w:name w:val="Нет списка1181"/>
    <w:next w:val="a2"/>
    <w:uiPriority w:val="99"/>
    <w:semiHidden/>
    <w:unhideWhenUsed/>
    <w:rsid w:val="00D46E9B"/>
  </w:style>
  <w:style w:type="table" w:customStyle="1" w:styleId="11610">
    <w:name w:val="Сетка таблицы1161"/>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910">
    <w:name w:val="Нет списка291"/>
    <w:next w:val="a2"/>
    <w:uiPriority w:val="99"/>
    <w:semiHidden/>
    <w:unhideWhenUsed/>
    <w:rsid w:val="00D46E9B"/>
  </w:style>
  <w:style w:type="table" w:customStyle="1" w:styleId="2911">
    <w:name w:val="Сетка таблицы291"/>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5">
    <w:name w:val="Изысканная таблица181"/>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91">
    <w:name w:val="Нет списка1191"/>
    <w:next w:val="a2"/>
    <w:uiPriority w:val="99"/>
    <w:semiHidden/>
    <w:unhideWhenUsed/>
    <w:rsid w:val="00D46E9B"/>
  </w:style>
  <w:style w:type="table" w:customStyle="1" w:styleId="11710">
    <w:name w:val="Сетка таблицы1171"/>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610">
    <w:name w:val="Нет списка2161"/>
    <w:next w:val="a2"/>
    <w:uiPriority w:val="99"/>
    <w:semiHidden/>
    <w:unhideWhenUsed/>
    <w:rsid w:val="00D46E9B"/>
  </w:style>
  <w:style w:type="numbering" w:customStyle="1" w:styleId="11161">
    <w:name w:val="Нет списка11161"/>
    <w:next w:val="a2"/>
    <w:uiPriority w:val="99"/>
    <w:semiHidden/>
    <w:unhideWhenUsed/>
    <w:rsid w:val="00D46E9B"/>
  </w:style>
  <w:style w:type="numbering" w:customStyle="1" w:styleId="3610">
    <w:name w:val="Нет списка361"/>
    <w:next w:val="a2"/>
    <w:uiPriority w:val="99"/>
    <w:semiHidden/>
    <w:unhideWhenUsed/>
    <w:rsid w:val="00D46E9B"/>
  </w:style>
  <w:style w:type="table" w:customStyle="1" w:styleId="2613">
    <w:name w:val="Изысканная таблица261"/>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61">
    <w:name w:val="Нет списка1261"/>
    <w:next w:val="a2"/>
    <w:uiPriority w:val="99"/>
    <w:semiHidden/>
    <w:unhideWhenUsed/>
    <w:rsid w:val="00D46E9B"/>
  </w:style>
  <w:style w:type="numbering" w:customStyle="1" w:styleId="4610">
    <w:name w:val="Нет списка461"/>
    <w:next w:val="a2"/>
    <w:uiPriority w:val="99"/>
    <w:semiHidden/>
    <w:unhideWhenUsed/>
    <w:rsid w:val="00D46E9B"/>
  </w:style>
  <w:style w:type="table" w:customStyle="1" w:styleId="3611">
    <w:name w:val="Изысканная таблица361"/>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61">
    <w:name w:val="Нет списка1361"/>
    <w:next w:val="a2"/>
    <w:uiPriority w:val="99"/>
    <w:semiHidden/>
    <w:unhideWhenUsed/>
    <w:rsid w:val="00D46E9B"/>
  </w:style>
  <w:style w:type="numbering" w:customStyle="1" w:styleId="5610">
    <w:name w:val="Нет списка561"/>
    <w:next w:val="a2"/>
    <w:uiPriority w:val="99"/>
    <w:semiHidden/>
    <w:unhideWhenUsed/>
    <w:rsid w:val="00D46E9B"/>
  </w:style>
  <w:style w:type="table" w:customStyle="1" w:styleId="4611">
    <w:name w:val="Изысканная таблица461"/>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61">
    <w:name w:val="Нет списка1461"/>
    <w:next w:val="a2"/>
    <w:uiPriority w:val="99"/>
    <w:semiHidden/>
    <w:unhideWhenUsed/>
    <w:rsid w:val="00D46E9B"/>
  </w:style>
  <w:style w:type="numbering" w:customStyle="1" w:styleId="6611">
    <w:name w:val="Нет списка661"/>
    <w:next w:val="a2"/>
    <w:uiPriority w:val="99"/>
    <w:semiHidden/>
    <w:unhideWhenUsed/>
    <w:rsid w:val="00D46E9B"/>
  </w:style>
  <w:style w:type="table" w:customStyle="1" w:styleId="5611">
    <w:name w:val="Изысканная таблица561"/>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61">
    <w:name w:val="Нет списка1561"/>
    <w:next w:val="a2"/>
    <w:uiPriority w:val="99"/>
    <w:semiHidden/>
    <w:unhideWhenUsed/>
    <w:rsid w:val="00D46E9B"/>
  </w:style>
  <w:style w:type="numbering" w:customStyle="1" w:styleId="7610">
    <w:name w:val="Нет списка761"/>
    <w:next w:val="a2"/>
    <w:uiPriority w:val="99"/>
    <w:semiHidden/>
    <w:unhideWhenUsed/>
    <w:rsid w:val="00D46E9B"/>
  </w:style>
  <w:style w:type="table" w:customStyle="1" w:styleId="6612">
    <w:name w:val="Изысканная таблица661"/>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61">
    <w:name w:val="Нет списка1661"/>
    <w:next w:val="a2"/>
    <w:uiPriority w:val="99"/>
    <w:semiHidden/>
    <w:unhideWhenUsed/>
    <w:rsid w:val="00D46E9B"/>
  </w:style>
  <w:style w:type="table" w:customStyle="1" w:styleId="21611">
    <w:name w:val="Сетка таблицы2161"/>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2">
    <w:name w:val="Сетка таблицы361"/>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61">
    <w:name w:val="Сетка таблицы2261"/>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12">
    <w:name w:val="Сетка таблицы461"/>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12">
    <w:name w:val="Сетка таблицы561"/>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710">
    <w:name w:val="Сетка таблицы671"/>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11">
    <w:name w:val="Сетка таблицы761"/>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Светлая заливка - Акцент 161"/>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61">
    <w:name w:val="Сетка таблицы861"/>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61">
    <w:name w:val="Сетка таблицы961"/>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10">
    <w:name w:val="Сетка таблицы1251"/>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510">
    <w:name w:val="Нет списка851"/>
    <w:next w:val="a2"/>
    <w:uiPriority w:val="99"/>
    <w:semiHidden/>
    <w:unhideWhenUsed/>
    <w:rsid w:val="00D46E9B"/>
  </w:style>
  <w:style w:type="table" w:customStyle="1" w:styleId="1051">
    <w:name w:val="Сетка таблицы1051"/>
    <w:basedOn w:val="a1"/>
    <w:next w:val="aff0"/>
    <w:uiPriority w:val="3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12">
    <w:name w:val="Изысканная таблица751"/>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51">
    <w:name w:val="Нет списка1751"/>
    <w:next w:val="a2"/>
    <w:uiPriority w:val="99"/>
    <w:semiHidden/>
    <w:unhideWhenUsed/>
    <w:rsid w:val="00D46E9B"/>
  </w:style>
  <w:style w:type="table" w:customStyle="1" w:styleId="13510">
    <w:name w:val="Сетка таблицы1351"/>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510">
    <w:name w:val="Нет списка2251"/>
    <w:next w:val="a2"/>
    <w:uiPriority w:val="99"/>
    <w:semiHidden/>
    <w:unhideWhenUsed/>
    <w:rsid w:val="00D46E9B"/>
  </w:style>
  <w:style w:type="table" w:customStyle="1" w:styleId="2351">
    <w:name w:val="Сетка таблицы2351"/>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3">
    <w:name w:val="Изысканная таблица1151"/>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51">
    <w:name w:val="Нет списка11251"/>
    <w:next w:val="a2"/>
    <w:uiPriority w:val="99"/>
    <w:semiHidden/>
    <w:unhideWhenUsed/>
    <w:rsid w:val="00D46E9B"/>
  </w:style>
  <w:style w:type="table" w:customStyle="1" w:styleId="111510">
    <w:name w:val="Сетка таблицы11151"/>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510">
    <w:name w:val="Нет списка21151"/>
    <w:next w:val="a2"/>
    <w:uiPriority w:val="99"/>
    <w:semiHidden/>
    <w:unhideWhenUsed/>
    <w:rsid w:val="00D46E9B"/>
  </w:style>
  <w:style w:type="numbering" w:customStyle="1" w:styleId="111151">
    <w:name w:val="Нет списка111151"/>
    <w:next w:val="a2"/>
    <w:uiPriority w:val="99"/>
    <w:semiHidden/>
    <w:unhideWhenUsed/>
    <w:rsid w:val="00D46E9B"/>
  </w:style>
  <w:style w:type="numbering" w:customStyle="1" w:styleId="31510">
    <w:name w:val="Нет списка3151"/>
    <w:next w:val="a2"/>
    <w:uiPriority w:val="99"/>
    <w:semiHidden/>
    <w:unhideWhenUsed/>
    <w:rsid w:val="00D46E9B"/>
  </w:style>
  <w:style w:type="table" w:customStyle="1" w:styleId="21512">
    <w:name w:val="Изысканная таблица2151"/>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51">
    <w:name w:val="Нет списка12151"/>
    <w:next w:val="a2"/>
    <w:uiPriority w:val="99"/>
    <w:semiHidden/>
    <w:unhideWhenUsed/>
    <w:rsid w:val="00D46E9B"/>
  </w:style>
  <w:style w:type="numbering" w:customStyle="1" w:styleId="41510">
    <w:name w:val="Нет списка4151"/>
    <w:next w:val="a2"/>
    <w:uiPriority w:val="99"/>
    <w:semiHidden/>
    <w:unhideWhenUsed/>
    <w:rsid w:val="00D46E9B"/>
  </w:style>
  <w:style w:type="table" w:customStyle="1" w:styleId="31511">
    <w:name w:val="Изысканная таблица3151"/>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51">
    <w:name w:val="Нет списка13151"/>
    <w:next w:val="a2"/>
    <w:uiPriority w:val="99"/>
    <w:semiHidden/>
    <w:unhideWhenUsed/>
    <w:rsid w:val="00D46E9B"/>
  </w:style>
  <w:style w:type="numbering" w:customStyle="1" w:styleId="51510">
    <w:name w:val="Нет списка5151"/>
    <w:next w:val="a2"/>
    <w:uiPriority w:val="99"/>
    <w:semiHidden/>
    <w:unhideWhenUsed/>
    <w:rsid w:val="00D46E9B"/>
  </w:style>
  <w:style w:type="table" w:customStyle="1" w:styleId="41511">
    <w:name w:val="Изысканная таблица4151"/>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51">
    <w:name w:val="Нет списка14151"/>
    <w:next w:val="a2"/>
    <w:uiPriority w:val="99"/>
    <w:semiHidden/>
    <w:unhideWhenUsed/>
    <w:rsid w:val="00D46E9B"/>
  </w:style>
  <w:style w:type="numbering" w:customStyle="1" w:styleId="61510">
    <w:name w:val="Нет списка6151"/>
    <w:next w:val="a2"/>
    <w:uiPriority w:val="99"/>
    <w:semiHidden/>
    <w:unhideWhenUsed/>
    <w:rsid w:val="00D46E9B"/>
  </w:style>
  <w:style w:type="table" w:customStyle="1" w:styleId="51511">
    <w:name w:val="Изысканная таблица5151"/>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51">
    <w:name w:val="Нет списка15151"/>
    <w:next w:val="a2"/>
    <w:uiPriority w:val="99"/>
    <w:semiHidden/>
    <w:unhideWhenUsed/>
    <w:rsid w:val="00D46E9B"/>
  </w:style>
  <w:style w:type="numbering" w:customStyle="1" w:styleId="71510">
    <w:name w:val="Нет списка7151"/>
    <w:next w:val="a2"/>
    <w:uiPriority w:val="99"/>
    <w:semiHidden/>
    <w:unhideWhenUsed/>
    <w:rsid w:val="00D46E9B"/>
  </w:style>
  <w:style w:type="table" w:customStyle="1" w:styleId="61511">
    <w:name w:val="Изысканная таблица6151"/>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51">
    <w:name w:val="Нет списка16151"/>
    <w:next w:val="a2"/>
    <w:uiPriority w:val="99"/>
    <w:semiHidden/>
    <w:unhideWhenUsed/>
    <w:rsid w:val="00D46E9B"/>
  </w:style>
  <w:style w:type="table" w:customStyle="1" w:styleId="211511">
    <w:name w:val="Сетка таблицы21151"/>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12">
    <w:name w:val="Сетка таблицы3151"/>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51">
    <w:name w:val="Сетка таблицы22151"/>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12">
    <w:name w:val="Сетка таблицы4151"/>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512">
    <w:name w:val="Сетка таблицы5151"/>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512">
    <w:name w:val="Сетка таблицы6151"/>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511">
    <w:name w:val="Сетка таблицы7151"/>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
    <w:name w:val="Светлая заливка - Акцент 1151"/>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51">
    <w:name w:val="Сетка таблицы8151"/>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51">
    <w:name w:val="Сетка таблицы9151"/>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410">
    <w:name w:val="Нет списка941"/>
    <w:next w:val="a2"/>
    <w:uiPriority w:val="99"/>
    <w:semiHidden/>
    <w:unhideWhenUsed/>
    <w:rsid w:val="00D46E9B"/>
  </w:style>
  <w:style w:type="table" w:customStyle="1" w:styleId="14410">
    <w:name w:val="Сетка таблицы1441"/>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13">
    <w:name w:val="Изысканная таблица841"/>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841">
    <w:name w:val="Нет списка1841"/>
    <w:next w:val="a2"/>
    <w:uiPriority w:val="99"/>
    <w:semiHidden/>
    <w:unhideWhenUsed/>
    <w:rsid w:val="00D46E9B"/>
  </w:style>
  <w:style w:type="table" w:customStyle="1" w:styleId="15410">
    <w:name w:val="Сетка таблицы1541"/>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3410">
    <w:name w:val="Нет списка2341"/>
    <w:next w:val="a2"/>
    <w:uiPriority w:val="99"/>
    <w:semiHidden/>
    <w:unhideWhenUsed/>
    <w:rsid w:val="00D46E9B"/>
  </w:style>
  <w:style w:type="table" w:customStyle="1" w:styleId="2441">
    <w:name w:val="Сетка таблицы2441"/>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13">
    <w:name w:val="Изысканная таблица1241"/>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341">
    <w:name w:val="Нет списка11341"/>
    <w:next w:val="a2"/>
    <w:uiPriority w:val="99"/>
    <w:semiHidden/>
    <w:unhideWhenUsed/>
    <w:rsid w:val="00D46E9B"/>
  </w:style>
  <w:style w:type="table" w:customStyle="1" w:styleId="112410">
    <w:name w:val="Сетка таблицы11241"/>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2410">
    <w:name w:val="Нет списка21241"/>
    <w:next w:val="a2"/>
    <w:uiPriority w:val="99"/>
    <w:semiHidden/>
    <w:unhideWhenUsed/>
    <w:rsid w:val="00D46E9B"/>
  </w:style>
  <w:style w:type="numbering" w:customStyle="1" w:styleId="111241">
    <w:name w:val="Нет списка111241"/>
    <w:next w:val="a2"/>
    <w:uiPriority w:val="99"/>
    <w:semiHidden/>
    <w:unhideWhenUsed/>
    <w:rsid w:val="00D46E9B"/>
  </w:style>
  <w:style w:type="numbering" w:customStyle="1" w:styleId="32410">
    <w:name w:val="Нет списка3241"/>
    <w:next w:val="a2"/>
    <w:uiPriority w:val="99"/>
    <w:semiHidden/>
    <w:unhideWhenUsed/>
    <w:rsid w:val="00D46E9B"/>
  </w:style>
  <w:style w:type="table" w:customStyle="1" w:styleId="22413">
    <w:name w:val="Изысканная таблица2241"/>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241">
    <w:name w:val="Нет списка12241"/>
    <w:next w:val="a2"/>
    <w:uiPriority w:val="99"/>
    <w:semiHidden/>
    <w:unhideWhenUsed/>
    <w:rsid w:val="00D46E9B"/>
  </w:style>
  <w:style w:type="numbering" w:customStyle="1" w:styleId="42410">
    <w:name w:val="Нет списка4241"/>
    <w:next w:val="a2"/>
    <w:uiPriority w:val="99"/>
    <w:semiHidden/>
    <w:unhideWhenUsed/>
    <w:rsid w:val="00D46E9B"/>
  </w:style>
  <w:style w:type="table" w:customStyle="1" w:styleId="32411">
    <w:name w:val="Изысканная таблица3241"/>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2410">
    <w:name w:val="Нет списка13241"/>
    <w:next w:val="a2"/>
    <w:uiPriority w:val="99"/>
    <w:semiHidden/>
    <w:unhideWhenUsed/>
    <w:rsid w:val="00D46E9B"/>
  </w:style>
  <w:style w:type="numbering" w:customStyle="1" w:styleId="52410">
    <w:name w:val="Нет списка5241"/>
    <w:next w:val="a2"/>
    <w:uiPriority w:val="99"/>
    <w:semiHidden/>
    <w:unhideWhenUsed/>
    <w:rsid w:val="00D46E9B"/>
  </w:style>
  <w:style w:type="table" w:customStyle="1" w:styleId="42411">
    <w:name w:val="Изысканная таблица4241"/>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241">
    <w:name w:val="Нет списка14241"/>
    <w:next w:val="a2"/>
    <w:uiPriority w:val="99"/>
    <w:semiHidden/>
    <w:unhideWhenUsed/>
    <w:rsid w:val="00D46E9B"/>
  </w:style>
  <w:style w:type="numbering" w:customStyle="1" w:styleId="62410">
    <w:name w:val="Нет списка6241"/>
    <w:next w:val="a2"/>
    <w:uiPriority w:val="99"/>
    <w:semiHidden/>
    <w:unhideWhenUsed/>
    <w:rsid w:val="00D46E9B"/>
  </w:style>
  <w:style w:type="table" w:customStyle="1" w:styleId="52411">
    <w:name w:val="Изысканная таблица5241"/>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241">
    <w:name w:val="Нет списка15241"/>
    <w:next w:val="a2"/>
    <w:uiPriority w:val="99"/>
    <w:semiHidden/>
    <w:unhideWhenUsed/>
    <w:rsid w:val="00D46E9B"/>
  </w:style>
  <w:style w:type="numbering" w:customStyle="1" w:styleId="72410">
    <w:name w:val="Нет списка7241"/>
    <w:next w:val="a2"/>
    <w:uiPriority w:val="99"/>
    <w:semiHidden/>
    <w:unhideWhenUsed/>
    <w:rsid w:val="00D46E9B"/>
  </w:style>
  <w:style w:type="table" w:customStyle="1" w:styleId="62411">
    <w:name w:val="Изысканная таблица6241"/>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241">
    <w:name w:val="Нет списка16241"/>
    <w:next w:val="a2"/>
    <w:uiPriority w:val="99"/>
    <w:semiHidden/>
    <w:unhideWhenUsed/>
    <w:rsid w:val="00D46E9B"/>
  </w:style>
  <w:style w:type="table" w:customStyle="1" w:styleId="212411">
    <w:name w:val="Сетка таблицы21241"/>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12">
    <w:name w:val="Сетка таблицы3241"/>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41">
    <w:name w:val="Сетка таблицы22241"/>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412">
    <w:name w:val="Сетка таблицы4241"/>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412">
    <w:name w:val="Сетка таблицы5241"/>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412">
    <w:name w:val="Сетка таблицы6241"/>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411">
    <w:name w:val="Сетка таблицы7241"/>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1">
    <w:name w:val="Светлая заливка - Акцент 1241"/>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241">
    <w:name w:val="Сетка таблицы8241"/>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41">
    <w:name w:val="Сетка таблицы9241"/>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10">
    <w:name w:val="Сетка таблицы12141"/>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410">
    <w:name w:val="Нет списка8141"/>
    <w:next w:val="a2"/>
    <w:uiPriority w:val="99"/>
    <w:semiHidden/>
    <w:unhideWhenUsed/>
    <w:rsid w:val="00D46E9B"/>
  </w:style>
  <w:style w:type="table" w:customStyle="1" w:styleId="10141">
    <w:name w:val="Сетка таблицы10141"/>
    <w:basedOn w:val="a1"/>
    <w:next w:val="aff0"/>
    <w:uiPriority w:val="3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412">
    <w:name w:val="Изысканная таблица7141"/>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7141">
    <w:name w:val="Нет списка17141"/>
    <w:next w:val="a2"/>
    <w:uiPriority w:val="99"/>
    <w:semiHidden/>
    <w:unhideWhenUsed/>
    <w:rsid w:val="00D46E9B"/>
  </w:style>
  <w:style w:type="table" w:customStyle="1" w:styleId="131411">
    <w:name w:val="Сетка таблицы13141"/>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1410">
    <w:name w:val="Нет списка22141"/>
    <w:next w:val="a2"/>
    <w:uiPriority w:val="99"/>
    <w:semiHidden/>
    <w:unhideWhenUsed/>
    <w:rsid w:val="00D46E9B"/>
  </w:style>
  <w:style w:type="table" w:customStyle="1" w:styleId="23141">
    <w:name w:val="Сетка таблицы23141"/>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13">
    <w:name w:val="Изысканная таблица11141"/>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2141">
    <w:name w:val="Нет списка112141"/>
    <w:next w:val="a2"/>
    <w:uiPriority w:val="99"/>
    <w:semiHidden/>
    <w:unhideWhenUsed/>
    <w:rsid w:val="00D46E9B"/>
  </w:style>
  <w:style w:type="table" w:customStyle="1" w:styleId="1111410">
    <w:name w:val="Сетка таблицы111141"/>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11410">
    <w:name w:val="Нет списка211141"/>
    <w:next w:val="a2"/>
    <w:uiPriority w:val="99"/>
    <w:semiHidden/>
    <w:unhideWhenUsed/>
    <w:rsid w:val="00D46E9B"/>
  </w:style>
  <w:style w:type="numbering" w:customStyle="1" w:styleId="1111141">
    <w:name w:val="Нет списка1111141"/>
    <w:next w:val="a2"/>
    <w:uiPriority w:val="99"/>
    <w:semiHidden/>
    <w:unhideWhenUsed/>
    <w:rsid w:val="00D46E9B"/>
  </w:style>
  <w:style w:type="numbering" w:customStyle="1" w:styleId="311410">
    <w:name w:val="Нет списка31141"/>
    <w:next w:val="a2"/>
    <w:uiPriority w:val="99"/>
    <w:semiHidden/>
    <w:unhideWhenUsed/>
    <w:rsid w:val="00D46E9B"/>
  </w:style>
  <w:style w:type="table" w:customStyle="1" w:styleId="211412">
    <w:name w:val="Изысканная таблица21141"/>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21141">
    <w:name w:val="Нет списка121141"/>
    <w:next w:val="a2"/>
    <w:uiPriority w:val="99"/>
    <w:semiHidden/>
    <w:unhideWhenUsed/>
    <w:rsid w:val="00D46E9B"/>
  </w:style>
  <w:style w:type="numbering" w:customStyle="1" w:styleId="411410">
    <w:name w:val="Нет списка41141"/>
    <w:next w:val="a2"/>
    <w:uiPriority w:val="99"/>
    <w:semiHidden/>
    <w:unhideWhenUsed/>
    <w:rsid w:val="00D46E9B"/>
  </w:style>
  <w:style w:type="table" w:customStyle="1" w:styleId="311411">
    <w:name w:val="Изысканная таблица31141"/>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311410">
    <w:name w:val="Нет списка131141"/>
    <w:next w:val="a2"/>
    <w:uiPriority w:val="99"/>
    <w:semiHidden/>
    <w:unhideWhenUsed/>
    <w:rsid w:val="00D46E9B"/>
  </w:style>
  <w:style w:type="numbering" w:customStyle="1" w:styleId="511410">
    <w:name w:val="Нет списка51141"/>
    <w:next w:val="a2"/>
    <w:uiPriority w:val="99"/>
    <w:semiHidden/>
    <w:unhideWhenUsed/>
    <w:rsid w:val="00D46E9B"/>
  </w:style>
  <w:style w:type="table" w:customStyle="1" w:styleId="411411">
    <w:name w:val="Изысканная таблица41141"/>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41141">
    <w:name w:val="Нет списка141141"/>
    <w:next w:val="a2"/>
    <w:uiPriority w:val="99"/>
    <w:semiHidden/>
    <w:unhideWhenUsed/>
    <w:rsid w:val="00D46E9B"/>
  </w:style>
  <w:style w:type="numbering" w:customStyle="1" w:styleId="611410">
    <w:name w:val="Нет списка61141"/>
    <w:next w:val="a2"/>
    <w:uiPriority w:val="99"/>
    <w:semiHidden/>
    <w:unhideWhenUsed/>
    <w:rsid w:val="00D46E9B"/>
  </w:style>
  <w:style w:type="table" w:customStyle="1" w:styleId="511411">
    <w:name w:val="Изысканная таблица51141"/>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51141">
    <w:name w:val="Нет списка151141"/>
    <w:next w:val="a2"/>
    <w:uiPriority w:val="99"/>
    <w:semiHidden/>
    <w:unhideWhenUsed/>
    <w:rsid w:val="00D46E9B"/>
  </w:style>
  <w:style w:type="numbering" w:customStyle="1" w:styleId="711410">
    <w:name w:val="Нет списка71141"/>
    <w:next w:val="a2"/>
    <w:uiPriority w:val="99"/>
    <w:semiHidden/>
    <w:unhideWhenUsed/>
    <w:rsid w:val="00D46E9B"/>
  </w:style>
  <w:style w:type="table" w:customStyle="1" w:styleId="611411">
    <w:name w:val="Изысканная таблица61141"/>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61141">
    <w:name w:val="Нет списка161141"/>
    <w:next w:val="a2"/>
    <w:uiPriority w:val="99"/>
    <w:semiHidden/>
    <w:unhideWhenUsed/>
    <w:rsid w:val="00D46E9B"/>
  </w:style>
  <w:style w:type="table" w:customStyle="1" w:styleId="2111411">
    <w:name w:val="Сетка таблицы211141"/>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12">
    <w:name w:val="Сетка таблицы31141"/>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41">
    <w:name w:val="Сетка таблицы221141"/>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412">
    <w:name w:val="Сетка таблицы41141"/>
    <w:basedOn w:val="a1"/>
    <w:next w:val="aff0"/>
    <w:uiPriority w:val="5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412">
    <w:name w:val="Сетка таблицы51141"/>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412">
    <w:name w:val="Сетка таблицы61141"/>
    <w:basedOn w:val="a1"/>
    <w:next w:val="aff0"/>
    <w:uiPriority w:val="39"/>
    <w:rsid w:val="00D46E9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411">
    <w:name w:val="Сетка таблицы71141"/>
    <w:basedOn w:val="a1"/>
    <w:next w:val="aff0"/>
    <w:uiPriority w:val="5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1">
    <w:name w:val="Светлая заливка - Акцент 11141"/>
    <w:basedOn w:val="a1"/>
    <w:next w:val="-1"/>
    <w:uiPriority w:val="60"/>
    <w:rsid w:val="00D46E9B"/>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81141">
    <w:name w:val="Сетка таблицы81141"/>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41">
    <w:name w:val="Сетка таблицы91141"/>
    <w:basedOn w:val="a1"/>
    <w:next w:val="aff0"/>
    <w:uiPriority w:val="39"/>
    <w:rsid w:val="00D46E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10">
    <w:name w:val="Нет списка1031"/>
    <w:next w:val="a2"/>
    <w:uiPriority w:val="99"/>
    <w:semiHidden/>
    <w:unhideWhenUsed/>
    <w:rsid w:val="00D46E9B"/>
  </w:style>
  <w:style w:type="table" w:customStyle="1" w:styleId="16310">
    <w:name w:val="Сетка таблицы1631"/>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14">
    <w:name w:val="Изысканная таблица931"/>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931">
    <w:name w:val="Нет списка1931"/>
    <w:next w:val="a2"/>
    <w:uiPriority w:val="99"/>
    <w:semiHidden/>
    <w:unhideWhenUsed/>
    <w:rsid w:val="00D46E9B"/>
  </w:style>
  <w:style w:type="table" w:customStyle="1" w:styleId="17310">
    <w:name w:val="Сетка таблицы1731"/>
    <w:basedOn w:val="a1"/>
    <w:next w:val="aff0"/>
    <w:uiPriority w:val="3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4310">
    <w:name w:val="Нет списка2431"/>
    <w:next w:val="a2"/>
    <w:uiPriority w:val="99"/>
    <w:semiHidden/>
    <w:unhideWhenUsed/>
    <w:rsid w:val="00D46E9B"/>
  </w:style>
  <w:style w:type="table" w:customStyle="1" w:styleId="2531">
    <w:name w:val="Сетка таблицы2531"/>
    <w:basedOn w:val="a1"/>
    <w:next w:val="aff0"/>
    <w:uiPriority w:val="59"/>
    <w:rsid w:val="00D46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14">
    <w:name w:val="Изысканная таблица1331"/>
    <w:basedOn w:val="a1"/>
    <w:next w:val="afffa"/>
    <w:rsid w:val="00D46E9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1431">
    <w:name w:val="Нет списка11431"/>
    <w:next w:val="a2"/>
    <w:uiPriority w:val="99"/>
    <w:semiHidden/>
    <w:unhideWhenUsed/>
    <w:rsid w:val="00D46E9B"/>
  </w:style>
  <w:style w:type="table" w:customStyle="1" w:styleId="113310">
    <w:name w:val="Сетка таблицы11331"/>
    <w:basedOn w:val="a1"/>
    <w:next w:val="aff0"/>
    <w:uiPriority w:val="59"/>
    <w:rsid w:val="00D46E9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3310">
    <w:name w:val="Нет списка21331"/>
    <w:next w:val="a2"/>
    <w:uiPriority w:val="99"/>
    <w:semiHidden/>
    <w:unhideWhenUsed/>
    <w:rsid w:val="00D46E9B"/>
  </w:style>
  <w:style w:type="numbering" w:customStyle="1" w:styleId="111331">
    <w:name w:val="Нет списка111331"/>
    <w:next w:val="a2"/>
    <w:uiPriority w:val="99"/>
    <w:semiHidden/>
    <w:unhideWhenUsed/>
    <w:rsid w:val="00D46E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8042">
      <w:bodyDiv w:val="1"/>
      <w:marLeft w:val="0"/>
      <w:marRight w:val="0"/>
      <w:marTop w:val="0"/>
      <w:marBottom w:val="0"/>
      <w:divBdr>
        <w:top w:val="none" w:sz="0" w:space="0" w:color="auto"/>
        <w:left w:val="none" w:sz="0" w:space="0" w:color="auto"/>
        <w:bottom w:val="none" w:sz="0" w:space="0" w:color="auto"/>
        <w:right w:val="none" w:sz="0" w:space="0" w:color="auto"/>
      </w:divBdr>
    </w:div>
    <w:div w:id="4089322">
      <w:bodyDiv w:val="1"/>
      <w:marLeft w:val="0"/>
      <w:marRight w:val="0"/>
      <w:marTop w:val="0"/>
      <w:marBottom w:val="0"/>
      <w:divBdr>
        <w:top w:val="none" w:sz="0" w:space="0" w:color="auto"/>
        <w:left w:val="none" w:sz="0" w:space="0" w:color="auto"/>
        <w:bottom w:val="none" w:sz="0" w:space="0" w:color="auto"/>
        <w:right w:val="none" w:sz="0" w:space="0" w:color="auto"/>
      </w:divBdr>
    </w:div>
    <w:div w:id="30304544">
      <w:bodyDiv w:val="1"/>
      <w:marLeft w:val="0"/>
      <w:marRight w:val="0"/>
      <w:marTop w:val="0"/>
      <w:marBottom w:val="0"/>
      <w:divBdr>
        <w:top w:val="none" w:sz="0" w:space="0" w:color="auto"/>
        <w:left w:val="none" w:sz="0" w:space="0" w:color="auto"/>
        <w:bottom w:val="none" w:sz="0" w:space="0" w:color="auto"/>
        <w:right w:val="none" w:sz="0" w:space="0" w:color="auto"/>
      </w:divBdr>
    </w:div>
    <w:div w:id="73865562">
      <w:bodyDiv w:val="1"/>
      <w:marLeft w:val="0"/>
      <w:marRight w:val="0"/>
      <w:marTop w:val="0"/>
      <w:marBottom w:val="0"/>
      <w:divBdr>
        <w:top w:val="none" w:sz="0" w:space="0" w:color="auto"/>
        <w:left w:val="none" w:sz="0" w:space="0" w:color="auto"/>
        <w:bottom w:val="none" w:sz="0" w:space="0" w:color="auto"/>
        <w:right w:val="none" w:sz="0" w:space="0" w:color="auto"/>
      </w:divBdr>
    </w:div>
    <w:div w:id="95100142">
      <w:bodyDiv w:val="1"/>
      <w:marLeft w:val="0"/>
      <w:marRight w:val="0"/>
      <w:marTop w:val="0"/>
      <w:marBottom w:val="0"/>
      <w:divBdr>
        <w:top w:val="none" w:sz="0" w:space="0" w:color="auto"/>
        <w:left w:val="none" w:sz="0" w:space="0" w:color="auto"/>
        <w:bottom w:val="none" w:sz="0" w:space="0" w:color="auto"/>
        <w:right w:val="none" w:sz="0" w:space="0" w:color="auto"/>
      </w:divBdr>
    </w:div>
    <w:div w:id="96602919">
      <w:bodyDiv w:val="1"/>
      <w:marLeft w:val="0"/>
      <w:marRight w:val="0"/>
      <w:marTop w:val="0"/>
      <w:marBottom w:val="0"/>
      <w:divBdr>
        <w:top w:val="none" w:sz="0" w:space="0" w:color="auto"/>
        <w:left w:val="none" w:sz="0" w:space="0" w:color="auto"/>
        <w:bottom w:val="none" w:sz="0" w:space="0" w:color="auto"/>
        <w:right w:val="none" w:sz="0" w:space="0" w:color="auto"/>
      </w:divBdr>
    </w:div>
    <w:div w:id="103234488">
      <w:bodyDiv w:val="1"/>
      <w:marLeft w:val="0"/>
      <w:marRight w:val="0"/>
      <w:marTop w:val="0"/>
      <w:marBottom w:val="0"/>
      <w:divBdr>
        <w:top w:val="none" w:sz="0" w:space="0" w:color="auto"/>
        <w:left w:val="none" w:sz="0" w:space="0" w:color="auto"/>
        <w:bottom w:val="none" w:sz="0" w:space="0" w:color="auto"/>
        <w:right w:val="none" w:sz="0" w:space="0" w:color="auto"/>
      </w:divBdr>
    </w:div>
    <w:div w:id="106899361">
      <w:bodyDiv w:val="1"/>
      <w:marLeft w:val="0"/>
      <w:marRight w:val="0"/>
      <w:marTop w:val="0"/>
      <w:marBottom w:val="0"/>
      <w:divBdr>
        <w:top w:val="none" w:sz="0" w:space="0" w:color="auto"/>
        <w:left w:val="none" w:sz="0" w:space="0" w:color="auto"/>
        <w:bottom w:val="none" w:sz="0" w:space="0" w:color="auto"/>
        <w:right w:val="none" w:sz="0" w:space="0" w:color="auto"/>
      </w:divBdr>
    </w:div>
    <w:div w:id="126094298">
      <w:bodyDiv w:val="1"/>
      <w:marLeft w:val="0"/>
      <w:marRight w:val="0"/>
      <w:marTop w:val="0"/>
      <w:marBottom w:val="0"/>
      <w:divBdr>
        <w:top w:val="none" w:sz="0" w:space="0" w:color="auto"/>
        <w:left w:val="none" w:sz="0" w:space="0" w:color="auto"/>
        <w:bottom w:val="none" w:sz="0" w:space="0" w:color="auto"/>
        <w:right w:val="none" w:sz="0" w:space="0" w:color="auto"/>
      </w:divBdr>
    </w:div>
    <w:div w:id="144324124">
      <w:bodyDiv w:val="1"/>
      <w:marLeft w:val="0"/>
      <w:marRight w:val="0"/>
      <w:marTop w:val="0"/>
      <w:marBottom w:val="0"/>
      <w:divBdr>
        <w:top w:val="none" w:sz="0" w:space="0" w:color="auto"/>
        <w:left w:val="none" w:sz="0" w:space="0" w:color="auto"/>
        <w:bottom w:val="none" w:sz="0" w:space="0" w:color="auto"/>
        <w:right w:val="none" w:sz="0" w:space="0" w:color="auto"/>
      </w:divBdr>
    </w:div>
    <w:div w:id="144468350">
      <w:bodyDiv w:val="1"/>
      <w:marLeft w:val="0"/>
      <w:marRight w:val="0"/>
      <w:marTop w:val="0"/>
      <w:marBottom w:val="0"/>
      <w:divBdr>
        <w:top w:val="none" w:sz="0" w:space="0" w:color="auto"/>
        <w:left w:val="none" w:sz="0" w:space="0" w:color="auto"/>
        <w:bottom w:val="none" w:sz="0" w:space="0" w:color="auto"/>
        <w:right w:val="none" w:sz="0" w:space="0" w:color="auto"/>
      </w:divBdr>
    </w:div>
    <w:div w:id="153229703">
      <w:bodyDiv w:val="1"/>
      <w:marLeft w:val="0"/>
      <w:marRight w:val="0"/>
      <w:marTop w:val="0"/>
      <w:marBottom w:val="0"/>
      <w:divBdr>
        <w:top w:val="none" w:sz="0" w:space="0" w:color="auto"/>
        <w:left w:val="none" w:sz="0" w:space="0" w:color="auto"/>
        <w:bottom w:val="none" w:sz="0" w:space="0" w:color="auto"/>
        <w:right w:val="none" w:sz="0" w:space="0" w:color="auto"/>
      </w:divBdr>
    </w:div>
    <w:div w:id="157307918">
      <w:bodyDiv w:val="1"/>
      <w:marLeft w:val="0"/>
      <w:marRight w:val="0"/>
      <w:marTop w:val="0"/>
      <w:marBottom w:val="0"/>
      <w:divBdr>
        <w:top w:val="none" w:sz="0" w:space="0" w:color="auto"/>
        <w:left w:val="none" w:sz="0" w:space="0" w:color="auto"/>
        <w:bottom w:val="none" w:sz="0" w:space="0" w:color="auto"/>
        <w:right w:val="none" w:sz="0" w:space="0" w:color="auto"/>
      </w:divBdr>
    </w:div>
    <w:div w:id="167864629">
      <w:bodyDiv w:val="1"/>
      <w:marLeft w:val="0"/>
      <w:marRight w:val="0"/>
      <w:marTop w:val="0"/>
      <w:marBottom w:val="0"/>
      <w:divBdr>
        <w:top w:val="none" w:sz="0" w:space="0" w:color="auto"/>
        <w:left w:val="none" w:sz="0" w:space="0" w:color="auto"/>
        <w:bottom w:val="none" w:sz="0" w:space="0" w:color="auto"/>
        <w:right w:val="none" w:sz="0" w:space="0" w:color="auto"/>
      </w:divBdr>
    </w:div>
    <w:div w:id="168568969">
      <w:bodyDiv w:val="1"/>
      <w:marLeft w:val="0"/>
      <w:marRight w:val="0"/>
      <w:marTop w:val="0"/>
      <w:marBottom w:val="0"/>
      <w:divBdr>
        <w:top w:val="none" w:sz="0" w:space="0" w:color="auto"/>
        <w:left w:val="none" w:sz="0" w:space="0" w:color="auto"/>
        <w:bottom w:val="none" w:sz="0" w:space="0" w:color="auto"/>
        <w:right w:val="none" w:sz="0" w:space="0" w:color="auto"/>
      </w:divBdr>
    </w:div>
    <w:div w:id="183372123">
      <w:bodyDiv w:val="1"/>
      <w:marLeft w:val="0"/>
      <w:marRight w:val="0"/>
      <w:marTop w:val="0"/>
      <w:marBottom w:val="0"/>
      <w:divBdr>
        <w:top w:val="none" w:sz="0" w:space="0" w:color="auto"/>
        <w:left w:val="none" w:sz="0" w:space="0" w:color="auto"/>
        <w:bottom w:val="none" w:sz="0" w:space="0" w:color="auto"/>
        <w:right w:val="none" w:sz="0" w:space="0" w:color="auto"/>
      </w:divBdr>
    </w:div>
    <w:div w:id="187258691">
      <w:bodyDiv w:val="1"/>
      <w:marLeft w:val="0"/>
      <w:marRight w:val="0"/>
      <w:marTop w:val="0"/>
      <w:marBottom w:val="0"/>
      <w:divBdr>
        <w:top w:val="none" w:sz="0" w:space="0" w:color="auto"/>
        <w:left w:val="none" w:sz="0" w:space="0" w:color="auto"/>
        <w:bottom w:val="none" w:sz="0" w:space="0" w:color="auto"/>
        <w:right w:val="none" w:sz="0" w:space="0" w:color="auto"/>
      </w:divBdr>
    </w:div>
    <w:div w:id="202257818">
      <w:bodyDiv w:val="1"/>
      <w:marLeft w:val="0"/>
      <w:marRight w:val="0"/>
      <w:marTop w:val="0"/>
      <w:marBottom w:val="0"/>
      <w:divBdr>
        <w:top w:val="none" w:sz="0" w:space="0" w:color="auto"/>
        <w:left w:val="none" w:sz="0" w:space="0" w:color="auto"/>
        <w:bottom w:val="none" w:sz="0" w:space="0" w:color="auto"/>
        <w:right w:val="none" w:sz="0" w:space="0" w:color="auto"/>
      </w:divBdr>
    </w:div>
    <w:div w:id="250043356">
      <w:bodyDiv w:val="1"/>
      <w:marLeft w:val="0"/>
      <w:marRight w:val="0"/>
      <w:marTop w:val="0"/>
      <w:marBottom w:val="0"/>
      <w:divBdr>
        <w:top w:val="none" w:sz="0" w:space="0" w:color="auto"/>
        <w:left w:val="none" w:sz="0" w:space="0" w:color="auto"/>
        <w:bottom w:val="none" w:sz="0" w:space="0" w:color="auto"/>
        <w:right w:val="none" w:sz="0" w:space="0" w:color="auto"/>
      </w:divBdr>
      <w:divsChild>
        <w:div w:id="682122490">
          <w:marLeft w:val="0"/>
          <w:marRight w:val="0"/>
          <w:marTop w:val="0"/>
          <w:marBottom w:val="0"/>
          <w:divBdr>
            <w:top w:val="none" w:sz="0" w:space="0" w:color="auto"/>
            <w:left w:val="none" w:sz="0" w:space="0" w:color="auto"/>
            <w:bottom w:val="none" w:sz="0" w:space="0" w:color="auto"/>
            <w:right w:val="none" w:sz="0" w:space="0" w:color="auto"/>
          </w:divBdr>
        </w:div>
      </w:divsChild>
    </w:div>
    <w:div w:id="259147224">
      <w:bodyDiv w:val="1"/>
      <w:marLeft w:val="0"/>
      <w:marRight w:val="0"/>
      <w:marTop w:val="0"/>
      <w:marBottom w:val="0"/>
      <w:divBdr>
        <w:top w:val="none" w:sz="0" w:space="0" w:color="auto"/>
        <w:left w:val="none" w:sz="0" w:space="0" w:color="auto"/>
        <w:bottom w:val="none" w:sz="0" w:space="0" w:color="auto"/>
        <w:right w:val="none" w:sz="0" w:space="0" w:color="auto"/>
      </w:divBdr>
    </w:div>
    <w:div w:id="261845233">
      <w:bodyDiv w:val="1"/>
      <w:marLeft w:val="0"/>
      <w:marRight w:val="0"/>
      <w:marTop w:val="0"/>
      <w:marBottom w:val="0"/>
      <w:divBdr>
        <w:top w:val="none" w:sz="0" w:space="0" w:color="auto"/>
        <w:left w:val="none" w:sz="0" w:space="0" w:color="auto"/>
        <w:bottom w:val="none" w:sz="0" w:space="0" w:color="auto"/>
        <w:right w:val="none" w:sz="0" w:space="0" w:color="auto"/>
      </w:divBdr>
    </w:div>
    <w:div w:id="279796966">
      <w:bodyDiv w:val="1"/>
      <w:marLeft w:val="0"/>
      <w:marRight w:val="0"/>
      <w:marTop w:val="0"/>
      <w:marBottom w:val="0"/>
      <w:divBdr>
        <w:top w:val="none" w:sz="0" w:space="0" w:color="auto"/>
        <w:left w:val="none" w:sz="0" w:space="0" w:color="auto"/>
        <w:bottom w:val="none" w:sz="0" w:space="0" w:color="auto"/>
        <w:right w:val="none" w:sz="0" w:space="0" w:color="auto"/>
      </w:divBdr>
    </w:div>
    <w:div w:id="287207071">
      <w:bodyDiv w:val="1"/>
      <w:marLeft w:val="0"/>
      <w:marRight w:val="0"/>
      <w:marTop w:val="0"/>
      <w:marBottom w:val="0"/>
      <w:divBdr>
        <w:top w:val="none" w:sz="0" w:space="0" w:color="auto"/>
        <w:left w:val="none" w:sz="0" w:space="0" w:color="auto"/>
        <w:bottom w:val="none" w:sz="0" w:space="0" w:color="auto"/>
        <w:right w:val="none" w:sz="0" w:space="0" w:color="auto"/>
      </w:divBdr>
    </w:div>
    <w:div w:id="292105196">
      <w:bodyDiv w:val="1"/>
      <w:marLeft w:val="0"/>
      <w:marRight w:val="0"/>
      <w:marTop w:val="0"/>
      <w:marBottom w:val="0"/>
      <w:divBdr>
        <w:top w:val="none" w:sz="0" w:space="0" w:color="auto"/>
        <w:left w:val="none" w:sz="0" w:space="0" w:color="auto"/>
        <w:bottom w:val="none" w:sz="0" w:space="0" w:color="auto"/>
        <w:right w:val="none" w:sz="0" w:space="0" w:color="auto"/>
      </w:divBdr>
    </w:div>
    <w:div w:id="306786213">
      <w:bodyDiv w:val="1"/>
      <w:marLeft w:val="0"/>
      <w:marRight w:val="0"/>
      <w:marTop w:val="0"/>
      <w:marBottom w:val="0"/>
      <w:divBdr>
        <w:top w:val="none" w:sz="0" w:space="0" w:color="auto"/>
        <w:left w:val="none" w:sz="0" w:space="0" w:color="auto"/>
        <w:bottom w:val="none" w:sz="0" w:space="0" w:color="auto"/>
        <w:right w:val="none" w:sz="0" w:space="0" w:color="auto"/>
      </w:divBdr>
    </w:div>
    <w:div w:id="324092217">
      <w:bodyDiv w:val="1"/>
      <w:marLeft w:val="0"/>
      <w:marRight w:val="0"/>
      <w:marTop w:val="0"/>
      <w:marBottom w:val="0"/>
      <w:divBdr>
        <w:top w:val="none" w:sz="0" w:space="0" w:color="auto"/>
        <w:left w:val="none" w:sz="0" w:space="0" w:color="auto"/>
        <w:bottom w:val="none" w:sz="0" w:space="0" w:color="auto"/>
        <w:right w:val="none" w:sz="0" w:space="0" w:color="auto"/>
      </w:divBdr>
    </w:div>
    <w:div w:id="332534369">
      <w:bodyDiv w:val="1"/>
      <w:marLeft w:val="0"/>
      <w:marRight w:val="0"/>
      <w:marTop w:val="0"/>
      <w:marBottom w:val="0"/>
      <w:divBdr>
        <w:top w:val="none" w:sz="0" w:space="0" w:color="auto"/>
        <w:left w:val="none" w:sz="0" w:space="0" w:color="auto"/>
        <w:bottom w:val="none" w:sz="0" w:space="0" w:color="auto"/>
        <w:right w:val="none" w:sz="0" w:space="0" w:color="auto"/>
      </w:divBdr>
    </w:div>
    <w:div w:id="335572022">
      <w:bodyDiv w:val="1"/>
      <w:marLeft w:val="0"/>
      <w:marRight w:val="0"/>
      <w:marTop w:val="0"/>
      <w:marBottom w:val="0"/>
      <w:divBdr>
        <w:top w:val="none" w:sz="0" w:space="0" w:color="auto"/>
        <w:left w:val="none" w:sz="0" w:space="0" w:color="auto"/>
        <w:bottom w:val="none" w:sz="0" w:space="0" w:color="auto"/>
        <w:right w:val="none" w:sz="0" w:space="0" w:color="auto"/>
      </w:divBdr>
      <w:divsChild>
        <w:div w:id="1150438015">
          <w:marLeft w:val="0"/>
          <w:marRight w:val="0"/>
          <w:marTop w:val="0"/>
          <w:marBottom w:val="0"/>
          <w:divBdr>
            <w:top w:val="none" w:sz="0" w:space="0" w:color="auto"/>
            <w:left w:val="none" w:sz="0" w:space="0" w:color="auto"/>
            <w:bottom w:val="none" w:sz="0" w:space="0" w:color="auto"/>
            <w:right w:val="none" w:sz="0" w:space="0" w:color="auto"/>
          </w:divBdr>
        </w:div>
      </w:divsChild>
    </w:div>
    <w:div w:id="343169210">
      <w:bodyDiv w:val="1"/>
      <w:marLeft w:val="0"/>
      <w:marRight w:val="0"/>
      <w:marTop w:val="0"/>
      <w:marBottom w:val="0"/>
      <w:divBdr>
        <w:top w:val="none" w:sz="0" w:space="0" w:color="auto"/>
        <w:left w:val="none" w:sz="0" w:space="0" w:color="auto"/>
        <w:bottom w:val="none" w:sz="0" w:space="0" w:color="auto"/>
        <w:right w:val="none" w:sz="0" w:space="0" w:color="auto"/>
      </w:divBdr>
    </w:div>
    <w:div w:id="374476035">
      <w:bodyDiv w:val="1"/>
      <w:marLeft w:val="0"/>
      <w:marRight w:val="0"/>
      <w:marTop w:val="0"/>
      <w:marBottom w:val="0"/>
      <w:divBdr>
        <w:top w:val="none" w:sz="0" w:space="0" w:color="auto"/>
        <w:left w:val="none" w:sz="0" w:space="0" w:color="auto"/>
        <w:bottom w:val="none" w:sz="0" w:space="0" w:color="auto"/>
        <w:right w:val="none" w:sz="0" w:space="0" w:color="auto"/>
      </w:divBdr>
    </w:div>
    <w:div w:id="386102822">
      <w:bodyDiv w:val="1"/>
      <w:marLeft w:val="0"/>
      <w:marRight w:val="0"/>
      <w:marTop w:val="0"/>
      <w:marBottom w:val="0"/>
      <w:divBdr>
        <w:top w:val="none" w:sz="0" w:space="0" w:color="auto"/>
        <w:left w:val="none" w:sz="0" w:space="0" w:color="auto"/>
        <w:bottom w:val="none" w:sz="0" w:space="0" w:color="auto"/>
        <w:right w:val="none" w:sz="0" w:space="0" w:color="auto"/>
      </w:divBdr>
    </w:div>
    <w:div w:id="409741954">
      <w:bodyDiv w:val="1"/>
      <w:marLeft w:val="0"/>
      <w:marRight w:val="0"/>
      <w:marTop w:val="0"/>
      <w:marBottom w:val="0"/>
      <w:divBdr>
        <w:top w:val="none" w:sz="0" w:space="0" w:color="auto"/>
        <w:left w:val="none" w:sz="0" w:space="0" w:color="auto"/>
        <w:bottom w:val="none" w:sz="0" w:space="0" w:color="auto"/>
        <w:right w:val="none" w:sz="0" w:space="0" w:color="auto"/>
      </w:divBdr>
    </w:div>
    <w:div w:id="461466840">
      <w:bodyDiv w:val="1"/>
      <w:marLeft w:val="0"/>
      <w:marRight w:val="0"/>
      <w:marTop w:val="0"/>
      <w:marBottom w:val="0"/>
      <w:divBdr>
        <w:top w:val="none" w:sz="0" w:space="0" w:color="auto"/>
        <w:left w:val="none" w:sz="0" w:space="0" w:color="auto"/>
        <w:bottom w:val="none" w:sz="0" w:space="0" w:color="auto"/>
        <w:right w:val="none" w:sz="0" w:space="0" w:color="auto"/>
      </w:divBdr>
    </w:div>
    <w:div w:id="461926990">
      <w:bodyDiv w:val="1"/>
      <w:marLeft w:val="0"/>
      <w:marRight w:val="0"/>
      <w:marTop w:val="0"/>
      <w:marBottom w:val="0"/>
      <w:divBdr>
        <w:top w:val="none" w:sz="0" w:space="0" w:color="auto"/>
        <w:left w:val="none" w:sz="0" w:space="0" w:color="auto"/>
        <w:bottom w:val="none" w:sz="0" w:space="0" w:color="auto"/>
        <w:right w:val="none" w:sz="0" w:space="0" w:color="auto"/>
      </w:divBdr>
    </w:div>
    <w:div w:id="462968799">
      <w:bodyDiv w:val="1"/>
      <w:marLeft w:val="0"/>
      <w:marRight w:val="0"/>
      <w:marTop w:val="0"/>
      <w:marBottom w:val="0"/>
      <w:divBdr>
        <w:top w:val="none" w:sz="0" w:space="0" w:color="auto"/>
        <w:left w:val="none" w:sz="0" w:space="0" w:color="auto"/>
        <w:bottom w:val="none" w:sz="0" w:space="0" w:color="auto"/>
        <w:right w:val="none" w:sz="0" w:space="0" w:color="auto"/>
      </w:divBdr>
    </w:div>
    <w:div w:id="469519313">
      <w:bodyDiv w:val="1"/>
      <w:marLeft w:val="0"/>
      <w:marRight w:val="0"/>
      <w:marTop w:val="0"/>
      <w:marBottom w:val="0"/>
      <w:divBdr>
        <w:top w:val="none" w:sz="0" w:space="0" w:color="auto"/>
        <w:left w:val="none" w:sz="0" w:space="0" w:color="auto"/>
        <w:bottom w:val="none" w:sz="0" w:space="0" w:color="auto"/>
        <w:right w:val="none" w:sz="0" w:space="0" w:color="auto"/>
      </w:divBdr>
    </w:div>
    <w:div w:id="485560439">
      <w:bodyDiv w:val="1"/>
      <w:marLeft w:val="0"/>
      <w:marRight w:val="0"/>
      <w:marTop w:val="0"/>
      <w:marBottom w:val="0"/>
      <w:divBdr>
        <w:top w:val="none" w:sz="0" w:space="0" w:color="auto"/>
        <w:left w:val="none" w:sz="0" w:space="0" w:color="auto"/>
        <w:bottom w:val="none" w:sz="0" w:space="0" w:color="auto"/>
        <w:right w:val="none" w:sz="0" w:space="0" w:color="auto"/>
      </w:divBdr>
    </w:div>
    <w:div w:id="486744022">
      <w:bodyDiv w:val="1"/>
      <w:marLeft w:val="0"/>
      <w:marRight w:val="0"/>
      <w:marTop w:val="0"/>
      <w:marBottom w:val="0"/>
      <w:divBdr>
        <w:top w:val="none" w:sz="0" w:space="0" w:color="auto"/>
        <w:left w:val="none" w:sz="0" w:space="0" w:color="auto"/>
        <w:bottom w:val="none" w:sz="0" w:space="0" w:color="auto"/>
        <w:right w:val="none" w:sz="0" w:space="0" w:color="auto"/>
      </w:divBdr>
    </w:div>
    <w:div w:id="511846890">
      <w:bodyDiv w:val="1"/>
      <w:marLeft w:val="0"/>
      <w:marRight w:val="0"/>
      <w:marTop w:val="0"/>
      <w:marBottom w:val="0"/>
      <w:divBdr>
        <w:top w:val="none" w:sz="0" w:space="0" w:color="auto"/>
        <w:left w:val="none" w:sz="0" w:space="0" w:color="auto"/>
        <w:bottom w:val="none" w:sz="0" w:space="0" w:color="auto"/>
        <w:right w:val="none" w:sz="0" w:space="0" w:color="auto"/>
      </w:divBdr>
    </w:div>
    <w:div w:id="519784494">
      <w:bodyDiv w:val="1"/>
      <w:marLeft w:val="0"/>
      <w:marRight w:val="0"/>
      <w:marTop w:val="0"/>
      <w:marBottom w:val="0"/>
      <w:divBdr>
        <w:top w:val="none" w:sz="0" w:space="0" w:color="auto"/>
        <w:left w:val="none" w:sz="0" w:space="0" w:color="auto"/>
        <w:bottom w:val="none" w:sz="0" w:space="0" w:color="auto"/>
        <w:right w:val="none" w:sz="0" w:space="0" w:color="auto"/>
      </w:divBdr>
    </w:div>
    <w:div w:id="521431801">
      <w:bodyDiv w:val="1"/>
      <w:marLeft w:val="0"/>
      <w:marRight w:val="0"/>
      <w:marTop w:val="0"/>
      <w:marBottom w:val="0"/>
      <w:divBdr>
        <w:top w:val="none" w:sz="0" w:space="0" w:color="auto"/>
        <w:left w:val="none" w:sz="0" w:space="0" w:color="auto"/>
        <w:bottom w:val="none" w:sz="0" w:space="0" w:color="auto"/>
        <w:right w:val="none" w:sz="0" w:space="0" w:color="auto"/>
      </w:divBdr>
    </w:div>
    <w:div w:id="529607927">
      <w:bodyDiv w:val="1"/>
      <w:marLeft w:val="0"/>
      <w:marRight w:val="0"/>
      <w:marTop w:val="0"/>
      <w:marBottom w:val="0"/>
      <w:divBdr>
        <w:top w:val="none" w:sz="0" w:space="0" w:color="auto"/>
        <w:left w:val="none" w:sz="0" w:space="0" w:color="auto"/>
        <w:bottom w:val="none" w:sz="0" w:space="0" w:color="auto"/>
        <w:right w:val="none" w:sz="0" w:space="0" w:color="auto"/>
      </w:divBdr>
    </w:div>
    <w:div w:id="538324237">
      <w:bodyDiv w:val="1"/>
      <w:marLeft w:val="0"/>
      <w:marRight w:val="0"/>
      <w:marTop w:val="0"/>
      <w:marBottom w:val="0"/>
      <w:divBdr>
        <w:top w:val="none" w:sz="0" w:space="0" w:color="auto"/>
        <w:left w:val="none" w:sz="0" w:space="0" w:color="auto"/>
        <w:bottom w:val="none" w:sz="0" w:space="0" w:color="auto"/>
        <w:right w:val="none" w:sz="0" w:space="0" w:color="auto"/>
      </w:divBdr>
    </w:div>
    <w:div w:id="551380425">
      <w:bodyDiv w:val="1"/>
      <w:marLeft w:val="0"/>
      <w:marRight w:val="0"/>
      <w:marTop w:val="0"/>
      <w:marBottom w:val="0"/>
      <w:divBdr>
        <w:top w:val="none" w:sz="0" w:space="0" w:color="auto"/>
        <w:left w:val="none" w:sz="0" w:space="0" w:color="auto"/>
        <w:bottom w:val="none" w:sz="0" w:space="0" w:color="auto"/>
        <w:right w:val="none" w:sz="0" w:space="0" w:color="auto"/>
      </w:divBdr>
    </w:div>
    <w:div w:id="562254787">
      <w:bodyDiv w:val="1"/>
      <w:marLeft w:val="0"/>
      <w:marRight w:val="0"/>
      <w:marTop w:val="0"/>
      <w:marBottom w:val="0"/>
      <w:divBdr>
        <w:top w:val="none" w:sz="0" w:space="0" w:color="auto"/>
        <w:left w:val="none" w:sz="0" w:space="0" w:color="auto"/>
        <w:bottom w:val="none" w:sz="0" w:space="0" w:color="auto"/>
        <w:right w:val="none" w:sz="0" w:space="0" w:color="auto"/>
      </w:divBdr>
    </w:div>
    <w:div w:id="564603576">
      <w:bodyDiv w:val="1"/>
      <w:marLeft w:val="0"/>
      <w:marRight w:val="0"/>
      <w:marTop w:val="0"/>
      <w:marBottom w:val="0"/>
      <w:divBdr>
        <w:top w:val="none" w:sz="0" w:space="0" w:color="auto"/>
        <w:left w:val="none" w:sz="0" w:space="0" w:color="auto"/>
        <w:bottom w:val="none" w:sz="0" w:space="0" w:color="auto"/>
        <w:right w:val="none" w:sz="0" w:space="0" w:color="auto"/>
      </w:divBdr>
    </w:div>
    <w:div w:id="566648686">
      <w:bodyDiv w:val="1"/>
      <w:marLeft w:val="0"/>
      <w:marRight w:val="0"/>
      <w:marTop w:val="0"/>
      <w:marBottom w:val="0"/>
      <w:divBdr>
        <w:top w:val="none" w:sz="0" w:space="0" w:color="auto"/>
        <w:left w:val="none" w:sz="0" w:space="0" w:color="auto"/>
        <w:bottom w:val="none" w:sz="0" w:space="0" w:color="auto"/>
        <w:right w:val="none" w:sz="0" w:space="0" w:color="auto"/>
      </w:divBdr>
    </w:div>
    <w:div w:id="598952789">
      <w:bodyDiv w:val="1"/>
      <w:marLeft w:val="0"/>
      <w:marRight w:val="0"/>
      <w:marTop w:val="0"/>
      <w:marBottom w:val="0"/>
      <w:divBdr>
        <w:top w:val="none" w:sz="0" w:space="0" w:color="auto"/>
        <w:left w:val="none" w:sz="0" w:space="0" w:color="auto"/>
        <w:bottom w:val="none" w:sz="0" w:space="0" w:color="auto"/>
        <w:right w:val="none" w:sz="0" w:space="0" w:color="auto"/>
      </w:divBdr>
    </w:div>
    <w:div w:id="603877887">
      <w:bodyDiv w:val="1"/>
      <w:marLeft w:val="0"/>
      <w:marRight w:val="0"/>
      <w:marTop w:val="0"/>
      <w:marBottom w:val="0"/>
      <w:divBdr>
        <w:top w:val="none" w:sz="0" w:space="0" w:color="auto"/>
        <w:left w:val="none" w:sz="0" w:space="0" w:color="auto"/>
        <w:bottom w:val="none" w:sz="0" w:space="0" w:color="auto"/>
        <w:right w:val="none" w:sz="0" w:space="0" w:color="auto"/>
      </w:divBdr>
    </w:div>
    <w:div w:id="604768219">
      <w:bodyDiv w:val="1"/>
      <w:marLeft w:val="0"/>
      <w:marRight w:val="0"/>
      <w:marTop w:val="0"/>
      <w:marBottom w:val="0"/>
      <w:divBdr>
        <w:top w:val="none" w:sz="0" w:space="0" w:color="auto"/>
        <w:left w:val="none" w:sz="0" w:space="0" w:color="auto"/>
        <w:bottom w:val="none" w:sz="0" w:space="0" w:color="auto"/>
        <w:right w:val="none" w:sz="0" w:space="0" w:color="auto"/>
      </w:divBdr>
    </w:div>
    <w:div w:id="605968398">
      <w:bodyDiv w:val="1"/>
      <w:marLeft w:val="0"/>
      <w:marRight w:val="0"/>
      <w:marTop w:val="0"/>
      <w:marBottom w:val="0"/>
      <w:divBdr>
        <w:top w:val="none" w:sz="0" w:space="0" w:color="auto"/>
        <w:left w:val="none" w:sz="0" w:space="0" w:color="auto"/>
        <w:bottom w:val="none" w:sz="0" w:space="0" w:color="auto"/>
        <w:right w:val="none" w:sz="0" w:space="0" w:color="auto"/>
      </w:divBdr>
    </w:div>
    <w:div w:id="625545329">
      <w:bodyDiv w:val="1"/>
      <w:marLeft w:val="0"/>
      <w:marRight w:val="0"/>
      <w:marTop w:val="0"/>
      <w:marBottom w:val="0"/>
      <w:divBdr>
        <w:top w:val="none" w:sz="0" w:space="0" w:color="auto"/>
        <w:left w:val="none" w:sz="0" w:space="0" w:color="auto"/>
        <w:bottom w:val="none" w:sz="0" w:space="0" w:color="auto"/>
        <w:right w:val="none" w:sz="0" w:space="0" w:color="auto"/>
      </w:divBdr>
    </w:div>
    <w:div w:id="637954614">
      <w:bodyDiv w:val="1"/>
      <w:marLeft w:val="0"/>
      <w:marRight w:val="0"/>
      <w:marTop w:val="0"/>
      <w:marBottom w:val="0"/>
      <w:divBdr>
        <w:top w:val="none" w:sz="0" w:space="0" w:color="auto"/>
        <w:left w:val="none" w:sz="0" w:space="0" w:color="auto"/>
        <w:bottom w:val="none" w:sz="0" w:space="0" w:color="auto"/>
        <w:right w:val="none" w:sz="0" w:space="0" w:color="auto"/>
      </w:divBdr>
    </w:div>
    <w:div w:id="686979674">
      <w:bodyDiv w:val="1"/>
      <w:marLeft w:val="0"/>
      <w:marRight w:val="0"/>
      <w:marTop w:val="0"/>
      <w:marBottom w:val="0"/>
      <w:divBdr>
        <w:top w:val="none" w:sz="0" w:space="0" w:color="auto"/>
        <w:left w:val="none" w:sz="0" w:space="0" w:color="auto"/>
        <w:bottom w:val="none" w:sz="0" w:space="0" w:color="auto"/>
        <w:right w:val="none" w:sz="0" w:space="0" w:color="auto"/>
      </w:divBdr>
    </w:div>
    <w:div w:id="692027130">
      <w:bodyDiv w:val="1"/>
      <w:marLeft w:val="0"/>
      <w:marRight w:val="0"/>
      <w:marTop w:val="0"/>
      <w:marBottom w:val="0"/>
      <w:divBdr>
        <w:top w:val="none" w:sz="0" w:space="0" w:color="auto"/>
        <w:left w:val="none" w:sz="0" w:space="0" w:color="auto"/>
        <w:bottom w:val="none" w:sz="0" w:space="0" w:color="auto"/>
        <w:right w:val="none" w:sz="0" w:space="0" w:color="auto"/>
      </w:divBdr>
    </w:div>
    <w:div w:id="705789417">
      <w:bodyDiv w:val="1"/>
      <w:marLeft w:val="0"/>
      <w:marRight w:val="0"/>
      <w:marTop w:val="0"/>
      <w:marBottom w:val="0"/>
      <w:divBdr>
        <w:top w:val="none" w:sz="0" w:space="0" w:color="auto"/>
        <w:left w:val="none" w:sz="0" w:space="0" w:color="auto"/>
        <w:bottom w:val="none" w:sz="0" w:space="0" w:color="auto"/>
        <w:right w:val="none" w:sz="0" w:space="0" w:color="auto"/>
      </w:divBdr>
    </w:div>
    <w:div w:id="706293011">
      <w:bodyDiv w:val="1"/>
      <w:marLeft w:val="0"/>
      <w:marRight w:val="0"/>
      <w:marTop w:val="0"/>
      <w:marBottom w:val="0"/>
      <w:divBdr>
        <w:top w:val="none" w:sz="0" w:space="0" w:color="auto"/>
        <w:left w:val="none" w:sz="0" w:space="0" w:color="auto"/>
        <w:bottom w:val="none" w:sz="0" w:space="0" w:color="auto"/>
        <w:right w:val="none" w:sz="0" w:space="0" w:color="auto"/>
      </w:divBdr>
    </w:div>
    <w:div w:id="716591236">
      <w:bodyDiv w:val="1"/>
      <w:marLeft w:val="0"/>
      <w:marRight w:val="0"/>
      <w:marTop w:val="0"/>
      <w:marBottom w:val="0"/>
      <w:divBdr>
        <w:top w:val="none" w:sz="0" w:space="0" w:color="auto"/>
        <w:left w:val="none" w:sz="0" w:space="0" w:color="auto"/>
        <w:bottom w:val="none" w:sz="0" w:space="0" w:color="auto"/>
        <w:right w:val="none" w:sz="0" w:space="0" w:color="auto"/>
      </w:divBdr>
    </w:div>
    <w:div w:id="724790170">
      <w:bodyDiv w:val="1"/>
      <w:marLeft w:val="0"/>
      <w:marRight w:val="0"/>
      <w:marTop w:val="0"/>
      <w:marBottom w:val="0"/>
      <w:divBdr>
        <w:top w:val="none" w:sz="0" w:space="0" w:color="auto"/>
        <w:left w:val="none" w:sz="0" w:space="0" w:color="auto"/>
        <w:bottom w:val="none" w:sz="0" w:space="0" w:color="auto"/>
        <w:right w:val="none" w:sz="0" w:space="0" w:color="auto"/>
      </w:divBdr>
    </w:div>
    <w:div w:id="735275647">
      <w:bodyDiv w:val="1"/>
      <w:marLeft w:val="0"/>
      <w:marRight w:val="0"/>
      <w:marTop w:val="0"/>
      <w:marBottom w:val="0"/>
      <w:divBdr>
        <w:top w:val="none" w:sz="0" w:space="0" w:color="auto"/>
        <w:left w:val="none" w:sz="0" w:space="0" w:color="auto"/>
        <w:bottom w:val="none" w:sz="0" w:space="0" w:color="auto"/>
        <w:right w:val="none" w:sz="0" w:space="0" w:color="auto"/>
      </w:divBdr>
    </w:div>
    <w:div w:id="737745000">
      <w:bodyDiv w:val="1"/>
      <w:marLeft w:val="0"/>
      <w:marRight w:val="0"/>
      <w:marTop w:val="0"/>
      <w:marBottom w:val="0"/>
      <w:divBdr>
        <w:top w:val="none" w:sz="0" w:space="0" w:color="auto"/>
        <w:left w:val="none" w:sz="0" w:space="0" w:color="auto"/>
        <w:bottom w:val="none" w:sz="0" w:space="0" w:color="auto"/>
        <w:right w:val="none" w:sz="0" w:space="0" w:color="auto"/>
      </w:divBdr>
    </w:div>
    <w:div w:id="742331956">
      <w:bodyDiv w:val="1"/>
      <w:marLeft w:val="0"/>
      <w:marRight w:val="0"/>
      <w:marTop w:val="0"/>
      <w:marBottom w:val="0"/>
      <w:divBdr>
        <w:top w:val="none" w:sz="0" w:space="0" w:color="auto"/>
        <w:left w:val="none" w:sz="0" w:space="0" w:color="auto"/>
        <w:bottom w:val="none" w:sz="0" w:space="0" w:color="auto"/>
        <w:right w:val="none" w:sz="0" w:space="0" w:color="auto"/>
      </w:divBdr>
    </w:div>
    <w:div w:id="768820257">
      <w:bodyDiv w:val="1"/>
      <w:marLeft w:val="0"/>
      <w:marRight w:val="0"/>
      <w:marTop w:val="0"/>
      <w:marBottom w:val="0"/>
      <w:divBdr>
        <w:top w:val="none" w:sz="0" w:space="0" w:color="auto"/>
        <w:left w:val="none" w:sz="0" w:space="0" w:color="auto"/>
        <w:bottom w:val="none" w:sz="0" w:space="0" w:color="auto"/>
        <w:right w:val="none" w:sz="0" w:space="0" w:color="auto"/>
      </w:divBdr>
    </w:div>
    <w:div w:id="771706819">
      <w:bodyDiv w:val="1"/>
      <w:marLeft w:val="0"/>
      <w:marRight w:val="0"/>
      <w:marTop w:val="0"/>
      <w:marBottom w:val="0"/>
      <w:divBdr>
        <w:top w:val="none" w:sz="0" w:space="0" w:color="auto"/>
        <w:left w:val="none" w:sz="0" w:space="0" w:color="auto"/>
        <w:bottom w:val="none" w:sz="0" w:space="0" w:color="auto"/>
        <w:right w:val="none" w:sz="0" w:space="0" w:color="auto"/>
      </w:divBdr>
    </w:div>
    <w:div w:id="772164527">
      <w:bodyDiv w:val="1"/>
      <w:marLeft w:val="0"/>
      <w:marRight w:val="0"/>
      <w:marTop w:val="0"/>
      <w:marBottom w:val="0"/>
      <w:divBdr>
        <w:top w:val="none" w:sz="0" w:space="0" w:color="auto"/>
        <w:left w:val="none" w:sz="0" w:space="0" w:color="auto"/>
        <w:bottom w:val="none" w:sz="0" w:space="0" w:color="auto"/>
        <w:right w:val="none" w:sz="0" w:space="0" w:color="auto"/>
      </w:divBdr>
    </w:div>
    <w:div w:id="789085551">
      <w:bodyDiv w:val="1"/>
      <w:marLeft w:val="0"/>
      <w:marRight w:val="0"/>
      <w:marTop w:val="0"/>
      <w:marBottom w:val="0"/>
      <w:divBdr>
        <w:top w:val="none" w:sz="0" w:space="0" w:color="auto"/>
        <w:left w:val="none" w:sz="0" w:space="0" w:color="auto"/>
        <w:bottom w:val="none" w:sz="0" w:space="0" w:color="auto"/>
        <w:right w:val="none" w:sz="0" w:space="0" w:color="auto"/>
      </w:divBdr>
    </w:div>
    <w:div w:id="797917804">
      <w:bodyDiv w:val="1"/>
      <w:marLeft w:val="0"/>
      <w:marRight w:val="0"/>
      <w:marTop w:val="0"/>
      <w:marBottom w:val="0"/>
      <w:divBdr>
        <w:top w:val="none" w:sz="0" w:space="0" w:color="auto"/>
        <w:left w:val="none" w:sz="0" w:space="0" w:color="auto"/>
        <w:bottom w:val="none" w:sz="0" w:space="0" w:color="auto"/>
        <w:right w:val="none" w:sz="0" w:space="0" w:color="auto"/>
      </w:divBdr>
    </w:div>
    <w:div w:id="834371259">
      <w:bodyDiv w:val="1"/>
      <w:marLeft w:val="0"/>
      <w:marRight w:val="0"/>
      <w:marTop w:val="0"/>
      <w:marBottom w:val="0"/>
      <w:divBdr>
        <w:top w:val="none" w:sz="0" w:space="0" w:color="auto"/>
        <w:left w:val="none" w:sz="0" w:space="0" w:color="auto"/>
        <w:bottom w:val="none" w:sz="0" w:space="0" w:color="auto"/>
        <w:right w:val="none" w:sz="0" w:space="0" w:color="auto"/>
      </w:divBdr>
    </w:div>
    <w:div w:id="849872566">
      <w:bodyDiv w:val="1"/>
      <w:marLeft w:val="0"/>
      <w:marRight w:val="0"/>
      <w:marTop w:val="0"/>
      <w:marBottom w:val="0"/>
      <w:divBdr>
        <w:top w:val="none" w:sz="0" w:space="0" w:color="auto"/>
        <w:left w:val="none" w:sz="0" w:space="0" w:color="auto"/>
        <w:bottom w:val="none" w:sz="0" w:space="0" w:color="auto"/>
        <w:right w:val="none" w:sz="0" w:space="0" w:color="auto"/>
      </w:divBdr>
    </w:div>
    <w:div w:id="850485445">
      <w:bodyDiv w:val="1"/>
      <w:marLeft w:val="0"/>
      <w:marRight w:val="0"/>
      <w:marTop w:val="0"/>
      <w:marBottom w:val="0"/>
      <w:divBdr>
        <w:top w:val="none" w:sz="0" w:space="0" w:color="auto"/>
        <w:left w:val="none" w:sz="0" w:space="0" w:color="auto"/>
        <w:bottom w:val="none" w:sz="0" w:space="0" w:color="auto"/>
        <w:right w:val="none" w:sz="0" w:space="0" w:color="auto"/>
      </w:divBdr>
    </w:div>
    <w:div w:id="883520677">
      <w:bodyDiv w:val="1"/>
      <w:marLeft w:val="0"/>
      <w:marRight w:val="0"/>
      <w:marTop w:val="0"/>
      <w:marBottom w:val="0"/>
      <w:divBdr>
        <w:top w:val="none" w:sz="0" w:space="0" w:color="auto"/>
        <w:left w:val="none" w:sz="0" w:space="0" w:color="auto"/>
        <w:bottom w:val="none" w:sz="0" w:space="0" w:color="auto"/>
        <w:right w:val="none" w:sz="0" w:space="0" w:color="auto"/>
      </w:divBdr>
    </w:div>
    <w:div w:id="911621548">
      <w:bodyDiv w:val="1"/>
      <w:marLeft w:val="0"/>
      <w:marRight w:val="0"/>
      <w:marTop w:val="0"/>
      <w:marBottom w:val="0"/>
      <w:divBdr>
        <w:top w:val="none" w:sz="0" w:space="0" w:color="auto"/>
        <w:left w:val="none" w:sz="0" w:space="0" w:color="auto"/>
        <w:bottom w:val="none" w:sz="0" w:space="0" w:color="auto"/>
        <w:right w:val="none" w:sz="0" w:space="0" w:color="auto"/>
      </w:divBdr>
    </w:div>
    <w:div w:id="928737415">
      <w:bodyDiv w:val="1"/>
      <w:marLeft w:val="0"/>
      <w:marRight w:val="0"/>
      <w:marTop w:val="0"/>
      <w:marBottom w:val="0"/>
      <w:divBdr>
        <w:top w:val="none" w:sz="0" w:space="0" w:color="auto"/>
        <w:left w:val="none" w:sz="0" w:space="0" w:color="auto"/>
        <w:bottom w:val="none" w:sz="0" w:space="0" w:color="auto"/>
        <w:right w:val="none" w:sz="0" w:space="0" w:color="auto"/>
      </w:divBdr>
    </w:div>
    <w:div w:id="942614005">
      <w:bodyDiv w:val="1"/>
      <w:marLeft w:val="0"/>
      <w:marRight w:val="0"/>
      <w:marTop w:val="0"/>
      <w:marBottom w:val="0"/>
      <w:divBdr>
        <w:top w:val="none" w:sz="0" w:space="0" w:color="auto"/>
        <w:left w:val="none" w:sz="0" w:space="0" w:color="auto"/>
        <w:bottom w:val="none" w:sz="0" w:space="0" w:color="auto"/>
        <w:right w:val="none" w:sz="0" w:space="0" w:color="auto"/>
      </w:divBdr>
    </w:div>
    <w:div w:id="944119046">
      <w:bodyDiv w:val="1"/>
      <w:marLeft w:val="0"/>
      <w:marRight w:val="0"/>
      <w:marTop w:val="0"/>
      <w:marBottom w:val="0"/>
      <w:divBdr>
        <w:top w:val="none" w:sz="0" w:space="0" w:color="auto"/>
        <w:left w:val="none" w:sz="0" w:space="0" w:color="auto"/>
        <w:bottom w:val="none" w:sz="0" w:space="0" w:color="auto"/>
        <w:right w:val="none" w:sz="0" w:space="0" w:color="auto"/>
      </w:divBdr>
    </w:div>
    <w:div w:id="960187675">
      <w:bodyDiv w:val="1"/>
      <w:marLeft w:val="0"/>
      <w:marRight w:val="0"/>
      <w:marTop w:val="0"/>
      <w:marBottom w:val="0"/>
      <w:divBdr>
        <w:top w:val="none" w:sz="0" w:space="0" w:color="auto"/>
        <w:left w:val="none" w:sz="0" w:space="0" w:color="auto"/>
        <w:bottom w:val="none" w:sz="0" w:space="0" w:color="auto"/>
        <w:right w:val="none" w:sz="0" w:space="0" w:color="auto"/>
      </w:divBdr>
    </w:div>
    <w:div w:id="987707098">
      <w:bodyDiv w:val="1"/>
      <w:marLeft w:val="0"/>
      <w:marRight w:val="0"/>
      <w:marTop w:val="0"/>
      <w:marBottom w:val="0"/>
      <w:divBdr>
        <w:top w:val="none" w:sz="0" w:space="0" w:color="auto"/>
        <w:left w:val="none" w:sz="0" w:space="0" w:color="auto"/>
        <w:bottom w:val="none" w:sz="0" w:space="0" w:color="auto"/>
        <w:right w:val="none" w:sz="0" w:space="0" w:color="auto"/>
      </w:divBdr>
    </w:div>
    <w:div w:id="1024819190">
      <w:bodyDiv w:val="1"/>
      <w:marLeft w:val="0"/>
      <w:marRight w:val="0"/>
      <w:marTop w:val="0"/>
      <w:marBottom w:val="0"/>
      <w:divBdr>
        <w:top w:val="none" w:sz="0" w:space="0" w:color="auto"/>
        <w:left w:val="none" w:sz="0" w:space="0" w:color="auto"/>
        <w:bottom w:val="none" w:sz="0" w:space="0" w:color="auto"/>
        <w:right w:val="none" w:sz="0" w:space="0" w:color="auto"/>
      </w:divBdr>
    </w:div>
    <w:div w:id="1079054985">
      <w:bodyDiv w:val="1"/>
      <w:marLeft w:val="0"/>
      <w:marRight w:val="0"/>
      <w:marTop w:val="0"/>
      <w:marBottom w:val="0"/>
      <w:divBdr>
        <w:top w:val="none" w:sz="0" w:space="0" w:color="auto"/>
        <w:left w:val="none" w:sz="0" w:space="0" w:color="auto"/>
        <w:bottom w:val="none" w:sz="0" w:space="0" w:color="auto"/>
        <w:right w:val="none" w:sz="0" w:space="0" w:color="auto"/>
      </w:divBdr>
    </w:div>
    <w:div w:id="1120224430">
      <w:bodyDiv w:val="1"/>
      <w:marLeft w:val="0"/>
      <w:marRight w:val="0"/>
      <w:marTop w:val="0"/>
      <w:marBottom w:val="0"/>
      <w:divBdr>
        <w:top w:val="none" w:sz="0" w:space="0" w:color="auto"/>
        <w:left w:val="none" w:sz="0" w:space="0" w:color="auto"/>
        <w:bottom w:val="none" w:sz="0" w:space="0" w:color="auto"/>
        <w:right w:val="none" w:sz="0" w:space="0" w:color="auto"/>
      </w:divBdr>
    </w:div>
    <w:div w:id="1120538644">
      <w:bodyDiv w:val="1"/>
      <w:marLeft w:val="0"/>
      <w:marRight w:val="0"/>
      <w:marTop w:val="0"/>
      <w:marBottom w:val="0"/>
      <w:divBdr>
        <w:top w:val="none" w:sz="0" w:space="0" w:color="auto"/>
        <w:left w:val="none" w:sz="0" w:space="0" w:color="auto"/>
        <w:bottom w:val="none" w:sz="0" w:space="0" w:color="auto"/>
        <w:right w:val="none" w:sz="0" w:space="0" w:color="auto"/>
      </w:divBdr>
    </w:div>
    <w:div w:id="1133867618">
      <w:bodyDiv w:val="1"/>
      <w:marLeft w:val="0"/>
      <w:marRight w:val="0"/>
      <w:marTop w:val="0"/>
      <w:marBottom w:val="0"/>
      <w:divBdr>
        <w:top w:val="none" w:sz="0" w:space="0" w:color="auto"/>
        <w:left w:val="none" w:sz="0" w:space="0" w:color="auto"/>
        <w:bottom w:val="none" w:sz="0" w:space="0" w:color="auto"/>
        <w:right w:val="none" w:sz="0" w:space="0" w:color="auto"/>
      </w:divBdr>
    </w:div>
    <w:div w:id="1142696875">
      <w:bodyDiv w:val="1"/>
      <w:marLeft w:val="0"/>
      <w:marRight w:val="0"/>
      <w:marTop w:val="0"/>
      <w:marBottom w:val="0"/>
      <w:divBdr>
        <w:top w:val="none" w:sz="0" w:space="0" w:color="auto"/>
        <w:left w:val="none" w:sz="0" w:space="0" w:color="auto"/>
        <w:bottom w:val="none" w:sz="0" w:space="0" w:color="auto"/>
        <w:right w:val="none" w:sz="0" w:space="0" w:color="auto"/>
      </w:divBdr>
    </w:div>
    <w:div w:id="1176113606">
      <w:bodyDiv w:val="1"/>
      <w:marLeft w:val="0"/>
      <w:marRight w:val="0"/>
      <w:marTop w:val="0"/>
      <w:marBottom w:val="0"/>
      <w:divBdr>
        <w:top w:val="none" w:sz="0" w:space="0" w:color="auto"/>
        <w:left w:val="none" w:sz="0" w:space="0" w:color="auto"/>
        <w:bottom w:val="none" w:sz="0" w:space="0" w:color="auto"/>
        <w:right w:val="none" w:sz="0" w:space="0" w:color="auto"/>
      </w:divBdr>
    </w:div>
    <w:div w:id="1183276170">
      <w:bodyDiv w:val="1"/>
      <w:marLeft w:val="0"/>
      <w:marRight w:val="0"/>
      <w:marTop w:val="0"/>
      <w:marBottom w:val="0"/>
      <w:divBdr>
        <w:top w:val="none" w:sz="0" w:space="0" w:color="auto"/>
        <w:left w:val="none" w:sz="0" w:space="0" w:color="auto"/>
        <w:bottom w:val="none" w:sz="0" w:space="0" w:color="auto"/>
        <w:right w:val="none" w:sz="0" w:space="0" w:color="auto"/>
      </w:divBdr>
    </w:div>
    <w:div w:id="1200782391">
      <w:bodyDiv w:val="1"/>
      <w:marLeft w:val="0"/>
      <w:marRight w:val="0"/>
      <w:marTop w:val="0"/>
      <w:marBottom w:val="0"/>
      <w:divBdr>
        <w:top w:val="none" w:sz="0" w:space="0" w:color="auto"/>
        <w:left w:val="none" w:sz="0" w:space="0" w:color="auto"/>
        <w:bottom w:val="none" w:sz="0" w:space="0" w:color="auto"/>
        <w:right w:val="none" w:sz="0" w:space="0" w:color="auto"/>
      </w:divBdr>
    </w:div>
    <w:div w:id="1214736913">
      <w:bodyDiv w:val="1"/>
      <w:marLeft w:val="0"/>
      <w:marRight w:val="0"/>
      <w:marTop w:val="0"/>
      <w:marBottom w:val="0"/>
      <w:divBdr>
        <w:top w:val="none" w:sz="0" w:space="0" w:color="auto"/>
        <w:left w:val="none" w:sz="0" w:space="0" w:color="auto"/>
        <w:bottom w:val="none" w:sz="0" w:space="0" w:color="auto"/>
        <w:right w:val="none" w:sz="0" w:space="0" w:color="auto"/>
      </w:divBdr>
    </w:div>
    <w:div w:id="1258094661">
      <w:bodyDiv w:val="1"/>
      <w:marLeft w:val="0"/>
      <w:marRight w:val="0"/>
      <w:marTop w:val="0"/>
      <w:marBottom w:val="0"/>
      <w:divBdr>
        <w:top w:val="none" w:sz="0" w:space="0" w:color="auto"/>
        <w:left w:val="none" w:sz="0" w:space="0" w:color="auto"/>
        <w:bottom w:val="none" w:sz="0" w:space="0" w:color="auto"/>
        <w:right w:val="none" w:sz="0" w:space="0" w:color="auto"/>
      </w:divBdr>
    </w:div>
    <w:div w:id="1261141233">
      <w:bodyDiv w:val="1"/>
      <w:marLeft w:val="0"/>
      <w:marRight w:val="0"/>
      <w:marTop w:val="0"/>
      <w:marBottom w:val="0"/>
      <w:divBdr>
        <w:top w:val="none" w:sz="0" w:space="0" w:color="auto"/>
        <w:left w:val="none" w:sz="0" w:space="0" w:color="auto"/>
        <w:bottom w:val="none" w:sz="0" w:space="0" w:color="auto"/>
        <w:right w:val="none" w:sz="0" w:space="0" w:color="auto"/>
      </w:divBdr>
    </w:div>
    <w:div w:id="1266231791">
      <w:bodyDiv w:val="1"/>
      <w:marLeft w:val="0"/>
      <w:marRight w:val="0"/>
      <w:marTop w:val="0"/>
      <w:marBottom w:val="0"/>
      <w:divBdr>
        <w:top w:val="none" w:sz="0" w:space="0" w:color="auto"/>
        <w:left w:val="none" w:sz="0" w:space="0" w:color="auto"/>
        <w:bottom w:val="none" w:sz="0" w:space="0" w:color="auto"/>
        <w:right w:val="none" w:sz="0" w:space="0" w:color="auto"/>
      </w:divBdr>
    </w:div>
    <w:div w:id="1275865121">
      <w:bodyDiv w:val="1"/>
      <w:marLeft w:val="0"/>
      <w:marRight w:val="0"/>
      <w:marTop w:val="0"/>
      <w:marBottom w:val="0"/>
      <w:divBdr>
        <w:top w:val="none" w:sz="0" w:space="0" w:color="auto"/>
        <w:left w:val="none" w:sz="0" w:space="0" w:color="auto"/>
        <w:bottom w:val="none" w:sz="0" w:space="0" w:color="auto"/>
        <w:right w:val="none" w:sz="0" w:space="0" w:color="auto"/>
      </w:divBdr>
    </w:div>
    <w:div w:id="1280141044">
      <w:bodyDiv w:val="1"/>
      <w:marLeft w:val="0"/>
      <w:marRight w:val="0"/>
      <w:marTop w:val="0"/>
      <w:marBottom w:val="0"/>
      <w:divBdr>
        <w:top w:val="none" w:sz="0" w:space="0" w:color="auto"/>
        <w:left w:val="none" w:sz="0" w:space="0" w:color="auto"/>
        <w:bottom w:val="none" w:sz="0" w:space="0" w:color="auto"/>
        <w:right w:val="none" w:sz="0" w:space="0" w:color="auto"/>
      </w:divBdr>
    </w:div>
    <w:div w:id="1281566859">
      <w:bodyDiv w:val="1"/>
      <w:marLeft w:val="0"/>
      <w:marRight w:val="0"/>
      <w:marTop w:val="0"/>
      <w:marBottom w:val="0"/>
      <w:divBdr>
        <w:top w:val="none" w:sz="0" w:space="0" w:color="auto"/>
        <w:left w:val="none" w:sz="0" w:space="0" w:color="auto"/>
        <w:bottom w:val="none" w:sz="0" w:space="0" w:color="auto"/>
        <w:right w:val="none" w:sz="0" w:space="0" w:color="auto"/>
      </w:divBdr>
    </w:div>
    <w:div w:id="1287542849">
      <w:bodyDiv w:val="1"/>
      <w:marLeft w:val="0"/>
      <w:marRight w:val="0"/>
      <w:marTop w:val="0"/>
      <w:marBottom w:val="0"/>
      <w:divBdr>
        <w:top w:val="none" w:sz="0" w:space="0" w:color="auto"/>
        <w:left w:val="none" w:sz="0" w:space="0" w:color="auto"/>
        <w:bottom w:val="none" w:sz="0" w:space="0" w:color="auto"/>
        <w:right w:val="none" w:sz="0" w:space="0" w:color="auto"/>
      </w:divBdr>
    </w:div>
    <w:div w:id="1311792819">
      <w:bodyDiv w:val="1"/>
      <w:marLeft w:val="0"/>
      <w:marRight w:val="0"/>
      <w:marTop w:val="0"/>
      <w:marBottom w:val="0"/>
      <w:divBdr>
        <w:top w:val="none" w:sz="0" w:space="0" w:color="auto"/>
        <w:left w:val="none" w:sz="0" w:space="0" w:color="auto"/>
        <w:bottom w:val="none" w:sz="0" w:space="0" w:color="auto"/>
        <w:right w:val="none" w:sz="0" w:space="0" w:color="auto"/>
      </w:divBdr>
    </w:div>
    <w:div w:id="1333485583">
      <w:bodyDiv w:val="1"/>
      <w:marLeft w:val="0"/>
      <w:marRight w:val="0"/>
      <w:marTop w:val="0"/>
      <w:marBottom w:val="0"/>
      <w:divBdr>
        <w:top w:val="none" w:sz="0" w:space="0" w:color="auto"/>
        <w:left w:val="none" w:sz="0" w:space="0" w:color="auto"/>
        <w:bottom w:val="none" w:sz="0" w:space="0" w:color="auto"/>
        <w:right w:val="none" w:sz="0" w:space="0" w:color="auto"/>
      </w:divBdr>
    </w:div>
    <w:div w:id="1345598295">
      <w:bodyDiv w:val="1"/>
      <w:marLeft w:val="0"/>
      <w:marRight w:val="0"/>
      <w:marTop w:val="0"/>
      <w:marBottom w:val="0"/>
      <w:divBdr>
        <w:top w:val="none" w:sz="0" w:space="0" w:color="auto"/>
        <w:left w:val="none" w:sz="0" w:space="0" w:color="auto"/>
        <w:bottom w:val="none" w:sz="0" w:space="0" w:color="auto"/>
        <w:right w:val="none" w:sz="0" w:space="0" w:color="auto"/>
      </w:divBdr>
    </w:div>
    <w:div w:id="1348143756">
      <w:bodyDiv w:val="1"/>
      <w:marLeft w:val="0"/>
      <w:marRight w:val="0"/>
      <w:marTop w:val="0"/>
      <w:marBottom w:val="0"/>
      <w:divBdr>
        <w:top w:val="none" w:sz="0" w:space="0" w:color="auto"/>
        <w:left w:val="none" w:sz="0" w:space="0" w:color="auto"/>
        <w:bottom w:val="none" w:sz="0" w:space="0" w:color="auto"/>
        <w:right w:val="none" w:sz="0" w:space="0" w:color="auto"/>
      </w:divBdr>
    </w:div>
    <w:div w:id="1361934910">
      <w:bodyDiv w:val="1"/>
      <w:marLeft w:val="0"/>
      <w:marRight w:val="0"/>
      <w:marTop w:val="0"/>
      <w:marBottom w:val="0"/>
      <w:divBdr>
        <w:top w:val="none" w:sz="0" w:space="0" w:color="auto"/>
        <w:left w:val="none" w:sz="0" w:space="0" w:color="auto"/>
        <w:bottom w:val="none" w:sz="0" w:space="0" w:color="auto"/>
        <w:right w:val="none" w:sz="0" w:space="0" w:color="auto"/>
      </w:divBdr>
    </w:div>
    <w:div w:id="1366634831">
      <w:bodyDiv w:val="1"/>
      <w:marLeft w:val="0"/>
      <w:marRight w:val="0"/>
      <w:marTop w:val="0"/>
      <w:marBottom w:val="0"/>
      <w:divBdr>
        <w:top w:val="none" w:sz="0" w:space="0" w:color="auto"/>
        <w:left w:val="none" w:sz="0" w:space="0" w:color="auto"/>
        <w:bottom w:val="none" w:sz="0" w:space="0" w:color="auto"/>
        <w:right w:val="none" w:sz="0" w:space="0" w:color="auto"/>
      </w:divBdr>
    </w:div>
    <w:div w:id="1370061065">
      <w:bodyDiv w:val="1"/>
      <w:marLeft w:val="0"/>
      <w:marRight w:val="0"/>
      <w:marTop w:val="0"/>
      <w:marBottom w:val="0"/>
      <w:divBdr>
        <w:top w:val="none" w:sz="0" w:space="0" w:color="auto"/>
        <w:left w:val="none" w:sz="0" w:space="0" w:color="auto"/>
        <w:bottom w:val="none" w:sz="0" w:space="0" w:color="auto"/>
        <w:right w:val="none" w:sz="0" w:space="0" w:color="auto"/>
      </w:divBdr>
      <w:divsChild>
        <w:div w:id="892960108">
          <w:marLeft w:val="0"/>
          <w:marRight w:val="0"/>
          <w:marTop w:val="0"/>
          <w:marBottom w:val="0"/>
          <w:divBdr>
            <w:top w:val="none" w:sz="0" w:space="0" w:color="auto"/>
            <w:left w:val="none" w:sz="0" w:space="0" w:color="auto"/>
            <w:bottom w:val="none" w:sz="0" w:space="0" w:color="auto"/>
            <w:right w:val="none" w:sz="0" w:space="0" w:color="auto"/>
          </w:divBdr>
        </w:div>
      </w:divsChild>
    </w:div>
    <w:div w:id="1389301788">
      <w:bodyDiv w:val="1"/>
      <w:marLeft w:val="0"/>
      <w:marRight w:val="0"/>
      <w:marTop w:val="0"/>
      <w:marBottom w:val="0"/>
      <w:divBdr>
        <w:top w:val="none" w:sz="0" w:space="0" w:color="auto"/>
        <w:left w:val="none" w:sz="0" w:space="0" w:color="auto"/>
        <w:bottom w:val="none" w:sz="0" w:space="0" w:color="auto"/>
        <w:right w:val="none" w:sz="0" w:space="0" w:color="auto"/>
      </w:divBdr>
    </w:div>
    <w:div w:id="1398940516">
      <w:bodyDiv w:val="1"/>
      <w:marLeft w:val="0"/>
      <w:marRight w:val="0"/>
      <w:marTop w:val="0"/>
      <w:marBottom w:val="0"/>
      <w:divBdr>
        <w:top w:val="none" w:sz="0" w:space="0" w:color="auto"/>
        <w:left w:val="none" w:sz="0" w:space="0" w:color="auto"/>
        <w:bottom w:val="none" w:sz="0" w:space="0" w:color="auto"/>
        <w:right w:val="none" w:sz="0" w:space="0" w:color="auto"/>
      </w:divBdr>
    </w:div>
    <w:div w:id="1438716272">
      <w:bodyDiv w:val="1"/>
      <w:marLeft w:val="0"/>
      <w:marRight w:val="0"/>
      <w:marTop w:val="0"/>
      <w:marBottom w:val="0"/>
      <w:divBdr>
        <w:top w:val="none" w:sz="0" w:space="0" w:color="auto"/>
        <w:left w:val="none" w:sz="0" w:space="0" w:color="auto"/>
        <w:bottom w:val="none" w:sz="0" w:space="0" w:color="auto"/>
        <w:right w:val="none" w:sz="0" w:space="0" w:color="auto"/>
      </w:divBdr>
    </w:div>
    <w:div w:id="1486360427">
      <w:bodyDiv w:val="1"/>
      <w:marLeft w:val="0"/>
      <w:marRight w:val="0"/>
      <w:marTop w:val="0"/>
      <w:marBottom w:val="0"/>
      <w:divBdr>
        <w:top w:val="none" w:sz="0" w:space="0" w:color="auto"/>
        <w:left w:val="none" w:sz="0" w:space="0" w:color="auto"/>
        <w:bottom w:val="none" w:sz="0" w:space="0" w:color="auto"/>
        <w:right w:val="none" w:sz="0" w:space="0" w:color="auto"/>
      </w:divBdr>
    </w:div>
    <w:div w:id="1487437357">
      <w:bodyDiv w:val="1"/>
      <w:marLeft w:val="0"/>
      <w:marRight w:val="0"/>
      <w:marTop w:val="0"/>
      <w:marBottom w:val="0"/>
      <w:divBdr>
        <w:top w:val="none" w:sz="0" w:space="0" w:color="auto"/>
        <w:left w:val="none" w:sz="0" w:space="0" w:color="auto"/>
        <w:bottom w:val="none" w:sz="0" w:space="0" w:color="auto"/>
        <w:right w:val="none" w:sz="0" w:space="0" w:color="auto"/>
      </w:divBdr>
    </w:div>
    <w:div w:id="1499805791">
      <w:bodyDiv w:val="1"/>
      <w:marLeft w:val="0"/>
      <w:marRight w:val="0"/>
      <w:marTop w:val="0"/>
      <w:marBottom w:val="0"/>
      <w:divBdr>
        <w:top w:val="none" w:sz="0" w:space="0" w:color="auto"/>
        <w:left w:val="none" w:sz="0" w:space="0" w:color="auto"/>
        <w:bottom w:val="none" w:sz="0" w:space="0" w:color="auto"/>
        <w:right w:val="none" w:sz="0" w:space="0" w:color="auto"/>
      </w:divBdr>
    </w:div>
    <w:div w:id="1500466998">
      <w:bodyDiv w:val="1"/>
      <w:marLeft w:val="0"/>
      <w:marRight w:val="0"/>
      <w:marTop w:val="0"/>
      <w:marBottom w:val="0"/>
      <w:divBdr>
        <w:top w:val="none" w:sz="0" w:space="0" w:color="auto"/>
        <w:left w:val="none" w:sz="0" w:space="0" w:color="auto"/>
        <w:bottom w:val="none" w:sz="0" w:space="0" w:color="auto"/>
        <w:right w:val="none" w:sz="0" w:space="0" w:color="auto"/>
      </w:divBdr>
    </w:div>
    <w:div w:id="1505172012">
      <w:bodyDiv w:val="1"/>
      <w:marLeft w:val="0"/>
      <w:marRight w:val="0"/>
      <w:marTop w:val="0"/>
      <w:marBottom w:val="0"/>
      <w:divBdr>
        <w:top w:val="none" w:sz="0" w:space="0" w:color="auto"/>
        <w:left w:val="none" w:sz="0" w:space="0" w:color="auto"/>
        <w:bottom w:val="none" w:sz="0" w:space="0" w:color="auto"/>
        <w:right w:val="none" w:sz="0" w:space="0" w:color="auto"/>
      </w:divBdr>
    </w:div>
    <w:div w:id="1518301430">
      <w:bodyDiv w:val="1"/>
      <w:marLeft w:val="0"/>
      <w:marRight w:val="0"/>
      <w:marTop w:val="0"/>
      <w:marBottom w:val="0"/>
      <w:divBdr>
        <w:top w:val="none" w:sz="0" w:space="0" w:color="auto"/>
        <w:left w:val="none" w:sz="0" w:space="0" w:color="auto"/>
        <w:bottom w:val="none" w:sz="0" w:space="0" w:color="auto"/>
        <w:right w:val="none" w:sz="0" w:space="0" w:color="auto"/>
      </w:divBdr>
    </w:div>
    <w:div w:id="1520466620">
      <w:bodyDiv w:val="1"/>
      <w:marLeft w:val="0"/>
      <w:marRight w:val="0"/>
      <w:marTop w:val="0"/>
      <w:marBottom w:val="0"/>
      <w:divBdr>
        <w:top w:val="none" w:sz="0" w:space="0" w:color="auto"/>
        <w:left w:val="none" w:sz="0" w:space="0" w:color="auto"/>
        <w:bottom w:val="none" w:sz="0" w:space="0" w:color="auto"/>
        <w:right w:val="none" w:sz="0" w:space="0" w:color="auto"/>
      </w:divBdr>
    </w:div>
    <w:div w:id="1545287659">
      <w:bodyDiv w:val="1"/>
      <w:marLeft w:val="0"/>
      <w:marRight w:val="0"/>
      <w:marTop w:val="0"/>
      <w:marBottom w:val="0"/>
      <w:divBdr>
        <w:top w:val="none" w:sz="0" w:space="0" w:color="auto"/>
        <w:left w:val="none" w:sz="0" w:space="0" w:color="auto"/>
        <w:bottom w:val="none" w:sz="0" w:space="0" w:color="auto"/>
        <w:right w:val="none" w:sz="0" w:space="0" w:color="auto"/>
      </w:divBdr>
    </w:div>
    <w:div w:id="1591887322">
      <w:bodyDiv w:val="1"/>
      <w:marLeft w:val="0"/>
      <w:marRight w:val="0"/>
      <w:marTop w:val="0"/>
      <w:marBottom w:val="0"/>
      <w:divBdr>
        <w:top w:val="none" w:sz="0" w:space="0" w:color="auto"/>
        <w:left w:val="none" w:sz="0" w:space="0" w:color="auto"/>
        <w:bottom w:val="none" w:sz="0" w:space="0" w:color="auto"/>
        <w:right w:val="none" w:sz="0" w:space="0" w:color="auto"/>
      </w:divBdr>
    </w:div>
    <w:div w:id="1611278000">
      <w:bodyDiv w:val="1"/>
      <w:marLeft w:val="0"/>
      <w:marRight w:val="0"/>
      <w:marTop w:val="0"/>
      <w:marBottom w:val="0"/>
      <w:divBdr>
        <w:top w:val="none" w:sz="0" w:space="0" w:color="auto"/>
        <w:left w:val="none" w:sz="0" w:space="0" w:color="auto"/>
        <w:bottom w:val="none" w:sz="0" w:space="0" w:color="auto"/>
        <w:right w:val="none" w:sz="0" w:space="0" w:color="auto"/>
      </w:divBdr>
      <w:divsChild>
        <w:div w:id="1511485257">
          <w:marLeft w:val="0"/>
          <w:marRight w:val="0"/>
          <w:marTop w:val="0"/>
          <w:marBottom w:val="0"/>
          <w:divBdr>
            <w:top w:val="none" w:sz="0" w:space="0" w:color="auto"/>
            <w:left w:val="none" w:sz="0" w:space="0" w:color="auto"/>
            <w:bottom w:val="none" w:sz="0" w:space="0" w:color="auto"/>
            <w:right w:val="none" w:sz="0" w:space="0" w:color="auto"/>
          </w:divBdr>
        </w:div>
      </w:divsChild>
    </w:div>
    <w:div w:id="1630013455">
      <w:bodyDiv w:val="1"/>
      <w:marLeft w:val="0"/>
      <w:marRight w:val="0"/>
      <w:marTop w:val="0"/>
      <w:marBottom w:val="0"/>
      <w:divBdr>
        <w:top w:val="none" w:sz="0" w:space="0" w:color="auto"/>
        <w:left w:val="none" w:sz="0" w:space="0" w:color="auto"/>
        <w:bottom w:val="none" w:sz="0" w:space="0" w:color="auto"/>
        <w:right w:val="none" w:sz="0" w:space="0" w:color="auto"/>
      </w:divBdr>
    </w:div>
    <w:div w:id="1635678676">
      <w:bodyDiv w:val="1"/>
      <w:marLeft w:val="0"/>
      <w:marRight w:val="0"/>
      <w:marTop w:val="0"/>
      <w:marBottom w:val="0"/>
      <w:divBdr>
        <w:top w:val="none" w:sz="0" w:space="0" w:color="auto"/>
        <w:left w:val="none" w:sz="0" w:space="0" w:color="auto"/>
        <w:bottom w:val="none" w:sz="0" w:space="0" w:color="auto"/>
        <w:right w:val="none" w:sz="0" w:space="0" w:color="auto"/>
      </w:divBdr>
    </w:div>
    <w:div w:id="1654724815">
      <w:bodyDiv w:val="1"/>
      <w:marLeft w:val="0"/>
      <w:marRight w:val="0"/>
      <w:marTop w:val="0"/>
      <w:marBottom w:val="0"/>
      <w:divBdr>
        <w:top w:val="none" w:sz="0" w:space="0" w:color="auto"/>
        <w:left w:val="none" w:sz="0" w:space="0" w:color="auto"/>
        <w:bottom w:val="none" w:sz="0" w:space="0" w:color="auto"/>
        <w:right w:val="none" w:sz="0" w:space="0" w:color="auto"/>
      </w:divBdr>
    </w:div>
    <w:div w:id="1669559873">
      <w:bodyDiv w:val="1"/>
      <w:marLeft w:val="0"/>
      <w:marRight w:val="0"/>
      <w:marTop w:val="0"/>
      <w:marBottom w:val="0"/>
      <w:divBdr>
        <w:top w:val="none" w:sz="0" w:space="0" w:color="auto"/>
        <w:left w:val="none" w:sz="0" w:space="0" w:color="auto"/>
        <w:bottom w:val="none" w:sz="0" w:space="0" w:color="auto"/>
        <w:right w:val="none" w:sz="0" w:space="0" w:color="auto"/>
      </w:divBdr>
    </w:div>
    <w:div w:id="1675643615">
      <w:bodyDiv w:val="1"/>
      <w:marLeft w:val="0"/>
      <w:marRight w:val="0"/>
      <w:marTop w:val="0"/>
      <w:marBottom w:val="0"/>
      <w:divBdr>
        <w:top w:val="none" w:sz="0" w:space="0" w:color="auto"/>
        <w:left w:val="none" w:sz="0" w:space="0" w:color="auto"/>
        <w:bottom w:val="none" w:sz="0" w:space="0" w:color="auto"/>
        <w:right w:val="none" w:sz="0" w:space="0" w:color="auto"/>
      </w:divBdr>
    </w:div>
    <w:div w:id="1684241167">
      <w:bodyDiv w:val="1"/>
      <w:marLeft w:val="0"/>
      <w:marRight w:val="0"/>
      <w:marTop w:val="0"/>
      <w:marBottom w:val="0"/>
      <w:divBdr>
        <w:top w:val="none" w:sz="0" w:space="0" w:color="auto"/>
        <w:left w:val="none" w:sz="0" w:space="0" w:color="auto"/>
        <w:bottom w:val="none" w:sz="0" w:space="0" w:color="auto"/>
        <w:right w:val="none" w:sz="0" w:space="0" w:color="auto"/>
      </w:divBdr>
    </w:div>
    <w:div w:id="1693722690">
      <w:bodyDiv w:val="1"/>
      <w:marLeft w:val="0"/>
      <w:marRight w:val="0"/>
      <w:marTop w:val="0"/>
      <w:marBottom w:val="0"/>
      <w:divBdr>
        <w:top w:val="none" w:sz="0" w:space="0" w:color="auto"/>
        <w:left w:val="none" w:sz="0" w:space="0" w:color="auto"/>
        <w:bottom w:val="none" w:sz="0" w:space="0" w:color="auto"/>
        <w:right w:val="none" w:sz="0" w:space="0" w:color="auto"/>
      </w:divBdr>
    </w:div>
    <w:div w:id="1707949796">
      <w:bodyDiv w:val="1"/>
      <w:marLeft w:val="0"/>
      <w:marRight w:val="0"/>
      <w:marTop w:val="0"/>
      <w:marBottom w:val="0"/>
      <w:divBdr>
        <w:top w:val="none" w:sz="0" w:space="0" w:color="auto"/>
        <w:left w:val="none" w:sz="0" w:space="0" w:color="auto"/>
        <w:bottom w:val="none" w:sz="0" w:space="0" w:color="auto"/>
        <w:right w:val="none" w:sz="0" w:space="0" w:color="auto"/>
      </w:divBdr>
    </w:div>
    <w:div w:id="1756823874">
      <w:bodyDiv w:val="1"/>
      <w:marLeft w:val="0"/>
      <w:marRight w:val="0"/>
      <w:marTop w:val="0"/>
      <w:marBottom w:val="0"/>
      <w:divBdr>
        <w:top w:val="none" w:sz="0" w:space="0" w:color="auto"/>
        <w:left w:val="none" w:sz="0" w:space="0" w:color="auto"/>
        <w:bottom w:val="none" w:sz="0" w:space="0" w:color="auto"/>
        <w:right w:val="none" w:sz="0" w:space="0" w:color="auto"/>
      </w:divBdr>
    </w:div>
    <w:div w:id="1764759916">
      <w:bodyDiv w:val="1"/>
      <w:marLeft w:val="0"/>
      <w:marRight w:val="0"/>
      <w:marTop w:val="0"/>
      <w:marBottom w:val="0"/>
      <w:divBdr>
        <w:top w:val="none" w:sz="0" w:space="0" w:color="auto"/>
        <w:left w:val="none" w:sz="0" w:space="0" w:color="auto"/>
        <w:bottom w:val="none" w:sz="0" w:space="0" w:color="auto"/>
        <w:right w:val="none" w:sz="0" w:space="0" w:color="auto"/>
      </w:divBdr>
    </w:div>
    <w:div w:id="1790660705">
      <w:bodyDiv w:val="1"/>
      <w:marLeft w:val="0"/>
      <w:marRight w:val="0"/>
      <w:marTop w:val="0"/>
      <w:marBottom w:val="0"/>
      <w:divBdr>
        <w:top w:val="none" w:sz="0" w:space="0" w:color="auto"/>
        <w:left w:val="none" w:sz="0" w:space="0" w:color="auto"/>
        <w:bottom w:val="none" w:sz="0" w:space="0" w:color="auto"/>
        <w:right w:val="none" w:sz="0" w:space="0" w:color="auto"/>
      </w:divBdr>
    </w:div>
    <w:div w:id="1792170014">
      <w:bodyDiv w:val="1"/>
      <w:marLeft w:val="0"/>
      <w:marRight w:val="0"/>
      <w:marTop w:val="0"/>
      <w:marBottom w:val="0"/>
      <w:divBdr>
        <w:top w:val="none" w:sz="0" w:space="0" w:color="auto"/>
        <w:left w:val="none" w:sz="0" w:space="0" w:color="auto"/>
        <w:bottom w:val="none" w:sz="0" w:space="0" w:color="auto"/>
        <w:right w:val="none" w:sz="0" w:space="0" w:color="auto"/>
      </w:divBdr>
    </w:div>
    <w:div w:id="1815289267">
      <w:bodyDiv w:val="1"/>
      <w:marLeft w:val="0"/>
      <w:marRight w:val="0"/>
      <w:marTop w:val="0"/>
      <w:marBottom w:val="0"/>
      <w:divBdr>
        <w:top w:val="none" w:sz="0" w:space="0" w:color="auto"/>
        <w:left w:val="none" w:sz="0" w:space="0" w:color="auto"/>
        <w:bottom w:val="none" w:sz="0" w:space="0" w:color="auto"/>
        <w:right w:val="none" w:sz="0" w:space="0" w:color="auto"/>
      </w:divBdr>
    </w:div>
    <w:div w:id="1820875459">
      <w:bodyDiv w:val="1"/>
      <w:marLeft w:val="0"/>
      <w:marRight w:val="0"/>
      <w:marTop w:val="0"/>
      <w:marBottom w:val="0"/>
      <w:divBdr>
        <w:top w:val="none" w:sz="0" w:space="0" w:color="auto"/>
        <w:left w:val="none" w:sz="0" w:space="0" w:color="auto"/>
        <w:bottom w:val="none" w:sz="0" w:space="0" w:color="auto"/>
        <w:right w:val="none" w:sz="0" w:space="0" w:color="auto"/>
      </w:divBdr>
    </w:div>
    <w:div w:id="1828938821">
      <w:bodyDiv w:val="1"/>
      <w:marLeft w:val="0"/>
      <w:marRight w:val="0"/>
      <w:marTop w:val="0"/>
      <w:marBottom w:val="0"/>
      <w:divBdr>
        <w:top w:val="none" w:sz="0" w:space="0" w:color="auto"/>
        <w:left w:val="none" w:sz="0" w:space="0" w:color="auto"/>
        <w:bottom w:val="none" w:sz="0" w:space="0" w:color="auto"/>
        <w:right w:val="none" w:sz="0" w:space="0" w:color="auto"/>
      </w:divBdr>
    </w:div>
    <w:div w:id="1838155244">
      <w:bodyDiv w:val="1"/>
      <w:marLeft w:val="0"/>
      <w:marRight w:val="0"/>
      <w:marTop w:val="0"/>
      <w:marBottom w:val="0"/>
      <w:divBdr>
        <w:top w:val="none" w:sz="0" w:space="0" w:color="auto"/>
        <w:left w:val="none" w:sz="0" w:space="0" w:color="auto"/>
        <w:bottom w:val="none" w:sz="0" w:space="0" w:color="auto"/>
        <w:right w:val="none" w:sz="0" w:space="0" w:color="auto"/>
      </w:divBdr>
    </w:div>
    <w:div w:id="1845779648">
      <w:bodyDiv w:val="1"/>
      <w:marLeft w:val="0"/>
      <w:marRight w:val="0"/>
      <w:marTop w:val="0"/>
      <w:marBottom w:val="0"/>
      <w:divBdr>
        <w:top w:val="none" w:sz="0" w:space="0" w:color="auto"/>
        <w:left w:val="none" w:sz="0" w:space="0" w:color="auto"/>
        <w:bottom w:val="none" w:sz="0" w:space="0" w:color="auto"/>
        <w:right w:val="none" w:sz="0" w:space="0" w:color="auto"/>
      </w:divBdr>
    </w:div>
    <w:div w:id="1863392819">
      <w:bodyDiv w:val="1"/>
      <w:marLeft w:val="0"/>
      <w:marRight w:val="0"/>
      <w:marTop w:val="0"/>
      <w:marBottom w:val="0"/>
      <w:divBdr>
        <w:top w:val="none" w:sz="0" w:space="0" w:color="auto"/>
        <w:left w:val="none" w:sz="0" w:space="0" w:color="auto"/>
        <w:bottom w:val="none" w:sz="0" w:space="0" w:color="auto"/>
        <w:right w:val="none" w:sz="0" w:space="0" w:color="auto"/>
      </w:divBdr>
    </w:div>
    <w:div w:id="1904411349">
      <w:bodyDiv w:val="1"/>
      <w:marLeft w:val="0"/>
      <w:marRight w:val="0"/>
      <w:marTop w:val="0"/>
      <w:marBottom w:val="0"/>
      <w:divBdr>
        <w:top w:val="none" w:sz="0" w:space="0" w:color="auto"/>
        <w:left w:val="none" w:sz="0" w:space="0" w:color="auto"/>
        <w:bottom w:val="none" w:sz="0" w:space="0" w:color="auto"/>
        <w:right w:val="none" w:sz="0" w:space="0" w:color="auto"/>
      </w:divBdr>
    </w:div>
    <w:div w:id="1917279842">
      <w:bodyDiv w:val="1"/>
      <w:marLeft w:val="0"/>
      <w:marRight w:val="0"/>
      <w:marTop w:val="0"/>
      <w:marBottom w:val="0"/>
      <w:divBdr>
        <w:top w:val="none" w:sz="0" w:space="0" w:color="auto"/>
        <w:left w:val="none" w:sz="0" w:space="0" w:color="auto"/>
        <w:bottom w:val="none" w:sz="0" w:space="0" w:color="auto"/>
        <w:right w:val="none" w:sz="0" w:space="0" w:color="auto"/>
      </w:divBdr>
    </w:div>
    <w:div w:id="1923954959">
      <w:bodyDiv w:val="1"/>
      <w:marLeft w:val="0"/>
      <w:marRight w:val="0"/>
      <w:marTop w:val="0"/>
      <w:marBottom w:val="0"/>
      <w:divBdr>
        <w:top w:val="none" w:sz="0" w:space="0" w:color="auto"/>
        <w:left w:val="none" w:sz="0" w:space="0" w:color="auto"/>
        <w:bottom w:val="none" w:sz="0" w:space="0" w:color="auto"/>
        <w:right w:val="none" w:sz="0" w:space="0" w:color="auto"/>
      </w:divBdr>
    </w:div>
    <w:div w:id="1927379780">
      <w:bodyDiv w:val="1"/>
      <w:marLeft w:val="0"/>
      <w:marRight w:val="0"/>
      <w:marTop w:val="0"/>
      <w:marBottom w:val="0"/>
      <w:divBdr>
        <w:top w:val="none" w:sz="0" w:space="0" w:color="auto"/>
        <w:left w:val="none" w:sz="0" w:space="0" w:color="auto"/>
        <w:bottom w:val="none" w:sz="0" w:space="0" w:color="auto"/>
        <w:right w:val="none" w:sz="0" w:space="0" w:color="auto"/>
      </w:divBdr>
    </w:div>
    <w:div w:id="1936594282">
      <w:bodyDiv w:val="1"/>
      <w:marLeft w:val="0"/>
      <w:marRight w:val="0"/>
      <w:marTop w:val="0"/>
      <w:marBottom w:val="0"/>
      <w:divBdr>
        <w:top w:val="none" w:sz="0" w:space="0" w:color="auto"/>
        <w:left w:val="none" w:sz="0" w:space="0" w:color="auto"/>
        <w:bottom w:val="none" w:sz="0" w:space="0" w:color="auto"/>
        <w:right w:val="none" w:sz="0" w:space="0" w:color="auto"/>
      </w:divBdr>
    </w:div>
    <w:div w:id="1939555893">
      <w:bodyDiv w:val="1"/>
      <w:marLeft w:val="0"/>
      <w:marRight w:val="0"/>
      <w:marTop w:val="0"/>
      <w:marBottom w:val="0"/>
      <w:divBdr>
        <w:top w:val="none" w:sz="0" w:space="0" w:color="auto"/>
        <w:left w:val="none" w:sz="0" w:space="0" w:color="auto"/>
        <w:bottom w:val="none" w:sz="0" w:space="0" w:color="auto"/>
        <w:right w:val="none" w:sz="0" w:space="0" w:color="auto"/>
      </w:divBdr>
    </w:div>
    <w:div w:id="1945377578">
      <w:bodyDiv w:val="1"/>
      <w:marLeft w:val="0"/>
      <w:marRight w:val="0"/>
      <w:marTop w:val="0"/>
      <w:marBottom w:val="0"/>
      <w:divBdr>
        <w:top w:val="none" w:sz="0" w:space="0" w:color="auto"/>
        <w:left w:val="none" w:sz="0" w:space="0" w:color="auto"/>
        <w:bottom w:val="none" w:sz="0" w:space="0" w:color="auto"/>
        <w:right w:val="none" w:sz="0" w:space="0" w:color="auto"/>
      </w:divBdr>
    </w:div>
    <w:div w:id="1956447587">
      <w:bodyDiv w:val="1"/>
      <w:marLeft w:val="0"/>
      <w:marRight w:val="0"/>
      <w:marTop w:val="0"/>
      <w:marBottom w:val="0"/>
      <w:divBdr>
        <w:top w:val="none" w:sz="0" w:space="0" w:color="auto"/>
        <w:left w:val="none" w:sz="0" w:space="0" w:color="auto"/>
        <w:bottom w:val="none" w:sz="0" w:space="0" w:color="auto"/>
        <w:right w:val="none" w:sz="0" w:space="0" w:color="auto"/>
      </w:divBdr>
    </w:div>
    <w:div w:id="1969432738">
      <w:bodyDiv w:val="1"/>
      <w:marLeft w:val="0"/>
      <w:marRight w:val="0"/>
      <w:marTop w:val="0"/>
      <w:marBottom w:val="0"/>
      <w:divBdr>
        <w:top w:val="none" w:sz="0" w:space="0" w:color="auto"/>
        <w:left w:val="none" w:sz="0" w:space="0" w:color="auto"/>
        <w:bottom w:val="none" w:sz="0" w:space="0" w:color="auto"/>
        <w:right w:val="none" w:sz="0" w:space="0" w:color="auto"/>
      </w:divBdr>
    </w:div>
    <w:div w:id="1973946780">
      <w:bodyDiv w:val="1"/>
      <w:marLeft w:val="0"/>
      <w:marRight w:val="0"/>
      <w:marTop w:val="0"/>
      <w:marBottom w:val="0"/>
      <w:divBdr>
        <w:top w:val="none" w:sz="0" w:space="0" w:color="auto"/>
        <w:left w:val="none" w:sz="0" w:space="0" w:color="auto"/>
        <w:bottom w:val="none" w:sz="0" w:space="0" w:color="auto"/>
        <w:right w:val="none" w:sz="0" w:space="0" w:color="auto"/>
      </w:divBdr>
    </w:div>
    <w:div w:id="1974170511">
      <w:bodyDiv w:val="1"/>
      <w:marLeft w:val="0"/>
      <w:marRight w:val="0"/>
      <w:marTop w:val="0"/>
      <w:marBottom w:val="0"/>
      <w:divBdr>
        <w:top w:val="none" w:sz="0" w:space="0" w:color="auto"/>
        <w:left w:val="none" w:sz="0" w:space="0" w:color="auto"/>
        <w:bottom w:val="none" w:sz="0" w:space="0" w:color="auto"/>
        <w:right w:val="none" w:sz="0" w:space="0" w:color="auto"/>
      </w:divBdr>
    </w:div>
    <w:div w:id="2012758757">
      <w:bodyDiv w:val="1"/>
      <w:marLeft w:val="0"/>
      <w:marRight w:val="0"/>
      <w:marTop w:val="0"/>
      <w:marBottom w:val="0"/>
      <w:divBdr>
        <w:top w:val="none" w:sz="0" w:space="0" w:color="auto"/>
        <w:left w:val="none" w:sz="0" w:space="0" w:color="auto"/>
        <w:bottom w:val="none" w:sz="0" w:space="0" w:color="auto"/>
        <w:right w:val="none" w:sz="0" w:space="0" w:color="auto"/>
      </w:divBdr>
    </w:div>
    <w:div w:id="2014065593">
      <w:bodyDiv w:val="1"/>
      <w:marLeft w:val="0"/>
      <w:marRight w:val="0"/>
      <w:marTop w:val="0"/>
      <w:marBottom w:val="0"/>
      <w:divBdr>
        <w:top w:val="none" w:sz="0" w:space="0" w:color="auto"/>
        <w:left w:val="none" w:sz="0" w:space="0" w:color="auto"/>
        <w:bottom w:val="none" w:sz="0" w:space="0" w:color="auto"/>
        <w:right w:val="none" w:sz="0" w:space="0" w:color="auto"/>
      </w:divBdr>
    </w:div>
    <w:div w:id="2027557230">
      <w:bodyDiv w:val="1"/>
      <w:marLeft w:val="0"/>
      <w:marRight w:val="0"/>
      <w:marTop w:val="0"/>
      <w:marBottom w:val="0"/>
      <w:divBdr>
        <w:top w:val="none" w:sz="0" w:space="0" w:color="auto"/>
        <w:left w:val="none" w:sz="0" w:space="0" w:color="auto"/>
        <w:bottom w:val="none" w:sz="0" w:space="0" w:color="auto"/>
        <w:right w:val="none" w:sz="0" w:space="0" w:color="auto"/>
      </w:divBdr>
    </w:div>
    <w:div w:id="2069912776">
      <w:bodyDiv w:val="1"/>
      <w:marLeft w:val="0"/>
      <w:marRight w:val="0"/>
      <w:marTop w:val="0"/>
      <w:marBottom w:val="0"/>
      <w:divBdr>
        <w:top w:val="none" w:sz="0" w:space="0" w:color="auto"/>
        <w:left w:val="none" w:sz="0" w:space="0" w:color="auto"/>
        <w:bottom w:val="none" w:sz="0" w:space="0" w:color="auto"/>
        <w:right w:val="none" w:sz="0" w:space="0" w:color="auto"/>
      </w:divBdr>
    </w:div>
    <w:div w:id="2075270105">
      <w:bodyDiv w:val="1"/>
      <w:marLeft w:val="0"/>
      <w:marRight w:val="0"/>
      <w:marTop w:val="0"/>
      <w:marBottom w:val="0"/>
      <w:divBdr>
        <w:top w:val="none" w:sz="0" w:space="0" w:color="auto"/>
        <w:left w:val="none" w:sz="0" w:space="0" w:color="auto"/>
        <w:bottom w:val="none" w:sz="0" w:space="0" w:color="auto"/>
        <w:right w:val="none" w:sz="0" w:space="0" w:color="auto"/>
      </w:divBdr>
    </w:div>
    <w:div w:id="2097509030">
      <w:bodyDiv w:val="1"/>
      <w:marLeft w:val="0"/>
      <w:marRight w:val="0"/>
      <w:marTop w:val="0"/>
      <w:marBottom w:val="0"/>
      <w:divBdr>
        <w:top w:val="none" w:sz="0" w:space="0" w:color="auto"/>
        <w:left w:val="none" w:sz="0" w:space="0" w:color="auto"/>
        <w:bottom w:val="none" w:sz="0" w:space="0" w:color="auto"/>
        <w:right w:val="none" w:sz="0" w:space="0" w:color="auto"/>
      </w:divBdr>
    </w:div>
    <w:div w:id="2100902195">
      <w:bodyDiv w:val="1"/>
      <w:marLeft w:val="0"/>
      <w:marRight w:val="0"/>
      <w:marTop w:val="0"/>
      <w:marBottom w:val="0"/>
      <w:divBdr>
        <w:top w:val="none" w:sz="0" w:space="0" w:color="auto"/>
        <w:left w:val="none" w:sz="0" w:space="0" w:color="auto"/>
        <w:bottom w:val="none" w:sz="0" w:space="0" w:color="auto"/>
        <w:right w:val="none" w:sz="0" w:space="0" w:color="auto"/>
      </w:divBdr>
    </w:div>
    <w:div w:id="2102138198">
      <w:bodyDiv w:val="1"/>
      <w:marLeft w:val="0"/>
      <w:marRight w:val="0"/>
      <w:marTop w:val="0"/>
      <w:marBottom w:val="0"/>
      <w:divBdr>
        <w:top w:val="none" w:sz="0" w:space="0" w:color="auto"/>
        <w:left w:val="none" w:sz="0" w:space="0" w:color="auto"/>
        <w:bottom w:val="none" w:sz="0" w:space="0" w:color="auto"/>
        <w:right w:val="none" w:sz="0" w:space="0" w:color="auto"/>
      </w:divBdr>
    </w:div>
    <w:div w:id="2109349259">
      <w:bodyDiv w:val="1"/>
      <w:marLeft w:val="0"/>
      <w:marRight w:val="0"/>
      <w:marTop w:val="0"/>
      <w:marBottom w:val="0"/>
      <w:divBdr>
        <w:top w:val="none" w:sz="0" w:space="0" w:color="auto"/>
        <w:left w:val="none" w:sz="0" w:space="0" w:color="auto"/>
        <w:bottom w:val="none" w:sz="0" w:space="0" w:color="auto"/>
        <w:right w:val="none" w:sz="0" w:space="0" w:color="auto"/>
      </w:divBdr>
    </w:div>
    <w:div w:id="2114937847">
      <w:bodyDiv w:val="1"/>
      <w:marLeft w:val="0"/>
      <w:marRight w:val="0"/>
      <w:marTop w:val="0"/>
      <w:marBottom w:val="0"/>
      <w:divBdr>
        <w:top w:val="none" w:sz="0" w:space="0" w:color="auto"/>
        <w:left w:val="none" w:sz="0" w:space="0" w:color="auto"/>
        <w:bottom w:val="none" w:sz="0" w:space="0" w:color="auto"/>
        <w:right w:val="none" w:sz="0" w:space="0" w:color="auto"/>
      </w:divBdr>
    </w:div>
    <w:div w:id="2125613687">
      <w:bodyDiv w:val="1"/>
      <w:marLeft w:val="0"/>
      <w:marRight w:val="0"/>
      <w:marTop w:val="0"/>
      <w:marBottom w:val="0"/>
      <w:divBdr>
        <w:top w:val="none" w:sz="0" w:space="0" w:color="auto"/>
        <w:left w:val="none" w:sz="0" w:space="0" w:color="auto"/>
        <w:bottom w:val="none" w:sz="0" w:space="0" w:color="auto"/>
        <w:right w:val="none" w:sz="0" w:space="0" w:color="auto"/>
      </w:divBdr>
    </w:div>
    <w:div w:id="2128157983">
      <w:bodyDiv w:val="1"/>
      <w:marLeft w:val="0"/>
      <w:marRight w:val="0"/>
      <w:marTop w:val="0"/>
      <w:marBottom w:val="0"/>
      <w:divBdr>
        <w:top w:val="none" w:sz="0" w:space="0" w:color="auto"/>
        <w:left w:val="none" w:sz="0" w:space="0" w:color="auto"/>
        <w:bottom w:val="none" w:sz="0" w:space="0" w:color="auto"/>
        <w:right w:val="none" w:sz="0" w:space="0" w:color="auto"/>
      </w:divBdr>
    </w:div>
    <w:div w:id="2141874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atb.su/api/document_download/?fileId=6824051&amp;iblockId=29" TargetMode="External"/><Relationship Id="rId21" Type="http://schemas.openxmlformats.org/officeDocument/2006/relationships/hyperlink" Target="http://www.atb.su" TargetMode="External"/><Relationship Id="rId42" Type="http://schemas.openxmlformats.org/officeDocument/2006/relationships/hyperlink" Target="https://www.atb.su/customer-care-service/" TargetMode="External"/><Relationship Id="rId47" Type="http://schemas.openxmlformats.org/officeDocument/2006/relationships/hyperlink" Target="http://www.atb.su" TargetMode="External"/><Relationship Id="rId63" Type="http://schemas.openxmlformats.org/officeDocument/2006/relationships/hyperlink" Target="https://www.atb.su/customer-care-service/" TargetMode="External"/><Relationship Id="rId68" Type="http://schemas.openxmlformats.org/officeDocument/2006/relationships/hyperlink" Target="https://www.atb.su/upload/doc/kniga-tarif/tarify-po-raschetno-kassovomu-obsluzhivaniyu-klientov-fizicheskikh-lits.pdf" TargetMode="External"/><Relationship Id="rId84" Type="http://schemas.openxmlformats.org/officeDocument/2006/relationships/hyperlink" Target="http://www.atb.su" TargetMode="External"/><Relationship Id="rId89" Type="http://schemas.openxmlformats.org/officeDocument/2006/relationships/hyperlink" Target="http://www.atb.su" TargetMode="External"/><Relationship Id="rId112" Type="http://schemas.openxmlformats.org/officeDocument/2006/relationships/hyperlink" Target="https://click.email4customers.com/Link?messageId=eyJ0eXAiOiJKV1QiLCJhbGciOiJIUzI1NiJ9.eyJpZCI6NTgyMjU1ODk4MDQ3MDA1OTc4fQ.yiXVfu7TCbz_yyjdJqmoFBF76aL6VAiaZSJ3yWVcM3U&amp;linkId=44800c78a9164beead997d70ce16fc8f&amp;args=https://privetmir.ru/?utm_source%3demail%26utm_medium%3dclick%26utm_campaign%3dprivetmir" TargetMode="External"/><Relationship Id="rId16" Type="http://schemas.openxmlformats.org/officeDocument/2006/relationships/hyperlink" Target="https://www.atb.su/services/transfer/transfer-bank/" TargetMode="External"/><Relationship Id="rId107" Type="http://schemas.openxmlformats.org/officeDocument/2006/relationships/hyperlink" Target="http://www.atb.su" TargetMode="External"/><Relationship Id="rId11" Type="http://schemas.openxmlformats.org/officeDocument/2006/relationships/footnotes" Target="footnotes.xml"/><Relationship Id="rId32" Type="http://schemas.openxmlformats.org/officeDocument/2006/relationships/hyperlink" Target="https://www.atb.su/upload/doc/kredity/spisok-organizatsiy-lgotnogo-kreditovaniya.pdf" TargetMode="External"/><Relationship Id="rId37" Type="http://schemas.openxmlformats.org/officeDocument/2006/relationships/hyperlink" Target="http://www.atb.su" TargetMode="External"/><Relationship Id="rId53" Type="http://schemas.openxmlformats.org/officeDocument/2006/relationships/hyperlink" Target="https://www.atb.su/customer-care-service/" TargetMode="External"/><Relationship Id="rId58" Type="http://schemas.openxmlformats.org/officeDocument/2006/relationships/hyperlink" Target="https://www.atb.su/upload/doc/kniga-tarif/tarify-po-raschetno-kassovomu-obsluzhivaniyu-klientov-fizicheskikh-lits.pdf" TargetMode="External"/><Relationship Id="rId74" Type="http://schemas.openxmlformats.org/officeDocument/2006/relationships/hyperlink" Target="https://www.atb.su/customer-care-service/" TargetMode="External"/><Relationship Id="rId79" Type="http://schemas.openxmlformats.org/officeDocument/2006/relationships/hyperlink" Target="https://www.atb.su/customer-care-service/" TargetMode="External"/><Relationship Id="rId102" Type="http://schemas.openxmlformats.org/officeDocument/2006/relationships/hyperlink" Target="https://click.email4customers.com/Link?messageId=eyJ0eXAiOiJKV1QiLCJhbGciOiJIUzI1NiJ9.eyJpZCI6NTgyMjU1ODk4MDQ3MDA1OTc4fQ.yiXVfu7TCbz_yyjdJqmoFBF76aL6VAiaZSJ3yWVcM3U&amp;linkId=44800c78a9164beead997d70ce16fc8f&amp;args=https://privetmir.ru/?utm_source%3demail%26utm_medium%3dclick%26utm_campaign%3dprivetmir" TargetMode="External"/><Relationship Id="rId123" Type="http://schemas.openxmlformats.org/officeDocument/2006/relationships/hyperlink" Target="https://login.consultant.ru/link/?req=doc&amp;base=LAW&amp;n=466854&amp;dst=1245" TargetMode="External"/><Relationship Id="rId128"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hyperlink" Target="http://www.atb.su" TargetMode="External"/><Relationship Id="rId95" Type="http://schemas.openxmlformats.org/officeDocument/2006/relationships/hyperlink" Target="https://www.atb.su/general-information/tariff-book/" TargetMode="External"/><Relationship Id="rId22" Type="http://schemas.openxmlformats.org/officeDocument/2006/relationships/hyperlink" Target="https://www.atb.su/general-information/tariff-book/" TargetMode="External"/><Relationship Id="rId27" Type="http://schemas.openxmlformats.org/officeDocument/2006/relationships/hyperlink" Target="http://www.atb.su" TargetMode="External"/><Relationship Id="rId43" Type="http://schemas.openxmlformats.org/officeDocument/2006/relationships/hyperlink" Target="http://www.atb.su" TargetMode="External"/><Relationship Id="rId48" Type="http://schemas.openxmlformats.org/officeDocument/2006/relationships/hyperlink" Target="https://www.atb.su/customer-care-service/" TargetMode="External"/><Relationship Id="rId64" Type="http://schemas.openxmlformats.org/officeDocument/2006/relationships/hyperlink" Target="https://www.atb.su/upload/doc/kniga-tarif/tarify-po-raschetno-kassovomu-obsluzhivaniyu-klientov-fizicheskikh-lits.pdf" TargetMode="External"/><Relationship Id="rId69" Type="http://schemas.openxmlformats.org/officeDocument/2006/relationships/hyperlink" Target="https://www.atb.su/customer-care-service/" TargetMode="External"/><Relationship Id="rId113" Type="http://schemas.openxmlformats.org/officeDocument/2006/relationships/hyperlink" Target="http://www.atb.su" TargetMode="External"/><Relationship Id="rId118" Type="http://schemas.openxmlformats.org/officeDocument/2006/relationships/hyperlink" Target="http://www.atb.su" TargetMode="External"/><Relationship Id="rId80" Type="http://schemas.openxmlformats.org/officeDocument/2006/relationships/footer" Target="footer5.xml"/><Relationship Id="rId85" Type="http://schemas.openxmlformats.org/officeDocument/2006/relationships/hyperlink" Target="https://www.cbr.ru/hd_base/keyrate/" TargetMode="External"/><Relationship Id="rId12" Type="http://schemas.openxmlformats.org/officeDocument/2006/relationships/endnotes" Target="endnotes.xml"/><Relationship Id="rId17" Type="http://schemas.openxmlformats.org/officeDocument/2006/relationships/footer" Target="footer1.xml"/><Relationship Id="rId33" Type="http://schemas.openxmlformats.org/officeDocument/2006/relationships/hyperlink" Target="https://www.atb.su/general-information/tariff-book/" TargetMode="External"/><Relationship Id="rId38" Type="http://schemas.openxmlformats.org/officeDocument/2006/relationships/hyperlink" Target="http://www.atb.su" TargetMode="External"/><Relationship Id="rId59" Type="http://schemas.openxmlformats.org/officeDocument/2006/relationships/hyperlink" Target="https://www.atb.su/customer-care-service/" TargetMode="External"/><Relationship Id="rId103" Type="http://schemas.openxmlformats.org/officeDocument/2006/relationships/hyperlink" Target="http://www.atb.su" TargetMode="External"/><Relationship Id="rId108" Type="http://schemas.openxmlformats.org/officeDocument/2006/relationships/hyperlink" Target="http://www.atb.su" TargetMode="External"/><Relationship Id="rId124" Type="http://schemas.openxmlformats.org/officeDocument/2006/relationships/hyperlink" Target="https://login.consultant.ru/link/?req=doc&amp;base=LAW&amp;n=466192&amp;dst=1103" TargetMode="External"/><Relationship Id="rId129" Type="http://schemas.openxmlformats.org/officeDocument/2006/relationships/theme" Target="theme/theme1.xml"/><Relationship Id="rId54" Type="http://schemas.openxmlformats.org/officeDocument/2006/relationships/hyperlink" Target="https://www.atb.su/upload/doc/kniga-tarif/tarify-po-raschetno-kassovomu-obsluzhivaniyu-klientov-fizicheskikh-lits.pdf" TargetMode="External"/><Relationship Id="rId70" Type="http://schemas.openxmlformats.org/officeDocument/2006/relationships/hyperlink" Target="http://www.atb.su" TargetMode="External"/><Relationship Id="rId75" Type="http://schemas.openxmlformats.org/officeDocument/2006/relationships/hyperlink" Target="http://www.atb.su" TargetMode="External"/><Relationship Id="rId91" Type="http://schemas.openxmlformats.org/officeDocument/2006/relationships/hyperlink" Target="http://www.atb.su" TargetMode="External"/><Relationship Id="rId96" Type="http://schemas.openxmlformats.org/officeDocument/2006/relationships/hyperlink" Target="https://www.atb.su/customer-care-service/" TargetMode="External"/><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hyperlink" Target="https://www.atb.su/customer-care-service/" TargetMode="External"/><Relationship Id="rId28" Type="http://schemas.openxmlformats.org/officeDocument/2006/relationships/hyperlink" Target="https://www.atb.su/general-information/tariff-book/" TargetMode="External"/><Relationship Id="rId49" Type="http://schemas.openxmlformats.org/officeDocument/2006/relationships/hyperlink" Target="http://www.atb.su" TargetMode="External"/><Relationship Id="rId114" Type="http://schemas.openxmlformats.org/officeDocument/2006/relationships/hyperlink" Target="http://www.atb.su" TargetMode="External"/><Relationship Id="rId119" Type="http://schemas.openxmlformats.org/officeDocument/2006/relationships/hyperlink" Target="https://www.atb.su/api/document_download/?fileId=6824051&amp;iblockId=29" TargetMode="External"/><Relationship Id="rId44" Type="http://schemas.openxmlformats.org/officeDocument/2006/relationships/hyperlink" Target="http://www.atb.su" TargetMode="External"/><Relationship Id="rId60" Type="http://schemas.openxmlformats.org/officeDocument/2006/relationships/hyperlink" Target="https://www.atb.su/upload/doc/kniga-tarif/tarify-po-raschetno-kassovomu-obsluzhivaniyu-klientov-fizicheskikh-lits.pdf" TargetMode="External"/><Relationship Id="rId65" Type="http://schemas.openxmlformats.org/officeDocument/2006/relationships/hyperlink" Target="https://www.atb.su/customer-care-service/" TargetMode="External"/><Relationship Id="rId81" Type="http://schemas.openxmlformats.org/officeDocument/2006/relationships/image" Target="media/image4.jpeg"/><Relationship Id="rId86" Type="http://schemas.openxmlformats.org/officeDocument/2006/relationships/hyperlink" Target="http://www.atb.su" TargetMode="External"/><Relationship Id="rId13" Type="http://schemas.openxmlformats.org/officeDocument/2006/relationships/image" Target="media/image1.jpeg"/><Relationship Id="rId18" Type="http://schemas.openxmlformats.org/officeDocument/2006/relationships/image" Target="media/image3.jpeg"/><Relationship Id="rId39" Type="http://schemas.openxmlformats.org/officeDocument/2006/relationships/hyperlink" Target="http://www.atb.su" TargetMode="External"/><Relationship Id="rId109" Type="http://schemas.openxmlformats.org/officeDocument/2006/relationships/hyperlink" Target="https://mironline.ru/" TargetMode="External"/><Relationship Id="rId34" Type="http://schemas.openxmlformats.org/officeDocument/2006/relationships/hyperlink" Target="https://www.atb.su/customer-care-service/" TargetMode="External"/><Relationship Id="rId50" Type="http://schemas.openxmlformats.org/officeDocument/2006/relationships/hyperlink" Target="https://www.atb.su/customer-care-service/" TargetMode="External"/><Relationship Id="rId55" Type="http://schemas.openxmlformats.org/officeDocument/2006/relationships/hyperlink" Target="https://www.atb.su/customer-care-service/" TargetMode="External"/><Relationship Id="rId76" Type="http://schemas.openxmlformats.org/officeDocument/2006/relationships/hyperlink" Target="http://www.atb.su" TargetMode="External"/><Relationship Id="rId97" Type="http://schemas.openxmlformats.org/officeDocument/2006/relationships/hyperlink" Target="http://www.atb.su" TargetMode="External"/><Relationship Id="rId104" Type="http://schemas.openxmlformats.org/officeDocument/2006/relationships/hyperlink" Target="http://www.atb.su" TargetMode="External"/><Relationship Id="rId120" Type="http://schemas.openxmlformats.org/officeDocument/2006/relationships/hyperlink" Target="http://www.atb.su" TargetMode="External"/><Relationship Id="rId125" Type="http://schemas.openxmlformats.org/officeDocument/2006/relationships/hyperlink" Target="http://www.atb.su" TargetMode="External"/><Relationship Id="rId7" Type="http://schemas.openxmlformats.org/officeDocument/2006/relationships/numbering" Target="numbering.xml"/><Relationship Id="rId71" Type="http://schemas.openxmlformats.org/officeDocument/2006/relationships/hyperlink" Target="http://www.atb.su" TargetMode="External"/><Relationship Id="rId92" Type="http://schemas.openxmlformats.org/officeDocument/2006/relationships/hyperlink" Target="http://www.atb.su" TargetMode="External"/><Relationship Id="rId2" Type="http://schemas.openxmlformats.org/officeDocument/2006/relationships/customXml" Target="../customXml/item2.xml"/><Relationship Id="rId29" Type="http://schemas.openxmlformats.org/officeDocument/2006/relationships/hyperlink" Target="http://www.atb.su" TargetMode="External"/><Relationship Id="rId24" Type="http://schemas.openxmlformats.org/officeDocument/2006/relationships/footer" Target="footer3.xml"/><Relationship Id="rId40" Type="http://schemas.openxmlformats.org/officeDocument/2006/relationships/hyperlink" Target="http://www.atb.su" TargetMode="External"/><Relationship Id="rId45" Type="http://schemas.openxmlformats.org/officeDocument/2006/relationships/hyperlink" Target="http://www.atb.su" TargetMode="External"/><Relationship Id="rId66" Type="http://schemas.openxmlformats.org/officeDocument/2006/relationships/hyperlink" Target="https://www.atb.su/upload/doc/kniga-tarif/tarify-po-raschetno-kassovomu-obsluzhivaniyu-klientov-fizicheskikh-lits.pdf" TargetMode="External"/><Relationship Id="rId87" Type="http://schemas.openxmlformats.org/officeDocument/2006/relationships/hyperlink" Target="http://www.atb.su" TargetMode="External"/><Relationship Id="rId110" Type="http://schemas.openxmlformats.org/officeDocument/2006/relationships/hyperlink" Target="https://www.atb.su/services/remote-banking/" TargetMode="External"/><Relationship Id="rId115" Type="http://schemas.openxmlformats.org/officeDocument/2006/relationships/hyperlink" Target="http://www.atb.su" TargetMode="External"/><Relationship Id="rId61" Type="http://schemas.openxmlformats.org/officeDocument/2006/relationships/hyperlink" Target="https://www.atb.su/customer-care-service/" TargetMode="External"/><Relationship Id="rId82" Type="http://schemas.openxmlformats.org/officeDocument/2006/relationships/hyperlink" Target="https://www.cbr.ru/hd_base/keyrate/" TargetMode="External"/><Relationship Id="rId19" Type="http://schemas.openxmlformats.org/officeDocument/2006/relationships/footer" Target="footer2.xml"/><Relationship Id="rId14" Type="http://schemas.openxmlformats.org/officeDocument/2006/relationships/image" Target="media/image2.jpeg"/><Relationship Id="rId30" Type="http://schemas.openxmlformats.org/officeDocument/2006/relationships/hyperlink" Target="https://www.atb.su/upload/doc/kredity/spisok-organizatsiy-lgotnogo-kreditovaniya.pdf" TargetMode="External"/><Relationship Id="rId35" Type="http://schemas.openxmlformats.org/officeDocument/2006/relationships/hyperlink" Target="http://www.atb.su" TargetMode="External"/><Relationship Id="rId56" Type="http://schemas.openxmlformats.org/officeDocument/2006/relationships/hyperlink" Target="https://www.atb.su/upload/doc/kniga-tarif/tarify-po-raschetno-kassovomu-obsluzhivaniyu-klientov-fizicheskikh-lits.pdf" TargetMode="External"/><Relationship Id="rId77" Type="http://schemas.openxmlformats.org/officeDocument/2006/relationships/hyperlink" Target="tel:88007758888" TargetMode="External"/><Relationship Id="rId100" Type="http://schemas.openxmlformats.org/officeDocument/2006/relationships/hyperlink" Target="https://www.atb.su/services/remote-banking/" TargetMode="External"/><Relationship Id="rId105" Type="http://schemas.openxmlformats.org/officeDocument/2006/relationships/hyperlink" Target="https://www.atb.su/general-information/tariff-book/" TargetMode="External"/><Relationship Id="rId126" Type="http://schemas.openxmlformats.org/officeDocument/2006/relationships/footer" Target="footer7.xml"/><Relationship Id="rId8" Type="http://schemas.openxmlformats.org/officeDocument/2006/relationships/styles" Target="styles.xml"/><Relationship Id="rId51" Type="http://schemas.openxmlformats.org/officeDocument/2006/relationships/hyperlink" Target="http://www.atb.su" TargetMode="External"/><Relationship Id="rId72" Type="http://schemas.openxmlformats.org/officeDocument/2006/relationships/hyperlink" Target="tel:88007758888" TargetMode="External"/><Relationship Id="rId93" Type="http://schemas.openxmlformats.org/officeDocument/2006/relationships/hyperlink" Target="http://www.atb.su" TargetMode="External"/><Relationship Id="rId98" Type="http://schemas.openxmlformats.org/officeDocument/2006/relationships/hyperlink" Target="http://www.atb.su" TargetMode="External"/><Relationship Id="rId121" Type="http://schemas.openxmlformats.org/officeDocument/2006/relationships/hyperlink" Target="https://www.atb.su/api/document_download/?fileId=6824051&amp;iblockId=29" TargetMode="External"/><Relationship Id="rId3" Type="http://schemas.openxmlformats.org/officeDocument/2006/relationships/customXml" Target="../customXml/item3.xml"/><Relationship Id="rId25" Type="http://schemas.openxmlformats.org/officeDocument/2006/relationships/footer" Target="footer4.xml"/><Relationship Id="rId46" Type="http://schemas.openxmlformats.org/officeDocument/2006/relationships/hyperlink" Target="http://www.atb.su" TargetMode="External"/><Relationship Id="rId67" Type="http://schemas.openxmlformats.org/officeDocument/2006/relationships/hyperlink" Target="https://www.atb.su/customer-care-service/" TargetMode="External"/><Relationship Id="rId116" Type="http://schemas.openxmlformats.org/officeDocument/2006/relationships/hyperlink" Target="http://www.atb.su" TargetMode="External"/><Relationship Id="rId20" Type="http://schemas.openxmlformats.org/officeDocument/2006/relationships/hyperlink" Target="http://www.atb.su" TargetMode="External"/><Relationship Id="rId41" Type="http://schemas.openxmlformats.org/officeDocument/2006/relationships/hyperlink" Target="https://www.atb.su/general-information/tariff-book/" TargetMode="External"/><Relationship Id="rId62" Type="http://schemas.openxmlformats.org/officeDocument/2006/relationships/hyperlink" Target="https://www.atb.su/upload/doc/kniga-tarif/tarify-po-raschetno-kassovomu-obsluzhivaniyu-klientov-fizicheskikh-lits.pdf" TargetMode="External"/><Relationship Id="rId83" Type="http://schemas.openxmlformats.org/officeDocument/2006/relationships/hyperlink" Target="http://www.atb.su" TargetMode="External"/><Relationship Id="rId88" Type="http://schemas.openxmlformats.org/officeDocument/2006/relationships/footer" Target="footer6.xml"/><Relationship Id="rId111" Type="http://schemas.openxmlformats.org/officeDocument/2006/relationships/hyperlink" Target="https://my.atb.su/c2c-transfer/" TargetMode="External"/><Relationship Id="rId15" Type="http://schemas.openxmlformats.org/officeDocument/2006/relationships/hyperlink" Target="https://www.atb.su/services/transfer/transfer-bank/" TargetMode="External"/><Relationship Id="rId36" Type="http://schemas.openxmlformats.org/officeDocument/2006/relationships/hyperlink" Target="http://www.atb.su" TargetMode="External"/><Relationship Id="rId57" Type="http://schemas.openxmlformats.org/officeDocument/2006/relationships/hyperlink" Target="https://www.atb.su/customer-care-service/" TargetMode="External"/><Relationship Id="rId106" Type="http://schemas.openxmlformats.org/officeDocument/2006/relationships/hyperlink" Target="https://www.atb.su/customer-care-service/" TargetMode="External"/><Relationship Id="rId127" Type="http://schemas.openxmlformats.org/officeDocument/2006/relationships/footer" Target="footer8.xml"/><Relationship Id="rId10" Type="http://schemas.openxmlformats.org/officeDocument/2006/relationships/webSettings" Target="webSettings.xml"/><Relationship Id="rId31" Type="http://schemas.openxmlformats.org/officeDocument/2006/relationships/hyperlink" Target="http://www.atb.su" TargetMode="External"/><Relationship Id="rId52" Type="http://schemas.openxmlformats.org/officeDocument/2006/relationships/hyperlink" Target="http://www.atb.su" TargetMode="External"/><Relationship Id="rId73" Type="http://schemas.openxmlformats.org/officeDocument/2006/relationships/hyperlink" Target="https://www.atb.su/upload/doc/kniga-tarif/tarify-po-raschetno-kassovomu-obsluzhivaniyu-klientov-fizicheskikh-lits.pdf" TargetMode="External"/><Relationship Id="rId78" Type="http://schemas.openxmlformats.org/officeDocument/2006/relationships/hyperlink" Target="https://www.atb.su/upload/doc/kniga-tarif/tarify-po-raschetno-kassovomu-obsluzhivaniyu-klientov-fizicheskikh-lits.pdf" TargetMode="External"/><Relationship Id="rId94" Type="http://schemas.openxmlformats.org/officeDocument/2006/relationships/hyperlink" Target="http://www.atb.su" TargetMode="External"/><Relationship Id="rId99" Type="http://schemas.openxmlformats.org/officeDocument/2006/relationships/hyperlink" Target="https://mironline.ru/" TargetMode="External"/><Relationship Id="rId101" Type="http://schemas.openxmlformats.org/officeDocument/2006/relationships/hyperlink" Target="https://my.atb.su/c2c-transfer/" TargetMode="External"/><Relationship Id="rId122" Type="http://schemas.openxmlformats.org/officeDocument/2006/relationships/hyperlink" Target="https://www.atb.su/api/document_download/?fileId=6824051&amp;iblockId=29" TargetMode="External"/><Relationship Id="rId4" Type="http://schemas.openxmlformats.org/officeDocument/2006/relationships/customXml" Target="../customXml/item4.xml"/><Relationship Id="rId9" Type="http://schemas.openxmlformats.org/officeDocument/2006/relationships/settings" Target="settings.xml"/><Relationship Id="rId26" Type="http://schemas.openxmlformats.org/officeDocument/2006/relationships/hyperlink" Target="http://www.atb.s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Документ" ma:contentTypeID="0x0101001DA0DC47E30A9F4A9B824803F4B21F3D" ma:contentTypeVersion="0" ma:contentTypeDescription="Создание документа." ma:contentTypeScope="" ma:versionID="203ec0a54e946f296a1b7decc66bf127">
  <xsd:schema xmlns:xsd="http://www.w3.org/2001/XMLSchema" xmlns:xs="http://www.w3.org/2001/XMLSchema" xmlns:p="http://schemas.microsoft.com/office/2006/metadata/properties" xmlns:ns2="b6412e2d-9968-45c6-8848-afe6ab129070" targetNamespace="http://schemas.microsoft.com/office/2006/metadata/properties" ma:root="true" ma:fieldsID="e03891a1f99910123914f9970fde1841" ns2:_="">
    <xsd:import namespace="b6412e2d-9968-45c6-8848-afe6ab129070"/>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412e2d-9968-45c6-8848-afe6ab129070" elementFormDefault="qualified">
    <xsd:import namespace="http://schemas.microsoft.com/office/2006/documentManagement/types"/>
    <xsd:import namespace="http://schemas.microsoft.com/office/infopath/2007/PartnerControls"/>
    <xsd:element name="_dlc_DocId" ma:index="8" nillable="true" ma:displayName="Значение идентификатора документа" ma:description="Значение идентификатора документа, присвоенного данному элементу." ma:internalName="_dlc_DocId" ma:readOnly="true">
      <xsd:simpleType>
        <xsd:restriction base="dms:Text"/>
      </xsd:simpleType>
    </xsd:element>
    <xsd:element name="_dlc_DocIdUrl" ma:index="9" nillable="true" ma:displayName="Идентификатор документа" ma:description="Постоянная ссылка на этот документ."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Сохранить идентификатор" ma:description="Сохранять идентификатор при добавлении."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LongProperties xmlns="http://schemas.microsoft.com/office/2006/metadata/longProperties"/>
</file>

<file path=customXml/itemProps1.xml><?xml version="1.0" encoding="utf-8"?>
<ds:datastoreItem xmlns:ds="http://schemas.openxmlformats.org/officeDocument/2006/customXml" ds:itemID="{55EC3829-004E-4F50-85D9-A2CDF03B8AA0}">
  <ds:schemaRefs>
    <ds:schemaRef ds:uri="http://schemas.openxmlformats.org/officeDocument/2006/bibliography"/>
  </ds:schemaRefs>
</ds:datastoreItem>
</file>

<file path=customXml/itemProps2.xml><?xml version="1.0" encoding="utf-8"?>
<ds:datastoreItem xmlns:ds="http://schemas.openxmlformats.org/officeDocument/2006/customXml" ds:itemID="{8F1AD9A7-2336-4A4D-B7D7-4EE699D1A97D}">
  <ds:schemaRefs>
    <ds:schemaRef ds:uri="http://schemas.microsoft.com/sharepoint/v3/contenttype/forms"/>
  </ds:schemaRefs>
</ds:datastoreItem>
</file>

<file path=customXml/itemProps3.xml><?xml version="1.0" encoding="utf-8"?>
<ds:datastoreItem xmlns:ds="http://schemas.openxmlformats.org/officeDocument/2006/customXml" ds:itemID="{12DDE714-32EF-4973-8DDB-F5147BFED98C}">
  <ds:schemaRefs>
    <ds:schemaRef ds:uri="http://schemas.microsoft.com/sharepoint/events"/>
  </ds:schemaRefs>
</ds:datastoreItem>
</file>

<file path=customXml/itemProps4.xml><?xml version="1.0" encoding="utf-8"?>
<ds:datastoreItem xmlns:ds="http://schemas.openxmlformats.org/officeDocument/2006/customXml" ds:itemID="{2A2E74A6-CD1B-47B5-AB73-2ACDA91F68C2}">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8C728462-ECBC-48C1-A59E-94B58DDD61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412e2d-9968-45c6-8848-afe6ab1290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BE5C0F82-605E-416A-B1CA-68624DA11145}">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306</Pages>
  <Words>209353</Words>
  <Characters>1193314</Characters>
  <Application>Microsoft Office Word</Application>
  <DocSecurity>0</DocSecurity>
  <Lines>9944</Lines>
  <Paragraphs>2799</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1399868</CharactersWithSpaces>
  <SharedDoc>false</SharedDoc>
  <HLinks>
    <vt:vector size="6" baseType="variant">
      <vt:variant>
        <vt:i4>7602303</vt:i4>
      </vt:variant>
      <vt:variant>
        <vt:i4>0</vt:i4>
      </vt:variant>
      <vt:variant>
        <vt:i4>0</vt:i4>
      </vt:variant>
      <vt:variant>
        <vt:i4>5</vt:i4>
      </vt:variant>
      <vt:variant>
        <vt:lpwstr>http://www.atb.su/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stadnik</dc:creator>
  <cp:lastModifiedBy>Oleg Kurenev</cp:lastModifiedBy>
  <cp:revision>8</cp:revision>
  <cp:lastPrinted>2015-12-07T06:19:00Z</cp:lastPrinted>
  <dcterms:created xsi:type="dcterms:W3CDTF">2025-02-10T13:30:00Z</dcterms:created>
  <dcterms:modified xsi:type="dcterms:W3CDTF">2025-02-24T13:51:00Z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dex">
    <vt:lpwstr>1</vt:lpwstr>
  </property>
  <property fmtid="{D5CDD505-2E9C-101B-9397-08002B2CF9AE}" pid="3" name="display_urn:schemas-microsoft-com:office:office#Avtor_izmenenij">
    <vt:lpwstr>Митрофанов Алексей Владимирович</vt:lpwstr>
  </property>
  <property fmtid="{D5CDD505-2E9C-101B-9397-08002B2CF9AE}" pid="4" name="Data_nachala_dejstvija">
    <vt:lpwstr>2014-08-01T00:00:00Z</vt:lpwstr>
  </property>
  <property fmtid="{D5CDD505-2E9C-101B-9397-08002B2CF9AE}" pid="5" name="Osnovanie_izmenenenija">
    <vt:lpwstr>Приказ № 230711-П от 23.07.2014 «О внесении изменений в условия по вкладам физических лиц в «Азиатско-Тихоокеанский Банк» (ОАО)». </vt:lpwstr>
  </property>
  <property fmtid="{D5CDD505-2E9C-101B-9397-08002B2CF9AE}" pid="6" name="Avtor_izmenenij">
    <vt:lpwstr>2683</vt:lpwstr>
  </property>
  <property fmtid="{D5CDD505-2E9C-101B-9397-08002B2CF9AE}" pid="7" name="Soderzhanie">
    <vt:lpwstr>;#07 Часть. Книга тарифов для клиентов;#</vt:lpwstr>
  </property>
</Properties>
</file>